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47E" w:rsidRDefault="00D4647E" w:rsidP="00D4647E">
      <w:pPr>
        <w:pStyle w:val="Portada1"/>
      </w:pPr>
      <w:bookmarkStart w:id="0" w:name="_GoBack"/>
      <w:bookmarkEnd w:id="0"/>
      <w:r>
        <w:t>TRIBUNAL CONSTITUCIONAL</w:t>
      </w:r>
    </w:p>
    <w:p w:rsidR="0026452D" w:rsidRDefault="0026452D" w:rsidP="00D4647E">
      <w:pPr>
        <w:pStyle w:val="Portada1"/>
      </w:pPr>
    </w:p>
    <w:p w:rsidR="00D4647E" w:rsidRDefault="00D4647E" w:rsidP="00D4647E">
      <w:pPr>
        <w:pStyle w:val="Portada2"/>
      </w:pPr>
      <w:r>
        <w:t>SECRETARÍA GENERAL</w:t>
      </w:r>
    </w:p>
    <w:p w:rsidR="00D4647E" w:rsidRDefault="00D4647E" w:rsidP="00D4647E">
      <w:pPr>
        <w:pStyle w:val="Portada2"/>
      </w:pPr>
    </w:p>
    <w:p w:rsidR="00D4647E" w:rsidRDefault="00D4647E" w:rsidP="00D4647E">
      <w:pPr>
        <w:pStyle w:val="Portada2"/>
      </w:pPr>
    </w:p>
    <w:p w:rsidR="00D4647E" w:rsidRDefault="00D4647E" w:rsidP="00D4647E">
      <w:pPr>
        <w:pStyle w:val="Portada2"/>
      </w:pPr>
    </w:p>
    <w:p w:rsidR="00D4647E" w:rsidRDefault="00D4647E" w:rsidP="00D4647E">
      <w:pPr>
        <w:pStyle w:val="Portada2"/>
      </w:pPr>
    </w:p>
    <w:p w:rsidR="00D4647E" w:rsidRDefault="00D4647E" w:rsidP="00D4647E">
      <w:pPr>
        <w:pStyle w:val="Portada2"/>
      </w:pPr>
    </w:p>
    <w:p w:rsidR="00D4647E" w:rsidRDefault="00D4647E" w:rsidP="00D4647E">
      <w:pPr>
        <w:pStyle w:val="Portada2"/>
      </w:pPr>
    </w:p>
    <w:p w:rsidR="00D4647E" w:rsidRDefault="00D4647E" w:rsidP="00D4647E">
      <w:pPr>
        <w:pStyle w:val="Portada2"/>
      </w:pPr>
    </w:p>
    <w:p w:rsidR="00D4647E" w:rsidRDefault="00D4647E" w:rsidP="00D4647E">
      <w:pPr>
        <w:pStyle w:val="Portada2"/>
      </w:pPr>
    </w:p>
    <w:p w:rsidR="00D4647E" w:rsidRDefault="00D4647E" w:rsidP="00D4647E">
      <w:pPr>
        <w:pStyle w:val="PortadaPrincipal"/>
      </w:pPr>
      <w:r>
        <w:t>JURISPRUDENCIA</w:t>
      </w:r>
    </w:p>
    <w:p w:rsidR="00D4647E" w:rsidRDefault="00D4647E" w:rsidP="00D4647E">
      <w:pPr>
        <w:pStyle w:val="PortadaPrincipal"/>
      </w:pPr>
      <w:r>
        <w:t>CONSTITUCIONAL</w:t>
      </w:r>
    </w:p>
    <w:p w:rsidR="00D4647E" w:rsidRDefault="00D4647E" w:rsidP="00D4647E">
      <w:pPr>
        <w:pStyle w:val="PortadaPrincipal"/>
      </w:pPr>
    </w:p>
    <w:p w:rsidR="00D4647E" w:rsidRPr="00D4647E" w:rsidRDefault="00D4647E" w:rsidP="00D4647E">
      <w:pPr>
        <w:pStyle w:val="Portada1"/>
        <w:rPr>
          <w:b/>
        </w:rPr>
      </w:pPr>
      <w:r w:rsidRPr="00D4647E">
        <w:rPr>
          <w:b/>
        </w:rPr>
        <w:t>TOMO NONAGÉSIMO SEGUNDO</w:t>
      </w:r>
    </w:p>
    <w:p w:rsidR="00D4647E" w:rsidRPr="00D4647E" w:rsidRDefault="00D4647E" w:rsidP="00D4647E">
      <w:pPr>
        <w:pStyle w:val="Portada1"/>
        <w:rPr>
          <w:b/>
        </w:rPr>
      </w:pPr>
      <w:r w:rsidRPr="00D4647E">
        <w:rPr>
          <w:b/>
        </w:rPr>
        <w:t>(enero - junio 2013)</w:t>
      </w:r>
    </w:p>
    <w:p w:rsidR="00D4647E" w:rsidRDefault="00D4647E" w:rsidP="00D4647E">
      <w:pPr>
        <w:pStyle w:val="Portada1"/>
      </w:pPr>
    </w:p>
    <w:p w:rsidR="00D4647E" w:rsidRDefault="00D4647E" w:rsidP="00D4647E">
      <w:pPr>
        <w:pStyle w:val="Portada1"/>
      </w:pPr>
    </w:p>
    <w:p w:rsidR="00D4647E" w:rsidRDefault="00D4647E" w:rsidP="00D4647E">
      <w:pPr>
        <w:pStyle w:val="Portada1"/>
      </w:pPr>
    </w:p>
    <w:p w:rsidR="00D4647E" w:rsidRDefault="00D4647E" w:rsidP="00D4647E">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D4647E" w:rsidRDefault="00D4647E" w:rsidP="00D4647E">
      <w:pPr>
        <w:pStyle w:val="Portada1"/>
      </w:pPr>
    </w:p>
    <w:p w:rsidR="00D4647E" w:rsidRDefault="00D4647E" w:rsidP="00D4647E">
      <w:pPr>
        <w:pStyle w:val="Portada1"/>
      </w:pPr>
    </w:p>
    <w:p w:rsidR="00D4647E" w:rsidRDefault="00D4647E" w:rsidP="00D4647E">
      <w:pPr>
        <w:pStyle w:val="Portada1"/>
      </w:pPr>
    </w:p>
    <w:p w:rsidR="00D4647E" w:rsidRDefault="00D4647E" w:rsidP="00D4647E">
      <w:pPr>
        <w:pStyle w:val="Portada1"/>
      </w:pPr>
    </w:p>
    <w:p w:rsidR="00D4647E" w:rsidRDefault="00D4647E" w:rsidP="00D4647E">
      <w:pPr>
        <w:pStyle w:val="Portada1"/>
      </w:pPr>
    </w:p>
    <w:p w:rsidR="00D4647E" w:rsidRDefault="00D4647E" w:rsidP="00D4647E">
      <w:pPr>
        <w:pStyle w:val="Portada2"/>
      </w:pPr>
      <w:r>
        <w:t>MADRID 2013</w:t>
      </w:r>
    </w:p>
    <w:p w:rsidR="001F24E8" w:rsidRDefault="001F24E8">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1F24E8" w:rsidRDefault="001F24E8" w:rsidP="001F24E8">
      <w:pPr>
        <w:pStyle w:val="CabeceraApartadoDerecha"/>
      </w:pPr>
      <w:r>
        <w:lastRenderedPageBreak/>
        <w:t>CONTENIDO</w:t>
      </w:r>
    </w:p>
    <w:p w:rsidR="0026452D" w:rsidRDefault="0026452D" w:rsidP="001F24E8">
      <w:pPr>
        <w:pStyle w:val="CabeceraApartadoDerecha"/>
      </w:pPr>
    </w:p>
    <w:p w:rsidR="001F24E8" w:rsidRDefault="001F24E8" w:rsidP="001F24E8">
      <w:pPr>
        <w:pStyle w:val="EntradandiceSumario"/>
        <w:keepNext w:val="0"/>
      </w:pPr>
      <w:r>
        <w:t>1. SENTENCIAS: STC 1/2013 A STC 138/2013</w:t>
      </w:r>
      <w:r>
        <w:tab/>
      </w:r>
      <w:r>
        <w:tab/>
      </w:r>
      <w:r>
        <w:fldChar w:fldCharType="begin"/>
      </w:r>
      <w:r>
        <w:instrText xml:space="preserve"> PAGEREF SUMARIOSENTENCIAS \h </w:instrText>
      </w:r>
      <w:r>
        <w:fldChar w:fldCharType="separate"/>
      </w:r>
      <w:r w:rsidR="00AF4A65">
        <w:rPr>
          <w:noProof/>
        </w:rPr>
        <w:t>3</w:t>
      </w:r>
      <w:r>
        <w:fldChar w:fldCharType="end"/>
      </w:r>
    </w:p>
    <w:p w:rsidR="001F24E8" w:rsidRDefault="001F24E8" w:rsidP="001F24E8">
      <w:pPr>
        <w:pStyle w:val="EntradandiceSumario"/>
        <w:keepNext w:val="0"/>
      </w:pPr>
    </w:p>
    <w:p w:rsidR="001F24E8" w:rsidRDefault="001F24E8" w:rsidP="001F24E8">
      <w:pPr>
        <w:pStyle w:val="EntradandiceSumario"/>
        <w:keepNext w:val="0"/>
      </w:pPr>
      <w:bookmarkStart w:id="1" w:name="SUMARIOSINDICES"/>
      <w:r>
        <w:t>2. AUTOS: ATC 1/2013 A ATC 148/2013</w:t>
      </w:r>
      <w:r>
        <w:tab/>
      </w:r>
      <w:r>
        <w:tab/>
      </w:r>
      <w:r>
        <w:fldChar w:fldCharType="begin"/>
      </w:r>
      <w:r>
        <w:instrText xml:space="preserve"> PAGEREF SUMARIOSAUTOS \h </w:instrText>
      </w:r>
      <w:r>
        <w:fldChar w:fldCharType="separate"/>
      </w:r>
      <w:r w:rsidR="00AF4A65">
        <w:rPr>
          <w:noProof/>
        </w:rPr>
        <w:t>30</w:t>
      </w:r>
      <w:r>
        <w:fldChar w:fldCharType="end"/>
      </w:r>
    </w:p>
    <w:bookmarkEnd w:id="1"/>
    <w:p w:rsidR="001F24E8" w:rsidRDefault="001F24E8" w:rsidP="001F24E8">
      <w:pPr>
        <w:pStyle w:val="EntradandiceSumario"/>
        <w:keepNext w:val="0"/>
      </w:pPr>
    </w:p>
    <w:p w:rsidR="001F24E8" w:rsidRDefault="001F24E8" w:rsidP="001F24E8">
      <w:pPr>
        <w:pStyle w:val="EntradandiceSumario"/>
        <w:keepNext w:val="0"/>
      </w:pPr>
      <w:r>
        <w:t>3.</w:t>
      </w:r>
      <w:r w:rsidR="00D8761E">
        <w:t xml:space="preserve"> ÍNDICE DE DISPOSICIONES CON FUERZA DE LEY IMPUGNADAS</w:t>
      </w:r>
      <w:r>
        <w:t>:</w:t>
      </w:r>
    </w:p>
    <w:p w:rsidR="001F24E8" w:rsidRDefault="001F24E8" w:rsidP="001F24E8">
      <w:pPr>
        <w:pStyle w:val="EntradandiceSumario"/>
        <w:keepNext w:val="0"/>
      </w:pPr>
    </w:p>
    <w:p w:rsidR="001F24E8" w:rsidRDefault="00E85921" w:rsidP="001F24E8">
      <w:pPr>
        <w:pStyle w:val="EntradandiceSumarioNivel2"/>
        <w:keepNext w:val="0"/>
      </w:pPr>
      <w:r>
        <w:t>A) Disposiciones con fuerza de ley del Estado</w:t>
      </w:r>
      <w:r w:rsidR="001F24E8">
        <w:tab/>
      </w:r>
      <w:r w:rsidR="001F24E8">
        <w:tab/>
      </w:r>
      <w:r w:rsidR="001F24E8">
        <w:fldChar w:fldCharType="begin"/>
      </w:r>
      <w:r w:rsidR="001F24E8">
        <w:instrText xml:space="preserve"> PAGEREF INDICE22802 \h </w:instrText>
      </w:r>
      <w:r w:rsidR="001F24E8">
        <w:fldChar w:fldCharType="separate"/>
      </w:r>
      <w:r w:rsidR="00AF4A65">
        <w:rPr>
          <w:noProof/>
        </w:rPr>
        <w:t>3321</w:t>
      </w:r>
      <w:r w:rsidR="001F24E8">
        <w:fldChar w:fldCharType="end"/>
      </w:r>
    </w:p>
    <w:p w:rsidR="001F24E8" w:rsidRDefault="00DF47E6" w:rsidP="001F24E8">
      <w:pPr>
        <w:pStyle w:val="EntradandiceSumarioNivel2"/>
        <w:keepNext w:val="0"/>
      </w:pPr>
      <w:r>
        <w:t>B) Disposiciones con fuerza de ley de las Comunidades Autónomas</w:t>
      </w:r>
      <w:r w:rsidR="001F24E8">
        <w:tab/>
      </w:r>
      <w:r w:rsidR="001F24E8">
        <w:tab/>
      </w:r>
      <w:r w:rsidR="001F24E8">
        <w:fldChar w:fldCharType="begin"/>
      </w:r>
      <w:r w:rsidR="001F24E8">
        <w:instrText xml:space="preserve"> PAGEREF INDICE22806 \h </w:instrText>
      </w:r>
      <w:r w:rsidR="001F24E8">
        <w:fldChar w:fldCharType="separate"/>
      </w:r>
      <w:r w:rsidR="00AF4A65">
        <w:rPr>
          <w:noProof/>
        </w:rPr>
        <w:t>3329</w:t>
      </w:r>
      <w:r w:rsidR="001F24E8">
        <w:fldChar w:fldCharType="end"/>
      </w:r>
    </w:p>
    <w:p w:rsidR="001F24E8" w:rsidRDefault="001F24E8" w:rsidP="001F24E8"/>
    <w:p w:rsidR="001F24E8" w:rsidRDefault="001F24E8" w:rsidP="001F24E8">
      <w:pPr>
        <w:pStyle w:val="EntradandiceSumario"/>
        <w:keepNext w:val="0"/>
      </w:pPr>
      <w:r>
        <w:t xml:space="preserve">4. ÍNDICE DE </w:t>
      </w:r>
      <w:r w:rsidR="001722C6" w:rsidRPr="001722C6">
        <w:t>DISPOSICIONES GENERALES IMPUGNADAS</w:t>
      </w:r>
      <w:r>
        <w:t>:</w:t>
      </w:r>
    </w:p>
    <w:p w:rsidR="001F24E8" w:rsidRDefault="001F24E8" w:rsidP="001F24E8">
      <w:pPr>
        <w:pStyle w:val="EntradandiceSumario"/>
        <w:keepNext w:val="0"/>
      </w:pPr>
    </w:p>
    <w:p w:rsidR="001F24E8" w:rsidRDefault="001F24E8" w:rsidP="001F24E8">
      <w:pPr>
        <w:pStyle w:val="EntradandiceSumarioNivel2"/>
        <w:keepNext w:val="0"/>
      </w:pPr>
      <w:r>
        <w:t>A) Disposiciones del Estado</w:t>
      </w:r>
      <w:r>
        <w:tab/>
      </w:r>
      <w:r>
        <w:tab/>
      </w:r>
      <w:r>
        <w:fldChar w:fldCharType="begin"/>
      </w:r>
      <w:r>
        <w:instrText xml:space="preserve"> PAGEREF INDICE22803 \h </w:instrText>
      </w:r>
      <w:r>
        <w:fldChar w:fldCharType="separate"/>
      </w:r>
      <w:r w:rsidR="00AF4A65">
        <w:rPr>
          <w:noProof/>
        </w:rPr>
        <w:t>3337</w:t>
      </w:r>
      <w:r>
        <w:fldChar w:fldCharType="end"/>
      </w:r>
    </w:p>
    <w:p w:rsidR="001F24E8" w:rsidRDefault="001F24E8" w:rsidP="001F24E8">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AF4A65">
        <w:rPr>
          <w:noProof/>
        </w:rPr>
        <w:t>3342</w:t>
      </w:r>
      <w:r>
        <w:fldChar w:fldCharType="end"/>
      </w:r>
    </w:p>
    <w:p w:rsidR="001F24E8" w:rsidRDefault="001F24E8" w:rsidP="001F24E8"/>
    <w:p w:rsidR="001F24E8" w:rsidRDefault="001F24E8" w:rsidP="001F24E8">
      <w:pPr>
        <w:pStyle w:val="EntradandiceSumario"/>
        <w:keepNext w:val="0"/>
      </w:pPr>
      <w:r>
        <w:t>5. ÍNDICE DE DISPOSICIONES CITADAS:</w:t>
      </w:r>
    </w:p>
    <w:p w:rsidR="001F24E8" w:rsidRDefault="001F24E8" w:rsidP="001F24E8">
      <w:pPr>
        <w:pStyle w:val="EntradandiceSumario"/>
        <w:keepNext w:val="0"/>
      </w:pPr>
    </w:p>
    <w:p w:rsidR="001F24E8" w:rsidRDefault="001F24E8" w:rsidP="001F24E8">
      <w:pPr>
        <w:pStyle w:val="EntradandiceSumarioNivel2"/>
        <w:keepNext w:val="0"/>
      </w:pPr>
      <w:r>
        <w:t>A) Constitución</w:t>
      </w:r>
      <w:r>
        <w:tab/>
      </w:r>
      <w:r>
        <w:tab/>
      </w:r>
      <w:r>
        <w:fldChar w:fldCharType="begin"/>
      </w:r>
      <w:r>
        <w:instrText xml:space="preserve"> PAGEREF INDICE22804 \h </w:instrText>
      </w:r>
      <w:r>
        <w:fldChar w:fldCharType="separate"/>
      </w:r>
      <w:r w:rsidR="00AF4A65">
        <w:rPr>
          <w:noProof/>
        </w:rPr>
        <w:t>3343</w:t>
      </w:r>
      <w:r>
        <w:fldChar w:fldCharType="end"/>
      </w:r>
    </w:p>
    <w:p w:rsidR="001F24E8" w:rsidRDefault="001F24E8" w:rsidP="001F24E8">
      <w:pPr>
        <w:pStyle w:val="EntradandiceSumarioNivel2"/>
        <w:keepNext w:val="0"/>
      </w:pPr>
      <w:r>
        <w:t>B) Tribunal Constitucional</w:t>
      </w:r>
      <w:r>
        <w:tab/>
      </w:r>
      <w:r>
        <w:tab/>
      </w:r>
      <w:r>
        <w:fldChar w:fldCharType="begin"/>
      </w:r>
      <w:r>
        <w:instrText xml:space="preserve"> PAGEREF INDICE22843 \h </w:instrText>
      </w:r>
      <w:r>
        <w:fldChar w:fldCharType="separate"/>
      </w:r>
      <w:r w:rsidR="00AF4A65">
        <w:rPr>
          <w:noProof/>
        </w:rPr>
        <w:t>3353</w:t>
      </w:r>
      <w:r>
        <w:fldChar w:fldCharType="end"/>
      </w:r>
    </w:p>
    <w:p w:rsidR="001F24E8" w:rsidRDefault="001F24E8" w:rsidP="001F24E8">
      <w:pPr>
        <w:pStyle w:val="EntradandiceSumarioNivel2"/>
        <w:keepNext w:val="0"/>
      </w:pPr>
      <w:r>
        <w:t>C) Cortes Generales</w:t>
      </w:r>
      <w:r>
        <w:tab/>
      </w:r>
      <w:r>
        <w:tab/>
      </w:r>
      <w:r>
        <w:fldChar w:fldCharType="begin"/>
      </w:r>
      <w:r>
        <w:instrText xml:space="preserve"> PAGEREF INDICE22844 \h </w:instrText>
      </w:r>
      <w:r>
        <w:fldChar w:fldCharType="separate"/>
      </w:r>
      <w:r w:rsidR="00AF4A65">
        <w:rPr>
          <w:noProof/>
        </w:rPr>
        <w:t>3358</w:t>
      </w:r>
      <w:r>
        <w:fldChar w:fldCharType="end"/>
      </w:r>
    </w:p>
    <w:p w:rsidR="001F24E8" w:rsidRDefault="001F24E8" w:rsidP="001F24E8">
      <w:pPr>
        <w:pStyle w:val="EntradandiceSumarioNivel2"/>
        <w:keepNext w:val="0"/>
      </w:pPr>
      <w:r>
        <w:t>D) Leyes Orgánicas</w:t>
      </w:r>
      <w:r>
        <w:tab/>
      </w:r>
      <w:r>
        <w:tab/>
      </w:r>
      <w:r>
        <w:fldChar w:fldCharType="begin"/>
      </w:r>
      <w:r>
        <w:instrText xml:space="preserve"> PAGEREF INDICE22845 \h </w:instrText>
      </w:r>
      <w:r>
        <w:fldChar w:fldCharType="separate"/>
      </w:r>
      <w:r w:rsidR="00AF4A65">
        <w:rPr>
          <w:noProof/>
        </w:rPr>
        <w:t>3358</w:t>
      </w:r>
      <w:r>
        <w:fldChar w:fldCharType="end"/>
      </w:r>
    </w:p>
    <w:p w:rsidR="001F24E8" w:rsidRDefault="001F24E8" w:rsidP="001F24E8">
      <w:pPr>
        <w:pStyle w:val="EntradandiceSumarioNivel2"/>
        <w:keepNext w:val="0"/>
      </w:pPr>
      <w:r>
        <w:t>E) Leyes de las Cortes Generales</w:t>
      </w:r>
      <w:r>
        <w:tab/>
      </w:r>
      <w:r>
        <w:tab/>
      </w:r>
      <w:r>
        <w:fldChar w:fldCharType="begin"/>
      </w:r>
      <w:r>
        <w:instrText xml:space="preserve"> PAGEREF INDICE22846 \h </w:instrText>
      </w:r>
      <w:r>
        <w:fldChar w:fldCharType="separate"/>
      </w:r>
      <w:r w:rsidR="00AF4A65">
        <w:rPr>
          <w:noProof/>
        </w:rPr>
        <w:t>3372</w:t>
      </w:r>
      <w:r>
        <w:fldChar w:fldCharType="end"/>
      </w:r>
    </w:p>
    <w:p w:rsidR="001F24E8" w:rsidRDefault="001F24E8" w:rsidP="001F24E8">
      <w:pPr>
        <w:pStyle w:val="EntradandiceSumarioNivel2"/>
        <w:keepNext w:val="0"/>
      </w:pPr>
      <w:r>
        <w:t>F) Reales Decretos Legislativos</w:t>
      </w:r>
      <w:r>
        <w:tab/>
      </w:r>
      <w:r>
        <w:tab/>
      </w:r>
      <w:r>
        <w:fldChar w:fldCharType="begin"/>
      </w:r>
      <w:r>
        <w:instrText xml:space="preserve"> PAGEREF INDICE22847 \h </w:instrText>
      </w:r>
      <w:r>
        <w:fldChar w:fldCharType="separate"/>
      </w:r>
      <w:r w:rsidR="00AF4A65">
        <w:rPr>
          <w:noProof/>
        </w:rPr>
        <w:t>3402</w:t>
      </w:r>
      <w:r>
        <w:fldChar w:fldCharType="end"/>
      </w:r>
    </w:p>
    <w:p w:rsidR="001F24E8" w:rsidRDefault="001F24E8" w:rsidP="001F24E8">
      <w:pPr>
        <w:pStyle w:val="EntradandiceSumarioNivel2"/>
        <w:keepNext w:val="0"/>
      </w:pPr>
      <w:r>
        <w:t>G) Reales Decretos-leyes</w:t>
      </w:r>
      <w:r>
        <w:tab/>
      </w:r>
      <w:r>
        <w:tab/>
      </w:r>
      <w:r>
        <w:fldChar w:fldCharType="begin"/>
      </w:r>
      <w:r>
        <w:instrText xml:space="preserve"> PAGEREF INDICE22848 \h </w:instrText>
      </w:r>
      <w:r>
        <w:fldChar w:fldCharType="separate"/>
      </w:r>
      <w:r w:rsidR="00AF4A65">
        <w:rPr>
          <w:noProof/>
        </w:rPr>
        <w:t>3406</w:t>
      </w:r>
      <w:r>
        <w:fldChar w:fldCharType="end"/>
      </w:r>
    </w:p>
    <w:p w:rsidR="001F24E8" w:rsidRDefault="001F24E8" w:rsidP="001F24E8">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AF4A65">
        <w:rPr>
          <w:noProof/>
        </w:rPr>
        <w:t>3409</w:t>
      </w:r>
      <w:r>
        <w:fldChar w:fldCharType="end"/>
      </w:r>
    </w:p>
    <w:p w:rsidR="001F24E8" w:rsidRDefault="001F24E8" w:rsidP="001F24E8">
      <w:pPr>
        <w:pStyle w:val="EntradandiceSumarioNivel2"/>
        <w:keepNext w:val="0"/>
      </w:pPr>
      <w:r>
        <w:t>I) Legislación preconstitucional</w:t>
      </w:r>
      <w:r>
        <w:tab/>
      </w:r>
      <w:r>
        <w:tab/>
      </w:r>
      <w:r>
        <w:fldChar w:fldCharType="begin"/>
      </w:r>
      <w:r>
        <w:instrText xml:space="preserve"> PAGEREF INDICE22850 \h </w:instrText>
      </w:r>
      <w:r>
        <w:fldChar w:fldCharType="separate"/>
      </w:r>
      <w:r w:rsidR="00AF4A65">
        <w:rPr>
          <w:noProof/>
        </w:rPr>
        <w:t>3429</w:t>
      </w:r>
      <w:r>
        <w:fldChar w:fldCharType="end"/>
      </w:r>
    </w:p>
    <w:p w:rsidR="001F24E8" w:rsidRDefault="001F24E8" w:rsidP="001F24E8">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AF4A65">
        <w:rPr>
          <w:noProof/>
        </w:rPr>
        <w:t>3432</w:t>
      </w:r>
      <w:r>
        <w:fldChar w:fldCharType="end"/>
      </w:r>
    </w:p>
    <w:p w:rsidR="001F24E8" w:rsidRDefault="001F24E8" w:rsidP="001F24E8">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AF4A65">
        <w:rPr>
          <w:noProof/>
        </w:rPr>
        <w:t>3471</w:t>
      </w:r>
      <w:r>
        <w:fldChar w:fldCharType="end"/>
      </w:r>
    </w:p>
    <w:p w:rsidR="001F24E8" w:rsidRDefault="001F24E8" w:rsidP="001F24E8">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AF4A65">
        <w:rPr>
          <w:noProof/>
        </w:rPr>
        <w:t>3471</w:t>
      </w:r>
      <w:r>
        <w:fldChar w:fldCharType="end"/>
      </w:r>
    </w:p>
    <w:p w:rsidR="001F24E8" w:rsidRDefault="001F24E8" w:rsidP="001F24E8">
      <w:pPr>
        <w:pStyle w:val="EntradandiceSumarioNivel2"/>
        <w:keepNext w:val="0"/>
      </w:pPr>
      <w:r>
        <w:t>M) Unión Europea</w:t>
      </w:r>
      <w:r>
        <w:tab/>
      </w:r>
      <w:r>
        <w:tab/>
      </w:r>
      <w:r>
        <w:fldChar w:fldCharType="begin"/>
      </w:r>
      <w:r>
        <w:instrText xml:space="preserve"> PAGEREF INDICE22871 \h </w:instrText>
      </w:r>
      <w:r>
        <w:fldChar w:fldCharType="separate"/>
      </w:r>
      <w:r w:rsidR="00AF4A65">
        <w:rPr>
          <w:noProof/>
        </w:rPr>
        <w:t>3474</w:t>
      </w:r>
      <w:r>
        <w:fldChar w:fldCharType="end"/>
      </w:r>
    </w:p>
    <w:p w:rsidR="001F24E8" w:rsidRDefault="001F24E8" w:rsidP="001F24E8">
      <w:pPr>
        <w:pStyle w:val="EntradandiceSumarioNivel2"/>
        <w:keepNext w:val="0"/>
      </w:pPr>
      <w:r>
        <w:t>N) Consejo de Europa</w:t>
      </w:r>
      <w:r>
        <w:tab/>
      </w:r>
      <w:r>
        <w:tab/>
      </w:r>
      <w:r>
        <w:fldChar w:fldCharType="begin"/>
      </w:r>
      <w:r>
        <w:instrText xml:space="preserve"> PAGEREF INDICE27994 \h </w:instrText>
      </w:r>
      <w:r>
        <w:fldChar w:fldCharType="separate"/>
      </w:r>
      <w:r w:rsidR="00AF4A65">
        <w:rPr>
          <w:noProof/>
        </w:rPr>
        <w:t>3478</w:t>
      </w:r>
      <w:r>
        <w:fldChar w:fldCharType="end"/>
      </w:r>
    </w:p>
    <w:p w:rsidR="001F24E8" w:rsidRDefault="001F24E8" w:rsidP="001F24E8">
      <w:pPr>
        <w:pStyle w:val="EntradandiceSumarioNivel2"/>
        <w:keepNext w:val="0"/>
      </w:pPr>
      <w:r>
        <w:t>Ñ) Legislación extranjera</w:t>
      </w:r>
      <w:r>
        <w:tab/>
      </w:r>
      <w:r>
        <w:tab/>
      </w:r>
      <w:r>
        <w:fldChar w:fldCharType="begin"/>
      </w:r>
      <w:r>
        <w:instrText xml:space="preserve"> PAGEREF INDICE22872 \h </w:instrText>
      </w:r>
      <w:r>
        <w:fldChar w:fldCharType="separate"/>
      </w:r>
      <w:r w:rsidR="00AF4A65">
        <w:rPr>
          <w:noProof/>
        </w:rPr>
        <w:t>3479</w:t>
      </w:r>
      <w:r>
        <w:fldChar w:fldCharType="end"/>
      </w:r>
    </w:p>
    <w:p w:rsidR="001F24E8" w:rsidRDefault="001F24E8" w:rsidP="001F24E8"/>
    <w:p w:rsidR="001F24E8" w:rsidRDefault="001F24E8" w:rsidP="001F24E8">
      <w:pPr>
        <w:pStyle w:val="EntradandiceSumario"/>
        <w:keepNext w:val="0"/>
      </w:pPr>
      <w:r>
        <w:t>6.</w:t>
      </w:r>
      <w:r w:rsidR="009803CD">
        <w:t xml:space="preserve"> ÍNDICE DE RESOLUCIONES JUDICIALES DE OTROS TRIBUNALES CITADAS</w:t>
      </w:r>
      <w:r>
        <w:t>:</w:t>
      </w:r>
    </w:p>
    <w:p w:rsidR="001F24E8" w:rsidRDefault="001F24E8" w:rsidP="001F24E8">
      <w:pPr>
        <w:pStyle w:val="EntradandiceSumario"/>
        <w:keepNext w:val="0"/>
      </w:pPr>
    </w:p>
    <w:p w:rsidR="001F24E8" w:rsidRDefault="001F24E8" w:rsidP="001F24E8">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AF4A65">
        <w:rPr>
          <w:noProof/>
        </w:rPr>
        <w:t>3481</w:t>
      </w:r>
      <w:r>
        <w:fldChar w:fldCharType="end"/>
      </w:r>
    </w:p>
    <w:p w:rsidR="001F24E8" w:rsidRDefault="001F24E8" w:rsidP="001F24E8">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AF4A65">
        <w:rPr>
          <w:noProof/>
        </w:rPr>
        <w:t>3486</w:t>
      </w:r>
      <w:r>
        <w:fldChar w:fldCharType="end"/>
      </w:r>
    </w:p>
    <w:p w:rsidR="001F24E8" w:rsidRDefault="001F24E8" w:rsidP="001F24E8">
      <w:pPr>
        <w:pStyle w:val="EntradandiceSumarioNivel2"/>
        <w:keepNext w:val="0"/>
      </w:pPr>
      <w:r>
        <w:t>C) Tribunal Supremo</w:t>
      </w:r>
      <w:r>
        <w:tab/>
      </w:r>
      <w:r>
        <w:tab/>
      </w:r>
      <w:r>
        <w:fldChar w:fldCharType="begin"/>
      </w:r>
      <w:r>
        <w:instrText xml:space="preserve"> PAGEREF INDICE22925 \h </w:instrText>
      </w:r>
      <w:r>
        <w:fldChar w:fldCharType="separate"/>
      </w:r>
      <w:r w:rsidR="00AF4A65">
        <w:rPr>
          <w:noProof/>
        </w:rPr>
        <w:t>3488</w:t>
      </w:r>
      <w:r>
        <w:fldChar w:fldCharType="end"/>
      </w:r>
    </w:p>
    <w:p w:rsidR="001F24E8" w:rsidRDefault="001F24E8" w:rsidP="001F24E8">
      <w:pPr>
        <w:pStyle w:val="EntradandiceSumarioNivel2"/>
        <w:keepNext w:val="0"/>
      </w:pPr>
      <w:r>
        <w:t>D) Otros Tribunales</w:t>
      </w:r>
      <w:r>
        <w:tab/>
      </w:r>
      <w:r>
        <w:tab/>
      </w:r>
      <w:r>
        <w:fldChar w:fldCharType="begin"/>
      </w:r>
      <w:r>
        <w:instrText xml:space="preserve"> PAGEREF INDICE22926 \h </w:instrText>
      </w:r>
      <w:r>
        <w:fldChar w:fldCharType="separate"/>
      </w:r>
      <w:r w:rsidR="00AF4A65">
        <w:rPr>
          <w:noProof/>
        </w:rPr>
        <w:t>3489</w:t>
      </w:r>
      <w:r>
        <w:fldChar w:fldCharType="end"/>
      </w:r>
    </w:p>
    <w:p w:rsidR="001F24E8" w:rsidRDefault="001F24E8" w:rsidP="001F24E8"/>
    <w:p w:rsidR="001F24E8" w:rsidRDefault="001F24E8" w:rsidP="001F24E8">
      <w:pPr>
        <w:pStyle w:val="EntradandiceSumario"/>
        <w:keepNext w:val="0"/>
      </w:pPr>
      <w:r>
        <w:t>7. ÍNDICE ANALÍTICO</w:t>
      </w:r>
      <w:r>
        <w:tab/>
      </w:r>
      <w:r>
        <w:tab/>
      </w:r>
      <w:r>
        <w:fldChar w:fldCharType="begin"/>
      </w:r>
      <w:r>
        <w:instrText xml:space="preserve"> PAGEREF INDICE5ALFABETICO \h </w:instrText>
      </w:r>
      <w:r>
        <w:fldChar w:fldCharType="separate"/>
      </w:r>
      <w:r w:rsidR="00AF4A65">
        <w:rPr>
          <w:noProof/>
        </w:rPr>
        <w:t>3490</w:t>
      </w:r>
      <w:r>
        <w:fldChar w:fldCharType="end"/>
      </w:r>
    </w:p>
    <w:p w:rsidR="001F24E8" w:rsidRDefault="001F24E8" w:rsidP="001F24E8"/>
    <w:p w:rsidR="001F24E8" w:rsidRDefault="001F24E8" w:rsidP="001F24E8">
      <w:pPr>
        <w:pStyle w:val="EntradandiceSumario"/>
        <w:keepNext w:val="0"/>
      </w:pPr>
      <w:r>
        <w:t>8. ABREVIATURAS Y ACRÓNIMOS</w:t>
      </w:r>
      <w:r>
        <w:tab/>
      </w:r>
      <w:r>
        <w:tab/>
      </w:r>
      <w:r>
        <w:fldChar w:fldCharType="begin"/>
      </w:r>
      <w:r>
        <w:instrText xml:space="preserve"> PAGEREF ACRONIMOS \h </w:instrText>
      </w:r>
      <w:r>
        <w:fldChar w:fldCharType="separate"/>
      </w:r>
      <w:r w:rsidR="00AF4A65">
        <w:rPr>
          <w:noProof/>
        </w:rPr>
        <w:t>3528</w:t>
      </w:r>
      <w:r>
        <w:fldChar w:fldCharType="end"/>
      </w:r>
    </w:p>
    <w:p w:rsidR="001F24E8" w:rsidRDefault="001F24E8">
      <w:pPr>
        <w:spacing w:after="160" w:line="259" w:lineRule="auto"/>
        <w:rPr>
          <w:rFonts w:ascii="Times New Roman" w:eastAsia="Times New Roman" w:hAnsi="Times New Roman" w:cs="Times New Roman"/>
          <w:sz w:val="24"/>
          <w:szCs w:val="24"/>
          <w:lang w:eastAsia="es-ES"/>
        </w:rPr>
      </w:pPr>
      <w:r>
        <w:br w:type="page"/>
      </w:r>
    </w:p>
    <w:p w:rsidR="001F24E8" w:rsidRDefault="001F24E8" w:rsidP="001F24E8">
      <w:pPr>
        <w:pStyle w:val="EntradandiceSumario"/>
        <w:keepNext w:val="0"/>
      </w:pPr>
    </w:p>
    <w:p w:rsidR="001F24E8" w:rsidRDefault="001F24E8" w:rsidP="001F24E8"/>
    <w:p w:rsidR="001F24E8" w:rsidRDefault="001F24E8" w:rsidP="001F24E8"/>
    <w:p w:rsidR="001F24E8" w:rsidRDefault="001F24E8" w:rsidP="001F24E8">
      <w:pPr>
        <w:pStyle w:val="Ttulondice"/>
      </w:pPr>
      <w:bookmarkStart w:id="2" w:name="SUMARIOSENTENCIAS"/>
      <w:r>
        <w:t>1. SENTENCIAS: STC 1/2013 A STC 138/2013</w:t>
      </w:r>
    </w:p>
    <w:bookmarkEnd w:id="2"/>
    <w:p w:rsidR="001F24E8" w:rsidRDefault="001F24E8" w:rsidP="001F24E8">
      <w:pPr>
        <w:pStyle w:val="Ttulondice"/>
      </w:pPr>
    </w:p>
    <w:p w:rsidR="001F24E8" w:rsidRDefault="001F24E8" w:rsidP="001F24E8">
      <w:pPr>
        <w:pStyle w:val="Ttulondice"/>
      </w:pPr>
    </w:p>
    <w:p w:rsidR="001F24E8" w:rsidRDefault="001F24E8" w:rsidP="001F24E8">
      <w:pPr>
        <w:pStyle w:val="Ttulondice"/>
      </w:pPr>
    </w:p>
    <w:p w:rsidR="001F24E8" w:rsidRDefault="001F24E8" w:rsidP="001F24E8">
      <w:pPr>
        <w:pStyle w:val="Ttulondice"/>
      </w:pPr>
    </w:p>
    <w:p w:rsidR="001F24E8" w:rsidRDefault="001F24E8" w:rsidP="001F24E8">
      <w:pPr>
        <w:pStyle w:val="Ttulondice"/>
      </w:pPr>
    </w:p>
    <w:p w:rsidR="001F24E8" w:rsidRDefault="001F24E8" w:rsidP="001F24E8">
      <w:pPr>
        <w:pStyle w:val="Ttulondice"/>
      </w:pPr>
    </w:p>
    <w:p w:rsidR="001F24E8" w:rsidRDefault="001F24E8" w:rsidP="001F24E8">
      <w:pPr>
        <w:pStyle w:val="EntradandiceSentencia"/>
      </w:pPr>
      <w:r>
        <w:t>Sala Primera. Sentencia 1/2013, de 14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2271-2011. </w:t>
      </w:r>
      <w:r w:rsidRPr="001F24E8">
        <w:rPr>
          <w:rStyle w:val="TextoNormalCursivaCaracter"/>
        </w:rPr>
        <w:t xml:space="preserve"> Vulneración del derecho a la tutela judicial efectiva (resolución fundada en Derecho): apartamiento consciente de una doctrina reiterada y conocida del Tribunal Constitucional que conlleva una apreciación sobre la prescripción del delito que no ofrece una tutela reforzada de la libertad personal del acusado (STC 59/2010).</w:t>
      </w:r>
      <w:r>
        <w:tab/>
      </w:r>
      <w:r>
        <w:tab/>
      </w:r>
      <w:r>
        <w:fldChar w:fldCharType="begin"/>
      </w:r>
      <w:r>
        <w:instrText xml:space="preserve"> PAGEREF SENTENCIA_2013_1 \h </w:instrText>
      </w:r>
      <w:r>
        <w:fldChar w:fldCharType="separate"/>
      </w:r>
      <w:r w:rsidR="00AF4A65">
        <w:rPr>
          <w:noProof/>
        </w:rPr>
        <w:t>50</w:t>
      </w:r>
      <w:r>
        <w:fldChar w:fldCharType="end"/>
      </w:r>
    </w:p>
    <w:p w:rsidR="0026452D" w:rsidRDefault="0026452D" w:rsidP="001F24E8"/>
    <w:p w:rsidR="001F24E8" w:rsidRDefault="001F24E8" w:rsidP="001F24E8">
      <w:pPr>
        <w:pStyle w:val="EntradandiceSentencia"/>
      </w:pPr>
      <w:r>
        <w:t>Sala Primera. Sentencia 2/2013, de 14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563-2012. </w:t>
      </w:r>
      <w:r w:rsidRPr="001F24E8">
        <w:rPr>
          <w:rStyle w:val="TextoNormalCursivaCaracter"/>
        </w:rPr>
        <w:t xml:space="preserve"> Vulneración del derecho a la tutela judicial efectiva (resolución fundada en Derecho): Sentencia de apelación que se aparta conscientemente de una doctrina reiterada y conocida del Tribunal Constitucional (STC 59/2010).</w:t>
      </w:r>
      <w:r>
        <w:tab/>
      </w:r>
      <w:r>
        <w:tab/>
      </w:r>
      <w:r>
        <w:fldChar w:fldCharType="begin"/>
      </w:r>
      <w:r>
        <w:instrText xml:space="preserve"> PAGEREF SENTENCIA_2013_2 \h </w:instrText>
      </w:r>
      <w:r>
        <w:fldChar w:fldCharType="separate"/>
      </w:r>
      <w:r w:rsidR="00AF4A65">
        <w:rPr>
          <w:noProof/>
        </w:rPr>
        <w:t>58</w:t>
      </w:r>
      <w:r>
        <w:fldChar w:fldCharType="end"/>
      </w:r>
    </w:p>
    <w:p w:rsidR="001F24E8" w:rsidRDefault="001F24E8" w:rsidP="001F24E8"/>
    <w:p w:rsidR="001F24E8" w:rsidRDefault="001F24E8" w:rsidP="001F24E8">
      <w:pPr>
        <w:pStyle w:val="EntradandiceSentencia"/>
      </w:pPr>
      <w:r>
        <w:t>Pleno. Sentencia 3/2013, de 17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1893-2002. </w:t>
      </w:r>
      <w:r w:rsidRPr="001F24E8">
        <w:rPr>
          <w:rStyle w:val="TextoNormalCursivaCaracter"/>
        </w:rPr>
        <w:t xml:space="preserve"> Competencias sobre colegios profesionales: nulidad del precepto legal que establece los supuestos de colegiación obligatoria de los funcionarios públicos autonómicos.</w:t>
      </w:r>
      <w:r>
        <w:tab/>
      </w:r>
      <w:r>
        <w:tab/>
      </w:r>
      <w:r>
        <w:fldChar w:fldCharType="begin"/>
      </w:r>
      <w:r>
        <w:instrText xml:space="preserve"> PAGEREF SENTENCIA_2013_3 \h </w:instrText>
      </w:r>
      <w:r>
        <w:fldChar w:fldCharType="separate"/>
      </w:r>
      <w:r w:rsidR="00AF4A65">
        <w:rPr>
          <w:noProof/>
        </w:rPr>
        <w:t>75</w:t>
      </w:r>
      <w:r>
        <w:fldChar w:fldCharType="end"/>
      </w:r>
    </w:p>
    <w:p w:rsidR="001F24E8" w:rsidRDefault="001F24E8" w:rsidP="001F24E8"/>
    <w:p w:rsidR="001F24E8" w:rsidRDefault="001F24E8" w:rsidP="001F24E8">
      <w:pPr>
        <w:pStyle w:val="EntradandiceSentencia"/>
      </w:pPr>
      <w:r>
        <w:t>Pleno. Sentencia 4/2013, de 17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4573-2002. </w:t>
      </w:r>
      <w:r w:rsidRPr="001F24E8">
        <w:rPr>
          <w:rStyle w:val="TextoNormalCursivaCaracter"/>
        </w:rPr>
        <w:t xml:space="preserve"> Competencias sobre ordenación general de la economía, régimen energético y defensa de los consumidores: nulidad del precepto legal que impone la vigencia de un mismo nivel de calidad de suministro de energía eléctrica en todo el territorio autonómico; interpretación </w:t>
      </w:r>
      <w:r w:rsidRPr="001F24E8">
        <w:rPr>
          <w:rStyle w:val="TextoNormalCursivaCaracter"/>
        </w:rPr>
        <w:lastRenderedPageBreak/>
        <w:t>del precepto relativo a la reducción de la factura por consumo de energía eléctrica resultante de la pérdida de la calidad del suministro.</w:t>
      </w:r>
      <w:r>
        <w:tab/>
      </w:r>
      <w:r>
        <w:tab/>
      </w:r>
      <w:r>
        <w:fldChar w:fldCharType="begin"/>
      </w:r>
      <w:r>
        <w:instrText xml:space="preserve"> PAGEREF SENTENCIA_2013_4 \h </w:instrText>
      </w:r>
      <w:r>
        <w:fldChar w:fldCharType="separate"/>
      </w:r>
      <w:r w:rsidR="00AF4A65">
        <w:rPr>
          <w:noProof/>
        </w:rPr>
        <w:t>91</w:t>
      </w:r>
      <w:r>
        <w:fldChar w:fldCharType="end"/>
      </w:r>
    </w:p>
    <w:p w:rsidR="001F24E8" w:rsidRDefault="001F24E8" w:rsidP="001F24E8"/>
    <w:p w:rsidR="001F24E8" w:rsidRDefault="001F24E8" w:rsidP="001F24E8">
      <w:pPr>
        <w:pStyle w:val="EntradandiceSentencia"/>
      </w:pPr>
      <w:r>
        <w:t>Pleno. Sentencia 5/2013, de 17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5762-2002. </w:t>
      </w:r>
      <w:r w:rsidRPr="001F24E8">
        <w:rPr>
          <w:rStyle w:val="TextoNormalCursivaCaracter"/>
        </w:rPr>
        <w:t xml:space="preserve"> Competencias sobre medio ambiente, infraestructuras de transporte y sistema de responsabilidad de las Administraciones públicas: inaplicabilidad a las infraestructuras de titularidad estatal del precepto legal autonómico relativo al plan de medidas para minimizar el impacto acústico. Voto particular.</w:t>
      </w:r>
      <w:r>
        <w:tab/>
      </w:r>
      <w:r>
        <w:tab/>
      </w:r>
      <w:r>
        <w:fldChar w:fldCharType="begin"/>
      </w:r>
      <w:r>
        <w:instrText xml:space="preserve"> PAGEREF SENTENCIA_2013_5 \h </w:instrText>
      </w:r>
      <w:r>
        <w:fldChar w:fldCharType="separate"/>
      </w:r>
      <w:r w:rsidR="00AF4A65">
        <w:rPr>
          <w:noProof/>
        </w:rPr>
        <w:t>114</w:t>
      </w:r>
      <w:r>
        <w:fldChar w:fldCharType="end"/>
      </w:r>
    </w:p>
    <w:p w:rsidR="001F24E8" w:rsidRDefault="001F24E8" w:rsidP="001F24E8"/>
    <w:p w:rsidR="001F24E8" w:rsidRDefault="001F24E8" w:rsidP="001F24E8">
      <w:pPr>
        <w:pStyle w:val="EntradandiceSentencia"/>
      </w:pPr>
      <w:r>
        <w:t>Pleno. Sentencia 6/2013, de 17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1661-2003. </w:t>
      </w:r>
      <w:r w:rsidRPr="001F24E8">
        <w:rPr>
          <w:rStyle w:val="TextoNormalCursivaCaracter"/>
        </w:rPr>
        <w:t xml:space="preserve"> Competencias sobre educación: constitucionalidad de las disposiciones legales estatales (STC 184/2012).</w:t>
      </w:r>
      <w:r>
        <w:tab/>
      </w:r>
      <w:r>
        <w:tab/>
      </w:r>
      <w:r>
        <w:fldChar w:fldCharType="begin"/>
      </w:r>
      <w:r>
        <w:instrText xml:space="preserve"> PAGEREF SENTENCIA_2013_6 \h </w:instrText>
      </w:r>
      <w:r>
        <w:fldChar w:fldCharType="separate"/>
      </w:r>
      <w:r w:rsidR="00AF4A65">
        <w:rPr>
          <w:noProof/>
        </w:rPr>
        <w:t>135</w:t>
      </w:r>
      <w:r>
        <w:fldChar w:fldCharType="end"/>
      </w:r>
    </w:p>
    <w:p w:rsidR="001F24E8" w:rsidRDefault="001F24E8" w:rsidP="001F24E8"/>
    <w:p w:rsidR="001F24E8" w:rsidRDefault="001F24E8" w:rsidP="001F24E8">
      <w:pPr>
        <w:pStyle w:val="EntradandiceSentencia"/>
      </w:pPr>
      <w:r>
        <w:t>Pleno. Sentencia 7/2013, de 17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3030-2006. </w:t>
      </w:r>
      <w:r w:rsidRPr="001F24E8">
        <w:rPr>
          <w:rStyle w:val="TextoNormalCursivaCaracter"/>
        </w:rPr>
        <w:t xml:space="preserve"> Competencias sobre legislación laboral, régimen jurídico de las Administraciones públicas y régimen estatutario de los funcionarios públicos: competencias de ejecución cuyo ejercicio corresponde a la Generalitat de Cataluña (STC 225/2012).</w:t>
      </w:r>
      <w:r>
        <w:tab/>
      </w:r>
      <w:r>
        <w:tab/>
      </w:r>
      <w:r>
        <w:fldChar w:fldCharType="begin"/>
      </w:r>
      <w:r>
        <w:instrText xml:space="preserve"> PAGEREF SENTENCIA_2013_7 \h </w:instrText>
      </w:r>
      <w:r>
        <w:fldChar w:fldCharType="separate"/>
      </w:r>
      <w:r w:rsidR="00AF4A65">
        <w:rPr>
          <w:noProof/>
        </w:rPr>
        <w:t>151</w:t>
      </w:r>
      <w:r>
        <w:fldChar w:fldCharType="end"/>
      </w:r>
    </w:p>
    <w:p w:rsidR="001F24E8" w:rsidRDefault="001F24E8" w:rsidP="001F24E8"/>
    <w:p w:rsidR="001F24E8" w:rsidRDefault="001F24E8" w:rsidP="001F24E8">
      <w:pPr>
        <w:pStyle w:val="EntradandiceSentencia"/>
      </w:pPr>
      <w:r>
        <w:t>Pleno. Sentencia 8/2013, de 17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2586-2008. </w:t>
      </w:r>
      <w:r w:rsidRPr="001F24E8">
        <w:rPr>
          <w:rStyle w:val="TextoNormalCursivaCaracter"/>
        </w:rPr>
        <w:t xml:space="preserve"> Competencias sobre ordenación general de la economía y régimen energético: constitucionalidad del precepto legal que atribuye a la Administración del Estado la competencia para otorgar las autorizaciones de exploración y permisos de investigación que afecten al subsuelo marino.</w:t>
      </w:r>
      <w:r>
        <w:tab/>
      </w:r>
      <w:r>
        <w:tab/>
      </w:r>
      <w:r>
        <w:fldChar w:fldCharType="begin"/>
      </w:r>
      <w:r>
        <w:instrText xml:space="preserve"> PAGEREF SENTENCIA_2013_8 \h </w:instrText>
      </w:r>
      <w:r>
        <w:fldChar w:fldCharType="separate"/>
      </w:r>
      <w:r w:rsidR="00AF4A65">
        <w:rPr>
          <w:noProof/>
        </w:rPr>
        <w:t>170</w:t>
      </w:r>
      <w:r>
        <w:fldChar w:fldCharType="end"/>
      </w:r>
    </w:p>
    <w:p w:rsidR="001F24E8" w:rsidRDefault="001F24E8" w:rsidP="001F24E8"/>
    <w:p w:rsidR="001F24E8" w:rsidRDefault="001F24E8" w:rsidP="001F24E8">
      <w:pPr>
        <w:pStyle w:val="EntradandiceSentencia"/>
      </w:pPr>
      <w:r>
        <w:t>Sala Primera. Sentencia 9/2013, de 28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2159/2008. </w:t>
      </w:r>
      <w:r w:rsidRPr="001F24E8">
        <w:rPr>
          <w:rStyle w:val="TextoNormalCursivaCaracter"/>
        </w:rPr>
        <w:t xml:space="preserve"> Límites materiales a las leyes de presupuestos: nulidad del precepto legal que establece la titulación necesaria para acceder al cuerpo superior de auditores del Tribunal de Cuentas (STC 32/2000).</w:t>
      </w:r>
      <w:r>
        <w:tab/>
      </w:r>
      <w:r>
        <w:tab/>
      </w:r>
      <w:r>
        <w:fldChar w:fldCharType="begin"/>
      </w:r>
      <w:r>
        <w:instrText xml:space="preserve"> PAGEREF SENTENCIA_2013_9 \h </w:instrText>
      </w:r>
      <w:r>
        <w:fldChar w:fldCharType="separate"/>
      </w:r>
      <w:r w:rsidR="00AF4A65">
        <w:rPr>
          <w:noProof/>
        </w:rPr>
        <w:t>188</w:t>
      </w:r>
      <w:r>
        <w:fldChar w:fldCharType="end"/>
      </w:r>
    </w:p>
    <w:p w:rsidR="001F24E8" w:rsidRDefault="001F24E8" w:rsidP="001F24E8"/>
    <w:p w:rsidR="001F24E8" w:rsidRDefault="001F24E8" w:rsidP="001F24E8">
      <w:pPr>
        <w:pStyle w:val="EntradandiceSentencia"/>
      </w:pPr>
      <w:r>
        <w:lastRenderedPageBreak/>
        <w:t>Sala Segunda. Sentencia 10/2013, de 28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2741-2010. </w:t>
      </w:r>
      <w:r w:rsidRPr="001F24E8">
        <w:rPr>
          <w:rStyle w:val="TextoNormalCursivaCaracter"/>
        </w:rPr>
        <w:t xml:space="preserve"> Supuesta vulneración de los derechos al ejercicio de los cargos públicos y a la tutela judicial efectiva: disolución de grupos municipales coherente con las resoluciones judiciales declaratorias de la ilegalidad de un partido político y que no lesiona la función representativa de los concejales que los integraban.</w:t>
      </w:r>
      <w:r>
        <w:tab/>
      </w:r>
      <w:r>
        <w:tab/>
      </w:r>
      <w:r>
        <w:fldChar w:fldCharType="begin"/>
      </w:r>
      <w:r>
        <w:instrText xml:space="preserve"> PAGEREF SENTENCIA_2013_10 \h </w:instrText>
      </w:r>
      <w:r>
        <w:fldChar w:fldCharType="separate"/>
      </w:r>
      <w:r w:rsidR="00AF4A65">
        <w:rPr>
          <w:noProof/>
        </w:rPr>
        <w:t>198</w:t>
      </w:r>
      <w:r>
        <w:fldChar w:fldCharType="end"/>
      </w:r>
    </w:p>
    <w:p w:rsidR="001F24E8" w:rsidRDefault="001F24E8" w:rsidP="001F24E8"/>
    <w:p w:rsidR="001F24E8" w:rsidRDefault="001F24E8" w:rsidP="001F24E8">
      <w:pPr>
        <w:pStyle w:val="EntradandiceSentencia"/>
      </w:pPr>
      <w:r>
        <w:t>Sala Segunda. Sentencia 11/2013, de 28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6052-2010. </w:t>
      </w:r>
      <w:r w:rsidRPr="001F24E8">
        <w:rPr>
          <w:rStyle w:val="TextoNormalCursivaCaracter"/>
        </w:rPr>
        <w:t xml:space="preserve"> Vulneración del derecho a la igualdad en la aplicación de la ley: Sección de apoyo de una Sala que no justifica el abandono del criterio que venía manteniendo la sección ordinaria (STC 122/2001).</w:t>
      </w:r>
      <w:r>
        <w:tab/>
      </w:r>
      <w:r>
        <w:tab/>
      </w:r>
      <w:r>
        <w:fldChar w:fldCharType="begin"/>
      </w:r>
      <w:r>
        <w:instrText xml:space="preserve"> PAGEREF SENTENCIA_2013_11 \h </w:instrText>
      </w:r>
      <w:r>
        <w:fldChar w:fldCharType="separate"/>
      </w:r>
      <w:r w:rsidR="00AF4A65">
        <w:rPr>
          <w:noProof/>
        </w:rPr>
        <w:t>217</w:t>
      </w:r>
      <w:r>
        <w:fldChar w:fldCharType="end"/>
      </w:r>
    </w:p>
    <w:p w:rsidR="001F24E8" w:rsidRDefault="001F24E8" w:rsidP="001F24E8"/>
    <w:p w:rsidR="001F24E8" w:rsidRDefault="001F24E8" w:rsidP="001F24E8">
      <w:pPr>
        <w:pStyle w:val="EntradandiceSentencia"/>
      </w:pPr>
      <w:r>
        <w:t>Sala Segunda. Sentencia 12/2013, de 28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326-2011. </w:t>
      </w:r>
      <w:r w:rsidRPr="001F24E8">
        <w:rPr>
          <w:rStyle w:val="TextoNormalCursivaCaracter"/>
        </w:rPr>
        <w:t xml:space="preserve"> Supuesta vulneración de los derechos a no ser sometido a torturas ni a tratos inhumanos o degradantes, a la tutela judicial y a un proceso con todas las garantías: investigación suficiente de una denuncia de tortura o tratos inhumanos y degradantes que se dicen sufridos bajo custodia policial (STC 182/2012). Voto particular.</w:t>
      </w:r>
      <w:r>
        <w:tab/>
      </w:r>
      <w:r>
        <w:tab/>
      </w:r>
      <w:r>
        <w:fldChar w:fldCharType="begin"/>
      </w:r>
      <w:r>
        <w:instrText xml:space="preserve"> PAGEREF SENTENCIA_2013_12 \h </w:instrText>
      </w:r>
      <w:r>
        <w:fldChar w:fldCharType="separate"/>
      </w:r>
      <w:r w:rsidR="00AF4A65">
        <w:rPr>
          <w:noProof/>
        </w:rPr>
        <w:t>233</w:t>
      </w:r>
      <w:r>
        <w:fldChar w:fldCharType="end"/>
      </w:r>
    </w:p>
    <w:p w:rsidR="001F24E8" w:rsidRDefault="001F24E8" w:rsidP="001F24E8"/>
    <w:p w:rsidR="001F24E8" w:rsidRDefault="001F24E8" w:rsidP="001F24E8">
      <w:pPr>
        <w:pStyle w:val="EntradandiceSentencia"/>
      </w:pPr>
      <w:r>
        <w:t>Sala Primera. Sentencia 13/2013, de 28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Cuestión de inconstitucionalidad 5371-2011. </w:t>
      </w:r>
      <w:r w:rsidRPr="001F24E8">
        <w:rPr>
          <w:rStyle w:val="TextoNormalCursivaCaracter"/>
        </w:rPr>
        <w:t xml:space="preserve"> Derecho a la legalidad sancionadora: nulidad del precepto legal que vulnera la garantía formal del principio de legalidad sancionadora al remitir al reglamento la definición de los elementos esenciales de la conducta infractora.</w:t>
      </w:r>
      <w:r>
        <w:tab/>
      </w:r>
      <w:r>
        <w:tab/>
      </w:r>
      <w:r>
        <w:fldChar w:fldCharType="begin"/>
      </w:r>
      <w:r>
        <w:instrText xml:space="preserve"> PAGEREF SENTENCIA_2013_13 \h </w:instrText>
      </w:r>
      <w:r>
        <w:fldChar w:fldCharType="separate"/>
      </w:r>
      <w:r w:rsidR="00AF4A65">
        <w:rPr>
          <w:noProof/>
        </w:rPr>
        <w:t>255</w:t>
      </w:r>
      <w:r>
        <w:fldChar w:fldCharType="end"/>
      </w:r>
    </w:p>
    <w:p w:rsidR="001F24E8" w:rsidRDefault="001F24E8" w:rsidP="001F24E8"/>
    <w:p w:rsidR="001F24E8" w:rsidRDefault="001F24E8" w:rsidP="001F24E8">
      <w:pPr>
        <w:pStyle w:val="EntradandiceSentencia"/>
      </w:pPr>
      <w:r>
        <w:t>Pleno. Sentencia 14/2013, de 31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2521-2002. </w:t>
      </w:r>
      <w:r w:rsidRPr="001F24E8">
        <w:rPr>
          <w:rStyle w:val="TextoNormalCursivaCaracter"/>
        </w:rPr>
        <w:t xml:space="preserve"> Competencias sobre archivos y cultura: constitucionalidad de los preceptos legales autonómicos que integran en el sistema de archivos de Cataluña el Archivo de la Corona de Aragón y los archivos históricos provinciales (STC 103/1988).</w:t>
      </w:r>
      <w:r>
        <w:tab/>
      </w:r>
      <w:r>
        <w:tab/>
      </w:r>
      <w:r>
        <w:fldChar w:fldCharType="begin"/>
      </w:r>
      <w:r>
        <w:instrText xml:space="preserve"> PAGEREF SENTENCIA_2013_14 \h </w:instrText>
      </w:r>
      <w:r>
        <w:fldChar w:fldCharType="separate"/>
      </w:r>
      <w:r w:rsidR="00AF4A65">
        <w:rPr>
          <w:noProof/>
        </w:rPr>
        <w:t>266</w:t>
      </w:r>
      <w:r>
        <w:fldChar w:fldCharType="end"/>
      </w:r>
    </w:p>
    <w:p w:rsidR="001F24E8" w:rsidRDefault="001F24E8" w:rsidP="001F24E8"/>
    <w:p w:rsidR="001F24E8" w:rsidRDefault="001F24E8" w:rsidP="001F24E8">
      <w:pPr>
        <w:pStyle w:val="EntradandiceSentencia"/>
      </w:pPr>
      <w:r>
        <w:t>Pleno. Sentencia 15/2013, de 31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6326-2003. </w:t>
      </w:r>
      <w:r w:rsidRPr="001F24E8">
        <w:rPr>
          <w:rStyle w:val="TextoNormalCursivaCaracter"/>
        </w:rPr>
        <w:t xml:space="preserve"> Competencias sobre educación: validez de las disposiciones reglamentarias relativas a los contenidos y horarios </w:t>
      </w:r>
      <w:r w:rsidRPr="001F24E8">
        <w:rPr>
          <w:rStyle w:val="TextoNormalCursivaCaracter"/>
        </w:rPr>
        <w:lastRenderedPageBreak/>
        <w:t>de las áreas lingüísticas con las que se persigue garantizar el conocimiento del castellano sin detrimento de las lenguas cooficiales (STC 87/1983).</w:t>
      </w:r>
      <w:r>
        <w:tab/>
      </w:r>
      <w:r>
        <w:tab/>
      </w:r>
      <w:r>
        <w:fldChar w:fldCharType="begin"/>
      </w:r>
      <w:r>
        <w:instrText xml:space="preserve"> PAGEREF SENTENCIA_2013_15 \h </w:instrText>
      </w:r>
      <w:r>
        <w:fldChar w:fldCharType="separate"/>
      </w:r>
      <w:r w:rsidR="00AF4A65">
        <w:rPr>
          <w:noProof/>
        </w:rPr>
        <w:t>283</w:t>
      </w:r>
      <w:r>
        <w:fldChar w:fldCharType="end"/>
      </w:r>
    </w:p>
    <w:p w:rsidR="001F24E8" w:rsidRDefault="001F24E8" w:rsidP="001F24E8"/>
    <w:p w:rsidR="001F24E8" w:rsidRDefault="001F24E8" w:rsidP="001F24E8">
      <w:pPr>
        <w:pStyle w:val="EntradandiceSentencia"/>
      </w:pPr>
      <w:r>
        <w:t>Pleno. Sentencia 16/2013, de 31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122-2004. </w:t>
      </w:r>
      <w:r w:rsidRPr="001F24E8">
        <w:rPr>
          <w:rStyle w:val="TextoNormalCursivaCaracter"/>
        </w:rPr>
        <w:t xml:space="preserve"> Competencias en materia laboral: atribución a la Administración del Estado del ejercicio de funciones ejecutivas que vulnera las competencias de la Junta de Galicia al basarse exclusivamente en los efectos territoriales de las actuaciones; interpretación conforme de preceptos reglamentarios relativos a la Fundación Estatal para la Formación en el Empleo (STC 244/2012). Voto particular.</w:t>
      </w:r>
      <w:r>
        <w:tab/>
      </w:r>
      <w:r>
        <w:tab/>
      </w:r>
      <w:r>
        <w:fldChar w:fldCharType="begin"/>
      </w:r>
      <w:r>
        <w:instrText xml:space="preserve"> PAGEREF SENTENCIA_2013_16 \h </w:instrText>
      </w:r>
      <w:r>
        <w:fldChar w:fldCharType="separate"/>
      </w:r>
      <w:r w:rsidR="00AF4A65">
        <w:rPr>
          <w:noProof/>
        </w:rPr>
        <w:t>297</w:t>
      </w:r>
      <w:r>
        <w:fldChar w:fldCharType="end"/>
      </w:r>
    </w:p>
    <w:p w:rsidR="001F24E8" w:rsidRDefault="001F24E8" w:rsidP="001F24E8"/>
    <w:p w:rsidR="001F24E8" w:rsidRDefault="001F24E8" w:rsidP="001F24E8">
      <w:pPr>
        <w:pStyle w:val="EntradandiceSentencia"/>
      </w:pPr>
      <w:r>
        <w:t>Pleno. Sentencia 17/2013, de 31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1024-2004. </w:t>
      </w:r>
      <w:r w:rsidRPr="001F24E8">
        <w:rPr>
          <w:rStyle w:val="TextoNormalCursivaCaracter"/>
        </w:rPr>
        <w:t xml:space="preserve"> Derecho a la protección de datos; garantías del procedimiento administrativo sancionador y competencias en materia de procedimiento administrativo: interpretación conforme de los preceptos legales relativos a la comunicación interadministrativa de datos, el acceso a los datos del padrón y los registros de personas y bienes de los extranjeros internados (SSTC 292/2000 y 236/2007). Voto particular.</w:t>
      </w:r>
      <w:r>
        <w:tab/>
      </w:r>
      <w:r>
        <w:tab/>
      </w:r>
      <w:r>
        <w:fldChar w:fldCharType="begin"/>
      </w:r>
      <w:r>
        <w:instrText xml:space="preserve"> PAGEREF SENTENCIA_2013_17 \h </w:instrText>
      </w:r>
      <w:r>
        <w:fldChar w:fldCharType="separate"/>
      </w:r>
      <w:r w:rsidR="00AF4A65">
        <w:rPr>
          <w:noProof/>
        </w:rPr>
        <w:t>316</w:t>
      </w:r>
      <w:r>
        <w:fldChar w:fldCharType="end"/>
      </w:r>
    </w:p>
    <w:p w:rsidR="001F24E8" w:rsidRDefault="001F24E8" w:rsidP="001F24E8"/>
    <w:p w:rsidR="001F24E8" w:rsidRDefault="001F24E8" w:rsidP="001F24E8">
      <w:pPr>
        <w:pStyle w:val="EntradandiceSentencia"/>
      </w:pPr>
      <w:r>
        <w:t>Pleno. Sentencia 18/2013, de 31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5280-2004. </w:t>
      </w:r>
      <w:r w:rsidRPr="001F24E8">
        <w:rPr>
          <w:rStyle w:val="TextoNormalCursivaCaracter"/>
        </w:rPr>
        <w:t xml:space="preserve"> Competencias sobre Administración de Justicia: convocatoria de provisión de puestos de secretarios judiciales que no afecta a las competencias ejecutivas autonómicas (STC 224/2012).</w:t>
      </w:r>
      <w:r>
        <w:tab/>
      </w:r>
      <w:r>
        <w:tab/>
      </w:r>
      <w:r>
        <w:fldChar w:fldCharType="begin"/>
      </w:r>
      <w:r>
        <w:instrText xml:space="preserve"> PAGEREF SENTENCIA_2013_18 \h </w:instrText>
      </w:r>
      <w:r>
        <w:fldChar w:fldCharType="separate"/>
      </w:r>
      <w:r w:rsidR="00AF4A65">
        <w:rPr>
          <w:noProof/>
        </w:rPr>
        <w:t>372</w:t>
      </w:r>
      <w:r>
        <w:fldChar w:fldCharType="end"/>
      </w:r>
    </w:p>
    <w:p w:rsidR="001F24E8" w:rsidRDefault="001F24E8" w:rsidP="001F24E8"/>
    <w:p w:rsidR="001F24E8" w:rsidRDefault="001F24E8" w:rsidP="001F24E8">
      <w:pPr>
        <w:pStyle w:val="EntradandiceSentencia"/>
      </w:pPr>
      <w:r>
        <w:t>Pleno. Sentencia 19/2013, de 31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6595-2005. </w:t>
      </w:r>
      <w:r w:rsidRPr="001F24E8">
        <w:rPr>
          <w:rStyle w:val="TextoNormalCursivaCaracter"/>
        </w:rPr>
        <w:t xml:space="preserve"> Principios de participación, interdicción de la arbitrariedad y utilización racional de los recursos naturales: constitucionalidad tanto de la derogación de las previsiones de la Ley del plan hidrológico nacional relativas al trasvase de aguas del Ebro (STC 237/2012), como de los preceptos relativos a la elaboración y aprobación del plan integral de protección del Delta del Ebro (STC 195/2012).</w:t>
      </w:r>
      <w:r>
        <w:tab/>
      </w:r>
      <w:r>
        <w:tab/>
      </w:r>
      <w:r>
        <w:fldChar w:fldCharType="begin"/>
      </w:r>
      <w:r>
        <w:instrText xml:space="preserve"> PAGEREF SENTENCIA_2013_19 \h </w:instrText>
      </w:r>
      <w:r>
        <w:fldChar w:fldCharType="separate"/>
      </w:r>
      <w:r w:rsidR="00AF4A65">
        <w:rPr>
          <w:noProof/>
        </w:rPr>
        <w:t>389</w:t>
      </w:r>
      <w:r>
        <w:fldChar w:fldCharType="end"/>
      </w:r>
    </w:p>
    <w:p w:rsidR="001F24E8" w:rsidRDefault="001F24E8" w:rsidP="001F24E8"/>
    <w:p w:rsidR="001F24E8" w:rsidRDefault="001F24E8" w:rsidP="001F24E8">
      <w:pPr>
        <w:pStyle w:val="EntradandiceSentencia"/>
      </w:pPr>
      <w:r>
        <w:t>Pleno. Sentencia 20/2013, de 31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9007-2005. </w:t>
      </w:r>
      <w:r w:rsidRPr="001F24E8">
        <w:rPr>
          <w:rStyle w:val="TextoNormalCursivaCaracter"/>
        </w:rPr>
        <w:t xml:space="preserve"> Principios de interdicción de la arbitrariedad y protección del patrimonio cultural; competencias en materia de </w:t>
      </w:r>
      <w:r w:rsidRPr="001F24E8">
        <w:rPr>
          <w:rStyle w:val="TextoNormalCursivaCaracter"/>
        </w:rPr>
        <w:lastRenderedPageBreak/>
        <w:t>archivos: constitucionalidad de los preceptos legales estatales que establecen un régimen especial para Cataluña de devolución de documentos.</w:t>
      </w:r>
      <w:r>
        <w:tab/>
      </w:r>
      <w:r>
        <w:tab/>
      </w:r>
      <w:r>
        <w:fldChar w:fldCharType="begin"/>
      </w:r>
      <w:r>
        <w:instrText xml:space="preserve"> PAGEREF SENTENCIA_2013_20 \h </w:instrText>
      </w:r>
      <w:r>
        <w:fldChar w:fldCharType="separate"/>
      </w:r>
      <w:r w:rsidR="00AF4A65">
        <w:rPr>
          <w:noProof/>
        </w:rPr>
        <w:t>410</w:t>
      </w:r>
      <w:r>
        <w:fldChar w:fldCharType="end"/>
      </w:r>
    </w:p>
    <w:p w:rsidR="001F24E8" w:rsidRDefault="001F24E8" w:rsidP="001F24E8"/>
    <w:p w:rsidR="001F24E8" w:rsidRDefault="001F24E8" w:rsidP="001F24E8">
      <w:pPr>
        <w:pStyle w:val="EntradandiceSentencia"/>
      </w:pPr>
      <w:r>
        <w:t>Pleno. Sentencia 21/2013, de 31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7625-2006. </w:t>
      </w:r>
      <w:r w:rsidRPr="001F24E8">
        <w:rPr>
          <w:rStyle w:val="TextoNormalCursivaCaracter"/>
        </w:rPr>
        <w:t xml:space="preserve"> Competencias sobre condiciones básicas de igualdad y asistencia social: preceptos reglamentarios estatales que vulneran las competencias autonómicas de gestión de las subvenciones (SSTC 13/1992 y 178/2011). Voto particular.</w:t>
      </w:r>
      <w:r>
        <w:tab/>
      </w:r>
      <w:r>
        <w:tab/>
      </w:r>
      <w:r>
        <w:fldChar w:fldCharType="begin"/>
      </w:r>
      <w:r>
        <w:instrText xml:space="preserve"> PAGEREF SENTENCIA_2013_21 \h </w:instrText>
      </w:r>
      <w:r>
        <w:fldChar w:fldCharType="separate"/>
      </w:r>
      <w:r w:rsidR="00AF4A65">
        <w:rPr>
          <w:noProof/>
        </w:rPr>
        <w:t>441</w:t>
      </w:r>
      <w:r>
        <w:fldChar w:fldCharType="end"/>
      </w:r>
    </w:p>
    <w:p w:rsidR="001F24E8" w:rsidRDefault="001F24E8" w:rsidP="001F24E8"/>
    <w:p w:rsidR="001F24E8" w:rsidRDefault="001F24E8" w:rsidP="001F24E8">
      <w:pPr>
        <w:pStyle w:val="EntradandiceSentencia"/>
      </w:pPr>
      <w:r>
        <w:t>Pleno. Sentencia 22/2013, de 31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8928-2006. </w:t>
      </w:r>
      <w:r w:rsidRPr="001F24E8">
        <w:rPr>
          <w:rStyle w:val="TextoNormalCursivaCaracter"/>
        </w:rPr>
        <w:t xml:space="preserve"> Supuesta vulneración del derecho a un proceso con todas las garantías; vulneración del derecho a la presunción de inocencia: apreciación inmotivada de la falta de diligencia del acusado para prevenir la producción del accidente (STC 12/2011).</w:t>
      </w:r>
      <w:r>
        <w:tab/>
      </w:r>
      <w:r>
        <w:tab/>
      </w:r>
      <w:r>
        <w:fldChar w:fldCharType="begin"/>
      </w:r>
      <w:r>
        <w:instrText xml:space="preserve"> PAGEREF SENTENCIA_2013_22 \h </w:instrText>
      </w:r>
      <w:r>
        <w:fldChar w:fldCharType="separate"/>
      </w:r>
      <w:r w:rsidR="00AF4A65">
        <w:rPr>
          <w:noProof/>
        </w:rPr>
        <w:t>460</w:t>
      </w:r>
      <w:r>
        <w:fldChar w:fldCharType="end"/>
      </w:r>
    </w:p>
    <w:p w:rsidR="001F24E8" w:rsidRDefault="001F24E8" w:rsidP="001F24E8"/>
    <w:p w:rsidR="001F24E8" w:rsidRDefault="001F24E8" w:rsidP="001F24E8">
      <w:pPr>
        <w:pStyle w:val="EntradandiceSentencia"/>
      </w:pPr>
      <w:r>
        <w:t>Pleno. Sentencia 23/2013, de 31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9881-2006. </w:t>
      </w:r>
      <w:r w:rsidRPr="001F24E8">
        <w:rPr>
          <w:rStyle w:val="TextoNormalCursivaCaracter"/>
        </w:rPr>
        <w:t xml:space="preserve"> Competencias sobre condiciones básicas de igualdad, régimen local, asistencia social y desarrollo comunitario: titularidad autonómica de la competencia (STC 13/1992).</w:t>
      </w:r>
      <w:r>
        <w:tab/>
      </w:r>
      <w:r>
        <w:tab/>
      </w:r>
      <w:r>
        <w:fldChar w:fldCharType="begin"/>
      </w:r>
      <w:r>
        <w:instrText xml:space="preserve"> PAGEREF SENTENCIA_2013_23 \h </w:instrText>
      </w:r>
      <w:r>
        <w:fldChar w:fldCharType="separate"/>
      </w:r>
      <w:r w:rsidR="00AF4A65">
        <w:rPr>
          <w:noProof/>
        </w:rPr>
        <w:t>476</w:t>
      </w:r>
      <w:r>
        <w:fldChar w:fldCharType="end"/>
      </w:r>
    </w:p>
    <w:p w:rsidR="001F24E8" w:rsidRDefault="001F24E8" w:rsidP="001F24E8"/>
    <w:p w:rsidR="001F24E8" w:rsidRDefault="001F24E8" w:rsidP="001F24E8">
      <w:pPr>
        <w:pStyle w:val="EntradandiceSentencia"/>
      </w:pPr>
      <w:r>
        <w:t>Pleno. Sentencia 24/2013, de 31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3726-2007. </w:t>
      </w:r>
      <w:r w:rsidRPr="001F24E8">
        <w:rPr>
          <w:rStyle w:val="TextoNormalCursivaCaracter"/>
        </w:rPr>
        <w:t xml:space="preserve"> Competencias sobre educación: constitucionalidad de los preceptos reglamentarios estatales sobre programas de cualificación profesional inicial y enseñanza de las lenguas propias (STC 88/1983).</w:t>
      </w:r>
      <w:r>
        <w:tab/>
      </w:r>
      <w:r>
        <w:tab/>
      </w:r>
      <w:r>
        <w:fldChar w:fldCharType="begin"/>
      </w:r>
      <w:r>
        <w:instrText xml:space="preserve"> PAGEREF SENTENCIA_2013_24 \h </w:instrText>
      </w:r>
      <w:r>
        <w:fldChar w:fldCharType="separate"/>
      </w:r>
      <w:r w:rsidR="00AF4A65">
        <w:rPr>
          <w:noProof/>
        </w:rPr>
        <w:t>487</w:t>
      </w:r>
      <w:r>
        <w:fldChar w:fldCharType="end"/>
      </w:r>
    </w:p>
    <w:p w:rsidR="001F24E8" w:rsidRDefault="001F24E8" w:rsidP="001F24E8"/>
    <w:p w:rsidR="001F24E8" w:rsidRDefault="001F24E8" w:rsidP="001F24E8">
      <w:pPr>
        <w:pStyle w:val="EntradandiceSentencia"/>
      </w:pPr>
      <w:r>
        <w:t>Pleno. Sentencia 25/2013, de 31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3727-2007. </w:t>
      </w:r>
      <w:r w:rsidRPr="001F24E8">
        <w:rPr>
          <w:rStyle w:val="TextoNormalCursivaCaracter"/>
        </w:rPr>
        <w:t xml:space="preserve"> Competencias sobre educación: constitucionalidad de los preceptos reglamentarios estatales que regulan los módulos de formación en centros de trabajo y de proyecto (STC 111/2012).</w:t>
      </w:r>
      <w:r>
        <w:tab/>
      </w:r>
      <w:r>
        <w:tab/>
      </w:r>
      <w:r>
        <w:fldChar w:fldCharType="begin"/>
      </w:r>
      <w:r>
        <w:instrText xml:space="preserve"> PAGEREF SENTENCIA_2013_25 \h </w:instrText>
      </w:r>
      <w:r>
        <w:fldChar w:fldCharType="separate"/>
      </w:r>
      <w:r w:rsidR="00AF4A65">
        <w:rPr>
          <w:noProof/>
        </w:rPr>
        <w:t>512</w:t>
      </w:r>
      <w:r>
        <w:fldChar w:fldCharType="end"/>
      </w:r>
    </w:p>
    <w:p w:rsidR="001F24E8" w:rsidRDefault="001F24E8" w:rsidP="001F24E8"/>
    <w:p w:rsidR="001F24E8" w:rsidRDefault="001F24E8" w:rsidP="001F24E8">
      <w:pPr>
        <w:pStyle w:val="EntradandiceSentencia"/>
      </w:pPr>
      <w:r>
        <w:lastRenderedPageBreak/>
        <w:t>Pleno. Sentencia 26/2013, de 31 de enero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9077-2008. </w:t>
      </w:r>
      <w:r w:rsidRPr="001F24E8">
        <w:rPr>
          <w:rStyle w:val="TextoNormalCursivaCaracter"/>
        </w:rPr>
        <w:t xml:space="preserve"> Competencias sobre condiciones básicas de igualdad, inmigración, hacienda general, régimen jurídico de las Administraciones públicas y asistencia social: disposiciones reglamentarias estatales que vulneran las competencias autonómicas de gestión de las subvenciones (SSTC 13/1992 y 178/2011).</w:t>
      </w:r>
      <w:r>
        <w:tab/>
      </w:r>
      <w:r>
        <w:tab/>
      </w:r>
      <w:r>
        <w:fldChar w:fldCharType="begin"/>
      </w:r>
      <w:r>
        <w:instrText xml:space="preserve"> PAGEREF SENTENCIA_2013_26 \h </w:instrText>
      </w:r>
      <w:r>
        <w:fldChar w:fldCharType="separate"/>
      </w:r>
      <w:r w:rsidR="00AF4A65">
        <w:rPr>
          <w:noProof/>
        </w:rPr>
        <w:t>525</w:t>
      </w:r>
      <w:r>
        <w:fldChar w:fldCharType="end"/>
      </w:r>
    </w:p>
    <w:p w:rsidR="001F24E8" w:rsidRDefault="001F24E8" w:rsidP="001F24E8"/>
    <w:p w:rsidR="001F24E8" w:rsidRDefault="001F24E8" w:rsidP="001F24E8">
      <w:pPr>
        <w:pStyle w:val="EntradandiceSentencia"/>
      </w:pPr>
      <w:r>
        <w:t>Sala Primera. Sentencia 27/2013, de 11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4176-2009. </w:t>
      </w:r>
      <w:r w:rsidRPr="001F24E8">
        <w:rPr>
          <w:rStyle w:val="TextoNormalCursivaCaracter"/>
        </w:rPr>
        <w:t xml:space="preserve"> Supuesta vulneración de los derechos a la tutela judicial efectiva (error patente) y a un proceso con todas las garantías: negativa a plantear cuestión prejudicial de interpretación de las normas reguladoras de la organización común de mercados del lino y el cáñamo que se funda en una interpretación razonable y motivada del régimen jurídico de la cuestión prejudicial y que sigue la doctrina del Tribunal de Justicia de la Unión Europea sobre la noción de acto claro. Voto particular.</w:t>
      </w:r>
      <w:r>
        <w:tab/>
      </w:r>
      <w:r>
        <w:tab/>
      </w:r>
      <w:r>
        <w:fldChar w:fldCharType="begin"/>
      </w:r>
      <w:r>
        <w:instrText xml:space="preserve"> PAGEREF SENTENCIA_2013_27 \h </w:instrText>
      </w:r>
      <w:r>
        <w:fldChar w:fldCharType="separate"/>
      </w:r>
      <w:r w:rsidR="00AF4A65">
        <w:rPr>
          <w:noProof/>
        </w:rPr>
        <w:t>550</w:t>
      </w:r>
      <w:r>
        <w:fldChar w:fldCharType="end"/>
      </w:r>
    </w:p>
    <w:p w:rsidR="001F24E8" w:rsidRDefault="001F24E8" w:rsidP="001F24E8"/>
    <w:p w:rsidR="001F24E8" w:rsidRDefault="001F24E8" w:rsidP="001F24E8">
      <w:pPr>
        <w:pStyle w:val="EntradandiceSentencia"/>
      </w:pPr>
      <w:r>
        <w:t>Sala Primera. Sentencia 28/2013, de 11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7189-2009. </w:t>
      </w:r>
      <w:r w:rsidRPr="001F24E8">
        <w:rPr>
          <w:rStyle w:val="TextoNormalCursivaCaracter"/>
        </w:rPr>
        <w:t xml:space="preserve"> Alegada vulneración de los derechos a la igualdad en la aplicación de la ley, libertad personal, tutela judicial efectiva (intangibilidad) y legalidad penal: falta de agotamiento de la vía judicial previa al no haberse interpuesto recurso de casación por infracción de ley (STC 58/2012).</w:t>
      </w:r>
      <w:r>
        <w:tab/>
      </w:r>
      <w:r>
        <w:tab/>
      </w:r>
      <w:r>
        <w:fldChar w:fldCharType="begin"/>
      </w:r>
      <w:r>
        <w:instrText xml:space="preserve"> PAGEREF SENTENCIA_2013_28 \h </w:instrText>
      </w:r>
      <w:r>
        <w:fldChar w:fldCharType="separate"/>
      </w:r>
      <w:r w:rsidR="00AF4A65">
        <w:rPr>
          <w:noProof/>
        </w:rPr>
        <w:t>574</w:t>
      </w:r>
      <w:r>
        <w:fldChar w:fldCharType="end"/>
      </w:r>
    </w:p>
    <w:p w:rsidR="001F24E8" w:rsidRDefault="001F24E8" w:rsidP="001F24E8"/>
    <w:p w:rsidR="001F24E8" w:rsidRDefault="001F24E8" w:rsidP="001F24E8">
      <w:pPr>
        <w:pStyle w:val="EntradandiceSentencia"/>
      </w:pPr>
      <w:r>
        <w:t>Sala Primera. Sentencia 29/2013, de 11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10522-2009. </w:t>
      </w:r>
      <w:r w:rsidRPr="001F24E8">
        <w:rPr>
          <w:rStyle w:val="TextoNormalCursivaCaracter"/>
        </w:rPr>
        <w:t xml:space="preserve"> Vulneración del derecho a la protección de datos de carácter personal: Utilización de imágenes captadas por las cámaras de video-vigilancia instaladas en el recinto universitario para una finalidad, la supervisión laboral, de la que no se informó al trabajador (STC 292/2000). Voto particular.</w:t>
      </w:r>
      <w:r>
        <w:tab/>
      </w:r>
      <w:r>
        <w:tab/>
      </w:r>
      <w:r>
        <w:fldChar w:fldCharType="begin"/>
      </w:r>
      <w:r>
        <w:instrText xml:space="preserve"> PAGEREF SENTENCIA_2013_29 \h </w:instrText>
      </w:r>
      <w:r>
        <w:fldChar w:fldCharType="separate"/>
      </w:r>
      <w:r w:rsidR="00AF4A65">
        <w:rPr>
          <w:noProof/>
        </w:rPr>
        <w:t>583</w:t>
      </w:r>
      <w:r>
        <w:fldChar w:fldCharType="end"/>
      </w:r>
    </w:p>
    <w:p w:rsidR="001F24E8" w:rsidRDefault="001F24E8" w:rsidP="001F24E8"/>
    <w:p w:rsidR="001F24E8" w:rsidRDefault="001F24E8" w:rsidP="001F24E8">
      <w:pPr>
        <w:pStyle w:val="EntradandiceSentencia"/>
      </w:pPr>
      <w:r>
        <w:t>Sala Segunda. Sentencia 30/2013, de 11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827-2011. </w:t>
      </w:r>
      <w:r w:rsidRPr="001F24E8">
        <w:rPr>
          <w:rStyle w:val="TextoNormalCursivaCaracter"/>
        </w:rPr>
        <w:t xml:space="preserve"> Vulneración del derecho a la legalidad sancionadora: resolución sancionadora que carece de fundamento razonable en la infracción administrativa aplicada (STC 111/2004).</w:t>
      </w:r>
      <w:r>
        <w:tab/>
      </w:r>
      <w:r>
        <w:tab/>
      </w:r>
      <w:r>
        <w:fldChar w:fldCharType="begin"/>
      </w:r>
      <w:r>
        <w:instrText xml:space="preserve"> PAGEREF SENTENCIA_2013_30 \h </w:instrText>
      </w:r>
      <w:r>
        <w:fldChar w:fldCharType="separate"/>
      </w:r>
      <w:r w:rsidR="00AF4A65">
        <w:rPr>
          <w:noProof/>
        </w:rPr>
        <w:t>604</w:t>
      </w:r>
      <w:r>
        <w:fldChar w:fldCharType="end"/>
      </w:r>
    </w:p>
    <w:p w:rsidR="001F24E8" w:rsidRDefault="001F24E8" w:rsidP="001F24E8"/>
    <w:p w:rsidR="001F24E8" w:rsidRDefault="001F24E8" w:rsidP="001F24E8">
      <w:pPr>
        <w:pStyle w:val="EntradandiceSentencia"/>
      </w:pPr>
      <w:r>
        <w:lastRenderedPageBreak/>
        <w:t>Sala Segunda. Sentencia 31/2013, de 11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4759-2011. </w:t>
      </w:r>
      <w:r w:rsidRPr="001F24E8">
        <w:rPr>
          <w:rStyle w:val="TextoNormalCursivaCaracter"/>
        </w:rPr>
        <w:t xml:space="preserve"> Vulneración de los derechos a la tutela judicial efectiva y a la libertad: incumplimiento de la legalidad en materia de extradición al tramitarse y concederse la solicitud presentada por la Región Administrativa Especial de Hong Kong sin contar con la asistencia o autorización de la República Popular China. Voto particular.</w:t>
      </w:r>
      <w:r>
        <w:tab/>
      </w:r>
      <w:r>
        <w:tab/>
      </w:r>
      <w:r>
        <w:fldChar w:fldCharType="begin"/>
      </w:r>
      <w:r>
        <w:instrText xml:space="preserve"> PAGEREF SENTENCIA_2013_31 \h </w:instrText>
      </w:r>
      <w:r>
        <w:fldChar w:fldCharType="separate"/>
      </w:r>
      <w:r w:rsidR="00AF4A65">
        <w:rPr>
          <w:noProof/>
        </w:rPr>
        <w:t>612</w:t>
      </w:r>
      <w:r>
        <w:fldChar w:fldCharType="end"/>
      </w:r>
    </w:p>
    <w:p w:rsidR="001F24E8" w:rsidRDefault="001F24E8" w:rsidP="001F24E8"/>
    <w:p w:rsidR="001F24E8" w:rsidRDefault="001F24E8" w:rsidP="001F24E8">
      <w:pPr>
        <w:pStyle w:val="EntradandiceSentencia"/>
      </w:pPr>
      <w:r>
        <w:t>Sala Primera. Sentencia 32/2013, de 11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501-2012. </w:t>
      </w:r>
      <w:r w:rsidRPr="001F24E8">
        <w:rPr>
          <w:rStyle w:val="TextoNormalCursivaCaracter"/>
        </w:rPr>
        <w:t xml:space="preserve"> Vulneración del derecho a la tutela judicial efectiva (resolución fundada en Derecho): Sentencia de apelación que se aparta conscientemente de una doctrina reiterada y conocida del Tribunal Constitucional (STC 59/2010).</w:t>
      </w:r>
      <w:r>
        <w:tab/>
      </w:r>
      <w:r>
        <w:tab/>
      </w:r>
      <w:r>
        <w:fldChar w:fldCharType="begin"/>
      </w:r>
      <w:r>
        <w:instrText xml:space="preserve"> PAGEREF SENTENCIA_2013_32 \h </w:instrText>
      </w:r>
      <w:r>
        <w:fldChar w:fldCharType="separate"/>
      </w:r>
      <w:r w:rsidR="00AF4A65">
        <w:rPr>
          <w:noProof/>
        </w:rPr>
        <w:t>629</w:t>
      </w:r>
      <w:r>
        <w:fldChar w:fldCharType="end"/>
      </w:r>
    </w:p>
    <w:p w:rsidR="001F24E8" w:rsidRDefault="001F24E8" w:rsidP="001F24E8"/>
    <w:p w:rsidR="001F24E8" w:rsidRDefault="001F24E8" w:rsidP="001F24E8">
      <w:pPr>
        <w:pStyle w:val="EntradandiceSentencia"/>
      </w:pPr>
      <w:r>
        <w:t>Sala Primera. Sentencia 33/2013, de 11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Cuestión de inconstitucionalidad 5060-2012. </w:t>
      </w:r>
      <w:r w:rsidRPr="001F24E8">
        <w:rPr>
          <w:rStyle w:val="TextoNormalCursivaCaracter"/>
        </w:rPr>
        <w:t xml:space="preserve"> Competencias sobre bases del régimen estatutario de la función pública y seguridad pública: nulidad del precepto legal autonómico que establece una dispensa de titulación para la promoción interna de los policías locales (STC 175/2011).</w:t>
      </w:r>
      <w:r>
        <w:tab/>
      </w:r>
      <w:r>
        <w:tab/>
      </w:r>
      <w:r>
        <w:fldChar w:fldCharType="begin"/>
      </w:r>
      <w:r>
        <w:instrText xml:space="preserve"> PAGEREF SENTENCIA_2013_33 \h </w:instrText>
      </w:r>
      <w:r>
        <w:fldChar w:fldCharType="separate"/>
      </w:r>
      <w:r w:rsidR="00AF4A65">
        <w:rPr>
          <w:noProof/>
        </w:rPr>
        <w:t>640</w:t>
      </w:r>
      <w:r>
        <w:fldChar w:fldCharType="end"/>
      </w:r>
    </w:p>
    <w:p w:rsidR="001F24E8" w:rsidRDefault="001F24E8" w:rsidP="001F24E8"/>
    <w:p w:rsidR="001F24E8" w:rsidRDefault="001F24E8" w:rsidP="001F24E8">
      <w:pPr>
        <w:pStyle w:val="EntradandiceSentencia"/>
      </w:pPr>
      <w:r>
        <w:t>Pleno. Sentencia 34/2013, de 14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5934-2003. </w:t>
      </w:r>
      <w:r w:rsidRPr="001F24E8">
        <w:rPr>
          <w:rStyle w:val="TextoNormalCursivaCaracter"/>
        </w:rPr>
        <w:t xml:space="preserve"> Competencias sobre ordenación general de la economía, agricultura y denominaciones de origen: reconocimiento a los operadores de la facultad de elección del organismo independiente de inspección que deba supervisar su actividad que vulnera las competencias de la Comunidad Autónoma de Cataluña; interpretación conforme de diversos preceptos legales. Voto particular.</w:t>
      </w:r>
      <w:r>
        <w:tab/>
      </w:r>
      <w:r>
        <w:tab/>
      </w:r>
      <w:r>
        <w:fldChar w:fldCharType="begin"/>
      </w:r>
      <w:r>
        <w:instrText xml:space="preserve"> PAGEREF SENTENCIA_2013_34 \h </w:instrText>
      </w:r>
      <w:r>
        <w:fldChar w:fldCharType="separate"/>
      </w:r>
      <w:r w:rsidR="00AF4A65">
        <w:rPr>
          <w:noProof/>
        </w:rPr>
        <w:t>652</w:t>
      </w:r>
      <w:r>
        <w:fldChar w:fldCharType="end"/>
      </w:r>
    </w:p>
    <w:p w:rsidR="001F24E8" w:rsidRDefault="001F24E8" w:rsidP="001F24E8"/>
    <w:p w:rsidR="001F24E8" w:rsidRDefault="001F24E8" w:rsidP="001F24E8">
      <w:pPr>
        <w:pStyle w:val="EntradandiceSentencia"/>
      </w:pPr>
      <w:r>
        <w:t>Pleno. Sentencia 35/2013, de 14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145-2004. </w:t>
      </w:r>
      <w:r w:rsidRPr="001F24E8">
        <w:rPr>
          <w:rStyle w:val="TextoNormalCursivaCaracter"/>
        </w:rPr>
        <w:t xml:space="preserve"> Competencias en materia laboral: atribución a la Administración del Estado del ejercicio de funciones ejecutivas que vulnera las competencias autonómicas al basarse exclusivamente en los efectos territoriales de las actuaciones (STC 244/2012).</w:t>
      </w:r>
      <w:r>
        <w:tab/>
      </w:r>
      <w:r>
        <w:tab/>
      </w:r>
      <w:r>
        <w:fldChar w:fldCharType="begin"/>
      </w:r>
      <w:r>
        <w:instrText xml:space="preserve"> PAGEREF SENTENCIA_2013_35 \h </w:instrText>
      </w:r>
      <w:r>
        <w:fldChar w:fldCharType="separate"/>
      </w:r>
      <w:r w:rsidR="00AF4A65">
        <w:rPr>
          <w:noProof/>
        </w:rPr>
        <w:t>701</w:t>
      </w:r>
      <w:r>
        <w:fldChar w:fldCharType="end"/>
      </w:r>
    </w:p>
    <w:p w:rsidR="001F24E8" w:rsidRDefault="001F24E8" w:rsidP="001F24E8"/>
    <w:p w:rsidR="001F24E8" w:rsidRDefault="001F24E8" w:rsidP="001F24E8">
      <w:pPr>
        <w:pStyle w:val="EntradandiceSentencia"/>
      </w:pPr>
      <w:r>
        <w:lastRenderedPageBreak/>
        <w:t>Pleno. Sentencia 36/2013, de 14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2123-2004. </w:t>
      </w:r>
      <w:r w:rsidRPr="001F24E8">
        <w:rPr>
          <w:rStyle w:val="TextoNormalCursivaCaracter"/>
        </w:rPr>
        <w:t xml:space="preserve"> Principios democrático, de seguridad jurídica, y de interdicción de la arbitrariedad de los poderes públicos; competencias sobre aguas: constitucionalidad de la remisión al reglamento de la clasificación de los estados o potenciales de masas de agua, así como de los preceptos legales relativos a los plazos de participación pública en la elaboración de planes hidrológicos, demarcaciones hidrográficas y procedimiento de imputación de responsabilidad por incumplimiento del Derecho de la Unión Europea.</w:t>
      </w:r>
      <w:r>
        <w:tab/>
      </w:r>
      <w:r>
        <w:tab/>
      </w:r>
      <w:r>
        <w:fldChar w:fldCharType="begin"/>
      </w:r>
      <w:r>
        <w:instrText xml:space="preserve"> PAGEREF SENTENCIA_2013_36 \h </w:instrText>
      </w:r>
      <w:r>
        <w:fldChar w:fldCharType="separate"/>
      </w:r>
      <w:r w:rsidR="00AF4A65">
        <w:rPr>
          <w:noProof/>
        </w:rPr>
        <w:t>714</w:t>
      </w:r>
      <w:r>
        <w:fldChar w:fldCharType="end"/>
      </w:r>
    </w:p>
    <w:p w:rsidR="001F24E8" w:rsidRDefault="001F24E8" w:rsidP="001F24E8"/>
    <w:p w:rsidR="001F24E8" w:rsidRDefault="001F24E8" w:rsidP="001F24E8">
      <w:pPr>
        <w:pStyle w:val="EntradandiceSentencia"/>
      </w:pPr>
      <w:r>
        <w:t>Pleno. Sentencia 37/2013, de 14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7526-2004. </w:t>
      </w:r>
      <w:r w:rsidRPr="001F24E8">
        <w:rPr>
          <w:rStyle w:val="TextoNormalCursivaCaracter"/>
        </w:rPr>
        <w:t xml:space="preserve"> Competencias en materia laboral: pérdida parcial de objeto del conflicto positivo de competencia, adecuado ejercicio de las competencias estatales (STC 244/2012).</w:t>
      </w:r>
      <w:r>
        <w:tab/>
      </w:r>
      <w:r>
        <w:tab/>
      </w:r>
      <w:r>
        <w:fldChar w:fldCharType="begin"/>
      </w:r>
      <w:r>
        <w:instrText xml:space="preserve"> PAGEREF SENTENCIA_2013_37 \h </w:instrText>
      </w:r>
      <w:r>
        <w:fldChar w:fldCharType="separate"/>
      </w:r>
      <w:r w:rsidR="00AF4A65">
        <w:rPr>
          <w:noProof/>
        </w:rPr>
        <w:t>739</w:t>
      </w:r>
      <w:r>
        <w:fldChar w:fldCharType="end"/>
      </w:r>
    </w:p>
    <w:p w:rsidR="001F24E8" w:rsidRDefault="001F24E8" w:rsidP="001F24E8"/>
    <w:p w:rsidR="001F24E8" w:rsidRDefault="001F24E8" w:rsidP="001F24E8">
      <w:pPr>
        <w:pStyle w:val="EntradandiceSentencia"/>
      </w:pPr>
      <w:r>
        <w:t>Pleno. Sentencia 38/2013, de 14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2081-2005. </w:t>
      </w:r>
      <w:r w:rsidRPr="001F24E8">
        <w:rPr>
          <w:rStyle w:val="TextoNormalCursivaCaracter"/>
        </w:rPr>
        <w:t xml:space="preserve"> Competencias sobre archivos: nulidad del precepto legal que extiende a archivos de titularidad estatal la aplicación de la normativa autonómica (SSTC 103/1988 y 14/2013).</w:t>
      </w:r>
      <w:r>
        <w:tab/>
      </w:r>
      <w:r>
        <w:tab/>
      </w:r>
      <w:r>
        <w:fldChar w:fldCharType="begin"/>
      </w:r>
      <w:r>
        <w:instrText xml:space="preserve"> PAGEREF SENTENCIA_2013_38 \h </w:instrText>
      </w:r>
      <w:r>
        <w:fldChar w:fldCharType="separate"/>
      </w:r>
      <w:r w:rsidR="00AF4A65">
        <w:rPr>
          <w:noProof/>
        </w:rPr>
        <w:t>754</w:t>
      </w:r>
      <w:r>
        <w:fldChar w:fldCharType="end"/>
      </w:r>
    </w:p>
    <w:p w:rsidR="001F24E8" w:rsidRDefault="001F24E8" w:rsidP="001F24E8"/>
    <w:p w:rsidR="001F24E8" w:rsidRDefault="001F24E8" w:rsidP="001F24E8">
      <w:pPr>
        <w:pStyle w:val="EntradandiceSentencia"/>
      </w:pPr>
      <w:r>
        <w:t>Pleno. Sentencia 39/2013, de 14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4174-2006. </w:t>
      </w:r>
      <w:r w:rsidRPr="001F24E8">
        <w:rPr>
          <w:rStyle w:val="TextoNormalCursivaCaracter"/>
        </w:rPr>
        <w:t xml:space="preserve"> Límites a los decretos-leyes: acreditación de la concurrencia del presupuesto habilitante y de la conexión de sentido entre la situación de urgencia y las medidas ideadas para hacerle frente.</w:t>
      </w:r>
      <w:r>
        <w:tab/>
      </w:r>
      <w:r>
        <w:tab/>
      </w:r>
      <w:r>
        <w:fldChar w:fldCharType="begin"/>
      </w:r>
      <w:r>
        <w:instrText xml:space="preserve"> PAGEREF SENTENCIA_2013_39 \h </w:instrText>
      </w:r>
      <w:r>
        <w:fldChar w:fldCharType="separate"/>
      </w:r>
      <w:r w:rsidR="00AF4A65">
        <w:rPr>
          <w:noProof/>
        </w:rPr>
        <w:t>769</w:t>
      </w:r>
      <w:r>
        <w:fldChar w:fldCharType="end"/>
      </w:r>
    </w:p>
    <w:p w:rsidR="001F24E8" w:rsidRDefault="001F24E8" w:rsidP="001F24E8"/>
    <w:p w:rsidR="001F24E8" w:rsidRDefault="001F24E8" w:rsidP="001F24E8">
      <w:pPr>
        <w:pStyle w:val="EntradandiceSentencia"/>
      </w:pPr>
      <w:r>
        <w:t>Pleno. Sentencia 40/2013, de 14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6893-2007. </w:t>
      </w:r>
      <w:r w:rsidRPr="001F24E8">
        <w:rPr>
          <w:rStyle w:val="TextoNormalCursivaCaracter"/>
        </w:rPr>
        <w:t xml:space="preserve"> Competencias sobre condiciones básicas de igualdad y asistencia social: preceptos reglamentarios estatales que vulneran las competencias autonómicas de gestión de las subvenciones (STC 21/2013). Voto particular.</w:t>
      </w:r>
      <w:r>
        <w:tab/>
      </w:r>
      <w:r>
        <w:tab/>
      </w:r>
      <w:r>
        <w:fldChar w:fldCharType="begin"/>
      </w:r>
      <w:r>
        <w:instrText xml:space="preserve"> PAGEREF SENTENCIA_2013_40 \h </w:instrText>
      </w:r>
      <w:r>
        <w:fldChar w:fldCharType="separate"/>
      </w:r>
      <w:r w:rsidR="00AF4A65">
        <w:rPr>
          <w:noProof/>
        </w:rPr>
        <w:t>788</w:t>
      </w:r>
      <w:r>
        <w:fldChar w:fldCharType="end"/>
      </w:r>
    </w:p>
    <w:p w:rsidR="001F24E8" w:rsidRDefault="001F24E8" w:rsidP="001F24E8"/>
    <w:p w:rsidR="001F24E8" w:rsidRDefault="001F24E8" w:rsidP="001F24E8">
      <w:pPr>
        <w:pStyle w:val="EntradandiceSentencia"/>
      </w:pPr>
      <w:r>
        <w:t>Pleno. Sentencia 41/2013, de 14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Cuestión de inconstitucionalidad 8970-2008. </w:t>
      </w:r>
      <w:r w:rsidRPr="001F24E8">
        <w:rPr>
          <w:rStyle w:val="TextoNormalCursivaCaracter"/>
        </w:rPr>
        <w:t xml:space="preserve"> Principio de igualdad ante la ley: nulidad del precepto legal que supedita el disfrute del derecho a la pensión de </w:t>
      </w:r>
      <w:r w:rsidRPr="001F24E8">
        <w:rPr>
          <w:rStyle w:val="TextoNormalCursivaCaracter"/>
        </w:rPr>
        <w:lastRenderedPageBreak/>
        <w:t>viudedad que en él se establece a que el causante y el beneficiario hubieran tenido hijos comunes. Voto particular.</w:t>
      </w:r>
      <w:r>
        <w:tab/>
      </w:r>
      <w:r>
        <w:tab/>
      </w:r>
      <w:r>
        <w:fldChar w:fldCharType="begin"/>
      </w:r>
      <w:r>
        <w:instrText xml:space="preserve"> PAGEREF SENTENCIA_2013_41 \h </w:instrText>
      </w:r>
      <w:r>
        <w:fldChar w:fldCharType="separate"/>
      </w:r>
      <w:r w:rsidR="00AF4A65">
        <w:rPr>
          <w:noProof/>
        </w:rPr>
        <w:t>805</w:t>
      </w:r>
      <w:r>
        <w:fldChar w:fldCharType="end"/>
      </w:r>
    </w:p>
    <w:p w:rsidR="001F24E8" w:rsidRDefault="001F24E8" w:rsidP="001F24E8"/>
    <w:p w:rsidR="001F24E8" w:rsidRDefault="001F24E8" w:rsidP="001F24E8">
      <w:pPr>
        <w:pStyle w:val="EntradandiceSentencia"/>
      </w:pPr>
      <w:r>
        <w:t>Pleno. Sentencia 42/2013, de 14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Cuestión de inconstitucionalidad 9200-2008. </w:t>
      </w:r>
      <w:r w:rsidRPr="001F24E8">
        <w:rPr>
          <w:rStyle w:val="TextoNormalCursivaCaracter"/>
        </w:rPr>
        <w:t xml:space="preserve"> Principio de igualdad ante la ley; competencias sobre legislación procesal y Derecho civil: inadmisión de la cuestión de inconstitucionalidad al plantearse respecto de un precepto legal que no se encontraba vigente al momento de producirse los hechos objeto de enjuiciamiento.</w:t>
      </w:r>
      <w:r>
        <w:tab/>
      </w:r>
      <w:r>
        <w:tab/>
      </w:r>
      <w:r>
        <w:fldChar w:fldCharType="begin"/>
      </w:r>
      <w:r>
        <w:instrText xml:space="preserve"> PAGEREF SENTENCIA_2013_42 \h </w:instrText>
      </w:r>
      <w:r>
        <w:fldChar w:fldCharType="separate"/>
      </w:r>
      <w:r w:rsidR="00AF4A65">
        <w:rPr>
          <w:noProof/>
        </w:rPr>
        <w:t>830</w:t>
      </w:r>
      <w:r>
        <w:fldChar w:fldCharType="end"/>
      </w:r>
    </w:p>
    <w:p w:rsidR="001F24E8" w:rsidRDefault="001F24E8" w:rsidP="001F24E8"/>
    <w:p w:rsidR="001F24E8" w:rsidRDefault="001F24E8" w:rsidP="001F24E8">
      <w:pPr>
        <w:pStyle w:val="EntradandiceSentencia"/>
      </w:pPr>
      <w:r>
        <w:t>Sala Primera. Sentencia 43/2013, de 25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5716-2010. </w:t>
      </w:r>
      <w:r w:rsidRPr="001F24E8">
        <w:rPr>
          <w:rStyle w:val="TextoNormalCursivaCaracter"/>
        </w:rPr>
        <w:t xml:space="preserve"> Vulneración de los derechos a un proceso con todas las garantías y a la presunción de inocencia: STC 144/2012 (condena fundada en la valoración de pruebas de carácter personal y pronunciada en apelación sin haber celebrado vista pública).</w:t>
      </w:r>
      <w:r>
        <w:tab/>
      </w:r>
      <w:r>
        <w:tab/>
      </w:r>
      <w:r>
        <w:fldChar w:fldCharType="begin"/>
      </w:r>
      <w:r>
        <w:instrText xml:space="preserve"> PAGEREF SENTENCIA_2013_43 \h </w:instrText>
      </w:r>
      <w:r>
        <w:fldChar w:fldCharType="separate"/>
      </w:r>
      <w:r w:rsidR="00AF4A65">
        <w:rPr>
          <w:noProof/>
        </w:rPr>
        <w:t>841</w:t>
      </w:r>
      <w:r>
        <w:fldChar w:fldCharType="end"/>
      </w:r>
    </w:p>
    <w:p w:rsidR="001F24E8" w:rsidRDefault="001F24E8" w:rsidP="001F24E8"/>
    <w:p w:rsidR="001F24E8" w:rsidRDefault="001F24E8" w:rsidP="001F24E8">
      <w:pPr>
        <w:pStyle w:val="EntradandiceSentencia"/>
      </w:pPr>
      <w:r>
        <w:t>Sala Segunda. Sentencia 44/2013, de 25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8932-2010. </w:t>
      </w:r>
      <w:r w:rsidRPr="001F24E8">
        <w:rPr>
          <w:rStyle w:val="TextoNormalCursivaCaracter"/>
        </w:rPr>
        <w:t xml:space="preserve"> Supuesta vulneración de los derechos a la igualdad, a la tutela judicial efectiva y a un proceso con todas las garantías, y a la libertad sindical: apreciación de la carencia sobrevenida de objeto del proceso, al haberse derogado los preceptos controvertidos del convenio colectivo impugnado, fundada en una causa legal aplicada al caso de manera razonada y razonable.</w:t>
      </w:r>
      <w:r>
        <w:tab/>
      </w:r>
      <w:r>
        <w:tab/>
      </w:r>
      <w:r>
        <w:fldChar w:fldCharType="begin"/>
      </w:r>
      <w:r>
        <w:instrText xml:space="preserve"> PAGEREF SENTENCIA_2013_44 \h </w:instrText>
      </w:r>
      <w:r>
        <w:fldChar w:fldCharType="separate"/>
      </w:r>
      <w:r w:rsidR="00AF4A65">
        <w:rPr>
          <w:noProof/>
        </w:rPr>
        <w:t>862</w:t>
      </w:r>
      <w:r>
        <w:fldChar w:fldCharType="end"/>
      </w:r>
    </w:p>
    <w:p w:rsidR="001F24E8" w:rsidRDefault="001F24E8" w:rsidP="001F24E8"/>
    <w:p w:rsidR="001F24E8" w:rsidRDefault="001F24E8" w:rsidP="001F24E8">
      <w:pPr>
        <w:pStyle w:val="EntradandiceSentencia"/>
      </w:pPr>
      <w:r>
        <w:t>Sala Segunda. Sentencia 45/2013, de 25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6818-2011. </w:t>
      </w:r>
      <w:r w:rsidRPr="001F24E8">
        <w:rPr>
          <w:rStyle w:val="TextoNormalCursivaCaracter"/>
        </w:rPr>
        <w:t xml:space="preserve"> Vulneración del derecho a la legalidad sancionadora: STC 30/2013 (resolución sancionadora que carece de fundamento razonable en la infracción administrativa aplicada).</w:t>
      </w:r>
      <w:r>
        <w:tab/>
      </w:r>
      <w:r>
        <w:tab/>
      </w:r>
      <w:r>
        <w:fldChar w:fldCharType="begin"/>
      </w:r>
      <w:r>
        <w:instrText xml:space="preserve"> PAGEREF SENTENCIA_2013_45 \h </w:instrText>
      </w:r>
      <w:r>
        <w:fldChar w:fldCharType="separate"/>
      </w:r>
      <w:r w:rsidR="00AF4A65">
        <w:rPr>
          <w:noProof/>
        </w:rPr>
        <w:t>879</w:t>
      </w:r>
      <w:r>
        <w:fldChar w:fldCharType="end"/>
      </w:r>
    </w:p>
    <w:p w:rsidR="001F24E8" w:rsidRDefault="001F24E8" w:rsidP="001F24E8"/>
    <w:p w:rsidR="001F24E8" w:rsidRDefault="001F24E8" w:rsidP="001F24E8">
      <w:pPr>
        <w:pStyle w:val="EntradandiceSentencia"/>
      </w:pPr>
      <w:r>
        <w:t>Pleno. Sentencia 46/2013, de 28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1174-2003. </w:t>
      </w:r>
      <w:r w:rsidRPr="001F24E8">
        <w:rPr>
          <w:rStyle w:val="TextoNormalCursivaCaracter"/>
        </w:rPr>
        <w:t xml:space="preserve"> Competencias sobre colegios profesionales: nulidad del precepto legal que establece los supuestos de colegiación obligatoria de los funcionarios públicos autonómicos (STC 3/2013).</w:t>
      </w:r>
      <w:r>
        <w:tab/>
      </w:r>
      <w:r>
        <w:tab/>
      </w:r>
      <w:r>
        <w:fldChar w:fldCharType="begin"/>
      </w:r>
      <w:r>
        <w:instrText xml:space="preserve"> PAGEREF SENTENCIA_2013_46 \h </w:instrText>
      </w:r>
      <w:r>
        <w:fldChar w:fldCharType="separate"/>
      </w:r>
      <w:r w:rsidR="00AF4A65">
        <w:rPr>
          <w:noProof/>
        </w:rPr>
        <w:t>886</w:t>
      </w:r>
      <w:r>
        <w:fldChar w:fldCharType="end"/>
      </w:r>
    </w:p>
    <w:p w:rsidR="001F24E8" w:rsidRDefault="001F24E8" w:rsidP="001F24E8"/>
    <w:p w:rsidR="001F24E8" w:rsidRDefault="001F24E8" w:rsidP="001F24E8">
      <w:pPr>
        <w:pStyle w:val="EntradandiceSentencia"/>
      </w:pPr>
      <w:r>
        <w:lastRenderedPageBreak/>
        <w:t>Pleno. Sentencia 47/2013, de 28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6328-2003. </w:t>
      </w:r>
      <w:r w:rsidRPr="001F24E8">
        <w:rPr>
          <w:rStyle w:val="TextoNormalCursivaCaracter"/>
        </w:rPr>
        <w:t xml:space="preserve"> Competencias sobre educación y asistencia social: constitucionalidad de los preceptos reglamentarios estatales relativos a la educación infantil (STC 184/2012).</w:t>
      </w:r>
      <w:r>
        <w:tab/>
      </w:r>
      <w:r>
        <w:tab/>
      </w:r>
      <w:r>
        <w:fldChar w:fldCharType="begin"/>
      </w:r>
      <w:r>
        <w:instrText xml:space="preserve"> PAGEREF SENTENCIA_2013_47 \h </w:instrText>
      </w:r>
      <w:r>
        <w:fldChar w:fldCharType="separate"/>
      </w:r>
      <w:r w:rsidR="00AF4A65">
        <w:rPr>
          <w:noProof/>
        </w:rPr>
        <w:t>893</w:t>
      </w:r>
      <w:r>
        <w:fldChar w:fldCharType="end"/>
      </w:r>
    </w:p>
    <w:p w:rsidR="001F24E8" w:rsidRDefault="001F24E8" w:rsidP="001F24E8"/>
    <w:p w:rsidR="001F24E8" w:rsidRDefault="001F24E8" w:rsidP="001F24E8">
      <w:pPr>
        <w:pStyle w:val="EntradandiceSentencia"/>
      </w:pPr>
      <w:r>
        <w:t>Pleno. Sentencia 48/2013, de 28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6330-2003. </w:t>
      </w:r>
      <w:r w:rsidRPr="001F24E8">
        <w:rPr>
          <w:rStyle w:val="TextoNormalCursivaCaracter"/>
        </w:rPr>
        <w:t xml:space="preserve"> Competencias sobre educación: constitucionalidad de los preceptos reglamentarios estatales relativos a la enseñanza de las lenguas cooficiales (STC 15/2013) y a la composición de los equipos de evaluación que deben decidir sobre la promoción de los alumnos (STC 184/2012).</w:t>
      </w:r>
      <w:r>
        <w:tab/>
      </w:r>
      <w:r>
        <w:tab/>
      </w:r>
      <w:r>
        <w:fldChar w:fldCharType="begin"/>
      </w:r>
      <w:r>
        <w:instrText xml:space="preserve"> PAGEREF SENTENCIA_2013_48 \h </w:instrText>
      </w:r>
      <w:r>
        <w:fldChar w:fldCharType="separate"/>
      </w:r>
      <w:r w:rsidR="00AF4A65">
        <w:rPr>
          <w:noProof/>
        </w:rPr>
        <w:t>901</w:t>
      </w:r>
      <w:r>
        <w:fldChar w:fldCharType="end"/>
      </w:r>
    </w:p>
    <w:p w:rsidR="001F24E8" w:rsidRDefault="001F24E8" w:rsidP="001F24E8"/>
    <w:p w:rsidR="001F24E8" w:rsidRDefault="001F24E8" w:rsidP="001F24E8">
      <w:pPr>
        <w:pStyle w:val="EntradandiceSentencia"/>
      </w:pPr>
      <w:r>
        <w:t>Pleno. Sentencia 49/2013, de 28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988-2004. </w:t>
      </w:r>
      <w:r w:rsidRPr="001F24E8">
        <w:rPr>
          <w:rStyle w:val="TextoNormalCursivaCaracter"/>
        </w:rPr>
        <w:t xml:space="preserve"> Competencias sobre montes: inconstitucionalidad del encuadramiento en la competencia estatal sobre investigación científica y técnica del precepto legal relativo a la cooperación interadministrativa en las redes temáticas, parcelas de seguimiento y áreas de reserva derivadas de la normativa internacional (STC 242/1999).</w:t>
      </w:r>
      <w:r>
        <w:tab/>
      </w:r>
      <w:r>
        <w:tab/>
      </w:r>
      <w:r>
        <w:fldChar w:fldCharType="begin"/>
      </w:r>
      <w:r>
        <w:instrText xml:space="preserve"> PAGEREF SENTENCIA_2013_49 \h </w:instrText>
      </w:r>
      <w:r>
        <w:fldChar w:fldCharType="separate"/>
      </w:r>
      <w:r w:rsidR="00AF4A65">
        <w:rPr>
          <w:noProof/>
        </w:rPr>
        <w:t>918</w:t>
      </w:r>
      <w:r>
        <w:fldChar w:fldCharType="end"/>
      </w:r>
    </w:p>
    <w:p w:rsidR="001F24E8" w:rsidRDefault="001F24E8" w:rsidP="001F24E8"/>
    <w:p w:rsidR="001F24E8" w:rsidRDefault="001F24E8" w:rsidP="001F24E8">
      <w:pPr>
        <w:pStyle w:val="EntradandiceSentencia"/>
      </w:pPr>
      <w:r>
        <w:t>Pleno. Sentencia 50/2013, de 28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1021-2004. </w:t>
      </w:r>
      <w:r w:rsidRPr="001F24E8">
        <w:rPr>
          <w:rStyle w:val="TextoNormalCursivaCaracter"/>
        </w:rPr>
        <w:t xml:space="preserve"> Competencias sobre colegios profesionales: nulidad del precepto legal que establece los supuestos de colegiación obligatoria de los funcionarios públicos autonómicos (STC 3/2013).</w:t>
      </w:r>
      <w:r>
        <w:tab/>
      </w:r>
      <w:r>
        <w:tab/>
      </w:r>
      <w:r>
        <w:fldChar w:fldCharType="begin"/>
      </w:r>
      <w:r>
        <w:instrText xml:space="preserve"> PAGEREF SENTENCIA_2013_50 \h </w:instrText>
      </w:r>
      <w:r>
        <w:fldChar w:fldCharType="separate"/>
      </w:r>
      <w:r w:rsidR="00AF4A65">
        <w:rPr>
          <w:noProof/>
        </w:rPr>
        <w:t>946</w:t>
      </w:r>
      <w:r>
        <w:fldChar w:fldCharType="end"/>
      </w:r>
    </w:p>
    <w:p w:rsidR="001F24E8" w:rsidRDefault="001F24E8" w:rsidP="001F24E8"/>
    <w:p w:rsidR="001F24E8" w:rsidRDefault="001F24E8" w:rsidP="001F24E8">
      <w:pPr>
        <w:pStyle w:val="EntradandiceSentencia"/>
      </w:pPr>
      <w:r>
        <w:t>Pleno. Sentencia 51/2013, de 28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5049-2004. </w:t>
      </w:r>
      <w:r w:rsidRPr="001F24E8">
        <w:rPr>
          <w:rStyle w:val="TextoNormalCursivaCaracter"/>
        </w:rPr>
        <w:t xml:space="preserve"> Límites a los decretos leyes: STC 237/2012 (constitucionalidad del decreto ley que deroga las previsiones de la Ley del plan hidrológico nacional relativas al trasvase de aguas del Ebro).</w:t>
      </w:r>
      <w:r>
        <w:tab/>
      </w:r>
      <w:r>
        <w:tab/>
      </w:r>
      <w:r>
        <w:fldChar w:fldCharType="begin"/>
      </w:r>
      <w:r>
        <w:instrText xml:space="preserve"> PAGEREF SENTENCIA_2013_51 \h </w:instrText>
      </w:r>
      <w:r>
        <w:fldChar w:fldCharType="separate"/>
      </w:r>
      <w:r w:rsidR="00AF4A65">
        <w:rPr>
          <w:noProof/>
        </w:rPr>
        <w:t>960</w:t>
      </w:r>
      <w:r>
        <w:fldChar w:fldCharType="end"/>
      </w:r>
    </w:p>
    <w:p w:rsidR="001F24E8" w:rsidRDefault="001F24E8" w:rsidP="001F24E8"/>
    <w:p w:rsidR="001F24E8" w:rsidRDefault="001F24E8" w:rsidP="001F24E8">
      <w:pPr>
        <w:pStyle w:val="EntradandiceSentencia"/>
      </w:pPr>
      <w:r>
        <w:t>Pleno. Sentencia 52/2013, de 28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7604-2009 . </w:t>
      </w:r>
      <w:r w:rsidRPr="001F24E8">
        <w:rPr>
          <w:rStyle w:val="TextoNormalCursivaCaracter"/>
        </w:rPr>
        <w:t xml:space="preserve"> Competencias sobre condiciones básicas de igualdad y asistencia social: preceptos reglamentarios estatales que vulneran las competencias autonómicas de gestión de las subvenciones (STC 21/2013).</w:t>
      </w:r>
      <w:r>
        <w:tab/>
      </w:r>
      <w:r>
        <w:tab/>
      </w:r>
      <w:r>
        <w:fldChar w:fldCharType="begin"/>
      </w:r>
      <w:r>
        <w:instrText xml:space="preserve"> PAGEREF SENTENCIA_2013_52 \h </w:instrText>
      </w:r>
      <w:r>
        <w:fldChar w:fldCharType="separate"/>
      </w:r>
      <w:r w:rsidR="00AF4A65">
        <w:rPr>
          <w:noProof/>
        </w:rPr>
        <w:t>976</w:t>
      </w:r>
      <w:r>
        <w:fldChar w:fldCharType="end"/>
      </w:r>
    </w:p>
    <w:p w:rsidR="001F24E8" w:rsidRDefault="001F24E8" w:rsidP="001F24E8"/>
    <w:p w:rsidR="001F24E8" w:rsidRDefault="001F24E8" w:rsidP="001F24E8">
      <w:pPr>
        <w:pStyle w:val="EntradandiceSentencia"/>
      </w:pPr>
      <w:r>
        <w:t>Pleno. Sentencia 53/2013, de 28 de febrero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8309-2010. </w:t>
      </w:r>
      <w:r w:rsidRPr="001F24E8">
        <w:rPr>
          <w:rStyle w:val="TextoNormalCursivaCaracter"/>
        </w:rPr>
        <w:t xml:space="preserve"> Vulneración del derecho a un proceso con todas las garantías: condena penal fundada en declaraciones prestadas en dependencias policiales no reproducidas en el juicio oral (STC 68/2010).</w:t>
      </w:r>
      <w:r>
        <w:tab/>
      </w:r>
      <w:r>
        <w:tab/>
      </w:r>
      <w:r>
        <w:fldChar w:fldCharType="begin"/>
      </w:r>
      <w:r>
        <w:instrText xml:space="preserve"> PAGEREF SENTENCIA_2013_53 \h </w:instrText>
      </w:r>
      <w:r>
        <w:fldChar w:fldCharType="separate"/>
      </w:r>
      <w:r w:rsidR="00AF4A65">
        <w:rPr>
          <w:noProof/>
        </w:rPr>
        <w:t>994</w:t>
      </w:r>
      <w:r>
        <w:fldChar w:fldCharType="end"/>
      </w:r>
    </w:p>
    <w:p w:rsidR="001F24E8" w:rsidRDefault="001F24E8" w:rsidP="001F24E8"/>
    <w:p w:rsidR="001F24E8" w:rsidRDefault="001F24E8" w:rsidP="001F24E8">
      <w:pPr>
        <w:pStyle w:val="EntradandiceSentencia"/>
      </w:pPr>
      <w:r>
        <w:t>Sala Primera. Sentencia 54/2013, de 11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8136-2009. </w:t>
      </w:r>
      <w:r w:rsidRPr="001F24E8">
        <w:rPr>
          <w:rStyle w:val="TextoNormalCursivaCaracter"/>
        </w:rPr>
        <w:t xml:space="preserve"> Alegada vulneración de los derechos a la igualdad en la aplicación de la ley, libertad personal, tutela judicial efectiva (intangibilidad) y legalidad penal: falta de agotamiento de la vía judicial previa al no haberse interpuesto recurso de casación por infracción de ley (STC 58/2012).</w:t>
      </w:r>
      <w:r>
        <w:tab/>
      </w:r>
      <w:r>
        <w:tab/>
      </w:r>
      <w:r>
        <w:fldChar w:fldCharType="begin"/>
      </w:r>
      <w:r>
        <w:instrText xml:space="preserve"> PAGEREF SENTENCIA_2013_54 \h </w:instrText>
      </w:r>
      <w:r>
        <w:fldChar w:fldCharType="separate"/>
      </w:r>
      <w:r w:rsidR="00AF4A65">
        <w:rPr>
          <w:noProof/>
        </w:rPr>
        <w:t>1010</w:t>
      </w:r>
      <w:r>
        <w:fldChar w:fldCharType="end"/>
      </w:r>
    </w:p>
    <w:p w:rsidR="001F24E8" w:rsidRDefault="001F24E8" w:rsidP="001F24E8"/>
    <w:p w:rsidR="001F24E8" w:rsidRDefault="001F24E8" w:rsidP="001F24E8">
      <w:pPr>
        <w:pStyle w:val="EntradandiceSentencia"/>
      </w:pPr>
      <w:r>
        <w:t>Sala Segunda. Sentencia 55/2013, de 11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6163-2010. </w:t>
      </w:r>
      <w:r w:rsidRPr="001F24E8">
        <w:rPr>
          <w:rStyle w:val="TextoNormalCursivaCaracter"/>
        </w:rPr>
        <w:t xml:space="preserve"> Vulneración del derecho a la igualdad ante la ley: STC 41/2013 (denegación de la pretensión ejercitada en el litigio social que trae causa de la aplicación de un precepto legal contrario al derecho a la igualdad ante la ley al supeditar el disfrute del derecho a la pensión de viudedad que en él se establece a que el causante y el beneficiario hubieran tenido hijos comunes).</w:t>
      </w:r>
      <w:r>
        <w:tab/>
      </w:r>
      <w:r>
        <w:tab/>
      </w:r>
      <w:r>
        <w:fldChar w:fldCharType="begin"/>
      </w:r>
      <w:r>
        <w:instrText xml:space="preserve"> PAGEREF SENTENCIA_2013_55 \h </w:instrText>
      </w:r>
      <w:r>
        <w:fldChar w:fldCharType="separate"/>
      </w:r>
      <w:r w:rsidR="00AF4A65">
        <w:rPr>
          <w:noProof/>
        </w:rPr>
        <w:t>1018</w:t>
      </w:r>
      <w:r>
        <w:fldChar w:fldCharType="end"/>
      </w:r>
    </w:p>
    <w:p w:rsidR="001F24E8" w:rsidRDefault="001F24E8" w:rsidP="001F24E8"/>
    <w:p w:rsidR="001F24E8" w:rsidRDefault="001F24E8" w:rsidP="001F24E8">
      <w:pPr>
        <w:pStyle w:val="EntradandiceSentencia"/>
      </w:pPr>
      <w:r>
        <w:t>Sala Segunda. Sentencia 56/2013, de 11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7271-2010. </w:t>
      </w:r>
      <w:r w:rsidRPr="001F24E8">
        <w:rPr>
          <w:rStyle w:val="TextoNormalCursivaCaracter"/>
        </w:rPr>
        <w:t xml:space="preserve"> Supuesta vulneración del derecho a la tutela judicial efectiva (resolución motivada y fundada en Derecho): adecuado ejercicio por el órgano judicial de su facultad revisora de los hechos, fruto de una valoración de todos los elementos de prueba obrantes en autos.</w:t>
      </w:r>
      <w:r>
        <w:tab/>
      </w:r>
      <w:r>
        <w:tab/>
      </w:r>
      <w:r>
        <w:fldChar w:fldCharType="begin"/>
      </w:r>
      <w:r>
        <w:instrText xml:space="preserve"> PAGEREF SENTENCIA_2013_56 \h </w:instrText>
      </w:r>
      <w:r>
        <w:fldChar w:fldCharType="separate"/>
      </w:r>
      <w:r w:rsidR="00AF4A65">
        <w:rPr>
          <w:noProof/>
        </w:rPr>
        <w:t>1024</w:t>
      </w:r>
      <w:r>
        <w:fldChar w:fldCharType="end"/>
      </w:r>
    </w:p>
    <w:p w:rsidR="001F24E8" w:rsidRDefault="001F24E8" w:rsidP="001F24E8"/>
    <w:p w:rsidR="001F24E8" w:rsidRDefault="001F24E8" w:rsidP="001F24E8">
      <w:pPr>
        <w:pStyle w:val="EntradandiceSentencia"/>
      </w:pPr>
      <w:r>
        <w:t>Sala Segunda. Sentencia 57/2013, de 11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3723-2011. </w:t>
      </w:r>
      <w:r w:rsidRPr="001F24E8">
        <w:rPr>
          <w:rStyle w:val="TextoNormalCursivaCaracter"/>
        </w:rPr>
        <w:t xml:space="preserve"> Supuesta vulneración de los derechos a la tutela judicial efectiva, un proceso con todas las garantías y presunción de inocencia: tramitación del proceso penal que posibilitó suficientemente el ejercicio adecuado del derecho de defensa y contradicción frente a las manifestaciones prestadas por las menores víctimas del delito durante su exploración pericial en fase sumarial (STC 174/2011).</w:t>
      </w:r>
      <w:r>
        <w:tab/>
      </w:r>
      <w:r>
        <w:tab/>
      </w:r>
      <w:r>
        <w:fldChar w:fldCharType="begin"/>
      </w:r>
      <w:r>
        <w:instrText xml:space="preserve"> PAGEREF SENTENCIA_2013_57 \h </w:instrText>
      </w:r>
      <w:r>
        <w:fldChar w:fldCharType="separate"/>
      </w:r>
      <w:r w:rsidR="00AF4A65">
        <w:rPr>
          <w:noProof/>
        </w:rPr>
        <w:t>1037</w:t>
      </w:r>
      <w:r>
        <w:fldChar w:fldCharType="end"/>
      </w:r>
    </w:p>
    <w:p w:rsidR="001F24E8" w:rsidRDefault="001F24E8" w:rsidP="001F24E8"/>
    <w:p w:rsidR="001F24E8" w:rsidRDefault="001F24E8" w:rsidP="001F24E8">
      <w:pPr>
        <w:pStyle w:val="EntradandiceSentencia"/>
      </w:pPr>
      <w:r>
        <w:lastRenderedPageBreak/>
        <w:t>Sala Segunda. Sentencia 58/2013, de 11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Cuestión de inconstitucionalidad 4595-2011. </w:t>
      </w:r>
      <w:r w:rsidRPr="001F24E8">
        <w:rPr>
          <w:rStyle w:val="TextoNormalCursivaCaracter"/>
        </w:rPr>
        <w:t xml:space="preserve"> Derecho de huelga: nulidad del precepto legal que atribuye a un órgano administrativo de dirección y gestión, el Director Gerente del Servicio Murciano de Salud, la fijación de los servicios mínimos en el caso de huelga (STC 296/2006).</w:t>
      </w:r>
      <w:r>
        <w:tab/>
      </w:r>
      <w:r>
        <w:tab/>
      </w:r>
      <w:r>
        <w:fldChar w:fldCharType="begin"/>
      </w:r>
      <w:r>
        <w:instrText xml:space="preserve"> PAGEREF SENTENCIA_2013_58 \h </w:instrText>
      </w:r>
      <w:r>
        <w:fldChar w:fldCharType="separate"/>
      </w:r>
      <w:r w:rsidR="00AF4A65">
        <w:rPr>
          <w:noProof/>
        </w:rPr>
        <w:t>1054</w:t>
      </w:r>
      <w:r>
        <w:fldChar w:fldCharType="end"/>
      </w:r>
    </w:p>
    <w:p w:rsidR="001F24E8" w:rsidRDefault="001F24E8" w:rsidP="001F24E8"/>
    <w:p w:rsidR="001F24E8" w:rsidRDefault="001F24E8" w:rsidP="001F24E8">
      <w:pPr>
        <w:pStyle w:val="EntradandiceSentencia"/>
      </w:pPr>
      <w:r>
        <w:t>Pleno. Sentencia 59/2013, de 13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1618-2003. </w:t>
      </w:r>
      <w:r w:rsidRPr="001F24E8">
        <w:rPr>
          <w:rStyle w:val="TextoNormalCursivaCaracter"/>
        </w:rPr>
        <w:t xml:space="preserve"> Competencias sobre medio ambiente y espacios naturales protegidos: carácter instrumental de la certificación ambiental respecto de la obra hidráulica de competencia estatal sobre la que versa (SSTC 13/1998 y 149/2012).</w:t>
      </w:r>
      <w:r>
        <w:tab/>
      </w:r>
      <w:r>
        <w:tab/>
      </w:r>
      <w:r>
        <w:fldChar w:fldCharType="begin"/>
      </w:r>
      <w:r>
        <w:instrText xml:space="preserve"> PAGEREF SENTENCIA_2013_59 \h </w:instrText>
      </w:r>
      <w:r>
        <w:fldChar w:fldCharType="separate"/>
      </w:r>
      <w:r w:rsidR="00AF4A65">
        <w:rPr>
          <w:noProof/>
        </w:rPr>
        <w:t>1068</w:t>
      </w:r>
      <w:r>
        <w:fldChar w:fldCharType="end"/>
      </w:r>
    </w:p>
    <w:p w:rsidR="001F24E8" w:rsidRDefault="001F24E8" w:rsidP="001F24E8"/>
    <w:p w:rsidR="001F24E8" w:rsidRDefault="001F24E8" w:rsidP="001F24E8">
      <w:pPr>
        <w:pStyle w:val="EntradandiceSentencia"/>
      </w:pPr>
      <w:r>
        <w:t>Pleno. Sentencia 60/2013, de 13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Cuestión de inconstitucionalidad 8952-2010 . </w:t>
      </w:r>
      <w:r w:rsidRPr="001F24E8">
        <w:rPr>
          <w:rStyle w:val="TextoNormalCursivaCaracter"/>
        </w:rPr>
        <w:t xml:space="preserve"> Límites de la potestad tributaria de las Comunidades Autónomas, prohibición de doble imposición: nulidad de la ley autonómica en cuanto grava la producción termonuclear de energía eléctrica y el almacenamiento de residuos radiactivos (STC 196/2012).</w:t>
      </w:r>
      <w:r>
        <w:tab/>
      </w:r>
      <w:r>
        <w:tab/>
      </w:r>
      <w:r>
        <w:fldChar w:fldCharType="begin"/>
      </w:r>
      <w:r>
        <w:instrText xml:space="preserve"> PAGEREF SENTENCIA_2013_60 \h </w:instrText>
      </w:r>
      <w:r>
        <w:fldChar w:fldCharType="separate"/>
      </w:r>
      <w:r w:rsidR="00AF4A65">
        <w:rPr>
          <w:noProof/>
        </w:rPr>
        <w:t>1083</w:t>
      </w:r>
      <w:r>
        <w:fldChar w:fldCharType="end"/>
      </w:r>
    </w:p>
    <w:p w:rsidR="001F24E8" w:rsidRDefault="001F24E8" w:rsidP="001F24E8"/>
    <w:p w:rsidR="001F24E8" w:rsidRDefault="001F24E8" w:rsidP="001F24E8">
      <w:pPr>
        <w:pStyle w:val="EntradandiceSentencia"/>
      </w:pPr>
      <w:r>
        <w:t>Pleno. Sentencia 61/2013, de 14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Cuestión de inconstitucionalidad 5862-2003. </w:t>
      </w:r>
      <w:r w:rsidRPr="001F24E8">
        <w:rPr>
          <w:rStyle w:val="TextoNormalCursivaCaracter"/>
        </w:rPr>
        <w:t xml:space="preserve"> Derechos a la igualdad en la ley y a no sufrir discriminación por razón del sexo: determinación de los períodos de cotización de las prestaciones de Seguridad Social computando exclusivamente las horas trabajadas, en perjuicio de las trabajadoras a tiempo parcial (STC 253/2004).</w:t>
      </w:r>
      <w:r>
        <w:tab/>
      </w:r>
      <w:r>
        <w:tab/>
      </w:r>
      <w:r>
        <w:fldChar w:fldCharType="begin"/>
      </w:r>
      <w:r>
        <w:instrText xml:space="preserve"> PAGEREF SENTENCIA_2013_61 \h </w:instrText>
      </w:r>
      <w:r>
        <w:fldChar w:fldCharType="separate"/>
      </w:r>
      <w:r w:rsidR="00AF4A65">
        <w:rPr>
          <w:noProof/>
        </w:rPr>
        <w:t>1120</w:t>
      </w:r>
      <w:r>
        <w:fldChar w:fldCharType="end"/>
      </w:r>
    </w:p>
    <w:p w:rsidR="001F24E8" w:rsidRDefault="001F24E8" w:rsidP="001F24E8"/>
    <w:p w:rsidR="001F24E8" w:rsidRDefault="001F24E8" w:rsidP="001F24E8">
      <w:pPr>
        <w:pStyle w:val="EntradandiceSentencia"/>
      </w:pPr>
      <w:r>
        <w:t>Pleno. Sentencia 62/2013, de 14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198-2004 . </w:t>
      </w:r>
      <w:r w:rsidRPr="001F24E8">
        <w:rPr>
          <w:rStyle w:val="TextoNormalCursivaCaracter"/>
        </w:rPr>
        <w:t xml:space="preserve"> Competencias en materia laboral: interpretación conforme de varios preceptos reglamentarios relativos  a la Fundación Estatal para la Formación en el Empleo (STC 244/2012).</w:t>
      </w:r>
      <w:r>
        <w:tab/>
      </w:r>
      <w:r>
        <w:tab/>
      </w:r>
      <w:r>
        <w:fldChar w:fldCharType="begin"/>
      </w:r>
      <w:r>
        <w:instrText xml:space="preserve"> PAGEREF SENTENCIA_2013_62 \h </w:instrText>
      </w:r>
      <w:r>
        <w:fldChar w:fldCharType="separate"/>
      </w:r>
      <w:r w:rsidR="00AF4A65">
        <w:rPr>
          <w:noProof/>
        </w:rPr>
        <w:t>1145</w:t>
      </w:r>
      <w:r>
        <w:fldChar w:fldCharType="end"/>
      </w:r>
    </w:p>
    <w:p w:rsidR="001F24E8" w:rsidRDefault="001F24E8" w:rsidP="001F24E8"/>
    <w:p w:rsidR="001F24E8" w:rsidRDefault="001F24E8" w:rsidP="001F24E8">
      <w:pPr>
        <w:pStyle w:val="EntradandiceSentencia"/>
      </w:pPr>
      <w:r>
        <w:t>Pleno. Sentencia 63/2013, de 14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1022-2004 . </w:t>
      </w:r>
      <w:r w:rsidRPr="001F24E8">
        <w:rPr>
          <w:rStyle w:val="TextoNormalCursivaCaracter"/>
        </w:rPr>
        <w:t xml:space="preserve"> Competencias sobre colegios profesionales: STC 3/2013 (nulidad del precepto legal que establece los supuestos de colegiación obligatoria de los funcionarios públicos autonómicos).</w:t>
      </w:r>
      <w:r>
        <w:tab/>
      </w:r>
      <w:r>
        <w:tab/>
      </w:r>
      <w:r>
        <w:fldChar w:fldCharType="begin"/>
      </w:r>
      <w:r>
        <w:instrText xml:space="preserve"> PAGEREF SENTENCIA_2013_63 \h </w:instrText>
      </w:r>
      <w:r>
        <w:fldChar w:fldCharType="separate"/>
      </w:r>
      <w:r w:rsidR="00AF4A65">
        <w:rPr>
          <w:noProof/>
        </w:rPr>
        <w:t>1160</w:t>
      </w:r>
      <w:r>
        <w:fldChar w:fldCharType="end"/>
      </w:r>
    </w:p>
    <w:p w:rsidR="001F24E8" w:rsidRDefault="001F24E8" w:rsidP="001F24E8"/>
    <w:p w:rsidR="001F24E8" w:rsidRDefault="001F24E8" w:rsidP="001F24E8">
      <w:pPr>
        <w:pStyle w:val="EntradandiceSentencia"/>
      </w:pPr>
      <w:r>
        <w:t>Pleno. Sentencia 64/2013, de 14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5598-2004. </w:t>
      </w:r>
      <w:r w:rsidRPr="001F24E8">
        <w:rPr>
          <w:rStyle w:val="TextoNormalCursivaCaracter"/>
        </w:rPr>
        <w:t xml:space="preserve"> Límites a los decretos leyes: STC 237/2012 (constitucionalidad del decreto ley que deroga las previsiones de la Ley del plan hidrológico nacional relativas al trasvase de aguas del Ebro).</w:t>
      </w:r>
      <w:r>
        <w:tab/>
      </w:r>
      <w:r>
        <w:tab/>
      </w:r>
      <w:r>
        <w:fldChar w:fldCharType="begin"/>
      </w:r>
      <w:r>
        <w:instrText xml:space="preserve"> PAGEREF SENTENCIA_2013_64 \h </w:instrText>
      </w:r>
      <w:r>
        <w:fldChar w:fldCharType="separate"/>
      </w:r>
      <w:r w:rsidR="00AF4A65">
        <w:rPr>
          <w:noProof/>
        </w:rPr>
        <w:t>1168</w:t>
      </w:r>
      <w:r>
        <w:fldChar w:fldCharType="end"/>
      </w:r>
    </w:p>
    <w:p w:rsidR="001F24E8" w:rsidRDefault="001F24E8" w:rsidP="001F24E8"/>
    <w:p w:rsidR="001F24E8" w:rsidRDefault="001F24E8" w:rsidP="001F24E8">
      <w:pPr>
        <w:pStyle w:val="EntradandiceSentencia"/>
      </w:pPr>
      <w:r>
        <w:t>Pleno. Sentencia 65/2013, de 14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7931-2004. </w:t>
      </w:r>
      <w:r w:rsidRPr="001F24E8">
        <w:rPr>
          <w:rStyle w:val="TextoNormalCursivaCaracter"/>
        </w:rPr>
        <w:t xml:space="preserve"> Competencias en materia laboral: pérdida parcial de objeto del conflicto positivo de competencia, adecuado ejercicio de las competencias estatales (STC 244/2012).</w:t>
      </w:r>
      <w:r>
        <w:tab/>
      </w:r>
      <w:r>
        <w:tab/>
      </w:r>
      <w:r>
        <w:fldChar w:fldCharType="begin"/>
      </w:r>
      <w:r>
        <w:instrText xml:space="preserve"> PAGEREF SENTENCIA_2013_65 \h </w:instrText>
      </w:r>
      <w:r>
        <w:fldChar w:fldCharType="separate"/>
      </w:r>
      <w:r w:rsidR="00AF4A65">
        <w:rPr>
          <w:noProof/>
        </w:rPr>
        <w:t>1178</w:t>
      </w:r>
      <w:r>
        <w:fldChar w:fldCharType="end"/>
      </w:r>
    </w:p>
    <w:p w:rsidR="001F24E8" w:rsidRDefault="001F24E8" w:rsidP="001F24E8"/>
    <w:p w:rsidR="001F24E8" w:rsidRDefault="001F24E8" w:rsidP="001F24E8">
      <w:pPr>
        <w:pStyle w:val="EntradandiceSentencia"/>
      </w:pPr>
      <w:r>
        <w:t>Pleno. Sentencia 66/2013, de 14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6444-2005. </w:t>
      </w:r>
      <w:r w:rsidRPr="001F24E8">
        <w:rPr>
          <w:rStyle w:val="TextoNormalCursivaCaracter"/>
        </w:rPr>
        <w:t xml:space="preserve"> Competencias sobre archivos: constitucionalidad del precepto legal que integra algunos archivos de titularidad estatal en el sistema archivístico valenciano (SSTC 103/1988 y 14/2013).</w:t>
      </w:r>
      <w:r>
        <w:tab/>
      </w:r>
      <w:r>
        <w:tab/>
      </w:r>
      <w:r>
        <w:fldChar w:fldCharType="begin"/>
      </w:r>
      <w:r>
        <w:instrText xml:space="preserve"> PAGEREF SENTENCIA_2013_66 \h </w:instrText>
      </w:r>
      <w:r>
        <w:fldChar w:fldCharType="separate"/>
      </w:r>
      <w:r w:rsidR="00AF4A65">
        <w:rPr>
          <w:noProof/>
        </w:rPr>
        <w:t>1192</w:t>
      </w:r>
      <w:r>
        <w:fldChar w:fldCharType="end"/>
      </w:r>
    </w:p>
    <w:p w:rsidR="001F24E8" w:rsidRDefault="001F24E8" w:rsidP="001F24E8"/>
    <w:p w:rsidR="001F24E8" w:rsidRDefault="001F24E8" w:rsidP="001F24E8">
      <w:pPr>
        <w:pStyle w:val="EntradandiceSentencia"/>
      </w:pPr>
      <w:r>
        <w:t>Pleno. Sentencia 67/2013, de 14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1278-2006. </w:t>
      </w:r>
      <w:r w:rsidRPr="001F24E8">
        <w:rPr>
          <w:rStyle w:val="TextoNormalCursivaCaracter"/>
        </w:rPr>
        <w:t xml:space="preserve"> Principios de interdicción de la arbitrariedad y protección del patrimonio cultural; competencias en materia de archivos: STC 20/2013 (constitucionalidad de los preceptos legales estatales que establecen un régimen especial para Cataluña de devolución de documentos).</w:t>
      </w:r>
      <w:r>
        <w:tab/>
      </w:r>
      <w:r>
        <w:tab/>
      </w:r>
      <w:r>
        <w:fldChar w:fldCharType="begin"/>
      </w:r>
      <w:r>
        <w:instrText xml:space="preserve"> PAGEREF SENTENCIA_2013_67 \h </w:instrText>
      </w:r>
      <w:r>
        <w:fldChar w:fldCharType="separate"/>
      </w:r>
      <w:r w:rsidR="00AF4A65">
        <w:rPr>
          <w:noProof/>
        </w:rPr>
        <w:t>1206</w:t>
      </w:r>
      <w:r>
        <w:fldChar w:fldCharType="end"/>
      </w:r>
    </w:p>
    <w:p w:rsidR="001F24E8" w:rsidRDefault="001F24E8" w:rsidP="001F24E8"/>
    <w:p w:rsidR="001F24E8" w:rsidRDefault="001F24E8" w:rsidP="001F24E8">
      <w:pPr>
        <w:pStyle w:val="EntradandiceSentencia"/>
      </w:pPr>
      <w:r>
        <w:t>Pleno. Sentencia 68/2013, de 14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1682-2006. </w:t>
      </w:r>
      <w:r w:rsidRPr="001F24E8">
        <w:rPr>
          <w:rStyle w:val="TextoNormalCursivaCaracter"/>
        </w:rPr>
        <w:t xml:space="preserve"> Principios de interdicción de la arbitrariedad y protección del patrimonio cultural; competencias en materia de archivos: STC 20/2013 (constitucionalidad de los preceptos legales estatales que establecen un régimen especial para Cataluña de devolución de documentos).</w:t>
      </w:r>
      <w:r>
        <w:tab/>
      </w:r>
      <w:r>
        <w:tab/>
      </w:r>
      <w:r>
        <w:fldChar w:fldCharType="begin"/>
      </w:r>
      <w:r>
        <w:instrText xml:space="preserve"> PAGEREF SENTENCIA_2013_68 \h </w:instrText>
      </w:r>
      <w:r>
        <w:fldChar w:fldCharType="separate"/>
      </w:r>
      <w:r w:rsidR="00AF4A65">
        <w:rPr>
          <w:noProof/>
        </w:rPr>
        <w:t>1224</w:t>
      </w:r>
      <w:r>
        <w:fldChar w:fldCharType="end"/>
      </w:r>
    </w:p>
    <w:p w:rsidR="001F24E8" w:rsidRDefault="001F24E8" w:rsidP="001F24E8"/>
    <w:p w:rsidR="001F24E8" w:rsidRDefault="001F24E8" w:rsidP="001F24E8">
      <w:pPr>
        <w:pStyle w:val="EntradandiceSentencia"/>
      </w:pPr>
      <w:r>
        <w:t>Pleno. Sentencia 69/2013, de 14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2124-2008. </w:t>
      </w:r>
      <w:r w:rsidRPr="001F24E8">
        <w:rPr>
          <w:rStyle w:val="TextoNormalCursivaCaracter"/>
        </w:rPr>
        <w:t xml:space="preserve"> Competencias sobre medio ambiente: interpretación conforme del precepto legal que atribuye funciones de coordinación al Comité MaB español (SSTC 102/1995 y 101/2005).</w:t>
      </w:r>
      <w:r>
        <w:tab/>
      </w:r>
      <w:r>
        <w:tab/>
      </w:r>
      <w:r>
        <w:fldChar w:fldCharType="begin"/>
      </w:r>
      <w:r>
        <w:instrText xml:space="preserve"> PAGEREF SENTENCIA_2013_69 \h </w:instrText>
      </w:r>
      <w:r>
        <w:fldChar w:fldCharType="separate"/>
      </w:r>
      <w:r w:rsidR="00AF4A65">
        <w:rPr>
          <w:noProof/>
        </w:rPr>
        <w:t>1248</w:t>
      </w:r>
      <w:r>
        <w:fldChar w:fldCharType="end"/>
      </w:r>
    </w:p>
    <w:p w:rsidR="001F24E8" w:rsidRDefault="001F24E8" w:rsidP="001F24E8"/>
    <w:p w:rsidR="001F24E8" w:rsidRDefault="001F24E8" w:rsidP="001F24E8">
      <w:pPr>
        <w:pStyle w:val="EntradandiceSentencia"/>
      </w:pPr>
      <w:r>
        <w:lastRenderedPageBreak/>
        <w:t>Pleno. Sentencia 70/2013, de 14 de marzo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5582-2012 . </w:t>
      </w:r>
      <w:r w:rsidRPr="001F24E8">
        <w:rPr>
          <w:rStyle w:val="TextoNormalCursivaCaracter"/>
        </w:rPr>
        <w:t xml:space="preserve"> Competencias sobre condiciones básicas de igualdad y asistencia social: preceptos reglamentarios estatales que vulneran las competencias autonómicas de gestión de las subvenciones (STC 21/2013).</w:t>
      </w:r>
      <w:r>
        <w:tab/>
      </w:r>
      <w:r>
        <w:tab/>
      </w:r>
      <w:r>
        <w:fldChar w:fldCharType="begin"/>
      </w:r>
      <w:r>
        <w:instrText xml:space="preserve"> PAGEREF SENTENCIA_2013_70 \h </w:instrText>
      </w:r>
      <w:r>
        <w:fldChar w:fldCharType="separate"/>
      </w:r>
      <w:r w:rsidR="00AF4A65">
        <w:rPr>
          <w:noProof/>
        </w:rPr>
        <w:t>1272</w:t>
      </w:r>
      <w:r>
        <w:fldChar w:fldCharType="end"/>
      </w:r>
    </w:p>
    <w:p w:rsidR="001F24E8" w:rsidRDefault="001F24E8" w:rsidP="001F24E8"/>
    <w:p w:rsidR="001F24E8" w:rsidRDefault="001F24E8" w:rsidP="001F24E8">
      <w:pPr>
        <w:pStyle w:val="EntradandiceSentencia"/>
      </w:pPr>
      <w:r>
        <w:t>Sala Primera. Sentencia 71/2013, de 8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5560-2007. </w:t>
      </w:r>
      <w:r w:rsidRPr="001F24E8">
        <w:rPr>
          <w:rStyle w:val="TextoNormalCursivaCaracter"/>
        </w:rPr>
        <w:t xml:space="preserve"> Vulneración de los derechos a la igualdad en la ley y a no sufrir discriminación por razón de sexo: STC 61/2013 (determinación de los períodos de cotización de las prestaciones de Seguridad Social computando exclusivamente las horas trabajadas, en perjuicio de las trabajadoras a tiempo parcial).</w:t>
      </w:r>
      <w:r>
        <w:tab/>
      </w:r>
      <w:r>
        <w:tab/>
      </w:r>
      <w:r>
        <w:fldChar w:fldCharType="begin"/>
      </w:r>
      <w:r>
        <w:instrText xml:space="preserve"> PAGEREF SENTENCIA_2013_71 \h </w:instrText>
      </w:r>
      <w:r>
        <w:fldChar w:fldCharType="separate"/>
      </w:r>
      <w:r w:rsidR="00AF4A65">
        <w:rPr>
          <w:noProof/>
        </w:rPr>
        <w:t>1290</w:t>
      </w:r>
      <w:r>
        <w:fldChar w:fldCharType="end"/>
      </w:r>
    </w:p>
    <w:p w:rsidR="001F24E8" w:rsidRDefault="001F24E8" w:rsidP="001F24E8"/>
    <w:p w:rsidR="001F24E8" w:rsidRDefault="001F24E8" w:rsidP="001F24E8">
      <w:pPr>
        <w:pStyle w:val="EntradandiceSentencia"/>
      </w:pPr>
      <w:r>
        <w:t>Sala Primera. Sentencia 72/2013, de 8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154-2008. </w:t>
      </w:r>
      <w:r w:rsidRPr="001F24E8">
        <w:rPr>
          <w:rStyle w:val="TextoNormalCursivaCaracter"/>
        </w:rPr>
        <w:t xml:space="preserve"> Vulneración de los derechos a la igualdad en la ley y a no sufrir discriminación por razón de sexo: STC 61/2013 (determinación de los períodos de cotización de las prestaciones de Seguridad Social computando exclusivamente las horas trabajadas, en perjuicio de las trabajadoras a tiempo parcial).</w:t>
      </w:r>
      <w:r>
        <w:tab/>
      </w:r>
      <w:r>
        <w:tab/>
      </w:r>
      <w:r>
        <w:fldChar w:fldCharType="begin"/>
      </w:r>
      <w:r>
        <w:instrText xml:space="preserve"> PAGEREF SENTENCIA_2013_72 \h </w:instrText>
      </w:r>
      <w:r>
        <w:fldChar w:fldCharType="separate"/>
      </w:r>
      <w:r w:rsidR="00AF4A65">
        <w:rPr>
          <w:noProof/>
        </w:rPr>
        <w:t>1300</w:t>
      </w:r>
      <w:r>
        <w:fldChar w:fldCharType="end"/>
      </w:r>
    </w:p>
    <w:p w:rsidR="001F24E8" w:rsidRDefault="001F24E8" w:rsidP="001F24E8"/>
    <w:p w:rsidR="001F24E8" w:rsidRDefault="001F24E8" w:rsidP="001F24E8">
      <w:pPr>
        <w:pStyle w:val="EntradandiceSentencia"/>
      </w:pPr>
      <w:r>
        <w:t>Sala Primera. Sentencia 73/2013, de 8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401-2011. </w:t>
      </w:r>
      <w:r w:rsidRPr="001F24E8">
        <w:rPr>
          <w:rStyle w:val="TextoNormalCursivaCaracter"/>
        </w:rPr>
        <w:t xml:space="preserve"> Vulneración del derecho a la tutela judicial efectiva (acceso al recurso): subsanabilidad de la omisión de constitución del depósito para recurrir (SSTC 129/2012 y 130/2012).</w:t>
      </w:r>
      <w:r>
        <w:tab/>
      </w:r>
      <w:r>
        <w:tab/>
      </w:r>
      <w:r>
        <w:fldChar w:fldCharType="begin"/>
      </w:r>
      <w:r>
        <w:instrText xml:space="preserve"> PAGEREF SENTENCIA_2013_73 \h </w:instrText>
      </w:r>
      <w:r>
        <w:fldChar w:fldCharType="separate"/>
      </w:r>
      <w:r w:rsidR="00AF4A65">
        <w:rPr>
          <w:noProof/>
        </w:rPr>
        <w:t>1307</w:t>
      </w:r>
      <w:r>
        <w:fldChar w:fldCharType="end"/>
      </w:r>
    </w:p>
    <w:p w:rsidR="001F24E8" w:rsidRDefault="001F24E8" w:rsidP="001F24E8"/>
    <w:p w:rsidR="001F24E8" w:rsidRDefault="001F24E8" w:rsidP="001F24E8">
      <w:pPr>
        <w:pStyle w:val="EntradandiceSentencia"/>
      </w:pPr>
      <w:r>
        <w:t>Sala Segunda. Sentencia 74/2013, de 8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1770-2011. </w:t>
      </w:r>
      <w:r w:rsidRPr="001F24E8">
        <w:rPr>
          <w:rStyle w:val="TextoNormalCursivaCaracter"/>
        </w:rPr>
        <w:t xml:space="preserve"> Vulneración del derecho a la tutela judicial efectiva (acceso al recurso): subsanabilidad de la omisión de constitución del depósito para recurrir (SSTC 129/2012 y 130/2012).</w:t>
      </w:r>
      <w:r>
        <w:tab/>
      </w:r>
      <w:r>
        <w:tab/>
      </w:r>
      <w:r>
        <w:fldChar w:fldCharType="begin"/>
      </w:r>
      <w:r>
        <w:instrText xml:space="preserve"> PAGEREF SENTENCIA_2013_74 \h </w:instrText>
      </w:r>
      <w:r>
        <w:fldChar w:fldCharType="separate"/>
      </w:r>
      <w:r w:rsidR="00AF4A65">
        <w:rPr>
          <w:noProof/>
        </w:rPr>
        <w:t>1315</w:t>
      </w:r>
      <w:r>
        <w:fldChar w:fldCharType="end"/>
      </w:r>
    </w:p>
    <w:p w:rsidR="001F24E8" w:rsidRDefault="001F24E8" w:rsidP="001F24E8"/>
    <w:p w:rsidR="001F24E8" w:rsidRDefault="001F24E8" w:rsidP="001F24E8">
      <w:pPr>
        <w:pStyle w:val="EntradandiceSentencia"/>
      </w:pPr>
      <w:r>
        <w:t>Sala Primera. Sentencia 75/2013, de 8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1771-2011. </w:t>
      </w:r>
      <w:r w:rsidRPr="001F24E8">
        <w:rPr>
          <w:rStyle w:val="TextoNormalCursivaCaracter"/>
        </w:rPr>
        <w:t xml:space="preserve"> Vulneración de los derechos a un proceso con todas las garantías y a la presunción de inocencia: condena fundada únicamente </w:t>
      </w:r>
      <w:r w:rsidRPr="001F24E8">
        <w:rPr>
          <w:rStyle w:val="TextoNormalCursivaCaracter"/>
        </w:rPr>
        <w:lastRenderedPageBreak/>
        <w:t>en un testimonio anónimo cuya fiabilidad no tuvieron oportunidad de contrastar los acusados (STC 174/2011).</w:t>
      </w:r>
      <w:r>
        <w:tab/>
      </w:r>
      <w:r>
        <w:tab/>
      </w:r>
      <w:r>
        <w:fldChar w:fldCharType="begin"/>
      </w:r>
      <w:r>
        <w:instrText xml:space="preserve"> PAGEREF SENTENCIA_2013_75 \h </w:instrText>
      </w:r>
      <w:r>
        <w:fldChar w:fldCharType="separate"/>
      </w:r>
      <w:r w:rsidR="00AF4A65">
        <w:rPr>
          <w:noProof/>
        </w:rPr>
        <w:t>1325</w:t>
      </w:r>
      <w:r>
        <w:fldChar w:fldCharType="end"/>
      </w:r>
    </w:p>
    <w:p w:rsidR="001F24E8" w:rsidRDefault="001F24E8" w:rsidP="001F24E8"/>
    <w:p w:rsidR="001F24E8" w:rsidRDefault="001F24E8" w:rsidP="001F24E8">
      <w:pPr>
        <w:pStyle w:val="EntradandiceSentencia"/>
      </w:pPr>
      <w:r>
        <w:t>Sala Primera. Sentencia 76/2013, de 8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3268-2011. </w:t>
      </w:r>
      <w:r w:rsidRPr="001F24E8">
        <w:rPr>
          <w:rStyle w:val="TextoNormalCursivaCaracter"/>
        </w:rPr>
        <w:t xml:space="preserve"> Vulneración del derecho a la tutela judicial sin indefensión: falta de emplazamiento de quien es titular de una estación de servicio ubicada en unos terrenos cuya clasificación urbanística fue alterada en la revisión del instrumento de planeamiento impugnada (STC 242/2012).</w:t>
      </w:r>
      <w:r>
        <w:tab/>
      </w:r>
      <w:r>
        <w:tab/>
      </w:r>
      <w:r>
        <w:fldChar w:fldCharType="begin"/>
      </w:r>
      <w:r>
        <w:instrText xml:space="preserve"> PAGEREF SENTENCIA_2013_76 \h </w:instrText>
      </w:r>
      <w:r>
        <w:fldChar w:fldCharType="separate"/>
      </w:r>
      <w:r w:rsidR="00AF4A65">
        <w:rPr>
          <w:noProof/>
        </w:rPr>
        <w:t>1339</w:t>
      </w:r>
      <w:r>
        <w:fldChar w:fldCharType="end"/>
      </w:r>
    </w:p>
    <w:p w:rsidR="001F24E8" w:rsidRDefault="001F24E8" w:rsidP="001F24E8"/>
    <w:p w:rsidR="001F24E8" w:rsidRDefault="001F24E8" w:rsidP="001F24E8">
      <w:pPr>
        <w:pStyle w:val="EntradandiceSentencia"/>
      </w:pPr>
      <w:r>
        <w:t>Sala Segunda. Sentencia 77/2013, de 8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5030-2011. </w:t>
      </w:r>
      <w:r w:rsidRPr="001F24E8">
        <w:rPr>
          <w:rStyle w:val="TextoNormalCursivaCaracter"/>
        </w:rPr>
        <w:t xml:space="preserve"> Vulneración del derecho a la igualdad ante la ley: STC 41/2013 (denegación de la pretensión ejercitada en el litigio social que trae causa de la aplicación de un precepto legal contrario al derecho a la igualdad ante la ley al supeditar el disfrute del derecho a la pensión de viudedad que en él se establece a que el causante y el beneficiario hubieran tenido hijos comunes).</w:t>
      </w:r>
      <w:r>
        <w:tab/>
      </w:r>
      <w:r>
        <w:tab/>
      </w:r>
      <w:r>
        <w:fldChar w:fldCharType="begin"/>
      </w:r>
      <w:r>
        <w:instrText xml:space="preserve"> PAGEREF SENTENCIA_2013_77 \h </w:instrText>
      </w:r>
      <w:r>
        <w:fldChar w:fldCharType="separate"/>
      </w:r>
      <w:r w:rsidR="00AF4A65">
        <w:rPr>
          <w:noProof/>
        </w:rPr>
        <w:t>1353</w:t>
      </w:r>
      <w:r>
        <w:fldChar w:fldCharType="end"/>
      </w:r>
    </w:p>
    <w:p w:rsidR="001F24E8" w:rsidRDefault="001F24E8" w:rsidP="001F24E8"/>
    <w:p w:rsidR="001F24E8" w:rsidRDefault="001F24E8" w:rsidP="001F24E8">
      <w:pPr>
        <w:pStyle w:val="EntradandiceSentencia"/>
      </w:pPr>
      <w:r>
        <w:t>Sala Segunda. Sentencia 78/2013, de 8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6915-2011. </w:t>
      </w:r>
      <w:r w:rsidRPr="001F24E8">
        <w:rPr>
          <w:rStyle w:val="TextoNormalCursivaCaracter"/>
        </w:rPr>
        <w:t xml:space="preserve"> Supuesta vulneración de los derechos a la tutela judicial efectiva (resolución fundada en Derecho) y a la presunción de inocencia: condena fundada en la incriminación sumarial válidamente reproducida en el juicio oral; inaplicación de la atenuante muy cualificada de dilaciones indebidas por la pasividad procesal del acusado.</w:t>
      </w:r>
      <w:r>
        <w:tab/>
      </w:r>
      <w:r>
        <w:tab/>
      </w:r>
      <w:r>
        <w:fldChar w:fldCharType="begin"/>
      </w:r>
      <w:r>
        <w:instrText xml:space="preserve"> PAGEREF SENTENCIA_2013_78 \h </w:instrText>
      </w:r>
      <w:r>
        <w:fldChar w:fldCharType="separate"/>
      </w:r>
      <w:r w:rsidR="00AF4A65">
        <w:rPr>
          <w:noProof/>
        </w:rPr>
        <w:t>1361</w:t>
      </w:r>
      <w:r>
        <w:fldChar w:fldCharType="end"/>
      </w:r>
    </w:p>
    <w:p w:rsidR="001F24E8" w:rsidRDefault="001F24E8" w:rsidP="001F24E8"/>
    <w:p w:rsidR="001F24E8" w:rsidRDefault="001F24E8" w:rsidP="001F24E8">
      <w:pPr>
        <w:pStyle w:val="EntradandiceSentencia"/>
      </w:pPr>
      <w:r>
        <w:t>Sala Primera. Sentencia 79/2013, de 8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6996-2011. </w:t>
      </w:r>
      <w:r w:rsidRPr="001F24E8">
        <w:rPr>
          <w:rStyle w:val="TextoNormalCursivaCaracter"/>
        </w:rPr>
        <w:t xml:space="preserve"> Vulneración del derecho a la tutela judicial sin indefensión: entidad mercantil que no fue emplazada personalmente al proceso pese a ser titular de un derecho de propiedad sobre el bien ejecutado inscrito en el registro de la propiedad.</w:t>
      </w:r>
      <w:r>
        <w:tab/>
      </w:r>
      <w:r>
        <w:tab/>
      </w:r>
      <w:r>
        <w:fldChar w:fldCharType="begin"/>
      </w:r>
      <w:r>
        <w:instrText xml:space="preserve"> PAGEREF SENTENCIA_2013_79 \h </w:instrText>
      </w:r>
      <w:r>
        <w:fldChar w:fldCharType="separate"/>
      </w:r>
      <w:r w:rsidR="00AF4A65">
        <w:rPr>
          <w:noProof/>
        </w:rPr>
        <w:t>1372</w:t>
      </w:r>
      <w:r>
        <w:fldChar w:fldCharType="end"/>
      </w:r>
    </w:p>
    <w:p w:rsidR="001F24E8" w:rsidRDefault="001F24E8" w:rsidP="001F24E8"/>
    <w:p w:rsidR="001F24E8" w:rsidRDefault="001F24E8" w:rsidP="001F24E8">
      <w:pPr>
        <w:pStyle w:val="EntradandiceSentencia"/>
      </w:pPr>
      <w:r>
        <w:t>Pleno. Sentencia 80/2013, de 11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5209-2003. </w:t>
      </w:r>
      <w:r w:rsidRPr="001F24E8">
        <w:rPr>
          <w:rStyle w:val="TextoNormalCursivaCaracter"/>
        </w:rPr>
        <w:t xml:space="preserve"> Competencias sobre medio ambiente y espacios naturales protegidos: carácter instrumental de las certificaciones ambientales respecto de la obra de infraestructura de competencia estatal sobre la que versan (SSTC 13/1998 y 149/2012).</w:t>
      </w:r>
      <w:r>
        <w:tab/>
      </w:r>
      <w:r>
        <w:tab/>
      </w:r>
      <w:r>
        <w:fldChar w:fldCharType="begin"/>
      </w:r>
      <w:r>
        <w:instrText xml:space="preserve"> PAGEREF SENTENCIA_2013_80 \h </w:instrText>
      </w:r>
      <w:r>
        <w:fldChar w:fldCharType="separate"/>
      </w:r>
      <w:r w:rsidR="00AF4A65">
        <w:rPr>
          <w:noProof/>
        </w:rPr>
        <w:t>1382</w:t>
      </w:r>
      <w:r>
        <w:fldChar w:fldCharType="end"/>
      </w:r>
    </w:p>
    <w:p w:rsidR="001F24E8" w:rsidRDefault="001F24E8" w:rsidP="001F24E8"/>
    <w:p w:rsidR="001F24E8" w:rsidRDefault="001F24E8" w:rsidP="001F24E8">
      <w:pPr>
        <w:pStyle w:val="EntradandiceSentencia"/>
      </w:pPr>
      <w:r>
        <w:t>Pleno. Sentencia 81/2013, de 11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Cuestión de inconstitucionalidad 6760-2003. </w:t>
      </w:r>
      <w:r w:rsidRPr="001F24E8">
        <w:rPr>
          <w:rStyle w:val="TextoNormalCursivaCaracter"/>
        </w:rPr>
        <w:t xml:space="preserve"> Competencias sobre legislación civil y función pública: nulidad de los preceptos legales autonómicos relativos a los pactos que, para regular sus relaciones económicas y patrimoniales, pueden suscribir los integrantes de una unión de hecho (STC 28/2012); constitucionalidad de las disposiciones legales sobre efectos de la inscripción de las uniones de hecho en el registro autonómico y que extienden a estas uniones el disfrute de los derechos reconocidos a los matrimonios por la Comunidad de Madrid. Voto particular.</w:t>
      </w:r>
      <w:r>
        <w:tab/>
      </w:r>
      <w:r>
        <w:tab/>
      </w:r>
      <w:r>
        <w:fldChar w:fldCharType="begin"/>
      </w:r>
      <w:r>
        <w:instrText xml:space="preserve"> PAGEREF SENTENCIA_2013_81 \h </w:instrText>
      </w:r>
      <w:r>
        <w:fldChar w:fldCharType="separate"/>
      </w:r>
      <w:r w:rsidR="00AF4A65">
        <w:rPr>
          <w:noProof/>
        </w:rPr>
        <w:t>1392</w:t>
      </w:r>
      <w:r>
        <w:fldChar w:fldCharType="end"/>
      </w:r>
    </w:p>
    <w:p w:rsidR="001F24E8" w:rsidRDefault="001F24E8" w:rsidP="001F24E8"/>
    <w:p w:rsidR="001F24E8" w:rsidRDefault="001F24E8" w:rsidP="001F24E8">
      <w:pPr>
        <w:pStyle w:val="EntradandiceSentencia"/>
      </w:pPr>
      <w:r>
        <w:t>Pleno. Sentencia 82/2013, de 11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2295-2004. </w:t>
      </w:r>
      <w:r w:rsidRPr="001F24E8">
        <w:rPr>
          <w:rStyle w:val="TextoNormalCursivaCaracter"/>
        </w:rPr>
        <w:t xml:space="preserve"> Competencias sobre ordenación general de la economía, agricultura y denominaciones de origen: interpretación conforme de diversos preceptos legales (STC 34/2013).</w:t>
      </w:r>
      <w:r>
        <w:tab/>
      </w:r>
      <w:r>
        <w:tab/>
      </w:r>
      <w:r>
        <w:fldChar w:fldCharType="begin"/>
      </w:r>
      <w:r>
        <w:instrText xml:space="preserve"> PAGEREF SENTENCIA_2013_82 \h </w:instrText>
      </w:r>
      <w:r>
        <w:fldChar w:fldCharType="separate"/>
      </w:r>
      <w:r w:rsidR="00AF4A65">
        <w:rPr>
          <w:noProof/>
        </w:rPr>
        <w:t>1411</w:t>
      </w:r>
      <w:r>
        <w:fldChar w:fldCharType="end"/>
      </w:r>
    </w:p>
    <w:p w:rsidR="001F24E8" w:rsidRDefault="001F24E8" w:rsidP="001F24E8"/>
    <w:p w:rsidR="001F24E8" w:rsidRDefault="001F24E8" w:rsidP="001F24E8">
      <w:pPr>
        <w:pStyle w:val="EntradandiceSentencia"/>
      </w:pPr>
      <w:r>
        <w:t>Pleno. Sentencia 83/2013, de 11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3157-2005. </w:t>
      </w:r>
      <w:r w:rsidRPr="001F24E8">
        <w:rPr>
          <w:rStyle w:val="TextoNormalCursivaCaracter"/>
        </w:rPr>
        <w:t xml:space="preserve"> Competencias sobre ferrocarriles: interpretación conforme de diversos preceptos reglamentarios (STC 245/2012).</w:t>
      </w:r>
      <w:r>
        <w:tab/>
      </w:r>
      <w:r>
        <w:tab/>
      </w:r>
      <w:r>
        <w:fldChar w:fldCharType="begin"/>
      </w:r>
      <w:r>
        <w:instrText xml:space="preserve"> PAGEREF SENTENCIA_2013_83 \h </w:instrText>
      </w:r>
      <w:r>
        <w:fldChar w:fldCharType="separate"/>
      </w:r>
      <w:r w:rsidR="00AF4A65">
        <w:rPr>
          <w:noProof/>
        </w:rPr>
        <w:t>1428</w:t>
      </w:r>
      <w:r>
        <w:fldChar w:fldCharType="end"/>
      </w:r>
    </w:p>
    <w:p w:rsidR="001F24E8" w:rsidRDefault="001F24E8" w:rsidP="001F24E8"/>
    <w:p w:rsidR="001F24E8" w:rsidRDefault="001F24E8" w:rsidP="001F24E8">
      <w:pPr>
        <w:pStyle w:val="EntradandiceSentencia"/>
      </w:pPr>
      <w:r>
        <w:t>Pleno. Sentencia 84/2013, de 11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7837-2006. </w:t>
      </w:r>
      <w:r w:rsidRPr="001F24E8">
        <w:rPr>
          <w:rStyle w:val="TextoNormalCursivaCaracter"/>
        </w:rPr>
        <w:t xml:space="preserve"> Competencias sobre montes, ordenación del territorio, urbanismo y medio ambiente; libertad de circulación: constitucionalidad de los preceptos legales que prohíben el cambio de uso forestal de los terrenos incendiados durante un período mínimo de treinta años y limitan la circulación con vehículos a motor por pistas forestales.</w:t>
      </w:r>
      <w:r>
        <w:tab/>
      </w:r>
      <w:r>
        <w:tab/>
      </w:r>
      <w:r>
        <w:fldChar w:fldCharType="begin"/>
      </w:r>
      <w:r>
        <w:instrText xml:space="preserve"> PAGEREF SENTENCIA_2013_84 \h </w:instrText>
      </w:r>
      <w:r>
        <w:fldChar w:fldCharType="separate"/>
      </w:r>
      <w:r w:rsidR="00AF4A65">
        <w:rPr>
          <w:noProof/>
        </w:rPr>
        <w:t>1448</w:t>
      </w:r>
      <w:r>
        <w:fldChar w:fldCharType="end"/>
      </w:r>
    </w:p>
    <w:p w:rsidR="001F24E8" w:rsidRDefault="001F24E8" w:rsidP="001F24E8"/>
    <w:p w:rsidR="001F24E8" w:rsidRDefault="001F24E8" w:rsidP="001F24E8">
      <w:pPr>
        <w:pStyle w:val="EntradandiceSentencia"/>
      </w:pPr>
      <w:r>
        <w:t>Pleno. Sentencia 85/2013, de 11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9451-2006. </w:t>
      </w:r>
      <w:r w:rsidRPr="001F24E8">
        <w:rPr>
          <w:rStyle w:val="TextoNormalCursivaCaracter"/>
        </w:rPr>
        <w:t xml:space="preserve"> Límites de la potestad tributaria de las Comunidades Autónomas: constitucionalidad del canon autonómico del agua, nulidad del precepto legal que atribuye al Gobierno Vasco la determinación de los conceptos que deban incluirse en la tarificación del uso del agua, interpretación conforme del precepto relativo a los ingresos de la Agencia Vasca del Agua. Voto particular.</w:t>
      </w:r>
      <w:r>
        <w:tab/>
      </w:r>
      <w:r>
        <w:tab/>
      </w:r>
      <w:r>
        <w:fldChar w:fldCharType="begin"/>
      </w:r>
      <w:r>
        <w:instrText xml:space="preserve"> PAGEREF SENTENCIA_2013_85 \h </w:instrText>
      </w:r>
      <w:r>
        <w:fldChar w:fldCharType="separate"/>
      </w:r>
      <w:r w:rsidR="00AF4A65">
        <w:rPr>
          <w:noProof/>
        </w:rPr>
        <w:t>1464</w:t>
      </w:r>
      <w:r>
        <w:fldChar w:fldCharType="end"/>
      </w:r>
    </w:p>
    <w:p w:rsidR="001F24E8" w:rsidRDefault="001F24E8" w:rsidP="001F24E8"/>
    <w:p w:rsidR="001F24E8" w:rsidRDefault="001F24E8" w:rsidP="001F24E8">
      <w:pPr>
        <w:pStyle w:val="EntradandiceSentencia"/>
      </w:pPr>
      <w:r>
        <w:t>Pleno. Sentencia 86/2013, de 11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2394-2008. </w:t>
      </w:r>
      <w:r w:rsidRPr="001F24E8">
        <w:rPr>
          <w:rStyle w:val="TextoNormalCursivaCaracter"/>
        </w:rPr>
        <w:t xml:space="preserve"> Límites materiales de las leyes de presupuestos: nulidad del precepto legal autonómico que establece los efectos del silencio administrativo en los procedimientos para el reconocimiento de la situación de dependencia y del derecho a las prestaciones del sistema valenciano para las personas dependientes (STC 7/2010).</w:t>
      </w:r>
      <w:r>
        <w:tab/>
      </w:r>
      <w:r>
        <w:tab/>
      </w:r>
      <w:r>
        <w:fldChar w:fldCharType="begin"/>
      </w:r>
      <w:r>
        <w:instrText xml:space="preserve"> PAGEREF SENTENCIA_2013_86 \h </w:instrText>
      </w:r>
      <w:r>
        <w:fldChar w:fldCharType="separate"/>
      </w:r>
      <w:r w:rsidR="00AF4A65">
        <w:rPr>
          <w:noProof/>
        </w:rPr>
        <w:t>1497</w:t>
      </w:r>
      <w:r>
        <w:fldChar w:fldCharType="end"/>
      </w:r>
    </w:p>
    <w:p w:rsidR="001F24E8" w:rsidRDefault="001F24E8" w:rsidP="001F24E8"/>
    <w:p w:rsidR="001F24E8" w:rsidRDefault="001F24E8" w:rsidP="001F24E8">
      <w:pPr>
        <w:pStyle w:val="EntradandiceSentencia"/>
      </w:pPr>
      <w:r>
        <w:t>Pleno. Sentencia 87/2013, de 11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6868-2008. </w:t>
      </w:r>
      <w:r w:rsidRPr="001F24E8">
        <w:rPr>
          <w:rStyle w:val="TextoNormalCursivaCaracter"/>
        </w:rPr>
        <w:t xml:space="preserve"> Competencias sobre medio ambiente y espacios naturales: constitucionalidad del precepto legal relativo a la declaración y gestión de espacios naturales protegidos marinos (SSTC 38/2002 y 8/2013).</w:t>
      </w:r>
      <w:r>
        <w:tab/>
      </w:r>
      <w:r>
        <w:tab/>
      </w:r>
      <w:r>
        <w:fldChar w:fldCharType="begin"/>
      </w:r>
      <w:r>
        <w:instrText xml:space="preserve"> PAGEREF SENTENCIA_2013_87 \h </w:instrText>
      </w:r>
      <w:r>
        <w:fldChar w:fldCharType="separate"/>
      </w:r>
      <w:r w:rsidR="00AF4A65">
        <w:rPr>
          <w:noProof/>
        </w:rPr>
        <w:t>1509</w:t>
      </w:r>
      <w:r>
        <w:fldChar w:fldCharType="end"/>
      </w:r>
    </w:p>
    <w:p w:rsidR="001F24E8" w:rsidRDefault="001F24E8" w:rsidP="001F24E8"/>
    <w:p w:rsidR="001F24E8" w:rsidRDefault="001F24E8" w:rsidP="001F24E8">
      <w:pPr>
        <w:pStyle w:val="EntradandiceSentencia"/>
      </w:pPr>
      <w:r>
        <w:t>Pleno. Sentencia 88/2013, de 11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10713-2009. </w:t>
      </w:r>
      <w:r w:rsidRPr="001F24E8">
        <w:rPr>
          <w:rStyle w:val="TextoNormalCursivaCaracter"/>
        </w:rPr>
        <w:t xml:space="preserve"> Vulneración de los derechos a un proceso con todas las garantías y a la presunción de inocencia: condena en segunda instancia basada en una actividad probatoria carente de garantías (STC 167/2002); lugar de presentación de los escritos de iniciación del recurso de amparo. Voto particular.</w:t>
      </w:r>
      <w:r>
        <w:tab/>
      </w:r>
      <w:r>
        <w:tab/>
      </w:r>
      <w:r>
        <w:fldChar w:fldCharType="begin"/>
      </w:r>
      <w:r>
        <w:instrText xml:space="preserve"> PAGEREF SENTENCIA_2013_88 \h </w:instrText>
      </w:r>
      <w:r>
        <w:fldChar w:fldCharType="separate"/>
      </w:r>
      <w:r w:rsidR="00AF4A65">
        <w:rPr>
          <w:noProof/>
        </w:rPr>
        <w:t>1527</w:t>
      </w:r>
      <w:r>
        <w:fldChar w:fldCharType="end"/>
      </w:r>
    </w:p>
    <w:p w:rsidR="001F24E8" w:rsidRDefault="001F24E8" w:rsidP="001F24E8"/>
    <w:p w:rsidR="001F24E8" w:rsidRDefault="001F24E8" w:rsidP="001F24E8">
      <w:pPr>
        <w:pStyle w:val="EntradandiceSentencia"/>
      </w:pPr>
      <w:r>
        <w:t>Sala Segunda. Sentencia 89/2013, de 22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6851-2010. </w:t>
      </w:r>
      <w:r w:rsidRPr="001F24E8">
        <w:rPr>
          <w:rStyle w:val="TextoNormalCursivaCaracter"/>
        </w:rPr>
        <w:t xml:space="preserve"> Competencias sobre colegios profesionales: constitucionalidad de las disposiciones legales relativas a la obligación de colegiación para el ejercicio de determinadas profesiones (STC 3/2013).</w:t>
      </w:r>
      <w:r>
        <w:tab/>
      </w:r>
      <w:r>
        <w:tab/>
      </w:r>
      <w:r>
        <w:fldChar w:fldCharType="begin"/>
      </w:r>
      <w:r>
        <w:instrText xml:space="preserve"> PAGEREF SENTENCIA_2013_89 \h </w:instrText>
      </w:r>
      <w:r>
        <w:fldChar w:fldCharType="separate"/>
      </w:r>
      <w:r w:rsidR="00AF4A65">
        <w:rPr>
          <w:noProof/>
        </w:rPr>
        <w:t>1549</w:t>
      </w:r>
      <w:r>
        <w:fldChar w:fldCharType="end"/>
      </w:r>
    </w:p>
    <w:p w:rsidR="001F24E8" w:rsidRDefault="001F24E8" w:rsidP="001F24E8"/>
    <w:p w:rsidR="001F24E8" w:rsidRDefault="001F24E8" w:rsidP="001F24E8">
      <w:pPr>
        <w:pStyle w:val="EntradandiceSentencia"/>
      </w:pPr>
      <w:r>
        <w:t>Sala Segunda. Sentencia 90/2013, de 22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2090-2011. </w:t>
      </w:r>
      <w:r w:rsidRPr="001F24E8">
        <w:rPr>
          <w:rStyle w:val="TextoNormalCursivaCaracter"/>
        </w:rPr>
        <w:t xml:space="preserve"> Supuesta vulneración del derecho a la tutela judicial efectiva (acceso al recurso): inadmisión de un recurso de apelación interpuesto por procurador carente de representación (STC 125/2005).</w:t>
      </w:r>
      <w:r>
        <w:tab/>
      </w:r>
      <w:r>
        <w:tab/>
      </w:r>
      <w:r>
        <w:fldChar w:fldCharType="begin"/>
      </w:r>
      <w:r>
        <w:instrText xml:space="preserve"> PAGEREF SENTENCIA_2013_90 \h </w:instrText>
      </w:r>
      <w:r>
        <w:fldChar w:fldCharType="separate"/>
      </w:r>
      <w:r w:rsidR="00AF4A65">
        <w:rPr>
          <w:noProof/>
        </w:rPr>
        <w:t>1560</w:t>
      </w:r>
      <w:r>
        <w:fldChar w:fldCharType="end"/>
      </w:r>
    </w:p>
    <w:p w:rsidR="001F24E8" w:rsidRDefault="001F24E8" w:rsidP="001F24E8"/>
    <w:p w:rsidR="001F24E8" w:rsidRDefault="001F24E8" w:rsidP="001F24E8">
      <w:pPr>
        <w:pStyle w:val="EntradandiceSentencia"/>
      </w:pPr>
      <w:r>
        <w:lastRenderedPageBreak/>
        <w:t>Sala Segunda. Sentencia 91/2013, de 22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Cuestión de inconstitucionalidad 3296-2011. </w:t>
      </w:r>
      <w:r w:rsidRPr="001F24E8">
        <w:rPr>
          <w:rStyle w:val="TextoNormalCursivaCaracter"/>
        </w:rPr>
        <w:t xml:space="preserve"> Competencias sobre condiciones básicas de igualdad y colegios profesionales: nulidad del precepto legal autonómico que limita, con criterios territoriales, la designación de profesionales colegiados como tercer perito en el procedimiento de tasación pericial contradictoria.</w:t>
      </w:r>
      <w:r>
        <w:tab/>
      </w:r>
      <w:r>
        <w:tab/>
      </w:r>
      <w:r>
        <w:fldChar w:fldCharType="begin"/>
      </w:r>
      <w:r>
        <w:instrText xml:space="preserve"> PAGEREF SENTENCIA_2013_91 \h </w:instrText>
      </w:r>
      <w:r>
        <w:fldChar w:fldCharType="separate"/>
      </w:r>
      <w:r w:rsidR="00AF4A65">
        <w:rPr>
          <w:noProof/>
        </w:rPr>
        <w:t>1569</w:t>
      </w:r>
      <w:r>
        <w:fldChar w:fldCharType="end"/>
      </w:r>
    </w:p>
    <w:p w:rsidR="001F24E8" w:rsidRDefault="001F24E8" w:rsidP="001F24E8"/>
    <w:p w:rsidR="001F24E8" w:rsidRDefault="001F24E8" w:rsidP="001F24E8">
      <w:pPr>
        <w:pStyle w:val="EntradandiceSentencia"/>
      </w:pPr>
      <w:r>
        <w:t>Sala Segunda. Sentencia 92/2013, de 22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Cuestión de inconstitucionalidad 4596-2011. </w:t>
      </w:r>
      <w:r w:rsidRPr="001F24E8">
        <w:rPr>
          <w:rStyle w:val="TextoNormalCursivaCaracter"/>
        </w:rPr>
        <w:t xml:space="preserve"> Competencias sobre legislación procesal y régimen jurídico de las Administraciones públicas: nulidad del precepto legal autonómico que supedita la ejecución de sentencias a la previa resolución de un expediente de responsabilidad patrimonial de la Administración.</w:t>
      </w:r>
      <w:r>
        <w:tab/>
      </w:r>
      <w:r>
        <w:tab/>
      </w:r>
      <w:r>
        <w:fldChar w:fldCharType="begin"/>
      </w:r>
      <w:r>
        <w:instrText xml:space="preserve"> PAGEREF SENTENCIA_2013_92 \h </w:instrText>
      </w:r>
      <w:r>
        <w:fldChar w:fldCharType="separate"/>
      </w:r>
      <w:r w:rsidR="00AF4A65">
        <w:rPr>
          <w:noProof/>
        </w:rPr>
        <w:t>1589</w:t>
      </w:r>
      <w:r>
        <w:fldChar w:fldCharType="end"/>
      </w:r>
    </w:p>
    <w:p w:rsidR="001F24E8" w:rsidRDefault="001F24E8" w:rsidP="001F24E8"/>
    <w:p w:rsidR="001F24E8" w:rsidRDefault="001F24E8" w:rsidP="001F24E8">
      <w:pPr>
        <w:pStyle w:val="EntradandiceSentencia"/>
      </w:pPr>
      <w:r>
        <w:t>Pleno. Sentencia 93/2013, de 23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5297-2000. </w:t>
      </w:r>
      <w:r w:rsidRPr="001F24E8">
        <w:rPr>
          <w:rStyle w:val="TextoNormalCursivaCaracter"/>
        </w:rPr>
        <w:t xml:space="preserve"> Competencias sobre legislación civil, principio de seguridad jurídica, derechos al libre desarrollo de la personalidad y a la intimidad personal y familiar, protección de la familia: nulidad de diversos preceptos legales autonómicos. Votos particulares.</w:t>
      </w:r>
      <w:r>
        <w:tab/>
      </w:r>
      <w:r>
        <w:tab/>
      </w:r>
      <w:r>
        <w:fldChar w:fldCharType="begin"/>
      </w:r>
      <w:r>
        <w:instrText xml:space="preserve"> PAGEREF SENTENCIA_2013_93 \h </w:instrText>
      </w:r>
      <w:r>
        <w:fldChar w:fldCharType="separate"/>
      </w:r>
      <w:r w:rsidR="00AF4A65">
        <w:rPr>
          <w:noProof/>
        </w:rPr>
        <w:t>1606</w:t>
      </w:r>
      <w:r>
        <w:fldChar w:fldCharType="end"/>
      </w:r>
    </w:p>
    <w:p w:rsidR="001F24E8" w:rsidRDefault="001F24E8" w:rsidP="001F24E8"/>
    <w:p w:rsidR="001F24E8" w:rsidRDefault="001F24E8" w:rsidP="001F24E8">
      <w:pPr>
        <w:pStyle w:val="EntradandiceSentencia"/>
      </w:pPr>
      <w:r>
        <w:t>Pleno. Sentencia 94/2013, de 23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596-2004. </w:t>
      </w:r>
      <w:r w:rsidRPr="001F24E8">
        <w:rPr>
          <w:rStyle w:val="TextoNormalCursivaCaracter"/>
        </w:rPr>
        <w:t xml:space="preserve"> Competencias sobre régimen jurídico de las Administraciones públicas, ordenación del territorio, urbanismo y vivienda; autonomía local: constitucionalidad de los preceptos legales estatales relativos a la creación y aportaciones públicas a las juntas de compensación, comunicación de actuaciones urbanísticas a la Administración titular de bienes inmuebles, régimen urbanístico de inmuebles desafectados y destino del patrimonio estatal de vivienda. Votos particulares.</w:t>
      </w:r>
      <w:r>
        <w:tab/>
      </w:r>
      <w:r>
        <w:tab/>
      </w:r>
      <w:r>
        <w:fldChar w:fldCharType="begin"/>
      </w:r>
      <w:r>
        <w:instrText xml:space="preserve"> PAGEREF SENTENCIA_2013_94 \h </w:instrText>
      </w:r>
      <w:r>
        <w:fldChar w:fldCharType="separate"/>
      </w:r>
      <w:r w:rsidR="00AF4A65">
        <w:rPr>
          <w:noProof/>
        </w:rPr>
        <w:t>1652</w:t>
      </w:r>
      <w:r>
        <w:fldChar w:fldCharType="end"/>
      </w:r>
    </w:p>
    <w:p w:rsidR="001F24E8" w:rsidRDefault="001F24E8" w:rsidP="001F24E8"/>
    <w:p w:rsidR="001F24E8" w:rsidRDefault="001F24E8" w:rsidP="001F24E8">
      <w:pPr>
        <w:pStyle w:val="EntradandiceSentencia"/>
      </w:pPr>
      <w:r>
        <w:t>Pleno. Sentencia 95/2013, de 23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4593-2004. </w:t>
      </w:r>
      <w:r w:rsidRPr="001F24E8">
        <w:rPr>
          <w:rStyle w:val="TextoNormalCursivaCaracter"/>
        </w:rPr>
        <w:t xml:space="preserve"> Competencias en materia laboral: vulneración de competencias ejecutivas autonómicas (STC 244/2012). Voto particular.</w:t>
      </w:r>
      <w:r>
        <w:tab/>
      </w:r>
      <w:r>
        <w:tab/>
      </w:r>
      <w:r>
        <w:fldChar w:fldCharType="begin"/>
      </w:r>
      <w:r>
        <w:instrText xml:space="preserve"> PAGEREF SENTENCIA_2013_95 \h </w:instrText>
      </w:r>
      <w:r>
        <w:fldChar w:fldCharType="separate"/>
      </w:r>
      <w:r w:rsidR="00AF4A65">
        <w:rPr>
          <w:noProof/>
        </w:rPr>
        <w:t>1693</w:t>
      </w:r>
      <w:r>
        <w:fldChar w:fldCharType="end"/>
      </w:r>
    </w:p>
    <w:p w:rsidR="001F24E8" w:rsidRDefault="001F24E8" w:rsidP="001F24E8"/>
    <w:p w:rsidR="001F24E8" w:rsidRDefault="001F24E8" w:rsidP="001F24E8">
      <w:pPr>
        <w:pStyle w:val="EntradandiceSentencia"/>
      </w:pPr>
      <w:r>
        <w:lastRenderedPageBreak/>
        <w:t>Pleno. Sentencia 96/2013, de 23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3095-2006. </w:t>
      </w:r>
      <w:r w:rsidRPr="001F24E8">
        <w:rPr>
          <w:rStyle w:val="TextoNormalCursivaCaracter"/>
        </w:rPr>
        <w:t xml:space="preserve"> Límites de la potestad tributaria de las Comunidades Autónomas: constitucionalidad del impuesto autonómico sobre daño medioambiental causado por las grandes áreas de venta (STC 122/2012).</w:t>
      </w:r>
      <w:r>
        <w:tab/>
      </w:r>
      <w:r>
        <w:tab/>
      </w:r>
      <w:r>
        <w:fldChar w:fldCharType="begin"/>
      </w:r>
      <w:r>
        <w:instrText xml:space="preserve"> PAGEREF SENTENCIA_2013_96 \h </w:instrText>
      </w:r>
      <w:r>
        <w:fldChar w:fldCharType="separate"/>
      </w:r>
      <w:r w:rsidR="00AF4A65">
        <w:rPr>
          <w:noProof/>
        </w:rPr>
        <w:t>1715</w:t>
      </w:r>
      <w:r>
        <w:fldChar w:fldCharType="end"/>
      </w:r>
    </w:p>
    <w:p w:rsidR="001F24E8" w:rsidRDefault="001F24E8" w:rsidP="001F24E8"/>
    <w:p w:rsidR="001F24E8" w:rsidRDefault="001F24E8" w:rsidP="001F24E8">
      <w:pPr>
        <w:pStyle w:val="EntradandiceSentencia"/>
      </w:pPr>
      <w:r>
        <w:t>Pleno. Sentencia 97/2013, de 23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8020-2006. </w:t>
      </w:r>
      <w:r w:rsidRPr="001F24E8">
        <w:rPr>
          <w:rStyle w:val="TextoNormalCursivaCaracter"/>
        </w:rPr>
        <w:t xml:space="preserve"> Competencias sobre montes, ordenación del territorio y medio ambiente: constitucionalidad de los preceptos legales estatales que prohíben el cambio de uso forestal de los terrenos incendiados durante un período mínimo de treinta años y limitan la circulación con vehículos a motor por pistas forestales (STC 84/2013).</w:t>
      </w:r>
      <w:r>
        <w:tab/>
      </w:r>
      <w:r>
        <w:tab/>
      </w:r>
      <w:r>
        <w:fldChar w:fldCharType="begin"/>
      </w:r>
      <w:r>
        <w:instrText xml:space="preserve"> PAGEREF SENTENCIA_2013_97 \h </w:instrText>
      </w:r>
      <w:r>
        <w:fldChar w:fldCharType="separate"/>
      </w:r>
      <w:r w:rsidR="00AF4A65">
        <w:rPr>
          <w:noProof/>
        </w:rPr>
        <w:t>1746</w:t>
      </w:r>
      <w:r>
        <w:fldChar w:fldCharType="end"/>
      </w:r>
    </w:p>
    <w:p w:rsidR="001F24E8" w:rsidRDefault="001F24E8" w:rsidP="001F24E8"/>
    <w:p w:rsidR="001F24E8" w:rsidRDefault="001F24E8" w:rsidP="001F24E8">
      <w:pPr>
        <w:pStyle w:val="EntradandiceSentencia"/>
      </w:pPr>
      <w:r>
        <w:t>Pleno. Sentencia 98/2013, de 23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4368-2007. </w:t>
      </w:r>
      <w:r w:rsidRPr="001F24E8">
        <w:rPr>
          <w:rStyle w:val="TextoNormalCursivaCaracter"/>
        </w:rPr>
        <w:t xml:space="preserve"> Competencias sobre fundaciones y legislación civil: nulidad de los preceptos legales autonómicos relativos a la fusión de fundaciones (STC 341/2005).</w:t>
      </w:r>
      <w:r>
        <w:tab/>
      </w:r>
      <w:r>
        <w:tab/>
      </w:r>
      <w:r>
        <w:fldChar w:fldCharType="begin"/>
      </w:r>
      <w:r>
        <w:instrText xml:space="preserve"> PAGEREF SENTENCIA_2013_98 \h </w:instrText>
      </w:r>
      <w:r>
        <w:fldChar w:fldCharType="separate"/>
      </w:r>
      <w:r w:rsidR="00AF4A65">
        <w:rPr>
          <w:noProof/>
        </w:rPr>
        <w:t>1761</w:t>
      </w:r>
      <w:r>
        <w:fldChar w:fldCharType="end"/>
      </w:r>
    </w:p>
    <w:p w:rsidR="001F24E8" w:rsidRDefault="001F24E8" w:rsidP="001F24E8"/>
    <w:p w:rsidR="001F24E8" w:rsidRDefault="001F24E8" w:rsidP="001F24E8">
      <w:pPr>
        <w:pStyle w:val="EntradandiceSentencia"/>
      </w:pPr>
      <w:r>
        <w:t>Pleno. Sentencia 99/2013, de 23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78-2008. </w:t>
      </w:r>
      <w:r w:rsidRPr="001F24E8">
        <w:rPr>
          <w:rStyle w:val="TextoNormalCursivaCaracter"/>
        </w:rPr>
        <w:t xml:space="preserve"> Competencias sobre medio ambiente y espacios naturales protegidos: constitucionalidad de los preceptos legales estatales relativos a la declaración y gestión de parques nacionales marinos (SSTC 38/2002 y 8/2013).</w:t>
      </w:r>
      <w:r>
        <w:tab/>
      </w:r>
      <w:r>
        <w:tab/>
      </w:r>
      <w:r>
        <w:fldChar w:fldCharType="begin"/>
      </w:r>
      <w:r>
        <w:instrText xml:space="preserve"> PAGEREF SENTENCIA_2013_99 \h </w:instrText>
      </w:r>
      <w:r>
        <w:fldChar w:fldCharType="separate"/>
      </w:r>
      <w:r w:rsidR="00AF4A65">
        <w:rPr>
          <w:noProof/>
        </w:rPr>
        <w:t>1775</w:t>
      </w:r>
      <w:r>
        <w:fldChar w:fldCharType="end"/>
      </w:r>
    </w:p>
    <w:p w:rsidR="001F24E8" w:rsidRDefault="001F24E8" w:rsidP="001F24E8"/>
    <w:p w:rsidR="001F24E8" w:rsidRDefault="001F24E8" w:rsidP="001F24E8">
      <w:pPr>
        <w:pStyle w:val="EntradandiceSentencia"/>
      </w:pPr>
      <w:r>
        <w:t>Pleno. Sentencia 100/2013, de 23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2358-2008. </w:t>
      </w:r>
      <w:r w:rsidRPr="001F24E8">
        <w:rPr>
          <w:rStyle w:val="TextoNormalCursivaCaracter"/>
        </w:rPr>
        <w:t xml:space="preserve"> Principio de solidaridad territorial, financiación autonómica: constitucionalidad del precepto legal que regula la aplicación de la metodología para el cumplimiento del régimen de inversiones estatales en infraestructuras previsto en el Estatuto de Autonomía de Cataluña.</w:t>
      </w:r>
      <w:r>
        <w:tab/>
      </w:r>
      <w:r>
        <w:tab/>
      </w:r>
      <w:r>
        <w:fldChar w:fldCharType="begin"/>
      </w:r>
      <w:r>
        <w:instrText xml:space="preserve"> PAGEREF SENTENCIA_2013_100 \h </w:instrText>
      </w:r>
      <w:r>
        <w:fldChar w:fldCharType="separate"/>
      </w:r>
      <w:r w:rsidR="00AF4A65">
        <w:rPr>
          <w:noProof/>
        </w:rPr>
        <w:t>1789</w:t>
      </w:r>
      <w:r>
        <w:fldChar w:fldCharType="end"/>
      </w:r>
    </w:p>
    <w:p w:rsidR="001F24E8" w:rsidRDefault="001F24E8" w:rsidP="001F24E8"/>
    <w:p w:rsidR="001F24E8" w:rsidRDefault="001F24E8" w:rsidP="001F24E8">
      <w:pPr>
        <w:pStyle w:val="EntradandiceSentencia"/>
      </w:pPr>
      <w:r>
        <w:t>Pleno. Sentencia 101/2013, de 23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2410-2008. </w:t>
      </w:r>
      <w:r w:rsidRPr="001F24E8">
        <w:rPr>
          <w:rStyle w:val="TextoNormalCursivaCaracter"/>
        </w:rPr>
        <w:t xml:space="preserve"> Sistema de financiación autonómica: constitucionalidad de los preceptos legales que determinan las cuantías de los fondos de compensación interterritorial, establecen la compensación por </w:t>
      </w:r>
      <w:r w:rsidRPr="001F24E8">
        <w:rPr>
          <w:rStyle w:val="TextoNormalCursivaCaracter"/>
        </w:rPr>
        <w:lastRenderedPageBreak/>
        <w:t>la supresión del impuesto general sobre el tráfico de empresas y fijan el importe de la inversión estatal en Canarias.</w:t>
      </w:r>
      <w:r>
        <w:tab/>
      </w:r>
      <w:r>
        <w:tab/>
      </w:r>
      <w:r>
        <w:fldChar w:fldCharType="begin"/>
      </w:r>
      <w:r>
        <w:instrText xml:space="preserve"> PAGEREF SENTENCIA_2013_101 \h </w:instrText>
      </w:r>
      <w:r>
        <w:fldChar w:fldCharType="separate"/>
      </w:r>
      <w:r w:rsidR="00AF4A65">
        <w:rPr>
          <w:noProof/>
        </w:rPr>
        <w:t>1799</w:t>
      </w:r>
      <w:r>
        <w:fldChar w:fldCharType="end"/>
      </w:r>
    </w:p>
    <w:p w:rsidR="001F24E8" w:rsidRDefault="001F24E8" w:rsidP="001F24E8"/>
    <w:p w:rsidR="001F24E8" w:rsidRDefault="001F24E8" w:rsidP="001F24E8">
      <w:pPr>
        <w:pStyle w:val="EntradandiceSentencia"/>
      </w:pPr>
      <w:r>
        <w:t>Pleno. Sentencia 102/2013, de 23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6883-2010. </w:t>
      </w:r>
      <w:r w:rsidRPr="001F24E8">
        <w:rPr>
          <w:rStyle w:val="TextoNormalCursivaCaracter"/>
        </w:rPr>
        <w:t xml:space="preserve"> Competencias sobre régimen energético, medio ambiente y espacios naturales protegidos: constitucionalidad de los preceptos legales estatales relativos al suministro de energía eléctrica a los usuarios (STC 18/2011) y al régimen de concesiones y autorizaciones de actividades de servicios en los parques nacionales (STC 101/2005).</w:t>
      </w:r>
      <w:r>
        <w:tab/>
      </w:r>
      <w:r>
        <w:tab/>
      </w:r>
      <w:r>
        <w:fldChar w:fldCharType="begin"/>
      </w:r>
      <w:r>
        <w:instrText xml:space="preserve"> PAGEREF SENTENCIA_2013_102 \h </w:instrText>
      </w:r>
      <w:r>
        <w:fldChar w:fldCharType="separate"/>
      </w:r>
      <w:r w:rsidR="00AF4A65">
        <w:rPr>
          <w:noProof/>
        </w:rPr>
        <w:t>1820</w:t>
      </w:r>
      <w:r>
        <w:fldChar w:fldCharType="end"/>
      </w:r>
    </w:p>
    <w:p w:rsidR="001F24E8" w:rsidRDefault="001F24E8" w:rsidP="001F24E8"/>
    <w:p w:rsidR="001F24E8" w:rsidRDefault="001F24E8" w:rsidP="001F24E8">
      <w:pPr>
        <w:pStyle w:val="EntradandiceSentencia"/>
      </w:pPr>
      <w:r>
        <w:t>Pleno. Sentencia 103/2013, de 25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1523-2004. </w:t>
      </w:r>
      <w:r w:rsidRPr="001F24E8">
        <w:rPr>
          <w:rStyle w:val="TextoNormalCursivaCaracter"/>
        </w:rPr>
        <w:t xml:space="preserve"> Competencias sobre régimen local; autonomía local: inconstitucionalidad del precepto legal que permite nombrar como miembros de la junta de gobierno local a personas distintas de los concejales, interpretación conforme del precepto que enumera los órganos municipales superiores y directivos. Voto particular.</w:t>
      </w:r>
      <w:r>
        <w:tab/>
      </w:r>
      <w:r>
        <w:tab/>
      </w:r>
      <w:r>
        <w:fldChar w:fldCharType="begin"/>
      </w:r>
      <w:r>
        <w:instrText xml:space="preserve"> PAGEREF SENTENCIA_2013_103 \h </w:instrText>
      </w:r>
      <w:r>
        <w:fldChar w:fldCharType="separate"/>
      </w:r>
      <w:r w:rsidR="00AF4A65">
        <w:rPr>
          <w:noProof/>
        </w:rPr>
        <w:t>1841</w:t>
      </w:r>
      <w:r>
        <w:fldChar w:fldCharType="end"/>
      </w:r>
    </w:p>
    <w:p w:rsidR="001F24E8" w:rsidRDefault="001F24E8" w:rsidP="001F24E8"/>
    <w:p w:rsidR="001F24E8" w:rsidRDefault="001F24E8" w:rsidP="001F24E8">
      <w:pPr>
        <w:pStyle w:val="EntradandiceSentencia"/>
      </w:pPr>
      <w:r>
        <w:t>Pleno. Sentencia 104/2013, de 25 de abril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2095-2004. </w:t>
      </w:r>
      <w:r w:rsidRPr="001F24E8">
        <w:rPr>
          <w:rStyle w:val="TextoNormalCursivaCaracter"/>
        </w:rPr>
        <w:t xml:space="preserve"> Competencias en materia de aguas, agricultura asistencia social, legislación laboral y medio ambiente; autonomía local: nulidad del precepto legal que atribuye a un órgano estatal la competencia para sancionar infracciones en materia de desempleo (STC 195/1996), interpretación conforme del precepto legal que prevé la intervención subsidiaria del Gobierno de la Nación en las propuestas de elaboración y revisión de los planes hidrológicos de cuenca (STC 227/1988).</w:t>
      </w:r>
      <w:r>
        <w:tab/>
      </w:r>
      <w:r>
        <w:tab/>
      </w:r>
      <w:r>
        <w:fldChar w:fldCharType="begin"/>
      </w:r>
      <w:r>
        <w:instrText xml:space="preserve"> PAGEREF SENTENCIA_2013_104 \h </w:instrText>
      </w:r>
      <w:r>
        <w:fldChar w:fldCharType="separate"/>
      </w:r>
      <w:r w:rsidR="00AF4A65">
        <w:rPr>
          <w:noProof/>
        </w:rPr>
        <w:t>1884</w:t>
      </w:r>
      <w:r>
        <w:fldChar w:fldCharType="end"/>
      </w:r>
    </w:p>
    <w:p w:rsidR="001F24E8" w:rsidRDefault="001F24E8" w:rsidP="001F24E8"/>
    <w:p w:rsidR="001F24E8" w:rsidRDefault="001F24E8" w:rsidP="001F24E8">
      <w:pPr>
        <w:pStyle w:val="EntradandiceSentencia"/>
      </w:pPr>
      <w:r>
        <w:t>Sala Primera. Sentencia 105/2013, de 6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10642-2009. </w:t>
      </w:r>
      <w:r w:rsidRPr="001F24E8">
        <w:rPr>
          <w:rStyle w:val="TextoNormalCursivaCaracter"/>
        </w:rPr>
        <w:t xml:space="preserve"> Vulneración del derecho a un proceso con todas las garantías: revisión en segunda instancia y valorando pruebas personales de la apreciación sobre prescripción del delito (STC 167/2002).</w:t>
      </w:r>
      <w:r>
        <w:tab/>
      </w:r>
      <w:r>
        <w:tab/>
      </w:r>
      <w:r>
        <w:fldChar w:fldCharType="begin"/>
      </w:r>
      <w:r>
        <w:instrText xml:space="preserve"> PAGEREF SENTENCIA_2013_105 \h </w:instrText>
      </w:r>
      <w:r>
        <w:fldChar w:fldCharType="separate"/>
      </w:r>
      <w:r w:rsidR="00AF4A65">
        <w:rPr>
          <w:noProof/>
        </w:rPr>
        <w:t>1926</w:t>
      </w:r>
      <w:r>
        <w:fldChar w:fldCharType="end"/>
      </w:r>
    </w:p>
    <w:p w:rsidR="001F24E8" w:rsidRDefault="001F24E8" w:rsidP="001F24E8"/>
    <w:p w:rsidR="001F24E8" w:rsidRDefault="001F24E8" w:rsidP="001F24E8">
      <w:pPr>
        <w:pStyle w:val="EntradandiceSentencia"/>
      </w:pPr>
      <w:r>
        <w:t>Sala Segunda. Sentencia 106/2013, de 6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8996-2010. </w:t>
      </w:r>
      <w:r w:rsidRPr="001F24E8">
        <w:rPr>
          <w:rStyle w:val="TextoNormalCursivaCaracter"/>
        </w:rPr>
        <w:t xml:space="preserve"> Vulneración del derecho a la tutela judicial efectiva (acceso a la justicia): apreciación de la excepción de litispendencia contraviniendo el carácter voluntario de la reconvención (STC 71/2010).</w:t>
      </w:r>
      <w:r>
        <w:tab/>
      </w:r>
      <w:r>
        <w:tab/>
      </w:r>
      <w:r>
        <w:fldChar w:fldCharType="begin"/>
      </w:r>
      <w:r>
        <w:instrText xml:space="preserve"> PAGEREF SENTENCIA_2013_106 \h </w:instrText>
      </w:r>
      <w:r>
        <w:fldChar w:fldCharType="separate"/>
      </w:r>
      <w:r w:rsidR="00AF4A65">
        <w:rPr>
          <w:noProof/>
        </w:rPr>
        <w:t>1940</w:t>
      </w:r>
      <w:r>
        <w:fldChar w:fldCharType="end"/>
      </w:r>
    </w:p>
    <w:p w:rsidR="001F24E8" w:rsidRDefault="001F24E8" w:rsidP="001F24E8"/>
    <w:p w:rsidR="001F24E8" w:rsidRDefault="001F24E8" w:rsidP="001F24E8">
      <w:pPr>
        <w:pStyle w:val="EntradandiceSentencia"/>
      </w:pPr>
      <w:r>
        <w:t>Sala Primera. Sentencia 107/2013, de 6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3068-2011. </w:t>
      </w:r>
      <w:r w:rsidRPr="001F24E8">
        <w:rPr>
          <w:rStyle w:val="TextoNormalCursivaCaracter"/>
        </w:rPr>
        <w:t xml:space="preserve"> Vulneración del derecho a la legalidad sancionadora: subsunción de los hechos en un ilícito administrativo tipificado por la Ley de la viña y del vino no aplicable en Castilla y León al no tener carácter básico (STC 90/2012).</w:t>
      </w:r>
      <w:r>
        <w:tab/>
      </w:r>
      <w:r>
        <w:tab/>
      </w:r>
      <w:r>
        <w:fldChar w:fldCharType="begin"/>
      </w:r>
      <w:r>
        <w:instrText xml:space="preserve"> PAGEREF SENTENCIA_2013_107 \h </w:instrText>
      </w:r>
      <w:r>
        <w:fldChar w:fldCharType="separate"/>
      </w:r>
      <w:r w:rsidR="00AF4A65">
        <w:rPr>
          <w:noProof/>
        </w:rPr>
        <w:t>1952</w:t>
      </w:r>
      <w:r>
        <w:fldChar w:fldCharType="end"/>
      </w:r>
    </w:p>
    <w:p w:rsidR="001F24E8" w:rsidRDefault="001F24E8" w:rsidP="001F24E8"/>
    <w:p w:rsidR="001F24E8" w:rsidRDefault="001F24E8" w:rsidP="001F24E8">
      <w:pPr>
        <w:pStyle w:val="EntradandiceSentencia"/>
      </w:pPr>
      <w:r>
        <w:t>Sala Primera. Sentencia 108/2013, de 6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7128-2011. </w:t>
      </w:r>
      <w:r w:rsidRPr="001F24E8">
        <w:rPr>
          <w:rStyle w:val="TextoNormalCursivaCaracter"/>
        </w:rPr>
        <w:t xml:space="preserve"> Vulneración del derecho a la tutela judicial efectiva (resolución jurídicamente fundada): modificación de la cuantía de los derechos del procurador que altera los términos de la imposición de costas acordada en la sentencia y que trae causa de la inaplicación inmotivada de la norma reglamentaria que aprueba el arancel de derechos de los procuradores.</w:t>
      </w:r>
      <w:r>
        <w:tab/>
      </w:r>
      <w:r>
        <w:tab/>
      </w:r>
      <w:r>
        <w:fldChar w:fldCharType="begin"/>
      </w:r>
      <w:r>
        <w:instrText xml:space="preserve"> PAGEREF SENTENCIA_2013_108 \h </w:instrText>
      </w:r>
      <w:r>
        <w:fldChar w:fldCharType="separate"/>
      </w:r>
      <w:r w:rsidR="00AF4A65">
        <w:rPr>
          <w:noProof/>
        </w:rPr>
        <w:t>1960</w:t>
      </w:r>
      <w:r>
        <w:fldChar w:fldCharType="end"/>
      </w:r>
    </w:p>
    <w:p w:rsidR="001F24E8" w:rsidRDefault="001F24E8" w:rsidP="001F24E8"/>
    <w:p w:rsidR="001F24E8" w:rsidRDefault="001F24E8" w:rsidP="001F24E8">
      <w:pPr>
        <w:pStyle w:val="EntradandiceSentencia"/>
      </w:pPr>
      <w:r>
        <w:t>Sala Primera. Sentencia 109/2013, de 6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2609-2012. </w:t>
      </w:r>
      <w:r w:rsidRPr="001F24E8">
        <w:rPr>
          <w:rStyle w:val="TextoNormalCursivaCaracter"/>
        </w:rPr>
        <w:t xml:space="preserve"> Vulneración del derecho a la tutela judicial efectiva en relación con los derechos a la libertad personal y a la legalidad penal: apreciación sobre prescripción de la pena que introduce causas interruptoras del cómputo del plazo de prescripción no previstas legalmente (STC 97/2010).</w:t>
      </w:r>
      <w:r>
        <w:tab/>
      </w:r>
      <w:r>
        <w:tab/>
      </w:r>
      <w:r>
        <w:fldChar w:fldCharType="begin"/>
      </w:r>
      <w:r>
        <w:instrText xml:space="preserve"> PAGEREF SENTENCIA_2013_109 \h </w:instrText>
      </w:r>
      <w:r>
        <w:fldChar w:fldCharType="separate"/>
      </w:r>
      <w:r w:rsidR="00AF4A65">
        <w:rPr>
          <w:noProof/>
        </w:rPr>
        <w:t>1974</w:t>
      </w:r>
      <w:r>
        <w:fldChar w:fldCharType="end"/>
      </w:r>
    </w:p>
    <w:p w:rsidR="001F24E8" w:rsidRDefault="001F24E8" w:rsidP="001F24E8"/>
    <w:p w:rsidR="001F24E8" w:rsidRDefault="001F24E8" w:rsidP="001F24E8">
      <w:pPr>
        <w:pStyle w:val="EntradandiceSentencia"/>
      </w:pPr>
      <w:r>
        <w:t>Sala Segunda. Sentencia 110/2013, de 6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5372-2012. </w:t>
      </w:r>
      <w:r w:rsidRPr="001F24E8">
        <w:rPr>
          <w:rStyle w:val="TextoNormalCursivaCaracter"/>
        </w:rPr>
        <w:t xml:space="preserve"> Alegada vulneración del derecho a la tutela judicial efectiva (motivación): falta de agotamiento de la vía judicial previa al haberse simultaneado el recurso de amparo con una solicitud de nulidad de actuaciones.</w:t>
      </w:r>
      <w:r>
        <w:tab/>
      </w:r>
      <w:r>
        <w:tab/>
      </w:r>
      <w:r>
        <w:fldChar w:fldCharType="begin"/>
      </w:r>
      <w:r>
        <w:instrText xml:space="preserve"> PAGEREF SENTENCIA_2013_110 \h </w:instrText>
      </w:r>
      <w:r>
        <w:fldChar w:fldCharType="separate"/>
      </w:r>
      <w:r w:rsidR="00AF4A65">
        <w:rPr>
          <w:noProof/>
        </w:rPr>
        <w:t>1983</w:t>
      </w:r>
      <w:r>
        <w:fldChar w:fldCharType="end"/>
      </w:r>
    </w:p>
    <w:p w:rsidR="001F24E8" w:rsidRDefault="001F24E8" w:rsidP="001F24E8"/>
    <w:p w:rsidR="001F24E8" w:rsidRDefault="001F24E8" w:rsidP="001F24E8">
      <w:pPr>
        <w:pStyle w:val="EntradandiceSentencia"/>
      </w:pPr>
      <w:r>
        <w:t>Pleno. Sentencia 111/2013, de 9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2144-2004. </w:t>
      </w:r>
      <w:r w:rsidRPr="001F24E8">
        <w:rPr>
          <w:rStyle w:val="TextoNormalCursivaCaracter"/>
        </w:rPr>
        <w:t xml:space="preserve"> Competencias sobre aguas, medio ambiente y espacios naturales: constitucionalidad de los preceptos legales que atribuyen a la Administración competente para la autorización del plan o proyecto la realización de la evaluación ambiental de las zonas de especial conservación (STC 149/2012), habilitan al Gobierno de la Nación para fijar el contenido del informe preliminar sobre actividades potencialmente contaminantes del suelo (STC 104/2013) y trasponen al ordenamiento interno la Directiva marco </w:t>
      </w:r>
      <w:r w:rsidRPr="001F24E8">
        <w:rPr>
          <w:rStyle w:val="TextoNormalCursivaCaracter"/>
        </w:rPr>
        <w:lastRenderedPageBreak/>
        <w:t>del agua (STC 36/2013); extinción del recurso respecto de la regulación legal de la gestión y financiación de parques nacionales.</w:t>
      </w:r>
      <w:r>
        <w:tab/>
      </w:r>
      <w:r>
        <w:tab/>
      </w:r>
      <w:r>
        <w:fldChar w:fldCharType="begin"/>
      </w:r>
      <w:r>
        <w:instrText xml:space="preserve"> PAGEREF SENTENCIA_2013_111 \h </w:instrText>
      </w:r>
      <w:r>
        <w:fldChar w:fldCharType="separate"/>
      </w:r>
      <w:r w:rsidR="00AF4A65">
        <w:rPr>
          <w:noProof/>
        </w:rPr>
        <w:t>1993</w:t>
      </w:r>
      <w:r>
        <w:fldChar w:fldCharType="end"/>
      </w:r>
    </w:p>
    <w:p w:rsidR="001F24E8" w:rsidRDefault="001F24E8" w:rsidP="001F24E8"/>
    <w:p w:rsidR="001F24E8" w:rsidRDefault="001F24E8" w:rsidP="001F24E8">
      <w:pPr>
        <w:pStyle w:val="EntradandiceSentencia"/>
      </w:pPr>
      <w:r>
        <w:t>Pleno. Sentencia 112/2013, de 9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3591-2009. </w:t>
      </w:r>
      <w:r w:rsidRPr="001F24E8">
        <w:rPr>
          <w:rStyle w:val="TextoNormalCursivaCaracter"/>
        </w:rPr>
        <w:t xml:space="preserve"> Competencias sobre ordenación general de la economía, vivienda y urbanismo: constitucionalidad de los preceptos reglamentarios estatales que establecen medidas de fomento de la vivienda (STC 152/1988).</w:t>
      </w:r>
      <w:r>
        <w:tab/>
      </w:r>
      <w:r>
        <w:tab/>
      </w:r>
      <w:r>
        <w:fldChar w:fldCharType="begin"/>
      </w:r>
      <w:r>
        <w:instrText xml:space="preserve"> PAGEREF SENTENCIA_2013_112 \h </w:instrText>
      </w:r>
      <w:r>
        <w:fldChar w:fldCharType="separate"/>
      </w:r>
      <w:r w:rsidR="00AF4A65">
        <w:rPr>
          <w:noProof/>
        </w:rPr>
        <w:t>2011</w:t>
      </w:r>
      <w:r>
        <w:fldChar w:fldCharType="end"/>
      </w:r>
    </w:p>
    <w:p w:rsidR="001F24E8" w:rsidRDefault="001F24E8" w:rsidP="001F24E8"/>
    <w:p w:rsidR="001F24E8" w:rsidRDefault="001F24E8" w:rsidP="001F24E8">
      <w:pPr>
        <w:pStyle w:val="EntradandiceSentencia"/>
      </w:pPr>
      <w:r>
        <w:t>Pleno. Sentencia 113/2013, de 9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7605-2009. </w:t>
      </w:r>
      <w:r w:rsidRPr="001F24E8">
        <w:rPr>
          <w:rStyle w:val="TextoNormalCursivaCaracter"/>
        </w:rPr>
        <w:t xml:space="preserve"> Competencias sobre medio ambiente: disposiciones reglamentarias estatales que vulneran las competencias autonómicas de gestión de las subvenciones (STC 13/1992).</w:t>
      </w:r>
      <w:r>
        <w:tab/>
      </w:r>
      <w:r>
        <w:tab/>
      </w:r>
      <w:r>
        <w:fldChar w:fldCharType="begin"/>
      </w:r>
      <w:r>
        <w:instrText xml:space="preserve"> PAGEREF SENTENCIA_2013_113 \h </w:instrText>
      </w:r>
      <w:r>
        <w:fldChar w:fldCharType="separate"/>
      </w:r>
      <w:r w:rsidR="00AF4A65">
        <w:rPr>
          <w:noProof/>
        </w:rPr>
        <w:t>2030</w:t>
      </w:r>
      <w:r>
        <w:fldChar w:fldCharType="end"/>
      </w:r>
    </w:p>
    <w:p w:rsidR="001F24E8" w:rsidRDefault="001F24E8" w:rsidP="001F24E8"/>
    <w:p w:rsidR="001F24E8" w:rsidRDefault="001F24E8" w:rsidP="001F24E8">
      <w:pPr>
        <w:pStyle w:val="EntradandiceSentencia"/>
      </w:pPr>
      <w:r>
        <w:t>Pleno. Sentencia 114/2013, de 9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630-2010. </w:t>
      </w:r>
      <w:r w:rsidRPr="001F24E8">
        <w:rPr>
          <w:rStyle w:val="TextoNormalCursivaCaracter"/>
        </w:rPr>
        <w:t xml:space="preserve"> Competencias sobre medio ambiente y caza: nulidad del precepto legal autonómico que, contraviniendo la normativa básica y el Derecho de la Unión Europea, incluye un método no selectivo de caza, el parany, entre las modalidades tradicionales de caza en la Comunidad Valenciana (STC 69/2013).</w:t>
      </w:r>
      <w:r>
        <w:tab/>
      </w:r>
      <w:r>
        <w:tab/>
      </w:r>
      <w:r>
        <w:fldChar w:fldCharType="begin"/>
      </w:r>
      <w:r>
        <w:instrText xml:space="preserve"> PAGEREF SENTENCIA_2013_114 \h </w:instrText>
      </w:r>
      <w:r>
        <w:fldChar w:fldCharType="separate"/>
      </w:r>
      <w:r w:rsidR="00AF4A65">
        <w:rPr>
          <w:noProof/>
        </w:rPr>
        <w:t>2050</w:t>
      </w:r>
      <w:r>
        <w:fldChar w:fldCharType="end"/>
      </w:r>
    </w:p>
    <w:p w:rsidR="001F24E8" w:rsidRDefault="001F24E8" w:rsidP="001F24E8"/>
    <w:p w:rsidR="001F24E8" w:rsidRDefault="001F24E8" w:rsidP="001F24E8">
      <w:pPr>
        <w:pStyle w:val="EntradandiceSentencia"/>
      </w:pPr>
      <w:r>
        <w:t>Pleno. Sentencia 115/2013, de 9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1246-2011. </w:t>
      </w:r>
      <w:r w:rsidRPr="001F24E8">
        <w:rPr>
          <w:rStyle w:val="TextoNormalCursivaCaracter"/>
        </w:rPr>
        <w:t xml:space="preserve"> Supuesta vulneración de los derechos a la intimidad y al secreto de las comunicaciones: acceso policial, sin consentimiento del afectado y sin autorización judicial, a la agenda de contactos telefónicos de un teléfono móvil (STC 142/2012)</w:t>
      </w:r>
      <w:r>
        <w:tab/>
      </w:r>
      <w:r>
        <w:tab/>
      </w:r>
      <w:r>
        <w:fldChar w:fldCharType="begin"/>
      </w:r>
      <w:r>
        <w:instrText xml:space="preserve"> PAGEREF SENTENCIA_2013_115 \h </w:instrText>
      </w:r>
      <w:r>
        <w:fldChar w:fldCharType="separate"/>
      </w:r>
      <w:r w:rsidR="00AF4A65">
        <w:rPr>
          <w:noProof/>
        </w:rPr>
        <w:t>2062</w:t>
      </w:r>
      <w:r>
        <w:fldChar w:fldCharType="end"/>
      </w:r>
    </w:p>
    <w:p w:rsidR="001F24E8" w:rsidRDefault="001F24E8" w:rsidP="001F24E8"/>
    <w:p w:rsidR="001F24E8" w:rsidRDefault="001F24E8" w:rsidP="001F24E8">
      <w:pPr>
        <w:pStyle w:val="EntradandiceSentencia"/>
      </w:pPr>
      <w:r>
        <w:t>Sala Primera. Sentencia 116/2013, de 20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1827-2009. </w:t>
      </w:r>
      <w:r w:rsidRPr="001F24E8">
        <w:rPr>
          <w:rStyle w:val="TextoNormalCursivaCaracter"/>
        </w:rPr>
        <w:t xml:space="preserve"> Vulneración del derecho a la igualdad en la ley: STC 61/2013 (determinación de los períodos de cotización de las prestaciones de Seguridad Social computando exclusivamente las horas trabajadas, en perjuicio de las trabajadoras a tiempo parcial).</w:t>
      </w:r>
      <w:r>
        <w:tab/>
      </w:r>
      <w:r>
        <w:tab/>
      </w:r>
      <w:r>
        <w:fldChar w:fldCharType="begin"/>
      </w:r>
      <w:r>
        <w:instrText xml:space="preserve"> PAGEREF SENTENCIA_2013_116 \h </w:instrText>
      </w:r>
      <w:r>
        <w:fldChar w:fldCharType="separate"/>
      </w:r>
      <w:r w:rsidR="00AF4A65">
        <w:rPr>
          <w:noProof/>
        </w:rPr>
        <w:t>2076</w:t>
      </w:r>
      <w:r>
        <w:fldChar w:fldCharType="end"/>
      </w:r>
    </w:p>
    <w:p w:rsidR="001F24E8" w:rsidRDefault="001F24E8" w:rsidP="001F24E8"/>
    <w:p w:rsidR="001F24E8" w:rsidRDefault="001F24E8" w:rsidP="001F24E8">
      <w:pPr>
        <w:pStyle w:val="EntradandiceSentencia"/>
      </w:pPr>
      <w:r>
        <w:lastRenderedPageBreak/>
        <w:t>Sala Primera. Sentencia 117/2013, de 20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4146-2009. </w:t>
      </w:r>
      <w:r w:rsidRPr="001F24E8">
        <w:rPr>
          <w:rStyle w:val="TextoNormalCursivaCaracter"/>
        </w:rPr>
        <w:t xml:space="preserve"> Vulneración de los derechos a la igualdad en la ley y a no sufrir discriminación por razón de sexo: STC 61/2013 (determinación de los períodos de cotización de las prestaciones de Seguridad Social computando exclusivamente las horas trabajadas, en perjuicio de las trabajadoras a tiempo parcial).</w:t>
      </w:r>
      <w:r>
        <w:tab/>
      </w:r>
      <w:r>
        <w:tab/>
      </w:r>
      <w:r>
        <w:fldChar w:fldCharType="begin"/>
      </w:r>
      <w:r>
        <w:instrText xml:space="preserve"> PAGEREF SENTENCIA_2013_117 \h </w:instrText>
      </w:r>
      <w:r>
        <w:fldChar w:fldCharType="separate"/>
      </w:r>
      <w:r w:rsidR="00AF4A65">
        <w:rPr>
          <w:noProof/>
        </w:rPr>
        <w:t>2085</w:t>
      </w:r>
      <w:r>
        <w:fldChar w:fldCharType="end"/>
      </w:r>
    </w:p>
    <w:p w:rsidR="001F24E8" w:rsidRDefault="001F24E8" w:rsidP="001F24E8"/>
    <w:p w:rsidR="001F24E8" w:rsidRDefault="001F24E8" w:rsidP="001F24E8">
      <w:pPr>
        <w:pStyle w:val="EntradandiceSentencia"/>
      </w:pPr>
      <w:r>
        <w:t>Sala Primera. Sentencia 118/2013, de 20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5514-2010. </w:t>
      </w:r>
      <w:r w:rsidRPr="001F24E8">
        <w:rPr>
          <w:rStyle w:val="TextoNormalCursivaCaracter"/>
        </w:rPr>
        <w:t xml:space="preserve"> Vulneración de los derechos a un proceso con todas las garantías y a la presunción de inocencia: STC 144/2012 (condena fundada en la valoración de pruebas de carácter personal y pronunciada en apelación sin haber celebrado vista pública).</w:t>
      </w:r>
      <w:r>
        <w:tab/>
      </w:r>
      <w:r>
        <w:tab/>
      </w:r>
      <w:r>
        <w:fldChar w:fldCharType="begin"/>
      </w:r>
      <w:r>
        <w:instrText xml:space="preserve"> PAGEREF SENTENCIA_2013_118 \h </w:instrText>
      </w:r>
      <w:r>
        <w:fldChar w:fldCharType="separate"/>
      </w:r>
      <w:r w:rsidR="00AF4A65">
        <w:rPr>
          <w:noProof/>
        </w:rPr>
        <w:t>2091</w:t>
      </w:r>
      <w:r>
        <w:fldChar w:fldCharType="end"/>
      </w:r>
    </w:p>
    <w:p w:rsidR="001F24E8" w:rsidRDefault="001F24E8" w:rsidP="001F24E8"/>
    <w:p w:rsidR="001F24E8" w:rsidRDefault="001F24E8" w:rsidP="001F24E8">
      <w:pPr>
        <w:pStyle w:val="EntradandiceSentencia"/>
      </w:pPr>
      <w:r>
        <w:t>Sala Primera. Sentencia 119/2013, de 20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5676-2010. </w:t>
      </w:r>
      <w:r w:rsidRPr="001F24E8">
        <w:rPr>
          <w:rStyle w:val="TextoNormalCursivaCaracter"/>
        </w:rPr>
        <w:t xml:space="preserve"> Vulneración de los derechos a un proceso con todas las garantías y a la presunción de inocencia: STC 144/2012 (condena fundada en la valoración de pruebas de carácter personal y pronunciada en apelación sin haber celebrado vista pública).</w:t>
      </w:r>
      <w:r>
        <w:tab/>
      </w:r>
      <w:r>
        <w:tab/>
      </w:r>
      <w:r>
        <w:fldChar w:fldCharType="begin"/>
      </w:r>
      <w:r>
        <w:instrText xml:space="preserve"> PAGEREF SENTENCIA_2013_119 \h </w:instrText>
      </w:r>
      <w:r>
        <w:fldChar w:fldCharType="separate"/>
      </w:r>
      <w:r w:rsidR="00AF4A65">
        <w:rPr>
          <w:noProof/>
        </w:rPr>
        <w:t>2106</w:t>
      </w:r>
      <w:r>
        <w:fldChar w:fldCharType="end"/>
      </w:r>
    </w:p>
    <w:p w:rsidR="001F24E8" w:rsidRDefault="001F24E8" w:rsidP="001F24E8"/>
    <w:p w:rsidR="001F24E8" w:rsidRDefault="001F24E8" w:rsidP="001F24E8">
      <w:pPr>
        <w:pStyle w:val="EntradandiceSentencia"/>
      </w:pPr>
      <w:r>
        <w:t>Sala Primera. Sentencia 120/2013, de 20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5732-2010. </w:t>
      </w:r>
      <w:r w:rsidRPr="001F24E8">
        <w:rPr>
          <w:rStyle w:val="TextoNormalCursivaCaracter"/>
        </w:rPr>
        <w:t xml:space="preserve"> Vulneración de los derechos a un proceso con todas las garantías y a la presunción de inocencia: STC 144/2012 (condena fundada en la valoración de pruebas de carácter personal y pronunciada en apelación sin haber celebrado vista pública).</w:t>
      </w:r>
      <w:r>
        <w:tab/>
      </w:r>
      <w:r>
        <w:tab/>
      </w:r>
      <w:r>
        <w:fldChar w:fldCharType="begin"/>
      </w:r>
      <w:r>
        <w:instrText xml:space="preserve"> PAGEREF SENTENCIA_2013_120 \h </w:instrText>
      </w:r>
      <w:r>
        <w:fldChar w:fldCharType="separate"/>
      </w:r>
      <w:r w:rsidR="00AF4A65">
        <w:rPr>
          <w:noProof/>
        </w:rPr>
        <w:t>2119</w:t>
      </w:r>
      <w:r>
        <w:fldChar w:fldCharType="end"/>
      </w:r>
    </w:p>
    <w:p w:rsidR="001F24E8" w:rsidRDefault="001F24E8" w:rsidP="001F24E8"/>
    <w:p w:rsidR="001F24E8" w:rsidRDefault="001F24E8" w:rsidP="001F24E8">
      <w:pPr>
        <w:pStyle w:val="EntradandiceSentencia"/>
      </w:pPr>
      <w:r>
        <w:t>Sala Segunda. Sentencia 121/2013, de 20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5516-2012. </w:t>
      </w:r>
      <w:r w:rsidRPr="001F24E8">
        <w:rPr>
          <w:rStyle w:val="TextoNormalCursivaCaracter"/>
        </w:rPr>
        <w:t xml:space="preserve"> Vulneración del derecho a la tutela judicial efectiva (resolución fundada en Derecho): decisión judicial que desconoce el carácter vinculante de lo resuelto en la apelación planteada en el mismo proceso.</w:t>
      </w:r>
      <w:r>
        <w:tab/>
      </w:r>
      <w:r>
        <w:tab/>
      </w:r>
      <w:r>
        <w:fldChar w:fldCharType="begin"/>
      </w:r>
      <w:r>
        <w:instrText xml:space="preserve"> PAGEREF SENTENCIA_2013_121 \h </w:instrText>
      </w:r>
      <w:r>
        <w:fldChar w:fldCharType="separate"/>
      </w:r>
      <w:r w:rsidR="00AF4A65">
        <w:rPr>
          <w:noProof/>
        </w:rPr>
        <w:t>2133</w:t>
      </w:r>
      <w:r>
        <w:fldChar w:fldCharType="end"/>
      </w:r>
    </w:p>
    <w:p w:rsidR="001F24E8" w:rsidRDefault="001F24E8" w:rsidP="001F24E8"/>
    <w:p w:rsidR="001F24E8" w:rsidRDefault="001F24E8" w:rsidP="001F24E8">
      <w:pPr>
        <w:pStyle w:val="EntradandiceSentencia"/>
      </w:pPr>
      <w:r>
        <w:lastRenderedPageBreak/>
        <w:t>Sala Primera. Sentencia 122/2013, de 20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6076-2012. </w:t>
      </w:r>
      <w:r w:rsidRPr="001F24E8">
        <w:rPr>
          <w:rStyle w:val="TextoNormalCursivaCaracter"/>
        </w:rPr>
        <w:t xml:space="preserve"> Vulneración del derecho a la tutela judicial sin indefensión: emplazamiento mediante edictos de demandado cuyo domicilio figuraba en la documentación aportada con la demanda (STC 245/2006).</w:t>
      </w:r>
      <w:r>
        <w:tab/>
      </w:r>
      <w:r>
        <w:tab/>
      </w:r>
      <w:r>
        <w:fldChar w:fldCharType="begin"/>
      </w:r>
      <w:r>
        <w:instrText xml:space="preserve"> PAGEREF SENTENCIA_2013_122 \h </w:instrText>
      </w:r>
      <w:r>
        <w:fldChar w:fldCharType="separate"/>
      </w:r>
      <w:r w:rsidR="00AF4A65">
        <w:rPr>
          <w:noProof/>
        </w:rPr>
        <w:t>2141</w:t>
      </w:r>
      <w:r>
        <w:fldChar w:fldCharType="end"/>
      </w:r>
    </w:p>
    <w:p w:rsidR="001F24E8" w:rsidRDefault="001F24E8" w:rsidP="001F24E8"/>
    <w:p w:rsidR="001F24E8" w:rsidRDefault="001F24E8" w:rsidP="001F24E8">
      <w:pPr>
        <w:pStyle w:val="EntradandiceSentencia"/>
      </w:pPr>
      <w:r>
        <w:t>Pleno. Sentencia 123/2013, de 23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4244-2002. </w:t>
      </w:r>
      <w:r w:rsidRPr="001F24E8">
        <w:rPr>
          <w:rStyle w:val="TextoNormalCursivaCaracter"/>
        </w:rPr>
        <w:t xml:space="preserve"> Competencias sobre régimen energético y colegios profesionales: nulidad de los preceptos legales autonómicos que, contraviniendo disposiciones estatales básicas, atribuyen al gestor de la red de transmisión la responsabilidad de garantizar el correcto funcionamiento de los sistemas insulares de suministro de energía y establecen los supuestos de colegiación obligatoria del personal al servicio de la Administración autonómica (STC 3/2013).</w:t>
      </w:r>
      <w:r>
        <w:tab/>
      </w:r>
      <w:r>
        <w:tab/>
      </w:r>
      <w:r>
        <w:fldChar w:fldCharType="begin"/>
      </w:r>
      <w:r>
        <w:instrText xml:space="preserve"> PAGEREF SENTENCIA_2013_123 \h </w:instrText>
      </w:r>
      <w:r>
        <w:fldChar w:fldCharType="separate"/>
      </w:r>
      <w:r w:rsidR="00AF4A65">
        <w:rPr>
          <w:noProof/>
        </w:rPr>
        <w:t>2149</w:t>
      </w:r>
      <w:r>
        <w:fldChar w:fldCharType="end"/>
      </w:r>
    </w:p>
    <w:p w:rsidR="001F24E8" w:rsidRDefault="001F24E8" w:rsidP="001F24E8"/>
    <w:p w:rsidR="001F24E8" w:rsidRDefault="001F24E8" w:rsidP="001F24E8">
      <w:pPr>
        <w:pStyle w:val="EntradandiceSentencia"/>
      </w:pPr>
      <w:r>
        <w:t>Pleno. Sentencia 124/2013, de 23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Conflicto positivo de competencia 9075-2008. </w:t>
      </w:r>
      <w:r w:rsidRPr="001F24E8">
        <w:rPr>
          <w:rStyle w:val="TextoNormalCursivaCaracter"/>
        </w:rPr>
        <w:t xml:space="preserve"> Competencias en materia laboral y sobre aeropuertos de interés general: constitucionalidad de la fijación de servicios esenciales para la comunidad en caso de huelga por quien ostenta la competencia sobre el aeropuerto de Barcelona (STC 233/2007).</w:t>
      </w:r>
      <w:r>
        <w:tab/>
      </w:r>
      <w:r>
        <w:tab/>
      </w:r>
      <w:r>
        <w:fldChar w:fldCharType="begin"/>
      </w:r>
      <w:r>
        <w:instrText xml:space="preserve"> PAGEREF SENTENCIA_2013_124 \h </w:instrText>
      </w:r>
      <w:r>
        <w:fldChar w:fldCharType="separate"/>
      </w:r>
      <w:r w:rsidR="00AF4A65">
        <w:rPr>
          <w:noProof/>
        </w:rPr>
        <w:t>2169</w:t>
      </w:r>
      <w:r>
        <w:fldChar w:fldCharType="end"/>
      </w:r>
    </w:p>
    <w:p w:rsidR="001F24E8" w:rsidRDefault="001F24E8" w:rsidP="001F24E8"/>
    <w:p w:rsidR="001F24E8" w:rsidRDefault="001F24E8" w:rsidP="001F24E8">
      <w:pPr>
        <w:pStyle w:val="EntradandiceSentencia"/>
      </w:pPr>
      <w:r>
        <w:t>Sala Primera. Sentencia 125/2013, de 23 de mayo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electoral 2823-2013. </w:t>
      </w:r>
      <w:r w:rsidRPr="001F24E8">
        <w:rPr>
          <w:rStyle w:val="TextoNormalCursivaCaracter"/>
        </w:rPr>
        <w:t xml:space="preserve"> Vulneración de los derechos a la participación política y de acceso a los cargos públicos representativos: designación como alcalde de quien no formó parte de las listas electorales y que fue designado concejal cubriendo una vacante en la corporación municipal. Voto particular.</w:t>
      </w:r>
      <w:r>
        <w:tab/>
      </w:r>
      <w:r>
        <w:tab/>
      </w:r>
      <w:r>
        <w:fldChar w:fldCharType="begin"/>
      </w:r>
      <w:r>
        <w:instrText xml:space="preserve"> PAGEREF SENTENCIA_2013_125 \h </w:instrText>
      </w:r>
      <w:r>
        <w:fldChar w:fldCharType="separate"/>
      </w:r>
      <w:r w:rsidR="00AF4A65">
        <w:rPr>
          <w:noProof/>
        </w:rPr>
        <w:t>2182</w:t>
      </w:r>
      <w:r>
        <w:fldChar w:fldCharType="end"/>
      </w:r>
    </w:p>
    <w:p w:rsidR="001F24E8" w:rsidRDefault="001F24E8" w:rsidP="001F24E8"/>
    <w:p w:rsidR="001F24E8" w:rsidRDefault="001F24E8" w:rsidP="001F24E8">
      <w:pPr>
        <w:pStyle w:val="EntradandiceSentencia"/>
      </w:pPr>
      <w:r>
        <w:t>Sala Segunda. Sentencia 126/2013, de 3 de junio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6633-2010. </w:t>
      </w:r>
      <w:r w:rsidRPr="001F24E8">
        <w:rPr>
          <w:rStyle w:val="TextoNormalCursivaCaracter"/>
        </w:rPr>
        <w:t xml:space="preserve"> Supuesta vulneración de los derechos a la tutela judicial efectiva (intangibilidad y motivación) y a la prueba: íntegra modificación de la cosa juzgada consecuencia de la estimación de un incidente de nulidad de actuaciones debido a la falta de valoración de un medio de prueba.</w:t>
      </w:r>
      <w:r>
        <w:tab/>
      </w:r>
      <w:r>
        <w:tab/>
      </w:r>
      <w:r>
        <w:fldChar w:fldCharType="begin"/>
      </w:r>
      <w:r>
        <w:instrText xml:space="preserve"> PAGEREF SENTENCIA_2013_126 \h </w:instrText>
      </w:r>
      <w:r>
        <w:fldChar w:fldCharType="separate"/>
      </w:r>
      <w:r w:rsidR="00AF4A65">
        <w:rPr>
          <w:noProof/>
        </w:rPr>
        <w:t>2197</w:t>
      </w:r>
      <w:r>
        <w:fldChar w:fldCharType="end"/>
      </w:r>
    </w:p>
    <w:p w:rsidR="001F24E8" w:rsidRDefault="001F24E8" w:rsidP="001F24E8"/>
    <w:p w:rsidR="001F24E8" w:rsidRDefault="001F24E8" w:rsidP="001F24E8">
      <w:pPr>
        <w:pStyle w:val="EntradandiceSentencia"/>
      </w:pPr>
      <w:r>
        <w:lastRenderedPageBreak/>
        <w:t>Sala Segunda. Sentencia 127/2013, de 3 de junio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2763-2011. </w:t>
      </w:r>
      <w:r w:rsidRPr="001F24E8">
        <w:rPr>
          <w:rStyle w:val="TextoNormalCursivaCaracter"/>
        </w:rPr>
        <w:t xml:space="preserve"> Supuesta vulneración del derecho a la tutela judicial efectiva (resolución fundada en Derecho y motivada): pronunciamiento sobre competencia judicial internacional acorde con el criterio del interés superior del menor; improcedencia del planteamiento de una cuestión prejudicial ante el Tribunal de Justicia de la Unión Europea.</w:t>
      </w:r>
      <w:r>
        <w:tab/>
      </w:r>
      <w:r>
        <w:tab/>
      </w:r>
      <w:r>
        <w:fldChar w:fldCharType="begin"/>
      </w:r>
      <w:r>
        <w:instrText xml:space="preserve"> PAGEREF SENTENCIA_2013_127 \h </w:instrText>
      </w:r>
      <w:r>
        <w:fldChar w:fldCharType="separate"/>
      </w:r>
      <w:r w:rsidR="00AF4A65">
        <w:rPr>
          <w:noProof/>
        </w:rPr>
        <w:t>2215</w:t>
      </w:r>
      <w:r>
        <w:fldChar w:fldCharType="end"/>
      </w:r>
    </w:p>
    <w:p w:rsidR="001F24E8" w:rsidRDefault="001F24E8" w:rsidP="001F24E8"/>
    <w:p w:rsidR="001F24E8" w:rsidRDefault="001F24E8" w:rsidP="001F24E8">
      <w:pPr>
        <w:pStyle w:val="EntradandiceSentencia"/>
      </w:pPr>
      <w:r>
        <w:t>Sala Segunda. Sentencia 128/2013, de 3 de junio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123-2012. </w:t>
      </w:r>
      <w:r w:rsidRPr="001F24E8">
        <w:rPr>
          <w:rStyle w:val="TextoNormalCursivaCaracter"/>
        </w:rPr>
        <w:t xml:space="preserve"> Supuesta vulneración del derecho a la tutela judicial efectiva (motivación): resoluciones judiciales que, confirmando una decisión previa de la Administración penitenciaria, excluyen a los primos del régimen de comunicación vis a vis establecido para los familiares de los internos en centros penitenciarios.</w:t>
      </w:r>
      <w:r>
        <w:tab/>
      </w:r>
      <w:r>
        <w:tab/>
      </w:r>
      <w:r>
        <w:fldChar w:fldCharType="begin"/>
      </w:r>
      <w:r>
        <w:instrText xml:space="preserve"> PAGEREF SENTENCIA_2013_128 \h </w:instrText>
      </w:r>
      <w:r>
        <w:fldChar w:fldCharType="separate"/>
      </w:r>
      <w:r w:rsidR="00AF4A65">
        <w:rPr>
          <w:noProof/>
        </w:rPr>
        <w:t>2233</w:t>
      </w:r>
      <w:r>
        <w:fldChar w:fldCharType="end"/>
      </w:r>
    </w:p>
    <w:p w:rsidR="001F24E8" w:rsidRDefault="001F24E8" w:rsidP="001F24E8"/>
    <w:p w:rsidR="001F24E8" w:rsidRDefault="001F24E8" w:rsidP="001F24E8">
      <w:pPr>
        <w:pStyle w:val="EntradandiceSentencia"/>
      </w:pPr>
      <w:r>
        <w:t>Pleno. Sentencia 129/2013, de 4 de junio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5753-2002. </w:t>
      </w:r>
      <w:r w:rsidRPr="001F24E8">
        <w:rPr>
          <w:rStyle w:val="TextoNormalCursivaCaracter"/>
        </w:rPr>
        <w:t xml:space="preserve"> Principios de jerarquía normativa, interdicción de la arbitrariedad e igualdad; derecho a la tutela judicial efectiva; garantías del procedimiento administrativo y leyes autoaplicativas: nulidad de los preceptos legales que soslayan el control de la jurisdicción contencioso-administrativa al reservar al legislador la aplicación de la legalidad existente al caso concreto (STC 166/1986).</w:t>
      </w:r>
      <w:r>
        <w:tab/>
      </w:r>
      <w:r>
        <w:tab/>
      </w:r>
      <w:r>
        <w:fldChar w:fldCharType="begin"/>
      </w:r>
      <w:r>
        <w:instrText xml:space="preserve"> PAGEREF SENTENCIA_2013_129 \h </w:instrText>
      </w:r>
      <w:r>
        <w:fldChar w:fldCharType="separate"/>
      </w:r>
      <w:r w:rsidR="00AF4A65">
        <w:rPr>
          <w:noProof/>
        </w:rPr>
        <w:t>2245</w:t>
      </w:r>
      <w:r>
        <w:fldChar w:fldCharType="end"/>
      </w:r>
    </w:p>
    <w:p w:rsidR="001F24E8" w:rsidRDefault="001F24E8" w:rsidP="001F24E8"/>
    <w:p w:rsidR="001F24E8" w:rsidRDefault="001F24E8" w:rsidP="001F24E8">
      <w:pPr>
        <w:pStyle w:val="EntradandiceSentencia"/>
      </w:pPr>
      <w:r>
        <w:t>Pleno. Sentencia 130/2013, de 4 de junio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931-2004. </w:t>
      </w:r>
      <w:r w:rsidRPr="001F24E8">
        <w:rPr>
          <w:rStyle w:val="TextoNormalCursivaCaracter"/>
        </w:rPr>
        <w:t xml:space="preserve"> Competencias sobre ordenación general de la economía, hacienda pública y procedimiento administrativo: interpretación conforme con la Constitución de varios preceptos legales. Voto particular.</w:t>
      </w:r>
      <w:r>
        <w:tab/>
      </w:r>
      <w:r>
        <w:tab/>
      </w:r>
      <w:r>
        <w:fldChar w:fldCharType="begin"/>
      </w:r>
      <w:r>
        <w:instrText xml:space="preserve"> PAGEREF SENTENCIA_2013_130 \h </w:instrText>
      </w:r>
      <w:r>
        <w:fldChar w:fldCharType="separate"/>
      </w:r>
      <w:r w:rsidR="00AF4A65">
        <w:rPr>
          <w:noProof/>
        </w:rPr>
        <w:t>2265</w:t>
      </w:r>
      <w:r>
        <w:fldChar w:fldCharType="end"/>
      </w:r>
    </w:p>
    <w:p w:rsidR="001F24E8" w:rsidRDefault="001F24E8" w:rsidP="001F24E8"/>
    <w:p w:rsidR="001F24E8" w:rsidRDefault="001F24E8" w:rsidP="001F24E8">
      <w:pPr>
        <w:pStyle w:val="EntradandiceSentencia"/>
      </w:pPr>
      <w:r>
        <w:t>Pleno. Sentencia 131/2013, de 5 de junio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1725-2002. </w:t>
      </w:r>
      <w:r w:rsidRPr="001F24E8">
        <w:rPr>
          <w:rStyle w:val="TextoNormalCursivaCaracter"/>
        </w:rPr>
        <w:t xml:space="preserve"> Reserva de ley orgánica, autonomía universitaria, competencias sobre universidades: nulidad de la exención del requisito de ley de reconocimiento para las universidades fundadas por la Iglesia católica. Votos particulares.</w:t>
      </w:r>
      <w:r>
        <w:tab/>
      </w:r>
      <w:r>
        <w:tab/>
      </w:r>
      <w:r>
        <w:fldChar w:fldCharType="begin"/>
      </w:r>
      <w:r>
        <w:instrText xml:space="preserve"> PAGEREF SENTENCIA_2013_131 \h </w:instrText>
      </w:r>
      <w:r>
        <w:fldChar w:fldCharType="separate"/>
      </w:r>
      <w:r w:rsidR="00AF4A65">
        <w:rPr>
          <w:noProof/>
        </w:rPr>
        <w:t>2349</w:t>
      </w:r>
      <w:r>
        <w:fldChar w:fldCharType="end"/>
      </w:r>
    </w:p>
    <w:p w:rsidR="001F24E8" w:rsidRDefault="001F24E8" w:rsidP="001F24E8"/>
    <w:p w:rsidR="001F24E8" w:rsidRDefault="001F24E8" w:rsidP="001F24E8">
      <w:pPr>
        <w:pStyle w:val="EntradandiceSentencia"/>
      </w:pPr>
      <w:r>
        <w:lastRenderedPageBreak/>
        <w:t>Pleno. Sentencia 132/2013, de 5 de junio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4247-2002. </w:t>
      </w:r>
      <w:r w:rsidRPr="001F24E8">
        <w:rPr>
          <w:rStyle w:val="TextoNormalCursivaCaracter"/>
        </w:rPr>
        <w:t xml:space="preserve"> Leyes de contenido heterogéneo; principios de participación política y de seguridad jurídica; límites materiales a las leyes de presupuestos; competencias sobre procedimiento administrativo: inaplicabilidad a una ley ordinaria de los límites constitucionales establecidos para las leyes de presupuestos; ejercicio del derecho de enmienda y relación de homogeneidad entre enmiendas e iniciativa legislativa que se pretende modificar (STC 136/2011); reserva estatutaria de leyes específicas que no impide su reforma por otras leyes ordinarias; validez del precepto legal que faculta a los agentes de la autoridad para que ordenen la clausura temporal de establecimientos públicos que, careciendo de licencia de apertura, perturben la paz ciudadana. Voto particular.</w:t>
      </w:r>
      <w:r>
        <w:tab/>
      </w:r>
      <w:r>
        <w:tab/>
      </w:r>
      <w:r>
        <w:fldChar w:fldCharType="begin"/>
      </w:r>
      <w:r>
        <w:instrText xml:space="preserve"> PAGEREF SENTENCIA_2013_132 \h </w:instrText>
      </w:r>
      <w:r>
        <w:fldChar w:fldCharType="separate"/>
      </w:r>
      <w:r w:rsidR="00AF4A65">
        <w:rPr>
          <w:noProof/>
        </w:rPr>
        <w:t>2405</w:t>
      </w:r>
      <w:r>
        <w:fldChar w:fldCharType="end"/>
      </w:r>
    </w:p>
    <w:p w:rsidR="001F24E8" w:rsidRDefault="001F24E8" w:rsidP="001F24E8"/>
    <w:p w:rsidR="001F24E8" w:rsidRDefault="001F24E8" w:rsidP="001F24E8">
      <w:pPr>
        <w:pStyle w:val="EntradandiceSentencia"/>
      </w:pPr>
      <w:r>
        <w:t>Pleno. Sentencia 133/2013, de 5 de junio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amparo 1091-2004. </w:t>
      </w:r>
      <w:r w:rsidRPr="001F24E8">
        <w:rPr>
          <w:rStyle w:val="TextoNormalCursivaCaracter"/>
        </w:rPr>
        <w:t xml:space="preserve"> Vulneración del derecho a la tutela judicial efectiva (resolución fundada en Derecho y motivada): Sentencia incurra en error fáctico y de motivación que no aplica ni valora razonadamente la existencia de una prohibición constitucional y legal de revisar y controlar el contenido de las resoluciones jurisdiccionales del Tribunal Constitucional por ningún otro órgano del Estado.</w:t>
      </w:r>
      <w:r>
        <w:tab/>
      </w:r>
      <w:r>
        <w:tab/>
      </w:r>
      <w:r>
        <w:fldChar w:fldCharType="begin"/>
      </w:r>
      <w:r>
        <w:instrText xml:space="preserve"> PAGEREF SENTENCIA_2013_133 \h </w:instrText>
      </w:r>
      <w:r>
        <w:fldChar w:fldCharType="separate"/>
      </w:r>
      <w:r w:rsidR="00AF4A65">
        <w:rPr>
          <w:noProof/>
        </w:rPr>
        <w:t>2438</w:t>
      </w:r>
      <w:r>
        <w:fldChar w:fldCharType="end"/>
      </w:r>
    </w:p>
    <w:p w:rsidR="001F24E8" w:rsidRDefault="001F24E8" w:rsidP="001F24E8"/>
    <w:p w:rsidR="001F24E8" w:rsidRDefault="001F24E8" w:rsidP="001F24E8">
      <w:pPr>
        <w:pStyle w:val="EntradandiceSentencia"/>
      </w:pPr>
      <w:r>
        <w:t>Pleno. Sentencia 134/2013, de 6 de junio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1810-2002. </w:t>
      </w:r>
      <w:r w:rsidRPr="001F24E8">
        <w:rPr>
          <w:rStyle w:val="TextoNormalCursivaCaracter"/>
        </w:rPr>
        <w:t xml:space="preserve"> Principio de seguridad jurídica; autonomía universitaria y competencias sobre universidades: validez de los preceptos legales sobre creación y reconocimiento de universidades, Agencia nacional de evaluación de la calidad, nombramiento de gerentes y funciones de los consejos sociales universitarios (STC 131/2013).</w:t>
      </w:r>
      <w:r>
        <w:tab/>
      </w:r>
      <w:r>
        <w:tab/>
      </w:r>
      <w:r>
        <w:fldChar w:fldCharType="begin"/>
      </w:r>
      <w:r>
        <w:instrText xml:space="preserve"> PAGEREF SENTENCIA_2013_134 \h </w:instrText>
      </w:r>
      <w:r>
        <w:fldChar w:fldCharType="separate"/>
      </w:r>
      <w:r w:rsidR="00AF4A65">
        <w:rPr>
          <w:noProof/>
        </w:rPr>
        <w:t>2463</w:t>
      </w:r>
      <w:r>
        <w:fldChar w:fldCharType="end"/>
      </w:r>
    </w:p>
    <w:p w:rsidR="001F24E8" w:rsidRDefault="001F24E8" w:rsidP="001F24E8"/>
    <w:p w:rsidR="001F24E8" w:rsidRDefault="001F24E8" w:rsidP="001F24E8">
      <w:pPr>
        <w:pStyle w:val="EntradandiceSentencia"/>
      </w:pPr>
      <w:r>
        <w:t>Pleno. Sentencia 135/2013, de 6 de junio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964-2004. </w:t>
      </w:r>
      <w:r w:rsidRPr="001F24E8">
        <w:rPr>
          <w:rStyle w:val="TextoNormalCursivaCaracter"/>
        </w:rPr>
        <w:t xml:space="preserve"> Competencias sobre ordenación general de la economía, hacienda pública y procedimiento administrativo: interpretación conforme con la Constitución de varios preceptos legales (STC 130/2013). Voto particular.</w:t>
      </w:r>
      <w:r>
        <w:tab/>
      </w:r>
      <w:r>
        <w:tab/>
      </w:r>
      <w:r>
        <w:fldChar w:fldCharType="begin"/>
      </w:r>
      <w:r>
        <w:instrText xml:space="preserve"> PAGEREF SENTENCIA_2013_135 \h </w:instrText>
      </w:r>
      <w:r>
        <w:fldChar w:fldCharType="separate"/>
      </w:r>
      <w:r w:rsidR="00AF4A65">
        <w:rPr>
          <w:noProof/>
        </w:rPr>
        <w:t>2485</w:t>
      </w:r>
      <w:r>
        <w:fldChar w:fldCharType="end"/>
      </w:r>
    </w:p>
    <w:p w:rsidR="001F24E8" w:rsidRDefault="001F24E8" w:rsidP="001F24E8"/>
    <w:p w:rsidR="001F24E8" w:rsidRDefault="001F24E8" w:rsidP="001F24E8">
      <w:pPr>
        <w:pStyle w:val="EntradandiceSentencia"/>
      </w:pPr>
      <w:r>
        <w:t>Pleno. Sentencia 136/2013, de 6 de junio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2082-2005. </w:t>
      </w:r>
      <w:r w:rsidRPr="001F24E8">
        <w:rPr>
          <w:rStyle w:val="TextoNormalCursivaCaracter"/>
        </w:rPr>
        <w:t xml:space="preserve"> Competencias sobre archivos: nulidad del precepto legal que declara bien de interés cultural documentación </w:t>
      </w:r>
      <w:r w:rsidRPr="001F24E8">
        <w:rPr>
          <w:rStyle w:val="TextoNormalCursivaCaracter"/>
        </w:rPr>
        <w:lastRenderedPageBreak/>
        <w:t>obrante en archivos de titularidad estatal radicados en el territorio autonómico (STC 38/2013).</w:t>
      </w:r>
      <w:r>
        <w:tab/>
      </w:r>
      <w:r>
        <w:tab/>
      </w:r>
      <w:r>
        <w:fldChar w:fldCharType="begin"/>
      </w:r>
      <w:r>
        <w:instrText xml:space="preserve"> PAGEREF SENTENCIA_2013_136 \h </w:instrText>
      </w:r>
      <w:r>
        <w:fldChar w:fldCharType="separate"/>
      </w:r>
      <w:r w:rsidR="00AF4A65">
        <w:rPr>
          <w:noProof/>
        </w:rPr>
        <w:t>2513</w:t>
      </w:r>
      <w:r>
        <w:fldChar w:fldCharType="end"/>
      </w:r>
    </w:p>
    <w:p w:rsidR="001F24E8" w:rsidRDefault="001F24E8" w:rsidP="001F24E8"/>
    <w:p w:rsidR="001F24E8" w:rsidRDefault="001F24E8" w:rsidP="001F24E8">
      <w:pPr>
        <w:pStyle w:val="EntradandiceSentencia"/>
      </w:pPr>
      <w:r>
        <w:t>Pleno. Sentencia 137/2013, de 6 de junio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Cuestión de inconstitucionalidad 4764-2007. </w:t>
      </w:r>
      <w:r w:rsidRPr="001F24E8">
        <w:rPr>
          <w:rStyle w:val="TextoNormalCursivaCaracter"/>
        </w:rPr>
        <w:t xml:space="preserve"> Competencias sobre condiciones básicas de igualdad, sanidad, productos farmacéuticos y seguridad social: nulidad de los preceptos legales forales que alteran el deber de dispensación de medicamentos impuesto a los titulares de las oficinas de farmacia por la normativa básica estatal; interpretación conforme del precepto legal que hace referencia a las condiciones económicas de la atención farmacéutica como objeto susceptible de concertación entre los titulares de las oficinas de farmacia y el Servicio Navarro de Salud-Osasunbidea (STC 136/2012).</w:t>
      </w:r>
      <w:r>
        <w:tab/>
      </w:r>
      <w:r>
        <w:tab/>
      </w:r>
      <w:r>
        <w:fldChar w:fldCharType="begin"/>
      </w:r>
      <w:r>
        <w:instrText xml:space="preserve"> PAGEREF SENTENCIA_2013_137 \h </w:instrText>
      </w:r>
      <w:r>
        <w:fldChar w:fldCharType="separate"/>
      </w:r>
      <w:r w:rsidR="00AF4A65">
        <w:rPr>
          <w:noProof/>
        </w:rPr>
        <w:t>2529</w:t>
      </w:r>
      <w:r>
        <w:fldChar w:fldCharType="end"/>
      </w:r>
    </w:p>
    <w:p w:rsidR="001F24E8" w:rsidRDefault="001F24E8" w:rsidP="001F24E8"/>
    <w:p w:rsidR="001F24E8" w:rsidRDefault="001F24E8" w:rsidP="001F24E8">
      <w:pPr>
        <w:pStyle w:val="EntradandiceSentencia"/>
      </w:pPr>
      <w:r>
        <w:t>Pleno. Sentencia 138/2013, de 6 de junio de 2013</w:t>
      </w:r>
    </w:p>
    <w:p w:rsidR="001F24E8" w:rsidRDefault="001F24E8" w:rsidP="001F24E8">
      <w:pPr>
        <w:pStyle w:val="EntradandiceSentencia"/>
      </w:pPr>
    </w:p>
    <w:p w:rsidR="001F24E8" w:rsidRDefault="001F24E8" w:rsidP="001F24E8">
      <w:pPr>
        <w:pStyle w:val="EntradaSumario"/>
      </w:pPr>
      <w:r w:rsidRPr="001F24E8">
        <w:rPr>
          <w:rStyle w:val="TextoNormalCaracter"/>
        </w:rPr>
        <w:t xml:space="preserve">Recurso de inconstitucionalidad 2155-2008. </w:t>
      </w:r>
      <w:r w:rsidRPr="001F24E8">
        <w:rPr>
          <w:rStyle w:val="TextoNormalCursivaCaracter"/>
        </w:rPr>
        <w:t xml:space="preserve"> Competencias sobre medio ambiente: interpretación conforme del precepto legal que atribuye funciones de coordinación al Comité MaB español (STC 69/2013).</w:t>
      </w:r>
      <w:r>
        <w:tab/>
      </w:r>
      <w:r>
        <w:tab/>
      </w:r>
      <w:r>
        <w:fldChar w:fldCharType="begin"/>
      </w:r>
      <w:r>
        <w:instrText xml:space="preserve"> PAGEREF SENTENCIA_2013_138 \h </w:instrText>
      </w:r>
      <w:r>
        <w:fldChar w:fldCharType="separate"/>
      </w:r>
      <w:r w:rsidR="00AF4A65">
        <w:rPr>
          <w:noProof/>
        </w:rPr>
        <w:t>2561</w:t>
      </w:r>
      <w:r>
        <w:fldChar w:fldCharType="end"/>
      </w:r>
    </w:p>
    <w:p w:rsidR="001F24E8" w:rsidRDefault="001F24E8">
      <w:pPr>
        <w:spacing w:after="160" w:line="259" w:lineRule="auto"/>
      </w:pPr>
      <w:r>
        <w:br w:type="page"/>
      </w:r>
    </w:p>
    <w:p w:rsidR="001F24E8" w:rsidRDefault="001F24E8" w:rsidP="001F24E8"/>
    <w:p w:rsidR="001F24E8" w:rsidRDefault="001F24E8" w:rsidP="001F24E8"/>
    <w:p w:rsidR="001F24E8" w:rsidRDefault="001F24E8" w:rsidP="001F24E8"/>
    <w:p w:rsidR="001F24E8" w:rsidRDefault="001F24E8" w:rsidP="001F24E8">
      <w:pPr>
        <w:pStyle w:val="Ttulondice"/>
      </w:pPr>
      <w:bookmarkStart w:id="3" w:name="SUMARIOSAUTOS"/>
      <w:r>
        <w:t>2. AUTOS: ATC 1/2013 A ATC 148/2013</w:t>
      </w:r>
    </w:p>
    <w:bookmarkEnd w:id="3"/>
    <w:p w:rsidR="001F24E8" w:rsidRDefault="001F24E8" w:rsidP="001F24E8">
      <w:pPr>
        <w:pStyle w:val="Ttulondice"/>
      </w:pPr>
    </w:p>
    <w:p w:rsidR="001F24E8" w:rsidRDefault="001F24E8" w:rsidP="001F24E8">
      <w:pPr>
        <w:pStyle w:val="Ttulondice"/>
      </w:pPr>
    </w:p>
    <w:p w:rsidR="001F24E8" w:rsidRDefault="001F24E8" w:rsidP="001F24E8">
      <w:pPr>
        <w:pStyle w:val="Ttulondice"/>
      </w:pPr>
    </w:p>
    <w:p w:rsidR="001F24E8" w:rsidRDefault="001F24E8" w:rsidP="001F24E8">
      <w:pPr>
        <w:pStyle w:val="Ttulondice"/>
      </w:pPr>
    </w:p>
    <w:p w:rsidR="001F24E8" w:rsidRDefault="001F24E8" w:rsidP="001F24E8">
      <w:pPr>
        <w:pStyle w:val="Ttulondice"/>
      </w:pPr>
    </w:p>
    <w:p w:rsidR="001F24E8" w:rsidRDefault="001F24E8" w:rsidP="001F24E8">
      <w:pPr>
        <w:pStyle w:val="Ttulondice"/>
      </w:pPr>
    </w:p>
    <w:p w:rsidR="001F24E8" w:rsidRDefault="001F24E8" w:rsidP="001F24E8">
      <w:pPr>
        <w:pStyle w:val="Ttulondice"/>
      </w:pPr>
    </w:p>
    <w:p w:rsidR="001F24E8" w:rsidRDefault="001F24E8" w:rsidP="001F24E8">
      <w:pPr>
        <w:pStyle w:val="EntradandiceAuto"/>
      </w:pPr>
      <w:r>
        <w:t>Sección Tercera. Auto 1/2013, de 8 de enero de 2013. Acuerda el desistimiento en el recurso de amparo 3719-2012, promovido en proceso de habeas corpus.</w:t>
      </w:r>
      <w:r>
        <w:tab/>
      </w:r>
      <w:r>
        <w:tab/>
      </w:r>
      <w:r>
        <w:fldChar w:fldCharType="begin"/>
      </w:r>
      <w:r>
        <w:instrText xml:space="preserve"> PAGEREF AUTO_2013_1 \h </w:instrText>
      </w:r>
      <w:r>
        <w:fldChar w:fldCharType="separate"/>
      </w:r>
      <w:r w:rsidR="00AF4A65">
        <w:rPr>
          <w:noProof/>
        </w:rPr>
        <w:t>2587</w:t>
      </w:r>
      <w:r>
        <w:fldChar w:fldCharType="end"/>
      </w:r>
    </w:p>
    <w:p w:rsidR="0026452D" w:rsidRDefault="0026452D" w:rsidP="001F24E8"/>
    <w:p w:rsidR="001F24E8" w:rsidRDefault="001F24E8" w:rsidP="001F24E8">
      <w:pPr>
        <w:pStyle w:val="EntradandiceAuto"/>
      </w:pPr>
      <w:r>
        <w:t>Sección Segunda. Auto 2/2013, de 9 de enero de 2013. Desestima el recurso de súplica del Ministerio Fiscal sobre inadmisión del recurso de amparo 5330-2012, promovido por don Oktay Gazanfar Mameladiev Domingo, en proceso de extradición.</w:t>
      </w:r>
      <w:r>
        <w:tab/>
      </w:r>
      <w:r>
        <w:tab/>
      </w:r>
      <w:r>
        <w:fldChar w:fldCharType="begin"/>
      </w:r>
      <w:r>
        <w:instrText xml:space="preserve"> PAGEREF AUTO_2013_2 \h </w:instrText>
      </w:r>
      <w:r>
        <w:fldChar w:fldCharType="separate"/>
      </w:r>
      <w:r w:rsidR="00AF4A65">
        <w:rPr>
          <w:noProof/>
        </w:rPr>
        <w:t>2588</w:t>
      </w:r>
      <w:r>
        <w:fldChar w:fldCharType="end"/>
      </w:r>
    </w:p>
    <w:p w:rsidR="001F24E8" w:rsidRDefault="001F24E8" w:rsidP="001F24E8"/>
    <w:p w:rsidR="001F24E8" w:rsidRDefault="001F24E8" w:rsidP="001F24E8">
      <w:pPr>
        <w:pStyle w:val="EntradandiceAuto"/>
      </w:pPr>
      <w:r>
        <w:t>Sala Primera. Auto 3/2013, de 14 de enero de 2013. Acepta una abstención en el recurso de amparo 9138-2008, promovido por Centro de Iniciativas para la Formación Agraria, S.A., (CIFASA) en proceso contencioso-administrativo.</w:t>
      </w:r>
      <w:r>
        <w:tab/>
      </w:r>
      <w:r>
        <w:tab/>
      </w:r>
      <w:r>
        <w:fldChar w:fldCharType="begin"/>
      </w:r>
      <w:r>
        <w:instrText xml:space="preserve"> PAGEREF AUTO_2013_3 \h </w:instrText>
      </w:r>
      <w:r>
        <w:fldChar w:fldCharType="separate"/>
      </w:r>
      <w:r w:rsidR="00AF4A65">
        <w:rPr>
          <w:noProof/>
        </w:rPr>
        <w:t>2594</w:t>
      </w:r>
      <w:r>
        <w:fldChar w:fldCharType="end"/>
      </w:r>
    </w:p>
    <w:p w:rsidR="001F24E8" w:rsidRDefault="001F24E8" w:rsidP="001F24E8"/>
    <w:p w:rsidR="001F24E8" w:rsidRDefault="001F24E8" w:rsidP="001F24E8">
      <w:pPr>
        <w:pStyle w:val="EntradandiceAuto"/>
      </w:pPr>
      <w:r>
        <w:t>Sala Segunda. Auto 4/2013, de 14 de enero de 2013. Acepta una abstención en el recurso de amparo 2741-2010, promovido por doña Maider Ziganda Población y otras personas en proceso de ilegalización de partidos políticos.</w:t>
      </w:r>
      <w:r>
        <w:tab/>
      </w:r>
      <w:r>
        <w:tab/>
      </w:r>
      <w:r>
        <w:fldChar w:fldCharType="begin"/>
      </w:r>
      <w:r>
        <w:instrText xml:space="preserve"> PAGEREF AUTO_2013_4 \h </w:instrText>
      </w:r>
      <w:r>
        <w:fldChar w:fldCharType="separate"/>
      </w:r>
      <w:r w:rsidR="00AF4A65">
        <w:rPr>
          <w:noProof/>
        </w:rPr>
        <w:t>2596</w:t>
      </w:r>
      <w:r>
        <w:fldChar w:fldCharType="end"/>
      </w:r>
    </w:p>
    <w:p w:rsidR="001F24E8" w:rsidRDefault="001F24E8" w:rsidP="001F24E8"/>
    <w:p w:rsidR="001F24E8" w:rsidRDefault="001F24E8" w:rsidP="001F24E8">
      <w:pPr>
        <w:pStyle w:val="EntradandiceAuto"/>
      </w:pPr>
      <w:r>
        <w:t>Sala Segunda. Auto 5/2013, de 14 de enero de 2013. Acuerda la acumulación del recurso de amparo 5548-2011 al 5375-2011, promovidos ambos en causas penales.</w:t>
      </w:r>
      <w:r>
        <w:tab/>
      </w:r>
      <w:r>
        <w:tab/>
      </w:r>
      <w:r>
        <w:fldChar w:fldCharType="begin"/>
      </w:r>
      <w:r>
        <w:instrText xml:space="preserve"> PAGEREF AUTO_2013_5 \h </w:instrText>
      </w:r>
      <w:r>
        <w:fldChar w:fldCharType="separate"/>
      </w:r>
      <w:r w:rsidR="00AF4A65">
        <w:rPr>
          <w:noProof/>
        </w:rPr>
        <w:t>2598</w:t>
      </w:r>
      <w:r>
        <w:fldChar w:fldCharType="end"/>
      </w:r>
    </w:p>
    <w:p w:rsidR="001F24E8" w:rsidRDefault="001F24E8" w:rsidP="001F24E8"/>
    <w:p w:rsidR="001F24E8" w:rsidRDefault="001F24E8" w:rsidP="001F24E8">
      <w:pPr>
        <w:pStyle w:val="EntradandiceAuto"/>
      </w:pPr>
      <w:r>
        <w:t>Sala Primera. Auto 6/2013, de 14 de enero de 2013. Acuerda la extinción por pérdida de objeto del recurso de amparo 5714-2011, promovido  por la Universidad Rey Juan Carlos.</w:t>
      </w:r>
      <w:r>
        <w:tab/>
      </w:r>
      <w:r>
        <w:tab/>
      </w:r>
      <w:r>
        <w:fldChar w:fldCharType="begin"/>
      </w:r>
      <w:r>
        <w:instrText xml:space="preserve"> PAGEREF AUTO_2013_6 \h </w:instrText>
      </w:r>
      <w:r>
        <w:fldChar w:fldCharType="separate"/>
      </w:r>
      <w:r w:rsidR="00AF4A65">
        <w:rPr>
          <w:noProof/>
        </w:rPr>
        <w:t>2599</w:t>
      </w:r>
      <w:r>
        <w:fldChar w:fldCharType="end"/>
      </w:r>
    </w:p>
    <w:p w:rsidR="001F24E8" w:rsidRDefault="001F24E8" w:rsidP="001F24E8"/>
    <w:p w:rsidR="001F24E8" w:rsidRDefault="001F24E8" w:rsidP="001F24E8">
      <w:pPr>
        <w:pStyle w:val="EntradandiceAuto"/>
      </w:pPr>
      <w:r>
        <w:lastRenderedPageBreak/>
        <w:t>Sección Cuarta. Auto 7/2013, de 14 de enero de 2013. Acuerda el desistimiento en el recurso de amparo 4265-2012, promovido en pleito civil.</w:t>
      </w:r>
      <w:r>
        <w:tab/>
      </w:r>
      <w:r>
        <w:tab/>
      </w:r>
      <w:r>
        <w:fldChar w:fldCharType="begin"/>
      </w:r>
      <w:r>
        <w:instrText xml:space="preserve"> PAGEREF AUTO_2013_7 \h </w:instrText>
      </w:r>
      <w:r>
        <w:fldChar w:fldCharType="separate"/>
      </w:r>
      <w:r w:rsidR="00AF4A65">
        <w:rPr>
          <w:noProof/>
        </w:rPr>
        <w:t>2602</w:t>
      </w:r>
      <w:r>
        <w:fldChar w:fldCharType="end"/>
      </w:r>
    </w:p>
    <w:p w:rsidR="001F24E8" w:rsidRDefault="001F24E8" w:rsidP="001F24E8"/>
    <w:p w:rsidR="001F24E8" w:rsidRDefault="001F24E8" w:rsidP="001F24E8">
      <w:pPr>
        <w:pStyle w:val="EntradandiceAuto"/>
      </w:pPr>
      <w:r>
        <w:t>Pleno. Auto 8/2013, de 15 de enero de 2013. Plantea cuestión interna de inconstitucionalidad respecto del artículo 174.1 de la Ley general de la Seguridad Social en el recurso de amparo 6704-2004. Voto particular.</w:t>
      </w:r>
      <w:r>
        <w:tab/>
      </w:r>
      <w:r>
        <w:tab/>
      </w:r>
      <w:r>
        <w:fldChar w:fldCharType="begin"/>
      </w:r>
      <w:r>
        <w:instrText xml:space="preserve"> PAGEREF AUTO_2013_8 \h </w:instrText>
      </w:r>
      <w:r>
        <w:fldChar w:fldCharType="separate"/>
      </w:r>
      <w:r w:rsidR="00AF4A65">
        <w:rPr>
          <w:noProof/>
        </w:rPr>
        <w:t>2603</w:t>
      </w:r>
      <w:r>
        <w:fldChar w:fldCharType="end"/>
      </w:r>
    </w:p>
    <w:p w:rsidR="001F24E8" w:rsidRDefault="001F24E8" w:rsidP="001F24E8"/>
    <w:p w:rsidR="001F24E8" w:rsidRDefault="001F24E8" w:rsidP="001F24E8">
      <w:pPr>
        <w:pStyle w:val="EntradandiceAuto"/>
      </w:pPr>
      <w:r>
        <w:t>Pleno. Auto 9/2013, de 15 de enero de 2013. Inadmite a trámite el conflicto en defensa de la autonomía local 4038-2011, planteado por treinta y seis municipios de la Comunidad Autónoma de Canarias en relación con el artículo 1 de la Ley del Parlamento de Canarias 2/2011, de 26 de enero, por el que se modifica el artículo 6 bis de la Ley 11/1997, de 2 de diciembre, de regulación del sector eléctrico canario.</w:t>
      </w:r>
      <w:r>
        <w:tab/>
      </w:r>
      <w:r>
        <w:tab/>
      </w:r>
      <w:r>
        <w:fldChar w:fldCharType="begin"/>
      </w:r>
      <w:r>
        <w:instrText xml:space="preserve"> PAGEREF AUTO_2013_9 \h </w:instrText>
      </w:r>
      <w:r>
        <w:fldChar w:fldCharType="separate"/>
      </w:r>
      <w:r w:rsidR="00AF4A65">
        <w:rPr>
          <w:noProof/>
        </w:rPr>
        <w:t>2610</w:t>
      </w:r>
      <w:r>
        <w:fldChar w:fldCharType="end"/>
      </w:r>
    </w:p>
    <w:p w:rsidR="001F24E8" w:rsidRDefault="001F24E8" w:rsidP="001F24E8"/>
    <w:p w:rsidR="001F24E8" w:rsidRDefault="001F24E8" w:rsidP="001F24E8">
      <w:pPr>
        <w:pStyle w:val="EntradandiceAuto"/>
      </w:pPr>
      <w:r>
        <w:t>Pleno. Auto 10/2013, de 15 de enero de 2013. Levanta la suspensión en el recurso de inconstitucionalidad 5491-2012, interpuesto por el Presidente del Gobierno en relación con el artículo 114 de la Ley 9/2011, de 29 de diciembre, de promoción de la actividad económica de Cataluña</w:t>
      </w:r>
      <w:r>
        <w:tab/>
      </w:r>
      <w:r>
        <w:tab/>
      </w:r>
      <w:r>
        <w:fldChar w:fldCharType="begin"/>
      </w:r>
      <w:r>
        <w:instrText xml:space="preserve"> PAGEREF AUTO_2013_10 \h </w:instrText>
      </w:r>
      <w:r>
        <w:fldChar w:fldCharType="separate"/>
      </w:r>
      <w:r w:rsidR="00AF4A65">
        <w:rPr>
          <w:noProof/>
        </w:rPr>
        <w:t>2619</w:t>
      </w:r>
      <w:r>
        <w:fldChar w:fldCharType="end"/>
      </w:r>
    </w:p>
    <w:p w:rsidR="001F24E8" w:rsidRDefault="001F24E8" w:rsidP="001F24E8"/>
    <w:p w:rsidR="001F24E8" w:rsidRDefault="001F24E8" w:rsidP="001F24E8">
      <w:pPr>
        <w:pStyle w:val="EntradandiceAuto"/>
      </w:pPr>
      <w:r>
        <w:t>Sección Primera. Auto 11/2013, de 16 de enero de 2013. Acepta una abstención en el recurso de amparo 5740-2012, promovido por doña María Luisa Cavas Moreno y otras personas en proceso contencioso-administrativo.</w:t>
      </w:r>
      <w:r>
        <w:tab/>
      </w:r>
      <w:r>
        <w:tab/>
      </w:r>
      <w:r>
        <w:fldChar w:fldCharType="begin"/>
      </w:r>
      <w:r>
        <w:instrText xml:space="preserve"> PAGEREF AUTO_2013_11 \h </w:instrText>
      </w:r>
      <w:r>
        <w:fldChar w:fldCharType="separate"/>
      </w:r>
      <w:r w:rsidR="00AF4A65">
        <w:rPr>
          <w:noProof/>
        </w:rPr>
        <w:t>2629</w:t>
      </w:r>
      <w:r>
        <w:fldChar w:fldCharType="end"/>
      </w:r>
    </w:p>
    <w:p w:rsidR="001F24E8" w:rsidRDefault="001F24E8" w:rsidP="001F24E8"/>
    <w:p w:rsidR="001F24E8" w:rsidRDefault="001F24E8" w:rsidP="001F24E8">
      <w:pPr>
        <w:pStyle w:val="EntradandiceAuto"/>
      </w:pPr>
      <w:r>
        <w:t>Sección Primera. Auto 12/2013, de 16 de enero de 2013. Acepta una abstención en el recurso de amparo 6512-2012, promovido por Klewerman Canarias Inversiones Inmobiliarias, S.A., en proceso contencioso-administrativo.</w:t>
      </w:r>
      <w:r>
        <w:tab/>
      </w:r>
      <w:r>
        <w:tab/>
      </w:r>
      <w:r>
        <w:fldChar w:fldCharType="begin"/>
      </w:r>
      <w:r>
        <w:instrText xml:space="preserve"> PAGEREF AUTO_2013_12 \h </w:instrText>
      </w:r>
      <w:r>
        <w:fldChar w:fldCharType="separate"/>
      </w:r>
      <w:r w:rsidR="00AF4A65">
        <w:rPr>
          <w:noProof/>
        </w:rPr>
        <w:t>2631</w:t>
      </w:r>
      <w:r>
        <w:fldChar w:fldCharType="end"/>
      </w:r>
    </w:p>
    <w:p w:rsidR="001F24E8" w:rsidRDefault="001F24E8" w:rsidP="001F24E8"/>
    <w:p w:rsidR="001F24E8" w:rsidRDefault="001F24E8" w:rsidP="001F24E8">
      <w:pPr>
        <w:pStyle w:val="EntradandiceAuto"/>
      </w:pPr>
      <w:r>
        <w:t>Sección Segunda. Auto 13/2013, de 17 de enero de 2013. Acuerda el desistimiento en el recurso de amparo 5783-2012, promovido en litigio social.</w:t>
      </w:r>
      <w:r>
        <w:tab/>
      </w:r>
      <w:r>
        <w:tab/>
      </w:r>
      <w:r>
        <w:fldChar w:fldCharType="begin"/>
      </w:r>
      <w:r>
        <w:instrText xml:space="preserve"> PAGEREF AUTO_2013_13 \h </w:instrText>
      </w:r>
      <w:r>
        <w:fldChar w:fldCharType="separate"/>
      </w:r>
      <w:r w:rsidR="00AF4A65">
        <w:rPr>
          <w:noProof/>
        </w:rPr>
        <w:t>2633</w:t>
      </w:r>
      <w:r>
        <w:fldChar w:fldCharType="end"/>
      </w:r>
    </w:p>
    <w:p w:rsidR="001F24E8" w:rsidRDefault="001F24E8" w:rsidP="001F24E8"/>
    <w:p w:rsidR="001F24E8" w:rsidRDefault="001F24E8" w:rsidP="001F24E8">
      <w:pPr>
        <w:pStyle w:val="EntradandiceAuto"/>
      </w:pPr>
      <w:r>
        <w:t>Sección Tercera. Auto 14/2013, de 23 de enero de 2013. Acuerda el desistimiento en el recurso de amparo 5382-2012, promovido en causa penal.</w:t>
      </w:r>
      <w:r>
        <w:tab/>
      </w:r>
      <w:r>
        <w:tab/>
      </w:r>
      <w:r>
        <w:fldChar w:fldCharType="begin"/>
      </w:r>
      <w:r>
        <w:instrText xml:space="preserve"> PAGEREF AUTO_2013_14 \h </w:instrText>
      </w:r>
      <w:r>
        <w:fldChar w:fldCharType="separate"/>
      </w:r>
      <w:r w:rsidR="00AF4A65">
        <w:rPr>
          <w:noProof/>
        </w:rPr>
        <w:t>2634</w:t>
      </w:r>
      <w:r>
        <w:fldChar w:fldCharType="end"/>
      </w:r>
    </w:p>
    <w:p w:rsidR="001F24E8" w:rsidRDefault="001F24E8" w:rsidP="001F24E8"/>
    <w:p w:rsidR="001F24E8" w:rsidRDefault="001F24E8" w:rsidP="001F24E8">
      <w:pPr>
        <w:pStyle w:val="EntradandiceAuto"/>
      </w:pPr>
      <w:r>
        <w:t>Sección Primera. Auto 15/2013, de 23 de enero de 2013. Acepta una abstención en el recurso de amparo 5622-2012, promovido por el Consorcio de la Zona Franca de Vigo en proceso contencioso-administrativo.</w:t>
      </w:r>
      <w:r>
        <w:tab/>
      </w:r>
      <w:r>
        <w:tab/>
      </w:r>
      <w:r>
        <w:fldChar w:fldCharType="begin"/>
      </w:r>
      <w:r>
        <w:instrText xml:space="preserve"> PAGEREF AUTO_2013_15 \h </w:instrText>
      </w:r>
      <w:r>
        <w:fldChar w:fldCharType="separate"/>
      </w:r>
      <w:r w:rsidR="00AF4A65">
        <w:rPr>
          <w:noProof/>
        </w:rPr>
        <w:t>2635</w:t>
      </w:r>
      <w:r>
        <w:fldChar w:fldCharType="end"/>
      </w:r>
    </w:p>
    <w:p w:rsidR="001F24E8" w:rsidRDefault="001F24E8" w:rsidP="001F24E8"/>
    <w:p w:rsidR="001F24E8" w:rsidRDefault="001F24E8" w:rsidP="001F24E8">
      <w:pPr>
        <w:pStyle w:val="EntradandiceAuto"/>
      </w:pPr>
      <w:r>
        <w:t>Sala Segunda. Auto 16/2013, de 28 de enero de 2013. Acepta una abstención en el recurso de amparo 1783-2010, promovido por don Francisco Álvarez Cascos y doña María Porto Sánchez en pleito civil.</w:t>
      </w:r>
      <w:r>
        <w:tab/>
      </w:r>
      <w:r>
        <w:tab/>
      </w:r>
      <w:r>
        <w:fldChar w:fldCharType="begin"/>
      </w:r>
      <w:r>
        <w:instrText xml:space="preserve"> PAGEREF AUTO_2013_16 \h </w:instrText>
      </w:r>
      <w:r>
        <w:fldChar w:fldCharType="separate"/>
      </w:r>
      <w:r w:rsidR="00AF4A65">
        <w:rPr>
          <w:noProof/>
        </w:rPr>
        <w:t>2637</w:t>
      </w:r>
      <w:r>
        <w:fldChar w:fldCharType="end"/>
      </w:r>
    </w:p>
    <w:p w:rsidR="001F24E8" w:rsidRDefault="001F24E8" w:rsidP="001F24E8"/>
    <w:p w:rsidR="001F24E8" w:rsidRDefault="001F24E8" w:rsidP="001F24E8">
      <w:pPr>
        <w:pStyle w:val="EntradandiceAuto"/>
      </w:pPr>
      <w:r>
        <w:lastRenderedPageBreak/>
        <w:t>Sala Segunda. Auto 17/2013, de 28 de enero de 2013. Acepta una abstención en el recurso de amparo 1110-2011, promovido por el Fiscal ante el Tribunal Constitucional en pleito civil.</w:t>
      </w:r>
      <w:r>
        <w:tab/>
      </w:r>
      <w:r>
        <w:tab/>
      </w:r>
      <w:r>
        <w:fldChar w:fldCharType="begin"/>
      </w:r>
      <w:r>
        <w:instrText xml:space="preserve"> PAGEREF AUTO_2013_17 \h </w:instrText>
      </w:r>
      <w:r>
        <w:fldChar w:fldCharType="separate"/>
      </w:r>
      <w:r w:rsidR="00AF4A65">
        <w:rPr>
          <w:noProof/>
        </w:rPr>
        <w:t>2639</w:t>
      </w:r>
      <w:r>
        <w:fldChar w:fldCharType="end"/>
      </w:r>
    </w:p>
    <w:p w:rsidR="001F24E8" w:rsidRDefault="001F24E8" w:rsidP="001F24E8"/>
    <w:p w:rsidR="001F24E8" w:rsidRDefault="001F24E8" w:rsidP="001F24E8">
      <w:pPr>
        <w:pStyle w:val="EntradandiceAuto"/>
      </w:pPr>
      <w:r>
        <w:t>Sala Primera. Auto 18/2013, de 28 de enero de 2013. Acuerda el archivo, por pérdida de objeto, de la pieza separada de suspensión en el recurso de amparo 563-2012, promovido por Newell 2000, S.L., y Cartney Trans, S.L.</w:t>
      </w:r>
      <w:r>
        <w:tab/>
      </w:r>
      <w:r>
        <w:tab/>
      </w:r>
      <w:r>
        <w:fldChar w:fldCharType="begin"/>
      </w:r>
      <w:r>
        <w:instrText xml:space="preserve"> PAGEREF AUTO_2013_18 \h </w:instrText>
      </w:r>
      <w:r>
        <w:fldChar w:fldCharType="separate"/>
      </w:r>
      <w:r w:rsidR="00AF4A65">
        <w:rPr>
          <w:noProof/>
        </w:rPr>
        <w:t>2641</w:t>
      </w:r>
      <w:r>
        <w:fldChar w:fldCharType="end"/>
      </w:r>
    </w:p>
    <w:p w:rsidR="001F24E8" w:rsidRDefault="001F24E8" w:rsidP="001F24E8"/>
    <w:p w:rsidR="001F24E8" w:rsidRDefault="001F24E8" w:rsidP="001F24E8">
      <w:pPr>
        <w:pStyle w:val="EntradandiceAuto"/>
      </w:pPr>
      <w:r>
        <w:t>Sala Segunda. Auto 19/2013, de 28 de enero de 2013. Deniega la suspensión en el recurso de amparo 1721-2012, promovido por don Santos Berganza Zendegi en causa penal.</w:t>
      </w:r>
      <w:r>
        <w:tab/>
      </w:r>
      <w:r>
        <w:tab/>
      </w:r>
      <w:r>
        <w:fldChar w:fldCharType="begin"/>
      </w:r>
      <w:r>
        <w:instrText xml:space="preserve"> PAGEREF AUTO_2013_19 \h </w:instrText>
      </w:r>
      <w:r>
        <w:fldChar w:fldCharType="separate"/>
      </w:r>
      <w:r w:rsidR="00AF4A65">
        <w:rPr>
          <w:noProof/>
        </w:rPr>
        <w:t>2643</w:t>
      </w:r>
      <w:r>
        <w:fldChar w:fldCharType="end"/>
      </w:r>
    </w:p>
    <w:p w:rsidR="001F24E8" w:rsidRDefault="001F24E8" w:rsidP="001F24E8"/>
    <w:p w:rsidR="001F24E8" w:rsidRDefault="001F24E8" w:rsidP="001F24E8">
      <w:pPr>
        <w:pStyle w:val="EntradandiceAuto"/>
      </w:pPr>
      <w:r>
        <w:t>Sala Segunda. Auto 20/2013, de 28 de enero de 2013. Deniega la suspensión en el recurso de amparo 2434-2012, promovido por don Josep Palol Sunyer en proceso contencioso-administrativo.</w:t>
      </w:r>
      <w:r>
        <w:tab/>
      </w:r>
      <w:r>
        <w:tab/>
      </w:r>
      <w:r>
        <w:fldChar w:fldCharType="begin"/>
      </w:r>
      <w:r>
        <w:instrText xml:space="preserve"> PAGEREF AUTO_2013_20 \h </w:instrText>
      </w:r>
      <w:r>
        <w:fldChar w:fldCharType="separate"/>
      </w:r>
      <w:r w:rsidR="00AF4A65">
        <w:rPr>
          <w:noProof/>
        </w:rPr>
        <w:t>2646</w:t>
      </w:r>
      <w:r>
        <w:fldChar w:fldCharType="end"/>
      </w:r>
    </w:p>
    <w:p w:rsidR="001F24E8" w:rsidRDefault="001F24E8" w:rsidP="001F24E8"/>
    <w:p w:rsidR="001F24E8" w:rsidRDefault="001F24E8" w:rsidP="001F24E8">
      <w:pPr>
        <w:pStyle w:val="EntradandiceAuto"/>
      </w:pPr>
      <w:r>
        <w:t>Sala Primera. Auto 21/2013, de 28 de enero de 2013. Inadmite a trámite el recurso de amparo 3898-2012, promovido por don Iker Moreno Ibáñez, sobre archivo de causa penal.</w:t>
      </w:r>
      <w:r>
        <w:tab/>
      </w:r>
      <w:r>
        <w:tab/>
      </w:r>
      <w:r>
        <w:fldChar w:fldCharType="begin"/>
      </w:r>
      <w:r>
        <w:instrText xml:space="preserve"> PAGEREF AUTO_2013_21 \h </w:instrText>
      </w:r>
      <w:r>
        <w:fldChar w:fldCharType="separate"/>
      </w:r>
      <w:r w:rsidR="00AF4A65">
        <w:rPr>
          <w:noProof/>
        </w:rPr>
        <w:t>2650</w:t>
      </w:r>
      <w:r>
        <w:fldChar w:fldCharType="end"/>
      </w:r>
    </w:p>
    <w:p w:rsidR="001F24E8" w:rsidRDefault="001F24E8" w:rsidP="001F24E8"/>
    <w:p w:rsidR="001F24E8" w:rsidRDefault="001F24E8" w:rsidP="001F24E8">
      <w:pPr>
        <w:pStyle w:val="EntradandiceAuto"/>
      </w:pPr>
      <w:r>
        <w:t>Sección Cuarta. Auto 22/2013, de 28 de enero de 2013. Estima el recurso de súplica del Ministerio Fiscal sobre inadmisión del recurso de amparo 4307-2012, promovido por don A. Estrada en causa penal.</w:t>
      </w:r>
      <w:r>
        <w:tab/>
      </w:r>
      <w:r>
        <w:tab/>
      </w:r>
      <w:r>
        <w:fldChar w:fldCharType="begin"/>
      </w:r>
      <w:r>
        <w:instrText xml:space="preserve"> PAGEREF AUTO_2013_22 \h </w:instrText>
      </w:r>
      <w:r>
        <w:fldChar w:fldCharType="separate"/>
      </w:r>
      <w:r w:rsidR="00AF4A65">
        <w:rPr>
          <w:noProof/>
        </w:rPr>
        <w:t>2658</w:t>
      </w:r>
      <w:r>
        <w:fldChar w:fldCharType="end"/>
      </w:r>
    </w:p>
    <w:p w:rsidR="001F24E8" w:rsidRDefault="001F24E8" w:rsidP="001F24E8"/>
    <w:p w:rsidR="001F24E8" w:rsidRDefault="001F24E8" w:rsidP="001F24E8">
      <w:pPr>
        <w:pStyle w:val="EntradandiceAuto"/>
      </w:pPr>
      <w:r>
        <w:t>Pleno. Auto 23/2013, de 29 de enero de 2013. Inadmite a trámite la cuestión de inconstitucionalidad 6898-2011, planteada por la Sala de lo Contencioso-Administrativo del Tribunal Superior de Justicia del País Vasco en relación con el artículo 55.1 de la Ley del Parlamento Vasco 3/1998, de 27 de febrero, de protección del medio ambiente.</w:t>
      </w:r>
      <w:r>
        <w:tab/>
      </w:r>
      <w:r>
        <w:tab/>
      </w:r>
      <w:r>
        <w:fldChar w:fldCharType="begin"/>
      </w:r>
      <w:r>
        <w:instrText xml:space="preserve"> PAGEREF AUTO_2013_23 \h </w:instrText>
      </w:r>
      <w:r>
        <w:fldChar w:fldCharType="separate"/>
      </w:r>
      <w:r w:rsidR="00AF4A65">
        <w:rPr>
          <w:noProof/>
        </w:rPr>
        <w:t>2660</w:t>
      </w:r>
      <w:r>
        <w:fldChar w:fldCharType="end"/>
      </w:r>
    </w:p>
    <w:p w:rsidR="001F24E8" w:rsidRDefault="001F24E8" w:rsidP="001F24E8"/>
    <w:p w:rsidR="001F24E8" w:rsidRDefault="001F24E8" w:rsidP="001F24E8">
      <w:pPr>
        <w:pStyle w:val="EntradandiceAuto"/>
      </w:pPr>
      <w:r>
        <w:t>Pleno. Auto 24/2013, de 29 de enero de 2013. Inadmite a trámite la cuestión de inconstitucionalidad 3545-2012, planteada por el Juzgado de lo Mercantil núm. 1 de Oviedo en relación con el artículo 170.1 de la Ley 22/2003, de 9 de julio, concursal.</w:t>
      </w:r>
      <w:r>
        <w:tab/>
      </w:r>
      <w:r>
        <w:tab/>
      </w:r>
      <w:r>
        <w:fldChar w:fldCharType="begin"/>
      </w:r>
      <w:r>
        <w:instrText xml:space="preserve"> PAGEREF AUTO_2013_24 \h </w:instrText>
      </w:r>
      <w:r>
        <w:fldChar w:fldCharType="separate"/>
      </w:r>
      <w:r w:rsidR="00AF4A65">
        <w:rPr>
          <w:noProof/>
        </w:rPr>
        <w:t>2670</w:t>
      </w:r>
      <w:r>
        <w:fldChar w:fldCharType="end"/>
      </w:r>
    </w:p>
    <w:p w:rsidR="001F24E8" w:rsidRDefault="001F24E8" w:rsidP="001F24E8"/>
    <w:p w:rsidR="001F24E8" w:rsidRDefault="001F24E8" w:rsidP="001F24E8">
      <w:pPr>
        <w:pStyle w:val="EntradandiceAuto"/>
      </w:pPr>
      <w:r>
        <w:t>Sección Tercera. Auto 25/2013, de 6 de febrero de 2013. Inadmite a trámite el recurso de amparo 403-2012, promovido por don Antonio Cano Godoy en causa penal.</w:t>
      </w:r>
      <w:r>
        <w:tab/>
      </w:r>
      <w:r>
        <w:tab/>
      </w:r>
      <w:r>
        <w:fldChar w:fldCharType="begin"/>
      </w:r>
      <w:r>
        <w:instrText xml:space="preserve"> PAGEREF AUTO_2013_25 \h </w:instrText>
      </w:r>
      <w:r>
        <w:fldChar w:fldCharType="separate"/>
      </w:r>
      <w:r w:rsidR="00AF4A65">
        <w:rPr>
          <w:noProof/>
        </w:rPr>
        <w:t>2679</w:t>
      </w:r>
      <w:r>
        <w:fldChar w:fldCharType="end"/>
      </w:r>
    </w:p>
    <w:p w:rsidR="001F24E8" w:rsidRDefault="001F24E8" w:rsidP="001F24E8"/>
    <w:p w:rsidR="001F24E8" w:rsidRDefault="001F24E8" w:rsidP="001F24E8">
      <w:pPr>
        <w:pStyle w:val="EntradandiceAuto"/>
      </w:pPr>
      <w:r>
        <w:lastRenderedPageBreak/>
        <w:t>Sección Segunda. Auto 26/2013, de 7 de febrero de 2013. Acuerda el desistimiento en el recurso de amparo 6376-2012, promovido en proceso contencioso-administrativo.</w:t>
      </w:r>
      <w:r>
        <w:tab/>
      </w:r>
      <w:r>
        <w:tab/>
      </w:r>
      <w:r>
        <w:fldChar w:fldCharType="begin"/>
      </w:r>
      <w:r>
        <w:instrText xml:space="preserve"> PAGEREF AUTO_2013_26 \h </w:instrText>
      </w:r>
      <w:r>
        <w:fldChar w:fldCharType="separate"/>
      </w:r>
      <w:r w:rsidR="00AF4A65">
        <w:rPr>
          <w:noProof/>
        </w:rPr>
        <w:t>2685</w:t>
      </w:r>
      <w:r>
        <w:fldChar w:fldCharType="end"/>
      </w:r>
    </w:p>
    <w:p w:rsidR="001F24E8" w:rsidRDefault="001F24E8" w:rsidP="001F24E8"/>
    <w:p w:rsidR="001F24E8" w:rsidRDefault="001F24E8" w:rsidP="001F24E8">
      <w:pPr>
        <w:pStyle w:val="EntradandiceAuto"/>
      </w:pPr>
      <w:r>
        <w:t>Sala Primera. Auto 27/2013, de 11 de febrero de 2013. Acuerda la extinción del recurso de inconstitucionalidad 2393-2008, interpuesto por el Defensor del Pueblo en relación con la disposición adicional sexagésima de la Ley 51/2007, de 26 de diciembre, de presupuestos generales del Estado.</w:t>
      </w:r>
      <w:r>
        <w:tab/>
      </w:r>
      <w:r>
        <w:tab/>
      </w:r>
      <w:r>
        <w:fldChar w:fldCharType="begin"/>
      </w:r>
      <w:r>
        <w:instrText xml:space="preserve"> PAGEREF AUTO_2013_27 \h </w:instrText>
      </w:r>
      <w:r>
        <w:fldChar w:fldCharType="separate"/>
      </w:r>
      <w:r w:rsidR="00AF4A65">
        <w:rPr>
          <w:noProof/>
        </w:rPr>
        <w:t>2686</w:t>
      </w:r>
      <w:r>
        <w:fldChar w:fldCharType="end"/>
      </w:r>
    </w:p>
    <w:p w:rsidR="001F24E8" w:rsidRDefault="001F24E8" w:rsidP="001F24E8"/>
    <w:p w:rsidR="001F24E8" w:rsidRDefault="001F24E8" w:rsidP="001F24E8">
      <w:pPr>
        <w:pStyle w:val="EntradandiceAuto"/>
      </w:pPr>
      <w:r>
        <w:t>Sala Primera. Auto 28/2013, de 11 de febrero de 2013. Inadmite a trámite el recurso de amparo 5469-2012, promovido por doña Micaela Alcántara Torres sobre archivo de causa penal. Voto particular.</w:t>
      </w:r>
      <w:r>
        <w:tab/>
      </w:r>
      <w:r>
        <w:tab/>
      </w:r>
      <w:r>
        <w:fldChar w:fldCharType="begin"/>
      </w:r>
      <w:r>
        <w:instrText xml:space="preserve"> PAGEREF AUTO_2013_28 \h </w:instrText>
      </w:r>
      <w:r>
        <w:fldChar w:fldCharType="separate"/>
      </w:r>
      <w:r w:rsidR="00AF4A65">
        <w:rPr>
          <w:noProof/>
        </w:rPr>
        <w:t>2690</w:t>
      </w:r>
      <w:r>
        <w:fldChar w:fldCharType="end"/>
      </w:r>
    </w:p>
    <w:p w:rsidR="001F24E8" w:rsidRDefault="001F24E8" w:rsidP="001F24E8"/>
    <w:p w:rsidR="001F24E8" w:rsidRDefault="001F24E8" w:rsidP="001F24E8">
      <w:pPr>
        <w:pStyle w:val="EntradandiceAuto"/>
      </w:pPr>
      <w:r>
        <w:t>Sala Primera. Auto 29/2013, de 11 de febrero de 2013. Acepta una abstención en el recurso de amparo 299-2013, promovido por don Francisco de Asís Serrano Castro en causa penal.</w:t>
      </w:r>
      <w:r>
        <w:tab/>
      </w:r>
      <w:r>
        <w:tab/>
      </w:r>
      <w:r>
        <w:fldChar w:fldCharType="begin"/>
      </w:r>
      <w:r>
        <w:instrText xml:space="preserve"> PAGEREF AUTO_2013_29 \h </w:instrText>
      </w:r>
      <w:r>
        <w:fldChar w:fldCharType="separate"/>
      </w:r>
      <w:r w:rsidR="00AF4A65">
        <w:rPr>
          <w:noProof/>
        </w:rPr>
        <w:t>2700</w:t>
      </w:r>
      <w:r>
        <w:fldChar w:fldCharType="end"/>
      </w:r>
    </w:p>
    <w:p w:rsidR="001F24E8" w:rsidRDefault="001F24E8" w:rsidP="001F24E8"/>
    <w:p w:rsidR="001F24E8" w:rsidRDefault="001F24E8" w:rsidP="001F24E8">
      <w:pPr>
        <w:pStyle w:val="EntradandiceAuto"/>
      </w:pPr>
      <w:r>
        <w:t>Pleno. Auto 30/2013, de 12 de febrero de 2013. Acuerda la extinción de la cuestión de inconstitucionalidad 1571-2002, planteada por la Sala de lo Contencioso-Administrativo de la Audiencia Nacional en relación con la disposición adicional vigésima tercera de la Ley 24/2001, de 27 de diciembre, de medidas fiscales, administrativas y del orden social.</w:t>
      </w:r>
      <w:r>
        <w:tab/>
      </w:r>
      <w:r>
        <w:tab/>
      </w:r>
      <w:r>
        <w:fldChar w:fldCharType="begin"/>
      </w:r>
      <w:r>
        <w:instrText xml:space="preserve"> PAGEREF AUTO_2013_30 \h </w:instrText>
      </w:r>
      <w:r>
        <w:fldChar w:fldCharType="separate"/>
      </w:r>
      <w:r w:rsidR="00AF4A65">
        <w:rPr>
          <w:noProof/>
        </w:rPr>
        <w:t>2702</w:t>
      </w:r>
      <w:r>
        <w:fldChar w:fldCharType="end"/>
      </w:r>
    </w:p>
    <w:p w:rsidR="001F24E8" w:rsidRDefault="001F24E8" w:rsidP="001F24E8"/>
    <w:p w:rsidR="001F24E8" w:rsidRDefault="001F24E8" w:rsidP="001F24E8">
      <w:pPr>
        <w:pStyle w:val="EntradandiceAuto"/>
      </w:pPr>
      <w:r>
        <w:t>Pleno. Auto 31/2013, de 12 de febrero de 2013. Acuerda la extinción de la cuestión de inconstitucionalidad 1572-2002, planteada por la Sala de lo Contencioso-Administrativo de la Audiencia Nacional en relación con la disposición adicional vigésima tercera de la Ley 24/2001, de 27 de diciembre, de medidas fiscales, administrativas y del orden social.</w:t>
      </w:r>
      <w:r>
        <w:tab/>
      </w:r>
      <w:r>
        <w:tab/>
      </w:r>
      <w:r>
        <w:fldChar w:fldCharType="begin"/>
      </w:r>
      <w:r>
        <w:instrText xml:space="preserve"> PAGEREF AUTO_2013_31 \h </w:instrText>
      </w:r>
      <w:r>
        <w:fldChar w:fldCharType="separate"/>
      </w:r>
      <w:r w:rsidR="00AF4A65">
        <w:rPr>
          <w:noProof/>
        </w:rPr>
        <w:t>2716</w:t>
      </w:r>
      <w:r>
        <w:fldChar w:fldCharType="end"/>
      </w:r>
    </w:p>
    <w:p w:rsidR="001F24E8" w:rsidRDefault="001F24E8" w:rsidP="001F24E8"/>
    <w:p w:rsidR="001F24E8" w:rsidRDefault="001F24E8" w:rsidP="001F24E8">
      <w:pPr>
        <w:pStyle w:val="EntradandiceAuto"/>
      </w:pPr>
      <w:r>
        <w:t>Pleno. Auto 32/2013, de 12 de febrero de 2013. Acuerda la extinción de la cuestión de inconstitucionalidad 1573-2002, planteada por la Sala de lo Contencioso-Administrativo de la Audiencia Nacional en relación con la disposición adicional vigésimo tercera de la Ley 24/2001, de 27 de diciembre, de medidas fiscales, administrativas y del orden social.</w:t>
      </w:r>
      <w:r>
        <w:tab/>
      </w:r>
      <w:r>
        <w:tab/>
      </w:r>
      <w:r>
        <w:fldChar w:fldCharType="begin"/>
      </w:r>
      <w:r>
        <w:instrText xml:space="preserve"> PAGEREF AUTO_2013_32 \h </w:instrText>
      </w:r>
      <w:r>
        <w:fldChar w:fldCharType="separate"/>
      </w:r>
      <w:r w:rsidR="00AF4A65">
        <w:rPr>
          <w:noProof/>
        </w:rPr>
        <w:t>2729</w:t>
      </w:r>
      <w:r>
        <w:fldChar w:fldCharType="end"/>
      </w:r>
    </w:p>
    <w:p w:rsidR="001F24E8" w:rsidRDefault="001F24E8" w:rsidP="001F24E8"/>
    <w:p w:rsidR="001F24E8" w:rsidRDefault="001F24E8" w:rsidP="001F24E8">
      <w:pPr>
        <w:pStyle w:val="EntradandiceAuto"/>
      </w:pPr>
      <w:r>
        <w:t>Pleno. Auto 33/2013, de 12 de febrero de 2013. Acuerda la extinción del conflicto positivo de competencia 6329-2003, planteado por la Generalitat de Cataluña en relación con diversos preceptos del Real Decreto 829/2003, de 27 de junio, por el que se establecen las enseñanzas comunes de la educación infantil.</w:t>
      </w:r>
      <w:r>
        <w:tab/>
      </w:r>
      <w:r>
        <w:tab/>
      </w:r>
      <w:r>
        <w:fldChar w:fldCharType="begin"/>
      </w:r>
      <w:r>
        <w:instrText xml:space="preserve"> PAGEREF AUTO_2013_33 \h </w:instrText>
      </w:r>
      <w:r>
        <w:fldChar w:fldCharType="separate"/>
      </w:r>
      <w:r w:rsidR="00AF4A65">
        <w:rPr>
          <w:noProof/>
        </w:rPr>
        <w:t>2742</w:t>
      </w:r>
      <w:r>
        <w:fldChar w:fldCharType="end"/>
      </w:r>
    </w:p>
    <w:p w:rsidR="001F24E8" w:rsidRDefault="001F24E8" w:rsidP="001F24E8"/>
    <w:p w:rsidR="001F24E8" w:rsidRDefault="001F24E8" w:rsidP="001F24E8">
      <w:pPr>
        <w:pStyle w:val="EntradandiceAuto"/>
      </w:pPr>
      <w:r>
        <w:lastRenderedPageBreak/>
        <w:t>Pleno. Auto 34/2013, de 12 de febrero de 2013. Acepta una abstención en la cuestión de inconstitucionalidad 9200-2008, planteada por el Juzgado de Primera Instancia núm. 1 de Lleida en relación con el artículo 121.21 d) de la primera ley del Código civil.</w:t>
      </w:r>
      <w:r>
        <w:tab/>
      </w:r>
      <w:r>
        <w:tab/>
      </w:r>
      <w:r>
        <w:fldChar w:fldCharType="begin"/>
      </w:r>
      <w:r>
        <w:instrText xml:space="preserve"> PAGEREF AUTO_2013_34 \h </w:instrText>
      </w:r>
      <w:r>
        <w:fldChar w:fldCharType="separate"/>
      </w:r>
      <w:r w:rsidR="00AF4A65">
        <w:rPr>
          <w:noProof/>
        </w:rPr>
        <w:t>2750</w:t>
      </w:r>
      <w:r>
        <w:fldChar w:fldCharType="end"/>
      </w:r>
    </w:p>
    <w:p w:rsidR="001F24E8" w:rsidRDefault="001F24E8" w:rsidP="001F24E8"/>
    <w:p w:rsidR="001F24E8" w:rsidRDefault="001F24E8" w:rsidP="001F24E8">
      <w:pPr>
        <w:pStyle w:val="EntradandiceAuto"/>
      </w:pPr>
      <w:r>
        <w:t>Pleno. Auto 35/2013, de 12 de febrero de 2013. Inadmite a trámite la cuestión de inconstitucionalidad 3318-2012, planteada por el Juzgado de Primera Instancia e Instrucción núm. 2 de Estella/Lizarra en relación con la ley 71 del Fuero Nuevo de Navarra.</w:t>
      </w:r>
      <w:r>
        <w:tab/>
      </w:r>
      <w:r>
        <w:tab/>
      </w:r>
      <w:r>
        <w:fldChar w:fldCharType="begin"/>
      </w:r>
      <w:r>
        <w:instrText xml:space="preserve"> PAGEREF AUTO_2013_35 \h </w:instrText>
      </w:r>
      <w:r>
        <w:fldChar w:fldCharType="separate"/>
      </w:r>
      <w:r w:rsidR="00AF4A65">
        <w:rPr>
          <w:noProof/>
        </w:rPr>
        <w:t>2752</w:t>
      </w:r>
      <w:r>
        <w:fldChar w:fldCharType="end"/>
      </w:r>
    </w:p>
    <w:p w:rsidR="001F24E8" w:rsidRDefault="001F24E8" w:rsidP="001F24E8"/>
    <w:p w:rsidR="001F24E8" w:rsidRDefault="001F24E8" w:rsidP="001F24E8">
      <w:pPr>
        <w:pStyle w:val="EntradandiceAuto"/>
      </w:pPr>
      <w:r>
        <w:t>Sección Primera. Auto 36/2013, de 13 de febrero de 2013. Acuerda el desistimiento en el recurso de amparo 1493-2012, promovido en pleito civil.</w:t>
      </w:r>
      <w:r>
        <w:tab/>
      </w:r>
      <w:r>
        <w:tab/>
      </w:r>
      <w:r>
        <w:fldChar w:fldCharType="begin"/>
      </w:r>
      <w:r>
        <w:instrText xml:space="preserve"> PAGEREF AUTO_2013_36 \h </w:instrText>
      </w:r>
      <w:r>
        <w:fldChar w:fldCharType="separate"/>
      </w:r>
      <w:r w:rsidR="00AF4A65">
        <w:rPr>
          <w:noProof/>
        </w:rPr>
        <w:t>2763</w:t>
      </w:r>
      <w:r>
        <w:fldChar w:fldCharType="end"/>
      </w:r>
    </w:p>
    <w:p w:rsidR="001F24E8" w:rsidRDefault="001F24E8" w:rsidP="001F24E8"/>
    <w:p w:rsidR="001F24E8" w:rsidRDefault="001F24E8" w:rsidP="001F24E8">
      <w:pPr>
        <w:pStyle w:val="EntradandiceAuto"/>
      </w:pPr>
      <w:r>
        <w:t>Sección Primera. Auto 37/2013, de 13 de febrero de 2013. Acepta una abstención en el recurso de amparo 4014-2012, promovido por Euroheco, S.A., en proceso contencioso-administrativo.</w:t>
      </w:r>
      <w:r>
        <w:tab/>
      </w:r>
      <w:r>
        <w:tab/>
      </w:r>
      <w:r>
        <w:fldChar w:fldCharType="begin"/>
      </w:r>
      <w:r>
        <w:instrText xml:space="preserve"> PAGEREF AUTO_2013_37 \h </w:instrText>
      </w:r>
      <w:r>
        <w:fldChar w:fldCharType="separate"/>
      </w:r>
      <w:r w:rsidR="00AF4A65">
        <w:rPr>
          <w:noProof/>
        </w:rPr>
        <w:t>2764</w:t>
      </w:r>
      <w:r>
        <w:fldChar w:fldCharType="end"/>
      </w:r>
    </w:p>
    <w:p w:rsidR="001F24E8" w:rsidRDefault="001F24E8" w:rsidP="001F24E8"/>
    <w:p w:rsidR="001F24E8" w:rsidRDefault="001F24E8" w:rsidP="001F24E8">
      <w:pPr>
        <w:pStyle w:val="EntradandiceAuto"/>
      </w:pPr>
      <w:r>
        <w:t>Sección Primera. Auto 38/2013, de 13 de febrero de 2013. Acepta una abstención en el recurso de amparo 5254-2012, promovido por don Sotero Ramón Rodríguez Umpiérrez en proceso contencioso-administrativo.</w:t>
      </w:r>
      <w:r>
        <w:tab/>
      </w:r>
      <w:r>
        <w:tab/>
      </w:r>
      <w:r>
        <w:fldChar w:fldCharType="begin"/>
      </w:r>
      <w:r>
        <w:instrText xml:space="preserve"> PAGEREF AUTO_2013_38 \h </w:instrText>
      </w:r>
      <w:r>
        <w:fldChar w:fldCharType="separate"/>
      </w:r>
      <w:r w:rsidR="00AF4A65">
        <w:rPr>
          <w:noProof/>
        </w:rPr>
        <w:t>2766</w:t>
      </w:r>
      <w:r>
        <w:fldChar w:fldCharType="end"/>
      </w:r>
    </w:p>
    <w:p w:rsidR="001F24E8" w:rsidRDefault="001F24E8" w:rsidP="001F24E8"/>
    <w:p w:rsidR="001F24E8" w:rsidRDefault="001F24E8" w:rsidP="001F24E8">
      <w:pPr>
        <w:pStyle w:val="EntradandiceAuto"/>
      </w:pPr>
      <w:r>
        <w:t>Sección Primera. Auto 39/2013, de 13 de febrero de 2013. Acepta una abstención en el recurso de amparo 6044-2012, promovido por doña Genoveva Alamar Arce y otras personas en proceso contencioso-administrativo.</w:t>
      </w:r>
      <w:r>
        <w:tab/>
      </w:r>
      <w:r>
        <w:tab/>
      </w:r>
      <w:r>
        <w:fldChar w:fldCharType="begin"/>
      </w:r>
      <w:r>
        <w:instrText xml:space="preserve"> PAGEREF AUTO_2013_39 \h </w:instrText>
      </w:r>
      <w:r>
        <w:fldChar w:fldCharType="separate"/>
      </w:r>
      <w:r w:rsidR="00AF4A65">
        <w:rPr>
          <w:noProof/>
        </w:rPr>
        <w:t>2768</w:t>
      </w:r>
      <w:r>
        <w:fldChar w:fldCharType="end"/>
      </w:r>
    </w:p>
    <w:p w:rsidR="001F24E8" w:rsidRDefault="001F24E8" w:rsidP="001F24E8"/>
    <w:p w:rsidR="001F24E8" w:rsidRDefault="001F24E8" w:rsidP="001F24E8">
      <w:pPr>
        <w:pStyle w:val="EntradandiceAuto"/>
      </w:pPr>
      <w:r>
        <w:t>Sala Primera. Auto 40/2013, de 14 de febrero de 2013. Acuerda la suspensión en el recurso de amparo 4416-2012, promovido por don Álvaro Ramírez Montoya en causa penal.</w:t>
      </w:r>
      <w:r>
        <w:tab/>
      </w:r>
      <w:r>
        <w:tab/>
      </w:r>
      <w:r>
        <w:fldChar w:fldCharType="begin"/>
      </w:r>
      <w:r>
        <w:instrText xml:space="preserve"> PAGEREF AUTO_2013_40 \h </w:instrText>
      </w:r>
      <w:r>
        <w:fldChar w:fldCharType="separate"/>
      </w:r>
      <w:r w:rsidR="00AF4A65">
        <w:rPr>
          <w:noProof/>
        </w:rPr>
        <w:t>2770</w:t>
      </w:r>
      <w:r>
        <w:fldChar w:fldCharType="end"/>
      </w:r>
    </w:p>
    <w:p w:rsidR="001F24E8" w:rsidRDefault="001F24E8" w:rsidP="001F24E8"/>
    <w:p w:rsidR="001F24E8" w:rsidRDefault="001F24E8" w:rsidP="001F24E8">
      <w:pPr>
        <w:pStyle w:val="EntradandiceAuto"/>
      </w:pPr>
      <w:r>
        <w:t>Sección Tercera. Auto 41/2013, de 16 de febrero de 2013. Acuerda el desistimiento en el recurso de amparo 2418-2012, promovido en causa penal.</w:t>
      </w:r>
      <w:r>
        <w:tab/>
      </w:r>
      <w:r>
        <w:tab/>
      </w:r>
      <w:r>
        <w:fldChar w:fldCharType="begin"/>
      </w:r>
      <w:r>
        <w:instrText xml:space="preserve"> PAGEREF AUTO_2013_41 \h </w:instrText>
      </w:r>
      <w:r>
        <w:fldChar w:fldCharType="separate"/>
      </w:r>
      <w:r w:rsidR="00AF4A65">
        <w:rPr>
          <w:noProof/>
        </w:rPr>
        <w:t>2773</w:t>
      </w:r>
      <w:r>
        <w:fldChar w:fldCharType="end"/>
      </w:r>
    </w:p>
    <w:p w:rsidR="001F24E8" w:rsidRDefault="001F24E8" w:rsidP="001F24E8"/>
    <w:p w:rsidR="001F24E8" w:rsidRDefault="001F24E8" w:rsidP="001F24E8">
      <w:pPr>
        <w:pStyle w:val="EntradandiceAuto"/>
      </w:pPr>
      <w:r>
        <w:t>Sección Tercera. Auto 42/2013, de 19 de febrero de 2013. Estima el recurso de súplica del Ministerio Fiscal sobre inadmisión del recurso de amparo 5921-2012, promovido por don Olech Yurchenco.</w:t>
      </w:r>
      <w:r>
        <w:tab/>
      </w:r>
      <w:r>
        <w:tab/>
      </w:r>
      <w:r>
        <w:fldChar w:fldCharType="begin"/>
      </w:r>
      <w:r>
        <w:instrText xml:space="preserve"> PAGEREF AUTO_2013_42 \h </w:instrText>
      </w:r>
      <w:r>
        <w:fldChar w:fldCharType="separate"/>
      </w:r>
      <w:r w:rsidR="00AF4A65">
        <w:rPr>
          <w:noProof/>
        </w:rPr>
        <w:t>2774</w:t>
      </w:r>
      <w:r>
        <w:fldChar w:fldCharType="end"/>
      </w:r>
    </w:p>
    <w:p w:rsidR="001F24E8" w:rsidRDefault="001F24E8" w:rsidP="001F24E8"/>
    <w:p w:rsidR="001F24E8" w:rsidRDefault="001F24E8" w:rsidP="001F24E8">
      <w:pPr>
        <w:pStyle w:val="EntradandiceAuto"/>
      </w:pPr>
      <w:r>
        <w:t>Sección Primera. Auto 43/2013, de 20 de febrero de 2013. Acuerda el desistimiento en el recurso de amparo 5617-2011, promovido en litigio social.</w:t>
      </w:r>
      <w:r>
        <w:tab/>
      </w:r>
      <w:r>
        <w:tab/>
      </w:r>
      <w:r>
        <w:fldChar w:fldCharType="begin"/>
      </w:r>
      <w:r>
        <w:instrText xml:space="preserve"> PAGEREF AUTO_2013_43 \h </w:instrText>
      </w:r>
      <w:r>
        <w:fldChar w:fldCharType="separate"/>
      </w:r>
      <w:r w:rsidR="00AF4A65">
        <w:rPr>
          <w:noProof/>
        </w:rPr>
        <w:t>2777</w:t>
      </w:r>
      <w:r>
        <w:fldChar w:fldCharType="end"/>
      </w:r>
    </w:p>
    <w:p w:rsidR="001F24E8" w:rsidRDefault="001F24E8" w:rsidP="001F24E8"/>
    <w:p w:rsidR="001F24E8" w:rsidRDefault="001F24E8" w:rsidP="001F24E8">
      <w:pPr>
        <w:pStyle w:val="EntradandiceAuto"/>
      </w:pPr>
      <w:r>
        <w:lastRenderedPageBreak/>
        <w:t>Sección Primera. Auto 44/2013, de 20 de febrero de 2013. Acepta una abstención en el recurso de amparo 6040-2012, promovido por la Junta Administrativa de Trespuentes en proceso contencioso-administrativo.</w:t>
      </w:r>
      <w:r>
        <w:tab/>
      </w:r>
      <w:r>
        <w:tab/>
      </w:r>
      <w:r>
        <w:fldChar w:fldCharType="begin"/>
      </w:r>
      <w:r>
        <w:instrText xml:space="preserve"> PAGEREF AUTO_2013_44 \h </w:instrText>
      </w:r>
      <w:r>
        <w:fldChar w:fldCharType="separate"/>
      </w:r>
      <w:r w:rsidR="00AF4A65">
        <w:rPr>
          <w:noProof/>
        </w:rPr>
        <w:t>2778</w:t>
      </w:r>
      <w:r>
        <w:fldChar w:fldCharType="end"/>
      </w:r>
    </w:p>
    <w:p w:rsidR="001F24E8" w:rsidRDefault="001F24E8" w:rsidP="001F24E8"/>
    <w:p w:rsidR="001F24E8" w:rsidRDefault="001F24E8" w:rsidP="001F24E8">
      <w:pPr>
        <w:pStyle w:val="EntradandiceAuto"/>
      </w:pPr>
      <w:r>
        <w:t>Sección Primera. Auto 45/2013, de 20 de febrero de 2013. Acepta una abstención en el recurso de amparo 6635-2012, promovido por don Carlos Hernández Lozoya en proceso contencioso-administrativo.</w:t>
      </w:r>
      <w:r>
        <w:tab/>
      </w:r>
      <w:r>
        <w:tab/>
      </w:r>
      <w:r>
        <w:fldChar w:fldCharType="begin"/>
      </w:r>
      <w:r>
        <w:instrText xml:space="preserve"> PAGEREF AUTO_2013_45 \h </w:instrText>
      </w:r>
      <w:r>
        <w:fldChar w:fldCharType="separate"/>
      </w:r>
      <w:r w:rsidR="00AF4A65">
        <w:rPr>
          <w:noProof/>
        </w:rPr>
        <w:t>2780</w:t>
      </w:r>
      <w:r>
        <w:fldChar w:fldCharType="end"/>
      </w:r>
    </w:p>
    <w:p w:rsidR="001F24E8" w:rsidRDefault="001F24E8" w:rsidP="001F24E8"/>
    <w:p w:rsidR="001F24E8" w:rsidRDefault="001F24E8" w:rsidP="001F24E8">
      <w:pPr>
        <w:pStyle w:val="EntradandiceAuto"/>
      </w:pPr>
      <w:r>
        <w:t>Sección Primera. Auto 46/2013, de 21 de febrero de 2013. Declara la falta de competencia del Tribunal Constitucional para conocer de la impugnación de la resolución de la Comisión central de asistencia jurídica gratuita dictada el 13 de julio de 2012 dictada con ocasión del recurso de amparo 2712-2012, promovido por don Eduardo Molina Bas y doña Fernanda Triviño Gómez en pleito civil.</w:t>
      </w:r>
      <w:r>
        <w:tab/>
      </w:r>
      <w:r>
        <w:tab/>
      </w:r>
      <w:r>
        <w:fldChar w:fldCharType="begin"/>
      </w:r>
      <w:r>
        <w:instrText xml:space="preserve"> PAGEREF AUTO_2013_46 \h </w:instrText>
      </w:r>
      <w:r>
        <w:fldChar w:fldCharType="separate"/>
      </w:r>
      <w:r w:rsidR="00AF4A65">
        <w:rPr>
          <w:noProof/>
        </w:rPr>
        <w:t>2782</w:t>
      </w:r>
      <w:r>
        <w:fldChar w:fldCharType="end"/>
      </w:r>
    </w:p>
    <w:p w:rsidR="001F24E8" w:rsidRDefault="001F24E8" w:rsidP="001F24E8"/>
    <w:p w:rsidR="001F24E8" w:rsidRDefault="001F24E8" w:rsidP="001F24E8">
      <w:pPr>
        <w:pStyle w:val="EntradandiceAuto"/>
      </w:pPr>
      <w:r>
        <w:t>Sala Primera. Auto 47/2013, de 25 de febrero de 2013. Desestima diversos recursos de súplica sobre denegación de personación en el recurso de amparo 956-2008, promovido por la Asociación para la defensa de inversores y clientes en causa penal.</w:t>
      </w:r>
      <w:r>
        <w:tab/>
      </w:r>
      <w:r>
        <w:tab/>
      </w:r>
      <w:r>
        <w:fldChar w:fldCharType="begin"/>
      </w:r>
      <w:r>
        <w:instrText xml:space="preserve"> PAGEREF AUTO_2013_47 \h </w:instrText>
      </w:r>
      <w:r>
        <w:fldChar w:fldCharType="separate"/>
      </w:r>
      <w:r w:rsidR="00AF4A65">
        <w:rPr>
          <w:noProof/>
        </w:rPr>
        <w:t>2787</w:t>
      </w:r>
      <w:r>
        <w:fldChar w:fldCharType="end"/>
      </w:r>
    </w:p>
    <w:p w:rsidR="001F24E8" w:rsidRDefault="001F24E8" w:rsidP="001F24E8"/>
    <w:p w:rsidR="001F24E8" w:rsidRDefault="001F24E8" w:rsidP="001F24E8">
      <w:pPr>
        <w:pStyle w:val="EntradandiceAuto"/>
      </w:pPr>
      <w:r>
        <w:t>Sala Primera. Auto 48/2013, de 25 de febrero de 2013. Acuerda el desistimiento en el recurso de amparo 956-2008, promovido por la Asociación para la defensa de inversores y clientes en causa penal.</w:t>
      </w:r>
      <w:r>
        <w:tab/>
      </w:r>
      <w:r>
        <w:tab/>
      </w:r>
      <w:r>
        <w:fldChar w:fldCharType="begin"/>
      </w:r>
      <w:r>
        <w:instrText xml:space="preserve"> PAGEREF AUTO_2013_48 \h </w:instrText>
      </w:r>
      <w:r>
        <w:fldChar w:fldCharType="separate"/>
      </w:r>
      <w:r w:rsidR="00AF4A65">
        <w:rPr>
          <w:noProof/>
        </w:rPr>
        <w:t>2793</w:t>
      </w:r>
      <w:r>
        <w:fldChar w:fldCharType="end"/>
      </w:r>
    </w:p>
    <w:p w:rsidR="001F24E8" w:rsidRDefault="001F24E8" w:rsidP="001F24E8"/>
    <w:p w:rsidR="001F24E8" w:rsidRDefault="001F24E8" w:rsidP="001F24E8">
      <w:pPr>
        <w:pStyle w:val="EntradandiceAuto"/>
      </w:pPr>
      <w:r>
        <w:t>Sala Segunda. Auto 49/2013, de 25 de febrero de 2013. Acepta una abstención en el recurso de amparo 6237-2011, promovido por doña Susana Pérez-Alonso García-Scheredre en pleito civil.</w:t>
      </w:r>
      <w:r>
        <w:tab/>
      </w:r>
      <w:r>
        <w:tab/>
      </w:r>
      <w:r>
        <w:fldChar w:fldCharType="begin"/>
      </w:r>
      <w:r>
        <w:instrText xml:space="preserve"> PAGEREF AUTO_2013_49 \h </w:instrText>
      </w:r>
      <w:r>
        <w:fldChar w:fldCharType="separate"/>
      </w:r>
      <w:r w:rsidR="00AF4A65">
        <w:rPr>
          <w:noProof/>
        </w:rPr>
        <w:t>2796</w:t>
      </w:r>
      <w:r>
        <w:fldChar w:fldCharType="end"/>
      </w:r>
    </w:p>
    <w:p w:rsidR="001F24E8" w:rsidRDefault="001F24E8" w:rsidP="001F24E8"/>
    <w:p w:rsidR="001F24E8" w:rsidRDefault="001F24E8" w:rsidP="001F24E8">
      <w:pPr>
        <w:pStyle w:val="EntradandiceAuto"/>
      </w:pPr>
      <w:r>
        <w:t>Sala Primera. Auto 50/2013, de 25 de febrero de 2013. Acuerda la extinción de la cuestión de inconstitucionalidad 2219-2012, planteada por la Sala de lo Contencioso-Administrativo del Tribunal Superior de Justicia de Madrid en relación con el apartado 7 del artículo 16.2 b) de la Ley 20/1998, de 27 de noviembre, de ordenación y coordinación de los transportes urbanos de la Comunidad de Madrid.</w:t>
      </w:r>
      <w:r>
        <w:tab/>
      </w:r>
      <w:r>
        <w:tab/>
      </w:r>
      <w:r>
        <w:fldChar w:fldCharType="begin"/>
      </w:r>
      <w:r>
        <w:instrText xml:space="preserve"> PAGEREF AUTO_2013_50 \h </w:instrText>
      </w:r>
      <w:r>
        <w:fldChar w:fldCharType="separate"/>
      </w:r>
      <w:r w:rsidR="00AF4A65">
        <w:rPr>
          <w:noProof/>
        </w:rPr>
        <w:t>2798</w:t>
      </w:r>
      <w:r>
        <w:fldChar w:fldCharType="end"/>
      </w:r>
    </w:p>
    <w:p w:rsidR="001F24E8" w:rsidRDefault="001F24E8" w:rsidP="001F24E8"/>
    <w:p w:rsidR="001F24E8" w:rsidRDefault="001F24E8" w:rsidP="001F24E8">
      <w:pPr>
        <w:pStyle w:val="EntradandiceAuto"/>
      </w:pPr>
      <w:r>
        <w:t>Sala Primera. Auto 51/2013, de 25 de febrero de 2013. Acuerda la extinción de la cuestión de inconstitucionalidad 3154-2012, planteada por la Sala de lo Contencioso-Administrativo del Tribunal Superior de Justicia de Madrid en relación con el artículo 16.2 b) 7 de la Ley 20/1998, de 27 de noviembre, de ordenación y coordinación de los transportes urbanos de la Comunidad de Madrid.</w:t>
      </w:r>
      <w:r>
        <w:tab/>
      </w:r>
      <w:r>
        <w:tab/>
      </w:r>
      <w:r>
        <w:fldChar w:fldCharType="begin"/>
      </w:r>
      <w:r>
        <w:instrText xml:space="preserve"> PAGEREF AUTO_2013_51 \h </w:instrText>
      </w:r>
      <w:r>
        <w:fldChar w:fldCharType="separate"/>
      </w:r>
      <w:r w:rsidR="00AF4A65">
        <w:rPr>
          <w:noProof/>
        </w:rPr>
        <w:t>2802</w:t>
      </w:r>
      <w:r>
        <w:fldChar w:fldCharType="end"/>
      </w:r>
    </w:p>
    <w:p w:rsidR="001F24E8" w:rsidRDefault="001F24E8" w:rsidP="001F24E8"/>
    <w:p w:rsidR="001F24E8" w:rsidRDefault="001F24E8" w:rsidP="001F24E8">
      <w:pPr>
        <w:pStyle w:val="EntradandiceAuto"/>
      </w:pPr>
      <w:r>
        <w:lastRenderedPageBreak/>
        <w:t>Sala Primera. Auto 52/2013, de 25 de febrero de 2013. Acuerda la extinción de la cuestión de inconstitucionalidad 3669-2012, planteada por la Sala de lo Contencioso-Administrativo del Tribunal Superior de Justicia de Madrid en relación con el artículo 16.2 b) 7 de la Ley 20/1998, de 27 de noviembre, de ordenación y coordinación de los transportes urbanos de la Comunidad de Madrid.</w:t>
      </w:r>
      <w:r>
        <w:tab/>
      </w:r>
      <w:r>
        <w:tab/>
      </w:r>
      <w:r>
        <w:fldChar w:fldCharType="begin"/>
      </w:r>
      <w:r>
        <w:instrText xml:space="preserve"> PAGEREF AUTO_2013_52 \h </w:instrText>
      </w:r>
      <w:r>
        <w:fldChar w:fldCharType="separate"/>
      </w:r>
      <w:r w:rsidR="00AF4A65">
        <w:rPr>
          <w:noProof/>
        </w:rPr>
        <w:t>2806</w:t>
      </w:r>
      <w:r>
        <w:fldChar w:fldCharType="end"/>
      </w:r>
    </w:p>
    <w:p w:rsidR="001F24E8" w:rsidRDefault="001F24E8" w:rsidP="001F24E8"/>
    <w:p w:rsidR="001F24E8" w:rsidRDefault="001F24E8" w:rsidP="001F24E8">
      <w:pPr>
        <w:pStyle w:val="EntradandiceAuto"/>
      </w:pPr>
      <w:r>
        <w:t>Sala Primera. Auto 53/2013, de 25 de febrero de 2013. Acuerda la extinción de la cuestión de inconstitucionalidad 4839-2012, planteada por la Sala de lo Contencioso-Administrativo del Tribunal Superior de Justicia de Madrid en relación con el artículo 16.2 b) 7 de la Ley 20/1998, de 27 de noviembre, de ordenación y coordinación de los transportes urbanos de la Comunidad de Madrid.</w:t>
      </w:r>
      <w:r>
        <w:tab/>
      </w:r>
      <w:r>
        <w:tab/>
      </w:r>
      <w:r>
        <w:fldChar w:fldCharType="begin"/>
      </w:r>
      <w:r>
        <w:instrText xml:space="preserve"> PAGEREF AUTO_2013_53 \h </w:instrText>
      </w:r>
      <w:r>
        <w:fldChar w:fldCharType="separate"/>
      </w:r>
      <w:r w:rsidR="00AF4A65">
        <w:rPr>
          <w:noProof/>
        </w:rPr>
        <w:t>2810</w:t>
      </w:r>
      <w:r>
        <w:fldChar w:fldCharType="end"/>
      </w:r>
    </w:p>
    <w:p w:rsidR="001F24E8" w:rsidRDefault="001F24E8" w:rsidP="001F24E8"/>
    <w:p w:rsidR="001F24E8" w:rsidRDefault="001F24E8" w:rsidP="001F24E8">
      <w:pPr>
        <w:pStyle w:val="EntradandiceAuto"/>
      </w:pPr>
      <w:r>
        <w:t>Sala Primera. Auto 54/2013, de 25 de febrero de 2013. Acuerda la extinción de la cuestión de inconstitucionalidad 4840-2012, planteada por la Sala de lo Contencioso-Administrativo del Tribunal Superior de Justicia de Madrid en relación con el artículo 16.2 b) 7 de la Ley 20/1998, de 27 de noviembre, de ordenación y coordinación de los transportes urbanos de la Comunidad de Madrid.</w:t>
      </w:r>
      <w:r>
        <w:tab/>
      </w:r>
      <w:r>
        <w:tab/>
      </w:r>
      <w:r>
        <w:fldChar w:fldCharType="begin"/>
      </w:r>
      <w:r>
        <w:instrText xml:space="preserve"> PAGEREF AUTO_2013_54 \h </w:instrText>
      </w:r>
      <w:r>
        <w:fldChar w:fldCharType="separate"/>
      </w:r>
      <w:r w:rsidR="00AF4A65">
        <w:rPr>
          <w:noProof/>
        </w:rPr>
        <w:t>2814</w:t>
      </w:r>
      <w:r>
        <w:fldChar w:fldCharType="end"/>
      </w:r>
    </w:p>
    <w:p w:rsidR="001F24E8" w:rsidRDefault="001F24E8" w:rsidP="001F24E8"/>
    <w:p w:rsidR="001F24E8" w:rsidRDefault="001F24E8" w:rsidP="001F24E8">
      <w:pPr>
        <w:pStyle w:val="EntradandiceAuto"/>
      </w:pPr>
      <w:r>
        <w:t>Sala Segunda. Auto 55/2013, de 25 de febrero de 2013. Acuerda la extinción de la cuestión de inconstitucionalidad 4951-2012, planteada por la Sala de lo Contencioso-Administrativo del Tribunal Superior de Justicia de Madrid en relación con el artículo 16.2 b) 7 de la Ley 20/1998, de 27 de noviembre, de ordenación y coordinación de los transportes urbanos de la Comunidad de Madrid.</w:t>
      </w:r>
      <w:r>
        <w:tab/>
      </w:r>
      <w:r>
        <w:tab/>
      </w:r>
      <w:r>
        <w:fldChar w:fldCharType="begin"/>
      </w:r>
      <w:r>
        <w:instrText xml:space="preserve"> PAGEREF AUTO_2013_55 \h </w:instrText>
      </w:r>
      <w:r>
        <w:fldChar w:fldCharType="separate"/>
      </w:r>
      <w:r w:rsidR="00AF4A65">
        <w:rPr>
          <w:noProof/>
        </w:rPr>
        <w:t>2818</w:t>
      </w:r>
      <w:r>
        <w:fldChar w:fldCharType="end"/>
      </w:r>
    </w:p>
    <w:p w:rsidR="001F24E8" w:rsidRDefault="001F24E8" w:rsidP="001F24E8"/>
    <w:p w:rsidR="001F24E8" w:rsidRDefault="001F24E8" w:rsidP="001F24E8">
      <w:pPr>
        <w:pStyle w:val="EntradandiceAuto"/>
      </w:pPr>
      <w:r>
        <w:t>Sala Primera. Auto 56/2013, de 25 de febrero de 2013. Acuerda la suspensión en el recurso de amparo 6076-2012, promovido por don José Luis Calvo Picallo en procedimiento de ejecución hipotecaria.</w:t>
      </w:r>
      <w:r>
        <w:tab/>
      </w:r>
      <w:r>
        <w:tab/>
      </w:r>
      <w:r>
        <w:fldChar w:fldCharType="begin"/>
      </w:r>
      <w:r>
        <w:instrText xml:space="preserve"> PAGEREF AUTO_2013_56 \h </w:instrText>
      </w:r>
      <w:r>
        <w:fldChar w:fldCharType="separate"/>
      </w:r>
      <w:r w:rsidR="00AF4A65">
        <w:rPr>
          <w:noProof/>
        </w:rPr>
        <w:t>2822</w:t>
      </w:r>
      <w:r>
        <w:fldChar w:fldCharType="end"/>
      </w:r>
    </w:p>
    <w:p w:rsidR="001F24E8" w:rsidRDefault="001F24E8" w:rsidP="001F24E8"/>
    <w:p w:rsidR="001F24E8" w:rsidRDefault="001F24E8" w:rsidP="001F24E8">
      <w:pPr>
        <w:pStyle w:val="EntradandiceAuto"/>
      </w:pPr>
      <w:r>
        <w:t>Sala Primera. Auto 57/2013, de 25 de febrero de 2013. Acuerda la extinción de la cuestión de inconstitucionalidad 6807-2012, planteada por la Sala de lo Contencioso-Administrativo del Tribunal Superior de Justicia de Madrid en relación con el artículo 16.2 b) 7 de la Ley 20/1998, de 27 de noviembre, de ordenación y coordinación de los transportes urbanos de la Comunidad de Madrid.</w:t>
      </w:r>
      <w:r>
        <w:tab/>
      </w:r>
      <w:r>
        <w:tab/>
      </w:r>
      <w:r>
        <w:fldChar w:fldCharType="begin"/>
      </w:r>
      <w:r>
        <w:instrText xml:space="preserve"> PAGEREF AUTO_2013_57 \h </w:instrText>
      </w:r>
      <w:r>
        <w:fldChar w:fldCharType="separate"/>
      </w:r>
      <w:r w:rsidR="00AF4A65">
        <w:rPr>
          <w:noProof/>
        </w:rPr>
        <w:t>2826</w:t>
      </w:r>
      <w:r>
        <w:fldChar w:fldCharType="end"/>
      </w:r>
    </w:p>
    <w:p w:rsidR="001F24E8" w:rsidRDefault="001F24E8" w:rsidP="001F24E8"/>
    <w:p w:rsidR="001F24E8" w:rsidRDefault="001F24E8" w:rsidP="001F24E8">
      <w:pPr>
        <w:pStyle w:val="EntradandiceAuto"/>
      </w:pPr>
      <w:r>
        <w:t>Pleno. Auto 58/2013, de 26 de febrero de 2013. Acuerda la extinción del conflicto positivo de competencia 6421-2003, planteado por la Generalitat de Cataluña en relación con diversos preceptos del Real Decreto 942/2003, de 18 de julio, por el que se determinan las condiciones básicas que deben reunir las pruebas para la obtención de los títulos de técnico y técnico superior de formación profesional específica.</w:t>
      </w:r>
      <w:r>
        <w:tab/>
      </w:r>
      <w:r>
        <w:tab/>
      </w:r>
      <w:r>
        <w:fldChar w:fldCharType="begin"/>
      </w:r>
      <w:r>
        <w:instrText xml:space="preserve"> PAGEREF AUTO_2013_58 \h </w:instrText>
      </w:r>
      <w:r>
        <w:fldChar w:fldCharType="separate"/>
      </w:r>
      <w:r w:rsidR="00AF4A65">
        <w:rPr>
          <w:noProof/>
        </w:rPr>
        <w:t>2830</w:t>
      </w:r>
      <w:r>
        <w:fldChar w:fldCharType="end"/>
      </w:r>
    </w:p>
    <w:p w:rsidR="001F24E8" w:rsidRDefault="001F24E8" w:rsidP="001F24E8"/>
    <w:p w:rsidR="001F24E8" w:rsidRDefault="001F24E8" w:rsidP="001F24E8">
      <w:pPr>
        <w:pStyle w:val="EntradandiceAuto"/>
      </w:pPr>
      <w:r>
        <w:lastRenderedPageBreak/>
        <w:t>Pleno. Auto 59/2013, de 26 de febrero de 2013. Inadmite a trámite la cuestión de inconstitucionalidad 5354-2012, planteada por el Juzgado de lo Penal núm. 15 de Barcelona en relación con la disposición adicional quinta, norma segunda, de la Ley Orgánica del Poder Judicial.</w:t>
      </w:r>
      <w:r>
        <w:tab/>
      </w:r>
      <w:r>
        <w:tab/>
      </w:r>
      <w:r>
        <w:fldChar w:fldCharType="begin"/>
      </w:r>
      <w:r>
        <w:instrText xml:space="preserve"> PAGEREF AUTO_2013_59 \h </w:instrText>
      </w:r>
      <w:r>
        <w:fldChar w:fldCharType="separate"/>
      </w:r>
      <w:r w:rsidR="00AF4A65">
        <w:rPr>
          <w:noProof/>
        </w:rPr>
        <w:t>2839</w:t>
      </w:r>
      <w:r>
        <w:fldChar w:fldCharType="end"/>
      </w:r>
    </w:p>
    <w:p w:rsidR="001F24E8" w:rsidRDefault="001F24E8" w:rsidP="001F24E8"/>
    <w:p w:rsidR="001F24E8" w:rsidRDefault="001F24E8" w:rsidP="001F24E8">
      <w:pPr>
        <w:pStyle w:val="EntradandiceAuto"/>
      </w:pPr>
      <w:r>
        <w:t>Pleno. Auto 60/2013, de 26 de febrero de 2013. Levanta la suspensión en el recurso de inconstitucionalidad 6687-2012, interpuesto por el Presidente del Gobierno en relación con los artículos 7, 9 y 10 de la Ley del Parlamento de Cataluña 2/2012, de 22 de febrero, de modificación de varias leyes en materia audiovisual.</w:t>
      </w:r>
      <w:r>
        <w:tab/>
      </w:r>
      <w:r>
        <w:tab/>
      </w:r>
      <w:r>
        <w:fldChar w:fldCharType="begin"/>
      </w:r>
      <w:r>
        <w:instrText xml:space="preserve"> PAGEREF AUTO_2013_60 \h </w:instrText>
      </w:r>
      <w:r>
        <w:fldChar w:fldCharType="separate"/>
      </w:r>
      <w:r w:rsidR="00AF4A65">
        <w:rPr>
          <w:noProof/>
        </w:rPr>
        <w:t>2845</w:t>
      </w:r>
      <w:r>
        <w:fldChar w:fldCharType="end"/>
      </w:r>
    </w:p>
    <w:p w:rsidR="001F24E8" w:rsidRDefault="001F24E8" w:rsidP="001F24E8"/>
    <w:p w:rsidR="001F24E8" w:rsidRDefault="001F24E8" w:rsidP="001F24E8">
      <w:pPr>
        <w:pStyle w:val="EntradandiceAuto"/>
      </w:pPr>
      <w:r>
        <w:t>Sala Segunda. Auto 61/2013, de 27 de febrero de 2013. Acuerda la suspensión de la ejecución en el recurso de amparo 162-2012, promovido por don José María González Vidal en causa penal.</w:t>
      </w:r>
      <w:r>
        <w:tab/>
      </w:r>
      <w:r>
        <w:tab/>
      </w:r>
      <w:r>
        <w:fldChar w:fldCharType="begin"/>
      </w:r>
      <w:r>
        <w:instrText xml:space="preserve"> PAGEREF AUTO_2013_61 \h </w:instrText>
      </w:r>
      <w:r>
        <w:fldChar w:fldCharType="separate"/>
      </w:r>
      <w:r w:rsidR="00AF4A65">
        <w:rPr>
          <w:noProof/>
        </w:rPr>
        <w:t>2859</w:t>
      </w:r>
      <w:r>
        <w:fldChar w:fldCharType="end"/>
      </w:r>
    </w:p>
    <w:p w:rsidR="001F24E8" w:rsidRDefault="001F24E8" w:rsidP="001F24E8"/>
    <w:p w:rsidR="001F24E8" w:rsidRDefault="001F24E8" w:rsidP="001F24E8">
      <w:pPr>
        <w:pStyle w:val="EntradandiceAuto"/>
      </w:pPr>
      <w:r>
        <w:t>Sección Primera. Auto 62/2013, de 27 de febrero de 2013. Acepta una abstención en el recurso de amparo 6494-2012, promovido por don Joaquín Arrocha Caraballo y otras personas en proceso contencioso-administrativo.</w:t>
      </w:r>
      <w:r>
        <w:tab/>
      </w:r>
      <w:r>
        <w:tab/>
      </w:r>
      <w:r>
        <w:fldChar w:fldCharType="begin"/>
      </w:r>
      <w:r>
        <w:instrText xml:space="preserve"> PAGEREF AUTO_2013_62 \h </w:instrText>
      </w:r>
      <w:r>
        <w:fldChar w:fldCharType="separate"/>
      </w:r>
      <w:r w:rsidR="00AF4A65">
        <w:rPr>
          <w:noProof/>
        </w:rPr>
        <w:t>2863</w:t>
      </w:r>
      <w:r>
        <w:fldChar w:fldCharType="end"/>
      </w:r>
    </w:p>
    <w:p w:rsidR="001F24E8" w:rsidRDefault="001F24E8" w:rsidP="001F24E8"/>
    <w:p w:rsidR="001F24E8" w:rsidRDefault="001F24E8" w:rsidP="001F24E8">
      <w:pPr>
        <w:pStyle w:val="EntradandiceAuto"/>
      </w:pPr>
      <w:r>
        <w:t>Sala Segunda. Auto 63/2013, de 11 de marzo de 2013. Acuerda el desistimiento en el recurso de amparo 3605-2011, promovido en proceso contencioso-administrativo.</w:t>
      </w:r>
      <w:r>
        <w:tab/>
      </w:r>
      <w:r>
        <w:tab/>
      </w:r>
      <w:r>
        <w:fldChar w:fldCharType="begin"/>
      </w:r>
      <w:r>
        <w:instrText xml:space="preserve"> PAGEREF AUTO_2013_63 \h </w:instrText>
      </w:r>
      <w:r>
        <w:fldChar w:fldCharType="separate"/>
      </w:r>
      <w:r w:rsidR="00AF4A65">
        <w:rPr>
          <w:noProof/>
        </w:rPr>
        <w:t>2865</w:t>
      </w:r>
      <w:r>
        <w:fldChar w:fldCharType="end"/>
      </w:r>
    </w:p>
    <w:p w:rsidR="001F24E8" w:rsidRDefault="001F24E8" w:rsidP="001F24E8"/>
    <w:p w:rsidR="001F24E8" w:rsidRDefault="001F24E8" w:rsidP="001F24E8">
      <w:pPr>
        <w:pStyle w:val="EntradandiceAuto"/>
      </w:pPr>
      <w:r>
        <w:t>Sala Segunda. Auto 64/2013, de 11 de marzo de 2013. Deniega la suspensión en el recurso de amparo 6112-2012, promovido por don Abdelkader Castellanos de la Fuente y otras personas en proceso contencioso-administrativo.</w:t>
      </w:r>
      <w:r>
        <w:tab/>
      </w:r>
      <w:r>
        <w:tab/>
      </w:r>
      <w:r>
        <w:fldChar w:fldCharType="begin"/>
      </w:r>
      <w:r>
        <w:instrText xml:space="preserve"> PAGEREF AUTO_2013_64 \h </w:instrText>
      </w:r>
      <w:r>
        <w:fldChar w:fldCharType="separate"/>
      </w:r>
      <w:r w:rsidR="00AF4A65">
        <w:rPr>
          <w:noProof/>
        </w:rPr>
        <w:t>2866</w:t>
      </w:r>
      <w:r>
        <w:fldChar w:fldCharType="end"/>
      </w:r>
    </w:p>
    <w:p w:rsidR="001F24E8" w:rsidRDefault="001F24E8" w:rsidP="001F24E8"/>
    <w:p w:rsidR="001F24E8" w:rsidRDefault="001F24E8" w:rsidP="001F24E8">
      <w:pPr>
        <w:pStyle w:val="EntradandiceAuto"/>
      </w:pPr>
      <w:r>
        <w:t>Sección Cuarta. Auto 65/2013, de 11 de marzo de 2013. Acuerda el desistimiento en el recurso de amparo 6883-2012, promovido en causa penal.</w:t>
      </w:r>
      <w:r>
        <w:tab/>
      </w:r>
      <w:r>
        <w:tab/>
      </w:r>
      <w:r>
        <w:fldChar w:fldCharType="begin"/>
      </w:r>
      <w:r>
        <w:instrText xml:space="preserve"> PAGEREF AUTO_2013_65 \h </w:instrText>
      </w:r>
      <w:r>
        <w:fldChar w:fldCharType="separate"/>
      </w:r>
      <w:r w:rsidR="00AF4A65">
        <w:rPr>
          <w:noProof/>
        </w:rPr>
        <w:t>2869</w:t>
      </w:r>
      <w:r>
        <w:fldChar w:fldCharType="end"/>
      </w:r>
    </w:p>
    <w:p w:rsidR="001F24E8" w:rsidRDefault="001F24E8" w:rsidP="001F24E8"/>
    <w:p w:rsidR="001F24E8" w:rsidRDefault="001F24E8" w:rsidP="001F24E8">
      <w:pPr>
        <w:pStyle w:val="EntradandiceAuto"/>
      </w:pPr>
      <w:r>
        <w:t>Pleno. Auto 66/2013, de 12 de marzo de 2013. Deniega la aclaración de la Sentencia 4/2013, de 17 de enero, dictada en el recurso de inconstitucionalidad 4573-2002, interpuesto por el Presidente del Gobierno en relación con diversos preceptos de la Ley de la Asamblea de Extremadura 2/2002, de 25 de abril, de protección de la calidad del suministro eléctrico en Extremadura.</w:t>
      </w:r>
      <w:r>
        <w:tab/>
      </w:r>
      <w:r>
        <w:tab/>
      </w:r>
      <w:r>
        <w:fldChar w:fldCharType="begin"/>
      </w:r>
      <w:r>
        <w:instrText xml:space="preserve"> PAGEREF AUTO_2013_66 \h </w:instrText>
      </w:r>
      <w:r>
        <w:fldChar w:fldCharType="separate"/>
      </w:r>
      <w:r w:rsidR="00AF4A65">
        <w:rPr>
          <w:noProof/>
        </w:rPr>
        <w:t>2870</w:t>
      </w:r>
      <w:r>
        <w:fldChar w:fldCharType="end"/>
      </w:r>
    </w:p>
    <w:p w:rsidR="001F24E8" w:rsidRDefault="001F24E8" w:rsidP="001F24E8"/>
    <w:p w:rsidR="001F24E8" w:rsidRDefault="001F24E8" w:rsidP="001F24E8">
      <w:pPr>
        <w:pStyle w:val="EntradandiceAuto"/>
      </w:pPr>
      <w:r>
        <w:t>Pleno. Auto 67/2013, de 12 de marzo de 2013. Acuerda la extinción de la cuestión de inconstitucionalidad 4569-2004, planteada por el Juzgado de lo Contencioso-Administrativo núm. 1 de Cáceres en relación con el artículo 17.1 de la Ley de la Asamblea de Extremadura 11/2001, de 12 de diciembre, de colegios y consejos profesionales.</w:t>
      </w:r>
      <w:r>
        <w:tab/>
      </w:r>
      <w:r>
        <w:tab/>
      </w:r>
      <w:r>
        <w:fldChar w:fldCharType="begin"/>
      </w:r>
      <w:r>
        <w:instrText xml:space="preserve"> PAGEREF AUTO_2013_67 \h </w:instrText>
      </w:r>
      <w:r>
        <w:fldChar w:fldCharType="separate"/>
      </w:r>
      <w:r w:rsidR="00AF4A65">
        <w:rPr>
          <w:noProof/>
        </w:rPr>
        <w:t>2873</w:t>
      </w:r>
      <w:r>
        <w:fldChar w:fldCharType="end"/>
      </w:r>
    </w:p>
    <w:p w:rsidR="001F24E8" w:rsidRDefault="001F24E8" w:rsidP="001F24E8"/>
    <w:p w:rsidR="001F24E8" w:rsidRDefault="001F24E8" w:rsidP="001F24E8">
      <w:pPr>
        <w:pStyle w:val="EntradandiceAuto"/>
      </w:pPr>
      <w:r>
        <w:t>Pleno. Auto 68/2013, de 12 de marzo de 2013. Aclara la Sentencia 22/2013, de 31 de enero, dictada en el recurso de amparo 8928-2006, promovido por don Pablo Queralto Gómez en relación con la Sentencia de la Audiencia Provincial de Madrid que le condenó por dos delitos de homicidio imprudente en concurso con un delito contra la seguridad de los trabajadores.</w:t>
      </w:r>
      <w:r>
        <w:tab/>
      </w:r>
      <w:r>
        <w:tab/>
      </w:r>
      <w:r>
        <w:fldChar w:fldCharType="begin"/>
      </w:r>
      <w:r>
        <w:instrText xml:space="preserve"> PAGEREF AUTO_2013_68 \h </w:instrText>
      </w:r>
      <w:r>
        <w:fldChar w:fldCharType="separate"/>
      </w:r>
      <w:r w:rsidR="00AF4A65">
        <w:rPr>
          <w:noProof/>
        </w:rPr>
        <w:t>2882</w:t>
      </w:r>
      <w:r>
        <w:fldChar w:fldCharType="end"/>
      </w:r>
    </w:p>
    <w:p w:rsidR="001F24E8" w:rsidRDefault="001F24E8" w:rsidP="001F24E8"/>
    <w:p w:rsidR="001F24E8" w:rsidRDefault="001F24E8" w:rsidP="001F24E8">
      <w:pPr>
        <w:pStyle w:val="EntradandiceAuto"/>
      </w:pPr>
      <w:r>
        <w:t>Pleno. Auto 69/2013, de 12 de marzo de 2013. Acuerda la extinción de la cuestión de inconstitucionalidad 6391-2010, planteada por el Tribunal Superior de Justicia de Murcia en relación con la disposición adicional tercera c) de la Ley 40/2007, de 4 de diciembre, de medidas en materia de Seguridad Social.</w:t>
      </w:r>
      <w:r>
        <w:tab/>
      </w:r>
      <w:r>
        <w:tab/>
      </w:r>
      <w:r>
        <w:fldChar w:fldCharType="begin"/>
      </w:r>
      <w:r>
        <w:instrText xml:space="preserve"> PAGEREF AUTO_2013_69 \h </w:instrText>
      </w:r>
      <w:r>
        <w:fldChar w:fldCharType="separate"/>
      </w:r>
      <w:r w:rsidR="00AF4A65">
        <w:rPr>
          <w:noProof/>
        </w:rPr>
        <w:t>2884</w:t>
      </w:r>
      <w:r>
        <w:fldChar w:fldCharType="end"/>
      </w:r>
    </w:p>
    <w:p w:rsidR="001F24E8" w:rsidRDefault="001F24E8" w:rsidP="001F24E8"/>
    <w:p w:rsidR="001F24E8" w:rsidRDefault="001F24E8" w:rsidP="001F24E8">
      <w:pPr>
        <w:pStyle w:val="EntradandiceAuto"/>
      </w:pPr>
      <w:r>
        <w:t>Pleno. Auto 70/2013, de 12 de marzo de 2013. Acuerda el desistimiento en el recurso de amparo 7815-2010, promovido en proceso contencioso-administrativo.</w:t>
      </w:r>
      <w:r>
        <w:tab/>
      </w:r>
      <w:r>
        <w:tab/>
      </w:r>
      <w:r>
        <w:fldChar w:fldCharType="begin"/>
      </w:r>
      <w:r>
        <w:instrText xml:space="preserve"> PAGEREF AUTO_2013_70 \h </w:instrText>
      </w:r>
      <w:r>
        <w:fldChar w:fldCharType="separate"/>
      </w:r>
      <w:r w:rsidR="00AF4A65">
        <w:rPr>
          <w:noProof/>
        </w:rPr>
        <w:t>2889</w:t>
      </w:r>
      <w:r>
        <w:fldChar w:fldCharType="end"/>
      </w:r>
    </w:p>
    <w:p w:rsidR="001F24E8" w:rsidRDefault="001F24E8" w:rsidP="001F24E8"/>
    <w:p w:rsidR="001F24E8" w:rsidRDefault="001F24E8" w:rsidP="001F24E8">
      <w:pPr>
        <w:pStyle w:val="EntradandiceAuto"/>
      </w:pPr>
      <w:r>
        <w:t>Sección Primera. Auto 71/2013, de 13 de marzo de 2013. Acuerda el desistimiento en el recurso de amparo 3333-2012, promovido en pleito civil.</w:t>
      </w:r>
      <w:r>
        <w:tab/>
      </w:r>
      <w:r>
        <w:tab/>
      </w:r>
      <w:r>
        <w:fldChar w:fldCharType="begin"/>
      </w:r>
      <w:r>
        <w:instrText xml:space="preserve"> PAGEREF AUTO_2013_71 \h </w:instrText>
      </w:r>
      <w:r>
        <w:fldChar w:fldCharType="separate"/>
      </w:r>
      <w:r w:rsidR="00AF4A65">
        <w:rPr>
          <w:noProof/>
        </w:rPr>
        <w:t>2890</w:t>
      </w:r>
      <w:r>
        <w:fldChar w:fldCharType="end"/>
      </w:r>
    </w:p>
    <w:p w:rsidR="001F24E8" w:rsidRDefault="001F24E8" w:rsidP="001F24E8"/>
    <w:p w:rsidR="001F24E8" w:rsidRDefault="001F24E8" w:rsidP="001F24E8">
      <w:pPr>
        <w:pStyle w:val="EntradandiceAuto"/>
      </w:pPr>
      <w:r>
        <w:t>Sección Segunda. Auto 72/2013, de 13 de marzo de 2013. Acuerda el desistimiento en el recurso de amparo 6825-2012, promovido en litigio social.</w:t>
      </w:r>
      <w:r>
        <w:tab/>
      </w:r>
      <w:r>
        <w:tab/>
      </w:r>
      <w:r>
        <w:fldChar w:fldCharType="begin"/>
      </w:r>
      <w:r>
        <w:instrText xml:space="preserve"> PAGEREF AUTO_2013_72 \h </w:instrText>
      </w:r>
      <w:r>
        <w:fldChar w:fldCharType="separate"/>
      </w:r>
      <w:r w:rsidR="00AF4A65">
        <w:rPr>
          <w:noProof/>
        </w:rPr>
        <w:t>2891</w:t>
      </w:r>
      <w:r>
        <w:fldChar w:fldCharType="end"/>
      </w:r>
    </w:p>
    <w:p w:rsidR="001F24E8" w:rsidRDefault="001F24E8" w:rsidP="001F24E8"/>
    <w:p w:rsidR="001F24E8" w:rsidRDefault="001F24E8" w:rsidP="001F24E8">
      <w:pPr>
        <w:pStyle w:val="EntradandiceAuto"/>
      </w:pPr>
      <w:r>
        <w:t>Sala Segunda. Auto 73/2013, de 8 de abril de 2013. Acuerda la extinción, por desaparición sobrevenida de su objeto, de la cuestión de inconstitucionalidad 9020-2007, planteada por el Juzgado de lo Social núm. 2 de Jaén en relación con la disposición adicional séptima del texto refundido de la Ley general de la Seguridad Social.</w:t>
      </w:r>
      <w:r>
        <w:tab/>
      </w:r>
      <w:r>
        <w:tab/>
      </w:r>
      <w:r>
        <w:fldChar w:fldCharType="begin"/>
      </w:r>
      <w:r>
        <w:instrText xml:space="preserve"> PAGEREF AUTO_2013_73 \h </w:instrText>
      </w:r>
      <w:r>
        <w:fldChar w:fldCharType="separate"/>
      </w:r>
      <w:r w:rsidR="00AF4A65">
        <w:rPr>
          <w:noProof/>
        </w:rPr>
        <w:t>2892</w:t>
      </w:r>
      <w:r>
        <w:fldChar w:fldCharType="end"/>
      </w:r>
    </w:p>
    <w:p w:rsidR="001F24E8" w:rsidRDefault="001F24E8" w:rsidP="001F24E8"/>
    <w:p w:rsidR="001F24E8" w:rsidRDefault="001F24E8" w:rsidP="001F24E8">
      <w:pPr>
        <w:pStyle w:val="EntradandiceAuto"/>
      </w:pPr>
      <w:r>
        <w:t>Sala Primera. Auto 74/2013, de 8 de abril de 2013. Acuerda la suspensión en el recurso de amparo 3652-2012, promovido por doña María Loreto Sabaté Grau en procedimiento sobre ejecución de títulos no judiciales.</w:t>
      </w:r>
      <w:r>
        <w:tab/>
      </w:r>
      <w:r>
        <w:tab/>
      </w:r>
      <w:r>
        <w:fldChar w:fldCharType="begin"/>
      </w:r>
      <w:r>
        <w:instrText xml:space="preserve"> PAGEREF AUTO_2013_74 \h </w:instrText>
      </w:r>
      <w:r>
        <w:fldChar w:fldCharType="separate"/>
      </w:r>
      <w:r w:rsidR="00AF4A65">
        <w:rPr>
          <w:noProof/>
        </w:rPr>
        <w:t>2895</w:t>
      </w:r>
      <w:r>
        <w:fldChar w:fldCharType="end"/>
      </w:r>
    </w:p>
    <w:p w:rsidR="001F24E8" w:rsidRDefault="001F24E8" w:rsidP="001F24E8"/>
    <w:p w:rsidR="001F24E8" w:rsidRDefault="001F24E8" w:rsidP="001F24E8">
      <w:pPr>
        <w:pStyle w:val="EntradandiceAuto"/>
      </w:pPr>
      <w:r>
        <w:t>Sala Segunda. Auto 75/2013, de 8 de abril de 2013. Acuerda la suspensión parcial en el recurso de amparo 5652-2012, promovido por don José Antonio Montserrat Sánchez en causa penal.</w:t>
      </w:r>
      <w:r>
        <w:tab/>
      </w:r>
      <w:r>
        <w:tab/>
      </w:r>
      <w:r>
        <w:fldChar w:fldCharType="begin"/>
      </w:r>
      <w:r>
        <w:instrText xml:space="preserve"> PAGEREF AUTO_2013_75 \h </w:instrText>
      </w:r>
      <w:r>
        <w:fldChar w:fldCharType="separate"/>
      </w:r>
      <w:r w:rsidR="00AF4A65">
        <w:rPr>
          <w:noProof/>
        </w:rPr>
        <w:t>2898</w:t>
      </w:r>
      <w:r>
        <w:fldChar w:fldCharType="end"/>
      </w:r>
    </w:p>
    <w:p w:rsidR="001F24E8" w:rsidRDefault="001F24E8" w:rsidP="001F24E8"/>
    <w:p w:rsidR="001F24E8" w:rsidRDefault="001F24E8" w:rsidP="001F24E8">
      <w:pPr>
        <w:pStyle w:val="EntradandiceAuto"/>
      </w:pPr>
      <w:r>
        <w:t>Pleno. Auto 76/2013, de 9 de abril de 2013. Acuerda la extinción, por desaparición sobrevenida de su objeto, de la cuestión de inconstitucionalidad 9157-2006, planteada por el Juzgado de lo Social núm. 1 de Lleida en relación con la disposición adicional séptima del texto refundido de la Ley general de la Seguridad social.</w:t>
      </w:r>
      <w:r>
        <w:tab/>
      </w:r>
      <w:r>
        <w:tab/>
      </w:r>
      <w:r>
        <w:fldChar w:fldCharType="begin"/>
      </w:r>
      <w:r>
        <w:instrText xml:space="preserve"> PAGEREF AUTO_2013_76 \h </w:instrText>
      </w:r>
      <w:r>
        <w:fldChar w:fldCharType="separate"/>
      </w:r>
      <w:r w:rsidR="00AF4A65">
        <w:rPr>
          <w:noProof/>
        </w:rPr>
        <w:t>2902</w:t>
      </w:r>
      <w:r>
        <w:fldChar w:fldCharType="end"/>
      </w:r>
    </w:p>
    <w:p w:rsidR="001F24E8" w:rsidRDefault="001F24E8" w:rsidP="001F24E8"/>
    <w:p w:rsidR="001F24E8" w:rsidRDefault="001F24E8" w:rsidP="001F24E8">
      <w:pPr>
        <w:pStyle w:val="EntradandiceAuto"/>
      </w:pPr>
      <w:r>
        <w:lastRenderedPageBreak/>
        <w:t>Pleno. Auto 77/2013, de 9 de abril de 2013. Acuerda la extinción, por desaparición sobrevenida de su objeto, de la cuestión de inconstitucionalidad 763-2007, planteada por la Sala de lo Social del Tribunal Superior de Justicia de la Región de Murcia en relación con la disposición adicional séptima del texto refundido de Ley general de la Seguridad Social.</w:t>
      </w:r>
      <w:r>
        <w:tab/>
      </w:r>
      <w:r>
        <w:tab/>
      </w:r>
      <w:r>
        <w:fldChar w:fldCharType="begin"/>
      </w:r>
      <w:r>
        <w:instrText xml:space="preserve"> PAGEREF AUTO_2013_77 \h </w:instrText>
      </w:r>
      <w:r>
        <w:fldChar w:fldCharType="separate"/>
      </w:r>
      <w:r w:rsidR="00AF4A65">
        <w:rPr>
          <w:noProof/>
        </w:rPr>
        <w:t>2906</w:t>
      </w:r>
      <w:r>
        <w:fldChar w:fldCharType="end"/>
      </w:r>
    </w:p>
    <w:p w:rsidR="001F24E8" w:rsidRDefault="001F24E8" w:rsidP="001F24E8"/>
    <w:p w:rsidR="001F24E8" w:rsidRDefault="001F24E8" w:rsidP="001F24E8">
      <w:pPr>
        <w:pStyle w:val="EntradandiceAuto"/>
      </w:pPr>
      <w:r>
        <w:t>Pleno. Auto 78/2013, de 9 de abril de 2013. Acuerda la acumulación de cinco recursos de inconstitucionalidad al 6963-2007, planteado por el Consejo de Gobierno de la Comunidad de Madrid en relación con determinados preceptos de la Ley 8/2007, de 28 de mayo, de suelo.</w:t>
      </w:r>
      <w:r>
        <w:tab/>
      </w:r>
      <w:r>
        <w:tab/>
      </w:r>
      <w:r>
        <w:fldChar w:fldCharType="begin"/>
      </w:r>
      <w:r>
        <w:instrText xml:space="preserve"> PAGEREF AUTO_2013_78 \h </w:instrText>
      </w:r>
      <w:r>
        <w:fldChar w:fldCharType="separate"/>
      </w:r>
      <w:r w:rsidR="00AF4A65">
        <w:rPr>
          <w:noProof/>
        </w:rPr>
        <w:t>2909</w:t>
      </w:r>
      <w:r>
        <w:fldChar w:fldCharType="end"/>
      </w:r>
    </w:p>
    <w:p w:rsidR="001F24E8" w:rsidRDefault="001F24E8" w:rsidP="001F24E8"/>
    <w:p w:rsidR="001F24E8" w:rsidRDefault="001F24E8" w:rsidP="001F24E8">
      <w:pPr>
        <w:pStyle w:val="EntradandiceAuto"/>
      </w:pPr>
      <w:r>
        <w:t>Pleno. Auto 79/2013, de 9 de abril de 2013. Acuerda la extinción, por desaparición sobrevenida de su objeto, de la cuestión de inconstitucionalidad 5642-2012, planteada por la Sala Social del Tribunal Superior de Justicia de Castilla-La Mancha en relación con la disposición adicional tercera de la Ley 40/2007, de 4 de diciembre de 2007.</w:t>
      </w:r>
      <w:r>
        <w:tab/>
      </w:r>
      <w:r>
        <w:tab/>
      </w:r>
      <w:r>
        <w:fldChar w:fldCharType="begin"/>
      </w:r>
      <w:r>
        <w:instrText xml:space="preserve"> PAGEREF AUTO_2013_79 \h </w:instrText>
      </w:r>
      <w:r>
        <w:fldChar w:fldCharType="separate"/>
      </w:r>
      <w:r w:rsidR="00AF4A65">
        <w:rPr>
          <w:noProof/>
        </w:rPr>
        <w:t>2916</w:t>
      </w:r>
      <w:r>
        <w:fldChar w:fldCharType="end"/>
      </w:r>
    </w:p>
    <w:p w:rsidR="001F24E8" w:rsidRDefault="001F24E8" w:rsidP="001F24E8"/>
    <w:p w:rsidR="001F24E8" w:rsidRDefault="001F24E8" w:rsidP="001F24E8">
      <w:pPr>
        <w:pStyle w:val="EntradandiceAuto"/>
      </w:pPr>
      <w:r>
        <w:t>Pleno. Auto 80/2013, de 9 de abril de 2013. Levanta parcialmente la suspensión en el recurso de inconstitucionalidad 6777-2012, interpuesto por el Presidente del Gobierno en relación con diversos preceptos de la Ley del Parlamento de Cataluña 3/2007, de 22 de febrero, de modificación del texto refundido de la Ley de urbanismo.</w:t>
      </w:r>
      <w:r>
        <w:tab/>
      </w:r>
      <w:r>
        <w:tab/>
      </w:r>
      <w:r>
        <w:fldChar w:fldCharType="begin"/>
      </w:r>
      <w:r>
        <w:instrText xml:space="preserve"> PAGEREF AUTO_2013_80 \h </w:instrText>
      </w:r>
      <w:r>
        <w:fldChar w:fldCharType="separate"/>
      </w:r>
      <w:r w:rsidR="00AF4A65">
        <w:rPr>
          <w:noProof/>
        </w:rPr>
        <w:t>2921</w:t>
      </w:r>
      <w:r>
        <w:fldChar w:fldCharType="end"/>
      </w:r>
    </w:p>
    <w:p w:rsidR="001F24E8" w:rsidRDefault="001F24E8" w:rsidP="001F24E8"/>
    <w:p w:rsidR="001F24E8" w:rsidRDefault="001F24E8" w:rsidP="001F24E8">
      <w:pPr>
        <w:pStyle w:val="EntradandiceAuto"/>
      </w:pPr>
      <w:r>
        <w:t>Sección Primera. Auto 81/2013, de 10 de abril de 2013. Acepta una abstención en el recurso de amparo 4100-2012, promovido por el Consejo Insular de Menorca en proceso contencioso-administrativo.</w:t>
      </w:r>
      <w:r>
        <w:tab/>
      </w:r>
      <w:r>
        <w:tab/>
      </w:r>
      <w:r>
        <w:fldChar w:fldCharType="begin"/>
      </w:r>
      <w:r>
        <w:instrText xml:space="preserve"> PAGEREF AUTO_2013_81 \h </w:instrText>
      </w:r>
      <w:r>
        <w:fldChar w:fldCharType="separate"/>
      </w:r>
      <w:r w:rsidR="00AF4A65">
        <w:rPr>
          <w:noProof/>
        </w:rPr>
        <w:t>2937</w:t>
      </w:r>
      <w:r>
        <w:fldChar w:fldCharType="end"/>
      </w:r>
    </w:p>
    <w:p w:rsidR="001F24E8" w:rsidRDefault="001F24E8" w:rsidP="001F24E8"/>
    <w:p w:rsidR="001F24E8" w:rsidRDefault="001F24E8" w:rsidP="001F24E8">
      <w:pPr>
        <w:pStyle w:val="EntradandiceAuto"/>
      </w:pPr>
      <w:r>
        <w:t>Sala Primera. Auto 82/2013, de 22 de abril de 2013. Acuerda el desistimiento en el recurso de amparo 3843-2012, promovido en pleito civil.</w:t>
      </w:r>
      <w:r>
        <w:tab/>
      </w:r>
      <w:r>
        <w:tab/>
      </w:r>
      <w:r>
        <w:fldChar w:fldCharType="begin"/>
      </w:r>
      <w:r>
        <w:instrText xml:space="preserve"> PAGEREF AUTO_2013_82 \h </w:instrText>
      </w:r>
      <w:r>
        <w:fldChar w:fldCharType="separate"/>
      </w:r>
      <w:r w:rsidR="00AF4A65">
        <w:rPr>
          <w:noProof/>
        </w:rPr>
        <w:t>2939</w:t>
      </w:r>
      <w:r>
        <w:fldChar w:fldCharType="end"/>
      </w:r>
    </w:p>
    <w:p w:rsidR="001F24E8" w:rsidRDefault="001F24E8" w:rsidP="001F24E8"/>
    <w:p w:rsidR="001F24E8" w:rsidRDefault="001F24E8" w:rsidP="001F24E8">
      <w:pPr>
        <w:pStyle w:val="EntradandiceAuto"/>
      </w:pPr>
      <w:r>
        <w:t>Sección Cuarta. Auto 83/2013, de 22 de abril de 2013. Acuerda el desistimiento en el recurso de amparo 5917-2012, promovido en pleito civil.</w:t>
      </w:r>
      <w:r>
        <w:tab/>
      </w:r>
      <w:r>
        <w:tab/>
      </w:r>
      <w:r>
        <w:fldChar w:fldCharType="begin"/>
      </w:r>
      <w:r>
        <w:instrText xml:space="preserve"> PAGEREF AUTO_2013_83 \h </w:instrText>
      </w:r>
      <w:r>
        <w:fldChar w:fldCharType="separate"/>
      </w:r>
      <w:r w:rsidR="00AF4A65">
        <w:rPr>
          <w:noProof/>
        </w:rPr>
        <w:t>2940</w:t>
      </w:r>
      <w:r>
        <w:fldChar w:fldCharType="end"/>
      </w:r>
    </w:p>
    <w:p w:rsidR="001F24E8" w:rsidRDefault="001F24E8" w:rsidP="001F24E8"/>
    <w:p w:rsidR="001F24E8" w:rsidRDefault="001F24E8" w:rsidP="001F24E8">
      <w:pPr>
        <w:pStyle w:val="EntradandiceAuto"/>
      </w:pPr>
      <w:r>
        <w:t>Pleno. Auto 84/2013, de 23 de abril de 2013. Inadmite a trámite la cuestión de inconstitucionalidad 6313-2012, planteada por la Sala de lo Contencioso-Administrativo del Tribunal Superior de Justicia del País Vasco en relación con la disposición transitoria primera de la Norma Foral de las Juntas Generales de Álava 14/2009, de 17 de diciembre, de ejecución presupuestaria para 2010.</w:t>
      </w:r>
      <w:r>
        <w:tab/>
      </w:r>
      <w:r>
        <w:tab/>
      </w:r>
      <w:r>
        <w:fldChar w:fldCharType="begin"/>
      </w:r>
      <w:r>
        <w:instrText xml:space="preserve"> PAGEREF AUTO_2013_84 \h </w:instrText>
      </w:r>
      <w:r>
        <w:fldChar w:fldCharType="separate"/>
      </w:r>
      <w:r w:rsidR="00AF4A65">
        <w:rPr>
          <w:noProof/>
        </w:rPr>
        <w:t>2941</w:t>
      </w:r>
      <w:r>
        <w:fldChar w:fldCharType="end"/>
      </w:r>
    </w:p>
    <w:p w:rsidR="001F24E8" w:rsidRDefault="001F24E8" w:rsidP="001F24E8"/>
    <w:p w:rsidR="001F24E8" w:rsidRDefault="001F24E8" w:rsidP="001F24E8">
      <w:pPr>
        <w:pStyle w:val="EntradandiceAuto"/>
      </w:pPr>
      <w:r>
        <w:lastRenderedPageBreak/>
        <w:t>Pleno. Auto 85/2013, de 23 de abril de 2013. Inadmite a trámite la cuestión de inconstitucionalidad 6611-2012, planteada por la Sala de lo Contencioso-Administrativo del Tribunal Superior de Justicia de Cataluña en relación con el segundo inciso de la disposición transitoria novena de la Ley del Parlamento de Cataluña 5/2012, de 20 de marzo, de medidas fiscales, financieras y administrativas y de creación del impuesto sobre las estancias en establecimientos turísticos.</w:t>
      </w:r>
      <w:r>
        <w:tab/>
      </w:r>
      <w:r>
        <w:tab/>
      </w:r>
      <w:r>
        <w:fldChar w:fldCharType="begin"/>
      </w:r>
      <w:r>
        <w:instrText xml:space="preserve"> PAGEREF AUTO_2013_85 \h </w:instrText>
      </w:r>
      <w:r>
        <w:fldChar w:fldCharType="separate"/>
      </w:r>
      <w:r w:rsidR="00AF4A65">
        <w:rPr>
          <w:noProof/>
        </w:rPr>
        <w:t>2948</w:t>
      </w:r>
      <w:r>
        <w:fldChar w:fldCharType="end"/>
      </w:r>
    </w:p>
    <w:p w:rsidR="001F24E8" w:rsidRDefault="001F24E8" w:rsidP="001F24E8"/>
    <w:p w:rsidR="001F24E8" w:rsidRDefault="001F24E8" w:rsidP="001F24E8">
      <w:pPr>
        <w:pStyle w:val="EntradandiceAuto"/>
      </w:pPr>
      <w:r>
        <w:t>Pleno. Auto 86/2013, de 23 de abril de 2013. Mantiene la suspensión en el conflicto positivo de competencia 6862-2012, planteado por el Gobierno de la Nación en relación con la decisión del Gobierno vasco de fecha indeterminada por la que acuerda que los trabajadores del sector público vasco cobren la paga extraordinaria de diciembre de 2012.</w:t>
      </w:r>
      <w:r>
        <w:tab/>
      </w:r>
      <w:r>
        <w:tab/>
      </w:r>
      <w:r>
        <w:fldChar w:fldCharType="begin"/>
      </w:r>
      <w:r>
        <w:instrText xml:space="preserve"> PAGEREF AUTO_2013_86 \h </w:instrText>
      </w:r>
      <w:r>
        <w:fldChar w:fldCharType="separate"/>
      </w:r>
      <w:r w:rsidR="00AF4A65">
        <w:rPr>
          <w:noProof/>
        </w:rPr>
        <w:t>2965</w:t>
      </w:r>
      <w:r>
        <w:fldChar w:fldCharType="end"/>
      </w:r>
    </w:p>
    <w:p w:rsidR="001F24E8" w:rsidRDefault="001F24E8" w:rsidP="001F24E8"/>
    <w:p w:rsidR="001F24E8" w:rsidRDefault="001F24E8" w:rsidP="001F24E8">
      <w:pPr>
        <w:pStyle w:val="EntradandiceAuto"/>
      </w:pPr>
      <w:r>
        <w:t>Pleno. Auto 87/2013, de 23 de abril de 2013. Declara no haber lugar a pronunciarse sobre el mantenimiento o levantamiento de la suspensión en el conflicto positivo de competencia 136-2013, planteado por el Gobierno de la Nación respecto del Decreto Foral 117/2012, de 31 de octubre, por el que se modifica el Decreto Foral 640/1996, de 18 de noviembre, que establece el procedimiento y las condiciones para el acceso a las prestaciones del régimen de universalización de la asistencia sanitaria pública en la Comunidad Foral de Navarra.</w:t>
      </w:r>
      <w:r>
        <w:tab/>
      </w:r>
      <w:r>
        <w:tab/>
      </w:r>
      <w:r>
        <w:fldChar w:fldCharType="begin"/>
      </w:r>
      <w:r>
        <w:instrText xml:space="preserve"> PAGEREF AUTO_2013_87 \h </w:instrText>
      </w:r>
      <w:r>
        <w:fldChar w:fldCharType="separate"/>
      </w:r>
      <w:r w:rsidR="00AF4A65">
        <w:rPr>
          <w:noProof/>
        </w:rPr>
        <w:t>2976</w:t>
      </w:r>
      <w:r>
        <w:fldChar w:fldCharType="end"/>
      </w:r>
    </w:p>
    <w:p w:rsidR="001F24E8" w:rsidRDefault="001F24E8" w:rsidP="001F24E8"/>
    <w:p w:rsidR="001F24E8" w:rsidRDefault="001F24E8" w:rsidP="001F24E8">
      <w:pPr>
        <w:pStyle w:val="EntradandiceAuto"/>
      </w:pPr>
      <w:r>
        <w:t>Pleno. Auto 88/2013, de 23 de abril de 2013. Levanta parcialmente la suspensión en el recurso de inconstitucionalidad 501-2013, interpuesto por el Presidente del Gobierno en relación con la Ley Foral 18/2012, de 19 de octubre, sobre la complementación de las prestaciones farmacéuticas.</w:t>
      </w:r>
      <w:r>
        <w:tab/>
      </w:r>
      <w:r>
        <w:tab/>
      </w:r>
      <w:r>
        <w:fldChar w:fldCharType="begin"/>
      </w:r>
      <w:r>
        <w:instrText xml:space="preserve"> PAGEREF AUTO_2013_88 \h </w:instrText>
      </w:r>
      <w:r>
        <w:fldChar w:fldCharType="separate"/>
      </w:r>
      <w:r w:rsidR="00AF4A65">
        <w:rPr>
          <w:noProof/>
        </w:rPr>
        <w:t>2981</w:t>
      </w:r>
      <w:r>
        <w:fldChar w:fldCharType="end"/>
      </w:r>
    </w:p>
    <w:p w:rsidR="001F24E8" w:rsidRDefault="001F24E8" w:rsidP="001F24E8"/>
    <w:p w:rsidR="001F24E8" w:rsidRDefault="001F24E8" w:rsidP="001F24E8">
      <w:pPr>
        <w:pStyle w:val="EntradandiceAuto"/>
      </w:pPr>
      <w:r>
        <w:t>Sala Primera. Auto 89/2013, de 6 de mayo de 2013. Acuerda no acceder al desistimiento ni al archivo en el recurso de amparo 9138-2008, promovido por el Centro de Iniciativas para la Formación Agraria, S. A., en relación con el Decreto de la Comunidad de Castilla La Mancha 22/2004, de 2 de marzo, sobre admisión de alumnos en centros docentes no universitarios sostenidos con fondos públicos. Votos particulares.</w:t>
      </w:r>
      <w:r>
        <w:tab/>
      </w:r>
      <w:r>
        <w:tab/>
      </w:r>
      <w:r>
        <w:fldChar w:fldCharType="begin"/>
      </w:r>
      <w:r>
        <w:instrText xml:space="preserve"> PAGEREF AUTO_2013_89 \h </w:instrText>
      </w:r>
      <w:r>
        <w:fldChar w:fldCharType="separate"/>
      </w:r>
      <w:r w:rsidR="00AF4A65">
        <w:rPr>
          <w:noProof/>
        </w:rPr>
        <w:t>2993</w:t>
      </w:r>
      <w:r>
        <w:fldChar w:fldCharType="end"/>
      </w:r>
    </w:p>
    <w:p w:rsidR="001F24E8" w:rsidRDefault="001F24E8" w:rsidP="001F24E8"/>
    <w:p w:rsidR="001F24E8" w:rsidRDefault="001F24E8" w:rsidP="001F24E8">
      <w:pPr>
        <w:pStyle w:val="EntradandiceAuto"/>
      </w:pPr>
      <w:r>
        <w:t>Sala Primera. Auto 90/2013, de 6 de mayo de 2013. Acepta una abstención en el recurso de amparo 1114-2012, promovido por Josel, S.L., en proceso contencioso-administrativo.</w:t>
      </w:r>
      <w:r>
        <w:tab/>
      </w:r>
      <w:r>
        <w:tab/>
      </w:r>
      <w:r>
        <w:fldChar w:fldCharType="begin"/>
      </w:r>
      <w:r>
        <w:instrText xml:space="preserve"> PAGEREF AUTO_2013_90 \h </w:instrText>
      </w:r>
      <w:r>
        <w:fldChar w:fldCharType="separate"/>
      </w:r>
      <w:r w:rsidR="00AF4A65">
        <w:rPr>
          <w:noProof/>
        </w:rPr>
        <w:t>3004</w:t>
      </w:r>
      <w:r>
        <w:fldChar w:fldCharType="end"/>
      </w:r>
    </w:p>
    <w:p w:rsidR="001F24E8" w:rsidRDefault="001F24E8" w:rsidP="001F24E8"/>
    <w:p w:rsidR="001F24E8" w:rsidRDefault="001F24E8" w:rsidP="001F24E8">
      <w:pPr>
        <w:pStyle w:val="EntradandiceAuto"/>
      </w:pPr>
      <w:r>
        <w:t>Sala Primera. Auto 91/2013, de 6 de mayo de 2013. Acepta una abstención en el recurso de amparo 2605-2012, promovido por Promotora de Informaciones, S.A., en proceso contencioso-administrativo.</w:t>
      </w:r>
      <w:r>
        <w:tab/>
      </w:r>
      <w:r>
        <w:tab/>
      </w:r>
      <w:r>
        <w:fldChar w:fldCharType="begin"/>
      </w:r>
      <w:r>
        <w:instrText xml:space="preserve"> PAGEREF AUTO_2013_91 \h </w:instrText>
      </w:r>
      <w:r>
        <w:fldChar w:fldCharType="separate"/>
      </w:r>
      <w:r w:rsidR="00AF4A65">
        <w:rPr>
          <w:noProof/>
        </w:rPr>
        <w:t>3006</w:t>
      </w:r>
      <w:r>
        <w:fldChar w:fldCharType="end"/>
      </w:r>
    </w:p>
    <w:p w:rsidR="001F24E8" w:rsidRDefault="001F24E8" w:rsidP="001F24E8"/>
    <w:p w:rsidR="001F24E8" w:rsidRDefault="001F24E8" w:rsidP="001F24E8">
      <w:pPr>
        <w:pStyle w:val="EntradandiceAuto"/>
      </w:pPr>
      <w:r>
        <w:lastRenderedPageBreak/>
        <w:t>Sala Segunda. Auto 92/2013, de 6 de mayo de 2013. Rectifica el Auto 75/2013, de 8 de abril, en el recurso de amparo 5652-2012, promovido por don José Antonio Montserrat Sánchez en causa penal.</w:t>
      </w:r>
      <w:r>
        <w:tab/>
      </w:r>
      <w:r>
        <w:tab/>
      </w:r>
      <w:r>
        <w:fldChar w:fldCharType="begin"/>
      </w:r>
      <w:r>
        <w:instrText xml:space="preserve"> PAGEREF AUTO_2013_92 \h </w:instrText>
      </w:r>
      <w:r>
        <w:fldChar w:fldCharType="separate"/>
      </w:r>
      <w:r w:rsidR="00AF4A65">
        <w:rPr>
          <w:noProof/>
        </w:rPr>
        <w:t>3008</w:t>
      </w:r>
      <w:r>
        <w:fldChar w:fldCharType="end"/>
      </w:r>
    </w:p>
    <w:p w:rsidR="001F24E8" w:rsidRDefault="001F24E8" w:rsidP="001F24E8"/>
    <w:p w:rsidR="001F24E8" w:rsidRDefault="001F24E8" w:rsidP="001F24E8">
      <w:pPr>
        <w:pStyle w:val="EntradandiceAuto"/>
      </w:pPr>
      <w:r>
        <w:t>Pleno. Auto 93/2013, de 7 de mayo de 2013. Acuerda la extinción de la cuestión de inconstitucionalidad 228-2003, planteada por la Sala de lo Civil y Penal del Tribunal Superior de Justicia de Navarra en relación con el artículo 2.3 de la Ley Foral 6/2000, de 3 de julio, para la igualdad jurídica de las parejas de hecho.</w:t>
      </w:r>
      <w:r>
        <w:tab/>
      </w:r>
      <w:r>
        <w:tab/>
      </w:r>
      <w:r>
        <w:fldChar w:fldCharType="begin"/>
      </w:r>
      <w:r>
        <w:instrText xml:space="preserve"> PAGEREF AUTO_2013_93 \h </w:instrText>
      </w:r>
      <w:r>
        <w:fldChar w:fldCharType="separate"/>
      </w:r>
      <w:r w:rsidR="00AF4A65">
        <w:rPr>
          <w:noProof/>
        </w:rPr>
        <w:t>3009</w:t>
      </w:r>
      <w:r>
        <w:fldChar w:fldCharType="end"/>
      </w:r>
    </w:p>
    <w:p w:rsidR="001F24E8" w:rsidRDefault="001F24E8" w:rsidP="001F24E8"/>
    <w:p w:rsidR="001F24E8" w:rsidRDefault="001F24E8" w:rsidP="001F24E8">
      <w:pPr>
        <w:pStyle w:val="EntradandiceAuto"/>
      </w:pPr>
      <w:r>
        <w:t>Pleno. Auto 94/2013, de 7 de mayo de 2013. Deniega la aclaración solicitada en el recurso de inconstitucionalidad 1523-2004, promovido por el Parlamento de Cataluña, en relación con diversos preceptos de la Ley 57/2003, de 16 de diciembre, de medidas para la modernización del gobierno local.</w:t>
      </w:r>
      <w:r>
        <w:tab/>
      </w:r>
      <w:r>
        <w:tab/>
      </w:r>
      <w:r>
        <w:fldChar w:fldCharType="begin"/>
      </w:r>
      <w:r>
        <w:instrText xml:space="preserve"> PAGEREF AUTO_2013_94 \h </w:instrText>
      </w:r>
      <w:r>
        <w:fldChar w:fldCharType="separate"/>
      </w:r>
      <w:r w:rsidR="00AF4A65">
        <w:rPr>
          <w:noProof/>
        </w:rPr>
        <w:t>3019</w:t>
      </w:r>
      <w:r>
        <w:fldChar w:fldCharType="end"/>
      </w:r>
    </w:p>
    <w:p w:rsidR="001F24E8" w:rsidRDefault="001F24E8" w:rsidP="001F24E8"/>
    <w:p w:rsidR="001F24E8" w:rsidRDefault="001F24E8" w:rsidP="001F24E8">
      <w:pPr>
        <w:pStyle w:val="EntradandiceAuto"/>
      </w:pPr>
      <w:r>
        <w:t>Sección Segunda. Auto 95/2013, de 7 de mayo de 2013. Se declara incompetente para el enjuiciamiento de la impugnación de la resolución de la Comisión central de asistencia jurídica gratuita para el recurso de amparo 2716-2012, promovido por don Juan José García García.</w:t>
      </w:r>
      <w:r>
        <w:tab/>
      </w:r>
      <w:r>
        <w:tab/>
      </w:r>
      <w:r>
        <w:fldChar w:fldCharType="begin"/>
      </w:r>
      <w:r>
        <w:instrText xml:space="preserve"> PAGEREF AUTO_2013_95 \h </w:instrText>
      </w:r>
      <w:r>
        <w:fldChar w:fldCharType="separate"/>
      </w:r>
      <w:r w:rsidR="00AF4A65">
        <w:rPr>
          <w:noProof/>
        </w:rPr>
        <w:t>3022</w:t>
      </w:r>
      <w:r>
        <w:fldChar w:fldCharType="end"/>
      </w:r>
    </w:p>
    <w:p w:rsidR="001F24E8" w:rsidRDefault="001F24E8" w:rsidP="001F24E8"/>
    <w:p w:rsidR="001F24E8" w:rsidRDefault="001F24E8" w:rsidP="001F24E8">
      <w:pPr>
        <w:pStyle w:val="EntradandiceAuto"/>
      </w:pPr>
      <w:r>
        <w:t>Pleno. Auto 96/2013, de 7 de mayo de 2013. Inadmite a trámite la cuestión de inconstitucionalidad 577-2013, planteada por el Juzgado de lo Social núm. 34 de Madrid en relación con la disposición transitoria quinta y el artículo 18.8 del Real Decreto-ley 3/2012, de 11 de febrero, de medidas urgentes para la reforma del mercado laboral.</w:t>
      </w:r>
      <w:r>
        <w:tab/>
      </w:r>
      <w:r>
        <w:tab/>
      </w:r>
      <w:r>
        <w:fldChar w:fldCharType="begin"/>
      </w:r>
      <w:r>
        <w:instrText xml:space="preserve"> PAGEREF AUTO_2013_96 \h </w:instrText>
      </w:r>
      <w:r>
        <w:fldChar w:fldCharType="separate"/>
      </w:r>
      <w:r w:rsidR="00AF4A65">
        <w:rPr>
          <w:noProof/>
        </w:rPr>
        <w:t>3026</w:t>
      </w:r>
      <w:r>
        <w:fldChar w:fldCharType="end"/>
      </w:r>
    </w:p>
    <w:p w:rsidR="001F24E8" w:rsidRDefault="001F24E8" w:rsidP="001F24E8"/>
    <w:p w:rsidR="001F24E8" w:rsidRDefault="001F24E8" w:rsidP="001F24E8">
      <w:pPr>
        <w:pStyle w:val="EntradandiceAuto"/>
      </w:pPr>
      <w:r>
        <w:t>Sección Primera. Auto 97/2013, de 8 de mayo de 2013. Acepta una abstención en el recurso de amparo 1716-2012, promovido por Casas Canarias de Campo, S.L., en proceso contencioso-administrativo.</w:t>
      </w:r>
      <w:r>
        <w:tab/>
      </w:r>
      <w:r>
        <w:tab/>
      </w:r>
      <w:r>
        <w:fldChar w:fldCharType="begin"/>
      </w:r>
      <w:r>
        <w:instrText xml:space="preserve"> PAGEREF AUTO_2013_97 \h </w:instrText>
      </w:r>
      <w:r>
        <w:fldChar w:fldCharType="separate"/>
      </w:r>
      <w:r w:rsidR="00AF4A65">
        <w:rPr>
          <w:noProof/>
        </w:rPr>
        <w:t>3029</w:t>
      </w:r>
      <w:r>
        <w:fldChar w:fldCharType="end"/>
      </w:r>
    </w:p>
    <w:p w:rsidR="001F24E8" w:rsidRDefault="001F24E8" w:rsidP="001F24E8"/>
    <w:p w:rsidR="001F24E8" w:rsidRDefault="001F24E8" w:rsidP="001F24E8">
      <w:pPr>
        <w:pStyle w:val="EntradandiceAuto"/>
      </w:pPr>
      <w:r>
        <w:t>Sección Primera. Auto 98/2013, de 8 de mayo de 2013. Acepta una abstención en el recurso de amparo 3074-2012, promovido por don Santiago Blasco Lorenzo en proceso contencioso-administrativo.</w:t>
      </w:r>
      <w:r>
        <w:tab/>
      </w:r>
      <w:r>
        <w:tab/>
      </w:r>
      <w:r>
        <w:fldChar w:fldCharType="begin"/>
      </w:r>
      <w:r>
        <w:instrText xml:space="preserve"> PAGEREF AUTO_2013_98 \h </w:instrText>
      </w:r>
      <w:r>
        <w:fldChar w:fldCharType="separate"/>
      </w:r>
      <w:r w:rsidR="00AF4A65">
        <w:rPr>
          <w:noProof/>
        </w:rPr>
        <w:t>3031</w:t>
      </w:r>
      <w:r>
        <w:fldChar w:fldCharType="end"/>
      </w:r>
    </w:p>
    <w:p w:rsidR="001F24E8" w:rsidRDefault="001F24E8" w:rsidP="001F24E8"/>
    <w:p w:rsidR="001F24E8" w:rsidRDefault="001F24E8" w:rsidP="001F24E8">
      <w:pPr>
        <w:pStyle w:val="EntradandiceAuto"/>
      </w:pPr>
      <w:r>
        <w:t>Sección Primera. Auto 99/2013, de 8 de mayo de 2013. Acepta una abstención en el recurso de amparo 3626-2012, promovido por doña María Pilar Horcajada de Lamo en proceso contencioso-administrativo.</w:t>
      </w:r>
      <w:r>
        <w:tab/>
      </w:r>
      <w:r>
        <w:tab/>
      </w:r>
      <w:r>
        <w:fldChar w:fldCharType="begin"/>
      </w:r>
      <w:r>
        <w:instrText xml:space="preserve"> PAGEREF AUTO_2013_99 \h </w:instrText>
      </w:r>
      <w:r>
        <w:fldChar w:fldCharType="separate"/>
      </w:r>
      <w:r w:rsidR="00AF4A65">
        <w:rPr>
          <w:noProof/>
        </w:rPr>
        <w:t>3033</w:t>
      </w:r>
      <w:r>
        <w:fldChar w:fldCharType="end"/>
      </w:r>
    </w:p>
    <w:p w:rsidR="001F24E8" w:rsidRDefault="001F24E8" w:rsidP="001F24E8"/>
    <w:p w:rsidR="001F24E8" w:rsidRDefault="001F24E8" w:rsidP="001F24E8">
      <w:pPr>
        <w:pStyle w:val="EntradandiceAuto"/>
      </w:pPr>
      <w:r>
        <w:t>Sección Primera. Auto 100/2013, de 8 de mayo de 2013. Acepta una abstención en el recurso de amparo 3819-2012, promovido por don José Antonio Joan Bagué en proceso contencioso-administrativo.</w:t>
      </w:r>
      <w:r>
        <w:tab/>
      </w:r>
      <w:r>
        <w:tab/>
      </w:r>
      <w:r>
        <w:fldChar w:fldCharType="begin"/>
      </w:r>
      <w:r>
        <w:instrText xml:space="preserve"> PAGEREF AUTO_2013_100 \h </w:instrText>
      </w:r>
      <w:r>
        <w:fldChar w:fldCharType="separate"/>
      </w:r>
      <w:r w:rsidR="00AF4A65">
        <w:rPr>
          <w:noProof/>
        </w:rPr>
        <w:t>3035</w:t>
      </w:r>
      <w:r>
        <w:fldChar w:fldCharType="end"/>
      </w:r>
    </w:p>
    <w:p w:rsidR="001F24E8" w:rsidRDefault="001F24E8" w:rsidP="001F24E8"/>
    <w:p w:rsidR="001F24E8" w:rsidRDefault="001F24E8" w:rsidP="001F24E8">
      <w:pPr>
        <w:pStyle w:val="EntradandiceAuto"/>
      </w:pPr>
      <w:r>
        <w:lastRenderedPageBreak/>
        <w:t>Sección Primera. Auto 101/2013, de 8 de mayo de 2013. Acepta una abstención en el recurso de amparo 4592-2012, promovido por BMC Software Distribution BV en proceso contencioso-administrativo.</w:t>
      </w:r>
      <w:r>
        <w:tab/>
      </w:r>
      <w:r>
        <w:tab/>
      </w:r>
      <w:r>
        <w:fldChar w:fldCharType="begin"/>
      </w:r>
      <w:r>
        <w:instrText xml:space="preserve"> PAGEREF AUTO_2013_101 \h </w:instrText>
      </w:r>
      <w:r>
        <w:fldChar w:fldCharType="separate"/>
      </w:r>
      <w:r w:rsidR="00AF4A65">
        <w:rPr>
          <w:noProof/>
        </w:rPr>
        <w:t>3037</w:t>
      </w:r>
      <w:r>
        <w:fldChar w:fldCharType="end"/>
      </w:r>
    </w:p>
    <w:p w:rsidR="001F24E8" w:rsidRDefault="001F24E8" w:rsidP="001F24E8"/>
    <w:p w:rsidR="001F24E8" w:rsidRDefault="001F24E8" w:rsidP="001F24E8">
      <w:pPr>
        <w:pStyle w:val="EntradandiceAuto"/>
      </w:pPr>
      <w:r>
        <w:t>Sección Primera. Auto 102/2013, de 8 de mayo de 2013. Acepta una abstención en el recurso de amparo 5727-2012, promovido por doña Nieves Rodríguez Rodríguez y otras personas en proceso contencioso-administrativo.</w:t>
      </w:r>
      <w:r>
        <w:tab/>
      </w:r>
      <w:r>
        <w:tab/>
      </w:r>
      <w:r>
        <w:fldChar w:fldCharType="begin"/>
      </w:r>
      <w:r>
        <w:instrText xml:space="preserve"> PAGEREF AUTO_2013_102 \h </w:instrText>
      </w:r>
      <w:r>
        <w:fldChar w:fldCharType="separate"/>
      </w:r>
      <w:r w:rsidR="00AF4A65">
        <w:rPr>
          <w:noProof/>
        </w:rPr>
        <w:t>3039</w:t>
      </w:r>
      <w:r>
        <w:fldChar w:fldCharType="end"/>
      </w:r>
    </w:p>
    <w:p w:rsidR="001F24E8" w:rsidRDefault="001F24E8" w:rsidP="001F24E8"/>
    <w:p w:rsidR="001F24E8" w:rsidRDefault="001F24E8" w:rsidP="001F24E8">
      <w:pPr>
        <w:pStyle w:val="EntradandiceAuto"/>
      </w:pPr>
      <w:r>
        <w:t>Sección Primera. Auto 103/2013, de 8 de mayo de 2013. Acepta una abstención en el recurso de amparo 500-2013, promovido por doña Belén Palma Bohorquez en proceso contencioso-administrativo.</w:t>
      </w:r>
      <w:r>
        <w:tab/>
      </w:r>
      <w:r>
        <w:tab/>
      </w:r>
      <w:r>
        <w:fldChar w:fldCharType="begin"/>
      </w:r>
      <w:r>
        <w:instrText xml:space="preserve"> PAGEREF AUTO_2013_103 \h </w:instrText>
      </w:r>
      <w:r>
        <w:fldChar w:fldCharType="separate"/>
      </w:r>
      <w:r w:rsidR="00AF4A65">
        <w:rPr>
          <w:noProof/>
        </w:rPr>
        <w:t>3041</w:t>
      </w:r>
      <w:r>
        <w:fldChar w:fldCharType="end"/>
      </w:r>
    </w:p>
    <w:p w:rsidR="001F24E8" w:rsidRDefault="001F24E8" w:rsidP="001F24E8"/>
    <w:p w:rsidR="001F24E8" w:rsidRDefault="001F24E8" w:rsidP="001F24E8">
      <w:pPr>
        <w:pStyle w:val="EntradandiceAuto"/>
      </w:pPr>
      <w:r>
        <w:t>Sala Segunda. Auto 104/2013, de 20 de mayo de 2013. Acuerda la extinción de la cuestión de inconstitucionalidad 5727-2011,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r>
        <w:tab/>
      </w:r>
      <w:r>
        <w:tab/>
      </w:r>
      <w:r>
        <w:fldChar w:fldCharType="begin"/>
      </w:r>
      <w:r>
        <w:instrText xml:space="preserve"> PAGEREF AUTO_2013_104 \h </w:instrText>
      </w:r>
      <w:r>
        <w:fldChar w:fldCharType="separate"/>
      </w:r>
      <w:r w:rsidR="00AF4A65">
        <w:rPr>
          <w:noProof/>
        </w:rPr>
        <w:t>3043</w:t>
      </w:r>
      <w:r>
        <w:fldChar w:fldCharType="end"/>
      </w:r>
    </w:p>
    <w:p w:rsidR="001F24E8" w:rsidRDefault="001F24E8" w:rsidP="001F24E8"/>
    <w:p w:rsidR="001F24E8" w:rsidRDefault="001F24E8" w:rsidP="001F24E8">
      <w:pPr>
        <w:pStyle w:val="EntradandiceAuto"/>
      </w:pPr>
      <w:r>
        <w:t>Sala Primera. Auto 105/2013, de 20 de mayo de 2013. Acuerda la extinción de la cuestión de inconstitucionalidad 5728-2011,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r>
        <w:tab/>
      </w:r>
      <w:r>
        <w:tab/>
      </w:r>
      <w:r>
        <w:fldChar w:fldCharType="begin"/>
      </w:r>
      <w:r>
        <w:instrText xml:space="preserve"> PAGEREF AUTO_2013_105 \h </w:instrText>
      </w:r>
      <w:r>
        <w:fldChar w:fldCharType="separate"/>
      </w:r>
      <w:r w:rsidR="00AF4A65">
        <w:rPr>
          <w:noProof/>
        </w:rPr>
        <w:t>3049</w:t>
      </w:r>
      <w:r>
        <w:fldChar w:fldCharType="end"/>
      </w:r>
    </w:p>
    <w:p w:rsidR="001F24E8" w:rsidRDefault="001F24E8" w:rsidP="001F24E8"/>
    <w:p w:rsidR="001F24E8" w:rsidRDefault="001F24E8" w:rsidP="001F24E8">
      <w:pPr>
        <w:pStyle w:val="EntradandiceAuto"/>
      </w:pPr>
      <w:r>
        <w:t>Sala Primera. Auto 106/2013, de 20 de mayo de 2013. Acuerda la extinción de la cuestión de inconstitucionalidad 5799-2011,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r>
        <w:tab/>
      </w:r>
      <w:r>
        <w:tab/>
      </w:r>
      <w:r>
        <w:fldChar w:fldCharType="begin"/>
      </w:r>
      <w:r>
        <w:instrText xml:space="preserve"> PAGEREF AUTO_2013_106 \h </w:instrText>
      </w:r>
      <w:r>
        <w:fldChar w:fldCharType="separate"/>
      </w:r>
      <w:r w:rsidR="00AF4A65">
        <w:rPr>
          <w:noProof/>
        </w:rPr>
        <w:t>3059</w:t>
      </w:r>
      <w:r>
        <w:fldChar w:fldCharType="end"/>
      </w:r>
    </w:p>
    <w:p w:rsidR="001F24E8" w:rsidRDefault="001F24E8" w:rsidP="001F24E8"/>
    <w:p w:rsidR="001F24E8" w:rsidRDefault="001F24E8" w:rsidP="001F24E8">
      <w:pPr>
        <w:pStyle w:val="EntradandiceAuto"/>
      </w:pPr>
      <w:r>
        <w:t>Sala Primera. Auto 107/2013, de 20 de mayo de 2013. Acuerda la extinción de la cuestión de inconstitucionalidad 6192-2011, planteada por el Juzgado de lo Contencioso-Administrativo núm. 1 de Santander, en relación con el artículo 2 de la Ley del Parlamento de Cantabria 2/2011, de 4 de abril, por la que se modifica la Ley 2/2001, de 25 de junio, de ordenación territorial y del régimen urbanístico del suelo.</w:t>
      </w:r>
      <w:r>
        <w:tab/>
      </w:r>
      <w:r>
        <w:tab/>
      </w:r>
      <w:r>
        <w:fldChar w:fldCharType="begin"/>
      </w:r>
      <w:r>
        <w:instrText xml:space="preserve"> PAGEREF AUTO_2013_107 \h </w:instrText>
      </w:r>
      <w:r>
        <w:fldChar w:fldCharType="separate"/>
      </w:r>
      <w:r w:rsidR="00AF4A65">
        <w:rPr>
          <w:noProof/>
        </w:rPr>
        <w:t>3065</w:t>
      </w:r>
      <w:r>
        <w:fldChar w:fldCharType="end"/>
      </w:r>
    </w:p>
    <w:p w:rsidR="001F24E8" w:rsidRDefault="001F24E8" w:rsidP="001F24E8"/>
    <w:p w:rsidR="001F24E8" w:rsidRDefault="001F24E8" w:rsidP="001F24E8">
      <w:pPr>
        <w:pStyle w:val="EntradandiceAuto"/>
      </w:pPr>
      <w:r>
        <w:lastRenderedPageBreak/>
        <w:t>Sala Segunda. Auto 108/2013, de 20 de mayo de 2013. Acuerda la extinción de la cuestión de inconstitucionalidad 6193-2011, planteada por el Juzgado de lo Contencioso-Administrativo núm. 1 de Santander en relación con el artículo 2 de la Ley del Parlamento de Cantabria 2/2011, de 4 de abril, por la que se modifica la Ley 2/2001, de 25 de junio, de ordenación territorial y del régimen urbanístico del suelo.</w:t>
      </w:r>
      <w:r>
        <w:tab/>
      </w:r>
      <w:r>
        <w:tab/>
      </w:r>
      <w:r>
        <w:fldChar w:fldCharType="begin"/>
      </w:r>
      <w:r>
        <w:instrText xml:space="preserve"> PAGEREF AUTO_2013_108 \h </w:instrText>
      </w:r>
      <w:r>
        <w:fldChar w:fldCharType="separate"/>
      </w:r>
      <w:r w:rsidR="00AF4A65">
        <w:rPr>
          <w:noProof/>
        </w:rPr>
        <w:t>3075</w:t>
      </w:r>
      <w:r>
        <w:fldChar w:fldCharType="end"/>
      </w:r>
    </w:p>
    <w:p w:rsidR="001F24E8" w:rsidRDefault="001F24E8" w:rsidP="001F24E8"/>
    <w:p w:rsidR="001F24E8" w:rsidRDefault="001F24E8" w:rsidP="001F24E8">
      <w:pPr>
        <w:pStyle w:val="EntradandiceAuto"/>
      </w:pPr>
      <w:r>
        <w:t>Sala Segunda. Auto 109/2013, de 20 de mayo de 2013. Acuerda la extinción de la cuestión de inconstitucionalidad 22-2012, planteada por el Juzgado de lo Contencioso-Administrativo núm. 1 de Santander en relación con el artículo 2 de la Ley del Parlamento de Cantabria 2/2011, de 4 de abril, por la que se modifica la Ley 2/2001, de 25 de junio, de ordenación territorial y del régimen urbanístico del suelo.</w:t>
      </w:r>
      <w:r>
        <w:tab/>
      </w:r>
      <w:r>
        <w:tab/>
      </w:r>
      <w:r>
        <w:fldChar w:fldCharType="begin"/>
      </w:r>
      <w:r>
        <w:instrText xml:space="preserve"> PAGEREF AUTO_2013_109 \h </w:instrText>
      </w:r>
      <w:r>
        <w:fldChar w:fldCharType="separate"/>
      </w:r>
      <w:r w:rsidR="00AF4A65">
        <w:rPr>
          <w:noProof/>
        </w:rPr>
        <w:t>3087</w:t>
      </w:r>
      <w:r>
        <w:fldChar w:fldCharType="end"/>
      </w:r>
    </w:p>
    <w:p w:rsidR="001F24E8" w:rsidRDefault="001F24E8" w:rsidP="001F24E8"/>
    <w:p w:rsidR="001F24E8" w:rsidRDefault="001F24E8" w:rsidP="001F24E8">
      <w:pPr>
        <w:pStyle w:val="EntradandiceAuto"/>
      </w:pPr>
      <w:r>
        <w:t>Sala Primera. Auto 110/2013, de 20 de mayo de 2013. Acuerda la extinción de la cuestión de inconstitucionalidad 23-2012, planteada por el Juzgado de lo Contencioso-Administrativo núm. 1 de Santander en relación con el artículo 2 de la Ley del Parlamento de Cantabria 2/2011, de 4 de abril, por la que se modifica la Ley 2/2001, de 25 de junio, de ordenación territorial y del régimen urbanístico del suelo.</w:t>
      </w:r>
      <w:r>
        <w:tab/>
      </w:r>
      <w:r>
        <w:tab/>
      </w:r>
      <w:r>
        <w:fldChar w:fldCharType="begin"/>
      </w:r>
      <w:r>
        <w:instrText xml:space="preserve"> PAGEREF AUTO_2013_110 \h </w:instrText>
      </w:r>
      <w:r>
        <w:fldChar w:fldCharType="separate"/>
      </w:r>
      <w:r w:rsidR="00AF4A65">
        <w:rPr>
          <w:noProof/>
        </w:rPr>
        <w:t>3099</w:t>
      </w:r>
      <w:r>
        <w:fldChar w:fldCharType="end"/>
      </w:r>
    </w:p>
    <w:p w:rsidR="001F24E8" w:rsidRDefault="001F24E8" w:rsidP="001F24E8"/>
    <w:p w:rsidR="001F24E8" w:rsidRDefault="001F24E8" w:rsidP="001F24E8">
      <w:pPr>
        <w:pStyle w:val="EntradandiceAuto"/>
      </w:pPr>
      <w:r>
        <w:t>Sala Segunda. Auto 111/2013, de 20 de mayo de 2013. Acuerda la extinción de la cuestión de inconstitucionalidad 539-2012,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r>
        <w:tab/>
      </w:r>
      <w:r>
        <w:tab/>
      </w:r>
      <w:r>
        <w:fldChar w:fldCharType="begin"/>
      </w:r>
      <w:r>
        <w:instrText xml:space="preserve"> PAGEREF AUTO_2013_111 \h </w:instrText>
      </w:r>
      <w:r>
        <w:fldChar w:fldCharType="separate"/>
      </w:r>
      <w:r w:rsidR="00AF4A65">
        <w:rPr>
          <w:noProof/>
        </w:rPr>
        <w:t>3105</w:t>
      </w:r>
      <w:r>
        <w:fldChar w:fldCharType="end"/>
      </w:r>
    </w:p>
    <w:p w:rsidR="001F24E8" w:rsidRDefault="001F24E8" w:rsidP="001F24E8"/>
    <w:p w:rsidR="001F24E8" w:rsidRDefault="001F24E8" w:rsidP="001F24E8">
      <w:pPr>
        <w:pStyle w:val="EntradandiceAuto"/>
      </w:pPr>
      <w:r>
        <w:t>Sala Primera. Auto 112/2013, de 20 de mayo de 2013. Acuerda la extinción de la cuestión de inconstitucionalidad 540-2012,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r>
        <w:tab/>
      </w:r>
      <w:r>
        <w:tab/>
      </w:r>
      <w:r>
        <w:fldChar w:fldCharType="begin"/>
      </w:r>
      <w:r>
        <w:instrText xml:space="preserve"> PAGEREF AUTO_2013_112 \h </w:instrText>
      </w:r>
      <w:r>
        <w:fldChar w:fldCharType="separate"/>
      </w:r>
      <w:r w:rsidR="00AF4A65">
        <w:rPr>
          <w:noProof/>
        </w:rPr>
        <w:t>3111</w:t>
      </w:r>
      <w:r>
        <w:fldChar w:fldCharType="end"/>
      </w:r>
    </w:p>
    <w:p w:rsidR="001F24E8" w:rsidRDefault="001F24E8" w:rsidP="001F24E8"/>
    <w:p w:rsidR="001F24E8" w:rsidRDefault="001F24E8" w:rsidP="001F24E8">
      <w:pPr>
        <w:pStyle w:val="EntradandiceAuto"/>
      </w:pPr>
      <w:r>
        <w:t>Sala Segunda. Auto 113/2013, de 20 de mayo de 2013. Acuerda la extinción de la cuestión de inconstitucionalidad 845-2012, planteada por el Juzgado de lo Contencioso-Administrativo núm. 1 de Santander en relación con el artículo 2 de la Ley del Parlamento de Cantabria 2/2011, de 4 de abril, por la que se modifica la Ley 2/2001, de 25 de junio, de ordenación territorial y del régimen urbanístico del suelo.</w:t>
      </w:r>
      <w:r>
        <w:tab/>
      </w:r>
      <w:r>
        <w:tab/>
      </w:r>
      <w:r>
        <w:fldChar w:fldCharType="begin"/>
      </w:r>
      <w:r>
        <w:instrText xml:space="preserve"> PAGEREF AUTO_2013_113 \h </w:instrText>
      </w:r>
      <w:r>
        <w:fldChar w:fldCharType="separate"/>
      </w:r>
      <w:r w:rsidR="00AF4A65">
        <w:rPr>
          <w:noProof/>
        </w:rPr>
        <w:t>3121</w:t>
      </w:r>
      <w:r>
        <w:fldChar w:fldCharType="end"/>
      </w:r>
    </w:p>
    <w:p w:rsidR="001F24E8" w:rsidRDefault="001F24E8" w:rsidP="001F24E8"/>
    <w:p w:rsidR="001F24E8" w:rsidRDefault="001F24E8" w:rsidP="001F24E8">
      <w:pPr>
        <w:pStyle w:val="EntradandiceAuto"/>
      </w:pPr>
      <w:r>
        <w:lastRenderedPageBreak/>
        <w:t>Sala Segunda. Auto 114/2013, de 20 de mayo de 2013. Acuerda la extinción de la cuestión de inconstitucionalidad 1525-2012, planteada por el Juzgado de lo Contencioso-Administrativo núm. 1 de Santander en relación con el artículo 2 de la Ley del Parlamento de Cantabria 2/2011, de 4 de abril, por la que se modifica la Ley 2/2001, de 25 de junio, de ordenación territorial y del régimen urbanístico del suelo.</w:t>
      </w:r>
      <w:r>
        <w:tab/>
      </w:r>
      <w:r>
        <w:tab/>
      </w:r>
      <w:r>
        <w:fldChar w:fldCharType="begin"/>
      </w:r>
      <w:r>
        <w:instrText xml:space="preserve"> PAGEREF AUTO_2013_114 \h </w:instrText>
      </w:r>
      <w:r>
        <w:fldChar w:fldCharType="separate"/>
      </w:r>
      <w:r w:rsidR="00AF4A65">
        <w:rPr>
          <w:noProof/>
        </w:rPr>
        <w:t>3133</w:t>
      </w:r>
      <w:r>
        <w:fldChar w:fldCharType="end"/>
      </w:r>
    </w:p>
    <w:p w:rsidR="001F24E8" w:rsidRDefault="001F24E8" w:rsidP="001F24E8"/>
    <w:p w:rsidR="001F24E8" w:rsidRDefault="001F24E8" w:rsidP="001F24E8">
      <w:pPr>
        <w:pStyle w:val="EntradandiceAuto"/>
      </w:pPr>
      <w:r>
        <w:t>Sala Segunda. Auto 115/2013, de 20 de mayo de 2013. Acuerda la extinción de la cuestión de inconstitucionalidad 1986-2012,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r>
        <w:tab/>
      </w:r>
      <w:r>
        <w:tab/>
      </w:r>
      <w:r>
        <w:fldChar w:fldCharType="begin"/>
      </w:r>
      <w:r>
        <w:instrText xml:space="preserve"> PAGEREF AUTO_2013_115 \h </w:instrText>
      </w:r>
      <w:r>
        <w:fldChar w:fldCharType="separate"/>
      </w:r>
      <w:r w:rsidR="00AF4A65">
        <w:rPr>
          <w:noProof/>
        </w:rPr>
        <w:t>3145</w:t>
      </w:r>
      <w:r>
        <w:fldChar w:fldCharType="end"/>
      </w:r>
    </w:p>
    <w:p w:rsidR="001F24E8" w:rsidRDefault="001F24E8" w:rsidP="001F24E8"/>
    <w:p w:rsidR="001F24E8" w:rsidRDefault="001F24E8" w:rsidP="001F24E8">
      <w:pPr>
        <w:pStyle w:val="EntradandiceAuto"/>
      </w:pPr>
      <w:r>
        <w:t>Sala Segunda. Auto 116/2013, de 20 de mayo de 2013. Acuerda la suspensión en el recurso de amparo 2022-2012, promovido por doña Gabriela Verónica Albarracín en proceso contencioso-administrativo.</w:t>
      </w:r>
      <w:r>
        <w:tab/>
      </w:r>
      <w:r>
        <w:tab/>
      </w:r>
      <w:r>
        <w:fldChar w:fldCharType="begin"/>
      </w:r>
      <w:r>
        <w:instrText xml:space="preserve"> PAGEREF AUTO_2013_116 \h </w:instrText>
      </w:r>
      <w:r>
        <w:fldChar w:fldCharType="separate"/>
      </w:r>
      <w:r w:rsidR="00AF4A65">
        <w:rPr>
          <w:noProof/>
        </w:rPr>
        <w:t>3154</w:t>
      </w:r>
      <w:r>
        <w:fldChar w:fldCharType="end"/>
      </w:r>
    </w:p>
    <w:p w:rsidR="001F24E8" w:rsidRDefault="001F24E8" w:rsidP="001F24E8"/>
    <w:p w:rsidR="001F24E8" w:rsidRDefault="001F24E8" w:rsidP="001F24E8">
      <w:pPr>
        <w:pStyle w:val="EntradandiceAuto"/>
      </w:pPr>
      <w:r>
        <w:t>Sala Segunda. Auto 117/2013, de 20 de mayo de 2013. Acuerda la extinción de la cuestión de inconstitucionalidad 2465-2012,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r>
        <w:tab/>
      </w:r>
      <w:r>
        <w:tab/>
      </w:r>
      <w:r>
        <w:fldChar w:fldCharType="begin"/>
      </w:r>
      <w:r>
        <w:instrText xml:space="preserve"> PAGEREF AUTO_2013_117 \h </w:instrText>
      </w:r>
      <w:r>
        <w:fldChar w:fldCharType="separate"/>
      </w:r>
      <w:r w:rsidR="00AF4A65">
        <w:rPr>
          <w:noProof/>
        </w:rPr>
        <w:t>3158</w:t>
      </w:r>
      <w:r>
        <w:fldChar w:fldCharType="end"/>
      </w:r>
    </w:p>
    <w:p w:rsidR="001F24E8" w:rsidRDefault="001F24E8" w:rsidP="001F24E8"/>
    <w:p w:rsidR="001F24E8" w:rsidRDefault="001F24E8" w:rsidP="001F24E8">
      <w:pPr>
        <w:pStyle w:val="EntradandiceAuto"/>
      </w:pPr>
      <w:r>
        <w:t>Sala Segunda. Auto 118/2013, de 20 de mayo de 2013. Acuerda la extinción de la cuestión de inconstitucionalidad 5659-2012,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r>
        <w:tab/>
      </w:r>
      <w:r>
        <w:tab/>
      </w:r>
      <w:r>
        <w:fldChar w:fldCharType="begin"/>
      </w:r>
      <w:r>
        <w:instrText xml:space="preserve"> PAGEREF AUTO_2013_118 \h </w:instrText>
      </w:r>
      <w:r>
        <w:fldChar w:fldCharType="separate"/>
      </w:r>
      <w:r w:rsidR="00AF4A65">
        <w:rPr>
          <w:noProof/>
        </w:rPr>
        <w:t>3162</w:t>
      </w:r>
      <w:r>
        <w:fldChar w:fldCharType="end"/>
      </w:r>
    </w:p>
    <w:p w:rsidR="001F24E8" w:rsidRDefault="001F24E8" w:rsidP="001F24E8"/>
    <w:p w:rsidR="001F24E8" w:rsidRDefault="001F24E8" w:rsidP="001F24E8">
      <w:pPr>
        <w:pStyle w:val="EntradandiceAuto"/>
      </w:pPr>
      <w:r>
        <w:t>Sala Primera. Auto 119/2013, de 20 de mayo de 2013. Acuerda la extinción de la cuestión de inconstitucionalidad 5660-2012,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r>
        <w:tab/>
      </w:r>
      <w:r>
        <w:tab/>
      </w:r>
      <w:r>
        <w:fldChar w:fldCharType="begin"/>
      </w:r>
      <w:r>
        <w:instrText xml:space="preserve"> PAGEREF AUTO_2013_119 \h </w:instrText>
      </w:r>
      <w:r>
        <w:fldChar w:fldCharType="separate"/>
      </w:r>
      <w:r w:rsidR="00AF4A65">
        <w:rPr>
          <w:noProof/>
        </w:rPr>
        <w:t>3174</w:t>
      </w:r>
      <w:r>
        <w:fldChar w:fldCharType="end"/>
      </w:r>
    </w:p>
    <w:p w:rsidR="001F24E8" w:rsidRDefault="001F24E8" w:rsidP="001F24E8"/>
    <w:p w:rsidR="001F24E8" w:rsidRDefault="001F24E8" w:rsidP="001F24E8">
      <w:pPr>
        <w:pStyle w:val="EntradandiceAuto"/>
      </w:pPr>
      <w:r>
        <w:t>Sección Tercera. Auto 120/2013, de 20 de mayo de 2013. Acuerda el desistimiento en el recurso de amparo 6990-2012, promovido en causa penal.</w:t>
      </w:r>
      <w:r>
        <w:tab/>
      </w:r>
      <w:r>
        <w:tab/>
      </w:r>
      <w:r>
        <w:fldChar w:fldCharType="begin"/>
      </w:r>
      <w:r>
        <w:instrText xml:space="preserve"> PAGEREF AUTO_2013_120 \h </w:instrText>
      </w:r>
      <w:r>
        <w:fldChar w:fldCharType="separate"/>
      </w:r>
      <w:r w:rsidR="00AF4A65">
        <w:rPr>
          <w:noProof/>
        </w:rPr>
        <w:t>3180</w:t>
      </w:r>
      <w:r>
        <w:fldChar w:fldCharType="end"/>
      </w:r>
    </w:p>
    <w:p w:rsidR="001F24E8" w:rsidRDefault="001F24E8" w:rsidP="001F24E8"/>
    <w:p w:rsidR="001F24E8" w:rsidRDefault="001F24E8" w:rsidP="001F24E8">
      <w:pPr>
        <w:pStyle w:val="EntradandiceAuto"/>
      </w:pPr>
      <w:r>
        <w:lastRenderedPageBreak/>
        <w:t>Sección Tercera. Auto 121/2013, de 20 de mayo de 2013. Acuerda el desistimiento en el recurso de amparo 1263-2013, promovido en proceso contencioso-administrativo.</w:t>
      </w:r>
      <w:r>
        <w:tab/>
      </w:r>
      <w:r>
        <w:tab/>
      </w:r>
      <w:r>
        <w:fldChar w:fldCharType="begin"/>
      </w:r>
      <w:r>
        <w:instrText xml:space="preserve"> PAGEREF AUTO_2013_121 \h </w:instrText>
      </w:r>
      <w:r>
        <w:fldChar w:fldCharType="separate"/>
      </w:r>
      <w:r w:rsidR="00AF4A65">
        <w:rPr>
          <w:noProof/>
        </w:rPr>
        <w:t>3181</w:t>
      </w:r>
      <w:r>
        <w:fldChar w:fldCharType="end"/>
      </w:r>
    </w:p>
    <w:p w:rsidR="001F24E8" w:rsidRDefault="001F24E8" w:rsidP="001F24E8"/>
    <w:p w:rsidR="001F24E8" w:rsidRDefault="001F24E8" w:rsidP="001F24E8">
      <w:pPr>
        <w:pStyle w:val="EntradandiceAuto"/>
      </w:pPr>
      <w:r>
        <w:t>Pleno. Auto 122/2013, de 21 de mayo de 2013. Mantiene la suspensión en el recurso de inconstitucionalidad 7208-2012, interpuesto por la Presidenta del Gobierno en funciones en relación con el artículo 16 del texto refundido de la Ley de tasas y precios públicos de la Generalitat de Cataluña, aprobado por Decreto Legislativo 3/2008, de 25 de junio y 41 de la Ley del Parlamento de Cataluña 5/2012, de 20 de marzo, de medidas fiscales, financieras y administrativas y de creación del impuesto sobre estancias en establecimientos turísticos.</w:t>
      </w:r>
      <w:r>
        <w:tab/>
      </w:r>
      <w:r>
        <w:tab/>
      </w:r>
      <w:r>
        <w:fldChar w:fldCharType="begin"/>
      </w:r>
      <w:r>
        <w:instrText xml:space="preserve"> PAGEREF AUTO_2013_122 \h </w:instrText>
      </w:r>
      <w:r>
        <w:fldChar w:fldCharType="separate"/>
      </w:r>
      <w:r w:rsidR="00AF4A65">
        <w:rPr>
          <w:noProof/>
        </w:rPr>
        <w:t>3182</w:t>
      </w:r>
      <w:r>
        <w:fldChar w:fldCharType="end"/>
      </w:r>
    </w:p>
    <w:p w:rsidR="001F24E8" w:rsidRDefault="001F24E8" w:rsidP="001F24E8"/>
    <w:p w:rsidR="001F24E8" w:rsidRDefault="001F24E8" w:rsidP="001F24E8">
      <w:pPr>
        <w:pStyle w:val="EntradandiceAuto"/>
      </w:pPr>
      <w:r>
        <w:t>Pleno. Auto 123/2013, de 21 de mayo de 2013. Levanta la suspensión en el recurso de inconstitucionalidad 7279-2012, interpuesto por el Presidente del Gobierno en relación con el Decreto-ley del Gobierno de Cataluña 5/2012, de 18 de diciembre, del impuesto sobre los depósitos en las entidades de crédito.</w:t>
      </w:r>
      <w:r>
        <w:tab/>
      </w:r>
      <w:r>
        <w:tab/>
      </w:r>
      <w:r>
        <w:fldChar w:fldCharType="begin"/>
      </w:r>
      <w:r>
        <w:instrText xml:space="preserve"> PAGEREF AUTO_2013_123 \h </w:instrText>
      </w:r>
      <w:r>
        <w:fldChar w:fldCharType="separate"/>
      </w:r>
      <w:r w:rsidR="00AF4A65">
        <w:rPr>
          <w:noProof/>
        </w:rPr>
        <w:t>3197</w:t>
      </w:r>
      <w:r>
        <w:fldChar w:fldCharType="end"/>
      </w:r>
    </w:p>
    <w:p w:rsidR="001F24E8" w:rsidRDefault="001F24E8" w:rsidP="001F24E8"/>
    <w:p w:rsidR="001F24E8" w:rsidRDefault="001F24E8" w:rsidP="001F24E8">
      <w:pPr>
        <w:pStyle w:val="EntradandiceAuto"/>
      </w:pPr>
      <w:r>
        <w:t>Pleno. Auto 124/2013, de 21 de mayo de 2013. Mantiene la suspensión en el recurso de inconstitucionalidad 27-2013, interpuesto por el Presidente del Gobierno en relación con varios artículos de la Ley 1/2012, de 26 de marzo, para la protección de los derechos de los consumidores mediante el fomento de la transparencia en la contratación hipotecaria en la Comunidad de Madrid.</w:t>
      </w:r>
      <w:r>
        <w:tab/>
      </w:r>
      <w:r>
        <w:tab/>
      </w:r>
      <w:r>
        <w:fldChar w:fldCharType="begin"/>
      </w:r>
      <w:r>
        <w:instrText xml:space="preserve"> PAGEREF AUTO_2013_124 \h </w:instrText>
      </w:r>
      <w:r>
        <w:fldChar w:fldCharType="separate"/>
      </w:r>
      <w:r w:rsidR="00AF4A65">
        <w:rPr>
          <w:noProof/>
        </w:rPr>
        <w:t>3209</w:t>
      </w:r>
      <w:r>
        <w:fldChar w:fldCharType="end"/>
      </w:r>
    </w:p>
    <w:p w:rsidR="001F24E8" w:rsidRDefault="001F24E8" w:rsidP="001F24E8"/>
    <w:p w:rsidR="001F24E8" w:rsidRDefault="001F24E8" w:rsidP="001F24E8">
      <w:pPr>
        <w:pStyle w:val="EntradandiceAuto"/>
      </w:pPr>
      <w:r>
        <w:t>Pleno. Auto 125/2013, de 21 de mayo de 2013. Inadmite a trámite la cuestión de inconstitucionalidad 518-2013, planteada por la Sección Cuarta de la Sala de lo Contencioso-Administrativo del Tribunal Superior de Justicia de Cataluña, en relación con la disposición transitoria novena, segundo inciso, de la Ley del Parlamento de Cataluña 5/2012, de 20 de marzo, de medidas fiscales, financieras y administrativas y de creación del impuesto sobre las estancias en establecimientos turísticos.</w:t>
      </w:r>
      <w:r>
        <w:tab/>
      </w:r>
      <w:r>
        <w:tab/>
      </w:r>
      <w:r>
        <w:fldChar w:fldCharType="begin"/>
      </w:r>
      <w:r>
        <w:instrText xml:space="preserve"> PAGEREF AUTO_2013_125 \h </w:instrText>
      </w:r>
      <w:r>
        <w:fldChar w:fldCharType="separate"/>
      </w:r>
      <w:r w:rsidR="00AF4A65">
        <w:rPr>
          <w:noProof/>
        </w:rPr>
        <w:t>3216</w:t>
      </w:r>
      <w:r>
        <w:fldChar w:fldCharType="end"/>
      </w:r>
    </w:p>
    <w:p w:rsidR="001F24E8" w:rsidRDefault="001F24E8" w:rsidP="001F24E8"/>
    <w:p w:rsidR="001F24E8" w:rsidRDefault="001F24E8" w:rsidP="001F24E8">
      <w:pPr>
        <w:pStyle w:val="EntradandiceAuto"/>
      </w:pPr>
      <w:r>
        <w:t>Pleno. Auto 126/2013, de 21 de mayo de 2013. Inadmite a trámite la cuestión de inconstitucionalidad 554-2013, planteada por el Juzgado de lo Social núm. 34 de Madrid en relación con la disposición transitoria quinta y el artículo 18.8 del Real Decreto-ley 3/2012, de 10 de febrero, de medidas urgentes para la reforma del mercado laboral.</w:t>
      </w:r>
      <w:r>
        <w:tab/>
      </w:r>
      <w:r>
        <w:tab/>
      </w:r>
      <w:r>
        <w:fldChar w:fldCharType="begin"/>
      </w:r>
      <w:r>
        <w:instrText xml:space="preserve"> PAGEREF AUTO_2013_126 \h </w:instrText>
      </w:r>
      <w:r>
        <w:fldChar w:fldCharType="separate"/>
      </w:r>
      <w:r w:rsidR="00AF4A65">
        <w:rPr>
          <w:noProof/>
        </w:rPr>
        <w:t>3227</w:t>
      </w:r>
      <w:r>
        <w:fldChar w:fldCharType="end"/>
      </w:r>
    </w:p>
    <w:p w:rsidR="001F24E8" w:rsidRDefault="001F24E8" w:rsidP="001F24E8"/>
    <w:p w:rsidR="001F24E8" w:rsidRDefault="001F24E8" w:rsidP="001F24E8">
      <w:pPr>
        <w:pStyle w:val="EntradandiceAuto"/>
      </w:pPr>
      <w:r>
        <w:t xml:space="preserve">Pleno. Auto 127/2013, de 21 de mayo de 2013. Inadmite a trámite la cuestión de inconstitucionalidad 603-2013, planteada por la Sección Cuarta de la Sala de lo Contencioso-administrativo del Tribunal Superior de Justicia de Cataluña, en relación con la disposición transitoria novena, segundo inciso, de la Ley del Parlamento de Cataluña 5/2012, de 20 de marzo, de medidas fiscales, financieras y </w:t>
      </w:r>
      <w:r>
        <w:lastRenderedPageBreak/>
        <w:t>administrativas y de creación del impuesto sobre las estancias en establecimientos turísticos.</w:t>
      </w:r>
      <w:r>
        <w:tab/>
      </w:r>
      <w:r>
        <w:tab/>
      </w:r>
      <w:r>
        <w:fldChar w:fldCharType="begin"/>
      </w:r>
      <w:r>
        <w:instrText xml:space="preserve"> PAGEREF AUTO_2013_127 \h </w:instrText>
      </w:r>
      <w:r>
        <w:fldChar w:fldCharType="separate"/>
      </w:r>
      <w:r w:rsidR="00AF4A65">
        <w:rPr>
          <w:noProof/>
        </w:rPr>
        <w:t>3230</w:t>
      </w:r>
      <w:r>
        <w:fldChar w:fldCharType="end"/>
      </w:r>
    </w:p>
    <w:p w:rsidR="001F24E8" w:rsidRDefault="001F24E8" w:rsidP="001F24E8"/>
    <w:p w:rsidR="001F24E8" w:rsidRDefault="001F24E8" w:rsidP="001F24E8">
      <w:pPr>
        <w:pStyle w:val="EntradandiceAuto"/>
      </w:pPr>
      <w:r>
        <w:t>Pleno. Auto 128/2013, de 21 de mayo de 2013. Inadmite a trámite la cuestión de inconstitucionalidad 963-2013, planteada por la Sección Cuarta de la Sala de lo Contencioso-Administrativo del Tribunal Superior de Justicia de Cataluña, en relación con la disposición transitoria novena, segundo inciso, de la Ley del Parlamento de Cataluña 5/2012, de 20 de marzo, de medidas fiscales, financieras y administrativas y de creación del impuesto sobre las estancias en establecimientos turísticos.</w:t>
      </w:r>
      <w:r>
        <w:tab/>
      </w:r>
      <w:r>
        <w:tab/>
      </w:r>
      <w:r>
        <w:fldChar w:fldCharType="begin"/>
      </w:r>
      <w:r>
        <w:instrText xml:space="preserve"> PAGEREF AUTO_2013_128 \h </w:instrText>
      </w:r>
      <w:r>
        <w:fldChar w:fldCharType="separate"/>
      </w:r>
      <w:r w:rsidR="00AF4A65">
        <w:rPr>
          <w:noProof/>
        </w:rPr>
        <w:t>3241</w:t>
      </w:r>
      <w:r>
        <w:fldChar w:fldCharType="end"/>
      </w:r>
    </w:p>
    <w:p w:rsidR="001F24E8" w:rsidRDefault="001F24E8" w:rsidP="001F24E8"/>
    <w:p w:rsidR="001F24E8" w:rsidRDefault="001F24E8" w:rsidP="001F24E8">
      <w:pPr>
        <w:pStyle w:val="EntradandiceAuto"/>
      </w:pPr>
      <w:r>
        <w:t>Sección Primera. Auto 129/2013, de 29 de mayo de 2013. Acuerda el desistimiento en el recurso de amparo 2702-2012, promovido en pleito mercantil.</w:t>
      </w:r>
      <w:r>
        <w:tab/>
      </w:r>
      <w:r>
        <w:tab/>
      </w:r>
      <w:r>
        <w:fldChar w:fldCharType="begin"/>
      </w:r>
      <w:r>
        <w:instrText xml:space="preserve"> PAGEREF AUTO_2013_129 \h </w:instrText>
      </w:r>
      <w:r>
        <w:fldChar w:fldCharType="separate"/>
      </w:r>
      <w:r w:rsidR="00AF4A65">
        <w:rPr>
          <w:noProof/>
        </w:rPr>
        <w:t>3252</w:t>
      </w:r>
      <w:r>
        <w:fldChar w:fldCharType="end"/>
      </w:r>
    </w:p>
    <w:p w:rsidR="001F24E8" w:rsidRDefault="001F24E8" w:rsidP="001F24E8"/>
    <w:p w:rsidR="001F24E8" w:rsidRDefault="001F24E8" w:rsidP="001F24E8">
      <w:pPr>
        <w:pStyle w:val="EntradandiceAuto"/>
      </w:pPr>
      <w:r>
        <w:t>Sección Primera. Auto 130/2013, de 29 de mayo de 2013. Acuerda el desistimiento en el recurso de amparo 5501-2012, promovido en pleito civil.</w:t>
      </w:r>
      <w:r>
        <w:tab/>
      </w:r>
      <w:r>
        <w:tab/>
      </w:r>
      <w:r>
        <w:fldChar w:fldCharType="begin"/>
      </w:r>
      <w:r>
        <w:instrText xml:space="preserve"> PAGEREF AUTO_2013_130 \h </w:instrText>
      </w:r>
      <w:r>
        <w:fldChar w:fldCharType="separate"/>
      </w:r>
      <w:r w:rsidR="00AF4A65">
        <w:rPr>
          <w:noProof/>
        </w:rPr>
        <w:t>3253</w:t>
      </w:r>
      <w:r>
        <w:fldChar w:fldCharType="end"/>
      </w:r>
    </w:p>
    <w:p w:rsidR="001F24E8" w:rsidRDefault="001F24E8" w:rsidP="001F24E8"/>
    <w:p w:rsidR="001F24E8" w:rsidRDefault="001F24E8" w:rsidP="001F24E8">
      <w:pPr>
        <w:pStyle w:val="EntradandiceAuto"/>
      </w:pPr>
      <w:r>
        <w:t>Sección Primera. Auto 131/2013, de 29 de mayo de 2013. Acepta una abstención en el recurso de amparo 1176-2013, promovido por Belate UTE,  en proceso contencioso-administrativo.</w:t>
      </w:r>
      <w:r>
        <w:tab/>
      </w:r>
      <w:r>
        <w:tab/>
      </w:r>
      <w:r>
        <w:fldChar w:fldCharType="begin"/>
      </w:r>
      <w:r>
        <w:instrText xml:space="preserve"> PAGEREF AUTO_2013_131 \h </w:instrText>
      </w:r>
      <w:r>
        <w:fldChar w:fldCharType="separate"/>
      </w:r>
      <w:r w:rsidR="00AF4A65">
        <w:rPr>
          <w:noProof/>
        </w:rPr>
        <w:t>3255</w:t>
      </w:r>
      <w:r>
        <w:fldChar w:fldCharType="end"/>
      </w:r>
    </w:p>
    <w:p w:rsidR="001F24E8" w:rsidRDefault="001F24E8" w:rsidP="001F24E8"/>
    <w:p w:rsidR="001F24E8" w:rsidRDefault="001F24E8" w:rsidP="001F24E8">
      <w:pPr>
        <w:pStyle w:val="EntradandiceAuto"/>
      </w:pPr>
      <w:r>
        <w:t>Sección Tercera. Auto 132/2013, de 29 de mayo de 2013. Desestima el recurso de súplica del Ministerio Fiscal, en el recurso de amparo 3377-2012, promovido por don Diego Martínez Martínez.</w:t>
      </w:r>
      <w:r>
        <w:tab/>
      </w:r>
      <w:r>
        <w:tab/>
      </w:r>
      <w:r>
        <w:fldChar w:fldCharType="begin"/>
      </w:r>
      <w:r>
        <w:instrText xml:space="preserve"> PAGEREF AUTO_2013_132 \h </w:instrText>
      </w:r>
      <w:r>
        <w:fldChar w:fldCharType="separate"/>
      </w:r>
      <w:r w:rsidR="00AF4A65">
        <w:rPr>
          <w:noProof/>
        </w:rPr>
        <w:t>3257</w:t>
      </w:r>
      <w:r>
        <w:fldChar w:fldCharType="end"/>
      </w:r>
    </w:p>
    <w:p w:rsidR="001F24E8" w:rsidRDefault="001F24E8" w:rsidP="001F24E8"/>
    <w:p w:rsidR="001F24E8" w:rsidRDefault="001F24E8" w:rsidP="001F24E8">
      <w:pPr>
        <w:pStyle w:val="EntradandiceAuto"/>
      </w:pPr>
      <w:r>
        <w:t>Sala Primera. Auto 133/2013, de 3 de junio de 2013. Deniega la suspensión en el recurso de amparo 6811-2010, promovido por don Ionel Panait en causa penal.</w:t>
      </w:r>
      <w:r>
        <w:tab/>
      </w:r>
      <w:r>
        <w:tab/>
      </w:r>
      <w:r>
        <w:fldChar w:fldCharType="begin"/>
      </w:r>
      <w:r>
        <w:instrText xml:space="preserve"> PAGEREF AUTO_2013_133 \h </w:instrText>
      </w:r>
      <w:r>
        <w:fldChar w:fldCharType="separate"/>
      </w:r>
      <w:r w:rsidR="00AF4A65">
        <w:rPr>
          <w:noProof/>
        </w:rPr>
        <w:t>3263</w:t>
      </w:r>
      <w:r>
        <w:fldChar w:fldCharType="end"/>
      </w:r>
    </w:p>
    <w:p w:rsidR="001F24E8" w:rsidRDefault="001F24E8" w:rsidP="001F24E8"/>
    <w:p w:rsidR="001F24E8" w:rsidRDefault="001F24E8" w:rsidP="001F24E8">
      <w:pPr>
        <w:pStyle w:val="EntradandiceAuto"/>
      </w:pPr>
      <w:r>
        <w:t>Sala Segunda. Auto 134/2013, de 3 de junio de 2013. Rectifica un error material padecido en la Sentencia 106/2013, de 6 de mayo, dictada en el recurso de amparo 8996-2010, promovido por Pinturas Eurotex, S.A., y Palacete de los Lasso, S.L.U.</w:t>
      </w:r>
      <w:r>
        <w:tab/>
      </w:r>
      <w:r>
        <w:tab/>
      </w:r>
      <w:r>
        <w:fldChar w:fldCharType="begin"/>
      </w:r>
      <w:r>
        <w:instrText xml:space="preserve"> PAGEREF AUTO_2013_134 \h </w:instrText>
      </w:r>
      <w:r>
        <w:fldChar w:fldCharType="separate"/>
      </w:r>
      <w:r w:rsidR="00AF4A65">
        <w:rPr>
          <w:noProof/>
        </w:rPr>
        <w:t>3266</w:t>
      </w:r>
      <w:r>
        <w:fldChar w:fldCharType="end"/>
      </w:r>
    </w:p>
    <w:p w:rsidR="001F24E8" w:rsidRDefault="001F24E8" w:rsidP="001F24E8"/>
    <w:p w:rsidR="001F24E8" w:rsidRDefault="001F24E8" w:rsidP="001F24E8">
      <w:pPr>
        <w:pStyle w:val="EntradandiceAuto"/>
      </w:pPr>
      <w:r>
        <w:t>Sala Primera. Auto 135/2013, de 3 de junio de 2013. Acepta una abstención en el recurso de amparo 2860-2012, promovido por Josel, S.L., en proceso contencioso-administrativo.</w:t>
      </w:r>
      <w:r>
        <w:tab/>
      </w:r>
      <w:r>
        <w:tab/>
      </w:r>
      <w:r>
        <w:fldChar w:fldCharType="begin"/>
      </w:r>
      <w:r>
        <w:instrText xml:space="preserve"> PAGEREF AUTO_2013_135 \h </w:instrText>
      </w:r>
      <w:r>
        <w:fldChar w:fldCharType="separate"/>
      </w:r>
      <w:r w:rsidR="00AF4A65">
        <w:rPr>
          <w:noProof/>
        </w:rPr>
        <w:t>3269</w:t>
      </w:r>
      <w:r>
        <w:fldChar w:fldCharType="end"/>
      </w:r>
    </w:p>
    <w:p w:rsidR="001F24E8" w:rsidRDefault="001F24E8" w:rsidP="001F24E8"/>
    <w:p w:rsidR="001F24E8" w:rsidRDefault="001F24E8" w:rsidP="001F24E8">
      <w:pPr>
        <w:pStyle w:val="EntradandiceAuto"/>
      </w:pPr>
      <w:r>
        <w:t>Sala Primera. Auto 136/2013, de 3 de junio de 2013. Deniega la suspensión en el recurso de amparo 3794-2012, promovido por don Rafael Díez Usabiaga en causa penal.</w:t>
      </w:r>
      <w:r>
        <w:tab/>
      </w:r>
      <w:r>
        <w:tab/>
      </w:r>
      <w:r>
        <w:fldChar w:fldCharType="begin"/>
      </w:r>
      <w:r>
        <w:instrText xml:space="preserve"> PAGEREF AUTO_2013_136 \h </w:instrText>
      </w:r>
      <w:r>
        <w:fldChar w:fldCharType="separate"/>
      </w:r>
      <w:r w:rsidR="00AF4A65">
        <w:rPr>
          <w:noProof/>
        </w:rPr>
        <w:t>3271</w:t>
      </w:r>
      <w:r>
        <w:fldChar w:fldCharType="end"/>
      </w:r>
    </w:p>
    <w:p w:rsidR="001F24E8" w:rsidRDefault="001F24E8" w:rsidP="001F24E8"/>
    <w:p w:rsidR="001F24E8" w:rsidRDefault="001F24E8" w:rsidP="001F24E8">
      <w:pPr>
        <w:pStyle w:val="EntradandiceAuto"/>
      </w:pPr>
      <w:r>
        <w:lastRenderedPageBreak/>
        <w:t>Sala Primera. Auto 137/2013, de 3 de junio de 2013. Deniega la suspensión en el recurso de amparo 3930-2012, promovido por don Arnaldo Otegi Mondragón en causa penal.</w:t>
      </w:r>
      <w:r>
        <w:tab/>
      </w:r>
      <w:r>
        <w:tab/>
      </w:r>
      <w:r>
        <w:fldChar w:fldCharType="begin"/>
      </w:r>
      <w:r>
        <w:instrText xml:space="preserve"> PAGEREF AUTO_2013_137 \h </w:instrText>
      </w:r>
      <w:r>
        <w:fldChar w:fldCharType="separate"/>
      </w:r>
      <w:r w:rsidR="00AF4A65">
        <w:rPr>
          <w:noProof/>
        </w:rPr>
        <w:t>3275</w:t>
      </w:r>
      <w:r>
        <w:fldChar w:fldCharType="end"/>
      </w:r>
    </w:p>
    <w:p w:rsidR="001F24E8" w:rsidRDefault="001F24E8" w:rsidP="001F24E8"/>
    <w:p w:rsidR="001F24E8" w:rsidRDefault="001F24E8" w:rsidP="001F24E8">
      <w:pPr>
        <w:pStyle w:val="EntradandiceAuto"/>
      </w:pPr>
      <w:r>
        <w:t>Sala Primera. Auto 138/2013, de 3 de junio de 2013. Acepta una abstención en el recurso de amparo 6372-2012, promovido por doña María Gil Sanjuan en proceso contencioso-administrativo.</w:t>
      </w:r>
      <w:r>
        <w:tab/>
      </w:r>
      <w:r>
        <w:tab/>
      </w:r>
      <w:r>
        <w:fldChar w:fldCharType="begin"/>
      </w:r>
      <w:r>
        <w:instrText xml:space="preserve"> PAGEREF AUTO_2013_138 \h </w:instrText>
      </w:r>
      <w:r>
        <w:fldChar w:fldCharType="separate"/>
      </w:r>
      <w:r w:rsidR="00AF4A65">
        <w:rPr>
          <w:noProof/>
        </w:rPr>
        <w:t>3279</w:t>
      </w:r>
      <w:r>
        <w:fldChar w:fldCharType="end"/>
      </w:r>
    </w:p>
    <w:p w:rsidR="001F24E8" w:rsidRDefault="001F24E8" w:rsidP="001F24E8"/>
    <w:p w:rsidR="001F24E8" w:rsidRDefault="001F24E8" w:rsidP="001F24E8">
      <w:pPr>
        <w:pStyle w:val="EntradandiceAuto"/>
      </w:pPr>
      <w:r>
        <w:t>Sala Segunda. Auto 139/2013, de 3 de junio de 2013. Acuerda la suspensión parcial en el recurso de amparo 6632-2012, promovido por don Vicente Álvarez Foces en causa penal.</w:t>
      </w:r>
      <w:r>
        <w:tab/>
      </w:r>
      <w:r>
        <w:tab/>
      </w:r>
      <w:r>
        <w:fldChar w:fldCharType="begin"/>
      </w:r>
      <w:r>
        <w:instrText xml:space="preserve"> PAGEREF AUTO_2013_139 \h </w:instrText>
      </w:r>
      <w:r>
        <w:fldChar w:fldCharType="separate"/>
      </w:r>
      <w:r w:rsidR="00AF4A65">
        <w:rPr>
          <w:noProof/>
        </w:rPr>
        <w:t>3281</w:t>
      </w:r>
      <w:r>
        <w:fldChar w:fldCharType="end"/>
      </w:r>
    </w:p>
    <w:p w:rsidR="001F24E8" w:rsidRDefault="001F24E8" w:rsidP="001F24E8"/>
    <w:p w:rsidR="001F24E8" w:rsidRDefault="001F24E8" w:rsidP="001F24E8">
      <w:pPr>
        <w:pStyle w:val="EntradandiceAuto"/>
      </w:pPr>
      <w:r>
        <w:t>Sala Primera. Auto 140/2013, de 3 de junio de 2013. Acuerda la extinción de la cuestión de inconstitucionalidad 1457-2013, planteada por el Juzgado de lo Contencioso-Administrativo núm. 1 de Santander en relación con la disposición adicional sexta de la Ley del Parlamento de Cantabria 2/2001, de 25 de junio, de ordenación territorial y régimen urbanístico del suelo de Cantabria.</w:t>
      </w:r>
      <w:r>
        <w:tab/>
      </w:r>
      <w:r>
        <w:tab/>
      </w:r>
      <w:r>
        <w:fldChar w:fldCharType="begin"/>
      </w:r>
      <w:r>
        <w:instrText xml:space="preserve"> PAGEREF AUTO_2013_140 \h </w:instrText>
      </w:r>
      <w:r>
        <w:fldChar w:fldCharType="separate"/>
      </w:r>
      <w:r w:rsidR="00AF4A65">
        <w:rPr>
          <w:noProof/>
        </w:rPr>
        <w:t>3285</w:t>
      </w:r>
      <w:r>
        <w:fldChar w:fldCharType="end"/>
      </w:r>
    </w:p>
    <w:p w:rsidR="001F24E8" w:rsidRDefault="001F24E8" w:rsidP="001F24E8"/>
    <w:p w:rsidR="001F24E8" w:rsidRDefault="001F24E8" w:rsidP="001F24E8">
      <w:pPr>
        <w:pStyle w:val="EntradandiceAuto"/>
      </w:pPr>
      <w:r>
        <w:t>Pleno. Auto 141/2013, de 4 de junio de 2013. Acuerda una recusación en el recurso de amparo 224-2012, promovido por don Vicente Bartolomé Segurado frente a la providencia y Sentencia de la Sala de lo Civil del Tribunal Supremo en recurso de casación 1691-2008.</w:t>
      </w:r>
      <w:r>
        <w:tab/>
      </w:r>
      <w:r>
        <w:tab/>
      </w:r>
      <w:r>
        <w:fldChar w:fldCharType="begin"/>
      </w:r>
      <w:r>
        <w:instrText xml:space="preserve"> PAGEREF AUTO_2013_141 \h </w:instrText>
      </w:r>
      <w:r>
        <w:fldChar w:fldCharType="separate"/>
      </w:r>
      <w:r w:rsidR="00AF4A65">
        <w:rPr>
          <w:noProof/>
        </w:rPr>
        <w:t>3290</w:t>
      </w:r>
      <w:r>
        <w:fldChar w:fldCharType="end"/>
      </w:r>
    </w:p>
    <w:p w:rsidR="001F24E8" w:rsidRDefault="001F24E8" w:rsidP="001F24E8"/>
    <w:p w:rsidR="001F24E8" w:rsidRDefault="001F24E8" w:rsidP="001F24E8">
      <w:pPr>
        <w:pStyle w:val="EntradandiceAuto"/>
      </w:pPr>
      <w:r>
        <w:t>Pleno. Auto 142/2013, de 4 de junio de 2013. Mantiene la suspensión acordada en el recurso de inconstitucionalidad 349-2013, interpuesto por el Presidente del Gobierno, en relación con el art. 2.9 de la Ley de la Asamblea de Madrid 8/2012, de 28 de diciembre, de medidas fiscales y administrativas.</w:t>
      </w:r>
      <w:r>
        <w:tab/>
      </w:r>
      <w:r>
        <w:tab/>
      </w:r>
      <w:r>
        <w:fldChar w:fldCharType="begin"/>
      </w:r>
      <w:r>
        <w:instrText xml:space="preserve"> PAGEREF AUTO_2013_142 \h </w:instrText>
      </w:r>
      <w:r>
        <w:fldChar w:fldCharType="separate"/>
      </w:r>
      <w:r w:rsidR="00AF4A65">
        <w:rPr>
          <w:noProof/>
        </w:rPr>
        <w:t>3293</w:t>
      </w:r>
      <w:r>
        <w:fldChar w:fldCharType="end"/>
      </w:r>
    </w:p>
    <w:p w:rsidR="001F24E8" w:rsidRDefault="001F24E8" w:rsidP="001F24E8"/>
    <w:p w:rsidR="001F24E8" w:rsidRDefault="001F24E8" w:rsidP="001F24E8">
      <w:pPr>
        <w:pStyle w:val="EntradandiceAuto"/>
      </w:pPr>
      <w:r>
        <w:t>Sección Primera. Auto 143/2013, de 4 de junio de 2013. Desestima el recurso de súplica del Ministerio Fiscal sobre inadmisión del recurso de amparo 638-2013, promovido por doña Elisabet Sánchez Vallecillo en proceso contencioso-administrativo.</w:t>
      </w:r>
      <w:r>
        <w:tab/>
      </w:r>
      <w:r>
        <w:tab/>
      </w:r>
      <w:r>
        <w:fldChar w:fldCharType="begin"/>
      </w:r>
      <w:r>
        <w:instrText xml:space="preserve"> PAGEREF AUTO_2013_143 \h </w:instrText>
      </w:r>
      <w:r>
        <w:fldChar w:fldCharType="separate"/>
      </w:r>
      <w:r w:rsidR="00AF4A65">
        <w:rPr>
          <w:noProof/>
        </w:rPr>
        <w:t>3303</w:t>
      </w:r>
      <w:r>
        <w:fldChar w:fldCharType="end"/>
      </w:r>
    </w:p>
    <w:p w:rsidR="001F24E8" w:rsidRDefault="001F24E8" w:rsidP="001F24E8"/>
    <w:p w:rsidR="001F24E8" w:rsidRDefault="001F24E8" w:rsidP="001F24E8">
      <w:pPr>
        <w:pStyle w:val="EntradandiceAuto"/>
      </w:pPr>
      <w:r>
        <w:t>Sección Primera. Auto 144/2013, de 5 de junio de 2013. Acepta una abstención en el recurso de amparo 1654-2012, promovido por Paradores de Turismo de España, S.A., en proceso contencioso-administrativo.</w:t>
      </w:r>
      <w:r>
        <w:tab/>
      </w:r>
      <w:r>
        <w:tab/>
      </w:r>
      <w:r>
        <w:fldChar w:fldCharType="begin"/>
      </w:r>
      <w:r>
        <w:instrText xml:space="preserve"> PAGEREF AUTO_2013_144 \h </w:instrText>
      </w:r>
      <w:r>
        <w:fldChar w:fldCharType="separate"/>
      </w:r>
      <w:r w:rsidR="00AF4A65">
        <w:rPr>
          <w:noProof/>
        </w:rPr>
        <w:t>3306</w:t>
      </w:r>
      <w:r>
        <w:fldChar w:fldCharType="end"/>
      </w:r>
    </w:p>
    <w:p w:rsidR="001F24E8" w:rsidRDefault="001F24E8" w:rsidP="001F24E8"/>
    <w:p w:rsidR="001F24E8" w:rsidRDefault="001F24E8" w:rsidP="001F24E8">
      <w:pPr>
        <w:pStyle w:val="EntradandiceAuto"/>
      </w:pPr>
      <w:r>
        <w:t>Sección Cuarta. Auto 145/2013, de 5 de junio de 2013. Desestima el recurso de súplica del Ministerio Fiscal sobre inadmisión del recurso de amparo 5048-2012, promovido por don Santos Berganza Zendegui en causa penal.</w:t>
      </w:r>
      <w:r>
        <w:tab/>
      </w:r>
      <w:r>
        <w:tab/>
      </w:r>
      <w:r>
        <w:fldChar w:fldCharType="begin"/>
      </w:r>
      <w:r>
        <w:instrText xml:space="preserve"> PAGEREF AUTO_2013_145 \h </w:instrText>
      </w:r>
      <w:r>
        <w:fldChar w:fldCharType="separate"/>
      </w:r>
      <w:r w:rsidR="00AF4A65">
        <w:rPr>
          <w:noProof/>
        </w:rPr>
        <w:t>3308</w:t>
      </w:r>
      <w:r>
        <w:fldChar w:fldCharType="end"/>
      </w:r>
    </w:p>
    <w:p w:rsidR="001F24E8" w:rsidRDefault="001F24E8" w:rsidP="001F24E8"/>
    <w:p w:rsidR="001F24E8" w:rsidRDefault="001F24E8" w:rsidP="001F24E8">
      <w:pPr>
        <w:pStyle w:val="EntradandiceAuto"/>
      </w:pPr>
      <w:r>
        <w:lastRenderedPageBreak/>
        <w:t>Pleno. Auto 146/2013, de 5 de junio de 2013. Mantiene la suspensión acordada en el recurso de inconstitucionalidad 630-2013, interpuesto por el Presidente del Gobierno en relación con la Ley del Parlamento de Cataluña 8/2004, de 23 de diciembre, de horarios comerciales.</w:t>
      </w:r>
      <w:r>
        <w:tab/>
      </w:r>
      <w:r>
        <w:tab/>
      </w:r>
      <w:r>
        <w:fldChar w:fldCharType="begin"/>
      </w:r>
      <w:r>
        <w:instrText xml:space="preserve"> PAGEREF AUTO_2013_146 \h </w:instrText>
      </w:r>
      <w:r>
        <w:fldChar w:fldCharType="separate"/>
      </w:r>
      <w:r w:rsidR="00AF4A65">
        <w:rPr>
          <w:noProof/>
        </w:rPr>
        <w:t>3311</w:t>
      </w:r>
      <w:r>
        <w:fldChar w:fldCharType="end"/>
      </w:r>
    </w:p>
    <w:p w:rsidR="001F24E8" w:rsidRDefault="001F24E8" w:rsidP="001F24E8"/>
    <w:p w:rsidR="001F24E8" w:rsidRDefault="001F24E8" w:rsidP="001F24E8">
      <w:pPr>
        <w:pStyle w:val="EntradandiceAuto"/>
      </w:pPr>
      <w:r>
        <w:t>Sección Primera. Auto 147/2013, de 5 de junio de 2013. Acepta una abstención en el recurso de amparo 2545-2013, promovido por don Armando Henríquez Godoy en proceso contencioso-administrativo.</w:t>
      </w:r>
      <w:r>
        <w:tab/>
      </w:r>
      <w:r>
        <w:tab/>
      </w:r>
      <w:r>
        <w:fldChar w:fldCharType="begin"/>
      </w:r>
      <w:r>
        <w:instrText xml:space="preserve"> PAGEREF AUTO_2013_147 \h </w:instrText>
      </w:r>
      <w:r>
        <w:fldChar w:fldCharType="separate"/>
      </w:r>
      <w:r w:rsidR="00AF4A65">
        <w:rPr>
          <w:noProof/>
        </w:rPr>
        <w:t>3317</w:t>
      </w:r>
      <w:r>
        <w:fldChar w:fldCharType="end"/>
      </w:r>
    </w:p>
    <w:p w:rsidR="001F24E8" w:rsidRDefault="001F24E8" w:rsidP="001F24E8"/>
    <w:p w:rsidR="001F24E8" w:rsidRDefault="001F24E8" w:rsidP="001F24E8">
      <w:pPr>
        <w:pStyle w:val="EntradandiceAuto"/>
      </w:pPr>
      <w:r>
        <w:t>Sección Primera. Auto 148/2013, de 11 de junio de 2013. Acepta una abstención en el recurso de amparo 2406-2013, promovido por Juscaryas, S.L., en proceso contencioso-administrativo.</w:t>
      </w:r>
      <w:r>
        <w:tab/>
      </w:r>
      <w:r>
        <w:tab/>
      </w:r>
      <w:r>
        <w:fldChar w:fldCharType="begin"/>
      </w:r>
      <w:r>
        <w:instrText xml:space="preserve"> PAGEREF AUTO_2013_148 \h </w:instrText>
      </w:r>
      <w:r>
        <w:fldChar w:fldCharType="separate"/>
      </w:r>
      <w:r w:rsidR="00AF4A65">
        <w:rPr>
          <w:noProof/>
        </w:rPr>
        <w:t>3319</w:t>
      </w:r>
      <w:r>
        <w:fldChar w:fldCharType="end"/>
      </w:r>
    </w:p>
    <w:p w:rsidR="001F24E8" w:rsidRDefault="001F24E8">
      <w:pPr>
        <w:spacing w:after="160" w:line="259" w:lineRule="auto"/>
      </w:pPr>
      <w:r>
        <w:br w:type="page"/>
      </w:r>
    </w:p>
    <w:p w:rsidR="001F24E8" w:rsidRDefault="001F24E8" w:rsidP="0026452D"/>
    <w:p w:rsidR="001F24E8" w:rsidRDefault="001F24E8" w:rsidP="0026452D"/>
    <w:p w:rsidR="0026452D" w:rsidRDefault="0026452D" w:rsidP="0026452D"/>
    <w:p w:rsidR="0026452D" w:rsidRDefault="0026452D" w:rsidP="0026452D"/>
    <w:p w:rsidR="0026452D" w:rsidRDefault="0026452D" w:rsidP="0026452D"/>
    <w:p w:rsidR="0026452D" w:rsidRDefault="0026452D" w:rsidP="0026452D"/>
    <w:p w:rsidR="0026452D" w:rsidRDefault="0026452D" w:rsidP="0026452D"/>
    <w:p w:rsidR="0026452D" w:rsidRDefault="0026452D" w:rsidP="0026452D"/>
    <w:p w:rsidR="0026452D" w:rsidRDefault="0026452D" w:rsidP="0026452D">
      <w:pPr>
        <w:pStyle w:val="CabeceraApartado"/>
      </w:pPr>
      <w:r>
        <w:t>SENTENCIAS</w:t>
      </w:r>
    </w:p>
    <w:p w:rsidR="0026452D" w:rsidRDefault="0026452D">
      <w:pPr>
        <w:spacing w:after="160" w:line="259" w:lineRule="auto"/>
        <w:rPr>
          <w:rFonts w:ascii="Times New Roman" w:eastAsia="Times New Roman" w:hAnsi="Times New Roman" w:cs="Times New Roman"/>
          <w:sz w:val="48"/>
          <w:szCs w:val="24"/>
          <w:lang w:eastAsia="es-ES"/>
        </w:rPr>
      </w:pPr>
      <w:r>
        <w:br w:type="page"/>
      </w:r>
    </w:p>
    <w:p w:rsidR="0026452D" w:rsidRDefault="0026452D" w:rsidP="0026452D">
      <w:pPr>
        <w:pStyle w:val="TtuloResolucin"/>
      </w:pPr>
      <w:bookmarkStart w:id="4" w:name="SENTENCIA_2013_1"/>
      <w:r>
        <w:lastRenderedPageBreak/>
        <w:t>SENTENCIA 1/2013, de 14 de enero de 2013</w:t>
      </w:r>
    </w:p>
    <w:bookmarkEnd w:id="4"/>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37, de 12 de febrero de 2013)</w:t>
      </w:r>
    </w:p>
    <w:p w:rsidR="0026452D" w:rsidRDefault="0026452D" w:rsidP="0026452D">
      <w:pPr>
        <w:pStyle w:val="TtuloBOE"/>
      </w:pPr>
    </w:p>
    <w:p w:rsidR="0026452D" w:rsidRDefault="0026452D" w:rsidP="0026452D">
      <w:pPr>
        <w:pStyle w:val="SntesisDescriptiva"/>
      </w:pPr>
      <w:r>
        <w:t>ECLI:ES:TC:2013:1</w:t>
      </w:r>
    </w:p>
    <w:p w:rsidR="0026452D" w:rsidRDefault="0026452D" w:rsidP="0026452D">
      <w:pPr>
        <w:pStyle w:val="SntesisDescriptiva"/>
      </w:pPr>
    </w:p>
    <w:p w:rsidR="0026452D" w:rsidRDefault="0026452D" w:rsidP="0026452D">
      <w:pPr>
        <w:pStyle w:val="SntesisDescriptiva"/>
      </w:pPr>
      <w:r>
        <w:t>Recurso de amparo 2271-2011. Promovido por don Francisco Fuster González de la Riva y don Joaquín María Fuster González de la Riva en relación con las Sentencias de la Audiencia Provincial y de un Juzgado de lo Penal de Palma de Mallorca que les condenaron por un delito de injurias con publicidad.</w:t>
      </w:r>
    </w:p>
    <w:p w:rsidR="0026452D" w:rsidRDefault="0026452D" w:rsidP="0026452D">
      <w:pPr>
        <w:pStyle w:val="SntesisDescriptiva"/>
      </w:pPr>
    </w:p>
    <w:p w:rsidR="0026452D" w:rsidRDefault="0026452D" w:rsidP="0026452D">
      <w:pPr>
        <w:pStyle w:val="SntesisAnaltica"/>
      </w:pPr>
      <w:r>
        <w:t>Vulneración del derecho a la tutela judicial efectiva (resolución fundada en Derecho): apartamiento consciente de una doctrina reiterada y conocida del Tribunal Constitucional que conlleva una apreciación sobre la prescripción del delito que no ofrece una tutela reforzada de la libertad personal del acusado (STC 59/2010).</w:t>
      </w:r>
    </w:p>
    <w:p w:rsidR="0026452D" w:rsidRDefault="0026452D" w:rsidP="0026452D">
      <w:pPr>
        <w:pStyle w:val="SntesisAnaltica"/>
      </w:pPr>
    </w:p>
    <w:p w:rsidR="0026452D" w:rsidRDefault="0026452D" w:rsidP="0026452D">
      <w:pPr>
        <w:pStyle w:val="Extracto"/>
      </w:pPr>
      <w:r>
        <w:t>1.</w:t>
      </w:r>
      <w:r>
        <w:tab/>
        <w:t>La interpretación del art. 132.2 CP en el sentido de que la simple presentación de una denuncia o querella, sin que medie ningún acto de interposición judicial, interrumpe el plazo de prescripción, no respeta las exigencias de tutela reforzada, al no tomar en consideración, ni las exigencias derivadas de la seguridad jurídica, ni el fundamento de la institución, ni la implicación del derecho a la libertad (STC 59/2010) [FJ 3].</w:t>
      </w:r>
    </w:p>
    <w:p w:rsidR="0026452D" w:rsidRDefault="0026452D" w:rsidP="0026452D">
      <w:pPr>
        <w:pStyle w:val="Extracto"/>
      </w:pPr>
    </w:p>
    <w:p w:rsidR="0026452D" w:rsidRDefault="0026452D" w:rsidP="0026452D">
      <w:pPr>
        <w:pStyle w:val="Extracto"/>
      </w:pPr>
      <w:r>
        <w:t>2.</w:t>
      </w:r>
      <w:r>
        <w:tab/>
        <w:t>La querella o denuncia de un tercero es una ‘solicitud de iniciación’ del procedimiento pero no ‘un procedimiento ya iniciado’, razón por la cual no tiene por sí sola eficacia interruptora del cómputo del plazo de prescripción, sino que es necesario un ‘acto de interposición judicial’ o de ‘dirección procesal del procedimiento contra el culpable’ (SSTC 63/2005, 133/2011) [FFJJ 1 a 3].</w:t>
      </w:r>
    </w:p>
    <w:p w:rsidR="0026452D" w:rsidRDefault="0026452D" w:rsidP="0026452D">
      <w:pPr>
        <w:pStyle w:val="Extracto"/>
      </w:pPr>
    </w:p>
    <w:p w:rsidR="0026452D" w:rsidRDefault="0026452D" w:rsidP="0026452D">
      <w:pPr>
        <w:pStyle w:val="Extracto"/>
      </w:pPr>
      <w:r>
        <w:t>3.</w:t>
      </w:r>
      <w:r>
        <w:tab/>
        <w:t>Las Sentencias impugnadas incurren en manifiesto desconocimiento del deber de acatamiento de la doctrina del Tribunal Constitucional, lo cual supone una clara quiebra del mandato recogido en el art. 5.1 LOPJ, de la que deriva la consiguiente lesión del derecho de los demandantes a la tutela judicial efectiva consagrada en el art. 24.1 CE (SSTC 29/2008, 133/2011) [FJ 3].</w:t>
      </w:r>
    </w:p>
    <w:p w:rsidR="0026452D" w:rsidRDefault="0026452D" w:rsidP="0026452D">
      <w:pPr>
        <w:pStyle w:val="Extracto"/>
      </w:pPr>
    </w:p>
    <w:p w:rsidR="0026452D" w:rsidRDefault="0026452D" w:rsidP="0026452D">
      <w:pPr>
        <w:pStyle w:val="Extracto"/>
      </w:pPr>
      <w:r>
        <w:t>4.</w:t>
      </w:r>
      <w:r>
        <w:tab/>
        <w:t>Resulta improcedente plantear un incidente de nulidad de actuaciones respecto de una cuestión que había sido alegada desde el primer momento en el proceso y sobre la que se pronunciaron en el mismo sentido los órganos judiciales en distintas instancias [FJ 2].</w:t>
      </w:r>
    </w:p>
    <w:p w:rsidR="0026452D" w:rsidRDefault="0026452D" w:rsidP="0026452D">
      <w:pPr>
        <w:pStyle w:val="Extracto"/>
      </w:pPr>
    </w:p>
    <w:p w:rsidR="0026452D" w:rsidRDefault="0026452D" w:rsidP="0026452D">
      <w:pPr>
        <w:pStyle w:val="Extracto"/>
      </w:pPr>
      <w:r>
        <w:t>5.</w:t>
      </w:r>
      <w:r>
        <w:tab/>
        <w:t xml:space="preserve">El requisito del agotamiento de la vía judicial, </w:t>
      </w:r>
      <w:r w:rsidRPr="0026452D">
        <w:rPr>
          <w:i/>
        </w:rPr>
        <w:t>ex</w:t>
      </w:r>
      <w:r>
        <w:t xml:space="preserve"> art. 44.1 a) LOTC, como condición de admisibilidad del recurso de amparo responde a la finalidad de preservar el carácter subsidiario del mismo, evitando que el acceso a esta jurisdicción constitucional se produzca </w:t>
      </w:r>
      <w:r w:rsidRPr="0026452D">
        <w:rPr>
          <w:i/>
        </w:rPr>
        <w:t>per saltum</w:t>
      </w:r>
      <w:r>
        <w:t>, es decir, sin brindar a los órganos judiciales la oportunidad de pronunciarse y, en su caso, remediar la lesión invocada como fundamento del recurso de amparo constitucional (STC 59/2007)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2271-2011, promovido por don Francisco Fuster González de la Riva y don Joaquín María Fuster González de la Riva, representados por el Procurador de los Tribunales don Julián Caballero Aguado y asistidos por el Abogado don Eduardo Valdivia Santandreu, contra la Sentencia de 30 de septiembre de 2010 de la Sección Segunda de la Audiencia Provincial de Palma de Mallorca, recaída en recurso de apelación núm. 480-2009, interpuesto contra la Sentencia de 26 de junio de 2009 dictada por el Juzgado de lo Penal núm. 3 de Palma de Mallorca, en procedimiento abreviado núm. 474-2008. Ha intervenido el Ministerio Fiscal. Ha comparecido y formulado alegaciones don Joaquín Cotoner Goyeneche, representado por la Procuradora de los Tribunales doña Isabel Julia Corujo y asistido por el Abogado don Fernando Mateas Castañer.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19 de abril de 2011, el Procurador de los Tribunales don Julián Caballero Aguado, en nombre de don Francisco Fuster González de la Riva y de don Joaquín María Fuster González de la Riva, interpuso recurso de amparo contra las Sentencias referidas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que se fundamenta la demanda de amparo son los siguientes:</w:t>
      </w:r>
    </w:p>
    <w:p w:rsidR="0026452D" w:rsidRDefault="0026452D" w:rsidP="0026452D">
      <w:pPr>
        <w:pStyle w:val="TextoNormal"/>
      </w:pPr>
    </w:p>
    <w:p w:rsidR="0026452D" w:rsidRDefault="0026452D" w:rsidP="0026452D">
      <w:pPr>
        <w:pStyle w:val="TextoNormal"/>
      </w:pPr>
      <w:r>
        <w:t xml:space="preserve">a) Mediante Sentencia de 26 de junio de 2009 del Juzgado de lo Penal núm. 3 de Palma de Mallorca, los recurrentes fueron condenados como autores responsables de una falta de injurias leves con publicidad tipificada en el art. 620.2 del Código penal (CP), a la pena de veinte días de multa con cuota diaria de 25 euros y a indemnizar a don Joaquín Cotoner Goyeneche en la cantidad de 300 euros. Dicha Sentencia rechazó la pretensión de la defensa de los hermanos Fuster González de la Riva relativa a la prescripción del delito de injurias formulado por la acusación, apartándose de forma expresa de la doctrina constitucional sentada en las SSTC 63/2005, de 14 de marzo, y 29/2008, de 20 de febrero, en las que el Tribunal Constitucional sostiene que la prescripción de los delitos y faltas sólo se interrumpe cuando concurra un acto de intermediación judicial, no bastando con la simple interposición de una denuncia o querella. La Sentencia del Juzgado de lo Penal, tras reproducir lo más sustancial de la fundamentación de la STC 63/2005, rechaza explícitamente dicha doctrina </w:t>
      </w:r>
      <w:r>
        <w:lastRenderedPageBreak/>
        <w:t>constitucional según la cual la interrupción del plazo de prescripción del delito o falta requiere “un acto de interposición judicial” o de “dirección procesal del procedimiento contra el culpable”, y opta por aplicar lo que califica como doctrina mayoritaria de la Sala de lo Penal Tribunal Supremo en la que, al contrario de lo mantenido por el Tribunal Constitucional, se afirma que la querella o la denuncia forman ya parte del proceso penal y, por ello, su presentación es suficiente para producir la interrupción de la prescripción del delito o falta. Todo ello en atención a la interpretación del art. 132.2 CP vigente en el momento en que se produjeron los hechos.</w:t>
      </w:r>
    </w:p>
    <w:p w:rsidR="0026452D" w:rsidRDefault="0026452D" w:rsidP="0026452D">
      <w:pPr>
        <w:pStyle w:val="TextoNormal"/>
      </w:pPr>
    </w:p>
    <w:p w:rsidR="0026452D" w:rsidRDefault="0026452D" w:rsidP="0026452D">
      <w:pPr>
        <w:pStyle w:val="TextoNormal"/>
      </w:pPr>
      <w:r>
        <w:t>b) Interpuesto recurso de apelación por las dos partes del proceso, la Audiencia Provincial de Palma de Mallorca, en Sentencia de 30 de septiembre de 2010, comparte expresamente los argumentos y doctrina del Juzgado de instancia en lo relativo a la ausencia de prescripción del delito de injurias, dando por reproducido todo lo mantenido en los fundamentos de Derecho primero y segundo de la Sentencia apelada (en los que se rechaza la interpretación del Tribunal Constitucional y se aplica la doctrina del Tribunal Supremo), pero no así la consideración de la injuria como leve, en consonancia con lo alegado por la acusación particular. En consecuencia, desestima el recurso de apelación interpuesto por los hoy demandantes de amparo, confirmando la Sentencia apelada en lo relativo a la ausencia de prescripción de la infracción penal, y estima el recurso de apelación formulado por la representación procesal de la acusación particular, revocando la Sentencia impugnada y condenando a los recurrentes en amparo por un delito de injurias con publicidad a la pena de nueve meses de multa, a razón de una cuota diaria de 10 euros, con la responsabilidad penal subsidiaria prevista en el art. 53 CP, debiendo indemnizar ambos a don Joaquín Cotoner Goyeneche en la cantidad de 9.000 euros por los daños morales sufridos, más costas.</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En la demanda de amparo se alega vulneración del derecho a la tutela judicial efectiva (art. 24 CE), del derecho a la libertad y a la seguridad personal (art. 17.1 CE), y del derecho a la legalidad penal (art. 25.1 CE), toda vez que, estando probado que el 18 de septiembre de 2004 ocurrieron los hechos enjuiciados y que el Auto de admisión de la querella es de 8 de noviembre de 2005, consideran los demandantes que ha vencido el plazo del año previsto en el art. 131.1 </w:t>
      </w:r>
      <w:r w:rsidRPr="0026452D">
        <w:rPr>
          <w:i/>
        </w:rPr>
        <w:t>in fine</w:t>
      </w:r>
      <w:r>
        <w:t xml:space="preserve"> CP para la prescripción de los delitos de injurias, de acuerdo con la doctrina del Tribunal Constitucional que se desprende de las SSTC 63/2005, de 14 de marzo, y 29/2008, de 20 de febrero, según la cual es necesario un acto del órgano jurisdiccional para entender interrumpida la prescripción conforme al tenor literal del art. 132.2 CP vigente en ese momento, no bastando la mera interposición de la denuncia o querella. En este sentido, los demandantes aducen que el Juzgado de lo Penal núm. 3 de Palma de Mallorca y la Audiencia Provincial de dicha capital incurren en una negativa manifiesta del deber de acatamiento de la doctrina del Tribunal Constitucional (art. 5.1 de la Ley Orgánica del Poder Judicial: LOPJ), con la consiguiente vulneración de los derechos fundamentales antes referidos, toda vez que conocían perfectamente dicha doctrina constitucional, alegada oportunamente por los demandantes y, sin embargo, se apartan explícitamente de ella.</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escrito registrado en este Tribunal el 27 de junio de 2011, el Procurador de los Tribunales don Julián Caballero Aguado, en nombre de los demandantes de amparo, solicita la suspensión cautelar de la ejecución de la Sentencia impugnada en amparo, de acuerdo con el art. 56.2 de la Ley Orgánica del Tribunal Constitucional (LOTC), al entender que dicha ejecución convertiría en ilusorios los efectos de una futura y eventual estimación del recurso de amparo.</w:t>
      </w:r>
    </w:p>
    <w:p w:rsidR="0026452D" w:rsidRDefault="0026452D" w:rsidP="0026452D">
      <w:pPr>
        <w:pStyle w:val="TextoNormal"/>
      </w:pPr>
    </w:p>
    <w:p w:rsidR="0026452D" w:rsidRDefault="0026452D" w:rsidP="0026452D">
      <w:pPr>
        <w:pStyle w:val="TextoNormal"/>
      </w:pPr>
      <w:r w:rsidRPr="0026452D">
        <w:rPr>
          <w:rStyle w:val="NumeroAFNegritaCaracter"/>
        </w:rPr>
        <w:t>5</w:t>
      </w:r>
      <w:r>
        <w:t>. Por providencia de 19 de diciembre de 2011, la Sala Primera del Tribunal Constitucional, conforme a lo dispuesto en el art. 11.2 LOTC, acordó admitir a trámite el presente recurso de amparo así como, en aplicación de lo dispuesto en el art. 51 LOTC, requerir a los órganos judiciales para que remitieran testimonio de las actuaciones, interesando asimismo el emplazamiento de quienes hubieran sido parte en el procedimiento, con excepción de los recurrentes en amparo, ya personados, para que en el plazo de diez días pudiesen comparecer en este proceso constitucional.</w:t>
      </w:r>
    </w:p>
    <w:p w:rsidR="0026452D" w:rsidRDefault="0026452D" w:rsidP="0026452D">
      <w:pPr>
        <w:pStyle w:val="TextoNormal"/>
      </w:pPr>
    </w:p>
    <w:p w:rsidR="0026452D" w:rsidRDefault="0026452D" w:rsidP="0026452D">
      <w:pPr>
        <w:pStyle w:val="TextoNormal"/>
      </w:pPr>
      <w:r>
        <w:t>En la misma providencia ordenó la formación de la oportuna pieza para la sustanciación del incidente de suspensión, concediendo, de conformidad con lo dispuesto en el art. 56 LOTC, un plazo común de tres días al Ministerio Fiscal y a los recurrentes en amparo para que, dentro de dicho término, alegaran lo que estimasen pertinente en relación con la petición de suspensión interesada, la cual fue finalmente denegada mediante ATC 16/2012, de 30 de enero.</w:t>
      </w:r>
    </w:p>
    <w:p w:rsidR="0026452D" w:rsidRDefault="0026452D" w:rsidP="0026452D">
      <w:pPr>
        <w:pStyle w:val="TextoNormal"/>
      </w:pPr>
    </w:p>
    <w:p w:rsidR="0026452D" w:rsidRDefault="0026452D" w:rsidP="0026452D">
      <w:pPr>
        <w:pStyle w:val="TextoNormal"/>
      </w:pPr>
      <w:r w:rsidRPr="0026452D">
        <w:rPr>
          <w:rStyle w:val="NumeroAFNegritaCaracter"/>
        </w:rPr>
        <w:t>6</w:t>
      </w:r>
      <w:r>
        <w:t>. Por diligencia de ordenación del Secretario de Justicia de la Sala Primera, de 6 de septiembre de 2012, se tuvieron por recibidos los testimonios de las actuaciones remitidos por la Sección Segunda de la Audiencia Provincial de Palma de Mallorca y por el Juzgado de lo Penal núm. 3 de dicha capital, y por personada a la Procuradora doña Isabel Juliá Corujo en nombre y representación de don Joaquín Cotoner Goyeneche. Asimismo, a tenor de lo dispuesto en el art. 52 LOTC, se acordó dar vista de todas las actuaciones del presente recurso de amparo por un plazo común de veinte días al Ministerio Fiscal y a las partes personadas, para que dentro de dicho término pudieran presentar las alegaciones que estimasen convenientes.</w:t>
      </w:r>
    </w:p>
    <w:p w:rsidR="0026452D" w:rsidRDefault="0026452D" w:rsidP="0026452D">
      <w:pPr>
        <w:pStyle w:val="TextoNormal"/>
      </w:pPr>
    </w:p>
    <w:p w:rsidR="0026452D" w:rsidRDefault="0026452D" w:rsidP="0026452D">
      <w:pPr>
        <w:pStyle w:val="TextoNormal"/>
      </w:pPr>
      <w:r w:rsidRPr="0026452D">
        <w:rPr>
          <w:rStyle w:val="NumeroAFNegritaCaracter"/>
        </w:rPr>
        <w:t>7</w:t>
      </w:r>
      <w:r>
        <w:t>. La representación procesal de los demandantes de amparo presentó su escrito de alegaciones en este Tribunal el día 19 de septiembre de 2012, en las que viene a reproducir las formuladas en la demanda de amparo.</w:t>
      </w:r>
    </w:p>
    <w:p w:rsidR="0026452D" w:rsidRDefault="0026452D" w:rsidP="0026452D">
      <w:pPr>
        <w:pStyle w:val="TextoNormal"/>
      </w:pPr>
    </w:p>
    <w:p w:rsidR="0026452D" w:rsidRDefault="0026452D" w:rsidP="0026452D">
      <w:pPr>
        <w:pStyle w:val="TextoNormal"/>
      </w:pPr>
      <w:r w:rsidRPr="0026452D">
        <w:rPr>
          <w:rStyle w:val="NumeroAFNegritaCaracter"/>
        </w:rPr>
        <w:t>8</w:t>
      </w:r>
      <w:r>
        <w:t>. Mediante escrito presentado el 1 de octubre de 2012, la representación procesal de don Joaquín Cotoner Goyeneche evacuó el trámite de alegaciones interesando la inadmisión del presente recurso por falta de agotamiento de la vía judicial previa [art. 44.1 a) LOTC], al estimar que contra la Sentencia dictada en apelación debió interponerse por los demandantes de amparo incidente de nulidad de actuaciones (</w:t>
      </w:r>
      <w:r w:rsidRPr="0026452D">
        <w:rPr>
          <w:i/>
        </w:rPr>
        <w:t>ex</w:t>
      </w:r>
      <w:r>
        <w:t xml:space="preserve"> art. 241.1 LOPJ).</w:t>
      </w:r>
    </w:p>
    <w:p w:rsidR="0026452D" w:rsidRDefault="0026452D" w:rsidP="0026452D">
      <w:pPr>
        <w:pStyle w:val="TextoNormal"/>
      </w:pPr>
    </w:p>
    <w:p w:rsidR="0026452D" w:rsidRDefault="0026452D" w:rsidP="0026452D">
      <w:pPr>
        <w:pStyle w:val="TextoNormal"/>
      </w:pPr>
      <w:r w:rsidRPr="0026452D">
        <w:rPr>
          <w:rStyle w:val="NumeroAFNegritaCaracter"/>
        </w:rPr>
        <w:t>9</w:t>
      </w:r>
      <w:r>
        <w:t>. El 23 de octubre de 2012 el Ministerio Fiscal presentó su escrito de alegaciones, interesando la estimación del presente recurso de amparo.</w:t>
      </w:r>
    </w:p>
    <w:p w:rsidR="0026452D" w:rsidRDefault="0026452D" w:rsidP="0026452D">
      <w:pPr>
        <w:pStyle w:val="TextoNormal"/>
      </w:pPr>
    </w:p>
    <w:p w:rsidR="0026452D" w:rsidRDefault="0026452D" w:rsidP="0026452D">
      <w:pPr>
        <w:pStyle w:val="TextoNormal"/>
      </w:pPr>
      <w:r>
        <w:t>Tras exponer detalladamente los antecedentes del asunto, así como la doctrina de este Tribunal con respecto a la institución de la prescripción, el Ministerio Fiscal entiende que lo determinante en este caso es que los órganos judiciales eran conocedores de la existencia de la doctrina del Tribunal Constitucional sobre el cómputo de la prescripción sentada en la STC 63/2005, de 14 de marzo, y, sin embargo, rechazan de forma expresa dicha doctrina, lo que implica una contravención del mandato tajante del art. 5.1 LOPJ, cuyo incumplimiento determina que las resoluciones judiciales impugnadas deban reputarse vulneradoras del art. 24.1 CE.</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de10 de enero de 2012, se acordó señalar para deliberación y votación de la presente Sentencia el día 14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Los demandantes de amparo imputan a las Sentencias impugnadas la vulneración de los derechos a la tutela judicial efectiva (art. 24 CE), a la libertad y a la seguridad personal (art. 17.1 CE) y a la legalidad penal (art. 25.1 CE), al entender que, habiendo sido condenados por un delito de injurias con publicidad y estando probado que el 18 de septiembre de 2004 ocurrieron los hechos enjuiciados y que el Auto de admisión de la querella es de 8 de noviembre de 2005, ya había vencido en esa fecha el plazo de un año previsto en el art. 131.1 </w:t>
      </w:r>
      <w:r w:rsidRPr="0026452D">
        <w:rPr>
          <w:i/>
        </w:rPr>
        <w:t>in fine</w:t>
      </w:r>
      <w:r>
        <w:t xml:space="preserve"> del Código penal (CP) para la prescripción de los delitos de injurias, de acuerdo con la doctrina del Tribunal Constitucional que se desprende de las SSTC 63/2005, de 14 de marzo, y 29/2008, de 20 de febrero, según la cual es necesario un acto del órgano jurisdiccional para entender interrumpida la prescripción de los delitos y faltas conforme al tenor literal del art. 132.2 CP vigente en el momento en que se produjeron los hechos, no bastando la mera interposición de la denuncia o querella. En este sentido, los demandantes aducen que los órganos judiciales que dictan las Sentencias impugnadas incurren en una negativa manifiesta del deber de acatamiento de la doctrina del Tribunal Constitucional (art. 5.1 de la Ley Orgánica del Poder Judicial: LOPJ), con la consiguiente vulneración de los derechos fundamentales antes referidos.</w:t>
      </w:r>
    </w:p>
    <w:p w:rsidR="0026452D" w:rsidRDefault="0026452D" w:rsidP="0026452D">
      <w:pPr>
        <w:pStyle w:val="TextoNormal"/>
      </w:pPr>
    </w:p>
    <w:p w:rsidR="0026452D" w:rsidRDefault="0026452D" w:rsidP="0026452D">
      <w:pPr>
        <w:pStyle w:val="TextoNormal"/>
      </w:pPr>
      <w:r>
        <w:t>El Ministerio Fiscal interesa el otorgamiento del amparo solicitado, en los términos que asimismo han quedado relatados en los antecedentes de la presente Sentencia, argumentando que lo determinante en este caso es que los órganos judiciales eran conocedores de la existencia de una jurisprudencia clara del Tribunal Constitucional sobre el cómputo de la prescripción (sentada en la STC 63/2005, entre otras) y, a pesar de ello, deciden conscientemente no aplicarla, lo que implica una contravención del mandato tajante del art. 5.1 LOPJ, cuyo incumplimiento determina que las resoluciones judiciales impugnadas deban reputarse vulneradoras del art. 24.1 CE.</w:t>
      </w:r>
    </w:p>
    <w:p w:rsidR="0026452D" w:rsidRDefault="0026452D" w:rsidP="0026452D">
      <w:pPr>
        <w:pStyle w:val="TextoNormal"/>
      </w:pPr>
    </w:p>
    <w:p w:rsidR="0026452D" w:rsidRDefault="0026452D" w:rsidP="0026452D">
      <w:pPr>
        <w:pStyle w:val="TextoNormal"/>
      </w:pPr>
      <w:r>
        <w:t xml:space="preserve">Por su parte, la representación procesal de don Joaquín Cotoner Goyeneche interesa la inadmisión del presente recurso de amparo por falta de agotamiento de la vía judicial previa [art. 44.1 a) de la Ley Orgánica del Tribunal Constitucional: LOTC], al entender que contra la Sentencia recaída en apelación debió interponerse incidente de nulidad de actuaciones, </w:t>
      </w:r>
      <w:r w:rsidRPr="0026452D">
        <w:rPr>
          <w:i/>
        </w:rPr>
        <w:t>ex</w:t>
      </w:r>
      <w:r>
        <w:t xml:space="preserve"> art. 241.1 LOPJ.</w:t>
      </w:r>
    </w:p>
    <w:p w:rsidR="0026452D" w:rsidRDefault="0026452D" w:rsidP="0026452D">
      <w:pPr>
        <w:pStyle w:val="TextoNormal"/>
      </w:pPr>
    </w:p>
    <w:p w:rsidR="0026452D" w:rsidRDefault="0026452D" w:rsidP="0026452D">
      <w:pPr>
        <w:pStyle w:val="TextoNormal"/>
      </w:pPr>
      <w:r w:rsidRPr="0026452D">
        <w:rPr>
          <w:rStyle w:val="NumeroAFNegritaCaracter"/>
        </w:rPr>
        <w:t>2</w:t>
      </w:r>
      <w:r>
        <w:t>. A tenor de lo expuesto, debemos pronunciarnos con carácter previo sobre el óbice de admisibilidad aducido por don Joaquín Cotoner Goyeneche, antes de entrar a analizar, en su caso, las quejas planteadas en la demanda de amparo.</w:t>
      </w:r>
    </w:p>
    <w:p w:rsidR="0026452D" w:rsidRDefault="0026452D" w:rsidP="0026452D">
      <w:pPr>
        <w:pStyle w:val="TextoNormal"/>
      </w:pPr>
    </w:p>
    <w:p w:rsidR="0026452D" w:rsidRDefault="0026452D" w:rsidP="0026452D">
      <w:pPr>
        <w:pStyle w:val="TextoNormal"/>
      </w:pPr>
      <w:r>
        <w:t xml:space="preserve">Pues bien, este óbice ha de ser rechazado porque en el presente caso no se cumple la exigencia del art. 241.1 LOPJ de que la vulneración de los derechos fundamentales no haya podido denunciarse antes de recaer resolución que ponga fin al proceso. Y ello, porque tal y como ha quedado expuesto en el relato de antecedentes, los demandantes no recurren en </w:t>
      </w:r>
      <w:r>
        <w:lastRenderedPageBreak/>
        <w:t>amparo la condena por delito de injurias recaída en segunda instancia (que revoca la condena por falta de injurias leves de la instancia), sino que denuncian la vulneración de derechos fundamentales por no apreciarse la prescripción de la infracción penal por la que se les condena, denuncia que formularon primero ante el Juzgado de lo Penal y, posteriormente, en el recurso de apelación ante la Audiencia Provincial de Palma de Mallorca. En consecuencia, resultaba improcedente plantear un incidente de nulidad de actuaciones respecto de una cuestión que había sido alegada desde el primer momento en el proceso y sobre la que se pronunciaron en el mismo sentido los órganos judiciales en ambas instancias.</w:t>
      </w:r>
    </w:p>
    <w:p w:rsidR="0026452D" w:rsidRDefault="0026452D" w:rsidP="0026452D">
      <w:pPr>
        <w:pStyle w:val="TextoNormal"/>
      </w:pPr>
    </w:p>
    <w:p w:rsidR="0026452D" w:rsidRDefault="0026452D" w:rsidP="0026452D">
      <w:pPr>
        <w:pStyle w:val="TextoNormal"/>
      </w:pPr>
      <w:r>
        <w:t xml:space="preserve">Por tanto, la demanda cumple con el requisito del agotamiento de la vía judicial exigido por el art. 44.1 a) LOTC como condición de admisibilidad del recurso de amparo, que responde a la finalidad de preservar el carácter subsidiario del mismo, evitando que el acceso a esta jurisdicción constitucional se produzca </w:t>
      </w:r>
      <w:r w:rsidRPr="0026452D">
        <w:rPr>
          <w:i/>
        </w:rPr>
        <w:t>per saltum</w:t>
      </w:r>
      <w:r>
        <w:t>, es decir, sin brindar a los órganos judiciales la oportunidad de pronunciarse y, en su caso, remediar la lesión invocada como fundamento del recurso de amparo constitucional (por todas, STC 59/2007, de 26 de marzo, FJ 2).</w:t>
      </w:r>
    </w:p>
    <w:p w:rsidR="0026452D" w:rsidRDefault="0026452D" w:rsidP="0026452D">
      <w:pPr>
        <w:pStyle w:val="TextoNormal"/>
      </w:pPr>
    </w:p>
    <w:p w:rsidR="0026452D" w:rsidRDefault="0026452D" w:rsidP="0026452D">
      <w:pPr>
        <w:pStyle w:val="TextoNormal"/>
      </w:pPr>
      <w:r w:rsidRPr="0026452D">
        <w:rPr>
          <w:rStyle w:val="NumeroAFNegritaCaracter"/>
        </w:rPr>
        <w:t>3</w:t>
      </w:r>
      <w:r>
        <w:t>. Entrando ya en el examen de los motivos de amparo aducidos, los demandantes alegan la vulneración del derecho a la tutela judicial efectiva (art. 24.1 CE), así como de los derechos a la libertad y a la seguridad personal (art. 17.1 CE) y a la legalidad penal (art. 25.1 CE), toda vez que, a su juicio, las Sentencias impugnadas no han apreciado la prescripción de la responsabilidad criminal, apartándose explícitamente de la doctrina sentada en las SSTC 63/2005 y 29/2008.</w:t>
      </w:r>
    </w:p>
    <w:p w:rsidR="0026452D" w:rsidRDefault="0026452D" w:rsidP="0026452D">
      <w:pPr>
        <w:pStyle w:val="TextoNormal"/>
      </w:pPr>
    </w:p>
    <w:p w:rsidR="0026452D" w:rsidRDefault="0026452D" w:rsidP="0026452D">
      <w:pPr>
        <w:pStyle w:val="TextoNormal"/>
      </w:pPr>
      <w:r>
        <w:t>Para llevar a cabo el examen de esta queja, cuya especial trascendencia constitucional [art. 50.1 b) LOTC] deriva, en los términos señalados en la STC 155/2009, de 25 de junio, FJ 2, del desconocimiento manifiesto del deber de acatamiento de la doctrina del Tribunal Constitucional, tanto por parte del Juzgado de lo Penal núm. 3 de Palma de Mallorca, como por parte de la Sección Segunda de la Audiencia Provincial de dicha capital, es necesario recordar que el art. 132.2 CP, en la redacción vigente en el momento en que se cometieron los hechos que dieron lugar a la Sentencia recurrida, disponía que la prescripción “se interrumpirá, quedando sin efecto el tiempo transcurrido cuando el procedimiento se dirija contra el culpable”. Este precepto ha sido, en efecto, interpretado por el Tribunal Constitucional en el sentido de entender que la querella o denuncia de un tercero “es una ‘solicitud de iniciación’ del procedimiento” (SSTC 63/2005, FJ 8; y 29/2008, FJ 10), pero “no un procedimiento ya iniciado” (STC 29/2008, FJ 10), razón por la cual aquella querella o denuncia no tiene por sí sola eficacia interruptora del cómputo del plazo de prescripción, sino que es necesario un “acto de interposición judicial” [STC 29/2008, FJ 12 c)] o de “dirección procesal del procedimiento contra el culpable” (STC 63/2005, FJ 5, y, más recientemente, SSTC 95/2010, de 15 de noviembre, FJ 5; y 133/2011, de 18 de julio, FJ 3, entre otras). En consecuencia, la interpretación del art. 132.2 CP en el sentido de que “la simple presentación de una denuncia o querella, sin que medie ningún acto de interposición judicial, interrumpe el plazo de prescripción, no respeta las exigencias de tutela reforzada, al no tomar en consideración, ni las exigencias derivadas de la seguridad jurídica, ni el fundamento de la institución, ni la implicación del derecho a la libertad (art. 17.1 CE)” [STC 59/2010, de 4 de octubre, FJ 2 a)]. Ahora bien, “[l]a determinación de la intensidad o calidad de dicha actuación judicial para entender interrumpido el lapso prescriptivo de las infracciones penales corresponde a la jurisdicción ordinaria” [STC 59/2010, de 4 de octubre, FJ 2 c)].</w:t>
      </w:r>
    </w:p>
    <w:p w:rsidR="0026452D" w:rsidRDefault="0026452D" w:rsidP="0026452D">
      <w:pPr>
        <w:pStyle w:val="TextoNormal"/>
      </w:pPr>
    </w:p>
    <w:p w:rsidR="0026452D" w:rsidRDefault="0026452D" w:rsidP="0026452D">
      <w:pPr>
        <w:pStyle w:val="TextoNormal"/>
      </w:pPr>
      <w:r>
        <w:t xml:space="preserve">En el caso que nos ocupa, estando probado que el 18 de septiembre de 2004 ocurrieron los hechos enjuiciados y que el Auto de admisión de la querella es de 8 de noviembre de 2005, está claro que ha vencido el plazo del año previsto en el art. 131.1 </w:t>
      </w:r>
      <w:r w:rsidRPr="0026452D">
        <w:rPr>
          <w:i/>
        </w:rPr>
        <w:t>in fine</w:t>
      </w:r>
      <w:r>
        <w:t xml:space="preserve"> CP para la prescripción de los delitos de injurias, de acuerdo con la doctrina del Tribunal Constitucional antes citada, según la cual es necesario “un acto de interposición judicial” o de “dirección procesal del procedimiento contra el culpable” para entender interrumpida la prescripción de la infracción penal. Del examen de las actuaciones efectivamente se desprende la inexistencia de acto de interposición judicial anterior al referido Auto de admisión de la querella.</w:t>
      </w:r>
    </w:p>
    <w:p w:rsidR="0026452D" w:rsidRDefault="0026452D" w:rsidP="0026452D">
      <w:pPr>
        <w:pStyle w:val="TextoNormal"/>
      </w:pPr>
    </w:p>
    <w:p w:rsidR="0026452D" w:rsidRDefault="0026452D" w:rsidP="0026452D">
      <w:pPr>
        <w:pStyle w:val="TextoNormal"/>
      </w:pPr>
      <w:r>
        <w:t>Sin embargo, el Juzgado de lo Penal núm. 3 de Palma de Mallorca, tras exponer la discrepante doctrina del Tribunal Supremo y del Tribunal Constitucional respecto de esta materia, considera prevalente la doctrina del Tribunal Supremo y, en consecuencia, entiende que no se ha producido la prescripción toda vez que toma en consideración la fecha de presentación de la querella (26 de enero de 2005) como momento de interrupción de dicha prescripción, rechazando de forma expresa la doctrina constitucional sentada en las citadas SSTC 63/2005 y 29/2008, en las que el Tribunal Constitucional sostiene, como ya se ha reproducido, que la simple presentación de una denuncia o querella, sin que medie ningún acto de interposición judicial, no puede interrumpir el plazo de prescripción, pues ello implicaría una falta de respeto a las exigencias de tutela reforzada. Por su parte, la Audiencia Provincial de Palma de Mallorca, en respuesta a la queja planteada en apelación sobre este extremo por los ahora recurrentes en amparo, da por reproducidos los argumentos del juzgador de instancia en lo relativo a la ausencia de prescripción del delito de injurias, confirmando en este punto la Sentencia apelada.</w:t>
      </w:r>
    </w:p>
    <w:p w:rsidR="0026452D" w:rsidRDefault="0026452D" w:rsidP="0026452D">
      <w:pPr>
        <w:pStyle w:val="TextoNormal"/>
      </w:pPr>
    </w:p>
    <w:p w:rsidR="0026452D" w:rsidRDefault="0026452D" w:rsidP="0026452D">
      <w:pPr>
        <w:pStyle w:val="TextoNormal"/>
      </w:pPr>
      <w:r>
        <w:t>De lo expuesto resulta claramente que las Sentencias impugnadas incurren en manifiesto desconocimiento del deber de acatamiento de la doctrina del Tribunal Constitucional, lo cual supone una clara quiebra del mandato recogido en el citado art. 5.1 LOPJ, de la que deriva la consiguiente lesión del derecho de los demandantes a la tutela judicial efectiva consagrada en el art. 24.1 CE (SSTC 29/2008, FJ 10; 147/2009, de 15 de junio, FJ 2; 195/2009, de 28 de septiembre, FJ 6; 206/2009, de 23 de noviembre, FJ 3; y 133/2011, FJ 4, entre otras).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don Francisco Fuster González de la Riva y don Joaquín María Fuster González de la Riva, y, en consecuencia:</w:t>
      </w:r>
    </w:p>
    <w:p w:rsidR="0026452D" w:rsidRDefault="0026452D" w:rsidP="0026452D">
      <w:pPr>
        <w:pStyle w:val="TextoNormal"/>
      </w:pPr>
    </w:p>
    <w:p w:rsidR="0026452D" w:rsidRDefault="0026452D" w:rsidP="0026452D">
      <w:pPr>
        <w:pStyle w:val="TextoNormal"/>
      </w:pPr>
      <w:r>
        <w:t>1º Reconocer su derecho a la tutela judicial efectiva (art. 24.1 CE)</w:t>
      </w:r>
    </w:p>
    <w:p w:rsidR="0026452D" w:rsidRDefault="0026452D" w:rsidP="0026452D">
      <w:pPr>
        <w:pStyle w:val="TextoNormal"/>
      </w:pPr>
    </w:p>
    <w:p w:rsidR="0026452D" w:rsidRDefault="0026452D" w:rsidP="0026452D">
      <w:pPr>
        <w:pStyle w:val="TextoNormal"/>
      </w:pPr>
      <w:r>
        <w:lastRenderedPageBreak/>
        <w:t>2º Declarar la nulidad de la Sentencia del Juzgado de lo Penal núm. 3 de Palma de Mallorca, de 26 de junio de 2009 (dictada en procedimiento abreviado núm. 474-2008), y de la Sentencia de la Sección Segunda de la Audiencia Provincial de Palma de Mallorca de 30 de septiembre de 2010 (recaída en el recurso de apelación núm. 480-2009).</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5" w:name="SENTENCIA_2013_2"/>
      <w:r>
        <w:lastRenderedPageBreak/>
        <w:t>SENTENCIA 2/2013, de 14 de enero de 2013</w:t>
      </w:r>
    </w:p>
    <w:bookmarkEnd w:id="5"/>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37, de 12 de febrero de 2013)</w:t>
      </w:r>
    </w:p>
    <w:p w:rsidR="0026452D" w:rsidRDefault="0026452D" w:rsidP="0026452D">
      <w:pPr>
        <w:pStyle w:val="TtuloBOE"/>
      </w:pPr>
    </w:p>
    <w:p w:rsidR="0026452D" w:rsidRDefault="0026452D" w:rsidP="0026452D">
      <w:pPr>
        <w:pStyle w:val="SntesisDescriptiva"/>
      </w:pPr>
      <w:r>
        <w:t>ECLI:ES:TC:2013:2</w:t>
      </w:r>
    </w:p>
    <w:p w:rsidR="0026452D" w:rsidRDefault="0026452D" w:rsidP="0026452D">
      <w:pPr>
        <w:pStyle w:val="SntesisDescriptiva"/>
      </w:pPr>
    </w:p>
    <w:p w:rsidR="0026452D" w:rsidRDefault="0026452D" w:rsidP="0026452D">
      <w:pPr>
        <w:pStyle w:val="SntesisDescriptiva"/>
      </w:pPr>
      <w:r>
        <w:t>Recurso de amparo 563-2012. Promovido por las entidades Newell 2000, S.L., y Cartney Trans, S.L., con respecto a las Sentencias dictadas por la Audiencia Provincial de Asturias y un Juzgado de lo Penal de Avilés en procedimiento abreviado por delitos contra la hacienda pública.</w:t>
      </w:r>
    </w:p>
    <w:p w:rsidR="0026452D" w:rsidRDefault="0026452D" w:rsidP="0026452D">
      <w:pPr>
        <w:pStyle w:val="SntesisDescriptiva"/>
      </w:pPr>
    </w:p>
    <w:p w:rsidR="0026452D" w:rsidRDefault="0026452D" w:rsidP="0026452D">
      <w:pPr>
        <w:pStyle w:val="SntesisAnaltica"/>
      </w:pPr>
      <w:r>
        <w:t>Vulneración del derecho a la tutela judicial efectiva (resolución fundada en Derecho): Sentencia de apelación que se aparta conscientemente de una doctrina reiterada y conocida del Tribunal Constitucional (STC 59/2010).</w:t>
      </w:r>
    </w:p>
    <w:p w:rsidR="0026452D" w:rsidRDefault="0026452D" w:rsidP="0026452D">
      <w:pPr>
        <w:pStyle w:val="SntesisAnaltica"/>
      </w:pPr>
    </w:p>
    <w:p w:rsidR="0026452D" w:rsidRDefault="0026452D" w:rsidP="0026452D">
      <w:pPr>
        <w:pStyle w:val="Extracto"/>
      </w:pPr>
      <w:r>
        <w:t>1.</w:t>
      </w:r>
      <w:r>
        <w:tab/>
        <w:t>No se ha producido vulneración constitucional por la no celebración de vista oral en segunda instancia, ya que el agravamiento de la condena inicial se origina sobre la base de una cuestión esencial y estrictamente de naturaleza jurídica, sin valoración de pruebas personales, supuesto que no es susceptible de reproche constitucional por falta de celebración de vista  (STC 167/2002) [FJ 6].</w:t>
      </w:r>
    </w:p>
    <w:p w:rsidR="0026452D" w:rsidRDefault="0026452D" w:rsidP="0026452D">
      <w:pPr>
        <w:pStyle w:val="Extracto"/>
      </w:pPr>
    </w:p>
    <w:p w:rsidR="0026452D" w:rsidRDefault="0026452D" w:rsidP="0026452D">
      <w:pPr>
        <w:pStyle w:val="Extracto"/>
      </w:pPr>
      <w:r>
        <w:t>2.</w:t>
      </w:r>
      <w:r>
        <w:tab/>
        <w:t>La relevancia constitucional de la omisión de la vista en sede de recurso de apelación sólo puede ser planteada en relación con situaciones en las que el punto de partida es una Sentencia absolutoria en todo o una Sentencia inicialmente absolutoria parcialmente, en relación a algunos delitos, que luego se convierte en condenatoria respecto de ellos [FJ 6].</w:t>
      </w:r>
    </w:p>
    <w:p w:rsidR="0026452D" w:rsidRDefault="0026452D" w:rsidP="0026452D">
      <w:pPr>
        <w:pStyle w:val="Extracto"/>
      </w:pPr>
    </w:p>
    <w:p w:rsidR="0026452D" w:rsidRDefault="0026452D" w:rsidP="0026452D">
      <w:pPr>
        <w:pStyle w:val="Extracto"/>
      </w:pPr>
      <w:r>
        <w:t>3.</w:t>
      </w:r>
      <w:r>
        <w:tab/>
        <w:t>La Audiencia Provincial al considerar no prescrita la responsabilidad criminal, sobre la base de la idoneidad de la denuncia como acto interruptor del cómputo del plazo de prescripción de la acción penal, inaplica la doctrina de este Tribunal, lo que supone una quiebra del mandato del art. 5.1 LOPJ de la que deriva la consiguiente lesión de los derechos de los demandantes a la tutela judicial efectiva consagrada en el art. 24.1 CE [FJ 7].</w:t>
      </w:r>
    </w:p>
    <w:p w:rsidR="0026452D" w:rsidRDefault="0026452D" w:rsidP="0026452D">
      <w:pPr>
        <w:pStyle w:val="Extracto"/>
      </w:pPr>
    </w:p>
    <w:p w:rsidR="0026452D" w:rsidRDefault="0026452D" w:rsidP="0026452D">
      <w:pPr>
        <w:pStyle w:val="Extracto"/>
      </w:pPr>
      <w:r>
        <w:t>4.</w:t>
      </w:r>
      <w:r>
        <w:tab/>
        <w:t>La querella o denuncia de un tercero es una ‘solicitud de iniciación’ del procedimiento pero no ‘un procedimiento ya iniciado’, razón por la cual no tiene por sí sola eficacia interruptora del cómputo del plazo de prescripción, sino que es necesario un ‘acto de interposición judicial’ o de ‘dirección procesal del procedimiento contra el culpable’ (SSTC 63/2005) [FJ 7].</w:t>
      </w:r>
    </w:p>
    <w:p w:rsidR="0026452D" w:rsidRDefault="0026452D" w:rsidP="0026452D">
      <w:pPr>
        <w:pStyle w:val="Extracto"/>
      </w:pPr>
    </w:p>
    <w:p w:rsidR="0026452D" w:rsidRDefault="0026452D" w:rsidP="0026452D">
      <w:pPr>
        <w:pStyle w:val="Extracto"/>
      </w:pPr>
      <w:r>
        <w:t>5.</w:t>
      </w:r>
      <w:r>
        <w:tab/>
        <w:t>La pretensión de la improcedencia de la estimación directa obtuvo cumplida respuesta en las sentencias recurridas, por lo que no concurre la pretendida falta de motivación de las razones alegadas por los recurrentes sobre el método de estimación indirecta, no apreciándose tampoco incongruencia, por cuanto que la solución aportada por los órganos jurisdiccionales da respuesta a la pretensión de la parte y a los motivos formulados por ésta [FJ 8].</w:t>
      </w:r>
    </w:p>
    <w:p w:rsidR="0026452D" w:rsidRDefault="0026452D" w:rsidP="0026452D">
      <w:pPr>
        <w:pStyle w:val="Extracto"/>
      </w:pPr>
    </w:p>
    <w:p w:rsidR="0026452D" w:rsidRDefault="0026452D" w:rsidP="0026452D">
      <w:pPr>
        <w:pStyle w:val="Extracto"/>
      </w:pPr>
      <w:r>
        <w:lastRenderedPageBreak/>
        <w:t>6.</w:t>
      </w:r>
      <w:r>
        <w:tab/>
        <w:t>El derecho a la tutela judicial efectiva incluye el derecho a obtener de los órganos judiciales una respuesta razonada y fundada en Derecho a las pretensiones oportunamente deducidas por las partes, no siendo rechazable la mayor o menor corrección jurídica de la resolución judicial siempre que lo razonado no esté incurso en arbitrariedad ni en error de hecho, que es nuestro canon para apreciar defectos de motivación vulneradores del art. 24.1 CE. (SSTC 61/1983, 182/2011) [FJ 8].</w:t>
      </w:r>
    </w:p>
    <w:p w:rsidR="0026452D" w:rsidRDefault="0026452D" w:rsidP="0026452D">
      <w:pPr>
        <w:pStyle w:val="Extracto"/>
      </w:pPr>
    </w:p>
    <w:p w:rsidR="0026452D" w:rsidRDefault="0026452D" w:rsidP="0026452D">
      <w:pPr>
        <w:pStyle w:val="Extracto"/>
      </w:pPr>
      <w:r>
        <w:t>7.</w:t>
      </w:r>
      <w:r>
        <w:tab/>
        <w:t>No se aprecia indefensión en cuanto a la denegación a la sociedad recurrente de una prórroga para estudiar la documentación, pues se trata de una alegación genérica y abstracta, sin que se concreten cuáles fueron los perjuicios efectivos ni las ventajas de disponer de un plazo adicional, siendo así que las entidades demandantes se personaron en las actuaciones y contaron en todo momento con asistencia letrada que pudo acceder al pleno conocimiento del proceso [FJ 9].</w:t>
      </w:r>
    </w:p>
    <w:p w:rsidR="0026452D" w:rsidRDefault="0026452D" w:rsidP="0026452D">
      <w:pPr>
        <w:pStyle w:val="Extracto"/>
      </w:pPr>
    </w:p>
    <w:p w:rsidR="0026452D" w:rsidRDefault="0026452D" w:rsidP="0026452D">
      <w:pPr>
        <w:pStyle w:val="Extracto"/>
      </w:pPr>
      <w:r>
        <w:t>8.</w:t>
      </w:r>
      <w:r>
        <w:tab/>
        <w:t>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25/2011) [FJ 9].</w:t>
      </w:r>
    </w:p>
    <w:p w:rsidR="0026452D" w:rsidRDefault="0026452D" w:rsidP="0026452D">
      <w:pPr>
        <w:pStyle w:val="Extracto"/>
      </w:pPr>
    </w:p>
    <w:p w:rsidR="0026452D" w:rsidRDefault="0026452D" w:rsidP="0026452D">
      <w:pPr>
        <w:pStyle w:val="Extracto"/>
      </w:pPr>
      <w:r>
        <w:t>9.</w:t>
      </w:r>
      <w:r>
        <w:tab/>
        <w:t>No existe un vacío en la motivación puesto que la providencia que inadmitió el incidente exterioriza los criterios que permiten conocer la esencia de los motivos en razón de los cuales el órgano judicial no entra a analizar las alegaciones esgrimidas en el mismo, de modo que aunque no hay una contestación explícita y pormenorizada a todas y cada una de las alegaciones, existe una respuesta clara y determinante en atención a los pormenorizados argumentos con los que la Sentencia de apelación había ya resuelto [FJ 5].</w:t>
      </w:r>
    </w:p>
    <w:p w:rsidR="0026452D" w:rsidRDefault="0026452D" w:rsidP="0026452D">
      <w:pPr>
        <w:pStyle w:val="Extracto"/>
      </w:pPr>
    </w:p>
    <w:p w:rsidR="0026452D" w:rsidRDefault="0026452D" w:rsidP="0026452D">
      <w:pPr>
        <w:pStyle w:val="Extracto"/>
      </w:pPr>
      <w:r>
        <w:t>10.</w:t>
      </w:r>
      <w:r>
        <w:tab/>
        <w:t>El incidente de nulidad de actuaciones asume una función esencial de tutela y defensa de los derechos fundamentales pues una deficiente protección de los derechos denunciados por parte del órgano judicial puede dejar al recurrente sin protección en aquellos casos en los que el recurso de amparo careciera de trascendencia constitucional, y es por ello que corresponde al órgano judicial realizar una interpretación no restrictiva de los motivos de inadmisión, reforzándose así el protagonismo que han de asumir los Jueces y Tribunales ordinarios como guardianes naturales y primeros de los derechos fundamentales y el carácter subsidiario del recurso de amparo (SSTC 155/2009, 153/2012) [FJ 5].</w:t>
      </w:r>
    </w:p>
    <w:p w:rsidR="0026452D" w:rsidRDefault="0026452D" w:rsidP="0026452D">
      <w:pPr>
        <w:pStyle w:val="Extracto"/>
      </w:pPr>
    </w:p>
    <w:p w:rsidR="0026452D" w:rsidRDefault="0026452D" w:rsidP="0026452D">
      <w:pPr>
        <w:pStyle w:val="Extracto"/>
      </w:pPr>
      <w:r>
        <w:t>11.</w:t>
      </w:r>
      <w:r>
        <w:tab/>
        <w:t>Doctrina sobre la finalidad del requisito de la invocación previa del derecho fundamental vulnerado para la admisión de las cuestiones planteadas en el recurso de amparo  (SSTC 29/1996, 7/2007) [FJ 4].</w:t>
      </w:r>
    </w:p>
    <w:p w:rsidR="0026452D" w:rsidRDefault="0026452D" w:rsidP="0026452D">
      <w:pPr>
        <w:pStyle w:val="Extracto"/>
      </w:pPr>
    </w:p>
    <w:p w:rsidR="0026452D" w:rsidRDefault="0026452D" w:rsidP="0026452D">
      <w:pPr>
        <w:pStyle w:val="Extracto"/>
      </w:pPr>
      <w:r>
        <w:t>12.</w:t>
      </w:r>
      <w:r>
        <w:tab/>
        <w:t xml:space="preserve">El cuestionamiento, en la demanda de amparo, de una interpretación de la jurisdicción ordinaria en materia de prescripción del delito que no sigue la doctrina de este Tribunal, cuestión examinada en otras Sentencias, determina, en lo que respecta a la especial trascendencia constitucional del recurso, el encaje del supuesto </w:t>
      </w:r>
      <w:r>
        <w:lastRenderedPageBreak/>
        <w:t>en la negativa manifiesta al deber de acatamiento de la doctrina constitucional [FJ 3].</w:t>
      </w:r>
    </w:p>
    <w:p w:rsidR="0026452D" w:rsidRDefault="0026452D" w:rsidP="0026452D">
      <w:pPr>
        <w:pStyle w:val="Extracto"/>
      </w:pPr>
    </w:p>
    <w:p w:rsidR="0026452D" w:rsidRDefault="0026452D" w:rsidP="0026452D">
      <w:pPr>
        <w:pStyle w:val="Extracto"/>
      </w:pPr>
      <w:r>
        <w:t>13.</w:t>
      </w:r>
      <w:r>
        <w:tab/>
        <w:t>Una vez admitido el recurso por apreciarse la especial trascendencia constitucional, no es posible excluir determinados motivos en función de su falta de especial trascendencia constitucional, puesto que el amparo constitucional no ha perdido su dimensión subjetiva como instrumento procesal para preservar o restablecer las violaciones de los derechos y libertades fundamentales, de manera que si el contenido del recurso justifica una decisión sobre el fondo debe ser admitido y examinado en la totalidad de su contenido [FJ 3].</w:t>
      </w:r>
    </w:p>
    <w:p w:rsidR="0026452D" w:rsidRDefault="0026452D" w:rsidP="0026452D">
      <w:pPr>
        <w:pStyle w:val="Extracto"/>
      </w:pPr>
    </w:p>
    <w:p w:rsidR="0026452D" w:rsidRDefault="0026452D" w:rsidP="0026452D">
      <w:pPr>
        <w:pStyle w:val="Extracto"/>
      </w:pPr>
      <w:r>
        <w:t>14.</w:t>
      </w:r>
      <w:r>
        <w:tab/>
        <w:t>La justificación de la especial trascendencia constitucional corresponde al recurrente, siendo ésta un instrumento de colaboración con la Justicia constitucional y una carga procesal de la parte cuya ausencia es insubsanable, debiendo disociarse adecuadamente, en la demanda, de la argumentación sobre la existencia de la lesión de un derecho fundamental, no satisfaciéndose esta exigencia de justificación con una simple o abstracta mención de la especial trascendencia constitucional, huérfana de la más mínima argumentación, que no permita advertir por qué el contenido del recurso justifica una decisión sobre el fondo (SSTC 155/2009, 191/2011; AATC 188/2008, 187/2010) [FJ 3].</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amparo núm. 563-2012, promovido por las entidades Newell 2000, S.L., y Cartney Trans, S.L., representadas por la Procuradora de los Tribunales doña Virginia Camacho Villar y asistidas por el Letrado don Enrique Martín González Palacios, contra la Sentencia de 31 de octubre de 2011 dictada por la Sección Tercera de la Audiencia Provincial de Asturias, recaída el rollo de apelación núm. 92-2011, contra la dictada por el Juzgado de lo Penal de Avilés en fecha 31 de marzo de 2011 en los autos de procedimiento abreviado núm. 12-2010, y contra la providencia de fecha 15 de diciembre de 2011 inadmitiendo el incidente de nulidad de actuaciones. Han intervenido el Ministerio Fiscal y el Abogado del Estado, en la representación que ostentan. Han comparecido como partes coadyuvantes Studios Viales e Ingeniería, S.L., representada por la Procuradora de los Tribunales doña Virginia Camacho Villar y asistida por el Letrado don Alfonso Tomás Menéndez López; y don Manuel López Ron, representado por el Procurador de los Tribunales don Nicolás Alvárez </w:t>
      </w:r>
      <w:r>
        <w:lastRenderedPageBreak/>
        <w:t>Real y asistido del Letrado don José Carlos Botas García. Ha sido Ponente el Magistrado don Juan José González Rivas,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31 de enero de 2012, la Procuradora de los Tribunales doña Virginia Camacho Villar, en nombre y representación de las entidades Newell 2000, S.L., y Cartney Trans, S.L., asistidas por el Letrado don Enrique Martín González Palacios, interpuso recurso de amparo contra las resoluciones judiciales referidas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que se fundamenta la demanda de amparo son, sucintamente expuestos, los siguientes:</w:t>
      </w:r>
    </w:p>
    <w:p w:rsidR="0026452D" w:rsidRDefault="0026452D" w:rsidP="0026452D">
      <w:pPr>
        <w:pStyle w:val="TextoNormal"/>
      </w:pPr>
    </w:p>
    <w:p w:rsidR="0026452D" w:rsidRDefault="0026452D" w:rsidP="0026452D">
      <w:pPr>
        <w:pStyle w:val="TextoNormal"/>
      </w:pPr>
      <w:r>
        <w:t>a) En los autos de procedimiento abreviado seguidos ante el Juzgado de lo Penal núm. 1 de Avilés con el número 12-2010, procedente del Juzgado de Instrucción núm. 6 de Avilés (procedimiento abreviado 3-2008), el Ministerio Fiscal y la Abogacía del Estado ejercieron la acusación, pública y particular respectivamente, contra don Manuel López Ron como autor de veintidós delitos contra la hacienda pública, interesando asimismo considerar como responsables civiles subsidiarios a las entidades Newell 2000, S.L., Cartney Trans, S.L., y Studios Viales e Ingeniería, S.L.</w:t>
      </w:r>
    </w:p>
    <w:p w:rsidR="0026452D" w:rsidRDefault="0026452D" w:rsidP="0026452D">
      <w:pPr>
        <w:pStyle w:val="TextoNormal"/>
      </w:pPr>
    </w:p>
    <w:p w:rsidR="0026452D" w:rsidRDefault="0026452D" w:rsidP="0026452D">
      <w:pPr>
        <w:pStyle w:val="TextoNormal"/>
      </w:pPr>
      <w:r>
        <w:t>b) Con fecha 31 de marzo de 2011, el Juzgado de lo Penal núm. 1 de Avilés dictó la Sentencia núm. 109/2011 en la que condenó a don Manuel López Ron como autor responsable de diecinueve delitos contra la hacienda pública, con la concurrencia de la circunstancia atenuante de diligencias indebidas como muy cualificada por diecinueve delitos contra la hacienda pública, absolviéndolo de tres de los delitos por los que venía acusado —los referidos al impuesto sobre el valor añadido (IVA) del ejercicio fiscal del año 2000— por estimar que concurría la prescripción respecto de los mismos.</w:t>
      </w:r>
    </w:p>
    <w:p w:rsidR="0026452D" w:rsidRDefault="0026452D" w:rsidP="0026452D">
      <w:pPr>
        <w:pStyle w:val="TextoNormal"/>
      </w:pPr>
    </w:p>
    <w:p w:rsidR="0026452D" w:rsidRDefault="0026452D" w:rsidP="0026452D">
      <w:pPr>
        <w:pStyle w:val="TextoNormal"/>
      </w:pPr>
      <w:r>
        <w:t>Dicha prescripción fue apreciada —como se expresó en los hechos probados— sobre la base de que “con fecha 26 de enero de 2006, por el Ministerio Fiscal se presentó querella contra el acusado por estos hechos, dictándose Auto de admisión de la querella por el Juzgado de Instrucción núm. 6 de Avilés con fecha 7 de febrero de 2006.”</w:t>
      </w:r>
    </w:p>
    <w:p w:rsidR="0026452D" w:rsidRDefault="0026452D" w:rsidP="0026452D">
      <w:pPr>
        <w:pStyle w:val="TextoNormal"/>
      </w:pPr>
    </w:p>
    <w:p w:rsidR="0026452D" w:rsidRDefault="0026452D" w:rsidP="0026452D">
      <w:pPr>
        <w:pStyle w:val="TextoNormal"/>
      </w:pPr>
      <w:r>
        <w:t>Conforme a ello el fallo de la Sentencia dispuso: “Que debo absolver y absuelvo al acusado, Manuel López Ron, de los delitos contra la Hacienda Pública correspondientes al IV A del ejercicio 2000 de las mercantiles Studios Viales e Ingeniería, S.L., Cartney Trans, S.L., y Newell 2000, S.L., por los que había sido acusado, declarando de oficio una quinta parte de las costas procesales.”</w:t>
      </w:r>
    </w:p>
    <w:p w:rsidR="0026452D" w:rsidRDefault="0026452D" w:rsidP="0026452D">
      <w:pPr>
        <w:pStyle w:val="TextoNormal"/>
      </w:pPr>
    </w:p>
    <w:p w:rsidR="0026452D" w:rsidRDefault="0026452D" w:rsidP="0026452D">
      <w:pPr>
        <w:pStyle w:val="TextoNormal"/>
      </w:pPr>
      <w:r>
        <w:t xml:space="preserve">En materia de responsabilidad civil, el fallo de la Sentencia dispuso lo siguiente: “el acusado deberá indemnizar a la Hacienda Pública del Estado en la cantidad de siete millones trescientos cincuenta y cinco mil setecientos setenta euros con cuarenta céntimos (7.355.770,40 euros), más los correspondientes intereses de demora, respondiendo subsidiariamente Studios Viales e Ingeniería, S.L., del pago de la cantidad de novecientos cuarenta y dos mil ciento cuarenta y ocho euros con cincuenta y seis céntimos (942.148,56 </w:t>
      </w:r>
      <w:r>
        <w:lastRenderedPageBreak/>
        <w:t>euros); Cartney Trans, S.L., responderá subsidiariamente de la cantidad de tres millones trescientos diecinueve mil trescientos catorce euros con ochenta y nueve céntimos (3.319.314,89 euros); y Newell 2000, S.L., responderá subsidiariamente de la cantidad de tres millones novecientos ochenta y tres mil seiscientos treinta y cuatro euros con dieciséis céntimos (3.983.634,16 euros).”</w:t>
      </w:r>
    </w:p>
    <w:p w:rsidR="0026452D" w:rsidRDefault="0026452D" w:rsidP="0026452D">
      <w:pPr>
        <w:pStyle w:val="TextoNormal"/>
      </w:pPr>
    </w:p>
    <w:p w:rsidR="0026452D" w:rsidRDefault="0026452D" w:rsidP="0026452D">
      <w:pPr>
        <w:pStyle w:val="TextoNormal"/>
      </w:pPr>
      <w:r>
        <w:t>c) Contra la anterior Sentencia todas las partes interpusieron recurso de apelación. Concretamente, el Abogado del Estado se ciñó en su apelación a la impugnación de la prescripción contenida en la Sentencia de instancia respecto a los delitos fiscales correspondientes al ejercicio 2000 por el impuesto sobre el valor añadido de las tres empresas administradas por el condenado, que eran Studios Viales e Ingeniería, S.L., Newell 2000, S.L., y Cartney Trans, S.L.</w:t>
      </w:r>
    </w:p>
    <w:p w:rsidR="0026452D" w:rsidRDefault="0026452D" w:rsidP="0026452D">
      <w:pPr>
        <w:pStyle w:val="TextoNormal"/>
      </w:pPr>
    </w:p>
    <w:p w:rsidR="0026452D" w:rsidRDefault="0026452D" w:rsidP="0026452D">
      <w:pPr>
        <w:pStyle w:val="TextoNormal"/>
      </w:pPr>
      <w:r>
        <w:t xml:space="preserve">d) Con fecha 31 de octubre de 2011, la Sección Tercera de la Audiencia Provincial de Oviedo dictó Sentencia núm. 272-2011, en la que estimó únicamente la impugnación formulada por la acusación particular ejercitada por la Abogacía del Estado contra la prescripción apreciada en instancia respecto de los delitos fiscales correspondientes al ejercicio 2000 por el impuesto sobre el valor añadido de las tres empresas administradas por el condenado. El órgano judicial de apelación no compartió el criterio utilizado por el Juez de lo penal respecto del cómputo del plazo del </w:t>
      </w:r>
      <w:r w:rsidRPr="0026452D">
        <w:rPr>
          <w:i/>
        </w:rPr>
        <w:t>dies ad quem</w:t>
      </w:r>
      <w:r>
        <w:t xml:space="preserve"> relacionado con la eficacia interruptora de la querella instauradora de las actuaciones y aplicando el criterio del acuerdo del Pleno no jurisdiccional del Tribunal Supremo de 25 de abril de 2006 y de las SSTS de 9 de julio de 2008, 22 de enero de 2010 y 4 de diciembre de 2009, en contra del criterio de la STC 29/2008, de 20 de febrero, la Sección Tercera de la Audiencia Provincial de Oviedo revocó la Sentencia dictada por el Juzgado de lo Penal núm. 1 de Avilés en el sentido de no declarar prescritos los tres delitos fiscales correspondientes al impuesto sobre el valor añadido del ejercicio 2000 de las mercantiles Studios Viales e Ingeniería, S.L., Newell 2000, S.L., y Cartney Trans, S.L.</w:t>
      </w:r>
    </w:p>
    <w:p w:rsidR="0026452D" w:rsidRDefault="0026452D" w:rsidP="0026452D">
      <w:pPr>
        <w:pStyle w:val="TextoNormal"/>
      </w:pPr>
    </w:p>
    <w:p w:rsidR="0026452D" w:rsidRDefault="0026452D" w:rsidP="0026452D">
      <w:pPr>
        <w:pStyle w:val="TextoNormal"/>
      </w:pPr>
      <w:r>
        <w:t>e) A consecuencia de ello, el fallo de la Sentencia de apelación dispuso lo siguiente:</w:t>
      </w:r>
    </w:p>
    <w:p w:rsidR="0026452D" w:rsidRDefault="0026452D" w:rsidP="0026452D">
      <w:pPr>
        <w:pStyle w:val="TextoNormal"/>
      </w:pPr>
    </w:p>
    <w:p w:rsidR="0026452D" w:rsidRDefault="0026452D" w:rsidP="0026452D">
      <w:pPr>
        <w:pStyle w:val="TextoNormal"/>
      </w:pPr>
      <w:r>
        <w:t xml:space="preserve">“Que estimando el recurso de apelación interpuesto por el Abogado del Estado al que se adhirió el Ministerio Fiscal y desestimando los recursos de apelación interpuestos por D. Manuel López Ron, Studios Viales e Ingeniería S.L., Christian Philipart de Foy en su condición de administrador de las mercantiles Newell 2000, S. L. y Cartney Trans, S.L. contra la sentencia dictada por el Juzgado de lo Penal n° 1 de Avilés en autos de juicio oral n° 12/10 de los que dimana el presente rollo, debemos revocar y revocamos dicha resolución en el sentido de declarar no prescritos los tres delitos fiscales correspondientes al Impuesto sobre el Valor Añadido del Ejercicio 2000 de las mercantiles Studios Viales e Ingeniería SL., Newell 2000 SL. y Cartney Trans SL. y en su consecuencia condenar a Manuel López Ron como autor penalmente responsable de dichos delitos, con la atenuante cualificada de dilaciones indebidas, a la pena de siete meses de prisión por cada uno de ellos con inhabilitación especial para el derecho de sufragio pasivo por igual tiempo y multa de 350.636 €, 284.782 € y 780.916 € correspondientes al IVA del ejercicio económico del 2000 de las entidades Studios Viales e Ingeniería SL. Y Newell 2000 SL. respectivamente, con responsabilidad personal subsidiaria en caso de impago de dos meses de privación de libertad por cada delito, así como a la pérdida de la posibilidad de obtener subvenciones o ayudas públicas y del derecho a gozar de los beneficios o incentivos fiscales o de la Seguridad Social </w:t>
      </w:r>
      <w:r>
        <w:lastRenderedPageBreak/>
        <w:t>durante nueve meses por cada uno de los delitos citados. El condenado deberá indemnizar a la Hacienda pública en la cantidad de 1.597.490 € respondiendo subsidiariamente Studios Viales e Ingeniería SL. Del pago de la suma de 175.317,93 € más los intereses, Cartneytrans SL. De la cantidad de 142.390,37 € más los intereses y Newell 2000 SL. Del pago de la suma de 390.457,79 euros más los intereses correspondientes hasta alcanzar en la proporción que les corresponda la cantidad total de 1.597.490 € anteriormente reseñada, confirmando los restantes pronunciamientos contenidos en la sentencia apelada, declarando de oficio las costas de la alzada.”</w:t>
      </w:r>
    </w:p>
    <w:p w:rsidR="0026452D" w:rsidRDefault="0026452D" w:rsidP="0026452D">
      <w:pPr>
        <w:pStyle w:val="TextoNormal"/>
      </w:pPr>
    </w:p>
    <w:p w:rsidR="0026452D" w:rsidRDefault="0026452D" w:rsidP="0026452D">
      <w:pPr>
        <w:pStyle w:val="TextoNormal"/>
      </w:pPr>
      <w:r>
        <w:t>f) Contra la anterior Sentencia la representación procesal de Christian Philipart de Foy, en calidad de administrador-liquidador de las entidades Newel 2000, S.L., y Cartney Trans, S.L., promovió incidente de nulidad en el que denunció vulneraciones de derechos fundamentales por: 1) la denegación de celebración de vista oral en segunda instancia a efectos de reproducción de la grabación de la vista (motivo II) y posterior debate contradictorio: 2) la aplicación de la doctrina jurisprudencial del Tribunal Supremo sobre la prescripción contraria a la doctrina constitucional de las SSTC 29/2008 y 95/2010 (motivo III); 3) vulneración del art. 24.1 CE por incongruencia omisiva por falta de motivación referida a los motivos alegados por la parte respecto del método de estimación indirecta (motivo IV); y 4) infracción de garantías procesales en relación con el derecho de defensa e indefensión, por disponer de tan solo veinte días de contestación a las acusaciones para examinar la voluminosa documental existente.</w:t>
      </w:r>
    </w:p>
    <w:p w:rsidR="0026452D" w:rsidRDefault="0026452D" w:rsidP="0026452D">
      <w:pPr>
        <w:pStyle w:val="TextoNormal"/>
      </w:pPr>
    </w:p>
    <w:p w:rsidR="0026452D" w:rsidRDefault="0026452D" w:rsidP="0026452D">
      <w:pPr>
        <w:pStyle w:val="TextoNormal"/>
      </w:pPr>
      <w:r>
        <w:t>g) Mediante providencia de fecha 15 de diciembre de 2011, la Sección Tercera de la Audiencia Provincial de Oviedo inadmitió a trámite el incidente promovido explicitando que del análisis del contenido de los escritos presentados se extraía la consecuencia que pretendían “suscitar cuestiones diferentes a las previstas como propias del incidente de nulidad de actuaciones postulado, al plantear una revisión de lo ya resuelto en la sentencia dictada ... en grado de apelación confundiendo la alegada merma de derechos fundamentales con el simple interés a que la resolución se acomode a sus pretensiones”.</w:t>
      </w:r>
    </w:p>
    <w:p w:rsidR="0026452D" w:rsidRDefault="0026452D" w:rsidP="0026452D">
      <w:pPr>
        <w:pStyle w:val="TextoNormal"/>
      </w:pPr>
    </w:p>
    <w:p w:rsidR="0026452D" w:rsidRDefault="0026452D" w:rsidP="0026452D">
      <w:pPr>
        <w:pStyle w:val="TextoNormal"/>
      </w:pPr>
      <w:r w:rsidRPr="0026452D">
        <w:rPr>
          <w:rStyle w:val="NumeroAFNegritaCaracter"/>
        </w:rPr>
        <w:t>3</w:t>
      </w:r>
      <w:r>
        <w:t>. La parte recurrente aduce en su demanda de amparo seis motivos de infracción constitucional que, de forma extractada, son los siguientes: primero, vulneración del derecho a la tutela judicial efectiva del art. 24.1 CE por falta de motivación en la providencia de inadmisión a trámite de los incidentes de nulidad promovidos; segundo, vulneración del derecho a la tutela judicial efectiva sin indefensión del art. 24.1 CE “por violación de las garantías procesales” al no haberse celebrado vista en sede de apelación; tercero, vulneración del derecho a la tutela judicial efectiva del art. 24.1 CE por predeterminación del fallo y vulneración del derecho de defensa; cuarto, por vulneración de la doctrina constitucional sobre prescripción; quinto, vulneración del derecho a la tutela judicial efectiva del art. 24.1 CE por incongruencia omisiva; y sexto, por vulneración del derecho a la tutela judicial efectiva del art. 24.1 CE al haber dispuesto de un escaso tiempo (veinte días) para la presentación del escrito de defensa dado el volumen de la causa.</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Mediante providencia de 16 de julio de 2012 la Sala Primera de este Tribunal acordó la admisión a trámite de la demanda de amparo presentada y, de conformidad con lo dispuesto en el art. 51 de la Ley Orgánica del Tribunal Constitucional (LOTC), dirigir atenta comunicación a la Sección Tercera de la Audiencia Provincial de Asturias y al Juzgado de lo Penal número 1 de Avilés para que remitieran respectivamente certificación o fotocopia </w:t>
      </w:r>
      <w:r>
        <w:lastRenderedPageBreak/>
        <w:t>adverada de las actuaciones correspondientes al rollo de apelación núm. 92-2011 y del procedimiento abreviado núm. 12-2010, y se emplazase a quienes hubieran sido parte en el citado procedimiento para que en el plazo de diez días pudieran comparecer en este proceso constitucional de amparo, excepto la parte recurrente en amparo, ya comparecida. Asimismo se acordó emplazar al Abogado del Estado para que pudiera comparecer en plazo de diez días.</w:t>
      </w:r>
    </w:p>
    <w:p w:rsidR="0026452D" w:rsidRDefault="0026452D" w:rsidP="0026452D">
      <w:pPr>
        <w:pStyle w:val="TextoNormal"/>
      </w:pPr>
    </w:p>
    <w:p w:rsidR="0026452D" w:rsidRDefault="0026452D" w:rsidP="0026452D">
      <w:pPr>
        <w:pStyle w:val="TextoNormal"/>
      </w:pPr>
      <w:r w:rsidRPr="0026452D">
        <w:rPr>
          <w:rStyle w:val="NumeroAFNegritaCaracter"/>
        </w:rPr>
        <w:t>5</w:t>
      </w:r>
      <w:r>
        <w:t>. Por diligencia de ordenación de fecha 17 de septiembre de 2012 se acordó tener por recibidos los testimonios y por personados y parte al Abogado del Estado, al Procurador don Nicolás Álvarez Real, en nombre de don Manuel López Ron, y a la Procuradora Virginia Camacho Villar en nombre de Studios Viales e Ingeniería, S.L. En la misma resolución se acordó dar traslado al Ministerio Fiscal y a las partes personadas para alegaciones por plazo de veinte días.</w:t>
      </w:r>
    </w:p>
    <w:p w:rsidR="0026452D" w:rsidRDefault="0026452D" w:rsidP="0026452D">
      <w:pPr>
        <w:pStyle w:val="TextoNormal"/>
      </w:pPr>
    </w:p>
    <w:p w:rsidR="0026452D" w:rsidRDefault="0026452D" w:rsidP="0026452D">
      <w:pPr>
        <w:pStyle w:val="TextoNormal"/>
      </w:pPr>
      <w:r w:rsidRPr="0026452D">
        <w:rPr>
          <w:rStyle w:val="NumeroAFNegritaCaracter"/>
        </w:rPr>
        <w:t>6</w:t>
      </w:r>
      <w:r>
        <w:t>. Por escrito registrado en fecha 15 de octubre de 2012 el Abogado del Estado presentó alegaciones solicitando la inadmisión parcial del recurso de amparo; y subsidiariamente, la desestimación íntegra de la demanda de amparo.</w:t>
      </w:r>
    </w:p>
    <w:p w:rsidR="0026452D" w:rsidRDefault="0026452D" w:rsidP="0026452D">
      <w:pPr>
        <w:pStyle w:val="TextoNormal"/>
      </w:pPr>
    </w:p>
    <w:p w:rsidR="0026452D" w:rsidRDefault="0026452D" w:rsidP="0026452D">
      <w:pPr>
        <w:pStyle w:val="TextoNormal"/>
      </w:pPr>
      <w:r>
        <w:t>El Abogado del Estado alega que, con arreglo a la doctrina de la STC 69/2011, de 16 de mayo, FJ 3, ratificada en la STC 143/2011, de 26 de septiembre, FJ 2, procede la inadmisión del amparo cuando la recurrente en amparo no justifica en su demanda la proyección objetiva del amparo solicitado, traduciendo en el plano formal (art. 49.1 LOTC) la exigencia material de la especial trascendencia constitucional del recurso de amparo establecida por el art. 50.1 b) LOTC como requisito de procedibilidad de la demanda. Con arreglo a ello, procede inadmitir los motivos de amparo primero, segundo, tercero, quinto y sexto. Asimismo se opone al motivo de amparo basado en el desconocimiento de la doctrina constitucional sobre la interrupción de la prescripción de los delitos, alegando su inadmisión por falta de legitimación activa [art. 50.1 a) LOTC en relación con los arts. 162.1 b) CE y 46.1 b) LOTC] o, subsidiariamente, en cuanto al fondo por inexistencia de lesión propia y actual en un derecho fundamental del que sean titulares las entidades mercantiles actoras.</w:t>
      </w:r>
    </w:p>
    <w:p w:rsidR="0026452D" w:rsidRDefault="0026452D" w:rsidP="0026452D">
      <w:pPr>
        <w:pStyle w:val="TextoNormal"/>
      </w:pPr>
    </w:p>
    <w:p w:rsidR="0026452D" w:rsidRDefault="0026452D" w:rsidP="0026452D">
      <w:pPr>
        <w:pStyle w:val="TextoNormal"/>
      </w:pPr>
      <w:r w:rsidRPr="0026452D">
        <w:rPr>
          <w:rStyle w:val="NumeroAFNegritaCaracter"/>
        </w:rPr>
        <w:t>7</w:t>
      </w:r>
      <w:r>
        <w:t>. Por escrito registrado en fecha 26 de octubre de 2012, la representación de don Manuel López Ron formuló alegaciones adhiriéndose a las realizadas en la demanda de amparo.</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Por escrito registrado en fecha 6 de noviembre de 2012, el Ministerio Fiscal presentó sus alegaciones, interesando de la Sala que dicte Sentencia por la que se otorgue parcialmente el amparo solicitado y, en consecuencia: 1) Se declare que se ha vulnerado el derecho fundamental de las entidades demandantes de amparo a la tutela judicial efectiva del art. 24.1 CE en los términos expuestos en su escrito de alegaciones; 2) se restablezca a las entidades recurrentes en su derecho declarando la nulidad de la Sentencia de apelación núm. 272/2011 procedente de la Sección Tercera de la Audiencia Provincial de Oviedo de fecha 31 de octubre de 2011 en cuanto a la condena adicional referida a los tres delitos fiscales por el IVA del año 2000 y la responsabilidad civil subsidiaria en el incremento concretado por acción de la misma, permaneciendo la plena validez de la Sentencia de instancia del Juzgado de lo Penal núm. 1 de Avilés de fecha 31 de marzo de 2011; 3) se inadmita el recurso en el motivo referente a la denuncia de vulneración por predeterminación del fallo </w:t>
      </w:r>
      <w:r>
        <w:lastRenderedPageBreak/>
        <w:t>por concurrencia de óbice procesal consistente en falta de invocación previa; y 4) se desestime el recurso en todo lo demás.</w:t>
      </w:r>
    </w:p>
    <w:p w:rsidR="0026452D" w:rsidRDefault="0026452D" w:rsidP="0026452D">
      <w:pPr>
        <w:pStyle w:val="TextoNormal"/>
      </w:pPr>
    </w:p>
    <w:p w:rsidR="0026452D" w:rsidRDefault="0026452D" w:rsidP="0026452D">
      <w:pPr>
        <w:pStyle w:val="TextoNormal"/>
      </w:pPr>
      <w:r w:rsidRPr="0026452D">
        <w:rPr>
          <w:rStyle w:val="NumeroAFNegritaCaracter"/>
        </w:rPr>
        <w:t>9</w:t>
      </w:r>
      <w:r>
        <w:t>. Por providencia de 10 de enero de 2013, se señaló para deliberación y votación de la presente Sentencia el día 14 de enero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amparo se dirige contra la Sentencia de 31 de octubre de 2011 dictada por la Sección Tercera de la Audiencia Provincial de Asturias, recaída el rollo de apelación núm. 92-2011, interpuesto contra la Sentencia dictada por el Juzgado de lo Penal de Avilés en fecha 31 de marzo de 2011 en los autos procedimiento abreviado núm. 12-2010, y contra la providencia de fecha 15 de diciembre de 2011 inadmitiendo el incidente de nulidad de actuaciones.</w:t>
      </w:r>
    </w:p>
    <w:p w:rsidR="0026452D" w:rsidRDefault="0026452D" w:rsidP="0026452D">
      <w:pPr>
        <w:pStyle w:val="TextoNormal"/>
      </w:pPr>
    </w:p>
    <w:p w:rsidR="0026452D" w:rsidRDefault="0026452D" w:rsidP="0026452D">
      <w:pPr>
        <w:pStyle w:val="TextoNormal"/>
      </w:pPr>
      <w:r>
        <w:t>En la demanda de amparo se denuncia, con la argumentación que ha quedado expuesta en los antecedentes de esta resolución, la vulneración del derecho fundamental a la tutela judicial efectiva sin indefensión del artículo 24.1 CE en seis motivos: primero, vulneración del derecho a la tutela judicial efectiva del art. 24.1 CE por falta de motivación en la providencia de inadmisión a trámite de los incidentes de nulidad promovidos; segundo, vulneración del derecho a la tutela judicial efectiva sin indefensión del art. 24.1 CE por violación de las garantías procesales al no haberse celebrado vista en sede de apelación; tercero, vulneración del derecho a la tutela judicial efectiva del art. 24.1 CE por predeterminación del fallo y vulneración del derecho de defensa; cuarto, por vulneración de la doctrina constitucional sobre prescripción; quinto, vulneración del derecho a la tutela judicial efectiva del art. 24.1 CE por incongruencia omisiva; y sexto, por vulneración del derecho a la tutela judicial efectiva del art. 24.1 CE al haber dispuesto de un escaso tiempo (veinte días) para la presentación del escrito de defensa dado el volumen de la causa.</w:t>
      </w:r>
    </w:p>
    <w:p w:rsidR="0026452D" w:rsidRDefault="0026452D" w:rsidP="0026452D">
      <w:pPr>
        <w:pStyle w:val="TextoNormal"/>
      </w:pPr>
    </w:p>
    <w:p w:rsidR="0026452D" w:rsidRDefault="0026452D" w:rsidP="0026452D">
      <w:pPr>
        <w:pStyle w:val="TextoNormal"/>
      </w:pPr>
      <w:r w:rsidRPr="0026452D">
        <w:rPr>
          <w:rStyle w:val="NumeroAFNegritaCaracter"/>
        </w:rPr>
        <w:t>2</w:t>
      </w:r>
      <w:r>
        <w:t>. Frente a la demanda de amparo, tanto el Ministerio Fiscal como el Abogado del Estado oponen óbices de inadmisibilidad que deben ser examinados previamente.</w:t>
      </w:r>
    </w:p>
    <w:p w:rsidR="0026452D" w:rsidRDefault="0026452D" w:rsidP="0026452D">
      <w:pPr>
        <w:pStyle w:val="TextoNormal"/>
      </w:pPr>
    </w:p>
    <w:p w:rsidR="0026452D" w:rsidRDefault="0026452D" w:rsidP="0026452D">
      <w:pPr>
        <w:pStyle w:val="TextoNormal"/>
      </w:pPr>
      <w:r>
        <w:t>a) El Abogado del Estado alega que procede inadmitir los motivos primero, segundo, tercero, quinto y sexto por falta de justificación de la especial trascendencia constitucional.</w:t>
      </w:r>
    </w:p>
    <w:p w:rsidR="0026452D" w:rsidRDefault="0026452D" w:rsidP="0026452D">
      <w:pPr>
        <w:pStyle w:val="TextoNormal"/>
      </w:pPr>
    </w:p>
    <w:p w:rsidR="0026452D" w:rsidRDefault="0026452D" w:rsidP="0026452D">
      <w:pPr>
        <w:pStyle w:val="TextoNormal"/>
      </w:pPr>
      <w:r>
        <w:t>b) El Ministerio Fiscal interesa la inadmisión del tercer motivo del recurso de amparo por concurrencia del óbice procesal consistente en falta de invocación previa de la vulneración denunciada de predeterminación del fallo.</w:t>
      </w:r>
    </w:p>
    <w:p w:rsidR="0026452D" w:rsidRDefault="0026452D" w:rsidP="0026452D">
      <w:pPr>
        <w:pStyle w:val="TextoNormal"/>
      </w:pPr>
    </w:p>
    <w:p w:rsidR="0026452D" w:rsidRDefault="0026452D" w:rsidP="0026452D">
      <w:pPr>
        <w:pStyle w:val="TextoNormal"/>
      </w:pPr>
      <w:r w:rsidRPr="0026452D">
        <w:rPr>
          <w:rStyle w:val="NumeroAFNegritaCaracter"/>
        </w:rPr>
        <w:t>3</w:t>
      </w:r>
      <w:r>
        <w:t>. Analizando, en primer lugar, los óbices procesales alegados por el Abogado del Estado, debe indicarse que, tras la reforma operada por Ley Orgánica 6/2007, se ha modificado la configuración del proceso constitucional de amparo mediante la introducción en el art. 50.1 b) de la Ley Orgánica del Tribunal Constitucional (LOTC) de una nueva condición de admisibilidad: la necesidad de que el recurso tenga una “especial trascendencia constitucional”. El carácter notablemente flexible e indeterminado tanto del concepto de “especial tras</w:t>
      </w:r>
      <w:r>
        <w:lastRenderedPageBreak/>
        <w:t>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 este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w:t>
      </w:r>
    </w:p>
    <w:p w:rsidR="0026452D" w:rsidRDefault="0026452D" w:rsidP="0026452D">
      <w:pPr>
        <w:pStyle w:val="TextoNormal"/>
      </w:pPr>
    </w:p>
    <w:p w:rsidR="0026452D" w:rsidRDefault="0026452D" w:rsidP="0026452D">
      <w:pPr>
        <w:pStyle w:val="TextoNormal"/>
      </w:pPr>
      <w:r>
        <w:t xml:space="preserve">El examen de esta causa de inadmisión debe partir de que “el recurrente ha de satisfacer necesariamente, de acuerdo con lo dispuesto en el art. 49.1 </w:t>
      </w:r>
      <w:r w:rsidRPr="0026452D">
        <w:rPr>
          <w:i/>
        </w:rPr>
        <w:t>in fine</w:t>
      </w:r>
      <w:r>
        <w:t xml:space="preserve"> LOTC, la carga de justificar en la demanda la especial trascendencia constitucional del recurso” (STC 155/2009, de 25 de junio, FJ 2, citando los AATC 188/2008, de 21 de julio; 289/2008 y 290/2008, de 22 de septiembre). Este requisito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69/2011, de 16 de mayo, FJ 3). Su ausencia es insubsanable toda vez que “la interposición del recurso de amparo está sujeta a plazos de caducidad preclusivos, que no pueden ser reabiertos para dar cumplimiento a un requisito que afecta directamente a la determinación misma de la pretensión deducida en el recurso de amparo” (ATC 188/2008, de 21 de julio, FJ 3).</w:t>
      </w:r>
    </w:p>
    <w:p w:rsidR="0026452D" w:rsidRDefault="0026452D" w:rsidP="0026452D">
      <w:pPr>
        <w:pStyle w:val="TextoNormal"/>
      </w:pPr>
    </w:p>
    <w:p w:rsidR="0026452D" w:rsidRDefault="0026452D" w:rsidP="0026452D">
      <w:pPr>
        <w:pStyle w:val="TextoNormal"/>
      </w:pPr>
      <w:r>
        <w:t>Para satisfacer esta exigencia, la demanda de amparo no tiene que ajustarse a un modelo rígido, pero sí responder a los “cánones propios de este tipo de escritos procesales” (STC 17/2011, de 28 de febrero, FJ 2) y “tener en cuenta las precisiones que, con relación a esa específica carga, ha ido efectuando este Tribunal a través de diversas resoluciones que despejan las posibles dudas sobre el modo en el que se tiene que hacer efectiva” (STC 69/2011, de 16 de mayo, FJ 3).</w:t>
      </w:r>
    </w:p>
    <w:p w:rsidR="0026452D" w:rsidRDefault="0026452D" w:rsidP="0026452D">
      <w:pPr>
        <w:pStyle w:val="TextoNormal"/>
      </w:pPr>
    </w:p>
    <w:p w:rsidR="0026452D" w:rsidRDefault="0026452D" w:rsidP="0026452D">
      <w:pPr>
        <w:pStyle w:val="TextoNormal"/>
      </w:pPr>
      <w:r>
        <w:t xml:space="preserve">Por esta razón,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w:t>
      </w:r>
      <w:r>
        <w:lastRenderedPageBreak/>
        <w:t>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(STC 69/2011, de 16 de mayo, FJ 3, citando el ATC 187/2010, de 29 de noviembre, FJ único).</w:t>
      </w:r>
    </w:p>
    <w:p w:rsidR="0026452D" w:rsidRDefault="0026452D" w:rsidP="0026452D">
      <w:pPr>
        <w:pStyle w:val="TextoNormal"/>
      </w:pPr>
    </w:p>
    <w:p w:rsidR="0026452D" w:rsidRDefault="0026452D" w:rsidP="0026452D">
      <w:pPr>
        <w:pStyle w:val="TextoNormal"/>
      </w:pPr>
      <w:r>
        <w:t>En este caso, una vez admitido el recurso por apreciarse la especial trascendencia constitucional, no es posible seleccionar los motivos que deben ser objeto de enjuiciamiento en el proceso, como se pretende por el Abogado del Estado, puesto que el amparo constitucional no ha perdido su dimensión subjetiva como instrumento procesal para preservar o restablecer las violaciones de los derechos y libertades fundamentales, de manera que si el contenido del recurso justifica una decisión sobre el fondo, como aquí ha sucedido, debe ser admitido y examinado en la totalidad de su contenido, sin que sea posible incluir o excluir determinados motivos en función de su especial trascendencia constitucional. Dicho en otras palabras, la especial trascendencia constitucional se exige del recurso y no de cada uno de los motivos en concreto, todo lo cual nos lleva a desestimar el óbice opuesto por el Abogado del Estado.</w:t>
      </w:r>
    </w:p>
    <w:p w:rsidR="0026452D" w:rsidRDefault="0026452D" w:rsidP="0026452D">
      <w:pPr>
        <w:pStyle w:val="TextoNormal"/>
      </w:pPr>
    </w:p>
    <w:p w:rsidR="0026452D" w:rsidRDefault="0026452D" w:rsidP="0026452D">
      <w:pPr>
        <w:pStyle w:val="TextoNormal"/>
      </w:pPr>
      <w:r>
        <w:t>Además, en la cuestión planteada, no se discute la especial trascendencia constitucional del recurso en tanto que se plantea en el cuarto de los motivos de la demanda de amparo una interpretación de la jurisdicción ordinaria en materia de prescripción del delito que no sigue la doctrina de este Tribunal, cuestión ya examinada en otras Sentencias de este Tribunal (sirvan de ejemplo, entre otras, las SSTC 195/2009, de 28 de septiembre, FJ 4; 206/2009, de 23 de noviembre, FJ 3; 59/2010, de 4 de octubre, FJ 4; y 133/2011, de 18 de julio, FJ 3), lo que determina el encaje del supuesto en la “negativa manifiesta al deber de acatamiento de la doctrina constitucional” (STC 155/2009, de 25 de junio).</w:t>
      </w:r>
    </w:p>
    <w:p w:rsidR="0026452D" w:rsidRDefault="0026452D" w:rsidP="0026452D">
      <w:pPr>
        <w:pStyle w:val="TextoNormal"/>
      </w:pPr>
    </w:p>
    <w:p w:rsidR="0026452D" w:rsidRDefault="0026452D" w:rsidP="0026452D">
      <w:pPr>
        <w:pStyle w:val="TextoNormal"/>
      </w:pPr>
      <w:r w:rsidRPr="0026452D">
        <w:rPr>
          <w:rStyle w:val="NumeroAFNegritaCaracter"/>
        </w:rPr>
        <w:t>4</w:t>
      </w:r>
      <w:r>
        <w:t>. En cuanto al óbice procesal de falta de invocación [art. 44.1 c) LOTC] que pone de manifiesto el Ministerio Fiscal respecto del tercer motivo del recurso de amparo, debe subrayarse que la demanda de amparo, invocando el art. 24.1 CE, denuncia de una parte que la Sentencia recurrida se limita a reproducir la parte dispositiva de la Sentencia de primera instancia, argumentando que debía haber hecho un resumen de los hechos declarados probados; y, de otra, que el relato de hechos probados fijado en la Sentencia del Juzgado de lo Penal incurre en la predeterminación del fallo, al incluir términos jurídicos que presuponen una calificación jurídica, lo que para la representación procesal de las entidades recurrentes les causa indefensión.</w:t>
      </w:r>
    </w:p>
    <w:p w:rsidR="0026452D" w:rsidRDefault="0026452D" w:rsidP="0026452D">
      <w:pPr>
        <w:pStyle w:val="TextoNormal"/>
      </w:pPr>
    </w:p>
    <w:p w:rsidR="0026452D" w:rsidRDefault="0026452D" w:rsidP="0026452D">
      <w:pPr>
        <w:pStyle w:val="TextoNormal"/>
      </w:pPr>
      <w:r>
        <w:t xml:space="preserve">Examinando el escrito de interposición del recurso de apelación y el que promueve el incidente excepcional de nulidad de actuaciones, se constata que dicha cuestión no fue planteada ni en el recurso de apelación, al no existir mención alguna al respecto en la Sentencia de la Audiencia, ni queja por incongruencia por parte del actor y tampoco consta en el incidente de nulidad de actuaciones, siendo denunciada </w:t>
      </w:r>
      <w:r w:rsidRPr="0026452D">
        <w:rPr>
          <w:i/>
        </w:rPr>
        <w:t>ex novo</w:t>
      </w:r>
      <w:r>
        <w:t xml:space="preserve"> ante este Tribunal, por lo que falta el requisito procesal establecido en el artículo 44.1 c) LOTC.</w:t>
      </w:r>
    </w:p>
    <w:p w:rsidR="0026452D" w:rsidRDefault="0026452D" w:rsidP="0026452D">
      <w:pPr>
        <w:pStyle w:val="TextoNormal"/>
      </w:pPr>
    </w:p>
    <w:p w:rsidR="0026452D" w:rsidRDefault="0026452D" w:rsidP="0026452D">
      <w:pPr>
        <w:pStyle w:val="TextoNormal"/>
      </w:pPr>
      <w:r>
        <w:t>El requisito de la invocación previa del derecho fundamental vulnerado no es un mero formalismo retórico o inútil, pues como este Tribunal ha declarado reiteradamente (por to</w:t>
      </w:r>
      <w:r>
        <w:lastRenderedPageBreak/>
        <w:t>das, STC 29/1996, de 26 de febrero),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En este punto, hemos de recordar que la razón que sustenta la exigencia de la previa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pues se trata de un requisito mediante el cual, con carácter previo a la interposición del recurso de amparo constitucional, ha de darse oportunidad a los órganos jurisdiccionales ordinarios de reparar la vulneración supuestamente cometida a través del planteamiento en el proceso judicial del problema constitucional objeto del recurso de amparo (por todas, SSTC 132/2006, de 24 de abril, FJ 3; y 7/2007, de 15 de enero, FJ 3), y en este caso, como hemos subrayado, no fue cumplimentado en forma legal.</w:t>
      </w:r>
    </w:p>
    <w:p w:rsidR="0026452D" w:rsidRDefault="0026452D" w:rsidP="0026452D">
      <w:pPr>
        <w:pStyle w:val="TextoNormal"/>
      </w:pPr>
    </w:p>
    <w:p w:rsidR="0026452D" w:rsidRDefault="0026452D" w:rsidP="0026452D">
      <w:pPr>
        <w:pStyle w:val="TextoNormal"/>
      </w:pPr>
      <w:r>
        <w:t>Por lo expuesto, debe inadmitirse el motivo tercero por falta del requisito de la previa invocación del derecho fundamental infringido establecido en el artículo 44.1 c) LOTC.</w:t>
      </w:r>
    </w:p>
    <w:p w:rsidR="0026452D" w:rsidRDefault="0026452D" w:rsidP="0026452D">
      <w:pPr>
        <w:pStyle w:val="TextoNormal"/>
      </w:pPr>
    </w:p>
    <w:p w:rsidR="0026452D" w:rsidRDefault="0026452D" w:rsidP="0026452D">
      <w:pPr>
        <w:pStyle w:val="TextoNormal"/>
      </w:pPr>
      <w:r w:rsidRPr="0026452D">
        <w:rPr>
          <w:rStyle w:val="NumeroAFNegritaCaracter"/>
        </w:rPr>
        <w:t>5</w:t>
      </w:r>
      <w:r>
        <w:t>. Resueltas las excepciones procesales y entrando en el examen de fondo, en el primero de los motivos de la demanda de amparo se alega por el demandante la falta de motivación de la providencia que inadmite el incidente de nulidad, aduciendo que la Sala debería haber argumentado por qué las cuestiones planteadas en el mismo no son las propias del incidente y por qué se confunde la merma de derechos fundamentales con el simple interés de que la decisión judicial se acomode a las pretensiones de los recurrentes; criterios ambos que ha utilizado el órgano judicial como fundamento para inadmitir el incidente.</w:t>
      </w:r>
    </w:p>
    <w:p w:rsidR="0026452D" w:rsidRDefault="0026452D" w:rsidP="0026452D">
      <w:pPr>
        <w:pStyle w:val="TextoNormal"/>
      </w:pPr>
    </w:p>
    <w:p w:rsidR="0026452D" w:rsidRDefault="0026452D" w:rsidP="0026452D">
      <w:pPr>
        <w:pStyle w:val="TextoNormal"/>
      </w:pPr>
      <w:r>
        <w:t>Como se expresa en nuestra STC 153/2012, de 16 de julio, FJ 4,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 No puede considerarse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de la Ley Orgánica del Poder Judicial (LOPJ)]. Por este motivo, una deficiente protección de los derechos denunciados por parte del órgano judicial puede dejar al recurrente sin ningún tipo de protección en aquellos casos en los que las vulneraciones en las que supuestamente incurriera la resolución impugnada, a través del incidente de nulidad de actuaciones, carecieran de trascendencia constitucional.</w:t>
      </w:r>
    </w:p>
    <w:p w:rsidR="0026452D" w:rsidRDefault="0026452D" w:rsidP="0026452D">
      <w:pPr>
        <w:pStyle w:val="TextoNormal"/>
      </w:pPr>
    </w:p>
    <w:p w:rsidR="0026452D" w:rsidRDefault="0026452D" w:rsidP="0026452D">
      <w:pPr>
        <w:pStyle w:val="TextoNormal"/>
      </w:pPr>
      <w:r>
        <w:t xml:space="preserve">En todo caso, corresponde al órgano judicial, salvo que se den las causas de inadmisión de plano, en el que podrá realizarse una motivación sucinta (art. 241.1 LOPJ), realizar una interpretación no restrictiva de los motivos de inadmisión, tramitar el incidente y motivar, </w:t>
      </w:r>
      <w:r>
        <w:lastRenderedPageBreak/>
        <w:t>en cualquier caso, suficientemente su decisión. Y es a través de la nueva regulación ampliada del incidente de nulidad de actuaciones como se refuerza el protagonismo que han de asumir los Jueces y Tribunales ordinarios como guardianes naturales y primeros de los derechos fundamentales y el carácter subsidiario del recurso de amparo (SSTC 155/2009, de 25 de junio, FJ 2, y 43/2010, de 26 de julio, FJ 5).</w:t>
      </w:r>
    </w:p>
    <w:p w:rsidR="0026452D" w:rsidRDefault="0026452D" w:rsidP="0026452D">
      <w:pPr>
        <w:pStyle w:val="TextoNormal"/>
      </w:pPr>
    </w:p>
    <w:p w:rsidR="0026452D" w:rsidRDefault="0026452D" w:rsidP="0026452D">
      <w:pPr>
        <w:pStyle w:val="TextoNormal"/>
      </w:pPr>
      <w:r>
        <w:t>En el presente caso, la representación procesal del recurrente obtuvo una respuesta a su pretensión, puesto que la providencia que inadmitió el incidente exterioriza los criterios que permiten conocer la esencia de los motivos en razón de los cuales el órgano judicial no entra a analizar las alegaciones esgrimidas en el incidente, en tanto que la Audiencia considera que se pretendía “suscitar cuestiones diferentes a las previstas como propias del incidente de nulidad de actuaciones postulado, al plantear una revisión de lo ya resuelto en la sentencia dictada ... en grado de apelación confundiendo la alegada merma de derechos fundamentales con el simple interés a que la resolución se acomode a sus pretensiones”.</w:t>
      </w:r>
    </w:p>
    <w:p w:rsidR="0026452D" w:rsidRDefault="0026452D" w:rsidP="0026452D">
      <w:pPr>
        <w:pStyle w:val="TextoNormal"/>
      </w:pPr>
    </w:p>
    <w:p w:rsidR="0026452D" w:rsidRDefault="0026452D" w:rsidP="0026452D">
      <w:pPr>
        <w:pStyle w:val="TextoNormal"/>
      </w:pPr>
      <w:r>
        <w:t>El razonamiento utilizado permite conocer que la Sala estima que la razón por la que inadmite el incidente es porque, en su criterio, se pretende tan sólo una revisión de lo ya resuelto y, aunque no hay una contestación explícita y pormenorizada a todas y cada una de las alegaciones, existe una respuesta clara y determinante que implica una desestimación de los motivos alegados, precisamente en atención a los pormenorizados argumentos con los que la Sentencia de apelación había ya resuelto y de ahí la referencia a la “revisión de lo ya resuelto” de todas las cuestiones planteadas en el recurso de apelación.</w:t>
      </w:r>
    </w:p>
    <w:p w:rsidR="0026452D" w:rsidRDefault="0026452D" w:rsidP="0026452D">
      <w:pPr>
        <w:pStyle w:val="TextoNormal"/>
      </w:pPr>
    </w:p>
    <w:p w:rsidR="0026452D" w:rsidRDefault="0026452D" w:rsidP="0026452D">
      <w:pPr>
        <w:pStyle w:val="TextoNormal"/>
      </w:pPr>
      <w:r>
        <w:t>En efecto, básicamente la promoción del incidente se efectuó con apoyo en cuatro motivos esenciales: uno, la denegación de celebración de vista oral en segunda instancia a efectos de reproducción de la grabación de la vista (motivo II) y posterior debate contradictorio; dos, la aplicación de la doctrina jurisprudencial del Tribunal Supremo sobre la prescripción contraria a la doctrina constitucional de las SSTC 29/2008, de 20 de febrero, y 95/2010, de 15 de noviembre (motivo III); tres, la vulneración del art. 24.1 CE por incongruencia omisiva y falta de motivación referida a los motivos alegados por la parte respecto del método de estimación indirecta (motivo IV); y, cuatro, la infracción de garantías procesales en relación con el derecho de defensa, indefensión, por disponer de tan solo veinte días de contestación a las acusaciones para examinar la voluminosa documental existente.</w:t>
      </w:r>
    </w:p>
    <w:p w:rsidR="0026452D" w:rsidRDefault="0026452D" w:rsidP="0026452D">
      <w:pPr>
        <w:pStyle w:val="TextoNormal"/>
      </w:pPr>
    </w:p>
    <w:p w:rsidR="0026452D" w:rsidRDefault="0026452D" w:rsidP="0026452D">
      <w:pPr>
        <w:pStyle w:val="TextoNormal"/>
      </w:pPr>
      <w:r>
        <w:t>Todos esos motivos contenían alegaciones que ya habían sido examinadas y resueltas en la Sentencia dictada al resolver el recurso de apelación en los fundamentos jurídicos primero sobre la celebración de vista, segundo sobre la prescripción y cuarto sobre la aplicabilidad del régimen de estimación indirecta, indefensión e infracción de garantías por desconocimiento sobre existencia del procedimiento y condición procesal del responsable civil. Tales vulneraciones de los derechos fundamentales aducidas fueron descartadas por el órgano judicial. De ahí que la Sala identificara el planteamiento del incidente como movido por el afán de volver a reexaminar las cuestiones planteadas, proporcionándose así las razones de la inadmisión de dicho incidente.</w:t>
      </w:r>
    </w:p>
    <w:p w:rsidR="0026452D" w:rsidRDefault="0026452D" w:rsidP="0026452D">
      <w:pPr>
        <w:pStyle w:val="TextoNormal"/>
      </w:pPr>
    </w:p>
    <w:p w:rsidR="0026452D" w:rsidRDefault="0026452D" w:rsidP="0026452D">
      <w:pPr>
        <w:pStyle w:val="TextoNormal"/>
      </w:pPr>
      <w:r>
        <w:t>En consecuencia, no puede afirmarse que exista un vacío en la motivación y procede la desestimación del primero de los motivos de amparo.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6</w:t>
      </w:r>
      <w:r>
        <w:t xml:space="preserve">. En el segundo motivo de amparo se denuncia la vulneración del derecho a un proceso con todas las garantías por no haberse celebrado vista oral en segunda instancia con el fin de que se reprodujera a presencia de las partes la grabación audiovisual del juicio celebrado ante el órgano </w:t>
      </w:r>
      <w:r w:rsidRPr="0026452D">
        <w:rPr>
          <w:i/>
        </w:rPr>
        <w:t>a quo</w:t>
      </w:r>
      <w:r>
        <w:t>, invocando la doctrina desarrollada a partir de la STC 167/2002, de 18 de septiembre, con cita de la STC 120/2009, de 18 de mayo, en apoyo de la pretensión.</w:t>
      </w:r>
    </w:p>
    <w:p w:rsidR="0026452D" w:rsidRDefault="0026452D" w:rsidP="0026452D">
      <w:pPr>
        <w:pStyle w:val="TextoNormal"/>
      </w:pPr>
    </w:p>
    <w:p w:rsidR="0026452D" w:rsidRDefault="0026452D" w:rsidP="0026452D">
      <w:pPr>
        <w:pStyle w:val="TextoNormal"/>
      </w:pPr>
      <w:r>
        <w:t>En coherencia con nuestra doctrina, la relevancia constitucional de la omisión de la vista en sede de recurso de apelación, sólo podría ser planteada en relación con situaciones en las que el punto de partida es una Sentencia absolutoria en todo o una Sentencia inicialmente absolutoria parcialmente, en relación a algunos delitos, que luego se convierte en condenatoria respecto de ellos, como ocurre en el caso subyacente en este recurso de amparo. Es entonces cuando entraría en juego la doctrina emanada de este Tribunal desde la STC 167/2002, sobre las posibilidades de valoración de las pruebas personales en sede de segunda instancia.</w:t>
      </w:r>
    </w:p>
    <w:p w:rsidR="0026452D" w:rsidRDefault="0026452D" w:rsidP="0026452D">
      <w:pPr>
        <w:pStyle w:val="TextoNormal"/>
      </w:pPr>
    </w:p>
    <w:p w:rsidR="0026452D" w:rsidRDefault="0026452D" w:rsidP="0026452D">
      <w:pPr>
        <w:pStyle w:val="TextoNormal"/>
      </w:pPr>
      <w:r>
        <w:t xml:space="preserve">En este caso, la inicial condena del acusado don Manuel López Ron por diecinueve delitos fiscales fue incrementada, tras la apelación, a un total de veintidós delitos fiscales de conformidad con la acusación mantenida por el Ministerio Fiscal y la Abogacía del Estado, a raíz del recurso de apelación interpuesto por ésta basado, exclusivamente, en una distinta interpretación sobre la tesis que debía mantenerse en el cómputo del </w:t>
      </w:r>
      <w:r w:rsidRPr="0026452D">
        <w:rPr>
          <w:i/>
        </w:rPr>
        <w:t>dies ad quem</w:t>
      </w:r>
      <w:r>
        <w:t xml:space="preserve"> de la prescripción, lo que se plasma en el fundamento jurídico 2 de la Sentencia, explicando que la Sala no compartía el criterio utilizado por el Juez de lo penal respecto del cómputo del plazo del </w:t>
      </w:r>
      <w:r w:rsidRPr="0026452D">
        <w:rPr>
          <w:i/>
        </w:rPr>
        <w:t>dies ad quem</w:t>
      </w:r>
      <w:r>
        <w:t xml:space="preserve"> y la eficacia de la interrupción de la prescripción, en relación con la querella promovida en las actuaciones, como se examinará en el ámbito del cuarto motivo de amparo. Esta condena adicional repercutió en la ampliación de la responsabilidad civil subsidiaria de las entidades demandantes de amparo empeorando su situación en cuanto al monto de las cantidades a las que había de hacer frente respecto de la hacienda pública por razón de los tres nuevos delitos fiscales referidos al impuesto sobre el valor añadido (IVA) del ejercicio del año 2000.</w:t>
      </w:r>
    </w:p>
    <w:p w:rsidR="0026452D" w:rsidRDefault="0026452D" w:rsidP="0026452D">
      <w:pPr>
        <w:pStyle w:val="TextoNormal"/>
      </w:pPr>
    </w:p>
    <w:p w:rsidR="0026452D" w:rsidRDefault="0026452D" w:rsidP="0026452D">
      <w:pPr>
        <w:pStyle w:val="TextoNormal"/>
      </w:pPr>
      <w:r>
        <w:t>Partiendo de tales presupuestos fácticos, no se habría producido en este caso vulneración constitucional ya que el agravamiento de la condena inicial se originaría sobre la base de una cuestión esencial y estrictamente de naturaleza jurídica, sin valoración de pruebas personales, supuesto éste no susceptible de reproche constitucional por la falta de celebración de vista como ya pusimos de manifiesto en la STC 170/2002, de 30 de septiembre, FJ 15, y se reiteró en la doctrina contenida, entre otras, en SSTC 34/2009, de 9 de febrero, FJ 4; 120/2009, de 18 de mayo, FJ 4; y 144/2012, de 2 de julio, FJ 2.</w:t>
      </w:r>
    </w:p>
    <w:p w:rsidR="0026452D" w:rsidRDefault="0026452D" w:rsidP="0026452D">
      <w:pPr>
        <w:pStyle w:val="TextoNormal"/>
      </w:pPr>
    </w:p>
    <w:p w:rsidR="0026452D" w:rsidRDefault="0026452D" w:rsidP="0026452D">
      <w:pPr>
        <w:pStyle w:val="TextoNormal"/>
      </w:pPr>
      <w:r>
        <w:t>Por consiguiente, este segundo motivo ha de ser desestimado.</w:t>
      </w:r>
    </w:p>
    <w:p w:rsidR="0026452D" w:rsidRDefault="0026452D" w:rsidP="0026452D">
      <w:pPr>
        <w:pStyle w:val="TextoNormal"/>
      </w:pPr>
    </w:p>
    <w:p w:rsidR="0026452D" w:rsidRDefault="0026452D" w:rsidP="0026452D">
      <w:pPr>
        <w:pStyle w:val="TextoNormal"/>
      </w:pPr>
      <w:r w:rsidRPr="0026452D">
        <w:rPr>
          <w:rStyle w:val="NumeroAFNegritaCaracter"/>
        </w:rPr>
        <w:t>7</w:t>
      </w:r>
      <w:r>
        <w:t>. El cuarto motivo de la demanda amparo es el relativo a la vulneración del derecho a la tutela judicial efectiva (art. 24.1 CE), en relación con el derecho a la libertad personal (art. 17 CE), por considerar que no se ha apreciado la prescripción de la responsabilidad criminal de los delitos por defraudación del impuesto sobre el valor añadido del ejercicio de 2000, con infracción del art. 132.2 del Código penal, en su redacción anterior a la Ley Orgánica 5/2010, aquí aplicable, y de la jurisprudencia constitucional sobre el particular.</w:t>
      </w:r>
    </w:p>
    <w:p w:rsidR="0026452D" w:rsidRDefault="0026452D" w:rsidP="0026452D">
      <w:pPr>
        <w:pStyle w:val="TextoNormal"/>
      </w:pPr>
    </w:p>
    <w:p w:rsidR="0026452D" w:rsidRDefault="0026452D" w:rsidP="0026452D">
      <w:pPr>
        <w:pStyle w:val="TextoNormal"/>
      </w:pPr>
      <w:r>
        <w:lastRenderedPageBreak/>
        <w:t>El examen de esta queja nos lleva, en primer lugar, a recordar que el art. 132.2 del Código penal, en la redacción vigente al momento de cometerse los hechos que han dado lugar a las Sentencias recurridas, disponía que la prescripción “se interrumpirá, quedando sin efecto el tiempo transcurrido cuando el procedimiento se dirija contra el culpable”. Este precepto ha sido interpretado por este Tribunal en el sentido de entender que la querella o denuncia de un tercero “es una solicitud de iniciación del procedimiento” (SSTC 63/2005, de 14 de marzo, FJ 8; y 29/2008, de 20 de febrero, FJ 10), pero “no un procedimiento ya iniciado” (precisa la STC 29/2008, de 20 de febrero, FJ 10), razón por la cual aquella querella o denuncia no tiene por sí sola eficacia interruptora del cómputo del plazo prescripción, pues la interrupción requiere un “acto de interposición judicial” [STC 29/2008, de 20 de febrero, FJ 12 c)] o de “dirección procesal del procedimiento contra el culpable” (STC 63/2005, de 14 de marzo, FJ 5).</w:t>
      </w:r>
    </w:p>
    <w:p w:rsidR="0026452D" w:rsidRDefault="0026452D" w:rsidP="0026452D">
      <w:pPr>
        <w:pStyle w:val="TextoNormal"/>
      </w:pPr>
    </w:p>
    <w:p w:rsidR="0026452D" w:rsidRDefault="0026452D" w:rsidP="0026452D">
      <w:pPr>
        <w:pStyle w:val="TextoNormal"/>
      </w:pPr>
      <w:r>
        <w:t>En consecuencia, la interpretación de aquel precepto legal en el sentido de que “la simple presentación de una denuncia o querella, sin que medie ningún acto de interposición judicial, interrumpe el plazo de prescripción, no respeta las exigencias de tutela reforzada, al no tomar en consideración, ni las exigencias derivadas de la seguridad jurídica, ni el fundamento de la institución, ni la implicación del derecho a la libertad (art. 17.1 CE)” [STC 59/2010, de 4 de octubre, FJ 2 a)].</w:t>
      </w:r>
    </w:p>
    <w:p w:rsidR="0026452D" w:rsidRDefault="0026452D" w:rsidP="0026452D">
      <w:pPr>
        <w:pStyle w:val="TextoNormal"/>
      </w:pPr>
    </w:p>
    <w:p w:rsidR="0026452D" w:rsidRDefault="0026452D" w:rsidP="0026452D">
      <w:pPr>
        <w:pStyle w:val="TextoNormal"/>
      </w:pPr>
      <w:r>
        <w:t>También ha declarado este Tribunal que “la determinación de la intensidad o calidad de dicha actuación judicial para entender interrumpido el lapso prescriptivo de las infracciones penales corresponde a la jurisdicción ordinaria” (SSTC 59/2010, de 4 de octubre, FJ 2, y 133/2011, de 18 de julio, FJ 3).</w:t>
      </w:r>
    </w:p>
    <w:p w:rsidR="0026452D" w:rsidRDefault="0026452D" w:rsidP="0026452D">
      <w:pPr>
        <w:pStyle w:val="TextoNormal"/>
      </w:pPr>
    </w:p>
    <w:p w:rsidR="0026452D" w:rsidRDefault="0026452D" w:rsidP="0026452D">
      <w:pPr>
        <w:pStyle w:val="TextoNormal"/>
      </w:pPr>
      <w:r>
        <w:t xml:space="preserve">En el caso analizado, y en relación con la prescripción de la responsabilidad criminal correspondiente al IVA del ejercicio de 2000, como señalan los órganos judiciales, el </w:t>
      </w:r>
      <w:r w:rsidRPr="0026452D">
        <w:rPr>
          <w:i/>
        </w:rPr>
        <w:t>dies a quo</w:t>
      </w:r>
      <w:r>
        <w:t xml:space="preserve"> para el cómputo de la prescripción era el 30 de enero del 2001 y el </w:t>
      </w:r>
      <w:r w:rsidRPr="0026452D">
        <w:rPr>
          <w:i/>
        </w:rPr>
        <w:t>dies ad quem</w:t>
      </w:r>
      <w:r>
        <w:t xml:space="preserve"> era el 30 de enero de 2006, conforme al plazo de prescripción de cinco años previsto en el art. 131.1 del Código penal, en la redacción aplicable al presente caso. Pues bien, la querella de la Administración tributaria (solicitud de iniciación del procedimiento) se presentó con fecha de 26 de enero de 2006, esto es, antes de que concluyese el plazo de prescripción respecto al IVA del ejercicio de 2000, y el primer acto de interposición judicial con virtualidad interruptora fue el Auto de 7 de febrero de 2006, de incoación de diligencias previas y de admisión de querella.</w:t>
      </w:r>
    </w:p>
    <w:p w:rsidR="0026452D" w:rsidRDefault="0026452D" w:rsidP="0026452D">
      <w:pPr>
        <w:pStyle w:val="TextoNormal"/>
      </w:pPr>
    </w:p>
    <w:p w:rsidR="0026452D" w:rsidRDefault="0026452D" w:rsidP="0026452D">
      <w:pPr>
        <w:pStyle w:val="TextoNormal"/>
      </w:pPr>
      <w:r>
        <w:t>El análisis precedente, extraído del examen de las actuaciones, permite constatar que la Sección Tercera de la Audiencia Provincial de Oviedo inaplica la doctrina de este Tribunal en la materia, debiendo recordarse que el art. 5.1 LOPJ, dentro del título preliminar y bajo el rótulo “Del Poder Judicial y del ejercicio de la potestad jurisdiccional” dispone expresamente que “la Constitución es la norma suprema del ordenamiento jurídico, y vincula a todos los Jueces y Tribunales, quienes interpretarán y aplicarán las leyes y los reglamentos según los preceptos y principios constitucionales, conforme a la interpretación de los mismos que resulte de las resoluciones dictadas por el Tribunal Constitucional en todo tipo de procesos”.</w:t>
      </w:r>
    </w:p>
    <w:p w:rsidR="0026452D" w:rsidRDefault="0026452D" w:rsidP="0026452D">
      <w:pPr>
        <w:pStyle w:val="TextoNormal"/>
      </w:pPr>
    </w:p>
    <w:p w:rsidR="0026452D" w:rsidRDefault="0026452D" w:rsidP="0026452D">
      <w:pPr>
        <w:pStyle w:val="TextoNormal"/>
      </w:pPr>
      <w:r>
        <w:t xml:space="preserve">La Sentencia dictada en apelación, al considerar no prescrita la responsabilidad criminal respecto al ejercicio 2000, sobre la base de la idoneidad de la denuncia como acto interruptor </w:t>
      </w:r>
      <w:r>
        <w:lastRenderedPageBreak/>
        <w:t>del cómputo del plazo de prescripción de la acción penal, se opone a la interpretación realizada por este Tribunal del alcance del art. 132.2 del Código penal, en su redacción anterior a la Ley Orgánica 5/2010, lo que supone una quiebra del mandato recogido en el citado art. 5.1 LOPJ de la que deriva la consiguiente lesión de los derechos de los demandantes a la tutela judicial efectiva consagrada en el art. 24.1 CE, en coherencia con la jurisprudencia de este Tribunal (por todas, las SSTC 29/2008, de 20 de febrero, FJ 10; 147/2009, de 15 de junio, FJ 2; 195/2009, de 28 de septiembre, FJ 6; 206/2009, de 23 de noviembre, FJ 3; 37/2010 de 19 de julio, FJ 2 y 133/2011, de 18 de julio, FJ 3).</w:t>
      </w:r>
    </w:p>
    <w:p w:rsidR="0026452D" w:rsidRDefault="0026452D" w:rsidP="0026452D">
      <w:pPr>
        <w:pStyle w:val="TextoNormal"/>
      </w:pPr>
    </w:p>
    <w:p w:rsidR="0026452D" w:rsidRDefault="0026452D" w:rsidP="0026452D">
      <w:pPr>
        <w:pStyle w:val="TextoNormal"/>
      </w:pPr>
      <w:r>
        <w:t>Por lo expuesto, el motivo ha de ser estimado, otorgando el amparo en este extremo.</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En el quinto motivo de la demanda de amparo se denuncia la existencia de incongruencia omisiva o “fallo corto” constitutiva de vulneración del artículo 24.1 CE, que se articula sobre la consideración de un quebrantamiento de forma que conlleva la declaración de nulidad de la Sentencia derivada de la redacción del </w:t>
      </w:r>
      <w:r w:rsidRPr="0026452D">
        <w:rPr>
          <w:i/>
        </w:rPr>
        <w:t>factum</w:t>
      </w:r>
      <w:r>
        <w:t xml:space="preserve"> sin la debida claridad, concreción y taxatividad, para acabar afirmando que debe llegarse a la misma conclusión cuando el Juzgador se limita a valorar la prueba superficialmente, afirmando que la interpretación de los arts. 50 y 53 de la Ley general tributaria es sesgada cuando dice que los inspectores actuarios están facultados para optar entre la estimación directa e indirecta, acabando por mantener que concurre falta de motivación sobre las razones alegadas por los recurrentes sobre la aplicación al caso del método de estimación indirecta.</w:t>
      </w:r>
    </w:p>
    <w:p w:rsidR="0026452D" w:rsidRDefault="0026452D" w:rsidP="0026452D">
      <w:pPr>
        <w:pStyle w:val="TextoNormal"/>
      </w:pPr>
    </w:p>
    <w:p w:rsidR="0026452D" w:rsidRDefault="0026452D" w:rsidP="0026452D">
      <w:pPr>
        <w:pStyle w:val="TextoNormal"/>
      </w:pPr>
      <w:r>
        <w:t>En relación con este motivo, lo que se denuncia realmente es una aplicación incorrecta de la normativa extrapenal contenida en los arts. 50 y 53 de la Ley general tributaria a la que remite el tipo penal del delito fiscal como norma penal en blanco. Concretamente, se alega que se han calculado las bases tributarias a partir del sistema de estimación directa, en lugar de haber aplicado el de estimación indirecta, que era el correcto para el presente caso por haber desaparecido (en un incendio) gran parte de la documentación tributaria.</w:t>
      </w:r>
    </w:p>
    <w:p w:rsidR="0026452D" w:rsidRDefault="0026452D" w:rsidP="0026452D">
      <w:pPr>
        <w:pStyle w:val="TextoNormal"/>
      </w:pPr>
    </w:p>
    <w:p w:rsidR="0026452D" w:rsidRDefault="0026452D" w:rsidP="0026452D">
      <w:pPr>
        <w:pStyle w:val="TextoNormal"/>
      </w:pPr>
      <w:r>
        <w:t>La queja se plantea, en el fondo, como un reproche a la valoración efectuada por el órgano judicial de los informes periciales presentados en juicio, criticando que se hubiera apoyado en el del inspector de hacienda en detrimento del presentado por la defensa. Por tanto, estamos ante un motivo que materialmente expone una mera discrepancia sobre la valoración de la prueba pericial efectuada por el órgano judicial y más esencialmente sobre su alegación de que lo procedente para la determinación de la cuota defraudada era la aplicación del régimen de estimación indirecta, lo cual fue desestimado motivadamente en el fundamento jurídico 2 de la Sentencia del Juzgado de lo Penal de Avilés, y en el fundamento jurídico 5 de la Sentencia del Tribunal de apelación.</w:t>
      </w:r>
    </w:p>
    <w:p w:rsidR="0026452D" w:rsidRDefault="0026452D" w:rsidP="0026452D">
      <w:pPr>
        <w:pStyle w:val="TextoNormal"/>
      </w:pPr>
    </w:p>
    <w:p w:rsidR="0026452D" w:rsidRDefault="0026452D" w:rsidP="0026452D">
      <w:pPr>
        <w:pStyle w:val="TextoNormal"/>
      </w:pPr>
      <w:r>
        <w:t>En este punto, tal como hemos reiterado en numerosas Sentencias, procede recordar que el derecho a la tutela judicial efectiva incluye el derecho a obtener de los órganos judiciales una respuesta razonada y fundada en Derecho a las pretensiones oportunamente deducidas por las partes y no rechazamos la mayor o menor corrección jurídica de la resolución judicial (SSTC 61/1983, de 11 de julio, FJ 3; 13/1987, de 5 de febrero, FJ 3; 248/2006, de 24 de julio, FJ 4; 120/2009, de 18 de mayo, FJ 6; 133/2011, de 18 de julio, FJ 2 y 182/2011, de 21 de noviembre, FJ 3), siempre que lo razonado no esté incurso en arbitrariedad ni en error de hecho, que es nuestro canon para apreciar defectos de motivación vulneradores del art. 24.1 CE.</w:t>
      </w:r>
    </w:p>
    <w:p w:rsidR="0026452D" w:rsidRDefault="0026452D" w:rsidP="0026452D">
      <w:pPr>
        <w:pStyle w:val="TextoNormal"/>
      </w:pPr>
    </w:p>
    <w:p w:rsidR="0026452D" w:rsidRDefault="0026452D" w:rsidP="0026452D">
      <w:pPr>
        <w:pStyle w:val="TextoNormal"/>
      </w:pPr>
      <w:r>
        <w:t xml:space="preserve">En el presente caso, la pretensión de la improcedencia de la estimación directa planteada por las partes defensoras obtuvo cumplida respuesta en ambas resoluciones judiciales, por lo que no concurre la pretendida falta de motivación de las razones alegadas por los recurrentes sobre el método de estimación indirecta. Tampoco se aprecia incongruencia, por cuanto que la solución aportada por los órganos jurisdiccionales da respuesta a la pretensión de la parte y a los motivos formulados por ésta, por lo que no concurren los requisitos de la incongruencia omisiva o </w:t>
      </w:r>
      <w:r w:rsidRPr="0026452D">
        <w:rPr>
          <w:i/>
        </w:rPr>
        <w:t>ex silentio</w:t>
      </w:r>
      <w:r>
        <w:t xml:space="preserve"> en el sentido que el concepto tiene en la doctrina constitucional expresada en las SSTC 211/2003, de 1 de diciembre, FJ 4; 8/2004, de 9 de febrero, FJ 4; y 3/2011, de 14 de febrero, entre otras.</w:t>
      </w:r>
    </w:p>
    <w:p w:rsidR="0026452D" w:rsidRDefault="0026452D" w:rsidP="0026452D">
      <w:pPr>
        <w:pStyle w:val="TextoNormal"/>
      </w:pPr>
    </w:p>
    <w:p w:rsidR="0026452D" w:rsidRDefault="0026452D" w:rsidP="0026452D">
      <w:pPr>
        <w:pStyle w:val="TextoNormal"/>
      </w:pPr>
      <w:r>
        <w:t>En consecuencia, el motivo ha de ser desestimado.</w:t>
      </w:r>
    </w:p>
    <w:p w:rsidR="0026452D" w:rsidRDefault="0026452D" w:rsidP="0026452D">
      <w:pPr>
        <w:pStyle w:val="TextoNormal"/>
      </w:pPr>
    </w:p>
    <w:p w:rsidR="0026452D" w:rsidRDefault="0026452D" w:rsidP="0026452D">
      <w:pPr>
        <w:pStyle w:val="TextoNormal"/>
      </w:pPr>
      <w:r w:rsidRPr="0026452D">
        <w:rPr>
          <w:rStyle w:val="NumeroAFNegritaCaracter"/>
        </w:rPr>
        <w:t>9</w:t>
      </w:r>
      <w:r>
        <w:t>. El sexto motivo de amparo formulado por los recurrentes se basa en la existencia de una infracción de garantías procesales, vulneración de la tutela judicial efectiva del art. 24.1 CE y causación de indefensión sufrida cuando, en la fase de instrucción y para la preparación del juicio oral, se denegó a la defensa de la sociedad recurrente (defensa que representaba a otras dos sociedades) una prórroga para estudiar la documentación, al enfatizar que eran más de cien kilos de documentos y se dispuso únicamente de los veinte días concedidos, lo que considera manifiestamente insuficiente.</w:t>
      </w:r>
    </w:p>
    <w:p w:rsidR="0026452D" w:rsidRDefault="0026452D" w:rsidP="0026452D">
      <w:pPr>
        <w:pStyle w:val="TextoNormal"/>
      </w:pPr>
    </w:p>
    <w:p w:rsidR="0026452D" w:rsidRDefault="0026452D" w:rsidP="0026452D">
      <w:pPr>
        <w:pStyle w:val="TextoNormal"/>
      </w:pPr>
      <w:r>
        <w:t>Esta alegación de que las recurrentes no tuvieron conocimiento de las actuaciones hasta la apertura del juicio oral y que por ello sólo dispusieron de veinte días para revisar gran cantidad de documentos, no se compadece con los argumentos que han reiterado los órganos judiciales en ambas instancias consistentes en sostener que desde el inicio de la instrucción se admitió la personación de los representantes legales de las sociedades de las que el acusado era administrador y que han sido declaradas responsables civiles subsidiarias y sí estaban personadas desde ese momento las sociedades, también su administrador, que lógicamente era a quien habían encargado la representación legal, por lo que tuvieron oportunidad de conocer la evolución de la instrucción.</w:t>
      </w:r>
    </w:p>
    <w:p w:rsidR="0026452D" w:rsidRDefault="0026452D" w:rsidP="0026452D">
      <w:pPr>
        <w:pStyle w:val="TextoNormal"/>
      </w:pPr>
    </w:p>
    <w:p w:rsidR="0026452D" w:rsidRDefault="0026452D" w:rsidP="0026452D">
      <w:pPr>
        <w:pStyle w:val="TextoNormal"/>
      </w:pPr>
      <w:r>
        <w:t>En el ámbito de este motivo, y en relación con el derecho fundamental a no padecer indefensión, este Tribunal ha declarado que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como destacan las SSTC 185/2003, de 27 de octubre, FJ 4; 164/2005, de 20 de junio, FJ 2; y 25/2011, de 14 de marzo, FJ 7.</w:t>
      </w:r>
    </w:p>
    <w:p w:rsidR="0026452D" w:rsidRDefault="0026452D" w:rsidP="0026452D">
      <w:pPr>
        <w:pStyle w:val="TextoNormal"/>
      </w:pPr>
    </w:p>
    <w:p w:rsidR="0026452D" w:rsidRDefault="0026452D" w:rsidP="0026452D">
      <w:pPr>
        <w:pStyle w:val="TextoNormal"/>
      </w:pPr>
      <w:r>
        <w:t>En este caso, no se aprecia la indefensión alegada; pues se trata de una alegación genérica y abstracta, sin que se concrete cuáles fueron los perjuicios efectivos ni las ventajas de disponer de un plazo adicional, siendo así que las entidades demandantes se personaron en las actuaciones y contaron en todo momento con asistencia letrada en su condición procesal que pudo acceder al pleno conocimiento del proceso, debiendo desestimarse también este motivo.</w:t>
      </w:r>
    </w:p>
    <w:p w:rsidR="0026452D" w:rsidRDefault="0026452D" w:rsidP="0026452D">
      <w:pPr>
        <w:pStyle w:val="TextoNormal"/>
      </w:pPr>
    </w:p>
    <w:p w:rsidR="0026452D" w:rsidRDefault="0026452D" w:rsidP="0026452D">
      <w:pPr>
        <w:pStyle w:val="TextoNormalCentrado"/>
        <w:keepNext/>
      </w:pPr>
      <w:r>
        <w:lastRenderedPageBreak/>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las entidades Newell 2000, S.L., y por Cartney Trans, S.L., respectivamente, y, en consecuencia:</w:t>
      </w:r>
    </w:p>
    <w:p w:rsidR="0026452D" w:rsidRDefault="0026452D" w:rsidP="0026452D">
      <w:pPr>
        <w:pStyle w:val="TextoNormal"/>
      </w:pPr>
    </w:p>
    <w:p w:rsidR="0026452D" w:rsidRDefault="0026452D" w:rsidP="0026452D">
      <w:pPr>
        <w:pStyle w:val="TextoNormal"/>
      </w:pPr>
      <w:r>
        <w:t>1º Reconocer su derecho a la tutela judicial efectiva (art. 24.1 CE).</w:t>
      </w:r>
    </w:p>
    <w:p w:rsidR="0026452D" w:rsidRDefault="0026452D" w:rsidP="0026452D">
      <w:pPr>
        <w:pStyle w:val="TextoNormal"/>
      </w:pPr>
    </w:p>
    <w:p w:rsidR="0026452D" w:rsidRDefault="0026452D" w:rsidP="0026452D">
      <w:pPr>
        <w:pStyle w:val="TextoNormal"/>
      </w:pPr>
      <w:r>
        <w:t>2º Declarar la nulidad de la Sentencia de la Sección Tercera de la Audiencia Provincial de Oviedo, de 26 de febrero de 2009 (recaída en el recurso de apelación núm. 90-2008), en relación con el pronunciamiento de responsabilidad civil contra las citadas entidades demandantes de amparo derivado de los tres delitos fiscales correspondientes al IVA del ejercicio de 2000.</w:t>
      </w:r>
    </w:p>
    <w:p w:rsidR="0026452D" w:rsidRDefault="0026452D" w:rsidP="0026452D">
      <w:pPr>
        <w:pStyle w:val="TextoNormal"/>
      </w:pPr>
    </w:p>
    <w:p w:rsidR="0026452D" w:rsidRDefault="0026452D" w:rsidP="0026452D">
      <w:pPr>
        <w:pStyle w:val="TextoNormal"/>
      </w:pPr>
      <w:r>
        <w:t>3º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6" w:name="SENTENCIA_2013_3"/>
      <w:r>
        <w:lastRenderedPageBreak/>
        <w:t>SENTENCIA 3/2013, de 17 de enero de 2013</w:t>
      </w:r>
    </w:p>
    <w:bookmarkEnd w:id="6"/>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37, de 12 de febrero de 2013)</w:t>
      </w:r>
    </w:p>
    <w:p w:rsidR="0026452D" w:rsidRDefault="0026452D" w:rsidP="0026452D">
      <w:pPr>
        <w:pStyle w:val="TtuloBOE"/>
      </w:pPr>
    </w:p>
    <w:p w:rsidR="0026452D" w:rsidRDefault="0026452D" w:rsidP="0026452D">
      <w:pPr>
        <w:pStyle w:val="SntesisDescriptiva"/>
      </w:pPr>
      <w:r>
        <w:t>ECLI:ES:TC:2013:3</w:t>
      </w:r>
    </w:p>
    <w:p w:rsidR="0026452D" w:rsidRDefault="0026452D" w:rsidP="0026452D">
      <w:pPr>
        <w:pStyle w:val="SntesisDescriptiva"/>
      </w:pPr>
    </w:p>
    <w:p w:rsidR="0026452D" w:rsidRDefault="0026452D" w:rsidP="0026452D">
      <w:pPr>
        <w:pStyle w:val="SntesisDescriptiva"/>
      </w:pPr>
      <w:r>
        <w:t>Recurso de inconstitucionalidad 1893-2002. Interpuesto por el Presidente del Gobierno en relación con el artículo 30.2 de la Ley del Parlamento de Andalucía 15/2001, de 26 de diciembre, de medidas fiscales, presupuestarias, de control y administrativas.</w:t>
      </w:r>
    </w:p>
    <w:p w:rsidR="0026452D" w:rsidRDefault="0026452D" w:rsidP="0026452D">
      <w:pPr>
        <w:pStyle w:val="SntesisDescriptiva"/>
      </w:pPr>
    </w:p>
    <w:p w:rsidR="0026452D" w:rsidRDefault="0026452D" w:rsidP="0026452D">
      <w:pPr>
        <w:pStyle w:val="SntesisAnaltica"/>
      </w:pPr>
      <w:r>
        <w:t>Competencias sobre colegios profesionales: nulidad del precepto legal que establece los supuestos de colegiación obligatoria de los funcionarios públicos autonómicos.</w:t>
      </w:r>
    </w:p>
    <w:p w:rsidR="0026452D" w:rsidRDefault="0026452D" w:rsidP="0026452D">
      <w:pPr>
        <w:pStyle w:val="SntesisAnaltica"/>
      </w:pPr>
    </w:p>
    <w:p w:rsidR="0026452D" w:rsidRDefault="0026452D" w:rsidP="0026452D">
      <w:pPr>
        <w:pStyle w:val="Extracto"/>
      </w:pPr>
      <w:r>
        <w:t>1.</w:t>
      </w:r>
      <w:r>
        <w:tab/>
        <w:t>El inciso impugnado, al eximir de la colegiación obligatoria a los empleados públicos, cuando ejercen la profesión por cuenta de la Administración, establece una excepción no contemplada en la Ley estatal de colegios profesionales, por lo que siendo competente el Estado para establecer la colegiación obligatoria y por tanto para establecer las excepciones que afectan a los empleados públicos a la vista de los concretos intereses generales que puedan verse afectados, hemos de determinar su inconstitucionalidad [FJ 8].</w:t>
      </w:r>
    </w:p>
    <w:p w:rsidR="0026452D" w:rsidRDefault="0026452D" w:rsidP="0026452D">
      <w:pPr>
        <w:pStyle w:val="Extracto"/>
      </w:pPr>
    </w:p>
    <w:p w:rsidR="0026452D" w:rsidRDefault="0026452D" w:rsidP="0026452D">
      <w:pPr>
        <w:pStyle w:val="Extracto"/>
      </w:pPr>
      <w:r>
        <w:t>2.</w:t>
      </w:r>
      <w:r>
        <w:tab/>
        <w:t>Dado que la Ley estatal de colegios profesionales, no exime a los empleados públicos de colegiarse cuando realizan las actividades propias de una profesión para cuyo ejercicio se exige la colegiación, la exención general del deber de colegiación del personal al servicio de las Administraciones públicas de Andalucía para la realización de actividades propias de su profesión por cuenta de aquellas, correspondientes a su profesión, que se contiene en el precepto impugnado, vulnera lo establecido en dicha Ley, que exige la colegiación forzosa para el ejercicio de las profesiones que determine una ley del Estado [FJ 6].</w:t>
      </w:r>
    </w:p>
    <w:p w:rsidR="0026452D" w:rsidRDefault="0026452D" w:rsidP="0026452D">
      <w:pPr>
        <w:pStyle w:val="Extracto"/>
      </w:pPr>
    </w:p>
    <w:p w:rsidR="0026452D" w:rsidRDefault="0026452D" w:rsidP="0026452D">
      <w:pPr>
        <w:pStyle w:val="Extracto"/>
      </w:pPr>
      <w:r>
        <w:t>3.</w:t>
      </w:r>
      <w:r>
        <w:tab/>
        <w:t>El requisito de la colegiación obligatoria constituye una barrera de entrada al ejercicio de la profesión y, por tanto, debe quedar limitado a aquellos casos en que se afecta, de manera grave y directa, a materias de especial interés público, como la protección de la salud y de la integridad física o de la seguridad personal o jurídica de las personas físicas, y la colegiación demuestre ser un instrumento eficiente de control del ejercicio profesional para la mejor defensa de los destinatarios de los servicios [FJ 7].</w:t>
      </w:r>
    </w:p>
    <w:p w:rsidR="0026452D" w:rsidRDefault="0026452D" w:rsidP="0026452D">
      <w:pPr>
        <w:pStyle w:val="Extracto"/>
      </w:pPr>
    </w:p>
    <w:p w:rsidR="0026452D" w:rsidRDefault="0026452D" w:rsidP="0026452D">
      <w:pPr>
        <w:pStyle w:val="Extracto"/>
      </w:pPr>
      <w:r>
        <w:t>4.</w:t>
      </w:r>
      <w:r>
        <w:tab/>
        <w:t>El carácter forzoso de la colegiación, como excepción a la libertad general de asociación, debe venir justificado por la relevancia del fin público que se persigue, así como por la dificultad de obtener ese fin sin recurrir a la adscripción forzosa al ente corporativo [FJ 7].</w:t>
      </w:r>
    </w:p>
    <w:p w:rsidR="0026452D" w:rsidRDefault="0026452D" w:rsidP="0026452D">
      <w:pPr>
        <w:pStyle w:val="Extracto"/>
      </w:pPr>
    </w:p>
    <w:p w:rsidR="0026452D" w:rsidRDefault="0026452D" w:rsidP="0026452D">
      <w:pPr>
        <w:pStyle w:val="Extracto"/>
      </w:pPr>
      <w:r>
        <w:t>5.</w:t>
      </w:r>
      <w:r>
        <w:tab/>
        <w:t>Forma parte de la competencia estatal la definición, a partir del tipo de colegiación, de los modelos posibles de colegios profesionales pero, también, la determinación de las condiciones en que las Comunidades Autónomas pueden crear entidades corporativas de uno u otro tipo [FJ 7].</w:t>
      </w:r>
    </w:p>
    <w:p w:rsidR="0026452D" w:rsidRDefault="0026452D" w:rsidP="0026452D">
      <w:pPr>
        <w:pStyle w:val="Extracto"/>
      </w:pPr>
    </w:p>
    <w:p w:rsidR="0026452D" w:rsidRDefault="0026452D" w:rsidP="0026452D">
      <w:pPr>
        <w:pStyle w:val="Extracto"/>
      </w:pPr>
      <w:r>
        <w:t>6.</w:t>
      </w:r>
      <w:r>
        <w:tab/>
        <w:t>La competencia del Estado para regular los colegios profesionales viene dada por el art. 149.1.18 CE, que le permite fijar los principios y reglas básicas de este tipo de entidades corporativas ya que aun cuando los colegios profesionales se constituyen para defender primordialmente los intereses privados de sus miembros, tiene también una dimensión pública que les equipara a las Administraciones Públicas de carácter territorial aunque a los solos aspectos organizativos y competenciales en los que ésta se concreta y singulariza, por su parte la competencia exclusiva autonómica en esta materia se contiene en el art. 79.3 b) del Estatuto de Autonomía de Andalucía, en lo no afectado por el artículo 149.1.18 CE (SSTC 76/1983, 31/2010) [FJ 5].</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1893-2002, promovido por el Presidente de Gobierno contra el inciso “o para la realización de actividades propias de su profesión por cuenta de aquellas” del artículo 30.2 de la Ley del Parlamento de Andalucía 15/2001, de 26 de diciembre, de medidas fiscales, presupuestarias, de control y administrativas. Han sido parte el Parlamento de Andalucía y el Consejo de Gobierno de la Comunidad Autónoma de Andalucía y Ponente la Magistrada doña Encarnación Roca Trías,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Con fecha 27 de marzo de 2002, tuvo entrada en este Tribunal el recurso de inconstitucionalidad promovido por el Presidente del Gobierno, a través del Abogado del Estado, contra el inciso “o para la realización de actividades propias de su profesión por cuenta de aquéllas”, del art. 30.2 de la Ley del Parlamento de Andalucía 15/2001, de 26 de diciembre, de medidas fiscales, presupuestarias, de control y administrativas, publicada en el “Boletín Oficial de la Junta de Andalucía” de 31 de diciembre del mismo año. El recurso se fundamenta en las alegaciones que se exponen resumidamente a continuación.</w:t>
      </w:r>
    </w:p>
    <w:p w:rsidR="0026452D" w:rsidRDefault="0026452D" w:rsidP="0026452D">
      <w:pPr>
        <w:pStyle w:val="TextoNormal"/>
      </w:pPr>
    </w:p>
    <w:p w:rsidR="0026452D" w:rsidRDefault="0026452D" w:rsidP="0026452D">
      <w:pPr>
        <w:pStyle w:val="TextoNormal"/>
      </w:pPr>
      <w:r>
        <w:lastRenderedPageBreak/>
        <w:t>Comienza el Abogado el Estado señalando que el inciso impugnado y el precepto en el que se incluye, el art. 30.2 de la Ley antes citada, a cuyo tenor “no obstante lo previsto en el apartado anterior, el requisito de la colegiación no será exigible al personal funcionario, estatutario, o laboral de las Administraciones Públicas de Andalucía para el ejercicio de sus funciones o para la realización de actividades propias de su profesión por cuenta de aquéllas. En todo caso precisarán de la colegiación, si así fuese exigido, para el ejercicio privado de su profesión”, debe enmarcarse en la materia “colegios profesionales”, en la medida en que incide directamente en la obligatoriedad de la colegiación. Recuerda a continuación que la competencia exclusiva asumida por la Comunidad Autónoma de Andalucía en materia de colegios profesionales (art. 13.24 del Estatuto de Autonomía) no significa que el Estado carezca de cualquier título competencial pues la personalidad jurídico pública que ostentan los colegios profesionales y las funciones públicas que tienen atribuidas fundamentan la competencia estatal para fijar las bases del régimen jurídico de las Administraciones públicas, del art. 149.1.18 CE. Sentada la anterior premisa, termina concluyendo, a partir de la doctrina establecida en la STC 330/1994, de 15 de diciembre, que forma parte de la competencia estatal la determinación de los supuestos de colegiación obligatoria y sus excepciones. Invoca, además, la competencia que asiste al Estado para fijar las condiciones básicas que garanticen la igualdad de todos los españoles en el ejercicio de los derechos y cumplimiento de los deberes constitucionales (art. 149.1.1 CE) en una doble dimensión, en primer lugar, la que afecta al derecho a elegir y a ejercer una actividad profesional o empresarial (art. 35.1 CE) y, en segundo, la que viene a incidir, por tratarse de una garantía del ejercicio profesional, en los derechos de los destinatarios de los servicios profesionales que afectan a bienes jurídicos de máxima relevancia como la vida, la integridad corporal, la libertad o la seguridad.</w:t>
      </w:r>
    </w:p>
    <w:p w:rsidR="0026452D" w:rsidRDefault="0026452D" w:rsidP="0026452D">
      <w:pPr>
        <w:pStyle w:val="TextoNormal"/>
      </w:pPr>
    </w:p>
    <w:p w:rsidR="0026452D" w:rsidRDefault="0026452D" w:rsidP="0026452D">
      <w:pPr>
        <w:pStyle w:val="TextoNormal"/>
      </w:pPr>
      <w:r>
        <w:t>Así delimitados los títulos competenciales, considera el Abogado del Estado que si bien el art. 30 de la Ley andaluza 15/2001, de 26 de diciembre, en su totalidad, estaría afectado de inconstitucionalidad por haber invadido el ámbito competencial reservado al Estado, restringe el objeto del recurso al inciso antes citado, ya que es el único que, a criterio de la representación procesal del Estado, contradice la legislación básica, ya que la exención de la colegiación forzosa contemplada en el art. 1.3 de la Ley estatal de colegios profesionales para el personal de la Administración no ampararía el ejercicio por sus empleados y por cuenta de ésta, de funciones propias de la profesión titulada, cuando sus destinatarios son los ciudadanos o terceros. En consecuencia, como quiera que la regulación autonómica exime de la colegiación al personal de las Administraciones andaluzas para la realización de cualesquiera actividades profesionales por cuenta de éstas, no solo cuando su destinataria es la propia Administración, sino también cuando afectan a ciudadanos y terceros, vulnera la legislación básica estatal.</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la Sección Primera de 21 de mayo de 2002, se acordó admitir a trámite el recurso de inconstitucionalidad presentado por el Abogado del Estado en representación del Presidente del Gobierno contra el inciso “o para la realización de actividades propias de su profesión por cuenta de aquéllas” del art. 30.2 de la Ley del Parlamento de Andalucía 15/2001 y dar traslado de la demanda al Congreso de los Diputados y al Senado, al Parlamento y al Consejo de Gobierno de la Junta de Andalucía, al objeto de que en el plazo de quince días pudieran personarse en el proceso y formular las alegaciones que estimaran convenientes. Asimismo se acordó la publicación de la incoación del recurso en el “Boletín Oficial del Estado” y en el “Boletín Oficial de la Junta de Andalucía”.</w:t>
      </w:r>
    </w:p>
    <w:p w:rsidR="0026452D" w:rsidRDefault="0026452D" w:rsidP="0026452D">
      <w:pPr>
        <w:pStyle w:val="TextoNormal"/>
      </w:pPr>
    </w:p>
    <w:p w:rsidR="0026452D" w:rsidRDefault="0026452D" w:rsidP="0026452D">
      <w:pPr>
        <w:pStyle w:val="TextoNormal"/>
      </w:pPr>
      <w:r w:rsidRPr="0026452D">
        <w:rPr>
          <w:rStyle w:val="NumeroAFNegritaCaracter"/>
        </w:rPr>
        <w:t>3</w:t>
      </w:r>
      <w:r>
        <w:t>. Por escrito que tuvo entrada en este Tribunal el 30 de mayo de 2002, la Presidenta del Congreso de los Diputados comunicó al Tribunal que el Congreso no se personaría en el proceso ni formularía alegaciones.</w:t>
      </w:r>
    </w:p>
    <w:p w:rsidR="0026452D" w:rsidRDefault="0026452D" w:rsidP="0026452D">
      <w:pPr>
        <w:pStyle w:val="TextoNormal"/>
      </w:pPr>
    </w:p>
    <w:p w:rsidR="0026452D" w:rsidRDefault="0026452D" w:rsidP="0026452D">
      <w:pPr>
        <w:pStyle w:val="TextoNormal"/>
      </w:pPr>
      <w:r w:rsidRPr="0026452D">
        <w:rPr>
          <w:rStyle w:val="NumeroAFNegritaCaracter"/>
        </w:rPr>
        <w:t>4</w:t>
      </w:r>
      <w:r>
        <w:t>. El 7 de junio de 2002 tuvo entrada en este Tribunal escrito de la Presidenta del Senado por el que comunicó el acuerdo de la Cámara de personarse en el procedimiento constitucional ofreciendo su colaboración a los efectos del art. 88.1 de la Ley Orgánica del Tribunal Constitucional.</w:t>
      </w:r>
    </w:p>
    <w:p w:rsidR="0026452D" w:rsidRDefault="0026452D" w:rsidP="0026452D">
      <w:pPr>
        <w:pStyle w:val="TextoNormal"/>
      </w:pPr>
    </w:p>
    <w:p w:rsidR="0026452D" w:rsidRDefault="0026452D" w:rsidP="0026452D">
      <w:pPr>
        <w:pStyle w:val="TextoNormal"/>
      </w:pPr>
      <w:r w:rsidRPr="0026452D">
        <w:rPr>
          <w:rStyle w:val="NumeroAFNegritaCaracter"/>
        </w:rPr>
        <w:t>5</w:t>
      </w:r>
      <w:r>
        <w:t>. Por escrito que tuvo entrada en el Tribunal Constitucional el 13 de junio de 2002, la representación del Parlamento de Andalucía presentó las alegaciones que a continuación se exponen. Con carácter preliminar recuerda que la competencia estatal sobre colegios profesionales no deriva de los títulos competenciales de los arts. 36 y 149.1.1 CE, por lo que la Comunidad Autónoma tiene una competencia “efectivamente exclusiva” que, no sólo abarca el desarrollo de las bases establecidas por el Estado, sino toda la materia (STC 89/1989, de 11 de mayo), sin perjuicio del respeto a los principios y reglas básicas establecidos por el Estado para dichas entidades, entre las que no considera incluida la regla de la colegiación forzosa contemplada en el art. 3.2 de la Ley 2/1974, de 13 de febrero, por una serie de razones, como son la inaplicabilidad de la doctrina establecida en la STC 330/1994; que la declaración expresa del carácter básico del art. 3.2 de la Ley 2/1974, de 13 de febrero, que realizó la Ley 7/1997, de 14 de abril, solo iba dirigida a la regla de la colegiación única y, finalmente, porque esta conclusión podía extraerse del proyecto que nunca llego a aprobarse, tramitado en las Cortes Generales en 1995, que contemplaba la exención de la colegiación de los titulados que ejercieran sus funciones con exclusividad como personal al servicio de la Administración.</w:t>
      </w:r>
    </w:p>
    <w:p w:rsidR="0026452D" w:rsidRDefault="0026452D" w:rsidP="0026452D">
      <w:pPr>
        <w:pStyle w:val="TextoNormal"/>
      </w:pPr>
    </w:p>
    <w:p w:rsidR="0026452D" w:rsidRDefault="0026452D" w:rsidP="0026452D">
      <w:pPr>
        <w:pStyle w:val="TextoNormal"/>
      </w:pPr>
      <w:r>
        <w:t>La representación del Parlamento de Andalucía argumenta sobre la constitucionalidad de la exención de colegiación de los empleados públicos regulada en la ley autonómica. Señala, así, que la exención de colegiación para el personal que presta servicios por cuenta de la Administración está amparada en la doctrina constitucional que, si bien ha declarado constitucional la exigencia de colegiación obligatoria para el ejercicio de la profesión médica por cuenta de la administración, también ha considerado que el legislador podía exceptuarla. En opinión de la representación del Parlamento, no resulta justificado exigir la colegiación obligatoria al personal al servicio de las Administraciones públicas, pues es ésta la que ejercerá el control y disciplina de la profesión cuando se trate de personal a su servicio, exención que, por otra parte, no resulta contraria al principio de igualdad, ni afecta, por último, directa o indirectamente, a la libertad de circulación y establecimiento de las personas consagrada por el art. 139.2 CE.</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la Sección Primera de fecha 13 de junio de 2002 se tuvo por personada a la Junta de Andalucía y se prorrogó en ocho días el plazo para que su representación letrada realizara alegaciones. El 19 de junio del mismo año, la Letrada de la Junta de Andalucía, en representación del Consejo de Gobierno, presentó las alegaciones que se resumen a continuación.</w:t>
      </w:r>
    </w:p>
    <w:p w:rsidR="0026452D" w:rsidRDefault="0026452D" w:rsidP="0026452D">
      <w:pPr>
        <w:pStyle w:val="TextoNormal"/>
      </w:pPr>
    </w:p>
    <w:p w:rsidR="0026452D" w:rsidRDefault="0026452D" w:rsidP="0026452D">
      <w:pPr>
        <w:pStyle w:val="TextoNormal"/>
      </w:pPr>
      <w:r>
        <w:lastRenderedPageBreak/>
        <w:t>Antes de entrar en los temas de fondo, pone de manifiesto que el recurso de inconstitucionalidad carece de objeto por cuanto el Estado ha errado en su interpretación del precepto citado ya que el art. 30.2 de la Ley andaluza, solo regula una única excepción, la consistente en la no colegiación de los empleados públicos en el ejercicio de sus funciones. Siendo ésta la interpretación del artículo 30.2 de la Ley andaluza, el proceso carece de objeto porque el precepto impugnado se ciñe, estrictamente, a lo argumentado por el Abogado del Estado en su escrito.</w:t>
      </w:r>
    </w:p>
    <w:p w:rsidR="0026452D" w:rsidRDefault="0026452D" w:rsidP="0026452D">
      <w:pPr>
        <w:pStyle w:val="TextoNormal"/>
      </w:pPr>
    </w:p>
    <w:p w:rsidR="0026452D" w:rsidRDefault="0026452D" w:rsidP="0026452D">
      <w:pPr>
        <w:pStyle w:val="TextoNormal"/>
      </w:pPr>
      <w:r>
        <w:t>Seguidamente, aborda la controversia competencial planteada. Rechaza que la distinción entre el personal de la Administración pública que presta servicios de forma directa o indirecta a los ciudadanos resulte relevante desde el punto de vista competencial, pues entiende que la dispensa del artículo 1.3 de la Ley 2/1974, de 13 de febrero, de colegios profesionales, no depende de a quién van destinados los servicios sino, al contrario, de que este personal actúe dentro del ámbito de la función pública y bajo el régimen de organización, control y disciplina administrativa. La exclusión de la colegiación no deja sin protección a los afectados por la actividad, pues siempre existe un sometimiento al ámbito organizativo y de control propio de la Administración que los emplea. Considera, por otra parte, que la competencia que ostenta el Estado a partir del art. 149.1.18 CE queda limitada a los aspectos organizativos y competenciales en los que se concreta y singulariza la dimensión pública de los colegios profesionales y, en concreto, sólo a aquellos que, de alguna forma, garanticen su estructura interna y funcionamiento democráticos, los únicos a los que en su opinión hace alusión el artículo 36 CE. De ahí concluye que la determinación de la forma de colegiación no forma parte de la competencia que atribuye al Estado el art. 149.1.18 CE.</w:t>
      </w:r>
    </w:p>
    <w:p w:rsidR="0026452D" w:rsidRDefault="0026452D" w:rsidP="0026452D">
      <w:pPr>
        <w:pStyle w:val="TextoNormal"/>
      </w:pPr>
    </w:p>
    <w:p w:rsidR="0026452D" w:rsidRDefault="0026452D" w:rsidP="0026452D">
      <w:pPr>
        <w:pStyle w:val="TextoNormal"/>
      </w:pPr>
      <w:r>
        <w:t>Invoca también la competencia que la Comunidad Autónoma de Andalucía ha asumido para la ordenación de su función pública en el art. 15.1.1 del Estatuto de Autonomía, que ampararía al legislador autonómico para eximir de colegiación al personal al servicio de las Administraciones públicas andaluzas, conclusión que se vería reforzada por la doctrina constitucional (SSTC 131/1989 y 69/1985) que, al permitir que quienes ejercen la profesión colegiada en el ámbito exclusivo de la Administración pública puedan ser eximidos de este requisito por el legislador, estaría haciendo referencia al legislador autonómico en virtud de la competencia que la Comunidad Autónoma ostenta por razón de la relación funcionarial.</w:t>
      </w:r>
    </w:p>
    <w:p w:rsidR="0026452D" w:rsidRDefault="0026452D" w:rsidP="0026452D">
      <w:pPr>
        <w:pStyle w:val="TextoNormal"/>
      </w:pPr>
    </w:p>
    <w:p w:rsidR="0026452D" w:rsidRDefault="0026452D" w:rsidP="0026452D">
      <w:pPr>
        <w:pStyle w:val="TextoNormal"/>
      </w:pPr>
      <w:r>
        <w:t>Finalmente, la Letrada de la Junta rechaza que el título competencial del art. 149.1.1 CE sirva de justificación a la competencia estatal, en primer lugar, porque la exención o dispensa de la colegiación para los empleados públicos no obstaculiza sino, al contrario, favorece el derecho a la libre elección y ejercicio de la profesión y, en segundo lugar, porque el propio Estado ha dejado pasar la oportunidad de regular estas condiciones básicas para el personal estatutario de los servicios de salud en la Ley 30/1999, de 5 de octubre, sobre selección y provisión de plazas de personal estatutario de los servicios de salud, que no exige la colegiación para obtener el nombramiento como personal estatutario fijo del Sistema Nacional de Salud, habiendo excepcionado esta regla para el colectivo de médicos militares.</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El 8 de marzo de 2004, tuvo entrada en este Tribunal exhorto del Juzgado de lo Contencioso-Administrativo núm. 2 de Almería, dimanante del procedimiento ordinario 319-2003, por el que se requería la remisión de las actuaciones practicadas en el recurso de </w:t>
      </w:r>
      <w:r>
        <w:lastRenderedPageBreak/>
        <w:t>inconstitucionalidad 1893-2002, promovido por el Presidente del Gobierno contra el artículo 30.2 de la Ley 15/2001, del Parlamento de Andalucía. Por diligencia que extiende el Secretario adscrito al Pleno del Tribunal Constitucional, de 10 de marzo de 2004, se comunicó que con esa misma fecha se había cumplimentado el anterior exhorto.</w:t>
      </w:r>
    </w:p>
    <w:p w:rsidR="0026452D" w:rsidRDefault="0026452D" w:rsidP="0026452D">
      <w:pPr>
        <w:pStyle w:val="TextoNormal"/>
      </w:pPr>
    </w:p>
    <w:p w:rsidR="0026452D" w:rsidRDefault="0026452D" w:rsidP="0026452D">
      <w:pPr>
        <w:pStyle w:val="TextoNormal"/>
      </w:pPr>
      <w:r w:rsidRPr="0026452D">
        <w:rPr>
          <w:rStyle w:val="NumeroAFNegritaCaracter"/>
        </w:rPr>
        <w:t>8</w:t>
      </w:r>
      <w:r>
        <w:t>. Con fecha 5 de julio de 2004, tuvo entrada en este Tribunal exhorto del Juzgado de lo Contencioso-Administrativo núm. 2 de Almería, dimanante del procedimiento ordinario 44-2004, por el que se requería la remisión de las actuaciones practicadas en los recursos de inconstitucionalidad 1893-2002 y 1022-2004, promovidos por el Presidente del Gobierno contra el art. 30.2 de la Ley 15/2001, del Parlamento de Andalucía y el art. 4 de la Ley 10/2003, de 6 de noviembre, reguladora de los colegios profesionales de Andalucía, respectivamente. Por diligencia que extiende el Secretario adscrito al Pleno del Tribunal Constitucional, de 9 de julio de 2004, se participó que los recursos de inconstitucionalidad antes citados se encontraban pendientes de resolución definitiva.</w:t>
      </w:r>
    </w:p>
    <w:p w:rsidR="0026452D" w:rsidRDefault="0026452D" w:rsidP="0026452D">
      <w:pPr>
        <w:pStyle w:val="TextoNormal"/>
      </w:pPr>
    </w:p>
    <w:p w:rsidR="0026452D" w:rsidRDefault="0026452D" w:rsidP="0026452D">
      <w:pPr>
        <w:pStyle w:val="TextoNormal"/>
      </w:pPr>
      <w:r w:rsidRPr="0026452D">
        <w:rPr>
          <w:rStyle w:val="NumeroAFNegritaCaracter"/>
        </w:rPr>
        <w:t>9</w:t>
      </w:r>
      <w:r>
        <w:t>. El 24 de septiembre de 2004, tuvo entrada en este Tribunal exhorto del Juzgado de lo Contencioso-Administrativo núm. 1 de Almería, dimanante del procedimiento ordinario 46-2004, por el que se requería la remisión de las actuaciones practicadas en los recursos de inconstitucionalidad 1893-2002 y 1022-2004, promovidos por el Presidente del Gobierno contra el art. 30.2 de la Ley 15/2001, del Parlamento de Andalucía y el art. 4 de la Ley 10/2003, reguladora de los colegios profesionales de Andalucía, respectivamente. Por diligencia del Secretario de 12 de noviembre de 2004, se comunicó que con esa misma fecha, se procedía a remitir al Juzgado testimonio de todos los escritos y resoluciones dictadas en los recursos de inconstitucionalidad antes citados.</w:t>
      </w:r>
    </w:p>
    <w:p w:rsidR="0026452D" w:rsidRDefault="0026452D" w:rsidP="0026452D">
      <w:pPr>
        <w:pStyle w:val="TextoNormal"/>
      </w:pPr>
    </w:p>
    <w:p w:rsidR="0026452D" w:rsidRDefault="0026452D" w:rsidP="0026452D">
      <w:pPr>
        <w:pStyle w:val="TextoNormal"/>
      </w:pPr>
      <w:r w:rsidRPr="0026452D">
        <w:rPr>
          <w:rStyle w:val="NumeroAFNegritaCaracter"/>
        </w:rPr>
        <w:t>10</w:t>
      </w:r>
      <w:r>
        <w:t>. Con fecha 11 de junio de 2007, tuvo entrada en este Tribunal exhorto del Juzgado de lo Contencioso-Administrativo núm. 5 de Sevilla, dimanante del procedimiento ordinario 858-2006, por el que se requería la remisión de las actuaciones practicadas en los recursos de inconstitucionalidad 1893-2002 y 1022-2004, promovidos por el Presidente del Gobierno contra el art. 30.2 de la Ley 15/2001, del Parlamento de Andalucía y el art. 4 de la Ley 10/2003, reguladora de los colegios profesionales de Andalucía. Por diligencia del Secretario de 11 de junio de 2007se remitió testimonio de las actuaciones practicadas en los recursos de inconstitucionalidad antes citados.</w:t>
      </w:r>
    </w:p>
    <w:p w:rsidR="0026452D" w:rsidRDefault="0026452D" w:rsidP="0026452D">
      <w:pPr>
        <w:pStyle w:val="TextoNormal"/>
      </w:pPr>
    </w:p>
    <w:p w:rsidR="0026452D" w:rsidRDefault="0026452D" w:rsidP="0026452D">
      <w:pPr>
        <w:pStyle w:val="TextoNormal"/>
      </w:pPr>
      <w:r w:rsidRPr="0026452D">
        <w:rPr>
          <w:rStyle w:val="NumeroAFNegritaCaracter"/>
        </w:rPr>
        <w:t>11</w:t>
      </w:r>
      <w:r>
        <w:t>. Con fecha 11 de junio de 2007, tuvo entrada en este Tribunal exhorto del Juzgado de lo Contencioso-Administrativo núm. 5 de Sevilla, dimanante del procedimiento ordinario 861-2006, por el que se requería la remisión de las actuaciones practicadas en los recursos de inconstitucionalidad 1893-2002 y 1022-2004, promovidos por el Presidente del Gobierno contra el art. 30.2 de la Ley 15/2001, del Parlamento de Andalucía y el art. 4 de la Ley 10/2003, reguladora de los colegios profesionales de Andalucía. Por diligencia del Secretario de 11 de julio de 2007 se remitió testimonio de las actuaciones practicadas en los recursos de inconstitucionalidad antes citados.</w:t>
      </w:r>
    </w:p>
    <w:p w:rsidR="0026452D" w:rsidRDefault="0026452D" w:rsidP="0026452D">
      <w:pPr>
        <w:pStyle w:val="TextoNormal"/>
      </w:pPr>
    </w:p>
    <w:p w:rsidR="0026452D" w:rsidRDefault="0026452D" w:rsidP="0026452D">
      <w:pPr>
        <w:pStyle w:val="TextoNormal"/>
      </w:pPr>
      <w:r w:rsidRPr="0026452D">
        <w:rPr>
          <w:rStyle w:val="NumeroAFNegritaCaracter"/>
        </w:rPr>
        <w:t>12</w:t>
      </w:r>
      <w:r>
        <w:t xml:space="preserve">. Con fecha 4 de julio de 2008, tuvo entrada en este Tribunal exhorto del Juzgado de lo Contencioso-Administrativo núm. 1 de Sevilla, dimanante del procedimiento ordinario 837-2006, por el que se requería la remisión de las actuaciones practicadas en los recursos de inconstitucionalidad 1893-2002 y 1022-2004, promovidos por el Presidente del Gobierno </w:t>
      </w:r>
      <w:r>
        <w:lastRenderedPageBreak/>
        <w:t>contra el art. 30.2 de la Ley 15/2001, del Parlamento de Andalucía y el art. 4 de la Ley 10/2003, reguladora de los colegios profesionales de Andalucía. Por diligencia del Secretario de 7 de julio de 2007 se remitió testimonio de los escritos presentados por el Abogado del Estado y resoluciones dictadas en los recursos de inconstitucionalidad antes citados.</w:t>
      </w:r>
    </w:p>
    <w:p w:rsidR="0026452D" w:rsidRDefault="0026452D" w:rsidP="0026452D">
      <w:pPr>
        <w:pStyle w:val="TextoNormal"/>
      </w:pPr>
    </w:p>
    <w:p w:rsidR="0026452D" w:rsidRDefault="0026452D" w:rsidP="0026452D">
      <w:pPr>
        <w:pStyle w:val="TextoNormal"/>
      </w:pPr>
      <w:r w:rsidRPr="0026452D">
        <w:rPr>
          <w:rStyle w:val="NumeroAFNegritaCaracter"/>
        </w:rPr>
        <w:t>13</w:t>
      </w:r>
      <w:r>
        <w:t>. Con fecha 22 de octubre de 2008, tuvo entrada en el Registro del Tribunal Constitucional oficio del Secretario de la Sección Cuarta de la Sala Tercera del Tribunal Supremo, dimanante del recurso de casación 5463-2002, por el que se remite acuerdo de 13 de octubre de ese mismo año solicitando la remisión, una vez que el Pleno del Tribunal Constitucional haya dictado Sentencia en los recursos de inconstitucionalidad 1893-2002 y 1022-2004, de los testimonios de las sentencias que en ellos recaigan.</w:t>
      </w:r>
    </w:p>
    <w:p w:rsidR="0026452D" w:rsidRDefault="0026452D" w:rsidP="0026452D">
      <w:pPr>
        <w:pStyle w:val="TextoNormal"/>
      </w:pPr>
    </w:p>
    <w:p w:rsidR="0026452D" w:rsidRDefault="0026452D" w:rsidP="0026452D">
      <w:pPr>
        <w:pStyle w:val="TextoNormal"/>
      </w:pPr>
      <w:r w:rsidRPr="0026452D">
        <w:rPr>
          <w:rStyle w:val="NumeroAFNegritaCaracter"/>
        </w:rPr>
        <w:t>14</w:t>
      </w:r>
      <w:r>
        <w:t>. Con fecha 18 de septiembre de 2009, tuvo entrada en este Tribunal exhorto del Juzgado de lo Contencioso-Administrativo núm. 1 de Sevilla, dimanante del procedimiento ordinario 1242-2006, por el que se requería la remisión de las actuaciones practicadas en los recursos de inconstitucionalidad 1893-2002 y 1022-2004, promovidos por el Presidente del Gobierno contra el art. 30.2 de la Ley 15/2001, del Parlamento de Andalucía y el art. 4 de la Ley 10/2003, reguladora de los colegios profesionales de Andalucía. Por diligencia del Secretario de 22 de septiembre 2009, se remitió testimonio de los recursos de inconstitucionalidad antes citados.</w:t>
      </w:r>
    </w:p>
    <w:p w:rsidR="0026452D" w:rsidRDefault="0026452D" w:rsidP="0026452D">
      <w:pPr>
        <w:pStyle w:val="TextoNormal"/>
      </w:pPr>
    </w:p>
    <w:p w:rsidR="0026452D" w:rsidRDefault="0026452D" w:rsidP="0026452D">
      <w:pPr>
        <w:pStyle w:val="TextoNormal"/>
      </w:pPr>
      <w:r w:rsidRPr="0026452D">
        <w:rPr>
          <w:rStyle w:val="NumeroAFNegritaCaracter"/>
        </w:rPr>
        <w:t>15</w:t>
      </w:r>
      <w:r>
        <w:t>. Por providencia de 15 de enero de 2013 se señaló para deliberación y votación de la presente Sentencia el día 17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interpone por el Presidente del Gobierno contra el inciso del art. 30.2 de la Ley 15/2001, del Parlamento de Andalucía, de 26 de diciembre, de medidas fiscales, presupuestarias, de control y administrativas, cuyo tenor es el siguiente: “o para la realización de actividades propias de su profesión por cuenta de aquellas”. El Abogado del Estado considera que este inciso, en cuanto que exime de la colegiación forzosa a los empleados públicos que realizan actividades propias de una profesión colegiada por cuenta de las Administraciones públicas andaluzas, cuando sus destinatarios son ciudadanos o terceros, vulnera la competencia estatal para determinar los supuestos de colegiación obligatoria y sus excepciones, y la regulación estatal dictada en esta materia.</w:t>
      </w:r>
    </w:p>
    <w:p w:rsidR="0026452D" w:rsidRDefault="0026452D" w:rsidP="0026452D">
      <w:pPr>
        <w:pStyle w:val="TextoNormal"/>
      </w:pPr>
    </w:p>
    <w:p w:rsidR="0026452D" w:rsidRDefault="0026452D" w:rsidP="0026452D">
      <w:pPr>
        <w:pStyle w:val="TextoNormal"/>
      </w:pPr>
      <w:r>
        <w:t>Tanto la representación del Parlamento andaluz como la de la Junta de Andalucía niegan que el inciso del precepto mencionado incurra en la infracción constitucional que se le imputa, pues rechazan la competencia del Estado para exigir la colegiación obligatoria a los empleados públicos de las Administraciones andaluzas cuando realizan sus actividades profesionales por cuenta de las Administraciones públicas andaluzas y, en todo caso, entienden que la exención, por la legislación estatal, de la exigencia de colegiación a los funcionarios, no discrimina, a estos efectos, entre quiénes son los destinatarios últimos de los servicios profesionales que realizan los empleados públicos, pues lo definitivo es que actúan dentro del ámbito de la función pública y bajo el régimen de organización, control y disciplina administrativa.</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abordar el examen de fondo de la impugnación planteada, procede resolver las cuestiones de orden procesal que condicionan su posible alcance, comenzando por considerar la incidencia de las modificaciones normativas que hayan podido afectar al inciso impugnado pues, tratándose de un proceso en el que se ventilan exclusivamente cuestiones de carácter competencial, la apreciación de la pérdida de objeto deberá hacerse en cada caso, teniendo en cuenta si pervive o no la controversia competencial [SSTC 133/2012, de 19 de junio, FJ 2; y 148/2012, de 5 de julio, FJ 2 b)].</w:t>
      </w:r>
    </w:p>
    <w:p w:rsidR="0026452D" w:rsidRDefault="0026452D" w:rsidP="0026452D">
      <w:pPr>
        <w:pStyle w:val="TextoNormal"/>
      </w:pPr>
    </w:p>
    <w:p w:rsidR="0026452D" w:rsidRDefault="0026452D" w:rsidP="0026452D">
      <w:pPr>
        <w:pStyle w:val="TextoNormal"/>
      </w:pPr>
      <w:r>
        <w:t>Con posterioridad a la interposición de este recurso, el Parlamento de Andalucía aprobó la Ley 10/2003, de 6 de noviembre, de colegios profesionales, cuyo art. 4 reproduce la exención del requisito de colegiación para el personal funcionario, estatutario o laboral, al servicio de las Administraciones públicas de Andalucía. Este precepto fue también impugnado por el Gobierno del Estado en el recurso de inconstitucionalidad que se tramita con el núm. 1022-2004 y que se encuentra pendiente de resolución por este Tribunal. Pero lo cierto es que la Ley andaluza 10/2003, de 6 de noviembre, de colegios profesionales, no ha derogado ni expresa ni implícitamente el art. 30.2 de la Ley 15/2001, pues su disposición derogatoria única se refiere a las disposiciones de igual o inferior rango que se opongan a lo en ella establecido, pero no a aquéllas cuyos preceptos han resultado reproducidos. Así pues, el inciso impugnado en este proceso mantiene formalmente su vigencia y, es más, la disputa competencial no ha desaparecido como consecuencia de la aprobación de la Ley 10/2003, de 6 de noviembre, motivo por el cual, debemos descartar la pérdida de objeto.</w:t>
      </w:r>
    </w:p>
    <w:p w:rsidR="0026452D" w:rsidRDefault="0026452D" w:rsidP="0026452D">
      <w:pPr>
        <w:pStyle w:val="TextoNormal"/>
      </w:pPr>
    </w:p>
    <w:p w:rsidR="0026452D" w:rsidRDefault="0026452D" w:rsidP="0026452D">
      <w:pPr>
        <w:pStyle w:val="TextoNormal"/>
      </w:pPr>
      <w:r w:rsidRPr="0026452D">
        <w:rPr>
          <w:rStyle w:val="NumeroAFNegritaCaracter"/>
        </w:rPr>
        <w:t>3</w:t>
      </w:r>
      <w:r>
        <w:t>. Debemos, con carácter previo, precisar también cuál debe ser el parámetro de control del presente recurso, pues el control de las normas que incurren en un posible exceso competencial debe hacerse de acuerdo con las normas del bloque de la constitucionalidad vigente en el momento de dictar Sentencia (por todas STC 5/2012, de 17 de enero, FJ 3).</w:t>
      </w:r>
    </w:p>
    <w:p w:rsidR="0026452D" w:rsidRDefault="0026452D" w:rsidP="0026452D">
      <w:pPr>
        <w:pStyle w:val="TextoNormal"/>
      </w:pPr>
    </w:p>
    <w:p w:rsidR="0026452D" w:rsidRDefault="0026452D" w:rsidP="0026452D">
      <w:pPr>
        <w:pStyle w:val="TextoNormal"/>
      </w:pPr>
      <w:r>
        <w:t>El Estatuto de Autonomía de Andalucía ha sido modificado con posterioridad a la interposición de este recurso, por la Ley Orgánica 2/2007, de 19 de marzo. Por otra parte, la Ley estatal 2/1974, de 13 de febrero, de colegios profesionales y, en concreto, su art. 1.3, que invoca el Abogado del Estado como norma básica de contraste, ha sido modificado por el art. 5 de la Ley 25/2009, de 22 de diciembre, de modificación de diversas leyes para su adaptación a la Ley sobre el libre acceso a las actividades de servicios y su ejercicio.</w:t>
      </w:r>
    </w:p>
    <w:p w:rsidR="0026452D" w:rsidRDefault="0026452D" w:rsidP="0026452D">
      <w:pPr>
        <w:pStyle w:val="TextoNormal"/>
      </w:pPr>
    </w:p>
    <w:p w:rsidR="0026452D" w:rsidRDefault="0026452D" w:rsidP="0026452D">
      <w:pPr>
        <w:pStyle w:val="TextoNormal"/>
      </w:pPr>
      <w:r>
        <w:t xml:space="preserve">En su redacción vigente, el art. 1.3 establece que “son fines esenciales de estas Corporaciones la ordenación del ejercicio de las profesiones, la representación institucional exclusiva de las mismas cuando estén sujetas a colegiación obligatoria, la defensa de los intereses profesionales de los colegiados y la protección de los intereses de los consumidores y usuarios de los servicios de sus colegiados, todo ello sin perjuicio de la competencia de la Administración Pública por razón de la relación funcionarial”. También ha sido modificado el art. 3.2 de la ley estatal, que contiene la regla general de la que el art. 1.3 de la Ley andaluza 10/2003 constituiría la excepción. El art. 3.2 de la Ley estatal, en la redacción que le da la Ley 25/2009, de 22 de diciembre, establece que “será requisito indispensable para el ejercicio de las profesiones hallarse incorporado al Colegio Profesional correspondiente cuando así lo establezca una ley estatal”. Conforme a la disposición final primera de la Ley 25/2009, de 22 de diciembre, la modificación de la Ley de colegios profesionales se realiza al amparo del artículo 149.1.18 y 30 de la Constitución, que atribuyen al Estado, respectivamente, la </w:t>
      </w:r>
      <w:r>
        <w:lastRenderedPageBreak/>
        <w:t>competencia para dictar las bases del régimen jurídico de las Administraciones públicas y para la regulación de las condiciones de obtención, expedición y homologación de títulos profesionales. Por otra parte, el art. 5.5 de la Ley estatal 25/2009, de 22 de diciembre, junto con la disposición transitoria cuarta y la disposición final primera, ha sido objeto de impugnación en el recurso de inconstitucionalidad 6851-2010, sobre el que aún no ha recaído Sentencia.</w:t>
      </w:r>
    </w:p>
    <w:p w:rsidR="0026452D" w:rsidRDefault="0026452D" w:rsidP="0026452D">
      <w:pPr>
        <w:pStyle w:val="TextoNormal"/>
      </w:pPr>
    </w:p>
    <w:p w:rsidR="0026452D" w:rsidRDefault="0026452D" w:rsidP="0026452D">
      <w:pPr>
        <w:pStyle w:val="TextoNormal"/>
      </w:pPr>
      <w:r>
        <w:t>En conclusión, es la Ley 2/1974, de colegios profesionales, en la redacción dada por la Ley 25/2009, de 22 de diciembre, la que habremos tener en cuenta para resolver la controversia competencial (STC 148/2012, FJ 2)</w:t>
      </w:r>
    </w:p>
    <w:p w:rsidR="0026452D" w:rsidRDefault="0026452D" w:rsidP="0026452D">
      <w:pPr>
        <w:pStyle w:val="TextoNormal"/>
      </w:pPr>
    </w:p>
    <w:p w:rsidR="0026452D" w:rsidRDefault="0026452D" w:rsidP="0026452D">
      <w:pPr>
        <w:pStyle w:val="TextoNormal"/>
      </w:pPr>
      <w:r w:rsidRPr="0026452D">
        <w:rPr>
          <w:rStyle w:val="NumeroAFNegritaCaracter"/>
        </w:rPr>
        <w:t>4</w:t>
      </w:r>
      <w:r>
        <w:t>. Debemos, finalmente, dar respuesta a la cuestión alegada por la Junta de Andalucía relativa a la carencia de objeto del recurso. El inciso impugnado forma parte del art. 30.2 de la Ley autonómica, que reza lo siguiente: “No obstante lo previsto en el apartado anterior, el requisito de la colegiación no será exigible al personal funcionario, estatutario, o laboral de las Administraciones públicas de Andalucía para el ejercicio de sus funciones o para la realización de actividades propias de su profesión por cuenta de aquellas. En todo caso precisarán de la colegiación, si así fuese exigido, para el ejercicio privado de su profesión.”</w:t>
      </w:r>
    </w:p>
    <w:p w:rsidR="0026452D" w:rsidRDefault="0026452D" w:rsidP="0026452D">
      <w:pPr>
        <w:pStyle w:val="TextoNormal"/>
      </w:pPr>
    </w:p>
    <w:p w:rsidR="0026452D" w:rsidRDefault="0026452D" w:rsidP="0026452D">
      <w:pPr>
        <w:pStyle w:val="TextoNormal"/>
      </w:pPr>
      <w:r>
        <w:t>El Estado impugna sólo el inciso “o para la realización de las actividades propias de su profesión por cuenta de aquellas”, por interpretar que el precepto contiene dos excepciones al principio de colegiación obligatoria del personal al servicio de la Administraciones públicas. Una primera, referida al caso en que se ejerzan las funciones propias del cuerpo, puesto o cargo y que sería conforme con el art. 1.3 de la Ley 2/1974. La segunda referida a las actividades profesionales, como las sanitarias, que se prestan por personal de las Administraciones a los ciudadanos, siendo esta última la que vulneraría la regulación estatal.</w:t>
      </w:r>
    </w:p>
    <w:p w:rsidR="0026452D" w:rsidRDefault="0026452D" w:rsidP="0026452D">
      <w:pPr>
        <w:pStyle w:val="TextoNormal"/>
      </w:pPr>
    </w:p>
    <w:p w:rsidR="0026452D" w:rsidRDefault="0026452D" w:rsidP="0026452D">
      <w:pPr>
        <w:pStyle w:val="TextoNormal"/>
      </w:pPr>
      <w:r>
        <w:t>Por el contrario, la Junta de Andalucía interpreta el precepto de forma distinta, pues, a la vista de su tramitación parlamentaria, considera que sólo existe una excepción para el personal sujeto al Derecho administrativo y para el personal laboral, aunque formulada con distintos términos o expresiones. Así, la exención de la colegiación afectaría, de un lado, a los funcionarios y personal estatutario para el ejercicio de sus funciones y, de otro, a los contratados laborales para la realización de actividades profesionales por cuenta de la Administración. Por ello, si como entiende el Abogado del Estado, el art. 1.3 exime de la colegiación para el ejercicio de las funciones propias del cuerpo, como quiera que las actividades profesionales que tienen por destinatarios los usuarios del servicio también forman parte de las funciones atribuidas a los funcionarios y personal estatutario, el inciso impugnado sería conforme con la legislación básica estatal por aplicación de los mismos argumentos que han servido al Abogado del Estado para razonar la inconstitucionalidad. En consecuencia, el proceso carecería de objeto.</w:t>
      </w:r>
    </w:p>
    <w:p w:rsidR="0026452D" w:rsidRDefault="0026452D" w:rsidP="0026452D">
      <w:pPr>
        <w:pStyle w:val="TextoNormal"/>
      </w:pPr>
    </w:p>
    <w:p w:rsidR="0026452D" w:rsidRDefault="0026452D" w:rsidP="0026452D">
      <w:pPr>
        <w:pStyle w:val="TextoNormal"/>
      </w:pPr>
      <w:r>
        <w:t xml:space="preserve">Debemos, sin embargo, rechazar la alegación de la Junta de Andalucía. Con independencia de la interpretación que se haga del artículo 30.2 de la Ley andaluza, según su argumentación lo que está en discusión es la competencia de la Comunidad Autónoma de Andalucía para eximir de la colegiación a los funcionarios, personal estatutario y laboral que realizan su actividad profesional al servicio exclusivo de las Administraciones autonómicas, cuando dicha actividad va destinada a terceros, usuarios del servicio público. Es ésta la competencia </w:t>
      </w:r>
      <w:r>
        <w:lastRenderedPageBreak/>
        <w:t>que la Comunidad Autónoma afirma tener, y que el Estado rechaza. Existe, pues, un debate competencial.</w:t>
      </w:r>
    </w:p>
    <w:p w:rsidR="0026452D" w:rsidRDefault="0026452D" w:rsidP="0026452D">
      <w:pPr>
        <w:pStyle w:val="TextoNormal"/>
      </w:pPr>
    </w:p>
    <w:p w:rsidR="0026452D" w:rsidRDefault="0026452D" w:rsidP="0026452D">
      <w:pPr>
        <w:pStyle w:val="TextoNormal"/>
      </w:pPr>
      <w:r w:rsidRPr="0026452D">
        <w:rPr>
          <w:rStyle w:val="NumeroAFNegritaCaracter"/>
        </w:rPr>
        <w:t>5</w:t>
      </w:r>
      <w:r>
        <w:t>. Entrando ya en el fondo de la controversia planteada, tenemos que determinar, en primer lugar, las competencias que asisten a las partes a la vista del sentido o finalidad de los varios títulos competenciales y estatutarios implicados y el carácter, sentido y finalidad de las disposiciones traídas al conflicto. Es decir, el contenido del precepto controvertido (STC 153/1989, de 5 de octubre, FJ 5).</w:t>
      </w:r>
    </w:p>
    <w:p w:rsidR="0026452D" w:rsidRDefault="0026452D" w:rsidP="0026452D">
      <w:pPr>
        <w:pStyle w:val="TextoNormal"/>
      </w:pPr>
    </w:p>
    <w:p w:rsidR="0026452D" w:rsidRDefault="0026452D" w:rsidP="0026452D">
      <w:pPr>
        <w:pStyle w:val="TextoNormal"/>
      </w:pPr>
      <w:r>
        <w:t>El art. 30 de la Ley del Parlamento de Andalucía 15/2001, de 26 de diciembre, al que pertenece el inciso impugnado, establece la regla general de la colegiación como requisito necesario para el ejercicio de las profesiones colegiadas, previendo, a continuación, la excepción de la colegiación forzosa en los términos expuestos en el fundamento jurídico anterior. El precepto cuestionado contiene, por tanto, la excepción a una regla general que sirve como elemento definitorio de la institución colegial a la que se pertenece en razón de la actividad profesional que se realiza. Por ello debe quedar encuadrado en el título competencial al que responde dicha normativa, es decir, el de colegios profesionales. Así lo ha considerado el propio legislador autonómico, pues el inciso impugnado ha sido reproducido, de nuevo, en la Ley andaluza 10/2003, de colegios profesionales, cuya exposición de motivos hace referencia únicamente a esta materia y al correlativo título competencial.</w:t>
      </w:r>
    </w:p>
    <w:p w:rsidR="0026452D" w:rsidRDefault="0026452D" w:rsidP="0026452D">
      <w:pPr>
        <w:pStyle w:val="TextoNormal"/>
      </w:pPr>
    </w:p>
    <w:p w:rsidR="0026452D" w:rsidRDefault="0026452D" w:rsidP="0026452D">
      <w:pPr>
        <w:pStyle w:val="TextoNormal"/>
      </w:pPr>
      <w:r>
        <w:t>Por su parte, el título competencial sobre función pública debe considerarse meramente incidental, no sólo porque, como es jurisprudencia de este Tribunal, debe primar la regla competencial específica sobre la más genérica (SSTC 87/1987, de 2 de junio, FJ 2; 152/2003, de 17 de julio FJ 7, y 212/2005, de 21 de julio, FJ 3, entre otras) —si bien a este criterio no se le puede atribuir un valor absoluto (SSTC 197/1996, de 28 de noviembre, FJ 4; y 14/2004, de 13 de febrero, FJ 5)—, sino también porque el título de función pública solo sería de aplicación preferente en el caso de los colegios profesionales integrados exclusivamente por funcionarios públicos o por quienes ejercen funciones públicas (STC 87/1989, de 11 de mayo, FJ 3), lo que no ocurre este caso.</w:t>
      </w:r>
    </w:p>
    <w:p w:rsidR="0026452D" w:rsidRDefault="0026452D" w:rsidP="0026452D">
      <w:pPr>
        <w:pStyle w:val="TextoNormal"/>
      </w:pPr>
    </w:p>
    <w:p w:rsidR="0026452D" w:rsidRDefault="0026452D" w:rsidP="0026452D">
      <w:pPr>
        <w:pStyle w:val="TextoNormal"/>
      </w:pPr>
      <w:r>
        <w:t xml:space="preserve">La Comunidad Autónoma de Andalucía tiene competencia exclusiva, “en lo no afectado por el artículo 149.1.18 CE”, en materia de colegios profesionales y ejercicio de las profesiones tituladas de acuerdo con el artículo 36 de la Constitución y con la legislación del Estado [art. 79.3 b) del Estatuto de Autonomía de Andalucía]. Por su parte, la competencia del Estado para regular los colegios profesionales le viene dada por el art. 149.1.18 CE, que le permite fijar los principios y reglas básicas de este tipo de entidades corporativas. En este sentido, tenemos afirmado que el legislador, dentro de los límites constitucionales y la naturaleza y fines de los colegios profesionales, puede optar por una configuración u otra de este tipo de entidades, pues el art. 36 CE no predetermina la naturaleza jurídica de los colegios profesionales (STC 89/1989, de 11 de mayo, FJ 5). Pero también hemos señalado que la reserva de ley, y la referencia de este precepto constitucional a las peculiaridades de los colegios, los distinguen del resto de asociaciones y personas jurídicas de base asociativa (STC 23/1984, de 20 de febrero, FJ 4). Aun cuando los colegios profesionales se constituyen para defender primordialmente los intereses privados de sus miembros, tienen también una dimensión pública que les equipara a las Administraciones públicas de carácter territorial, aunque a los solos aspectos organizativos y competenciales en los que ésta se concreta y singulariza [SSTC 76/1983, de 5 de agosto, FJ 26; 20/1988, de 18 de febrero, FJ 4; y </w:t>
      </w:r>
      <w:r>
        <w:lastRenderedPageBreak/>
        <w:t>87/1989, de 11 de mayo, FJ 3 b)]. En definitiva, corresponde al Estado fijar las reglas básicas a que los colegios profesionales han de ajustar su organización y competencias, aunque con menor extensión e intensidad que cuando se refiere a las Administraciones públicas en sentido estricto (STC 31/2010, de 28 de junio, FJ 71).</w:t>
      </w:r>
    </w:p>
    <w:p w:rsidR="0026452D" w:rsidRDefault="0026452D" w:rsidP="0026452D">
      <w:pPr>
        <w:pStyle w:val="TextoNormal"/>
      </w:pPr>
    </w:p>
    <w:p w:rsidR="0026452D" w:rsidRDefault="0026452D" w:rsidP="0026452D">
      <w:pPr>
        <w:pStyle w:val="TextoNormal"/>
      </w:pPr>
      <w:r w:rsidRPr="0026452D">
        <w:rPr>
          <w:rStyle w:val="NumeroAFNegritaCaracter"/>
        </w:rPr>
        <w:t>6</w:t>
      </w:r>
      <w:r>
        <w:t>. Procede ahora contrastar el inciso impugnado con lo establecido en la Ley 2/1974, de 13 de febrero, de colegios profesionales, en la redacción que le da la Ley 25/2009, de 22 de diciembre, de modificación de diversas leyes para su adaptación a la Ley sobre el libre acceso a las actividades de servicios y su ejercicio.</w:t>
      </w:r>
    </w:p>
    <w:p w:rsidR="0026452D" w:rsidRDefault="0026452D" w:rsidP="0026452D">
      <w:pPr>
        <w:pStyle w:val="TextoNormal"/>
      </w:pPr>
    </w:p>
    <w:p w:rsidR="0026452D" w:rsidRDefault="0026452D" w:rsidP="0026452D">
      <w:pPr>
        <w:pStyle w:val="TextoNormal"/>
      </w:pPr>
      <w:r>
        <w:t>Coinciden el Abogado del Estado y la Letrada de la Junta de Andalucía, sin mayores razonamientos, en que el inciso del art. 1.3 de la ley estatal “sin perjuicio de la competencia de la Administración Pública por razón de la relación funcionarial”, contiene una excepción a la regla de la colegiación obligatoria para el ejercicio de las profesiones colegiadas, pero discrepan sobre su alcance. Como se expuso en los antecedentes, la representación del Estado entiende que la excepción no ampara el ejercicio profesional de los funcionarios cuando sus destinatarios son terceros usuarios de los servicios públicos, mientras que la Junta de Andalucía considera que el art. 3.2 exime en todo caso a los funcionarios del deber de colegiarse cuando actúan exclusivamente por cuenta de la Administración.</w:t>
      </w:r>
    </w:p>
    <w:p w:rsidR="0026452D" w:rsidRDefault="0026452D" w:rsidP="0026452D">
      <w:pPr>
        <w:pStyle w:val="TextoNormal"/>
      </w:pPr>
    </w:p>
    <w:p w:rsidR="0026452D" w:rsidRDefault="0026452D" w:rsidP="0026452D">
      <w:pPr>
        <w:pStyle w:val="TextoNormal"/>
      </w:pPr>
      <w:r>
        <w:t>El art. 1.3 de la Ley 2/1974, de 13 de febrero, de colegios profesionales, no contiene una excepción a la regla de la colegiación forzosa para los profesionales que ejercen su actividad al servicio de la Administración pública, cuando ésta resulte exigible, pues ello no se desprende del tenor literal del precepto, ni obedece al concepto de colegio profesional que acogió la Ley 2/1974, y hoy se mantiene para los colegios profesionales de colegiación obligatoria.</w:t>
      </w:r>
    </w:p>
    <w:p w:rsidR="0026452D" w:rsidRDefault="0026452D" w:rsidP="0026452D">
      <w:pPr>
        <w:pStyle w:val="TextoNormal"/>
      </w:pPr>
    </w:p>
    <w:p w:rsidR="0026452D" w:rsidRDefault="0026452D" w:rsidP="0026452D">
      <w:pPr>
        <w:pStyle w:val="TextoNormal"/>
      </w:pPr>
      <w:r>
        <w:t>La institución colegial está basada en la encomienda de funciones públicas sobre la profesión a los profesionales, pues, tal y como señala el art. 1.3, son sus fines la ordenación del ejercicio de las profesiones, su representación institucional exclusiva cuando estén sujetas a colegiación obligatoria, la defensa de los intereses profesionales de los colegiados y la protección de los intereses de los consumidores y usuarios de los servicios de sus colegiados. La razón de atribuir a estas entidades, y no a la Administración, las funciones públicas sobre la profesión, de las que constituyen el principal exponente la deontología y ética profesional y, con ello, el control de las desviaciones en la práctica profesional, estriba en la pericia y experiencia de los profesionales que constituyen su base corporativa. Por ello, al contrario de lo afirmado por las partes, la expresión “sin perjuicio de la competencia de la Administración pública por razón de la relación funcionarial”, no contiene una exclusión del régimen de colegiación obligatoria de los funcionarios públicos sino, al contrario, una cautela dirigida a garantizar que el ejercicio de las competencias colegiales de ordenación de la profesión que se atribuyen, en exclusiva, a los colegios profesionales y, por tanto, a los propios profesionales, no desplaza o impide el ejercicio de las competencias que, como empleadora, la Administración ostenta sin excepción sobre todo su personal, con independencia de que éste realice o no actividades propias de profesiones colegiadas. Una cautela especialmente necesaria en cuanto que la función de ordenación del ejercicio de la profesión que se atribuye a los colegios profesionales en el artículo 1.3, no se limita al “ejercicio libre” de la profesión, sino que se extiende “al ejercicio de la profesión” con independencia de que se realice por cuenta propia o ajena.</w:t>
      </w:r>
    </w:p>
    <w:p w:rsidR="0026452D" w:rsidRDefault="0026452D" w:rsidP="0026452D">
      <w:pPr>
        <w:pStyle w:val="TextoNormal"/>
      </w:pPr>
    </w:p>
    <w:p w:rsidR="0026452D" w:rsidRDefault="0026452D" w:rsidP="0026452D">
      <w:pPr>
        <w:pStyle w:val="TextoNormal"/>
      </w:pPr>
      <w:r>
        <w:t>No puede pasarse por alto que la mención al “ejercicio libre” de la profesión como objeto de la función ordenadora de los colegios que, inicialmente figuraba en el proyecto de ley de colegios profesionales, fuera eliminada durante la tramitación por entender que la función de los colegios profesionales era la ordenación deontológica y la reglamentación general de cualesquiera formas de ejercicio profesional, es decir, fuera en el ejercicio libre o en el prestado en régimen de dependencia administrativa, institucional o laboral.</w:t>
      </w:r>
    </w:p>
    <w:p w:rsidR="0026452D" w:rsidRDefault="0026452D" w:rsidP="0026452D">
      <w:pPr>
        <w:pStyle w:val="TextoNormal"/>
      </w:pPr>
    </w:p>
    <w:p w:rsidR="0026452D" w:rsidRDefault="0026452D" w:rsidP="0026452D">
      <w:pPr>
        <w:pStyle w:val="TextoNormal"/>
      </w:pPr>
      <w:r>
        <w:t>En definitiva, como el art. 1.3 de la Ley 2/1974, no exime a los empleados públicos de colegiarse cuando realizan las actividades propias de una profesión para cuyo ejercicio se exige la colegiación, la exención general del deber de colegiación de los funcionarios, personal estatutario y personal laboral al servicio de las Administraciones públicas de Andalucía “para la realización de actividades propias de su profesión por cuenta de aquellas” vulnera lo establecido en el art. 3.2 de la Ley 2/1974, de 13 de febrero, que exige la colegiación forzosa para el ejercicio de las profesiones que determine una ley del Estado.</w:t>
      </w:r>
    </w:p>
    <w:p w:rsidR="0026452D" w:rsidRDefault="0026452D" w:rsidP="0026452D">
      <w:pPr>
        <w:pStyle w:val="TextoNormal"/>
      </w:pPr>
    </w:p>
    <w:p w:rsidR="0026452D" w:rsidRDefault="0026452D" w:rsidP="0026452D">
      <w:pPr>
        <w:pStyle w:val="TextoNormal"/>
      </w:pPr>
      <w:r w:rsidRPr="0026452D">
        <w:rPr>
          <w:rStyle w:val="NumeroAFNegritaCaracter"/>
        </w:rPr>
        <w:t>7</w:t>
      </w:r>
      <w:r>
        <w:t>. Tratándose de un supuesto de inconstitucionalidad mediata o de contradicción de la norma autonómica impugnada con la legislación del Estado, la conclusión a la que lleguemos sobre la inconstitucionalidad del inciso impugnado, dependerá, en última, de que la norma de contraste no haya excedido las competencias que ostenta el Estado pues, en caso contrario, la contradicción afirmada entre la norma autonómica y la estatal no conduciría a la declaración de inconstitucionalidad de dicho inciso, de modo que si el Estado no tuviera competencia para imponer la colegiación forzosa para el ejercicio de determinadas profesiones y fijar las excepciones a dicha regla, el inciso impugnado respondería al ejercicio legítimo de la competencia autonómica en materia de colegios profesionales.</w:t>
      </w:r>
    </w:p>
    <w:p w:rsidR="0026452D" w:rsidRDefault="0026452D" w:rsidP="0026452D">
      <w:pPr>
        <w:pStyle w:val="TextoNormal"/>
      </w:pPr>
    </w:p>
    <w:p w:rsidR="0026452D" w:rsidRDefault="0026452D" w:rsidP="0026452D">
      <w:pPr>
        <w:pStyle w:val="TextoNormal"/>
      </w:pPr>
      <w:r>
        <w:t xml:space="preserve">Antes de la reforma operada por la Ley 25/2009, de 22 de diciembre, con la que se adaptan diversas leyes estatales a la Directiva 2006/123/CE, la Ley 2/1974, de 13 de febrero, consagraba un modelo único de colegio profesional caracterizado por la colegiación obligatoria, pues los profesionales estaban obligados a colegiarse para “el ejercicio de las profesiones colegiadas”. Tras su reforma, el legislador estatal ha configurado dos tipos de entidades corporativas, las voluntarias y las obligatorias. El requisito de la colegiación obligatoria constituye una barrera de entrada al ejercicio de la profesión y, por tanto, debe quedar limitado a aquellos casos en que se afecta, de manera grave y directa, a materias de especial interés público, como la protección de la salud y de la integridad física o de la seguridad personal o jurídica de las personas físicas, y la colegiación demuestre ser un instrumento eficiente de control del ejercicio profesional para la mejor defensa de los destinatarios de los servicios, tal y como se deduce de la disposición transitoria cuarta de esta misma norma. En definitiva, los colegios profesionales voluntarios son, a partir de la Ley 25/2009, de 22 de diciembre, el modelo común, correspondiendo al legislador estatal, conforme a lo establecido en el art. 3.2, determinar los casos en que la colegiación se exige para el ejercicio profesional y, en consecuencia, también las excepciones, pues éstas no hacen sino delimitar el alcance de la regla de la colegiación obligatoria, actuando como complemento necesario de la misma. La determinación de las profesiones para cuyo ejercicio la colegiación es obligatoria se remite a una ley estatal previendo su disposición transitoria cuarta que, en el plazo de doce meses desde la entrada en vigor de la ley, plazo superado con creces, el Gobierno remitirá a las Cortes el correspondiente proyecto de ley y que, en tanto no se apruebe la ley </w:t>
      </w:r>
      <w:r>
        <w:lastRenderedPageBreak/>
        <w:t>prevista, la colegiación será obligatoria en los colegios profesionales cuya ley de creación así lo haya establecido.</w:t>
      </w:r>
    </w:p>
    <w:p w:rsidR="0026452D" w:rsidRDefault="0026452D" w:rsidP="0026452D">
      <w:pPr>
        <w:pStyle w:val="TextoNormal"/>
      </w:pPr>
    </w:p>
    <w:p w:rsidR="0026452D" w:rsidRDefault="0026452D" w:rsidP="0026452D">
      <w:pPr>
        <w:pStyle w:val="TextoNormal"/>
      </w:pPr>
      <w:r>
        <w:t xml:space="preserve">Forma parte de la competencia estatal la definición, a partir del tipo de colegiación, de los modelos posibles de colegios profesionales pero, también, la determinación de las condiciones en que las Comunidades Autónomas pueden crear entidades corporativas de uno u otro tipo. En efecto, en la STC 330/1994, de 15 de diciembre, FJ 9, afirmamos, en primer lugar, que la competencia del Estado para imponer la adscripción voluntaria a un determinado colegio profesional, en aquel caso el Colegio de Mediadores de Seguros Titulados, le viene dada por el art. 149.1.18 CE: “Interesa recordar que la Constitución no impone en su art. 36 CE un único modelo de Colegio profesional. Bajo esta peculiar figura con rasgos asociativos y corporativos pueden englobarse por el legislador estatal, en ejercicio de su competencia para formalizar normas básicas de las Administraciones públicas </w:t>
      </w:r>
      <w:r w:rsidRPr="0026452D">
        <w:rPr>
          <w:i/>
        </w:rPr>
        <w:t>ex</w:t>
      </w:r>
      <w:r>
        <w:t xml:space="preserve"> art. 149.1.18 CE, situaciones bien distintas como son las que corresponden al ejercicio de funciones públicas en régimen de monopolio o de libre concurrencia en el mercado como profesión liberal, y con colegiación forzosa o libre. Del mismo modo, no tiene por qué erigirse, en los supuestos legales de colegiación voluntaria, en un requisito habilitante para el ejercicio profesional. Y es asimismo posible que los Colegios profesionales asuman la defensa de actividades que no configuren, en realidad, profesiones tituladas. Todos estos extremos pueden ser regulados libremente por el legislador estatal, desarrollando el art. 36, y con cobertura competencial en el art. 149.1.18, ambos de la Constitución.”</w:t>
      </w:r>
    </w:p>
    <w:p w:rsidR="0026452D" w:rsidRDefault="0026452D" w:rsidP="0026452D">
      <w:pPr>
        <w:pStyle w:val="TextoNormal"/>
      </w:pPr>
    </w:p>
    <w:p w:rsidR="0026452D" w:rsidRDefault="0026452D" w:rsidP="0026452D">
      <w:pPr>
        <w:pStyle w:val="TextoNormal"/>
      </w:pPr>
      <w:r>
        <w:t>También señalamos entonces que la determinación del régimen de colegiación tiene carácter básico, pues es una condición esencial de la conformación de cada Colegio profesional: “Ahora bien, dado que en la Ley se limita considerablemente la dimensión pública que tenían estos Colegios, sustituyendo sus facultades de autorización y control por la que realicen los organismos competentes de la Administración pública, paralelamente el nivel de lo básico debe ser reducido y, por tanto, de la ordenación dispuesta en el art. 31 sólo han de considerarse básicos la denominación, la ausencia de obligatoriedad en su adscripción y la existencia de un Consejo General”.</w:t>
      </w:r>
    </w:p>
    <w:p w:rsidR="0026452D" w:rsidRDefault="0026452D" w:rsidP="0026452D">
      <w:pPr>
        <w:pStyle w:val="TextoNormal"/>
      </w:pPr>
    </w:p>
    <w:p w:rsidR="0026452D" w:rsidRDefault="0026452D" w:rsidP="0026452D">
      <w:pPr>
        <w:pStyle w:val="TextoNormal"/>
      </w:pPr>
      <w:r>
        <w:t>Afirmamos, finalmente, que el carácter forzoso de la colegiación, como excepción a la libertad general de asociación, debe venir justificado por la relevancia del fin público que se persigue, así como por la dificultad de obtener ese fin sin recurrir a la adscripción forzosa al ente corporativo.</w:t>
      </w:r>
    </w:p>
    <w:p w:rsidR="0026452D" w:rsidRDefault="0026452D" w:rsidP="0026452D">
      <w:pPr>
        <w:pStyle w:val="TextoNormal"/>
      </w:pPr>
    </w:p>
    <w:p w:rsidR="0026452D" w:rsidRDefault="0026452D" w:rsidP="0026452D">
      <w:pPr>
        <w:pStyle w:val="TextoNormal"/>
      </w:pPr>
      <w:r>
        <w:t>No altera lo hasta aquí señalado el hecho de que, como señala el Parlamento de Andalucía en sus alegaciones, la Sentencia citada no afecte a una profesión titulada. A los efectos de determinar el alcance de las bases a las que se refiere el art. 149.1.18 CE, resulta indiferente que se trate de una profesión reservada a quienes están en posesión de una determinada titulación oficial o, por el contrario, a quienes están en posesión de una autorización administrativa para su ejercicio. Como quiera que la competencia estatal para fijar las bases, deriva, como se dijo anteriormente, de la configuración de los colegios profesionales como corporaciones de Derecho público y de la atribución a los mismos de funciones públicas de mayor o menor relevancia sobre la profesión, y dado que el art. 36 CE no hace reserva de la institución colegial a las profesiones tituladas, la competencia del Estado para definir el modelo de colegio profesional para las profesiones reguladas no tituladas, encuentra los mismos límites que cuando la ejerce para las profesiones tituladas (STC 330/1994, FJ 9).</w:t>
      </w:r>
    </w:p>
    <w:p w:rsidR="0026452D" w:rsidRDefault="0026452D" w:rsidP="0026452D">
      <w:pPr>
        <w:pStyle w:val="TextoNormal"/>
      </w:pPr>
    </w:p>
    <w:p w:rsidR="0026452D" w:rsidRDefault="0026452D" w:rsidP="0026452D">
      <w:pPr>
        <w:pStyle w:val="TextoNormal"/>
      </w:pPr>
      <w:r w:rsidRPr="0026452D">
        <w:rPr>
          <w:rStyle w:val="NumeroAFNegritaCaracter"/>
        </w:rPr>
        <w:t>8</w:t>
      </w:r>
      <w:r>
        <w:t>. Invoca también el Estado su competencia para regular la colegiación obligatoria y, en su caso, las excepciones a la misma, a partir del art. 149.1.1 CE que le permite establecer las condiciones básicas que garanticen la igualdad en el ejercicio de los derechos y en el cumplimiento de los deberes constitucionales.</w:t>
      </w:r>
    </w:p>
    <w:p w:rsidR="0026452D" w:rsidRDefault="0026452D" w:rsidP="0026452D">
      <w:pPr>
        <w:pStyle w:val="TextoNormal"/>
      </w:pPr>
    </w:p>
    <w:p w:rsidR="0026452D" w:rsidRDefault="0026452D" w:rsidP="0026452D">
      <w:pPr>
        <w:pStyle w:val="TextoNormal"/>
      </w:pPr>
      <w:r>
        <w:t xml:space="preserve">La competencia para la regulación básica de los colegios profesionales que el art. 149.1.18 CE atribuye al Estado no excluye </w:t>
      </w:r>
      <w:r w:rsidRPr="0026452D">
        <w:rPr>
          <w:i/>
        </w:rPr>
        <w:t>a priori</w:t>
      </w:r>
      <w:r>
        <w:t xml:space="preserve"> que una determinada prescripción dictada en ejercicio de su competencia para regular las bases del régimen jurídico de las Administraciones públicas, por afectar, además, al contenido primario de un derecho constitucional, pueda ser una condición básica que tienda a garantizar la igualdad en el ejercicio de derechos y deberes. Y ello, en el bien entendido que, tal y como tenemos afirmado, entre otras en las SSTC 150/2012, de 5 de julio, FJ 4 y 227/2012, de 29 de noviembre, FJ 5, el art. 149.1.1 CE no puede operar como una especie de título horizontal, capaz de introducirse en cualquier materia o sector del ordenamiento. También hemos señalado que, desde el aspecto de su delimitación negativa, la regulación </w:t>
      </w:r>
      <w:r w:rsidRPr="0026452D">
        <w:rPr>
          <w:i/>
        </w:rPr>
        <w:t>ex</w:t>
      </w:r>
      <w:r>
        <w:t xml:space="preserve"> art. 149.1.1 CE no puede suponer una normación completa y acabada del derecho y deber de que se trate pudiendo las Comunidades Autónomas, en la medida en que tengan competencia sobre la materia, aprobar normas atinentes al régimen jurídico de ese derecho. Además, y, en cuanto a su delimitación positiva, hemos exigido una directa relación entre las condiciones básicas y el contenido primario del derecho o posiciones jurídicas fundamentales y que resultan imprescindibles para garantizar la igualdad pues, si por condiciones básicas hubiera de entenderse cualquier condición material, obligado sería concluir que esa interpretación tan amplia habría de conducir a un solapamiento con otras competencias estatales explicitadas en el art. 149.1 CE o, lo que es peor, a una invasión de las competencias autonómicas (STC 184/2012, de 17 de octubre, FJ 3).</w:t>
      </w:r>
    </w:p>
    <w:p w:rsidR="0026452D" w:rsidRDefault="0026452D" w:rsidP="0026452D">
      <w:pPr>
        <w:pStyle w:val="TextoNormal"/>
      </w:pPr>
    </w:p>
    <w:p w:rsidR="0026452D" w:rsidRDefault="0026452D" w:rsidP="0026452D">
      <w:pPr>
        <w:pStyle w:val="TextoNormal"/>
      </w:pPr>
      <w:r>
        <w:t>El régimen de colegiación obligatoria, al igual que la creación de una profesión titulada, que vincule el ejercicio de determinadas atribuciones o competencias profesionales a la posesión de una titulación académica, constituye una limitación del derecho reconocido en el art. 35.1 CE (STC 194/1998, de 1 de octubre, FJ 5). Cumple, así, con el requisito que señalamos, entre otras, en nuestra STC 61/1997, de 20 de marzo, FJ 7 b), de la relación directa, inmediata y estrecha que debe guardar la regulación de una condición básica con el derecho o libertad constitucional afectado. Sin embargo, como quiera que el título competencial del art. 149.1.1 CE no garantiza un tratamiento homogéneo, ni impide un tratamiento divergente por el legislador autonómico de los derechos y libertades constitucionales, resulta necesario analizar si, además, la exigencia de colegiación forzosa y la determinación de las excepciones que puedan imponerse a la misma, puede considerarse una condición básica en los términos en que ésta ha sido definida por la doctrina constitucional.</w:t>
      </w:r>
    </w:p>
    <w:p w:rsidR="0026452D" w:rsidRDefault="0026452D" w:rsidP="0026452D">
      <w:pPr>
        <w:pStyle w:val="TextoNormal"/>
      </w:pPr>
    </w:p>
    <w:p w:rsidR="0026452D" w:rsidRDefault="0026452D" w:rsidP="0026452D">
      <w:pPr>
        <w:pStyle w:val="TextoNormal"/>
      </w:pPr>
      <w:r>
        <w:t>Este Tribunal ha señalado que pueden ser condiciones básicas en el ejercicio de un derecho constitucional, tanto las que afectan a su contenido primario y posiciones jurídicas fundamentales —facultades elementales y límites esenciales— (STC 154/1988, de 21 de julio, FJ 3), como aquellos criterios que guardan una relación necesaria e inmediata con aquéllas (STC 61/1997, FJ 8). Pero, además, deben ser imprescindibles o absolutamente necesarias para asegurar la igualdad en el ejercicio del derecho (STC 173/1998, de 23 de julio, FJ 9).</w:t>
      </w:r>
    </w:p>
    <w:p w:rsidR="0026452D" w:rsidRDefault="0026452D" w:rsidP="0026452D">
      <w:pPr>
        <w:pStyle w:val="TextoNormal"/>
      </w:pPr>
    </w:p>
    <w:p w:rsidR="0026452D" w:rsidRDefault="0026452D" w:rsidP="0026452D">
      <w:pPr>
        <w:pStyle w:val="TextoNormal"/>
      </w:pPr>
      <w:r>
        <w:lastRenderedPageBreak/>
        <w:t>La colegiación obligatoria no es una exigencia del art. 36 CE, tal y como pusimos de manifiesto en nuestra STC 89/1989, FJ 8 sino una decisión del legislador al que este precepto remite. Pero en la medida en que éste decide imponerla para el ejercicio de determinadas profesiones, se constituye en requisito inexcusable para el ejercicio profesional y, en consecuencia, un límite que afecta al contenido primario del derecho reconocido en el art. 35.1 CE. No estamos ante una condición accesoria, pues la obligación de colegiación es una de las que incide de forma más directa y profunda en este derecho constitucionalmente reconocido. Y es, además, un límite sustancial, que determina la excepción, amparada en el art. 36 CE, del derecho a la libertad de asociación para aquellos profesionales que, para poder hacer efectivo el derecho a la libertad de elección y ejercicio profesional, se ven obligados a colegiarse y, por tanto, a formar parte de una entidad corporativa asumiendo los derechos y deberes que se imponen a su miembros y a no abandonarla en tanto en cuanto sigan ejerciendo la profesión.</w:t>
      </w:r>
    </w:p>
    <w:p w:rsidR="0026452D" w:rsidRDefault="0026452D" w:rsidP="0026452D">
      <w:pPr>
        <w:pStyle w:val="TextoNormal"/>
      </w:pPr>
    </w:p>
    <w:p w:rsidR="0026452D" w:rsidRDefault="0026452D" w:rsidP="0026452D">
      <w:pPr>
        <w:pStyle w:val="TextoNormal"/>
      </w:pPr>
      <w:r>
        <w:t>Este Tribunal se ha pronunciado en diversas ocasiones sobre la relación existente entre colegiación forzosa y la libertad negativa de asociación para señalar que aunque la adscripción forzosa a un Colegio Profesional no vulnera el art. 22 CE, pues está amparada por el art. 36 CE que permite imponerla (SSTC 35/1993, de 8 de febrero; 74/1994, de 14 de marzo; 89/1989, de 11 de mayo; y 131/1989, de 17 de julio), supone una indudable limitación al derecho de asociación, tanto que requiere para su legitimidad constitucional una necesaria vinculación con la tutela de los intereses generales:“[e]n todo caso, la calificación de una profesión como colegiada requiere desde el punto de vista constitucional la existencia de intereses generales que puedan verse afectados, o dicho de otro modo, la necesaria consecución de fines públicos constitucionalmente relevantes. La legitimidad de esta decisión dependerá que el Colegio desempeñe, efectivamente, funciones de tutela del interés de quienes son destinatarios de los servicios prestados por los profesionales que lo integran, así como de la relación que exista entre la concreta actividad profesional con determinados derechos, valores y bienes constitucionalmente garantizados; extremos que podrán ser controlados por este Tribunal” (STC 89/1989, FJ 4).</w:t>
      </w:r>
    </w:p>
    <w:p w:rsidR="0026452D" w:rsidRDefault="0026452D" w:rsidP="0026452D">
      <w:pPr>
        <w:pStyle w:val="TextoNormal"/>
      </w:pPr>
    </w:p>
    <w:p w:rsidR="0026452D" w:rsidRDefault="0026452D" w:rsidP="0026452D">
      <w:pPr>
        <w:pStyle w:val="TextoNormal"/>
      </w:pPr>
      <w:r>
        <w:t>Este juicio debe realizarse caso por caso para cada profesión, ya que debe tener en cuenta los concretos intereses generales que pueden verse afectados y la obligación del legislador de optar, entre las posibilidades que le permite el art. 36 CE, por aquella que restrinja en la menor medida, tanto el derecho de asociación, como el de libre elección profesional y de oficio. La colegiación obligatoria para el ejercicio de determinadas profesiones constituye, en definitiva, un límite que se impone al contenido primario del derecho del art. 35.1 CE por ser un requisito necesario para su ejercicio; es también, como acabamos de señalar, un límite esencial en la medida en que su exigencia supone la excepción, para quienes eligen una determinada profesión, del derecho fundamental de asociación en su vertiente negativa y, finalmente, resulta imprescindible pues, no se garantizaría el ejercicio del derecho del art. 35.1 CE en condiciones de igualdad, si el resultado del juicio que necesariamente debe realizarse a la vista de los concretos intereses públicos que concurren en cada caso, en cada profesión, y la obligación de elegir la alternativa menos gravosa entre las permitidas en el art. 36 CE , fuera distinta dependiendo del lugar de establecimiento o de prestación.</w:t>
      </w:r>
    </w:p>
    <w:p w:rsidR="0026452D" w:rsidRDefault="0026452D" w:rsidP="0026452D">
      <w:pPr>
        <w:pStyle w:val="TextoNormal"/>
      </w:pPr>
    </w:p>
    <w:p w:rsidR="0026452D" w:rsidRDefault="0026452D" w:rsidP="0026452D">
      <w:pPr>
        <w:pStyle w:val="TextoNormal"/>
      </w:pPr>
      <w:r>
        <w:t xml:space="preserve">En conclusión, el inciso impugnado, al eximir de la colegiación obligatoria a los empleados públicos, cuando ejercen la profesión por cuenta de la Administración, establece una excepción no contemplada en la Ley estatal de colegios profesionales, tal y como se razonó </w:t>
      </w:r>
      <w:r>
        <w:lastRenderedPageBreak/>
        <w:t>en el fundamento jurídico 6 de esta resolución. Siendo competente el Estado para establecer la colegiación obligatoria, lo es también para establecer las excepciones que afectan a los empleados públicos a la vista de los concretos intereses generales que puedan verse afectados, motivo por el cual debemos declarar que el inciso impugnado ha vulnerado las competencias estatales, y, por tanto, su inconstitucionalidad.</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el recurso de inconstitucionalidad núm. 1893-2002 interpuesto por el Presidente del Gobierno contra el inciso del artículo 30.2 de la Ley del Parlamento de Andalucía 15/2001, de 26 de diciembre, de medidas fiscales, presupuestarias, de control y administrativas, “o para la realización de actividades propias de su profesión por cuenta de aquellas” y, en consecuencia, declarar su inconstitucionalidad y nulidad.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diecisiete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7" w:name="SENTENCIA_2013_4"/>
      <w:r>
        <w:lastRenderedPageBreak/>
        <w:t>SENTENCIA 4/2013, de 17 de enero de 2013</w:t>
      </w:r>
    </w:p>
    <w:bookmarkEnd w:id="7"/>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37, de 12 de febrero de 2013)</w:t>
      </w:r>
    </w:p>
    <w:p w:rsidR="0026452D" w:rsidRDefault="0026452D" w:rsidP="0026452D">
      <w:pPr>
        <w:pStyle w:val="TtuloBOE"/>
      </w:pPr>
    </w:p>
    <w:p w:rsidR="0026452D" w:rsidRDefault="0026452D" w:rsidP="0026452D">
      <w:pPr>
        <w:pStyle w:val="SntesisDescriptiva"/>
      </w:pPr>
      <w:r>
        <w:t>ECLI:ES:TC:2013:4</w:t>
      </w:r>
    </w:p>
    <w:p w:rsidR="0026452D" w:rsidRDefault="0026452D" w:rsidP="0026452D">
      <w:pPr>
        <w:pStyle w:val="SntesisDescriptiva"/>
      </w:pPr>
    </w:p>
    <w:p w:rsidR="0026452D" w:rsidRDefault="0026452D" w:rsidP="0026452D">
      <w:pPr>
        <w:pStyle w:val="SntesisDescriptiva"/>
      </w:pPr>
      <w:r>
        <w:t>Recurso de inconstitucionalidad 4573-2002. Interpuesto por el Presidente del Gobierno en relación con diversos preceptos de la Ley de la Asamblea de Extremadura 2/2002, de 25 de abril, de protección de la calidad del suministro eléctrico en Extremadura.</w:t>
      </w:r>
    </w:p>
    <w:p w:rsidR="0026452D" w:rsidRDefault="0026452D" w:rsidP="0026452D">
      <w:pPr>
        <w:pStyle w:val="SntesisDescriptiva"/>
      </w:pPr>
    </w:p>
    <w:p w:rsidR="0026452D" w:rsidRDefault="0026452D" w:rsidP="0026452D">
      <w:pPr>
        <w:pStyle w:val="SntesisAnaltica"/>
      </w:pPr>
      <w:r>
        <w:t>Competencias sobre ordenación general de la economía, régimen energético y defensa de los consumidores: nulidad del precepto legal que impone la vigencia de un mismo nivel de calidad de suministro de energía eléctrica en todo el territorio autonómico; interpretación del precepto relativo a la reducción de la factura por consumo de energía eléctrica resultante de la pérdida de la calidad del suministro.</w:t>
      </w:r>
    </w:p>
    <w:p w:rsidR="0026452D" w:rsidRDefault="0026452D" w:rsidP="0026452D">
      <w:pPr>
        <w:pStyle w:val="SntesisAnaltica"/>
      </w:pPr>
    </w:p>
    <w:p w:rsidR="0026452D" w:rsidRDefault="0026452D" w:rsidP="0026452D">
      <w:pPr>
        <w:pStyle w:val="Extracto"/>
      </w:pPr>
      <w:r>
        <w:t>1.</w:t>
      </w:r>
      <w:r>
        <w:tab/>
        <w:t>El precepto autonómico que establece un nivel mínimo de calidad único e igual para todas las zonas geográficas de la Comunidad Autonómica de Extremadura en el suministro de energía eléctrica, vulnera el orden constitucional de distribución de competencias siendo, por tanto, nulo e inconstitucional, por cuanto contradice la normativa básica estatal que, diferenciando por áreas y tipología de consumo, establece unas exigencias mínimas de calidad para todo el territorio nacional, si bien ponderadas en función de las correspondientes zonas geográficas, determinadas por la ubicación y densidad de la red de distribución y por la imposibilidad técnica y económica de mantener los mismos niveles de calidad del suministro con independencia de las zonas a las que ese suministro se dirige (STC 148/2011) [FJ 5].</w:t>
      </w:r>
    </w:p>
    <w:p w:rsidR="0026452D" w:rsidRDefault="0026452D" w:rsidP="0026452D">
      <w:pPr>
        <w:pStyle w:val="Extracto"/>
      </w:pPr>
    </w:p>
    <w:p w:rsidR="0026452D" w:rsidRDefault="0026452D" w:rsidP="0026452D">
      <w:pPr>
        <w:pStyle w:val="Extracto"/>
      </w:pPr>
      <w:r>
        <w:t>2.</w:t>
      </w:r>
      <w:r>
        <w:tab/>
        <w:t>El precepto que establece una reducción de un 20 por ciento de la facturación a abonar por los consumidores por variaciones de tensión o interrupciones de suministro continuadas y superiores a una hora, no vulnera el orden constitucional de competencias, si se entiende que los descuentos a los que da lugar no pueden superar en su importe el porcentaje máximo del 10 por ciento establecido por la norma estatal, al venir motivadas tales reducciones de acuerdo con los índices relativos al número y duración de interrupciones y la diferenciación por zonas establecidas en la normativa básica estatal [FJ 8].</w:t>
      </w:r>
    </w:p>
    <w:p w:rsidR="0026452D" w:rsidRDefault="0026452D" w:rsidP="0026452D">
      <w:pPr>
        <w:pStyle w:val="Extracto"/>
      </w:pPr>
    </w:p>
    <w:p w:rsidR="0026452D" w:rsidRDefault="0026452D" w:rsidP="0026452D">
      <w:pPr>
        <w:pStyle w:val="Extracto"/>
      </w:pPr>
      <w:r>
        <w:t>3.</w:t>
      </w:r>
      <w:r>
        <w:tab/>
        <w:t>En la labor hermenéutica de los preceptos legales resulta obligado apurar todas las posibilidades de interpretación de conformidad con la Constitución y apreciar la invalidez sólo de aquellos cuya incompatibilidad con la Norma suprema resulte indudable por ser imposible llevar a cabo dicha interpretación (SSTC 176/1999, 133/2006) [FJ 8].</w:t>
      </w:r>
    </w:p>
    <w:p w:rsidR="0026452D" w:rsidRDefault="0026452D" w:rsidP="0026452D">
      <w:pPr>
        <w:pStyle w:val="Extracto"/>
      </w:pPr>
    </w:p>
    <w:p w:rsidR="0026452D" w:rsidRDefault="0026452D" w:rsidP="0026452D">
      <w:pPr>
        <w:pStyle w:val="Extracto"/>
      </w:pPr>
      <w:r>
        <w:t>4.</w:t>
      </w:r>
      <w:r>
        <w:tab/>
        <w:t xml:space="preserve">Las funciones que cumplen las empresas comercializadoras de energía eléctrica determina que la comercialización se ejerza libremente en los términos de la Ley del Sector Eléctrico con la excepción de los comercializadores de último recurso, lo que no vulnera el régimen económico del sector eléctrico ya que el suministro </w:t>
      </w:r>
      <w:r>
        <w:lastRenderedPageBreak/>
        <w:t>de energía, responsabilidad de estas empresas elegidas libremente por los consumidores, se realiza mediante la libre contratación de la energía y el correspondiente contrato de acceso a las redes, tal y como establece la Ley del sector eléctrico, razón por la cual la retribución de los costes de la actividad de comercialización será la que libremente se pacte entre las partes [FJ 10].</w:t>
      </w:r>
    </w:p>
    <w:p w:rsidR="0026452D" w:rsidRDefault="0026452D" w:rsidP="0026452D">
      <w:pPr>
        <w:pStyle w:val="Extracto"/>
      </w:pPr>
    </w:p>
    <w:p w:rsidR="0026452D" w:rsidRDefault="0026452D" w:rsidP="0026452D">
      <w:pPr>
        <w:pStyle w:val="Extracto"/>
      </w:pPr>
      <w:r>
        <w:t>5.</w:t>
      </w:r>
      <w:r>
        <w:tab/>
        <w:t>Los comercializadores de último recurso de energía eléctrica son aquellos que tienen la obligación principal de atender las solicitudes de suministro de energía eléctrica de aquellos consumidores que tengan derecho a acogerse a la tarifa de último recurso que persigue el objetivo de garantizar un precio razonable, transparente y claramente comparable, a determinados clientes, finalidades éstas que no son puestas en cuestión por el precepto autonómico impugnado [FJ 10].</w:t>
      </w:r>
    </w:p>
    <w:p w:rsidR="0026452D" w:rsidRDefault="0026452D" w:rsidP="0026452D">
      <w:pPr>
        <w:pStyle w:val="Extracto"/>
      </w:pPr>
    </w:p>
    <w:p w:rsidR="0026452D" w:rsidRDefault="0026452D" w:rsidP="0026452D">
      <w:pPr>
        <w:pStyle w:val="Extracto"/>
      </w:pPr>
      <w:r>
        <w:t>6.</w:t>
      </w:r>
      <w:r>
        <w:tab/>
        <w:t>Las empresas distribuidoras tienen como objeto principal la transmisión de energía eléctrica desde las redes de transporte hasta los puntos de consumo en las adecuadas condiciones de calidad, teniendo esta actividad la consideración de actividad regulada, lo que implica el reconocimiento de una retribución fijada administrativamente conforme a los criterios fijados en la Ley del sector eléctrico referentes a costes de inversión, operación y mantenimiento de las instalaciones, energía circulada, modelo que caracterice las zonas de distribución, incentivos que correspondan la calidad del suministro y reducción de las pérdidas, así como otros costes necesarios para desarrollar la actividad, por lo que habiendo de tenerse en cuenta factores relacionados con la calidad del suministro eléctrico la Comunidad Autónoma de Extremadura ostenta también competencias en esta materia [FJ 10].</w:t>
      </w:r>
    </w:p>
    <w:p w:rsidR="0026452D" w:rsidRDefault="0026452D" w:rsidP="0026452D">
      <w:pPr>
        <w:pStyle w:val="Extracto"/>
      </w:pPr>
    </w:p>
    <w:p w:rsidR="0026452D" w:rsidRDefault="0026452D" w:rsidP="0026452D">
      <w:pPr>
        <w:pStyle w:val="Extracto"/>
      </w:pPr>
      <w:r>
        <w:t>7.</w:t>
      </w:r>
      <w:r>
        <w:tab/>
        <w:t>De las competencias estatales no se puede automáticamente deducir una suerte de prohibición de que las Comunidades Autónomas puedan aportar, pese al expreso reconocimiento estatutario, medida alguna en relación con la calidad del suministro eléctrico, argumentando que tales medidas pueden suponer costes reconocibles para las empresas pues corresponderá al Estado articular los mecanismos que estime precisos para compensar los eventuales costes generados por las exigencias de la normativa autonómica (STC 148/2011) [FJ 10].</w:t>
      </w:r>
    </w:p>
    <w:p w:rsidR="0026452D" w:rsidRDefault="0026452D" w:rsidP="0026452D">
      <w:pPr>
        <w:pStyle w:val="Extracto"/>
      </w:pPr>
    </w:p>
    <w:p w:rsidR="0026452D" w:rsidRDefault="0026452D" w:rsidP="0026452D">
      <w:pPr>
        <w:pStyle w:val="Extracto"/>
      </w:pPr>
      <w:r>
        <w:t>8.</w:t>
      </w:r>
      <w:r>
        <w:tab/>
        <w:t>En aquellos casos en los que se haya modificado la norma estatal que se reputa conculcada, este Tribunal ha de realizar el enjuiciamiento valorando la norma vigente en el momento de adoptar la decisión sobre la constitucionalidad de los preceptos recurridos (SSTC 18/2011, 148/2011) [FJ 10].</w:t>
      </w:r>
    </w:p>
    <w:p w:rsidR="0026452D" w:rsidRDefault="0026452D" w:rsidP="0026452D">
      <w:pPr>
        <w:pStyle w:val="Extracto"/>
      </w:pPr>
    </w:p>
    <w:p w:rsidR="0026452D" w:rsidRDefault="0026452D" w:rsidP="0026452D">
      <w:pPr>
        <w:pStyle w:val="Extracto"/>
      </w:pPr>
      <w:r>
        <w:t>9.</w:t>
      </w:r>
      <w:r>
        <w:tab/>
        <w:t>La exigencia de depósito de la fianza anual de la ley autonómica en nada afecta a las obligaciones de contabilidad e información establecidas en el precepto básico de la ley estatal para las entidades que desarrollan las actividades de distribuir y comercializar, pues se refieren a cuestiones distintas, por lo que no es posible apreciar la contravención de la normativa estatal alegada [FJ 11].</w:t>
      </w:r>
    </w:p>
    <w:p w:rsidR="0026452D" w:rsidRDefault="0026452D" w:rsidP="0026452D">
      <w:pPr>
        <w:pStyle w:val="Extracto"/>
      </w:pPr>
    </w:p>
    <w:p w:rsidR="0026452D" w:rsidRDefault="0026452D" w:rsidP="0026452D">
      <w:pPr>
        <w:pStyle w:val="Extracto"/>
      </w:pPr>
      <w:r>
        <w:t>10.</w:t>
      </w:r>
      <w:r>
        <w:tab/>
        <w:t xml:space="preserve">Los títulos competenciales que debemos tener en cuenta a la hora de resolver la actual controversia serán los estatales derivados de los arts. 149.1.13 y 149.1.25 CE, a cuyo amparo se ha dictado la normativa básica constituida por la Ley del </w:t>
      </w:r>
      <w:r>
        <w:lastRenderedPageBreak/>
        <w:t>sector eléctrico y sus disposiciones de desarrollo, que deberán ser puestos en relación con el relativo a la competencia exclusiva autonómica para el establecimiento de normas adicionales de protección de la calidad del suministro eléctrico del art. 9.1.37 del Estatuto de Autonomía de Extremadura, precepto estatutario que presupone la existencia de normas estatales en la materia [FJ 2].</w:t>
      </w:r>
    </w:p>
    <w:p w:rsidR="0026452D" w:rsidRDefault="0026452D" w:rsidP="0026452D">
      <w:pPr>
        <w:pStyle w:val="Extracto"/>
      </w:pPr>
    </w:p>
    <w:p w:rsidR="0026452D" w:rsidRDefault="0026452D" w:rsidP="0026452D">
      <w:pPr>
        <w:pStyle w:val="Extracto"/>
      </w:pPr>
      <w:r>
        <w:t>11.</w:t>
      </w:r>
      <w:r>
        <w:tab/>
        <w:t>Una eventual apreciación de la infracción de la normativa básica determinaría un supuesto de lo que nuestra doctrina denomina inconstitucionalidad de carácter mediato o indirecto, dado que la normativa autonómica sería contraria al orden de distribución de competencias precisamente por infringir la normativa estatal básica (SSTC 166/2002, 18/2011, 148/2011) [FJ 3].</w:t>
      </w:r>
    </w:p>
    <w:p w:rsidR="0026452D" w:rsidRDefault="0026452D" w:rsidP="0026452D">
      <w:pPr>
        <w:pStyle w:val="Extracto"/>
      </w:pPr>
    </w:p>
    <w:p w:rsidR="0026452D" w:rsidRDefault="0026452D" w:rsidP="0026452D">
      <w:pPr>
        <w:pStyle w:val="Extracto"/>
      </w:pPr>
      <w:r>
        <w:t>12.</w:t>
      </w:r>
      <w:r>
        <w:tab/>
        <w:t>Doctrina sobre los requisitos y alcance de la normativa básica estatal (SSTC 1/1982, 14/2004) [FJ 3].</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4573-2002 interpuesto por el Presidente del Gobierno, representado por el Abogado del Estado, contra los arts. 2, 7.3 a) y 9.5 de la Ley de la Asamblea de Extremadura 2/2002, de 25 de abril, de protección de la calidad del suministro eléctrico en Extremadura. Han comparecido y formulado alegaciones la Junta y la Asamblea de Extremadura por medio de sus respectivos Letrados. Ha sido Ponente la Magistrada doña Encarnación Roca Trías,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el día 23 de julio de 2002, el Abogado del Estado, en la representación que legalmente ostenta, interpone recurso de inconstitucionalidad contra los arts. 2, 7.3 a) y 9.5 de la Ley de la Asamblea de Extremadura 2/2002, de 25 de abril, de protección de la calidad del suministro eléctrico en Extremadura. En la demanda se hace invocación expresa del art. 161.2 CE a los efectos de que se acuerde la suspensión de la vigencia y aplicación de los preceptos legales impugnados.</w:t>
      </w:r>
    </w:p>
    <w:p w:rsidR="0026452D" w:rsidRDefault="0026452D" w:rsidP="0026452D">
      <w:pPr>
        <w:pStyle w:val="TextoNormal"/>
      </w:pPr>
    </w:p>
    <w:p w:rsidR="0026452D" w:rsidRDefault="0026452D" w:rsidP="0026452D">
      <w:pPr>
        <w:pStyle w:val="TextoNormal"/>
      </w:pPr>
      <w:r>
        <w:t>Tras la reproducción de los preceptos recurridos, el Abogado del Estado comienza señalando los títulos competenciales que entiende han de considerarse en la resolución del presente proceso constitucional. Por un lado, se encontrarían las competencias estatales relativas a “bases y coordinación de la planificación general de la actividad económica” (art. 149.1.13 CE) y “bases del régimen … energético” (art. 149.1.25 CE) y, frente a ellos, los mencionados en la propia exposición de motivos de la Ley de protección de la calidad del suministro eléctrico en Extremadura [instalación, distribución y transporte de energía (art. 7.1.28 del Estatuto de Autonomía de Extremadura: EAE); desarrollo legislativo y ejecución en materia de defensa del consumidor y del usuario (art. 8.7 EAE) y comercio interior (art. 7.1.33 EAE)]. Seguidamente indica la relación del presente recurso con el caso resuelto en la STC 197/1996, de 28 de noviembre, en relación con el sector petrolero. De dicha Sentencia deduce que, siendo el Estado titular de la competencia para dictar la normativa básica en materia de planificación general de la economía, así como la de un sector económico determinado, como el eléctrico, es posible que el Estado defina un modelo general del sector económico correspondiente y regule las medidas o acciones singulares que sean necesarias para alcanzar los fines propuestos en el correspondiente sector. A partir de estas consideraciones concluye que corresponde al Estado la competencia para regular la ordenación del sector energético, y, en particular dentro de éste, el subsector eléctrico, así como todas aquellas actuaciones necesarias para alcanzar los fines propuestos en esa regulación. Por su parte, a la Comunidad Autónoma de Extremadura corresponderá la competencia de desarrollo normativo y la ejecutiva, respetando las bases establecidas por el Estado.</w:t>
      </w:r>
    </w:p>
    <w:p w:rsidR="0026452D" w:rsidRDefault="0026452D" w:rsidP="0026452D">
      <w:pPr>
        <w:pStyle w:val="TextoNormal"/>
      </w:pPr>
    </w:p>
    <w:p w:rsidR="0026452D" w:rsidRDefault="0026452D" w:rsidP="0026452D">
      <w:pPr>
        <w:pStyle w:val="TextoNormal"/>
      </w:pPr>
      <w:r>
        <w:t>En el ejercicio de sus competencias el Estado ha configurado el modelo de sector eléctrico en la Ley 54/1997, de 27 de noviembre, del sector eléctrico, modelo del que destaca, entre otras características, el carácter indicativo de la planificación, salvo en lo relativo a instalaciones de transporte (art. 4), la liberalización del sector (art. 2) y el establecimiento de un régimen económico único (título III). De este último rasgo resulta que, para que funcione el modelo diseñado, es necesario que una sola Administración regule o determine las retribuciones o gastos en general del suministro y los precios o tarifas a pagar por los consumidores, ya que de lo contrario cualquier Administración podría tomar decisiones que, al proyectarse sobre el régimen único, causarían desequilibrios en la determinación del coste de la producción, transporte o distribución de energía eléctrica que haría insuficiente o inadecuada la tarifa o precio a pagar por los consumidores.</w:t>
      </w:r>
    </w:p>
    <w:p w:rsidR="0026452D" w:rsidRDefault="0026452D" w:rsidP="0026452D">
      <w:pPr>
        <w:pStyle w:val="TextoNormal"/>
      </w:pPr>
    </w:p>
    <w:p w:rsidR="0026452D" w:rsidRDefault="0026452D" w:rsidP="0026452D">
      <w:pPr>
        <w:pStyle w:val="TextoNormal"/>
      </w:pPr>
      <w:r>
        <w:t>Señalado lo anterior el Abogado del Estado argumenta la inconstitucionalidad de cada uno de los preceptos legales recurridos.</w:t>
      </w:r>
    </w:p>
    <w:p w:rsidR="0026452D" w:rsidRDefault="0026452D" w:rsidP="0026452D">
      <w:pPr>
        <w:pStyle w:val="TextoNormal"/>
      </w:pPr>
    </w:p>
    <w:p w:rsidR="0026452D" w:rsidRDefault="0026452D" w:rsidP="0026452D">
      <w:pPr>
        <w:pStyle w:val="TextoNormal"/>
      </w:pPr>
      <w:r>
        <w:t xml:space="preserve">El art. 2 de la Ley prevé para Extremadura la aplicación del principio de nivel único de calidad mínima, de tal forma que se obliga a que el nivel mínimo de calidad sea exactamente igual en cualquier parte de Extremadura y con independencia de la empresa distribuidora de energía eléctrica que preste el servicio. Este régimen se considera incompatible con las bases establecidas por el Estado en la Ley del sector eléctrico y en el Real Decreto 1955/2000, de 1 de diciembre, por el que se regulan las actividades de transporte, distribución, comercialización suministro y procedimientos de autorización de instalaciones de energía eléctrica. Uno de los principios esenciales de la regulación básica en materia de calidad en el suministro de energía eléctrica contenido en ambas normas es la diferenciación entre calidad individual y zonal, así como el establecimiento de niveles de calidad diferentes en función </w:t>
      </w:r>
      <w:r>
        <w:lastRenderedPageBreak/>
        <w:t>de las zonas geográficas previamente fijadas, distinguiéndose hasta cuatro de ellas en las que se determinan, entre otras condiciones de suministro, el tiempo y número de interrupciones previstas e imprevistas que no deben ser superadas en cada una de las zonas.</w:t>
      </w:r>
    </w:p>
    <w:p w:rsidR="0026452D" w:rsidRDefault="0026452D" w:rsidP="0026452D">
      <w:pPr>
        <w:pStyle w:val="TextoNormal"/>
      </w:pPr>
    </w:p>
    <w:p w:rsidR="0026452D" w:rsidRDefault="0026452D" w:rsidP="0026452D">
      <w:pPr>
        <w:pStyle w:val="TextoNormal"/>
      </w:pPr>
      <w:r>
        <w:t>En relación al art. 7.3 a) de la Ley de protección de la calidad del suministro eléctrico en Extremadura entiende el Abogado del Estado que este precepto, al establecer una reducción de la facturación a abonar por el consumidor como consecuencia del incumplimiento en la calidad del suministro de energía eléctrica, incide de manera directa en el modelo de sector eléctrico previsto por el Estado ya que resulta contrario a la normativa básica estatal, puesto que dispone que las variaciones de tensión o las interrupciones de suministro continuadas y superiores a una hora darán lugar a reducciones de un 20 por 100 susceptibles de elevación en dos puntos porcentuales por cada hora o fracción adicional. Por el contrario, la normativa básica (arts. 48 de la Ley del sector eléctrico y 104 y 105 del Real Decreto 1955/2000) establece un sistema en virtud del cual las reducciones en la facturación solo podrán aplicarse cuando el suministrador preste el servicio por debajo de las condiciones de calidad determinadas reglamentariamente, teniendo en cuenta los distintos tipos de zonas geográficas en cuanto al número de interrupciones y su duración. De esta forma las reducciones de la facturación tienen un límite máximo del 10 por 100 de la facturación anual, de acuerdo con el número de horas de interrupción y con el número de interrupciones que es distinto para cada zona geográfica. Asimismo, la representación procesal del Estado considera que el precepto autonómico afecta, también, al régimen de tarifa única al crear un supuesto de disminución de ingresos en la facturación por la prestación del suministro aplicable únicamente en Extremadura, reduciendo, en consecuencia, la retribución de las empresas en dicha Comunidad Autónoma.</w:t>
      </w:r>
    </w:p>
    <w:p w:rsidR="0026452D" w:rsidRDefault="0026452D" w:rsidP="0026452D">
      <w:pPr>
        <w:pStyle w:val="TextoNormal"/>
      </w:pPr>
    </w:p>
    <w:p w:rsidR="0026452D" w:rsidRDefault="0026452D" w:rsidP="0026452D">
      <w:pPr>
        <w:pStyle w:val="TextoNormal"/>
      </w:pPr>
      <w:r>
        <w:t>Por último, la inconstitucionalidad del art. 9.5 de la Ley extremeña se fundamenta en que, en la medida que permite la exigencia del depósito de una fianza anual equivalente al 1 por 100 de la facturación de la empresa en la Comunidad Autónoma, establece una obligación de contenido económico para las empresas distribuidoras y comercializadoras que altera el régimen económico previsto en la ordenación del sector eléctrico. Esta exigencia genera unos costes extras para las empresas, costes que inciden sobre la retribución a que dichas empresas tienen derecho y, por extensión, en el establecimiento de las tarifas que se fijan de forma única para todo el territorio nacional, que han de satisfacer todos los consumidores y a cuyo cargo se retribuye a las empresas por el ejercicio de su actividad dentro del sistema eléctrico. Además, el Abogado del Estado considera que la norma autonómica vulnera las bases que ha establecido el Estado para garantizar la solvencia y la suficiencia económica de las empresas distribuidoras y comercializadoras, las cuales están sometidas a previsiones específicas en materia de supervisión que les obligan a llevar un sistema de contabilidad separada así como a acreditar suficiente solvencia económica para poder obtener las autorizaciones necesarias. Por todo ello entiende que, de mantenerse el precepto autonómico, se estaría fijando un doble régimen de garantía de la solvencia económica de las empresas distribuidoras y comercializadoras sin justificación y con contravención directa de la norma estatal.</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Mediante providencia de 17 de septiembre de 2002, la Sección Primera del Tribunal Constitucional acordó admitir a trámite el recurso de inconstitucionalidad y dar traslado de la demanda y documentos presentados al Congreso de los Diputados y al Senado, así como a la Asamblea y a la Junta de Extremadura, al objeto de que en el plazo de quince días </w:t>
      </w:r>
      <w:r>
        <w:lastRenderedPageBreak/>
        <w:t>pudieran personarse en el proceso y formular alegaciones. También acordó tener por invocado por el Presidente del Gobierno el art. 161.2 CE, que produce la suspensión de la vigencia de los preceptos recurridos y publicar la incoación del recurso y la suspensión acordada en el “Boletín Oficial del Estado” y en el “Diario Oficial de Extremadura”.</w:t>
      </w:r>
    </w:p>
    <w:p w:rsidR="0026452D" w:rsidRDefault="0026452D" w:rsidP="0026452D">
      <w:pPr>
        <w:pStyle w:val="TextoNormal"/>
      </w:pPr>
    </w:p>
    <w:p w:rsidR="0026452D" w:rsidRDefault="0026452D" w:rsidP="0026452D">
      <w:pPr>
        <w:pStyle w:val="TextoNormal"/>
      </w:pPr>
      <w:r w:rsidRPr="0026452D">
        <w:rPr>
          <w:rStyle w:val="NumeroAFNegritaCaracter"/>
        </w:rPr>
        <w:t>3</w:t>
      </w:r>
      <w:r>
        <w:t>. El día 27 de septiembre de 2002 se registró en el Tribunal un escrito de la Presidenta del Congreso de los Diputados en el que comunicaba que dicha Cámara no se personaría en el proceso ni formularía alegaciones.</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fax recibido en este Tribunal el día 3 de octubre de 2002, el Letrado de la Asamblea de Extremadura se personó en el procedimiento solicitando una prórroga del plazo inicialmente concedido para formular alegaciones. Por providencia de 7 de octubre de 2002, de la Sección Primera de este Tribunal Constitucional, se le tuvo por personado y parte, accediéndose, asimismo, a la prórroga en ocho días del plazo inicial.</w:t>
      </w:r>
    </w:p>
    <w:p w:rsidR="0026452D" w:rsidRDefault="0026452D" w:rsidP="0026452D">
      <w:pPr>
        <w:pStyle w:val="TextoNormal"/>
      </w:pPr>
    </w:p>
    <w:p w:rsidR="0026452D" w:rsidRDefault="0026452D" w:rsidP="0026452D">
      <w:pPr>
        <w:pStyle w:val="TextoNormal"/>
      </w:pPr>
      <w:r w:rsidRPr="0026452D">
        <w:rPr>
          <w:rStyle w:val="NumeroAFNegritaCaracter"/>
        </w:rPr>
        <w:t>5</w:t>
      </w:r>
      <w:r>
        <w:t>. El Letrado de la Junta de Extremadura presentó sus alegaciones el día 14 de octubre de 2002.</w:t>
      </w:r>
    </w:p>
    <w:p w:rsidR="0026452D" w:rsidRDefault="0026452D" w:rsidP="0026452D">
      <w:pPr>
        <w:pStyle w:val="TextoNormal"/>
      </w:pPr>
    </w:p>
    <w:p w:rsidR="0026452D" w:rsidRDefault="0026452D" w:rsidP="0026452D">
      <w:pPr>
        <w:pStyle w:val="TextoNormal"/>
      </w:pPr>
      <w:r>
        <w:t>Las mismas comienzan señalando los títulos competenciales estatales y autonómicos que entiende en litigio, considerando que nos encontramos ante actividades de distribución y comercialización de la energía encuadrables en la esfera del comercio interior (con cita al respecto de la doctrina de la STC 197/1996, de 28 de noviembre) y, dentro de ellas, ante una finalidad de mejora de la calidad del servicio insertable en la esfera de los derechos del consumidor. En consecuencia, entiende que nada puede reprocharse a la regulación autonómica puesto que se encuentra amparada por títulos competenciales más específicos que los genéricos en materia de bases del régimen energético y de planificación económica alegados de contrario por el Estado. A continuación señala que la exhaustividad reguladora del Estado al establecer las bases conlleva no solamente la interpretación expansiva de las competencias estatales y el correlativo vaciamiento de la competencia autonómica, sino también, la contradicción de la doctrina constitucional en torno al concepto y finalidad de las bases, tanto en su sentido material como formal, citando al respecto la STC 197/1996, de 28 de noviembre.</w:t>
      </w:r>
    </w:p>
    <w:p w:rsidR="0026452D" w:rsidRDefault="0026452D" w:rsidP="0026452D">
      <w:pPr>
        <w:pStyle w:val="TextoNormal"/>
      </w:pPr>
    </w:p>
    <w:p w:rsidR="0026452D" w:rsidRDefault="0026452D" w:rsidP="0026452D">
      <w:pPr>
        <w:pStyle w:val="TextoNormal"/>
      </w:pPr>
      <w:r>
        <w:t>En relación a la supuesta vulneración del régimen de tarifa única establecido por el Estado, cuestiona, citando al respecto diversas previsiones de los arts.16 y 17 de la Ley del sector eléctrico, el propio carácter único de dicha tarifa y señala que la alegada contravención del art. 149.1.13 CE no aparece justificada en el escrito de demanda. Reitera que los preceptos impugnados regulan cuestiones relacionadas con el comercio interior, de competencia exclusiva autonómica, título competencial que ha de prevalecer por tratarse de una regla más especial que el genérico título estatal, por lo que concluye que el Estado no puede intervenir en la materia al amparo del art. 149.1.13 CE.</w:t>
      </w:r>
    </w:p>
    <w:p w:rsidR="0026452D" w:rsidRDefault="0026452D" w:rsidP="0026452D">
      <w:pPr>
        <w:pStyle w:val="TextoNormal"/>
      </w:pPr>
    </w:p>
    <w:p w:rsidR="0026452D" w:rsidRDefault="0026452D" w:rsidP="0026452D">
      <w:pPr>
        <w:pStyle w:val="TextoNormal"/>
      </w:pPr>
      <w:r>
        <w:t xml:space="preserve">Por último, en cuanto a los concretos preceptos impugnados indica, respecto al art. 2 de la Ley de protección de la calidad del suministro eléctrico en Extremadura, que la normativa básica establece un mínimo, pero que no prejuzga ni impide la actuación en pos de conseguir objetivos de calidad en consumo final. En cuanto al art. 7.3 a)  señala que reproduce las obligaciones genéricas propias de cualquier relación productor-consumidor, desarrollando </w:t>
      </w:r>
      <w:r>
        <w:lastRenderedPageBreak/>
        <w:t>la normativa estatal en este punto. Finalmente, en cuanto al art. 9.5  niega que el mismo afecte al principio de tarifa única.</w:t>
      </w:r>
    </w:p>
    <w:p w:rsidR="0026452D" w:rsidRDefault="0026452D" w:rsidP="0026452D">
      <w:pPr>
        <w:pStyle w:val="TextoNormal"/>
      </w:pPr>
    </w:p>
    <w:p w:rsidR="0026452D" w:rsidRDefault="0026452D" w:rsidP="0026452D">
      <w:pPr>
        <w:pStyle w:val="TextoNormal"/>
      </w:pPr>
      <w:r w:rsidRPr="0026452D">
        <w:rPr>
          <w:rStyle w:val="NumeroAFNegritaCaracter"/>
        </w:rPr>
        <w:t>6</w:t>
      </w:r>
      <w:r>
        <w:t>. La Presidenta del Senado, mediante escrito registrado el 16 de octubre de 2002, comunica que la Cámara se persona en el proceso, ofreciendo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7</w:t>
      </w:r>
      <w:r>
        <w:t>. El Letrado de la Asamblea de Extremadura evacuó el 18 de octubre de 2002 el trámite de alegaciones conferido.</w:t>
      </w:r>
    </w:p>
    <w:p w:rsidR="0026452D" w:rsidRDefault="0026452D" w:rsidP="0026452D">
      <w:pPr>
        <w:pStyle w:val="TextoNormal"/>
      </w:pPr>
    </w:p>
    <w:p w:rsidR="0026452D" w:rsidRDefault="0026452D" w:rsidP="0026452D">
      <w:pPr>
        <w:pStyle w:val="TextoNormal"/>
      </w:pPr>
      <w:r>
        <w:t>Inicia su escrito señalando que corresponde a la Comunidad Autónoma de Extremadura la regulación de la cuestión debatida, puesto que la misma se inserta en los títulos competenciales autonómicos en materia de instalación, distribución y transporte de energía, desarrollo legislativo y ejecución en materia de defensa del consumidor y del usuario y comercio interior, títulos que deben prevalecer por ser más específicos que los estatales en cuya virtud se dictó la, Ley 54/1997, de 27 de noviembre, del sector eléctrico, cuyas previsiones básicas son desarrolladas por la norma autonómica. En ese sentido, indica que el objetivo de esta última norma es la mejora del suministro de energía eléctrica en la Comunidad Autónoma en beneficio de los consumidores, lo que resulta incardinable en los principios inspiradores de la Ley del sector eléctrico y se justifica en el hecho de que Extremadura se encuentra entre las Comunidades Autónomas que reciben peor servicio eléctrico en el conjunto del Estado, por lo que es perfectamente posible que la Ley extremeña vincule calidad y costes generados con la retribución a percibir por las empresas eléctricas. Al respecto, considera que la Ley autonómica no pone en duda los criterios o parámetros de las bases estatales para determinar la calidad mínima del suministro, sino que se limita a regular una cuestión no prevista en las mismas, como la imposición, en el ejercicio de la competencia autonómica en materia de protección de los consumidores, de una serie de cargas consecuencia del incumplimiento de los mínimos de calidad normativamente establecidos.</w:t>
      </w:r>
    </w:p>
    <w:p w:rsidR="0026452D" w:rsidRDefault="0026452D" w:rsidP="0026452D">
      <w:pPr>
        <w:pStyle w:val="TextoNormal"/>
      </w:pPr>
    </w:p>
    <w:p w:rsidR="0026452D" w:rsidRDefault="0026452D" w:rsidP="0026452D">
      <w:pPr>
        <w:pStyle w:val="TextoNormal"/>
      </w:pPr>
      <w:r>
        <w:t>A continuación, y reproduciendo casi literalmente varios párrafos del ATC 27/2000, de 20 de enero, en virtud del cual se levantó la suspensión de los preceptos impugnados de la Ley de Castilla-La Mancha 6/1999, de 15 de abril, de protección de la calidad del suministro eléctrico, argumenta que la Ley autonómica no afecta al principio de tarifa única, puesto que la propia Ley del sector eléctrico prevé, en diversos preceptos, que, en los casos en los que existan déficits de calidad, hayan de incrementarse las inversiones de las empresas para paliarlos, de lo que deduce que el valor que ha de prevalecer es la mejora de la calidad del suministro eléctrico, extremo este último que justifica que la Comunidad Autónoma pueda dictar normativa propia en esta materia regulando medidas dirigidas a mejorar la calidad del suministro.</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Próximo a finalizar el plazo de los cinco meses que determina el art. 161.2 CE desde que se produjo la suspensión de la vigencia y aplicación de los preceptos impugnados, la Sección Primera de este Tribunal Constitucional acordó, mediante providencia de 12 de noviembre de 2002, oír a las partes personadas en el mismo para que, en el plazo común de cinco días, pudieran alegar lo que estimaren pertinente acerca del mantenimiento o levantamiento de dicha suspensión. Evacuado por las partes el trámite de alegaciones conferido, el </w:t>
      </w:r>
      <w:r>
        <w:lastRenderedPageBreak/>
        <w:t>Pleno de este Tribunal, por el ATC 3/2003, de 14 de enero, acordó el levantamiento de la suspensión de los preceptos impugnados.</w:t>
      </w:r>
    </w:p>
    <w:p w:rsidR="0026452D" w:rsidRDefault="0026452D" w:rsidP="0026452D">
      <w:pPr>
        <w:pStyle w:val="TextoNormal"/>
      </w:pPr>
    </w:p>
    <w:p w:rsidR="0026452D" w:rsidRDefault="0026452D" w:rsidP="0026452D">
      <w:pPr>
        <w:pStyle w:val="TextoNormal"/>
      </w:pPr>
      <w:r w:rsidRPr="0026452D">
        <w:rPr>
          <w:rStyle w:val="NumeroAFNegritaCaracter"/>
        </w:rPr>
        <w:t>9</w:t>
      </w:r>
      <w:r>
        <w:t>. Por providencia de 15 de enero de 2013 se señaló para deliberación y votación de la presente Sentencia el día 17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interpuesto por el Abogado del Estado en nombre y representación del Presidente del Gobierno, tiene como objeto la impugnación de los arts. 2, 7.3 a) y 9.5 de la Ley de la Asamblea de Extremadura 2/2002, de 25 de abril, de protección de la calidad del suministro eléctrico en Extremadura.</w:t>
      </w:r>
    </w:p>
    <w:p w:rsidR="0026452D" w:rsidRDefault="0026452D" w:rsidP="0026452D">
      <w:pPr>
        <w:pStyle w:val="TextoNormal"/>
      </w:pPr>
    </w:p>
    <w:p w:rsidR="0026452D" w:rsidRDefault="0026452D" w:rsidP="0026452D">
      <w:pPr>
        <w:pStyle w:val="TextoNormal"/>
      </w:pPr>
      <w:r>
        <w:t xml:space="preserve">El Abogado del Estado reprocha a los preceptos impugnados la vulneración de las competencias estatales en materia de energía eléctrica </w:t>
      </w:r>
      <w:r w:rsidRPr="0026452D">
        <w:rPr>
          <w:i/>
        </w:rPr>
        <w:t>ex</w:t>
      </w:r>
      <w:r>
        <w:t xml:space="preserve"> arts. 149.1.13 y 149.1.25 CE, que atribuyen competencia al Estado para el establecimiento de las “bases y coordinación de la planificación general de la actividad económica” y de las “bases del régimen minero y energético”, respectivamente, y en cuya virtud se dictó la Ley 54/1997, de 27 de noviembre, del sector eléctrico. Vulneración competencial que se manifestaría en la infracción de lo dispuesto en la normativa básica estatal en la materia, constituida fundamentalmente por la propia Ley del sector eléctrico y por el Real Decreto 1955/2000, de 1 de diciembre, por el que se regulan las actividades de transporte, distribución, comercialización suministro y procedimientos de autorización de instalaciones de energía eléctrica. También se alega la contravención de la regulación de la Ley del sector eléctrico en lo relativo al establecimiento de un régimen económico único para el sector eléctrico basado en el sistema de tarifa única, que se vería afectado por los preceptos impugnados de la Ley de protección de la calidad del suministro eléctrico en Extremadura.</w:t>
      </w:r>
    </w:p>
    <w:p w:rsidR="0026452D" w:rsidRDefault="0026452D" w:rsidP="0026452D">
      <w:pPr>
        <w:pStyle w:val="TextoNormal"/>
      </w:pPr>
    </w:p>
    <w:p w:rsidR="0026452D" w:rsidRDefault="0026452D" w:rsidP="0026452D">
      <w:pPr>
        <w:pStyle w:val="TextoNormal"/>
      </w:pPr>
      <w:r>
        <w:t>Por su parte, tanto la representación procesal de la Junta de Extremadura como la de la Asamblea de Extremadura, postulan la desestimación del recurso por considerar que no existe la denunciada vulneración de las competencias estatales, entendiendo que los preceptos impugnados constituyen un desarrollo de las bases que se enmarca en el ejercicio de las competencias autonómicas exclusivas en materia de instalaciones de producción, distribución y transporte de energía del art. 7.1.28 del Estatuto de Autonomía de Extremadura, aprobado por Ley Orgánica 1/1983, de 25 de febrero, y de comercio interior del art. 7.1.33, así como en la competencia de desarrollo legislativo y ejecución en materia de defensa del consumidor y usuario del art. 8.7 del mismo texto estatutario.</w:t>
      </w:r>
    </w:p>
    <w:p w:rsidR="0026452D" w:rsidRDefault="0026452D" w:rsidP="0026452D">
      <w:pPr>
        <w:pStyle w:val="TextoNormal"/>
      </w:pPr>
    </w:p>
    <w:p w:rsidR="0026452D" w:rsidRDefault="0026452D" w:rsidP="0026452D">
      <w:pPr>
        <w:pStyle w:val="TextoNormal"/>
      </w:pPr>
      <w:r w:rsidRPr="0026452D">
        <w:rPr>
          <w:rStyle w:val="NumeroAFNegritaCaracter"/>
        </w:rPr>
        <w:t>2</w:t>
      </w:r>
      <w:r>
        <w:t>. Tratándose de un litigio de carácter competencial, la primera consideración a realizar es la relativa al encuadramiento de los preceptos en cuestión en el sistema material de distribución de competencias. Antes, sin embargo de realizar tal operación, procede en este momento advertir que, durante la pendencia del proceso, el Estatuto de Autonomía de Extremadura ha sido reformado por la Ley Orgánica 1/2011, de 28 de enero, por lo que, de conformidad con nuestra doctrina [STC 134/2011, de 20 de julio, FJ 2 d)] las cuestiones que aquí se controvierten se decidirán teniendo en cuenta las previsiones del nuevo Estatuto que puedan resultar de aplicación, dado que ese texto ha de servir de referencia para precisar las competencias determinantes del enjuiciamiento.</w:t>
      </w:r>
    </w:p>
    <w:p w:rsidR="0026452D" w:rsidRDefault="0026452D" w:rsidP="0026452D">
      <w:pPr>
        <w:pStyle w:val="TextoNormal"/>
      </w:pPr>
    </w:p>
    <w:p w:rsidR="0026452D" w:rsidRDefault="0026452D" w:rsidP="0026452D">
      <w:pPr>
        <w:pStyle w:val="TextoNormal"/>
      </w:pPr>
      <w:r>
        <w:t>Atendiendo a su contenido y finalidad, las disposiciones controvertidas se relacionan directamente con la materia energía y, más concretamente, con el subsector eléctrico, conclusión que ya alcanzamos también en la STC 148/2011, de 28 de septiembre, dictada en relación con determinados preceptos de la Ley de Castilla-La Mancha 6/1999, de 15 de abril, de protección de la calidad del suministro eléctrico. En efecto, la regulación de la Ley de protección de la calidad del suministro eléctrico en Extremadura, tal y como su propio título indica, se dirige a establecer unas determinadas normas en materia de calidad del suministro eléctrico, normas de las que son destinatarios, en su mayor parte, dos de los sujetos intervinientes en el sistema eléctrico como son los comercializadores y los distribuidores. De hecho, los tres preceptos impugnados en el presente proceso sientan el principio de nivel único de calidad mínima, vinculan la facturación a las interrupciones del suministro así como a las variaciones de tensión y establecen medidas dirigidas a garantizar la calidad del suministro, reparar los eventuales daños causados y asegurar el cumplimiento de las obligaciones establecidas por la norma autonómica. Por ello, podemos llegar a la conclusión de que su finalidad y alcance están directamente vinculados al aseguramiento de un parámetro técnico del sector eléctrico como es la calidad del suministro de energía eléctrica.</w:t>
      </w:r>
    </w:p>
    <w:p w:rsidR="0026452D" w:rsidRDefault="0026452D" w:rsidP="0026452D">
      <w:pPr>
        <w:pStyle w:val="TextoNormal"/>
      </w:pPr>
    </w:p>
    <w:p w:rsidR="0026452D" w:rsidRDefault="0026452D" w:rsidP="0026452D">
      <w:pPr>
        <w:pStyle w:val="TextoNormal"/>
      </w:pPr>
      <w:r>
        <w:t>El Abogado del Estado entiende vulneradas las competencias estatales en materia de bases y coordinación de la planificación general de la actividad económica (art. 149.1.13 CE) y de bases del régimen energético (art. 149.1.25 CE), tanto en cuanto habilitan para el dictado de normativa básica aplicable al sector eléctrico como permiten el establecimiento por el Estado del régimen económico del citado sector. Respecto a ambos títulos competenciales estatales no ha de obviarse que, al igual que el sector petrolero, al que se refirió expresamente la STC 197/1996, de 28 de noviembre, el eléctrico constituye, como recuerdan las SSTC 18/2011, de 3 de marzo, FJ 6 c), y la 135/2012, de 19 de junio, FFJJ 2 y 4 un sector estratégico para el funcionamiento de cualquier sociedad moderna, representando por sí mismo una parte muy importante dentro del conjunto de la economía nacional, y además, es clave como factor de producción esencial para la práctica totalidad de los restantes sectores económicos, condicionando de manera determinante en muchos casos su competitividad. Y todo ello sin olvidar que es indispensable para la vida cotidiana de los ciudadanos. Estas circunstancias justifican que el Estado pueda intervenir en la ordenación del sector eléctrico tanto a través del título general relativo a la planificación general de la economía (art. 149.1.13 CE) como mediante el más específico relativo al sector energético (art. 149.1.25 CE).</w:t>
      </w:r>
    </w:p>
    <w:p w:rsidR="0026452D" w:rsidRDefault="0026452D" w:rsidP="0026452D">
      <w:pPr>
        <w:pStyle w:val="TextoNormal"/>
      </w:pPr>
    </w:p>
    <w:p w:rsidR="0026452D" w:rsidRDefault="0026452D" w:rsidP="0026452D">
      <w:pPr>
        <w:pStyle w:val="TextoNormal"/>
      </w:pPr>
      <w:r>
        <w:t>En lo relativo a los títulos competenciales autonómicos debemos tener presente que, frente a los en su momento señalados por el legislador autonómico y aducidos también por ambas representaciones autonómicas en sus alegaciones, el reformado Estatuto de Autonomía de Extremadura, en su art. 9.1.37, atribuye a esa Comunidad Autónoma competencia exclusiva para el establecimiento de “normas adicionales de garantía en la calidad del suministro y participación en los organismos estatales reguladores del sector energético, en los términos que establezca la legislación del Estado”. Este título se refiere al establecimiento de normas adicionales de garantía en la calidad del suministro eléctrico, y además de ser más específico que los en su momento traídos al proceso, guarda una evidente y directa relación con el contenido de los preceptos impugnados lo que determina que sea el que debamos tener presente en nuestro enjuiciamiento.</w:t>
      </w:r>
    </w:p>
    <w:p w:rsidR="0026452D" w:rsidRDefault="0026452D" w:rsidP="0026452D">
      <w:pPr>
        <w:pStyle w:val="TextoNormal"/>
      </w:pPr>
    </w:p>
    <w:p w:rsidR="0026452D" w:rsidRDefault="0026452D" w:rsidP="0026452D">
      <w:pPr>
        <w:pStyle w:val="TextoNormal"/>
      </w:pPr>
      <w:r>
        <w:lastRenderedPageBreak/>
        <w:t xml:space="preserve">Así pues, y de acuerdo con el encuadramiento que acabamos de realizar, los títulos competenciales que debemos tener en cuenta a la hora de resolver la actual controversia serán los estatales derivados de los arts. 149.1.13 y 149.1.25 CE, a cuyo amparo se ha dictado la normativa básica constituida por la Ley 54/1997, de 27 de noviembre, del sector eléctrico y sus disposiciones de desarrollo, que deberán ser puestos en relación con el relativo a la competencia exclusiva autonómica para el establecimiento de normas adicionales de protección de la calidad del suministro eléctrico del art. 9.1.37 del Estatuto de Autonomía de Extremadura, precepto estatutario que, no obstante califique la competencia como exclusiva, presupone la existencia de normas estatales en la materia pues hace referencia expresa a que la competencia de la Comunidad Autónoma se refiere al establecimiento de normas de garantía de la calidad del suministro energético adicionales a las previstas en aquellas, con las que han de integrarse sistemáticamente. Tampoco, como ya tenemos establecido (por todas, STC 31/2010, de 28 de junio, FJ 59) la proclamada exclusividad de la competencia autonómica impide el ejercicio de las competencias del Estado </w:t>
      </w:r>
      <w:r w:rsidRPr="0026452D">
        <w:rPr>
          <w:i/>
        </w:rPr>
        <w:t>ex</w:t>
      </w:r>
      <w:r>
        <w:t xml:space="preserve"> art. 149.1.CE.</w:t>
      </w:r>
    </w:p>
    <w:p w:rsidR="0026452D" w:rsidRDefault="0026452D" w:rsidP="0026452D">
      <w:pPr>
        <w:pStyle w:val="TextoNormal"/>
      </w:pPr>
    </w:p>
    <w:p w:rsidR="0026452D" w:rsidRDefault="0026452D" w:rsidP="0026452D">
      <w:pPr>
        <w:pStyle w:val="TextoNormal"/>
      </w:pPr>
      <w:r w:rsidRPr="0026452D">
        <w:rPr>
          <w:rStyle w:val="NumeroAFNegritaCaracter"/>
        </w:rPr>
        <w:t>3</w:t>
      </w:r>
      <w:r>
        <w:t>. Fijado de esta forma el ámbito material, la cuestión que se suscita en el presente proceso es, por tanto, si los preceptos cuestionados de la Ley de protección de la calidad del suministro eléctrico en Extremadura pueden ser entendidos en el sentido de establecer garantías adicionales a la calidad del suministro eléctrico que resulten compatibles con lo previsto en las normas básicas estatales en materia de calidad o, por el contrario, ha de considerarse que no se ha respetado tal normativa básica estatal resultando, por ello, los preceptos impugnados vulneradores del orden constitucional de distribución de competencias.</w:t>
      </w:r>
    </w:p>
    <w:p w:rsidR="0026452D" w:rsidRDefault="0026452D" w:rsidP="0026452D">
      <w:pPr>
        <w:pStyle w:val="TextoNormal"/>
      </w:pPr>
    </w:p>
    <w:p w:rsidR="0026452D" w:rsidRDefault="0026452D" w:rsidP="0026452D">
      <w:pPr>
        <w:pStyle w:val="TextoNormal"/>
      </w:pPr>
      <w:r>
        <w:t>La eventual apreciación de la infracción de la normativa básica determinaría un supuesto de lo que nuestra doctrina denomina (STC 166/2002, de 18 de septiembre, FJ 3; 18/2011, de 3 marzo, FJ 17, y 148/2011, de 28 septiembre, FJ 3) inconstitucionalidad de carácter mediato o indirecto, dado que la normativa autonómica será contraria al orden de distribución de competencias precisamente por infringir la normativa estatal básica. Ahora bien, para que dicha vulneración exista será necesario que, como declaró la STC 151/1992, de 19 de octubre (FJ 1), concurran dos circunstancias: que la norma estatal infringida por la Ley autonómica sea, en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w:t>
      </w:r>
    </w:p>
    <w:p w:rsidR="0026452D" w:rsidRDefault="0026452D" w:rsidP="0026452D">
      <w:pPr>
        <w:pStyle w:val="TextoNormal"/>
      </w:pPr>
    </w:p>
    <w:p w:rsidR="0026452D" w:rsidRDefault="0026452D" w:rsidP="0026452D">
      <w:pPr>
        <w:pStyle w:val="TextoNormal"/>
      </w:pPr>
      <w:r>
        <w:t>Conforme a lo expuesto resulta preciso ahora determinar el alcance de la normativa básica, teniendo en cuenta que, tal como hemos recordado en la STC 18/2011, de 3 de marzo, el Estado está habilitado para dictar normas básicas que regulen el funcionamiento del sector eléctrico en un entorno liberalizado si bien, como toda normativa básica, ha de cumplir determinadas exigencias de índole material y formal. Así, en lo que a la primera de ellas respecta tenemos declarado que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223/2000, de 21 de septiembre, FJ 6, con cita de las SSTC 1/1982, de 28 de enero; 48/1988, de 2 de marzo, 147/1991, de 4 de julio y 197/1996, de 28 de noviembre)” (STC 14/2004, de 13 de febrero, FJ 11).</w:t>
      </w:r>
    </w:p>
    <w:p w:rsidR="0026452D" w:rsidRDefault="0026452D" w:rsidP="0026452D">
      <w:pPr>
        <w:pStyle w:val="TextoNormal"/>
      </w:pPr>
    </w:p>
    <w:p w:rsidR="0026452D" w:rsidRDefault="0026452D" w:rsidP="0026452D">
      <w:pPr>
        <w:pStyle w:val="TextoNormal"/>
      </w:pPr>
      <w:r>
        <w:lastRenderedPageBreak/>
        <w:t>En primer lugar y en lo que se refiere al requisito formal, nuestra doctrina ha fijado los requisitos que deben cumplirse, de modo que se ha admitido que a esta perspectiva atiende “el principio de ley formal... en razón a que sólo a través de este instrumento normativo se alcanzará... una determinación cierta y estable de los ámbitos de ordenación de las materias en las que concurren y se articulan las competencias básicas estatales y reglamentarias autonómicas. También precisamos que como excepción a dicho principio de ley formal... el Gobierno puede hacer uso de la potestad reglamentaria, para regular por Decreto alguno de los preceptos básicos de una materia, cuando resulten, por la competencia de ésta, complemento necesario para garantizar el fin a que responde la competencia sobre las bases (STC 98/2001, de 5 de abril, FJ 7, con cita de la STC 69/1988, de 19 de abril, FJ5)” (STC 14/2004, FJ 11). Debemos por tanto, examinar si los preceptos impugnados cumplen con los requisitos exigidos.</w:t>
      </w:r>
    </w:p>
    <w:p w:rsidR="0026452D" w:rsidRDefault="0026452D" w:rsidP="0026452D">
      <w:pPr>
        <w:pStyle w:val="TextoNormal"/>
      </w:pPr>
    </w:p>
    <w:p w:rsidR="0026452D" w:rsidRDefault="0026452D" w:rsidP="0026452D">
      <w:pPr>
        <w:pStyle w:val="TextoNormal"/>
      </w:pPr>
      <w:r w:rsidRPr="0026452D">
        <w:rPr>
          <w:rStyle w:val="NumeroAFNegritaCaracter"/>
        </w:rPr>
        <w:t>4</w:t>
      </w:r>
      <w:r>
        <w:t>. De acuerdo con lo anterior, se examina en primer lugar el art. 2 de la Ley de protección de la calidad del suministro eléctrico en Extremadura, que dispone lo siguiente:</w:t>
      </w:r>
    </w:p>
    <w:p w:rsidR="0026452D" w:rsidRDefault="0026452D" w:rsidP="0026452D">
      <w:pPr>
        <w:pStyle w:val="TextoNormal"/>
      </w:pPr>
    </w:p>
    <w:p w:rsidR="0026452D" w:rsidRDefault="0026452D" w:rsidP="0026452D">
      <w:pPr>
        <w:pStyle w:val="TextoNormal"/>
      </w:pPr>
      <w:r>
        <w:t>“Los niveles de calidad mínimos del suministro de energía deberán ser iguales para todas las zonas geográficas de la Comunidad Autónoma, independientemente de la empresa distribuidora de energía eléctrica que realice el servicio. Los niveles de calidad mínimos exigidos serán únicos para todo el territorio de Extremadura.”</w:t>
      </w:r>
    </w:p>
    <w:p w:rsidR="0026452D" w:rsidRDefault="0026452D" w:rsidP="0026452D">
      <w:pPr>
        <w:pStyle w:val="TextoNormal"/>
      </w:pPr>
    </w:p>
    <w:p w:rsidR="0026452D" w:rsidRDefault="0026452D" w:rsidP="0026452D">
      <w:pPr>
        <w:pStyle w:val="TextoNormal"/>
      </w:pPr>
      <w:r>
        <w:t>De acuerdo con las alegaciones del Abogado del Estado al establecer el principio de nivel único de calidad mínima en el suministro de energía eléctrica, este precepto vulneraría el sistema básico de calidad establecido por el Estado en la Ley del sector eléctrico y en el Real Decreto 1955/2000, sistema basado en la distinción entre distintas zonas geográficas para determinar los objetivos de calidad a cumplir, a través de la fijación para cada zona, del tiempo y número de interrupciones previstas e imprevistas que no deben superarse; este modelo que sería incompatible con la previsión del art. 2 de la Ley de protección de la calidad del suministro eléctrico en Extremadura. Los Letrados de la Junta de Extremadura y de la Asamblea de Extremadura sostienen, de contrario, que el artículo impugnado es respetuoso con la normativa básica estatal en la materia puesto que, al hablar de mínimos, no impide la actuación en pos de conseguir objetivos de calidad en consumo final sin que la norma estatal califique la calidad zonal que se entiende vulnerada como de máximos o mínimos, lo que permite su modulación por la Comunidad Autónoma.</w:t>
      </w:r>
    </w:p>
    <w:p w:rsidR="0026452D" w:rsidRDefault="0026452D" w:rsidP="0026452D">
      <w:pPr>
        <w:pStyle w:val="TextoNormal"/>
      </w:pPr>
    </w:p>
    <w:p w:rsidR="0026452D" w:rsidRDefault="0026452D" w:rsidP="0026452D">
      <w:pPr>
        <w:pStyle w:val="TextoNormal"/>
      </w:pPr>
      <w:r>
        <w:t>Así expuestas las alegaciones de las partes, debemos determinar si resulta legítimo, desde la perspectiva del orden constitucional de competencias, que se establezca por la norma extremeña un nivel mínimo de calidad en el suministro eléctrico común para todo el territorio autonómico, sin distinción de zonas.</w:t>
      </w:r>
    </w:p>
    <w:p w:rsidR="0026452D" w:rsidRDefault="0026452D" w:rsidP="0026452D">
      <w:pPr>
        <w:pStyle w:val="TextoNormal"/>
      </w:pPr>
    </w:p>
    <w:p w:rsidR="0026452D" w:rsidRDefault="0026452D" w:rsidP="0026452D">
      <w:pPr>
        <w:pStyle w:val="TextoNormal"/>
      </w:pPr>
      <w:r>
        <w:t xml:space="preserve">Ha de partirse de lo dispuesto en la Ley del sector eléctrico, norma cuyo carácter básico en esta materia no ha sido puesto en duda en el curso del presente proceso. De acuerdo con esta norma, corresponde al Estado “establecer los requisitos mínimos de calidad” [art. 3.1 i)], lo que se corresponde con la obligación de las empresas distribuidoras de asegurar el nivel de calidad del servicio, que se determinará reglamentariamente atendiendo a “criterios de diferenciación por áreas y tipología del consumo” [art. 41.1 k)]; el art. 48 hace referencia, en su apartado 1, a “la diferenciación por zonas a la que se refiere el número siguiente” que dispone que las líneas de actuación en materia de calidad tenderán a “la consecución de los </w:t>
      </w:r>
      <w:r>
        <w:lastRenderedPageBreak/>
        <w:t>objetivos de calidad, tanto en consumo final como en las zonas que, por sus características demográficas y tipología del consumo, puedan considerarse idóneas para la determinación de objetivos diferenciados” y posteriormente señala que “la Administración General del Estado determinará unos índices objetivos de calidad del servicio, así como unos valores entre los que estos índices puedan oscilar, a cumplir tanto a nivel de usuario individual, como para cada zona geográfica atendida por un único distribuidor. Estos índices deberán tomar en consideración la continuidad del suministro, relativo al número y duración de las interrupciones y la calidad del producto relativa a las características de la tensión”, términos legales que se traducen, en la determinación reglamentaria de aspectos tales como las características y continuidad del suministro de energía eléctrica, la garantía de calidad de los servicios complementarios al suministro eléctrico y la distinción de objetivos de calidad por zonas geográficas determinadas así como en relación al consumidor individual, niveles de calidad para cada zona cuyo incumplimiento obliga a la empresa eléctrica a indemnizar al cliente mediante reducciones en su factura (art. 48.4 de la Ley del sector eléctrico).</w:t>
      </w:r>
    </w:p>
    <w:p w:rsidR="0026452D" w:rsidRDefault="0026452D" w:rsidP="0026452D">
      <w:pPr>
        <w:pStyle w:val="TextoNormal"/>
      </w:pPr>
    </w:p>
    <w:p w:rsidR="0026452D" w:rsidRDefault="0026452D" w:rsidP="0026452D">
      <w:pPr>
        <w:pStyle w:val="TextoNormal"/>
      </w:pPr>
      <w:r>
        <w:t xml:space="preserve">La concreción reglamentaria reclamada por la Ley del sector eléctrico se contiene en el Real Decreto 1955/2000, de 1 de diciembre, por el que se regulan las actividades de transporte, distribución, comercialización, suministro y procedimientos de autorización de instalaciones de energía eléctrica, declarado básico </w:t>
      </w:r>
      <w:r w:rsidRPr="0026452D">
        <w:rPr>
          <w:i/>
        </w:rPr>
        <w:t>ex</w:t>
      </w:r>
      <w:r>
        <w:t xml:space="preserve"> arts. 149.1.13 y 149.1.25 CE conforme a su disposición adicional primera. Así, el art. 99 del Real Decreto 1955/2000 regula el concepto de calidad de servicio, integrado por un triple contenido, objeto de regulación diferenciada a lo largo de los artículos siguientes del reglamento en cuestión. Dicho triple contenido abarca la continuidad del suministro, relativa al número y duración de las interrupciones del suministro; la calidad del producto, relativa a las características de la onda de tensión y, por último, la calidad en la atención y relación con el cliente, relativa al conjunto de actuaciones de información, asesoramiento, contratación, comunicación y reclamación. A su vez, el apartado 3 establece la distinción entre calidad individual (de naturaleza contractual y referida a cada uno de los consumidores) y zonal (referida a una determinada zona geográfica atendida por un único distribuidor), distinguiéndose cuatro tipos de zonas en función del número de suministros, a las que se asignan umbrales de calidad diferenciados para cada una y para cada usuario individual. El art. 104 del Real Decreto 1955/2000, determina dichos umbrales, consistentes en valores máximos relativos al número total de interrupciones y de su duración en horas. Los cuatro tipos de zonas son: la urbana (conjunto de municipios de una provincia con más de 20.000 suministros, incluyéndose las capitales de provincia aunque no lleguen a esa cifra); la semiurbana (municipios con un número de suministros entre 2.000 y 20.000); la rural concentrada (entre 200 y 2.000 suministros), y la rural dispersa (menos de 200 suministros o ubicados fuera de los núcleos de población que no sean polígonos industriales o residenciales).</w:t>
      </w:r>
    </w:p>
    <w:p w:rsidR="0026452D" w:rsidRDefault="0026452D" w:rsidP="0026452D">
      <w:pPr>
        <w:pStyle w:val="TextoNormal"/>
      </w:pPr>
    </w:p>
    <w:p w:rsidR="0026452D" w:rsidRDefault="0026452D" w:rsidP="0026452D">
      <w:pPr>
        <w:pStyle w:val="TextoNormal"/>
      </w:pPr>
      <w:r w:rsidRPr="0026452D">
        <w:rPr>
          <w:rStyle w:val="NumeroAFNegritaCaracter"/>
        </w:rPr>
        <w:t>5</w:t>
      </w:r>
      <w:r>
        <w:t>. Así expuesta a grandes rasgos la regulación estatal en materia de calidad del suministro eléctrico, se debe determinar a continuación si ha de considerarse básica dicha normativa y, en consecuencia, susceptible de constituirse en parámetro de enjuiciamiento del art. 2 de la Ley de protección de la calidad del suministro eléctrico en Extremadura  para valorar su adecuación al orden constitucional de competencias.</w:t>
      </w:r>
    </w:p>
    <w:p w:rsidR="0026452D" w:rsidRDefault="0026452D" w:rsidP="0026452D">
      <w:pPr>
        <w:pStyle w:val="TextoNormal"/>
      </w:pPr>
    </w:p>
    <w:p w:rsidR="0026452D" w:rsidRDefault="0026452D" w:rsidP="0026452D">
      <w:pPr>
        <w:pStyle w:val="TextoNormal"/>
      </w:pPr>
      <w:r>
        <w:t xml:space="preserve">Los aludidos preceptos de la Ley del sector eléctrico cumplen con los requisitos formales que nuestra doctrina ha exigido a la legislación básica, puesto que se trata de preceptos de rango legal declarados básicos </w:t>
      </w:r>
      <w:r w:rsidRPr="0026452D">
        <w:rPr>
          <w:i/>
        </w:rPr>
        <w:t>ex</w:t>
      </w:r>
      <w:r>
        <w:t xml:space="preserve"> arts. 149.1.13 y 149.1.25 CE en virtud de la disposición </w:t>
      </w:r>
      <w:r>
        <w:lastRenderedPageBreak/>
        <w:t xml:space="preserve">final primera de la Ley del sector eléctrico. Por otro lado, desde la perspectiva material, todos ellos regulan aspectos relacionados con la continuidad y la calidad en el suministro eléctrico que constituyen un común normativo necesario para asegurar el principio de garantía del suministro de energía eléctrica a todos los demandantes del mismo, con la necesaria continuidad y calidad, principio proclamado en el art. 10.1 de la Ley del sector eléctrico y cuyo carácter básico hemos declarado en la STC 18/2011, FJ 8. Por otro lado, el establecimiento de unas determinadas medidas de calidad del suministro de energía eléctrica constituye también, como ya hemos señalado en la STC 148/2011, FFJJ 6 y 8 </w:t>
      </w:r>
      <w:r w:rsidRPr="0026452D">
        <w:rPr>
          <w:i/>
        </w:rPr>
        <w:t>in fine</w:t>
      </w:r>
      <w:r>
        <w:t>, una garantía tanto para los consumidores como para el correcto funcionamiento de los diferentes sectores de la economía nacional. Por ello, estos preceptos presentan también una clara dimensión básica desde la perspectiva material.</w:t>
      </w:r>
    </w:p>
    <w:p w:rsidR="0026452D" w:rsidRDefault="0026452D" w:rsidP="0026452D">
      <w:pPr>
        <w:pStyle w:val="TextoNormal"/>
      </w:pPr>
    </w:p>
    <w:p w:rsidR="0026452D" w:rsidRDefault="0026452D" w:rsidP="0026452D">
      <w:pPr>
        <w:pStyle w:val="TextoNormal"/>
      </w:pPr>
      <w:r>
        <w:t>Igualmente ha de predicarse ese mismo carácter básico de los arts. 99 y siguientes del Real Decreto 1955/2000, que desarrollan las previsiones antes citadas, pues la Ley del sector eléctrico, para ordenar el sector eléctrico regulando las grandes directrices de las actividades destinadas al suministro de energía eléctrica, se encuentra complementada en muchas de sus previsiones por distintas disposiciones de rango reglamentario justificadas por motivos técnicos o para optimizar el cumplimiento de las finalidades propuestas por la Constitución o por la propia Ley del sector eléctrico. Por eso, desde la perspectiva formal, han de entenderse cumplidas las exigencias para que la norma tenga la naturaleza de básica, máxime cuando en este caso la intervención del reglamento en la delimitación de lo básico se justifica porque la propia norma legal lo reclama para completar la regulación de la disciplina básica por ella definida y conseguir la exigible calidad y seguridad en el suministro, así como también por su carácter marcadamente técnico, justificativo de su tratamiento por normas reglamentarias.</w:t>
      </w:r>
    </w:p>
    <w:p w:rsidR="0026452D" w:rsidRDefault="0026452D" w:rsidP="0026452D">
      <w:pPr>
        <w:pStyle w:val="TextoNormal"/>
      </w:pPr>
    </w:p>
    <w:p w:rsidR="0026452D" w:rsidRDefault="0026452D" w:rsidP="0026452D">
      <w:pPr>
        <w:pStyle w:val="TextoNormal"/>
      </w:pPr>
      <w:r>
        <w:t>Respecto a la comprobación de la concurrencia del segundo de los elementos exigidos por la jurisprudencia constitucional y relativos a los requisitos materiales exigibles a toda normativa básica, resulta que estos preceptos tienen como finalidad garantizar la calidad adecuada en el suministro de energía eléctrica a todos los usuarios ya sean éstos particulares u operadores de los distintos sectores económicos mediante la fijación de umbrales de calidad. La importancia de la necesaria garantía de calidad en el ordenado suministro de energía eléctrica, recurso esencial e imprescindible tanto para los ciudadanos particulares como para el conjunto de los sectores económicos, justifica, así, su carácter básico. Más en concreto la diferenciación zonal establecida en el art. 99 del Real Decreto 1955/2000 encuentra su justificación en la directa relación existente entre la mayor densidad de población y la disponibilidad de infraestructuras de la red de distribución, lo que permite atender el suministro de energía eléctrica desde distintos puntos. Así, una vez establecido el derecho de todos los consumidores al suministro eléctrico, es normal que los requerimientos en materia de calidad se incrementen en la medida en que lo permitan las disponibilidades técnicas, en particular en lo relativo a las instalaciones de distribución. Ello sin perjuicio de que, en todo caso, esta calidad exigible se encuentra vinculada, como ya hemos mencionado, a la prestación obligatoria del suministro, derivado de su carácter de servicio esencial (art. 2.2 de la Ley del sector eléctrico), y a la correlativa garantía del suministro de energía eléctrica del art. 10.1 de la Ley del sector eléctrico.</w:t>
      </w:r>
    </w:p>
    <w:p w:rsidR="0026452D" w:rsidRDefault="0026452D" w:rsidP="0026452D">
      <w:pPr>
        <w:pStyle w:val="TextoNormal"/>
      </w:pPr>
    </w:p>
    <w:p w:rsidR="0026452D" w:rsidRDefault="0026452D" w:rsidP="0026452D">
      <w:pPr>
        <w:pStyle w:val="TextoNormal"/>
      </w:pPr>
      <w:r>
        <w:t xml:space="preserve">De cuanto llevamos expuesto pueden deducirse dos principios inspiradores de la normativa básica en esta materia. En primer lugar, la diferenciación de una tipología de zonas </w:t>
      </w:r>
      <w:r>
        <w:lastRenderedPageBreak/>
        <w:t>geográficas a los efectos de determinación de las características y continuidad del suministro eléctrico. En segundo lugar, la fijación de unos índices mínimos de calidad de servicio, no uniformes sino diferentes en función de esa zonificación preestablecida y que han de ser cumplidos en relación con el usuario individual. Por tanto, como señala la Ley del sector eléctrico y confirma el Real Decreto 1955/2000, en particular su art. 104, la normativa básica estatal establece unas exigencias mínimas de calidad para todo el territorio nacional, si bien ponderadas en función de las correspondientes zonas geográficas, determinadas por la ubicación y densidad de la red de distribución y por la imposibilidad técnica y económica de mantener los mismos niveles de calidad del suministro con independencia de las zonas a las que ese suministro se dirige.</w:t>
      </w:r>
    </w:p>
    <w:p w:rsidR="0026452D" w:rsidRDefault="0026452D" w:rsidP="0026452D">
      <w:pPr>
        <w:pStyle w:val="TextoNormal"/>
      </w:pPr>
    </w:p>
    <w:p w:rsidR="0026452D" w:rsidRDefault="0026452D" w:rsidP="0026452D">
      <w:pPr>
        <w:pStyle w:val="TextoNormal"/>
      </w:pPr>
      <w:r>
        <w:t>Demostrado el carácter básico de las previsiones de la norma estatal, no queda sino concluir en que el art. 2 de la Ley de protección de la calidad del suministro eléctrico en Extremadura no se ajusta a tales criterios, puesto que al establecer el principio de la existencia de un nivel mínimo de calidad único e igual para todas las zonas geográficas de la Comunidad Autónoma de Extremadura, contradice expresamente dicha base estatal, cuyo punto de partida es precisamente el contrario, la diferenciación por áreas y tipología de consumo. Se produce entonces una contradicción efectiva con la normativa básica que no puede ser salvada con el argumento de que el precepto autonómico no concreta ese nivel mínimo exigible en todo el territorio de la Comunidad Autónoma, cuestión que quedaría diferida a un desarrollo reglamentario posterior, tal como dispone el art. 5.3 de la Ley de protección de la calidad del suministro eléctrico en Extremadura. Si bien esa falta de concreción del nivel mínimo resultaría compatible con la existencia de diferentes calidades del servicio en el territorio autonómico siempre que se respetase ese mínimo, no se respetaría con ello la base estatal que no contempla el establecimiento de un nivel único de calidad en toda la Comunidad Autónoma —fuera este el que fuere— sino que, por el contrario, prevé la diferenciación de estándares mínimos de calidad en función de zonas geográficas determinadas por sus características demográficas y tipología del consumo. Esta distinción es, precisamente, la que no contempla la norma autonómica impugnada, falta de diferenciación que se corrobora en la norma reglamentaria dictada en desarrollo de la Ley extremeña. En efecto, el Decreto de la Junta de Extremadura 58/2007, de 10 de abril, por el que se regula el procedimiento de control de la continuidad en el suministro eléctrico y las consecuencias derivadas de su incumplimiento, considera en sus arts. 2.2 y 12.1 que el índice de continuidad mínimo, determinado por el número y duración de las interrupciones de suministro, aplicable a todo el territorio de Extremadura es el establecido por el Real Decreto 1955/2000 para determinar la continuidad del suministro en las zonas urbanas, es decir, el que corresponde al máximo nivel de exigencia de los contemplados en las bases estatales.</w:t>
      </w:r>
    </w:p>
    <w:p w:rsidR="0026452D" w:rsidRDefault="0026452D" w:rsidP="0026452D">
      <w:pPr>
        <w:pStyle w:val="TextoNormal"/>
      </w:pPr>
    </w:p>
    <w:p w:rsidR="0026452D" w:rsidRDefault="0026452D" w:rsidP="0026452D">
      <w:pPr>
        <w:pStyle w:val="TextoNormal"/>
      </w:pPr>
      <w:r>
        <w:t>De todo ello debe concluirse que el art 2 de la Ley de protección de la calidad del suministro eléctrico en Extremadura infringe la normativa básica en la materia, vulnerando el orden constitucional de distribución de competencias y siendo, por tanto, inconstitucional y nulo.</w:t>
      </w:r>
    </w:p>
    <w:p w:rsidR="0026452D" w:rsidRDefault="0026452D" w:rsidP="0026452D">
      <w:pPr>
        <w:pStyle w:val="TextoNormal"/>
      </w:pPr>
    </w:p>
    <w:p w:rsidR="0026452D" w:rsidRDefault="0026452D" w:rsidP="0026452D">
      <w:pPr>
        <w:pStyle w:val="TextoNormal"/>
      </w:pPr>
      <w:r w:rsidRPr="0026452D">
        <w:rPr>
          <w:rStyle w:val="NumeroAFNegritaCaracter"/>
        </w:rPr>
        <w:t>6</w:t>
      </w:r>
      <w:r>
        <w:t>. A continuación se impugna el art. 7.3 a) de la Ley, el cual, al regular los derechos de los consumidores, una vez determinada la existencia de interrupciones de suministro así como de variaciones de tensión, establece la posibilidad de adoptar la medida siguiente:</w:t>
      </w:r>
    </w:p>
    <w:p w:rsidR="0026452D" w:rsidRDefault="0026452D" w:rsidP="0026452D">
      <w:pPr>
        <w:pStyle w:val="TextoNormal"/>
      </w:pPr>
    </w:p>
    <w:p w:rsidR="0026452D" w:rsidRDefault="0026452D" w:rsidP="0026452D">
      <w:pPr>
        <w:pStyle w:val="TextoNormal"/>
      </w:pPr>
      <w:r>
        <w:t>“a) A la reducción de la facturación a abonar por los consumidores en la forma siguiente:</w:t>
      </w:r>
    </w:p>
    <w:p w:rsidR="0026452D" w:rsidRDefault="0026452D" w:rsidP="0026452D">
      <w:pPr>
        <w:pStyle w:val="TextoNormal"/>
      </w:pPr>
    </w:p>
    <w:p w:rsidR="0026452D" w:rsidRDefault="0026452D" w:rsidP="0026452D">
      <w:pPr>
        <w:pStyle w:val="TextoNormal"/>
      </w:pPr>
      <w:r>
        <w:t>Las variaciones de tensión o interrupciones de suministro continuadas y superiores a 1 hora comportarán una reducción de la facturación mensual de un 20 por 100, porcentaje que será elevado en dos puntos porcentuales por cada hora o fracción adicional.”</w:t>
      </w:r>
    </w:p>
    <w:p w:rsidR="0026452D" w:rsidRDefault="0026452D" w:rsidP="0026452D">
      <w:pPr>
        <w:pStyle w:val="TextoNormal"/>
      </w:pPr>
    </w:p>
    <w:p w:rsidR="0026452D" w:rsidRDefault="0026452D" w:rsidP="0026452D">
      <w:pPr>
        <w:pStyle w:val="TextoNormal"/>
      </w:pPr>
      <w:r>
        <w:t>La representación procesal del Estado entiende que este precepto, al establecer una reducción en la facturación a abonar como consecuencia del incumplimiento de la calidad en el suministro, incide de manera directa en el modelo de sistema eléctrico previsto por el Estado, ya que, además de ser impreciso en cuanto a la determinación de la elevación del porcentaje de descuento previsto en el precepto, tiene repercusiones tarifarias, puesto que perturba gravemente el régimen de tarifa única al crear una disminución de los ingresos en el territorio de Extremadura, con lo que vulnera el régimen homogéneo de reducción de facturación establecido en la normativa básica. Por el contrario, el Letrado de la Junta de Extremadura señala que la norma no vulnera las competencias estatales, ya que, por un lado, el principio de tarifa única decae por la existencia, en la normativa estatal, de modulaciones en virtud del incumplimiento de los niveles de calidad en el suministro y, por otro, el articulo impugnado viene a desarrollar la normativa estatal, reproduciendo las obligaciones genéricas de cualquier relación productor-consumidores recogidas tanto en la legislación de defensa de los consumidores, como en el propio capítulo II del título VI del Real Decreto 1955/2000. Por su parte, el Letrado de la Asamblea de Extremadura considera que el precepto es conforme con las competencias que corresponden a la Comunidad Autónoma, pues no deja de ser una mera consecuencia del sistema de protección al consumidor, sin que la imposición de una carga económica a las compañías eléctricas cuando el servicio no alcance los mínimos de calidad exigibles pueda considerarse incluida dentro de la normativa básica.</w:t>
      </w:r>
    </w:p>
    <w:p w:rsidR="0026452D" w:rsidRDefault="0026452D" w:rsidP="0026452D">
      <w:pPr>
        <w:pStyle w:val="TextoNormal"/>
      </w:pPr>
    </w:p>
    <w:p w:rsidR="0026452D" w:rsidRDefault="0026452D" w:rsidP="0026452D">
      <w:pPr>
        <w:pStyle w:val="TextoNormal"/>
      </w:pPr>
      <w:r w:rsidRPr="0026452D">
        <w:rPr>
          <w:rStyle w:val="NumeroAFNegritaCaracter"/>
        </w:rPr>
        <w:t>7</w:t>
      </w:r>
      <w:r>
        <w:t>. La cuestión controvertida se relaciona con las eventuales consecuencias asociadas a la falta de calidad en el suministro individual de energía eléctrica, por lo que procede examinar las previsiones estatales y autonómicas al respecto.</w:t>
      </w:r>
    </w:p>
    <w:p w:rsidR="0026452D" w:rsidRDefault="0026452D" w:rsidP="0026452D">
      <w:pPr>
        <w:pStyle w:val="TextoNormal"/>
      </w:pPr>
    </w:p>
    <w:p w:rsidR="0026452D" w:rsidRDefault="0026452D" w:rsidP="0026452D">
      <w:pPr>
        <w:pStyle w:val="TextoNormal"/>
      </w:pPr>
      <w:r>
        <w:t>El art. 48.4 de la Ley del sector eléctrico, dispone: “Reglamentariamente se establecerá el procedimiento para determinar las reducciones que hayan de aplicarse en la facturación a abonar por los usuarios si se constatara que la calidad del servicio individual prestado por la empresa es inferior a la reglamentariamente exigible.” Esa calidad reglamentariamente exigible a la que hace referencia el precepto legal es la establecida en el art. 104 del Real Decreto 1955/2000, el cual determina los criterios aplicables en materia de continuidad del suministro eléctrico obligando a que el número y duración de las interrupciones no previstas del mismo no superen los valores máximos anuales, medidos en número de horas y en número de interrupciones que el propio precepto determina, diferenciando entre suministros de media y baja tensión para cada uno de los cuatro tipos de zonas fijadas en el art. 99.4 del Real Decreto 1955/2000 y que ya hemos examinado. En caso de que, para algún usuario individual, dichos máximos, en términos de número de interrupciones y duración en horas, sean superados, la consecuencia prevista por el Real Decreto 1955/2000, es la obligación para las empresas de aplicar a tal usuario los descuentos previstos en su art. 105 diferenciándose varios supuestos, con un tope máximo de descuento del 10 por 100 de la facturación anual, descuento aplicable dentro del primer trimestre del año siguiente al del incumplimiento y todo ello sin perjuicio de la reclamación de los daños y perjuicios derivados del incumplimiento de la calidad de servicio individual.</w:t>
      </w:r>
    </w:p>
    <w:p w:rsidR="0026452D" w:rsidRDefault="0026452D" w:rsidP="0026452D">
      <w:pPr>
        <w:pStyle w:val="TextoNormal"/>
      </w:pPr>
    </w:p>
    <w:p w:rsidR="0026452D" w:rsidRDefault="0026452D" w:rsidP="0026452D">
      <w:pPr>
        <w:pStyle w:val="TextoNormal"/>
      </w:pPr>
      <w:r>
        <w:lastRenderedPageBreak/>
        <w:t>Frente al descrito sistema de reducciones en la facturación previsto en la Ley del sector eléctrico y en el Real Decreto 1955/2000, la demanda alega que las reducciones previstas en la Ley de protección de la calidad del suministro eléctrico en Extremadura  no sólo exceden del porcentaje sobre la factura (20 por 100 frente al 10 por 100), sino que son más exigentes desde el punto de vista temporal (una hora) y territorial (para todas las zonas), además de aplicarse mensualmente frente al criterio anual establecido en la norma estatal.</w:t>
      </w:r>
    </w:p>
    <w:p w:rsidR="0026452D" w:rsidRDefault="0026452D" w:rsidP="0026452D">
      <w:pPr>
        <w:pStyle w:val="TextoNormal"/>
      </w:pPr>
    </w:p>
    <w:p w:rsidR="0026452D" w:rsidRDefault="0026452D" w:rsidP="0026452D">
      <w:pPr>
        <w:pStyle w:val="TextoNormal"/>
      </w:pPr>
      <w:r w:rsidRPr="0026452D">
        <w:rPr>
          <w:rStyle w:val="NumeroAFNegritaCaracter"/>
        </w:rPr>
        <w:t>8</w:t>
      </w:r>
      <w:r>
        <w:t>. Expuesto el régimen de la normativa estatal que se reputa vulnerada debemos proceder al análisis de los concretos motivos de inconstitucionalidad planteados Hay que señalar, con carácter previo, la queja formulada por el Abogado del Estado sobre la falta de determinación o claridad del precepto impugnado; como con referencia a otras señala la STC 37/2002, de 14 de febrero, FJ 6, el juicio de constitucionalidad no es un juicio de técnica legislativa, de suerte que “las deficiencias técnicas no representan en sí mismas tachas de inconstitucionalidad; siendo, por otra parte, inherente al valor superior del pluralismo (art. 1.1 CE) que las leyes puedan resultar tan acertadas y oportunas para unos como desacertadas e inoportunas para otros”.</w:t>
      </w:r>
    </w:p>
    <w:p w:rsidR="0026452D" w:rsidRDefault="0026452D" w:rsidP="0026452D">
      <w:pPr>
        <w:pStyle w:val="TextoNormal"/>
      </w:pPr>
    </w:p>
    <w:p w:rsidR="0026452D" w:rsidRDefault="0026452D" w:rsidP="0026452D">
      <w:pPr>
        <w:pStyle w:val="TextoNormal"/>
      </w:pPr>
      <w:r>
        <w:t>Hecha esta precisión, el concreto análisis de la impugnación planteada en relación con el art. 7.3 a) de la Ley de protección de la calidad del suministro eléctrico en Extremadura ha de partir del reiterado criterio mantenido por este Tribunal, en cuya virtud, “en la labor hermenéutica de los preceptos legales resulta obligado apurar todas las posibilidades de interpretación de conformidad con la Constitución y apreciar la invalidez sólo de aquellos cuya incompatibilidad con la Norma suprema ‘resulte indudable por ser imposible llevar a cabo dicha interpretación’ (por todas, SSTC 176/1999, de 30 de septiembre, FJ 3, y 89/2004, de 25 de mayo, FJ 8)”. (STC 133/2006, de 27 de abril, FJ 14). Esta interpretación resulta posible en este caso, dado que la contradicción entre los preceptos estatales y el cuestionado art. 7.3 a) de la Ley extremeña no es insalvable y, en consecuencia, éste último puede ser interpretado de modo conforme con el orden constitucional de distribución de competencias.</w:t>
      </w:r>
    </w:p>
    <w:p w:rsidR="0026452D" w:rsidRDefault="0026452D" w:rsidP="0026452D">
      <w:pPr>
        <w:pStyle w:val="TextoNormal"/>
      </w:pPr>
    </w:p>
    <w:p w:rsidR="0026452D" w:rsidRDefault="0026452D" w:rsidP="0026452D">
      <w:pPr>
        <w:pStyle w:val="TextoNormal"/>
      </w:pPr>
      <w:r>
        <w:t>Como resulta de su tenor literal, el art. 7.3 a) de la Ley está regulando un supuesto no previsto en la normativa estatal al que asocia, asimismo, la consecuencia de reducción en la facturación, tampoco prevista expresamente por la misma. Por ello no contradice las bases estatales, sino que constituye una norma propia en materia de calidad del suministro eléctrico en el marco previamente definido por aquellas.</w:t>
      </w:r>
    </w:p>
    <w:p w:rsidR="0026452D" w:rsidRDefault="0026452D" w:rsidP="0026452D">
      <w:pPr>
        <w:pStyle w:val="TextoNormal"/>
      </w:pPr>
    </w:p>
    <w:p w:rsidR="0026452D" w:rsidRDefault="0026452D" w:rsidP="0026452D">
      <w:pPr>
        <w:pStyle w:val="TextoNormal"/>
      </w:pPr>
      <w:r>
        <w:t xml:space="preserve">El supuesto no previsto por la normativa estatal y al que específicamente se refiere el art. 7.3 a) de la Ley de protección de la calidad del suministro eléctrico en Extremadura consiste en las variaciones de tensión o interrupciones de suministro continuadas y superiores a una hora, supuesto que viene calificado por la concurrencia simultánea de dos circunstancias, como pone de manifiesto la utilización de la conjunción copulativa “y”. La primera, que se trate de variaciones de tensión o interrupciones de suministro continuadas, continuidad que se determina atendiendo al número y duración de las interrupciones conforme al art. 8 de la Ley extremeña, recogiendo en idénticos términos lo dispuesto por el art. 101.1 del Real Decreto 1955/2000. Ahora bien, afirmado en los fundamentos jurídicos anteriores el carácter básico de los índices de continuidad del suministro eléctrico previstos en el art. 104.2 del Real Decreto 1955/2000 en lo que respecta al número y duración de las interrupciones, resulta que ha de interpretarse que el concepto de continuidad manejado por el precepto impugnado ha de ser necesariamente coincidente con el de la normativa básica. De esta </w:t>
      </w:r>
      <w:r>
        <w:lastRenderedPageBreak/>
        <w:t>forma las interrupciones o variaciones de tensión son continuadas, a los efectos previstos en el propio art. 7.3 a) de la Ley de protección de la calidad del suministro eléctrico en Extremadura, cuando superen los valores máximos establecidos en el ya citado art. 104.2 del Real Decreto 1955/2000 para cada una de las tensiones y zonas previstas en el mismo. La segunda circunstancia es que, siendo las interrupciones continuadas, atendiendo a los índices máximos de tiempo y número de interrupciones imprevistas determinantes de la apreciación de la falta de continuidad del suministro eléctrico, alguna de ellas tenga una duración superior a una hora, extremo este —la duración de una concreta interrupción en un contexto previo de superación de los índices de continuidad del suministro— no contemplado en la base estatal, pero que no contradice la misma, dado que puede ser considerado, ante el silencio de dicha normativa básica, dictado al amparo de la competencia autonómica de establecimiento de normas adicionales de calidad en el suministro de energía eléctrica.</w:t>
      </w:r>
    </w:p>
    <w:p w:rsidR="0026452D" w:rsidRDefault="0026452D" w:rsidP="0026452D">
      <w:pPr>
        <w:pStyle w:val="TextoNormal"/>
      </w:pPr>
    </w:p>
    <w:p w:rsidR="0026452D" w:rsidRDefault="0026452D" w:rsidP="0026452D">
      <w:pPr>
        <w:pStyle w:val="TextoNormal"/>
      </w:pPr>
      <w:r>
        <w:t>Por otra parte, la consecuencia no prevista por la norma estatal y enlazada por el art. 7.3 a) de la Ley impugnada a la concurrencia de las anteriores circunstancias, a saber, la falta de continuidad del suministro, en los términos previstos por la normativa básica, y duración superior a una hora de la interrupción, es la reducción de la facturación mensual en un 20 por 100, reducción susceptible de incrementarse en dos puntos porcentuales por cada hora o fracción adicional. Con la previsión de dicha reducción, y con independencia de lo que luego se dirá respecto a su cuantía, el precepto autonómico no hace sino seguir el principio contenido en la propia Ley del sector eléctrico en virtud del cual el suministro de energía eléctrica ha de prestarse con un determinado nivel de calidad, cuya reducción determina su equivalente en la facturación al consumidor.</w:t>
      </w:r>
    </w:p>
    <w:p w:rsidR="0026452D" w:rsidRDefault="0026452D" w:rsidP="0026452D">
      <w:pPr>
        <w:pStyle w:val="TextoNormal"/>
      </w:pPr>
    </w:p>
    <w:p w:rsidR="0026452D" w:rsidRDefault="0026452D" w:rsidP="0026452D">
      <w:pPr>
        <w:pStyle w:val="TextoNormal"/>
      </w:pPr>
      <w:r>
        <w:t>Esta reducción del 20 por 100 en la facturación mensual es también compatible con el límite del 10 por 100 de descuento de la facturación anual establecido en la norma estatal al que ya se ha hecho referencia, puesto que, si bien este último porcentaje no es un mínimo superable sino un máximo reducible, nada impide interpretar que el mismo, como tal máximo, se configure como un límite absoluto en la reducción de la facturación a que tiene derecho el consumidor. De esta forma el descuento regulado en la norma autonómica tendrá como tope máximo el 10 por 100 de la facturación anual del consumidor con derecho a reducción, sin que el diferente criterio temporal en la aplicación de los descuentos impida esta interpretación. En efecto, tales criterios son compatibles e independientes, siempre dentro del respeto al límite máximo anual al que ya se ha aludido. Interpretación confirmada por el hecho de que el art. 11.2 del ya citado Decreto autonómico 58/2007, de 10 de abril, señala que tanto las reducciones en la facturación que hayan de practicarse en cumplimiento de lo dispuesto en el mismo, como aquellas que procedan en virtud de lo establecido en la normativa estatal que regula la continuidad del suministro eléctrico, tendrán conjuntamente como tope máximo el 10 por 100 de la facturación anual del consumidor con derecho a reducción.</w:t>
      </w:r>
    </w:p>
    <w:p w:rsidR="0026452D" w:rsidRDefault="0026452D" w:rsidP="0026452D">
      <w:pPr>
        <w:pStyle w:val="TextoNormal"/>
      </w:pPr>
    </w:p>
    <w:p w:rsidR="0026452D" w:rsidRDefault="0026452D" w:rsidP="0026452D">
      <w:pPr>
        <w:pStyle w:val="TextoNormal"/>
      </w:pPr>
      <w:r>
        <w:t xml:space="preserve">Finalmente, en cuanto a las eventuales repercusiones tarifarias alegadas por el Abogado del Estado, entendiendo las mismas referidas ahora a la denominada tarifa de último recurso prevista en el art. 18 de la Ley del sector eléctrico, dicha alegación no puede ser acogida puesto que, afirmado ya que el límite de las reducciones a aplicar en la facturación como consecuencia de la aplicación del precepto impugnado es el previsto en la normativa estatal, y constatado que la reducción tarifaria por defectuosa prestación del servicio está prevista </w:t>
      </w:r>
      <w:r>
        <w:lastRenderedPageBreak/>
        <w:t>en la propia Ley del sector eléctrico (art. 48.4), no puede ligarse a la norma autonómica una repercusión tarifaria distinta de la ya prevista por el Estado.</w:t>
      </w:r>
    </w:p>
    <w:p w:rsidR="0026452D" w:rsidRDefault="0026452D" w:rsidP="0026452D">
      <w:pPr>
        <w:pStyle w:val="TextoNormal"/>
      </w:pPr>
    </w:p>
    <w:p w:rsidR="0026452D" w:rsidRDefault="0026452D" w:rsidP="0026452D">
      <w:pPr>
        <w:pStyle w:val="TextoNormal"/>
      </w:pPr>
      <w:r>
        <w:t>En consecuencia, y de acuerdo con todo lo expuesto, el art. 7.3 a) de la Ley de protección de la calidad del suministro eléctrico en Extremadura no vulnera el orden constitucional de competencias, entendiendo que los descuentos a los que da lugar no pueden superar en su importe el porcentaje máximo del 10 por 100 establecido por la norma estatal, viniendo motivados tales descuentos o reducciones en la facturación por las interrupciones o variaciones de tensión superiores a una hora de duración determinantes de la falta de continuidad del suministro, de acuerdo con los índices relativos al número y duración de interrupciones y la diferenciación por zonas establecida en la normativa básica estatal. Interpretado de esta forma, el precepto no vulnera el orden constitucional de distribución de competencias y así se expresará en el fallo.</w:t>
      </w:r>
    </w:p>
    <w:p w:rsidR="0026452D" w:rsidRDefault="0026452D" w:rsidP="0026452D">
      <w:pPr>
        <w:pStyle w:val="TextoNormal"/>
      </w:pPr>
    </w:p>
    <w:p w:rsidR="0026452D" w:rsidRDefault="0026452D" w:rsidP="0026452D">
      <w:pPr>
        <w:pStyle w:val="TextoNormal"/>
      </w:pPr>
      <w:r w:rsidRPr="0026452D">
        <w:rPr>
          <w:rStyle w:val="NumeroAFNegritaCaracter"/>
        </w:rPr>
        <w:t>9</w:t>
      </w:r>
      <w:r>
        <w:t>. El último de los preceptos impugnados es el art. 9.5 de la Ley de protección de la calidad del suministro eléctrico en Extremadura que dispone lo siguiente:</w:t>
      </w:r>
    </w:p>
    <w:p w:rsidR="0026452D" w:rsidRDefault="0026452D" w:rsidP="0026452D">
      <w:pPr>
        <w:pStyle w:val="TextoNormal"/>
      </w:pPr>
    </w:p>
    <w:p w:rsidR="0026452D" w:rsidRDefault="0026452D" w:rsidP="0026452D">
      <w:pPr>
        <w:pStyle w:val="TextoNormal"/>
      </w:pPr>
      <w:r>
        <w:t>“El órgano responsable de la Consejería competente en materia de energía exigirá a las empresas distribuidoras y comercializadoras, en los términos que reglamentariamente se determine, el depósito de una fianza anual equivalente al 1 por 100 de la facturación anual de la empresa en la Comunidad Autónoma de Extremadura, que garantice la calidad del suministro y responda ante la Administración de los daños y perjuicios causados, así como del cumplimiento de las obligaciones impuestas por esta Ley, pudiendo ser modificada su cuantía mediante Decreto del Consejo de Gobierno, en función de la evolución del sector. Esta fianza será depositada en los quince primeros días del mes de enero en la Cuenta General existente a tal efecto en las Entidades Financieras designadas por la Consejería de Economía, Industria y Comercio, en la Caja de Depósitos de la Tesorería de la Junta de Extremadura, conforme a lo establecido en sus normas reguladoras, o en su caso, en las cuentas restringidas de las sucursales de la Caja de Depósitos.”</w:t>
      </w:r>
    </w:p>
    <w:p w:rsidR="0026452D" w:rsidRDefault="0026452D" w:rsidP="0026452D">
      <w:pPr>
        <w:pStyle w:val="TextoNormal"/>
      </w:pPr>
    </w:p>
    <w:p w:rsidR="0026452D" w:rsidRDefault="0026452D" w:rsidP="0026452D">
      <w:pPr>
        <w:pStyle w:val="TextoNormal"/>
      </w:pPr>
      <w:r>
        <w:t>Según la demanda, este precepto vulnera las competencias estatales por establecer una obligación de contenido económico para las empresas distribuidoras y comercializadoras, alterando así el régimen económico previsto en la ordenación del sector y vulnerando las bases que sobre el mismo ha establecido el Estado. En relación con el primer aspecto, se señala que el establecimiento de esta obligación en la ley autonómica generará un coste para las empresas distribuidoras y comercializadoras, coste que, en aplicación del principio de suficiencia tarifaria, deberá ser reconocido en la retribución que estas empresas perciben con cargo a la tarifa única que pagan todos los consumidores a nivel nacional, lo que comporta la vulneración de los arts. 16 y 17 de la Ley del sector eléctrico. En cuanto al segundo aspecto, el Abogado del Estado considera que la exigencia de fianza anual por el precepto autonómico se superpone al régimen de solvencia económica previsto por la para asegurar que las empresas afectadas se encuentran en situación de cumplir con las obligaciones económicas establecidas en las leyes reguladoras de tales actividades, régimen que se traduce en la obligación de llevar una contabilidad separada para cada una de ellas y acreditar suficiente capacidad económica para la obtención de la autorización de instalaciones de distribución.</w:t>
      </w:r>
    </w:p>
    <w:p w:rsidR="0026452D" w:rsidRDefault="0026452D" w:rsidP="0026452D">
      <w:pPr>
        <w:pStyle w:val="TextoNormal"/>
      </w:pPr>
    </w:p>
    <w:p w:rsidR="0026452D" w:rsidRDefault="0026452D" w:rsidP="0026452D">
      <w:pPr>
        <w:pStyle w:val="TextoNormal"/>
      </w:pPr>
      <w:r>
        <w:lastRenderedPageBreak/>
        <w:t>La representación procesal de la Junta de Extremadura niega la existencia de vulneración alguna del régimen económico único del sector eléctrico, al considerar que, a la luz de lo dispuesto en los arts. 16 y 17 de la Ley del sector eléctrico, no puede hablarse de tal tarifa única. Por otra parte cuestiona la posibilidad de que la obligación de prestar garantías pueda ser repercutida por las empresas en las tarifas. El Letrado de la Asamblea de Extremadura señala que esta exigencia de fianza no es contraria a la legislación estatal, ya que dicha medida ha de contemplarse en el contexto de mejora de la calidad del suministro eléctrico en determinadas zonas, lo que constituye también el objetivo de la Ley del sector eléctrico.</w:t>
      </w:r>
    </w:p>
    <w:p w:rsidR="0026452D" w:rsidRDefault="0026452D" w:rsidP="0026452D">
      <w:pPr>
        <w:pStyle w:val="TextoNormal"/>
      </w:pPr>
    </w:p>
    <w:p w:rsidR="0026452D" w:rsidRDefault="0026452D" w:rsidP="0026452D">
      <w:pPr>
        <w:pStyle w:val="TextoNormal"/>
      </w:pPr>
      <w:r w:rsidRPr="0026452D">
        <w:rPr>
          <w:rStyle w:val="NumeroAFNegritaCaracter"/>
        </w:rPr>
        <w:t>10</w:t>
      </w:r>
      <w:r>
        <w:t>. En relación con el primer motivo de impugnación de este precepto, relativo al incremento de costes de las actividades de comercialización y distribución de energía eléctrica y su consiguiente incidencia en los conceptos retributivos de tales actividades hemos declarado que el establecimiento del régimen económico del sector eléctrico “constituye uno de los aspectos fundamentales de su ordenación” (STC 18/2011, FJ 8), así como que “la regulación de un régimen económico único para todo el territorio nacional en la materia que nos ocupa tiene naturaleza básica, al ser necesaria esa regulación para calcular la retribución de los distintos operadores que realizan las diferentes actividades destinadas al suministro eléctrico y para repercutir los costes sobre los consumidores” [FJ 21 a)]. Esta retribución se satisface, de acuerdo con el art. 15 de la Ley del sector eléctrico, con cargo a los peajes y precios fijados atendiendo a criterios objetivos, transparentes y no discriminatorios que tienen por objeto incentivar la mejora de la eficacia de la gestión, la eficiencia económica y técnica de dichas actividades y la calidad del suministro eléctrico. En dicho marco, los concretos criterios para la retribución de la Ley del sector eléctrico actividad de distribución y de comercialización se fijan en los arts. 16.3 y 16.4, respectivamente. Dadas las alegaciones del Abogado del Estado centradas en la repercusión de la regulación autonómica sobre la tarifa eléctrica, hemos de tener presente que, conforme a nuestro reiterado criterio en aquellos casos en los que se haya modificado la norma estatal que se reputa conculcada, este Tribunal ha de realizar el enjuiciamiento valorando la norma vigente en el momento de adoptar la decisión sobre la constitucionalidad de los preceptos recurridos (por todas, STC 18/2011, FFJJ 4 y 17, y doctrina allí citada). Ya recordamos en las SSTC 18/2011, FJ 3, y 148/2011, FJ 4, que la Ley 17/2007, de 4 de julio, que modifica la Ley del sector eléctrico para adaptarla a la Directiva 2003/54/CE, del Parlamento Europeo y del Consejo, de 26 de junio de 2003, sobre normas comunes para el mercado interior de la electricidad, reforma la configuración de la actividad de distribución, en la que, desde el 1 de enero de 2009, ya no se integrará la actividad de suministro a tarifa de los consumidores. El suministro a tarifa es sustituido por la denominada tarifa de último recurso, consistente en precios máximos fijados por la Administración para determinados consumidores para quienes se concibe el suministro eléctrico como servicio universal, mecanismo que ha sustituido a las anteriormente vigentes tarifas eléctricas cobradas directamente a los consumidores por las empresas que realizaban las actividades de distribución en tanto que responsables del suministro a los consumidores a tarifa, suministro que pasa a ser realizado en su totalidad por los comercializadores en libre competencia, siendo los consumidores de electricidad quienes eligen libremente a su comercializador.</w:t>
      </w:r>
    </w:p>
    <w:p w:rsidR="0026452D" w:rsidRDefault="0026452D" w:rsidP="0026452D">
      <w:pPr>
        <w:pStyle w:val="TextoNormal"/>
      </w:pPr>
    </w:p>
    <w:p w:rsidR="0026452D" w:rsidRDefault="0026452D" w:rsidP="0026452D">
      <w:pPr>
        <w:pStyle w:val="TextoNormal"/>
      </w:pPr>
      <w:r>
        <w:t xml:space="preserve">Teniendo presente lo anterior, y a efectos de analizar adecuadamente el alcance de la obligación impuesta por el precepto autonómico que constituye el problema objeto de debate, y dada la diferencia de funciones asignadas a las mismas en el sistema eléctrico según </w:t>
      </w:r>
      <w:r>
        <w:lastRenderedPageBreak/>
        <w:t>lo dispuesto en los arts. 9.1 e) y f) de la Ley del sector eléctrico, debe distinguirse entre el régimen económico aplicable a las empresas comercializadoras y a las distribuidoras.</w:t>
      </w:r>
    </w:p>
    <w:p w:rsidR="0026452D" w:rsidRDefault="0026452D" w:rsidP="0026452D">
      <w:pPr>
        <w:pStyle w:val="TextoNormal"/>
      </w:pPr>
    </w:p>
    <w:p w:rsidR="0026452D" w:rsidRDefault="0026452D" w:rsidP="0026452D">
      <w:pPr>
        <w:pStyle w:val="TextoNormal"/>
      </w:pPr>
      <w:r>
        <w:t>La diferencia de funciones que cumplen unas y otras en el sector eléctrico determina que, como ya hemos examinado, la distribución tenga el carácter de actividad regulada (art. 11.2 de la Ley del sector eléctrico), mientras que la comercialización se ejerce libremente en los términos de la Ley del sector eléctrico, con la excepción de los comercializadores de último recurso. Por esta razón, las alegaciones del Abogado del Estado sobre la vulneración del régimen económico del sector eléctrico no pueden prosperar en relación con las empresas comercializadoras puesto que, en este caso, conforme a la propia Ley del sector eléctrico (arts. 11.3 y 16.4), el suministro de energía, responsabilidad de estas empresas elegidas libremente por los consumidores, se realiza mediante la libre contratación de la energía y el correspondiente contrato de acceso a las redes [art. 44.1 de la Ley del sector eléctrico y 79.2 b) del Real Decreto 1955/2000], razón por la cual la retribución de los costes de la actividad de comercialización será la que libremente se pacte entre las partes. Este extremo determina que no se produzca en este supuesto la denunciada afectación al régimen económico del sector eléctrico.</w:t>
      </w:r>
    </w:p>
    <w:p w:rsidR="0026452D" w:rsidRDefault="0026452D" w:rsidP="0026452D">
      <w:pPr>
        <w:pStyle w:val="TextoNormal"/>
      </w:pPr>
    </w:p>
    <w:p w:rsidR="0026452D" w:rsidRDefault="0026452D" w:rsidP="0026452D">
      <w:pPr>
        <w:pStyle w:val="TextoNormal"/>
      </w:pPr>
      <w:r>
        <w:t>Por su parte, en cuanto a los denominados comercializadores de último recurso son aquellos que tienen la obligación principal de atender las solicitudes de suministro de energía eléctrica de aquellos consumidores que tengan derecho a acogerse a la ya citada tarifa de último recurso. Dicha tarifa, única en todo el territorio nacional, fue puesta en marcha por el Real Decreto 485/2009, de 3 de abril, y persigue el objetivo de garantizar un precio razonable, transparente y claramente comparable, a determinados clientes, Finalidades que tampoco son puestas en cuestión por el precepto autonómico impugnado sin que, por otra parte, haya de entenderse que las indiscutidas competencias estatales para la determinación de la citada tarifa con la que se retribuye a los comercializadores de último recurso hayan sido violentadas por un precepto dirigido a un objetivo diferente como es el de mitigar las consecuencias de la falta de calidad en el suministro eléctrico.</w:t>
      </w:r>
    </w:p>
    <w:p w:rsidR="0026452D" w:rsidRDefault="0026452D" w:rsidP="0026452D">
      <w:pPr>
        <w:pStyle w:val="TextoNormal"/>
      </w:pPr>
    </w:p>
    <w:p w:rsidR="0026452D" w:rsidRDefault="0026452D" w:rsidP="0026452D">
      <w:pPr>
        <w:pStyle w:val="TextoNormal"/>
      </w:pPr>
      <w:r>
        <w:t xml:space="preserve">En lo que respecta a las empresas distribuidoras, éstas tienen como objeto principal la transmisión de energía eléctrica desde las redes de transporte hasta los puntos de consumo en las adecuadas condiciones de calidad. La actividad de distribución tiene la consideración de actividad regulada (arts. 11.2 y 39 a 43) lo que implica, entre otras cuestiones, el reconocimiento de una retribución fijada administrativamente [art. 41.2 a) y b) de la Ley del sector eléctrico, desarrollados por el Real Decreto 222/2008, de 15 de febrero], conforme a los criterios fijados por el art. 16.3 de la Ley del sector eléctrico, esto es, costes de inversión, operación y mantenimiento de las instalaciones, energía circulada, modelo que caracterice las zonas de distribución, incentivos que correspondan por la calidad del suministro y reducción de las pérdidas, así como otros costes necesarios para desarrollar la actividad. También ha de tenerse presente que el art. 39.1 de la Ley del sector eléctrico reconoce que la actividad de distribución de energía eléctrica es objeto de ordenación atendiendo, entre otros factores, a las competencias autonómicas, mientras que el art. 41.1 a) de la misma ley obliga a las empresas distribuidoras a realizar sus actividades conforme a las disposiciones aplicables, prestando el servicio con los niveles de calidad que se determinen, pues las citadas empresas están obligadas a asegurar el nivel de calidad del servicio [art. 41.1 k)], para lo cual han de contar con la capacidad técnica necesaria para garantizarla de acuerdo con las reglamentaciones vigentes, así como promover la incorporación de tecnologías avanzadas </w:t>
      </w:r>
      <w:r>
        <w:lastRenderedPageBreak/>
        <w:t>en la medición y para el control de la calidad del suministro eléctrico (art. 48.1 de la Ley del sector eléctrico). Las propias normas estatales no desconocen, por tanto, la preocupación por la calidad de suerte que, al fijar el régimen retributivo de la actividad, incluyen un incentivo o penalización a la calidad del servicio (art. 8 y anexo I del ya citado Real Decreto 222/2008).</w:t>
      </w:r>
    </w:p>
    <w:p w:rsidR="0026452D" w:rsidRDefault="0026452D" w:rsidP="0026452D">
      <w:pPr>
        <w:pStyle w:val="TextoNormal"/>
      </w:pPr>
    </w:p>
    <w:p w:rsidR="0026452D" w:rsidRDefault="0026452D" w:rsidP="0026452D">
      <w:pPr>
        <w:pStyle w:val="TextoNormal"/>
      </w:pPr>
      <w:r>
        <w:t>Así, establecido que en la retribución de la actividad de distribución han de tenerse en cuenta factores relacionados con la calidad del suministro eléctrico y constatado que la Comunidad Autónoma de Extremadura ostenta competencias en esta materia, la potestad de la Administración General del Estado para reconocer los costes asociados a la realización de dicha actividad, esencial para el sistema eléctrico, no puede dejar de tener en cuenta los criterios necesarios para garantizar la seguridad y la calidad en el suministro establecidos, dentro de su respectivo ámbito de competencias, por el Estado o por las Comunidades Autónomas.</w:t>
      </w:r>
    </w:p>
    <w:p w:rsidR="0026452D" w:rsidRDefault="0026452D" w:rsidP="0026452D">
      <w:pPr>
        <w:pStyle w:val="TextoNormal"/>
      </w:pPr>
    </w:p>
    <w:p w:rsidR="0026452D" w:rsidRDefault="0026452D" w:rsidP="0026452D">
      <w:pPr>
        <w:pStyle w:val="TextoNormal"/>
      </w:pPr>
      <w:r>
        <w:t>Por ello, y aun cuando la obligación de afianzar impuesta a las empresas distribuidoras pudiera ser susceptible de generarles costes —extremos estos que, en todo caso, no han quedado acreditados en el curso del presente proceso—, tal apreciación no puede conllevar por sí sola la consideración de que el art. 9.5 de la Ley de protección de la calidad del suministro eléctrico en Extremadura vulnera las competencias del Estado en relación con el régimen económico del sector eléctrico. En caso contrario, podría producirse un vaciamiento de las competencias autonómicas que cuentan con expreso reconocimiento estatutario sin que, por otra parte, pueda deducirse del precepto impugnado cuestionamiento alguno del carácter único del régimen económico del sector eléctrico, ni de las competencias estatales relativas a su determinación, las cuales no han sido puestas en cuestión a lo largo del presente proceso. Así, en la STC 148/2011, FJ 6 ya hemos rechazado que de estas indiscutidas competencias estatales pueda automáticamente deducirse una suerte de prohibición de que las Comunidades Autónomas puedan adoptar, pese al expreso reconocimiento estatutario, medida alguna en relación con la calidad del suministro eléctrico, argumentando que tales medidas pueden suponer costes reconocibles para las empresas pues, en todo caso, corresponderá al Estado articular los mecanismos que estime precisos para compensar los eventuales costes generados por las exigencias de la normativa autonómica, y la propia Ley del sector eléctrico ofrece ejemplos en tal sentido (así, arts. 17.4, respecto a los peajes de acceso, y 18.5, en relación con la tarifa de último recurso).</w:t>
      </w:r>
    </w:p>
    <w:p w:rsidR="0026452D" w:rsidRDefault="0026452D" w:rsidP="0026452D">
      <w:pPr>
        <w:pStyle w:val="TextoNormal"/>
      </w:pPr>
    </w:p>
    <w:p w:rsidR="0026452D" w:rsidRDefault="0026452D" w:rsidP="0026452D">
      <w:pPr>
        <w:pStyle w:val="TextoNormal"/>
      </w:pPr>
      <w:r>
        <w:t>Todo lo expuesto conduce a desestimar el primer motivo de impugnación del art. 9.5 de la Ley de protección de la calidad del suministro eléctrico en Extremadura.</w:t>
      </w:r>
    </w:p>
    <w:p w:rsidR="0026452D" w:rsidRDefault="0026452D" w:rsidP="0026452D">
      <w:pPr>
        <w:pStyle w:val="TextoNormal"/>
      </w:pPr>
    </w:p>
    <w:p w:rsidR="0026452D" w:rsidRDefault="0026452D" w:rsidP="0026452D">
      <w:pPr>
        <w:pStyle w:val="TextoNormal"/>
      </w:pPr>
      <w:r w:rsidRPr="0026452D">
        <w:rPr>
          <w:rStyle w:val="NumeroAFNegritaCaracter"/>
        </w:rPr>
        <w:t>11</w:t>
      </w:r>
      <w:r>
        <w:t>. El segundo motivo de impugnación alegado por el Abogado del Estado consiste en entender que el art. 9.5 de la Ley de Extremadura se superpone al régimen básico previsto por la Ley del sector eléctrico  para asegurar que las empresas afectadas se encuentran en situación de cumplir con las obligaciones establecidas en la misma; en concreto, se estima vulnerado el régimen de separación de la información y contabilidad relativas a las actividades de comercialización y distribución de energía eléctrica, establecido en el art. 20 Ley del sector eléctrico, así como también los requisitos de solvencia económica exigidos por los arts. 40 y 44 de la Ley del sector eléctrico para el otorgamiento de la autorización de instalaciones de distribución y de la autorización para ejercer la actividad de comercialización.</w:t>
      </w:r>
    </w:p>
    <w:p w:rsidR="0026452D" w:rsidRDefault="0026452D" w:rsidP="0026452D">
      <w:pPr>
        <w:pStyle w:val="TextoNormal"/>
      </w:pPr>
    </w:p>
    <w:p w:rsidR="0026452D" w:rsidRDefault="0026452D" w:rsidP="0026452D">
      <w:pPr>
        <w:pStyle w:val="TextoNormal"/>
      </w:pPr>
      <w:r>
        <w:t>No es posible apreciar la contravención de la normativa estatal alegada en la demanda pues, descartada ya la vulneración de las competencias estatales relativas al régimen retributivo de las actividades de distribución y comercialización de electricidad, la exigencia del depósito de la fianza anual establecida en el art. 9.5 de la Ley de protección de la calidad del suministro eléctrico en Extremadura en nada afecta a las obligaciones de contabilidad e información establecidas en el art. 20 de la Ley del sector eléctrico para las entidades que desarrollen dichas actividades, pues se refieren a cuestiones distintas. Por lo demás, frente a lo que parece entender el Abogado del Estado, la obligación regulada por el precepto autonómico no se establece de modo conjunto o global para distribuidores y comercializadores, sino individualmente para cada una de las sociedades mercantiles dedicadas a tales actividades, obligadas por la norma estatal a una contabilidad separada. Contabilidad separada de ambas actividades que en nada se ve impedida u obstaculizada por el hecho de que tales sociedades hayan de depositar la fianza exigida por la norma, pues lo único que ocurrirá es que tal obligación habrá de tener, necesariamente, su reflejo en las cuentas de la sociedad. Finalmente, en lo relativo a la alegada contravención de las exigencias de solvencia económica requeridas en su momento por los arts. 40 y 44 de la Ley del sector eléctrico, es de advertir que el Abogado del Estado se limita a citar tales preceptos sin acompañar tal cita de argumento alguno que haga posible su valoración. En todo caso, resulta que, tras su modificación por el art. 18 de la Ley 25/2009, de 22 de diciembre, de modificación de diversas leyes para su adaptación a la Ley sobre el libre acceso a las actividades de servicios y su ejercicio, los arts. 40 y 44 de la Ley del sector eléctrico ya no hacen referencia a esta cuestión, con lo que no es posible apreciar la contradicción suscitada por el Abogado del Estado, sin perjuicio de advertir que los requisitos de solvencia económica se configuraban como requisitos o presupuestos para poder acceder al ejercicio de la actividad, a diferencia de la obligación prevista en el precepto impugnado que se establece en un momento posterior, como consecuencia del ejercicio de la actividad de distribución o comercialización, y en un ámbito distinto, el de la calidad del suministro eléctrico, en el que ya hemos apreciado la existencia de competencias autonómicas de desarrollo de las previsiones estatales en la materia</w:t>
      </w:r>
    </w:p>
    <w:p w:rsidR="0026452D" w:rsidRDefault="0026452D" w:rsidP="0026452D">
      <w:pPr>
        <w:pStyle w:val="TextoNormal"/>
      </w:pPr>
    </w:p>
    <w:p w:rsidR="0026452D" w:rsidRDefault="0026452D" w:rsidP="0026452D">
      <w:pPr>
        <w:pStyle w:val="TextoNormal"/>
      </w:pPr>
      <w:r>
        <w:t>Así pues, procede también rechazar el segundo motivo de inconstitucionalidad aducido en relación con el art. 9.5 de la Ley de protección de la calidad del suministro eléctrico en Extremadura y, en consecuencia, desestimar el recurso en relación con este precepto.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Estimar parcialmente el presente recurso de inconstitucionalidad y, en su virtud, declarar:</w:t>
      </w:r>
    </w:p>
    <w:p w:rsidR="0026452D" w:rsidRDefault="0026452D" w:rsidP="0026452D">
      <w:pPr>
        <w:pStyle w:val="TextoNormal"/>
      </w:pPr>
    </w:p>
    <w:p w:rsidR="0026452D" w:rsidRDefault="0026452D" w:rsidP="0026452D">
      <w:pPr>
        <w:pStyle w:val="TextoNormal"/>
      </w:pPr>
      <w:r>
        <w:t>A) Que el art. 2 de la Ley de Extremadura 2/2002, de 25 de abril, de protección de la calidad del suministro eléctrico en Extremadura, es inconstitucional y nulo.</w:t>
      </w:r>
    </w:p>
    <w:p w:rsidR="0026452D" w:rsidRDefault="0026452D" w:rsidP="0026452D">
      <w:pPr>
        <w:pStyle w:val="TextoNormal"/>
      </w:pPr>
    </w:p>
    <w:p w:rsidR="0026452D" w:rsidRDefault="0026452D" w:rsidP="0026452D">
      <w:pPr>
        <w:pStyle w:val="TextoNormal"/>
      </w:pPr>
      <w:r>
        <w:t>B) Que el art. 7.3 a) de la Ley de Extremadura 2/2002, de 25 de abril, de protección de la calidad del suministro eléctrico en Extremadura, no vulnera las competencias del Estado, interpretado en los términos del fundamento jurídico 8.</w:t>
      </w:r>
    </w:p>
    <w:p w:rsidR="0026452D" w:rsidRDefault="0026452D" w:rsidP="0026452D">
      <w:pPr>
        <w:pStyle w:val="TextoNormal"/>
      </w:pPr>
    </w:p>
    <w:p w:rsidR="0026452D" w:rsidRDefault="0026452D" w:rsidP="0026452D">
      <w:pPr>
        <w:pStyle w:val="TextoNormal"/>
      </w:pPr>
      <w:r>
        <w:t>2º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diecisiete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8" w:name="SENTENCIA_2013_5"/>
      <w:r>
        <w:lastRenderedPageBreak/>
        <w:t>SENTENCIA 5/2013, de 17 de enero de 2013</w:t>
      </w:r>
    </w:p>
    <w:bookmarkEnd w:id="8"/>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37, de 12 de febrero de 2013)</w:t>
      </w:r>
    </w:p>
    <w:p w:rsidR="0026452D" w:rsidRDefault="0026452D" w:rsidP="0026452D">
      <w:pPr>
        <w:pStyle w:val="TtuloBOE"/>
      </w:pPr>
    </w:p>
    <w:p w:rsidR="0026452D" w:rsidRDefault="0026452D" w:rsidP="0026452D">
      <w:pPr>
        <w:pStyle w:val="SntesisDescriptiva"/>
      </w:pPr>
      <w:r>
        <w:t>ECLI:ES:TC:2013:5</w:t>
      </w:r>
    </w:p>
    <w:p w:rsidR="0026452D" w:rsidRDefault="0026452D" w:rsidP="0026452D">
      <w:pPr>
        <w:pStyle w:val="SntesisDescriptiva"/>
      </w:pPr>
    </w:p>
    <w:p w:rsidR="0026452D" w:rsidRDefault="0026452D" w:rsidP="0026452D">
      <w:pPr>
        <w:pStyle w:val="SntesisDescriptiva"/>
      </w:pPr>
      <w:r>
        <w:t>Recurso de inconstitucionalidad 5762-2002. Interpuesto por el Presidente del Gobierno con respecto a varios preceptos de la Ley del Parlamento de Cataluña 16/2002, de 28 de junio, de protección contra la contaminación acústica de Cataluña.</w:t>
      </w:r>
    </w:p>
    <w:p w:rsidR="0026452D" w:rsidRDefault="0026452D" w:rsidP="0026452D">
      <w:pPr>
        <w:pStyle w:val="SntesisDescriptiva"/>
      </w:pPr>
    </w:p>
    <w:p w:rsidR="0026452D" w:rsidRDefault="0026452D" w:rsidP="0026452D">
      <w:pPr>
        <w:pStyle w:val="SntesisAnaltica"/>
      </w:pPr>
      <w:r>
        <w:t>Competencias sobre medio ambiente, infraestructuras de transporte y sistema de responsabilidad de las Administraciones públicas: inaplicabilidad a las infraestructuras de titularidad estatal del precepto legal autonómico relativo al plan de medidas para minimizar el impacto acústico. Voto particular.</w:t>
      </w:r>
    </w:p>
    <w:p w:rsidR="0026452D" w:rsidRDefault="0026452D" w:rsidP="0026452D">
      <w:pPr>
        <w:pStyle w:val="SntesisAnaltica"/>
      </w:pPr>
    </w:p>
    <w:p w:rsidR="0026452D" w:rsidRDefault="0026452D" w:rsidP="0026452D">
      <w:pPr>
        <w:pStyle w:val="Extracto"/>
      </w:pPr>
      <w:r>
        <w:t>1.</w:t>
      </w:r>
      <w:r>
        <w:tab/>
        <w:t>La ponderación de los intereses en presencia a fin de acomodar o integrar las competencias estatales y autonómicas se realiza mediante la aprobación, por el Departamento autonómico de Medio Ambiente, del plan de medidas para minimizar el impacto acústico de las infraestructuras estatales de transporte elaborado por la Administración titular de la infraestructura, lo que implica la prevalencia del criterio autonómico de un modo contrario al orden constitucional de distribución de competencias, al superar el ámbito propio de establecimiento de fórmulas de colaboración interadministrativas basadas en la voluntariedad y el mutuo acuerdo (STC 82/2012) [FJ 7].</w:t>
      </w:r>
    </w:p>
    <w:p w:rsidR="0026452D" w:rsidRDefault="0026452D" w:rsidP="0026452D">
      <w:pPr>
        <w:pStyle w:val="Extracto"/>
      </w:pPr>
    </w:p>
    <w:p w:rsidR="0026452D" w:rsidRDefault="0026452D" w:rsidP="0026452D">
      <w:pPr>
        <w:pStyle w:val="Extracto"/>
      </w:pPr>
      <w:r>
        <w:t>2.</w:t>
      </w:r>
      <w:r>
        <w:tab/>
        <w:t>La colaboración entre Administraciones que son titulares de competencias concurrentes sobre un mismo espacio físico  impide el sometimiento de las competencias estatales al consentimiento autonómico, pues dicha consecuencia sería incompatible con el carácter indisponible e irrenunciable de las competencias (STC 31/2010) [FJ 7].</w:t>
      </w:r>
    </w:p>
    <w:p w:rsidR="0026452D" w:rsidRDefault="0026452D" w:rsidP="0026452D">
      <w:pPr>
        <w:pStyle w:val="Extracto"/>
      </w:pPr>
    </w:p>
    <w:p w:rsidR="0026452D" w:rsidRDefault="0026452D" w:rsidP="0026452D">
      <w:pPr>
        <w:pStyle w:val="Extracto"/>
      </w:pPr>
      <w:r>
        <w:t>3.</w:t>
      </w:r>
      <w:r>
        <w:tab/>
        <w:t>Cuando los cauces de cooperación resulten insuficientes para resolver los conflictos que puedan surgir en la articulación de las competencias estatales y autonómicas, será preciso determinar cuál es el título prevalente en función del interés general concernido, que determinará la preferente aplicación de una competencia en detrimento de la otra, tomando para ello en consideración la competencia estatal que pretenda ejercerse, las razones que han llevado al constituyente a reservar esa competencia al Estado o el modo concreto en que éste o la Comunidad Autónoma pretendan ejercer las que les corresponden (STC 46/2007) [FJ 7].</w:t>
      </w:r>
    </w:p>
    <w:p w:rsidR="0026452D" w:rsidRDefault="0026452D" w:rsidP="0026452D">
      <w:pPr>
        <w:pStyle w:val="Extracto"/>
      </w:pPr>
    </w:p>
    <w:p w:rsidR="0026452D" w:rsidRDefault="0026452D" w:rsidP="0026452D">
      <w:pPr>
        <w:pStyle w:val="Extracto"/>
      </w:pPr>
      <w:r>
        <w:t>4.</w:t>
      </w:r>
      <w:r>
        <w:tab/>
        <w:t>La integración entre las competencias estatal y autonómica concurrentes sobre el mismo espacio físico se alcanzará normalmente abriendo un período de consultas para llegar al acuerdo que, de no conseguirse, preservará necesariamente la decisión estatal, que se impondrá únicamente en los aspectos que son de su exclusiva competencia, sin desplazar a la correlativa competencia autonómica (STC 195/2012) [FJ 6].</w:t>
      </w:r>
    </w:p>
    <w:p w:rsidR="0026452D" w:rsidRDefault="0026452D" w:rsidP="0026452D">
      <w:pPr>
        <w:pStyle w:val="Extracto"/>
      </w:pPr>
    </w:p>
    <w:p w:rsidR="0026452D" w:rsidRDefault="0026452D" w:rsidP="0026452D">
      <w:pPr>
        <w:pStyle w:val="Extracto"/>
      </w:pPr>
      <w:r>
        <w:lastRenderedPageBreak/>
        <w:t>5.</w:t>
      </w:r>
      <w:r>
        <w:tab/>
        <w:t>Doctrina sobre la las técnicas de cooperación constitucionalmente admisibles que permiten cohonestar las competencias estatales y autonómicas que, con distinto objeto jurídico, concurren sobre el mismo espacio físico (SSTC 103/1989, 40/1998) [FJ 6].</w:t>
      </w:r>
    </w:p>
    <w:p w:rsidR="0026452D" w:rsidRDefault="0026452D" w:rsidP="0026452D">
      <w:pPr>
        <w:pStyle w:val="Extracto"/>
      </w:pPr>
    </w:p>
    <w:p w:rsidR="0026452D" w:rsidRDefault="0026452D" w:rsidP="0026452D">
      <w:pPr>
        <w:pStyle w:val="Extracto"/>
      </w:pPr>
      <w:r>
        <w:t>6.</w:t>
      </w:r>
      <w:r>
        <w:tab/>
        <w:t>La obligación de la sociedad que explote la instalación, de asumir el acondicionamiento de los edificios afectados dentro de la nueva zona de ruido derivada de la construcción de instalaciones aeroportuarias o aumento significativo del tráfico, se impone de acuerdo con la declaración de impacto ambiental, debiendo fijarse en dicha declaración las condiciones que deban establecerse para la adecuada protección del medio ambiente [FJ 4].</w:t>
      </w:r>
    </w:p>
    <w:p w:rsidR="0026452D" w:rsidRDefault="0026452D" w:rsidP="0026452D">
      <w:pPr>
        <w:pStyle w:val="Extracto"/>
      </w:pPr>
    </w:p>
    <w:p w:rsidR="0026452D" w:rsidRDefault="0026452D" w:rsidP="0026452D">
      <w:pPr>
        <w:pStyle w:val="Extracto"/>
      </w:pPr>
      <w:r>
        <w:t>7.</w:t>
      </w:r>
      <w:r>
        <w:tab/>
        <w:t>La evaluación de impacto ambiental es una técnica transversal que condiciona las obras, instalaciones y actividades estatales que se materializan físicamente produciendo repercusiones en el territorio y en el medio ambiente de una o varias Comunidades Autónomas, actuaciones que forman parte de materias que están sometidas por la Constitución y los Estatutos de Autonomía a reglas específicas de reparto de competencias, que son títulos que por su naturaleza y finalidad atraen a la de medio ambiente (STC13/1998) [FJ 3].</w:t>
      </w:r>
    </w:p>
    <w:p w:rsidR="0026452D" w:rsidRDefault="0026452D" w:rsidP="0026452D">
      <w:pPr>
        <w:pStyle w:val="Extracto"/>
      </w:pPr>
    </w:p>
    <w:p w:rsidR="0026452D" w:rsidRDefault="0026452D" w:rsidP="0026452D">
      <w:pPr>
        <w:pStyle w:val="Extracto"/>
      </w:pPr>
      <w:r>
        <w:t>8.</w:t>
      </w:r>
      <w:r>
        <w:tab/>
        <w:t>Corresponde al Estado la competencia de evaluación de impacto ambiental respecto a los proyectos que deban ser autorizados o aprobados por la Administración General del Estado, entre los que se encuentran los relativos a los aeropuertos de interés general [FJ 3].</w:t>
      </w:r>
    </w:p>
    <w:p w:rsidR="0026452D" w:rsidRDefault="0026452D" w:rsidP="0026452D">
      <w:pPr>
        <w:pStyle w:val="Extracto"/>
      </w:pPr>
    </w:p>
    <w:p w:rsidR="0026452D" w:rsidRDefault="0026452D" w:rsidP="0026452D">
      <w:pPr>
        <w:pStyle w:val="Extracto"/>
      </w:pPr>
      <w:r>
        <w:t>9.</w:t>
      </w:r>
      <w:r>
        <w:tab/>
        <w:t>Doctrina sobre el orden constitucional de competencias en materia de evaluación del impacto ambiental (SSTC 13/1988, 149/2012) [FJ 3].</w:t>
      </w:r>
    </w:p>
    <w:p w:rsidR="0026452D" w:rsidRDefault="0026452D" w:rsidP="0026452D">
      <w:pPr>
        <w:pStyle w:val="Extracto"/>
      </w:pPr>
    </w:p>
    <w:p w:rsidR="0026452D" w:rsidRDefault="0026452D" w:rsidP="0026452D">
      <w:pPr>
        <w:pStyle w:val="Extracto"/>
      </w:pPr>
      <w:r>
        <w:t>10.</w:t>
      </w:r>
      <w:r>
        <w:tab/>
        <w:t xml:space="preserve">Corresponde al Estado las competencias sobre los aeropuertos de interés general, </w:t>
      </w:r>
      <w:r w:rsidRPr="0026452D">
        <w:rPr>
          <w:i/>
        </w:rPr>
        <w:t>ex</w:t>
      </w:r>
      <w:r>
        <w:t xml:space="preserve"> art. 149.1.20 CE, y a la Generalitat la competencia exclusiva sobre puertos, aeropuertos, helipuertos y demás infraestructuras de transporte en el territorio de Cataluña que no tengan la calificación legal de interés general (SSTC 68/1984, 31/2010) [FJ 3].</w:t>
      </w:r>
    </w:p>
    <w:p w:rsidR="0026452D" w:rsidRDefault="0026452D" w:rsidP="0026452D">
      <w:pPr>
        <w:pStyle w:val="Extracto"/>
      </w:pPr>
    </w:p>
    <w:p w:rsidR="0026452D" w:rsidRDefault="0026452D" w:rsidP="0026452D">
      <w:pPr>
        <w:pStyle w:val="Extracto"/>
      </w:pPr>
      <w:r>
        <w:t>11.</w:t>
      </w:r>
      <w:r>
        <w:tab/>
        <w:t>En un proceso abstracto como resulta ser el recurso de inconstitucionalidad, es necesario apurar todas las posibilidades de interpretar los preceptos de conformidad con la Constitución y declarar tan sólo la derogación de aquellos cuya incompatibilidad con ella resulte indudable por ser imposible llevar a cabo dicha interpretación (SSTC 101/2008, 120/2012) [FJ 3].</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lastRenderedPageBreak/>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5762-2002, interpuesto por el Presidente del Gobierno, representado por el Abogado del Estado, contra los arts. 12.4, inciso segundo, y 38.2 de la Ley 16/2002, de 28 de junio, de protección contra la contaminación acústica de Cataluña. Han comparecido y formulado alegaciones el Letrado del Parlamento de Cataluña y el Abogado de la Generalitat de Cataluña. Ha sido Ponente el Magistrado don Luis Ignacio Ortega Álvarez,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Constitucional el día 11 de octubre de 2002, el Abogado del Estado, en nombre del Presidente del Gobierno, presentó escrito de interposición de recurso de inconstitucionalidad contra los arts. 12.4, segundo inciso, y 38.2 de la Ley 16/2002, de 28 de junio, de protección contra la contaminación acústica de Cataluña. En el recurso se hace expresa invocación del art. 161.2 CE, en relación con el art. 30 de la Ley Orgánica del Tribunal Constitucional (LOTC), a fin de que se acuerde la suspensión de los preceptos impugnados.</w:t>
      </w:r>
    </w:p>
    <w:p w:rsidR="0026452D" w:rsidRDefault="0026452D" w:rsidP="0026452D">
      <w:pPr>
        <w:pStyle w:val="TextoNormal"/>
      </w:pPr>
    </w:p>
    <w:p w:rsidR="0026452D" w:rsidRDefault="0026452D" w:rsidP="0026452D">
      <w:pPr>
        <w:pStyle w:val="TextoNormal"/>
      </w:pPr>
      <w:r w:rsidRPr="0026452D">
        <w:rPr>
          <w:rStyle w:val="NumeroAFNegritaCaracter"/>
        </w:rPr>
        <w:t>2</w:t>
      </w:r>
      <w:r>
        <w:t>. Los motivos del recurso interpuesto son los que, sucintamente, se recogen a continuación:</w:t>
      </w:r>
    </w:p>
    <w:p w:rsidR="0026452D" w:rsidRDefault="0026452D" w:rsidP="0026452D">
      <w:pPr>
        <w:pStyle w:val="TextoNormal"/>
      </w:pPr>
    </w:p>
    <w:p w:rsidR="0026452D" w:rsidRDefault="0026452D" w:rsidP="0026452D">
      <w:pPr>
        <w:pStyle w:val="TextoNormal"/>
      </w:pPr>
      <w:r>
        <w:t xml:space="preserve">a) Con carácter general el Abogado del Estado advierte que la ley impugnada incide directamente en un ámbito que parecía suficientemente clarificado tanto por las normas básicas del Estado como por la jurisprudencia del Tribunal Constitucional, cual es aquel en el que confluyen las grandes obras públicas a cargo del Estado con competencia específica sobre su régimen, construcción y funcionamiento y las normas sobre preservación del medio ambiente. Considera que la norma además de reabrir la cuestión “a propósito de un tipo de obra de capitalísima importancia en las comunicaciones, ha prescindido del régimen declarado básico en el Real Decreto Legislativo 1320/1986, de 28 de junio, modificado por el 6/2001, de 8 de mayo. Normativa básica estatal que trata de cohonestar el desarrollo económico con la protección del medio ambiente (STC 64/1982 y 107/2000)”. A juicio del representante del Gobierno, esta conjugación de intereses tiende a evitar que el ente promotor de obras o actividades con previsibles consecuencias sobre el medio ambiente prescinda de este último. Pero también se trata de impedir que una perspectiva excesivamente centrada en el medio ambiente dé lugar a eventuales excesos que hagan imposible la satisfacción de otros intereses públicos confiados al Estado. Así, la valoración del medio ambiente es una exigencia a la que deben atender todos los poderes públicos pero lo que no puede hacerse es transformar esa evaluación preventiva y coordinada por medidas unilaterales que dejan vacías de contenido las competencias estatales. De esta forma se vulnera una doble competencia estatal: la propia legislación básica sobre medio ambiente (art. 149.1.23 CE), ya que </w:t>
      </w:r>
      <w:r>
        <w:lastRenderedPageBreak/>
        <w:t>entiende que una de las bases estatales reconocidas en la materia se concreta en los mecanismos de coordinación establecidos para la evaluación de los proyectos y toma de decisiones; y las competencias sobre determinadas vías y medios de comunicación reservadas al Estado (arts. 149.1.20 y 149.1.21 CE).</w:t>
      </w:r>
    </w:p>
    <w:p w:rsidR="0026452D" w:rsidRDefault="0026452D" w:rsidP="0026452D">
      <w:pPr>
        <w:pStyle w:val="TextoNormal"/>
      </w:pPr>
    </w:p>
    <w:p w:rsidR="0026452D" w:rsidRDefault="0026452D" w:rsidP="0026452D">
      <w:pPr>
        <w:pStyle w:val="TextoNormal"/>
      </w:pPr>
      <w:r>
        <w:t>b) Entrando ya en el examen de los preceptos objeto de impugnación, indica que el art. 12.4, segundo inciso dispone:</w:t>
      </w:r>
    </w:p>
    <w:p w:rsidR="0026452D" w:rsidRDefault="0026452D" w:rsidP="0026452D">
      <w:pPr>
        <w:pStyle w:val="TextoNormal"/>
      </w:pPr>
    </w:p>
    <w:p w:rsidR="0026452D" w:rsidRDefault="0026452D" w:rsidP="0026452D">
      <w:pPr>
        <w:pStyle w:val="TextoNormal"/>
      </w:pPr>
      <w:r>
        <w:t>“En el caso de construcción de nuevos aeródromos o helipuertos, ampliación de los actuales o aumento significativo del tráfico, de acuerdo con la declaración de impacto ambiental, la sociedad que explota la instalación debe asumir el acondicionamiento de los edificios afectados dentro de la nueva zona de ruido.”</w:t>
      </w:r>
    </w:p>
    <w:p w:rsidR="0026452D" w:rsidRDefault="0026452D" w:rsidP="0026452D">
      <w:pPr>
        <w:pStyle w:val="TextoNormal"/>
      </w:pPr>
    </w:p>
    <w:p w:rsidR="0026452D" w:rsidRDefault="0026452D" w:rsidP="0026452D">
      <w:pPr>
        <w:pStyle w:val="TextoNormal"/>
      </w:pPr>
      <w:r>
        <w:t>Comienza el Abogado del Estado con la advertencia sobre la falta de claridad de la redacción del precepto, de donde deriva la posibilidad de realizar una interpretación del mismo conforme con la Constitución, en el sentido de que el acondicionamiento de las edificaciones sería posible en el caso de que estuviera previsto en la declaración de impacto. En ese caso el Abogado del Estado reconoce que la prescripción no ofrecería mayores dificultades. Pese a ello plantea que el precepto puede ser también entendido refiriendo la frase “de acuerdo con la declaración de impacto” a la que inmediatamente le precede sobre el “aumento significativo del tráfico”. Es decir, se trataría de que un aumento significativo del tráfico sobre los niveles contemplados en la declaración de impacto colocaría a los aeropuertos en situación idéntica a los de nueva planta o ampliación de los existentes. En tal caso, la declaración de impacto no tendría otra función que la de servir como punto de referencia para la medición de las oscilaciones en la intensidad de la circulación aérea. Interpretación que se entiende contraria a las competencias estatales pues la competencia estatal queda condicionada a las posibles oscilaciones en la intensidad de uso de un servicio público sobre la que el órgano gestor no puede influir, en cuanto no la puede limitar, de manera tal que la declaración de impacto no tendría una función propia en el sentido de facilitar una conjugación de los intereses públicos concurrentes y una previsión vinculada al instante en que se aborda el proyecto y determina las correspondientes decisiones presupuestarias, sino que quedaría sustituida absolutamente por las determinaciones autonómicas posteriores.</w:t>
      </w:r>
    </w:p>
    <w:p w:rsidR="0026452D" w:rsidRDefault="0026452D" w:rsidP="0026452D">
      <w:pPr>
        <w:pStyle w:val="TextoNormal"/>
      </w:pPr>
    </w:p>
    <w:p w:rsidR="0026452D" w:rsidRDefault="0026452D" w:rsidP="0026452D">
      <w:pPr>
        <w:pStyle w:val="TextoNormal"/>
      </w:pPr>
      <w:r>
        <w:t xml:space="preserve">Independientemente de lo anterior el Abogado del Estado argumenta que el precepto vulnera la competencia que el art. 149.1.18 CE reserva al Estado respecto al sistema de responsabilidad de las Administraciones públicas, pues no se limita a establecer medidas preventivas o correctoras de situaciones juzgadas desfavorables desde el punto de vista medioambiental sino que articula una compensación por un daño implícitamente reconocido, identifica al responsable y determina una medida de reparación en especie, estatuyendo así una forma de responsabilidad legal. Se pregunta al respecto qué razón hay para imputar al titular del aeropuerto la causación del daño. En cualquier caso entiende que es al Estado al que compete establecer </w:t>
      </w:r>
      <w:r w:rsidRPr="0026452D">
        <w:rPr>
          <w:i/>
        </w:rPr>
        <w:t>ex</w:t>
      </w:r>
      <w:r>
        <w:t xml:space="preserve"> art. 149.1.18 CE un sistema de responsabilidad común para todas las Administraciones públicas, como así se ha reconocido en la STC 71/1982, de 30 de noviembre, FJ 19, en materia de responsabilidad civil, y en la STC 170/1989, de 19 de octubre, que establece que toda limitación lesiva de bienes o derechos indemnizables ha de venir regulada por la ley del Estado.</w:t>
      </w:r>
    </w:p>
    <w:p w:rsidR="0026452D" w:rsidRDefault="0026452D" w:rsidP="0026452D">
      <w:pPr>
        <w:pStyle w:val="TextoNormal"/>
      </w:pPr>
    </w:p>
    <w:p w:rsidR="0026452D" w:rsidRDefault="0026452D" w:rsidP="0026452D">
      <w:pPr>
        <w:pStyle w:val="TextoNormal"/>
      </w:pPr>
      <w:r>
        <w:lastRenderedPageBreak/>
        <w:t>Es por ello que, según el Abogado del Estado, el precepto impugnado lesiona competencias estatales relativas al “medioambiente” (art. 149.1.23 CE), concretadas en lo dispuesto en el Real Decreto Legislativo 1302/1986, modificado por la Ley 6/2001, pues no se respetan los sistemas de articulación previstos. También se infringe, a su juicio, el art. 149.1.20 CE que atribuye al Estado la competencia exclusiva sobre “aeropuertos de interés general”, y, finalmente, se vulnera el art. 149.1.18 CE que remite al Estado la competencia sobre el sistema de responsabilidad de las Administraciones públicas.</w:t>
      </w:r>
    </w:p>
    <w:p w:rsidR="0026452D" w:rsidRDefault="0026452D" w:rsidP="0026452D">
      <w:pPr>
        <w:pStyle w:val="TextoNormal"/>
      </w:pPr>
    </w:p>
    <w:p w:rsidR="0026452D" w:rsidRDefault="0026452D" w:rsidP="0026452D">
      <w:pPr>
        <w:pStyle w:val="TextoNormal"/>
      </w:pPr>
      <w:r>
        <w:t>c) En cuanto al art. 38.2, lo impugnado es el inciso segundo de este precepto establece:</w:t>
      </w:r>
    </w:p>
    <w:p w:rsidR="0026452D" w:rsidRDefault="0026452D" w:rsidP="0026452D">
      <w:pPr>
        <w:pStyle w:val="TextoNormal"/>
      </w:pPr>
    </w:p>
    <w:p w:rsidR="0026452D" w:rsidRDefault="0026452D" w:rsidP="0026452D">
      <w:pPr>
        <w:pStyle w:val="TextoNormal"/>
      </w:pPr>
      <w:r>
        <w:t>“Cuando se sobrepasen los valores de atención establecidos en la presente Ley, la Administración titular de la infraestructura debe elaborar, dando audiencia a las Administraciones afectadas por el trazado, su plan de medidas para minimizar el impacto acústico que tenga en cuenta los medios para financiarlo y debe someterlo a la aprobación del Departamento de Medio Ambiente. Este Plan debe establecer un plazo plausible para la consecución de los valores de inmisión.”</w:t>
      </w:r>
    </w:p>
    <w:p w:rsidR="0026452D" w:rsidRDefault="0026452D" w:rsidP="0026452D">
      <w:pPr>
        <w:pStyle w:val="TextoNormal"/>
      </w:pPr>
    </w:p>
    <w:p w:rsidR="0026452D" w:rsidRDefault="0026452D" w:rsidP="0026452D">
      <w:pPr>
        <w:pStyle w:val="TextoNormal"/>
      </w:pPr>
      <w:r>
        <w:t>El Abogado del Estado señala que, en relación con las medidas de minimización del impacto acústico, el precepto impugnado se refiere a toda clase de infraestructuras “de una manera indiferenciada”, sin hacer distinción respecto de las que, por su propia dimensión, son competencia del Estado. Tampoco distingue entre obras de nueva planta (art. 12.1 y 2 de la Ley 16/2002), esto es, aquellas cuya construcción se aborde tras la entrada en vigor de la Ley, y las ya existentes (art. 12.3 de la citada Ley). La norma impone como vinculantes los límites de inmisión de los anexos pero con una determinación flexibilizadora en su apartado 2 que no impediría la preservación de otros bienes o intereses públicos cuyo reconocimiento y protección quedan confiados al Estado. El art. 12 obliga a la administración titular de la infraestructura a elaborar un plan de medidas para minimizar el impacto acústico pero con un margen suficiente de flexibilidad para no estimar comprometidas las competencias estatales. Sin embargo, el art. 38, al que el art. 12 se remite, establece una fórmula de aprobación inexcusable del Departamento de Medio Ambiente que impone, además, un plazo para la consecución de los valores de inmisión. Ello supone la contradicción con el sistema de evaluación de impacto ambiental diseñado por el Estado.</w:t>
      </w:r>
    </w:p>
    <w:p w:rsidR="0026452D" w:rsidRDefault="0026452D" w:rsidP="0026452D">
      <w:pPr>
        <w:pStyle w:val="TextoNormal"/>
      </w:pPr>
    </w:p>
    <w:p w:rsidR="0026452D" w:rsidRDefault="0026452D" w:rsidP="0026452D">
      <w:pPr>
        <w:pStyle w:val="TextoNormal"/>
      </w:pPr>
      <w:r>
        <w:t xml:space="preserve">Argumenta que la “revisión retroactiva de las condiciones de una obra que de manera desenfadada puedan imponer a las Comunidades Autónomas después de aprobada e incluso construida una obra, atentan contra las exigencias más evidentes de seguridad jurídica, condicionando de una manera unilateral y absoluta unas competencias estatales”. Estima que no resulta explicable que para las obras ya aprobadas y construidas se imponga la prevalencia absoluta de condiciones medioambientales imprevistas, cuando en una obra de nueva planta es admisible que, tras la ponderación de los intereses concurrentes pueda prevalecer el interés en la construcción de determinadas infraestructuras sobre los condicionamientos medioambientales. Entiende, en definitiva, que “la exigencia de que la Generalitat apruebe un plan nuevo, condicionante en términos absolutos de la continuidad de vías y medios de comunicación, resulta contrario a la normativa básica estatal sobre medio ambiente”, así como a las competencias estatales previstas en los arts. 149.1.20 y 149.1.21 CE. Y alega, al respecto, que la propia jurisprudencia constitucional ha rechazado la exigencia por la legislación autonómica de informes vinculantes sobre las actuaciones estatales que se realicen </w:t>
      </w:r>
      <w:r>
        <w:lastRenderedPageBreak/>
        <w:t>en el territorio de la Comunidad Autónoma, con cita de la SSTC 38/2000, de 14 de febrero, y 166/2000, de 15 de junio, FFJJ 3 y 6.</w:t>
      </w:r>
    </w:p>
    <w:p w:rsidR="0026452D" w:rsidRDefault="0026452D" w:rsidP="0026452D">
      <w:pPr>
        <w:pStyle w:val="TextoNormal"/>
      </w:pPr>
    </w:p>
    <w:p w:rsidR="0026452D" w:rsidRDefault="0026452D" w:rsidP="0026452D">
      <w:pPr>
        <w:pStyle w:val="TextoNormal"/>
      </w:pPr>
      <w:r>
        <w:t>En definitiva, el Abogado del Estado entiende que la atribución a la Comunidad Autónoma de la facultad de aprobación final del reseñado plan de medidas quiebra la articulación existente entre las competencias estatales y autonómicas implicadas, así como la necesaria coordinación que ha de regir las relaciones entre las diversas Administraciones.</w:t>
      </w:r>
    </w:p>
    <w:p w:rsidR="0026452D" w:rsidRDefault="0026452D" w:rsidP="0026452D">
      <w:pPr>
        <w:pStyle w:val="TextoNormal"/>
      </w:pPr>
    </w:p>
    <w:p w:rsidR="0026452D" w:rsidRDefault="0026452D" w:rsidP="0026452D">
      <w:pPr>
        <w:pStyle w:val="TextoNormal"/>
      </w:pPr>
      <w:r w:rsidRPr="0026452D">
        <w:rPr>
          <w:rStyle w:val="NumeroAFNegritaCaracter"/>
        </w:rPr>
        <w:t>3</w:t>
      </w:r>
      <w:r>
        <w:t>. Por providencia de 12 de noviembre de 2002 la Sección Segunda acordó admitir a trámite el recurso de inconstitucionalidad y dar traslado de la demanda y documentos presentados, conforme establece el art. 34 LOTC, al Congreso de los Diputados y al Senado, así como al Parlamento y al Gobierno de la Generalitat de Cataluña, por conducto de sus Presidentes, al objeto de que en el plazo de quince días pudieran personarse en el proceso y formular las alegaciones que estimen convenientes. Asimismo, acordó tener por invocado el art. 161.2 CE, lo que, conforme dispone el art. 30 LOTC, produce la suspensión de la vigencia y aplicación de los preceptos impugnados desde la fecha de interposición del recurso para las partes del proceso, y desde el día en que aparezca publicada en el “Boletín Oficial del Estado” para los terceros. Por último, también se ordenó publicar la incoación del recurso y de la suspensión acordada en el “Boletín Oficial del Estado” y en el “Diario Oficial de la Generalitat de Cataluña”.</w:t>
      </w:r>
    </w:p>
    <w:p w:rsidR="0026452D" w:rsidRDefault="0026452D" w:rsidP="0026452D">
      <w:pPr>
        <w:pStyle w:val="TextoNormal"/>
      </w:pPr>
    </w:p>
    <w:p w:rsidR="0026452D" w:rsidRDefault="0026452D" w:rsidP="0026452D">
      <w:pPr>
        <w:pStyle w:val="TextoNormal"/>
      </w:pPr>
      <w:r w:rsidRPr="0026452D">
        <w:rPr>
          <w:rStyle w:val="NumeroAFNegritaCaracter"/>
        </w:rPr>
        <w:t>4</w:t>
      </w:r>
      <w:r>
        <w:t>. Por escrito registrado en este Tribunal el 28 de noviembre de 2002, el Presidente del Senado comunicó el acuerdo de la Mesa de la Cámara en el sentido de dar por personada a dicha Cámara en el procedimiento y por ofrecida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5</w:t>
      </w:r>
      <w:r>
        <w:t>. El día 2 de diciembre de 2002, se registra en este Tribunal un escrito de la Presidenta del Congreso de los Diputados que comunica el acuerdo de la Mesa de la Cámara de no personarse en el procedimiento ni formular alegaciones.</w:t>
      </w:r>
    </w:p>
    <w:p w:rsidR="0026452D" w:rsidRDefault="0026452D" w:rsidP="0026452D">
      <w:pPr>
        <w:pStyle w:val="TextoNormal"/>
      </w:pPr>
    </w:p>
    <w:p w:rsidR="0026452D" w:rsidRDefault="0026452D" w:rsidP="0026452D">
      <w:pPr>
        <w:pStyle w:val="TextoNormal"/>
      </w:pPr>
      <w:r w:rsidRPr="0026452D">
        <w:rPr>
          <w:rStyle w:val="NumeroAFNegritaCaracter"/>
        </w:rPr>
        <w:t>6</w:t>
      </w:r>
      <w:r>
        <w:t>. Por escrito registrado en este Tribunal el 5 de diciembre de 2002, el Abogado de la Generalitat de Cataluña se personó en el proceso, solicitando una prórroga del plazo inicialmente concedido para contestar a la demanda.</w:t>
      </w:r>
    </w:p>
    <w:p w:rsidR="0026452D" w:rsidRDefault="0026452D" w:rsidP="0026452D">
      <w:pPr>
        <w:pStyle w:val="TextoNormal"/>
      </w:pPr>
    </w:p>
    <w:p w:rsidR="0026452D" w:rsidRDefault="0026452D" w:rsidP="0026452D">
      <w:pPr>
        <w:pStyle w:val="TextoNormal"/>
      </w:pPr>
      <w:r>
        <w:t>El Pleno del Tribunal, mediante providencia de 10 de diciembre de 2002, acordó incorporar a las actuaciones el escrito presentado por el Letrado de la Generalitat de Cataluña y prorrogar en ocho días el plazo concedido para la formulación de alegaciones.</w:t>
      </w:r>
    </w:p>
    <w:p w:rsidR="0026452D" w:rsidRDefault="0026452D" w:rsidP="0026452D">
      <w:pPr>
        <w:pStyle w:val="TextoNormal"/>
      </w:pPr>
    </w:p>
    <w:p w:rsidR="0026452D" w:rsidRDefault="0026452D" w:rsidP="0026452D">
      <w:pPr>
        <w:pStyle w:val="TextoNormal"/>
      </w:pPr>
      <w:r w:rsidRPr="0026452D">
        <w:rPr>
          <w:rStyle w:val="NumeroAFNegritaCaracter"/>
        </w:rPr>
        <w:t>7</w:t>
      </w:r>
      <w:r>
        <w:t>. Por escrito registrado en este Tribunal el 9 de diciembre de 2002, se personó el Letrado del Parlamento de Cataluña, en nombre y representación del mismo, interesando la desestimación del recurso interpuesto por las razones que, resumidamente, se exponen a continuación:</w:t>
      </w:r>
    </w:p>
    <w:p w:rsidR="0026452D" w:rsidRDefault="0026452D" w:rsidP="0026452D">
      <w:pPr>
        <w:pStyle w:val="TextoNormal"/>
      </w:pPr>
    </w:p>
    <w:p w:rsidR="0026452D" w:rsidRDefault="0026452D" w:rsidP="0026452D">
      <w:pPr>
        <w:pStyle w:val="TextoNormal"/>
      </w:pPr>
      <w:r>
        <w:t xml:space="preserve">a) Comienza su alegato con una serie de consideraciones generales sobre el contenido del recurso indicando que las normas objeto de impugnación no sólo pueden sino que deben ser entendidas de una manera que las sitúe perfectamente dentro del orden constitucional. A su juicio se muestra necesario realizar una interpretación sistemática en el marco de la </w:t>
      </w:r>
      <w:r>
        <w:lastRenderedPageBreak/>
        <w:t>legislación estatal y autonómica y en los criterios seguidos por la propia jurisprudencia constitucional. Señala que la Ley 16/2002 constituye una respuesta necesaria al fenómeno del ruido, articulando diversas formas de intervención para conseguir minimizar el impacto acústico con una clara finalidad de protección medioambiental. Argumenta que la norma no está regulando, limitando o interviniendo en el espacio físico de titularidad estatal ni sobre la actividad que en él se desarrolla, “sino que pretende limitar unos efectos que se producen más allá de ese espacio como consecuencia de dicha actividad”, sin que se produzca interferencia ni control sobre el ejercicio de la competencia estatal.</w:t>
      </w:r>
    </w:p>
    <w:p w:rsidR="0026452D" w:rsidRDefault="0026452D" w:rsidP="0026452D">
      <w:pPr>
        <w:pStyle w:val="TextoNormal"/>
      </w:pPr>
    </w:p>
    <w:p w:rsidR="0026452D" w:rsidRDefault="0026452D" w:rsidP="0026452D">
      <w:pPr>
        <w:pStyle w:val="TextoNormal"/>
      </w:pPr>
      <w:r>
        <w:t>b) En relación con el segundo inciso del art. 12.4, el Letrado del Parlamento catalán entiende que la frase “de acuerdo con la declaración de impacto ambiental” no puede considerarse sólo como una matización o especificación de una sola de las circunstancias que da lugar a la aplicación de la obligación establecida, es decir, el “aumento significativo del tráfico”, como interpreta el Abogado del Estado, sino que modula o condiciona a los tres supuestos que darían lugar al surgimiento de la mencionada obligación. Interpretación que resulta lógica porque viene a coincidir, con algún matiz, con los tres casos que justifican el procedimiento de evaluación del impacto ambiental que culmina en la declaración correspondiente, de acuerdo con lo establecido en la legislación estatal constituida por el Real Decreto Legislativo 1302/1986, de 28 de junio, y la Ley 6/2001, de 8 de mayo. Es por ello que entiende que “el estudio de impacto ambiental ya debe considerar el posible desarrollo del tráfico aéreo, y aumento de la incidencia ambiental, hasta donde sea previsible, y entonces incluirá también las medidas para minimizar esta incidencia. O bien no ha podido preverlas, y, ante un aumento significativo del tráfico aéreo, con incidencia ambiental, puede procederse a un nuevo estudio, y consiguiente declaración de impacto ambiental, de acuerdo con la legislación estatal, básica, en la materia. En cualquier caso, si se pasa a través del procedimiento de evaluación de impacto ambiental, se debe considerar entre otros efectos los de orden acústico, y proponer medidas para compensarlos o eliminarlos”.</w:t>
      </w:r>
    </w:p>
    <w:p w:rsidR="0026452D" w:rsidRDefault="0026452D" w:rsidP="0026452D">
      <w:pPr>
        <w:pStyle w:val="TextoNormal"/>
      </w:pPr>
    </w:p>
    <w:p w:rsidR="0026452D" w:rsidRDefault="0026452D" w:rsidP="0026452D">
      <w:pPr>
        <w:pStyle w:val="TextoNormal"/>
      </w:pPr>
      <w:r>
        <w:t>Así pues, considera que el art. 12.4, segundo inciso, por su referencia a la declaración de impacto ambiental, “no se aparta ni un ápice de la legislación básica, en este aspecto que se está examinando, ni la contradice, por lo que no invade la competencia estatal prevista en el art. 149.1.23 CE, ni, en consecuencia, llega a afectar a la competencia reservada por el art. 149.1.20 CE”. Al contrario, estima que “la referencia a la conformidad con la declaración de impacto ambiental deviene clave, y en torno a ella debe girar la adecuada comprensión de norma recurrida, porque sólo esta declaración puede determinar si se produce alguna incidencia, que deba ser corregida, eliminada o compensada, y los medios para llevar a cabo esta corrección”.</w:t>
      </w:r>
    </w:p>
    <w:p w:rsidR="0026452D" w:rsidRDefault="0026452D" w:rsidP="0026452D">
      <w:pPr>
        <w:pStyle w:val="TextoNormal"/>
      </w:pPr>
    </w:p>
    <w:p w:rsidR="0026452D" w:rsidRDefault="0026452D" w:rsidP="0026452D">
      <w:pPr>
        <w:pStyle w:val="TextoNormal"/>
      </w:pPr>
      <w:r>
        <w:t xml:space="preserve">Tampoco estima que se haya producido vulneración en relación con el segundo de los motivos de inconstitucionalidad esgrimidos respecto del citado artículo, pues, a su juicio, “ni la norma enjuiciada establece una modalidad de responsabilidad civil ni general (como era el caso de la jurisprudencia citada en el recurso) ni de la Administración, ni toda la legislación en esta particular materia debe ser establecida por el Estado (de acuerdo con el art. 10.2 del Estatuto de Autonomía de Cataluña)”. Se trata de una norma que puede circunscribirse en un género habitual de las disposiciones de protección ambiental (“deberes normativos”), como son aquellas tanto estatales como autonómicas que imponen deberes para evitar daños o la degradación del medio ambiente. Para el representante del Parlamento “lo que pretende el artículo en el que se incluye el apartado sometido a enjuiciamiento es </w:t>
      </w:r>
      <w:r>
        <w:lastRenderedPageBreak/>
        <w:t>que se considere dentro de las posibilidades de corrección de los efectos negativos de la obra y servicio a ejecutar, el acondicionamiento de los edificios afectados por la contaminación acústica como una medida correctora, determinando que el deber de adoptar la medida correctora, si procede (de acuerdo con la declaración de impacto ambiental, si existe), corresponde al ente gestor del servicio, que debe asumir, en consecuencia, el coste derivado. En ningún caso puede reputarse como un supuesto o una forma de responsabilidad civil —aunque conlleve un sacrificio económico— el deber de adopción de medidas correctoras de los efectos, inmisiones acústicas, perjudiciales para el medio ambiente, cuando estos efectos, ‘de acuerdo con la declaración de impacto ambiental’ (que debe prever dichas medidas correctoras para que procedan), requieren dichas medidas para posibilitar la coexistencia de la instalación y las edificaciones cercanas”. Y advierte que “el precepto impugnado no designa, obviamente, al actual ente gestor de las instalaciones aeroportuarias del Estado (AENA) puesto que la determinación de quien sea éste pertenece a la esfera competencial estatal”. Por último señala que el precepto tampoco interfiere sobre el ejercicio de la competencia estatal basada en el art. 149.1.20 CE, “puesto que se refiere a la realización de unas actuaciones exteriores al perímetro del espacio aeroportuario, que ni dificultan ni perjudican a la gestión del aeropuerto ni a la adopción de decisiones por el Estado al respecto”.</w:t>
      </w:r>
    </w:p>
    <w:p w:rsidR="0026452D" w:rsidRDefault="0026452D" w:rsidP="0026452D">
      <w:pPr>
        <w:pStyle w:val="TextoNormal"/>
      </w:pPr>
    </w:p>
    <w:p w:rsidR="0026452D" w:rsidRDefault="0026452D" w:rsidP="0026452D">
      <w:pPr>
        <w:pStyle w:val="TextoNormal"/>
      </w:pPr>
      <w:r>
        <w:t>c) Respecto del art. 38.2 estima que “tan solo impone la obligación de elaborar un plan cuya ejecución sólo puede corresponder a la Administración titular, así como la supervisión del cumplimiento del mismo, dentro del plazo que aquella determine, si es plausible, y sin tan siquiera imponer un plazo para la elaboración de dicho plan” ni tampoco que el mismo pueda ser modificado ni sustituido por el elaborado por el órgano autonómico. En cuanto a las infraestructuras a las que sería de aplicación, considera que “está claro que se refiere a las que fueron construidas sin declaración de impacto ambiental por no ser exigible en su momento, puesto que a las futuras, no incluidas en la norma, les será de aplicación la legislación básica, de constitucionalidad ya declarada”. Para el Letrado del Parlamento, no parece irrazonable que ese plan deba ser objeto de aprobación, íntegramente y sin posibilidad de modificación, para asegurarse de su redacción y constancia, dada la falta de poder de supervisión y de medidas coactivas en caso de que no sea elaborado. Por otra parte, “aunque se utilice el término ‘plan’ para referirse al conjunto de medidas previstas para minimizar el impacto acústico, cabe considerarlo como una propuesta de actuaciones programadas para su ejecución en un plazo para el que no se exige otra condición, o cualidad más bien, de que sea ‘plausible’, cualidad que la Comunidad Autónoma no puede desconocer arbitrariamente, ni imponer su propia visión, pues para que sea realmente ‘plausible’ es necesario contar con la voluntad de la Administración que lo ha considerado teniendo en cuenta sus disponibilidades presupuestarias. Y no cabe confundir la aprobación del plan como una autorización independiente, puesto que su falta ni siquiera impide la adopción de las medidas correctoras, ya que la Generalitat de Cataluña no dispone de ningún poder para obstaculizarlas, si la Administración del Estado pretende ejecutarlas, ni se le atribuye mediante esta ley una potestad específica a estos efectos”.</w:t>
      </w:r>
    </w:p>
    <w:p w:rsidR="0026452D" w:rsidRDefault="0026452D" w:rsidP="0026452D">
      <w:pPr>
        <w:pStyle w:val="TextoNormal"/>
      </w:pPr>
    </w:p>
    <w:p w:rsidR="0026452D" w:rsidRDefault="0026452D" w:rsidP="0026452D">
      <w:pPr>
        <w:pStyle w:val="TextoNormal"/>
      </w:pPr>
      <w:r>
        <w:t>d) Mediante otrosí, el Letrado del Parlamento de Cataluña solicita el levantamiento anticipado de la suspensión que pesa sobre los preceptos impugnados.</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El Abogado de la Generalitat de Cataluña, en su escrito de alegaciones, que tuvo entrada en el Registro General del Tribunal Constitucional el 18 de diciembre de 2002, interesa </w:t>
      </w:r>
      <w:r>
        <w:lastRenderedPageBreak/>
        <w:t>la desestimación del recurso de inconstitucionalidad por las razones que, resumidamente, se exponen a continuación:</w:t>
      </w:r>
    </w:p>
    <w:p w:rsidR="0026452D" w:rsidRDefault="0026452D" w:rsidP="0026452D">
      <w:pPr>
        <w:pStyle w:val="TextoNormal"/>
      </w:pPr>
    </w:p>
    <w:p w:rsidR="0026452D" w:rsidRDefault="0026452D" w:rsidP="0026452D">
      <w:pPr>
        <w:pStyle w:val="TextoNormal"/>
      </w:pPr>
      <w:r>
        <w:t>a) El Abogado de la Generalitat comienza su escrito de alegaciones poniendo de manifiesto la vaguedad de las lesiones competenciales imputadas y la escasa concreción de la argumentación en las que pretende fundarse. Así, pese a admitir que en el entendimiento de los preceptos impugnados caben distintas posibilidades, no se concluye en su interpretación de conformidad con la Constitución y la legislación básica estatal, cuando, a su juicio, la lectura de ambos preceptos pone de manifiesto su perfecto encaje en el orden competencial y el carácter puramente cautelar del recurso. Entiende que los recursos no pueden tener como función la de prevenir posibles interpretaciones contrarias a la Constitución por parte de quienes están llamados a aplicar las disposiciones delimitadoras de competencias (STC 13/1988, FJ 4), sino la de eliminar transgresiones concretas y efectivas de los respectivos ámbitos competenciales que, a su juicio, en este caso no se producen. Alude a que en el recurso no se discute la competencia autonómica en materia de medio ambiente que habilita la potestad de aprobar una ley de medidas para la protección contra la contaminación acústica, en cuanto que, además, sirve para dar cumplimiento a los mandatos del art. 45 CE. En ese sentido, el Abogado de la Generalitat indica que la norma autonómica ha fijado unos niveles de protección medioambiental superiores a los exigibles desde el ordenamiento básico estatal de medio ambiente, pero reconociendo, al mismo tiempo, la necesaria articulación de esas previsiones con las competencias estatales, para que su aplicación pueda resultar compatible con el pleno ejercicio que al Estado corresponde de sus propias competencias, especialmente en lo que atañe a la construcción y gestión de determinadas infraestructuras.</w:t>
      </w:r>
    </w:p>
    <w:p w:rsidR="0026452D" w:rsidRDefault="0026452D" w:rsidP="0026452D">
      <w:pPr>
        <w:pStyle w:val="TextoNormal"/>
      </w:pPr>
    </w:p>
    <w:p w:rsidR="0026452D" w:rsidRDefault="0026452D" w:rsidP="0026452D">
      <w:pPr>
        <w:pStyle w:val="TextoNormal"/>
      </w:pPr>
      <w:r>
        <w:t>b) En relación con el segundo inciso del art. 12.4 de la Ley 16/2002, de 28 de junio, el Abogado de la Generalitat considera que puede y ha de ser interpretado de conformidad con la Constitución y el sistema de distribución de competencias constitucional y estatutariamente establecido, y defiende que no invade ni las competencias reservadas al Estado en materias de aeropuertos de interés general (149.1.20 CE), ni acerca de la legislación básica de protección del medio ambiente (art. 149.1.23 CE), ni sobre el sistema de responsabilidad de las Administraciones públicas (art. 149.1.18 CE), pues a tales conclusiones sólo se podría llegar si se hiciera caso omiso al expreso reenvío que en el mismo se contiene a la declaración de impacto ambiental. Afirma, en definitiva, que “el sentido del precepto no es otro que el de disponer, en aquellos casos en que se construyan nuevos aeródromos o helipuertos, se amplíen los actuales o se produzca un aumento significativo del tráfico, que la sociedad que explota la instalación debe asumir el acondicionamiento de los edificios afectados dentro de la nueva zona de ruido, de acuerdo y en los términos que determine la declaración de impacto ambiental”. Es decir, dar “cobertura legal específica al deber de realizar las reformas de insonorización de edificios previstas o que se puedan prever en las declaraciones de impacto ambiental de ese tipo de infraestructuras”, por lo que en nada se altera la legislación básica estatal relativa a la declaración de impacto ambiental, contenida actualmente en el Real Decreto Legislativo 1302/1986, de 28 de junio, modificado por la Ley 6/2001, de 8 de mayo. En definitiva, para la representación procesal de la Generalitat, “la remisión que el art. 12.4 hace a la declaración de impacto ambiental no constituye una modificación de la legislación estatal reguladora de ese instrumento sino, precisamente, el reconocimiento del valor concluyente que la declaración tendrá en la determinación de las concretas medidas que será preciso adoptar en cada caso frente a la contaminación generada”.</w:t>
      </w:r>
    </w:p>
    <w:p w:rsidR="0026452D" w:rsidRDefault="0026452D" w:rsidP="0026452D">
      <w:pPr>
        <w:pStyle w:val="TextoNormal"/>
      </w:pPr>
    </w:p>
    <w:p w:rsidR="0026452D" w:rsidRDefault="0026452D" w:rsidP="0026452D">
      <w:pPr>
        <w:pStyle w:val="TextoNormal"/>
      </w:pPr>
      <w:r>
        <w:t>Respecto de la parte final del inciso impugnado, donde se determina que el acondicionamiento de los edificios afectados dentro de la zona de ruido debe ser asumido por la sociedad que explota la instalación, el representante de la Generalitat entiende que, “además de reflejar una realidad y una práctica preexistentes, tiene una lógica correspondencia con el principio establecido en el art. 174.2 del Tratado constitutivo de la Comunidad Europea, donde se determina que la política de la Comunidad en el ámbito del medio ambiente se basará, entre otros, en el principio de quien contamina paga”, principio rector de toda la política medioambiental comunitaria. En cualquier caso, entiende que “el establecimiento de un deber de asumir la ejecución de las medidas correctoras que resulten definidas en la correspondiente declaración de impacto ambiental, en absoluto supone una invasión de la competencia que el art. 149.1.18 Constitución Española reserva al Estado en orden al sistema de responsabilidad de todas Administraciones Públicas, sino que es la consecuencia necesaria del ejercicio por la Generalitat de Cataluña de la competencia asumida en materia de medio ambiente”. Considera que “[s]i en ejercicio de esa competencia la Generalitat puede establecer medidas de preservación del medio ambiente más protectoras que los mínimos exigidos por la legislación básica estatal, necesariamente ha de poder determinar también el sujeto obligado al cumplimiento de esas medidas, y eso es exactamente lo dispuesto en el precepto en cuestión”, lo que no sería más que una pura consecuencia también de la legislación estatal que exige al titular o promotor del proyecto la previsión de las medidas a adoptar para reducir, eliminar o compensar los efectos ambientales significativos.</w:t>
      </w:r>
    </w:p>
    <w:p w:rsidR="0026452D" w:rsidRDefault="0026452D" w:rsidP="0026452D">
      <w:pPr>
        <w:pStyle w:val="TextoNormal"/>
      </w:pPr>
    </w:p>
    <w:p w:rsidR="0026452D" w:rsidRDefault="0026452D" w:rsidP="0026452D">
      <w:pPr>
        <w:pStyle w:val="TextoNormal"/>
      </w:pPr>
      <w:r>
        <w:t>Al respecto recuerda que, en relación al sistema de responsabilidad de las Administraciones públicas al que se refiere el art. 149.1.18 CE, el Tribunal Constitucional tiene establecido una doctrina en la que admite expresamente la posibilidad que el ejercicio de competencias autonómicas pueda comportar la emergencia de deberes indemnizatorios no previstos en la legislación del Estado, tal como ha establecido la STC 61/1997 (FJ 33) y, en idéntico sentido, la STC 164/2001 (FJ 47).</w:t>
      </w:r>
    </w:p>
    <w:p w:rsidR="0026452D" w:rsidRDefault="0026452D" w:rsidP="0026452D">
      <w:pPr>
        <w:pStyle w:val="TextoNormal"/>
      </w:pPr>
    </w:p>
    <w:p w:rsidR="0026452D" w:rsidRDefault="0026452D" w:rsidP="0026452D">
      <w:pPr>
        <w:pStyle w:val="TextoNormal"/>
      </w:pPr>
      <w:r>
        <w:t>c) En relación con el art. 38.2, el Abogado de la Generalitat entiende que debe ser interpretado en el ámbito de la intervención medioambiental que en cada caso corresponda a la Generalitat de Cataluña. Para el citado Letrado “el art. 38.2, en relación al 12.3, imponen de forma genérica a todas las Administraciones públicas titulares de infraestructuras en las que se sobrepasen los valores de atención establecidos de elaborar un plan de medidas para minimizar el impacto acústico”. Y argumenta que “en muchos casos, la Administración titular de la infraestructura será la propia Generalitat de Cataluña, y que, “[a]demás, el precepto en ningún momento dice que la aprobación por el Departamento de Medio Ambiente de la Generalitat constituya la aprobación ‘final’, ni tampoco puede hacerse un entendimiento de esas disposiciones descontextualizada de los demás preceptos de la propia Ley ni del conjunto del ordenamiento jurídico”.</w:t>
      </w:r>
    </w:p>
    <w:p w:rsidR="0026452D" w:rsidRDefault="0026452D" w:rsidP="0026452D">
      <w:pPr>
        <w:pStyle w:val="TextoNormal"/>
      </w:pPr>
    </w:p>
    <w:p w:rsidR="0026452D" w:rsidRDefault="0026452D" w:rsidP="0026452D">
      <w:pPr>
        <w:pStyle w:val="TextoNormal"/>
      </w:pPr>
      <w:r>
        <w:t xml:space="preserve">Defiende que “la interpretación sistemática de ese precepto en relación a los demás preceptos de la Ley ya orienta en un sentido lógico su exégesis, de forma que si para las obras e infraestructuras de nueva planta se admite un criterio flexible en el que se prevé la ponderación de los demás intereses en presencia y la debida articulación con las otras competencias concurrentes, que en muchos casos serán de titularidad estatal, resultaría totalmente absurdo pensar que el legislador catalán ha querido ser mucho más restrictivo e inflexible </w:t>
      </w:r>
      <w:r>
        <w:lastRenderedPageBreak/>
        <w:t>con respecto a las infraestructuras existentes a la entrada en vigor de la Ley, cuando resulta palmario que en buena parte son también de titularidad estatal”.</w:t>
      </w:r>
    </w:p>
    <w:p w:rsidR="0026452D" w:rsidRDefault="0026452D" w:rsidP="0026452D">
      <w:pPr>
        <w:pStyle w:val="TextoNormal"/>
      </w:pPr>
    </w:p>
    <w:p w:rsidR="0026452D" w:rsidRDefault="0026452D" w:rsidP="0026452D">
      <w:pPr>
        <w:pStyle w:val="TextoNormal"/>
      </w:pPr>
      <w:r>
        <w:t>En definitiva, para el representante de la Generalitat, el art. 38.2 en ningún momento excluye el ejercicio por el Estado de las competencias de las que es titular en relación a las infraestructuras de su titularidad ubicadas en Cataluña, sino que tan solo determina el órgano ambiental competente en el ámbito de la Administración de la Generalitat para proceder a la aprobación de los planes de medidas para minimizar su impacto acústico, aprobación que se insertará en el procedimiento, debiendo articularse con las posteriores actuaciones que al Estado puedan corresponder en ejercicio de sus propias competencias. Abunda, a su juicio, en ese mismo sentido, el hecho que la Ley no fije de forma terminante un plazo preclusivo para la implementación de las medidas previstas en el Plan. Entiende que “[e]l silencio de la Ley catalana en ese punto, no articulando el procedimiento que deberá seguir el Estado para ejercer sus competencias sobre las infraestructuras de titularidad estatal, no puede ser entendido como una invasión de las competencias estatales sino todo lo contrario, puesto que es al Estado a quien corresponde fijar los procedimientos a través de los que sus propios órganos han de ejercer las competencias que les corresponden en la gestión de las infraestructuras de las que es titular”. Al respecto advierte como en la STC 204/2002, de 31 de octubre, “el silencio de la ley estatal respecto de la necesaria participación de las Comunidades Autónomas en las funciones de delimitación de la zona de servicio de los aeropuertos y elaboración de su plan director no ha impedido su interpretación conforme con la Constitución y con las competencias asumidas por la Generalitat de Cataluña en materia de ordenación del territorio y urbanismo”.</w:t>
      </w:r>
    </w:p>
    <w:p w:rsidR="0026452D" w:rsidRDefault="0026452D" w:rsidP="0026452D">
      <w:pPr>
        <w:pStyle w:val="TextoNormal"/>
      </w:pPr>
    </w:p>
    <w:p w:rsidR="0026452D" w:rsidRDefault="0026452D" w:rsidP="0026452D">
      <w:pPr>
        <w:pStyle w:val="TextoNormal"/>
      </w:pPr>
      <w:r>
        <w:t>Tampoco cabe, por tanto, imputar a ese precepto la vulneración de las competencias reservadas al Estado por los apartados 20, 21 y 23 del art. 149.1 CE que se invocan en la demanda.</w:t>
      </w:r>
    </w:p>
    <w:p w:rsidR="0026452D" w:rsidRDefault="0026452D" w:rsidP="0026452D">
      <w:pPr>
        <w:pStyle w:val="TextoNormal"/>
      </w:pPr>
    </w:p>
    <w:p w:rsidR="0026452D" w:rsidRDefault="0026452D" w:rsidP="0026452D">
      <w:pPr>
        <w:pStyle w:val="TextoNormal"/>
      </w:pPr>
      <w:r>
        <w:t>Finalmente, mediante otrosí, solicita el levantamiento anticipado de la suspensión que pesa sobre los preceptos impugnados.</w:t>
      </w:r>
    </w:p>
    <w:p w:rsidR="0026452D" w:rsidRDefault="0026452D" w:rsidP="0026452D">
      <w:pPr>
        <w:pStyle w:val="TextoNormal"/>
      </w:pPr>
    </w:p>
    <w:p w:rsidR="0026452D" w:rsidRDefault="0026452D" w:rsidP="0026452D">
      <w:pPr>
        <w:pStyle w:val="TextoNormal"/>
      </w:pPr>
      <w:r w:rsidRPr="0026452D">
        <w:rPr>
          <w:rStyle w:val="NumeroAFNegritaCaracter"/>
        </w:rPr>
        <w:t>9</w:t>
      </w:r>
      <w:r>
        <w:t>. Por providencia de 14 de enero de 2003, la Sección Segunda acordó incorporar a las actuaciones los escritos de alegaciones formuladas por las representaciones procesales del Parlamento y del Gobierno de la Generalitat de Cataluña, y oír al Abogado del Estado para que, en el plazo de cinco días, exponga lo que considere conveniente acerca de la petición de los antes mencionados acerca del levantamiento inmediato de la suspensión de los preceptos impugnados.</w:t>
      </w:r>
    </w:p>
    <w:p w:rsidR="0026452D" w:rsidRDefault="0026452D" w:rsidP="0026452D">
      <w:pPr>
        <w:pStyle w:val="TextoNormal"/>
      </w:pPr>
    </w:p>
    <w:p w:rsidR="0026452D" w:rsidRDefault="0026452D" w:rsidP="0026452D">
      <w:pPr>
        <w:pStyle w:val="TextoNormal"/>
      </w:pPr>
      <w:r>
        <w:t>Por escrito presentado el 23 de enero de 2003, el Abogado del Estado considera que no procede el levantamiento de la suspensión.</w:t>
      </w:r>
    </w:p>
    <w:p w:rsidR="0026452D" w:rsidRDefault="0026452D" w:rsidP="0026452D">
      <w:pPr>
        <w:pStyle w:val="TextoNormal"/>
      </w:pPr>
    </w:p>
    <w:p w:rsidR="0026452D" w:rsidRDefault="0026452D" w:rsidP="0026452D">
      <w:pPr>
        <w:pStyle w:val="TextoNormal"/>
      </w:pPr>
      <w:r w:rsidRPr="0026452D">
        <w:rPr>
          <w:rStyle w:val="NumeroAFNegritaCaracter"/>
        </w:rPr>
        <w:t>10</w:t>
      </w:r>
      <w:r>
        <w:t>. El Pleno del Tribunal Constitucional, por ATC 79/2003, de 6 de marzo, acordó levantar la suspensión de los preceptos recurridos.</w:t>
      </w:r>
    </w:p>
    <w:p w:rsidR="0026452D" w:rsidRDefault="0026452D" w:rsidP="0026452D">
      <w:pPr>
        <w:pStyle w:val="TextoNormal"/>
      </w:pPr>
    </w:p>
    <w:p w:rsidR="0026452D" w:rsidRDefault="0026452D" w:rsidP="0026452D">
      <w:pPr>
        <w:pStyle w:val="TextoNormal"/>
      </w:pPr>
      <w:r w:rsidRPr="0026452D">
        <w:rPr>
          <w:rStyle w:val="NumeroAFNegritaCaracter"/>
        </w:rPr>
        <w:t>11</w:t>
      </w:r>
      <w:r>
        <w:t>. Por providencia de 15 de enero de 2013 se señaló para deliberación y votación de la presente Sentencia el día 17 del mismo mes y año.</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interpone por el Presidente del Gobierno frente los arts. 12.4, inciso segundo, y 38.2 de la Ley 16/2002, de 28 de junio, de protección contra la contaminación acústica de Cataluña.</w:t>
      </w:r>
    </w:p>
    <w:p w:rsidR="0026452D" w:rsidRDefault="0026452D" w:rsidP="0026452D">
      <w:pPr>
        <w:pStyle w:val="TextoNormal"/>
      </w:pPr>
    </w:p>
    <w:p w:rsidR="0026452D" w:rsidRDefault="0026452D" w:rsidP="0026452D">
      <w:pPr>
        <w:pStyle w:val="TextoNormal"/>
      </w:pPr>
      <w:r>
        <w:t>El recurrente impugna los citados artículos por considerar que no respetan el orden constitucional de distribución de competencias en materia de medio ambiente que resulta del art. 149.1.23 CE y, por conexión, también, las competencias reservadas al Estado en los arts. 149.1.20 y 149.1.21 CE sobre determinadas infraestructuras de comunicación y transportes, según la interpretación que de dichos títulos competenciales se ha formulado por este Tribunal. A las quiebras del reparto competencial que se acaban de mencionar, el recurrente añade, al argumentar su impugnación del art. 12.4, inciso segundo, una infracción del art. 149.1.18 CE, en cuanto que la reserva competencial a favor del Estado para el establecimiento del sistema de responsabilidad de las Administraciones públicas que el citado precepto constitucional contiene se habría visto alterada por el inciso impugnado.</w:t>
      </w:r>
    </w:p>
    <w:p w:rsidR="0026452D" w:rsidRDefault="0026452D" w:rsidP="0026452D">
      <w:pPr>
        <w:pStyle w:val="TextoNormal"/>
      </w:pPr>
    </w:p>
    <w:p w:rsidR="0026452D" w:rsidRDefault="0026452D" w:rsidP="0026452D">
      <w:pPr>
        <w:pStyle w:val="TextoNormal"/>
      </w:pPr>
      <w:r>
        <w:t>Por su parte, las representaciones procesales de las instituciones autonómicas comparecidas se oponen al anterior planteamiento. Ambas coinciden en defender que los preceptos recurridos se dictan en ejercicio de competencias que corresponden a la Generalitat y que cabe hacer una interpretación conforme de los mismos en el sentido expuesto en los antecedentes.</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comenzar con el análisis sobre la constitucionalidad de los preceptos impugnados hemos de proceder al examen de algunos aspectos que conviene precisar. Así, en primer lugar, procede advertir que la Ley Orgánica 6/2006, de 19 de julio, de reforma del Estatuto de Autonomía de Cataluña, (en adelante, EAC) ha entrado en vigor con posterioridad a la admisión a trámite de este recurso de inconstitucionalidad, por lo que, de acuerdo con nuestra doctrina [por todas, STC 134/2011, de 20 de julio, FJ 2 d)], las cuestiones que se controvierten se decidirán teniendo en cuenta las prescripciones del nuevo Estatuto de Autonomía de Cataluña que puedan ser de aplicación.</w:t>
      </w:r>
    </w:p>
    <w:p w:rsidR="0026452D" w:rsidRDefault="0026452D" w:rsidP="0026452D">
      <w:pPr>
        <w:pStyle w:val="TextoNormal"/>
      </w:pPr>
    </w:p>
    <w:p w:rsidR="0026452D" w:rsidRDefault="0026452D" w:rsidP="0026452D">
      <w:pPr>
        <w:pStyle w:val="TextoNormal"/>
      </w:pPr>
      <w:r>
        <w:t>En segundo lugar, aunque la Ley 16/2002, de 28 de junio, de protección contra la contaminación acústica de Cataluña no ha sido objeto de modificación, debemos considerar la incidencia de las modificaciones de otras normas con relevancia para este proceso constitucional que puedan haber tenido lugar durante su pendencia. Eso es lo que ha ocurrido con el Real Decreto Legislativo 1302/1986, de 28 de junio, de evaluación de impacto ambiental, parámetro interpretativo invocado por el Abogado del Estado al momento del planteamiento del recurso de inconstitucionalidad, pues ha sido derogado por el Real Decreto Legislativo 1/2008, de 11 de enero, por el que se aprueba el texto refundido de la Ley de evaluación de impacto ambiental. Pues bien, será esta legislación vigente la que se tendrá en cuenta, cuando proceda, para resolver las cuestiones planteadas en el presente recurso [en el mismo sentido, STC 8/2012, de 18 de enero, FJ 2 b)].</w:t>
      </w:r>
    </w:p>
    <w:p w:rsidR="0026452D" w:rsidRDefault="0026452D" w:rsidP="0026452D">
      <w:pPr>
        <w:pStyle w:val="TextoNormal"/>
      </w:pPr>
    </w:p>
    <w:p w:rsidR="0026452D" w:rsidRDefault="0026452D" w:rsidP="0026452D">
      <w:pPr>
        <w:pStyle w:val="TextoNormal"/>
      </w:pPr>
      <w:r w:rsidRPr="0026452D">
        <w:rPr>
          <w:rStyle w:val="NumeroAFNegritaCaracter"/>
        </w:rPr>
        <w:t>3</w:t>
      </w:r>
      <w:r>
        <w:t>. Teniendo presente lo anterior, procederemos ya al examen del primero de los preceptos impugnados, el art. 12.4, segundo inciso, de la Ley 16/2002, que dispone:</w:t>
      </w:r>
    </w:p>
    <w:p w:rsidR="0026452D" w:rsidRDefault="0026452D" w:rsidP="0026452D">
      <w:pPr>
        <w:pStyle w:val="TextoNormal"/>
      </w:pPr>
    </w:p>
    <w:p w:rsidR="0026452D" w:rsidRDefault="0026452D" w:rsidP="0026452D">
      <w:pPr>
        <w:pStyle w:val="TextoNormal"/>
      </w:pPr>
      <w:r>
        <w:lastRenderedPageBreak/>
        <w:t>“En el caso de construcción de nuevos aeródromos o helipuertos, ampliación de los actuales o aumento significativo del tráfico, de acuerdo con la declaración de impacto ambiental, la sociedad que explota la instalación debe asumir el acondicionamiento de los edificios afectados dentro de la nueva zona de ruido.”</w:t>
      </w:r>
    </w:p>
    <w:p w:rsidR="0026452D" w:rsidRDefault="0026452D" w:rsidP="0026452D">
      <w:pPr>
        <w:pStyle w:val="TextoNormal"/>
      </w:pPr>
    </w:p>
    <w:p w:rsidR="0026452D" w:rsidRDefault="0026452D" w:rsidP="0026452D">
      <w:pPr>
        <w:pStyle w:val="TextoNormal"/>
      </w:pPr>
      <w:r>
        <w:t>Como se desprende de su tenor literal, el artículo que ahora se impugna ante este Tribunal, aunque forma parte de una regulación con evidente finalidad medioambiental, tiene como objeto material los “aeródromos o helipuertos”, materia en la que al Estado corresponden las competencias sobre los “aeropuertos de interés general”, conforme establece el art. 149.1.20 CE (SSTC 68/1984, de 11 de junio; y 204/2002, de 31 de octubre). Por su parte, según el art. 140.1 EAC corresponde a la Generalitat “la competencia exclusiva sobre puertos, aeropuertos, helipuertos y demás infraestructuras de transporte en el territorio de Cataluña que no tengan la calificación legal de interés general”, competencia que debe entenderse asumida en los términos dispuestos en la STC 31/2010, de 28 de junio, FJ 85.</w:t>
      </w:r>
    </w:p>
    <w:p w:rsidR="0026452D" w:rsidRDefault="0026452D" w:rsidP="0026452D">
      <w:pPr>
        <w:pStyle w:val="TextoNormal"/>
      </w:pPr>
    </w:p>
    <w:p w:rsidR="0026452D" w:rsidRDefault="0026452D" w:rsidP="0026452D">
      <w:pPr>
        <w:pStyle w:val="TextoNormal"/>
      </w:pPr>
      <w:r>
        <w:t>Aun cuando el inciso impugnado no haga mención a la naturaleza de los aeródromos o helipuertos a los que se está refiriendo, ninguna duda puede caber de que, tal como coinciden todas las partes comparecidas, la previsión ahora cuestionada es de aplicación también a los aeropuertos de competencia estatal, como se desprende, además, del art. 3 en relación con el anexo 2 de la Ley 16/2002, que no introducen salvedad alguna respecto a los aeropuertos de competencia estatal existentes en la Comunidad Autónoma. De hecho, conforme al planteamiento procesal del Abogado del Estado, la vulneración competencial que se predica en primer lugar lo es exclusivamente de las competencias estatales en relación con este tipo de instalaciones, así como respecto a la legislación estatal en materia de evaluación de impacto ambiental.</w:t>
      </w:r>
    </w:p>
    <w:p w:rsidR="0026452D" w:rsidRDefault="0026452D" w:rsidP="0026452D">
      <w:pPr>
        <w:pStyle w:val="TextoNormal"/>
      </w:pPr>
    </w:p>
    <w:p w:rsidR="0026452D" w:rsidRDefault="0026452D" w:rsidP="0026452D">
      <w:pPr>
        <w:pStyle w:val="TextoNormal"/>
      </w:pPr>
      <w:r>
        <w:t>Sentado lo anterior, el problema al que debe responderse es la manera de compaginar ambas competencias estatales con las autonómicas en materia de protección contra la contaminación acústica reconocidas ahora en el art. 144 1 h) EAC, que atribuye a la Comunidad Autónoma la “competencia compartida en materia de medio ambiente y la competencia para el establecimiento de normas adicionales de protección”. Esta competencia incluye, entre otras facultades, “el establecimiento de otros instrumentos de control de la contaminación con independencia de la administración competente para autorizar la obra, la instalación o la actividad que la produzca”.</w:t>
      </w:r>
    </w:p>
    <w:p w:rsidR="0026452D" w:rsidRDefault="0026452D" w:rsidP="0026452D">
      <w:pPr>
        <w:pStyle w:val="TextoNormal"/>
      </w:pPr>
    </w:p>
    <w:p w:rsidR="0026452D" w:rsidRDefault="0026452D" w:rsidP="0026452D">
      <w:pPr>
        <w:pStyle w:val="TextoNormal"/>
      </w:pPr>
      <w:r>
        <w:t xml:space="preserve">Para responder a esta cuestión debemos partir de nuestra doctrina en relación con la evaluación de impacto ambiental. Como recuerda la STC 149/2012, de 5 de julio, FJ 3, citando decisiones anteriores de este Tribunal: “Ciertamente, de acuerdo con la doctrina de este Tribunal, establecida en la STC 13/1998, de 22 de enero y reiterada en otras posteriores (SSTC 101/2006, de 30 de marzo; 1/2012, de 13 de enero; y 34/2012, de 15 de marzo), es conforme con el orden constitucional de competencias que la normativa confíe la evaluación de impacto ambiental a la propia Administración estatal que realiza o autoriza el proyecto de una obra, instalación o actividad que se encuentra sujeta a su competencia pues, en tales casos, ‘la Administración estatal ejerce sus propias competencias sustantivas sobre la obra, la instalación o la actividad proyectada, aun cuando preceptivamente deba considerar su impacto ambiental’ (STC 13/1998, FJ 8). Así lo pone de manifiesto el ‘que la declaración de impacto ambiental determine ‘la conveniencia o no de realizar el proyecto’ y que, en </w:t>
      </w:r>
      <w:r>
        <w:lastRenderedPageBreak/>
        <w:t>caso afirmativo, fije las condiciones en que se debe realizar, estando el contenido de la declaración ‘llamado a integrarse en la autorización que concederá el órgano titular de la competencia sustantiva sobre el proyecto’ (STC 13/1998, FJ 7). En definitiva, el Tribunal ha considerado que la evaluación de impacto ambiental es una técnica transversal que condiciona la actuación estatal ‘que se materializa físicamente, produciendo las consiguientes repercusiones en el territorio y en el medio ambiente de una o varias Comunidades Autónomas’ y que no puede caracterizarse como ‘ejecución o gestión en materia de medio ambiente’ porque su finalidad es que todas las Administraciones públicas ‘valoren el medio ambiente cuando ejercen sus competencias sobre cualquiera de las obras, instalaciones u otras actividades de su competencia’; obras, instalaciones y actividades que forman parte de materias que están ‘sometidas por la Constitución y los Estatutos de Autonomía a reglas específicas de reparto de competencias, que son títulos que por su naturaleza y finalidad atrae a la de medio ambiente, cuyo ‘carácter complejo y multidisciplinario afecta a los más variados sectores del ordenamiento’ (STC 13/1998, FJ 8).”</w:t>
      </w:r>
    </w:p>
    <w:p w:rsidR="0026452D" w:rsidRDefault="0026452D" w:rsidP="0026452D">
      <w:pPr>
        <w:pStyle w:val="TextoNormal"/>
      </w:pPr>
    </w:p>
    <w:p w:rsidR="0026452D" w:rsidRDefault="0026452D" w:rsidP="0026452D">
      <w:pPr>
        <w:pStyle w:val="TextoNormal"/>
      </w:pPr>
      <w:r>
        <w:t>Pues bien, de acuerdo con nuestra reiterada doctrina, resulta claro que corresponde al Estado la competencia de evaluación de impacto ambiental respecto a los proyectos que deban ser autorizados o aprobados por la Administración General del Estado, entre los que se encuentran los relativos a los aeropuertos de interés general, tal y como, por lo demás se recoge ahora en el art. 4 y concordantes del Real Decreto Legislativo 1/2008, de 11 de enero, por el que se aprueba el texto refundido de la Ley de evaluación de impacto ambiental de proyectos.</w:t>
      </w:r>
    </w:p>
    <w:p w:rsidR="0026452D" w:rsidRDefault="0026452D" w:rsidP="0026452D">
      <w:pPr>
        <w:pStyle w:val="TextoNormal"/>
      </w:pPr>
    </w:p>
    <w:p w:rsidR="0026452D" w:rsidRDefault="0026452D" w:rsidP="0026452D">
      <w:pPr>
        <w:pStyle w:val="TextoNormal"/>
      </w:pPr>
      <w:r>
        <w:t>Finalmente, a efectos de completar el canon de enjuiciamiento de este precepto, debemos tener presente también que “el juicio de constitucionalidad no lo es de técnica legislativa” (STC 120/2012, de 4 de junio, FJ 3 y las allí citadas) así como que, “es doctrina reiterada de este Tribunal Constitucional que, en un proceso abstracto como resulta ser el recurso de inconstitucionalidad, es necesario apurar todas las posibilidades de interpretar los preceptos de conformidad con la Constitución y declarar tan sólo la derogación de aquellos cuya incompatibilidad con ella resulte indudable por ser imposible llevar a cabo dicha interpretación” (STC 101/2008, de 24 de julio, FJ 9 y doctrina allí citada). Ciertamente, “la admisibilidad de la interpretación conforme requiere que la interpretación compatible con la Constitución sea efectivamente deducible de la disposición impugnada, sin que corresponda a este Tribunal la reconstrucción de una norma contra su sentido evidente y, por ende, la creación de una norma nueva para concluir que esa reconstrucción es la norma constitucional, con la consiguiente asunción por el Tribunal Constitucional de una función de legislador positivo que institucionalmente no le corresponde” (por todas SSTC 30/2011, de 16 de marzo, FJ 11; y 32/2011, de 17 de marzo de 2011, FJ 9).</w:t>
      </w:r>
    </w:p>
    <w:p w:rsidR="0026452D" w:rsidRDefault="0026452D" w:rsidP="0026452D">
      <w:pPr>
        <w:pStyle w:val="TextoNormal"/>
      </w:pPr>
    </w:p>
    <w:p w:rsidR="0026452D" w:rsidRDefault="0026452D" w:rsidP="0026452D">
      <w:pPr>
        <w:pStyle w:val="TextoNormal"/>
      </w:pPr>
      <w:r w:rsidRPr="0026452D">
        <w:rPr>
          <w:rStyle w:val="NumeroAFNegritaCaracter"/>
        </w:rPr>
        <w:t>4</w:t>
      </w:r>
      <w:r>
        <w:t>. En este caso, como se apreciará, dicha operación interpretativa, que encuentra su anclaje en el principio de conservación de la norma atendiendo a la presunción de constitucionalidad de la que goza por resultar emanada de un legislador democrático, resulta posible, pues cabe realizar, sin forzamiento textual que lo impida, una interpretación del mismo que permite cohonestar las competencias estatales y autonómicas en presencia y ser, en consecuencia, ajustada al orden constitucional y estatutario de distribución de competencias.</w:t>
      </w:r>
    </w:p>
    <w:p w:rsidR="0026452D" w:rsidRDefault="0026452D" w:rsidP="0026452D">
      <w:pPr>
        <w:pStyle w:val="TextoNormal"/>
      </w:pPr>
    </w:p>
    <w:p w:rsidR="0026452D" w:rsidRDefault="0026452D" w:rsidP="0026452D">
      <w:pPr>
        <w:pStyle w:val="TextoNormal"/>
      </w:pPr>
      <w:r>
        <w:t xml:space="preserve">A este respecto, el inciso segundo del art. 12.4 no vulnera las competencias del Estado del art. 149.1.20 CE, pues, conforme a su propio tenor, la obligación de la sociedad que </w:t>
      </w:r>
      <w:r>
        <w:lastRenderedPageBreak/>
        <w:t xml:space="preserve">explote la instalación de asumir el acondicionamiento de los edificios afectados dentro de la nueva zona de ruido derivada de la construcción o ampliación de instalaciones aeroportuarias o aumento significativo del tráfico, en todo caso, se impone “de acuerdo con la declaración de impacto ambiental”. Es a dicha declaración o a cualquier otro instrumento de regulación ambiental estatal, entonces, al que corresponde, en todo caso, fijar las condiciones que deban establecerse para la adecuada protección del medio ambiente, de modo que, si en dicha declaración no figura tal previsión, del artículo impugnado no derivaría ninguna obligación para la sociedad explotadora ni tampoco, por la remisión a una decisión que ha de ser adoptada por un órgano estatal, vulneración de las competencias estatales. Lo contrario significaría tanto como admitir que las Comunidades Autónomas pueden legislar sobre las obras públicas de interés general, en particular en relación con las infraestructuras del transporte y las comunicaciones, algo que excluye nuestra doctrina (por todas, STC 31/2010, de 28 de junio, FJ 85 </w:t>
      </w:r>
      <w:r w:rsidRPr="0026452D">
        <w:rPr>
          <w:i/>
        </w:rPr>
        <w:t>in fine</w:t>
      </w:r>
      <w:r>
        <w:t>).</w:t>
      </w:r>
    </w:p>
    <w:p w:rsidR="0026452D" w:rsidRDefault="0026452D" w:rsidP="0026452D">
      <w:pPr>
        <w:pStyle w:val="TextoNormal"/>
      </w:pPr>
    </w:p>
    <w:p w:rsidR="0026452D" w:rsidRDefault="0026452D" w:rsidP="0026452D">
      <w:pPr>
        <w:pStyle w:val="TextoNormal"/>
      </w:pPr>
      <w:r>
        <w:t>Es decir, el inciso citado, en cuanto que remite a la declaración de impacto ambiental, no permite que eventuales medidas adicionales se pudieran superponer a la citada declaración de impacto ambiental y a la propia autorización del proyecto, estableciendo nuevas obligaciones de protección del medio ambiente adicionales respecto a las ya fijadas por el competente para la aprobación de la evaluación de impacto ambiental del proyecto de que se trate. Por el contrario, tal como han sugerido los Letrados de la Generalitat y del Parlamento de Cataluña en sus alegaciones y se desprende del tenor literal de la norma impugnada, el acondicionamiento de los edificios afectados dentro de la nueva zona de ruido, a la que alude el inciso impugnado, se producirá de conformidad con la correspondiente evaluación de impacto y, en su caso, en los términos y condiciones en que dicha declaración sea aprobada por el órgano ambiental competente, que, en el caso de proyectos de competencia del Estado, será, de acuerdo con nuestra consolidada doctrina, estatal. Es por ello que no puede acogerse el motivo de inconstitucionalidad alegado por el Abogado del Estado, que residencia la vulneración competencial en el concreto supuesto de que un aumento significativo del tráfico de un aeropuerto hiciera surgir la obligación de acondicionamiento de los edificios afectados, pues ya hemos razonado que, conforme a los propios términos del precepto, ello solamente es posible cuando la declaración de impacto así lo prevea.</w:t>
      </w:r>
    </w:p>
    <w:p w:rsidR="0026452D" w:rsidRDefault="0026452D" w:rsidP="0026452D">
      <w:pPr>
        <w:pStyle w:val="TextoNormal"/>
      </w:pPr>
    </w:p>
    <w:p w:rsidR="0026452D" w:rsidRDefault="0026452D" w:rsidP="0026452D">
      <w:pPr>
        <w:pStyle w:val="TextoNormal"/>
      </w:pPr>
      <w:r>
        <w:t>Las razones ya expuestas nos conducen también a desestimar el segundo de los motivos alegados por el Abogado del Estado, relacionado con la vulneración de las competencias estatales en relación con el sistema de responsabilidad de las Administraciones públicas, pues, en cuanto que las eventuales medidas a adoptar han de ser las previstas en la evaluación de impacto, es claro que, por no concurrir los supuestos estructurales para ello, nada tienen que ver con el régimen de responsabilidad de las Administraciones públicas, que corresponde al Estado establecer.</w:t>
      </w:r>
    </w:p>
    <w:p w:rsidR="0026452D" w:rsidRDefault="0026452D" w:rsidP="0026452D">
      <w:pPr>
        <w:pStyle w:val="TextoNormal"/>
      </w:pPr>
    </w:p>
    <w:p w:rsidR="0026452D" w:rsidRDefault="0026452D" w:rsidP="0026452D">
      <w:pPr>
        <w:pStyle w:val="TextoNormal"/>
      </w:pPr>
      <w:r>
        <w:t>En consecuencia, debemos desestimar la impugnación del segundo inciso del art. 12.4 de la Ley 16/2002, de 28 de junio, de protección contra la contaminación acústica de Cataluña.</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Procede ahora examinar el segundo de los preceptos impugnados, el artículo  38.2, a cuyo tenor “[c]uando se sobrepasen los valores de atención establecidos en la presente Ley, la Administración titular de la infraestructura debe elaborar, dando audiencia a las Administraciones afectadas por el trazado, su plan de medidas para minimizar el impacto acústico </w:t>
      </w:r>
      <w:r>
        <w:lastRenderedPageBreak/>
        <w:t>que tenga en cuenta los medios para financiarlo y debe someterlo a la aprobación del Departamento de Medio Ambiente. Este Plan debe establecer un plazo plausible para la consecución de los valores de inmisión.”</w:t>
      </w:r>
    </w:p>
    <w:p w:rsidR="0026452D" w:rsidRDefault="0026452D" w:rsidP="0026452D">
      <w:pPr>
        <w:pStyle w:val="TextoNormal"/>
      </w:pPr>
    </w:p>
    <w:p w:rsidR="0026452D" w:rsidRDefault="0026452D" w:rsidP="0026452D">
      <w:pPr>
        <w:pStyle w:val="TextoNormal"/>
      </w:pPr>
      <w:r>
        <w:t>El Abogado del Estado sostiene que el precepto, en relación con las medidas de minimización del impacto acústico, se refiere a toda clase de infraestructuras entre las que pueden estar las del Estado, sin hacer distinción, además, entre las obras de nueva planta (art. 12.1 y 2 de la Ley 16/2002) y las ya existentes (art. 12.3 de la citada Ley). Defiende que la atribución a la Generalitat de Cataluña de la facultad de aprobación del reseñado “plan de medidas” estableciendo una fórmula de aprobación inexcusable del Departamento de Medio Ambiente que impone además un plazo para la consecución de los valores de inmisión, quiebra las competencias del Estado reguladas en el art. 149.1.20 y 21 CE, así como las “bases medioambientales” (art. 149.1.23 CE), alterando las reglas de coordinación y cooperación entre Administraciones públicas. Todos estos extremos son negados por las representaciones procesales del Parlamento y de la Generalitat de Cataluña que han defendido la adecuación del precepto al orden competencial señalando que la aludida aprobación, cuya inserción en el procedimiento ha de ser determinada por el Estado, tiene como finalidad constatar la existencia de las medidas exigibles para respetar las no cuestionadas previsiones de la Ley 16/2002 en relación con la prevención de la contaminación acústica provocada por las infraestructuras de transporte.</w:t>
      </w:r>
    </w:p>
    <w:p w:rsidR="0026452D" w:rsidRDefault="0026452D" w:rsidP="0026452D">
      <w:pPr>
        <w:pStyle w:val="TextoNormal"/>
      </w:pPr>
    </w:p>
    <w:p w:rsidR="0026452D" w:rsidRDefault="0026452D" w:rsidP="0026452D">
      <w:pPr>
        <w:pStyle w:val="TextoNormal"/>
      </w:pPr>
      <w:r>
        <w:t>Expuestas las posiciones de las partes, hemos de advertir, en primer lugar, que el problema se plantea, exclusivamente, en relación con las infraestructuras de transporte viario, marítimo y ferroviario que, siendo de competencia estatal, tuvieran aprobado el proyecto o el estudio y efectuada la declaración de impacto ambiental (art. 12 en relación con el apartado primero de la disposición transitoria tercera de la Ley), pues respecto de ellas el art. 12.3 dispone que en el caso de sobrepasarse los valores de atención fijados en el anexo 1 para las zonas de sensibilidad acústica baja, la administración titular debe elaborar, dando audiencia a las administraciones afectadas por la infraestructura, un plan de medidas para minimizar el impacto acústico, de acuerdo con lo que establece el art. 38.</w:t>
      </w:r>
    </w:p>
    <w:p w:rsidR="0026452D" w:rsidRDefault="0026452D" w:rsidP="0026452D">
      <w:pPr>
        <w:pStyle w:val="TextoNormal"/>
      </w:pPr>
    </w:p>
    <w:p w:rsidR="0026452D" w:rsidRDefault="0026452D" w:rsidP="0026452D">
      <w:pPr>
        <w:pStyle w:val="TextoNormal"/>
      </w:pPr>
      <w:r>
        <w:t>Así pues, a la vista de las alegaciones del Abogado del Estado, el problema que hemos de resolver no se refiere a la necesidad de elaborar un plan para minimizar el impacto acústico de la infraestructura y ajustarlos a las previsiones de la norma autonómica, sino que, exclusivamente, se contrae a la exigencia, que se entiende contraria al orden constitucional de distribución de competencias, de que dicho plan, elaborado por un órgano estatal, en cuanto titular de la infraestructura, sea sometido a la aprobación de un órgano de la Administración de la Generalitat. Lo cuestionado es el modo en el que, a juicio del Abogado del Estado, la Comunidad Autónoma pretende desarrollar el ejercicio de la competencia en relación con las infraestructuras estatales ya existentes, pues el motivo de impugnación es que el referido plan deba ser aprobado por el Departamento de Medio Ambiente de la Generalitat de Cataluña. Dicha aprobación superaría el ámbito propio de establecimiento de fórmulas de cooperación o colaboración interadministrativas, que son las que aquí procederían, y supondría la prevalencia del criterio autonómico de modo contrario al orden constitucional de distribución de competencias.</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Para enmarcar debidamente el análisis de la cuestión controvertida, es preciso recordar nuestra doctrina previa en la que, como recuerda la STC 46/2007, de 1 de marzo, FJ 6, “dos, </w:t>
      </w:r>
      <w:r>
        <w:lastRenderedPageBreak/>
        <w:t>pues, son los parámetros derivados de nuestra doctrina constitucional que deben ser utilizados a la hora de resolver una controversia de este tipo ‘En primer lugar, la previsión de adecuadas técnicas de cooperación que permitan llegar a una solución satisfactoria para los intereses de las partes en conflicto, dado que resulta obligado para los titulares de los mismos tratar de integrarlas mediante los diversos instrumentos de colaboración y cooperación; en segundo lugar, y para el caso de que ello no sea posible, la determinación de cuál de las competencias en presencia haya de considerarse prevalente’.”</w:t>
      </w:r>
    </w:p>
    <w:p w:rsidR="0026452D" w:rsidRDefault="0026452D" w:rsidP="0026452D">
      <w:pPr>
        <w:pStyle w:val="TextoNormal"/>
      </w:pPr>
    </w:p>
    <w:p w:rsidR="0026452D" w:rsidRDefault="0026452D" w:rsidP="0026452D">
      <w:pPr>
        <w:pStyle w:val="TextoNormal"/>
      </w:pPr>
      <w:r>
        <w:t>En el mismo sentido también tenemos declarado que “este Tribunal ha tenido ocasión de pronunciarse sobre supuestos similares, en los que la evidente complejidad derivada de la necesidad de articular las competencias estatales y autonómicas que —con distinto objeto jurídico— concurren sobre el mismo espacio físico ha dado lugar a técnicas o fórmulas que arbitran soluciones diferentes en cada caso. De la doctrina recogida en las SSTC 103/1989, de 8 de junio, FJ 7 a); 149/1991, de 4 de julio, FJ 7 c) y d); y 40/1998, de 19 de febrero, FJ 38, cabe extraer las notas comunes a las técnicas de cooperación que hemos juzgado constitucionalmente admisibles. Con distintas fórmulas, todas tienen en común el diseño de un expediente de acomodación o integración entre dos competencias concurrentes que están llamadas a cohonestarse, evitando tener que seguir dos procedimientos separados y facilitando la colaboración entre las Administraciones estatal y autonómica para el cumplimiento de sus distintos fines. La decisión resultante constituye un acto complejo en el que han de concurrir dos voluntades distintas, concurrencia que resulta constitucionalmente admisible cuando ambas voluntades resuelven sobre asuntos de su propia competencia. Este deseable resultado se alcanzará normalmente abriendo un período de consultas para llegar al acuerdo que, de no conseguirse, preservará necesariamente la decisión estatal, que se impondrá a las entidades territoriales únicamente en los aspectos que son de su exclusiva competencia, sin desplazar a la correlativa competencia autonómica.” (STC 195/2012, de 31 de octubre, FJ 6).</w:t>
      </w:r>
    </w:p>
    <w:p w:rsidR="0026452D" w:rsidRDefault="0026452D" w:rsidP="0026452D">
      <w:pPr>
        <w:pStyle w:val="TextoNormal"/>
      </w:pPr>
    </w:p>
    <w:p w:rsidR="0026452D" w:rsidRDefault="0026452D" w:rsidP="0026452D">
      <w:pPr>
        <w:pStyle w:val="TextoNormal"/>
      </w:pPr>
      <w:r w:rsidRPr="0026452D">
        <w:rPr>
          <w:rStyle w:val="NumeroAFNegritaCaracter"/>
        </w:rPr>
        <w:t>7</w:t>
      </w:r>
      <w:r>
        <w:t>. Será, pues, a partir de esta doctrina, como deberemos afrontar la resolución de la controversia aquí planteada, partiendo de que la admisibilidad constitucional del mecanismo de articulación de las competencias estatales y autonómicas sobre el que ahora debemos pronunciarnos depende, en lo esencial, del modo en que la Comunidad Autónoma pretende desarrollar el ejercicio de la competencia en materia de protección contra la contaminación acústica, pues, si hay articulación con otras competencias estatales que impida su desconocimiento y suponga la cooperación o fórmulas de colaboración interadministrativas, dicha medida, consistente en la ya aludida aprobación del plan, será admisible, y no lo será en caso contrario. No otra consecuencia es la que se deriva de la necesaria interpretación en función del principio de colaboración entre el Estado y las Comunidades Autónomas, implícito en el sistema de autonomías, y la necesidad ordinamental de convivencia de las distintas normas del Ordenamiento jurídico, salvo si su sentido explícito las hace incompatibles.</w:t>
      </w:r>
    </w:p>
    <w:p w:rsidR="0026452D" w:rsidRDefault="0026452D" w:rsidP="0026452D">
      <w:pPr>
        <w:pStyle w:val="TextoNormal"/>
      </w:pPr>
    </w:p>
    <w:p w:rsidR="0026452D" w:rsidRDefault="0026452D" w:rsidP="0026452D">
      <w:pPr>
        <w:pStyle w:val="TextoNormal"/>
      </w:pPr>
      <w:r>
        <w:t xml:space="preserve">Debemos partir de la constatación de que, como pone de manifiesto el Letrado de la Generalitat, al Estado es a quien corresponde fijar los procedimientos a través de los que sus propios órganos han de ejercer las competencias —entre ellas la elaboración y puesta en práctica del plan al que alude el precepto impugnado— en relación con la gestión de las infraestructuras de las que es titular, debiendo entender por tales, conforme a la propia Ley 16/2002, tanto aquellas que se encuentren en proyecto como las ya aprobadas y construidas. </w:t>
      </w:r>
      <w:r>
        <w:lastRenderedPageBreak/>
        <w:t>Por tanto, el precepto impugnado regula, en realidad, la intervención autonómica en una decisión estatal, la elaboración, aprobación e implantación de una serie de medidas que corresponde adoptar al Estado respecto de sus infraestructuras a fin de reducir su impacto acústico. Indica así que las medidas a adoptar requieren la conformidad de la autoridad ambiental autonómica, sin que con ello se determine, pues el precepto impugnado guarda silencio al respecto, el sentido y contenidos concretos de las eventuales medidas ni el momento oportuno para su aprobación y puesta en práctica por el órgano estatal que resulte competente para ello en razón del tipo de infraestructura de que se trate.</w:t>
      </w:r>
    </w:p>
    <w:p w:rsidR="0026452D" w:rsidRDefault="0026452D" w:rsidP="0026452D">
      <w:pPr>
        <w:pStyle w:val="TextoNormal"/>
      </w:pPr>
    </w:p>
    <w:p w:rsidR="0026452D" w:rsidRDefault="0026452D" w:rsidP="0026452D">
      <w:pPr>
        <w:pStyle w:val="TextoNormal"/>
      </w:pPr>
      <w:r>
        <w:t>En suma, el mecanismo previsto constituye una forma singular de colaboración para un supuesto asimismo singular, en el que se produce una concurrencia de competencias estatales y autonómicas, fórmula sobre la que hemos de decidir si la aprobación recogida por el precepto condiciona la decisión de un órgano estatal respecto a la puesta en práctica de las medidas sobre impacto acústico por él diseñadas en cuanto titular de la infraestructura. Es evidente que, en este caso, el precepto impugnado recoge una intervención autonómica singularmente intensa, la cual, para poder ser entendida de modo compatible con el orden constitucional de distribución de competencias, ha de enmarcarse en un contexto de colaboración entre Administraciones que son titulares de competencias concurrentes sobre un mismo espacio físico, lo que, ya de por sí, impide el sometimiento de las competencias estatales al consentimiento autonómico, pues dicha consecuencia sería incompatible con el carácter indisponible e irrenunciable de las competencias (en el mismo sentido, STC 31/2010, FJ 73). Así hemos declarado que “para el caso de que los cauces de cooperación resulten insuficientes para resolver los conflictos que puedan surgir, será preciso determinar cuál es el título prevalente en función del interés general concernido, que determinará la preferente aplicación de una competencia en detrimento de la otra. Para ello, habrá que tomar en consideración, como señala el fundamento jurídico 30 de la STC 40/1998, de 19 de febrero, cuál sea la competencia estatal de carácter sectorial que pretenda ejercerse, las razones que han llevado al constituyente a reservar esa competencia al Estado o el modo concreto en que éste o la Comunidad Autónoma pretendan ejercer las que les corresponden” (STC 46/2007, FJ 5).</w:t>
      </w:r>
    </w:p>
    <w:p w:rsidR="0026452D" w:rsidRDefault="0026452D" w:rsidP="0026452D">
      <w:pPr>
        <w:pStyle w:val="TextoNormal"/>
      </w:pPr>
    </w:p>
    <w:p w:rsidR="0026452D" w:rsidRDefault="0026452D" w:rsidP="0026452D">
      <w:pPr>
        <w:pStyle w:val="TextoNormal"/>
      </w:pPr>
      <w:r>
        <w:t>El supuesto que examinamos, en la medida en que implícitamente atribuye la elaboración del plan al Estado, en su condición de titular de las infraestructuras, prevé la ponderación de los intereses en presencia, de modo que, en principio, estamos ante un mecanismo de acomodación o integración entre dos competencias concurrentes en el espacio físico, en el que cada una de las voluntades presentes se circunscribe a asuntos de su propia competencia. Pese a ello, dicha ponderación se realiza recurriendo a una técnica, la de la aprobación del plan por el Departamento autonómico de Medio Ambiente, que supera el ámbito propio de establecimiento de fórmulas de cooperación o colaboración interadministrativas basadas en la voluntariedad y el mutuo acuerdo. Técnicas que, a partir de nuestra consolidada doctrina respecto a la concurrencia de competencias estatales y autonómicas en el territorio derivadas de títulos jurídicos distintos (STC 82/2012, de 18 de abril, FJ 3), son las que aquí procedería aplicar, a fin de lograr que las infraestructuras estatales se ajusten a las determinaciones ambientales y que, a la vez, éstas no impidan u obstaculicen el normal desenvolvimiento de tales infraestructuras, de modo que puedan cumplir la finalidad para la que fueron diseñadas.</w:t>
      </w:r>
    </w:p>
    <w:p w:rsidR="0026452D" w:rsidRDefault="0026452D" w:rsidP="0026452D">
      <w:pPr>
        <w:pStyle w:val="TextoNormal"/>
      </w:pPr>
    </w:p>
    <w:p w:rsidR="0026452D" w:rsidRDefault="0026452D" w:rsidP="0026452D">
      <w:pPr>
        <w:pStyle w:val="TextoNormal"/>
      </w:pPr>
      <w:r>
        <w:lastRenderedPageBreak/>
        <w:t>Por el contrario, el precepto impugnado implica la prevalencia del criterio autonómico de un modo que ha de reputarse contrario al orden constitucional de distribución de competencias, pues las infraestructuras sobre las que se ha planteado la controversia están sometidas por la Constitución y los Estatutos de Autonomía a sus propios títulos competenciales, los cuales se ven aquí preteridos. Por todo ello, al no asegurar la debida ponderación de los intereses eventualmente afectados por la concurrencia competencial sobre el mismo espacio físico e imponer la subordinación de unos a otros, la aprobación por el Departamento autonómico de Medio Ambiente de un plan de medidas para minimizar el impacto acústico de las infraestructuras estatales de transporte viario, marítimo y ferroviario es contraria al orden constitucional de distribución de competencias.</w:t>
      </w:r>
    </w:p>
    <w:p w:rsidR="0026452D" w:rsidRDefault="0026452D" w:rsidP="0026452D">
      <w:pPr>
        <w:pStyle w:val="TextoNormal"/>
      </w:pPr>
    </w:p>
    <w:p w:rsidR="0026452D" w:rsidRDefault="0026452D" w:rsidP="0026452D">
      <w:pPr>
        <w:pStyle w:val="TextoNormal"/>
      </w:pPr>
      <w:r>
        <w:t>De cuanto llevamos expuesto se deduce asimismo la imposibilidad de acoger la interpretación propuesta por los Letrados de la Generalitat y del Parlamento de Cataluña pues la misma, pues, dada la dicción literal del precepto, tal solución interpretativa no satisfaría los presupuestos que señala nuestra doctrina (por todas, STC 30/2011, FJ 11).</w:t>
      </w:r>
    </w:p>
    <w:p w:rsidR="0026452D" w:rsidRDefault="0026452D" w:rsidP="0026452D">
      <w:pPr>
        <w:pStyle w:val="TextoNormal"/>
      </w:pPr>
    </w:p>
    <w:p w:rsidR="0026452D" w:rsidRDefault="0026452D" w:rsidP="0026452D">
      <w:pPr>
        <w:pStyle w:val="TextoNormal"/>
      </w:pPr>
      <w:r>
        <w:t>No queda entonces sino estimar el recurso por lo que respecta al art. 38.2 de la Ley 16/2002, si bien, en atención tanto al planteamiento procesal del Abogado del Estado como al hecho de que el precepto es aplicable a infraestructuras de titularidad de otras Administraciones públicas, el mismo no ha de ser declarado nulo sino, simplemente, inaplicable a las infraestructuras de transporte viario, marítimo y ferroviario de titularidad estatal ya existentes a la entrada en vigor de la ley, a las que, por la remisión del art. 12.3, se aplicaría el art. 38.2 de la Ley 16/2002.</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Estimar parcialmente el presente recurso de inconstitucionalidad y declarar, en los términos establecidos en el fundamento jurídico 7, que el art. 38.2 de la Ley 16/2002, de 28 de junio, de protección contra la contaminación acústica de Cataluña, no es aplicable a las infraestructuras de titularidad estatal.</w:t>
      </w:r>
    </w:p>
    <w:p w:rsidR="0026452D" w:rsidRDefault="0026452D" w:rsidP="0026452D">
      <w:pPr>
        <w:pStyle w:val="TextoNormal"/>
      </w:pPr>
    </w:p>
    <w:p w:rsidR="0026452D" w:rsidRDefault="0026452D" w:rsidP="0026452D">
      <w:pPr>
        <w:pStyle w:val="TextoNormal"/>
      </w:pPr>
      <w:r>
        <w:t>2º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diecisiete de enero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Manuel Aragón Reyes respecto de la Sentencia dictada en el recurso de inconstitucionalidad núm. 5762-2002.</w:t>
      </w:r>
    </w:p>
    <w:p w:rsidR="0026452D" w:rsidRDefault="0026452D" w:rsidP="0026452D">
      <w:pPr>
        <w:pStyle w:val="TextoNormalNegritaCentrado"/>
        <w:keepNext/>
      </w:pPr>
    </w:p>
    <w:p w:rsidR="0026452D" w:rsidRDefault="0026452D" w:rsidP="0026452D">
      <w:pPr>
        <w:pStyle w:val="TextoNormal"/>
      </w:pPr>
      <w:r>
        <w:t xml:space="preserve">En ejercicio de la facultad que me confiere el art. 90.2 de la Ley Orgánica del Tribunal Constitucional (LOTC), y con pleno respeto a la opinión de la mayoría del Pleno, formulo </w:t>
      </w:r>
      <w:r>
        <w:lastRenderedPageBreak/>
        <w:t>el presente Voto particular, al discrepar del fallo y de parte de la fundamentación jurídica de la Sentencia que ha desestimado el recurso de inconstitucionalidad interpuesto por el Presidente del Gobierno contra los arts. 12.4, inciso segundo, y 38.2 de la Ley 16/2002, de 28 de junio, de protección contra la contaminación acústica de Cataluña.</w:t>
      </w:r>
    </w:p>
    <w:p w:rsidR="0026452D" w:rsidRDefault="0026452D" w:rsidP="0026452D">
      <w:pPr>
        <w:pStyle w:val="TextoNormal"/>
      </w:pPr>
    </w:p>
    <w:p w:rsidR="0026452D" w:rsidRDefault="0026452D" w:rsidP="0026452D">
      <w:pPr>
        <w:pStyle w:val="TextoNormal"/>
      </w:pPr>
      <w:r>
        <w:t>Mi discrepancia se circunscribe al enjuiciamiento que se realiza en la Sentencia del segundo inciso del art. 12.4 de la Ley 16/2002, de 28 de junio, de protección contra la contaminación acústica de Cataluña. A mi entender, en virtud de los argumentos que defendí en la deliberación del Pleno y que resumidamente expongo a continuación, el recurso de inconstitucionalidad debió ser estimado no sólo respecto del art. 38.2 de la citada Ley (extremo este en el que estoy plenamente de acuerdo), sino también respecto del segundo inciso del art. 12.4, declarando (al igual que se hace en la Sentencia en relación con el art. 38.2), que este precepto no es aplicable a las infraestructuras de titularidad estatal, y ello por las razones que siguen.</w:t>
      </w:r>
    </w:p>
    <w:p w:rsidR="0026452D" w:rsidRDefault="0026452D" w:rsidP="0026452D">
      <w:pPr>
        <w:pStyle w:val="TextoNormal"/>
      </w:pPr>
    </w:p>
    <w:p w:rsidR="0026452D" w:rsidRDefault="0026452D" w:rsidP="0026452D">
      <w:pPr>
        <w:pStyle w:val="TextoNormal"/>
      </w:pPr>
      <w:r>
        <w:t xml:space="preserve">La Sentencia de la que discrepo sostiene que, pese a la defectuosa redacción del segundo inciso del art. 12.4 de la Ley 16/2002, el mismo es susceptible de una interpretación conforme con la Constitución (declaración de conformidad que, por cierto, no se lleva al fallo), que pasaría por entender que la obligación que se impone a la sociedad que explote la instalación de asumir el acondicionamiento de los edificios afectados dentro de la nueva zona de ruido derivada de la construcción o ampliación de instalaciones aeroportuarias o aumento significativo del tráfico aéreo se producirá en todo caso de conformidad con la correspondiente evaluación de impacto y, en su caso, en los términos y condiciones en que dicha declaración sea aprobada por el órgano ambiental competente, que, en el caso de proyectos de competencia del Estado, será, de acuerdo con nuestra consolidada doctrina al respecto, un órgano estatal. De modo que, si en dicha declaración no figura tal previsión, del inciso impugnado no derivaría ninguna obligación para la sociedad explotadora ni, en consecuencia, por la remisión a una decisión que ha de ser adoptada por un órgano estatal, vulneración de las competencias estatales </w:t>
      </w:r>
      <w:r w:rsidRPr="0026452D">
        <w:rPr>
          <w:i/>
        </w:rPr>
        <w:t>ex</w:t>
      </w:r>
      <w:r>
        <w:t xml:space="preserve"> art. 149.1.20 CE.</w:t>
      </w:r>
    </w:p>
    <w:p w:rsidR="0026452D" w:rsidRDefault="0026452D" w:rsidP="0026452D">
      <w:pPr>
        <w:pStyle w:val="TextoNormal"/>
      </w:pPr>
    </w:p>
    <w:p w:rsidR="0026452D" w:rsidRDefault="0026452D" w:rsidP="0026452D">
      <w:pPr>
        <w:pStyle w:val="TextoNormal"/>
      </w:pPr>
      <w:r>
        <w:t>Sin embargo, la constitucionalidad del precepto no puede ser salvada, a mi juicio, mediante la interpretación de conformidad a la que se acoge la Sentencia, por las razones que a continuación expongo.</w:t>
      </w:r>
    </w:p>
    <w:p w:rsidR="0026452D" w:rsidRDefault="0026452D" w:rsidP="0026452D">
      <w:pPr>
        <w:pStyle w:val="TextoNormal"/>
      </w:pPr>
    </w:p>
    <w:p w:rsidR="0026452D" w:rsidRDefault="0026452D" w:rsidP="0026452D">
      <w:pPr>
        <w:pStyle w:val="TextoNormal"/>
      </w:pPr>
      <w:r>
        <w:t>Ciertamente, no cabe duda de que, en los supuestos de construcción o ampliación de instalaciones aeroportuarias de interés general, el Estado ostenta competencias exclusivas conforme establece el art. 149.1.20 CE (SSTC 68/1984, de 11 de junio, y 204/2002, de 31 de octubre), por lo que, en consecuencia, al Estado le corresponde la competencia de evaluación de impacto ambiental respecto a los proyectos relativos a tales infraestructuras (SSTC 13/1998, de 22 de enero, y 149/2012, de 5 de julio, por todas). Más no es aquí donde radica el verdadero problema constitucional que plantea el inciso impugnado.</w:t>
      </w:r>
    </w:p>
    <w:p w:rsidR="0026452D" w:rsidRDefault="0026452D" w:rsidP="0026452D">
      <w:pPr>
        <w:pStyle w:val="TextoNormal"/>
      </w:pPr>
    </w:p>
    <w:p w:rsidR="0026452D" w:rsidRDefault="0026452D" w:rsidP="0026452D">
      <w:pPr>
        <w:pStyle w:val="TextoNormal"/>
      </w:pPr>
      <w:r>
        <w:t>El problema real para el orden constitucional de distribución de competencias que suscita el precepto en cuestión reside en que una ley autonómica no puede condicionar el ejercicio de las competencias exclusivas estatales (por todas, SSTC 56/1986, de 13 de mayo, FJ 3; 149/1998, de 2 de julio, FJ 4; 204/2002, de 31 de octubre, FJ 7; 46/2007, de 1 de marzo, FJ 5; 82/2012, de 18 de abril, FJ 3). Las Comunidades Autónomas no pueden, pues, legislar sobre las infraestructuras de interés general, de competencia estatal exclusiva.</w:t>
      </w:r>
    </w:p>
    <w:p w:rsidR="0026452D" w:rsidRDefault="0026452D" w:rsidP="0026452D">
      <w:pPr>
        <w:pStyle w:val="TextoNormal"/>
      </w:pPr>
    </w:p>
    <w:p w:rsidR="0026452D" w:rsidRDefault="0026452D" w:rsidP="0026452D">
      <w:pPr>
        <w:pStyle w:val="TextoNormal"/>
      </w:pPr>
      <w:r>
        <w:t xml:space="preserve">Por tanto, la competencia autonómica exclusiva (art. 140.1 del Estatuto de Autonomía de Cataluña) sobre aeródromos o helipuertos radicados en el territorio de Cataluña (que debe entenderse asumida por la Generalitat de Cataluña en los términos dispuestos en la STC 31/2010, de 28 de junio, FJ 85) sólo puede referirse a aquellas infraestructuras aeroportuarias que no tengan la calificación de interés general y, por ello, no puede privar al Estado del ejercicio de sus propias competencias exclusivas en materia de aeropuertos de interés general </w:t>
      </w:r>
      <w:r w:rsidRPr="0026452D">
        <w:rPr>
          <w:i/>
        </w:rPr>
        <w:t>ex</w:t>
      </w:r>
      <w:r>
        <w:t xml:space="preserve"> art. 149.1.20 CE, que es justamente lo que sucede con la previsión contenida en el segundo inciso del art. 12.4 de la Ley catalana 16/2002, de cuyo tenor literal se desprende, sin duda, que es de aplicación no sólo a los aeródromos o helipuertos situados en Cataluña que no tengan la calificación de interés general (respecto de los cuales nada cabe objetar al inciso impugnado), sino también, como no se reconoce en la propia Sentencia de la que discrepo, a las instalaciones aeroportuarias de interés general, y por tanto, de competencia estatal (art. 149.1.20 CE).</w:t>
      </w:r>
    </w:p>
    <w:p w:rsidR="0026452D" w:rsidRDefault="0026452D" w:rsidP="0026452D">
      <w:pPr>
        <w:pStyle w:val="TextoNormal"/>
      </w:pPr>
    </w:p>
    <w:p w:rsidR="0026452D" w:rsidRDefault="0026452D" w:rsidP="0026452D">
      <w:pPr>
        <w:pStyle w:val="TextoNormal"/>
      </w:pPr>
      <w:r>
        <w:t xml:space="preserve">La claridad, pues, de los términos del inciso impugnado es la que crea la situación de franca inconstitucionalidad. En efecto, la obligación que el inciso impugnado impone a la sociedad que explote la instalación aeroportuaria de asumir el coste del acondicionamiento de los edificios afectados dentro de la nueva zona de ruido (derivada de la construcción o la ampliación de la instalaciones aeroportuarias o de un aumento significativo del tráfico aéreo), de conformidad con la correspondiente evaluación de impacto ambiental, resulta perfectamente legítima en el caso de aeródromos o helipuertos radicados en el territorio de Cataluña que no tengan la calificación de interés general, cuya competencia corresponde a la Generalitat de Cataluña en los términos señalados por nuestra STC 31/2010, FJ 85), pero vulnera el orden constitucional de distribución de competencias en cuanto afecta y condiciona el ejercicio de la competencia estatal exclusiva en materia de aeropuertos de interés general </w:t>
      </w:r>
      <w:r w:rsidRPr="0026452D">
        <w:rPr>
          <w:i/>
        </w:rPr>
        <w:t>ex</w:t>
      </w:r>
      <w:r>
        <w:t xml:space="preserve"> art. 149.1.20 CE.</w:t>
      </w:r>
    </w:p>
    <w:p w:rsidR="0026452D" w:rsidRDefault="0026452D" w:rsidP="0026452D">
      <w:pPr>
        <w:pStyle w:val="TextoNormal"/>
      </w:pPr>
    </w:p>
    <w:p w:rsidR="0026452D" w:rsidRDefault="0026452D" w:rsidP="0026452D">
      <w:pPr>
        <w:pStyle w:val="TextoNormal"/>
      </w:pPr>
      <w:r>
        <w:t xml:space="preserve">Por ello considero que, en términos semejantes a como se ha hecho en la Sentencia de la que discrepo —no en este punto, como ya he dicho— respecto del art. 38.2 de la Ley 16/2002, de 28 de junio, de protección contra la contaminación acústica de Cataluña, también debió entenderse que la previsión contenida en el segundo inciso del art. 12.4 de la referida Ley 16/2002 es inconstitucional por vulnerar las competencias estatales exclusivas </w:t>
      </w:r>
      <w:r w:rsidRPr="0026452D">
        <w:rPr>
          <w:i/>
        </w:rPr>
        <w:t>ex</w:t>
      </w:r>
      <w:r>
        <w:t xml:space="preserve"> art. 149.1.20 CE, sin que ello comporte la declaración de nulidad de inciso impugnado, sino que basta con declararlo (como se ha hecho igualmente en la Sentencia con el citado art. 38.2) no aplicable a las infraestructuras aeroportuarias de titularidad estatal, atendiendo al hecho de que el precepto resulta legítimamente aplicable a las infraestructuras cuya competencia corresponda a la Generalitat de Cataluña.</w:t>
      </w:r>
    </w:p>
    <w:p w:rsidR="0026452D" w:rsidRDefault="0026452D" w:rsidP="0026452D">
      <w:pPr>
        <w:pStyle w:val="TextoNormal"/>
      </w:pPr>
    </w:p>
    <w:p w:rsidR="0026452D" w:rsidRDefault="0026452D" w:rsidP="0026452D">
      <w:pPr>
        <w:pStyle w:val="TextoNormal"/>
      </w:pPr>
      <w:r>
        <w:t>Y en este sentido emito mi Voto particular.</w:t>
      </w:r>
    </w:p>
    <w:p w:rsidR="0026452D" w:rsidRDefault="0026452D" w:rsidP="0026452D">
      <w:pPr>
        <w:pStyle w:val="TextoNormal"/>
      </w:pPr>
    </w:p>
    <w:p w:rsidR="0026452D" w:rsidRDefault="0026452D" w:rsidP="0026452D">
      <w:pPr>
        <w:pStyle w:val="TextoNormal"/>
      </w:pPr>
      <w:r>
        <w:t>Madrid, a diecisiete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9" w:name="SENTENCIA_2013_6"/>
      <w:r>
        <w:lastRenderedPageBreak/>
        <w:t>SENTENCIA 6/2013, de 17 de enero de 2013</w:t>
      </w:r>
    </w:p>
    <w:bookmarkEnd w:id="9"/>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37, de 12 de febrero de 2013)</w:t>
      </w:r>
    </w:p>
    <w:p w:rsidR="0026452D" w:rsidRDefault="0026452D" w:rsidP="0026452D">
      <w:pPr>
        <w:pStyle w:val="TtuloBOE"/>
      </w:pPr>
    </w:p>
    <w:p w:rsidR="0026452D" w:rsidRDefault="0026452D" w:rsidP="0026452D">
      <w:pPr>
        <w:pStyle w:val="SntesisDescriptiva"/>
      </w:pPr>
      <w:r>
        <w:t>ECLI:ES:TC:2013:6</w:t>
      </w:r>
    </w:p>
    <w:p w:rsidR="0026452D" w:rsidRDefault="0026452D" w:rsidP="0026452D">
      <w:pPr>
        <w:pStyle w:val="SntesisDescriptiva"/>
      </w:pPr>
    </w:p>
    <w:p w:rsidR="0026452D" w:rsidRDefault="0026452D" w:rsidP="0026452D">
      <w:pPr>
        <w:pStyle w:val="SntesisDescriptiva"/>
      </w:pPr>
      <w:r>
        <w:t>Recurso de inconstitucionalidad 1661-2003. Interpuesto por el Consejo de Gobierno del Principado de Asturias en relación con diversos preceptos de la Ley Orgánica 10/2002, de 23 de diciembre, de calidad de la educación.</w:t>
      </w:r>
    </w:p>
    <w:p w:rsidR="0026452D" w:rsidRDefault="0026452D" w:rsidP="0026452D">
      <w:pPr>
        <w:pStyle w:val="SntesisDescriptiva"/>
      </w:pPr>
    </w:p>
    <w:p w:rsidR="0026452D" w:rsidRDefault="0026452D" w:rsidP="0026452D">
      <w:pPr>
        <w:pStyle w:val="SntesisAnaltica"/>
      </w:pPr>
      <w:r>
        <w:t>Competencias sobre educación: constitucionalidad de las disposiciones legales estatales (STC 184/2012).</w:t>
      </w:r>
    </w:p>
    <w:p w:rsidR="0026452D" w:rsidRDefault="0026452D" w:rsidP="0026452D">
      <w:pPr>
        <w:pStyle w:val="SntesisAnaltica"/>
      </w:pPr>
    </w:p>
    <w:p w:rsidR="0026452D" w:rsidRDefault="0026452D" w:rsidP="0026452D">
      <w:pPr>
        <w:pStyle w:val="Extracto"/>
      </w:pPr>
      <w:r>
        <w:t>1.</w:t>
      </w:r>
      <w:r>
        <w:tab/>
        <w:t>Reitera la doctrina sobre competencias en materia de educación recogida en las SSTC 184/2012, 212/2012, 213/2012 y 214/2012 [FFJJ 2 a 8].</w:t>
      </w:r>
    </w:p>
    <w:p w:rsidR="0026452D" w:rsidRDefault="0026452D" w:rsidP="0026452D">
      <w:pPr>
        <w:pStyle w:val="Extracto"/>
      </w:pPr>
    </w:p>
    <w:p w:rsidR="0026452D" w:rsidRDefault="0026452D" w:rsidP="0026452D">
      <w:pPr>
        <w:pStyle w:val="Extracto"/>
      </w:pPr>
      <w:r>
        <w:t>2.</w:t>
      </w:r>
      <w:r>
        <w:tab/>
        <w:t xml:space="preserve">Si bien es cierto que las competencias estatales en educación son fundamentalmente normativas, ello no significa, sin embargo, que pueda descartarse </w:t>
      </w:r>
      <w:r w:rsidRPr="0026452D">
        <w:rPr>
          <w:i/>
        </w:rPr>
        <w:t>a priori</w:t>
      </w:r>
      <w:r>
        <w:t xml:space="preserve"> que, en atención a las características de los programas de cooperación territorial orientados a objetivos educativos de interés general, los mismos puedan ser gestionados por un órgano estatal (SSTC 184/2012, 214/2012) [FJ 3].</w:t>
      </w:r>
    </w:p>
    <w:p w:rsidR="0026452D" w:rsidRDefault="0026452D" w:rsidP="0026452D">
      <w:pPr>
        <w:pStyle w:val="Extracto"/>
      </w:pPr>
    </w:p>
    <w:p w:rsidR="0026452D" w:rsidRDefault="0026452D" w:rsidP="0026452D">
      <w:pPr>
        <w:pStyle w:val="Extracto"/>
      </w:pPr>
      <w:r>
        <w:t>3.</w:t>
      </w:r>
      <w:r>
        <w:tab/>
        <w:t>La remisión al Gobierno, limitada a la regulación de los aspectos educativos de la educación preescolar, responde al hecho de que la Ley Orgánica de calidad de la educación no puede pretender agotar todos los aspectos básicos de cualquier nivel educativo, por lo que la remisión establecida en el precepto impugnado, inserto en la competencia estatal de ordenación del sistema educativo, ha de atenerse a los principios pedagógicos que formula dicha Ley Orgánica, lo que permite descartar la tacha de inconstitucionalidad (SSTC 184/2012, 214/2012) [FJ 3].</w:t>
      </w:r>
    </w:p>
    <w:p w:rsidR="0026452D" w:rsidRDefault="0026452D" w:rsidP="0026452D">
      <w:pPr>
        <w:pStyle w:val="Extracto"/>
      </w:pPr>
    </w:p>
    <w:p w:rsidR="0026452D" w:rsidRDefault="0026452D" w:rsidP="0026452D">
      <w:pPr>
        <w:pStyle w:val="Extracto"/>
      </w:pPr>
      <w:r>
        <w:t>4.</w:t>
      </w:r>
      <w:r>
        <w:tab/>
        <w:t>El carácter educacional asistencial de la educación preescolar en nada obsta a su integración en el sistema educativo nacional, lo que justifica su regulación por el Estado (SSTC 184/2012, 214/2012) [FJ 3].</w:t>
      </w:r>
    </w:p>
    <w:p w:rsidR="0026452D" w:rsidRDefault="0026452D" w:rsidP="0026452D">
      <w:pPr>
        <w:pStyle w:val="Extracto"/>
      </w:pPr>
    </w:p>
    <w:p w:rsidR="0026452D" w:rsidRDefault="0026452D" w:rsidP="0026452D">
      <w:pPr>
        <w:pStyle w:val="Extracto"/>
      </w:pPr>
      <w:r>
        <w:t>5.</w:t>
      </w:r>
      <w:r>
        <w:tab/>
        <w:t>Resulta posible la utilización de la fórmula del concierto para la impartición de la educación infantil como forma de garantizar que se imparten en régimen de gratuidad en el marco normativo establecido en los arts. 75 y 76 de la Ley Orgánica de calidad de la educación, cuya concreción corresponde determinar a las Comunidades Autónomas en el ejercicio de sus competencias en materia de educación (SSTC 77/1985, 184/2012, 213/2012) [FFJJ 3, 6].</w:t>
      </w:r>
    </w:p>
    <w:p w:rsidR="0026452D" w:rsidRDefault="0026452D" w:rsidP="0026452D">
      <w:pPr>
        <w:pStyle w:val="Extracto"/>
      </w:pPr>
    </w:p>
    <w:p w:rsidR="0026452D" w:rsidRDefault="0026452D" w:rsidP="0026452D">
      <w:pPr>
        <w:pStyle w:val="Extracto"/>
      </w:pPr>
      <w:r>
        <w:t>6.</w:t>
      </w:r>
      <w:r>
        <w:tab/>
        <w:t xml:space="preserve">La definición de los requisitos básicos de las pruebas que organicen las Administraciones educativas tendentes a la obtención de los certificados correspondientes a los distintos niveles de idiomas se relaciona directamente con la obtención de los certificados correspondientes a cada uno de los tres niveles que estructuran estas enseñanzas conforme al art. 49.2 de la Ley Orgánica de calidad de la educación, </w:t>
      </w:r>
      <w:r>
        <w:lastRenderedPageBreak/>
        <w:t>aspecto de indiscutible competencia estatal en cuanto afecta a la ordenación del sistema educativo en relación con las enseñanzas de idiomas [FJ 4].</w:t>
      </w:r>
    </w:p>
    <w:p w:rsidR="0026452D" w:rsidRDefault="0026452D" w:rsidP="0026452D">
      <w:pPr>
        <w:pStyle w:val="Extracto"/>
      </w:pPr>
    </w:p>
    <w:p w:rsidR="0026452D" w:rsidRDefault="0026452D" w:rsidP="0026452D">
      <w:pPr>
        <w:pStyle w:val="Extracto"/>
      </w:pPr>
      <w:r>
        <w:t>7.</w:t>
      </w:r>
      <w:r>
        <w:tab/>
        <w:t>Tratándose de competencias estatales, es el Estado es el único competente para establecer los casos y modos en que la participación autonómica en la adopción de decisiones estatales haya de verificarse, sin perjuicio de su posible incidencia en competencias o intereses de la Comunidad Autónoma, debiendo en todo caso quedar a salvo la titularidad de las competencias estatales eventualmente implicadas (SSTC 31/2010, 184/2012) [FJ 4].</w:t>
      </w:r>
    </w:p>
    <w:p w:rsidR="0026452D" w:rsidRDefault="0026452D" w:rsidP="0026452D">
      <w:pPr>
        <w:pStyle w:val="Extracto"/>
      </w:pPr>
    </w:p>
    <w:p w:rsidR="0026452D" w:rsidRDefault="0026452D" w:rsidP="0026452D">
      <w:pPr>
        <w:pStyle w:val="Extracto"/>
      </w:pPr>
      <w:r>
        <w:t>8.</w:t>
      </w:r>
      <w:r>
        <w:tab/>
        <w:t>La habilitación al Estado para realizar una determinada actividad de fomento en materia de educación a través de convenios de colaboración no prejuzga sobre el contenido de las actuaciones a desarrollar ni si las mismas van a suponer una disposición de fondos de modo contrario al orden competencial, pudiendo ser entendida como un mecanismo de cooperación en la educación, materia de competencia compartida entre el Estado y las Comunidades Autónomas, y de gestión de fondos públicos destinados a promover la igualdad de oportunidades y la compensación de las desigualdades sociales en el ámbito educativo (STC 184/2012) [FJ 5].</w:t>
      </w:r>
    </w:p>
    <w:p w:rsidR="0026452D" w:rsidRDefault="0026452D" w:rsidP="0026452D">
      <w:pPr>
        <w:pStyle w:val="Extracto"/>
      </w:pPr>
    </w:p>
    <w:p w:rsidR="0026452D" w:rsidRDefault="0026452D" w:rsidP="0026452D">
      <w:pPr>
        <w:pStyle w:val="Extracto"/>
      </w:pPr>
      <w:r>
        <w:t>9.</w:t>
      </w:r>
      <w:r>
        <w:tab/>
        <w:t>En la medida en que, conforme al tenor literal del precepto cuestionado, no es posible inferir que el desarrollo de programas de formación permanente del profesorado de los centros sostenidos con fondos públicos hayan de tener necesariamente carácter ejecutivo, no es posible apreciar vulneración competencial, todo ello sin perjuicio de advertir que las actuaciones estatales para el desarrollo de estos programas habrán de ajustarse al orden constitucional de competencias, lo que implica que las potestades de ejecución en relación con tales programas han de corresponder a las Comunidades Autónomas (SSTC 13/1992, 184/2012, 214/2012) [FJ 5].</w:t>
      </w:r>
    </w:p>
    <w:p w:rsidR="0026452D" w:rsidRDefault="0026452D" w:rsidP="0026452D">
      <w:pPr>
        <w:pStyle w:val="Extracto"/>
      </w:pPr>
    </w:p>
    <w:p w:rsidR="0026452D" w:rsidRDefault="0026452D" w:rsidP="0026452D">
      <w:pPr>
        <w:pStyle w:val="Extracto"/>
      </w:pPr>
      <w:r>
        <w:t>10.</w:t>
      </w:r>
      <w:r>
        <w:tab/>
        <w:t>La interpretación precepto impugnado por parte del recurrente reviste un carácter cautelar o preventivo, por lo que, de conformidad con la jurisprudencia consolidada de este Tribunal, debemos rechazar esta impugnación (STC 204/2011) [FJ 6].</w:t>
      </w:r>
    </w:p>
    <w:p w:rsidR="0026452D" w:rsidRDefault="0026452D" w:rsidP="0026452D">
      <w:pPr>
        <w:pStyle w:val="Extracto"/>
      </w:pPr>
    </w:p>
    <w:p w:rsidR="0026452D" w:rsidRDefault="0026452D" w:rsidP="0026452D">
      <w:pPr>
        <w:pStyle w:val="Extracto"/>
      </w:pPr>
      <w:r>
        <w:t>11.</w:t>
      </w:r>
      <w:r>
        <w:tab/>
        <w:t>La asignación del desempeño de las jefaturas de los departamentos de Coordinación didáctica a funcionarios del Cuerpo de catedráticos de enseñanza secundaria y, en su ausencia, a funcionarios del Cuerpo de profesores de enseñanza secundaria, se enmarca en el título competencial estatal del art. 149.1.18 CE en relación con la definición del régimen estatutario de los funcionarios públicos, en la medida en que tanto catedráticos como profesores de enseñanza secundaria tienen la condición de funcionarios de carrera, lo que no vulnera la competencia autonómica (STC 184/2012) [FJ 7].</w:t>
      </w:r>
    </w:p>
    <w:p w:rsidR="0026452D" w:rsidRDefault="0026452D" w:rsidP="0026452D">
      <w:pPr>
        <w:pStyle w:val="Extracto"/>
      </w:pPr>
    </w:p>
    <w:p w:rsidR="0026452D" w:rsidRDefault="0026452D" w:rsidP="0026452D">
      <w:pPr>
        <w:pStyle w:val="Extracto"/>
      </w:pPr>
      <w:r>
        <w:t>12.</w:t>
      </w:r>
      <w:r>
        <w:tab/>
        <w:t>La atribución a los órganos de coordinación didáctica de los centros públicos de la función de elegir los libros de texto y demás materiales curriculares no conculca las competencias autonómicas pues el precepto ofrece una interpretación conforme con el orden competencial en la medida en que está directamente relacio</w:t>
      </w:r>
      <w:r>
        <w:lastRenderedPageBreak/>
        <w:t>nada con las labores a las que dichos órganos habrían de dedicarse y que se formula con el suficiente grado de generalidad a fin de permitir el desarrollo autonómico (STC 184/2012) [FJ 7].</w:t>
      </w:r>
    </w:p>
    <w:p w:rsidR="0026452D" w:rsidRDefault="0026452D" w:rsidP="0026452D">
      <w:pPr>
        <w:pStyle w:val="Extracto"/>
      </w:pPr>
    </w:p>
    <w:p w:rsidR="0026452D" w:rsidRDefault="0026452D" w:rsidP="0026452D">
      <w:pPr>
        <w:pStyle w:val="Extracto"/>
      </w:pPr>
      <w:r>
        <w:t>13.</w:t>
      </w:r>
      <w:r>
        <w:tab/>
        <w:t>El plazo general mínimo en el cual no podrán ser sustituidos los libros de texto es una previsión que supone un mínimo normativo básico por cuanto persigue garantizar una cierta estabilidad en una cuestión de gran trascendencia para el aprendizaje de los alumnos, como es el del material docente, lo que determina que no se vulneren las competencias autonómicas (STC 184/2012) [FJ 7].</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1661-2003, interpuesto por el Consejo de Gobierno del Principado de Asturias contra los arts. 6.2; 10.2 y 4; 11.2; 26.5; 29.3; 31.2; 35.4; 37.1; 38.5; 40.2; 43.3; 49.5; 59.1; 75.5, último inciso; 85.3 y las disposiciones adicionales tercera, apartados 1 y 4; y quinta, apartado 2, de la Ley Orgánica 10/2002, de 23 de diciembre, de calidad de la educación. Han comparecido y formulado alegaciones la Abogada del Estado y el Letrado del Senado. Ha sido Ponente el Magistrado don Andrés Ollero Tassara,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presentado en el Registro de este Tribunal el 24 de marzo de 2003 el Letrado del servicio jurídico del Principado de Asturias, en la representación que legalmente ostenta, promueve recurso de inconstitucionalidad contra los arts. 6.2; 10.2 y 4; 11.2; 26.5; 29.3; 31.2; 35.4; 37.1; 38.5; 40.2; 43.3; 49.5; 59.1; 75.5, último inciso; 85.3 y las disposiciones adicionales tercera, apartados 1 y 4; y quinta, apartado 2, de la Ley Orgánica 10/2002, de 23 de diciembre, de calidad de la educación. </w:t>
      </w:r>
    </w:p>
    <w:p w:rsidR="0026452D" w:rsidRDefault="0026452D" w:rsidP="0026452D">
      <w:pPr>
        <w:pStyle w:val="TextoNormal"/>
      </w:pPr>
    </w:p>
    <w:p w:rsidR="0026452D" w:rsidRDefault="0026452D" w:rsidP="0026452D">
      <w:pPr>
        <w:pStyle w:val="TextoNormal"/>
      </w:pPr>
      <w:r>
        <w:t xml:space="preserve">El recurso, tras la referencia al cumplimiento de los requisitos de carácter procesal exigidos para la interposición, alude a los preceptos constitucionales (números 1, 18 y 30 del art. 149.1 CE) y estatutarios (art. 18 del Estatuto de Autonomía del Principado de Asturias: EAAst), que fundamentan el reparto de competencias en materia de educación. Se refiere </w:t>
      </w:r>
      <w:r>
        <w:lastRenderedPageBreak/>
        <w:t>también a las competencias autonómicas en materia de asistencia social (art. 10.1.24 EAAst), por entender que están implicadas también en alguna medida.</w:t>
      </w:r>
    </w:p>
    <w:p w:rsidR="0026452D" w:rsidRDefault="0026452D" w:rsidP="0026452D">
      <w:pPr>
        <w:pStyle w:val="TextoNormal"/>
      </w:pPr>
    </w:p>
    <w:p w:rsidR="0026452D" w:rsidRDefault="0026452D" w:rsidP="0026452D">
      <w:pPr>
        <w:pStyle w:val="TextoNormal"/>
      </w:pPr>
      <w:r>
        <w:t xml:space="preserve">Examina a continuación cada una de las disposiciones impugnadas. El art. 6.2, al prever sin mayor precisión la gestión ministerial de los programas de cooperación territorial orientados a objetivos educativos de interés general, reconocería al Estado una competencia ejecutiva que excede de la atribuida por el art. 149.1.30 CE, invadiendo la autonómica reconocida en el art. 18 EAAst. El art. 10.2 sería inconstitucional por varias razones, según se afirma. En primer lugar, por vulnerar las competencias autonómicas, al referirse de modo indiscriminado tanto al ámbito educativo como al asistencial de la educación prescolar y reconocer al Gobierno la posibilidad de dictar normas básicas en ambas materias. En segundo lugar, esta indeterminación de la remisión reglamentaria al Gobierno incumpliría, por un lado, la reserva de ley, al habilitar una regulación reglamentaria </w:t>
      </w:r>
      <w:r w:rsidRPr="0026452D">
        <w:rPr>
          <w:i/>
        </w:rPr>
        <w:t>ex novo</w:t>
      </w:r>
      <w:r>
        <w:t>; por otro, la doctrina sobre las normas básicas en sentido formal, pues no hay indicio alguno de mutabilidad o complejidad de la materia que autorice esa utilización del reglamento. Por su parte, el art. 10.4 se reputa contrario a las competencias autonómicas en materia de asistencia social. El art. 11.2 sería inconstitucional por imponer la obligación de garantizar la existencia de puestos escolares gratuitos en centros públicos y en centros privados concertados, lo que afecta tanto a la programación de la educación que, por tratarse de una función de carácter ejecutivo, corresponde a las Comunidades Autónomas, como a la condición básica de la norma, al no identificar un rasgo esencial de la educación infantil que pueda considerarse como mínimo común.</w:t>
      </w:r>
    </w:p>
    <w:p w:rsidR="0026452D" w:rsidRDefault="0026452D" w:rsidP="0026452D">
      <w:pPr>
        <w:pStyle w:val="TextoNormal"/>
      </w:pPr>
    </w:p>
    <w:p w:rsidR="0026452D" w:rsidRDefault="0026452D" w:rsidP="0026452D">
      <w:pPr>
        <w:pStyle w:val="TextoNormal"/>
      </w:pPr>
      <w:r>
        <w:t>El art. 26.5 encomienda a normas reglamentarias la regulación de aspectos básicos. El recurso le reprocha su excesiva indeterminación. Critica también el grado de participación que otorga a las Comunidades Autónomas, por aludir a un “informe”, a diferencia de la regulación anterior, que preveía un “acuerdo”. La tacha de inconstitucionalidad dirigida contra el art. 29.3 se centra en su remisión a “las condiciones que el Gobierno establezca” para propiciar la promoción excepcional al curso siguiente, por olvidarse de la utilización preferente de la Ley para establecer normas básicas en materias que no resultan excesivamente complejas ni presentan rasgos de mutabilidad especiales; a lo anterior se añade la omisión de toda participación autonómica. Esas mismas tachas se imputan a los arts. 31.2, 35.4, 37.1, 38.5 y 49.5.</w:t>
      </w:r>
    </w:p>
    <w:p w:rsidR="0026452D" w:rsidRDefault="0026452D" w:rsidP="0026452D">
      <w:pPr>
        <w:pStyle w:val="TextoNormal"/>
      </w:pPr>
    </w:p>
    <w:p w:rsidR="0026452D" w:rsidRDefault="0026452D" w:rsidP="0026452D">
      <w:pPr>
        <w:pStyle w:val="TextoNormal"/>
      </w:pPr>
      <w:r>
        <w:t>La demanda subraya que el art. 40.2 prevé la utilización de fondos públicos estatales para la realización de una determinada política educativa, sin reconocer expresamente que su gestión corresponde a las Comunidades Autónomas. Tal previsión sería inadmisible, al no apreciarse rasgo objetivo alguno que, conforme a la jurisprudencia constitucional, justifique excepcionalmente la centralización de esta competencia de gestión. La misma queja se extiende al art. 59.1. El art. 43.3 autoriza al Gobierno, previa consulta a las Comunidades Autónomas, la adopción de normas que flexibilicen la duración legalmente establecida de los niveles y etapas del sistema educativo. El recurso entiende que también en este caso faltan los criterios o pautas orientativos de la actividad reglamentaria que exige la reserva de ley; teniendo en cuenta, además, el carácter básico de esta regulación.</w:t>
      </w:r>
    </w:p>
    <w:p w:rsidR="0026452D" w:rsidRDefault="0026452D" w:rsidP="0026452D">
      <w:pPr>
        <w:pStyle w:val="TextoNormal"/>
      </w:pPr>
    </w:p>
    <w:p w:rsidR="0026452D" w:rsidRDefault="0026452D" w:rsidP="0026452D">
      <w:pPr>
        <w:pStyle w:val="TextoNormal"/>
      </w:pPr>
      <w:r>
        <w:t>El recurso reprocha al apartado 2 (aunque alude, en realidad, al apartado 5) del art. 75 que se refiera a la programación educativa, pese a no corresponder al Estado, y que su alu</w:t>
      </w:r>
      <w:r>
        <w:lastRenderedPageBreak/>
        <w:t>sión a la demanda social para la celebración de los conciertos educativos carezca de la debida justificación constitucional; vulneraría por tanto el art. 27.5 CE e invadiría competencias autonómicas en materia de educación. El art. 85.3 regula una cuestión que, dada su naturaleza organizativa, sería competencia autonómica, al igual que el apartado 1 de la disposición adicional tercera, que atribuye al órgano de coordinación didáctica de los centros públicos la función de elegir los libros de texto y demás materiales curriculares. Se niega igualmente el carácter básico que la Ley predica del apartado 4 de la disposición anterior, en relación con el establecimiento de un plazo determinado para los libros de texto y demás materiales curriculares. Finalmente, se afirma que la disposición adicional quinta, apartado 2, sólo podría reputarse constitucional, si la expresión “respetando, en todo caso, el derecho a la libre elección de centro” se interpreta en el sentido de que las Administraciones educativas no pueden en caso alguno, condicionar, restringir o limitar el derecho de los padres a optar por uno u otro centro educativo. Sin embargo, si se entendiera que el precepto obliga a respetar esa elección en sus propios términos se vulnerarían las atribuciones autonómicas respecto a la programación de la enseñanza.</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29 de abril de 2003, la Sección Cuarta acuerda tener por interpuesto el recurso de inconstitucionalidad y, con anterioridad a la decisión sobre su admisión, requerir al recurrente para que, en el plazo de diez días, acredite si la certificación adjunta a la demanda del Consejo de Gobierno del Principado de Asturias se extiende a los preceptos concretamente impugnados. Acreditado tal extremo mediante escrito registrado el 13 de mayo de 2003, la Sección Cuarta, por providencia de 17 de junio de 2003, acuerda admitir a trámite el recurso y, de conformidad con lo establecido en el art. 34 de la Ley Orgánica del Tribunal Constitucional (LOTC), darle traslado con la documentación presentada al Congreso de los Diputados, al Senado y al Gobierno para su personación en el proceso y la formulación de alegaciones en el plazo de quince días. Asimismo ordena la publicación de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El día 26 de junio de 2003 la Presidenta del Congreso de los Diputados comunica el acuerdo de la Mesa de la Cámara en el sentido de no personarse en el proceso ni formular alegaciones.</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escrito de 30 de junio de 2003, registrado en este Tribunal el día 3 del mes siguiente, la Abogada del Estado formula en representación del Gobierno alegaciones oponiéndose al recurso de inconstitucionalidad y solicitando su desestimación y la declaración de la plena constitucionalidad de la ley orgánica impugnada.</w:t>
      </w:r>
    </w:p>
    <w:p w:rsidR="0026452D" w:rsidRDefault="0026452D" w:rsidP="0026452D">
      <w:pPr>
        <w:pStyle w:val="TextoNormal"/>
      </w:pPr>
    </w:p>
    <w:p w:rsidR="0026452D" w:rsidRDefault="0026452D" w:rsidP="0026452D">
      <w:pPr>
        <w:pStyle w:val="TextoNormal"/>
      </w:pPr>
      <w:r>
        <w:t>Tras aclarar que no examinará las consideraciones de la demanda respecto a las intenciones de la Ley y a los riesgos derivados de su indebida aplicación, el escrito alude a la doctrina constitucional sobre el sistema educativo. Destaca inicialmente que la competencia estatal en la materia no se reduce a las normas básicas para el desarrollo del art. 27 CE ni se identifica con el ámbito estricto de la reserva de ley orgánica (art. 81.1 CE). Recuerda en este sentido que, conforme a la jurisprudencia constitucional, el legislador básico puede remitirse al reglamento para completar su regulación y que el art. 149.1.1 CE impone la “uniformidad de las condiciones básicas en el ejercicio de los derechos”; alcanzando, no sólo a los derechos fundamentales, sino también a otras “posiciones jurídicas fundamenta</w:t>
      </w:r>
      <w:r>
        <w:lastRenderedPageBreak/>
        <w:t>les”. El escrito hace referencia a continuación al contenido del art. 27 CE, del que se desprende que la concreción del sistema educativo queda encomendada al legislador, lo que a partir de 1980 ha dado lugar a un proceso desarrollado escalonadamente en el que destacan las Leyes Orgánicas 8/1985, de 3 de julio, reguladora del derecho a la educación, y 1/1990, de 3 de octubre, de ordenación general del sistema educativo.</w:t>
      </w:r>
    </w:p>
    <w:p w:rsidR="0026452D" w:rsidRDefault="0026452D" w:rsidP="0026452D">
      <w:pPr>
        <w:pStyle w:val="TextoNormal"/>
      </w:pPr>
    </w:p>
    <w:p w:rsidR="0026452D" w:rsidRDefault="0026452D" w:rsidP="0026452D">
      <w:pPr>
        <w:pStyle w:val="TextoNormal"/>
      </w:pPr>
      <w:r>
        <w:t>Según la Abogacía del Estado, la doctrina constitucional en este ámbito se ha centrado en los derechos constitucionales del art. 27 CE, más que en cuestiones competenciales. No obstante, las SSTC 5/1981 y 77/1985 aclaran suficientemente los términos del reparto competencial. El escrito trae a colación la doctrina constitucional sobre la competencia estatal en materia de homologación de títulos académicos y profesionales (SSTC 42/1981, 122/1989 y 147/1992); recuerda también la relativa a la competencia legislativa básica (STC 197/1996), que en conexión con el art. 149.1.1. CE, cumple una función habilitante de regulaciones estatales conexas con los derechos constitucionales y funciona como garantía fundamental de la uniformidad de las condiciones básicas de vida en el territorio nacional (SSTC 154/1988, 61/1997 y 239/2002). De este análisis jurisprudencial concluye que las competencias estatales sobre la enseñanza son normativas y ejecutivas; si bien la existencia de un título competencial específico sobre educación hace pasar a un segundo plano el alcance, tanto del art. 149.1.1 como del art. 149.1.18 CE, en relación específicamente con la función pública docente. La Ley Orgánica 10/2002, de 23 de diciembre, de calidad de la educación se habría esforzado especialmente por respetar este esquema competencial. Al igual que sus antecesoras, se ha dictado al amparo de (y es respetuosa con) las competencias estatales previstas en los números 1, 18 y 30 del art. 149.1 CE.</w:t>
      </w:r>
    </w:p>
    <w:p w:rsidR="0026452D" w:rsidRDefault="0026452D" w:rsidP="0026452D">
      <w:pPr>
        <w:pStyle w:val="TextoNormal"/>
      </w:pPr>
    </w:p>
    <w:p w:rsidR="0026452D" w:rsidRDefault="0026452D" w:rsidP="0026452D">
      <w:pPr>
        <w:pStyle w:val="TextoNormal"/>
      </w:pPr>
      <w:r>
        <w:t>Señalado lo anterior, la Abogada del Estado aborda separadamente cada uno de los preceptos impugnados. Se refiere, en primer lugar, al art. 6.2, argumentando que el carácter sustancialmente normativo de las competencias estatales no excluye la centralización de ciertas facultades ejecutivas. De este modo, se produce una concurrencia de las potestades, normativas y ejecutivas, de las Comunidades Autónomas con las titularidades estatales, sustancialmente normativas pero también ejecutivas. Estas últimas son las vinculadas esencialmente al objetivo de programación general de la enseñanza del art. 27.5 CE, que demanda un ejercicio centralizado de ciertas facultades para la efectiva integración de la diversidad de las partes en un conjunto unitario. Por lo demás, debería reputarse constitucional la previsión de que el Ministerio y las Comunidades Autónomas, de acuerdo con sus competencias respectivas y mediante los convenios que al efecto suscriban, desarrollen y gestionen determinados programas. Dado que no cabe prejuzgar el contenido de estos convenios, no podría reprocharse al precepto vulneración competencial alguna.</w:t>
      </w:r>
    </w:p>
    <w:p w:rsidR="0026452D" w:rsidRDefault="0026452D" w:rsidP="0026452D">
      <w:pPr>
        <w:pStyle w:val="TextoNormal"/>
      </w:pPr>
    </w:p>
    <w:p w:rsidR="0026452D" w:rsidRDefault="0026452D" w:rsidP="0026452D">
      <w:pPr>
        <w:pStyle w:val="TextoNormal"/>
      </w:pPr>
      <w:r>
        <w:t xml:space="preserve">Por otra parte, afirma, la lectura del art. 10.2 revela que la remisión al Gobierno se refiere exclusivamente a los aspectos educativos de la educación prescolar cuya regulación básica corresponde al legislador estatal. Se ajustaría además a la doctrina constitucional respecto a la colaboración reglamentaria (entre otras, STC 83/1984). Destaca, en particular, que específicamente en materia educativa, la STC 77/1985 ya admitió la posibilidad constitucional de aprobar normas básicas de rango reglamentario. Considera que el art. 10.4 no produce quebranto alguno de la competencia autonómica en materia de asistencia social, sino que refleja el objetivo principal de la prestación de la educación preescolar. Respecto del art. 11.2, alega que no supone violación de las competencias autonómicas, pues únicamente </w:t>
      </w:r>
      <w:r>
        <w:lastRenderedPageBreak/>
        <w:t>establece que la educación infantil pasa a constituir una etapa educativa susceptible de beneficiarse del sistema de conciertos educativos; siéndoles de plena aplicación la regulación contenida en el capítulo IV del título V de la Ley Orgánica de calidad de la educación.</w:t>
      </w:r>
    </w:p>
    <w:p w:rsidR="0026452D" w:rsidRDefault="0026452D" w:rsidP="0026452D">
      <w:pPr>
        <w:pStyle w:val="TextoNormal"/>
      </w:pPr>
    </w:p>
    <w:p w:rsidR="0026452D" w:rsidRDefault="0026452D" w:rsidP="0026452D">
      <w:pPr>
        <w:pStyle w:val="TextoNormal"/>
      </w:pPr>
      <w:r>
        <w:t>La Abogada del Estado combate la alegación de que el art. 26.5 efectúa una deslegalización constitucionalmente inaceptable —al permitir al Gobierno introducir itinerarios distintos de los previstos en la Ley— y reduce la necesaria participación autonómica. Razona que el precepto garantiza una flexible acomodación de los itinerarios a las necesidades de los alumnos y a la demanda social, permitiendo la introducción de los ajustes que aconseje la experiencia. Considerar que sólo la ley orgánica puede regular el número y la denominación de los itinerarios propiciaría una inadecuada congelación de rango. Por lo demás, el grado de participación autonómica en el ejercicio de una competencia estatal no constituye argumento suficiente por sí solo para apoyar la inconstitucionalidad de un precepto. Este razonamiento es extensible a la tacha formulada contra los arts. 29.3 y 31.2. En relación con el primero, el escrito recalca que el régimen de promoción de los alumnos forma parte de la regulación de las condiciones para la obtención de un título. Si cada Administración educativa fijara por sí los correspondientes modos de promoción, se atentaría contra la homologación del sistema educativo y la igualdad de todos los españoles en el ejercicio del derecho a la educación. A su vez, el establecimiento reglamentario de esas condiciones de promoción facilita la mejor ponderación de las necesidades e insuficiencias educativas de los alumnos. El art. 31.2 permite, excepcionalmente, la obtención del título de graduado en educación secundaria sin la superación previa de todas las asignaturas de la etapa “en las condiciones que el Gobierno establezca”. Se justificaría la remisión indicada por el carácter excepcional y técnico o de detalle de la medida.</w:t>
      </w:r>
    </w:p>
    <w:p w:rsidR="0026452D" w:rsidRDefault="0026452D" w:rsidP="0026452D">
      <w:pPr>
        <w:pStyle w:val="TextoNormal"/>
      </w:pPr>
    </w:p>
    <w:p w:rsidR="0026452D" w:rsidRDefault="0026452D" w:rsidP="0026452D">
      <w:pPr>
        <w:pStyle w:val="TextoNormal"/>
      </w:pPr>
      <w:r>
        <w:t>La Abogada del Estado también justifica los reenvíos a reglamento de los arts. 35.4, 37.1, 38.5 y 43.3 por el marcado carácter técnico de la regulación. Respecto de los dos primeros artículos, subraya que el capítulo V (arts. 33 a 37) del título I ofrece un marco legal suficiente para ese desarrollo reglamentario. En cuanto al tercero, considera que los demás apartados del art. 38 ofrecen asimismo pautas normativas suficientes para su desarrollo. En lo relativo al art. 43.3, considera que, en realidad, el rango reglamentario de esa regulación no entraña novedad alguna, pues se había abordado ya en una orden ministerial.</w:t>
      </w:r>
    </w:p>
    <w:p w:rsidR="0026452D" w:rsidRDefault="0026452D" w:rsidP="0026452D">
      <w:pPr>
        <w:pStyle w:val="TextoNormal"/>
      </w:pPr>
    </w:p>
    <w:p w:rsidR="0026452D" w:rsidRDefault="0026452D" w:rsidP="0026452D">
      <w:pPr>
        <w:pStyle w:val="TextoNormal"/>
      </w:pPr>
      <w:r>
        <w:t>La impugnación del art. 40.2 tendría carácter absolutamente preventivo, según el escrito de alegaciones. Los arts. 40 y 41 de la Ley Orgánica de calidad de la educación declaran principios y disponen recursos para la igualdad de oportunidades, recogiendo previsiones de la Ley Orgánica de ordenación general del sistema educativo en relación con un sector del alumnado que cuenta con necesidades educativas especiales. Para el logro de esas finalidades, el art. 40.2 se refiere a un convenio con las Comunidades Autónomas cuyo contenido concreto se desconoce y sería el que podría, en su caso, invadir las competencias autonómicas. Respecto al art. 49.5, señala la Abogado del Estado que el grado de participación autonómica que prevea el legislador estatal, en el ejercicio de una competencia también estatal, no es argumento que permita denunciar la inconstitucionalidad de un precepto, pues se está en un ámbito en que el legislador dispone de un amplio margen de configuración legal.</w:t>
      </w:r>
    </w:p>
    <w:p w:rsidR="0026452D" w:rsidRDefault="0026452D" w:rsidP="0026452D">
      <w:pPr>
        <w:pStyle w:val="TextoNormal"/>
      </w:pPr>
    </w:p>
    <w:p w:rsidR="0026452D" w:rsidRDefault="0026452D" w:rsidP="0026452D">
      <w:pPr>
        <w:pStyle w:val="TextoNormal"/>
      </w:pPr>
      <w:r>
        <w:lastRenderedPageBreak/>
        <w:t>Las quejas respecto del art. 59.1 partirían de la idea de que en materia educativa el Estado dispone sólo de competencias normativas. De este modo, el recurso desconoce que la educación es una materia compartida respecto a la que, tanto el Estado como las Comunidades Autónomas, son titulares de potestades normativas y ejecutivas. A su vez, el art. 57.1 persigue un claro interés supracomunitario (la mejora de la calidad de la enseñanza y del funcionamiento de los centros), sin que se impida el ejercicio de la competencia autonómica; la existencia de unos programas de formación permanente contribuye al establecimiento de unos parámetros de calidad de la enseñanza para todo el sistema educativo, lo que conecta con la necesaria homologación y evaluación general del sistema. En cuanto al art. 75, la Abogada del Estado constata el error material en que incurre el recurso, al citar defectuosamente el apartado impugnado. El escrito dice impugnar el último inciso del apartado 2, pero en realidad transcribe literalmente el último inciso del apartado 5, contra el que argumenta. Añade que carece de sentido la interpretación del recurrente, al identificar demanda social con derecho a la libre elección de centro. Niega asimismo un exceso de detalle en el art. 85.3, pues los órganos de coordinación didáctica a los que el precepto se refiere son elementos fundamentales para que los centros puedan llevar a cabo de forma adecuada la función que tienen encomendada de impartir una enseñanza de calidad; amen de resultar aplicable aquí la doctrina de la STC 5/1981. Por ello entiende que esta previsión es constitucional, teniendo en cuenta, además, la necesidad de esos órganos en atención a la finalidad que tienen encomendada y a las funciones atribuidas al cuerpo de catedráticos; por lo demás, el carácter de mínimos de esa regulación comporta el reconocimiento de un amplio margen de desarrollo a las Comunidades Autónomas. A la imposición de condiciones mínimas para la cobertura de la jefatura de tales órganos ha de reconocerse carácter básico, en atención a la necesaria homologación del sistema educativo que exige el art. 27.8 CE.</w:t>
      </w:r>
    </w:p>
    <w:p w:rsidR="0026452D" w:rsidRDefault="0026452D" w:rsidP="0026452D">
      <w:pPr>
        <w:pStyle w:val="TextoNormal"/>
      </w:pPr>
    </w:p>
    <w:p w:rsidR="0026452D" w:rsidRDefault="0026452D" w:rsidP="0026452D">
      <w:pPr>
        <w:pStyle w:val="TextoNormal"/>
      </w:pPr>
      <w:r>
        <w:t>Por último, la Abogada del Estado aborda los reproches dirigidos contra los apartados 1 y 4 de la disposición adicional tercera y contra el apartado 2 de la disposición adicional quinta. Según afirma, el primero respeta la autonomía de los centros y la competencia de las Comunidades Autónomas para determinar la intervención que, en el proceso interno de adopción de los libros de texto y demás materiales curriculares, corresponda a otros órganos del centro educativo. En cuanto al apartado 4 de la disposición adicional tercera, considera que el plazo general durante el que los libros de texto y materiales curriculares son insustituibles constituye un mínimo común denominador normativo que, no obstante, puede ser modificado por las Administraciones educativas cuando la programación docente lo requiera. Finalmente, defiende la constitucionalidad del apartado 2 de la disposición adicional quinta por remisión a la doctrina de la STC 77/1985 sobre el art. 20.2 de la Ley Orgánica del derecho a la educación.</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el 8 de julio de 2003, el Letrado de las Cortes Generales, jefe de la asesoría jurídica del Senado, don Benigno Pendás García, comparece y propugna la desestimación del recurso, conforme a las alegaciones que a continuación se resumen.</w:t>
      </w:r>
    </w:p>
    <w:p w:rsidR="0026452D" w:rsidRDefault="0026452D" w:rsidP="0026452D">
      <w:pPr>
        <w:pStyle w:val="TextoNormal"/>
      </w:pPr>
    </w:p>
    <w:p w:rsidR="0026452D" w:rsidRDefault="0026452D" w:rsidP="0026452D">
      <w:pPr>
        <w:pStyle w:val="TextoNormal"/>
      </w:pPr>
      <w:r>
        <w:t xml:space="preserve">Señala en primer lugar que la disposición adicional sexta de la Ley Orgánica de calidad de la educación, al aclarar los títulos competenciales que amparan la aprobación de la Ley (números 1, 18 y 30 del art. 149.1 CE), expresa el reparto competencial en materia educativa. Tratándose de una competencia compartida, el Letrado del Senado subraya que es exclusiva del Estado en lo relativo a los requisitos para la obtención del título de graduado escolar y de bachiller y a la regulación básica del derecho a la educación en condiciones de </w:t>
      </w:r>
      <w:r>
        <w:lastRenderedPageBreak/>
        <w:t>igualdad para todos los españoles. A partir de esta consideración, indica que el Estado puede variar el entendimiento de lo básico en cada momento, siempre que no exceda los límites fijados por la jurisprudencia constitucional.</w:t>
      </w:r>
    </w:p>
    <w:p w:rsidR="0026452D" w:rsidRDefault="0026452D" w:rsidP="0026452D">
      <w:pPr>
        <w:pStyle w:val="TextoNormal"/>
      </w:pPr>
    </w:p>
    <w:p w:rsidR="0026452D" w:rsidRDefault="0026452D" w:rsidP="0026452D">
      <w:pPr>
        <w:pStyle w:val="TextoNormal"/>
      </w:pPr>
      <w:r>
        <w:t>Examina separadamente a continuación los preceptos impugnados. Entiende que el art. 6 respeta el reparto competencial en materia de educación. Se opone a la impugnación de los apartados 2 y 4 del art. 10, rechazando que vulneren el art. 81 CE, porque no regulan aspectos consustanciales al derecho fundamental a la educación; tampoco invadirían la competencia autonómica sobre asistencia social, ya que la jurisprudencia constitucional admite la fijación reglamentaria de las bases normativas de una determinada materia. Con cita de la STC 69/1988, de 19 de abril, afirma el Letrado que el art. 11.2 tiene carácter básico en la medida en que “tiende a garantizar en todo el Estado un común denominador normativo dirigido a asegurar, de manera unitaria y en condiciones de igualdad los intereses generales”. También el art. 26.5 estaría plenamente ajustado al orden constitucional de distribución de competencias. Los arts. 29.3 y 31.2 guardan directa relación con la competencia exclusiva del Estado sobre las condiciones de obtención de los títulos académicos, lo que también autoriza la remisión al reglamento de cuestiones que, por su propia naturaleza, no son propias de la ley. A su juicio, el art. 35.4 no se relaciona directamente con el derecho a la educación, pero reviste carácter básico, de manera que el Estado tiene competencia para dictarlo. A su vez, niega que los arts. 37.1 y 38.5, sobre pruebas y títulos de bachillerato y formación profesional, supongan remisiones en blanco en favor del Gobierno, pues la Ley ha establecido parámetros suficientes para la regulación reglamentaria. Por otra parte, el art. 149.1.30 CE justificaría la previsión del art. 40.2, sobre impulso y coordinación por parte del Estado de medidas orientadas a la homogeneidad de la integración de los alumnos con necesidades educativas específicas. En relación con la impugnación de los arts. 43.3, 49.5 y 75.2, el Letrado se remite a sus alegaciones sobre el alcance de las bases. Razona también que los arts. 59.1 y 85, sobre la formación permanente del profesorado y los órganos de coordinación docente, respectivamente, no vulneran las competencias autonómicas. Descarta igualmente que los apartados 1 y 4 de la disposición adicional tercera las vulneren, ya que establecen criterios que responden plenamente a su naturaleza básica. Lo mismo sucede con el apartado 2 de la disposición adicional quinta, pues el legislador se limita a remitir la fijación del procedimiento y las condiciones de admisión a las Administraciones educativas competentes.</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15 de enero de 2013 se señaló para deliberación y votación del presente recurso el día 17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En el presente proceso hemos de resolver el recurso de inconstitucionalidad interpuesto por el Consejo de Gobierno del Principado de Asturias contra determinados preceptos de la Ley Orgánica 10/2002, de 23 de diciembre, de calidad de la educación.</w:t>
      </w:r>
    </w:p>
    <w:p w:rsidR="0026452D" w:rsidRDefault="0026452D" w:rsidP="0026452D">
      <w:pPr>
        <w:pStyle w:val="TextoNormal"/>
      </w:pPr>
    </w:p>
    <w:p w:rsidR="0026452D" w:rsidRDefault="0026452D" w:rsidP="0026452D">
      <w:pPr>
        <w:pStyle w:val="TextoNormal"/>
      </w:pPr>
      <w:r>
        <w:t xml:space="preserve">Como ha quedado más extensamente expuesto en los antecedentes, el Letrado del Principado de Asturias reprocha a los preceptos impugnados diversas vulneraciones constitucionales relacionadas con el orden constitucional de distribución competencial entre el Estado y las Comunidades Autónomas. Por su parte, la Abogada del Estado ha defendido la </w:t>
      </w:r>
      <w:r>
        <w:lastRenderedPageBreak/>
        <w:t>desestimación integra del recurso, considerando que los números 1, 18 y 30 del art. 149.1 CE habilitan al Estado para la adopción de regulaciones como la impugnada. El Letrado del Senado también ha rechazado las anteriores vulneraciones defendiendo la plena constitucionalidad de los preceptos de la Ley Orgánica de calidad de la educación recurridos, por entender que se trata de disposiciones básicas en relación con el derecho a la educación que sólo el Estado puede establecer.</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abordar el fondo de las cuestiones planteadas en el presente recurso de inconstitucionalidad, es preciso que nos pronunciemos sobre la trascendencia que para el presente proceso puede tener el hecho de que la Ley Orgánica 2/2006, de 3 de mayo, de educación haya derogado la totalidad de la Ley Orgánica 10/2002, de 23 de diciembre, de calidad de la educación. Esta circunstancia ha sido ya valorada en la STC 184/2012, de 17 de octubre, FJ 2 b), resolutoria del recurso de inconstitucionalidad interpuesto contra la misma ley por la Diputación General de Aragón. Por las razones que allí hemos expuesto, el presente recurso de inconstitucionalidad no ha perdido objeto; las cuestiones que aquí se plantean, vinculadas con la distribución de competencias entre el Estado y el Principado de Asturias, han de ser pues resueltas mediante una Sentencia de este Tribunal.</w:t>
      </w:r>
    </w:p>
    <w:p w:rsidR="0026452D" w:rsidRDefault="0026452D" w:rsidP="0026452D">
      <w:pPr>
        <w:pStyle w:val="TextoNormal"/>
      </w:pPr>
    </w:p>
    <w:p w:rsidR="0026452D" w:rsidRDefault="0026452D" w:rsidP="0026452D">
      <w:pPr>
        <w:pStyle w:val="TextoNormal"/>
      </w:pPr>
      <w:r>
        <w:t>Conviene señalar que este Tribunal ha tenido la oportunidad de pronunciarse sobre la Ley Orgánica de calidad de la educación, no sólo en la citada STC 184/2012, sino también en las resolutorias de los recursos de inconstitucionalidad interpuestos contra esta Ley por el Gobierno de la Generalitat de Cataluña (STC 212/2012, de 14 de noviembre), el Consejo de Gobierno de la Junta de Extremadura (STC 213/2012, de 14 de noviembre) y la Junta de Comunidades de Castilla-La Mancha (STC 214/2012, de 14 de noviembre). La práctica totalidad de las cuestiones suscitadas en el presente recurso de inconstitucionalidad ha sido ya resuelta por estas Sentencias, por lo que nos remitiremos a ellas constantemente.</w:t>
      </w:r>
    </w:p>
    <w:p w:rsidR="0026452D" w:rsidRDefault="0026452D" w:rsidP="0026452D">
      <w:pPr>
        <w:pStyle w:val="TextoNormal"/>
      </w:pPr>
    </w:p>
    <w:p w:rsidR="0026452D" w:rsidRDefault="0026452D" w:rsidP="0026452D">
      <w:pPr>
        <w:pStyle w:val="TextoNormal"/>
      </w:pPr>
      <w:r w:rsidRPr="0026452D">
        <w:rPr>
          <w:rStyle w:val="NumeroAFNegritaCaracter"/>
        </w:rPr>
        <w:t>3</w:t>
      </w:r>
      <w:r>
        <w:t>. Abordaremos pues, en primer lugar, los reparos planteados al artículo 6.2, los epígrafes 2 y 4 del 10 y el artículo 11.2.</w:t>
      </w:r>
    </w:p>
    <w:p w:rsidR="0026452D" w:rsidRDefault="0026452D" w:rsidP="0026452D">
      <w:pPr>
        <w:pStyle w:val="TextoNormal"/>
      </w:pPr>
    </w:p>
    <w:p w:rsidR="0026452D" w:rsidRDefault="0026452D" w:rsidP="0026452D">
      <w:pPr>
        <w:pStyle w:val="TextoNormal"/>
      </w:pPr>
      <w:r>
        <w:t>El art. 6.2 presenta el siguiente tenor: “Los programas de cooperación territorial serán desarrollados y gestionados por el Ministerio de Educación, Cultura y Deporte y por las Comunidades Autónomas, de acuerdo con sus respectivas competencias, mediante los convenios que, a estos efectos, se suscriban”. El Principado de Asturias considera que el Estado realiza a través de este precepto una indebida asunción de competencias ejecutivas.</w:t>
      </w:r>
    </w:p>
    <w:p w:rsidR="0026452D" w:rsidRDefault="0026452D" w:rsidP="0026452D">
      <w:pPr>
        <w:pStyle w:val="TextoNormal"/>
      </w:pPr>
    </w:p>
    <w:p w:rsidR="0026452D" w:rsidRDefault="0026452D" w:rsidP="0026452D">
      <w:pPr>
        <w:pStyle w:val="TextoNormal"/>
      </w:pPr>
      <w:r>
        <w:t xml:space="preserve">La STC 184/2012, FJ 7 a) y, tras ella, las SSTC 212/2012, FJ 8, y 214/2012, FJ 10 a), ya desestimaron esta queja, por lo que procede aquí rechazarla de nuevo. Respecto a dicha disposición, la primera Sentencia señala: “Este carácter de instrumento de colaboración se pone de manifiesto, tanto en su propia denominación como en la referencia a que los mismos han de realizarse mediante la necesaria cooperación entre las instancias estatales y autonómicas, en sus respectivos ámbitos de competencia. Así, conforme a su tenor, el art. 6.2 alude a la actuación de los órganos estatales y autonómicos, que habrá de producirse ‘de acuerdo con sus respectivas competencias’ y especifica que el desarrollo y gestión de tales programas habrá de realizarse ‘mediante los convenios que, a estos efectos, se suscriban’. En este sentido, si bien es cierto que las competencias estatales en la materia son fundamentalmente normativas, ello no significa, sin embargo, que pueda descartarse </w:t>
      </w:r>
      <w:r w:rsidRPr="0026452D">
        <w:rPr>
          <w:i/>
        </w:rPr>
        <w:t>a priori</w:t>
      </w:r>
      <w:r>
        <w:t xml:space="preserve">, que en atención a las características de los citados programas, los mismos pudieran ser gestionados por un </w:t>
      </w:r>
      <w:r>
        <w:lastRenderedPageBreak/>
        <w:t>órgano estatal en los términos previstos por el propio art. 6.2”. En esa Sentencia hemos apreciado también, con cita de STC 204/2011, de 15 de diciembre, que se trata, “no de la denuncia de una vulneración actual y efectiva de las competencias autonómicas, sino, como máximo, de un alegato meramente preventivo construido a partir de un determinado entendimiento del tenor literal de dicho artículo, de suerte que aceptar esta tacha conduciría a llevar a cabo un pronunciamiento también preventivo, algo que hemos rechazado de forma reiterada”.</w:t>
      </w:r>
    </w:p>
    <w:p w:rsidR="0026452D" w:rsidRDefault="0026452D" w:rsidP="0026452D">
      <w:pPr>
        <w:pStyle w:val="TextoNormal"/>
      </w:pPr>
    </w:p>
    <w:p w:rsidR="0026452D" w:rsidRDefault="0026452D" w:rsidP="0026452D">
      <w:pPr>
        <w:pStyle w:val="TextoNormal"/>
      </w:pPr>
      <w:r>
        <w:t>El segundo precepto impugnado es el art. 10.2, que dispone: “Corresponde a las Comunidades Autónomas, de acuerdo con la normativa básica que sobre los aspectos educativos de esta etapa establezca el Gobierno, la organización de la atención dirigida a los niños de esta etapa educativa y el establecimiento de las condiciones que habrán de reunir los centros e instituciones en que se preste. Establecerán, asimismo, los procedimientos de supervisión y control que estimen adecuados”. A este precepto se le imputa invasión de competencias autonómicas y vulneración del principio de reserva de ley en relación con el establecimiento de normas básicas.</w:t>
      </w:r>
    </w:p>
    <w:p w:rsidR="0026452D" w:rsidRDefault="0026452D" w:rsidP="0026452D">
      <w:pPr>
        <w:pStyle w:val="TextoNormal"/>
      </w:pPr>
    </w:p>
    <w:p w:rsidR="0026452D" w:rsidRDefault="0026452D" w:rsidP="0026452D">
      <w:pPr>
        <w:pStyle w:val="TextoNormal"/>
      </w:pPr>
      <w:r>
        <w:t>Las quejas formuladas han de rechazarse, pues han sido ya resueltas en sentido negativo por la STC 184/2012, FJ 5 a), confirmada en las SSTC 212/2012, FJ 5; 213/2012, FJ 4; y 214/2012, FJ 8 a). En la primera de las citadas hemos afirmado que “la remisión al Gobierno —limitada a la regulación de los aspectos educativos de esta etapa— responde al hecho de que la Ley Orgánica de calidad de la educación no puede pretender agotar todos los aspectos básicos de cualquier nivel educativo. Así, resulta que el cuestionado art. 10.2 se inserta en la competencia estatal de ordenación del sistema educativo, del que, indudablemente, forma parte esta etapa, y ha de atenerse a los principios pedagógicos que formula el art. 10.5 de la Ley Orgánica, precepto que concreta los aspectos a los que ha de prestarse atención en esta fase de educación. Extremos todos ellos que permiten descartar las alegaciones en las que se funda la tacha de inconstitucionalidad formulada”.</w:t>
      </w:r>
    </w:p>
    <w:p w:rsidR="0026452D" w:rsidRDefault="0026452D" w:rsidP="0026452D">
      <w:pPr>
        <w:pStyle w:val="TextoNormal"/>
      </w:pPr>
    </w:p>
    <w:p w:rsidR="0026452D" w:rsidRDefault="0026452D" w:rsidP="0026452D">
      <w:pPr>
        <w:pStyle w:val="TextoNormal"/>
      </w:pPr>
      <w:r>
        <w:t>Lo mismo sucede con la impugnación del art. 10.4: “La educación preescolar tiene carácter voluntario para los padres. Las Administraciones competentes atenderán a las necesidades que concurran en las familias y coordinarán la oferta de plazas suficientes para satisfacer la demanda”. Ya declaramos en relación con este precepto que “la impugnación no puede ser estimada pues el carácter educacional asistencial de esta fase de la educación en nada obsta a su integración en el sistema educativo nacional, lo que justifica su regulación por el Estado llevada a cabo en la Ley Orgánica de calidad de la educación. Por otra parte, la referencia a la atención a las necesidades de las familias ha de entenderse en relación, tanto con el carácter voluntario de la educación prescolar para las familias, como con la ya aludida necesidad de que existan plazas suficientes para garantizar la escolarización de la población que la solicite, en unos términos que, con carácter muy similar, venían ya establecidos en el art. 7.2 de la Ley Orgánica 1/1990, de 3 de octubre, de ordenación general del sistema educativo” [SSTC 184/2012, FJ 5 b); y 214/2012, FJ 11 a)].</w:t>
      </w:r>
    </w:p>
    <w:p w:rsidR="0026452D" w:rsidRDefault="0026452D" w:rsidP="0026452D">
      <w:pPr>
        <w:pStyle w:val="TextoNormal"/>
      </w:pPr>
    </w:p>
    <w:p w:rsidR="0026452D" w:rsidRDefault="0026452D" w:rsidP="0026452D">
      <w:pPr>
        <w:pStyle w:val="TextoNormal"/>
      </w:pPr>
      <w:r>
        <w:t>El art. 11.2 dispone en relación con la educación infantil que “las Administraciones educativas garantizarán la existencia de puestos escolares gratuitos en centros públicos y en centros privados concertados para atender la demanda de las familias”. El recurso le reprocha un exceso en la definición de lo básico, con la consiguiente limitación o reducción de las competencias autonómicas.</w:t>
      </w:r>
    </w:p>
    <w:p w:rsidR="0026452D" w:rsidRDefault="0026452D" w:rsidP="0026452D">
      <w:pPr>
        <w:pStyle w:val="TextoNormal"/>
      </w:pPr>
    </w:p>
    <w:p w:rsidR="0026452D" w:rsidRDefault="0026452D" w:rsidP="0026452D">
      <w:pPr>
        <w:pStyle w:val="TextoNormal"/>
      </w:pPr>
      <w:r>
        <w:t>La STC 184/2012, FJ 5 c), ya ha desestimado este motivo al entender que el precepto “únicamente establece que, en cuanto que la Ley Orgánica de calidad de la educación consagra el carácter gratuito de la educación infantil, resulta posible la utilización de la fórmula del concierto para la impartición de estas enseñanzas como forma de garantizar que se imparten en régimen de gratuidad (en el mismo sentido, STC 77/1985, FJ 13). Régimen de concierto que se ajustará a lo dispuesto en los arts. 75 y 76 de la Ley Orgánica de calidad de la educación, tal como se desprende de la referencia que el art. 75.1 de la Ley Orgánica de calidad de la educación hace a ‘la impartición de las enseñanzas declaradas gratuitas en la presente ley’, marco normativo cuya concreción, en los términos en ellos previstos, corresponde determinar a las Comunidades Autónomas en el ejercicio de sus competencias en materia de educación.” La STC 213/2012, FJ 5, reitera este criterio.</w:t>
      </w:r>
    </w:p>
    <w:p w:rsidR="0026452D" w:rsidRDefault="0026452D" w:rsidP="0026452D">
      <w:pPr>
        <w:pStyle w:val="TextoNormal"/>
      </w:pPr>
    </w:p>
    <w:p w:rsidR="0026452D" w:rsidRDefault="0026452D" w:rsidP="0026452D">
      <w:pPr>
        <w:pStyle w:val="TextoNormal"/>
      </w:pPr>
      <w:r w:rsidRPr="0026452D">
        <w:rPr>
          <w:rStyle w:val="NumeroAFNegritaCaracter"/>
        </w:rPr>
        <w:t>4</w:t>
      </w:r>
      <w:r>
        <w:t>. Las tachas formuladas contra los arts. 26.5, 29.3, 31.2, 35.4, 37.1, 43.3 y 49.5  de la Ley Orgánica de calidad de la educación son similares, por lo que serán analizadas conjuntamente. En todos los casos el recurrente considera insuficiente tanto el grado de determinación de las remisiones reglamentarias, para el establecimiento de la normativa básica, como el nivel de participación autonómica en las decisiones estatales a que se refieren estos preceptos. Tales reparos pueden entenderse desechados en aplicación de la doctrina que este Tribunal ha establecido en pronunciamientos anteriores.</w:t>
      </w:r>
    </w:p>
    <w:p w:rsidR="0026452D" w:rsidRDefault="0026452D" w:rsidP="0026452D">
      <w:pPr>
        <w:pStyle w:val="TextoNormal"/>
      </w:pPr>
    </w:p>
    <w:p w:rsidR="0026452D" w:rsidRDefault="0026452D" w:rsidP="0026452D">
      <w:pPr>
        <w:pStyle w:val="TextoNormal"/>
      </w:pPr>
      <w:r>
        <w:t>La STC 184/2012, FJ 6, desestimó el primer motivo en relación con los arts. 26.5, 29.3, 31.2, 37.1 y 43.3, por lo que procede ahora remitirnos a ella. A su vez, la formulación de esta tacha contra el art. 35.4 fue también desestimada en el fundamento jurídico 5 de la STC 212/2012; doctrina que hemos reiterado en las SSTC 213/2012, FJ 6 b), y 214/2012, FJ 8 b). Por su parte, el art. 49.5 dispone, en relación con las enseñanzas especializadas impartidas en las escuelas oficiales de idiomas, que “los alumnos no escolarizados en estos centros podrán obtener los certificados correspondientes a los distintos niveles mediante la superación de las pruebas que organicen las Administraciones educativas, de conformidad con los requisitos básicos que establezca el Gobierno”. Tampoco aquí es posible estimar la vulneración competencial denunciada. Admitida la posibilidad de que normas de rango reglamentario establezcan bases en el ámbito educativo, según la jurisprudencia constitucional, resulta que en este caso la definición de los requisitos básicos de la prueba a la que alude el precepto impugnado se relaciona directamente con la obtención de los certificados correspondientes a cada uno de los tres niveles que estructuran estas enseñanzas conforme al art. 49.2 de la Ley Orgánica de calidad de la educación; aspecto de indiscutible competencia estatal en cuanto afecta a la ordenación del sistema educativo en relación con las enseñanzas de idiomas.</w:t>
      </w:r>
    </w:p>
    <w:p w:rsidR="0026452D" w:rsidRDefault="0026452D" w:rsidP="0026452D">
      <w:pPr>
        <w:pStyle w:val="TextoNormal"/>
      </w:pPr>
    </w:p>
    <w:p w:rsidR="0026452D" w:rsidRDefault="0026452D" w:rsidP="0026452D">
      <w:pPr>
        <w:pStyle w:val="TextoNormal"/>
      </w:pPr>
      <w:r>
        <w:t xml:space="preserve">A su vez, la queja relativa a la insuficiente participación autonómica prevista en los arts. 26.5, 29.3, 31.2, 35.4, 38.5 y 49.5 ya fue desestimada en la STC 184/2012, FJ 8. Según esta, “tratándose de competencias estatales, es el Estado el único competente para establecer los casos y los modos en que dicha participación haya de verificarse, por proyectarse la participación en ámbitos que corresponden constitucionalmente al Estado y sin perjuicio de su posible incidencia en competencias o intereses de la Comunidad Autónoma. Por ello es al Estado al que corresponde determinar los concretos términos, formas y condiciones de la participación de la Comunidad Autónoma, debiendo en todo caso quedar a salvo la titularidad de las competencias estatales eventualmente implicadas y la perfecta libertad que en su </w:t>
      </w:r>
      <w:r>
        <w:lastRenderedPageBreak/>
        <w:t xml:space="preserve">ejercicio corresponde a los organismos e instituciones del Estado (STC 31/2010, FJ 111 </w:t>
      </w:r>
      <w:r w:rsidRPr="0026452D">
        <w:rPr>
          <w:i/>
        </w:rPr>
        <w:t>in fine</w:t>
      </w:r>
      <w:r>
        <w:t>)”. Se descartó pues que pueda “erigirse en parámetro de constitucionalidad la regulación que la Ley Orgánica de calidad de la educación vino a sustituir, pues dicho parámetro sólo está conformado por las normas del bloque de la constitucionalidad implicadas”; integrado, en este caso, por la Constitución y el Estatuto de Autonomía del Principado de Asturias.</w:t>
      </w:r>
    </w:p>
    <w:p w:rsidR="0026452D" w:rsidRDefault="0026452D" w:rsidP="0026452D">
      <w:pPr>
        <w:pStyle w:val="TextoNormal"/>
      </w:pPr>
    </w:p>
    <w:p w:rsidR="0026452D" w:rsidRDefault="0026452D" w:rsidP="0026452D">
      <w:pPr>
        <w:pStyle w:val="TextoNormal"/>
      </w:pPr>
      <w:r w:rsidRPr="0026452D">
        <w:rPr>
          <w:rStyle w:val="NumeroAFNegritaCaracter"/>
        </w:rPr>
        <w:t>5</w:t>
      </w:r>
      <w:r>
        <w:t>. Se impugna por la indebida asunción de competencias ejecutivas por parte del Estado el art. 40.2 (“El Estado podrá impulsar, mediante convenios con las Comunidades Autónomas, actuaciones preferentes orientadas al logro efectivo de sus metas y objetivos en materia de igualdad de oportunidades y de compensación en educación”). Por idéntico motivo también se recurre el art. 59.1 (“Sin perjuicio de las competencias de las Comunidades Autónomas en materia de formación del profesorado, el Ministerio de Educación, Cultura y Deporte podrá desarrollar programas de formación permanente del profesorado de los centros sostenidos con fondos públicos, en todos los niveles y modalidades de enseñanza”).</w:t>
      </w:r>
    </w:p>
    <w:p w:rsidR="0026452D" w:rsidRDefault="0026452D" w:rsidP="0026452D">
      <w:pPr>
        <w:pStyle w:val="TextoNormal"/>
      </w:pPr>
    </w:p>
    <w:p w:rsidR="0026452D" w:rsidRDefault="0026452D" w:rsidP="0026452D">
      <w:pPr>
        <w:pStyle w:val="TextoNormal"/>
      </w:pPr>
      <w:r>
        <w:t>La impugnación de ambos preceptos ha de ser desestimada en aplicación de nuestra doctrina. En relación con el art. 40.2 ya establecimos que “[L]a tacha denunciada, con la generalidad con que se formula, no puede ser apreciada pues los genéricos términos que utiliza el precepto para referirse a la actuación estatal (‘podrá impulsar’), así como la mención al instrumento para llevar a cabo tales actuaciones (‘mediante convenios de colaboración’) permiten inferir que no se produce la aducida vulneración competencial. Así, el precepto cuestionado habilita al Estado para realizar una determinada actividad de fomento en materia de educación y determina el instrumento a través del que, en su caso, esta actuación va a llevarse a cabo con la necesaria colaboración autonómica, pero nada dice ni prejuzga sobre el contenido concreto de las actuaciones a desarrollar y, en particular, si las mismas van a suponer una disposición de fondos de modo contrario al orden competencial, aspecto en el que el recurrente centra su queja. Antes al contrario, la referencia a los convenios de colaboración puede ser entendida como el reconocimiento del necesario establecimiento de mecanismos de cooperación en una materia, como la educación, en la que ya hemos señalado que la competencia es compartida entre el Estado y las Comunidades Autónomas, con las consecuencias que ello tiene desde el punto de vista de la gestión de los fondos públicos destinados a esta finalidad de promover la igualdad de oportunidades y la compensación de las desigualdades sociales en el ámbito educativo. Por esa razón, desde ese punto de vista, que es el adoptado por el Letrado autonómico en la demanda, no es posible apreciar la vulneración que se denuncia; denuncia que es, en todo caso, prematura” [STC 184/2012, FJ 7 b)].</w:t>
      </w:r>
    </w:p>
    <w:p w:rsidR="0026452D" w:rsidRDefault="0026452D" w:rsidP="0026452D">
      <w:pPr>
        <w:pStyle w:val="TextoNormal"/>
      </w:pPr>
    </w:p>
    <w:p w:rsidR="0026452D" w:rsidRDefault="0026452D" w:rsidP="0026452D">
      <w:pPr>
        <w:pStyle w:val="TextoNormal"/>
      </w:pPr>
      <w:r>
        <w:t xml:space="preserve">Por su parte, la doctrina del fundamento jurídico 7 c) de la STC 184/2012, reiterada en las SSTC 212/2012, FJ 6, y 214/2012, FJ 10 b), conduce a desestimar la impugnación del art. 59.1, pues, como señalamos en el primero de los citados, “en la medida en que, conforme al propio tenor literal del precepto cuestionado, no es posible inferir que las actuaciones a las que se refiere el mismo hayan de tener en todo caso carácter ejecutivo, pues desarrollar es algo, en principio, conceptualmente distinto a ejecutar, no es posible apreciar la vulneración competencial que aquí se denuncia. Todo ello sin perjuicio de advertir que las actuaciones estatales para el desarrollo de estos programas de formación habrán de ajustarse, como no puede ser de otro modo y el propio precepto advierte con su referencia expresa a las competencias autonómicas, al orden constitucional de competencias, lo que implica que, </w:t>
      </w:r>
      <w:r>
        <w:lastRenderedPageBreak/>
        <w:t>como ya se ha advertido, las potestades de ejecución en relación con tales programas han de corresponder a las Comunidades Autónomas, así como que, en el caso de que tales actividades de formación impliquen disposición de fondos públicos, la gestión de las ayudas o subvenciones ha de corresponder por regla general a las Comunidades Autónomas en los términos de nuestra doctrina (por todas, STC 13/1992, FJ 8, y específicamente en relación con el personal docente, STC 330/1993, FFJJ 3 y 4).”</w:t>
      </w:r>
    </w:p>
    <w:p w:rsidR="0026452D" w:rsidRDefault="0026452D" w:rsidP="0026452D">
      <w:pPr>
        <w:pStyle w:val="TextoNormal"/>
      </w:pPr>
    </w:p>
    <w:p w:rsidR="0026452D" w:rsidRDefault="0026452D" w:rsidP="0026452D">
      <w:pPr>
        <w:pStyle w:val="TextoNormal"/>
      </w:pPr>
      <w:r w:rsidRPr="0026452D">
        <w:rPr>
          <w:rStyle w:val="NumeroAFNegritaCaracter"/>
        </w:rPr>
        <w:t>6</w:t>
      </w:r>
      <w:r>
        <w:t>. Cumple examinar ahora la impugnación del inciso final del art. 75.2 y del apartado 2 de la disposición adicional quinta. En cuanto al art. 75, como ha puesto de manifiesto la Abogada del Estado, el recurso incurre en un error material, pues, tras afirmar que impugna formalmente el apartado 2, transcribe literalmente y reputa inconstitucional el contenido del apartado 5. Consecuentemente, constatada esta defectuosa identificación del objeto impugnado, es claro que el recurso se dirige sólo contra el inciso final del apartado 5, conforme al que “las Administraciones educativas tendrán en cuenta la demanda social de las plazas escolares en los centros” cuando celebren conciertos educativos con los centros privados que impartan las enseñanzas declaradas gratuitas en la Ley Orgánica de calidad de la educación. A juicio del recurrente, este precepto limita el margen de que disponen las Comunidades Autónomas a la hora de establecer la programación educativa, que es de su competencia. La demanda extiende este reproche al apartado 2 de la disposición adicional quinta. Esta contempla la posible inexistencia de plazas suficientes en los centros sostenidos con fondos públicos que impartan educación primaria o educación secundaria obligatoria o bachillerato. Establece en dichos casos la prioridad de los alumnos que procedan de los centros de educación infantil o de educación secundaria obligatoria, respectivamente, que tengan adscritos; siempre que dichas enseñanzas estén sostenidas con fondos públicos. En este contexto, el apartado 2 dispone que “corresponde a las Administraciones educativas establecer el procedimiento y condiciones para la adscripción de centros a que se refiere el apartado anterior, respetando, en todo caso, el derecho a la libre elección de centro”; aspecto este último que es el cuestionado por la representación procesal del Principado de Asturias. A su modo de ver, el precepto, si no se interpreta en el sentido de que las Administraciones educativas no pueden condicionar o restringir el derecho de los padres a optar por uno u otro centro educativo, habrá de reputarse inconstitucional por limitar la competencia autonómica.</w:t>
      </w:r>
    </w:p>
    <w:p w:rsidR="0026452D" w:rsidRDefault="0026452D" w:rsidP="0026452D">
      <w:pPr>
        <w:pStyle w:val="TextoNormal"/>
      </w:pPr>
    </w:p>
    <w:p w:rsidR="0026452D" w:rsidRDefault="0026452D" w:rsidP="0026452D">
      <w:pPr>
        <w:pStyle w:val="TextoNormal"/>
      </w:pPr>
      <w:r>
        <w:t>La tacha formulada contra estos preceptos no puede aceptarse. Ya señalamos que la especificación del régimen de concierto previstos en los arts. 75 y 76 de la Ley Orgánica de calidad de la educación corresponde a las Comunidades Autónomas en virtud de sus competencias en materia de educación [STC 184/2012, FJ 5 c)]. En este contexto, el apartado 5 del art. 75 tiene un mero carácter de principio que, junto a otros enunciados en el mismo precepto, ha de ser concretado por la Administración educativa a la que corresponde la formalización de los pertinentes conciertos; por lo que no es posible apreciar la vulneración alegada. A su vez, la representación procesal del Principado de Asturias desarrolla la interpretación del apartado 2 de la disposición adicional quinta que, a su juicio, debería establecerse para evitar una vulneración constitucional. De este modo, el recurso reviste en este punto un carácter cautelar o preventivo, por fundarse en la mera hipótesis de una posible interpretación. Por esta razón, de conformidad con la jurisprudencia consolidada de este Tribunal (por todas, STC 204/2011, de 15 de diciembre, FJ 8 y las allí citadas), debemos también rechazar estas impugnaciones.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7</w:t>
      </w:r>
      <w:r>
        <w:t>. Finalmente, el escrito de interposición impugna el art. 85.3 y la disposición adicional tercera, apartados 1 y 4.</w:t>
      </w:r>
    </w:p>
    <w:p w:rsidR="0026452D" w:rsidRDefault="0026452D" w:rsidP="0026452D">
      <w:pPr>
        <w:pStyle w:val="TextoNormal"/>
      </w:pPr>
    </w:p>
    <w:p w:rsidR="0026452D" w:rsidRDefault="0026452D" w:rsidP="0026452D">
      <w:pPr>
        <w:pStyle w:val="TextoNormal"/>
      </w:pPr>
      <w:r>
        <w:t>El art. 85 hace referencia a la jefatura de los denominados departamentos de coordinación didáctica. En estos órganos de los institutos de educación secundaria se integran los profesores de las especialidades que impartan las enseñanzas de las asignaturas o módulos asignados, encargándose de la organización y desarrollo de las enseñanzas propias de tales asignaturas o módulos. El recurso cuestiona, por invasión de la competencia autonómica, la regulación de la jefatura de tales departamentos, que, conforme al impugnado art. 85.3, “será desempeñada por un funcionario del Cuerpo de Catedráticos de Enseñanza Secundaria, titular de alguna de las especialidades integradas en los respectivos departamentos. En ausencia, en los respectivos centros, de funcionarios del cuerpo de Catedráticos mencionado en el párrafo anterior, la Jefatura de los departamentos de Coordinación Didáctica podrá atribuirse a un profesor funcionario perteneciente al cuerpo de profesores de Enseñanza Secundaria”.</w:t>
      </w:r>
    </w:p>
    <w:p w:rsidR="0026452D" w:rsidRDefault="0026452D" w:rsidP="0026452D">
      <w:pPr>
        <w:pStyle w:val="TextoNormal"/>
      </w:pPr>
    </w:p>
    <w:p w:rsidR="0026452D" w:rsidRDefault="0026452D" w:rsidP="0026452D">
      <w:pPr>
        <w:pStyle w:val="TextoNormal"/>
      </w:pPr>
      <w:r>
        <w:t>Formulado en tales términos, hemos de desestimar el recurso en este punto, pues la STC 184/2012, FJ 5 d), ya señaló que “resulta aquí de aplicación el título competencial estatal del art. 149.1.18, en relación con la definición del régimen estatutario de los funcionarios públicos en la medida en que tanto catedráticos como profesores de enseñanza secundaria tienen la condición de funcionarios de carrera, como el propio precepto impugnado pone de manifiesto. Así, tratándose de funcionarios públicos, las atribuciones de estos órganos justifican el establecimiento de una regla que, en todo caso, garantiza que la jefatura del órgano va ser ocupada por un funcionario docente, mientras que la preferencia por los catedráticos se justifica por la importancia de esta figura, atendiendo a las funciones que a los mismos corresponden en los términos de la propia Ley Orgánica de calidad de la educación (disposición adicional décima). Todo ello determina que no se produzca la vulneración competencial denunciada”.</w:t>
      </w:r>
    </w:p>
    <w:p w:rsidR="0026452D" w:rsidRDefault="0026452D" w:rsidP="0026452D">
      <w:pPr>
        <w:pStyle w:val="TextoNormal"/>
      </w:pPr>
    </w:p>
    <w:p w:rsidR="0026452D" w:rsidRDefault="0026452D" w:rsidP="0026452D">
      <w:pPr>
        <w:pStyle w:val="TextoNormal"/>
      </w:pPr>
      <w:r>
        <w:t>La doctrina de la STC 184/2012 conduce igualmente a la desestimación de la impugnación de los apartados 1 y 4 de la disposición adicional tercera. Respecto del primer apartado, que atribuye a los órganos de coordinación didáctica de los centros de la función de elegir los libros de texto y demás materiales curriculares, ya dejamos sentado que “el precepto ofrece una interpretación conforme con el orden competencial en la medida en que … únicamente establece que ha de corresponder a un órgano de coordinación didáctica, sin mayores especificaciones, la elección de los libros de texto y demás materiales curriculares. Atribución que está directamente relacionada con las labores a las que dichos órganos habrían de dedicarse y que se formula con el suficiente grado de generalidad a fin de permitir el desarrollo autonómico. En efecto, puesta en relación esta mención con las del art. 85 de la Ley Orgánica de calidad de la educación, resultan dos conclusiones, la primera es que, salvo en el caso de los departamentos de coordinación didáctica de los Institutos de Educación Secundaria expresamente previstos en el precepto citado, el legislador básico estatal se limita a prever que las Administraciones educativas establezcan otros órganos de coordinación, sin más concreción; la segunda es que son tales órganos, con las características que le atribuya la Administración educativa correspondiente, los que ejercerán la función de elección de los libros de texto. Conclusiones ambas que permiten descartar la vulneración denunciada” [FJ 5 e)].</w:t>
      </w:r>
    </w:p>
    <w:p w:rsidR="0026452D" w:rsidRDefault="0026452D" w:rsidP="0026452D">
      <w:pPr>
        <w:pStyle w:val="TextoNormal"/>
      </w:pPr>
    </w:p>
    <w:p w:rsidR="0026452D" w:rsidRDefault="0026452D" w:rsidP="0026452D">
      <w:pPr>
        <w:pStyle w:val="TextoNormal"/>
      </w:pPr>
      <w:r>
        <w:lastRenderedPageBreak/>
        <w:t>En cuanto al apartado 4 (“Con carácter general, los libros de texto y materiales curriculares adoptados no podrán ser sustituidos por otros durante un período mínimo de cuatro años. Excepcionalmente, cuando la programación docente lo requiera, las Administraciones educativas podrán autorizar la modificación del plazo anteriormente establecido”), ya declaramos en ese mismo fundamento jurídico que se trata de una “previsión que supone un mínimo normativo que ha de ser considerado básico por cuanto persigue garantizar una cierta estabilidad en una cuestión de gran trascendencia para el aprendizaje de los alumnos como es el del material docente. Por otra parte, esa regla básica va acompañada de una excepción que permite su modulación por las Administraciones educativas para adecuarlo a las necesidades de su programación docente, flexibilizando así su aplicación en atención a la finalidad a la que el precepto responde y permitiendo su adaptación a las necesidades concretas que puedan surgir y que han de ser valoradas por la Comunidad Autónoma, lo que determina que no se vulneren las competencias autonómicas”.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diecisiete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0" w:name="SENTENCIA_2013_7"/>
      <w:r>
        <w:lastRenderedPageBreak/>
        <w:t>SENTENCIA 7/2013, de 17 de enero de 2013</w:t>
      </w:r>
    </w:p>
    <w:bookmarkEnd w:id="10"/>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37, de 12 de febrero de 2013)</w:t>
      </w:r>
    </w:p>
    <w:p w:rsidR="0026452D" w:rsidRDefault="0026452D" w:rsidP="0026452D">
      <w:pPr>
        <w:pStyle w:val="TtuloBOE"/>
      </w:pPr>
    </w:p>
    <w:p w:rsidR="0026452D" w:rsidRDefault="0026452D" w:rsidP="0026452D">
      <w:pPr>
        <w:pStyle w:val="SntesisDescriptiva"/>
      </w:pPr>
      <w:r>
        <w:t>ECLI:ES:TC:2013:7</w:t>
      </w:r>
    </w:p>
    <w:p w:rsidR="0026452D" w:rsidRDefault="0026452D" w:rsidP="0026452D">
      <w:pPr>
        <w:pStyle w:val="SntesisDescriptiva"/>
      </w:pPr>
    </w:p>
    <w:p w:rsidR="0026452D" w:rsidRDefault="0026452D" w:rsidP="0026452D">
      <w:pPr>
        <w:pStyle w:val="SntesisDescriptiva"/>
      </w:pPr>
      <w:r>
        <w:t>Conflicto positivo de competencia 3030-2006. Planteado por el Gobierno de la Generalitat de Cataluña en relación con la resolución de la Secretaría General para la Administración Pública del Ministerio de Administraciones Públicas de 17 de octubre de 2005, por la que se ordena la publicación del IV Acuerdo de formación continua en las Administraciones públicas.</w:t>
      </w:r>
    </w:p>
    <w:p w:rsidR="0026452D" w:rsidRDefault="0026452D" w:rsidP="0026452D">
      <w:pPr>
        <w:pStyle w:val="SntesisDescriptiva"/>
      </w:pPr>
    </w:p>
    <w:p w:rsidR="0026452D" w:rsidRDefault="0026452D" w:rsidP="0026452D">
      <w:pPr>
        <w:pStyle w:val="SntesisAnaltica"/>
      </w:pPr>
      <w:r>
        <w:t>Competencias sobre legislación laboral, régimen jurídico de las Administraciones públicas y régimen estatutario de los funcionarios públicos: competencias de ejecución cuyo ejercicio corresponde a la Generalitat de Cataluña (STC 225/2012).</w:t>
      </w:r>
    </w:p>
    <w:p w:rsidR="0026452D" w:rsidRDefault="0026452D" w:rsidP="0026452D">
      <w:pPr>
        <w:pStyle w:val="SntesisAnaltica"/>
      </w:pPr>
    </w:p>
    <w:p w:rsidR="0026452D" w:rsidRDefault="0026452D" w:rsidP="0026452D">
      <w:pPr>
        <w:pStyle w:val="Extracto"/>
      </w:pPr>
      <w:r>
        <w:t>1.</w:t>
      </w:r>
      <w:r>
        <w:tab/>
        <w:t>La atribución a la comisión de formación continua de la Administración Local de competencias en relación con la gestión de planes de formación promovidos de manera exclusiva por entidades locales o por federaciones o asociaciones de entes locales de ámbito estrictamente catalán no es constitucionalmente conforme a la distribución de competencias, ya que no permite a la Comunidad Autónoma de Cataluña la aprobación de los planes de formación continua del personal al servicio de las entidades locales de su territorio y, en correspondencia, la gestión de los fondos destinados a su financiación [FJ 4].</w:t>
      </w:r>
    </w:p>
    <w:p w:rsidR="0026452D" w:rsidRDefault="0026452D" w:rsidP="0026452D">
      <w:pPr>
        <w:pStyle w:val="Extracto"/>
      </w:pPr>
    </w:p>
    <w:p w:rsidR="0026452D" w:rsidRDefault="0026452D" w:rsidP="0026452D">
      <w:pPr>
        <w:pStyle w:val="Extracto"/>
      </w:pPr>
      <w:r>
        <w:t>2.</w:t>
      </w:r>
      <w:r>
        <w:tab/>
        <w:t>Las funciones de la comisión de formación continua de la Administración local, constituida en el marco de la Federación Española de Municipios y Provincias, invaden la competencia que el bloque de constitucionalidad confiere a la Generalitat de Cataluña en materia de formación continua de empleados públicos de las entidades locales de su territorio, a la que, por tanto, corresponde ejercer dichas funciones a través del órgano al que se encomiende su ejercicio [FJ 4].</w:t>
      </w:r>
    </w:p>
    <w:p w:rsidR="0026452D" w:rsidRDefault="0026452D" w:rsidP="0026452D">
      <w:pPr>
        <w:pStyle w:val="Extracto"/>
      </w:pPr>
    </w:p>
    <w:p w:rsidR="0026452D" w:rsidRDefault="0026452D" w:rsidP="0026452D">
      <w:pPr>
        <w:pStyle w:val="Extracto"/>
      </w:pPr>
      <w:r>
        <w:t>3.</w:t>
      </w:r>
      <w:r>
        <w:tab/>
        <w:t>Las funciones atribuidas a la comisión general para la formación continua, en relación a la dirección y coordinación de los planes de formación y aplicación de criterios sobre distribución de fondos, no vulneran las competencias autonómicas de ejecución, en tanto se enmarcan en el ámbito de la planificación general encaminada a garantizar la objetividad e igualdad en el reparto de fondos y asegurar la cooperación y colaboración entre Administraciones públicas, existiendo además en dicha comisión un representante de la Comunidad Autónoma que asegura a ésta la posibilidad de emitir opiniones e incidir en los procesos de decisión [FJ 5].</w:t>
      </w:r>
    </w:p>
    <w:p w:rsidR="0026452D" w:rsidRDefault="0026452D" w:rsidP="0026452D">
      <w:pPr>
        <w:pStyle w:val="Extracto"/>
      </w:pPr>
    </w:p>
    <w:p w:rsidR="0026452D" w:rsidRDefault="0026452D" w:rsidP="0026452D">
      <w:pPr>
        <w:pStyle w:val="Extracto"/>
      </w:pPr>
      <w:r>
        <w:t>4.</w:t>
      </w:r>
      <w:r>
        <w:tab/>
        <w:t xml:space="preserve">Las funciones conferidas a la comisión general para la formación continua en relación con la aprobación de la solicitud y modificación de los planes interadministrativos, con su seguimiento y control¸ y con la resolución de las discrepancias en su negociación, no son constitucionalmente conformes a la distribución de competencias, pues, no pudiendo encuadrarse dichas funciones en el ámbito de la coordinación o colaboración entre las diferentes Administraciones públicas, instalan </w:t>
      </w:r>
      <w:r>
        <w:lastRenderedPageBreak/>
        <w:t>la gestión de los planes un escenario alejado del ámbito competencial autonómico (STC 225/2012, 244/2012) [FJ 5].</w:t>
      </w:r>
    </w:p>
    <w:p w:rsidR="0026452D" w:rsidRDefault="0026452D" w:rsidP="0026452D">
      <w:pPr>
        <w:pStyle w:val="Extracto"/>
      </w:pPr>
    </w:p>
    <w:p w:rsidR="0026452D" w:rsidRDefault="0026452D" w:rsidP="0026452D">
      <w:pPr>
        <w:pStyle w:val="Extracto"/>
      </w:pPr>
      <w:r>
        <w:t>5.</w:t>
      </w:r>
      <w:r>
        <w:tab/>
        <w:t>Los títulos competenciales aquí concurrentes, ‘bases del régimen estatutario de los funcionarios’ y ‘legislación laboral’, habilitan al Estado a canalizar una parte de los fondos públicos destinados a la formación continua de los empleados públicos, siempre que tal destino no ponga en cuestión las competencias normativas y de gestión de la Comunidad Autónoma, la cual deberá disponer de los fondos territorializados según criterios objetivos que le corresponden con el fin de aplicarlos a la expresada finalidad (SSTC 190/1992, 111/2012) [FJ 3].</w:t>
      </w:r>
    </w:p>
    <w:p w:rsidR="0026452D" w:rsidRDefault="0026452D" w:rsidP="0026452D">
      <w:pPr>
        <w:pStyle w:val="Extracto"/>
      </w:pPr>
    </w:p>
    <w:p w:rsidR="0026452D" w:rsidRDefault="0026452D" w:rsidP="0026452D">
      <w:pPr>
        <w:pStyle w:val="Extracto"/>
      </w:pPr>
      <w:r>
        <w:t>6.</w:t>
      </w:r>
      <w:r>
        <w:tab/>
        <w:t>Las acciones formativas que se realicen en el seno de las Administraciones Públicas deberán encuadrarse, desde la perspectiva del orden constitucional de competencias, en la materia ‘bases del régimen estatutario de sus funcionarios’ o ‘legislación laboral’, según que la relación de los empleados públicos con la Administración sea de carácter funcionarial, estatutario o laboral, correspondiendo al Estado, en la primera de estas materias, dictar la normativa básica y a la Comunidad Autónoma de Cataluña el desarrollo legislativo y la ejecución de dichas bases, mientras que, en la segunda, la competencia normativa compete al Estado y la de ejecución a la Comunidad Autónoma (STC 190/2002) [FJ 3].</w:t>
      </w:r>
    </w:p>
    <w:p w:rsidR="0026452D" w:rsidRDefault="0026452D" w:rsidP="0026452D">
      <w:pPr>
        <w:pStyle w:val="Extracto"/>
      </w:pPr>
    </w:p>
    <w:p w:rsidR="0026452D" w:rsidRDefault="0026452D" w:rsidP="0026452D">
      <w:pPr>
        <w:pStyle w:val="Extracto"/>
      </w:pPr>
      <w:r>
        <w:t>7.</w:t>
      </w:r>
      <w:r>
        <w:tab/>
        <w:t>Doctrina sobre el esquema de delimitación competencial entre el Estado y las Comunidades Autónomas en cuanto al ejercicio de la potestad subvencional (STC 13/1992) [FJ 3].</w:t>
      </w:r>
    </w:p>
    <w:p w:rsidR="0026452D" w:rsidRDefault="0026452D" w:rsidP="0026452D">
      <w:pPr>
        <w:pStyle w:val="Extracto"/>
      </w:pPr>
    </w:p>
    <w:p w:rsidR="0026452D" w:rsidRDefault="0026452D" w:rsidP="0026452D">
      <w:pPr>
        <w:pStyle w:val="Extracto"/>
      </w:pPr>
      <w:r>
        <w:t>8.</w:t>
      </w:r>
      <w:r>
        <w:tab/>
        <w:t>En los procesos constitucionales que versen sobre una controversia competencial, conforme acontece con los conflictos positivos de competencia, no podrá darse por desaparecido o extinguido su objeto cuando, a pesar de las revisiones habidas en el tratamiento normativo de la materia controvertida, la nueva ordenación jurídica mantenga, en los mismos o en equivalente términos, el anterior régimen jurídico (STC 204/2011) [FJ 2].</w:t>
      </w:r>
    </w:p>
    <w:p w:rsidR="0026452D" w:rsidRDefault="0026452D" w:rsidP="0026452D">
      <w:pPr>
        <w:pStyle w:val="Extracto"/>
      </w:pPr>
    </w:p>
    <w:p w:rsidR="0026452D" w:rsidRDefault="0026452D" w:rsidP="0026452D">
      <w:pPr>
        <w:pStyle w:val="Extracto"/>
      </w:pPr>
      <w:r>
        <w:t>9.</w:t>
      </w:r>
      <w:r>
        <w:tab/>
        <w:t>La dimensión cautelar de un conflicto de competencias no puede inferirse sin más, y como regla general, de la naturaleza del instrumento jurídico destinado a regular un concreto reparto competencial entre el Estado y las Comunidades Autónomas sobre una singular materia sino, y ello es bien distinto, del contenido de la regulación recaída sobre la materia objeto de tratamiento por dicho instrumento formal. [FJ 2].</w:t>
      </w:r>
    </w:p>
    <w:p w:rsidR="0026452D" w:rsidRDefault="0026452D" w:rsidP="0026452D">
      <w:pPr>
        <w:pStyle w:val="Extracto"/>
      </w:pPr>
    </w:p>
    <w:p w:rsidR="0026452D" w:rsidRDefault="0026452D" w:rsidP="0026452D">
      <w:pPr>
        <w:pStyle w:val="Extracto"/>
      </w:pPr>
      <w:r>
        <w:t>10.</w:t>
      </w:r>
      <w:r>
        <w:tab/>
        <w:t xml:space="preserve">A este Tribunal no le compete valorar si la vía elegida para articular un conflicto positivo de competencias resulta la más acertada en términos de defensa procesal de las pretensiones competenciales perseguidas, quedando circunscrito nuestro juicio a verificar si la vía finalmente seleccionada logra encauzar o no una verdadera </w:t>
      </w:r>
      <w:r w:rsidRPr="0026452D">
        <w:rPr>
          <w:i/>
        </w:rPr>
        <w:t>vindicatio potestatis</w:t>
      </w:r>
      <w:r>
        <w:t xml:space="preserve"> [FJ 2].</w:t>
      </w:r>
    </w:p>
    <w:p w:rsidR="0026452D" w:rsidRDefault="0026452D" w:rsidP="0026452D">
      <w:pPr>
        <w:pStyle w:val="Extracto"/>
      </w:pPr>
    </w:p>
    <w:p w:rsidR="0026452D" w:rsidRDefault="0026452D" w:rsidP="0026452D">
      <w:pPr>
        <w:pStyle w:val="Extracto"/>
      </w:pPr>
      <w:r>
        <w:t>11.</w:t>
      </w:r>
      <w:r>
        <w:tab/>
        <w:t>La afectación de situaciones ya consolidadas se evita mediante la mera declaración de la titularidad de la competencia en disputa, por tanto, la pretensión del Go</w:t>
      </w:r>
      <w:r>
        <w:lastRenderedPageBreak/>
        <w:t>bierno de la Generalitat de Cataluña ha de estimarse satisfecha mediante el reconocimiento de su titularidad en la materia objeto de este conflicto (STC 36/2012) [FJ 7].</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3030-2006, promovido por el Gobierno de la Generalitat de Cataluña frente al Gobierno de la Nación, en relación con la resolución de 17 de octubre de 2005 de la Secretaría General para la Administración Pública, del Ministerio de Administraciones Públicas, por la que se ordena la publicación del IV Acuerdo de formación continua en las Administraciones públicas. Ha intervenido y formulado alegaciones el Abogado del Estado en la representación que legalmente ostenta. Ha sido Ponente el Magistrado don Fernando Valdés Dal-Ré,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y registrado en este Tribunal en fecha 17 de marzo de 2006, el Abogado de la Generalitat de Cataluña, en representación del Gobierno autonómico, promueve conflicto positivo de competencia contra la resolución de 17 de octubre de 2005 de la Secretaría General para la Administración Pública, del Ministerio de Administraciones públicas, por la que se ordena la publicación del IV Acuerdo de formación continua en las Administraciones públicas.</w:t>
      </w:r>
    </w:p>
    <w:p w:rsidR="0026452D" w:rsidRDefault="0026452D" w:rsidP="0026452D">
      <w:pPr>
        <w:pStyle w:val="TextoNormal"/>
      </w:pPr>
    </w:p>
    <w:p w:rsidR="0026452D" w:rsidRDefault="0026452D" w:rsidP="0026452D">
      <w:pPr>
        <w:pStyle w:val="TextoNormal"/>
      </w:pPr>
      <w:r>
        <w:t xml:space="preserve">A fin de delimitar el objeto del conflicto, la demanda comienza señalando que “no se va a cuestionar ninguno de los principios básicos o criterios que se mencionan en el IV AFCAP [Acuerdo de formación continua en las Administraciones públicas] en orden a que los planes presentados por los distintos promotores puedan resultar merecedores del otorgamiento de las ayudas, sino que lo que propiamente la Generalitat reclama es la puesta a su disposición de los fondos correspondientes a la formación del personal de las entidades locales de Cataluña, oponiéndose a la gestión centralizada que se establece en el controvertido Acuerdo”, añadiendo, con igual propósito de clarificación del conflicto, que “no van a ser objeto de impugnación en el presente conflicto, ni tampoco en otro posterior, las disposiciones dictadas para la aplicación del IV AFCAP”, capítulo éste en que se mencionan la Orden </w:t>
      </w:r>
      <w:r>
        <w:lastRenderedPageBreak/>
        <w:t>APU/80/2006, de 12 de enero, por la que se aprueban las bases reguladoras para el desarrollo de planes de formación en el marco del IV Acuerdo de formación continua en las Administraciones públicas, publicada en el “Boletín Oficial del Estado” de 26 de enero de 2006 y que tiene una vigencia prevista durante el cuatrienio 2006-2009, así como la resolución de 27 de enero de 2006 del Instituto Nacional de Administración Pública (INAP), por la que se convoca para el ejercicio de 2006 la concesión de ayudas en el marco del IV Acuerdo de formación continua en las Administraciones públicas, publicada en el “Boletín Oficial del Estado” de 31 de enero de 2006. Y no van a serlo porque, en la medida en que ambas suponen la aplicación detallada de las previsiones del IV Acuerdo de formación continua en las Administraciones Públicas y, por consiguiente, de ellas también cabe predicar los mismos defectos competenciales, “tal impugnación no resulta estrictamente necesaria a los efectos de defender el orden competencial que aquí se pretende”.</w:t>
      </w:r>
    </w:p>
    <w:p w:rsidR="0026452D" w:rsidRDefault="0026452D" w:rsidP="0026452D">
      <w:pPr>
        <w:pStyle w:val="TextoNormal"/>
      </w:pPr>
    </w:p>
    <w:p w:rsidR="0026452D" w:rsidRDefault="0026452D" w:rsidP="0026452D">
      <w:pPr>
        <w:pStyle w:val="TextoNormal"/>
      </w:pPr>
      <w:r w:rsidRPr="0026452D">
        <w:rPr>
          <w:rStyle w:val="NumeroAFNegritaCaracter"/>
        </w:rPr>
        <w:t>2</w:t>
      </w:r>
      <w:r>
        <w:t>. La pretensión instada se apoya, de modo resumido, en los siguientes razonamientos:</w:t>
      </w:r>
    </w:p>
    <w:p w:rsidR="0026452D" w:rsidRDefault="0026452D" w:rsidP="0026452D">
      <w:pPr>
        <w:pStyle w:val="TextoNormal"/>
      </w:pPr>
    </w:p>
    <w:p w:rsidR="0026452D" w:rsidRDefault="0026452D" w:rsidP="0026452D">
      <w:pPr>
        <w:pStyle w:val="TextoNormal"/>
      </w:pPr>
      <w:r>
        <w:t>a) Por lo pronto, la parte actora arguye que estamos una vez más ante una situación en que se ve obligada a plantear un conflicto competencial en un tema de subvenciones, materia sobre la que la STC 13/1992, de 6 de febrero, ya declaró que la técnica de reparto territorial de las subvenciones para su gestión descentralizada por las Comunidad Autónomas competentes resulta la más ajustada al modelo de Estado complejo diseñado en el texto constitucional. Con posterioridad a la clara definición doctrinal expuesta, sin embargo, el Gobierno del Estado en más de una ocasión ha pretendido alterar las bases de la doctrina constitucional, elevando a la condición de regla general la excepcional posibilidad de gestión centralizada de las subvenciones. La distribución de las ayudas destinadas a la formación continua de empleados públicos, funcionarios y laborales, ilustra de manera ejemplar esta orientación.</w:t>
      </w:r>
    </w:p>
    <w:p w:rsidR="0026452D" w:rsidRDefault="0026452D" w:rsidP="0026452D">
      <w:pPr>
        <w:pStyle w:val="TextoNormal"/>
      </w:pPr>
    </w:p>
    <w:p w:rsidR="0026452D" w:rsidRDefault="0026452D" w:rsidP="0026452D">
      <w:pPr>
        <w:pStyle w:val="TextoNormal"/>
      </w:pPr>
      <w:r>
        <w:t xml:space="preserve">En esa dirección, la Generalitat hubo de plantear ante el Tribunal un conflicto competencial frente a la Orden del Ministerio de Administraciones Públicas de 4 de mayo de 1995 que traspuso el I Acuerdo de formación continua en las Administraciones públicas suscrito el 21 de marzo de 1995, el cual atribuía al Instituto Nacional de Administración Pública y a la Comisión general para la formación continua la aprobación de los planes de formación que afectaban sólo al personal de la Generalitat y la decisión sobre la aplicación de los créditos destinados a su financiación. La STC 228/2003, de 18 de diciembre, estimó el conflicto y declaró que vulneraban las competencias de la actora ciertos preceptos de esa orden y las resoluciones del INAP que la aplicaban, en tanto afectaban a planes de formación de empleados públicos autonómicos. En concreto y en relación con la territorialización y distribución de los fondos, este pronunciamiento declaró, en el fundamento jurídico 11, que “del examen de la resolución de 20 de junio de 1995 se desprende meridianamente que la financiación remitida a la Generalitat no ha tenido lugar de la forma en que se exige en nuestra STC 13/1992, FJ 8 b), </w:t>
      </w:r>
      <w:r w:rsidRPr="0026452D">
        <w:rPr>
          <w:i/>
        </w:rPr>
        <w:t>in fine</w:t>
      </w:r>
      <w:r>
        <w:t xml:space="preserve"> ... pues la financiación sólo se ha remitido ... una vez resuelto por el INAP el proceso concurrencial que se ha estimado vulnerador de las competencias de la Generalidad, siendo así que el respeto de las mismas hubiera reclamado que la remisión de la financiación, de no hacerse en los propios Presupuestos, se hubiera realizado sin el sometimiento a la condición de que el INAP acordara previamente la concesión de la ayuda, pues todo ello impide que la Generalidad haya ejercido sus competencias de modo efectivo”. A juicio de la Generalitat, el Gobierno del Estado, amparándose en que la STC 228/2003 no contiene pronunciamiento alguno relativo al personal de las Administraciones </w:t>
      </w:r>
      <w:r>
        <w:lastRenderedPageBreak/>
        <w:t>locales ubicadas en Cataluña, ha decidido la inaplicación de estos mismos criterios al caso ahora a examen, manteniendo en el IV Acuerdo de formación continua en las Administraciones públicas para este personal de las Administraciones locales un modelo de gestión centralizada de las ayudas. De ahí la finalidad de este conflicto, que no es otra que la de lograr que la doctrina sentada en el pronunciamiento últimamente citado se extienda al personal que presta sus servicios en las Administraciones locales de Cataluña.</w:t>
      </w:r>
    </w:p>
    <w:p w:rsidR="0026452D" w:rsidRDefault="0026452D" w:rsidP="0026452D">
      <w:pPr>
        <w:pStyle w:val="TextoNormal"/>
      </w:pPr>
    </w:p>
    <w:p w:rsidR="0026452D" w:rsidRDefault="0026452D" w:rsidP="0026452D">
      <w:pPr>
        <w:pStyle w:val="TextoNormal"/>
      </w:pPr>
      <w:r>
        <w:t>b) Con vistas a delimitar de manera constitucionalmente adecuada el encuadre competencial del presente conflicto, la demanda califica las ayudas que el Estado destina a fomentar la formación continua de los empleados públicos como subvenciones. Esta preliminar configuración exige, de inmediato, delimitar subjetivamente la competencia material sobre formación continua de los empleados públicos, a cuyo efecto la demanda recuerda que la STC 190/2002, de 17 de octubre, aplicando criterios sentados en la STC 13/1992, afirmó “que las acciones formativas que se realicen en el seno de estas Administraciones deberán encuadrarse, desde la perspectiva del orden constitucional de competencias, en las materias ‘bases del régimen estatutario de sus funcionarios’ o ‘legislación laboral’, según que la relación de los empleados públicos con la Administración sea de carácter funcionarial, estatutario o laboral”. Ese encuadre competencial determina, según la Generalitat, que en esta ocasión el marco competencial quedaría establecido por las siguientes reglas. En cuanto al personal de la Administración local cuya relación tenga carácter funcionarial, el art. 149.1.18 CE reserva al Estado la competencia exclusiva para establecer, entre otras materias, las bases del régimen jurídico de las Administraciones públicas y del régimen estatutario de sus funcionarios. Por su parte y en perfecta correspondencia con lo anterior, el art. 10.1.1 del Estatuto de Autonomía de Cataluña (EAC) dispone que corresponde a la Generalitat de Cataluña, en el marco de la legislación básica del Estado, el desarrollo legislativo y la ejecución sobre el régimen jurídico de la Administración de la Generalitat y de los organismos que dependan de ella, así como sobre el régimen estatutario de sus funcionarios, lo que incluye al personal de las entidades locales. Y, en cuanto al personal de la Administración local cuya relación tenga carácter laboral, el art. 149.1.7 CE atribuye al Estado competencia normativa sobre la legislación laboral, mientras que su ejecución corresponde a la Generalitat de acuerdo con el art. 11.2 EAC. A su vez y en atención a que los fondos cuya disposición se reclama van destinados en este caso para la formación continua del personal que presta sus servicios en el ámbito local, puede invocarse también el título del art. 9.8 EAC, que atribuye a la Generalitat de Cataluña la competencia exclusiva en materia de régimen local, sin perjuicio de lo que dispone el art. 149.1.18 CE.</w:t>
      </w:r>
    </w:p>
    <w:p w:rsidR="0026452D" w:rsidRDefault="0026452D" w:rsidP="0026452D">
      <w:pPr>
        <w:pStyle w:val="TextoNormal"/>
      </w:pPr>
    </w:p>
    <w:p w:rsidR="0026452D" w:rsidRDefault="0026452D" w:rsidP="0026452D">
      <w:pPr>
        <w:pStyle w:val="TextoNormal"/>
      </w:pPr>
      <w:r>
        <w:t xml:space="preserve">Atendida la conjunción de títulos competenciales que se da en el caso a examen, la Generalitat entiende que el canon de enjuiciamiento debe ajustarse al segundo de los supuestos generales enunciados en el fundamento jurídico 8 de la STC 13/1992, que concurre “cuando el Estado ostenta un título competencial genérico de intervención que se superpone a la competencia de las Comunidad Autónomas sobre una materia, aun si esta se califica de exclusiva ... o bien tiene competencia sobre las bases o la coordinación general de un sector o materia, correspondiendo a las Comunidad Autónomas las competencias de desarrollo normativo y de ejecución”. En lo que afecta a las funciones de gestión de este supuesto, el fundamento jurídico 8 b) de la citada STC 13/1992 deja claro que “la gestión de estos fondos corresponde a las Comunidad Autónomas de manera que, por regla general, no pueden consignarse en favor de un órgano de la Administración del Estado u organismo intermediario de ésta. Se trata de partidas que deben territorializarse en los propios presupuestos generales </w:t>
      </w:r>
      <w:r>
        <w:lastRenderedPageBreak/>
        <w:t>del Estado si ello es posible o en un momento inmediatamente posterior, mediante normas que fijen criterios objetivos de reparto o mediante convenios de colaboración ajustados a los principios constitucionales y al orden de distribución de competencias”. Frente a esta doctrina constitucional reiterada, el IV Acuerdo de formación continua en las Administraciones públicas significa la pervivencia de un modelo de gestión centralizada de los fondos públicos destinados al ámbito local, privando a las Comunidad Autónomas de sus competencias al respecto.</w:t>
      </w:r>
    </w:p>
    <w:p w:rsidR="0026452D" w:rsidRDefault="0026452D" w:rsidP="0026452D">
      <w:pPr>
        <w:pStyle w:val="TextoNormal"/>
      </w:pPr>
    </w:p>
    <w:p w:rsidR="0026452D" w:rsidRDefault="0026452D" w:rsidP="0026452D">
      <w:pPr>
        <w:pStyle w:val="TextoNormal"/>
      </w:pPr>
      <w:r>
        <w:t>c) Saliendo al paso de la respuesta dada por el Gobierno del Estado al requerimiento previo al presente conflicto, la Generalitat de Cataluña alega que este Tribunal ha resuelto en diversas ocasiones que su doctrina relativa a las subvenciones resulta también de aplicación en los casos en que los beneficiarios de las ayudas, por estar destinadas a la realización de actuaciones de su competencia, son directamente las entidades locales. Así lo hizo en la STC 202/1992, de 23 de noviembre, en la que se resolvió el conflicto planteado en relación con una orden del Ministerio de Sanidad y Consumo relativa a ayudas para colaboración y asistencia técnica con las corporaciones locales para el establecimiento de oficinas municipales de información al consumidor. Y también fue esta la solución adoptada por la STC 59/1995, de 17 de marzo, al resolver el conflicto de competencia a que dio lugar un convenio entre el Director General de la Vivienda del entonces Ministerio de Obras Públicas y Urbanismo y el Concejal-Presidente del Patronato Municipal de la Vivienda del Ayuntamiento de Barcelona, por el que el Estado financiaba operaciones de rehabilitación de viviendas.</w:t>
      </w:r>
    </w:p>
    <w:p w:rsidR="0026452D" w:rsidRDefault="0026452D" w:rsidP="0026452D">
      <w:pPr>
        <w:pStyle w:val="TextoNormal"/>
      </w:pPr>
    </w:p>
    <w:p w:rsidR="0026452D" w:rsidRDefault="0026452D" w:rsidP="0026452D">
      <w:pPr>
        <w:pStyle w:val="TextoNormal"/>
      </w:pPr>
      <w:r>
        <w:t>d) El último apartado de la demanda se dedica a analizar el IV Acuerdo de formación continua en las Administraciones públicas a la luz de la doctrina constitucional expuesta. Empieza diciendo que, como ha quedado indicado reiteradamente, el objetivo del presente conflicto, más que denunciar aspectos puntuales del IV Acuerdo de formación continua en las Administraciones públicas, lo que pretende es que, al estilo de lo que acontece con los fondos dirigidos a la formación continua de los empleados autonómicos, también los fondos de las partidas presupuestarias destinadas a la formación continua de los empleados locales “sean territorializados según criterios objetivos entre las Comunidad Autónomas, asignándose a la Generalitat de Cataluña los correspondientes a la formación del personal de la Administración local de su territorio para su gestión descentralizada”.</w:t>
      </w:r>
    </w:p>
    <w:p w:rsidR="0026452D" w:rsidRDefault="0026452D" w:rsidP="0026452D">
      <w:pPr>
        <w:pStyle w:val="TextoNormal"/>
      </w:pPr>
    </w:p>
    <w:p w:rsidR="0026452D" w:rsidRDefault="0026452D" w:rsidP="0026452D">
      <w:pPr>
        <w:pStyle w:val="TextoNormal"/>
      </w:pPr>
      <w:r>
        <w:t>Expuesto lo anterior, el Abogado de la Generalitat de Cataluña procede a señalar los puntos concretos del IV Acuerdo de formación continua en las Administraciones públicas que, a su juicio, materializan la expresada reivindicación competencial. Expone que la oferta formativa debe contenerse en “planes de formación continua” (art. 2), que pueden ser unitarios (afectan al personal de una sola Administración pública, art. 8), agrupados (afectan a dos o más entidades locales, art. 9) o interadministrativos (destinados a la formación de empleados públicos no solo de la Administración promotora sino también de otras, art. 10), impugnando estos preceptos por no reconocer su competencia a la hora de decidir la aplicación de las ayudas presupuestadas para subvencionar los planes unitarios destinados al personal de una entidad local del territorio catalán, los planes agrupados que afecten al personal de dos o más entidades locales del territorio catalán y los planes interadministrativos promovidos por la federación o la asociación catalana de municipios para formar empleados públicos de las entidades locales del territorio de Cataluña, así como los promovidos por la Administración autonómica destinados tanto al personal propio como al de los entes locales de su territorio.</w:t>
      </w:r>
    </w:p>
    <w:p w:rsidR="0026452D" w:rsidRDefault="0026452D" w:rsidP="0026452D">
      <w:pPr>
        <w:pStyle w:val="TextoNormal"/>
      </w:pPr>
    </w:p>
    <w:p w:rsidR="0026452D" w:rsidRDefault="0026452D" w:rsidP="0026452D">
      <w:pPr>
        <w:pStyle w:val="TextoNormal"/>
      </w:pPr>
      <w:r>
        <w:t>Según la actora, también vulneran el orden competencial descrito, en tanto rigen la formación del personal de entidades locales de Cataluña, otras previsiones del IV Acuerdo de formación continua en las Administraciones públicas. En concreto, las tres siguientes: 1º) las del art. 14, que prevén la intervención de la comisión de formación continua correspondiente con carácter previo a solicitar la aprobación de planes unitarios (punto 1), de la comisión de formación continua de la Administración local para la aprobación de los planes agrupados (punto 3) y para la aprobación inicial de los planes interadministrativos promovidos por las federaciones o asociaciones de municipios de ámbito autonómico (punto 4, apartado segundo), y, en fin, de la comisión general para la formación continua para la negociación y aprobación de los planes interadministrativos (punto 4, apartado primero); 2º) las del art. 16 b), que atribuyen a la comisión general para la formación continua las siguientes funciones: “4. Fijar criterios y adoptar acuerdos en relación con la distribución, aplicación y gestión de los fondos disponibles para la financiación de las acciones de formación continua”; “5. Proponer la convocatoria de ayudas; “6. Aprobar, con carácter definitivo, los planes de formación interadministrativos, así como sus solicitudes de modificación”; “7. Adoptar las medidas necesarias para la acreditación y certificación de la formación continua, sea cual sea el promotor y el ámbito de realización de la misma, según la normativa vigente”; “9. Llevar a cabo el seguimiento y control de los planes” y “17. Resolver, en su caso, aquellas discrepancias surgidas en la negociación de los planes de formación continua y no resueltas en el seno de la comisión de formación continua correspondiente” y 3º) las del art. 18, que atribuyen a la comisión de formación continua de la Administración local las siguientes funciones: “b) Aprobar las solicitudes de los planes de formación que sean presentados por los distintos promotores, dentro de su ámbito correspondiente e informar de su aprobación, en el plazo de un mes, a la Comisión General para la Formación Continua, excepto los planes interadministrativos que serán aprobados en la Comisión General para la Formación Continua”; “e) Aprobar las propuestas de modificación de planes de formación”; “d) Negociar los planes de formación agrupados, así como los unitarios que afecten a distintas unidades administrativas en los términos previstos en el art. 14” y “e) Resolver las discrepancias que surjan en el procedimiento de tramitación de los planes a que hace alude el art. 14.1 a)”.</w:t>
      </w:r>
    </w:p>
    <w:p w:rsidR="0026452D" w:rsidRDefault="0026452D" w:rsidP="0026452D">
      <w:pPr>
        <w:pStyle w:val="TextoNormal"/>
      </w:pPr>
    </w:p>
    <w:p w:rsidR="0026452D" w:rsidRDefault="0026452D" w:rsidP="0026452D">
      <w:pPr>
        <w:pStyle w:val="TextoNormal"/>
      </w:pPr>
      <w:r>
        <w:t>Finalmente, el Abogado de la Generalitat de Cataluña argumenta que el ejercicio autonómico de esas funciones de gestión resulta obstaculizado por el art. 19 del IV Acuerdo de formación continua en las Administraciones públicas que, aun cuando no lo formule de manera expresa, conduce a que la resolución final de otorgar las ayudas corresponda al Director del INAP, previo preceptivo informe de un ente estatal como es la comisión general para la formación continua, en el caso de los planes interadministrativos, o la comisión de formación continua de la Administración local, en el caso de los planes unitarios y agrupados.</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Mediante providencia de 25 de abril de 2006, el Pleno de este Tribunal acordó admitir a trámite el conflicto positivo de competencia en relación con la resolución de 17 de octubre de 2005 de la Secretaría General para la Administración Pública, del Ministerio de Administraciones Públicas, por la que se ordena la publicación del IV Acuerdo de formación continua en las Administraciones públicas. Se ordenó, igualmente, dar traslado de la demanda y documentos presentados al Gobierno de la Nación, por conducto de su Presidente, al objeto de que en el plazo de veinte días y, por medio de la representación procesal que </w:t>
      </w:r>
      <w:r>
        <w:lastRenderedPageBreak/>
        <w:t>determina el art. 82.2 de la Ley Orgánica del Tribunal Constitucional (LOTC), aporte cuantos documentos y alegaciones considere convenientes. Por último, se convino comunicar la incoación del conflicto a la Sala de lo Contencioso-Administrativo del Tribunal Supremo —por si ante la misma estuviera impugnado o se impugnare la citada resolución administrativa, en cuyo caso se suspendería el curso del proceso hasta la decisión del conflicto, según dispone el art. 61.2 LOTC—, así como su publicación en los diarios oficiales, estatal y autonómico.</w:t>
      </w:r>
    </w:p>
    <w:p w:rsidR="0026452D" w:rsidRDefault="0026452D" w:rsidP="0026452D">
      <w:pPr>
        <w:pStyle w:val="TextoNormal"/>
      </w:pPr>
    </w:p>
    <w:p w:rsidR="0026452D" w:rsidRDefault="0026452D" w:rsidP="0026452D">
      <w:pPr>
        <w:pStyle w:val="TextoNormal"/>
      </w:pPr>
      <w:r w:rsidRPr="0026452D">
        <w:rPr>
          <w:rStyle w:val="NumeroAFNegritaCaracter"/>
        </w:rPr>
        <w:t>4</w:t>
      </w:r>
      <w:r>
        <w:t>. El Abogado del Estado, en la representación que legalmente ostenta, presentó su escrito de alegaciones el día 6 de junio de 2006, instando la desestimación del conflicto con base en los razonamientos que exponemos a continuación.</w:t>
      </w:r>
    </w:p>
    <w:p w:rsidR="0026452D" w:rsidRDefault="0026452D" w:rsidP="0026452D">
      <w:pPr>
        <w:pStyle w:val="TextoNormal"/>
      </w:pPr>
    </w:p>
    <w:p w:rsidR="0026452D" w:rsidRDefault="0026452D" w:rsidP="0026452D">
      <w:pPr>
        <w:pStyle w:val="TextoNormal"/>
      </w:pPr>
      <w:r>
        <w:t>a) El Abogado del Estado considera preventivo este conflicto competencial. Si, tal y como reitera la Generalitat al promoverlo, lo que reclama “es la puesta a su disposición de los fondos correspondientes a la formación del personal de las entidades locales de Cataluña, oponiéndose a la gestión centralizada que se establece en el controvertido Acuerdo”, el conflicto es preventivo “porque la resolución impugnada está desprovista de toda referencia a la gestión centralizada de las ayudas para la formación continua … sin que la actuación futura que denuncia como producida la Generalitat pueda inexcusablemente ser considerada consecuencia necesaria de aquella Resolución”.</w:t>
      </w:r>
    </w:p>
    <w:p w:rsidR="0026452D" w:rsidRDefault="0026452D" w:rsidP="0026452D">
      <w:pPr>
        <w:pStyle w:val="TextoNormal"/>
      </w:pPr>
    </w:p>
    <w:p w:rsidR="0026452D" w:rsidRDefault="0026452D" w:rsidP="0026452D">
      <w:pPr>
        <w:pStyle w:val="TextoNormal"/>
      </w:pPr>
      <w:r>
        <w:t>Además, sigue alegando, el carácter preventivo se desprende de la argumentación que la demanda ofrece contra algunos preceptos del IV Acuerdo de formación continua en las Administraciones públicas. Así, la invasión competencial que suscita la Generalitat no puede imputarse a los arts. 8, 9 y 10 porque “tales preceptos se limitan a definir respectivamente los planes unitarios, agrupados e interadministrativos a elaborar por las entidades promotoras que deseen financiar acciones formativas con cargo a los fondos de formación continua, definiciones que difícilmente pueden estimarse vulneradoras del orden constitucional de distribución de competencias”. De otro lado, la denuncia de vulneración competencial derivada de las funciones que los arts. 14, 16 y 18 atribuyen a las comisiones de formación continua, según el Abogado del Estado, “cabe calificarla de inadmisible, pues olvida con ello el demandante que los planes de formación que nos ocupan se adoptan como acuerdo entre las Administraciones implicadas en el seno de la Comisión General para la Formación Continua” y, además, porque las mismas tienden, precisamente, a garantizar la aplicación de unos criterios objetivos y homogéneos por parte de todas las Administraciones Públicas en una materia que mucho tiene que ver con la calidad de los servicios que prestan las Administraciones Públicas en el territorio nacional (art. 1 del IV Acuerdo)”. Termina el Abogado del Estado razonando que es en la acusación que la demanda dirige contra el art. 19 del IV Acuerdo de formación continua en las Administraciones públicas donde el propio actor manifiesta más abiertamente el carácter preventivo de la impugnación, pues llega a decir que “visto el resultado a que abre la puerta y conduce lo dispuesto en el art. 19 del IV AFCAP a favor del INAP, en el presente conflicto se reclaman también las funciones de gestión que, indeterminadamente, habilita el art. 19 del IV AFCAP a favor del INAP”.</w:t>
      </w:r>
    </w:p>
    <w:p w:rsidR="0026452D" w:rsidRDefault="0026452D" w:rsidP="0026452D">
      <w:pPr>
        <w:pStyle w:val="TextoNormal"/>
      </w:pPr>
    </w:p>
    <w:p w:rsidR="0026452D" w:rsidRDefault="0026452D" w:rsidP="0026452D">
      <w:pPr>
        <w:pStyle w:val="TextoNormal"/>
      </w:pPr>
      <w:r>
        <w:t xml:space="preserve">En fin, siguiendo la tesis de la demanda, sería, en su caso, la convocatoria de ayudas para el desarrollo de planes de formación en el marco del IV Acuerdo de formación continua en las Administraciones públicas el acto que produciría la efectiva invasión competencial y </w:t>
      </w:r>
      <w:r>
        <w:lastRenderedPageBreak/>
        <w:t>que, por tanto, podría dar lugar al planteamiento del conflicto. No habiéndose impugnado tal acto, parece claro que el presente conflicto es puramente preventivo.</w:t>
      </w:r>
    </w:p>
    <w:p w:rsidR="0026452D" w:rsidRDefault="0026452D" w:rsidP="0026452D">
      <w:pPr>
        <w:pStyle w:val="TextoNormal"/>
      </w:pPr>
    </w:p>
    <w:p w:rsidR="0026452D" w:rsidRDefault="0026452D" w:rsidP="0026452D">
      <w:pPr>
        <w:pStyle w:val="TextoNormal"/>
      </w:pPr>
      <w:r>
        <w:t>b) En cuanto al fondo, el Abogado del Estado sostiene que este proceso no puede decidirse trasladando sin más la doctrina fijada en la STC 228/2003, pues viene referida únicamente a la formación continua de los empleados autonómicos mientras que la presente controversia competencial alude a la formación continua del personal al servicio de las entidades locales, cuestión que no es análoga desde el punto de vista competencial y que debe resolverse atendiendo a la jurisprudencia de este Tribunal sobre dichas entidades.</w:t>
      </w:r>
    </w:p>
    <w:p w:rsidR="0026452D" w:rsidRDefault="0026452D" w:rsidP="0026452D">
      <w:pPr>
        <w:pStyle w:val="TextoNormal"/>
      </w:pPr>
    </w:p>
    <w:p w:rsidR="0026452D" w:rsidRDefault="0026452D" w:rsidP="0026452D">
      <w:pPr>
        <w:pStyle w:val="TextoNormal"/>
      </w:pPr>
      <w:r>
        <w:t xml:space="preserve">En este sentido, como quiera que las competencias a tener en cuenta no son solamente las “asignadas directamente por la Constitución” sino también las que resulten de los “Estatutos de Autonomía o las leyes orgánicas u ordinarias dictadas para delimitar los ámbitos propios del Estado y las Comunidad Autónomas” (art. 59 LOTC), el Abogado del Estado juzga relevante que el art. 96 de la Ley reguladora de las bases de régimen local (LBRL), que atribuye al Instituto de Estudios de Administración Local (refundido en el INAP) competencia para desarrollar cursos destinados a funcionarios al servicio de las entidades locales y para colaborar en la realización de los mismos con las Comunidad Autónomas o con las propias Corporaciones, no fuese cuestionado en los recursos de inconstitucionalidad que se interpusieron contra dicha ley. En segundo lugar, destaca que la STC 214/1989, de 21 de diciembre, partiendo del carácter bifronte de las autonomías locales y de su concepción constitucional como elemento de división y organización del territorio del Estado, reconoce que pueden entablarse relaciones directas entre el Estado y las entidades locales. Especificando ese principio, dicha Sentencia razona en su fundamento jurídico 25 que la decisión del legislador estatal de fijar como básicas determinadas funciones, luego necesarias en todas las corporaciones locales y reservadas a determinados funcionarios con un especifico grado de formación, “justifica, asimismo, que el Estado asuma, con plenitud de facultades, la fijación de los correspondientes programas de selección y formación de los funcionarios habilitados” y, aludiendo al art. 98 LBRL, que prevé un sistema estatal y uniforme para la selección y formación de funcionarios con habilitación de carácter nacional, declara que “el detalle y minuciosidad con que en esta materia se ha manifestado el ejercicio de la competencia estatal sobre las bases del régimen jurídico de las Administraciones Públicas y el régimen estatutario de sus funcionarios —detalle que agota el ámbito normativo y, en aspectos muy relevantes, el propio ámbito de la ejecución que pudiera corresponder a las Comunidad Autónomas— no determina, sin embargo, que pueda acogerse la inconstitucionalidad del referido art. 98 LBRL”. Y más adelante, en su fundamento jurídico 29 afirma que, dado que el Estado puede entablar relaciones directas con las entidades locales, nada obsta a que el art. 117 LBRL haya podido articular la Comisión Nacional de Administración Local como un organismo de relación directa entre el Estado y las entidades locales en cuya composición queda excluida la presencia de las Comunidad Autónomas. En último término, también la STC 13/1992, ahondando en que el Estado puede entablar relaciones directas con las entidades locales, sostiene que, “aunque la ejecución de los Programas de educación compensatoria corresponda a la Comunidad Autónoma de Cataluña, las corporaciones locales pueden colaborar a esa finalidad mediante la realización de actividades de su competencia y, a tal fin, pueden recibir subvenciones del Estado, que tiene la competencia de programación general, de acuerdo con la legislación vigente. Naturalmente, esas actividades locales no pueden menoscabar las competencias de la Comunidad Autónoma de Cataluña. </w:t>
      </w:r>
      <w:r>
        <w:lastRenderedPageBreak/>
        <w:t>Pero la partida, en sí, no prejuzga semejante invasión competencial, por lo que la impugnación debe ser desestimada”.</w:t>
      </w:r>
    </w:p>
    <w:p w:rsidR="0026452D" w:rsidRDefault="0026452D" w:rsidP="0026452D">
      <w:pPr>
        <w:pStyle w:val="TextoNormal"/>
      </w:pPr>
    </w:p>
    <w:p w:rsidR="0026452D" w:rsidRDefault="0026452D" w:rsidP="0026452D">
      <w:pPr>
        <w:pStyle w:val="TextoNormal"/>
      </w:pPr>
      <w:r>
        <w:t>Aplicando la doctrina constitucional expuesta a la presente controversia, resalta el Abogado del Estado que los arts. 98.1 y 92.3 LBRL, declarados constitucionales en la citada STC 214/1989, atribuyen al INAP la formación del personal con habilitación de carácter nacional, de modo que la resolución objeto del conflicto es perfectamente legítima en tanto que, al no especificar la actividad formativa regulada, puede dirigirse válidamente al personal con habilitación de carácter nacional. Serían, en su caso, los actos concretos de aplicación dirigidos a personal distinto del referido en el art. 93.2 LBRL los que podrían dar lugar a invasión competencial, pero no el IV Acuerdo de formación continua en las Administraciones públicas, razón que bastaría, a su juicio, para desestimar el conflicto, pues éste no se articula para la protección frente a futuras o eventuales invasiones competenciales.</w:t>
      </w:r>
    </w:p>
    <w:p w:rsidR="0026452D" w:rsidRDefault="0026452D" w:rsidP="0026452D">
      <w:pPr>
        <w:pStyle w:val="TextoNormal"/>
      </w:pPr>
    </w:p>
    <w:p w:rsidR="0026452D" w:rsidRDefault="0026452D" w:rsidP="0026452D">
      <w:pPr>
        <w:pStyle w:val="TextoNormal"/>
      </w:pPr>
      <w:r>
        <w:t>Respecto del resto del personal de las entidades locales, también existirían, en su opinión, sólidos argumentos para entender que el IV Acuerdo de formación continua en las Administraciones públicas no invade competencias del demandante. Aparte de recordar que el art. 96 LBRL permite al INAP desarrollar cursos de formación para personal al servicio de los Entes locales, por sí o en colaboración con las Comunidad Autónomas o con las corporaciones locales, razona que la competencia para la formación de su propio personal corresponde a las corporaciones locales, lo que, combinado con la doctrina constitucional reseñada, según la cual caben las relaciones directas de éstas con el Estado y, en especial, que las citadas Entidades reciban en materia de su competencia directamente fondos del Estado, conduce a concluir que “debe admitirse que el Estado, en concurrencia con las Comunidad Autónomas, pueda financiar planes de formación del personal de las entidades locales. Cualquier otra solución supone desconocer la naturaleza de éstas como entidades autónomas en que se organiza territorialmente el Estado”.</w:t>
      </w:r>
    </w:p>
    <w:p w:rsidR="0026452D" w:rsidRDefault="0026452D" w:rsidP="0026452D">
      <w:pPr>
        <w:pStyle w:val="TextoNormal"/>
      </w:pPr>
    </w:p>
    <w:p w:rsidR="0026452D" w:rsidRDefault="0026452D" w:rsidP="0026452D">
      <w:pPr>
        <w:pStyle w:val="TextoNormal"/>
      </w:pPr>
      <w:r w:rsidRPr="0026452D">
        <w:rPr>
          <w:rStyle w:val="NumeroAFNegritaCaracter"/>
        </w:rPr>
        <w:t>5</w:t>
      </w:r>
      <w:r>
        <w:t>. Por providencia de 15 de enero de 2013 se acordó señalar para deliberación y votación de la presente sentencia el día 17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 instado por el Gobierno de la Generalitat de Cataluña contra la resolución de 17 de octubre de 2005 de la Secretaría General para la Administración Pública, del Ministerio de Administraciones Públicas, por la que se ordena la publicación del IV Acuerdo de formación continua en las Administraciones públicas. Corresponde en concreto a este Tribunal discernir si la regulación que dicho acuerdo lleva a cabo de las ayudas a la formación continua del personal de las entidades locales, tanto funcionario como laboral, vulnera o no las competencias que a la Generalitat de Cataluña corresponden de conformidad con las previsiones de su Estatuto de Autonomía, en el marco de lo previsto en los arts. 149.1.7 y 149.1.18 CE.</w:t>
      </w:r>
    </w:p>
    <w:p w:rsidR="0026452D" w:rsidRDefault="0026452D" w:rsidP="0026452D">
      <w:pPr>
        <w:pStyle w:val="TextoNormal"/>
      </w:pPr>
    </w:p>
    <w:p w:rsidR="0026452D" w:rsidRDefault="0026452D" w:rsidP="0026452D">
      <w:pPr>
        <w:pStyle w:val="TextoNormal"/>
      </w:pPr>
      <w:r>
        <w:t xml:space="preserve">Por decirlo en los términos de la propia demanda, “mediante el presente conflicto, más que denunciar aspectos puntuales del IV AFCAP [Acuerdo de formación continua en las </w:t>
      </w:r>
      <w:r>
        <w:lastRenderedPageBreak/>
        <w:t>Administraciones públicas], lo que se pretende es la reformulación o cambio de su planteamiento global por lo que se refiere a los empleados de las entidades locales, de manera que, superándose la inercia de la gestión centralizada y al igual que se hace con los fondos destinados a la formación continua de los empleados autonómicos, también los fondos de las partidas presupuestarias destinadas a la formación continua de los empleados locales sean territorializados según criterios objetivos entre las Comunidad Autónomas, asignándose a la Generalidad de Cataluña los correspondientes a la formación del personal de la Administración local de su territorio, para su gestión descentralizada”. En concreto y partiendo de este planteamiento general, la demanda reprocha a los arts. 14 (puntos 1, 3 y 4), 16 (apartado b), puntos 4, 5, 6, 7, 9 y 17), 18 (apartados b, c, d, y e) y 19 del IV Acuerdo de formación continua en las Administraciones públicas la violación del constitucional reparto de competencias en la materia evocada, preceptos éstos que impiden que “los fondos de las partidas presupuestarias destinadas a la formación continua de los empleados locales sean territorializados”, debiendo de quedar fuera de nuestro enjuiciamiento las tachas vertidas contra los arts. 8, 9 10 al carecer las mismas de reflejo en el suplico del escrito de demanda [por todas, STC 184/2012, de 17 de octubre, FJ 2 a)].</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proceder al examen de la cuestión de fondo, resulta de todo punto necesario efectuar una doble observación, relativa la primera a la correcta delimitación del objeto del presente proceso y referente, la segunda, a la alegación preliminar formulada por el Abogado del Estado.</w:t>
      </w:r>
    </w:p>
    <w:p w:rsidR="0026452D" w:rsidRDefault="0026452D" w:rsidP="0026452D">
      <w:pPr>
        <w:pStyle w:val="TextoNormal"/>
      </w:pPr>
    </w:p>
    <w:p w:rsidR="0026452D" w:rsidRDefault="0026452D" w:rsidP="0026452D">
      <w:pPr>
        <w:pStyle w:val="TextoNormal"/>
      </w:pPr>
      <w:r>
        <w:t>a) La exigencia de llevar a cabo una más precisa delimitación del objeto del presente conflicto trae causa en las incidencias habidas en relación con la regulación a la que la parte recurrente reprocha haber invadido su ámbito competencial. En concreto y en fecha 22 de marzo de 2010, la comisión general para la formación continua acordó aprobar el acuerdo de formación para el empleo de las Administraciones públicas que, tras su ratificación por la mesa general de negociación de las Administraciones públicas en reunión de 23 de ese mismo mes y año, fue remitida para su publicación en el “BOE” por resolución de 8 de junio de 2010 de la Secretaría de Estado para la Función Pública.</w:t>
      </w:r>
    </w:p>
    <w:p w:rsidR="0026452D" w:rsidRDefault="0026452D" w:rsidP="0026452D">
      <w:pPr>
        <w:pStyle w:val="TextoNormal"/>
      </w:pPr>
    </w:p>
    <w:p w:rsidR="0026452D" w:rsidRDefault="0026452D" w:rsidP="0026452D">
      <w:pPr>
        <w:pStyle w:val="TextoNormal"/>
      </w:pPr>
      <w:r>
        <w:t>De conformidad con una consolidada jurisprudencia de este Tribunal, en los procesos constitucionales que versen sobre una controversia competencial, conforme acontece con los conflictos positivos de competencia, no podrá darse por desaparecido o extinguido su objeto cuando, a pesar de las revisiones habidas en el tratamiento normativo de la materia controvertida, la nueva ordenación jurídica mantenga, en los mismos o en equivalente términos, el anterior régimen jurídico [por todas, STC 204/2011, de 15 de diciembre, FJ 2 a]. Tal es, precisamente, lo que sucede en el presente conflicto, ya que el citado acuerdo de formación para el empleo de las Administraciones públicas reproduce en su más estricta literalidad, salvo ligeras variaciones que en nada afectan al fondo de los reproches vertidos, los contenidos de los artículos aquí impugnados. El nuevo acuerdo, incluso, mantiene la numeración de la mayor parte de dichos artículos, sin más excepción que la relativa a la tipología de los planes de formación que, en lugar de regularse en los arts. 8, 9 y 10, se trata en los arts. 7, 8 y 9.</w:t>
      </w:r>
    </w:p>
    <w:p w:rsidR="0026452D" w:rsidRDefault="0026452D" w:rsidP="0026452D">
      <w:pPr>
        <w:pStyle w:val="TextoNormal"/>
      </w:pPr>
    </w:p>
    <w:p w:rsidR="0026452D" w:rsidRDefault="0026452D" w:rsidP="0026452D">
      <w:pPr>
        <w:pStyle w:val="TextoNormal"/>
      </w:pPr>
      <w:r>
        <w:t xml:space="preserve">b) Entrando en el examen de la segunda cuestión de examen previo, el Abogado del Estado manifiesta, como ya se ha hecho constar en los antecedentes, que el presente conflicto positivo de competencia tiene un carácter preventivo; o, enunciada la idea desde otro </w:t>
      </w:r>
      <w:r>
        <w:lastRenderedPageBreak/>
        <w:t xml:space="preserve">ángulo, que en él no concurre una verdadera reivindicación competencial. Sin necesidad de reiterar ahora los razonamientos esgrimidos por la representación del Gobierno en defensa de esta tesis, no resultará impertinente recordar que la ausencia de una </w:t>
      </w:r>
      <w:r w:rsidRPr="0026452D">
        <w:rPr>
          <w:i/>
        </w:rPr>
        <w:t>vindicatio potestatis</w:t>
      </w:r>
      <w:r>
        <w:t xml:space="preserve"> traería causa en un doble orden de consideraciones. De un lado, en la decisión administrativa a la que se imputa la vulneración del orden constitucional competencial, que es la resolución que mandata la publicación del IV Acuerdo de formación continua en las Administraciones públicas, en lugar de las disposiciones ministeriales que concretan y trasponen ese acuerdo, que son las que organizan con el obligado detalle la gestión de la formación continua del personal al servicio de las corporaciones locales; de otro, en el tipo de argumentación que fundamenta el conflicto y que trasluce, de manera expresa en ocasiones e implícita en otras, la convicción de la propia demandante en la dimensión cautelar del proceso constitucional instado.</w:t>
      </w:r>
    </w:p>
    <w:p w:rsidR="0026452D" w:rsidRDefault="0026452D" w:rsidP="0026452D">
      <w:pPr>
        <w:pStyle w:val="TextoNormal"/>
      </w:pPr>
    </w:p>
    <w:p w:rsidR="0026452D" w:rsidRDefault="0026452D" w:rsidP="0026452D">
      <w:pPr>
        <w:pStyle w:val="TextoNormal"/>
      </w:pPr>
      <w:r>
        <w:t>No es ésta una objeción que este Tribunal pueda hacer suya. Como ya ha se ha hecho constar y ahora se reitera, el objeto del presente conflicto positivo de competencia reside en dilucidar si la resolución de 17 de octubre de 2005, de la Secretaria General para la Administración Pública, que ordena la publicación del IV Acuerdo de formación continua en las Administraciones públicas, ha vulnerado o no la distribución de competencias en materia de gestión de la formación continua del personal, funcionario y laboral, que presta servicios en las Administraciones locales ubicadas en el territorio de la Comunidad de Cataluña. El hecho de que la impugnación se dirija contra esta decisión administrativa o, por expresar la idea con mayor rigor técnico, contra el acuerdo alcanzado entre las Administraciones públicas y las organizaciones sindicales con representación en la comisión general para la formación continua cuya publicación aquella decisión ordena, en lugar de contra las disposiciones ministeriales que concretan el acuerdo mismo, no constituye en modo alguno un argumento que, considerado en abstracto, fundamente el carácter preventivo del presente conflicto competencial. Como regla general, la dimensión cautelar de un conflicto de competencias, tanto del aquí examinado como de cualquier otro, no puede inferirse sin más, y como regla general, de la naturaleza del instrumento jurídico destinado a regular un concreto reparto competencial entre el Estado y las Comunidades Autónomas sobre una singular materia sino, y ello es bien distinto, del contenido de la regulación recaída sobre la materia objeto de tratamiento por dicho instrumento formal.</w:t>
      </w:r>
    </w:p>
    <w:p w:rsidR="0026452D" w:rsidRDefault="0026452D" w:rsidP="0026452D">
      <w:pPr>
        <w:pStyle w:val="TextoNormal"/>
      </w:pPr>
    </w:p>
    <w:p w:rsidR="0026452D" w:rsidRDefault="0026452D" w:rsidP="0026452D">
      <w:pPr>
        <w:pStyle w:val="TextoNormal"/>
      </w:pPr>
      <w:r>
        <w:t xml:space="preserve">Desde luego, a este Tribunal no le compete valorar si la vía elegida para articular el presente conflicto positivo de competencias resulta la más acertada en términos de defensa procesal de las pretensiones competenciales perseguidas; nuestro juicio ha de quedar circunscrito a verificar si la vía finalmente seleccionada logra encauzar o no una verdadera </w:t>
      </w:r>
      <w:r w:rsidRPr="0026452D">
        <w:rPr>
          <w:i/>
        </w:rPr>
        <w:t>vindicatio potestatis</w:t>
      </w:r>
      <w:r>
        <w:t xml:space="preserve">. Y la respuesta al interrogante que se viene de formular es positiva. Al margen, en efecto, de la indeterminación o imprecisión en que incurre el enunciado de algunas de las estipulaciones del IV Acuerdo de formación continua en las Administraciones públicas, la demanda reprocha a casi una docena de cláusulas del referido acuerdo el violentar el marco competencial que corresponde a la Comunidad de Cataluña respecto de la formación continua de los empleados públicos, funcionarios o trabajadores por cuenta ajena, de las Administraciones locales situadas en el territorio de esa comunidad. La verificación de la exactitud o no de esas tachas de inconstitucionalidad es un cometido que no es dable en modo alguno despachar, como sugiere el Abogado del Estado, mediante un juicio global y </w:t>
      </w:r>
      <w:r w:rsidRPr="0026452D">
        <w:rPr>
          <w:i/>
        </w:rPr>
        <w:t>a limine</w:t>
      </w:r>
      <w:r>
        <w:t xml:space="preserve"> sobre una sistemática y generalizada indefinición de las cláusulas del referido </w:t>
      </w:r>
      <w:r>
        <w:lastRenderedPageBreak/>
        <w:t>Acuerdo en orden a la adopción de concretas medidas de reparto competencial entre el Estado y las Comunidades Autónomas sobre la materia aquí discutida. Es ésta, antes al contrario, una tarea que, en el presente proceso constitucional, ha de ser abordada y resuelta a través del análisis concreto y singularizado del contenido de los artículos que, en el decir de la parte recurrente, habrían invadido sus competencias en relación con la formación continua de los mencionados empleados públicos. Tal es y no otro, a la postre, el objetivo perseguido con la presentación de un conflicto de competencia: discutir la titularidad de una competencia y garantizar que su ordenación jurídica permita, a quien efectivamente ostente esa titularidad, su ejercicio pacífico, regular y estable.</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Afirmada pues la existencia de una </w:t>
      </w:r>
      <w:r w:rsidRPr="0026452D">
        <w:rPr>
          <w:i/>
        </w:rPr>
        <w:t>vindicatio potestatis</w:t>
      </w:r>
      <w:r>
        <w:t xml:space="preserve"> en el presente conflicto positivo de competencias y entrando ya en el fondo del asunto, resulta obligado comenzar por señalar, como así lo hace el Abogado de la parte recurrente, que la cuestión sobre la que versa la presente controversia competencial trata sobre el alcance de la potestad subvencional del Estado en materia de formación continua de los empleados públicos al servicio de las Administraciones Públicas.</w:t>
      </w:r>
    </w:p>
    <w:p w:rsidR="0026452D" w:rsidRDefault="0026452D" w:rsidP="0026452D">
      <w:pPr>
        <w:pStyle w:val="TextoNormal"/>
      </w:pPr>
    </w:p>
    <w:p w:rsidR="0026452D" w:rsidRDefault="0026452D" w:rsidP="0026452D">
      <w:pPr>
        <w:pStyle w:val="TextoNormal"/>
      </w:pPr>
      <w:r>
        <w:t xml:space="preserve">En este orden de consideraciones, la Generalitat de Cataluña entiende que la presente controversia queda enmarcada en el art. 149.1, apartados 7 y 18 CE, en relación con los arts. 9.8, 10.1.1 y 11.2 de su Estatuto de Autonomía (EAC), referencias éstas que, tras la reforma llevada a cabo por la Ley Orgánica 6/2006, de 19 de julio, han de entenderse sustituidas por lo dispuesto en los arts. 136 a) y b), 160.1 a) y 170.1 b) EAC, por ser éstas, y no aquellas, las normas que ahora, por aplicación de nuestra consolidada doctrina sobre el </w:t>
      </w:r>
      <w:r w:rsidRPr="0026452D">
        <w:rPr>
          <w:i/>
        </w:rPr>
        <w:t>ius superveniens</w:t>
      </w:r>
      <w:r>
        <w:t>, constituyen el parámetro de control del presente conflicto. Es ésta una aseveración que, además de no ser rebatida por el Abogado del Estado, viene confirmada por la jurisprudencia constitucional, para la que “las acciones formativas que se realicen en el seno de las Administraciones Públicas deberán encuadrarse, desde la perspectiva del orden constitucional de competencias, en la materia bases ... del régimen estatutario de sus funcionarios o legislación laboral, según que la relación de los empleados públicos con la Administración sea de carácter funcionarial, estatutario o laboral” [STC 190/2002, de 17 de octubre, FJ 8 b)]. En la primera de estas materias y por expresar ya la anterior conclusión en relación con el presente proceso constitucional, al Estado le corresponde dictar la normativa básica (art. 149.1.18 CE) y a la Comunidad Autónoma de Cataluña el desarrollo legislativo y la ejecución de dichas bases [arts. 136 a) y c) y 160.1 a) y 2 EAC], mientras que, en la segunda, la competencia normativa compete al Estado (art. 149.1.7 CE) y la de ejecución a la indicada Comunidad Autónoma [art. 170.1 b) EAC].</w:t>
      </w:r>
    </w:p>
    <w:p w:rsidR="0026452D" w:rsidRDefault="0026452D" w:rsidP="0026452D">
      <w:pPr>
        <w:pStyle w:val="TextoNormal"/>
      </w:pPr>
    </w:p>
    <w:p w:rsidR="0026452D" w:rsidRDefault="0026452D" w:rsidP="0026452D">
      <w:pPr>
        <w:pStyle w:val="TextoNormal"/>
      </w:pPr>
      <w:r>
        <w:t xml:space="preserve">En aplicación de la doctrina de este Tribunal relativa al esquema de delimitación competencial entre el Estado y las Comunidades Autónomas en lo que hace al ejercicio de la potestad subvencional de gasto público, en la STC 13/1992, de 6 de febrero, hemos identificado cuatro supuestos generales, señalando que, cuando el Estado tiene competencia sobre las bases o la coordinación general de un sector o materia, correspondiendo a las Comunidades Autónomas las competencias de desarrollo normativo y de ejecución, puede consignar “subvenciones de fomento en sus Presupuestos Generales, especificando su destino y regulando sus condiciones esenciales de otorgamiento hasta donde lo permita su competencia genérica, básica o de coordinación, pero siempre que deje un margen a las Comunidad Autónomas para concretar con mayor detalle la afectación o destino, o, al menos, para desarrollar y complementar la regulación de las condiciones de otorgamiento de las ayudas y su </w:t>
      </w:r>
      <w:r>
        <w:lastRenderedPageBreak/>
        <w:t>tramitación” [FJ 8 b)]. La gestión de estos fondos —hemos añadido en esa misma resolución— compete a “las Comunidades Autónomas, de manera que, por regla general,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[FJ 8 b)]. En los casos en que el Estado tiene atribuida la competencia normativa sobre una materia y la de ejecución la tienen las Comunidades Autónomas, “la única diferencia con el supuesto anterior es que el Estado puede extenderse en la regulación de detalle respecto del destino, condiciones y tramitación de las subvenciones, dejando a salvo la potestad autonómica de autoorganización de los servicios.” [FJ 8 c)].</w:t>
      </w:r>
    </w:p>
    <w:p w:rsidR="0026452D" w:rsidRDefault="0026452D" w:rsidP="0026452D">
      <w:pPr>
        <w:pStyle w:val="TextoNormal"/>
      </w:pPr>
    </w:p>
    <w:p w:rsidR="0026452D" w:rsidRDefault="0026452D" w:rsidP="0026452D">
      <w:pPr>
        <w:pStyle w:val="TextoNormal"/>
      </w:pPr>
      <w:r>
        <w:t>Trasladando las anteriores consideraciones al caso a examen, podemos concluir afirmando que la gestión de las subvenciones relativas a la formación de los empleados públicos de las entidades locales no puede quedar adscrita, como defiende la representación de la Generalitat de Cataluña, en un único supuesto de los mencionados en la STC 13/1992, citada. Dada la diversidad de títulos competenciales, mientras la gestión de las subvenciones de los funcionarios públicos ha de enmarcarse en el supuesto b), la del personal laboral ha de encuadrarse en el supuesto c).</w:t>
      </w:r>
    </w:p>
    <w:p w:rsidR="0026452D" w:rsidRDefault="0026452D" w:rsidP="0026452D">
      <w:pPr>
        <w:pStyle w:val="TextoNormal"/>
      </w:pPr>
    </w:p>
    <w:p w:rsidR="0026452D" w:rsidRDefault="0026452D" w:rsidP="0026452D">
      <w:pPr>
        <w:pStyle w:val="TextoNormal"/>
      </w:pPr>
      <w:r>
        <w:t>En suma, los títulos competenciales aquí concurrentes habilitan al Estado a canalizar una parte de los fondos públicos destinados a la formación continua de los empleados públicos, siempre que tal destino no ponga en cuestión las competencias normativas y de gestión que al respecto ostenta la Comunidad Autónoma, “la cual deberá disponer de los fondos territorializados según criterios objetivos que le corresponden con el fin de aplicarlos a la expresada finalidad” (entre otras, SSTC 190/1992, de 16 de noviembre, FJ 8; 228/2003, de 18 de diciembre, FJ 8; y 111/2012, de 24 de mayo, FJ 7).</w:t>
      </w:r>
    </w:p>
    <w:p w:rsidR="0026452D" w:rsidRDefault="0026452D" w:rsidP="0026452D">
      <w:pPr>
        <w:pStyle w:val="TextoNormal"/>
      </w:pPr>
    </w:p>
    <w:p w:rsidR="0026452D" w:rsidRDefault="0026452D" w:rsidP="0026452D">
      <w:pPr>
        <w:pStyle w:val="TextoNormal"/>
      </w:pPr>
      <w:r>
        <w:t>Al margen de lo razonado, el Abogado del Estado fundamenta la centralización de la gestión de la formación continua de los empleados al servicio de las entidades locales en la doctrina constitucional relativa al carácter bifronte del régimen local, doctrina ésta que, en su decir, comporta que las entidades de esta naturaleza puedan articular relaciones directas tanto con el Estado como con las Comunidades Autónomas. Esta jurisprudencia explicaría y ampararía la eventual opción del IV Acuerdo de formación continua en las Administraciones públicas de sortear la gestión autonómica de las subvenciones de formación continua del personal que presta servicios en las Administraciones Locales, ubicadas en el territorio de la Generalitat de Cataluña o en el de cualquier otra Comunidad Autónoma.</w:t>
      </w:r>
    </w:p>
    <w:p w:rsidR="0026452D" w:rsidRDefault="0026452D" w:rsidP="0026452D">
      <w:pPr>
        <w:pStyle w:val="TextoNormal"/>
      </w:pPr>
    </w:p>
    <w:p w:rsidR="0026452D" w:rsidRDefault="0026452D" w:rsidP="0026452D">
      <w:pPr>
        <w:pStyle w:val="TextoNormal"/>
      </w:pPr>
      <w:r>
        <w:t xml:space="preserve">La tesis que se viene de exponer ha sido descartada de manera rotunda por nuestra jurisprudencia (entre otras, SSTC 84/1982, de 23 de diciembre, FJ 4; 331/1993, de 12 de noviembre, FJ 3; y 159/2011, de 19 de octubre, FJ 7), para la que el carácter bifronte del régimen local es el resultado de la actividad concurrente del Estado y de las Comunidades Autónomas, de modo que, junto a una relación directa Estado-corporaciones locales, existe también una relación entre éstas y las propias Comunidades Autónomas. La tan citada naturaleza bifronte del régimen local permite, pues, a las entidades locales abrir y mantener una relación directa tanto con el Estado como con las Comunidades Autónomas, tal y como, de otro lado, dan buena cuenta los arts. 96 y 98 de la Ley reguladora de las bases de régimen </w:t>
      </w:r>
      <w:r>
        <w:lastRenderedPageBreak/>
        <w:t>local; pero dicha naturaleza no autoriza al Estado a prescindir o marginar, en el ejercicio de sus competencias, de las que pudieran corresponder constitucional y estatutariamente a las Comunidades Autónomas. Y tratándose de la formación continua del personal al servicio de las entidades locales, hemos descartado, en la muy reciente STC 225/2012, de 29 de noviembre, la necesidad de una gestión centralizada o, lo que es igual, hemos afirmado la conformidad constitucional de la gestión descentralizada.</w:t>
      </w:r>
    </w:p>
    <w:p w:rsidR="0026452D" w:rsidRDefault="0026452D" w:rsidP="0026452D">
      <w:pPr>
        <w:pStyle w:val="TextoNormal"/>
      </w:pPr>
    </w:p>
    <w:p w:rsidR="0026452D" w:rsidRDefault="0026452D" w:rsidP="0026452D">
      <w:pPr>
        <w:pStyle w:val="TextoNormal"/>
      </w:pPr>
      <w:r w:rsidRPr="0026452D">
        <w:rPr>
          <w:rStyle w:val="NumeroAFNegritaCaracter"/>
        </w:rPr>
        <w:t>4</w:t>
      </w:r>
      <w:r>
        <w:t>. Argumentado pues que el planteamiento global no impide examinar si resulta posible la territorialización de los fondos y la aplicación de los mismos por las Comunidades Autónomas, resta por verificar si tal obstáculo resulta de los concretos preceptos del IV Acuerdo de formación continua en las Administraciones públicas que la recurrente identifica como manifestaciones de esa invasión competencial.</w:t>
      </w:r>
    </w:p>
    <w:p w:rsidR="0026452D" w:rsidRDefault="0026452D" w:rsidP="0026452D">
      <w:pPr>
        <w:pStyle w:val="TextoNormal"/>
      </w:pPr>
    </w:p>
    <w:p w:rsidR="0026452D" w:rsidRDefault="0026452D" w:rsidP="0026452D">
      <w:pPr>
        <w:pStyle w:val="TextoNormal"/>
      </w:pPr>
      <w:r>
        <w:t>El hilo conductor de las tachas de lesión de la distribución competencial que la Generalitat de Cataluña vierte sobre determinados enunciados de los arts. 14, 16 y 18 del IV Acuerdo de formación continua en las Administraciones públicas reside en la intervención de diferentes comisiones a las que se otorga unas relevantes funciones en la gestión de los planes de formación instados bien por entidades locales radicadas de manera exclusiva en su Comunidad Autónoma bien por federaciones o asociaciones de ámbito territorial autonómico y que agrupan entes de base local, comisiones esas que, al responder a una estructura centralizada, terminarían sustrayendo a la competencia autonómica el desarrollo y la ejecución de los planes de formación y, por consiguiente, de los propios fondos para su financiación. Dada la distinta naturaleza y composición de estas comisiones, un adecuado tratamiento del núcleo básico de la alegada invasión competencial exige un examen desagregado de las mismas.</w:t>
      </w:r>
    </w:p>
    <w:p w:rsidR="0026452D" w:rsidRDefault="0026452D" w:rsidP="0026452D">
      <w:pPr>
        <w:pStyle w:val="TextoNormal"/>
      </w:pPr>
    </w:p>
    <w:p w:rsidR="0026452D" w:rsidRDefault="0026452D" w:rsidP="0026452D">
      <w:pPr>
        <w:pStyle w:val="TextoNormal"/>
      </w:pPr>
      <w:r>
        <w:t xml:space="preserve">En el capítulo de las diversas comisiones reguladas por el IV Acuerdo de formación continua en las Administraciones públicas, a las que este alude genéricamente en distintos pasajes bajo la expresión “comisión de formación continua correspondiente” [por ejemplo, art. 14.1 apartados a), párrafos segundo y tercero, y b)], hemos de prestar una especial atención a la denominada comisión de formación continua de la Administración local (art. 18). Esta comisión asume la práctica totalidad de las funciones sobre la gestión de los diferentes planes de formación destinados a los empleados públicos de entidades locales. En tal sentido y respecto de los planes unitarios, que son los promovidos por una determinada entidad local (Ayuntamiento, Diputación Provincial, Cabildo, Consejo Insular y demás entidades reconocidas en el art. 3 LBRL) con, al menos, 200 empleados públicos (art. 8.4 del IV Acuerdo de formación continua en las Administraciones públicas), a la mencionada comisión corresponde el desempeño de las siguientes cuatro funciones: la intervención con vistas a resolver las discrepancias que se susciten en la negociación del contenido del plan [párrafo segundo, art. 14.1 a) del acuerdo], la negociación en caso de que el plan afecte a personal de dos o más órganos o unidades dentro de la misma entidad local [arts. 14.1 a), tercer párrafo, y 18 d)], la aprobación del propio plan [arts. 14.1 b) y 18 e)] y, en fin, la aprobación de las propuestas de modificación [art. 18 c) IV]. En relación con los planes agrupados, que son los que afectan al personal de dos o más entidades locales que agrupen conjuntamente, al menos a 200 empleados, siendo instados bien por entidades locales bien por federaciones o asociaciones de entes locales de ámbito autonómico, a la referida comisión la compete igualmente la aprobación de la solicitud del plan y de su modificación [art. 18 b) y c), respectivamente] así como, y en todo caso, su negociación [art. 18 d)]. Finalmente, la comisión de formación </w:t>
      </w:r>
      <w:r>
        <w:lastRenderedPageBreak/>
        <w:t xml:space="preserve">continua de la Administración local ahora a examen también tiene conferida la función de negociación y “aprobación inicial” de los planes interadministrativos [arts. 14.4 y 18 b)], entendiendo por tales aquellos promovidos por una federación territorial de entidades locales de ámbito autonómico (art.10, </w:t>
      </w:r>
      <w:r w:rsidRPr="0026452D">
        <w:rPr>
          <w:i/>
        </w:rPr>
        <w:t>in fine</w:t>
      </w:r>
      <w:r>
        <w:t>).</w:t>
      </w:r>
    </w:p>
    <w:p w:rsidR="0026452D" w:rsidRDefault="0026452D" w:rsidP="0026452D">
      <w:pPr>
        <w:pStyle w:val="TextoNormal"/>
      </w:pPr>
    </w:p>
    <w:p w:rsidR="0026452D" w:rsidRDefault="0026452D" w:rsidP="0026452D">
      <w:pPr>
        <w:pStyle w:val="TextoNormal"/>
      </w:pPr>
      <w:r>
        <w:t>A una comisión diferente, la comisión general para la formación continua, se le atribuyen las funciones de la aprobación “definitiva” de los planes interadministrativos, así como de la aprobación de sus modificaciones [arts. 14. 4, párrafo primero, y 18 b) del Acuerdo de formación continua en las Administraciones públicas].</w:t>
      </w:r>
    </w:p>
    <w:p w:rsidR="0026452D" w:rsidRDefault="0026452D" w:rsidP="0026452D">
      <w:pPr>
        <w:pStyle w:val="TextoNormal"/>
      </w:pPr>
    </w:p>
    <w:p w:rsidR="0026452D" w:rsidRDefault="0026452D" w:rsidP="0026452D">
      <w:pPr>
        <w:pStyle w:val="TextoNormal"/>
      </w:pPr>
      <w:r>
        <w:t>Por otra parte, el IV Acuerdo de formación continua en las Administraciones públicas, al referirse a la estructura y composición de la comisión de formación continua de la Administración local, la incardina en el marco de la Federación Española de Municipios y Provincias (art. 18, párrafo cuarto). El encuadramiento de esta concreta comisión en una institución de ámbito estatal ofrece ya un juicio definitivo sobre el criterio rector de la gestión de los planes de formación continua del personal de los entes locales y que no es otro que su carácter centralizado. Las diversas funciones de gestión y resolución sobre los planes unitarios, agrupados e interadministrativos, promovidos bien por entes locales simples bien por organizaciones de representación de entidades locales de estructura compleja, pero en todo caso enclavados en el territorio de una concreta Comunidad Autónoma, responde, en una interpretación meramente institucional de la terminología utilizada por el acuerdo enjuiciado, a un principio centralizado o, al menos, a un criterio en el que no se percibe o visibiliza la atribución a las Comunidades Autónomas, en general, y a Cataluña, en particular, de unos espacios funcionales en los que poder ejercer sus competencias de ejecución de los planes de formación continua del personal al servicio de las Administraciones locales y, por tanto y también, de las subvenciones por el Estado para su financiación.</w:t>
      </w:r>
    </w:p>
    <w:p w:rsidR="0026452D" w:rsidRDefault="0026452D" w:rsidP="0026452D">
      <w:pPr>
        <w:pStyle w:val="TextoNormal"/>
      </w:pPr>
    </w:p>
    <w:p w:rsidR="0026452D" w:rsidRDefault="0026452D" w:rsidP="0026452D">
      <w:pPr>
        <w:pStyle w:val="TextoNormal"/>
      </w:pPr>
      <w:r>
        <w:t>La ordenación competencial que lleva a cabo el IV Acuerdo de formación continua en las Administraciones públicas en relación con las funciones de gestión más relevantes de los tres tipos de planes de formación para el empleo promovidos por diferentes entidades o instituciones locales de ámbito estrictamente autonómico y destinados a empleados, funcionarios o personal laboral, que prestan su servicio en ellas no respeta el régimen competencial establecido en el bloque de la constitucionalidad, tal y como el mismo ha sido interpretado por este Tribunal, al que ya se hizo referencia con anterioridad. En efecto y en el caso a examen, la atribución a la tan mencionada Comisión de Formación Continua de la Administración Local de las indicadas competencias en relación con la gestión de planes de formación promovidos de manera exclusiva por entidades locales o por federaciones o asociaciones de entes locales de ámbito estrictamente catalán no es constitucionalmente conforme a la distribución de competencias prevista en el art. 149.1, reglas 7 y 18, en relación con los arts. 136 a) y b), 160.1 a) y 2 y 170 1 b) EAC. Y ello, en razón de que el IV Acuerdo de formación continua en las Administraciones públicas no permite a la Comunidad Autónoma de Cataluña disponer de una capacidad real y efectiva para la aprobación de los planes de formación continua del personal al servicio de las entidades locales de su territorio y, en correspondencia con ello, para la gestión de los fondos destinados a su financiación.</w:t>
      </w:r>
    </w:p>
    <w:p w:rsidR="0026452D" w:rsidRDefault="0026452D" w:rsidP="0026452D">
      <w:pPr>
        <w:pStyle w:val="TextoNormal"/>
      </w:pPr>
    </w:p>
    <w:p w:rsidR="0026452D" w:rsidRDefault="0026452D" w:rsidP="0026452D">
      <w:pPr>
        <w:pStyle w:val="TextoNormal"/>
      </w:pPr>
      <w:r>
        <w:t xml:space="preserve">En consecuencia con lo razonado, ha de declararse que las funciones establecidas en los arts. 14.1 [apartados a), párrafos segundo y tercero, y b)], 14.3, 14.4, en las referencias a la comisión de formación continua de la Administración local, y 18 b), c), d) y e) del Acuerdo </w:t>
      </w:r>
      <w:r>
        <w:lastRenderedPageBreak/>
        <w:t>para la formación continua de la Administración pública de 21 de septiembre de 2005, cuya publicación en el “Boletín Oficial del Estado” fue ordenada por resolución de 17 de octubre de ese mismo año de la Secretaría General para las Administraciones Públicas, a favor de la comisión de formación continua de la Administración local, constituida en el marco de la Federación Española de Municipios y Provincias, invaden la competencia que el bloque de constitucionalidad confiere a la Generalitat de Cataluña en materia de formación continua de empleados públicos de las entidades locales de su territorio, a la que, por tanto, corresponde ejercer dichas funciones a través del órgano al que se encomiende su ejercicio.</w:t>
      </w:r>
    </w:p>
    <w:p w:rsidR="0026452D" w:rsidRDefault="0026452D" w:rsidP="0026452D">
      <w:pPr>
        <w:pStyle w:val="TextoNormal"/>
      </w:pPr>
    </w:p>
    <w:p w:rsidR="0026452D" w:rsidRDefault="0026452D" w:rsidP="0026452D">
      <w:pPr>
        <w:pStyle w:val="TextoNormal"/>
      </w:pPr>
      <w:r w:rsidRPr="0026452D">
        <w:rPr>
          <w:rStyle w:val="NumeroAFNegritaCaracter"/>
        </w:rPr>
        <w:t>5</w:t>
      </w:r>
      <w:r>
        <w:t>. El juicio sobre la conformidad constitucional de las competencias conferidas por el IV Acuerdo de formación continua en las Administraciones públicas a la comisión general de formación continua ha de acometerse con criterios de diversidad mediante un examen diferenciado y singularizado de las diferentes funciones a las que la parte recurrente reprocha la vulneración del reparto competencial en materia de formación de los empleados públicos al servicio de la Administración local. Por lo pronto, la mayor parte de los cometidos encomendados a esta Comisión por el art. 16 del IV Acuerdo de formación continua en las Administraciones públicas y que el Abogado de la Generalitat de Cataluña objeta en atención a esa vulneración son fundamentalmente de dirección y coordinación de los planes de formación y de aplicación de los criterios sobre distribución de los fondos disponibles, enmarcándose así en el ámbito de la planificación general enderezada, de un lado, a garantizar la objetividad e igualdad en el reparto de dichos fondos y, de otro, a asegurar la debida cooperación y colaboración entre las diversas Administraciones públicas; la estatal, las autonómicas y la local. Es esta la naturaleza a la que responden las funciones consistentes en la fijación de “criterios” y en la toma de acuerdos “en relación con la distribución, aplicación y gestión de los fondos disponibles para la financiación de las acciones de formación” [art. 16 b) 4], en la elaboración de propuestas sobre “convocatoria de ayudas” [art. 16 b) 5], y, en fin, en la adopción “de las medidas necesarias para la acreditación y certificación de la formación para el Empleo de las Administraciones Públicas” [art. 16 b) 7]. Adicionalmente y en dicha comisión, hay un representante de la Comunidad Autónoma promotora del conflicto [art. 17 b) del IV Acuerdo de formación continua en las Administraciones públicas], lo que asegura a ésta no solo la posibilidad de emitir opiniones o pareceres sobre los temas de competencia de la comisión sino que, adicionalmente, también la permite incidir en los procesos de decisión. Por todo ello, ha de concluirse afirmando que las anteriores funciones atribuidas por el art. 16 del tan citado acuerdo no vulneran las competencias autonómicas de ejecución en la materia controvertida.</w:t>
      </w:r>
    </w:p>
    <w:p w:rsidR="0026452D" w:rsidRDefault="0026452D" w:rsidP="0026452D">
      <w:pPr>
        <w:pStyle w:val="TextoNormal"/>
      </w:pPr>
    </w:p>
    <w:p w:rsidR="0026452D" w:rsidRDefault="0026452D" w:rsidP="0026452D">
      <w:pPr>
        <w:pStyle w:val="TextoNormal"/>
      </w:pPr>
      <w:r>
        <w:t>Diferente es la valoración referida a las funciones enunciadas en los arts. 16 b) 6, 9 y 17 del IV Acuerdo de formación continua en las Administraciones públicas, a tenor de los cuales corresponde a la mencionada comisión general, como ya fue anticipado, la aprobación “definitiva” así como las solicitudes de modificación de los planes interadministrativos promovidos por “federaciones territoriales destinados a formar empleados públicos de distintas entidades locales pertenecientes” a un ámbito territorial autonómico, así como el seguimiento y control de los mismos y la resolución de las discrepancias surgidas en la negociación que no hayan sido superadas en el seno de la comisión correspondiente.</w:t>
      </w:r>
    </w:p>
    <w:p w:rsidR="0026452D" w:rsidRDefault="0026452D" w:rsidP="0026452D">
      <w:pPr>
        <w:pStyle w:val="TextoNormal"/>
      </w:pPr>
    </w:p>
    <w:p w:rsidR="0026452D" w:rsidRDefault="0026452D" w:rsidP="0026452D">
      <w:pPr>
        <w:pStyle w:val="TextoNormal"/>
      </w:pPr>
      <w:r>
        <w:t xml:space="preserve">No son estas unas funciones que puedan encuadrarse en el ámbito de la coordinación o colaboración entre las diferentes Administraciones públicas. Y no lo son, como ya se ha </w:t>
      </w:r>
      <w:r>
        <w:lastRenderedPageBreak/>
        <w:t>razonado, por cuanto de las dos posibles relaciones que pueden entablar las entidades locales, con el Estado y con la Comunidad Autónoma de adscripción territorial, es ésta segunda la que tiene atribuida la competencia, según hemos ya determinado en la STC 225/2012, antes citada. La atribución de las competencias para aprobar unos planes de formación gestados por entidades locales o por federaciones o asociaciones de entidades locales con ámbito autonómico, para realizar su seguimiento y control, función típicamente ejecutiva conectada con la anterior [STC 244/2012, de 18 de diciembre, FJ 8 c)] o para resolver las discrepancias que surjan en su negociación a un órgano como la comisión general de formación continua, en el que se sientan representantes del Estado, de todas y cada una de las Comunidades Autónomas y ciudades autónomas así como de la Administración local, designados éstos por la Federación Española de Municipios y Provincias, que es una entidad de ámbito típicamente estatal, instala la gestión de los planes a examen en un escenario por completo alejado de su ámbito competencial natural: el autonómico.</w:t>
      </w:r>
    </w:p>
    <w:p w:rsidR="0026452D" w:rsidRDefault="0026452D" w:rsidP="0026452D">
      <w:pPr>
        <w:pStyle w:val="TextoNormal"/>
      </w:pPr>
    </w:p>
    <w:p w:rsidR="0026452D" w:rsidRDefault="0026452D" w:rsidP="0026452D">
      <w:pPr>
        <w:pStyle w:val="TextoNormal"/>
      </w:pPr>
      <w:r>
        <w:t>Por lo razonado, hemos de declarar que las funciones conferidas a la comisión general para la formación continua en relación con la aprobación de la solicitud y modificación de los planes interadministrativos, con su seguimiento y control¸ y con la resolución de las discrepancias que surjan en su negociación, no son constitucionalmente conformes a la distribución de competencias prevista en el art. 149.1, reglas 7 y 18 CE, en relación con los arts. 136 a) y b), 160.1 a) y 2 y 170 1 b) EAC.</w:t>
      </w:r>
    </w:p>
    <w:p w:rsidR="0026452D" w:rsidRDefault="0026452D" w:rsidP="0026452D">
      <w:pPr>
        <w:pStyle w:val="TextoNormal"/>
      </w:pPr>
    </w:p>
    <w:p w:rsidR="0026452D" w:rsidRDefault="0026452D" w:rsidP="0026452D">
      <w:pPr>
        <w:pStyle w:val="TextoNormal"/>
      </w:pPr>
      <w:r w:rsidRPr="0026452D">
        <w:rPr>
          <w:rStyle w:val="NumeroAFNegritaCaracter"/>
        </w:rPr>
        <w:t>6</w:t>
      </w:r>
      <w:r>
        <w:t>. El presente conflicto adiciona, al listado de cláusulas del IV Acuerdo de formación continua en las Administraciones públicas presuntamente invasoras de su competencia en materia de formación continua del personal de las entidades locales radicadas en el ámbito territorial de la Comunidad Autónoma de Cataluña, el art. 19, que asigna al INAP, en su condición de órgano de apoyo a la comisión general para la formación continua, el desarrollo de “aquellas funciones que determine la Orden Ministerial por la que se establecen las bases reguladoras para el desarrollo de planes de formación continua, que en todo caso garantizará las competencias que le son propias a las Comunidades y Ciudades autónomas en la materia”.</w:t>
      </w:r>
    </w:p>
    <w:p w:rsidR="0026452D" w:rsidRDefault="0026452D" w:rsidP="0026452D">
      <w:pPr>
        <w:pStyle w:val="TextoNormal"/>
      </w:pPr>
    </w:p>
    <w:p w:rsidR="0026452D" w:rsidRDefault="0026452D" w:rsidP="0026452D">
      <w:pPr>
        <w:pStyle w:val="TextoNormal"/>
      </w:pPr>
      <w:r>
        <w:t>De la simple lectura de la cláusula transcrita puede convenirse que la tacha de lesión del reparto competencial efectuado al art. 19 tiene, como razonara el Abogado del Estado, bien que de forma genérica referida al conflicto en su conjunto, un carácter manifiestamente preventivo. Este precepto, en efecto, entra en la categoría de las normas de remisión vacías de todo contenido sustantivo y de las que no es posible deducir regla jurídica alguna, sea cual fuere su naturaleza. O por mejor formular la idea, la única regla jurídica enunciada con precisión actúa, precisamente, como garantía de un adecuado reparto competencial en la materia.</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Antes de pronunciar nuestro fallo, debemos de concretar el alcance de la vulneración de competencias en que incurre la resolución objeto del presente conflicto. Bajo la vigencia del IV Acuerdo de formación continua en las Administraciones públicas se han podido producir situaciones jurídicas consolidadas, que podrían verse menoscabadas por el juicio de constitucionalidad contenido en el presente conflicto positivo de competencias. Siguiendo una muy consolidada doctrina de este Tribunal (por todas, 36/2012, de 15 de marzo, FJ 12), la afectación de situaciones ya consolidadas se evita mediante la mera declaración de la </w:t>
      </w:r>
      <w:r>
        <w:lastRenderedPageBreak/>
        <w:t>titularidad de la competencia en disputa. Por tanto, la pretensión del Gobierno de la Generalitat de Cataluña ha de estimarse satisfecha mediante el reconocimiento de su titularidad en la materia objeto de este conflicto, en los términos que se han venido razonando en los fundamentos jurídicos 4, 5, y 6, los cuales quedan concretados en el siguiente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Declarar que corresponde a la Generalitat de Cataluña, a través del órgano competente y respecto de los planes de formación continua a los que se refiere el presente proceso constitucional, ejercer las funciones que, de un lado, los arts. 14.1 [apartados a), párrafos segundo y tercero, y b)], 14.3, 14.4 y 18 b), c), d) y e) del IV Acuerdo de formación continua en las Administraciones públicas atribuyen a la comisión de formación continua de la Administración local, constituida en el marco de la Federación Española de Municipios y Provincias, y, de otro, los arts. 16 b) 6, 16 b) 9 y 16 b) 17 de este mismo acuerdo confieren a la comisión general para la formación continua, en los términos de los razonamientos contenidos en los fundamentos jurídicos 4 y 5.</w:t>
      </w:r>
    </w:p>
    <w:p w:rsidR="0026452D" w:rsidRDefault="0026452D" w:rsidP="0026452D">
      <w:pPr>
        <w:pStyle w:val="TextoNormal"/>
      </w:pPr>
    </w:p>
    <w:p w:rsidR="0026452D" w:rsidRDefault="0026452D" w:rsidP="0026452D">
      <w:pPr>
        <w:pStyle w:val="TextoNormal"/>
      </w:pPr>
      <w:r>
        <w:t>2º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diecisiete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1" w:name="SENTENCIA_2013_8"/>
      <w:r>
        <w:lastRenderedPageBreak/>
        <w:t>SENTENCIA 8/2013, de 17 de enero de 2013</w:t>
      </w:r>
    </w:p>
    <w:bookmarkEnd w:id="11"/>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37, de 12 de febrero de 2013)</w:t>
      </w:r>
    </w:p>
    <w:p w:rsidR="0026452D" w:rsidRDefault="0026452D" w:rsidP="0026452D">
      <w:pPr>
        <w:pStyle w:val="TtuloBOE"/>
      </w:pPr>
    </w:p>
    <w:p w:rsidR="0026452D" w:rsidRDefault="0026452D" w:rsidP="0026452D">
      <w:pPr>
        <w:pStyle w:val="SntesisDescriptiva"/>
      </w:pPr>
      <w:r>
        <w:t>ECLI:ES:TC:2013:8</w:t>
      </w:r>
    </w:p>
    <w:p w:rsidR="0026452D" w:rsidRDefault="0026452D" w:rsidP="0026452D">
      <w:pPr>
        <w:pStyle w:val="SntesisDescriptiva"/>
      </w:pPr>
    </w:p>
    <w:p w:rsidR="0026452D" w:rsidRDefault="0026452D" w:rsidP="0026452D">
      <w:pPr>
        <w:pStyle w:val="SntesisDescriptiva"/>
      </w:pPr>
      <w:r>
        <w:t>Recurso de inconstitucionalidad 2586-2008. Interpuesto por el Gobierno de Canarias frente al artículo único apartado uno de la Ley 12/2007, de 2 de julio, por la que se modifica la Ley 34/1998, de 7 de octubre, del sector de hidrocarburos, con el fin de adaptarla a lo dispuesto en la Directiva 2003/55/CE del Parlamento Europeo y del Consejo, de 26 de junio de 2003, sobre normas comunes para el mercado interior del gas natural.</w:t>
      </w:r>
    </w:p>
    <w:p w:rsidR="0026452D" w:rsidRDefault="0026452D" w:rsidP="0026452D">
      <w:pPr>
        <w:pStyle w:val="SntesisDescriptiva"/>
      </w:pPr>
    </w:p>
    <w:p w:rsidR="0026452D" w:rsidRDefault="0026452D" w:rsidP="0026452D">
      <w:pPr>
        <w:pStyle w:val="SntesisAnaltica"/>
      </w:pPr>
      <w:r>
        <w:t>Competencias sobre ordenación general de la economía y régimen energético: constitucionalidad del precepto legal que atribuye a la Administración del Estado la competencia para otorgar las autorizaciones de exploración y permisos de investigación que afecten al subsuelo marino.</w:t>
      </w:r>
    </w:p>
    <w:p w:rsidR="0026452D" w:rsidRDefault="0026452D" w:rsidP="0026452D">
      <w:pPr>
        <w:pStyle w:val="SntesisAnaltica"/>
      </w:pPr>
    </w:p>
    <w:p w:rsidR="0026452D" w:rsidRDefault="0026452D" w:rsidP="0026452D">
      <w:pPr>
        <w:pStyle w:val="Extracto"/>
      </w:pPr>
      <w:r>
        <w:t>1.</w:t>
      </w:r>
      <w:r>
        <w:tab/>
        <w:t>Corresponde al Estado la competencia para otorgar autorizaciones de exploración y permisos de investigación que afectan conjuntamente a la zona terrestre y al subsuelo marino, que no forma parte del territorio de la Comunidad Autónoma, razón por la cual el supuesto contenido en el artículo impugnado resulta adecuado al reparto constitucional de competencias y por tanto constitucional [FJ 9].</w:t>
      </w:r>
    </w:p>
    <w:p w:rsidR="0026452D" w:rsidRDefault="0026452D" w:rsidP="0026452D">
      <w:pPr>
        <w:pStyle w:val="Extracto"/>
      </w:pPr>
    </w:p>
    <w:p w:rsidR="0026452D" w:rsidRDefault="0026452D" w:rsidP="0026452D">
      <w:pPr>
        <w:pStyle w:val="Extracto"/>
      </w:pPr>
      <w:r>
        <w:t>2.</w:t>
      </w:r>
      <w:r>
        <w:tab/>
        <w:t>El territorio se configura como un elemento definidor de las competencias de cada Comunidad Autónoma en su relación con las demás Comunidades Autónomas y con el Estado y permite localizar la titularidad de la correspondiente competencia, aunque ello no impide que el ejercicio de las competencias de una Comunidad Autónoma pueda tener repercusiones de hecho fuera de la misma (STC 38/2002) [FJ 5].</w:t>
      </w:r>
    </w:p>
    <w:p w:rsidR="0026452D" w:rsidRDefault="0026452D" w:rsidP="0026452D">
      <w:pPr>
        <w:pStyle w:val="Extracto"/>
      </w:pPr>
    </w:p>
    <w:p w:rsidR="0026452D" w:rsidRDefault="0026452D" w:rsidP="0026452D">
      <w:pPr>
        <w:pStyle w:val="Extracto"/>
      </w:pPr>
      <w:r>
        <w:t>3.</w:t>
      </w:r>
      <w:r>
        <w:tab/>
        <w:t>Dado que el mar no forma parte del territorio de las Comunidades Autónomas, solo excepcionalmente pueden llegar a ejercerse competencias autonómicas sobre el mar territorial cuando exista un explícito reconocimiento estatutario o cuando, a falta del mismo, ello derive de la naturaleza de la competencia que resulta del bloque de la constitucionalidad, como sería el caso de la acuicultura, la ordenación del sector pesquero y el marisqueo (SSTC 158/1986, 31/2010) [FJ 5].</w:t>
      </w:r>
    </w:p>
    <w:p w:rsidR="0026452D" w:rsidRDefault="0026452D" w:rsidP="0026452D">
      <w:pPr>
        <w:pStyle w:val="Extracto"/>
      </w:pPr>
    </w:p>
    <w:p w:rsidR="0026452D" w:rsidRDefault="0026452D" w:rsidP="0026452D">
      <w:pPr>
        <w:pStyle w:val="Extracto"/>
      </w:pPr>
      <w:r>
        <w:t>4.</w:t>
      </w:r>
      <w:r>
        <w:tab/>
        <w:t>Ni la definición del territorio autonómico establecida en el Estatuto de Autonomía de Canarias, que viene dada por las islas sin que se incluya una referencia explícita al mar que las rodea, ni el significado común del término archipiélago ni su utilización por la Convención de Naciones Unidas sobre Derecho del Mar, concepto propio del Derecho internacional absolutamente ajeno al ámbito de distribución de competencias entre el Estado y las Comunidades Autónomas, permite justificar en modo alguno la extensión del territorio autonómico al mar territorial [FFJJ 6, 7].</w:t>
      </w:r>
    </w:p>
    <w:p w:rsidR="0026452D" w:rsidRDefault="0026452D" w:rsidP="0026452D">
      <w:pPr>
        <w:pStyle w:val="Extracto"/>
      </w:pPr>
    </w:p>
    <w:p w:rsidR="0026452D" w:rsidRDefault="0026452D" w:rsidP="0026452D">
      <w:pPr>
        <w:pStyle w:val="Extracto"/>
      </w:pPr>
      <w:r>
        <w:lastRenderedPageBreak/>
        <w:t>5.</w:t>
      </w:r>
      <w:r>
        <w:tab/>
        <w:t>La única interpretación posible de la cláusula de reserva de competencias al Estado sobre las aguas jurisdiccionales contenida en el art. 40.1 EACan es que se trata de una cláusula de salvaguardia de las competencias estatales, debida a la asunción estatutaria de competencias sectoriales, que pueden tener efectos extraterritoriales sobre aguas interiores y mar [FJ 7].</w:t>
      </w:r>
    </w:p>
    <w:p w:rsidR="0026452D" w:rsidRDefault="0026452D" w:rsidP="0026452D">
      <w:pPr>
        <w:pStyle w:val="Extracto"/>
      </w:pPr>
    </w:p>
    <w:p w:rsidR="0026452D" w:rsidRDefault="0026452D" w:rsidP="0026452D">
      <w:pPr>
        <w:pStyle w:val="Extracto"/>
      </w:pPr>
      <w:r>
        <w:t>6.</w:t>
      </w:r>
      <w:r>
        <w:tab/>
        <w:t>Corresponde al Estado, con carácter general, la competencia para regular la ordenación del sector energético y, dentro de éste, el subsector gasístico, mediante la aprobación de la legislación básica, y a las Comunidades Autónomas las competencias de desarrollo normativo y ejecutiva, respetando las bases establecidas por el Estado (STC 135/2012) [FJ 3].</w:t>
      </w:r>
    </w:p>
    <w:p w:rsidR="0026452D" w:rsidRDefault="0026452D" w:rsidP="0026452D">
      <w:pPr>
        <w:pStyle w:val="Extracto"/>
      </w:pPr>
    </w:p>
    <w:p w:rsidR="0026452D" w:rsidRDefault="0026452D" w:rsidP="0026452D">
      <w:pPr>
        <w:pStyle w:val="Extracto"/>
      </w:pPr>
      <w:r>
        <w:t>7.</w:t>
      </w:r>
      <w:r>
        <w:tab/>
        <w:t>Los debates parlamentarios pueden servir de auxilio para desentrañar el alcance y sentido de las disposiciones constitucionales y de las integrantes del bloque de la constitucionalidad (STC 68/1996) [FJ 8].</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2586-2008, interpuesto por el Gobierno de Canarias contra el artículo único apartado uno de la Ley 12/2007, de 2 de julio, por la que se modifica la Ley 34/1998, de 7 de octubre, del sector de hidrocarburos, con el fin de adaptarla a lo dispuesto en la Directiva 2003/55/CE del Parlamento Europeo y del Consejo, de 26 de junio de 2003, sobre normas comunes para el mercado interior del gas natural, en cuya virtud se modifica el apartado b) del art. 3.2 de la ley mencionada. Ha intervenido el Abogado del Estado. Ha sido Ponente la Magistrada doña Encarnación Roca Trías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Con fecha 2 de abril de 2008 tuvo entrada en este Tribunal escrito de la Directora General del servicio jurídico del Gobierno de Canarias, actuando en nombre y representación del Gobierno autonómico, por medio del cual se interponía recurso de inconstitucionalidad contra el apartado uno del artículo único de la Ley 12/2007, de 2 de julio, por la que </w:t>
      </w:r>
      <w:r>
        <w:lastRenderedPageBreak/>
        <w:t>se modifica la Ley 34/1998, de 7 de octubre, del sector de hidrocarburos, con el fin de adaptarla a lo dispuesto en la Directiva 2003/55/CE del Parlamento Europeo y del Consejo, de 26 de junio de 2003, sobre normas comunes para el mercado interior del gas natural, en cuya virtud se modifica el artículo 3.2 b) de la ley mencionada.</w:t>
      </w:r>
    </w:p>
    <w:p w:rsidR="0026452D" w:rsidRDefault="0026452D" w:rsidP="0026452D">
      <w:pPr>
        <w:pStyle w:val="TextoNormal"/>
      </w:pPr>
    </w:p>
    <w:p w:rsidR="0026452D" w:rsidRDefault="0026452D" w:rsidP="0026452D">
      <w:pPr>
        <w:pStyle w:val="TextoNormal"/>
      </w:pPr>
      <w:r w:rsidRPr="0026452D">
        <w:rPr>
          <w:rStyle w:val="NumeroAFNegritaCaracter"/>
        </w:rPr>
        <w:t>2</w:t>
      </w:r>
      <w:r>
        <w:t>. Tras indicar que una vez finalizadas las negociaciones en el seno de la Comisión Bilateral de Cooperación Administración del Estado-Comunidad Autónoma de Canarias, subsiste la discrepancia sobre el art. 3.2.b) de la Ley 43/1998, en los términos en que ha sido redactado por el art. único de la Ley 12/2007, la demanda pasa a exponer los fundamentos en que se basa el recurso. Entiende que los títulos aplicables son, para el Estado, los contenidos en el art. 149.1.13 y 25 CE y para la Comunidad Autónoma en los arts. 30.26, 31.4 y 32.9 del Estatuto de Autonomía en la redacción que le da la Ley Orgánica 4/1996, de 30 de diciembre, y aunque no niega la competencia estatal para dictar la legislación básica en materia de régimen minero y energético, considera que el Estado debe tener en cuenta la insularidad de la Comunidad Autónoma. En concreto, entiende la representación letrada del Gobierno de Canarias que el otorgamiento de autorizaciones de explotación y permisos de investigación en los términos que contempla el artículo impugnado es, por su propia naturaleza, una competencia ejecutiva que corresponde a la Comunidad Autónoma, pues la atribución al Estado no encuentra cobertura ni en la legislación básica en materia de régimen energético y minero, ni en la titularidad del Estado sobre el dominio público marítimo terrestre, ni, finalmente, en la exclusión del subsuelo marino del territorio de la Comunidad Autónoma de Canarias.</w:t>
      </w:r>
    </w:p>
    <w:p w:rsidR="0026452D" w:rsidRDefault="0026452D" w:rsidP="0026452D">
      <w:pPr>
        <w:pStyle w:val="TextoNormal"/>
      </w:pPr>
    </w:p>
    <w:p w:rsidR="0026452D" w:rsidRDefault="0026452D" w:rsidP="0026452D">
      <w:pPr>
        <w:pStyle w:val="TextoNormal"/>
      </w:pPr>
      <w:r>
        <w:t>En cuanto a la legislación básica en materia de régimen minero y energético alega que, de acuerdo con la doctrina constitucional, sólo puede extenderse a actos de ejecución cuando resulten complemento necesario para garantizar la consecución de la finalidad objetiva a la que responde la competencia estatal sobre las bases, siendo así que en este caso no existe tal necesidad, como se deduce de la lectura de la exposición de motivos de la ley y de la atribución por la ley estatal a las Comunidades Autónomas de esa concreta competencia ejecutiva cuando haya de ejercerse en su ámbito territorial [art. 3.3 c)]. Entiende por otra parte que el art. 32.9 del Estatuto de Autonomía de Canarias (EACan), al aludir a las singulares condiciones del régimen minero, está incidiendo en la extensión extraterritorial de las competencias autonómicas.</w:t>
      </w:r>
    </w:p>
    <w:p w:rsidR="0026452D" w:rsidRDefault="0026452D" w:rsidP="0026452D">
      <w:pPr>
        <w:pStyle w:val="TextoNormal"/>
      </w:pPr>
    </w:p>
    <w:p w:rsidR="0026452D" w:rsidRDefault="0026452D" w:rsidP="0026452D">
      <w:pPr>
        <w:pStyle w:val="TextoNormal"/>
      </w:pPr>
      <w:r>
        <w:t>Tampoco la titularidad del dominio público marítimo legitima la atribución al Estado de esta competencia ejecutiva, por cuanto ésta no es criterio de atribución competencial (STC 149/1991, de 4 de julio), sino el “soporte topográfico” de determinadas competencias del Estado y la Comunidad Autónoma, cuya delimitación exacta depende del concurso efectivo de otros intereses y competencias distintas. El Estado, como dueño, puede limitar el ejercicio de la competencia autonómica, en este caso en materia de minas y energía, impidiendo que se proyecte en un punto concreto, pero sólo cuando exista peligro de lesión o perjuicio del demanio.</w:t>
      </w:r>
    </w:p>
    <w:p w:rsidR="0026452D" w:rsidRDefault="0026452D" w:rsidP="0026452D">
      <w:pPr>
        <w:pStyle w:val="TextoNormal"/>
      </w:pPr>
    </w:p>
    <w:p w:rsidR="0026452D" w:rsidRDefault="0026452D" w:rsidP="0026452D">
      <w:pPr>
        <w:pStyle w:val="TextoNormal"/>
      </w:pPr>
      <w:r>
        <w:t>Considera finalmente, en lo que resulta la parte esencial de su argumentación, que el Estado no puede asumir esa competencia basándose en que el subsuelo marino no forma parte del territorio de la Comunidad Autónoma recurrente, cuestión sobre la que considera que no se ha pronunciado la doctrina constitucional pues, si bien admite que algunas Sen</w:t>
      </w:r>
      <w:r>
        <w:lastRenderedPageBreak/>
        <w:t>tencias de este Tribunal han abordado la cuestión, nunca se la han planteado de forma directa, habida cuenta de que las partes asumían que los espacios marinos no formaban parte de su territorio. Para fundamentar su tesis invoca el término “archipiélago canario” empleado por el art. 2 del Estatuto para delimitar su territorio. Por contraste con otros Estatutos basados en las provincias, la definición del territorio a partir del término archipiélago no excluye ni directa ni indirectamente la porción marina del territorio, pues éste comprende las aguas que lo rodean. Invoca, además, la diferencia de esta definición con la del Estatuto originario de Canarias que solo hacía referencia a los “territorios insulares”, y el contenido de los trabajos parlamentarios que condujeron a la nueva redacción de los arts. 2 y 40 del Estatuto, de los cuales se derivaría que se estaba reconociendo que las aguas marítimas formaban parte del territorio de la Comunidad Autónoma y que si se suprimió la referencia expresa a la competencia autonómica sobre las aguas, que figuraba en los textos preliminares, no fue porque se quisiera excluirlas del territorio, sino porque se entendió que era redundante. Utiliza, a mayor abundamiento, el sentido etimológico del término archipiélago y su definición jurídica tanto en el ordenamiento interno como internacional. En concreto, el art. 46 b) de la Convención de las Naciones Unidas del Derecho del Mar, de 10 de diciembre de 1982, que define el archipiélago como “un grupo de islas, incluidas partes de islas, las aguas que las conectan y otros elementos naturales, que estén tan estrechamente relacionados entre sí que tales islas, aguas y elementos naturales formen una entidad geográfica y política intrínseca o que históricamente hayan sido considerados como tal”. Hace también alusión a la reserva de competencias al Estado sobre las aguas jurisdiccionales españolas que el propio Estatuto realiza en su art. 40.1 y que no tendría sentido si no se entendiese que las demás forman parte del territorio de Canarias.</w:t>
      </w:r>
    </w:p>
    <w:p w:rsidR="0026452D" w:rsidRDefault="0026452D" w:rsidP="0026452D">
      <w:pPr>
        <w:pStyle w:val="TextoNormal"/>
      </w:pPr>
    </w:p>
    <w:p w:rsidR="0026452D" w:rsidRDefault="0026452D" w:rsidP="0026452D">
      <w:pPr>
        <w:pStyle w:val="TextoNormal"/>
      </w:pPr>
      <w:r>
        <w:t>Subsidiariamente a lo anteriormente expuesto, continúa la representación letrada del Gobierno de Canarias alegando que incluso en el caso de que se entendiera que las aguas marinas no forman parte del territorio de la Comunidad de Canarias, ello no excluye que ésta pueda proyectar sobre este espacio sus competencias. En los Estatutos se consagran referencias expresas a las competencias autonómicas sobre el mar (SSTC 158/1986, de 11 de diciembre; 56/1989, de 16 de marzo; 147/1991, de 4 de julio; 44/1992, de 2 de abril; 57/1992, de 9 de abril; 68/1992, de 11 de mayo; 149/1992, de 19 de octubre; 184/1996, de 14 de noviembre; 40/1998, de 19 de febrero; 147/1998, de 2 de julio; 9/2001, de 18 de enero; 103/1989, de 8 de junio; y 38/2002 de 14 de febrero y 40/1998) y junto a ellas existen otras competencias autonómicas respecto de las cuales el Tribunal Constitucional ha admitido su ejercicio cuando así lo demande la naturaleza de la competencia, aunque el título autonómico no incluya referencia expresa a su proyección sobre el mar como es el caso de medio ambiente (SSTC 102/1995, de 26 de junio; 118/1996, de 27 de junio; 28/1997, de 13 de febrero; y 195/1998, de 1 de octubre), o espacios naturales protegidos (SSTC 32/1994, de 31 de enero; 102/1995, de 26 de junio; 195/1998, de 1 de octubre; y 38/2002, de 14 de febrero). En ambos casos, admite el Gobierno canario, el Tribunal Constitucional considera que estamos ante un reconocimiento del alcance extraterritorial de las competencias autonómicas que califica de excepcionales, pero sin profundizar en su concepción del territorio de las Comunidades Autónomas. Sin embargo, en su opinión, si el Estado se organiza territorialmente en municipios, provincias y Comunidades Autónomas, la distribución de competencias se aplica sobre todos los espacios a los que alcanza su soberanía, pues una cosa es delimitar frente a otros Estados los espacios físicos sometidos a la soberanía de cada uno y otra determinar, dentro de esos espacios físicos así delimitados, cuál es el ente público te</w:t>
      </w:r>
      <w:r>
        <w:lastRenderedPageBreak/>
        <w:t>rritorial interno llamado a ejercer cada competencia concreta. En otras palabras, si la delimitación del territorio estatal a partir de sus fronteras comprende espacios marítimos, no cabe fundar en la soberanía estatal la exclusión de estos espacios del territorio autonómico, entendido como el ámbito físico sobre el que las Comunidades Autónomas ejercen sus competencias.</w:t>
      </w:r>
    </w:p>
    <w:p w:rsidR="0026452D" w:rsidRDefault="0026452D" w:rsidP="0026452D">
      <w:pPr>
        <w:pStyle w:val="TextoNormal"/>
      </w:pPr>
    </w:p>
    <w:p w:rsidR="0026452D" w:rsidRDefault="0026452D" w:rsidP="0026452D">
      <w:pPr>
        <w:pStyle w:val="TextoNormal"/>
      </w:pPr>
      <w:r w:rsidRPr="0026452D">
        <w:rPr>
          <w:rStyle w:val="NumeroAFNegritaCaracter"/>
        </w:rPr>
        <w:t>3</w:t>
      </w:r>
      <w:r>
        <w:t>. Mediante providencia del Pleno de 15 de abril de 2008, se admitió a trámite el recurso de inconstitucionalidad promovido por el Gobierno de Canarias, se acordó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que estimasen convenientes, y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4</w:t>
      </w:r>
      <w:r>
        <w:t>. Por escrito registrado en este Tribunal el 30 de abril de 2008, el Presidente del Senado dio traslado de la resolución adoptada el 29 de abril de 2008 por la Mesa de la Cámara por la que se acuerda su personación en el procedimiento y el ofrecimiento de colaboración a los efectos establecidos en el art. 88.1 de la Ley Orgánica del Tribunal Constitucional (LOTC).</w:t>
      </w:r>
    </w:p>
    <w:p w:rsidR="0026452D" w:rsidRDefault="0026452D" w:rsidP="0026452D">
      <w:pPr>
        <w:pStyle w:val="TextoNormal"/>
      </w:pPr>
    </w:p>
    <w:p w:rsidR="0026452D" w:rsidRDefault="0026452D" w:rsidP="0026452D">
      <w:pPr>
        <w:pStyle w:val="TextoNormal"/>
      </w:pPr>
      <w:r w:rsidRPr="0026452D">
        <w:rPr>
          <w:rStyle w:val="NumeroAFNegritaCaracter"/>
        </w:rPr>
        <w:t>5</w:t>
      </w:r>
      <w:r>
        <w:t>. Por escrito que tuvo entrada en este Tribunal el 8 de mayo de 2008, el Presidente del Congreso remitió resolución de la Mesa de esta Cámara, de 29 de abril del mismo año, en la que se acuerda la personación en el proceso constitucional, así como el ofrecimiento de colaboración a los efectos establecidos en el art. 88.1 LOTC.</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El 28 de mayo de 2008, la representación letrada del Gobierno de la Nación presentó sus alegaciones dentro del plazo otorgado al efecto por providencia del Pleno de 24 de abril de 2008 en la que, teniendo por personado al Abogado del Estado, se acordó prorrogar ocho días el plazo para presentar alegaciones. Se opone a la admisión del recurso, porque la ley impugnada no ha modificado la redacción del art. 3.2 b) de la Ley recurrida con respecto a la que tenía originariamente en la Ley 34/1998, del sector hidrocarburos, y que, como ahora, atribuía a la Administración General del Estado la competencia para “otorgar autorizaciones de exploración, permisos de investigación y concesiones de explotación en las zonas del subsuelo marino a las que se refiere el Título II de la presente ley”, y asimismo, “otorgar las autorizaciones de exploración y permisos de investigación cuando su ámbito comprenda a la vez zonas terrestres y del subsuelo marino”. Considera que, conforme a la doctrina constitucional, el transcurso del plazo de interposición del recurso de inconstitucionalidad conlleva la caducidad de la acción, instituto que debe apreciarse, incluso, de oficio por el Tribunal. Debe inadmitirse el recurso de inconstitucionalidad en cuanto que se dirige contra un inciso de un precepto que no ha sido modificado por la Ley 12/2007 y que no fue en su día impugnado. Se trata de una reforma parcial que se ha limitado a reproducir íntegramente el art. 3 de la Ley para facilitar su lectura y comprensión, por lo que carece del efecto modificativo que se tuvo en cuenta en la STC 103/1999, de 3 de junio, para desestimar la causa de inadmisibilidad entonces alegada por el Abogado del Estado. Finalmente, de aceptarse la tesis de que una reforma parcial, que se limita a reproducir preceptos para su mejor comprensión, reabre el plazo de recurso, se estará fomentando que el legislador apruebe textos </w:t>
      </w:r>
      <w:r>
        <w:lastRenderedPageBreak/>
        <w:t>difícilmente inteligibles en los que exclusivamente se recojan las partes de los preceptos o incluso las palabras de una frase para modificarlas.</w:t>
      </w:r>
    </w:p>
    <w:p w:rsidR="0026452D" w:rsidRDefault="0026452D" w:rsidP="0026452D">
      <w:pPr>
        <w:pStyle w:val="TextoNormal"/>
      </w:pPr>
    </w:p>
    <w:p w:rsidR="0026452D" w:rsidRDefault="0026452D" w:rsidP="0026452D">
      <w:pPr>
        <w:pStyle w:val="TextoNormal"/>
      </w:pPr>
      <w:r>
        <w:t>En cuanto al fondo, con carácter preliminar, subraya que la Comunidad recurrente ha admitido que el Estado tiene competencia para otorgar autorizaciones de exploración y permisos de investigación cuando afecten al ámbito territorial de más de una Comunidad Autónoma, dado el alcance supracomunitario de las autorizaciones, razón por la que no impugna el 3.2 a), pero discute esta competencia cuando dichas autorizaciones afectan al subsuelo marino, o zonas terrestres y subsuelo marino conjuntamente, pues faltaría el elemento de la extraterritorialidad que justificaría la intervención estatal. En definitiva, entiende que la cuestión que se plantea en la demanda es la de determinar si el mar territorial forma parte del territorio de esa Comunidad. La demanda parte de la base de que la doctrina constitucional (STC 38/2002, de 14 de febrero) no es aplicable a Canarias, porque el mar territorial forma parte estatutariamente de su territorio e intenta rebatir sus argumentos. Cita la representación letrada del Gobierno del Estado el “Informe sobre las competencias de las distintas administraciones territoriales en materia de protección de hábitats y especies marinas y de declaración y gestión de áreas marinas protegidas”, el 2/2005, de 19 de julio, de la comisión de estudios del Consejo de Estado a cuyas conclusiones se remite.</w:t>
      </w:r>
    </w:p>
    <w:p w:rsidR="0026452D" w:rsidRDefault="0026452D" w:rsidP="0026452D">
      <w:pPr>
        <w:pStyle w:val="TextoNormal"/>
      </w:pPr>
    </w:p>
    <w:p w:rsidR="0026452D" w:rsidRDefault="0026452D" w:rsidP="0026452D">
      <w:pPr>
        <w:pStyle w:val="TextoNormal"/>
      </w:pPr>
      <w:r>
        <w:t>En lo relativo al encuadramiento competencial y extensión de las competencias estatales, invoca los arts. 149.1.13 y 25 CE y niega que el art. 32.9 EACan esté otorgando una mayor extensión territorial a las competencias autonómicas, por cuanto el art. 32.9 EACan alude al “régimen energético y minero ajustado a sus singulares condiciones, en especial a la seguridad en la minería del agua”, lo que nada tiene que ver con el precepto mencionado. Coincide con la demanda en que la titularidad del demanio marítimo terrestre no atribuye competencias, aunque el Abogado del Estado insiste en destacar las facultades ejecutivas que de ella derivan, de acuerdo con lo establecido en la STC 149/1991, de 4 de julio, y que vendrían dadas por (i) la ausencia de un punto de conexión que permita el ejercicio de las competencias autonómicas; (ii) cuando el fenómeno objeto de la competencia tenga carácter supraautonómico y no sea posible el fraccionamiento de la actividad pública ejercida sobre él ni tampoco pueda ejercerse mediante mecanismos de cooperación; (iii) cuando sea necesario recurrir a un ente supraordenado con capacidad de conciliar intereses contrapuestos de sus componentes parciales, y (iv) cuando exista un peligro inminente de daños irreparables.</w:t>
      </w:r>
    </w:p>
    <w:p w:rsidR="0026452D" w:rsidRDefault="0026452D" w:rsidP="0026452D">
      <w:pPr>
        <w:pStyle w:val="TextoNormal"/>
      </w:pPr>
    </w:p>
    <w:p w:rsidR="0026452D" w:rsidRDefault="0026452D" w:rsidP="0026452D">
      <w:pPr>
        <w:pStyle w:val="TextoNormal"/>
      </w:pPr>
      <w:r>
        <w:t>Reproduce, a continuación, la doctrina de este Tribunal, que permitiría descartar que el mar forme parte del territorio autonómico (SSTC 149/1991, de 4 de julio, y 38/2002, de 14 de febrero) y aquella que se pronuncia sobre la distribución de competencias en el mar territorial (SSTC 103/1989, de 8 de junio; 9/2001, de 18 de enero; y 38/2002, de 14 de febrero), de donde concluye que las Comunidades Autónomas solo podrían asumir competencias sobre el mar territorial si existiera una expresa previsión estatutaria o cuando concurrieran circunstancias excepcionales que exigieran el ejercicio extraterritorial de la competencia autonómica, siendo así que cuando ello no ocurre, la competencia es del Estado.</w:t>
      </w:r>
    </w:p>
    <w:p w:rsidR="0026452D" w:rsidRDefault="0026452D" w:rsidP="0026452D">
      <w:pPr>
        <w:pStyle w:val="TextoNormal"/>
      </w:pPr>
    </w:p>
    <w:p w:rsidR="0026452D" w:rsidRDefault="0026452D" w:rsidP="0026452D">
      <w:pPr>
        <w:pStyle w:val="TextoNormal"/>
      </w:pPr>
      <w:r>
        <w:t xml:space="preserve">Tras describir someramente la evolución surgida por el régimen del alta mar para poner de manifiesto su incidencia en el Derecho internacional, expone que, en contra de lo que afirma la demanda, el Tribunal Constitucional se ha pronunciado expresamente sobre esta cuestión y rechaza que de la modificación del Estatuto de Autonomía de Canarias y la introducción del término “archipiélago”, pueda concluirse que el territorio comprende el mar </w:t>
      </w:r>
      <w:r>
        <w:lastRenderedPageBreak/>
        <w:t>territorial. En primer lugar, ello no se desprende del sentido propio de las palabras, ya que cuando el art. 2 EACan define lo que se entiende a efectos estatutarios por “archipiélago canario”, especifica que está integrado por las siete islas, lo que nada añade a la definición del anterior redactado de este artículo, referida “al territorio insular”, que también comprendía las siete islas. En segundo lugar, de la definición del término archipiélago del diccionario de la Real Academia Española, no resulta que el mar adyacente integre el territorio del archipiélago, que es un “conjunto generalmente numeroso de islas agrupadas en una superficie más o menos extensa de mar”.</w:t>
      </w:r>
    </w:p>
    <w:p w:rsidR="0026452D" w:rsidRDefault="0026452D" w:rsidP="0026452D">
      <w:pPr>
        <w:pStyle w:val="TextoNormal"/>
      </w:pPr>
    </w:p>
    <w:p w:rsidR="0026452D" w:rsidRDefault="0026452D" w:rsidP="0026452D">
      <w:pPr>
        <w:pStyle w:val="TextoNormal"/>
      </w:pPr>
      <w:r>
        <w:t>Finalmente, en relación al concepto jurídico de archipiélago que se pretende extraer del Derecho internacional público y, en particular, de la Convención de Naciones Unidas sobre Derecho de Mar de 1982, es obvio que la definición que en él se ofrece es a los efectos del mencionado convenio y, en concreto, para definir el Estado archipielágico como el constituido totalmente por uno o varios archipiélagos y que podrá incluir otras islas. El Estado archipielágico es el que ostenta relevancia en el Derecho internacional público, categoría a la que no responde Canarias. Tal y como señala el informe del Consejo de Estado, en el convenio se rechazó la aspiración de los Estados mixtos de dar a los archipiélagos dependientes de los Estados el mismo trato que a los Estados archipielágicos, por lo que las Islas Canarias no tienen reconocidas las aguas interiores archipielágicas por no constituir un archipiélago-Estado, tal y como señala la STS de 2 de marzo de 2003.</w:t>
      </w:r>
    </w:p>
    <w:p w:rsidR="0026452D" w:rsidRDefault="0026452D" w:rsidP="0026452D">
      <w:pPr>
        <w:pStyle w:val="TextoNormal"/>
      </w:pPr>
    </w:p>
    <w:p w:rsidR="0026452D" w:rsidRDefault="0026452D" w:rsidP="0026452D">
      <w:pPr>
        <w:pStyle w:val="TextoNormal"/>
      </w:pPr>
      <w:r>
        <w:t>A la vista de lo expuesto, la tramitación parlamentaria que, en efecto, puede servir de auxilio para desentrañar el alcance y sentido de las normas, lejos de conducir a la conclusión de la demanda, más bien aboca a la solución contraria, habida cuenta de que el art. 39.2 del texto inicialmente aprobado por el Parlamento canario establecía que “la Comunidad Autónoma de Canarias ejercerá las competencias que le sean propias en aguas de competencia española que rodean las islas” y que dicha expresión se suprimió en el Congreso de los Diputados, sin que a pesar de las enmiendas tramitadas en las Cortes, se aprobara la recuperación de un texto similar al inicial; ello demuestra el rechazo de la mayoría a la citada extensión de las competencias sobre el mar territorial. Ello queda corroborado con la inclusión, en el art. 40.1 EACan, de una referencia expresa a la competencia del Estado sobre las aguas de jurisdicción española que sustituye la mención a la competencia autonómica sobre las aguas de competencia española que figuraban en el texto estatutario aprobado por el Parlamento de Canarias. Concluye, por último, recordando la doctrina constitucional que se refiere a la excepcionalidad de las competencias autonómicas en el mar territorial que entiende de plena aplicación, señalando que la tramitación parlamentaria a la que se refiere la demanda y que conforme a la doctrina constitucional y la posibilidad de que el Estado asuma competencias ejecutivas cuando sirven a la necesidad objetiva de la competencia básica que no es otra que conseguir una planificación de la actividad económica y en particular del sector energético.</w:t>
      </w:r>
    </w:p>
    <w:p w:rsidR="0026452D" w:rsidRDefault="0026452D" w:rsidP="0026452D">
      <w:pPr>
        <w:pStyle w:val="TextoNormal"/>
      </w:pPr>
    </w:p>
    <w:p w:rsidR="0026452D" w:rsidRDefault="0026452D" w:rsidP="0026452D">
      <w:pPr>
        <w:pStyle w:val="TextoNormal"/>
      </w:pPr>
      <w:r w:rsidRPr="0026452D">
        <w:rPr>
          <w:rStyle w:val="NumeroAFNegritaCaracter"/>
        </w:rPr>
        <w:t>7</w:t>
      </w:r>
      <w:r>
        <w:t>. Por providencia de 15 de enero de 2013 se acordó señalar para deliberación y fallo de esta Sentencia el día 17 del mismo mes y año.</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dirige contra el artículo único, apartado uno de la Ley 12/2007, de 2 de julio, por la que se modifica la Ley 34/1998, de 7 de octubre, del sector de hidrocarburos, con el fin de adaptarla a lo dispuesto en la Directiva 2003/55/CE del Parlamento Europeo y del Consejo, de 26 de junio de 2003, sobre normas comunes para el mercado interior del gas natural, en cuanto da una nueva redacción al apartado b) del art. 3.2.de la Ley 34/1998, antes citada.</w:t>
      </w:r>
    </w:p>
    <w:p w:rsidR="0026452D" w:rsidRDefault="0026452D" w:rsidP="0026452D">
      <w:pPr>
        <w:pStyle w:val="TextoNormal"/>
      </w:pPr>
    </w:p>
    <w:p w:rsidR="0026452D" w:rsidRDefault="0026452D" w:rsidP="0026452D">
      <w:pPr>
        <w:pStyle w:val="TextoNormal"/>
      </w:pPr>
      <w:r>
        <w:t>Considera la representación letrada del Gobierno de Canarias que la competencia del Estado para otorgar las autorizaciones de exploración y permisos de investigación a que se refiere el título II de la Ley en las zonas del subsuelo marino o cuando su ámbito comprenda, a la vez, zonas terrestres y del subsuelo marino, vulnera las competencias autonómicas en materia energética y de ordenación económica contempladas en los arts. 30.26, 31.4 y 32.9 del Estatuto de Autonomía de Canarias (modificado por Ley orgánica 4/1996, de 30 de diciembre). Alega, en esencia, que se atribuye al Estado una competencia ejecutiva que corresponde a la Comunidad Autónoma, que no encuentra cobertura ni en la legislación básica en materia de régimen energético y minero, y coordinación de la planificación general de la actividad económica, ni en la titularidad del Estado sobre el dominio público marítimo terrestre, ni, finalmente, en la exclusión del subsuelo marino del territorio de la Comunidad Autónoma de Canarias.</w:t>
      </w:r>
    </w:p>
    <w:p w:rsidR="0026452D" w:rsidRDefault="0026452D" w:rsidP="0026452D">
      <w:pPr>
        <w:pStyle w:val="TextoNormal"/>
      </w:pPr>
    </w:p>
    <w:p w:rsidR="0026452D" w:rsidRDefault="0026452D" w:rsidP="0026452D">
      <w:pPr>
        <w:pStyle w:val="TextoNormal"/>
      </w:pPr>
      <w:r>
        <w:t>Por su parte, el Abogado del Estado sostiene que el otorgamiento de autorizaciones en los términos señalados en el precepto impugnado, forma parte de las competencias estatales en las materias antes citadas, ya que la Comunidad Autónoma carece de competencias sobre el mar territorial pues ni forma parte de su territorio, ni se dan las condiciones exigidas en la doctrina constitucional para que puedan llegarse a ejercer competencias autonómicas sobre el mar territorial. Con carácter subsidiario, alega que esta competencia ejecutiva forma parte de la legislación básica del Estado, pues sirve a la finalidad objetiva de la competencia estatal básica de planificación económica del sector energético.</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entrar en el fondo de la impugnación planteada por el Gobierno de Canarias resulta necesario realizar tres precisiones preliminares relativas a la causa de inadmisión invocada por la Abogacía del Estado, al mantenimiento de su objeto y, finalmente, a la definición misma del objeto del conflicto.</w:t>
      </w:r>
    </w:p>
    <w:p w:rsidR="0026452D" w:rsidRDefault="0026452D" w:rsidP="0026452D">
      <w:pPr>
        <w:pStyle w:val="TextoNormal"/>
      </w:pPr>
    </w:p>
    <w:p w:rsidR="0026452D" w:rsidRDefault="0026452D" w:rsidP="0026452D">
      <w:pPr>
        <w:pStyle w:val="TextoNormal"/>
      </w:pPr>
      <w:r>
        <w:t>La Abogacía del Estado objeta a la admisión del recurso, su extemporaneidad. Como quiera que el contenido del art. 3.2 b) de la Ley del sector de hidrocarburos no ha sido modificado por la Ley 12/2007, de 2 de julio, entiende esta representación letrada que se estaría rehabilitando ilegítimamente el plazo ya vencido de caducidad de la acción de inconstitucionalidad contra un precepto que en su día no fue impugnado, lo que debería ser apreciado incluso de oficio por este Tribunal.</w:t>
      </w:r>
    </w:p>
    <w:p w:rsidR="0026452D" w:rsidRDefault="0026452D" w:rsidP="0026452D">
      <w:pPr>
        <w:pStyle w:val="TextoNormal"/>
      </w:pPr>
    </w:p>
    <w:p w:rsidR="0026452D" w:rsidRDefault="0026452D" w:rsidP="0026452D">
      <w:pPr>
        <w:pStyle w:val="TextoNormal"/>
      </w:pPr>
      <w:r>
        <w:t xml:space="preserve">En primer lugar, debe examinarse esta alegación. El apartado primero del art. único de la Ley 12/2007 dice literalmente que “El título y redacción del art. 3 pasan a tener la siguiente redacción”, cuyo texto íntegro transcribe a continuación. Así pues, no cabe duda de que formalmente el art. 3, en su totalidad, ha sido modificado por la Ley 12/2007. Resulta, </w:t>
      </w:r>
      <w:r>
        <w:lastRenderedPageBreak/>
        <w:t>sin embargo, que el art. 3.2 de la Ley del sector de hidrocarburos, relativo a las competencias de la Administración General del Estado, sólo se ha modificado materialmente en su apartado c), al que se ha añadido un último inciso, quedando inalterado el contenido del resto de apartados, entre los que se encuentra el impugnado. Es más, tampoco se ha modificado a raíz de la reforma operada por la citada disposición legal, el contexto normativo en el que se enmarca el precepto impugnado que no es otro que la distribución de competencias ejecutivas entre el Estado y las Comunidades Autónomas en materia de exploración, investigación y explotación de hidrocarburos. Así, tras la reforma producida por la Ley 12/2007, las Comunidades Autónomas siguen ostentando la competencia para otorgar las autorizaciones de exploración y permisos de investigación a que se refiere el título II de la Ley cuando afectan a su ámbito territorial, mientras que el Estado la mantiene para otorgar las concesiones de explotación [art. 3.2 a)], incluidas las del subsuelo marino [art. 3.2 b)], y las autorizaciones de exploración y permisos de investigación cuando i) afectan al ámbito territorial de más de una Comunidad Autónoma; ii) al subsuelo marino, o iii) cuando afectan conjuntamente a zonas terrestres y del subsuelo marino [art. 3.2 b)]. Ello se explica por el carácter de modificación parcial de la Ley del sector de hidrocarburos, que no pretende cambiar el modelo de distribución de competencias internas sino, simplemente, adaptarlo a lo dispuesto en la Directiva 2003/55/CE del Parlamento Europeo y del Consejo, de 26 de junio. Esto se demuestra por el hecho de que, en la exposición de motivos de la Ley 12/2007, no se haya mencionado la modificación del art. 3. Nos encontramos, en consecuencia, ante un supuesto en que el precepto legal impugnado ha sido formalmente modificado, aunque materialmente mantiene el mismo contenido que el que no fue impugnado en su día, y en el que no han variado los títulos atributivos de las competencias autonómicas que ahora se entienden vulneradas, puesto que la modificación del Estatuto de Canarias se produjo en 1996, antes, por tanto, de la aprobación de la Ley del sector de hidrocarburos en 1998.</w:t>
      </w:r>
    </w:p>
    <w:p w:rsidR="0026452D" w:rsidRDefault="0026452D" w:rsidP="0026452D">
      <w:pPr>
        <w:pStyle w:val="TextoNormal"/>
      </w:pPr>
    </w:p>
    <w:p w:rsidR="0026452D" w:rsidRDefault="0026452D" w:rsidP="0026452D">
      <w:pPr>
        <w:pStyle w:val="TextoNormal"/>
      </w:pPr>
      <w:r>
        <w:t>En aplicación del art. 33 de la Ley Orgánica del Tribunal Constitucional, debemos rechazar la alegada extemporaneidad, en razón de la naturaleza abstracta del recurso de inconstitucionalidad, orientado a la depuración objetiva del ordenamiento jurídico (por todas, STC 1/2012, de 13 de enero, FJ 3), y, más, teniendo en cuenta que la impugnación planteada tiene carácter exclusivamente competencial. Al haber sido recogido en la Ley 12/2007, el texto íntegro del art. 3 de la Ley del sector de hidrocarburos, el precepto impugnado ha sido formalmente modificado. En consecuencia, se da el presupuesto habilitante del control de constitucionalidad, tal y como lo afirmamos en la STC 103/1999, de 3 de junio, FJ 2.</w:t>
      </w:r>
    </w:p>
    <w:p w:rsidR="0026452D" w:rsidRDefault="0026452D" w:rsidP="0026452D">
      <w:pPr>
        <w:pStyle w:val="TextoNormal"/>
      </w:pPr>
    </w:p>
    <w:p w:rsidR="0026452D" w:rsidRDefault="0026452D" w:rsidP="0026452D">
      <w:pPr>
        <w:pStyle w:val="TextoNormal"/>
      </w:pPr>
      <w:r>
        <w:t>Debe señalarse, en segundo lugar, que el art. 3 de la Ley del sector de hidrocarburos ha sido modificado con posterioridad a la Ley 12/2007, aquí impugnada, por la Ley 25/2009, de 22 de diciembre, que suprimió el apartado e) del art. 3.2 de la Ley del sector de hidrocarburos y por el Real Decreto-ley 13/2012, de 30 de marzo, que modifica el art. 3.3 y 4 de la misma Ley. Sin embargo, ninguna de estas modificaciones afecta a la pervivencia de la controversia competencial planteada, en la medida en que el precepto impugnado mantiene idéntica redacción y aunque se haya modificado el art. 3.3 de la Ley del sector de hidrocarburos que atribuía a las Comunidades Autónomas competencias para otorgar las autorizaciones de exploración y permisos de investigación cuando afectan a su ámbito territorial, esta competencia autonómica no ha sufrido modificación, pues, de la interpretación a sensu contrario del art. 3.2 a) de la Ley del sector de hidrocarburos, se infiere inequívocamente que continúa vigente.</w:t>
      </w:r>
    </w:p>
    <w:p w:rsidR="0026452D" w:rsidRDefault="0026452D" w:rsidP="0026452D">
      <w:pPr>
        <w:pStyle w:val="TextoNormal"/>
      </w:pPr>
    </w:p>
    <w:p w:rsidR="0026452D" w:rsidRDefault="0026452D" w:rsidP="0026452D">
      <w:pPr>
        <w:pStyle w:val="TextoNormal"/>
      </w:pPr>
      <w:r>
        <w:lastRenderedPageBreak/>
        <w:t>Finalmente, debemos precisar el objeto de este recurso. La demanda identifica como precepto impugnado el art. único apartado uno de la Ley 12/2007, en la redacción que da al art. 3.2 b) de la Ley del sector de hidrocarburos. Sin embargo, en sus alegaciones se refiere única y exclusivamente a la atribución al Estado de la competencia para otorgar las autorizaciones de exploración y permisos de investigación en el subsuelo marino o conjuntamente en la zona terrestre y subsuelo marino pero no a las concesiones de explotación, a las que junto con las anteriores hace referencia el art.3.2 b) de la Ley del sector de hidrocarburos, y cuyo otorgamiento corresponde al Estado. El suplico de la demanda se ratifica en ello, al solicitar que se tenga por formulado recurso de inconstitucionalidad contra el art. único, apartado uno de la Ley 12/2007, de 2 de julio, en “los términos delimitados en el presente recurso”. Así pues, nuestro pronunciamiento debe centrarse en los aspectos señalados en la demanda, sin que este Tribunal pueda entrar en aquellos sobre los que el recurso, no sólo carece de una argumentación suficiente que permita desvirtuar la presunción de validez de las leyes aprobadas (STC 237/2007, de 8 de noviembre, FJ 3), sino que, además, exceden de la pretensión planteada.</w:t>
      </w:r>
    </w:p>
    <w:p w:rsidR="0026452D" w:rsidRDefault="0026452D" w:rsidP="0026452D">
      <w:pPr>
        <w:pStyle w:val="TextoNormal"/>
      </w:pPr>
    </w:p>
    <w:p w:rsidR="0026452D" w:rsidRDefault="0026452D" w:rsidP="0026452D">
      <w:pPr>
        <w:pStyle w:val="TextoNormal"/>
      </w:pPr>
      <w:r w:rsidRPr="0026452D">
        <w:rPr>
          <w:rStyle w:val="NumeroAFNegritaCaracter"/>
        </w:rPr>
        <w:t>3</w:t>
      </w:r>
      <w:r>
        <w:t>. Entrando ya en el fondo del asunto, cabe señalar que ambas partes coinciden en la materia afectada por el precepto controvertido y en los títulos competenciales que ostentan tanto el Estado como la Comunidad Autónoma recurrente. Así los títulos competenciales del Estado para la modificación de la Ley del sector de hidrocarburos son “las bases del régimen energético” (art. 149.1.25 CE) y “bases y coordinación de la planificación general de la actividad económica” (art. 149.1.13 CE). La Comunidad Autónoma ostenta competencia exclusiva en materia de “instalaciones de producción, distribución y transporte de energía, de acuerdo con las bases del régimen minero y energético” (art. 30.26 EACan), competencia exclusiva de acuerdo con las bases estatales para la “ordenación y planificación de la actividad económica regional en el ejercicio de sus competencias” (art.31.4 EACan) y competencia de desarrollo normativo y ejecutiva en materia de “régimen energético y minero ajustado a sus singulares condiciones, en especial, la seguridad en la minería del agua” (art. 32.9 EACan).</w:t>
      </w:r>
    </w:p>
    <w:p w:rsidR="0026452D" w:rsidRDefault="0026452D" w:rsidP="0026452D">
      <w:pPr>
        <w:pStyle w:val="TextoNormal"/>
      </w:pPr>
    </w:p>
    <w:p w:rsidR="0026452D" w:rsidRDefault="0026452D" w:rsidP="0026452D">
      <w:pPr>
        <w:pStyle w:val="TextoNormal"/>
      </w:pPr>
      <w:r>
        <w:t>En nuestra STC 135/2012, de 19 de junio, FJ 2, hemos recordado en relación con este ámbito competencial, que en un sector tan importante para el desarrollo de la actividad económica en general como el del petróleo, las competencias específicas en materia energética no deben prevalecer necesariamente y en todo caso sobre las relativas a la planificación económica, y que en las competencias de ordenación o dirección general de la economía, que comprenden la ordenación de concretos sectores económicos, tienen cobertura las normas estatales que fijan las líneas directrices y los criterios globales de ordenación de estos sectores concretos, así como las previsiones de acciones o medidas singulares que sean necesarias para alcanzar los fines propuestos dentro de la ordenación de cada sector. De donde la sentencia concluye que “con carácter general podemos afirmar que corresponde al Estado la competencia para regular la ordenación del sector energético, y dentro de éste el subsector gasístico, mediante la aprobación de la legislación básica; y a las Comunidades Autónomas corresponden las competencias de desarrollo normativo y ejecutiva, respetando las bases establecidas por el Estado”.</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Enmarcada la materia y los títulos competenciales del Estado y de la Comunidad Autónoma de Canarias en los términos anteriormente expuestos, estamos ya en condiciones de abordar la impugnación del art. 3.2 b) de la Ley del sector de hidrocarburos en la redacción </w:t>
      </w:r>
      <w:r>
        <w:lastRenderedPageBreak/>
        <w:t>que le da la Ley 12/2007, de 2 de julio, cuyo tenor literal es el siguiente: “2. Corresponde a la Administración General del Estado, en los términos establecidos en la presente Ley: b) Otorgar autorizaciones de exploración, permisos de investigación y concesiones de explotación en las zonas de subsuelo marino a que se refiere el Título II de la presente Ley. Asimismo, otorgar las autorizaciones de exploración y permisos de investigación cuando su ámbito comprenda a la vez zonas terrestres y del subsuelo marino.”</w:t>
      </w:r>
    </w:p>
    <w:p w:rsidR="0026452D" w:rsidRDefault="0026452D" w:rsidP="0026452D">
      <w:pPr>
        <w:pStyle w:val="TextoNormal"/>
      </w:pPr>
    </w:p>
    <w:p w:rsidR="0026452D" w:rsidRDefault="0026452D" w:rsidP="0026452D">
      <w:pPr>
        <w:pStyle w:val="TextoNormal"/>
      </w:pPr>
      <w:r>
        <w:t>En esencia, tal y como se expuso en los antecedentes, la argumentación de la representación letrada del Gobierno canario parte de la competencia asumida por la Comunidad Autónoma en materia de instalaciones de producción, distribución y transporte de energía y de régimen energético y minero, lo que ampararía su competencia normativa para el desarrollo de las bases estatales y, en especial, su competencia ejecutiva en esta materia. Y aunque invoca también su competencia para la ordenación y planificación de la actividad económica regional en el ejercicio de sus competencias, la vulneración de este título competencial por el precepto impugnado carece de cualquier argumentación, lo que nos exonera, por aplicación de la doctrina sentada entre otras en la STC 237/2007, de 8 de noviembre, FJ 3, de pronunciarnos sobre este aspecto concreto pues, como entonces señalamos, este Tribunal no puede entrar en aquellas cuestiones sobre las que el recurso carece de una argumentación suficiente que permita desvirtuar la presunción de validez de las leyes aprobadas.</w:t>
      </w:r>
    </w:p>
    <w:p w:rsidR="0026452D" w:rsidRDefault="0026452D" w:rsidP="0026452D">
      <w:pPr>
        <w:pStyle w:val="TextoNormal"/>
      </w:pPr>
    </w:p>
    <w:p w:rsidR="0026452D" w:rsidRDefault="0026452D" w:rsidP="0026452D">
      <w:pPr>
        <w:pStyle w:val="TextoNormal"/>
      </w:pPr>
      <w:r>
        <w:t>La razón esencial de la vulneración de las competencias autonómicas no es otra, al entender de la Comunidad Autónoma recurrente, que como el mar forma parte del territorio de la Comunidad Autónoma de Canarias, a ella debe corresponder la competencia ejecutiva para otorgar las autorizaciones de explotación y permisos de investigación cuando afecten a su ámbito territorial, esto es, en el subsuelo marino que también forma parte de su territorio, o las que afecten conjuntamente a su zona terrestre y subsuelo marino, siendo así que la privación de esta competencia a la Comunidad Autónoma de Canarias, no reúne la condición material de lo básico. Esto es lo que explica que, como expresamente se afirma en la demanda, no se impugne la competencia estatal para otorgar las autorizaciones de exploración y permisos de investigación, cuando afecten al ámbito territorial de más de una Comunidad Autónoma [art. 3.2 a) de la Ley del sector de hidrocarburos]. En definitiva, tal y como bien señala el Abogado del Estado, el Gobierno canario no discute la extraterritorialidad como criterio atributivo de competencias al Estado para otorgar las autorizaciones de exploración y permisos de investigación; lo que discute es que las autorizaciones y permisos en el subsuelo marino o conjuntamente en la zona terrestre y subsuelo marino superen el ámbito territorial de la Comunidad Autónoma de Canarias.</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El territorio, tal y como señalamos en nuestra STC 38/2002, de 14 de febrero, FJ 6, con cita de otras anteriores, se configura como un elemento definidor de las competencias de cada Comunidad Autónoma en su relación con las demás Comunidades Autónomas y con el Estado y permite localizar la titularidad de la correspondiente competencia, en atención al ámbito en que se desarrollan las oportunas actividades materiales. También señalamos entonces que las competencias de las Comunidades Autónomas se circunscriben a su ámbito territorial, aunque ello no impide que el ejercicio de las competencias de una Comunidad Autónoma pueda tener repercusiones de hecho fuera de la misma, por lo que “en el reparto competencial configurado por la Constitución y los respectivos Estatutos de las Comunidades Autónomas, el ejercicio de una competencia atribuida a una de ellas debe tener como soporte y presupuesto el territorio en el cual esa Comunidad ejerce sus potestades, de </w:t>
      </w:r>
      <w:r>
        <w:lastRenderedPageBreak/>
        <w:t>suerte que éste opera como límite para aquél, ya que si no se respetara tal ámbito competencial podría invadirse indebidamente el de otra Comunidad”.</w:t>
      </w:r>
    </w:p>
    <w:p w:rsidR="0026452D" w:rsidRDefault="0026452D" w:rsidP="0026452D">
      <w:pPr>
        <w:pStyle w:val="TextoNormal"/>
      </w:pPr>
    </w:p>
    <w:p w:rsidR="0026452D" w:rsidRDefault="0026452D" w:rsidP="0026452D">
      <w:pPr>
        <w:pStyle w:val="TextoNormal"/>
      </w:pPr>
      <w:r>
        <w:t>Por ello, la resolución de la cuestión en los términos planteados por el recurrente, exige que nos pronunciemos, en primer lugar, sobre si el mar territorial forma parte o no del territorio de la Comunidad Autónoma de Canarias, para lo que debemos estar al bloque de la constitucionalidad, esto es, a la Constitución y al Estatuto de Autonomía de Canarias, al que corresponde delimitar el territorio por mandato del art. 147.2 b) CE.</w:t>
      </w:r>
    </w:p>
    <w:p w:rsidR="0026452D" w:rsidRDefault="0026452D" w:rsidP="0026452D">
      <w:pPr>
        <w:pStyle w:val="TextoNormal"/>
      </w:pPr>
    </w:p>
    <w:p w:rsidR="0026452D" w:rsidRDefault="0026452D" w:rsidP="0026452D">
      <w:pPr>
        <w:pStyle w:val="TextoNormal"/>
      </w:pPr>
      <w:r>
        <w:t>En el art. 132.2, la Constitución, se refiere al mar territorial al describir los bienes que, por sus características naturales, forman parte del dominio público estatal. Sin embargo, de este precepto no cabe deducir conclusión alguna respecto a la inclusión o no de dichos bienes en el territorio de las Comunidades Autónomas. Antes al contrario, tal como afirmamos en la STC 77/1984, de 3 de julio, FJ 3, y hemos reiterado posteriormente, entre otras, en la STC 38 /2002, de 14 de febrero FJ 6, el concepto de dominio público sirve para calificar una categoría de bienes, pero no para aislar una porción de territorio de su entorno, de modo y manera que si el mar territorial formara parte del territorio de la Comunidad Autónoma canaria, no sería óbice para ello el precepto constitucional citado.</w:t>
      </w:r>
    </w:p>
    <w:p w:rsidR="0026452D" w:rsidRDefault="0026452D" w:rsidP="0026452D">
      <w:pPr>
        <w:pStyle w:val="TextoNormal"/>
      </w:pPr>
    </w:p>
    <w:p w:rsidR="0026452D" w:rsidRDefault="0026452D" w:rsidP="0026452D">
      <w:pPr>
        <w:pStyle w:val="TextoNormal"/>
      </w:pPr>
      <w:r>
        <w:t xml:space="preserve">Tampoco es concluyente, a estos efectos, que la propia Constitución atribuya al Estado competencia exclusiva sobre pesca marítima, sin perjuicio de las competencias que en la ordenación del sector pesquero se atribuyan a las Comunidades Autónomas, o que estas puedan asumir competencias, </w:t>
      </w:r>
      <w:r w:rsidRPr="0026452D">
        <w:rPr>
          <w:i/>
        </w:rPr>
        <w:t>ex</w:t>
      </w:r>
      <w:r>
        <w:t xml:space="preserve"> art. 148.1.11 CE, en materia de pesca en aguas interiores, marisqueo y acuicultura puesto que, por definición, las competencias exclusivas del Estado se ejercen sobre todo el territorio nacional, mientras que tampoco cabe excluir de principio y así lo hemos reconocido, por todas en la STC 31/2010, de 28 de junio, FJ 92, la asunción por las Comunidades Autónomas de competencias extraterritoriales sobre el mar territorial en los términos a que más adelante nos referiremos.</w:t>
      </w:r>
    </w:p>
    <w:p w:rsidR="0026452D" w:rsidRDefault="0026452D" w:rsidP="0026452D">
      <w:pPr>
        <w:pStyle w:val="TextoNormal"/>
      </w:pPr>
    </w:p>
    <w:p w:rsidR="0026452D" w:rsidRDefault="0026452D" w:rsidP="0026452D">
      <w:pPr>
        <w:pStyle w:val="TextoNormal"/>
      </w:pPr>
      <w:r>
        <w:t>Sí resulta, sin embargo, determinante a estos efectos, el art. 143 CE que configura el ejercicio del derecho de autonomía del art. 2 CE y, en consecuencia, el autogobierno de las Comunidades Autónomas sobre la base de los “territorios insulares”, las provincias y municipios. La Constitución hace referencia en diversas ocasiones a la singularidad del hecho insular; en concreto, el art. 138 CE reconoce las circunstancias específicas que deben tenerse en cuenta para la garantía del principio de solidaridad, y el art. 141.4 CE contempla la existencia, en los archipiélagos, de una entidad local especial para las Islas en forma de Cabildos y Consejos; sin embargo, en lo que se refiere al ámbito territorial de las Comunidades Autónomas, la Constitución tiene en cuenta el hecho insular para remitirse a los “territorios insulares” como sustrato territorial de las constituidas por islas lo que se explica, como señala el informe del Consejo de Estado 2/2005, de julio de 2006, titulado “Informe sobre las competencias de las distintas administraciones territoriales y órganos de la Administración General del Estado en materia de protección de hábitats y especies marinas y de declaración y gestión de áreas marinas protegidas”, por la realidad de la que se parte y que consagra el art. 137 CE, que no es otra que el entendimiento común de que el territorio autonómico se extiende al ámbito de los municipios que integran la correspondiente Comunidad y que éstos nunca se han extendido ni tampoco hoy se extienden al mar territorial.</w:t>
      </w:r>
    </w:p>
    <w:p w:rsidR="0026452D" w:rsidRDefault="0026452D" w:rsidP="0026452D">
      <w:pPr>
        <w:pStyle w:val="TextoNormal"/>
      </w:pPr>
    </w:p>
    <w:p w:rsidR="0026452D" w:rsidRDefault="0026452D" w:rsidP="0026452D">
      <w:pPr>
        <w:pStyle w:val="TextoNormal"/>
      </w:pPr>
      <w:r>
        <w:lastRenderedPageBreak/>
        <w:t>Esta y no otra es la idea que subyace en nuestra doctrina. Así, en la STC 77/1984, de 3 de julio, FJ 3 afirmamos que “la titularidad estatal de los puertos de interés general y la zona marítimo terrestre no impide su necesaria pertenencia a un determinado término municipal y al territorio de una Comunidad Autónoma pues todo el territorio nacional se divide en municipios y todos ellos, a su vez, pertenecen al territorio de una Comunidad Autónoma … tanto la jurisprudencia del Tribunal Supremo, como la doctrina del Consejo de Estado, han sostenido en forma inequívoca y, concretamente, respecto a los puertos y a la zona marítima-terrestre, que unos y otra forman parte del término municipal en que están enclavados, basándose en que legalmente todo el territorio nacional se divide en términos municipales, de forma que no pueden quedar espacios territoriales excluidos de ellos (Sentencias de 2 de octubre de 1967, 24 de enero de 1974, 16 de diciembre de 1977, 17 de marzo de 1980, dictámenes del Consejo de Estado de 10 de mayo de 1952 y 14 de febrero de 1957). Parece claro que la misma doctrina hay que aplicar a la división del territorio nacional en las Comunidades Autónomas (art. 137 de la Constitución), máxime cuando esa división del territorio nacional en Comunidades Autónomas es ahora total”. Este argumento fue completado en la STC 38/2002, de 14 de febrero, FJ 6, con el que responde a la constatación de una realidad física que no es otra que “el mar territorial como soporte topográfico del medio ambiente se integra por un elemento móvil —las aguas— que por razones obvias físicas no pueden adscribirse de modo permanente a un lugar determinado”.</w:t>
      </w:r>
    </w:p>
    <w:p w:rsidR="0026452D" w:rsidRDefault="0026452D" w:rsidP="0026452D">
      <w:pPr>
        <w:pStyle w:val="TextoNormal"/>
      </w:pPr>
    </w:p>
    <w:p w:rsidR="0026452D" w:rsidRDefault="0026452D" w:rsidP="0026452D">
      <w:pPr>
        <w:pStyle w:val="TextoNormal"/>
      </w:pPr>
      <w:r>
        <w:t>Este mismo argumento nos llevó a señalar en la STC 149/1991, de 4 de julio, de 1991, FJ 1, al pronunciarnos sobre el alcance del art. 148.1.3 CE, que la ordenación del territorio contemplado en el citado título competencial incluye la ordenación del litoral ya que “ninguna duda cabe tampoco sobre la pertenencia del litoral al territorio” pues “el propio estatuto de Autonomía que, al definir el territorio de la Comunidad Autónoma (art. 2.2), lo identifica con el de los “municipios comprendidos dentro de los límites administrativos de la actual provincia de Santander. Esta definición (coincidente por lo demás con la utilizada en los Estatutos de Autonomía de Asturias —art. 2— y Murcia —art. 31— que no ha sido parte en estos recursos) hace imposible la interpretación restrictiva y excluyente antes comentada, pues el litoral forma también parte, sin duda alguna, del territorio de los municipios costeros”.</w:t>
      </w:r>
    </w:p>
    <w:p w:rsidR="0026452D" w:rsidRDefault="0026452D" w:rsidP="0026452D">
      <w:pPr>
        <w:pStyle w:val="TextoNormal"/>
      </w:pPr>
    </w:p>
    <w:p w:rsidR="0026452D" w:rsidRDefault="0026452D" w:rsidP="0026452D">
      <w:pPr>
        <w:pStyle w:val="TextoNormal"/>
      </w:pPr>
      <w:r>
        <w:t>También lo reiteramos en la STC 162/2012, de 20 de septiembre, FJ 7, en la que señalamos que “[a]l hacerlo así, el legislador estatal se sujeta a la doctrina constitucional relativa al soporte material al que se extiende la competencia autonómica. Doctrina constitucional que, de una parte, ha declarado que ‘[e]s obvio que la competencia autonómica sobre ordenación del territorio no se extiende al mar’ [STC 149/1991, de 4 de julio, FJ 7 b)] y, de otra, ha admitido que sobre el mar territorial puedan ejercerse ciertas competencias autonómicas en atención a su naturaleza —como es el caso de la acuicultura (STC 103/1989, de 8 de junio)— o incluso que la extensión al mar territorial sea una exigencia de la competencia en liza, tal como sucede en materia de protección de espacios naturales cuando la unidad y continuidad de ciertos ecosistemas exige que su protección no encuentre el límite indicado (STC 38/2002, de 14 de febrero).”</w:t>
      </w:r>
    </w:p>
    <w:p w:rsidR="0026452D" w:rsidRDefault="0026452D" w:rsidP="0026452D">
      <w:pPr>
        <w:pStyle w:val="TextoNormal"/>
      </w:pPr>
    </w:p>
    <w:p w:rsidR="0026452D" w:rsidRDefault="0026452D" w:rsidP="0026452D">
      <w:pPr>
        <w:pStyle w:val="TextoNormal"/>
      </w:pPr>
      <w:r>
        <w:t xml:space="preserve">Precisamente porque el mar no forma parte del territorio de las Comunidades Autónomas, tenemos señalado, en primer lugar, (SSTC 38/2002, de 14 de febrero, FJ 6, y 31/2010, de 28 de junio, FJ 92) que solo excepcionalmente pueden llegar a ejercerse competencias autonómicas sobre el mar territorial, siempre y cuando exista un explícito reconocimiento </w:t>
      </w:r>
      <w:r>
        <w:lastRenderedPageBreak/>
        <w:t>estatutario [STC 149/1991, FJ 7 A h)], o cuando, a falta del mismo, ello derive de la naturaleza de la competencia que resulta del bloque de la constitucionalidad, como sería el caso de la acuicultura (STC 103/1989, de 8 de junio), la ordenación del sector pesquero (STC 158/1986, de 11 de diciembre), y marisqueo (STC 9/2001, de 18 de enero), lo que no concurre en este caso, pues ni existe un reconocimiento estatutario explícito para el ejercicio de la competencia autonómica en materia de régimen energético y minero sobre el mar territorial, ni ello deriva del bloque de la constitucionalidad.</w:t>
      </w:r>
    </w:p>
    <w:p w:rsidR="0026452D" w:rsidRDefault="0026452D" w:rsidP="0026452D">
      <w:pPr>
        <w:pStyle w:val="TextoNormal"/>
      </w:pPr>
    </w:p>
    <w:p w:rsidR="0026452D" w:rsidRDefault="0026452D" w:rsidP="0026452D">
      <w:pPr>
        <w:pStyle w:val="TextoNormal"/>
      </w:pPr>
      <w:r>
        <w:t>Y, en segundo lugar, hemos señalado que solo excepcionalmente el ejercicio de una competencia autonómica puede tener efectos extraterritoriales y extenderse al mar territorial cuando resulte imprescindible para el ejercicio de la competencia de la que es titular. De acuerdo con la STC 38/2002, de 14 de febrero, FJ 6, “de ahí se deducen dos consecuencias: la primera, que la competencia autonómica para la protección de espacios naturales sólo se extenderá al mar territorial cuando, excepcionalmente, así lo exijan las características del espacio protegido”, circunstancia ésta que ni se ha justificado en la demanda, ni concurre en este caso en el que, de admitirse la tesis de la recurrente, la extraterritorialidad de la competencia autonómica ejecutiva sobre régimen minero y energético dejaría de ser excepcional y se convertiría en la regla general de distribución de competencias, lo que resulta contrario con lo hasta aquí afirmado.</w:t>
      </w:r>
    </w:p>
    <w:p w:rsidR="0026452D" w:rsidRDefault="0026452D" w:rsidP="0026452D">
      <w:pPr>
        <w:pStyle w:val="TextoNormal"/>
      </w:pPr>
    </w:p>
    <w:p w:rsidR="0026452D" w:rsidRDefault="0026452D" w:rsidP="0026452D">
      <w:pPr>
        <w:pStyle w:val="TextoNormal"/>
      </w:pPr>
      <w:r>
        <w:t>No puede, por tanto, concluirse, como pretende la recurrente, que estos pronunciamientos, según los cuales el mar no forma parte del territorio de las Comunidades Autónomas, sean puramente ocasionales; antes bien, responden al concepto de territorio que ha tenido en cuenta este Tribunal y que guarda estrecha relación con la doctrina constitucional sobre el ejercicio de competencias sectoriales por las Comunidades Autónomas, cuando afectan al mar territorial o las aguas adyacentes.</w:t>
      </w:r>
    </w:p>
    <w:p w:rsidR="0026452D" w:rsidRDefault="0026452D" w:rsidP="0026452D">
      <w:pPr>
        <w:pStyle w:val="TextoNormal"/>
      </w:pPr>
    </w:p>
    <w:p w:rsidR="0026452D" w:rsidRDefault="0026452D" w:rsidP="0026452D">
      <w:pPr>
        <w:pStyle w:val="TextoNormal"/>
      </w:pPr>
      <w:r w:rsidRPr="0026452D">
        <w:rPr>
          <w:rStyle w:val="NumeroAFNegritaCaracter"/>
        </w:rPr>
        <w:t>6</w:t>
      </w:r>
      <w:r>
        <w:t>. Como expusimos en los antecedentes, el Gobierno de Canarias considera que la doctrina constitucional hasta aquí expuesta no resulta de aplicación a la Comunidad Autónoma de Canarias por cuanto su Estatuto, a diferencia de los Estatutos de Autonomía del resto de Comunidades Autónomas, al definir su territorio, incluye las islas y el mar adyacente. El art. 40 del vigente Estatuto de Autonomía de Canarias, en la redacción dada por la Ley Orgánica 4/1996, de 30 de diciembre, dice que “todas las competencias contenidas en el presente Estatuto se entienden referidas al ámbito territorial de la Comunidad Autónoma, definido en el artículo 2, sin perjuicio de la competencia exclusiva del Estado sobre las aguas de jurisdicción española”. Por su parte, el territorio de la Comunidad Autónoma de Canarias se define en su art. 2 en la forma que sigue: “el ámbito territorial de la Comunidad Autónoma comprende el Archipiélago Canario, integrado por las siete Islas de El Hierro, Fuerteventura, Gran Canaria, La Gomera, Lanzarote, La Palma y Tenerife, así como las Islas de Alegranza, La Graciosa, Lobos y Montaña Clara, Roque del Este y Roque del Oeste, agregadas administrativamente a Lanzarote, salvo la de Lobos, que lo está a Fuerteventura.”</w:t>
      </w:r>
    </w:p>
    <w:p w:rsidR="0026452D" w:rsidRDefault="0026452D" w:rsidP="0026452D">
      <w:pPr>
        <w:pStyle w:val="TextoNormal"/>
      </w:pPr>
    </w:p>
    <w:p w:rsidR="0026452D" w:rsidRDefault="0026452D" w:rsidP="0026452D">
      <w:pPr>
        <w:pStyle w:val="TextoNormal"/>
      </w:pPr>
      <w:r>
        <w:t xml:space="preserve">Entiende el Gobierno de Canarias que el Estatuto de Autonomía, tras su modificación por Ley Orgánica 4/1996, de 30 de diciembre, al sustituir “territorios insulares” por el término “archipiélago”, que se define en el diccionario de la Real Academia Española como “conjunto generalmente numeroso de islas agrupadas en una superficie más o menos extensa de mar”, no solo incluye las siete islas que forman parte de su territorio y que menciona </w:t>
      </w:r>
      <w:r>
        <w:lastRenderedPageBreak/>
        <w:t>expresamente el art. 2 EACan, sino también el mar. Esta interpretación se deduciría, además, según la recurrente, del art. 40 EACan que, tras señalar que las competencias se refieren a todo el ámbito territorial y, por tanto, a las islas y al mar, salva expresamente la competencia exclusiva del Estado sobre las aguas jurisdiccionales, pues, en caso contrario, de no formar parte las aguas jurisdiccionales del territorio de la Comunidad Autónoma, esta cautela sería innecesaria. En apoyo de esta argumentación, la demanda recurre a la definición de archipiélago en el contexto del derecho internacional y, a los debates parlamentarios que tuvieron lugar en el procedimiento legislativo de aprobación del Estatuto.</w:t>
      </w:r>
    </w:p>
    <w:p w:rsidR="0026452D" w:rsidRDefault="0026452D" w:rsidP="0026452D">
      <w:pPr>
        <w:pStyle w:val="TextoNormal"/>
      </w:pPr>
    </w:p>
    <w:p w:rsidR="0026452D" w:rsidRDefault="0026452D" w:rsidP="0026452D">
      <w:pPr>
        <w:pStyle w:val="TextoNormal"/>
      </w:pPr>
      <w:r>
        <w:t>Debemos rechazar la interpretación que de los arts. 2 y 40 EACan realiza la demanda, pues no es ésta la que deriva del tenor de las citadas normas estatutarias, sin que los argumentos invocados de contrario permitan llegar a otra conclusión. En efecto, aunque el término “territorios insulares” ha desaparecido del Estatuto, y ha sido sustituido por el término “archipiélago”, la definición del territorio autonómico viene dada, en ambas regulaciones, por las islas (“el archipiélago canario integrado por las siete islas”), sin que se incluya una referencia explícita al mar que las rodea, ni ésta pueda deducirse del significado común del término archipiélago, que se limita a indicar que las islas deben estar agrupadas en el mar, más o menos próximas entre ellas. Ello contrasta, sin lugar a dudas, con el texto del proyecto de reforma del Estatuto de Autonomía, aprobado por el Parlamento de Canarias y remitido en dos ocasiones a las Cortes Generales para su tramitación parlamentaria. Su artículo 2 señalaba que “el ámbito territorial de la Comunidad Autónoma comprende el archipiélago canario” y en su art. 39, precisaba que “1. Todas las competencias contenidas en el presente Estatuto se entienden referidas al territorio de Canarias. 2. La Comunidad Autónoma de Canarias ejercerá las competencias que le sean propias en las aguas de competencia española que rodean a las islas”. Sin embargo, no solo ha desaparecido del Estatuto vigente la atribución de competencias sobre el mar a la Comunidad Autónoma, sino que se ha introducido una cláusula de salvaguardia expresa de las exclusivas del Estado sobre las aguas jurisdiccionales.</w:t>
      </w:r>
    </w:p>
    <w:p w:rsidR="0026452D" w:rsidRDefault="0026452D" w:rsidP="0026452D">
      <w:pPr>
        <w:pStyle w:val="TextoNormal"/>
      </w:pPr>
    </w:p>
    <w:p w:rsidR="0026452D" w:rsidRDefault="0026452D" w:rsidP="0026452D">
      <w:pPr>
        <w:pStyle w:val="TextoNormal"/>
      </w:pPr>
      <w:r w:rsidRPr="0026452D">
        <w:rPr>
          <w:rStyle w:val="NumeroAFNegritaCaracter"/>
        </w:rPr>
        <w:t>7</w:t>
      </w:r>
      <w:r>
        <w:t>. Tampoco cabe deducir de la inclusión del término archipiélago en el art. 2 EACan que el territorio de la Comunidad canaria comprenda las aguas marinas, como consecuencia necesaria de la definición que la Convención de Naciones Unidas sobre Derecho del Mar, de 10 de diciembre de 1982, ratificada por España por instrumento de 20 de diciembre de 1996, ofrece en su art. 46 b) del término archipiélago como “grupo de islas, incluidas partes de islas, las aguas que las conectan y otros elementos naturales, que estén tan estrechamente relacionados entre sí que tales islas, aguas y elementos naturales formen una entidad geográfica, económica y política intrínseca o que históricamente hayan sido considerados como tal”.</w:t>
      </w:r>
    </w:p>
    <w:p w:rsidR="0026452D" w:rsidRDefault="0026452D" w:rsidP="0026452D">
      <w:pPr>
        <w:pStyle w:val="TextoNormal"/>
      </w:pPr>
    </w:p>
    <w:p w:rsidR="0026452D" w:rsidRDefault="0026452D" w:rsidP="0026452D">
      <w:pPr>
        <w:pStyle w:val="TextoNormal"/>
      </w:pPr>
      <w:r>
        <w:t>La definición del art. 46 del Tratado lo es a los solos efectos de la Convención, tal y como establece el apartado primero de este precepto, razón por la cual debemos descartar la utilización de un concepto propio del Derecho internacional en un ámbito absolutamente ajeno al mismo como es, en definitiva, la distribución de competencias entre el Estado y las Comunidades Autónomas al que afecta la definición del territorio como límite natural de la competencia autonómica.</w:t>
      </w:r>
    </w:p>
    <w:p w:rsidR="0026452D" w:rsidRDefault="0026452D" w:rsidP="0026452D">
      <w:pPr>
        <w:pStyle w:val="TextoNormal"/>
      </w:pPr>
    </w:p>
    <w:p w:rsidR="0026452D" w:rsidRDefault="0026452D" w:rsidP="0026452D">
      <w:pPr>
        <w:pStyle w:val="TextoNormal"/>
      </w:pPr>
      <w:r>
        <w:t xml:space="preserve">Sin perjuicio de lo anteriormente señalado, debemos recordar que la definición de archipiélago que contiene el art. 46 de la Convención, a los efectos del trazado de las líneas de </w:t>
      </w:r>
      <w:r>
        <w:lastRenderedPageBreak/>
        <w:t>base que constituyen el límite interior del mar territorial, que sirven para delimitar la zona económica exclusiva y la plataforma continental, solo resulta aplicable a los Estados archipielágicos, pues, como puso de manifiesto el Consejo de Estado en su informe 2/2005, la Convención de las Naciones Unidas sobre Derecho del mar rechazó la aspiración de los Estados mixtos, como es el nuestro, de dar a los archipiélagos de ellos dependientes, el mismo trato que a los Estados archipielágicos.</w:t>
      </w:r>
    </w:p>
    <w:p w:rsidR="0026452D" w:rsidRDefault="0026452D" w:rsidP="0026452D">
      <w:pPr>
        <w:pStyle w:val="TextoNormal"/>
      </w:pPr>
    </w:p>
    <w:p w:rsidR="0026452D" w:rsidRDefault="0026452D" w:rsidP="0026452D">
      <w:pPr>
        <w:pStyle w:val="TextoNormal"/>
      </w:pPr>
      <w:r>
        <w:t>Abunda en esta conclusión, esto es, que no es posible aplicar para la interpretación del Estatuto canario la Convención de Derecho del Mar y la definición contenida en su art. 46, que la propia Convención distingue claramente entre territorio y otros espacios sobre los que los Estados ejercen soberanía, siendo así que las aguas, aunque sean archipielágicas, no forman parte del territorio. La soberanía del Estado ribereño —dice el art. 2— se extiende más allá de su territorio y de sus aguas interiores y, en el caso del Estado archipielágico, de sus aguas archipielágicas, a la franja de mar adyacente designada con el nombre de mar territorial. Esta misma distinción entre territorio y espacio en el que se ejerce soberanía viene recogida en el art. 1 de la Ley 10/1977, de 4 de enero, sobre el mar territorial, a cuyo tenor, “la soberanía del Estado español se extiende fuera de su territorio y de sus aguas interiores al mar territorial adyacente a sus costas, delimitado de conformidad con lo preceptuado en los artículos siguientes”.</w:t>
      </w:r>
    </w:p>
    <w:p w:rsidR="0026452D" w:rsidRDefault="0026452D" w:rsidP="0026452D">
      <w:pPr>
        <w:pStyle w:val="TextoNormal"/>
      </w:pPr>
    </w:p>
    <w:p w:rsidR="0026452D" w:rsidRDefault="0026452D" w:rsidP="0026452D">
      <w:pPr>
        <w:pStyle w:val="TextoNormal"/>
      </w:pPr>
      <w:r>
        <w:t>Finalmente, tampoco sería posible concluir, como alega el Gobierno canario, que en aplicación del principio archipielágico propio del derecho internacional incorporado al Estatuto de Autonomía de Canarias, a través de la inclusión del término archipiélago en el art. 2 EACan, el territorio de la Comunidad Autónoma de Canarias esté integrado también por las aguas jurisdiccionales o mar territorial. En la demanda se utilizan indistintamente los términos “aguas que las rodean”, “aguas marítimas”, “espacios marítimos”, “aguas jurisdiccionales” y “mar territorial”, y se considera, a partir de la reserva de competencias a favor del Estado sobre las aguas jurisdiccionales españolas, que el archipiélago canario estaría compuesto por las siete islas y las aguas jurisdiccionales y, en consecuencia, el mar territorial formaría parte del territorio canario. A pesar de esta alegación debe concluirse que la condición de archipiélago nada aporta a la regulación que la Convención establece con respecto al mar territorial y, en consecuencia, la incorporación del termino al art. 2 del EACan no permite justificar en modo alguno la extensión al mar territorial del territorio autonómico. Es por ello que la única interpretación posible de la cláusula de reserva de competencias al Estado sobre las aguas jurisdiccionales contenida en el art. 40.1 EACan es que se trata de una cláusula de salvaguardia de las competencias estatales, debida a la asunción estatutaria de competencias sectoriales, que pueden tener efectos extraterritoriales sobre aguas interiores y mar.</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Invoca, por último, el Gobierno canario que la incorporación del mar al territorio de la Comunidad Autónoma, tras la modificación estatutaria operada por Ley Orgánica 4/1996, de 30 de diciembre, vendría avalada también por la tramitación parlamentaria en la que no se produjo la supresión de la referencia expresa a las aguas que figuraban en los textos preliminares, no porque se quisiera excluirlas del ámbito territorial de la Comunidad Autónoma, sino porque se consideró innecesaria dicha referencia explícita a lo que ya estaba implícito en el concepto de archipiélago. Tal y como tenemos señalado (por todas la STC 109/1998, de 21 de mayo, FJ 3), los debates parlamentarios pueden servir de auxilio para desentrañar el alcance y sentido de las disposiciones constitucionales y de las integrantes </w:t>
      </w:r>
      <w:r>
        <w:lastRenderedPageBreak/>
        <w:t>del bloque de la constitucionalidad (STC 68/1996, de 21 de mayo, FJ 10). Pero lo cierto es que, en este caso, como acertadamente señala el Abogado del Estado, los debates parlamentarios no son suficientes para contradecir el tenor literal del texto que resultó finalmente aprobado, pues a pesar de los reiterados intentos de que se incluyera una referencia expresa al mar que hubiera permitido determinar el alcance y consecuencias jurídicas de la inclusión del propio término “archipiélago” en art. 2 EACan, la referencia que éste inicialmente contenía resultó definitivamente eliminada en su tramitación parlamentaria.</w:t>
      </w:r>
    </w:p>
    <w:p w:rsidR="0026452D" w:rsidRDefault="0026452D" w:rsidP="0026452D">
      <w:pPr>
        <w:pStyle w:val="TextoNormal"/>
      </w:pPr>
    </w:p>
    <w:p w:rsidR="0026452D" w:rsidRDefault="0026452D" w:rsidP="0026452D">
      <w:pPr>
        <w:pStyle w:val="TextoNormal"/>
      </w:pPr>
      <w:r w:rsidRPr="0026452D">
        <w:rPr>
          <w:rStyle w:val="NumeroAFNegritaCaracter"/>
        </w:rPr>
        <w:t>9</w:t>
      </w:r>
      <w:r>
        <w:t>. Por las razones expuestas en los anteriores fundamentos jurídicos, no es posible interpretar que el Estatuto de Autonomía de Canarias haya configurado el ámbito territorial de la Comunidad Autónoma integrando las islas y las aguas jurisdiccionales adyacentes. De acuerdo con su art. 2 EACan, el territorio de la Comunidad Autónoma, límite natural de las competencias autonómicas (STC 38/2002, de 14 de febrero, FJ 6), está integrado por los territorios insulares a los expresamente se refiere el art. 143 CE, esto es, las siete islas que en él se relacionan y se extiende a la zona marítimo terrestre que forma parte del mismo. Ello nos permite pronunciarnos ya sobre la constitucionalidad del art. 3.2. b) de la Ley 34/1998, de 7 de octubre, del sector de hidrocarburos impugnado.</w:t>
      </w:r>
    </w:p>
    <w:p w:rsidR="0026452D" w:rsidRDefault="0026452D" w:rsidP="0026452D">
      <w:pPr>
        <w:pStyle w:val="TextoNormal"/>
      </w:pPr>
    </w:p>
    <w:p w:rsidR="0026452D" w:rsidRDefault="0026452D" w:rsidP="0026452D">
      <w:pPr>
        <w:pStyle w:val="TextoNormal"/>
      </w:pPr>
      <w:r>
        <w:t>El art. 3.2. b) de la Ley del sector de hidrocarburos atribuye al Estado la competencia para otorgar las autorizaciones de exploración y permisos de investigación en dos supuestos distintos, cuando afecten al subsuelo marino y cuando afecten a la vez a la zona terrestre y el subsuelo marino. En la medida en que el subsuelo marino no forma parte del territorio de la Comunidad Autónoma, la competencia autonómica para el desarrollo de las bases estatales y la competencia ejecutiva sobre instalaciones de producción, distribución y transporte de energía, y régimen energético y minero no comprende el otorgamiento de autorizaciones de exploración y permisos de investigación en el subsuelo marino [art. 3.2 a) de la Ley del sector de hidrocarburos], sin que, por tanto, resulte necesario entrar a dilucidar si la previsión legal que otorga al Estado una competencia ejecutiva excede del concepto material y formal de lo básico, tal y como se argumenta por el Gobierno Canario.</w:t>
      </w:r>
    </w:p>
    <w:p w:rsidR="0026452D" w:rsidRDefault="0026452D" w:rsidP="0026452D">
      <w:pPr>
        <w:pStyle w:val="TextoNormal"/>
      </w:pPr>
    </w:p>
    <w:p w:rsidR="0026452D" w:rsidRDefault="0026452D" w:rsidP="0026452D">
      <w:pPr>
        <w:pStyle w:val="TextoNormal"/>
      </w:pPr>
      <w:r>
        <w:t>En definitiva, como quiera que la Comunidad Autónoma no discute que la extraterritorialidad atribuya competencias al Estado, es estatal la competencia para otorgar las autorizaciones de exploración y permisos de investigación que afectan conjuntamente a la zona terrestre y al subsuelo marino, que no forma parte del territorio de la Comunidad Autónoma, razón por la cual el supuesto contenido en el artículo impugnado resulta adecuado al reparto constitucional de competencias y por tanto constitucional.</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lastRenderedPageBreak/>
        <w:t>Dada en Madrid, a diecisiete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2" w:name="SENTENCIA_2013_9"/>
      <w:r>
        <w:lastRenderedPageBreak/>
        <w:t>SENTENCIA 9/2013, de 28 de enero de 2013</w:t>
      </w:r>
    </w:p>
    <w:bookmarkEnd w:id="12"/>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ECLI:ES:TC:2013:9</w:t>
      </w:r>
    </w:p>
    <w:p w:rsidR="0026452D" w:rsidRDefault="0026452D" w:rsidP="0026452D">
      <w:pPr>
        <w:pStyle w:val="SntesisDescriptiva"/>
      </w:pPr>
    </w:p>
    <w:p w:rsidR="0026452D" w:rsidRDefault="0026452D" w:rsidP="0026452D">
      <w:pPr>
        <w:pStyle w:val="SntesisDescriptiva"/>
      </w:pPr>
      <w:r>
        <w:t>Recurso de inconstitucionalidad 2159/2008. Interpuesto por 57 Diputados del Grupo Parlamentario Popular en el Congreso de los Diputados en relación con la disposición adicional sexagésima de la Ley 51/2007, de 26 de diciembre, de presupuestos generales del Estado para 2008.</w:t>
      </w:r>
    </w:p>
    <w:p w:rsidR="0026452D" w:rsidRDefault="0026452D" w:rsidP="0026452D">
      <w:pPr>
        <w:pStyle w:val="SntesisDescriptiva"/>
      </w:pPr>
    </w:p>
    <w:p w:rsidR="0026452D" w:rsidRDefault="0026452D" w:rsidP="0026452D">
      <w:pPr>
        <w:pStyle w:val="SntesisAnaltica"/>
      </w:pPr>
      <w:r>
        <w:t>Límites materiales a las leyes de presupuestos: nulidad del precepto legal que establece la titulación necesaria para acceder al cuerpo superior de auditores del Tribunal de Cuentas (STC 32/2000).</w:t>
      </w:r>
    </w:p>
    <w:p w:rsidR="0026452D" w:rsidRDefault="0026452D" w:rsidP="0026452D">
      <w:pPr>
        <w:pStyle w:val="SntesisAnaltica"/>
      </w:pPr>
    </w:p>
    <w:p w:rsidR="0026452D" w:rsidRDefault="0026452D" w:rsidP="0026452D">
      <w:pPr>
        <w:pStyle w:val="Extracto"/>
      </w:pPr>
      <w:r>
        <w:t>1.</w:t>
      </w:r>
      <w:r>
        <w:tab/>
        <w:t>La modificación operada en la ley de funcionamiento del Tribunal de Cuentas, flexibilizando los requisitos de acceso al Cuerpo Superior de Auditores del Tribunal de Cuentas, está fuera del contenido constitucionalmente admisible de una ley de presupuestos, al no concurrir relación directa o inmediata con los gastos e ingresos que integran el presupuesto ni estar justificada por entender que supone un complemento necesario para la mayor inteligencia y para la mejor y más eficaz ejecución del Presupuesto y de la política económica del Gobierno (STC 76/1992) [FJ 4].</w:t>
      </w:r>
    </w:p>
    <w:p w:rsidR="0026452D" w:rsidRDefault="0026452D" w:rsidP="0026452D">
      <w:pPr>
        <w:pStyle w:val="Extracto"/>
      </w:pPr>
    </w:p>
    <w:p w:rsidR="0026452D" w:rsidRDefault="0026452D" w:rsidP="0026452D">
      <w:pPr>
        <w:pStyle w:val="Extracto"/>
      </w:pPr>
      <w:r>
        <w:t>2.</w:t>
      </w:r>
      <w:r>
        <w:tab/>
        <w:t>La reserva de contenido de la ley de presupuestos deriva del artículo 134 CE y se justifica no sólo por la función específica que le atribuye la Constitución, sino porque se trata de una ley que, por las peculiaridades y especificidades que presenta su tramitación parlamentaria, conlleva restricciones a las facultades de los órganos legislativos en relación con la tramitación de otros proyectos o proposiciones de ley (STC 32/2000) [FJ 3].</w:t>
      </w:r>
    </w:p>
    <w:p w:rsidR="0026452D" w:rsidRDefault="0026452D" w:rsidP="0026452D">
      <w:pPr>
        <w:pStyle w:val="Extracto"/>
      </w:pPr>
    </w:p>
    <w:p w:rsidR="0026452D" w:rsidRDefault="0026452D" w:rsidP="0026452D">
      <w:pPr>
        <w:pStyle w:val="Extracto"/>
      </w:pPr>
      <w:r>
        <w:t>3.</w:t>
      </w:r>
      <w:r>
        <w:tab/>
        <w:t>Las limitaciones objetivas de la Ley de presupuestos se manifiestan en un doble contenido, el contenido esencial, formado por la previsión de ingresos y la habilitación de gastos para un ejercicio económico, así como por las normas que desarrollan y aclaran los estados cifrados, y el contenido eventual o disponible, que se refiere a aquellas disposiciones que, sin constituir directamente una previsión de ingresos o habilitación de gastos, guardan una relación directa con los ingresos o gastos del Estado, responden a los criterios de política económica del Gobierno o se dirigen a una mayor inteligencia o mejor ejecución del presupuesto (SSTC 3/2003, 248/2007) [FJ 3].</w:t>
      </w:r>
    </w:p>
    <w:p w:rsidR="0026452D" w:rsidRDefault="0026452D" w:rsidP="0026452D">
      <w:pPr>
        <w:pStyle w:val="Extracto"/>
      </w:pPr>
    </w:p>
    <w:p w:rsidR="0026452D" w:rsidRDefault="0026452D" w:rsidP="0026452D">
      <w:pPr>
        <w:pStyle w:val="Extracto"/>
      </w:pPr>
      <w:r>
        <w:t>4.</w:t>
      </w:r>
      <w:r>
        <w:tab/>
        <w:t>Doctrina sobre el contenido constitucionalmente delimitado de las leyes de presupuestos (SSTC 68/1990, 248/2007) [FJ 3].</w:t>
      </w:r>
    </w:p>
    <w:p w:rsidR="0026452D" w:rsidRDefault="0026452D" w:rsidP="0026452D">
      <w:pPr>
        <w:pStyle w:val="Extracto"/>
      </w:pPr>
    </w:p>
    <w:p w:rsidR="0026452D" w:rsidRDefault="0026452D" w:rsidP="0026452D">
      <w:pPr>
        <w:pStyle w:val="Extracto"/>
      </w:pPr>
      <w:r>
        <w:t>5.</w:t>
      </w:r>
      <w:r>
        <w:tab/>
        <w:t xml:space="preserve">Es una exigencia del principio de seguridad jurídica constitucionalmente garantizado, </w:t>
      </w:r>
      <w:r w:rsidRPr="0026452D">
        <w:rPr>
          <w:i/>
        </w:rPr>
        <w:t>ex</w:t>
      </w:r>
      <w:r>
        <w:t xml:space="preserve"> art. 9.3 CE, que una ley de contenido constitucionalmente definido, como es la Ley de Presupuestos Generales del Estado, no contenga más disposiciones </w:t>
      </w:r>
      <w:r>
        <w:lastRenderedPageBreak/>
        <w:t xml:space="preserve">que las que guardan correspondencia con su función constitucional, </w:t>
      </w:r>
      <w:r w:rsidRPr="0026452D">
        <w:rPr>
          <w:i/>
        </w:rPr>
        <w:t>ex</w:t>
      </w:r>
      <w:r>
        <w:t xml:space="preserve"> arts. 66.2 y 134.2 CE, debido a la incertidumbre que una regulación de este tipo indudablemente origina (STC 32/2000) [FJ 3].</w:t>
      </w:r>
    </w:p>
    <w:p w:rsidR="0026452D" w:rsidRDefault="0026452D" w:rsidP="0026452D">
      <w:pPr>
        <w:pStyle w:val="Extracto"/>
      </w:pPr>
    </w:p>
    <w:p w:rsidR="0026452D" w:rsidRDefault="0026452D" w:rsidP="0026452D">
      <w:pPr>
        <w:pStyle w:val="Extracto"/>
      </w:pPr>
      <w:r>
        <w:t>6.</w:t>
      </w:r>
      <w:r>
        <w:tab/>
        <w:t>Aceptar que la conexión funcional del Tribunal de Cuentas y de sus funcionarios con la materia presupuestaria expresa la relación directa que exige la jurisprudencia constitucional entre la disposición recurrida y los presupuestos implicaría que esta pudiese regular todos los colectivos funcionariales que desempeñan tareas relacionadas con ingresos y gastos públicos en contra de la configuración constitucional de este tipo legislativo como Ley de contenido constitucionalmente definido (STC 32/2000) [FJ 4].</w:t>
      </w:r>
    </w:p>
    <w:p w:rsidR="0026452D" w:rsidRDefault="0026452D" w:rsidP="0026452D">
      <w:pPr>
        <w:pStyle w:val="Extracto"/>
      </w:pPr>
    </w:p>
    <w:p w:rsidR="0026452D" w:rsidRDefault="0026452D" w:rsidP="0026452D">
      <w:pPr>
        <w:pStyle w:val="Extracto"/>
      </w:pPr>
      <w:r>
        <w:t>7.</w:t>
      </w:r>
      <w:r>
        <w:tab/>
        <w:t>La doctrina del Tribunal tiene plenamente admitido que hay que distinguir, en orden a determinar su vigencia, la diferente naturaleza de las disposiciones de la ley de presupuestos, pues las puramente presupuestarias tendrán, en principio, una vigencia exclusivamente anual, mientras que el texto articulado tiene, también como regla general, vocación de permanencia (SSTC 65/1990, 34/2005) [FJ 2].</w:t>
      </w:r>
    </w:p>
    <w:p w:rsidR="0026452D" w:rsidRDefault="0026452D" w:rsidP="0026452D">
      <w:pPr>
        <w:pStyle w:val="Extracto"/>
      </w:pPr>
    </w:p>
    <w:p w:rsidR="0026452D" w:rsidRDefault="0026452D" w:rsidP="0026452D">
      <w:pPr>
        <w:pStyle w:val="Extracto"/>
      </w:pPr>
      <w:r>
        <w:t>8.</w:t>
      </w:r>
      <w:r>
        <w:tab/>
        <w:t>La pérdida de vigencia de las leyes de presupuestos no puede sin más determinar la desaparición del objeto de los recursos de inconstitucionalidad contra ellas interpuestos, pues sería tanto como admitir que hay un ámbito normativo, estatal o autonómico, que resulta inmune al control de la jurisdicción constitucional (SSTC 3/2003, 204/2011)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2159-2008, promovido por 57 Diputados del Grupo Parlamentario Popular en el Congreso de los Diputados contra la disposición adicional sexagésima de la Ley 51/2007, de 26 de diciembre, de presupuestos generales del Estado para 2008, al considerar que se vulneran los arts. 66.2 y 134.2 de la Constitución. Ha intervenido y formulado alegaciones el Abogado del Estado. Ha sido Ponente el Magistrado don Andrés Ollero Tassara, quien expresa el parecer del Tribunal.</w:t>
      </w:r>
    </w:p>
    <w:p w:rsidR="0026452D" w:rsidRDefault="0026452D" w:rsidP="0026452D">
      <w:pPr>
        <w:pStyle w:val="TextoNormal"/>
      </w:pPr>
    </w:p>
    <w:p w:rsidR="0026452D" w:rsidRDefault="0026452D" w:rsidP="0026452D">
      <w:pPr>
        <w:pStyle w:val="TextoNormalNegritaCentrado"/>
        <w:keepNext/>
      </w:pPr>
      <w:r>
        <w:lastRenderedPageBreak/>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el Tribunal el 14 de marzo de 2008, don Ignacio Astarloa Huarte-Mendicoa, actuando en condición de comisionado de otros cincuenta y seis Diputados del Grupo Parlamentario Popular en el Congreso de los Diputados, interpuso recurso de inconstitucionalidad contra la disposición adicional sexagésima de la Ley 51/2007, de 26 de diciembre, de presupuestos generales del Estado para 2008, publicada en el “Boletín Oficial del Estado” de 27 de diciembre de 2007.</w:t>
      </w:r>
    </w:p>
    <w:p w:rsidR="0026452D" w:rsidRDefault="0026452D" w:rsidP="0026452D">
      <w:pPr>
        <w:pStyle w:val="TextoNormal"/>
      </w:pPr>
    </w:p>
    <w:p w:rsidR="0026452D" w:rsidRDefault="0026452D" w:rsidP="0026452D">
      <w:pPr>
        <w:pStyle w:val="TextoNormal"/>
      </w:pPr>
      <w:r>
        <w:t>El escrito comienza con la exposición de los fundamentos procesales de la demanda. Una parte de los recurrentes perdió su condición de Diputado, conforme a lo dispuesto por el art. 68.4 CE, al disolverse el Congreso por Real Decreto 33/2008, de 14 de enero, con carácter previo a la convocatoria de elecciones. Sin embargo, el recurso afirma que, conforme a reiterada jurisprudencia constitucional, esto no impide la concurrencia de la legitimación activa, pues, de rechazarse, serían “inimpugnables en esta vía las leyes promulgadas durante o inmediatamente antes del interregno” (se citan entre otros los AATC 547/1989 de 15 de noviembre, FJ 3; y 24/1990, de 16 de enero, FJ 3). Asimismo, solicita al Tribunal que, según lo dispuesto en el art. 88.1 de la Ley Orgánica del Tribunal Constitucional (LOTC), recabe de las Cortes Generales el expediente de elaboración de la ley recurrida, incluyendo los diarios de sesiones en los que constan los debates parlamentarios sobre la misma, a los efectos de poder completar, en su caso, las alegaciones en el trámite procesal oportuno.</w:t>
      </w:r>
    </w:p>
    <w:p w:rsidR="0026452D" w:rsidRDefault="0026452D" w:rsidP="0026452D">
      <w:pPr>
        <w:pStyle w:val="TextoNormal"/>
      </w:pPr>
    </w:p>
    <w:p w:rsidR="0026452D" w:rsidRDefault="0026452D" w:rsidP="0026452D">
      <w:pPr>
        <w:pStyle w:val="TextoNormal"/>
      </w:pPr>
      <w:r>
        <w:t>Entrando en el fondo, el recurso reputa inconstitucional la disposición adicional sexagésima de la Ley 51/2007, de 26 de diciembre, de presupuestos generales del Estado para 2008, que otorga nueva redacción al segundo párrafo de la disposición adicional cuarta de la Ley 7/1988, de 5 de abril, de funcionamiento del Tribunal de Cuentas, para modificar la titulación necesaria para acceder al Cuerpo Superior de Auditores de dicha institución. Según el escrito de alegaciones, esta disposición no guarda relación alguna con el contenido mínimo, necesario e indisponible de la ley de presupuestos, excediendo así su función, perfilada por reiterada jurisprudencia constitucional.</w:t>
      </w:r>
    </w:p>
    <w:p w:rsidR="0026452D" w:rsidRDefault="0026452D" w:rsidP="0026452D">
      <w:pPr>
        <w:pStyle w:val="TextoNormal"/>
      </w:pPr>
    </w:p>
    <w:p w:rsidR="0026452D" w:rsidRDefault="0026452D" w:rsidP="0026452D">
      <w:pPr>
        <w:pStyle w:val="TextoNormal"/>
      </w:pPr>
      <w:r>
        <w:t xml:space="preserve">En apoyo de su alegación, cita la doctrina de este Tribunal, de acuerdo con la cual debe distinguirse en las leyes de presupuestos entre, por un lado, un contenido mínimo, necesario e indisponible —constituido por la expresión cifrada de la previsión de ingresos y la habilitación de gastos— y, por otro, un contenido posible, no necesario o eventual. Pues bien, este último sufre también limitaciones, sin que, por tanto, quepa en su seno la regulación de cualquier materia. De acuerdo con la jurisprudencia de este Tribunal, esta regulación sólo es constitucionalmente admisible si guarda relación directa con los ingresos y gastos integrantes del presupuesto o es “un complemento necesario para la mayor inteligencia y para la mejor ejecución del presupuesto y, en general, de la política económica del Gobierno (SSTC 76/1992, de 14 de mayo y 195/1994 de 23 de junio)”. Esta limitación material del contenido constitucionalmente posible enraíza en el art. 134.2 CE y se explica, no sólo por la función específica que la Constitución atribuye a esta norma, sino también por las particularidades del procedimiento parlamentario, traducidas en mayores restricciones a las facultades de los órganos legislativos de las que concurren en la tramitación de otros proyectos normativos. Además, esta exigencia proviene del principio de seguridad jurídica (9.3 CE), que protege la certeza de que una ley de presupuestos no contenga más disposiciones que </w:t>
      </w:r>
      <w:r>
        <w:lastRenderedPageBreak/>
        <w:t>las que a su función corresponden (</w:t>
      </w:r>
      <w:r w:rsidRPr="0026452D">
        <w:rPr>
          <w:i/>
        </w:rPr>
        <w:t>ex</w:t>
      </w:r>
      <w:r>
        <w:t xml:space="preserve"> arts. 66.2 y 134.2 CE), “debido a la incertidumbre que una regulación de este tipo origina”.</w:t>
      </w:r>
    </w:p>
    <w:p w:rsidR="0026452D" w:rsidRDefault="0026452D" w:rsidP="0026452D">
      <w:pPr>
        <w:pStyle w:val="TextoNormal"/>
      </w:pPr>
    </w:p>
    <w:p w:rsidR="0026452D" w:rsidRDefault="0026452D" w:rsidP="0026452D">
      <w:pPr>
        <w:pStyle w:val="TextoNormal"/>
      </w:pPr>
      <w:r>
        <w:t>Se solicita, en consecuencia, que este Tribunal declare la inconstitucionalidad y nulidad del precepto impugnado, ya que su inclusión en ley de presupuestos resulta contraria a los arts. 66.2 y 134.2 de la Constitución.</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15 de abril de 2008, el Pleno del Tribunal acordó admitir a trámite el recurso de inconstitucionalidad y, conforme al art. 10.2 LOTC, atribuir su conocimiento a la Sala Primera, a la que por turno objetivo le había correspondido, señalando de aplicación la doctrina contenida en las SSTC 238/2007, de 21 de noviembre; y 248/2007, de 13 de diciembre. Acordó asimismo, conforme al art. 34 LOTC, dar traslado de la demanda y documentos presentados al Congreso de los Diputados y al Senado, por conducto de sus Presidentes, y al Gobierno, a través del Ministro de Justicia, con el fin de que en el plazo de quince días pudieran personarse en el proceso y formular alegaciones, así como publicar la incoación del proceso en el “Boletín Oficial del Estado”, lo que se llevó a efecto en el núm. 100, de 25 de abril de 2008.</w:t>
      </w:r>
    </w:p>
    <w:p w:rsidR="0026452D" w:rsidRDefault="0026452D" w:rsidP="0026452D">
      <w:pPr>
        <w:pStyle w:val="TextoNormal"/>
      </w:pPr>
    </w:p>
    <w:p w:rsidR="0026452D" w:rsidRDefault="0026452D" w:rsidP="0026452D">
      <w:pPr>
        <w:pStyle w:val="TextoNormal"/>
      </w:pPr>
      <w:r w:rsidRPr="0026452D">
        <w:rPr>
          <w:rStyle w:val="NumeroAFNegritaCaracter"/>
        </w:rPr>
        <w:t>3</w:t>
      </w:r>
      <w:r>
        <w:t>. El 30 de abril de 2008 tuvo entrada en el Registro General de este Tribunal un escrito del Presidente del Senado por el que comunicaba el acuerdo de personación en el presente proceso con oferta de colaboración a los efectos del art. 88.1 LOTC que adoptó la Mesa de la Cámara.</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escrito presentado en el Registro General de este Tribunal el 8 de mayo de 2008, el Presidente del Congreso de los Diputados comunicó el acuerdo de la Mesa de la Cámara de dar por personada a la misma en el procedimiento, ofreciendo su colaboración a los efectos del art. 88.1 LOTC. Asimismo acordó su remisión a la dirección de estudios, análisis y publicaciones y a la asesoría jurídica de la Secretaría General.</w:t>
      </w:r>
    </w:p>
    <w:p w:rsidR="0026452D" w:rsidRDefault="0026452D" w:rsidP="0026452D">
      <w:pPr>
        <w:pStyle w:val="TextoNormal"/>
      </w:pPr>
    </w:p>
    <w:p w:rsidR="0026452D" w:rsidRDefault="0026452D" w:rsidP="0026452D">
      <w:pPr>
        <w:pStyle w:val="TextoNormal"/>
      </w:pPr>
      <w:r w:rsidRPr="0026452D">
        <w:rPr>
          <w:rStyle w:val="NumeroAFNegritaCaracter"/>
        </w:rPr>
        <w:t>5</w:t>
      </w:r>
      <w:r>
        <w:t>. El 14 de mayo de 2008 se registra en el Tribunal el escrito del Abogado del Estado, en la representación que legalmente ostenta, con las alegaciones que resumidamente se exponen:</w:t>
      </w:r>
    </w:p>
    <w:p w:rsidR="0026452D" w:rsidRDefault="0026452D" w:rsidP="0026452D">
      <w:pPr>
        <w:pStyle w:val="TextoNormal"/>
      </w:pPr>
    </w:p>
    <w:p w:rsidR="0026452D" w:rsidRDefault="0026452D" w:rsidP="0026452D">
      <w:pPr>
        <w:pStyle w:val="TextoNormal"/>
      </w:pPr>
      <w:r>
        <w:t>Comienza el Abogado del Estado por avenirse con los demandantes en lo relativo a la concurrencia de legitimidad activa, pese a la pérdida de la condición de Diputado de algunos de ellos. También a su modo de ver esa concurrencia se desprende claramente de la doctrina de este Tribunal (se cita la misma doctrina referida en la demanda; AATC 547/1989, de 15 de noviembre, FJ 3; y 24/1990, de 16 de enero, FJ 3).</w:t>
      </w:r>
    </w:p>
    <w:p w:rsidR="0026452D" w:rsidRDefault="0026452D" w:rsidP="0026452D">
      <w:pPr>
        <w:pStyle w:val="TextoNormal"/>
      </w:pPr>
    </w:p>
    <w:p w:rsidR="0026452D" w:rsidRDefault="0026452D" w:rsidP="0026452D">
      <w:pPr>
        <w:pStyle w:val="TextoNormal"/>
      </w:pPr>
      <w:r>
        <w:t xml:space="preserve">En cuanto al fondo, inicia el Abogado su alegato exponiendo la doctrina recogida en las SSTC 238/2007, de 21 de noviembre, FJ 4; y 248/2007, de 13 de diciembre, FJ 4, entre otras, sobre el contenido que la Constitución impone o permite a la ley de presupuestos. Destaca que la segunda de las Sentencias perfila un matiz nuevo, al disponer que “una vez admitido que la Ley de Presupuestos generales del Estado puede abordar una modificación directa y expresa de cualquier otra noma legal, insistimos, en tanto en cuanto dicha modificación respete los condicionamientos que para su incorporación al contenido eventual del instrumento presupuestario ha exigido este Tribunal, cabe añadir, a renglón seguido, que lo </w:t>
      </w:r>
      <w:r>
        <w:lastRenderedPageBreak/>
        <w:t>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La Ley de Presupuestos, como previsión de ingresos y autorización de gastos para un ejercicio dado, debe respetar, en tanto no las modifique expresamente, las exigencias previstas en el ordenamiento jurídico cuya ejecución responde, so pena de poder provocar, con su desconocimiento, situaciones de inseguridad jurídica contrarias al art. 9.3 CE”. A partir de lo anterior, precisa el Abogado del Estado que la disposición impugnada satisface el requisito de modificación expresa mediante Ley prexistente, toda vez que la disposición adicional cuarta, apartado dos, de la Ley 7/1988, de 5 de abril, de funcionamiento del Tribunal de Cuentas es reformada expresamente para ampliar la titulación de acceso al Cuerpo de Auditores del Tribunal de Cuentas.</w:t>
      </w:r>
    </w:p>
    <w:p w:rsidR="0026452D" w:rsidRDefault="0026452D" w:rsidP="0026452D">
      <w:pPr>
        <w:pStyle w:val="TextoNormal"/>
      </w:pPr>
    </w:p>
    <w:p w:rsidR="0026452D" w:rsidRDefault="0026452D" w:rsidP="0026452D">
      <w:pPr>
        <w:pStyle w:val="TextoNormal"/>
      </w:pPr>
      <w:r>
        <w:t>En cuanto a la conexión entre la norma impugnada —que establece la titulación precisa para acceder a un determinado cuerpo de funcionarios— y el objeto de la Ley de presupuestos, se alega que la doctrina de este Tribunal exige, no sólo una conexión con ingresos y gastos, con la política económica del Gobierno o con la mayor inteligencia o mejor ejecución presupuestaria, sino, además, que dicha conexión sea “directa”. Así acontece en este supuesto, pues la modificación de la citada disposición adicional cuarta apartado 2 de la Ley de funcionamiento del Tribunal de Cuentas tiene como objetivo ampliar las titulaciones de acceso al citado Cuerpo de Auditores. De esta manera, se reputa constitucional la disposición adicional sexagésima en la medida en que propicia una mejor política de personal en relación con los auditores, lo que ha de traducirse en una mayor perfección en la función de control de los ingresos y gastos estatales y de la gestión presupuestaria que corresponde al Tribunal de Cuentas. Dada la relevancia constitucional que para la mejor ejecución presupuestaria revisten las funciones que desempeña dicho órgano, debe entenderse que “cualquier extremo relativo a su funcionamiento —como es la regulación del acceso al Cuerpo Superior de Auditores— guarda conexión directa con la mejor ejecución presupuestaria”. Resulta evidente, afirma, que las técnicas de auditoría, que constituyen la esencial cualificación profesional de los auditores superiores, son necesarias para el ejercicio de la función fiscalizadora.</w:t>
      </w:r>
    </w:p>
    <w:p w:rsidR="0026452D" w:rsidRDefault="0026452D" w:rsidP="0026452D">
      <w:pPr>
        <w:pStyle w:val="TextoNormal"/>
      </w:pPr>
    </w:p>
    <w:p w:rsidR="0026452D" w:rsidRDefault="0026452D" w:rsidP="0026452D">
      <w:pPr>
        <w:pStyle w:val="TextoNormal"/>
      </w:pPr>
      <w:r>
        <w:t>A partir de los anteriores argumentos, se solicita la desestimación del recurso y, subsidiariamente, la limitación de los efectos de la eventual declaración de inconstitucionalidad, consistente en que la posible eficacia invalidante quede diferida hasta, como mínimo, la publicación de la sentencia, lo que se justifica en la protección de la seguridad jurídica, citándose en ese sentido, por todas, las SSTC 195/1998, de 1 de octubre, FJ 5; y 194/2004, de 10 de noviembre, FJ 24.</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24 de enero de 2013 se señaló el día 28 del mismo mes y año para deliberación y votación de la presente Sentencia.</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El presente recurso de inconstitucionalidad se interpone por cincuenta y siete Diputados del Grupo Parlamentario Popular en el Congreso, contra la disposición adicional sexagésima de la Ley 51/2007, de 26 de diciembre, de presupuestos generales del Estado para </w:t>
      </w:r>
      <w:r>
        <w:lastRenderedPageBreak/>
        <w:t>2008 (en adelante, Ley 51/2007). Este precepto otorga nueva redacción al segundo párrafo de la disposición adicional cuarta de la Ley 7/1988, de 5 de abril, de funcionamiento del Tribunal de Cuentas, en lo relativo a la titulación necesaria para acceder al Cuerpo Superior de Auditores del citado órgano.</w:t>
      </w:r>
    </w:p>
    <w:p w:rsidR="0026452D" w:rsidRDefault="0026452D" w:rsidP="0026452D">
      <w:pPr>
        <w:pStyle w:val="TextoNormal"/>
      </w:pPr>
    </w:p>
    <w:p w:rsidR="0026452D" w:rsidRDefault="0026452D" w:rsidP="0026452D">
      <w:pPr>
        <w:pStyle w:val="TextoNormal"/>
      </w:pPr>
      <w:r>
        <w:t>En la redacción anterior a la reforma, la indicada disposición adicional exigía para acceder al cuerpo mencionado estar en posesión del título de licenciado en ciencias económicas, licenciado en ciencias empresariales, intendente mercantil o actuario de seguros. Tras la modificación operada mediante la disposición controvertida, el precepto pasa a exigir el título de licenciado universitario, ingeniero superior, arquitecto, intendente mercantil o actuario de seguros, ampliando, por tanto, las titulaciones posibles para el acceso al Cuerpo Superior de Auditores del Tribunal de Cuentas.</w:t>
      </w:r>
    </w:p>
    <w:p w:rsidR="0026452D" w:rsidRDefault="0026452D" w:rsidP="0026452D">
      <w:pPr>
        <w:pStyle w:val="TextoNormal"/>
      </w:pPr>
    </w:p>
    <w:p w:rsidR="0026452D" w:rsidRDefault="0026452D" w:rsidP="0026452D">
      <w:pPr>
        <w:pStyle w:val="TextoNormal"/>
      </w:pPr>
      <w:r>
        <w:t>La demanda reputa inconstitucional la citada disposición adicional sexagésima por establecerse en contra de los arts. 66.2 y 134.2 CE dentro de una Ley de presupuestos sin guardar relación alguna con el contenido mínimo, necesario e indisponible de este tipo legislativo ni tampoco con el denominado contenido eventual. El Abogado del Estado interesa la desestimación del recurso por entender que concurre la necesaria conexión entre la norma impugnada y la materia que puede ser objeto de ley de presupuestos, de acuerdo con la jurisprudencia de este Tribunal, particularmente las SSTC 238/2007, de 21 de noviembre, FJ 4: y 248/2007, de 13 de diciembre, FJ 4.</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proceder al enjuiciamiento del precepto recurrido, debemos pronunciarnos sobre la subsistencia del objeto de este proceso constitucional. Las leyes de presupuestos, por su propia naturaleza, pierden vigencia de acuerdo con el principio de anualidad (art. 134.2 CE). Conforme a reiterada doctrina de este Tribunal, la derogación de la norma legal impugnada produce, con carácter general, efectos extintivos del proceso constitucional (por todas, SSTC 19/2012, de 15 de febrero, FJ 2; y 216/2012, de 14 de noviembre, FJ 2, con cita de otras muchas). Esta regla tiene, sin embargo, excepciones, entre las que se halla, precisamente, el supuesto de las leyes de presupuestos. Su pérdida de vigencia no puede sin más determinar la desaparición del objeto de los recursos de inconstitucionalidad contra ellas interpuestos, pues sería tanto como admitir que hay un ámbito normativo, estatal o autonómico, que resulta “inmune al control de la jurisdicción constitucional” [SSTC 3/2003, de 16 de enero, FJ 2; 13/2007, de 18 de enero, FJ 1; 248/2007, de 13 de diciembre, FJ 2; 204/2011, de 15 de diciembre, FJ 2 a)].</w:t>
      </w:r>
    </w:p>
    <w:p w:rsidR="0026452D" w:rsidRDefault="0026452D" w:rsidP="0026452D">
      <w:pPr>
        <w:pStyle w:val="TextoNormal"/>
      </w:pPr>
    </w:p>
    <w:p w:rsidR="0026452D" w:rsidRDefault="0026452D" w:rsidP="0026452D">
      <w:pPr>
        <w:pStyle w:val="TextoNormal"/>
      </w:pPr>
      <w:r>
        <w:t>Por lo demás, la parte articulada de las leyes de presupuestos, en la medida en que contenga disposiciones de carácter general, ni siquiera tiene automáticamente vigencia anual, a diferencia del núcleo que reiteradamente hemos calificado de “esencial”, constituido por la previsión de ingresos y la habilitación de gastos [por todas, STC 76/1992, de 14 de mayo, FJ 4 a)]. La doctrina del Tribunal tiene plenamente admitido que hay que distinguir —en orden a determinar su vigencia— la diferente naturaleza de las disposiciones de la ley de presupuestos, pues las puramente presupuestarias —esto es, las recogidas en su contenido mínimo o necesario— tendrán, en principio, una vigencia exclusivamente anual (STC 3/2003, de 16 de enero, FJ 5), mientras que el texto articulado tiene, también como regla general, vocación de permanencia (SSTC 65/1990, de 5 de abril, FJ 3; 32/2000, de 3 de febrero, FJ 6; 274/2000, de 15 de noviembre, FJ 4; y 34/2005, de 17 de febrero, FJ 5).</w:t>
      </w:r>
    </w:p>
    <w:p w:rsidR="0026452D" w:rsidRDefault="0026452D" w:rsidP="0026452D">
      <w:pPr>
        <w:pStyle w:val="TextoNormal"/>
      </w:pPr>
    </w:p>
    <w:p w:rsidR="0026452D" w:rsidRDefault="0026452D" w:rsidP="0026452D">
      <w:pPr>
        <w:pStyle w:val="TextoNormal"/>
      </w:pPr>
      <w:r>
        <w:lastRenderedPageBreak/>
        <w:t>En este caso, la disposición controvertida se incluyó sin vigencia limitada dentro del texto articulado de la Ley de presupuestos generales para 2008. Al haberse aprobado con vocación de permanencia y no haber sido modificada o derogada después, sigue en vigor, por lo que es claro que pervive el objeto del presente proceso constitucional.</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Entrando en el fondo del asunto, para examinar el reproche de inconstitucionalidad dirigido contra la disposición adicional sexagésima de la Ley 51/2007, procede recapitular brevemente la extensa y consolidada doctrina de este Tribunal, que conocen las partes y que ha sido ya recogida en buena medida en los Antecedentes. Sentado que la Ley de presupuestos es ley en sentido pleno y superada la antigua controversia sobre su carácter formal o material (SSTC 27/1981, de 20 de julio, FJ 2; 63/1986, de 21 de mayo, FJ 5; 68/1987, de 21 de mayo, FJ 4; 76/1992, de 14 de mayo, FJ 4; 274/2000, de 15 de noviembre, FJ 4; y 3/2003, de 16 de enero, FJ 4), este Tribunal ha insistido reiteradamente en que el contenido que le corresponde está constitucionalmente delimitado, en tanto que norma de ordenación jurídica del gasto público </w:t>
      </w:r>
      <w:r w:rsidRPr="0026452D">
        <w:rPr>
          <w:i/>
        </w:rPr>
        <w:t>ex</w:t>
      </w:r>
      <w:r>
        <w:t xml:space="preserve"> art. 134 CE. La Constitución establece la reserva de un contenido de ley de presupuestos, lo que significa que la norma debe ceñirse a ese contenido y también que ese contenido sólo puede ser regulado por ella (STC 3/2003, FJ 4).</w:t>
      </w:r>
    </w:p>
    <w:p w:rsidR="0026452D" w:rsidRDefault="0026452D" w:rsidP="0026452D">
      <w:pPr>
        <w:pStyle w:val="TextoNormal"/>
      </w:pPr>
    </w:p>
    <w:p w:rsidR="0026452D" w:rsidRDefault="0026452D" w:rsidP="0026452D">
      <w:pPr>
        <w:pStyle w:val="TextoNormal"/>
      </w:pPr>
      <w:r>
        <w:t>Esta limitación de contenido deriva del art. 134 CE y se justifica, como reiteramos en la STC 32/2000, de 3 de febrero (FJ 5), con cita de otras anteriores, “no sólo por la función específica que le atribuye la Constitución ..., sino también porque se trata de una Ley que, por las peculiaridades y especificidades que presenta su tramitación parlamentaria, conlleva restricciones a las facultades de los órganos legislativos en relación con la tramitación de otros proyectos o proposiciones de Ley”, de manera que dicha limitación es “una exigencia del principio de seguridad jurídica constitucionalmente garantizado (art. 9.3 CE) esto es, de la certeza del Derecho que exige que una Ley de contenido constitucionalmente definido, como es la Ley de Presupuestos Generales del Estado, no contenga más disposiciones que las que guardan correspondencia con su función constitucional (arts. 66.2 y 134.2 CE), debido a la incertidumbre que una regulación de este tipo indudablemente origina” (STC 32/2000, FJ 5).</w:t>
      </w:r>
    </w:p>
    <w:p w:rsidR="0026452D" w:rsidRDefault="0026452D" w:rsidP="0026452D">
      <w:pPr>
        <w:pStyle w:val="TextoNormal"/>
      </w:pPr>
    </w:p>
    <w:p w:rsidR="0026452D" w:rsidRDefault="0026452D" w:rsidP="0026452D">
      <w:pPr>
        <w:pStyle w:val="TextoNormal"/>
      </w:pPr>
      <w:r>
        <w:t>Por tanto, la función constitucional de la norma con las consecuentes restricciones al debate parlamentario (apartados 1, 6 y 7 del art. 134 CE) fundamenta en última instancia la limitación del contenido posible de las leyes de presupuestos. Además, estas desempeñan un cometido esencial dentro de un Estado de Derecho, al permitir a los ciudadanos tener una idea cabal, una visión de conjunto, del plan económico del Gobierno, lo que se traduce en la exigencia de que incluyan “la totalidad de los gastos e ingresos de sector público estatal” (STC 3/2003, de 16 de enero, FJ 4, con cita de otras muchas). Pues bien, estas limitaciones objetivas se manifiestan concretamente en un doble contenido, esencial y eventual:</w:t>
      </w:r>
    </w:p>
    <w:p w:rsidR="0026452D" w:rsidRDefault="0026452D" w:rsidP="0026452D">
      <w:pPr>
        <w:pStyle w:val="TextoNormal"/>
      </w:pPr>
    </w:p>
    <w:p w:rsidR="0026452D" w:rsidRDefault="0026452D" w:rsidP="0026452D">
      <w:pPr>
        <w:pStyle w:val="TextoNormal"/>
      </w:pPr>
      <w:r>
        <w:t xml:space="preserve">a) El primero es el contenido propio, o núcleo esencial, del presupuesto y está formado por la previsión de ingresos y la habilitación de gastos para un ejercicio económico, así como por las normas que directamente desarrollan y aclaran los estados cifrados (SSTC 3/2003, de 16 de enero, FJ 4; 202/2003, de 17 de noviembre, FJ 9; 34/2005, de 17 de febrero, FJ 4; 238/2007, de 21 de noviembre, FJ 4; y 248/2007, de 13 de diciembre, FJ 4). Este contenido mínimo, formado fundamentalmente por las correspondientes partidas presupuestarias, debe ser coherente con el ordenamiento jurídico vigente, como declaramos en las SSTC 238/2007, de 21 de noviembre, FJ 4; y 248/2007, de 13 de diciembre, FJ 4: “la Ley </w:t>
      </w:r>
      <w:r>
        <w:lastRenderedPageBreak/>
        <w:t>de presupuestos, como previsión de ingresos y autorización de gastos para un ejercicio dado, debe respetar, en tanto no las modifique expresamente, las exigencias previstas en el ordenamiento jurídico a cuya ejecución responde, so pena de poder provocar, con su desconocimiento, situaciones de inseguridad jurídica contrarias al art. 9.3 CE”. Dicho de otra manera, la ley de presupuestos, o innova el ordenamiento jurídico expresamente y con carácter de permanencia —lo que sólo es constitucionalmente admisible cuando la previsión reformadora pueda formar parte del contenido que es propio de este tipo legislativo— o concreta, mediante las correspondientes partidas, las consecuencias que el ordenamiento jurídico vigente proyecta sobre el presupuesto, sin que en este caso sus disposiciones puedan ejecutar modificaciones implícitas.</w:t>
      </w:r>
    </w:p>
    <w:p w:rsidR="0026452D" w:rsidRDefault="0026452D" w:rsidP="0026452D">
      <w:pPr>
        <w:pStyle w:val="TextoNormal"/>
      </w:pPr>
    </w:p>
    <w:p w:rsidR="0026452D" w:rsidRDefault="0026452D" w:rsidP="0026452D">
      <w:pPr>
        <w:pStyle w:val="TextoNormal"/>
      </w:pPr>
      <w:r>
        <w:t>b) El segundo, que venimos calificando de “eventual o disponible”, se refiere a todas aquellas disposiciones que, sin constituir directamente una previsión de ingresos o habilitación de gastos, guardan “una relación directa con los ingresos o gastos del Estado, responden a los criterios de política económica del Gobierno o, en fin, se dirigen a una mayor inteligencia o mejor ejecución del presupuesto” (por todas, con cita de anteriores, STC 248/2007, de 13 de diciembre, FJ 4). De esta manera, aunque es posible que la ley de presupuestos sea un “instrumento para la mera adaptación circunstancial de las distintas normas”, no tienen en ella cabida las modificaciones sustantivas del ordenamiento jurídico a menos que guarden “una conexión económica (relación directa con los ingresos o gastos del Estado o vehículo director de la política económica del Gobierno) o presupuestaria (para una mayor inteligencia o mejor ejecución del presupuesto)” (STC 109/2001, de 26 de abril, FJ 6, con cita de anteriores). Así, hemos considerado que forma parte del contenido eventual una medida que tiene como consecuencia directa la reducción del gasto público (STC 65/1990, de 5 de abril, FJ 3, sobre normas de incompatibilidad de percepción de haberes activos y de pensiones) o su aumento (STC 237/1992, de 15 de diciembre, relativa al incremento de retribuciones salariales para el personal al servicio de las Administraciones Públicas), así como la creación de un complemento retributivo para determinados cargos públicos (STC 32/2000, de 3 de febrero). Pero hemos situado extramuros del contenido constitucionalmente admisible múltiples previsiones no directamente económicas o presupuestarias. Así, en materia de función pública, por ejemplo, las relativas los procedimientos de acceso de los funcionarios sanitarios locales interinos a la categoría de funcionarios de carrera (STC 174/1998, de 23 de julio, FFJJ 6 y 7) o de provisión de los puestos de trabajo del personal sanitario (STC 203/1998, de 15 de octubre, FFJJ 3 a 5); y a la edad de pase a la situación de segunda actividad de los funcionarios del Cuerpo Nacional de Policía (STC 234/1999, de 16 de diciembre, FFJJ 4 y 5).</w:t>
      </w:r>
    </w:p>
    <w:p w:rsidR="0026452D" w:rsidRDefault="0026452D" w:rsidP="0026452D">
      <w:pPr>
        <w:pStyle w:val="TextoNormal"/>
      </w:pPr>
    </w:p>
    <w:p w:rsidR="0026452D" w:rsidRDefault="0026452D" w:rsidP="0026452D">
      <w:pPr>
        <w:pStyle w:val="TextoNormal"/>
      </w:pPr>
      <w:r w:rsidRPr="0026452D">
        <w:rPr>
          <w:rStyle w:val="NumeroAFNegritaCaracter"/>
        </w:rPr>
        <w:t>4</w:t>
      </w:r>
      <w:r>
        <w:t>. Hemos de examinar a la luz de esta doctrina si la disposición adicional sexagésima de la Ley 51/2007, objeto del presente recurso de inconstitucionalidad, forma o no parte del contenido admisible para este tipo normativo. Como ha quedado expuesto en el fundamento primero, el precepto flexibiliza las condiciones para acceder al Cuerpo Superior de Auditores del Tribunal de Cuentas, con la consecuencia de que, si antes de la reforma era preciso ser licenciado en ciencias económicas o en ciencias empresariales, intendente mercantil o actuario de seguros, después de ella basta el título de licenciado universitario, ingeniero superior, arquitecto, intendente mercantil o actuario de seguros.</w:t>
      </w:r>
    </w:p>
    <w:p w:rsidR="0026452D" w:rsidRDefault="0026452D" w:rsidP="0026452D">
      <w:pPr>
        <w:pStyle w:val="TextoNormal"/>
      </w:pPr>
    </w:p>
    <w:p w:rsidR="0026452D" w:rsidRDefault="0026452D" w:rsidP="0026452D">
      <w:pPr>
        <w:pStyle w:val="TextoNormal"/>
      </w:pPr>
      <w:r>
        <w:t xml:space="preserve">Esta regulación puede fácilmente adscribirse a la materia “función pública”, al referirse al régimen de acceso a uno de los cuerpos específicos que sirven al Tribunal de Cuentas. </w:t>
      </w:r>
      <w:r>
        <w:lastRenderedPageBreak/>
        <w:t>No se está, pues, ante una medida directamente incidente sobre el presupuesto que forme parte del denominado contenido mínimo, necesario e indisponible de estas leyes; no cifra ingresos ni habilita gastos ni aclara o desarrolla los estados cifrados. Por tanto, la constitucionalidad del precepto depende de si puede o no vincularse al llamado “contenido eventual”, lo que presupone una conexión económica o presupuestaria suficiente, en los términos vistos.</w:t>
      </w:r>
    </w:p>
    <w:p w:rsidR="0026452D" w:rsidRDefault="0026452D" w:rsidP="0026452D">
      <w:pPr>
        <w:pStyle w:val="TextoNormal"/>
      </w:pPr>
    </w:p>
    <w:p w:rsidR="0026452D" w:rsidRDefault="0026452D" w:rsidP="0026452D">
      <w:pPr>
        <w:pStyle w:val="TextoNormal"/>
      </w:pPr>
      <w:r>
        <w:t>Ciertamente, la disposición controvertida atañe principalmente al empleo público, aunque pudiera relativamente conectarse con la materia presupuestaria. Dadas las actividades fiscalizadoras propias del Tribunal de Cuentas, el precepto afecta indirectamente a la fase de control del presupuesto, que es una de las que componen el ciclo presupuestario (art. 134 CE), junto a las de elaboración, aprobación y ejecución. Lo ha subrayado el Abogado del Estado, mediante la expresión de la secuencia causal siguiente: la norma flexibiliza los requisitos de acceso al Cuerpo Superior de Auditores del Tribunal de Cuentas; tal flexibilización puede mejorar la política de personal en relación con los auditores; y tal mejora puede redundar en una mayor perfección de la función de control de los ingresos y gastos estatales y de la gestión presupuestaria que corresponde al Tribunal de Cuentas.</w:t>
      </w:r>
    </w:p>
    <w:p w:rsidR="0026452D" w:rsidRDefault="0026452D" w:rsidP="0026452D">
      <w:pPr>
        <w:pStyle w:val="TextoNormal"/>
      </w:pPr>
    </w:p>
    <w:p w:rsidR="0026452D" w:rsidRDefault="0026452D" w:rsidP="0026452D">
      <w:pPr>
        <w:pStyle w:val="TextoNormal"/>
      </w:pPr>
      <w:r>
        <w:t>Sin embargo, a los efectos de la delimitación del contenido admisible de la ley de presupuestos, tal conexión es claramente insuficiente, pues no expresa una relación “directa” de la norma con los ingresos o gastos estatales, con la política económica del gobierno o con la inteligencia y ejecución del presupuesto. Son muchísimas las medidas normativas susceptibles de tener alguna incidencia en cualquiera de estos aspectos, pero si esto fuera suficiente, los límites materiales que afectan a las leyes de presupuestos quedarían desnaturalizados; se diluirían hasta devenir prácticamente inoperantes (por todas, STC 234/1999, de 16 de diciembre, FJ 5). Aceptar que la conexión funcional del Tribunal de Cuentas y de sus funcionarios con la materia presupuestaria expresa la relación directa que exige la jurisprudencia constitucional entre la disposición recurrida y los presupuestos implicaría que esta pudiese regular todos los colectivos funcionariales que desempeñan tareas relacionadas con ingresos y gastos públicos en contra de la configuración constitucional de este tipo legislativo como “Ley de contenido constitucionalmente definido” (STC 32/2000, FJ 5).</w:t>
      </w:r>
    </w:p>
    <w:p w:rsidR="0026452D" w:rsidRDefault="0026452D" w:rsidP="0026452D">
      <w:pPr>
        <w:pStyle w:val="TextoNormal"/>
      </w:pPr>
    </w:p>
    <w:p w:rsidR="0026452D" w:rsidRDefault="0026452D" w:rsidP="0026452D">
      <w:pPr>
        <w:pStyle w:val="TextoNormal"/>
      </w:pPr>
      <w:r>
        <w:t>En consecuencia, no concurre la indispensable relación directa o inmediata de la modificación con los gastos e ingresos que integran el presupuesto ni cabe entender que esté justificada por suponer “un complemento necesario para la mayor inteligencia y para la mejor y más eficaz ejecución del Presupuesto y, en general, de la política económica del Gobierno” [STC 76/1992, FJ 4 a)]. La modificación operada en la Ley 7/1988 de funcionamiento del Tribunal de Cuentas está fuera del contenido constitucionalmente admisible de una ley de presupuestos, por lo que es contraria a la Constitución (arts. 66.2 y 134.2).</w:t>
      </w:r>
    </w:p>
    <w:p w:rsidR="0026452D" w:rsidRDefault="0026452D" w:rsidP="0026452D">
      <w:pPr>
        <w:pStyle w:val="TextoNormal"/>
      </w:pPr>
    </w:p>
    <w:p w:rsidR="0026452D" w:rsidRDefault="0026452D" w:rsidP="0026452D">
      <w:pPr>
        <w:pStyle w:val="TextoNormal"/>
      </w:pPr>
      <w:r>
        <w:t>Debemos, en consecuencia, declarar la inconstitucionalidad y la nulidad de la disposición adicional sexagésima de la Ley 51/2007, de 26 de diciembre, de presupuestos generales del Estado para 2008, por traspasar los límites constitucionales de contenido para esta modalidad legal al dar una nueva redacción al segundo párrafo de la disposición adicional cuarta de la Ley 7/1988, de 5 de abril, de funcionamiento del Tribunal de Cuentas.</w:t>
      </w:r>
    </w:p>
    <w:p w:rsidR="0026452D" w:rsidRDefault="0026452D" w:rsidP="0026452D">
      <w:pPr>
        <w:pStyle w:val="TextoNormal"/>
      </w:pPr>
    </w:p>
    <w:p w:rsidR="0026452D" w:rsidRDefault="0026452D" w:rsidP="0026452D">
      <w:pPr>
        <w:pStyle w:val="TextoNormal"/>
      </w:pPr>
      <w:r>
        <w:lastRenderedPageBreak/>
        <w:t>Hay que tener presente que pueden haberse celebrado procesos selectivos al amparo de la norma que ahora declaramos inconstitucional durante el tiempo trascurrido entre la interposición del recurso de inconstitucionalidad y esta Sentencia. Nuestra declaración de inconstitucionalidad y nulidad no deberá afectar a estos procesos, pues, en estas circunstancias, el principio constitucional de seguridad jurídica (art. 9.3 CE) reclama salvaguardar la intangibilidad de las situaciones jurídicas consolidadas, es decir, no sólo las decididas con fuerza de cosa juzgada, sino también las situaciones administrativas firmes, según hemos decidido en casos similares (recientemente, STC 27/2012, de 1 de marzo, FJ 10, con cita de las SSTC 45/1989, de 20 de febrero, FJ 11; 180/2000, de 29 de junio, FJ 7; y 54/2002, de 27 de febrero, FJ 9).</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Declarar inconstitucional y nula la disposición adicional sexagésima de la Ley 51/2007, de 26 de diciembre, de presupuestos generales del Estado para 2008, en cuanto que da nueva redacción al segundo párrafo de la disposición adicional cuarta de la Ley 7/1988, de 5 de abril, de funcionamiento del Tribunal de Cuentas, con los efectos señalados en último párrafo del fundamento jurídico 4 de esta Sentencia.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veintiocho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3" w:name="SENTENCIA_2013_10"/>
      <w:r>
        <w:lastRenderedPageBreak/>
        <w:t>SENTENCIA 10/2013, de 28 de enero de 2013</w:t>
      </w:r>
    </w:p>
    <w:bookmarkEnd w:id="13"/>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ECLI:ES:TC:2013:10</w:t>
      </w:r>
    </w:p>
    <w:p w:rsidR="0026452D" w:rsidRDefault="0026452D" w:rsidP="0026452D">
      <w:pPr>
        <w:pStyle w:val="SntesisDescriptiva"/>
      </w:pPr>
    </w:p>
    <w:p w:rsidR="0026452D" w:rsidRDefault="0026452D" w:rsidP="0026452D">
      <w:pPr>
        <w:pStyle w:val="SntesisDescriptiva"/>
      </w:pPr>
      <w:r>
        <w:t>Recurso de amparo 2741-2010. Promovido por doña Maider Ziganda Población y otras seis personas más respecto de las resoluciones de la Sala Especial del Tribunal Supremo del artículo 61 de la Ley Orgánica del Poder Judicial que acordaron la disolución de los grupos municipales de Acción Nacionalista Vasca/Eusko Abertzale Ekintza.</w:t>
      </w:r>
    </w:p>
    <w:p w:rsidR="0026452D" w:rsidRDefault="0026452D" w:rsidP="0026452D">
      <w:pPr>
        <w:pStyle w:val="SntesisDescriptiva"/>
      </w:pPr>
    </w:p>
    <w:p w:rsidR="0026452D" w:rsidRDefault="0026452D" w:rsidP="0026452D">
      <w:pPr>
        <w:pStyle w:val="SntesisAnaltica"/>
      </w:pPr>
      <w:r>
        <w:t>Supuesta vulneración de los derechos al ejercicio de los cargos públicos y a la tutela judicial efectiva: disolución de grupos municipales coherente con las resoluciones judiciales declaratorias de la ilegalidad de un partido político y que no lesiona la función representativa de los concejales que los integraban.</w:t>
      </w:r>
    </w:p>
    <w:p w:rsidR="0026452D" w:rsidRDefault="0026452D" w:rsidP="0026452D">
      <w:pPr>
        <w:pStyle w:val="SntesisAnaltica"/>
      </w:pPr>
    </w:p>
    <w:p w:rsidR="0026452D" w:rsidRDefault="0026452D" w:rsidP="0026452D">
      <w:pPr>
        <w:pStyle w:val="Extracto"/>
      </w:pPr>
      <w:r>
        <w:t>1.</w:t>
      </w:r>
      <w:r>
        <w:tab/>
        <w:t>El procedimiento de ejecución de Sentencia realizado por la Sala Especial del Tribunal Supremo presenta un sentido teleológico perfectamente cohonestado con lo decidido en el fallo de la resolución judicial a la que se pretende dar virtualidad ya que responde, de manera motivada y razonada, al mandato impuesto por el art. 12.1 a) LOPP, lo que en este caso se traduce en la inexcusable necesidad de impedir la continuación de las actividades de la organización política ilegalizada a través del grupo político municipal [FJ 2].</w:t>
      </w:r>
    </w:p>
    <w:p w:rsidR="0026452D" w:rsidRDefault="0026452D" w:rsidP="0026452D">
      <w:pPr>
        <w:pStyle w:val="Extracto"/>
      </w:pPr>
    </w:p>
    <w:p w:rsidR="0026452D" w:rsidRDefault="0026452D" w:rsidP="0026452D">
      <w:pPr>
        <w:pStyle w:val="Extracto"/>
      </w:pPr>
      <w:r>
        <w:t>2.</w:t>
      </w:r>
      <w:r>
        <w:tab/>
        <w:t>Doctrina sobre el derecho a la ejecución de las sentencias (SSTC 41/1993, 22/2009) [FJ 2].</w:t>
      </w:r>
    </w:p>
    <w:p w:rsidR="0026452D" w:rsidRDefault="0026452D" w:rsidP="0026452D">
      <w:pPr>
        <w:pStyle w:val="Extracto"/>
      </w:pPr>
    </w:p>
    <w:p w:rsidR="0026452D" w:rsidRDefault="0026452D" w:rsidP="0026452D">
      <w:pPr>
        <w:pStyle w:val="Extracto"/>
      </w:pPr>
      <w:r>
        <w:t>3.</w:t>
      </w:r>
      <w:r>
        <w:tab/>
        <w:t>La disolución del grupo municipal de ANV/EAE se realizó por el Tribunal Supremo en ejecución de Sentencia sin lesión del derecho a la tutela judicial efectiva –</w:t>
      </w:r>
      <w:r w:rsidRPr="0026452D">
        <w:rPr>
          <w:i/>
        </w:rPr>
        <w:t>ex</w:t>
      </w:r>
      <w:r>
        <w:t xml:space="preserve"> art. 24.1 CE–  y de manera respetuosa con el derecho reconocido en el art. 23 CE, pues aunque la disolución del grupo municipal afecta a determinadas facultades de los concejales electos, se mantiene a aquellos en el mandato representativo de los votantes no excluyendo ni su participación en el proceso de decisiones del consistorio ni su capacidad de control del ejercicio del poder municipal y fiscalización del gasto, de modo que ni la consideración como concejales no adscritos ni las consecuencias que de ello se derivan, vulneran el derecho a ejercer su </w:t>
      </w:r>
      <w:r w:rsidRPr="0026452D">
        <w:rPr>
          <w:i/>
        </w:rPr>
        <w:t>ius in officium</w:t>
      </w:r>
      <w:r>
        <w:t xml:space="preserve"> [FJ 3].</w:t>
      </w:r>
    </w:p>
    <w:p w:rsidR="0026452D" w:rsidRDefault="0026452D" w:rsidP="0026452D">
      <w:pPr>
        <w:pStyle w:val="Extracto"/>
      </w:pPr>
    </w:p>
    <w:p w:rsidR="0026452D" w:rsidRDefault="0026452D" w:rsidP="0026452D">
      <w:pPr>
        <w:pStyle w:val="Extracto"/>
      </w:pPr>
      <w:r>
        <w:t>4.</w:t>
      </w:r>
      <w:r>
        <w:tab/>
        <w:t>La disolución del grupo municipal que pretende la resolución recurrida en amparo, no presenta una naturaleza penal ni sancionadora que hiciese exigible el principio de taxatividad propio de lo sancionador (STC 5/2004) [FJ 3].</w:t>
      </w:r>
    </w:p>
    <w:p w:rsidR="0026452D" w:rsidRDefault="0026452D" w:rsidP="0026452D">
      <w:pPr>
        <w:pStyle w:val="Extracto"/>
      </w:pPr>
    </w:p>
    <w:p w:rsidR="0026452D" w:rsidRDefault="0026452D" w:rsidP="0026452D">
      <w:pPr>
        <w:pStyle w:val="Extracto"/>
      </w:pPr>
      <w:r>
        <w:t>5.</w:t>
      </w:r>
      <w:r>
        <w:tab/>
        <w:t>Doctrina sobre los límites al control por el Tribunal Constitucional del ejercicio de la potestad de hacer ejecutar lo juzgado (SSTC 209/2005, 180/2006) [FJ 2].</w:t>
      </w:r>
    </w:p>
    <w:p w:rsidR="0026452D" w:rsidRDefault="0026452D" w:rsidP="0026452D">
      <w:pPr>
        <w:pStyle w:val="Extracto"/>
      </w:pPr>
    </w:p>
    <w:p w:rsidR="0026452D" w:rsidRDefault="0026452D" w:rsidP="0026452D">
      <w:pPr>
        <w:pStyle w:val="Extracto"/>
      </w:pPr>
      <w:r>
        <w:t>6.</w:t>
      </w:r>
      <w:r>
        <w:tab/>
        <w:t xml:space="preserve">Doctrina sobre el derecho de acceso a los cargos y empleos públicos </w:t>
      </w:r>
      <w:r w:rsidRPr="0026452D">
        <w:rPr>
          <w:i/>
        </w:rPr>
        <w:t>ex</w:t>
      </w:r>
      <w:r>
        <w:t xml:space="preserve"> art. 23.2 CE (SSTC 5/1983, 64/2002) [FJ 3].</w:t>
      </w:r>
    </w:p>
    <w:p w:rsidR="0026452D" w:rsidRDefault="0026452D" w:rsidP="0026452D">
      <w:pPr>
        <w:pStyle w:val="Extracto"/>
      </w:pPr>
    </w:p>
    <w:p w:rsidR="0026452D" w:rsidRDefault="0026452D" w:rsidP="0026452D">
      <w:pPr>
        <w:pStyle w:val="Extracto"/>
      </w:pPr>
      <w:r>
        <w:t>7.</w:t>
      </w:r>
      <w:r>
        <w:tab/>
        <w:t>Doctrina sobre la función representativa de los miembros de las corporaciones locales (SSTC 169/2009, 117/2012) [FJ 3].</w:t>
      </w:r>
    </w:p>
    <w:p w:rsidR="0026452D" w:rsidRDefault="0026452D" w:rsidP="0026452D">
      <w:pPr>
        <w:pStyle w:val="Extracto"/>
      </w:pPr>
    </w:p>
    <w:p w:rsidR="0026452D" w:rsidRDefault="0026452D" w:rsidP="0026452D">
      <w:pPr>
        <w:pStyle w:val="Extracto"/>
      </w:pPr>
      <w:r>
        <w:t>8.</w:t>
      </w:r>
      <w:r>
        <w:tab/>
        <w:t xml:space="preserve">Los recurrentes tuvieron oportunidad suficiente en el procedimiento de ejecución para formular alegaciones y aportar las pruebas oportunas sobre la ausencia de conexión o vinculación del grupo municipal con el partido político ilegalizado y, en cuanto a su inexistente intervención en el proceso de ilegalización del partido, no especifican los concretos medios de alegación o prueba de los que se habrían visto privados, ni cómo la práctica de los mismos habría mutado el resultado final, por lo que debe rechazarse la vulneración del derecho a la tutela judicial efectiva sin indefensión [FJ 4]. </w:t>
      </w:r>
    </w:p>
    <w:p w:rsidR="0026452D" w:rsidRDefault="0026452D" w:rsidP="0026452D">
      <w:pPr>
        <w:pStyle w:val="Extracto"/>
      </w:pPr>
    </w:p>
    <w:p w:rsidR="0026452D" w:rsidRDefault="0026452D" w:rsidP="0026452D">
      <w:pPr>
        <w:pStyle w:val="Extracto"/>
      </w:pPr>
      <w:r>
        <w:t>9.</w:t>
      </w:r>
      <w:r>
        <w:tab/>
        <w:t>Doctrina sobre la indefensión de las partes con origen en infracciones o irregularidades procesales cometidas por los órganos judiciales (SSTC 128/1998, 42/2011) [FJ 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Ignacio Ortega Álvarez y don Francisco Pérez de los Cobos Orihuel,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2741-2010, promovido por doña Maider Ziganda Población, doña Obdulia Lorenzo de Dios, doña Edurne Baztarrica Bilbao, don Ander Poza Olabide, don Iñaki Garmendia Agirregabiria, don Alvaro Ricon Rivera y don Iosu Bengoechea Echeverría, todos ellos concejales del Ayuntamiento de Pasaia, integrantes del grupo político Pasaiako Eusko Abertzale Ekintza/Acción Nacionalista Vasca, representados por la Procuradora de los Tribunales doña Ana Lobera Arguelles y asistidos por el Letrado don Iñigo Santxo Uriarte, contra el Auto de 19 de enero de 2010 de la Sala Especial del Tribunal Supremo del artículo 61 de la Ley Orgánica del Poder Judicial, dictado en el procedimiento de Ejecución núm. 2-2008 dimanante de los Autos acumulados núms 5/2008 y 6/2008 sobre declaración de legalidad del partido político Acción Nacionalista Vasca/Eusko Abertzale Ekintza (ANV/EAE), por el que se desestima el recurso de reposición interpuesto contra el Auto de 16 de julio de 2009 que acordaba la disolución de los grupos municipales de ANV/EAE. Ha sido Ponente el Magistrado don Ramón Rodríguez Arribas, quien expresa el parecer del Tribunal.</w:t>
      </w:r>
    </w:p>
    <w:p w:rsidR="0026452D" w:rsidRDefault="0026452D" w:rsidP="0026452D">
      <w:pPr>
        <w:pStyle w:val="TextoNormal"/>
      </w:pPr>
    </w:p>
    <w:p w:rsidR="0026452D" w:rsidRDefault="0026452D" w:rsidP="0026452D">
      <w:pPr>
        <w:pStyle w:val="TextoNormalNegritaCentrado"/>
        <w:keepNext/>
      </w:pPr>
      <w:r>
        <w:lastRenderedPageBreak/>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con fecha de 30 de marzo de 2010 la Procuradora de los Tribunales doña Ana Lobera Arguelles, en representación de doña Maider Ziganda Población, doña Obdulia Lorenzo de Dios, doña Edurne Baztarrica Bilbao, don Ander Poza Olabide, don Iñaki Garmendia Agirregabiria, don Alvaro Ricon Rivera y don Iosu Bengoechea Echeverría, todos ellos concejales del Ayuntamiento de Pasaia, integrantes del Grupo político Pasaiako Eusko Abertzale Ekintza/Acción Nacionalista Vasca, interpuso recurso de amparo contra la resolución reseñada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de los que trae causa la demanda de amparo, relevantes para la resolución del caso son, en síntesis, los siguientes:</w:t>
      </w:r>
    </w:p>
    <w:p w:rsidR="0026452D" w:rsidRDefault="0026452D" w:rsidP="0026452D">
      <w:pPr>
        <w:pStyle w:val="TextoNormal"/>
      </w:pPr>
    </w:p>
    <w:p w:rsidR="0026452D" w:rsidRDefault="0026452D" w:rsidP="0026452D">
      <w:pPr>
        <w:pStyle w:val="TextoNormal"/>
      </w:pPr>
      <w:r>
        <w:t>a) La Sentencia de 22 de septiembre de 2008, dictada por la Sala Especial del Tribunal Supremo del artículo 61 de la Ley Orgánica del Poder Judicial en los Autos acumulados núms. 5/2008 y 6/2008, declaró la ilegalidad del partido político Eusko Abetzale Ekimtza/Acción Nacionalista Vasca (EAE/ANV) así como su disolución con los efectos previstos en el art. 12.1 de la Ley Orgánica 6/2002, de 27 de junio, de partidos políticos, ordenando igualmente la cancelación de su inscripción en el Registro de partidos políticos, el cese inmediato en todas las actividades que realizase, una vez que fuese notificada la misma, así como la apertura de un proceso de liquidación patrimonial en la forma establecida en el art. 12.1 c) de la referida Ley Orgánica 6/2002, de partidos políticos.</w:t>
      </w:r>
    </w:p>
    <w:p w:rsidR="0026452D" w:rsidRDefault="0026452D" w:rsidP="0026452D">
      <w:pPr>
        <w:pStyle w:val="TextoNormal"/>
      </w:pPr>
    </w:p>
    <w:p w:rsidR="0026452D" w:rsidRDefault="0026452D" w:rsidP="0026452D">
      <w:pPr>
        <w:pStyle w:val="TextoNormal"/>
      </w:pPr>
      <w:r>
        <w:t>b) Interesada por la Abogacía del Estado la efectividad del anterior resolución, estimando aplicable en el art. 73.3 de la Ley reguladora de las bases de régimen local (LBRL) a dos Juntas Generales y ciento veinticinco grupos municipales de Ayuntamientos vascos (entre ellos, el de Pasajes de San Juan, en Guipúzcoa), se inició el procedimiento de ejecución núm. 2-2008 mediante Auto de 22 de diciembre de 2008 de la Sala Especial del Tribunal Supremo del artículo 61 de la Ley Orgánica del Poder Judicial.</w:t>
      </w:r>
    </w:p>
    <w:p w:rsidR="0026452D" w:rsidRDefault="0026452D" w:rsidP="0026452D">
      <w:pPr>
        <w:pStyle w:val="TextoNormal"/>
      </w:pPr>
    </w:p>
    <w:p w:rsidR="0026452D" w:rsidRDefault="0026452D" w:rsidP="0026452D">
      <w:pPr>
        <w:pStyle w:val="TextoNormal"/>
      </w:pPr>
      <w:r>
        <w:t>c) Mediante Auto de 16 de julio de 2009, la referida Sala Especial del Tribunal Supremo rechazó la oposición presentada por la parte actora y declaró, primero, la disolución del grupo juntero formado por los electos por ANV/EAE en las Juntas Generales de Álava, que pasarán a integrarse en el grupo mixto; y segundo, la disolución de los Grupos municipales constituidos por los concejales electos por ANV/EAE en los Ayuntamientos a los que se refiere —entre los que se encuentra el Ayuntamiento de Pasajes de San Juan— que pasarán a tener la consideración de miembros no adscritos en las respectivas corporaciones municipales.</w:t>
      </w:r>
    </w:p>
    <w:p w:rsidR="0026452D" w:rsidRDefault="0026452D" w:rsidP="0026452D">
      <w:pPr>
        <w:pStyle w:val="TextoNormal"/>
      </w:pPr>
    </w:p>
    <w:p w:rsidR="0026452D" w:rsidRDefault="0026452D" w:rsidP="0026452D">
      <w:pPr>
        <w:pStyle w:val="TextoNormal"/>
      </w:pPr>
      <w:r>
        <w:t xml:space="preserve">d) Contra el anterior Auto de 16 de julio de 2009, los concejales del Ayuntamiento de Pasajes integrantes del grupo municipal de ANV/EAE en esa corporación interpusieron recurso de reposición en el que alegaban la vulneración del art. 24.1 CE por falta de audiencia en el procedimiento originario de ilegalización; la lesión del derecho a la motivación de la resolución por falta de pronunciamiento sobre la inaplicabilidad del art. 73.3 LBRL y por falta de individualización de la norma al grupo municipal de Pasajes; la lesión del derecho al juez imparcial; y la vulneración del derecho de representación del art. 23 CE, en cuanto </w:t>
      </w:r>
      <w:r>
        <w:lastRenderedPageBreak/>
        <w:t>que el grupo parlamentario forma parte de la esencia de la representación, además de las limitaciones funcionales que la no adscripción les genera.</w:t>
      </w:r>
    </w:p>
    <w:p w:rsidR="0026452D" w:rsidRDefault="0026452D" w:rsidP="0026452D">
      <w:pPr>
        <w:pStyle w:val="TextoNormal"/>
      </w:pPr>
    </w:p>
    <w:p w:rsidR="0026452D" w:rsidRDefault="0026452D" w:rsidP="0026452D">
      <w:pPr>
        <w:pStyle w:val="TextoNormal"/>
      </w:pPr>
      <w:r>
        <w:t>e) Mediante Auto de 19 de enero de 2010, notificado el 15 de febrero de 2010, la Sala desestimó el anterior recurso de reposición en el entendimiento de que se había acreditado la absoluta identidad entre el partido ANV/EAE de Pasajes con el grupo EAE/ANV Pasaiako, y porque la figura del “concejal no-adscrito” conserva sus funciones representativas aún sin grupo (incluidas las informativas).</w:t>
      </w:r>
    </w:p>
    <w:p w:rsidR="0026452D" w:rsidRDefault="0026452D" w:rsidP="0026452D">
      <w:pPr>
        <w:pStyle w:val="TextoNormal"/>
      </w:pPr>
    </w:p>
    <w:p w:rsidR="0026452D" w:rsidRDefault="0026452D" w:rsidP="0026452D">
      <w:pPr>
        <w:pStyle w:val="TextoNormal"/>
      </w:pPr>
      <w:r>
        <w:t>f) El 30 de marzo de 2010 se interpone por los siete integrantes del grupo EAE/ANV Pasaiako el presente recurso de amparo contra el anterior Auto de 19 de enero de 2010, basándolo en la vulneración del derecho a la tutela judicial efectiva (art. 24.1 CE) en las vertientes de intangibilidad de las resoluciones judiciales, falta de motivación y falta de audiencia con indefensión; y en la vulneración del derecho a acceder en condiciones de igualdad a los cargos y funciones públicas (art. 23.1 CE) y del derecho a participar en asuntos públicos (art. 23.2 CE), en la vertiente de privación de las funciones propias del cargo.</w:t>
      </w:r>
    </w:p>
    <w:p w:rsidR="0026452D" w:rsidRDefault="0026452D" w:rsidP="0026452D">
      <w:pPr>
        <w:pStyle w:val="TextoNormal"/>
      </w:pPr>
    </w:p>
    <w:p w:rsidR="0026452D" w:rsidRDefault="0026452D" w:rsidP="0026452D">
      <w:pPr>
        <w:pStyle w:val="TextoNormal"/>
      </w:pPr>
      <w:r w:rsidRPr="0026452D">
        <w:rPr>
          <w:rStyle w:val="NumeroAFNegritaCaracter"/>
        </w:rPr>
        <w:t>3</w:t>
      </w:r>
      <w:r>
        <w:t>. La demanda de amparo, tras la exposición de los antecedentes fácticos del proceso de ejecución núm. 2-2008 de la Sentencia de 22 de septiembre de 2008 que declaró la ilegalización del Partido EAE/ANV y conllevó la disolución del grupo municipal de ANV en Pasajes, articula sus motivos impugnatorios de la siguiente manera.</w:t>
      </w:r>
    </w:p>
    <w:p w:rsidR="0026452D" w:rsidRDefault="0026452D" w:rsidP="0026452D">
      <w:pPr>
        <w:pStyle w:val="TextoNormal"/>
      </w:pPr>
      <w:r>
        <w:tab/>
      </w:r>
    </w:p>
    <w:p w:rsidR="0026452D" w:rsidRDefault="0026452D" w:rsidP="0026452D">
      <w:pPr>
        <w:pStyle w:val="TextoNormal"/>
      </w:pPr>
      <w:r>
        <w:t>En primer lugar, alega la vulneración del derecho a la tutela judicial efectiva (art. 24.1 CE), en la vertiente de intangibilidad de las resoluciones judiciales firmes y de seguridad jurídica (art. 9.3 CE), en cuanto que con el procedimiento de ejecución se habrían alterado los términos de la Sentencia de 22 de septiembre de 2008 de la Sala Especial del Tribunal Supremo de artículo 61 de la Ley Orgánica del Poder Judicial que se estaba ejecutando, la cual afectaba exclusivamente al partido político, habiéndose alterado el fallo, ampliándolo, al grupo municipal de ANV en Pasajes, sin que este supuesto se halle taxativamente previsto en la Ley Orgánica 6/2002, de 27 de junio, ni en norma alguna.</w:t>
      </w:r>
    </w:p>
    <w:p w:rsidR="0026452D" w:rsidRDefault="0026452D" w:rsidP="0026452D">
      <w:pPr>
        <w:pStyle w:val="TextoNormal"/>
      </w:pPr>
    </w:p>
    <w:p w:rsidR="0026452D" w:rsidRDefault="0026452D" w:rsidP="0026452D">
      <w:pPr>
        <w:pStyle w:val="TextoNormal"/>
      </w:pPr>
      <w:r>
        <w:t>Invocando la doctrina de este Tribunal Constitucional sobre la inmodificabilidad de las resoluciones judiciales firmes en relación con la motivación y razonabilidad exigible a las resoluciones dictadas en ejecución, sostienen los actores que la medida de disolución del grupo municipal decretada carece de previsión legal, pues no está recogida en el art. 12.1 Ley Orgánica 6/2002, de 27 de junio, de partidos políticos (LOPP) ni en ninguna otra ley, ni en el reglamento orgánico municipal, ni siquiera en el Real Decreto 2568/1986, de 28 de noviembre, por el que se aprueba el reglamento de organización, funcionamiento y régimen jurídico de las entidades locales. Añaden, además, que ello va en contra de la doctrina fijada en la STC de 8 de mayo de 2003, FJ 23 según la cual los efectos de la disolución se contraen al ámbito del partido mismo, de manera que la disolución del partido político finaliza con la desaparición de la asociación.</w:t>
      </w:r>
    </w:p>
    <w:p w:rsidR="0026452D" w:rsidRDefault="0026452D" w:rsidP="0026452D">
      <w:pPr>
        <w:pStyle w:val="TextoNormal"/>
      </w:pPr>
    </w:p>
    <w:p w:rsidR="0026452D" w:rsidRDefault="0026452D" w:rsidP="0026452D">
      <w:pPr>
        <w:pStyle w:val="TextoNormal"/>
      </w:pPr>
      <w:r>
        <w:t>Por ello, la extensión de la disolución a un grupo parlamentario, foral o municipal, que no tuvo intervención en el procedimiento de ilegalización originario —en el cual no se solicitó por los demandantes que la declaración de ilicitud se extendiera a los grupos parla</w:t>
      </w:r>
      <w:r>
        <w:lastRenderedPageBreak/>
        <w:t>mentarios, de manera que el fallo de la Sentencia se limitó a declarar la disolución del partido político y no así la de los grupos de concejales— contraviene, extendiéndolo, el sentido propio del fallo.</w:t>
      </w:r>
    </w:p>
    <w:p w:rsidR="0026452D" w:rsidRDefault="0026452D" w:rsidP="0026452D">
      <w:pPr>
        <w:pStyle w:val="TextoNormal"/>
      </w:pPr>
    </w:p>
    <w:p w:rsidR="0026452D" w:rsidRDefault="0026452D" w:rsidP="0026452D">
      <w:pPr>
        <w:pStyle w:val="TextoNormal"/>
      </w:pPr>
      <w:r>
        <w:t>Partiendo de que partido político y grupo parlamentario, foral o municipal, son dos realidades políticamente vinculadas pero jurídicamente diferentes, sostienen que la Ley Orgánica 6/2002 no presume que se produzca un fraude de ley por la continuación del funcionamiento del grupo institucional derivado del partido político declarado ilegal y disuelto, de manera que no puede entenderse que la disolución del grupo político sea una consecuencia directa y obligada de la disolución del partido político implícitamente prevista en la citada Ley Orgánica. Por tanto, niegan que el mantenimiento del grupo municipal EAE/ANV suponga fraude de ley alguno o la vertebración del partido disuelto y declarado ilegal EAE/ANV, pues no existe conexión organizativa entre el grupo municipal y otros grupos municipales con los que guarda afinidad ideológica. En su virtud, al no haberse acreditado la conexión material ni organizativa, sino simplemente en virtud de una presunción de conexión, la resolución recurrida es manifestación de un mero voluntarismo judicial, y entraña arbitrariedad y una falta de motivación reduplicada porque afecta a terceros ajenos al partido ilegalizado y porque supone una injerencia en el derecho fundamental del art. 23.2 CE de los concejales.</w:t>
      </w:r>
    </w:p>
    <w:p w:rsidR="0026452D" w:rsidRDefault="0026452D" w:rsidP="0026452D">
      <w:pPr>
        <w:pStyle w:val="TextoNormal"/>
      </w:pPr>
    </w:p>
    <w:p w:rsidR="0026452D" w:rsidRDefault="0026452D" w:rsidP="0026452D">
      <w:pPr>
        <w:pStyle w:val="TextoNormal"/>
      </w:pPr>
      <w:r>
        <w:t>A continuación, tras sostener que la disolución acordada de un partido político ilegalizado no alcanza a los parlamentarios, junteros o concejales que salieron elegidos en sus listas; que existe una disociación conceptual, que no admite particularizaciones, entre grupos parlamentarios y partidos políticos, de manera que la permanencia y continuidad de los citados grupos no supone un abuso de personalidad respecto de los partidos políticos; y después de invocar la doctrina sobre el fraude de ley, concluyen que la resolución impugnada ha incurrido en contradicción, en cuanto que se niega personalidad jurídica diferenciada al grupo municipal al mismo tiempo que se concluye que la continuación del grupo implicaría un supuesto de abuso de personalidad previsto en el art. 12.1 b) Ley Orgánica 6/2002, ya que éste se ciñe a partidos políticos o agrupaciones electorales que fraudulentamente supongan una sucesión o continuación del ilegalizado, pero no se refiere a grupos parlamentarios forales ni municipales que, además, se habrían constituido antes de la propia ilegalización del partido político EAE/ANV.</w:t>
      </w:r>
    </w:p>
    <w:p w:rsidR="0026452D" w:rsidRDefault="0026452D" w:rsidP="0026452D">
      <w:pPr>
        <w:pStyle w:val="TextoNormal"/>
      </w:pPr>
    </w:p>
    <w:p w:rsidR="0026452D" w:rsidRDefault="0026452D" w:rsidP="0026452D">
      <w:pPr>
        <w:pStyle w:val="TextoNormal"/>
      </w:pPr>
      <w:r>
        <w:t>Tras insistir en la inexistencia de prueba de conexión organizativa entre el partido ANV y el grupo de ANV de Pasajes, sostienen que el Tribunal Supremo se ha limitado, por una parte, a asumir la conexión acreditada en su día en su Auto de 20 de mayo 2003 —respecto de HB— para colegir que la disolución del grupo municipal es una consecuencia necesaria de la ilegalización del partido político; y por otra, ha aplicado una presunción de financiación del partido político por parte del grupo parlamentario derivándola de lo prevenido en la Ley Orgánica de financiación de los partidos políticos, pero sin haberse acreditado, ni alegado siquiera, que haya existido este tipo de aportación.</w:t>
      </w:r>
    </w:p>
    <w:p w:rsidR="0026452D" w:rsidRDefault="0026452D" w:rsidP="0026452D">
      <w:pPr>
        <w:pStyle w:val="TextoNormal"/>
      </w:pPr>
    </w:p>
    <w:p w:rsidR="0026452D" w:rsidRDefault="0026452D" w:rsidP="0026452D">
      <w:pPr>
        <w:pStyle w:val="TextoNormal"/>
      </w:pPr>
      <w:r>
        <w:t>Concluye, así, exigiendo la existencia de un proceso judicial con participación de todos y cada uno los grupos municipales de representantes, en el que, uno a uno, se depure la identidad material, en este caso meramente presumida.</w:t>
      </w:r>
    </w:p>
    <w:p w:rsidR="0026452D" w:rsidRDefault="0026452D" w:rsidP="0026452D">
      <w:pPr>
        <w:pStyle w:val="TextoNormal"/>
      </w:pPr>
    </w:p>
    <w:p w:rsidR="0026452D" w:rsidRDefault="0026452D" w:rsidP="0026452D">
      <w:pPr>
        <w:pStyle w:val="TextoNormal"/>
      </w:pPr>
      <w:r>
        <w:lastRenderedPageBreak/>
        <w:t>En segundo lugar, considera que se han lesionado los derechos a acceder en condiciones de igualdad a cargos públicos y a permanecer en los mismos, y a participar en asuntos públicos a través de sus representantes (arts. 23.1 y 2 CE), considerando que se ha producido la injerencia en estos derechos fundamentales sin la correspondiente previsión legal.</w:t>
      </w:r>
    </w:p>
    <w:p w:rsidR="0026452D" w:rsidRDefault="0026452D" w:rsidP="0026452D">
      <w:pPr>
        <w:pStyle w:val="TextoNormal"/>
      </w:pPr>
    </w:p>
    <w:p w:rsidR="0026452D" w:rsidRDefault="0026452D" w:rsidP="0026452D">
      <w:pPr>
        <w:pStyle w:val="TextoNormal"/>
      </w:pPr>
      <w:r>
        <w:t>Se sostiene que la constitución de los grupos parlamentarios pertenece al núcleo de la función representativa parlamentaria (STC 64/2002, de 11 de marzo), tratándose de un derecho de configuración legal (SSTC 44/1995, de 13 de febrero; y 30/1997, de 24 de febrero) que resulta prevenido tanto en la Declaración universal de los derechos del hombre como en Convenio europeo para la protección de los derechos humanos y las libertades fundamentales, conteniéndose en la Constitución española la exigencia de su regulación con rango de ley orgánica con la debida certidumbre. Considera la demanda que en este caso no existe tal prevención legal ni reglamentaria, ignorándose la diferenciación entre la formación política y los representantes titulares del cargo público quienes, además, representan a la ciudadanía, debiéndose respetar la voluntad popular que eligió la lista electoral del partido, aunque posteriormente éste hubiere sido ilegalizado. Considera que la resolución recurrida ha obstaculizado la labor constitucional del cargo representativo, de la que forma parte intrínseca el derecho de los concejales a estar adscritos a un grupo político y a desarrollar sus funciones (STC 141/2007, de 18 de junio). En este caso, además de la ausencia de previsión legal, se ha efectuado una interpretación del art. 73.3 LBRL errónea y forzada que viene a producir una restricción de derechos fundamentales, en la medida en que el concejal no adscrito no puede ejercer todas las funciones inherentes a su condición representativa y su régimen se difiere al Reglamento orgánico de cada corporación, donde se permiten las mermas propias de su consideración como concejales individuales. Pone de relieve que el art. 73.3 LBRL fue introducido al objeto de perseguir el transfuguismo, no para los casos de ilegalización de partidos, y afecta a la esencia de la función representativa en cuanto que impide a los concejales no-adscritos alinearse en el grupo mixto, pudiendo incluso llegar a desvirtuar las comisiones informativas locales de Pasajes al resultar integradas mayoritariamente por no-adscritos. Además, impone otras consecuencias enojosas como la imposibilidad de constituir grupo político, lo cual limita la función representativa. En concreto, los arts. 46 y 125 LBRL y los arts. 27, 28, 89 y 94.1 c) del Real Decreto 2568/1986, de 28 de noviembre, por el que se aprueba el reglamento de organización, funcionamiento y régimen jurídico de las entidades locales, hacen descansar los derechos del ejercicio del cargo de concejal en el grupo político en relación con facultades esenciales como la intervención en Plenos, el uso de despachos y locales municipales para reuniones, orden de colocación o participación en la junta de portavoces y, en todo caso, la función de control de los órganos de gobierno, la cual integra el núcleo esencial del derecho de permanencia en el cargo. Puntualiza que la figura del concejal no adscrito estaba pensada exclusivamente para quienes no se constituyan en un grupo político o para quienes lo abandonan, sin que quepa la integración forzada impuesta una vez constituida la corporación, para quienes inicialmente integraron un grupo. Finaliza reiterando que, en el caso del Ayuntamiento de Pasajes, ocho de los diecisiete concejales deberán pasar a dicho estatus de concejal no adscrito como consecuencia de la ejecución de la resolución recurrida en amparo, haciendo decididamente inoperativa la corporación; y señalando como la comunicación de la ilicitud del partido al grupo supone que en España rija un sistema de “democracia militante” (como en Alemania o Turquía) en contra de lo que el propio Tribunal Supremo afirmó en su Sentencia (Sala art. 61) de 27 de marzo de 2003, y de lo establecido en la STC 48/2003, de 12 de marzo..</w:t>
      </w:r>
    </w:p>
    <w:p w:rsidR="0026452D" w:rsidRDefault="0026452D" w:rsidP="0026452D">
      <w:pPr>
        <w:pStyle w:val="TextoNormal"/>
      </w:pPr>
    </w:p>
    <w:p w:rsidR="0026452D" w:rsidRDefault="0026452D" w:rsidP="0026452D">
      <w:pPr>
        <w:pStyle w:val="TextoNormal"/>
      </w:pPr>
      <w:r>
        <w:t xml:space="preserve">En tercer lugar se alega la vulneración del derecho a obtener la tutela judicial efectiva (art. 24.1 CE) en la vertiente de indefensión, por la falta de intervención de los concejales del grupo de ANV recurrente, en el proceso declarativo de ilegalización del partido ANV. Se señala que la defensa de la que han dispuesto en el proceso ejecutivo los referidos concejales ha sido formal, pero no real ni efectiva, insistiendo en la falta de prueba acerca de la íntima conexión entre el partido y el grupo que predica la resolución impugnada. Se afirma que se ha tratado de un procedimiento </w:t>
      </w:r>
      <w:r w:rsidRPr="0026452D">
        <w:rPr>
          <w:i/>
        </w:rPr>
        <w:t>inaudita partem</w:t>
      </w:r>
      <w:r>
        <w:t>, concluyendo que se ha producido indefensión imputable exclusivamente al Tribunal Supremo, al haber impedido este la efectiva defensa.</w:t>
      </w:r>
    </w:p>
    <w:p w:rsidR="0026452D" w:rsidRDefault="0026452D" w:rsidP="0026452D">
      <w:pPr>
        <w:pStyle w:val="TextoNormal"/>
      </w:pPr>
    </w:p>
    <w:p w:rsidR="0026452D" w:rsidRDefault="0026452D" w:rsidP="0026452D">
      <w:pPr>
        <w:pStyle w:val="TextoNormal"/>
      </w:pPr>
      <w:r w:rsidRPr="0026452D">
        <w:rPr>
          <w:rStyle w:val="NumeroAFNegritaCaracter"/>
        </w:rPr>
        <w:t>4</w:t>
      </w:r>
      <w:r>
        <w:t>. La Sala Segunda de este Tribunal, por providencia de 22 de julio de 2010,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26452D" w:rsidRDefault="0026452D" w:rsidP="0026452D">
      <w:pPr>
        <w:pStyle w:val="TextoNormal"/>
      </w:pPr>
    </w:p>
    <w:p w:rsidR="0026452D" w:rsidRDefault="0026452D" w:rsidP="0026452D">
      <w:pPr>
        <w:pStyle w:val="TextoNormal"/>
      </w:pPr>
      <w:r>
        <w:t>Igualmente se acordó formar la correspondiente pieza separada de suspensión, en la que, tras los trámites oportunos, se dictó por la Sala Segunda de este Tribunal Constitucional el Auto de 18 de octubre de 2010, acordando denegar la suspensión, solicitada mediante otrosí en el escrito de demanda, del Auto de 19 de enero de 2010 de la Sala Especial del Tribunal Supremo del artículo 61 de la Ley Orgánica del Poder Judicial y del Auto de 16 julio de 2009 del mismo Tribunal, en el que se acuerda la disolución de determinados grupos junteros y municipales de ANV/EAE en el País Vasco.</w:t>
      </w:r>
    </w:p>
    <w:p w:rsidR="0026452D" w:rsidRDefault="0026452D" w:rsidP="0026452D">
      <w:pPr>
        <w:pStyle w:val="TextoNormal"/>
      </w:pPr>
    </w:p>
    <w:p w:rsidR="0026452D" w:rsidRDefault="0026452D" w:rsidP="0026452D">
      <w:pPr>
        <w:pStyle w:val="TextoNormal"/>
      </w:pPr>
      <w:r w:rsidRPr="0026452D">
        <w:rPr>
          <w:rStyle w:val="NumeroAFNegritaCaracter"/>
        </w:rPr>
        <w:t>5</w:t>
      </w:r>
      <w:r>
        <w:t>. Por diligencia de ordenación de 27 de septiembre de 2010 se acordó dar vista de las actuaciones recibidas al Ministerio Fiscal por plazo común de veinte días para presentar las alegaciones que estimase pertinentes, de conformidad con el art. 52.1 LOTC.</w:t>
      </w:r>
    </w:p>
    <w:p w:rsidR="0026452D" w:rsidRDefault="0026452D" w:rsidP="0026452D">
      <w:pPr>
        <w:pStyle w:val="TextoNormal"/>
      </w:pPr>
    </w:p>
    <w:p w:rsidR="0026452D" w:rsidRDefault="0026452D" w:rsidP="0026452D">
      <w:pPr>
        <w:pStyle w:val="TextoNormal"/>
      </w:pPr>
      <w:r w:rsidRPr="0026452D">
        <w:rPr>
          <w:rStyle w:val="NumeroAFNegritaCaracter"/>
        </w:rPr>
        <w:t>6</w:t>
      </w:r>
      <w:r>
        <w:t>. El Abogado del Estado, en escrito registrado el 18 de octubre de 2010, interesa la desestimación del recurso de amparo.</w:t>
      </w:r>
    </w:p>
    <w:p w:rsidR="0026452D" w:rsidRDefault="0026452D" w:rsidP="0026452D">
      <w:pPr>
        <w:pStyle w:val="TextoNormal"/>
      </w:pPr>
    </w:p>
    <w:p w:rsidR="0026452D" w:rsidRDefault="0026452D" w:rsidP="0026452D">
      <w:pPr>
        <w:pStyle w:val="TextoNormal"/>
      </w:pPr>
      <w:r>
        <w:t xml:space="preserve">Respecto al primero de los motivos impugnatorios afirma que no se ha producido la vulneración del art. 24.1 CE en relación con el principio de inmodificabilidad de las Sentencias firmes, y ello porque los efectos legales de la disolución de un partido político a causa de su ilicitud [previstos en el art. 12.1 a) de la Ley Orgánica 6/2002, de 27 de junio, de partidos políticos] no se limitan a la mera extinción de la personalidad jurídica del partido, sino que lo que se pretende es la cesación “total” de las actividades realizadas por el mismo, ya sean estas realizadas directamente por los órganos del partido o, indirectamente, a través de otras personas o grupos con entidad jurídica diferenciada. A pesar de reconocer que el partido político y los grupos parlamentarios o municipales tienen personalidad jurídica diferenciada, considera el Abogado del Estado que la sustancia asociativa del partido político disuelto, el </w:t>
      </w:r>
      <w:r w:rsidRPr="0026452D">
        <w:rPr>
          <w:i/>
        </w:rPr>
        <w:t>factum</w:t>
      </w:r>
      <w:r>
        <w:t xml:space="preserve"> asociativo, se prolonga en el grupo político municipal, tal y como se desprende, por un lado, del art. 9.4 de la citada Ley Orgánica 6/2002, que, para apreciar y valorar las actividades de un partido político, toma como parámetro la actuación de sus </w:t>
      </w:r>
      <w:r>
        <w:lastRenderedPageBreak/>
        <w:t>grupos parlamentarios o municipales; y por otra, de la doctrina sentada en las SSTC 6/2004, de 16 de enero; y 112/2007, de 10 de mayo. De esta manera, colige que los grupos parlamentarios o municipales son elementos componentes del partido, constituyendo, por tanto, un contrasentido que un partido político pueda ser disuelto atendiendo a la actuación de un grupo parlamentario o municipal y, tras ello, hubiera de mantenerse incólume el referido grupo causante de la ilegalización del partido. Además, en el presente caso se da la especial circunstancia de que los recurrentes pretenden mantenerse como grupo político bajo las mismas siglas ANV/EAE, por lo que se hace innecesario enjuiciar la identidad de los elementos orgánicos de un partido en otro que le suceda. Por otra parte, el Abogado del Estado considera que la disolución del grupo político municipal no afecta al mantenimiento de las funciones representativas y los derechos de los concejales electos, sino, únicamente, al componente asociativo del partido político disuelto. Por todo ello, afirma la plena concordancia entre lo ejecutado por la resolución recurrida el amparo y lo resuelto en la Sentencia de la Sala Especial del Tribunal Supremo del artículo 61 de la Ley Orgánica del Poder Judicial de 22 de septiembre de 2008.</w:t>
      </w:r>
    </w:p>
    <w:p w:rsidR="0026452D" w:rsidRDefault="0026452D" w:rsidP="0026452D">
      <w:pPr>
        <w:pStyle w:val="TextoNormal"/>
      </w:pPr>
    </w:p>
    <w:p w:rsidR="0026452D" w:rsidRDefault="0026452D" w:rsidP="0026452D">
      <w:pPr>
        <w:pStyle w:val="TextoNormal"/>
      </w:pPr>
      <w:r>
        <w:t xml:space="preserve">Remitiéndose a lo antes argumentado, también niega el Abogado del Estado que se haya producido la vulneración denunciada en el segundo motivo del recurso amparo (de los arts. 23.1 y 2 CE), añadiendo que, si bien es cierto que la representación de la ciudadanía corresponde a los concejales electos, de ello no se puede inferir la plena y absoluta disponibilidad de los grupos políticos por la exclusiva voluntad de los elegidos, lo cual sería, acaso, únicamente aplicable a los grupos parlamentarios del Congreso de los Diputados y de las Asambleas autonómicas, donde la incorporación al grupo constituye una manifestación del ejercicio del </w:t>
      </w:r>
      <w:r w:rsidRPr="0026452D">
        <w:rPr>
          <w:i/>
        </w:rPr>
        <w:t>ius in officium</w:t>
      </w:r>
      <w:r>
        <w:t xml:space="preserve">. Sin embargo, en el presente caso, el art. 73.3 LBRL, aplicable en buena lógica a la hipótesis de disolución de los partidos políticos, establece una verdadera identidad entre la formación política que participó en la contienda electoral y el grupo político en el que se integran los concejales electos, de manera que los grupos políticos municipales quedan formados </w:t>
      </w:r>
      <w:r w:rsidRPr="0026452D">
        <w:rPr>
          <w:i/>
        </w:rPr>
        <w:t>ipso iure</w:t>
      </w:r>
      <w:r>
        <w:t xml:space="preserve"> según las listas electorales, con la única alternativa de configurarse como miembro no adscrito. Por lo demás, más allá de las referencias a riesgos potenciales o futuros, no comprende el Abogado del Estado, quien invoca la doctrina sentada en las SSTC 141/2007, de 18 de junio y 169/2009, de 9 de julio en qué medida puede haberse vulnerado la igualdad de los derechos políticos de los recurrentes, ya que el auto impugnado les reconoce los mismos en su carácter de concejales no adscritos.</w:t>
      </w:r>
    </w:p>
    <w:p w:rsidR="0026452D" w:rsidRDefault="0026452D" w:rsidP="0026452D">
      <w:pPr>
        <w:pStyle w:val="TextoNormal"/>
      </w:pPr>
    </w:p>
    <w:p w:rsidR="0026452D" w:rsidRDefault="0026452D" w:rsidP="0026452D">
      <w:pPr>
        <w:pStyle w:val="TextoNormal"/>
      </w:pPr>
      <w:r>
        <w:t>Sobre el tercer motivo del recurso de amparo (vulneración del art. 24.1 CE en la vertiente de indefensión), el Abogado del Estado, tras reconocer la complejidad que reviste la ejecución de la Sentencia que manda cesar todas las actividades de un partido político, niega que la capacidad procesal diferenciada del grupo político sea causa suficiente para sustraerse del referido proceso de ejecución por no haber sido parte en el proceso declarativo. Y ello en la medida en que en el proceso declarativo previsto en la Ley Orgánica 6/2002 únicamente ostenta legitimación pasiva el partido político demandado, erigiéndose el proceso de ejecución como garante suficiente de los derechos de las organizaciones, estructuras o grupos integradores del partido disuelto.</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Mediante escrito de alegaciones registrado en este Tribunal con fecha de 22 de octubre de 2010 la Procuradora de los Tribunales doña Ana Lobera Arguelles, en representación de don Jon Iñaki Ustaegi Diaz de Otalora, doña Alaitz Etxeberria Akaiturri, don José Antonio Garrido Garrido, don Aitor Bezares Vargas, don Urtzi Ostolaza Arrien, doña Miren Begoña </w:t>
      </w:r>
      <w:r>
        <w:lastRenderedPageBreak/>
        <w:t>Aguirre Pereda, doña Cristina Marcos Pérez, doña María Isabel Villares Creo y don José Manuel Castaños Munsuri, se adhirió íntegramente al recurso de amparo interpuesto haciendo suyos los motivos y argumentos expuestos en la demanda de amparo.</w:t>
      </w:r>
    </w:p>
    <w:p w:rsidR="0026452D" w:rsidRDefault="0026452D" w:rsidP="0026452D">
      <w:pPr>
        <w:pStyle w:val="TextoNormal"/>
      </w:pPr>
    </w:p>
    <w:p w:rsidR="0026452D" w:rsidRDefault="0026452D" w:rsidP="0026452D">
      <w:pPr>
        <w:pStyle w:val="TextoNormal"/>
      </w:pPr>
      <w:r w:rsidRPr="0026452D">
        <w:rPr>
          <w:rStyle w:val="NumeroAFNegritaCaracter"/>
        </w:rPr>
        <w:t>8</w:t>
      </w:r>
      <w:r>
        <w:t>. Mediante escrito de alegaciones registrado en este Tribunal con fecha de 22 de octubre de 2010 la Procuradora de los Tribunales doña Ana Lobera Arguelles, en representación de doña Maider Ziganda Población, doña Obdulia Lorenzo de Dios, doña Edurne Baztarrica Bilbao, don Ander Poza Olabide, don Iñaki Garmendia Agirregabiria, don Alvaro Ricon Rivera y don Iosu Bengoechea Echeverría, todos ellos concejales del Ayuntamiento de Pasaia, integrantes del grupo político Pasaiako Eusko Abertzale Ekintza/Acción Nacionalista Vasca, dio por reproducidas las alegaciones expuestas en el escrito de formalización del recurso de amparo.</w:t>
      </w:r>
    </w:p>
    <w:p w:rsidR="0026452D" w:rsidRDefault="0026452D" w:rsidP="0026452D">
      <w:pPr>
        <w:pStyle w:val="TextoNormal"/>
      </w:pPr>
    </w:p>
    <w:p w:rsidR="0026452D" w:rsidRDefault="0026452D" w:rsidP="0026452D">
      <w:pPr>
        <w:pStyle w:val="TextoNormal"/>
      </w:pPr>
      <w:r w:rsidRPr="0026452D">
        <w:rPr>
          <w:rStyle w:val="NumeroAFNegritaCaracter"/>
        </w:rPr>
        <w:t>9</w:t>
      </w:r>
      <w:r>
        <w:t>. El Ministerio Fiscal, en escrito registrado en este Tribunal el 28 de octubre de 2010, interesa la desestimación del recurso de amparo.</w:t>
      </w:r>
    </w:p>
    <w:p w:rsidR="0026452D" w:rsidRDefault="0026452D" w:rsidP="0026452D">
      <w:pPr>
        <w:pStyle w:val="TextoNormal"/>
      </w:pPr>
    </w:p>
    <w:p w:rsidR="0026452D" w:rsidRDefault="0026452D" w:rsidP="0026452D">
      <w:pPr>
        <w:pStyle w:val="TextoNormal"/>
      </w:pPr>
      <w:r>
        <w:t>Destacando la profunda imbricación existente entre los tres motivos impugnatorios, el Fiscal comienza por rechazar el primero de ellos, referente a la vulneración del derecho a la tutela judicial efectiva (art. 24.1 CE), en la vertiente de intangibilidad de las resoluciones judiciales firmes y de seguridad jurídica (art. 9.3 CE). Para ello, sostiene que la intangibilidad de las resoluciones judiciales firmes se integra dentro del derecho a la ejecución de Sentencias en sus propios términos, correspondiendo a este Tribunal Constitucional un mero control de razonabilidad, armonía y coherencia, lo que exige el contraste de lo dispuesto en la Sentencia con lo posteriormente resuelto al ejecutarlo, para realizar una interpretación finalista, y no estrictamente literal, del fallo. Considera que dicho control debe basarse, no en una interpretación restrictiva de lo decidido en el fallo ejecutable, sino más bien a favor de una ejecución satisfactoria que posibilite la realización completa del fallo, infiriendo de él todas sus naturales consecuencias. En este sentido, tras destacar la íntima conexión existente entre el partido y legalizado y el grupo municipal formado por los recurrentes, y después de analizar la argumentación y conclusiones de los Autos de 16 de julio de 2009 y de 19 de enero de 2010 de la Sala Especial del Tribunal Supremo del artículo 61 de la Ley Orgánica del Poder Judicial —en concreto, el carácter de los grupos como genuina emanación de los partidos políticos, así como la conclusión, apoyada en el art. 73.3 LBRL, de que la disolución del partido conlleva naturalmente la disolución de los grupos que se hayan constituido como emanación del mismo— concluye el Fiscal que no es posible apreciar la vulneración del derecho a la tutela judicial efectiva en ninguna de las vertientes aducidas ya que la decisión aquí cuestionada se adoptó de forma coherente con el contenido de la resolución a ejecutar y en base a una razonable conclusión alcanzada sobre la íntima conexión entre el grupo y el partido político. De esta forma, lo ejecutado no puede tildarse de irrazonable, arbitrario, erróneo o incongruente en relación con lo dispuesto en el fallo de la Sentencia a ejecutar, sino que, antes bien, se trata de una ejecución satisfactoria que responde, de manera motivada y razonada, a la necesidad de cumplir el mandato impuesto por el art. 12.1 a de la Ley Orgánica 6/2002, de impedir la continuación de las actividades de una organización política ilegalizada a través del grupo político en el Ayuntamiento de Pasajes. Además, sostiene que los recurrentes tuvieron oportunidad suficiente el procedimiento de ejecución para formular alegaciones y aportar las pruebas oportunas.</w:t>
      </w:r>
    </w:p>
    <w:p w:rsidR="0026452D" w:rsidRDefault="0026452D" w:rsidP="0026452D">
      <w:pPr>
        <w:pStyle w:val="TextoNormal"/>
      </w:pPr>
    </w:p>
    <w:p w:rsidR="0026452D" w:rsidRDefault="0026452D" w:rsidP="0026452D">
      <w:pPr>
        <w:pStyle w:val="TextoNormal"/>
      </w:pPr>
      <w:r>
        <w:lastRenderedPageBreak/>
        <w:t xml:space="preserve">Para rechazar el segundo motivo de impugnación, en el que se denuncia la vulneración de los derechos amparados en el art. 23, apartados 1 y 2 CE, comienza el Fiscal por invocar la doctrina contenida en la STC 169/2009, de 9 de julio, que establece la directa conexión entre el derecho a la participación política representativa y el derecho a participar en los asuntos públicos, y en la STC 141/2007, de 18 de junio, que atribuye relevancia constitucional únicamente a los derechos y facultades que pertenezcan al núcleo de la función representativa. A continuación denuncia el error conceptual del que parten los recurrentes al equiparar grupo parlamentario y grupo político municipal, cuando, en realidad, se trata de realidades jurídicas dispares, como se evidencia el hecho de que, a diferencia de los parlamentarios, el art. 73.3 LBRL, por una parte, les obliga a formar parte del grupo municipal que constituya la formación electoral por la que fueron elegidos; y por otra, permite a los concejales electos desempeñar sus funciones como concejales no adscritos, esto es, sin tener que integrarse necesariamente en un grupo municipal. Sostiene el Fiscal que de dicho precepto se extrae, como regla general, la obligación de los concejales de constituirse en grupos políticos, con la excepción de aquellos que no se integren o que abandonen el grupo, en cuyo caso no podrán pasar a formar parte del nuevo grupo político, sino que tendrán la consideración de miembros no adscritos. En este último supuesto tendrán cabida aquellas situaciones en las que, “involuntariamente”, los concejales no pasen a formar parte del grupo dimanante de la formación política por la que concurrieron a las elecciones, y ello teniendo en cuenta que la ley no concreta ni el momento ni las causas por las que se produce la no integración del concejal en el grupo. Esta —la condición de concejal no adscrito— es, en opinión del Fiscal, la opción legal aplicable a los concejales de un grupo político constituido por la formación electoral por la que fueron elegidos que, como consecuencia de la ilegalización de la formación política y de la disolución del grupo municipal correspondiente, dejan involuntariamente de quedar integrados en aquel grupo. Esta opción, además de compadecerse con el tenor del art. 12 de la Ley Orgánica 6/2002, al conducir al cese inmediato de toda la actividad política del partido político ilegalizado, no afecta en modo alguno al ejercicio de las funciones representativas del concejal, ya que la integración en un grupo municipal no forma parte del contenido esencial del </w:t>
      </w:r>
      <w:r w:rsidRPr="0026452D">
        <w:rPr>
          <w:i/>
        </w:rPr>
        <w:t>ius in officium</w:t>
      </w:r>
      <w:r>
        <w:t xml:space="preserve"> del representante. A las anteriores conclusiones no se opone, en opinión del Fiscal, la doctrina sentada en la STC 85/2003, de 8 de mayo, —referida al derecho de sufragio de los miembros del partido—, habiendo quedado incólume la función de representación política de los afectados. Rechaza igualmente la comparación con los sistemas legales existentes en Alemania o en Turquía, así como la calificación del sistema como una democracia militante. Considera, con apoyo en la STC 169/2009, de 11 de agosto, que ni de los arts. 46 y 73.3 LBRL, ni del conjunto de las disposiciones del reglamento de organización, funcionamiento y régimen jurídico de las entidades locales se extrae limitación alguna al núcleo de la función representativa de los concejales no adscritos como consecuencia de la ilegalización de un partido político, de manera que estos podrán participar en la actividad de control del gobierno y en las deliberaciones del Pleno municipal, votar los asuntos y ejercer el derecho a obtener la información necesaria. Afirma, en conclusión, que no es posible apreciar vulneración alguna del derecho fundamental recogido en el art. 23 CE ya que en el núcleo de dicha función representativa no está incluida ni la pertenencia a un grupo político municipal ni la actuación grupal.</w:t>
      </w:r>
    </w:p>
    <w:p w:rsidR="0026452D" w:rsidRDefault="0026452D" w:rsidP="0026452D">
      <w:pPr>
        <w:pStyle w:val="TextoNormal"/>
      </w:pPr>
    </w:p>
    <w:p w:rsidR="0026452D" w:rsidRDefault="0026452D" w:rsidP="0026452D">
      <w:pPr>
        <w:pStyle w:val="TextoNormal"/>
      </w:pPr>
      <w:r>
        <w:t xml:space="preserve">El tercer motivo de impugnación —en el que se alega la vulneración del derecho a obtener la tutela judicial efectiva (art. 24.1 CE) en la vertiente de indefensión— es igualmente rechazado por el Fiscal, quien —después de reconocer que la intervención de los recurrentes en el proceso declarativo de la disolución del partido político hubiese sido deseable desde </w:t>
      </w:r>
      <w:r>
        <w:lastRenderedPageBreak/>
        <w:t>“la perspectiva formal más escrupulosa”— recuerda que la indefensión, para ser constitucionalmente relevante, ha de ser real y efectiva e impedir a una parte el ejercicio del derecho de defensa, y que en el procedimiento de ejecución el grupo municipal integrado por los recurrentes tuvo la oportunidad de alegar, solicitar, plantear y aportar pruebas sobre la ausencia de conexión o vinculación del grupo municipal con el partido político ilegalizado, incluso articularon un específico recurso de reposición, de manera que, en su opinión, se han respetado las posibilidades de defensa y se ha asegurado la tutela judicial efectiva desde la perspectiva de la proscripción de la indefensión y el respeto al proceso debido. Sostiene la inaplicabilidad al presente caso de la doctrina sentada en la STC 251/2007, de 17 de diciembre, en cuyo caso, a diferencia del presente, el grupo parlamentario disuelto recurrente no pudo personarse en el proceso de ejecución.</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fecha 24 de enero de 2013 se señaló para deliberación y fallo de la Sentencia el día 28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amparo, promovido por doña Maider Ziganda Población, doña Obdulia Lorenzo de Dios, doña Edurne Baztarrica Bilbao, don Ander Poza Olabide, don Iñaki Garmendia Agirregabiria, don Alvaro Ricon Rivera y don Iosu Bengoechea Echeverría, todos ellos concejales del Ayuntamiento de Pasaia, integrantes del grupo político Pasaiako Eusko Abertzale Ekintza/Acción Nacionalista Vasca, tiene por objeto el Auto de 19 de enero de 2010 de la Sala Especial del Tribunal Supremo del artículo 61 de la Ley Orgánica del Poder Judicial, dictado en el procedimiento de ejecución núm. 2-2008 dimanante de los Autos acumulados 5/2008 y 6/2008 sobre declaración de legalidad del partido político Acción Nacionalista Vasca/Eusko Abertzale Ekintza (ANV/EAE), por el que se desestima el recurso de reposición interpuesto contra el Auto de 16 de julio de 2009 que acordaba la disolución de los grupos municipales de ANV/EAE.</w:t>
      </w:r>
    </w:p>
    <w:p w:rsidR="0026452D" w:rsidRDefault="0026452D" w:rsidP="0026452D">
      <w:pPr>
        <w:pStyle w:val="TextoNormal"/>
      </w:pPr>
    </w:p>
    <w:p w:rsidR="0026452D" w:rsidRDefault="0026452D" w:rsidP="0026452D">
      <w:pPr>
        <w:pStyle w:val="TextoNormal"/>
      </w:pPr>
      <w:r>
        <w:t>Los recurrentes en amparo consideran que el Auto impugnado vulnera distintos derechos fundamentales. En concreto, en la demanda se alega, como con mayor detalle se ha expuesto en los antecedentes, la lesión del derecho a la tutela judicial efectiva (art. 24.1 CE), en sus vertientes de intangibilidad de las resoluciones judiciales firmes, de seguridad jurídica (art. 9.3 CE) y de indefensión; así como de los derechos a participar en asuntos públicos a través de representantes y de acceder en condiciones de igualdad a cargos públicos (art. 23 CE).</w:t>
      </w:r>
    </w:p>
    <w:p w:rsidR="0026452D" w:rsidRDefault="0026452D" w:rsidP="0026452D">
      <w:pPr>
        <w:pStyle w:val="TextoNormal"/>
      </w:pPr>
    </w:p>
    <w:p w:rsidR="0026452D" w:rsidRDefault="0026452D" w:rsidP="0026452D">
      <w:pPr>
        <w:pStyle w:val="TextoNormal"/>
      </w:pPr>
      <w:r>
        <w:t>En el suplico de la demanda se pide que se reconozcan tales derechos y, en consecuencia, que se declare la nulidad de los apartados segundo y tercero de la parte dispositiva del Auto de 16 de julio de 2009, así como del Auto de 19 de enero de 2010 que lo confirma.</w:t>
      </w:r>
    </w:p>
    <w:p w:rsidR="0026452D" w:rsidRDefault="0026452D" w:rsidP="0026452D">
      <w:pPr>
        <w:pStyle w:val="TextoNormal"/>
      </w:pPr>
    </w:p>
    <w:p w:rsidR="0026452D" w:rsidRDefault="0026452D" w:rsidP="0026452D">
      <w:pPr>
        <w:pStyle w:val="TextoNormal"/>
      </w:pPr>
      <w:r>
        <w:t>El Ministerio Fiscal y la Abogacía del Estado interesan la desestimación del recurso.</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Los demandantes de amparo imputan al Auto recurrido, en primer lugar, la vulneración del derecho a la tutela judicial efectiva (art. 24.1 CE), en su vertiente de intangibilidad de las resoluciones judiciales firmes, relacionándolo con el principio de seguridad jurídica (art. 9.3 CE), en cuanto que, en su opinión, en el procedimiento de ejecución han alterado los términos de la Sentencia de 22 de septiembre de 2008 de la Sala Especial del Tribunal </w:t>
      </w:r>
      <w:r>
        <w:lastRenderedPageBreak/>
        <w:t>Supremo del artículo 61 de la Ley Orgánica del Poder Judicial que se estaba ejecutando, y ello en la medida en que el fallo de ésta afectaba exclusivamente al partido político, mientras que el Auto impugnado lo amplía al grupo municipal de ANV en Pasajes.</w:t>
      </w:r>
    </w:p>
    <w:p w:rsidR="0026452D" w:rsidRDefault="0026452D" w:rsidP="0026452D">
      <w:pPr>
        <w:pStyle w:val="TextoNormal"/>
      </w:pPr>
    </w:p>
    <w:p w:rsidR="0026452D" w:rsidRDefault="0026452D" w:rsidP="0026452D">
      <w:pPr>
        <w:pStyle w:val="TextoNormal"/>
      </w:pPr>
      <w:r>
        <w:t>Este Tribunal ha reiterado en su STC 22/2009, de 26 de enero, FJ 2, que el derecho a la ejecución de Sentencias y demás resoluciones judiciales firmes constituye una manifestación del derecho a la tutela judicial efectiva, en tanto que garantía del cumplimiento de los mandatos que estas resoluciones judiciales contienen, lo que determina que este derecho tenga como presupuesto lógico y aun constitucional la intangibilidad de las resoluciones judiciales firmes y de las situaciones jurídicas por ellas declaradas. El derecho a que la ejecución de lo juzgado se lleve a cabo en sus propios términos, es decir, con sujeción al principio de inmodificabilidad de lo juzgado, se traduce, así, en un derecho que actúa como límite y fundamento que impide que los Jueces y Tribunales puedan revisar las Sentencias y demás resoluciones al margen de los supuestos taxativamente previstos en la ley (por todas, STC 86/2006, de 27 de marzo, FJ 2).</w:t>
      </w:r>
    </w:p>
    <w:p w:rsidR="0026452D" w:rsidRDefault="0026452D" w:rsidP="0026452D">
      <w:pPr>
        <w:pStyle w:val="TextoNormal"/>
      </w:pPr>
    </w:p>
    <w:p w:rsidR="0026452D" w:rsidRDefault="0026452D" w:rsidP="0026452D">
      <w:pPr>
        <w:pStyle w:val="TextoNormal"/>
      </w:pPr>
      <w:r>
        <w:t>En este mismo sentido, como recuerdan las SSTC 285/2006, de 9 de octubre, FJ 6; y 37/2007, de 12 de febrero, FJ 4, este Tribunal tiene igualmente declarado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(entre otras muchas, SSTC 144/2000, de 29 de mayo, FJ 6; 83/2001, de 26 de marzo, FJ 4; 3/2002, de 14 de enero, FJ 4; 140/2003, de 14 de julio, FJ 6; y 223/2004, de 29 de noviembre, FJ 6). Por eso mismo también hemos declarado que, desde la perspectiva del art. 24.1 CE, no puede aceptarse que, sin el concurso de elementos que hagan imposible física o jurídicamente la ejecución o la dificulten por concurrir circunstancias sobrevenidas impeditivas, por incorrecta determinación del fallo, por sus desproporcionadas consecuencias o por razones similares, esto es, que sin haberse alterado los términos en los cuales la disputa procesal fue planteada y resuelta ante la Sala sentenciadora, se pretenda privar de efectos en un momento posterior al pronunciamiento judicial producido, por la vía de discutir de nuevo, en trámite de ejecución, lo que ya fue en su día definitivamente resuelto por el órgano judicial (por todas, SSTC 41/1993, de 8 de febrero, FJ 2; y 18/2004, de 23 de febrero, FJ 4).</w:t>
      </w:r>
    </w:p>
    <w:p w:rsidR="0026452D" w:rsidRDefault="0026452D" w:rsidP="0026452D">
      <w:pPr>
        <w:pStyle w:val="TextoNormal"/>
      </w:pPr>
    </w:p>
    <w:p w:rsidR="0026452D" w:rsidRDefault="0026452D" w:rsidP="0026452D">
      <w:pPr>
        <w:pStyle w:val="TextoNormal"/>
      </w:pPr>
      <w:r>
        <w:t>Asimismo hemos advertido que el alcance de las posibilidades de control por parte de este Tribunal del cumplimiento de la potestad jurisdiccional de hacer ejecutar lo juzgado no es ilimitado, pues es también doctrina constitucional consolidada que la interpretación del sentido del fallo de las resoluciones judiciales es una función estrictamente jurisdiccional, que, como tal, corresponde en exclusiva cumplir a los órganos judiciales. Por tal razón el control que este Tribunal puede ejercer sobre el modo en que los Jueces y Tribunales ejercen esta potestad se limita a comprobar si sus decisiones se adoptan de forma razonablemente coherente con el contenido de la resolución que ejecutan. De ahí que sólo en los casos en los que dichas decisiones sean incongruentes, arbitrarias, irrazonables o incurran en error patente podrán considerarse lesivas del derecho a la tutela judicial efectiva (SSTC 209/2005, de 18 de julio, FJ 2; y 180/2006, de 19 de junio, FJ 2).</w:t>
      </w:r>
    </w:p>
    <w:p w:rsidR="0026452D" w:rsidRDefault="0026452D" w:rsidP="0026452D">
      <w:pPr>
        <w:pStyle w:val="TextoNormal"/>
      </w:pPr>
    </w:p>
    <w:p w:rsidR="0026452D" w:rsidRDefault="0026452D" w:rsidP="0026452D">
      <w:pPr>
        <w:pStyle w:val="TextoNormal"/>
      </w:pPr>
      <w:r>
        <w:lastRenderedPageBreak/>
        <w:t>En el fondo del presente recurso de amparo lo que subyace es una crítica a la aplicación que realizó la Sala del Tribunal Supremo del artículo 61 de la Ley Orgánica del Poder Judicial al caso concreto —referente al grupo municipal formado por los Concejales electos por ANV en Pasajes— de la previsión contenida en el art. 73.3 de la Ley 7/1985, de 2 de abril, reguladora de las bases de régimen local (LBRL), a cuyo tenor: “A efectos de su actuación corporativa, los miembros de las corporaciones locales se constituirán en grupos políticos, en la forma y con los derechos y las obligaciones que se establezcan con excepción de aquéllos que no se integren en el grupo político que constituya la formación electoral por la que fueron elegidos o que abandonen su grupo de procedencia, que tendrán la consideración de miembros no adscritos”. La aplicación de esta norma encontró su justificación en el tenor de los apartados 1 b) y 4 del art. 12 de la Ley Orgánica 6/2002, de 27 de junio, de partidos políticos, según los cuales: “1. La disolución judicial de un partido político producirá los efectos previstos en las leyes y, en particular, los siguientes: … b. Los actos ejecutados en fraude de ley o con abuso de personalidad jurídica no impedirán la debida aplicación de ésta. Se presumirá fraudulenta y no procederá la creación de un nuevo partido político o la utilización de otro ya inscrito en el Registro que continúe o suceda la actividad de un partido declarado ilegal y disuelto … 4. La Sala sentenciadora rechazará fundadamente las peticiones, incidentes y excepciones que se formulen con manifiesto abuso de derecho o entrañen abuso de la personalidad jurídica, fraude de ley o procesal”, de manera que, tal y como se reconoció respecto de partidos políticos y agrupaciones electorales en las SSTC 85/2003, de 8 de marzo, FJ 25; 99/2004, de 27 de mayo, F 14; 68/2005, de 31 de marzo, FJ 10; y 44/2009 de 12 febrero, FJ 13, la subsunción efectuada en el presente caso habrá de ser aceptada en la medida en que responda a la finalidad de evitar el fraude de ley.</w:t>
      </w:r>
    </w:p>
    <w:p w:rsidR="0026452D" w:rsidRDefault="0026452D" w:rsidP="0026452D">
      <w:pPr>
        <w:pStyle w:val="TextoNormal"/>
      </w:pPr>
    </w:p>
    <w:p w:rsidR="0026452D" w:rsidRDefault="0026452D" w:rsidP="0026452D">
      <w:pPr>
        <w:pStyle w:val="TextoNormal"/>
      </w:pPr>
      <w:r>
        <w:t xml:space="preserve">Ello hace que, por una parte, con el debido respeto a la resolución judicial (Sentencia de la Sala Especial del Tribunal Supremo de 22 de septiembre de 2008, que declaró la ilegalidad del partido político ANV) de la que trae causa el concreto Auto sometido a nuestro control de constitucionalidad (STC 50/2008, de 14 de abril, FJ 4), debamos limitamos, a partir de las conclusiones extraídas en aquella (sobre la identidad subjetiva-organizativa-financiera), a analizar la adecuación entre lo decidido en su fallo y lo que se pretende ejecutar, sin que se pueda hablar de lesión del derecho a la intangibilidad del fallo cuando no hay error ni arbitrariedad (STC 11/2008, de 21 de enero, FJ 6) en una ejecución que precisamente tienda a hacer efectiva la resolución judicial de ilegalización de la manera que menos se injiera (o sea más respetuosa con el contenido esencial) en el derecho fundamental del </w:t>
      </w:r>
      <w:r w:rsidRPr="0026452D">
        <w:rPr>
          <w:i/>
        </w:rPr>
        <w:t>ius in officium</w:t>
      </w:r>
      <w:r>
        <w:t xml:space="preserve"> de los electos. En este sentido, el enjuiciamiento realizado por la Sala Especial del Tribunal Supremo en el presente caso, al considerar, a la vista de las identidades subjetivas, teleológicas, organizativas y financieras, que, para la efectividad de exclusión de la actividad política del partido ilegalizado, se debían disolver los grupos municipales que positivamente lo perpetuaban, sin merma de la función representativa ni de la institucional de los electos, manteniéndolos en sus escaños y funciones cardinales, no se revela como irracional, arbitrario o erróneo.</w:t>
      </w:r>
    </w:p>
    <w:p w:rsidR="0026452D" w:rsidRDefault="0026452D" w:rsidP="0026452D">
      <w:pPr>
        <w:pStyle w:val="TextoNormal"/>
      </w:pPr>
    </w:p>
    <w:p w:rsidR="0026452D" w:rsidRDefault="0026452D" w:rsidP="0026452D">
      <w:pPr>
        <w:pStyle w:val="TextoNormal"/>
      </w:pPr>
      <w:r>
        <w:t xml:space="preserve">Para alcanzar esta conclusión, baste señalar como el art. 9.4 de la Ley Orgánica 6/2002, de 27 de junio, de partidos políticos (LOPP), prescribe que para apreciar y valorar las actividades de los partidos políticos “y la continuidad o repetición de las mismas a lo largo de la trayectoria de un partido político, aunque el mismo haya cambiado de denominación, se tendrán en cuenta las resoluciones, documentos y comunicados del partido, de sus órganos </w:t>
      </w:r>
      <w:r>
        <w:lastRenderedPageBreak/>
        <w:t>y de sus grupos parlamentarios y municipales, el desarrollo de sus actos públicos y convocatorias ciudadanas, las manifestaciones, actuaciones y compromisos públicos de sus dirigentes y de los miembros de sus grupos parlamentarios y municipales, las propuestas formuladas en el seno de las instituciones o al margen de las mismas, así como las actitudes significativamente repetidas de sus afiliados o candidatos”. Este designio normativo viene a evidenciar una clara voluntad de vincular el sustrato asociativo del partido, no solo a las actividades desarrolladas de forma inmediata por este, sino también a las realizadas, en este caso, en el seno del grupo político municipal, de manera que, en buena lógica, para apreciar y valorar las actividades de un partido político, será lícito tomar como parámetro de enjuiciamiento la actividad desplegada por sus grupos parlamentarios o municipales.</w:t>
      </w:r>
    </w:p>
    <w:p w:rsidR="0026452D" w:rsidRDefault="0026452D" w:rsidP="0026452D">
      <w:pPr>
        <w:pStyle w:val="TextoNormal"/>
      </w:pPr>
    </w:p>
    <w:p w:rsidR="0026452D" w:rsidRDefault="0026452D" w:rsidP="0026452D">
      <w:pPr>
        <w:pStyle w:val="TextoNormal"/>
      </w:pPr>
      <w:r>
        <w:t>En la STC 6/2004, de 16 de enero, FJ 4, señalamos como los arts. 9.4 y 12.2 b) LOPP y el art. 44 de la Ley Orgánica de régimen electoral general —sobre la creación de un nuevo partido político o la utilización de otro ya inscrito en el registro que continúe o suceda la actividad de un partido declarado ilegal y disuelto; los cambios de denominación en la identidad del partido afectado; y a la continuidad fraudulenta de un partido ilegalizado bajo la veste de agrupaciones electorales— contienen “fórmulas arbitradas para evitar que, disuelto un partido o en trance de disolución, sea posible su continuidad material bajo la cobertura brindada por una nueva forma jurídica a la que no pueda perjudicar la actividad imputable al primero”. En el presente caso se trata de enervar esta posibilidad, materializada en la continuidad del grupo político municipal, mediante la disolución del mismo, la cual no impide el mantenimiento de las funciones representativas y los derechos de los concejales electos, con lo que se respetan los individualidades de representación política sino que despliega sus efectos únicamente sobre el componente asociativo del partido político disuelto. Y es que la disolución del partido político ha de conllevar, en buena lógica, una cesación absoluta y radical de todas las actividades desarrolladas por el mismo, ya sea directamente por sus órganos internos o, indirectamente, a través de personas o grupos con entidad jurídica diferenciada como es el caso de los grupos políticos municipales. Aceptar lo contrario abriría paso a la burla de la Ley, a su incumplimiento y a frustrar la completa eficacia de la Sentencia declaratoria de la ilegalidad del partido político, al facilitar el abuso del derecho.</w:t>
      </w:r>
    </w:p>
    <w:p w:rsidR="0026452D" w:rsidRDefault="0026452D" w:rsidP="0026452D">
      <w:pPr>
        <w:pStyle w:val="TextoNormal"/>
      </w:pPr>
    </w:p>
    <w:p w:rsidR="0026452D" w:rsidRDefault="0026452D" w:rsidP="0026452D">
      <w:pPr>
        <w:pStyle w:val="TextoNormal"/>
      </w:pPr>
      <w:r>
        <w:t>Se trata, en definitiva, de una ejecución desarrollada dentro de unos cauces procedimentales adecuados que presenta, además, un sentido teleológico perfectamente cohonestado con lo decidido en el fallo de la resolución judicial a la que se pretende dar virtualidad, ya que responde, de manera motivada y razonada, al mandato impuesto por el art. 12.1 a) LOPP, que ordena la procedencia, tras la notificación de la Sentencia en la que se acuerde la disolución, del “cese inmediato de toda la actividad del partido político disuelto”, lo que en este caso se traduce, como se ha expuesto, en la inexcusable necesidad de impedir la continuación de las actividades de la organización política ilegalizada a través del grupo político municipal.</w:t>
      </w:r>
    </w:p>
    <w:p w:rsidR="0026452D" w:rsidRDefault="0026452D" w:rsidP="0026452D">
      <w:pPr>
        <w:pStyle w:val="TextoNormal"/>
      </w:pPr>
    </w:p>
    <w:p w:rsidR="0026452D" w:rsidRDefault="0026452D" w:rsidP="0026452D">
      <w:pPr>
        <w:pStyle w:val="TextoNormal"/>
      </w:pPr>
      <w:r w:rsidRPr="0026452D">
        <w:rPr>
          <w:rStyle w:val="NumeroAFNegritaCaracter"/>
        </w:rPr>
        <w:t>3</w:t>
      </w:r>
      <w:r>
        <w:t>. Consideran los demandantes de amparo, en segundo lugar, que se han lesionado sus derechos a acceder en condiciones de igualdad a cargos públicos, a permanecer en los mismos y a participar en asuntos públicos a través de sus representantes (art. 23 CE) ya que la constitución de los grupos municipales pertenece al núcleo de la función representativa.</w:t>
      </w:r>
    </w:p>
    <w:p w:rsidR="0026452D" w:rsidRDefault="0026452D" w:rsidP="0026452D">
      <w:pPr>
        <w:pStyle w:val="TextoNormal"/>
      </w:pPr>
    </w:p>
    <w:p w:rsidR="0026452D" w:rsidRDefault="0026452D" w:rsidP="0026452D">
      <w:pPr>
        <w:pStyle w:val="TextoNormal"/>
      </w:pPr>
      <w:r>
        <w:t xml:space="preserve">Para determinar si efectivamente se ha privado a los recurrentes de las funciones que determinan su mandato de concejales electos, será necesario analizar el contenido concreto </w:t>
      </w:r>
      <w:r>
        <w:lastRenderedPageBreak/>
        <w:t xml:space="preserve">del </w:t>
      </w:r>
      <w:r w:rsidRPr="0026452D">
        <w:rPr>
          <w:i/>
        </w:rPr>
        <w:t>ius in officium</w:t>
      </w:r>
      <w:r>
        <w:t>, dilucidando si en el mismo podría encontrase la subsistencia institucional del grupo político municipal derivado de un partido político que ha sido ilegalizado.</w:t>
      </w:r>
    </w:p>
    <w:p w:rsidR="0026452D" w:rsidRDefault="0026452D" w:rsidP="0026452D">
      <w:pPr>
        <w:pStyle w:val="TextoNormal"/>
      </w:pPr>
    </w:p>
    <w:p w:rsidR="0026452D" w:rsidRDefault="0026452D" w:rsidP="0026452D">
      <w:pPr>
        <w:pStyle w:val="TextoNormal"/>
      </w:pPr>
      <w:r>
        <w:t>A este respecto, debemos comenzar por acotar los términos del debate recordando como en nuestra STC 81/1991, de 22 abril, FJ 2, ya señalamos que “cuando está en juego el ejercicio de las facultades legalmente reconocidas a los cargos públicos, es el art. 23.2 CE el directamente afectado, puesto que el mismo comprende no sólo el acceso a los cargos y empleos públicos en condiciones de igualdad y en los términos que señalen las leyes, sino también la permanencia en dichos cargos en iguales términos, sin la cual el acceso podría devenir un derecho meramente formal. Ello sin perjuicio de la estrecha relación de ambos apartados del art. 23 CE y de que la vulneración del derecho reconocido a permanecer en el cargo y a ejercerlo sin perturbaciones ilegítimas afecte también como consecuencia al derecho de los ciudadanos a participar en los asuntos públicos a través de sus representantes”.</w:t>
      </w:r>
    </w:p>
    <w:p w:rsidR="0026452D" w:rsidRDefault="0026452D" w:rsidP="0026452D">
      <w:pPr>
        <w:pStyle w:val="TextoNormal"/>
      </w:pPr>
    </w:p>
    <w:p w:rsidR="0026452D" w:rsidRDefault="0026452D" w:rsidP="0026452D">
      <w:pPr>
        <w:pStyle w:val="TextoNormal"/>
      </w:pPr>
      <w:r>
        <w:t>De igual manera, en diversas ocasiones hemos puesto de relieve las diferencias sustanciales que, desde la óptica del art. 23 CE, existen entre el partido político y el grupo parlamentario. Así, en la STC 36/1990 de 1 de marzo, FJ 1, señalamos que “conforme a la doctrina de este Tribunal, los titulares del derecho al acceso en condiciones de igualdad a los cargos representativos y con los requisitos que señalen las Leyes (art. 23.2 de la Constitución) son los ciudadanos, por mandato de dicho precepto, y no los partidos políticos; y otro tanto ocurre con el subsiguiente derecho a permanecer en los cargos públicos a los que se accedió (SSTC 5/1983, 10/1983, etc.). Por consiguiente, y a los efectos que ahora nos atañen, ostentan la titularidad del derecho fundamental comprendido en el art. 23.2 de la Constitución los propios ciudadanos, primero como candidatos a un cargo representativo y luego como parlamentarios, y, en su caso, incluso los Grupos Parlamentarios en que éstos se integran y que ellos mismos constituyen, en la medida en que resulten menoscabados sus derechos (STC 108/1986, fundamento jurídico 4)”.</w:t>
      </w:r>
    </w:p>
    <w:p w:rsidR="0026452D" w:rsidRDefault="0026452D" w:rsidP="0026452D">
      <w:pPr>
        <w:pStyle w:val="TextoNormal"/>
      </w:pPr>
    </w:p>
    <w:p w:rsidR="0026452D" w:rsidRDefault="0026452D" w:rsidP="0026452D">
      <w:pPr>
        <w:pStyle w:val="TextoNormal"/>
      </w:pPr>
      <w:r>
        <w:t xml:space="preserve">También en la STC 64/2002, de 11 de marzo, FJ 2, tras reconocer que son principalmente los representantes políticos de los ciudadanos quienes dan efectividad a su derecho a participar en los asuntos públicos, admitimos que “la garantía que dispensa el apartado 2 del art. 23 al acceso en condiciones de igualdad al cargo público se extiende a la permanencia en el mismo y al desempeño de las funciones que le son inherentes, en los términos que establecen las leyes o, en su caso, los Reglamentos parlamentarios, pues no en vano se trata de derechos fundamentales de configuración legal … En este sentido ha de recordarse que compete a la Ley, y en determinadas materias a los Reglamentos parlamentarios, fijar y ordenar esos derechos y facultades que corresponden a los distintos cargos y funciones públicos, los cuales, una vez creados, quedan integrados en el status propio de cada cargo, con la consecuencia de que podrán sus titulares, al amparo del art. 23.2 CE, defender ante los órganos judiciales y en último extremo ante este Tribunal el </w:t>
      </w:r>
      <w:r w:rsidRPr="0026452D">
        <w:rPr>
          <w:i/>
        </w:rPr>
        <w:t>ius in officium</w:t>
      </w:r>
      <w:r>
        <w:t xml:space="preserve"> que consideren ilegítimamente constreñido o ignorado por los actos del poder público”. Precisando esta misma STC 64/2002, FFJJ 2 y 3, que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añadiéndose a ello que “no cabe duda alguna de que la facultad de constituir Grupo Parlamentario, en la forma y con los requisitos que el mismo Reglamento establece, corresponde a los Diputados, y que dicha facultad, de conformidad </w:t>
      </w:r>
      <w:r>
        <w:lastRenderedPageBreak/>
        <w:t xml:space="preserve">con la doctrina constitucional antes expuesta, pertenece al núcleo de su función representativa parlamentaria, pues, dada la configuración de los Grupos Parlamentarios en los actuales Parlamentos, y, en concreto, en el Congreso de los Diputados, como entes imprescindibles y principales en la organización y funcionamiento de la Cámara, así como en el desempeño de las funciones parlamentarias y los beneficios que conlleva la adquisición de tal status, aquella facultad constituye una manifestación constitucionalmente relevante del </w:t>
      </w:r>
      <w:r w:rsidRPr="0026452D">
        <w:rPr>
          <w:i/>
        </w:rPr>
        <w:t>ius in officium</w:t>
      </w:r>
      <w:r>
        <w:t xml:space="preserve"> del representante”.</w:t>
      </w:r>
    </w:p>
    <w:p w:rsidR="0026452D" w:rsidRDefault="0026452D" w:rsidP="0026452D">
      <w:pPr>
        <w:pStyle w:val="TextoNormal"/>
      </w:pPr>
    </w:p>
    <w:p w:rsidR="0026452D" w:rsidRDefault="0026452D" w:rsidP="0026452D">
      <w:pPr>
        <w:pStyle w:val="TextoNormal"/>
      </w:pPr>
      <w:r>
        <w:t>De todo ello es posible deducir, como punto de partida para nuestro análisis, que, dentro del núcleo del art. 23 CE, se encuentra el derecho a constituir grupos políticos, a permanecer en los cargos públicos representativos y a ejercerlos sin perturbaciones ilegítimas, todo ello, claro está, dentro de los términos que establezcan las leyes o, en su caso, los reglamentos parlamentarios. Es decir, no se trata de unas facultades absolutas, sino de unos derechos de configuración normativa que, por ello mismo, encuentran su límite en las prescripciones legales y reglamentarias que regulan su ejercicio.</w:t>
      </w:r>
    </w:p>
    <w:p w:rsidR="0026452D" w:rsidRDefault="0026452D" w:rsidP="0026452D">
      <w:pPr>
        <w:pStyle w:val="TextoNormal"/>
      </w:pPr>
    </w:p>
    <w:p w:rsidR="0026452D" w:rsidRDefault="0026452D" w:rsidP="0026452D">
      <w:pPr>
        <w:pStyle w:val="TextoNormal"/>
      </w:pPr>
      <w:r>
        <w:t>Pues bien, la disolución del grupo municipal que pretende la resolución recurrida en amparo, no presenta una naturaleza penal ni sancionadora que hiciese exigible el principio de taxatividad propio de lo sancionador (STC 5/2004, de 16 de enero, FJ 9), y encuentra suficiente cobertura legal.</w:t>
      </w:r>
    </w:p>
    <w:p w:rsidR="0026452D" w:rsidRDefault="0026452D" w:rsidP="0026452D">
      <w:pPr>
        <w:pStyle w:val="TextoNormal"/>
      </w:pPr>
    </w:p>
    <w:p w:rsidR="0026452D" w:rsidRDefault="0026452D" w:rsidP="0026452D">
      <w:pPr>
        <w:pStyle w:val="TextoNormal"/>
      </w:pPr>
      <w:r>
        <w:t>Primero, en Ley Orgánica 6/2002, de 27 de junio, de Partidos Políticos, en cuyo artículo 12.2 ordena a la Sala sentenciadora “asegurar, en trámite de ejecución de sentencia, que se respeten y ejecuten todos los efectos previstos por las leyes para el supuesto de disolución de un partido político”. Entre estos efectos se encuentra, de manera elemental y como exigencia natural de su material realización, que se impida cualquier eficacia futura de actuaciones realizadas por el partido ilegalizado antes de su disolución, para que la eliminación de su actividad, que exige el artículo 12.1 a) de la Ley Orgánica de partidos políticos, sea real y no resulte burlada.</w:t>
      </w:r>
    </w:p>
    <w:p w:rsidR="0026452D" w:rsidRDefault="0026452D" w:rsidP="0026452D">
      <w:pPr>
        <w:pStyle w:val="TextoNormal"/>
      </w:pPr>
    </w:p>
    <w:p w:rsidR="0026452D" w:rsidRDefault="0026452D" w:rsidP="0026452D">
      <w:pPr>
        <w:pStyle w:val="TextoNormal"/>
      </w:pPr>
      <w:r>
        <w:t>Y segundo, en lo dispuesto en el art. 73.3 de la Ley de bases del régimen local que, al determinar que “[a] efectos de su actuación corporativa, los miembros de las corporaciones locales se constituirán en grupos políticos … con excepción de aquéllos que no se integren en el grupo político que constituya la formación electoral por la que fueron elegidos o que abandonen su grupo de procedencia, que tendrán la consideración de miembros no adscritos”. Del texto literal reproducido destacan dos cosas: a) que son los partidos políticos o, en su caso, las agrupaciones de electores (que la Ley define conjuntamente como “formación electoral”) los que constituyen los grupos políticos municipales; y b) que los concejales no están obligados a integrarse sin remedio en el grupo político constituido por el partido en cuyas listas resultaron elegidos, ni a permanecer en aquel, pero si no se integran o lo abandonan quedan inexorablemente en la condición de no adscritos. Por lo tanto, existen unas prescripciones legales que hacen una previsión concreta y expresa directamente aplicable al caso de los recurrentes, ya que la formación electoral de la que procedían y que es la que constituyó el grupo municipal ha desaparecido , lo que es suficiente para entender que la ejecución realizada, está fundada en derecho.</w:t>
      </w:r>
    </w:p>
    <w:p w:rsidR="0026452D" w:rsidRDefault="0026452D" w:rsidP="0026452D">
      <w:pPr>
        <w:pStyle w:val="TextoNormal"/>
      </w:pPr>
    </w:p>
    <w:p w:rsidR="0026452D" w:rsidRDefault="0026452D" w:rsidP="0026452D">
      <w:pPr>
        <w:pStyle w:val="TextoNormal"/>
      </w:pPr>
      <w:r>
        <w:t xml:space="preserve">Por otro lado, de la eficacia conjunta de los preceptos antes examinados y de sus efectos resulta que la disolución del grupo municipal de ANV se realizó por el Tribunal Supremo </w:t>
      </w:r>
      <w:r>
        <w:lastRenderedPageBreak/>
        <w:t xml:space="preserve">en ejecución de su Sentencia de 22 de septiembre de 2008, dictada por la Sala Especial del Tribunal Supremo en los Autos acumulados 5/2008 y 6/2008, sin lesión del derecho a la tutela judicial efectiva (art. 24.1 CE) y, además, de manera respetuosa con el derecho reconocido en el art. 23 CE a los recurrentes. La disolución del grupo municipal afecta, indudablemente, a determinadas facultades de los concejales electos, si bien en este caso, por un lado, se mantiene a aquellos en el mandato representativo de los votantes y, por otro, no se excluye ni su participación en el proceso de toma de decisiones (normativas o no) del consistorio, ni su capacidad de control del ejercicio del poder municipal y fiscalización del gasto, siendo las prerrogativas alegadas por los recurrentes relativas de uso de despachos, locales, prioridades, etc. accidentales a la función representativa. En este sentido, la STC 169/2009, de 9 de julio, FJ 4, señaló que “ni la consideración de estos diputados provinciales como miembros no adscritos de la corporación, con la consiguiente supresión del grupo mixto, ni las consecuencias que de ello se derivan respecto de estos extremos de su régimen jurídico, vulneran, por tanto, el derecho de los recurrentes a ejercer su </w:t>
      </w:r>
      <w:r w:rsidRPr="0026452D">
        <w:rPr>
          <w:i/>
        </w:rPr>
        <w:t>ius in officium</w:t>
      </w:r>
      <w:r>
        <w:t xml:space="preserve">”. De igual manera, en la STC 117/2012, de 4 de junio, FJ 3, dijimos, reiterando la doctrina sentada en la STC 20/2011, FJ 4, “que entre las funciones que pertenecen al núcleo inherente a la función representativa que constitucionalmente corresponde a los miembros de una corporación municipal se encuentran la de participar en la actividad de control del gobierno municipal, la de participar en las deliberaciones del Pleno de la corporación y la de votar en los asuntos sometidos a votación en este órgano, así como el derecho a obtener la información necesaria para poder ejercer las anteriores funciones. Ninguna de estas facultades se ve necesariamente comprometida como consecuencia de la imposibilidad de constituirse en grupo mixto o de integrarse en algún otro grupo político (STC 169/2009, FJ 3)”. Y en particular que, “como hemos advertido en la STC 169/2009, FJ 4, la pérdida de los beneficios económicos y de la infraestructura asociada al grupo político como la imposibilidad de tener portavoz y consecuentemente, de formar parte, en su caso, de la junta de portavoces, son limitaciones que, con carácter general, no pueden considerarse lesivas de los derechos que consagra el art. 23 CE”. Todo ello nos condujo a concluir que “ni la consideración como concejales no adscritos, con la consiguiente imposibilidad de formar parte de ningún grupo político municipal, ni las consecuencias que de ello se derivan, vulneran el derecho de los recurrentes a ejercer su </w:t>
      </w:r>
      <w:r w:rsidRPr="0026452D">
        <w:rPr>
          <w:i/>
        </w:rPr>
        <w:t>ius in officium</w:t>
      </w:r>
      <w:r>
        <w:t>, por lo que, en este punto, ha de rechazarse la pretendida lesión de los derechos garantizados por el art. 23 CE”.</w:t>
      </w:r>
    </w:p>
    <w:p w:rsidR="0026452D" w:rsidRDefault="0026452D" w:rsidP="0026452D">
      <w:pPr>
        <w:pStyle w:val="TextoNormal"/>
      </w:pPr>
    </w:p>
    <w:p w:rsidR="0026452D" w:rsidRDefault="0026452D" w:rsidP="0026452D">
      <w:pPr>
        <w:pStyle w:val="TextoNormal"/>
      </w:pPr>
      <w:r>
        <w:t>Por lo demás, las concretas vulneraciones que pudieren producirse en el futuro como consecuencia de los concretos actos de aplicación del reglamento orgánico de cada corporación no pueden ser objeto ahora de enjuiciamiento, ya que se trata de una eventualidad aún no producida, por lo que un pronunciamiento nuestro en tal sentido resultaría meramente retórico y preventivo. De igual manera, deben descartarse las críticas que los recurrentes hacen al régimen procesal y sustantivo aplicado, ya que el recurso de amparo no es el instrumento adecuado para la impugnación de las leyes que se estimen inconstitucionales.</w:t>
      </w:r>
    </w:p>
    <w:p w:rsidR="0026452D" w:rsidRDefault="0026452D" w:rsidP="0026452D">
      <w:pPr>
        <w:pStyle w:val="TextoNormal"/>
      </w:pPr>
    </w:p>
    <w:p w:rsidR="0026452D" w:rsidRDefault="0026452D" w:rsidP="0026452D">
      <w:pPr>
        <w:pStyle w:val="TextoNormal"/>
      </w:pPr>
      <w:r w:rsidRPr="0026452D">
        <w:rPr>
          <w:rStyle w:val="NumeroAFNegritaCaracter"/>
        </w:rPr>
        <w:t>4</w:t>
      </w:r>
      <w:r>
        <w:t>. Alegan los recurrentes, por último, la vulneración del derecho a obtener la tutela judicial efectiva (art. 24.1 CE) en la vertiente de indefensión, por su falta de intervención en el proceso declarativo de ilegalización del Partido ANV, considerando que la defensa de la que han dispuesto en el proceso ejecutivo ha sido meramente formal, no real ni efectiva.</w:t>
      </w:r>
    </w:p>
    <w:p w:rsidR="0026452D" w:rsidRDefault="0026452D" w:rsidP="0026452D">
      <w:pPr>
        <w:pStyle w:val="TextoNormal"/>
      </w:pPr>
    </w:p>
    <w:p w:rsidR="0026452D" w:rsidRDefault="0026452D" w:rsidP="0026452D">
      <w:pPr>
        <w:pStyle w:val="TextoNormal"/>
      </w:pPr>
      <w:r>
        <w:lastRenderedPageBreak/>
        <w:t>En cuanto a lo último, además de la específica previsión de los apartados 2 y 3 del art. 12 de la Ley Orgánica 6/2002, de 27 de junio, de partidos políticos, acerca de la vía ejecutiva, la Sala Especial del Tribunal Supremo motivó dicha opción procesal, en la que existe una efectiva posibilidad de alegación y defensa, de manera que, como dijimos en STC 229/2003, de 18 de diciembre, FJ 8, y reiteramos en STC 44/2009, de 12 febrero, FJ 5, “no cabe apreciar vulneración alguna, derivada de la elección de las normas del procedimiento”, habiendo resultado, por lo demás, del régimen de los arts. 556 y siguientes de la Ley de enjuiciamiento civil, la existencia de garantías de alegación, prueba, defensa y recurso suficientes desde la óptica del art. 24 CE. En concreto, se ha dado traslado para alegaciones del incidente de ejecución a los grupos municipales de ANV, consta la contestación del concreto grupo municipal de Pasajes, quien ha disfrutado igualmente del recurso de reposición interpuesto. De manera que resulta palmario que los recurrentes tuvieron oportunidad suficiente en el procedimiento de ejecución para formular alegaciones y aportar las pruebas oportunas sobre la ausencia de conexión o vinculación del grupo municipal con el partido político ilegalizado.</w:t>
      </w:r>
    </w:p>
    <w:p w:rsidR="0026452D" w:rsidRDefault="0026452D" w:rsidP="0026452D">
      <w:pPr>
        <w:pStyle w:val="TextoNormal"/>
      </w:pPr>
    </w:p>
    <w:p w:rsidR="0026452D" w:rsidRDefault="0026452D" w:rsidP="0026452D">
      <w:pPr>
        <w:pStyle w:val="TextoNormal"/>
      </w:pPr>
      <w:r>
        <w:t>Además, en cuanto a su inexistente intervención en el proceso de ilegalización del partido político tampoco los recurrentes especifican los concretos medios de alegación o prueba de los que se habrían visto privados, ni cómo la práctica de los mismos habría mutado el resultado final (como exigimos en las SSTC 85/2003, de 8 de mayo, FFJJ 13 a 17; y 44/2009, de 12 de febrero, FJ. 8). Esto determina que la supuesta lesión de los derechos a la tutela judicial efectiva sin indefensión (art. 24.1 CE) y a un proceso con todas las garantías (art. 24.2 CE) que denuncian los recurrentes resulte ser un reproche meramente formal y retórico, carente, por lo tanto, de acuerdo con una reiterada doctrina de este Tribunal, de la imprescindible relevancia constitucional, ya que es igualmente doctrina reiterada y conocida de este Tribunal la que señala que  —de producirse— no toda infracción o irregularidad procesal cometida por los órganos judiciales provoca inevitablemente un perjuicio material en los derechos de defensa que corresponden a las partes en el proceso (por todas, recientemente STC 42/2011, de 11 de abril, FJ 2). Como subraya por su parte la STC 85/2003, de 8 de mayo, FJ 11, lo relevante a estos efectos es determinar si —en este caso— esa supuesta irregularidad procesal causó un perjuicio real y efectivo en las posibilidades de defensa del grupo municipal recurrente, privando o limitando su facultad de alegar y justificar sus derechos e intereses.</w:t>
      </w:r>
    </w:p>
    <w:p w:rsidR="0026452D" w:rsidRDefault="0026452D" w:rsidP="0026452D">
      <w:pPr>
        <w:pStyle w:val="TextoNormal"/>
      </w:pPr>
    </w:p>
    <w:p w:rsidR="0026452D" w:rsidRDefault="0026452D" w:rsidP="0026452D">
      <w:pPr>
        <w:pStyle w:val="TextoNormal"/>
      </w:pPr>
      <w:r>
        <w:t>Con arreglo a estos presupuestos y teniendo en cuenta que no corresponde a este Tribunal determinar la forma de dar cumplimiento al procedimiento originario de ilegalización del partido ANV, debemos rechazar la vulneración del derecho a la tutela judicial efectiva sin indefensión (art. 24.1 CE) denunciada porque, siendo carga procesal de la parte demandante, los recurrentes no han alegado ni menos aún acreditado que su falta de personación en aquel proceso declarativo les haya impedido ejercer efectivamente su derecho de defensa contradictoria y combatir, en consecuencia, los hechos relevantes considerados por el órgano judicial en la Sentencia que se trata de ejecutar, cuya realidad, por otra parte, ni siquiera discute en su demanda de amparo.</w:t>
      </w:r>
    </w:p>
    <w:p w:rsidR="0026452D" w:rsidRDefault="0026452D" w:rsidP="0026452D">
      <w:pPr>
        <w:pStyle w:val="TextoNormal"/>
      </w:pPr>
    </w:p>
    <w:p w:rsidR="0026452D" w:rsidRDefault="0026452D" w:rsidP="0026452D">
      <w:pPr>
        <w:pStyle w:val="TextoNormal"/>
      </w:pPr>
      <w:r>
        <w:t xml:space="preserve">A mayor abundamiento, y a efectos dialécticos, cabe señalar, respecto de la falta de intervención del Grupo de EAE/ANV en el proceso originario de ilegalización del partido ANV, que resulta notorio el conocimiento extraprocesal de aquel procedimiento de ilegalización de ANV que finalizó en la Sentencia de la Sala Especial del Tribunal Supremo de 22 </w:t>
      </w:r>
      <w:r>
        <w:lastRenderedPageBreak/>
        <w:t>de septiembre de 2008, siendo a este caso aplicable la doctrina que determina que “los posibles efectos dañosos resultantes de una actuación incorrecta de aquéllos [órganos judiciales] carecen de relevancia desde la perspectiva del amparo constitucional cuando el error sea asimismo achacable a la negligencia de la parte (SSTC 128/1998, de 16 de junio, FJ 6; 82/1999, de 10 de mayo, FJ 3; 150/2000, de 12 de junio, FJ 2; 65/2002, de 11 de marzo, FJ 4; 37/2003, de 25 de febrero, FJ 6; 178/2003, de 13 de octubre, FJ 4; y 249/2004, de 20 de diciembre, FJ 2), bien porque se ha situado al margen del litigio por razón de una actitud pasiva con el objetivo de obtener una ventaja de esa marginación, o bien cuando se acredite que tenía un conocimiento extraprocesal de la existencia del proceso al que no fue llamado personalmente (SSTC 268/2000, de 13 de noviembre, FJ 4; 113/2001, de 7 de mayo, FJ 6; 1/2002, de 14 de enero, FJ 2; 191/2003, de 27 de octubre, FJ 3; y 225/2004, de 29 de noviembre, FJ 2) (STC 161/2006, de 22 de mayo).” (por todas, STC 93/2009, de 20 de abril, FJ 3).</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Denegar el amparo solicitado por doña Maider Ziganda Población, doña Obdulia Lorenzo de Dios, doña Edurne Baztarrica Bilbao, don Ander Poza Olabide, don Iñaki Garmendia Agirregabiria, don Alvaro Ricon Rivera y don Iosu Bengoechea Echeverría, todos ellos concejales del Ayuntamiento de Pasaia, integrantes del grupo político Pasaiako Eusko Abertzale Ekintza/Acción Nacionalista Vasca.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veintiocho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4" w:name="SENTENCIA_2013_11"/>
      <w:r>
        <w:lastRenderedPageBreak/>
        <w:t>SENTENCIA 11/2013, de 28 de enero de 2013</w:t>
      </w:r>
    </w:p>
    <w:bookmarkEnd w:id="14"/>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ECLI:ES:TC:2013:11</w:t>
      </w:r>
    </w:p>
    <w:p w:rsidR="0026452D" w:rsidRDefault="0026452D" w:rsidP="0026452D">
      <w:pPr>
        <w:pStyle w:val="SntesisDescriptiva"/>
      </w:pPr>
    </w:p>
    <w:p w:rsidR="0026452D" w:rsidRDefault="0026452D" w:rsidP="0026452D">
      <w:pPr>
        <w:pStyle w:val="SntesisDescriptiva"/>
      </w:pPr>
      <w:r>
        <w:t>Recurso de amparo 6052-2010. Promovido por don José Antonio López Illán en relación con la resolución del Ministerio del Interior desestimatoria de su solicitud de abono de indemnización por residencia eventual en el extranjero y la Sentencia de la Sala de lo Contencioso-Administrativo del Tribunal Superior de Justicia de Madrid, que la confirmó.</w:t>
      </w:r>
    </w:p>
    <w:p w:rsidR="0026452D" w:rsidRDefault="0026452D" w:rsidP="0026452D">
      <w:pPr>
        <w:pStyle w:val="SntesisDescriptiva"/>
      </w:pPr>
    </w:p>
    <w:p w:rsidR="0026452D" w:rsidRDefault="0026452D" w:rsidP="0026452D">
      <w:pPr>
        <w:pStyle w:val="SntesisAnaltica"/>
      </w:pPr>
      <w:r>
        <w:t>Vulneración del derecho a la igualdad en la aplicación de la ley: Sección de apoyo de una Sala que no justifica el abandono del criterio que venía manteniendo la sección ordinaria (STC 122/2001).</w:t>
      </w:r>
    </w:p>
    <w:p w:rsidR="0026452D" w:rsidRDefault="0026452D" w:rsidP="0026452D">
      <w:pPr>
        <w:pStyle w:val="SntesisAnaltica"/>
      </w:pPr>
    </w:p>
    <w:p w:rsidR="0026452D" w:rsidRDefault="0026452D" w:rsidP="0026452D">
      <w:pPr>
        <w:pStyle w:val="Extracto"/>
      </w:pPr>
      <w:r>
        <w:t>1.</w:t>
      </w:r>
      <w:r>
        <w:tab/>
        <w:t xml:space="preserve">La Sección de Apoyo a la Sección Sexta no era una Sección distinta de la Sección Sexta de la Sala de lo Contencioso-Administrativo del Tribunal Superior de Justicia, lo que permite apreciar la existencia de todos los requisitos para que pueda entenderse vulnerado el derecho a la igualdad en la aplicación de la ley –la acreditación de un </w:t>
      </w:r>
      <w:r w:rsidRPr="0026452D">
        <w:rPr>
          <w:i/>
        </w:rPr>
        <w:t>tertium comparationis–, ex</w:t>
      </w:r>
      <w:r>
        <w:t xml:space="preserve"> art. 14 CE, pues, determinada la identidad de órgano judicial, la Sentencia recurrida no explica por qué en unos casos se estimó el recurso y en otros se desestimó ni tampoco justifica el cambio de criterio producido entre los casos que constituyen su precedente —los resueltos por la Sección Sexta— y la sentencia de que ahora se trata —dictada por la Sección de Apoyo– [FJ 4].</w:t>
      </w:r>
    </w:p>
    <w:p w:rsidR="0026452D" w:rsidRDefault="0026452D" w:rsidP="0026452D">
      <w:pPr>
        <w:pStyle w:val="Extracto"/>
      </w:pPr>
    </w:p>
    <w:p w:rsidR="0026452D" w:rsidRDefault="0026452D" w:rsidP="0026452D">
      <w:pPr>
        <w:pStyle w:val="Extracto"/>
      </w:pPr>
      <w:r>
        <w:t>2.</w:t>
      </w:r>
      <w:r>
        <w:tab/>
        <w:t>Doctrina sobre los requisitos necesarios para considerar vulnerado el principio de igualdad en la aplicación de la ley (SSTC 111/2002, 38/2011) [FJ 4].</w:t>
      </w:r>
    </w:p>
    <w:p w:rsidR="0026452D" w:rsidRDefault="0026452D" w:rsidP="0026452D">
      <w:pPr>
        <w:pStyle w:val="Extracto"/>
      </w:pPr>
    </w:p>
    <w:p w:rsidR="0026452D" w:rsidRDefault="0026452D" w:rsidP="0026452D">
      <w:pPr>
        <w:pStyle w:val="Extracto"/>
      </w:pPr>
      <w:r>
        <w:t>3.</w:t>
      </w:r>
      <w:r>
        <w:tab/>
        <w:t>No nos corresponde pronunciarnos directamente sobre cómo interpretar y aplicar al caso el art. 3.2 del Real Decreto 462/2002 ni sobre cuál ha de ser la solución legalmente adecuada acerca de la compatibilidad entre la indemnización por residencia habitual y las dietas por misión –</w:t>
      </w:r>
      <w:r w:rsidRPr="0026452D">
        <w:rPr>
          <w:i/>
        </w:rPr>
        <w:t>mission subsistence allowance</w:t>
      </w:r>
      <w:r>
        <w:t>–, pues se trata de decisiones que corresponden en exclusiva a los órganos judiciales (SSTC 147/1988, 114/2012) [FJ 3].</w:t>
      </w:r>
    </w:p>
    <w:p w:rsidR="0026452D" w:rsidRDefault="0026452D" w:rsidP="0026452D">
      <w:pPr>
        <w:pStyle w:val="Extracto"/>
      </w:pPr>
    </w:p>
    <w:p w:rsidR="0026452D" w:rsidRDefault="0026452D" w:rsidP="0026452D">
      <w:pPr>
        <w:pStyle w:val="Extracto"/>
      </w:pPr>
      <w:r>
        <w:t>4.</w:t>
      </w:r>
      <w:r>
        <w:tab/>
        <w:t>No es función del Tribunal Constitucional la interpretación de la legalidad ordinaria y aunque una aplicación de la legalidad, que sea arbitraria, manifiestamente irrazonada o irrazonable, no puede considerarse fundada en Derecho, sólo cuando esa interpretación de la legalidad contuviera razonamientos y pronunciamientos lesivos de un derecho fundamental podría ser anulada (SSTC 147/1988, 114/2012) [FJ 3].</w:t>
      </w:r>
    </w:p>
    <w:p w:rsidR="0026452D" w:rsidRDefault="0026452D" w:rsidP="0026452D">
      <w:pPr>
        <w:pStyle w:val="Extracto"/>
      </w:pPr>
    </w:p>
    <w:p w:rsidR="0026452D" w:rsidRDefault="0026452D" w:rsidP="0026452D">
      <w:pPr>
        <w:pStyle w:val="Extracto"/>
      </w:pPr>
      <w:r>
        <w:t>5.</w:t>
      </w:r>
      <w:r>
        <w:tab/>
        <w:t xml:space="preserve">Se descarta la falta de agotamiento de todos los medios de impugnación previstos por las normas procesales, al no interponerse un nuevo incidente de nulidad de actuaciones contra la providencia que inadmitió un anterior incidente de nulidad, porque el órgano judicial tuvo ocasión de pronunciarse sobre la lesión del derecho </w:t>
      </w:r>
      <w:r>
        <w:lastRenderedPageBreak/>
        <w:t>a la igualdad de la parte, tanto en la propia Sentencia recurrida como en la posterior providencia de inadmisión, por lo que no ha sufrido merma alguna el principio de subsidiariedad (SSTC 153/2012, 201/2012) [FJ 2].</w:t>
      </w:r>
    </w:p>
    <w:p w:rsidR="0026452D" w:rsidRDefault="0026452D" w:rsidP="0026452D">
      <w:pPr>
        <w:pStyle w:val="Extracto"/>
      </w:pPr>
    </w:p>
    <w:p w:rsidR="0026452D" w:rsidRDefault="0026452D" w:rsidP="0026452D">
      <w:pPr>
        <w:pStyle w:val="Extracto"/>
      </w:pPr>
      <w:r>
        <w:t>6.</w:t>
      </w:r>
      <w:r>
        <w:tab/>
        <w:t>Doctrina sobre el incidente de nulidad de actuaciones (SSTC 59/2007, 200/2012) [FJ 2].</w:t>
      </w:r>
    </w:p>
    <w:p w:rsidR="0026452D" w:rsidRDefault="0026452D" w:rsidP="0026452D">
      <w:pPr>
        <w:pStyle w:val="Extracto"/>
      </w:pPr>
    </w:p>
    <w:p w:rsidR="0026452D" w:rsidRDefault="0026452D" w:rsidP="0026452D">
      <w:pPr>
        <w:pStyle w:val="Extracto"/>
      </w:pPr>
      <w:r>
        <w:t>7.</w:t>
      </w:r>
      <w:r>
        <w:tab/>
        <w:t xml:space="preserve">El requisito del agotamiento de la vía judicial es una condición de admisibilidad del recurso de amparo que responde a la finalidad de preservar el carácter subsidiario del mismo evitando que el acceso a esta jurisdicción constitucional se produzca </w:t>
      </w:r>
      <w:r w:rsidRPr="0026452D">
        <w:rPr>
          <w:i/>
        </w:rPr>
        <w:t>per saltum</w:t>
      </w:r>
      <w:r>
        <w:t>, sin brindar a los órganos judiciales la oportunidad de pronunciarse y, en su caso, remediar la lesión invocada como fundamento del recurso de amparo (SSTC 59/2007, 187/2008) [FJ 2].</w:t>
      </w:r>
    </w:p>
    <w:p w:rsidR="0026452D" w:rsidRDefault="0026452D" w:rsidP="0026452D">
      <w:pPr>
        <w:pStyle w:val="Extracto"/>
      </w:pPr>
    </w:p>
    <w:p w:rsidR="0026452D" w:rsidRDefault="0026452D" w:rsidP="0026452D">
      <w:pPr>
        <w:pStyle w:val="Extracto"/>
      </w:pPr>
      <w:r>
        <w:t>8.</w:t>
      </w:r>
      <w:r>
        <w:tab/>
        <w:t>Los defectos insubsanables de que pueda estar afectada la demanda de amparo no resultan subsanados porque ésta haya sido inicialmente admitida a trámite, pudiendo abordarse por este Tribunal de oficio el examen de los presupuestos de viabilidad de la misma en fase de sentencia y llegar, en su caso, a la declaración de inadmisión del recurso o del motivo del recurso afectado por dichos defectos (SSTC 29/2004, 42/2010)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amparo núm. 6052-2010, promovido por don José Antonio López Illán, representado por el Procurador de los Tribunales don Virgilio Navarro Cerrillo, contra la resolución del Director General de la Policía y de la Guardia Civil de 27 septiembre 2006 (expediente 061-2006-D), que desestimó la solicitud del recurrente de abono de indemnización por residencia eventual en el extranjero; contra la Sentencia núm. 10.303 de la Sala de lo Contencioso-Administrativo, programa de actuación por objetivos en apoyo a la Sección Sexta “E”, del Tribunal Superior de Justicia de Madrid de 18 de diciembre de 2009 que desestima el recurso contencioso-administrativo núm. 1212-2006 deducido contra la anterior resolución; y contra la providencia de 28 mayo de 2010 de la Sala de lo Contencioso-Administrativo, programa de actuación por objetivos en apoyo de la Sección Sexta, del Tribunal Superior de Justicia de Madrid que inadmitió a trámite el incidente de nulidad actuaciones presentado contra la referida Sentencia. Habiendo sido parte el Abogado del Estado. </w:t>
      </w:r>
      <w:r>
        <w:lastRenderedPageBreak/>
        <w:t>Ha sido Ponente el Magistrado don Ramón Rodríguez Arribas,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 Mediante escrito registrado en este Tribunal con fecha de 26 de julio de 2010 el Procurador de los Tribunales don Virgilio Navarro Cerrillo, en representación de don José Antonio López Illán, interpuso recurso de amparo contra las resoluciones reseñadas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de los que trae causa la demanda de amparo, relevantes para la resolución del caso son, en síntesis, los siguientes.</w:t>
      </w:r>
    </w:p>
    <w:p w:rsidR="0026452D" w:rsidRDefault="0026452D" w:rsidP="0026452D">
      <w:pPr>
        <w:pStyle w:val="TextoNormal"/>
      </w:pPr>
    </w:p>
    <w:p w:rsidR="0026452D" w:rsidRDefault="0026452D" w:rsidP="0026452D">
      <w:pPr>
        <w:pStyle w:val="TextoNormal"/>
      </w:pPr>
      <w:r>
        <w:t>El demandante de amparo, el teniente de la Guardia Civil don José Antonio López IIlán estuvo destinado entre los días 29 de septiembre de 2004 y 27 de abril de 2006 en comisión de servicio en la misión de la Organización de Naciones Unidas (ONU) en Haití denominada MINUSTAH-UNPOL como miembro del contingente español integrado por diecinueve funcionarios de la Guardia Civil y once funcionarios del Cuerpo Nacional de Policía integrados todos en la policía civil de la misión, y propuestos todos por el mismo órgano —la Secretaria de Estado de Seguridad— sin distinción de pertenencia a un cuerpo u otro y realizando las mismas funciones. A todo el personal se le abonó un viático (</w:t>
      </w:r>
      <w:r w:rsidRPr="0026452D">
        <w:rPr>
          <w:i/>
        </w:rPr>
        <w:t>Mission Subsistence Alowance</w:t>
      </w:r>
      <w:r>
        <w:t>) de 178 dólares diarios durante los primeros treinta días a partir de su incorporación a la misión, efectuada al día siguiente del inicio de la comisión, abonándosele 133 dólares diarios durante el resto de la comisión. Sin embargo, desde el día 1 de mayo de 2005 el viático pasó a ser de 203 dólares diarios en los primeros treinta días de la misión y de 139 dólares diarios durante el resto de la comisión. El demandante de amparo solicitó en fecha 10 de julio de 2006 que se le abonaran las cantidades que, en concepto de indemnización por residencia eventual al parecer habían percibido los funcionarios del Cuerpo Nacional de Policía integrados en la misión, cantidades estas que los componentes del Cuerpo de la Guardia Civil integrantes del mismo contingente policial no habían percibido.</w:t>
      </w:r>
    </w:p>
    <w:p w:rsidR="0026452D" w:rsidRDefault="0026452D" w:rsidP="0026452D">
      <w:pPr>
        <w:pStyle w:val="TextoNormal"/>
      </w:pPr>
    </w:p>
    <w:p w:rsidR="0026452D" w:rsidRDefault="0026452D" w:rsidP="0026452D">
      <w:pPr>
        <w:pStyle w:val="TextoNormal"/>
      </w:pPr>
      <w:r>
        <w:t>Mediante resolución del Director General de la Policía y de la Guardia Civil de 27 de septiembre de 2006 (expediente 061-2006-D), se desestimó la solicitud del recurrente de abono de indemnización por residencia eventual en el extranjero, y ello por considerar que, en aplicación del artículo 3.2 del Real Decreto 462/2002, que excluye del derecho a indemnización aquellos servicios “que estén retribuidos o indemnizados por un importe igual o superior a la cuantías de la indemnización” cualquiera que sea la Administración u organismo que retribuya o indemnice el servicio, no procedía imputar a cargo de los presupuestos de la Dirección General de la Guardia Civil tales gastos, al haber percibido el comisionado un viático mensual de la organización patrocinadora de la misión en cantidad muy superior a la indemnización solicitada.</w:t>
      </w:r>
    </w:p>
    <w:p w:rsidR="0026452D" w:rsidRDefault="0026452D" w:rsidP="0026452D">
      <w:pPr>
        <w:pStyle w:val="TextoNormal"/>
      </w:pPr>
    </w:p>
    <w:p w:rsidR="0026452D" w:rsidRDefault="0026452D" w:rsidP="0026452D">
      <w:pPr>
        <w:pStyle w:val="TextoNormal"/>
      </w:pPr>
      <w:r>
        <w:t xml:space="preserve">El interesado había venido percibiendo, al principio de la misión, 133 dólares diarios en concepto de viático, cantidad que pasó posteriormente a ser de 139 dólares diarios hasta la finalización de su comisión, mientras que la cantidad de dieta entera (grupo 2, país Haití) estaba fijada en la suma de 82,94 euros, por lo que, tratándose de una comisión de servicio en situación de residencia eventual con aplicación máxima del 80 por 100 de indemnización </w:t>
      </w:r>
      <w:r>
        <w:lastRenderedPageBreak/>
        <w:t>por residencia eventual, resultaría una indemnización de 66,35 euros-día. Considera igualmente la resolución que el hecho de que otro órgano de la Administración del Estado —Dirección General de la Policía— hubiese efectuado su gestión de otro modo, —por no considerar los viáticos abonados por la ONU al personal desplazado a misiones internacionales ni como retribución ni como indemnización—, no podía servir de base suficiente para reconocer una indemnización económica diferente de la que resultaba de la normativa reguladora de la materia.</w:t>
      </w:r>
    </w:p>
    <w:p w:rsidR="0026452D" w:rsidRDefault="0026452D" w:rsidP="0026452D">
      <w:pPr>
        <w:pStyle w:val="TextoNormal"/>
      </w:pPr>
    </w:p>
    <w:p w:rsidR="0026452D" w:rsidRDefault="0026452D" w:rsidP="0026452D">
      <w:pPr>
        <w:pStyle w:val="TextoNormal"/>
      </w:pPr>
      <w:r>
        <w:t>El recurrente interpuso el recurso contencioso-administrativo núm. 1212-2006 contra la anterior resolución, que fue desestimado mediante Sentencia de 18 de diciembre de 2009 del Tribunal Superior de Justicia de Madrid, Sala de lo Contencioso- Administrativo, programa de actuación por objetivos en apoyo a la Sección Sexta “E”, la cual, remitiéndose a otra Sentencia anterior de la misma Sección de Apoyo (la Sentencia de 22 de octubre de 2009, que resolvió el recurso contencioso-administrativo núm. 721-2006, en el que se esgrimía una petición igual a la que ahora nos ocupa), hace suyas las consideraciones de la resolución recurrida en lo que hace a la aplicación e interpretación de la legalidad ordinaria, añadiendo —respecto de la circunstancia de que se indemnice a los miembros del contingente pertenecientes al Cuerpo Nacional de Policía— la inoperancia del principios de igualdad dentro de la ilegalidad y de seguridad jurídica porque la resolución recurrida se atiene, a su entender, a la correcta interpretación y aplicación de la ley. Dicha Sentencia contiene el Voto particular de uno de los Magistrados integrantes de la Sección, que señala como el art. 3.2 del Real Decreto 462/2002 no se ha considerado aplicable por la Dirección General de la Policía “por considerar que los viáticos de las Naciones Unidas no eran retribución ni indemnización”, considera, en lo que aquí interesa, que la discriminación operada respecto de los miembros de la Guardia Civil no es de recibo ya que el citado precepto es de aplicación común a todas las fuerzas y cuerpos de seguridad del Estado, por lo que concluye que se debe acoger la pretensión del recurrente “y seguir el criterio que la Sección Sexta de esta Sala tiene sentado respecto a reclamaciones similares”.</w:t>
      </w:r>
    </w:p>
    <w:p w:rsidR="0026452D" w:rsidRDefault="0026452D" w:rsidP="0026452D">
      <w:pPr>
        <w:pStyle w:val="TextoNormal"/>
      </w:pPr>
    </w:p>
    <w:p w:rsidR="0026452D" w:rsidRDefault="0026452D" w:rsidP="0026452D">
      <w:pPr>
        <w:pStyle w:val="TextoNormal"/>
      </w:pPr>
      <w:r>
        <w:t>La providencia de 28 mayo de 2010 dictada por la Sala de lo Contencioso-Administrativo del Tribunal Superior de Justicia de Madrid, programa de actuación por objetivos en apoyo a la Sección Sexta, inadmitió a trámite el incidente de nulidad actuaciones presentado contra la anterior sentencia, en la consideración de que, tras la pretendida vulneración de los derechos fundamentales contenidos en los artículos 14 y 24 CE, lo que el actor pretendía en realidad era revisar el contenido de la decisión adoptada por la mayoría de los componentes de la Sección. Además, sostiene la providencia, el presente recurso fue resuelto por una Sección distinta de aquella en la que se dictaron las Sentencias cuya doctrina se pretende sea trasladable y, aunque se refieran a supuestos idénticos al hoy discutido, ello no supone una vulneración del art. 14 CE, ya que esta sólo podrá entenderse acaecida cuando las resoluciones que quieran traerse a la comparación procedan del mismo órgano jurisdiccional; es más, ni siquiera la existencia de resoluciones contradictorias dictadas por un mismo órgano aboca, en todo caso, a predicar una infracción del art. 14 CE, pues la misma no se produciría cuando resulte patente que la diferencia de trato se fundamenta en un efectivo cambio de criterio.</w:t>
      </w:r>
    </w:p>
    <w:p w:rsidR="0026452D" w:rsidRDefault="0026452D" w:rsidP="0026452D">
      <w:pPr>
        <w:pStyle w:val="TextoNormal"/>
      </w:pPr>
    </w:p>
    <w:p w:rsidR="0026452D" w:rsidRDefault="0026452D" w:rsidP="0026452D">
      <w:pPr>
        <w:pStyle w:val="TextoNormal"/>
      </w:pPr>
      <w:r>
        <w:t xml:space="preserve">Antes de ello, la Sección Sexta de la Sala de lo Contencioso-Administrativo del Tribunal Superior de Justicia de Madrid, mediante Sentencia núm. 796 de 2 de junio de 2009 dictada </w:t>
      </w:r>
      <w:r>
        <w:lastRenderedPageBreak/>
        <w:t>en el recurso contencioso-administrativo núm. 511-2006, había estimado el recurso contencioso-administrativo entablado por don M.A.P.M. contra la resolución del Director General de la Guardia Civil de fecha 6 de febrero de 2006, anulando la resolución recurrida y declarando el derecho del actor a que le fuera abonada la suma de 6.985,19 euros, correspondiente a la diferencia entre la cantidad que debió percibir en concepto de 80 por 100 de indemnización por residencia eventual (a razón de 59,14 euros por día) durante los trescientos ocho días que duró la comisión de servicio hasta la entrada en vigor del Real Decreto 950/2005, de 29 de julio, de retribuciones de las fuerzas y cuerpos de seguridad del Estado, y la cantidad percibida en concepto de complemento de productividad, cantidad que debería ser incrementada con los intereses legales procedentes. La misma Sección Sexta de la Sala de lo Contencioso-Administrativo del Tribunal Superior de Justicia de Madrid, en Sentencia núm. 1201 de 14 de octubre de 2009 dictada en el recurso contencioso-administrativo núm. 475-2006, había estimado igualmente el recurso contencioso-administrativo deducido por don J.A.V.A contra la resolución del Director General de la Guardia Civil de 6 de febrero de 2006, y declaró el derecho del actor a que le fuera abonada la diferencia entre la cantidad que debió percibir en concepto de 80 por 100 de indemnización por residencia eventual (a razón de 59,14 euros por día) durante los días que duró la comisión de servicio hasta la entrada en vigor del Real Decreto 950/2005, de 29 de julio, de retribuciones de las fuerzas y cuerpos de seguridad del Estado, y la cantidad percibida en concepto de complemento de productividad, cantidad que se fijaría en ejecución de Sentencia.</w:t>
      </w:r>
    </w:p>
    <w:p w:rsidR="0026452D" w:rsidRDefault="0026452D" w:rsidP="0026452D">
      <w:pPr>
        <w:pStyle w:val="TextoNormal"/>
      </w:pPr>
    </w:p>
    <w:p w:rsidR="0026452D" w:rsidRDefault="0026452D" w:rsidP="0026452D">
      <w:pPr>
        <w:pStyle w:val="TextoNormal"/>
      </w:pPr>
      <w:r>
        <w:t>Por otra parte, la Sala de apoyo a la Sección Sexta de la Sala de lo Contencioso-Administrativo del Tribunal Superior de Justicia de Madrid, dictó Sentencia de 22 de octubre de 2009 en el recurso contencioso-administrativo núm. 721-2006, desestimando el recurso contencioso-administrativo interpuesto por don F.J.M.S. contra la resolución de 6 de febrero de 2006 del Director General de la Guardia Civil, que desestimó su solicitud de abono de la indemnización por residencia eventual. Contra dicha Sentencia procedió el interesado a promover el oportuno incidente de nulidad de actuaciones que fue resuelto por la Sección Sexta de la Sala de lo Contencioso-Administrativo del Tribunal Superior de Justicia de Madrid mediante Auto de 12 de febrero de 2010 que declaró la nulidad de la referida Sentencia de 22 de octubre de 2009 dictada en el recurso contencioso-administrativo núm. 721-2006 por la Sección de Apoyo y retrotrajo las actuaciones al momento inmediatamente anterior al señalamiento para deliberación, votación y fallo al objeto de —tras incorporar a ese recurso contencioso-administrativo la Sentencia número 596-2001, de 16 de mayo de 2001, recaída en el recurso núm. 1625-1998, y la Sentencia número 796-2009, de 2 de junio de 2009, recaída en el recurso núm. 511-2006— dictar nueva Sentencia tomando en consideración el criterio sentado en éstas. Finalmente, la Sección Sexta de la Sala de lo Contencioso-Administrativo del Tribunal Superior de Justicia de Madrid dictó la Sentencia núm. 828/2010 estimatoria del recurso contencioso-administrativo entablado don F.J.M.S. contra la resolución del Director General de la Guardia Civil de fecha 6 de febrero de 2006.</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La demanda de amparo, tras exponer los antecedentes fácticos señala, sobre la resolución del Director General de la Policía y de la Guardia Civil de 27 de septiembre de 2006 (expediente 061-2006-D), que el hecho de que desde el inicio de la misión, a los integrantes del Cuerpo Nacional de Policía del contingente español se les abonase puntualmente la indemnización por residencia eventual, además de la referida </w:t>
      </w:r>
      <w:r w:rsidRPr="0026452D">
        <w:rPr>
          <w:i/>
        </w:rPr>
        <w:t>Missión Subsistence Allowance</w:t>
      </w:r>
      <w:r>
        <w:t xml:space="preserve"> por la ONU, supone una clara discriminación respecto de los componentes de la Guardia Civil. El nudo gordiano de la cuestión lo sitúa el actor en la consideración o no de la </w:t>
      </w:r>
      <w:r w:rsidRPr="0026452D">
        <w:rPr>
          <w:i/>
        </w:rPr>
        <w:t xml:space="preserve">Missión </w:t>
      </w:r>
      <w:r w:rsidRPr="0026452D">
        <w:rPr>
          <w:i/>
        </w:rPr>
        <w:lastRenderedPageBreak/>
        <w:t>Subsistence Allowance</w:t>
      </w:r>
      <w:r>
        <w:t xml:space="preserve"> como retribución o indemnización a los efectos del artículo 3.2 del Real Decreto 462/2002, de 24 de mayo. Así, mientras que para los miembros de la Guardia Civil se entiende que es una indemnización o retribución (por lo que, según el citado precepto, no podrían recibir la indemnización por residencia eventual, para los miembros de la Policía Nacional se califica de manera diferente, concretamente como dietas, y por lo tanto, al no ser de aplicación el referido artículo, pueden recibir la indemnización por residencia eventual. Reconoce el recurrente que en la nómina extraordinaria de diciembre de 2005 se le abonó, en concepto de productividad, la cantidad de 12.600,24 €, importe aproximado, que no exacto, al que le hubiera correspondido como indemnización por residencia eventual (que evalúa en 20.236,75 €), lo que supone una aceptación tácita de los compromisos adquiridos ante los integrantes de la Guardia Civil en el contingente policial en el mes de septiembre del año 2004 por parte del Director General de la Guardia Civil, cuando éste se comprometió públicamente a solucionar esa discriminación retributiva.</w:t>
      </w:r>
    </w:p>
    <w:p w:rsidR="0026452D" w:rsidRDefault="0026452D" w:rsidP="0026452D">
      <w:pPr>
        <w:pStyle w:val="TextoNormal"/>
      </w:pPr>
    </w:p>
    <w:p w:rsidR="0026452D" w:rsidRDefault="0026452D" w:rsidP="0026452D">
      <w:pPr>
        <w:pStyle w:val="TextoNormal"/>
      </w:pPr>
      <w:r>
        <w:t>Sobre la Sentencia núm. 10.303, de 18 de diciembre de 2009, del Tribunal Superior de Justicia de Madrid, Sala de lo Contencioso Administrativo, Sección de Apoyo a la Sexta “E”, señala el recurrente como otros miembros de la Guardia Civil, compañeros de misión, han interpuesto recursos contencioso-administrativos a resultas de cuya estimación por la Sección Sexta se les ha reconocido idéntico derecho al aquí denegado al actor. Sostiene que dicha Sección Sexta no puede entenderse que sea diferente de la Sección de Apoyo de la Sección Sexta, ya que toda la tramitación del procedimiento correspondió a la Sección Sexta, habiéndose encargado la Sección de Apoyo del asunto únicamente desde la votación y fallo.</w:t>
      </w:r>
    </w:p>
    <w:p w:rsidR="0026452D" w:rsidRDefault="0026452D" w:rsidP="0026452D">
      <w:pPr>
        <w:pStyle w:val="TextoNormal"/>
      </w:pPr>
    </w:p>
    <w:p w:rsidR="0026452D" w:rsidRDefault="0026452D" w:rsidP="0026452D">
      <w:pPr>
        <w:pStyle w:val="TextoNormal"/>
      </w:pPr>
      <w:r>
        <w:t>Añade el actor que la vulneración del principio de igualdad en la aplicación de la ley (art. 14 CE) se produce no sólo respecto de las Sentencias estimatorias pronunciadas en los recursos contencioso-administrativos interpuestos por sus compañeros guardias civiles, sino, también, respecto de la providencia de 28 mayo de 2010 del Tribunal Superior de Justicia de Madrid, Sala de lo Contencioso-Administrativo, Sección de Apoyo a la Sexta “E”, que inadmitió el incidente de nulidad actuaciones por él planteado, y ello por cuanto un incidente de nulidad idéntico instado por otro compañero (el Sr. Moronta Sánchez) fue admitido a trámite por la Sección Sexta (no la de Apoyo), acordándose igualmente en ese caso (el del Sr. Moronta), —mediante Auto de 12 de febrero de 2010— declarar la nulidad de la Sentencia desestimatoria de 22 de octubre de 2009 dictada por el Tribunal Superior de Justicia de Madrid, Sala de lo Contencioso-Administrativo, programa de actuación por objetivos en apoyo a la Sección Sexta “E”, por haber incurrido en desigualdad en la aplicación de la ley.</w:t>
      </w:r>
    </w:p>
    <w:p w:rsidR="0026452D" w:rsidRDefault="0026452D" w:rsidP="0026452D">
      <w:pPr>
        <w:pStyle w:val="TextoNormal"/>
      </w:pPr>
    </w:p>
    <w:p w:rsidR="0026452D" w:rsidRDefault="0026452D" w:rsidP="0026452D">
      <w:pPr>
        <w:pStyle w:val="TextoNormal"/>
      </w:pPr>
      <w:r w:rsidRPr="0026452D">
        <w:rPr>
          <w:rStyle w:val="NumeroAFNegritaCaracter"/>
        </w:rPr>
        <w:t>4</w:t>
      </w:r>
      <w:r>
        <w:t>. La Sala Segunda de este Tribunal, por providencia de 10 de noviembre de 2011,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Por diligencia de ordenación de 29 de diciembre de 2011 se acordó tener por personado y parte en el procedimiento al Abogado del Estado, así como dar vista de las actuaciones recibidas a las partes personadas y al Ministerio Fiscal por plazo común de veinte días </w:t>
      </w:r>
      <w:r>
        <w:lastRenderedPageBreak/>
        <w:t>para presentar las alegaciones que estimase pertinentes, de conformidad con el art. 52.1 LOTC.</w:t>
      </w:r>
    </w:p>
    <w:p w:rsidR="0026452D" w:rsidRDefault="0026452D" w:rsidP="0026452D">
      <w:pPr>
        <w:pStyle w:val="TextoNormal"/>
      </w:pPr>
    </w:p>
    <w:p w:rsidR="0026452D" w:rsidRDefault="0026452D" w:rsidP="0026452D">
      <w:pPr>
        <w:pStyle w:val="TextoNormal"/>
      </w:pPr>
      <w:r w:rsidRPr="0026452D">
        <w:rPr>
          <w:rStyle w:val="NumeroAFNegritaCaracter"/>
        </w:rPr>
        <w:t>6</w:t>
      </w:r>
      <w:r>
        <w:t>. . El Abogado del Estado, en escrito registrado el 20 de enero de 2012, interesa la desestimación del recurso de amparo.</w:t>
      </w:r>
    </w:p>
    <w:p w:rsidR="0026452D" w:rsidRDefault="0026452D" w:rsidP="0026452D">
      <w:pPr>
        <w:pStyle w:val="TextoNormal"/>
      </w:pPr>
    </w:p>
    <w:p w:rsidR="0026452D" w:rsidRDefault="0026452D" w:rsidP="0026452D">
      <w:pPr>
        <w:pStyle w:val="TextoNormal"/>
      </w:pPr>
      <w:r>
        <w:t xml:space="preserve">Precisa, en primer lugar, que para la expresión </w:t>
      </w:r>
      <w:r w:rsidRPr="0026452D">
        <w:rPr>
          <w:i/>
        </w:rPr>
        <w:t>subsistence allowance</w:t>
      </w:r>
      <w:r>
        <w:t xml:space="preserve">, la mayor parte de los diccionarios inglés-español dan como equivalencia la palabra española “dietas”. Afirma que el artículo 3.2 del Real Decreto 462/2002, de 24 de mayo, establece una clara incompatibilidad que excluye el derecho a indemnización con cargo a la caja de la Administración española, de manera que si la </w:t>
      </w:r>
      <w:r w:rsidRPr="0026452D">
        <w:rPr>
          <w:i/>
        </w:rPr>
        <w:t>missión subsistence allowance</w:t>
      </w:r>
      <w:r>
        <w:t xml:space="preserve"> debe considerarse retribución o indemnización a los efectos de este precepto, queda prohibida la percepción del indemnización por residencia eventual. Reconoce, sin embargo, que existió una divergencia de interpretación entre dos centros directivos distintos del Ministerio del Interior (Dirección General de la Policía y Dirección General de la Guardia Civil) respecto a la interpretación y aplicación del citado precepto, lo que propició que la Dirección General de la Policía entendiera —sin fundamento alguno— que el precepto no impedía simultanear el cobro de la indemnización por residencia eventual y la </w:t>
      </w:r>
      <w:r w:rsidRPr="0026452D">
        <w:rPr>
          <w:i/>
        </w:rPr>
        <w:t>missión subsistence allowance</w:t>
      </w:r>
      <w:r>
        <w:t>, mientras que la Dirección General de la Guardia Civil vino sosteniendo lo contrario. El Abogado del Estado considera que este último es el único pronunciamiento administrativo que se ajusta a la legalidad y que la controversia ha quedado zanjada por el centro directivo único sucesor de esas dos direcciones generales, el Director General de la Policía y de la Guardia Civil, cuya resolución de 27 de septiembre de 2006 viene a apoyar la tesis correcta de la Dirección General de la Guardia Civil, y que la Sentencia de la Sección de Apoyo del Tribunal Superior de Justicia de Madrid no hace más que refrendar la correcta aplicación del referido precepto, apartándose de la línea seguida por la Sección Sexta que trata de eliminar el indudable agravio comparativo generado mediante un entendimiento inapropiado del principio de la igualdad.</w:t>
      </w:r>
    </w:p>
    <w:p w:rsidR="0026452D" w:rsidRDefault="0026452D" w:rsidP="0026452D">
      <w:pPr>
        <w:pStyle w:val="TextoNormal"/>
      </w:pPr>
    </w:p>
    <w:p w:rsidR="0026452D" w:rsidRDefault="0026452D" w:rsidP="0026452D">
      <w:pPr>
        <w:pStyle w:val="TextoNormal"/>
      </w:pPr>
      <w:r>
        <w:t>Partiendo del principio de que no cabe hablar de igualdad en la ilegalidad (SSTC 64/2000, de 13 de marzo; 27/2001, de 29 de enero; y 34/2002, de 11 de febrero; 88/2003; y 110/2007, de 10 de mayo, entre otras que cita), afirma que el acto administrativo recurrido no puede ser considerado discriminatorio precisamente porque es legal, y el principio de igualdad no da derecho a beneficiarse de concesiones ilegales, en su apreciación jurídica, de la indemnización por residencia eventual. En definitiva, las sentencias de la Sección Sexta invocadas por el demandante, que se oponen a la de la Sección de Apoyo contienen un juicio erróneo de legalidad y de constitucionalidad al confundir el agravio comparativo con el juicio constitucional de igualdad.</w:t>
      </w:r>
    </w:p>
    <w:p w:rsidR="0026452D" w:rsidRDefault="0026452D" w:rsidP="0026452D">
      <w:pPr>
        <w:pStyle w:val="TextoNormal"/>
      </w:pPr>
    </w:p>
    <w:p w:rsidR="0026452D" w:rsidRDefault="0026452D" w:rsidP="0026452D">
      <w:pPr>
        <w:pStyle w:val="TextoNormal"/>
      </w:pPr>
      <w:r>
        <w:t>Afirma, por último, que faltan varios requisitos para entender violado el derecho a la igualdad en la aplicación judicial de la ley con arreglo a la doctrina constitucional (SSTC 13/2011, de 28 febrero; 38/2011, de 28 marzo; y 150/2011, de 29 septiembre), en concreto, la identidad del órgano jurisdiccional, pues considera que la Sección de Apoyo es una formación orgánica temporal distinta de la Sección apoyada, al variar su presidente, su composición personal y el régimen de formación del órgano.</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Mediante escrito de alegaciones registrado en este Tribunal con fecha de 31 de enero de 2012 el Procurador de los Tribunales don Virgilio Navarro Cerrillo, en representación de </w:t>
      </w:r>
      <w:r>
        <w:lastRenderedPageBreak/>
        <w:t>don José Antonio López Illán, se reiteraron los motivos y argumentos expuestos en la demanda de amparo.</w:t>
      </w:r>
    </w:p>
    <w:p w:rsidR="0026452D" w:rsidRDefault="0026452D" w:rsidP="0026452D">
      <w:pPr>
        <w:pStyle w:val="TextoNormal"/>
      </w:pPr>
    </w:p>
    <w:p w:rsidR="0026452D" w:rsidRDefault="0026452D" w:rsidP="0026452D">
      <w:pPr>
        <w:pStyle w:val="TextoNormal"/>
      </w:pPr>
      <w:r w:rsidRPr="0026452D">
        <w:rPr>
          <w:rStyle w:val="NumeroAFNegritaCaracter"/>
        </w:rPr>
        <w:t>8</w:t>
      </w:r>
      <w:r>
        <w:t>. El Ministerio Fiscal, en escrito registrado en este Tribunal el 9 de febrero de 2012, interesa, primero, la inadmisión del motivo de amparo referente a la vulneración del derecho a la igualdad en la aplicación de la ley (art. 14 CE) que se atribuye a la providencia dictada por la Sala de lo Contencioso-Administrativo del Tribunal Superior de Justicia de Madrid, Sección de Apoyo a la Sección Sexta “E”, en el recurso contencioso-administrativo núm. 1212-2006 con fecha 28 de mayo de 2010, que inadmitió a trámite el incidente de nulidad de actuaciones planteado por la parte recurrente en amparo contra la sentencia recaída en dicho procedimiento, por concurrir la causa de inadmisión establecida en el art. 50.1 a) LOTC en relación con el art. 44.1 a) del mismo texto legal, al no haberse agotado todos los medios de impugnación previstos por las normas procesales para el caso concreto dentro de la vía judicial, pues no se ha entablado contra aquella providencia el incidente de nulidad de actuaciones prevenido en el art. 241 de la Ley Orgánica del Poder Judicial; segundo, la estimación del recurso por haberse vulnerado el derecho fundamental del demandante a la igualdad en la aplicación de la ley (art. 14 CE) en lo referente a la Sentencia dictada por la Sala de lo Contencioso-Administrativo del Tribunal Superior de Justicia de Madrid, Sección de Apoyo a la Sección Sexta “E”, en el recurso contencioso-administrativo núm. 1212-2006 con fecha 18 de diciembre de 2009, cuya declaración de nulidad se solicita igualmente; y tercero, la desestimación del recurso en lo demás, pues el principio de igualdad en la aplicación de la ley ha de limitar sus efectos a las resoluciones adoptadas dentro de un mismo ámbito de organización y dirección y en virtud de un mismo poder de decisión, lo que no concurre, en opinión del Fiscal, en el presente caso, pues las resoluciones administrativas en virtud de las cuales fueron satisfechas a los miembros del Cuerpo Nacional de Policía las cantidades correspondientes a la indemnización por residencia eventual fueron dictadas por unidades administrativas propias de la organización del Cuerpo Nacional de Policía, mientras que las relativas a los miembros de la Guardia Civil fueron dictadas por unidades administrativas propias de la organización de dicho cuerpo.</w:t>
      </w:r>
    </w:p>
    <w:p w:rsidR="0026452D" w:rsidRDefault="0026452D" w:rsidP="0026452D">
      <w:pPr>
        <w:pStyle w:val="TextoNormal"/>
      </w:pPr>
    </w:p>
    <w:p w:rsidR="0026452D" w:rsidRDefault="0026452D" w:rsidP="0026452D">
      <w:pPr>
        <w:pStyle w:val="TextoNormal"/>
      </w:pPr>
      <w:r w:rsidRPr="0026452D">
        <w:rPr>
          <w:rStyle w:val="NumeroAFNegritaCaracter"/>
        </w:rPr>
        <w:t>9</w:t>
      </w:r>
      <w:r>
        <w:t>. Por providencia de fecha 24 de enero de 2013, se señaló para deliberación y fallo de la Sentencia el día 28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amparo, promovido por don José Antonio López Illán, representado por el Procurador de los Tribunales don Virgilio Navarro Cerrillo, tiene por objeto tres resoluciones, una administrativa y dos jurisdiccionales. En primer lugar, la resolución de 27 de septiembre de 2006 del Director de la Policía y de la Guardia Civil, dictada en el expediente núm. 061-2006-D, que desestimó la solicitud efectuada por el demandante de amparo de que se le abonaran las cantidades que, en concepto de indemnización por residencia eventual, percibieron los funcionarios del Cuerpo Nacional de Policía integrados en la Misión de Naciones Unidas en Haití (MINUSTAH-UNPOL) y que los componentes del Cuerpo de la Guardia Civil integrantes del mismo contingente policial dejaron de percibir. En segundo lugar, la Sentencia de 18 de diciembre de 2009 dictada por la Sala de lo Contencioso-Administrativo del Tribunal Superior de Justicia de Madrid, programa de actuación por objetivos en apoyo a la Sección Sexta “E”, que desestimó el recurso contencioso-</w:t>
      </w:r>
      <w:r>
        <w:lastRenderedPageBreak/>
        <w:t>administrativo núm. 1212-2006 interpuesto contra la anterior resolución administrativa. Y, por último, la providencia de 28 de mayo de 2010 dictada por la Sala de lo Contencioso-Administrativo del Tribunal Superior de Justicia de Madrid, programa de actuación por objetivos en apoyo de la Sección Sexta, en el referido recurso contencioso-administrativo núm. 1212-2006, que inadmitió a trámite el incidente de nulidad de actuaciones planteado contra la anterior sentencia por el actor.</w:t>
      </w:r>
    </w:p>
    <w:p w:rsidR="0026452D" w:rsidRDefault="0026452D" w:rsidP="0026452D">
      <w:pPr>
        <w:pStyle w:val="TextoNormal"/>
      </w:pPr>
    </w:p>
    <w:p w:rsidR="0026452D" w:rsidRDefault="0026452D" w:rsidP="0026452D">
      <w:pPr>
        <w:pStyle w:val="TextoNormal"/>
      </w:pPr>
      <w:r>
        <w:t>El recurrente en amparo considera que las tres resoluciones han infringido su derecho fundamental a la igualdad en la aplicación de la ley (art. 14 CE) argumentando el trato desigual de manera diferente en cada caso. Así, respecto de la resolución de 27 de septiembre de 2006 dictada por el Director de la Policía y de la Guardia Civil en el expediente núm. 061-2006-D, el fundamento de la denuncia radica en que los funcionarios del Cuerpo Nacional de Policía integrados en la Misión de Naciones Unidas en Haití denominada MINUSTAH-UNPOL percibieron unas cantidades en concepto de indemnización por residencia eventual que no fueron reconocidas a los componentes del Cuerpo de la Guardia Civil integrantes del mismo contingente.</w:t>
      </w:r>
    </w:p>
    <w:p w:rsidR="0026452D" w:rsidRDefault="0026452D" w:rsidP="0026452D">
      <w:pPr>
        <w:pStyle w:val="TextoNormal"/>
      </w:pPr>
    </w:p>
    <w:p w:rsidR="0026452D" w:rsidRDefault="0026452D" w:rsidP="0026452D">
      <w:pPr>
        <w:pStyle w:val="TextoNormal"/>
      </w:pPr>
      <w:r>
        <w:t>En lo referente a la Sentencia de 18 de diciembre de 2009 dictada por la Sala de lo Contencioso-Administrativo del Tribunal Superior de Justicia de Madrid, programa de actuación por objetivos en apoyo a la Sección Sexta “E”, en el recurso contencioso-administrativo núm. 1212-2006, la denuncia se concreta en que la Sección Sexta de la Sala de lo Contencioso-Administrativo del Tribunal Superior de Justicia de Madrid, en Sentencia núm. 796, de 2 de junio de 2009, dictada en el recurso contencioso-administrativo núm. 511-2006 y en Sentencia núm. 1201, de 14 de octubre de 2009, dictada en el recurso contencioso-administrativo núm. 475-2006 estimó los referidos recursos contencioso- administrativos entablados por don M.A.P.M. y por don J.A.V.A., componentes del Cuerpo de la Guardia Civil integrados en la Misión de Naciones Unidas en Haití, contra sendas resoluciones de 6 de febrero de 2006 del Director General de la Guardia Civil, habiéndose dispuesto en ambos casos la anulación de las resoluciones recurridas y declarado el derecho de los actores a que les fuera abonada la diferencia entre la cantidad que debieron percibir en concepto de 80 por 100 de indemnización por residencia eventual durante la comisión de servicio, hasta la entrada en vigor del Real Decreto 950/2005, de 29 de julio, de retribuciones de las fuerzas y cuerpos de seguridad del Estado, y la cantidad percibida en concepto de complemento de productividad. A tal efecto, el actor sostiene que dicha Sección Sexta no puede entenderse que sea diferente de la Sección de Apoyo de la Sección Sexta.</w:t>
      </w:r>
    </w:p>
    <w:p w:rsidR="0026452D" w:rsidRDefault="0026452D" w:rsidP="0026452D">
      <w:pPr>
        <w:pStyle w:val="TextoNormal"/>
      </w:pPr>
    </w:p>
    <w:p w:rsidR="0026452D" w:rsidRDefault="0026452D" w:rsidP="0026452D">
      <w:pPr>
        <w:pStyle w:val="TextoNormal"/>
      </w:pPr>
      <w:r>
        <w:t xml:space="preserve">Por último, en lo que hace a la providencia de 28 de mayo de 2010 dictada por la Contencioso-Administrativo del Tribunal Superior de Justicia de Madrid, programa de actuación por objetivos en apoyo a la Sección Sexta, en el recurso contencioso-administrativo núm. 1212-2006, que inadmitió a trámite el incidente de nulidad de actuaciones planteado por la parte recurrente en amparo contra la Sentencia recaída en dicho procedimiento, la denuncia radica en que, en el recurso contencioso-administrativo núm. 721-2006 interpuesto por don F.J.M.S. también contra la resolución de 6 de febrero de 2006 del Director General de la Guardia Civil, una vez dictada por la Sala de apoyo a la Sección Sexta de la Sala de lo Contencioso-Administrativo del Tribunal Superior de Justicia de Madrid la Sentencia de 22 de octubre de 2009, desestimatoria del recurso contencioso-administrativo entablado, el citado interesado promovió contra ella el oportuno incidente de nulidad de actuaciones que no sólo fue resuelto por la Sección Sexta de la Sala de lo Contencioso-Administrativo del </w:t>
      </w:r>
      <w:r>
        <w:lastRenderedPageBreak/>
        <w:t>Tribunal Superior de Justicia de Madrid (no por la Sala de Apoyo que dictó la Sentencia) sino que, en lugar de disponer su inadmisión, lo resolvió, mediante Auto de fecha 12 de febrero de 2010, declarando la nulidad interesada, lo que luego daría lugar al pronunciamiento de otra Sentencia, esta vez estimatoria de la pretensión deducida.</w:t>
      </w:r>
    </w:p>
    <w:p w:rsidR="0026452D" w:rsidRDefault="0026452D" w:rsidP="0026452D">
      <w:pPr>
        <w:pStyle w:val="TextoNormal"/>
      </w:pPr>
    </w:p>
    <w:p w:rsidR="0026452D" w:rsidRDefault="0026452D" w:rsidP="0026452D">
      <w:pPr>
        <w:pStyle w:val="TextoNormal"/>
      </w:pPr>
      <w:r>
        <w:t>En el suplico de la demanda se pide que se reconozca su derecho a la igualdad en la aplicación de la ley (art. 14 CE) y, en consecuencia, solicita, en primer lugar, que se declare la nulidad del acto administrativo recurrido, de la Sentencia del Tribunal Superior de Justicia de Madrid, Sala de lo Contencioso-Administrativo, programa de actuación por objetivos en apoyo a la Sección Sexta E, y de la providencia de la misma Sala y Sección que inadmite la nulidad de actuaciones; en segundo lugar, solicita que, bien se retrotraigan las actuaciones al momento anterior a dictarse al acto administrativo recurrido en amparo para que la Administración anule la resolución y dicte otra con respeto derecho fundamental reconocido, o bien, alternativamente, que se retrotraigan las actuaciones al momento anterior a dictarse la Sentencia desestimatoria impugnada para que el órgano judicial, con respeto al derecho fundamental reconocido en amparo, dicte resolución estimatoria que reconozca el derecho que solicita.</w:t>
      </w:r>
    </w:p>
    <w:p w:rsidR="0026452D" w:rsidRDefault="0026452D" w:rsidP="0026452D">
      <w:pPr>
        <w:pStyle w:val="TextoNormal"/>
      </w:pPr>
    </w:p>
    <w:p w:rsidR="0026452D" w:rsidRDefault="0026452D" w:rsidP="0026452D">
      <w:pPr>
        <w:pStyle w:val="TextoNormal"/>
      </w:pPr>
      <w:r>
        <w:t>La Abogacía del Estado interesa la desestimación del recurso, mientras que el Ministerio Fiscal solicita, primero, la inadmisión del motivo de amparo referente a la vulneración del derecho a la igualdad en la aplicación de la ley que se atribuye a la providencia de 18 de mayo de 2010 dictada por la Sala de lo Contencioso-Administrativo del Tribunal Superior de Justicia de Madrid, programa de actuación por objetivos en apoyo de la Sección Sexta, en el recurso contencioso-administrativo núm. 1212-2006, por concurrir, respecto de esta, la causa de inadmisión establecida en el art. 50 1 a) de la Ley Orgánica del Tribunal Constitucional (LOTC) en relación con el art. 44 1 a) del mismo texto legal; segundo, la estimación del recurso por haberse vulnerado el derecho fundamental del demandante a la igualdad en la aplicación de la ley (art. 14 CE) por parte de la sentencia de 18 de diciembre de 2009 dictada por la Sala de lo Contencioso-Administrativo del Tribunal Superior de Justicia de Madrid, programa de actuación por objetivos en apoyo de la Sección Sexta “E”, en el recurso contencioso-administrativo núm. 1212-2006; y la desestimación del recurso en lo demás.</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al examen sustantivo, debemos comenzar por analizar la posible concurrencia de la causa de inadmisión del presente recurso opuesta por el Ministerio Fiscal, lo que obliga, por razones de técnica procesal, a examinar en primer lugar la lesión del derecho a la igualdad por parte de la providencia de 28 mayo de 2010 del programa de actuación por objetivos en apoyo de la Sección Sexta, que inadmitió a trámite el incidente de nulidad actuaciones presentado contra la referida Sentencia.</w:t>
      </w:r>
    </w:p>
    <w:p w:rsidR="0026452D" w:rsidRDefault="0026452D" w:rsidP="0026452D">
      <w:pPr>
        <w:pStyle w:val="TextoNormal"/>
      </w:pPr>
    </w:p>
    <w:p w:rsidR="0026452D" w:rsidRDefault="0026452D" w:rsidP="0026452D">
      <w:pPr>
        <w:pStyle w:val="TextoNormal"/>
      </w:pPr>
      <w:r>
        <w:t xml:space="preserve">En el fundamento jurídico 2 de la STC 187/2008, de 30 de diciembre, decíamos que “los defectos insubsanables de que pueda estar afectada la demanda no resultan subsanados porque haya sido inicialmente admitida a trámite, pudiendo abordarse por este Tribunal de oficio el examen de los presupuestos de viabilidad de la demanda de amparo en fase de sentencia y llegar, en su caso, a la declaración de inadmisión del recurso o del motivo del recurso afectado por dichos defectos (SSTC 29/2004, de 4 de marzo, FJ 2; 85/2004, de 10 de mayo, FJ 2; 160/2005, de 20 de junio, FJ 2; 230/2006, de 17 de julio, FJ 2; 350/2006, 11 de diciembre, FJ 2; 353/2006, 18 de diciembre, FJ 2; 1/2008, de 14 de enero, FJ 2 y 73/2008, </w:t>
      </w:r>
      <w:r>
        <w:lastRenderedPageBreak/>
        <w:t>de 23 de junio, FJ 2)”, doctrina esta reiterada en las SSTC 114/2009, de 14 de mayo, FJ 2 y 42/2010, de 26 de julio. FJ 2.</w:t>
      </w:r>
    </w:p>
    <w:p w:rsidR="0026452D" w:rsidRDefault="0026452D" w:rsidP="0026452D">
      <w:pPr>
        <w:pStyle w:val="TextoNormal"/>
      </w:pPr>
    </w:p>
    <w:p w:rsidR="0026452D" w:rsidRDefault="0026452D" w:rsidP="0026452D">
      <w:pPr>
        <w:pStyle w:val="TextoNormal"/>
      </w:pPr>
      <w:r>
        <w:t>Sostiene el Ministerio Fiscal que el motivo de amparo referido a la providencia de 28 de mayo de 2010 dictada por la Sala de lo Contencioso-Administrativo del Tribunal Superior de Justicia de Madrid, programa de actuación por objetivos en apoyo de la Sección Sexta, en el recurso contencioso-administrativo núm. 1212-2006 que inadmitió a trámite el incidente de nulidad de actuaciones planteado por la parte recurrente contra la sentencia recaída en dicho procedimiento, adolece de la causa de inadmisión establecida en el art. 50 1 a) LOTC en relación con el art. 44 1 a) LOTC, por no haberse agotado todos los medios de impugnación previstos por las normas procesales para el caso concreto dentro de la vía judicial, al no haberse entablado contra aquella providencia el incidente de nulidad de actuaciones prevenido en el art. 241 de la Ley Orgánica del Poder Judicial (LOPJ), según redacción dada por la Ley Orgánica 6/2007, de 24 de mayo, por la que se modifica la Ley Orgánica 2/1979, de 3 de octubre, del Tribunal Constitucional.</w:t>
      </w:r>
    </w:p>
    <w:p w:rsidR="0026452D" w:rsidRDefault="0026452D" w:rsidP="0026452D">
      <w:pPr>
        <w:pStyle w:val="TextoNormal"/>
      </w:pPr>
    </w:p>
    <w:p w:rsidR="0026452D" w:rsidRDefault="0026452D" w:rsidP="0026452D">
      <w:pPr>
        <w:pStyle w:val="TextoNormal"/>
      </w:pPr>
      <w:r>
        <w:t>En este sentido, el incidente de nulidad de actuaciones sirve, como así ha querido el legislador orgánico, para reparar aquellas lesiones de cualquier derecho fundamental que no puedan serlo a través de los recursos ordinarios o extraordinarios previstos por la ley; su función en materia de tutela de derechos es, por tanto, la misma, en el ámbito de aplicación que le otorga el art. 241.1 LOPJ, que la realizada como consecuencia de la interposición de un recurso ordinario o extraordinario y como tal debe ser atendida por los órganos judiciales. Ahora bien, con arreglo a lo dispuesto en el párrafo primero del art. 241.1 LOPJ (en la redacción que le ha dado la Ley Orgánica 6/2007, de 24 de mayo), 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 (STC 200/2012, de 12 de noviembre, FJ 3).</w:t>
      </w:r>
    </w:p>
    <w:p w:rsidR="0026452D" w:rsidRDefault="0026452D" w:rsidP="0026452D">
      <w:pPr>
        <w:pStyle w:val="TextoNormal"/>
      </w:pPr>
    </w:p>
    <w:p w:rsidR="0026452D" w:rsidRDefault="0026452D" w:rsidP="0026452D">
      <w:pPr>
        <w:pStyle w:val="TextoNormal"/>
      </w:pPr>
      <w:r>
        <w:t xml:space="preserve">En la precitada STC 187/2008, de 30 de diciembre, FJ 2, donde reiterábamos que “el requisito del agotamiento de la vía judicial exigido por el art. 44 1 a) LOTC es una condición de admisibilidad del recurso de amparo, que responde a la finalidad de preservar el carácter subsidiario del mismo, evitando que el acceso a esta jurisdicción constitucional se produzca </w:t>
      </w:r>
      <w:r w:rsidRPr="0026452D">
        <w:rPr>
          <w:i/>
        </w:rPr>
        <w:t>per saltum</w:t>
      </w:r>
      <w:r>
        <w:t>, es decir, sin brindar a los órganos judiciales la oportunidad de pronunciarse y, en su caso, remediar la lesión invocada como fundamento del recurso de amparo constitucional (por todas, SSTC 59/2007, de 26 de marzo, FJ 2; 228/2007, de 5 de noviembre, FJ 2; o 73/2008, de 23 de junio, FJ 3)”.</w:t>
      </w:r>
    </w:p>
    <w:p w:rsidR="0026452D" w:rsidRDefault="0026452D" w:rsidP="0026452D">
      <w:pPr>
        <w:pStyle w:val="TextoNormal"/>
      </w:pPr>
    </w:p>
    <w:p w:rsidR="0026452D" w:rsidRDefault="0026452D" w:rsidP="0026452D">
      <w:pPr>
        <w:pStyle w:val="TextoNormal"/>
      </w:pPr>
      <w:r>
        <w:t xml:space="preserve">En este caso el recurrente funda su demanda de amparo en la vulneración del derecho a la igualdad (art. 14 CE) impugnando en primer lugar, la providencia que inadmitió el incidente de nulidad formulado. Pues bien, la vulneración, en su caso, producida por la Sentencia no fue reparada por la Sala en la resolución dictada en dicho incidente del art. 241 LOPJ, al inadmitirle, y es lo cierto que con su interposición se dio ocasión al órgano jurisdiccional para reparar las vulneraciones de los derechos del actor que se atribuyen a la Sentencia, sin que el hecho de su inadmisión, que evidencia que no surtió el efecto que con él se procuraba, pueda suponer una vulneración autónoma de aquel derecho (SSTC 107/2011, de 20 de junio, FJ 1, y 180/2012, de 15 de octubre, FJ 4), ni exija la interposición de un nuevo incidente de </w:t>
      </w:r>
      <w:r>
        <w:lastRenderedPageBreak/>
        <w:t>nulidad de actuaciones, conforme hemos dicho también en la STC 153/2012, de 16 de julio, puesto que aunque la inadmisión se produjo en providencia y no en Auto, estaba motivada.</w:t>
      </w:r>
    </w:p>
    <w:p w:rsidR="0026452D" w:rsidRDefault="0026452D" w:rsidP="0026452D">
      <w:pPr>
        <w:pStyle w:val="TextoNormal"/>
      </w:pPr>
    </w:p>
    <w:p w:rsidR="0026452D" w:rsidRDefault="0026452D" w:rsidP="0026452D">
      <w:pPr>
        <w:pStyle w:val="TextoNormal"/>
      </w:pPr>
      <w:r>
        <w:t>Desde tal perspectiva, puede descartarse la existencia del obstáculo procesal alegado porque el órgano judicial ha tenido ocasión de pronunciarse sobre la lesión del derecho a la igualdad de la parte, tanto en la propia Sentencia recurrida como en la posterior providencia dictada en respuesta al incidente de nulidad de actuaciones, de manera que no ha sufrido merma alguna el principio de subsidiariedad (STC 201/2012, de 12 de noviembre, FJ 2).</w:t>
      </w:r>
    </w:p>
    <w:p w:rsidR="0026452D" w:rsidRDefault="0026452D" w:rsidP="0026452D">
      <w:pPr>
        <w:pStyle w:val="TextoNormal"/>
      </w:pPr>
    </w:p>
    <w:p w:rsidR="0026452D" w:rsidRDefault="0026452D" w:rsidP="0026452D">
      <w:pPr>
        <w:pStyle w:val="TextoNormal"/>
      </w:pPr>
      <w:r w:rsidRPr="0026452D">
        <w:rPr>
          <w:rStyle w:val="NumeroAFNegritaCaracter"/>
        </w:rPr>
        <w:t>3</w:t>
      </w:r>
      <w:r>
        <w:t>. Entrando ya a resolver la queja que el demandante de amparo aduce ante nosotros, hemos de precisar que la vulneración del derecho a la igualdad que se reprocha a la resolución administrativa —consistente en no haber dispensado el mismo tratamiento retributivo a los integrantes del contingente español integrado en la misión de la ONU en Haití, según perteneciesen a los cuerpos de la Policía Nacional o de la Guardia Civil— no se construye a base de su comparación con otras resoluciones administrativas concretas sancionadas judicialmente, únicas idóneas para articular un juicio de igualdad (por todas STC 167/1995, de 20 de noviembre), sino combatiendo la interpretación de la legalidad aplicable concretamente efectuada, razón por la cual hemos de rechazar que este Tribunal pueda pronunciarse sobre cuál de las posibles interpretaciones de la legalidad resulta más adecuada, tal como, por lo demás también pretende el Abogado del Estado al oponerse a la queja de la que ahora tratamos.</w:t>
      </w:r>
    </w:p>
    <w:p w:rsidR="0026452D" w:rsidRDefault="0026452D" w:rsidP="0026452D">
      <w:pPr>
        <w:pStyle w:val="TextoNormal"/>
      </w:pPr>
    </w:p>
    <w:p w:rsidR="0026452D" w:rsidRDefault="0026452D" w:rsidP="0026452D">
      <w:pPr>
        <w:pStyle w:val="TextoNormal"/>
      </w:pPr>
      <w:r>
        <w:t>Por ello, debemos, antes que nada, salir al paso de la alegación del Abogado del Estado cuando afirma que la única interpretación legalmente admisible del artículo 3.2 del Real Decreto 462/2002, de 24 de mayo, es la realizada por la Dirección General de la Guardia Civil y que la controversia ha quedado zanjada por el centro directivo único sucesor de esas dos direcciones generales, el Director General de la Policía y de la Guardia Civil, cuya resolución de 27 de septiembre de 2006 viene a apoyar la tesis correcta de la Dirección General de la Guardia Civil. Afirma así el Abogado del Estado que las Sentencias de la Sección Sexta invocadas por el demandante, que se oponen a la de la Sección de Apoyo contienen un juicio erróneo de legalidad.</w:t>
      </w:r>
    </w:p>
    <w:p w:rsidR="0026452D" w:rsidRDefault="0026452D" w:rsidP="0026452D">
      <w:pPr>
        <w:pStyle w:val="TextoNormal"/>
      </w:pPr>
    </w:p>
    <w:p w:rsidR="0026452D" w:rsidRDefault="0026452D" w:rsidP="0026452D">
      <w:pPr>
        <w:pStyle w:val="TextoNormal"/>
      </w:pPr>
      <w:r>
        <w:t xml:space="preserve">Al respecto, hemos de recordar que no es función de este Tribunal la interpretación de la legalidad ordinaria y, en lo que aquí interesa, que no nos corresponde pronunciarnos directamente sobre cómo interpretar y aplicar al caso el art. 3.2 del Real Decreto 462/2002, de 24 de mayo, y sobre cuál ha de ser la solución legalmente adecuada acerca de la compatibilidad entre la indemnización por residencia eventual y el </w:t>
      </w:r>
      <w:r w:rsidRPr="0026452D">
        <w:rPr>
          <w:i/>
        </w:rPr>
        <w:t>missión subsistence allowance</w:t>
      </w:r>
      <w:r>
        <w:t>, pues se trata de decisiones que, de acuerdo con el art. 117 CE corresponden en exclusiva a los órganos judiciales (en este sentido, SSTC 147/1988, de 14 de julio, FJ 2; 237/1998, de 14 de diciembre, FJ 3; y 31/1999, de 8 de marzo, FJ 3). Nuestra función se debe limitar a examinar tales decisiones desde la perspectiva de los derechos fundamentales en juego, cuyo contenido se constituye en límite a la actuación judicial (STC 114/2012, de 24 de junio, FJ 4).</w:t>
      </w:r>
    </w:p>
    <w:p w:rsidR="0026452D" w:rsidRDefault="0026452D" w:rsidP="0026452D">
      <w:pPr>
        <w:pStyle w:val="TextoNormal"/>
      </w:pPr>
    </w:p>
    <w:p w:rsidR="0026452D" w:rsidRDefault="0026452D" w:rsidP="0026452D">
      <w:pPr>
        <w:pStyle w:val="TextoNormal"/>
      </w:pPr>
      <w:r>
        <w:t xml:space="preserve">Lo dicho determina que ante nosotros no pueda suscitarse la cuestión de si en este caso el órgano administrativo primero, y el Tribunal Superior de Justicia después, han realizado o no una correcta interpretación de la normativa aplicable, es decir, no nos es dado apreciar si la interpretación efectuada es o no la adecuada en términos de estricta legalidad. Cierto </w:t>
      </w:r>
      <w:r>
        <w:lastRenderedPageBreak/>
        <w:t>es que la jurisprudencia constitucional ha precisado que una aplicación de la legalidad que fuese arbitraria, manifiestamente irrazonada o irrazonable no podría considerarse fundada en Derecho. Pero también lo es que la arbitrariedad, las contradicciones internas de una motivación o los errores lógicos de la misma deben distinguirse de la discrepancia, desde una instancia superior o desde la posición de parte de los recurrentes, con la forma de interpretar la legalidad puesta de manifiesto en una resolución explícita y razonada. Sólo si esa interpretación de la legalidad, en sí misma explícita, razonada y motivada en términos de Derecho, contuviera razonamientos y pronunciamientos lesivos de un derecho fundamental —lo que no se ha producido en el presente caso—, podría ser anulada ahora.</w:t>
      </w:r>
    </w:p>
    <w:p w:rsidR="0026452D" w:rsidRDefault="0026452D" w:rsidP="0026452D">
      <w:pPr>
        <w:pStyle w:val="TextoNormal"/>
      </w:pPr>
    </w:p>
    <w:p w:rsidR="0026452D" w:rsidRDefault="0026452D" w:rsidP="0026452D">
      <w:pPr>
        <w:pStyle w:val="TextoNormal"/>
      </w:pPr>
      <w:r>
        <w:t>Lo razonado impide entrar en la cuestión de la adecuación a Derecho de la resolución administrativa referida.</w:t>
      </w:r>
    </w:p>
    <w:p w:rsidR="0026452D" w:rsidRDefault="0026452D" w:rsidP="0026452D">
      <w:pPr>
        <w:pStyle w:val="TextoNormal"/>
      </w:pPr>
    </w:p>
    <w:p w:rsidR="0026452D" w:rsidRDefault="0026452D" w:rsidP="0026452D">
      <w:pPr>
        <w:pStyle w:val="TextoNormal"/>
      </w:pPr>
      <w:r w:rsidRPr="0026452D">
        <w:rPr>
          <w:rStyle w:val="NumeroAFNegritaCaracter"/>
        </w:rPr>
        <w:t>4</w:t>
      </w:r>
      <w:r>
        <w:t>. La parte demandante de amparo denuncia la vulneración de su derecho a la igualdad en la aplicación de la ley (art. 14 CE) porque en su caso no se ha aplicado la doctrina que previamente, para casos en todo análogos, había fijado la Sección Sexta de la Sala de lo Contencioso-Administrativo del Tribunal Superior de Justicia de Madrid, constituyendo esta alegación un motivo impugnatorio claramente diferenciado del dirigido contra la resolución administrativa, al ceñirse, como se verá, a la controversia en torno a la identidad entre órganos jurisdiccionales.</w:t>
      </w:r>
    </w:p>
    <w:p w:rsidR="0026452D" w:rsidRDefault="0026452D" w:rsidP="0026452D">
      <w:pPr>
        <w:pStyle w:val="TextoNormal"/>
      </w:pPr>
    </w:p>
    <w:p w:rsidR="0026452D" w:rsidRDefault="0026452D" w:rsidP="0026452D">
      <w:pPr>
        <w:pStyle w:val="TextoNormal"/>
      </w:pPr>
      <w:r>
        <w:t xml:space="preserve">Sobre la infracción del principio de igualdad en la aplicación de la ley por la Sentencia núm. 10.303 de 18 diciembre de 2009 del Tribunal Superior de Justicia de Madrid, Sala de lo Contencioso-Administrativo, Sección de Apoyo a la Sexta “E”, hay que comenzar por recordar que la STC 38/2011, de 28 de marzo, FJ 6, ha reiterado la doctrina de este Tribunal (entre otras muchas, SSTC 111/2002, de 6 de mayo, FJ 2; 31/2008, de 25 de febrero, FJ 2; 160/2008, de 12 de diciembre, FJ 3; y 105/2009, de 4 de mayo, FJ 5), que define los requisitos necesarios para que pueda entenderse vulnerado este derecho, en concreto, la acreditación de un </w:t>
      </w:r>
      <w:r w:rsidRPr="0026452D">
        <w:rPr>
          <w:i/>
        </w:rPr>
        <w:t>tertium comparationis</w:t>
      </w:r>
      <w:r>
        <w:t>, la identidad de órgano judicial —entendiendo por tal, no sólo la identidad de Sala, sino también la de la Sección—, la existencia de alteridad en los supuestos contrastados y la ausencia de toda motivación que justifique el cambio de criterio.</w:t>
      </w:r>
    </w:p>
    <w:p w:rsidR="0026452D" w:rsidRDefault="0026452D" w:rsidP="0026452D">
      <w:pPr>
        <w:pStyle w:val="TextoNormal"/>
      </w:pPr>
    </w:p>
    <w:p w:rsidR="0026452D" w:rsidRDefault="0026452D" w:rsidP="0026452D">
      <w:pPr>
        <w:pStyle w:val="TextoNormal"/>
      </w:pPr>
      <w:r>
        <w:t>Pues bien, el demandante de amparo aporta como término de comparación la Sentencia núm. 796, de 2 de junio de 2009, dictada en el recurso contencioso-administrativo núm. 511-2006 por la Sección Sexta de la Sala de lo Contencioso- Administrativo del Tribunal Superior de Justicia de Madrid —aclarada (corregida) por sendos autos de 21 septiembre 2009 de la misma Sección—; así como la sentencia núm. 1201, de 14 octubre 2009, dictada en el recurso contencioso-administrativo núm. 475-2006 por la Sección Sexta de la Sala de lo Contencioso-Administrativo del Tribunal Superior de Justicia de Madrid, que estiman los recursos contencioso-administrativos interpuestos por compañeros del actor en idéntica situación (don M.A.P.M. y don  J.A.V.A), contra sendas resoluciones del Director General de la Guardia Civil.</w:t>
      </w:r>
    </w:p>
    <w:p w:rsidR="0026452D" w:rsidRDefault="0026452D" w:rsidP="0026452D">
      <w:pPr>
        <w:pStyle w:val="TextoNormal"/>
      </w:pPr>
    </w:p>
    <w:p w:rsidR="0026452D" w:rsidRDefault="0026452D" w:rsidP="0026452D">
      <w:pPr>
        <w:pStyle w:val="TextoNormal"/>
      </w:pPr>
      <w:r>
        <w:t>Existe, pues, alteridad en los supuestos contrastados, es decir, existe esa “referencia a otro” exigible en todo alegato de discriminación en aplicación de la ley, excluyente de la comparación consigo mismo, ya que los casos de contraste aportados se refieren a los referidos miembros de la Guardia Civil.</w:t>
      </w:r>
    </w:p>
    <w:p w:rsidR="0026452D" w:rsidRDefault="0026452D" w:rsidP="0026452D">
      <w:pPr>
        <w:pStyle w:val="TextoNormal"/>
      </w:pPr>
    </w:p>
    <w:p w:rsidR="0026452D" w:rsidRDefault="0026452D" w:rsidP="0026452D">
      <w:pPr>
        <w:pStyle w:val="TextoNormal"/>
      </w:pPr>
      <w:r>
        <w:t>La controversia queda, no obstante, como ya se anticipó, predeterminada por la necesidad de dilucidar si la Sección Sexta de la Sala y la constituida en el programa de actuación por objetivos en apoyo de la Sección Sexta constituyen el mismo órgano jurisdiccional o son, por el contrario, entidades orgánicas diferenciadas. Es decir, si son o no el mismo órgano judicial. Cuestión esta de vital importancia para la prosperabilidad del presente recurso de amparo por el motivo que analizamos.</w:t>
      </w:r>
    </w:p>
    <w:p w:rsidR="0026452D" w:rsidRDefault="0026452D" w:rsidP="0026452D">
      <w:pPr>
        <w:pStyle w:val="TextoNormal"/>
      </w:pPr>
    </w:p>
    <w:p w:rsidR="0026452D" w:rsidRDefault="0026452D" w:rsidP="0026452D">
      <w:pPr>
        <w:pStyle w:val="TextoNormal"/>
      </w:pPr>
      <w:r>
        <w:t>El primer inciso del artículo 216 bis de la Ley Orgánica 6/1985, de 1 de julio, del Poder Judicial, redactado por el art. único 40 de la Ley Orgánica 19/2003, de 23 de diciembre, de modificación de la Ley Orgánica 6/1985, de 1 de julio, del Poder Judicial, establece que “[c]uando el excepcional retraso o la acumulación de asuntos en determinado juzgado o tribunal no puedan ser corregidos mediante el reforzamiento de la plantilla de la oficina judicial o la exención temporal de reparto prevista en el artículo 167.1, podrá el Consejo General del Poder Judicial acordar excepcionales medidas de apoyo judicial consistentes en la adscripción, en calidad de jueces sustitutos o jueces de apoyo, de los jueces en prácticas a que se refiere el artículo 307.1, en el otorgamiento de comisiones de servicio a jueces y magistrados o en la adscripción de jueces sustitutos o magistrados suplentes, para que participen con los titulares de dichos órganos en la tramitación y resolución de asuntos que no estuvieran pendientes”.</w:t>
      </w:r>
    </w:p>
    <w:p w:rsidR="0026452D" w:rsidRDefault="0026452D" w:rsidP="0026452D">
      <w:pPr>
        <w:pStyle w:val="TextoNormal"/>
      </w:pPr>
    </w:p>
    <w:p w:rsidR="0026452D" w:rsidRDefault="0026452D" w:rsidP="0026452D">
      <w:pPr>
        <w:pStyle w:val="TextoNormal"/>
      </w:pPr>
      <w:r>
        <w:t>Del tenor literal de este precepto resulta claro que con estas medidas no se procede a la creación de un nuevo órgano jurisdiccional, sino, simplemente, a la adscripción, a uno ya existente, de Jueces de apoyo, Jueces sustitutos o Magistrados suplentes, o al otorgamiento de comisiones de servicio para que participen en dichos órganos en la tramitación de los asuntos pendientes. Es decir, la labor de apoyo se desarrolla en el seno de los mismos órganos jurisdiccionales beneficiados de la labor de refuerzo y no en otros diferentes. Se adscriben o comisionan jueces al órgano jurisdiccional, cuya naturaleza orgánica permanece invariada, de manera que la labor de refuerzo se desarrolla no en órganos nuevos sino en órganos ya existentes. De igual manera que el órgano jurisdiccional permanece invariable, esto es, siendo el mismo, en los casos de cambio de titular —v. gr. por concurso de traslados, excedencias, servicios especiales, etc.—, en el supuesto de adscripción de titulares por el establecimiento de medidas de apoyo o refuerzo no se produce el alumbramiento de un nuevo órgano jurisdiccional, sino un mero engrosamiento coyuntural del personal judicial al servicio del mismo.</w:t>
      </w:r>
    </w:p>
    <w:p w:rsidR="0026452D" w:rsidRDefault="0026452D" w:rsidP="0026452D">
      <w:pPr>
        <w:pStyle w:val="TextoNormal"/>
      </w:pPr>
    </w:p>
    <w:p w:rsidR="0026452D" w:rsidRDefault="0026452D" w:rsidP="0026452D">
      <w:pPr>
        <w:pStyle w:val="TextoNormal"/>
      </w:pPr>
      <w:r>
        <w:t>El Tribunal Constitucional ha analizado casos semejantes en los recursos de amparo resueltos por las SSTC 193/1996, de 26 de noviembre, y 238/1998, de 15 diciembre.</w:t>
      </w:r>
    </w:p>
    <w:p w:rsidR="0026452D" w:rsidRDefault="0026452D" w:rsidP="0026452D">
      <w:pPr>
        <w:pStyle w:val="TextoNormal"/>
      </w:pPr>
    </w:p>
    <w:p w:rsidR="0026452D" w:rsidRDefault="0026452D" w:rsidP="0026452D">
      <w:pPr>
        <w:pStyle w:val="TextoNormal"/>
      </w:pPr>
      <w:r>
        <w:t xml:space="preserve">Más concretamente se pronunció la STC 122/2001, de 4 de junio, FJ 5, donde señalamos que “mientras las Secciones de las Audiencias Provinciales son Secciones orgánicas (art. 81 LOPJ), cuya creación está reservada al Gobierno (art. 36 LOPJ), en los restantes Tribunales colegiados de la jurisdicción ordinaria [Tribunal Supremo (art. 54 LOPJ), Audiencia Nacional (art. 64.2 LOPJ), Tribunales Superiores de Justicia (art. 72.2 LOPJ)] son Secciones funcionales de las Salas, cuya determinación corresponde a las Salas de Gobierno de cada Tribunal y al Consejo General del Poder Judicial, y cuya creación obedece a razones de eficacia en el reparto de los asuntos … la llamada Sección bis era simplemente un desdoblamiento funcional de la propia Sección Quinta, y si bien no se produjo en este caso una incorporación </w:t>
      </w:r>
      <w:r>
        <w:lastRenderedPageBreak/>
        <w:t>de los Magistrados de la Sección bis a la Sección Quinta (supuesto de las SSTC 193/1996, de 26 de noviembre, y 238/1998, de 15 de diciembre), puede afirmarse que la Sentencia impugnada y la Sentencia de contraste provenían de un mismo órgano jurisdiccional, concurriendo pues la identidad del órgano. … como hemos declarado, lo trascendente a efectos de igualdad en aplicación de la ley es que el autor de las Sentencias contradictorias sea el mismo órgano, abstracción hecha de la composición personal cuya variación no afecta a su identidad sustancial (SSTC 177/1993, de 31 de mayo, FJ 1; 161/1989, de 16 de octubre, FJ 2)”.</w:t>
      </w:r>
    </w:p>
    <w:p w:rsidR="0026452D" w:rsidRDefault="0026452D" w:rsidP="0026452D">
      <w:pPr>
        <w:pStyle w:val="TextoNormal"/>
      </w:pPr>
    </w:p>
    <w:p w:rsidR="0026452D" w:rsidRDefault="0026452D" w:rsidP="0026452D">
      <w:pPr>
        <w:pStyle w:val="TextoNormal"/>
      </w:pPr>
      <w:r>
        <w:t>Por lo tanto, la conclusión lógica será afirmar que la Sección de Apoyo a la Sección Sexta constituida en el denominado “programa de actuación por objetivos en apoyo a la Sección Sexta” no era una Sección distinta de la Sección Sexta de la Sala de lo Contencioso-Administrativo del Tribunal Superior de Justicia de Madrid. Afirmación ésta que permite apreciar la existencia de todos los requisitos establecidos por la doctrina de este Tribunal Constitucional para que pueda entenderse vulnerado el derecho a la igualdad en la aplicación de la ley (art. 14 CE), pues determina la identidad de órgano judicial, al no existir diferencia orgánica entre la Sección Sexta de la Sala de lo Contencioso-Administrativo del Tribunal Superior de Justicia de Madrid y la Sección de Apoyo a la Sección Sexta constituida en el denominado “programa de actuación por objetivos en apoyo a la Sección Sexta”.</w:t>
      </w:r>
    </w:p>
    <w:p w:rsidR="0026452D" w:rsidRDefault="0026452D" w:rsidP="0026452D">
      <w:pPr>
        <w:pStyle w:val="TextoNormal"/>
      </w:pPr>
    </w:p>
    <w:p w:rsidR="0026452D" w:rsidRDefault="0026452D" w:rsidP="0026452D">
      <w:pPr>
        <w:pStyle w:val="TextoNormal"/>
      </w:pPr>
      <w:r>
        <w:t>Así las cosas, puede afirmarse la ausencia de justificación del cambio de criterio operado, pues la Sentencia núm. 10.303, de 18 diciembre de 2009, dictada por la Sala de lo Contencioso-Administrativo del Tribunal Superior de Justicia de Madrid, programa de actuación por objetivos en apoyo a la Sección Sexta “E”, ante nosotros recurrida, no ha examinado la cuestión del criterio mantenido por la Sección Sexta de la Sala de lo Contencioso-Administrativo del Tribunal Superior de Justicia de Madrid, que había dictado previamente al menos otras dos Sentencias en sentido diferente al de aquélla        —estimatorias en lugar de desestimatoria de los recursos entablados—, como tampoco contiene dicha sentencia una justificación explícita del cambio de criterio producido entre los casos que constituyen su precedente —los resueltos por la Sección Sexta— y la sentencia de que ahora se trata —dictada por la Sección de Apoyo a la Sección Sexta “E”—, lo cual era en todo caso inexcusable, sobre todo si se tiene en cuenta, por un lado, que toda la tramitación del procedimiento correspondió a aquélla, habiéndose encargado del asunto la Sección de Apoyo únicamente desde la votación, y por otro, que la Sentencia se dictó por una Sección constituida en apoyo de la Sección Sexta únicamente para la consecución de objetivos, siendo esta última —la Sexta— la que ostenta, en exclusiva, la titularidad del órgano.</w:t>
      </w:r>
    </w:p>
    <w:p w:rsidR="0026452D" w:rsidRDefault="0026452D" w:rsidP="0026452D">
      <w:pPr>
        <w:pStyle w:val="TextoNormal"/>
      </w:pPr>
    </w:p>
    <w:p w:rsidR="0026452D" w:rsidRDefault="0026452D" w:rsidP="0026452D">
      <w:pPr>
        <w:pStyle w:val="TextoNormal"/>
      </w:pPr>
      <w:r>
        <w:t>En definitiva, la Sentencia recurrida no explica por qué en unos casos se estimó el recurso contencioso-Administrativo y en otros se desestimó, a pesar de concurrir iguales circunstancias, por lo cual ha de estimarse el presente recurso al haberse infringido el principio de igualdad en la aplicación de la ley por parte de la Sentencia núm. 10.303 de 18 diciembre de 2009 del Tribunal Superior de Justicia de Madrid, Sala de lo Contencioso-Administrativo, programa de actuación por objetivos en apoyo a la Sección Sexta “E”.</w:t>
      </w:r>
    </w:p>
    <w:p w:rsidR="0026452D" w:rsidRDefault="0026452D" w:rsidP="0026452D">
      <w:pPr>
        <w:pStyle w:val="TextoNormal"/>
      </w:pPr>
    </w:p>
    <w:p w:rsidR="0026452D" w:rsidRDefault="0026452D" w:rsidP="0026452D">
      <w:pPr>
        <w:pStyle w:val="TextoNormal"/>
      </w:pPr>
      <w:r>
        <w:t>La estimación del recurso de amparo por este motivo hace ya innecesario cualquier otro pronunciamiento.</w:t>
      </w:r>
    </w:p>
    <w:p w:rsidR="0026452D" w:rsidRDefault="0026452D" w:rsidP="0026452D">
      <w:pPr>
        <w:pStyle w:val="TextoNormal"/>
      </w:pPr>
    </w:p>
    <w:p w:rsidR="0026452D" w:rsidRDefault="0026452D" w:rsidP="0026452D">
      <w:pPr>
        <w:pStyle w:val="TextoNormalCentrado"/>
        <w:keepNext/>
      </w:pPr>
      <w:r>
        <w:lastRenderedPageBreak/>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don José Antonio López Illán y, en consecuencia,</w:t>
      </w:r>
    </w:p>
    <w:p w:rsidR="0026452D" w:rsidRDefault="0026452D" w:rsidP="0026452D">
      <w:pPr>
        <w:pStyle w:val="TextoNormal"/>
      </w:pPr>
    </w:p>
    <w:p w:rsidR="0026452D" w:rsidRDefault="0026452D" w:rsidP="0026452D">
      <w:pPr>
        <w:pStyle w:val="TextoNormal"/>
      </w:pPr>
      <w:r>
        <w:t>1º Reconocer que se ha vulnerado su derecho a la igualdad en la aplicación de la ley (art. 14 CE).</w:t>
      </w:r>
    </w:p>
    <w:p w:rsidR="0026452D" w:rsidRDefault="0026452D" w:rsidP="0026452D">
      <w:pPr>
        <w:pStyle w:val="TextoNormal"/>
      </w:pPr>
    </w:p>
    <w:p w:rsidR="0026452D" w:rsidRDefault="0026452D" w:rsidP="0026452D">
      <w:pPr>
        <w:pStyle w:val="TextoNormal"/>
      </w:pPr>
      <w:r>
        <w:t>2º Restablecerle en su derecho y anular la Sentencia núm. 10.303 de la Sala de lo Contencioso-Administrativo, programa de actuación por objetivos en apoyo de la Sección Sexta “E”, del Tribunal Superior de Justicia de Madrid, de 18 de diciembre de 2009.</w:t>
      </w:r>
    </w:p>
    <w:p w:rsidR="0026452D" w:rsidRDefault="0026452D" w:rsidP="0026452D">
      <w:pPr>
        <w:pStyle w:val="TextoNormal"/>
      </w:pPr>
    </w:p>
    <w:p w:rsidR="0026452D" w:rsidRDefault="0026452D" w:rsidP="0026452D">
      <w:pPr>
        <w:pStyle w:val="TextoNormal"/>
      </w:pPr>
      <w:r>
        <w:t>3º Retrotraer las actuaciones al momento inmediatamente anterior a su dictado, para que este órgano judicial dicte nueva Sentencia respetuosa con el derecho fundamental vulnerado.</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veintiocho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5" w:name="SENTENCIA_2013_12"/>
      <w:r>
        <w:lastRenderedPageBreak/>
        <w:t>SENTENCIA 12/2013, de 28 de enero de 2013</w:t>
      </w:r>
    </w:p>
    <w:bookmarkEnd w:id="15"/>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ECLI:ES:TC:2013:12</w:t>
      </w:r>
    </w:p>
    <w:p w:rsidR="0026452D" w:rsidRDefault="0026452D" w:rsidP="0026452D">
      <w:pPr>
        <w:pStyle w:val="SntesisDescriptiva"/>
      </w:pPr>
    </w:p>
    <w:p w:rsidR="0026452D" w:rsidRDefault="0026452D" w:rsidP="0026452D">
      <w:pPr>
        <w:pStyle w:val="SntesisDescriptiva"/>
      </w:pPr>
      <w:r>
        <w:t>Recurso de amparo 326-2011. Promovido por don Aritz Petralanda Mugarra en relación con los Autos de la Audiencia Provincial de Bizkaia y de un Juzgado de Instrucción de Bilbao que archivaron las diligencias previas por un delito de torturas.</w:t>
      </w:r>
    </w:p>
    <w:p w:rsidR="0026452D" w:rsidRDefault="0026452D" w:rsidP="0026452D">
      <w:pPr>
        <w:pStyle w:val="SntesisDescriptiva"/>
      </w:pPr>
    </w:p>
    <w:p w:rsidR="0026452D" w:rsidRDefault="0026452D" w:rsidP="0026452D">
      <w:pPr>
        <w:pStyle w:val="SntesisAnaltica"/>
      </w:pPr>
      <w:r>
        <w:t>Supuesta vulneración de los derechos a no ser sometido a torturas ni a tratos inhumanos o degradantes, a la tutela judicial y a un proceso con todas las garantías: investigación suficiente de una denuncia de tortura o tratos inhumanos y degradantes que se dicen sufridos bajo custodia policial (STC 182/2012). Voto particular.</w:t>
      </w:r>
    </w:p>
    <w:p w:rsidR="0026452D" w:rsidRDefault="0026452D" w:rsidP="0026452D">
      <w:pPr>
        <w:pStyle w:val="SntesisAnaltica"/>
      </w:pPr>
    </w:p>
    <w:p w:rsidR="0026452D" w:rsidRDefault="0026452D" w:rsidP="0026452D">
      <w:pPr>
        <w:pStyle w:val="Extracto"/>
      </w:pPr>
      <w:r>
        <w:t>1.</w:t>
      </w:r>
      <w:r>
        <w:tab/>
        <w:t>El rechazo de la práctica de alguna de las diligencias solicitadas en el escrito de denuncia no resulta contrario a las exigencias de tutela reforzada, pues no concurre el presupuesto del deber de profundizar en la investigación ya que no existen sospechas razonables susceptibles de ser despejadas y por ello no es constitucionalmente exigible el desarrollo de mayor actividad instructora, no viéndose vulnerado el derecho a la tutela judicial efectiva por la decisión de clausurar la investigación (SSTC 123/2008, 182/2012) [FJ 4].</w:t>
      </w:r>
    </w:p>
    <w:p w:rsidR="0026452D" w:rsidRDefault="0026452D" w:rsidP="0026452D">
      <w:pPr>
        <w:pStyle w:val="Extracto"/>
      </w:pPr>
    </w:p>
    <w:p w:rsidR="0026452D" w:rsidRDefault="0026452D" w:rsidP="0026452D">
      <w:pPr>
        <w:pStyle w:val="Extracto"/>
      </w:pPr>
      <w:r>
        <w:t>2.</w:t>
      </w:r>
      <w:r>
        <w:tab/>
        <w:t>Para poder afirmar que existen sospechas razonables de la veracidad de lo denunciado que obliguen a perseverar en la indagación y que, por tanto, la clausura de la investigación en tales circunstancias sea contraria a las exigencias de tutela reforzada dimanantes del art. 24.1 CE en relación con el art. 15 CE, es necesario que el denunciante aporte algún indicio, o proponga la práctica de diligencias probatorias idóneas para obtenerlo, que, más allá de sus afirmaciones en la denuncia, sea potencialmente indicativo de la veracidad de lo denunciado [FJ 4].</w:t>
      </w:r>
    </w:p>
    <w:p w:rsidR="0026452D" w:rsidRDefault="0026452D" w:rsidP="0026452D">
      <w:pPr>
        <w:pStyle w:val="Extracto"/>
      </w:pPr>
    </w:p>
    <w:p w:rsidR="0026452D" w:rsidRDefault="0026452D" w:rsidP="0026452D">
      <w:pPr>
        <w:pStyle w:val="Extracto"/>
      </w:pPr>
      <w:r>
        <w:t>3.</w:t>
      </w:r>
      <w:r>
        <w:tab/>
        <w:t xml:space="preserve">El recurrente en amparo no aporta ningún indicio potencialmente indicativo de la veracidad de lo denunciado ni razona adecuadamente qué dato, susceptible de ser calificado de indicio, existe, pero no se encuentra a su alcance la aportación del mismo, todo lo cual nos aboca a denegar el amparo impetrado (SSTEDH casos </w:t>
      </w:r>
      <w:r w:rsidRPr="0026452D">
        <w:rPr>
          <w:i/>
        </w:rPr>
        <w:t>Frik c. Turquía</w:t>
      </w:r>
      <w:r>
        <w:t xml:space="preserve">, de 20 de septiembre de 2005 y </w:t>
      </w:r>
      <w:r w:rsidRPr="0026452D">
        <w:rPr>
          <w:i/>
        </w:rPr>
        <w:t>Naíf Demirci c. Turquía</w:t>
      </w:r>
      <w:r>
        <w:t>, de 26 de mayo de 2009) [FJ 4].</w:t>
      </w:r>
    </w:p>
    <w:p w:rsidR="0026452D" w:rsidRDefault="0026452D" w:rsidP="0026452D">
      <w:pPr>
        <w:pStyle w:val="Extracto"/>
      </w:pPr>
    </w:p>
    <w:p w:rsidR="0026452D" w:rsidRDefault="0026452D" w:rsidP="0026452D">
      <w:pPr>
        <w:pStyle w:val="Extracto"/>
      </w:pPr>
      <w:r>
        <w:t>4.</w:t>
      </w:r>
      <w:r>
        <w:tab/>
        <w:t>El detenido no alegó maltrato alguno cuando pasó a disposición judicial, ni el Abogado de oficio que le asistía denunció irregularidad alguna al respecto, y tampoco de los exámenes médicos se deduce indicio alguno del que pueda inferirse que el detenido estaba siendo sometido a malos tratos físicos o psíquicos, puesto que no reflejan la existencia de lesiones físicas ni siquiera alguna alteración psíquica o fisiológica en el denunciante compatible con los hechos que se denuncian, por lo que no existen sospechas razonables de la veracidad de lo denunciado que obliguen a perseverar en la indagación [FJ 4].</w:t>
      </w:r>
    </w:p>
    <w:p w:rsidR="0026452D" w:rsidRDefault="0026452D" w:rsidP="0026452D">
      <w:pPr>
        <w:pStyle w:val="Extracto"/>
      </w:pPr>
    </w:p>
    <w:p w:rsidR="0026452D" w:rsidRDefault="0026452D" w:rsidP="0026452D">
      <w:pPr>
        <w:pStyle w:val="Extracto"/>
      </w:pPr>
      <w:r>
        <w:lastRenderedPageBreak/>
        <w:t>5.</w:t>
      </w:r>
      <w:r>
        <w:tab/>
        <w:t>En relación con el tiempo transcurrido entre la detención y la denuncia de los hechos –aunque hemos afirmado que el que el recurrente presentara su denuncia varios meses después de haberse supuestamente producido los hechos y sin que previamente hubiera dicho nada sobre ellos en su primera comparecencia judicial no es razón determinante para negar toda credibilidad a la denuncia–, el recurrente no aporta explicación que justifique el retraso en la denuncia de los hechos o si dicha explicación se deriva de las circunstancias concurrentes, lo que no aporta indicio alguno potencialmente indicativo de la veracidad de lo denunciado (STC 107/2008) [FJ 4].</w:t>
      </w:r>
    </w:p>
    <w:p w:rsidR="0026452D" w:rsidRDefault="0026452D" w:rsidP="0026452D">
      <w:pPr>
        <w:pStyle w:val="Extracto"/>
      </w:pPr>
    </w:p>
    <w:p w:rsidR="0026452D" w:rsidRDefault="0026452D" w:rsidP="0026452D">
      <w:pPr>
        <w:pStyle w:val="Extracto"/>
      </w:pPr>
      <w:r>
        <w:t>6.</w:t>
      </w:r>
      <w:r>
        <w:tab/>
        <w:t>Doctrina sobre las exigencias constitucionales derivadas de los arts. 24.1 y 15 CE en relación con decisiones judiciales de sobreseimiento de instrucciones penales incoadas por denuncia de torturas o tratos inhumanos o degradantes (SSTC 224/2007, 182/2012) [FJ 3].</w:t>
      </w:r>
    </w:p>
    <w:p w:rsidR="0026452D" w:rsidRDefault="0026452D" w:rsidP="0026452D">
      <w:pPr>
        <w:pStyle w:val="Extracto"/>
      </w:pPr>
    </w:p>
    <w:p w:rsidR="0026452D" w:rsidRDefault="0026452D" w:rsidP="0026452D">
      <w:pPr>
        <w:pStyle w:val="Extracto"/>
      </w:pPr>
      <w:r>
        <w:t>7.</w:t>
      </w:r>
      <w:r>
        <w:tab/>
        <w:t>Reitera la doctrina sobre la exigencia de suficiencia y eficacia de la investigación criminal relacionada con los procedimientos penales iniciados por una denuncia de torturas cometidas por funcionarios públicos, de la STC 182/2012 [FFJJ 3, 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326-2011, promovido por don Aritz Petralanda Mugarra, representado por la Procuradora de los Tribunales doña Ana Isabel Lobera Argüelles y asistido por las Abogadas doña Ane Ituiño Pérez y doña Lorea Bilbao Gredilla, contra el Auto de la Sección Primera de la Audiencia Provincial de Bizkaia de 16 de noviembre de 2010, que ratificó los Autos del Juzgado de Instrucción núm. 1 de Bilbao de 26 de mayo y 12 de julio de 2010. Ha intervenido el Ministerio Fiscal. Ha sido Ponente el Magistrado don Francisco José Hernando Santiago, quien expresa el parecer de la Sala.</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El 18 de enero de 2011 don Aritz Petralanda Mugarra presentó en el Registro General de este Tribunal recurso de amparo contra el Auto de la Sección Primera de la Audiencia Provincial de Bizkaia de 16 de noviembre de 2010, por el que se desestimó el recurso de apelación formulado contra el Auto del Juzgado de Instrucción núm. 1 de Bilbao de 12 de </w:t>
      </w:r>
      <w:r>
        <w:lastRenderedPageBreak/>
        <w:t>julio de 2010, desestimatorio del recurso de reforma interpuesto contra el previo Auto de 26 de mayo del mismo año, que acordó el sobreseimiento provisional de las diligencias núm. 695-2010, por entender el recurrente que las resoluciones mencionadas vulneran sus derechos a la integridad física y moral (art. 15 CE) y a la tutela judicial efectiva (art. 24.1 CE), en relación con los derechos a un proceso con todas las garantías y a la prueba (art. 24.2 CE).</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los que tiene su origen el presente recurso, relevantes para su resolución, son los siguientes:</w:t>
      </w:r>
    </w:p>
    <w:p w:rsidR="0026452D" w:rsidRDefault="0026452D" w:rsidP="0026452D">
      <w:pPr>
        <w:pStyle w:val="TextoNormal"/>
      </w:pPr>
    </w:p>
    <w:p w:rsidR="0026452D" w:rsidRDefault="0026452D" w:rsidP="0026452D">
      <w:pPr>
        <w:pStyle w:val="TextoNormal"/>
      </w:pPr>
      <w:r>
        <w:t>a) El 24 de noviembre de 2010, alrededor de las doce treinta horas de la noche, el demandante de amparo fue detenido en Bilbao por agentes del Cuerpo Nacional de Policía. Tras su detención, fue trasladado a la comisaría de Indautxu, donde permaneció hasta las ocho treinta horas de la mañana. A esta hora fue conducido a dependencias policiales en Madrid, donde permaneció durante el período de detención gubernativa, en régimen de incomunicación. Esta situación se prolongó hasta el 26 de noviembre, fecha en la que fue trasladado a las dependencias de la Audiencia Nacional y puesto a disposición del Juzgado Central de Instrucción núm. 3. Tras prestar declaración ante el Juez, se decretó su ingreso en prisión.</w:t>
      </w:r>
    </w:p>
    <w:p w:rsidR="0026452D" w:rsidRDefault="0026452D" w:rsidP="0026452D">
      <w:pPr>
        <w:pStyle w:val="TextoNormal"/>
      </w:pPr>
    </w:p>
    <w:p w:rsidR="0026452D" w:rsidRDefault="0026452D" w:rsidP="0026452D">
      <w:pPr>
        <w:pStyle w:val="TextoNormal"/>
      </w:pPr>
      <w:r>
        <w:t>b) Tal y como expone el demandante, durante todos los días que estuvo detenido permaneció custodiado por agentes de la Policía Nacional y fue visitado en diferentes momentos por un médico forense.</w:t>
      </w:r>
    </w:p>
    <w:p w:rsidR="0026452D" w:rsidRDefault="0026452D" w:rsidP="0026452D">
      <w:pPr>
        <w:pStyle w:val="TextoNormal"/>
      </w:pPr>
    </w:p>
    <w:p w:rsidR="0026452D" w:rsidRDefault="0026452D" w:rsidP="0026452D">
      <w:pPr>
        <w:pStyle w:val="TextoNormal"/>
      </w:pPr>
      <w:r>
        <w:t xml:space="preserve">c) El 23 de febrero de 2010 el demandante formuló denuncia ante el Juzgado de guardia de Bilbao por torturas, malos tratos y amenazas cometidas por miembros de la Policía Nacional durante su detención. En su escrito de denuncia se expresa que la detención se produjo el 23 de noviembre de 2009, a las doce treinta horas de la noche, en su propio domicilio sin que la policía tuviera una actitud violenta durante su registro. En el camino a la comisaría de Indautxu los policías le insultaron, le dejaron en un despacho, de pie, con las esposas puestas, y manteniendo la cabeza baja. Durante el tiempo que permaneció en la comisaría de Indautxu cuando al que llamaban “jefe” llegó y al ver que no contestaba a las preguntas formuladas le dijo una y otra vez: “yo a buenas soy bueno, pero a malas soy peor”. Después le puso la cabeza contra la pared y le dijo que alejara las piernas de la pared, que las abriera y que estuviera así. Que cuando el 24 de noviembre iban camino de Madrid de repente pararon el coche y los policías que lo acompañaban empezaron a gritarse uno al otro mientras salían del coche: “¡Aquí, aquí, de puta madre!”, “¡venga, saca la pala!”, “¿sabes lo que es la bañera?”, “¡me parece a mí que este necesita un baño!”. Cuando iban a llegar a la comisaría empezaron con preguntas y a presionarlo, diciendo que hablara, que estaría más tranquilo con ellos y que no le ocurriría nada, pero que si no hablaba estaría con su jefe y que después ellos no podrían protegerlo. Ya en la comisaría, durante el interrogatorio, cuando no decía lo que los policías querían o si no les gustaba la respuesta, llamaban al jefe, hablaban con él fuera de la habitación y al cabo de un tiempo aparecían tres policías encapuchados amenazándolo: “la estás cagando, mira lo bien que te tratan y no aprendes, ¡eh!”. Después de hablar lo llevaron de nuevo a la celda, pero de noche vinieron nuevamente en su busca y lo llevaron a interrogatorios, en esta ocasión para preparar la declaración. Añade en la denuncia que prepararon las preguntas y las respuestas y que se las hicieron aprender de memoria. Que hacia las diecinueve treinta horas llegó el Abogado de oficio e hizo delante </w:t>
      </w:r>
      <w:r>
        <w:lastRenderedPageBreak/>
        <w:t>suyo el “teatro” que habían preparado. Después de cenar y de que el médico forense lo examinara, consta que fue de nuevo interrogado. En esta ocasión los policías lo amenazaron con hacerle la “bañera”, lo cogieron del cuello y lo llevaron al servicio de la oficina, lo pusieron de rodillas delante del retrete y dieron a la bomba con intención de meterle la cabeza dentro, pero al final no lo hicieron. Como empezó a llorar lo llevaron de nuevo a la oficina y al cabo de un rato fue otra vez interrogado y prepararon las preguntas y las respuestas. Sobre las siete treinta horas de la mañana vino el Abogado de oficio e hizo otra vez el “teatro” ante él. El día 25 de noviembre por la noche fue nuevamente interrogado y en un momento del interrogatorio apareció un encapuchado que lo cogió de la cabeza, lo miró a la cara y salió de la habitación. Al cabo de unos segundos se escucharon ruidos en la habitación de al lado, como si arrojaran a una persona contra un armario metálico. Los policías que estaban con él salieron al pasillo y al volver dijeron: “si no hablas, la que te espera”. Prepararon las preguntas y las respuestas, las estudió y cuando vino el Abogado de oficio hizo el mismo “teatro”.</w:t>
      </w:r>
    </w:p>
    <w:p w:rsidR="0026452D" w:rsidRDefault="0026452D" w:rsidP="0026452D">
      <w:pPr>
        <w:pStyle w:val="TextoNormal"/>
      </w:pPr>
    </w:p>
    <w:p w:rsidR="0026452D" w:rsidRDefault="0026452D" w:rsidP="0026452D">
      <w:pPr>
        <w:pStyle w:val="TextoNormal"/>
      </w:pPr>
      <w:r>
        <w:t>En el escrito de denuncia se solicitaba la práctica de las siguientes diligencias: declaración del denunciante, su reconocimiento físico y psicológico a fin de valorar lesiones y secuelas, aportación de los informes médico-forenses realizados durante su período de detención y declaración de los facultativos que los practicaron en calidad de testigos, identificación de las personas que hubieran participado en la detención del denunciante o bajo cuya custodia hubiera permanecido durante su detención y aportación de las grabaciones realizadas por cámara durante los días que el recurrente detenido permaneció incomunicado.</w:t>
      </w:r>
    </w:p>
    <w:p w:rsidR="0026452D" w:rsidRDefault="0026452D" w:rsidP="0026452D">
      <w:pPr>
        <w:pStyle w:val="TextoNormal"/>
      </w:pPr>
    </w:p>
    <w:p w:rsidR="0026452D" w:rsidRDefault="0026452D" w:rsidP="0026452D">
      <w:pPr>
        <w:pStyle w:val="TextoNormal"/>
      </w:pPr>
      <w:r>
        <w:t>d) Por providencia del Juzgado de Instrucción núm. 1 de Bilbao de 24 de marzo de 2010 se recabó del Decanato de la Audiencia Nacional copia de las declaraciones, tanto policiales como judiciales, prestadas por el denunciante tras su detención el día 23 de noviembre de 2009 y cuantos informes forenses se hubieran extendido durante el tiempo que ésta duró, asimismo se libró oficio a la Policía Nacional para que informara si existían grabaciones de las dependencias donde fue custodiado el denunciante durante su detención.</w:t>
      </w:r>
    </w:p>
    <w:p w:rsidR="0026452D" w:rsidRDefault="0026452D" w:rsidP="0026452D">
      <w:pPr>
        <w:pStyle w:val="TextoNormal"/>
      </w:pPr>
    </w:p>
    <w:p w:rsidR="0026452D" w:rsidRDefault="0026452D" w:rsidP="0026452D">
      <w:pPr>
        <w:pStyle w:val="TextoNormal"/>
      </w:pPr>
      <w:r>
        <w:t>e) En escrito de 31 de marzo de 2010 la Brigada Provincial de Policía Judicial de Bilbao informó que no existía grabación alguna de las dependencias donde fue custodiado Haritz Petralanda Mugarra durante su detención el pasado 23 de noviembre de 2009.</w:t>
      </w:r>
    </w:p>
    <w:p w:rsidR="0026452D" w:rsidRDefault="0026452D" w:rsidP="0026452D">
      <w:pPr>
        <w:pStyle w:val="TextoNormal"/>
      </w:pPr>
    </w:p>
    <w:p w:rsidR="0026452D" w:rsidRDefault="0026452D" w:rsidP="0026452D">
      <w:pPr>
        <w:pStyle w:val="TextoNormal"/>
      </w:pPr>
      <w:r>
        <w:t>f) Por Auto de 26 de mayo de 2010 del Juzgado de Instrucción núm. 1 de Bilbao se acordó el sobreseimiento provisional de las diligencias previas. Afirma el Auto:</w:t>
      </w:r>
    </w:p>
    <w:p w:rsidR="0026452D" w:rsidRDefault="0026452D" w:rsidP="0026452D">
      <w:pPr>
        <w:pStyle w:val="TextoNormal"/>
      </w:pPr>
    </w:p>
    <w:p w:rsidR="0026452D" w:rsidRDefault="0026452D" w:rsidP="0026452D">
      <w:pPr>
        <w:pStyle w:val="TextoNormal"/>
      </w:pPr>
      <w:r>
        <w:t>“[R]ecabadas tanto las declaraciones prestadas ante la Policía Nacional por el denunciante durante su detención, como las efectuadas a presencia del juez instructor o del forense, no se aprecia ninguna manifestación en el sentido de lo expuesto en su denuncia, presentada tres meses después. De hecho, en su declaración judicial se abstuvo de contestar a la pregunta formulada acerca del trato recibido, y en sus manifestaciones ante el forense no contestó acerca de tal extremo en las dos primeras ocasiones que es preguntado al respecto el día 24 de noviembre, manifestando, sin embargo, que el trato ha sido bueno cuando es preguntado por ello los días 25 y 26. En ninguno de tales reconocimientos se objeta cualquier comportamiento o indicio propio de una situación de coacción o presión psicológica como la descrita, como pudiera ser un estado de ansiedad por su parte.”</w:t>
      </w:r>
    </w:p>
    <w:p w:rsidR="0026452D" w:rsidRDefault="0026452D" w:rsidP="0026452D">
      <w:pPr>
        <w:pStyle w:val="TextoNormal"/>
      </w:pPr>
    </w:p>
    <w:p w:rsidR="0026452D" w:rsidRDefault="0026452D" w:rsidP="0026452D">
      <w:pPr>
        <w:pStyle w:val="TextoNormal"/>
      </w:pPr>
      <w:r>
        <w:lastRenderedPageBreak/>
        <w:t>g) Contra dicho Auto interpuso el demandante recurso de reforma que fue desestimado por Auto de 12 de julio de 2010, en cuyo FJ único se hace constar:</w:t>
      </w:r>
    </w:p>
    <w:p w:rsidR="0026452D" w:rsidRDefault="0026452D" w:rsidP="0026452D">
      <w:pPr>
        <w:pStyle w:val="TextoNormal"/>
      </w:pPr>
    </w:p>
    <w:p w:rsidR="0026452D" w:rsidRDefault="0026452D" w:rsidP="0026452D">
      <w:pPr>
        <w:pStyle w:val="TextoNormal"/>
      </w:pPr>
      <w:r>
        <w:t>“[E]n estas actuaciones se han practicado una serie de diligencias que conducen a mermar la verosimilitud de las manifestaciones contenidas en la denuncia interpuesta por aquel, hasta el punto de impedir que su eventual declaración confirmando los hechos expuestos en la misma pudiera contar con utilidad para valorar indicios de la producción de los mismos. Así, a estas actuaciones se incorporaron las declaraciones que prestara en sede policial y judicial durante su detención, en la que se omite cualquier referencia a una situación de maltrato, y los informes forenses emitidos durante tal situación, en los que se constata la ausencia de cualquier síntoma que pudiera asociarse a una intimidación de la entidad tan relevante que la acusación sostiene, pues tan siquiera se aprecia en su persona estado de nerviosismo o ansiedad, llegando en alguno de tales reconocimientos a reconocer que ha recibido un trato correcto, lo que contradice su actual versión de los hechos.”</w:t>
      </w:r>
    </w:p>
    <w:p w:rsidR="0026452D" w:rsidRDefault="0026452D" w:rsidP="0026452D">
      <w:pPr>
        <w:pStyle w:val="TextoNormal"/>
      </w:pPr>
    </w:p>
    <w:p w:rsidR="0026452D" w:rsidRDefault="0026452D" w:rsidP="0026452D">
      <w:pPr>
        <w:pStyle w:val="TextoNormal"/>
      </w:pPr>
      <w:r>
        <w:t>h) Contra dicha resolución se interpuso recurso de apelación, igualmente desestimado, por Auto de la Sección Segunda de la Audiencia Provincial de Bizkaia de 16 de noviembre de 2010. En dicho Auto se argumenta:</w:t>
      </w:r>
    </w:p>
    <w:p w:rsidR="0026452D" w:rsidRDefault="0026452D" w:rsidP="0026452D">
      <w:pPr>
        <w:pStyle w:val="TextoNormal"/>
      </w:pPr>
    </w:p>
    <w:p w:rsidR="0026452D" w:rsidRDefault="0026452D" w:rsidP="0026452D">
      <w:pPr>
        <w:pStyle w:val="TextoNormal"/>
      </w:pPr>
      <w:r>
        <w:t>“[H]a sido justamente la acción de Haritz Petralanda la que ha convertido en inútiles las acciones positivas del Estado para evitar primero que se produzcan malos tratos, y la impunidad después de las acciones que él denuncia. Es importante lo que señala la instructora, que este Tribunal acoge: no se recoge nada sobre un estado compatible con las amenazas e intimidaciones en los informes forenses, a veces justamente lo contrario, se recoge que el detenido dice no haber sufrido maltrato o haber recibido buen trato. No nos convence la explicación de que esperaba estar fuera del control de la autoridad policial. En la declaración judicial lo estaba y, sin embargo, no cuenta nada sobre torturas hasta entrevistarse con su abogado. Pero luego tarda tres meses en presentar denuncia. El Tribunal que en reiteradas ocasiones ha ordenado la práctica de nuevas diligencias en casos similares, estima que en este caso no hay un mínimo de credibilidad. Estima que el Estado ha procurado lo necesario primero para evitar la tortura y después para realizar una investigación seria y rigurosa. Las características de una investigación seria han de venir referidas a la propia seriedad y verosimilitud de la denuncia. En nuestro caso esas características no concurren en la denuncia; lo actuado es suficiente en relación con la denuncia presentada, con la actitud del denunciante ante los medios dispuestos por el Estado para evitar y reprimir la tortura, y por lo que dichos medios recogen sobre la veracidad de lo afirmado por el denunciante.”</w:t>
      </w:r>
    </w:p>
    <w:p w:rsidR="0026452D" w:rsidRDefault="0026452D" w:rsidP="0026452D">
      <w:pPr>
        <w:pStyle w:val="TextoNormal"/>
      </w:pPr>
    </w:p>
    <w:p w:rsidR="0026452D" w:rsidRDefault="0026452D" w:rsidP="0026452D">
      <w:pPr>
        <w:pStyle w:val="TextoNormal"/>
      </w:pPr>
      <w:r w:rsidRPr="0026452D">
        <w:rPr>
          <w:rStyle w:val="NumeroAFNegritaCaracter"/>
        </w:rPr>
        <w:t>3</w:t>
      </w:r>
      <w:r>
        <w:t>. El recurrente fundamenta su demanda de amparo en la vulneración de los derechos fundamentales a la integridad física y moral (art. 15 CE) y a la tutela judicial efectiva (art. 24.1 CE), en relación con el derecho a un proceso con todas las garantías y el derecho a la prueba (art. 24.2 CE).</w:t>
      </w:r>
    </w:p>
    <w:p w:rsidR="0026452D" w:rsidRDefault="0026452D" w:rsidP="0026452D">
      <w:pPr>
        <w:pStyle w:val="TextoNormal"/>
      </w:pPr>
    </w:p>
    <w:p w:rsidR="0026452D" w:rsidRDefault="0026452D" w:rsidP="0026452D">
      <w:pPr>
        <w:pStyle w:val="TextoNormal"/>
      </w:pPr>
      <w:r>
        <w:t xml:space="preserve">Como primer motivo de amparo, y bajo invocación del art. 15 CE, se argumenta que el escrito de denuncia presentado ante el Juzgado de Instrucción de guardia de Bilbao no deja lugar a dudas en cuanto a que el denunciante afirma que durante su estancia en las dependencias policiales fue víctima de agresiones físicas de diferente intensidad, así como de maltrato de palabra agresivo y lesivo para su integridad moral, pese a lo cual los órganos </w:t>
      </w:r>
      <w:r>
        <w:lastRenderedPageBreak/>
        <w:t>judiciales no articularon un procedimiento judicial que permitiera una reparación jurídica suficiente del derecho fundamental a la integridad física y moral.</w:t>
      </w:r>
    </w:p>
    <w:p w:rsidR="0026452D" w:rsidRDefault="0026452D" w:rsidP="0026452D">
      <w:pPr>
        <w:pStyle w:val="TextoNormal"/>
      </w:pPr>
    </w:p>
    <w:p w:rsidR="0026452D" w:rsidRDefault="0026452D" w:rsidP="0026452D">
      <w:pPr>
        <w:pStyle w:val="TextoNormal"/>
      </w:pPr>
      <w:r>
        <w:t>Como segundo motivo de amparo se denuncia que las resoluciones dictadas en el presente procedimiento constituyen un supuesto de ineficaz recurso a los Jueces y Tribunales, vulnerador de los arts. 24.1 y 2 CE, puesto que se acordó el sobreseimiento provisional y archivo de las diligencias penales incoadas por torturas sin razones bastantes y sin haberse practicado antes todas las diligencias de investigación disponibles para esclarecer los hechos. Con cita de abundante doctrina de este Tribunal Constitucional (SSTC 224/2007, de 22 de octubre; 34/2008, de 25 de febrero; 52/2008, de 14 de abril; 69/2008 de 23 de junio; 107/2008, de 22 de septiembre; y 63/2010, de 18 de octubre), siguiendo la doctrina del Tribunal Europeo de Derechos Humanos, se recuerda en la demanda que en estos casos el derecho a la tutela judicial efectiva sólo se satisface si se produce una investigación suficiente y efectiva de lo denunciado. Se trata de una tutela judicial doblemente reforzada, pues se pide frente a un derecho absoluto cuya indemnidad depende esencialmente de dicha tutela judicial. Y en el presente caso, señala el demandante de amparo, la limitación de lo investigado resulta evidente, porque de todas las diligencias propuestas el instructor sólo llevó a cabo dos de ellas, con cuya valoración discrepa, habiéndose obviado las demás, y dictado el sobreseimiento y archivo de las actuaciones sin haber realizado una indagación suficiente pese a que de la declaración de la víctima se infería la existencia de las torturas denunciadas. Destaca la demanda que constituye una exigencia de racionalidad la valoración del testimonio judicial del denunciante, que es un medio de indagación particularmente idóneo de las denuncias por tortura o por tratos inhumanos o degradantes.</w:t>
      </w:r>
    </w:p>
    <w:p w:rsidR="0026452D" w:rsidRDefault="0026452D" w:rsidP="0026452D">
      <w:pPr>
        <w:pStyle w:val="TextoNormal"/>
      </w:pPr>
    </w:p>
    <w:p w:rsidR="0026452D" w:rsidRDefault="0026452D" w:rsidP="0026452D">
      <w:pPr>
        <w:pStyle w:val="TextoNormal"/>
      </w:pPr>
      <w:r>
        <w:t>A continuación, se realiza un recorrido por las distintas actuaciones judiciales. En primer lugar, por lo que se refiere al escrito de denuncia de los hechos presentados por el recurrente ante el Juzgado de Instrucción de guardia de Bilbao, se solicitaba la práctica de diferentes diligencias. En concreto, que se recibiera declaración al denunciante, diligencia que no ha sido practicada; que fuese reconocido física y psicológicamente para valorar las lesiones y secuelas, diligencia que tampoco se ha practicado y que resultaba, señala el escrito de demanda, fundamental, ya que los informes médicos obrantes en las actuaciones ponen de manifiesto la negativa del demandante a ser reconocido; que se aportaran a la causa los informes médico-forenses realizados en dependencias policiales y en la Audiencia Nacional por los diferentes médicos forenses y que se les tome declaración en calidad de testigos, diligencia que, según señala, sólo ha sido cumplimentada por el Juzgado instructor en parte, ya que los informes de los médicos forenses están aportados, pero no se ha procedido a la toma de declaración de los mismos; que se oficiara a dependencias de la Policía Nacional en Bilbao y en Madrid, para que informaran acerca de las personas que hubieran participado en la detención del demandante o bajo cuya custodia hubiera permanecido durante su detención, con la intención de que los mismos presten declaración, diligencia que no ha sido practicada; que se aportaran a la causa las grabaciones realizadas por cámara durante todos los días que el detenido permaneció incomunicado, grabaciones que han sido solicitadas por el Juzgado de Instrucción a las autoridades correspondientes, quienes niegan su existencia.</w:t>
      </w:r>
    </w:p>
    <w:p w:rsidR="0026452D" w:rsidRDefault="0026452D" w:rsidP="0026452D">
      <w:pPr>
        <w:pStyle w:val="TextoNormal"/>
      </w:pPr>
    </w:p>
    <w:p w:rsidR="0026452D" w:rsidRDefault="0026452D" w:rsidP="0026452D">
      <w:pPr>
        <w:pStyle w:val="TextoNormal"/>
      </w:pPr>
      <w:r>
        <w:t xml:space="preserve">Por lo que se refiere al Auto de 26 de mayo de 2020 del Juzgado de Instrucción núm. 1 de Bilbao por el que se acuerda el archivo provisional de las actuaciones, considera la demanda que es una resolución insuficientemente motivada, puesto que el Juzgado instructor, </w:t>
      </w:r>
      <w:r>
        <w:lastRenderedPageBreak/>
        <w:t>en lugar de realizar la necesaria actividad probatoria para llegar a despejar el fondo del asunto, se ha limitado a analizar los informes médicos.</w:t>
      </w:r>
    </w:p>
    <w:p w:rsidR="0026452D" w:rsidRDefault="0026452D" w:rsidP="0026452D">
      <w:pPr>
        <w:pStyle w:val="TextoNormal"/>
      </w:pPr>
    </w:p>
    <w:p w:rsidR="0026452D" w:rsidRDefault="0026452D" w:rsidP="0026452D">
      <w:pPr>
        <w:pStyle w:val="TextoNormal"/>
      </w:pPr>
      <w:r>
        <w:t>En relación con el Auto de 12 de julio de 2010 del Juzgado de Instrucción núm. 1 de Bilbao por el que se desestimó el recurso de reforma interpuesto contra el anterior, señala que no dice nada nuevo y se limita a reiterar las consideraciones expuestas en el Auto anterior. Del Auto de 29 de noviembre de 2010 de la Audiencia Provincial de Bizkaia, que ratifica los dos Autos anteriores, afirma que es una resolución algo más extensa, pero que en lo que hace a los contenidos, se limita a confirmar los argumentos en los que se ha apoyado el Juzgado instructor, olvidando que resulta conveniente que la investigación sea lo más profunda posible, sin que quede por practicar ninguna diligencia que pudiera haberse efectuado, para despejar cualquier duda, por pequeña que fuese.</w:t>
      </w:r>
    </w:p>
    <w:p w:rsidR="0026452D" w:rsidRDefault="0026452D" w:rsidP="0026452D">
      <w:pPr>
        <w:pStyle w:val="TextoNormal"/>
      </w:pPr>
    </w:p>
    <w:p w:rsidR="0026452D" w:rsidRDefault="0026452D" w:rsidP="0026452D">
      <w:pPr>
        <w:pStyle w:val="TextoNormal"/>
      </w:pPr>
      <w:r>
        <w:t>Finalmente, la demanda dedica un apartado específico a la justificación de su especial trascendencia constitucional, alegando que no sólo afecta al caso concreto, sino que implica un refuerzo de la doctrina constitucional ya sentada por este Tribunal Constitucional “contribuyendo a evitar que se produzcan sobreseimientos y archivos que vulneren el art. 24 CE”, añadiendo que la gravedad de los hechos denunciados hace que trascienda a la sociedad en su conjunto, pues la tortura es una lacra que envilece y deslegitima a un Estado democrático, permitir su existencia en las instituciones supone un empañamiento de los principios morales y éticos de una sociedad que también resulta víctima de estos hechos.</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16 de febrero de 2012, la Sala Segunda acordó la admisión a trámite de la demanda y, a tenor de lo dispuesto en el art. 51 de la Ley Orgánica del Tribunal Constitucional (LOTC), requerir al Juzgado de Instrucción núm. 1 de Bilbao y a la Sección Segunda de la Audiencia Provincial de Bizkaia, para que en el plazo de diez días remitieran testimonio de las diligencias previas 695-2010 y del rollo de apelación 427-2010, respectivamente, interesándose al tiempo que se emplazara a quienes fueron parte en el procedimiento, a excepción del recurrente en amparo, para que en el plazo de diez días pudieran comparecer en este proceso constitucional.</w:t>
      </w:r>
    </w:p>
    <w:p w:rsidR="0026452D" w:rsidRDefault="0026452D" w:rsidP="0026452D">
      <w:pPr>
        <w:pStyle w:val="TextoNormal"/>
      </w:pPr>
    </w:p>
    <w:p w:rsidR="0026452D" w:rsidRDefault="0026452D" w:rsidP="0026452D">
      <w:pPr>
        <w:pStyle w:val="TextoNormal"/>
      </w:pPr>
      <w:r w:rsidRPr="0026452D">
        <w:rPr>
          <w:rStyle w:val="NumeroAFNegritaCaracter"/>
        </w:rPr>
        <w:t>5</w:t>
      </w:r>
      <w:r>
        <w:t>. Una vez recibidas las actuaciones, a través de una diligencia de ordenación de la Secretaría de Justicia de la Sala Segunda, se acordó dar vista de las mismas a la parte recurrente y al Ministerio público por término de veinte días, dentro de los cuales podrían presentar las alegaciones que estimasen pertinentes, conforme a lo establecido en el art. 52.1 LOTC.</w:t>
      </w:r>
    </w:p>
    <w:p w:rsidR="0026452D" w:rsidRDefault="0026452D" w:rsidP="0026452D">
      <w:pPr>
        <w:pStyle w:val="TextoNormal"/>
      </w:pPr>
    </w:p>
    <w:p w:rsidR="0026452D" w:rsidRDefault="0026452D" w:rsidP="0026452D">
      <w:pPr>
        <w:pStyle w:val="TextoNormal"/>
      </w:pPr>
      <w:r w:rsidRPr="0026452D">
        <w:rPr>
          <w:rStyle w:val="NumeroAFNegritaCaracter"/>
        </w:rPr>
        <w:t>6</w:t>
      </w:r>
      <w:r>
        <w:t>. El día 14 de mayo de 2012 presentó sus alegaciones el Ministerio Fiscal, interesando el otorgamiento del amparo por vulneración del derecho del recurrente a la tutela judicial efectiva (art. 24.1 CE), en relación con el derecho a no ser sometido a torturas ni a tratos inhumanos o degradantes (art. 15 CE). Solicita el Fiscal que se declare la nulidad de las resoluciones recurridas y se acuerde la retroacción de las actuaciones.</w:t>
      </w:r>
    </w:p>
    <w:p w:rsidR="0026452D" w:rsidRDefault="0026452D" w:rsidP="0026452D">
      <w:pPr>
        <w:pStyle w:val="TextoNormal"/>
      </w:pPr>
    </w:p>
    <w:p w:rsidR="0026452D" w:rsidRDefault="0026452D" w:rsidP="0026452D">
      <w:pPr>
        <w:pStyle w:val="TextoNormal"/>
      </w:pPr>
      <w:r>
        <w:t>Tras exponer los antecedentes procesales del caso, sintetiza el Fiscal la doctrina de este Tribunal acerca de las exigencias constitucionales, derivadas tanto del art. 15 CE como del art. 24 CE, en relación con decisiones judiciales de archivo y sobreseimiento de investigaciones penales por denuncia de torturas, tratos inhumanos o degradantes, citando, por todas, la STC 63/2010, de 18 de octubre.</w:t>
      </w:r>
    </w:p>
    <w:p w:rsidR="0026452D" w:rsidRDefault="0026452D" w:rsidP="0026452D">
      <w:pPr>
        <w:pStyle w:val="TextoNormal"/>
      </w:pPr>
    </w:p>
    <w:p w:rsidR="0026452D" w:rsidRDefault="0026452D" w:rsidP="0026452D">
      <w:pPr>
        <w:pStyle w:val="TextoNormal"/>
      </w:pPr>
      <w:r>
        <w:t>A fin de dilucidar la cuestión planteada, el Ministerio Fiscal examina la naturaleza de las torturas o malos tratos denunciados, así como la suficiencia e idoneidad de las diligencias practicadas, con referencia al resultado apreciado por los órganos judiciales que acuerdan y ratifican el archivo. A su juicio, lo que se ha producido en este supuesto es la creación de un ambiente o clima de intimidación e inseguridad, explícita o implícita, incrementando así la vulnerabilidad del denunciante, que se encuentra detenido e incomunicado, debilitando su resistencia y voluntad a la hora de efectuar una declaración. Tal circunstancia determina la dificultad de detectar y evidenciar este tipo de situaciones, y por ello condiciona los medios de investigación que deben dirigirse, en la medida de lo posible, a resaltar aspectos o signos psicológicos que permanecen ocultos por su propia naturaleza.</w:t>
      </w:r>
    </w:p>
    <w:p w:rsidR="0026452D" w:rsidRDefault="0026452D" w:rsidP="0026452D">
      <w:pPr>
        <w:pStyle w:val="TextoNormal"/>
      </w:pPr>
    </w:p>
    <w:p w:rsidR="0026452D" w:rsidRDefault="0026452D" w:rsidP="0026452D">
      <w:pPr>
        <w:pStyle w:val="TextoNormal"/>
      </w:pPr>
      <w:r>
        <w:t>El Ministerio Fiscal agrupa en cuatro categorías los razonamientos utilizados por los órganos judiciales para decidir que la investigación ha sido suficiente y ratificar el archivo. Respecto de cada uno de esos razonamientos efectúa las siguientes consideraciones.</w:t>
      </w:r>
    </w:p>
    <w:p w:rsidR="0026452D" w:rsidRDefault="0026452D" w:rsidP="0026452D">
      <w:pPr>
        <w:pStyle w:val="TextoNormal"/>
      </w:pPr>
    </w:p>
    <w:p w:rsidR="0026452D" w:rsidRDefault="0026452D" w:rsidP="0026452D">
      <w:pPr>
        <w:pStyle w:val="TextoNormal"/>
      </w:pPr>
      <w:r>
        <w:t>El primer razonamiento es la ausencia de cualquier referencia a la situación de maltrato en las declaraciones policiales y en la judicial, estando en esta última fuera del control de la autoridad policial. Pero para el Ministerio Fiscal no resulta razonable exigir una expresa manifestación sobre malos tratos a quien se encuentra bajo absoluto control policial, detenido e incomunicado, situación en la que se justifica el temor a un posible riesgo cuando se encuentre exclusiva y nuevamente ante los responsables de su custodia. Consideración que, a su entender, también resulta aplicable a la declaración judicial, por la eventual persistencia de esa “virtualidad coactiva” a que se refiere la STC 63/2010, de 18 de octubre.</w:t>
      </w:r>
    </w:p>
    <w:p w:rsidR="0026452D" w:rsidRDefault="0026452D" w:rsidP="0026452D">
      <w:pPr>
        <w:pStyle w:val="TextoNormal"/>
      </w:pPr>
    </w:p>
    <w:p w:rsidR="0026452D" w:rsidRDefault="0026452D" w:rsidP="0026452D">
      <w:pPr>
        <w:pStyle w:val="TextoNormal"/>
      </w:pPr>
      <w:r>
        <w:t>El segundo razonamiento es la ausencia en los reconocimientos médico-forenses de cualquier síntoma o estado compatible con las amenazas e intimidaciones. Señala el Ministerio Fiscal que todos los reconocimientos médicos se realizan en situación de detención judicial y, por tanto, siempre bajo directo control policial, en situación de detención e incomunicado. Además, indica que en los dos primeros informes resulta que no quiere contestar sobre el trato recibido, reseñándose en el primero como “poco colaborador”.</w:t>
      </w:r>
    </w:p>
    <w:p w:rsidR="0026452D" w:rsidRDefault="0026452D" w:rsidP="0026452D">
      <w:pPr>
        <w:pStyle w:val="TextoNormal"/>
      </w:pPr>
    </w:p>
    <w:p w:rsidR="0026452D" w:rsidRDefault="0026452D" w:rsidP="0026452D">
      <w:pPr>
        <w:pStyle w:val="TextoNormal"/>
      </w:pPr>
      <w:r>
        <w:t>El tercer razonamiento es la irrelevancia, por falta de utilidad práctica, de la declaración del denunciante. Recuerda el Ministerio Fiscal que el Juzgado de Instrucción, en su Auto de 12 de julio de 2010, alude a la falta de credibilidad del denunciante, toda vez que ni existe ausencia de motivos de hostilidad, ni corroboración por datos objetivos ni persistencia incriminatoria, consideraciones que, a su juicio, desconocen que la evaluación de la falta de credibilidad del denunciante requiere que se efectúe con una declaración a presencia judicial, que debe dar ocasión para evaluar contradicciones, matizaciones, aclaraciones, incluso signos de comunicación no verbal, lo que adquiere particular importancia cuando, como en el caso presente, el propio órgano judicial afirma que el único indicio lo ofrece la versión del denunciante, lo que exigiría, al igual que en otro tipo de figuras delictivas en las que aparece dicha circunstancia, profundizar todo lo posible con esta clase de diligencia, en lugar de descartarla</w:t>
      </w:r>
      <w:r w:rsidRPr="0026452D">
        <w:rPr>
          <w:i/>
        </w:rPr>
        <w:t xml:space="preserve"> ab initi</w:t>
      </w:r>
      <w:r>
        <w:t>o.</w:t>
      </w:r>
    </w:p>
    <w:p w:rsidR="0026452D" w:rsidRDefault="0026452D" w:rsidP="0026452D">
      <w:pPr>
        <w:pStyle w:val="TextoNormal"/>
      </w:pPr>
    </w:p>
    <w:p w:rsidR="0026452D" w:rsidRDefault="0026452D" w:rsidP="0026452D">
      <w:pPr>
        <w:pStyle w:val="TextoNormal"/>
      </w:pPr>
      <w:r>
        <w:t xml:space="preserve">El cuarto razonamiento es el transcurso de un tiempo excesivo, tres meses, en presentar la denuncia. Afirma el Ministerio Fiscal que la propia doctrina constitucional establece la </w:t>
      </w:r>
      <w:r>
        <w:lastRenderedPageBreak/>
        <w:t>irrelevancia del tiempo transcurrido hasta la denuncia en supuestos análogos (SSTC 107/2008, de 22 de febrero; y 63/2010, de 18 de octubre).</w:t>
      </w:r>
    </w:p>
    <w:p w:rsidR="0026452D" w:rsidRDefault="0026452D" w:rsidP="0026452D">
      <w:pPr>
        <w:pStyle w:val="TextoNormal"/>
      </w:pPr>
    </w:p>
    <w:p w:rsidR="0026452D" w:rsidRDefault="0026452D" w:rsidP="0026452D">
      <w:pPr>
        <w:pStyle w:val="TextoNormal"/>
      </w:pPr>
      <w:r>
        <w:t>A continuación, señala el Ministerio Fiscal que no es necesario realizar una investigación exhaustiva, pero sí considera que serían aconsejables y oportunas varias de las diligencias solicitadas o que se podrían practicar para agotar ponderada y razonablemente la investigación de la denuncia y, en concreto: la declaración personal del denunciante, a fin de que precise todas aquellas circunstancias que se consideran contradictorias, incoherentes o incompletas; un informe de carácter psicológico tendente a detectar rastros o secuelas de carácter psíquico derivados de la situación sufrida; el testimonio del médico-forense que practicó el primero y, en especial, el segundo reconocimiento, en los que se niega a efectuar manifestaciones sobre el trato recibido; y, la declaración, al menos, del Abogado de oficio que le asistió en las declaraciones prestadas.</w:t>
      </w:r>
    </w:p>
    <w:p w:rsidR="0026452D" w:rsidRDefault="0026452D" w:rsidP="0026452D">
      <w:pPr>
        <w:pStyle w:val="TextoNormal"/>
      </w:pPr>
    </w:p>
    <w:p w:rsidR="0026452D" w:rsidRDefault="0026452D" w:rsidP="0026452D">
      <w:pPr>
        <w:pStyle w:val="TextoNormal"/>
      </w:pPr>
      <w:r>
        <w:t>En definitiva, entiende el Fiscal que en el presente caso procede el otorgamiento del amparo solicitado, en la medida en que, ante la denuncia del detenido y ahora recurrente en amparo, no se produjo una investigación judicial eficaz, y si bien se efectuaron algunas diligencias oportunas, se clausuró anticipadamente la instrucción sin practicar aquellas que podían resultar más idóneas o aptas para la comprobación de los hechos denunciados, de modo que se ha vulnerado el derecho a la tutela judicial efectiva (art. 24.1 CE) en relación con el derecho a no ser sometido a tortura o tratos inhumanos o degradantes (art. 15 CE).</w:t>
      </w:r>
    </w:p>
    <w:p w:rsidR="0026452D" w:rsidRDefault="0026452D" w:rsidP="0026452D">
      <w:pPr>
        <w:pStyle w:val="TextoNormal"/>
      </w:pPr>
    </w:p>
    <w:p w:rsidR="0026452D" w:rsidRDefault="0026452D" w:rsidP="0026452D">
      <w:pPr>
        <w:pStyle w:val="TextoNormal"/>
      </w:pPr>
      <w:r w:rsidRPr="0026452D">
        <w:rPr>
          <w:rStyle w:val="NumeroAFNegritaCaracter"/>
        </w:rPr>
        <w:t>7</w:t>
      </w:r>
      <w:r>
        <w:t>. Por providencia de 24 de enero de 2013 se señaló para deliberación y votación de la presente Sentencia el día 28 del mismo mes y año, trámite que ha finalizado en el día de hoy.</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1. La demanda de amparo imputa a las resoluciones judiciales impugnadas la vulneración de sus derechos a la integridad física y moral (art. 15 CE), a la tutela judicial efectiva (art. 24.1 CE), a un proceso con todas las garantías y a utilizar los medios de prueba pertinentes (art. 24.2 CE). La primera vulneración que se aduce se sustenta en la inexistencia de una reparación jurídica suficiente en el procedimiento judicial abierto con motivo de los malos tratos sufridos durante su detención. Las restantes quejas, íntimamente relacionadas con la anterior, se fundamentan en la insuficiencia de los argumentos utilizados en las resoluciones impugnadas para justificar la procedencia del sobreseimiento provisional de las actuaciones; y en que no se ha desarrollado una actividad judicial suficiente y orientada a la averiguación de los hechos denunciados, no habiéndose practicado diversas diligencias solicitadas en el escrito de denuncia, que resultaban relevantes para el esclarecimiento de los hechos.</w:t>
      </w:r>
    </w:p>
    <w:p w:rsidR="0026452D" w:rsidRDefault="0026452D" w:rsidP="0026452D">
      <w:pPr>
        <w:pStyle w:val="TextoNormal"/>
      </w:pPr>
    </w:p>
    <w:p w:rsidR="0026452D" w:rsidRDefault="0026452D" w:rsidP="0026452D">
      <w:pPr>
        <w:pStyle w:val="TextoNormal"/>
      </w:pPr>
      <w:r>
        <w:t>El Ministerio Fiscal considera que concurren las vulneraciones denunciadas y solicita el otorgamiento del amparo, en los términos expuestos en los antecedentes de esta resolución.</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Debe quedar claro desde un primer momento que no es objeto de este proceso de amparo dilucidar si el demandante ha sido objeto de torturas y tratos inhumanos o degradantes sino determinar si la investigación de los hechos denunciados ha sido suficiente y, </w:t>
      </w:r>
      <w:r>
        <w:lastRenderedPageBreak/>
        <w:t>por tanto, si se ha vulnerado el derecho a la tutela judicial efectiva sin indefensión, en relación con el art. 15 CE. En este sentido el canon aplicable de partida es el propio del art. 24.1 CE, en cuanto exige para entender otorgada la tutela judicial efectiva que la pretensión sea resuelta mediante una resolución que sea razonada, es decir, basada en una argumentación no arbitraria, ni manifiestamente irrazonable, ni incursa en error patente, canon éste reforzado por tratarse de un supuesto en el que están en juego otros derechos fundamentales, como aquí sucede con el reconocido en el art. 15 CE. En efecto, constituye doctrina consolidada de este Tribunal la que señala que las exigencias del derecho a la tutela judicial efectiva son distintas y más estrictas, “reforzadas”, cuando, a pesar de que la decisión judicial no verse directamente sobre la preservación o los límites de un derecho fundamental, uno de estos derechos, distinto al de la propia tutela judicial, esté implicado o quede afectado por tal decisión (entre otras, SSTC 84/2001, de 26 de marzo, FJ 3; 203/2002, de 28 de octubre, FJ 3; 51/2003, de 17 de marzo, FJ 4; 142/2004, de 13 de septiembre, FJ 3; y 74/2005, de 4 de abril, FJ 2). De este modo, las decisiones judiciales como las que aquí se recurren están especialmente cualificadas en función del derecho material sobre el que recaen.</w:t>
      </w:r>
    </w:p>
    <w:p w:rsidR="0026452D" w:rsidRDefault="0026452D" w:rsidP="0026452D">
      <w:pPr>
        <w:pStyle w:val="TextoNormal"/>
      </w:pPr>
    </w:p>
    <w:p w:rsidR="0026452D" w:rsidRDefault="0026452D" w:rsidP="0026452D">
      <w:pPr>
        <w:pStyle w:val="TextoNormal"/>
      </w:pPr>
      <w:r>
        <w:t>Señalado lo anterior, debemos considerar que para asegurar la adecuada protección de todas las personas contra la tortura o tratos crueles, inhumanos o degradantes, las Naciones Unidas han aprobado distintas normas universalmente aplicables. Los convenios, declaraciones y resoluciones adoptados por los estados miembros de la Organización de Naciones Unidas afirman claramente que no puede haber excepciones a la prohibición de la tortura y establecen distintas obligaciones para garantizar la protección contra tales posibles abusos. Entre los más importantes de esos instrumentos figuran la Declaración universal de derechos humanos, adoptada y proclamada por la Asamblea General en su Resolución 217 A (III), de 10 de diciembre de 1948; el Pacto internacional de derechos civiles y políticos, que entró en vigor el 23 de marzo de 1976; las Reglas mínimas para el tratamiento de los reclusos adoptadas por el Primer Congreso de las Naciones Unidas sobre prevención del delito y tratamiento del delincuente, celebrado en Ginebra en 1955, y aprobadas por el Consejo Económico y Social en sus Resoluciones 663C (XXIV) de 31 de julio de 1957 y 2076 (LXII) de 13 de mayo de 1977; la Declaración de las Naciones Unidas sobre la protección de todas las personas contra la tortura y otros tratos o penas crueles, inhumanos o degradantes (Declaración sobre la protección contra la tortura), adoptada por la Asamblea General en su resolución 3452 (XXX), de 9 de diciembre de 1975; el código de conducta para funcionarios encargados de hacer cumplir la ley, adoptado por la Asamblea General en su resolución 34/169, de 17 de diciembre de 1979; los principios de ética médica aplicables a la función del personal de salud, especialmente los médicos, en la protección de personas presas y detenidas contra la tortura y otros tratos o penas crueles, inhumanos o degradantes, adoptados por la Asamblea General en su resolución 37/194, de 18 de diciembre de 1982; la Convención contra la tortura y otros tratos o penas crueles, inhumanos y degradantes (Convención contra la tortura), adoptada y abierta a la firma, ratificación y adhesión por la Asamblea General en su resolución 39/46, de 10 de diciembre de 1984 y que entró en vigor el 26 de junio de 1987; el conjunto de principios sobre la detención, adoptados por la Asamblea General en su resolución 43/173, de 9 de diciembre de 1988; y los principios básicos para el tratamiento de los reclusos, adoptados y proclamados por la Asamblea General en su resolución 45/111, de 14 de diciembre de 1990.</w:t>
      </w:r>
    </w:p>
    <w:p w:rsidR="0026452D" w:rsidRDefault="0026452D" w:rsidP="0026452D">
      <w:pPr>
        <w:pStyle w:val="TextoNormal"/>
      </w:pPr>
    </w:p>
    <w:p w:rsidR="0026452D" w:rsidRDefault="0026452D" w:rsidP="0026452D">
      <w:pPr>
        <w:pStyle w:val="TextoNormal"/>
      </w:pPr>
      <w:r>
        <w:t xml:space="preserve">Los instrumentos internacionales citados establecen ciertas obligaciones que los Estados deben respetar para asegurar la protección contra la tortura. Así, y por lo que al presente </w:t>
      </w:r>
      <w:r>
        <w:lastRenderedPageBreak/>
        <w:t>recurso de amparo afecta, el art. 12 de la Convención contra la tortura señala que “todo Estado Parte velará porque, siempre que haya motivos razonables para creer que dentro de su jurisdicción se ha cometido un acto de tortura, las autoridades competentes procedan a una investigación pronta e imparcial”. En el mismo sentido, el art. 9 de la Declaración sobre la protección contra la tortura dispone que “siempre que haya motivos razonables para creer que se ha cometido un acto de tortura tal como se define en el artículo 1, las autoridades competentes del Estado interesado procederán de oficio y con presteza a una investigación imparcial”.</w:t>
      </w:r>
    </w:p>
    <w:p w:rsidR="0026452D" w:rsidRDefault="0026452D" w:rsidP="0026452D">
      <w:pPr>
        <w:pStyle w:val="TextoNormal"/>
      </w:pPr>
    </w:p>
    <w:p w:rsidR="0026452D" w:rsidRDefault="0026452D" w:rsidP="0026452D">
      <w:pPr>
        <w:pStyle w:val="TextoNormal"/>
      </w:pPr>
      <w:r>
        <w:t xml:space="preserve">Por su parte, el Tribunal Europeo de Derechos Humanos considera que cuando una persona afirma de forma “creíble” (SSTEDH de 4 de abril de 2006, </w:t>
      </w:r>
      <w:r w:rsidRPr="0026452D">
        <w:rPr>
          <w:i/>
        </w:rPr>
        <w:t>Corsacov c. Moldavia</w:t>
      </w:r>
      <w:r>
        <w:t xml:space="preserve">, § 68; y de 10 de abril de 2008, </w:t>
      </w:r>
      <w:r w:rsidRPr="0026452D">
        <w:rPr>
          <w:i/>
        </w:rPr>
        <w:t>Dzeladinov y otros c. Macedonia</w:t>
      </w:r>
      <w:r>
        <w:t xml:space="preserve">, § 69) o “de forma defendible” haber sufrido, por parte de la policía u otros servicios del Estado, tratos contrarios al art. 3 del Convenio para la protección de los derechos humanos y de las libertades fundamentales, esta disposición, … requiere, por implicación, que se realice una investigación oficial eficaz” (STEDH de 1 de octubre de 2009, </w:t>
      </w:r>
      <w:r w:rsidRPr="0026452D">
        <w:rPr>
          <w:i/>
        </w:rPr>
        <w:t>Stanchev c. Bulgaria</w:t>
      </w:r>
      <w:r>
        <w:t xml:space="preserve">, § 67; STEDH de 28 de septiembre de 2010, </w:t>
      </w:r>
      <w:r w:rsidRPr="0026452D">
        <w:rPr>
          <w:i/>
        </w:rPr>
        <w:t>San Argimiro Isasa c. España</w:t>
      </w:r>
      <w:r>
        <w:t xml:space="preserve">, § 34; y STEDH de 16 de octubre de 2012, </w:t>
      </w:r>
      <w:r w:rsidRPr="0026452D">
        <w:rPr>
          <w:i/>
        </w:rPr>
        <w:t>Otamendi Egiguren c. España</w:t>
      </w:r>
      <w:r>
        <w:t xml:space="preserve"> § 38 ). Así, se ha considerado que es “defendible” o “creíble” que las denuncias de torturas o malos tratos alegados podrían haber sido causados por la policía u otros servicios del Estado cuando los demandantes presentan fotografías de las heridas sufridas y certificados médicos como prueba (STEDH de 10 de abril de 2008, </w:t>
      </w:r>
      <w:r w:rsidRPr="0026452D">
        <w:rPr>
          <w:i/>
        </w:rPr>
        <w:t>Dzeladinov y otros c. Macedonia</w:t>
      </w:r>
      <w:r>
        <w:t xml:space="preserve">, § 72); cuando consta que el demandante se ha quejado de haber sufrido malos tratos en todos los informes del médico forense y en los mismos se recoge una erosión de 1,5 centímetros en el lado derecho de la cara del demandante, sin establecer su origen (STEDH de 8 de marzo de 2011, </w:t>
      </w:r>
      <w:r w:rsidRPr="0026452D">
        <w:rPr>
          <w:i/>
        </w:rPr>
        <w:t>Beristain Ukar c. España</w:t>
      </w:r>
      <w:r>
        <w:t xml:space="preserve">, § 30); cuando en los informes del médico forense se describen diferentes heridas y hematomas e incluso un intento de suicidio por parte de uno de los demandantes (STEDH de 2 de noviembre de 2004, </w:t>
      </w:r>
      <w:r w:rsidRPr="0026452D">
        <w:rPr>
          <w:i/>
        </w:rPr>
        <w:t>Martínez Sala y otros c. España</w:t>
      </w:r>
      <w:r>
        <w:t xml:space="preserve">, §§ 156 y 160); cuando los informes médicos realizados durante el período de detención señalan la presencia de varios hematomas y una costilla rota (STEDH de 28 de septiembre de 2010, </w:t>
      </w:r>
      <w:r w:rsidRPr="0026452D">
        <w:rPr>
          <w:i/>
        </w:rPr>
        <w:t>San Argimiro Isasa c. España</w:t>
      </w:r>
      <w:r>
        <w:t xml:space="preserve">, § 59); cuando según el correspondiente certificado médico el interesado presentaba un hematoma a nivel lumbar de tres a cuatro centímetros y los labios rotos y además, tuvo que permanecer bajo supervisión médica durante una semana antes de ser transferido nuevamente a la prisión (STEDH de 3 de abril de 2012, </w:t>
      </w:r>
      <w:r w:rsidRPr="0026452D">
        <w:rPr>
          <w:i/>
        </w:rPr>
        <w:t>Dimitar Dimitrov c. Bulgaria</w:t>
      </w:r>
      <w:r>
        <w:t xml:space="preserve">, § 45); cuando las acusaciones sobre malos tratos son apoyadas por informe médico que confirma la existencia de un edema postraumático en el rostro y fractura de cuello (STEDH de 20 de diciembre de 2011, </w:t>
      </w:r>
      <w:r w:rsidRPr="0026452D">
        <w:rPr>
          <w:i/>
        </w:rPr>
        <w:t>Pascari c. Moldavia</w:t>
      </w:r>
      <w:r>
        <w:t xml:space="preserve">, § 45); cuando en el certificado médico presentado por el interesado consta que tenía varias equimosis e inflamaciones superficiales en varias partes de su cuerpo (STEDH de 22 de julio de 2008, </w:t>
      </w:r>
      <w:r w:rsidRPr="0026452D">
        <w:rPr>
          <w:i/>
        </w:rPr>
        <w:t>Boyko Ivanov c. Bulgaria</w:t>
      </w:r>
      <w:r>
        <w:t xml:space="preserve">, § 38); o cuando el demandante, estando en situación de detención preventiva, se queja en dos ocasiones de los malos tratos sufridos al haberle esposado y cubierto la cabeza con una bolsa de plástico (STEDH de 16 de octubre de 2012, </w:t>
      </w:r>
      <w:r w:rsidRPr="0026452D">
        <w:rPr>
          <w:i/>
        </w:rPr>
        <w:t>Otamendi Egiguren c. España</w:t>
      </w:r>
      <w:r>
        <w:t xml:space="preserve"> § 39). En estas circunstancias, y una vez que los demandantes han aportado elementos suficientes de los que se deriva una sospecha razonable de que las torturas o malos tratos alegados pueden haber sido causados por agentes policiales, el Tribunal Europeo de Derechos Humanos considera que las autoridades están obligadas a llevar a cabo una investigación eficaz para encontrar alguna prueba que confirme o contradiga el relato de los hechos ofrecidos por los demandantes.</w:t>
      </w:r>
    </w:p>
    <w:p w:rsidR="0026452D" w:rsidRDefault="0026452D" w:rsidP="0026452D">
      <w:pPr>
        <w:pStyle w:val="TextoNormal"/>
      </w:pPr>
    </w:p>
    <w:p w:rsidR="0026452D" w:rsidRDefault="0026452D" w:rsidP="0026452D">
      <w:pPr>
        <w:pStyle w:val="TextoNormal"/>
      </w:pPr>
      <w:r>
        <w:t xml:space="preserve">De otra parte, el Tribunal Europeo de Derechos Humanos distingue entre la posible violación del art. 3 del Convenio europeo para la protección de los derechos humanos y las libertades fundamentales (“Nadie podrá ser sometido a tortura ni a penas o tratos inhumanos o degradantes”) en su parte sustancial y la posible violación de dicho precepto en su vertiente procesal. Para declararse una violación sustancial del art. 3 del Convenio europeo debe apreciarse, más allá de toda duda razonable, que el demandante fue sometido a malos tratos, alcanzando un mínimo de gravedad. En este sentido las acusaciones de malos tratos deben ser apoyadas “por elementos de prueba apropiados”, pudiendo dicha prueba resultar de una serie de indicios o presunciones no refutadas, suficientemente graves, precisas y concordantes (STEDH de 28 de septiembre de 2010, </w:t>
      </w:r>
      <w:r w:rsidRPr="0026452D">
        <w:rPr>
          <w:i/>
        </w:rPr>
        <w:t>San Argimiro Isasa c. España</w:t>
      </w:r>
      <w:r>
        <w:t>, § 58).</w:t>
      </w:r>
    </w:p>
    <w:p w:rsidR="0026452D" w:rsidRDefault="0026452D" w:rsidP="0026452D">
      <w:pPr>
        <w:pStyle w:val="TextoNormal"/>
      </w:pPr>
    </w:p>
    <w:p w:rsidR="0026452D" w:rsidRDefault="0026452D" w:rsidP="0026452D">
      <w:pPr>
        <w:pStyle w:val="TextoNormal"/>
      </w:pPr>
      <w:r>
        <w:t xml:space="preserve">El aspecto procesal del art. 3 cobra relevancia “cuando el Tribunal no puede llegar a ninguna conclusión sobre la cuestión de si hubo o no tratos prohibidos por el artículo 3 del Convenio debido, al menos en parte, al hecho de que las autoridades no reaccionaron de una forma efectiva a las quejas formuladas por los denunciantes” (STEDH de 17 de octubre de 2006, </w:t>
      </w:r>
      <w:r w:rsidRPr="0026452D">
        <w:rPr>
          <w:i/>
        </w:rPr>
        <w:t>Danelia c. Georgia</w:t>
      </w:r>
      <w:r>
        <w:t xml:space="preserve">, § 45). En efecto, en numerosas ocasiones el Tribunal Europeo de Derechos Humanos, debido a la ausencia de elementos probatorios suficientes, ha concluido no poder afirmar con certeza, de acuerdo con su propia jurisprudencia, que el demandante fue sometido, durante su arresto y su detención, a los malos tratos alegados. Ahora bien, cuando la imposibilidad de determinar más allá de toda duda razonable que el demandante fue sometido a malos tratos contrarios al art. 3 del Convenio europeo “se desprende en gran medida de la ausencia de una investigación profunda y efectiva por las autoridades nacionales tras la denuncia presentada por el demandante por malos tratos”, el Tribunal Europeo de Derechos Humanos declara violado el art. 3 del Convenio en su parte procesal (STEDH de 8 de marzo de 2011, </w:t>
      </w:r>
      <w:r w:rsidRPr="0026452D">
        <w:rPr>
          <w:i/>
        </w:rPr>
        <w:t>Beristain Ukar c. España</w:t>
      </w:r>
      <w:r>
        <w:t xml:space="preserve">, §§ 39, 41 y 42; STEDH de 28 de septiembre de 2010, </w:t>
      </w:r>
      <w:r w:rsidRPr="0026452D">
        <w:rPr>
          <w:i/>
        </w:rPr>
        <w:t>San Argimiro Isasa c. España</w:t>
      </w:r>
      <w:r>
        <w:t xml:space="preserve">, § 65; y STEDH de 2 de noviembre de 2004, </w:t>
      </w:r>
      <w:r w:rsidRPr="0026452D">
        <w:rPr>
          <w:i/>
        </w:rPr>
        <w:t>Martínez Sala y otros c. España</w:t>
      </w:r>
      <w:r>
        <w:t>, §§ 156 y 160).</w:t>
      </w:r>
    </w:p>
    <w:p w:rsidR="0026452D" w:rsidRDefault="0026452D" w:rsidP="0026452D">
      <w:pPr>
        <w:pStyle w:val="TextoNormal"/>
      </w:pPr>
    </w:p>
    <w:p w:rsidR="0026452D" w:rsidRDefault="0026452D" w:rsidP="0026452D">
      <w:pPr>
        <w:pStyle w:val="TextoNormal"/>
      </w:pPr>
      <w:r w:rsidRPr="0026452D">
        <w:rPr>
          <w:rStyle w:val="NumeroAFNegritaCaracter"/>
        </w:rPr>
        <w:t>3</w:t>
      </w:r>
      <w:r>
        <w:t>. También este Tribunal Constitucional ha tenido ocasión de pronunciarse en diversas ocasiones sobre las exigencias constitucionales derivadas de los arts. 24.1 y 15 CE en relación con decisiones judiciales de sobreseimiento de instrucciones penales incoadas por denuncia de torturas o tratos inhumanos o degradantes, como en las SSTC 224/2007, de 22 de enero; 34/2008, de 25 de febrero; 52/2008, de 14 de abril; 63/2008, de 26 de mayo; 69/2008, de 23 de junio; 107/2008, de 22 de septiembre; 123/2008, de 20 de octubre; 40/2010, de 19 de julio; 63/2010, de 18 de octubre; 131/2012, de 18 de junio; o, 182/2012, de 17 de octubre.</w:t>
      </w:r>
    </w:p>
    <w:p w:rsidR="0026452D" w:rsidRDefault="0026452D" w:rsidP="0026452D">
      <w:pPr>
        <w:pStyle w:val="TextoNormal"/>
      </w:pPr>
    </w:p>
    <w:p w:rsidR="0026452D" w:rsidRDefault="0026452D" w:rsidP="0026452D">
      <w:pPr>
        <w:pStyle w:val="TextoNormal"/>
      </w:pPr>
      <w:r>
        <w:t>Nuestra jurisprudencia, coincidente con la del Tribunal Europeo de Derechos Humanos, puede sintetizarse en que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(entre otras, las SSTC 34/2008, de 25 de febrero, FJ 6; 52/2008, de 14 de abril, FJ 2, y 63/2010, de 18 de octubre, FJ 2). De este modo, es preciso valorar por separado dos exigencias:</w:t>
      </w:r>
    </w:p>
    <w:p w:rsidR="0026452D" w:rsidRDefault="0026452D" w:rsidP="0026452D">
      <w:pPr>
        <w:pStyle w:val="TextoNormal"/>
      </w:pPr>
    </w:p>
    <w:p w:rsidR="0026452D" w:rsidRDefault="0026452D" w:rsidP="0026452D">
      <w:pPr>
        <w:pStyle w:val="TextoNormal"/>
      </w:pPr>
      <w:r>
        <w:t xml:space="preserve">a) En primer lugar, que existan sospechas razonables de que se ha podido cometer el delito de torturas o de tratos inhumanos o degradantes denunciado. Para evaluar “si existe </w:t>
      </w:r>
      <w:r>
        <w:lastRenderedPageBreak/>
        <w:t xml:space="preserve">una sospecha razonable de tortura y si tal sospecha es disipable, lo que convertiría en inconstitucional </w:t>
      </w:r>
      <w:r w:rsidRPr="0026452D">
        <w:rPr>
          <w:i/>
        </w:rPr>
        <w:t>ex</w:t>
      </w:r>
      <w:r>
        <w:t xml:space="preserve"> art. 24.1 CE el cierre de la investigación, deben tomarse en consideración las circunstancias concretas de cada caso, siendo preciso atender, en primer lugar, a la probable escasez de pruebas existente en este tipo de delitos, lo que debe alentar, por un lado, la diligencia del instructor para la práctica efectiva de las medidas posibles de investigación y, por otro, ante la dificultad de la víctima de aportar medios de prueba sobre su comisión, hacer aplicable el principio de prueba como razón suficiente para que se inicie la actividad judicial de instrucción” (SSTC 107/2008, de 22 de septiembre, FJ 2; 123/2008, de 20 de octubre, FJ 2; y 40/2010, de 19 de julio, FJ 2).</w:t>
      </w:r>
    </w:p>
    <w:p w:rsidR="0026452D" w:rsidRDefault="0026452D" w:rsidP="0026452D">
      <w:pPr>
        <w:pStyle w:val="TextoNormal"/>
      </w:pPr>
    </w:p>
    <w:p w:rsidR="0026452D" w:rsidRDefault="0026452D" w:rsidP="0026452D">
      <w:pPr>
        <w:pStyle w:val="TextoNormal"/>
      </w:pPr>
      <w:r>
        <w:t>Obviamente, resulta más accesible la aportación de indicios reveladores de la comisión del delito denunciado cuando lo que se impute sean hechos que impliquen un menoscabo de la integridad corporal, esto es, cuando se trate de torturas o malos tratos de carácter físico. Así, hemos considerado que existían sospechas razonables acerca de la causación de las torturas denunciadas en supuestos tales como cuando el detenido había sido trasladado en dos ocasiones al hospital, en los partes médicos correspondientes se consignaban ciertos dolores y contusiones y, en su primera visita al hospital en la misma noche de su detención y antes de recibir asistencia letrada, manifestó al médico que le atendía que había sido golpeado (STC 34/2008, de 25 de febrero, FJ 8); o cuando el detenido había sido trasladado a un hospital al inicio de su detención por sufrir “un malestar y mareo generalizado”, constatándose en el reconocimiento un “eritema leve en zona superior derecha de la espalda” y una “taquicardia de 96 por minuto”, concluyéndose con un juicio clínico de “mareo en situación de ansiedad” (STC 52/2008, de 14 de abril, FJ 3); o cuando el detenido presentaba un hematoma laminar en ojo derecho que afectaba canto externo y párpado inferior (STC 69/2008, de 23 de junio, FJ 3); o cuando el facultativo hizo constar en informe emitido al día siguiente de abandonar el recurrente el módulo de aislamiento la existencia de múltiples hematomas y lesiones superficiales (STC 40/2010, de 19 de julio, FJ 3).</w:t>
      </w:r>
    </w:p>
    <w:p w:rsidR="0026452D" w:rsidRDefault="0026452D" w:rsidP="0026452D">
      <w:pPr>
        <w:pStyle w:val="TextoNormal"/>
      </w:pPr>
    </w:p>
    <w:p w:rsidR="0026452D" w:rsidRDefault="0026452D" w:rsidP="0026452D">
      <w:pPr>
        <w:pStyle w:val="TextoNormal"/>
      </w:pPr>
      <w:r>
        <w:t>Mayores dificultades ofrecen aquellos casos en que lo denunciado son actos intimidatorios o de tortura psicológica, en los que, no obstante, es también relevante la apreciación de los facultativos que hayan reconocido al detenido. Así lo hemos entendido en supuestos tales como cuando constaba en los informes médicos que el detenido estaba nervioso y angustiado, con tics nerviosos y temblor en pierna derecha y relató a la médico forense los malos tratos que afirmaba haber padecido durante su detención (STC 69/2008, de 23 de junio, FJ 3); o cuando el detenido se causó autolesiones no disimuladas con el fin de poner término a los interrogatorios y malos tratos a los que afirmó que estaba siendo sometido en las dependencias policiales y en los informes médicos se recogieron las constantes protestas del detenido por las abundantes amenazas que dijo recibidas y por la referencia a una bolsa de plástico que concordaba con la que luego describiría con detalle en su denuncia de malos tratos (STC 107/2008, de 22 de septiembre, FJ 3); o cuando la detenida presentó un leve mareo y cierta ansiedad e informó al médico forense de que le habían pegado en la cabeza (STC 63/2010, de 18 de octubre, FJ 3); o cuando el detenido refirió al forense “dolor en el hombro derecho por haber sido mantenido esposado durante mucho tiempo y molestias en la espalda por la postura” y el forense apreció “marcada ansiedad y labilidad emocional con tendencia al llanto” (STC 131/2012, de 18 de junio, FJ 4).</w:t>
      </w:r>
    </w:p>
    <w:p w:rsidR="0026452D" w:rsidRDefault="0026452D" w:rsidP="0026452D">
      <w:pPr>
        <w:pStyle w:val="TextoNormal"/>
      </w:pPr>
    </w:p>
    <w:p w:rsidR="0026452D" w:rsidRDefault="0026452D" w:rsidP="0026452D">
      <w:pPr>
        <w:pStyle w:val="TextoNormal"/>
      </w:pPr>
      <w:r>
        <w:t xml:space="preserve">Indudablemente, corresponde al órgano judicial examinar en cada caso los elementos que permitan apreciar la concurrencia de este primer presupuesto consistente en la sospecha </w:t>
      </w:r>
      <w:r>
        <w:lastRenderedPageBreak/>
        <w:t xml:space="preserve">razonable de que se ha podido cometer el delito de torturas o de tratos inhumanos o degradantes denunciado. Sin duda alguna, como afirmamos en la STC 123/2008, de 20 de octubre, FJ 3, “constituyen indicios que obligan al juez a perseverar en la investigación todos aquellos datos reflejados en partes médicos emitidos durante el periodo de detención que puedan avalar la sospecha de la existencia de maltrato físico o psíquico. Pero no puede afirmarse sin más que la inexistencia de los mismos (o su debilidad para sustentar la condena) excluya la necesidad de investigar, pues puede existir otro tipo de datos que —desde la perspectiva del deber de profundizar en la investigación— genere un panorama sospechoso potencialmente conectado con la existencia de torturas o malos tratos, incluso aunque los mismos fueran claramente insuficientes para sustentar una condena penal por delito de torturas o malos tratos (por ejemplo, la existencia de irregularidades o la quiebra de ciertas garantías del detenido, como son las visitas y los informes del médico forense, orientadas a preservar su derecho a la integridad física y moral), pues de lo que se trata en este momento es de precisar la obligación del Juez de investigar en estos casos”. En el mismo sentido, el Tribunal Europeo de Derechos Humanos tiene señalado “un examen médico, junto con el derecho de acceso a la asistencia letrada y el derecho a informar a un tercero de la detención, constituyen salvaguardas fundamentales ante el maltrato de las personas detenidas que pueden ser aplicadas desde el primer momento de la privación de libertad” (en SSTEDH de 18 de septiembre de 2008, </w:t>
      </w:r>
      <w:r w:rsidRPr="0026452D">
        <w:rPr>
          <w:i/>
        </w:rPr>
        <w:t>Türkan c. Turquía</w:t>
      </w:r>
      <w:r>
        <w:t xml:space="preserve">, § 42; y de 13 de julio de 2010, </w:t>
      </w:r>
      <w:r w:rsidRPr="0026452D">
        <w:rPr>
          <w:i/>
        </w:rPr>
        <w:t>Parnov c. Moldavia</w:t>
      </w:r>
      <w:r>
        <w:t xml:space="preserve">, § 30), añadiendo que “el pronto examen forense era crucial debido a que los signos de lesión podrían desaparecer en poco tiempo” (STEDH de 17 abril 2012, </w:t>
      </w:r>
      <w:r w:rsidRPr="0026452D">
        <w:rPr>
          <w:i/>
        </w:rPr>
        <w:t>Rizvanov c. Azerbaijan</w:t>
      </w:r>
      <w:r>
        <w:t>, § 47).</w:t>
      </w:r>
    </w:p>
    <w:p w:rsidR="0026452D" w:rsidRDefault="0026452D" w:rsidP="0026452D">
      <w:pPr>
        <w:pStyle w:val="TextoNormal"/>
      </w:pPr>
    </w:p>
    <w:p w:rsidR="0026452D" w:rsidRDefault="0026452D" w:rsidP="0026452D">
      <w:pPr>
        <w:pStyle w:val="TextoNormal"/>
      </w:pPr>
      <w:r>
        <w:t>También en estos supuestos resultan de indudable interés las manifestaciones que el detenido pudiera haber realizado tan pronto como pasó a disposición judicial, como el caso que dio lugar a la STC 52/2008, de 14 de abril, FJ 3, en el que valoramos que el demandante “en el momento de ser puesto a disposición judicial expuso al Magistrado-Juez titular del Juzgado Central de Instrucción núm. 2 que había sido objeto de malos tratos durante el periodo de detención”. Y, en su caso, también puede resultar relevante la actuación o las manifestaciones que pudiera realizar el Abogado que asistió al detenido en las dependencias policiales.</w:t>
      </w:r>
    </w:p>
    <w:p w:rsidR="0026452D" w:rsidRDefault="0026452D" w:rsidP="0026452D">
      <w:pPr>
        <w:pStyle w:val="TextoNormal"/>
      </w:pPr>
    </w:p>
    <w:p w:rsidR="0026452D" w:rsidRDefault="0026452D" w:rsidP="0026452D">
      <w:pPr>
        <w:pStyle w:val="TextoNormal"/>
      </w:pPr>
      <w:r>
        <w:t>En última instancia es preciso siempre atender a las concretas circunstancias del caso, sin que sean apropiadas posiciones apriorísticas, pues para llegar a su conclusión el órgano judicial debe observar algunas cautelas que se derivan de la posible peculiar situación psicológica del denunciante y de la cualificación oficial de los denunciados, sin descartar que la intimidación puede prolongarse aun después de concluida la detención policial (SSTC 7/2004, de 9 de febrero, FJ 8; y 34/2008, de 25 de febrero, FJ 7).</w:t>
      </w:r>
    </w:p>
    <w:p w:rsidR="0026452D" w:rsidRDefault="0026452D" w:rsidP="0026452D">
      <w:pPr>
        <w:pStyle w:val="TextoNormal"/>
      </w:pPr>
    </w:p>
    <w:p w:rsidR="0026452D" w:rsidRDefault="0026452D" w:rsidP="0026452D">
      <w:pPr>
        <w:pStyle w:val="TextoNormal"/>
      </w:pPr>
      <w:r>
        <w:t>Ahora bien, del mismo modo, deberá el Juez tener presente la posibilidad de que la presentación de la denuncia forme parte de una estrategia destinada a abrir o mantener abierto el mayor tiempo posible el proceso penal, para erosionar el crédito de las instituciones democráticas o para obtener la identidad de los agentes intervinientes en la lucha antiterrorista, poniendo en peligro su vida o la continuidad de su labor.</w:t>
      </w:r>
    </w:p>
    <w:p w:rsidR="0026452D" w:rsidRDefault="0026452D" w:rsidP="0026452D">
      <w:pPr>
        <w:pStyle w:val="TextoNormal"/>
      </w:pPr>
    </w:p>
    <w:p w:rsidR="0026452D" w:rsidRDefault="0026452D" w:rsidP="0026452D">
      <w:pPr>
        <w:pStyle w:val="TextoNormal"/>
      </w:pPr>
      <w:r>
        <w:t xml:space="preserve">b) El segundo presupuesto que ha de concurrir consiste en que las sospechas de comisión de torturas se revelen como susceptibles de ser despejadas mediante una investigación eficaz. En este sentido hemos afirmado que “respecto a la investigación de indicios de tortura </w:t>
      </w:r>
      <w:r>
        <w:lastRenderedPageBreak/>
        <w:t>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(por todas, SSTC 224/2007, de 22 de octubre, FJ 3; 34/2008, de 25 de febrero, FJ 6; 52/2008, de 14 de abril, FJ 2; 107/2008, de 22 de septiembre, FJ 2; y 63/2010, de 18 de octubre, FJ 2).</w:t>
      </w:r>
    </w:p>
    <w:p w:rsidR="0026452D" w:rsidRDefault="0026452D" w:rsidP="0026452D">
      <w:pPr>
        <w:pStyle w:val="TextoNormal"/>
      </w:pPr>
    </w:p>
    <w:p w:rsidR="0026452D" w:rsidRDefault="0026452D" w:rsidP="0026452D">
      <w:pPr>
        <w:pStyle w:val="TextoNormal"/>
      </w:pPr>
      <w:r>
        <w:t xml:space="preserve">Con todo, “no se trata de que se practiquen todas y cada una de las diligencias solicitadas o imaginables, pero sí de que en un contexto aún de incertidumbre acerca de lo acaecido se practiquen aquellas que </w:t>
      </w:r>
      <w:r w:rsidRPr="0026452D">
        <w:rPr>
          <w:i/>
        </w:rPr>
        <w:t>a priori</w:t>
      </w:r>
      <w:r>
        <w:t xml:space="preserve"> se revelen susceptibles de despejar tales dudas fácticas. Si hay sospechas razonables de maltrato y modo aún de despejarlas no puede considerarse investigación oficial eficaz la que proceda al archivo de las actuaciones” (STC 34/2008, de 25 de febrero, FJ 8). De este modo, “la tutela judicial será así suficiente y efectiva </w:t>
      </w:r>
      <w:r w:rsidRPr="0026452D">
        <w:rPr>
          <w:i/>
        </w:rPr>
        <w:t>ex</w:t>
      </w:r>
      <w:r>
        <w:t xml:space="preserve"> art. 24.1 CE si se ha producido una investigación oficial eficaz allí donde se revelaba necesaria. Esta exigencia no comporta la apertura de la instrucción en todo caso, ni impide la clausura temprana de la misma. Tampoco impone la realización de todas las diligencias de investigación posibles o propuestas. Tales obligaciones conducirían a instrucciones inútiles en perjuicio de los intereses de los imputados y de una racional gestión de los recursos de la Administración de Justicia” (SSTC 34/2008, de 25 de febrero, FJ 6; 123/2008, de 20 de octubre FJ 2; 63/2010, de 18 de octubre, FJ 2 y 131/2012, de 18 de junio, FJ 2). Resulta así posible no proseguir con nuevas diligencias de investigación en aquellos casos en que o bien no persistan sospechas razonables sobre los hechos denunciados o bien incluso persistiendo ya se han agotado los medios razonables y eficaces de investigación. El canon de investigación suficiente se refiere así tanto a la inexistencia de sospechas razonables, como a la utilidad de continuar con la instrucción (SSTC 34/2008, de 25 de febrero, FJ 8; 52/2008, de 14 de abril, FJ 5 y 63/2008, de 26 de mayo, FJ 4).</w:t>
      </w:r>
    </w:p>
    <w:p w:rsidR="0026452D" w:rsidRDefault="0026452D" w:rsidP="0026452D">
      <w:pPr>
        <w:pStyle w:val="TextoNormal"/>
      </w:pPr>
    </w:p>
    <w:p w:rsidR="0026452D" w:rsidRDefault="0026452D" w:rsidP="0026452D">
      <w:pPr>
        <w:pStyle w:val="TextoNormal"/>
      </w:pPr>
      <w:r>
        <w:t>Pues bien, tampoco aquí son posibles soluciones apriorísticas, ya que la suficiencia y efectividad de la tutela judicial sólo pueden evaluarse con las circunstancias concretas de la denuncia y de lo denunciado, y desde la gravedad de lo denunciado y su previa opacidad, rasgos ambos que afectan al grado de esfuerzo judicial exigido por el art. 24.1 CE (STC 34/2008, de 25 de febrero, FJ 4).</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En el presente caso, y como se expuso con detalle en los antecedentes de esta resolución, no estamos ante una denuncia de torturas o malos tratos de carácter físico sino ante la afirmación de haber recibido amenazas con la finalidad de que prestara declaración con un contenido que no llega a concretarse. Para poder afirmar que existen sospechas razonables de la veracidad de lo denunciado que obliguen a perseverar en la indagación (y que, por tanto, desde la limitada perspectiva de nuestro enjuiciamiento, la clausura de la investigación en tales circunstancias sea contraria a las exigencias de tutela reforzada dimanantes del art. 24.1 CE en relación con el art. 15 CE) es necesario algo más que la gravedad y la no inverosimilitud de lo relatado en la denuncia. El denunciante ha de aportar algún indicio (o proponer la práctica de diligencias probatorias idóneas para obtenerlo) que, más allá de sus </w:t>
      </w:r>
      <w:r>
        <w:lastRenderedPageBreak/>
        <w:t>afirmaciones en la denuncia, sea potencialmente indicativo de la veracidad de lo denunciado.</w:t>
      </w:r>
    </w:p>
    <w:p w:rsidR="0026452D" w:rsidRDefault="0026452D" w:rsidP="0026452D">
      <w:pPr>
        <w:pStyle w:val="TextoNormal"/>
      </w:pPr>
    </w:p>
    <w:p w:rsidR="0026452D" w:rsidRDefault="0026452D" w:rsidP="0026452D">
      <w:pPr>
        <w:pStyle w:val="TextoNormal"/>
      </w:pPr>
      <w:r>
        <w:t>Pues bien, en el presente caso deben tenerse en cuenta las siguientes circunstancias. En primer lugar, en los informes médicos no se reflejan indicios de maltrato físico ni psíquico. La actividad supervisora del médico forense se prolongó durante todo el tiempo de la detención, practicándose cuatro reconocimientos, uno, en la comisaría de Bilbao y los tres siguientes en Madrid. En el primero de ellos consta lo siguiente: “Exploración. Psíquica: Consciente, orientado, abordable y poco colaborador. Coherente no evidenciando alteraciones en el curso ni en el contenido del pensamiento ni en la sensopercepción. No déficit intelectual manifiesto por estimación clínica. Estado afectivo contenido. Ansiedad no referida, sin apreciarse clínicamente durante la exploración. No se aprecian signos ni síntomas de ansiedad grave ni de enfermedad psiquiátrica … Física: Varón adulto, normo-conformado, adecuado desarrollo y ausencia de anomalías músculo-esqueléticas, bien nutrido e hidratado, de 1,83 cm de estatura ... Cuando se le pregunta sobre el trato recibido desde su detención hasta este acto, vuelve a manifestar que ‘prefiere no decirlo’. Prefiere no quitarse la ropa con lo que no se puede llevar a cabo una inspección de la superficie corporal, únicamente se aprecia marcas de presión en las muñecas causadas por las esposas retiradas para este reconocimiento.”</w:t>
      </w:r>
    </w:p>
    <w:p w:rsidR="0026452D" w:rsidRDefault="0026452D" w:rsidP="0026452D">
      <w:pPr>
        <w:pStyle w:val="TextoNormal"/>
      </w:pPr>
    </w:p>
    <w:p w:rsidR="0026452D" w:rsidRDefault="0026452D" w:rsidP="0026452D">
      <w:pPr>
        <w:pStyle w:val="TextoNormal"/>
      </w:pPr>
      <w:r>
        <w:t>En el segundo reconocimiento, que se realiza ya en Madrid el 24 de noviembre de 2009, se hace constar: “Refiere que se encuentra bien, que ha sido detenido a las 12,30 de hoy en su domicilio sin violencia. ... En relación al trato recibido, no contesta ... Preguntado, si quiere ser reconocido, contesta que no. Se observa normocoloreado, con leves marcas eritematosas impresas en ambas muñecas, por colocación de esposas en conducción. Está consciente, orientado. Lenguaje y discurso coherentes, porte tranquilo.”</w:t>
      </w:r>
    </w:p>
    <w:p w:rsidR="0026452D" w:rsidRDefault="0026452D" w:rsidP="0026452D">
      <w:pPr>
        <w:pStyle w:val="TextoNormal"/>
      </w:pPr>
    </w:p>
    <w:p w:rsidR="0026452D" w:rsidRDefault="0026452D" w:rsidP="0026452D">
      <w:pPr>
        <w:pStyle w:val="TextoNormal"/>
      </w:pPr>
      <w:r>
        <w:t>En el tercer reconocimiento médico, que se hace el 25 de noviembre de 2009, se consigna lo siguiente: “Refiere que se encuentra bien ... Que no ha sufrido maltrato. Ha declarado con Abogado de oficio ayer y hoy. Preguntado, si quiere ser reconocido, manifiesta que no. Se observa normocoloreado. Está consciente, orientado. Lenguaje y discurso coherentes, porte tranquilo.”</w:t>
      </w:r>
    </w:p>
    <w:p w:rsidR="0026452D" w:rsidRDefault="0026452D" w:rsidP="0026452D">
      <w:pPr>
        <w:pStyle w:val="TextoNormal"/>
      </w:pPr>
    </w:p>
    <w:p w:rsidR="0026452D" w:rsidRDefault="0026452D" w:rsidP="0026452D">
      <w:pPr>
        <w:pStyle w:val="TextoNormal"/>
      </w:pPr>
      <w:r>
        <w:t>Y, por último, en el reconocimiento médico que se efectúa el 26 de noviembre de 2009 consta: “Que en cumplimiento de lo solicitado ha reconocido ayer por la noche en dependencias policiales a Aritz Petralanda Mugarra de 25 años de edad. No refiere antecedentes médicos de interés. No hábitos tóxicos. Dice haber sido detenido en su casa sin violencia. En cuanto al trato recibido durante el período de detención dice haber sido bueno. Ha dormido y ha ingerido alimentos y líquidos. Se muestra colaborador, bien orientado en tiempo y espacio, bien nutrido e hidratado. La exploración física es normal.”</w:t>
      </w:r>
    </w:p>
    <w:p w:rsidR="0026452D" w:rsidRDefault="0026452D" w:rsidP="0026452D">
      <w:pPr>
        <w:pStyle w:val="TextoNormal"/>
      </w:pPr>
    </w:p>
    <w:p w:rsidR="0026452D" w:rsidRDefault="0026452D" w:rsidP="0026452D">
      <w:pPr>
        <w:pStyle w:val="TextoNormal"/>
      </w:pPr>
      <w:r>
        <w:t xml:space="preserve">Como puede comprobarse, de la lectura de los informes médicos que obran en las actuaciones no se deduce indicio alguno del que pueda inferirse que el detenido estaba siendo sometido a malos tratos físicos o psíquicos, puesto que, ni reflejan la existencia de lesiones físicas, ni siquiera alguna alteración psíquica o fisiológica en el denunciante compatible con los hechos que se denuncian. En ninguno de los informes consta que el detenido informase al médico forense de los malos tratos a los que después dirá que estaba siendo sometido; por el contrario, en el tercero de ellos consta que el recurrente refiere “que no ha sufrido </w:t>
      </w:r>
      <w:r>
        <w:lastRenderedPageBreak/>
        <w:t>maltrato”, y en el último informe emitido se expresa que “en cuanto al trato recibido durante el período de detención dice haber sido bueno”.</w:t>
      </w:r>
    </w:p>
    <w:p w:rsidR="0026452D" w:rsidRDefault="0026452D" w:rsidP="0026452D">
      <w:pPr>
        <w:pStyle w:val="TextoNormal"/>
      </w:pPr>
    </w:p>
    <w:p w:rsidR="0026452D" w:rsidRDefault="0026452D" w:rsidP="0026452D">
      <w:pPr>
        <w:pStyle w:val="TextoNormal"/>
      </w:pPr>
      <w:r>
        <w:t>En este punto no puede dejar de resaltarse la impecable práctica —no usual en los países signatarios del Convenio europeo para la protección de los derechos humanos y las libertades fundamentales— que supone el que durante la detención policial intervengan facultativos médicos integrados en la Administración de Justicia, bajo la exclusiva dependencia de la autoridad judicial y, por tanto, ajenos a la autoridad gubernativa responsable de la detención.</w:t>
      </w:r>
    </w:p>
    <w:p w:rsidR="0026452D" w:rsidRDefault="0026452D" w:rsidP="0026452D">
      <w:pPr>
        <w:pStyle w:val="TextoNormal"/>
      </w:pPr>
    </w:p>
    <w:p w:rsidR="0026452D" w:rsidRDefault="0026452D" w:rsidP="0026452D">
      <w:pPr>
        <w:pStyle w:val="TextoNormal"/>
      </w:pPr>
      <w:r>
        <w:t xml:space="preserve">Por otra parte, el detenido tampoco alegó maltrato alguno cuando pasó a disposición judicial, ni el Abogado de oficio que le asistía denunció irregularidad alguna al respecto. En efecto, en su declaración judicial el detenido se abstuvo de contestar a la pregunta formulada acerca del trato policial recibido, pese a que había cesado ya la posibilidad de volver a quedar bajo la custodia policial; y, por lo demás, tampoco ha ofrecido posteriormente explicación alguna acerca de las razones por las que obró de ese modo. Ciertamente, una de las diligencias que el demandante propuso al órgano judicial fue su propia declaración; en este sentido, hemos afirmado en ocasiones precedentes que la declaración del denunciante es un instrumento idóneo para el esclarecimiento de los delitos a que nos venimos refiriendo, pero es obvio que no se trata de una idoneidad intrínseca sino modulada por las circunstancias del caso. De este modo, cuando el órgano judicial reciba un parte médico en el que se consignen indicios de maltrato a una persona privada de libertad o una </w:t>
      </w:r>
      <w:r w:rsidRPr="0026452D">
        <w:rPr>
          <w:i/>
        </w:rPr>
        <w:t>noticia criminis</w:t>
      </w:r>
      <w:r>
        <w:t xml:space="preserve"> formulada por terceras personas, sean o no el Abogado del detenido, es obvio que la toma de declaración de dicho detenido se configura como una diligencia de investigación esencial; por el contrario, la toma de declaración presenta un interés inferior como medio de investigación para el esclarecimiento de los hechos cuando la versión del denunciante aparece reflejada con detalle en su escrito de denuncia.</w:t>
      </w:r>
    </w:p>
    <w:p w:rsidR="0026452D" w:rsidRDefault="0026452D" w:rsidP="0026452D">
      <w:pPr>
        <w:pStyle w:val="TextoNormal"/>
      </w:pPr>
    </w:p>
    <w:p w:rsidR="0026452D" w:rsidRDefault="0026452D" w:rsidP="0026452D">
      <w:pPr>
        <w:pStyle w:val="TextoNormal"/>
      </w:pPr>
      <w:r>
        <w:t>En relación con el tiempo transcurrido entre la detención y la denuncia de los hechos, aunque hemos afirmado que “el que el recurrente presentara su denuncia varios meses después de haberse supuestamente producido los hechos y sin que previamente hubiera dicho nada sobre ellos en su primera comparecencia judicial no es tampoco razón determinante para negar toda credibilidad a la denuncia” (STC 107/2008, de 22 de septiembre, FJ 3), ello no equivale a que sea un dato irrelevante o que no deba ser tomado en consideración a la hora de evaluar las concretas circunstancias de cada caso en relación con el resultado de las restantes pruebas practicadas. En este sentido, debe valorarse si el recurrente ha aportado alguna explicación que justifique el retraso en la denuncia de los hechos o si dicha explicación se deriva de las circunstancias concurrentes. De nuevo, ninguna justificación es aportada en el recurso de amparo; y de las circunstancias concurrentes tampoco se deduce cuál sea la razón de la demora.</w:t>
      </w:r>
    </w:p>
    <w:p w:rsidR="0026452D" w:rsidRDefault="0026452D" w:rsidP="0026452D">
      <w:pPr>
        <w:pStyle w:val="TextoNormal"/>
      </w:pPr>
    </w:p>
    <w:p w:rsidR="0026452D" w:rsidRDefault="0026452D" w:rsidP="0026452D">
      <w:pPr>
        <w:pStyle w:val="TextoNormal"/>
      </w:pPr>
      <w:r>
        <w:t xml:space="preserve">En definitiva, el recurrente en amparo no aporta ningún indicio potencialmente indicativo de la veracidad de lo denunciado ni razona adecuadamente qué dato, susceptible de ser calificado de indicio, existe, pero no se encuentra a su alcance la aportación del mismo. Como hemos indicado, las acusaciones de malos tratos, en palabras del Tribunal Europeo de Derechos Humanos, deben ser “defendibles”, es decir, deben tener su fundamento en alguna prueba o indicio presentado por el demandante. Como señala la STEDH de 26 de mayo de 2009, </w:t>
      </w:r>
      <w:r w:rsidRPr="0026452D">
        <w:rPr>
          <w:i/>
        </w:rPr>
        <w:t>Naíf Demirci c. Turquía</w:t>
      </w:r>
      <w:r>
        <w:t xml:space="preserve">,§ 23, en un supuesto en el que el Tribunal constata que los </w:t>
      </w:r>
      <w:r>
        <w:lastRenderedPageBreak/>
        <w:t xml:space="preserve">informes médicos no mencionan ninguna marca de malos tratos en el cuerpo del demandante, en el que éste no informó a los médicos de los maltratos sufridos y no presentó ninguna prueba o indicio de prueba en apoyo de sus alegaciones de malos tratos, “en estas circunstancias, no se puede reprochar a las autoridades judiciales haber incumplido el deber de llevar a cabo una investigación efectiva, puesto que solo debían cumplir esta obligación si las acusaciones del demandante hubieran podido considerarse ‘defendibles’, que no era el caso” (en el mismo sentido, STEDH de 20 de septiembre de 2005, </w:t>
      </w:r>
      <w:r w:rsidRPr="0026452D">
        <w:rPr>
          <w:i/>
        </w:rPr>
        <w:t>Frik c. Turquía</w:t>
      </w:r>
      <w:r>
        <w:t>, § 36).</w:t>
      </w:r>
    </w:p>
    <w:p w:rsidR="0026452D" w:rsidRDefault="0026452D" w:rsidP="0026452D">
      <w:pPr>
        <w:pStyle w:val="TextoNormal"/>
      </w:pPr>
    </w:p>
    <w:p w:rsidR="0026452D" w:rsidRDefault="0026452D" w:rsidP="0026452D">
      <w:pPr>
        <w:pStyle w:val="TextoNormal"/>
      </w:pPr>
      <w:r>
        <w:t>Consiguientemente, a diferencia de lo que sucedía en los supuestos que dieron lugar a las SSTC 224/2007, de 22 de octubre; 34/2008, de 25 de febrero; 52/2008, de 14 de abril; 69/2008, de 23 de junio; 107 /2008, de 22 de septiembre; 40/2010, de 19 de julio; 63/2010, de 28 de octubre; y 131/2012, de 18 de junio, en todas las cuales hemos otorgado el amparo por entender que existían sospechas razonables acerca de la posible comisión de los hechos denunciados —sobre la base de datos objetivos que generaban un panorama indiciario potencialmente conectado con la existencia de torturas o malos tratos— por el contrario, en el presente caso, y al igual que sucedió en las SSTC 123/2008, de 20 de octubre y 182/2012, de 17 de octubre, dicha premisa no concurre, de modo que el rechazo de la práctica de alguna de las diligencias solicitadas en el escrito de denuncia no resulta contrario a las exigencias de tutela reforzada, pues, como hemos afirmado en la mencionada STC 123/2008, de 20 de octubre, “si —como sucede en el presente caso— no concurre el presupuesto del deber de profundizar en la investigación, esto es, la existencia de sospechas razonables susceptibles de ser despejadas, no resulta constitucionalmente exigible el desarrollo de mayor actividad instructora y el derecho a la tutela judicial efectiva, en relación con el art. 15 CE, no resulta vulnerado por la decisión de clausurar la investigación” (FJ 3); todo lo cual nos aboca a denegar el amparo impetrado.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Denegar el amparo solicitado por don Aritz Petralanda Mugarra.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veintiocho de enero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Pablo Pérez Tremps a la Sentencia dictada en el recurso de amparo núm. 326-2011, al que se adhiere el Magistrado don Luis Ignacio Ortega Álvarez.</w:t>
      </w:r>
    </w:p>
    <w:p w:rsidR="0026452D" w:rsidRDefault="0026452D" w:rsidP="0026452D">
      <w:pPr>
        <w:pStyle w:val="TextoNormalNegritaCentrado"/>
        <w:keepNext/>
      </w:pPr>
    </w:p>
    <w:p w:rsidR="0026452D" w:rsidRDefault="0026452D" w:rsidP="0026452D">
      <w:pPr>
        <w:pStyle w:val="TextoNormal"/>
      </w:pPr>
      <w:r>
        <w:t>Con el máximo respeto a la posición mayoritaria de mis compañeros de la Sala debo manifestar mi discrepancia con parte de la fundamentación de la Sentencia, discrepancia que alcanza al fallo de la misma.</w:t>
      </w:r>
    </w:p>
    <w:p w:rsidR="0026452D" w:rsidRDefault="0026452D" w:rsidP="0026452D">
      <w:pPr>
        <w:pStyle w:val="TextoNormal"/>
      </w:pPr>
    </w:p>
    <w:p w:rsidR="0026452D" w:rsidRDefault="0026452D" w:rsidP="0026452D">
      <w:pPr>
        <w:pStyle w:val="TextoNormal"/>
      </w:pPr>
      <w:r>
        <w:lastRenderedPageBreak/>
        <w:t>1. La primera discrepancia que sostengo con la posición de la mayoría se refiere al enfoque mismo del control de constitucionalidad que debería haberse realizado, a la vista de la queja del recurrente.</w:t>
      </w:r>
    </w:p>
    <w:p w:rsidR="0026452D" w:rsidRDefault="0026452D" w:rsidP="0026452D">
      <w:pPr>
        <w:pStyle w:val="TextoNormal"/>
      </w:pPr>
    </w:p>
    <w:p w:rsidR="0026452D" w:rsidRDefault="0026452D" w:rsidP="0026452D">
      <w:pPr>
        <w:pStyle w:val="TextoNormal"/>
      </w:pPr>
      <w:r>
        <w:t>Tal como acertadamente se señala en la Sentencia, es doctrina constitucional reiterada, desde la STC 34/2008, de 25 de febrero, FJ 4, que el derecho fundamental concernido en los casos, como el presente, en el que la queja se refiere a una insuficiente investigación judicial de una denuncia de torturas, es el derecho a la tutela judicial efectiva (art. 24.1 CE), en relación con el derecho a la prohibición de la tortura y a las penas o tratos inhumanos y degradantes (art. 15 CE). De ese modo, y como se ha hecho en todas las ocasiones en que este Tribunal ha tenido que pronunciarse en casos semejantes, el control de constitucionalidad versó sobre el cumplimiento del canon reforzado de motivación por parte de las resoluciones judiciales impugnadas en amparo. El objeto de análisis era, pues, la argumentación desarrollada por los órganos judiciales para justificar el archivo de las diligencias de investigación. Así se realizó en las SSTC 34/2008, de 25 de febrero, FJ 8; 52/2008, de 14 de abril, FFJJ 4 y 5; 63/2008, de 26 de mayo, FFJJ 3 y 4; 69/2008, de 23 de junio, FFJJ 4 y 5; 107/2008, de 22 de septiembre, FFJJ 3 y 4; 123/2008, de 20 de octubre, FJ 3; 40/2010, de 19 de julio, FFJJ 3 y 4; 63/2010, de 18 de octubre; FJ 3; 131/2012, de 18 de junio, FFJJ 4 y 5; y 182/2012, de 17 de octubre, FFJJ 6 y 7.</w:t>
      </w:r>
    </w:p>
    <w:p w:rsidR="0026452D" w:rsidRDefault="0026452D" w:rsidP="0026452D">
      <w:pPr>
        <w:pStyle w:val="TextoNormal"/>
      </w:pPr>
    </w:p>
    <w:p w:rsidR="0026452D" w:rsidRDefault="0026452D" w:rsidP="0026452D">
      <w:pPr>
        <w:pStyle w:val="TextoNormal"/>
      </w:pPr>
      <w:r>
        <w:t>En el presente caso, sin embargo, no se encuentra ninguna referencia en la fundamentación jurídica de la posición de la mayoría a cuáles fueron los argumentos en virtud de los cuáles los órganos judiciales consideraron pertinente el archivo de las actuaciones y, evidentemente, tampoco se contiene un análisis de dicha argumentación para verificar si en las resoluciones enjuiciadas se ha dado el debido cumplimiento al canon reforzado de motivación que exigía el caso. En cambio, y en una labor más propia de los órganos judiciales que de esta jurisdicción de amparo, se desarrolla una extensa valoración autónoma de las únicas diligencias de investigación desarrolladas como eran los documentos relativos a los cuatro informes médicos emitidos durante la detención del recurrente, así como el contenido de su declaración ante el Juez de instrucción una vez que fue puesto a su disposición tras su detención.</w:t>
      </w:r>
    </w:p>
    <w:p w:rsidR="0026452D" w:rsidRDefault="0026452D" w:rsidP="0026452D">
      <w:pPr>
        <w:pStyle w:val="TextoNormal"/>
      </w:pPr>
    </w:p>
    <w:p w:rsidR="0026452D" w:rsidRDefault="0026452D" w:rsidP="0026452D">
      <w:pPr>
        <w:pStyle w:val="TextoNormal"/>
      </w:pPr>
      <w:r>
        <w:t>Desde luego, dentro del control de constitucionalidad que debe desarrollarse en este tipo de quejas, resulta necesario, para contrastar el cumplimiento del deber reforzado de motivación, acudir a aquellos documentos o diligencias de investigación en que eventualmente los órganos judiciales hayan justificado bien que no pervivían en el momento del cierre de la instrucción sospechas razonables acerca de la posible comisión de los hechos denunciados, bien que no existían todavía medios de investigación disponibles para tratar de despejar, en el sentido que fuera, tales sospechas. Pero debe insistirse en ello: el control de constitucionalidad que es propio del art. 24.1 CE tiene como objeto inmediato la argumentación desarrollada en las resoluciones judiciales impugnadas. Sólo mediatamente, y en la medida en que así se utilice como apoyo a dicha argumentación, podría entrarse a contrastar la valoración que en la fundamentación jurídica se hace de las diligencias de investigación desarrolladas.</w:t>
      </w:r>
    </w:p>
    <w:p w:rsidR="0026452D" w:rsidRDefault="0026452D" w:rsidP="0026452D">
      <w:pPr>
        <w:pStyle w:val="TextoNormal"/>
      </w:pPr>
    </w:p>
    <w:p w:rsidR="0026452D" w:rsidRDefault="0026452D" w:rsidP="0026452D">
      <w:pPr>
        <w:pStyle w:val="TextoNormal"/>
      </w:pPr>
      <w:r>
        <w:t xml:space="preserve">2. En relación con lo anterior, mi segunda discrepancia tiene que ver con el fallo denegatorio del amparo. Un correcto control de constitucionalidad en los términos expuestos sobre las resoluciones impugnadas, que hubiera atendido a la extensa jurisprudencia de este </w:t>
      </w:r>
      <w:r>
        <w:lastRenderedPageBreak/>
        <w:t>Tribunal y la del Tribunal Europeo de Derechos Humanos sobre el particular, hubiera determinado, tal como también ha sostenido el Ministerio Fiscal, el otorgamiento del amparo por vulneración del art. 24.1 CE, en relación con el art. 15 CE, con la consecuente anulación de las resoluciones impugnadas.</w:t>
      </w:r>
    </w:p>
    <w:p w:rsidR="0026452D" w:rsidRDefault="0026452D" w:rsidP="0026452D">
      <w:pPr>
        <w:pStyle w:val="TextoNormal"/>
      </w:pPr>
    </w:p>
    <w:p w:rsidR="0026452D" w:rsidRDefault="0026452D" w:rsidP="0026452D">
      <w:pPr>
        <w:pStyle w:val="TextoNormal"/>
      </w:pPr>
      <w:r>
        <w:t xml:space="preserve">Como acertadamente señaló el Ministerio Fiscal en su informe, debe partirse de la base de que en este caso los hechos denunciados consistían en la creación de un ambiente o clima de intimidación e inseguridad, explícita o implícita, incrementando así la vulnerabilidad del denunciante, que se encontraba detenido e incomunicado, debilitando su resistencia y voluntad a la hora de efectuar una declaración. Esta circunstancia resulta relevante toda vez que ello determina la dificultad de acreditar este tipo de situaciones, condicionando los medios de investigación a desarrollar, que deben dirigirse a resaltar aspectos o signos psicológicos que permanecen ocultos por su propia naturaleza. En ese contexto de dificultad probatoria, la importancia y el alcance del derecho fundamental a no ser sometido a tortura o malos tratos, sobre el que tanto ha incidido la jurisprudencia del Tribunal Europeo de Derechos Humanos (por todas, STEDH de 2 de noviembre de 2004, </w:t>
      </w:r>
      <w:r w:rsidRPr="0026452D">
        <w:rPr>
          <w:i/>
        </w:rPr>
        <w:t>Martínez Sala y otros c. España</w:t>
      </w:r>
      <w:r>
        <w:t>, § 120), impone que la actuación judicial en su labor instructora deba ser especialmente diligente a la hora de despejar cualquier duda que pudiera mantenerse respecto de la veracidad de los hechos denunciados.</w:t>
      </w:r>
    </w:p>
    <w:p w:rsidR="0026452D" w:rsidRDefault="0026452D" w:rsidP="0026452D">
      <w:pPr>
        <w:pStyle w:val="TextoNormal"/>
      </w:pPr>
    </w:p>
    <w:p w:rsidR="0026452D" w:rsidRDefault="0026452D" w:rsidP="0026452D">
      <w:pPr>
        <w:pStyle w:val="TextoNormal"/>
      </w:pPr>
      <w:r>
        <w:t>3. A partir de ello, y entrando ya en el análisis de los argumentos que fueron utilizados judicialmente para justificar el archivo de las actuaciones, éstos quedan limitados a la falta de veracidad de la denuncia formulada. Así, se inciden en las siguientes tres circunstancias: a) la ausencia de cualquier referencia a la situación de maltrato en las declaraciones policiales y en la judicial, estando en ésta última fuera del control de la autoridad policial; b) la ausencia en los reconocimientos médico-forenses de cualquier síntoma o estado compatible con las amenazas e intimidaciones; y c) el tiempo transcurrido entre que se produjo la detención y la denuncia por malos tratos.</w:t>
      </w:r>
    </w:p>
    <w:p w:rsidR="0026452D" w:rsidRDefault="0026452D" w:rsidP="0026452D">
      <w:pPr>
        <w:pStyle w:val="TextoNormal"/>
      </w:pPr>
    </w:p>
    <w:p w:rsidR="0026452D" w:rsidRDefault="0026452D" w:rsidP="0026452D">
      <w:pPr>
        <w:pStyle w:val="TextoNormal"/>
      </w:pPr>
      <w:r>
        <w:t>Pues bien, en relación con la valoración de las declaraciones realizadas en sede policial y judicial, debe recordarse que este Tribunal ya ha reiterado que no puede considerarse concluyente el hecho de que el recurrente no hubiera formulado una expresa manifestación sobre malos tratos, por no ser exigible tal conducta a quien se encuentra bajo absoluto control policial, detenido e incomunicado, habida cuenta del temor que puede albergar a un posible riesgo cuando se encuentre exclusiva y nuevamente ante los responsables de su custodia. Esta misma conclusión se ha alcanzado en relación con la ausencia de denuncia ante el propio Juez de instrucción a cuya disposición se pone el detenido, incidiendo en la posible existencia de una voluntad condicionada por la intensa intimidación previa y poniendo de manifiesto que este tipo de argumentación “supone ignorar la exigencia de racionalidad antes citada que impone reparar en que el efecto de la violencia ejercida sobre la libertad y las posibilidades de autodeterminación del individuo no deja de producirse en el momento en el que físicamente cesa aquélla y se le pone a disposición judicial, sino que su virtualidad coactiva puede pervivir, y normalmente lo hará, más allá de su práctica” [STC 63/2010, de 18 de octubre, FJ 3 a)]. En cualquier caso resulta muy significativo que, tal como destaca el Auto de sobreseimiento de 26 de mayo de 2010, el recurrente se abstuviera de contestar a la pregunta formulada acerca del trato policial recibido.</w:t>
      </w:r>
    </w:p>
    <w:p w:rsidR="0026452D" w:rsidRDefault="0026452D" w:rsidP="0026452D">
      <w:pPr>
        <w:pStyle w:val="TextoNormal"/>
      </w:pPr>
    </w:p>
    <w:p w:rsidR="0026452D" w:rsidRDefault="0026452D" w:rsidP="0026452D">
      <w:pPr>
        <w:pStyle w:val="TextoNormal"/>
      </w:pPr>
      <w:r>
        <w:lastRenderedPageBreak/>
        <w:t>Tampoco resulta asumible en términos de un deber de motivación reforzada el razonamiento basado en la ausencia en los reconocimientos médico-forenses de cualquier síntoma o estado compatible con las amenazas e intimidaciones. Más allá de la dificultad de poder acreditar unos hechos como los denunciados a través de una simple exploración física o un reconocimiento médico, no cabe obviar, en los términos señalados por el Ministerio Fiscal, que todos estos reconocimientos se realizan siempre bajo directo control policial, en situación de detención incomunicada. Además, resulta significativo que incluso en ese contexto de dificultad en los dos primeros informes se haga mención expresa a que el recurrente no quiere contestar sobre el trato recibido, y se destaque en el primero de ellos la actitud poco colaboradora del recurrente.</w:t>
      </w:r>
    </w:p>
    <w:p w:rsidR="0026452D" w:rsidRDefault="0026452D" w:rsidP="0026452D">
      <w:pPr>
        <w:pStyle w:val="TextoNormal"/>
      </w:pPr>
    </w:p>
    <w:p w:rsidR="0026452D" w:rsidRDefault="0026452D" w:rsidP="0026452D">
      <w:pPr>
        <w:pStyle w:val="TextoNormal"/>
      </w:pPr>
      <w:r>
        <w:t>Por último, el razonamiento judicial basado en la existencia de un dilatado lapso temporal de tres meses en presentar la denuncia tampoco resulta razonable desde los parámetros del deber de motivación reforzado. Este Tribunal ha destacado que no cabe excluir que un excesivo retraso en la denuncia de los hechos permita inferir una menor credibilidad de lo denunciado, ni que pueda erigirse en argumento para rechazar esa credibilidad dadas las dificultades para que hubiera podido desarrollarse una investigación más eficaz, porque el transcurso del tiempo redunda en perjuicio de las posibilidades de esclarecimiento de los hechos. Ahora bien, también ha hecho especial incidencia la doctrina constitucional en que no resulta razonable inferir la falta de objetividad de la denuncia del mero transcurso de un plazo también razonable entre la realización de los hechos denunciados y la interposición de la denuncia, atendiendo a las concretas circunstancias de cada caso (STC 63/2008, de 26 de mayo, FJ 4). A partir de ello, por ejemplo, no se consideró excesivo a los efectos de dudar de la veracidad de lo denunciado el transcurso de cuatro meses en la STC 107/2008, de 22 de febrero, FJ 3, o de menos de dos meses en la STC 63/2010, de 18 de octubre, FJ 3.</w:t>
      </w:r>
    </w:p>
    <w:p w:rsidR="0026452D" w:rsidRDefault="0026452D" w:rsidP="0026452D">
      <w:pPr>
        <w:pStyle w:val="TextoNormal"/>
      </w:pPr>
    </w:p>
    <w:p w:rsidR="0026452D" w:rsidRDefault="0026452D" w:rsidP="0026452D">
      <w:pPr>
        <w:pStyle w:val="TextoNormal"/>
      </w:pPr>
      <w:r>
        <w:t>En el presente caso, habiéndose producido los hechos denunciados entre el 24 y el 26 de noviembre de 2009 y formulado la denuncia el 23 de febrero de 2010, el transcurso de un periodo de apenas tres meses no resulta excesivo en abstracto, con independencia de que, como ha señalado el Ministerio Fiscal, no se haya ponderado si dicho lapso temporal está relacionado con la permanencia en situación de prisión provisional del recurrente y las mayores dificultades que objetivamente se tiene en esas circunstancias para recibir asesoramiento legal y preparar una denuncia.</w:t>
      </w:r>
    </w:p>
    <w:p w:rsidR="0026452D" w:rsidRDefault="0026452D" w:rsidP="0026452D">
      <w:pPr>
        <w:pStyle w:val="TextoNormal"/>
      </w:pPr>
    </w:p>
    <w:p w:rsidR="0026452D" w:rsidRDefault="0026452D" w:rsidP="0026452D">
      <w:pPr>
        <w:pStyle w:val="TextoNormal"/>
      </w:pPr>
      <w:r>
        <w:t xml:space="preserve">4. Una vez comprobado, por las razones dichas, que las resoluciones impugnadas no contenían la motivación reforzada que con arreglo al art. 24.1 CE es exigible para poder acordar fundadamente el archivo de la causa, también cabe apreciar que los órganos judiciales no agotaron todos los medios razonables y eficaces de investigación a su alcance para desmentir o confirmar la credibilidad de la denuncia del recurrente, como exigencia derivada de la doctrina de este Tribunal Constitucional (por todas, SSTC 34/2008, de 25 de febrero, FJ 6, o 131/2012, de 18 de junio, FJ 2) y del Tribunal Europeo de Derechos Humanos (por todas, SSTEDH de 2 de noviembre de 2004, </w:t>
      </w:r>
      <w:r w:rsidRPr="0026452D">
        <w:rPr>
          <w:i/>
        </w:rPr>
        <w:t>Martínez Sala y otros c. España</w:t>
      </w:r>
      <w:r>
        <w:t xml:space="preserve">, § 159; o de 16 de octubre de 2012, </w:t>
      </w:r>
      <w:r w:rsidRPr="0026452D">
        <w:rPr>
          <w:i/>
        </w:rPr>
        <w:t>Otamendi Egiguren c. España</w:t>
      </w:r>
      <w:r>
        <w:t>, § 38). En el presente caso, atendiendo a las concretas razones utilizadas para justificar el archivo, puede concluirse que existían otros medios de investigación adecuados para esclarecer los hechos denunciados que hubieran debido llevar a perseverar en una indagación judicial. Estos medios de investigación, además, fueron expresamente solicitados en vía judicial por el recurrente.</w:t>
      </w:r>
    </w:p>
    <w:p w:rsidR="0026452D" w:rsidRDefault="0026452D" w:rsidP="0026452D">
      <w:pPr>
        <w:pStyle w:val="TextoNormal"/>
      </w:pPr>
    </w:p>
    <w:p w:rsidR="0026452D" w:rsidRDefault="0026452D" w:rsidP="0026452D">
      <w:pPr>
        <w:pStyle w:val="TextoNormal"/>
      </w:pPr>
      <w:r>
        <w:lastRenderedPageBreak/>
        <w:t xml:space="preserve">En efecto, la falta de credibilidad de la denuncia podría haber sido desmentida o corroborada por el testimonio inmediato del denunciante, que constituye, un medio de indagación particularmente idóneo para confirmar o despejar cualquier duda respecto de la verosimilitud o eventuales contradicciones en que hubiera podido incurrir el denunciante tal como ha sido declarado reiteradamente por este Tribunal [SSTC 34/2008, de 25 de febrero, FJ 7; 52/2008, de 14 de abril, FJ 5; 107/2008, de 22 de septiembre, FJ 4, 63/2010, de 18 de octubre, FJ 3 b), o 131/2012, de 18 de junio, FJ 5] y por el Tribunal Europeo de Derechos Humanos (así, STEDH de 16 de octubre de 2012, </w:t>
      </w:r>
      <w:r w:rsidRPr="0026452D">
        <w:rPr>
          <w:i/>
        </w:rPr>
        <w:t>Otamendi Egiguren c. España</w:t>
      </w:r>
      <w:r>
        <w:t xml:space="preserve">, § 41). Asimismo, como también ha señalado el Ministerio Fiscal, tampoco puede obviarse la aptitud y pertinencia de otra actividad instructora, también solicitada expresamente por el recurrente en la fase de instrucción, como es el testimonio del médico-forense que practicó el primero y, en especial, el segundo reconocimiento, en relación con la negativa a efectuar manifestaciones sobre el trato recibido. Como, en fin, en el contexto típico de escasez probatoria que es común a este tipo de casos, tampoco puede descartarse </w:t>
      </w:r>
      <w:r w:rsidRPr="0026452D">
        <w:rPr>
          <w:i/>
        </w:rPr>
        <w:t>a priori</w:t>
      </w:r>
      <w:r>
        <w:t xml:space="preserve"> la utilidad de la declaración del Abogado de oficio que asistió al recurrente en las declaraciones prestadas ante la policía, ya que, como se ha señalado en la doctrina constitucional, cuenta con una posición privilegiada para declarar sobre determinados elementos relevantes para valorar la eventual veracidad de la denuncia (por todas, STC 52/2008, de 14 de abril, FJ 5).</w:t>
      </w:r>
    </w:p>
    <w:p w:rsidR="0026452D" w:rsidRDefault="0026452D" w:rsidP="0026452D">
      <w:pPr>
        <w:pStyle w:val="TextoNormal"/>
      </w:pPr>
    </w:p>
    <w:p w:rsidR="0026452D" w:rsidRDefault="0026452D" w:rsidP="0026452D">
      <w:pPr>
        <w:pStyle w:val="TextoNormal"/>
      </w:pPr>
      <w:r>
        <w:t>5. En conclusión, considero que de haberse proyectado el control de constitucionalidad que es propio en este tipo de supuestos, la conclusión debería haber sido que frente a la denuncia de torturas formulada por el recurrente no se produjo una investigación judicial eficaz, toda vez que se decidió archivar las diligencias abiertas cuando podía no haberse esclarecido suficientemente la realidad de los hechos denunciados y existían aún medios razonablemente disponibles para despejar las posibles dudas al respecto. Por tanto, debería haberse otorgar el amparo por vulneración del derecho a la tutela judicial efectiva (art. 24.1 CE), en relación con el derecho a no ser sometido a tortura o tratos inhumanos o degradantes (art. 15 CE).</w:t>
      </w:r>
    </w:p>
    <w:p w:rsidR="0026452D" w:rsidRDefault="0026452D" w:rsidP="0026452D">
      <w:pPr>
        <w:pStyle w:val="TextoNormal"/>
      </w:pPr>
    </w:p>
    <w:p w:rsidR="0026452D" w:rsidRDefault="0026452D" w:rsidP="0026452D">
      <w:pPr>
        <w:pStyle w:val="TextoNormal"/>
      </w:pPr>
      <w:r>
        <w:t>Madrid, a veintiocho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6" w:name="SENTENCIA_2013_13"/>
      <w:r>
        <w:lastRenderedPageBreak/>
        <w:t>SENTENCIA 13/2013, de 28 de enero de 2013</w:t>
      </w:r>
    </w:p>
    <w:bookmarkEnd w:id="16"/>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ECLI:ES:TC:2013:13</w:t>
      </w:r>
    </w:p>
    <w:p w:rsidR="0026452D" w:rsidRDefault="0026452D" w:rsidP="0026452D">
      <w:pPr>
        <w:pStyle w:val="SntesisDescriptiva"/>
      </w:pPr>
    </w:p>
    <w:p w:rsidR="0026452D" w:rsidRDefault="0026452D" w:rsidP="0026452D">
      <w:pPr>
        <w:pStyle w:val="SntesisDescriptiva"/>
      </w:pPr>
      <w:r>
        <w:t>Cuestión de inconstitucionalidad 5371-2011. Planteada por la Sección Segunda de la Sala de lo Contencioso-Administrativo del Tribunal Superior de Justicia de Madrid con respecto al apartado 7 del artículo 16.2 b) de la Ley 20/1998, de 27 de noviembre, de ordenación y coordinación de los transportes urbanos de la Comunidad de Madrid.</w:t>
      </w:r>
    </w:p>
    <w:p w:rsidR="0026452D" w:rsidRDefault="0026452D" w:rsidP="0026452D">
      <w:pPr>
        <w:pStyle w:val="SntesisDescriptiva"/>
      </w:pPr>
    </w:p>
    <w:p w:rsidR="0026452D" w:rsidRDefault="0026452D" w:rsidP="0026452D">
      <w:pPr>
        <w:pStyle w:val="SntesisAnaltica"/>
      </w:pPr>
      <w:r>
        <w:t>Derecho a la legalidad sancionadora: nulidad del precepto legal que vulnera la garantía formal del principio de legalidad sancionadora al remitir al reglamento la definición de los elementos esenciales de la conducta infractora.</w:t>
      </w:r>
    </w:p>
    <w:p w:rsidR="0026452D" w:rsidRDefault="0026452D" w:rsidP="0026452D">
      <w:pPr>
        <w:pStyle w:val="SntesisAnaltica"/>
      </w:pPr>
    </w:p>
    <w:p w:rsidR="0026452D" w:rsidRDefault="0026452D" w:rsidP="0026452D">
      <w:pPr>
        <w:pStyle w:val="Extracto"/>
      </w:pPr>
      <w:r>
        <w:t>1.</w:t>
      </w:r>
      <w:r>
        <w:tab/>
        <w:t xml:space="preserve">La garantía material del art. 25.1 CE deriva del mandato de taxatividad o de </w:t>
      </w:r>
      <w:r w:rsidRPr="0026452D">
        <w:rPr>
          <w:i/>
        </w:rPr>
        <w:t>lex certa</w:t>
      </w:r>
      <w:r>
        <w:t xml:space="preserve">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[FJ 2].</w:t>
      </w:r>
    </w:p>
    <w:p w:rsidR="0026452D" w:rsidRDefault="0026452D" w:rsidP="0026452D">
      <w:pPr>
        <w:pStyle w:val="Extracto"/>
      </w:pPr>
    </w:p>
    <w:p w:rsidR="0026452D" w:rsidRDefault="0026452D" w:rsidP="0026452D">
      <w:pPr>
        <w:pStyle w:val="Extracto"/>
      </w:pPr>
      <w:r>
        <w:t>2.</w:t>
      </w:r>
      <w:r>
        <w:tab/>
        <w:t>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 (SSTC 194/2009 90/2012) [FJ 2].</w:t>
      </w:r>
    </w:p>
    <w:p w:rsidR="0026452D" w:rsidRDefault="0026452D" w:rsidP="0026452D">
      <w:pPr>
        <w:pStyle w:val="Extracto"/>
      </w:pPr>
    </w:p>
    <w:p w:rsidR="0026452D" w:rsidRDefault="0026452D" w:rsidP="0026452D">
      <w:pPr>
        <w:pStyle w:val="Extracto"/>
      </w:pPr>
      <w:r>
        <w:t>3.</w:t>
      </w:r>
      <w:r>
        <w:tab/>
        <w:t>La garantía formal, a diferencia de la garantía material, tiene una eficacia relativa o limitada en el ámbito sancionador administrativo, toda vez que no cabe excluir la colaboración reglamentaria en la propia tarea de tipificación de las infracciones y atribución de las correspondientes sanciones, aunque sí hay que excluir el que tales remisiones hagan posible una regulación independiente y no claramente subordinada a la Ley (STC 242/2005) [FJ 2].</w:t>
      </w:r>
    </w:p>
    <w:p w:rsidR="0026452D" w:rsidRDefault="0026452D" w:rsidP="0026452D">
      <w:pPr>
        <w:pStyle w:val="Extracto"/>
      </w:pPr>
    </w:p>
    <w:p w:rsidR="0026452D" w:rsidRDefault="0026452D" w:rsidP="0026452D">
      <w:pPr>
        <w:pStyle w:val="Extracto"/>
      </w:pPr>
      <w:r>
        <w:t>4.</w:t>
      </w:r>
      <w:r>
        <w:tab/>
        <w:t>La garantía formal implica que la ley debe contener la determinación de los elementos esenciales de la conducta antijurídica y al reglamento sólo puede corresponder, en su caso, el desarrollo y precisión de los tipos de infracciones previamente establecidos por la ley (SSTC 161/2003, 242/2005) [FJ 2].</w:t>
      </w:r>
    </w:p>
    <w:p w:rsidR="0026452D" w:rsidRDefault="0026452D" w:rsidP="0026452D">
      <w:pPr>
        <w:pStyle w:val="Extracto"/>
      </w:pPr>
    </w:p>
    <w:p w:rsidR="0026452D" w:rsidRDefault="0026452D" w:rsidP="0026452D">
      <w:pPr>
        <w:pStyle w:val="Extracto"/>
      </w:pPr>
      <w:r>
        <w:t>5.</w:t>
      </w:r>
      <w:r>
        <w:tab/>
        <w:t xml:space="preserve">Doctrina sobre la doble garantía, formal y material, de la regla </w:t>
      </w:r>
      <w:r w:rsidRPr="0026452D">
        <w:rPr>
          <w:i/>
        </w:rPr>
        <w:t>nullum crimen nulla poena sine lege</w:t>
      </w:r>
      <w:r>
        <w:t xml:space="preserve"> (SSTC 104/2009, 90/2012) [FJ 2].</w:t>
      </w:r>
    </w:p>
    <w:p w:rsidR="0026452D" w:rsidRDefault="0026452D" w:rsidP="0026452D">
      <w:pPr>
        <w:pStyle w:val="Extracto"/>
      </w:pPr>
    </w:p>
    <w:p w:rsidR="0026452D" w:rsidRDefault="0026452D" w:rsidP="0026452D">
      <w:pPr>
        <w:pStyle w:val="Extracto"/>
      </w:pPr>
      <w:r>
        <w:t>6.</w:t>
      </w:r>
      <w:r>
        <w:tab/>
        <w:t xml:space="preserve">En relación con las infracciones y sanciones administrativas el alcance de la reserva de Ley no puede ser tan riguroso como lo es por referencia a los tipos y </w:t>
      </w:r>
      <w:r>
        <w:lastRenderedPageBreak/>
        <w:t>sanciones penales en sentido estricto, y ello por razones que atañen al modelo constitucional de distribución de las potestades públicas, por el carácter en cierto modo insuprimible de la potestad reglamentaria en ciertas materias y, por último, por exigencias de prudencia o de oportunidad (STC 42/1987) [FJ 2].</w:t>
      </w:r>
    </w:p>
    <w:p w:rsidR="0026452D" w:rsidRDefault="0026452D" w:rsidP="0026452D">
      <w:pPr>
        <w:pStyle w:val="Extracto"/>
      </w:pPr>
    </w:p>
    <w:p w:rsidR="0026452D" w:rsidRDefault="0026452D" w:rsidP="0026452D">
      <w:pPr>
        <w:pStyle w:val="Extracto"/>
      </w:pPr>
      <w:r>
        <w:t>7.</w:t>
      </w:r>
      <w:r>
        <w:tab/>
        <w:t>Doctrina sobre el control de constitucionalidad de las remisiones al reglamento de la concreción de algunos de los elementos esenciales del ilícito administrativo (SSTC 3/1988, 104/2009) [FJ 3].</w:t>
      </w:r>
    </w:p>
    <w:p w:rsidR="0026452D" w:rsidRDefault="0026452D" w:rsidP="0026452D">
      <w:pPr>
        <w:pStyle w:val="Extracto"/>
      </w:pPr>
    </w:p>
    <w:p w:rsidR="0026452D" w:rsidRDefault="0026452D" w:rsidP="0026452D">
      <w:pPr>
        <w:pStyle w:val="Extracto"/>
      </w:pPr>
      <w:r>
        <w:t>8.</w:t>
      </w:r>
      <w:r>
        <w:tab/>
        <w:t xml:space="preserve">El concepto jurídico indeterminado ‘condiciones esenciales’ de la autorización o licencia que prevé la Ley de Ordenación y Coordinación de Transportes Urbanos de la Comunidad de Madrid constituye una laxa e insuficiente guía normativa desde la perspectiva del principio de legalidad sancionadora, permitiendo que la Administración lleve a cabo una tipificación </w:t>
      </w:r>
      <w:r w:rsidRPr="0026452D">
        <w:rPr>
          <w:i/>
        </w:rPr>
        <w:t>ex novo</w:t>
      </w:r>
      <w:r>
        <w:t xml:space="preserve"> de conductas ilícitas, lo que vulnera la garantía formal del principio de legalidad sancionadora [FJ 4].</w:t>
      </w:r>
    </w:p>
    <w:p w:rsidR="0026452D" w:rsidRDefault="0026452D" w:rsidP="0026452D">
      <w:pPr>
        <w:pStyle w:val="Extracto"/>
      </w:pPr>
    </w:p>
    <w:p w:rsidR="0026452D" w:rsidRDefault="0026452D" w:rsidP="0026452D">
      <w:pPr>
        <w:pStyle w:val="Extracto"/>
      </w:pPr>
      <w:r>
        <w:t>9.</w:t>
      </w:r>
      <w:r>
        <w:tab/>
        <w:t>El concepto jurídico indeterminado ‘condiciones esenciales’ de la autorización o licencia es un parámetro legal que en alguna medida orienta al reglamento, no obstante, en ausencia de más determinaciones legales, la entera definición de esos ‘elementos esenciales’ es la que se encomienda al poder reglamentario, lo que constituye una laxa e insuficiente guía normativa, desde la perspectiva del principio de legalidad sancionadora, vulneradora del art. 25.1 CE [FJ 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la cuestión de inconstitucionalidad núm. 5371-2011, planteada por la Sección Segunda de la Sala de lo Contencioso-Administrativo del Tribunal Superior de Justicia de Madrid respecto del apartado 7 del art. 16.2 b) de la Ley 20/1998, de 27 de noviembre, de ordenación y coordinación de los transportes urbanos de la Comunidad de Madrid. Han intervenido el Abogado del Estado, el Letrado de la Comunidad de Madrid y el Fiscal General del Estado. Ha sido Ponente el Magistrado don Andrés Ollero Tassara, quien expresa el parecer del Tribunal.</w:t>
      </w:r>
    </w:p>
    <w:p w:rsidR="0026452D" w:rsidRDefault="0026452D" w:rsidP="0026452D">
      <w:pPr>
        <w:pStyle w:val="TextoNormal"/>
      </w:pPr>
    </w:p>
    <w:p w:rsidR="0026452D" w:rsidRDefault="0026452D" w:rsidP="0026452D">
      <w:pPr>
        <w:pStyle w:val="TextoNormalNegritaCentrado"/>
        <w:keepNext/>
      </w:pPr>
      <w:r>
        <w:lastRenderedPageBreak/>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día 5 de octubre de 2010 tuvo entrada en el Registro General del este Tribunal un escrito de la Sección Segunda de Sala de lo Contencioso-Administrativo del Tribunal Superior de Justicia de Madrid, al que se acompaña, junto con el Auto de la referida Sección de 15 de julio de 2011 por el que se acuerda elevar a este Tribunal cuestión de inconstitucionalidad en relación con el apartado 7 del art. 16.2 b) de la Ley 20/1998, de 27 de noviembre, de ordenación y coordinación de los transportes urbanos de la Comunidad de Madrid, testimonio del rollo de apelación 387/2010 así como del procedimiento abreviado 761-2009 del Juzgado de lo Contencioso-Administrativo núm. 28 de Madrid y del expediente gubernativo.</w:t>
      </w:r>
    </w:p>
    <w:p w:rsidR="0026452D" w:rsidRDefault="0026452D" w:rsidP="0026452D">
      <w:pPr>
        <w:pStyle w:val="TextoNormal"/>
      </w:pPr>
    </w:p>
    <w:p w:rsidR="0026452D" w:rsidRDefault="0026452D" w:rsidP="0026452D">
      <w:pPr>
        <w:pStyle w:val="TextoNormal"/>
      </w:pPr>
      <w:r w:rsidRPr="0026452D">
        <w:rPr>
          <w:rStyle w:val="NumeroAFNegritaCaracter"/>
        </w:rPr>
        <w:t>2</w:t>
      </w:r>
      <w:r>
        <w:t>. Los antecedentes de la presente cuestión de inconstitucionalidad son, sucintamente expuestos, los siguientes:</w:t>
      </w:r>
    </w:p>
    <w:p w:rsidR="0026452D" w:rsidRDefault="0026452D" w:rsidP="0026452D">
      <w:pPr>
        <w:pStyle w:val="TextoNormal"/>
      </w:pPr>
    </w:p>
    <w:p w:rsidR="0026452D" w:rsidRDefault="0026452D" w:rsidP="0026452D">
      <w:pPr>
        <w:pStyle w:val="TextoNormal"/>
      </w:pPr>
      <w:r>
        <w:t>a) Por resolución del delegado de área de gobierno de seguridad y movilidad del Ayuntamiento de Madrid de 28 de marzo de 2008 se impuso una sanción de 2.000 euros a una taxista por infracción del art. 16 de la Ley 20/1998 de ordenación y coordinación de los transportes urbanos de la Comunidad de Madrid en relación con los arts. 60 b) 7 y 39 2 del Decreto 74/2005, de 28 de julio, por el que se aprueba el reglamento de los servicios de transporte público urbano en automóviles de turismo, por incumplimiento de las condiciones de prestación del servicio relativas al régimen de paradas, al haber esperado y recogido viajeros fuera de la parada oficial. Este acto administrativo fue recurrido en reposición; recurso que fue desestimado por resolución del delegado de área de Gobierno de seguridad y movilidad del Ayuntamiento de Madrid 6 de junio de 2008.</w:t>
      </w:r>
    </w:p>
    <w:p w:rsidR="0026452D" w:rsidRDefault="0026452D" w:rsidP="0026452D">
      <w:pPr>
        <w:pStyle w:val="TextoNormal"/>
      </w:pPr>
    </w:p>
    <w:p w:rsidR="0026452D" w:rsidRDefault="0026452D" w:rsidP="0026452D">
      <w:pPr>
        <w:pStyle w:val="TextoNormal"/>
      </w:pPr>
      <w:r>
        <w:t>b) Contra estas resoluciones se interpuso recurso contencioso-administrativo. El Juzgado de lo Contencioso-Administrativo núm. 28 de Madrid, por Sentencia de 23 de diciembre de 2009, desestimó el recurso.</w:t>
      </w:r>
    </w:p>
    <w:p w:rsidR="0026452D" w:rsidRDefault="0026452D" w:rsidP="0026452D">
      <w:pPr>
        <w:pStyle w:val="TextoNormal"/>
      </w:pPr>
    </w:p>
    <w:p w:rsidR="0026452D" w:rsidRDefault="0026452D" w:rsidP="0026452D">
      <w:pPr>
        <w:pStyle w:val="TextoNormal"/>
      </w:pPr>
      <w:r>
        <w:t>c) La Sentencia fue recurrida en apelación. La Sección Segunda el Tribunal Superior de Justicia de Madrid, por providencia de 28 de abril de 2011, otorgó un plazo de diez días a las partes y al Ministerio Fiscal para que pudieran efectuar alegaciones sobre la pertinencia de plantear cuestión de inconstitucionalidad en relación con el apartado 7 del artículo 16.2 b) de la Ley 20/1998 —aunque por error cita la Ley 16/1987—, al considerar que este precepto legal podría vulnerar el art. 25.1 CE. El Letrado del Ayuntamiento de Madrid formuló alegaciones aduciendo que, en su opinión, no procedía plantear la cuestión de inconstitucionalidad. Por el contrario, la parte recurrente y el Ministerio Fiscal estimaron pertinente su planteamiento.</w:t>
      </w:r>
    </w:p>
    <w:p w:rsidR="0026452D" w:rsidRDefault="0026452D" w:rsidP="0026452D">
      <w:pPr>
        <w:pStyle w:val="TextoNormal"/>
      </w:pPr>
    </w:p>
    <w:p w:rsidR="0026452D" w:rsidRDefault="0026452D" w:rsidP="0026452D">
      <w:pPr>
        <w:pStyle w:val="TextoNormal"/>
      </w:pPr>
      <w:r>
        <w:t>d) Por Auto de 15 de julio de 2011 la Sección Segunda de la Sala de lo Contencioso-Administrativo del Tribunal Superior de Justicia de la Comunidad de Madrid acordó plantear la presente cuestión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El órgano judicial fundamenta el planteamiento de la cuestión en que 16.2 b) de la Ley 20/1998, al disponer que tendrá la consideración de infracción grave el incumplimiento de las condiciones esenciales de la licencia salvo que deba considerarse como infracción </w:t>
      </w:r>
      <w:r>
        <w:lastRenderedPageBreak/>
        <w:t xml:space="preserve">muy grave, y establecer en su apartado séptimo que entre esas condiciones esenciales se incluirán, además de las expresamente previstas en el referido precepto, “cualesquiera otras que puedan establecerse reglamentariamente” podría vulnerar el art. 25.1 CE, “en cuanto que habilita o se remite genéricamente a un reglamento para la configuración </w:t>
      </w:r>
      <w:r w:rsidRPr="0026452D">
        <w:rPr>
          <w:i/>
        </w:rPr>
        <w:t>ex novo</w:t>
      </w:r>
      <w:r>
        <w:t xml:space="preserve"> de obligaciones o prohibiciones cuya contravención da origen a una infracción sancionable” e invoca la doctrina contenida en las SSTC 341/1993, de 18 de noviembre, y 26/2005, de 14 de febrero.</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del Pleno de este Tribunal de 7 de noviembre de 2011 se acordó admitir a trámite la cuestión de inconstitucionalidad. En esta misma resolución, de conformidad con lo dispuesto en el art. 10 1 c) de la Ley Orgánica del Tribunal Constitucional (LOTC), se acordó también deferir a la Sala Primera, que por turno objetivo le ha correspondido, el conocimiento de la presente cuestión y, de acuerdo con lo establecido en el art. 37.3 LOTC, se dio traslado de las actuaciones recibidas al Congreso de los Diputados y al Senado, por conducto de sus Presidentes, al Gobierno, por conducto del Ministro de Justicia, y al Fiscal General del Estado, así como al Gobierno de la Comunidad de Madrid y a la Asamblea de la Comunidad de Madrid por conducto de sus Presidentes, al objeto de que, en el improrrogable plazo de quince días pudieran personarse en el proceso y formular las alegaciones que estimaran convenientes. De igual modo, se comunicó la referida resolución a la Sección Segunda de la Sala de lo Contencioso-Administrativo del Tribunal Superior de Justicia de Madrid a fin de que, de conformidad con lo dispuesto en el art. 35 3 LOTC, permanezca suspendido el proceso hasta que este Tribunal resuelva definitivamente la presente cuestión y se acordó publicar la incoación de la cuestión en el “Boletín Oficial del Estado”, lo que tuvo lugar el 19 de noviembre de 2011.</w:t>
      </w:r>
    </w:p>
    <w:p w:rsidR="0026452D" w:rsidRDefault="0026452D" w:rsidP="0026452D">
      <w:pPr>
        <w:pStyle w:val="TextoNormal"/>
      </w:pPr>
    </w:p>
    <w:p w:rsidR="0026452D" w:rsidRDefault="0026452D" w:rsidP="0026452D">
      <w:pPr>
        <w:pStyle w:val="TextoNormal"/>
      </w:pPr>
      <w:r w:rsidRPr="0026452D">
        <w:rPr>
          <w:rStyle w:val="NumeroAFNegritaCaracter"/>
        </w:rPr>
        <w:t>5</w:t>
      </w:r>
      <w:r>
        <w:t>. El 18 de noviembre de 2011 el Presidente del Senado, en ejercicio de la delegación conferida por la Mesa de la Diputación Permanente en su reunión de 28 de septiembre de 2011, acordó personarse en este procedimiento y ofrecer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6</w:t>
      </w:r>
      <w:r>
        <w:t>. El 28 de noviembre de 2011 el Presidente del Congreso comunicó a este Tribunal el acuerdo de la Mesa de la Diputación Permanente por el que acordó personarse en este procedimiento y ofrecer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El Abogado del Estado, por escrito de 1 de diciembre de 2011, se personó en este procedimiento en nombre del Gobierno, formuló alegaciones y solicitó la desestimación de la presente cuestión de inconstitucionalidad. A su juicio, esta cuestión debe resolverse aplicando la doctrina contenida en la STC 104/2009, de 4 de mayo, en la que se establece que, desde el punto de vista de la garantía formal, el art 25.1 CE “no excluye que la norma de rango legal contenga remisiones a normas reglamentarias, siempre que en aquélla queden suficientemente determinados los elementos esenciales de la conducta antijurídica” (FJ 5). El Abogado del Estado considera que el art. 16.2 b) de la Ley 20/1998 contiene todos los elementos esenciales definitorios de la infracción. Entiende, en primer lugar, que el referido precepto delimita el ámbito del tipo de infracción: el incumplimiento de las condiciones más importantes de la autorización o licencia otorgada para una actividad de transporte urbano desarrollada en la Comunidad de Madrid; que del mismo se deducen los sujetos activos de la infracción, que son los titulares de la autorización o licencia a los que le sea imputable el </w:t>
      </w:r>
      <w:r>
        <w:lastRenderedPageBreak/>
        <w:t>incumplimiento; también define el bien jurídico protegido: el recto desempeño del servicio objeto de la licencia o de autorización y especialmente su prestación de conformidad con las normas reglamentarias que regulan sus condiciones y define la conducta infractora, que es el incumplimiento de las condiciones esenciales de la licencia; condiciones que son las que enumera la propia ley o las que establezca el reglamento que regule el servicio. Según sostiene el Abogado del Estado, no es razonable entender que pueda remitirse al reglamento la regulación de importantes condiciones de prestación del servicio de transporte de viajeros en automóvil de turismo y que el incumplimiento de tales condiciones no sea sancionable. Aduce también el representante del Gobierno que, en cuanto la predeterminación de las conductas sancionables (garantía material), cabe sostener que los titulares de las licencias de auto-taxi saben perfectamente que no quebrantar la prohibición de recoger viajeros fuera de los puntos de parada en estaciones y aeropuertos es una condición esencial de la licencia, pues, afirma, dada la gran afluencia de viajeros, la prohibición tiene como finalidad racionalizar la prestación del servicio.</w:t>
      </w:r>
    </w:p>
    <w:p w:rsidR="0026452D" w:rsidRDefault="0026452D" w:rsidP="0026452D">
      <w:pPr>
        <w:pStyle w:val="TextoNormal"/>
      </w:pPr>
    </w:p>
    <w:p w:rsidR="0026452D" w:rsidRDefault="0026452D" w:rsidP="0026452D">
      <w:pPr>
        <w:pStyle w:val="TextoNormal"/>
      </w:pPr>
      <w:r>
        <w:t>Por todo ello, el Abogado del Estado considera que la colaboración del reglamento para deslindar condiciones esenciales y no esenciales de las licencias o autorizaciones de auto-taxi reguladas por la Ley de la Comunidad de Madrid 20/1998, según la doctrina establecida en la STC 104/2009, de 4 de mayo, no puede estimarse que vulnere el art. 25.1 CE.</w:t>
      </w:r>
    </w:p>
    <w:p w:rsidR="0026452D" w:rsidRDefault="0026452D" w:rsidP="0026452D">
      <w:pPr>
        <w:pStyle w:val="TextoNormal"/>
      </w:pPr>
    </w:p>
    <w:p w:rsidR="0026452D" w:rsidRDefault="0026452D" w:rsidP="0026452D">
      <w:pPr>
        <w:pStyle w:val="TextoNormal"/>
      </w:pPr>
      <w:r w:rsidRPr="0026452D">
        <w:rPr>
          <w:rStyle w:val="NumeroAFNegritaCaracter"/>
        </w:rPr>
        <w:t>8</w:t>
      </w:r>
      <w:r>
        <w:t>. Por escrito presentado en el Registro General del Tribunal Constitucional el 2 de diciembre de 2011, el Letrado de la Comunidad de Madrid se personó en este procedimiento y formuló alegaciones solicitando que se dicte Sentencia declarando la conformidad del precepto cuestionado con la Constitución.</w:t>
      </w:r>
    </w:p>
    <w:p w:rsidR="0026452D" w:rsidRDefault="0026452D" w:rsidP="0026452D">
      <w:pPr>
        <w:pStyle w:val="TextoNormal"/>
      </w:pPr>
    </w:p>
    <w:p w:rsidR="0026452D" w:rsidRDefault="0026452D" w:rsidP="0026452D">
      <w:pPr>
        <w:pStyle w:val="TextoNormal"/>
      </w:pPr>
      <w:r>
        <w:t>El representante de la Comunidad de Madrid pone de manifiesto, en primer lugar, que la doctrina establecida en la STC 26/2005, de 14 de febrero, invocada en el Auto de planteamiento no resulta aplicable, pues en el caso que ahora se examina, cuando se cometió la infracción, existía una norma de rango legal, la Ley de la Comunidad de Madrid 20/1998, que regulaba la relación de sujeción especial existente entre la Administración y quienes prestan servicios de transporte urbano de viajeros. También señala que, de acuerdo con la doctrina constitucional, las llamadas relaciones especiales de sujeción pueden suponer una legítima modulación del derecho a la legalidad sancionadora reconocido en el art. 25.1 CE, invocando en su apoyo la STC 132/2001, de 8 de junio. Por ello entiende que en este caso, al tratarse de un supuesto en el que existe esa relación de especial sujeción, es suficiente con que la norma de rango de ley contenga una mera habilitación para la tipificación de infracciones y sanciones por vía reglamentaria, como prevé el precepto cuestionado.</w:t>
      </w:r>
    </w:p>
    <w:p w:rsidR="0026452D" w:rsidRDefault="0026452D" w:rsidP="0026452D">
      <w:pPr>
        <w:pStyle w:val="TextoNormal"/>
      </w:pPr>
    </w:p>
    <w:p w:rsidR="0026452D" w:rsidRDefault="0026452D" w:rsidP="0026452D">
      <w:pPr>
        <w:pStyle w:val="TextoNormal"/>
      </w:pPr>
      <w:r w:rsidRPr="0026452D">
        <w:rPr>
          <w:rStyle w:val="NumeroAFNegritaCaracter"/>
        </w:rPr>
        <w:t>9</w:t>
      </w:r>
      <w:r>
        <w:t>. El 13 de diciembre de 2011 el Fiscal General del Estado presentó su escrito de alegaciones en el Registro General del Tribunal Constitucional. Tras exponer los antecedentes de los que trae causa la presente cuestión, comprobar que la misma reúne los requisitos de admisibilidad y exponer la doctrina constitucional sobre el principio de legalidad, entra a analizar si la norma cuestionada contiene los elementos necesarios de la conducta antijurídica, como exige, en su vertiente formal, el principio de legalidad sancionadora.</w:t>
      </w:r>
    </w:p>
    <w:p w:rsidR="0026452D" w:rsidRDefault="0026452D" w:rsidP="0026452D">
      <w:pPr>
        <w:pStyle w:val="TextoNormal"/>
      </w:pPr>
    </w:p>
    <w:p w:rsidR="0026452D" w:rsidRDefault="0026452D" w:rsidP="0026452D">
      <w:pPr>
        <w:pStyle w:val="TextoNormal"/>
      </w:pPr>
      <w:r>
        <w:t xml:space="preserve">Según sostiene el Fiscal General del Estado, la norma legal cuestionada, al remitirse a normas reglamentarias para determinar cuáles son aquellas otras condiciones esenciales de las licencias cuyo incumplimiento da lugar a la comisión de una infracción grave contiene </w:t>
      </w:r>
      <w:r>
        <w:lastRenderedPageBreak/>
        <w:t xml:space="preserve">una remisión en blanco a la potestad reglamentaria. A su juicio, este precepto legal no prevé elemento alguno que defina cuándo unos hechos o circunstancias son condiciones esenciales de la licencia o autorización, sino que contiene una remisión genérica al reglamento que permite a esta norma tipificar autónomamente nuevas conductas merecedoras de sanción. Por ello considera que la remisión al reglamento que efectúa este precepto excede de la colaboración reglamentaria permitida por el art. 25.1 CE. Señala, además, que el precepto legal cuestionado resulta también inadmisible desde la perspectiva de la legalidad material al incumplir las exigencias de la predeterminación normativa derivadas también del principio de legalidad sancionadora. A su juicio, la mera exigencia legal de que el incumplimiento se refiera a las condiciones esenciales de la licencia sin haber definido previamente en qué consisten estas condiciones —más allá de las que el propio precepto cita </w:t>
      </w:r>
      <w:r w:rsidRPr="0026452D">
        <w:rPr>
          <w:i/>
        </w:rPr>
        <w:t>ad exemplum</w:t>
      </w:r>
      <w:r>
        <w:t>— dificulta el conocimiento de lo prohibido, lo que determina, afirma, que la norma de remisión no salvaguarde suficientemente el valor de seguridad jurídica al que sirve, entre otros, el art. 25.1 CE.</w:t>
      </w:r>
    </w:p>
    <w:p w:rsidR="0026452D" w:rsidRDefault="0026452D" w:rsidP="0026452D">
      <w:pPr>
        <w:pStyle w:val="TextoNormal"/>
      </w:pPr>
    </w:p>
    <w:p w:rsidR="0026452D" w:rsidRDefault="0026452D" w:rsidP="0026452D">
      <w:pPr>
        <w:pStyle w:val="TextoNormal"/>
      </w:pPr>
      <w:r>
        <w:t>Señala, por último, el Fiscal General del Estado que aunque llegase a considerarse que la norma cuestionada regula relaciones especiales de sujeción —que no es el caso, a su juicio—, tampoco podría entenderse que tal norma se ajusta al principio de legalidad. En ese tipo de relaciones las exigencias del principio de legalidad pueden sufrir modulaciones, pero no suprimirse, que es, a su juicio, lo que ocurre en el presente asunto.</w:t>
      </w:r>
    </w:p>
    <w:p w:rsidR="0026452D" w:rsidRDefault="0026452D" w:rsidP="0026452D">
      <w:pPr>
        <w:pStyle w:val="TextoNormal"/>
      </w:pPr>
    </w:p>
    <w:p w:rsidR="0026452D" w:rsidRDefault="0026452D" w:rsidP="0026452D">
      <w:pPr>
        <w:pStyle w:val="TextoNormal"/>
      </w:pPr>
      <w:r>
        <w:t>Las consideraciones anteriores llevan al Fiscal a solicitar que se estime la presente cuestión de inconstitucionalidad y, en consecuencia, que se anule el apartado 7 del art. 16.2 b) de la Ley de la Comunidad de Madrid 20/1998, de 27 de noviembre.</w:t>
      </w:r>
    </w:p>
    <w:p w:rsidR="0026452D" w:rsidRDefault="0026452D" w:rsidP="0026452D">
      <w:pPr>
        <w:pStyle w:val="TextoNormal"/>
      </w:pPr>
    </w:p>
    <w:p w:rsidR="0026452D" w:rsidRDefault="0026452D" w:rsidP="0026452D">
      <w:pPr>
        <w:pStyle w:val="TextoNormal"/>
      </w:pPr>
      <w:r w:rsidRPr="0026452D">
        <w:rPr>
          <w:rStyle w:val="NumeroAFNegritaCaracter"/>
        </w:rPr>
        <w:t>10</w:t>
      </w:r>
      <w:r>
        <w:t>. El 9 de diciembre de 2011 se registró en el Tribunal Constitucional el escrito de la Mesa de la Asamblea de Madrid por el que se acordó, de conformidad con lo dispuesto en el art. 222 del Reglamento de la Asamblea de Madrid, no proponer a la Junta de Portavoces su elevación al Pleno de la Cámara, en orden a personarse y formular alegaciones ante el Tribunal Constitucional en este procedimiento.</w:t>
      </w:r>
    </w:p>
    <w:p w:rsidR="0026452D" w:rsidRDefault="0026452D" w:rsidP="0026452D">
      <w:pPr>
        <w:pStyle w:val="TextoNormal"/>
      </w:pPr>
    </w:p>
    <w:p w:rsidR="0026452D" w:rsidRDefault="0026452D" w:rsidP="0026452D">
      <w:pPr>
        <w:pStyle w:val="TextoNormal"/>
      </w:pPr>
      <w:r w:rsidRPr="0026452D">
        <w:rPr>
          <w:rStyle w:val="NumeroAFNegritaCaracter"/>
        </w:rPr>
        <w:t>11</w:t>
      </w:r>
      <w:r>
        <w:t>. Por providencia de 24 de enero de 2013 se señaló para deliberación y votación de la presente Sentencia el día 28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La presente cuestión de inconstitucionalidad, planteada por la Sección Segunda de la Sala de lo Contencioso-Administrativo del Tribunal Superior de Justicia de Madrid, por Auto de 15 de julio de 2011, tiene por objeto determinar si el apartado 7 del art. 16.2 b) de la Ley 20/1998, de 27 de noviembre, de ordenación y coordinación de los transportes urbanos de la Comunidad de Madrid vulnera el art. 25.1 CE. Como se ha indicado en los antecedentes, este precepto legal tipifica como infracción grave “el incumplimiento de las condiciones esenciales de la autorización o licencia, salvo que deba considerarse infracción muy grave”. Según dispone expresamente esta norma, entre esas condiciones esenciales se incluyen, en todo caso, las que el propio precepto establece en sus seis primeros apartados, y en el número séptimo, que es el ahora cuestionado, se establece, además, “cualesquiera otras que puedan establecerse reglamentariamente”.</w:t>
      </w:r>
    </w:p>
    <w:p w:rsidR="0026452D" w:rsidRDefault="0026452D" w:rsidP="0026452D">
      <w:pPr>
        <w:pStyle w:val="TextoNormal"/>
      </w:pPr>
    </w:p>
    <w:p w:rsidR="0026452D" w:rsidRDefault="0026452D" w:rsidP="0026452D">
      <w:pPr>
        <w:pStyle w:val="TextoNormal"/>
      </w:pPr>
      <w:r>
        <w:t>El Abogado del Estado y el Letrado de la Comunidad de Madrid consideran que, en este caso, la remisión al reglamento que efectúa el precepto legal cuestionado no vulnera el art. 25.1 CE, pues entienden que respeta las exigencias que se derivan del referido precepto constitucional. Por el contrario, el Fiscal General del Estado entiende que está remitiendo al reglamento la tipificación, de manera autónoma e independiente de la ley, de infracciones administrativas, lo que determina, a su juicio, la vulneración del principio de legalidad sancionadora.</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De acuerdo con la doctrina reiterada de este Tribunal (entre otras muchas, SSTC 104/2009, de 4 de mayo, FJ 2; 135/2010, de 2 de diciembre, FJ 4; 144/2011, de 26 de septiembre, FJ 4; y 90/2012, de 7 de mayo, FJ 4) el art. 25.1 CE, que incorpora la regla </w:t>
      </w:r>
      <w:r w:rsidRPr="0026452D">
        <w:rPr>
          <w:i/>
        </w:rPr>
        <w:t>nullum crimen nulla poena sine lege</w:t>
      </w:r>
      <w:r>
        <w:t xml:space="preserve">, comprende una doble garantía, formal y material. La garantía material, como señaló la STC 242/2005, de 10 de octubre, FJ 2, deriva “del mandato de taxatividad o de </w:t>
      </w:r>
      <w:r w:rsidRPr="0026452D">
        <w:rPr>
          <w:i/>
        </w:rPr>
        <w:t>lex certa</w:t>
      </w:r>
      <w:r>
        <w:t xml:space="preserve">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(en el mismo sentido, entre otras muchas, SSTC 104/2009, de 4 de mayo, FJ 2; 144/2011, de 26 de septiembre de 2011, FJ 4; y 90/2012, de 7 de mayo, FJ 4). Por esta razón, como también señala la citada STC 104/2009, de 4 de mayo, FJ 2,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w:t>
      </w:r>
    </w:p>
    <w:p w:rsidR="0026452D" w:rsidRDefault="0026452D" w:rsidP="0026452D">
      <w:pPr>
        <w:pStyle w:val="TextoNormal"/>
      </w:pPr>
    </w:p>
    <w:p w:rsidR="0026452D" w:rsidRDefault="0026452D" w:rsidP="0026452D">
      <w:pPr>
        <w:pStyle w:val="TextoNormal"/>
      </w:pPr>
      <w:r>
        <w:t>La garantía formal, como señala la STC 166/2012, de 1 octubre, FJ 5, hace referencia al rango necesario de las normas tipificadoras de esas conductas y sanciones y sostiene, siguiendo la constante jurisprudencia de este Tribunal, que el término “legislación vigente” contenido en el art. 25.1 CE es expresivo de una reserva de ley en materia sancionadora (por todas STC 77/2006, de 13 de marzo, FJ único y jurisprudencia allí citada).</w:t>
      </w:r>
    </w:p>
    <w:p w:rsidR="0026452D" w:rsidRDefault="0026452D" w:rsidP="0026452D">
      <w:pPr>
        <w:pStyle w:val="TextoNormal"/>
      </w:pPr>
    </w:p>
    <w:p w:rsidR="0026452D" w:rsidRDefault="0026452D" w:rsidP="0026452D">
      <w:pPr>
        <w:pStyle w:val="TextoNormal"/>
      </w:pPr>
      <w:r>
        <w:t xml:space="preserve">No obstante, este Tribunal ha señalado también (entre otras muchas, STC 26/2005, de 14 de febrero, FJ 3) que en relación con “las infracciones y sanciones administrativas el alcance de la reserva de Ley no puede ser tan riguroso como lo es por referencia a los tipos y sanciones penales en sentido estricto, y ello tanto ‘por razones que atañen al modelo constitucional de distribución de las potestades públicas’ como ‘por el carácter en cierto modo insuprimible de la potestad reglamentaria en ciertas materias, bien, por último, por exigencias de prudencia o de oportunidad’ (STC 42/1987, de 7 de abril, FJ 2)” . Por esta razón es doctrina constitucional reiterada, por todas, STC 242/2005, de 10 de octubre, FJ 2, que la garantía formal, a diferencia de la garantía material, cuyo alcance es absoluto, “tiene una eficacia relativa o limitada en el ámbito sancionador administrativo, toda vez que no cabe excluir la colaboración reglamentaria en la propia tarea de tipificación de las infracciones y atribución de las correspondientes sanciones, aunque sí hay que excluir el que tales remisiones hagan posible una regulación independiente y no claramente subordinada a la Ley”. De ahí que en la citada STC 242/2005, de 10 de octubre, FJ 2, se sostenga que “la garantía formal implica que la ley debe contener la determinación de los elementos esenciales de la </w:t>
      </w:r>
      <w:r>
        <w:lastRenderedPageBreak/>
        <w:t>conducta antijurídica y al reglamento sólo puede corresponder, en su caso, el desarrollo y precisión de los tipos de infracciones previamente establecidos por la ley (por todas, SSTC 161/2003, de 15 de septiembre, FJ 2, o 26/2005, de 14 de febrero, FJ 3).” En definitiva, como ha señalado la STC 104/2009, de 4 de mayo, FJ 2, lo que el art. 25.1 prohíbe “es la remisión de la ley al reglamento sin una previa determinación de los elementos esenciales de la conducta antijurídica”.</w:t>
      </w:r>
    </w:p>
    <w:p w:rsidR="0026452D" w:rsidRDefault="0026452D" w:rsidP="0026452D">
      <w:pPr>
        <w:pStyle w:val="TextoNormal"/>
      </w:pPr>
    </w:p>
    <w:p w:rsidR="0026452D" w:rsidRDefault="0026452D" w:rsidP="0026452D">
      <w:pPr>
        <w:pStyle w:val="TextoNormal"/>
      </w:pPr>
      <w:r w:rsidRPr="0026452D">
        <w:rPr>
          <w:rStyle w:val="NumeroAFNegritaCaracter"/>
        </w:rPr>
        <w:t>3</w:t>
      </w:r>
      <w:r>
        <w:t>. El art. 16.2 b) de la Ley 20/1998, de ordenación y coordinación de los transportes urbanos de la Comunidad de Madrid, como se ha indicado, tipifica como infracción grave el incumplimiento de las condiciones esenciales de la autorización o licencia, salvo que deba considerarse infracción muy grave, y establece expresamente que entre esas condiciones esenciales deberán incluirse las que el propio precepto legal enumera y “cualesquiera otras que puedan establecerse reglamentariamente”, siendo esta última previsión la que es objeto de la presente cuestión de inconstitucionalidad.</w:t>
      </w:r>
    </w:p>
    <w:p w:rsidR="0026452D" w:rsidRDefault="0026452D" w:rsidP="0026452D">
      <w:pPr>
        <w:pStyle w:val="TextoNormal"/>
      </w:pPr>
    </w:p>
    <w:p w:rsidR="0026452D" w:rsidRDefault="0026452D" w:rsidP="0026452D">
      <w:pPr>
        <w:pStyle w:val="TextoNormal"/>
      </w:pPr>
      <w:r>
        <w:t>De acuerdo con la doctrina que se acaba de exponer, para apreciar si la remisión al reglamento que efectúa el apartado séptimo del art. 16.2 b) de la Ley 20/1998 de la Comunidad de Madrid es acorde con el art. 25.1 CE debemos comprobar si el precepto legal que efectúa esta remisión define los elementos esenciales de la conducta antijurídica o si, por el contrario, está remitiendo a la potestad reglamentaria una tipificación autónoma de infracciones, lo que determinaría la inconstitucionalidad del precepto por no respetar la garantía formal que se deriva del principio de legalidad sancionadora.</w:t>
      </w:r>
    </w:p>
    <w:p w:rsidR="0026452D" w:rsidRDefault="0026452D" w:rsidP="0026452D">
      <w:pPr>
        <w:pStyle w:val="TextoNormal"/>
      </w:pPr>
    </w:p>
    <w:p w:rsidR="0026452D" w:rsidRDefault="0026452D" w:rsidP="0026452D">
      <w:pPr>
        <w:pStyle w:val="TextoNormal"/>
      </w:pPr>
      <w:r>
        <w:t>Así lo hemos hecho en otros supuestos en los que la ley defería al reglamento la concreción de algunos de los elementos de la conducta típica. Por ejemplo, en la STC 3/1988, de 21 de enero, consideramos que el art. 9 del Real Decreto-ley 3/1979 de 26 de enero, sobre seguridad ciudadana, que disponía que podía ser sancionado “el incumplimiento de las normas de seguridad impuestas reglamentariamente a las Empresas para prevenir la comisión de actos delictivos” no vulneraba el art. 25.1 CE, pues consideramos que dicho precepto cuestionado fijaba suficientemente los elementos esenciales del ilícito administrativo, al concretar “el desvalor de las conductas consideradas ilícitas en la referencia al incumplimiento por las Empresas de normas de seguridad teleológicamente encaminadas a la prevención de hechos delictivos, normas de seguridad que vendrán luego determinadas en sus circunstancias particulares por reglamentos que responderán, en cada caso, a valoraciones de carácter técnico y contingente, efectuadas por la Administración” (FJ 10). Por las mismas razones, la STC 246/1991, de 19 de diciembre, FJ 3, desestimó un recurso de amparo en el que se aducía, entre otros motivos, que la sanción impuesta en virtud de lo establecido en también en el art 9 del Real Decreto-ley 3/1979 legal vulneraba su derecho fundamental a la legalidad sancionadora.</w:t>
      </w:r>
    </w:p>
    <w:p w:rsidR="0026452D" w:rsidRDefault="0026452D" w:rsidP="0026452D">
      <w:pPr>
        <w:pStyle w:val="TextoNormal"/>
      </w:pPr>
    </w:p>
    <w:p w:rsidR="0026452D" w:rsidRDefault="0026452D" w:rsidP="0026452D">
      <w:pPr>
        <w:pStyle w:val="TextoNormal"/>
      </w:pPr>
      <w:r>
        <w:t xml:space="preserve">También se planteaba una cuestión similar en la STC 25/2002, de 11 de febrero. Esta Sentencia resolvió un recurso de amparo en el que se aducía, entre otras cosas, que la norma que servía de cobertura a la sanción impuesta, el art. 91 de la Ley 25/1964, no satisfacía las exigencias del principio de legalidad formal que garantiza el art. 25.1 CE. El Tribunal desestimó esta queja por entender que, al margen de que fuera una norma preconstitucional, el referido precepto, que establecía que “la infracción de preceptos legales y reglamentarios” </w:t>
      </w:r>
      <w:r>
        <w:lastRenderedPageBreak/>
        <w:t>sobre determinadas materias, entre otras, sobre “registro y comunicación de datos” y “condiciones de seguridad técnica o sanitaria del personal”, tipificaba los elementos esenciales de la conducta por la que fue sancionada la entidad demandante de amparo.</w:t>
      </w:r>
    </w:p>
    <w:p w:rsidR="0026452D" w:rsidRDefault="0026452D" w:rsidP="0026452D">
      <w:pPr>
        <w:pStyle w:val="TextoNormal"/>
      </w:pPr>
    </w:p>
    <w:p w:rsidR="0026452D" w:rsidRDefault="0026452D" w:rsidP="0026452D">
      <w:pPr>
        <w:pStyle w:val="TextoNormal"/>
      </w:pPr>
      <w:r>
        <w:t>Y a la misma conclusión llegamos en la STC 104/2009, de 4 mayo. En esta Sentencia entendimos que el art. 91 b) 1 de la Ley 25/1964, de 29 de abril, de energía nuclear, en la redacción dada por la disposición adicional quinta de la Ley 54/1997, de 27 de noviembre del sector eléctrico, en el que se establece que constituye infracción grave “el incumplimiento de los preceptos legales o reglamentarios aplicables o de los términos y condiciones de las autorizaciones o documentos oficiales de explotación, cuando no constituya falta muy grave, salvo los de escasa trascendencia” es acorde con las garantías formales y materiales que se derivan del art. 25.1 CE. En este caso sostuvimos que “la infracción grave tipificada en el art. 91 b). 1 de la Ley de energía nuclear delimita los elementos esenciales de las conductas antijurídicas sancionadas, pues no sólo contiene la acotación del ámbito al que se refieren las normas reglamentarias y las autorizaciones o documentos oficiales de explotación a que se refiere la remisión, que es la actividad desarrollada en las instalaciones nucleares y radioactivas, así como la identificación de los sujetos que pueden cometer la infracción, esto es, las empresas que realicen dicha actividad (art. 91, inciso primero, de la Ley de energía nuclear), sino que, además, mediante la integración del precepto cuestionado con el art. 91 a) de la propia Ley al que indirectamente se remite (‘cuando no constituya falta muy grave’), se enuncia el bien jurídico protegido, y se describe suficientemente en qué consiste la conducta infractora, por lo que la remisión a las normas reglamentarias y a los términos y condiciones de las autorizaciones o los documentos oficiales de explotación, satisface plenamente la garantía formal del art. 25.1 CE, al tratarse de una regulación complementaria y claramente subordinada a la Ley.”</w:t>
      </w:r>
    </w:p>
    <w:p w:rsidR="0026452D" w:rsidRDefault="0026452D" w:rsidP="0026452D">
      <w:pPr>
        <w:pStyle w:val="TextoNormal"/>
      </w:pPr>
    </w:p>
    <w:p w:rsidR="0026452D" w:rsidRDefault="0026452D" w:rsidP="0026452D">
      <w:pPr>
        <w:pStyle w:val="TextoNormal"/>
      </w:pPr>
      <w:r>
        <w:t>Por el contrario, hemos considerado que la remisión de la ley al reglamento no satisfacía las exigencias del art. 25.1 CE cuando esta remisión se efectuaba sin una “definición básica de la conducta prohibida en la propia ley” (SSTC 60/2000, de 2 de marzo, FJ 4 y 26/2005, de 14 de febrero, FJ 4). Por esta razón, la última Sentencia citada consideró que el art. 8 de la Ley 38/1985, de 22 de noviembre, del monopolio fiscal de tabacos que, en su apartado 3, disponía que "mediante normas reglamentarias" se establecería “el régimen sancionador” y en su apartado 4 establecía que la Delegación del Gobierno podría sancionar a los expendedores cuando incurrieran las infracciones que se determinaran en el reglamento que desarrollaba la ley era contrario al principio de legalidad sancionadora en su vertiente formal. De igual modo en la STC 81/2009, de 23 de marzo, anulamos el art. 69.3 c) de la Ley 10/1990, de 15 de octubre, del deporte, en el que se establecía que eran infracciones leves “todas las acciones u omisiones no tipificadas como infracciones graves o muy graves en el presente Título y que sean contrarias a las normas y reglamentos aplicables a los espectáculos deportivos”, al apreciar que no contenía los elementos esenciales de la conducta antijurídica, por lo que permitía una regulación reglamentaria independiente, lo que era contrario a las exigencias de legalidad formal que se derivan del art. 25.1 CE.</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El art. 16.2 de la Ley 20/1998, de ordenación y coordinación de los transportes urbanos de la Comunidad de Madrid establece que constituye infracción administrativa grave el incumplimiento de las “condiciones esenciales de la autorización o licencia”, cuando no tenga la consideración de infracción muy grave. Se refiere a continuación a seis condiciones </w:t>
      </w:r>
      <w:r>
        <w:lastRenderedPageBreak/>
        <w:t>esenciales, acotando el ámbito material que a cada una le corresponde, sin perjuicio del correspondiente desarrollo reglamentario.</w:t>
      </w:r>
    </w:p>
    <w:p w:rsidR="0026452D" w:rsidRDefault="0026452D" w:rsidP="0026452D">
      <w:pPr>
        <w:pStyle w:val="TextoNormal"/>
      </w:pPr>
    </w:p>
    <w:p w:rsidR="0026452D" w:rsidRDefault="0026452D" w:rsidP="0026452D">
      <w:pPr>
        <w:pStyle w:val="TextoNormal"/>
      </w:pPr>
      <w:r>
        <w:t>“1. La iniciación de los servicios interurbanos en vehículos de turismo dentro del municipio otorgante de la correspondiente licencia.</w:t>
      </w:r>
    </w:p>
    <w:p w:rsidR="0026452D" w:rsidRDefault="0026452D" w:rsidP="0026452D">
      <w:pPr>
        <w:pStyle w:val="TextoNormal"/>
      </w:pPr>
    </w:p>
    <w:p w:rsidR="0026452D" w:rsidRDefault="0026452D" w:rsidP="0026452D">
      <w:pPr>
        <w:pStyle w:val="TextoNormal"/>
      </w:pPr>
      <w:r>
        <w:t>2. La disposición del número mínimo de conductores que, en su caso, reglamentariamente se exijan.</w:t>
      </w:r>
    </w:p>
    <w:p w:rsidR="0026452D" w:rsidRDefault="0026452D" w:rsidP="0026452D">
      <w:pPr>
        <w:pStyle w:val="TextoNormal"/>
      </w:pPr>
    </w:p>
    <w:p w:rsidR="0026452D" w:rsidRDefault="0026452D" w:rsidP="0026452D">
      <w:pPr>
        <w:pStyle w:val="TextoNormal"/>
      </w:pPr>
      <w:r>
        <w:t>3. La plena dedicación del titular de la preceptiva licencia o autorización habilitante al ejercicio de la actividad, cuando así se exija reglamentariamente.</w:t>
      </w:r>
    </w:p>
    <w:p w:rsidR="0026452D" w:rsidRDefault="0026452D" w:rsidP="0026452D">
      <w:pPr>
        <w:pStyle w:val="TextoNormal"/>
      </w:pPr>
    </w:p>
    <w:p w:rsidR="0026452D" w:rsidRDefault="0026452D" w:rsidP="0026452D">
      <w:pPr>
        <w:pStyle w:val="TextoNormal"/>
      </w:pPr>
      <w:r>
        <w:t>4. La contratación global de la capacidad del vehículo cuando así se exija reglamentariamente.</w:t>
      </w:r>
    </w:p>
    <w:p w:rsidR="0026452D" w:rsidRDefault="0026452D" w:rsidP="0026452D">
      <w:pPr>
        <w:pStyle w:val="TextoNormal"/>
      </w:pPr>
    </w:p>
    <w:p w:rsidR="0026452D" w:rsidRDefault="0026452D" w:rsidP="0026452D">
      <w:pPr>
        <w:pStyle w:val="TextoNormal"/>
      </w:pPr>
      <w:r>
        <w:t>5. El cumplimiento de las condiciones técnicas y de seguridad exigidas al vehículo, así como la instalación y adecuado funcionamiento de los instrumentos que obligatoriamente hayan de instalarse en el mismo para el control de las condiciones de prestación del servicio.</w:t>
      </w:r>
    </w:p>
    <w:p w:rsidR="0026452D" w:rsidRDefault="0026452D" w:rsidP="0026452D">
      <w:pPr>
        <w:pStyle w:val="TextoNormal"/>
      </w:pPr>
    </w:p>
    <w:p w:rsidR="0026452D" w:rsidRDefault="0026452D" w:rsidP="0026452D">
      <w:pPr>
        <w:pStyle w:val="TextoNormal"/>
      </w:pPr>
      <w:r>
        <w:t>6. El cumplimiento del régimen tarifario, en el sector del auto-taxi…”</w:t>
      </w:r>
    </w:p>
    <w:p w:rsidR="0026452D" w:rsidRDefault="0026452D" w:rsidP="0026452D">
      <w:pPr>
        <w:pStyle w:val="TextoNormal"/>
      </w:pPr>
    </w:p>
    <w:p w:rsidR="0026452D" w:rsidRDefault="0026452D" w:rsidP="0026452D">
      <w:pPr>
        <w:pStyle w:val="TextoNormal"/>
      </w:pPr>
      <w:r>
        <w:t>El precepto incluye un apartado 7 conforme al que serán también condiciones esenciales “cualesquiera otras que puedan establecerse reglamentariamente”. Esta previsión, que es el objeto de la presente cuestión de constitucionalidad, supone la atribución de un amplísimo margen al reglamento para la fijación de las conductas sancionables. Impone un solo límite: las infracciones administrativas pueden referirse a cualesquiera condiciones de la autorización o licencia siempre que puedan considerarse esenciales; sin acotación material alguna ni referencia a bienes jurídicos cuya protección pudiera justificar la sanción.</w:t>
      </w:r>
    </w:p>
    <w:p w:rsidR="0026452D" w:rsidRDefault="0026452D" w:rsidP="0026452D">
      <w:pPr>
        <w:pStyle w:val="TextoNormal"/>
      </w:pPr>
    </w:p>
    <w:p w:rsidR="0026452D" w:rsidRDefault="0026452D" w:rsidP="0026452D">
      <w:pPr>
        <w:pStyle w:val="TextoNormal"/>
      </w:pPr>
      <w:r>
        <w:t xml:space="preserve">Ciertamente, el concepto jurídico indeterminado “condiciones esenciales de la autorización o licencia” es un parámetro legal que en alguna medida orienta al reglamento. No obstante, en ausencia de más determinaciones legales, constituye una laxa e insuficiente guía normativa desde la perspectiva del principio de legalidad sancionadora. Con ello está permitiendo que la Administración lleve a cabo una tipificación </w:t>
      </w:r>
      <w:r w:rsidRPr="0026452D">
        <w:rPr>
          <w:i/>
        </w:rPr>
        <w:t>ex novo</w:t>
      </w:r>
      <w:r>
        <w:t xml:space="preserve"> de conductas ilícitas vulnerando de este modo la garantía formal del principio de legalidad sancionadora. Debe pues afirmarse que los elementos esenciales de la conducta antijurídica no están identificados en la Ley y por ello la entera definición de esos “elementos esenciales” es la que se encomienda al poder reglamentario en contra del art. 25.1 CE.</w:t>
      </w:r>
    </w:p>
    <w:p w:rsidR="0026452D" w:rsidRDefault="0026452D" w:rsidP="0026452D">
      <w:pPr>
        <w:pStyle w:val="TextoNormal"/>
      </w:pPr>
    </w:p>
    <w:p w:rsidR="0026452D" w:rsidRDefault="0026452D" w:rsidP="0026452D">
      <w:pPr>
        <w:pStyle w:val="TextoNormal"/>
      </w:pPr>
      <w:r>
        <w:t xml:space="preserve">Por otra parte, debe señalarse que, como sostuvimos en la STC 132/2001, de 8 de junio, en un supuesto en el que se recurría en amparo una sanción impuesta a un taxista, la relación administrativa que une al Ayuntamiento de Madrid con el sancionado no determina modulación alguna del derecho a la legalidad sancionadora. Ello porque “ningún precepto constitucional prevé, ni explícita ni implícitamente, la limitación de derechos constitucionales en un ámbito de actividad económica privada, aunque esté intervenida y reglamentada, como es la prestación de servicios de transporte en auto-taxi”. Por esta razón, “con independencia de cómo se denomine la relación que une al titular de la licencia de auto-taxi con su </w:t>
      </w:r>
      <w:r>
        <w:lastRenderedPageBreak/>
        <w:t>Ayuntamiento, no hay fundamento alguno para que la sanción impuesta al recurrente carezca de la cobertura legal que, con carácter general, exige el art. 25.1 CE”, conclusión que reafirmamos en este caso.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la presente cuestión de inconstitucionalidad y, en su virtud, declarar inconstitucional y nulo el apartado 7 del art. 16.2 b) de la Ley 20/1998, de 27 de noviembre, de ordenación y coordinación de los transportes urbanos de la Comunidad de Madrid.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veintiocho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7" w:name="SENTENCIA_2013_14"/>
      <w:r>
        <w:lastRenderedPageBreak/>
        <w:t>SENTENCIA 14/2013, de 31 de enero de 2013</w:t>
      </w:r>
    </w:p>
    <w:bookmarkEnd w:id="17"/>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ECLI:ES:TC:2013:14</w:t>
      </w:r>
    </w:p>
    <w:p w:rsidR="0026452D" w:rsidRDefault="0026452D" w:rsidP="0026452D">
      <w:pPr>
        <w:pStyle w:val="SntesisDescriptiva"/>
      </w:pPr>
    </w:p>
    <w:p w:rsidR="0026452D" w:rsidRDefault="0026452D" w:rsidP="0026452D">
      <w:pPr>
        <w:pStyle w:val="SntesisDescriptiva"/>
      </w:pPr>
      <w:r>
        <w:t>Recurso de inconstitucionalidad 2521-2002. Interpuesto por el Presidente del Gobierno en relación con el artículo 20.1 de la Ley del Parlamento de Cataluña 10/2001, de 13 de julio, de archivos y documentos.</w:t>
      </w:r>
    </w:p>
    <w:p w:rsidR="0026452D" w:rsidRDefault="0026452D" w:rsidP="0026452D">
      <w:pPr>
        <w:pStyle w:val="SntesisDescriptiva"/>
      </w:pPr>
    </w:p>
    <w:p w:rsidR="0026452D" w:rsidRDefault="0026452D" w:rsidP="0026452D">
      <w:pPr>
        <w:pStyle w:val="SntesisAnaltica"/>
      </w:pPr>
      <w:r>
        <w:t>Competencias sobre archivos y cultura: constitucionalidad de los preceptos legales autonómicos que integran en el sistema de archivos de Cataluña el Archivo de la Corona de Aragón y los archivos históricos provinciales (STC 103/1988).</w:t>
      </w:r>
    </w:p>
    <w:p w:rsidR="0026452D" w:rsidRDefault="0026452D" w:rsidP="0026452D">
      <w:pPr>
        <w:pStyle w:val="SntesisAnaltica"/>
      </w:pPr>
    </w:p>
    <w:p w:rsidR="0026452D" w:rsidRDefault="0026452D" w:rsidP="0026452D">
      <w:pPr>
        <w:pStyle w:val="Extracto"/>
      </w:pPr>
      <w:r>
        <w:t>1.</w:t>
      </w:r>
      <w:r>
        <w:tab/>
        <w:t>La interpretación natural del precepto impugnado, que incluye el Archivo de la Corona de Aragón y los archivos históricos provinciales en el sistema de archivos de Cataluña, atendiendo a su texto, al conjunto normativo en que se integra y a la doctrina consolidada de este Tribunal, no transgrede los límites competenciales establecidos en el art. 149.1.28 CE en relación con el art. 149.2 CE [FJ 6].</w:t>
      </w:r>
    </w:p>
    <w:p w:rsidR="0026452D" w:rsidRDefault="0026452D" w:rsidP="0026452D">
      <w:pPr>
        <w:pStyle w:val="Extracto"/>
      </w:pPr>
    </w:p>
    <w:p w:rsidR="0026452D" w:rsidRDefault="0026452D" w:rsidP="0026452D">
      <w:pPr>
        <w:pStyle w:val="Extracto"/>
      </w:pPr>
      <w:r>
        <w:t>2.</w:t>
      </w:r>
      <w:r>
        <w:tab/>
        <w:t>Corresponde a la Comunidad Autónoma, en relación a los archivos históricos provinciales cuya gestión haya transferido el Estado, la ejecución de la normativa aprobada por el Estado, conforme al correspondiente convenio de traspaso de competencias, careciendo la Comunidad Autónoma de una potestad reglamentaria de alcance general, estando limitada a la emanación de reglamentos de organización interna y de ordenación funcional de la competencia ejecutiva autonómica (SSTC 18/1982, 31/2010) [FJ 6].</w:t>
      </w:r>
    </w:p>
    <w:p w:rsidR="0026452D" w:rsidRDefault="0026452D" w:rsidP="0026452D">
      <w:pPr>
        <w:pStyle w:val="Extracto"/>
      </w:pPr>
    </w:p>
    <w:p w:rsidR="0026452D" w:rsidRDefault="0026452D" w:rsidP="0026452D">
      <w:pPr>
        <w:pStyle w:val="Extracto"/>
      </w:pPr>
      <w:r>
        <w:t>3.</w:t>
      </w:r>
      <w:r>
        <w:tab/>
        <w:t>La transferencia de la gestión sobre archivos de titularidad estatal no conlleva la atribución de la potestad reglamentaria, pues lo que establece el art. 149.1.28 CE es la posibilidad de transferir la gestión de dichos establecimientos a las Comunidades Autónomas, y que, una vez hecho, a la Comunidad Autónoma corresponde la ejecución de la legislación del Estado, esto es, sujetando su gestión a las normas reglamentarias que en desarrollo de su legislación dicte el Estado (STC 17/1991) [FJ 6].</w:t>
      </w:r>
    </w:p>
    <w:p w:rsidR="0026452D" w:rsidRDefault="0026452D" w:rsidP="0026452D">
      <w:pPr>
        <w:pStyle w:val="Extracto"/>
      </w:pPr>
    </w:p>
    <w:p w:rsidR="0026452D" w:rsidRDefault="0026452D" w:rsidP="0026452D">
      <w:pPr>
        <w:pStyle w:val="Extracto"/>
      </w:pPr>
      <w:r>
        <w:t>4.</w:t>
      </w:r>
      <w:r>
        <w:tab/>
        <w:t>No contradice el art. 149.1.28 CE, en relación con el art. 149.2 CE, que los fondos ubicados en archivos de titularidad estatal se integren en sistemas archivísticos de las Comunidades Autónomas, en cuanto ello implique una calificación que sólo añada una sobreprotección a dichos fondos, pero sin incidencia en la regulación, disposición o gestión de los fondos documentales ni de los archivos en que se ubican (SSTC 31/2010, 48/2010) [FJ 5].</w:t>
      </w:r>
    </w:p>
    <w:p w:rsidR="0026452D" w:rsidRDefault="0026452D" w:rsidP="0026452D">
      <w:pPr>
        <w:pStyle w:val="Extracto"/>
      </w:pPr>
    </w:p>
    <w:p w:rsidR="0026452D" w:rsidRDefault="0026452D" w:rsidP="0026452D">
      <w:pPr>
        <w:pStyle w:val="Extracto"/>
      </w:pPr>
      <w:r>
        <w:t>5.</w:t>
      </w:r>
      <w:r>
        <w:tab/>
        <w:t>Ha de distinguirse la competencia para definir e integrar los elementos que componen el patrimonio documental y la competencia sobre los archivos que contienen dichos documentos, ya que la calificación de documentos y la ordenación de archivos son intervenciones legislativas diferentes (STC 103/1988) [FJ 5].</w:t>
      </w:r>
    </w:p>
    <w:p w:rsidR="0026452D" w:rsidRDefault="0026452D" w:rsidP="0026452D">
      <w:pPr>
        <w:pStyle w:val="Extracto"/>
      </w:pPr>
    </w:p>
    <w:p w:rsidR="0026452D" w:rsidRDefault="0026452D" w:rsidP="0026452D">
      <w:pPr>
        <w:pStyle w:val="Extracto"/>
      </w:pPr>
      <w:r>
        <w:t>6.</w:t>
      </w:r>
      <w:r>
        <w:tab/>
        <w:t>Las competencias autonómicas sobre patrimonio histórico incluyen la capacidad para definir los elementos integrantes del mismo, y ello aun en el caso de que los documentos de interés para la Comunidad Autónoma se integren en archivos de titularidad estatal, siendo la Comunidad Autónoma la que puede establecer la definición y los elementos integrantes de su patrimonio documental con independencia de la titularidad de los documentos y del archivo en que se hallen ubicados (STC 103/1988) [FJ 5].</w:t>
      </w:r>
    </w:p>
    <w:p w:rsidR="0026452D" w:rsidRDefault="0026452D" w:rsidP="0026452D">
      <w:pPr>
        <w:pStyle w:val="Extracto"/>
      </w:pPr>
    </w:p>
    <w:p w:rsidR="0026452D" w:rsidRDefault="0026452D" w:rsidP="0026452D">
      <w:pPr>
        <w:pStyle w:val="Extracto"/>
      </w:pPr>
      <w:r>
        <w:t>7.</w:t>
      </w:r>
      <w:r>
        <w:tab/>
        <w:t>En la noción constitucional de ‘archivo’ concurren dos significados, el referido a los fondos documentales y el que atañe a las entidades o instituciones responsables de la custodia, conservación y tratamiento de tales fondos, lo que permite que las Comunidades Autónomas, en el ejercicio de sus competencias sobre patrimonio cultural, puedan otorgar una determinada calificación a fondos documentales de su interés integrados en archivos de titularidad estatal, a los efectos de su protección, pero sin que esa calificación confiera facultades de disposición u ordenación sobre los fondos documentales ni sobre los archivos en que se ubican (STC 103/1988) [FJ 5].</w:t>
      </w:r>
    </w:p>
    <w:p w:rsidR="0026452D" w:rsidRDefault="0026452D" w:rsidP="0026452D">
      <w:pPr>
        <w:pStyle w:val="Extracto"/>
      </w:pPr>
    </w:p>
    <w:p w:rsidR="0026452D" w:rsidRDefault="0026452D" w:rsidP="0026452D">
      <w:pPr>
        <w:pStyle w:val="Extracto"/>
      </w:pPr>
      <w:r>
        <w:t>8.</w:t>
      </w:r>
      <w:r>
        <w:tab/>
        <w:t>La competencia estatal de ‘legislación’ ha de entenderse en sentido material, refiriéndose no sólo a la ley en sentido formal, sino también a los reglamentos ejecutivos e incluso a las circulares, si tienen naturaleza normativa, mientras que la competencia autonómica de ‘ejecución’ se extiende generalmente a todos los actos aplicativos, esto es, a la potestad de administrar que comporta, junto a las facultades de mera gestión, la de dictar reglamentos internos de organización en la medida en que éstos sean necesarios para la mera estructuración interna de la organización administrativa (SSTC 18/1982, 103/1999) [FJ 6].</w:t>
      </w:r>
    </w:p>
    <w:p w:rsidR="0026452D" w:rsidRDefault="0026452D" w:rsidP="0026452D">
      <w:pPr>
        <w:pStyle w:val="Extracto"/>
      </w:pPr>
    </w:p>
    <w:p w:rsidR="0026452D" w:rsidRDefault="0026452D" w:rsidP="0026452D">
      <w:pPr>
        <w:pStyle w:val="Extracto"/>
      </w:pPr>
      <w:r>
        <w:t>9.</w:t>
      </w:r>
      <w:r>
        <w:tab/>
        <w:t>Cuando la duda de constitucionalidad se basa en un problema de delimitación competencial y el juicio de constitucionalidad ha de producirse por el contraste no sólo con la Constitución, sino con el llamado bloque de la constitucionalidad, este Tribunal habrá de considerar las leyes vigentes y las bases materiales establecidas en el momento de formularse el juicio y dictarse la Sentencia (SSTC 87/1985, 120/2012)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inconstitucionalidad núm. 2521-2002, interpuesto por el Presidente del Gobierno de la Nación, representado por el Abogado del Estado, contra el art. 20.1 a) y f) de la Ley del Parlamento de Cataluña 10/2001, de 13 de julio, de archivos y documentos. Han comparecido y formulado alegaciones la Generalitat de Cataluña y el Parlamento de Cataluña. Ha sido Ponente el Magistrado don Francisco José Hernando Santiago,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24 de abril de 2002, el Abogado del Estado, actuando en representación del Presidente del Gobierno de la Nación, interpuso recurso de inconstitucionalidad contra el art. 20.1 a) y f) de la Ley del Parlamento de Cataluña 10/2001, de 13 de julio, de archivos y documentos.</w:t>
      </w:r>
    </w:p>
    <w:p w:rsidR="0026452D" w:rsidRDefault="0026452D" w:rsidP="0026452D">
      <w:pPr>
        <w:pStyle w:val="TextoNormal"/>
      </w:pPr>
    </w:p>
    <w:p w:rsidR="0026452D" w:rsidRDefault="0026452D" w:rsidP="0026452D">
      <w:pPr>
        <w:pStyle w:val="TextoNormal"/>
      </w:pPr>
      <w:r>
        <w:t>El precepto impugnado dispone: “El Sistema de Archivos de Cataluña está integrado por los siguientes archivos: a) El Archivo de la Corona de Aragón. … f) Los archivos históricos provinciales”.</w:t>
      </w:r>
    </w:p>
    <w:p w:rsidR="0026452D" w:rsidRDefault="0026452D" w:rsidP="0026452D">
      <w:pPr>
        <w:pStyle w:val="TextoNormal"/>
      </w:pPr>
    </w:p>
    <w:p w:rsidR="0026452D" w:rsidRDefault="0026452D" w:rsidP="0026452D">
      <w:pPr>
        <w:pStyle w:val="TextoNormal"/>
      </w:pPr>
      <w:r>
        <w:t>El Abogado del Estado, tras hacer referencia al resultado infructuoso de las negociaciones llevadas al amparo del art. 33.2 de la Ley Orgánica del Tribunal Constitucional (LOTC) en el seno de la Comisión Bilateral de Cooperación entre la Administración del Estado y la Generalitat de Cataluña, expone que el recurso de inconstitucionalidad trae causa de la vulneración de la competencia exclusiva reconocida al Estado en el art. 149.1.28 CE sobre “los museos, bibliotecas y archivos de titularidad estatal, sin perjuicio de su gestión por parte de las Comunidades Autónomas”, en relación con el art. 149.2 CE, que atribuye al Estado competencias en materia de cultura. Considera que, en base a estos dos preceptos constitucionales, se puede afirmar que el Estado ostenta una competencia exclusiva sobre los archivos de su titularidad, incluyendo la legislación, su desarrollo y ejecución, sin perjuicio de que en el ejercicio de esa competencia normativa pueda atribuir a las Comunidades Autónomas, en los términos que considere oportunos, la competencia de gestión.</w:t>
      </w:r>
    </w:p>
    <w:p w:rsidR="0026452D" w:rsidRDefault="0026452D" w:rsidP="0026452D">
      <w:pPr>
        <w:pStyle w:val="TextoNormal"/>
      </w:pPr>
    </w:p>
    <w:p w:rsidR="0026452D" w:rsidRDefault="0026452D" w:rsidP="0026452D">
      <w:pPr>
        <w:pStyle w:val="TextoNormal"/>
      </w:pPr>
      <w:r>
        <w:t xml:space="preserve">Añade que el Estatuto de Autonomía de Cataluña de 1979 atribuyó a la Generalitat competencia exclusiva sobre los archivos que no sean de titularidad estatal (art. 9.6) y en relación con “el Archivo de la Corona de Aragón” estableció, en su disposición adicional segunda, que “mediante la correspondiente norma del Estado, y bajo la tutela de éste, se creará y regulará la composición y funciones de un Patronato del Archivo de la Corona de Aragón, en el que tendrán participación preeminente la Generalidad de Cataluña, otras Comunidades Autónomas y Provincias en su caso”. Por tanto, el Estatuto de Autonomía de Cataluña sólo se refiere a la competencia autonómica en relación con los archivos que no sean de titularidad estatal; y cuando se refiere a la competencia de ejecución afirma que corresponderá a la Comunidad Autónoma la ejecución de la legislación del Estado en materia de archivos de titularidad estatal cuya ejecución no se reserve al Estado (arts. 9.6 y 11.7 del Estatuto de Autonomía de Cataluña de 1979). Concluye que de todo lo anterior resulta que la determinación del régimen jurídico aplicable a los archivos de titularidad estatal corresponde al </w:t>
      </w:r>
      <w:r>
        <w:lastRenderedPageBreak/>
        <w:t>Estado y que cualquier regulación autonómica sobre esa materia supone una invasión competencial inconstitucional, tal y como se fijó en la STC 103/1988, de 8 de junio.</w:t>
      </w:r>
    </w:p>
    <w:p w:rsidR="0026452D" w:rsidRDefault="0026452D" w:rsidP="0026452D">
      <w:pPr>
        <w:pStyle w:val="TextoNormal"/>
      </w:pPr>
    </w:p>
    <w:p w:rsidR="0026452D" w:rsidRDefault="0026452D" w:rsidP="0026452D">
      <w:pPr>
        <w:pStyle w:val="TextoNormal"/>
      </w:pPr>
      <w:r>
        <w:t>Una vez realizada la descripción del régimen constitucional de distribución de competencias en materia de archivos de titularidad estatal, el Abogado del Estado examina los concretos preceptos recurridos.</w:t>
      </w:r>
    </w:p>
    <w:p w:rsidR="0026452D" w:rsidRDefault="0026452D" w:rsidP="0026452D">
      <w:pPr>
        <w:pStyle w:val="TextoNormal"/>
      </w:pPr>
    </w:p>
    <w:p w:rsidR="0026452D" w:rsidRDefault="0026452D" w:rsidP="0026452D">
      <w:pPr>
        <w:pStyle w:val="TextoNormal"/>
      </w:pPr>
      <w:r>
        <w:t>a) Comienza señalando que el Archivo de la Corona de Aragón, por su excepcional importancia histórica y la variedad de territorios a que afecta, constituye un patrimonio documental del máximo interés general para España que requiere de un tratamiento único, con la correspondiente colaboración de las Comunidades Autónomas afectadas. Ello justifica que este archivo sea de titularidad estatal y que los Estatutos de Autonomía de las Comunidades Autónomas interesadas contengan una previsión sobre la colaboración que han de prestar al Estado (disposición adicional segunda del Estatuto de Autonomía de Cataluña de 1979, disposición adicional segunda del Estatuto de Autonomía de la Comunidad Valenciana, disposición adicional primera del Estatuto de Autonomía para las Illes Balears y disposición adicional primera del Estatuto de Autonomía de Aragón).</w:t>
      </w:r>
    </w:p>
    <w:p w:rsidR="0026452D" w:rsidRDefault="0026452D" w:rsidP="0026452D">
      <w:pPr>
        <w:pStyle w:val="TextoNormal"/>
      </w:pPr>
    </w:p>
    <w:p w:rsidR="0026452D" w:rsidRDefault="0026452D" w:rsidP="0026452D">
      <w:pPr>
        <w:pStyle w:val="TextoNormal"/>
      </w:pPr>
      <w:r>
        <w:t>Por consiguiente, resulta inconstitucional que el art. 20.1 a) de la Ley catalana 10/2001, de 13 de julio, incluya al Archivo de la Corona de Aragón en el sistema de archivos de Cataluña, pues ello supone, en primer lugar, una invasión en la competencia normativa exclusiva del Estado en la materia, puesto que con su inclusión se le somete al régimen previsto en la Ley para los integrados en ese sistema. Y, en segundo lugar, supone una invasión material en la competencia del Estado porque, mientras no se disponga otra cosa en desarrollo de las disposiciones estatutarias indicadas, el Archivo de la Corona de Aragón está sujeto al régimen y gestión del Estado y no es posible constitucionalmente someterlo a las consecuencias derivadas de su pretendida pertenencia al sistema de archivos de Cataluña previstas en los arts. 21 a 25 de la propia Ley. La inclusión es también contradictoria con el propio Estatuto de Autonomía de Cataluña de 1979, que contiene una previsión para el Archivo de la Corona de Aragón incompatible con la ley recurrida.</w:t>
      </w:r>
    </w:p>
    <w:p w:rsidR="0026452D" w:rsidRDefault="0026452D" w:rsidP="0026452D">
      <w:pPr>
        <w:pStyle w:val="TextoNormal"/>
      </w:pPr>
    </w:p>
    <w:p w:rsidR="0026452D" w:rsidRDefault="0026452D" w:rsidP="0026452D">
      <w:pPr>
        <w:pStyle w:val="TextoNormal"/>
      </w:pPr>
      <w:r>
        <w:t>Añade que la conclusión anterior no se altera por las previsiones de los arts. 3.2 y 17.2 b) de la ley catalana objeto de este recurso. Estos preceptos establecen que “los archivos de titularidad estatal, incluidos los integrados en el Sistema de Archivos de Cataluña, se rigen por la legislación estatal” y que “los Archivos de titularidad estatal cuya gestión se reserve el Estado” quedarán excluidos de las funciones de inspección técnica asignadas al Departamento de Cultura de la Generalitat de Cataluña. Entiende que es muy difícil llevar a cabo una interpretación sistemática de estos preceptos en relación con los apartados recurridos del art. 20, pues si los archivos de titularidad estatal se rigen por la legislación estatal, se pregunta por qué se incluye alguno de éstos en el sistema de archivos de Cataluña, que tienen su propia legislación. En segundo lugar, si los archivos de titularidad estatal quedan sujetos a la legislación estatal, carece de sentido que sólo se excluye del régimen jurídico catalán las funciones de inspección y no todos los demás requisitos y efectos que prevé la ley recurrida para los demás archivos.</w:t>
      </w:r>
    </w:p>
    <w:p w:rsidR="0026452D" w:rsidRDefault="0026452D" w:rsidP="0026452D">
      <w:pPr>
        <w:pStyle w:val="TextoNormal"/>
      </w:pPr>
    </w:p>
    <w:p w:rsidR="0026452D" w:rsidRDefault="0026452D" w:rsidP="0026452D">
      <w:pPr>
        <w:pStyle w:val="TextoNormal"/>
      </w:pPr>
      <w:r>
        <w:lastRenderedPageBreak/>
        <w:t>Termina en este punto afirmando que no es posible aplicar el principio de la interpretación conforme con la Constitución, puesto que el legislador autonómico no tiene competencia para legislar sobre el régimen aplicable al Archivo de la Corona de Aragón, por lo que cualquier intromisión en ese ámbito debe reputarse inconstitucional.</w:t>
      </w:r>
    </w:p>
    <w:p w:rsidR="0026452D" w:rsidRDefault="0026452D" w:rsidP="0026452D">
      <w:pPr>
        <w:pStyle w:val="TextoNormal"/>
      </w:pPr>
    </w:p>
    <w:p w:rsidR="0026452D" w:rsidRDefault="0026452D" w:rsidP="0026452D">
      <w:pPr>
        <w:pStyle w:val="TextoNormal"/>
      </w:pPr>
      <w:r>
        <w:t>b) En segundo lugar, el Abogado del Estado alega la inconstitucionalidad del art. 20.1 f), que incluye en el sistema de archivos de Cataluña a los archivos históricos provinciales de Tarragona, Lérida y Gerona.</w:t>
      </w:r>
    </w:p>
    <w:p w:rsidR="0026452D" w:rsidRDefault="0026452D" w:rsidP="0026452D">
      <w:pPr>
        <w:pStyle w:val="TextoNormal"/>
      </w:pPr>
    </w:p>
    <w:p w:rsidR="0026452D" w:rsidRDefault="0026452D" w:rsidP="0026452D">
      <w:pPr>
        <w:pStyle w:val="TextoNormal"/>
      </w:pPr>
      <w:r>
        <w:t xml:space="preserve">En este caso la inconstitucionalidad se defiende porque su inclusión vulnera el régimen previsto por el Estado para la administración y gestión de estos archivos, pues con carácter general la Ley 16/1985 del patrimonio histórico español contempla en sus arts. 59 a 66 que la gestión de los archivos de titularidad estatal corresponde al Estado. No obstante lo anterior, y en virtud de lo previsto en el art. 149.1.28 </w:t>
      </w:r>
      <w:r w:rsidRPr="0026452D">
        <w:rPr>
          <w:i/>
        </w:rPr>
        <w:t>in fine</w:t>
      </w:r>
      <w:r>
        <w:t xml:space="preserve"> CE, el Real Decreto 1010/1981, de 27 de febrero, sobre traspaso de funciones y servicios del Ministerio de Cultura a la Generalidad de Cataluña, dispuso en el anexo B.6 la transferencia de la gestión de estos archivos “en los términos que resulten de un Convenio a celebrar entre la Generalidad y la Administración del Estado”. Este convenio fue publicado en el “Boletín Oficial del Estado” de 27 de abril de 1982, estableciendo, taxativamente, en el apartado A.10 del anexo II que “el presente Convenio afecta exclusivamente a la gestión de los Archivos Históricos Provinciales de Gerona, Lérida y Tarragona”. Posteriormente, el convenio fue modificado por el de 19 de diciembre de 1995, para incluir el Depósito Regional de Archivos de Cervera.</w:t>
      </w:r>
    </w:p>
    <w:p w:rsidR="0026452D" w:rsidRDefault="0026452D" w:rsidP="0026452D">
      <w:pPr>
        <w:pStyle w:val="TextoNormal"/>
      </w:pPr>
    </w:p>
    <w:p w:rsidR="0026452D" w:rsidRDefault="0026452D" w:rsidP="0026452D">
      <w:pPr>
        <w:pStyle w:val="TextoNormal"/>
      </w:pPr>
      <w:r>
        <w:t>A juicio del Abogado del Estado, la inconstitucionalidad se produce por haber modificado la Comunidad Autónoma de Cataluña unilateralmente las condiciones de ordenación y gestión de estos archivos, pues cualquier regulación que afecte a los mismos dictada por la aquélla es inconstitucional, ya que el convenio no prevé en ningún caso que la Comunidad Autónoma pueda unilateralmente innovar el régimen jurídico aplicable a estos archivos. Como en el caso anterior, esta innovación se ha producido porque la integración de los archivos históricos provinciales en el sistema de archivos de Cataluña supone la sujeción de los mismos a las previsiones de los arts. 21 a 25 de la ley recurrida.</w:t>
      </w:r>
    </w:p>
    <w:p w:rsidR="0026452D" w:rsidRDefault="0026452D" w:rsidP="0026452D">
      <w:pPr>
        <w:pStyle w:val="TextoNormal"/>
      </w:pPr>
    </w:p>
    <w:p w:rsidR="0026452D" w:rsidRDefault="0026452D" w:rsidP="0026452D">
      <w:pPr>
        <w:pStyle w:val="TextoNormal"/>
      </w:pPr>
      <w:r>
        <w:t>Finalmente, el Abogado del Estado se remite a lo señalado en relación con el Archivo de la Corona de Aragón en lo tocante al sentido de los arts. 3.2 y 17.2 b) de la Ley 10/2001, de 13 de julio, reiterando que la actuación legislativa de la Comunidad Autónoma de Cataluña en un ámbito reservado en exclusiva al Estado ha de dar lugar a la correspondiente declaración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2</w:t>
      </w:r>
      <w:r>
        <w:t>. La Sección Tercera de este Tribunal Constitucional, por providencia de 21 de mayo de 2002, acordó admitir a trámite el recurso de inconstitucionalidad; dar traslado de la demanda y de los documentos presentados, de conformidad con lo establecido en el art. 34 LOTC, al Congreso de los Diputados y al Senado, así como al Gobierno y al Parlamento de Cataluña, por conducto de sus respetivos Presidentes, al objeto de que, en el plazo de quince días, pudieran personarse en el procedimiento y formular alegaciones; se tuvo por invocado por el Presidente del Gobierno el art. 161.2 CE, lo que, a su tenor, produjo la suspensión de la vigencia y aplicación del precepto impugnado; así como, finalmente, publicar la incoación del recurso de inconstitucionalidad y la suspensión acordada en el “Boletín Oficial del Estado” y en el “Diario Oficial de la Generalidad de Cataluña”.</w:t>
      </w:r>
    </w:p>
    <w:p w:rsidR="0026452D" w:rsidRDefault="0026452D" w:rsidP="0026452D">
      <w:pPr>
        <w:pStyle w:val="TextoNormal"/>
      </w:pPr>
    </w:p>
    <w:p w:rsidR="0026452D" w:rsidRDefault="0026452D" w:rsidP="0026452D">
      <w:pPr>
        <w:pStyle w:val="TextoNormal"/>
      </w:pPr>
      <w:r w:rsidRPr="0026452D">
        <w:rPr>
          <w:rStyle w:val="NumeroAFNegritaCaracter"/>
        </w:rPr>
        <w:t>3</w:t>
      </w:r>
      <w:r>
        <w:t>. La Presidenta del Congreso de los Diputados, por escrito registrado el 30 de mayo de 2002, comunicó el Acuerdo de la Mesa de la Cámara de no personarse en el procedimiento ni formular alegaciones. Mediante escrito registrado el 7 de junio de 2002, la Presidenta del Senado solicitó que se tuviera por personada a la Cámara y ofrecida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4</w:t>
      </w:r>
      <w:r>
        <w:t>. El Abogado de la Generalitat de Cataluña, por escrito registrado el 30 de mayo de 2002, compareció en el proceso y solicitó que se prorrogase en ocho días más el plazo inicialmente concedido para formular alegaciones, a lo que accedió la Sección Tercera del Tribunal, por providencia de 13 de junio de 2002.</w:t>
      </w:r>
    </w:p>
    <w:p w:rsidR="0026452D" w:rsidRDefault="0026452D" w:rsidP="0026452D">
      <w:pPr>
        <w:pStyle w:val="TextoNormal"/>
      </w:pPr>
    </w:p>
    <w:p w:rsidR="0026452D" w:rsidRDefault="0026452D" w:rsidP="0026452D">
      <w:pPr>
        <w:pStyle w:val="TextoNormal"/>
      </w:pPr>
      <w:r w:rsidRPr="0026452D">
        <w:rPr>
          <w:rStyle w:val="NumeroAFNegritaCaracter"/>
        </w:rPr>
        <w:t>5</w:t>
      </w:r>
      <w:r>
        <w:t>. El 19 de junio de 2002 el Abogado de la Generalitat de Cataluña cumplimentó el trámite de alegaciones mediante escrito en cuyo segundo otrosí solicitó el levantamiento anticipado de la suspensión del precepto legal recurrido. Igual petición formuló el Letrado del Parlamento de Cataluña mediante escrito presentado el día 22 de junio de 2002.</w:t>
      </w:r>
    </w:p>
    <w:p w:rsidR="0026452D" w:rsidRDefault="0026452D" w:rsidP="0026452D">
      <w:pPr>
        <w:pStyle w:val="TextoNormal"/>
      </w:pPr>
    </w:p>
    <w:p w:rsidR="0026452D" w:rsidRDefault="0026452D" w:rsidP="0026452D">
      <w:pPr>
        <w:pStyle w:val="TextoNormal"/>
      </w:pPr>
      <w:r>
        <w:t>Tras oír a las partes, el Tribunal acordó (ATC 176/2002, de 1 de octubre) levantar la suspensión de la vigencia y aplicación del art. 20.1 a) y f) de la Ley del Parlamento de Cataluña 10/2001, de 13 de julio, objeto de impugnación.</w:t>
      </w:r>
    </w:p>
    <w:p w:rsidR="0026452D" w:rsidRDefault="0026452D" w:rsidP="0026452D">
      <w:pPr>
        <w:pStyle w:val="TextoNormal"/>
      </w:pPr>
    </w:p>
    <w:p w:rsidR="0026452D" w:rsidRDefault="0026452D" w:rsidP="0026452D">
      <w:pPr>
        <w:pStyle w:val="TextoNormal"/>
      </w:pPr>
      <w:r w:rsidRPr="0026452D">
        <w:rPr>
          <w:rStyle w:val="NumeroAFNegritaCaracter"/>
        </w:rPr>
        <w:t>6</w:t>
      </w:r>
      <w:r>
        <w:t>. Mediante el escrito antes aludido que fue presentado el 19 de junio de 2002, el Abogado de la Generalitat de Cataluña solicitó la desestimación del recurso de inconstitucional. Tras una mención a la exacta denominación de la ley en que se integran los preceptos impugnados, así como a alguna vicisitud en el procedimiento previsto en el art. 33.2 LOTC y en el curso de la tramitación parlamentaria de la Ley, expone que el art. 149.1.28 CE reservó al Estado la competencia exclusiva sobre los archivos de titularidad estatal, sin perjuicio de su gestión por las Comunidades Autónomas. A su vez, en mérito a lo previsto en los arts. 9.6 y 11.7 del Estatuto de Autonomía de Cataluña de 1979, la Generalitat asumió la competencia exclusiva en materia de archivos y demás centros de depósito cultural que no fueran de titularidad estatal, y la competencia de ejecución de la legislación del Estado en materia de archivos de titularidad estatal cuya ejecución no se reserve el Estado. Además, conforme a lo previsto en su art. 9.5, asumió la competencia exclusiva en materia de patrimonio histórico, artístico, monumental, arquitectónico, arqueológico y científico, sin perjuicio de la reserva al Estado de la competencia exclusiva en orden a la defensa del patrimonio cultural, artístico y monumental español contra la exportación y expoliación.</w:t>
      </w:r>
    </w:p>
    <w:p w:rsidR="0026452D" w:rsidRDefault="0026452D" w:rsidP="0026452D">
      <w:pPr>
        <w:pStyle w:val="TextoNormal"/>
      </w:pPr>
    </w:p>
    <w:p w:rsidR="0026452D" w:rsidRDefault="0026452D" w:rsidP="0026452D">
      <w:pPr>
        <w:pStyle w:val="TextoNormal"/>
      </w:pPr>
      <w:r>
        <w:t>Posteriormente, conforme a lo previsto en el apartado B-6 del anexo al Real Decreto 1010/1981, de 27 de febrero, se procedió al traspaso a la Generalitat de Cataluña de la gestión de los archivos históricos provinciales de titularidad estatal de Tarragona, Lleida y Girona, en los términos que resultan del convenio publicado en el “BOE” de 27 de abril de 1982, que fue modificado por el de 19 de diciembre de 1995, publicado el 16 de marzo de 1996, para incluir la gestión del Depósito Regional de Archivos de Cervera.</w:t>
      </w:r>
    </w:p>
    <w:p w:rsidR="0026452D" w:rsidRDefault="0026452D" w:rsidP="0026452D">
      <w:pPr>
        <w:pStyle w:val="TextoNormal"/>
      </w:pPr>
    </w:p>
    <w:p w:rsidR="0026452D" w:rsidRDefault="0026452D" w:rsidP="0026452D">
      <w:pPr>
        <w:pStyle w:val="TextoNormal"/>
      </w:pPr>
      <w:r>
        <w:t xml:space="preserve">Por lo que se refiere al art. 149.2 CE, recuerda que viene encabezado por una expresa salvedad de las competencias que puedan asumir las Comunidades Autónomas, y que simplemente impone al Estado el mandato de que considere el servicio de la cultura como un </w:t>
      </w:r>
      <w:r>
        <w:lastRenderedPageBreak/>
        <w:t>deber y una atribución esencial, y facilite la comunicación cultural entre las Comunidades Autónomas, de acuerdo con ellas. Recuerda que la STC 109/1996, de 13 de junio, FJ 4, afirmó que la competencia sobre cultura no puede convertirse en un título universal desde el que puedan realizarse indistintamente todas y las mismas funciones que pueden llevarse a cabo desde otras competencias específicas.</w:t>
      </w:r>
    </w:p>
    <w:p w:rsidR="0026452D" w:rsidRDefault="0026452D" w:rsidP="0026452D">
      <w:pPr>
        <w:pStyle w:val="TextoNormal"/>
      </w:pPr>
    </w:p>
    <w:p w:rsidR="0026452D" w:rsidRDefault="0026452D" w:rsidP="0026452D">
      <w:pPr>
        <w:pStyle w:val="TextoNormal"/>
      </w:pPr>
      <w:r>
        <w:t>Añade que en la STC 103/1988, de 8 de junio, FFJJ 3 a 5, se distinguió perfectamente el ámbito material de las competencias autonómicas sobre documentos y sobre archivos, admitiendo que en la competencia sobre patrimonio histórico, artístico, monumental, arquitectónico, arqueológico y científico, sin perjuicio de lo que dispone el art. 149.1.28 CE, ha de entenderse comprendida la competencia autonómica para definir el patrimonio documental de la Comunidad Autónoma, en cuanto parte integrante de su patrimonio histórico, así como para determinar los documentos radicados en su territorio que constituyen ese patrimonio, y que, como resultado de dichas disposiciones constitucionales y estatutarias, los preceptos destinados a la regulación del patrimonio documental autonómico incidirán sobre el régimen de los archivos y documentos situados en el territorio de la Comunidad Autónoma que pertenezcan a entidades de alcance superior a su territorio.</w:t>
      </w:r>
    </w:p>
    <w:p w:rsidR="0026452D" w:rsidRDefault="0026452D" w:rsidP="0026452D">
      <w:pPr>
        <w:pStyle w:val="TextoNormal"/>
      </w:pPr>
    </w:p>
    <w:p w:rsidR="0026452D" w:rsidRDefault="0026452D" w:rsidP="0026452D">
      <w:pPr>
        <w:pStyle w:val="TextoNormal"/>
      </w:pPr>
      <w:r>
        <w:t>Continúa señalando que la mención a los archivos de titularidad estatal contenida en los preceptos recurridos no menoscaba las competencias estatales sobre los mismos, pues la Ley se dirige a la Administración de la Generalitat de Cataluña, obligándola a prestar servicios a los archivos de titularidad estatal cuando así lo acuerde el órgano estatal competente. Además, no puede desconocerse que el art. 3.2, en el que se explícita tal exclusión, tiene por título “Ámbito de aplicación”, lógicamente de toda la Ley, por lo que todos sus demás artículos han de ser necesariamente leídos a partir de ese parámetro y de conformidad con el mismo. A mayor abundamiento, la ubicación de ese precepto en el título I, cuyo enunciado es “disposiciones generales”, fuerza a su proyección general sobre el resto de las previsiones contenidas en el mismo texto legal.</w:t>
      </w:r>
    </w:p>
    <w:p w:rsidR="0026452D" w:rsidRDefault="0026452D" w:rsidP="0026452D">
      <w:pPr>
        <w:pStyle w:val="TextoNormal"/>
      </w:pPr>
    </w:p>
    <w:p w:rsidR="0026452D" w:rsidRDefault="0026452D" w:rsidP="0026452D">
      <w:pPr>
        <w:pStyle w:val="TextoNormal"/>
      </w:pPr>
      <w:r>
        <w:t>Entiende la representación procesal de la Generalitat que cuando el art. 20.1 de la Ley determina que el sistema de archivos de Cataluña está integrado, entre otros, por el Archivo de la Corona de Aragón y los archivos históricos provinciales, está haciendo, simplemente, una enumeración de los archivos ubicados en Cataluña, sin que ello modifique ni su titularidad ni su régimen jurídico, que será el determinado por la legislación estatal. Y mucho menos puede pretenderse que los requisitos técnicos a cumplir por los archivos enunciados en el art. 21 deban, por efecto de esta ley, ser cumplidos por los archivos de titularidad estatal en Cataluña; les serían exigibles, en su caso, si lo estableciera así la legislación estatal, pero no porque lo imponga esta ley, puesto que previamente, en el art. 3.2, ya ha advertido que tales archivos se rigen por la legislación estatal.</w:t>
      </w:r>
    </w:p>
    <w:p w:rsidR="0026452D" w:rsidRDefault="0026452D" w:rsidP="0026452D">
      <w:pPr>
        <w:pStyle w:val="TextoNormal"/>
      </w:pPr>
    </w:p>
    <w:p w:rsidR="0026452D" w:rsidRDefault="0026452D" w:rsidP="0026452D">
      <w:pPr>
        <w:pStyle w:val="TextoNormal"/>
      </w:pPr>
      <w:r>
        <w:t xml:space="preserve">De igual modo, no cabe entender que mediante el art. 17.2 b) se modifique unilateralmente el régimen jurídico del Archivo de la Corona de Aragón y las condiciones de ordenación y gestión de los archivos históricos provinciales en Cataluña. Partiendo de la exclusión anunciada en el art. 3.2, es evidente que las funciones inherentes a la competencia de archivos que el art. 17 encomienda al Departamento de Cultura de la Generalitat no alteran aquella legislación estatal y, por consiguiente, no sujetan a los archivos de titularidad estatal a la actuación de la Administración autonómica. Ciertamente, el art. 17.2, al referirse a la competencia de inspección técnica de archivos, hace explícita una nueva exclusión de los </w:t>
      </w:r>
      <w:r>
        <w:lastRenderedPageBreak/>
        <w:t>archivos de titularidad estatal cuya gestión se reserve el Estado. Pero esa singular referencia, acaso objetable desde puros criterios de técnica legislativa, tiene su explicación en la forma del precepto y en la específica función de inspección técnica a la que se refiere. Si la Generalitat de Cataluña la ejerce sobre los archivos sitos en Cataluña, excepto aquellos de titularidad estatal cuya gestión se reserve el Estado, explicitar ese reconocimiento no puede convertir en inconstitucional al precepto ni tampoco, por una ilógica interpretación a contrario, el resto del art. 17.</w:t>
      </w:r>
    </w:p>
    <w:p w:rsidR="0026452D" w:rsidRDefault="0026452D" w:rsidP="0026452D">
      <w:pPr>
        <w:pStyle w:val="TextoNormal"/>
      </w:pPr>
    </w:p>
    <w:p w:rsidR="0026452D" w:rsidRDefault="0026452D" w:rsidP="0026452D">
      <w:pPr>
        <w:pStyle w:val="TextoNormal"/>
      </w:pPr>
      <w:r>
        <w:t>De otra parte, la disposición adicional primera de la Ley no expresa ninguna imposición sobre los archivos históricos provinciales, sino que simplemente habilita a la Generalitat para, caso de que así lo llegue a acordar con la Administración del Estado, encomendar a dichos archivos la custodia de determinada documentación.</w:t>
      </w:r>
    </w:p>
    <w:p w:rsidR="0026452D" w:rsidRDefault="0026452D" w:rsidP="0026452D">
      <w:pPr>
        <w:pStyle w:val="TextoNormal"/>
      </w:pPr>
    </w:p>
    <w:p w:rsidR="0026452D" w:rsidRDefault="0026452D" w:rsidP="0026452D">
      <w:pPr>
        <w:pStyle w:val="TextoNormal"/>
      </w:pPr>
      <w:r>
        <w:t>Y es que el art. 16.1 de la Ley define el sistema de archivos de Cataluña como el conjunto de órganos de la Administración y de archivos que, con normas y procedimientos, garantizan, de acuerdo con sus valores, la gestión, la conservación, la protección y la difusión correctas de la documentación de Cataluña, y el acceso a la misma. Sostiene que esa mera definición resulta totalmente inocua desde el punto de vista de las competencias en materia de archivos, puesto que de conformidad con lo dispuesto en el art. 3.2, no atañe a la titularidad ni al régimen jurídico de los archivos de titularidad estatal. Al mismo tiempo, dentro de ese mismo grupo de preceptos, los arts. 21.2 y 17.3 y 4 de la ley imponen a la Administración autonómica un mandato de colaboración con los archivos de titularidad estatal que ha considerado integrados en el sistema.</w:t>
      </w:r>
    </w:p>
    <w:p w:rsidR="0026452D" w:rsidRDefault="0026452D" w:rsidP="0026452D">
      <w:pPr>
        <w:pStyle w:val="TextoNormal"/>
      </w:pPr>
    </w:p>
    <w:p w:rsidR="0026452D" w:rsidRDefault="0026452D" w:rsidP="0026452D">
      <w:pPr>
        <w:pStyle w:val="TextoNormal"/>
      </w:pPr>
      <w:r>
        <w:t>A su vez, los apartados 3 y 4 del art. 17 concretan el deber del Departamento de Cultura de la Generalitat de brindar a los archivos de titularidad estatal la posibilidad de acceder a servicios como la restauración y reprografía de documentos o la formación permanente de sus profesionales.</w:t>
      </w:r>
    </w:p>
    <w:p w:rsidR="0026452D" w:rsidRDefault="0026452D" w:rsidP="0026452D">
      <w:pPr>
        <w:pStyle w:val="TextoNormal"/>
      </w:pPr>
    </w:p>
    <w:p w:rsidR="0026452D" w:rsidRDefault="0026452D" w:rsidP="0026452D">
      <w:pPr>
        <w:pStyle w:val="TextoNormal"/>
      </w:pPr>
      <w:r>
        <w:t>En definitiva, le parece evidente que no nos encontramos en un caso similar al de la STC 103/1988, de 8 de junio, puesto que en este caso la Ley en ningún momento ha rebasado los límites competenciales que determinan el art. 149.1.28 CE y los preceptos del Estatuto de Autonomía de Cataluña de 1979. Ni se modifica la regulación de los archivos de titularidad estatal en Cataluña, ni se habilitan actuaciones unilaterales de la Administración autonómica respecto de tales archivos. La mención de los archivos de titularidad estatal se inscribe en las acciones de fomento del patrimonio cultural que la Generalitat de Cataluña ha de adoptar en el marco de su deber y atribución esencial de servicio a la cultura. De ese modo, la Ley persigue como objetivo que el conjunto de archivos que custodian la documentación de Cataluña actúe de forma eficiente y coherente. La consecución de ese objetivo respecto de los archivos que no son de titularidad estatal se obtendrá por la aplicación de la Ley, en tanto que respecto de los archivos de titularidad estatal, la Ley se limita a ofrecer un instrumento de colaboración que sólo a la Administración de la Generalitat obliga, y del que pueden hacer uso los archivos de titularidad estatal cuando así lo acuerden las instancias estatales competentes.</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El Letrado del Parlamento de Cataluña, mediante escrito presentado el 22 de junio de 2002, solicita la desestimación del recurso de inconstitucional. Comienza señalando que aunque ciertamente deben ser tomados en consideración los arts. 149.1.28 CE, y 9.6 y 11.7 </w:t>
      </w:r>
      <w:r>
        <w:lastRenderedPageBreak/>
        <w:t>del Estatuto de Autonomía de 1979, la materia objeto de controversia competencial en este caso no puede desligarse de otros títulos competenciales que tienen conexión con la misma, como la previsión en el art. 149.2 CE de las competencias que podrán asumir las Comunidades Autónomas en materia de cultura y el deber del Estado de facilitar la comunicación cultural entre las Comunidades Autónomas, de acuerdo con ellas. Por su parte, el Estatuto de Autonomía de Cataluña de 1979 estableció que la Generalitat tiene competencia exclusiva sobre “cultura” (art. 9.4) y “patrimonio histórico, artístico, monumental, arquitectónico, arqueológico y científico, sin perjuicio de lo que dispone el número 28 del apartado 1 del artículo 149 de la Constitución” (art. 9.5). Asimismo estipulaba en su disposición adicional quinta que “atendida la vocación cultural de Cataluña, el Estado y la Generalidad considerarán en ella el servicio de la cultura como deber y atribución esencial, de acuerdo con lo previsto en el apartado 2 del artículo 149 de la Constitución, y por ello colaborarán en sus acciones para el fomento y desarrollo del patrimonio cultural común, en sus diferentes expresiones lingüísticas y modalidades. En el marco de esta colaboración se facilitará la comunicación cultural con otras comunidades autónomas y provincias, prestando especial atención a todas aquellas con las que Cataluña hubiese tenido particulares vínculos históricos, culturales o comerciales.”</w:t>
      </w:r>
    </w:p>
    <w:p w:rsidR="0026452D" w:rsidRDefault="0026452D" w:rsidP="0026452D">
      <w:pPr>
        <w:pStyle w:val="TextoNormal"/>
      </w:pPr>
    </w:p>
    <w:p w:rsidR="0026452D" w:rsidRDefault="0026452D" w:rsidP="0026452D">
      <w:pPr>
        <w:pStyle w:val="TextoNormal"/>
      </w:pPr>
      <w:r>
        <w:t>A la vista de las disposiciones constitucionales y estatutarias referenciadas, precisadas además por la jurisprudencia constitucional (con cita de las SSTC 109/1996, de 13 de junio; y 71/1997, de 10 de abril), para la representación procesal del Parlamento de Cataluña no cabe duda de que la legislación catalana está habilitada para prever la instrumentación de fórmulas de colaboración con la Administración del Estado y con las Administraciones de otras Comunidades Autónomas para la preservación y promoción de la cultura en general y de ámbitos culturales específicos, como los archivos y el patrimonio histórico, más allá de las estrictas previsiones competenciales derivadas del tenor literal de los arts. 9.5, 9.6 y 11.7 del Estatuto de Autonomía de 1979. Además, la STC 103/1988, de 8 de junio, señaló que la competencia autonómica sobre patrimonio histórico incorpora la potestad para definir el patrimonio documental de la Comunidad Autónoma, para determinar los documentos radicados en su territorio integrantes de este patrimonio; en consecuencia, la normativa reguladora del patrimonio documental autonómico puede incidir en el régimen jurídico de los archivos y documentos situados en el territorio de la Comunidad Autónoma pertenecientes a entidades de nivel superior.</w:t>
      </w:r>
    </w:p>
    <w:p w:rsidR="0026452D" w:rsidRDefault="0026452D" w:rsidP="0026452D">
      <w:pPr>
        <w:pStyle w:val="TextoNormal"/>
      </w:pPr>
    </w:p>
    <w:p w:rsidR="0026452D" w:rsidRDefault="0026452D" w:rsidP="0026452D">
      <w:pPr>
        <w:pStyle w:val="TextoNormal"/>
      </w:pPr>
      <w:r>
        <w:t>En definitiva, cuando el Parlamento de Cataluña legisla en materia de archivos y documentos puede efectuar menciones a archivos de titularidad estatal siempre que ello se haga sin desconocer las competencias estatales o de otras Comunidades Autónomas en la materia, ni imponer un régimen jurídico determinado a los archivos de titularidad estatal. En ningún precepto ni en la exposición de motivos de la Ley 10/2001, de 13 de julio, se afirma la pretensión de regular los archivos de titularidad estatal ni de alterar el régimen jurídico de los mismos. Es más, en el art. 3.2 de la Ley, cuyo título es “ámbito de aplicación” y que se encuentra en el título primero dedicado a “disposiciones generales”, se puede leer que “los archivos de titularidad estatal, incluidos los integrados en el Sistema de Archivos de Cataluña, se rigen por la legislación estatal”.</w:t>
      </w:r>
    </w:p>
    <w:p w:rsidR="0026452D" w:rsidRDefault="0026452D" w:rsidP="0026452D">
      <w:pPr>
        <w:pStyle w:val="TextoNormal"/>
      </w:pPr>
    </w:p>
    <w:p w:rsidR="0026452D" w:rsidRDefault="0026452D" w:rsidP="0026452D">
      <w:pPr>
        <w:pStyle w:val="TextoNormal"/>
      </w:pPr>
      <w:r>
        <w:t xml:space="preserve">Considera que viene a reforzar este entendimiento el que, según consta en el informe de la ponencia de la Comisión de Política Cultural, durante la tramitación parlamentaria de la </w:t>
      </w:r>
      <w:r>
        <w:lastRenderedPageBreak/>
        <w:t>Ley 10/2001, de 13 de julio, el Grupo Parlamentario Popular retiró por innecesaria la enmienda 23 bis que pretendía añadir al art. 3.2 un inciso según el cual a los archivos de titularidad estatal “no les son de aplicación los requisitos y obligaciones que la presente ley exige a los archivos del Sistema”. Por tanto, la mención del Archivo de la Corona de Aragón y de los archivos históricos provinciales en el precepto impugnado tiene un valor puramente enumerativo de los archivos radicados en Cataluña y ello no altera en modo alguno su régimen jurídico, que viene determinado por la legislación estatal, ni implica que tales archivos queden sometidos a los requisitos técnicos establecidos por el art. 21 de la Ley 10/2001, de 13 de julio.</w:t>
      </w:r>
    </w:p>
    <w:p w:rsidR="0026452D" w:rsidRDefault="0026452D" w:rsidP="0026452D">
      <w:pPr>
        <w:pStyle w:val="TextoNormal"/>
      </w:pPr>
    </w:p>
    <w:p w:rsidR="0026452D" w:rsidRDefault="0026452D" w:rsidP="0026452D">
      <w:pPr>
        <w:pStyle w:val="TextoNormal"/>
      </w:pPr>
      <w:r>
        <w:t>En este contexto, y habida cuenta de la importante documentación histórica de ámbito catalán contenida tanto en el Archivo de la Corona de Aragón como en los archivos históricos provinciales, el legislador catalán ha estimado necesario incluirles entre los potenciales destinatarios de las medidas de fomento y coordinación previstas en la Ley 10/2001, de 13 de julio [así, arts. 17.3, 17.4, 21.2, 30.2 e) y f), y disposición adicional primera]. Ahora bien, dicha inclusión no tiene un efecto jurídico vinculante para los mencionados archivos de titularidad estatal sino que supone ofrecerles una instancia de colaboración —el sistema de archivos de Cataluña— en el marco del cual, si la Administración del Estado lo estima oportuno, pueden acceder a determinados servicios de la Generalitat de Cataluña tendentes a la preservación de los documentos.</w:t>
      </w:r>
    </w:p>
    <w:p w:rsidR="0026452D" w:rsidRDefault="0026452D" w:rsidP="0026452D">
      <w:pPr>
        <w:pStyle w:val="TextoNormal"/>
      </w:pPr>
    </w:p>
    <w:p w:rsidR="0026452D" w:rsidRDefault="0026452D" w:rsidP="0026452D">
      <w:pPr>
        <w:pStyle w:val="TextoNormal"/>
      </w:pPr>
      <w:r w:rsidRPr="0026452D">
        <w:rPr>
          <w:rStyle w:val="NumeroAFNegritaCaracter"/>
        </w:rPr>
        <w:t>8</w:t>
      </w:r>
      <w:r>
        <w:t>. Mediante providencia de 29 de enero de 2013 se señaló para deliberación y votación de la presente Sentencia el día 31 del mismo mes y año, trámite que ha finalizado en el día de hoy.</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ha sido interpuesto por el Abogado del Estado, en nombre del Presidente del Gobierno de la Nación, contra el art. 20.1 a) y f) de la Ley del Parlamento de Cataluña 10/2001, de 13 de julio, de archivos y documentos, que integra en el sistema de archivos de Cataluña determinados archivos de titularidad estatal.</w:t>
      </w:r>
    </w:p>
    <w:p w:rsidR="0026452D" w:rsidRDefault="0026452D" w:rsidP="0026452D">
      <w:pPr>
        <w:pStyle w:val="TextoNormal"/>
      </w:pPr>
    </w:p>
    <w:p w:rsidR="0026452D" w:rsidRDefault="0026452D" w:rsidP="0026452D">
      <w:pPr>
        <w:pStyle w:val="TextoNormal"/>
      </w:pPr>
      <w:r>
        <w:t>De acuerdo con su art. 1, la Ley del Parlamento de Cataluña 10/2001, de 13 de julio, tiene por objeto “impulsar la gestión y garantizar la preservación de la documentación de Cataluña, tanto pública como privada, de acuerdo con sus valores, para ponerla al servicio de los intereses generales; establecer los derechos y deberes de los que son titulares de los mismos, así como de los ciudadanos en relación a dicha documentación, y regular el Sistema de Archivos de Cataluña.”</w:t>
      </w:r>
    </w:p>
    <w:p w:rsidR="0026452D" w:rsidRDefault="0026452D" w:rsidP="0026452D">
      <w:pPr>
        <w:pStyle w:val="TextoNormal"/>
      </w:pPr>
    </w:p>
    <w:p w:rsidR="0026452D" w:rsidRDefault="0026452D" w:rsidP="0026452D">
      <w:pPr>
        <w:pStyle w:val="TextoNormal"/>
      </w:pPr>
      <w:r>
        <w:t xml:space="preserve">El sistema de archivos de Cataluña al que alude </w:t>
      </w:r>
      <w:r w:rsidRPr="0026452D">
        <w:rPr>
          <w:i/>
        </w:rPr>
        <w:t>in fine</w:t>
      </w:r>
      <w:r>
        <w:t xml:space="preserve"> el anterior precepto se define como “el conjunto de órganos de la Administración y de archivos que, con normas y procedimientos, garantizan, de acuerdo con sus valores, la gestión, la conservación, la protección y la difusión correctas de la documentación de Cataluña, y el acceso a la misma.” (art. 16.1).</w:t>
      </w:r>
    </w:p>
    <w:p w:rsidR="0026452D" w:rsidRDefault="0026452D" w:rsidP="0026452D">
      <w:pPr>
        <w:pStyle w:val="TextoNormal"/>
      </w:pPr>
    </w:p>
    <w:p w:rsidR="0026452D" w:rsidRDefault="0026452D" w:rsidP="0026452D">
      <w:pPr>
        <w:pStyle w:val="TextoNormal"/>
      </w:pPr>
      <w:r>
        <w:t xml:space="preserve">Por su parte, el art. 20.1, al enumerar los archivos que integran el sistema de archivos de Cataluña, incluye, en lo que aquí importa, el Archivo de la Corona de Aragón [art. 20.1 a)] </w:t>
      </w:r>
      <w:r>
        <w:lastRenderedPageBreak/>
        <w:t>y los archivos históricos provinciales [art. 20.1 f)], que son los de Tarragona, Lleida y Girona. Esta inclusión es la que motiva la interposición del recurso de inconstitucionalidad.</w:t>
      </w:r>
    </w:p>
    <w:p w:rsidR="0026452D" w:rsidRDefault="0026452D" w:rsidP="0026452D">
      <w:pPr>
        <w:pStyle w:val="TextoNormal"/>
      </w:pPr>
    </w:p>
    <w:p w:rsidR="0026452D" w:rsidRDefault="0026452D" w:rsidP="0026452D">
      <w:pPr>
        <w:pStyle w:val="TextoNormal"/>
      </w:pPr>
      <w:r>
        <w:t>Conviene advertir que está fuera de cuestión, para todas las partes, que el Archivo de la Corona de Aragón es un archivo de titularidad y gestión estatal, mientras que los archivos históricos provinciales de Tarragona, Lleida y Girona son archivos de titularidad estatal cuya gestión ha sido traspasada a la Generalitat de Cataluña. Lo que el Abogado del Estado razona es que su inclusión en el sistema de archivos de Cataluña constituye una extralimitación competencial del legislador autonómico, ya que el art. 149.1.28 en relación con el 149.2, ambos de la Constitución, atribuyen al Estado una competencia exclusiva sobre los archivos de su titularidad, incluyendo la legislación, su desarrollo y ejecución, sin perjuicio de que en el ejercicio de esa competencia pueda el Estado atribuir a las Comunidades Autónomas, en los términos que considere oportunos, la competencia de gestión.</w:t>
      </w:r>
    </w:p>
    <w:p w:rsidR="0026452D" w:rsidRDefault="0026452D" w:rsidP="0026452D">
      <w:pPr>
        <w:pStyle w:val="TextoNormal"/>
      </w:pPr>
    </w:p>
    <w:p w:rsidR="0026452D" w:rsidRDefault="0026452D" w:rsidP="0026452D">
      <w:pPr>
        <w:pStyle w:val="TextoNormal"/>
      </w:pPr>
      <w:r>
        <w:t>Por el contrario, tanto el Gobierno como el Parlamento de Cataluña, sin negar la titularidad estatal de los referidos Archivos ni las competencias que sobre ellos confieren al Estado los arts. 149.1.28 y 149.2 CE, entienden que los preceptos impugnados en modo alguno alteran el régimen de distribución de competencias sobre esta materia. A su juicio, la Ley 10/2001, de 13 de julio, se dirige exclusivamente a la Administración autonómica catalana, obligándola a prestar servicios a los archivos de titularidad estatal en Cataluña cuando así lo acuerde el órgano estatal competente, siendo la propia Ley la que, en su art. 3.2, reitera que tales archivos se rigen por la legislación estatal.</w:t>
      </w:r>
    </w:p>
    <w:p w:rsidR="0026452D" w:rsidRDefault="0026452D" w:rsidP="0026452D">
      <w:pPr>
        <w:pStyle w:val="TextoNormal"/>
      </w:pPr>
    </w:p>
    <w:p w:rsidR="0026452D" w:rsidRDefault="0026452D" w:rsidP="0026452D">
      <w:pPr>
        <w:pStyle w:val="TextoNormal"/>
      </w:pPr>
      <w:r w:rsidRPr="0026452D">
        <w:rPr>
          <w:rStyle w:val="NumeroAFNegritaCaracter"/>
        </w:rPr>
        <w:t>2</w:t>
      </w:r>
      <w:r>
        <w:t>. Una vez identificados el objeto del recurso y la posición de las partes, antes de abordar el examen de la constitucionalidad del precepto impugnado es preciso delimitar el parámetro de constitucionalidad del que hemos de servirnos para llevar a cabo nuestro pronunciamiento.</w:t>
      </w:r>
    </w:p>
    <w:p w:rsidR="0026452D" w:rsidRDefault="0026452D" w:rsidP="0026452D">
      <w:pPr>
        <w:pStyle w:val="TextoNormal"/>
      </w:pPr>
    </w:p>
    <w:p w:rsidR="0026452D" w:rsidRDefault="0026452D" w:rsidP="0026452D">
      <w:pPr>
        <w:pStyle w:val="TextoNormal"/>
      </w:pPr>
      <w:r>
        <w:t>Dicho parámetro de constitucionalidad viene dado, de una parte, por los arts. 149.1.28 y 149.2, ambos de la Constitución. Conforme al primero de ellos, el Estado tiene competencia exclusiva sobre “museos, bibliotecas y archivos de titularidad estatal, sin perjuicio de su gestión por parte de las Comunidades Autónomas”. Añade el art. 149.2 CE que “sin perjuicio de las competencias que podrán asumir las Comunidades Autónomas, el Estado considerará el servicio de la cultura como deber y atribución esencial y facilitará la comunicación cultural entre las Comunidades Autónomas, de acuerdo con ellas”.</w:t>
      </w:r>
    </w:p>
    <w:p w:rsidR="0026452D" w:rsidRDefault="0026452D" w:rsidP="0026452D">
      <w:pPr>
        <w:pStyle w:val="TextoNormal"/>
      </w:pPr>
    </w:p>
    <w:p w:rsidR="0026452D" w:rsidRDefault="0026452D" w:rsidP="0026452D">
      <w:pPr>
        <w:pStyle w:val="TextoNormal"/>
      </w:pPr>
      <w:r>
        <w:t xml:space="preserve">En segundo lugar, debemos tomar en consideración el Estatuto de Autonomía de Cataluña, pero advirtiendo que con posterioridad a la admisión a trámite de este recurso de inconstitucionalidad se ha producido la aprobación de la Ley Orgánica 6/2006, de 19 de julio, de reforma del Estatuto, por lo que, de acuerdo con nuestra doctrina, las cuestiones que se controvierten se decidirán teniendo en cuenta las prescripciones del nuevo Estatuto de Autonomía de Cataluña que puedan ser de aplicación, pues cuando la duda de constitucionalidad se basa en un problema de delimitación competencial y el juicio de constitucionalidad ha de producirse por el contraste no sólo con la Constitución, sino con el llamado bloque de la constitucionalidad (art. 28.1 de la Ley Orgánica del Tribunal Constitucional), este Tribunal habrá de considerar las leyes vigentes y las bases materiales establecidas en el momento de formularse el juicio y dictarse la Sentencia [SSTC 87/1985, de 16 de julio, FJ 8; </w:t>
      </w:r>
      <w:r>
        <w:lastRenderedPageBreak/>
        <w:t>179/1998, de 16 de septiembre, FJ 2; 134/2011, de 20 de julio, FJ 2 d); y 120/2012, de 4 de junio, FJ 2 c)].</w:t>
      </w:r>
    </w:p>
    <w:p w:rsidR="0026452D" w:rsidRDefault="0026452D" w:rsidP="0026452D">
      <w:pPr>
        <w:pStyle w:val="TextoNormal"/>
      </w:pPr>
    </w:p>
    <w:p w:rsidR="0026452D" w:rsidRDefault="0026452D" w:rsidP="0026452D">
      <w:pPr>
        <w:pStyle w:val="TextoNormal"/>
      </w:pPr>
      <w:r>
        <w:t>Pues bien, el art. 127.1 c) del nuevo Estatuto de Autonomía de Cataluña dispone:</w:t>
      </w:r>
    </w:p>
    <w:p w:rsidR="0026452D" w:rsidRDefault="0026452D" w:rsidP="0026452D">
      <w:pPr>
        <w:pStyle w:val="TextoNormal"/>
      </w:pPr>
    </w:p>
    <w:p w:rsidR="0026452D" w:rsidRDefault="0026452D" w:rsidP="0026452D">
      <w:pPr>
        <w:pStyle w:val="TextoNormal"/>
      </w:pPr>
      <w:r>
        <w:t>“Corresponde a la Generalitat la competencia exclusiva en materia de cultura. Esta competencia exclusiva comprende en todo caso: c) Los archivos, las bibliotecas, los museos y los otros centros de depósito cultural que no son de titularidad estatal, que incluye en todo caso:</w:t>
      </w:r>
    </w:p>
    <w:p w:rsidR="0026452D" w:rsidRDefault="0026452D" w:rsidP="0026452D">
      <w:pPr>
        <w:pStyle w:val="TextoNormal"/>
      </w:pPr>
    </w:p>
    <w:p w:rsidR="0026452D" w:rsidRDefault="0026452D" w:rsidP="0026452D">
      <w:pPr>
        <w:pStyle w:val="TextoNormal"/>
      </w:pPr>
      <w:r>
        <w:t>Primero. La creación, la gestión, la protección y el establecimiento del régimen jurídico de los centros que integran el sistema de archivos y el sistema bibliotecario, de los museos y de los otros centros de depósito cultural.</w:t>
      </w:r>
    </w:p>
    <w:p w:rsidR="0026452D" w:rsidRDefault="0026452D" w:rsidP="0026452D">
      <w:pPr>
        <w:pStyle w:val="TextoNormal"/>
      </w:pPr>
    </w:p>
    <w:p w:rsidR="0026452D" w:rsidRDefault="0026452D" w:rsidP="0026452D">
      <w:pPr>
        <w:pStyle w:val="TextoNormal"/>
      </w:pPr>
      <w:r>
        <w:t>Segundo. El establecimiento del régimen jurídico de los bienes documentales, bibliográficos y culturales que están depositados en los mismos.</w:t>
      </w:r>
    </w:p>
    <w:p w:rsidR="0026452D" w:rsidRDefault="0026452D" w:rsidP="0026452D">
      <w:pPr>
        <w:pStyle w:val="TextoNormal"/>
      </w:pPr>
    </w:p>
    <w:p w:rsidR="0026452D" w:rsidRDefault="0026452D" w:rsidP="0026452D">
      <w:pPr>
        <w:pStyle w:val="TextoNormal"/>
      </w:pPr>
      <w:r>
        <w:t>Tercero. La conservación y la recuperación de los bienes que integran el patrimonio documental y bibliográfico catalán.”</w:t>
      </w:r>
    </w:p>
    <w:p w:rsidR="0026452D" w:rsidRDefault="0026452D" w:rsidP="0026452D">
      <w:pPr>
        <w:pStyle w:val="TextoNormal"/>
      </w:pPr>
    </w:p>
    <w:p w:rsidR="0026452D" w:rsidRDefault="0026452D" w:rsidP="0026452D">
      <w:pPr>
        <w:pStyle w:val="TextoNormal"/>
      </w:pPr>
      <w:r>
        <w:t>El apartado 2 del mismo art. 127 añade:</w:t>
      </w:r>
    </w:p>
    <w:p w:rsidR="0026452D" w:rsidRDefault="0026452D" w:rsidP="0026452D">
      <w:pPr>
        <w:pStyle w:val="TextoNormal"/>
      </w:pPr>
    </w:p>
    <w:p w:rsidR="0026452D" w:rsidRDefault="0026452D" w:rsidP="0026452D">
      <w:pPr>
        <w:pStyle w:val="TextoNormal"/>
      </w:pPr>
      <w:r>
        <w:t>“Corresponde a la Generalitat la competencia ejecutiva sobre los archivos, las bibliotecas, los museos y los centros de depósito cultural de titularidad estatal situados en Cataluña, cuya gestión no se reserve expresamente el Estado, que incluye, en todo caso, la regulación del funcionamiento, la organización y el régimen de personal.”</w:t>
      </w:r>
    </w:p>
    <w:p w:rsidR="0026452D" w:rsidRDefault="0026452D" w:rsidP="0026452D">
      <w:pPr>
        <w:pStyle w:val="TextoNormal"/>
      </w:pPr>
    </w:p>
    <w:p w:rsidR="0026452D" w:rsidRDefault="0026452D" w:rsidP="0026452D">
      <w:pPr>
        <w:pStyle w:val="TextoNormal"/>
      </w:pPr>
      <w:r>
        <w:t>Por su parte, la disposición adicional decimotercera establece:</w:t>
      </w:r>
    </w:p>
    <w:p w:rsidR="0026452D" w:rsidRDefault="0026452D" w:rsidP="0026452D">
      <w:pPr>
        <w:pStyle w:val="TextoNormal"/>
      </w:pPr>
    </w:p>
    <w:p w:rsidR="0026452D" w:rsidRDefault="0026452D" w:rsidP="0026452D">
      <w:pPr>
        <w:pStyle w:val="TextoNormal"/>
      </w:pPr>
      <w:r>
        <w:t>“Fondos propios y comunes con otros territorios.</w:t>
      </w:r>
    </w:p>
    <w:p w:rsidR="0026452D" w:rsidRDefault="0026452D" w:rsidP="0026452D">
      <w:pPr>
        <w:pStyle w:val="TextoNormal"/>
      </w:pPr>
    </w:p>
    <w:p w:rsidR="0026452D" w:rsidRDefault="0026452D" w:rsidP="0026452D">
      <w:pPr>
        <w:pStyle w:val="TextoNormal"/>
      </w:pPr>
      <w:r>
        <w:t>Los fondos propios de Cataluña situados en el Archivo de la Corona de Aragón y en el Archivo Real de Barcelona se integran en el sistema de archivos de Cataluña. Para la gestión eficaz del resto de fondos comunes con otros territorios de la Corona de Aragón, la Generalitat debe colaborar con el Patronato del Archivo de la Corona de Aragón, con las demás Comunidades Autónomas que tienen fondos compartidos en el mismo y con el Estado a través de los mecanismos que se establezcan de mutuo acuerdo.”</w:t>
      </w:r>
    </w:p>
    <w:p w:rsidR="0026452D" w:rsidRDefault="0026452D" w:rsidP="0026452D">
      <w:pPr>
        <w:pStyle w:val="TextoNormal"/>
      </w:pPr>
    </w:p>
    <w:p w:rsidR="0026452D" w:rsidRDefault="0026452D" w:rsidP="0026452D">
      <w:pPr>
        <w:pStyle w:val="TextoNormal"/>
      </w:pPr>
      <w:r>
        <w:t>Por último, debe consignarse la existencia de previsiones en relación con el Archivo de la Corona de Aragón en la disposición adicional tercera del Estatuto de Autonomía de la Comunidad Valenciana, la disposición adicional primera del Estatuto de Autonomía de las Illes Balears y la disposición adicional primera del Estatuto de Autonomía de Aragón.</w:t>
      </w:r>
    </w:p>
    <w:p w:rsidR="0026452D" w:rsidRDefault="0026452D" w:rsidP="0026452D">
      <w:pPr>
        <w:pStyle w:val="TextoNormal"/>
      </w:pPr>
    </w:p>
    <w:p w:rsidR="0026452D" w:rsidRDefault="0026452D" w:rsidP="0026452D">
      <w:pPr>
        <w:pStyle w:val="TextoNormal"/>
      </w:pPr>
      <w:r w:rsidRPr="0026452D">
        <w:rPr>
          <w:rStyle w:val="NumeroAFNegritaCaracter"/>
        </w:rPr>
        <w:t>3</w:t>
      </w:r>
      <w:r>
        <w:t>. Una vez definido el parámetro de constitucionalidad del precepto impugnado, debemos hacer referencia a la plasmación que el régimen competencial descrito ha tenido en relación con los archivos de titularidad estatal radicados en Cataluña.</w:t>
      </w:r>
    </w:p>
    <w:p w:rsidR="0026452D" w:rsidRDefault="0026452D" w:rsidP="0026452D">
      <w:pPr>
        <w:pStyle w:val="TextoNormal"/>
      </w:pPr>
    </w:p>
    <w:p w:rsidR="0026452D" w:rsidRDefault="0026452D" w:rsidP="0026452D">
      <w:pPr>
        <w:pStyle w:val="TextoNormal"/>
      </w:pPr>
      <w:r>
        <w:lastRenderedPageBreak/>
        <w:t>Con sustento en la competencia atribuida al Estado por el art. 149.1.28 CE —plasmada en el art. 61 de la Ley 16/1985, de 25 de junio, del patrimonio histórico español, y en el art. 10.1 l) del Real Decreto 257/2012, de 27 de enero— existen en la actualidad cinco archivos de titularidad estatal en Cataluña: el centenario Archivo de la Corona de Aragón, el Archivo Histórico Provincial de Tarragona (creado por Orden Ministerial de 2 de mayo de 1944), el Archivo Histórico Provincial de Lleida (Orden Ministerial de 26 de febrero de 1952), el Archivo Histórico Provincial de Girona (Orden Ministerial de 26 de febrero de 1952) y el Depósito Regional de Archivos de Cervera (Orden Ministerial de 18 de febrero de 1970).</w:t>
      </w:r>
    </w:p>
    <w:p w:rsidR="0026452D" w:rsidRDefault="0026452D" w:rsidP="0026452D">
      <w:pPr>
        <w:pStyle w:val="TextoNormal"/>
      </w:pPr>
    </w:p>
    <w:p w:rsidR="0026452D" w:rsidRDefault="0026452D" w:rsidP="0026452D">
      <w:pPr>
        <w:pStyle w:val="TextoNormal"/>
      </w:pPr>
      <w:r>
        <w:t>De conformidad con el propio art. 149.1.28 CE, la gestión de estos archivos de titularidad estatal puede quedar reservada al Estado o, en su caso, ser transferida a las Comunidades Autónomas. En particular, el Estado se ha reservado la gestión del Archivo de la Corona de Aragón, habiéndose constituido, por Real Decreto 1267/2006, de 8 de noviembre, el Patronato del Archivo de la Corona de Aragón, configurado como órgano rector del mismo, adscrito al Ministerio de Cultura, en el que tienen participación las Comunidades Autónomas de Valencia, Illes Balears, Aragón y Cataluña.</w:t>
      </w:r>
    </w:p>
    <w:p w:rsidR="0026452D" w:rsidRDefault="0026452D" w:rsidP="0026452D">
      <w:pPr>
        <w:pStyle w:val="TextoNormal"/>
      </w:pPr>
    </w:p>
    <w:p w:rsidR="0026452D" w:rsidRDefault="0026452D" w:rsidP="0026452D">
      <w:pPr>
        <w:pStyle w:val="TextoNormal"/>
      </w:pPr>
      <w:r>
        <w:t>En relación con los demás archivos de titularidad estatal, el Real Decreto 1010/1981, de 27 de febrero, sobre traspaso de funciones y servicios del Ministerio de Cultura a la Generalidad de Cataluña, dispuso en el apartado B.6 de su anexo la transferencia de la gestión de los archivos históricos provinciales de Tarragona, Lleida y Girona en los términos que resultasen del convenio a celebrar entre la Generalitat y la Administración del Estado. Este convenio fue publicado en el “Boletín Oficial del Estado” de 27 de abril de 1982 (como anexo II) en virtud de resolución de 16 de abril de 1982 de la Secretaría General Técnica del Ministerio de Cultura. Posteriormente, con base en el Real Decreto 898/1995, de 2 de junio, el convenio fue modificado por el de 19 de diciembre de 1995, publicado el 13 de marzo de 1996, para incluir la gestión del Depósito Regional de Archivos de Cervera.</w:t>
      </w:r>
    </w:p>
    <w:p w:rsidR="0026452D" w:rsidRDefault="0026452D" w:rsidP="0026452D">
      <w:pPr>
        <w:pStyle w:val="TextoNormal"/>
      </w:pPr>
    </w:p>
    <w:p w:rsidR="0026452D" w:rsidRDefault="0026452D" w:rsidP="0026452D">
      <w:pPr>
        <w:pStyle w:val="TextoNormal"/>
      </w:pPr>
      <w:r>
        <w:t>Finalmente, todos ellos, bajo la calificación de archivos históricos, forman parte del sistema de archivos de la Administración General del Estado que, a su vez, se integra en el sistema español de archivos, constituido y regulado por el Real Decreto 1708/2011, de 18 de noviembre, que comprende los archivos de la Administración General del Estado y el resto de los archivos públicos y privados que se vinculen al sistema mediante los correspondientes instrumentos de cooperación.</w:t>
      </w:r>
    </w:p>
    <w:p w:rsidR="0026452D" w:rsidRDefault="0026452D" w:rsidP="0026452D">
      <w:pPr>
        <w:pStyle w:val="TextoNormal"/>
      </w:pPr>
    </w:p>
    <w:p w:rsidR="0026452D" w:rsidRDefault="0026452D" w:rsidP="0026452D">
      <w:pPr>
        <w:pStyle w:val="TextoNormal"/>
      </w:pPr>
      <w:r w:rsidRPr="0026452D">
        <w:rPr>
          <w:rStyle w:val="NumeroAFNegritaCaracter"/>
        </w:rPr>
        <w:t>4</w:t>
      </w:r>
      <w:r>
        <w:t>. Lo que en este proceso constitucional se controvierte es si la inclusión de estos archivos de titularidad estatal en el sistema de archivos de Cataluña supone una alteración del régimen competencial descrito. Para dar respuesta a ello habremos de tener presentes ciertos pronunciamientos anteriores de este Tribunal estrechamente vinculados a la cuestión enjuiciada.</w:t>
      </w:r>
    </w:p>
    <w:p w:rsidR="0026452D" w:rsidRDefault="0026452D" w:rsidP="0026452D">
      <w:pPr>
        <w:pStyle w:val="TextoNormal"/>
      </w:pPr>
    </w:p>
    <w:p w:rsidR="0026452D" w:rsidRDefault="0026452D" w:rsidP="0026452D">
      <w:pPr>
        <w:pStyle w:val="TextoNormal"/>
      </w:pPr>
      <w:r>
        <w:t>Así, la STC 103/1988, de 8 de junio, en la que a propósito de la impugnación de la Ley del Parlamento de Andalucía 3/1984, de 9 de enero, de archivos, fijamos el canon de delimitación competencial sobre los archivos de titularidad estatal; y la STC 17/1991, de 31 de enero, que resolvió los recursos de inconstitucionalidad promovidos por la Generalitat de Cataluña, la Junta de Galicia, el Gobierno Vasco y el Parlamento catalán, contra determina</w:t>
      </w:r>
      <w:r>
        <w:lastRenderedPageBreak/>
        <w:t>dos preceptos de la Ley 16/1985, de 25 de junio, reguladora del patrimonio histórico español, en la cual nos pronunciamos, entre otras cuestiones, sobre el alcance de la potestad reglamentaria estatal en materia de archivos.</w:t>
      </w:r>
    </w:p>
    <w:p w:rsidR="0026452D" w:rsidRDefault="0026452D" w:rsidP="0026452D">
      <w:pPr>
        <w:pStyle w:val="TextoNormal"/>
      </w:pPr>
    </w:p>
    <w:p w:rsidR="0026452D" w:rsidRDefault="0026452D" w:rsidP="0026452D">
      <w:pPr>
        <w:pStyle w:val="TextoNormal"/>
      </w:pPr>
      <w:r>
        <w:t>También debemos tomar en consideración, de modo destacado, los pronunciamientos de la STC 31/2010, de 28 de junio, en relación con la constitucionalidad del art. 127.2 (FJ 73) y de la disposición adicional decimotercera del actual Estatuto de Autonomía de Cataluña (FJ 74). Y, adicionalmente, las Sentencias que resolvieron los recursos de inconstitucionalidad promovidos contra la misma disposición adicional decimotercera por el Consejo de Gobierno de la Diputación General de Aragón (STC 46/2010, de 8 de septiembre), el Consejo de Gobierno de la Comunidad Autónoma de las Illes Balears (STC 47/2010, de 8 de septiembre) y la Generalitat de la Comunidad Valenciana (STC 48/2010, de 9 de septiembre).</w:t>
      </w:r>
    </w:p>
    <w:p w:rsidR="0026452D" w:rsidRDefault="0026452D" w:rsidP="0026452D">
      <w:pPr>
        <w:pStyle w:val="TextoNormal"/>
      </w:pPr>
    </w:p>
    <w:p w:rsidR="0026452D" w:rsidRDefault="0026452D" w:rsidP="0026452D">
      <w:pPr>
        <w:pStyle w:val="TextoNormal"/>
      </w:pPr>
      <w:r w:rsidRPr="0026452D">
        <w:rPr>
          <w:rStyle w:val="NumeroAFNegritaCaracter"/>
        </w:rPr>
        <w:t>5</w:t>
      </w:r>
      <w:r>
        <w:t>. Por su importancia para la resolución del presente recurso de inconstitucionalidad es preciso comenzar recordando las consideraciones que se hicieron en el fundamento jurídico 74 de la STC 31/2010, de 28 de junio, puesto que, precisamente, contienen el juicio de constitucionalidad llevado a cabo por este Tribunal sobre la decisión del legislador estatutario de incluir en el sistema de archivos de Cataluña determinados fondos documentales que forman parte de un archivo de titularidad estatal. En efecto, según ha quedado visto, la disposición adicional decimotercera del vigente Estatuto de Autonomía de Cataluña establece que “los fondos propios de Cataluña situados en el Archivo de la Corona de Aragón y en el Archivo Real de Barcelona se integran en el sistema de archivos de Cataluña”.</w:t>
      </w:r>
    </w:p>
    <w:p w:rsidR="0026452D" w:rsidRDefault="0026452D" w:rsidP="0026452D">
      <w:pPr>
        <w:pStyle w:val="TextoNormal"/>
      </w:pPr>
    </w:p>
    <w:p w:rsidR="0026452D" w:rsidRDefault="0026452D" w:rsidP="0026452D">
      <w:pPr>
        <w:pStyle w:val="TextoNormal"/>
      </w:pPr>
      <w:r>
        <w:t>Importa destacar que el precepto estatutario establece que son los “fondos” —cuando sean propios de Cataluña— los que se integran en el sistema de archivos de Cataluña. Esta concreción resulta conforme con la distinción que hicimos en la STC 103/1988, de 8 de junio, en la cual valoramos como intervenciones legislativas diferentes la calificación de documentos y la ordenación de archivos. Y es que, ciertamente, ha de distinguirse la competencia para definir e integrar los elementos que componen el patrimonio documental y la competencia sobre los archivos que contienen dichos documentos. Por lo que se refiere a la primera, las competencias autonómicas sobre patrimonio histórico incluyen la capacidad para definir los elementos integrantes del mismo, y ello aun en el caso de que los documentos de interés para la Comunidad Autónoma se integren en archivos de titularidad estatal, siendo la Comunidad Autónoma la que puede establecer la definición y los elementos integrantes de su patrimonio documental con independencia de la titularidad de los documentos y del archivo en que se hallen ubicados (fundamento jurídico 3 de la mencionada STC 103/1988, de 8 de junio). Por el contrario, si la legislación autonómica contuviera referencias a los archivos de titularidad estatal, en el sentido de llevar a cabo regulaciones reservadas a la competencia legislativa del Estado, se rebasarían los límites competenciales que derivan del art. 149.1.28 CE y, eventualmente, del Estatuto de Autonomía; mientras que si las disposiciones de la ley se refieren o pueden entenderse referidas únicamente a los archivos de competencia de la Comunidad Autónoma, no se habría traspasado, evidentemente, ese límite competencial (FJ 4).</w:t>
      </w:r>
    </w:p>
    <w:p w:rsidR="0026452D" w:rsidRDefault="0026452D" w:rsidP="0026452D">
      <w:pPr>
        <w:pStyle w:val="TextoNormal"/>
      </w:pPr>
    </w:p>
    <w:p w:rsidR="0026452D" w:rsidRDefault="0026452D" w:rsidP="0026452D">
      <w:pPr>
        <w:pStyle w:val="TextoNormal"/>
      </w:pPr>
      <w:r>
        <w:t xml:space="preserve">Esta doctrina se asienta en la concurrencia de dos significados en la noción constitucional de “archivo”: de un lado, el referido a los fondos documentales, como conjuntos orgánicos de documentos; y, de otro, el que atañe a las entidades o instituciones responsables de la </w:t>
      </w:r>
      <w:r>
        <w:lastRenderedPageBreak/>
        <w:t>custodia, conservación y tratamiento de tales fondos. Esta distinción, que está plenamente asentada en la legislación, tanto estatal como autonómica [así, por lo que al presente caso afecta, art. 2.1 del Real Decreto 1708/2011, de 18 de noviembre; y art. 2 d) de la Ley catalana 10/2001, de 13 de julio], permite que las Comunidades Autónomas, en el ejercicio de sus competencias sobre patrimonio cultural [así, el art 127.1 c) del Estatuto catalán], puedan otorgar una determinada calificación a fondos documentales de su interés integrados en archivos de titularidad estatal, a los efectos de su protección, pero sin que esa calificación confiera a la Comunidad Autónoma facultades de disposición u ordenación sobre los fondos documentales ni sobre los archivos en que se ubican.</w:t>
      </w:r>
    </w:p>
    <w:p w:rsidR="0026452D" w:rsidRDefault="0026452D" w:rsidP="0026452D">
      <w:pPr>
        <w:pStyle w:val="TextoNormal"/>
      </w:pPr>
    </w:p>
    <w:p w:rsidR="0026452D" w:rsidRDefault="0026452D" w:rsidP="0026452D">
      <w:pPr>
        <w:pStyle w:val="TextoNormal"/>
      </w:pPr>
      <w:r>
        <w:t>En esta misma línea, la disposición adicional decimotercera del Estatuto de Autonomía de Cataluña no contempla la inclusión en el sistema de archivos de Cataluña de ningún archivo de titularidad estatal sino de los “fondos propios de Cataluña” situados en el Archivo de la Corona de Aragón. Por esta razón, en la STC 31/2010, de 28 de junio, consideramos que aunque “los Estatutos de Autonomía no pueden atribuir a las Comunidades Autónomas potestades de disposición sobre los bienes o fondos de los archivos de titularidad estatal que menoscaben o perturben las competencias del Estado para regular y gestionar sus archivos”, sin embargo “la integración en el sistema de archivos de Cataluña de sus fondos situados en el Archivo de la Corona de Aragón y en el Archivo Real de Barcelona … se limita a introducir una calificación que sólo puede añadir una sobreprotección a dichos fondos” (FJ 74).</w:t>
      </w:r>
    </w:p>
    <w:p w:rsidR="0026452D" w:rsidRDefault="0026452D" w:rsidP="0026452D">
      <w:pPr>
        <w:pStyle w:val="TextoNormal"/>
      </w:pPr>
    </w:p>
    <w:p w:rsidR="0026452D" w:rsidRDefault="0026452D" w:rsidP="0026452D">
      <w:pPr>
        <w:pStyle w:val="TextoNormal"/>
      </w:pPr>
      <w:r>
        <w:t>Entendida de este modo la disposición adicional decimotercera del Estatuto de Autonomía de Cataluña, la STC 31/2010, de 28 de junio, concluyó declarando que el precepto no resultaba contrario al art. 149.1.28 CE, del mismo modo que las posteriores SSTC 46/2010, de 8 de septiembre; 47/2010, de 8 de septiembre; y 48/2010, de 9 de septiembre, reiteraron la misma apreciación, añadiendo que si la competencia estatal sobre el Archivo de la Corona de Aragón no resulta desconocida ni invadida por la disposición impugnada, en nada se veían afectadas la disposición adicional primera del Estatuto de Autonomía de Aragón, la disposición adicional primera del Estatuto de Autonomía de las Illes Balears, ni la disposición adicional tercera del Estatuto de Autonomía de la Comunidad Valenciana.</w:t>
      </w:r>
    </w:p>
    <w:p w:rsidR="0026452D" w:rsidRDefault="0026452D" w:rsidP="0026452D">
      <w:pPr>
        <w:pStyle w:val="TextoNormal"/>
      </w:pPr>
    </w:p>
    <w:p w:rsidR="0026452D" w:rsidRDefault="0026452D" w:rsidP="0026452D">
      <w:pPr>
        <w:pStyle w:val="TextoNormal"/>
      </w:pPr>
      <w:r>
        <w:t>En definitiva, debemos extraer de nuestra jurisprudencia la conclusión de que no contradice el art. 149.1.28 CE, en relación con el art. 149.2 CE, que los fondos ubicados en archivos de titularidad estatal se integren en sistemas archivísticos de las Comunidades Autónomas, en cuanto ello implique una calificación que sólo añada una sobreprotección a dichos fondos, pero sin incidencia en la regulación, disposición o gestión de los fondos documentales ni de los archivos en que se ubican.</w:t>
      </w:r>
    </w:p>
    <w:p w:rsidR="0026452D" w:rsidRDefault="0026452D" w:rsidP="0026452D">
      <w:pPr>
        <w:pStyle w:val="TextoNormal"/>
      </w:pPr>
    </w:p>
    <w:p w:rsidR="0026452D" w:rsidRDefault="0026452D" w:rsidP="0026452D">
      <w:pPr>
        <w:pStyle w:val="TextoNormal"/>
      </w:pPr>
      <w:r w:rsidRPr="0026452D">
        <w:rPr>
          <w:rStyle w:val="NumeroAFNegritaCaracter"/>
        </w:rPr>
        <w:t>6</w:t>
      </w:r>
      <w:r>
        <w:t>. La conclusión así alcanzada debe ser contrastada con el contenido de la Ley del Parlamento catalán 10/2001, de 13 de julio, pues, por más que sea constitucional la inserción en el sistema de archivos de Cataluña de “fondos propios de Cataluña” ubicados en archivos de titularidad estatal, sin embargo es preciso enjuiciar si, como sostiene el Abogado del Estado, ello conlleva en el presente caso y con menoscabo de las competencias estatales, la sujeción del archivo en su conjunto al régimen de la Ley 10/2001, de 13 de julio; en particular, a sus arts. 21 a 25 (referidos a las disposiciones generales sobre requisitos y efectos de la pertenencia al sistema de archivos de Cataluña, personal, coordinación en la custodia de documentos, inventario y registro de archivos, y mapa de archivos de Cataluña).</w:t>
      </w:r>
    </w:p>
    <w:p w:rsidR="0026452D" w:rsidRDefault="0026452D" w:rsidP="0026452D">
      <w:pPr>
        <w:pStyle w:val="TextoNormal"/>
      </w:pPr>
    </w:p>
    <w:p w:rsidR="0026452D" w:rsidRDefault="0026452D" w:rsidP="0026452D">
      <w:pPr>
        <w:pStyle w:val="TextoNormal"/>
      </w:pPr>
      <w:r>
        <w:lastRenderedPageBreak/>
        <w:t xml:space="preserve">Pues bien, tal contingencia debe ser descartada a tenor de la propia Ley 10/2001, de 13 de julio, cuyo art. 3.2, bajo la rúbrica “ámbito de aplicación”, declara que “los archivos de titularidad estatal, incluidos los integrados en el Sistema de Archivos de Cataluña, se rigen por la legislación estatal”. Este precepto comporta que la mención en el sistema de archivos de Cataluña de archivos de titularidad estatal no puede suponer que éstos se entiendan incluidos, a ningún efecto, en el ámbito de aplicación de la citada ley. A mayor abundamiento, el art. 17.2 b) de la Ley, al enumerar las funciones en materia de inspección de archivos que corresponden al Departamento de Cultura en relación al sistema de archivos de Cataluña, señala que le corresponde “la inspección técnica de los archivos situados en Cataluña dependientes de cualquier otra Administración, institución o entidad pública, excluidos los archivos de titularidad estatal cuya gestión se reserve al Estado”; sin que esta reiteración singular implique </w:t>
      </w:r>
      <w:r w:rsidRPr="0026452D">
        <w:rPr>
          <w:i/>
        </w:rPr>
        <w:t>a contrario sensu</w:t>
      </w:r>
      <w:r>
        <w:t xml:space="preserve"> la aplicabilidad de los demás preceptos.</w:t>
      </w:r>
    </w:p>
    <w:p w:rsidR="0026452D" w:rsidRDefault="0026452D" w:rsidP="0026452D">
      <w:pPr>
        <w:pStyle w:val="TextoNormal"/>
      </w:pPr>
    </w:p>
    <w:p w:rsidR="0026452D" w:rsidRDefault="0026452D" w:rsidP="0026452D">
      <w:pPr>
        <w:pStyle w:val="TextoNormal"/>
      </w:pPr>
      <w:r>
        <w:t>La antinomia que pudiera resultar de que la propia ley que integra archivos de titularidad estatal en el sistema de archivos de Cataluña les excluya de su ámbito de aplicación, debe ser resuelta, como hicimos en la STC 103/1988, de 8 de junio, mediante una comprensión de los preceptos de la Ley que permite concluir que, efectivamente, quedan fuera del ámbito de la ley impugnada los archivos de titularidad estatal, incluso aunque éstos custodien fondos que la legislación autonómica declare ahora o en el futuro como pertenecientes al patrimonio documental autonómico. De este modo, la inclusión de los archivos de titularidad estatal en el sistema de archivos de Cataluña debe entenderse vinculada a la protección añadida que la Comunidad Autónoma pueda dispensar a fondos documentales obrantes en tales archivos, al ser el de la protección de los fondos documentales uno de los fines que la Ley asigna al sistema de archivos de Cataluña (art. 16.1).</w:t>
      </w:r>
    </w:p>
    <w:p w:rsidR="0026452D" w:rsidRDefault="0026452D" w:rsidP="0026452D">
      <w:pPr>
        <w:pStyle w:val="TextoNormal"/>
      </w:pPr>
    </w:p>
    <w:p w:rsidR="0026452D" w:rsidRDefault="0026452D" w:rsidP="0026452D">
      <w:pPr>
        <w:pStyle w:val="TextoNormal"/>
      </w:pPr>
      <w:r>
        <w:t>En definitiva, en relación con el Archivo de la Corona de Aragón, en cuanto archivo cuya gestión tiene reservada el Estado, la Comunidad Autónoma de Cataluña carece de competencias, sin perjuicio de su participación en el Patronato del Archivo de la Corona de Aragón constituido por el Real Decreto 1267/2006, de 8 de noviembre.</w:t>
      </w:r>
    </w:p>
    <w:p w:rsidR="0026452D" w:rsidRDefault="0026452D" w:rsidP="0026452D">
      <w:pPr>
        <w:pStyle w:val="TextoNormal"/>
      </w:pPr>
    </w:p>
    <w:p w:rsidR="0026452D" w:rsidRDefault="0026452D" w:rsidP="0026452D">
      <w:pPr>
        <w:pStyle w:val="TextoNormal"/>
      </w:pPr>
      <w:r>
        <w:t xml:space="preserve">En lo tocante a los archivos históricos provinciales, al haber transferido el Estado a la Comunidad Autónoma de Cataluña su gestión, corresponde a ésta la ejecución de la normativa aprobada por el Estado, conforme al correspondiente Convenio de traspaso de competencias. En este punto debemos recordar que desde la STC 18/1982, de 4 de mayo, venimos considerando que la competencia estatal de “legislación” ha de entenderse en sentido material, refiriéndose, por tanto, no sólo a la ley en sentido formal, sino también a los reglamentos ejecutivos e, incluso, a las circulares, si tienen naturaleza normativa. Por su parte, la competencia autonómica de “ejecución” se extiende generalmente a todos los actos aplicativos, esto es, a la potestad de administrar que comporta, junto a las facultades de mera gestión, la de dictar reglamentos internos de organización de los servicios correspondientes en la medida en que éstos sean necesarios para la mera estructuración interna de la organización administrativa (por todas, STC 103/1999, de 3 de junio, FJ 4). Ya en la STC 17/1991, de 31 de enero, con motivo de que la Generalitat de Cataluña rechazara la competencia del Estado para dictar un reglamento de organización, funcionamiento y personal de los archivos, bibliotecas y museos de titularidad estatal, dijimos que la transferencia de la gestión sobre estos archivos no conlleva la atribución de la potestad reglamentaria, pues lo que en su párrafo final establece el art. 149.1.28 CE es la posibilidad de transferir la gestión de los </w:t>
      </w:r>
      <w:r>
        <w:lastRenderedPageBreak/>
        <w:t>establecimientos citados a las Comunidades Autónomas, y que, una vez hecho, a la Generalitat corresponde “la ejecución de la legislación del Estado” esto es, sujetando su gestión a las normas reglamentarias que en desarrollo de su legislación dicte el Estado (FJ 19). Esta posición fue precisada a la luz del vigente Estatuto de Autonomía de Cataluña, que, como ha quedado visto, en su art. 127.2 asigna a la Generalitat “la competencia ejecutiva sobre los archivos, bibliotecas, museos y centros de depósito cultural de titularidad estatal situados en Cataluña cuya gestión no se reserve expresamente el Estado”, añadiendo que tal gestión “incluye, en todo caso, la regulación del funcionamiento, la organización y el régimen de personal”. En la STC 31/2010, de 28 de junio, rechazamos que fuera inconstitucional este último inciso, en la medida en que tales potestades no exceden del concepto de “gestión” que figura como límite de la competencia autonómica en esta materia, según el art. 149.1.28 CE; ya que la potestad reglamentaria a que se refiere el art. 112 EAC no es una potestad reglamentaria de alcance general sino que queda limitada a la emanación de reglamentos de organización interna y de ordenación funcional de la competencia ejecutiva autonómica, de acuerdo con lo que dicho en el fundamento jurídico 61 de la misma STC 31/2010, de 28 de junio.</w:t>
      </w:r>
    </w:p>
    <w:p w:rsidR="0026452D" w:rsidRDefault="0026452D" w:rsidP="0026452D">
      <w:pPr>
        <w:pStyle w:val="TextoNormal"/>
      </w:pPr>
    </w:p>
    <w:p w:rsidR="0026452D" w:rsidRDefault="0026452D" w:rsidP="0026452D">
      <w:pPr>
        <w:pStyle w:val="TextoNormal"/>
      </w:pPr>
      <w:r>
        <w:t>Los razonamientos expuestos conducen a considerar que la interpretación natural del precepto impugnado, atendiendo a su texto, al conjunto normativo en que se integra y a la doctrina consolidada de este Tribunal, no transgrede los límites competenciales establecidos en el art. 149.1.28 en relación con el art. 149.2, ambos de la Constitución.</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treinta y uno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8" w:name="SENTENCIA_2013_15"/>
      <w:r>
        <w:lastRenderedPageBreak/>
        <w:t>SENTENCIA 15/2013, de 31 de enero de 2013</w:t>
      </w:r>
    </w:p>
    <w:bookmarkEnd w:id="18"/>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ECLI:ES:TC:2013:15</w:t>
      </w:r>
    </w:p>
    <w:p w:rsidR="0026452D" w:rsidRDefault="0026452D" w:rsidP="0026452D">
      <w:pPr>
        <w:pStyle w:val="SntesisDescriptiva"/>
      </w:pPr>
    </w:p>
    <w:p w:rsidR="0026452D" w:rsidRDefault="0026452D" w:rsidP="0026452D">
      <w:pPr>
        <w:pStyle w:val="SntesisDescriptiva"/>
      </w:pPr>
      <w:r>
        <w:t>Conflicto positivo de competencia 6326-2003. Planteado por el Gobierno de la Generalitat de Cataluña en relación con diversos preceptos del Real Decreto 830/2003, de 27 de junio, por el que se establecen las enseñanzas comunes de la educación primaria.</w:t>
      </w:r>
    </w:p>
    <w:p w:rsidR="0026452D" w:rsidRDefault="0026452D" w:rsidP="0026452D">
      <w:pPr>
        <w:pStyle w:val="SntesisDescriptiva"/>
      </w:pPr>
    </w:p>
    <w:p w:rsidR="0026452D" w:rsidRDefault="0026452D" w:rsidP="0026452D">
      <w:pPr>
        <w:pStyle w:val="SntesisAnaltica"/>
      </w:pPr>
      <w:r>
        <w:t>Competencias sobre educación: validez de las disposiciones reglamentarias relativas a los contenidos y horarios de las áreas lingüísticas con las que se persigue garantizar el conocimiento del castellano sin detrimento de las lenguas cooficiales (STC 87/1983).</w:t>
      </w:r>
    </w:p>
    <w:p w:rsidR="0026452D" w:rsidRDefault="0026452D" w:rsidP="0026452D">
      <w:pPr>
        <w:pStyle w:val="SntesisAnaltica"/>
      </w:pPr>
    </w:p>
    <w:p w:rsidR="0026452D" w:rsidRDefault="0026452D" w:rsidP="0026452D">
      <w:pPr>
        <w:pStyle w:val="Extracto"/>
      </w:pPr>
      <w:r>
        <w:t>1.</w:t>
      </w:r>
      <w:r>
        <w:tab/>
        <w:t>La imposibilidad de que el total del 10 por 100 del horario escolar que disponen las Comunidades Autónomas que tengan, junto con la lengua castellana, otra lengua oficial escolar, para la organización de las enseñanzas de la lengua cooficial, se extraiga en su totalidad de las materias correspondientes al ámbito lingüístico destinado a la enseñanza de la lengua cooficial, responde a una opción estatal que no puede ser considerada contraria al orden competencial, sin que, corresponda a este Tribunal entrar a valorar cuestiones vinculadas a la programación didáctica de la impartición de las diferentes enseñanzas que componen el currículo escolar [FJ 4].</w:t>
      </w:r>
    </w:p>
    <w:p w:rsidR="0026452D" w:rsidRDefault="0026452D" w:rsidP="0026452D">
      <w:pPr>
        <w:pStyle w:val="Extracto"/>
      </w:pPr>
    </w:p>
    <w:p w:rsidR="0026452D" w:rsidRDefault="0026452D" w:rsidP="0026452D">
      <w:pPr>
        <w:pStyle w:val="Extracto"/>
      </w:pPr>
      <w:r>
        <w:t>2.</w:t>
      </w:r>
      <w:r>
        <w:tab/>
        <w:t>La determinación del número mínimo de horas que ha dedicarse a la enseñanza del castellano reviste carácter básico, pues responde a la obligación estatal de garantizar el conocimiento del castellano en tanto que lengua oficial del Estado, sin que, por lo demás, haya quedado demostrado que dicha regulación impida una enseñanza eficaz de ambas lenguas, contraria a la garantía de conocimiento suficiente de las lenguas catalana y castellana, que es lo que sería inconstitucional en los términos de nuestra doctrina [FJ 4].</w:t>
      </w:r>
    </w:p>
    <w:p w:rsidR="0026452D" w:rsidRDefault="0026452D" w:rsidP="0026452D">
      <w:pPr>
        <w:pStyle w:val="Extracto"/>
      </w:pPr>
    </w:p>
    <w:p w:rsidR="0026452D" w:rsidRDefault="0026452D" w:rsidP="0026452D">
      <w:pPr>
        <w:pStyle w:val="Extracto"/>
      </w:pPr>
      <w:r>
        <w:t>3.</w:t>
      </w:r>
      <w:r>
        <w:tab/>
        <w:t>Resulta perfectamente legítimo que el catalán, en atención al objetivo de normalización lingüística en Cataluña, sea el centro de gravedad de este modelo de bilingüismo, aunque siempre con el límite de que ello no determine la exclusión del castellano como lengua docente, de forma que quede garantizado su conocimiento y uso en el territorio de la Comunidad Autónoma (STC 31/2010) [FJ 4].</w:t>
      </w:r>
    </w:p>
    <w:p w:rsidR="0026452D" w:rsidRDefault="0026452D" w:rsidP="0026452D">
      <w:pPr>
        <w:pStyle w:val="Extracto"/>
      </w:pPr>
    </w:p>
    <w:p w:rsidR="0026452D" w:rsidRDefault="0026452D" w:rsidP="0026452D">
      <w:pPr>
        <w:pStyle w:val="Extracto"/>
      </w:pPr>
      <w:r>
        <w:t>4.</w:t>
      </w:r>
      <w:r>
        <w:tab/>
        <w:t>Doctrina constitucional sobre utilización de las lenguas oficiales en la enseñanza (SSTC 6/1982, 87/1983, 337/1994, 31/2010) [FJ 3].</w:t>
      </w:r>
    </w:p>
    <w:p w:rsidR="0026452D" w:rsidRDefault="0026452D" w:rsidP="0026452D">
      <w:pPr>
        <w:pStyle w:val="Extracto"/>
      </w:pPr>
    </w:p>
    <w:p w:rsidR="0026452D" w:rsidRDefault="0026452D" w:rsidP="0026452D">
      <w:pPr>
        <w:pStyle w:val="Extracto"/>
      </w:pPr>
      <w:r>
        <w:t>5.</w:t>
      </w:r>
      <w:r>
        <w:tab/>
        <w:t>Doctrina constitucional sobre las competencias autonómicas y estatales en materia de educación (SSTC 184/2012, 212/2012) [FJ 3].</w:t>
      </w:r>
    </w:p>
    <w:p w:rsidR="0026452D" w:rsidRDefault="0026452D" w:rsidP="0026452D">
      <w:pPr>
        <w:pStyle w:val="Extracto"/>
      </w:pPr>
    </w:p>
    <w:p w:rsidR="0026452D" w:rsidRDefault="0026452D" w:rsidP="0026452D">
      <w:pPr>
        <w:pStyle w:val="Extracto"/>
      </w:pPr>
      <w:r>
        <w:t>6.</w:t>
      </w:r>
      <w:r>
        <w:tab/>
        <w:t xml:space="preserve">Doctrina constitucional sobre la pervivencia del objeto pese a la sustitución de la norma, en las controversias de alcance competencial, cuando la nueva normativa </w:t>
      </w:r>
      <w:r>
        <w:lastRenderedPageBreak/>
        <w:t>venga a plantear en esencia los mismos problemas competenciales que la sustituida (SSTC 147/1998, 194/2012) [FJ 2].</w:t>
      </w:r>
    </w:p>
    <w:p w:rsidR="0026452D" w:rsidRDefault="0026452D" w:rsidP="0026452D">
      <w:pPr>
        <w:pStyle w:val="Extracto"/>
      </w:pPr>
    </w:p>
    <w:p w:rsidR="0026452D" w:rsidRDefault="0026452D" w:rsidP="0026452D">
      <w:pPr>
        <w:pStyle w:val="Extracto"/>
      </w:pPr>
      <w:r>
        <w:t>7.</w:t>
      </w:r>
      <w:r>
        <w:tab/>
        <w:t xml:space="preserve">Doctrina constitucional sobre el </w:t>
      </w:r>
      <w:r w:rsidRPr="0026452D">
        <w:rPr>
          <w:i/>
        </w:rPr>
        <w:t>ius superveniens</w:t>
      </w:r>
      <w:r>
        <w:t xml:space="preserve"> (STC 134/2011)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Trias,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6326-2003 interpuesto por el Gobierno de la Generalitat de Cataluña contra los arts. 5, 6, 11, disposición final primera y anexos I y II del Real Decreto 830/2003, de 27 de junio, por el que se establecen las enseñanzas comunes de la educación primaria. Ha formulado alegaciones el Abogado del Estado. Ha sido Ponente el Magistrado don Francisco José Hernando Santiago,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día 24 de octubre de 2003 la Letrada de la Generalitat de Cataluña, en la representación que legalmente ostenta, promueve conflicto positivo de competencia contra los arts. 5, 6, 11, disposición final primera y anexos I y II del Real Decreto 830/2003, de 27 de junio, por el que se establecen las enseñanzas comunes de la educación primaria.</w:t>
      </w:r>
    </w:p>
    <w:p w:rsidR="0026452D" w:rsidRDefault="0026452D" w:rsidP="0026452D">
      <w:pPr>
        <w:pStyle w:val="TextoNormal"/>
      </w:pPr>
    </w:p>
    <w:p w:rsidR="0026452D" w:rsidRDefault="0026452D" w:rsidP="0026452D">
      <w:pPr>
        <w:pStyle w:val="TextoNormal"/>
      </w:pPr>
      <w:r>
        <w:t>El conflicto se fundamenta en los motivos que, resumidamente, se exponen a continuación:</w:t>
      </w:r>
    </w:p>
    <w:p w:rsidR="0026452D" w:rsidRDefault="0026452D" w:rsidP="0026452D">
      <w:pPr>
        <w:pStyle w:val="TextoNormal"/>
      </w:pPr>
    </w:p>
    <w:p w:rsidR="0026452D" w:rsidRDefault="0026452D" w:rsidP="0026452D">
      <w:pPr>
        <w:pStyle w:val="TextoNormal"/>
      </w:pPr>
      <w:r>
        <w:t xml:space="preserve">La Letrada de la Generalitat de Cataluña, tras hacer referencia al cumplimiento de los trámites preceptivos para el planteamiento del conflicto, comienza señalando que la impugnación del Real Decreto 830/2003 se sustenta en los mismos criterios que determinaron el planteamiento de recurso de inconstitucionalidad frente a la Ley Orgánica 10/2002, de 23 de diciembre, de calidad de la educación, es decir, en la conversión de las enseñanzas “mínimas” en enseñanzas “comunes”, en la fijación por el Estado de todos los currículos de dichas enseñanzas e, incluso, en la identificación de los días en que deben impartirse. El real decreto impugnado, al desarrollar y aplicar la Ley Orgánica de calidad de la educación, </w:t>
      </w:r>
      <w:r>
        <w:lastRenderedPageBreak/>
        <w:t>incurre en los mismos vicios de inconstitucionalidad que ésta, es decir, vulnera las competencias de la Generalitat de Cataluña en materia de enseñanza (art. 15 del Estatuto de Autonomía de Cataluña de 1979). Así, la demanda rechaza que el Real Decreto 830/2003 pueda sustentarse en los arts. 149.1.1 y 30 CE. En cuanto al art. 149.1.1, no puede configurarse como título aplicable en esta materia (con cita de la STC 188/2001). Respecto al art. 149.1.30 CE, la demanda señala que este título competencial no permite al Estado adoptar una normativa de tanta extensión como la impugnada, pues deja vacías de contenido las competencias de la Generalitat.</w:t>
      </w:r>
    </w:p>
    <w:p w:rsidR="0026452D" w:rsidRDefault="0026452D" w:rsidP="0026452D">
      <w:pPr>
        <w:pStyle w:val="TextoNormal"/>
      </w:pPr>
    </w:p>
    <w:p w:rsidR="0026452D" w:rsidRDefault="0026452D" w:rsidP="0026452D">
      <w:pPr>
        <w:pStyle w:val="TextoNormal"/>
      </w:pPr>
      <w:r>
        <w:t>A continuación el escrito de interposición del conflicto argumenta que la regulación de las enseñanzas comunes, por su amplitud, impide el desarrollo por las Comunidades Autónomas. Vulneración que se predica de los arts. 5 y 6 y de los anexos I y II del Real Decreto, y que se desprende de dos factores: la regulación tan detallada de los aspectos que configuran el contenido básico de la etapa y la necesidad de que dichos elementos básicos que configuran el currículo se impartan en sus propios términos. Tal cambio es sustantivo, ya que encierra un cambio de concepción y una extensión de lo básico que deja de ser un mínimo común y se convierte en una regulación homogeneizadora que ya no responde a objetivos de formación común sino que se extiende a todo el espacio regulador, de tal manera que la sustitución antes mencionada hace que lo común deje de ser mínimo. En concreto, eso implica que se pasa de un sistema en el que la regla de mínimos marcaba el contenido de la formación común que debía ser impartida a todos los alumnos, a otro en el cual el contenido de esa formación pretende ser determinada unilateralmente por el Estado. Tal situación contrasta, a juicio de la Letrada de la Generalitat, con la que se producía durante la vigencia de la Ley Orgánica 1/1990, de 3 de octubre, de ordenación general del sistema educativo, en la que la determinación de los contenidos educativos se producía de forma flexible, tal como ponía de manifiesto el Real Decreto 1006/1991, de 14 de junio, por el que se establecían las enseñanzas mínimas de la educación primaria, que permitía a las administraciones educativas la fijación de la totalidad del currículum, frente a la situación actual en la que, debido a la necesidad de que las enseñanzas comunes se incluyan en sus propios términos, la Generalitat solamente puede determinar el 45 por 100 del currículo. Al respecto la Letrada de la Generalitat estima que, en lugar de delimitar los contenidos en cada una de las distintas áreas de conocimiento correspondientes a los tres ciclos que integran esta etapa educativa, el Estado debería haberse circunscrito a establecer las competencias básicas. Por otra parte, el Estado ha ampliado el número de conceptos que integran el contenido de las enseñanzas comunes en esta etapa educativa, sin que ello suponga que se amplíen el número de horas de las enseñanzas mínimas, lo que va a obligar a las Comunidades Autónomas a destinar el número de horas de ampliación de currículum de las que disponen, a impartir el que, como conocimientos mínimos comunes, ha sido fijado por el Estado. Por otro lado, también se ha limitado la capacidad autonómica para ampliar los contenidos, al determinarse con precisión el porcentaje de horas que han de dedicarse a impartir las enseñanzas comunes, el 55 por 100 en las Comunidades que, como Cataluña, tienen otra lengua cooficial, lo que, por otra parte, tiene graves implicaciones en relación al estudio de la lengua propia de la Comunidad Autónoma.</w:t>
      </w:r>
    </w:p>
    <w:p w:rsidR="0026452D" w:rsidRDefault="0026452D" w:rsidP="0026452D">
      <w:pPr>
        <w:pStyle w:val="TextoNormal"/>
      </w:pPr>
    </w:p>
    <w:p w:rsidR="0026452D" w:rsidRDefault="0026452D" w:rsidP="0026452D">
      <w:pPr>
        <w:pStyle w:val="TextoNormal"/>
      </w:pPr>
      <w:r>
        <w:t xml:space="preserve">En otro orden de cuestiones, la Letrada de la Generalitat de Cataluña expone que la determinación de los contenidos mínimos de las áreas lingüísticas y la fijación de los horarios correspondientes impide el conocimiento de la lengua propia de la Comunidad Autónoma. </w:t>
      </w:r>
      <w:r>
        <w:lastRenderedPageBreak/>
        <w:t>En este sentido señala que la Ley Orgánica de calidad de la educación reduce, en las Comunidades con lengua cooficial, a un 10 por 100 el porcentaje que ha de dedicarse a las enseñanzas comunes para que se destine al estudio de la lengua y literatura correspondiente a la segunda lengua oficial. El cambio sustancial que afecta a la estructuración de los currículums del área lingüística estriba en que el sistema anterior derivado del Real Decreto 1006/1991 ampliaba en un 10 por 100 con relación al total de la etapa el horario dedicado a las enseñanzas del área lingüística con el único requisito de que se guardara una distribución proporcional de dicho porcentaje entre los horarios correspondientes a las distintas asignaturas. Con el sistema que se implanta en el real decreto impugnado se impide la posibilidad de realizar la distribución coordinada de los currículums correspondientes a las asignaturas del área lingüística de la educación primaria, pues se producen dos cambios importantes. De un lado, se limita el número de horas que puede dedicarse al conocimiento de la lengua cooficial puesto que sólo puede dedicarse un 10 por 100 del porcentaje de horario escolar total que deriva del anexo, cuando en la anterior regulación el porcentaje establecido se fijaba para las enseñanzas comunes y, por ello, era susceptible de ser desarrollado. De otro lado, se determina el número de horas que ha de dedicarse a la lengua castellana, de forma que se impide una distribución proporcional de las horas dedicadas al área lingüística, afectando a las competencias de la Generalitat de Cataluña, en cuanto que de la misma se deriva una situación de desigualdad entre las dos lenguas oficiales de la Comunidad Autónoma que es contraria a los principios constitucionales que derivan del reconocimiento del castellano y del catalán como lenguas oficiales y de los que deriva la obligación de los poderes públicos con competencias en la materia de educación de garantizar el conocimiento de ambas. Ello supone el reconocimiento del deber de la Generalitat de regular, en el ámbito de la educación, las condiciones para el conocimiento de la lengua catalana, obligación que no puede ser ignorada por la Ley Orgánica de calidad de la educación y que comporta su inclusión en el sistema educativo. No basta, sin embargo, su incorporación como asignatura sino que es necesario que la regulación se realice de forma que se permita una enseñanza eficaz de ambas lenguas, evitando desequilibrios como el que resulta de la regulación impugnada, que relega a la lengua catalana a una posición secundaria dentro del sistema, incompatible con su carácter de lengua oficial.</w:t>
      </w:r>
    </w:p>
    <w:p w:rsidR="0026452D" w:rsidRDefault="0026452D" w:rsidP="0026452D">
      <w:pPr>
        <w:pStyle w:val="TextoNormal"/>
      </w:pPr>
    </w:p>
    <w:p w:rsidR="0026452D" w:rsidRDefault="0026452D" w:rsidP="0026452D">
      <w:pPr>
        <w:pStyle w:val="TextoNormal"/>
      </w:pPr>
      <w:r>
        <w:t>La nueva regulación tiene, a juicio de la representación procesal de la Generalitat de Cataluña, una única finalidad, que es la de aumentar las horas de lengua castellana en las Comunidades con dos lenguas oficiales, pese a que nada demuestra que aquellos alumnos escolarizados en un sistema de equilibrio de las dos lenguas oficiales no alcancen los objetivos fijados como básicos por el Estado para la lengua castellana. Por ello, la exigencia de que el currículum correspondiente a la lengua castellana sea desarrollado en sus propios términos condiciona y limita la determinación del currículum correspondiente a la lengua propia de Cataluña y le impide aplicar métodos adecuados para la enseñanza de las lenguas oficiales ajustados a la realidad sociolingüística de Cataluña.</w:t>
      </w:r>
    </w:p>
    <w:p w:rsidR="0026452D" w:rsidRDefault="0026452D" w:rsidP="0026452D">
      <w:pPr>
        <w:pStyle w:val="TextoNormal"/>
      </w:pPr>
    </w:p>
    <w:p w:rsidR="0026452D" w:rsidRDefault="0026452D" w:rsidP="0026452D">
      <w:pPr>
        <w:pStyle w:val="TextoNormal"/>
      </w:pPr>
      <w:r>
        <w:t>Por todo ello, la Letrada de la Generalitat estima que la determinación de los elementos básicos del currículo de lenguas castellana y del horario mínimo que efectúan los anexos I y II del Real Decreto 830/2003 impiden no sólo efectuar una estructura coherente e integrada de los currículos correspondientes a las áreas lingüísticas, sino la enseñanza eficaz de la lengua catalana, lo que supone incumplir el mandato que deriva del art. 3 del Estatuto de Autonomía de Cataluña y comporta, a su vez, la vulneración de las competencias autonómicas en materia de educación.</w:t>
      </w:r>
    </w:p>
    <w:p w:rsidR="0026452D" w:rsidRDefault="0026452D" w:rsidP="0026452D">
      <w:pPr>
        <w:pStyle w:val="TextoNormal"/>
      </w:pPr>
    </w:p>
    <w:p w:rsidR="0026452D" w:rsidRDefault="0026452D" w:rsidP="0026452D">
      <w:pPr>
        <w:pStyle w:val="TextoNormal"/>
      </w:pPr>
      <w:r>
        <w:t>Finalmente, se argumenta que el art. 11 vulnera las competencias autonómicas, pues la determinación del calendario escolar no puede tener carácter básico. Corresponde al Estado determinar las enseñanzas mínimas y el número de horas necesarias para su impartición, pero el Real Decreto 830/2003 va más allá y determina además el calendario escolar al establecer que comprenderá un mínimo de 175 días lectivos e incluso que, en ningún caso, el inicio del curso escolar se producirá antes del 1 de septiembre, ni el final de las actividades lectivas después del 30 de junio de cada año académico. Ambas decisiones suponen una extralimitación de lo básico, tal como ya se indicó en el recurso interpuesto contra la Ley Orgánica de calidad de la educación, pues la determinación del calendario escolar es una materia típicamente organizativa que se enmarca en la competencia autonómica sobre educación.</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la Sección Tercera de este Tribunal Constitucional de 2 de diciembre de 2003 se acordó admitir a trámite el conflicto positivo de competencia en relación con los arts. 5, 6, 11, disposición final primera y anexos I y II del Real Decreto 830/2003, de 27 de junio, por el que se establecen las enseñanzas comunes de la educación primaria, dar traslado de la demanda y documentos presentados al Gobierno, por conducto de su Presidente, para que en el plazo de veinte días y, por medio de la representación procesal que determina el art. 82.2 de la Ley Orgánica del Tribunal Constitucional (LOTC), aporte cuantos documentos y alegaciones considere convenientes. Igualmente se acordó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 61.2 LOTC, así como publicar la incoación del conflicto en el “Boletín Oficial del Estado” y en el “Diario Oficial de la Generalitat de Cataluña”.</w:t>
      </w:r>
    </w:p>
    <w:p w:rsidR="0026452D" w:rsidRDefault="0026452D" w:rsidP="0026452D">
      <w:pPr>
        <w:pStyle w:val="TextoNormal"/>
      </w:pPr>
    </w:p>
    <w:p w:rsidR="0026452D" w:rsidRDefault="0026452D" w:rsidP="0026452D">
      <w:pPr>
        <w:pStyle w:val="TextoNormal"/>
      </w:pPr>
      <w:r w:rsidRPr="0026452D">
        <w:rPr>
          <w:rStyle w:val="NumeroAFNegritaCaracter"/>
        </w:rPr>
        <w:t>3</w:t>
      </w:r>
      <w:r>
        <w:t>. La Abogado del Estado, en la representación que legalmente ostenta, se personó en el proceso por escrito registrado el día 2 de enero de 2004 instando la desestimación del conflicto conforme a los siguientes argumentos.</w:t>
      </w:r>
    </w:p>
    <w:p w:rsidR="0026452D" w:rsidRDefault="0026452D" w:rsidP="0026452D">
      <w:pPr>
        <w:pStyle w:val="TextoNormal"/>
      </w:pPr>
    </w:p>
    <w:p w:rsidR="0026452D" w:rsidRDefault="0026452D" w:rsidP="0026452D">
      <w:pPr>
        <w:pStyle w:val="TextoNormal"/>
      </w:pPr>
      <w:r>
        <w:t>La representante del Gobierno alude, en primer lugar, al objeto del presente conflicto, señalando que reitera parcialmente el contenido del recurso de inconstitucionalidad en su día interpuesto contra los preceptos de la Ley Orgánica de calidad de la educación que el real decreto impugnado viene a desarrollar. Siguiendo lo argumentado en el escrito de interposición del conflicto, la Abogacía del Estado da por reproducidas las alegaciones formuladas respecto a la Ley Orgánica de calidad de la educación en lo relativo a la ordenación de las enseñanzas comunes de la educación primaria y a la cobertura competencial tales enseñanzas encuentran en los arts. 149.1.1 y 30 CE. Destaca, en todo caso, que, dado que la Constitución atribuye al Estado la competencia para configurar un sistema educativo básico dirigido a la finalidad de asegurar la igualdad y la uniformidad en el ejercicio del derecho a la educación, resulta obvio que, conforme al título del art. 149.1.1 CE, el Estado podrá proceder a regular las enseñanzas comunes de la educación primaria. Apunta igualmente que, de apreciarse vicios de incompetencia en los preceptos de la Ley Orgánica de calidad de la educación, la estimación de la impugnación extendería sus efectos a la norma reglamentaria de desarrollo. Por el contrario, la desestimación comportaría la innecesariedad de un nuevo pronunciamiento en sede constitucional, dada la falta de sustantividad de la controversia suscitada en relación a los dos aspectos mencionados.</w:t>
      </w:r>
    </w:p>
    <w:p w:rsidR="0026452D" w:rsidRDefault="0026452D" w:rsidP="0026452D">
      <w:pPr>
        <w:pStyle w:val="TextoNormal"/>
      </w:pPr>
    </w:p>
    <w:p w:rsidR="0026452D" w:rsidRDefault="0026452D" w:rsidP="0026452D">
      <w:pPr>
        <w:pStyle w:val="TextoNormal"/>
      </w:pPr>
      <w:r>
        <w:t>Examinando ya el alegato relativo a la imposibilidad de desarrollo autonómico de la regulación de las enseñanzas comunes, que se imputa a los arts. 5 y 6, estima la Abogada del Estado que reproduce la suscitada a propósito de la Ley Orgánica de calidad de la educación, en lo tocante a la vulneración de las posibilidades de desarrollo legislativo y ejecución de la Comunidad Autónoma derivadas del cambio terminológico introducido en la legislación estatal por la sustitución de “enseñanzas mínimas” por “enseñanzas comunes”. Al respecto indica que lo que se cuestiona es el modo en que el Estado ejerce su competencia sobre enseñanzas mínimas, lo que no es sino una concreta particularización de la competencia estatal general relativa a la “ordenación del sistema educativo”, del que se desprende la necesaria unidad del mismo, garantizada mediante la fijación por el Estado de las enseñanzas comunes, las cuales enlazan, a su vez, con otra competencia exclusiva estatal, cual es la de regular la obtención, expedición y homologación de títulos académicos y profesionales. Indica, además, que las enseñanzas mínimas son justamente no un mínimo de enseñanzas sino las mínimas comunes, cuya finalidad es garantizar una formación común. El mayor peso académico de las enseñanzas comunes se tradujo en la asignación de un porcentaje del horario total superior al porcentaje reservado a las enseñanzas que correspondía determinar a cada administración educativa al establecer el currículum, lo que ahora se refleja en el art. 6.2, al establecer que a las enseñanzas establecidas por las administraciones educativas les ha de estar reservado bien el 45 por 100, en las Comunidades con lengua cooficial o bien el 35 por 100 en el caso de las restantes. Rechaza por ello la tesis defendida por la Generalitat por cuanto los arts. 5 y 6 y los anexos I y II se ajustan a lo que ha de ser su contenido, la delimitación última de unas bases que ya han sido sentadas en la Ley Orgánica de calidad de la educación, pues resulta indiscutible que las enseñanzas comunes han de alcanzar tanta concreción como sea precisa para asegurar la finalidad que constituye la misma razón de ser de la competencia estatal para fijarlas. La presunta minuciosidad de los enunciados correspondientes a las enseñanzas comunes de la educación primaria podría, a lo sumo, fundamentar objeciones de índole didáctica, pero en ningún caso competencial, dado que no se amplía el horario correspondiente a las enseñanzas comunes, y, por tanto, no se reduce el porcentaje que la Ley Orgánica de calidad de la educación reserva a las enseñanzas que han de determinar las administraciones educativas. Por lo demás la Abogada del Estado estima que no se introduce una previsión nueva o distinta de la que derivaba de la Ley Orgánica de ordenación general del sistema educativo dado que lo que se hace es determinar el alcance de una exigencia anterior y resaltarla.</w:t>
      </w:r>
    </w:p>
    <w:p w:rsidR="0026452D" w:rsidRDefault="0026452D" w:rsidP="0026452D">
      <w:pPr>
        <w:pStyle w:val="TextoNormal"/>
      </w:pPr>
    </w:p>
    <w:p w:rsidR="0026452D" w:rsidRDefault="0026452D" w:rsidP="0026452D">
      <w:pPr>
        <w:pStyle w:val="TextoNormal"/>
      </w:pPr>
      <w:r>
        <w:t xml:space="preserve">En cuanto a la alegación relativa a que la determinación de los contenidos mínimos de las áreas lingüísticas y la fijación de los horarios correspondientes impide el conocimiento de la lengua propia de la Comunidad Autónoma, la Abogada del Estado compara la regulación ahora impugnada con la anterior normativa estatal. En tal sentido indica que para responder a la queja formulada ha de partirse de la doctrina constitucional, en particular la contenida en las SSTC 87/1983 y 88/1983, ambas de 27 de octubre, en las que se reconoció la competencia estatal para determinar el contenido y el horario de la lengua oficial común a todo su territorio. Así, el establecimiento de unas horas mínimas para cada materia es un elemento indispensable de su regulación, pues sólo así se garantiza la consecución del mínimo que las enseñanzas comunes representan. Señala también que la limitación horaria que se denuncia en cuanto afecta al conocimiento de la lengua catalana, parte de un presupuesto equivocado, consistente en una interpretación errónea de las disposiciones de desarrollo de la Ley Orgánica de ordenación general del sistema educativo, cuando permitía que la lengua </w:t>
      </w:r>
      <w:r>
        <w:lastRenderedPageBreak/>
        <w:t>propia dispusiera de un 10 por 100 del horario total y que el mismo se extrajera de las áreas del ámbito lingüístico, lo que, en la práctica, ha significado su sistemática detracción del horario correspondiente a la lengua castellana. En la nueva regulación se conserva la previsión relativa a que la lengua propia disponga del 10 por 100 del horario escolar total, si bien se pretende garantizar que no se pierdan horas de lengua castellana en las Comunidades Autónomas con lengua propia. La Abogada del Estado recalca que en Cataluña el currículo se imparte en catalán e igualmente los libros de texto están redactados en ese idioma por lo que, también de esta forma, se evita que la enseñanza en catalán se vea resentida. Todo ello le lleva a concluir que la redacción del anexo II ni invade la competencia autonómica ni perjudica la enseñanza de la lengua catalana.</w:t>
      </w:r>
    </w:p>
    <w:p w:rsidR="0026452D" w:rsidRDefault="0026452D" w:rsidP="0026452D">
      <w:pPr>
        <w:pStyle w:val="TextoNormal"/>
      </w:pPr>
    </w:p>
    <w:p w:rsidR="0026452D" w:rsidRDefault="0026452D" w:rsidP="0026452D">
      <w:pPr>
        <w:pStyle w:val="TextoNormal"/>
      </w:pPr>
      <w:r>
        <w:t>Finalmente señala que el impugnado art. 11 se dicta al amparo de la disposición adicional cuarta de la Ley Orgánica de calidad de la educación, limitándose el apartado 1 a atribuir expresamente a las administraciones educativas la competencia para fijar anualmente el calendario escolar, previa la fijación de un mínimo de días lectivos, mientras que el apartado 2 contiene una previsión de fechas tope de carácter abierto y flexible que permite contemplar las variaciones que demanden tanto criterios pedagógicos como sociales. De esta manera el Estado, en ejercicio de su competencia para dictar bases en materia de programación general de la enseñanza, ha establecido unos límites que suponen una mínima homologación en todo el Estado.</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29 de enero de 2013 se señaló para deliberación y votación de la presente Sentencia el día 31 del mismo mes y año, trámite que ha finalizado en el día de hoy.</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En la presente Sentencia debemos resolver el conflicto positivo de competencia planteado por la Generalitat de Cataluña contra los arts. 5, 6, 11, disposición final primera y anexos I y II del Real Decreto 830/2003, de 27 de junio, por el que se establecen las enseñanzas comunes de la educación primaria.</w:t>
      </w:r>
    </w:p>
    <w:p w:rsidR="0026452D" w:rsidRDefault="0026452D" w:rsidP="0026452D">
      <w:pPr>
        <w:pStyle w:val="TextoNormal"/>
      </w:pPr>
    </w:p>
    <w:p w:rsidR="0026452D" w:rsidRDefault="0026452D" w:rsidP="0026452D">
      <w:pPr>
        <w:pStyle w:val="TextoNormal"/>
      </w:pPr>
      <w:r>
        <w:t xml:space="preserve">Como ha quedado expuesto en los antecedentes, el Gobierno de la Generalitat de Cataluña considera que dichos preceptos vulneran las competencias autonómicas, en cuanto estima que, conforme al art. 149.1.30 CE y a las previsiones del Estatuto de Autonomía de Cataluña, la regulación estatal contenida en los mismos no se ajusta al orden constitucional de distribución de competencias. Así, reproduciendo parcialmente quejas ya formuladas en el recurso de inconstitucionalidad interpuesto contra la Ley Orgánica 10/2002, de 23 de diciembre, de calidad de la educación, se denuncia la infracción competencial en la que incurrirían los arts. 5 y 6 y los anexos I y II en relación con la regulación de las enseñanzas comunes. A los anexos I y II se les reprocha también que la determinación de los contenidos mínimos de las áreas lingüísticas y la fijación de los horarios correspondientes impide el conocimiento de la lengua propia de la Comunidad Autónoma. Finalmente se niega el carácter básico del art. 11, relativo a la determinación del calendario escolar. A los anteriores planteamientos se ha opuesto la Abogacía del Estado señalando que el Estado se encuentra competencialmente habilitado, </w:t>
      </w:r>
      <w:r w:rsidRPr="0026452D">
        <w:rPr>
          <w:i/>
        </w:rPr>
        <w:t>ex</w:t>
      </w:r>
      <w:r>
        <w:t xml:space="preserve"> art. 149.1.1, 18 y 30 CE, para establecer una regulación </w:t>
      </w:r>
      <w:r>
        <w:lastRenderedPageBreak/>
        <w:t>como la impugnada, indicando en particular, respecto a los reproches formulados en relación con la enseñanza de la lengua catalana, que la regulación cuestionada persigue únicamente garantizar la enseñanza del castellano en las Comunidades Autónomas con lengua cooficial.</w:t>
      </w:r>
    </w:p>
    <w:p w:rsidR="0026452D" w:rsidRDefault="0026452D" w:rsidP="0026452D">
      <w:pPr>
        <w:pStyle w:val="TextoNormal"/>
      </w:pPr>
    </w:p>
    <w:p w:rsidR="0026452D" w:rsidRDefault="0026452D" w:rsidP="0026452D">
      <w:pPr>
        <w:pStyle w:val="TextoNormal"/>
      </w:pPr>
      <w:r w:rsidRPr="0026452D">
        <w:rPr>
          <w:rStyle w:val="NumeroAFNegritaCaracter"/>
        </w:rPr>
        <w:t>2</w:t>
      </w:r>
      <w:r>
        <w:t>. Expuestas las posiciones de las partes en el proceso, debemos previamente despejar dos órdenes de cuestiones.</w:t>
      </w:r>
    </w:p>
    <w:p w:rsidR="0026452D" w:rsidRDefault="0026452D" w:rsidP="0026452D">
      <w:pPr>
        <w:pStyle w:val="TextoNormal"/>
      </w:pPr>
    </w:p>
    <w:p w:rsidR="0026452D" w:rsidRDefault="0026452D" w:rsidP="0026452D">
      <w:pPr>
        <w:pStyle w:val="TextoNormal"/>
      </w:pPr>
      <w:r>
        <w:t>a) En primer lugar resulta preciso considerar la incidencia que pueda tener en el proceso el hecho de que el Real Decreto 830/2003, objeto del conflicto, no se encuentre en vigor en el momento de dictar la presente Sentencia, pues el mismo fue, en primer lugar, derogado expresamente por el Real Decreto 806/2006, de 30 de junio, por el que se fija el calendario de aplicación de la nueva ordenación del sistema educativo, establecida por la Ley Orgánica 2/2006, de 3 de mayo, de educación; y, en segundo lugar, su regulación fue materialmente sustituida por la incluida en el Real Decreto 1513/2006, de 7 de diciembre, por el que, en desarrollo de lo previsto en la Ley Orgánica 2/2006, se establecen las enseñanzas mínimas de la educación primaria. Constatado así que la norma impugnada ha sido derogada debemos plantearnos los efectos que dicha circunstancia tiene en relación con lo señalado por nuestra doctrina sobre la pérdida de objeto en los procesos constitucionales, en particular, en aquellos en los que, como en el presente, se ventilan discrepancias puramente competenciales.</w:t>
      </w:r>
    </w:p>
    <w:p w:rsidR="0026452D" w:rsidRDefault="0026452D" w:rsidP="0026452D">
      <w:pPr>
        <w:pStyle w:val="TextoNormal"/>
      </w:pPr>
    </w:p>
    <w:p w:rsidR="0026452D" w:rsidRDefault="0026452D" w:rsidP="0026452D">
      <w:pPr>
        <w:pStyle w:val="TextoNormal"/>
      </w:pPr>
      <w:r>
        <w:t>En ese sentido, como recuerda la STC 194/2012, de 31 de octubre, FJ 2, con cita de la STC 99/2012, de 8 de mayo, FJ 2 c): “Hay que tener en cuenta que en las controversias de alcance competencial como la que nos ocupa, es necesario apreciar los efectos que tiene sobre el conflicto la entrada en vigor de nueva normativa reguladora de algunos de los aspectos en discusión, aunque no se haya impugnado. Esta operación valorativa deberemos hacerla de acuerdo con lo que nuestra doctrina reitera, esto es, ‘hay que huir de todo automatismo, siendo necesario atender a las circunstancias concurrentes en cada caso, y, ante todo, a la pervivencia de la controversia competencial, esto es, a si la disputa sobre la titularidad competencial sigue o no viva entre las partes’ (STC 147/1998, FJ 3, y jurisprudencia allí citada).”</w:t>
      </w:r>
    </w:p>
    <w:p w:rsidR="0026452D" w:rsidRDefault="0026452D" w:rsidP="0026452D">
      <w:pPr>
        <w:pStyle w:val="TextoNormal"/>
      </w:pPr>
    </w:p>
    <w:p w:rsidR="0026452D" w:rsidRDefault="0026452D" w:rsidP="0026452D">
      <w:pPr>
        <w:pStyle w:val="TextoNormal"/>
      </w:pPr>
      <w:r>
        <w:t>Asimismo, junto al criterio que se acaba de reproducir, procede recordar que, en este tipo de procesos promovidos por causa de vulneración del orden constitucional de competencias, tenemos establecido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194/2012, de 31 de octubre, FJ 2, con cita de la STC 134/2011, de 20 de julio, FJ 2 b)].</w:t>
      </w:r>
    </w:p>
    <w:p w:rsidR="0026452D" w:rsidRDefault="0026452D" w:rsidP="0026452D">
      <w:pPr>
        <w:pStyle w:val="TextoNormal"/>
      </w:pPr>
    </w:p>
    <w:p w:rsidR="0026452D" w:rsidRDefault="0026452D" w:rsidP="0026452D">
      <w:pPr>
        <w:pStyle w:val="TextoNormal"/>
      </w:pPr>
      <w:r>
        <w:t>Es decir, conforme a la doctrina que se acaba de exponer debemos ahora plantearnos las consecuencias que la nueva normativa reguladora de las enseñanzas mínimas de la educación primaria tiene respecto a la pervivencia del objeto del presente proceso constitucional. En esa ponderación que, conforme a esta doctrina, exige la valoración sobre la pérdida de objeto, puede, sin duda, deducirse que los cambios normativos antes mencionados han supuesto la desaparición sobrevenida de parte del objeto del proceso.</w:t>
      </w:r>
    </w:p>
    <w:p w:rsidR="0026452D" w:rsidRDefault="0026452D" w:rsidP="0026452D">
      <w:pPr>
        <w:pStyle w:val="TextoNormal"/>
      </w:pPr>
    </w:p>
    <w:p w:rsidR="0026452D" w:rsidRDefault="0026452D" w:rsidP="0026452D">
      <w:pPr>
        <w:pStyle w:val="TextoNormal"/>
      </w:pPr>
      <w:r>
        <w:lastRenderedPageBreak/>
        <w:t>En efecto, como se acaba exponer, la Generalitat de Cataluña ha formulado tres quejas respecto al Real Decreto 830/2003, pues la que se dirige contra la disposición final primera no es autónoma en cuanto que con ella se pone de manifiesto la falta de cobertura competencial que se reprocha a los restantes contenidos del Real Decreto 830/2003 que han sido impugnados. Las citadas quejas son las relativas a la falta de carácter básico tanto de la regulación de las enseñanzas comunes, que se imputa a los arts. 5 y 6 y a los anexos I y II, como de la fijación del calendario escolar establecida en el art. 11. Junto a ello también se ha cuestionado la determinación de los contenidos mínimos de las áreas lingüísticas y los horarios correspondientes, esencialmente contenida en el anexo II.</w:t>
      </w:r>
    </w:p>
    <w:p w:rsidR="0026452D" w:rsidRDefault="0026452D" w:rsidP="0026452D">
      <w:pPr>
        <w:pStyle w:val="TextoNormal"/>
      </w:pPr>
    </w:p>
    <w:p w:rsidR="0026452D" w:rsidRDefault="0026452D" w:rsidP="0026452D">
      <w:pPr>
        <w:pStyle w:val="TextoNormal"/>
      </w:pPr>
      <w:r>
        <w:t>Pues bien, respecto a las dos primeras es de advertir que la regulación actualmente vigente, el ya mencionado Real Decreto 1513/2006, no hace referencia, en su art. 5, a las denominadas “enseñanzas comunes” y a la necesidad de que consten en el currículo en sus propios términos; y tampoco se encuentra en el contenido de la indicada norma mención alguna a la determinación del calendario escolar. Procede entonces considerar que la controversia trabada en torno a esos dos aspectos ha desaparecido en la medida en que el Estado ya no mantiene su voluntad de determinar tales cuestiones (en el mismo sentido, STC 99/2012, de 8 de mayo, FJ 8). Todo ello sin perjuicio de advertir que ambas están estrechamente relacionadas con el recurso de inconstitucionalidad interpuesto por la Generalitat de Cataluña contra la Ley Orgánica de calidad de la educación, objeto de la STC 212/2012, de 14 de noviembre, y ya hallaron allí respuesta, por lo que tampoco subsiste aquí necesidad alguna de preservar los ámbitos respectivos de competencia. Tampoco es óbice para alcanzar tal conclusión el hecho de que el mencionado Real Decreto 1513/2006 haya sido, a su vez, objeto de un conflicto positivo de competencia planteado por la Generalitat de Cataluña, dado que, en dicho conflicto, no se suscitan las dos cuestiones a las que venimos haciendo referencia, así como que nuestra valoración se realiza exclusivamente a efectos de analizar la pervivencia del conflicto planteado contra el Real Decreto 830/2003.</w:t>
      </w:r>
    </w:p>
    <w:p w:rsidR="0026452D" w:rsidRDefault="0026452D" w:rsidP="0026452D">
      <w:pPr>
        <w:pStyle w:val="TextoNormal"/>
      </w:pPr>
    </w:p>
    <w:p w:rsidR="0026452D" w:rsidRDefault="0026452D" w:rsidP="0026452D">
      <w:pPr>
        <w:pStyle w:val="TextoNormal"/>
      </w:pPr>
      <w:r>
        <w:t>No sucede lo mismo, sin embargo, con la tercera de las quejas formuladas, relativa a lo que se estima como una indebida determinación de los contenidos y horarios de las áreas lingüísticas, en cuanto que la demandante entiende que con ellos se impide o dificulta el conocimiento de la lengua propia de la Comunidad Autónoma pues, bien que formuladas de un modo distinto, tales reglas subsisten en el vigente Real Decreto 1513/2006, con lo que, de conformidad con nuestra doctrina, forzoso es concluir que el objeto del conflicto no ha desaparecido en este último punto.</w:t>
      </w:r>
    </w:p>
    <w:p w:rsidR="0026452D" w:rsidRDefault="0026452D" w:rsidP="0026452D">
      <w:pPr>
        <w:pStyle w:val="TextoNormal"/>
      </w:pPr>
    </w:p>
    <w:p w:rsidR="0026452D" w:rsidRDefault="0026452D" w:rsidP="0026452D">
      <w:pPr>
        <w:pStyle w:val="TextoNormal"/>
      </w:pPr>
      <w:r>
        <w:t>Por tanto, ha de alcanzarse la conclusión de que, pese a su derogación, el conflicto de competencias promovido frente al Real Decreto 803/2003 mantiene vivo su objeto respecto de la última de las quejas, la cual, formulada a sus anexos I y II, descansa en la consideración de que la determinación de los contenidos mínimos de las áreas lingüísticas y la fijación de los horarios que de los mismos deriva impide o dificulta el conocimiento de la lengua propia de la Comunidad Autónoma.</w:t>
      </w:r>
    </w:p>
    <w:p w:rsidR="0026452D" w:rsidRDefault="0026452D" w:rsidP="0026452D">
      <w:pPr>
        <w:pStyle w:val="TextoNormal"/>
      </w:pPr>
    </w:p>
    <w:p w:rsidR="0026452D" w:rsidRDefault="0026452D" w:rsidP="0026452D">
      <w:pPr>
        <w:pStyle w:val="TextoNormal"/>
      </w:pPr>
      <w:r>
        <w:t xml:space="preserve">b) En segundo lugar, también deberemos tener en cuenta que la Ley Orgánica 6/2006, de 19 de julio, de reforma del Estatuto de Autonomía de Cataluña (en adelante, EAC) ha entrado en vigor con posterioridad a la admisión a trámite de este conflicto de competencia, por lo que, nuevamente de acuerdo con nuestra doctrina [por todas, STC 134/2011, de 20 </w:t>
      </w:r>
      <w:r>
        <w:lastRenderedPageBreak/>
        <w:t>de julio, FJ 2 d)], las cuestiones que se controvierten se decidirán teniendo en cuenta las prescripciones del nuevo Estatuto de Autonomía de Cataluña que puedan ser de aplicación.</w:t>
      </w:r>
    </w:p>
    <w:p w:rsidR="0026452D" w:rsidRDefault="0026452D" w:rsidP="0026452D">
      <w:pPr>
        <w:pStyle w:val="TextoNormal"/>
      </w:pPr>
    </w:p>
    <w:p w:rsidR="0026452D" w:rsidRDefault="0026452D" w:rsidP="0026452D">
      <w:pPr>
        <w:pStyle w:val="TextoNormal"/>
      </w:pPr>
      <w:r w:rsidRPr="0026452D">
        <w:rPr>
          <w:rStyle w:val="NumeroAFNegritaCaracter"/>
        </w:rPr>
        <w:t>3</w:t>
      </w:r>
      <w:r>
        <w:t>. Centrados así los términos del debate procesal hemos de considerar ahora la cuestión relativa al encuadramiento de la cuestión controvertida en el sistema material de distribución de competencias. Al respecto es patente que su ámbito natural de encuadramiento es, como coinciden ambas partes procesales, la materia educación, en concreto en su vertiente no universitaria.</w:t>
      </w:r>
    </w:p>
    <w:p w:rsidR="0026452D" w:rsidRDefault="0026452D" w:rsidP="0026452D">
      <w:pPr>
        <w:pStyle w:val="TextoNormal"/>
      </w:pPr>
    </w:p>
    <w:p w:rsidR="0026452D" w:rsidRDefault="0026452D" w:rsidP="0026452D">
      <w:pPr>
        <w:pStyle w:val="TextoNormal"/>
      </w:pPr>
      <w:r>
        <w:t>En cuanto se refiere a las competencias estatales en esta materia baste ahora con remitirse al fundamento jurídico 3 de la STC 184/2012, de 17 de octubre, en la que sintetizamos nuestra doctrina respecto a las competencias estatales en materia de educación, en su doble contenido relativo a la competencia exclusiva para la “[r]egulación de las condiciones de obtención, expedición y homologación de títulos académicos y profesionales”, y a la competencia sobre las “normas básicas para el desarrollo del artículo 27 de la Constitución, a fin de garantizar el cumplimiento de las obligaciones de los poderes públicos en esta materia”.</w:t>
      </w:r>
    </w:p>
    <w:p w:rsidR="0026452D" w:rsidRDefault="0026452D" w:rsidP="0026452D">
      <w:pPr>
        <w:pStyle w:val="TextoNormal"/>
      </w:pPr>
    </w:p>
    <w:p w:rsidR="0026452D" w:rsidRDefault="0026452D" w:rsidP="0026452D">
      <w:pPr>
        <w:pStyle w:val="TextoNormal"/>
      </w:pPr>
      <w:r>
        <w:t>A las competencias educativas autonómicas alude la STC 212/2012, de 14 de noviembre, FJ 3, en los términos siguientes: “En esta materia, el art. 131 del Estatuto de Autonomía de Cataluña (EAC) aprobado en el año 2006, bajo la rúbrica “Educación”, atribuye determinadas competencias a la Generalitat de Cataluña en el ámbito de la enseñanza no universitaria. En particular de acuerdo con el apartado 2 del art. 131 EAC, corresponde a la Generalitat, en materia de enseñanza no universitaria, la competencia exclusiva respecto de ‘las enseñanzas obligatorias y no obligatorias que conducen a la obtención de un título académico o profesional con validez en todo el Estado y a las enseñanzas de educación infantil’. Competencia exclusiva que, en virtud del mismo precepto, incluye una serie de potestades especificadas en ocho subapartados y sobre la que, como recuerda la STC 111/2012, de 24 de mayo, ya señalamos en la STC 31/2010, de 28 de junio, FJ 77, que ‘[s]e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Por último, el apartado 3 del mismo precepto atribuye a la Generalitat una competencia compartida ‘[e]n lo no regulado en el apartado 2 y en relación con las enseñanzas que en él se contemplan’, y ‘respetando los aspectos esenciales del derecho a la educación y a la libertad de enseñanza en materia de enseñanza no universitaria y de acuerdo con lo dispuesto en el artículo 149.1.30 de la Constitución’. Esta competencia también incluye en una decena de subapartados la enunciación de una serie de facultades concretas que corresponden a la Generalitat que han de ser entendidas en el sentido que ya expresamos en la STC 31/2010 (FJ 60).”</w:t>
      </w:r>
    </w:p>
    <w:p w:rsidR="0026452D" w:rsidRDefault="0026452D" w:rsidP="0026452D">
      <w:pPr>
        <w:pStyle w:val="TextoNormal"/>
      </w:pPr>
    </w:p>
    <w:p w:rsidR="0026452D" w:rsidRDefault="0026452D" w:rsidP="0026452D">
      <w:pPr>
        <w:pStyle w:val="TextoNormal"/>
      </w:pPr>
      <w:r>
        <w:t>Finalmente, ya que lo discutido es el régimen previsto por el Estado para la enseñanza de la lengua castellana en relación con el de la lengua cooficial de la Comunidad Autónoma, cumple ahora recordar, a fin de completar el canon de enjuiciamiento, nuestra doctrina en torno a la utilización de las lenguas oficiales en la enseñanza.</w:t>
      </w:r>
    </w:p>
    <w:p w:rsidR="0026452D" w:rsidRDefault="0026452D" w:rsidP="0026452D">
      <w:pPr>
        <w:pStyle w:val="TextoNormal"/>
      </w:pPr>
    </w:p>
    <w:p w:rsidR="0026452D" w:rsidRDefault="0026452D" w:rsidP="0026452D">
      <w:pPr>
        <w:pStyle w:val="TextoNormal"/>
      </w:pPr>
      <w:r>
        <w:lastRenderedPageBreak/>
        <w:t>Doctrina esta última que, como recuerda la STC 31/2010, de 28 de junio, FJ 24, descarta desde un principio toda pretensión de exclusividad de una de las lenguas oficiales en materia de enseñanza, pues tal enseñanza de las lenguas oficiales es una de las consecuencias inherentes a la cooficialidad (STC 87/1983, de 27 de octubre, FJ 5). Así, hemos señalado que “corresponde a los poderes públicos competentes, en atención a los objetivos de la normalización lingüística en Cataluña y a los propios objetivos de la educación, organizar la enseñanza que ha de recibirse en una y otra lengua en relación con las distintas áreas de conocimiento obligatorio en los diferentes niveles educativos para alcanzar un resultado proporcionado con estas finalidades; y ello al objeto de garantizar el derecho de los ciudadanos a recibir, durante los estudios básicos en los Centros docentes de Cataluña, enseñanza en catalán y en castellano. Derecho que se deriva no sólo de los arts. 3 y 27 CE sino del art. 3 del EAC” (STC 337/1994, de 23 de diciembre, FJ 10).</w:t>
      </w:r>
    </w:p>
    <w:p w:rsidR="0026452D" w:rsidRDefault="0026452D" w:rsidP="0026452D">
      <w:pPr>
        <w:pStyle w:val="TextoNormal"/>
      </w:pPr>
    </w:p>
    <w:p w:rsidR="0026452D" w:rsidRDefault="0026452D" w:rsidP="0026452D">
      <w:pPr>
        <w:pStyle w:val="TextoNormal"/>
      </w:pPr>
      <w:r>
        <w:t>Como resalta la STC 31/2010, de 28 de junio, con cita de la STC 337/1994, de 23 de diciembre, FJ 9, “también desde la perspectiva del art. 27 CE ha de llegarse a la conclusión de que ni del contenido del derecho constitucional a la educación reconocido en dicho precepto ni tampoco, en particular, de sus apartados 2, 5 y 7, se desprende el derecho a recibir la enseñanza en sólo una de las dos lenguas cooficiales en la Comunidad Autónoma, a elección de los interesados. El derecho de todos a la educación, no cabe olvidarlo, se ejerce en el marco de un sistema educativo en el que los poderes públicos —esto es, el Estado a través de la legislación básica y las Comunidades Autónomas en el marco de sus competencias en esta materia— determinan los currículos de los distintos niveles, etapas, ciclos y grados de enseñanza, las enseñanzas mínimas y las concretas áreas o materias objeto de aprendizaje, organizando asimismo su desarrollo en los distintos Centros docentes; por lo que la educación constituye, en términos generales, una actividad reglada. De este modo, el derecho a la educación que la Constitución garantiza no conlleva que la actividad prestacional de los poderes públicos en esta materia pueda estar condicionada por la libre opción de los interesados de la lengua docente. Y por ello los poderes públicos —el Estado y la Comunidad Autónoma— están facultados para determinar el empleo de las dos lenguas que son cooficiales en una Comunidad Autónoma como lenguas de comunicación en la enseñanza, de conformidad con el reparto competencial en materia de educación”.</w:t>
      </w:r>
    </w:p>
    <w:p w:rsidR="0026452D" w:rsidRDefault="0026452D" w:rsidP="0026452D">
      <w:pPr>
        <w:pStyle w:val="TextoNormal"/>
      </w:pPr>
    </w:p>
    <w:p w:rsidR="0026452D" w:rsidRDefault="0026452D" w:rsidP="0026452D">
      <w:pPr>
        <w:pStyle w:val="TextoNormal"/>
      </w:pPr>
      <w:r>
        <w:t xml:space="preserve">En particular, por lo que respecta a la enseñanza del castellano “ha de tenerse presente que en la STC 6/1982, fundamento jurídico 10, hemos dicho tempranamente que corresponde al Estado velar por el respeto de los derechos lingüísticos en el sistema educativo y, en particular, ‘el de recibir enseñanza en la lengua oficial del Estado’; pues no cabe olvidar que el deber constitucional de conocer el castellano (art. 3.1 CE) presupone la satisfacción del derecho de los ciudadanos a conocerlo a través de las enseñanzas recibidas en los estudios básicos” (STC 337/1994, de 23 de diciembre, FJ 10). Finalmente, en las SSTC 87/1983 y 88/1983, ambas de 27 de octubre, ya sentamos el criterio de que “los horarios mínimos tienen como finalidad, según se ha dicho, asegurar el cumplimiento de las enseñanzas mínimas, y ello ha de hacerse en forma que no vacíen de contenido práctico las competencias de las Comunidades Autónomas”, lo que, en el caso de Comunidades Autónomas con lengua cooficial, supone naturalmente que ambas lenguas han de ser enseñadas en los centros escolares de la Comunidad con la intensidad que permita alcanzar el objetivo, exigido por el art. 3 CE, de garantizar el derecho de conocer y usar ambas lenguas, de suerte que “el Estado en su conjunto (incluidas las Comunidades Autónomas) tiene el deber constitucional de asegurar el conocimiento tanto del castellano como de las lenguas propias de aquellas </w:t>
      </w:r>
      <w:r>
        <w:lastRenderedPageBreak/>
        <w:t>comunidades que tengan otra lengua como oficial. Una regulación de los horarios mínimos que no permita una enseñanza eficaz de ambas lenguas en esas comunidades incumpliría el art. 3 de la Constitución” (SSTC 87/1983, de 27 de octubre, FJ 5; y 88/1983, de 27 de octubre, FJ 4).</w:t>
      </w:r>
    </w:p>
    <w:p w:rsidR="0026452D" w:rsidRDefault="0026452D" w:rsidP="0026452D">
      <w:pPr>
        <w:pStyle w:val="TextoNormal"/>
      </w:pPr>
    </w:p>
    <w:p w:rsidR="0026452D" w:rsidRDefault="0026452D" w:rsidP="0026452D">
      <w:pPr>
        <w:pStyle w:val="TextoNormal"/>
      </w:pPr>
      <w:r w:rsidRPr="0026452D">
        <w:rPr>
          <w:rStyle w:val="NumeroAFNegritaCaracter"/>
        </w:rPr>
        <w:t>4</w:t>
      </w:r>
      <w:r>
        <w:t>. Señalado todo lo anterior estamos ya en condiciones de responder a la queja competencial que se nos plantea, si bien, dado el planteamiento formulado por la Generalitat de Cataluña, es preciso advertir, en primer lugar, que no corresponde a este Tribunal Constitucional determinar cuál sea la opción didáctica o pedagógica más adecuada para que el sistema educativo garantice el conocimiento de las dos lenguas cooficiales, sino tan solo confrontar la norma cuestionada con el orden constitucional y estatutario de distribución de competencias, razón por la cual no podemos entrar a examinar los reproches que se dirigen al anexo I, en cuanto a la determinación de los elementos básicos del currículo de educación primaria en el área correspondiente a la enseñanza de la lengua castellana. La queja queda así centrada en la consideración de que la regulación del anexo II en cuanto que dispone que “de acuerdo con lo establecido en el artículo 8.2 de la Ley Orgánica 10/2002, de 23 de diciembre, de Calidad de la Educación, las Comunidades Autónomas que tengan, junto con la lengua castellana, otra lengua oficial dispondrán para la organización de las enseñanzas de dicha lengua del 10 por 100 del horario escolar total que se deriva de este anexo. En todo caso, el horario escolar correspondiente a las enseñanzas comunes de la Lengua castellana será, como mínimo, de 275 horas para cada uno de los ciclos”. Tal regulación afectaría al conocimiento de la lengua propia de la Comunidad Autónoma, a la que colocaría en una situación de desigualdad derivada del hecho de que se limita el número de horas que puede destinarse a la enseñanza de la lengua catalana al 10 por 100 del horario escolar total que deriva del mencionado anexo II, así como por la determinación del número mínimo de horas que ha de dedicarse a la enseñanza de la lengua castellana.</w:t>
      </w:r>
    </w:p>
    <w:p w:rsidR="0026452D" w:rsidRDefault="0026452D" w:rsidP="0026452D">
      <w:pPr>
        <w:pStyle w:val="TextoNormal"/>
      </w:pPr>
    </w:p>
    <w:p w:rsidR="0026452D" w:rsidRDefault="0026452D" w:rsidP="0026452D">
      <w:pPr>
        <w:pStyle w:val="TextoNormal"/>
      </w:pPr>
      <w:r>
        <w:t>El reproche competencial ha sido formulado por la Generalitat de Cataluña a partir de la comparación de la regulación cuestionada con la del anexo II del Real Decreto 1006/1991, a la que aquella ha venido a remplazar. Es evidente, sin embargo, que el citado Real Decreto 1006/1991 no puede constituir parámetro de enjuiciamiento del Real Decreto 830/2003, el cual únicamente puede venir constituido por las disposiciones constitucionales y estatutarias que resulten de aplicación. Igualmente procede advertir que la posible variabilidad de las bases estatales en el ámbito educativo ya se ha reconocido por la doctrina constitucional, de manera que “no resulta ocioso recordar al respecto que, sin alterar el orden constitucional y estatutario de distribución de competencias y con observancia de las garantías de certidumbre jurídica necesarias para asegurar que las Comunidades Autónomas puedan conocer cuál es el marco básico al que deben someter su competencia de desarrollo legislativo, la concreción de lo básico corresponde realizarla en cada momento al legislador estatal, quien, respetando aquel orden y estas garantías, goza de libertad para establecer con carácter general las bases de una determinada materia, sin que su acción legislativa en este extremo, plasmación de una legítima opción política, pueda ser fiscalizada por este Tribunal Constitucional, que no es un juez de la oportunidad, salvo que traspase los límites que para esa acción legislativa resulten del bloque de la constitucionalidad” (STC 184/2012, de 17 de octubre, FJ 3).</w:t>
      </w:r>
    </w:p>
    <w:p w:rsidR="0026452D" w:rsidRDefault="0026452D" w:rsidP="0026452D">
      <w:pPr>
        <w:pStyle w:val="TextoNormal"/>
      </w:pPr>
    </w:p>
    <w:p w:rsidR="0026452D" w:rsidRDefault="0026452D" w:rsidP="0026452D">
      <w:pPr>
        <w:pStyle w:val="TextoNormal"/>
      </w:pPr>
      <w:r>
        <w:lastRenderedPageBreak/>
        <w:t>Conforme a lo que se ha expuesto resulta que las quejas denunciadas, vinculadas a lo que se entiende como una situación de desigualdad en la enseñanza de las dos lenguas cooficiales, son dos. La primera se relaciona con la posibilidad de disponer del 10 por 100 del horario escolar total que deriva del anexo II para la organización de las enseñanzas de la lengua oficial distinta del castellano; y la segunda es la relativa al establecimiento del horario escolar correspondiente a las enseñanzas comunes de lengua castellana. Ninguna de las dos quejas puede prosperar, pues no es posible apreciar la situación de desigualdad denunciada respecto de la enseñanza de la lengua cooficial.</w:t>
      </w:r>
    </w:p>
    <w:p w:rsidR="0026452D" w:rsidRDefault="0026452D" w:rsidP="0026452D">
      <w:pPr>
        <w:pStyle w:val="TextoNormal"/>
      </w:pPr>
    </w:p>
    <w:p w:rsidR="0026452D" w:rsidRDefault="0026452D" w:rsidP="0026452D">
      <w:pPr>
        <w:pStyle w:val="TextoNormal"/>
      </w:pPr>
      <w:r>
        <w:t>En efecto, por lo que hace a la posibilidad de dedicar un 10 por 100 del horario escolar total a la enseñanza de la lengua cooficial es de apreciar que ese porcentaje es el mismo que el establecido en el Real Decreto 1006/1991, sin que el mismo haya suscitado problemas competenciales, y guarda directa relación con idéntica reducción del porcentaje del horario escolar que corresponde a los contenidos de las enseñanzas mínimas en las Comunidades Autónomas que tengan, junto con la castellana, otra lengua propia cooficial, pues en ese caso requieren el 55 por 100 de los horarios escolares frente al 65 por 100 previsto para aquellas que no la tengan (art. 6.3 de la Ley Orgánica 2/2006, de 3 de mayo, de educación y, en el mismo sentido, art. 8.2 de la Ley Orgánica 10/2002, de 23 de diciembre, de calidad de la educación en relación con las denominadas enseñanzas comunes). Como ya señalamos (STC 212/2012, de 14 de noviembre, FJ 4), dichas previsiones otorgan a las Administraciones educativas un margen suficiente “dentro del cual pueden prever enseñanzas específicas que respondan a su particularidad dentro del Estado autonómico”, entre las cuales se cuenta, sin duda, la relativa a la lengua cooficial. En realidad la queja formulada parece tener más que ver con la imposibilidad de que el total de ese 10 por 100 destinado a la enseñanza de la lengua cooficial se extraiga en su totalidad de las materias correspondientes al ámbito lingüístico que con el porcentaje del horario escolar total destinado a la enseñanza de la lengua cooficial, lo que, en todo caso, responde a una opción estatal que no puede ser considerada contraria al orden competencial, sin que, como hemos advertido, corresponda a este Tribunal entrar a valorar cuestiones vinculadas la programación didáctica de la impartición de las diferentes enseñanzas que componen el currículo de esta etapa educativa.</w:t>
      </w:r>
    </w:p>
    <w:p w:rsidR="0026452D" w:rsidRDefault="0026452D" w:rsidP="0026452D">
      <w:pPr>
        <w:pStyle w:val="TextoNormal"/>
      </w:pPr>
    </w:p>
    <w:p w:rsidR="0026452D" w:rsidRDefault="0026452D" w:rsidP="0026452D">
      <w:pPr>
        <w:pStyle w:val="TextoNormal"/>
      </w:pPr>
      <w:r>
        <w:t>Por otra parte, la determinación del número mínimo de horas que ha de dedicarse a la enseñanza en castellano reviste con naturalidad carácter básico, pues responde a la ya aludida obligación estatal de garantizar el conocimiento del castellano en tanto que lengua oficial del Estado, sin que, por lo demás, haya quedado demostrado que dicha regulación impida una enseñanza eficaz de ambas lenguas contraria a la garantía de conocimiento suficiente de las lenguas catalana y castellana, que es lo que sería inconstitucional en los términos de nuestra doctrina.</w:t>
      </w:r>
    </w:p>
    <w:p w:rsidR="0026452D" w:rsidRDefault="0026452D" w:rsidP="0026452D">
      <w:pPr>
        <w:pStyle w:val="TextoNormal"/>
      </w:pPr>
    </w:p>
    <w:p w:rsidR="0026452D" w:rsidRDefault="0026452D" w:rsidP="0026452D">
      <w:pPr>
        <w:pStyle w:val="TextoNormal"/>
      </w:pPr>
      <w:r>
        <w:t xml:space="preserve">A este respecto cumple advertir que el Real Decreto 830/2003 de ningún modo entraña la exclusión de una de las dos lenguas cooficiales pues, además de la reserva expresa de un porcentaje del horario escolar total para la enseñanza de la lengua cooficial, no hace referencia alguna a la lengua de impartición de las enseñanzas que regula, de manera que corresponde a los poderes públicos competentes organizar la enseñanza que ha de recibirse en una y otra lengua en relación con las distintas áreas de conocimiento y ello al objeto de garantizar el derecho de los ciudadanos a recibir enseñanza en catalán y en castellano. Por ello, no debe olvidarse que en la queja que se nos ha formulado se obvia “la íntima relación existente entre el conocimiento de la lengua como materia objeto de estudio, de un lado, y, </w:t>
      </w:r>
      <w:r>
        <w:lastRenderedPageBreak/>
        <w:t>de otro, su uso como lengua docente, ya que lo segundo, indudablemente, potencia lo primero” (STC 337/1994, de 23 de diciembre, FJ 10). Por ello, como concluimos en la mencionada STC 337/1994, de 23 de diciembre, FJ 10, y reiteramos en la STC 31/2010, de 28 de junio, FJ 24, “resulta perfectamente ‘legítimo que el catalán, en atención al objetivo de la normalización lingüística en Cataluña, sea el centro de gravedad de este modelo de bilingüismo’, aunque siempre con el límite de que ‘ello no determine la exclusión del castellano como lengua docente de forma que quede garantizado su conocimiento y uso en el territorio de la Comunidad Autónoma’ ”, tal como, por otra parte, expresa el propio Estatuto de Autonomía de Cataluña cuando, en su art. 35.2, alude, tanto a la necesidad de conocer ambas lenguas, el catalán y el castellano, al finalizar la enseñanza obligatoria como a su presencia adecuada en los planes de estudios.</w:t>
      </w:r>
    </w:p>
    <w:p w:rsidR="0026452D" w:rsidRDefault="0026452D" w:rsidP="0026452D">
      <w:pPr>
        <w:pStyle w:val="TextoNormal"/>
      </w:pPr>
    </w:p>
    <w:p w:rsidR="0026452D" w:rsidRDefault="0026452D" w:rsidP="0026452D">
      <w:pPr>
        <w:pStyle w:val="TextoNormal"/>
      </w:pPr>
      <w:r>
        <w:t>Por tanto, en la medida en que las previsiones cuestionadas se dirigen a garantizar el conocimiento del castellano sin detrimento de la lengua cooficial, forzoso es concluir que, al igual que en los casos resueltos en las SSTC 87/1983, de 27 de octubre, FJ 5, y 88/1983, de 27 de octubre, FJ 4, “el Gobierno ha fijado unos horarios mínimos para todo el territorio nacional, y en materia lingüística los ha fijado sólo con relación al castellano, ya que al referirse a enseñanzas mínimas en todo el Estado se ha limitado correctamente a regular la enseñanza de la única lengua que es oficial en todo su territorio y que, por tanto, debe enseñarse en todo él con arreglo de unos mismos criterios concernientes tanto al contenido como a los horarios mínimos; mientras que la regulación de la enseñanza de otras lenguas oficiales corresponde a las respectivas instituciones autonómicas”.</w:t>
      </w:r>
    </w:p>
    <w:p w:rsidR="0026452D" w:rsidRDefault="0026452D" w:rsidP="0026452D">
      <w:pPr>
        <w:pStyle w:val="TextoNormal"/>
      </w:pPr>
    </w:p>
    <w:p w:rsidR="0026452D" w:rsidRDefault="0026452D" w:rsidP="0026452D">
      <w:pPr>
        <w:pStyle w:val="TextoNormal"/>
      </w:pPr>
      <w:r>
        <w:t>La desestimación de la anterior impugnación lleva consigo necesariamente la de la disposición final primera, pues ya hemos apreciado que la misma no era autónoma, sino que la demanda funda ese reproche simplemente en la conexión que ésta tiene con el resto de los contenidos del Real Decreto 830/2003 que han sido examinados en los términos expuestos.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Declarar extinguido, por desaparición sobrevenida de su objeto, el presente conflicto positivo de competencias en lo que respecta a los arts. 5, 6 y 11 del Real Decreto 830/2003, de 27 de junio, por el que se establecen las enseñanzas comunes de la educación primaria.</w:t>
      </w:r>
    </w:p>
    <w:p w:rsidR="0026452D" w:rsidRDefault="0026452D" w:rsidP="0026452D">
      <w:pPr>
        <w:pStyle w:val="TextoNormal"/>
      </w:pPr>
    </w:p>
    <w:p w:rsidR="0026452D" w:rsidRDefault="0026452D" w:rsidP="0026452D">
      <w:pPr>
        <w:pStyle w:val="TextoNormal"/>
      </w:pPr>
      <w:r>
        <w:t>2º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treinta y uno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9" w:name="SENTENCIA_2013_16"/>
      <w:r>
        <w:lastRenderedPageBreak/>
        <w:t>SENTENCIA 16/2013, de 31 de enero de 2013</w:t>
      </w:r>
    </w:p>
    <w:bookmarkEnd w:id="19"/>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ECLI:ES:TC:2013:16</w:t>
      </w:r>
    </w:p>
    <w:p w:rsidR="0026452D" w:rsidRDefault="0026452D" w:rsidP="0026452D">
      <w:pPr>
        <w:pStyle w:val="SntesisDescriptiva"/>
      </w:pPr>
    </w:p>
    <w:p w:rsidR="0026452D" w:rsidRDefault="0026452D" w:rsidP="0026452D">
      <w:pPr>
        <w:pStyle w:val="SntesisDescriptiva"/>
      </w:pPr>
      <w:r>
        <w:t>Conflicto positivo de competencia 122-2004. Planteado por el Gobierno de la Junta de Galicia en relación con el Real Decreto 1046/2003, de 1 de agosto, por el que se regula el subsistema de formación profesional continua.</w:t>
      </w:r>
    </w:p>
    <w:p w:rsidR="0026452D" w:rsidRDefault="0026452D" w:rsidP="0026452D">
      <w:pPr>
        <w:pStyle w:val="SntesisDescriptiva"/>
      </w:pPr>
    </w:p>
    <w:p w:rsidR="0026452D" w:rsidRDefault="0026452D" w:rsidP="0026452D">
      <w:pPr>
        <w:pStyle w:val="SntesisAnaltica"/>
      </w:pPr>
      <w:r>
        <w:t>Competencias en materia laboral: atribución a la Administración del Estado del ejercicio de funciones ejecutivas que vulnera las competencias de la Junta de Galicia al basarse exclusivamente en los efectos territoriales de las actuaciones; interpretación conforme de preceptos reglamentarios relativos a la Fundación Estatal para la Formación en el Empleo (STC 244/2012). Voto particular.</w:t>
      </w:r>
    </w:p>
    <w:p w:rsidR="0026452D" w:rsidRDefault="0026452D" w:rsidP="0026452D">
      <w:pPr>
        <w:pStyle w:val="SntesisAnaltica"/>
      </w:pPr>
    </w:p>
    <w:p w:rsidR="0026452D" w:rsidRDefault="0026452D" w:rsidP="0026452D">
      <w:pPr>
        <w:pStyle w:val="Extracto"/>
      </w:pPr>
      <w:r>
        <w:t>1.</w:t>
      </w:r>
      <w:r>
        <w:tab/>
        <w:t>Aplica la doctrina sobre la distribución de competencias en relación a la regulación del subsistema de formación profesional continua de la STC 244/2012 [FFJJ 3 a 10].</w:t>
      </w:r>
    </w:p>
    <w:p w:rsidR="0026452D" w:rsidRDefault="0026452D" w:rsidP="0026452D">
      <w:pPr>
        <w:pStyle w:val="Extracto"/>
      </w:pPr>
    </w:p>
    <w:p w:rsidR="0026452D" w:rsidRDefault="0026452D" w:rsidP="0026452D">
      <w:pPr>
        <w:pStyle w:val="Extracto"/>
      </w:pPr>
      <w:r>
        <w:t>2.</w:t>
      </w:r>
      <w:r>
        <w:tab/>
        <w:t xml:space="preserve">Aplica la doctrina sobre el encuadramiento competencial de las acciones formativas de los trabajadores ocupados así como su financiación en la materia ‘legislación laboral’, </w:t>
      </w:r>
      <w:r w:rsidRPr="0026452D">
        <w:rPr>
          <w:i/>
        </w:rPr>
        <w:t>ex</w:t>
      </w:r>
      <w:r>
        <w:t xml:space="preserve"> art. 149.1.7 CE, de la STC 244/2012 [FJ 3].</w:t>
      </w:r>
    </w:p>
    <w:p w:rsidR="0026452D" w:rsidRDefault="0026452D" w:rsidP="0026452D">
      <w:pPr>
        <w:pStyle w:val="Extracto"/>
      </w:pPr>
    </w:p>
    <w:p w:rsidR="0026452D" w:rsidRDefault="0026452D" w:rsidP="0026452D">
      <w:pPr>
        <w:pStyle w:val="Extracto"/>
      </w:pPr>
      <w:r>
        <w:t>3.</w:t>
      </w:r>
      <w:r>
        <w:tab/>
        <w:t xml:space="preserve">Debe rechazarse la impugnación dirigida contra la totalidad del Real Decreto controvertido, pues es al Estado, en virtud de sus competencias en materia de ‘legislación laboral’ </w:t>
      </w:r>
      <w:r w:rsidRPr="0026452D">
        <w:rPr>
          <w:i/>
        </w:rPr>
        <w:t>ex</w:t>
      </w:r>
      <w:r>
        <w:t xml:space="preserve"> art. 149.1.7 CE, a quien corresponde en exclusiva la regulación completa del subsistema de formación profesional continua y el establecimiento de un régimen jurídico unitario y, en consecuencia, quien ostenta con carácter excluyente la competencia para abordar su regulación, si bien no puede ignorar que la competencia para su ejecución corresponde a la Comunidad Autónoma (SSTC 95/2002, 190/2002) [FFJJ 4, 10].</w:t>
      </w:r>
    </w:p>
    <w:p w:rsidR="0026452D" w:rsidRDefault="0026452D" w:rsidP="0026452D">
      <w:pPr>
        <w:pStyle w:val="Extracto"/>
      </w:pPr>
    </w:p>
    <w:p w:rsidR="0026452D" w:rsidRDefault="0026452D" w:rsidP="0026452D">
      <w:pPr>
        <w:pStyle w:val="Extracto"/>
      </w:pPr>
      <w:r>
        <w:t>4.</w:t>
      </w:r>
      <w:r>
        <w:tab/>
        <w:t>Las acciones formativas de los trabajadores ocupados y la financiación correspondiente tienen una incardinación genérica en la materia ‘legislación laboral’, art. 149.1.7 CE, en la medida en que conciernen a la regulación de un concreto derecho de los trabajadores en el seno de la relación laboral (SSTC 95/2002) [FJ 3].</w:t>
      </w:r>
    </w:p>
    <w:p w:rsidR="0026452D" w:rsidRDefault="0026452D" w:rsidP="0026452D">
      <w:pPr>
        <w:pStyle w:val="Extracto"/>
      </w:pPr>
    </w:p>
    <w:p w:rsidR="0026452D" w:rsidRDefault="0026452D" w:rsidP="0026452D">
      <w:pPr>
        <w:pStyle w:val="Extracto"/>
      </w:pPr>
      <w:r>
        <w:t>5.</w:t>
      </w:r>
      <w:r>
        <w:tab/>
        <w:t>Sin perjuicio de que haya aspectos de la formación profesional vinculados al fomento del empleo, que podrían encontrar cobertura en el art. 149.1.13 CE, hemos descartado, en términos generales, la inclusión de esta materia en el citado título estatal, pues sólo tangencialmente puede verificarse su repercusión económica (SSTC 95/2002, 244/2012) [FJ 3].</w:t>
      </w:r>
    </w:p>
    <w:p w:rsidR="0026452D" w:rsidRDefault="0026452D" w:rsidP="0026452D">
      <w:pPr>
        <w:pStyle w:val="Extracto"/>
      </w:pPr>
    </w:p>
    <w:p w:rsidR="0026452D" w:rsidRDefault="0026452D" w:rsidP="0026452D">
      <w:pPr>
        <w:pStyle w:val="Extracto"/>
      </w:pPr>
      <w:r>
        <w:t>6.</w:t>
      </w:r>
      <w:r>
        <w:tab/>
        <w:t xml:space="preserve">El hecho de que los créditos destinados a formación tengan su origen en cotizaciones que se recaudan por la Tesorería general de la Seguridad Social no implica que formen parte de la caja única de la Seguridad Social, ni, en consecuencia, que </w:t>
      </w:r>
      <w:r>
        <w:lastRenderedPageBreak/>
        <w:t>resulte de aplicación al presente supuesto la competencia prevista en el art. 149.1.17 CE (STC 124/1989) [FJ 3].</w:t>
      </w:r>
    </w:p>
    <w:p w:rsidR="0026452D" w:rsidRDefault="0026452D" w:rsidP="0026452D">
      <w:pPr>
        <w:pStyle w:val="Extracto"/>
      </w:pPr>
    </w:p>
    <w:p w:rsidR="0026452D" w:rsidRDefault="0026452D" w:rsidP="0026452D">
      <w:pPr>
        <w:pStyle w:val="Extracto"/>
      </w:pPr>
      <w:r>
        <w:t>7.</w:t>
      </w:r>
      <w:r>
        <w:tab/>
        <w:t>El establecimiento de un determinado modelo de financiación de las acciones de formación continua en las empresas es una facultad que se inscribe en el ámbito propio de la normación en materia laboral, lo que implica que es el Estado quien asume toda la regulación concerniente a su régimen jurídico, circunscribiéndose la competencia autonómica a los aspectos de ejecución o gestión del sistema arbitrado para regular esa formación continua (STC 244/2012) [FJ 6].</w:t>
      </w:r>
    </w:p>
    <w:p w:rsidR="0026452D" w:rsidRDefault="0026452D" w:rsidP="0026452D">
      <w:pPr>
        <w:pStyle w:val="Extracto"/>
      </w:pPr>
    </w:p>
    <w:p w:rsidR="0026452D" w:rsidRDefault="0026452D" w:rsidP="0026452D">
      <w:pPr>
        <w:pStyle w:val="Extracto"/>
      </w:pPr>
      <w:r>
        <w:t>8.</w:t>
      </w:r>
      <w:r>
        <w:tab/>
        <w:t>El principio de unidad de caja de la cuota de formación profesional es un principio general de naturaleza contable que, en el contexto en el que ahora se suscita, tiene como objeto garantizar la unidad financiera y el régimen económico del subsistema de formación continua mediante la vinculación de sus fondos al cumplimiento de los objetivos que presiden su funcionamiento, sin que ello se oponga a la existencia de mecanismos descentralizados de gestión (STC 244/2012) [FJ 5].</w:t>
      </w:r>
    </w:p>
    <w:p w:rsidR="0026452D" w:rsidRDefault="0026452D" w:rsidP="0026452D">
      <w:pPr>
        <w:pStyle w:val="Extracto"/>
      </w:pPr>
    </w:p>
    <w:p w:rsidR="0026452D" w:rsidRDefault="0026452D" w:rsidP="0026452D">
      <w:pPr>
        <w:pStyle w:val="Extracto"/>
      </w:pPr>
      <w:r>
        <w:t>9.</w:t>
      </w:r>
      <w:r>
        <w:tab/>
        <w:t>La existencia de un título competencial estatal de carácter específico, el ámbito estatal de los destinatarios de las ayudas dirigidas a acciones formativas y el contenido y naturaleza de dichas acciones son circunstancias que ponen de relieve su ámbito supraterritorial, determinando que haya de ser el Estado el que asuma las funciones de gestión y tramitación, excluyéndose la posibilidad de una gestión descentralizada (SSTC 13/1992, 244/2012) [FFJJ 8, 9].</w:t>
      </w:r>
    </w:p>
    <w:p w:rsidR="0026452D" w:rsidRDefault="0026452D" w:rsidP="0026452D">
      <w:pPr>
        <w:pStyle w:val="Extracto"/>
      </w:pPr>
    </w:p>
    <w:p w:rsidR="0026452D" w:rsidRDefault="0026452D" w:rsidP="0026452D">
      <w:pPr>
        <w:pStyle w:val="Extracto"/>
      </w:pPr>
      <w:r>
        <w:t>10.</w:t>
      </w:r>
      <w:r>
        <w:tab/>
        <w:t>La atribución a un órgano estatal del ejercicio de funciones de naturaleza ejecutiva, consistentes en la concesión y pago de las ayudas destinadas a la realización de acciones complementarias relacionadas con la formación continua, determina en este supuesto la vulneración de las competencias autonómicas de ejecución, pues no concurren circunstancias excepcionales para que el Estado asuma las funciones de gestión y tramitación (SSTC 13/1992, 244/2012) [FJ 8].</w:t>
      </w:r>
    </w:p>
    <w:p w:rsidR="0026452D" w:rsidRDefault="0026452D" w:rsidP="0026452D">
      <w:pPr>
        <w:pStyle w:val="Extracto"/>
      </w:pPr>
    </w:p>
    <w:p w:rsidR="0026452D" w:rsidRDefault="0026452D" w:rsidP="0026452D">
      <w:pPr>
        <w:pStyle w:val="Extracto"/>
      </w:pPr>
      <w:r>
        <w:t>11.</w:t>
      </w:r>
      <w:r>
        <w:tab/>
        <w:t>La función de emisión de informes en materias de competencia estatal carece de virtualidad para vulnerar las competencias de las Comunidades Autónomas, más aún cuando tales informes tienen una dimensión supraterritorial y permiten el conocimiento de los datos globales de funcionamiento del subsistema de formación continua, con el objetivo único de coadyuvar a su mejora, y se realizan por un órgano técnico en el que se integran las Administraciones competentes, estatal y autonómicas (SSTC 40/1998, 204/2002) [FJ 9].</w:t>
      </w:r>
    </w:p>
    <w:p w:rsidR="0026452D" w:rsidRDefault="0026452D" w:rsidP="0026452D">
      <w:pPr>
        <w:pStyle w:val="Extracto"/>
      </w:pPr>
    </w:p>
    <w:p w:rsidR="0026452D" w:rsidRDefault="0026452D" w:rsidP="0026452D">
      <w:pPr>
        <w:pStyle w:val="Extracto"/>
      </w:pPr>
      <w:r>
        <w:t>12.</w:t>
      </w:r>
      <w:r>
        <w:tab/>
        <w:t xml:space="preserve">Doctrina sobre el deslinde competencial en materia de legislación laboral, </w:t>
      </w:r>
      <w:r w:rsidRPr="0026452D">
        <w:rPr>
          <w:i/>
        </w:rPr>
        <w:t>ex</w:t>
      </w:r>
      <w:r>
        <w:t xml:space="preserve"> art. 149.1.7 CE (SSTC 35/1982, 244/2012) [FJ 3].</w:t>
      </w:r>
    </w:p>
    <w:p w:rsidR="0026452D" w:rsidRDefault="0026452D" w:rsidP="0026452D">
      <w:pPr>
        <w:pStyle w:val="Extracto"/>
      </w:pPr>
    </w:p>
    <w:p w:rsidR="0026452D" w:rsidRDefault="0026452D" w:rsidP="0026452D">
      <w:pPr>
        <w:pStyle w:val="Extracto"/>
      </w:pPr>
      <w:r>
        <w:t>13.</w:t>
      </w:r>
      <w:r>
        <w:tab/>
        <w:t>La mera remisión efectuada en la norma impugnada a la ‘Administración competente’ es una referencia genérica que entraña un reenvío a los respectivos criterios competenciales, y, en tal sentido, no es susceptible de incidir sobre el orden constitucional de competencias, por lo que la ausencia de una vulneración inmediata y real de las competencias autonómicas determina la desestimación del conflicto en este punto (SSTC 61/1997, 244/2012) [FJ 7].</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122-2004 promovido por el Gobierno de la Junta de Galicia, en relación con el Real Decreto 1046/2003, de 1 de agosto, por el que se regula el subsistema de formación profesional continua. Ha comparecido y formulado alegaciones el Abogado del Estado. Ha sido Ponente la Magistrada doña Adela Asua Batarrita,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día 8 de enero de 2004 tuvo entrada en el Registro General de este Tribunal Constitucional, escrito del jefe de la Asesoría Jurídica de la Junta de Galicia por el que, en la representación que legalmente ostenta, interpone conflicto positivo de competencia, tramitado con el número 122-2004, en relación con el Real Decreto 1046/2003, de 1 de agosto, por el que se regula el subsistema de formación profesional continua.</w:t>
      </w:r>
    </w:p>
    <w:p w:rsidR="0026452D" w:rsidRDefault="0026452D" w:rsidP="0026452D">
      <w:pPr>
        <w:pStyle w:val="TextoNormal"/>
      </w:pPr>
    </w:p>
    <w:p w:rsidR="0026452D" w:rsidRDefault="0026452D" w:rsidP="0026452D">
      <w:pPr>
        <w:pStyle w:val="TextoNormal"/>
      </w:pPr>
      <w:r>
        <w:t>El Letrado de la Junta de Galicia dirige el conflicto contra el Real Decreto 1046/2003 en su totalidad, y subsidiariamente contra lo dispuesto en los artículos 2.2, letras a), b) y c); 8; 9; 10, párrafos 5 y 7; 11; 12.2; 14; 15; 17; 18.1, letras a), f), g), h) e i); 19; 20; 21; 22.4; 23, salvo el último párrafo del número 2; disposición adicional primera; disposición adicional segunda; disposición adicional tercera; disposición adicional cuarta; disposición adicional quinta; disposición transitoria única y disposición final primera.</w:t>
      </w:r>
    </w:p>
    <w:p w:rsidR="0026452D" w:rsidRDefault="0026452D" w:rsidP="0026452D">
      <w:pPr>
        <w:pStyle w:val="TextoNormal"/>
      </w:pPr>
    </w:p>
    <w:p w:rsidR="0026452D" w:rsidRDefault="0026452D" w:rsidP="0026452D">
      <w:pPr>
        <w:pStyle w:val="TextoNormal"/>
      </w:pPr>
      <w:r>
        <w:t>Tras dar cuenta de los términos en que se dio cumplimiento al trámite del requerimiento previo de incompetencia, considera la representación autonómica que la norma impugnada no se acomoda a la delimitación constitucional y estatutaria de competencias que deriva de lo dispuesto en el art. 149.1.7 CE y en el Estatuto de Autonomía de Galicia, ni a los señalado en a la jurisprudencia de este Tribunal, contenida fundamentalmente en las SSTC 95/2002, de 25 de abril y 190/2002 de 17 de octubre.</w:t>
      </w:r>
    </w:p>
    <w:p w:rsidR="0026452D" w:rsidRDefault="0026452D" w:rsidP="0026452D">
      <w:pPr>
        <w:pStyle w:val="TextoNormal"/>
      </w:pPr>
    </w:p>
    <w:p w:rsidR="0026452D" w:rsidRDefault="0026452D" w:rsidP="0026452D">
      <w:pPr>
        <w:pStyle w:val="TextoNormal"/>
      </w:pPr>
      <w:r>
        <w:t xml:space="preserve">El argumento sustantivo en el que se apoya la impugnación global de la norma controvertida es que el Real Decreto estructura un sistema de formación continua en el que todo el protagonismo en orden a la gestión, planificación, control y seguimiento de las acciones </w:t>
      </w:r>
      <w:r>
        <w:lastRenderedPageBreak/>
        <w:t>formativas se atribuye a las empresas, a los agentes sociales y a ciertas comisiones y entidades que casi siempre operan en el ámbito supraautonómico. Las Comunidades Autónomas son objeto de una atención completamente residual, en cuanto no intervienen en la asignación de créditos a las empresas para la formación, aunque sí en el proceso de resolución de discrepancias en orden a la concreta programación de las actividades formativas; su competencia en relación con los contratos programa para la formación de trabajadores y las acciones complementarias y de acompañamiento a la formación, tiene carácter residual, sin especificar los criterios a los que deberán ajustarse en su actuación y sin que se prevea ningún mecanismo de coordinación con las actuaciones realizadas en el ámbito estatal; se les da entrada en los organismos que constituyen la estructura organizativa, pero, tanto en el caso de la Comisión Estatal de Formación Continua como en la Fundación Estatal para la Formación en el Empleo, se trata de entidades adscritas e integradas en la Administración estatal; por último, en lo atinente a la evaluación, seguimiento y control de las acciones formativas, parece que se salvan las competencias de las Comunidades Autónomas, pero no se definen o deslindan los supuestos en que las mismas ejercen competencias ejecutivas ni se concreta mecanismo alguno de coordinación con los entes supraautonómicos.</w:t>
      </w:r>
    </w:p>
    <w:p w:rsidR="0026452D" w:rsidRDefault="0026452D" w:rsidP="0026452D">
      <w:pPr>
        <w:pStyle w:val="TextoNormal"/>
      </w:pPr>
    </w:p>
    <w:p w:rsidR="0026452D" w:rsidRDefault="0026452D" w:rsidP="0026452D">
      <w:pPr>
        <w:pStyle w:val="TextoNormal"/>
      </w:pPr>
      <w:r>
        <w:t>En lo que respecta a los concretos preceptos que, subsidiariamente, son objeto de impugnación expresa, los argumentos en que se sustenta son los que, sintéticamente se señalan a continuación.</w:t>
      </w:r>
    </w:p>
    <w:p w:rsidR="0026452D" w:rsidRDefault="0026452D" w:rsidP="0026452D">
      <w:pPr>
        <w:pStyle w:val="TextoNormal"/>
      </w:pPr>
    </w:p>
    <w:p w:rsidR="0026452D" w:rsidRDefault="0026452D" w:rsidP="0026452D">
      <w:pPr>
        <w:pStyle w:val="TextoNormal"/>
      </w:pPr>
      <w:r>
        <w:t>a) El artículo 2.2 enuncia los principios generales del subsistema de formación profesional continua. La impugnación se dirige contra el apartado a), por considerar inadecuada la referencia al principio de unidad de caja, en la medida en que la jurisprudencia constitucional ha señalado que las cuotas relativas a la formación profesional no son recursos de la Seguridad Social y, por lo tanto, no deberían vincularse o estar afectadas por el principio de caja única; los apartados b) y c) aluden al protagonismo de los agentes sociales en el desarrollo del subsistema de formación continua y a la importancia de la negociación colectiva, lo que pudiera constituir una opción legislativa admisible, si bien el desarrollo de estos principios llega a tal grado de predeterminación normativa y organizativa que limita e impide el legítimo ejercicio de las competencias ejecutivas que corresponden a las Comunidades Autónomas.</w:t>
      </w:r>
    </w:p>
    <w:p w:rsidR="0026452D" w:rsidRDefault="0026452D" w:rsidP="0026452D">
      <w:pPr>
        <w:pStyle w:val="TextoNormal"/>
      </w:pPr>
    </w:p>
    <w:p w:rsidR="0026452D" w:rsidRDefault="0026452D" w:rsidP="0026452D">
      <w:pPr>
        <w:pStyle w:val="TextoNormal"/>
      </w:pPr>
      <w:r>
        <w:t>b) Los arts. 8 y 9 establecen un sistema de financiación de las acciones de formación continua en las empresas que expresamente se excluye del concepto legal de subvenciones y pretende vincularse a las cuotas que las empresas ingresan por formación continua, pero en la práctica más que un sistema de bonificación en las cuotas, lo que se establece es un “crédito para formación continua”, que se determina exclusivamente por la Administración estatal, sin ninguna intervención de las Comunidades Autónomas, y siendo el Ministerio de Trabajo y Asuntos Sociales quien fija mediante orden los porcentajes mínimos de cofinanciación de las empresas, eludiéndose así las competencias ejecutivas que a las Comunidades Autónomas corresponden.</w:t>
      </w:r>
    </w:p>
    <w:p w:rsidR="0026452D" w:rsidRDefault="0026452D" w:rsidP="0026452D">
      <w:pPr>
        <w:pStyle w:val="TextoNormal"/>
      </w:pPr>
    </w:p>
    <w:p w:rsidR="0026452D" w:rsidRDefault="0026452D" w:rsidP="0026452D">
      <w:pPr>
        <w:pStyle w:val="TextoNormal"/>
      </w:pPr>
      <w:r>
        <w:t xml:space="preserve">c) El sistema de control de las acciones formativas planificadas, organizadas y gestionadas por las empresas, que se contempla en el art. 10, párrafos 5 y 7 no suscita reparos si se entiende que la “Administración competente” para resolver las discrepancias que se susciten es la Administración autonómica. Pero el hecho de que la percepción del crédito se vincule a los recursos de la Seguridad Social, implica que la Administración competente para decidir </w:t>
      </w:r>
      <w:r>
        <w:lastRenderedPageBreak/>
        <w:t>cuándo procede la tramitación de un reintegro y para ejecutar tal procedimiento en todas sus fases es la Administración estatal a pesar de que el art. 10.7 aluda a la “Administración competente”.</w:t>
      </w:r>
    </w:p>
    <w:p w:rsidR="0026452D" w:rsidRDefault="0026452D" w:rsidP="0026452D">
      <w:pPr>
        <w:pStyle w:val="TextoNormal"/>
      </w:pPr>
    </w:p>
    <w:p w:rsidR="0026452D" w:rsidRDefault="0026452D" w:rsidP="0026452D">
      <w:pPr>
        <w:pStyle w:val="TextoNormal"/>
      </w:pPr>
      <w:r>
        <w:t>d) En relación con el art. 11, afirma el representante de la Comunidad Autónoma que no tiene ningún sentido que sea una fundación estatal la que realice las actividades de apoyo que en el mismo se contemplan, por mucho que se incluya una cláusula de salvaguarda de las competencias autonómicas, y a pesar igualmente de que las Comunidades Autónomas intervengan en el patronato de la citada fundación. Considera el representante autonómico que estas facultades deberían atribuirse a las Comunidades Autónomas, sin perjuicio de que se precisasen los concretos supuestos en que, por razones de supraterritorialidad o de imposibilidad de gestión, deban ejercitarse por la Administración estatal o por una fundación pública dependiente de la misma. Idénticas consideraciones se vierten respecto del art. 12.2, en relación con la ejecución de las acciones formativas, por estimar que el control y seguimiento de las mismas constituye una competencia ejecutiva, por lo que son las Comunidades Autónomas quienes habrán de recibir toda la información y documentación precisa para llevarlas a cabo y no la fundación estatal.</w:t>
      </w:r>
    </w:p>
    <w:p w:rsidR="0026452D" w:rsidRDefault="0026452D" w:rsidP="0026452D">
      <w:pPr>
        <w:pStyle w:val="TextoNormal"/>
      </w:pPr>
    </w:p>
    <w:p w:rsidR="0026452D" w:rsidRDefault="0026452D" w:rsidP="0026452D">
      <w:pPr>
        <w:pStyle w:val="TextoNormal"/>
      </w:pPr>
      <w:r>
        <w:t>e) En los arts. 14, 16 y 17 se contemplan unos mecanismos de financiación de las acciones formativas, articulados en un ámbito supraautonómico que determina que gran parte de los fondos presupuestarios previstos para estas finalidades se gestionen por el Estado, con el concurso de las entidades sindicales y empresariales más representativas a nivel estatal, eludiéndose las competencias ejecutivas de las Comunidades Autónomas. Entiende la representación autonómica que tales actividades deberían articularse en el ámbito territorial de cada Comunidad Autónoma y cuando ello excepcionalmente no fuera posible, deberían definirse los supuestos y los casos que justificarían la articulación de estas medidas en un ámbito territorial estatal.</w:t>
      </w:r>
    </w:p>
    <w:p w:rsidR="0026452D" w:rsidRDefault="0026452D" w:rsidP="0026452D">
      <w:pPr>
        <w:pStyle w:val="TextoNormal"/>
      </w:pPr>
    </w:p>
    <w:p w:rsidR="0026452D" w:rsidRDefault="0026452D" w:rsidP="0026452D">
      <w:pPr>
        <w:pStyle w:val="TextoNormal"/>
      </w:pPr>
      <w:r>
        <w:t>f) La estructura organizativa contemplada en los arts. 18 a 21 se asienta sobre entidades instrumentales adscritas a la Administración estatal, aunque en sus órganos de gobierno se dé participación a los agentes sociales y las Comunidades Autónomas, participación que no confiere a éstas capacidad decisora relevante en orden al ejercicio de las funciones que a aquéllas se atribuyen. No se discute la creación de los citados organismos pero sí el hecho de que se les atribuyan funciones ejecutivas que corresponden a las Comunidades Autónomas, especialmente en las letras a), f), g), h) e i) del art. 18 y en las letras a), f) y g) del art. 21. En cuanto a las comisiones paritarias sectoriales y territoriales, reguladas en los arts. 19 y 20, no se estima justificado que las mismas se articulen en un ámbito territorial supraautonómico. La impugnación dirigida contra las disposiciones adicionales primera, segunda, tercera, cuarta y quinta, y contra la disposición transitoria única, es consecuencia de la efectuada en las consideraciones anteriores.</w:t>
      </w:r>
    </w:p>
    <w:p w:rsidR="0026452D" w:rsidRDefault="0026452D" w:rsidP="0026452D">
      <w:pPr>
        <w:pStyle w:val="TextoNormal"/>
      </w:pPr>
    </w:p>
    <w:p w:rsidR="0026452D" w:rsidRDefault="0026452D" w:rsidP="0026452D">
      <w:pPr>
        <w:pStyle w:val="TextoNormal"/>
      </w:pPr>
      <w:r>
        <w:t>g) La impugnación dirigida al art. 23 viene a reiterar los argumentos esgrimidos en relación con los arts. 11 y 12, considerando que las funciones de control y seguimiento que se prevén, por su naturaleza ejecutiva, han de corresponder a las Comunidades Autónomas, no siendo suficiente la cláusula de salvaguarda de las competencias autonómicas que se contempla en el art. 23.1.</w:t>
      </w:r>
    </w:p>
    <w:p w:rsidR="0026452D" w:rsidRDefault="0026452D" w:rsidP="0026452D">
      <w:pPr>
        <w:pStyle w:val="TextoNormal"/>
      </w:pPr>
    </w:p>
    <w:p w:rsidR="0026452D" w:rsidRDefault="0026452D" w:rsidP="0026452D">
      <w:pPr>
        <w:pStyle w:val="TextoNormal"/>
      </w:pPr>
      <w:r>
        <w:lastRenderedPageBreak/>
        <w:t>h) La disposición final primera es objeto de impugnación por considerar que el art. 149.1.7 CE no justifica o ampara la regulación contenida en el Real Decreto, y los títulos competenciales previstos en los apartados 13 y 17 del mismo art. 149.1 CE no tienen relevancia, de acuerdo con la jurisprudencia del Tribunal Constitucional, en la regulación de las materias relativas a la formación profesional continua de los trabajadores ocupados.</w:t>
      </w:r>
    </w:p>
    <w:p w:rsidR="0026452D" w:rsidRDefault="0026452D" w:rsidP="0026452D">
      <w:pPr>
        <w:pStyle w:val="TextoNormal"/>
      </w:pPr>
    </w:p>
    <w:p w:rsidR="0026452D" w:rsidRDefault="0026452D" w:rsidP="0026452D">
      <w:pPr>
        <w:pStyle w:val="TextoNormal"/>
      </w:pPr>
      <w:r w:rsidRPr="0026452D">
        <w:rPr>
          <w:rStyle w:val="NumeroAFNegritaCaracter"/>
        </w:rPr>
        <w:t>2</w:t>
      </w:r>
      <w:r>
        <w:t>. Este Tribunal, mediante providencia de la Sección Primera de 10 de febrero de 2004, admitió a trámite el conflicto positivo de competencia promovido por el Gobierno de la Junta de Galicia, acordando dar traslado de las actuaciones al Gobierno de la Nación, por conducto de su Presidente, al objeto de que en el plazo de veinte días, y por medio de la representación procesal que señala el art. 82.2 de la Ley Orgánica del Tribunal Constitucional (LOTC) pudiera personarse en los autos y aportar cuantos documentos y alegaciones considerase convenientes. Se acordó asimismo comunicar la incoación del conflicto a la Sala de lo Contencioso-Administrativo del Tribunal Supremo por si ante la misma estuviera impugnado o se impugnara el referido real decreto, en cuyo caso se suspendería el curso del proceso hasta la decisión del conflicto, así como publicar la incoación del conflicto en el “Boletín Oficial del Estado” y en el “Diario Oficial de la Galicia”.</w:t>
      </w:r>
    </w:p>
    <w:p w:rsidR="0026452D" w:rsidRDefault="0026452D" w:rsidP="0026452D">
      <w:pPr>
        <w:pStyle w:val="TextoNormal"/>
      </w:pPr>
    </w:p>
    <w:p w:rsidR="0026452D" w:rsidRDefault="0026452D" w:rsidP="0026452D">
      <w:pPr>
        <w:pStyle w:val="TextoNormal"/>
      </w:pPr>
      <w:r w:rsidRPr="0026452D">
        <w:rPr>
          <w:rStyle w:val="NumeroAFNegritaCaracter"/>
        </w:rPr>
        <w:t>3</w:t>
      </w:r>
      <w:r>
        <w:t>. Mediante escrito que tuvo entrada en este Tribunal el 18 de febrero de 2004, el Abogado del Estado solicitó, dada la acumulación de asuntos pendientes ante ese servicio jurídico, una prórroga hasta el máximo legal, del plazo concedido para alegaciones. La Sección Primera, mediante providencia de 24 de febrero, acordó incorporar a las actuaciones el escrito del Abogado del Estado y atender su solicitud, ampliando en diez días el plazo originalmente concedido.</w:t>
      </w:r>
    </w:p>
    <w:p w:rsidR="0026452D" w:rsidRDefault="0026452D" w:rsidP="0026452D">
      <w:pPr>
        <w:pStyle w:val="TextoNormal"/>
      </w:pPr>
    </w:p>
    <w:p w:rsidR="0026452D" w:rsidRDefault="0026452D" w:rsidP="0026452D">
      <w:pPr>
        <w:pStyle w:val="TextoNormal"/>
      </w:pPr>
      <w:r w:rsidRPr="0026452D">
        <w:rPr>
          <w:rStyle w:val="NumeroAFNegritaCaracter"/>
        </w:rPr>
        <w:t>4</w:t>
      </w:r>
      <w:r>
        <w:t>. El 5 de marzo de 2004 tuvo entrada en este Tribunal escrito de alegaciones del Abogado del Estado en el que solicita se tenga por evacuado el trámite conferido y, en su día, se dicte Sentencia desestimatoria de la demanda en todos sus extremos, declarando la disposición impugnada ajustada a la Constitución.</w:t>
      </w:r>
    </w:p>
    <w:p w:rsidR="0026452D" w:rsidRDefault="0026452D" w:rsidP="0026452D">
      <w:pPr>
        <w:pStyle w:val="TextoNormal"/>
      </w:pPr>
    </w:p>
    <w:p w:rsidR="0026452D" w:rsidRDefault="0026452D" w:rsidP="0026452D">
      <w:pPr>
        <w:pStyle w:val="TextoNormal"/>
      </w:pPr>
      <w:r>
        <w:t>Considera el Abogado del Estado que, de conformidad con las SSTC 95/2002 y 190/2002, la formación continua de los trabajadores ocupados se incardina en la materia laboral, al constituir un derecho concreto de los trabajadores en el seno de la relación laboral, con correlativos derechos y obligaciones para las dos partes de la relación laboral, de suerte que el precepto constitucional que ampara la competencia del Estado para legislar sobre esta actividad es el art. 149.1.7 CE.</w:t>
      </w:r>
    </w:p>
    <w:p w:rsidR="0026452D" w:rsidRDefault="0026452D" w:rsidP="0026452D">
      <w:pPr>
        <w:pStyle w:val="TextoNormal"/>
      </w:pPr>
    </w:p>
    <w:p w:rsidR="0026452D" w:rsidRDefault="0026452D" w:rsidP="0026452D">
      <w:pPr>
        <w:pStyle w:val="TextoNormal"/>
      </w:pPr>
      <w:r>
        <w:t>La mencionada competencia habilita al Estado para establecer un régimen jurídico unitario en materia de formación continua de trabajadores ocupados; le permite optar por un modelo de financiación de las acciones de formación continua en las empresas que se rija por el sistema de subvenciones públicas, por uno de bonificaciones en las cuotas que las empresas ingresan en la Seguridad Social en concepto de formación profesional, o por un modelo mixto, como la norma que nos ocupa; y le habilita para establecer las modalidades organizativas y de gestión de los planes de empresa o de los planes agrupados que por su dimensión supraterritorial u otros motivos excedan de la competencia autonómica y determinen la imposibilidad de que la gestión o ejecución de las acciones formativas corresponda a la Comunidad Autónoma.</w:t>
      </w:r>
    </w:p>
    <w:p w:rsidR="0026452D" w:rsidRDefault="0026452D" w:rsidP="0026452D">
      <w:pPr>
        <w:pStyle w:val="TextoNormal"/>
      </w:pPr>
    </w:p>
    <w:p w:rsidR="0026452D" w:rsidRDefault="0026452D" w:rsidP="0026452D">
      <w:pPr>
        <w:pStyle w:val="TextoNormal"/>
      </w:pPr>
      <w:r>
        <w:t>En relación con la impugnación dirigida a los apartados a), b) y c) del art. 2.2, considera el Abogado del Estado que la principal novedad que introduce el Real Decreto 1046/2003 radica en que la gestión de las acciones de formación continua en las empresas no pivota sobre los poderes públicos o los interlocutores sociales, sino sobre las propias empresas, pues son éstas las que elaboran y ponen en práctica las acciones, y las que gestionan su financiación a través de bonificaciones en sus cotizaciones a la Seguridad Social, y la intervención pública es esencialmente de control de la gestión. En tanto que la opción del modelo impugnado tiene su justificación en una mayor eficiencia del sistema y respeta las competencias de ejecución que sobre la puesta en práctica de la legislación laboral corresponden a las Comunidades Autónomas, la norma controvertida se ajusta al orden constitucional de distribución de competencias.</w:t>
      </w:r>
    </w:p>
    <w:p w:rsidR="0026452D" w:rsidRDefault="0026452D" w:rsidP="0026452D">
      <w:pPr>
        <w:pStyle w:val="TextoNormal"/>
      </w:pPr>
    </w:p>
    <w:p w:rsidR="0026452D" w:rsidRDefault="0026452D" w:rsidP="0026452D">
      <w:pPr>
        <w:pStyle w:val="TextoNormal"/>
      </w:pPr>
      <w:r>
        <w:t>El demandante objeta que, conforme a los arts. 8 y 9, las Comunidades Autónomas no intervienen en la asignación de créditos a las empresas para la formación. A juicio del Abogado del Estado, de la anterior alegación se desprende que se confunde la gestión de la formación continua con la gestión de los fondos públicos que financian tal formación. Cuando el Tribunal Constitucional “dio la pauta” de territorializar los créditos, se estaba refiriendo únicamente a la financiación subvencional, no siendo posible aplicar la territorialización de créditos a un sistema de financiación basado en bonificaciones a las empresas.</w:t>
      </w:r>
    </w:p>
    <w:p w:rsidR="0026452D" w:rsidRDefault="0026452D" w:rsidP="0026452D">
      <w:pPr>
        <w:pStyle w:val="TextoNormal"/>
      </w:pPr>
    </w:p>
    <w:p w:rsidR="0026452D" w:rsidRDefault="0026452D" w:rsidP="0026452D">
      <w:pPr>
        <w:pStyle w:val="TextoNormal"/>
      </w:pPr>
      <w:r>
        <w:t>En relación a lo dispuesto en los apartados 5 y 7 del art. 10, considera la representación estatal que, sin perjuicio de que, efectivamente, en el supuesto de reintegro de bonificaciones, la facultad de exigir el mismo corresponderá a la Tesorería General de la Seguridad Social, en todo lo demás, existe un ámbito de facultades de ejecución que corresponde a las Comunidades Autónomas, siempre que las tengan atribuidas estatutariamente, y entre estas facultades se incluyen: la resolución de las discrepancias sobre las acciones formativas entre la representación legal de los trabajadores y las empresas, cuando afecten a los supuestos establecidos en el art. 10.5; el control de la documentación justificativa de la realización de los cursos, a cuya disposición la pondrán las empresas, según prevé el art. 13.2; el control sobre si las acciones formativas guardan relación con la actividad empresarial, según exige el art. 12.2, y el apoyo a las pequeñas y medianas empresas para facilitar y generalizar el acceso a la formación de sus trabajadores, según prevé el art. 11.</w:t>
      </w:r>
    </w:p>
    <w:p w:rsidR="0026452D" w:rsidRDefault="0026452D" w:rsidP="0026452D">
      <w:pPr>
        <w:pStyle w:val="TextoNormal"/>
      </w:pPr>
    </w:p>
    <w:p w:rsidR="0026452D" w:rsidRDefault="0026452D" w:rsidP="0026452D">
      <w:pPr>
        <w:pStyle w:val="TextoNormal"/>
      </w:pPr>
      <w:r>
        <w:t xml:space="preserve">El art. 12.2 deja fuera de toda duda el respeto a la competencia autonómica, pues prevé que las empresas comunicarán a la fundación estatal la información que se detalla, sin perjuicio de las competencias que en este ámbito corresponden a las Comunidades Autónomas. La posible duplicidad en el ejercicio de la remisión de información no constituye vulneración competencial alguna ni obsta a que las Comunidades Autónomas, en ejercicio de sus competencias ejecutivas, puedan recabar toda la información que precisen de las empresas, a través de los órganos que creen al efecto. A la obtención de una información unitaria y homogénea se dirige la remisión de la información que las empresas, que deseen obtener las bonificaciones por formación continua, han de hacer a favor de la Fundación Estatal para la Formación Continua, con base en este precepto. Además de salvaguardarse formalmente las competencias ejecutivas autonómicas, del tenor del siguiente art. 13.2 se desprende con claridad la necesidad de remisión de información por las empresas a favor de la Administración autonómica, en tanto deben justificar ante sus órganos de control la concreta realización del </w:t>
      </w:r>
      <w:r>
        <w:lastRenderedPageBreak/>
        <w:t>curso, por lo que el precepto es susceptible de una interpretación armónica con el bloque de constitucionalidad.</w:t>
      </w:r>
    </w:p>
    <w:p w:rsidR="0026452D" w:rsidRDefault="0026452D" w:rsidP="0026452D">
      <w:pPr>
        <w:pStyle w:val="TextoNormal"/>
      </w:pPr>
    </w:p>
    <w:p w:rsidR="0026452D" w:rsidRDefault="0026452D" w:rsidP="0026452D">
      <w:pPr>
        <w:pStyle w:val="TextoNormal"/>
      </w:pPr>
      <w:r>
        <w:t>El Real Decreto impugnado establece en sus arts. 14 y 17 que los contratos programas para la formación de los trabajadores y las acciones complementarias y de acompañamiento a la formación serán de competencia estatal o autonómica, en cuanto a su gestión o ejecución, cuando afecten o no a más de una Comunidad Autónoma, bien porque sean resultado de contratos programas suscritos con organizaciones empresariales y sindicales de ámbito estatal para varios sectores de actividad económica, bien porque se basen en la negociación colectiva sectorial de ámbito estatal, o bien por suscripción de contratos programas con las organizaciones de cooperativas o sociedades laborales con notable implantación en el ámbito estatal. Fuera de estos supuestos, la gestión y ejecución de la actividad corresponderá a las Comunidades Autónomas y por tanto se aplicarán a las ayudas previstas los mecanismos de distribución establecidos en la Ley general presupuestaria; por ello, no resulta admisible que la Comunidad Autónoma que plantea el conflicto estime vulneradas sus competencias de gestión y ejecución, pues los criterios de la norma para deslindar cuándo el ejercicio de la actividad no corresponde a las Comunidades Autónomas, en tanto que afectan a los supuestos de supraterritorialidad, encuentran cobertura en la jurisprudencia constitucional de directa e ineludible aplicación.</w:t>
      </w:r>
    </w:p>
    <w:p w:rsidR="0026452D" w:rsidRDefault="0026452D" w:rsidP="0026452D">
      <w:pPr>
        <w:pStyle w:val="TextoNormal"/>
      </w:pPr>
    </w:p>
    <w:p w:rsidR="0026452D" w:rsidRDefault="0026452D" w:rsidP="0026452D">
      <w:pPr>
        <w:pStyle w:val="TextoNormal"/>
      </w:pPr>
      <w:r>
        <w:t>Considera asimismo el Abogado del Estado que la estructura organizativa respeta las competencias autonómicas para autoorganizarse y responde a criterios de cooperación. Afirma que la competencia de las Comunidades Autónomas para organizar la estructura administrativa necesaria para desempeñar sus funciones ejecutivas sobre formación continua no es vulnerada por los arts. 18, 19, 20 y 21 del Real Decreto impugnado, pues el hecho de que el mismo prevea determinadas entidades u órganos de ámbito estatal             —Fundación Estatal para la Formación en el Empleo y Comisión Estatal de Formación Continua– no invade competencias propias de las Comunidades Autónomas, en tanto que las funciones que se les atribuyen son únicamente las derivadas de las competencias que le son propias, y la norma impugnada no se ocupa de la estructura organizativa de las Comunidades Autónomas, dado que tal materia compete exclusivamente a éstas.</w:t>
      </w:r>
    </w:p>
    <w:p w:rsidR="0026452D" w:rsidRDefault="0026452D" w:rsidP="0026452D">
      <w:pPr>
        <w:pStyle w:val="TextoNormal"/>
      </w:pPr>
    </w:p>
    <w:p w:rsidR="0026452D" w:rsidRDefault="0026452D" w:rsidP="0026452D">
      <w:pPr>
        <w:pStyle w:val="TextoNormal"/>
      </w:pPr>
      <w:r>
        <w:t>Las funciones de coordinación y evaluación de las políticas de formación continua en todo el territorio del Estado justifican la colaboración entre éste y las Comunidades Autónomas, pues se trata de un principio que se encuentra implícito en la propia esencia de la organización territorial que implanta la Constitución (STC 18/1982), y, en este sentido, tanto la Comisión Estatal de Formación Continua como la Fundación Estatal para la Formación en el Empleo son órganos técnicos al servicio de todas las Administraciones, y la presencia en los mismos de la Comunidades Autónomas se halla formalmente prevista, estando representadas en estos órganos al mismo nivel de decisión que la Administración del Estado, sin que ello impida que cada Comunidad pueda organizar la prestación del servicio que le corresponda según su propio criterio.</w:t>
      </w:r>
    </w:p>
    <w:p w:rsidR="0026452D" w:rsidRDefault="0026452D" w:rsidP="0026452D">
      <w:pPr>
        <w:pStyle w:val="TextoNormal"/>
      </w:pPr>
    </w:p>
    <w:p w:rsidR="0026452D" w:rsidRDefault="0026452D" w:rsidP="0026452D">
      <w:pPr>
        <w:pStyle w:val="TextoNormal"/>
      </w:pPr>
      <w:r>
        <w:t xml:space="preserve">En cuanto a las funciones que se atribuyen a la Comisión Estatal en el art. 18.1, considera el Abogado del Estado, que la función prevista en la letra e), es una función meramente informativa, que compete al Estado en tanto le corresponde asignar los fondos de sus presupuestos que financien el subsistema de formación continua; la recogida en la letra f) relativa a la aprobación del mapa sectorial, es difícilmente objetable, en tanto que en dicho mapa </w:t>
      </w:r>
      <w:r>
        <w:lastRenderedPageBreak/>
        <w:t>van a estar reflejados la totalidad de los sectores de actividad de ámbito estatal que existen en nuestro país, por lo que no puede entenderse que invada las competencias ejecutivas de Galicia en materia de formación continua; la letra g) atribuye a la Comisión Estatal una función que es extraña a las competencias ejecutivas de las Comunidades Autónomas, pues se refiere a unos órganos —las comisiones paritarias territoriales y sectoriales— ajenos a la estructura administrativa de las Comunidades Autónomas, sin que dicha función implique actos de gestión de la formación continua.</w:t>
      </w:r>
    </w:p>
    <w:p w:rsidR="0026452D" w:rsidRDefault="0026452D" w:rsidP="0026452D">
      <w:pPr>
        <w:pStyle w:val="TextoNormal"/>
      </w:pPr>
    </w:p>
    <w:p w:rsidR="0026452D" w:rsidRDefault="0026452D" w:rsidP="0026452D">
      <w:pPr>
        <w:pStyle w:val="TextoNormal"/>
      </w:pPr>
      <w:r>
        <w:t>Respecto de las funciones que el art. 21 atribuye a la fundación estatal, la recogida en la letra a) es una función meramente divulgativa de la normativa estatal reguladora del subsistema de formación continua, difícilmente vulneradora de las competencias ejecutivas de las Comunidades Autónomas y las previstas en las letras f) y g) son funciones genéricas pendientes de concreción y desarrollo. En cuanto a la intervención de esta fundación en labores de apoyo a las pequeñas y medianas empresas que prevé el art. 11, no debe olvidarse que esta función se atribuye expresamente “sin perjuicio del ejercicio por las Comunidades Autónomas de sus competencias”.</w:t>
      </w:r>
    </w:p>
    <w:p w:rsidR="0026452D" w:rsidRDefault="0026452D" w:rsidP="0026452D">
      <w:pPr>
        <w:pStyle w:val="TextoNormal"/>
      </w:pPr>
    </w:p>
    <w:p w:rsidR="0026452D" w:rsidRDefault="0026452D" w:rsidP="0026452D">
      <w:pPr>
        <w:pStyle w:val="TextoNormal"/>
      </w:pPr>
      <w:r>
        <w:t>En cuanto a las comisiones paritarias sectoriales y territoriales, previstas en los arts. 19 y 20, son ajenas a cualquier estructura de la Administración y carecen de funciones ejecutivas o decisorias, puesto que son órganos de participación de agentes sociales y económicos, fruto incluso de la libre negociación colectiva, con funciones de mera participación que no menoscaban, por ello, competencia autonómica alguna, pues incluso se prevé que cuando en su seno no sea posible resolver las discrepancias entre la representación legal de los trabajadores y las empresas sobre las acciones formativas corresponde a la Administración competente resolver dichas discrepancias. Tales comisiones paritarias están creadas al amparo de los convenios colectivos sectoriales de ámbito estatal o acuerdos específicos y su necesaria intervención en el subsistema de formación continua se fundamenta en su referida condición de instrumentos que posibilitan la participación activa de los sujetos que representan (empresarios y trabajadores) en el diseño e implantación de la formación continua, sin que tal participación merme las competencias que la Administración competente tenga atribuidas, favoreciéndose así un marco de permanente diálogo social.</w:t>
      </w:r>
    </w:p>
    <w:p w:rsidR="0026452D" w:rsidRDefault="0026452D" w:rsidP="0026452D">
      <w:pPr>
        <w:pStyle w:val="TextoNormal"/>
      </w:pPr>
    </w:p>
    <w:p w:rsidR="0026452D" w:rsidRDefault="0026452D" w:rsidP="0026452D">
      <w:pPr>
        <w:pStyle w:val="TextoNormal"/>
      </w:pPr>
      <w:r>
        <w:t>Por último, la demanda se limita a extender las consideraciones que hace respecto al articulado del Real Decreto a las previsiones contenidas en las disposiciones adicionales, transitorias y final primera. Considera el Abogado del Estado que la ausencia de argumentación específica le libera sin más de ofrecer argumentos en defensa de la constitucionalidad de aquellas disposiciones, remitiéndose a lo expresado sobre tales preceptos en el escrito de contestación. Únicamente precisa, en relación a la disposición final primera, que la supuesta incorrección del título competencial alegado carece de relevancia para efectuar una declaración de inconstitucionalidad, pues las competencias son indisponible y no pueden venir condicionadas en su validez y eficacia por las fijaciones o invocaciones de reglas de distribución de competencias que con más o menos acierto el legislador efectúa.</w:t>
      </w:r>
    </w:p>
    <w:p w:rsidR="0026452D" w:rsidRDefault="0026452D" w:rsidP="0026452D">
      <w:pPr>
        <w:pStyle w:val="TextoNormal"/>
      </w:pPr>
    </w:p>
    <w:p w:rsidR="0026452D" w:rsidRDefault="0026452D" w:rsidP="0026452D">
      <w:pPr>
        <w:pStyle w:val="TextoNormal"/>
      </w:pPr>
      <w:r w:rsidRPr="0026452D">
        <w:rPr>
          <w:rStyle w:val="NumeroAFNegritaCaracter"/>
        </w:rPr>
        <w:t>5</w:t>
      </w:r>
      <w:r>
        <w:t>. En fecha 12 de enero de 2007 tuvo entrada en el Registro General del Tribunal oficio procedente de la Sala de lo Contencioso-Administrativo del Tribunal Supremo, en el que se remite copia del Auto dictado en 27 de noviembre de 2006, a fin de que notifique a esa Sala la resolución que en su día recaiga en el presente conflicto positivo de competencia.</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6</w:t>
      </w:r>
      <w:r>
        <w:t>. Por providencia de 29 de enero de 2013 se acordó señalar para deliberación y votación de la presente Sentencia el día 31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 planteado por el Consejo de Gobierno de la Junta de Galicia en relación con el Real Decreto 1046/2003, de 1 de agosto, por el que se regula el subsistema de formación profesional continua. El conflicto se dirige contra la totalidad del Real Decreto 1046/2003, y subsidiariamente contra los artículos 2.2, letras a), b) y c); 8; 9; 10, párrafos 5 y 7; 11; 12.2; 14; 15; 17; 18.1, letras a), f), g), h) e i); 19; 20; 21; 22.4; 23 (salvo el último párrafo de su apartado segundo); disposiciones adicionales primera a quinta; disposición transitoria única y disposición final primera del Real Decreto.</w:t>
      </w:r>
    </w:p>
    <w:p w:rsidR="0026452D" w:rsidRDefault="0026452D" w:rsidP="0026452D">
      <w:pPr>
        <w:pStyle w:val="TextoNormal"/>
      </w:pPr>
    </w:p>
    <w:p w:rsidR="0026452D" w:rsidRDefault="0026452D" w:rsidP="0026452D">
      <w:pPr>
        <w:pStyle w:val="TextoNormal"/>
      </w:pPr>
      <w:r>
        <w:t>El Letrado de la Junta de Galicia considera que la formación continua de los trabajadores ocupados se encuadra en el ámbito laboral, por lo que la regulación efectuada encuentra amparo en lo dispuesto por el art. 149.1.7 CE, debiendo descartarse la aplicación de los títulos competenciales previstos en los apartados 13 y 17 del art. 149.1 CE, que se alegan también como fundamento de la competencia estatal en la disposición final primera del Real Decreto. La impugnación se fundamenta en que la regulación contenida en el Real Decreto excede de las competencias que, en materia de legislación laboral, atribuye al Estado el art. 149.1.7 CE, vulnerando las competencias de ejecución que en dicha materia corresponden a la Comunidad Autónoma de Galicia, en virtud de lo dispuesto en su Estatuto de Autonomía y de conformidad con lo señalado por la jurisprudencia constitucional, en especial en las Sentencias 95/2002, de 25 de abril y 190/2002, de 17 de octubre.</w:t>
      </w:r>
    </w:p>
    <w:p w:rsidR="0026452D" w:rsidRDefault="0026452D" w:rsidP="0026452D">
      <w:pPr>
        <w:pStyle w:val="TextoNormal"/>
      </w:pPr>
    </w:p>
    <w:p w:rsidR="0026452D" w:rsidRDefault="0026452D" w:rsidP="0026452D">
      <w:pPr>
        <w:pStyle w:val="TextoNormal"/>
      </w:pPr>
      <w:r>
        <w:t>El Abogado del Estado sostiene, por el contrario, que la regulación impugnada se encuentra plenamente respaldada por los títulos competenciales del Estado, en especial por lo establecido en el mencionado art. 149.1.7 CE, competencia que le habilita para establecer un régimen jurídico unitario en materia de formación continua de trabajadores ocupados, así como para la adopción del modelo de financiación y organización de la misma que considere más eficaz, por lo que solicita la íntegra desestimación del recurso y la declaración de que la disposición impugnada es ajustada a la Constitución.</w:t>
      </w:r>
    </w:p>
    <w:p w:rsidR="0026452D" w:rsidRDefault="0026452D" w:rsidP="0026452D">
      <w:pPr>
        <w:pStyle w:val="TextoNormal"/>
      </w:pPr>
    </w:p>
    <w:p w:rsidR="0026452D" w:rsidRDefault="0026452D" w:rsidP="0026452D">
      <w:pPr>
        <w:pStyle w:val="TextoNormal"/>
      </w:pPr>
      <w:r w:rsidRPr="0026452D">
        <w:rPr>
          <w:rStyle w:val="NumeroAFNegritaCaracter"/>
        </w:rPr>
        <w:t>2</w:t>
      </w:r>
      <w:r>
        <w:t>. Una vez expuestas sintéticamente las posiciones de las partes que se enfrentan en este proceso, resulta conveniente realizar algunas precisiones de orden procesal, antes de proceder al examen de la cuestión de fondo.</w:t>
      </w:r>
    </w:p>
    <w:p w:rsidR="0026452D" w:rsidRDefault="0026452D" w:rsidP="0026452D">
      <w:pPr>
        <w:pStyle w:val="TextoNormal"/>
      </w:pPr>
    </w:p>
    <w:p w:rsidR="0026452D" w:rsidRDefault="0026452D" w:rsidP="0026452D">
      <w:pPr>
        <w:pStyle w:val="TextoNormal"/>
      </w:pPr>
      <w:r>
        <w:t xml:space="preserve">a) En primer lugar, hemos de analizar el efecto que pueda tener sobre la subsistencia de la controversia, la expresa derogación de la disposición que es objeto del presente conflicto, efectuada por la disposición derogatoria única 2 a) del Real Decreto 395/2007, de 23 de marzo, por el que se regula el subsistema de formación profesional para el empleo. En el presente supuesto y como se recoge en la reciente STC 244/2012, de 18 de diciembre, FJ 2 b), la derogación de la disposición impugnada no ha originado la desaparición del objeto del presente conflicto, dado que el Real Decreto 395/2007 plantea en esencia los mismos problemas competenciales que motivan el conflicto promovido contra el Real Decreto 1046/2003, por lo que la disputa sobre la titularidad competencial sigue viva entre las partes </w:t>
      </w:r>
      <w:r>
        <w:lastRenderedPageBreak/>
        <w:t>y, en consecuencia, persiste el interés en la determinación de la titularidad de la competencia controvertida.</w:t>
      </w:r>
    </w:p>
    <w:p w:rsidR="0026452D" w:rsidRDefault="0026452D" w:rsidP="0026452D">
      <w:pPr>
        <w:pStyle w:val="TextoNormal"/>
      </w:pPr>
    </w:p>
    <w:p w:rsidR="0026452D" w:rsidRDefault="0026452D" w:rsidP="0026452D">
      <w:pPr>
        <w:pStyle w:val="TextoNormal"/>
      </w:pPr>
      <w:r>
        <w:t>b) En segundo lugar ha de tenerse en cuenta que el presente conflicto presenta una fundamental coincidencia con el tramitado bajo el número 7264-2003, que fue formulado por la Generalitat de Cataluña en relación con este mismo real decreto, y que ha dado lugar a la reciente STC 244/2012, de 18 de diciembre, cuya doctrina resulta de directa aplicación a la presente controversia, sin perjuicio del específico examen de aquellos preceptos que no fueron controvertidos ni, en consecuencia, examinados en aquel supuesto.</w:t>
      </w:r>
    </w:p>
    <w:p w:rsidR="0026452D" w:rsidRDefault="0026452D" w:rsidP="0026452D">
      <w:pPr>
        <w:pStyle w:val="TextoNormal"/>
      </w:pPr>
    </w:p>
    <w:p w:rsidR="0026452D" w:rsidRDefault="0026452D" w:rsidP="0026452D">
      <w:pPr>
        <w:pStyle w:val="TextoNormal"/>
      </w:pPr>
      <w:r w:rsidRPr="0026452D">
        <w:rPr>
          <w:rStyle w:val="NumeroAFNegritaCaracter"/>
        </w:rPr>
        <w:t>3</w:t>
      </w:r>
      <w:r>
        <w:t>. En lo que respecta al enjuiciamiento de fondo de la cuestión controvertida, debemos comenzar afirmando que ambas partes coinciden en considerar que la norma se inserta en el ámbito de las competencias exclusivas que, en materia de “legislación laboral”, atribuye al Estado el art. 149.1.7 de la Constitución.</w:t>
      </w:r>
    </w:p>
    <w:p w:rsidR="0026452D" w:rsidRDefault="0026452D" w:rsidP="0026452D">
      <w:pPr>
        <w:pStyle w:val="TextoNormal"/>
      </w:pPr>
    </w:p>
    <w:p w:rsidR="0026452D" w:rsidRDefault="0026452D" w:rsidP="0026452D">
      <w:pPr>
        <w:pStyle w:val="TextoNormal"/>
      </w:pPr>
      <w:r>
        <w:t>Como hemos reiterado en un buen número de Sentencias, y como recordamos en el fundamento jurídico 4 de la STC 95/2002, de 25 de abril, de la que constituye punto de referencia de la presente resolución, las acciones formativas de los trabajadores ocupados y la financiación correspondiente, tienen una incardinación genérica en la materia “legislación laboral”, en la medida en que conciernen a la regulación de un concreto derecho de los trabajadores en el seno de la relación laboral —con claro reflejo en los arts. 4.2 y 23 del texto refundido de la Ley del estatuto de los trabajadores—, con la consiguiente atribución de correlativos deberes al empresario. Y ya señalamos en la STC 95/2002, FJ 4, con cita de la STC 35/1982, de 14 de junio, que en la referencia a “legislación laboral”, al adjetivo laboral se le asigna “un sentido concreto y restringido, coincidente por lo demás con el uso habitual, como referido solo al trabajo por cuenta ajena, entendiendo por consiguiente como legislación laboral aquella que regula directamente la relación laboral, es decir….la relación que media entre los trabajadores que presten servicios retribuidos por cuenta ajena y los empresarios”.</w:t>
      </w:r>
    </w:p>
    <w:p w:rsidR="0026452D" w:rsidRDefault="0026452D" w:rsidP="0026452D">
      <w:pPr>
        <w:pStyle w:val="TextoNormal"/>
      </w:pPr>
    </w:p>
    <w:p w:rsidR="0026452D" w:rsidRDefault="0026452D" w:rsidP="0026452D">
      <w:pPr>
        <w:pStyle w:val="TextoNormal"/>
      </w:pPr>
      <w:r>
        <w:t>Precisamente por esta estricta delimitación del ámbito atraído a la materia “legislación laboral”, si bien se puede afirmar que la formación continua de trabajadores ocupados tiene una incardinación “genérica” en la materia “legislación laboral” del art. 149.1.7 CE, es igualmente cierto que puede haber supuestos en los que, atendido el tipo de actividad al que se orienta la acción formativa, quede vinculada a otro título competencial, con las consiguientes consecuencias para la delimitación del alcance de la competencia del Estado. En el supuesto que nos ocupa, el Real Decreto 1046/2003 establece en su art. 3 que los beneficiarios de la formación continua no son exclusivamente trabajadores asalariados que prestan sus servicios en empresas privadas o entidades públicas empresariales y cotizan a la Seguridad Social en concepto de formación profesional, sino también otros (trabajadores incluidos en la regímenes especial agrario, de autónomos, del mar y otros de la Seguridad Social “que no coticen por la contingencia de formación profesional”) a través de los contratos programa que la propia norma regula. Prevé asimismo, dependiendo de los planes específicos que se promuevan con las Administraciones, la eventual participación en las acciones formativas del personal al servicio de las Administraciones públicas. Las acciones formativas que pueden desarrollarse al amparo de esta norma, por tanto, cualificadas como formación profesional continua, no se proyectan exclusivamente sobre el marco de la relación laboral sujeta a la legislación laboral en los términos del art. 149.1.7 CE.</w:t>
      </w:r>
    </w:p>
    <w:p w:rsidR="0026452D" w:rsidRDefault="0026452D" w:rsidP="0026452D">
      <w:pPr>
        <w:pStyle w:val="TextoNormal"/>
      </w:pPr>
    </w:p>
    <w:p w:rsidR="0026452D" w:rsidRDefault="0026452D" w:rsidP="0026452D">
      <w:pPr>
        <w:pStyle w:val="TextoNormal"/>
      </w:pPr>
      <w:r>
        <w:t>La disposición final primera del Real Decreto 1046/2003 establece que el mismo se dicta al amparo de lo previsto en el art. 149.1.7, 13 y 17 de la Constitución. Si bien la incardinación de esta regulación en la materia legislación laboral no plantea problemas, otra cosa sucede con la invocación de los títulos competenciales asociados al art. 149.1.13 y 17.</w:t>
      </w:r>
    </w:p>
    <w:p w:rsidR="0026452D" w:rsidRDefault="0026452D" w:rsidP="0026452D">
      <w:pPr>
        <w:pStyle w:val="TextoNormal"/>
      </w:pPr>
    </w:p>
    <w:p w:rsidR="0026452D" w:rsidRDefault="0026452D" w:rsidP="0026452D">
      <w:pPr>
        <w:pStyle w:val="TextoNormal"/>
      </w:pPr>
      <w:r>
        <w:t>Como venimos reiterando en anteriores sentencias “sin perjuicio de que haya aspectos de la formación profesional vinculados al fomento del empleo, que podrían encontrar cobertura en el art. 149.1.13 CE (STC 95/2002, FJ 11), hemos descartado, en términos generales, la inclusión de esta materia en el citado título estatal, pues sólo tangencialmente puede verificarse su repercusión económica” (SSTC 111/2012, de 24 de mayo, FJ 7; y 244/2012, de 18 de diciembre, FJ 4). Y por ello, hemos insistido asimismo que no procede entender la formación profesional continua como “un aspecto de la política de empleo orientada a incidir en el mercado de trabajo desde criterios de política económica incentivadores del acceso al empleo, en los términos del art. 40.1 de la Constitución” (STC 244/2012, FJ 4). Atendiendo a quienes son los beneficiarios de las acciones formativas contempladas en el Real Decreto 1046/2003, la finalidad de la norma, es proporcionar a algunos colectivos de trabajadores una formación que facilite su mejor capacitación profesional para la permanencia en el empleo o la mejor inserción en el mercado de trabajo. El núcleo de la regulación, conforme a la finalidad declarada por la norma, se proyecta sobre la formación profesional continua de los trabajadores ocupados y asalariados, materia propia de la “legislación laboral” al amparo del art. 149.1.7 CE, cuya ejecución corresponde a las Comunidades Autónomas.</w:t>
      </w:r>
    </w:p>
    <w:p w:rsidR="0026452D" w:rsidRDefault="0026452D" w:rsidP="0026452D">
      <w:pPr>
        <w:pStyle w:val="TextoNormal"/>
      </w:pPr>
    </w:p>
    <w:p w:rsidR="0026452D" w:rsidRDefault="0026452D" w:rsidP="0026452D">
      <w:pPr>
        <w:pStyle w:val="TextoNormal"/>
      </w:pPr>
      <w:r>
        <w:t>Si bien, como hemos recordado, en alguna ocasión no puede excluirse que “el Estado pueda apelar al título del art. 149.1.13 para la decisión de expandir el círculo de los beneficiarios de la actividad prevista como formación continua, hasta alcanzar a colectivos de trabajadores que no son propiamente trabajadores ocupados ni asalariados” (STC 244/2012, FJ 4).</w:t>
      </w:r>
    </w:p>
    <w:p w:rsidR="0026452D" w:rsidRDefault="0026452D" w:rsidP="0026452D">
      <w:pPr>
        <w:pStyle w:val="TextoNormal"/>
      </w:pPr>
    </w:p>
    <w:p w:rsidR="0026452D" w:rsidRDefault="0026452D" w:rsidP="0026452D">
      <w:pPr>
        <w:pStyle w:val="TextoNormal"/>
      </w:pPr>
      <w:r>
        <w:t>Hemos rechazado, por el contrario, la inserción de la materia regulada en el ámbito del art. 149.1.17 CE, pues la formación profesional no forma parte del sistema de Seguridad Social, ni las cuotas abonadas en tal concepto son recursos de la Seguridad Social integrados en su caja única, tal como se señaló en la STC 124/1989, de 7 de julio, FJ 8. En el supuesto que se examina, el hecho de que los créditos destinados a formación tengan su origen en cotizaciones que se recaudan por la Tesorería General de la Seguridad Social no implica necesariamente que formen parte de la caja única de la Seguridad Social, ni, en consecuencia, que resulte de aplicación al presente supuesto la competencia prevista en el art. 149.1.17 CE.</w:t>
      </w:r>
    </w:p>
    <w:p w:rsidR="0026452D" w:rsidRDefault="0026452D" w:rsidP="0026452D">
      <w:pPr>
        <w:pStyle w:val="TextoNormal"/>
      </w:pPr>
    </w:p>
    <w:p w:rsidR="0026452D" w:rsidRDefault="0026452D" w:rsidP="0026452D">
      <w:pPr>
        <w:pStyle w:val="TextoNormal"/>
      </w:pPr>
      <w:r>
        <w:t xml:space="preserve">Determinada pues la inclusión del Real Decreto en el ámbito competencial relativo a la “legislación laboral”, el reparto competencial en esta materia, viene dado por lo dispuesto en el ya citado art. 149.1.7 CE y por el art. 29.1 del Estatuto de Autonomía de Galicia. El primero de estos preceptos atribuye al Estado competencia exclusiva sobre legislación laboral “sin perjuicio de su ejecución por los órganos de las Comunidades Autónomas” y el segundo dispone que corresponde a la Comunidad Autónoma gallega la ejecución de la </w:t>
      </w:r>
      <w:r>
        <w:lastRenderedPageBreak/>
        <w:t>legislación del Estado en materia “laboral, asumiendo las facultades, competencias y servicios que en este ámbito y a nivel de ejecución, ostenta actualmente el Estado respecto a las relaciones laborales, sin perjuicio de la alta inspección de éste”.</w:t>
      </w:r>
    </w:p>
    <w:p w:rsidR="0026452D" w:rsidRDefault="0026452D" w:rsidP="0026452D">
      <w:pPr>
        <w:pStyle w:val="TextoNormal"/>
      </w:pPr>
    </w:p>
    <w:p w:rsidR="0026452D" w:rsidRDefault="0026452D" w:rsidP="0026452D">
      <w:pPr>
        <w:pStyle w:val="TextoNormal"/>
      </w:pPr>
      <w:r>
        <w:t>El deslinde competencial en esta materia ha sido precisado por este Tribunal desde la STC 33/1981, de 5 de noviembre, FJ 2, señalando que “la Constitución Española atribuye al Estado la ordenación general de la materia laboral”, sin que ningún espacio de regulación externa les quede a las Comunidades Autónomas, las cuales únicamente pueden disponer de una competencia de mera ejecución de la normación estatal (SSTC 195/1996, de 28 de noviembre, FJ 11; 51/ 2006, de 16 de febrero, FJ 4, y 111/2012, de 24 de mayo, FJ 7), que incluye la emanación de reglamentos internos de organización de los servicios necesarios (SSTC 249/1988, de 20 de diciembre, FJ 2, y 158/2004, de 21 de septiembre, FJ 5) y de regulación de la propia competencia funcional de ejecución (STC 51/2006, de 16 de febrero, FJ 4) y, en general, “el desarrollo del conjunto de actuaciones preciso para la puesta en práctica de la normativa reguladora del conjunto del sistema de relaciones laborales” (STC 194/1994, de 23 de junio, FJ 3), así como la potestad sancionadora en la materia (SSTC 87/1985, de 16 de julio, FFJJ 1 y 2; 195/1996, de 28 de noviembre, FFJJ 8 y 9; y 81/2005, de 6 de abril, FJ 11).</w:t>
      </w:r>
    </w:p>
    <w:p w:rsidR="0026452D" w:rsidRDefault="0026452D" w:rsidP="0026452D">
      <w:pPr>
        <w:pStyle w:val="TextoNormal"/>
      </w:pPr>
    </w:p>
    <w:p w:rsidR="0026452D" w:rsidRDefault="0026452D" w:rsidP="0026452D">
      <w:pPr>
        <w:pStyle w:val="TextoNormal"/>
      </w:pPr>
      <w:r>
        <w:t xml:space="preserve">De acuerdo con ello, cabe afirmar que el Estado, desde sus competencias en materia de legislación laboral, </w:t>
      </w:r>
      <w:r w:rsidRPr="0026452D">
        <w:rPr>
          <w:i/>
        </w:rPr>
        <w:t>ex</w:t>
      </w:r>
      <w:r>
        <w:t xml:space="preserve"> art. 149.1.7 CE, está facultado para abordar la regulación que aquí se impugna, aunque sin ignorar que la competencia para su ejecución corresponde a las Comunidades Autónomas, siendo ésta la perspectiva desde la que debe procederse al examen de la presente impugnación, siguiendo las premisas establecidas en las mencionada STC 244/2012.</w:t>
      </w:r>
    </w:p>
    <w:p w:rsidR="0026452D" w:rsidRDefault="0026452D" w:rsidP="0026452D">
      <w:pPr>
        <w:pStyle w:val="TextoNormal"/>
      </w:pPr>
    </w:p>
    <w:p w:rsidR="0026452D" w:rsidRDefault="0026452D" w:rsidP="0026452D">
      <w:pPr>
        <w:pStyle w:val="TextoNormal"/>
      </w:pPr>
      <w:r w:rsidRPr="0026452D">
        <w:rPr>
          <w:rStyle w:val="NumeroAFNegritaCaracter"/>
        </w:rPr>
        <w:t>4</w:t>
      </w:r>
      <w:r>
        <w:t>. La impugnación dirigida contra la totalidad del Real Decreto se sustenta por la Comunidad Autónoma de Galicia en el argumento de que el mismo viene a estructurar un sistema de formación continua en el que todo el protagonismo en orden a la gestión, control y seguimiento de las acciones formativas se atribuye a las empresas, a los agentes sociales y a ciertas comisiones y entidades que operan en el ámbito supraautonómico, ocupando las Comunidades Autónomas una posición residual, que no resulta acorde con las competencias de ejecución que tienen estatutariamente atribuidas en materia laboral, por lo que considera que la norma adolece de los mismos vicios de inconstitucionalidad que determinaron los pronunciamientos contenidos en las SSTC 95/2002 y 190/2002.</w:t>
      </w:r>
    </w:p>
    <w:p w:rsidR="0026452D" w:rsidRDefault="0026452D" w:rsidP="0026452D">
      <w:pPr>
        <w:pStyle w:val="TextoNormal"/>
      </w:pPr>
    </w:p>
    <w:p w:rsidR="0026452D" w:rsidRDefault="0026452D" w:rsidP="0026452D">
      <w:pPr>
        <w:pStyle w:val="TextoNormal"/>
      </w:pPr>
      <w:r>
        <w:t>En el modelo previo a la aprobación del presente real decreto, el subsistema de formación profesional continua se venía rigiendo por los acuerdos de formación continua, suscritos entre las organizaciones empresariales y sindicales más representativas y entre éstas y el Gobierno, cuya principal característica era precisamente la cesión a las organizaciones sociales, tanto de la gestión de las medidas de formación como de los recursos necesarios para ello, reservándose el Estado la tutela y control de los mismos, y organizándose a través de un ente paritario estatal; y las Sentencias 95/2002 y 190/2002 fundamentaron la declaración de vulneración de las competencias autonómicas “sobre la ejecución de la legislación laboral, en la medida en que se atribuyen a las organizaciones sociales firmantes ‘todos los aspectos’¨ de organización y gestión de las medidas de formación continua, con exclusión de las ya transferidas que corresponden a la Comunidad Autónoma promovente del conflicto” (STC 95/2002, FJ 16).</w:t>
      </w:r>
    </w:p>
    <w:p w:rsidR="0026452D" w:rsidRDefault="0026452D" w:rsidP="0026452D">
      <w:pPr>
        <w:pStyle w:val="TextoNormal"/>
      </w:pPr>
    </w:p>
    <w:p w:rsidR="0026452D" w:rsidRDefault="0026452D" w:rsidP="0026452D">
      <w:pPr>
        <w:pStyle w:val="TextoNormal"/>
      </w:pPr>
      <w:r>
        <w:t>El real decreto que ahora se examina tiene entre sus objetivos, según se señala expresamente en su Preámbulo, la revisión de ese modelo de formación continua, con el fin de ajustarlo al marco constitucional señalado en las mencionadas Sentencias 95/2002 y 190/2002, y lo hace a través de una norma en la que se plasma la competencia reguladora exclusiva que al Estado corresponde, mediante el establecimiento de un régimen unitario en materia de formación continua, que se asienta sobre un nuevo substrato, en el cual la gestión de dicha formación no pivota sobre los poderes públicos o los interlocutores sociales, sino sobre las propias empresas, que son las que elaboran y ponen en práctica las acciones formativas, y las que gestionan su financiación a través de las bonificaciones en sus cotizaciones a la Seguridad Social, y en el que la intervención pública de naturaleza ejecutiva se atribuye a la “Administración competente”, por lo que se parte de un reconocimiento expreso de las competencias ejecutivas que a las Comunidades Autónomas corresponden en materia de legislación laboral.</w:t>
      </w:r>
    </w:p>
    <w:p w:rsidR="0026452D" w:rsidRDefault="0026452D" w:rsidP="0026452D">
      <w:pPr>
        <w:pStyle w:val="TextoNormal"/>
      </w:pPr>
    </w:p>
    <w:p w:rsidR="0026452D" w:rsidRDefault="0026452D" w:rsidP="0026452D">
      <w:pPr>
        <w:pStyle w:val="TextoNormal"/>
      </w:pPr>
      <w:r>
        <w:t xml:space="preserve">En base a lo expuesto, debe rechazarse la impugnación dirigida contra la totalidad del Real Decreto 1046/2003, pues es al Estado, en virtud de sus competencias en materia de legislación laboral, </w:t>
      </w:r>
      <w:r w:rsidRPr="0026452D">
        <w:rPr>
          <w:i/>
        </w:rPr>
        <w:t>ex</w:t>
      </w:r>
      <w:r>
        <w:t xml:space="preserve"> art. 149.1.7 CE, a quien corresponde en exclusiva la regulación completa del subsistema de formación profesional continua y el establecimiento de un régimen jurídico unitario y, en consecuencia, quien ostenta con carácter excluyente la competencia para abordar la presente regulación, siendo así que la propia Junta de Galicia no reivindica para sí el ejercicio de la competencia normativa plasmada en la presente norma reglamentaria, sino únicamente discute aquellos aspectos concretos de la regulación efectuada que, a su juicio, pertenecen al ámbito propio de la ejecución o aplicación de la norma. La competencia ejercida es pues la de “legislación” que corresponde al Estado en su totalidad, si bien no puede ignorar que la competencia para su ejecución corresponde a la Comunidad Autónoma y, desde esta perspectiva, procede rechazar la impugnación global que se formula, debiendo procederse al examen de los distintos preceptos que son objeto de la presente impugnación, con el fin de comprobar el adecuado respeto a las mencionadas competencias ejecutivas.</w:t>
      </w:r>
    </w:p>
    <w:p w:rsidR="0026452D" w:rsidRDefault="0026452D" w:rsidP="0026452D">
      <w:pPr>
        <w:pStyle w:val="TextoNormal"/>
      </w:pPr>
    </w:p>
    <w:p w:rsidR="0026452D" w:rsidRDefault="0026452D" w:rsidP="0026452D">
      <w:pPr>
        <w:pStyle w:val="TextoNormal"/>
      </w:pPr>
      <w:r w:rsidRPr="0026452D">
        <w:rPr>
          <w:rStyle w:val="NumeroAFNegritaCaracter"/>
        </w:rPr>
        <w:t>5</w:t>
      </w:r>
      <w:r>
        <w:t>. En el art. 2.2 del Real Decreto se enuncian los principios generales del subsistema de formación profesional continua, entre los cuales se incluyen: la unidad de caja de la cuota de formación profesional, sin perjuicio de que puedan existir otras fuentes de financiación de la formación profesional de los trabajadores ocupados [apartado a)]; el protagonismo de los agentes sociales en el desarrollo del subsistema de formación continua [apartado b)], y la importancia de los acuerdos que se alcancen en la negociación colectiva para el desarrollo de la iniciativas de formación continua [apartado c)].</w:t>
      </w:r>
    </w:p>
    <w:p w:rsidR="0026452D" w:rsidRDefault="0026452D" w:rsidP="0026452D">
      <w:pPr>
        <w:pStyle w:val="TextoNormal"/>
      </w:pPr>
    </w:p>
    <w:p w:rsidR="0026452D" w:rsidRDefault="0026452D" w:rsidP="0026452D">
      <w:pPr>
        <w:pStyle w:val="TextoNormal"/>
      </w:pPr>
      <w:r>
        <w:t xml:space="preserve">La Comunidad Autónoma considera que debe excluirse la mención al principio de unidad de caja, pues al no tener las cuotas relativas a la formación profesional la consideración de recursos de la Seguridad Social, no deben vincularse o estar afectadas por el mencionado principio de caja única. Como ya hemos señalado, el principio recogido en el art. 2.2 a) del Real Decreto es un principio general de naturaleza contable que, como es evidente, no resulta de aplicación exclusiva al régimen económico de la Seguridad Social. En el contexto en el que ahora se suscita, el precepto no tiene otro objeto que el de garantizar la unidad financiera del subsistema de formación continua y de su régimen económico, mediante la vinculación de sus fondos al cumplimiento de los objetivos que presiden su funcionamiento, </w:t>
      </w:r>
      <w:r>
        <w:lastRenderedPageBreak/>
        <w:t>sin que ello se oponga a la existencia de mecanismos descentralizados de gestión, por lo que la impugnación debe ser rechazada (STC 244/2012, FJ 5).</w:t>
      </w:r>
    </w:p>
    <w:p w:rsidR="0026452D" w:rsidRDefault="0026452D" w:rsidP="0026452D">
      <w:pPr>
        <w:pStyle w:val="TextoNormal"/>
      </w:pPr>
    </w:p>
    <w:p w:rsidR="0026452D" w:rsidRDefault="0026452D" w:rsidP="0026452D">
      <w:pPr>
        <w:pStyle w:val="TextoNormal"/>
      </w:pPr>
      <w:r>
        <w:t>La impugnación dirigida a los apartados b) y c) del precepto carece de una argumentación sustantiva en el texto de la demanda, pues, tras afirmar que en los mismos se incluye una “opción legislativa admisible”, se vincula su rechazo al desarrollo que de tales principios se efectúa en el texto de la disposición, lo cual hace innecesario un pronunciamiento específico sobre los mismos, habiendo de remitirnos al que se efectúa seguidamente sobre el citado desarrollo.</w:t>
      </w:r>
    </w:p>
    <w:p w:rsidR="0026452D" w:rsidRDefault="0026452D" w:rsidP="0026452D">
      <w:pPr>
        <w:pStyle w:val="TextoNormal"/>
      </w:pPr>
    </w:p>
    <w:p w:rsidR="0026452D" w:rsidRDefault="0026452D" w:rsidP="0026452D">
      <w:pPr>
        <w:pStyle w:val="TextoNormal"/>
      </w:pPr>
      <w:r w:rsidRPr="0026452D">
        <w:rPr>
          <w:rStyle w:val="NumeroAFNegritaCaracter"/>
        </w:rPr>
        <w:t>6</w:t>
      </w:r>
      <w:r>
        <w:t>. En los artículos 8 y 9 del Real Decreto se articula un nuevo sistema de financiación de las acciones de fomento de la formación continua en empresas, incluidos los permisos individuales de formación, en el que se sustituyen las subvenciones públicas o ayudas directas, por un modelo de bonificaciones en la cuota de formación profesional, en virtud del cual, las empresas disponen de un crédito anual para formación continua, que resulta de aplicar a la cuantía ingresada por la empresa en concepto de cuota de formación profesional durante el año anterior, el porcentaje de bonificación que se establezca anualmente en la ley de presupuestos generales del Estado, en función del tamaño de la empresa, con el deber de cofinanciar las acciones de formación con sus propios recursos, en los términos contemplados. Considera la Comunidad Autónoma que lo que vienen a establecer estos preceptos es un “crédito para formación continua”, que se determina exclusivamente por la Administración estatal, sin ninguna intervención de las Comunidades Autónomas, eludiéndose así las competencias ejecutivas que a éstas corresponden.</w:t>
      </w:r>
    </w:p>
    <w:p w:rsidR="0026452D" w:rsidRDefault="0026452D" w:rsidP="0026452D">
      <w:pPr>
        <w:pStyle w:val="TextoNormal"/>
      </w:pPr>
    </w:p>
    <w:p w:rsidR="0026452D" w:rsidRDefault="0026452D" w:rsidP="0026452D">
      <w:pPr>
        <w:pStyle w:val="TextoNormal"/>
      </w:pPr>
      <w:r>
        <w:t>La competencia del Estado para la regulación de este nuevo modelo fue examinada en la STC 244/2012, FJ 6, siendo las consideraciones allí recogidas trasladables al presente supuesto, en el sentido de que el establecimiento de un determinado modelo de financiación de las acciones de formación continua en las empresas, es una facultad que se inscribe en el ámbito propio de la normación en materia laboral. Ello implica que es el Estado quien asume toda la regulación concerniente al régimen jurídico de la formación continua, lo que incluye la determinación normativa del modelo de acción formativa aplicable a las empresas y, consecuentemente, del procedimiento para su financiación; y la competencia autonómica se circunscribe a los exclusivos aspectos de ejecución o gestión del sistema arbitrado para regular esa formación continua, quedando fuera toda pretensión relativa a la ordenación o regulación del sistema, es decir, a la fijación de los criterios sustantivos bajo los cuales haya de articularse. Los arts. 8 y 9, en cuanto establecen los principios y criterios sobre los que se articula ese nuevo modelo, se insertan pues en el ámbito de las competencias estatales en materia de legislación laboral, en los términos que acaban de describirse.</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Son asimismo objeto de impugnación los apartados 5 y 7 del art. 10 del Real Decreto, afirmando la Comunidad Autónoma que sus previsiones no suscitan reparos siempre que se interprete que la “Administración competente” a la que los mismos se refieren, es la Administración autonómica. A este respecto, procede de nuevo traer a colación lo afirmado en la STC 244/2012, FJ 6, pudiendo hacerse extensivo lo que en la misma se señala en relación con el art. 10.7, en el sentido de que la mera remisión a la “Administración competente”, como ya tuvimos ocasión de señalar en la STC 61/1997, de 20 de marzo, FJ 14, es una referencia genérica que “entraña un reenvío a los respectivos criterios competenciales, y, en tal sentido, no es susceptible de incidir sobre el orden constitucional de competencias”, por </w:t>
      </w:r>
      <w:r>
        <w:lastRenderedPageBreak/>
        <w:t>lo que la ausencia de una vulneración inmediata y real de las competencias autonómicas determina la desestimación del conflicto en este punto.</w:t>
      </w:r>
    </w:p>
    <w:p w:rsidR="0026452D" w:rsidRDefault="0026452D" w:rsidP="0026452D">
      <w:pPr>
        <w:pStyle w:val="TextoNormal"/>
      </w:pPr>
    </w:p>
    <w:p w:rsidR="0026452D" w:rsidRDefault="0026452D" w:rsidP="0026452D">
      <w:pPr>
        <w:pStyle w:val="TextoNormal"/>
      </w:pPr>
      <w:r w:rsidRPr="0026452D">
        <w:rPr>
          <w:rStyle w:val="NumeroAFNegritaCaracter"/>
        </w:rPr>
        <w:t>8</w:t>
      </w:r>
      <w:r>
        <w:t>. El Real Decreto mantiene el sistema de financiación a través de subvenciones o ayudas públicas, en el caso de los contratos programas para la formación de trabajadores (art. 14) y de las acciones complementarias y de acompañamiento a la formación (arts. 16 y 17). A juicio de la Junta de Galicia los mecanismos de financiación previstos en los arts. 14, 16 y 17, están articulados en un ámbito supraautonómico, lo que determina que gran parte de los fondos presupuestarios previstos para estas finalidades se gestionen por el Estado, eludiéndose las competencias ejecutivas de las Comunidades Autónomas (se omite en el texto de la demanda toda referencia a la impugnación dirigida contra el art. 15, incluyéndose sin embargo la mención al art. 16, por lo que parece que la posterior inclusión del art. 15 entre los preceptos finalmente impugnados es fruto de un error material, debiendo entenderse sustituido por el art. 16).</w:t>
      </w:r>
    </w:p>
    <w:p w:rsidR="0026452D" w:rsidRDefault="0026452D" w:rsidP="0026452D">
      <w:pPr>
        <w:pStyle w:val="TextoNormal"/>
      </w:pPr>
    </w:p>
    <w:p w:rsidR="0026452D" w:rsidRDefault="0026452D" w:rsidP="0026452D">
      <w:pPr>
        <w:pStyle w:val="TextoNormal"/>
      </w:pPr>
      <w:r>
        <w:t>El régimen de las ayudas contempladas en estos preceptos fue objeto de un pormenorizado examen en el fundamento jurídico 7 de la STC 244/2012. En primer término y en relación con las ayudas contempladas en el art.14, se vino a afirmar la concurrencia del supuesto excepcional previsto en el FJ 8 d) de la STC 13/1992, de 6 de febrero para excluir la posibilidad de una gestión descentralizada de las mismas. Se señala, en concreto, que la existencia de un título competencial estatal de carácter específico, el ámbito estatal de los destinatarios de las ayudas, y, muy especialmente, el contenido y la naturaleza de las acciones formativas financiadas (formación de carácter intersectorial; atención a necesidades formativas en aspectos transversales u horizontales en varios sectores de actividad económica; formación a empresas de diferentes sectores productivos y situadas en diferentes Comunidades Autónomas, etc.) son todas ellas circunstancias que ponen de relieve el ámbito supraterritorial de desenvolvimiento de las acciones formativas y, con ello, la exigencia ineludible de una coordinación homogénea, desarrollada por un único titular, como único medio para integrar los diversos componentes multisectoriales e interterritoriales implicados en la gestión y tramitación de estas ayudas, que hacen imposible su fraccionamiento y determinan que haya de ser el Estado, a través del Instituto Nacional de Empleo (INEM) el que asuma las funciones de gestión y tramitación, en los términos contemplados en el precepto que se analiza.</w:t>
      </w:r>
    </w:p>
    <w:p w:rsidR="0026452D" w:rsidRDefault="0026452D" w:rsidP="0026452D">
      <w:pPr>
        <w:pStyle w:val="TextoNormal"/>
      </w:pPr>
    </w:p>
    <w:p w:rsidR="0026452D" w:rsidRDefault="0026452D" w:rsidP="0026452D">
      <w:pPr>
        <w:pStyle w:val="TextoNormal"/>
      </w:pPr>
      <w:r>
        <w:t>Por el contrario, y en lo que respecta a las subvenciones contempladas en los arts. 16 y 17, hay que señalar que respecto al art. 16 no se vulneran competencias autonómicas, dado que solo incluye una definición de lo que son acciones complementarias y de acompañamiento a la formación, sin atribución de competencias específicas a ninguna administración. En relación al art. 17 ya se vino a estimar que la atribución expresa a un órgano estatal, el INEM, del ejercicio de funciones de naturaleza ejecutiva, consistentes en la concesión y pago de las ayudas, determina, en este supuesto, la vulneración de las competencias autonómicas de ejecución, pues no concurren las circunstancias excepcionales que acaban de contemplarse y, en consecuencia, el régimen de las ayudas no puede suponer un vaciamiento de la competencia de las Comunidades Autónomas, por lo que las previsiones contempladas en el art. 17.1 vulneran las competencias de ejecución que corresponden a las comunidades Autónomas.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9</w:t>
      </w:r>
      <w:r>
        <w:t>. La impugnación formulada por la Comunidad Autónoma de Galicia se dirige asimismo contra la estructura organizativa y de participación en materia de formación continua, integrada por la Comisión Estatal de Formación Continua (art. 18); las comisiones paritarias sectoriales (art. 19), las comisiones paritarias territoriales (art. 20) y la Fundación Estatal para la Formación en el Empleo (art. 21). La representación autonómica no discute la existencia de los citados organismos, limitando su impugnación al hecho de que atribuyan a los mismos funciones ejecutivas que corresponden a las Comunidades Autónomas, mencionándose en concreto las contempladas en los arts. 11; 12.2; 18.1, apartados a), f), g), h) e i); 19; 20; 21; 22.4 y 23, salvo el último párrafo del número 2.</w:t>
      </w:r>
    </w:p>
    <w:p w:rsidR="0026452D" w:rsidRDefault="0026452D" w:rsidP="0026452D">
      <w:pPr>
        <w:pStyle w:val="TextoNormal"/>
      </w:pPr>
    </w:p>
    <w:p w:rsidR="0026452D" w:rsidRDefault="0026452D" w:rsidP="0026452D">
      <w:pPr>
        <w:pStyle w:val="TextoNormal"/>
      </w:pPr>
      <w:r>
        <w:t>Las funciones atribuidas en el art. 11 a la Fundación Estatal para la Formación en el Empleo, en cuanto son funciones de mero asesoramiento y apoyo a las empresas, carecen de virtualidad para interferir o menoscabar el ejercicio de las competencias de ejecución que corresponden a las Comunidades Autónomas, y no tienen un carácter excluyente de las competencias de análoga naturaleza y alcance que puedan ostentar las Comunidades Autónomas en esta materia, por lo que no vulneran las competencias autonómicas. Y en lo que respecta a las funciones de “seguimiento y control de las acciones formativas”, que se contemplan en el art. 12.2, resultan trasladables los argumentos recogidos en nuestra anterior doctrina, en relación con lo dispuesto en los apartados f) y g) del art. 21.1, en el sentido de que las funciones de naturaleza ejecutiva a las que se hace referencia en estos apartados, han de ponerse necesariamente en conexión con las ya previstas en el mencionado art. 14, en orden a la tramitación, gestión y coordinación de las acciones formativas de ámbito supraautonómico. Circunscritas en los términos señalados, y habida cuenta de la expresa salvaguarda que se efectúa en cuanto a la preservación de las funciones que corresponden a las Comunidades Autónomas, estos apartados no vulneran las competencias autonómicas de ejecución (STC 244/2012, FJ 8).</w:t>
      </w:r>
    </w:p>
    <w:p w:rsidR="0026452D" w:rsidRDefault="0026452D" w:rsidP="0026452D">
      <w:pPr>
        <w:pStyle w:val="TextoNormal"/>
      </w:pPr>
    </w:p>
    <w:p w:rsidR="0026452D" w:rsidRDefault="0026452D" w:rsidP="0026452D">
      <w:pPr>
        <w:pStyle w:val="TextoNormal"/>
      </w:pPr>
      <w:r>
        <w:t>Los arts. 18, 19, 20 y 21 son objeto de pronunciamiento expreso en la STC 244/2012, FJ 8, por lo que resulta pertinente la remisión a los argumentos sustantivos allí expuestos con detalle y que permitieron excluir la vulneración por los mismos de las competencias autonómicas.</w:t>
      </w:r>
    </w:p>
    <w:p w:rsidR="0026452D" w:rsidRDefault="0026452D" w:rsidP="0026452D">
      <w:pPr>
        <w:pStyle w:val="TextoNormal"/>
      </w:pPr>
    </w:p>
    <w:p w:rsidR="0026452D" w:rsidRDefault="0026452D" w:rsidP="0026452D">
      <w:pPr>
        <w:pStyle w:val="TextoNormal"/>
      </w:pPr>
      <w:r>
        <w:t>El apartado 4 del art. 22 contempla que “sin perjuicio de las evaluaciones que puedan hacer las Administraciones competentes”, la fundación estatal realizará un estudio de evaluación sobre el alcance de la formación continua en relación con la población activa, adecuación de las acciones a las necesidades del mercado, incidencia de la formación realizada en el mantenimiento del empleo y en la mejora de la competitividad de las empresas, así como sobre la eficacia y eficiencia de los recursos económicos y medios empleados. La constitucionalidad de la función de evaluación que se atribuye a la fundación que ha sido declarada al examinar el art. 21.1 b). Como ha sido reiteradamente señalado por este Tribunal (SSTC 40/1998, de 18 de febrero; y 204/2002, de 31 de octubre,) la función de emisión de informes en materias de competencia estatal carece de virtualidad para vulnerar las competencias que corresponden a las Comunidades Autónomas, más aún cuando, como en el caso que nos ocupa, tales informes tienen una dimensión supraterritorial, y permiten el conocimiento de los datos globales de funcionamiento del conjunto del subsistema, con el objetivo único de coadyuvar a la mejora del sistema en su conjunto, y se realizan por un órgano técnico en el que se integran las Administraciones competentes (estatal y autonómicas).</w:t>
      </w:r>
    </w:p>
    <w:p w:rsidR="0026452D" w:rsidRDefault="0026452D" w:rsidP="0026452D">
      <w:pPr>
        <w:pStyle w:val="TextoNormal"/>
      </w:pPr>
    </w:p>
    <w:p w:rsidR="0026452D" w:rsidRDefault="0026452D" w:rsidP="0026452D">
      <w:pPr>
        <w:pStyle w:val="TextoNormal"/>
      </w:pPr>
      <w:r>
        <w:t>A idénticas consideraciones obedecen las previsiones contenidas en el art. 23, en el que, tras señalar que el control y seguimiento de la formación se realizará por el INEM y las Comunidades Autónomas “según sus respectivas competencias”, se prevé el desarrollo de un plan anual de seguimiento y control de la formación continua, y se dispone que la Comisión Estatal de Formación Continua examinará el informe anual de las actuaciones y los resultados del control y seguimiento. Los argumentos antes expuestos son aplicables en sus mismos términos al presente supuesto y determinan que proceda rechazar la impugnación formulada en relación con este precepto, ya que la constitucionalidad de la función asignada a la Comisión estatal para examinar el informe anual ya fue declarada al examinar el art. 18.</w:t>
      </w:r>
    </w:p>
    <w:p w:rsidR="0026452D" w:rsidRDefault="0026452D" w:rsidP="0026452D">
      <w:pPr>
        <w:pStyle w:val="TextoNormal"/>
      </w:pPr>
    </w:p>
    <w:p w:rsidR="0026452D" w:rsidRDefault="0026452D" w:rsidP="0026452D">
      <w:pPr>
        <w:pStyle w:val="TextoNormal"/>
      </w:pPr>
      <w:r w:rsidRPr="0026452D">
        <w:rPr>
          <w:rStyle w:val="NumeroAFNegritaCaracter"/>
        </w:rPr>
        <w:t>10</w:t>
      </w:r>
      <w:r>
        <w:t>. Respecto de la impugnación dirigida contra las disposiciones adicionales primera a quinta y contra la disposición transitoria única del Real Decreto 1046/2003, la demanda se limita a afirmar la extensión a las mismas de las consideraciones formuladas respecto al articulado del Real Decreto, sin que se aporten otro tipo de argumentos específicos. La ausencia de una argumentación individualizada que concrete los motivos que determinan esta impugnación, salvo por conexión y como consecuencia de la referida al conjunto de la norma, hace innecesario un pronunciamiento diferenciado, por lo que también procede dar por reproducidas las consideraciones expuestas en los anteriores fundamentos respecto al articulado de la disposición recurrida.</w:t>
      </w:r>
    </w:p>
    <w:p w:rsidR="0026452D" w:rsidRDefault="0026452D" w:rsidP="0026452D">
      <w:pPr>
        <w:pStyle w:val="TextoNormal"/>
      </w:pPr>
    </w:p>
    <w:p w:rsidR="0026452D" w:rsidRDefault="0026452D" w:rsidP="0026452D">
      <w:pPr>
        <w:pStyle w:val="TextoNormal"/>
      </w:pPr>
      <w:r>
        <w:t>Finalmente, la objeción que se formula en relación con la disposición final primera del Real Decreto, y que se sustenta en considerar que la regulación efectuada no puede encontrar amparo en los títulos competenciales recogidos en los apartados 13 y 17 del art. 149 de la Constitución, debe ser admitida por las razones que se explicitan en el fundamento jurídico cuatro, en relación con la mención que se efectúa a la materia 17 del art. 149.1 CE, por lo que procede declarar que la referencia a dicha materia no es conforme con el orden constitucional de distribución de competencias.</w:t>
      </w:r>
    </w:p>
    <w:p w:rsidR="0026452D" w:rsidRDefault="0026452D" w:rsidP="0026452D">
      <w:pPr>
        <w:pStyle w:val="TextoNormal"/>
      </w:pPr>
    </w:p>
    <w:p w:rsidR="0026452D" w:rsidRDefault="0026452D" w:rsidP="0026452D">
      <w:pPr>
        <w:pStyle w:val="TextoNormal"/>
      </w:pPr>
      <w:r w:rsidRPr="0026452D">
        <w:rPr>
          <w:rStyle w:val="NumeroAFNegritaCaracter"/>
        </w:rPr>
        <w:t>11</w:t>
      </w:r>
      <w:r>
        <w:t>. En lo que se refiere al alcance del fallo, teniendo en cuenta que, como hemos declarado en otros casos (SSTC 75/1989, de 21 de abril, 13/1992, de 6 de febrero; 79/1992, de 28 de mayo; 186/1999, de 14 de octubre y 38/2012, de 26 de marzo, entre otras), la disposición impugnada ya ha agotado sus efectos y se podría afectar a situaciones jurídicas consolidadas, la pretensión de la Junta de Galicia ha de estimarse satisfecha mediante la declaración de la titularidad autonómica de las competencias controvertidas.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parcialmente el conflicto positivo de competencias interpuesto por la Junta de Galicia, y en su virtud</w:t>
      </w:r>
    </w:p>
    <w:p w:rsidR="0026452D" w:rsidRDefault="0026452D" w:rsidP="0026452D">
      <w:pPr>
        <w:pStyle w:val="TextoNormal"/>
      </w:pPr>
    </w:p>
    <w:p w:rsidR="0026452D" w:rsidRDefault="0026452D" w:rsidP="0026452D">
      <w:pPr>
        <w:pStyle w:val="TextoNormal"/>
      </w:pPr>
      <w:r>
        <w:lastRenderedPageBreak/>
        <w:t>1º Declarar que el apartado 1 del artículo 17 del Real Decreto 1046/2003, de 1 de agosto y la disposición final primera del mismo, en la mención que realizan al artículo 149.1.17 de la Constitución, vulneran las competencias de la Junta de Galicia.</w:t>
      </w:r>
    </w:p>
    <w:p w:rsidR="0026452D" w:rsidRDefault="0026452D" w:rsidP="0026452D">
      <w:pPr>
        <w:pStyle w:val="TextoNormal"/>
      </w:pPr>
    </w:p>
    <w:p w:rsidR="0026452D" w:rsidRDefault="0026452D" w:rsidP="0026452D">
      <w:pPr>
        <w:pStyle w:val="TextoNormal"/>
      </w:pPr>
      <w:r>
        <w:t>2º Declarar que los arts. 12.2 y 21 apartados f) y g) no vulneran las competencias de la Junta de Galicia, interpretados en el sentido expuesto en el fundamento jurídico 9.</w:t>
      </w:r>
    </w:p>
    <w:p w:rsidR="0026452D" w:rsidRDefault="0026452D" w:rsidP="0026452D">
      <w:pPr>
        <w:pStyle w:val="TextoNormal"/>
      </w:pPr>
    </w:p>
    <w:p w:rsidR="0026452D" w:rsidRDefault="0026452D" w:rsidP="0026452D">
      <w:pPr>
        <w:pStyle w:val="TextoNormal"/>
      </w:pPr>
      <w:r>
        <w:t>3º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treinta y uno de enero de dos mil trece.</w:t>
      </w:r>
    </w:p>
    <w:p w:rsidR="0026452D" w:rsidRDefault="0026452D" w:rsidP="0026452D">
      <w:pPr>
        <w:pStyle w:val="ParrafoNormal"/>
      </w:pPr>
    </w:p>
    <w:p w:rsidR="0026452D" w:rsidRDefault="0026452D" w:rsidP="0026452D">
      <w:pPr>
        <w:pStyle w:val="TextoNormalNegritaCentrado"/>
        <w:keepNext/>
      </w:pPr>
      <w:r>
        <w:t>Voto particular que formula la Magistrada doña Adela Asua Batarrita a la Sentencia dictada en el conflicto positivo de competencia núm. 122-2004.</w:t>
      </w:r>
    </w:p>
    <w:p w:rsidR="0026452D" w:rsidRDefault="0026452D" w:rsidP="0026452D">
      <w:pPr>
        <w:pStyle w:val="TextoNormalNegritaCentrado"/>
        <w:keepNext/>
      </w:pPr>
    </w:p>
    <w:p w:rsidR="0026452D" w:rsidRDefault="0026452D" w:rsidP="0026452D">
      <w:pPr>
        <w:pStyle w:val="TextoNormal"/>
      </w:pPr>
      <w:r>
        <w:t>En ejercicio de la facultad que me confiere el art. 90.2 de la Ley Orgánica del Tribunal Constitucional (LOTC) y con pleno respeto a la opinión de la mayoría del Tribunal, debo manifestar mi discrepancia parcial con el fallo y con la fundamentación jurídica de la Sentencia dictada, si bien como Ponente de la presente Sentencia y, en dicha condición, recojo en ella la opinión mayoritaria del Pleno.</w:t>
      </w:r>
    </w:p>
    <w:p w:rsidR="0026452D" w:rsidRDefault="0026452D" w:rsidP="0026452D">
      <w:pPr>
        <w:pStyle w:val="TextoNormal"/>
      </w:pPr>
    </w:p>
    <w:p w:rsidR="0026452D" w:rsidRDefault="0026452D" w:rsidP="0026452D">
      <w:pPr>
        <w:pStyle w:val="TextoNormal"/>
      </w:pPr>
      <w:r>
        <w:t>En cuanto a mi discrepancia me remito a los argumentos expuestos en el Voto particular que formulé a la STC 244/2012, de 18 de diciembre, dictada en el conflicto positivo de competencia núm. 7264-2003.</w:t>
      </w:r>
    </w:p>
    <w:p w:rsidR="0026452D" w:rsidRDefault="0026452D" w:rsidP="0026452D">
      <w:pPr>
        <w:pStyle w:val="TextoNormal"/>
      </w:pPr>
    </w:p>
    <w:p w:rsidR="0026452D" w:rsidRDefault="0026452D" w:rsidP="0026452D">
      <w:pPr>
        <w:pStyle w:val="TextoNormal"/>
      </w:pPr>
      <w:r>
        <w:t>Madrid, a treinta y uno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20" w:name="SENTENCIA_2013_17"/>
      <w:r>
        <w:lastRenderedPageBreak/>
        <w:t>SENTENCIA 17/2013, de 31 de enero de 2013</w:t>
      </w:r>
    </w:p>
    <w:bookmarkEnd w:id="20"/>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ECLI:ES:TC:2013:17</w:t>
      </w:r>
    </w:p>
    <w:p w:rsidR="0026452D" w:rsidRDefault="0026452D" w:rsidP="0026452D">
      <w:pPr>
        <w:pStyle w:val="SntesisDescriptiva"/>
      </w:pPr>
    </w:p>
    <w:p w:rsidR="0026452D" w:rsidRDefault="0026452D" w:rsidP="0026452D">
      <w:pPr>
        <w:pStyle w:val="SntesisDescriptiva"/>
      </w:pPr>
      <w:r>
        <w:t>Recurso de inconstitucionalidad 1024-2004. Interpuesto por el Parlamento Vasco con respecto a diversos preceptos de la Ley Orgánica 14/2003, de 20 de noviembre, de reforma de la Ley Orgánica 4/2000, de 11 de enero, sobre derechos y libertades de los extranjeros en España y su integración social; de la Ley 7/1985, de 2 de abril, reguladora de las bases del régimen local; de la Ley 30/1992, de 26 de noviembre, de régimen jurídico de las Administraciones públicas y del procedimiento administrativo común y de la Ley 3/1991, de 10 de enero, de competencia desleal.</w:t>
      </w:r>
    </w:p>
    <w:p w:rsidR="0026452D" w:rsidRDefault="0026452D" w:rsidP="0026452D">
      <w:pPr>
        <w:pStyle w:val="SntesisDescriptiva"/>
      </w:pPr>
    </w:p>
    <w:p w:rsidR="0026452D" w:rsidRDefault="0026452D" w:rsidP="0026452D">
      <w:pPr>
        <w:pStyle w:val="SntesisAnaltica"/>
      </w:pPr>
      <w:r>
        <w:t>Derecho a la protección de datos; garantías del procedimiento administrativo sancionador y competencias en materia de procedimiento administrativo: interpretación conforme de los preceptos legales relativos a la comunicación interadministrativa de datos, el acceso a los datos del padrón y los registros de personas y bienes de los extranjeros internados (SSTC 292/2000 y 236/2007). Voto particular.</w:t>
      </w:r>
    </w:p>
    <w:p w:rsidR="0026452D" w:rsidRDefault="0026452D" w:rsidP="0026452D">
      <w:pPr>
        <w:pStyle w:val="SntesisAnaltica"/>
      </w:pPr>
    </w:p>
    <w:p w:rsidR="0026452D" w:rsidRDefault="0026452D" w:rsidP="0026452D">
      <w:pPr>
        <w:pStyle w:val="Extracto"/>
      </w:pPr>
      <w:r>
        <w:t>1.</w:t>
      </w:r>
      <w:r>
        <w:tab/>
        <w:t>La obligación de suministro de información que asumen los transportistas, respecto a las personas que transporten procedentes de fuera del espacio Schengen, viene a dar respuesta a compromisos asumidos por España en el ámbito de la Unión Europea tendentes a combatir el fenómeno de la inmigración ilegal y a garantizar la seguridad de las fronteras exteriores de las partes firmantes del Acuerdo de Schengen, por lo que las autoridades españolas no tienen la capacidad de disponer discrecionalmente de dicha obligación [FJ 6].</w:t>
      </w:r>
    </w:p>
    <w:p w:rsidR="0026452D" w:rsidRDefault="0026452D" w:rsidP="0026452D">
      <w:pPr>
        <w:pStyle w:val="Extracto"/>
      </w:pPr>
    </w:p>
    <w:p w:rsidR="0026452D" w:rsidRDefault="0026452D" w:rsidP="0026452D">
      <w:pPr>
        <w:pStyle w:val="Extracto"/>
      </w:pPr>
      <w:r>
        <w:t>2.</w:t>
      </w:r>
      <w:r>
        <w:tab/>
        <w:t>El derecho fundamental a la protección de datos ha de cohonestarse con otras exigencias y prioridades, en muchos casos derivados de la condición de España como miembro de la Unión Europea, y no ha de equipararse con una pretensión de anonimato del usuario del transporte frente al control de entrada ejercido por las autoridades competentes, el cual implica el ejercicio de una potestad pública inherente a la soberanía plena y exclusiva del Estado sobre su territorio [FJ 6].</w:t>
      </w:r>
    </w:p>
    <w:p w:rsidR="0026452D" w:rsidRDefault="0026452D" w:rsidP="0026452D">
      <w:pPr>
        <w:pStyle w:val="Extracto"/>
      </w:pPr>
    </w:p>
    <w:p w:rsidR="0026452D" w:rsidRDefault="0026452D" w:rsidP="0026452D">
      <w:pPr>
        <w:pStyle w:val="Extracto"/>
      </w:pPr>
      <w:r>
        <w:t>3.</w:t>
      </w:r>
      <w:r>
        <w:tab/>
        <w:t>La remisión por los transportistas a las autoridades españolas encargadas del control de entrada de la información relativa a los pasajeros que vayan a ser trasladados intenta evitar que se eludan las leyes que regulan la entrada, residencia y circulación de los extranjeros en España, siendo por tanto relevante tanto desde la perspectiva constitucional como en relación con el cumplimiento de los compromisos asumidos con el resto de países de la Unión Europea [FJ 6].</w:t>
      </w:r>
    </w:p>
    <w:p w:rsidR="0026452D" w:rsidRDefault="0026452D" w:rsidP="0026452D">
      <w:pPr>
        <w:pStyle w:val="Extracto"/>
      </w:pPr>
    </w:p>
    <w:p w:rsidR="0026452D" w:rsidRDefault="0026452D" w:rsidP="0026452D">
      <w:pPr>
        <w:pStyle w:val="Extracto"/>
      </w:pPr>
      <w:r>
        <w:t>4.</w:t>
      </w:r>
      <w:r>
        <w:tab/>
        <w:t xml:space="preserve">Aun cuando los datos se recaben en el marco de una prestación de servicios consistente en el traslado del usuario hasta las fronteras del territorio español, lo cierto es que dichos datos no se obtienen para la realización de dicha prestación, sino que su obtención se regula en la Ley impugnada, por considerarse necesarios </w:t>
      </w:r>
      <w:r>
        <w:lastRenderedPageBreak/>
        <w:t>para el cumplimiento de finalidades vinculadas con la seguridad pública y el control de los flujos migratorios, a fin de evitar la inmigración ilegal [FJ 6].</w:t>
      </w:r>
    </w:p>
    <w:p w:rsidR="0026452D" w:rsidRDefault="0026452D" w:rsidP="0026452D">
      <w:pPr>
        <w:pStyle w:val="Extracto"/>
      </w:pPr>
    </w:p>
    <w:p w:rsidR="0026452D" w:rsidRDefault="0026452D" w:rsidP="0026452D">
      <w:pPr>
        <w:pStyle w:val="Extracto"/>
      </w:pPr>
      <w:r>
        <w:t>5.</w:t>
      </w:r>
      <w:r>
        <w:tab/>
        <w:t>La norma impugnada no vulnera el art. 24.2 CE puesto que, aun cuando vinculada a la verificación del cumplimiento de las condiciones legalmente establecidas para la entrada y permanencia de extranjeros en España, nada prejuzga con respecto a la eventual incoación de un expediente sancionador fundado en el presunto incumplimiento de dichas condiciones, expediente que, caso de llegar a ser incoado, deberá serlo con todas las garantías que se exigen a un procedimiento de tal carácter [FJ 6].</w:t>
      </w:r>
    </w:p>
    <w:p w:rsidR="0026452D" w:rsidRDefault="0026452D" w:rsidP="0026452D">
      <w:pPr>
        <w:pStyle w:val="Extracto"/>
      </w:pPr>
    </w:p>
    <w:p w:rsidR="0026452D" w:rsidRDefault="0026452D" w:rsidP="0026452D">
      <w:pPr>
        <w:pStyle w:val="Extracto"/>
      </w:pPr>
      <w:r>
        <w:t>6.</w:t>
      </w:r>
      <w:r>
        <w:tab/>
        <w:t>El precepto impugnado relativo al acceso a la información y colaboración entre Administraciones públicas, no admite ningún reproche desde la perspectiva del derecho fundamental a la protección de datos de carácter personal, puesto que se formula como una concreción, en el ámbito de la extranjería, del principio general de colaboración interadministrativa plasmado con carácter general en el art. 4 LPC [FJ 7].</w:t>
      </w:r>
    </w:p>
    <w:p w:rsidR="0026452D" w:rsidRDefault="0026452D" w:rsidP="0026452D">
      <w:pPr>
        <w:pStyle w:val="Extracto"/>
      </w:pPr>
    </w:p>
    <w:p w:rsidR="0026452D" w:rsidRDefault="0026452D" w:rsidP="0026452D">
      <w:pPr>
        <w:pStyle w:val="Extracto"/>
      </w:pPr>
      <w:r>
        <w:t>7.</w:t>
      </w:r>
      <w:r>
        <w:tab/>
        <w:t>La cesión de datos entre Administraciones públicas prevista en el precepto impugnado deberá realizarse de acuerdo con lo previsto en la Ley Orgánica de protección de datos, por lo que no puede estimarse que la misma vulnere el art. 18.4 CE, en la medida en que se ajusta al marco establecido por el legislador orgánico al desarrollar su contenido, marco que no ha sido puesto en cuestión [FJ 7].</w:t>
      </w:r>
    </w:p>
    <w:p w:rsidR="0026452D" w:rsidRDefault="0026452D" w:rsidP="0026452D">
      <w:pPr>
        <w:pStyle w:val="Extracto"/>
      </w:pPr>
    </w:p>
    <w:p w:rsidR="0026452D" w:rsidRDefault="0026452D" w:rsidP="0026452D">
      <w:pPr>
        <w:pStyle w:val="Extracto"/>
      </w:pPr>
      <w:r>
        <w:t>8.</w:t>
      </w:r>
      <w:r>
        <w:tab/>
        <w:t>En la medida en que para la gestión de un procedimiento en materia de extranjería resulte necesaria la constancia de determinados datos que ya obren en poder de otro órgano de la Administración General del Estado, el acceso no indiscriminado a los ficheros en los que obren dichos datos sino ajustado a los datos que resulten precisos para la tramitación de un expediente concreto, sin el consentimiento de los interesados, no vulnera el art. 18.4 CE [FJ 7].</w:t>
      </w:r>
    </w:p>
    <w:p w:rsidR="0026452D" w:rsidRDefault="0026452D" w:rsidP="0026452D">
      <w:pPr>
        <w:pStyle w:val="Extracto"/>
      </w:pPr>
    </w:p>
    <w:p w:rsidR="0026452D" w:rsidRDefault="0026452D" w:rsidP="0026452D">
      <w:pPr>
        <w:pStyle w:val="Extracto"/>
      </w:pPr>
      <w:r>
        <w:t>9.</w:t>
      </w:r>
      <w:r>
        <w:tab/>
        <w:t>El acceso a los datos que obren en poder de otro órgano de la Administración General del Estado ha de realizarse de acuerdo con lo que al respecto disponga la Ley Orgánica de protección de datos, lo que determina, no solamente la aplicación de lo que la misma dispone en materia de información al interesado respecto de la cesión de datos, sino también que la cesión, establecida en una norma legal, se produzca para el cumplimiento de finalidades legítimas del órgano cedente y del cesionario, a tenor de lo dispuesto en la ley, en este caso la de extranjería [FJ 7].</w:t>
      </w:r>
    </w:p>
    <w:p w:rsidR="0026452D" w:rsidRDefault="0026452D" w:rsidP="0026452D">
      <w:pPr>
        <w:pStyle w:val="Extracto"/>
      </w:pPr>
    </w:p>
    <w:p w:rsidR="0026452D" w:rsidRDefault="0026452D" w:rsidP="0026452D">
      <w:pPr>
        <w:pStyle w:val="Extracto"/>
      </w:pPr>
      <w:r>
        <w:t>10.</w:t>
      </w:r>
      <w:r>
        <w:tab/>
        <w:t>Cualquier cesión no consentida de los datos relativos a la residencia o el domicilio de la persona afectada, obtenida del padrón municipal, debe fundamentarse en la necesidad por parte de la Administración cesionaria, actuando en el ejercicio de sus competencias, de conocer dichos datos, extremos que han de ser adecuadamente valorados por la cedente a fin de apreciar si los datos que se solicita son realmente necesarios, pertinentes y proporcionados, atendiendo a la competencia que pretende ejercer dicha Administración [FJ 8].</w:t>
      </w:r>
    </w:p>
    <w:p w:rsidR="0026452D" w:rsidRDefault="0026452D" w:rsidP="0026452D">
      <w:pPr>
        <w:pStyle w:val="Extracto"/>
      </w:pPr>
    </w:p>
    <w:p w:rsidR="0026452D" w:rsidRDefault="0026452D" w:rsidP="0026452D">
      <w:pPr>
        <w:pStyle w:val="Extracto"/>
      </w:pPr>
      <w:r>
        <w:lastRenderedPageBreak/>
        <w:t>11.</w:t>
      </w:r>
      <w:r>
        <w:tab/>
        <w:t>Compete al Estado el control del acceso de las personas a su territorio a fin de cohonestar el objetivo de conseguir la plena integración social de los inmigrantes con el respeto a la legalidad vigente, que establece el principio de rechazo a la inmigración ilegal o incontrolada, de ahí que, a tal fin, se dispongan los medios que impidan las entradas ilegales en España y eviten las estancias sin título jurídico válido, estableciendo la salida obligatoria del extranjero que, careciendo de él, se encuentra en España en situación irregular [FJ 9].</w:t>
      </w:r>
    </w:p>
    <w:p w:rsidR="0026452D" w:rsidRDefault="0026452D" w:rsidP="0026452D">
      <w:pPr>
        <w:pStyle w:val="Extracto"/>
      </w:pPr>
    </w:p>
    <w:p w:rsidR="0026452D" w:rsidRDefault="0026452D" w:rsidP="0026452D">
      <w:pPr>
        <w:pStyle w:val="Extracto"/>
      </w:pPr>
      <w:r>
        <w:t>12.</w:t>
      </w:r>
      <w:r>
        <w:tab/>
        <w:t>El legislador, al objeto de garantizar que la entrada legal de emigrantes y su permanencia en España se produce de modo ordenado, ha determinado quien está habilitado para acceder a los datos del padrón y para qué se van a utilizar los datos obtenidos del mismo a fin de evitar el fenómeno de la inmigración irregular, de manera que la Administración pública estaría actuando dentro de las competencias que, sobre esa materia, le atribuye la Ley Orgánica de derechos y libertades de los extranjeros [FJ 9].</w:t>
      </w:r>
    </w:p>
    <w:p w:rsidR="0026452D" w:rsidRDefault="0026452D" w:rsidP="0026452D">
      <w:pPr>
        <w:pStyle w:val="Extracto"/>
      </w:pPr>
    </w:p>
    <w:p w:rsidR="0026452D" w:rsidRDefault="0026452D" w:rsidP="0026452D">
      <w:pPr>
        <w:pStyle w:val="Extracto"/>
      </w:pPr>
      <w:r>
        <w:t>13.</w:t>
      </w:r>
      <w:r>
        <w:tab/>
        <w:t>La disposición impugnada si bien enmarcada en las previsiones del legislador en materia de extranjería, se dirige a controlar la regularidad y permanencia de los extranjeros en España en los términos dispuestos por el legislador orgánico, el cual puede perseguir lícitamente dicha finalidad garantizando el respeto a la ley [FJ 9].</w:t>
      </w:r>
    </w:p>
    <w:p w:rsidR="0026452D" w:rsidRDefault="0026452D" w:rsidP="0026452D">
      <w:pPr>
        <w:pStyle w:val="Extracto"/>
      </w:pPr>
    </w:p>
    <w:p w:rsidR="0026452D" w:rsidRDefault="0026452D" w:rsidP="0026452D">
      <w:pPr>
        <w:pStyle w:val="Extracto"/>
      </w:pPr>
      <w:r>
        <w:t>14.</w:t>
      </w:r>
      <w:r>
        <w:tab/>
        <w:t>El hecho de que el legislador haya exigido la inscripción en el padrón como condición para el acceso a determinadas prestaciones no es sino manifestación de la posibilidad de la que goza para establecer diferencias de trato con los españoles en lo que respecta al ejercicio de determinados derechos entre los que se encuentra el relativo al acceso a las prestaciones sanitarias, el cual se produce en los términos previstos en la legislación vigente en materia sanitaria (SSTC 295/2000, 236/2007) [FJ 9].</w:t>
      </w:r>
    </w:p>
    <w:p w:rsidR="0026452D" w:rsidRDefault="0026452D" w:rsidP="0026452D">
      <w:pPr>
        <w:pStyle w:val="Extracto"/>
      </w:pPr>
    </w:p>
    <w:p w:rsidR="0026452D" w:rsidRDefault="0026452D" w:rsidP="0026452D">
      <w:pPr>
        <w:pStyle w:val="Extracto"/>
      </w:pPr>
      <w:r>
        <w:t>15.</w:t>
      </w:r>
      <w:r>
        <w:tab/>
        <w:t xml:space="preserve">Aplica la doctrina sobre la existencia de previsiones procedimentales específicas </w:t>
      </w:r>
      <w:r w:rsidRPr="0026452D">
        <w:rPr>
          <w:i/>
        </w:rPr>
        <w:t>ratione materiae</w:t>
      </w:r>
      <w:r>
        <w:t>, vinculadas al concreto régimen sustantivo de la materia de que se trate, de la STC 175/2003  [FJ 10].</w:t>
      </w:r>
    </w:p>
    <w:p w:rsidR="0026452D" w:rsidRDefault="0026452D" w:rsidP="0026452D">
      <w:pPr>
        <w:pStyle w:val="Extracto"/>
      </w:pPr>
    </w:p>
    <w:p w:rsidR="0026452D" w:rsidRDefault="0026452D" w:rsidP="0026452D">
      <w:pPr>
        <w:pStyle w:val="Extracto"/>
      </w:pPr>
      <w:r>
        <w:t>16.</w:t>
      </w:r>
      <w:r>
        <w:tab/>
        <w:t>Las autoridades que han de emitir las autorizaciones para entrada y permanencia de los extranjeros deben proceder a la adecuada identificación personal de aquellos a cuyo favor han de emitirse, sin que, por esa razón, el deber de comparecencia personal ante los órganos competentes para tramitar la solicitud pueda entenderse inadecuado o no justificado respecto a la finalidad perseguida  [FJ 10].</w:t>
      </w:r>
    </w:p>
    <w:p w:rsidR="0026452D" w:rsidRDefault="0026452D" w:rsidP="0026452D">
      <w:pPr>
        <w:pStyle w:val="Extracto"/>
      </w:pPr>
    </w:p>
    <w:p w:rsidR="0026452D" w:rsidRDefault="0026452D" w:rsidP="0026452D">
      <w:pPr>
        <w:pStyle w:val="Extracto"/>
      </w:pPr>
      <w:r>
        <w:t>17.</w:t>
      </w:r>
      <w:r>
        <w:tab/>
        <w:t>La norma cuestionada, aun cuando pueda discreparse de ella, no carece de justificación pues la misma intenta dificultar el uso fraudulento de los procedimientos en materia de extranjería y garantizar el respeto a las decisiones del legislador en lo relativo a la entrada y permanencia de los extranjeros en España, decisiones centradas en el control de los flujos migratorios y en la entrada y permanencia en situaciones de normalidad dentro del territorio español  [FJ 11].</w:t>
      </w:r>
    </w:p>
    <w:p w:rsidR="0026452D" w:rsidRDefault="0026452D" w:rsidP="0026452D">
      <w:pPr>
        <w:pStyle w:val="Extracto"/>
      </w:pPr>
    </w:p>
    <w:p w:rsidR="0026452D" w:rsidRDefault="0026452D" w:rsidP="0026452D">
      <w:pPr>
        <w:pStyle w:val="Extracto"/>
      </w:pPr>
      <w:r>
        <w:lastRenderedPageBreak/>
        <w:t>18.</w:t>
      </w:r>
      <w:r>
        <w:tab/>
        <w:t>La circunstancia de que el órgano administrativo competente pueda inadmitir a trámite las solicitudes que se le plantean no excluye la necesidad de que la adopción de tal medida haya de encontrarse dentro de los supuestos legalmente previstos y sea convenientemente razonada en términos de derecho, así como tampoco su control por las vías administrativas y jurisdiccionales que resulten procedentes, por lo que no ha de reputarse contraria al art. 9.3 CE  [FJ 11].</w:t>
      </w:r>
    </w:p>
    <w:p w:rsidR="0026452D" w:rsidRDefault="0026452D" w:rsidP="0026452D">
      <w:pPr>
        <w:pStyle w:val="Extracto"/>
      </w:pPr>
    </w:p>
    <w:p w:rsidR="0026452D" w:rsidRDefault="0026452D" w:rsidP="0026452D">
      <w:pPr>
        <w:pStyle w:val="Extracto"/>
      </w:pPr>
      <w:r>
        <w:t>19.</w:t>
      </w:r>
      <w:r>
        <w:tab/>
        <w:t>La decisión de inadmisión ha de ser motivada, recurrible y notificada al interesado con indicación de los recursos a interponer, órgano ante el que hubieran de presentarse y plazo para interponerlo, con lo que queda abierta la posibilidad de poder solicitar el correspondiente control jurisdiccional sobre la regularidad de la decisión adoptada, razón por la cual ha de desecharse que vulnere los arts. 24 y 106 CE (SSTC 120/1994, 308/2006)  [FJ 11].</w:t>
      </w:r>
    </w:p>
    <w:p w:rsidR="0026452D" w:rsidRDefault="0026452D" w:rsidP="0026452D">
      <w:pPr>
        <w:pStyle w:val="Extracto"/>
      </w:pPr>
    </w:p>
    <w:p w:rsidR="0026452D" w:rsidRDefault="0026452D" w:rsidP="0026452D">
      <w:pPr>
        <w:pStyle w:val="Extracto"/>
      </w:pPr>
      <w:r>
        <w:t>20.</w:t>
      </w:r>
      <w:r>
        <w:tab/>
        <w:t>A diferencia de la expulsión, la devolución pretende evitar la contravención del ordenamiento jurídico de extranjería, por lo que no comporta en sí misma una sanción sino una medida gubernativa de reacción inmediata frente a una perturbación del orden jurídico, articulada a través de un cauce flexible y rápido [FJ 12].</w:t>
      </w:r>
    </w:p>
    <w:p w:rsidR="0026452D" w:rsidRDefault="0026452D" w:rsidP="0026452D">
      <w:pPr>
        <w:pStyle w:val="Extracto"/>
      </w:pPr>
    </w:p>
    <w:p w:rsidR="0026452D" w:rsidRDefault="0026452D" w:rsidP="0026452D">
      <w:pPr>
        <w:pStyle w:val="Extracto"/>
      </w:pPr>
      <w:r>
        <w:t>21.</w:t>
      </w:r>
      <w:r>
        <w:tab/>
        <w:t>Ha de reputarse inconstitucional la medida de prohibición de entrada territorio español por un plazo máximo de tres años que lleva aparejada toda devolución, pues no puede adoptarse en ausencia de todo procedimiento administrativo, ya que nada hay en la normativa aplicable que permita llegar a esa conclusión, siendo claro que carece, en su condición de sanción, de la apertura y tramitación de un procedimiento contradictorio con las garantías que, conforme a nuestra doctrina, han de reconocerse en toda actividad sancionadora de la Administración [FJ 12].</w:t>
      </w:r>
    </w:p>
    <w:p w:rsidR="0026452D" w:rsidRDefault="0026452D" w:rsidP="0026452D">
      <w:pPr>
        <w:pStyle w:val="Extracto"/>
      </w:pPr>
    </w:p>
    <w:p w:rsidR="0026452D" w:rsidRDefault="0026452D" w:rsidP="0026452D">
      <w:pPr>
        <w:pStyle w:val="Extracto"/>
      </w:pPr>
      <w:r>
        <w:t>22.</w:t>
      </w:r>
      <w:r>
        <w:tab/>
        <w:t>Doctrina sobre el derecho a la intimidad personal garantizado por el art. 18.1 CE (SSTC 57/1994, 70/2009) [FJ 14].</w:t>
      </w:r>
    </w:p>
    <w:p w:rsidR="0026452D" w:rsidRDefault="0026452D" w:rsidP="0026452D">
      <w:pPr>
        <w:pStyle w:val="Extracto"/>
      </w:pPr>
    </w:p>
    <w:p w:rsidR="0026452D" w:rsidRDefault="0026452D" w:rsidP="0026452D">
      <w:pPr>
        <w:pStyle w:val="Extracto"/>
      </w:pPr>
      <w:r>
        <w:t>23.</w:t>
      </w:r>
      <w:r>
        <w:tab/>
        <w:t>Los registros de personas, ropas y enseres de los extranjeros internados, únicamente podrán adoptarse cuando resulte imprescindible ante concretas situaciones que pongan en riesgo la seguridad del establecimiento, viniendo obligada la Administración a justificar en cada caso la adopción de la medida y su alcance, así como a informar al afectado de la dimensión y la intensidad del registro, y solamente de acuerdo con esas condiciones las limitaciones al derecho a la intimidad personal establecidas en el precepto impugnado resultarán ser proporcionadas y no vulneradoras del art. 18 CE [FJ 14].</w:t>
      </w:r>
    </w:p>
    <w:p w:rsidR="0026452D" w:rsidRDefault="0026452D" w:rsidP="0026452D">
      <w:pPr>
        <w:pStyle w:val="Extracto"/>
      </w:pPr>
    </w:p>
    <w:p w:rsidR="0026452D" w:rsidRDefault="0026452D" w:rsidP="0026452D">
      <w:pPr>
        <w:pStyle w:val="Extracto"/>
      </w:pPr>
      <w:r>
        <w:t>24.</w:t>
      </w:r>
      <w:r>
        <w:tab/>
        <w:t>Doctrina sobre el control judicial de la medida de internamiento del extranjero para proceder a su expulsión o a su devolución (SSTC 115/1987, 260/2007) [FJ 15].</w:t>
      </w:r>
    </w:p>
    <w:p w:rsidR="0026452D" w:rsidRDefault="0026452D" w:rsidP="0026452D">
      <w:pPr>
        <w:pStyle w:val="Extracto"/>
      </w:pPr>
    </w:p>
    <w:p w:rsidR="0026452D" w:rsidRDefault="0026452D" w:rsidP="0026452D">
      <w:pPr>
        <w:pStyle w:val="Extracto"/>
      </w:pPr>
      <w:r>
        <w:t>25.</w:t>
      </w:r>
      <w:r>
        <w:tab/>
        <w:t xml:space="preserve">No vulnera el art. 17.1 CE la utilización de medios de contención física personal o separación preventiva de los internados si está justificada en supuestos concretos, legalmente definidos, en atención a impedir ciertas conductas de los internos, debiendo ajustarse estas medidas coercitivas al principio de proporcionalidad, excluyendo tanto su naturaleza sancionatoria como la posibilidad de mantener las </w:t>
      </w:r>
      <w:r>
        <w:lastRenderedPageBreak/>
        <w:t>medidas por más tiempo del estrictamente necesario para poner fin a la situación que motivó su adopción [FJ 15].</w:t>
      </w:r>
    </w:p>
    <w:p w:rsidR="0026452D" w:rsidRDefault="0026452D" w:rsidP="0026452D">
      <w:pPr>
        <w:pStyle w:val="Extracto"/>
      </w:pPr>
    </w:p>
    <w:p w:rsidR="0026452D" w:rsidRDefault="0026452D" w:rsidP="0026452D">
      <w:pPr>
        <w:pStyle w:val="Extracto"/>
      </w:pPr>
      <w:r>
        <w:t>26.</w:t>
      </w:r>
      <w:r>
        <w:tab/>
        <w:t>Las medidas coercitivas impugnada carecen de la finalidad represiva, retributiva o de castigo específica de las sanciones, pues no buscan la disuasión en la realización de determinados comportamientos o el castigo de los mismos sino únicamente reaccionar frente a conductas susceptibles de poner en riesgo la integridad física de los extranjeros internados, el efectivo cumplimiento de la medida cautelar de internamiento o el orden y la seguridad del centro de internamiento, por lo que la impugnación del precepto que las establece ha de ser desestimada (SSTC 239/1988, 164/1995) [FJ 15].</w:t>
      </w:r>
    </w:p>
    <w:p w:rsidR="0026452D" w:rsidRDefault="0026452D" w:rsidP="0026452D">
      <w:pPr>
        <w:pStyle w:val="Extracto"/>
      </w:pPr>
    </w:p>
    <w:p w:rsidR="0026452D" w:rsidRDefault="0026452D" w:rsidP="0026452D">
      <w:pPr>
        <w:pStyle w:val="Extracto"/>
      </w:pPr>
      <w:r>
        <w:t>27.</w:t>
      </w:r>
      <w:r>
        <w:tab/>
        <w:t>Los derechos fundamentales pueden ceder ante bienes, e incluso intereses constitucionalmente relevantes, siempre que el recorte que experimenten sea necesario para lograr el fin legítimo previsto, proporcionado para alcanzarlo y, en todo caso, respetuoso con el contenido esencial del derecho fundamental restringido (SSTC 57/1994, 292/2000) [FJ 5].</w:t>
      </w:r>
    </w:p>
    <w:p w:rsidR="0026452D" w:rsidRDefault="0026452D" w:rsidP="0026452D">
      <w:pPr>
        <w:pStyle w:val="Extracto"/>
      </w:pPr>
    </w:p>
    <w:p w:rsidR="0026452D" w:rsidRDefault="0026452D" w:rsidP="0026452D">
      <w:pPr>
        <w:pStyle w:val="Extracto"/>
      </w:pPr>
      <w:r>
        <w:t>28.</w:t>
      </w:r>
      <w:r>
        <w:tab/>
        <w:t>Encontrándose el derecho fundamental a la protección de datos reconocido en el art. 18.4 CE, es evidente que los extranjeros han de ser considerados titulares del mismo, tal como éste derecho fundamental ha sido reconocido por el legislador orgánico en el art. 3 LOEx –que recoge el mandato contenido en el art. 13 CE–, el cual no distingue entre españoles y extranjeros en dicho reconocimiento [FJ 4].</w:t>
      </w:r>
    </w:p>
    <w:p w:rsidR="0026452D" w:rsidRDefault="0026452D" w:rsidP="0026452D">
      <w:pPr>
        <w:pStyle w:val="Extracto"/>
      </w:pPr>
    </w:p>
    <w:p w:rsidR="0026452D" w:rsidRDefault="0026452D" w:rsidP="0026452D">
      <w:pPr>
        <w:pStyle w:val="Extracto"/>
      </w:pPr>
      <w:r>
        <w:t>29.</w:t>
      </w:r>
      <w:r>
        <w:tab/>
        <w:t xml:space="preserve">La cesión de datos entre Administraciones públicas sin consentimiento del afectado, cuando se cedan para el ejercicio de competencias o materias distintas de aquellas que motivaron su recogida, únicamente será posible, fuera de los supuestos expresamente previstos por la Ley Orgánica de protección de datos, si existe previsión legal expresa para ello, </w:t>
      </w:r>
      <w:r w:rsidRPr="0026452D">
        <w:rPr>
          <w:i/>
        </w:rPr>
        <w:t>ex</w:t>
      </w:r>
      <w:r>
        <w:t xml:space="preserve"> arts. 11.2 a) en relación con el 6.1 LOPD y 53.1 CE [FJ 4].</w:t>
      </w:r>
    </w:p>
    <w:p w:rsidR="0026452D" w:rsidRDefault="0026452D" w:rsidP="0026452D">
      <w:pPr>
        <w:pStyle w:val="Extracto"/>
      </w:pPr>
    </w:p>
    <w:p w:rsidR="0026452D" w:rsidRDefault="0026452D" w:rsidP="0026452D">
      <w:pPr>
        <w:pStyle w:val="Extracto"/>
      </w:pPr>
      <w:r>
        <w:t>30.</w:t>
      </w:r>
      <w:r>
        <w:tab/>
        <w:t>Aplica la doctrina sobre el derecho fundamental a la protección de datos que se deriva del art. 18.4 CE, de la STC 292/2000 [FJ 3].</w:t>
      </w:r>
    </w:p>
    <w:p w:rsidR="0026452D" w:rsidRDefault="0026452D" w:rsidP="0026452D">
      <w:pPr>
        <w:pStyle w:val="Extracto"/>
      </w:pPr>
    </w:p>
    <w:p w:rsidR="0026452D" w:rsidRDefault="0026452D" w:rsidP="0026452D">
      <w:pPr>
        <w:pStyle w:val="Extracto"/>
      </w:pPr>
      <w:r>
        <w:t>31.</w:t>
      </w:r>
      <w:r>
        <w:tab/>
        <w:t>Doctrina sobre la titularidad y ejercicio de los derechos fundamentales de los extranjeros en España (SSTC 107/1984, 236/2007)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1024-2004, interpuesto por el Letrado del Parlamento Vasco contra diversos preceptos de la Ley Orgánica 14/2003, de 20 de noviembre, de reforma de la Ley Orgánica 4/2000, de 11 de enero, sobre derechos y libertades de los extranjeros en España y su integración social; de la Ley 7/1985, de 2 de abril, reguladora de las bases del régimen local; de la Ley 30/1992, de 26 de noviembre, de régimen jurídico de las Administraciones públicas y del procedimiento administrativo común y de la Ley 3/1991, de 10 de enero, de competencia desleal. Ha comparecido y formulado alegaciones el Abogado del Estado. Ha sido Ponente el Magistrado don Ramón Rodríguez Arribas,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el día 20 de febrero de 2004, el Letrado del Parlamento Vasco, en la representación que legalmente ostenta, promueve recurso de inconstitucionalidad contra los arts. 1, apartados 31, 32, 34, 35, 38, 39 y 40; y 3, apartados 3 y 5 de la Ley Orgánica 14/2003, de 20 de noviembre, de reforma de la Ley Orgánica 4/2000, de 11 de enero, sobre derechos y libertades de los extranjeros en España y su integración social (en adelante, LOEx) modificada por la Ley Orgánica 8/2000, de 22 de diciembre; de la Ley 7/1985, de 2 de abril, reguladora de las bases del régimen local; de la Ley 30/1992, de 26 de noviembre, de régimen jurídico de las Administraciones públicas y del procedimiento administrativo común, y de la Ley 3/1991, de 10 de enero, de competencia desleal.</w:t>
      </w:r>
    </w:p>
    <w:p w:rsidR="0026452D" w:rsidRDefault="0026452D" w:rsidP="0026452D">
      <w:pPr>
        <w:pStyle w:val="TextoNormal"/>
      </w:pPr>
    </w:p>
    <w:p w:rsidR="0026452D" w:rsidRDefault="0026452D" w:rsidP="0026452D">
      <w:pPr>
        <w:pStyle w:val="TextoNormal"/>
      </w:pPr>
      <w:r>
        <w:t>La impugnación se fundamenta en los motivos de los que seguidamente, de forma sucinta, se deja constancia:</w:t>
      </w:r>
    </w:p>
    <w:p w:rsidR="0026452D" w:rsidRDefault="0026452D" w:rsidP="0026452D">
      <w:pPr>
        <w:pStyle w:val="TextoNormal"/>
      </w:pPr>
    </w:p>
    <w:p w:rsidR="0026452D" w:rsidRDefault="0026452D" w:rsidP="0026452D">
      <w:pPr>
        <w:pStyle w:val="TextoNormal"/>
      </w:pPr>
      <w:r>
        <w:t>El recurrente comienza su alegato desarrollando los fundamentos de orden procesal, en los que afirma la legitimidad del Parlamento Vasco para interponer el presente recurso para, tras ello, comenzar las alegaciones de carácter sustantivo exponiendo la reforma realizada vulnera principios constitucionales relativos a cuatro órdenes de cuestiones todas ellas relacionadas con los derechos de los extranjeros en España.</w:t>
      </w:r>
    </w:p>
    <w:p w:rsidR="0026452D" w:rsidRDefault="0026452D" w:rsidP="0026452D">
      <w:pPr>
        <w:pStyle w:val="TextoNormal"/>
      </w:pPr>
    </w:p>
    <w:p w:rsidR="0026452D" w:rsidRDefault="0026452D" w:rsidP="0026452D">
      <w:pPr>
        <w:pStyle w:val="TextoNormal"/>
      </w:pPr>
      <w:r>
        <w:t xml:space="preserve">a) El primero de ellos sería el relativo al derecho a la autodeterminación informativa, recogido en el art. 18.4 CE, entendido como el derecho a disponer de los propios datos, derecho que ha sido desarrollado por una constante doctrina de este Tribunal Constitucional, el cual ha definido el contenido esencial de este derecho autónomo, en especial en la STC 292/2000, de 30 de noviembre, de forma más amplia que el derecho a la intimidad ya que se extiende a todos los datos, íntimos o no, que permitan la identificación de la persona y tengan incidencia en el ejercicio de cualquier derecho. En particular, su contenido esencial consistirá en la necesidad de acordar y consentir las operaciones a las que los datos personales puedan someterse, contenido esencial que no puede ser limitado so pena de hacer irreconocible el derecho. En cuanto a las limitaciones a su ejercicio, señala el escrito de interposición del recurso que, de acuerdo con los criterios derivados de la jurisprudencia del Tribunal Europeo de Derechos Humanos, para que este derecho pueda ser limitado resulta </w:t>
      </w:r>
      <w:r>
        <w:lastRenderedPageBreak/>
        <w:t>necesario que existan un objetivo legítimo para tal limitación y una previsión legal específica para ello, así como que las medidas resulten necesarias y proporcionadas al objetivo perseguido. En el mismo sentido, el art. 53.1 CE señala que la ley deberá respetar, en todo caso, el contenido esencial de los derechos fundamentales cuyas limitaciones en su ejercicio han de estar justificadas en la protección de otro derecho o bien constitucional y además han de ser proporcionadas al fin perseguido por ellas pues, en otro caso, incurrirían en la arbitrariedad prevista en el art. 9.3 CE.</w:t>
      </w:r>
    </w:p>
    <w:p w:rsidR="0026452D" w:rsidRDefault="0026452D" w:rsidP="0026452D">
      <w:pPr>
        <w:pStyle w:val="TextoNormal"/>
      </w:pPr>
    </w:p>
    <w:p w:rsidR="0026452D" w:rsidRDefault="0026452D" w:rsidP="0026452D">
      <w:pPr>
        <w:pStyle w:val="TextoNormal"/>
      </w:pPr>
      <w:r>
        <w:t>Las infracciones a este derecho fundamental afectan, en primer lugar, a la obligación exigida a los transportistas de comunicar a las autoridades españolas ciertos datos personales de los extranjeros que vayan a ser trasladados al territorio español (art. 1.35). A esta medida se le achaca tanto su deslegalización, ya que la determinación concreta de los casos en los que cabe limitar el derecho queda al albur de la autoridad gubernativa, como su falta de necesidad, por cuanto resultan desproporcionadas con el objetivo de combatir la inmigración ilegal y no pueden justificarse en genéricas apelaciones a la seguridad pública. A la referida obligación también se le imputa la vulneración del art. 24.2 CE, en cuanto vulneradora del derecho a declarar contra sí mismo y a no confesarse culpable de un ilícito administrativo que lleva aparejado, como sanción, la expulsión del territorio nacional. Las consideraciones anteriores, relativas a la generalidad, inconcreción e inseguridad de los límites relativos al ejercicio del derecho, también se predican del régimen de cesión de datos entre Administraciones públicas (art. 1.40) y del derecho de acceso de otras Administraciones públicas y, en particular, de la Dirección General de la Policía a los datos de inscripción padronal de los extranjeros (art. 3.3 y 5), obligaciones que representan una limitación del contenido esencial del derecho a la autodeterminación informativa que no responde a un objetivo preciso ni resulta necesaria en una sociedad democrática, por cuanto mantiene un amplio espacio de incertidumbre en la determinación de los supuestos en los que no es necesario el previo consentimiento del afectado para la cesión de los datos contenidos en el padrón, ni tampoco se respeta la finalidad con la que los mismos fueron recogidos. Asimismo, se argumenta que estas medidas suponen una discriminación indirecta, por cuanto con esta regulación del acceso a los datos del padrón se introduce un obstáculo indirecto para que los extranjeros indocumentados tengan acceso a determinados derechos, en particular la asistencia sanitaria, para cuyo ejercicio resulta necesaria la previa inscripción en el padrón, la cual queda dificultada con la normativa impugnada.</w:t>
      </w:r>
    </w:p>
    <w:p w:rsidR="0026452D" w:rsidRDefault="0026452D" w:rsidP="0026452D">
      <w:pPr>
        <w:pStyle w:val="TextoNormal"/>
      </w:pPr>
    </w:p>
    <w:p w:rsidR="0026452D" w:rsidRDefault="0026452D" w:rsidP="0026452D">
      <w:pPr>
        <w:pStyle w:val="TextoNormal"/>
      </w:pPr>
      <w:r>
        <w:t xml:space="preserve">b) El segundo orden de cuestiones planteadas se refiere a las garantías jurídicas en los procedimientos administrativos. En relación con ello la representación procesal del Parlamento Vasco afirma que el art. 149.1.18 CE no sólo es una norma atributiva de competencia sino también una norma que consagra un nivel mínimo de garantías que en todo caso debe ser preservado a los administrados. Los apartados 38 y 39 del art. 1 de la Ley Orgánica 14/2003 introducen en los procedimientos administrativos en materia de extranjería ciertas especialidades que infringen, por la falta de fundamento y proporcionalidad en las medidas restrictivas que implantan en relación con el procedimiento administrativo común, garantías de relevancia constitucional. En particular, la exigencia de comparecencia personal ante órganos específicamente determinados de la Administración para la presentación de las solicitudes relativas a autorizaciones de residencia o trabajo cuando el sujeto se encuentre en territorio español se considera, por los términos absolutos en los que se ha establecido, innecesaria y desproporcionada para la consecución de los objetivos que la Ley Orgánica 14/2003 dice pretender. En tal sentido, implica una discriminación de los extranjeros en </w:t>
      </w:r>
      <w:r>
        <w:lastRenderedPageBreak/>
        <w:t xml:space="preserve">relación con el procedimiento administrativo común de aplicación a los españoles carente de justificación. Estas circunstancias provocan la vulneración de los arts. 149.1.18 así como del 9.3 CE, por cuanto se trata de una actuación discriminatoria, carente de una finalidad que la justifique y, por tanto, arbitraria. Lo mismo se alega en relación con la introducción de un elenco de casos y situaciones en los que la autoridad competente en materia de extranjería puede rechazar </w:t>
      </w:r>
      <w:r w:rsidRPr="0026452D">
        <w:rPr>
          <w:i/>
        </w:rPr>
        <w:t>a limine</w:t>
      </w:r>
      <w:r>
        <w:t xml:space="preserve"> la pretensión sin necesidad de motivar su decisión más allá de la constatación de que se da alguno de los supuestos contemplados en la norma. En concreto, la demanda cuestiona las causas de inadmisión contempladas en los apartados 1 (insuficiente acreditación de la representación), 4 (constancia de procedimiento sancionador en el que pueda proponerse la expulsión), 7 (situación irregular del solicitante) y 8 (falta de presentación personal de la solicitud). Las cuatro citadas se consideran vulneradoras del art. 149.1.18 CE, por no respetar las necesarias garantías del procedimiento administrativo, así como del art. 9.3 CE por su desproporción. Por otra parte, y en la medida en que la inadmisión de plano de una solicitud restringe gravemente las posibilidades de revisión jurisdiccional de la actuación administrativa, se infringe el art. 106 CE así como el derecho a la tutela judicial efectiva. Por último el inciso cuestionado del apartado 4 lesionaría el derecho a la presunción de inocencia del art. 24.2 CE.</w:t>
      </w:r>
    </w:p>
    <w:p w:rsidR="0026452D" w:rsidRDefault="0026452D" w:rsidP="0026452D">
      <w:pPr>
        <w:pStyle w:val="TextoNormal"/>
      </w:pPr>
    </w:p>
    <w:p w:rsidR="0026452D" w:rsidRDefault="0026452D" w:rsidP="0026452D">
      <w:pPr>
        <w:pStyle w:val="TextoNormal"/>
      </w:pPr>
      <w:r>
        <w:t>c) En tercer lugar se cuestiona la nueva regulación de la devolución la cual, entrañando unas consecuencias similares a la expulsión (prohibición de entrada en territorio español por un plazo máximo de tres años), no se concibe como una medida de sanción aun a pesar de llevar aparejadas las mismas consecuencias que la expulsión, por lo que su adopción no requiere de la incoación de un expediente administrativo sancionador, privándose así al interesado del trámite de audiencia (art. 1 apartados 31 y 34) y representando, por lo tanto, una vulneración de los arts. 105 y 24 CE. Igualmente se afirma la inconstitucionalidad del nuevo art. 64.3 LOEx en cuanto el mismo permite ejecutar la orden de expulsión dictada por otro Estado miembro de la Unión Europea.</w:t>
      </w:r>
    </w:p>
    <w:p w:rsidR="0026452D" w:rsidRDefault="0026452D" w:rsidP="0026452D">
      <w:pPr>
        <w:pStyle w:val="TextoNormal"/>
      </w:pPr>
    </w:p>
    <w:p w:rsidR="0026452D" w:rsidRDefault="0026452D" w:rsidP="0026452D">
      <w:pPr>
        <w:pStyle w:val="TextoNormal"/>
      </w:pPr>
      <w:r>
        <w:t>d) En último lugar, se controvierte la introducción de nuevas medidas de vigilancia y seguridad interior en los centros de internamiento de extranjeros. En particular, la habilitación a la autoridad del centro para llevar a cabo inspecciones y registros se considera contraria al derecho a la intimidad personal del art. 18 CE, mientras que la misma habilitación para utilizar medidas de contención física personal o separación preventiva (medidas de aislamiento) en determinadas ocasiones, (art. 1 apartado 32) que se regulan de forma imprecisa y sin previsión de régimen alguno de recursos o quejas resultaría contraria al derecho fundamental a la libertad y seguridad del art. 17 así como al art. 24 CE. Asimismo se reputan vulnerados los arts. 9.3 CE, puesto que la imprecisa regulación de la figura del aislamiento quiebra los principios de seguridad jurídica e interdicción de la arbitrariedad y 105 CE, en cuanto que, siendo este procedimiento de carácter claramente sancionador, no se ha previsto audiencia al interesado.</w:t>
      </w:r>
    </w:p>
    <w:p w:rsidR="0026452D" w:rsidRDefault="0026452D" w:rsidP="0026452D">
      <w:pPr>
        <w:pStyle w:val="TextoNormal"/>
      </w:pPr>
    </w:p>
    <w:p w:rsidR="0026452D" w:rsidRDefault="0026452D" w:rsidP="0026452D">
      <w:pPr>
        <w:pStyle w:val="TextoNormal"/>
      </w:pPr>
      <w:r>
        <w:t>Concluye el escrito de demanda solicitando del Tribunal Constitucional que, tras los trámites legales oportunos, dicte Sentencia en la que se declare la inconstitucionalidad de los arts. 1, apartados 31, 32, 34, 35, 38, 39 y 40; y 3, apartados 3 y 5 de la Ley Orgánica 14/2003, de 20 de noviembre.</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Mediante providencia de 13 de abril de 2004, la Sección Segunda del Tribunal Constitucional acordó admitir a trámite el presente recurso de inconstitucionalidad; dar traslado </w:t>
      </w:r>
      <w:r>
        <w:lastRenderedPageBreak/>
        <w:t>de la demanda y de los documentos presentados, conforme establece el art. 34 de la Ley Orgánica del Tribunal Constitucional (LOTC), al Congreso de los Diputados y al Senado, por conducto de sus Presidentes y al Gobierno, a través del Ministerio de Justicia, al objeto de que en el plazo de quince días pudieran personarse en el proceso y formular alegaciones que estimasen pertinentes y, finalmente, publicar la incoación del recurso en el “Boletín Oficial del Estado”. Dicha publicación se llevó a efecto en el “Boletín Oficial del Estado” núm. 102, de 27 de abril de 2004.</w:t>
      </w:r>
    </w:p>
    <w:p w:rsidR="0026452D" w:rsidRDefault="0026452D" w:rsidP="0026452D">
      <w:pPr>
        <w:pStyle w:val="TextoNormal"/>
      </w:pPr>
    </w:p>
    <w:p w:rsidR="0026452D" w:rsidRDefault="0026452D" w:rsidP="0026452D">
      <w:pPr>
        <w:pStyle w:val="TextoNormal"/>
      </w:pPr>
      <w:r w:rsidRPr="0026452D">
        <w:rPr>
          <w:rStyle w:val="NumeroAFNegritaCaracter"/>
        </w:rPr>
        <w:t>3</w:t>
      </w:r>
      <w:r>
        <w:t>. Mediante escrito presentado el 28 de abril de 2004, el Presidente del Senado comunicó que la Mesa de la Cámara, en su reunión del día 27 de abril, había acordado dar por personada a la Cámara en este procedimiento y por ofrecida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4</w:t>
      </w:r>
      <w:r>
        <w:t>. El 28 de abril de 2004, el Abogado del Estado, en la representación que ostenta, compareció en el proceso y solicitó una prórroga del plazo para alegaciones por ocho días más, la cual le fue concedida por providencia de la Sección Segunda del Tribunal Constitucional de 29 de abril de 2004.</w:t>
      </w:r>
    </w:p>
    <w:p w:rsidR="0026452D" w:rsidRDefault="0026452D" w:rsidP="0026452D">
      <w:pPr>
        <w:pStyle w:val="TextoNormal"/>
      </w:pPr>
    </w:p>
    <w:p w:rsidR="0026452D" w:rsidRDefault="0026452D" w:rsidP="0026452D">
      <w:pPr>
        <w:pStyle w:val="TextoNormal"/>
      </w:pPr>
      <w:r w:rsidRPr="0026452D">
        <w:rPr>
          <w:rStyle w:val="NumeroAFNegritaCaracter"/>
        </w:rPr>
        <w:t>5</w:t>
      </w:r>
      <w:r>
        <w:t>. Por escrito registrado el 30 de abril de 2004, el Presidente del Congreso de los Diputados comunicó que la Mesa de la Cámara había acordado, en la reunión celebrada el 27 de abril, no personarse ni formular alegaciones en el presente proceso constitucional, poniendo a disposición del Tribunal las actuaciones de la Cámara que pueda precisar.</w:t>
      </w:r>
    </w:p>
    <w:p w:rsidR="0026452D" w:rsidRDefault="0026452D" w:rsidP="0026452D">
      <w:pPr>
        <w:pStyle w:val="TextoNormal"/>
      </w:pPr>
    </w:p>
    <w:p w:rsidR="0026452D" w:rsidRDefault="0026452D" w:rsidP="0026452D">
      <w:pPr>
        <w:pStyle w:val="TextoNormal"/>
      </w:pPr>
      <w:r w:rsidRPr="0026452D">
        <w:rPr>
          <w:rStyle w:val="NumeroAFNegritaCaracter"/>
        </w:rPr>
        <w:t>6</w:t>
      </w:r>
      <w:r>
        <w:t>. El Abogado del Estado cumplimentó el trámite conferido mediante escrito presentado en el Registro General de este Tribunal el 21 de mayo de 2004, en el que suplica que, previos los trámites legales, se dicte Sentencia por la que se desestime el recurso de inconstitucionalidad contra la Ley Orgánica 14/2003.</w:t>
      </w:r>
    </w:p>
    <w:p w:rsidR="0026452D" w:rsidRDefault="0026452D" w:rsidP="0026452D">
      <w:pPr>
        <w:pStyle w:val="TextoNormal"/>
      </w:pPr>
    </w:p>
    <w:p w:rsidR="0026452D" w:rsidRDefault="0026452D" w:rsidP="0026452D">
      <w:pPr>
        <w:pStyle w:val="TextoNormal"/>
      </w:pPr>
      <w:r>
        <w:t>a) El escrito se inicia con una serie de consideraciones previas, siendo la primera de ellas que el derecho fundamental a la intimidad no es un derecho absoluto de modo que a través de una ley orgánica y otras normas de rango inferior se determina su exacto alcance y eficacia. De esta forma, los elementos esenciales del derecho fundamental, como son la información que ha de suministrarse, las personas afectadas o el destino que ha de darse a la misma, deben ser establecidos mediante ley orgánica, en tanto que los aspectos secundarios o auxiliares de la regulación no están sometidos a reserva legal, de modo que, por razones de una gestión eficaz y razonable, pueden quedar establecidos por normas o decisiones infralegales. En segundo lugar, señala el Abogado del Estado que la cesión de información entre Administraciones públicas para su uso en distintos campos de la actividad administrativa puede establecerse sin vulnerar la Constitución, tal y como se afirmó en la STC 292/2000, de 30 de noviembre. En el caso de los preceptos legales objeto del presente recurso, esta cuestión se resuelve mediante la remisión que, en todos los casos, se hace a la legislación sobre protección de datos, de suerte que queda establecido que, al recibir las Administraciones datos que se han conseguido para otros fines, procede informar al afectado de ese uso en las condiciones establecidas en la Ley Orgánica de protección de datos de carácter personal.</w:t>
      </w:r>
    </w:p>
    <w:p w:rsidR="0026452D" w:rsidRDefault="0026452D" w:rsidP="0026452D">
      <w:pPr>
        <w:pStyle w:val="TextoNormal"/>
      </w:pPr>
    </w:p>
    <w:p w:rsidR="0026452D" w:rsidRDefault="0026452D" w:rsidP="0026452D">
      <w:pPr>
        <w:pStyle w:val="TextoNormal"/>
      </w:pPr>
      <w:r>
        <w:lastRenderedPageBreak/>
        <w:t>A continuación, el Abogado del Estado señala, remitiéndose a lo alegado en los recursos planteados contra la Ley Orgánica 8/2000, de 11 de enero, que la parte recurrente ha olvidado tener en cuenta la virtualidad del ordenamiento jurídico al configurar la situación jurídica de los extranjeros cuando se encuentran en territorio español. La impugnación formulada habría atendido escasamente, a su juicio,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el derecho a residir y el derecho a circular dentro de las fronteras del Estado no son derechos imprescindibles para la dignidad humana, y por tanto, no pertenecen a todas las personas en cuanto tales al margen de su condición de ciudadano.</w:t>
      </w:r>
    </w:p>
    <w:p w:rsidR="0026452D" w:rsidRDefault="0026452D" w:rsidP="0026452D">
      <w:pPr>
        <w:pStyle w:val="TextoNormal"/>
      </w:pPr>
    </w:p>
    <w:p w:rsidR="0026452D" w:rsidRDefault="0026452D" w:rsidP="0026452D">
      <w:pPr>
        <w:pStyle w:val="TextoNormal"/>
      </w:pPr>
      <w:r>
        <w:t>Los preceptos impugnados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la autorización tiene un significado constitutivo de un derecho de configuración legal, que nace con la propia autorización, dado que ningún extranjero tiene un derecho propio a residir o circular en España. En el presente recurso no se ha impugnado ninguno de los preceptos de la Ley que condicionan la estancia o residencia en España al cumplimiento de los requisitos legales (art. 25), ni se ha cuestionado el reverso de estas normas, es decir, la irregularidad o ilicitud de las situaciones que por falta de autorización determinan el deber de abandonar el territorio. Y si el presupuesto del ejercicio de los derechos fundamentales es la estancia o residencia en España, resulta difícil reconocer estos derechos en quienes no deben estar en territorio español.</w:t>
      </w:r>
    </w:p>
    <w:p w:rsidR="0026452D" w:rsidRDefault="0026452D" w:rsidP="0026452D">
      <w:pPr>
        <w:pStyle w:val="TextoNormal"/>
      </w:pPr>
    </w:p>
    <w:p w:rsidR="0026452D" w:rsidRDefault="0026452D" w:rsidP="0026452D">
      <w:pPr>
        <w:pStyle w:val="TextoNormal"/>
      </w:pPr>
      <w:r>
        <w:t>Las disposiciones controvertidas vienen a expresar una incompatibilidad material entre la situación legal de los extranjeros no autorizados a estar o residir y el presupuesto práctico de estos derechos, que es la residencia en España. El legislador, haciendo uso de 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resulta, pues, consecuente admitir como legítima la expulsión del territorio y, al mismo tiempo, combatir una restricción de derechos cuyo ejercicio y efectividad sólo es concebible en una situación normal y regular de residencia en España.</w:t>
      </w:r>
    </w:p>
    <w:p w:rsidR="0026452D" w:rsidRDefault="0026452D" w:rsidP="0026452D">
      <w:pPr>
        <w:pStyle w:val="TextoNormal"/>
      </w:pPr>
    </w:p>
    <w:p w:rsidR="0026452D" w:rsidRDefault="0026452D" w:rsidP="0026452D">
      <w:pPr>
        <w:pStyle w:val="TextoNormal"/>
      </w:pPr>
      <w:r>
        <w:t>El apartado de consideraciones previas se cierra señalando que el Tribunal Constitucional ha de utilizar, como parámetro de sus decisiones, los preceptos de la Constitución, sin que esté vinculado por las decisiones del Tribunal Europeo de Derechos Humanos, si bien en este caso se cumple con la doctrina del Tribunal Europeo, pues la decisión está prevista en una ley orgánica que persigue asegurar que el ordenamiento jurídico del Estado se aplica también a los extranjeros, al objeto de asegurar que se encuentren en una situación regular y es proporcional para el ejercicio de derechos fundamentales.</w:t>
      </w:r>
    </w:p>
    <w:p w:rsidR="0026452D" w:rsidRDefault="0026452D" w:rsidP="0026452D">
      <w:pPr>
        <w:pStyle w:val="TextoNormal"/>
      </w:pPr>
    </w:p>
    <w:p w:rsidR="0026452D" w:rsidRDefault="0026452D" w:rsidP="0026452D">
      <w:pPr>
        <w:pStyle w:val="TextoNormal"/>
      </w:pPr>
      <w:r>
        <w:t xml:space="preserve">b) Entrando en el examen de los concretos preceptos impugnados el Abogado del Estado argumenta, por lo que hace al nuevo art. 66 LOEx, que el precepto recurrido, en contra de </w:t>
      </w:r>
      <w:r>
        <w:lastRenderedPageBreak/>
        <w:t>los que se afirma en la demanda, no atribuye a las autoridades españolas la facultad de decidir si se solicita a los extranjeros que quieren entrar en España determinada información, pues tal exigencia ya está establecida en el ordenamiento jurídico. Lo que supone el precepto es que esa información sea anticipada por el transportista cuando la intensidad de los flujos migratorios lo haga necesario a los efectos de combatir la inmigración ilegal y garantizar la seguridad pública. Se trata de un cuestión accesoria como es el momento de requerir la información, sin que con ello se vulnere el derecho a la intimidad del art. 18 CE, puesto que las autoridades españolas tienen, en todo caso, derecho a obtener esa información y a tratarla para tramitar el expediente de entrada del extranjero a fin de resolver sobre su entrada en territorio español. Asimismo señala el carácter razonable y plenamente justificado de la medida prevista sin que la información obtenida por el transportista vaya a ser destinada a un fin distinto de la lucha contra la inmigración ilegal y la garantía de la seguridad pública, por cuanto éste al requerir la información a la que se refiere el precepto impugnado lo hará con la obligación de señalar los objetivos que se pretenden conseguir con su actuación.</w:t>
      </w:r>
    </w:p>
    <w:p w:rsidR="0026452D" w:rsidRDefault="0026452D" w:rsidP="0026452D">
      <w:pPr>
        <w:pStyle w:val="TextoNormal"/>
      </w:pPr>
    </w:p>
    <w:p w:rsidR="0026452D" w:rsidRDefault="0026452D" w:rsidP="0026452D">
      <w:pPr>
        <w:pStyle w:val="TextoNormal"/>
      </w:pPr>
      <w:r>
        <w:t>c) Respecto a la nueva disposición adicional quinta LOEx, señala que la misma establece el principio general de cesión de datos de las Administraciones públicas en relación con los interesados en los procedimientos regulados en la Ley Orgánica 4/2000, cesión que ha de realizarse cumpliendo todas las garantías previstas en la Ley Orgánica de protección de datos de carácter personal, lo que exige el consentimiento del afectado o su información sobre la cesión y sus objetivos, salvo en los casos excepcionados en la última ley orgánica citada. Este caso se contempla en la disposición impugnada ya que es constitucionalmente posible establecer una cesión de datos sin consentimiento del interesado, siempre que se trate de una medida establecida en una ley, justificada y proporcionada y adoptada en atención a derechos y bienes de relevancia constitucional. En relación con ello señala que la cesión de información prevista tiene por objeto favorecer la eficacia y rapidez en la tramitación de los expedientes de extranjería, lo que facilitará el ejercicio de los derechos de los extranjeros que se encuentren en una situación regular en España así como luchar contra la entrada y estancia irregular de extranjeros en España, evitando situaciones contrarias al ordenamiento jurídico.</w:t>
      </w:r>
    </w:p>
    <w:p w:rsidR="0026452D" w:rsidRDefault="0026452D" w:rsidP="0026452D">
      <w:pPr>
        <w:pStyle w:val="TextoNormal"/>
      </w:pPr>
    </w:p>
    <w:p w:rsidR="0026452D" w:rsidRDefault="0026452D" w:rsidP="0026452D">
      <w:pPr>
        <w:pStyle w:val="TextoNormal"/>
      </w:pPr>
      <w:r>
        <w:t>d) Por lo que respecta al nuevo art. 16.3 de la Ley de bases del régimen local, se alega en el escrito de contestación que el recurso contra este precepto resulta inadmisible porque, en lo que afecta a la fundamentación jurídica de la demanda, la redacción del mismo es reproducción del anteriormente vigente y que no fue impugnado. En cualquier caso, el Abogado del Estado afirma que la precisión sobre cesión de datos del padrón sin el consentimiento del interesado está plenamente justificada por cuanto el mismo es el registro público básico en el que se hace constar la población del Estado en relación con su domicilio, extremo éste que determina que, aunque formalmente se habla en el precepto de cesión de datos, en realidad el uso de los datos del padrón por las Administraciones públicas ha de entenderse como una de las funciones propias de ese registro público. En cuanto a la nueva disposición adicional séptima de la Ley de bases del régimen local señala que la utilización de los datos del padrón por la Dirección General de la Policía está sujeta a las garantías previstas en la legislación sobre protección de datos, de forma que los datos del padrón quedan protegidos en relación con el uso especial que se prevé en el precepto.</w:t>
      </w:r>
    </w:p>
    <w:p w:rsidR="0026452D" w:rsidRDefault="0026452D" w:rsidP="0026452D">
      <w:pPr>
        <w:pStyle w:val="TextoNormal"/>
      </w:pPr>
    </w:p>
    <w:p w:rsidR="0026452D" w:rsidRDefault="0026452D" w:rsidP="0026452D">
      <w:pPr>
        <w:pStyle w:val="TextoNormal"/>
      </w:pPr>
      <w:r>
        <w:t xml:space="preserve">e) En referencia a los requisitos de presentación personal de solicitudes de autorizaciones de residencia y trabajo en los órganos competentes para su tramitación previsto en la nueva </w:t>
      </w:r>
      <w:r>
        <w:lastRenderedPageBreak/>
        <w:t>disposición adicional tercera LOEx, el Abogado del Estado señala que estas especialidades procedimentales se han establecido mediante norma de rango suficiente y buscan la obtención de la mayor eficacia posible en la tramitación del expediente, impidiendo su utilización fraudulenta. Indica, además, que el no haberse establecido ninguna posibilidad de presentación distinta de la solicitud no puede ser calificado de arbitrario, pues tiene una justificación razonable, ni tampoco vulnerador del art. 103 CE, pues se trata de una fórmula prevista para favorecer la tramitación de los expedientes administrativos que no impide ni dificulta el ejercicio de los derechos o el cumplimiento de las obligaciones que la legislación establece en relación con los extranjeros. Del mismo modo, las causas de inadmisión de solicitudes que la demanda tacha de inconstitucionales se justifican en la posibilidad de que el legislador establezca un régimen especial en el ejercicio de los derechos de los extranjeros. A mayor abundamiento se indica que el órgano que acuerda la inadmisión es el competente para resolver, resolución que estará sometida al régimen general de los actos administrativos, estando fundados los motivos de inadmisión por la especialidad de los procedimientos en materia de extranjería, sin que en ningún caso se produzca indefensión al interesado por cuanto éste, una vez haya corregido la situación causante de la inadmisión, puede reiniciar el procedimiento, a la vez que la decisión en tal sentido resulta recurrible ante un Tribunal.</w:t>
      </w:r>
    </w:p>
    <w:p w:rsidR="0026452D" w:rsidRDefault="0026452D" w:rsidP="0026452D">
      <w:pPr>
        <w:pStyle w:val="TextoNormal"/>
      </w:pPr>
    </w:p>
    <w:p w:rsidR="0026452D" w:rsidRDefault="0026452D" w:rsidP="0026452D">
      <w:pPr>
        <w:pStyle w:val="TextoNormal"/>
      </w:pPr>
      <w:r>
        <w:t>f) En cuanto a la constitucionalidad del régimen de devolución, se afirma que la no tramitación de expediente de expulsión en estos casos no significa que no resulten de aplicación las previsiones legales generales sobre la notificación de la resolución al interesado o el carácter recurrible de la misma, tal y como se infiere del Reglamento de la LOEx, aprobado por Real Decreto 846/2001. Finalmente, rechaza la inconstitucionalidad de la posibilidad de adoptar medidas de vigilancia y seguridad en los centros de internamiento de extranjeros así como la utilización de medios de contención y aislamiento de los extranjeros en dichos centros por cuanto se afirma que con la misma se pretende dar mayor seguridad jurídica al régimen de los centros y al ingreso en ellos de los extranjeros, de tal forma que esta actuación está rodeada de garantías tanto por las condiciones para su realización derivadas de los preceptos impugnados como del reconocimiento de derechos de los extranjeros e relación con las mismas.</w:t>
      </w:r>
    </w:p>
    <w:p w:rsidR="0026452D" w:rsidRDefault="0026452D" w:rsidP="0026452D">
      <w:pPr>
        <w:pStyle w:val="TextoNormal"/>
      </w:pPr>
    </w:p>
    <w:p w:rsidR="0026452D" w:rsidRDefault="0026452D" w:rsidP="0026452D">
      <w:pPr>
        <w:pStyle w:val="TextoNormal"/>
      </w:pPr>
      <w:r w:rsidRPr="0026452D">
        <w:rPr>
          <w:rStyle w:val="NumeroAFNegritaCaracter"/>
        </w:rPr>
        <w:t>7</w:t>
      </w:r>
      <w:r>
        <w:t>. Por providencia de 29 de enero de 2013 se señaló para deliberación y votación de la presente Sentencia el día 31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plantea por el Parlamento Vasco contra los arts. 1, en sus apartados 31, 32, 34, 35, 38, 39 y 40; y 3, en sus apartados 3 y 5 de la Ley Orgánica 14/2003, de 20 de noviembre, de reforma de la Ley Orgánica 4/2000, de 11 de enero, sobre derechos y libertades de los extranjeros en España y su integración social (en adelante, LOEx) modificada por la Ley Orgánica 8/2000, de 22 de diciembre; de la Ley 7/1985, de 2 de abril, reguladora de las bases del régimen local; de la Ley 30/1992, de 26 de noviembre, de régimen jurídico de las Administraciones públicas y del procedimiento administrativo común, y de la Ley 3/1991, de 10 de enero, de competencia desleal.</w:t>
      </w:r>
    </w:p>
    <w:p w:rsidR="0026452D" w:rsidRDefault="0026452D" w:rsidP="0026452D">
      <w:pPr>
        <w:pStyle w:val="TextoNormal"/>
      </w:pPr>
    </w:p>
    <w:p w:rsidR="0026452D" w:rsidRDefault="0026452D" w:rsidP="0026452D">
      <w:pPr>
        <w:pStyle w:val="TextoNormal"/>
      </w:pPr>
      <w:r>
        <w:t xml:space="preserve">Como se ha expuesto con más detalle en los antecedentes, el Parlamento Vasco considera inconstitucionales los preceptos legales que se acaban de relacionar fundamentalmente por </w:t>
      </w:r>
      <w:r>
        <w:lastRenderedPageBreak/>
        <w:t>cuatro motivos. A los apartados 35 y 40 del art. 1 así como a los apartados 3 y 5 del art. 3 de la Ley Orgánica 14/2003, les reprocha la vulneración del derecho fundamental a la protección de datos del art. 18.4 CE; achaca a los apartados 38 y 39 del art. 1 de la Ley Orgánica 14/2003 la contravención del art. 149.1.18 CE, en su vertiente de norma de atribución de garantías en los procedimientos administrativos, así como la infracción de los arts. 9.3, 24.2 y 106.1 CE; los apartados 31 y 34 del art.1 se reputan contrarios a los arts. 105 y 24 CE y, por último, sostiene que el apartado 32 del art. 1 vulnera los arts. 9.3, 15, 17, 18, 24, 53.1 y 105 CE. El Abogado del Estado sostiene de contrario la plena constitucionalidad de los preceptos recurridos.</w:t>
      </w:r>
    </w:p>
    <w:p w:rsidR="0026452D" w:rsidRDefault="0026452D" w:rsidP="0026452D">
      <w:pPr>
        <w:pStyle w:val="TextoNormal"/>
      </w:pPr>
    </w:p>
    <w:p w:rsidR="0026452D" w:rsidRDefault="0026452D" w:rsidP="0026452D">
      <w:pPr>
        <w:pStyle w:val="TextoNormal"/>
      </w:pPr>
      <w:r>
        <w:t>Procede en este momento advertir que, durante la pendencia del proceso la Ley Orgánica de derechos y libertades de los extranjeros en España ha sido modificada en otras dos ocasiones mediante las Leyes Orgánicas 2/2009, de 11 de diciembre, y 10/2011, de 27 de julio. La modificación de la Ley Orgánica de derechos y libertades de los extranjeros en España llevada a cabo por la primera de las citadas ha afectado, en los términos que oportunamente se expondrán, a algunos de los preceptos de esta ley orgánica que, en la redacción que a los mismos dio la Ley Orgánica 14/2003, han sido recurridos en el presente proceso constitucional.</w:t>
      </w:r>
    </w:p>
    <w:p w:rsidR="0026452D" w:rsidRDefault="0026452D" w:rsidP="0026452D">
      <w:pPr>
        <w:pStyle w:val="TextoNormal"/>
      </w:pPr>
    </w:p>
    <w:p w:rsidR="0026452D" w:rsidRDefault="0026452D" w:rsidP="0026452D">
      <w:pPr>
        <w:pStyle w:val="TextoNormal"/>
      </w:pPr>
      <w:r w:rsidRPr="0026452D">
        <w:rPr>
          <w:rStyle w:val="NumeroAFNegritaCaracter"/>
        </w:rPr>
        <w:t>2</w:t>
      </w:r>
      <w:r>
        <w:t>. Así pues las cuestiones que ha planteado el recurrente se centran, esencialmente, en torno a lo que considera injustificadas limitaciones de derechos en materia de extranjería, limitaciones que afectarían, en el orden en que se formulan en el escrito de interposición, al derecho fundamental a la protección de datos personales que deriva del art. 18.4 CE; a las garantías exigibles a todo procedimiento administrativo en esta materia; al art. 24 CE en cuanto que las garantías establecidas en dicho precepto son aplicables también a los procedimientos administrativos sancionadores, en cuanto que son manifestación de la potestad punitiva del Estado, con las matizaciones que resulten de su propia naturaleza, y, finalmente, a la libertad personal del art. 17.1 CE así como al derecho fundamental a la intimidad personal, protegido por el art. 18 CE y, nuevamente, al art. 24 CE, en la medida en que resulta de aplicación a la actividad sancionadora de la Administración.</w:t>
      </w:r>
    </w:p>
    <w:p w:rsidR="0026452D" w:rsidRDefault="0026452D" w:rsidP="0026452D">
      <w:pPr>
        <w:pStyle w:val="TextoNormal"/>
      </w:pPr>
    </w:p>
    <w:p w:rsidR="0026452D" w:rsidRDefault="0026452D" w:rsidP="0026452D">
      <w:pPr>
        <w:pStyle w:val="TextoNormal"/>
      </w:pPr>
      <w:r>
        <w:t>Siendo el anterior el planteamiento del recurrente, resulta inevitable que, en la resolución del presente recurso, tengamos presente nuestra consolidada doctrina acerca de la determinación de la posición jurídica de los extranjeros, según la cual, a partir de los arts. 10.1 y 13 CE, hemos establecido, en cuanto a la titularidad y ejercicio de los derechos fundamentales de los extranjeros en España, una distinción tripartita que se basa en la distinta libertad del legislador al que remite el art. 13.1 CE para regular la titularidad y el ejercicio de los distintos derechos del título I, pues aquélla depende del concreto derecho afectado. Así, una interpretación sistemática del repetido precepto constitucional impide sostener que los extranjeros gozarán en España sólo de los derechos y libertades que establezcan los tratados y el legislador (SSTC 107/1984, de 23 de noviembre, FJ 3; 99/1985, de 30 de septiembre, FJ 2), dejando en manos de éste la potestad de decidir qué derechos del título I les pueden corresponder y cuáles no pues ha de tenerse también presente la conexión del derecho fundamental afectado con la garantía de la dignidad humana. Por otra parte, existen en ese título derechos cuya titularidad se reserva en exclusiva a los españoles (los reconocidos en el art. 23 CE, con la salvedad que contiene), prohibiendo la misma Constitución (art. 13.2 CE) que el legislador los extienda a los extranjeros (en este sentido, por todas STC 236/2007, de 7 de noviembre, FFJJ 3 y 4).</w:t>
      </w:r>
    </w:p>
    <w:p w:rsidR="0026452D" w:rsidRDefault="0026452D" w:rsidP="0026452D">
      <w:pPr>
        <w:pStyle w:val="TextoNormal"/>
      </w:pPr>
    </w:p>
    <w:p w:rsidR="0026452D" w:rsidRDefault="0026452D" w:rsidP="0026452D">
      <w:pPr>
        <w:pStyle w:val="TextoNormal"/>
      </w:pPr>
      <w:r>
        <w:t>Así pues, es posible afirmar que, como se deduce de los pronunciamientos de este Tribunal, existen derechos que, en tanto que inherentes a la dignidad humana, corresponden por igual a españoles y extranjeros; igualmente existen derechos, como los reconocidos en el art. 23 CE en relación con el 13.2 CE, que no pertenecen en modo alguno a los extranjeros y, finalmente, un tercer grupo serían aquellos derechos que pertenecerán o no a los extranjeros según lo dispongan los tratados y las leyes, siendo entonces admisible la diferencia de trato con los españoles en cuanto a su ejercicio.</w:t>
      </w:r>
    </w:p>
    <w:p w:rsidR="0026452D" w:rsidRDefault="0026452D" w:rsidP="0026452D">
      <w:pPr>
        <w:pStyle w:val="TextoNormal"/>
      </w:pPr>
    </w:p>
    <w:p w:rsidR="0026452D" w:rsidRDefault="0026452D" w:rsidP="0026452D">
      <w:pPr>
        <w:pStyle w:val="TextoNormal"/>
      </w:pPr>
      <w:r>
        <w:t>Por tanto, el punto de partida del enjuiciamiento que se nos demanda ha de venir dado por la constatación de que, como recuerda la STC 236/2007, de 27 de noviembre, FJ 4, “debemos afirmar que el art. 13.1 CE concede al legislador una notable libertad para regular los derechos de los extranjeros en España, pudiendo establecer determinadas condiciones para su ejercicio. Sin embargo, una regulación de este tenor deberá tener en cuenta, en primer lugar, el grado de conexión de los concretos derechos con la garantía de la dignidad humana, según los criterios expuestos; en segundo lugar, el contenido preceptivo del derecho, cuando éste venga reconocido a los extranjeros directamente por la Constitución; en tercer lugar, y en todo caso, el contenido delimitado para el derecho por la Constitución y los tratados internacionales. Por último, las condiciones de ejercicio establecidas por la Ley deberán dirigirse a preservar otros derechos, bienes o intereses constitucionalmente protegidos, y guardar adecuada proporcionalidad con la finalidad perseguida”.</w:t>
      </w:r>
    </w:p>
    <w:p w:rsidR="0026452D" w:rsidRDefault="0026452D" w:rsidP="0026452D">
      <w:pPr>
        <w:pStyle w:val="TextoNormal"/>
      </w:pPr>
    </w:p>
    <w:p w:rsidR="0026452D" w:rsidRDefault="0026452D" w:rsidP="0026452D">
      <w:pPr>
        <w:pStyle w:val="TextoNormal"/>
      </w:pPr>
      <w:r>
        <w:t>Señalado lo anterior hemos de indicar que, a la vista del planteamiento realizado por la parte actora, la cual agrupa los preceptos recurridos atendiendo a las tachas de inconstitucionalidad que les imputa, abordaremos de esa misma forma el examen de fondo de los preceptos objeto del recurso, siguiendo, a esos efectos, el orden en el que los mismos se impugnan en el escrito de interposición.</w:t>
      </w:r>
    </w:p>
    <w:p w:rsidR="0026452D" w:rsidRDefault="0026452D" w:rsidP="0026452D">
      <w:pPr>
        <w:pStyle w:val="TextoNormal"/>
      </w:pPr>
    </w:p>
    <w:p w:rsidR="0026452D" w:rsidRDefault="0026452D" w:rsidP="0026452D">
      <w:pPr>
        <w:pStyle w:val="TextoNormal"/>
      </w:pPr>
      <w:r w:rsidRPr="0026452D">
        <w:rPr>
          <w:rStyle w:val="NumeroAFNegritaCaracter"/>
        </w:rPr>
        <w:t>3</w:t>
      </w:r>
      <w:r>
        <w:t>. De acuerdo con ello comenzaremos examinando las alegadas vulneraciones del derecho fundamental consagrado en el art. 18.4 CE que, en lo relativo al acceso, cesión y comunicación de datos de carácter personal, se imputan a los apartados 35 y 40 del art. 1 así como a los apartados 3 y 5 del art. 3 de la Ley Orgánica 14/2003.</w:t>
      </w:r>
    </w:p>
    <w:p w:rsidR="0026452D" w:rsidRDefault="0026452D" w:rsidP="0026452D">
      <w:pPr>
        <w:pStyle w:val="TextoNormal"/>
      </w:pPr>
    </w:p>
    <w:p w:rsidR="0026452D" w:rsidRDefault="0026452D" w:rsidP="0026452D">
      <w:pPr>
        <w:pStyle w:val="TextoNormal"/>
      </w:pPr>
      <w:r>
        <w:t xml:space="preserve">La representación procesal del Parlamento Vasco sostiene en su demanda que los preceptos a los que se ha hecho mención vulneran el contenido esencial del derecho fundamental a la libertad informática reconocido por el art. 18.4 CE, con el alcance que a dicho precepto ha otorgado la doctrina constitucional (por todas, STC 292/2000, de 30 de noviembre), uno de cuyos aspectos esenciales es la necesidad de acordar y consentir por el interesado las operaciones a que sus datos personales puedan someterse. De esta forma argumenta que las limitaciones introducidas en este contenido esencial del derecho fundamental han de venir establecidas por una ley y estar justificadas en la protección de otro derecho o bien constitucional amén de ser proporcionadas al fin perseguido por el mismo, so pena de ser tachadas de arbitrarias. Este planteamiento es rechazado por el Abogado del Estado, para el cual no estamos ante un derecho de carácter absoluto, pues puede ser sometido a límites, siempre que la norma legal no haga impracticable el derecho fundamental afectado o la garantía que la Constitución le otorga en sus aspectos esenciales. Resultando así posible que los aspectos secundarios o auxiliares de la regulación puedan quedar establecidos por normas o decisiones infralegales, de forma que la cesión de información entre Administraciones públicas </w:t>
      </w:r>
      <w:r>
        <w:lastRenderedPageBreak/>
        <w:t>para su uso en distintos campos de la actividad administrativa puede perfectamente establecerse sin vulnerar la Constitución si la misma se dispone por una ley y se encuentra debidamente justificada.</w:t>
      </w:r>
    </w:p>
    <w:p w:rsidR="0026452D" w:rsidRDefault="0026452D" w:rsidP="0026452D">
      <w:pPr>
        <w:pStyle w:val="TextoNormal"/>
      </w:pPr>
    </w:p>
    <w:p w:rsidR="0026452D" w:rsidRDefault="0026452D" w:rsidP="0026452D">
      <w:pPr>
        <w:pStyle w:val="TextoNormal"/>
      </w:pPr>
      <w:r w:rsidRPr="0026452D">
        <w:rPr>
          <w:rStyle w:val="NumeroAFNegritaCaracter"/>
        </w:rPr>
        <w:t>4</w:t>
      </w:r>
      <w:r>
        <w:t>. Expuestas de este modo las alegaciones generales de las partes, y sin perjuicio de lo que más adelante se dirá en relación con cada uno de los concretos preceptos impugnados, el examen del motivo de inconstitucionalidad alegado ha de comenzar indagando en torno al contenido constitucionalmente declarado del derecho a la protección de datos personales del art. 18.4 CE, para, a continuación, valorar si las limitaciones impuestas por el legislador orgánico resultan constitucionalmente lícitas a la luz del contenido esencial del derecho. Conforme con ello, hemos de recordar ahora que, como dispone el art. 3 LOEx, recogiendo el mandato constitucional contenido en el art. 13 CE, los extranjeros gozarán en España de los derechos y libertades reconocidos en el título I de la Constitución en los términos establecidos en los tratados internacionales, en la propia LOEx y en las leyes que regulen el ejercicio de cada uno de ellos. Así, encontrándose el derecho fundamental a la protección de datos reconocido en el art. 18.4 CE, es evidente que los extranjeros han de ser considerados titulares del mismo, tal como éste derecho fundamental ha sido reconocido por el legislador orgánico, el cual no distingue entre españoles y extranjeros en dicho reconocimiento. Debe recordarse, asimismo, que la Carta de los derechos fundamentales de la Unión Europea recoge, en su art. 8, el reconocimiento al derecho a la protección de datos, lo que también hace el Convenio núm. 108 del Consejo de Europa para la protección de las personas con respecto al tratamiento automatizado de los datos de carácter personal. En el mismo sentido la Directiva 1995/46/CE, de 24 de octubre, establece las condiciones en las que los Estados miembros han de garantizar la protección del derecho a la intimidad de las personas físicas, en lo que respecta al tratamiento de los datos personales.</w:t>
      </w:r>
    </w:p>
    <w:p w:rsidR="0026452D" w:rsidRDefault="0026452D" w:rsidP="0026452D">
      <w:pPr>
        <w:pStyle w:val="TextoNormal"/>
      </w:pPr>
    </w:p>
    <w:p w:rsidR="0026452D" w:rsidRDefault="0026452D" w:rsidP="0026452D">
      <w:pPr>
        <w:pStyle w:val="TextoNormal"/>
      </w:pPr>
      <w:r>
        <w:t>Sentado así que los extranjeros gozan en España del derecho fundamental derivado del art. 18.4 CE en las mismas condiciones que los españoles, debe señalarse que con ello, evidentemente, no se impide el establecimiento de límites al mismo, limitación que ha de respetar su contenido constitucionalmente declarado y encontrar su fundamento en otros bienes o derechos constitucionalmente protegidos. Así pues, en el enjuiciamiento del primer grupo de preceptos impugnados habremos de partir de nuestra doctrina respecto al derecho fundamental que se deriva del art. 18.4 CE, doctrina sistematizada en la STC 292/2000, de 30 de noviembre, resolutoria del recurso de inconstitucionalidad núm. 1463-2000, promovido por el Defensor del Pueblo respecto de los arts. 21.1 y 24.1 y 2 de la Ley Orgánica 15/1999, de 13 de diciembre, de protección de datos de carácter personal (en adelante, LOPD). En el fundamento jurídico 5 de la citada Sentencia establecimos, recogiendo la doctrina de anteriores pronunciamientos de este Tribunal, que la entonces llamada “libertad informática” se configura como “un derecho a controlar el uso de los datos insertos en un programa informático (</w:t>
      </w:r>
      <w:r w:rsidRPr="0026452D">
        <w:rPr>
          <w:i/>
        </w:rPr>
        <w:t>habeas data</w:t>
      </w:r>
      <w:r>
        <w:t xml:space="preserve">) y comprende, entre otros aspectos, la oposición del ciudadano a que determinados datos personales sean utilizados para fines distintos de aquel legítimo que justificó su obtención (SSTC 11/1998, FJ 5; 94/1998, FJ 4)”. De acuerdo con los fundamentos jurídicos 6 y 7 de la mencionada STC 292/2000, este derecho fundamental no reduce su protección a los datos íntimos, sino que su objeto es más amplio, refiriéndose a cualquier tipo de dato personal y viniendo constituido su contenido por un haz de facultades consistentes en diversos poderes que imponen a terceros correlativos deberes. En definitiva, el contenido del derecho a la protección de datos personales incorpora un poder de disposición </w:t>
      </w:r>
      <w:r>
        <w:lastRenderedPageBreak/>
        <w:t>y control sobre los datos personales, que constituye parte del contenido del derecho fundamental a la protección de datos, y se concreta jurídicamente en la facultad de consentir la recogida, la obtención y el acceso a los datos personales, su posterior almacenamiento y tratamiento, así como su uso o usos posibles, por un tercero, sea el Estado o un particular. Por ello, la recogida y posterior tratamiento de los datos de carácter personal se ha de fundamentar en el consentimiento de su titular, facultad que sólo cabe limitar en atención a derechos y bienes de relevancia constitucional, de modo que esa limitación esté justificada, sea proporcionada y, además, se establezca por Ley. Así en el fundamento jurídico 11 de la reiterada STC 292/2000 afirmamos:</w:t>
      </w:r>
    </w:p>
    <w:p w:rsidR="0026452D" w:rsidRDefault="0026452D" w:rsidP="0026452D">
      <w:pPr>
        <w:pStyle w:val="TextoNormal"/>
      </w:pPr>
    </w:p>
    <w:p w:rsidR="0026452D" w:rsidRDefault="0026452D" w:rsidP="0026452D">
      <w:pPr>
        <w:pStyle w:val="TextoNormal"/>
      </w:pPr>
      <w:r>
        <w:t>“[E]l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(SSTC 11/1981, de 8 de abril, FJ 7; 196/1987, de 11 de diciembre, FJ 6; y respecto del art. 18, la STC 110/1984, FJ 5).”</w:t>
      </w:r>
    </w:p>
    <w:p w:rsidR="0026452D" w:rsidRDefault="0026452D" w:rsidP="0026452D">
      <w:pPr>
        <w:pStyle w:val="TextoNormal"/>
      </w:pPr>
    </w:p>
    <w:p w:rsidR="0026452D" w:rsidRDefault="0026452D" w:rsidP="0026452D">
      <w:pPr>
        <w:pStyle w:val="TextoNormal"/>
      </w:pPr>
      <w:r>
        <w:t>Y en el mismo sentido, dijimos:</w:t>
      </w:r>
    </w:p>
    <w:p w:rsidR="0026452D" w:rsidRDefault="0026452D" w:rsidP="0026452D">
      <w:pPr>
        <w:pStyle w:val="TextoNormal"/>
      </w:pPr>
    </w:p>
    <w:p w:rsidR="0026452D" w:rsidRDefault="0026452D" w:rsidP="0026452D">
      <w:pPr>
        <w:pStyle w:val="TextoNormal"/>
      </w:pPr>
      <w:r>
        <w:t>“Justamente, si la Ley es la única habilitada por la Constitución para fijar los límites a los derechos fundamentales y, en el caso presente, al derecho fundamental a la protección de datos, y esos límites no pueden ser distintos a los constitucionalmente previstos, que para el caso no son otros que los derivados de la coexistencia de este derecho fundamental con otros derechos y bienes jurídicos de rango constitucional, el apoderamiento legal que permita a un Poder Público recoger, almacenar, tratar, usar y, en su caso, ceder datos personales, sólo está justificado si responde a la protección de otros derechos fundamentales o bienes constitucionalmente protegidos. Por tanto, si aquellas operaciones con los datos personales de una persona no se realizan con estricta observancia de las normas que lo regulan, se vulnera el derecho a la protección de datos, pues se le imponen límites constitucionalmente ilegítimos, ya sea a su contenido o al ejercicio del haz de facultades que lo componen. Como lo conculcará también esa Ley limitativa si regula los límites de forma tal que hagan impracticable el derecho fundamental afectado o ineficaz la garantía que la Constitución le otorga.”</w:t>
      </w:r>
    </w:p>
    <w:p w:rsidR="0026452D" w:rsidRDefault="0026452D" w:rsidP="0026452D">
      <w:pPr>
        <w:pStyle w:val="TextoNormal"/>
      </w:pPr>
    </w:p>
    <w:p w:rsidR="0026452D" w:rsidRDefault="0026452D" w:rsidP="0026452D">
      <w:pPr>
        <w:pStyle w:val="TextoNormal"/>
      </w:pPr>
      <w:r>
        <w:t>Con arreglo a tales criterios en la STC 292/2000 declaramos inconstitucional un determinado inciso del apartado 1 del art. 21 de la Ley Orgánica 15/1999, de 13 de diciembre, de protección de datos de carácter personal, por cuanto regulaba la posibilidad de que una norma reglamentaria permitiera la cesión de datos entre Administraciones públicas para ser empleados en el ejercicio de competencias o para materias distintas a las que motivaron su originaria recogida sin necesidad de recabar previamente el consentimiento del interesado (art. 11.1 LOPD, en relación con lo dispuesto en los arts. 4.1 y 2 y 5.4 y 5), soslayando de esta forma la obligada reserva de ley derivada del art. 53.1 para el establecimiento de la regulación y los límites de un derecho fundamental.</w:t>
      </w:r>
    </w:p>
    <w:p w:rsidR="0026452D" w:rsidRDefault="0026452D" w:rsidP="0026452D">
      <w:pPr>
        <w:pStyle w:val="TextoNormal"/>
      </w:pPr>
    </w:p>
    <w:p w:rsidR="0026452D" w:rsidRDefault="0026452D" w:rsidP="0026452D">
      <w:pPr>
        <w:pStyle w:val="TextoNormal"/>
      </w:pPr>
      <w:r>
        <w:t>En conclusión, tal como establece nuestra doctrina, es claro que la Ley Orgánica de protección de datos no permite la comunicación indiscriminada de datos personales entre Ad</w:t>
      </w:r>
      <w:r>
        <w:lastRenderedPageBreak/>
        <w:t>ministraciones públicas dado que, además, estos datos están, en principio, afectos a finalidades concretas y predeterminadas que son las que motivaron su recogida y tratamiento. Por tanto, la cesión de datos entre Administraciones públicas sin consentimiento del afectado, cuando se cedan para el ejercicio de competencias distintas o que versen sobre materias distintas de aquellas que motivaron su recogida, únicamente será posible, fuera de los supuestos expresamente previstos por la propia Ley Orgánica de protección de datos, si existe previsión legal expresa para ello [art. 11.2 a) en relación con el 6.1 LOPD] ya que, a tenor de lo dispuesto en el art. 53.1 CE, los límites al derecho a consentir la cesión de los datos a fines distintos para los que fueron recabados están sometidos a reserva de ley. Reserva legal que, como es obvio, habrá de cumplir con los restantes requisitos derivados de nuestra doctrina —esencialmente, basarse en bienes de dimensión constitucional y respetar las exigencias del principio de proporcionalidad— para poder considerar conforme con la Constitución la circunstancia de que la norma legal en cuestión no contemple, por tanto, la necesidad de contar con el consentimiento del afectado para autorizar la cesión de datos.</w:t>
      </w:r>
    </w:p>
    <w:p w:rsidR="0026452D" w:rsidRDefault="0026452D" w:rsidP="0026452D">
      <w:pPr>
        <w:pStyle w:val="TextoNormal"/>
      </w:pPr>
    </w:p>
    <w:p w:rsidR="0026452D" w:rsidRDefault="0026452D" w:rsidP="0026452D">
      <w:pPr>
        <w:pStyle w:val="TextoNormal"/>
      </w:pPr>
      <w:r>
        <w:t xml:space="preserve">Conforme a nuestra doctrina (STC 292/2000, FJ 16) corresponde al legislador determinar cuándo concurre ese bien o derecho que justifica la restricción del derecho a la protección de datos personales y en qué circunstancias puede limitarse. La finalidad de este derecho fundamental es garantizar a la persona un poder de disposición sobre el uso y destino de sus datos con el propósito de impedir su tráfico ilícito y lesivo para la dignidad y derecho del afectado, garantizando a los individuos un poder de disposición sobre esos datos, mientras que, para los poderes públicos, el derecho fundamental a la protección de los datos personales impone la prohibición de que se conviertan en fuentes de esa información sin las debidas garantías; y también el deber de prevenir los riesgos que puedan derivarse del acceso o divulgación indebidas de dicha información (STC 292/2000, FJ 6 </w:t>
      </w:r>
      <w:r w:rsidRPr="0026452D">
        <w:rPr>
          <w:i/>
        </w:rPr>
        <w:t>in fine</w:t>
      </w:r>
      <w:r>
        <w:t>). En consecuencia debemos pronunciarnos acerca de si la limitación que, a juicio de la parte actora en el presente proceso constitucional, producen las disposiciones controvertidas está justificada y resulta necesaria y proporcionada puesto que las normas legales deben conciliar el bien jurídico protegido por el derecho fundamental que se reputa vulnerado, esto es, el derecho a la privacidad de las personas, expresado en el control sobre sus datos personales y la finalidad con la que los mismos se utilizan, con la garantía de otros bienes de relevancia constitucional.</w:t>
      </w:r>
    </w:p>
    <w:p w:rsidR="0026452D" w:rsidRDefault="0026452D" w:rsidP="0026452D">
      <w:pPr>
        <w:pStyle w:val="TextoNormal"/>
      </w:pPr>
    </w:p>
    <w:p w:rsidR="0026452D" w:rsidRDefault="0026452D" w:rsidP="0026452D">
      <w:pPr>
        <w:pStyle w:val="TextoNormal"/>
      </w:pPr>
      <w:r w:rsidRPr="0026452D">
        <w:rPr>
          <w:rStyle w:val="NumeroAFNegritaCaracter"/>
        </w:rPr>
        <w:t>5</w:t>
      </w:r>
      <w:r>
        <w:t>. Establecido en la forma expuesta el contenido esencial del derecho a la protección de datos personales que se deriva de nuestra doctrina, esto es, aquella parte del contenido que es ineludiblemente necesaria para que el derecho permita a su titular la satisfacción de los intereses para cuya consecución el derecho se otorga, procede ahora indicar, en cuanto la identificación de un bien o interés de relevancia constitucional al cual sirve la limitación de otro bien constitucional, en este caso el derecho a la protección de datos de carácter personal, lo que afirmamos en la STC 53/2002, de 27 de febrero, FJ 9, en un supuesto en que el derecho afectado era la libertad personal por un período de tiempo determinado. En ese sentido señalamos:</w:t>
      </w:r>
    </w:p>
    <w:p w:rsidR="0026452D" w:rsidRDefault="0026452D" w:rsidP="0026452D">
      <w:pPr>
        <w:pStyle w:val="TextoNormal"/>
      </w:pPr>
    </w:p>
    <w:p w:rsidR="0026452D" w:rsidRDefault="0026452D" w:rsidP="0026452D">
      <w:pPr>
        <w:pStyle w:val="TextoNormal"/>
      </w:pPr>
      <w:r>
        <w:t xml:space="preserve">“[E]l cumplimiento de la ley —en especial de la legislación de extranjería— es un bien constitucional con asiento en los arts. 10.1 y 13.1 CE: expresamente se refiere el art. 10.1 CE al “respeto a la ley” como fundamento del orden político y de la paz social. Además, el art. 13.1 CE expresamente remite a la Ley el régimen de libertades de los extranjeros en </w:t>
      </w:r>
      <w:r>
        <w:lastRenderedPageBreak/>
        <w:t>España. Por lo dicho, ninguna duda puede caber de que el respeto a la legislación sobre entrada, estancia y residencia en España goza de relevancia constitucional.”</w:t>
      </w:r>
    </w:p>
    <w:p w:rsidR="0026452D" w:rsidRDefault="0026452D" w:rsidP="0026452D">
      <w:pPr>
        <w:pStyle w:val="TextoNormal"/>
      </w:pPr>
    </w:p>
    <w:p w:rsidR="0026452D" w:rsidRDefault="0026452D" w:rsidP="0026452D">
      <w:pPr>
        <w:pStyle w:val="TextoNormal"/>
      </w:pPr>
      <w:r>
        <w:t>Igualmente, a este carácter del respeto a la ley en tanto que habilitante para derivar del mismo limitaciones a los derechos individuales ya nos hemos referido en nuestra doctrina pues, conforme al art. 10.1 CE, el respeto a la ley, esto es, el mantenimiento y preservación de una situación preexistente creada por las normas mediante las cuales se regula una determinada actividad o ámbito, es uno de los fundamentos del orden político y de la paz social (en tal sentido, STC 160/1999, de 18 de julio, FJ 11). Ahora bien, identificada la existencia de un bien constitucional al que sirve la restricción del derecho fundamental a la protección de datos también debemos declarar que el respeto a la ley (así, a la de extranjería) sólo permite restricciones limitadas, controladas y ciertas sobre otro bien constitucional ya que, como recuerda la propia STC 292/2000, FJ 11, “los derechos fundamentales pueden ceder, desde luego, ante bienes, e incluso intereses constitucionalmente relevantes, siempre que el recorte que experimenten sea necesario para lograr el fin legítimo previsto, proporcionado para alcanzarlo y, en todo caso, sea respetuoso con el contenido esencial del derecho fundamental restringido (SSTC 57/1994, de 28 de febrero, FJ 6; 18/1999, de 22 de febrero, FJ 2)”.</w:t>
      </w:r>
    </w:p>
    <w:p w:rsidR="0026452D" w:rsidRDefault="0026452D" w:rsidP="0026452D">
      <w:pPr>
        <w:pStyle w:val="TextoNormal"/>
      </w:pPr>
    </w:p>
    <w:p w:rsidR="0026452D" w:rsidRDefault="0026452D" w:rsidP="0026452D">
      <w:pPr>
        <w:pStyle w:val="TextoNormal"/>
      </w:pPr>
      <w:r w:rsidRPr="0026452D">
        <w:rPr>
          <w:rStyle w:val="NumeroAFNegritaCaracter"/>
        </w:rPr>
        <w:t>6</w:t>
      </w:r>
      <w:r>
        <w:t>. Teniendo en cuenta lo anteriormente expuesto podemos iniciar ya el examen del primer grupo de preceptos impugnados por el Parlamento Vasco. A estos efectos, siguiendo el orden de las alegaciones del recurrente, comenzaremos por el art. 66 LOEx, precepto que, en la redacción que al mismo ha dado el art. 1.35 de la Ley Orgánica 14/2003, de 20 de noviembre, disponía lo siguiente:</w:t>
      </w:r>
    </w:p>
    <w:p w:rsidR="0026452D" w:rsidRDefault="0026452D" w:rsidP="0026452D">
      <w:pPr>
        <w:pStyle w:val="TextoNormal"/>
      </w:pPr>
    </w:p>
    <w:p w:rsidR="0026452D" w:rsidRDefault="0026452D" w:rsidP="0026452D">
      <w:pPr>
        <w:pStyle w:val="TextoNormal"/>
      </w:pPr>
      <w:r>
        <w:t>“Artículo 66. Obligaciones de los transportistas</w:t>
      </w:r>
    </w:p>
    <w:p w:rsidR="0026452D" w:rsidRDefault="0026452D" w:rsidP="0026452D">
      <w:pPr>
        <w:pStyle w:val="TextoNormal"/>
      </w:pPr>
    </w:p>
    <w:p w:rsidR="0026452D" w:rsidRDefault="0026452D" w:rsidP="0026452D">
      <w:pPr>
        <w:pStyle w:val="TextoNormal"/>
      </w:pPr>
      <w:r>
        <w:t>1. Cuando así lo determinen las autoridades españolas respecto de las rutas procedentes de fuera del Espacio Schengen en las que la intensidad de los flujos migratorios lo haga necesario, a efectos de combatir la inmigración ilegal y garantizar la seguridad pública, toda compañía, empresa de transporte o transportista estará obligada, en el momento de finalización del embarque y antes de la salida del medio de transporte, a remitir a las autoridades españolas encargadas del control de entrada la información relativa a los pasajeros que vayan a ser trasladados, ya sea por vía aérea, marítima o terrestre, y con independencia de que el transporte sea en tránsito o como destino final, al territorio español.</w:t>
      </w:r>
    </w:p>
    <w:p w:rsidR="0026452D" w:rsidRDefault="0026452D" w:rsidP="0026452D">
      <w:pPr>
        <w:pStyle w:val="TextoNormal"/>
      </w:pPr>
    </w:p>
    <w:p w:rsidR="0026452D" w:rsidRDefault="0026452D" w:rsidP="0026452D">
      <w:pPr>
        <w:pStyle w:val="TextoNormal"/>
      </w:pPr>
      <w:r>
        <w:t>La información será comprensiva del nombre y apellidos de cada pasajero, de su fecha de nacimiento, nacionalidad, número de pasaporte o del documento de viaje que acredite su identidad.</w:t>
      </w:r>
    </w:p>
    <w:p w:rsidR="0026452D" w:rsidRDefault="0026452D" w:rsidP="0026452D">
      <w:pPr>
        <w:pStyle w:val="TextoNormal"/>
      </w:pPr>
    </w:p>
    <w:p w:rsidR="0026452D" w:rsidRDefault="0026452D" w:rsidP="0026452D">
      <w:pPr>
        <w:pStyle w:val="TextoNormal"/>
      </w:pPr>
      <w:r>
        <w:t>2. Toda compañía, empresa de transporte o transportista estará obligada a enviar a las autoridades españolas encargadas del control de entrada la información comprensiva del número de billetes de vuelta no utilizados por los pasajeros que previamente hubiesen transportado a España, ya sea por vía aérea, marítima o terrestre, y con independencia de que el transporte sea en tránsito o como destino final, de rutas procedentes de fuera del Espacio Schengen.</w:t>
      </w:r>
    </w:p>
    <w:p w:rsidR="0026452D" w:rsidRDefault="0026452D" w:rsidP="0026452D">
      <w:pPr>
        <w:pStyle w:val="TextoNormal"/>
      </w:pPr>
    </w:p>
    <w:p w:rsidR="0026452D" w:rsidRDefault="0026452D" w:rsidP="0026452D">
      <w:pPr>
        <w:pStyle w:val="TextoNormal"/>
      </w:pPr>
      <w:r>
        <w:lastRenderedPageBreak/>
        <w:t>Cuando así lo determinen las autoridades españolas, en los términos y a los efectos indicados en el apartado anterior, la información comprenderá, además, para pasajeros no nacionales de la Unión Europea, del Espacio Económico Europeo o de países con los que exista un convenio internacional que extienda el régimen jurídico previsto para los ciudadanos de los Estados mencionados, el nombre y apellidos de cada pasajero, su fecha de nacimiento, nacionalidad, número de pasaporte o del documento de viaje que acredite su identidad.</w:t>
      </w:r>
    </w:p>
    <w:p w:rsidR="0026452D" w:rsidRDefault="0026452D" w:rsidP="0026452D">
      <w:pPr>
        <w:pStyle w:val="TextoNormal"/>
      </w:pPr>
    </w:p>
    <w:p w:rsidR="0026452D" w:rsidRDefault="0026452D" w:rsidP="0026452D">
      <w:pPr>
        <w:pStyle w:val="TextoNormal"/>
      </w:pPr>
      <w:r>
        <w:t>La información señalada en el presente apartado deberá enviarse en un plazo no superior a 48 horas desde la fecha de caducidad del billete.</w:t>
      </w:r>
    </w:p>
    <w:p w:rsidR="0026452D" w:rsidRDefault="0026452D" w:rsidP="0026452D">
      <w:pPr>
        <w:pStyle w:val="TextoNormal"/>
      </w:pPr>
    </w:p>
    <w:p w:rsidR="0026452D" w:rsidRDefault="0026452D" w:rsidP="0026452D">
      <w:pPr>
        <w:pStyle w:val="TextoNormal"/>
      </w:pPr>
      <w:r>
        <w:t>3. Asimismo, toda compañía, empresa de transporte o transportista estará obligada a:</w:t>
      </w:r>
    </w:p>
    <w:p w:rsidR="0026452D" w:rsidRDefault="0026452D" w:rsidP="0026452D">
      <w:pPr>
        <w:pStyle w:val="TextoNormal"/>
      </w:pPr>
    </w:p>
    <w:p w:rsidR="0026452D" w:rsidRDefault="0026452D" w:rsidP="0026452D">
      <w:pPr>
        <w:pStyle w:val="TextoNormal"/>
      </w:pPr>
      <w:r>
        <w:t>a) Realizar la debida comprobación de la validez y vigencia, tanto de los pasaportes, títulos de viaje o documentos de identidad pertinentes, como, en su caso, del correspondiente visado de los que habrán de ser titulares los extranjeros.</w:t>
      </w:r>
    </w:p>
    <w:p w:rsidR="0026452D" w:rsidRDefault="0026452D" w:rsidP="0026452D">
      <w:pPr>
        <w:pStyle w:val="TextoNormal"/>
      </w:pPr>
    </w:p>
    <w:p w:rsidR="0026452D" w:rsidRDefault="0026452D" w:rsidP="0026452D">
      <w:pPr>
        <w:pStyle w:val="TextoNormal"/>
      </w:pPr>
      <w:r>
        <w:t>b) Hacerse cargo inmediatamente del extranjero que hubiese trasladado hasta la frontera aérea, marítima o terrestre correspondiente del territorio español, si a éste se le hubiera denegado la entrada por deficiencias en la documentación necesaria para el cruce de fronteras.</w:t>
      </w:r>
    </w:p>
    <w:p w:rsidR="0026452D" w:rsidRDefault="0026452D" w:rsidP="0026452D">
      <w:pPr>
        <w:pStyle w:val="TextoNormal"/>
      </w:pPr>
    </w:p>
    <w:p w:rsidR="0026452D" w:rsidRDefault="0026452D" w:rsidP="0026452D">
      <w:pPr>
        <w:pStyle w:val="TextoNormal"/>
      </w:pPr>
      <w:r>
        <w:t>c) Tener a su cargo al extranjero que haya sido trasladado en tránsito hasta una frontera aérea, marítima o terrestre del territorio español, si el transportista que deba llevarlo a su país de destino se negara a embarcarlo, o si las autoridades de este último país le hubieran denegado la entrada y lo hubieran devuelto a la frontera española por la que ha transitado.</w:t>
      </w:r>
    </w:p>
    <w:p w:rsidR="0026452D" w:rsidRDefault="0026452D" w:rsidP="0026452D">
      <w:pPr>
        <w:pStyle w:val="TextoNormal"/>
      </w:pPr>
    </w:p>
    <w:p w:rsidR="0026452D" w:rsidRDefault="0026452D" w:rsidP="0026452D">
      <w:pPr>
        <w:pStyle w:val="TextoNormal"/>
      </w:pPr>
      <w:r>
        <w:t>d) Transportar a los extranjeros a que se refieren los párrafos b) y c) de este apartado hasta el Estado a partir del cual le haya transportado, bien hasta el Estado que haya expedido el documento de viaje con el que ha viajado, o bien a cualquier otro Estado que garantice su admisión y un trato compatible con los derechos humanos.</w:t>
      </w:r>
    </w:p>
    <w:p w:rsidR="0026452D" w:rsidRDefault="0026452D" w:rsidP="0026452D">
      <w:pPr>
        <w:pStyle w:val="TextoNormal"/>
      </w:pPr>
    </w:p>
    <w:p w:rsidR="0026452D" w:rsidRDefault="0026452D" w:rsidP="0026452D">
      <w:pPr>
        <w:pStyle w:val="TextoNormal"/>
      </w:pPr>
      <w:r>
        <w:t>La compañía, empresa de transportes o transportista que tenga a su cargo un extranjero en virtud de alguno de los supuestos previstos en este apartado deberá garantizar al mismo unas condiciones de vida adecuadas mientras permanezca a su cargo.</w:t>
      </w:r>
    </w:p>
    <w:p w:rsidR="0026452D" w:rsidRDefault="0026452D" w:rsidP="0026452D">
      <w:pPr>
        <w:pStyle w:val="TextoNormal"/>
      </w:pPr>
    </w:p>
    <w:p w:rsidR="0026452D" w:rsidRDefault="0026452D" w:rsidP="0026452D">
      <w:pPr>
        <w:pStyle w:val="TextoNormal"/>
      </w:pPr>
      <w:r>
        <w:t>4. Lo establecido en este artículo se entiende también para el caso en que el transporte aéreo o marítimo se realice desde Ceuta o Melilla hasta cualquier otro punto del territorio español.”</w:t>
      </w:r>
    </w:p>
    <w:p w:rsidR="0026452D" w:rsidRDefault="0026452D" w:rsidP="0026452D">
      <w:pPr>
        <w:pStyle w:val="TextoNormal"/>
      </w:pPr>
    </w:p>
    <w:p w:rsidR="0026452D" w:rsidRDefault="0026452D" w:rsidP="0026452D">
      <w:pPr>
        <w:pStyle w:val="TextoNormal"/>
      </w:pPr>
      <w:r>
        <w:t>Este precepto ha sido modificado por la Ley Orgánica 2/2009, la cual, en lo que ahora importa ha modificado el segundo párrafo del apartado 1, de suerte que el mismo, sin afectar a lo discutido en el presente recurso, ha pasado a tener la siguiente redacción:</w:t>
      </w:r>
    </w:p>
    <w:p w:rsidR="0026452D" w:rsidRDefault="0026452D" w:rsidP="0026452D">
      <w:pPr>
        <w:pStyle w:val="TextoNormal"/>
      </w:pPr>
    </w:p>
    <w:p w:rsidR="0026452D" w:rsidRDefault="0026452D" w:rsidP="0026452D">
      <w:pPr>
        <w:pStyle w:val="TextoNormal"/>
      </w:pPr>
      <w:r>
        <w:t xml:space="preserve">“La información será transmitida por medios telemáticos, o, si ello no fuera posible, por cualquier otro medio adecuado, y será comprensiva del nombre y apellidos de cada pasajero, de su fecha de nacimiento, nacionalidad, número de pasaporte o del documento de viaje que acredite su identidad y tipo del mismo, paso fronterizo de entrada, código de transporte, hora de salida y de llegada del transporte, número total de personas transportadas, y lugar </w:t>
      </w:r>
      <w:r>
        <w:lastRenderedPageBreak/>
        <w:t>inicial de embarque. Las autoridades encargadas del control de entrada guardarán los datos en un fichero temporal, borrándolos tras la entrada y en un plazo de veinticuatro horas desde su comunicación, salvo necesidades en el ejercicio de sus funciones. Los transportistas deberán haber informado de este procedimiento a los pasajeros, estando obligados a borrar los datos en el mismo plazo de veinticuatro horas.”</w:t>
      </w:r>
    </w:p>
    <w:p w:rsidR="0026452D" w:rsidRDefault="0026452D" w:rsidP="0026452D">
      <w:pPr>
        <w:pStyle w:val="TextoNormal"/>
      </w:pPr>
    </w:p>
    <w:p w:rsidR="0026452D" w:rsidRDefault="0026452D" w:rsidP="0026452D">
      <w:pPr>
        <w:pStyle w:val="TextoNormal"/>
      </w:pPr>
      <w:r>
        <w:t>El Letrado del Parlamento Vasco considera que dicho precepto es inconstitucional por suponer una deslegalización en la regulación de los límites impuestos al derecho fundamental a la protección de datos, sin que las finalidades perseguidas con dicha medida la justifiquen. Por otra parte, alega que la norma impugnada incumple los principios de finalidad y consentimiento aplicables a la cesión de datos de carácter personal, por cuanto tales datos se usan, sin consentimiento del afectado, para una finalidad distinta de aquella para la que fueron recogidos y, finalmente, entiende que podría resultar contrario al art. 24.2 CE, en cuanto contravendría el derecho a no declarar contra sí mismo, a no confesarse culpable y a la presunción de inocencia establecida en dicho precepto constitucional. El Abogado del Estado se opone al anterior planteamiento señalando que la obligación se encuentra claramente establecida en la norma legal, siendo plenamente justificada y razonable sin que tampoco pueda estimarse vulnerado el principio de finalidad, por cuanto la información se reclama bajo el amparo de lo previsto en el propio art. 66 LOEx.</w:t>
      </w:r>
    </w:p>
    <w:p w:rsidR="0026452D" w:rsidRDefault="0026452D" w:rsidP="0026452D">
      <w:pPr>
        <w:pStyle w:val="TextoNormal"/>
      </w:pPr>
    </w:p>
    <w:p w:rsidR="0026452D" w:rsidRDefault="0026452D" w:rsidP="0026452D">
      <w:pPr>
        <w:pStyle w:val="TextoNormal"/>
      </w:pPr>
      <w:r>
        <w:t xml:space="preserve">A la vista del alegato del Parlamento Vasco la primera consideración que hemos de realizar es que la impugnación ha de entenderse circunscrita al apartado 1 y al segundo párrafo del apartado 2 art. 66 LOEx, por ser éstos los apartados relativos a la obligación de remisión de información por parte del transportista que son los cuestionados en el recurso de inconstitucionalidad interpuesto. Centrada así la cuestión controvertida hemos de partir de lo que ya hemos afirmado tanto en relación con el disfrute por los extranjeros del derecho derivado del art. 18.4 CE como respecto a la posibilidad de su limitación proporcionada en atención a la concurrencia de otros bienes, derechos o intereses constitucionalmente protegidos. A tal efecto, procede que señalemos, en primer lugar, que la obligación de remisión de información que pesa sobre el transportista se relaciona con lo dispuesto en convenios internacionales ratificados por España [en especial, arts. 4, 6 y 26.1.b) del Acuerdo relativo a la supresión gradual de los controles en las fronteras comunes, firmado en Schengen el 14 de junio de 1985 y al que España se adhirió por protocolo de 25 de junio de 1991 (“BOE” de 30 de julio de 1991)], así como en la propia normativa comunitaria, aun cuando la misma sea, en algún caso, de fecha posterior a la Ley Orgánica 14/2003 (en tal sentido, Directiva 2001/51/CE del Consejo, de 28 de junio, por la que se completan las disposiciones del art. 26 del Convenio de aplicación del Acuerdo de Schengen y, posterior a la Ley Orgánica 14/2003, Directiva 2004/82/CE del Consejo, de 29 de abril de 2004, sobre la obligación de los transportistas de comunicar los datos de las personas transportadas). Así pues, lo establecido en el art. 66 LOEx viene a dar respuesta a compromisos asumidos por España en el ámbito de la Unión Europea entre los que se encuentra la asunción de determinadas obligaciones para los transportistas tendentes a combatir el fenómeno de la inmigración ilegal y a garantizar la seguridad de las fronteras exteriores de las partes firmantes del Acuerdo de Schengen. Recuérdese que dicho acuerdo impulsó la libre circulación de personas entre varios países europeos mediante el progresivo levantamiento de sus fronteras interiores, lo cual tiene como consecuencia un traslado de los controles a las fronteras externas de los países signatarios del Acuerdo de Schengen de forma tal que las fronteras externas de los Estados europeos son, al tiempo, las fronteras externas de los demás Estados partes en aquel </w:t>
      </w:r>
      <w:r>
        <w:lastRenderedPageBreak/>
        <w:t>acuerdo. De lo expuesto es posible también deducir que el adecuado control de las fronteras y de los flujos migratorios que a través de ellas se producen es una exigencia derivada de la pertenencia de nuestro país a la Unión Europea.</w:t>
      </w:r>
    </w:p>
    <w:p w:rsidR="0026452D" w:rsidRDefault="0026452D" w:rsidP="0026452D">
      <w:pPr>
        <w:pStyle w:val="TextoNormal"/>
      </w:pPr>
    </w:p>
    <w:p w:rsidR="0026452D" w:rsidRDefault="0026452D" w:rsidP="0026452D">
      <w:pPr>
        <w:pStyle w:val="TextoNormal"/>
      </w:pPr>
      <w:r>
        <w:t>Así enmarcado el precepto cuestionado, podemos apreciar que, con arreglo a su tenor literal, la obligación de suministro de información que asumen los transportistas, respecto a las personas que transporten procedentes de fuera del espacio Schengen, se ha fijado por el legislador. De esta suerte, las autoridades españolas no tienen la capacidad de disponer discrecionalmente de dicha obligación sino, únicamente, la posibilidad de determinar el momento y las rutas respecto a las cuales esa obligación de suministro de información, ya previamente establecida, ha de hacerse efectiva. Aspecto éste, instrumental y accesorio, que es el único que queda diferido a la decisión de las autoridades competentes en la materia, las cuales, en su adopción, han de seguir los criterios fijados por la legislación orgánica tanto en relación con la finalidad perseguida, combatir la inmigración ilegal y garantizar la seguridad pública, como en lo que se refiere a las rutas en las que puede aplicarse, solamente aquellas procedentes de fuera del espacio Schengen en las que la intensidad de los flujos migratorios lo haga necesario, es decir, ante la evidencia de la existencia de un elevado número de personas que, procedentes de determinados lugares, pretendan entrar en territorio español. Así, es posible apreciar que la limitación al derecho a la protección de datos personales deriva, no de la decisión administrativa, la cual, por lo demás, se adoptará en los términos establecidos por el art. 17 del Real Decreto 557/2011, de 20 de abril, por el que se aprueba el Reglamento de la Ley Orgánica de derechos y libertades de los extranjeros, sino de lo establecido por el propio legislador orgánico. Tampoco, de acuerdo con nuestra doctrina (por todas, STC 110/1991, de 13 de mayo, FJ 3), ha de excluirse toda posibilidad de colaboración reglamentaria en la puesta en práctica de lo previamente establecido por dicho legislador, máxime en un ámbito, como el de los flujos migratorios, variable por su propia naturaleza, y teniendo en cuenta que, como ya hemos apreciado, esa decisión relativa al suministro de información no queda a la libre disposición de la autoridad administrativa, puesto que su contenido ya está determinado en la norma e igualmente sucede con las circunstancias y ámbitos, en términos de rutas de transporte, que han de concurrir para hacer posible su aplicación efectiva.</w:t>
      </w:r>
    </w:p>
    <w:p w:rsidR="0026452D" w:rsidRDefault="0026452D" w:rsidP="0026452D">
      <w:pPr>
        <w:pStyle w:val="TextoNormal"/>
      </w:pPr>
    </w:p>
    <w:p w:rsidR="0026452D" w:rsidRDefault="0026452D" w:rsidP="0026452D">
      <w:pPr>
        <w:pStyle w:val="TextoNormal"/>
      </w:pPr>
      <w:r>
        <w:t xml:space="preserve">Por ello, y en cuanto a la idoneidad de la restricción del derecho fundamental a la protección de datos para el fin que persigue, debemos partir de la consideración de que el derecho fundamental a la protección de datos ha de cohonestarse con otras exigencias y prioridades, en muchos casos derivados de la condición de España como miembro de la Unión Europea, y no ha de equipararse, en este caso concreto, con una pretensión de anonimato del usuario del transporte frente al control de entrada ejercido por las autoridades competentes, el cual implica el ejercicio de una potestad pública inherente a la soberanía plena y exclusiva del Estado sobre su territorio. Al respecto, los mecanismos de policía administrativa a través del control de flujos migratorios responden a una finalidad legítima expresada en el evidente interés público que subyace en el adecuado control de los antes citados flujos migratorios y de la seguridad pública asegurando, al tiempo, el cumplimiento de lo dispuesto en las leyes, expresión de un interés general que, en cuanto predicable del conjunto de la comunidad, puede no siempre resultar compatible con los que corresponden a las personas singulares, pues es evidente que el respeto a las decisiones del legislador y su adecuada puesta en práctica redunda en beneficio de la comunidad. Así, es innegable que la medida prevista intenta evitar que se eludan las leyes que regulan la entrada, residencia y circulación </w:t>
      </w:r>
      <w:r>
        <w:lastRenderedPageBreak/>
        <w:t>de los extranjeros en España, esto es, persigue una finalidad, el aseguramiento de que la entrada y estancia de los extranjeros en España se hace con pleno respeto a la ley, a cuya relevancia, tanto desde la perspectiva constitucional como en relación con el cumplimiento de los compromisos asumidos con el resto de países de la Unión Europea, resulta innecesario referirse ya.</w:t>
      </w:r>
    </w:p>
    <w:p w:rsidR="0026452D" w:rsidRDefault="0026452D" w:rsidP="0026452D">
      <w:pPr>
        <w:pStyle w:val="TextoNormal"/>
      </w:pPr>
    </w:p>
    <w:p w:rsidR="0026452D" w:rsidRDefault="0026452D" w:rsidP="0026452D">
      <w:pPr>
        <w:pStyle w:val="TextoNormal"/>
      </w:pPr>
      <w:r>
        <w:t>Además, examinada la cuestión controvertida desde la perspectiva de los invocados principios de finalidad y consentimiento, específicos del derecho fundamental a la protección de datos, tampoco éstos resultan violentados. Aun cuando los datos se recaben en el marco de una actividad que da derecho al usuario a una prestación de servicios consistente en su traslado hasta las fronteras del territorio español, lo cierto es que dichos datos no se obtienen para la realización de dicha prestación de servicios, sino que su obtención se regula en la Ley Orgánica de derechos y libertades de los extranjeros en razón de que, basándose en un hecho objetivo como la intensidad de los flujos migratorios, los mismos se consideran necesarios para el cumplimiento de finalidades vinculadas con la seguridad pública y el control de dichos flujos migratorios a fin de evitar la inmigración ilegal. De ahí que la recogida de datos a que hace referencia el precepto venga establecida, como ya hemos apreciado, en la propia Ley Orgánica de derechos y libertades de los extranjeros. Así esta última es la norma a cuyo amparo y para las finalidades legítimas previstas en la misma se reclama la información (art. 4 LOPD); información y posterior tratamiento y cesión a la cual, por lo demás, le será aplicable la legislación sobre protección de datos (art. 11.5 LOPD), en particular, el derecho a la información y la necesidad de cancelar los mismos cuando hubieran dejado de ser necesarios o pertinentes para la finalidad para la cual hubieran sido recabados (arts. 5 y 4.5 LOPD, respectivamente y, en el mismo sentido, art. 6 de la Directiva 2004/82/CE), lo que permite apreciar la existencia de garantías suficientes en orden a un eventual uso desviado de la información y que, por lo mismo, excluyen que se pueda apreciar aquí la denunciada infracción del art. 18.4 CE en cuanto no se afecta a su contenido esencial en lo relativo a los invocados principios de finalidad y consentimiento. Garantías que se confirman a la luz de lo dispuesto por el párrafo segundo del apartado 1, en la redacción que al mismo ha dado la Ley Orgánica 2/2009, en cuanto que el mismo, además de exigir expresamente la información a los pasajeros, dispone que los datos no se almacenen más de 24 horas, borrándolos tras la entrada.</w:t>
      </w:r>
    </w:p>
    <w:p w:rsidR="0026452D" w:rsidRDefault="0026452D" w:rsidP="0026452D">
      <w:pPr>
        <w:pStyle w:val="TextoNormal"/>
      </w:pPr>
    </w:p>
    <w:p w:rsidR="0026452D" w:rsidRDefault="0026452D" w:rsidP="0026452D">
      <w:pPr>
        <w:pStyle w:val="TextoNormal"/>
      </w:pPr>
      <w:r>
        <w:t>Finalmente, tampoco puede ser acogida la alegada vulneración del art. 24.2 CE puesto que es evidente que la norma, aun cuando vinculada a la verificación del cumplimiento de las condiciones legalmente establecidas para la entrada y permanencia de extranjeros en España, nada prejuzga con respecto a la eventual incoación de un expediente sancionador fundado en el presunto incumplimiento de dichas condiciones, expediente que, caso de llegar a ser incoado, deberá serlo con todas las garantías que el ordenamiento jurídico y nuestra doctrina exigen a un procedimiento de tal carácter.</w:t>
      </w:r>
    </w:p>
    <w:p w:rsidR="0026452D" w:rsidRDefault="0026452D" w:rsidP="0026452D">
      <w:pPr>
        <w:pStyle w:val="TextoNormal"/>
      </w:pPr>
    </w:p>
    <w:p w:rsidR="0026452D" w:rsidRDefault="0026452D" w:rsidP="0026452D">
      <w:pPr>
        <w:pStyle w:val="TextoNormal"/>
      </w:pPr>
      <w:r>
        <w:t>Por todo lo expuesto, la impugnación del art. 66 LOEx ha de ser desestimada.</w:t>
      </w:r>
    </w:p>
    <w:p w:rsidR="0026452D" w:rsidRDefault="0026452D" w:rsidP="0026452D">
      <w:pPr>
        <w:pStyle w:val="TextoNormal"/>
      </w:pPr>
    </w:p>
    <w:p w:rsidR="0026452D" w:rsidRDefault="0026452D" w:rsidP="0026452D">
      <w:pPr>
        <w:pStyle w:val="TextoNormal"/>
      </w:pPr>
      <w:r w:rsidRPr="0026452D">
        <w:rPr>
          <w:rStyle w:val="NumeroAFNegritaCaracter"/>
        </w:rPr>
        <w:t>7</w:t>
      </w:r>
      <w:r>
        <w:t>. Procede examinar ahora la disposición adicional quinta LOEx, la cual, introducida por el art. 1.40 de la Ley Orgánica 14/2003, de 20 de noviembre, presentaba el siguiente tenor:</w:t>
      </w:r>
    </w:p>
    <w:p w:rsidR="0026452D" w:rsidRDefault="0026452D" w:rsidP="0026452D">
      <w:pPr>
        <w:pStyle w:val="TextoNormal"/>
      </w:pPr>
    </w:p>
    <w:p w:rsidR="0026452D" w:rsidRDefault="0026452D" w:rsidP="0026452D">
      <w:pPr>
        <w:pStyle w:val="TextoNormal"/>
      </w:pPr>
      <w:r>
        <w:t>“Disposición adicional quinta. Acceso a la información y colaboración entre Administraciones públicas.</w:t>
      </w:r>
    </w:p>
    <w:p w:rsidR="0026452D" w:rsidRDefault="0026452D" w:rsidP="0026452D">
      <w:pPr>
        <w:pStyle w:val="TextoNormal"/>
      </w:pPr>
    </w:p>
    <w:p w:rsidR="0026452D" w:rsidRDefault="0026452D" w:rsidP="0026452D">
      <w:pPr>
        <w:pStyle w:val="TextoNormal"/>
      </w:pPr>
      <w:r>
        <w:t>1. En el cumplimiento de los fines que tienen encomendadas, y con pleno respeto a la legalidad vigente, las Administraciones públicas, dentro de su ámbito competencial, colaborarán en la cesión de datos relativos a las personas que sean consideradas interesados en los procedimientos regulados en esta Ley Orgánica y sus normas de desarrollo.</w:t>
      </w:r>
    </w:p>
    <w:p w:rsidR="0026452D" w:rsidRDefault="0026452D" w:rsidP="0026452D">
      <w:pPr>
        <w:pStyle w:val="TextoNormal"/>
      </w:pPr>
    </w:p>
    <w:p w:rsidR="0026452D" w:rsidRDefault="0026452D" w:rsidP="0026452D">
      <w:pPr>
        <w:pStyle w:val="TextoNormal"/>
      </w:pPr>
      <w:r>
        <w:t>2. Para la exclusiva finalidad de cumplimentar las actuaciones que los órganos de la Administración General del Estado competentes en los procedimientos regulados en esta Ley Orgánica y sus normas de desarrollo tienen encomendadas, la Agencia Estatal de Administración Tributaria, la Tesorería General de la Seguridad Social y el Instituto Nacional de Estadística, este último en lo relativo al Padrón Municipal de Habitantes, facilitarán a aquéllos el acceso directo a los ficheros en los que obren datos que hayan de constar en dichos expedientes, y sin que sea preciso el consentimiento de los interesados, de acuerdo con la legislación sobre protección de datos.”</w:t>
      </w:r>
    </w:p>
    <w:p w:rsidR="0026452D" w:rsidRDefault="0026452D" w:rsidP="0026452D">
      <w:pPr>
        <w:pStyle w:val="TextoNormal"/>
      </w:pPr>
    </w:p>
    <w:p w:rsidR="0026452D" w:rsidRDefault="0026452D" w:rsidP="0026452D">
      <w:pPr>
        <w:pStyle w:val="TextoNormal"/>
      </w:pPr>
      <w:r>
        <w:t>Como ya hemos apuntado esta disposición adicional quinta LOEx ha sido modificada por la Ley Orgánica 2/2009, que ha introducido nuevas previsiones en relación con la gestión informática de los procedimientos así como a las competencias autonómicas en materia de autorizaciones iniciales de trabajo, sin que con ello se afecte a lo discutido en el presente procedimiento.</w:t>
      </w:r>
    </w:p>
    <w:p w:rsidR="0026452D" w:rsidRDefault="0026452D" w:rsidP="0026452D">
      <w:pPr>
        <w:pStyle w:val="TextoNormal"/>
      </w:pPr>
    </w:p>
    <w:p w:rsidR="0026452D" w:rsidRDefault="0026452D" w:rsidP="0026452D">
      <w:pPr>
        <w:pStyle w:val="TextoNormal"/>
      </w:pPr>
      <w:r>
        <w:t>Tal y como ya hemos expuesto con más detalle en los antecedentes, la representación procesal del Parlamento Vasco considera que este precepto es contrario al art. 18.4 CE, por cuanto la cesión de datos en ella prevista no respetaría el contenido esencial del derecho a la protección de datos personales, por la falta de certeza y previsibilidad de las condiciones de la cesión así como por vulnerar el principio de finalidad. Por su parte, el Abogado del Estado se opone a las anteriores consideraciones señalando que la cesión de datos está prevista en una norma con rango de ley, resultado de la aplicación lo previsto en la propia Ley Orgánica de protección de datos y se trata de una medida justificada y proporcionada para favorecer la mayor eficacia y rapidez en la tramitación de los expedientes de extranjería, con el objeto de ordenar adecuadamente los flujos migratorios y evitar el uso fraudulento de aquellos.</w:t>
      </w:r>
    </w:p>
    <w:p w:rsidR="0026452D" w:rsidRDefault="0026452D" w:rsidP="0026452D">
      <w:pPr>
        <w:pStyle w:val="TextoNormal"/>
      </w:pPr>
    </w:p>
    <w:p w:rsidR="0026452D" w:rsidRDefault="0026452D" w:rsidP="0026452D">
      <w:pPr>
        <w:pStyle w:val="TextoNormal"/>
      </w:pPr>
      <w:r>
        <w:t xml:space="preserve">Para un mejor examen del concreto precepto impugnado tomaremos en consideración en primer lugar lo dispuesto en su párrafo primero. Al respecto, hemos de apreciar que el mismo contiene un mandato de colaboración dirigido a la totalidad de las Administraciones públicas para que las mismas, en su ámbito competencial propio y con pleno respeto a la legalidad, colaboren en la cesión de datos relativos a las personas que tengan la condición de interesados en los procedimientos en materia de extranjería. En tal sentido, ningún reproche procede hacer a este precepto desde la perspectiva del derecho fundamental a la protección de datos de carácter personal puesto que el mismo formula una concreción, para el ámbito de la extranjería, del principio general de colaboración interadministrativa plasmado con carácter general en el art. 4 de la Ley 30/1992, de 26 de noviembre, de régimen jurídico de las Administraciones públicas y del procedimiento administrativo común. Tal como se formula, esta cesión no afecta al contenido esencial del derecho en los términos en que el mismo ha sido definido por el legislador orgánico y la doctrina de este Tribunal. De dicha concreción se predica, como no podía ser de otra forma, que la cesión de datos que la misma puede suponer se realizará con pleno respeto a la legislación vigente lo que implica, </w:t>
      </w:r>
      <w:r>
        <w:lastRenderedPageBreak/>
        <w:t>como señala el Abogado del Estado, que cualquier cesión de datos al amparo de este precepto deberá realizarse cumpliendo las garantías previstas en la Ley Orgánica de protección de datos. Esta última norma prevé en distintos preceptos el régimen jurídico aplicable cuando los datos no han sido recabados del interesado (art. 5) así como la sujeción general del receptor de datos a las previsiones de la ley (art. 11.5), entre las que se encuentra el carácter adecuado, pertinente y no excesivo de los datos recabados (art. 4.1) y la comunicación de los mismos para el cumplimiento de las funciones directamente relacionadas con las funciones legítimas del cedente y del cesionario, sin consentimiento del afectado cuando la cesión esté regulada en una ley (art. 11). Por ello, la cesión prevista en este párrafo primero se lleva a cabo de acuerdo con lo previsto en la Ley Orgánica de protección de datos, por lo que no puede estimarse que la misma vulnere el art. 18.4 CE, en la medida en que, además, se ajusta al marco establecido por el legislador orgánico al desarrollar su contenido, marco que no ha sido puesto en cuestión.</w:t>
      </w:r>
    </w:p>
    <w:p w:rsidR="0026452D" w:rsidRDefault="0026452D" w:rsidP="0026452D">
      <w:pPr>
        <w:pStyle w:val="TextoNormal"/>
      </w:pPr>
    </w:p>
    <w:p w:rsidR="0026452D" w:rsidRDefault="0026452D" w:rsidP="0026452D">
      <w:pPr>
        <w:pStyle w:val="TextoNormal"/>
      </w:pPr>
      <w:r>
        <w:t xml:space="preserve">En cuanto al segundo párrafo de la disposición adicional impugnada, el mismo autoriza a los órganos de la Administración estatal, competentes en el ámbito de los procedimientos administrativos que se tramiten en el ámbito que regula la Ley Orgánica de derechos y libertades de los extranjeros y solamente en el ejercicio de las competencias que tienen atribuidas, para acceder a los ficheros en los que obren datos necesarios para su actuación de la Agencia Estatal de Administración Tributaria, la Tesorería General de la Seguridad Social y el Instituto Nacional de Estadística, este último en lo relativo al padrón municipal de habitantes, lo cual ha de realizarse de acuerdo con la legislación sobre protección de datos sin que sea preciso el consentimiento del interesado. Al respecto, conviene hacer notar que la mención del precepto a los procedimientos administrativos tramitados en el ámbito de la Ley Orgánica de derechos y libertades de los extranjeros no puede entenderse sino haciendo referencia a la tramitación de un determinado expediente en el que resulta necesaria la constancia de determinado dato que ya obra en poder de otro órgano de la Administración General del Estado, tratándose así de un acceso específico en cada caso ajustado a los datos que resulten precisos para la tramitación de un expediente determinado y no de un acceso masivo o indiscriminado. La finalidad de esa cesión no es otra que comunicar el contenido de ficheros con datos tributarios, de Seguridad Social o de residencia, datos que, en cualquier caso, son ya previamente conocidos por la Administración General del Estado, atendiendo a la necesidad de que la misma disponga de la información oportuna para la gestión de procedimientos en materia de extranjería que son también de su competencia. Por ello, en la medida en que han de tratarse de datos relacionados con un concreto procedimiento y que ya obran en poder de la Administración pública, no puede considerarse vulnerado el art. 18.4 CE. En todo caso, como ya hemos señalado, tal acceso solamente puede producirse cuando ese dato resulte necesario o pertinente en relación con la tramitación de un concreto expediente, lo que permite analizar o determinar en cada caso la conformidad del acceso con lo establecido en el régimen legal que le resulta de aplicación. Así, rectamente interpretada en los términos antes expuestos, resulta que esa cesión de datos que el acceso previsto supone ha de realizarse de acuerdo con lo que al respecto disponga la Ley Orgánica de protección de datos lo que determina, no solamente la aplicación de lo que la misma dispone en materia de información al interesado respecto de la cesión de datos (art. 5.4 LOPD), sino también que la cesión, establecida en una norma legal [art.11.2.a) LOPD], se produce para el cumplimiento de finalidades legítimas del órgano cedente y del cesionario (art. 4.1 LOPD), finalidades que, desde el punto de vista material, no resultan ser incompatibles entre </w:t>
      </w:r>
      <w:r>
        <w:lastRenderedPageBreak/>
        <w:t>sí (art. 4.2 LOPD), sino que, por el contrario, los datos son comunicados para el cumplimiento de fines directamente relacionados con las funciones legítimas de cedente y cesionario que contribuyen a garantizar un bien de relevancia constitucional: dar cumplimiento a lo dispuesto en la ley, en este caso la de extranjería (arts. 10.1 y 13.1 CE).</w:t>
      </w:r>
    </w:p>
    <w:p w:rsidR="0026452D" w:rsidRDefault="0026452D" w:rsidP="0026452D">
      <w:pPr>
        <w:pStyle w:val="TextoNormal"/>
      </w:pPr>
    </w:p>
    <w:p w:rsidR="0026452D" w:rsidRDefault="0026452D" w:rsidP="0026452D">
      <w:pPr>
        <w:pStyle w:val="TextoNormal"/>
      </w:pPr>
      <w:r>
        <w:t>En suma, interpretado en los términos que hemos expuesto, el segundo párrafo de la disposición adicional quinta LOEx no vulnera la Constitución. Así se dispondrá en el fallo.</w:t>
      </w:r>
    </w:p>
    <w:p w:rsidR="0026452D" w:rsidRDefault="0026452D" w:rsidP="0026452D">
      <w:pPr>
        <w:pStyle w:val="TextoNormal"/>
      </w:pPr>
    </w:p>
    <w:p w:rsidR="0026452D" w:rsidRDefault="0026452D" w:rsidP="0026452D">
      <w:pPr>
        <w:pStyle w:val="TextoNormal"/>
      </w:pPr>
      <w:r w:rsidRPr="0026452D">
        <w:rPr>
          <w:rStyle w:val="NumeroAFNegritaCaracter"/>
        </w:rPr>
        <w:t>8</w:t>
      </w:r>
      <w:r>
        <w:t>. Del primer bloque de preceptos impugnados restan por analizar las modificaciones introducidas en la Ley 7/1985, de 2 de abril, de bases del régimen local (en adelante, LBRL) relativas a la cesión y acceso a los datos del padrón municipal. De acuerdo con ello iniciaremos el enjuiciamiento del art. 16.3 LBRL, en la redacción que al mismo da el art. 3.3 de la Ley Orgánica 14/2003, el cual dispone lo siguiente:</w:t>
      </w:r>
    </w:p>
    <w:p w:rsidR="0026452D" w:rsidRDefault="0026452D" w:rsidP="0026452D">
      <w:pPr>
        <w:pStyle w:val="TextoNormal"/>
      </w:pPr>
    </w:p>
    <w:p w:rsidR="0026452D" w:rsidRDefault="0026452D" w:rsidP="0026452D">
      <w:pPr>
        <w:pStyle w:val="TextoNormal"/>
      </w:pPr>
      <w:r>
        <w:t>“Los datos del Padrón Municipal se cederán a otras Administraciones públicas que lo soliciten sin consentimiento previo al afectado solamente cuando les sean necesarios para el ejercicio de sus respectivas competencias, y exclusivamente para asuntos en los que la residencia o el domicilio sean datos relevantes. También pueden servir para elaborar estadísticas oficiales sometidas al secreto estadístico, en los términos previstos en la Ley 12/1989, de 9 de mayo, de la Función Estadística Pública y en las leyes de estadística de las comunidades autónomas con competencia en la materia.”</w:t>
      </w:r>
    </w:p>
    <w:p w:rsidR="0026452D" w:rsidRDefault="0026452D" w:rsidP="0026452D">
      <w:pPr>
        <w:pStyle w:val="TextoNormal"/>
      </w:pPr>
    </w:p>
    <w:p w:rsidR="0026452D" w:rsidRDefault="0026452D" w:rsidP="0026452D">
      <w:pPr>
        <w:pStyle w:val="TextoNormal"/>
      </w:pPr>
      <w:r>
        <w:t>Según la representación procesal del Parlamento Vasco, el primer inciso de este precepto sería inconstitucional por mantener un amplio espacio de incertidumbre en la determinación de los supuestos en los que no es preciso el consentimiento del afectado para la cesión de los datos contenidos en el padrón. Por el contrario, el Abogado del Estado considera que la medida cuestionada se justifica por el carácter de registro público básico de la población del Estado que tiene el padrón, de forma que resulta ser lógica y razonable su uso por las Administraciones públicas con sujeción al régimen de protección de datos.</w:t>
      </w:r>
    </w:p>
    <w:p w:rsidR="0026452D" w:rsidRDefault="0026452D" w:rsidP="0026452D">
      <w:pPr>
        <w:pStyle w:val="TextoNormal"/>
      </w:pPr>
    </w:p>
    <w:p w:rsidR="0026452D" w:rsidRDefault="0026452D" w:rsidP="0026452D">
      <w:pPr>
        <w:pStyle w:val="TextoNormal"/>
      </w:pPr>
      <w:r>
        <w:t>Antes de dar respuesta a esta impugnación, debemos considerar el óbice procesal planteado por el Abogado del Estado consistente en señalar que el recurso sería inadmisible respecto a este precepto dado que, en lo que afecta a la fundamentación jurídica de la demanda, es reproducción de la anterior redacción que al art. 16.3 de la Ley de bases de régimen local (LBRL) dio la Ley 4/1996, de 10 de enero, por lo que constituiría una impugnación extemporánea. Dicho alegato no puede ser acogido pues, además de que ya tenemos establecido que el hecho de que una norma reproduzca otra anterior, no impugnada, no impide que la primera pueda ser recurrida [así, STC 146/1994, de 12 de mayo, FJ 4, reiterado en STC 214/1994, de 14 de julio, FJ 4 A)], es doctrina reiterada de este Tribunal Constitucional que el recurso de inconstitucionalidad es un recurso abstracto dirigido a la depuración del ordenamiento de forma que con el mismo no se defiende un interés propio de los recurrentes sino el interés general y la supremacía de la Constitución. Por ello, teniendo en cuenta la referida función de depuración objetiva del ordenamiento propia del recurso de inconstitucionalidad, la inicial pasividad del Parlamento Vasco no le impide ahora plantear el recurso, máxime cuando el mismo no se plantea contra este único precepto sino contra un conjunto de ellos, a los que, con argumentos similares, se les imputa la vulneración de un concreto precepto constitucional, el art. 18.4 CE.</w:t>
      </w:r>
    </w:p>
    <w:p w:rsidR="0026452D" w:rsidRDefault="0026452D" w:rsidP="0026452D">
      <w:pPr>
        <w:pStyle w:val="TextoNormal"/>
      </w:pPr>
    </w:p>
    <w:p w:rsidR="0026452D" w:rsidRDefault="0026452D" w:rsidP="0026452D">
      <w:pPr>
        <w:pStyle w:val="TextoNormal"/>
      </w:pPr>
      <w:r>
        <w:lastRenderedPageBreak/>
        <w:t>Lo aquí cuestionado es la cesión no consentida de los datos relativos a la residencia o el domicilio a otras Administraciones públicas que así lo soliciten solamente en aquellos casos en los que, para el ejercicio de sus competencias, sean aquellos datos relevantes. En suma, esta petición, que no se refiere específicamente a la cesión de datos del padrón en lo concerniente a los datos de los extranjeros, tiene por finalidad poder disponer de los datos relativos a la residencia o el domicilio que constan en el padrón municipal, el cual es, de acuerdo con la Ley de bases de régimen local, el registro administrativo donde constan los vecinos de un municipio, registro gestionado por los propios Ayuntamientos por medios informáticos (art. 17.1 LBRL) en el que han de inscribirse las personas residentes en un municipio con una triple finalidad, de acuerdo a los arts. 15 y 16 LBRL, determinar la población del municipio, adquirir la condición de vecino y acreditar la residencia y el domicilio habitual. Además de estas funciones la legislación de régimen electoral prevé la elaboración del censo electoral a partir de los datos contenidos en el padrón, los cuales sirven, también, para elaborar estadísticas oficiales sometidas al secreto estadístico. Así pues, de la propia regulación de la Ley de bases de régimen local podemos concluir que el padrón contiene un conjunto organizado de datos de carácter personal referidos a personas físicas identificadas, los vecinos de un municipio, siendo por ello un fichero de datos personales al que resulta de aplicación la normativa prevista en la Ley Orgánica de protección de datos.</w:t>
      </w:r>
    </w:p>
    <w:p w:rsidR="0026452D" w:rsidRDefault="0026452D" w:rsidP="0026452D">
      <w:pPr>
        <w:pStyle w:val="TextoNormal"/>
      </w:pPr>
    </w:p>
    <w:p w:rsidR="0026452D" w:rsidRDefault="0026452D" w:rsidP="0026452D">
      <w:pPr>
        <w:pStyle w:val="TextoNormal"/>
      </w:pPr>
      <w:r>
        <w:t>De hecho, la obligación de inscripción en el padrón municipal por parte de quien resida habitualmente en el municipio respectivo, supone una excepción al principio básico de la necesidad del consentimiento del ciudadano para la legalidad del tratamiento de sus datos, contenido en el art. 6.1 LOPD. Esta excepción se funda en lo establecido en el art. 6.2 LOPD que permite el tratamiento no consentido de los datos por parte de las Administraciones públicas para el ejercicio de sus funciones propias en el ámbito de sus competencias. Por otra parte, y en cuanto a las cesiones de los datos del padrón, debe recordarse que, siendo el padrón un fichero de titularidad pública, deberá partirse del principio de delimitación de la finalidad en las cesiones entre Administraciones publicas consagrado por el art. 21 LOPD, con la única excepción de que el cambio de finalidad esté fundado en una de las causas contenidas en el art. 11 LOPD, pudiendo ser sustituida la necesidad del consentimiento para ese cambio en el tratamiento de datos personales por una previsión realizada en una disposición con rango de ley [art.11.2 a) LOPD]. De esta forma, de acuerdo con la Ley Orgánica de protección de datos, la finalidad inicial que justificó la recogida de los datos por parte de una Administración pública no impide el destino posterior de los datos para su uso en finalidades diferentes de aquellas que motivaron su recogida respetando, en todo caso, el principio de reserva de ley para establecer dicho cambio, en cuanto que se trata de un límite al derecho a consentir la cesión de datos personales entre Administraciones públicas para fines distintos a los que motivaron originariamente su recogida, y a los que alcanza únicamente el consentimiento inicialmente prestado por el afectado. Por lo expuesto, desde esa perspectiva, la Ley de bases de régimen local en su condición, además, de norma reguladora de un fichero como el padrón municipal puede prever cesiones de datos entre Administraciones públicas.</w:t>
      </w:r>
    </w:p>
    <w:p w:rsidR="0026452D" w:rsidRDefault="0026452D" w:rsidP="0026452D">
      <w:pPr>
        <w:pStyle w:val="TextoNormal"/>
      </w:pPr>
    </w:p>
    <w:p w:rsidR="0026452D" w:rsidRDefault="0026452D" w:rsidP="0026452D">
      <w:pPr>
        <w:pStyle w:val="TextoNormal"/>
      </w:pPr>
      <w:r>
        <w:t xml:space="preserve">La previsión de la Ley de bases de régimen local no resulta, por lo demás, extraña pues resulta ser similar a la establecida en relación a otros sectores específicos de la actividad administrativa, como los relacionados con la hacienda (arts. 93 a 95 de la Ley 58/2003, de 17 de diciembre, general tributaria), la seguridad social (art. 36 del Real Decreto Legislativo 1/1994, de 20 de junio, por el que se aprueba el texto refundido de la Ley general de la </w:t>
      </w:r>
      <w:r>
        <w:lastRenderedPageBreak/>
        <w:t>Seguridad Social), los datos catastrales (arts. 51 a 53 del Real Decreto Legislativo 1/2004, de 5 de marzo, por el que se aprueba el texto refundido de la Ley del catastro inmobiliario), la gestión de subvenciones o ayudas públicas (art. 20.3 de la Ley 38/2003, de 17 de noviembre, general de subvenciones) o, en fin, el ejercicio de la función inspectora en el ámbito laboral (art. 9.2 de la Ley 42/1997, de 14 de noviembre, ordenadora de la Inspección de Trabajo y Seguridad Social). Incluso la propia Ley Orgánica de protección de datos establece en el apartado segundo de su disposición adicional segunda que “los ficheros o registros de población tendrán como finalidad la comunicación de los distintos órganos de cada administración pública con los interesados residentes en los respectivos territorios, respecto a las relaciones jurídico administrativas derivadas de las competencias respectivas de las administraciones públicas”, precepto del que cabe inferir una concepción de los ficheros o registro de población como un elemento de comunicación entre los distintos órganos de las Administraciones públicas y los ciudadanos.</w:t>
      </w:r>
    </w:p>
    <w:p w:rsidR="0026452D" w:rsidRDefault="0026452D" w:rsidP="0026452D">
      <w:pPr>
        <w:pStyle w:val="TextoNormal"/>
      </w:pPr>
    </w:p>
    <w:p w:rsidR="0026452D" w:rsidRDefault="0026452D" w:rsidP="0026452D">
      <w:pPr>
        <w:pStyle w:val="TextoNormal"/>
      </w:pPr>
      <w:r>
        <w:t xml:space="preserve">Desde otro punto de vista y como ya tenemos declarado, la información que recogen y archivan las Administraciones públicas ha de ser necesaria para el ejercicio de las potestades que les atribuye la ley y adecuada a las legítimas finalidades previstas por ella (STC 254/1993, de 20 de julio, FJ 7). Así, el tratamiento de los datos por los Administraciones públicas estará subordinado a su estricta adecuación a los fines de interés público que justifican el ejercicio de las competencias correspondientes a cada una de ellas. Por ello, los datos cedidos han de ser los estrictamente necesarios para el cumplimiento de las funciones asignadas a los órganos administrativos de forma que deberá motivarse la petición de aquellos datos que resulten relevantes, pues es necesario distinguir entre el análisis y seguimiento de una situación individualizada relativa a un caso concreto y el suministro generalizado e indiscriminado de toda la información contenida en un registro personal. El precepto ha contemplado ambos extremos de manera que cualquier cesión de los datos del padrón debe fundamentarse en la necesidad por parte de la Administración cesionaria actuando en el ejercicio de sus competencias, de conocer, en cada caso concreto, el dato relativo al domicilio de la persona afectada, extremos que han de ser adecuadamente valorados por la cedente a fin de apreciar si los datos que se solicita son realmente necesarios, pertinentes y proporcionados, atendiendo a la competencia que pretende ejercer la Administración cesionaria (art. 4 </w:t>
      </w:r>
      <w:r w:rsidRPr="0026452D">
        <w:rPr>
          <w:i/>
        </w:rPr>
        <w:t>in fine</w:t>
      </w:r>
      <w:r>
        <w:t xml:space="preserve"> de la Ley 30/1992). Se trata así de una regla de por sí restringida a los datos relativos a la residencia y al domicilio en cada caso concreto, y a la que le resultarán de aplicación, de más está decirlo, el resto de principios y previsiones que conforman el contenido del derecho reconocidos en la legislación sobre protección de datos.</w:t>
      </w:r>
    </w:p>
    <w:p w:rsidR="0026452D" w:rsidRDefault="0026452D" w:rsidP="0026452D">
      <w:pPr>
        <w:pStyle w:val="TextoNormal"/>
      </w:pPr>
    </w:p>
    <w:p w:rsidR="0026452D" w:rsidRDefault="0026452D" w:rsidP="0026452D">
      <w:pPr>
        <w:pStyle w:val="TextoNormal"/>
      </w:pPr>
      <w:r>
        <w:t>Por lo expuesto, la impugnación del art. 16.3 LBRL ha de ser desestimada.</w:t>
      </w:r>
    </w:p>
    <w:p w:rsidR="0026452D" w:rsidRDefault="0026452D" w:rsidP="0026452D">
      <w:pPr>
        <w:pStyle w:val="TextoNormal"/>
      </w:pPr>
    </w:p>
    <w:p w:rsidR="0026452D" w:rsidRDefault="0026452D" w:rsidP="0026452D">
      <w:pPr>
        <w:pStyle w:val="TextoNormal"/>
      </w:pPr>
      <w:r w:rsidRPr="0026452D">
        <w:rPr>
          <w:rStyle w:val="NumeroAFNegritaCaracter"/>
        </w:rPr>
        <w:t>9</w:t>
      </w:r>
      <w:r>
        <w:t>. Enjuiciaremos ahora la nueva disposición adicional séptima LBRL, la cual, introducida por el art. 3.5 de la Ley Orgánica 14/2003, presenta el siguiente tenor literal:</w:t>
      </w:r>
    </w:p>
    <w:p w:rsidR="0026452D" w:rsidRDefault="0026452D" w:rsidP="0026452D">
      <w:pPr>
        <w:pStyle w:val="TextoNormal"/>
      </w:pPr>
    </w:p>
    <w:p w:rsidR="0026452D" w:rsidRDefault="0026452D" w:rsidP="0026452D">
      <w:pPr>
        <w:pStyle w:val="TextoNormal"/>
      </w:pPr>
      <w:r>
        <w:t>“Disposición adicional séptima. Acceso a los datos del padrón.</w:t>
      </w:r>
    </w:p>
    <w:p w:rsidR="0026452D" w:rsidRDefault="0026452D" w:rsidP="0026452D">
      <w:pPr>
        <w:pStyle w:val="TextoNormal"/>
      </w:pPr>
    </w:p>
    <w:p w:rsidR="0026452D" w:rsidRDefault="0026452D" w:rsidP="0026452D">
      <w:pPr>
        <w:pStyle w:val="TextoNormal"/>
      </w:pPr>
      <w:r>
        <w:t>Para la exclusiva finalidad del ejercicio de las competencias establecidas en la Ley Orgánica de Derechos y Libertades de los Extranjeros en España y su Integración Social, sobre control y permanencia de extranjeros en España, la Dirección General de la Policía accederá a los datos de inscripción padronal de los extranjeros existentes en los Padrones Municipales, preferentemente por vía telemática.</w:t>
      </w:r>
    </w:p>
    <w:p w:rsidR="0026452D" w:rsidRDefault="0026452D" w:rsidP="0026452D">
      <w:pPr>
        <w:pStyle w:val="TextoNormal"/>
      </w:pPr>
    </w:p>
    <w:p w:rsidR="0026452D" w:rsidRDefault="0026452D" w:rsidP="0026452D">
      <w:pPr>
        <w:pStyle w:val="TextoNormal"/>
      </w:pPr>
      <w:r>
        <w:t>A fin de asegurar el estricto cumplimiento de la legislación de protección de datos de carácter personal, los accesos se realizarán con las máximas medidas de seguridad. A estos efectos, quedará constancia en la Dirección General de la Policía de cada acceso, la identificación de usuario, fecha y hora en que se realizó, así como de los datos consultados.</w:t>
      </w:r>
    </w:p>
    <w:p w:rsidR="0026452D" w:rsidRDefault="0026452D" w:rsidP="0026452D">
      <w:pPr>
        <w:pStyle w:val="TextoNormal"/>
      </w:pPr>
    </w:p>
    <w:p w:rsidR="0026452D" w:rsidRDefault="0026452D" w:rsidP="0026452D">
      <w:pPr>
        <w:pStyle w:val="TextoNormal"/>
      </w:pPr>
      <w:r>
        <w:t>Con el fin de mantener actualizados los datos de inscripción padronal de extranjeros en los padrones municipales, la Dirección General de la Policía comunicará mensualmente al Instituto Nacional de Estadística, para el ejercicio de sus competencias, los datos de los extranjeros anotados en el Registro Central de Extranjeros.</w:t>
      </w:r>
    </w:p>
    <w:p w:rsidR="0026452D" w:rsidRDefault="0026452D" w:rsidP="0026452D">
      <w:pPr>
        <w:pStyle w:val="TextoNormal"/>
      </w:pPr>
    </w:p>
    <w:p w:rsidR="0026452D" w:rsidRDefault="0026452D" w:rsidP="0026452D">
      <w:pPr>
        <w:pStyle w:val="TextoNormal"/>
      </w:pPr>
      <w:r>
        <w:t>Se habilita a los Ministros de Economía y del Interior para dictar las disposiciones que regulen las comunicaciones de los datos de los extranjeros anotados en el Registro Central de Extranjeros por medios electrónicos, informáticos o telemáticos al Instituto Nacional de Estadística.”</w:t>
      </w:r>
    </w:p>
    <w:p w:rsidR="0026452D" w:rsidRDefault="0026452D" w:rsidP="0026452D">
      <w:pPr>
        <w:pStyle w:val="TextoNormal"/>
      </w:pPr>
    </w:p>
    <w:p w:rsidR="0026452D" w:rsidRDefault="0026452D" w:rsidP="0026452D">
      <w:pPr>
        <w:pStyle w:val="TextoNormal"/>
      </w:pPr>
      <w:r>
        <w:t>Tal como se ha recogido con más detalle en los antecedentes, el Parlamento Vasco considera que esta previsión legal vulnera el art. 18.4 CE en cuanto que la misma permitiría la utilización de los datos contenidos en el padrón para finalidades distintas de aquella para las que se recogieron, habilitando la posibilidad de que se produzcan, además, transferencias masivas de datos. A esta regulación del acceso también se le imputa su carácter discriminatorio, por cuanto produciría el efecto de producir una limitación en el acceso a derechos reconocidos en la propia legislación de extranjería, en particular la asistencia sanitaria específicamente vinculada por el art. 12 LOEx a la previa inscripción en el padrón. Por su parte el Abogado del Estado rechaza el planteamiento anterior y destaca que la utilización de los datos del padrón por la Dirección General de la Policía está sujeta a las garantías previstas por la Ley Orgánica de protección de datos y tiene por finalidad evitar las situaciones de irregularidad en la estancia de los extranjeros en España.</w:t>
      </w:r>
    </w:p>
    <w:p w:rsidR="0026452D" w:rsidRDefault="0026452D" w:rsidP="0026452D">
      <w:pPr>
        <w:pStyle w:val="TextoNormal"/>
      </w:pPr>
    </w:p>
    <w:p w:rsidR="0026452D" w:rsidRDefault="0026452D" w:rsidP="0026452D">
      <w:pPr>
        <w:pStyle w:val="TextoNormal"/>
      </w:pPr>
      <w:r>
        <w:t>En el enjuiciamiento del precepto hemos de constatar en primer lugar que la impugnación se circunscribe a los dos primeros párrafos de la disposición adicional séptima LBRL, por cuanto que las tachas de inconstitucionalidad que se imputan a este precepto se refieren exclusivamente a éstos en tanto que regulan el acceso de la Dirección General de la Policía a los datos de inscripción en el padrón de los extranjeros. Así, en los dos párrafos controvertidos la Disposición adicional séptima LBRL prevé una posibilidad diferenciada de acceso al padrón, que viene delimitada por la naturaleza del cesionario (la Dirección General de la Policía), la finalidad que justifica el acceso (el ejercicio por la misma de las competencias específicamente atribuidas por la legislación sobre extranjería) y el alcance de los datos que podrán ser objeto de cesión (exclusivamente los referidos a la inscripción de los extranjeros existentes en los padrones municipales), adoptando como cautela que los accesos se realicen con las máximas medidas de seguridad, para lo cual quedará constancia de cada acceso, la identificación del usuario, fecha y hora en que se realizó así como de los datos consultados.</w:t>
      </w:r>
    </w:p>
    <w:p w:rsidR="0026452D" w:rsidRDefault="0026452D" w:rsidP="0026452D">
      <w:pPr>
        <w:pStyle w:val="TextoNormal"/>
      </w:pPr>
    </w:p>
    <w:p w:rsidR="0026452D" w:rsidRDefault="0026452D" w:rsidP="0026452D">
      <w:pPr>
        <w:pStyle w:val="TextoNormal"/>
      </w:pPr>
      <w:r>
        <w:t>Conviene tener presente que, tal y como resulta de la regulación legal del padrón (en especial, la ya citada disposición adicional segunda LOPD) éste no es solamente un registro municipal sino que se ha convertido en un registro al alcance de la totalidad de las Admi</w:t>
      </w:r>
      <w:r>
        <w:lastRenderedPageBreak/>
        <w:t>nistraciones públicas, cuyos datos tienen a su disposición en las cuestiones de su competencia y respecto al cual se prevén los oportunos mecanismos de retroalimentación para su adecuado mantenimiento por el Ayuntamiento (al respecto, art. 17 LBRL y los dos últimos párrafos de la propia disposición que aquí venimos analizando). En tal sentido, el art. 10 LBRL determina que la Administración local y las demás Administraciones públicas han de ajustar sus relaciones recíprocas a los deberes de información mutua, colaboración y coordinación, en tanto que el art. 55 de la misma Ley de bases de régimen local, al referirse a las relaciones interadministrativas, preceptúa que para la efectividad de la coordinación y la eficacia administrativa, las Administraciones del Estado y de las Comunidades Autónomas, de un lado, y las entidades locales, de otro, deberán en sus relaciones recíprocas “facilitar a las otras Administraciones la información sobre la propia gestión que sea relevante para el adecuado desarrollo por éstas de sus cometidos”. Por otra parte, procede destacar que conforme al art. 6.2 b) de la Ley 11/2007, de 22 de junio, de acceso electrónico de los ciudadanos a los servicios públicos, las Administraciones públicas utilizarán medios electrónicos para recabar los datos y documentos que ya obren en poder de las Administraciones públicas “siempre que, en el caso de datos de carácter personal, se cuente con el consentimiento de los interesados en los términos establecidos por la Ley Orgánica 15/1999, de Protección de Datos de Carácter Personal, o una norma con rango de Ley así lo determine, salvo que existan restricciones conforme a la normativa de aplicación a los datos y documentos recabados”.</w:t>
      </w:r>
    </w:p>
    <w:p w:rsidR="0026452D" w:rsidRDefault="0026452D" w:rsidP="0026452D">
      <w:pPr>
        <w:pStyle w:val="TextoNormal"/>
      </w:pPr>
    </w:p>
    <w:p w:rsidR="0026452D" w:rsidRDefault="0026452D" w:rsidP="0026452D">
      <w:pPr>
        <w:pStyle w:val="TextoNormal"/>
      </w:pPr>
      <w:r>
        <w:t>En el descrito marco de previsiones legales específicas que amparan las relaciones interadministrativas y el deber de las Administraciones públicas de facilitarse recíprocamente información, debemos analizar el acceso cuestionado con respecto al cual apreciamos que, en primer lugar, el precepto legal establece la finalidad perseguida por el mismo, circunscrita al ejercicio de las competencias sobre control y permanencia de extranjeros en España, lo cual guarda directa relación con lo dispuesto en el art. 11.1 a) de la Ley Orgánica 2/1986, de 13 de marzo, de fuerzas y cuerpos de seguridad, precepto que atribuye a las mismas, entre otras, la función de velar por el cumplimiento de las leyes y en el art. 12.1 A c) del mismo texto legal en cuanto encomienda al Cuerpo Nacional de Policía la tarea de ejercer las competencias previstas en la legislación sobre extranjería, refugio y asilo, extradición, expulsión, emigración e inmigración, tareas que, en todo caso, han de ejercerse, guardando riguroso secreto respecto a todas las informaciones que conozcan por razón o con ocasión del desempeño de esas funciones (art. 5.5 de la Ley Orgánica 2/1986). Todo ello obedece a las finalidades legítimas, expresadas mediante la existencia de un específico régimen legal, relacionadas con la ordenación de entrada y limitación de la residencia y trabajo para controlar adecuadamente los flujos migratorios y garantizar así el orden público interno y la integración en nuestro país. Al respecto no debe obviarse que compete al Estado el control del acceso de las personas a su territorio, de forma tal que el deseable objetivo de conseguir la plena integración social de los inmigrantes se cohoneste con el respeto a la legalidad vigente, que establece el principio de rechazo a la inmigración ilegal o incontrolada, toda vez que es un hecho que, por razones de diverso tipo, nuestro país se ha convertido en receptor de personas emigradas de diversos países. De ahí que, a tal fin, se dispongan los medios que, por un lado, impidan las entradas ilegales en España y, de otro, eviten las estancias sin título jurídico válido, estableciendo la salida obligatoria del extranjero que carece de él y se encuentra en España en situación irregular.</w:t>
      </w:r>
    </w:p>
    <w:p w:rsidR="0026452D" w:rsidRDefault="0026452D" w:rsidP="0026452D">
      <w:pPr>
        <w:pStyle w:val="TextoNormal"/>
      </w:pPr>
    </w:p>
    <w:p w:rsidR="0026452D" w:rsidRDefault="0026452D" w:rsidP="0026452D">
      <w:pPr>
        <w:pStyle w:val="TextoNormal"/>
      </w:pPr>
      <w:r>
        <w:lastRenderedPageBreak/>
        <w:t>En segundo lugar, la habilitación de acceso policial al padrón municipal respeta la exigencia de que la omisión del consentimiento del afectado para la cesión de sus datos de carácter personal se establezca en una norma con rango de ley, tal como al respecto establece el art. 11.2 a) LOPD.</w:t>
      </w:r>
    </w:p>
    <w:p w:rsidR="0026452D" w:rsidRDefault="0026452D" w:rsidP="0026452D">
      <w:pPr>
        <w:pStyle w:val="TextoNormal"/>
      </w:pPr>
    </w:p>
    <w:p w:rsidR="0026452D" w:rsidRDefault="0026452D" w:rsidP="0026452D">
      <w:pPr>
        <w:pStyle w:val="TextoNormal"/>
      </w:pPr>
      <w:r>
        <w:t>En tercer lugar, en cuanto al juicio de ponderación entre el derecho fundamental afectado y el interés constitucionalmente protegido y perseguido, apreciamos que el legislador, al objeto de que los mismos surtan efecto en una actividad administrativa dirigida a garantizar que la entrada legal de emigrantes y su permanencia en España se produce de modo ordenado, ha determinado quien y para qué se van a utilizar esos datos, los cuales son necesarios y adecuados para la finalidad perseguida, la gestión del sistema de control de entrada y permanencia de extranjeros en España a fin de evitar el fenómeno de la inmigración irregular, de manera que la Administración pública estaría actuando dentro de las competencias que, sobre esa materia, le atribuye la Ley Orgánica de derechos y libertades de los extranjeros y para cuyo adecuado ejercicio el precepto examinado le habilita a acceder a los datos del padrón. Así, no cabe dudar ni de la legitimidad de la finalidad perseguida ni de la idoneidad de la medida controvertida en relación con la antedicha finalidad ni tampoco de su necesidad, pues otras medidas en las que sería dable pensar como el control de fronteras pueden ser menos eficaces y tampoco son incompatibles con el acceso previsto.</w:t>
      </w:r>
    </w:p>
    <w:p w:rsidR="0026452D" w:rsidRDefault="0026452D" w:rsidP="0026452D">
      <w:pPr>
        <w:pStyle w:val="TextoNormal"/>
      </w:pPr>
    </w:p>
    <w:p w:rsidR="0026452D" w:rsidRDefault="0026452D" w:rsidP="0026452D">
      <w:pPr>
        <w:pStyle w:val="TextoNormal"/>
      </w:pPr>
      <w:r>
        <w:t>Ahora bien, dicha previsión legal ha de ser entendida de forma acorde con las exigencias de proporcionalidad que nuestra doctrina exige en la limitación de un derecho fundamental como es el aquí concernido, relativo la protección de datos de carácter personal. Eso significa que la cesión de datos que el acceso regulado por el precepto supone ha de venir rodeado de una serie de garantías específicas, garantías que, cumplimentadas por el órgano administrativo al que el precepto hace referencia, son, evidentemente, susceptibles de control. Entre ellas se encuentra la necesidad de motivar y justificar expresamente tanto la concreta atribución de la condición de usuario para el acceso telemático a los datos del padrón que el precepto prevé, como los concretos accesos de que se trate, evitando —en cuanto que la exigible motivación de tales decisiones facilita su correspondiente control mediante los mecanismos previstos en el ordenamiento jurídico, en especial, a través del control jurisdiccional contencioso-administrativo— que se produzca tanto un uso torticero de dicha facultad como accesos indiscriminados o masivos. Límites al contenido del acceso que también resultan de determinadas previsiones de la legalidad ordinaria, las cuales han de ser aplicadas teniendo presente, en todo caso, la necesaria unidad del ordenamiento jurídico, tales como el art. 16.3 LBRL, que ya hemos examinado o, incluso, otras regulaciones específicas de la Ley Orgánica de protección de datos, en especial su art. 22.2. Resulta de ello que el acceso solamente será posible, en las condiciones antes dichas, cuando el concreto dato en cuestión resulte pertinente y necesario en relación con la finalidad que ha justificado el acceso, quedando garantizada la posibilidad de analizar si, en cada caso concreto, el acceso tenía amparo en lo establecido en la ley pues, en caso contrario, no resultará posible su uso. Con tales garantías el acceso regulado en la disposición cuestionada resulta ser proporcionado en relación con la finalidad perseguida, ya que, en tanto que el dato resultante solo puede ser utilizado para la finalidad establecida en el precepto, ha de realizarse de forma puntual por quien se encuentre expresamente habilitado para ello y en relación a datos concretos cuya necesidad ha de ser también justificada de forma expresa y, por tanto, sometida a control, en los términos que acabamos de exponer.</w:t>
      </w:r>
    </w:p>
    <w:p w:rsidR="0026452D" w:rsidRDefault="0026452D" w:rsidP="0026452D">
      <w:pPr>
        <w:pStyle w:val="TextoNormal"/>
      </w:pPr>
    </w:p>
    <w:p w:rsidR="0026452D" w:rsidRDefault="0026452D" w:rsidP="0026452D">
      <w:pPr>
        <w:pStyle w:val="TextoNormal"/>
      </w:pPr>
      <w:r>
        <w:lastRenderedPageBreak/>
        <w:t>Por otro lado, el hecho de que el legislador haya exigido la inscripción en el padrón como condición para el acceso a determinadas prestaciones no es sino manifestación de la posibilidad de la que goza para establecer, con las limitaciones derivadas de nuestra doctrina (STC 236/2007, de 7 de noviembre, FJ 3), diferencias de trato con los españoles en lo que respecta al ejercicio de determinados derechos, entre los que, por lo que ahora interesa, se encuentra el relativo al acceso a las prestaciones sanitarias (STC 295/2000, de 2 de abril, FJ 3), el cual, por lo demás, se produce en los términos previstos en la legislación vigente en materia sanitaria (art. 12 LOEx en la redacción dada al mismo por la disposición final tercera del Real Decreto-ley 16/2012, de 20 de abril, de medidas urgentes para garantizar la sostenibilidad del Sistema Nacional de Salud y mejorar la calidad y seguridad de sus prestaciones). En consecuencia no puede considerarse que una medida distinta establecida para la consecución de finalidades constitucionalmente legítimas produce un efecto discriminatorio, siquiera de una forma indirecta, por la disposición cuestionada, la cual, si bien enmarcada en las previsiones del legislador en materia de extranjería, se dirige a controlar la regularidad y permanencia de los extranjeros en España en los términos dispuestos por el legislador orgánico, el cual puede perseguir lícitamente dicha finalidad garantizando así el respeto a la ley evitando su vulneración.</w:t>
      </w:r>
    </w:p>
    <w:p w:rsidR="0026452D" w:rsidRDefault="0026452D" w:rsidP="0026452D">
      <w:pPr>
        <w:pStyle w:val="TextoNormal"/>
      </w:pPr>
    </w:p>
    <w:p w:rsidR="0026452D" w:rsidRDefault="0026452D" w:rsidP="0026452D">
      <w:pPr>
        <w:pStyle w:val="TextoNormal"/>
      </w:pPr>
      <w:r>
        <w:t>En suma, interpretado en los términos que hemos expuesto, la disposición adicional séptima LBRL no vulnera la Constitución y así se dispondrá en el fallo.</w:t>
      </w:r>
    </w:p>
    <w:p w:rsidR="0026452D" w:rsidRDefault="0026452D" w:rsidP="0026452D">
      <w:pPr>
        <w:pStyle w:val="TextoNormal"/>
      </w:pPr>
    </w:p>
    <w:p w:rsidR="0026452D" w:rsidRDefault="0026452D" w:rsidP="0026452D">
      <w:pPr>
        <w:pStyle w:val="TextoNormal"/>
      </w:pPr>
      <w:r w:rsidRPr="0026452D">
        <w:rPr>
          <w:rStyle w:val="NumeroAFNegritaCaracter"/>
        </w:rPr>
        <w:t>10</w:t>
      </w:r>
      <w:r>
        <w:t>. Daremos ahora respuesta a la impugnación de las disposiciones adicionales tercera y cuarta LOEx, introducidas por los apartados 38 y 39 del art. 1 de la Ley Orgánica 14/2003 respectivamente, a las cuales el recurrente les imputa la reducción del nivel mínimo de garantías jurídicas en los procedimientos administrativos que en todo caso habrían de ser preservadas para los administrados. Al respecto procede advertir que ambas disposiciones han sido modificadas por la Ley Orgánica, 2/2009 si bien, la modificación no afecta a la controversia que se ha trabado entre las partes. Lo que hemos de resolver aquí es, en definitiva, si las previsiones cuestionadas suponen una lesión de los derechos o garantías que la Constitución reconoce en el ámbito del procedimiento administrativo.</w:t>
      </w:r>
    </w:p>
    <w:p w:rsidR="0026452D" w:rsidRDefault="0026452D" w:rsidP="0026452D">
      <w:pPr>
        <w:pStyle w:val="TextoNormal"/>
      </w:pPr>
    </w:p>
    <w:p w:rsidR="0026452D" w:rsidRDefault="0026452D" w:rsidP="0026452D">
      <w:pPr>
        <w:pStyle w:val="TextoNormal"/>
      </w:pPr>
      <w:r>
        <w:t>Comenzando nuestro enjuiciamiento por lo dispuesto en la primera de las citadas disposiciones, hemos de señalar en primer lugar que, de acuerdo con el alegato de la Cámara autonómica, las quejas de inconstitucionalidad aducidas se contraen a lo previsto en el primer inciso del apartado 1 de la disposición tercera, apartado que dispone lo siguiente:</w:t>
      </w:r>
    </w:p>
    <w:p w:rsidR="0026452D" w:rsidRDefault="0026452D" w:rsidP="0026452D">
      <w:pPr>
        <w:pStyle w:val="TextoNormal"/>
      </w:pPr>
    </w:p>
    <w:p w:rsidR="0026452D" w:rsidRDefault="0026452D" w:rsidP="0026452D">
      <w:pPr>
        <w:pStyle w:val="TextoNormal"/>
      </w:pPr>
      <w:r>
        <w:t>“Disposición adicional tercera. Lugares de presentación de las solicitudes y exigencia de comparecencia personal</w:t>
      </w:r>
    </w:p>
    <w:p w:rsidR="0026452D" w:rsidRDefault="0026452D" w:rsidP="0026452D">
      <w:pPr>
        <w:pStyle w:val="TextoNormal"/>
      </w:pPr>
    </w:p>
    <w:p w:rsidR="0026452D" w:rsidRDefault="0026452D" w:rsidP="0026452D">
      <w:pPr>
        <w:pStyle w:val="TextoNormal"/>
      </w:pPr>
      <w:r>
        <w:t>1. Cuando el sujeto legitimado se encuentre en territorio español habrá de presentar personalmente las solicitudes relativas a las autorizaciones de residencia y de trabajo en los registros de los órganos competentes para su tramitación. Igualmente, en los procedimientos en los que el sujeto legitimado fuese un empleador, las solicitudes podrán ser presentadas por éste, o por quien válidamente ostente la representación legal empresarial.”</w:t>
      </w:r>
    </w:p>
    <w:p w:rsidR="0026452D" w:rsidRDefault="0026452D" w:rsidP="0026452D">
      <w:pPr>
        <w:pStyle w:val="TextoNormal"/>
      </w:pPr>
    </w:p>
    <w:p w:rsidR="0026452D" w:rsidRDefault="0026452D" w:rsidP="0026452D">
      <w:pPr>
        <w:pStyle w:val="TextoNormal"/>
      </w:pPr>
      <w:r>
        <w:t>Las modificaciones introducidas por la Ley Orgánica 2/2009 en este apartado 1 de la disposición adicional tercera han consistido en añadir un inciso final según el cual: “Regla</w:t>
      </w:r>
      <w:r>
        <w:lastRenderedPageBreak/>
        <w:t>mentariamente se podrán establecer excepciones a la presentación ante el órgano competente para su tramitación o a la necesidad de presentación personal de solicitudes”, aspecto que no afecta a lo debatido en el presente proceso.</w:t>
      </w:r>
    </w:p>
    <w:p w:rsidR="0026452D" w:rsidRDefault="0026452D" w:rsidP="0026452D">
      <w:pPr>
        <w:pStyle w:val="TextoNormal"/>
      </w:pPr>
    </w:p>
    <w:p w:rsidR="0026452D" w:rsidRDefault="0026452D" w:rsidP="0026452D">
      <w:pPr>
        <w:pStyle w:val="TextoNormal"/>
      </w:pPr>
      <w:r>
        <w:t>Del tenor literal del inciso cuestionado podemos apreciar que el mismo introduce, en los procedimientos administrativos en materia de extranjería, en concreto sobre autorizaciones de residencia y de trabajo, dos especialidades en relación con el procedimiento administrativo común, especialidades consistentes, por un lado, en el establecimiento de la obligación de comparecencia personal para la presentación de las solicitudes de autorización de residencia y trabajo, presentación que, por otro lado, habrá de realizarse en los registros de los órganos competentes para su tramitación. Ambas circunstancias, a juicio del recurrente, suponen que el legislador orgánico estaría eludiendo, sin el debido fundamento y proporcionalidad, la aplicación para los extranjeros de garantías que han de ser generales en todo procedimiento administrativo, incurriendo con ello en arbitrariedad proscrita por el art. 9.3 CE así como vulnerando los principios de coordinación, colaboración y cooperación que, de acuerdo con el art. 103 CE, han de regir las relaciones entre las distintas Administraciones públicas. Al anterior planteamiento se ha opuesto el Abogado del Estado, el cual estima que no se producen las vulneraciones constitucionales denunciadas, señalando que la especialidad procedimental se ha establecido mediante norma de rango suficiente, encontrándose justificada en la búsqueda de la mayor eficacia posible en la tramitación del expediente y en dificultar o impedir su tramitación fraudulenta.</w:t>
      </w:r>
    </w:p>
    <w:p w:rsidR="0026452D" w:rsidRDefault="0026452D" w:rsidP="0026452D">
      <w:pPr>
        <w:pStyle w:val="TextoNormal"/>
      </w:pPr>
    </w:p>
    <w:p w:rsidR="0026452D" w:rsidRDefault="0026452D" w:rsidP="0026452D">
      <w:pPr>
        <w:pStyle w:val="TextoNormal"/>
      </w:pPr>
      <w:r>
        <w:t xml:space="preserve">El examen de las quejas denunciadas ha de partir de la previa constatación de que no pueden constituir canon de enjuiciamiento de la disposición cuestionada las previsiones que, sobre esa misma materia, contiene lo dispuesto en la Ley 30/1992, de 26 de noviembre, de régimen jurídico de las Administraciones públicas y del procedimiento administrativo común, pues es claro que el examen de constitucionalidad del inciso impugnado ha de realizarse únicamente tomando como parámetro lo que al respecto disponen los preceptos constitucionales con los que el mismo guarda relación, en este caso los arts. 9.3, 103 y 149.1.18 CE, citados por el recurrente en su alegato. Así, en cuanto al art. 149.1.18 CE, debemos recordar que nuestra doctrina ha admitido con naturalidad la existencia de previsiones procedimentales específicas </w:t>
      </w:r>
      <w:r w:rsidRPr="0026452D">
        <w:rPr>
          <w:i/>
        </w:rPr>
        <w:t>ratione materiae</w:t>
      </w:r>
      <w:r>
        <w:t>, vinculadas al concreto régimen sustantivo de la materia de que se trate [STC 175/2003, de 30 de septiembre, FJ 10 c) y doctrina allí citada]. Esta excepción a la aplicación de las previsiones de la Ley 30/1992 en concretos aspectos de la regulación en materia de extranjería se deriva, además, de la expresa voluntad del legislador estatal en materia de procedimiento administrativo, tal como se infiere de la disposición adicional decimonovena de la referida Ley 30/1992, la cual, introducida por el art. 4 de la Ley Orgánica 14/2003, cuenta con antecedentes en la propia Ley 30/1992 (así, disposiciones adicionales quinta a octava, las cuales declaran bien la subsidariedad bien la no aplicación de la misma en determinados ámbitos materiales). Por esta razón, ningún reproche ha de formularse a la disposición impugnada por el sólo hecho de que, como aquí sucede, excepcione, para un sector material específico, determinadas previsiones procedimentales de las establecidas, con carácter general, en la Ley 30/1992.</w:t>
      </w:r>
    </w:p>
    <w:p w:rsidR="0026452D" w:rsidRDefault="0026452D" w:rsidP="0026452D">
      <w:pPr>
        <w:pStyle w:val="TextoNormal"/>
      </w:pPr>
    </w:p>
    <w:p w:rsidR="0026452D" w:rsidRDefault="0026452D" w:rsidP="0026452D">
      <w:pPr>
        <w:pStyle w:val="TextoNormal"/>
      </w:pPr>
      <w:r>
        <w:t xml:space="preserve">En cuanto a la alegada falta de proporcionalidad o necesidad de las medidas cuestionadas hemos de partir del hecho de que, como recuerda la STC 236/2007 y doctrina allí citada, el legislador en materia de extranjería puede establecer requisitos para la entrada y permanencia de los extranjeros entre los que se encuentra el sometimiento a la necesaria autorización </w:t>
      </w:r>
      <w:r>
        <w:lastRenderedPageBreak/>
        <w:t>administrativa para residir y trabajar legalmente en España. Teniendo presente lo anterior ha de recordarse que entre las finalidades perseguidas por la autorización que se solicita se encuentra la de identificar y justificar documentalmente la situación en la que se encuentra el extranjero en España, identificación que resulta imperativa en los términos del art. 4.1 LOEx y 11 de la Ley Orgánica 1/1992, de 21 de febrero, sobre protección de la seguridad ciudadana. De ambas normas puede colegirse el carácter estrictamente personal de la obligación tal y como sucede, para los españoles y con las mismas consecuencias, con el Documento Nacional de Identidad (art. 9 de la Ley Orgánica 1/1992 y 5 del Real Decreto 1553/2005, de 23 de diciembre). Consecuencia lógica de lo anterior es que las autoridades que han de emitir las referidas autorizaciones procedan a la adecuada identificación personal de aquellos a cuyo favor han de emitirse, sin que, por esa razón, el deber de comparecencia personal ante los órganos competentes para tramitar la solicitud pueda entenderse inadecuado o no justificado respecto a la finalidad perseguida. Por ello, procede considerar que las dos cuestiones controvertidas tienen como finalidad garantizar la mayor eficacia en la gestión de los procedimientos administrativos en materia de extranjería, buscando el respeto a la ley y a la regulación ordenada de los procedimientos en materia de extranjería en los que se incluyen los requisitos y condiciones exigibles para la entrada y permanencia de los extranjeros en España.</w:t>
      </w:r>
    </w:p>
    <w:p w:rsidR="0026452D" w:rsidRDefault="0026452D" w:rsidP="0026452D">
      <w:pPr>
        <w:pStyle w:val="TextoNormal"/>
      </w:pPr>
    </w:p>
    <w:p w:rsidR="0026452D" w:rsidRDefault="0026452D" w:rsidP="0026452D">
      <w:pPr>
        <w:pStyle w:val="TextoNormal"/>
      </w:pPr>
      <w:r>
        <w:t>De acuerdo con lo expuesto procede también desechar la alegada vulneración de los principios de coordinación, colaboración y cooperación, pues, afirmada la posibilidad de establecer especialidades procedimentales por razón de la materia, tampoco es aquí de aplicación lo dispuesto en el art. 38.4 de la Ley 30/1992, en el que el escrito de demanda singulariza la vulneración de los indicados principios, precepto legal que, por lo demás y conforme hemos ya expuesto, no es susceptible de erigirse en parámetro de enjuiciamiento del precepto impugnado.</w:t>
      </w:r>
    </w:p>
    <w:p w:rsidR="0026452D" w:rsidRDefault="0026452D" w:rsidP="0026452D">
      <w:pPr>
        <w:pStyle w:val="TextoNormal"/>
      </w:pPr>
    </w:p>
    <w:p w:rsidR="0026452D" w:rsidRDefault="0026452D" w:rsidP="0026452D">
      <w:pPr>
        <w:pStyle w:val="TextoNormal"/>
      </w:pPr>
      <w:r>
        <w:t>Finalmente, en cuanto a la tacha relativa a la vulneración del principio constitucional de interdicción de la arbitrariedad de los poderes públicos del art. 9.3CE, baste con recordar los criterios de nuestra doctrina al respecto (por todas STC 49/2008, de 9 de abril, FJ 5) según la cual, en atención al debido respeto al pluralismo político y a la libertad de configuración del legislador democrático, la gravedad que un reproche como el de arbitrariedad reviste cuando se dirige contra el legislador obliga a ofrecer una justificación convincente para destruir la presunción de constitucionalidad de la ley impugnada. Desde un punto de vista material, la arbitrariedad invocada ha de ser el resultado bien de una discriminación normativa bien de la carencia absoluta de explicación racional de la medida adoptada. Circunstancias que, de acuerdo con lo anteriormente expuesto, no procede apreciar en el presente caso en el que las medidas examinadas no pueden calificarse como intrínsecamente arbitrarias o desproporcionadas respecto a los fines por las mismas perseguidas. Consecuentemente, no se han ofrecido a este Tribunal Constitucional los elementos que permitan formular, desde la perspectiva de la interdicción de la arbitrariedad, un juicio de validez acerca del resultado alcanzado por el legislador en la labor ponderativa que nos ocupa.</w:t>
      </w:r>
    </w:p>
    <w:p w:rsidR="0026452D" w:rsidRDefault="0026452D" w:rsidP="0026452D">
      <w:pPr>
        <w:pStyle w:val="TextoNormal"/>
      </w:pPr>
    </w:p>
    <w:p w:rsidR="0026452D" w:rsidRDefault="0026452D" w:rsidP="0026452D">
      <w:pPr>
        <w:pStyle w:val="TextoNormal"/>
      </w:pPr>
      <w:r>
        <w:t>En conclusión, la impugnación del primer inciso del apartado primero de la disposición adicional tercera LOEx ha de ser desestimada.</w:t>
      </w:r>
    </w:p>
    <w:p w:rsidR="0026452D" w:rsidRDefault="0026452D" w:rsidP="0026452D">
      <w:pPr>
        <w:pStyle w:val="TextoNormal"/>
      </w:pPr>
    </w:p>
    <w:p w:rsidR="0026452D" w:rsidRDefault="0026452D" w:rsidP="0026452D">
      <w:pPr>
        <w:pStyle w:val="TextoNormal"/>
      </w:pPr>
      <w:r w:rsidRPr="0026452D">
        <w:rPr>
          <w:rStyle w:val="NumeroAFNegritaCaracter"/>
        </w:rPr>
        <w:t>11</w:t>
      </w:r>
      <w:r>
        <w:t>. En cuanto a la disposición adicional cuarta LOEx, se impugnan sus apartados 1, 4, 7 y 8, los cuales establecían lo siguiente:</w:t>
      </w:r>
    </w:p>
    <w:p w:rsidR="0026452D" w:rsidRDefault="0026452D" w:rsidP="0026452D">
      <w:pPr>
        <w:pStyle w:val="TextoNormal"/>
      </w:pPr>
    </w:p>
    <w:p w:rsidR="0026452D" w:rsidRDefault="0026452D" w:rsidP="0026452D">
      <w:pPr>
        <w:pStyle w:val="TextoNormal"/>
      </w:pPr>
      <w:r>
        <w:t>“Disposición adicional cuarta. Inadmisión a trámite de solicitudes</w:t>
      </w:r>
    </w:p>
    <w:p w:rsidR="0026452D" w:rsidRDefault="0026452D" w:rsidP="0026452D">
      <w:pPr>
        <w:pStyle w:val="TextoNormal"/>
      </w:pPr>
    </w:p>
    <w:p w:rsidR="0026452D" w:rsidRDefault="0026452D" w:rsidP="0026452D">
      <w:pPr>
        <w:pStyle w:val="TextoNormal"/>
      </w:pPr>
      <w:r>
        <w:t>La autoridad competente para resolver inadmitirá a trámite las solicitudes relativas a los procedimientos regulados en esta Ley, en los siguientes supuestos:</w:t>
      </w:r>
    </w:p>
    <w:p w:rsidR="0026452D" w:rsidRDefault="0026452D" w:rsidP="0026452D">
      <w:pPr>
        <w:pStyle w:val="TextoNormal"/>
      </w:pPr>
    </w:p>
    <w:p w:rsidR="0026452D" w:rsidRDefault="0026452D" w:rsidP="0026452D">
      <w:pPr>
        <w:pStyle w:val="TextoNormal"/>
      </w:pPr>
      <w:r>
        <w:t>1. Falta de legitimación del solicitante, o insuficiente acreditación de la representación.</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4. Cuando conste un procedimiento administrativo sancionador contra el solicitante en el que pueda proponerse la expulsión o cuando se haya decretado en contra del mismo una orden de expulsión, judicial o administrativa.</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7. Cuando se refieran a extranjeros que se encontrasen en España en situación irregular, salvo que pueda encontrarse en uno de los supuestos del art. 31, apartado 3.</w:t>
      </w:r>
    </w:p>
    <w:p w:rsidR="0026452D" w:rsidRDefault="0026452D" w:rsidP="0026452D">
      <w:pPr>
        <w:pStyle w:val="TextoNormal"/>
      </w:pPr>
    </w:p>
    <w:p w:rsidR="0026452D" w:rsidRDefault="0026452D" w:rsidP="0026452D">
      <w:pPr>
        <w:pStyle w:val="TextoNormal"/>
      </w:pPr>
      <w:r>
        <w:t>8. Cuando dicha solicitud no sea realizada personalmente y dicha circunstancia sea exigida por Ley.”</w:t>
      </w:r>
    </w:p>
    <w:p w:rsidR="0026452D" w:rsidRDefault="0026452D" w:rsidP="0026452D">
      <w:pPr>
        <w:pStyle w:val="TextoNormal"/>
      </w:pPr>
    </w:p>
    <w:p w:rsidR="0026452D" w:rsidRDefault="0026452D" w:rsidP="0026452D">
      <w:pPr>
        <w:pStyle w:val="TextoNormal"/>
      </w:pPr>
      <w:r>
        <w:t>Esta disposición adicional cuarta ha sido modificada en su redacción por la Ley Orgánica 2/2009 la cual, por lo que ahora interesa, ha alterado la numeración del precepto de tal manera que los números 1, 4, 7 y 8 son ahora las letras a), d) g) y h) del apartado 1 ya que el nuevo apartado 2 se dedica a la regulación de los supuestos de inadmisión a trámite en los procedimientos relativos a solicitudes de visado de tránsito o estancia. Asimismo, ha modificado el anterior núm. 4, actual letra d), de modo que el mismo presenta la siguiente redacción: “Cuando conste un procedimiento administrativo sancionador contra el solicitante en el que pueda proponerse la expulsión o cuando se haya decretado en contra del mismo una orden de expulsión, judicial o administrativa salvo que, en este último caso, la orden de expulsión hubiera sido revocada o se hallase en uno de los supuestos regulados por los artículos 31 bis, 59, 59 bis o 68.3 de esta Ley.” Las citadas modificaciones no afectan a lo discutido por el recurrente pues, por lo que hace al segundo inciso de la actual letra d), su queja se ha centrado en la vulneración del principio de tutela judicial efectiva del art. 24 CE, cuestión a la que no afectan las excepciones introducidas por la Ley Orgánica 2/2009.</w:t>
      </w:r>
    </w:p>
    <w:p w:rsidR="0026452D" w:rsidRDefault="0026452D" w:rsidP="0026452D">
      <w:pPr>
        <w:pStyle w:val="TextoNormal"/>
      </w:pPr>
    </w:p>
    <w:p w:rsidR="0026452D" w:rsidRDefault="0026452D" w:rsidP="0026452D">
      <w:pPr>
        <w:pStyle w:val="TextoNormal"/>
      </w:pPr>
      <w:r>
        <w:t xml:space="preserve">El Parlamento Vasco entiende que los transcritos apartados 1, 4, 7 y 8 han introducido unas especialidades en el procedimiento administrativo común que no respetarían las garantías mínimas ordenadas por el art. 149.1.18 CE, especialidades que, por su evidente desproporción, vulnerarían la prohibición, derivada del art. 9.3 CE, de que los poderes públicos actúen arbitrariamente. Asimismo considera que las cuestionadas causas de inadmisión limitarían injustificadamente las posibilidades de revisión jurisdiccional de la decisión adoptada en contra de lo dispuesto por el art. 106 CE. Específicamente en relación con el apartado 4 señala que el mismo vulnera el principio de tutela judicial efectiva del art. 24 CE, y finalmente, en relación con el inciso inicial de ese apartado 4, que se infringe el principio de presunción de inocencia en el procedimiento administrativo sancionador. El Abogado del Estado se opone a las anteriores consideraciones en el entendimiento de que la decisión </w:t>
      </w:r>
      <w:r>
        <w:lastRenderedPageBreak/>
        <w:t>de inadmisión va a adoptarse por el órgano competente sobre la cuestión de fondo planteada, decisión que va estar sometida al régimen general de los actos administrativos, en particular la motivación, y que no impide al interesado reiniciar el procedimiento una vez corregida la situación causante de la inadmisión. Asimismo señala que, en cualquier caso, el interesado puede impugnar en vía judicial la resolución que se dicte y, termina considerando que, en relación con el apartado 8, no se vulnera la presunción de inocencia, ya que la inadmisión acordada se justifica por la compatibilidad de ambos procedimientos, debiendo ceder el no iniciado a favor del que ya está tramitándose.</w:t>
      </w:r>
    </w:p>
    <w:p w:rsidR="0026452D" w:rsidRDefault="0026452D" w:rsidP="0026452D">
      <w:pPr>
        <w:pStyle w:val="TextoNormal"/>
      </w:pPr>
    </w:p>
    <w:p w:rsidR="0026452D" w:rsidRDefault="0026452D" w:rsidP="0026452D">
      <w:pPr>
        <w:pStyle w:val="TextoNormal"/>
      </w:pPr>
      <w:r>
        <w:t>Expuestas las alegaciones de las partes debemos recordar que el juicio de constitucionalidad no es un juicio acerca de la calidad de las normas, de suerte que en el mismo no se incluyen consideraciones atinentes a la técnica legislativa empleada sino únicamente la valoración de la conformidad de las disposiciones impugnadas con los cánones de constitucionalidad a los que hemos de atenernos. Así, de acuerdo con lo que ya hemos expuesto acerca del mandato constitucional de interdicción de la arbitrariedad en relación con el legislador, hemos de reiterar ahora el cuidado que este Tribunal ha de tener para, en el examen de un precepto legal impugnado por este motivo, mantenerse dentro de los límites de su control, control que ha de extremarse en razón de que se trata de aplicar preceptos generales e indeterminados, como es, en este caso, el de la interdicción de la arbitrariedad. Por ello,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o, por el contrario, entra dentro del margen de configuración del que goza en ejercicio de su libertad de opción en este ámbito.</w:t>
      </w:r>
    </w:p>
    <w:p w:rsidR="0026452D" w:rsidRDefault="0026452D" w:rsidP="0026452D">
      <w:pPr>
        <w:pStyle w:val="TextoNormal"/>
      </w:pPr>
    </w:p>
    <w:p w:rsidR="0026452D" w:rsidRDefault="0026452D" w:rsidP="0026452D">
      <w:pPr>
        <w:pStyle w:val="TextoNormal"/>
      </w:pPr>
      <w:r>
        <w:t>En este sentido, el legislador orgánico ha puesto de manifiesto las razones que llevan a adoptar las normas cuestionadas, sin que las mismas carezcan de toda explicación racional —únicos motivos que, conforme a nuestra doctrina, permitirían afirmar que el legislador ha incurrido en arbitrariedad—. Al respecto, podemos apreciar que la norma cuestionada, aun cuando pueda discreparse de ella, no carece de justificación pues la misma intenta, junto a la simplificación y agilización de la tramitación administrativa, dificultar el uso fraudulento de los procedimientos en materia de extranjería, lo que, en definitiva, persigue garantizar el respeto a las decisiones del legislador en lo relativo a la entrada y permanencia de los extranjeros en España, decisiones centradas en el control de los flujos migratorios y en la entrada y permanencia en situaciones de normalidad dentro del territorio español.</w:t>
      </w:r>
    </w:p>
    <w:p w:rsidR="0026452D" w:rsidRDefault="0026452D" w:rsidP="0026452D">
      <w:pPr>
        <w:pStyle w:val="TextoNormal"/>
      </w:pPr>
    </w:p>
    <w:p w:rsidR="0026452D" w:rsidRDefault="0026452D" w:rsidP="0026452D">
      <w:pPr>
        <w:pStyle w:val="TextoNormal"/>
      </w:pPr>
      <w:r>
        <w:t xml:space="preserve">Por otra parte, como veremos inmediatamente, los apartados impugnados no impiden el control jurisdiccional de estos actos administrativos, evitando así negar la proyección que en este ámbito tiene la interdicción de la arbitrariedad de los poderes públicos que proclama el art. 9.3 CE. Al someter la ley enjuiciada la actividad administrativa cuestionada a control de los Tribunales (art. 106.1 CE), obliga a la Administración a estar en todo momento en condiciones de explicar que no ha ejercido de forma arbitraria las facultades que la norma le confiere. Es decir, la circunstancia de que el órgano administrativo competente pueda inadmitir a trámite, en los casos legalmente previstos, las solicitudes que se le plantean no excluye, evidentemente, la necesidad de que la adopción de tal medida haya de encontrarse dentro de los anteriores supuestos legales y sea convenientemente razonada en términos de derecho en función de las circunstancias del caso, así como tampoco su control por las vías administrativas y jurisdiccionales que resulten procedentes. Igualmente, desaparecida la </w:t>
      </w:r>
      <w:r>
        <w:lastRenderedPageBreak/>
        <w:t>causa que motivó la inadmisión a trámite de la solicitud, nada hay en la Ley Orgánica de derechos y libertades de los extranjeros que impida al interesado plantearla nuevamente, lo que, sin duda, atempera las consecuencias que el recurrente vincula a la aplicación de las disposiciones impugnadas, las cuales, por todo lo expuesto, no han de reputarse contrarias al art. 9.3 CE.</w:t>
      </w:r>
    </w:p>
    <w:p w:rsidR="0026452D" w:rsidRDefault="0026452D" w:rsidP="0026452D">
      <w:pPr>
        <w:pStyle w:val="TextoNormal"/>
      </w:pPr>
    </w:p>
    <w:p w:rsidR="0026452D" w:rsidRDefault="0026452D" w:rsidP="0026452D">
      <w:pPr>
        <w:pStyle w:val="TextoNormal"/>
      </w:pPr>
      <w:r>
        <w:t>Tampoco forma parte de la garantía otorgada por el art. 106 CE un derecho a la completa tramitación de un procedimiento administrativo en materia de extranjería que concluya, en todo caso, con una resolución sobre el fondo del asunto. Por el contrario, las garantías derivadas de este precepto constitucional se satisfacen si los interesados tienen derecho a someter al examen de los Tribunales la legalidad de los que ellos consideran un incumplimiento por parte de la Administración de las obligaciones nacidas de la ley. Extremo que se asegura mediante la obligación de motivación y el carácter impugnable de la decisión administrativa, evitando así que existan comportamientos de la Administración pública inmunes al control judicial, pues aun cuando la decisión administrativa consista en la inadmisión se trata de una decisión adoptada en el ejercicio de potestades públicas y, por tanto, sujetas al control de los tribunales del orden jurisdiccional contencioso-administrativo. Tales supuestos se cumplen en el supuesto examinado pues, en todo caso, la decisión de inadmisión ha de ser motivada (art. 20.2 LOEx) y recurrible (art. 21.1 LOEx) y la misma habrá de ser notificada al interesado con indicación de los recursos a interponer, órgano ante el que hubieran de presentarse y plazo para interponerlo, con lo que queda abierta la posibilidad de poder solicitar el correspondiente control jurisdiccional sobre la regularidad de la decisión adoptada. Apreciado que nada impide a los órganos jurisdiccionales examinar la conformidad o disconformidad a derecho de la decisión administrativa y, llegado el caso, ordenar que se proceda a la tramitación de la solicitud inicialmente inadmitida, ha de desecharse la alegada vulneración del art. 106 CE.</w:t>
      </w:r>
    </w:p>
    <w:p w:rsidR="0026452D" w:rsidRDefault="0026452D" w:rsidP="0026452D">
      <w:pPr>
        <w:pStyle w:val="TextoNormal"/>
      </w:pPr>
    </w:p>
    <w:p w:rsidR="0026452D" w:rsidRDefault="0026452D" w:rsidP="0026452D">
      <w:pPr>
        <w:pStyle w:val="TextoNormal"/>
      </w:pPr>
      <w:r>
        <w:t xml:space="preserve">Lo anterior permite descartar también las invocadas infracciones del principio de tutela judicial efectiva derivado del art. 24 CE que se le imputan al apartado 4 de la disposición impugnada. Tal como señala la STC 308/2006, de 23 de octubre, FJ 3, “aunque las garantías procesales establecidas en el art. 24 CE son aplicables también en los procedimientos administrativos, tal operatividad queda restringida a los procedimientos sancionadores, en cuanto que son también manifestación de la potestad punitiva del Estado y, en todo caso, con las matizaciones que resulten de su propia naturaleza (por todas, SSTC 120/1994, de 25 de abril, FJ 2; y 54/2003, de 24 de marzo, FJ 3)”. En el supuesto que examinamos se trata de actos que, en cuanto que inadmiten una solicitud, no imponen sanción alguna ni limitan el ejercicio de ningún derecho fundamental. Tampoco es posible apreciar la alegada vulneración de la presunción de inocencia que se predica del inciso inicial de este apartado 4, pues el cuestionado inciso viene a establecer, de forma quizás poco afortunada desde el punto de vista de la técnica utilizada, la preferencia del procedimiento administrativo sancionador ya iniciado frente al otro que pretende comenzarse, lo cual resulta lógico si se tiene en cuenta que el art. 57.4 LOEx dispone que la expulsión conllevará la extinción de cualquier autorización para permanecer en España, así como el archivo de cualquier procedimiento que tuviera por objeto la autorización para residir o trabajar en España del extranjero expulsado. De esta forma, no se vulnera la presunción de inocencia dado que no nos encontramos en un ámbito sancionador y la inadmisión a trámite de la solicitud nada prejuzga respecto a la </w:t>
      </w:r>
      <w:r>
        <w:lastRenderedPageBreak/>
        <w:t>eventual resolución que se adopte en el procedimiento administrativo sancionador. Igualmente, concluso dicho procedimiento sancionador sin haberse impuesto la sanción consistente en la expulsión, nada impide al interesado reiterar su solicitud.</w:t>
      </w:r>
    </w:p>
    <w:p w:rsidR="0026452D" w:rsidRDefault="0026452D" w:rsidP="0026452D">
      <w:pPr>
        <w:pStyle w:val="TextoNormal"/>
      </w:pPr>
    </w:p>
    <w:p w:rsidR="0026452D" w:rsidRDefault="0026452D" w:rsidP="0026452D">
      <w:pPr>
        <w:pStyle w:val="TextoNormal"/>
      </w:pPr>
      <w:r>
        <w:t>Por lo expuesto, la alegada inconstitucionalidad de los apartados 1, 4, 7 y 8 de la disposición adicional cuarta LOEx ha de ser desestimada.</w:t>
      </w:r>
    </w:p>
    <w:p w:rsidR="0026452D" w:rsidRDefault="0026452D" w:rsidP="0026452D">
      <w:pPr>
        <w:pStyle w:val="TextoNormal"/>
      </w:pPr>
    </w:p>
    <w:p w:rsidR="0026452D" w:rsidRDefault="0026452D" w:rsidP="0026452D">
      <w:pPr>
        <w:pStyle w:val="TextoNormal"/>
      </w:pPr>
      <w:r w:rsidRPr="0026452D">
        <w:rPr>
          <w:rStyle w:val="NumeroAFNegritaCaracter"/>
        </w:rPr>
        <w:t>12</w:t>
      </w:r>
      <w:r>
        <w:t xml:space="preserve">. El Parlamento Vasco ha impugnado los apartados 31, que modifica el apartado 5 y añade un nuevo apartado 6 al art. 58 LOEx, y 34, que introduce un nuevo apartado 3 en el art. 64 LOEx, del art. 1 de la Ley Orgánica 14/2003. </w:t>
      </w:r>
    </w:p>
    <w:p w:rsidR="0026452D" w:rsidRDefault="0026452D" w:rsidP="0026452D">
      <w:pPr>
        <w:pStyle w:val="TextoNormal"/>
      </w:pPr>
    </w:p>
    <w:p w:rsidR="0026452D" w:rsidRDefault="0026452D" w:rsidP="0026452D">
      <w:pPr>
        <w:pStyle w:val="TextoNormal"/>
      </w:pPr>
      <w:r>
        <w:t>Los arts. 58.5 y 6 LOEx impugnados presentan el siguiente tenor literal:</w:t>
      </w:r>
    </w:p>
    <w:p w:rsidR="0026452D" w:rsidRDefault="0026452D" w:rsidP="0026452D">
      <w:pPr>
        <w:pStyle w:val="TextoNormal"/>
      </w:pPr>
    </w:p>
    <w:p w:rsidR="0026452D" w:rsidRDefault="0026452D" w:rsidP="0026452D">
      <w:pPr>
        <w:pStyle w:val="TextoNormal"/>
      </w:pPr>
      <w:r>
        <w:t>“5. Cuando la devolución no se pudiera ejecutar en el plazo de 72 horas, se solicitará de la autoridad judicial la medida de internamiento prevista para los expedientes de expulsión.</w:t>
      </w:r>
    </w:p>
    <w:p w:rsidR="0026452D" w:rsidRDefault="0026452D" w:rsidP="0026452D">
      <w:pPr>
        <w:pStyle w:val="TextoNormal"/>
      </w:pPr>
    </w:p>
    <w:p w:rsidR="0026452D" w:rsidRDefault="0026452D" w:rsidP="0026452D">
      <w:pPr>
        <w:pStyle w:val="TextoNormal"/>
      </w:pPr>
      <w:r>
        <w:t>6. La devolución acordada en el párrafo a) del apartado 2 de este artículo conllevará la reiniciación del cómputo del plazo de prohibición de entrada que hubiese acordado la resolución de expulsión quebrantada. Asimismo, toda devolución acordada en aplicación del párrafo b) del mismo apartado de este artículo llevará consigo la prohibición de entrada en territorio español por un plazo máximo de tres años.”</w:t>
      </w:r>
    </w:p>
    <w:p w:rsidR="0026452D" w:rsidRDefault="0026452D" w:rsidP="0026452D">
      <w:pPr>
        <w:pStyle w:val="TextoNormal"/>
      </w:pPr>
    </w:p>
    <w:p w:rsidR="0026452D" w:rsidRDefault="0026452D" w:rsidP="0026452D">
      <w:pPr>
        <w:pStyle w:val="TextoNormal"/>
      </w:pPr>
      <w:r>
        <w:t>El art. 64.3 LOEx dispone:</w:t>
      </w:r>
    </w:p>
    <w:p w:rsidR="0026452D" w:rsidRDefault="0026452D" w:rsidP="0026452D">
      <w:pPr>
        <w:pStyle w:val="TextoNormal"/>
      </w:pPr>
    </w:p>
    <w:p w:rsidR="0026452D" w:rsidRDefault="0026452D" w:rsidP="0026452D">
      <w:pPr>
        <w:pStyle w:val="TextoNormal"/>
      </w:pPr>
      <w:r>
        <w:t>“3. Cuando un extranjero sea detenido en territorio español y se constate que contra él se ha dictado una resolución de expulsión por un Estado miembro de la Unión Europea, se procederá a ejecutar inmediatamente la resolución, sin necesidad de incoar nuevo expediente de expulsión. Se podrá solicitar la autorización del juez de instrucción para su ingreso en un centro de internamiento, con el fin de asegurar la ejecución de la sanción de expulsión, de acuerdo con lo previsto en la presente Ley.”</w:t>
      </w:r>
    </w:p>
    <w:p w:rsidR="0026452D" w:rsidRDefault="0026452D" w:rsidP="0026452D">
      <w:pPr>
        <w:pStyle w:val="TextoNormal"/>
      </w:pPr>
    </w:p>
    <w:p w:rsidR="0026452D" w:rsidRDefault="0026452D" w:rsidP="0026452D">
      <w:pPr>
        <w:pStyle w:val="TextoNormal"/>
      </w:pPr>
      <w:r>
        <w:t>Con respecto a los preceptos trascritos es preciso señalar que la Ley Orgánica 2/2009 ha modificado su numeración, pasando a ser los primeros los art. 58.6 y 7, respectivamente, y el último de los citados el art. 64.4 LOEx, conservando en todos los casos intacta su redacción.</w:t>
      </w:r>
    </w:p>
    <w:p w:rsidR="0026452D" w:rsidRDefault="0026452D" w:rsidP="0026452D">
      <w:pPr>
        <w:pStyle w:val="TextoNormal"/>
      </w:pPr>
    </w:p>
    <w:p w:rsidR="0026452D" w:rsidRDefault="0026452D" w:rsidP="0026452D">
      <w:pPr>
        <w:pStyle w:val="TextoNormal"/>
      </w:pPr>
      <w:r>
        <w:t>La representación procesal de la Cámara autonómica considera que la regulación de estos preceptos ha modificado la naturaleza de la devolución para transformarla en una sanción similar a la expulsión con sus mismas consecuencias jurídicas y materiales, ya que la misma lleva aparejada, sin la previa instrucción del correspondiente expediente, la imposición de una prohibición de entrada por un período máximo de tres años para aquellas personas que hubieran pretendido entrar ilegalmente en España [art. 58.2 b) LOEx], lo que conlleva la vulneración de los arts. 24 y 105 CE en tanto que se trataría de una sanción impuesta de plano. A tales consideraciones se opone el Abogado del Estado, el cual señala que el hecho de que la devolución pueda hacerse sin la incoación de un expediente no quiere decir que la misma se lleve a cabo sin dar audiencia al interesado y sin el correspondiente recurso pues a la misma le son de aplicación las previsiones legales generales sobre la notificación de la resolución al interesado y el carácter recurrible de las resoluciones, entre otros aspectos.</w:t>
      </w:r>
    </w:p>
    <w:p w:rsidR="0026452D" w:rsidRDefault="0026452D" w:rsidP="0026452D">
      <w:pPr>
        <w:pStyle w:val="TextoNormal"/>
      </w:pPr>
    </w:p>
    <w:p w:rsidR="0026452D" w:rsidRDefault="0026452D" w:rsidP="0026452D">
      <w:pPr>
        <w:pStyle w:val="TextoNormal"/>
      </w:pPr>
      <w:r>
        <w:t>Antes de comenzar nuestro enjuiciamiento hemos de recordar que, conforme a nuestra doctrina, “no basta con postular la inconstitucionalidad de una norma mediante la mera invocación formal de una serie de preceptos del bloque de la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Es doctrina reiterada de este Tribunal que la impugnación de normas debe ir acompañada con una fundamentación que permita a las partes a las que asiste el derecho de defensa (en este caso, al Abogado del Estado), así como a este Tribunal, que ha de pronunciar Sentencia, conocer las razones por las cuales los recurrentes entienden que las disposiciones cuestionadas vulneran el orden constitucional” (por todas STC 248/2007, de 13 de diciembre, FJ 1).</w:t>
      </w:r>
    </w:p>
    <w:p w:rsidR="0026452D" w:rsidRDefault="0026452D" w:rsidP="0026452D">
      <w:pPr>
        <w:pStyle w:val="TextoNormal"/>
      </w:pPr>
    </w:p>
    <w:p w:rsidR="0026452D" w:rsidRDefault="0026452D" w:rsidP="0026452D">
      <w:pPr>
        <w:pStyle w:val="TextoNormal"/>
      </w:pPr>
      <w:r>
        <w:t>La aplicación de dicha doctrina, que encuentra su fundamento último en el deber de colaboración con la justicia constitucional que pesa sobre el recurrente, a fin de que éste proporcione los elementos necesarios para la formulación del juicio que le corresponde realizar, determina que no debamos pronunciarnos sobre las impugnaciones relativas a los arts. 58.5 (actual 58.6) y 64.3 (actual 64.4) LOEx pues, respecto de los mismos, más allá de su mera cita, nada se alega con respecto a su eventual inconstitucionalidad. Nuestro análisis queda así restringido a lo establecido por el nuevo art. 58.6 LOEx, en cuanto que el mismo dispone que la devolución de aquellas personas que hubieran pretendido entrar ilegalmente en España llevará aparejada la imposición de una prohibición de entrada en territorio español por un período máximo de tres años. Previsión respecto a la cual habremos de determinar si se vulneran las garantías derivadas del art. 24 CE que, conforme a nuestra reiterada doctrina, son aplicables a los procedimientos administrativos sancionadores, garantías que, también según nuestra doctrina, (por todas, STC 212/2009, de 26 de noviembre, FJ 4), pertenecen a las personas en cuanto tales y que, por tanto, de ellas han de gozar también los extranjeros, con independencia de su situación jurídica en España, en condiciones equiparables a los españoles.</w:t>
      </w:r>
    </w:p>
    <w:p w:rsidR="0026452D" w:rsidRDefault="0026452D" w:rsidP="0026452D">
      <w:pPr>
        <w:pStyle w:val="TextoNormal"/>
      </w:pPr>
    </w:p>
    <w:p w:rsidR="0026452D" w:rsidRDefault="0026452D" w:rsidP="0026452D">
      <w:pPr>
        <w:pStyle w:val="TextoNormal"/>
      </w:pPr>
      <w:r>
        <w:t xml:space="preserve">El examen de la tacha de inconstitucionalidad denunciada exige, en primer lugar, examinar la naturaleza de la devolución y de la prohibición de entrada a la misma vinculada, a fin de determinar si efectivamente concurre la naturaleza sancionadora denunciada respecto a esta última, para, de ser así, juzgar su compatibilidad con las garantías anteriormente citadas. La devolución, en tanto que consiste en la decisión administrativa por la que se decide la salida de España de aquellos que han pretendido entrar en nuestro país eludiendo los requisitos que para ello exige la legislación en materia de extranjería, no supone el ejercicio del </w:t>
      </w:r>
      <w:r w:rsidRPr="0026452D">
        <w:rPr>
          <w:i/>
        </w:rPr>
        <w:t>ius puniendi</w:t>
      </w:r>
      <w:r>
        <w:t xml:space="preserve"> estatal, sino que se dicta como medida de restitución de la legalidad conculcada, expresada en el incumplimiento de los requisitos legales para el ejercicio del derecho de entrada en el territorio nacional (arts. 25 a 27 LOEx), carencia de requisitos que determina la salida obligatoria del territorio nacional en aplicación del mandato legal contenido en el art. 28.3 b) LOEx.</w:t>
      </w:r>
    </w:p>
    <w:p w:rsidR="0026452D" w:rsidRDefault="0026452D" w:rsidP="0026452D">
      <w:pPr>
        <w:pStyle w:val="TextoNormal"/>
      </w:pPr>
    </w:p>
    <w:p w:rsidR="0026452D" w:rsidRDefault="0026452D" w:rsidP="0026452D">
      <w:pPr>
        <w:pStyle w:val="TextoNormal"/>
      </w:pPr>
      <w:r>
        <w:t xml:space="preserve">A diferencia de la expulsión, la devolución pretende evitar la contravención del ordenamiento jurídico de extranjería, por lo que no comporta en sí misma una sanción sino una medida gubernativa de reacción inmediata frente a una perturbación del orden jurídico, articulada a través de un cauce flexible y rápido. No concurre así en la orden de devolución la “función represiva, retributiva o de castigo” (SSTC 276/2000, de 16 de noviembre, FJ 3; y </w:t>
      </w:r>
      <w:r>
        <w:lastRenderedPageBreak/>
        <w:t>132/2001, de 8 de junio, FJ 3), propia de las sanciones. Dicha resolución administrativa no suprime o restringe derechos pertenecientes a su destinatario “como consecuencia de un ilícito” (STC 48/2003, de 12 de marzo, FJ 9), sin perjuicio de que, tal como deriva del art. 20.2 LOEx, habrán de respetarse las garantías previstas en la legislación general sobre procedimiento administrativo especialmente en lo relativo a publicidad de las normas, contradicción, audiencia del interesado y motivación de las resoluciones. En el mismo sentido el art. 22 LOEx reconoce a los extranjeros el derecho de asistencia jurídica gratuita y la asistencia de intérprete en todos los procedimientos administrativos que puedan llevar a su devolución lo que garantiza el derecho de defensa, en particular la formulación de alegaciones y la presentación de recursos, extremo éste expresamente contemplado en el art. 21 LOEx. En suma, la devolución consiste en una medida que se acuerda por parte del Estado español en el marco de su política de extranjería, en la que se incluye tanto el necesario control de los flujos migratorios que tiene como destino nuestro país como el establecimiento de los requisitos y condiciones exigibles a los extranjeros para su entrada y residencia en España.</w:t>
      </w:r>
    </w:p>
    <w:p w:rsidR="0026452D" w:rsidRDefault="0026452D" w:rsidP="0026452D">
      <w:pPr>
        <w:pStyle w:val="TextoNormal"/>
      </w:pPr>
    </w:p>
    <w:p w:rsidR="0026452D" w:rsidRDefault="0026452D" w:rsidP="0026452D">
      <w:pPr>
        <w:pStyle w:val="TextoNormal"/>
      </w:pPr>
      <w:r>
        <w:t>Señalado lo anterior debemos examinar ahora lo dispuesto en el segundo inciso del art. 58.6 LOEx, relativo a la imposición de una prohibición de entrada por un plazo máximo de tres años. En este caso, del propio tenor literal del precepto, el cual afirma que “toda devolución … llevará consigo la prohibición de entrada” es posible deducir que tal prohibición de entrada no forma parte, en sí misma, de la decisión administrativa que se expresa en la orden de devolución y presenta, por ello, una naturaleza diferente, propia de una sanción administrativa impuesta como consecuencia de una concreta conducta, el incumplimiento de las condiciones para la entrada y permanencia en España. Por ello, en el examen de la queja de constitucionalidad suscitada en relación con este inciso —la vulneración del art. 24 CE, por entender que la prohibición se impone en ausencia de expediente administrativo y, por tanto, sin audiencia al interesado que queda colocado en una situación de total indefensión— debemos tener en cuenta que es doctrina reiterada de este Tribunal que las garantías procesales establecidas en el art. 24 CE son aplicables también a los procedimientos administrativos sancionadores, en cuanto que son manifestación de la potestad punitiva del Estado, con las matizaciones que resulten de su propia naturaleza (por todas, STC 140/2009, de 15 de junio, FJ 3)</w:t>
      </w:r>
    </w:p>
    <w:p w:rsidR="0026452D" w:rsidRDefault="0026452D" w:rsidP="0026452D">
      <w:pPr>
        <w:pStyle w:val="TextoNormal"/>
      </w:pPr>
    </w:p>
    <w:p w:rsidR="0026452D" w:rsidRDefault="0026452D" w:rsidP="0026452D">
      <w:pPr>
        <w:pStyle w:val="TextoNormal"/>
      </w:pPr>
      <w:r>
        <w:t xml:space="preserve">En este caso, fácilmente se advierte que, aun cuando la prohibición de entrada no se adopta en ausencia de todo procedimiento administrativo, en cuanto que va unida a la devolución, la misma no respeta las específicas garantías que, conforme a nuestra doctrina, resultan exigibles a una actuación administrativa de naturaleza sancionadora, como la que ahora examinamos y en la que, si bien no mediante su aplicación literal, han de tenerse en cuenta. Además del deber de motivación (STC 21/2008, de 31 de enero, FJ 3), hemos destacado que la vigencia del principio de contradicción, al igual que sucede con el resto de las garantías constitucionales que conforme al art. 24.2 CE, ordenan el ejercicio de la potestad sancionadora de la Administración, se predica precisamente del procedimiento administrativo sancionador, en el que, como manifestación que es del </w:t>
      </w:r>
      <w:r w:rsidRPr="0026452D">
        <w:rPr>
          <w:i/>
        </w:rPr>
        <w:t>ius puniendi</w:t>
      </w:r>
      <w:r>
        <w:t xml:space="preserve"> del Estado, debe garantizarse el ejercicio sin trabas de las garantías de defensa de relieve constitucional (SSTC 126/2005, de 23 de mayo, FJ 2; y 272/2006, de 25 de septiembre, FJ 2 y doctrina allí citada, en relación con las citadas garantías).</w:t>
      </w:r>
    </w:p>
    <w:p w:rsidR="0026452D" w:rsidRDefault="0026452D" w:rsidP="0026452D">
      <w:pPr>
        <w:pStyle w:val="TextoNormal"/>
      </w:pPr>
    </w:p>
    <w:p w:rsidR="0026452D" w:rsidRDefault="0026452D" w:rsidP="0026452D">
      <w:pPr>
        <w:pStyle w:val="TextoNormal"/>
      </w:pPr>
      <w:r>
        <w:t xml:space="preserve">Al respecto, ya hemos apreciado que la inmediatez del supuesto de hecho que origina el procedimiento de devolución y de su consecuencia, la prohibición de entrada no significan </w:t>
      </w:r>
      <w:r>
        <w:lastRenderedPageBreak/>
        <w:t>que ésta última pueda adoptarse de plano o en ausencia de todo procedimiento administrativo, pues, tal como acabamos de exponer, nada hay en la normativa aplicable que permita llegar a esa conclusión. No obstante lo anterior también es claro que la medida de prohibición de entrada que lleva aparejada toda devolución carece, en su condición de sanción, de la apertura y tramitación de un procedimiento contradictorio con las garantías que, conforme a nuestra doctrina, han de reconocerse en toda actividad sancionadora de la Administración.</w:t>
      </w:r>
    </w:p>
    <w:p w:rsidR="0026452D" w:rsidRDefault="0026452D" w:rsidP="0026452D">
      <w:pPr>
        <w:pStyle w:val="TextoNormal"/>
      </w:pPr>
    </w:p>
    <w:p w:rsidR="0026452D" w:rsidRDefault="0026452D" w:rsidP="0026452D">
      <w:pPr>
        <w:pStyle w:val="TextoNormal"/>
      </w:pPr>
      <w:r>
        <w:t>Por ello hemos de concluir que el inciso “Asimismo, toda devolución acordada en aplicación del párrafo b) del mismo apartado de este artículo llevará consigo la prohibición de entrada en territorio español por un plazo máximo de tres años” del art. 58.6 LOEx no respeta la exigencia constitucional de que toda sanción administrativa se adopte a través de un procedimiento que respete los principios esenciales reflejados en el art. 24 CE y, es, por ello, inconstitucional.</w:t>
      </w:r>
    </w:p>
    <w:p w:rsidR="0026452D" w:rsidRDefault="0026452D" w:rsidP="0026452D">
      <w:pPr>
        <w:pStyle w:val="TextoNormal"/>
      </w:pPr>
    </w:p>
    <w:p w:rsidR="0026452D" w:rsidRDefault="0026452D" w:rsidP="0026452D">
      <w:pPr>
        <w:pStyle w:val="TextoNormal"/>
      </w:pPr>
      <w:r w:rsidRPr="0026452D">
        <w:rPr>
          <w:rStyle w:val="NumeroAFNegritaCaracter"/>
        </w:rPr>
        <w:t>13</w:t>
      </w:r>
      <w:r>
        <w:t>. El último grupo de preceptos impugnados por la Cámara autonómica se refiere a algunas de las medidas de seguridad susceptibles de ser puestas en práctica en los centros de internamiento de extranjeros. En concreto, son objeto de impugnación los apartados 1 y 2 del art. 62 quinquies LOEx, precepto introducido por el art. 1.32 de la Ley Orgánica 14/2003 y que dispone lo siguiente:</w:t>
      </w:r>
    </w:p>
    <w:p w:rsidR="0026452D" w:rsidRDefault="0026452D" w:rsidP="0026452D">
      <w:pPr>
        <w:pStyle w:val="TextoNormal"/>
      </w:pPr>
    </w:p>
    <w:p w:rsidR="0026452D" w:rsidRDefault="0026452D" w:rsidP="0026452D">
      <w:pPr>
        <w:pStyle w:val="TextoNormal"/>
      </w:pPr>
      <w:r>
        <w:t>“Artículo 62 quinquies. Medidas de seguridad</w:t>
      </w:r>
    </w:p>
    <w:p w:rsidR="0026452D" w:rsidRDefault="0026452D" w:rsidP="0026452D">
      <w:pPr>
        <w:pStyle w:val="TextoNormal"/>
      </w:pPr>
    </w:p>
    <w:p w:rsidR="0026452D" w:rsidRDefault="0026452D" w:rsidP="0026452D">
      <w:pPr>
        <w:pStyle w:val="TextoNormal"/>
      </w:pPr>
      <w:r>
        <w:t>1. Las actuaciones de vigilancia y seguridad interior en los centros podrán suponer, en la forma y con la periodicidad que se establezca, inspecciones de los locales y dependencias y siempre que fuera necesario para la seguridad en los centros registros de personas, ropas y enseres de los extranjeros internados.</w:t>
      </w:r>
    </w:p>
    <w:p w:rsidR="0026452D" w:rsidRDefault="0026452D" w:rsidP="0026452D">
      <w:pPr>
        <w:pStyle w:val="TextoNormal"/>
      </w:pPr>
    </w:p>
    <w:p w:rsidR="0026452D" w:rsidRDefault="0026452D" w:rsidP="0026452D">
      <w:pPr>
        <w:pStyle w:val="TextoNormal"/>
      </w:pPr>
      <w:r>
        <w:t>2. Se podrán utilizar medios de contención física personal o separación preventiva del agresor en habitación individual para evitar actos de violencia o lesiones de los extranjeros, impedir actos de fuga, daños en las instalaciones del centro o ante la resistencia al personal del mismo en el ejercicio legítimo de su cargo. El uso de los medios de contención será proporcional a la finalidad perseguida, no podrán suponer una sanción encubierta y sólo se usarán cuando no exista otra manera menos gravosa para conseguir la finalidad perseguida y por el tiempo estrictamente necesario.</w:t>
      </w:r>
    </w:p>
    <w:p w:rsidR="0026452D" w:rsidRDefault="0026452D" w:rsidP="0026452D">
      <w:pPr>
        <w:pStyle w:val="TextoNormal"/>
      </w:pPr>
    </w:p>
    <w:p w:rsidR="0026452D" w:rsidRDefault="0026452D" w:rsidP="0026452D">
      <w:pPr>
        <w:pStyle w:val="TextoNormal"/>
      </w:pPr>
      <w:r>
        <w:t>3. La utilización de medios de contención será previamente autorizada por el director del centro, salvo que razones de urgencia no lo permitan, en cuyo caso se pondrá en su conocimiento inmediatamente.</w:t>
      </w:r>
    </w:p>
    <w:p w:rsidR="0026452D" w:rsidRDefault="0026452D" w:rsidP="0026452D">
      <w:pPr>
        <w:pStyle w:val="TextoNormal"/>
      </w:pPr>
    </w:p>
    <w:p w:rsidR="0026452D" w:rsidRDefault="0026452D" w:rsidP="0026452D">
      <w:pPr>
        <w:pStyle w:val="TextoNormal"/>
      </w:pPr>
      <w:r>
        <w:t>El director deberá comunicar lo antes posible a la autoridad judicial que autorizó el internamiento la adopción y cese de los medios de contención física personal, con expresión detallada de los hechos que hubieren dado lugar a dicha utilización y de las circunstancias que pudiesen aconsejar su mantenimiento. El juez, en el plazo más breve posible y siempre que la medida acordada fuere separación preventiva del agresor, deberá si está vigente, acordar su mantenimiento o revocación.”</w:t>
      </w:r>
    </w:p>
    <w:p w:rsidR="0026452D" w:rsidRDefault="0026452D" w:rsidP="0026452D">
      <w:pPr>
        <w:pStyle w:val="TextoNormal"/>
      </w:pPr>
    </w:p>
    <w:p w:rsidR="0026452D" w:rsidRDefault="0026452D" w:rsidP="0026452D">
      <w:pPr>
        <w:pStyle w:val="TextoNormal"/>
      </w:pPr>
      <w:r>
        <w:t xml:space="preserve">La representación procesal del Parlamento Vasco considera que la habilitación a la autoridad del centro de internamiento para llevar a cabo inspecciones y registros supone, dada </w:t>
      </w:r>
      <w:r>
        <w:lastRenderedPageBreak/>
        <w:t>la indeterminación del precepto, una intromisión que afecta al contenido esencial del derecho a la intimidad personal de los internos protegido por el art. 18 CE. Igualmente entiende que la posibilidad de utilizar medios de contención física personal o separación preventiva del agresor en habitación individual resultarían contrarios a los arts. 17 en relación con el 25.3 CE, por cuanto implican una sanción que afecta, sin las debidas cautelas, a los derechos de libertad y seguridad consagrados por el primero de los citados; junto a los anteriores alega también la vulneración de los arts. 9.3, por la imprecisa regulación de la figura del aislamiento; 15, por cuanto las medidas de seguridad previstas afectarían a la integridad física y moral de los internos; y 105 CE, por la falta de audiencia en la adopción de una medida de claro carácter sancionador. A las anteriores consideraciones opone el Abogado del Estado que la modificación operada por la Ley Orgánica 14/2003 en esta materia ha pretendido dar mayor seguridad jurídica al régimen de estos centros a fin de que queden cubiertas todas las necesidades regulatorias impuestas por la Constitución, sin que dicha regulación, contemplada en su conjunto, vulnere derecho fundamental alguno.</w:t>
      </w:r>
    </w:p>
    <w:p w:rsidR="0026452D" w:rsidRDefault="0026452D" w:rsidP="0026452D">
      <w:pPr>
        <w:pStyle w:val="TextoNormal"/>
      </w:pPr>
    </w:p>
    <w:p w:rsidR="0026452D" w:rsidRDefault="0026452D" w:rsidP="0026452D">
      <w:pPr>
        <w:pStyle w:val="TextoNormal"/>
      </w:pPr>
      <w:r>
        <w:t>Los aspectos cuestionados en el presente recurso guardan directa relación con derechos fundamentales que hemos entendido (STC 236/2007, FJ 3, y las allí citadas) conectados con la garantía de la dignidad humana como son el derecho a la intimidad personal en el primer supuesto y la libertad personal —con las limitaciones inherentes a la situación de internamiento— así como las garantías del procedimiento sancionador, en el segundo. Las normas controvertidas afectan al ejercicio de derechos de los extranjeros más allá de la limitación del derecho ambulatorio del que según la Ley Orgánica de derechos y libertades de los extranjeros (art. 60.2) se hallan privados, pues tal es el caso tanto de la posibilidad de acordar registros en sus bienes y personas así como la de adoptar medidas de contención física personal o separación preventiva en habitación individual, por lo que deberemos valorar, en ambos casos, si se da la exigencia de certidumbre y proporcionalidad en la limitación que es exigible a medidas como las examinadas.</w:t>
      </w:r>
    </w:p>
    <w:p w:rsidR="0026452D" w:rsidRDefault="0026452D" w:rsidP="0026452D">
      <w:pPr>
        <w:pStyle w:val="TextoNormal"/>
      </w:pPr>
    </w:p>
    <w:p w:rsidR="0026452D" w:rsidRDefault="0026452D" w:rsidP="0026452D">
      <w:pPr>
        <w:pStyle w:val="TextoNormal"/>
      </w:pPr>
      <w:r>
        <w:t xml:space="preserve">En ese enjuiciamiento no puede dejar de tenerse en cuenta que el extranjero, cuya situación no es, evidentemente, equiparable a la del interno en un establecimiento penitenciario, se encuentra sometido a un poder público que tiene encomendada una función preventiva y cautelar orientada a la retención y custodia de los extranjeros en tanto en cuanto se sustancia el expediente administrativo correspondiente, razón por la cual también ha de velar por la seguridad y organización adecuadas de los centros de internamiento y de la que surge el correlativo deber del extranjero internado de acatar las normas de régimen interior reguladoras de la vida del establecimiento [art. 62.ter LOEx, en especial apartados b), c) y d)], en cuanto tienen como finalidad asegurar la convivencia en el mismo. Extremos ambos que, sin duda, han de estar sometidos, como de hecho sucede, a normas legales las cuales han de hacer compatibles las dos circunstancias anteriormente referidas con la consideración debida al extranjero en cuanto titular de todos los derechos que corresponden a cualquier ciudadano o persona sin más limitaciones que las establecidas a su libertad deambulatoria (art. 60.2 LOEx) conforme al contenido y finalidad de la medida judicial de ingreso acordada. Origen judicial de la medida de la que se desprende el deber de vigilancia sobre las condiciones en las que se lleva a cabo el internamiento, tal como resulta de lo dispuesto en los arts. 60.3 y 62.6 LOEx. Facultades judiciales concernientes al control de la permanencia de los extranjeros en los centros de internamiento que también se expresan en la vigente Orden de 22 de febrero de 1999, del Ministerio de la Presidencia, por la que se dictan normas sobre el funcionamiento y régimen interior de los centros de internamiento de extranjeros (arts. 2 </w:t>
      </w:r>
      <w:r>
        <w:lastRenderedPageBreak/>
        <w:t xml:space="preserve">y 5), orden que, en buena medida, anticipa los contenidos incluidos por el legislador orgánico en los arts. 62 bis a 62 sexies LOEx. </w:t>
      </w:r>
    </w:p>
    <w:p w:rsidR="0026452D" w:rsidRDefault="0026452D" w:rsidP="0026452D">
      <w:pPr>
        <w:pStyle w:val="TextoNormal"/>
      </w:pPr>
    </w:p>
    <w:p w:rsidR="0026452D" w:rsidRDefault="0026452D" w:rsidP="0026452D">
      <w:pPr>
        <w:pStyle w:val="TextoNormal"/>
      </w:pPr>
      <w:r>
        <w:t>De esta forma, apreciamos que el bien jurídico protegido por las disposiciones ahora cuestionadas es la preservación del orden y la seguridad en el centro de internamiento pues las medidas legalmente previstas pretenden asegurar el cumplimiento de unas reglas generales imprescindibles para regular la convivencia ordenada en el interior de los mismos. Reglas sobre las cuales las ideas de equilibrio y proporcionalidad deben ser proyectadas, ya que la exigencia del orden y seguridad del centro y, por tanto, el deber del extranjero internado de acatar y observar las normas de régimen interior reguladoras de la vida del establecimiento, han de hacerse compatibles con la consideración debida al interno en cuanto titular de todos los derechos que corresponden a cualquier ciudadano o persona sin más excepciones que aquellas que derivan de las limitaciones impuestas en la Ley Orgánica de derechos y libertades de los extranjeros en España.</w:t>
      </w:r>
    </w:p>
    <w:p w:rsidR="0026452D" w:rsidRDefault="0026452D" w:rsidP="0026452D">
      <w:pPr>
        <w:pStyle w:val="TextoNormal"/>
      </w:pPr>
    </w:p>
    <w:p w:rsidR="0026452D" w:rsidRDefault="0026452D" w:rsidP="0026452D">
      <w:pPr>
        <w:pStyle w:val="TextoNormal"/>
      </w:pPr>
      <w:r w:rsidRPr="0026452D">
        <w:rPr>
          <w:rStyle w:val="NumeroAFNegritaCaracter"/>
        </w:rPr>
        <w:t>14</w:t>
      </w:r>
      <w:r>
        <w:t>. Hechas las anteriores precisiones podemos comenzar el enjuiciamiento del art. 62 quinquies 1 LOEx, el cual permite, siempre que sea necesario para la seguridad en los centros, registros de personas, ropas y enseres de los extranjeros internados, extremo denunciado por el recurrente como contrario al art. 18.1 CE. Así, partiendo de que este precepto constitucional consagra lo que nuestra doctrina ha considerado un derecho inherente a la dignidad de la persona humana, lo que hemos de determinar si las restricciones al mismo que supone el precepto impugnado, y que encuentran su fundamento en la ya aludida finalidad de garantizar el orden y seguridad en los centros, afectan al contenido del mismo que la CE salvaguarda.</w:t>
      </w:r>
    </w:p>
    <w:p w:rsidR="0026452D" w:rsidRDefault="0026452D" w:rsidP="0026452D">
      <w:pPr>
        <w:pStyle w:val="TextoNormal"/>
      </w:pPr>
    </w:p>
    <w:p w:rsidR="0026452D" w:rsidRDefault="0026452D" w:rsidP="0026452D">
      <w:pPr>
        <w:pStyle w:val="TextoNormal"/>
      </w:pPr>
      <w:r>
        <w:t>Como recuerda la STC 70/2009, de 23 de marzo (FJ 2):</w:t>
      </w:r>
    </w:p>
    <w:p w:rsidR="0026452D" w:rsidRDefault="0026452D" w:rsidP="0026452D">
      <w:pPr>
        <w:pStyle w:val="TextoNormal"/>
      </w:pPr>
    </w:p>
    <w:p w:rsidR="0026452D" w:rsidRDefault="0026452D" w:rsidP="0026452D">
      <w:pPr>
        <w:pStyle w:val="TextoNormal"/>
      </w:pPr>
      <w:r>
        <w:t>“[C]onstituye doctrina consolidada de este Tribunal que el derecho a la intimidad personal garantizado por el art. 18.1 CE, estrechamente vinculado con el respeto a la dignidad de la persona (art. 10.1 CE), implica la existencia de un ámbito propio y reservado frente a la acción y el conocimiento de los demás, necesario, según las pautas de nuestra cultura, para mantener una calidad mínima de la vida humana. Además el art. 18.1 CE confiere a la persona el poder jurídico de imponer a terceros, sean éstos poderes públicos o simples particulares (STC 85/2003, de 8 de mayo, FJ 21), el deber de abstenerse de toda intromisión en la esfera íntima y la prohibición de hacer uso de lo así conocido, y de ello se deduce que el derecho fundamental a la intimidad personal otorga cuando menos una facultad negativa o de exclusión, que impone a terceros el deber de abstención de intromisiones salvo que estén fundadas en una previsión legal que tenga justificación constitucional y que sea proporcionada, o que exista un consentimiento eficaz que lo autorice, pues corresponde a cada persona acotar el ámbito de intimidad personal y familiar que reserva al conocimiento ajeno (STC 206/2007, de 24 de septiembre, FJ 5, por todas).”</w:t>
      </w:r>
    </w:p>
    <w:p w:rsidR="0026452D" w:rsidRDefault="0026452D" w:rsidP="0026452D">
      <w:pPr>
        <w:pStyle w:val="TextoNormal"/>
      </w:pPr>
    </w:p>
    <w:p w:rsidR="0026452D" w:rsidRDefault="0026452D" w:rsidP="0026452D">
      <w:pPr>
        <w:pStyle w:val="TextoNormal"/>
      </w:pPr>
      <w:r>
        <w:t xml:space="preserve">Sin embargo, el derecho fundamental a la intimidad personal consagrado por el art. 18 CE no es absoluto, de suerte que puede ceder ante otros derechos y bienes constitucionalmente relevantes, siempre que la limitación que haya de experimentar esté fundada en una previsión legal que tenga justificación constitucional, se revele necesaria para lograr el fin </w:t>
      </w:r>
      <w:r>
        <w:lastRenderedPageBreak/>
        <w:t>legítimo previsto, sea proporcionada para alcanzarlo, y sea además respetuosa con el contenido esencial del derecho (por todas, SSTC 57/1994, de 28 de febrero, FJ 6; 143/1994, de 9 de mayo, FJ 6; y 25/2005, de 14 de febrero de 2005, FJ 6).</w:t>
      </w:r>
    </w:p>
    <w:p w:rsidR="0026452D" w:rsidRDefault="0026452D" w:rsidP="0026452D">
      <w:pPr>
        <w:pStyle w:val="TextoNormal"/>
      </w:pPr>
    </w:p>
    <w:p w:rsidR="0026452D" w:rsidRDefault="0026452D" w:rsidP="0026452D">
      <w:pPr>
        <w:pStyle w:val="TextoNormal"/>
      </w:pPr>
      <w:r>
        <w:t>Centrada así la cuestión, y teniendo presente que la Constitución no permite los registros arbitrarios ni inmotivados, debemos constatar, en primer lugar, que la intimidad personal es un derecho que puede verse afectado por el mero hecho del ingreso del extranjero en un centro de internamiento, habida cuenta de las necesidades de organización y seguridad del mismo así como que la limitación que establece se encuentra, en principio, “anudada” a la finalidad propia del centro en cuestión.</w:t>
      </w:r>
    </w:p>
    <w:p w:rsidR="0026452D" w:rsidRDefault="0026452D" w:rsidP="0026452D">
      <w:pPr>
        <w:pStyle w:val="TextoNormal"/>
      </w:pPr>
    </w:p>
    <w:p w:rsidR="0026452D" w:rsidRDefault="0026452D" w:rsidP="0026452D">
      <w:pPr>
        <w:pStyle w:val="TextoNormal"/>
      </w:pPr>
      <w:r>
        <w:t>Así pues, la cuestión radica en determinar qué grado de afectación de su derecho constitucional a la intimidad puede verse justificado en razón de la situación del extranjero, teniendo en cuenta que su internamiento, al consistir en una privación de libertad, debe regirse por el principio de excepcionalidad, sin menoscabo de su configuración como medida cautelar. De esta forma, en su ponderación con el conflicto que se genera en supuestos como el presente con esos otros bienes jurídicos —seguridad y orden del establecimiento— igualmente dignos de protección, la medida ha de encontrarse justificada específicamente en atención a la conducta previa del extranjero internado o a las condiciones del centro y ha de llevarse a cabo utilizando los medios necesarios para procurar una mínima afectación de aquel derecho esencial. En otros términos, dichas medidas han de regirse por los principios de necesidad y proporcionalidad y realizarse de manera que se respete la dignidad y los derechos de los extranjeros internados. Esto último resulta especialmente exigible cuando se trate de medidas, como el registro de personas, que, aun debiendo entenderse como regla general limitado a un simple examen, inspección o reconocimiento, se practican directamente sobre ellas, pues han de emplearse los medios que limiten en menor medida la intimidad de los internados, la cual no debe quedar restringida más allá de lo indispensable.</w:t>
      </w:r>
    </w:p>
    <w:p w:rsidR="0026452D" w:rsidRDefault="0026452D" w:rsidP="0026452D">
      <w:pPr>
        <w:pStyle w:val="TextoNormal"/>
      </w:pPr>
    </w:p>
    <w:p w:rsidR="0026452D" w:rsidRDefault="0026452D" w:rsidP="0026452D">
      <w:pPr>
        <w:pStyle w:val="TextoNormal"/>
      </w:pPr>
      <w:r>
        <w:t xml:space="preserve">Por ello, en cuanto a la finalidad del registro en sí, es indudable que una medida como la prevista en el precepto impugnado puede constituir, en determinadas situaciones, un medio necesario para la protección de la seguridad de un centro de internamiento, garantizando así la convivencia ordenada en el mismo. Por otra parte, en cuanto a la necesidad de la medida para que la limitación al derecho de los extranjeros internados sea admisible resultará preciso que se haya constatado por la Administración que tal medida resulta ser precisa para velar por la seguridad del establecimiento en atención a la concreta situación de éste, circunstancia que se contempla expresamente en el precepto impugnado, de suerte que los registros previstos por el mismo son únicamente posibles ante situaciones en las que se pone en riesgo el mantenimiento de la seguridad en los centros. Del mismo modo, al adoptar tal medida, es preciso ponderar, adecuadamente y de forma equilibrada, de una parte, la gravedad de la intromisión que comporta en la intimidad personal y, de otra parte, si la medida es imprescindible para asegurar la defensa del interés público, expresado en el mantenimiento del orden y la seguridad en el centro, que se pretende proteger. Y bien se comprende que el respeto a esta exigencia requiere la fundamentación de la medida por parte de la Administración, pues sólo tal fundamentación permitirá que sea apreciada por el afectado, en primer lugar, teniendo en cuenta el derecho que asiste al interno, conforme al art. 62 quater LOEx, de formular quejas y reclamaciones o de contar con la asistencia de su Abogado [art. 62 bis f) LOEx] y, llegado el caso, por el órgano judicial, al que corresponde el control sobre la medida de ingreso por él acordada, para que pueda valorar la razón que justifique, atendidas </w:t>
      </w:r>
      <w:r>
        <w:lastRenderedPageBreak/>
        <w:t>las circunstancias del caso, el sacrificio del derecho fundamental (art. 62.6 LOEx). Igualmente, a fin de no incurrir en un exceso en la restricción del derecho fundamental resultará necesaria la comunicación previa o, atendiendo a las circunstancias del caso, simultánea o posterior acerca de la dimensión y la intensidad del registro y de los objetos incautados a partir del mismo, dada la relación existente entre el derecho a la intimidad y el conocimiento por su titular de que existe una injerencia en su ámbito de intimidad, ámbito que es objeto de expresa protección por la propia Ley Orgánica de derechos y libertades de los extranjeros en España [art. 62 bis b)].</w:t>
      </w:r>
    </w:p>
    <w:p w:rsidR="0026452D" w:rsidRDefault="0026452D" w:rsidP="0026452D">
      <w:pPr>
        <w:pStyle w:val="TextoNormal"/>
      </w:pPr>
    </w:p>
    <w:p w:rsidR="0026452D" w:rsidRDefault="0026452D" w:rsidP="0026452D">
      <w:pPr>
        <w:pStyle w:val="TextoNormal"/>
      </w:pPr>
      <w:r>
        <w:t>Conforme a cuanto llevamos expuesto, la medida prevista en el art. 62 quinquies 1 LOEx únicamente podrá adoptarse cuando resulte imprescindible ante concretas situaciones que pongan en riesgo la seguridad del establecimiento, viniendo obligada la Administración a justificar en cada caso la adopción de la medida y su alcance, así como a informar al afectado de la dimensión y la intensidad del registro. Solamente de acuerdo con las condiciones antes razonadas las limitaciones al derecho a la intimidad personal del art. 18 CE derivadas del precepto impugnado resultarán ser proporcionadas, atendiendo a la finalidad de mantenimiento del orden y la seguridad en los centros perseguida, por lo que el art. 62 quinquies 1 LOEx no vulnera el art. 18 CE. Esta interpretación se llevará al fallo.</w:t>
      </w:r>
    </w:p>
    <w:p w:rsidR="0026452D" w:rsidRDefault="0026452D" w:rsidP="0026452D">
      <w:pPr>
        <w:pStyle w:val="TextoNormal"/>
      </w:pPr>
    </w:p>
    <w:p w:rsidR="0026452D" w:rsidRDefault="0026452D" w:rsidP="0026452D">
      <w:pPr>
        <w:pStyle w:val="TextoNormal"/>
      </w:pPr>
      <w:r w:rsidRPr="0026452D">
        <w:rPr>
          <w:rStyle w:val="NumeroAFNegritaCaracter"/>
        </w:rPr>
        <w:t>15</w:t>
      </w:r>
      <w:r>
        <w:t>. Examinaremos ahora lo dispuesto en el art. 62 quinquies 2 LOEx en relación con la eventual utilización de medios de contención física personal o separación preventiva del agresor en habitación individual prevista en el mismo, que se reputa contraria a los arts. 17 y 24 CE. Atendiendo a lo alegado por el recurrente debemos pronunciarnos acerca de si las medidas previstas en el citado precepto tienen una función represiva —en cuyo caso, tratándose de una medida restrictiva de derechos que se impone como consecuencia de una infracción de la Ley, sólo podría justificarse, constitucionalmente, como sanción— que resulta ser contraria a los citados preceptos constitucionales, o si, por el contrario, a través del mismo se persiguen otras finalidades justificativas de las que se encuentre ausente la idea de castigo y que permiten, por lo tanto, aplicarlo sin necesidad de observar las garantías constitucionales que rigen la imposición de las sanciones, garantías que el recurrente reputa vulneradas.</w:t>
      </w:r>
    </w:p>
    <w:p w:rsidR="0026452D" w:rsidRDefault="0026452D" w:rsidP="0026452D">
      <w:pPr>
        <w:pStyle w:val="TextoNormal"/>
      </w:pPr>
    </w:p>
    <w:p w:rsidR="0026452D" w:rsidRDefault="0026452D" w:rsidP="0026452D">
      <w:pPr>
        <w:pStyle w:val="TextoNormal"/>
      </w:pPr>
      <w:r>
        <w:t xml:space="preserve">Lo aquí discutido está evidentemente relacionado con la medida de internamiento del extranjero para proceder a su expulsión (o a su devolución, cuando la misma no se pudiera ejecutar en 72 horas), contemplada actualmente en los arts. 58.5 y 62 LOEx. Con respecto a la misma tenemos declarado que, en cuanto implica una pérdida de libertad debe regirse por el principio de excepcionalidad, limitándose a los casos en que se estime indispensable por razones de cautela o prevención que deben ser valoradas por el órgano judicial, en función de la situación legal y personal del extranjero (STC 115/1987, de 7 de julio; 144/1990, de 26 de septiembre; 12/1994, de 17 de enero; 96/1995, de 19 de junio; 66/1996, 16 de abril; y 182/1996, de 12 de noviembre). Igualmente, hemos reiterado doctrina contenida en la STC 115/1987, relativa a la necesaria resolución judicial motivada en relación con el internamiento del extranjero, en las SSTC 303/2005, de 24 de noviembre, y 260/2007, de 20 de diciembre, en las que se recuerda que las garantías que para la libertad personal se derivan del régimen de control judicial de la medida cautelar de internamiento equivalen, desde el punto de vista material y de eficacia, a las que pueden alcanzarse por medio del </w:t>
      </w:r>
      <w:r w:rsidRPr="0026452D">
        <w:rPr>
          <w:i/>
        </w:rPr>
        <w:t>habeas corpus</w:t>
      </w:r>
      <w:r>
        <w:t xml:space="preserve">. Garantías que, de conformidad con el párrafo segundo del art. 62.1 LOEx, “comprenden la necesaria y previa audiencia del interesado; la exigencia de que sea el Juez de </w:t>
      </w:r>
      <w:r>
        <w:lastRenderedPageBreak/>
        <w:t>Instrucción competente el que disponga el ingreso en un centro de internamiento mediante un Auto motivado y en el que, sobre la base de una duración máxima de cuarenta días, atendidas las circunstancias concurrentes y, en especial, el hecho de que carezca de domicilio o de documentación, así como la existencia de condena o sanciones administrativas previas y de otros procesos penales o procedimientos administrativos sancionadores pendientes, el Juez podrá fijar un período máximo de duración del internamiento inferior al citado” (STC 260/2007, FJ 6).</w:t>
      </w:r>
    </w:p>
    <w:p w:rsidR="0026452D" w:rsidRDefault="0026452D" w:rsidP="0026452D">
      <w:pPr>
        <w:pStyle w:val="TextoNormal"/>
      </w:pPr>
    </w:p>
    <w:p w:rsidR="0026452D" w:rsidRDefault="0026452D" w:rsidP="0026452D">
      <w:pPr>
        <w:pStyle w:val="TextoNormal"/>
      </w:pPr>
      <w:r>
        <w:t>Es decir, conforme a nuestra doctrina, el control judicial sobre las condiciones de internamiento es permanente mientras el extranjero se encuentra en un centro de esas características, control judicial que corresponde al Juez de Instrucción del lugar en el que estén ubicados los centros de internamiento a fin de que el mismo conozca de las peticiones y quejas que planteen los internos en lo relativo a sus derechos fundamentales (art. 62.6 LOEx) debiendo ser informada la autoridad judicial de cualquier circunstancia que afecte al extranjero (art. 60.3 LOEx) y pudiendo visitar tales centros cuando conozca algún incumplimiento grave o lo considere conveniente.</w:t>
      </w:r>
    </w:p>
    <w:p w:rsidR="0026452D" w:rsidRDefault="0026452D" w:rsidP="0026452D">
      <w:pPr>
        <w:pStyle w:val="TextoNormal"/>
      </w:pPr>
    </w:p>
    <w:p w:rsidR="0026452D" w:rsidRDefault="0026452D" w:rsidP="0026452D">
      <w:pPr>
        <w:pStyle w:val="TextoNormal"/>
      </w:pPr>
      <w:r>
        <w:t>Sentado lo anterior, hemos de apreciar también que el precepto impugnado delimita los supuestos que determinan la posibilidad de utilizar medios de contención física personal o separación preventiva de los internados y dispone que, en cualquier caso, su uso deberá ajustarse al principio de proporcionalidad, excluyendo expresamente tanto su naturaleza sancionatoria como la posibilidad de mantener las medidas por más tiempo del estrictamente necesario para poner fin a la situación que motivó su adopción. Igualmente, el no impugnado art. 65 quinquies 3 LOEx establece que la adopción de las medidas deberá acordarse por la dirección del centro, salvo razones de urgencia, correspondiendo, en última instancia, a la autoridad judicial que acordó la medida de internamiento pronunciarse acerca de mantenimiento o revocación de las medidas, pues, aun cuando el precepto hace referencia expresa a la separación preventiva nada impide al juez, en virtud del origen judicial del internamiento, decidir también sobre las medidas de contención (en ese sentido, art. 62 6 LOEx y 258 6 del Reglamento de extranjería). Es decir, las medidas enjuiciadas encuentran su justificación, de acuerdo con la propia Ley Orgánica de derechos y libertades de los extranjeros en España, en la producción en el centro de una situación en la que existan amenazas para el orden y seguridad en el mismo, directamente derivadas del comportamiento de los extranjeros internados.</w:t>
      </w:r>
    </w:p>
    <w:p w:rsidR="0026452D" w:rsidRDefault="0026452D" w:rsidP="0026452D">
      <w:pPr>
        <w:pStyle w:val="TextoNormal"/>
      </w:pPr>
    </w:p>
    <w:p w:rsidR="0026452D" w:rsidRDefault="0026452D" w:rsidP="0026452D">
      <w:pPr>
        <w:pStyle w:val="TextoNormal"/>
      </w:pPr>
      <w:r>
        <w:t xml:space="preserve">En este caso, atendiendo a las circunstancias que justifican la adopción de las medidas cuestionadas —actos de violencia o lesiones de los extranjeros, fuga de los mismos, daños en las instalaciones del centro o resistencia al personal del mismo en el ejercicio legítimo de su cargo— nos encontramos ante un supuesto de medidas coercitivas respecto a las que cabe resaltar que su adopción sólo está justificada en supuestos concretos, legalmente definidos en atención a ciertas conductas de los internos que la Administración está obligada a impedir o evitar, pues indudablemente la seguridad y el buen orden del establecimiento se verían alterados caso de producirse la evasión, la violencia en las personas, los daños en las cosas o la desobediencia al personal. Desde esa perspectiva es indudable que la medida es susceptible de conseguir el objetivo propuesto, sin que tampoco, en atención a las situaciones a las que pretende hacer frente, pueda ser cuestionada su necesidad. Finalmente, en cuanto a su proporcionalidad, es evidente que los derechos de los internados no son absolutos sino que pueden verse en determinados momentos limitados por razones de seguridad </w:t>
      </w:r>
      <w:r>
        <w:lastRenderedPageBreak/>
        <w:t>del centro y peligrosidad o agresividad de los en él internados. De esta suerte, la adopción de estas medidas está circunscrita tanto por su finalidad exclusiva, el restablecimiento de la normalidad en el centro, como por su duración limitada, pues sólo subsistirán el tiempo estrictamente necesario para la desaparición de la circunstancia que lo motivó, lo cual corresponde apreciar, en última instancia al juez. Todo ello permite descartar que se vulnere el art. 17.1 CE.</w:t>
      </w:r>
    </w:p>
    <w:p w:rsidR="0026452D" w:rsidRDefault="0026452D" w:rsidP="0026452D">
      <w:pPr>
        <w:pStyle w:val="TextoNormal"/>
      </w:pPr>
    </w:p>
    <w:p w:rsidR="0026452D" w:rsidRDefault="0026452D" w:rsidP="0026452D">
      <w:pPr>
        <w:pStyle w:val="TextoNormal"/>
      </w:pPr>
      <w:r>
        <w:t>Por otra parte, atendiendo a la configuración que de las medidas cuestionadas ha realizado el legislador orgánico hemos de considerar que falta aquí la “finalidad represiva, retributiva o de castigo” que hemos venido destacando como específica de las sanciones (SSTC 239/1988, de 14 de diciembre, FJ 2; 164/1995, de 13 noviembre, FJ 4) pues claramente se aprecia que su finalidad es distinta de la sancionadora ya que no busca la disuasión en la realización de determinados comportamientos o el castigo de los mismos una vez producidos sino únicamente reaccionar frente a conductas susceptibles de poner en riesgo la integridad física de los extranjeros internados, el efectivo cumplimiento de la medida cautelar de internamiento judicialmente impuesta o el orden y la seguridad en el propio centro de internamiento. Por esta razón, cabe entenderlas justificadas por finalidades distintas de la de castigar, que es la propia de las sanciones administrativas, ya que persiguen la simple aplicación del ordenamiento por parte de la Administración, a fin de garantizar tanto la adecuada custodia de los extranjeros internados como el orden y seguridad que, en atención a la finalidad que el centro cumple, ha de imperar en sus instalaciones. Desde otra perspectiva las medidas cuestionadas pretenden limitarse a la coacción imprescindible, esto es, cuando no exista una manera menos gravosa, para asegurar el cumplimiento de los deberes legales que pesan sobre los extranjeros internados en los centros (art. 62 ter LOEx) y en tal sentido el precepto señala expresamente que su uso solamente será posible cuando no exista otro modo de conseguir las finalidades a que antes se ha hecho referencia así como su carácter temporalmente limitado, lo que supone respetar el principio de proporcionalidad entre la gravedad de la conducta contraria al buen orden del centro de extranjeros o a la propia integridad física de los en él internados y la medida adoptada. Todo ello, además, sometido al control judicial.</w:t>
      </w:r>
    </w:p>
    <w:p w:rsidR="0026452D" w:rsidRDefault="0026452D" w:rsidP="0026452D">
      <w:pPr>
        <w:pStyle w:val="TextoNormal"/>
      </w:pPr>
    </w:p>
    <w:p w:rsidR="0026452D" w:rsidRDefault="0026452D" w:rsidP="0026452D">
      <w:pPr>
        <w:pStyle w:val="TextoNormal"/>
      </w:pPr>
      <w:r>
        <w:t>Por todo lo expuesto, la impugnación del art. 65 quinquies 2 LOEx ha de ser desestimada.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Estimar parcialmente el recurso interpuesto por el Parlamento Vasco y, en consecuencia, declarar inconstitucional y nulo el inciso “Asimismo, toda devolución acordada en aplicación del párrafo b) del mismo apartado de este artículo llevará consigo la prohibición de entrada en territorio español por un plazo máximo de tres años” del art. 58.6 de la Ley Orgánica 4/2000, de 11 de enero, sobre derechos y libertades de los extranjeros en España y su integración social, en la redacción dada al mismo por el art. 1.31 de la Ley Orgánica 14/2003, de 20 de noviembre.</w:t>
      </w:r>
    </w:p>
    <w:p w:rsidR="0026452D" w:rsidRDefault="0026452D" w:rsidP="0026452D">
      <w:pPr>
        <w:pStyle w:val="TextoNormal"/>
      </w:pPr>
    </w:p>
    <w:p w:rsidR="0026452D" w:rsidRDefault="0026452D" w:rsidP="0026452D">
      <w:pPr>
        <w:pStyle w:val="TextoNormal"/>
      </w:pPr>
      <w:r>
        <w:t>2º Declarar:</w:t>
      </w:r>
    </w:p>
    <w:p w:rsidR="0026452D" w:rsidRDefault="0026452D" w:rsidP="0026452D">
      <w:pPr>
        <w:pStyle w:val="TextoNormal"/>
      </w:pPr>
    </w:p>
    <w:p w:rsidR="0026452D" w:rsidRDefault="0026452D" w:rsidP="0026452D">
      <w:pPr>
        <w:pStyle w:val="TextoNormal"/>
      </w:pPr>
      <w:r>
        <w:t>a) que el art. 62 quinquies 1 de la Ley Orgánica 4/2000, de 11 de enero, sobre derechos y libertades de los extranjeros en España y su integración social, introducido por el art. 1.32 de la Ley Orgánica 14/2003, de 20 de noviembre, es constitucional interpretado en los términos establecidos en el fundamento jurídico 14.</w:t>
      </w:r>
    </w:p>
    <w:p w:rsidR="0026452D" w:rsidRDefault="0026452D" w:rsidP="0026452D">
      <w:pPr>
        <w:pStyle w:val="TextoNormal"/>
      </w:pPr>
    </w:p>
    <w:p w:rsidR="0026452D" w:rsidRDefault="0026452D" w:rsidP="0026452D">
      <w:pPr>
        <w:pStyle w:val="TextoNormal"/>
      </w:pPr>
      <w:r>
        <w:t>b) que el segundo párrafo de la disposición adicional quinta de la Ley Orgánica 4/2000, de 11 de enero, sobre derechos y libertades de los extranjeros en España y su integración social, introducido por el art. 1.40 de la Ley Orgánica 14/2003, de 20 de noviembre, es constitucional siempre que se interprete en los términos del fundamento jurídico 7.</w:t>
      </w:r>
    </w:p>
    <w:p w:rsidR="0026452D" w:rsidRDefault="0026452D" w:rsidP="0026452D">
      <w:pPr>
        <w:pStyle w:val="TextoNormal"/>
      </w:pPr>
    </w:p>
    <w:p w:rsidR="0026452D" w:rsidRDefault="0026452D" w:rsidP="0026452D">
      <w:pPr>
        <w:pStyle w:val="TextoNormal"/>
      </w:pPr>
      <w:r>
        <w:t>c) que la disposición adicional séptima de la Ley 7/1985, de 2 de abril, reguladora de las bases del régimen local, introducida por el art. 3.5 de la Ley Orgánica 14/2003, de 20 de noviembre, es constitucional siempre que se interprete en los términos y con las garantías que se enumeran en el fundamento jurídico 9.</w:t>
      </w:r>
    </w:p>
    <w:p w:rsidR="0026452D" w:rsidRDefault="0026452D" w:rsidP="0026452D">
      <w:pPr>
        <w:pStyle w:val="TextoNormal"/>
      </w:pPr>
    </w:p>
    <w:p w:rsidR="0026452D" w:rsidRDefault="0026452D" w:rsidP="0026452D">
      <w:pPr>
        <w:pStyle w:val="TextoNormal"/>
      </w:pPr>
      <w:r>
        <w:t>3º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treinta y uno de enero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Pablo Pérez Tremps a la Sentencia dictada en el recurso de inconstitucionalidad núm. 1024-2004 al que se adhieren las Magistradas, doña Adela Asua Batarrita y doña Encarnación Roca Trías, y el Magistrado don Fernando Valdés Dal Ré.</w:t>
      </w:r>
    </w:p>
    <w:p w:rsidR="0026452D" w:rsidRDefault="0026452D" w:rsidP="0026452D">
      <w:pPr>
        <w:pStyle w:val="TextoNormalNegritaCentrado"/>
        <w:keepNext/>
      </w:pPr>
    </w:p>
    <w:p w:rsidR="0026452D" w:rsidRDefault="0026452D" w:rsidP="0026452D">
      <w:pPr>
        <w:pStyle w:val="TextoNormal"/>
      </w:pPr>
      <w:r>
        <w:t>Con el máximo respeto a la posición mayoritaria de mis compañeros de Pleno debo manifestar mi discrepancia con parte de la fundamentación de la Sentencia, discrepancia que alcanza al fallo de la misma.</w:t>
      </w:r>
    </w:p>
    <w:p w:rsidR="0026452D" w:rsidRDefault="0026452D" w:rsidP="0026452D">
      <w:pPr>
        <w:pStyle w:val="TextoNormal"/>
      </w:pPr>
    </w:p>
    <w:p w:rsidR="0026452D" w:rsidRDefault="0026452D" w:rsidP="0026452D">
      <w:pPr>
        <w:pStyle w:val="TextoNormal"/>
      </w:pPr>
      <w:r>
        <w:t>Mis discrepancias, de manera particular, se extienden a los pronunciamientos relativos a la impugnación de la regulación del acceso por parte de la Dirección General de la Policía a los datos de los extranjeros inscritos en el padrón [disposición adicional séptima Ley reguladora de las bases de régimen local (LBRL), introducida por el art. 3.5 de la Ley Orgánica 14/2003], por un lado, y de la regulación de las medidas de seguridad susceptibles de ser puestas en práctica en los centros de internamiento de extranjeros [apartados 1 y 2 del art. 62 quinquies de la Ley Orgánica sobre derechos y libertades de los extranjeros en España (LOEx), introducidos por el art. 1.32 de la Ley Orgánica 14/2003], por otro.</w:t>
      </w:r>
    </w:p>
    <w:p w:rsidR="0026452D" w:rsidRDefault="0026452D" w:rsidP="0026452D">
      <w:pPr>
        <w:pStyle w:val="TextoNormal"/>
      </w:pPr>
    </w:p>
    <w:p w:rsidR="0026452D" w:rsidRDefault="0026452D" w:rsidP="0026452D">
      <w:pPr>
        <w:pStyle w:val="TextoNormal"/>
      </w:pPr>
      <w:r>
        <w:t>Sin embargo, como se podrá comprobar, mi discrepancia versa, desde una perspectiva más general, sobre un aspecto que considero nuclear del sistema de garantías diseñado por la Constitución en la protección de los derechos y libertades públicas, que es relegado y desatendido en la posición de la mayoría: la calidad de la ley como exigencia material impuesta al legislador de los derechos fundamentales con el fin de respetar el principio de reserva de ley y el contenido esencial del derecho fundamental concernido (art. 53.1 CE).</w:t>
      </w:r>
    </w:p>
    <w:p w:rsidR="0026452D" w:rsidRDefault="0026452D" w:rsidP="0026452D">
      <w:pPr>
        <w:pStyle w:val="TextoNormal"/>
      </w:pPr>
    </w:p>
    <w:p w:rsidR="0026452D" w:rsidRDefault="0026452D" w:rsidP="0026452D">
      <w:pPr>
        <w:pStyle w:val="TextoNormal"/>
      </w:pPr>
      <w:r>
        <w:t>En el voto particular que emití en la STC 39/2012, de 29 de marzo, ya destaqué la necesidad de hacer una lectura de las exigencias de la calidad de la ley vinculadas no sólo al respeto al principio de proporcionalidad sino a la necesidad de que se regulen las instituciones o medidas limitativas de derechos fundamentales con un grado de determinación y certeza suficiente para evitar que se genere grave inseguridad o incertidumbre sobre su modo de aplicación efectiva. En esta ocasión tengo nuevamente que insistir en esta idea al hilo de las cuestiones particulares referidas a la regulación del acceso al padrón de habitantes, como actividad limitativa del art. 18.4 CE, y de las medidas de seguridad que se posibilita adoptar en los centros de internamiento de extranjeros, en tanto que restrictivas de los derechos a la libertad (art. 17.1 CE) y la intimidad personal (art. 18.1 CE). En íntima relación con ello, además, en esta ocasión también deberé referirme a los límites de los pronunciamientos de interpretación conforme que puede realizar este Tribunal en su labor de control de la actividad legislativa en materia de los derechos fundamentales.</w:t>
      </w:r>
    </w:p>
    <w:p w:rsidR="0026452D" w:rsidRDefault="0026452D" w:rsidP="0026452D">
      <w:pPr>
        <w:pStyle w:val="TextoNormal"/>
      </w:pPr>
    </w:p>
    <w:p w:rsidR="0026452D" w:rsidRDefault="0026452D" w:rsidP="0026452D">
      <w:pPr>
        <w:pStyle w:val="TextoNormal"/>
      </w:pPr>
      <w:r>
        <w:t>I. El acceso a los datos de inscripción padronal de extranjeros por la Dirección General de la Policía:</w:t>
      </w:r>
    </w:p>
    <w:p w:rsidR="0026452D" w:rsidRDefault="0026452D" w:rsidP="0026452D">
      <w:pPr>
        <w:pStyle w:val="TextoNormal"/>
      </w:pPr>
    </w:p>
    <w:p w:rsidR="0026452D" w:rsidRDefault="0026452D" w:rsidP="0026452D">
      <w:pPr>
        <w:pStyle w:val="TextoNormal"/>
      </w:pPr>
      <w:r>
        <w:t>1. La posición de la mayoría parte de la afirmación, que comparto plenamente, de que los extranjeros gozan en España del derecho fundamental a la protección de datos de carácter personal (art. 18.4 CE) en las mismas condiciones que los españoles, admitiendo, a renglón seguido, que ello no impide que la ley prevea límites al ejercicio del mismo. Sin embargo, el desarrollo de los argumentos dados para sustentar la posibilidad de una interpretación conforme del precepto impugnado lleva a una conclusión que desmiente la afirmación de partida.</w:t>
      </w:r>
    </w:p>
    <w:p w:rsidR="0026452D" w:rsidRDefault="0026452D" w:rsidP="0026452D">
      <w:pPr>
        <w:pStyle w:val="TextoNormal"/>
      </w:pPr>
    </w:p>
    <w:p w:rsidR="0026452D" w:rsidRDefault="0026452D" w:rsidP="0026452D">
      <w:pPr>
        <w:pStyle w:val="TextoNormal"/>
      </w:pPr>
      <w:r>
        <w:t>La previsión contenida en los párrafos impugnados de la disposición adicional séptima LBRL contempla la cesión de datos del padrón de habitantes de personas de origen extranjero a una Administración distinta de la que los recabó y para una finalidad muy diferente de la que inspira la recogida de esos datos —se puede afirmar que incluso opuesta— sin contar con la autorización de su titular. Esta regulación pone de manifiesto una notable limitación del contenido esencial del derecho fundamental a la protección de los datos personales (art. 18.4) que, por afectar sólo a personas de origen extranjero, lleva a la conclusión de que los extranjeros ya no gozan en España del derecho fundamental derivado del art. 18.4 CE en las mismas condiciones que los españoles.</w:t>
      </w:r>
    </w:p>
    <w:p w:rsidR="0026452D" w:rsidRDefault="0026452D" w:rsidP="0026452D">
      <w:pPr>
        <w:pStyle w:val="TextoNormal"/>
      </w:pPr>
    </w:p>
    <w:p w:rsidR="0026452D" w:rsidRDefault="0026452D" w:rsidP="0026452D">
      <w:pPr>
        <w:pStyle w:val="TextoNormal"/>
      </w:pPr>
      <w:r>
        <w:t xml:space="preserve">2. Es cierto, como sostiene la posición mayoritaria, que la interpretación sobre el alcance del art. 18.4 CE y sobre los límites a la cesión de datos personales debe partir de lo que se dijo en la STC 292/2000, de 30 de noviembre, que reconoce que el derecho a la protección de datos, como el resto de derechos fundamentales,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(STC 292/2000, FJ 11). En el mismo pronunciamiento el Tribunal afirmaba que esos límites pueden ser restricciones directas del derecho fundamental mismo o restricciones al modo, tiempo o lugar de ejercicio del derecho fundamental, tratándose, en el primer caso, de una forma de desarrollar el derecho fundamental y, en el segundo, de un modo de fijar la forma </w:t>
      </w:r>
      <w:r>
        <w:lastRenderedPageBreak/>
        <w:t>concreta en la que cabe “ejercer el haz de facultades que compone el contenido del derecho fundamental en cuestión, constituyendo una manera de regular su ejercicio, lo que puede hacer el legislador ordinario a tenor de lo dispuesto en el art. 53.1 CE” (STC 292/2000, FJ 11). A partir de las anteriores premisas la doctrina de este Tribunal entiende que la Constitución ha querido que sólo la ley pueda fijar los límites al derecho fundamental contenido en el art. 18.4 CE y que esos límites supongan que el derecho fundamental puede ceder pero sólo ante “bienes, e incluso intereses constitucionalmente relevantes, siempre que el recorte que experimenten sea necesario para lograr el fin legítimo previsto, proporcionado para alcanzarlo y, en todo caso, sea respetuoso con el contenido esencial del derecho fundamental restringido” (STC 292/2000, FJ 11).</w:t>
      </w:r>
    </w:p>
    <w:p w:rsidR="0026452D" w:rsidRDefault="0026452D" w:rsidP="0026452D">
      <w:pPr>
        <w:pStyle w:val="TextoNormal"/>
      </w:pPr>
    </w:p>
    <w:p w:rsidR="0026452D" w:rsidRDefault="0026452D" w:rsidP="0026452D">
      <w:pPr>
        <w:pStyle w:val="TextoNormal"/>
      </w:pPr>
      <w:r>
        <w:t>Teniendo en cuenta lo expuesto como punto de partida del razonamiento, el problema que aborda la impugnación de la disposición adicional séptima LBRL es el de los límites que introduce la cesión de datos personales recogidos en el padrón al derecho contemplado en el art. 18.4 CE, cuando su titular es un extranjero que, si bien dio su consentimiento para la recogida de datos, no está obligado a dar dicho consentimiento para su cesión a un tercero, en este caso a la Dirección General de la Policía. Sobre esta cuestión también se pronunció la STC 292/2000, afirmando que “el derecho a consentir la recogida y el tratamiento de los datos personales (art. 6 LOPD) no implica en modo alguno consentir la cesión de tales datos a terceros, pues constituye una facultad específica que también forma parte del contenido del derecho fundamental a la protección de tales datos”. El Tribunal completa su razonamiento afirmando que la cesión de datos a un tercero, para proceder a un tratamiento con fines distintos de los que originaron su recogida, que es exactamente el supuesto que nos ocupa, no es automáticamente contrario a las previsiones de la Ley Orgánica de protección de datos de carácter personal (LOPD), pero sí supone una “una nueva posesión y uso que requiere el consentimiento del interesado. Una facultad que sólo cabe limitar en atención a derechos y bienes de relevancia constitucional y, por tanto, esté justificada, sea proporcionada y, además, se establezca por Ley, pues el derecho fundamental a la protección de datos personales no admite otros límites” (STC 292/2000, FJ 13).</w:t>
      </w:r>
    </w:p>
    <w:p w:rsidR="0026452D" w:rsidRDefault="0026452D" w:rsidP="0026452D">
      <w:pPr>
        <w:pStyle w:val="TextoNormal"/>
      </w:pPr>
    </w:p>
    <w:p w:rsidR="0026452D" w:rsidRDefault="0026452D" w:rsidP="0026452D">
      <w:pPr>
        <w:pStyle w:val="TextoNormal"/>
      </w:pPr>
      <w:r>
        <w:t>A partir de ahí, sólo queda aplicar esta doctrina preexistente, que aparentemente no rechaza sino que asume la posición de la mayoría, al precepto que nos ocupa. Tal aplicación, a mi juicio, no puede llevar sino a la conclusión contraria de la que se extrae en el pronunciamiento mayoritario. Y es que, si bien la limitación ahora cuestionada se establece por Ley, de lo cual no cabe duda, discrepo de la justificación de los límites y la proporcionalidad de los mismos que valida el pronunciamiento final.</w:t>
      </w:r>
    </w:p>
    <w:p w:rsidR="0026452D" w:rsidRDefault="0026452D" w:rsidP="0026452D">
      <w:pPr>
        <w:pStyle w:val="TextoNormal"/>
      </w:pPr>
    </w:p>
    <w:p w:rsidR="0026452D" w:rsidRDefault="0026452D" w:rsidP="0026452D">
      <w:pPr>
        <w:pStyle w:val="TextoNormal"/>
      </w:pPr>
      <w:r>
        <w:t xml:space="preserve">3. La posición de la mayoría defiende, respecto de la justificación de la medida, que ésta deriva de la finalidad perseguida, que no es otra que la circunscrita al ejercicio de las competencias sobre control y permanencia de extranjeros en España. Además, se argumenta que la medida es idónea a esa finalidad perseguida, consistente en la gestión del sistema de control de entrada y permanencia de extranjeros en España a fin de evitar el fenómeno de la inmigración irregular. Por último, también se entiende que es proporcionada en cuanto sólo podrá darse el acceso cuando el dato en cuestión contenido en el padrón resulte pertinente y necesario en relación con la finalidad expuesta, y siempre que se motive expresamente tanto la concreta atribución de la condición de usuario para el acceso telemático a los datos del padrón que el precepto prevé, como los concretos accesos de que se trate, evitando —en cuanto que la exigible motivación de tales decisiones facilita su correspondiente control </w:t>
      </w:r>
      <w:r>
        <w:lastRenderedPageBreak/>
        <w:t>mediante los mecanismos previstos en el ordenamiento jurídico, en especial, a través del control jurisdiccional contencioso-administrativo— que se produzca tanto un uso torticero de dicha facultad como accesos indiscriminados o masivos.</w:t>
      </w:r>
    </w:p>
    <w:p w:rsidR="0026452D" w:rsidRDefault="0026452D" w:rsidP="0026452D">
      <w:pPr>
        <w:pStyle w:val="TextoNormal"/>
      </w:pPr>
    </w:p>
    <w:p w:rsidR="0026452D" w:rsidRDefault="0026452D" w:rsidP="0026452D">
      <w:pPr>
        <w:pStyle w:val="TextoNormal"/>
      </w:pPr>
      <w:r>
        <w:t>En primer término, debe decirse que la interpretación conforme que realiza la sentencia no consigue colmar la indeterminación de la norma impugnada, lo que impide garantizar la proporcionalidad e idoneidad de la medida en cuestión. Así, sin ánimo de ser exhaustivo, puede decirse que existen profundas indeterminaciones en relación con el sujeto habilitado para el acceso, así como con la forma, objeto y garantías del acceso. Por ejemplo, se habilita de forma general a la Dirección General de la Policía para acceder a los datos, sin que la norma, ni la interpretación conforme, aclaren si el acceso se permite al titular de ese órgano (el Director General de la Policía) o a cualquier órgano o unidad integrados en dicha dirección, aunque la lectura completa de la norma permite deducir que podrá acceder cualquier miembro de la Dirección General de la Policía, en la medida en que se establece en la propia disposición impugnada que “quedará constancia en la Dirección General de la Policía de cada acceso, la identificación de usuario, fecha y hora en que se realizó, así como de los datos consultados”. Esto supone un amplio universo de sujetos habilitados, lo que va en detrimento de la proporcionalidad de la medida y del mandato de predeterminación de las medidas limitativas de derechos fundamentales.</w:t>
      </w:r>
    </w:p>
    <w:p w:rsidR="0026452D" w:rsidRDefault="0026452D" w:rsidP="0026452D">
      <w:pPr>
        <w:pStyle w:val="TextoNormal"/>
      </w:pPr>
    </w:p>
    <w:p w:rsidR="0026452D" w:rsidRDefault="0026452D" w:rsidP="0026452D">
      <w:pPr>
        <w:pStyle w:val="TextoNormal"/>
      </w:pPr>
      <w:r>
        <w:t>Por lo que hace a la forma de acceso, se deduce que la misma será telemática y directa, sin necesidad de autorización del municipio, y además, según la posición de interpretación conforme de la mayoría, motivada. Sin embargo, no se establecen límites o condiciones al objeto de acceso que puede abarcar la totalidad de los “datos de inscripción padronal de los extranjeros existentes en los padrones municipales”, lo que no sólo incluye su domicilio, objeto fundamental del padrón, sino también su número de pasaporte [art. 16.2 f) LOEx], en defecto de número de identidad de extranjero, con las implicaciones que, como veremos, eso tiene respecto de la identificación de extranjeros en situación de irregularidad administrativa.</w:t>
      </w:r>
    </w:p>
    <w:p w:rsidR="0026452D" w:rsidRDefault="0026452D" w:rsidP="0026452D">
      <w:pPr>
        <w:pStyle w:val="TextoNormal"/>
      </w:pPr>
    </w:p>
    <w:p w:rsidR="0026452D" w:rsidRDefault="0026452D" w:rsidP="0026452D">
      <w:pPr>
        <w:pStyle w:val="TextoNormal"/>
      </w:pPr>
      <w:r>
        <w:t>Por último, aunque la norma prevé que el acceso se realizará con las “máximas medidas de seguridad”, éstas no se concretan, más allá de que quedará constancia de cada acceso, de la identidad del accedente, de la fecha y hora del acceso y de los datos consultados. La posición de la mayoría afirma que el acceso, y la motivación que lo inspira, “estará sujeta a control mediante los mecanismos previstos en el ordenamiento jurídico, en especial, a través del control jurisdiccional contencioso-administrativo, y entiende que habrá de evitarse que se produzca un uso torticero de la facultad de acceso, así como un acceso indiscriminado o masivo. Todas estas previsiones, no obstante, resultan excesivamente indeterminadas e insuficientes. Por dar sólo un ejemplo, no se contempla que el propio afectado pueda conocer que se ha producido el acceso y, en consecuencia, queda indefenso respecto de una medida limitativa de un derecho fundamental ante la que no puede protegerse plenamente en caso de un eventual acceso indebido en su información padronal.</w:t>
      </w:r>
    </w:p>
    <w:p w:rsidR="0026452D" w:rsidRDefault="0026452D" w:rsidP="0026452D">
      <w:pPr>
        <w:pStyle w:val="TextoNormal"/>
      </w:pPr>
    </w:p>
    <w:p w:rsidR="0026452D" w:rsidRDefault="0026452D" w:rsidP="0026452D">
      <w:pPr>
        <w:pStyle w:val="TextoNormal"/>
      </w:pPr>
      <w:r>
        <w:t>4. En todo caso, el problema fundamental del juicio de proporcionalidad en que se basa la declaración de conformidad del precepto con la Constitución es que no ha ponderado algunos elementos esenciales que, de haber sido tomados en consideración o, al menos, no descartados expresamente, hubieran debido llevar a la declaración de inconstitucionalidad del precepto.</w:t>
      </w:r>
    </w:p>
    <w:p w:rsidR="0026452D" w:rsidRDefault="0026452D" w:rsidP="0026452D">
      <w:pPr>
        <w:pStyle w:val="TextoNormal"/>
      </w:pPr>
    </w:p>
    <w:p w:rsidR="0026452D" w:rsidRDefault="0026452D" w:rsidP="0026452D">
      <w:pPr>
        <w:pStyle w:val="TextoNormal"/>
      </w:pPr>
      <w:r>
        <w:t>El padrón de habitantes no es sólo un registro administrativo o un fichero automatizado sujeto a la Ley Orgánica de protección de datos. La inscripción en el padrón es, además, para el caso de los extranjeros que se encuentran en España, condición para el ejercicio de diversos derechos que son fundamentales para la definición de su estatuto jurídico y para su integración en nuestra sociedad. Así la posibilidad de prestación de la asistencia sanitaria exige la inscripción en el padrón, el acceso a la educación pública de los menores de edad también, independientemente de la situación de regularidad o irregularidad administrativa de sus progenitores o tutores, así como depende de la inscripción en el padrón el ejercicio del derecho a la participación pública en aquellas dimensiones que completan el ejercicio del derecho de sufragio activo y pasivo. Del mismo modo, el padrón también es prueba de estancia continuada en España para una eventual solicitud de regularización por arraigo.</w:t>
      </w:r>
    </w:p>
    <w:p w:rsidR="0026452D" w:rsidRDefault="0026452D" w:rsidP="0026452D">
      <w:pPr>
        <w:pStyle w:val="TextoNormal"/>
      </w:pPr>
    </w:p>
    <w:p w:rsidR="0026452D" w:rsidRDefault="0026452D" w:rsidP="0026452D">
      <w:pPr>
        <w:pStyle w:val="TextoNormal"/>
      </w:pPr>
      <w:r>
        <w:t>Es evidente, por tanto, la conexión entre el ejercicio de derechos y la inscripción en el padrón de habitantes, como lo es también el efecto desincentivador que la posibilidad de cesión de datos a la Policía provoca sobre esa eventual inscripción. La Policía puede tener interés en acceder a los datos del padrón, porque le ofrecen una información más o menos fiable sobre la situación de irregularidad de un extranjero, en el caso de aquellos que se inscriben con su pasaporte en defecto de número de identidad de extranjero, y sobre el domicilio de los mismos, lo que facilita no sólo la incoación de trámites de expulsión, sino su notificación y la localización del extranjero expulsable. Sin embargo, la utilización de los datos del padrón como instrumento de control de flujos entra en abierta oposición con la finalidad del padrón como registro administrativo que se constituye en condición para el ejercicio de derechos. O bien se desconectan ambas finalidades, o bien el análisis de proporcionalidad no puede sustentar la constitucionalidad de la norma impugnada.</w:t>
      </w:r>
    </w:p>
    <w:p w:rsidR="0026452D" w:rsidRDefault="0026452D" w:rsidP="0026452D">
      <w:pPr>
        <w:pStyle w:val="TextoNormal"/>
      </w:pPr>
    </w:p>
    <w:p w:rsidR="0026452D" w:rsidRDefault="0026452D" w:rsidP="0026452D">
      <w:pPr>
        <w:pStyle w:val="TextoNormal"/>
      </w:pPr>
      <w:r>
        <w:t>Poniendo un ejemplo más concreto, si la finalidad de la cesión de datos es incoar un expediente de expulsión, entonces no deberíamos admitir que los datos del padrón fueran también condición de prueba del arraigo, porque ambas finalidades son incompatibles, lo que hace que la cesión, en este caso sea desproporcionada teniendo en cuenta las consecuencias sobre la situación de extranjeros efectivamente integrados en España. Del mismo modo, tampoco puede exponerse a los menores a una situación de exclusión de la escolarización obligatoria —en tanto que contenido esencial del derecho fundamental a la educación del que, como ya ha reiterado este Tribunal, gozan también los extranjeros en situación irregular (por todas, STC 236/2007, de 7 de noviembre, FJ 8)— porque sus progenitores o tutores, en situación de irregularidad, opten por no inscribirse en el padrón ante el riesgo de ser sometidos a expediente de expulsión y localizados con datos obtenido de esa inscripción.</w:t>
      </w:r>
    </w:p>
    <w:p w:rsidR="0026452D" w:rsidRDefault="0026452D" w:rsidP="0026452D">
      <w:pPr>
        <w:pStyle w:val="TextoNormal"/>
      </w:pPr>
    </w:p>
    <w:p w:rsidR="0026452D" w:rsidRDefault="0026452D" w:rsidP="0026452D">
      <w:pPr>
        <w:pStyle w:val="TextoNormal"/>
      </w:pPr>
      <w:r>
        <w:t>No es que haya que colocar en una balanza, por un lado, la política de control de flujos —y las medidas legislativas que las articulan— y, por otro, las políticas de integración social de los inmigrantes —y las leyes que las arbitran—, aunque finalmente se trata en parte de eso. Es que hay que realizar el análisis de proporcionalidad que nuestra jurisprudencia previa nos impone sin perder de vista el contexto en que funciona el padrón municipal y su influencia en la situación de integración de los extranjeros y sus familias. Si las medidas normativas de control de flujos no son adecuadas y presentan fallos, no se puede hacer de un instrumento que, en principio, lo es de integración, un mecanismo de soldadura de aquellos fallos.</w:t>
      </w:r>
    </w:p>
    <w:p w:rsidR="0026452D" w:rsidRDefault="0026452D" w:rsidP="0026452D">
      <w:pPr>
        <w:pStyle w:val="TextoNormal"/>
      </w:pPr>
    </w:p>
    <w:p w:rsidR="0026452D" w:rsidRDefault="0026452D" w:rsidP="0026452D">
      <w:pPr>
        <w:pStyle w:val="TextoNormal"/>
      </w:pPr>
      <w:r>
        <w:lastRenderedPageBreak/>
        <w:t>Considero que superaría adecuadamente el test de proporcionalidad una cesión de datos destinada, por poner varios ejemplos, a la actualización del registro central de extranjeros, a realizar comunicaciones administrativas, a localizar personas de origen extranjero por solicitudes realizadas por sus consulados o embajadas, o a llegar al conocimiento de que existe un domicilio para evitar el internamiento en un centro de internamiento de extranjeros. Sin embargo, en ningún caso sería admisible la cesión de datos que permitan deducir la condición de regularidad o irregularidad de una persona, elemento que, no es que no sea tenido en cuenta en la posición de la mayoría sino que, más bien al contrario, parece ser la base que sustenta la legitimidad constitucional de la medida al amparar la finalidad de la misma y vincularla a la lucha contra la inmigración irregular. Debe recordarse que la norma impugnada permite a la Policía acceder a los “datos de inscripción padronal”¸ sin especificar más, que esos datos no sólo incluyen el domicilio, y que la sentencia no realiza, en su interpretación, ninguna salvedad al respecto.</w:t>
      </w:r>
    </w:p>
    <w:p w:rsidR="0026452D" w:rsidRDefault="0026452D" w:rsidP="0026452D">
      <w:pPr>
        <w:pStyle w:val="TextoNormal"/>
      </w:pPr>
    </w:p>
    <w:p w:rsidR="0026452D" w:rsidRDefault="0026452D" w:rsidP="0026452D">
      <w:pPr>
        <w:pStyle w:val="TextoNormal"/>
      </w:pPr>
      <w:r>
        <w:t>5. En resumen, a mi juicio, la interpretación conforme que realiza la sentencia pretende colmar la indeterminación de una ley que, por lo demás, continúa siendo profundamente indeterminada, y no se ajusta a un apropiado juicio de proporcionalidad. Como ya han hecho otros Tribunales Constitucionales antes [véase, Sentencia de la Sala Primera del Tribunal Constitucional Federal alemán de 11 de marzo de 2008 (</w:t>
      </w:r>
      <w:r w:rsidRPr="0026452D">
        <w:rPr>
          <w:i/>
        </w:rPr>
        <w:t>BVerfG, 1 Bv</w:t>
      </w:r>
      <w:r>
        <w:t>R 2074/05, de 11.3.2008, 153)], es preciso afirmar que la indeterminación de una ley que regula una medida restrictiva de derechos fundamentales no puede ser suplida por una interpretación conforme porque, en ese caso, el principio de interpretación conforme vaciaría de contenido el principio de reserva legal que tan claramente invoca nuestra jurisprudencia previa en materia de protección de datos personales.</w:t>
      </w:r>
    </w:p>
    <w:p w:rsidR="0026452D" w:rsidRDefault="0026452D" w:rsidP="0026452D">
      <w:pPr>
        <w:pStyle w:val="TextoNormal"/>
      </w:pPr>
    </w:p>
    <w:p w:rsidR="0026452D" w:rsidRDefault="0026452D" w:rsidP="0026452D">
      <w:pPr>
        <w:pStyle w:val="TextoNormal"/>
      </w:pPr>
      <w:r>
        <w:t>II. Las medidas de seguridad en los centros de internamiento de extranjeros:</w:t>
      </w:r>
    </w:p>
    <w:p w:rsidR="0026452D" w:rsidRDefault="0026452D" w:rsidP="0026452D">
      <w:pPr>
        <w:pStyle w:val="TextoNormal"/>
      </w:pPr>
    </w:p>
    <w:p w:rsidR="0026452D" w:rsidRDefault="0026452D" w:rsidP="0026452D">
      <w:pPr>
        <w:pStyle w:val="TextoNormal"/>
      </w:pPr>
      <w:r>
        <w:t>1. En el presente recurso se cuestionaba, en relación con las medidas de seguridad en los centros de internamiento de extranjeros, la regulación de los registros e inspecciones (art. 62 quinquies 1 LOEx), por considerarla contraria al derecho a la intimidad (art. 18.1 CE), y de las medidas coercitivas (art. 62 quinquies 2 LOEx), por considerarla contraria al derecho a la libertad (art. 17.1 CE) y a un proceso con todas las garantías (art. 24.2 CE).</w:t>
      </w:r>
    </w:p>
    <w:p w:rsidR="0026452D" w:rsidRDefault="0026452D" w:rsidP="0026452D">
      <w:pPr>
        <w:pStyle w:val="TextoNormal"/>
      </w:pPr>
    </w:p>
    <w:p w:rsidR="0026452D" w:rsidRDefault="0026452D" w:rsidP="0026452D">
      <w:pPr>
        <w:pStyle w:val="TextoNormal"/>
      </w:pPr>
      <w:r>
        <w:t>2. La regulación de los registros e inspecciones se establece en el apartado 1 de art. 62 quinquies LOEx con el siguiente tenor literal: “Las actuaciones de vigilancia y seguridad interior en los centros podrán suponer, en la forma y con la periodicidad que se establezca, inspecciones de los locales y dependencias y siempre que fuera necesario para la seguridad en los centros registros de personas, ropas y enseres de los extranjeros internados.”</w:t>
      </w:r>
    </w:p>
    <w:p w:rsidR="0026452D" w:rsidRDefault="0026452D" w:rsidP="0026452D">
      <w:pPr>
        <w:pStyle w:val="TextoNormal"/>
      </w:pPr>
    </w:p>
    <w:p w:rsidR="0026452D" w:rsidRDefault="0026452D" w:rsidP="0026452D">
      <w:pPr>
        <w:pStyle w:val="TextoNormal"/>
      </w:pPr>
      <w:r>
        <w:t>En relación con esta previsión legal, la posición de la mayoría consiste en considerar que no vulnera el art. 18.1 CE siempre que se interprete en el sentido de que únicamente podrá adoptarse estas medidas cuando resulte imprescindible ante concretas situaciones que pongan en riesgo la seguridad del establecimiento, estando obligada la Administración a justificar en cada caso la adopción de la medida y su alcance, así como a informar al afectado de la dimensión y la intensidad del registro. La justificación para alcanzar esta solución de interpretación conforme ha sido la de considerar que sólo en estos casos resultarán ser pro</w:t>
      </w:r>
      <w:r>
        <w:lastRenderedPageBreak/>
        <w:t>porcionadas las limitaciones al derecho a la intimidad personal que comportan estas medidas, atendiendo a la finalidad de mantenimiento del orden y la seguridad en los centros perseguida.</w:t>
      </w:r>
    </w:p>
    <w:p w:rsidR="0026452D" w:rsidRDefault="0026452D" w:rsidP="0026452D">
      <w:pPr>
        <w:pStyle w:val="TextoNormal"/>
      </w:pPr>
    </w:p>
    <w:p w:rsidR="0026452D" w:rsidRDefault="0026452D" w:rsidP="0026452D">
      <w:pPr>
        <w:pStyle w:val="TextoNormal"/>
      </w:pPr>
      <w:r>
        <w:t>Comparto con la posición mayoritaria las insuficiencias constitucionales del precepto. Discrepo, sin embargo, en que dichas insuficiencias puedan ser salvadas por la vía de una interpretación conforme. La falta de calidad de ley es tan abrumadora en este caso que hubiera debido determinar una declaración inconstitucionalidad del precepto por vulneración del art. 18.1 CE. La garantía de la previsión legal es sólo uno de los condicionantes de la constitucionalidad de la limitación de este derecho fundamental. Sin embargo, esta garantía no queda limitada al hecho de que una ley habilite la medida, sino que es preciso, conforme a exigencias mínimas de calidad de la ley y de respeto al contenido esencial del derecho —como mandato dirigido al legislador de los derechos fundamentales— (art. 53.1 CE), que en esa regulación el legislador predetermine, como primer obligado a realizar la ponderación de derechos o intereses en pugna, los supuestos, las condiciones y las garantías en que procede la adopción de medidas restrictivas de derechos fundamentales. La posibilidad de que ese mandato de predeterminación respecto de elementos esenciales vinculados a la proporcionalidad de la limitación del derecho fundamental quede deferido a un eventual desarrollo reglamentario no sólo no satisface las elementales exigencias de la reserva de ley sino que, además, es especialmente grave en supuestos como el presente en el que las medidas, sin perjuicio de un eventual control judicial posterior, son de aplicación directa por parte de la Administración pública.</w:t>
      </w:r>
    </w:p>
    <w:p w:rsidR="0026452D" w:rsidRDefault="0026452D" w:rsidP="0026452D">
      <w:pPr>
        <w:pStyle w:val="TextoNormal"/>
      </w:pPr>
    </w:p>
    <w:p w:rsidR="0026452D" w:rsidRDefault="0026452D" w:rsidP="0026452D">
      <w:pPr>
        <w:pStyle w:val="TextoNormal"/>
      </w:pPr>
      <w:r>
        <w:t>3. Un detallado análisis del tenor literal del precepto impugnado pone de manifiesto que el legislador orgánico no ha cumplido con el mandato constitucional de calidad exigible en la regulación de las medidas limitativas de derechos fundamentales como las reguladas en este precepto. La norma regula dos tipos de medidas, por un lado, inspecciones en locales y dependencias y, por otro, registros de personas, ropas y enseres. Hubiera resultado necesario, cosa que no se hace en la posición de la mayoría, distinguir ambas medidas toda vez que, a pesar de que las dos puedan afectar a la intimidad personal del art. 18.1 CE, su incidencia es diferente y, por tanto, las garantías necesarias para preservar el principio de proporcionalidad también lo son.</w:t>
      </w:r>
    </w:p>
    <w:p w:rsidR="0026452D" w:rsidRDefault="0026452D" w:rsidP="0026452D">
      <w:pPr>
        <w:pStyle w:val="TextoNormal"/>
      </w:pPr>
    </w:p>
    <w:p w:rsidR="0026452D" w:rsidRDefault="0026452D" w:rsidP="0026452D">
      <w:pPr>
        <w:pStyle w:val="TextoNormal"/>
      </w:pPr>
      <w:r>
        <w:t>Así, en relación con la inspección de locales y dependencias, la norma lo único que determina es que podrán realizarse “en la forma y con la periodicidad que se establezca”. Pues bien, no habría objeción constitucional respecto de esta regulación en tanto que los locales y dependencias a inspeccionar no fueran lugares de desarrollo de la intimidad en los términos señalados en la STC 89/2006, de 27 de marzo. Sin embargo, en relación con la inspección de habitaciones de pernoctación (sean individuales o compartidas), conforme con lo establecido en la citada STC 89/2006, FJ 3, si bien no pueden considerarse domicilio, sí son espacios de intimidad protegidos por el art. 18.1 CE y, por tanto, le alcanzan las garantías establecidas en dicho precepto. De ese modo, atendiendo al tenor literal de esta regulación, que ni siquiera establece una relación de causalidad entre la inspección y un fin constitucional relevante, tiene razón el Parlamento recurrente al señalar que este precepto tiene tal grado de indeterminación respecto de las situaciones en que procedería la inspección y la regulación de las circunstancias en que cabe acudir a ellas que no se puede considerar que cumpla las exigencias derivadas del art. 18.1 CE.</w:t>
      </w:r>
    </w:p>
    <w:p w:rsidR="0026452D" w:rsidRDefault="0026452D" w:rsidP="0026452D">
      <w:pPr>
        <w:pStyle w:val="TextoNormal"/>
      </w:pPr>
    </w:p>
    <w:p w:rsidR="0026452D" w:rsidRDefault="0026452D" w:rsidP="0026452D">
      <w:pPr>
        <w:pStyle w:val="TextoNormal"/>
      </w:pPr>
      <w:r>
        <w:lastRenderedPageBreak/>
        <w:t>El mero hecho de que ni siquiera se aprecie el carácter excepcional de la medida cuando tenga por objeto las habitaciones del centro —ya que parece dar a entender que puede hacerse de manera sistemática (se habla de periodicidad y, por tanto, no se vincula a una causa concreta de necesidad)— hubiera sido suficiente para determinar la completa inconstitucionalidad del precepto en lo relativo a dependencias de desarrollo de intimidad personal, al obviarse la regulación de un presupuesto esencial como es la identificación del interés constitucional o fin legítimo que se persigue. Esta insuficiencia no puede ser salvada por vía interpretativa negando la posible sistematicidad de la medida e imponiendo una relación de causalidad con el mantenimiento del orden y la seguridad en los centros perseguida. Hubiera sido exigible, en aras a la citada exigencia de calidad de la ley, que más allá de la determinación del fin constitucionalmente relevante, justificativo de la limitación del derecho fundamental, se concretaran y delimitaran otras condiciones y garantías esenciales en lo relativo a la autorización y justificación, comunicación al interno, eventual presencia en su realización, modo de ejecutarse, levantamiento de actas respecto de los hallazgos, comunicación de resultados al Juzgado, etc.</w:t>
      </w:r>
    </w:p>
    <w:p w:rsidR="0026452D" w:rsidRDefault="0026452D" w:rsidP="0026452D">
      <w:pPr>
        <w:pStyle w:val="TextoNormal"/>
      </w:pPr>
    </w:p>
    <w:p w:rsidR="0026452D" w:rsidRDefault="0026452D" w:rsidP="0026452D">
      <w:pPr>
        <w:pStyle w:val="TextoNormal"/>
      </w:pPr>
      <w:r>
        <w:t>En conclusión, esta concreta previsión de inspección de locales y dependencias es contraria al art. 18.1 CE, en lo que pueda referirse o aplicarse a dependencias de pernoctación en las que se desarrolla ámbito de intimidad al no excluir, ya de partida, actos de afectación a la intimidad arbitrarios e inmotivados y, por tanto, no establecer una regulación respetuosa con el principio de proporcionalidad y predeterminación legal de las medidas restrictivas de derechos fundamentales.</w:t>
      </w:r>
    </w:p>
    <w:p w:rsidR="0026452D" w:rsidRDefault="0026452D" w:rsidP="0026452D">
      <w:pPr>
        <w:pStyle w:val="TextoNormal"/>
      </w:pPr>
    </w:p>
    <w:p w:rsidR="0026452D" w:rsidRDefault="0026452D" w:rsidP="0026452D">
      <w:pPr>
        <w:pStyle w:val="TextoNormal"/>
      </w:pPr>
      <w:r>
        <w:t>4. En lo que se refiere al registro de personas, ropas y enseres, estas medidas siempre afectan al art. 18.1 CE. Respecto de ellas la norma sí establece que quedan limitadas a los casos en que “fuera necesario para la seguridad en los centros”. Esta previsión salva la objeción de constitucionalidad respecto del primer requisito de la proporcionalidad de que se identifique un eventual interés de protección constitucionalmente relevante que justifique una limitación de este derecho. El problema es que no aborda, como ya se decía anteriormente respecto de las inspecciones de locales, la regulación de otros requisitos que también conforme a la doctrina constitucional se han ido señalando como inherentes al respeto debido a este derecho. Así, no hay una previsión respecto de quién puede autorizarlos y la exigencia de motivación de la medida o al modo de ejecutarlos. A esos efectos, debe recordarse que este Tribunal ha sido especialmente cuidadoso a la hora de detallar determinadas exigencias en los casos, por ejemplo, de registros con desnudo integral conformando un cuerpo de doctrina que ya estaba plenamente consolidado cuando se estableció esta regulación legal (así, por ejemplo, SSTC 204/2000, de 24 de julio, o 218/2002, de 25 de noviembre).</w:t>
      </w:r>
    </w:p>
    <w:p w:rsidR="0026452D" w:rsidRDefault="0026452D" w:rsidP="0026452D">
      <w:pPr>
        <w:pStyle w:val="TextoNormal"/>
      </w:pPr>
    </w:p>
    <w:p w:rsidR="0026452D" w:rsidRDefault="0026452D" w:rsidP="0026452D">
      <w:pPr>
        <w:pStyle w:val="TextoNormal"/>
      </w:pPr>
      <w:r>
        <w:t>En conclusión, esta concreta previsión sobre registros de personas, enseres y ropas también es contraria al art. 18.1 CE al no regular con el necesario detalle elementos esenciales que garanticen que la aplicación de la medida se vaya a realizar de manera respetuosa con el principio de proporcionalidad. Nuevamente, estas insuficiencias no quedan salvadas por el hecho de que en la posición de la mayoría se recuerde la necesidad de que la Administración está obligada a justificar en cada caso la adopción de la medida y su alcance, así como a informar al afectado de la dimensión y la intensidad del registro, toda vez que se trata de aspectos que junto con otros responden a elementales exigencias de la calidad de la ley que debía haber afrontado el legislador.</w:t>
      </w:r>
    </w:p>
    <w:p w:rsidR="0026452D" w:rsidRDefault="0026452D" w:rsidP="0026452D">
      <w:pPr>
        <w:pStyle w:val="TextoNormal"/>
      </w:pPr>
    </w:p>
    <w:p w:rsidR="0026452D" w:rsidRDefault="0026452D" w:rsidP="0026452D">
      <w:pPr>
        <w:pStyle w:val="TextoNormal"/>
      </w:pPr>
      <w:r>
        <w:t xml:space="preserve">5. En relación con la posibilidad de adoptar medidas coercitivas previstas en el apartado 2 del art. 62 quinquies LOEx, la posición de la mayoría considera que son medidas sin función represiva y, por tanto, no resulta necesario observar las garantías constitucionales que rigen la imposición de las sanciones </w:t>
      </w:r>
      <w:r w:rsidRPr="0026452D">
        <w:rPr>
          <w:i/>
        </w:rPr>
        <w:t>ex</w:t>
      </w:r>
      <w:r>
        <w:t xml:space="preserve"> art. 24.2 CE. Igualmente, se destaca que, desde la perspectiva del art. 17.1 CE, son medidas cuya regulación aparece justificada en la defensa de intereses constitucionales relevantes y resultan proporcionadas y necesarias al fin perseguido, contando con una estricta delimitación temporal que se circunscribe a la desaparición de las circunstancias que motivan su adopción.</w:t>
      </w:r>
    </w:p>
    <w:p w:rsidR="0026452D" w:rsidRDefault="0026452D" w:rsidP="0026452D">
      <w:pPr>
        <w:pStyle w:val="TextoNormal"/>
      </w:pPr>
    </w:p>
    <w:p w:rsidR="0026452D" w:rsidRDefault="0026452D" w:rsidP="0026452D">
      <w:pPr>
        <w:pStyle w:val="TextoNormal"/>
      </w:pPr>
      <w:r>
        <w:t>En este caso mi discrepancia se produce no tanto con el razonamiento que niega la naturaleza sancionadora de estas medidas, sino nuevamente con que no se haya dado cumplimiento a las exigencias de la calidad de la ley al regular medidas que indubitadamente, y aunque no tengan carácter sancionador, son limitativas del derecho a la libertad. Ciertamente, la regulación de estas medidas concreta los supuestos en que resulta posible acudir a las mismas —evitar actos de violencia o lesiones de los extranjeros, impedir actos de fuga, daños en las instalaciones del centro o ante la resistencia al personal del mismo en el ejercicio legítimo de su cargo—. Igualmente, cabe apreciar que se establecen determinados límites a su modo de ejecución y a su finalidad conforme al principio de proporcionalidad y que se regula tanto la autorización como el control de las medidas. Ahora bien, de nuevo, la regulación carece del necesario detalle impuesto por la exigencia de reserva de ley y la obligación de ponderación del legislador en la regulación de medidas limitativas de derechos fundamentales.</w:t>
      </w:r>
    </w:p>
    <w:p w:rsidR="0026452D" w:rsidRDefault="0026452D" w:rsidP="0026452D">
      <w:pPr>
        <w:pStyle w:val="TextoNormal"/>
      </w:pPr>
    </w:p>
    <w:p w:rsidR="0026452D" w:rsidRDefault="0026452D" w:rsidP="0026452D">
      <w:pPr>
        <w:pStyle w:val="TextoNormal"/>
      </w:pPr>
      <w:r>
        <w:t>La lectura del precepto pone de manifiesto que la norma impugnada regula dos medidas coercitivas: contención física personal y separación preventiva. Pues bien, la naturaleza especialmente restrictiva que tiene la medida de separación preventiva y su carácter marcadamente cercano a una sanción de aislamiento hubiera exigido concretar mucho más cuál de todos los supuestos enunciados en la norma son los que habilitan a acudir a esa medida e incluso delimitar algunos de los requisitos de la concreta forma de ejecución. Sin embargo, más allá de ello, lo que considero que es definitivo para sostener la inconstitucionalidad del precepto, en el sentido alegado por el Parlamento recurrente, es que no se establece una limitación temporal absoluta a esta situación de separación preventiva. Esta falta de previsión supone una vulneración de lo dispuesto en el art. 17.1 CE en tanto que implicaría una medida susceptible de ser indeterminada, al quedar sólo condicionada con la idea de que durará “lo estrictamente necesario”, lo que es manifiestamente insuficiente en garantía de este derecho fundamental. Esta insuficiencia sólo muy parcialmente queda solventada con la previsión del art. 62 quinquies 3 LOEx, que exige el control judicial inmediato de la medida para su mantenimiento o revocación, toda vez que también esa eventual decisión judicial de mantenimiento carece de una previsión legal expresa respecto a un eventual tiempo máximo objetivable, dejándolo a la interpretación de un concepto jurídico indeterminado.</w:t>
      </w:r>
    </w:p>
    <w:p w:rsidR="0026452D" w:rsidRDefault="0026452D" w:rsidP="0026452D">
      <w:pPr>
        <w:pStyle w:val="TextoNormal"/>
      </w:pPr>
    </w:p>
    <w:p w:rsidR="0026452D" w:rsidRDefault="0026452D" w:rsidP="0026452D">
      <w:pPr>
        <w:pStyle w:val="TextoNormal"/>
      </w:pPr>
      <w:r>
        <w:t>En conclusión, la ausencia de una regulación de elementos esenciales que garanticen que la aplicación de las medidas de coerción se va a realizar de manera respetuosa con el principio de proporcionalidad y, muy especialmente, la carencia de una limitación temporal máxima absoluta para la medida de separación preventiva hubieran debido de ser determinantes para que también se declarara la inconstitucionalidad de este precepto.</w:t>
      </w:r>
    </w:p>
    <w:p w:rsidR="0026452D" w:rsidRDefault="0026452D" w:rsidP="0026452D">
      <w:pPr>
        <w:pStyle w:val="TextoNormal"/>
      </w:pPr>
    </w:p>
    <w:p w:rsidR="0026452D" w:rsidRDefault="0026452D" w:rsidP="0026452D">
      <w:pPr>
        <w:pStyle w:val="TextoNormal"/>
      </w:pPr>
      <w:r>
        <w:tab/>
        <w:t>Madrid, a treinta y uno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21" w:name="SENTENCIA_2013_18"/>
      <w:r>
        <w:lastRenderedPageBreak/>
        <w:t>SENTENCIA 18/2013, de 31 de enero de 2013</w:t>
      </w:r>
    </w:p>
    <w:bookmarkEnd w:id="21"/>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ECLI:ES:TC:2013:18</w:t>
      </w:r>
    </w:p>
    <w:p w:rsidR="0026452D" w:rsidRDefault="0026452D" w:rsidP="0026452D">
      <w:pPr>
        <w:pStyle w:val="SntesisDescriptiva"/>
      </w:pPr>
    </w:p>
    <w:p w:rsidR="0026452D" w:rsidRDefault="0026452D" w:rsidP="0026452D">
      <w:pPr>
        <w:pStyle w:val="SntesisDescriptiva"/>
      </w:pPr>
      <w:r>
        <w:t>Conflicto positivo de competencia 5280-2004. Planteado por el Gobierno de la Generalitat de Cataluña respecto de la Orden JUS/1133/2004, de 5 de abril, por la que se convocan, para la provisión por el sistema de libre designación y para el cuerpo de secretarios judiciales, los puestos de trabajo de Secretarios de Gobierno del Tribunal Supremo, Audiencia Nacional, Tribunales Superiores de Justicia y ciudades de Ceuta y Melilla.</w:t>
      </w:r>
    </w:p>
    <w:p w:rsidR="0026452D" w:rsidRDefault="0026452D" w:rsidP="0026452D">
      <w:pPr>
        <w:pStyle w:val="SntesisDescriptiva"/>
      </w:pPr>
    </w:p>
    <w:p w:rsidR="0026452D" w:rsidRDefault="0026452D" w:rsidP="0026452D">
      <w:pPr>
        <w:pStyle w:val="SntesisAnaltica"/>
      </w:pPr>
      <w:r>
        <w:t>Competencias sobre Administración de Justicia: convocatoria de provisión de puestos de secretarios judiciales que no afecta a las competencias ejecutivas autonómicas (STC 224/2012).</w:t>
      </w:r>
    </w:p>
    <w:p w:rsidR="0026452D" w:rsidRDefault="0026452D" w:rsidP="0026452D">
      <w:pPr>
        <w:pStyle w:val="SntesisAnaltica"/>
      </w:pPr>
    </w:p>
    <w:p w:rsidR="0026452D" w:rsidRDefault="0026452D" w:rsidP="0026452D">
      <w:pPr>
        <w:pStyle w:val="Extracto"/>
      </w:pPr>
      <w:r>
        <w:t>1.</w:t>
      </w:r>
      <w:r>
        <w:tab/>
        <w:t>La dependencia de los Secretarios Judiciales del Ministerio de  Justicia forzosamente conlleva que corresponda a éste la facultad de su nombramiento (STC 224/2012) [FJ 5].</w:t>
      </w:r>
    </w:p>
    <w:p w:rsidR="0026452D" w:rsidRDefault="0026452D" w:rsidP="0026452D">
      <w:pPr>
        <w:pStyle w:val="Extracto"/>
      </w:pPr>
    </w:p>
    <w:p w:rsidR="0026452D" w:rsidRDefault="0026452D" w:rsidP="0026452D">
      <w:pPr>
        <w:pStyle w:val="Extracto"/>
      </w:pPr>
      <w:r>
        <w:t>2.</w:t>
      </w:r>
      <w:r>
        <w:tab/>
        <w:t>Al introducir en el procedimiento de nombramiento de los Secretarios Judiciales un trámite de informe autonómico, se posibilita que el órgano estatal competente conozca y pondere la opinión de la Comunidad Autónoma antes de resolver, lo que resulta razonable al tratarse de nombramientos para puestos de carácter directivo o de especial responsabilidad, definidos por ello por una amplia discrecionalidad técnica (STC 224/2012) [FJ 5].</w:t>
      </w:r>
    </w:p>
    <w:p w:rsidR="0026452D" w:rsidRDefault="0026452D" w:rsidP="0026452D">
      <w:pPr>
        <w:pStyle w:val="Extracto"/>
      </w:pPr>
    </w:p>
    <w:p w:rsidR="0026452D" w:rsidRDefault="0026452D" w:rsidP="0026452D">
      <w:pPr>
        <w:pStyle w:val="Extracto"/>
      </w:pPr>
      <w:r>
        <w:t>3.</w:t>
      </w:r>
      <w:r>
        <w:tab/>
        <w:t>La inclusión de un trámite de informe autonómico en el procedimiento de nombramiento de los Secretarios Judiciales logra un adecuado equilibrio en el ejercicio de las competencias estatales y autonómicas que se materializa en la facultad de propuesta de las Comunidades Autónomas, matizando significativamente la competencia estatal, al deferir la iniciativa de estas (STC 224/2012)  FJ 5].</w:t>
      </w:r>
    </w:p>
    <w:p w:rsidR="0026452D" w:rsidRDefault="0026452D" w:rsidP="0026452D">
      <w:pPr>
        <w:pStyle w:val="Extracto"/>
      </w:pPr>
    </w:p>
    <w:p w:rsidR="0026452D" w:rsidRDefault="0026452D" w:rsidP="0026452D">
      <w:pPr>
        <w:pStyle w:val="Extracto"/>
      </w:pPr>
      <w:r>
        <w:t>4.</w:t>
      </w:r>
      <w:r>
        <w:tab/>
        <w:t>Ni la modalidad para convocar y proveer los puestos de trabajo de Secretarios de Gobierno o para presentar las solicitudes por los aspirantes, ni el procedimiento, ni los diversos requisitos establecidos en la orden impugnada suponen limitación o condicionamiento formal o material alguno con respecto al derecho a formular propuesta de candidato que el art. 464.3 LOPJ reconoce a las Comunidades Autónomas que tuvieren competencias asumidas en materia de Administración de justicia, por lo que no afectan a las competencias ejecutivas de la Generalitat de Cataluña [FJ 6].</w:t>
      </w:r>
    </w:p>
    <w:p w:rsidR="0026452D" w:rsidRDefault="0026452D" w:rsidP="0026452D">
      <w:pPr>
        <w:pStyle w:val="Extracto"/>
      </w:pPr>
    </w:p>
    <w:p w:rsidR="0026452D" w:rsidRDefault="0026452D" w:rsidP="0026452D">
      <w:pPr>
        <w:pStyle w:val="Extracto"/>
      </w:pPr>
      <w:r>
        <w:t>5.</w:t>
      </w:r>
      <w:r>
        <w:tab/>
        <w:t xml:space="preserve">La participación de la Comunidad Autónoma de Cataluña en el procedimiento de nombramiento del Secretario de Gobierno del Tribunal Superior de Justicia de Cataluña que garantiza el art. 464.3 LOPJ se circunscribe a un derecho a formular propuesta de candidato a ocupar dicho puesto, lo que no incluye un derecho a convocarlo unilateralmente ni tampoco una potestad para establecer requisitos de </w:t>
      </w:r>
      <w:r>
        <w:lastRenderedPageBreak/>
        <w:t>acceso o los métodos de valoración de la idoneidad de los candidatos distintos o adicionales a los establecidos por el órgano estatal competente [FJ 6].</w:t>
      </w:r>
    </w:p>
    <w:p w:rsidR="0026452D" w:rsidRDefault="0026452D" w:rsidP="0026452D">
      <w:pPr>
        <w:pStyle w:val="Extracto"/>
      </w:pPr>
    </w:p>
    <w:p w:rsidR="0026452D" w:rsidRDefault="0026452D" w:rsidP="0026452D">
      <w:pPr>
        <w:pStyle w:val="Extracto"/>
      </w:pPr>
      <w:r>
        <w:t>6.</w:t>
      </w:r>
      <w:r>
        <w:tab/>
        <w:t>El hecho de que el Ministerio de Justicia haya establecido una convocatoria conjunta de todos los puestos de trabajo de Secretarios de Gobierno de los órganos jurisdiccionales y una presentación centralizada de las solicitudes de los aspirantes representa una opción legítima que no constituye restricción o menoscabo de la competencia autonómica en la materia [FJ 6].</w:t>
      </w:r>
    </w:p>
    <w:p w:rsidR="0026452D" w:rsidRDefault="0026452D" w:rsidP="0026452D">
      <w:pPr>
        <w:pStyle w:val="Extracto"/>
      </w:pPr>
    </w:p>
    <w:p w:rsidR="0026452D" w:rsidRDefault="0026452D" w:rsidP="0026452D">
      <w:pPr>
        <w:pStyle w:val="Extracto"/>
      </w:pPr>
      <w:r>
        <w:t>7.</w:t>
      </w:r>
      <w:r>
        <w:tab/>
        <w:t>La orden objeto del presente conflicto se limita a prever que la alegación y acreditación de méritos por los aspirantes, la elaboración de una memoria sobre el puesto al que aspiren y, en su caso, las entrevistas personales, son los instrumentos de que disponen las autoridades competentes para evaluar la idoneidad de los candidatos y para que, en consecuencia, las autoridades autonómicas competentes formulen su propuesta de candidato, lo que no afecta a las competencias ejecutivas de la Generalitat de Cataluña [FJ 6].</w:t>
      </w:r>
    </w:p>
    <w:p w:rsidR="0026452D" w:rsidRDefault="0026452D" w:rsidP="0026452D">
      <w:pPr>
        <w:pStyle w:val="Extracto"/>
      </w:pPr>
    </w:p>
    <w:p w:rsidR="0026452D" w:rsidRDefault="0026452D" w:rsidP="0026452D">
      <w:pPr>
        <w:pStyle w:val="Extracto"/>
      </w:pPr>
      <w:r>
        <w:t>8.</w:t>
      </w:r>
      <w:r>
        <w:tab/>
        <w:t xml:space="preserve">Doctrina constitucional sobre el </w:t>
      </w:r>
      <w:r w:rsidRPr="0026452D">
        <w:rPr>
          <w:i/>
        </w:rPr>
        <w:t>ius superveniens</w:t>
      </w:r>
      <w:r>
        <w:t xml:space="preserve"> (SSTC 179/1998, 33/2012)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5280-2004, promovido por el Gobierno de la Generalitat de Cataluña, contra la Orden JUS/1133/2004, de 5 de abril, por la que se convocan, para la provisión por el sistema de libre designación, y para el cuerpo de secretarios judiciales los puestos de trabajo de secretarios de gobierno del Tribunal Supremo, Audiencia Nacional, Tribunales Superiores de Justicia y ciudades de Ceuta y Melilla. Ha intervenido el Abogado del Estado. Ha sido Ponente la Magistrada doña Adela Asua Batarrita,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registrado el día 2 de septiembre de 2004, el Abogado de la Generalitat de Cataluña, en representación y defensa de su Gobierno, promovió conflicto positivo </w:t>
      </w:r>
      <w:r>
        <w:lastRenderedPageBreak/>
        <w:t>de competencia contra la resolución mencionada en el encabezamiento, publicada en el “Boletín Oficial del Estado” de 1 de mayo de 2004, y concretamente por el hecho de incluir entre las plazas convocadas la de Secretario de Gobierno del Tribunal Superior de Justicia de Cataluña (apartado I, número 11, del anexo). En dicho escrito se sostiene, en esencia, lo que a continuación se indica.</w:t>
      </w:r>
    </w:p>
    <w:p w:rsidR="0026452D" w:rsidRDefault="0026452D" w:rsidP="0026452D">
      <w:pPr>
        <w:pStyle w:val="TextoNormal"/>
      </w:pPr>
    </w:p>
    <w:p w:rsidR="0026452D" w:rsidRDefault="0026452D" w:rsidP="0026452D">
      <w:pPr>
        <w:pStyle w:val="TextoNormal"/>
      </w:pPr>
      <w:r>
        <w:t>a) La orden objeto de conflicto viene a dar cumplimiento al sistema que para la provisión de puestos de trabajo de los Secretarios de Gobierno de determinados órganos jurisdiccionales se establece en el art. 464 de la Ley Orgánica 19/2003, de 23 de diciembre, de modificación de la Ley Orgánica 6/1985, de 1 de julio, del Poder Judicial (LOPJ), modificación que ha sido objeto de un recurso de inconstitucionalidad por parte del Gobierno de dicha Comunidad Autónoma. Antes de entrar en el objeto del conflicto, el escrito efectúa un breve análisis del sistema de distribución de competencias entre el Estado y la Generalitat de Cataluña en materia de Administración de Justicia.</w:t>
      </w:r>
    </w:p>
    <w:p w:rsidR="0026452D" w:rsidRDefault="0026452D" w:rsidP="0026452D">
      <w:pPr>
        <w:pStyle w:val="TextoNormal"/>
      </w:pPr>
    </w:p>
    <w:p w:rsidR="0026452D" w:rsidRDefault="0026452D" w:rsidP="0026452D">
      <w:pPr>
        <w:pStyle w:val="TextoNormal"/>
      </w:pPr>
      <w:r>
        <w:t>b) Aunque el Estado ha mantenido el carácter nacional de los cuerpos de funcionarios al servicio de la Administración de Justicia, la Generalitat de Cataluña dispone de un título competencial en cuya virtud le corresponden todas las facultades que la Ley Orgánica del Poder Judicial reconoce o atribuye al Gobierno del Estado (art. 18.1 del Estatuto de Autonomía de Cataluña: EAC). Si bien el Tribunal Constitucional ha admitido la opción por un modelo que limita la virtualidad de dicho título competencial en el ámbito del estatuto y régimen jurídico del personal, tal limitación debería tener un carácter de excepción a la regla general. La excepción a la regla general debería ceñirse a los supuestos en los que la jurisprudencia constitucional ha admitido que la actuación estatal es necesaria para preservar el modelo de cuerpos nacionales por el que el legislador orgánico ha optado.</w:t>
      </w:r>
    </w:p>
    <w:p w:rsidR="0026452D" w:rsidRDefault="0026452D" w:rsidP="0026452D">
      <w:pPr>
        <w:pStyle w:val="TextoNormal"/>
      </w:pPr>
    </w:p>
    <w:p w:rsidR="0026452D" w:rsidRDefault="0026452D" w:rsidP="0026452D">
      <w:pPr>
        <w:pStyle w:val="TextoNormal"/>
      </w:pPr>
      <w:r>
        <w:t>c) Los Secretarios Judiciales constituyen un cuerpo superior jurídico, único y de carácter nacional (art. 440 LOPJ, en la redacción de la Ley Orgánica 19/2003). La nueva regulación de dicho cuerpo (libro V) se ha desgajado del libro relativo a los cuerpos de funcionarios al servicio de la Administración de Justicia y de otro personal (libro VI). La sistemática anteriormente vigente era más coherente con el art. 122.1 CE, que reserva a la Ley Orgánica del Poder Judicial la regulación del estatuto jurídico de los Jueces y Magistrados y “el del personal al servicio de la Administración de Justicia”. Además, la nueva regulación contiene una diferencia de tratamiento de los secretarios judiciales con respecto al resto del personal al servicio de la Administración de Justicia. Con ello, el legislador pretende impedir el juego de la cláusula subrogatoria en relación con los secretarios judiciales. Por importantes que sean las funciones que la Ley Orgánica 19/2003 asigna a ese cuerpo y pese a que no se niega la trascendencia que dichas funciones tienen en el ejercicio de la función jurisdiccional, lo cierto es que el cuerpo de secretarios de la Administración de Justicia no tiene asignada constitucionalmente dicha función, y, por ello, las funciones asignadas no pueden conducir a la inclusión de su estatuto y régimen jurídico en el ámbito de la Administración de Justicia en sentido estricto. En rigor, los secretarios judiciales son únicamente, pese a la importancia de sus funciones, personal de asistencia en la función jurisdiccional que constitucionalmente está atribuida de forma exclusiva a Jueces y Magistrados.</w:t>
      </w:r>
    </w:p>
    <w:p w:rsidR="0026452D" w:rsidRDefault="0026452D" w:rsidP="0026452D">
      <w:pPr>
        <w:pStyle w:val="TextoNormal"/>
      </w:pPr>
    </w:p>
    <w:p w:rsidR="0026452D" w:rsidRDefault="0026452D" w:rsidP="0026452D">
      <w:pPr>
        <w:pStyle w:val="TextoNormal"/>
      </w:pPr>
      <w:r>
        <w:t xml:space="preserve">En definitiva, pese a la sistemática de la Ley Orgánica, a la intencionalidad de política legislativa que subyace y a las competencias atribuidas a los secretarios judiciales, lo que se refiere al estatuto orgánico y a la carrera administrativa de los secretarios de justicia debe </w:t>
      </w:r>
      <w:r>
        <w:lastRenderedPageBreak/>
        <w:t>incluirse en la materia relativa a la administración de la Administración de Justicia, en la que la Generalitat tiene atribuidas las competencia que le reconoce el Estatuto de Autonomía de Cataluña. En virtud de la cláusula subrogatoria deben entenderse atribuidas a la Generalitat de Cataluña las facultades atribuidas al Gobierno del Estado excepto en aquellos casos, que deben ser la excepción, en que por la naturaleza o con el objetivo de preservar la eficacia de las opciones normativas adoptadas por el legislador orgánico se requiera un tratamiento unitario y uniforme. Pues bien, la Ley Orgánica 19/2003 opta por hacer depender a los secretarios judiciales del Ministerio de Justicia e impedir el ejercicio de competencias autonómicas, lo que supone una vulneración del art. 18.1 EAC.</w:t>
      </w:r>
    </w:p>
    <w:p w:rsidR="0026452D" w:rsidRDefault="0026452D" w:rsidP="0026452D">
      <w:pPr>
        <w:pStyle w:val="TextoNormal"/>
      </w:pPr>
    </w:p>
    <w:p w:rsidR="0026452D" w:rsidRDefault="0026452D" w:rsidP="0026452D">
      <w:pPr>
        <w:pStyle w:val="TextoNormal"/>
      </w:pPr>
      <w:r>
        <w:t>El carácter nacional del cuerpo de secretarios judiciales, que comparte con los otros cuerpos de funcionarios al servicio de la Administración de Justicia, no justifica que el legislador estatal atribuya al Gobierno y al Ministro de Justicia facultades que para los otros cuerpos han sido atribuidas a las Comunidades Autónomas que han asumido competencias en el ámbito de la Administración de Justicia.</w:t>
      </w:r>
    </w:p>
    <w:p w:rsidR="0026452D" w:rsidRDefault="0026452D" w:rsidP="0026452D">
      <w:pPr>
        <w:pStyle w:val="TextoNormal"/>
      </w:pPr>
    </w:p>
    <w:p w:rsidR="0026452D" w:rsidRDefault="0026452D" w:rsidP="0026452D">
      <w:pPr>
        <w:pStyle w:val="TextoNormal"/>
      </w:pPr>
      <w:r>
        <w:t>d) El análisis de constitucionalidad de la STC 56/1990, de 29 de marzo, afectaba al conjunto del personal al servicio de la Administración de Justicia, y la operatividad de la cláusula subrogatoria se hace depender del carácter supraautonómico de las concretas facultades que se atribuyen [FJ 11 a)] y no del tipo de personal de que se trate (secretarios judiciales, médicos forenses, oficiales, auxiliares y agentes). Aunque las funciones en materia de secretarios judiciales no han sido objeto de traspaso a la Generalitat y tampoco se ha modificado el reglamento orgánico de dicho cuerpo para articular el ejercicio de las competencias autonómicas con aquellas facultades que deben reservarse al Estado, a diferencia de lo sucedido con el resto de personal al servicio de la Administración de Justicia que presta servicio en órganos de Cataluña, ello es simplemente imputable a la nula voluntad política del Gobierno del Estado y no a impedimento alguno del bloque de constitucionalidad, de la doctrina constitucional o de la propia Ley Orgánica del Poder Judicial. La falta de efectividad de los traspasos no debe comportar que el Estado siga asumiendo, aunque sea provisionalmente, la función de convocar y establecer el procedimiento, los méritos y los elementos de juicio para la designación del Secretario de Gobierno del Tribunal Superior de Justicia de Cataluña puesto que, pese al retraso en el cumplimiento de las transferencias, la propia Ley Orgánica del Poder Judicial reconoce que el nombramiento debe hacerse a propuesta de la Comunidad Autónoma.</w:t>
      </w:r>
    </w:p>
    <w:p w:rsidR="0026452D" w:rsidRDefault="0026452D" w:rsidP="0026452D">
      <w:pPr>
        <w:pStyle w:val="TextoNormal"/>
      </w:pPr>
    </w:p>
    <w:p w:rsidR="0026452D" w:rsidRDefault="0026452D" w:rsidP="0026452D">
      <w:pPr>
        <w:pStyle w:val="TextoNormal"/>
      </w:pPr>
      <w:r>
        <w:t>e) No existen argumentos, dadas las funciones que se atribuyen a los secretarios judiciales, u otros aspectos organizativos, que exijan que, en la provisión de puestos de trabajo de secretarios judiciales a través del procedimiento de libre designación (art. 450.1 LOPJ), que es el que desarrolla la Orden JUS/1133/2003, de 5 de abril, la participación de las Comunidades Autónomas deba limitarse al informe previo. El art. 464.3 LOPJ, que es objeto de desarrollo por la Orden JUS/1133/2004, de 5 de abril, determina que el nombramiento del Secretario de Gobierno del Tribunal Superior de Justicia corresponde al Ministro de Justicia, a propuesta del órgano competente de la Comunidad Autónoma. Asimismo, el art. 465.3 LOPJ prevé que los secretarios de gobierno propondrán al Ministerio de Justicia el nombramiento de los secretarios judiciales de libre designación en su ámbito territorial, así como su cese cuando éste proceda, sin que se reconozca, en este caso, participación alguna a la Comunidad Autónoma.</w:t>
      </w:r>
    </w:p>
    <w:p w:rsidR="0026452D" w:rsidRDefault="0026452D" w:rsidP="0026452D">
      <w:pPr>
        <w:pStyle w:val="TextoNormal"/>
      </w:pPr>
    </w:p>
    <w:p w:rsidR="0026452D" w:rsidRDefault="0026452D" w:rsidP="0026452D">
      <w:pPr>
        <w:pStyle w:val="TextoNormal"/>
      </w:pPr>
      <w:r>
        <w:lastRenderedPageBreak/>
        <w:t>Lo anterior supone inaplicar la cláusula subrogatoria y desconocer la competencia de las Comunidades Autónomas para efectuar el acto de ejecución que comporta la convocatoria del procedimiento de provisión de unas plazas de secretarios judiciales para puestos de trabajo radicados en su ámbito territorial. Criterio que no es el seguido para los otros cuerpos de funcionarios al servicio de la Administración de Justicia que son también cuerpos nacionales.</w:t>
      </w:r>
    </w:p>
    <w:p w:rsidR="0026452D" w:rsidRDefault="0026452D" w:rsidP="0026452D">
      <w:pPr>
        <w:pStyle w:val="TextoNormal"/>
      </w:pPr>
    </w:p>
    <w:p w:rsidR="0026452D" w:rsidRDefault="0026452D" w:rsidP="0026452D">
      <w:pPr>
        <w:pStyle w:val="TextoNormal"/>
      </w:pPr>
      <w:r>
        <w:t>En definitiva, en relación con los puestos de libre designación, que es el procedimiento que corresponde, de acuerdo con la Ley Orgánica 19/2003, para la designación de los Secretarios de Gobierno de los Tribunales Superiores de Justicia, la provisión del puesto debe corresponder a las Comunidades Autónomas, con exclusión del Ministerio de Justicia, dado que, no habiendo dimensión supraautonómica, así lo impone la cláusula subrogatoria.</w:t>
      </w:r>
    </w:p>
    <w:p w:rsidR="0026452D" w:rsidRDefault="0026452D" w:rsidP="0026452D">
      <w:pPr>
        <w:pStyle w:val="TextoNormal"/>
      </w:pPr>
    </w:p>
    <w:p w:rsidR="0026452D" w:rsidRDefault="0026452D" w:rsidP="0026452D">
      <w:pPr>
        <w:pStyle w:val="TextoNormal"/>
      </w:pPr>
      <w:r>
        <w:t>f) La Orden JUS/1133/2004, de 5 de abril, que se dicta en aplicación del art. 464 de la Ley Orgánica 19/2003, no sólo prevé que la adjudicación de, entre otras, la plaza de Secretario de Gobierno del Tribunal Superior de Justicia de Cataluña se efectuará mediante orden del Ministro de Justicia —lo cual ya comporta una lesión de las competencias de Cataluña y, por ello, aquel precepto, junto a otros, fue objeto del recurso de inconstitucionalidad planteado por el Gobierno de la Generalitat contra la Ley Orgánica 19/2003— sino que va más allá y determina el procedimiento y los méritos y elementos de juicio que se tendrán en cuenta para formular la propuesta. El art. 464 de la Ley Orgánica 19/2003, se limita a indicar que el nombramiento se realiza a propuesta de las Comunidades Autónomas con competencias en materia de justicia y, por ello, debe entenderse que la convocatoria y la determinación de sus elementos se efectuará por éstas. Pese a ello, la Orden JUS/1133/2004 asume ella misma esta función, al establecer el plazo y lugar de presentación de las solicitudes, la documentación que debe acompañarse a las mismas y los métodos que permiten evaluar la idoneidad de los candidatos.</w:t>
      </w:r>
    </w:p>
    <w:p w:rsidR="0026452D" w:rsidRDefault="0026452D" w:rsidP="0026452D">
      <w:pPr>
        <w:pStyle w:val="TextoNormal"/>
      </w:pPr>
    </w:p>
    <w:p w:rsidR="0026452D" w:rsidRDefault="0026452D" w:rsidP="0026452D">
      <w:pPr>
        <w:pStyle w:val="TextoNormal"/>
      </w:pPr>
      <w:r>
        <w:t>Es cierto que la Ley Orgánica del Poder Judicial no establece de forma expresa que el procedimiento previo a la designación, que deberá realizarse a propuesta de la Comunidad Autónoma, deba efectuarse necesariamente previa convocatoria de la plaza a través de orden del Ministro de Justicia. Pero junto a esta interpretación, posible a partir de la literalidad del art. 450.1 LOPJ, existe otra interpretación, menos restrictiva para con la cláusula subrogatoria, de las competencias de las Comunidades Autónomas. En consecuencia, con la aprobación de esta orden se atribuyen al Ministerio de Justicia funciones ejecutivas que deberían corresponder a las Comunidades Autónomas en aplicación de la cláusula subrogatoria.</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6 de octubre de 2004 la Sección Tercera de este Tribunal acordó admitir a trámite el conflicto positivo de competencia promovido por el Gobierno de la Generalitat de Cataluña, dar traslado de la demanda y documentos presentados al Gobierno del Estado, al objeto de que en el plazo de veinte días alegara cuanto considerase conveniente. La incoación del conflicto fue publicada en el “Boletín Oficial del Estado” de 26 de octubre de 2004.</w:t>
      </w:r>
    </w:p>
    <w:p w:rsidR="0026452D" w:rsidRDefault="0026452D" w:rsidP="0026452D">
      <w:pPr>
        <w:pStyle w:val="TextoNormal"/>
      </w:pPr>
    </w:p>
    <w:p w:rsidR="0026452D" w:rsidRDefault="0026452D" w:rsidP="0026452D">
      <w:pPr>
        <w:pStyle w:val="TextoNormal"/>
      </w:pPr>
      <w:r w:rsidRPr="0026452D">
        <w:rPr>
          <w:rStyle w:val="NumeroAFNegritaCaracter"/>
        </w:rPr>
        <w:t>3</w:t>
      </w:r>
      <w:r>
        <w:t>. Mediante escrito presentado en el Registro General de este Tribunal Constitucional el 3 de noviembre de 2004 el Abogado del Estado se personó en este proceso constitucional para efectuar las alegaciones que a continuación se exponen.</w:t>
      </w:r>
    </w:p>
    <w:p w:rsidR="0026452D" w:rsidRDefault="0026452D" w:rsidP="0026452D">
      <w:pPr>
        <w:pStyle w:val="TextoNormal"/>
      </w:pPr>
    </w:p>
    <w:p w:rsidR="0026452D" w:rsidRDefault="0026452D" w:rsidP="0026452D">
      <w:pPr>
        <w:pStyle w:val="TextoNormal"/>
      </w:pPr>
      <w:r>
        <w:lastRenderedPageBreak/>
        <w:t>a) El escrito comienza con algunas puntualizaciones. Se señala que el presente conflicto se ciñe en exclusiva al apartado I.11 del anexo de la Orden JUS/1133/2004, de 5 de abril, que tiene naturaleza, no de disposición, sino de acto administrativo; y que el conflicto de competencia depende claramente del recurso de inconstitucionalidad núm. 1933-2004, en el que el máximo órgano ejecutivo de la Generalitat catalana recurrió —entre otros— los arts. 450.1 y 464.3 LOPJ, en la versión dada por la Ley Orgánica 19/2003, de 23 de diciembre. Si el art. 464.3 LOPJ no fuera conforme a la Constitución y al Estatuto catalán, razona el Abogado del Estado, sería ociosa toda consideración relativa a la orden sobre la que se ha trabado el conflicto, que se convertiría en mero acto aplicativo de una norma inconstitucional. Con todo, para completar las alegaciones del Abogado del Estado en el mencionado recurso 1933-2004, se dedica cierto espacio a la nueva configuración de los secretarios judiciales y del cuerpo nacional que los reúne, que, tal vez, se señala, sirva para iluminar la decisión legislativa plasmada en el nuevo libro V de la Ley Orgánica del Poder Judicial, “De los secretarios judiciales y de la oficina judicial”. Y con carácter previo se destacan algunos pasajes especialmente importantes de la STC 56/1990, de 29 de marzo, FFJJ 9, 10 y 11, cuya doctrina ha sido reafirmada por la STC 105/2000, de 13 de abril, FJ 5.</w:t>
      </w:r>
    </w:p>
    <w:p w:rsidR="0026452D" w:rsidRDefault="0026452D" w:rsidP="0026452D">
      <w:pPr>
        <w:pStyle w:val="TextoNormal"/>
      </w:pPr>
    </w:p>
    <w:p w:rsidR="0026452D" w:rsidRDefault="0026452D" w:rsidP="0026452D">
      <w:pPr>
        <w:pStyle w:val="TextoNormal"/>
      </w:pPr>
      <w:r>
        <w:t xml:space="preserve">b) Entrando ya en la doctrina constitucional sobre la delimitación competencial en la materia, se alude en primer lugar a la singular posición de la Ley Orgánica del Poder Judicial. En el régimen constitucional de distribución de competencias entre el Estado y las Comunidades Autónomas, la Ley Orgánica del Poder Judicial ha sido colocada por el constituyente en una singular posición de preeminencia, según cabe deducir de la lectura combinada del art. 122.1 y 152.1, segundo párrafo </w:t>
      </w:r>
      <w:r w:rsidRPr="0026452D">
        <w:rPr>
          <w:i/>
        </w:rPr>
        <w:t>in fine</w:t>
      </w:r>
      <w:r>
        <w:t xml:space="preserve"> CE (“todo ello de conformidad con lo previsto en la Ley Orgánica del Poder Judicial”). La participación de las Comunidades Autónomas del art. 152 CE en “la organización de las demarcaciones judiciales del territorio” queda supeditada a lo que disponga la Ley Orgánica del Poder Judicial. Y a esta ley orgánica corresponde determinar (“determinará”) el “estatuto jurídico” no sólo de los Jueces y Magistrados sino del llamado “personal al servicio de la Administración de Justicia”.</w:t>
      </w:r>
    </w:p>
    <w:p w:rsidR="0026452D" w:rsidRDefault="0026452D" w:rsidP="0026452D">
      <w:pPr>
        <w:pStyle w:val="TextoNormal"/>
      </w:pPr>
    </w:p>
    <w:p w:rsidR="0026452D" w:rsidRDefault="0026452D" w:rsidP="0026452D">
      <w:pPr>
        <w:pStyle w:val="TextoNormal"/>
      </w:pPr>
      <w:r>
        <w:t>La posición preeminente de la Ley Orgánica del Poder Judicial es capital para dar el correcto alcance a las cláusulas subrogatorias contenidas en los Estatutos de Autonomía, tal como el art. 18.1 EAC, portador de la competencia que la parte contraria considera lesionada. Esta peculiar técnica para asumir competencias autonómicas ha de partir de la previa configuración que del personal al servicio de la Administración de Justicia efectúe el legislador orgánico, toda vez que la llamada cláusula subrogatoria entraña una “competencia por remisión” (STC 56/1990, de 8 de mayo, FJ 6). En consecuencia, “ante el mandato constitucional, las cláusulas estatutarias atributivas de competencias a las respectivas Comunidades Autónomas no podrán implicar que se prive al legislador orgánico de la ‘determinación del estatuto de personal’ de que se trate, ni que se vacíe de contenido a los preceptos al respecto de la LOPJ. La eficacia de las cláusulas subrogatorias de los Estatutos, por consiguiente, operará en tanto no afecten al ámbito reservado a la regulación orgánica, es decir, en tanto no alteren los elementos allí contenidos que puedan reputarse definitorios y esenciales del estatuto del personal” (STC 56/1990, FJ 10).</w:t>
      </w:r>
    </w:p>
    <w:p w:rsidR="0026452D" w:rsidRDefault="0026452D" w:rsidP="0026452D">
      <w:pPr>
        <w:pStyle w:val="TextoNormal"/>
      </w:pPr>
    </w:p>
    <w:p w:rsidR="0026452D" w:rsidRDefault="0026452D" w:rsidP="0026452D">
      <w:pPr>
        <w:pStyle w:val="TextoNormal"/>
      </w:pPr>
      <w:r>
        <w:t xml:space="preserve">Seguidamente el Abogado del Estado se refiere a los límites de la subrogación autonómica en la doctrina constitucional. El Tribunal Constitucional ha declarado, sin margen para la duda, que es conforme a la Constitución la integración del personal al servicio de la Administración de Justicia en Cuerpos nacionales (SSTC 56/1990, FJ 10; y 105/2000, FJ 5). </w:t>
      </w:r>
      <w:r>
        <w:lastRenderedPageBreak/>
        <w:t>“Su consideración como Cuerpos nacionales, y el establecimiento de un régimen común aparecen así como la técnica adoptada por el legislador orgánico para garantizar en forma homogénea, en todas las Comunidades Autónomas, los derechos de los ciudadanos en sus relaciones con la Administración de Justicia” (STC 56/1990, FJ 10).</w:t>
      </w:r>
    </w:p>
    <w:p w:rsidR="0026452D" w:rsidRDefault="0026452D" w:rsidP="0026452D">
      <w:pPr>
        <w:pStyle w:val="TextoNormal"/>
      </w:pPr>
    </w:p>
    <w:p w:rsidR="0026452D" w:rsidRDefault="0026452D" w:rsidP="0026452D">
      <w:pPr>
        <w:pStyle w:val="TextoNormal"/>
      </w:pPr>
      <w:r>
        <w:t>Ahora bien, la exigencia de homogeneidad inherente al cuerpo nacional “supone, no sólo unos elementos normativos materiales comunes, sino también, y para garantizar la existencia de un efectivo régimen homogéneo, la reserva a unas instancias comunes de aquellas actuaciones que, aun siendo típicamente ejecutivas, pueden afectar en forma decisiva a elementos esenciales del estatuto de los funcionarios integrados en los cuerpos nacionales al servicio de la Administración de Justicia”, por lo que resultan excluidas de las cláusulas subrogatorias las atribuciones que la Ley Orgánica del Poder Judicial reserva al Gobierno (dentro del cual queda incluido su departamento de Justicia) “para mantener el carácter propio de Cuerpo nacional” (STC 56/1990, FJ 10). La cláusula subrogatoria a favor de las Comunidades Autónomas solo operará “respecto de todas aquellas atribuciones encomendadas al ejecutivo estatal que no resulten imprescindibles o esenciales para el mantenimiento del carácter de Cuerpo nacional”.</w:t>
      </w:r>
    </w:p>
    <w:p w:rsidR="0026452D" w:rsidRDefault="0026452D" w:rsidP="0026452D">
      <w:pPr>
        <w:pStyle w:val="TextoNormal"/>
      </w:pPr>
    </w:p>
    <w:p w:rsidR="0026452D" w:rsidRDefault="0026452D" w:rsidP="0026452D">
      <w:pPr>
        <w:pStyle w:val="TextoNormal"/>
      </w:pPr>
      <w:r>
        <w:t>La STC 105/2000, de 13 de abril, FJ 5, insiste en esta línea, pero además introduce un nuevo matiz importante: “[L]a necesaria existencia de un núcleo homogéneo en el régimen jurídico del personal al servicio de la Administración de Justicia … justifica la reserva a unas instancias comunes de aquellas materias que puedan afectar en forma decisiva a elementos esenciales del estatuto de dicho personal, tal y como haya sido configurado en cada momento por la LOPJ”. Quiere ello decir que debe atenderse ante todo a lo que, en cada tiempo, haya considerado “elemento esencial” el legislador orgánico en el servicio a la Administración de Justicia. Por ello, la conclusión del fundamento jurídico 5 de la STC 105/2000, es que “las competencias respecto de todo el personal al servicio de la Administración de Justicia corresponden al Ministerio de Justicia en todas las materias relativas a su estatuto y régimen jurídico, así como a las Comunidades Autónomas en todas aquellas materias que puedan ser asumidas por ellas en virtud de las cláusulas subrogatorias, con el alcance anteriormente indicado, o de otro título constitucionalmente válido, bien entendido que “los criterios en función de los cuales habría de negarse o afirmarse la operatividad de las cláusulas subrogatorias tendrían que ser individualizados en función de cuáles fueran las concretas materias respecto de las que se plantease, en el momento oportuno, la cuestión”.</w:t>
      </w:r>
    </w:p>
    <w:p w:rsidR="0026452D" w:rsidRDefault="0026452D" w:rsidP="0026452D">
      <w:pPr>
        <w:pStyle w:val="TextoNormal"/>
      </w:pPr>
    </w:p>
    <w:p w:rsidR="0026452D" w:rsidRDefault="0026452D" w:rsidP="0026452D">
      <w:pPr>
        <w:pStyle w:val="TextoNormal"/>
      </w:pPr>
      <w:r>
        <w:t xml:space="preserve">Para completar la síntesis de la doctrina constitucional se analiza por último la cuestión de la provisión de destinos. El Abogado del Estado advierte que la doctrina sobre la distribución de competencias en materia de provisión de destinos establecida en el fundamento jurídico 11 a) de la STC 56/1990 se fija a la vista de una determinada configuración de los cuerpos de funcionarios al servicio de la Administración de Justicia en el originario texto de la Ley Orgánica del Poder Judicial, configuración muy cambiada para los secretarios judiciales por la Ley Orgánica 19/2003. Por ello, examina la regulación de los secretarios judiciales en la reforma de la Ley Orgánica del Poder Judicial por la Ley Orgánica 19/2003, y en particular la de los secretarios de gobierno, puesto que el presente conflicto se traba a propósito de la convocatoria del puesto de Secretario de Gobierno del Tribunal Superior de Justicia de Cataluña. En la exposición de motivos de la Ley Orgánica 19/2003, VII, podemos leer que “la figura del secretario judicial ... se convierte en una de las claves de la actual reforma. No sólo se definen con mayor precisión sus funciones, sino que se le atribuyen </w:t>
      </w:r>
      <w:r>
        <w:lastRenderedPageBreak/>
        <w:t>otras, potenciando así sus capacidades profesionales”. El cuerpo de secretarios recibe una “nueva configuración orgánica”, y dentro de ella “se dota de una nueva definición al Secretario de Gobierno de los Tribunales Superiores de Justicia y se crea la figura del Secretario Coordinador Provincial, ambos con importantes competencias en relación con los Secretarios Judiciales de ellos dependientes”.</w:t>
      </w:r>
    </w:p>
    <w:p w:rsidR="0026452D" w:rsidRDefault="0026452D" w:rsidP="0026452D">
      <w:pPr>
        <w:pStyle w:val="TextoNormal"/>
      </w:pPr>
    </w:p>
    <w:p w:rsidR="0026452D" w:rsidRDefault="0026452D" w:rsidP="0026452D">
      <w:pPr>
        <w:pStyle w:val="TextoNormal"/>
      </w:pPr>
      <w:r>
        <w:t>Según el art. 440 LOPJ, “los secretarios judiciales son funcionarios públicos que constituyen un Cuerpo Superior Jurídico, único, de carácter nacional, al servicio de la Administración de Justicia, dependiente del Ministerio de Justicia, y que ejercen sus funciones con el carácter de autoridad”. Las funciones secretariales no se ciñen a las tradicionales y exclusivas del ejercicio de la fe pública judicial (art. 453 LOPJ), sino que añade a ellas las de impulso procesal (art. 456.1 y 2) y, además, las que atribuyan las leyes procesales en “la ejecución”, la “jurisdicción voluntaria”, las “conciliaciones” y otras no especificadas (art. 456.3 LOPJ). El art. 456.4 LOPJ denomina decreto a las resoluciones que dicte el secretario “con el fin de poner término al procedimiento en que tenga atribuida exclusiva competencia”. Además los secretarios son directores técnico-procesales de la oficina judicial (art. 457 LOPJ); responsables del archivo judicial de gestión (art. 458.1 LOPJ), de la llevanza de libros registro (art. 458.4 LOPJ) y del depósito de bienes, objetos, piezas de convicción, cantidades y valores (art. 459 LOPJ); y, en fin, colaboradores en la gestión tributaria (art. 460 LOPJ) y en la estadística judicial (art. 461 LOPJ). Como puede verse, el secretario es, al tiempo, fedatario, director técnico-procesal de la oficina judicial y, lo que ahora importa subrayar, quien decide o calificadamente coopera con Jueces y Magistrados en la ejecución de lo juzgado, en los procedimientos de la llamada jurisdicción voluntaria para garantía de los derechos (art. 117.4 CE) y en los procedimientos para evitar litigios (conciliaciones). La Ley Orgánica 19/2003 señala el momento en que el secretario judicial comienza a participar o cooperar en aspectos que o bien están dentro de la potestad jurisdiccional (ejecución) o han estado judicializados largo tiempo (jurisdicción voluntaria, conciliación).</w:t>
      </w:r>
    </w:p>
    <w:p w:rsidR="0026452D" w:rsidRDefault="0026452D" w:rsidP="0026452D">
      <w:pPr>
        <w:pStyle w:val="TextoNormal"/>
      </w:pPr>
    </w:p>
    <w:p w:rsidR="0026452D" w:rsidRDefault="0026452D" w:rsidP="0026452D">
      <w:pPr>
        <w:pStyle w:val="TextoNormal"/>
      </w:pPr>
      <w:r>
        <w:t>En este contexto de crecida importancia de los secretarios judiciales, los Secretarios de Gobierno se convierten en órganos superiores jerárquicos [arts. 463.2 a) y 464.2 LOPJ] y se les atribuye “la dirección de los secretarios judiciales que prestan sus servicios en las oficinas judiciales dependientes de dichos Tribunales [Tribunal Supremo, Audiencia Nacional, Tribunales Superiores de Justicia] y en las ciudades de Ceuta y Melilla”, para lo que ejercerán las competencias que les atribuya la Ley Orgánica del Poder Judicial y las que reglamentariamente se establezcan (art. 464.2 LOPJ). Las vastas e importantes competencias de los secretarios de gobierno aparecen enunciadas en el art. 465 LOPJ, destacando especialmente las de inspección, las disciplinarias, las de propuesta (al Ministerio y a las Comunidades Autónomas) y, en fin, las de dirección de los secretarios que de él dependen, a los que puede impartir instrucciones y cursar circulares en los términos de los apartados 6 y 8 del art. 465. La posición del secretario de gobierno dentro de las Salas gubernativas queda muy reforzada. Las Salas de Gobierno han de reunirse cuando lo pida el Secretario de Gobierno “a fin de tratar cuestiones que afecten a oficinas judiciales o a secretarios judiciales que de él dependen” (art. 153.1 LOPJ); y en estas materias se confiere voto al Secretario (art. 152.12 LOPJ). Por último, en el Ministerio de Justicia se crea un órgano cuyo titular se denominará Secretario General de la Administración de Justicia para dirigir y coordinar a los Secretarios de Gobierno y a los demás secretarios judiciales (disposición adicional novena LOPJ), signo evidente de que la necesaria homogeneidad que el legislador se propone conseguir en el desempeño de las funciones secretariales.</w:t>
      </w:r>
    </w:p>
    <w:p w:rsidR="0026452D" w:rsidRDefault="0026452D" w:rsidP="0026452D">
      <w:pPr>
        <w:pStyle w:val="TextoNormal"/>
      </w:pPr>
    </w:p>
    <w:p w:rsidR="0026452D" w:rsidRDefault="0026452D" w:rsidP="0026452D">
      <w:pPr>
        <w:pStyle w:val="TextoNormal"/>
      </w:pPr>
      <w:r>
        <w:t>El nombramiento y remoción de los secretarios de gobierno aparece regulado en el art. 464.3 LOPJ como competencia con posible ejercicio en colaboración estatal y autonómica. Corresponde al Ministerio de Justicia nombrar y remover, pero a las Comunidades Autónomas “con competencias asumidas en materia de Administración de Justicia” les compete la propuesta de nombramiento y “también podrán proponer su cese”. Sin duda ha pesado en esta configuración del supuesto el fundamento jurídico 11 a) de la STC 56/1990, en el que se habla de la “necesaria colaboración” entre el Ministerio y las Comunidades Autónomas.</w:t>
      </w:r>
    </w:p>
    <w:p w:rsidR="0026452D" w:rsidRDefault="0026452D" w:rsidP="0026452D">
      <w:pPr>
        <w:pStyle w:val="TextoNormal"/>
      </w:pPr>
    </w:p>
    <w:p w:rsidR="0026452D" w:rsidRDefault="0026452D" w:rsidP="0026452D">
      <w:pPr>
        <w:pStyle w:val="TextoNormal"/>
      </w:pPr>
      <w:r>
        <w:t>De acuerdo con la doctrina constitucional antes expuesta hay más que sobradas razones para defender que todo lo concerniente al nombramiento y cese de los Secretarios de Gobierno ha de corresponder al Estado y, en consecuencia, no puede pretenderse que tales nombramiento y cese queden atraídos a la competencia autonómica en virtud de una cláusula subrogatoria como la del art. 18.1 EAC. Los secretarios de gobierno han pasado a ser un elemento esencial en la dirección del secretariado judicial y, por ende, un elemento esencial para mantener el carácter propio del cuerpo nacional, por emplear las palabras de la STC 56/1990, FJ 10. Aunque designados por un departamento del Poder Ejecutivo (Ministerio de Justicia), los secretarios de gobierno se han convertido en expresión de un cierto grado de autogobierno que el legislador orgánico ha concedido al secretariado judicial, pues la reforma de la Ley Orgánica del Poder Judicial por la Ley Orgánica 19/2003 descentraliza en aquellos un importante poder directivo —con facultad de impartir instrucciones y cursar circulares— así como potestades inspectoras y disciplinarias [sin olvidar que unas y otras quedan reservadas al Estado con arreglo a lo razonado en el fundamento jurídico 11 b) de la STC 56/1990]. Al propio tiempo son los intermediarios entre el secretariado y el Ministerio de Justicia y las Comunidades Autónomas competentes, a la vista de cómo ha configurado el legislador las competencias de propuesta en los apartados 3 y 7 del art. 465 LOPJ. Por la importancia de sus competencias y por ser libre su designación, es obvio que ni el Estado ni las Comunidades Autónomas pueden quedar excluidos del nombramiento o cese de los secretarios de gobierno, pues su actuación afecta a ambas esferas de competencia. Los secretarios de gobierno se han convertido, pues, en un elemento clave para dirigir un secretariado judicial con funciones acrecidas —algunas de las cuales inciden en la ejecución de lo juzgado y en la garantía de los derechos— y que ha pasado a ser pieza esencial de la Administración de Justicia. Si la competencia ejecutiva relativa a los ascensos de los Secretarios pertenece al Estado y no entra en la cláusula subrogatoria [STC 56/1990, FJ 11 a) párrafo tercero, último inciso], mayor razón hay para que el legislador reserve al Ministro de Justicia el nombramiento y remoción de los máximos directivos del secretariado judicial, como son los secretarios de gobierno.</w:t>
      </w:r>
    </w:p>
    <w:p w:rsidR="0026452D" w:rsidRDefault="0026452D" w:rsidP="0026452D">
      <w:pPr>
        <w:pStyle w:val="TextoNormal"/>
      </w:pPr>
    </w:p>
    <w:p w:rsidR="0026452D" w:rsidRDefault="0026452D" w:rsidP="0026452D">
      <w:pPr>
        <w:pStyle w:val="TextoNormal"/>
      </w:pPr>
      <w:r>
        <w:t>Por todo ello, se concluye la constitucionalidad del art. 464.3 LOPJ, en su redacción por la Ley Orgánica 19/2003, que se acomoda perfectamente a las pautas contenidas en los fundamentos jurídicos 10 y 11 a) de la STC 56/1990 y al fundamento jurídico 5 de la STC 105/2000.</w:t>
      </w:r>
    </w:p>
    <w:p w:rsidR="0026452D" w:rsidRDefault="0026452D" w:rsidP="0026452D">
      <w:pPr>
        <w:pStyle w:val="TextoNormal"/>
      </w:pPr>
    </w:p>
    <w:p w:rsidR="0026452D" w:rsidRDefault="0026452D" w:rsidP="0026452D">
      <w:pPr>
        <w:pStyle w:val="TextoNormal"/>
      </w:pPr>
      <w:r>
        <w:t xml:space="preserve">c) Sentado lo anterior, el Abogado del Estado entra a examinar la Orden JUS/1133/2004, de 5 de abril. Señala que la demanda no distingue con claridad entre el reproche de inconstitucionalidad al art. 464.3 LOPJ y el vicio propio de incompetencia atribuido a la Orden JUS/1133/2004. En la medida en que sólo se impute a la citada orden ser exacta aplicación del art. 464.3 LOPJ (y por tanto participar de la pretendida inconstitucionalidad de este </w:t>
      </w:r>
      <w:r>
        <w:lastRenderedPageBreak/>
        <w:t>precepto legal), basta con remitirse a la alegación anterior. Pero en el fundamento V de la demanda parece advertirse que, según la parte adversa, la convocatoria efectuada por la Orden JUS/1133/2004 va más allá del art. 464.3 LOPJ, al interpretarlo de manera aún más lesiva para la pretendida competencia autonómica del art. 18.1 EAC.</w:t>
      </w:r>
    </w:p>
    <w:p w:rsidR="0026452D" w:rsidRDefault="0026452D" w:rsidP="0026452D">
      <w:pPr>
        <w:pStyle w:val="TextoNormal"/>
      </w:pPr>
    </w:p>
    <w:p w:rsidR="0026452D" w:rsidRDefault="0026452D" w:rsidP="0026452D">
      <w:pPr>
        <w:pStyle w:val="TextoNormal"/>
      </w:pPr>
      <w:r>
        <w:t>Si la competencia de nombramiento de los secretarios de gobierno, mediante el sistema de libre designación, corresponde al Ministerio de Justicia, es obvio que la convocatoria para tal nombramiento ha de corresponder también a este Departamento, a falta de una regla precisa que la atribuya a la Comunidad Autónoma. Lo único que tiene sentido plantearse es si en el procedimiento que termina mediante el nombramiento del secretario de gobierno se ha respetado o no la posible competencia autonómica de propuesta (posible porque sólo la ostentan las Comunidades que, como Cataluña, cuentan con “competencias asumidas en materia de Administración de Justicia”). La competencia del Ministerio de Justicia para efectuar la convocatoria para la provisión de los puestos de secretarios de gobierno, en su nueva conformación legal, está implícitamente acogida en la disposición transitoria undécima de la Ley Orgánica 19/2003 en relación con la sexta, que expresamente declara que la “normativa anterior” reguladora de los concursos de traslado de secretarios mantendrá su vigencia en 2004, con arreglo a la cual el Ministerio venía convocando las plazas de Secretario de Gobierno en los Tribunales Superiores de Justicia. Por otra parte, la misma disposición transitoria undécima de la Ley Orgánica 19/2003 contiene un mandato implícito de que, tras la entrada en vigor de la Ley Orgánica 19/2003, se proceda a una renovación conjunta de secretarios de gobierno, puesto que el precepto emplea siempre el plural (“Los actuales Secretarios de Gobierno del Tribunal Supremo, Audiencia Nacional y Tribunales Superiores de Justicia”, “nombramiento de los Secretarios de Gobierno a que se refiere el artículo 464”) y describe claramente una operación que abarca a todos. Como es obvio, la “dimensión supraautonómica” de la operación [STC 56/1990, 9 c) y 11 a)] determina que solo el Ministerio de Justicia resulte competente para cumplir el mandato que le dirige la comentada disposición transitoria undécima, a saber, el de proceder a la renovación conjunta de los secretarios de gobierno.</w:t>
      </w:r>
    </w:p>
    <w:p w:rsidR="0026452D" w:rsidRDefault="0026452D" w:rsidP="0026452D">
      <w:pPr>
        <w:pStyle w:val="TextoNormal"/>
      </w:pPr>
    </w:p>
    <w:p w:rsidR="0026452D" w:rsidRDefault="0026452D" w:rsidP="0026452D">
      <w:pPr>
        <w:pStyle w:val="TextoNormal"/>
      </w:pPr>
      <w:r>
        <w:t>La Orden JUS/1133/2004 respeta escrupulosamente las posibles competencias autonómicas de propuesta, como demuestra la simple lectura del último párrafo de la base segunda y el último párrafo de la base tercera. No es necesario decir expresamente, porque va de suyo, que el Ministerio ha de trasladar a cada Comunidad Autónoma competente la solicitud y documentación presentada por cada aspirante a la Secretaría de Gobierno del correspondiente Tribunal Superior de Justicia. Sin este traslado no tendría sentido ni prever una posible entrevista de los solicitantes con la autoridad o funcionario que designe la Consejería autonómica competente (párrafo final de la base segunda), ni la Comunidad Autónoma podría ejercer su competencia de propuesta (base tercera).</w:t>
      </w:r>
    </w:p>
    <w:p w:rsidR="0026452D" w:rsidRDefault="0026452D" w:rsidP="0026452D">
      <w:pPr>
        <w:pStyle w:val="TextoNormal"/>
      </w:pPr>
    </w:p>
    <w:p w:rsidR="0026452D" w:rsidRDefault="0026452D" w:rsidP="0026452D">
      <w:pPr>
        <w:pStyle w:val="TextoNormal"/>
      </w:pPr>
      <w:r>
        <w:t xml:space="preserve">Queda, pues, por justificar la regla de que las solicitudes se dirijan al centro directivo competente del Ministerio de Justicia, ya que la presentación es posible hacerla no sólo en el Registro General del citado departamento sino “en la forma prevista en la normativa de procedimiento administrativo vigente” y, por ello, también en el registro de cualquier órgano administrativo de la Administración de una Comunidad Autónoma [arts. 38.4 b) de la Ley 30/1992, de 26 de noviembre, y 2.2 a) del Real Decreto 772/1999, de 7 de mayo]. Ahora bien, si la autoridad que ha de resolver la convocatoria es el Ministro de Justicia (base 3a: “La resolución de la presente convocatoria se llevará a cabo mediante Orden del Ministro </w:t>
      </w:r>
      <w:r>
        <w:lastRenderedPageBreak/>
        <w:t>de Justicia.”), lo lógico es que la solicitud se dirija al centro directivo que ha de preparar la decisión del jefe del Departamento, y encargarse del trámite de todas las solicitudes, tanto las relativas a casos en que las Comunidades Autónomas ostenten competencia de propuesta como las que no. Por otro lado, la centralización en el trámite de las solicitudes permite el más rápido examen de los diversos requisitos de los solicitantes [bases 1 a) y 2 a)] y tratar los supuestos de solicitud múltiple.</w:t>
      </w:r>
    </w:p>
    <w:p w:rsidR="0026452D" w:rsidRDefault="0026452D" w:rsidP="0026452D">
      <w:pPr>
        <w:pStyle w:val="TextoNormal"/>
      </w:pPr>
    </w:p>
    <w:p w:rsidR="0026452D" w:rsidRDefault="0026452D" w:rsidP="0026452D">
      <w:pPr>
        <w:pStyle w:val="TextoNormal"/>
      </w:pPr>
      <w:r>
        <w:t>No puede entenderse, por todo ello, que la Orden JUS/1133/2004, de 5 de abril, haya violado la competencia del art. 18.1 EAC por restringirla indebidamente más allá de lo que resulta de la interpretación del art. 464.3 LOPJ a la luz del orden constitucional del competencias.</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29 de enero de 2013 se señaló para deliberación y votación de la presente Sentencia el día 31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La presente resolución debe dar respuesta a un proceso instado por la Abogada de la Generalitat de Cataluña, en representación de su Gobierno, contra la Orden JUS/1133/2004, de 5 de abril, por la que se convocan, para la provisión por el sistema de libre designación y para el Cuerpo de Secretarios Judiciales, los puestos de trabajo de Secretarios de Gobierno del Tribunal Supremo, Audiencia Nacional, Tribunales Superiores de Justicia y ciudades de Ceuta y Melilla.</w:t>
      </w:r>
    </w:p>
    <w:p w:rsidR="0026452D" w:rsidRDefault="0026452D" w:rsidP="0026452D">
      <w:pPr>
        <w:pStyle w:val="TextoNormal"/>
      </w:pPr>
    </w:p>
    <w:p w:rsidR="0026452D" w:rsidRDefault="0026452D" w:rsidP="0026452D">
      <w:pPr>
        <w:pStyle w:val="TextoNormal"/>
      </w:pPr>
      <w:r>
        <w:t>En el escrito rector de este conflicto positivo de competencia se aduce que con la aprobación de la citada orden de 5 de abril de 2004 se atribuyen funciones ejecutivas que deberían corresponder a las Comunidades Autónomas en aplicación de la cláusula subrogatoria y que ello supone una vulneración de las competencias de la Generalitat de Cataluña en el ámbito de la Administración de Justicia (art. 18.1 del Estatuto de Autonomía de Cataluña: EAC). Por su parte, la representación procesal del Gobierno del Estado propone la desestimación del conflicto de competencias promovido contra la orden de 5 de abril de 2004, por entender que su contenido se encuentra amparado en la competencia estatal sobre la Administración de Justicia (art. 149.1.5 CE).</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Antes de entrar en el enjuiciamiento del conflicto planteado debemos precisar el canon de enjuiciamiento a raíz de las modificaciones normativas producidas durante la pendencia del presente conflicto. En efecto, tal como recordamos en la STC 33/2012, de 15 de marzo, FJ 3, nuestra doctrina reiterada sobre el </w:t>
      </w:r>
      <w:r w:rsidRPr="0026452D">
        <w:rPr>
          <w:i/>
        </w:rPr>
        <w:t>ius superveniens</w:t>
      </w:r>
      <w:r>
        <w:t xml:space="preserve"> resulta aplicable al control de los posibles excesos competenciales,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0026452D" w:rsidRDefault="0026452D" w:rsidP="0026452D">
      <w:pPr>
        <w:pStyle w:val="TextoNormal"/>
      </w:pPr>
    </w:p>
    <w:p w:rsidR="0026452D" w:rsidRDefault="0026452D" w:rsidP="0026452D">
      <w:pPr>
        <w:pStyle w:val="TextoNormal"/>
      </w:pPr>
      <w:r>
        <w:t xml:space="preserve">En consecuencia, la tacha de inconstitucionalidad que se imputa a la orden sobre la que versa el proceso constitucional debe ser valorada con arreglo a las normas vigentes en el </w:t>
      </w:r>
      <w:r>
        <w:lastRenderedPageBreak/>
        <w:t>momento en que se resuelve este proceso. Esto significa que, a fin de resolver el presente conflicto, debemos tomar en consideración lo establecido en el capítulo III (“Competencias de la Generalitat sobre la Administración de Justicia”) del título III del Estatuto de Autonomía para Cataluña aprobado por la Ley Orgánica 6/2006, de 19 de julio.</w:t>
      </w:r>
    </w:p>
    <w:p w:rsidR="0026452D" w:rsidRDefault="0026452D" w:rsidP="0026452D">
      <w:pPr>
        <w:pStyle w:val="TextoNormal"/>
      </w:pPr>
    </w:p>
    <w:p w:rsidR="0026452D" w:rsidRDefault="0026452D" w:rsidP="0026452D">
      <w:pPr>
        <w:pStyle w:val="TextoNormal"/>
      </w:pPr>
      <w:r w:rsidRPr="0026452D">
        <w:rPr>
          <w:rStyle w:val="NumeroAFNegritaCaracter"/>
        </w:rPr>
        <w:t>3</w:t>
      </w:r>
      <w:r>
        <w:t>. Para la adecuada resolución del recurso planteado hemos de determinar, en primer lugar, el encuadramiento de las cuestiones debatidas en la materia correspondiente del sistema de distribución de competencias recogido en la Constitución y en los Estatutos de Autonomía. Dicha materia es, sin duda, atendiendo al contenido y finalidad de la resolución sobre la que se ha trabado el presente conflicto de competencia, la de Administración de Justicia.</w:t>
      </w:r>
    </w:p>
    <w:p w:rsidR="0026452D" w:rsidRDefault="0026452D" w:rsidP="0026452D">
      <w:pPr>
        <w:pStyle w:val="TextoNormal"/>
      </w:pPr>
    </w:p>
    <w:p w:rsidR="0026452D" w:rsidRDefault="0026452D" w:rsidP="0026452D">
      <w:pPr>
        <w:pStyle w:val="TextoNormal"/>
      </w:pPr>
      <w:r>
        <w:t>Conforme a dicho encuadramiento competencial, al Estado le corresponde en virtud del art. 149.1.5 CE la competencia exclusiva en materia de Administración de Justicia.</w:t>
      </w:r>
    </w:p>
    <w:p w:rsidR="0026452D" w:rsidRDefault="0026452D" w:rsidP="0026452D">
      <w:pPr>
        <w:pStyle w:val="TextoNormal"/>
      </w:pPr>
    </w:p>
    <w:p w:rsidR="0026452D" w:rsidRDefault="0026452D" w:rsidP="0026452D">
      <w:pPr>
        <w:pStyle w:val="TextoNormal"/>
      </w:pPr>
      <w:r>
        <w:t>Por lo que respecta a la Comunidad Autónoma de Cataluña, el art. 103 EAC regula las competencias autonómicas sobre los “medios personales” de la Administración de Justicia, en los siguientes términos:</w:t>
      </w:r>
    </w:p>
    <w:p w:rsidR="0026452D" w:rsidRDefault="0026452D" w:rsidP="0026452D">
      <w:pPr>
        <w:pStyle w:val="TextoNormal"/>
      </w:pPr>
    </w:p>
    <w:p w:rsidR="0026452D" w:rsidRDefault="0026452D" w:rsidP="0026452D">
      <w:pPr>
        <w:pStyle w:val="TextoNormal"/>
      </w:pPr>
      <w:r>
        <w:t>“1. Corresponde a la Generalitat la competencia normativa sobre el personal no judicial al servicio de la Administración de Justicia, dentro del respeto al estatuto jurídico de ese personal establecido por la Ley Orgánica del Poder Judicial. En dichos términos, esta competencia de la Generalitat incluye la regulación de:</w:t>
      </w:r>
    </w:p>
    <w:p w:rsidR="0026452D" w:rsidRDefault="0026452D" w:rsidP="0026452D">
      <w:pPr>
        <w:pStyle w:val="TextoNormal"/>
      </w:pPr>
    </w:p>
    <w:p w:rsidR="0026452D" w:rsidRDefault="0026452D" w:rsidP="0026452D">
      <w:pPr>
        <w:pStyle w:val="TextoNormal"/>
      </w:pPr>
      <w:r>
        <w:t>a) La organización de este personal en cuerpos y escalas.</w:t>
      </w:r>
    </w:p>
    <w:p w:rsidR="0026452D" w:rsidRDefault="0026452D" w:rsidP="0026452D">
      <w:pPr>
        <w:pStyle w:val="TextoNormal"/>
      </w:pPr>
      <w:r>
        <w:t>b) El proceso de selección.</w:t>
      </w:r>
    </w:p>
    <w:p w:rsidR="0026452D" w:rsidRDefault="0026452D" w:rsidP="0026452D">
      <w:pPr>
        <w:pStyle w:val="TextoNormal"/>
      </w:pPr>
      <w:r>
        <w:t>c) La promoción interna, la formación inicial y la formación continuada.</w:t>
      </w:r>
    </w:p>
    <w:p w:rsidR="0026452D" w:rsidRDefault="0026452D" w:rsidP="0026452D">
      <w:pPr>
        <w:pStyle w:val="TextoNormal"/>
      </w:pPr>
      <w:r>
        <w:t>d) La provisión de destinos y ascensos.</w:t>
      </w:r>
    </w:p>
    <w:p w:rsidR="0026452D" w:rsidRDefault="0026452D" w:rsidP="0026452D">
      <w:pPr>
        <w:pStyle w:val="TextoNormal"/>
      </w:pPr>
      <w:r>
        <w:t>e) Las situaciones administrativas.</w:t>
      </w:r>
    </w:p>
    <w:p w:rsidR="0026452D" w:rsidRDefault="0026452D" w:rsidP="0026452D">
      <w:pPr>
        <w:pStyle w:val="TextoNormal"/>
      </w:pPr>
      <w:r>
        <w:t>f) El régimen de retribuciones.</w:t>
      </w:r>
    </w:p>
    <w:p w:rsidR="0026452D" w:rsidRDefault="0026452D" w:rsidP="0026452D">
      <w:pPr>
        <w:pStyle w:val="TextoNormal"/>
      </w:pPr>
      <w:r>
        <w:t>g) La jornada laboral y el horario de trabajo.</w:t>
      </w:r>
    </w:p>
    <w:p w:rsidR="0026452D" w:rsidRDefault="0026452D" w:rsidP="0026452D">
      <w:pPr>
        <w:pStyle w:val="TextoNormal"/>
      </w:pPr>
      <w:r>
        <w:t>h) La ordenación de la actividad profesional y las funciones.</w:t>
      </w:r>
    </w:p>
    <w:p w:rsidR="0026452D" w:rsidRDefault="0026452D" w:rsidP="0026452D">
      <w:pPr>
        <w:pStyle w:val="TextoNormal"/>
      </w:pPr>
      <w:r>
        <w:t>i) Las licencias, los permisos, las vacaciones y las incompatibilidades.</w:t>
      </w:r>
    </w:p>
    <w:p w:rsidR="0026452D" w:rsidRDefault="0026452D" w:rsidP="0026452D">
      <w:pPr>
        <w:pStyle w:val="TextoNormal"/>
      </w:pPr>
      <w:r>
        <w:t>j) El registro de personal.</w:t>
      </w:r>
    </w:p>
    <w:p w:rsidR="0026452D" w:rsidRDefault="0026452D" w:rsidP="0026452D">
      <w:pPr>
        <w:pStyle w:val="TextoNormal"/>
      </w:pPr>
      <w:r>
        <w:t>k) El régimen disciplinario.</w:t>
      </w:r>
    </w:p>
    <w:p w:rsidR="0026452D" w:rsidRDefault="0026452D" w:rsidP="0026452D">
      <w:pPr>
        <w:pStyle w:val="TextoNormal"/>
      </w:pPr>
    </w:p>
    <w:p w:rsidR="0026452D" w:rsidRDefault="0026452D" w:rsidP="0026452D">
      <w:pPr>
        <w:pStyle w:val="TextoNormal"/>
      </w:pPr>
      <w:r>
        <w:t>2. En los mismos términos del apartado 1, corresponde a la Generalitat la competencia ejecutiva y de gestión en materia de personal no judicial al servicio de la Administración de Justicia. Esta competencia incluye:</w:t>
      </w:r>
    </w:p>
    <w:p w:rsidR="0026452D" w:rsidRDefault="0026452D" w:rsidP="0026452D">
      <w:pPr>
        <w:pStyle w:val="TextoNormal"/>
      </w:pPr>
    </w:p>
    <w:p w:rsidR="0026452D" w:rsidRDefault="0026452D" w:rsidP="0026452D">
      <w:pPr>
        <w:pStyle w:val="TextoNormal"/>
      </w:pPr>
      <w:r>
        <w:t>a) Aprobar la oferta de ocupación pública.</w:t>
      </w:r>
    </w:p>
    <w:p w:rsidR="0026452D" w:rsidRDefault="0026452D" w:rsidP="0026452D">
      <w:pPr>
        <w:pStyle w:val="TextoNormal"/>
      </w:pPr>
      <w:r>
        <w:t>b) Convocar y resolver todos los procesos de selección, y la adscripción a los puestos de trabajo.</w:t>
      </w:r>
    </w:p>
    <w:p w:rsidR="0026452D" w:rsidRDefault="0026452D" w:rsidP="0026452D">
      <w:pPr>
        <w:pStyle w:val="TextoNormal"/>
      </w:pPr>
      <w:r>
        <w:t>c) Nombrar a los funcionarios que superen los procesos selectivos.</w:t>
      </w:r>
    </w:p>
    <w:p w:rsidR="0026452D" w:rsidRDefault="0026452D" w:rsidP="0026452D">
      <w:pPr>
        <w:pStyle w:val="TextoNormal"/>
      </w:pPr>
      <w:r>
        <w:t>d) Impartir la formación, previa y continuada.</w:t>
      </w:r>
    </w:p>
    <w:p w:rsidR="0026452D" w:rsidRDefault="0026452D" w:rsidP="0026452D">
      <w:pPr>
        <w:pStyle w:val="TextoNormal"/>
      </w:pPr>
      <w:r>
        <w:t>e) Elaborar las relaciones de puestos de trabajo.</w:t>
      </w:r>
    </w:p>
    <w:p w:rsidR="0026452D" w:rsidRDefault="0026452D" w:rsidP="0026452D">
      <w:pPr>
        <w:pStyle w:val="TextoNormal"/>
      </w:pPr>
      <w:r>
        <w:t>f) Convocar y resolver todos los procesos de provisión de puestos de trabajo.</w:t>
      </w:r>
    </w:p>
    <w:p w:rsidR="0026452D" w:rsidRDefault="0026452D" w:rsidP="0026452D">
      <w:pPr>
        <w:pStyle w:val="TextoNormal"/>
      </w:pPr>
      <w:r>
        <w:t>g) Convocar y resolver todos los procesos de promoción interna.</w:t>
      </w:r>
    </w:p>
    <w:p w:rsidR="0026452D" w:rsidRDefault="0026452D" w:rsidP="0026452D">
      <w:pPr>
        <w:pStyle w:val="TextoNormal"/>
      </w:pPr>
      <w:r>
        <w:lastRenderedPageBreak/>
        <w:t>h) Gestionar el Registro de Personal, coordinado con el estatal.</w:t>
      </w:r>
    </w:p>
    <w:p w:rsidR="0026452D" w:rsidRDefault="0026452D" w:rsidP="0026452D">
      <w:pPr>
        <w:pStyle w:val="TextoNormal"/>
      </w:pPr>
      <w:r>
        <w:t>i) Efectuar toda la gestión de este personal, en aplicación de su régimen estatutario y retributivo.</w:t>
      </w:r>
    </w:p>
    <w:p w:rsidR="0026452D" w:rsidRDefault="0026452D" w:rsidP="0026452D">
      <w:pPr>
        <w:pStyle w:val="TextoNormal"/>
      </w:pPr>
      <w:r>
        <w:t>j) Ejercer la potestad disciplinaria e imponer las sanciones que procedan, incluida la separación del servicio.</w:t>
      </w:r>
    </w:p>
    <w:p w:rsidR="0026452D" w:rsidRDefault="0026452D" w:rsidP="0026452D">
      <w:pPr>
        <w:pStyle w:val="TextoNormal"/>
      </w:pPr>
      <w:r>
        <w:t>k) Ejercer todas las demás funciones que sean necesarias para garantizar una gestión eficaz y eficiente de los recursos humanos al servicio de la Administración de Justicia …”</w:t>
      </w:r>
    </w:p>
    <w:p w:rsidR="0026452D" w:rsidRDefault="0026452D" w:rsidP="0026452D">
      <w:pPr>
        <w:pStyle w:val="TextoNormal"/>
      </w:pPr>
    </w:p>
    <w:p w:rsidR="0026452D" w:rsidRDefault="0026452D" w:rsidP="0026452D">
      <w:pPr>
        <w:pStyle w:val="TextoNormal"/>
      </w:pPr>
      <w:r>
        <w:t>Los términos en los que esa atribución competencial estatutaria ha de ser entendida fueron establecidos en la STC 31/2010, de 28 de junio. Tal y como dijimos entonces en el fundamento jurídico 52:</w:t>
      </w:r>
    </w:p>
    <w:p w:rsidR="0026452D" w:rsidRDefault="0026452D" w:rsidP="0026452D">
      <w:pPr>
        <w:pStyle w:val="TextoNormal"/>
      </w:pPr>
    </w:p>
    <w:p w:rsidR="0026452D" w:rsidRDefault="0026452D" w:rsidP="0026452D">
      <w:pPr>
        <w:pStyle w:val="TextoNormal"/>
      </w:pPr>
      <w:r>
        <w:t>“[E]l art. 103 EAC se refiere al personal no judicial al servicio de la Administración de Justicia. Su apartado 1 atribuye a la Generalitat ‘la competencia normativa’ sobre el mismo, ‘dentro del respeto al estatuto jurídico de ese personal establecido por la Ley Orgánica del Poder Judicial’. En lo que hace a lo primero, no puede admitirse que, como sostienen los recurrentes, la competencia atribuida a la Comunidad Autónoma en esta materia sea precisamente la legislativa, pues ‘la competencia normativa’ en cuestión también puede ser la reglamentaria. Por lo que se refiere a la previsión de que dicha competencia ha de ejercerse dentro del respeto al estatuto de aquel personal establecido por la Ley Orgánica del Poder Judicial, es evidente que por sí sola excluye toda posible infracción de dicho estatuto jurídico y de la única Ley competente para su regulación. Por ello, la concreta relación de materias cuya regulación se incluye en esa competencia según el propio art. 103.1 EAC sólo puede entenderse por estricta referencia a las previsiones de la Ley Orgánica del Poder Judicial y con arreglo a ellas deben ser interpretadas y entendidas, en su contenido y en su alcance.</w:t>
      </w:r>
    </w:p>
    <w:p w:rsidR="0026452D" w:rsidRDefault="0026452D" w:rsidP="0026452D">
      <w:pPr>
        <w:pStyle w:val="TextoNormal"/>
      </w:pPr>
    </w:p>
    <w:p w:rsidR="0026452D" w:rsidRDefault="0026452D" w:rsidP="0026452D">
      <w:pPr>
        <w:pStyle w:val="TextoNormal"/>
      </w:pPr>
      <w:r>
        <w:t>Lo mismo ha de decirse respecto de las funciones que el apartado 2 del art. 103 EAC incluye en ‘la competencia ejecutiva y de gestión’ atribuida a la Generalitat en materia de personal no judicial, pues también se trata de una competencia conferida ‘[e]n los mismos términos del apartado 1’, esto es, por tanto, ‘dentro del respeto al estatuto jurídico de ese personal establecido por la Ley Orgánica del Poder Judicial’.”</w:t>
      </w:r>
    </w:p>
    <w:p w:rsidR="0026452D" w:rsidRDefault="0026452D" w:rsidP="0026452D">
      <w:pPr>
        <w:pStyle w:val="TextoNormal"/>
      </w:pPr>
    </w:p>
    <w:p w:rsidR="0026452D" w:rsidRDefault="0026452D" w:rsidP="0026452D">
      <w:pPr>
        <w:pStyle w:val="TextoNormal"/>
      </w:pPr>
      <w:r>
        <w:t>En cuanto a nuestra doctrina sobre la delimitación competencial que realiza el bloque de la constitucionalidad en materia de Administración de Justicia, nos remitimos a lo recordado recientemente en las Sentencias 163/2012, de 20 de septiembre, y 224/2012, de 29 de noviembre, de este Tribunal en los recursos de inconstitucionalidad núms. 1916-2004 y 1933-2004 promovidos en relación con la Ley Orgánica 19/2003, de 23 de diciembre, de modificación de la Ley Orgánica del Poder Judicial. Como veremos a continuación, la resolución del presente conflicto depende de lo resuelto en el segundo de los mencionados recursos, promovido igualmente por la Generalitat de Cataluña.</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Con objeto de delimitar el conflicto positivo de competencia debemos precisar que la impugnación de la orden de 5 de abril de 2004 por la Generalitat de Cataluña se basa en realidad en un doble motivo: por un lado, se aduce que el procedimiento en sí de nombramiento de los Secretarios de Gobierno por el Ministerio de Justicia vulnera las competencias ejecutivas autonómicas; por otro lado, se considera que la orden de 5 de abril de 2004 va más allá de lo previsto en el art. 464 Ley Orgánica del Poder Judicial (LOPJ) en la versión </w:t>
      </w:r>
      <w:r>
        <w:lastRenderedPageBreak/>
        <w:t>introducida por la Ley Orgánica 19/2003, en cuanto que determina el procedimiento y los méritos y elementos de juicio que se han de tener en cuenta para formular la propuesta de nombramiento que corresponde a las Comunidades Autónomas con competencias en materia de justicia.</w:t>
      </w:r>
    </w:p>
    <w:p w:rsidR="0026452D" w:rsidRDefault="0026452D" w:rsidP="0026452D">
      <w:pPr>
        <w:pStyle w:val="TextoNormal"/>
      </w:pPr>
    </w:p>
    <w:p w:rsidR="0026452D" w:rsidRDefault="0026452D" w:rsidP="0026452D">
      <w:pPr>
        <w:pStyle w:val="TextoNormal"/>
      </w:pPr>
      <w:r w:rsidRPr="0026452D">
        <w:rPr>
          <w:rStyle w:val="NumeroAFNegritaCaracter"/>
        </w:rPr>
        <w:t>5</w:t>
      </w:r>
      <w:r>
        <w:t>. Comenzando por el primer motivo de impugnación, la lesión de las competencias ejecutivas autonómicas que se reprocha al procedimiento de nombramiento del Secretario de Gobierno del Tribunal Superior de Justicia de Cataluña por el Ministerio de Justicia, debemos constatar que, como señala la propia Comunidad Autónoma recurrente, la orden objeto del presente conflicto de competencia no hace a este respecto más que aplicar el art. 464.3 LOPJ, que establece que el Secretario de Gobierno de cada Tribunal Superior de Justicia “será nombrado y removido libremente por el Ministerio de Justicia … a propuesta del órgano competente de las comunidades autónomas cuando éstas tuvieren competencias asumidas en materia de Administración de Justicia, que también podrán proponer su cese”. En la reciente STC 224/2012 resolvimos sobre la impugnación de diversos preceptos de la Ley Orgánica del Poder Judicial relacionados con el nombramiento de Secretarios Judiciales por el procedimiento de libre designación (en concreto los arts. 450.1, párrafo tercero, 464.3, párrafo primero, y 465.3 LOPJ). Entonces declaramos que “[l]a dependencia de los Secretarios Judiciales del Ministerio de Justicia forzosamente conlleva que corresponda a éste la controvertida facultad de nombramiento. Ahora bien, al introducir en el procedimiento un trámite de informe autonómico, se posibilita que el órgano estatal competente conozca y pondere la opinión de la Comunidad Autónoma antes de resolver, lo que resulta razonable al tratarse de nombramientos para puestos de carácter directivo o de especial responsabilidad, definidos por ello por un característico margen de discrecionalidad. Se logra así un adecuado equilibrio en el ejercicio de las competencias estatales y autonómicas, razón por la cual se desestima la impugnación de los mencionados preceptos” (STC 224/2012, FJ 4). Concretamente a propósito de la impugnación del párrafo primero del art. 464.3 LOPJ afirmamos que “[l]a competencia estatal que se cuestiona, la del libre nombramiento y remoción por el Ministerio de Justicia del Secretario de Gobierno, deriva de la tantas veces confirmada dependencia estatal de los Secretarios Judiciales, competencia cualificada en este supuesto dado que al Secretario de Gobierno corresponde, como superior jerárquico, la dirección de los Secretarios Judiciales que prestan sus servicios en las oficinas judiciales, respetando y tutelando su independencia en el ejercicio de la fe pública (arts. 464.2 y 465.5). El equilibrio al que nos hemos referido anteriormente se materializa en esta ocasión a través de la facultad de propuesta de las Comunidades Autónomas, matizando significativamente la competencia estatal, al deferir la iniciativa a éstas. El precepto resulta así ser acorde con las competencias de ambos, por lo que debemos concluir desestimando la impugnación del artículo 464.3, párrafo primero” (STC 224/2012, FJ 4).</w:t>
      </w:r>
    </w:p>
    <w:p w:rsidR="0026452D" w:rsidRDefault="0026452D" w:rsidP="0026452D">
      <w:pPr>
        <w:pStyle w:val="TextoNormal"/>
      </w:pPr>
    </w:p>
    <w:p w:rsidR="0026452D" w:rsidRDefault="0026452D" w:rsidP="0026452D">
      <w:pPr>
        <w:pStyle w:val="TextoNormal"/>
      </w:pPr>
      <w:r>
        <w:t>Así pues, es claro que la provisión por el sistema de libre designación del Secretario de Gobierno del Tribunal Superior de Justicia de Cataluña que articula la orden de 5 de abril de 2004 se limita a dar cumplimiento a lo previsto en el art. 464.3 LOPJ. Por ello, y en la medida en que la Comunidad Autónoma promotora del presente conflicto de competencia no esgrime contra dicha orden ministerial argumentos diferentes de los que sustentaron el recurso de inconstitucionalidad presentado contra el art. 464.3 LOPJ y que ya fueron desestimados en la citada STC 224/2012, debemos reiterar nuestra conclusión de que el nombra</w:t>
      </w:r>
      <w:r>
        <w:lastRenderedPageBreak/>
        <w:t>miento del Secretario de Gobierno del Tribunal Superior de Justicia de Cataluña por el sistema de libre designación que establece la orden de 5 de abril de 2004 es conforme con el orden constitucional de competencias.</w:t>
      </w:r>
    </w:p>
    <w:p w:rsidR="0026452D" w:rsidRDefault="0026452D" w:rsidP="0026452D">
      <w:pPr>
        <w:pStyle w:val="TextoNormal"/>
      </w:pPr>
    </w:p>
    <w:p w:rsidR="0026452D" w:rsidRDefault="0026452D" w:rsidP="0026452D">
      <w:pPr>
        <w:pStyle w:val="TextoNormal"/>
      </w:pPr>
      <w:r w:rsidRPr="0026452D">
        <w:rPr>
          <w:rStyle w:val="NumeroAFNegritaCaracter"/>
        </w:rPr>
        <w:t>6</w:t>
      </w:r>
      <w:r>
        <w:t>. Adicionalmente la Comunidad Autónoma promotora del presente conflicto de competencia sostiene que la orden de 5 de abril de 2004 va más allá de lo previsto en el art. 464 LOPJ, en cuanto que determina el procedimiento y los méritos y elementos de juicio que se han de tener en cuenta para formular la propuesta de nombramiento que corresponde a las Comunidades Autónomas con competencias en materia de justicia. Según la Comunidad Autónoma promotora, el art. 464 LOPJ en la versión introducida por la Ley Orgánica 19/2003 se limita a indicar que el nombramiento se realiza a propuesta de las Comunidades Autónomas con competencias en materia de justicia y, por ello, debe entenderse que la convocatoria y la determinación de sus elementos se efectuará por éstas.</w:t>
      </w:r>
    </w:p>
    <w:p w:rsidR="0026452D" w:rsidRDefault="0026452D" w:rsidP="0026452D">
      <w:pPr>
        <w:pStyle w:val="TextoNormal"/>
      </w:pPr>
    </w:p>
    <w:p w:rsidR="0026452D" w:rsidRDefault="0026452D" w:rsidP="0026452D">
      <w:pPr>
        <w:pStyle w:val="TextoNormal"/>
      </w:pPr>
      <w:r>
        <w:t>El segundo motivo de impugnación debe ser igualmente rechazado. La orden de 5 de abril de 2004 se limita a convocar los puestos de trabajo de Secretarios de Gobierno de diversos órganos judiciales, incluido el del Tribunal Superior de Justicia de Cataluña, y a concretar mínimamente las bases de la convocatoria, especificando los requisitos de los candidatos que pueden solicitar tales puestos (pertenencia al Cuerpo de Secretarios Judiciales de la categoría primera y de la categoría segunda, con un mínimo de diez años de antigüedad en este último caso; situación de servicio activo o equivalente) o los requisitos que deben reunir sus solicitudes (plazo y presentación, datos personales, puesto actual y puesto al que se aspire, documentación acreditativa de los méritos alegados y memoria sobre el puesto solicitado). Pues bien, ni el procedimiento ni los diversos requisitos establecidos en la orden de 5 de abril de 2004 suponen limitación o condicionamiento formal o material alguno con respecto al derecho a formular propuesta que el art. 464.3 LOPJ reconoce a las Comunidades Autónomas que hayan asumido competencias en materia de Administración de Justicia.</w:t>
      </w:r>
    </w:p>
    <w:p w:rsidR="0026452D" w:rsidRDefault="0026452D" w:rsidP="0026452D">
      <w:pPr>
        <w:pStyle w:val="TextoNormal"/>
      </w:pPr>
    </w:p>
    <w:p w:rsidR="0026452D" w:rsidRDefault="0026452D" w:rsidP="0026452D">
      <w:pPr>
        <w:pStyle w:val="TextoNormal"/>
      </w:pPr>
      <w:r>
        <w:t>Debemos recordar que la participación de la Comunidad Autónoma de Cataluña en el procedimiento de nombramiento del Secretario de Gobierno del Tribunal Superior de Justicia de Cataluña que garantiza el art. 464.3 LOPJ se circunscribe a un derecho a formular propuesta de candidato a ocupar dicho puesto de trabajo; no incluye un derecho a convocar unilateral o separadamente dicho puesto de trabajo ni tampoco una potestad para establecer requisitos de acceso ni métodos de valoración de la idoneidad de los candidatos distintos o adicionales a los establecidos por el órgano estatal competente. Si la competencia de nombramiento de los Secretarios de Gobierno corresponde al Ministerio de Justicia mediante el sistema de libre designación (art. 464.3 LOPJ), a falta de norma legal que expresamente prevea lo contrario la interpretación en la que se basa la orden objeto del presente conflicto de que la convocatoria de los puestos de trabajo corresponde también a dicho Ministerio resulta plenamente ajustada a la Ley. Por lo demás, el hecho de que el Ministerio de Justicia haya establecido una convocatoria conjunta de todos los puestos de trabajo de Secretarios de Gobierno de los órganos jurisdiccionales y una presentación centralizada de las solicitudes de los aspirantes representa una opción legítima, y no constituye restricción o menoscabo de la competencia autonómica en la materia.</w:t>
      </w:r>
    </w:p>
    <w:p w:rsidR="0026452D" w:rsidRDefault="0026452D" w:rsidP="0026452D">
      <w:pPr>
        <w:pStyle w:val="TextoNormal"/>
      </w:pPr>
    </w:p>
    <w:p w:rsidR="0026452D" w:rsidRDefault="0026452D" w:rsidP="0026452D">
      <w:pPr>
        <w:pStyle w:val="TextoNormal"/>
      </w:pPr>
      <w:r>
        <w:t xml:space="preserve">En cuanto a los requisitos concretos fijados por la orden de 5 de abril de 2004, el derecho de la Comunidad Autónoma a formular propuesta de candidato a ocupar la Secretaría de </w:t>
      </w:r>
      <w:r>
        <w:lastRenderedPageBreak/>
        <w:t>Gobierno del respectivo Tribunal Superior de Justicia no sufre menoscabo alguno por las previsiones que contiene dicha orden. Como resulta de la base segunda de la orden de 5 de abril de 2004, son los interesados quienes, sin restricciones, deben alegar los méritos que estimen oportunos con relación al puesto al que aspiren; entre tales méritos la orden únicamente cita a título de ejemplo el relativo al conocimiento del idioma y el Derecho foral propio de la Comunidad Autónoma en la que se radique la Secretaría de Gobierno que se solicita, sin que ello constituya condicionamiento para valorar la idoneidad de los candidatos y proponer al candidato que se considere más adecuado al puesto de trabajo. Por lo demás, la orden de 5 de abril de 2004 no sólo reitera la previsión legal de que el nombramiento de los Secretarios de Gobierno se realizará “a propuesta del órgano competente de las Comunidades Autónomas cuando estas tuvieren competencias asumidas en materia de Administración de Justicia” (base tercera), sino que también especifica que el Ministerio de Justicia y las Comunidades Autónomas, “cuando les corresponda formular propuesta, podrán realizar una entrevista personal a los solicitantes” (base segunda).</w:t>
      </w:r>
    </w:p>
    <w:p w:rsidR="0026452D" w:rsidRDefault="0026452D" w:rsidP="0026452D">
      <w:pPr>
        <w:pStyle w:val="TextoNormal"/>
      </w:pPr>
    </w:p>
    <w:p w:rsidR="0026452D" w:rsidRDefault="0026452D" w:rsidP="0026452D">
      <w:pPr>
        <w:pStyle w:val="TextoNormal"/>
      </w:pPr>
      <w:r>
        <w:t>En suma, por lo que respecta al derecho a formular propuesta de candidato, la orden objeto del presente conflicto se limita a prever que la alegación y acreditación de méritos por los aspirantes, la elaboración de una memoria sobre el puesto al que aspiren y, en su caso, las entrevistas personales son los instrumentos de que disponen las autoridades competentes para evaluar la idoneidad de los candidatos y para que, en consecuencia, las autoridades autonómicas competentes formulen su propuesta de candidato. En realidad, tal como se configura en la orden objeto del presente conflicto, y como corresponde con el sistema de provisión de puestos de trabajo mediante el procedimiento de libre designación, la propuesta autonómica de candidato se caracteriza por una amplia discrecionalidad técnica. Como apunta correctamente la representación procesal del Estado, aunque no se halle previsto expresamente en la orden de 5 de abril de 2004 es inherente al sistema de presentación centralizada descrito que el Ministerio de Justicia deberá trasladar a las Comunidades Autónomas competentes las solicitudes y la documentación presentada por los aspirantes a los puestos de trabajo de las Secretarías de Gobierno de los Tribunales Superiores de Justicia que radiquen en su territorio, a fin de que puedan formular su propuesta de candidato.</w:t>
      </w:r>
    </w:p>
    <w:p w:rsidR="0026452D" w:rsidRDefault="0026452D" w:rsidP="0026452D">
      <w:pPr>
        <w:pStyle w:val="TextoNormal"/>
      </w:pPr>
    </w:p>
    <w:p w:rsidR="0026452D" w:rsidRDefault="0026452D" w:rsidP="0026452D">
      <w:pPr>
        <w:pStyle w:val="TextoNormal"/>
      </w:pPr>
      <w:r>
        <w:t>Sin duda pueden concebirse otros procedimientos para convocar y proveer los puestos de trabajo de Secretarios de Gobierno o para presentar las solicitudes por los aspirantes, pero lo decisivo en el presente proceso constitucional es que la modalidad prevista en la orden de 5 de abril de 2004 no limita o condiciona en forma alguna el derecho a formular propuesta de candidato que el art. 464.3 LOPJ reconoce a la Comunidad Autónoma promotora del presente conflicto. Por todo ello, ha de concluirse que la orden de 5 de abril de 2004 no afecta a las competencias ejecutivas de la Generalitat de Cataluña.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conflicto positivo de competencia.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treinta y uno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22" w:name="SENTENCIA_2013_19"/>
      <w:r>
        <w:lastRenderedPageBreak/>
        <w:t>SENTENCIA 19/2013, de 31 de enero de 2013</w:t>
      </w:r>
    </w:p>
    <w:bookmarkEnd w:id="22"/>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ECLI:ES:TC:2013:19</w:t>
      </w:r>
    </w:p>
    <w:p w:rsidR="0026452D" w:rsidRDefault="0026452D" w:rsidP="0026452D">
      <w:pPr>
        <w:pStyle w:val="SntesisDescriptiva"/>
      </w:pPr>
    </w:p>
    <w:p w:rsidR="0026452D" w:rsidRDefault="0026452D" w:rsidP="0026452D">
      <w:pPr>
        <w:pStyle w:val="SntesisDescriptiva"/>
      </w:pPr>
      <w:r>
        <w:t>Recurso de inconstitucionalidad 6595-2005. Interpuesto por el Gobierno de la Generalitat Valenciana en relación con diversos preceptos de la Ley 11/2005, de 22 de junio, por la que se modifica la Ley 10/2001, de 5 de julio, del plan hidrológico nacional.</w:t>
      </w:r>
    </w:p>
    <w:p w:rsidR="0026452D" w:rsidRDefault="0026452D" w:rsidP="0026452D">
      <w:pPr>
        <w:pStyle w:val="SntesisDescriptiva"/>
      </w:pPr>
    </w:p>
    <w:p w:rsidR="0026452D" w:rsidRDefault="0026452D" w:rsidP="0026452D">
      <w:pPr>
        <w:pStyle w:val="SntesisAnaltica"/>
      </w:pPr>
      <w:r>
        <w:t>Principios de participación, interdicción de la arbitrariedad y utilización racional de los recursos naturales: constitucionalidad tanto de la derogación de las previsiones de la Ley del plan hidrológico nacional relativas al trasvase de aguas del Ebro (STC 237/2012), como de los preceptos relativos a la elaboración y aprobación del plan integral de protección del Delta del Ebro (STC 195/2012).</w:t>
      </w:r>
    </w:p>
    <w:p w:rsidR="0026452D" w:rsidRDefault="0026452D" w:rsidP="0026452D">
      <w:pPr>
        <w:pStyle w:val="SntesisAnaltica"/>
      </w:pPr>
    </w:p>
    <w:p w:rsidR="0026452D" w:rsidRDefault="0026452D" w:rsidP="0026452D">
      <w:pPr>
        <w:pStyle w:val="Extracto"/>
      </w:pPr>
      <w:r>
        <w:t>1.</w:t>
      </w:r>
      <w:r>
        <w:tab/>
        <w:t>El reproche basado en la infracción del art. 131.2 CE, derivado de la omisión del informe del Consejo Nacional del Agua, no puede prosperar, pues dicho artículo no puede erigirse, según nuestra doctrina, en canon de validez de la norma controvertida, al referirse a una planificación de carácter global, por lo que su observancia no es obligada en una planificación de ámbito más reducido, por importante que ésta pueda ser (SSTC 29/1986, 237/2012) [FJ 2].</w:t>
      </w:r>
    </w:p>
    <w:p w:rsidR="0026452D" w:rsidRDefault="0026452D" w:rsidP="0026452D">
      <w:pPr>
        <w:pStyle w:val="Extracto"/>
      </w:pPr>
    </w:p>
    <w:p w:rsidR="0026452D" w:rsidRDefault="0026452D" w:rsidP="0026452D">
      <w:pPr>
        <w:pStyle w:val="Extracto"/>
      </w:pPr>
      <w:r>
        <w:t>2.</w:t>
      </w:r>
      <w:r>
        <w:tab/>
        <w:t>Doctrina constitucional sobre el enjuiciamiento de una norma legal desde la perspectiva que proporciona la interdicción de arbitrariedad consagrada por el art. 9.3 CE (SSTC 104/200, 237/2012) [FJ 2].</w:t>
      </w:r>
    </w:p>
    <w:p w:rsidR="0026452D" w:rsidRDefault="0026452D" w:rsidP="0026452D">
      <w:pPr>
        <w:pStyle w:val="Extracto"/>
      </w:pPr>
    </w:p>
    <w:p w:rsidR="0026452D" w:rsidRDefault="0026452D" w:rsidP="0026452D">
      <w:pPr>
        <w:pStyle w:val="Extracto"/>
      </w:pPr>
      <w:r>
        <w:t>3.</w:t>
      </w:r>
      <w:r>
        <w:tab/>
        <w:t>A este Tribunal no le corresponde controlar la adecuación de la actividad de los poderes públicos nacionales al Derecho comunitario europeo, pues este control compete a los órganos de la jurisdicción ordinaria, en cuanto aplicadores que son del ordenamiento comunitario, y, en su caso, al Tribunal de Justicia de la Unión Europea (SSTC 135/2012, 237/2012) [FJ 2].</w:t>
      </w:r>
    </w:p>
    <w:p w:rsidR="0026452D" w:rsidRDefault="0026452D" w:rsidP="0026452D">
      <w:pPr>
        <w:pStyle w:val="Extracto"/>
      </w:pPr>
    </w:p>
    <w:p w:rsidR="0026452D" w:rsidRDefault="0026452D" w:rsidP="0026452D">
      <w:pPr>
        <w:pStyle w:val="Extracto"/>
      </w:pPr>
      <w:r>
        <w:t>4.</w:t>
      </w:r>
      <w:r>
        <w:tab/>
        <w:t>Doctrina constitucional sobre el carácter dinámico del ordenamiento jurídico en relación con el principio de la confianza legítima (SSTC 332/2005, 237/2012) [FJ 2].</w:t>
      </w:r>
    </w:p>
    <w:p w:rsidR="0026452D" w:rsidRDefault="0026452D" w:rsidP="0026452D">
      <w:pPr>
        <w:pStyle w:val="Extracto"/>
      </w:pPr>
    </w:p>
    <w:p w:rsidR="0026452D" w:rsidRDefault="0026452D" w:rsidP="0026452D">
      <w:pPr>
        <w:pStyle w:val="Extracto"/>
      </w:pPr>
      <w:r>
        <w:t>5.</w:t>
      </w:r>
      <w:r>
        <w:tab/>
        <w:t>Doctrina constitucional sobre el principio de seguridad jurídica del art. 9.3 CE (STC 237/2012) [FJ 2].</w:t>
      </w:r>
    </w:p>
    <w:p w:rsidR="0026452D" w:rsidRDefault="0026452D" w:rsidP="0026452D">
      <w:pPr>
        <w:pStyle w:val="Extracto"/>
      </w:pPr>
    </w:p>
    <w:p w:rsidR="0026452D" w:rsidRDefault="0026452D" w:rsidP="0026452D">
      <w:pPr>
        <w:pStyle w:val="Extracto"/>
      </w:pPr>
      <w:r>
        <w:t>6.</w:t>
      </w:r>
      <w:r>
        <w:tab/>
        <w:t xml:space="preserve">Doctrina constitucional sobre el principio de eficiencia en la programación y ejecución del gasto público, </w:t>
      </w:r>
      <w:r w:rsidRPr="0026452D">
        <w:rPr>
          <w:i/>
        </w:rPr>
        <w:t>ex</w:t>
      </w:r>
      <w:r>
        <w:t xml:space="preserve"> art. 31.2 CE (STC 237/2012) [FJ 2].</w:t>
      </w:r>
    </w:p>
    <w:p w:rsidR="0026452D" w:rsidRDefault="0026452D" w:rsidP="0026452D">
      <w:pPr>
        <w:pStyle w:val="Extracto"/>
      </w:pPr>
    </w:p>
    <w:p w:rsidR="0026452D" w:rsidRDefault="0026452D" w:rsidP="0026452D">
      <w:pPr>
        <w:pStyle w:val="Extracto"/>
      </w:pPr>
      <w:r>
        <w:t>7.</w:t>
      </w:r>
      <w:r>
        <w:tab/>
        <w:t xml:space="preserve">Doctrina constitucional sobre el principio de utilización racional de los recursos naturales, </w:t>
      </w:r>
      <w:r w:rsidRPr="0026452D">
        <w:rPr>
          <w:i/>
        </w:rPr>
        <w:t>ex</w:t>
      </w:r>
      <w:r>
        <w:t xml:space="preserve"> art. 45.2 CE (STC 237/2012) [FJ 2].</w:t>
      </w:r>
    </w:p>
    <w:p w:rsidR="0026452D" w:rsidRDefault="0026452D" w:rsidP="0026452D">
      <w:pPr>
        <w:pStyle w:val="Extracto"/>
      </w:pPr>
    </w:p>
    <w:p w:rsidR="0026452D" w:rsidRDefault="0026452D" w:rsidP="0026452D">
      <w:pPr>
        <w:pStyle w:val="Extracto"/>
      </w:pPr>
      <w:r>
        <w:lastRenderedPageBreak/>
        <w:t>8.</w:t>
      </w:r>
      <w:r>
        <w:tab/>
        <w:t xml:space="preserve">Doctrina constitucional sobre el principio de solidaridad interterritorial, </w:t>
      </w:r>
      <w:r w:rsidRPr="0026452D">
        <w:rPr>
          <w:i/>
        </w:rPr>
        <w:t>ex</w:t>
      </w:r>
      <w:r>
        <w:t xml:space="preserve"> arts. 2 y 138 CE (SSTC 96/1990, 237/2012) [FJ 2].</w:t>
      </w:r>
    </w:p>
    <w:p w:rsidR="0026452D" w:rsidRDefault="0026452D" w:rsidP="0026452D">
      <w:pPr>
        <w:pStyle w:val="Extracto"/>
      </w:pPr>
    </w:p>
    <w:p w:rsidR="0026452D" w:rsidRDefault="0026452D" w:rsidP="0026452D">
      <w:pPr>
        <w:pStyle w:val="Extracto"/>
      </w:pPr>
      <w:r>
        <w:t>9.</w:t>
      </w:r>
      <w:r>
        <w:tab/>
        <w:t>Aplica la doctrina relativa a la elaboración y aprobación del plan integral de protección del Ebro de las SSTC 195/2012, 239/2012 y 240/2012 [FJ 3].</w:t>
      </w:r>
    </w:p>
    <w:p w:rsidR="0026452D" w:rsidRDefault="0026452D" w:rsidP="0026452D">
      <w:pPr>
        <w:pStyle w:val="Extracto"/>
      </w:pPr>
    </w:p>
    <w:p w:rsidR="0026452D" w:rsidRDefault="0026452D" w:rsidP="0026452D">
      <w:pPr>
        <w:pStyle w:val="Extracto"/>
      </w:pPr>
      <w:r>
        <w:t>10.</w:t>
      </w:r>
      <w:r>
        <w:tab/>
        <w:t>Reitera la doctrina sobre técnicas de colaboración constitucionalmente admisibles para supuestos de concurrencia competencial de la STC 195/2012 [FJ 3].</w:t>
      </w:r>
    </w:p>
    <w:p w:rsidR="0026452D" w:rsidRDefault="0026452D" w:rsidP="0026452D">
      <w:pPr>
        <w:pStyle w:val="Extracto"/>
      </w:pPr>
    </w:p>
    <w:p w:rsidR="0026452D" w:rsidRDefault="0026452D" w:rsidP="0026452D">
      <w:pPr>
        <w:pStyle w:val="Extracto"/>
      </w:pPr>
      <w:r>
        <w:t>11.</w:t>
      </w:r>
      <w:r>
        <w:tab/>
        <w:t>No existe una quiebra constitucionalmente relevante de la seguridad jurídica cuando la Ley utiliza conceptos indeterminados –entre los que cabe incluir el de ‘caudal ecológico’– indispensables por cuanto no son sustituibles por referencias concretas, remitiéndose a reglamentaciones específicas en áreas en que la complejidad técnica o la necesidad de una previa ordenación del sector así lo exijan (SSTC 71/1982, 14/1998) [FJ 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Trias,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6595-2005, interpuesto por el Gobierno de la Generalitat Valenciana contra diversos preceptos de la Ley 11/2005, de 22 de junio, por la que se modifica la Ley 10/2001, de 5 de julio, del plan hidrológico nacional. Ha comparecido y formulado alegaciones el Abogado del Estado. Ha sido ponente el Magistrado don Fernando Valdés Dal-Ré,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presentado en el Registro General de este Tribunal el día 22 de septiembre de 2005, el Director del Gabinete Jurídico de la Generalitat Valenciana, en la representación que legalmente ostenta, promueve recurso de inconstitucionalidad contra el artículo 26.1, párrafo segundo, en el inciso “sin perjuicio de lo dispuesto en la disposición adicional décima en relación con el Plan Integral de Protección del Delta del Ebro”, y los apartados 3 y 5 de la disposición adicional décima de la Ley 10/2001, de 5 de julio, del plan hidrológico nacional, en la redacción dada por los apartados noveno y decimoquinto del artículo único de la Ley 11/2005, de 22 de junio, la disposición derogatoria única, 1 y 3, de </w:t>
      </w:r>
      <w:r>
        <w:lastRenderedPageBreak/>
        <w:t>la Ley 11/2005, y el art. 42.1 b) c’) del texto refundido de la Ley de aguas, en la redacción dada por la disposición final primera, apartado cuatro, de la Ley 11/2005.</w:t>
      </w:r>
    </w:p>
    <w:p w:rsidR="0026452D" w:rsidRDefault="0026452D" w:rsidP="0026452D">
      <w:pPr>
        <w:pStyle w:val="TextoNormal"/>
      </w:pPr>
    </w:p>
    <w:p w:rsidR="0026452D" w:rsidRDefault="0026452D" w:rsidP="0026452D">
      <w:pPr>
        <w:pStyle w:val="TextoNormal"/>
      </w:pPr>
      <w:r>
        <w:t>Tras realizar una serie de consideraciones generales de carácter previo, con detallada referencia a los antecedentes de la ley objeto de impugnación, y al propio contenido general de ésta, expone los motivos alegados de inconstitucionalidad, que, resumidamente, son los siguientes:</w:t>
      </w:r>
    </w:p>
    <w:p w:rsidR="0026452D" w:rsidRDefault="0026452D" w:rsidP="0026452D">
      <w:pPr>
        <w:pStyle w:val="TextoNormal"/>
      </w:pPr>
    </w:p>
    <w:p w:rsidR="0026452D" w:rsidRDefault="0026452D" w:rsidP="0026452D">
      <w:pPr>
        <w:pStyle w:val="TextoNormal"/>
      </w:pPr>
      <w:r>
        <w:t>a) Se alega vulneración del art. 131.2 CE por haberse incumplido los requisitos exigibles para la modificación del plan hidrológico nacional, instrumento de planificación que afecta a la actividad económica general.</w:t>
      </w:r>
    </w:p>
    <w:p w:rsidR="0026452D" w:rsidRDefault="0026452D" w:rsidP="0026452D">
      <w:pPr>
        <w:pStyle w:val="TextoNormal"/>
      </w:pPr>
    </w:p>
    <w:p w:rsidR="0026452D" w:rsidRDefault="0026452D" w:rsidP="0026452D">
      <w:pPr>
        <w:pStyle w:val="TextoNormal"/>
      </w:pPr>
      <w:r>
        <w:t>El texto refundido de la Ley de aguas aprobado por el Real Decreto Legislativo 1/2001, de 20 de julio, que crea en su art. 19 el Consejo Nacional del Agua y exige en el art. 20 su informe preceptivo respecto del plan hidrológico nacional, debe interpretarse a la luz de este precepto constitucional, que habría sido infringido por la omisión de estos cauces de participación.</w:t>
      </w:r>
    </w:p>
    <w:p w:rsidR="0026452D" w:rsidRDefault="0026452D" w:rsidP="0026452D">
      <w:pPr>
        <w:pStyle w:val="TextoNormal"/>
      </w:pPr>
    </w:p>
    <w:p w:rsidR="0026452D" w:rsidRDefault="0026452D" w:rsidP="0026452D">
      <w:pPr>
        <w:pStyle w:val="TextoNormal"/>
      </w:pPr>
      <w:r>
        <w:t>b) La vulneración del principio de interdicción de la arbitrariedad, contenido en el art. 9.3. CE, se concreta por la Comunidad Autónoma recurrente en diversos aspectos.</w:t>
      </w:r>
    </w:p>
    <w:p w:rsidR="0026452D" w:rsidRDefault="0026452D" w:rsidP="0026452D">
      <w:pPr>
        <w:pStyle w:val="TextoNormal"/>
      </w:pPr>
    </w:p>
    <w:p w:rsidR="0026452D" w:rsidRDefault="0026452D" w:rsidP="0026452D">
      <w:pPr>
        <w:pStyle w:val="TextoNormal"/>
      </w:pPr>
      <w:r>
        <w:t>No puede darse por cumplido el esencial trámite del informe del Consejo Nacional del Agua con una mera comunicación, a modo de dación de cuenta, de la decisión previamente tomada por el Gobierno a la comisión permanente de dicho órgano, como se hizo con la aprobación del Real Decreto-ley 2/2004, de 16 de junio, que dio origen a la Ley 11/2005. Señala como circunstancia concluyente al respecto que la Comunidad Valenciana no forma parte de la comisión permanente del Consejo Nacional del Agua, y destaca que el informe emitido por la comisión permanente, de 2 de febrero de 2005, durante la tramitación parlamentaria de la que sería aprobada como Ley 11/2005, excluye cualquier pronunciamiento tanto sobre el Real Decreto Ley 2/2004 como sobre el proyecto de ley en todo aquello que se refiere a la Ley 10/2001, de 5 de julio, del plan hidrológico nacional, centrándose en las propuestas de modificación del texto refundido de la Ley de aguas.</w:t>
      </w:r>
    </w:p>
    <w:p w:rsidR="0026452D" w:rsidRDefault="0026452D" w:rsidP="0026452D">
      <w:pPr>
        <w:pStyle w:val="TextoNormal"/>
      </w:pPr>
    </w:p>
    <w:p w:rsidR="0026452D" w:rsidRDefault="0026452D" w:rsidP="0026452D">
      <w:pPr>
        <w:pStyle w:val="TextoNormal"/>
      </w:pPr>
      <w:r>
        <w:t>Con cita de la jurisprudencia de este Tribunal, se alega la vulneración de los principios de coordinación y participación, asociados a los principios de lealtad institucional y buena fe, considerando que la Ley 11/2005 ha vulnerado el art. 9.3 CE al desconocer de forma voluntaria y totalmente reprobable la obligación de coordinarse en el ejercicio de su potestad planificadora con las Comunidades Autónomas. Se ha negado a éstas la necesaria intervención, según está prevista en los arts. 14 y 40 a 45 del texto refundido de la Ley de aguas, y en el art. 14 de la Directiva 2000/60/CE, del Parlamento Europeo y del Consejo, de 23 de octubre de 2000, por la que se establece un marco comunitario de actuación en el ámbito de la política de aguas (Directiva marco del agua).</w:t>
      </w:r>
    </w:p>
    <w:p w:rsidR="0026452D" w:rsidRDefault="0026452D" w:rsidP="0026452D">
      <w:pPr>
        <w:pStyle w:val="TextoNormal"/>
      </w:pPr>
    </w:p>
    <w:p w:rsidR="0026452D" w:rsidRDefault="0026452D" w:rsidP="0026452D">
      <w:pPr>
        <w:pStyle w:val="TextoNormal"/>
      </w:pPr>
      <w:r>
        <w:t xml:space="preserve">La aprobación del plan hidrológico nacional mediante la Ley 10/2001 se configura como el instrumento de cierre del sistema planificador, como un elemento fundamental para realizar la ordenación de los recursos hidrológicos a nivel nacional, siendo por tanto el principio de coordinación un elemento fundamental a respetar en la planificación hidrológica, recogido en el texto refundido de la Ley de aguas y explícitamente admitido por la doctrina </w:t>
      </w:r>
      <w:r>
        <w:lastRenderedPageBreak/>
        <w:t>constitucional como esencial al modelo territorial vigente. La incidencia del plan hidrológico nacional en las competencias autonómicas sobre aprovechamientos hidráulicos, canales y regadíos, ordenación del territorial y del litoral, protección del medio ambiente y conservación de los espacios naturales, obras públicas, pesca, industria, turismo, y planificación de la actividad económica obliga a la necesidad de coordinar las distintas planificaciones que afectan al medio físico.</w:t>
      </w:r>
    </w:p>
    <w:p w:rsidR="0026452D" w:rsidRDefault="0026452D" w:rsidP="0026452D">
      <w:pPr>
        <w:pStyle w:val="TextoNormal"/>
      </w:pPr>
    </w:p>
    <w:p w:rsidR="0026452D" w:rsidRDefault="0026452D" w:rsidP="0026452D">
      <w:pPr>
        <w:pStyle w:val="TextoNormal"/>
      </w:pPr>
      <w:r>
        <w:t>A dicha finalidad respondería el informe del Consejo Nacional del Agua en el procedimiento de elaboración del plan hidrológico nacional, y su omisión afectaría directamente al derecho de participación de la Comunidad Autónoma en las cuestiones que inciden en su ámbito competencial, reconocido implícitamente en la Constitución, lo que explica que el texto refundido de la Ley de aguas lo exija con carácter preceptivo, tanto para su aprobación como para su revisión y modificación.</w:t>
      </w:r>
    </w:p>
    <w:p w:rsidR="0026452D" w:rsidRDefault="0026452D" w:rsidP="0026452D">
      <w:pPr>
        <w:pStyle w:val="TextoNormal"/>
      </w:pPr>
    </w:p>
    <w:p w:rsidR="0026452D" w:rsidRDefault="0026452D" w:rsidP="0026452D">
      <w:pPr>
        <w:pStyle w:val="TextoNormal"/>
      </w:pPr>
      <w:r>
        <w:t>La omisión del tan repetido informe vulneraría el principio de coordinación y por ello implicaría, y evidenciaría, la arbitrariedad de la Ley 11/2005.</w:t>
      </w:r>
    </w:p>
    <w:p w:rsidR="0026452D" w:rsidRDefault="0026452D" w:rsidP="0026452D">
      <w:pPr>
        <w:pStyle w:val="TextoNormal"/>
      </w:pPr>
    </w:p>
    <w:p w:rsidR="0026452D" w:rsidRDefault="0026452D" w:rsidP="0026452D">
      <w:pPr>
        <w:pStyle w:val="TextoNormal"/>
      </w:pPr>
      <w:r>
        <w:t>Con remisión a las alegaciones hechas en el recurso de inconstitucionalidad núm. 4786-2004, también se alega infracción del principio de interdicción de la arbitrariedad en la medida en que la derogación de la Ley 10/2001, de 5 de julio, del plan hidrológico nacional constituiría una vulneración de los principios de la Directiva marco del agua, concretamente los principios de precaución, acción preventiva, cautela, corrección de los atentados al medio ambiente preferentemente en la fuente misma, y el principio “el que contamina, paga”, y, al carecer del informe preceptivo del Consejo Nacional del Agua, se incumplirían las condiciones de información y participación pública que establece dicha directiva para la elaboración de la planificación hidrológica.</w:t>
      </w:r>
    </w:p>
    <w:p w:rsidR="0026452D" w:rsidRDefault="0026452D" w:rsidP="0026452D">
      <w:pPr>
        <w:pStyle w:val="TextoNormal"/>
      </w:pPr>
    </w:p>
    <w:p w:rsidR="0026452D" w:rsidRDefault="0026452D" w:rsidP="0026452D">
      <w:pPr>
        <w:pStyle w:val="TextoNormal"/>
      </w:pPr>
      <w:r>
        <w:t>Se funda asimismo la tacha de arbitrariedad en la incoherencia e inexistencia de una mínima motivación racional en la Ley 11/2005. Nuevamente el escrito de demanda se remite a las alegaciones hechas en el recurso de inconstitucionalidad núm. 4786-2004, para destacar el proceso de elaboración de la Ley 10/2001, de 5 de julio, del plan hidrológico nacional, que contrasta con el seguido en la aprobación de la Ley 11/2005, basada a su juicio en meras generalidades sin informes, deliberaciones con agentes sociales u órganos institucionales preceptivos, de lo que extrae la conclusión de que la aprobación de la Ley 11/2005, que decidió alterar la Ley del plan hidrológico nacional sin contener una sensible justificación —que sólo puede alcanzarse tras un procedimiento mínimamente riguroso como el que se llevó a cabo originalmente, constituye una incoherencia que genera arbitrariedad.</w:t>
      </w:r>
    </w:p>
    <w:p w:rsidR="0026452D" w:rsidRDefault="0026452D" w:rsidP="0026452D">
      <w:pPr>
        <w:pStyle w:val="TextoNormal"/>
      </w:pPr>
    </w:p>
    <w:p w:rsidR="0026452D" w:rsidRDefault="0026452D" w:rsidP="0026452D">
      <w:pPr>
        <w:pStyle w:val="TextoNormal"/>
      </w:pPr>
      <w:r>
        <w:t>También resultaría arbitraria la derogación parcial de la Ley 10/2001, de 5 de julio, al vulnerar el carácter unitario del plan, rompiendo su equilibrio interno, al regular dicho plan de manera fragmentada, sin una visión global de conjunto. La derogación de una parte tan relevante del mismo, como es el trasvase del Ebro, sólo podría efectuarse en el marco de un nuevo replanteamiento global del plan hidrológico nacional; lo contrario constituye una decisión arbitraria, por incoherente y caprichosa, contraria al art. 9.3 CE, invocándose al efecto las SSTC 181/2000, de 29 de junio, y 194/2000, de 19 de julio. No existiría motivación real alguna para haber acordado la derogación de las transferencias previstas en la Ley 10/2001, de 5 de julio, cuya explícita y razonable necesidad está constituida por la situación hidroló</w:t>
      </w:r>
      <w:r>
        <w:lastRenderedPageBreak/>
        <w:t>gica deficitaria de determinadas cuencas. Su anulación se ha basado en criterios de oportunidad política, resultando inadmisibles medidas alternativas al trasvase del Ebro que son totalmente inadecuadas. Todo ello propicia un retraso en la solución de estos problemas estructurales deficitarios, lo que supone un uso arbitrario del poder legislativo.</w:t>
      </w:r>
    </w:p>
    <w:p w:rsidR="0026452D" w:rsidRDefault="0026452D" w:rsidP="0026452D">
      <w:pPr>
        <w:pStyle w:val="TextoNormal"/>
      </w:pPr>
    </w:p>
    <w:p w:rsidR="0026452D" w:rsidRDefault="0026452D" w:rsidP="0026452D">
      <w:pPr>
        <w:pStyle w:val="TextoNormal"/>
      </w:pPr>
      <w:r>
        <w:t>Para rebatir la justificación contenida en el preámbulo de la Ley 11/2005, da por reproducida la argumentación relativa al recurso de inconstitucionalidad núm. 4786-2004.</w:t>
      </w:r>
    </w:p>
    <w:p w:rsidR="0026452D" w:rsidRDefault="0026452D" w:rsidP="0026452D">
      <w:pPr>
        <w:pStyle w:val="TextoNormal"/>
      </w:pPr>
    </w:p>
    <w:p w:rsidR="0026452D" w:rsidRDefault="0026452D" w:rsidP="0026452D">
      <w:pPr>
        <w:pStyle w:val="TextoNormal"/>
      </w:pPr>
      <w:r>
        <w:t>Por último, el recurso basa asimismo la infracción del art. 9.3 CE en que la Ley 11/2005 incurre en arbitrariedad al vulnerar el Derecho comunitario, reproche que concreta en que la derogación que contiene impide toda posibilidad de alcanzar los objetivos de la Directiva marco del agua, citada, relativos a la promoción del uso sostenible del agua, basado en la protección a largo plazo de los recursos hídricos disponibles, a paliar los efectos de las sequías, y a la garantía de suministro suficiente de agua superficial o subterránea en buen estado, y en la vulneración de la Directiva 2001/42/CE, del Parlamento Europeo y del Consejo, de 27 de julio de 2001, relativa a la evaluación de los efectos de determinados planes y programas en el medio ambiente.</w:t>
      </w:r>
    </w:p>
    <w:p w:rsidR="0026452D" w:rsidRDefault="0026452D" w:rsidP="0026452D">
      <w:pPr>
        <w:pStyle w:val="TextoNormal"/>
      </w:pPr>
    </w:p>
    <w:p w:rsidR="0026452D" w:rsidRDefault="0026452D" w:rsidP="0026452D">
      <w:pPr>
        <w:pStyle w:val="TextoNormal"/>
      </w:pPr>
      <w:r>
        <w:t>c) La Ley 11/2005 también habría vulnerado el principio de seguridad jurídica contenido en el art. 9.3 CE, así como el principio derivado de confianza legítima, porque la derogación de la Ley 10/2001, de 5 de julio, del plan hidrológico nacional ha resultado súbita e imprevisible, afectando a las expectativas legítimas de muchos ciudadanos, como consumidores y usuarios del agua. Con el plan hidrológico nacional se había generado una confianza legítima como medio de lograr la resolución de los desequilibrios hídricos de la Comunidad Valenciana, al contemplar, desde una perspectiva global, su uso armónico y coordinado, capaz de satisfacer de forma equilibrada las demandas existentes, así como un reparto equitativo de un bien escaso.</w:t>
      </w:r>
    </w:p>
    <w:p w:rsidR="0026452D" w:rsidRDefault="0026452D" w:rsidP="0026452D">
      <w:pPr>
        <w:pStyle w:val="TextoNormal"/>
      </w:pPr>
    </w:p>
    <w:p w:rsidR="0026452D" w:rsidRDefault="0026452D" w:rsidP="0026452D">
      <w:pPr>
        <w:pStyle w:val="TextoNormal"/>
      </w:pPr>
      <w:r>
        <w:t>Sobre la base de la regulación derogada, la Administración autonómica inició la ejecución de algunas actuaciones e infraestructuras, de las que se aporta extensa información. Por otra parte, las nuevas actuaciones recogidas en el anexo III de la Ley 11/2005 habrían creado una falsa apariencia porque serían, en su mayor parte, actuaciones ya contempladas o ejecutadas por la propia Generalitat Valenciana.</w:t>
      </w:r>
    </w:p>
    <w:p w:rsidR="0026452D" w:rsidRDefault="0026452D" w:rsidP="0026452D">
      <w:pPr>
        <w:pStyle w:val="TextoNormal"/>
      </w:pPr>
    </w:p>
    <w:p w:rsidR="0026452D" w:rsidRDefault="0026452D" w:rsidP="0026452D">
      <w:pPr>
        <w:pStyle w:val="TextoNormal"/>
      </w:pPr>
      <w:r>
        <w:t>Se considera por último que, desde esta perspectiva y con respecto a las comunidades de regantes y usuarios, la derogación del trasvase debe considerarse como un “acto expropiatorio de derechos”, en el sentido ya argumentado en las alegaciones del recurso de inconstitucionalidad núm. 4786-2004.</w:t>
      </w:r>
    </w:p>
    <w:p w:rsidR="0026452D" w:rsidRDefault="0026452D" w:rsidP="0026452D">
      <w:pPr>
        <w:pStyle w:val="TextoNormal"/>
      </w:pPr>
    </w:p>
    <w:p w:rsidR="0026452D" w:rsidRDefault="0026452D" w:rsidP="0026452D">
      <w:pPr>
        <w:pStyle w:val="TextoNormal"/>
      </w:pPr>
      <w:r>
        <w:t>d) La Ley 11/2005 vulneraría igualmente el principio de eficiencia en el gasto público del art. 31.2 CE, ya que simplemente descalifica las decisiones tomadas por la Ley 10/2001, de 5 de julio, que afectaban a la transferencia desde el bajo Ebro —que estuvieron basadas en un detallado análisis económico—, con una serie de afirmaciones genéricas que carecen de apoyo documental, y sin recoger una comparación de costes (económicos, energéticos, o medioambientales) entre la solución de la Ley 10/2001, de 5 de julio, que se deroga y la que ahora se introduce.</w:t>
      </w:r>
    </w:p>
    <w:p w:rsidR="0026452D" w:rsidRDefault="0026452D" w:rsidP="0026452D">
      <w:pPr>
        <w:pStyle w:val="TextoNormal"/>
      </w:pPr>
    </w:p>
    <w:p w:rsidR="0026452D" w:rsidRDefault="0026452D" w:rsidP="0026452D">
      <w:pPr>
        <w:pStyle w:val="TextoNormal"/>
      </w:pPr>
      <w:r>
        <w:lastRenderedPageBreak/>
        <w:t>Adicionalmente, el art. 31.2 CE exige a las actuaciones empresariales públicas una equitativa asignación de recursos públicos, que en su programación y ejecución responda a criterios de eficiencia y economía, lo cual exige la realización de estudios técnicos financieros que respalden la viabilidad económica de la norma, y no es compatible con actuaciones carentes de justificación.</w:t>
      </w:r>
    </w:p>
    <w:p w:rsidR="0026452D" w:rsidRDefault="0026452D" w:rsidP="0026452D">
      <w:pPr>
        <w:pStyle w:val="TextoNormal"/>
      </w:pPr>
    </w:p>
    <w:p w:rsidR="0026452D" w:rsidRDefault="0026452D" w:rsidP="0026452D">
      <w:pPr>
        <w:pStyle w:val="TextoNormal"/>
      </w:pPr>
      <w:r>
        <w:t>La decisión del legislador, consistente en la sustitución de una alternativa técnica como es el proyecto de trasvase, por otra distinta de dudosa eficacia como solución técnica, y económicamente ineficiente, que comporta un mayor coste económico para las arcas públicas, carecería de toda justificación desde la perspectiva de la asignación racional de los recursos económicos escasos, resultando por tanto contraria al art. 31.2 CE.</w:t>
      </w:r>
    </w:p>
    <w:p w:rsidR="0026452D" w:rsidRDefault="0026452D" w:rsidP="0026452D">
      <w:pPr>
        <w:pStyle w:val="TextoNormal"/>
      </w:pPr>
    </w:p>
    <w:p w:rsidR="0026452D" w:rsidRDefault="0026452D" w:rsidP="0026452D">
      <w:pPr>
        <w:pStyle w:val="TextoNormal"/>
      </w:pPr>
      <w:r>
        <w:t>Por otra parte, la derogación parcial de la Ley 10/2001, de 5 de julio, del plan hidrológico nacional ha supuesto un coste económico originado por la obligación de indemnizar a los terceros que resulten perjudicados como consecuencia del cambio legislativo, debido concretamente a la resolución de los contratos de construcción o asistencia técnica en ejecución, cuya extinción está vinculada a dicha derogación, razón por la cual la Ley 11/2005 debería haber previsto la responsabilidad del Estado por los daños causados, disponiendo las oportunas indemnizaciones, previa realización de un estudio económico. Al respecto, se entiende que la memoria económica no aporta ningún elemento de juicio para un análisis comparativo entre la viabilidad económica de las medidas incluidas en la Ley 11/2005 y el trasvase del Ebro, limitándose a reproducir una lista de actuaciones que o bien ya estaban previstas en la Ley 10/2001, de 5 de julio, o bien estaban planificadas y, en algunos casos, en ejecución por la propia Comunidad Autónoma, sin configurar una alternativa real al derogado trasvase del Ebro.</w:t>
      </w:r>
    </w:p>
    <w:p w:rsidR="0026452D" w:rsidRDefault="0026452D" w:rsidP="0026452D">
      <w:pPr>
        <w:pStyle w:val="TextoNormal"/>
      </w:pPr>
    </w:p>
    <w:p w:rsidR="0026452D" w:rsidRDefault="0026452D" w:rsidP="0026452D">
      <w:pPr>
        <w:pStyle w:val="TextoNormal"/>
      </w:pPr>
      <w:r>
        <w:t>e) La Ley 11/2005 ofrecería claros indicios de inconstitucionalidad por vulneración del art. 45.2 CE, al no ser racional la planificación del agua como recurso natural que en la misma se contiene.</w:t>
      </w:r>
    </w:p>
    <w:p w:rsidR="0026452D" w:rsidRDefault="0026452D" w:rsidP="0026452D">
      <w:pPr>
        <w:pStyle w:val="TextoNormal"/>
      </w:pPr>
    </w:p>
    <w:p w:rsidR="0026452D" w:rsidRDefault="0026452D" w:rsidP="0026452D">
      <w:pPr>
        <w:pStyle w:val="TextoNormal"/>
      </w:pPr>
      <w:r>
        <w:t>Tras pasar revista una vez más al anterior proceso de planificación hidrológica, fundamentado para la Comunidad recurrente en la racionalidad de las transferencias entre cuencas para superar situaciones deficitarias, se alega que la Ley 11/2005 rompe con dicho proceso, ignorando de forma consciente las cautelas y condiciones que garantizaban la racionalidad y coherencia, y adoptando una alternativa —la construcción de plantas desalinizadoras— que ya habría sido valorada y descartada en la evaluación ambiental estratégica del plan hidrológico nacional de 2001, por resultar más agresiva medioambientalmente que las transferencias entre cuencas.</w:t>
      </w:r>
    </w:p>
    <w:p w:rsidR="0026452D" w:rsidRDefault="0026452D" w:rsidP="0026452D">
      <w:pPr>
        <w:pStyle w:val="TextoNormal"/>
      </w:pPr>
    </w:p>
    <w:p w:rsidR="0026452D" w:rsidRDefault="0026452D" w:rsidP="0026452D">
      <w:pPr>
        <w:pStyle w:val="TextoNormal"/>
      </w:pPr>
      <w:r>
        <w:t>Adoptando como punto de partida el dato, que califica de objetivo, de la situación excedentaria de la cuenca del Ebro, considera que, una vez fijado el caudal ecológico de éste, la utilización racional del agua exige autorizar su destino a otras cuencas que resulten deficitarias. Al quebrar este equilibrio, la Ley 11/2005 supondría una utilización irracional de los recursos naturales, al permitir la pérdida del recurso excedentario, sin aportar alternativa real para hacer frente a la situación de las cuencas deficitarias.</w:t>
      </w:r>
    </w:p>
    <w:p w:rsidR="0026452D" w:rsidRDefault="0026452D" w:rsidP="0026452D">
      <w:pPr>
        <w:pStyle w:val="TextoNormal"/>
      </w:pPr>
    </w:p>
    <w:p w:rsidR="0026452D" w:rsidRDefault="0026452D" w:rsidP="0026452D">
      <w:pPr>
        <w:pStyle w:val="TextoNormal"/>
      </w:pPr>
      <w:r>
        <w:t xml:space="preserve">Invocando las SSTC 74/1982, de 4 de noviembre, 170/1989, de 19 de octubre, 66/1991, de 22 de marzo, 329/1993, de 12 de noviembre, y 90/2000, de 30 de marzo, así como la </w:t>
      </w:r>
      <w:r>
        <w:lastRenderedPageBreak/>
        <w:t>jurisprudencia del Tribunal Supremo y la normativa estatal y comunitaria, se alega por último que la Ley 11/2005 también incurriría en vulneración del art. 45.2 CE porque las infraestructuras y actuaciones previstas en la misma lo han sido al margen de un control ambiental efectivo, al no haberse sometido a evaluación de impacto ambiental ni el plan o programa ni los proyectos resultantes.</w:t>
      </w:r>
    </w:p>
    <w:p w:rsidR="0026452D" w:rsidRDefault="0026452D" w:rsidP="0026452D">
      <w:pPr>
        <w:pStyle w:val="TextoNormal"/>
      </w:pPr>
    </w:p>
    <w:p w:rsidR="0026452D" w:rsidRDefault="0026452D" w:rsidP="0026452D">
      <w:pPr>
        <w:pStyle w:val="TextoNormal"/>
      </w:pPr>
      <w:r>
        <w:t>f) El principio de solidaridad interterritorial de los arts. 2 y 138 CE, que implica un deber de recíproco apoyo entre los territorios integrantes del Estado, obliga a éste, ante una situación de déficit hídrico contrastado, a adoptar medidas positivas que palien esa situación objetiva, con la utilización eficiente de los recursos hídricos y su traslado desde las cuencas excedentarias a las deficitarias. El plan hidrológico nacional sería el instrumento que hace efectiva esa solidaridad, pues su contenido, especialmente los trasvases, no pueden interpretarse de otra forma, siendo un instrumento para lograr el equilibrio y la armonización del desarrollo regional y sectorial en aras a conseguir la solidaridad que exige el mandato constitucional, garantizando que ningún territorio se beneficie injustificadamente, al establecer un conjunto de medidas compensatorias para las cuencas cedentes.</w:t>
      </w:r>
    </w:p>
    <w:p w:rsidR="0026452D" w:rsidRDefault="0026452D" w:rsidP="0026452D">
      <w:pPr>
        <w:pStyle w:val="TextoNormal"/>
      </w:pPr>
    </w:p>
    <w:p w:rsidR="0026452D" w:rsidRDefault="0026452D" w:rsidP="0026452D">
      <w:pPr>
        <w:pStyle w:val="TextoNormal"/>
      </w:pPr>
      <w:r>
        <w:t>Al alterar ese sistema de transferencias, sustituyéndolo por otro que no consta que garantice el mismo caudal y calidad del agua, para la Comunidad Autónoma recurrente la Ley 11/2005 contraviene el principio de solidaridad interterritorial en la utilización racional de los recursos hídricos, haciéndose por ello merecedora de un pronunciamiento de inconstitucionalidad.</w:t>
      </w:r>
    </w:p>
    <w:p w:rsidR="0026452D" w:rsidRDefault="0026452D" w:rsidP="0026452D">
      <w:pPr>
        <w:pStyle w:val="TextoNormal"/>
      </w:pPr>
    </w:p>
    <w:p w:rsidR="0026452D" w:rsidRDefault="0026452D" w:rsidP="0026452D">
      <w:pPr>
        <w:pStyle w:val="TextoNormal"/>
      </w:pPr>
      <w:r>
        <w:t>g) El recurso aborda a continuación las infracciones del texto refundido de la Ley de aguas, que considera integrada en el bloque de la constitucionalidad, en tanto que norma de cabecera que regula el régimen de los recursos hidráulicos, y dado el carácter instrumental de la Ley 10/2001, de 5 de julio, respecto de aquélla.</w:t>
      </w:r>
    </w:p>
    <w:p w:rsidR="0026452D" w:rsidRDefault="0026452D" w:rsidP="0026452D">
      <w:pPr>
        <w:pStyle w:val="TextoNormal"/>
      </w:pPr>
    </w:p>
    <w:p w:rsidR="0026452D" w:rsidRDefault="0026452D" w:rsidP="0026452D">
      <w:pPr>
        <w:pStyle w:val="TextoNormal"/>
      </w:pPr>
      <w:r>
        <w:t>Con remisión a los argumentos detallados en las alegaciones del recurso de inconstitucionalidad núm. 4786-2004, se considera contraria a la Constitución la derogación parcial de la Ley 10/2001, de 5 de julio, al desconocer los preceptos específicos del texto refundido de la Ley de aguas que regulan el contenido, el procedimiento de elaboración y el alcance del plan hidrológico nacional.</w:t>
      </w:r>
    </w:p>
    <w:p w:rsidR="0026452D" w:rsidRDefault="0026452D" w:rsidP="0026452D">
      <w:pPr>
        <w:pStyle w:val="TextoNormal"/>
      </w:pPr>
    </w:p>
    <w:p w:rsidR="0026452D" w:rsidRDefault="0026452D" w:rsidP="0026452D">
      <w:pPr>
        <w:pStyle w:val="TextoNormal"/>
      </w:pPr>
      <w:r>
        <w:t>h) El art. 26.1, párrafo segundo, y los apartados 3 y 5 de la disposición adicional décima de la Ley del plan hidrológico nacional, en la redacción dada por la Ley 11/2005, se impugnan por vulneración del art. 149.1.22 CE y su desarrollo, plasmado en el principio de unidad e indivisibilidad de cuenca establecido en el art. 14 del texto refundido de la Ley de aguas, y por menoscabo de las competencias de las confederaciones hidrográficas, cauce de participación de las Comunidades Autónomas en la gestión de las cuencas supracomunitarias, con vulneración asimismo del principio de interdicción de la arbitrariedad de los poderes públicos del art. 9.3 CE.</w:t>
      </w:r>
    </w:p>
    <w:p w:rsidR="0026452D" w:rsidRDefault="0026452D" w:rsidP="0026452D">
      <w:pPr>
        <w:pStyle w:val="TextoNormal"/>
      </w:pPr>
    </w:p>
    <w:p w:rsidR="0026452D" w:rsidRDefault="0026452D" w:rsidP="0026452D">
      <w:pPr>
        <w:pStyle w:val="TextoNormal"/>
      </w:pPr>
      <w:r>
        <w:t xml:space="preserve">La reforma de 2005 ha establecido un principio general de participación de todas las Comunidades Autónomas en la fijación de los caudales ambientales, a través de los consejos de agua de las cuencas, que quebraría en los preceptos impugnados al no aplicarse a los caudales ambientales en el tramo catalán del Ebro, que se fijan, previo mutuo acuerdo, por la Administración General del Estado y la Generalitat de Cataluña en el plan integral de </w:t>
      </w:r>
      <w:r>
        <w:lastRenderedPageBreak/>
        <w:t>protección del delta del Ebro. Dicha excepción incurriría en manifiesta inconstitucionalidad, por sustraer la competencia al organismo estatal de cuenca así como por privar a las restantes Comunidades Autónomas de su derecho a participar en la fijación de tales caudales ambientales, que ineludiblemente condicionan el régimen hídrico y los sistemas de explotación (la disponibilidad de recursos) de toda la cuenca, y pueden seguir operando como límite añadido a hipotéticos trasvases futuros. Se posibilitaría así la fijación de unos caudales ambientales desproporcionados, ajenos al régimen natural del río, que pueden hipotecar los sistemas de explotación de la cuenca y los aprovechamientos actuales o futuros, con la consecuencia de la desaparición de las “aguas sobrantes” existentes, susceptibles de ser trasvasadas a otras cuencas deficitarias. Con ello se consagraría la ruptura del principio de unidad de gestión de la cuenca del Ebro, puesto que, aprobado el plan integral de protección del delta del Ebro, la fijación de su régimen hídrico seguirá dos procedimientos diferentes.</w:t>
      </w:r>
    </w:p>
    <w:p w:rsidR="0026452D" w:rsidRDefault="0026452D" w:rsidP="0026452D">
      <w:pPr>
        <w:pStyle w:val="TextoNormal"/>
      </w:pPr>
    </w:p>
    <w:p w:rsidR="0026452D" w:rsidRDefault="0026452D" w:rsidP="0026452D">
      <w:pPr>
        <w:pStyle w:val="TextoNormal"/>
      </w:pPr>
      <w:r>
        <w:t>La participación de todas las Comunidades Autónomas en la fijación de los caudales ambientales resulta una consecuencia del sistema constitucional de competencias en materia de aguas, plasmado en la integración de aquéllas en los órganos confederales de las cuencas intercomunitarias, según el modelo sancionado por la SSTC 227/1988, de 29 de noviembre, FFJJ 13 y 15; y 161/1996, de 17 de octubre, FFJJ 4 y 5; y 118/1998, de 4 de junio, FJ 12.</w:t>
      </w:r>
    </w:p>
    <w:p w:rsidR="0026452D" w:rsidRDefault="0026452D" w:rsidP="0026452D">
      <w:pPr>
        <w:pStyle w:val="TextoNormal"/>
      </w:pPr>
    </w:p>
    <w:p w:rsidR="0026452D" w:rsidRDefault="0026452D" w:rsidP="0026452D">
      <w:pPr>
        <w:pStyle w:val="TextoNormal"/>
      </w:pPr>
      <w:r>
        <w:t>La fórmula de colaboración bilateral prevista en la disposición adicional décima de la Ley del plan hidrológico nacional resultaría contraria a la jurisprudencia de este Tribunal, que ha declarado inconstitucionales las medidas unilaterales aprobadas por las Comunidades Autónomas que interfieren o perturban las competencias que corresponden a los organismos estatales de cuenca y, en concreto, las que inciden en la fijación de los caudales ambientales o ecológicos mínimos, que son competencia de los organismos estatales de cuenca (SSTC 15/1998, de 22 de enero, 110/1998, de 21 de mayo, 166/2000, de 15 de junio, y 123/2003, de 19 de junio).</w:t>
      </w:r>
    </w:p>
    <w:p w:rsidR="0026452D" w:rsidRDefault="0026452D" w:rsidP="0026452D">
      <w:pPr>
        <w:pStyle w:val="TextoNormal"/>
      </w:pPr>
    </w:p>
    <w:p w:rsidR="0026452D" w:rsidRDefault="0026452D" w:rsidP="0026452D">
      <w:pPr>
        <w:pStyle w:val="TextoNormal"/>
      </w:pPr>
      <w:r>
        <w:t>Tanto el principio de indivisibilidad de la cuenca, plasmado en el art. 14 del texto refundido de la Ley de aguas y confirmado en la Directiva marco del agua, como el modelo confederal de carácter participativo serían concreción directa del art. 149.1.22 CE y gozarían de una garantía institucional en los términos que la misma ha sido definida por la jurisprudencia constitucional, de lo que deriva que la participación de todas las Comunidades Autónomas en la fijación de los caudales ambientales es una exigencia insoslayable del modelo constitucional de administración del agua.</w:t>
      </w:r>
    </w:p>
    <w:p w:rsidR="0026452D" w:rsidRDefault="0026452D" w:rsidP="0026452D">
      <w:pPr>
        <w:pStyle w:val="TextoNormal"/>
      </w:pPr>
    </w:p>
    <w:p w:rsidR="0026452D" w:rsidRDefault="0026452D" w:rsidP="0026452D">
      <w:pPr>
        <w:pStyle w:val="TextoNormal"/>
      </w:pPr>
      <w:r>
        <w:t>La regulación impugnada menoscaba, por otra parte, la competencia del Estado para aprobar cuanto afecta a la cuenca del Ebro, al quedar sometido el plan integral de protección del delta del Ebro a la aprobación por mutuo acuerdo, lo que convierte la competencia exclusiva del Estado para la aprobación del plan hidrológico de la cuenca en una competencia compartida, y resultaría por tanto inconstitucional.</w:t>
      </w:r>
    </w:p>
    <w:p w:rsidR="0026452D" w:rsidRDefault="0026452D" w:rsidP="0026452D">
      <w:pPr>
        <w:pStyle w:val="TextoNormal"/>
      </w:pPr>
    </w:p>
    <w:p w:rsidR="0026452D" w:rsidRDefault="0026452D" w:rsidP="0026452D">
      <w:pPr>
        <w:pStyle w:val="TextoNormal"/>
      </w:pPr>
      <w:r>
        <w:t xml:space="preserve">Tras una referencia al apartado 1, b), c) y d) de la disposición adicional décima de la Ley del plan hidrológico nacional, que no son objeto del recurso, considera que la regulación prevista para el plan integral de protección del delta del Ebro en los preceptos impugnados constituye una excepción singular que no está justificada ni fundada en razones objetivas debidamente acreditadas, que puede afectar al principio de interdicción de la arbitrariedad contenido en el art. 9.3 CE, pues por muy amplia que sea la discrecionalidad, libertad de </w:t>
      </w:r>
      <w:r>
        <w:lastRenderedPageBreak/>
        <w:t>decisión, o poder de configuración normativa del legislador, esa actuación no puede ni debe ser arbitraria, no puede asentarse sobre el solo fundamento de la voluntad de su titular. Tal arbitrariedad, además, entrañaría una evidente discriminación, lo que comportaría que pueda considerarse la inconstitucionalidad de la norma.</w:t>
      </w:r>
    </w:p>
    <w:p w:rsidR="0026452D" w:rsidRDefault="0026452D" w:rsidP="0026452D">
      <w:pPr>
        <w:pStyle w:val="TextoNormal"/>
      </w:pPr>
    </w:p>
    <w:p w:rsidR="0026452D" w:rsidRDefault="0026452D" w:rsidP="0026452D">
      <w:pPr>
        <w:pStyle w:val="TextoNormal"/>
      </w:pPr>
      <w:r>
        <w:t>i) El art. 42.1 b) c’) del texto refundido de la Ley de aguas, en la redacción dada por la disposición final primera, apartado cuatro, de la Ley 11/2005, define el concepto de caudal ecológico en unos términos que vulnerarían el principio de seguridad jurídica del art. 9.3 CE. Esta tacha se funda en la consideración de tal definición como una fórmula absurda, que no constituye un concepto jurídico indeterminado sino que está permanentemente abierto a continuas ampliaciones, al fijar un criterio cuantitativo abstracto, por referencia a la vida piscícola, que contrasta con el régimen natural de la mayoría de las corrientes y ríos.</w:t>
      </w:r>
    </w:p>
    <w:p w:rsidR="0026452D" w:rsidRDefault="0026452D" w:rsidP="0026452D">
      <w:pPr>
        <w:pStyle w:val="TextoNormal"/>
      </w:pPr>
    </w:p>
    <w:p w:rsidR="0026452D" w:rsidRDefault="0026452D" w:rsidP="0026452D">
      <w:pPr>
        <w:pStyle w:val="TextoNormal"/>
      </w:pPr>
      <w:r>
        <w:t>La inconstitucionalidad resultaría aún más manifiesta, si se tiene en cuenta que lo que se posibilita con esta indefinición, es dejar al mutuo acuerdo de la Administración estatal y la Generalitat de Cataluña la concreción de tan indefinida fórmula, bajo la cobertura de la disposición adicional décima discutida. A partir de ciertos cálculos de lo que podría suponer la elevación del caudal ambiental del tramo final del Ebro, fijado en el vigente plan hidrológico con carácter provisional y orientativo, se señala que tal proyección podría suponer que la totalidad del agua fluyente de la cuenca del Ebro estuviera al servicio de la finalidad ambiental de protección del delta, lo que llegaría a impedir cualquier aprovechamiento en el resto de la cuenca, salvo el de abastecimiento de la población.</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25 de octubre de 2005, la Sección Tercera acordó admitir a trámite el recurso y, de conformidad con lo establecido en el art. 34 de la Ley Orgánica del Tribunal Constitucional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 El día 2 de noviembre de 2005, el Abogado del Estado se personó en el proceso en nombre del Gobierno, solicitando una prórroga de ocho días en el plazo ordinario concedido para formular alegaciones, prórroga que le fue concedida por providencia de la Sección Tercera de 7 de noviembre de 2005.</w:t>
      </w:r>
    </w:p>
    <w:p w:rsidR="0026452D" w:rsidRDefault="0026452D" w:rsidP="0026452D">
      <w:pPr>
        <w:pStyle w:val="TextoNormal"/>
      </w:pPr>
    </w:p>
    <w:p w:rsidR="0026452D" w:rsidRDefault="0026452D" w:rsidP="0026452D">
      <w:pPr>
        <w:pStyle w:val="TextoNormal"/>
      </w:pPr>
      <w:r w:rsidRPr="0026452D">
        <w:rPr>
          <w:rStyle w:val="NumeroAFNegritaCaracter"/>
        </w:rPr>
        <w:t>4</w:t>
      </w:r>
      <w:r>
        <w:t>. El día 7 de noviembre de 2005, el Presidente del Congreso de los Diputados comunicó el acuerdo de la Mesa de la Cámara en el sentido de no personarse en el proceso ni formular alegaciones. El día 8 de noviembre de 2005, el Presidente del Senado comunicó que la Cámara se personaba en el proceso, ofreciendo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El Abogado del Estado, en la representación que legalmente ostenta, presentó su escrito de alegaciones el día 28 de noviembre de 2005, que completó con un anexo documental el 1 de diciembre de 2005. En sus alegaciones se insta la desestimación del recurso, señalando que en los diez primeros motivos de inconstitucionalidad se denuncian diversas infracciones constitucionales que, en última instancia, terminan por reconducirse al texto refundido de la Ley de aguas, y son reiteración, como señala la propia demandante, de los </w:t>
      </w:r>
      <w:r>
        <w:lastRenderedPageBreak/>
        <w:t>aducidos en el recurso de inconstitucionalidad núm. 4786-2004, en atención a la argumentación que se sintetiza seguidamente:</w:t>
      </w:r>
    </w:p>
    <w:p w:rsidR="0026452D" w:rsidRDefault="0026452D" w:rsidP="0026452D">
      <w:pPr>
        <w:pStyle w:val="TextoNormal"/>
      </w:pPr>
    </w:p>
    <w:p w:rsidR="0026452D" w:rsidRDefault="0026452D" w:rsidP="0026452D">
      <w:pPr>
        <w:pStyle w:val="TextoNormal"/>
      </w:pPr>
      <w:r>
        <w:t>a) La STC 227/1988, citada, ya descartó que la planificación hidrológica, como planificación sectorial, tuviera encaje en la planificación económica de carácter general a la que se refiere el art. 131 CE, por lo que la invocación de este precepto constitucional resulta improcedente. Resultaría asimismo artificiosa la pretensión de buscar infracciones formales basadas en la ausencia de intervención de las Comunidades Autónomas pues lo que la recurrente pretende, a través de una compleja argumentación, es constituir en parámetro de la inconstitucionalidad pretendida al art. 20 del texto refundido de la Ley de aguas, que prevé el informe preceptivo del Consejo Nacional del Agua.</w:t>
      </w:r>
    </w:p>
    <w:p w:rsidR="0026452D" w:rsidRDefault="0026452D" w:rsidP="0026452D">
      <w:pPr>
        <w:pStyle w:val="TextoNormal"/>
      </w:pPr>
    </w:p>
    <w:p w:rsidR="0026452D" w:rsidRDefault="0026452D" w:rsidP="0026452D">
      <w:pPr>
        <w:pStyle w:val="TextoNormal"/>
      </w:pPr>
      <w:r>
        <w:t>b) La alegada infracción de los principios de lealtad institucional, coordinación y participación quedaría sin embargo reducida a la simple repetición del reproche anterior, la omisión del informe del Consejo Nacional del Agua, omisión que no se ha producido, acompañando al efecto documento que relaciona las actividades llevadas a cabo por dicho órgano, que resultarían reveladoras de la participación autonómica denunciada de contrario como ausente.</w:t>
      </w:r>
    </w:p>
    <w:p w:rsidR="0026452D" w:rsidRDefault="0026452D" w:rsidP="0026452D">
      <w:pPr>
        <w:pStyle w:val="TextoNormal"/>
      </w:pPr>
    </w:p>
    <w:p w:rsidR="0026452D" w:rsidRDefault="0026452D" w:rsidP="0026452D">
      <w:pPr>
        <w:pStyle w:val="TextoNormal"/>
      </w:pPr>
      <w:r>
        <w:t>Pero, en cualquier caso, la objeción no se basaría en ningún precepto constitucional, sino en el texto refundido de la Ley de aguas, fuera de las invocaciones genéricas de arbitrariedad con cita del art. 9.3 CE, y la cita no menos genérica de los aludidos principios, cuya proyección al objeto de la impugnación ni siquiera se intenta en el recurso.</w:t>
      </w:r>
    </w:p>
    <w:p w:rsidR="0026452D" w:rsidRDefault="0026452D" w:rsidP="0026452D">
      <w:pPr>
        <w:pStyle w:val="TextoNormal"/>
      </w:pPr>
    </w:p>
    <w:p w:rsidR="0026452D" w:rsidRDefault="0026452D" w:rsidP="0026452D">
      <w:pPr>
        <w:pStyle w:val="TextoNormal"/>
      </w:pPr>
      <w:r>
        <w:t>Sobre la alegada vulneración de la Directiva marco del agua, el Abogado del Estado defiende que la Directiva sólo se refiere a los planes de cuenca afirmando, por otro lado, que el cambio de criterio respecto al trasvase parece ser debido a una ponderada y más meditada valoración de las posibilidades reales y efectos previsibles del plan hidrológico nacional. No se trata por tanto de que se hayan reducido los trámites y medidas informativas, sino de que han sido objeto de una apreciación y valoración diferentes, en este caso por las Cortes Generales.</w:t>
      </w:r>
    </w:p>
    <w:p w:rsidR="0026452D" w:rsidRDefault="0026452D" w:rsidP="0026452D">
      <w:pPr>
        <w:pStyle w:val="TextoNormal"/>
      </w:pPr>
    </w:p>
    <w:p w:rsidR="0026452D" w:rsidRDefault="0026452D" w:rsidP="0026452D">
      <w:pPr>
        <w:pStyle w:val="TextoNormal"/>
      </w:pPr>
      <w:r>
        <w:t>El reproche de incoherencia, falta de motivación, contenido caprichoso, inconsecuencia y arbitrariedad, que lleva al recurso a atribuir a la ley impugnada una lesión directa del art. 9.3 CE, se basa en una serie de consideraciones que exceden del plano estrictamente jurídico-constitucional. Las objeciones no pasan de argumentar juicios más favorables sobre otras normas y la preferencia decidida de la Comunidad recurrente por la fórmula del trasvase, sin que pueda cuestionarse la constitucionalidad de una norma por las simples ventajas o desventajas que presente respecto de la norma que ha quedado sustituida.</w:t>
      </w:r>
    </w:p>
    <w:p w:rsidR="0026452D" w:rsidRDefault="0026452D" w:rsidP="0026452D">
      <w:pPr>
        <w:pStyle w:val="TextoNormal"/>
      </w:pPr>
    </w:p>
    <w:p w:rsidR="0026452D" w:rsidRDefault="0026452D" w:rsidP="0026452D">
      <w:pPr>
        <w:pStyle w:val="TextoNormal"/>
      </w:pPr>
      <w:r>
        <w:t>La imputación de arbitrariedad basada en la contradicción de la Ley con sus propios fines, o cuando menos con los fines que enuncia la Directiva 2001/42, tanto en lo relativo a su objetivo de garantizar el suministro de agua en buen estado, como a la evaluación de los efectos de determinados planes y programas en el medio ambiente, se funda en una petición de principio, más implícita que explícita: puesto que no se tiene confianza en los métodos alternativos al trasvase, la norma que lo suprime es arbitraria. Se trataría de una reiteración de un juicio político o técnico relativo a las ventajas de un sistema sobre otro, ajeno igualmente a toda perspectiva razonable de constitucionalidad.</w:t>
      </w:r>
    </w:p>
    <w:p w:rsidR="0026452D" w:rsidRDefault="0026452D" w:rsidP="0026452D">
      <w:pPr>
        <w:pStyle w:val="TextoNormal"/>
      </w:pPr>
    </w:p>
    <w:p w:rsidR="0026452D" w:rsidRDefault="0026452D" w:rsidP="0026452D">
      <w:pPr>
        <w:pStyle w:val="TextoNormal"/>
      </w:pPr>
      <w:r>
        <w:t>c) Gran parte de las consideraciones de la demanda que sustentan la lesión del principio de seguridad jurídica del art. 9.3 CE carece de conexión visible con el precepto constitucional que se invoca, siendo nuevamente simple expresión de juicios de valor.</w:t>
      </w:r>
    </w:p>
    <w:p w:rsidR="0026452D" w:rsidRDefault="0026452D" w:rsidP="0026452D">
      <w:pPr>
        <w:pStyle w:val="TextoNormal"/>
      </w:pPr>
    </w:p>
    <w:p w:rsidR="0026452D" w:rsidRDefault="0026452D" w:rsidP="0026452D">
      <w:pPr>
        <w:pStyle w:val="TextoNormal"/>
      </w:pPr>
      <w:r>
        <w:t>No se alcanza a ver cómo la suspensión de una ley puede garantizar un nivel de seguridad jurídica más adecuado que la derogación, ni por qué razón las alternativas de suministro hídrico previstas en la Ley 11/2005 habrían de ser menos creíbles que las precedentes. En cualquier caso, el crédito que se conceda a una medida legal nada tiene que ver con la seguridad jurídica, ni puede reconocerse como pauta de enjuiciamiento de la constitucionalidad de otras normas posteriores que vengan a modificarla.</w:t>
      </w:r>
    </w:p>
    <w:p w:rsidR="0026452D" w:rsidRDefault="0026452D" w:rsidP="0026452D">
      <w:pPr>
        <w:pStyle w:val="TextoNormal"/>
      </w:pPr>
    </w:p>
    <w:p w:rsidR="0026452D" w:rsidRDefault="0026452D" w:rsidP="0026452D">
      <w:pPr>
        <w:pStyle w:val="TextoNormal"/>
      </w:pPr>
      <w:r>
        <w:t>La Ley 10/2001, de 5 de julio, del plan hidrológico nacional era una norma inmediatamente vinculante para el Ejecutivo, pero sus objetivos no constituyen un derecho de los ciudadanos en el sentido de que queden los poderes públicos vinculados constitucionalmente a su consecución, al margen de su vigencia. No hay una necesaria correspondencia entre las previsiones planificadoras y el derecho constitucional a sus resultados por efecto de la confianza generada en los ciudadanos. Tales previsiones no pasan de ser meras expectativas para los ciudadanos, que, además, por no tener otro fundamento que la ley, quedan sujetas al régimen de sus posibles modificaciones o derogaciones.</w:t>
      </w:r>
    </w:p>
    <w:p w:rsidR="0026452D" w:rsidRDefault="0026452D" w:rsidP="0026452D">
      <w:pPr>
        <w:pStyle w:val="TextoNormal"/>
      </w:pPr>
    </w:p>
    <w:p w:rsidR="0026452D" w:rsidRDefault="0026452D" w:rsidP="0026452D">
      <w:pPr>
        <w:pStyle w:val="TextoNormal"/>
      </w:pPr>
      <w:r>
        <w:t>d) La aducida infracción del art. 31.2 CE, relativo a la eficiencia en el gasto público, reproduciendo en esencia las alegaciones contenidas en el recurso de inconstitucionalidad núm. 4786-2004, parte de suponer que la dotación de agua a las zonas mediterráneas viene a ser un postulado directo de la Constitución, de modo que la elección entre las alternativas técnicas de llevarla a cabo puede ser controlada en sede jurisdiccional en función de su mayor o menor adecuación a los fines constitucionales. Sin embargo, tanto la dotación de agua a determinados territorios como el modo de llevarla a cabo pertenecen al espacio general de decisión de los poderes públicos, sin que en el presente caso se haya desistido de la finalidad expresada; simplemente, se ha articulado una modificación en las alternativas para su suministro.</w:t>
      </w:r>
    </w:p>
    <w:p w:rsidR="0026452D" w:rsidRDefault="0026452D" w:rsidP="0026452D">
      <w:pPr>
        <w:pStyle w:val="TextoNormal"/>
      </w:pPr>
    </w:p>
    <w:p w:rsidR="0026452D" w:rsidRDefault="0026452D" w:rsidP="0026452D">
      <w:pPr>
        <w:pStyle w:val="TextoNormal"/>
      </w:pPr>
      <w:r>
        <w:t>La nueva regulación se dicta precisamente por la convicción de que el plan hidrológico nacional de 2001 había sufrido errores importantes de apreciación o valoración: exageración de sus beneficios, infravaloración y omisión de costes significativos, ausencia de concreción en el sistema de precios y tarifas, inviabilidad económica de los recursos aplicables al regadío en aplicación del principio de recuperación de costes, sin que la demanda ofrezca una contradicción expresa de esas afirmaciones.</w:t>
      </w:r>
    </w:p>
    <w:p w:rsidR="0026452D" w:rsidRDefault="0026452D" w:rsidP="0026452D">
      <w:pPr>
        <w:pStyle w:val="TextoNormal"/>
      </w:pPr>
    </w:p>
    <w:p w:rsidR="0026452D" w:rsidRDefault="0026452D" w:rsidP="0026452D">
      <w:pPr>
        <w:pStyle w:val="TextoNormal"/>
      </w:pPr>
      <w:r>
        <w:t>El mandato del art. 31.2 CE es el que habría promovido la modificación de la Ley 10/2001, de 5 de julio, del plan hidrológico nacional, mediante la selección de una fórmula más económica de ejecución, evitando el despilfarro que supondría la ejecución de unas obras que se van a sustituir.</w:t>
      </w:r>
    </w:p>
    <w:p w:rsidR="0026452D" w:rsidRDefault="0026452D" w:rsidP="0026452D">
      <w:pPr>
        <w:pStyle w:val="TextoNormal"/>
      </w:pPr>
    </w:p>
    <w:p w:rsidR="0026452D" w:rsidRDefault="0026452D" w:rsidP="0026452D">
      <w:pPr>
        <w:pStyle w:val="TextoNormal"/>
      </w:pPr>
      <w:r>
        <w:t xml:space="preserve">e) La demanda reduce prácticamente la proyección del art. 45.2 CE que considera infringido a su cita, y al intento de identificar la racionalidad de la aplicación de recursos escasos con preceptos del texto refundido de la Ley de aguas, reiterando un único e insistente argumento basado en la inconveniencia de cualquier solución alternativa al trasvase del Ebro, </w:t>
      </w:r>
      <w:r>
        <w:lastRenderedPageBreak/>
        <w:t>que se presenta como única y verdadera solución. La misma aporía se aplica en la argumentación de la demanda a los planes de cuenca.</w:t>
      </w:r>
    </w:p>
    <w:p w:rsidR="0026452D" w:rsidRDefault="0026452D" w:rsidP="0026452D">
      <w:pPr>
        <w:pStyle w:val="TextoNormal"/>
      </w:pPr>
    </w:p>
    <w:p w:rsidR="0026452D" w:rsidRDefault="0026452D" w:rsidP="0026452D">
      <w:pPr>
        <w:pStyle w:val="TextoNormal"/>
      </w:pPr>
      <w:r>
        <w:t>En cuanto al reproche relativo al insuficiente estudio de las condiciones ambientales, parece olvidarse que la modificación de la Ley del plan hidrológico nacional ha podido contar y ha contado, cuando menos, con los mismos datos y antecedentes de que se había dispuesto para su formulación original, siendo bastante explícita la exposición de motivos en cuanto a los aspectos que se han tomado en consideración. La Ley 10/2001, de 5 de julio, del plan hidrológico nacional y las resoluciones dictadas en su desarrollo habían juzgado favorablemente el impacto del trasvase del Ebro, pero tal juicio positivo no vincula perpetuamente, ni impide una revisión crítica de la medida.</w:t>
      </w:r>
    </w:p>
    <w:p w:rsidR="0026452D" w:rsidRDefault="0026452D" w:rsidP="0026452D">
      <w:pPr>
        <w:pStyle w:val="TextoNormal"/>
      </w:pPr>
    </w:p>
    <w:p w:rsidR="0026452D" w:rsidRDefault="0026452D" w:rsidP="0026452D">
      <w:pPr>
        <w:pStyle w:val="TextoNormal"/>
      </w:pPr>
      <w:r>
        <w:t>Al margen de cualquier juicio sobre la oportunidad o acierto de la supresión del trasvase, no hay duda de que se ha aplicado un principio de cautela en la utilización de los recursos naturales, por las dudas e incertidumbres que ocasionaba lo que se ha considerado como un análisis insuficiente de las previsiones técnicas.</w:t>
      </w:r>
    </w:p>
    <w:p w:rsidR="0026452D" w:rsidRDefault="0026452D" w:rsidP="0026452D">
      <w:pPr>
        <w:pStyle w:val="TextoNormal"/>
      </w:pPr>
    </w:p>
    <w:p w:rsidR="0026452D" w:rsidRDefault="0026452D" w:rsidP="0026452D">
      <w:pPr>
        <w:pStyle w:val="TextoNormal"/>
      </w:pPr>
      <w:r>
        <w:t>La invocación de la Directiva 2001/42, que responde al intento de negar a la nueva regulación el derecho a formular su propia valoración sobre los estudios previos ya efectuados, es por lo demás un intento de reconducir a un precepto constitucional el contenido de una directiva.</w:t>
      </w:r>
    </w:p>
    <w:p w:rsidR="0026452D" w:rsidRDefault="0026452D" w:rsidP="0026452D">
      <w:pPr>
        <w:pStyle w:val="TextoNormal"/>
      </w:pPr>
    </w:p>
    <w:p w:rsidR="0026452D" w:rsidRDefault="0026452D" w:rsidP="0026452D">
      <w:pPr>
        <w:pStyle w:val="TextoNormal"/>
      </w:pPr>
      <w:r>
        <w:t>f) No puede acogerse la imputada vulneración de los arts. 2 y 138 CE, que se sitúa en un elevadísimo nivel de abstracción, pues no es posible emitir un juicio sobre el grado de solidaridad apreciable en cada una de las soluciones posibles, ni aunque lo fuera, habría de ser esa hipotética valoración de las “solidaridades concurrentes” un elemento determinante de la validez constitucional de ninguna de ellas. El recurso abiertamente interesa un juicio descalificador de la Ley 11/2005, por su eficacia modificativa de lo que apriorísticamente se juzga como única solución a los déficit de agua, con una argumentación destacadamente expresiva de la índole política del control que se pide.</w:t>
      </w:r>
    </w:p>
    <w:p w:rsidR="0026452D" w:rsidRDefault="0026452D" w:rsidP="0026452D">
      <w:pPr>
        <w:pStyle w:val="TextoNormal"/>
      </w:pPr>
    </w:p>
    <w:p w:rsidR="0026452D" w:rsidRDefault="0026452D" w:rsidP="0026452D">
      <w:pPr>
        <w:pStyle w:val="TextoNormal"/>
      </w:pPr>
      <w:r>
        <w:t>g) La identidad auténtica de los parámetros utilizados para pedir la declaración de inconstitucionalidad de la ley impugnada se sitúa en el texto refundido de la Ley de aguas y en la legislación precedente y derogada. No es aceptable la tesis que sostiene que el texto refundido de la Ley de aguas constituye un elemento del bloque de la constitucionalidad: la Constitución es la norma suprema y no permite incorporar a sus contenidos cualesquiera otros preceptos que le están subordinados.</w:t>
      </w:r>
    </w:p>
    <w:p w:rsidR="0026452D" w:rsidRDefault="0026452D" w:rsidP="0026452D">
      <w:pPr>
        <w:pStyle w:val="TextoNormal"/>
      </w:pPr>
    </w:p>
    <w:p w:rsidR="0026452D" w:rsidRDefault="0026452D" w:rsidP="0026452D">
      <w:pPr>
        <w:pStyle w:val="TextoNormal"/>
      </w:pPr>
      <w:r>
        <w:t xml:space="preserve">h) La regulación relativa al plan integral de protección del delta del Ebro tiene una razón instrumental o práctica, dada la concurrencia de competencias estatales, </w:t>
      </w:r>
      <w:r w:rsidRPr="0026452D">
        <w:rPr>
          <w:i/>
        </w:rPr>
        <w:t>ex</w:t>
      </w:r>
      <w:r>
        <w:t xml:space="preserve"> art. 149.1.22 CE, y autonómicas, por el singular valor ecológico del delta del Ebro. La sustitución de un mecanismo diversificador de las fases preparatoria y aprobatoria por una actuación conjunta del Estado y la Generalitat en ambas fases es una cuestión de técnica o praxis operativa, que en nada trastorna o perjudica las competencias complejas y superpuestas que puedan corresponder a cada uno de los intervinientes en esta acción planificadora, citándose al efecto la jurisprudencia constitucional sobre las exigencias del principio de cooperación, que reconoce cierto margen de libertad en la configuración y elección de las técnicas cooperativas.</w:t>
      </w:r>
    </w:p>
    <w:p w:rsidR="0026452D" w:rsidRDefault="0026452D" w:rsidP="0026452D">
      <w:pPr>
        <w:pStyle w:val="TextoNormal"/>
      </w:pPr>
    </w:p>
    <w:p w:rsidR="0026452D" w:rsidRDefault="0026452D" w:rsidP="0026452D">
      <w:pPr>
        <w:pStyle w:val="TextoNormal"/>
      </w:pPr>
      <w:r>
        <w:lastRenderedPageBreak/>
        <w:t>Rechaza el Abogado del Estado que de la mera previsión del plan, o de su régimen de confección y aprobación, pueda inferirse que haya de generar, como supone la demanda, la fijación de unos caudales ambientales desproporcionados, recordando que, según la doctrina del Tribunal, la mera posibilidad de extralimitaciones o abusos en la aplicación de una norma no puede constituir motivo de reproche constitucional.</w:t>
      </w:r>
    </w:p>
    <w:p w:rsidR="0026452D" w:rsidRDefault="0026452D" w:rsidP="0026452D">
      <w:pPr>
        <w:pStyle w:val="TextoNormal"/>
      </w:pPr>
    </w:p>
    <w:p w:rsidR="0026452D" w:rsidRDefault="0026452D" w:rsidP="0026452D">
      <w:pPr>
        <w:pStyle w:val="TextoNormal"/>
      </w:pPr>
      <w:r>
        <w:t>La Ley 11/2005 no ha hecho desaparecer la competencia exclusiva del Estado, pues sin su aprobación el plan no alcanza eficacia. No se ha convertido en compartida una competencia exclusiva; simplemente, se ha buscado una fórmula de cooperación allí donde, debido a la concurrencia de competencias y a la diversidad de contenidos, se juzga necesaria la armonización de intereses.</w:t>
      </w:r>
    </w:p>
    <w:p w:rsidR="0026452D" w:rsidRDefault="0026452D" w:rsidP="0026452D">
      <w:pPr>
        <w:pStyle w:val="TextoNormal"/>
      </w:pPr>
    </w:p>
    <w:p w:rsidR="0026452D" w:rsidRDefault="0026452D" w:rsidP="0026452D">
      <w:pPr>
        <w:pStyle w:val="TextoNormal"/>
      </w:pPr>
      <w:r>
        <w:t>Los preceptos relativos al plan integral de protección del delta del Ebro que se impugnan no constituyen realmente una excepción al régimen general de aguas terrestres, sino una previsión de plan integral cuyo alcance rebasa el estricto marco de la legislación de aguas, y que tiene una finalidad de aseguramiento de las condiciones ecológicas especiales del delta del Ebro.</w:t>
      </w:r>
    </w:p>
    <w:p w:rsidR="0026452D" w:rsidRDefault="0026452D" w:rsidP="0026452D">
      <w:pPr>
        <w:pStyle w:val="TextoNormal"/>
      </w:pPr>
    </w:p>
    <w:p w:rsidR="0026452D" w:rsidRDefault="0026452D" w:rsidP="0026452D">
      <w:pPr>
        <w:pStyle w:val="TextoNormal"/>
      </w:pPr>
      <w:r>
        <w:t>Aprecia entre las objeciones hechas la introducción de pautas valorativas de carácter extrajurídico, que de diversas maneras se quieren relacionar con la derogación de las previsiones de la Ley del plan hidrológico nacional relativas al trasvase del Ebro, ajenas al marco de un proceso de inconstitucionalidad.</w:t>
      </w:r>
    </w:p>
    <w:p w:rsidR="0026452D" w:rsidRDefault="0026452D" w:rsidP="0026452D">
      <w:pPr>
        <w:pStyle w:val="TextoNormal"/>
      </w:pPr>
    </w:p>
    <w:p w:rsidR="0026452D" w:rsidRDefault="0026452D" w:rsidP="0026452D">
      <w:pPr>
        <w:pStyle w:val="TextoNormal"/>
      </w:pPr>
      <w:r>
        <w:t>Por otra parte, el recurso en este punto prácticamente se resuelve en entender que la infracción de la Constitución se revela en una infracción del texto refundido de la Ley de aguas, invocando el art. 149.1.22 CE, más que por lo que su texto dice, por lo que expresa otro texto legal que se presenta como emanación, concreción o corolario del primero, lo que resulta improcedente al desplazar la cuestión a la confrontación entre dos normas legales, prestando al texto refundido de la Ley de aguas un rango que no tiene, pues no es más que una ley ordinaria que puede ser modificada por otra del mismo rango, cuando la imputación de inconstitucionalidad exige acreditar una contradicción con la propia Constitución.</w:t>
      </w:r>
    </w:p>
    <w:p w:rsidR="0026452D" w:rsidRDefault="0026452D" w:rsidP="0026452D">
      <w:pPr>
        <w:pStyle w:val="TextoNormal"/>
      </w:pPr>
    </w:p>
    <w:p w:rsidR="0026452D" w:rsidRDefault="0026452D" w:rsidP="0026452D">
      <w:pPr>
        <w:pStyle w:val="TextoNormal"/>
      </w:pPr>
      <w:r>
        <w:t>El papel de las confederaciones hidrográficas ha sido destacado por la jurisprudencia constitucional como mecanismo de colaboración interadministrativa, pero no puede convertirse en un condicionamiento rígido y absoluto de la propia competencia que lo instituye, y no excluye que determinados planes de naturaleza singular y compleja, como el plan integral de protección del delta del Ebro, puedan ser objeto de una acción colaboradora directa entre el titular de la competencia general sobre la materia y el ente con múltiples competencias confluentes en el mismo espacio físico.</w:t>
      </w:r>
    </w:p>
    <w:p w:rsidR="0026452D" w:rsidRDefault="0026452D" w:rsidP="0026452D">
      <w:pPr>
        <w:pStyle w:val="TextoNormal"/>
      </w:pPr>
    </w:p>
    <w:p w:rsidR="0026452D" w:rsidRDefault="0026452D" w:rsidP="0026452D">
      <w:pPr>
        <w:pStyle w:val="TextoNormal"/>
      </w:pPr>
      <w:r>
        <w:t xml:space="preserve">El principio de unidad de gestión de la cuenca no resulta contradicho en modo alguno por lo que la demanda llama bilateralidad de la fórmula contenida en la disposición adicional décima de la Ley 10/2001, de 5 de julio, del plan hidrológico nacional, no habiendo declinado el Estado el ejercicio de competencia propia alguna, pues la aprobación del plan integral de protección del delta del Ebro está condicionada absolutamente por un acto estatal, congruentemente con lo establecido en el art. 149.1.22 CE. La doble aprobación del plan integral de protección del delta del Ebro se corresponde con toda lógica a la visible concurrencia de competencias. Además, la incorporación de los caudales ambientales del plan </w:t>
      </w:r>
      <w:r>
        <w:lastRenderedPageBreak/>
        <w:t>integral de protección del delta del Ebro tendrá lugar mediante la revisión del plan hidrológico del Ebro, mediante el procedimiento ordinario, y no de un procedimiento extraordinario o especial derivado de esta modificación legal.</w:t>
      </w:r>
    </w:p>
    <w:p w:rsidR="0026452D" w:rsidRDefault="0026452D" w:rsidP="0026452D">
      <w:pPr>
        <w:pStyle w:val="TextoNormal"/>
      </w:pPr>
    </w:p>
    <w:p w:rsidR="0026452D" w:rsidRDefault="0026452D" w:rsidP="0026452D">
      <w:pPr>
        <w:pStyle w:val="TextoNormal"/>
      </w:pPr>
      <w:r>
        <w:t>i) En cuanto a la impugnación de la modificación del art. 42.1 b) c’) del texto refundido de la Ley de aguas, dirigida contra la definición del caudal ecológico, referida a la vida piscícola, se considera que no es una pauta novedosa, ni menos aún contradictoria con la finalidad de conservación o recuperación del medio natural que expresa el propio precepto en el encabezamiento de su redacción, habiéndose desfigurado en la demanda el sentido y alcance del precepto combatido.</w:t>
      </w:r>
    </w:p>
    <w:p w:rsidR="0026452D" w:rsidRDefault="0026452D" w:rsidP="0026452D">
      <w:pPr>
        <w:pStyle w:val="TextoNormal"/>
      </w:pPr>
    </w:p>
    <w:p w:rsidR="0026452D" w:rsidRDefault="0026452D" w:rsidP="0026452D">
      <w:pPr>
        <w:pStyle w:val="TextoNormal"/>
      </w:pPr>
      <w:r>
        <w:t>La segunda objeción que se formula integra una afirmación apodíctica de ser la Generalitat de Cataluña la llamada a fijar los caudales ambientales, cuando lo cierto es que el precepto impugnado constituye una norma estatal, se refiere a todas las aguas de España y no contiene la más mínima referencia a dicha Comunidad, ni a ninguna otra en particular.</w:t>
      </w:r>
    </w:p>
    <w:p w:rsidR="0026452D" w:rsidRDefault="0026452D" w:rsidP="0026452D">
      <w:pPr>
        <w:pStyle w:val="TextoNormal"/>
      </w:pPr>
    </w:p>
    <w:p w:rsidR="0026452D" w:rsidRDefault="0026452D" w:rsidP="0026452D">
      <w:pPr>
        <w:pStyle w:val="TextoNormal"/>
      </w:pPr>
      <w:r>
        <w:t>Finalmente, respecto de los cálculos sobre hipótesis de futuro que se introducen en la demanda, se opone que la redacción del precepto introduzca unas limitaciones que antes no existían y que permiten un grado de determinación en los caudales ecológicos bastante preciso, en nada diferente de otros conceptos indeterminados.</w:t>
      </w:r>
    </w:p>
    <w:p w:rsidR="0026452D" w:rsidRDefault="0026452D" w:rsidP="0026452D">
      <w:pPr>
        <w:pStyle w:val="TextoNormal"/>
      </w:pPr>
    </w:p>
    <w:p w:rsidR="0026452D" w:rsidRDefault="0026452D" w:rsidP="0026452D">
      <w:pPr>
        <w:pStyle w:val="TextoNormal"/>
      </w:pPr>
      <w:r w:rsidRPr="0026452D">
        <w:rPr>
          <w:rStyle w:val="NumeroAFNegritaCaracter"/>
        </w:rPr>
        <w:t>6</w:t>
      </w:r>
      <w:r>
        <w:t>. Con fecha 22 de mayo de 2008, la representación procesal de la Comunidad recurrente presentó escrito solicitando la práctica de determinada prueba al amparo de lo dispuesto por el art. 89 LOTC, a lo que se opuso el Abogado del Estado mediante escrito presentado el 24 de junio de 2008. La práctica de la prueba solicitada se denegó mediante ATC 67/2009, de 24 de febrero.</w:t>
      </w:r>
    </w:p>
    <w:p w:rsidR="0026452D" w:rsidRDefault="0026452D" w:rsidP="0026452D">
      <w:pPr>
        <w:pStyle w:val="TextoNormal"/>
      </w:pPr>
    </w:p>
    <w:p w:rsidR="0026452D" w:rsidRDefault="0026452D" w:rsidP="0026452D">
      <w:pPr>
        <w:pStyle w:val="TextoNormal"/>
      </w:pPr>
      <w:r w:rsidRPr="0026452D">
        <w:rPr>
          <w:rStyle w:val="NumeroAFNegritaCaracter"/>
        </w:rPr>
        <w:t>7</w:t>
      </w:r>
      <w:r>
        <w:t>. Por providencia de 29 de enero de 2013 se señaló para deliberación y votación del presente recurso el día 31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interpone por el Gobierno de la Generalitat Valenciana contra el artículo 26.1, párrafo segundo, en el inciso “sin perjuicio de lo dispuesto en la disposición adicional décima en relación con el Plan Integral de Protección del Delta del Ebro”, y los apartados 3 y 5 de la disposición adicional décima de la Ley 10/2001, de 5 de julio, del plan hidrológico nacional, en la redacción dada por los apartados noveno y decimoquinto del artículo único de la Ley 11/2005, de 22 de junio, la disposición derogatoria única, 1 y 3, de la Ley 11/2005, y el art. 42.1 b) c’) del texto refundido de la Ley de aguas, en la redacción dada por la disposición final primera, apartado cuatro, de la Ley 11/2005.</w:t>
      </w:r>
    </w:p>
    <w:p w:rsidR="0026452D" w:rsidRDefault="0026452D" w:rsidP="0026452D">
      <w:pPr>
        <w:pStyle w:val="TextoNormal"/>
      </w:pPr>
    </w:p>
    <w:p w:rsidR="0026452D" w:rsidRDefault="0026452D" w:rsidP="0026452D">
      <w:pPr>
        <w:pStyle w:val="TextoNormal"/>
      </w:pPr>
      <w:r>
        <w:t>Tal es el objeto del recurso según queda delimitado en el suplico de la demanda, y a tal objeto se contraerá el examen de constitucionalidad que nos corresponde, sin entrar en el análisis de otros contenidos de la Ley 11/2005 a los que se alude a lo largo de las alegaciones de la Comunidad recurrente, según ha quedado expuesto con detalle en los antecedentes.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2</w:t>
      </w:r>
      <w:r>
        <w:t>. Los apartados 3 y 5 de la disposición derogatoria única de la Ley 11/2005 constituyen el núcleo principal del recurso. Se derogan en los mismos los arts. 2.2, letra e), 6, letra c), 13, 16, 17, 18, 19, 21, 22, 23 y 36.4, segundo inciso (desde: “Por dicha razón.”, hasta: “ la presente Ley”), de la Ley 10/2001, de 5 de julio, del plan hidrológico nacional, y el art. 125 de la Ley 62/2003, de 30 de diciembre, de medidas fiscales, administrativas y del orden social.</w:t>
      </w:r>
    </w:p>
    <w:p w:rsidR="0026452D" w:rsidRDefault="0026452D" w:rsidP="0026452D">
      <w:pPr>
        <w:pStyle w:val="TextoNormal"/>
      </w:pPr>
    </w:p>
    <w:p w:rsidR="0026452D" w:rsidRDefault="0026452D" w:rsidP="0026452D">
      <w:pPr>
        <w:pStyle w:val="TextoNormal"/>
      </w:pPr>
      <w:r>
        <w:t>La derogación que se impugna afecta al conjunto de las previsiones normativas relativas a las transferencias de agua entre el Bajo Ebro y las cuencas hidrológicas internas de Cataluña, del Júcar, del Segura y del Sur, genéricamente conocido como “trasvase del Ebro”, que se contiene en la Ley 11/2005 pero trae causa de la tramitación del Real Decreto-ley 2/2004, de 18 de junio, por el que se modifica la Ley 10/2001, de 5 de julio, del plan hidrológico nacional, como proyecto de ley, en virtud de lo dispuesto por el art. 86.3 CE. Esta circunstancia explica que la mayor parte de las cuestiones que son objeto de este proceso constitucional hayan sido ya resueltas por este Tribunal en la STC 237/2012, de 13 de diciembre, recaída en el recurso de inconstitucionalidad núm. 4786-2004, interpuesto por el Gobierno de la Generalitat Valenciana contra el citado Real Decreto-ley 2/2004, como se evidencia, por otra parte, en las múltiples remisiones de las partes a las alegaciones allí efectuadas, y que han quedado resumidas en los antecedentes. En consecuencia, haremos ahora en lo que proceda referencia, más sucinta, a nuestra anterior resolución.</w:t>
      </w:r>
    </w:p>
    <w:p w:rsidR="0026452D" w:rsidRDefault="0026452D" w:rsidP="0026452D">
      <w:pPr>
        <w:pStyle w:val="TextoNormal"/>
      </w:pPr>
    </w:p>
    <w:p w:rsidR="0026452D" w:rsidRDefault="0026452D" w:rsidP="0026452D">
      <w:pPr>
        <w:pStyle w:val="TextoNormal"/>
      </w:pPr>
      <w:r>
        <w:t>a) El reproche basado en la infracción del art. 131.2 CE, derivado de la omisión del informe del Consejo Nacional del Agua, no puede prosperar. En la STC 237/2012, de 13 de diciembre, recogiendo la doctrina anterior (SSTC 29/1986, de 20 de febrero, FJ 3; y STC 227/1988, de 29 de noviembre, FJ 20 a), hemos recordado que el art. 131 CE responde “a la previsión de una posible planificación económica de carácter general como indica su propio tenor literal, y ... de los trabajos y deliberaciones parlamentarias para la elaboración de la Constitución se deduce también que se refiere a una planificación conjunta, de carácter global, de la actividad económica. Por ello, resulta claro que la observancia de tal precepto no es obligada constitucionalmente en una planificación de ámbito más reducido, por importante que pueda ser. Como se advirtió en la STC 227/1988, ha sido el propio legislador, que no el constituyente, quien ha dispuesto que un instrumento de planificación sectorial como es el plan hidrológico nacional se apruebe mediante ley … y quien ha contemplado igualmente la participación de las Comunidades Autónomas en el procedimiento de elaboración de los planes hidrológicos estatales como instrumento general de colaboración y coordinación de la planificación hidrológica con otras medidas de planeamiento concurrentes” (FJ 8).</w:t>
      </w:r>
    </w:p>
    <w:p w:rsidR="0026452D" w:rsidRDefault="0026452D" w:rsidP="0026452D">
      <w:pPr>
        <w:pStyle w:val="TextoNormal"/>
      </w:pPr>
    </w:p>
    <w:p w:rsidR="0026452D" w:rsidRDefault="0026452D" w:rsidP="0026452D">
      <w:pPr>
        <w:pStyle w:val="TextoNormal"/>
      </w:pPr>
      <w:r>
        <w:t>Concluimos entonces que el art. 131 CE no puede erigirse en canon de validez del Real Decreto-ley 2/2004, e igual conclusión resulta aplicable a la Ley 11/2005.</w:t>
      </w:r>
    </w:p>
    <w:p w:rsidR="0026452D" w:rsidRDefault="0026452D" w:rsidP="0026452D">
      <w:pPr>
        <w:pStyle w:val="TextoNormal"/>
      </w:pPr>
    </w:p>
    <w:p w:rsidR="0026452D" w:rsidRDefault="0026452D" w:rsidP="0026452D">
      <w:pPr>
        <w:pStyle w:val="TextoNormal"/>
      </w:pPr>
      <w:r>
        <w:t>b) Lo mismo sucede con las tachas relativas a la infracción del principio de interdicción de la arbitrariedad del art. 9.3 CE, que la Comunidad recurrente apoya en distintas líneas argumentales.</w:t>
      </w:r>
    </w:p>
    <w:p w:rsidR="0026452D" w:rsidRDefault="0026452D" w:rsidP="0026452D">
      <w:pPr>
        <w:pStyle w:val="TextoNormal"/>
      </w:pPr>
    </w:p>
    <w:p w:rsidR="0026452D" w:rsidRDefault="0026452D" w:rsidP="0026452D">
      <w:pPr>
        <w:pStyle w:val="TextoNormal"/>
      </w:pPr>
      <w:r>
        <w:t xml:space="preserve">Con respecto a la falta de intervención del Consejo Nacional del Agua en el procedimiento de elaboración de la Ley 11/2005, debemos recordar que en la STC 237/2012, de 13 </w:t>
      </w:r>
      <w:r>
        <w:lastRenderedPageBreak/>
        <w:t xml:space="preserve">de diciembre, ya establecimos que “no es posible concluir que el legislador infraconstitucional haya podido trascenderse a sí mismo e introducir en el art. 86 CE una limitación procedimental </w:t>
      </w:r>
      <w:r w:rsidRPr="0026452D">
        <w:rPr>
          <w:i/>
        </w:rPr>
        <w:t>ratione materiae</w:t>
      </w:r>
      <w:r>
        <w:t xml:space="preserve"> para la utilización del decreto-ley cuando concurra el presupuesto habilitante” (FJ 8). Análogamente, habremos de concluir ahora que, al proceder la Ley 11/2005, como ya hemos expuesto, de la decisión adoptada por el Congreso de los Diputados de tramitar el Real Decreto-ley 2/2004 como proyecto de ley, según lo previsto en el art. 86.3 CE, dicha tramitación se desarrolla a partir de ese momento exclusivamente en el seno de las Cortes Generales, y se rige únicamente por la propia Constitución y por los Reglamentos de las Cámaras.</w:t>
      </w:r>
    </w:p>
    <w:p w:rsidR="0026452D" w:rsidRDefault="0026452D" w:rsidP="0026452D">
      <w:pPr>
        <w:pStyle w:val="TextoNormal"/>
      </w:pPr>
    </w:p>
    <w:p w:rsidR="0026452D" w:rsidRDefault="0026452D" w:rsidP="0026452D">
      <w:pPr>
        <w:pStyle w:val="TextoNormal"/>
      </w:pPr>
      <w:r>
        <w:t>En consecuencia, y sin necesidad de entrar a analizar la relevancia constitucional de la tramitación prelegislativa, es clara la inaplicabilidad al supuesto aquí examinado del procedimiento previsto en la legislación ordinaria para la elaboración y tramitación de los anteproyectos de ley, necesariamente previo a la decisión del Gobierno de aprobar un proyecto de ley y someterlo al Congreso de los Diputados.</w:t>
      </w:r>
    </w:p>
    <w:p w:rsidR="0026452D" w:rsidRDefault="0026452D" w:rsidP="0026452D">
      <w:pPr>
        <w:pStyle w:val="TextoNormal"/>
      </w:pPr>
    </w:p>
    <w:p w:rsidR="0026452D" w:rsidRDefault="0026452D" w:rsidP="0026452D">
      <w:pPr>
        <w:pStyle w:val="TextoNormal"/>
      </w:pPr>
      <w:r>
        <w:t>El reproche al carácter caprichoso, inconsecuente o incoherente de la modificación de la Ley 10/2001, de 5 de julio, del plan hidrológico nacional, en que el recurso funda el vicio de arbitrariedad proscrito por el art. 9.3 CE, “se asienta como premisa mayor del silogismo en la incontrovertible ‘coherencia y motivación racional’ de las decisiones adoptadas en la Ley del plan hidrológico nacional, coherencia y racionalidad que derivarían en gran medida de los trámites prelegislativos del proceso de elaboración de la Ley 10/2001, de 5 de julio, que lo aprobó, de modo que sólo reproduciendo esos mismos trámites podría modificarse la Ley sin afectar a su coherencia y racionalidad … Falta, sin embargo, una mínima acreditación de esa quiebra de la coherencia del plan hidrológico nacional que vaya más allá de la legítima discrepancia acerca de los medios dispuestos … para suministrar agua a las cuencas mediterráneas, como también se encuentra ayuna esta argumentación de cualquier consideración sobre los posibles efectos discriminatorios de la Ley del plan hidrológico nacional resultantes de su modificación parcial … siendo de recordar que este Tribunal viene afirmando que, cuando del enjuiciamiento de una norma legal desde la perspectiva que proporciona la interdicción de arbitrariedad consagrada por el art. 9.3 CE se trata,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(entre otras muchas, SSTC 104/2000, de 13 de abril, FJ 8; y 148/2012, de 5 de julio, FJ 15). La modificación parcial de la Ley responde a unas razones expuestas con detalle en el preámbulo … Cuestión distinta, y sobre la que no procede que este Tribunal formule pronunciamiento alguno, es la eficacia persuasiva que esas mismas razones hayan podido tener en el Gobierno de la Generalitat Valenciana. Pero la legítima discrepancia con la norma no es de suyo razón de inconstitucionalidad”, a lo que hay que añadir que “los informes, estudios e intervenciones previos a la elaboración de la Ley del plan hidrológico nacional no agotaron su función con la aprobación de este texto legal sino que seguían estando a disposición del Gobierno de la Nación, quien habría hecho uso de algunos de ellos, así como de otros informes elevados con posterioridad a la promulgación de la Ley y que se mencionan específicamente en el preámbulo” [STC 237/2012, de 13 de diciembre, FJ 9 a)].</w:t>
      </w:r>
    </w:p>
    <w:p w:rsidR="0026452D" w:rsidRDefault="0026452D" w:rsidP="0026452D">
      <w:pPr>
        <w:pStyle w:val="TextoNormal"/>
      </w:pPr>
    </w:p>
    <w:p w:rsidR="0026452D" w:rsidRDefault="0026452D" w:rsidP="0026452D">
      <w:pPr>
        <w:pStyle w:val="TextoNormal"/>
      </w:pPr>
      <w:r>
        <w:lastRenderedPageBreak/>
        <w:t>En cuanto a la denunciada infracción del principio de interdicción de la arbitrariedad por vulneración de los principios consagrados en la Directiva marco del agua (Directiva 2000/60/CE del Parlamento Europeo y del Consejo, de 23 de octubre de 2000, por la que se establece un marco de actuación en el ámbito de la política de aguas), en relación con la Directiva 2001/42/CE, del Parlamento Europeo y del Consejo, de 27 de julio de 2001, relativa a la evaluación de los efectos de determinados planes y programas en el medio ambiente, la propia norma impugnada “ha puesto en cuestión la conformidad con las Directivas europeas mencionadas de la propia Ley del plan hidrológico nacional. De modo que no resulta inconcusa la caracterización de dicha ley como producto normativo plenamente acorde con las exigencias del Derecho ambiental de la Unión Europea que se proclama en el escrito de demanda y sobre la que se sustenta toda la argumentación desplegada en este motivo. Pues bien, en la medida en que tanto despejar esta incógnita como examinar la efectiva existencia de infracción de las Directivas citadas es presupuesto inexcusable para el análisis del motivo esgrimido …, cumple recordar, una vez más, que ‘a este Tribunal no le corresponde controlar la adecuación de la actividad de los poderes públicos nacionales al Derecho comunitario europeo, pues este control compete a los órganos de la jurisdicción ordinaria, en cuanto aplicadores que son del ordenamiento comunitario, y, en su caso, al Tribunal de Justicia de la Unión Europea’ (STC 135/2012, de 19 de junio, FJ 2).” [STC 237/2012, de 13 de diciembre, FJ 9 b)].</w:t>
      </w:r>
    </w:p>
    <w:p w:rsidR="0026452D" w:rsidRDefault="0026452D" w:rsidP="0026452D">
      <w:pPr>
        <w:pStyle w:val="TextoNormal"/>
      </w:pPr>
    </w:p>
    <w:p w:rsidR="0026452D" w:rsidRDefault="0026452D" w:rsidP="0026452D">
      <w:pPr>
        <w:pStyle w:val="TextoNormal"/>
      </w:pPr>
      <w:r>
        <w:t>La arbitrariedad, denunciada también desde la perspectiva de la quiebra de la confianza legítima, por afectar a las legítimas expectativas de los poderes públicos y de la ciudadanía, se descartó asimismo toda vez que “la observancia estricta de esta línea argumental abocaría a la petrificación del ordenamiento desde el momento en que una norma promulgada hubiese generado en un sector de la ciudadanía o entre algunos poderes públicos la confianza en su vigencia más o menos duradera …, y no sería coherente con el carácter dinámico del ordenamiento jurídico y con nuestra doctrina constante acerca de que la realización del principio de seguridad jurídica, aquí en su vertiente de protección de la confianza legítima, no puede dar lugar a la congelación o petrificación de ese mismo ordenamiento (STC 332/2005, de 15 de diciembre, FJ 17 y las resoluciones allí citadas).” [STC 237/2012, de 13 de diciembre, FJ 9 c)].</w:t>
      </w:r>
    </w:p>
    <w:p w:rsidR="0026452D" w:rsidRDefault="0026452D" w:rsidP="0026452D">
      <w:pPr>
        <w:pStyle w:val="TextoNormal"/>
      </w:pPr>
    </w:p>
    <w:p w:rsidR="0026452D" w:rsidRDefault="0026452D" w:rsidP="0026452D">
      <w:pPr>
        <w:pStyle w:val="TextoNormal"/>
      </w:pPr>
      <w:r>
        <w:t>c) La infracción del principio de seguridad jurídica del art. 9.3 CE también ha sido descartada en la STC 237/2012, de 13 de diciembre, al constituir la revisión de los títulos concesionales apuntada en el recurso “un supuesto eventual e hipotético, pues toda la argumentación gira sobre la interpretación de los arts. 13 y 17.1 c) de la Ley del plan hidrológico nacional, de los que no cabe inferir una atribución inmediata del derecho al uso privativo de las aguas a los ciudadanos que en un hipotético futuro pudieran ser titulares de una concesión en las zonas beneficiarias de las transferencias de recursos” [FJ 9 c)].</w:t>
      </w:r>
    </w:p>
    <w:p w:rsidR="0026452D" w:rsidRDefault="0026452D" w:rsidP="0026452D">
      <w:pPr>
        <w:pStyle w:val="TextoNormal"/>
      </w:pPr>
    </w:p>
    <w:p w:rsidR="0026452D" w:rsidRDefault="0026452D" w:rsidP="0026452D">
      <w:pPr>
        <w:pStyle w:val="TextoNormal"/>
      </w:pPr>
      <w:r>
        <w:t xml:space="preserve">d) Respecto del principio de eficiencia en la programación y ejecución del gasto público del art. 31.2 CE, admitimos en la STC 237/2012, de 13 de diciembre, que la “derogación de cualquier norma que contenga, siquiera sea implícitamente, una programación de gasto público a medio y largo plazo genera unos costes que pudieran considerarse ineficientes si se examinaran desde una perspectiva exclusivamente contable, pero que pudieran merecer una valoración distinta analizados desde otras ópticas”, para añadir que, “teniendo muy presente que a este Tribunal Constitucional únicamente le corresponde llevar a cabo un control externo de la medida controvertida, hemos de convenir en que no se han aportado argumentos </w:t>
      </w:r>
      <w:r>
        <w:lastRenderedPageBreak/>
        <w:t>suficientes para concluir que el Real Decreto-ley 2/2004 desconozca los mentados principios constitucionales” (FJ 10), conclusión que resulta extensible en sus propios términos a la Ley 11/2005, objeto de este proceso constitucional.</w:t>
      </w:r>
    </w:p>
    <w:p w:rsidR="0026452D" w:rsidRDefault="0026452D" w:rsidP="0026452D">
      <w:pPr>
        <w:pStyle w:val="TextoNormal"/>
      </w:pPr>
    </w:p>
    <w:p w:rsidR="0026452D" w:rsidRDefault="0026452D" w:rsidP="0026452D">
      <w:pPr>
        <w:pStyle w:val="TextoNormal"/>
      </w:pPr>
      <w:r>
        <w:t>e) La tacha de inconstitucionalidad basada en la infracción del principio de utilización racional de los recursos naturales del art. 45.2 CE fue desestimada en la STC 237/2012, de 13 de diciembre, al considerar que la pretensión de “erigir las disposiciones de la Ley del plan hidrológico nacional … en canon de validez de la reforma operada … contradice la lógica del sistema de fuentes de nuestro ordenamiento jurídico. Por otro lado, debe insistirse una vez más en que no le corresponde a este Tribunal pronunciarse sobre las bondades técnicas de las decisiones que sobre transferencias de recursos hidráulicos se adoptaron en la Ley del plan hidrológico nacional, como tampoco sobre su derogación”, que responde a unos objetivos “que, con independencia de su mayor o menor fuerza persuasiva, no pueden considerarse carentes de base ni sustento en estudios y valoraciones científicas. Esos argumentos ponen de manifiesto la existencia de una situación de incertidumbre acerca de la oportunidad de proceder a la realización del trasvase del Ebro, optándose por descartar esta alternativa. Sin que ello suponga respaldar la opción en términos de oportunidad ni de acierto político, debemos convenir en que satisface las exigencias de un ‘control externo’ que tenga presente el principio de cautela al que se ha referido el Abogado del Estado en su escrito de alegaciones” (FJ 11).</w:t>
      </w:r>
    </w:p>
    <w:p w:rsidR="0026452D" w:rsidRDefault="0026452D" w:rsidP="0026452D">
      <w:pPr>
        <w:pStyle w:val="TextoNormal"/>
      </w:pPr>
    </w:p>
    <w:p w:rsidR="0026452D" w:rsidRDefault="0026452D" w:rsidP="0026452D">
      <w:pPr>
        <w:pStyle w:val="TextoNormal"/>
      </w:pPr>
      <w:r>
        <w:t>f) En la STC 237/2012, de 13 de diciembre, rechazamos el motivo de inconstitucionalidad basado en la infracción del principio de solidaridad interterritorial, arts. 2 y 138 CE, “porque los términos empleados en la demanda para fundamentarlo, no permiten entrar a examinar el fondo del problema planteado pues la parte actora no ha satisfecho la carga de argumentar, en términos de estricta normatividad constitucional, la efectividad del vicio cuya concurrencia denuncia. No puede, en efecto, entenderse cumplida esa carga cuando las razones aportadas son expresivas tan sólo de la legítima discrepancia política que la actora mantiene con la norma controvertida. Compete al Estado, en tanto que garante de la realización efectiva del principio de solidaridad interterritorial (STC 96/1990, de 24 de mayo), llevar a cabo una asignación de los recursos hidráulicos que tenga presentes las distintas variables —sociales, ambientales, de carácter técnico, entre otras— a considerar, sin que le corresponda a este Tribunal sustituir al legislador estatal … en el desempeño de esta tarea”, reiterando que “los cánones a los que hemos de atenernos en el ejercicio de nuestra función jurisdiccional no son tan laxos como para permitir una valoración en términos de oportunidad política o de bondad técnica de las decisiones sometidas a nuestro juicio. Antes bien, estamos obligados a atenernos a un control de esas decisiones que no conlleve la suplantación de funciones atribuidas a otras instancias y que garantice, al mismo tiempo, el adecuado equilibrio de poderes. En el caso que nos ocupa el servicio a esa función exige que nos atengamos a un ‘control externo’ de la racionalidad de las medidas que se controvierten y no a un control estricto de calidad, acaso de perfección, ni a una comparación entre alternativas cuando todas ellas tienen cabida, como aquí sucede, en el texto constitucional” (FJ 12).</w:t>
      </w:r>
    </w:p>
    <w:p w:rsidR="0026452D" w:rsidRDefault="0026452D" w:rsidP="0026452D">
      <w:pPr>
        <w:pStyle w:val="TextoNormal"/>
      </w:pPr>
    </w:p>
    <w:p w:rsidR="0026452D" w:rsidRDefault="0026452D" w:rsidP="0026452D">
      <w:pPr>
        <w:pStyle w:val="TextoNormal"/>
      </w:pPr>
      <w:r>
        <w:t xml:space="preserve">g) La tacha de inconstitucionalidad basada en las infracciones del texto refundido de la Ley de aguas fue descartada en la STC 237/2012, de 13 de diciembre, porque “ni tan siquiera es posible enjuiciar la hipotética infracción de aquellos preceptos del texto refundido de la Ley de aguas que puedan cumplir una función delimitadora de las competencias entre el Estado y las Comunidades Autónomas al faltar en este proceso la </w:t>
      </w:r>
      <w:r w:rsidRPr="0026452D">
        <w:rPr>
          <w:i/>
        </w:rPr>
        <w:t>vindicatio potestatis</w:t>
      </w:r>
      <w:r>
        <w:t xml:space="preserve">. </w:t>
      </w:r>
      <w:r>
        <w:lastRenderedPageBreak/>
        <w:t>Siendo ello así, como efectivamente es, carece de efectos la atribución al texto refundido de la Ley de aguas de la condición de norma integrante del bloque de la constitucionalidad, sostenida en el escrito de demanda por el Letrado autonómico, pues desde ese presupuesto se produce un salto lógico a la conclusión anulatoria que no se sustenta sobre razones de índole competencial” (FJ 8).</w:t>
      </w:r>
    </w:p>
    <w:p w:rsidR="0026452D" w:rsidRDefault="0026452D" w:rsidP="0026452D">
      <w:pPr>
        <w:pStyle w:val="TextoNormal"/>
      </w:pPr>
    </w:p>
    <w:p w:rsidR="0026452D" w:rsidRDefault="0026452D" w:rsidP="0026452D">
      <w:pPr>
        <w:pStyle w:val="TextoNormal"/>
      </w:pPr>
      <w:r>
        <w:t>En consecuencia, se desestima la impugnación de los apartados 3 y 5 de la disposición derogatoria única de la Ley 11/2005.</w:t>
      </w:r>
    </w:p>
    <w:p w:rsidR="0026452D" w:rsidRDefault="0026452D" w:rsidP="0026452D">
      <w:pPr>
        <w:pStyle w:val="TextoNormal"/>
      </w:pPr>
    </w:p>
    <w:p w:rsidR="0026452D" w:rsidRDefault="0026452D" w:rsidP="0026452D">
      <w:pPr>
        <w:pStyle w:val="TextoNormal"/>
      </w:pPr>
      <w:r w:rsidRPr="0026452D">
        <w:rPr>
          <w:rStyle w:val="NumeroAFNegritaCaracter"/>
        </w:rPr>
        <w:t>3</w:t>
      </w:r>
      <w:r>
        <w:t>. Respecto de la impugnación del art. 26.1, párrafo segundo, y de los apartados 3 y 5 de la disposición adicional décima de la Ley del plan hidrológico nacional, relativos a la elaboración y aprobación del plan integral de protección del delta del Ebro, procede remitirse a la STC 195/2012, de 31 de octubre, y reiterada en las SSTC 239/2012 y 240/2012, ambas de 13 de diciembre.</w:t>
      </w:r>
    </w:p>
    <w:p w:rsidR="0026452D" w:rsidRDefault="0026452D" w:rsidP="0026452D">
      <w:pPr>
        <w:pStyle w:val="TextoNormal"/>
      </w:pPr>
    </w:p>
    <w:p w:rsidR="0026452D" w:rsidRDefault="0026452D" w:rsidP="0026452D">
      <w:pPr>
        <w:pStyle w:val="TextoNormal"/>
      </w:pPr>
      <w:r>
        <w:t>En dichas Sentencias hemos desestimado la impugnación del art. 26.1 párrafo segundo, de la Ley del plan hidrológico nacional, considerando que la remisión que opera a la disposición adicional décima “no constituye una excepción al procedimiento general de fijación de los caudales ambientales, en el que está prevista la participación de todas las Comunidades Autónomas que integren la cuenca hidrográfica, a través de los consejos del agua. Estamos por el contrario ante un complemento de dicho procedimiento general, que articula un mecanismo singular —del que debe destacarse su carácter previo— cuya finalidad es alcanzar un acuerdo sobre una pieza específica del plan hidrológico, que tiene como objeto la protección de un espacio cuya singularidad y extraordinario valor ecológico nadie discute”. Despejamos así “cualquier reproche acerca del menoscabo de las competencias de las confederaciones hidrográficas y de la participación del conjunto de las Comunidades Autónomas a través de su integración en los órganos de gobierno de aquéllas”, sin perjuicio del “margen de configuración legal del que dispone el legislador estatal para definir el modelo participativo, dentro de los límites fijados por este Tribunal” (STC 195/2012, FJ 7).</w:t>
      </w:r>
    </w:p>
    <w:p w:rsidR="0026452D" w:rsidRDefault="0026452D" w:rsidP="0026452D">
      <w:pPr>
        <w:pStyle w:val="TextoNormal"/>
      </w:pPr>
    </w:p>
    <w:p w:rsidR="0026452D" w:rsidRDefault="0026452D" w:rsidP="0026452D">
      <w:pPr>
        <w:pStyle w:val="TextoNormal"/>
      </w:pPr>
      <w:r>
        <w:t xml:space="preserve">Alcanzamos idéntica conclusión desestimatoria del apartado 5 de la disposición adicional décima de la Ley del plan hidrológico nacional, afirmando que este precepto desarrolla una fórmula de cooperación que cuenta con dos fases diferenciadas: el mutuo acuerdo de la Administración del Estado y la Generalitat de Cataluña y, una vez alcanzado éste, la posterior aprobación del plan por ambas Administraciones ‘en el ámbito de sus respectivas competencias’. Se trata, como hemos dicho en el fundamento jurídico 6 de la STC 195/2012, de una técnica de colaboración adecuada para un supuesto de concurrencia competencial que debe reputarse constitucionalmente admisible; es “un mecanismo de acomodación o integración entre dos competencias concurrentes en el espacio físico, basado en el acuerdo, y que configura la aprobación final del plan integral de protección del delta del Ebro como un acto complejo en el que han de concurrir dos voluntades distintas, lo que resulta constitucionalmente admisible cuando ambas voluntades resuelven sobre asuntos de su propia competencia”. Ello no implica alteración del sistema de distribución de competencias en materia de aguas, ni menoscabo de la competencia del Estado: “la competencia exclusiva del Estado queda salvaguardada toda vez que, en caso de no alcanzar un acuerdo que desemboque en la aprobación del plan integral de protección del delta del Ebro, éste no alcanzará eficacia ni se incorporará su contenido al plan hidrológico de la cuenca” y el Estado tampoco quedará privado “de ejercer en plenitud la competencia exclusiva que al respecto le reconoce el </w:t>
      </w:r>
      <w:r>
        <w:lastRenderedPageBreak/>
        <w:t>art. 149.1.22 CE”. En ausencia de acuerdo, la decisión estatal seguirá imponiéndose a las entidades territoriales, aunque “únicamente en los aspectos que son de su exclusiva competencia, sin desplazar la correlativa competencia autonómica”.</w:t>
      </w:r>
    </w:p>
    <w:p w:rsidR="0026452D" w:rsidRDefault="0026452D" w:rsidP="0026452D">
      <w:pPr>
        <w:pStyle w:val="TextoNormal"/>
      </w:pPr>
    </w:p>
    <w:p w:rsidR="0026452D" w:rsidRDefault="0026452D" w:rsidP="0026452D">
      <w:pPr>
        <w:pStyle w:val="TextoNormal"/>
      </w:pPr>
      <w:r>
        <w:t>Por estos mismos motivos, hemos desestimado también la impugnación del apartado 3 de la disposición adicional 10 de la Ley, que se refiere a la redacción y ejecución del citado plan así como a la coordinación de actuaciones, a través del instrumento de colaboración que suscriban las Administraciones del Estado y de la Generalitat de Cataluña.</w:t>
      </w:r>
    </w:p>
    <w:p w:rsidR="0026452D" w:rsidRDefault="0026452D" w:rsidP="0026452D">
      <w:pPr>
        <w:pStyle w:val="TextoNormal"/>
      </w:pPr>
    </w:p>
    <w:p w:rsidR="0026452D" w:rsidRDefault="0026452D" w:rsidP="0026452D">
      <w:pPr>
        <w:pStyle w:val="TextoNormal"/>
      </w:pPr>
      <w:r>
        <w:t>No procede pues sino reiterar los anteriores pronunciamientos y desestimar la impugnación del art. 26.1, párrafo segundo, y de los apartados 3 y 5 de la disposición adicional décima de la Ley del plan hidrológico nacional.</w:t>
      </w:r>
    </w:p>
    <w:p w:rsidR="0026452D" w:rsidRDefault="0026452D" w:rsidP="0026452D">
      <w:pPr>
        <w:pStyle w:val="TextoNormal"/>
      </w:pPr>
    </w:p>
    <w:p w:rsidR="0026452D" w:rsidRDefault="0026452D" w:rsidP="0026452D">
      <w:pPr>
        <w:pStyle w:val="TextoNormal"/>
      </w:pPr>
      <w:r w:rsidRPr="0026452D">
        <w:rPr>
          <w:rStyle w:val="NumeroAFNegritaCaracter"/>
        </w:rPr>
        <w:t>4</w:t>
      </w:r>
      <w:r>
        <w:t>. Entre los contenidos que deberán recogerse en los planes hidrológicos de cuenca, el art. 42.1 b) c’) del texto refundido de la Ley de aguas, en la redacción dada por el apartado cuatro de la disposición final primera de la Ley 11/2005, contempla la asignación y reserva de recursos para usos y demandas actuales y futuros, así como para la conservación y recuperación del medio natural. A este efecto, prevé que se determinarán los caudales ecológicos, entendiendo como tales los que mantiene como mínimo la vida piscícola que de manera natural habitaría o pudiera habitar en el río, así como su vegetación de ribera.</w:t>
      </w:r>
    </w:p>
    <w:p w:rsidR="0026452D" w:rsidRDefault="0026452D" w:rsidP="0026452D">
      <w:pPr>
        <w:pStyle w:val="TextoNormal"/>
      </w:pPr>
    </w:p>
    <w:p w:rsidR="0026452D" w:rsidRDefault="0026452D" w:rsidP="0026452D">
      <w:pPr>
        <w:pStyle w:val="TextoNormal"/>
      </w:pPr>
      <w:r>
        <w:t>La infracción del principio de seguridad jurídica del art. 9.3 CE que la Comunidad recurrente halla en el concepto de caudal ecológico, así establecido, se basa en una serie de consideraciones críticas, tales como su falta de motivación, su difícil plasmación práctica, su carácter absurdo, o la posibilidad de continuas ampliaciones que encierra el concepto, que resultan apodícticas al no venir acompañadas de una argumentación que, en estrictos términos jurídico-constitucionales, permita fundar la quiebra que se imputa.</w:t>
      </w:r>
    </w:p>
    <w:p w:rsidR="0026452D" w:rsidRDefault="0026452D" w:rsidP="0026452D">
      <w:pPr>
        <w:pStyle w:val="TextoNormal"/>
      </w:pPr>
    </w:p>
    <w:p w:rsidR="0026452D" w:rsidRDefault="0026452D" w:rsidP="0026452D">
      <w:pPr>
        <w:pStyle w:val="TextoNormal"/>
      </w:pPr>
      <w:r>
        <w:t>En cualquier caso, no siendo este Tribunal el juez del acierto técnico o la oportunidad de las leyes, hemos de recordar que “[en] la STC 71/1982 (fundamento jurídico 4) ya declaró este Tribunal que no existe una quiebra constitucionalmente relevante de la seguridad jurídica, cuando la Ley utiliza conceptos indeterminados, indispensables por cuanto no son sustituibles por referencias concretas, remitiéndose a reglamentaciones específicas en áreas en que la complejidad técnica o la necesidad de una previa ordenación del sector así lo exijan. Este es el caso. La remisión por la Ley a determinados instrumentos de planificación (Plan General y Planes Especiales) que complementen sus previsiones es una forma de colaboración normativa necesaria en materias que … requieren de una imprescindible y continuada actividad de ordenación y planificación de tales recursos, que justifica el margen de habilitación ofrecido por el legislador a la Administración para que, de acuerdo con los correspondientes Planes, concrete la regulación general contenida en la Ley” (STC 14/1998, de 22 de enero, FJ 8).</w:t>
      </w:r>
    </w:p>
    <w:p w:rsidR="0026452D" w:rsidRDefault="0026452D" w:rsidP="0026452D">
      <w:pPr>
        <w:pStyle w:val="TextoNormal"/>
      </w:pPr>
    </w:p>
    <w:p w:rsidR="0026452D" w:rsidRDefault="0026452D" w:rsidP="0026452D">
      <w:pPr>
        <w:pStyle w:val="TextoNormal"/>
      </w:pPr>
      <w:r>
        <w:t>El precepto impugnado contiene una previsión de estas exactas características. Al no poder concretarse en la ley cuál deba ser el volumen del caudal ecológico que en cada río, o en cada tramo de río, haya de constituir la reserva de agua destinada a la conservación y recuperación del medio natural, se fija un concepto cualitativo cuya determinación cuanti</w:t>
      </w:r>
      <w:r>
        <w:lastRenderedPageBreak/>
        <w:t>tativa se defiere al plan hidrológico, que de contener una decisión que se considerara contraria a Derecho puede ser, lógicamente, combatida a través de los cauces previstos en el ordenamiento jurídico.</w:t>
      </w:r>
    </w:p>
    <w:p w:rsidR="0026452D" w:rsidRDefault="0026452D" w:rsidP="0026452D">
      <w:pPr>
        <w:pStyle w:val="TextoNormal"/>
      </w:pPr>
    </w:p>
    <w:p w:rsidR="0026452D" w:rsidRDefault="0026452D" w:rsidP="0026452D">
      <w:pPr>
        <w:pStyle w:val="TextoNormal"/>
      </w:pPr>
      <w:r>
        <w:t>Tampoco puede acogerse la argumentación que vincula esta previsión legal con las disposiciones relativas al plan integral del delta del Ebro, en atención a lo que sobre éste hemos dicho en el fundamento jurídico 3, y toda vez que el concepto de caudal ecológico contenido en el art. 42.1 b) c’) del texto refundido de la Ley de aguas no resulta únicamente aplicable a este supuesto, sino al conjunto de la planificación hidrológica.</w:t>
      </w:r>
    </w:p>
    <w:p w:rsidR="0026452D" w:rsidRDefault="0026452D" w:rsidP="0026452D">
      <w:pPr>
        <w:pStyle w:val="TextoNormal"/>
      </w:pPr>
    </w:p>
    <w:p w:rsidR="0026452D" w:rsidRDefault="0026452D" w:rsidP="0026452D">
      <w:pPr>
        <w:pStyle w:val="TextoNormal"/>
      </w:pPr>
      <w:r>
        <w:t>En consecuencia, se desestima la impugnación del art. 42.1 b) c’) del texto refundido de la Ley de aguas, en la redacción dada por el apartado cuatro de la disposición final primera de la Ley 11/2005.</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treinta y uno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23" w:name="SENTENCIA_2013_20"/>
      <w:r>
        <w:lastRenderedPageBreak/>
        <w:t>SENTENCIA 20/2013, de 31 de enero de 2013</w:t>
      </w:r>
    </w:p>
    <w:bookmarkEnd w:id="23"/>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ECLI:ES:TC:2013:20</w:t>
      </w:r>
    </w:p>
    <w:p w:rsidR="0026452D" w:rsidRDefault="0026452D" w:rsidP="0026452D">
      <w:pPr>
        <w:pStyle w:val="SntesisDescriptiva"/>
      </w:pPr>
    </w:p>
    <w:p w:rsidR="0026452D" w:rsidRDefault="0026452D" w:rsidP="0026452D">
      <w:pPr>
        <w:pStyle w:val="SntesisDescriptiva"/>
      </w:pPr>
      <w:r>
        <w:t>Recurso de inconstitucionalidad 9007-2005. Interpuesto por la Junta de Castilla y León en relación con diversos preceptos de la Ley 21/2005, de 17 de noviembre, de restitución a la Generalitat de Cataluña de los documentos incautados con motivo de la guerra civil custodiados en el Archivo General de la Guerra Civil Española y de creación del Centro Documental de la Memoria Histórica.</w:t>
      </w:r>
    </w:p>
    <w:p w:rsidR="0026452D" w:rsidRDefault="0026452D" w:rsidP="0026452D">
      <w:pPr>
        <w:pStyle w:val="SntesisDescriptiva"/>
      </w:pPr>
    </w:p>
    <w:p w:rsidR="0026452D" w:rsidRDefault="0026452D" w:rsidP="0026452D">
      <w:pPr>
        <w:pStyle w:val="SntesisAnaltica"/>
      </w:pPr>
      <w:r>
        <w:t>Principios de interdicción de la arbitrariedad y protección del patrimonio cultural; competencias en materia de archivos: constitucionalidad de los preceptos legales estatales que establecen un régimen especial para Cataluña de devolución de documentos.</w:t>
      </w:r>
    </w:p>
    <w:p w:rsidR="0026452D" w:rsidRDefault="0026452D" w:rsidP="0026452D">
      <w:pPr>
        <w:pStyle w:val="SntesisAnaltica"/>
      </w:pPr>
    </w:p>
    <w:p w:rsidR="0026452D" w:rsidRDefault="0026452D" w:rsidP="0026452D">
      <w:pPr>
        <w:pStyle w:val="Extracto"/>
      </w:pPr>
      <w:r>
        <w:t>1.</w:t>
      </w:r>
      <w:r>
        <w:tab/>
        <w:t>La decisión del legislador democráticamente elegido de dar satisfacción a instituciones o ciudadanos que sufrieron las consecuencias de la guerra civil, mediante la restitución de los efectos y documentos incautados con fines represivos y que forman parte del Archivo General de la Guerra Civil Española, no constituye una decisión arbitraria o irracional, descartándose que nos encontremos ante un supuesto de expoliación, teniendo la protección del interés de los propietarios originarios o de sus sucesores de recuperar lo incautado una finalidad constitucionalmente legítima que el legislador, de acuerdo con el margen de apreciación que le corresponde, puede considerar preeminente frente a otros concurrentes (STC 17/1991) [FJ 3].</w:t>
      </w:r>
    </w:p>
    <w:p w:rsidR="0026452D" w:rsidRDefault="0026452D" w:rsidP="0026452D">
      <w:pPr>
        <w:pStyle w:val="Extracto"/>
      </w:pPr>
    </w:p>
    <w:p w:rsidR="0026452D" w:rsidRDefault="0026452D" w:rsidP="0026452D">
      <w:pPr>
        <w:pStyle w:val="Extracto"/>
      </w:pPr>
      <w:r>
        <w:t>2.</w:t>
      </w:r>
      <w:r>
        <w:tab/>
        <w:t>Debemos descartar que nos encontremos ante una privación arbitraria o irracional de la finalidad que cumple el Archivo General de la Guerra Civil, pues dicha  finalidad –de reunir, conservar y disponer sus fondos documentales para investigación, cultura e información– parece salvaguardarse tanto con la conservación del contenido documental mediante la realización de copias como con el establecimiento de obligaciones de protección y accesibilidad que se establecen para los documentos que se restituyan a sus propietarios originarios [FJ 3].</w:t>
      </w:r>
    </w:p>
    <w:p w:rsidR="0026452D" w:rsidRDefault="0026452D" w:rsidP="0026452D">
      <w:pPr>
        <w:pStyle w:val="Extracto"/>
      </w:pPr>
    </w:p>
    <w:p w:rsidR="0026452D" w:rsidRDefault="0026452D" w:rsidP="0026452D">
      <w:pPr>
        <w:pStyle w:val="Extracto"/>
      </w:pPr>
      <w:r>
        <w:t>3.</w:t>
      </w:r>
      <w:r>
        <w:tab/>
        <w:t>La decisión estatal de solicitar la colaboración de la Comunidad Autónoma y encomendar a la Generalitat, que es también Estado, la gestión de la restitución de aquellos documentos incautados en Cataluña, y depositados en el Archivo General de la Guerra Civil Española, es conforme con la distribución constitucional de competencias, que reconoce a Cataluña la competencia ejecutiva sobre los archivos de titularidad estatal cuya gestión no se reserve expresamente el Estado, siendo la transferencia de la documentación la consecuencia lógica de la atribución de la gestión de la restitución [FJ 5].</w:t>
      </w:r>
    </w:p>
    <w:p w:rsidR="0026452D" w:rsidRDefault="0026452D" w:rsidP="0026452D">
      <w:pPr>
        <w:pStyle w:val="Extracto"/>
      </w:pPr>
    </w:p>
    <w:p w:rsidR="0026452D" w:rsidRDefault="0026452D" w:rsidP="0026452D">
      <w:pPr>
        <w:pStyle w:val="Extracto"/>
      </w:pPr>
      <w:r>
        <w:t>4.</w:t>
      </w:r>
      <w:r>
        <w:tab/>
        <w:t xml:space="preserve">El Estado, en virtud de la Ley impugnada, no transfiere la titularidad del Archivo General de la Guerra Civil a la Generalitat de Cataluña, sino que le transfiere una serie de fondos documentales a los solos efectos de su restitución a los propietarios </w:t>
      </w:r>
      <w:r>
        <w:lastRenderedPageBreak/>
        <w:t>originarios o sus sucesores, lo que no supone otorgar a la Generalitat la propiedad de todos los documentos y efectos privados que no hubiesen podido restituirse, pues si tal restitución no se puede producir, por no haberse podido acreditar la titularidad de los mismos, tales documentos siguen integrando un archivo de titularidad estatal [FJ 7].</w:t>
      </w:r>
    </w:p>
    <w:p w:rsidR="0026452D" w:rsidRDefault="0026452D" w:rsidP="0026452D">
      <w:pPr>
        <w:pStyle w:val="Extracto"/>
      </w:pPr>
    </w:p>
    <w:p w:rsidR="0026452D" w:rsidRDefault="0026452D" w:rsidP="0026452D">
      <w:pPr>
        <w:pStyle w:val="Extracto"/>
      </w:pPr>
      <w:r>
        <w:t>5.</w:t>
      </w:r>
      <w:r>
        <w:tab/>
        <w:t>El régimen de protección de los documentos restituidos –depositados hasta ahora en el Archivo General de la Guerra Civil Española– es el establecido en las normas del Estado y de las Comunidades Autónomas sobre patrimonio histórico, siendo indudable que los intereses públicos se encuentran suficientemente protegidos por los poderes públicos como garantía del derecho que a su conservación y disfrute ostenta la comunidad, no exigiendo el art. 46 CE que tenga que ser la ley que determina la restitución de la documentación incautada la que tenga que prever su régimen de protección [FJ 9].</w:t>
      </w:r>
    </w:p>
    <w:p w:rsidR="0026452D" w:rsidRDefault="0026452D" w:rsidP="0026452D">
      <w:pPr>
        <w:pStyle w:val="Extracto"/>
      </w:pPr>
    </w:p>
    <w:p w:rsidR="0026452D" w:rsidRDefault="0026452D" w:rsidP="0026452D">
      <w:pPr>
        <w:pStyle w:val="Extracto"/>
      </w:pPr>
      <w:r>
        <w:t>6.</w:t>
      </w:r>
      <w:r>
        <w:tab/>
        <w:t>La diferencia que introduce la Ley 21/2005, en lo que se refiere a la gestión de la devolución de los documentos en su día incautados, no es una opción del legislador que carezca de toda justificación razonable, pues el especial régimen de devolución de documentos previsto para Cataluña se puede justificar en la existencia de una reivindicación sostenida a lo largo del tiempo por parte de sus instituciones, así como por el reconocimiento de un régimen de autonomía para Cataluña en el momento mismo de la incautación de los documentos, teniendo la Generalitat, ahora y en el momento de la incautación, competencias en materia de archivos [FJ 10].</w:t>
      </w:r>
    </w:p>
    <w:p w:rsidR="0026452D" w:rsidRDefault="0026452D" w:rsidP="0026452D">
      <w:pPr>
        <w:pStyle w:val="Extracto"/>
      </w:pPr>
    </w:p>
    <w:p w:rsidR="0026452D" w:rsidRDefault="0026452D" w:rsidP="0026452D">
      <w:pPr>
        <w:pStyle w:val="Extracto"/>
      </w:pPr>
      <w:r>
        <w:t>7.</w:t>
      </w:r>
      <w:r>
        <w:tab/>
        <w:t>El principio constitucional de igualdad no impone que todas las Comunidades Autónomas ostenten las mismas competencias, ni, menos aún, que tengan que ejercerlas de una manera o con un contenido y unos resultados idénticos o semejantes (STC 37/1987) [FJ 10].</w:t>
      </w:r>
    </w:p>
    <w:p w:rsidR="0026452D" w:rsidRDefault="0026452D" w:rsidP="0026452D">
      <w:pPr>
        <w:pStyle w:val="Extracto"/>
      </w:pPr>
    </w:p>
    <w:p w:rsidR="0026452D" w:rsidRDefault="0026452D" w:rsidP="0026452D">
      <w:pPr>
        <w:pStyle w:val="Extracto"/>
      </w:pPr>
      <w:r>
        <w:t>8.</w:t>
      </w:r>
      <w:r>
        <w:tab/>
        <w:t>Los entes públicos no pueden ser considerados como titulares del derecho fundamental a la no discriminación amparado por el art. 14 CE, que se refiere a los españoles y no es de aplicación a las personas jurídico-públicas en cuanto tales (SSTC 211/1996, 139/2005) [FJ 10].</w:t>
      </w:r>
    </w:p>
    <w:p w:rsidR="0026452D" w:rsidRDefault="0026452D" w:rsidP="0026452D">
      <w:pPr>
        <w:pStyle w:val="Extracto"/>
      </w:pPr>
    </w:p>
    <w:p w:rsidR="0026452D" w:rsidRDefault="0026452D" w:rsidP="0026452D">
      <w:pPr>
        <w:pStyle w:val="Extracto"/>
      </w:pPr>
      <w:r>
        <w:t>9.</w:t>
      </w:r>
      <w:r>
        <w:tab/>
        <w:t xml:space="preserve">Al examinar un precepto legal desde la perspectiva de la interdicción de arbitrariedad, </w:t>
      </w:r>
      <w:r w:rsidRPr="0026452D">
        <w:rPr>
          <w:i/>
        </w:rPr>
        <w:t>ex</w:t>
      </w:r>
      <w:r>
        <w:t xml:space="preserve"> art. 9.3 CE, el análisis se ha de centrar en verificar si tal precepto establece una discriminación, pues la discriminación entraña siempre una arbitrariedad, o bien, si aun no estableciéndola, carece de toda justificación, lo que también supondría una arbitrariedad, sin que sea pertinente un análisis a fondo de todas las motivaciones posibles de la norma y de todas sus eventuales consecuencias (STC 196/2011) [FJ 8].</w:t>
      </w:r>
    </w:p>
    <w:p w:rsidR="0026452D" w:rsidRDefault="0026452D" w:rsidP="0026452D">
      <w:pPr>
        <w:pStyle w:val="Extracto"/>
      </w:pPr>
    </w:p>
    <w:p w:rsidR="0026452D" w:rsidRDefault="0026452D" w:rsidP="0026452D">
      <w:pPr>
        <w:pStyle w:val="Extracto"/>
      </w:pPr>
      <w:r>
        <w:t>10.</w:t>
      </w:r>
      <w:r>
        <w:tab/>
        <w:t xml:space="preserve">No puede tacharse de arbitraria una norma que persigue una finalidad razonable y que no se muestra desprovista de todo fundamento, aunque pueda legítimamente discreparse de la concreta solución adoptada, pues entrar en un enjuiciamiento de cuál sería su medida justa supone discutir una opción tomada por el legislador que, aun cuando pueda ser discutible, no resulta arbitraria ni irracional, tanto más cuando el reparo que se le opone no deja de ser otra cosa que una objeción de </w:t>
      </w:r>
      <w:r>
        <w:lastRenderedPageBreak/>
        <w:t>oportunidad, sin relevancia, por tanto, desde el punto de vista constitucional (SSTC 149/2006, 102/2012) [FJ 8].</w:t>
      </w:r>
    </w:p>
    <w:p w:rsidR="0026452D" w:rsidRDefault="0026452D" w:rsidP="0026452D">
      <w:pPr>
        <w:pStyle w:val="Extracto"/>
      </w:pPr>
    </w:p>
    <w:p w:rsidR="0026452D" w:rsidRDefault="0026452D" w:rsidP="0026452D">
      <w:pPr>
        <w:pStyle w:val="Extracto"/>
      </w:pPr>
      <w:r>
        <w:t>11.</w:t>
      </w:r>
      <w:r>
        <w:tab/>
        <w:t>Toda opción legislativa, por discutible que para algunos pueda ser, resulta admisible desde el punto de vista constitucional siempre que respete las reglas que la Constitución establece, no correspondiendo a este Tribunal fiscalizar la oportunidad de esa concreta opción del legislador, plasmación de una legítima opción política (SSTC 162/2009, 136/2011)  [FFJJ 3, 8].</w:t>
      </w:r>
    </w:p>
    <w:p w:rsidR="0026452D" w:rsidRDefault="0026452D" w:rsidP="0026452D">
      <w:pPr>
        <w:pStyle w:val="Extracto"/>
      </w:pPr>
    </w:p>
    <w:p w:rsidR="0026452D" w:rsidRDefault="0026452D" w:rsidP="0026452D">
      <w:pPr>
        <w:pStyle w:val="Extracto"/>
      </w:pPr>
      <w:r>
        <w:t>12.</w:t>
      </w:r>
      <w:r>
        <w:tab/>
        <w:t>Doctrina sobre el control del legislador mediante el canon de la interdicción de la arbitrariedad establecido en el art. 9.3 CE (SSTC 99/1987, 102/2012) [FFJJ 3, 8, 10].</w:t>
      </w:r>
    </w:p>
    <w:p w:rsidR="0026452D" w:rsidRDefault="0026452D" w:rsidP="0026452D">
      <w:pPr>
        <w:pStyle w:val="Extracto"/>
      </w:pPr>
    </w:p>
    <w:p w:rsidR="0026452D" w:rsidRDefault="0026452D" w:rsidP="0026452D">
      <w:pPr>
        <w:pStyle w:val="Extracto"/>
      </w:pPr>
      <w:r>
        <w:t>13.</w:t>
      </w:r>
      <w:r>
        <w:tab/>
        <w:t>La transferencia a la Generalitat de Cataluña, y no a otras personas jurídicas públicas o privadas, de los documentos incautados en su territorio durante la guerra civil para que sea ésta la encargada de devolvérselos a sus legítimos propietarios no puede ser tachada de irrazonable ni carente de toda justificación, ya que no es en absoluto más razonable que el Estado tenga que entenderse con casi un millar de municipios catalanes, y menos aún con las distintas personas jurídicas, en lugar de con la Generalitat, que tiene competencias en materia de cultura, patrimonio histórico y archivos [FJ 8].</w:t>
      </w:r>
    </w:p>
    <w:p w:rsidR="0026452D" w:rsidRDefault="0026452D" w:rsidP="0026452D">
      <w:pPr>
        <w:pStyle w:val="Extracto"/>
      </w:pPr>
    </w:p>
    <w:p w:rsidR="0026452D" w:rsidRDefault="0026452D" w:rsidP="0026452D">
      <w:pPr>
        <w:pStyle w:val="Extracto"/>
      </w:pPr>
      <w:r>
        <w:t>14.</w:t>
      </w:r>
      <w:r>
        <w:tab/>
        <w:t>La decisión del legislador estatal de restituir los efectos y documentos en su día incautados y que hoy forman parte de un concreto archivo estatal, el Archivo General de la Guerra Civil Española, no altera la imagen que hace reconocible a tal archivo en concreto, pues no es posible deducir del art. 149.1.28 CE la existencia de una garantía de la integridad del mismo, ya que nos encontramos ante un precepto atributivo de competencias en el que no es posible reconocer una garantía institucional tal y como ha sido definida por nuestra doctrina [FJ 4].</w:t>
      </w:r>
    </w:p>
    <w:p w:rsidR="0026452D" w:rsidRDefault="0026452D" w:rsidP="0026452D">
      <w:pPr>
        <w:pStyle w:val="Extracto"/>
      </w:pPr>
    </w:p>
    <w:p w:rsidR="0026452D" w:rsidRDefault="0026452D" w:rsidP="0026452D">
      <w:pPr>
        <w:pStyle w:val="Extracto"/>
      </w:pPr>
      <w:r>
        <w:t>15.</w:t>
      </w:r>
      <w:r>
        <w:tab/>
        <w:t>Doctrina sobre la determinación normativa de las garantías institucionales (STC 32/1981) [FJ 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inconstitucionalidad núm. 9007-2005 interpuesto por la Junta de Castilla y León contra los artículos 1, 2.2, 3, apartados 1 y 3, 4.1, 5.2 y las disposiciones adicionales primera y segunda de la Ley 21/2005, de 17 de noviembre, de restitución a la Generalitat de Cataluña de los documentos incautados con motivo de la guerra civil custodiados en el Archivo General de la Guerra Civil Española y de creación del Centro Documental de la Memoria Histórica. Ha intervenido y formulado alegaciones el Abogado del Estado. Ha sido Ponente el Magistrado don Pablo Pérez Tremps,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el Tribunal con fecha 12 de diciembre de 2005, por el representante legal de la Junta de Castilla y León, se interpuso recurso de inconstitucionalidad contra los artículos 1, 2.2, 3.1 y 3, 4.1, 5.2 y las disposiciones adicionales primera y segunda de la Ley 21/2005, de 17 de noviembre, de restitución a la Generalidad de Cataluña de los documentos incautados con motivo de la guerra civil custodiados en el Archivo General de la Guerra Civil Española y de creación del Centro Documental de la Memoria Histórica. La fundamentación que sustenta la impugnación se resume a continuación.</w:t>
      </w:r>
    </w:p>
    <w:p w:rsidR="0026452D" w:rsidRDefault="0026452D" w:rsidP="0026452D">
      <w:pPr>
        <w:pStyle w:val="TextoNormal"/>
      </w:pPr>
    </w:p>
    <w:p w:rsidR="0026452D" w:rsidRDefault="0026452D" w:rsidP="0026452D">
      <w:pPr>
        <w:pStyle w:val="TextoNormal"/>
      </w:pPr>
      <w:r>
        <w:t>a) La representación procesal de la Junta de Castilla y León comienza su escrito examinando los antecedentes históricos del denominado Archivo General de la Guerra Civil Española algunos de cuyos hitos más relevantes son los siguientes.</w:t>
      </w:r>
    </w:p>
    <w:p w:rsidR="0026452D" w:rsidRDefault="0026452D" w:rsidP="0026452D">
      <w:pPr>
        <w:pStyle w:val="TextoNormal"/>
      </w:pPr>
    </w:p>
    <w:p w:rsidR="0026452D" w:rsidRDefault="0026452D" w:rsidP="0026452D">
      <w:pPr>
        <w:pStyle w:val="TextoNormal"/>
      </w:pPr>
      <w:r>
        <w:t>En plena guerra civil (1937) se crearon la oficina de investigación y propaganda anticomunista y la delegación nacional de asuntos especiales, precedentes de lo que poco después (1938) sería la delegación del Estado para la recuperación de documentos con sede en Salamanca que tenía como objetivo “recuperar, clasificar y custodiar” la documentación procedente de entidades y personas para “facilitar al Estado información referente a la actuación de sus enemigos”.</w:t>
      </w:r>
    </w:p>
    <w:p w:rsidR="0026452D" w:rsidRDefault="0026452D" w:rsidP="0026452D">
      <w:pPr>
        <w:pStyle w:val="TextoNormal"/>
      </w:pPr>
    </w:p>
    <w:p w:rsidR="0026452D" w:rsidRDefault="0026452D" w:rsidP="0026452D">
      <w:pPr>
        <w:pStyle w:val="TextoNormal"/>
      </w:pPr>
      <w:r>
        <w:t xml:space="preserve">La delegación del Estado para la recuperación de documentos, fusionada con otros organismos, daría lugar en 1944 a la delegación nacional de servicios documentales de la Presidencia del Gobierno hasta que por Decreto 276/1977 fue suprimida, pasando su archivo y personal al Ministerio de Cultura. De acuerdo con el escrito de la representación de la Junta de Castilla y León en ese momento se agotó la etapa de acopio, elaboración y utilización para los fines de la represión política de una documentación que, a partir de este momento, empezó, se afirma, una nueva vida como </w:t>
      </w:r>
      <w:r w:rsidRPr="0026452D">
        <w:rPr>
          <w:i/>
        </w:rPr>
        <w:t>corpus</w:t>
      </w:r>
      <w:r>
        <w:t xml:space="preserve"> cultural e histórico, como soporte de la memoria colectiva.</w:t>
      </w:r>
    </w:p>
    <w:p w:rsidR="0026452D" w:rsidRDefault="0026452D" w:rsidP="0026452D">
      <w:pPr>
        <w:pStyle w:val="TextoNormal"/>
      </w:pPr>
    </w:p>
    <w:p w:rsidR="0026452D" w:rsidRDefault="0026452D" w:rsidP="0026452D">
      <w:pPr>
        <w:pStyle w:val="TextoNormal"/>
      </w:pPr>
      <w:r>
        <w:t>En 1979 la documentación, la incautada y la elaborada por los organismos represores a partir de la incautada, pasó a formar parte de la sección guerra civil del Archivo Histórico Nacional con sede en Salamanca, beneficiándose de la protección que el ordenamiento jurídico dispensa a éste y a los demás archivos estatales.</w:t>
      </w:r>
    </w:p>
    <w:p w:rsidR="0026452D" w:rsidRDefault="0026452D" w:rsidP="0026452D">
      <w:pPr>
        <w:pStyle w:val="TextoNormal"/>
      </w:pPr>
    </w:p>
    <w:p w:rsidR="0026452D" w:rsidRDefault="0026452D" w:rsidP="0026452D">
      <w:pPr>
        <w:pStyle w:val="TextoNormal"/>
      </w:pPr>
      <w:r>
        <w:t xml:space="preserve">En 1986 se procedió a la microfilmación de una serie de documentos, entre los que estaban muchos procedentes de la antigua Generalidad, que se conservaban en la sección guerra </w:t>
      </w:r>
      <w:r>
        <w:lastRenderedPageBreak/>
        <w:t>civil del Archivo Histórico Nacional. El material microfilmado fue entregado al Archivo General de Cataluña.</w:t>
      </w:r>
    </w:p>
    <w:p w:rsidR="0026452D" w:rsidRDefault="0026452D" w:rsidP="0026452D">
      <w:pPr>
        <w:pStyle w:val="TextoNormal"/>
      </w:pPr>
    </w:p>
    <w:p w:rsidR="0026452D" w:rsidRDefault="0026452D" w:rsidP="0026452D">
      <w:pPr>
        <w:pStyle w:val="TextoNormal"/>
      </w:pPr>
      <w:r>
        <w:t>En 1999 se crea el Archivo General de la Guerra Civil Española por Real Decreto 426/1999 cuyo núcleo documental fue el acervo de la sección guerra civil del Archivo Histórico Nacional.</w:t>
      </w:r>
    </w:p>
    <w:p w:rsidR="0026452D" w:rsidRDefault="0026452D" w:rsidP="0026452D">
      <w:pPr>
        <w:pStyle w:val="TextoNormal"/>
      </w:pPr>
    </w:p>
    <w:p w:rsidR="0026452D" w:rsidRDefault="0026452D" w:rsidP="0026452D">
      <w:pPr>
        <w:pStyle w:val="TextoNormal"/>
      </w:pPr>
      <w:r>
        <w:t>Para tratar de dar ejecución a una propuesta formulada unos años antes, en noviembre de 1996, por la Junta Superior de Archivos y cumplir con la voluntad expresada por el Congreso de los Diputados en mayo de 1996 se constituyó en el año 2000 una comisión de expertos cuyo cometido era realizar una propuesta acerca de la documentación del recién creado Archivo General de la Guerra Civil Española que podría depositarse en Cataluña. Los expertos no consiguieron ponerse de acuerdo y el patronato del archivo no adoptó ninguna iniciativa relativa a la posible salida de documentos del archivo.</w:t>
      </w:r>
    </w:p>
    <w:p w:rsidR="0026452D" w:rsidRDefault="0026452D" w:rsidP="0026452D">
      <w:pPr>
        <w:pStyle w:val="TextoNormal"/>
      </w:pPr>
    </w:p>
    <w:p w:rsidR="0026452D" w:rsidRDefault="0026452D" w:rsidP="0026452D">
      <w:pPr>
        <w:pStyle w:val="TextoNormal"/>
      </w:pPr>
      <w:r>
        <w:t>Tras el cambio de mayoría parlamentaria en 2004 se aprobó en el Congreso una nueva proposición no de ley instando al Gobierno a iniciar un proceso de diálogo con el Gobierno de la Generalidad “que permita resolver el contencioso planteado en relación con la documentación incautada que en la actualidad se halla recogida en el Archivo General de la Guerra Civil”.</w:t>
      </w:r>
    </w:p>
    <w:p w:rsidR="0026452D" w:rsidRDefault="0026452D" w:rsidP="0026452D">
      <w:pPr>
        <w:pStyle w:val="TextoNormal"/>
      </w:pPr>
    </w:p>
    <w:p w:rsidR="0026452D" w:rsidRDefault="0026452D" w:rsidP="0026452D">
      <w:pPr>
        <w:pStyle w:val="TextoNormal"/>
      </w:pPr>
      <w:r>
        <w:t>Finalmente se aprobó por las Cortes Generales la Ley 21/2005, de 17 de noviembre, de restitución a la Generalidad de Cataluña de los documentos incautados con motivo de la guerra civil custodiados en el Archivo General de la Guerra Civil Española y de creación del Centro Documental de la Memoria Histórica que aquí se impugna.</w:t>
      </w:r>
    </w:p>
    <w:p w:rsidR="0026452D" w:rsidRDefault="0026452D" w:rsidP="0026452D">
      <w:pPr>
        <w:pStyle w:val="TextoNormal"/>
      </w:pPr>
    </w:p>
    <w:p w:rsidR="0026452D" w:rsidRDefault="0026452D" w:rsidP="0026452D">
      <w:pPr>
        <w:pStyle w:val="TextoNormal"/>
      </w:pPr>
      <w:r>
        <w:t>b) Se impugnan en primer lugar los artículos 1 y 2.2, así como la disposición adicional primera de la Ley 21/2005, de 17 de noviembre por infringir lo dispuesto en el art. 149.1.28 CE.</w:t>
      </w:r>
    </w:p>
    <w:p w:rsidR="0026452D" w:rsidRDefault="0026452D" w:rsidP="0026452D">
      <w:pPr>
        <w:pStyle w:val="TextoNormal"/>
      </w:pPr>
    </w:p>
    <w:p w:rsidR="0026452D" w:rsidRDefault="0026452D" w:rsidP="0026452D">
      <w:pPr>
        <w:pStyle w:val="TextoNormal"/>
      </w:pPr>
      <w:r>
        <w:t>Señala el escrito de la representación de la Junta de Castilla y León que el art. 149.1.28 CE atribuye al Estado la competencia en materia de “defensa del patrimonio cultural, artístico y monumental español contra la exportación y la expoliación” y también sobre todo lo concerniente a los “museos, bibliotecas y archivos de titularidad estatal, sin perjuicio de su gestión por parte de las Comunidades Autónomas”. Para el escrito de la representación de la Junta de Castilla y León ambas rúbricas del art. 149.1.28 CE habrían sido infringidas por la ley recurrida.</w:t>
      </w:r>
    </w:p>
    <w:p w:rsidR="0026452D" w:rsidRDefault="0026452D" w:rsidP="0026452D">
      <w:pPr>
        <w:pStyle w:val="TextoNormal"/>
      </w:pPr>
    </w:p>
    <w:p w:rsidR="0026452D" w:rsidRDefault="0026452D" w:rsidP="0026452D">
      <w:pPr>
        <w:pStyle w:val="TextoNormal"/>
      </w:pPr>
      <w:r>
        <w:t>De acuerdo con el escrito del representante legal de la Junta de Castilla y León el alcance del concepto defensa del patrimonio contra la expoliación quedó precisado por la STC 17/1991, FJ 7, que admitió que la Ley del patrimonio histórico definiese la expoliación del patrimonio también como aquella perturbación del cumplimiento de su función social que no sería sino “la privación del destino y utilidad general que es propio de cada uno de los bienes, aunque materialmente el bien mismo permanezca”.</w:t>
      </w:r>
    </w:p>
    <w:p w:rsidR="0026452D" w:rsidRDefault="0026452D" w:rsidP="0026452D">
      <w:pPr>
        <w:pStyle w:val="TextoNormal"/>
      </w:pPr>
    </w:p>
    <w:p w:rsidR="0026452D" w:rsidRDefault="0026452D" w:rsidP="0026452D">
      <w:pPr>
        <w:pStyle w:val="TextoNormal"/>
      </w:pPr>
      <w:r>
        <w:t xml:space="preserve">Según el escrito del representante legal de la Junta de Castilla y León, para que estemos en presencia de una expoliación basta que se le prive al bien del destino y utilidad que le corresponda y que se perturbe, en consecuencia, el cumplimiento de la función social a la </w:t>
      </w:r>
      <w:r>
        <w:lastRenderedPageBreak/>
        <w:t>que ese bien está afecto. De acuerdo con el recurso de la Junta, la Constitución en su artículo 149.1.28 obliga al Estado a adoptar las medidas precisas para hacer frente a una situación de expoliación. Si no lo hace estaría infringiendo la norma constitucional que le atribuye en exclusiva esa función, así como el art. 46 CE que obliga a todos los poderes públicos a garantizar la conservación del patrimonio histórico y cultural y de los bienes que lo integran.</w:t>
      </w:r>
    </w:p>
    <w:p w:rsidR="0026452D" w:rsidRDefault="0026452D" w:rsidP="0026452D">
      <w:pPr>
        <w:pStyle w:val="TextoNormal"/>
      </w:pPr>
    </w:p>
    <w:p w:rsidR="0026452D" w:rsidRDefault="0026452D" w:rsidP="0026452D">
      <w:pPr>
        <w:pStyle w:val="TextoNormal"/>
      </w:pPr>
      <w:r>
        <w:t>Para el representante de la Junta de Castilla y León la ley impugnada pone en peligro de pérdida o destrucción los valores vinculados a los fondos documentales que se conservan en un archivo de titularidad estatal perturbando gravemente el cumplimiento de su función social, lo que constituye un supuesto típico de expoliación tal como es definido en la Ley del patrimonio histórico español, definición considerada plenamente constitucional en la STC 17/1991, de 31 de enero, y que constituye una referencia obligada a la hora de valorar las conductas contrarias al art. 149.1.28 CE.</w:t>
      </w:r>
    </w:p>
    <w:p w:rsidR="0026452D" w:rsidRDefault="0026452D" w:rsidP="0026452D">
      <w:pPr>
        <w:pStyle w:val="TextoNormal"/>
      </w:pPr>
    </w:p>
    <w:p w:rsidR="0026452D" w:rsidRDefault="0026452D" w:rsidP="0026452D">
      <w:pPr>
        <w:pStyle w:val="TextoNormal"/>
      </w:pPr>
      <w:r>
        <w:t>El escrito de planteamiento del recurso de inconstitucionalidad denuncia que el artículo 1 de la ley impugnada al establecer que su objeto es “la restitución de los documentos y efectos incautados en Cataluña por la Delegación del Estado para la Recuperación de Documentos creada en virtud del Decreto de 26 de abril de 1938” supone la salida del Archivo General de la Guerra Civil Española no sólo de los documentos de Cataluña, esto es, los procedentes de, o producidos por, la Generalitat de Cataluña, sino también de cualesquiera otros, pertenecientes a, o procedentes de, otras personas o instituciones con tal de que fueran incautados en Cataluña, lo que amplía desmesuradamente el número de documentos a extraer del archivo dado que la retirada del ejército de la República se hizo a través del territorio catalán.</w:t>
      </w:r>
    </w:p>
    <w:p w:rsidR="0026452D" w:rsidRDefault="0026452D" w:rsidP="0026452D">
      <w:pPr>
        <w:pStyle w:val="TextoNormal"/>
      </w:pPr>
    </w:p>
    <w:p w:rsidR="0026452D" w:rsidRDefault="0026452D" w:rsidP="0026452D">
      <w:pPr>
        <w:pStyle w:val="TextoNormal"/>
      </w:pPr>
      <w:r>
        <w:t>El artículo 2.2 de la ley impugnada ordena la transferencia a la Generalitat de Cataluña de los documentos, fondos documentales y otros efectos, incautados por la delegación del Estado para la recuperación de documentos en Cataluña a personas naturales o jurídicas de carácter privado, con residencia, domicilio, delegación o secciones en Cataluña.</w:t>
      </w:r>
    </w:p>
    <w:p w:rsidR="0026452D" w:rsidRDefault="0026452D" w:rsidP="0026452D">
      <w:pPr>
        <w:pStyle w:val="TextoNormal"/>
      </w:pPr>
    </w:p>
    <w:p w:rsidR="0026452D" w:rsidRDefault="0026452D" w:rsidP="0026452D">
      <w:pPr>
        <w:pStyle w:val="TextoNormal"/>
      </w:pPr>
      <w:r>
        <w:t>Para el representante de la Junta de Castilla y León el archivo hasta ahora general de la guerra civil tras la restitución prevista en los artículos referidos se ve seriamente mutilado convirtiéndose, se afirma, en un archivo parcial o un almacén parcial de restos documentales. Esta mutilación se amplía, además, por la previsión de la disposición adicional primera de la ley impugnada que establece la posibilidad de restitución de los documentos, fondos documentales y efectos a las personas naturales o jurídicas de carácter privado si lo solicitan otras Comunidades Autónomas.</w:t>
      </w:r>
    </w:p>
    <w:p w:rsidR="0026452D" w:rsidRDefault="0026452D" w:rsidP="0026452D">
      <w:pPr>
        <w:pStyle w:val="TextoNormal"/>
      </w:pPr>
    </w:p>
    <w:p w:rsidR="0026452D" w:rsidRDefault="0026452D" w:rsidP="0026452D">
      <w:pPr>
        <w:pStyle w:val="TextoNormal"/>
      </w:pPr>
      <w:r>
        <w:t>De acuerdo con el escrito del representante de la Junta de Castilla y León ello supone una expoliación al suponer una perturbación del cumplimiento de la función social que a los fondos documentales y al Archivo General de la Guerra Civil Española les corresponde a los que se priva y aparta del destino que les es propio en perjuicio del conjunto de los ciudadanos españoles de hoy y de las generaciones sucesivas. Esta perturbación trata de ser demostrada con la cuantificación de los fondos que se devolverían, prácticamente la mitad de los fondos actuales, realizada por un informe del director del Archivo General de Castilla y León.</w:t>
      </w:r>
    </w:p>
    <w:p w:rsidR="0026452D" w:rsidRDefault="0026452D" w:rsidP="0026452D">
      <w:pPr>
        <w:pStyle w:val="TextoNormal"/>
      </w:pPr>
    </w:p>
    <w:p w:rsidR="0026452D" w:rsidRDefault="0026452D" w:rsidP="0026452D">
      <w:pPr>
        <w:pStyle w:val="TextoNormal"/>
      </w:pPr>
      <w:r>
        <w:lastRenderedPageBreak/>
        <w:t>Para el escrito de recurso la expoliación es indiscutible por lo que se solicita la declaración de inconstitucionalidad y nulidad de los artículos 1 y 2.2 y de la disposición adicional primera de la ley impugnada.</w:t>
      </w:r>
    </w:p>
    <w:p w:rsidR="0026452D" w:rsidRDefault="0026452D" w:rsidP="0026452D">
      <w:pPr>
        <w:pStyle w:val="TextoNormal"/>
      </w:pPr>
    </w:p>
    <w:p w:rsidR="0026452D" w:rsidRDefault="0026452D" w:rsidP="0026452D">
      <w:pPr>
        <w:pStyle w:val="TextoNormal"/>
      </w:pPr>
      <w:r>
        <w:t>c) A la misma conclusión llega el escrito del representante de la Junta de Castilla y León respecto de la confrontación de los artículos 1 y 2.2 y la disposición adicional primera de la ley impugnada con la segunda de las rúbricas competenciales que el art. 149.1.28 CE contiene, la que reserva al Estado la competencia sobre “los museos, bibliotecas y archivos de titularidad estatal”.</w:t>
      </w:r>
    </w:p>
    <w:p w:rsidR="0026452D" w:rsidRDefault="0026452D" w:rsidP="0026452D">
      <w:pPr>
        <w:pStyle w:val="TextoNormal"/>
      </w:pPr>
    </w:p>
    <w:p w:rsidR="0026452D" w:rsidRDefault="0026452D" w:rsidP="0026452D">
      <w:pPr>
        <w:pStyle w:val="TextoNormal"/>
      </w:pPr>
      <w:r>
        <w:t>De acuerdo con el escrito de recurso, el art. 149.1.28 CE no es una norma abstracta, sino que hace referencia a instituciones determinadas, perfectamente identificables (el Museo del Prado, la Biblioteca Nacional, el Archivo Histórico Nacional, el Archivo General de la Guerra Civil Española creado en 1999, etc.) cuya existencia y singularidad la norma fundamental quiere proteger. El Estado, titular de las mismas, no podrá, pues, disponer de ellas con entera libertad. Podrá variar sus contornos si las circunstancias así lo exigen, pero no podrá alterar la imagen que las hace reconocibles. La ley recurrida, se alega, en la medida que desvirtúa y mutila el Archivo General de la Guerra Civil Española, un archivo creado como de titularidad estatal para conservar y custodiar todo el acervo documental concerniente a la represión política, sería inconstitucional y nula por contraria al artículo 149.1.28 CE, que garantiza la integridad del archivo y su permanencia como tal en manos del Estado. De no entenderse contrarios a la Constitución los artículos 1 y 2.2 y la disposición adicional primera de la ley impugnada, quedará abierta la vía para el vaciamiento de este precepto constitucional.</w:t>
      </w:r>
    </w:p>
    <w:p w:rsidR="0026452D" w:rsidRDefault="0026452D" w:rsidP="0026452D">
      <w:pPr>
        <w:pStyle w:val="TextoNormal"/>
      </w:pPr>
    </w:p>
    <w:p w:rsidR="0026452D" w:rsidRDefault="0026452D" w:rsidP="0026452D">
      <w:pPr>
        <w:pStyle w:val="TextoNormal"/>
      </w:pPr>
      <w:r>
        <w:t>d) El representante de la Junta considera como prueba de la desfiguración radical del Archivo General de la Guerra Civil Española el hecho de que, de acuerdo con la disposición adicional segunda de la Ley 21/2005, los fondos que en él puedan quedar tras la restitución pasarán a integrarse en el Centro Documental de la Memoria Histórica. El archivo que era lo principal pasa a ser lo accesorio y se pide que dicha disposición adicional segunda se declare igualmente inconstitucional y nula por conexión o consecuencia en la medida que contribuye a consumar la expoliación.</w:t>
      </w:r>
    </w:p>
    <w:p w:rsidR="0026452D" w:rsidRDefault="0026452D" w:rsidP="0026452D">
      <w:pPr>
        <w:pStyle w:val="TextoNormal"/>
      </w:pPr>
    </w:p>
    <w:p w:rsidR="0026452D" w:rsidRDefault="0026452D" w:rsidP="0026452D">
      <w:pPr>
        <w:pStyle w:val="TextoNormal"/>
      </w:pPr>
      <w:r>
        <w:t>e) A continuación, el escrito de recurso afirma que los artículos 1,2.2, 3 y 5 de la Ley 21/2005 carecen de justificación objetiva y son, en consecuencia, arbitrarios, por lo que infringen el art. 9.3 CE.</w:t>
      </w:r>
    </w:p>
    <w:p w:rsidR="0026452D" w:rsidRDefault="0026452D" w:rsidP="0026452D">
      <w:pPr>
        <w:pStyle w:val="TextoNormal"/>
      </w:pPr>
    </w:p>
    <w:p w:rsidR="0026452D" w:rsidRDefault="0026452D" w:rsidP="0026452D">
      <w:pPr>
        <w:pStyle w:val="TextoNormal"/>
      </w:pPr>
      <w:r>
        <w:t>El artículo 1 propone la restitución de los documentos incautados en Cataluña por la delegación del Estado para la recuperación de documentos, el artículo 2.2 hace efectivo este propósito al transferir a la Generalitat los documentos, fondos documentales y otros efectos incautados en Cataluña a personas naturales o jurídicas de carácter privado con residencia, domicilio, delegación o secciones en Cataluña por la delegación del Estado para la recuperación de documentos, lo que ratifica a continuación el artículo 3 de la ley al afirmar que la Generalitat quedará subrogada en todos los derechos y obligaciones que hasta ahora correspondían al Estado sobre estos documentos y efectos. El artículo 5 recoge algunos de los principios y criterios que deben guiar la restitución de documentos a sus propietarios originarios o sus descendientes.</w:t>
      </w:r>
    </w:p>
    <w:p w:rsidR="0026452D" w:rsidRDefault="0026452D" w:rsidP="0026452D">
      <w:pPr>
        <w:pStyle w:val="TextoNormal"/>
      </w:pPr>
    </w:p>
    <w:p w:rsidR="0026452D" w:rsidRDefault="0026452D" w:rsidP="0026452D">
      <w:pPr>
        <w:pStyle w:val="TextoNormal"/>
      </w:pPr>
      <w:r>
        <w:lastRenderedPageBreak/>
        <w:t xml:space="preserve">Para el representante de la Junta de Castilla y León la restitución que se pretende con la Ley va más allá de su propios términos pues no supone devolver una cosa a quien la tenía antes, pues la Generalitat, se afirma, nunca tuvo los fondos que el artículo 2.2 le transfiere ya que dichos fondos pertenecían en el momento de la incautación a “personas naturales o jurídicas de carácter privado”. No puede hablarse por tanto de restitución sino de atribución </w:t>
      </w:r>
      <w:r w:rsidRPr="0026452D">
        <w:rPr>
          <w:i/>
        </w:rPr>
        <w:t>ex novo</w:t>
      </w:r>
      <w:r>
        <w:t>, de transferencia de titularidad, carente de causa, injustificada y puramente arbitraria, se afirma.</w:t>
      </w:r>
    </w:p>
    <w:p w:rsidR="0026452D" w:rsidRDefault="0026452D" w:rsidP="0026452D">
      <w:pPr>
        <w:pStyle w:val="TextoNormal"/>
      </w:pPr>
    </w:p>
    <w:p w:rsidR="0026452D" w:rsidRDefault="0026452D" w:rsidP="0026452D">
      <w:pPr>
        <w:pStyle w:val="TextoNormal"/>
      </w:pPr>
      <w:r>
        <w:t>Para la representación de la Junta de Castilla y León tal transferencia no puede justificarse en que se hace para que la Generalitat se encargue de devolver dichos documentos y efectos a los sujetos privados que fueron sus dueños o a sus causahabientes, pues la Generalitat se quedará en propiedad con todos los documentos que no sean reclamados en plazo o que no sean reclamados en forma. Precisamente es la Generalitat la encargada de regular, de acuerdo con el artículo 5.2 de la Ley 21/2005, el procedimiento de reclamación, convirtiéndose, se afirma en el escrito de recurso, en juez y parte, en “restituyente” y beneficiaria de lo que no pueda restituirse.</w:t>
      </w:r>
    </w:p>
    <w:p w:rsidR="0026452D" w:rsidRDefault="0026452D" w:rsidP="0026452D">
      <w:pPr>
        <w:pStyle w:val="TextoNormal"/>
      </w:pPr>
    </w:p>
    <w:p w:rsidR="0026452D" w:rsidRDefault="0026452D" w:rsidP="0026452D">
      <w:pPr>
        <w:pStyle w:val="TextoNormal"/>
      </w:pPr>
      <w:r>
        <w:t>La combinación de los artículo 2.2 y 5 de la ley impugnada, afirma el recurrente, otorga a la Generalitat la propiedad de todos los documentos y efectos privados que no puedan restituirse, atribución que no tiene ninguna justificación posible, pues el mero hecho de que la incautación se produjera en territorio catalán no hace de mejor condición a la Generalitat que a otras personas físicas o jurídicas, públicas o privadas, que pudieran invocar títulos semejantes como sería el caso de los Ayuntamientos. Para el representante de la Junta de Castilla y León, el puro hecho geográfico no es una razón que pueda justificar la transmisión a la Generalitat de unos documentos y unos efectos que nunca le pertenecieron.</w:t>
      </w:r>
    </w:p>
    <w:p w:rsidR="0026452D" w:rsidRDefault="0026452D" w:rsidP="0026452D">
      <w:pPr>
        <w:pStyle w:val="TextoNormal"/>
      </w:pPr>
    </w:p>
    <w:p w:rsidR="0026452D" w:rsidRDefault="0026452D" w:rsidP="0026452D">
      <w:pPr>
        <w:pStyle w:val="TextoNormal"/>
      </w:pPr>
      <w:r>
        <w:t>De acuerdo con el escrito de recurso, la ausencia de una razón capaz de justificar la transmisión a la Generalitat de Cataluña de la documentación privada que por uno u otro motivo no llegue a restituirse supone que los artículos 1, 2.2 y 5 de la Ley 21/2005 no tienen otro soporte que la desnuda voluntad, la pura arbitrariedad y vulneran el art. 9.3 CE por lo que deben ser declarados inconstitucionales y nulos.</w:t>
      </w:r>
    </w:p>
    <w:p w:rsidR="0026452D" w:rsidRDefault="0026452D" w:rsidP="0026452D">
      <w:pPr>
        <w:pStyle w:val="TextoNormal"/>
      </w:pPr>
    </w:p>
    <w:p w:rsidR="0026452D" w:rsidRDefault="0026452D" w:rsidP="0026452D">
      <w:pPr>
        <w:pStyle w:val="TextoNormal"/>
      </w:pPr>
      <w:r>
        <w:t>f) El escrito del representante legal de la Junta de Castilla y León sostiene, asimismo, que los artículos 2.2, 3 y 5.2 de la Ley 21/2005 son inconstitucionales y nulos por ser contrarios al art. 149.1.28 CE que atribuye al Estado la competencia exclusiva sobre los archivos de titularidad estatal, sin perjuicio de su gestión por parte de las Comunidades Autónomas.</w:t>
      </w:r>
    </w:p>
    <w:p w:rsidR="0026452D" w:rsidRDefault="0026452D" w:rsidP="0026452D">
      <w:pPr>
        <w:pStyle w:val="TextoNormal"/>
      </w:pPr>
    </w:p>
    <w:p w:rsidR="0026452D" w:rsidRDefault="0026452D" w:rsidP="0026452D">
      <w:pPr>
        <w:pStyle w:val="TextoNormal"/>
      </w:pPr>
      <w:r>
        <w:t xml:space="preserve">Para el escrito de recurso no es constitucionalmente posible la transferencia a una Comunidad Autónoma de la titularidad de una parte importante de los fondos documentales de uno de los archivos de su exclusiva competencia (art. 2.2 de la Ley 21/2005), ni lo es tampoco subrogarla en todos los derechos y obligaciones del Estado (art. 3 de la Ley 21/2005), ni, en fin, cederle la competencia para regular el procedimiento a través del cual se tramitarán y resolverán las solicitudes de devolución que puedan formular sus titulares (art. 5.2 de la Ley 21/2005). Para el representante de la Junta de Castilla y León, si el Estado quiere restituir los documentos a sus primitivos propietarios debe ser él quien lo haga y quien regule el procedimiento para llevarlo a cabo, pues es una competencia que la Constitución </w:t>
      </w:r>
      <w:r>
        <w:lastRenderedPageBreak/>
        <w:t>atribuye al Estado en su art. 149.1.28 CE y tiene que ser ejercida por quien la tenga atribuida como propia.</w:t>
      </w:r>
    </w:p>
    <w:p w:rsidR="0026452D" w:rsidRDefault="0026452D" w:rsidP="0026452D">
      <w:pPr>
        <w:pStyle w:val="TextoNormal"/>
      </w:pPr>
    </w:p>
    <w:p w:rsidR="0026452D" w:rsidRDefault="0026452D" w:rsidP="0026452D">
      <w:pPr>
        <w:pStyle w:val="TextoNormal"/>
      </w:pPr>
      <w:r>
        <w:t>El Estado puede delegar la gestión de un archivo de su titularidad a una Comunidad Autónoma pero no puede transferir la titularidad del archivo o una parte del mismo, ni subrogarla en todos sus derechos y obligaciones, ni cederle la potestad de regular el procedimiento. Es por ello por lo que se solicita la declaración de inconstitucionalidad y nulidad de los artículos 2.2, 3.1 y 5.2 de la Ley 21/2005.</w:t>
      </w:r>
    </w:p>
    <w:p w:rsidR="0026452D" w:rsidRDefault="0026452D" w:rsidP="0026452D">
      <w:pPr>
        <w:pStyle w:val="TextoNormal"/>
      </w:pPr>
    </w:p>
    <w:p w:rsidR="0026452D" w:rsidRDefault="0026452D" w:rsidP="0026452D">
      <w:pPr>
        <w:pStyle w:val="TextoNormal"/>
      </w:pPr>
      <w:r>
        <w:t>g) Igualmente se argumenta que tales artículos, junto con la disposición adicional primera de la Ley 21/2005, violan el artículo 46 de la Constitución, pues ninguno de los preceptos legales establece medidas de protección para garantizar la conservación de los documentos que en aplicación de los mismos salgan del archivo que hasta ahora los custodiaba.</w:t>
      </w:r>
    </w:p>
    <w:p w:rsidR="0026452D" w:rsidRDefault="0026452D" w:rsidP="0026452D">
      <w:pPr>
        <w:pStyle w:val="TextoNormal"/>
      </w:pPr>
    </w:p>
    <w:p w:rsidR="0026452D" w:rsidRDefault="0026452D" w:rsidP="0026452D">
      <w:pPr>
        <w:pStyle w:val="TextoNormal"/>
      </w:pPr>
      <w:r>
        <w:t>De acuerdo con el escrito del representante de la Junta de Castilla y León, mientras los documentos se encuentran en el archivo estatal gozan de la protección que la Ley del patrimonio histórico español otorga a los bienes de interés cultural. Esta protección desaparece con su salida del archivo. Se denuncia que la Ley 21/2005 deja los documentos restituidos en situación de absoluta desprotección vulnerándose el artículo 46 de la Constitución que impone a todos los poderes públicos la obligación de garantizar la conservación del patrimonio histórico y cultural de los pueblos de España y de los bienes que lo integran, cualquiera que sea su régimen jurídico y su titularidad.</w:t>
      </w:r>
    </w:p>
    <w:p w:rsidR="0026452D" w:rsidRDefault="0026452D" w:rsidP="0026452D">
      <w:pPr>
        <w:pStyle w:val="TextoNormal"/>
      </w:pPr>
    </w:p>
    <w:p w:rsidR="0026452D" w:rsidRDefault="0026452D" w:rsidP="0026452D">
      <w:pPr>
        <w:pStyle w:val="TextoNormal"/>
      </w:pPr>
      <w:r>
        <w:t>La ausencia en la Ley 21/2005 de medidas dirigidas al cumplimiento de aquella obligación vulnera el art. 46 CE, por lo que se solicita la declaración de inconstitucionalidad y nulidad de los artículos 2.2 y 5 y la disposición adicional primera de la ley impugnada.</w:t>
      </w:r>
    </w:p>
    <w:p w:rsidR="0026452D" w:rsidRDefault="0026452D" w:rsidP="0026452D">
      <w:pPr>
        <w:pStyle w:val="TextoNormal"/>
      </w:pPr>
    </w:p>
    <w:p w:rsidR="0026452D" w:rsidRDefault="0026452D" w:rsidP="0026452D">
      <w:pPr>
        <w:pStyle w:val="TextoNormal"/>
      </w:pPr>
      <w:r>
        <w:t>h) El escrito del representante legal de la Junta de Castilla y León considera que los artículos 1, 2.2, 3, apartados 1 y 3, 4.1 y 5 de la Ley 21/2005 implican una discriminación a favor de la Generalitat de Cataluña y en contra de las demás Comunidades Autónomas careciendo absolutamente de justificación objetiva.</w:t>
      </w:r>
    </w:p>
    <w:p w:rsidR="0026452D" w:rsidRDefault="0026452D" w:rsidP="0026452D">
      <w:pPr>
        <w:pStyle w:val="TextoNormal"/>
      </w:pPr>
    </w:p>
    <w:p w:rsidR="0026452D" w:rsidRDefault="0026452D" w:rsidP="0026452D">
      <w:pPr>
        <w:pStyle w:val="TextoNormal"/>
      </w:pPr>
      <w:r>
        <w:t>El escrito de recurso de inconstitucionalidad de la Junta de Castilla y León acepta que se restituya a la Generalitat de Cataluña “la documentación del archivo institucional de sus órganos de gobierno, de su Administración de sus entidades dependientes, así como la correspondiente al Parlamento de Cataluña” que se conserva en el Archivo General de la Guerra Civil. La diferencia de trato denunciada no se refiere a este tipo de documentos ya que tal diferencia está plenamente justificada: se trata de documentos producidos por la propia Generalitat de Cataluña.</w:t>
      </w:r>
    </w:p>
    <w:p w:rsidR="0026452D" w:rsidRDefault="0026452D" w:rsidP="0026452D">
      <w:pPr>
        <w:pStyle w:val="TextoNormal"/>
      </w:pPr>
    </w:p>
    <w:p w:rsidR="0026452D" w:rsidRDefault="0026452D" w:rsidP="0026452D">
      <w:pPr>
        <w:pStyle w:val="TextoNormal"/>
      </w:pPr>
      <w:r>
        <w:t xml:space="preserve">La denuncia de discriminación se refiere a los documentos incautados en su día a particulares cuya titularidad no es transferida por la Ley al resto de Comunidades Autónomas, ni las declara subrogadas en lugar del Estado en todos sus derechos y obligaciones, ni les otorga competencia para regular el procedimiento de restitución. La Ley, se señala, no da explicación de tal diferencia por lo que no parece que exista razón alguna capaz de justificar la discriminación denunciada por lo que la decisión tiene que declararse inconstitucional y nula por arbitraria. Para el escrito de la Junta, no es posible esgrimir que la Generalitat ya </w:t>
      </w:r>
      <w:r>
        <w:lastRenderedPageBreak/>
        <w:t>existía en el momento de la incautación, pues tal argumento sólo sería decisivo para justificar la restitución de documentos producidos por la propia Generalitat, pero no para justificar los documentos incautados a particulares.</w:t>
      </w:r>
    </w:p>
    <w:p w:rsidR="0026452D" w:rsidRDefault="0026452D" w:rsidP="0026452D">
      <w:pPr>
        <w:pStyle w:val="TextoNormal"/>
      </w:pPr>
    </w:p>
    <w:p w:rsidR="0026452D" w:rsidRDefault="0026452D" w:rsidP="0026452D">
      <w:pPr>
        <w:pStyle w:val="TextoNormal"/>
      </w:pPr>
      <w:r>
        <w:t>i) El escrito de la representación legal de la Junta de Castilla y León realiza una observación final sobre el artículo 4.2 de la Ley 21/2005 que dispone la entrega inmediata a la Generalitat de los documentos y efectos que ya hubieran sido identificados en cumplimento del convenio sobre microfilmación de 1982. Para el escrito de recurso se debe comprobar que lo entregado de inmediato son sólo documentos producidos en su día por la Generalitat y no los que tengan otros orígenes diferentes, lo que debe llevar a comprobar previamente a la entrega el contenido de las 507 cajas apartadas a raíz del convenio de 1982. La razón es que la Ley establece tratamientos claramente diferenciados para una y otra clase de documentos y esa es la única interpretación, afirma el escrito de recurso, que se ajustaría a lo querido por la norma y que no contribuiría a la expoliación denunciada.</w:t>
      </w:r>
    </w:p>
    <w:p w:rsidR="0026452D" w:rsidRDefault="0026452D" w:rsidP="0026452D">
      <w:pPr>
        <w:pStyle w:val="TextoNormal"/>
      </w:pPr>
    </w:p>
    <w:p w:rsidR="0026452D" w:rsidRDefault="0026452D" w:rsidP="0026452D">
      <w:pPr>
        <w:pStyle w:val="TextoNormal"/>
      </w:pPr>
      <w:r>
        <w:t>j) Finaliza el escrito de la representación legal de la Junta de Castilla y León solicitando del Tribunal que se declare la inconstitucionalidad y nulidad de los artículos antes indicados. Mediante otrosí, la demanda pone de manifiesto que la Sentencia que en su día se dicte puede resultar ineficaz a la vista de la brevedad de los plazos que la ley recurrida prevé (art. 3.3) para que se haga efectivo el traslado a la Generalitat de Cataluña de la documentación prevista en el art. 2, lo que determina que se solicite del Tribunal la adopción de las medidas provisionales consistentes en: 1. Que con carácter previo a la entrega a la Generalitat de Cataluña de los documentos a que hacen referencia los artículos 2.1 y 4.2 de la Ley 21/2005, de 17 de noviembre, se proceda a la revisión del contenido de las 507 cajas en la que se conservan los documentos que fueron microfilmados en virtud del convenio de 1982 con el fin de retirar de ellas y excluir de la entrega la documentación que tenga una procedencia distinta de la contemplada en el art. 2.1 de la Ley. 2. Que se aplace hasta que se dicte la Sentencia que ponga fin a este recurso la salida del Archivo General de la Guerra Civil Española de cualesquiera documentos distintos de los contemplados en el art. 2.1 de la Ley.</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la Sección Segunda de fecha 17 de enero de 2006 se admitió a trámite el recurso de inconstitucionalidad y se acordó dar traslado de la demanda y documentos presentados, conforme dispone el art. 34 de la Ley Orgánica del Tribunal Constitucional, al Congreso de los Diputados y al Senado, así como al Gobierno de la Nación, al objeto de que en el plazo de quince días puedan personarse en el proceso y formular alegaciones. También se acordó, en cuanto a la solicitud de suspensión cautelar formulada en el escrito de interposición, oír a las partes mencionadas para que en el plazo señalado puedan hacer las alegaciones que estimen oportunas. Por último, se acordó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El día 18 de enero de 2006 se registró un escrito de la representación legal de la Junta de Castilla y León en el que manifiesta que se va a disponer la salida de los documentos que fueron microfilmados en virtud del convenio suscrito entre la Generalitat de Cataluña y el Ministerio de Cultura de 22 de octubre de 1982 para el día 19 de enero. El recurrente alega que en las 507 cajas en las que se conservan esos documentos se guardan otros que no proceden ni pertenecieron nunca al archivo institucional de la Generalitat de Cataluña, de su Administración y de su Parlamento, por lo que solicita del Tribunal Constitucional que acuerde requerir a la señora Ministra de Cultura para que deje en suspenso provisionalmente </w:t>
      </w:r>
      <w:r>
        <w:lastRenderedPageBreak/>
        <w:t>la entrega a la Generalitat de los documentos a que se refiere el art. 4.2 de la Ley recurrida hasta que recaiga Sentencia</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la Sección Segunda de 24 de enero de 2006 se acordó unir a las actuaciones el escrito de 18 de enero de 2006 de la representación procesal de la Junta de Castilla y León y estar a lo acordado en la resolución de 17 de enero.</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el día 24 de enero de 2006 el Abogado del Estado se personó en el proceso en nombre del Gobierno y evacuó el trámite de alegaciones relativo a la adopción de las medidas provisionales solicitadas por la parte actora en el recurso.</w:t>
      </w:r>
    </w:p>
    <w:p w:rsidR="0026452D" w:rsidRDefault="0026452D" w:rsidP="0026452D">
      <w:pPr>
        <w:pStyle w:val="TextoNormal"/>
      </w:pPr>
    </w:p>
    <w:p w:rsidR="0026452D" w:rsidRDefault="0026452D" w:rsidP="0026452D">
      <w:pPr>
        <w:pStyle w:val="TextoNormal"/>
      </w:pPr>
      <w:r>
        <w:t>El Abogado del Estado solicita que se denieguen las medidas provisionales interesadas, argumentando, entre otras razones, que las facultades de suspensión que ostenta el Tribunal están tasadas, circunscribiéndose a las previstas de forma expresa en la Ley Orgánica del Tribunal Constitucional y no pudiendo extenderse a casos distintos (ATC 226/2000, de 2 de octubre, FJ único).</w:t>
      </w:r>
    </w:p>
    <w:p w:rsidR="0026452D" w:rsidRDefault="0026452D" w:rsidP="0026452D">
      <w:pPr>
        <w:pStyle w:val="TextoNormal"/>
      </w:pPr>
    </w:p>
    <w:p w:rsidR="0026452D" w:rsidRDefault="0026452D" w:rsidP="0026452D">
      <w:pPr>
        <w:pStyle w:val="TextoNormal"/>
      </w:pPr>
      <w:r w:rsidRPr="0026452D">
        <w:rPr>
          <w:rStyle w:val="NumeroAFNegritaCaracter"/>
        </w:rPr>
        <w:t>6</w:t>
      </w:r>
      <w:r>
        <w:t>. El día 26 de enero de 2006 el Abogado del Estado se dirige al Tribunal en contestación a su providencia de 24 de enero de 2006, por la que se une a las actuaciones el escrito de la representación procesal del Gobierno de la Junta de Castilla y León de fecha 18 de enero de 2006 y se está a lo acordado en la resolución de 17 de enero. El Abogado del Estado se reitera en lo dicho en su escrito de 24 de enero de 2006 y sobre la petición adicional de requerimiento a la Sra. Ministra de Cultura para que deje provisionalmente en suspenso la entrega a la Generalitat de los documentos a que se refiere el art. 4.2 de la Ley solicita del Tribunal que las deniegue.</w:t>
      </w:r>
    </w:p>
    <w:p w:rsidR="0026452D" w:rsidRDefault="0026452D" w:rsidP="0026452D">
      <w:pPr>
        <w:pStyle w:val="TextoNormal"/>
      </w:pPr>
    </w:p>
    <w:p w:rsidR="0026452D" w:rsidRDefault="0026452D" w:rsidP="0026452D">
      <w:pPr>
        <w:pStyle w:val="TextoNormal"/>
      </w:pPr>
      <w:r w:rsidRPr="0026452D">
        <w:rPr>
          <w:rStyle w:val="NumeroAFNegritaCaracter"/>
        </w:rPr>
        <w:t>7</w:t>
      </w:r>
      <w:r>
        <w:t>. Con fecha 31 de enero de 2006 se registra en el Tribunal un escrito del Presidente del Congreso de los Diputados mediante el que se comunica que la Mesa de la Cámara ha adoptado el acuerdo de no personarse en el proceso ni hacer alegaciones, poniéndose a disposición del Tribunal.</w:t>
      </w:r>
    </w:p>
    <w:p w:rsidR="0026452D" w:rsidRDefault="0026452D" w:rsidP="0026452D">
      <w:pPr>
        <w:pStyle w:val="TextoNormal"/>
      </w:pPr>
    </w:p>
    <w:p w:rsidR="0026452D" w:rsidRDefault="0026452D" w:rsidP="0026452D">
      <w:pPr>
        <w:pStyle w:val="TextoNormal"/>
      </w:pPr>
      <w:r w:rsidRPr="0026452D">
        <w:rPr>
          <w:rStyle w:val="NumeroAFNegritaCaracter"/>
        </w:rPr>
        <w:t>8</w:t>
      </w:r>
      <w:r>
        <w:t>. El día 1 de febrero de 2006 se registra en el Tribunal un escrito del Presidente del Senado en el que se indica que la Cámara se persona en el proceso, poniéndose a disposición del Tribunal.</w:t>
      </w:r>
    </w:p>
    <w:p w:rsidR="0026452D" w:rsidRDefault="0026452D" w:rsidP="0026452D">
      <w:pPr>
        <w:pStyle w:val="TextoNormal"/>
      </w:pPr>
    </w:p>
    <w:p w:rsidR="0026452D" w:rsidRDefault="0026452D" w:rsidP="0026452D">
      <w:pPr>
        <w:pStyle w:val="TextoNormal"/>
      </w:pPr>
      <w:r w:rsidRPr="0026452D">
        <w:rPr>
          <w:rStyle w:val="NumeroAFNegritaCaracter"/>
        </w:rPr>
        <w:t>9</w:t>
      </w:r>
      <w:r>
        <w:t>. El día 7 de febrero de 2006 el Abogado del Estado, en la representación que legalmente ostenta, se dirige al Tribunal solicitando una prórroga de ocho días para formular sus alegaciones.</w:t>
      </w:r>
    </w:p>
    <w:p w:rsidR="0026452D" w:rsidRDefault="0026452D" w:rsidP="0026452D">
      <w:pPr>
        <w:pStyle w:val="TextoNormal"/>
      </w:pPr>
    </w:p>
    <w:p w:rsidR="0026452D" w:rsidRDefault="0026452D" w:rsidP="0026452D">
      <w:pPr>
        <w:pStyle w:val="TextoNormal"/>
      </w:pPr>
      <w:r w:rsidRPr="0026452D">
        <w:rPr>
          <w:rStyle w:val="NumeroAFNegritaCaracter"/>
        </w:rPr>
        <w:t>10</w:t>
      </w:r>
      <w:r>
        <w:t>. El día 8 de febrero de 2006 la Sección Segunda de este Tribunal acuerda incorporar a las actuaciones el escrito del Abogado del Estado de 7 de febrero de 2006 y concederle la prórroga solicitada para formular las alegaciones.</w:t>
      </w:r>
    </w:p>
    <w:p w:rsidR="0026452D" w:rsidRDefault="0026452D" w:rsidP="0026452D">
      <w:pPr>
        <w:pStyle w:val="TextoNormal"/>
      </w:pPr>
    </w:p>
    <w:p w:rsidR="0026452D" w:rsidRDefault="0026452D" w:rsidP="0026452D">
      <w:pPr>
        <w:pStyle w:val="TextoNormal"/>
      </w:pPr>
      <w:r w:rsidRPr="0026452D">
        <w:rPr>
          <w:rStyle w:val="NumeroAFNegritaCaracter"/>
        </w:rPr>
        <w:t>11</w:t>
      </w:r>
      <w:r>
        <w:t xml:space="preserve">. Con fecha 15 de febrero de 2006 se dicta por el Pleno del Tribunal Constitucional el Auto 58/2006, por el que se deniegan las medidas provisionales solicitadas por tener vedado el Tribunal la posibilidad de suspender, excepto en el caso dispuesto por el art. 161.2 de la </w:t>
      </w:r>
      <w:r>
        <w:lastRenderedPageBreak/>
        <w:t>Constitución Española, la aplicabilidad de la ley, como consecuencia de la presunción de la legitimidad que tiene la ley por ser manifestación de la voluntad popular expresada por el legislador. En cuanto a la primera de las medidas provisionales solicitadas, la revisión de las 507 cajas para garantizar el efectivo cumplimiento de la Ley 21/2005 (arts. 2.1 y 4.2), así como a la petición de requerimiento a la Ministra de Cultura, considera el Tribunal que la petición resulta ajena a la jurisdicción constitucional, pues dichos preceptos no han sido recurridos.</w:t>
      </w:r>
    </w:p>
    <w:p w:rsidR="0026452D" w:rsidRDefault="0026452D" w:rsidP="0026452D">
      <w:pPr>
        <w:pStyle w:val="TextoNormal"/>
      </w:pPr>
    </w:p>
    <w:p w:rsidR="0026452D" w:rsidRDefault="0026452D" w:rsidP="0026452D">
      <w:pPr>
        <w:pStyle w:val="TextoNormal"/>
      </w:pPr>
      <w:r w:rsidRPr="0026452D">
        <w:rPr>
          <w:rStyle w:val="NumeroAFNegritaCaracter"/>
        </w:rPr>
        <w:t>12</w:t>
      </w:r>
      <w:r>
        <w:t>. Con fecha 22 de febrero de 2006 se registra el escrito mediante el cual el Abogado del Estado formula sus alegaciones en el recurso de inconstitucionalidad número 9007-2005, que resumidamente se exponen.</w:t>
      </w:r>
    </w:p>
    <w:p w:rsidR="0026452D" w:rsidRDefault="0026452D" w:rsidP="0026452D">
      <w:pPr>
        <w:pStyle w:val="TextoNormal"/>
      </w:pPr>
    </w:p>
    <w:p w:rsidR="0026452D" w:rsidRDefault="0026452D" w:rsidP="0026452D">
      <w:pPr>
        <w:pStyle w:val="TextoNormal"/>
      </w:pPr>
      <w:r>
        <w:t>a) Comienza el escrito del Abogado del Estado analizando el objeto del recurso y destacando cómo la demanda únicamente discute la constitucionalidad de la restitución prevista en la Ley a favor de las personas físicas o jurídico-privadas, ya residan en Cataluña o en otras Comunidades Autónomas, aceptando, sin embargo, la plena conformidad a la Constitución de la restitución a la Generalitat prevista en el artículo 2.1, pues así se establece en la página 21 del escrito de recurso cuando se afirma que “no hemos pretendido nunca, ni pretendemos ahora evitar la devolución a la Generalidad de Cataluña de la documentación por ella generada entre 1932 y 1939”. Considera el Abogado del Estado que ello es incongruente, pues el fundamento de la restitución es el mismo: el Estado considera que la causa de la adquisición de la propiedad de tales bienes fue ilegítima y procede reparar la injusticia devolviendo a los que la padecieron los documentos que les fueron incautados. No se entiende que desde la protección de la unidad del archivo se acepte la restitución de los documentos públicos, que de acuerdo con la Ley 16/1985, del patrimonio histórico español, tendrían una mayor valor histórico por entrar a formar parte del patrimonio documental desde su generación (art. 49.2), y no la de los privados, los cuales no se incorporan al patrimonio documental hasta transcurridos cien años (art. 49.4).</w:t>
      </w:r>
    </w:p>
    <w:p w:rsidR="0026452D" w:rsidRDefault="0026452D" w:rsidP="0026452D">
      <w:pPr>
        <w:pStyle w:val="TextoNormal"/>
      </w:pPr>
    </w:p>
    <w:p w:rsidR="0026452D" w:rsidRDefault="0026452D" w:rsidP="0026452D">
      <w:pPr>
        <w:pStyle w:val="TextoNormal"/>
      </w:pPr>
      <w:r>
        <w:t>Para el Abogado del Estado el legislador estatal puede, desde un punto de vista constitucional, ponderar los intereses en conflicto y privilegiar la protección del interés de los legítimos propietarios de recuperar lo que injustamente les fue incautado, frente a una defensa a ultranza del patrimonio documental. Debe tenerse en cuenta, además, que la ley impugnada adopta todas las medidas necesarias para garantizar la plena protección de ese patrimonio documental.</w:t>
      </w:r>
    </w:p>
    <w:p w:rsidR="0026452D" w:rsidRDefault="0026452D" w:rsidP="0026452D">
      <w:pPr>
        <w:pStyle w:val="TextoNormal"/>
      </w:pPr>
    </w:p>
    <w:p w:rsidR="0026452D" w:rsidRDefault="0026452D" w:rsidP="0026452D">
      <w:pPr>
        <w:pStyle w:val="TextoNormal"/>
      </w:pPr>
      <w:r>
        <w:t>b) A continuación realiza el Abogado del Estado una serie de precisiones fácticas entre las que destacan la relativa a que únicamente han salido del archivo documentos que se ha comprobado que pertenecían a la Generalitat, o la que se refiere a que la creación del Archivo General de la Guerra Civil Española en 1999 no supuso aumento de los medios personales ni materiales frente a lo que ocurrirá con la entrada en vigor de la Ley 21/2005, aquí impugnada, que prevé la creación del Centro Documental de la Memoria Histórica para lo cual el Ministerio de Cultura ha comprometido 12 millones de euros, duplicar la plantilla y la expropiación del Palacio de Orellana para dar cabida a los nuevos fondos con los que se pretende dotar al archivo. Para el escrito del Abogado del Estado el incremento de medios materiales y personales no parece congruente con la intención expoliadora que la demanda atribuye a la Ley.</w:t>
      </w:r>
    </w:p>
    <w:p w:rsidR="0026452D" w:rsidRDefault="0026452D" w:rsidP="0026452D">
      <w:pPr>
        <w:pStyle w:val="TextoNormal"/>
      </w:pPr>
    </w:p>
    <w:p w:rsidR="0026452D" w:rsidRDefault="0026452D" w:rsidP="0026452D">
      <w:pPr>
        <w:pStyle w:val="TextoNormal"/>
      </w:pPr>
      <w:r>
        <w:lastRenderedPageBreak/>
        <w:t>c) El Abogado del Estado comienza entonces a rebatir los argumentos del recurso agrupando su contestación en dos grandes motivos. El primero es la infracción del art. 149.1.28, en relación con el art. 46, ambos de la Constitución, dado que según la demanda las Cortes Generales habrían perpetrado una expoliación del patrimonio documental español; se habría vulnerado la garantía institucional establecida en aquel artículo; el Estado estaría incumpliendo su obligación de conservar sus competencias sobre los archivos de su titularidad, y no se estaría garantizando además la conservación del fondo documental que se restituye. El segundo es la vulneración del art. 9.3 CE, en lo que se refiere a la interdicción de la arbitrariedad, dado que las medidas carecerían de justificación objetiva e introducirían una discriminación a favor de la Generalitat.</w:t>
      </w:r>
    </w:p>
    <w:p w:rsidR="0026452D" w:rsidRDefault="0026452D" w:rsidP="0026452D">
      <w:pPr>
        <w:pStyle w:val="TextoNormal"/>
      </w:pPr>
    </w:p>
    <w:p w:rsidR="0026452D" w:rsidRDefault="0026452D" w:rsidP="0026452D">
      <w:pPr>
        <w:pStyle w:val="TextoNormal"/>
      </w:pPr>
      <w:r>
        <w:t>d) Por lo que se refiere al primer motivo considera el escrito del Abogado del Estado que la Ley no provoca una expoliación en el sentido del artículo 4 de la Ley del patrimonio histórico español, que, en todo caso, no podría servir de canon para enjuiciar la constitucionalidad de una ley igualmente estatal.</w:t>
      </w:r>
    </w:p>
    <w:p w:rsidR="0026452D" w:rsidRDefault="0026452D" w:rsidP="0026452D">
      <w:pPr>
        <w:pStyle w:val="TextoNormal"/>
      </w:pPr>
    </w:p>
    <w:p w:rsidR="0026452D" w:rsidRDefault="0026452D" w:rsidP="0026452D">
      <w:pPr>
        <w:pStyle w:val="TextoNormal"/>
      </w:pPr>
      <w:r>
        <w:t>El Archivo General de la Guerra Civil está formado por tres tipos de documentos, los generados por los organismos represivos, los incautados para llevar a cabo la represión y los incorporados al archivo en los últimos años. En el archivo van a permanecer los primeros y los terceros. Los primeros constituyen el auténtico testimonio de la represión.</w:t>
      </w:r>
    </w:p>
    <w:p w:rsidR="0026452D" w:rsidRDefault="0026452D" w:rsidP="0026452D">
      <w:pPr>
        <w:pStyle w:val="TextoNormal"/>
      </w:pPr>
    </w:p>
    <w:p w:rsidR="0026452D" w:rsidRDefault="0026452D" w:rsidP="0026452D">
      <w:pPr>
        <w:pStyle w:val="TextoNormal"/>
      </w:pPr>
      <w:r>
        <w:t>Señala el Abogado del Estado que los documentos a restituir no tienen un valor artístico, sino únicamente una importancia histórica como testimonio del pasado, fuente de investigación para los historiadores. Destacando que el documento original no incorpora un valor científico superior al de la copia autenticada, dado que su única función es servir a la investigación, que evidentemente puede desarrollarse igual sobre el original o sobre la copia. Recogiendo lo dicho por la comisión de expertos creada en 2004, el Abogado del Estado afirma que el mantenimiento de la función social del archivo no depende tanto de su localización física como de las condiciones de uso de la información en ellos contenidos. La función social del archivo, consistente en permitir la consulta e investigación de sus fondos, va a mantenerse al conservarse copia digitalizada, con el carácter de auténtica, de todos los documentos que se restituyan.</w:t>
      </w:r>
    </w:p>
    <w:p w:rsidR="0026452D" w:rsidRDefault="0026452D" w:rsidP="0026452D">
      <w:pPr>
        <w:pStyle w:val="TextoNormal"/>
      </w:pPr>
    </w:p>
    <w:p w:rsidR="0026452D" w:rsidRDefault="0026452D" w:rsidP="0026452D">
      <w:pPr>
        <w:pStyle w:val="TextoNormal"/>
      </w:pPr>
      <w:r>
        <w:t>Igualmente afirma el escrito de la Abogacía del Estado que desde una perspectiva archivística el principio fundamental es el de la procedencia más que el de unidad. Y a aquel principio responde la ley impugnada.</w:t>
      </w:r>
    </w:p>
    <w:p w:rsidR="0026452D" w:rsidRDefault="0026452D" w:rsidP="0026452D">
      <w:pPr>
        <w:pStyle w:val="TextoNormal"/>
      </w:pPr>
    </w:p>
    <w:p w:rsidR="0026452D" w:rsidRDefault="0026452D" w:rsidP="0026452D">
      <w:pPr>
        <w:pStyle w:val="TextoNormal"/>
      </w:pPr>
      <w:r>
        <w:t>Frente a la afirmación de que el Archivo General de la Guerra Civil con la aplicación de la Ley pasará a ser un archivo parcial del conflicto o un simple almacén parcial de restos documentales alega el Abogado del Estado que el Archivo General de la Guerra Civil siempre ha sido, en realidad, un archivo parcial de la represión posterior a la guerra, es, precisamente, la ley impugnada la que pretende fomentar su carácter de archivo general con un ambicioso plan de inversiones.</w:t>
      </w:r>
    </w:p>
    <w:p w:rsidR="0026452D" w:rsidRDefault="0026452D" w:rsidP="0026452D">
      <w:pPr>
        <w:pStyle w:val="TextoNormal"/>
      </w:pPr>
    </w:p>
    <w:p w:rsidR="0026452D" w:rsidRDefault="0026452D" w:rsidP="0026452D">
      <w:pPr>
        <w:pStyle w:val="TextoNormal"/>
      </w:pPr>
      <w:r>
        <w:t>Igualmente se rechaza en el escrito del Abogado del Estado que el art. 149.1.28 CE incorpore una garantía institucional sobre los archivos existentes que la Ley habría quebrantado. El precepto constitucional referido se limitaría a designar el ente competente para in</w:t>
      </w:r>
      <w:r>
        <w:lastRenderedPageBreak/>
        <w:t>cidir sobre una materia, sin predeterminar un contenido concreto de la actuación y sin pretender un contenido inalterable como sostiene la demanda. Pretensión que sería tan absurda como sostener que la atribución de la competencia sobre administración de justicia impide alterar los órganos jurisdiccionales existentes.</w:t>
      </w:r>
    </w:p>
    <w:p w:rsidR="0026452D" w:rsidRDefault="0026452D" w:rsidP="0026452D">
      <w:pPr>
        <w:pStyle w:val="TextoNormal"/>
      </w:pPr>
    </w:p>
    <w:p w:rsidR="0026452D" w:rsidRDefault="0026452D" w:rsidP="0026452D">
      <w:pPr>
        <w:pStyle w:val="TextoNormal"/>
      </w:pPr>
      <w:r>
        <w:t>El art. 46 CE, y no el 149.1.28 CE, es el que establece los principios que deben inspirar la actuación material de los titulares de la competencia sobre patrimonio histórico: garantizar la conservación y promover su enriquecimiento. Estos principios deben conciliarse con otros como puede ser la realización del superior valor de justicia del art. 1.2 CE que es precisamente lo que ha tratado de hacer la ley impugnada reparando una incautación ilegítima y garantizando la conservación de la plena funcionalidad del archivo.</w:t>
      </w:r>
    </w:p>
    <w:p w:rsidR="0026452D" w:rsidRDefault="0026452D" w:rsidP="0026452D">
      <w:pPr>
        <w:pStyle w:val="TextoNormal"/>
      </w:pPr>
    </w:p>
    <w:p w:rsidR="0026452D" w:rsidRDefault="0026452D" w:rsidP="0026452D">
      <w:pPr>
        <w:pStyle w:val="TextoNormal"/>
      </w:pPr>
      <w:r>
        <w:t>Señala el Abogado del Estado que, incluso aceptando, a efectos puramente dialécticos, la tesis de la garantía institucional, la modificación del contenido de un archivo no alteraría la imagen que tiene de los archivos en su conjunto la conciencia social de cada momento.</w:t>
      </w:r>
    </w:p>
    <w:p w:rsidR="0026452D" w:rsidRDefault="0026452D" w:rsidP="0026452D">
      <w:pPr>
        <w:pStyle w:val="TextoNormal"/>
      </w:pPr>
    </w:p>
    <w:p w:rsidR="0026452D" w:rsidRDefault="0026452D" w:rsidP="0026452D">
      <w:pPr>
        <w:pStyle w:val="TextoNormal"/>
      </w:pPr>
      <w:r>
        <w:t>A continuación rechaza el escrito del Abogado del Estado los argumentos relativos a que deba ser el Estado quien restituya los documentos a sus primitivos propietarios, y que deba ser él quien regule el procedimiento para llevarlo a cabo. Para el representante del Estado, éste puede transferir fondos documentales a una Comunidad Autónoma, fondos que, una vez transferidos, pueden ser gestionados por ella.</w:t>
      </w:r>
    </w:p>
    <w:p w:rsidR="0026452D" w:rsidRDefault="0026452D" w:rsidP="0026452D">
      <w:pPr>
        <w:pStyle w:val="TextoNormal"/>
      </w:pPr>
    </w:p>
    <w:p w:rsidR="0026452D" w:rsidRDefault="0026452D" w:rsidP="0026452D">
      <w:pPr>
        <w:pStyle w:val="TextoNormal"/>
      </w:pPr>
      <w:r>
        <w:t>En relación con la alegación de que la ley impugnada viola el art. 46 de la Constitución en la medida en que no establece medidas de protección para garantizar la conservación de los documentos que en aplicación de la misma salgan del archivo, el escrito del Abogado del Estado argumenta que los documentos restituidos recibirán la protección que establezca la Ley del patrimonio histórico español.</w:t>
      </w:r>
    </w:p>
    <w:p w:rsidR="0026452D" w:rsidRDefault="0026452D" w:rsidP="0026452D">
      <w:pPr>
        <w:pStyle w:val="TextoNormal"/>
      </w:pPr>
    </w:p>
    <w:p w:rsidR="0026452D" w:rsidRDefault="0026452D" w:rsidP="0026452D">
      <w:pPr>
        <w:pStyle w:val="TextoNormal"/>
      </w:pPr>
      <w:r>
        <w:t>Los documentos privados susceptibles de restitución pueden pertenecer a dos categorías: a) los que, por reunir las cualidades del artículo 49 de la Ley 16/1985, integren el patrimonio histórico [para que un documento privado integre el patrimonio histórico español es preciso que tenga una antigüedad superior a cien años, que se haya generado por las entidades previstas en el art. 49.3 de la Ley 16/1985 y tenga una antigüedad de más de cuarenta años, o que sea objeto de una específica declaración de bien de interés cultural (art. 49.5 de la Ley 16/1985)], en cuyo caso tendrán el carácter de bien de interés cultural mientras se custodien en el Archivo General de la Guerra Civil Española; y b) los que, por no reunir esos caracteres, no integren el patrimonio documental, estén o no custodiados en un archivo estatal.</w:t>
      </w:r>
    </w:p>
    <w:p w:rsidR="0026452D" w:rsidRDefault="0026452D" w:rsidP="0026452D">
      <w:pPr>
        <w:pStyle w:val="TextoNormal"/>
      </w:pPr>
    </w:p>
    <w:p w:rsidR="0026452D" w:rsidRDefault="0026452D" w:rsidP="0026452D">
      <w:pPr>
        <w:pStyle w:val="TextoNormal"/>
      </w:pPr>
      <w:r>
        <w:t>Señala el Abogado del Estado que la protección que otorga la Ley 16/1985, del patrimonio histórico español, es independiente de la titularidad de los bienes a que se refiere. Las obligaciones de facilitar el acceso, la de conservación, o las limitaciones a su venta se imponen con independencia de su titularidad. Específicamente en relación con el patrimonio documental el artículo 52 de la Ley del patrimonio histórico español, impone a todos los poseedores diversas obligaciones: la de conservarlos, protegerlos y destinarlos a un uso que no impida su conservación y mantenerlos en lugares adecuados (el incumplimiento de tal obligación puede ser causa de expropiación); y la de facilitar la inspección y el estudio para los investigadores. Igualmente el artículo 56 de la Ley del patrimonio histórico español, impone limitaciones a los actos de disposición, exportación e importación.</w:t>
      </w:r>
    </w:p>
    <w:p w:rsidR="0026452D" w:rsidRDefault="0026452D" w:rsidP="0026452D">
      <w:pPr>
        <w:pStyle w:val="TextoNormal"/>
      </w:pPr>
    </w:p>
    <w:p w:rsidR="0026452D" w:rsidRDefault="0026452D" w:rsidP="0026452D">
      <w:pPr>
        <w:pStyle w:val="TextoNormal"/>
      </w:pPr>
      <w:r>
        <w:t>Recuerda el Abogado del Estado que las Comunidades Autónomas de destino de los documentos también cuentan con legislación protectora del patrimonio documental. La catalana concretamente impone a los propietarios de documentos privados obligaciones que van más allá de las impuestas en la legislación estatal.</w:t>
      </w:r>
    </w:p>
    <w:p w:rsidR="0026452D" w:rsidRDefault="0026452D" w:rsidP="0026452D">
      <w:pPr>
        <w:pStyle w:val="TextoNormal"/>
      </w:pPr>
    </w:p>
    <w:p w:rsidR="0026452D" w:rsidRDefault="0026452D" w:rsidP="0026452D">
      <w:pPr>
        <w:pStyle w:val="TextoNormal"/>
      </w:pPr>
      <w:r>
        <w:t>En definitiva, la ley impugnada no necesita establecer medidas adicionales de protección de los documentos que se restituyen pues la Ley del patrimonio histórico español, ya contiene suficientes normas protectoras y además otorga a la Administración y al Gobierno la facultad de someter individualizadamente a los documentos que lo merezcan al mayor grado de protección previsto en nuestra legislación.</w:t>
      </w:r>
    </w:p>
    <w:p w:rsidR="0026452D" w:rsidRDefault="0026452D" w:rsidP="0026452D">
      <w:pPr>
        <w:pStyle w:val="TextoNormal"/>
      </w:pPr>
    </w:p>
    <w:p w:rsidR="0026452D" w:rsidRDefault="0026452D" w:rsidP="0026452D">
      <w:pPr>
        <w:pStyle w:val="TextoNormal"/>
      </w:pPr>
      <w:r>
        <w:t>e) A continuación contesta el Abogado del Estado al segundo gran motivo de impugnación, la vulneración del art. 9.3 CE, en lo que se refiere a la interdicción de la arbitrariedad, dado que las medidas, según el recurrente, carecerían de justificación objetiva e introducirían una discriminación a favor de la Generalitat.</w:t>
      </w:r>
    </w:p>
    <w:p w:rsidR="0026452D" w:rsidRDefault="0026452D" w:rsidP="0026452D">
      <w:pPr>
        <w:pStyle w:val="TextoNormal"/>
      </w:pPr>
    </w:p>
    <w:p w:rsidR="0026452D" w:rsidRDefault="0026452D" w:rsidP="0026452D">
      <w:pPr>
        <w:pStyle w:val="TextoNormal"/>
      </w:pPr>
      <w:r>
        <w:t>El Abogado del Estado recuerda la jurisprudencia del Tribunal Constitucional en relación con la arbitrariedad como motivo de inconstitucionalidad de una ley, de la que se deriva que ese control de constitucionalidad de las leyes debe ejercerse de forma que no imponga constricciones indebidas al poder legislativo y respete sus opciones políticas.</w:t>
      </w:r>
    </w:p>
    <w:p w:rsidR="0026452D" w:rsidRDefault="0026452D" w:rsidP="0026452D">
      <w:pPr>
        <w:pStyle w:val="TextoNormal"/>
      </w:pPr>
    </w:p>
    <w:p w:rsidR="0026452D" w:rsidRDefault="0026452D" w:rsidP="0026452D">
      <w:pPr>
        <w:pStyle w:val="TextoNormal"/>
      </w:pPr>
      <w:r>
        <w:t>En lo que se refiere a la impugnación que realiza el recurrente de que la transmisión a la Generalitat de la documentación privada incautada es arbitraria, pues supone que aquella documentación, que por un motivo u otro, no llegue a restituirse a sus legítimos propietarios o causahabientes quedará en manos de la Generalitat, contesta el Abogado del Estado afirmando que la Ley diferencia entre la documentación incautada a la Generalitat de entonces, que según el artículo 2 de la Ley se restituirá, y la documentación incautada a los particulares, que según la Ley se transferirá a la actual Generalitat a los solos efectos de su restitución a sus legítimos titulares. El Abogado del Estado interpreta que si la transferencia se hace sólo a los efectos de restitución, transcurrido el plazo del año de caducidad para la reclamación por los particulares a que se refiere el art. 5, los documentos privados que no se hubieran restituido habrían de retornar al archivo estatal.</w:t>
      </w:r>
    </w:p>
    <w:p w:rsidR="0026452D" w:rsidRDefault="0026452D" w:rsidP="0026452D">
      <w:pPr>
        <w:pStyle w:val="TextoNormal"/>
      </w:pPr>
    </w:p>
    <w:p w:rsidR="0026452D" w:rsidRDefault="0026452D" w:rsidP="0026452D">
      <w:pPr>
        <w:pStyle w:val="TextoNormal"/>
      </w:pPr>
      <w:r>
        <w:t>Incluso, si se interpretase que los documentos que no se restituyan a sus legítimos propietarios quedan en manos de la Generalitat no habría inconstitucionalidad, pues la Ley del patrimonio histórico español, permite la transferencia de bienes del patrimonio histórico a otras Administraciones, sin necesidad de acudir a una norma con rango de ley, pues la Ley del patrimonio histórico español, considera que la conservación del patrimonio está igualmente garantizada por cualquier Administración pública.</w:t>
      </w:r>
    </w:p>
    <w:p w:rsidR="0026452D" w:rsidRDefault="0026452D" w:rsidP="0026452D">
      <w:pPr>
        <w:pStyle w:val="TextoNormal"/>
      </w:pPr>
    </w:p>
    <w:p w:rsidR="0026452D" w:rsidRDefault="0026452D" w:rsidP="0026452D">
      <w:pPr>
        <w:pStyle w:val="TextoNormal"/>
      </w:pPr>
      <w:r>
        <w:t>Considera el Abogado del Estado que la finalidad de la Ley es la restitución de los documentos incautados a sus legítimos titulares. Aceptada tal finalidad la Ley ha optado por un procedimiento de entre los diversos constitucionalmente posibles, un procedimiento que encaja en nuestro modelo territorial, dadas las amplias competencias en materia de cultura y protección del patrimonio histórico que tienen las Comunidades Autónomas.</w:t>
      </w:r>
    </w:p>
    <w:p w:rsidR="0026452D" w:rsidRDefault="0026452D" w:rsidP="0026452D">
      <w:pPr>
        <w:pStyle w:val="TextoNormal"/>
      </w:pPr>
    </w:p>
    <w:p w:rsidR="0026452D" w:rsidRDefault="0026452D" w:rsidP="0026452D">
      <w:pPr>
        <w:pStyle w:val="TextoNormal"/>
      </w:pPr>
      <w:r>
        <w:lastRenderedPageBreak/>
        <w:t>En cuanto a la alegación de que la Administración restituyente sería a la vez juez y parte a la hora de articular la devolución, destaca el Abogado del Estado que la imparcialidad de la Administración en el proceso de restitución viene garantizada por los principios rectores de su actuación establecidos en el art. 103 CE.</w:t>
      </w:r>
    </w:p>
    <w:p w:rsidR="0026452D" w:rsidRDefault="0026452D" w:rsidP="0026452D">
      <w:pPr>
        <w:pStyle w:val="TextoNormal"/>
      </w:pPr>
    </w:p>
    <w:p w:rsidR="0026452D" w:rsidRDefault="0026452D" w:rsidP="0026452D">
      <w:pPr>
        <w:pStyle w:val="TextoNormal"/>
      </w:pPr>
      <w:r>
        <w:t>En lo que se refiere a la denuncia de arbitrariedad por trato desigual derivado del diferente régimen de restitución previsto en la ley impugnada, para Cataluña y para el resto de Comunidades Autónomas, destaca el Abogado del Estado que la Ley es congruente con el objeto limitado de la misma, la restitución de los documentos incautados en Cataluña con motivo de la guerra civil y custodiados en el Archivo General de la Guerra Civil Española. Es cierto que mientras que para la restitución de los documentos incautados en Cataluña la Ley contiene una regulación completa, para el resto de Comunidades Autónomas, la disposición adicional primera, simplemente prevé la extensión de la posibilidad de restitución, sin contener un régimen jurídico completo, pues se produce una remisión a una norma del Gobierno. Pero, de acuerdo con el escrito del Abogado del Estado, nada impide que la norma del Gobierno que desarrolle la disposición adicional lo haga en parecidos términos a como se ha regulado la restitución para el caso de Cataluña. Las diferencias de trato que se alegan en la demanda serían, en su caso, imputables a la norma reglamentaria pero no a la ley impugnada.</w:t>
      </w:r>
    </w:p>
    <w:p w:rsidR="0026452D" w:rsidRDefault="0026452D" w:rsidP="0026452D">
      <w:pPr>
        <w:pStyle w:val="TextoNormal"/>
      </w:pPr>
    </w:p>
    <w:p w:rsidR="0026452D" w:rsidRDefault="0026452D" w:rsidP="0026452D">
      <w:pPr>
        <w:pStyle w:val="TextoNormal"/>
      </w:pPr>
      <w:r>
        <w:t>Pero es que, según el escrito del Abogado del Estado, los entes jurídicos públicos no son titulares del derecho fundamental a la no discriminación amparado en el art. 14 CE que se refiere a los españoles. Y precisamente la Ley prevé la restitución a todos los particulares que acrediten su derecho, con independencia de su residencia o lugar de incautación, y sometiéndoles a los mismos requisitos del artículo 5. Por tanto, en ningún caso puede considerarse que la Ley incurra en trato desigual, en relación con el único término de comparación válido: los ciudadanos.</w:t>
      </w:r>
    </w:p>
    <w:p w:rsidR="0026452D" w:rsidRDefault="0026452D" w:rsidP="0026452D">
      <w:pPr>
        <w:pStyle w:val="TextoNormal"/>
      </w:pPr>
    </w:p>
    <w:p w:rsidR="0026452D" w:rsidRDefault="0026452D" w:rsidP="0026452D">
      <w:pPr>
        <w:pStyle w:val="TextoNormal"/>
      </w:pPr>
      <w:r>
        <w:t>Finaliza el Abogado del Estado solicitando la desestimación del recurso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13</w:t>
      </w:r>
      <w:r>
        <w:t>. Por providencia de 29 de enero de 2013 se señaló para deliberación y fallo de esta Sentencia el día 31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tiene por objeto resolver la impugnación hecha por la Junta de Castilla y León de los artículos 1, 2.2, 3, apartados 1 y 3, 4.1, 5.2 y las disposiciones adicionales primera y segunda de la Ley 21/2005, de 17 de noviembre, de restitución a la Generalidad de Cataluña de los documentos incautados con motivo de la guerra civil custodiados en el Archivo General de la Guerra Civil Española y de creación del Centro Documental de la Memoria Histórica. La recurrente considera que los preceptos impugnados vulneran los arts. 149.1.28, 9.3 y 46 de la Constitución.</w:t>
      </w:r>
    </w:p>
    <w:p w:rsidR="0026452D" w:rsidRDefault="0026452D" w:rsidP="0026452D">
      <w:pPr>
        <w:pStyle w:val="TextoNormal"/>
      </w:pPr>
    </w:p>
    <w:p w:rsidR="0026452D" w:rsidRDefault="0026452D" w:rsidP="0026452D">
      <w:pPr>
        <w:pStyle w:val="TextoNormal"/>
      </w:pPr>
      <w:r w:rsidRPr="0026452D">
        <w:rPr>
          <w:rStyle w:val="NumeroAFNegritaCaracter"/>
        </w:rPr>
        <w:t>2</w:t>
      </w:r>
      <w:r>
        <w:t>. Se impugnan, en primer lugar, los artículos 1 y 2.2, así como la disposición adicional primera de la Ley 21/2005, de 17 de noviembre, por vulnerar el art. 149.1.28 CE.</w:t>
      </w:r>
    </w:p>
    <w:p w:rsidR="0026452D" w:rsidRDefault="0026452D" w:rsidP="0026452D">
      <w:pPr>
        <w:pStyle w:val="TextoNormal"/>
      </w:pPr>
    </w:p>
    <w:p w:rsidR="0026452D" w:rsidRDefault="0026452D" w:rsidP="0026452D">
      <w:pPr>
        <w:pStyle w:val="TextoNormal"/>
      </w:pPr>
      <w:r>
        <w:lastRenderedPageBreak/>
        <w:t>El artículo 1 regula el objeto de la Ley al establecer:</w:t>
      </w:r>
    </w:p>
    <w:p w:rsidR="0026452D" w:rsidRDefault="0026452D" w:rsidP="0026452D">
      <w:pPr>
        <w:pStyle w:val="TextoNormal"/>
      </w:pPr>
    </w:p>
    <w:p w:rsidR="0026452D" w:rsidRDefault="0026452D" w:rsidP="0026452D">
      <w:pPr>
        <w:pStyle w:val="TextoNormal"/>
      </w:pPr>
      <w:r>
        <w:t>“Esta Ley tiene por objeto la restitución de los documentos y efectos incautados en Cataluña por la Delegación del Estado para la Recuperación de Documentos creada en virtud del Decreto de 26 de abril de 1938.”</w:t>
      </w:r>
    </w:p>
    <w:p w:rsidR="0026452D" w:rsidRDefault="0026452D" w:rsidP="0026452D">
      <w:pPr>
        <w:pStyle w:val="TextoNormal"/>
      </w:pPr>
    </w:p>
    <w:p w:rsidR="0026452D" w:rsidRDefault="0026452D" w:rsidP="0026452D">
      <w:pPr>
        <w:pStyle w:val="TextoNormal"/>
      </w:pPr>
      <w:r>
        <w:t>El artículo 2 establece el ámbito subjetivo de la norma y su apartado 2 afirma:</w:t>
      </w:r>
    </w:p>
    <w:p w:rsidR="0026452D" w:rsidRDefault="0026452D" w:rsidP="0026452D">
      <w:pPr>
        <w:pStyle w:val="TextoNormal"/>
      </w:pPr>
    </w:p>
    <w:p w:rsidR="0026452D" w:rsidRDefault="0026452D" w:rsidP="0026452D">
      <w:pPr>
        <w:pStyle w:val="TextoNormal"/>
      </w:pPr>
      <w:r>
        <w:t>“Asimismo, a los efectos de lo establecido en el artículo 5, el Estado transferirá a la Generalidad de Cataluña los documentos, fondos documentales y otros efectos, incautados en Cataluña a personas naturales o jurídicas de carácter privado, con residencia, domicilio, delegación o secciones en Cataluña, por la Delegación del Estado para la Recuperación de Documentos, creada en virtud del Decreto de 26 de abril de 1938, o en aplicación del Decreto de 13 de septiembre de 1936, que estén custodiados en el Archivo General de la Guerra Civil Española.”</w:t>
      </w:r>
    </w:p>
    <w:p w:rsidR="0026452D" w:rsidRDefault="0026452D" w:rsidP="0026452D">
      <w:pPr>
        <w:pStyle w:val="TextoNormal"/>
      </w:pPr>
    </w:p>
    <w:p w:rsidR="0026452D" w:rsidRDefault="0026452D" w:rsidP="0026452D">
      <w:pPr>
        <w:pStyle w:val="TextoNormal"/>
      </w:pPr>
      <w:r>
        <w:t>La disposición adicional primera, por su parte, recoge la posibilidad de restitución de los documentos a personas naturales o jurídicas de carácter privado de otras Comunidades Autónomas al establecer:</w:t>
      </w:r>
    </w:p>
    <w:p w:rsidR="0026452D" w:rsidRDefault="0026452D" w:rsidP="0026452D">
      <w:pPr>
        <w:pStyle w:val="TextoNormal"/>
      </w:pPr>
    </w:p>
    <w:p w:rsidR="0026452D" w:rsidRDefault="0026452D" w:rsidP="0026452D">
      <w:pPr>
        <w:pStyle w:val="TextoNormal"/>
      </w:pPr>
      <w:r>
        <w:t>“La restitución de los documentos, fondos documentales y efectos a las personas naturales o jurídicas de carácter privado podrá llevarse a cabo por las Comunidades Autónomas que lo soliciten, de acuerdo con el procedimiento que el Gobierno establezca y de conformidad con los requisitos previstos en el artículo 5.”</w:t>
      </w:r>
    </w:p>
    <w:p w:rsidR="0026452D" w:rsidRDefault="0026452D" w:rsidP="0026452D">
      <w:pPr>
        <w:pStyle w:val="TextoNormal"/>
      </w:pPr>
    </w:p>
    <w:p w:rsidR="0026452D" w:rsidRDefault="0026452D" w:rsidP="0026452D">
      <w:pPr>
        <w:pStyle w:val="TextoNormal"/>
      </w:pPr>
      <w:r>
        <w:t>Igualmente se solicita que se declare inconstitucional la disposición adicional segunda por conexión o consecuencia en la medida en que se afirma que contribuye a consumar la expoliación proscrita por el art. 149.1.28 CE.</w:t>
      </w:r>
    </w:p>
    <w:p w:rsidR="0026452D" w:rsidRDefault="0026452D" w:rsidP="0026452D">
      <w:pPr>
        <w:pStyle w:val="TextoNormal"/>
      </w:pPr>
    </w:p>
    <w:p w:rsidR="0026452D" w:rsidRDefault="0026452D" w:rsidP="0026452D">
      <w:pPr>
        <w:pStyle w:val="TextoNormal"/>
      </w:pPr>
      <w:r>
        <w:t>De acuerdo con la disposición adicional segunda:</w:t>
      </w:r>
    </w:p>
    <w:p w:rsidR="0026452D" w:rsidRDefault="0026452D" w:rsidP="0026452D">
      <w:pPr>
        <w:pStyle w:val="TextoNormal"/>
      </w:pPr>
    </w:p>
    <w:p w:rsidR="0026452D" w:rsidRDefault="0026452D" w:rsidP="0026452D">
      <w:pPr>
        <w:pStyle w:val="TextoNormal"/>
      </w:pPr>
      <w:r>
        <w:t>“En el plazo de un año desde la entrada en vigor de esta Ley, se creará y pondrá en funcionamiento, con el carácter de titularidad y gestión estatal, un Centro Documental de la Memoria Histórica con sede en Salamanca, en el que se integrarán los fondos del actual Archivo General de la Guerra Civil Española.”</w:t>
      </w:r>
    </w:p>
    <w:p w:rsidR="0026452D" w:rsidRDefault="0026452D" w:rsidP="0026452D">
      <w:pPr>
        <w:pStyle w:val="TextoNormal"/>
      </w:pPr>
    </w:p>
    <w:p w:rsidR="0026452D" w:rsidRDefault="0026452D" w:rsidP="0026452D">
      <w:pPr>
        <w:pStyle w:val="TextoNormal"/>
      </w:pPr>
      <w:r>
        <w:t>Se impugnan los preceptos reproducidos por infringir, se afirma, lo dispuesto en el art. 149.1.28 CE. En primer lugar, por suponer la restitución prevista en aquellos preceptos una expoliación del patrimonio documental que se encontraría proscrita por aquel precepto constitucional; en segundo lugar, por vulnerar la restitución prevista la garantía institucional que se encontraría reconocida en aquel precepto constitucional; y en tercer lugar, por vulnerar la restitución prevista la reserva al Estado de la competencia sobre los archivos de titularidad estatal establecida en aquel precepto constitucional. A continuación analizaremos las tachas de inconstitucionalidad referidas de forma separada.</w:t>
      </w:r>
    </w:p>
    <w:p w:rsidR="0026452D" w:rsidRDefault="0026452D" w:rsidP="0026452D">
      <w:pPr>
        <w:pStyle w:val="TextoNormal"/>
      </w:pPr>
    </w:p>
    <w:p w:rsidR="0026452D" w:rsidRDefault="0026452D" w:rsidP="0026452D">
      <w:pPr>
        <w:pStyle w:val="TextoNormal"/>
      </w:pPr>
      <w:r w:rsidRPr="0026452D">
        <w:rPr>
          <w:rStyle w:val="NumeroAFNegritaCaracter"/>
        </w:rPr>
        <w:t>3</w:t>
      </w:r>
      <w:r>
        <w:t>. De acuerdo con la primera parte del art. 149.1.28 CE el Estado tiene competencia exclusiva sobre la “defensa del patrimonio cultural, artístico y monumental español contra la exportación y la expoliación”.</w:t>
      </w:r>
    </w:p>
    <w:p w:rsidR="0026452D" w:rsidRDefault="0026452D" w:rsidP="0026452D">
      <w:pPr>
        <w:pStyle w:val="TextoNormal"/>
      </w:pPr>
    </w:p>
    <w:p w:rsidR="0026452D" w:rsidRDefault="0026452D" w:rsidP="0026452D">
      <w:pPr>
        <w:pStyle w:val="TextoNormal"/>
      </w:pPr>
      <w:r>
        <w:t>Según el escrito del representante legal de la Junta de Castilla y León, los preceptos impugnados permitirían la salida del Archivo General de la Guerra Civil Española de una cantidad tal de documentos —todos aquellos incautados en Cataluña (artículo 1 y 2.2 de la Ley 21/2005) así como los incautados en el resto de Comunidades Autónomas que lo soliciten (disposición adicional primera de la Ley 21/2005)— que se priva al archivo del destino y utilidad que le corresponde y se perturba el cumplimiento de su función social, constituyendo ello un supuesto de expoliación de acuerdo con la definición del mismo que se hace en el art. 4 de la Ley del patrimonio histórico que se consideró constitucional por este Tribunal en la STC 17/1991, de 31 de enero.</w:t>
      </w:r>
    </w:p>
    <w:p w:rsidR="0026452D" w:rsidRDefault="0026452D" w:rsidP="0026452D">
      <w:pPr>
        <w:pStyle w:val="TextoNormal"/>
      </w:pPr>
    </w:p>
    <w:p w:rsidR="0026452D" w:rsidRDefault="0026452D" w:rsidP="0026452D">
      <w:pPr>
        <w:pStyle w:val="TextoNormal"/>
      </w:pPr>
      <w:r>
        <w:t>El Abogado del Estado, por el contrario, rechaza que los preceptos impugnados supongan una expoliación y argumenta que, sin perjuicio de que la Ley del patrimonio histórico no se pueda constituir en canon para juzgar la labor del propio legislador, la función social del archivo, consistente en permitir la consulta e investigación de sus fondos, va a mantenerse al conservarse copia digitalizada, con el carácter de auténtica, de todos los documentos que se restituyan.</w:t>
      </w:r>
    </w:p>
    <w:p w:rsidR="0026452D" w:rsidRDefault="0026452D" w:rsidP="0026452D">
      <w:pPr>
        <w:pStyle w:val="TextoNormal"/>
      </w:pPr>
    </w:p>
    <w:p w:rsidR="0026452D" w:rsidRDefault="0026452D" w:rsidP="0026452D">
      <w:pPr>
        <w:pStyle w:val="TextoNormal"/>
      </w:pPr>
      <w:r>
        <w:t>La primera cuestión que se nos plantea es sí la decisión del legislador de restituir los efectos y documentos en su día incautados con fines represivos y que forman hoy parte de un archivo estatal es una expoliación prohibida por la Constitución.</w:t>
      </w:r>
    </w:p>
    <w:p w:rsidR="0026452D" w:rsidRDefault="0026452D" w:rsidP="0026452D">
      <w:pPr>
        <w:pStyle w:val="TextoNormal"/>
      </w:pPr>
    </w:p>
    <w:p w:rsidR="0026452D" w:rsidRDefault="0026452D" w:rsidP="0026452D">
      <w:pPr>
        <w:pStyle w:val="TextoNormal"/>
      </w:pPr>
      <w:r>
        <w:t>Y la respuesta a tal cuestión debe ser negativa, pues no nos encontramos ante un supuesto de “privación arbitraria o irracional del cumplimiento normal de aquello que constituye el propio fin del bien según su naturaleza, en cuanto portador de valores de interés general necesitados, estos valores también, de ser preservados”, que es como definimos la expoliación en la STC 17/1991, de 31 de enero, FJ 7.</w:t>
      </w:r>
    </w:p>
    <w:p w:rsidR="0026452D" w:rsidRDefault="0026452D" w:rsidP="0026452D">
      <w:pPr>
        <w:pStyle w:val="TextoNormal"/>
      </w:pPr>
    </w:p>
    <w:p w:rsidR="0026452D" w:rsidRDefault="0026452D" w:rsidP="0026452D">
      <w:pPr>
        <w:pStyle w:val="TextoNormal"/>
      </w:pPr>
      <w:r>
        <w:t>En efecto, la adopción, por parte del legislador democráticamente elegido, de la decisión de contribuir a dar satisfacción a instituciones o ciudadanos que sufrieron, directamente o en la persona de sus familiares, las consecuencias de la guerra civil no puede constituir, en ningún caso, una decisión arbitraria o irracional. La protección del interés de los propietarios originarios o de sus sucesores de recuperar lo que en su día les fue incautado, que se promueve con la restitución legalmente prevista, constituye un interés constitucionalmente legítimo, y, por tanto, se puede considerar por el legislador que resulta preeminente, en su caso, frente a otros intereses concurrentes de acuerdo con el margen de apreciación que le corresponde.</w:t>
      </w:r>
    </w:p>
    <w:p w:rsidR="0026452D" w:rsidRDefault="0026452D" w:rsidP="0026452D">
      <w:pPr>
        <w:pStyle w:val="TextoNormal"/>
      </w:pPr>
    </w:p>
    <w:p w:rsidR="0026452D" w:rsidRDefault="0026452D" w:rsidP="0026452D">
      <w:pPr>
        <w:pStyle w:val="TextoNormal"/>
      </w:pPr>
      <w:r>
        <w:t>Se debe, por lo tanto, descartar que nos encontremos ante una privación arbitraria o irracional de la finalidad que cumple el archivo, pero no sólo por no poderse hablar de arbitrariedad o irracionalidad de la decisión de restitución, sino, además, por no haberse acreditado por la recurrente que se produzca una privación de la finalidad que aquél cumple.</w:t>
      </w:r>
    </w:p>
    <w:p w:rsidR="0026452D" w:rsidRDefault="0026452D" w:rsidP="0026452D">
      <w:pPr>
        <w:pStyle w:val="TextoNormal"/>
      </w:pPr>
    </w:p>
    <w:p w:rsidR="0026452D" w:rsidRDefault="0026452D" w:rsidP="0026452D">
      <w:pPr>
        <w:pStyle w:val="TextoNormal"/>
      </w:pPr>
      <w:r>
        <w:t xml:space="preserve">Es la propia recurrente la que en su escrito de demanda acepta la legitimidad de la devolución de la documentación generada por la Generalitat entre 1932 y 1939, poniendo en cuestión, sin embargo, la devolución del resto de documentos a las demás personas físicas o jurídicas. Parece considerar que es la cantidad de documentos devueltos lo que constituye una expoliación al privar al archivo del destino y utilidad que le corresponde. Sin embargo, </w:t>
      </w:r>
      <w:r>
        <w:lastRenderedPageBreak/>
        <w:t>la recurrente no acredita, como le correspondería, que deje de cumplirse la función social del archivo con la devolución de los originales y la conservación de una copia de los mismos. Debemos, por tanto, rechazar que la restitución de los documentos y efectos incautados no respete, en sí misma, la función social fundamental que cumple el Archivo General de la Guerra Civil, pues no ha quedado acreditado que tal función, en el caso de un archivo tan peculiar como éste, que integra entre sus fondos aquella documentación incautada a personas naturales y jurídicas con una finalidad represiva, —y que no es otra que la función enunciada en el artículo 2 del Real Decreto 426/1999, de 12 de marzo, de creación del Archivo General de la Guerra Civil Española, cuando afirmaba que “el Archivo General de la Guerra Civil Española tendrá como fines y funciones las de reunir, conservar y disponer sus fondos documentales para investigación, cultura e información”— no se garantice suficientemente a través de la posibilidad de consultar el contenido material de la documentación. Esta posibilidad se salvaguarda con la obligación de que se realicen copias digitalizadas de los documentos restituidos prevista, para el caso de la documentación que debe ser restituida a través de la Generalitat, en el artículo 3.2 de la Ley 21/2005 aquí impugnada. En efecto, en el caso de un archivo sobre la guerra civil, que reúne entre sus fondos documentos incautados a personas naturales y jurídicas, es el contenido de tales documentos lo trascendental y no el soporte del documento mismo, con lo que la finalidad y función fundamental del archivo —la de reunir, conservar y disponer sus fondos documentales para investigación, cultura e información— parece salvaguardarse, salvo prueba en contrario, tanto con la conservación del contenido documental mediante la realización de copias como con el establecimiento de obligaciones de protección y accesibilidad que se establecen para los documentos que se restituyan a sus propietarios originarios. A tal preservación de la función fundamental del archivo se refiere la exposición de motivos de la norma aquí impugnada cuando afirma la necesidad de salvaguardar, al mismo tiempo que se restituyen los documentos, la integridad funcional del archivo y de los documentos y fondos documentales en él custodiados, en razón de su interés histórico y cultural. Esta integridad funcional no significa necesariamente el mantenimiento de los documentos originales en el archivo, pues, en este concreto caso, el legislador, en uso del margen de apreciación que constitucionalmente le corresponde, ha considerado que el mantenimiento de los documentos originales debe decaer frente al legítimo interés en reparar algunas de las consecuencias del conflicto civil.</w:t>
      </w:r>
    </w:p>
    <w:p w:rsidR="0026452D" w:rsidRDefault="0026452D" w:rsidP="0026452D">
      <w:pPr>
        <w:pStyle w:val="TextoNormal"/>
      </w:pPr>
    </w:p>
    <w:p w:rsidR="0026452D" w:rsidRDefault="0026452D" w:rsidP="0026452D">
      <w:pPr>
        <w:pStyle w:val="TextoNormal"/>
      </w:pPr>
      <w:r>
        <w:t>La función del archivo —la de reunir, conservar y disponer sus fondos documentales para investigación, cultura e información— queda igualmente salvaguardada —además de por la obligación de que se realicen copias digitalizadas de los documentos restituidos prevista en la propia la Ley 21/2005— por el régimen de protección y accesibilidad que se establece para los documentos que se restituyan a sus propietarios originarios en las normas del Estado y de las Comunidades Autónomas sobre patrimonio histórico.</w:t>
      </w:r>
    </w:p>
    <w:p w:rsidR="0026452D" w:rsidRDefault="0026452D" w:rsidP="0026452D">
      <w:pPr>
        <w:pStyle w:val="TextoNormal"/>
      </w:pPr>
    </w:p>
    <w:p w:rsidR="0026452D" w:rsidRDefault="0026452D" w:rsidP="0026452D">
      <w:pPr>
        <w:pStyle w:val="TextoNormal"/>
      </w:pPr>
      <w:r>
        <w:t xml:space="preserve">Este régimen está integrado básicamente por la Ley 16/1985, de 25 de junio, del patrimonio histórico español; pero también por las normas autonómicas de protección del patrimonio histórico y, más concretamente, puesto que la restitución se produce </w:t>
      </w:r>
      <w:r w:rsidRPr="0026452D">
        <w:rPr>
          <w:i/>
        </w:rPr>
        <w:t>ope legis</w:t>
      </w:r>
      <w:r>
        <w:t xml:space="preserve"> en el caso de Cataluña, por la Ley 9/1993, de 30 de septiembre, del patrimonio cultural catalán y por la Ley 10/2001, de 13 de julio, de archivos y documentos.</w:t>
      </w:r>
    </w:p>
    <w:p w:rsidR="0026452D" w:rsidRDefault="0026452D" w:rsidP="0026452D">
      <w:pPr>
        <w:pStyle w:val="TextoNormal"/>
      </w:pPr>
    </w:p>
    <w:p w:rsidR="0026452D" w:rsidRDefault="0026452D" w:rsidP="0026452D">
      <w:pPr>
        <w:pStyle w:val="TextoNormal"/>
      </w:pPr>
      <w:r>
        <w:t xml:space="preserve">Asimismo, el régimen de protección de los documentos restituidos será el previsto por aquellas disposiciones posteriores a la Ley 21/2005 que regulan el propio procedimiento de </w:t>
      </w:r>
      <w:r>
        <w:lastRenderedPageBreak/>
        <w:t>restitución a sus propietarios originarios o sus descendientes. Entre estas disposiciones está el Decreto 183/2008, de 9 de septiembre, del Gobierno de la Generalitat de Cataluña por el que se establece el procedimiento para la restitución a las personas físicas o jurídicas de carácter privado de los documentos incautados con motivo de la guerra civil —Decreto que no es sino la plasmación de la remisión realizada por el artículo 5.2 de la Ley 21/2005—, y cuyo artículo 13.2 establece que “así mismo, en caso de estimación de solicitudes de restitución de patrimonio documental, en la resolución deben figurar las obligaciones que corresponden a las personas receptoras como titulares de bienes integrantes del patrimonio cultural catalán, de acuerdo con la Ley 9/1993, de 30 de septiembre, del Patrimonio Cultural Catalán, y la Ley 10/2001, de 13 de julio, de Archivos y Documentos”. Estas normas establecen un detallado régimen de protección aplicable a todos los bienes integrantes del patrimonio cultural catalán —entre los que están, como afirma el art. 13.2 del Decreto 183/2008, de 9 de septiembre del Gobierno de la Generalitat de Cataluña los documentos restituidos provenientes del Archivo General de la Guerra Civil— y que establecen, por ejemplo, en el artículo 13 de la Ley 10/2001, de 13 de julio, de archivos y documentos, las responsabilidades y obligaciones de los titulares de documentos privados integrantes del patrimonio documental entre las que destacan la de “conservarlos íntegramente y no desmembrar los fondos sin autorización previa del Departamento de Cultura” o la de “permitir el acceso a los mismos a las personas que acrediten documentalmente la condición de investigadoras”. De esta manera tanto la obligación de conservación del contenido documental mediante la realización de copias como las obligaciones de protección y accesibilidad a los documentos restituidos previstas en las normas del Estado y de las Comunidades Autónomas sobre patrimonio histórico y documental parecen salvaguardar la función de reunir, conservar y disponer los fondos documentales para investigación, cultura e información.</w:t>
      </w:r>
    </w:p>
    <w:p w:rsidR="0026452D" w:rsidRDefault="0026452D" w:rsidP="0026452D">
      <w:pPr>
        <w:pStyle w:val="TextoNormal"/>
      </w:pPr>
    </w:p>
    <w:p w:rsidR="0026452D" w:rsidRDefault="0026452D" w:rsidP="0026452D">
      <w:pPr>
        <w:pStyle w:val="TextoNormal"/>
      </w:pPr>
      <w:r>
        <w:t>Reconocida la legitimidad de la decisión del legislador de tratar de reparar algunas de las consecuencias de la guerra civil mediante la restitución de los documentos en su día incautados y comprobado que no ha quedado acreditado por la parte recurrente que la restitución de la documentación pueda poner en cuestión la función social fundamental del Archivo General de la Guerra Civil Española, debemos afirmar que no nos encontramos ante un supuesto de expoliación y debemos señalar que no le corresponde a este Tribunal decidir acerca de la oportunidad del mantenimiento de los documentos originales en el archivo frente a la restitución de los fondos documentales incautados a sus propietarios originales. Tal decisión le corresponde adoptarla al legislador sin que se pueda considerar que la adopción de una decisión en un sentido u otro suponga una contravención de la Constitución. Corresponde al legislador ponderar los intereses en conflicto, pudiendo, como en este caso, privilegiar la reparación de las consecuencias de la guerra civil y la protección del interés de los propietarios originarios o de sus sucesores de recuperar lo que en su día les fue incautado, frente a una defensa a ultranza de la permanencia de los documentos originales en este concreto archivo. No resulta ocioso reiterar que toda opción legislativa, por discutible que para algunos pueda ser, resulta admisible desde el punto de vista constitucional siempre que respete las reglas que la Constitución establece. De acuerdo con nuestra doctrina “en tales condiciones no corresponde a este Tribunal ‘fiscalizar la oportunidad de esa concreta opción del legislador, plasmación de una legítima opción política’ (por todas, STC 162/2009, de 29 de junio, FJ 4), tanto más cuando el reparo que se le opone no deja de ser otra cosa que una objeción de oportunidad, sin relevancia, por tanto, desde el punto de vista constitucional” (STC 136/2011, de 13 de septiembre, FJ 12).</w:t>
      </w:r>
    </w:p>
    <w:p w:rsidR="0026452D" w:rsidRDefault="0026452D" w:rsidP="0026452D">
      <w:pPr>
        <w:pStyle w:val="TextoNormal"/>
      </w:pPr>
    </w:p>
    <w:p w:rsidR="0026452D" w:rsidRDefault="0026452D" w:rsidP="0026452D">
      <w:pPr>
        <w:pStyle w:val="TextoNormal"/>
      </w:pPr>
      <w:r>
        <w:lastRenderedPageBreak/>
        <w:t>Una vez rechazado que los artículos 1 y 2.2, así como la disposición adicional primera de la Ley 21/2005 supongan una expoliación se debe, igualmente, rechazar la petición de que se declare inconstitucional por conexión o consecuencia la disposición adicional segunda por la que se prevé la creación del Centro Documental de la Memoria Histórica, pues dicha petición tenía como presupuesto que estuviésemos ante un supuesto de expoliación.</w:t>
      </w:r>
    </w:p>
    <w:p w:rsidR="0026452D" w:rsidRDefault="0026452D" w:rsidP="0026452D">
      <w:pPr>
        <w:pStyle w:val="TextoNormal"/>
      </w:pPr>
    </w:p>
    <w:p w:rsidR="0026452D" w:rsidRDefault="0026452D" w:rsidP="0026452D">
      <w:pPr>
        <w:pStyle w:val="TextoNormal"/>
      </w:pPr>
      <w:r w:rsidRPr="0026452D">
        <w:rPr>
          <w:rStyle w:val="NumeroAFNegritaCaracter"/>
        </w:rPr>
        <w:t>4</w:t>
      </w:r>
      <w:r>
        <w:t>. De acuerdo con la segunda parte del art. 149.1.28 CE, el Estado tiene competencia exclusiva sobre los “museos, bibliotecas y archivos de titularidad estatal, sin perjuicio de su gestión por parte de las Comunidades Autónomas”.</w:t>
      </w:r>
    </w:p>
    <w:p w:rsidR="0026452D" w:rsidRDefault="0026452D" w:rsidP="0026452D">
      <w:pPr>
        <w:pStyle w:val="TextoNormal"/>
      </w:pPr>
    </w:p>
    <w:p w:rsidR="0026452D" w:rsidRDefault="0026452D" w:rsidP="0026452D">
      <w:pPr>
        <w:pStyle w:val="TextoNormal"/>
      </w:pPr>
      <w:r>
        <w:t>Para el representante de la Junta de Castilla y León, los preceptos impugnados alteran la imagen que hace reconocible al Archivo General de la Guerra Civil Española, como institución que conserva y custodia “todo el acervo documental concerniente a la represión política”, y por ello serían contrarios al artículo 149.1.28 CE, que garantiza la integridad del archivo y su permanencia como tal en manos del Estado.</w:t>
      </w:r>
    </w:p>
    <w:p w:rsidR="0026452D" w:rsidRDefault="0026452D" w:rsidP="0026452D">
      <w:pPr>
        <w:pStyle w:val="TextoNormal"/>
      </w:pPr>
    </w:p>
    <w:p w:rsidR="0026452D" w:rsidRDefault="0026452D" w:rsidP="0026452D">
      <w:pPr>
        <w:pStyle w:val="TextoNormal"/>
      </w:pPr>
      <w:r>
        <w:t>Para el Abogado del Estado, el art. 149.1.28 CE se limitaría a designar al ente competente para incidir sobre una materia, los archivos de titularidad estatal, sin predeterminar un contenido concreto de la actuación y sin pretender un contenido inalterable de aquellos como pretende la demanda.</w:t>
      </w:r>
    </w:p>
    <w:p w:rsidR="0026452D" w:rsidRDefault="0026452D" w:rsidP="0026452D">
      <w:pPr>
        <w:pStyle w:val="TextoNormal"/>
      </w:pPr>
    </w:p>
    <w:p w:rsidR="0026452D" w:rsidRDefault="0026452D" w:rsidP="0026452D">
      <w:pPr>
        <w:pStyle w:val="TextoNormal"/>
      </w:pPr>
      <w:r>
        <w:t>La segunda cuestión que se nos plantea es, por tanto, si la decisión del legislador estatal de restituir los efectos y documentos en su día incautados y que forma hoy parte de un concreto archivo estatal, el Archivo General de la Guerra Civil Española, altera la imagen que hace reconocible a tal archivo en concreto, imagen que se encontraría garantizada en el art. 149.1.28 CE.</w:t>
      </w:r>
    </w:p>
    <w:p w:rsidR="0026452D" w:rsidRDefault="0026452D" w:rsidP="0026452D">
      <w:pPr>
        <w:pStyle w:val="TextoNormal"/>
      </w:pPr>
    </w:p>
    <w:p w:rsidR="0026452D" w:rsidRDefault="0026452D" w:rsidP="0026452D">
      <w:pPr>
        <w:pStyle w:val="TextoNormal"/>
      </w:pPr>
      <w:r>
        <w:t>De nuevo nuestra respuesta es negativa, pues no es posible deducir del art. 149.1.28 CE la existencia de una garantía de la integridad del Archivo General de la Guerra Civil como pretende la recurrente, pues nos encontramos ante un precepto atributivo de competencias en el que no es posible reconocer una garantía institucional tal y como ha sido definida por nuestra doctrina.</w:t>
      </w:r>
    </w:p>
    <w:p w:rsidR="0026452D" w:rsidRDefault="0026452D" w:rsidP="0026452D">
      <w:pPr>
        <w:pStyle w:val="TextoNormal"/>
      </w:pPr>
    </w:p>
    <w:p w:rsidR="0026452D" w:rsidRDefault="0026452D" w:rsidP="0026452D">
      <w:pPr>
        <w:pStyle w:val="TextoNormal"/>
      </w:pPr>
      <w:r>
        <w:t xml:space="preserve">En efecto, de acuerdo con la doctrina de este Tribunal, “el orden jurídico-político establecido por la Constitución asegura la existencia de determinadas instituciones, a las que se considera como componentes esenciales y cuya preservación se juzga indispensable para asegurar los principios constitucionales, estableciendo en ellas un núcleo o reducto indispensable por el legislador. Las instituciones garantizadas son elementos arquitecturales indispensables del orden constitucional y las normaciones que las protegen son, sin duda, normaciones organizativas, pero a diferencia de lo que sucede con las instituciones supremas del Estado, cuya regulación orgánica se hace en el propio texto constitucional, en éstas la configuración institucional concreta se defiere al legislador ordinario, al que no se fija más límite que el del reducto indisponible o núcleo esencial de la institución que la Constitución garantiza. Por definición, en consecuencia, la garantía institucional no asegura un contenido concreto o un ámbito competencial determinado y fijado de una vez por todas, sino la preservación de una institución en términos recognoscibles para la imagen que de la misma tiene la conciencia social en cada tiempo y lugar. Dicha garantía es desconocida </w:t>
      </w:r>
      <w:r>
        <w:lastRenderedPageBreak/>
        <w:t>cuando la institución es limitada, de tal modo que se la priva prácticamente de sus posibilidades de existencia real como institución para convertirse en un simple nombre. Tales son los límites para su determinación por las normas que la regulan y por la aplicación que se haga de éstas. En definitiva, la única interdicción claramente discernible es la de la ruptura clara y neta con esa imagen comúnmente aceptada de la institución que, en cuanto formación jurídica, viene determinada en buena parte por las normas que en cada momento la regulan y la aplicación que de las mismas se hace” (por todas, STC 32/1981, de 28 de julio, FJ 3).</w:t>
      </w:r>
    </w:p>
    <w:p w:rsidR="0026452D" w:rsidRDefault="0026452D" w:rsidP="0026452D">
      <w:pPr>
        <w:pStyle w:val="TextoNormal"/>
      </w:pPr>
    </w:p>
    <w:p w:rsidR="0026452D" w:rsidRDefault="0026452D" w:rsidP="0026452D">
      <w:pPr>
        <w:pStyle w:val="TextoNormal"/>
      </w:pPr>
      <w:r>
        <w:t>No es admisible tratar de extender la doctrina de este Tribunal sobre la garantía institucional al ámbito de los archivos de titularidad estatal. En efecto, no es posible considerar que el contenido de todos y cada uno de los museos, archivos y bibliotecas de titularidad estatal se encuentre garantizado constitucionalmente por tratarse, cada uno de ellos, de una de esas instituciones esenciales dentro del orden constitucional cuya preservación se juzga indispensable para asegurar los principios constitucionales. Por las razones expuestas, no cabe considerar que la ley impugnada vulnere en este punto la Constitución.</w:t>
      </w:r>
    </w:p>
    <w:p w:rsidR="0026452D" w:rsidRDefault="0026452D" w:rsidP="0026452D">
      <w:pPr>
        <w:pStyle w:val="TextoNormal"/>
      </w:pPr>
    </w:p>
    <w:p w:rsidR="0026452D" w:rsidRDefault="0026452D" w:rsidP="0026452D">
      <w:pPr>
        <w:pStyle w:val="TextoNormal"/>
      </w:pPr>
      <w:r w:rsidRPr="0026452D">
        <w:rPr>
          <w:rStyle w:val="NumeroAFNegritaCaracter"/>
        </w:rPr>
        <w:t>5</w:t>
      </w:r>
      <w:r>
        <w:t>. La recurrente impugna, en tercer lugar, los artículos 2.2, 3 y 5.2 de la Ley 21/2005 por vulnerar la distribución competencial establecida en el art. 149.1.28 CE. Para el representante de la Junta de Castilla y León, si el Estado quiere restituir los documentos a sus primitivos propietarios debe ser él el que lo haga y quien regule el procedimiento para llevarlo a cabo, pues es una competencia que la Constitución atribuye al Estado en su art. 149.1.28 y tiene que ser ejercida por quién la tenga atribuida como propia.</w:t>
      </w:r>
    </w:p>
    <w:p w:rsidR="0026452D" w:rsidRDefault="0026452D" w:rsidP="0026452D">
      <w:pPr>
        <w:pStyle w:val="TextoNormal"/>
      </w:pPr>
    </w:p>
    <w:p w:rsidR="0026452D" w:rsidRDefault="0026452D" w:rsidP="0026452D">
      <w:pPr>
        <w:pStyle w:val="TextoNormal"/>
      </w:pPr>
      <w:r>
        <w:t>Para el Abogado del Estado, el Estado tiene reconocida la capacidad de transferir fondos documentales a una Comunidad Autónoma, fondos que una vez transferidos pueden ser gestionados por ésta.</w:t>
      </w:r>
    </w:p>
    <w:p w:rsidR="0026452D" w:rsidRDefault="0026452D" w:rsidP="0026452D">
      <w:pPr>
        <w:pStyle w:val="TextoNormal"/>
      </w:pPr>
    </w:p>
    <w:p w:rsidR="0026452D" w:rsidRDefault="0026452D" w:rsidP="0026452D">
      <w:pPr>
        <w:pStyle w:val="TextoNormal"/>
      </w:pPr>
      <w:r>
        <w:t>Tratándose de una impugnación de carácter competencial, hemos de examinar, en primer lugar, la distribución de competencias en materia de archivos que se deriva de lo dispuesto en la Constitución y en el Estatuto de Autonomía de Cataluña. Debemos señalar que en este momento se encuentra vigente la Ley Orgánica 6/2006, de 19 de julio, de reforma del Estatuto de Autonomía de Cataluña, a cuyas prescripciones, y no a las estatutarias vigentes en el momento de formalizarse el recurso, habremos de atenernos de acuerdo con nuestra doctrina según la cual el control de las normas que incurren en un posible exceso competencial debe hacerse de acuerdo con las normas del bloque de la constitucionalidad vigentes en el momento de dictar Sentencia (STC 1/2011, de 14 de febrero, FJ 2 y doctrina allí citada).</w:t>
      </w:r>
    </w:p>
    <w:p w:rsidR="0026452D" w:rsidRDefault="0026452D" w:rsidP="0026452D">
      <w:pPr>
        <w:pStyle w:val="TextoNormal"/>
      </w:pPr>
    </w:p>
    <w:p w:rsidR="0026452D" w:rsidRDefault="0026452D" w:rsidP="0026452D">
      <w:pPr>
        <w:pStyle w:val="TextoNormal"/>
      </w:pPr>
      <w:r>
        <w:t>Así, al Estado le corresponde, de acuerdo con lo establecido en el art. 149.1.28 CE, la competencia exclusiva en materia de “museos, bibliotecas y archivos de titularidad estatal, sin perjuicio de su gestión por parte de las Comunidades Autónomas”.</w:t>
      </w:r>
    </w:p>
    <w:p w:rsidR="0026452D" w:rsidRDefault="0026452D" w:rsidP="0026452D">
      <w:pPr>
        <w:pStyle w:val="TextoNormal"/>
      </w:pPr>
    </w:p>
    <w:p w:rsidR="0026452D" w:rsidRDefault="0026452D" w:rsidP="0026452D">
      <w:pPr>
        <w:pStyle w:val="TextoNormal"/>
      </w:pPr>
      <w:r>
        <w:t>A la Generalitat le corresponde, de acuerdo con lo establecido en el artículo 127.2 del vigente Estatuto de Autonomía de Cataluña, la competencia ejecutiva sobre los archivos, las bibliotecas, los museos y los centros de depósito cultural de titularidad estatal situados en Cataluña, cuya gestión no se reserve expresamente el Estado.</w:t>
      </w:r>
    </w:p>
    <w:p w:rsidR="0026452D" w:rsidRDefault="0026452D" w:rsidP="0026452D">
      <w:pPr>
        <w:pStyle w:val="TextoNormal"/>
      </w:pPr>
    </w:p>
    <w:p w:rsidR="0026452D" w:rsidRDefault="0026452D" w:rsidP="0026452D">
      <w:pPr>
        <w:pStyle w:val="TextoNormal"/>
      </w:pPr>
      <w:r>
        <w:lastRenderedPageBreak/>
        <w:t>Admitida la capacidad del Estado para decidir tanto la restitución de la documentación del archivo institucional de los órganos de gobierno, de la Administración y de las entidades dependientes de la Generalitat, como la restitución de los documentos incautados en Cataluña a personas naturales o jurídicas a sus propietarios originarios o a sus sucesores, corresponde a aquél determinar la forma en que esta última restitución se debe producir. En el presente supuesto, el Estado ha decidido solicitar la colaboración de la Comunidad Autónoma y encomendar la gestión de la restitución de aquellos documentos incautados en Cataluña, y hasta ahora depositados en el Archivo General de la Guerra Civil Española, a la Generalitat, que es también Estado, siendo ello perfectamente conforme con la distribución de competencias constitucionalmente establecida que reconoce a Cataluña la competencia ejecutiva sobre los archivos de titularidad estatal situados en Cataluña cuya gestión no se reserve expresamente el Estado. La transferencia de la documentación a restituir a la Generalitat no es sino la consecuencia lógica de la atribución de la gestión de la restitución a aquella. Por todo ello debemos, en este punto, desestimar la impugnación realizada.</w:t>
      </w:r>
    </w:p>
    <w:p w:rsidR="0026452D" w:rsidRDefault="0026452D" w:rsidP="0026452D">
      <w:pPr>
        <w:pStyle w:val="TextoNormal"/>
      </w:pPr>
    </w:p>
    <w:p w:rsidR="0026452D" w:rsidRDefault="0026452D" w:rsidP="0026452D">
      <w:pPr>
        <w:pStyle w:val="TextoNormal"/>
      </w:pPr>
      <w:r w:rsidRPr="0026452D">
        <w:rPr>
          <w:rStyle w:val="NumeroAFNegritaCaracter"/>
        </w:rPr>
        <w:t>6</w:t>
      </w:r>
      <w:r>
        <w:t>. Se impugnan, asimismo, los artículos 1 y 2.2, así como los artículos 3.1 y 5 de la Ley 21/2005, de 17 de noviembre, por vulnerar el art. 9.3 CE en lo que se refiere a la interdicción de la arbitrariedad.</w:t>
      </w:r>
    </w:p>
    <w:p w:rsidR="0026452D" w:rsidRDefault="0026452D" w:rsidP="0026452D">
      <w:pPr>
        <w:pStyle w:val="TextoNormal"/>
      </w:pPr>
    </w:p>
    <w:p w:rsidR="0026452D" w:rsidRDefault="0026452D" w:rsidP="0026452D">
      <w:pPr>
        <w:pStyle w:val="TextoNormal"/>
      </w:pPr>
      <w:r>
        <w:t>El artículo 1, ya reproducido, se propone la restitución de los documentos incautados en Cataluña por la delegación del Estado para la recuperación de documentos, el artículo 2.2, asimismo ya transcrito, hace efectivo este propósito al transferir a la Generalitat los documentos, fondos documentales y otros efectos incautados en Cataluña a personas naturales o jurídicas de carácter privado con residencia, domicilio, delegación o secciones en Cataluña por la delegación del Estado para la recuperación de documentos, lo que ratifica a continuación el artículo 3 de la Ley, igualmente impugnado, al afirmar:</w:t>
      </w:r>
    </w:p>
    <w:p w:rsidR="0026452D" w:rsidRDefault="0026452D" w:rsidP="0026452D">
      <w:pPr>
        <w:pStyle w:val="TextoNormal"/>
      </w:pPr>
    </w:p>
    <w:p w:rsidR="0026452D" w:rsidRDefault="0026452D" w:rsidP="0026452D">
      <w:pPr>
        <w:pStyle w:val="TextoNormal"/>
      </w:pPr>
      <w:r>
        <w:t>“1. El Estado dispondrá las medidas necesarias para la efectiva puesta a disposición de la Generalidad de Cataluña de todos los documentos y efectos que deben ser restituidos, subrogándose ésta en todos los derechos y obligaciones de aquél.</w:t>
      </w:r>
    </w:p>
    <w:p w:rsidR="0026452D" w:rsidRDefault="0026452D" w:rsidP="0026452D">
      <w:pPr>
        <w:pStyle w:val="TextoNormal"/>
      </w:pPr>
    </w:p>
    <w:p w:rsidR="0026452D" w:rsidRDefault="0026452D" w:rsidP="0026452D">
      <w:pPr>
        <w:pStyle w:val="TextoNormal"/>
      </w:pPr>
      <w:r>
        <w:t>2. En todo caso, en el Archivo General de la Guerra Civil Española se depositará una copia o duplicado de todos los documentos restituidos cuyo coste económico será asumido por la Generalidad de Cataluña. Dicha copia o duplicado tendrá la consideración de copia auténtica en los términos previstos en la legislación de régimen jurídico de las administraciones públicas y de procedimiento administrativo común.</w:t>
      </w:r>
    </w:p>
    <w:p w:rsidR="0026452D" w:rsidRDefault="0026452D" w:rsidP="0026452D">
      <w:pPr>
        <w:pStyle w:val="TextoNormal"/>
      </w:pPr>
    </w:p>
    <w:p w:rsidR="0026452D" w:rsidRDefault="0026452D" w:rsidP="0026452D">
      <w:pPr>
        <w:pStyle w:val="TextoNormal"/>
      </w:pPr>
      <w:r>
        <w:t>3. Identificados los documentos, fondos documentales y otros efectos, el Estado los entregará a la Generalidad de Cataluña en el plazo de tres meses. La entrega de los mismos deberá formalizarse mediante la correspondiente acta de entrega y recepción, suscrita por los representantes de ambas Administraciones, la cual determinará la efectividad de la misma.”</w:t>
      </w:r>
    </w:p>
    <w:p w:rsidR="0026452D" w:rsidRDefault="0026452D" w:rsidP="0026452D">
      <w:pPr>
        <w:pStyle w:val="TextoNormal"/>
      </w:pPr>
    </w:p>
    <w:p w:rsidR="0026452D" w:rsidRDefault="0026452D" w:rsidP="0026452D">
      <w:pPr>
        <w:pStyle w:val="TextoNormal"/>
      </w:pPr>
      <w:r>
        <w:t>En virtud del artículo 5, que asimismo se impugna:</w:t>
      </w:r>
    </w:p>
    <w:p w:rsidR="0026452D" w:rsidRDefault="0026452D" w:rsidP="0026452D">
      <w:pPr>
        <w:pStyle w:val="TextoNormal"/>
      </w:pPr>
    </w:p>
    <w:p w:rsidR="0026452D" w:rsidRDefault="0026452D" w:rsidP="0026452D">
      <w:pPr>
        <w:pStyle w:val="TextoNormal"/>
      </w:pPr>
      <w:r>
        <w:t xml:space="preserve">“1. El derecho a la restitución a los sujetos previstos en el artículo 2.2 deberá ejercitarse en el plazo de un año contado a partir del día siguiente a la notificación del acto de identificación a quienes puedan resultar sus legítimos titulares. En el supuesto de que no sea posible </w:t>
      </w:r>
      <w:r>
        <w:lastRenderedPageBreak/>
        <w:t>la práctica de dicha notificación, el plazo se computará desde el día siguiente a la publicación del acto de identificación. Transcurrido dicho plazo, caducará el derecho a la restitución de los documentos, fondos documentales y otros efectos.</w:t>
      </w:r>
    </w:p>
    <w:p w:rsidR="0026452D" w:rsidRDefault="0026452D" w:rsidP="0026452D">
      <w:pPr>
        <w:pStyle w:val="TextoNormal"/>
      </w:pPr>
    </w:p>
    <w:p w:rsidR="0026452D" w:rsidRDefault="0026452D" w:rsidP="0026452D">
      <w:pPr>
        <w:pStyle w:val="TextoNormal"/>
      </w:pPr>
      <w:r>
        <w:t>2. Las peticiones y solicitudes que se formulen se tramitarán y resolverán por el procedimiento que establezca la Generalidad de Cataluña en ejercicio de sus competencias, y contra los actos y resoluciones que se dicten en dicho procedimiento los particulares podrán interponer los recursos que correspondan.</w:t>
      </w:r>
    </w:p>
    <w:p w:rsidR="0026452D" w:rsidRDefault="0026452D" w:rsidP="0026452D">
      <w:pPr>
        <w:pStyle w:val="TextoNormal"/>
      </w:pPr>
    </w:p>
    <w:p w:rsidR="0026452D" w:rsidRDefault="0026452D" w:rsidP="0026452D">
      <w:pPr>
        <w:pStyle w:val="TextoNormal"/>
      </w:pPr>
      <w:r>
        <w:t>3. Sólo podrá declararse la procedencia de la restitución de los documentos, fondos documentales y otros efectos si en el procedimiento referido en los apartados anteriores se cumplen los siguientes requisitos:</w:t>
      </w:r>
    </w:p>
    <w:p w:rsidR="0026452D" w:rsidRDefault="0026452D" w:rsidP="0026452D">
      <w:pPr>
        <w:pStyle w:val="TextoNormal"/>
      </w:pPr>
    </w:p>
    <w:p w:rsidR="0026452D" w:rsidRDefault="0026452D" w:rsidP="0026452D">
      <w:pPr>
        <w:pStyle w:val="TextoNormal"/>
      </w:pPr>
      <w:r>
        <w:t>a) La identificación precisa de los documentos, fondos documentales y otros efectos cuya restitución se solicita.</w:t>
      </w:r>
    </w:p>
    <w:p w:rsidR="0026452D" w:rsidRDefault="0026452D" w:rsidP="0026452D">
      <w:pPr>
        <w:pStyle w:val="TextoNormal"/>
      </w:pPr>
    </w:p>
    <w:p w:rsidR="0026452D" w:rsidRDefault="0026452D" w:rsidP="0026452D">
      <w:pPr>
        <w:pStyle w:val="TextoNormal"/>
      </w:pPr>
      <w:r>
        <w:t>b) La acreditación documental, o por cualquier otro medio de prueba admitido en derecho, de su titularidad dominical en el momento de la incautación.</w:t>
      </w:r>
    </w:p>
    <w:p w:rsidR="0026452D" w:rsidRDefault="0026452D" w:rsidP="0026452D">
      <w:pPr>
        <w:pStyle w:val="TextoNormal"/>
      </w:pPr>
    </w:p>
    <w:p w:rsidR="0026452D" w:rsidRDefault="0026452D" w:rsidP="0026452D">
      <w:pPr>
        <w:pStyle w:val="TextoNormal"/>
      </w:pPr>
      <w:r>
        <w:t>c) La acreditación documental, o por cualquier otro medio de prueba admitido en derecho, de la condición de sucesor legítimo en el caso de muerte o declaración de fallecimiento de los titulares que sean personas naturales, o de extinción en el caso de personas jurídicas.”</w:t>
      </w:r>
    </w:p>
    <w:p w:rsidR="0026452D" w:rsidRDefault="0026452D" w:rsidP="0026452D">
      <w:pPr>
        <w:pStyle w:val="TextoNormal"/>
      </w:pPr>
    </w:p>
    <w:p w:rsidR="0026452D" w:rsidRDefault="0026452D" w:rsidP="0026452D">
      <w:pPr>
        <w:pStyle w:val="TextoNormal"/>
      </w:pPr>
      <w:r>
        <w:t>Para la recurrente tales preceptos suponen una transferencia de la titularidad de unos documentos, aquellos que pertenecieron a personas privadas, carente de causa, injustificada y puramente arbitraria, pues se rechaza que la finalidad de devolvérselos a sus legítimos propietarios puede justificar tal transferencia a la Generalitat y se alega que el efecto combinado de los artículos 2.2 y 5 otorga a la Generalitat la propiedad de todos los documentos que no puedan, por cualquier motivo, finalmente restituirse a sus propietarios originarios. Asimismo, en opinión del recurrente la transferencia a la Generalitat no tiene ninguna justificación posible, pues el mero hecho de que la incautación se produjera en territorio catalán no hace de mejor condición a la Generalitat que a otras personas físicas o jurídicas, públicas o privadas, que pudieran invocar títulos semejantes como sería el caso de los Ayuntamientos.</w:t>
      </w:r>
    </w:p>
    <w:p w:rsidR="0026452D" w:rsidRDefault="0026452D" w:rsidP="0026452D">
      <w:pPr>
        <w:pStyle w:val="TextoNormal"/>
      </w:pPr>
    </w:p>
    <w:p w:rsidR="0026452D" w:rsidRDefault="0026452D" w:rsidP="0026452D">
      <w:pPr>
        <w:pStyle w:val="TextoNormal"/>
      </w:pPr>
      <w:r>
        <w:t>Para el Abogado del Estado, el control de constitucionalidad de las leyes tomando como parámetro la interdicción de la arbitrariedad debe ejercerse, sin embargo, de forma que no imponga constricciones indebidas al poder legislativo y respete sus opciones políticas.</w:t>
      </w:r>
    </w:p>
    <w:p w:rsidR="0026452D" w:rsidRDefault="0026452D" w:rsidP="0026452D">
      <w:pPr>
        <w:pStyle w:val="TextoNormal"/>
      </w:pPr>
    </w:p>
    <w:p w:rsidR="0026452D" w:rsidRDefault="0026452D" w:rsidP="0026452D">
      <w:pPr>
        <w:pStyle w:val="TextoNormal"/>
      </w:pPr>
      <w:r>
        <w:t>A la hora de abordar el examen de la cuestión planteada, la vulneración de la interdicción de la arbitrariedad, debemos diferenciar entre dos alegaciones. La alegación que pone en cuestión la constitucionalidad de que se otorgue a la Generalitat la propiedad de todos los documentos transferidos, que, según señala la recurrente, quedarían en manos de aquella si no son finalmente restituidos, y la alegación que pone en cuestión la constitucionalidad misma de que tenga que ser la Generalitat la que restituya los documentos a sus propietarios originarios.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7</w:t>
      </w:r>
      <w:r>
        <w:t>. En lo que se refiere a la alegación que pone en cuestión la constitucionalidad de que se otorgue a la Generalitat la propiedad definitiva de todos los documentos y efectos privados transferidos que no puedan ser restituidos, la impugnación realizada debe ser desestimada, pues debemos rechazar que tal sea la consecuencia necesaria que se deriva de la lectura de la Ley 21/2005.</w:t>
      </w:r>
    </w:p>
    <w:p w:rsidR="0026452D" w:rsidRDefault="0026452D" w:rsidP="0026452D">
      <w:pPr>
        <w:pStyle w:val="TextoNormal"/>
      </w:pPr>
    </w:p>
    <w:p w:rsidR="0026452D" w:rsidRDefault="0026452D" w:rsidP="0026452D">
      <w:pPr>
        <w:pStyle w:val="TextoNormal"/>
      </w:pPr>
      <w:r>
        <w:t>En efecto, no es posible acoger la interpretación que de la Ley realiza la recurrente, pues la transferencia de documentación a la Generalitat se produce con una finalidad muy concreta: su restitución a los propietarios originarios o a sus sucesores.</w:t>
      </w:r>
    </w:p>
    <w:p w:rsidR="0026452D" w:rsidRDefault="0026452D" w:rsidP="0026452D">
      <w:pPr>
        <w:pStyle w:val="TextoNormal"/>
      </w:pPr>
    </w:p>
    <w:p w:rsidR="0026452D" w:rsidRDefault="0026452D" w:rsidP="0026452D">
      <w:pPr>
        <w:pStyle w:val="TextoNormal"/>
      </w:pPr>
      <w:r>
        <w:t xml:space="preserve">Así se desprende, en primer lugar, de la exposición de motivos de la Ley 21/2005 que tras afirmar que “procede, pues, en este momento, aprobar una norma con rango de ley que permita el restablecimiento de las situaciones jurídicas ilegítimamente extinguidas en lo que respecta a la Generalidad de Cataluña y a las personas naturales y jurídicas de carácter privado, salvaguardando al mismo tiempo, en razón de su interés histórico y cultural, la integridad funcional del Archivo y de los documentos y fondos documentales en él custodiados”, asevera que “esta Ley tiene, pues, por objeto, con carácter general, la restitución de los documentos y fondos documentales incautados con motivo de la Guerra Civil y custodiados en el Archivo General de la Guerra Civil Española. En el artículo 2 se distingue entre la restitución a la Generalidad de Cataluña, que se produce </w:t>
      </w:r>
      <w:r w:rsidRPr="0026452D">
        <w:rPr>
          <w:i/>
        </w:rPr>
        <w:t>ope legis</w:t>
      </w:r>
      <w:r>
        <w:t>, y la restitución a las personas naturales y jurídicas privadas, que requiere la instrucción de un procedimiento previo destinado a acreditar, por parte de los interesados, la existencia de un interés legítimo en la devolución de los documentos.”</w:t>
      </w:r>
    </w:p>
    <w:p w:rsidR="0026452D" w:rsidRDefault="0026452D" w:rsidP="0026452D">
      <w:pPr>
        <w:pStyle w:val="TextoNormal"/>
      </w:pPr>
    </w:p>
    <w:p w:rsidR="0026452D" w:rsidRDefault="0026452D" w:rsidP="0026452D">
      <w:pPr>
        <w:pStyle w:val="TextoNormal"/>
      </w:pPr>
      <w:r>
        <w:t>Así se desprende sobre todo, y en segundo lugar, del artículo 2.2 de la Ley impugnada cuando establece que “asimismo, a los efectos de lo establecido en el artículo 5, el Estado transferirá a la Generalidad de Cataluña los documentos, fondos documentales y otros efectos, incautados en Cataluña a personas naturales o jurídicas de carácter privado, con residencia, domicilio, delegación o secciones en Cataluña”. Efectos que no son otros, según ese artículo 5 al que se remite el artículo 2.2, que los que se refieren al derecho a la restitución.</w:t>
      </w:r>
    </w:p>
    <w:p w:rsidR="0026452D" w:rsidRDefault="0026452D" w:rsidP="0026452D">
      <w:pPr>
        <w:pStyle w:val="TextoNormal"/>
      </w:pPr>
    </w:p>
    <w:p w:rsidR="0026452D" w:rsidRDefault="0026452D" w:rsidP="0026452D">
      <w:pPr>
        <w:pStyle w:val="TextoNormal"/>
      </w:pPr>
      <w:r>
        <w:t>El Estado, por tanto, en virtud de la Ley impugnada no transfiere la titularidad del Archivo General de la Guerra Civil a la Generalitat de Cataluña, sino que le transfiere una serie de fondos documentales que hasta ahora se encontraban depositados en el Archivo General de la Guerra Civil, y lo hace a los solos efectos de que se cumpla lo establecido en el artículo 5 de la Ley, es decir, a los efectos de su restitución a los propietarios originarios o sus sucesores. La subrogación de la Comunidad Autónoma en los derechos y obligaciones del Estado se produce, por tanto, a los efectos de la restitución de la documentación transferida a sus propietarios originarios. No es, por tanto, posible acoger la interpretación de la Ley que realiza la recurrente y que supone otorgar a la Generalitat la propiedad de todos los documentos y efectos privados que no hubiesen podido restituirse. Si la transferencia de los documentos se produce a los efectos de ser restituidos, y esta restitución no se puede producir, por no haberse podido acreditar la titularidad de los mismos, tales documentos siguen integrando un archivo de titularidad estatal.</w:t>
      </w:r>
    </w:p>
    <w:p w:rsidR="0026452D" w:rsidRDefault="0026452D" w:rsidP="0026452D">
      <w:pPr>
        <w:pStyle w:val="TextoNormal"/>
      </w:pPr>
    </w:p>
    <w:p w:rsidR="0026452D" w:rsidRDefault="0026452D" w:rsidP="0026452D">
      <w:pPr>
        <w:pStyle w:val="TextoNormal"/>
      </w:pPr>
      <w:r>
        <w:t xml:space="preserve">La Ley no prevé, por tanto, la transferencia incondicionada de fondos documentales a la Generalitat sino que aquella se realiza con un objetivo determinado, su restitución. La Ley </w:t>
      </w:r>
      <w:r>
        <w:lastRenderedPageBreak/>
        <w:t>tampoco prevé, pudiendo haberlo hecho por ser conforme con la Constitución, que la gestión de los fondos del Archivo General de la Guerra Civil transferidos a la Generalitat y que no puedan ser restituidos a sus propietarios originarios o a sus sucesores, sea realizada por la Comunidad Autónoma. Por tanto, puesto que los efectos de la Ley impugnada no son los denunciados por la recurrente, la impugnación en este punto debe ser desestimada.</w:t>
      </w:r>
    </w:p>
    <w:p w:rsidR="0026452D" w:rsidRDefault="0026452D" w:rsidP="0026452D">
      <w:pPr>
        <w:pStyle w:val="TextoNormal"/>
      </w:pPr>
    </w:p>
    <w:p w:rsidR="0026452D" w:rsidRDefault="0026452D" w:rsidP="0026452D">
      <w:pPr>
        <w:pStyle w:val="TextoNormal"/>
      </w:pPr>
      <w:r w:rsidRPr="0026452D">
        <w:rPr>
          <w:rStyle w:val="NumeroAFNegritaCaracter"/>
        </w:rPr>
        <w:t>8</w:t>
      </w:r>
      <w:r>
        <w:t>. En lo que se refiere a la alegación que pone en cuestión la constitucionalidad de que tenga que ser la Generalitat y no otras personas jurídicas, públicas o privadas, la que restituya los documentos a sus propietarios originarios debemos comenzar recordando la doctrina de este Tribunal sobre la aplicación del art. 9.3 CE como canon de control del legislador.</w:t>
      </w:r>
    </w:p>
    <w:p w:rsidR="0026452D" w:rsidRDefault="0026452D" w:rsidP="0026452D">
      <w:pPr>
        <w:pStyle w:val="TextoNormal"/>
      </w:pPr>
    </w:p>
    <w:p w:rsidR="0026452D" w:rsidRDefault="0026452D" w:rsidP="0026452D">
      <w:pPr>
        <w:pStyle w:val="TextoNormal"/>
      </w:pPr>
      <w:r>
        <w:t>De acuerdo con nuestra doctrina “la calificación de ‘arbitraria’ dada a una ley a los efectos del art. 9.3 de la Constitución exige una cierta prudencia.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(por todas la STC 196/2011, de 13 de diciembre, FJ 13).</w:t>
      </w:r>
    </w:p>
    <w:p w:rsidR="0026452D" w:rsidRDefault="0026452D" w:rsidP="0026452D">
      <w:pPr>
        <w:pStyle w:val="TextoNormal"/>
      </w:pPr>
    </w:p>
    <w:p w:rsidR="0026452D" w:rsidRDefault="0026452D" w:rsidP="0026452D">
      <w:pPr>
        <w:pStyle w:val="TextoNormal"/>
      </w:pPr>
      <w:r>
        <w:t>También hemos afirmado que, no obstante lo anterior, “es preciso tener en cuenta que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[SSTC 99/1987, de 11 de junio, FJ 4 a); 227/1988, de 29 de noviembre, FJ 5; 239/1992, de 17 de diciembre, FJ 5; 233/1999, de 16 de diciembre, FJ 12; y 73/2000, de 14 de marzo, FJ 4].” (STC 45/2007, de 1 de marzo, FJ 4).</w:t>
      </w:r>
    </w:p>
    <w:p w:rsidR="0026452D" w:rsidRDefault="0026452D" w:rsidP="0026452D">
      <w:pPr>
        <w:pStyle w:val="TextoNormal"/>
      </w:pPr>
    </w:p>
    <w:p w:rsidR="0026452D" w:rsidRDefault="0026452D" w:rsidP="0026452D">
      <w:pPr>
        <w:pStyle w:val="TextoNormal"/>
      </w:pPr>
      <w:r>
        <w:t xml:space="preserve">En el caso de la norma impugnada, la transferencia a la Generalitat de Cataluña de los documentos incautados en su territorio durante la guerra civil para que sea ésta la encargada de devolvérselos a sus legítimos propietarios no puede ser tachada de irrazonable ni carente de toda justificación. Para tratar de demostrar la arbitrariedad de la transferencia de los fondos documentales a la Generalitat que prevé la Ley 21/2005, la recurrente se pregunta por qué la misma no se realiza a los ayuntamientos o a otras personas jurídicas según donde se hubiera realizado la incautación, debiéndose señalar, sin embargo, que no es en absoluto </w:t>
      </w:r>
      <w:r>
        <w:lastRenderedPageBreak/>
        <w:t>más razonable que el Estado tenga que entenderse con casi un millar de municipios catalanes, y menos aún con las distintas personas jurídicas, como sugiere la recurrente, en lugar de con la Generalitat. La Generalitat tiene competencias en materia de cultura, patrimonio histórico y archivos. No es, por tanto, posible afirmar que la vía establecida por la Ley para proceder a la restitución de los documentos sea irrazonable, por lo que es aquí donde se agota el enjuiciamiento de su posible arbitrariedad, que la norma supera cumplidamente. En consecuencia, “no puede tacharse de arbitraria una norma que persigue una finalidad razonable y que no se muestra desprovista de todo fundamento, aunque pueda legítimamente discreparse de la concreta solución adoptada, pues ‘entrar en un enjuiciamiento de cuál sería su medida justa supone discutir una opción tomada por el legislador que, aun cuando pueda ser discutible, no resulta arbitraria ni irracional’ (por todas, STC 149/2006, de 11 de mayo, FJ 6; y en un sentido parecido, STC 128/2009, de 1 de junio, FJ 3), tanto más cuando el reparo que se le opone no deja de ser otra cosa que una objeción de oportunidad, sin relevancia, por tanto, desde el punto de vista constitucional”. (STC 102/2012, de 8 de mayo, FJ 4).</w:t>
      </w:r>
    </w:p>
    <w:p w:rsidR="0026452D" w:rsidRDefault="0026452D" w:rsidP="0026452D">
      <w:pPr>
        <w:pStyle w:val="TextoNormal"/>
      </w:pPr>
    </w:p>
    <w:p w:rsidR="0026452D" w:rsidRDefault="0026452D" w:rsidP="0026452D">
      <w:pPr>
        <w:pStyle w:val="TextoNormal"/>
      </w:pPr>
      <w:r>
        <w:t>En aplicación de las razones señaladas se debe desestimar la impugnación basada en la vulneración del principio de interdicción de la arbitrariedad recogido en el art. 9.3 CE.</w:t>
      </w:r>
    </w:p>
    <w:p w:rsidR="0026452D" w:rsidRDefault="0026452D" w:rsidP="0026452D">
      <w:pPr>
        <w:pStyle w:val="TextoNormal"/>
      </w:pPr>
    </w:p>
    <w:p w:rsidR="0026452D" w:rsidRDefault="0026452D" w:rsidP="0026452D">
      <w:pPr>
        <w:pStyle w:val="TextoNormal"/>
      </w:pPr>
      <w:r w:rsidRPr="0026452D">
        <w:rPr>
          <w:rStyle w:val="NumeroAFNegritaCaracter"/>
        </w:rPr>
        <w:t>9</w:t>
      </w:r>
      <w:r>
        <w:t>. Se impugnan igualmente los artículos 2.2 y 5.2, y la disposición adicional primera, ya reproducidos, de la Ley 21/2005, por vulneración del art. 46 CE, que establece que “los poderes públicos garantizarán la conservación y promoverán el enriquecimiento del patrimonio histórico, cultural y artístico de los pueblos de España y de los bienes que lo integran, cualquiera que sea su régimen jurídico y su titularidad”, pues ninguno de los preceptos de la Ley 21/2005, establece medidas de protección para aquellos documentos que salgan del Archivo General de la Guerra Civil, para ser restituidos. Se afirma, por la recurrente, que los documentos restituidos quedan en situación de absoluta desprotección.</w:t>
      </w:r>
    </w:p>
    <w:p w:rsidR="0026452D" w:rsidRDefault="0026452D" w:rsidP="0026452D">
      <w:pPr>
        <w:pStyle w:val="TextoNormal"/>
      </w:pPr>
    </w:p>
    <w:p w:rsidR="0026452D" w:rsidRDefault="0026452D" w:rsidP="0026452D">
      <w:pPr>
        <w:pStyle w:val="TextoNormal"/>
      </w:pPr>
      <w:r>
        <w:t>Esta impugnación tampoco puede ser acogida puesto que, como recuerda el Abogado del Estado, el régimen de protección de los documentos restituidos será el régimen propio establecido en las normas del Estado y de las Comunidades Autónomas sobre patrimonio histórico.</w:t>
      </w:r>
    </w:p>
    <w:p w:rsidR="0026452D" w:rsidRDefault="0026452D" w:rsidP="0026452D">
      <w:pPr>
        <w:pStyle w:val="TextoNormal"/>
      </w:pPr>
    </w:p>
    <w:p w:rsidR="0026452D" w:rsidRDefault="0026452D" w:rsidP="0026452D">
      <w:pPr>
        <w:pStyle w:val="TextoNormal"/>
      </w:pPr>
      <w:r>
        <w:t xml:space="preserve">Este régimen está integrado básicamente, como ya hemos tenido ocasión de afirmar en el fundamento jurídico 3, por la Ley 16/1985, de 25 de junio, del patrimonio histórico español; y también por las normas autonómicas de protección del patrimonio histórico y, más concretamente, puesto que la restitución se produce </w:t>
      </w:r>
      <w:r w:rsidRPr="0026452D">
        <w:rPr>
          <w:i/>
        </w:rPr>
        <w:t>ope legis</w:t>
      </w:r>
      <w:r>
        <w:t xml:space="preserve"> en el caso de Cataluña, por la Ley 9/1993, de 30 de septiembre, del patrimonio cultural catalán.</w:t>
      </w:r>
    </w:p>
    <w:p w:rsidR="0026452D" w:rsidRDefault="0026452D" w:rsidP="0026452D">
      <w:pPr>
        <w:pStyle w:val="TextoNormal"/>
      </w:pPr>
    </w:p>
    <w:p w:rsidR="0026452D" w:rsidRDefault="0026452D" w:rsidP="0026452D">
      <w:pPr>
        <w:pStyle w:val="TextoNormal"/>
      </w:pPr>
      <w:r>
        <w:t xml:space="preserve">Asimismo, el régimen de protección de los documentos restituidos será el previsto, como igualmente hemos sostenido, por aquellas disposiciones posteriores a la Ley 21/2005 que regulan el propio procedimiento de restitución a sus propietarios originarios o sus descendientes. Entre estas disposiciones está el Decreto 183/2008, de 9 de septiembre, del Gobierno de la Generalitat de Cataluña por el que se establece el procedimiento para la restitución a las personas físicas o jurídicas de carácter privado de los documentos incautados con motivo de la guerra civil —Decreto que no es sino la plasmación de la remisión realizada por el artículo 5.2 de la Ley 21/2005—, y cuyo artículo 13.2 establece que “así mismo, </w:t>
      </w:r>
      <w:r>
        <w:lastRenderedPageBreak/>
        <w:t>en caso de estimación de solicitudes de restitución de patrimonio documental, en la resolución deben figurar las obligaciones que corresponden a las personas receptoras como titulares de bienes integrantes del patrimonio cultural catalán, de acuerdo con la Ley 9/1993, de 30 de septiembre, del Patrimonio Cultural Catalán, y la Ley 10/2001, de 13 de julio, de Archivos y Documentos”. Normas que establecen un detallado régimen de protección aplicable a todos los bienes integrantes del patrimonio cultural catalán.</w:t>
      </w:r>
    </w:p>
    <w:p w:rsidR="0026452D" w:rsidRDefault="0026452D" w:rsidP="0026452D">
      <w:pPr>
        <w:pStyle w:val="TextoNormal"/>
      </w:pPr>
    </w:p>
    <w:p w:rsidR="0026452D" w:rsidRDefault="0026452D" w:rsidP="0026452D">
      <w:pPr>
        <w:pStyle w:val="TextoNormal"/>
      </w:pPr>
      <w:r>
        <w:t>Igualmente, hemos recordado en el fundamento jurídico 3 de la presente Sentencia, que entre las disposiciones posteriores a la Ley 21/2005, encontramos el Real Decreto 2134/2008, de 26 de diciembre, del Gobierno, que regula el procedimiento a seguir para la restitución a particulares de los documentos incautados con motivo de la guerra civil por remisión de la disposición adicional primera de la Ley 21/2005 y que establece que “la entrega de los documentos, fondos documentales y otros efectos implica la asunción por parte de sus titulares de las obligaciones de custodia, conservación, inspección, puesta a disposición con fines de investigación y, en su caso, entrega temporal para exposiciones, en los términos previstos en la Ley 16/1985, de 25 de junio, del Patrimonio Histórico Español o, en su caso, en la normativa autonómica sobre patrimonio histórico-artístico.”</w:t>
      </w:r>
    </w:p>
    <w:p w:rsidR="0026452D" w:rsidRDefault="0026452D" w:rsidP="0026452D">
      <w:pPr>
        <w:pStyle w:val="TextoNormal"/>
      </w:pPr>
    </w:p>
    <w:p w:rsidR="0026452D" w:rsidRDefault="0026452D" w:rsidP="0026452D">
      <w:pPr>
        <w:pStyle w:val="TextoNormal"/>
      </w:pPr>
      <w:r>
        <w:t>Es, por tanto, indudable que los intereses públicos se encuentran suficientemente protegidos por los poderes públicos como garantía del derecho que a la conservación y disfrute de los documentos restituidos ostenta la comunidad en tanto que se trata de bienes portadores de valores significativos que los hacen merecedores de un especial reconocimiento por parte del ordenamiento jurídico. El art. 46 CE no establece la exigencia de que tenga que ser en la ley que determina la restitución de la documentación en su día incautada la que tenga que prever el régimen de protección de los documentos restituidos. Por las razones expuestas debemos desestimar la impugnación realizada.</w:t>
      </w:r>
    </w:p>
    <w:p w:rsidR="0026452D" w:rsidRDefault="0026452D" w:rsidP="0026452D">
      <w:pPr>
        <w:pStyle w:val="TextoNormal"/>
      </w:pPr>
    </w:p>
    <w:p w:rsidR="0026452D" w:rsidRDefault="0026452D" w:rsidP="0026452D">
      <w:pPr>
        <w:pStyle w:val="TextoNormal"/>
      </w:pPr>
      <w:r w:rsidRPr="0026452D">
        <w:rPr>
          <w:rStyle w:val="NumeroAFNegritaCaracter"/>
        </w:rPr>
        <w:t>10</w:t>
      </w:r>
      <w:r>
        <w:t xml:space="preserve">. Se impugnan, asimismo, los artículos 1, 2.2, 3, apartados 1 y 3, 4.1 y 5, ya reproducidos, de la Ley 21/2005, por implicar, se afirma sin cita de precepto constitucional alguno, una discriminación a favor de Cataluña, a la que se transfieren </w:t>
      </w:r>
      <w:r w:rsidRPr="0026452D">
        <w:rPr>
          <w:i/>
        </w:rPr>
        <w:t>ope legis</w:t>
      </w:r>
      <w:r>
        <w:t xml:space="preserve"> los documentos incautados en su territorio, y en contra de las demás Comunidades Autónomas.</w:t>
      </w:r>
    </w:p>
    <w:p w:rsidR="0026452D" w:rsidRDefault="0026452D" w:rsidP="0026452D">
      <w:pPr>
        <w:pStyle w:val="TextoNormal"/>
      </w:pPr>
    </w:p>
    <w:p w:rsidR="0026452D" w:rsidRDefault="0026452D" w:rsidP="0026452D">
      <w:pPr>
        <w:pStyle w:val="TextoNormal"/>
      </w:pPr>
      <w:r>
        <w:t>En opinión del Abogado del Estado la ley impugnada permite la restitución de documentos a las personas a las que se les incautaron los documentos en otras Comunidades Autónomas, será la norma del Gobierno a la que se remite la disposición adicional primera la que no podrá establecer diferencias.</w:t>
      </w:r>
    </w:p>
    <w:p w:rsidR="0026452D" w:rsidRDefault="0026452D" w:rsidP="0026452D">
      <w:pPr>
        <w:pStyle w:val="TextoNormal"/>
      </w:pPr>
    </w:p>
    <w:p w:rsidR="0026452D" w:rsidRDefault="0026452D" w:rsidP="0026452D">
      <w:pPr>
        <w:pStyle w:val="TextoNormal"/>
      </w:pPr>
      <w:r>
        <w:t xml:space="preserve">La Ley 21/2005 tiene por objeto la restitución de los documentos incautados en Cataluña durante la guerra civil y establece la transferencia de tales documentos a la Generalitat. No obstante, la misma establece la posibilidad de restitución de la documentación incautada a las personas físicas o jurídicas en el resto del territorio nacional. La ley impugnada establece, así, un régimen diferenciado para la gestión de la devolución de los documentos, pues mientras que en el caso de los documentos incautados en Cataluña la propia ley prevé su transferencia a la Generalitat para su restitución, en el resto de casos, el procedimiento de restitución se remite a la norma que dicte el Gobierno. La disposición adicional primera de la Ley 21/2005 abre la posibilidad de que la restitución pueda llevarse a cabo por las Comunidades Autónomas que lo soliciten, de acuerdo con el procedimiento que el Gobierno establezca. La Ley establece así una diferencia en cuanto al procedimiento de restitución, si </w:t>
      </w:r>
      <w:r>
        <w:lastRenderedPageBreak/>
        <w:t>bien ello no supone una diferencia en cuanto al resultado, la restitución de la documentación a sus propietarios originarios. La cuestión que se nos plantea es si es discriminatorio este diferente procedimiento de restitución, discriminatorio respecto a las diferentes Comunidades Autónomas, que no respecto a las personas físicas o jurídicas, cuyo derecho a la restitución no podría en ningún caso quedar imposibilitado por el establecimiento de un régimen jurídico diferenciado.</w:t>
      </w:r>
    </w:p>
    <w:p w:rsidR="0026452D" w:rsidRDefault="0026452D" w:rsidP="0026452D">
      <w:pPr>
        <w:pStyle w:val="TextoNormal"/>
      </w:pPr>
    </w:p>
    <w:p w:rsidR="0026452D" w:rsidRDefault="0026452D" w:rsidP="0026452D">
      <w:pPr>
        <w:pStyle w:val="TextoNormal"/>
      </w:pPr>
      <w:r>
        <w:t>En relación con la cuestión planteada hemos afirmado en una doctrina constante, a la que expresamente ha hecho alusión el Abogado del Estado en su escrito de alegaciones, que los entes públicos “no pueden ser considerados como titulares del derecho fundamental a la no discriminación amparado por el art. 14 CE, que se refiere a los españoles y no es de aplicación a las personas jurídico-públicas en cuanto tales (STC 211/1996, de 17 de diciembre, FJ 4 y las resoluciones allí citadas)” [STC 139/2005, de 26 de mayo, FJ 6].</w:t>
      </w:r>
    </w:p>
    <w:p w:rsidR="0026452D" w:rsidRDefault="0026452D" w:rsidP="0026452D">
      <w:pPr>
        <w:pStyle w:val="TextoNormal"/>
      </w:pPr>
    </w:p>
    <w:p w:rsidR="0026452D" w:rsidRDefault="0026452D" w:rsidP="0026452D">
      <w:pPr>
        <w:pStyle w:val="TextoNormal"/>
      </w:pPr>
      <w:r>
        <w:t>Igualmente hemos afirmado que los artículos 9.2, 14, 139.1 y 149.1.1 CE “consagran la igualdad de los individuos y los grupos sociales, pero no la de las Comunidades Autónomas. En realidad, éstas son iguales en cuanto a su subordinación al orden constitucional; en cuanto a los principios de su representación en el Senado (art. 69.5); en cuanto a su legitimación ante el Tribunal Constitucional (art. 162.1); o en cuanto que las diferencias entre los distintos Estatutos no podrán implicar privilegios económicos o sociales (art. 138); pero, en cambio, pueden ser desiguales en lo que respecta al procedimiento de acceso a la autonomía y a la determinación concreta del contenido autonómico, es decir, de su Estatuto y, por tanto, en cuanto a su complejo competencial” (STC 76/1983, de 3 de agosto, FJ 2)</w:t>
      </w:r>
    </w:p>
    <w:p w:rsidR="0026452D" w:rsidRDefault="0026452D" w:rsidP="0026452D">
      <w:pPr>
        <w:pStyle w:val="TextoNormal"/>
      </w:pPr>
    </w:p>
    <w:p w:rsidR="0026452D" w:rsidRDefault="0026452D" w:rsidP="0026452D">
      <w:pPr>
        <w:pStyle w:val="TextoNormal"/>
      </w:pPr>
      <w:r>
        <w:t>Así lo hemos reiterado en relación con las competencias al afirmar que “el principio constitucional de igualdad no impone que todas las Comunidades Autónomas ostenten las mismas competencias, ni, menos aún, que tengan que ejercerlas de una manera o con un contenido y unos resultados idénticos o semejantes” (STC 37/1987, de 26 de marzo, FJ 10)</w:t>
      </w:r>
    </w:p>
    <w:p w:rsidR="0026452D" w:rsidRDefault="0026452D" w:rsidP="0026452D">
      <w:pPr>
        <w:pStyle w:val="TextoNormal"/>
      </w:pPr>
    </w:p>
    <w:p w:rsidR="0026452D" w:rsidRDefault="0026452D" w:rsidP="0026452D">
      <w:pPr>
        <w:pStyle w:val="TextoNormal"/>
      </w:pPr>
      <w:r>
        <w:t>La diversidad competencial puede ser consecuencia de diferencias estatutarias o incluso de diferencias legales, por ejemplo, las que se derivan de la adopción, en el caso de algunas Comunidades Autónomas, de las leyes de transferencia del artículo 150.2 CE. Sin embargo, estas diferencias no suponen que el legislador estatutario o estatal incurra en discriminación.</w:t>
      </w:r>
    </w:p>
    <w:p w:rsidR="0026452D" w:rsidRDefault="0026452D" w:rsidP="0026452D">
      <w:pPr>
        <w:pStyle w:val="TextoNormal"/>
      </w:pPr>
    </w:p>
    <w:p w:rsidR="0026452D" w:rsidRDefault="0026452D" w:rsidP="0026452D">
      <w:pPr>
        <w:pStyle w:val="TextoNormal"/>
      </w:pPr>
      <w:r>
        <w:t>No obstante lo anterior, este Tribunal ha considerado que “el trato desigual manifiestamente injustificado entraña una arbitrariedad aunque no encaje exactamente en la previsión del artículo 14 de la Norma Suprema que … remite la cuestión a la esfera de la interdicción de la arbitrariedad del art. 9.3 CE” (STC 45/2007, de 1 de marzo, FJ 3).</w:t>
      </w:r>
    </w:p>
    <w:p w:rsidR="0026452D" w:rsidRDefault="0026452D" w:rsidP="0026452D">
      <w:pPr>
        <w:pStyle w:val="TextoNormal"/>
      </w:pPr>
    </w:p>
    <w:p w:rsidR="0026452D" w:rsidRDefault="0026452D" w:rsidP="0026452D">
      <w:pPr>
        <w:pStyle w:val="TextoNormal"/>
      </w:pPr>
      <w:r>
        <w:t xml:space="preserve">Acotado en estos términos nuestro enjuiciamiento de los preceptos legales impugnados debemos remitirnos a nuestra doctrina sobre el control del legislador mediante el canon de la interdicción de la arbitrariedad establecido en el art. 9.3 CE. Doctrina que hemos transcrito en el fundamento jurídico 4 de esta misma Sentencia, al que ahora nos remitimos, recordando, no obstante, que al examinar un precepto legal impugnado desde este punto de vista,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w:t>
      </w:r>
      <w:r>
        <w:lastRenderedPageBreak/>
        <w:t>de la norma y de todas sus eventuales consecuencias (SSTC 239/1992, de 17 de diciembre, FJ 5; y 47/2005, de 3 de marzo, FJ 7, entre otras muchas). Así, de acuerdo con nuestra doctrina, “lo que la Constitución proscribe son las diferencias que carezcan de justificación objetiva y razonable, conllevando beneficios que otras Comunidades Autónomas, en las mismas circunstancias, no podrían obtener” (STC 31/2010, de 28 de junio, FJ 131).</w:t>
      </w:r>
    </w:p>
    <w:p w:rsidR="0026452D" w:rsidRDefault="0026452D" w:rsidP="0026452D">
      <w:pPr>
        <w:pStyle w:val="TextoNormal"/>
      </w:pPr>
    </w:p>
    <w:p w:rsidR="0026452D" w:rsidRDefault="0026452D" w:rsidP="0026452D">
      <w:pPr>
        <w:pStyle w:val="TextoNormal"/>
      </w:pPr>
      <w:r>
        <w:t>La exposición de motivos de la Ley 21/2005 se refiere para fundamentar la adopción de la misma a la proposición no de ley del Congreso de los Diputados aprobada el 18 de mayo de 2004 por la que se instaba al Gobierno a iniciar un proceso de diálogo con el Gobierno de la Generalitat de Cataluña, con el fin de alcanzar un acuerdo que permita resolver el contencioso planteado en relación con la documentación incautada que en la actualidad se halla recogida en el Archivo General de la Guerra Civil Española. Es cierto que, tal y como señala la recurrente, en aquella proposición también se hacía una referencia a otras instituciones cuando se mencionaba que dicho acuerdo deberá conciliar “las legítimas aspiraciones de diversas instituciones catalanas y de otras instituciones, entre ellas, el Parlamento de Catalunya y las Cortes Valencianas, con la unidad del actual Archivo General”.</w:t>
      </w:r>
    </w:p>
    <w:p w:rsidR="0026452D" w:rsidRDefault="0026452D" w:rsidP="0026452D">
      <w:pPr>
        <w:pStyle w:val="TextoNormal"/>
      </w:pPr>
    </w:p>
    <w:p w:rsidR="0026452D" w:rsidRDefault="0026452D" w:rsidP="0026452D">
      <w:pPr>
        <w:pStyle w:val="TextoNormal"/>
      </w:pPr>
      <w:r>
        <w:t>Sin embargo, la diferencia que realiza la Ley 21/2005, en lo que se refiere a la gestión de la devolución de los documentos en su día incautados no es una opción del legislador que carezca de toda justificación razonable. En efecto, el especial régimen de devolución de documentos previsto para Cataluña se puede justificar en la existencia de una reivindicación sostenida a lo largo del tiempo por parte de sus instituciones, así como por el reconocimiento de un régimen de autonomía para Cataluña en el momento mismo de la incautación de los documentos, autonomía que suponía la atribución a la Generalidad de competencias en materia de archivos (artículo 7 del Estatuto de Autonomía de 1932). La Generalidad fue restablecida por Real Decreto-ley 41/1977, y tiene ahora, como tenía en el momento de la incautación, competencias en materia de archivos, por lo que es aquí donde se agota el enjuiciamiento de su posible arbitrariedad.</w:t>
      </w:r>
    </w:p>
    <w:p w:rsidR="0026452D" w:rsidRDefault="0026452D" w:rsidP="0026452D">
      <w:pPr>
        <w:pStyle w:val="TextoNormal"/>
      </w:pPr>
    </w:p>
    <w:p w:rsidR="0026452D" w:rsidRDefault="0026452D" w:rsidP="0026452D">
      <w:pPr>
        <w:pStyle w:val="TextoNormal"/>
      </w:pPr>
      <w:r>
        <w:t>En consecuencia, no puede tacharse de arbitraria una norma que persigue una finalidad razonable y que no se muestra desprovista de todo fundamento, aunque pueda legítimamente discreparse de la concreta solución adoptada, pues “entrar en un enjuiciamiento de cuál sería su medida justa supone discutir una opción tomada por el legislador que, aun cuando pueda ser discutible, no resulta arbitraria ni irracional” (por todas, STC 149/2006, de 11 de mayo, FJ 6; y en un sentido parecido, STC 128/2009, de 1 de junio, FJ 3).</w:t>
      </w:r>
    </w:p>
    <w:p w:rsidR="0026452D" w:rsidRDefault="0026452D" w:rsidP="0026452D">
      <w:pPr>
        <w:pStyle w:val="TextoNormal"/>
      </w:pPr>
    </w:p>
    <w:p w:rsidR="0026452D" w:rsidRDefault="0026452D" w:rsidP="0026452D">
      <w:pPr>
        <w:pStyle w:val="TextoNormal"/>
      </w:pPr>
      <w:r>
        <w:t xml:space="preserve">Todo lo expuesto nos lleva a concluir que no puede calificarse de arbitraria la transferencia de la documentación </w:t>
      </w:r>
      <w:r w:rsidRPr="0026452D">
        <w:rPr>
          <w:i/>
        </w:rPr>
        <w:t>ope legis</w:t>
      </w:r>
      <w:r>
        <w:t xml:space="preserve"> a Cataluña frente al establecimiento de un procedimiento distinto para el caso del resto de Comunidades Autónomas.</w:t>
      </w:r>
    </w:p>
    <w:p w:rsidR="0026452D" w:rsidRDefault="0026452D" w:rsidP="0026452D">
      <w:pPr>
        <w:pStyle w:val="TextoNormal"/>
      </w:pPr>
    </w:p>
    <w:p w:rsidR="0026452D" w:rsidRDefault="0026452D" w:rsidP="0026452D">
      <w:pPr>
        <w:pStyle w:val="TextoNormal"/>
      </w:pPr>
      <w:r>
        <w:t>Procede, por tanto, la desestimación del recurso.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lastRenderedPageBreak/>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 interpuesto por la Junta de Castilla y León contra determinados preceptos de la Ley 21/2005, de 17 de noviembre, de restitución a la Generalidad de Cataluña de los documentos incautados con motivo de la guerra civil custodiados en el Archivo General de la Guerra Civil Española y de creación del Centro Documental de la Memoria Histórica.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treinta y uno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24" w:name="SENTENCIA_2013_21"/>
      <w:r>
        <w:lastRenderedPageBreak/>
        <w:t>SENTENCIA 21/2013, de 31 de enero de 2013</w:t>
      </w:r>
    </w:p>
    <w:bookmarkEnd w:id="24"/>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ECLI:ES:TC:2013:21</w:t>
      </w:r>
    </w:p>
    <w:p w:rsidR="0026452D" w:rsidRDefault="0026452D" w:rsidP="0026452D">
      <w:pPr>
        <w:pStyle w:val="SntesisDescriptiva"/>
      </w:pPr>
    </w:p>
    <w:p w:rsidR="0026452D" w:rsidRDefault="0026452D" w:rsidP="0026452D">
      <w:pPr>
        <w:pStyle w:val="SntesisDescriptiva"/>
      </w:pPr>
      <w:r>
        <w:t>Conflicto positivo de competencia 7625-2006. Planteado por el Gobierno de la Generalitat de Cataluña en relación con la Orden TAS/892/2006, de 23 de marzo, por la que se establecen las bases reguladoras y se convoca la concesión de subvenciones para la realización de programas de cooperación y voluntariado sociales con cargo a la asignación tributaria del impuesto sobre la renta de las personas físicas.</w:t>
      </w:r>
    </w:p>
    <w:p w:rsidR="0026452D" w:rsidRDefault="0026452D" w:rsidP="0026452D">
      <w:pPr>
        <w:pStyle w:val="SntesisDescriptiva"/>
      </w:pPr>
    </w:p>
    <w:p w:rsidR="0026452D" w:rsidRDefault="0026452D" w:rsidP="0026452D">
      <w:pPr>
        <w:pStyle w:val="SntesisAnaltica"/>
      </w:pPr>
      <w:r>
        <w:t>Competencias sobre condiciones básicas de igualdad y asistencia social: preceptos reglamentarios estatales que vulneran las competencias autonómicas de gestión de las subvenciones (SSTC 13/1992 y 178/2011). Voto particular.</w:t>
      </w:r>
    </w:p>
    <w:p w:rsidR="0026452D" w:rsidRDefault="0026452D" w:rsidP="0026452D">
      <w:pPr>
        <w:pStyle w:val="SntesisAnaltica"/>
      </w:pPr>
    </w:p>
    <w:p w:rsidR="0026452D" w:rsidRDefault="0026452D" w:rsidP="0026452D">
      <w:pPr>
        <w:pStyle w:val="Extracto"/>
      </w:pPr>
      <w:r>
        <w:t>1.</w:t>
      </w:r>
      <w:r>
        <w:tab/>
        <w:t xml:space="preserve">Las subvenciones controvertidas, dirigidas a la realización de programas de cooperación y voluntariado sociales con cargo a la asignación tributaria del impuesto sobre la renta de las personas físicas, se deben encuadrar en materia de asistencia social, </w:t>
      </w:r>
      <w:r w:rsidRPr="0026452D">
        <w:rPr>
          <w:i/>
        </w:rPr>
        <w:t>ex</w:t>
      </w:r>
      <w:r>
        <w:t xml:space="preserve"> art. 148.1.20 CE, correspondiendo a la Comunidad Autónoma la competencia exclusiva en la materia (STC 36/2012) [FJ 4].</w:t>
      </w:r>
    </w:p>
    <w:p w:rsidR="0026452D" w:rsidRDefault="0026452D" w:rsidP="0026452D">
      <w:pPr>
        <w:pStyle w:val="Extracto"/>
      </w:pPr>
    </w:p>
    <w:p w:rsidR="0026452D" w:rsidRDefault="0026452D" w:rsidP="0026452D">
      <w:pPr>
        <w:pStyle w:val="Extracto"/>
      </w:pPr>
      <w:r>
        <w:t>2.</w:t>
      </w:r>
      <w:r>
        <w:tab/>
        <w:t>Debemos rechazar que la regulación de las ayudas controvertidas pueda relacionarse con el título competencial del art. 149.1.1 CE, pues ni por su objeto ni por su contenido cabe apreciar una conexión directa con dicho título, sin que ello impida al Estado, en uso de su soberanía financiera, asignar fondos públicos a unas finalidades u otras al existir otros preceptos constitucionales que legitiman su capacidad para disponer de su presupuesto en la acción social o económica (STC 13/1992) [FJ 5].</w:t>
      </w:r>
    </w:p>
    <w:p w:rsidR="0026452D" w:rsidRDefault="0026452D" w:rsidP="0026452D">
      <w:pPr>
        <w:pStyle w:val="Extracto"/>
      </w:pPr>
    </w:p>
    <w:p w:rsidR="0026452D" w:rsidRDefault="0026452D" w:rsidP="0026452D">
      <w:pPr>
        <w:pStyle w:val="Extracto"/>
      </w:pPr>
      <w:r>
        <w:t>3.</w:t>
      </w:r>
      <w:r>
        <w:tab/>
        <w:t>Puesto que la Comunidad Autónoma de Cataluña ostenta competencia exclusiva sobre asistencia social y el Estado no ha invocado título competencial suficiente –genérico o específico– sobre la misma, la intervención estatal debe limitarse a asignar parte de sus fondos presupuestarios a esta materia de manera genérica o global, integrando estos fondos como un recurso que nutre la Hacienda autonómica, de manera que su asignación quede territorializada, a ser posible, en los mismos Presupuestos Generales del Estado (STC 13/1992) [FJ 6].</w:t>
      </w:r>
    </w:p>
    <w:p w:rsidR="0026452D" w:rsidRDefault="0026452D" w:rsidP="0026452D">
      <w:pPr>
        <w:pStyle w:val="Extracto"/>
      </w:pPr>
    </w:p>
    <w:p w:rsidR="0026452D" w:rsidRDefault="0026452D" w:rsidP="0026452D">
      <w:pPr>
        <w:pStyle w:val="Extracto"/>
      </w:pPr>
      <w:r>
        <w:t>4.</w:t>
      </w:r>
      <w:r>
        <w:tab/>
        <w:t>Tratándose de ayudas en materia de asistencia social, al Estado le corresponde la regulación de los aspectos centrales del régimen subvencional –objeto y finalidad, modalidad técnica, beneficiarios y requisitos generales de acceso–, mientras que a las Comunidades Autónomas les corresponde lo atinente a su gestión –tramitación, resolución y pago, así como la regulación del procedimiento correspondiente a estos aspectos– (SSTC 178/2011, 227/2012) [FJ 6].</w:t>
      </w:r>
    </w:p>
    <w:p w:rsidR="0026452D" w:rsidRDefault="0026452D" w:rsidP="0026452D">
      <w:pPr>
        <w:pStyle w:val="Extracto"/>
      </w:pPr>
    </w:p>
    <w:p w:rsidR="0026452D" w:rsidRDefault="0026452D" w:rsidP="0026452D">
      <w:pPr>
        <w:pStyle w:val="Extracto"/>
      </w:pPr>
      <w:r>
        <w:lastRenderedPageBreak/>
        <w:t>5.</w:t>
      </w:r>
      <w:r>
        <w:tab/>
        <w:t>El Estado tiene la capacidad para poner su poder de gasto al servicio de una política de asistencia social, en el ejercicio soberano de la función legislativa presupuestaria, sin perjuicio de que corresponda a la Comunidad Autónoma la competencia exclusiva en materia de asistencia social (STC 13/1992) [FJ 5].</w:t>
      </w:r>
    </w:p>
    <w:p w:rsidR="0026452D" w:rsidRDefault="0026452D" w:rsidP="0026452D">
      <w:pPr>
        <w:pStyle w:val="Extracto"/>
      </w:pPr>
    </w:p>
    <w:p w:rsidR="0026452D" w:rsidRDefault="0026452D" w:rsidP="0026452D">
      <w:pPr>
        <w:pStyle w:val="Extracto"/>
      </w:pPr>
      <w:r>
        <w:t>6.</w:t>
      </w:r>
      <w:r>
        <w:tab/>
        <w:t>Atendiendo a las pautas de algunos instrumentos internacionales, como la Carta social europea, la asistencia social, en sentido abstracto, abarca a una técnica de protección situada extramuros del sistema de la Seguridad Social, con caracteres propios, tratándose de un mecanismo protector de situaciones de necesidad específicas, sentidas por grupos de población a los que no alcanza el sistema de Seguridad Social y que opera mediante técnicas distintas de las propias de ésta (STC 36/2012) [FJ 4].</w:t>
      </w:r>
    </w:p>
    <w:p w:rsidR="0026452D" w:rsidRDefault="0026452D" w:rsidP="0026452D">
      <w:pPr>
        <w:pStyle w:val="Extracto"/>
      </w:pPr>
    </w:p>
    <w:p w:rsidR="0026452D" w:rsidRDefault="0026452D" w:rsidP="0026452D">
      <w:pPr>
        <w:pStyle w:val="Extracto"/>
      </w:pPr>
      <w:r>
        <w:t>7.</w:t>
      </w:r>
      <w:r>
        <w:tab/>
        <w:t>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(STC 138/2009) [FJ 3].</w:t>
      </w:r>
    </w:p>
    <w:p w:rsidR="0026452D" w:rsidRDefault="0026452D" w:rsidP="0026452D">
      <w:pPr>
        <w:pStyle w:val="Extracto"/>
      </w:pPr>
    </w:p>
    <w:p w:rsidR="0026452D" w:rsidRDefault="0026452D" w:rsidP="0026452D">
      <w:pPr>
        <w:pStyle w:val="Extracto"/>
      </w:pPr>
      <w:r>
        <w:t>8.</w:t>
      </w:r>
      <w:r>
        <w:tab/>
        <w:t>El enunciado de la competencia autonómica como exclusiva no enerva las diferentes competencias del Estado que puedan estar implicadas, sea cuando éstas concurran con las autonómicas sobre el mismo espacio físico o sea sobre el mismo objeto jurídico, no siendo precisa una expresa salvaguarda de las competencias constitucionalmente reservadas al Estado por el art. 149.1 CE, puesto que constituyen límites infranqueables a los enunciados estatutarios (STC 31/2010) [FJ 5].</w:t>
      </w:r>
    </w:p>
    <w:p w:rsidR="0026452D" w:rsidRDefault="0026452D" w:rsidP="0026452D">
      <w:pPr>
        <w:pStyle w:val="Extracto"/>
      </w:pPr>
    </w:p>
    <w:p w:rsidR="0026452D" w:rsidRDefault="0026452D" w:rsidP="0026452D">
      <w:pPr>
        <w:pStyle w:val="Extracto"/>
      </w:pPr>
      <w:r>
        <w:t>9.</w:t>
      </w:r>
      <w:r>
        <w:tab/>
        <w:t xml:space="preserve">La competencia estatal, </w:t>
      </w:r>
      <w:r w:rsidRPr="0026452D">
        <w:rPr>
          <w:i/>
        </w:rPr>
        <w:t>ex</w:t>
      </w:r>
      <w:r>
        <w:t xml:space="preserve"> art. 149.1.1 CE, no puede operar como una especie de título horizontal, capaz de introducirse en cualquier materia o sector del ordenamiento, pues el legislador estatal no puede establecer el régimen jurídico completo de la materia, regulación acabada que corresponde al poder público que corresponda según el sistema constitucional de distribución de competencias (SSTC 61/1997, 177/2012) [FJ 5].</w:t>
      </w:r>
    </w:p>
    <w:p w:rsidR="0026452D" w:rsidRDefault="0026452D" w:rsidP="0026452D">
      <w:pPr>
        <w:pStyle w:val="Extracto"/>
      </w:pPr>
    </w:p>
    <w:p w:rsidR="0026452D" w:rsidRDefault="0026452D" w:rsidP="0026452D">
      <w:pPr>
        <w:pStyle w:val="Extracto"/>
      </w:pPr>
      <w:r>
        <w:t>10.</w:t>
      </w:r>
      <w:r>
        <w:tab/>
        <w:t>Doctrina sobre la pervivencia del objeto del conflicto positivo de competencia pese a la modificación o derogación de la norma (SSTC 128/1999, 99/2012) [FJ 2].</w:t>
      </w:r>
    </w:p>
    <w:p w:rsidR="0026452D" w:rsidRDefault="0026452D" w:rsidP="0026452D">
      <w:pPr>
        <w:pStyle w:val="Extracto"/>
      </w:pPr>
    </w:p>
    <w:p w:rsidR="0026452D" w:rsidRDefault="0026452D" w:rsidP="0026452D">
      <w:pPr>
        <w:pStyle w:val="Extracto"/>
      </w:pPr>
      <w:r>
        <w:t>11.</w:t>
      </w:r>
      <w:r>
        <w:tab/>
        <w:t>Procede estimarse satisfecha la pretensión del Gobierno de la Generalitat de Cataluña mediante la declaración de titularidad de la competencia controvertida al haber agotado la norma sus efectos y una eventual declaración de nulidad podría afectar a situaciones jurídicas consolidadas (SSTC 75/1989, 186/1999) [FJ 8].</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lastRenderedPageBreak/>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7625-2006 promovido por la Letrada de la Generalitat de Cataluña, en representación de su Gobierno, contra la Orden TAS/892/2006, de 23 de marzo, por la que se establecen las bases reguladoras y se convoca la concesión de subvenciones para la realización de programas de cooperación y voluntariado sociales con cargo a la asignación tributaria del impuesto sobre la renta de las personas físicas. Ha intervenido y formulado alegaciones el Abogado del Estado en la representación que legalmente ostenta. Ha sido Ponente el Presidente don Pascual Sala Sánchez,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con fecha 19 de julio de 2006 la Letrada de la Generalitat de Cataluña, en representación de su Gobierno, formalizó ante el Tribunal conflicto positivo de competencia contra la Orden TAS/892/2006, de 23 de marzo, por la que se establecen las bases reguladoras y se convoca la concesión de subvenciones para la realización de programas de cooperación y voluntariado sociales con cargo a la asignación tributaria del impuesto sobre la renta de las personas físicas. Los términos del conflicto, según resulta del escrito de interposición y de la documentación adjunta, se exponen a continuación:</w:t>
      </w:r>
    </w:p>
    <w:p w:rsidR="0026452D" w:rsidRDefault="0026452D" w:rsidP="0026452D">
      <w:pPr>
        <w:pStyle w:val="TextoNormal"/>
      </w:pPr>
    </w:p>
    <w:p w:rsidR="0026452D" w:rsidRDefault="0026452D" w:rsidP="0026452D">
      <w:pPr>
        <w:pStyle w:val="TextoNormal"/>
      </w:pPr>
      <w:r>
        <w:t>a) Comienza la representación de la Generalitat aludiendo al requerimiento de incompetencia que el Consejo Ejecutivo de la Generalitat dirigió al Gobierno de la Nación en relación con la orden impugnada en el que se solicitaba su derogación por invasión de la competencia exclusiva autonómica en materia de asistencia social. Requerimiento que fue rechazado.</w:t>
      </w:r>
    </w:p>
    <w:p w:rsidR="0026452D" w:rsidRDefault="0026452D" w:rsidP="0026452D">
      <w:pPr>
        <w:pStyle w:val="TextoNormal"/>
      </w:pPr>
    </w:p>
    <w:p w:rsidR="0026452D" w:rsidRDefault="0026452D" w:rsidP="0026452D">
      <w:pPr>
        <w:pStyle w:val="TextoNormal"/>
      </w:pPr>
      <w:r>
        <w:t>A continuación, prosigue el escrito señalando que recientemente su Gobierno ha planteado otros tres conflictos positivos de competencias en materia de subvenciones para fines de asistencia social, conflictos positivos de competencias frente a la Orden TAS/893/2005, que se sigue ante el Tribunal Constitucional con el núm. 5250-2005; frente a la Orden TAS/1984/2005, que se sigue con el núm. 7040-2005; y frente a la Orden TAS 1948/2005, que pende ante el Tribunal con el núm. 1908-2006, cuyas argumentaciones resultarían extrapolables a la presente controversia.</w:t>
      </w:r>
    </w:p>
    <w:p w:rsidR="0026452D" w:rsidRDefault="0026452D" w:rsidP="0026452D">
      <w:pPr>
        <w:pStyle w:val="TextoNormal"/>
      </w:pPr>
    </w:p>
    <w:p w:rsidR="0026452D" w:rsidRDefault="0026452D" w:rsidP="0026452D">
      <w:pPr>
        <w:pStyle w:val="TextoNormal"/>
      </w:pPr>
      <w:r>
        <w:t>De acuerdo con el escrito de la representante de la Generalitat, la Orden TAS/892/2006, ahora impugnada, omite exigir el requisito de la dimensión estatal de los programas a subvencionar y, también, permite obviar el requisito del carácter estatal del ámbito de actuación de las entidades solicitantes de las ayudas, requisitos precisados por la jurisprudencia del Tribunal Constitucional para considerar legítima la gestión centralizada de las ayudas en materia de asistencia social.</w:t>
      </w:r>
    </w:p>
    <w:p w:rsidR="0026452D" w:rsidRDefault="0026452D" w:rsidP="0026452D">
      <w:pPr>
        <w:pStyle w:val="TextoNormal"/>
      </w:pPr>
    </w:p>
    <w:p w:rsidR="0026452D" w:rsidRDefault="0026452D" w:rsidP="0026452D">
      <w:pPr>
        <w:pStyle w:val="TextoNormal"/>
      </w:pPr>
      <w:r>
        <w:t>b) Señalado lo anterior, examina el escrito de la representante de la Generalitat la jurisprudencia del Tribunal Constitucional en materia de asistencia social y, en concreto, la jurisprudencia sobre la actividad de fomento en dicha materia competencial.</w:t>
      </w:r>
    </w:p>
    <w:p w:rsidR="0026452D" w:rsidRDefault="0026452D" w:rsidP="0026452D">
      <w:pPr>
        <w:pStyle w:val="TextoNormal"/>
      </w:pPr>
    </w:p>
    <w:p w:rsidR="0026452D" w:rsidRDefault="0026452D" w:rsidP="0026452D">
      <w:pPr>
        <w:pStyle w:val="TextoNormal"/>
      </w:pPr>
      <w:r>
        <w:t>Se destaca que las Comunidades Autónomas han asumido competencias en materia de asistencia social, si bien, al tiempo, se recuerda que el Tribunal Constitucional habría reconocido la posibilidad de que el Estado intervenga en aquella bajo determinadas condiciones. Así, se refiere el escrito de la representante de la Generalitat a la STC 76/1986, de 9 de junio, o a la STC 146/1986, de 25 de noviembre, en las que, tras afirmar que la “asistencia social” es competencia exclusiva de la Comunidad Autónoma, se estableció que no obstante, el Estado, en la medida que existan problemas sociales peculiares que requieran y exijan un planteamiento global, puede intervenir al respecto, también mediante medidas de fomento, pero respetando las competencias propias de la Comunidad Autónoma. Distingue el recurrente estas medidas de fomento de aquellas otras como las pensiones asistenciales que son igualmente competencias del Estado.</w:t>
      </w:r>
    </w:p>
    <w:p w:rsidR="0026452D" w:rsidRDefault="0026452D" w:rsidP="0026452D">
      <w:pPr>
        <w:pStyle w:val="TextoNormal"/>
      </w:pPr>
    </w:p>
    <w:p w:rsidR="0026452D" w:rsidRDefault="0026452D" w:rsidP="0026452D">
      <w:pPr>
        <w:pStyle w:val="TextoNormal"/>
      </w:pPr>
      <w:r>
        <w:t>Igualmente se hace referencia a la doctrina sentada en las SSTC 13/1992, de 6 de febrero, y 239/2002, de 11 de diciembre, que permitiría al Estado actuar en materia de asistencia social mediante medidas de fomento, pero siendo la intervención estatal en la gestión directa de la concesión de ayudas sólo legítima en la medida en que los programas correspondientes no puedan territorializarse en su gestión, esto es, cuando el ámbito estatal de su naturaleza y efectos hagan imposible la consecución del objetivo previsto sin esa gestión centralizada.</w:t>
      </w:r>
    </w:p>
    <w:p w:rsidR="0026452D" w:rsidRDefault="0026452D" w:rsidP="0026452D">
      <w:pPr>
        <w:pStyle w:val="TextoNormal"/>
      </w:pPr>
    </w:p>
    <w:p w:rsidR="0026452D" w:rsidRDefault="0026452D" w:rsidP="0026452D">
      <w:pPr>
        <w:pStyle w:val="TextoNormal"/>
      </w:pPr>
      <w:r>
        <w:t>c) Una vez examinada la doctrina constitucional en materia de asistencia social, procede la representante del Gobierno de la Generalitat a analizar el amparo constitucional que el Gobierno de la nación pretende para la Orden TAS/892/2006.</w:t>
      </w:r>
    </w:p>
    <w:p w:rsidR="0026452D" w:rsidRDefault="0026452D" w:rsidP="0026452D">
      <w:pPr>
        <w:pStyle w:val="TextoNormal"/>
      </w:pPr>
    </w:p>
    <w:p w:rsidR="0026452D" w:rsidRDefault="0026452D" w:rsidP="0026452D">
      <w:pPr>
        <w:pStyle w:val="TextoNormal"/>
      </w:pPr>
      <w:r>
        <w:t>Para ello, examina, en primer lugar, la propia Orden TAS/892/2006; y, en segundo lugar, los argumentos aducidos por el Gobierno de la Nación en el acuerdo del Consejo de Ministros de 16 de junio de 2006 por el que rechaza el requerimiento de incompetencia planteado por el Gobierno de la Generalitat.</w:t>
      </w:r>
    </w:p>
    <w:p w:rsidR="0026452D" w:rsidRDefault="0026452D" w:rsidP="0026452D">
      <w:pPr>
        <w:pStyle w:val="TextoNormal"/>
      </w:pPr>
    </w:p>
    <w:p w:rsidR="0026452D" w:rsidRDefault="0026452D" w:rsidP="0026452D">
      <w:pPr>
        <w:pStyle w:val="TextoNormal"/>
      </w:pPr>
      <w:r>
        <w:t>El preámbulo de la Orden TAS/892/2006 hace referencia al Decreto 825/1988 por el que se regulan los fines de interés social de la asignación tributaria del impuesto sobre la renta de las personas físicas y al Real Decreto 195/1989, de 17 de febrero, por el que se establecen los requisitos y procedimiento para solicitar ayudas para fines de interés social, derivadas de la asignación tributaria del impuesto sobre la renta de las personas físicas, así como las normas posteriores que los han modificado. Normativa que ha sido interpretada por el Tribunal Constitucional como legitimadora de la gestión centralizada de los fondos correspondientes a la asignación tributaria del impuesto sobre la renta de las personas físicas (IRPF), fundamentando dicha legitimidad en la dimensión nacional de las instituciones o entidades receptoras y en el ámbito estatal de los programas a desarrollar por las mismas (STC 13/1992).</w:t>
      </w:r>
    </w:p>
    <w:p w:rsidR="0026452D" w:rsidRDefault="0026452D" w:rsidP="0026452D">
      <w:pPr>
        <w:pStyle w:val="TextoNormal"/>
      </w:pPr>
    </w:p>
    <w:p w:rsidR="0026452D" w:rsidRDefault="0026452D" w:rsidP="0026452D">
      <w:pPr>
        <w:pStyle w:val="TextoNormal"/>
      </w:pPr>
      <w:r>
        <w:t xml:space="preserve">Señala el escrito de la representante de la Generalitat que los reales decretos referidos fueron modificados por el Real Decreto 223/1991 en el sentido de suprimir la exigencia de la dimensión nacional de las instituciones o entidades receptoras, destacando, no obstante, </w:t>
      </w:r>
      <w:r>
        <w:lastRenderedPageBreak/>
        <w:t>que la jurisprudencia constitucional exige la dimensión nacional de los programas a los que se destinan las subvenciones.</w:t>
      </w:r>
    </w:p>
    <w:p w:rsidR="0026452D" w:rsidRDefault="0026452D" w:rsidP="0026452D">
      <w:pPr>
        <w:pStyle w:val="TextoNormal"/>
      </w:pPr>
    </w:p>
    <w:p w:rsidR="0026452D" w:rsidRDefault="0026452D" w:rsidP="0026452D">
      <w:pPr>
        <w:pStyle w:val="TextoNormal"/>
      </w:pPr>
      <w:r>
        <w:t>Sin embargo, de la lectura de los diversos preceptos de la Orden TAS/892/2006 se extrae, de acuerdo con el escrito de la representante de la Generalitat, que la misma centraliza la gestión de las subvenciones, sin exigir la concurrencia de ninguno de los requisitos establecidos por la jurisprudencia constitucional para considerar constitucionalmente legítima tal centralización. Así, la Orden omite tanto el alcance nacional que, por su naturaleza, efectos y dimensión han de reunir los programas a desarrollar, como el ámbito nacional de actuación de las entidades y organizaciones solicitantes vulnerando así la distribución de competencias en materia de asistencia social.</w:t>
      </w:r>
    </w:p>
    <w:p w:rsidR="0026452D" w:rsidRDefault="0026452D" w:rsidP="0026452D">
      <w:pPr>
        <w:pStyle w:val="TextoNormal"/>
      </w:pPr>
    </w:p>
    <w:p w:rsidR="0026452D" w:rsidRDefault="0026452D" w:rsidP="0026452D">
      <w:pPr>
        <w:pStyle w:val="TextoNormal"/>
      </w:pPr>
      <w:r>
        <w:t>Por su parte, el acuerdo del Consejo de Ministros de 16 de junio de 2006 por el que rechaza el requerimiento de incompetencia de la Generalitat pretende encontrar amparo para la centralización de la gestión de las ayudas prevista en la Orden impugnada en el artículo 149.1.1 de la Constitución, afirmando que “la acción prestacional del Estado, especialmente en el ámbito asistencia social, ha de encaminarse a procurar alcanzar los objetivos de igualdad real y efectiva en el disfrute de derechos, y de solidaridad, de conformidad con lo dispuesto en los artículos 1.1; 9.2; 138.1 y 2; 139.1 y 156.1 de la Constitución”; concluyendo aquel acuerdo que es imprescindible realizar la gestión centralizada con el objeto de garantizar la igualdad de los posibles destinatarios en todo el territorio nacional.</w:t>
      </w:r>
    </w:p>
    <w:p w:rsidR="0026452D" w:rsidRDefault="0026452D" w:rsidP="0026452D">
      <w:pPr>
        <w:pStyle w:val="TextoNormal"/>
      </w:pPr>
    </w:p>
    <w:p w:rsidR="0026452D" w:rsidRDefault="0026452D" w:rsidP="0026452D">
      <w:pPr>
        <w:pStyle w:val="TextoNormal"/>
      </w:pPr>
      <w:r>
        <w:t>Para la representación de la Generalitat ninguna de las justificaciones aducidas en el acuerdo referido puede amparar la actuación estatal invasiva de las competencias de la Generalitat.</w:t>
      </w:r>
    </w:p>
    <w:p w:rsidR="0026452D" w:rsidRDefault="0026452D" w:rsidP="0026452D">
      <w:pPr>
        <w:pStyle w:val="TextoNormal"/>
      </w:pPr>
    </w:p>
    <w:p w:rsidR="0026452D" w:rsidRDefault="0026452D" w:rsidP="0026452D">
      <w:pPr>
        <w:pStyle w:val="TextoNormal"/>
      </w:pPr>
      <w:r>
        <w:t>Asimismo, se alega, que dicho acuerdo no da respuesta a la tacha de incumplimiento de la doctrina constitucional que el gobierno de la Generalitat puso de manifiesto en el escrito de requerimiento, pues el Estado pretende encontrar amparo para dicha actuación en la competencia recogida en el artículo 149.1.1, sin embargo, dicho título que ha dado cobertura a la concesión por el Estado de pensiones asistenciales, nunca ha sido invocado, alega la representación de la Generalitat, por el Tribunal Constitucional para amparar el establecimiento de líneas de subvención para programas de acción social, pues el art. 149.1.1 CE de acuerdo con la jurisprudencia del Tribunal “no puede operar como una especie de título horizontal” pues dicha cláusula se refiere a las posiciones jurídicas fundamentales (facultades elementales, límites esenciales, deberes fundamentales, prestaciones básicas, ciertas premisas o presupuestos previos), STC 61/1997, de 20 de marzo, FFJJ 7 y 8.</w:t>
      </w:r>
    </w:p>
    <w:p w:rsidR="0026452D" w:rsidRDefault="0026452D" w:rsidP="0026452D">
      <w:pPr>
        <w:pStyle w:val="TextoNormal"/>
      </w:pPr>
    </w:p>
    <w:p w:rsidR="0026452D" w:rsidRDefault="0026452D" w:rsidP="0026452D">
      <w:pPr>
        <w:pStyle w:val="TextoNormal"/>
      </w:pPr>
      <w:r>
        <w:t>Habida cuenta de la definición del objeto de las subvenciones impugnadas no nos hallaríamos ante un supuesto en el que se vean implicadas las facultades elementales, los límites esenciales, o las prestaciones básicas de un derecho fundamental. En consecuencia, de la propia doctrina constitucional, resultaría excluida la pretensión de amparar en el art. 149.1.1 CE la gestión centralizada de la concesión de subvenciones.</w:t>
      </w:r>
    </w:p>
    <w:p w:rsidR="0026452D" w:rsidRDefault="0026452D" w:rsidP="0026452D">
      <w:pPr>
        <w:pStyle w:val="TextoNormal"/>
      </w:pPr>
    </w:p>
    <w:p w:rsidR="0026452D" w:rsidRDefault="0026452D" w:rsidP="0026452D">
      <w:pPr>
        <w:pStyle w:val="TextoNormal"/>
      </w:pPr>
      <w:r>
        <w:t xml:space="preserve">Tal gestión únicamente sería legítima, reitera el escrito de la representación de la Generalitat, en el supuesto de concurrencia de la doble dimensión de los programas a subvencionar: tanto el ámbito estatal de sus objetivos, alcance y efectos; como el ámbito estatal de </w:t>
      </w:r>
      <w:r>
        <w:lastRenderedPageBreak/>
        <w:t>actuación de las organizaciones beneficiarias, sin que la simple autodefinición de un teórico ámbito de actuación estatal sea, en si mismo, definitivo.</w:t>
      </w:r>
    </w:p>
    <w:p w:rsidR="0026452D" w:rsidRDefault="0026452D" w:rsidP="0026452D">
      <w:pPr>
        <w:pStyle w:val="TextoNormal"/>
      </w:pPr>
    </w:p>
    <w:p w:rsidR="0026452D" w:rsidRDefault="0026452D" w:rsidP="0026452D">
      <w:pPr>
        <w:pStyle w:val="TextoNormal"/>
      </w:pPr>
      <w:r>
        <w:t>d) Prosigue el escrito de la representación de la Generalitat de Cataluña afirmando que en el ámbito de la asistencia social se excluyen en general actuaciones de ámbito demasiado extenso, pues estas son más eficaces en los ámbitos más próximos como son el autonómico y local por las propias características diferenciales de los colectivos concretos ubicados en lugares específicos del territorio. Lo que se ejemplifica con los programas explícitamente reseñados en la Orden TAS/892/2006.</w:t>
      </w:r>
    </w:p>
    <w:p w:rsidR="0026452D" w:rsidRDefault="0026452D" w:rsidP="0026452D">
      <w:pPr>
        <w:pStyle w:val="TextoNormal"/>
      </w:pPr>
    </w:p>
    <w:p w:rsidR="0026452D" w:rsidRDefault="0026452D" w:rsidP="0026452D">
      <w:pPr>
        <w:pStyle w:val="TextoNormal"/>
      </w:pPr>
      <w:r>
        <w:t>Para la representación de la Generalitat de Cataluña, en materia de asistencia social, sólo en supuestos de emergencia ante grandes catástrofes o con respecto a determinadas campañas de sensibilización, estudios, conferencias o congresos se podría justificar una actuación a nivel estatal.</w:t>
      </w:r>
    </w:p>
    <w:p w:rsidR="0026452D" w:rsidRDefault="0026452D" w:rsidP="0026452D">
      <w:pPr>
        <w:pStyle w:val="TextoNormal"/>
      </w:pPr>
    </w:p>
    <w:p w:rsidR="0026452D" w:rsidRDefault="0026452D" w:rsidP="0026452D">
      <w:pPr>
        <w:pStyle w:val="TextoNormal"/>
      </w:pPr>
      <w:r>
        <w:t>Reitera a continuación el escrito de planteamiento del conflicto que la Orden impugnada no exige ni que el ámbito de actuación de las entidades solicitantes sea necesariamente estatal ni que los programas tengan ámbito estatal pues de acuerdo con la misma pueden solicitar las ayudas “aquellas otras organizaciones o entidades que propongan programas que se han de ejecutar en sus respectivos ámbitos territoriales”. Así se insiste en los diversos anexos de la orden que posibilitan que los programas a subvencionar tengan un carácter infraestatal. Tales previsiones revelan la falta de exigencia de los dos requisitos precisados por la doctrina del Tribunal Constitucional, pues son potencialmente beneficiarias de la subvención aquellas entidades —ya sean de ámbito estatal, autonómico, provincial, comarcal o municipal— que presenten programas a desarrollar dentro del territorio que alcanza su propio ámbito territorial.</w:t>
      </w:r>
    </w:p>
    <w:p w:rsidR="0026452D" w:rsidRDefault="0026452D" w:rsidP="0026452D">
      <w:pPr>
        <w:pStyle w:val="TextoNormal"/>
      </w:pPr>
    </w:p>
    <w:p w:rsidR="0026452D" w:rsidRDefault="0026452D" w:rsidP="0026452D">
      <w:pPr>
        <w:pStyle w:val="TextoNormal"/>
      </w:pPr>
      <w:r>
        <w:t>Para fundamentar su argumentación la representación de la Generalitat de Cataluña detalla quienes fueron las entidades y los proyectos a los que se les otorgó en los años previos subvenciones en aplicación de la Orden TAS/347/2005 cuyo contenido es, en lo esencial, idéntico al de las bases reguladoras establecidas en la Orden TAS/892/2006 que ha motivado el presente conflicto de competencias. La enumeración que se realiza sería indicativa del hecho de que ni el ámbito de actuación de las entidades beneficiarias ni el ámbito de aplicación de los programas subvencionados era estatal. Habida cuenta de la identidad de contenidos entre las Órdenes TAS/347/2005 y TAS/892/2006 cabe presumir que el Estado también concederá en 2006 subvenciones a entidades y programas que no tengan ámbito estatal.</w:t>
      </w:r>
    </w:p>
    <w:p w:rsidR="0026452D" w:rsidRDefault="0026452D" w:rsidP="0026452D">
      <w:pPr>
        <w:pStyle w:val="TextoNormal"/>
      </w:pPr>
    </w:p>
    <w:p w:rsidR="0026452D" w:rsidRDefault="0026452D" w:rsidP="0026452D">
      <w:pPr>
        <w:pStyle w:val="TextoNormal"/>
      </w:pPr>
      <w:r>
        <w:t>Continúa el escrito de la representación de la Generalitat de Cataluña señalando que incluso el hecho de desarrollar la actividad subvencionada en el territorio de más de una Comunidad Autónoma no significa que automáticamente las competencias correspondan al Estado. El papel del Estado en materia de asistencia social debería agotarse al trazar prioridades en la Ley de presupuestos, sin embargo, los recursos deberán ser territorializados en la propia Ley de presupuestos o cuando antes se pueda, pues aquellos han de ser canalizados a través de las Comunidades Autónomas que son las que ostentan la competencia material en exclusiva.</w:t>
      </w:r>
    </w:p>
    <w:p w:rsidR="0026452D" w:rsidRDefault="0026452D" w:rsidP="0026452D">
      <w:pPr>
        <w:pStyle w:val="TextoNormal"/>
      </w:pPr>
    </w:p>
    <w:p w:rsidR="0026452D" w:rsidRDefault="0026452D" w:rsidP="0026452D">
      <w:pPr>
        <w:pStyle w:val="TextoNormal"/>
      </w:pPr>
      <w:r>
        <w:lastRenderedPageBreak/>
        <w:t>e) A continuación, trata el escrito de planteamiento del conflicto de rebatir los argumentos aducidos por el Gobierno de la Nación en el acuerdo del Consejo de Ministros de 16 de junio de 2006 por el que rechaza el requerimiento de incompetencia. Así rechaza que la gestión autonómica de los fondos pueda quebrantar la estabilidad presupuestaria, igualmente rechaza que la gestión autonómica no se pueda someter a los criterios constitucionales de eficiencia y economía en la programación y ejecución del gasto público (art. 31.2 CE) que son principios que vinculan la actuación de todos los poderes públicos. Asimismo, también las administraciones autonómicas vienen vinculadas, en su respectivo ámbito territorial y competencial, a promover las condiciones para que la igualdad de los ciudadanos sea efectiva (art. 9.2 CE). Esta promoción de condiciones será más eficaz si lo hacen las Administraciones autonómicas que en materia de asistencia social tienen un mayor conocimiento de las cuales son las situaciones de necesidad. Prueba de ello lo constituiría que la propia orden controvertida prevé el requerimiento de información a las comunidades autónomas en las que se han de desarrollar las actividades asistenciales. En esta línea considera el escrito de la representación de la Generalitat que no es de recibo que se excluya a las Comunidades Autónomas de la gestión que les compete de los fondos que el Estado destina a finalidades sociales pero luego se reclame su colaboración.</w:t>
      </w:r>
    </w:p>
    <w:p w:rsidR="0026452D" w:rsidRDefault="0026452D" w:rsidP="0026452D">
      <w:pPr>
        <w:pStyle w:val="TextoNormal"/>
      </w:pPr>
    </w:p>
    <w:p w:rsidR="0026452D" w:rsidRDefault="0026452D" w:rsidP="0026452D">
      <w:pPr>
        <w:pStyle w:val="TextoNormal"/>
      </w:pPr>
      <w:r>
        <w:t>Rechaza, asimismo, la representación de la Generalitat de Cataluña la afirmación contenida en el acuerdo del Consejo de Ministros de 16 de junio de 2006 de que la convocatoria que efectúa la Orden TAS/892/2006 se hubiese elaborado en la conferencia sectorial de asuntos sociales, pues denuncia que el Gobierno no ha cumplido con el compromiso asumido en su día que se traduce en que en el seno de la conferencia sectorial se han de determinar los programas de ámbito efectivamente estatal que han de ser objeto de subvención y gestión por el Estado. Sin que ello comporte que todos los fondos con cargo a la asignación tributaria del IRPF hayan de destinarse a las referidas subvenciones pues habrán de territorializarse para que las Comunidades Autónomas puedan gestionarlos.</w:t>
      </w:r>
    </w:p>
    <w:p w:rsidR="0026452D" w:rsidRDefault="0026452D" w:rsidP="0026452D">
      <w:pPr>
        <w:pStyle w:val="TextoNormal"/>
      </w:pPr>
    </w:p>
    <w:p w:rsidR="0026452D" w:rsidRDefault="0026452D" w:rsidP="0026452D">
      <w:pPr>
        <w:pStyle w:val="TextoNormal"/>
      </w:pPr>
      <w:r>
        <w:t>Prosigue su escrito la representación de la Generalitat de Cataluña recordando que la Comunidad Autónoma en ejercicio de su competencia exclusiva en materia de asistencia social ha establecido un sistema de servicios sociales de carácter integral, fruto del ejercicio de la competencia exclusiva que ostenta en materia de asistencia social, y considera que el Estado no puede interferir en el normal funcionamiento y evolución de dicho sistema ni tampoco establecer programas de ayuda para complementar la actuación asistencial de la comunidad autónoma de Cataluña. El establecimiento de subvenciones, además de una injerencia competencial, supone duplicar actuaciones vulnerando el orden de distribución de competencias y vulnerando los principios de descentralización y eficacia administrativa enunciados en el art. 103.1 CE.</w:t>
      </w:r>
    </w:p>
    <w:p w:rsidR="0026452D" w:rsidRDefault="0026452D" w:rsidP="0026452D">
      <w:pPr>
        <w:pStyle w:val="TextoNormal"/>
      </w:pPr>
    </w:p>
    <w:p w:rsidR="0026452D" w:rsidRDefault="0026452D" w:rsidP="0026452D">
      <w:pPr>
        <w:pStyle w:val="TextoNormal"/>
      </w:pPr>
      <w:r>
        <w:t xml:space="preserve">f) Finaliza el escrito de la representación de la Generalitat de Cataluña afirmando que el nuevo Estatuto de Cataluña ha precisado la distribución de competencias en materia de asistencia social en la línea marcada por la jurisprudencia del Tribunal Constitucional, pues en su art. 166 otorga a la Generalitat competencia exclusiva en relación con las prestaciones económicas asistenciales y los planes y programas específicos dirigidos a personas y colectivos en situación de necesidad social; en materia de voluntariado, en relación con los menores; y sobre la promoción de las familias y de la infancia. Asimismo el artículo 153 del nuevo Estatuto prevé la competencia exclusiva de la Generalitat en materia de políticas de </w:t>
      </w:r>
      <w:r>
        <w:lastRenderedPageBreak/>
        <w:t>género, respetando lo que el Estado establece en ejercicio de la competencia recogida en el art. 149.1.1 CE.</w:t>
      </w:r>
    </w:p>
    <w:p w:rsidR="0026452D" w:rsidRDefault="0026452D" w:rsidP="0026452D">
      <w:pPr>
        <w:pStyle w:val="TextoNormal"/>
      </w:pPr>
    </w:p>
    <w:p w:rsidR="0026452D" w:rsidRDefault="0026452D" w:rsidP="0026452D">
      <w:pPr>
        <w:pStyle w:val="TextoNormal"/>
      </w:pPr>
      <w:r>
        <w:t>Recuerda asimismo el escrito de planteamiento del conflicto que el artículo 114.2 del nuevo Estatuto establece que corresponde a la Generalitat en las materias de competencia exclusiva, la especificación de los objetivos a los que se destinan las subvenciones estatales y europeas territorializables, así como las condiciones de otorgamiento y la gestión, incluyendo la tramitación y la concesión.</w:t>
      </w:r>
    </w:p>
    <w:p w:rsidR="0026452D" w:rsidRDefault="0026452D" w:rsidP="0026452D">
      <w:pPr>
        <w:pStyle w:val="TextoNormal"/>
      </w:pPr>
    </w:p>
    <w:p w:rsidR="0026452D" w:rsidRDefault="0026452D" w:rsidP="0026452D">
      <w:pPr>
        <w:pStyle w:val="TextoNormal"/>
      </w:pPr>
      <w:r>
        <w:t>Tras reiterar conclusivamente sus principales argumentos finaliza el escrito solicitando que se declare que la competencia controvertida corresponde a la Generalitat y que debe procederse a la distribución territorial de la correspondiente consignación presupuestaria, transfiriendo las cuantías resultantes a fin de que sean las Comunidades Autónomas las que procedan a la gestión centralizada de las ayudas.</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12 de septiembre de 2006 el Tribunal Constitucional acordó admitir a trámite el presente conflicto; dar traslado de la demanda y documentos presentados al Gobierno de la Nación, al objeto de presentar alegaciones en el plazo de veinte días; comunicar la incoación del conflicto a la Sala de lo Contencioso-Administrativo de la Audiencia Nacional, por si ante la misma estuviera impugnado o se impugnare la Orden TAS/892/2006, de 23 de marzo, por la que se establecen las bases reguladoras y se convoca la concesión de subvenciones para la realización de programas de cooperación y voluntariado sociales con cargo a la asignación tributaria del impuesto sobre la renta de las personas físicas, en cuyo caso deberá suspenderse el curso del proceso hasta la decisión del conflicto, según dispone el art. 61.2 de la Ley Orgánica del Tribunal Constitucional (LOTC); y publicar la incoación del conflicto en el “Boletín Oficial del Estado” y en el “Diari Oficial de la Generalitat de Cataluña”.</w:t>
      </w:r>
    </w:p>
    <w:p w:rsidR="0026452D" w:rsidRDefault="0026452D" w:rsidP="0026452D">
      <w:pPr>
        <w:pStyle w:val="TextoNormal"/>
      </w:pPr>
    </w:p>
    <w:p w:rsidR="0026452D" w:rsidRDefault="0026452D" w:rsidP="0026452D">
      <w:pPr>
        <w:pStyle w:val="TextoNormal"/>
      </w:pPr>
      <w:r w:rsidRPr="0026452D">
        <w:rPr>
          <w:rStyle w:val="NumeroAFNegritaCaracter"/>
        </w:rPr>
        <w:t>3</w:t>
      </w:r>
      <w:r>
        <w:t>. Por escrito registrado ante este Tribunal el 29 de septiembre de 2006, la Abogacía del Estado se personó en el proceso solicitando una prórroga del plazo concedido para formular alegaciones, prórroga que le fue concedida mediante providencia de la Sección Tercera de 4 de octubre de 2006. El escrito de alegaciones de la Abogacía del Estado se registró en este Tribunal el día 19 de octubre de 2006. En dicho escrito se opone a la demanda por las razones que se recogen a continuación.</w:t>
      </w:r>
    </w:p>
    <w:p w:rsidR="0026452D" w:rsidRDefault="0026452D" w:rsidP="0026452D">
      <w:pPr>
        <w:pStyle w:val="TextoNormal"/>
      </w:pPr>
    </w:p>
    <w:p w:rsidR="0026452D" w:rsidRDefault="0026452D" w:rsidP="0026452D">
      <w:pPr>
        <w:pStyle w:val="TextoNormal"/>
      </w:pPr>
      <w:r w:rsidRPr="0026452D">
        <w:rPr>
          <w:rStyle w:val="NumeroAFNegritaCaracter"/>
        </w:rPr>
        <w:t>4</w:t>
      </w:r>
      <w:r>
        <w:t>. Comienza la Abogacía del Estado concretando el objeto y alcance del conflicto positivo de competencia planteado por la Generalitat de Cataluña contra la Orden TAS/892/2006, de 23 de marzo. Tras sintetizar los argumentos de aquella recuerda que la exclusividad competencial con que las Comunidades Autónomas han asumido estatutariamente competencias en materia de asistencia social debe ser matizada pues la jurisprudencia del Tribunal Constitucional si bien reconoce en esta materia dicho carácter exclusivo admite al mismo tiempo la posibilidad de intervención del Estado.</w:t>
      </w:r>
    </w:p>
    <w:p w:rsidR="0026452D" w:rsidRDefault="0026452D" w:rsidP="0026452D">
      <w:pPr>
        <w:pStyle w:val="TextoNormal"/>
      </w:pPr>
    </w:p>
    <w:p w:rsidR="0026452D" w:rsidRDefault="0026452D" w:rsidP="0026452D">
      <w:pPr>
        <w:pStyle w:val="TextoNormal"/>
      </w:pPr>
      <w:r>
        <w:t xml:space="preserve">a) Reproduce el escrito de la Abogacía del Estado la jurisprudencia del Tribunal Constitucional en materia de asistencia social. Refiriéndose tanto a la posibilidad de que el Estado ostente competencia sobre la dimensión nacional o estatal de la asistencia social, por estar referidas esas actuaciones al país en su conjunto, razón por la que exigen un planteamiento </w:t>
      </w:r>
      <w:r>
        <w:lastRenderedPageBreak/>
        <w:t>global de ámbito estatal; como a la posible gestión centralizada en tal materia que se habría admitido excepcional y justificadamente.</w:t>
      </w:r>
    </w:p>
    <w:p w:rsidR="0026452D" w:rsidRDefault="0026452D" w:rsidP="0026452D">
      <w:pPr>
        <w:pStyle w:val="TextoNormal"/>
      </w:pPr>
    </w:p>
    <w:p w:rsidR="0026452D" w:rsidRDefault="0026452D" w:rsidP="0026452D">
      <w:pPr>
        <w:pStyle w:val="TextoNormal"/>
      </w:pPr>
      <w:r>
        <w:t>A continuación considera la Abogacía del Estado que las actuaciones contempladas en la Orden TAS/892/2006 configuran un claro supuesto de potestad subvencional del Estado y procede en primer lugar a determinar el título competencial que ampararía dicha intervención estatal.</w:t>
      </w:r>
    </w:p>
    <w:p w:rsidR="0026452D" w:rsidRDefault="0026452D" w:rsidP="0026452D">
      <w:pPr>
        <w:pStyle w:val="TextoNormal"/>
      </w:pPr>
    </w:p>
    <w:p w:rsidR="0026452D" w:rsidRDefault="0026452D" w:rsidP="0026452D">
      <w:pPr>
        <w:pStyle w:val="TextoNormal"/>
      </w:pPr>
      <w:r>
        <w:t xml:space="preserve">Tras referirse a los arts. 9.2, 138 y 142 CE como preceptos que habilitan al Estado para emprender acciones como las contenidas en la orden objeto de conflicto, considera la Abogacía del Estado que, como con toda claridad afirma la STC 13/1992, FJ 7, las subvenciones estatales pueden tender a asegurar las condiciones básicas de igualdad cuya regulación reserva al Estado el art. 149.1.1 CE, poniéndose de este modo el </w:t>
      </w:r>
      <w:r w:rsidRPr="0026452D">
        <w:rPr>
          <w:i/>
        </w:rPr>
        <w:t>spending power</w:t>
      </w:r>
      <w:r>
        <w:t xml:space="preserve"> estatal al servicio de una política de equilibrio social en ejecución de mandatos constitucionales (arts. 1.1 o 9.2 CE) que, aunque obligan a todos los poderes públicos, corresponde prioritariamente realizar a quien mayor capacidad de gasto tiene.</w:t>
      </w:r>
    </w:p>
    <w:p w:rsidR="0026452D" w:rsidRDefault="0026452D" w:rsidP="0026452D">
      <w:pPr>
        <w:pStyle w:val="TextoNormal"/>
      </w:pPr>
    </w:p>
    <w:p w:rsidR="0026452D" w:rsidRDefault="0026452D" w:rsidP="0026452D">
      <w:pPr>
        <w:pStyle w:val="TextoNormal"/>
      </w:pPr>
      <w:r>
        <w:t>Recuerda el escrito de la Abogacía del Estado la contestación del Gobierno al previo requerimiento de incompetencia autonómico donde se afirmó que el Estado tiene título competencial para gestionar el programa del 0,52 del IRPF con base en el art. 149.1.1 CE. Y se afirmó además que la igualdad efectiva en el ejercicio de los derechos sociales requiere el empleo de criterios de eficiencia y economía en la programación y ejecución del gasto público (art. 31.2 CE), criterios que llevaban al Gobierno a afirmar que la Administración General del Estado se encontraba en mejor disposición para conseguir la igualdad en el ámbito de las políticas sociales.</w:t>
      </w:r>
    </w:p>
    <w:p w:rsidR="0026452D" w:rsidRDefault="0026452D" w:rsidP="0026452D">
      <w:pPr>
        <w:pStyle w:val="TextoNormal"/>
      </w:pPr>
    </w:p>
    <w:p w:rsidR="0026452D" w:rsidRDefault="0026452D" w:rsidP="0026452D">
      <w:pPr>
        <w:pStyle w:val="TextoNormal"/>
      </w:pPr>
      <w:r>
        <w:t>b) Una vez realizado el encuadre competencial procede el escrito de la Abogacía del Estado a justificar la gestión centralizada de las subvenciones objeto de la convocatoria impugnada. Para ello encaja las mismas en el cuarto supuesto del fundamento jurídico 8 de la STC 13/1992 que permite como excepción la gestión centralizada estatal cuando el Estado ostente algún título competencial, genérico o específico, sobre la materia y tal gestión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de la medida de fomento de que se trate.</w:t>
      </w:r>
    </w:p>
    <w:p w:rsidR="0026452D" w:rsidRDefault="0026452D" w:rsidP="0026452D">
      <w:pPr>
        <w:pStyle w:val="TextoNormal"/>
      </w:pPr>
    </w:p>
    <w:p w:rsidR="0026452D" w:rsidRDefault="0026452D" w:rsidP="0026452D">
      <w:pPr>
        <w:pStyle w:val="TextoNormal"/>
      </w:pPr>
      <w:r>
        <w:t>La Orden impugnada encajaría, según el escrito de la Abogacía del Estado, en este supuesto, en tanto los problemas que trata de resolver con los programas cuya realización se pretende financiar exigen una política social que sólo tiene sentido referida al país en su conjunto, pues se persigue garantizar una cierta igualdad en su obtención y disfrute por los beneficiarios últimos en todo el territorio nacional. La percepción equitativa de las ayudas exige su gestión centralizada, incluyendo su convocatoria, tramitación, resolución y pago. Como fundamento adicional de su afirmación recuerda la Abogacía del Estado que la STC 13/1992, en su FJ 13 apartado K), a), apreció la concurrencia de los requisitos para justificar la gestión centralizada de las subvenciones destinadas a la realización de programas de cooperación y voluntariado sociales con cargo a la asignación tributaria del IRPF.</w:t>
      </w:r>
    </w:p>
    <w:p w:rsidR="0026452D" w:rsidRDefault="0026452D" w:rsidP="0026452D">
      <w:pPr>
        <w:pStyle w:val="TextoNormal"/>
      </w:pPr>
    </w:p>
    <w:p w:rsidR="0026452D" w:rsidRDefault="0026452D" w:rsidP="0026452D">
      <w:pPr>
        <w:pStyle w:val="TextoNormal"/>
      </w:pPr>
      <w:r>
        <w:t>A continuación examina el contenido de la orden impugnada y justifica igualmente la centralización de la gestión en el hecho de que las subvenciones se refieren a programas de cooperación y voluntariado sociales enmarcados dentro de planes nacionales, en lo que se justifica la actuación estatal en la necesidad de garantizar cierta igualdad en la obtención y el disfrute de las ayudas por sus receptores finales.</w:t>
      </w:r>
    </w:p>
    <w:p w:rsidR="0026452D" w:rsidRDefault="0026452D" w:rsidP="0026452D">
      <w:pPr>
        <w:pStyle w:val="TextoNormal"/>
      </w:pPr>
    </w:p>
    <w:p w:rsidR="0026452D" w:rsidRDefault="0026452D" w:rsidP="0026452D">
      <w:pPr>
        <w:pStyle w:val="TextoNormal"/>
      </w:pPr>
      <w:r>
        <w:t>Rechaza el escrito de la Abogacía del Estado que la Orden objeto de conflicto suponga la infracción de la doctrina del Tribunal Constitucional que exigen el ámbito estatal de actuación de las entidades beneficiarias, pues si bien es verdad que la orden admite que concurran aquellas otras entidades que propongan proyectos de posible ejecución en sus respectivos ámbitos territoriales, esta posibilidad se admite únicamente cuando dichos proyectos guarden directa relación con programas definidos como de interés general en la convocatoria anual. De ello deriva que los programas a subvencionar entrañan una innegable incidencia estatal que supone que no queden debidamente cubiertos por las competencias autonómicas si se quiere realmente garantizar la igualdad en la percepción de las ayudas.</w:t>
      </w:r>
    </w:p>
    <w:p w:rsidR="0026452D" w:rsidRDefault="0026452D" w:rsidP="0026452D">
      <w:pPr>
        <w:pStyle w:val="TextoNormal"/>
      </w:pPr>
    </w:p>
    <w:p w:rsidR="0026452D" w:rsidRDefault="0026452D" w:rsidP="0026452D">
      <w:pPr>
        <w:pStyle w:val="TextoNormal"/>
      </w:pPr>
      <w:r>
        <w:t>Recalca a continuación el escrito de la Abogacía del Estado que la Orden TAS/892/2006 prevé a lo largo de su articulado la intervención de las Comunidades Autónomas en cuyos territorios se desarrollen las actividades subvencionadas en determinados trámites del procedimiento de concesión.</w:t>
      </w:r>
    </w:p>
    <w:p w:rsidR="0026452D" w:rsidRDefault="0026452D" w:rsidP="0026452D">
      <w:pPr>
        <w:pStyle w:val="TextoNormal"/>
      </w:pPr>
    </w:p>
    <w:p w:rsidR="0026452D" w:rsidRDefault="0026452D" w:rsidP="0026452D">
      <w:pPr>
        <w:pStyle w:val="TextoNormal"/>
      </w:pPr>
      <w:r>
        <w:t>c) Finalmente aporta la Abogacía del Estado un “Estudio sobre el programa de subvenciones con cargo al 0,52 del IRPF” en el que se recoge una encuesta realizada a una muestra significativa de las entidades subvencionadas y en el que se plasman las consecuencias que se derivarían de una eventual descentralización de la gestión de estas subvenciones. Consecuencias entre las que se destacan, entre otras: la provocación de diferencias de cobertura, calidad y enfoque en el desarrollo de los programas; deterioro del trabajo en red de muchas entidades, reforzamiento del principio de territorialidad frente al de necesidad; aplicación de distintos baremos para la satisfacción de las mismas necesidades de los distintos colectivos, quebrando el principio de igualdad en el acceso y materialización de los derechos sociales; descoordinación y desvinculación de objetivos en las entidades dedicadas a colectivos con las mismas necesidades; producción de agravios comparativos entre territorios y colectivos y perdida de la perspectiva de igualdad ciudadana con independencia del lugar de residencia; debilitación y desaparición de las redes de colaboración actualmente existentes entre el Estado y el denominado tercer sector de acción social y entre las propias entidades, con fragmentación del tejido asociativo ya creado a nivel estatal.</w:t>
      </w:r>
    </w:p>
    <w:p w:rsidR="0026452D" w:rsidRDefault="0026452D" w:rsidP="0026452D">
      <w:pPr>
        <w:pStyle w:val="TextoNormal"/>
      </w:pPr>
    </w:p>
    <w:p w:rsidR="0026452D" w:rsidRDefault="0026452D" w:rsidP="0026452D">
      <w:pPr>
        <w:pStyle w:val="TextoNormal"/>
      </w:pPr>
      <w:r>
        <w:t>Por las razones reproducidas la Abogacía del Estado solicita que se declare que la competencia controvertida corresponde al Estado.</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providencia de 29 de enero de 2013 se señaló para deliberación y votación de la presente Sentencia el día 31 del mismo mes y año.</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 planteado por el Gobierno de la Generalitat de Cataluña contra la Orden TAS/892/2006, de 23 de marzo, por la que se establecen las bases reguladoras y se convoca la concesión de subvenciones para la realización de programas de cooperación y voluntariado sociales con cargo a la asignación tributaria del impuesto sobre la renta de las personas físicas.</w:t>
      </w:r>
    </w:p>
    <w:p w:rsidR="0026452D" w:rsidRDefault="0026452D" w:rsidP="0026452D">
      <w:pPr>
        <w:pStyle w:val="TextoNormal"/>
      </w:pPr>
    </w:p>
    <w:p w:rsidR="0026452D" w:rsidRDefault="0026452D" w:rsidP="0026452D">
      <w:pPr>
        <w:pStyle w:val="TextoNormal"/>
      </w:pPr>
      <w:r>
        <w:t>Considera el Gobierno de la Generalitat de Cataluña que la Orden objeto de conflicto no respeta la distribución de competencias en materia de asistencia social derivada del bloque de constitucionalidad en cuanto que dicha disposición centraliza en los órganos estatales la regulación, tramitación y resolución de las ayudas referidas, ignorando la doctrina constitucional recaída en relación con subvenciones. Por su parte, la Abogacía del Estado sostiene la conformidad con la doctrina constitucional de la centralización de la regulación, tramitación y resolución de las ayudas en este caso, al tratarse de uno de los supuestos en que está justificada.</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al examen de fondo, procede realizar alguna precisión en relación con el objeto del recurso.</w:t>
      </w:r>
    </w:p>
    <w:p w:rsidR="0026452D" w:rsidRDefault="0026452D" w:rsidP="0026452D">
      <w:pPr>
        <w:pStyle w:val="TextoNormal"/>
      </w:pPr>
    </w:p>
    <w:p w:rsidR="0026452D" w:rsidRDefault="0026452D" w:rsidP="0026452D">
      <w:pPr>
        <w:pStyle w:val="TextoNormal"/>
      </w:pPr>
      <w:r>
        <w:t>La Orden TAS/892/2006, de 23 de marzo, tiene un doble objetivo: por un lado, establecer las bases reguladoras para la concesión de subvenciones para la realización de programas de cooperación y voluntariado sociales con cargo a la asignación tributaria del impuesto sobre la renta de las personas físicas, y, por otro, proceder a su convocatoria para el año 2006. En lo que se refiere a la convocatoria para 2006, ésta ha agotado ya sus efectos y, en lo que se refiere a las bases reguladoras, fueron modificadas en el año 2007 por la Orden TAS/1051/2007, de 18 de abril, por la que se establecen las bases reguladoras y se convoca la concesión de subvenciones para la realización de programas de cooperación y voluntariado sociales con cargo a la asignación tributaria del impuesto sobre la renta de las personas físicas, bases reguladoras que, a su vez, han sido modificadas en los años sucesivos. Debemos considerar la incidencia que pueda tener en el proceso el hecho de que la Orden TAS/892/2006, objeto del presente conflicto, haya sido modificada.</w:t>
      </w:r>
    </w:p>
    <w:p w:rsidR="0026452D" w:rsidRDefault="0026452D" w:rsidP="0026452D">
      <w:pPr>
        <w:pStyle w:val="TextoNormal"/>
      </w:pPr>
    </w:p>
    <w:p w:rsidR="0026452D" w:rsidRDefault="0026452D" w:rsidP="0026452D">
      <w:pPr>
        <w:pStyle w:val="TextoNormal"/>
      </w:pPr>
      <w:r>
        <w:t>Para apreciar en qué modo afectan estas modificaciones a la pervivencia del presente proceso nos atendremos a la doctrina de este Tribunal, que señala que “la apreciación de la pérdida de objeto del proceso dependerá de la incidencia real que sobre el mismo tenga la derogación, sustitución o modificación de la norma o el agotamiento de los efectos del acto y no puede resolverse apriorísticamente en función de criterios abstractos o genéricos (por todas, SSTC 233/1999, de 12 de diciembre, FJ 3; 33/2005 de 17 de febrero, FJ 2)”. Además, la “doctrina de este Tribunal avala la conclusión de la no desaparición del objeto del conflicto cuando la normativa en relación con la cual se trabó un conflicto no es simplemente derogada, sino parcialmente sustituida por otra que viene a plantear en esencia los mismos problemas competenciales (STC 128/1999, de 1 de julio, FJ 4).” (STC 99/2012, de 8 de mayo, FJ 8)</w:t>
      </w:r>
    </w:p>
    <w:p w:rsidR="0026452D" w:rsidRDefault="0026452D" w:rsidP="0026452D">
      <w:pPr>
        <w:pStyle w:val="TextoNormal"/>
      </w:pPr>
    </w:p>
    <w:p w:rsidR="0026452D" w:rsidRDefault="0026452D" w:rsidP="0026452D">
      <w:pPr>
        <w:pStyle w:val="TextoNormal"/>
      </w:pPr>
      <w:r>
        <w:lastRenderedPageBreak/>
        <w:t>En el presente asunto ocurre que las modificaciones que se realizan de las bases reguladoras de las subvenciones para la realización de programas de cooperación y voluntariado sociales, con cargo a la asignación tributaria del impuesto sobre la renta de las personas físicas, suponen su sustitución por otra normativa que reproduce, aunque con una redacción diferente, las mismas cuestiones objeto de controversia. Por tanto, en aplicación de la doctrina de este Tribunal ha de alcanzarse la conclusión de que, pese a la modificación de la norma, el conflicto de competencia promovido frente a la Orden TAS/892/2006, de 23 de marzo, mantiene vivo su objeto.</w:t>
      </w:r>
    </w:p>
    <w:p w:rsidR="0026452D" w:rsidRDefault="0026452D" w:rsidP="0026452D">
      <w:pPr>
        <w:pStyle w:val="TextoNormal"/>
      </w:pPr>
    </w:p>
    <w:p w:rsidR="0026452D" w:rsidRDefault="0026452D" w:rsidP="0026452D">
      <w:pPr>
        <w:pStyle w:val="TextoNormal"/>
      </w:pPr>
      <w:r w:rsidRPr="0026452D">
        <w:rPr>
          <w:rStyle w:val="NumeroAFNegritaCaracter"/>
        </w:rPr>
        <w:t>3</w:t>
      </w:r>
      <w:r>
        <w:t>. Tras lo expuesto, procede entrar ya en el fondo del asunto, señalando que, de acuerdo con nuestra doctrina (por todas, la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debemos examinar, en primer lugar, el contenido concreto de las disposiciones objeto de conflicto.</w:t>
      </w:r>
    </w:p>
    <w:p w:rsidR="0026452D" w:rsidRDefault="0026452D" w:rsidP="0026452D">
      <w:pPr>
        <w:pStyle w:val="TextoNormal"/>
      </w:pPr>
    </w:p>
    <w:p w:rsidR="0026452D" w:rsidRDefault="0026452D" w:rsidP="0026452D">
      <w:pPr>
        <w:pStyle w:val="TextoNormal"/>
      </w:pPr>
      <w:r>
        <w:t>La Orden TAS/892/2006 tiene por objeto, tal como recoge su artículo 1, la convocatoria de la concesión de subvenciones para la realización de programas de cooperación y voluntariado sociales, de interés general, encaminados a atender situaciones de necesidad o marginación de personas mayores de sesenta y cinco años, personas que sufran alguna discapacidad física, psíquica o sensorial, mujeres, familia, infancia y juventud, personas afectadas por problemas de drogodependencia, pueblo gitano, población reclusa y ex reclusa, refugiados y asilados, migrantes, víctimas del terrorismo, así como actuaciones integrales contra la exclusión social y para la erradicación de la pobreza y demás actuaciones de solidaridad social para cubrir necesidades de interés general. El artículo 2 determina los programas para la atención de necesidades sociales de interés general que se consideran de carácter prioritario. El artículo 3 establece los requisitos que deberán cumplir las entidades y organizaciones solicitantes. El artículo 4 dispone la distribución de créditos por programas de acuerdo con lo que dispone el anexo B. La orden, tras establecer los órganos competentes para la ordenación, instrucción y resolución del procedimiento (art. 5), se completa con la regulación de los siguientes aspectos: la forma de presentación de solicitudes (solicitud, memorias, presupuesto de los programas, documentación y subsanación de errores) (art. 6), la financiación de los programas presentados (art. 7), los criterios de valoración de la subvención (art. 8), los informes (art. 9), la resolución (art. 10), las denominadas situaciones de emergencia social (art. 11), los convenios-programa (art. 12), el pago de la subvención (art. 9), la modificación de los programas (art. 10); las subcontrataciones (art. 11) la modificación de la resolución de la concesión de la subvención (art. 12), las obligaciones de los beneficiarios (art. 13), el control, seguimiento y evaluación (art. 14), la justificación de la subvención a través de las memorias justificativas y explicativas de la realización del programa subvencionado (arts. 15, 16 y 17), la responsabilidad y el régimen sancionador (art. 18), los reintegros (art. 19), más tres disposiciones finales referidas al régimen jurídico de aplicación supletoria, a las facultades de desarrollo y a la entrada en vigor. La orden igualmente recoge una serie de anexos con los programas prioritarios, la distribución del crédito, el logotipo, la solicitud, la memoria explicativa de la entidad, la memoria explicativa del programa y la memoria explicativa del proyecto.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4</w:t>
      </w:r>
      <w:r>
        <w:t>. A la vista del contenido de la orden objeto del presente conflicto, y tal y como coinciden las partes de este proceso, estamos ante subvenciones dirigidas a financiar programas en materia de asistencia social.</w:t>
      </w:r>
    </w:p>
    <w:p w:rsidR="0026452D" w:rsidRDefault="0026452D" w:rsidP="0026452D">
      <w:pPr>
        <w:pStyle w:val="TextoNormal"/>
      </w:pPr>
    </w:p>
    <w:p w:rsidR="0026452D" w:rsidRDefault="0026452D" w:rsidP="0026452D">
      <w:pPr>
        <w:pStyle w:val="TextoNormal"/>
      </w:pPr>
      <w:r>
        <w:t>Este Tribunal ya ha tenido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(STC 36/2012, de 15 de marzo, FJ 4). Bajo esta caracterización se deben encuadrar las subvenciones recogidas en la orden objeto del presente conflicto de competencia, pues tienen como objeto precisamente, tal como se recoge en su art. 1, “la realización de programas de cooperación y voluntariado sociales, de interés general, encaminados a atender situaciones de necesidad y/o marginación de personas mayores de sesenta y cinco años, personas que sufran alguna discapacidad física, psíquica o sensorial, mujeres, familia, infancia y juventud, personas afectadas por problemas de drogodependencia, pueblo gitano, población reclusa y exreclusa, refugiados y asilados, migrantes, víctimas del terrorismo, así como actuaciones integrales contra la exclusión social y para la erradicación de la pobreza y demás actuaciones de solidaridad social para cubrir necesidades de interés general”.</w:t>
      </w:r>
    </w:p>
    <w:p w:rsidR="0026452D" w:rsidRDefault="0026452D" w:rsidP="0026452D">
      <w:pPr>
        <w:pStyle w:val="TextoNormal"/>
      </w:pPr>
    </w:p>
    <w:p w:rsidR="0026452D" w:rsidRDefault="0026452D" w:rsidP="0026452D">
      <w:pPr>
        <w:pStyle w:val="TextoNormal"/>
      </w:pPr>
      <w:r w:rsidRPr="0026452D">
        <w:rPr>
          <w:rStyle w:val="NumeroAFNegritaCaracter"/>
        </w:rPr>
        <w:t>5</w:t>
      </w:r>
      <w:r>
        <w:t>. Una vez identificada la materia a la que se refiere la disposición objeto de conflicto, asistencia social, debemos examinar la distribución de competencias sobre la misma que se deriva de lo dispuesto en la Constitución y en el Estatuto de Autonomía de Cataluña.</w:t>
      </w:r>
    </w:p>
    <w:p w:rsidR="0026452D" w:rsidRDefault="0026452D" w:rsidP="0026452D">
      <w:pPr>
        <w:pStyle w:val="TextoNormal"/>
      </w:pPr>
    </w:p>
    <w:p w:rsidR="0026452D" w:rsidRDefault="0026452D" w:rsidP="0026452D">
      <w:pPr>
        <w:pStyle w:val="TextoNormal"/>
      </w:pPr>
      <w:r>
        <w:t>La Constitución se refiere a la asistencia social en el art. 148.1.20 CE como una materia sobre la que las Comunidades Autónomas pueden asumir la competencia. Así lo ha hecho Cataluña en el artículo 166 de su vigente Estatuto de Autonomía. Debemos señalar que en este momento se encuentra vigente la Ley Orgánica 6/2006, de 19 de julio, de reforma del Estatuto de Autonomía de Cataluña, a cuyas prescripciones, y no a las estatutarias vigentes en el momento de formalizarse el recurso, habremos de atenernos de acuerdo con nuestra doctrina, según la cual, el control de las normas que incurren en un posible exceso competencial debe hacerse de acuerdo con las normas del bloque de la constitucionalidad vigentes en el momento de dictar Sentencia (STC 1/2011, de 14 de febrero, FJ 2, y doctrina allí citada).</w:t>
      </w:r>
    </w:p>
    <w:p w:rsidR="0026452D" w:rsidRDefault="0026452D" w:rsidP="0026452D">
      <w:pPr>
        <w:pStyle w:val="TextoNormal"/>
      </w:pPr>
    </w:p>
    <w:p w:rsidR="0026452D" w:rsidRDefault="0026452D" w:rsidP="0026452D">
      <w:pPr>
        <w:pStyle w:val="TextoNormal"/>
      </w:pPr>
      <w:r>
        <w:t xml:space="preserve">El artículo 166 del vigente Estatuto de Autonomía caracteriza las competencias de la Comunidad Autónoma en materia de asistencia social como exclusivas; no obstante, como hemos tenido la oportunidad de reiterar, la competencia de la Comunidad Autónoma “no impide el ejercicio de las competencias del Estado </w:t>
      </w:r>
      <w:r w:rsidRPr="0026452D">
        <w:rPr>
          <w:i/>
        </w:rPr>
        <w:t>ex</w:t>
      </w:r>
      <w:r>
        <w:t xml:space="preserve"> art. 149.1 CE, sea cuando éstas con</w:t>
      </w:r>
      <w:r>
        <w:lastRenderedPageBreak/>
        <w:t>curran con las autonómicas sobre el mismo espacio físico o sea sobre el mismo objeto jurídico” (STC 31/2010, de 28 de junio, FJ 104). Al respecto, debemos insistir una vez más que las competencias autonómicas sobre materias no incluidas en el art. 149.1 CE, aunque se enuncien como “competencias exclusivas”, no cierran el paso a las competencias estatales previstas en aquel precepto constitucional. Por tanto, y como ya tuvimos ocasión de afirmar en relación, precisamente, con el artículo 166 del vigente Estatuto de Autonomía de Cataluña, “el enunciado de la competencia autonómica como exclusiva no enerva las diferentes competencias del Estado que puedan estar implicadas (art. 149.1.6, 7 y 17 CE, entre otras), debiendo insistir, no obstante, en que de ningún modo se precisa una expresa salvaguarda de las competencias constitucionalmente reservadas al Estado por el art. 149.1 CE, puesto que constituyen límites infranqueables a los enunciados estatutarios” (STC 31/2010, FJ 104).</w:t>
      </w:r>
    </w:p>
    <w:p w:rsidR="0026452D" w:rsidRDefault="0026452D" w:rsidP="0026452D">
      <w:pPr>
        <w:pStyle w:val="TextoNormal"/>
      </w:pPr>
    </w:p>
    <w:p w:rsidR="0026452D" w:rsidRDefault="0026452D" w:rsidP="0026452D">
      <w:pPr>
        <w:pStyle w:val="TextoNormal"/>
      </w:pPr>
      <w:r>
        <w:t>En el presente conflicto la Abogacía del Estado ha defendido, precisamente, que el Estado puede regular las ayudas controvertidas con arreglo al art. 149.1.1 CE.</w:t>
      </w:r>
    </w:p>
    <w:p w:rsidR="0026452D" w:rsidRDefault="0026452D" w:rsidP="0026452D">
      <w:pPr>
        <w:pStyle w:val="TextoNormal"/>
      </w:pPr>
    </w:p>
    <w:p w:rsidR="0026452D" w:rsidRDefault="0026452D" w:rsidP="0026452D">
      <w:pPr>
        <w:pStyle w:val="TextoNormal"/>
      </w:pPr>
      <w:r>
        <w:t>En relación con el porcentaje de la cuota íntegra del impuesto sobre la renta de las personas físicas destinado a determinados fines, este Tribunal ya ha tenido la ocasión de señalar que “es evidente que el Estado puede intervenir en este campo cuando le habiliten para ello otros títulos competenciales específicos. Por ejemplo, el que atañe a las relaciones internacionales (art. 149.1.3 CE), cuando se trata de programas internacionales de ayuda” [STC 13/1992, FJ 13 K) a)].</w:t>
      </w:r>
    </w:p>
    <w:p w:rsidR="0026452D" w:rsidRDefault="0026452D" w:rsidP="0026452D">
      <w:pPr>
        <w:pStyle w:val="TextoNormal"/>
      </w:pPr>
    </w:p>
    <w:p w:rsidR="0026452D" w:rsidRDefault="0026452D" w:rsidP="0026452D">
      <w:pPr>
        <w:pStyle w:val="TextoNormal"/>
      </w:pPr>
      <w:r>
        <w:t xml:space="preserve">Sin embargo, este Tribunal en una serie de Sentencias recientes ha rechazado que el art. 149.1.1 CE sea un título competencial suficiente para justificar determinadas ayudas en materia de asistencia social. En efecto, en las SSTC 173/2012, de 15 de octubre, FJ 5 a) y 177/2012, de 15 de octubre, FJ 5 a), recordamos que “en la temprana STC 61/1997, de 20 de marzo, señalamos (FJ 7) que el art. 149.1.1 CE, ‘no ha atribuido al Estado la fijación de las bases sobre los derechos y libertades constitucionales, sino sólo el establecimiento —eso sí, entero— de aquellas condiciones básicas que tiendan a garantizar la igualdad. Y si bien es cierto que su regulación no puede suponer una normación completa y acabada del derecho y deber de que se trate y, en consecuencia, es claro que las Comunidades Autónomas, en la medida en que tengan competencias sobre la materia, podrán siempre aprobar normas atinentes al régimen jurídico de ese derecho…, no lo es menos, sin embargo, que la competencia </w:t>
      </w:r>
      <w:r w:rsidRPr="0026452D">
        <w:rPr>
          <w:i/>
        </w:rPr>
        <w:t>ex</w:t>
      </w:r>
      <w:r>
        <w:t xml:space="preserve"> art 149.1.1 CE no se mueve en la lógica de las bases estatales-legislación autonómica de desarrollo. En otras palabras, el Estado tiene la competencia exclusiva para incidir sobre los derechos y deberes constitucionales desde una concreta perspectiva, la de la garantía de la igualdad en las posiciones jurídicas fundamentales, dimensión que no es, en rigor, susceptible de desarrollo como si de unas bases se tratara; será luego el legislador competente, estatal y autonómico, el que respetando tales condiciones básicas establezca su régimen jurídico, de acuerdo con el orden constitucional de competencias’.” [SSTC 173/2012, de 15 de octubre, FJ 5 a) y 177/2012, de 15 de octubre, FJ 5 a)].</w:t>
      </w:r>
    </w:p>
    <w:p w:rsidR="0026452D" w:rsidRDefault="0026452D" w:rsidP="0026452D">
      <w:pPr>
        <w:pStyle w:val="TextoNormal"/>
      </w:pPr>
    </w:p>
    <w:p w:rsidR="0026452D" w:rsidRDefault="0026452D" w:rsidP="0026452D">
      <w:pPr>
        <w:pStyle w:val="TextoNormal"/>
      </w:pPr>
      <w:r>
        <w:t xml:space="preserve">Tras ello, continuamos afirmando que “con carácter general, tenemos declarado que este título competencial ‘no puede operar como una especie de título horizontal, capaz de introducirse en cualquier materia o sector del ordenamiento’ (entre otras, SSTC 239/2002, de 11 de diciembre, FJ 10; 228/2003, de 18 de diciembre, FJ 10; y 150/2012, de 5 de julio, FJ 4). </w:t>
      </w:r>
      <w:r>
        <w:lastRenderedPageBreak/>
        <w:t xml:space="preserve">Es decir, con la finalidad de establecer las condiciones básicas </w:t>
      </w:r>
      <w:r w:rsidRPr="0026452D">
        <w:rPr>
          <w:i/>
        </w:rPr>
        <w:t>ex</w:t>
      </w:r>
      <w:r>
        <w:t xml:space="preserve"> art. 149.1.1 CE para garantizar la igualdad en el ejercicio de los derechos, el Estado no puede pretender alterar el sistema de reparto competencial. Así lo entendimos en la STC 148/2012, de 5 de julio, FJ 4, cuando afirmamos que, amparado sólo en este título competencial (art. 149.1.1 CE), ‘el legislador estatal no puede establecer el régimen jurídico completo de la materia, regulación acabada que corresponde, con el límite de tales condiciones básicas de dominio estatal, al poder público que corresponda según el sistema constitucional de distribución de competencias [STC 61/1997, FJ 7 b)]’. Por tanto, debemos excluir la suficiencia del título competencial invocado por la orden controvertida” [SSTC 173/2012, FJ 5 a); y 177/2012, FJ 5 a)].</w:t>
      </w:r>
    </w:p>
    <w:p w:rsidR="0026452D" w:rsidRDefault="0026452D" w:rsidP="0026452D">
      <w:pPr>
        <w:pStyle w:val="TextoNormal"/>
      </w:pPr>
    </w:p>
    <w:p w:rsidR="0026452D" w:rsidRDefault="0026452D" w:rsidP="0026452D">
      <w:pPr>
        <w:pStyle w:val="TextoNormal"/>
      </w:pPr>
      <w:r>
        <w:t xml:space="preserve">En aplicación de tal doctrina, debemos rechazar ahora que la regulación de las ayudas controvertidas pueda relacionarse con el título competencial </w:t>
      </w:r>
      <w:r w:rsidRPr="0026452D">
        <w:rPr>
          <w:i/>
        </w:rPr>
        <w:t>ex</w:t>
      </w:r>
      <w:r>
        <w:t xml:space="preserve"> art. 149.1.1 CE, pues ni por su objeto ni por su contenido cabe apreciar una conexión directa de las ayudas controvertidas con “la regulación de las condiciones básicas que garanticen la igualdad de todos los españoles en el ejercicio de los derechos y en el cumplimiento de los deberes constitucionales”. El hecho de que no se puedan fundamentar las subvenciones objeto de conflicto en el título competencial previsto en el art. 149.1.1 CE no supone, no obstante, la imposibilidad para el Estado de financiar este tipo de acciones de fomento en materias atribuidas a la competencia exclusiva de las Comunidades Autónomas, pues hemos afirmado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(STC 13/1992, de 6 de febrero, FJ 7). El Estado tiene, por tanto, la capacidad para poner su poder de gasto al servicio de una política de asistencia social, en el ejercicio soberano de la función legislativa presupuestaria, sin perjuicio de que corresponda a la Comunidad Autónoma la competencia exclusiva en materia de asistencia social.</w:t>
      </w:r>
    </w:p>
    <w:p w:rsidR="0026452D" w:rsidRDefault="0026452D" w:rsidP="0026452D">
      <w:pPr>
        <w:pStyle w:val="TextoNormal"/>
      </w:pPr>
    </w:p>
    <w:p w:rsidR="0026452D" w:rsidRDefault="0026452D" w:rsidP="0026452D">
      <w:pPr>
        <w:pStyle w:val="TextoNormal"/>
      </w:pPr>
      <w:r>
        <w:t>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 Dichos supuestos generales concilian la distribución competencial existente en cada materia entre el Estado y las Comunidades Autónomas, por un lado, con la reconocida potestad subvencional de gasto público que ostenta el Estado, por otro.</w:t>
      </w:r>
    </w:p>
    <w:p w:rsidR="0026452D" w:rsidRDefault="0026452D" w:rsidP="0026452D">
      <w:pPr>
        <w:pStyle w:val="TextoNormal"/>
      </w:pPr>
    </w:p>
    <w:p w:rsidR="0026452D" w:rsidRDefault="0026452D" w:rsidP="0026452D">
      <w:pPr>
        <w:pStyle w:val="TextoNormal"/>
      </w:pPr>
      <w:r w:rsidRPr="0026452D">
        <w:rPr>
          <w:rStyle w:val="NumeroAFNegritaCaracter"/>
        </w:rPr>
        <w:t>6</w:t>
      </w:r>
      <w:r>
        <w:t>. Así, una vez expuesto el marco competencial, de los términos del debate procesal trabado entre las partes podemos apreciar que la controversia entre las mismas versa, en realidad, en torno a la aplicación al caso concreto de la consolidada doctrina de este Tribunal en materia de subvenciones y ayudas públicas, en particular la contenida en aquella STC 13/1992. Así, lo discutido resulta ser la concurrencia de las circunstancias excepcionales previstas en la doctrina constitucional para que resulte justificada la regulación completa de las subvenciones y la centralización de la gestión que se contienen en la Orden objeto de conflicto. De hecho, el debate trabado entre las partes, una vez encuadradas las ayudas controvertidas en la materia asistencia social, es reconducible a la determinación del supuesto que, de los cuatro que hemos contemplado en nuestra doctrina (en concreto, en el fundamento jurídico 8 de la STC 13/1992), resulta de aplicación a las ayudas referidas.</w:t>
      </w:r>
    </w:p>
    <w:p w:rsidR="0026452D" w:rsidRDefault="0026452D" w:rsidP="0026452D">
      <w:pPr>
        <w:pStyle w:val="TextoNormal"/>
      </w:pPr>
    </w:p>
    <w:p w:rsidR="0026452D" w:rsidRDefault="0026452D" w:rsidP="0026452D">
      <w:pPr>
        <w:pStyle w:val="TextoNormal"/>
      </w:pPr>
      <w:r>
        <w:t>Al respecto, la representación procesal del Gobierno de la Generalitat, si bien no se refiere explícitamente en este punto a la STC 13/1992, parece entender que nos encontramos en el denominado primer supuesto, recogido en el fundamento jurídico 8 a) de aquella, pues, tras afirmar que la doctrina de este Tribunal nunca ha amparado en el art. 149.1.1 CE el establecimiento de líneas de subvención para programas de acción social, considera que el papel del Estado en materia de asistencia social debería agotarse al trazar prioridades en la Ley de presupuestos, territorializando en la propia ley los recursos empleados. Por su parte, la Abogacía del Estado considera que, puesto que se justifica la acción del Estado en el ejercicio de la competencia prevista en el art. 149.1.1 CE, resulta procedente la aplicación a las ayudas previstas en el denominado cuarto supuesto, recogido en el fundamento jurídico 8 d) de la misma Sentencia 13/1992, que faculta no sólo para la regulación completa de las ayudas sino también para su gestión centralizada por el Estado.</w:t>
      </w:r>
    </w:p>
    <w:p w:rsidR="0026452D" w:rsidRDefault="0026452D" w:rsidP="0026452D">
      <w:pPr>
        <w:pStyle w:val="TextoNormal"/>
      </w:pPr>
    </w:p>
    <w:p w:rsidR="0026452D" w:rsidRDefault="0026452D" w:rsidP="0026452D">
      <w:pPr>
        <w:pStyle w:val="TextoNormal"/>
      </w:pPr>
      <w:r>
        <w:t>Debemos pronunciarnos ahora sobre cuál de estos dos supuestos —a) o d)— le es de aplicación a la orden objeto de conflicto en razón a sus características. Y precisamente en razón de éstas, confirmamos que las subvenciones contenidas en la Orden TAS/892/2006 se incluyen en el primer supuesto recogido en el fundamento jurídico 8 a) de la STC 13/1992. En efecto, al no poder justificarse aquellas en título competencial estatal alguno, ni genérico ni específico, tal como hemos argumentado en el fundamento jurídico 5 de la presente Sentencia, no se cumple la premisa exigida por el cuarto supuesto de la STC 13/1992, FJ 8 d), para justificar la gestión centralizada —que el Estado ostente algún título competencial, genérico o específico, sobre la materia—, por lo que no es necesario entrar a examinar si se dan las otras circunstancias excepcionales que exige aquel supuesto.</w:t>
      </w:r>
    </w:p>
    <w:p w:rsidR="0026452D" w:rsidRDefault="0026452D" w:rsidP="0026452D">
      <w:pPr>
        <w:pStyle w:val="TextoNormal"/>
      </w:pPr>
    </w:p>
    <w:p w:rsidR="0026452D" w:rsidRDefault="0026452D" w:rsidP="0026452D">
      <w:pPr>
        <w:pStyle w:val="TextoNormal"/>
      </w:pPr>
      <w:r>
        <w:t>Por tanto, puesto que la Comunidad Autónoma ostenta una competencia exclusiva sobre asistencia social y el Estado no ha invocado título competencial suficiente —genérico o específico— sobre la misma, las ayudas quedan ubicadas en el referido primer supuesto [STC 13/1992, FJ 8 a)], que excluye la posibilidad de gestión centralizada.</w:t>
      </w:r>
    </w:p>
    <w:p w:rsidR="0026452D" w:rsidRDefault="0026452D" w:rsidP="0026452D">
      <w:pPr>
        <w:pStyle w:val="TextoNormal"/>
      </w:pPr>
    </w:p>
    <w:p w:rsidR="0026452D" w:rsidRDefault="0026452D" w:rsidP="0026452D">
      <w:pPr>
        <w:pStyle w:val="TextoNormal"/>
      </w:pPr>
      <w:r>
        <w:t>Así, la regla general sobre el ejercicio de la potestad subvencional de gasto público del Estado en aquellas materias en las que las Comunidades Autónomas tienen competencia exclusiva y el Estado carece de título competencial alguno, tanto genérico como especifico, indica que la intervención estatal debe limitarse a “decidir asignar parte de sus fondos presupuestarios a esas materias o sectores … de manera genérica o global, por sectores o subsectores enteros de actividad”, y que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 [STC 13/1992, FJ 8 a)].</w:t>
      </w:r>
    </w:p>
    <w:p w:rsidR="0026452D" w:rsidRDefault="0026452D" w:rsidP="0026452D">
      <w:pPr>
        <w:pStyle w:val="TextoNormal"/>
      </w:pPr>
    </w:p>
    <w:p w:rsidR="0026452D" w:rsidRDefault="0026452D" w:rsidP="0026452D">
      <w:pPr>
        <w:pStyle w:val="TextoNormal"/>
      </w:pPr>
      <w:r>
        <w:t xml:space="preserve">No obstante, en materia de asistencia social debemos tener presente además nuestra reciente doctrina sobre el alcance de la potestad subvencional estatal en ese campo, según la cual, aun tratándose de una materia incluida en el primero de los cuatro supuestos sistematizados en el fundamento jurídico 8 de la STC 13/1992, hemos afirmado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w:t>
      </w:r>
      <w:r>
        <w:lastRenderedPageBreak/>
        <w:t>competencia autonómica lo atinente a su gestión, esto es, la tramitación, resolución y pago de las subvenciones, así como la regulación del procedimiento correspondiente a todos estos aspectos” (SSTC 178/2011, de 8 de noviembre, FJ 7; y 36/2012, de 15 de marzo, FJ 8; doctrina aplicada posteriormente en las SSTC 72/2012, de 16 de abril, FJ 4; 73/2012, de 16 de abril, FJ 4; 77/2012, de 16 de abril, FJ 4; 173/2012, de 15 de octubre, FJ 7; 177/2012, de 15 de octubre, FJ 7; 226/2012, de 29 de noviembre, FJ 3; y 227/2012 de 29 de noviembre, FJ 5).</w:t>
      </w:r>
    </w:p>
    <w:p w:rsidR="0026452D" w:rsidRDefault="0026452D" w:rsidP="0026452D">
      <w:pPr>
        <w:pStyle w:val="TextoNormal"/>
      </w:pPr>
    </w:p>
    <w:p w:rsidR="0026452D" w:rsidRDefault="0026452D" w:rsidP="0026452D">
      <w:pPr>
        <w:pStyle w:val="TextoNormal"/>
      </w:pPr>
      <w:r w:rsidRPr="0026452D">
        <w:rPr>
          <w:rStyle w:val="NumeroAFNegritaCaracter"/>
        </w:rPr>
        <w:t>7</w:t>
      </w:r>
      <w:r>
        <w:t>. Sobre la base precedente, debemos proceder al examen de los distintos preceptos de la Orden objeto de conflicto.</w:t>
      </w:r>
    </w:p>
    <w:p w:rsidR="0026452D" w:rsidRDefault="0026452D" w:rsidP="0026452D">
      <w:pPr>
        <w:pStyle w:val="TextoNormal"/>
      </w:pPr>
    </w:p>
    <w:p w:rsidR="0026452D" w:rsidRDefault="0026452D" w:rsidP="0026452D">
      <w:pPr>
        <w:pStyle w:val="TextoNormal"/>
      </w:pPr>
      <w:r>
        <w:t>a) El art. 1 es inconstitucional en cuanto convoca la concesión de subvenciones, siendo constitucional en cuanto establece el objeto de las subvenciones.</w:t>
      </w:r>
    </w:p>
    <w:p w:rsidR="0026452D" w:rsidRDefault="0026452D" w:rsidP="0026452D">
      <w:pPr>
        <w:pStyle w:val="TextoNormal"/>
      </w:pPr>
    </w:p>
    <w:p w:rsidR="0026452D" w:rsidRDefault="0026452D" w:rsidP="0026452D">
      <w:pPr>
        <w:pStyle w:val="TextoNormal"/>
      </w:pPr>
      <w:r>
        <w:t>b) El art. 2 no infringe las competencias autonómicas en cuanto define los programas de carácter prioritario.</w:t>
      </w:r>
    </w:p>
    <w:p w:rsidR="0026452D" w:rsidRDefault="0026452D" w:rsidP="0026452D">
      <w:pPr>
        <w:pStyle w:val="TextoNormal"/>
      </w:pPr>
    </w:p>
    <w:p w:rsidR="0026452D" w:rsidRDefault="0026452D" w:rsidP="0026452D">
      <w:pPr>
        <w:pStyle w:val="TextoNormal"/>
      </w:pPr>
      <w:r>
        <w:t>c) El art. 3, que regula los requisitos generales que deben satisfacer las entidades y organizaciones solicitantes de ayuda, tampoco vulnera las competencias de la Comunidad Autónoma de Cataluña.</w:t>
      </w:r>
    </w:p>
    <w:p w:rsidR="0026452D" w:rsidRDefault="0026452D" w:rsidP="0026452D">
      <w:pPr>
        <w:pStyle w:val="TextoNormal"/>
      </w:pPr>
    </w:p>
    <w:p w:rsidR="0026452D" w:rsidRDefault="0026452D" w:rsidP="0026452D">
      <w:pPr>
        <w:pStyle w:val="TextoNormal"/>
      </w:pPr>
      <w:r>
        <w:t>d) El art. 4, que distribuye los créditos asignados por programas, igualmente no vulnera las competencias autonómicas.</w:t>
      </w:r>
    </w:p>
    <w:p w:rsidR="0026452D" w:rsidRDefault="0026452D" w:rsidP="0026452D">
      <w:pPr>
        <w:pStyle w:val="TextoNormal"/>
      </w:pPr>
    </w:p>
    <w:p w:rsidR="0026452D" w:rsidRDefault="0026452D" w:rsidP="0026452D">
      <w:pPr>
        <w:pStyle w:val="TextoNormal"/>
      </w:pPr>
      <w:r>
        <w:t>e) Los arts. 5, 6 y 7 conculcan las competencias autonómicas al referirse, respectivamente, a los órganos estatales competentes para realizar la tramitación de las ayudas —art. 5— y a cuestiones adjetivas de la tramitación administrativa (solicitudes, documentación a presentar y forma de financiación de los programas) —arts. 6 y 7—.</w:t>
      </w:r>
    </w:p>
    <w:p w:rsidR="0026452D" w:rsidRDefault="0026452D" w:rsidP="0026452D">
      <w:pPr>
        <w:pStyle w:val="TextoNormal"/>
      </w:pPr>
    </w:p>
    <w:p w:rsidR="0026452D" w:rsidRDefault="0026452D" w:rsidP="0026452D">
      <w:pPr>
        <w:pStyle w:val="TextoNormal"/>
      </w:pPr>
      <w:r>
        <w:t>f) El art. 8, no sólo contiene los criterios que han de ser valorados para la adjudicación de las ayudas, sino también el baremo correspondiente a aplicar en cada uno de ellos, por lo que esta concreción infringe las competencias autonómicas en la medida en que rebasa lo que conforme a nuestra doctrina constituyen aspectos centrales del régimen subvencional y, por ello, cercena el margen necesario para que la Generalitat de Cataluña pueda desarrollar la regulación de las condiciones de otorgamiento.</w:t>
      </w:r>
    </w:p>
    <w:p w:rsidR="0026452D" w:rsidRDefault="0026452D" w:rsidP="0026452D">
      <w:pPr>
        <w:pStyle w:val="TextoNormal"/>
      </w:pPr>
    </w:p>
    <w:p w:rsidR="0026452D" w:rsidRDefault="0026452D" w:rsidP="0026452D">
      <w:pPr>
        <w:pStyle w:val="TextoNormal"/>
      </w:pPr>
      <w:r>
        <w:t>g) Los arts. 9, 10, 11, 12, 13, 14, 15, 16, 17, 18, 19, 20 y 21 regulan todos ellos aspectos exclusivamente atinentes a la tramitación, resolución, pago, control, responsabilidad y reintegros de las ayudas, que son de competencia autonómica y, por ello, vulneran las competencias autonómicas, todo ello sin perjuicio del carácter básico que tienen determinados preceptos de la Ley general de subvenciones.</w:t>
      </w:r>
    </w:p>
    <w:p w:rsidR="0026452D" w:rsidRDefault="0026452D" w:rsidP="0026452D">
      <w:pPr>
        <w:pStyle w:val="TextoNormal"/>
      </w:pPr>
    </w:p>
    <w:p w:rsidR="0026452D" w:rsidRDefault="0026452D" w:rsidP="0026452D">
      <w:pPr>
        <w:pStyle w:val="TextoNormal"/>
      </w:pPr>
      <w:r>
        <w:t xml:space="preserve">h) La disposición final primera, no vulnera las competencias autonómicas al remitirse de modo genérico a la Ley 38/2003, de 17 de noviembre, general de subvenciones, al Real Decreto 2225/1993, de 17 de diciembre, por el que se aprueba el reglamento del procedimiento para la concesión de subvenciones y ayudas públicas, y a la Ley 30/1992, de 26 de noviembre, de régimen jurídico de las Administraciones públicas y del procedimiento administrativo común, pues dicha remisión se efectúa en términos genéricos y con respecto a </w:t>
      </w:r>
      <w:r>
        <w:lastRenderedPageBreak/>
        <w:t>normas de carácter predominantemente básico, que son, por tanto, aplicables al conjunto de las Administraciones públicas, y sin perjuicio de que se pueda determinar, a través de los correspondientes procesos constitucionales, la compatibilidad de tales normas con el bloque de constitucionalidad, algo que no se ha suscitado en el presente conflicto de competencia.</w:t>
      </w:r>
    </w:p>
    <w:p w:rsidR="0026452D" w:rsidRDefault="0026452D" w:rsidP="0026452D">
      <w:pPr>
        <w:pStyle w:val="TextoNormal"/>
      </w:pPr>
    </w:p>
    <w:p w:rsidR="0026452D" w:rsidRDefault="0026452D" w:rsidP="0026452D">
      <w:pPr>
        <w:pStyle w:val="TextoNormal"/>
      </w:pPr>
      <w:r>
        <w:t>i) La disposición final segunda regula la entrada en vigor de la norma y por ello no vulnera las competencias autonómicas.</w:t>
      </w:r>
    </w:p>
    <w:p w:rsidR="0026452D" w:rsidRDefault="0026452D" w:rsidP="0026452D">
      <w:pPr>
        <w:pStyle w:val="TextoNormal"/>
      </w:pPr>
    </w:p>
    <w:p w:rsidR="0026452D" w:rsidRDefault="0026452D" w:rsidP="0026452D">
      <w:pPr>
        <w:pStyle w:val="TextoNormal"/>
      </w:pPr>
      <w:r>
        <w:t>j) Como consecuencia de lo declarado anteriormente, la vulneración de las competencias de la Comunidad Autónoma de Cataluña se extiende también a los anexos I, II, III y IV de la orden, así como al anexo C. Sin embargo, los anexos A y B que contienen los programas prioritarios y la distribución del crédito por colectivos o programas no vulneran las competencias autonómicas, no obstante requerir tal distribución su territorialización.</w:t>
      </w:r>
    </w:p>
    <w:p w:rsidR="0026452D" w:rsidRDefault="0026452D" w:rsidP="0026452D">
      <w:pPr>
        <w:pStyle w:val="TextoNormal"/>
      </w:pPr>
    </w:p>
    <w:p w:rsidR="0026452D" w:rsidRDefault="0026452D" w:rsidP="0026452D">
      <w:pPr>
        <w:pStyle w:val="TextoNormal"/>
      </w:pPr>
      <w:r w:rsidRPr="0026452D">
        <w:rPr>
          <w:rStyle w:val="NumeroAFNegritaCaracter"/>
        </w:rPr>
        <w:t>8</w:t>
      </w:r>
      <w:r>
        <w:t>. Debemos, por último, antes del fallo, pronunciarnos sobre los efectos de la vulneración de competencias en que incurre la orden objeto de conflicto. Al respecto, como hemos declarado en otros casos (SSTC 75/1989, de 21 de abril, 13/1992, de 6 de febrero, 79/1992, de 28 de mayo, 186/1999, de 14 de octubre, entre otras) es relevante la consideración de que la norma ya ha agotado sus efectos y una eventual declaración de nulidad podría afectar a situaciones jurídicas consolidadas. Por ello, la pretensión del Gobierno de la Generalitat de Cataluña ha de estimarse satisfecha mediante la declaración de titularidad de la competencia controvertida.</w:t>
      </w:r>
    </w:p>
    <w:p w:rsidR="0026452D" w:rsidRDefault="0026452D" w:rsidP="0026452D">
      <w:pPr>
        <w:pStyle w:val="TextoNormal"/>
      </w:pPr>
    </w:p>
    <w:p w:rsidR="0026452D" w:rsidRDefault="0026452D" w:rsidP="0026452D">
      <w:pPr>
        <w:pStyle w:val="TextoNormal"/>
      </w:pPr>
      <w:r>
        <w:t>No obstante, debemos recordar lo que dijimos en la STC 208/1999, de 11 de noviembre (FJ 7), sobre la necesidad de que, para la plena realización del orden de competencias que se desprende de la Constitución y los Estatutos de Autonomía, se evite la persistencia de situaciones anómalas en las que sigan siendo ejercitadas por el Estado competencias que no le corresponden. Como entonces afirmamos, “la lealtad constitucional obliga a todos” (STC 209/1990, FJ 4) y comprende, sin duda, el respeto a las decisiones de este Alto Tribunal.</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Estimar parcialmente el conflicto positivo de competencia núm. 7625-2006 interpuesto por el Gobierno de la Generalitat de Cataluña contra la Orden TAS/892/2006, de 23 de marzo, por la que se establecen las bases reguladoras y se convoca la concesión de subvenciones para la realización de programas de cooperación y voluntariado sociales con cargo a la asignación tributaria del impuesto sobre la renta de las personas físicas y, en consecuencia, declarar, con los efectos previstos en el fundamento jurídico 7 de la presente Sentencia, que vulneran las competencias de la Generalitat de Cataluña los arts. 1, salvo en lo que se refiere al objeto de la convocatoria; 5, 6, 7, 8, en cuanto al establecimiento del baremo aplicable, 9, 10, 11, 12, 13, 14, 15, 16, 17, 18, 19, 20 y 21, y los anexos C, I, II, III y IV de la orden referida.</w:t>
      </w:r>
    </w:p>
    <w:p w:rsidR="0026452D" w:rsidRDefault="0026452D" w:rsidP="0026452D">
      <w:pPr>
        <w:pStyle w:val="TextoNormal"/>
      </w:pPr>
    </w:p>
    <w:p w:rsidR="0026452D" w:rsidRDefault="0026452D" w:rsidP="0026452D">
      <w:pPr>
        <w:pStyle w:val="TextoNormal"/>
      </w:pPr>
      <w:r>
        <w:t>2º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treinta y uno de enero de dos mil trece.</w:t>
      </w:r>
    </w:p>
    <w:p w:rsidR="0026452D" w:rsidRDefault="0026452D" w:rsidP="0026452D">
      <w:pPr>
        <w:pStyle w:val="ParrafoNormal"/>
      </w:pPr>
    </w:p>
    <w:p w:rsidR="0026452D" w:rsidRDefault="0026452D" w:rsidP="0026452D">
      <w:pPr>
        <w:pStyle w:val="TextoNormalNegritaCentrado"/>
        <w:keepNext/>
      </w:pPr>
      <w:r>
        <w:t>Voto particular que formula la Magistrada doña Adela Asua Batarrita a la Sentencia dictada en el conflicto positivo de competencia núm. 7625-2006.</w:t>
      </w:r>
    </w:p>
    <w:p w:rsidR="0026452D" w:rsidRDefault="0026452D" w:rsidP="0026452D">
      <w:pPr>
        <w:pStyle w:val="TextoNormalNegritaCentrado"/>
        <w:keepNext/>
      </w:pPr>
    </w:p>
    <w:p w:rsidR="0026452D" w:rsidRDefault="0026452D" w:rsidP="0026452D">
      <w:pPr>
        <w:pStyle w:val="TextoNormal"/>
      </w:pPr>
      <w:r>
        <w:t>En ejercicio de la facultad que me confiere el art. 90.2 de la Ley Orgánica del Tribunal Constitucional y con pleno respeto a la opinión de la mayoría, presento Voto particular  remitiéndome a los argumentos expuestos en el que formulé a la STC 226/2012, de 29 de noviembre, dictada en el conflicto positivo de competencia núm. 7046-2005.</w:t>
      </w:r>
    </w:p>
    <w:p w:rsidR="0026452D" w:rsidRDefault="0026452D" w:rsidP="0026452D">
      <w:pPr>
        <w:pStyle w:val="TextoNormal"/>
      </w:pPr>
    </w:p>
    <w:p w:rsidR="0026452D" w:rsidRDefault="0026452D" w:rsidP="0026452D">
      <w:pPr>
        <w:pStyle w:val="TextoNormal"/>
      </w:pPr>
      <w:r>
        <w:t>Madrid, a treinta y uno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25" w:name="SENTENCIA_2013_22"/>
      <w:r>
        <w:lastRenderedPageBreak/>
        <w:t>SENTENCIA 22/2013, de 31 de enero de 2013</w:t>
      </w:r>
    </w:p>
    <w:bookmarkEnd w:id="25"/>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ECLI:ES:TC:2013:22</w:t>
      </w:r>
    </w:p>
    <w:p w:rsidR="0026452D" w:rsidRDefault="0026452D" w:rsidP="0026452D">
      <w:pPr>
        <w:pStyle w:val="SntesisDescriptiva"/>
      </w:pPr>
    </w:p>
    <w:p w:rsidR="0026452D" w:rsidRDefault="0026452D" w:rsidP="0026452D">
      <w:pPr>
        <w:pStyle w:val="SntesisDescriptiva"/>
      </w:pPr>
      <w:r>
        <w:t>Recurso de amparo 8928-2006. Promovido por don Pablo Queralto Gómez en relación con la Sentencia de la Audiencia Provincial de Madrid que le condenó, en apelación, por dos delitos de homicidio imprudente en concurso con un delito contra la seguridad de los trabajadores.</w:t>
      </w:r>
    </w:p>
    <w:p w:rsidR="0026452D" w:rsidRDefault="0026452D" w:rsidP="0026452D">
      <w:pPr>
        <w:pStyle w:val="SntesisDescriptiva"/>
      </w:pPr>
    </w:p>
    <w:p w:rsidR="0026452D" w:rsidRDefault="0026452D" w:rsidP="0026452D">
      <w:pPr>
        <w:pStyle w:val="SntesisAnaltica"/>
      </w:pPr>
      <w:r>
        <w:t>Supuesta vulneración del derecho a un proceso con todas las garantías; vulneración del derecho a la presunción de inocencia: apreciación inmotivada de la falta de diligencia del acusado para prevenir la producción del accidente (STC 12/2011).</w:t>
      </w:r>
    </w:p>
    <w:p w:rsidR="0026452D" w:rsidRDefault="0026452D" w:rsidP="0026452D">
      <w:pPr>
        <w:pStyle w:val="SntesisAnaltica"/>
      </w:pPr>
    </w:p>
    <w:p w:rsidR="0026452D" w:rsidRDefault="0026452D" w:rsidP="0026452D">
      <w:pPr>
        <w:pStyle w:val="Extracto"/>
      </w:pPr>
      <w:r>
        <w:t>1.</w:t>
      </w:r>
      <w:r>
        <w:tab/>
        <w:t>Cuando la pretensión revocatoria del fallo absolutorio se funda en una nueva valoración de las pruebas incriminatorias de naturaleza personal puede facilitarse la inmediación del órgano de apelación citando a la vista a los intervinientes en la instancia, de modo que, en el presente caso, no puede apreciarse vulneración del derecho a un proceso con todas las garantías pues la Audiencia Provincial, consideró  necesario convocar una vista oral, a los efectos de oír a los acusados y a los peritos cuya presencia fue solicitada por una de las partes apelantes [FJ 3].</w:t>
      </w:r>
    </w:p>
    <w:p w:rsidR="0026452D" w:rsidRDefault="0026452D" w:rsidP="0026452D">
      <w:pPr>
        <w:pStyle w:val="Extracto"/>
      </w:pPr>
    </w:p>
    <w:p w:rsidR="0026452D" w:rsidRDefault="0026452D" w:rsidP="0026452D">
      <w:pPr>
        <w:pStyle w:val="Extracto"/>
      </w:pPr>
      <w:r>
        <w:t>2.</w:t>
      </w:r>
      <w:r>
        <w:tab/>
        <w:t>Doctrina sobre las garantías constitucionales de la práctica de prueba en el proceso en la apelación penal, con especial referencia a las garantías procesales de inmediación y contradicción (SSTC 167/2002, 91/2009) [FJ 3].</w:t>
      </w:r>
    </w:p>
    <w:p w:rsidR="0026452D" w:rsidRDefault="0026452D" w:rsidP="0026452D">
      <w:pPr>
        <w:pStyle w:val="Extracto"/>
      </w:pPr>
    </w:p>
    <w:p w:rsidR="0026452D" w:rsidRDefault="0026452D" w:rsidP="0026452D">
      <w:pPr>
        <w:pStyle w:val="Extracto"/>
      </w:pPr>
      <w:r>
        <w:t>3.</w:t>
      </w:r>
      <w:r>
        <w:tab/>
        <w:t>El respeto a los principios de publicidad, inmediación y contradicción exige que, en las condenas penales en segunda instancia previa revocación de un pronunciamiento absolutorio,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(SSTC 167/2002, 201/2012) [FJ 4].</w:t>
      </w:r>
    </w:p>
    <w:p w:rsidR="0026452D" w:rsidRDefault="0026452D" w:rsidP="0026452D">
      <w:pPr>
        <w:pStyle w:val="Extracto"/>
      </w:pPr>
    </w:p>
    <w:p w:rsidR="0026452D" w:rsidRDefault="0026452D" w:rsidP="0026452D">
      <w:pPr>
        <w:pStyle w:val="Extracto"/>
      </w:pPr>
      <w:r>
        <w:t>4.</w:t>
      </w:r>
      <w:r>
        <w:tab/>
        <w:t>Al Tribunal Constitucional no le corresponde revisar la valoración de las pruebas a través de las cuales el órgano judicial alcanza su íntima convicción, sino únicamente controlar la razonabilidad del discurso que une la actividad probatoria y el relato fáctico que de ella resulta (SSTC 137/2005, 26/2010) [FJ 4].</w:t>
      </w:r>
    </w:p>
    <w:p w:rsidR="0026452D" w:rsidRDefault="0026452D" w:rsidP="0026452D">
      <w:pPr>
        <w:pStyle w:val="Extracto"/>
      </w:pPr>
    </w:p>
    <w:p w:rsidR="0026452D" w:rsidRDefault="0026452D" w:rsidP="0026452D">
      <w:pPr>
        <w:pStyle w:val="Extracto"/>
      </w:pPr>
      <w:r>
        <w:t>5.</w:t>
      </w:r>
      <w:r>
        <w:tab/>
        <w:t>El acto final que es objeto de impugnación en amparo es el precipitado de todo el proceso, por lo que además del examen de las Sentencias pronunciadas en instancia y apelación, resulta imprescindible la consideración de la totalidad del proceso judicial y, en este contexto, hemos venido considerando al acta del juicio oral como un documento fehaciente que posibilita la verificación de la existencia de prueba de cargo suficiente para fundamentar una condena penal (SSTC 272/2005, 92/2006, 153/2011) [FJ 4].</w:t>
      </w:r>
    </w:p>
    <w:p w:rsidR="0026452D" w:rsidRDefault="0026452D" w:rsidP="0026452D">
      <w:pPr>
        <w:pStyle w:val="Extracto"/>
      </w:pPr>
    </w:p>
    <w:p w:rsidR="0026452D" w:rsidRDefault="0026452D" w:rsidP="0026452D">
      <w:pPr>
        <w:pStyle w:val="Extracto"/>
      </w:pPr>
      <w:r>
        <w:t>6.</w:t>
      </w:r>
      <w:r>
        <w:tab/>
        <w:t>La Sentencia de la Audiencia Provincial que condenó al recurrente fundamenta su culpabilidad en una modificación de los hechos probados que aparece huérfana de toda mención acerca de los medios de prueba a partir de los que se obtiene, así como de toda argumentación que permita justificar la misma en términos de racionalidad, por lo que debe declararse vulnerado el derecho a la presunción de inocencia [FJ 5].</w:t>
      </w:r>
    </w:p>
    <w:p w:rsidR="0026452D" w:rsidRDefault="0026452D" w:rsidP="0026452D">
      <w:pPr>
        <w:pStyle w:val="Extracto"/>
      </w:pPr>
    </w:p>
    <w:p w:rsidR="0026452D" w:rsidRDefault="0026452D" w:rsidP="0026452D">
      <w:pPr>
        <w:pStyle w:val="Extracto"/>
      </w:pPr>
      <w:r>
        <w:t>7.</w:t>
      </w:r>
      <w:r>
        <w:tab/>
        <w:t xml:space="preserve">El derecho a la presunción de inocencia se configura como el derecho a no ser condenado sin pruebas de cargo válidas, por lo que debemos tener presente la íntima relación que une a este derecho con la motivación del </w:t>
      </w:r>
      <w:r w:rsidRPr="0026452D">
        <w:rPr>
          <w:i/>
        </w:rPr>
        <w:t>iter</w:t>
      </w:r>
      <w:r>
        <w:t xml:space="preserve"> que ha conducido de las pruebas al relato de hechos probados de signo incriminatorio, no conformándose el canon de análisis, cuyo grado de motivación es superior al exigido en general para la tutela judicial, con la mera cognoscibilidad de la </w:t>
      </w:r>
      <w:r w:rsidRPr="0026452D">
        <w:rPr>
          <w:i/>
        </w:rPr>
        <w:t>ratio dicendi</w:t>
      </w:r>
      <w:r>
        <w:t xml:space="preserve"> de la decisión judicial, sino que exige una explicación de los fundamentos probatorios del relato fáctico (SSTC 5/2000, 12/2011) [FJ 5].</w:t>
      </w:r>
    </w:p>
    <w:p w:rsidR="0026452D" w:rsidRDefault="0026452D" w:rsidP="0026452D">
      <w:pPr>
        <w:pStyle w:val="Extracto"/>
      </w:pPr>
    </w:p>
    <w:p w:rsidR="0026452D" w:rsidRDefault="0026452D" w:rsidP="0026452D">
      <w:pPr>
        <w:pStyle w:val="Extracto"/>
      </w:pPr>
      <w:r>
        <w:t>8.</w:t>
      </w:r>
      <w:r>
        <w:tab/>
        <w:t>En ningún caso sería posible acceder a la pretensión formulada por distintas partes personadas de que los efectos de un eventual otorgamiento del amparo se extiendan a la nulidad de sus condenas dictadas, ya que quienes han visto inadmitidos sus recursos de amparo no pueden deducir pretensiones propias e independientes del recurso admitido, que acota el objeto del proceso, quedando su intervención reducida a formular alegaciones y a que se les notifiquen las resoluciones que recaigan en el proceso (SSTC 241/1994, 16/2009)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Trias,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amparo núm. 8928-2006, promovido por don Pablo Queralto Gómez, representado por el Procurador de los Tribunales don Alberto Hidalgo Martínez y asistido por el Abogado don Antonio Villar Rodríguez, contra la Sentencia núm. 279/2006, de 20 de julio, dictada por la Sección Segunda de la Audiencia Provincial de Madrid, recaída en el recurso de apelación núm. 148-2005, que revoca la Sentencia absolutoria núm. 353/2004, de 3 de septiembre, dictada por el Juzgado de lo Penal núm. 19 de Madrid en el procedimiento abreviado núm. 423-2003, condenando al recurrente como autor de dos delitos de homicidio imprudente en concurso con un delito contra la seguridad de los trabajadores, a </w:t>
      </w:r>
      <w:r>
        <w:lastRenderedPageBreak/>
        <w:t>la pena privativa de libertad de dos años y seis meses de prisión, con inhabilitación especial para el ejercicio de la profesión de arquitecto técnico durante el mismo tiempo, así como al pago de una indemnización. Han comparecido los Procuradores don Juan Escrivá de Romaní, doña María Luisa López-Puigcerver Portillo, doña María Salud Jiménez Muñoz, don Jorge Laguna Alonso y doña Teresa Puente Méndez. Ha intervenido el Ministerio Fiscal. Ha sido Ponente el Magistrado don Ramón Rodríguez Arribas,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con fecha de 27 de septiembre de 2006, el Procurador de los Tribunales don Alberto Hidalgo Martínez, en representación de don Pablo Queralto Gómez y asistido por el Abogado don Antonio Villar Rodríguez, interpuso recurso de amparo contra las resoluciones reseñadas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de los que trae causa la demanda de amparo, relevantes para la resolución del caso son, en síntesis, los siguientes:</w:t>
      </w:r>
    </w:p>
    <w:p w:rsidR="0026452D" w:rsidRDefault="0026452D" w:rsidP="0026452D">
      <w:pPr>
        <w:pStyle w:val="TextoNormal"/>
      </w:pPr>
    </w:p>
    <w:p w:rsidR="0026452D" w:rsidRDefault="0026452D" w:rsidP="0026452D">
      <w:pPr>
        <w:pStyle w:val="TextoNormal"/>
      </w:pPr>
      <w:r>
        <w:t>a) La Sentencia del Juzgado de lo Penal núm. 14 de Madrid de 3 de septiembre de 2004 absolvió al demandante de amparo de dos delitos de homicidio imprudente y un delito contra la seguridad de los trabajadores, de los que venía siendo acusado. Los hechos probados de dicha resolución relatan que en mayo de 2001 dos trabajadores —uno empleado de la compañía Madrileña de Alquiler de Maquinaria y otro de Adia Intergroup ETT, S.A.— cuando se encontraban trabajando en una obra para la empresa Cogeinsa, de la que era jefe de obra el acusado, desmontando un andamio motorizado cayeron al vacío desde una altura de 25 metros, al volcarse la plataforma en la que se hallaban. El uso de tales andamios no estaba previsto en el plan de seguridad y salud de la obra realizado por Cogeinsa y no se había dispuesto el uso de equipos de protección individual como cinturón o arnés. Además, uno de los operarios carecía de experiencia previa sobre ese tipo de maquinaria. El accidente se atribuyó a que, debiendo desmontarse el andamio por tramos, descendiendo de una plataforma a otra, al encontrarse en uno de los tramos en lugar de desmontarlo y bajar, por error de alguno de los operarios la plataforma ascendió y al colocarse sobre el mismo, cayó a tierra con los trabajadores.</w:t>
      </w:r>
    </w:p>
    <w:p w:rsidR="0026452D" w:rsidRDefault="0026452D" w:rsidP="0026452D">
      <w:pPr>
        <w:pStyle w:val="TextoNormal"/>
      </w:pPr>
    </w:p>
    <w:p w:rsidR="0026452D" w:rsidRDefault="0026452D" w:rsidP="0026452D">
      <w:pPr>
        <w:pStyle w:val="TextoNormal"/>
      </w:pPr>
      <w:r>
        <w:t>La absolución del recurrente, junto a la de otros coimputados, se fundó en que con arreglo al Real Decreto 1627/97, de 24 de octubre “la función de elaborar el Plan de Seguridad no les corresponde al existir un coordinador de seguridad [por] lo que no se les considera responsables del fallecimiento. Ello es así toda vez que si bien es cierto que la dirección facultativa tiene funciones en la seguridad y que en cualquier caso deben velar por la misma, en el presente supuesto el accidente no era fácilmente previsible con un contacto a simple vista, sino que requería un estudio del andamio con sus riesgos de manejo a prever en el Estudio previo, por lo que aunque hubieran realizado visitas diarias y controlado todos los trabajos, al no tener una intervención directa en el referido Plan no podían prever el mismo y se hubiera evitado solo a través de una especial cautela no exigible en los mismos por lo menos a efectos penales”. Además, se añade que el recurrente no recibió las instrucciones de seguridad.</w:t>
      </w:r>
    </w:p>
    <w:p w:rsidR="0026452D" w:rsidRDefault="0026452D" w:rsidP="0026452D">
      <w:pPr>
        <w:pStyle w:val="TextoNormal"/>
      </w:pPr>
    </w:p>
    <w:p w:rsidR="0026452D" w:rsidRDefault="0026452D" w:rsidP="0026452D">
      <w:pPr>
        <w:pStyle w:val="TextoNormal"/>
      </w:pPr>
      <w:r>
        <w:lastRenderedPageBreak/>
        <w:t>b) Recurrida en apelación, la Sentencia del Juzgado de lo Penal fue revocada por la Sentencia de la Audiencia Provincial de Madrid de 20 de julio de 2006, que, previa celebración de vista oral, condenó al demandante de amparo como autor de dos delitos de homicidio imprudente en concurso con un delito contra la seguridad de los trabajadores, a la pena de dos años y seis meses de prisión con inhabilitación especial para el ejercicio de la profesión de arquitecto técnico durante el mismo tiempo. En la celebración de vista, previa admisión de la prueba solicitada por una de las partes por Auto de 8 de noviembre de 2005, se citó a los acusados y a dos peritos que ya habían declarado en la vista celebrada ante el Juzgado de lo Penal.</w:t>
      </w:r>
    </w:p>
    <w:p w:rsidR="0026452D" w:rsidRDefault="0026452D" w:rsidP="0026452D">
      <w:pPr>
        <w:pStyle w:val="TextoNormal"/>
      </w:pPr>
    </w:p>
    <w:p w:rsidR="0026452D" w:rsidRDefault="0026452D" w:rsidP="0026452D">
      <w:pPr>
        <w:pStyle w:val="TextoNormal"/>
      </w:pPr>
      <w:r>
        <w:t>La Audiencia Provincial modificó el relato de hechos probados, fijando, en lo que es relevante para la presente demanda de amparo, los siguientes:</w:t>
      </w:r>
    </w:p>
    <w:p w:rsidR="0026452D" w:rsidRDefault="0026452D" w:rsidP="0026452D">
      <w:pPr>
        <w:pStyle w:val="TextoNormal"/>
      </w:pPr>
    </w:p>
    <w:p w:rsidR="0026452D" w:rsidRDefault="0026452D" w:rsidP="0026452D">
      <w:pPr>
        <w:pStyle w:val="TextoNormal"/>
      </w:pPr>
      <w:r>
        <w:t>El recurrente “es arquitecto técnico y jefe de obra del bloque en el que se encontraban los [operarios fallecidos] desmontando los andamios utilizados a pesar de no estar incluidos en el plan de seguridad”. El recurrente “dio la orden de desmontaje de los andamios, sin preocuparse de la preparación y conocimientos técnicos de quienes iban a realizar la operación y sin darles instrucciones de ninguna clase”.</w:t>
      </w:r>
    </w:p>
    <w:p w:rsidR="0026452D" w:rsidRDefault="0026452D" w:rsidP="0026452D">
      <w:pPr>
        <w:pStyle w:val="TextoNormal"/>
      </w:pPr>
    </w:p>
    <w:p w:rsidR="0026452D" w:rsidRDefault="0026452D" w:rsidP="0026452D">
      <w:pPr>
        <w:pStyle w:val="TextoNormal"/>
      </w:pPr>
      <w:r>
        <w:t>En la fundamentación jurídica de la Sentencia, se motivaba la responsabilidad penal del recurrente en los siguientes términos: “entiende el Tribunal que este acusado es responsable de los dos delitos de homicidio imprudente y del delito contra la seguridad en el trabajo, al concurrir en el mismo la condición de sujeto obligado a velar por la seguridad de los trabajadores y por haber infringido este deber de cuidado. El Sr. Queralto Gómez es arquitecto técnico de profesión, empleado de Cogeinsa, que en la obra de la c/ Julián Camarillo desempeñaba las funciones de jefe de obra en el bloque en el que tuvo lugar el accidente mortal … Por su cualificación profesional y su cargo en aquella obra en concreto tenía el deber de velar por la seguridad, en este sentido hay que destacar que también tenía la facultad de paralizar los trabajos prevista en el art. 14 del R.D. 1.627/1.997; a pesar de ello se desentendió por completo de la seguridad en el trabajo. No sólo eso, sino que el Sr. Queralto dio la orden de desmontaje de los andamios por dos operarios sin preocuparse mínimamente de las condiciones de seguridad de dichos operarios, ni de la capacitación de los operarios para realizar la labor encomendada.”</w:t>
      </w:r>
    </w:p>
    <w:p w:rsidR="0026452D" w:rsidRDefault="0026452D" w:rsidP="0026452D">
      <w:pPr>
        <w:pStyle w:val="TextoNormal"/>
      </w:pPr>
    </w:p>
    <w:p w:rsidR="0026452D" w:rsidRDefault="0026452D" w:rsidP="0026452D">
      <w:pPr>
        <w:pStyle w:val="TextoNormal"/>
      </w:pPr>
      <w:r>
        <w:t>c) En relación con las facultades de revisión de una absolución en segunda instancia, manifiesta el órgano de apelación en su Sentencia que “el muy variado contenido de los siete recursos, replanteando en esta segunda instancia prácticamente todas las cuestiones debatidas en el acto del juicio, obliga a este Tribunal a realizar un nuevo juicio completo y de este modo dar respuesta a las distintas peticiones formuladas por los apelantes”. Invocando al respecto las SSTC 167/2002, de 18 de septiembre, y 338/2005, de 20 de diciembre, asume la Audiencia Provincial que está facultada para revisar sin inmediación la corrección lógica de los razonamientos sobre la valoración de la prueba, por lo que la inmediación no ha de jugar un papel limitador en tales casos. En cualquier caso, manifiesta que “de acuerdo con el criterio marcado por la doctrina iniciada por la STC 167/2002 y a petición de una de las acusaciones particulares … se convocó una vista en la que los acusados tuvieron la oportunidad de ser oídos y se practicó la única prueba viable, es decir, la prueba solicitada al Tribunal (pues, obviamente, no es posible practicar pruebas no interesadas)”.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3</w:t>
      </w:r>
      <w:r>
        <w:t>. La demanda de amparo se fundamenta en la vulneración de los derechos a un proceso con todas las garantías (art. 24.2 CE), a la presunción de inocencia (art. 24.2 CE), en relación con los principios de legalidad y seguridad jurídica (art. 9.3 CE), y al derecho a la legalidad penal (art. 25.1 CE).</w:t>
      </w:r>
    </w:p>
    <w:p w:rsidR="0026452D" w:rsidRDefault="0026452D" w:rsidP="0026452D">
      <w:pPr>
        <w:pStyle w:val="TextoNormal"/>
      </w:pPr>
    </w:p>
    <w:p w:rsidR="0026452D" w:rsidRDefault="0026452D" w:rsidP="0026452D">
      <w:pPr>
        <w:pStyle w:val="TextoNormal"/>
      </w:pPr>
      <w:r>
        <w:t>En el primer motivo de amparo invoca la doctrina iniciada con la STC 167/2002, de 18 de septiembre, con cita de buen número de Sentencias de este Tribunal, para denunciar que por la Audiencia Provincial se ha revocado un pronunciamiento absolutorio sin respetar los principios de inmediación y contradicción.</w:t>
      </w:r>
    </w:p>
    <w:p w:rsidR="0026452D" w:rsidRDefault="0026452D" w:rsidP="0026452D">
      <w:pPr>
        <w:pStyle w:val="TextoNormal"/>
      </w:pPr>
    </w:p>
    <w:p w:rsidR="0026452D" w:rsidRDefault="0026452D" w:rsidP="0026452D">
      <w:pPr>
        <w:pStyle w:val="TextoNormal"/>
      </w:pPr>
      <w:r>
        <w:t xml:space="preserve">El segundo motivo de amparo comienza reprochando al órgano de apelación que haya acordado la práctica de diversos medios de prueba en segunda instancia, mediante Auto de 8 de noviembre de 2005, sin someterse a la limitación establecida en el art. 790.3 de la Ley de enjuiciamiento criminal. Concretamente, acordó la admisión del interrogatorio de los acusados y de algunos peritos que ya habían declarado en el juicio celebrado en primera instancia, lo que impedía que pudieran repetirse ante el órgano </w:t>
      </w:r>
      <w:r w:rsidRPr="0026452D">
        <w:rPr>
          <w:i/>
        </w:rPr>
        <w:t>ad quem</w:t>
      </w:r>
      <w:r>
        <w:t>, según dispone el citado precepto. Considera el recurrente que ello es contrario al principio de legalidad (art. 9.3 CE). Afirma, además, que por esa razón cuando fue citado al acto del juicio celebrado en segunda instancia, el recurrente ejerció su derecho a no declarar, ratificando sus declaraciones anteriores. Como segunda vertiente del motivo de amparo, en la que denuncia la vulneración del derecho a la presunción de inocencia (art. 24.2 CE), aduce que, dadas las limitaciones de cognición inherente al órgano de segunda instancia, el Tribunal no ha dictado su resolución condenatoria con base en una actividad probatoria que pueda considerarse de cargo. Afirma además que la conclusión a que llega la Audiencia Provincial sobre que el recurrente dio orden de desmontaje de los andamios sin preocuparse mínimamente de las condiciones de seguridad de los operarios ni de su capacitación es una mera presunción contra el reo que no está sostenida en prueba de cargo.</w:t>
      </w:r>
    </w:p>
    <w:p w:rsidR="0026452D" w:rsidRDefault="0026452D" w:rsidP="0026452D">
      <w:pPr>
        <w:pStyle w:val="TextoNormal"/>
      </w:pPr>
    </w:p>
    <w:p w:rsidR="0026452D" w:rsidRDefault="0026452D" w:rsidP="0026452D">
      <w:pPr>
        <w:pStyle w:val="TextoNormal"/>
      </w:pPr>
      <w:r>
        <w:t>Finalmente, el motivo de amparo que denuncia la lesión del derecho a la legalidad penal (art. 25.1 CE) se fundamenta en que por la Audiencia Provincial se le atribuyó al actor, además de la de jefe de obra, la condición de arquitecto técnico, lo que carece de base probatoria, no resultando acorde al derecho invocado atribuir al recurrente los deberes inherentes al cuerpo de técnicos componentes de la dirección facultativa de la obra. Así, el actor realizaba exclusivamente la función de empleado de la empresa Cogeinsa como jefe de obra, y el art. 14 del Real Decreto 1627/1997 no le atribuye la facultad de paralizar las obras, pues en dicho precepto sólo se contempla al coordinador en materia de seguridad y salud o a quienes estén integrados en la dirección facultativa. Por ello, la extensión al recurrente de las obligaciones de facilitar las medidas a que se refiere el art. 316 del Código penal supuso una extensión analógica de la ley. Por último, denuncia asimismo que la imposición de la pena no está debidamente motivada, habiendo incurrido además en un diferente trato punitivo con relación al resto de los condenados.</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22 de octubre de 2007, la sección Cuarta de este Tribunal acordó, de conformidad con lo dispuesto en el art. 50.3 de la Ley Orgánica del Tribunal Constitucional (LOTC), en la redacción anterior a la actualmente vigente, conceder al demandante de amparo y al Ministerio Fiscal un plazo común de diez días para que formularan, con las aportaciones documentales procedentes, las alegaciones que estimaran pertinentes en relación con la lo dispuesto en el art. 50.1 LOTC.</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el 29 de noviembre de 2011, evacuó el precitado trámite el recurrente de amparo, en el que, sustancialmente, reiteró lo expuesto en la demanda.</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El día 30 de noviembre de 2007 se registró la entrada del escrito de alegaciones del Ministerio Fiscal, en el que proponía la admisión a trámite de la demanda. Basaba su propuesta en la posible existencia de contenido constitucional del primer motivo de amparo, por cuanto en la lectura de la Sentencia de la Audiencia Provincial no se proporcionaban datos para saber si la celebración de vista ante el órgano </w:t>
      </w:r>
      <w:r w:rsidRPr="0026452D">
        <w:rPr>
          <w:i/>
        </w:rPr>
        <w:t>ad quem</w:t>
      </w:r>
      <w:r>
        <w:t xml:space="preserve"> había permitido a este oír los testimonios en cuya valoración que ha fundado su reformulación de los hechos probados.</w:t>
      </w:r>
    </w:p>
    <w:p w:rsidR="0026452D" w:rsidRDefault="0026452D" w:rsidP="0026452D">
      <w:pPr>
        <w:pStyle w:val="TextoNormal"/>
      </w:pPr>
    </w:p>
    <w:p w:rsidR="0026452D" w:rsidRDefault="0026452D" w:rsidP="0026452D">
      <w:pPr>
        <w:pStyle w:val="TextoNormal"/>
      </w:pPr>
      <w:r w:rsidRPr="0026452D">
        <w:rPr>
          <w:rStyle w:val="NumeroAFNegritaCaracter"/>
        </w:rPr>
        <w:t>7</w:t>
      </w:r>
      <w:r>
        <w:t>. La Sala Segunda de este Tribunal, por providencia de 15 de septiembre de 2009, y una vez recibidas las actuaciones, acordó admitir a trámite la demanda de amparo y, en aplicación de lo dispuesto en el art. 51 LOTC, dirigir atentas comunicaciones a los órganos judiciales competentes para el emplazamiento a quienes hubieran sido parte en el procedimiento, a excepción del demandante de amparo, a fin de que, si lo desearen, pudiesen comparecer en el plazo de diez días en el presente proceso de amparo.</w:t>
      </w:r>
    </w:p>
    <w:p w:rsidR="0026452D" w:rsidRDefault="0026452D" w:rsidP="0026452D">
      <w:pPr>
        <w:pStyle w:val="TextoNormal"/>
      </w:pPr>
    </w:p>
    <w:p w:rsidR="0026452D" w:rsidRDefault="0026452D" w:rsidP="0026452D">
      <w:pPr>
        <w:pStyle w:val="TextoNormal"/>
      </w:pPr>
      <w:r>
        <w:t>Igualmente se acordó formar la correspondiente pieza separada de suspensión, en la que, tras los trámites oportunos, se dictó por la Sala Segunda de este Tribunal el Auto de 1 de febrero de 2010, acordando otorgar la suspensión solicitada.</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4 de diciembre de 2009 se tuvo por personado y parte en el procedimiento a la Procuradora doña María Salud Jiménez Muñoz, en nombre y representación de don Jacinto Calvente Crespo, a la Procuradora doña Teresa Puente Méndez, en nombre y representación de don Emilio Antonio Rodríguez Castelló, a la Procuradora doña María Dolores Maroto Gómez, en nombre y representación de Unión Sindical Madrid-Región (USMR CCOO), al Procurador don Jorge Laguna Alonso, en nombre y representación de don Felipe Espinosa Prieto, y al Procurador don Juan Escrivá de Romaní, en nombre y representación de doña María del Carmen Martínez Soriano; asimismo se tuvo por personada y parte a la Procuradora doña María Luisa López-Puigcerver Portillo, en nombre y representación de don Juan Ángel Baigorri Aguirre, condicionado a que en el plazo de diez días presentara el poder para pleitos original que acredite la representación que dice ostentar.</w:t>
      </w:r>
    </w:p>
    <w:p w:rsidR="0026452D" w:rsidRDefault="0026452D" w:rsidP="0026452D">
      <w:pPr>
        <w:pStyle w:val="TextoNormal"/>
      </w:pPr>
    </w:p>
    <w:p w:rsidR="0026452D" w:rsidRDefault="0026452D" w:rsidP="0026452D">
      <w:pPr>
        <w:pStyle w:val="TextoNormal"/>
      </w:pPr>
      <w:r>
        <w:t>De igual modo, se acordó dar vista de las actuaciones recibidas al Ministerio Fiscal y a las restantes partes personadas por plazo común de veinte días para presentar las alegaciones que estimase pertinentes, de conformidad con el art. 52.1 LOTC.</w:t>
      </w:r>
    </w:p>
    <w:p w:rsidR="0026452D" w:rsidRDefault="0026452D" w:rsidP="0026452D">
      <w:pPr>
        <w:pStyle w:val="TextoNormal"/>
      </w:pPr>
    </w:p>
    <w:p w:rsidR="0026452D" w:rsidRDefault="0026452D" w:rsidP="0026452D">
      <w:pPr>
        <w:pStyle w:val="TextoNormal"/>
      </w:pPr>
      <w:r w:rsidRPr="0026452D">
        <w:rPr>
          <w:rStyle w:val="NumeroAFNegritaCaracter"/>
        </w:rPr>
        <w:t>9</w:t>
      </w:r>
      <w:r>
        <w:t xml:space="preserve">. Mediante escrito registrado el 19 de enero de 2010, el Ministerio Fiscal presentó escrito de alegaciones solicitando la desestimación de la demanda de amparo. En relación con el primer motivo de amparo, argumenta que, si bien la Sentencia de apelación realiza una reformulación parcial de los hechos probados, no conlleva una alteración sustancial de los mismos sino que tal modificación se presenta con carácter complementario. En concreto, se incluye que la cualificación profesional del recurrente —arquitecto técnico— y que fue la persona que dio la orden de desmontaje del andamio, añadiendo dos datos adicionales: que no se preocupó de contrastar la preparación y conocimientos técnicos de los operarios que iban a realizar la operación de desmontaje, y que no les dio instrucciones de ninguna clase. </w:t>
      </w:r>
      <w:r>
        <w:lastRenderedPageBreak/>
        <w:t xml:space="preserve">Tras poner de manifiesto que la parquedad justificativa de la Sentencia impugnada obliga a indagar en las actuaciones al objeto de determinar en qué medios de prueba se basó la Audiencia Provincial para fundar la modificación de hechos probados, concluye el Ministerio Fiscal que, de una parte, la conclusión a que llega de que su condición como jefe de obra le obligaba, según el art. 14 del Real Decreto 1627/1997, a velar por la seguridad de los trabajadores no es una valoración de prueba personal sino una distinta inferencia; de otra, las restantes conclusiones las obtiene el órgano judicial de las propias declaraciones del acusado y de otro testigo prestadas en fase de instrucción y en el juicio celebrado en primera instancia, juicio de valoración que estaba permitido al órgano de apelación a partir de la presencia en el juicio celebrado ante el órgano </w:t>
      </w:r>
      <w:r w:rsidRPr="0026452D">
        <w:rPr>
          <w:i/>
        </w:rPr>
        <w:t>ad quem</w:t>
      </w:r>
      <w:r>
        <w:t xml:space="preserve"> del propio acusado, quien se ratificó en sus anteriores declaraciones, máxime teniendo en cuenta que en tal valoración no existe una revisión de la credibilidad de los testimonios. En definitiva, manifiesta el Ministerio público que, partiendo del mismo material probatorio, sin discrepancias en términos de credibilidad, el órgano de apelación llega a conclusiones distintas acerca de las obligaciones legales del demandante de amparo, sin que ello suponga una extralimitación de sus facultades contraria a la doctrina constitucional establecida en la STC 167/2002, de 18 de septiembre.</w:t>
      </w:r>
    </w:p>
    <w:p w:rsidR="0026452D" w:rsidRDefault="0026452D" w:rsidP="0026452D">
      <w:pPr>
        <w:pStyle w:val="TextoNormal"/>
      </w:pPr>
    </w:p>
    <w:p w:rsidR="0026452D" w:rsidRDefault="0026452D" w:rsidP="0026452D">
      <w:pPr>
        <w:pStyle w:val="TextoNormal"/>
      </w:pPr>
      <w:r>
        <w:t>Con relación al segundo motivo de amparo, manifiesta el Fiscal que dicha queja carece de toda relevancia constitucional. Respecto de la prueba pericial admitida, la misma no fue tenida en cuenta para fundar el pronunciamiento condenatorio y, respecto de la declaraciones de los coacusados, la STC 16/2009, con mención de la STC 48/2008, ya afirmó que no forma parte de la competencia del Tribunal Constitucional la interpretación que haya de darse a la legalidad procesal, y que la comparecencia de los acusados no comporta quiebra alguna del art. 24.2 CE. También debe desestimarse el motivo que denuncia la vulneración del derecho a la presunción de inocencia (art. 24.2 CE), puesto que la condena está sostenida en prueba de cargo suficiente; concretamente, en la inferencia obtenida de las declaraciones del propio recurrente y de otro testigo, que no puede considerarse arbitraria ni irrazonable.</w:t>
      </w:r>
    </w:p>
    <w:p w:rsidR="0026452D" w:rsidRDefault="0026452D" w:rsidP="0026452D">
      <w:pPr>
        <w:pStyle w:val="TextoNormal"/>
      </w:pPr>
    </w:p>
    <w:p w:rsidR="0026452D" w:rsidRDefault="0026452D" w:rsidP="0026452D">
      <w:pPr>
        <w:pStyle w:val="TextoNormal"/>
      </w:pPr>
      <w:r>
        <w:t xml:space="preserve">Por lo que respecta al motivo de amparo basado en la lesión del derecho a la legalidad penal (art. 25.1 CE), considera el Ministerio Fiscal que buena parte de su base argumental habría de encauzarse desde el análisis del derecho a la presunción de inocencia, si bien, en todo caso, no se constata una aplicación analógica de la legalidad. Por último, en relación con la otra vertiente de la queja, referida a la ausencia de motivación de la individualización de la pena, concluye el Fiscal que la opción del órgano judicial de imponer la pena mínima de prisión neutraliza tal reproche; y por lo que se refiere a la pena de inhabilitación, el órgano </w:t>
      </w:r>
      <w:r w:rsidRPr="0026452D">
        <w:rPr>
          <w:i/>
        </w:rPr>
        <w:t>ad quem</w:t>
      </w:r>
      <w:r>
        <w:t xml:space="preserve"> razona su imposición dada la íntima relación existente entre el ejercicio de su profesión y la comisión del delito.</w:t>
      </w:r>
    </w:p>
    <w:p w:rsidR="0026452D" w:rsidRDefault="0026452D" w:rsidP="0026452D">
      <w:pPr>
        <w:pStyle w:val="TextoNormal"/>
      </w:pPr>
    </w:p>
    <w:p w:rsidR="0026452D" w:rsidRDefault="0026452D" w:rsidP="0026452D">
      <w:pPr>
        <w:pStyle w:val="TextoNormal"/>
      </w:pPr>
      <w:r w:rsidRPr="0026452D">
        <w:rPr>
          <w:rStyle w:val="NumeroAFNegritaCaracter"/>
        </w:rPr>
        <w:t>10</w:t>
      </w:r>
      <w:r>
        <w:t>. Mediante escrito registrado el 19 de enero de 2010, la representación procesal de don Emilio Antonio Rodríguez Castelló presentó escrito de alegaciones, en el que mostró su conformidad con el contenido de la demanda de amparo y, remitiéndose a las alegaciones formuladas en su escrito de personación, manifestó que debe estimarse la demanda de amparo, alcanzando sus efectos a la parte personada, por haber sido parte coadyuvante y haber presentado demanda de amparo en idénticos términos, que fue inadmitida por el Tribunal Constitucional. Asimismo, reiteró la solicitud de suspensión de la pena impuesta.</w:t>
      </w:r>
    </w:p>
    <w:p w:rsidR="0026452D" w:rsidRDefault="0026452D" w:rsidP="0026452D">
      <w:pPr>
        <w:pStyle w:val="TextoNormal"/>
      </w:pPr>
    </w:p>
    <w:p w:rsidR="0026452D" w:rsidRDefault="0026452D" w:rsidP="0026452D">
      <w:pPr>
        <w:pStyle w:val="TextoNormal"/>
      </w:pPr>
      <w:r>
        <w:lastRenderedPageBreak/>
        <w:t>Por diligencia de ordenación de 27 de enero de 2010, la Secretaría de Justicia de la Sala Segunda acordó que, en relación con la solicitud de suspensión, se estuviera a lo acordado en resoluciones de 4 de diciembre de 2009 y 4 de enero de 2010.</w:t>
      </w:r>
    </w:p>
    <w:p w:rsidR="0026452D" w:rsidRDefault="0026452D" w:rsidP="0026452D">
      <w:pPr>
        <w:pStyle w:val="TextoNormal"/>
      </w:pPr>
    </w:p>
    <w:p w:rsidR="0026452D" w:rsidRDefault="0026452D" w:rsidP="0026452D">
      <w:pPr>
        <w:pStyle w:val="TextoNormal"/>
      </w:pPr>
      <w:r w:rsidRPr="0026452D">
        <w:rPr>
          <w:rStyle w:val="NumeroAFNegritaCaracter"/>
        </w:rPr>
        <w:t>11</w:t>
      </w:r>
      <w:r>
        <w:t xml:space="preserve">. Mediante escrito registrado el 19 de enero de 2010, la representación procesal de doña María del Carmen Martínez Soriano solicitó que se desestimara la demanda de amparo, en la consideración de que la condena impuesta no se ha basado en la valoración de pruebas personales sino en base a un distinto procedimiento deductivo que el seguido por el juzgador </w:t>
      </w:r>
      <w:r w:rsidRPr="0026452D">
        <w:rPr>
          <w:i/>
        </w:rPr>
        <w:t>a quo</w:t>
      </w:r>
      <w:r>
        <w:t>, y porque la condena está sostenida en prueba de cargo suficiente.</w:t>
      </w:r>
    </w:p>
    <w:p w:rsidR="0026452D" w:rsidRDefault="0026452D" w:rsidP="0026452D">
      <w:pPr>
        <w:pStyle w:val="TextoNormal"/>
      </w:pPr>
    </w:p>
    <w:p w:rsidR="0026452D" w:rsidRDefault="0026452D" w:rsidP="0026452D">
      <w:pPr>
        <w:pStyle w:val="TextoNormal"/>
      </w:pPr>
      <w:r w:rsidRPr="0026452D">
        <w:rPr>
          <w:rStyle w:val="NumeroAFNegritaCaracter"/>
        </w:rPr>
        <w:t>12</w:t>
      </w:r>
      <w:r>
        <w:t>. Mediante escrito registrado el 19 de enero de 2010, la representación procesal de don Juan Ángel Baigorri manifestó estar en absoluta conformidad con el contenido de la demanda de amparo, aduciendo que la estimación de la demanda de amparo supondría la declaración de nulidad de la Sentencia recurrida, teniendo efectos sobre todos los condenados.</w:t>
      </w:r>
    </w:p>
    <w:p w:rsidR="0026452D" w:rsidRDefault="0026452D" w:rsidP="0026452D">
      <w:pPr>
        <w:pStyle w:val="TextoNormal"/>
      </w:pPr>
    </w:p>
    <w:p w:rsidR="0026452D" w:rsidRDefault="0026452D" w:rsidP="0026452D">
      <w:pPr>
        <w:pStyle w:val="TextoNormal"/>
      </w:pPr>
      <w:r w:rsidRPr="0026452D">
        <w:rPr>
          <w:rStyle w:val="NumeroAFNegritaCaracter"/>
        </w:rPr>
        <w:t>13</w:t>
      </w:r>
      <w:r>
        <w:t>. Mediante escrito registrado en idéntica fecha, la representación procesal de don Jacinto Calvete Crespo se ratificó en el contenido de su escrito de personación, en el que, manifestando que se interpuso recurso de amparo basado en idénticos motivos que el presente, el cual fue inadmitido por providencia de 12 de septiembre de 2007, solicitó el otorgamiento del amparo y que sus efectos alcanzaran a las partes coadyuvantes.</w:t>
      </w:r>
    </w:p>
    <w:p w:rsidR="0026452D" w:rsidRDefault="0026452D" w:rsidP="0026452D">
      <w:pPr>
        <w:pStyle w:val="TextoNormal"/>
      </w:pPr>
    </w:p>
    <w:p w:rsidR="0026452D" w:rsidRDefault="0026452D" w:rsidP="0026452D">
      <w:pPr>
        <w:pStyle w:val="TextoNormal"/>
      </w:pPr>
      <w:r w:rsidRPr="0026452D">
        <w:rPr>
          <w:rStyle w:val="NumeroAFNegritaCaracter"/>
        </w:rPr>
        <w:t>14</w:t>
      </w:r>
      <w:r>
        <w:t>. Mediante escrito registrado en idéntica fecha, la representación procesal de don Felipe Espinosa Prieto hizo suyos los motivos de amparo formulados en la demanda, denunciando además la vulneración de sus derechos fundamentales a un proceso con todas las garantías, a la defensa y a la presunción de inocencia, y solicitó la estimación de la demanda de amparo y el restablecimiento de los derechos fundamentales vulnerados.</w:t>
      </w:r>
    </w:p>
    <w:p w:rsidR="0026452D" w:rsidRDefault="0026452D" w:rsidP="0026452D">
      <w:pPr>
        <w:pStyle w:val="TextoNormal"/>
      </w:pPr>
    </w:p>
    <w:p w:rsidR="0026452D" w:rsidRDefault="0026452D" w:rsidP="0026452D">
      <w:pPr>
        <w:pStyle w:val="TextoNormal"/>
      </w:pPr>
      <w:r w:rsidRPr="0026452D">
        <w:rPr>
          <w:rStyle w:val="NumeroAFNegritaCaracter"/>
        </w:rPr>
        <w:t>15</w:t>
      </w:r>
      <w:r>
        <w:t>. El Pleno por providencia 3 de julio de 2012, acordó recabar para sí el conocimiento del recurso de amparo que se tramita en la Sala Segunda de este Tribunal.</w:t>
      </w:r>
    </w:p>
    <w:p w:rsidR="0026452D" w:rsidRDefault="0026452D" w:rsidP="0026452D">
      <w:pPr>
        <w:pStyle w:val="TextoNormal"/>
      </w:pPr>
    </w:p>
    <w:p w:rsidR="0026452D" w:rsidRDefault="0026452D" w:rsidP="0026452D">
      <w:pPr>
        <w:pStyle w:val="TextoNormal"/>
      </w:pPr>
      <w:r w:rsidRPr="0026452D">
        <w:rPr>
          <w:rStyle w:val="NumeroAFNegritaCaracter"/>
        </w:rPr>
        <w:t>16</w:t>
      </w:r>
      <w:r>
        <w:t>. Por providencia de 29 de enero de 2013, se señaló para votación y fallo de la Sentencia el día 31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El presente recurso de amparo se dirige contra la Sentencia dictada el 20 de julio de 2006 por la Sección Segunda de la Audiencia Provincial de Madrid que, revocando la Sentencia absolutoria de 3 de septiembre de 2004 dictada por el Juzgado de lo Penal núm. 19 de Madrid, condena al recurrente como autor de dos delitos de homicidio imprudente en concurso con un delito contra la seguridad de los trabajadores. Se funda la demanda en la vulneración del derecho a un proceso con todas las garantías (art. 24.2 CE), al no haberse respetado las garantías de inmediación y contradicción en la valoración de las pruebas en segunda instancia que sustentan la condena, conforme a lo exigido por la STC 167/2002, de </w:t>
      </w:r>
      <w:r>
        <w:lastRenderedPageBreak/>
        <w:t>18 de septiembre, y las que posteriormente aplican esta doctrina, en la vulneración del derecho a la presunción de inocencia (art. 24.2 CE) y en la del derecho a la legalidad penal (art. 25.1 CE). El Ministerio Fiscal solicita la desestimación del recurso de amparo.</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es preciso poner de manifiesto que en ningún caso sería posible acceder a la pretensión formulada por distintas partes personadas de que los efectos de un eventual otorgamiento del amparo se extiendan a la nulidad de sus condenas dictadas en la Sentencia que ahora se recurre. Como recuerda la STC 16/2009, de 26 de enero, este Tribunal “ha negado siempre la 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(FJ 1). Así, quienes no interpusieron recurso de amparo dentro del plazo legal, lo hicieron en términos inadmisibles o, como acontece en el presente caso, han visto inadmitidos los recursos de amparo que en su momento interpusieron,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(STC 16/2009, de 26 de enero, FJ 1, citando, entre otras, las SSTC 241/1994, de 20 de julio, FJ 3; 192/2004, de 2 de noviembre, FJ 5; o 145/2005, de 6 de junio, FJ 9).</w:t>
      </w:r>
    </w:p>
    <w:p w:rsidR="0026452D" w:rsidRDefault="0026452D" w:rsidP="0026452D">
      <w:pPr>
        <w:pStyle w:val="TextoNormal"/>
      </w:pPr>
    </w:p>
    <w:p w:rsidR="0026452D" w:rsidRDefault="0026452D" w:rsidP="0026452D">
      <w:pPr>
        <w:pStyle w:val="TextoNormal"/>
      </w:pPr>
      <w:r w:rsidRPr="0026452D">
        <w:rPr>
          <w:rStyle w:val="NumeroAFNegritaCaracter"/>
        </w:rPr>
        <w:t>3</w:t>
      </w:r>
      <w:r>
        <w:t>. El primer motivo de amparo denuncia que la revocación de la absolución acordada en segunda instancia por el órgano de apelación ha supuesto la vulneración del derecho a un proceso con todas las garantías, al no haberse respetado las garantías de inmediación y contradicción (art. 24.2 CE). En conexión con esta queja, se objeta además que por el órgano judicial de apelación se haya procedido a celebrar vista en segunda instancia infringiendo las limitaciones legales dispuestas en el art. 790.3 de la Ley de enjuiciamiento criminal (LECrim), alegación cuyo análisis resulta procedente abordar con carácter previo.</w:t>
      </w:r>
    </w:p>
    <w:p w:rsidR="0026452D" w:rsidRDefault="0026452D" w:rsidP="0026452D">
      <w:pPr>
        <w:pStyle w:val="TextoNormal"/>
      </w:pPr>
    </w:p>
    <w:p w:rsidR="0026452D" w:rsidRDefault="0026452D" w:rsidP="0026452D">
      <w:pPr>
        <w:pStyle w:val="TextoNormal"/>
      </w:pPr>
      <w:r>
        <w:t xml:space="preserve">Para rechazar el citado reproche bastará con remitirnos a lo que, ante una queja similar acordamos en la STC 91/2009, 26 de enero, al afirmar que “[n]inguna relevancia constitucional tiene, en segundo lugar, el hecho en sí de que el Tribunal de apelación decidiera la comparecencia de los acusados. Conviene recordar, con la Sentencia de Pleno STC 48/2008, de 11 de marzo, que ‘[no] forma parte de nuestra competencia la de interpretación de las normas procesales que rigen la prueba ni, en concreto, en lo que ahora importa, qué pruebas deben practicarse en la apelación penal a partir de la dicción de los apartados 2 y 3 del art. 790 LECrim’ (FJ 3) y, en relación con la STC 167/2002 ‘y las numerosas Sentencias que han aplicado y perfilado su doctrina en torno a la garantías procesales de inmediación y contradicción’, no es el objeto de la misma ‘el análisis constitucional de los supuestos en los que se puede apelar, o las razones por las que puede hacerse, o los casos en los que la revisión debe conformar la práctica y la valoración de la prueba. Su objeto es, sencilla pero trascendentalmente …) el de afirmar que, para justificar una condena, no cabe valorar una prueba de cargo sin inmediación, y tampoco sin contradicción y publicidad … puesto que </w:t>
      </w:r>
      <w:r>
        <w:lastRenderedPageBreak/>
        <w:t>éstas constituyen garantías esenciales de la ‘corrección de la valoración’ (FJ 4). Del mismo modo que esta doctrina ‘no comporta que deban practicarse necesariamente nuevas pruebas en apelación cuando los recurrentes cuestionen los hechos declarados como probados, cuestión que sólo al legislador corresponde decidir en su competencia de configuración de los recursos penales, sino únicamente que al órgano judicial le está vedada la valoración de las pruebas personales que no se hayan practicado ante él’ (FJ 5), tampoco comporta, obvio es decirlo, que no puedan practicarse pruebas en apelación; del mismo modo que ‘[e]n la STC 167/2002 … este Tribunal no ha venido a cuestionar por constitucionalmente insuficiente el ámbito de la apelación penal en nuestro Ordenamiento jurídico, sino sólo a exigir que en su desarrollo se observen las garantías constitucionales’, obvio es que tampoco ha venido a cuestionarlo por excesivo (FJ 5).”</w:t>
      </w:r>
    </w:p>
    <w:p w:rsidR="0026452D" w:rsidRDefault="0026452D" w:rsidP="0026452D">
      <w:pPr>
        <w:pStyle w:val="TextoNormal"/>
      </w:pPr>
    </w:p>
    <w:p w:rsidR="0026452D" w:rsidRDefault="0026452D" w:rsidP="0026452D">
      <w:pPr>
        <w:pStyle w:val="TextoNormal"/>
      </w:pPr>
      <w:r>
        <w:t>La anterior doctrina determina, pues, que la comparecencia y declaración de los acusados en la apelación no supone en sí misma quiebra alguna del art. 24.2 CE, al no constituir ni una práctica vetada por la Constitución ni el fruto de una interpretación intolerable de la Ley de enjuiciamiento criminal, sino al contrario. Es más, cuando se practique prueba en apelación, podrá resultar en ciertos casos constitucionalmente obligada aquella comparecencia como exigencia de la garantía de contradicción o del derecho de defensa. Como indicaba la STC 48/2008, de 11 de marzo, “‘la de inmediación no es la única garantía constitucional del proceso que debe respetarse en fase de apelación. Deben respetarse todas las garantías del proceso, pues sin ellas no se dan los presupuestos mínimos para la defensa y para la corrección de las constataciones y valoraciones judiciales … La preservación de tales garantías podrá comportar desde la perspectiva de las garantías constitucionales que, cuando proceda legalmente la práctica de prueba de cargo en apelación para que el órgano de apelación proceda con inmediación y contradicción a la valoración de la misma, deba practicarse otro tipo de pruebas imprescindibles para confrontar las primeras y, singularmente, la declaración del acusado’ (FJ 6)” (STC 16/2009, de 26 de enero, FJ 4).</w:t>
      </w:r>
    </w:p>
    <w:p w:rsidR="0026452D" w:rsidRDefault="0026452D" w:rsidP="0026452D">
      <w:pPr>
        <w:pStyle w:val="TextoNormal"/>
      </w:pPr>
    </w:p>
    <w:p w:rsidR="0026452D" w:rsidRDefault="0026452D" w:rsidP="0026452D">
      <w:pPr>
        <w:pStyle w:val="TextoNormal"/>
      </w:pPr>
      <w:r>
        <w:t>Es más, añadimos ahora, la manera de hacer compatibles la Jurisprudencia constitucional, dictada en aplicación de doctrina del Tribunal Europeo de Derechos Humanos sobre la exigencia de inmediación en la valoración de las pruebas incriminatorias de naturaleza personal en la apelación de Sentencias absolutorias en la instancia, por un lado, y el precepto limitador de dichas pruebas del art. 790.3 LECrim por otro, es considerar que, como ha venido a entender la Sala sentenciadora, cuando la pretensión revocatoria del fallo absolutorio se funda en una nueva valoración de dichas pruebas personales ya practicadas, puede facilitarse la inmediación del órgano de apelación, citando a la vista a los intervinientes en la instancia.</w:t>
      </w:r>
    </w:p>
    <w:p w:rsidR="0026452D" w:rsidRDefault="0026452D" w:rsidP="0026452D">
      <w:pPr>
        <w:pStyle w:val="TextoNormal"/>
      </w:pPr>
    </w:p>
    <w:p w:rsidR="0026452D" w:rsidRDefault="0026452D" w:rsidP="0026452D">
      <w:pPr>
        <w:pStyle w:val="TextoNormal"/>
      </w:pPr>
      <w:r>
        <w:t xml:space="preserve">En el presente caso, ninguna vulneración constitucional del derecho a un proceso con todas las garantías de inmediación y contradicción (art. 24.2 CE) puede apreciarse en el proceder de la Audiencia Provincial, que consideró necesario convocar una vista oral, a los efectos de oír a los acusados y a los peritos cuya presencia fue solicitada por una de las partes apelantes, precisamente con la finalidad de cumplir con los requerimientos establecidos por la doctrina constitucional inaugurada por la STC 167/2002, de 18 de septiembre —tal como expresamente se motiva en la Sentencia impugnada—, a partir de un entendimiento no arbitrario ni irrazonable de la misma y en el ejercicio de su exclusiva competencia para interpretar la legalidad procesal, de la que forma parte el art. 791.1 de la Ley de enjuiciamiento criminal, que permite la celebración de vista “cuando, de oficio o a petición de parte, </w:t>
      </w:r>
      <w:r>
        <w:lastRenderedPageBreak/>
        <w:t>la estime el Tribunal necesaria para la correcta formación de una convicción fundada”. Dicha vista fue convocada por el órgano jurisdiccional con la finalidad de que los acusados tuvieran la oportunidad de ser oídos, y en su transcurso se practicó la única prueba viable, la solicitada al Tribunal. Este escrupuloso y correcto proceder, a los efectos constitucionales de la garantía del principio de inmediación, no puede ser merecedor de reproche alguno y determina que debamos descartar la vulneración de los derechos alegada.</w:t>
      </w:r>
    </w:p>
    <w:p w:rsidR="0026452D" w:rsidRDefault="0026452D" w:rsidP="0026452D">
      <w:pPr>
        <w:pStyle w:val="TextoNormal"/>
      </w:pPr>
    </w:p>
    <w:p w:rsidR="0026452D" w:rsidRDefault="0026452D" w:rsidP="0026452D">
      <w:pPr>
        <w:pStyle w:val="TextoNormal"/>
      </w:pPr>
      <w:r w:rsidRPr="0026452D">
        <w:rPr>
          <w:rStyle w:val="NumeroAFNegritaCaracter"/>
        </w:rPr>
        <w:t>4</w:t>
      </w:r>
      <w:r>
        <w:t>. Sentado lo anterior, el siguiente paso de nuestro enjuiciamiento habría de ser el primer motivo de amparo, referido a la vulneración del derecho a un proceso con todas las garantías (art. 24.2 CE) por haberse revocado una absolución a partir de una nueva valoración de pruebas personales sin las garantías de inmediación y contradicción. No obstante, es preciso anticipar que la ausencia de motivación sobre la valoración de la prueba en que incurre la Sentencia de la Audiencia Provincial nos va a impedir disponer de los necesarios elementos de juicio para abordar el análisis relativo a si la condena del actor se ha fundado en un distinto juicio sobre la credibilidad de los testimonios al efectuado por el órgano de primera instancia, supuesto en el que, con arreglo a la consolidada doctrina desarrollada por este Tribunal a partir de la STC 167/2002, de 18 de septiembre, procedería declarar la vulneración del derecho fundamental.</w:t>
      </w:r>
    </w:p>
    <w:p w:rsidR="0026452D" w:rsidRDefault="0026452D" w:rsidP="0026452D">
      <w:pPr>
        <w:pStyle w:val="TextoNormal"/>
      </w:pPr>
    </w:p>
    <w:p w:rsidR="0026452D" w:rsidRDefault="0026452D" w:rsidP="0026452D">
      <w:pPr>
        <w:pStyle w:val="TextoNormal"/>
      </w:pPr>
      <w:r>
        <w:t>Recuerda al respecto la STC 135/2011, de 12 de septiembre, que “nuestra doctrina sobre las condenas penales en segunda instancia previa revocación de un pronunciamiento absolutorio, que se inicia en la STC 167/2002, de 18 de septiembre (FFJJ 9 a 11), y ha sido reiterada en numerosas Sentencias posteriores (entre las más recientes SSTC 21/2009, de 26 de enero, FJ 2; 24/2009, de 26 de enero, FJ 2; y 118/2009, de 18 de mayo, FJ 3), señala que ‘el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En aplicación de esta doctrina hemos dicho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Habiéndose enfatizado que el órgano de apelación no puede operar una modificación de los hechos probados que conduzca a la condena del acusado si tal modificación no viene precedida del examen directo y personal de los acusados o testigos en un debate público en el que se respete la posibilidad de contradicción (SSTC 170/2005, de 20 de junio, FJ 2, 164/2007, de 2 julio, FJ 2, y 60/2008, de 26 de mayo, FJ 5). De acuerdo con esa misma jurisprudencia, la constatación por las indicadas razones de la vulneración del derecho a un proceso con todas las garantías (art. 24.2 CE) determina también la del derecho a la presunción de inocencia (art. 24.2 CE), si los aludidos medios de prueba indebidamente valorados en la segunda instancia son las únicas pruebas de cargo en las que se fundamenta la condena (SSTC 90/2006, de 27 de marzo, FJ 3; 95/2006, de 27 de marzo, FJ 1; 217/2006, de 3 de julio, FJ 1; 309/2006, de 23 de octubre, FJ 2; 360/2006, de 18 de diciembre, FFJJ 3 y 4)” (FJ 2).</w:t>
      </w:r>
    </w:p>
    <w:p w:rsidR="0026452D" w:rsidRDefault="0026452D" w:rsidP="0026452D">
      <w:pPr>
        <w:pStyle w:val="TextoNormal"/>
      </w:pPr>
    </w:p>
    <w:p w:rsidR="0026452D" w:rsidRDefault="0026452D" w:rsidP="0026452D">
      <w:pPr>
        <w:pStyle w:val="TextoNormal"/>
      </w:pPr>
      <w:r>
        <w:lastRenderedPageBreak/>
        <w:t>La STC 201/2012, de 12 de noviembre, FJ 4, por su parte, ha reiterado, por lo que respecta a las posibilidades de celebración de vista oral en segunda instancia, que “para justificar una condena, no cabe valorar una prueba de cargo sin inmediación, y tampoco sin contradicción y publicidad”.</w:t>
      </w:r>
    </w:p>
    <w:p w:rsidR="0026452D" w:rsidRDefault="0026452D" w:rsidP="0026452D">
      <w:pPr>
        <w:pStyle w:val="TextoNormal"/>
      </w:pPr>
    </w:p>
    <w:p w:rsidR="0026452D" w:rsidRDefault="0026452D" w:rsidP="0026452D">
      <w:pPr>
        <w:pStyle w:val="TextoNormal"/>
      </w:pPr>
      <w:r>
        <w:t xml:space="preserve">Como con más detalle se ha expuesto en los antecedentes, la Audiencia Provincial modificó parcialmente los hechos declarados probados por el órgano de primera instancia, añadiendo que el recurrente era arquitecto técnico de profesión y que dio la orden de desmontaje de los andamios, sin preocuparse de la preparación y conocimientos técnicos de quienes iban a realizar la operación y sin darles instrucciones de ninguna clase. Junto a esa modificación, el órgano de apelación concluyó —discrepando de las conclusiones a que había llegado el órgano </w:t>
      </w:r>
      <w:r w:rsidRPr="0026452D">
        <w:rPr>
          <w:i/>
        </w:rPr>
        <w:t>a quo</w:t>
      </w:r>
      <w:r>
        <w:t>— que al recurrente le era exigible velar por la seguridad de los trabajadores y que infringió el deber de cuidado del que era competente. Concretamente, se afirma en la Sentencia combatida que “por su cualificación profesional y su cargo en aquella obra en concreto tenía el deber de velar por la seguridad, en este sentido hay que destacar que también tenía la facultad de paralizar los trabajos prevista en el art. 14 del Real Decreto 1627/1997; a pesar de ello se desentendió por completo de la seguridad en el trabajo. No sólo eso, sino que el Sr. Queralto dio la orden de desmontaje de los andamios por dos operarios sin preocuparse mínimamente de las condiciones de seguridad de dichos operarios, ni de la capacitación de los operarios para realizar la labor encomendada”.</w:t>
      </w:r>
    </w:p>
    <w:p w:rsidR="0026452D" w:rsidRDefault="0026452D" w:rsidP="0026452D">
      <w:pPr>
        <w:pStyle w:val="TextoNormal"/>
      </w:pPr>
    </w:p>
    <w:p w:rsidR="0026452D" w:rsidRDefault="0026452D" w:rsidP="0026452D">
      <w:pPr>
        <w:pStyle w:val="TextoNormal"/>
      </w:pPr>
      <w:r>
        <w:t>Por lo que respecta a las consideraciones de que el recurrente era, en su condición de jefe de obra, uno de los sujetos obligados a velar por las condiciones de seguridad en el trabajo, y que según la citada normativa tenía la facultad de paralizar los trabajos, constituyen manifestaciones de una divergente interpretación de la legalidad aplicable al caso concreto que, en cuanto no conlleva una distinta fijación de los hechos ni, por descontado, presupone una valoración de pruebas personales, ha de entenderse plenamente acorde al derecho fundamental invocado. De igual modo, tampoco la inclusión en el relato fáctico de la cualificación profesional del actor se revela contraria a las garantías constitucionales, puesto que constituye un dato obtenido a partir de prueba documental cuyo análisis no precisa de inmediación.</w:t>
      </w:r>
    </w:p>
    <w:p w:rsidR="0026452D" w:rsidRDefault="0026452D" w:rsidP="0026452D">
      <w:pPr>
        <w:pStyle w:val="TextoNormal"/>
      </w:pPr>
    </w:p>
    <w:p w:rsidR="0026452D" w:rsidRDefault="0026452D" w:rsidP="0026452D">
      <w:pPr>
        <w:pStyle w:val="TextoNormal"/>
      </w:pPr>
      <w:r>
        <w:t xml:space="preserve">Las dudas se proyectan en torno a las conclusiones de carácter fáctico referidas a que el actor no se preocupó de la preparación y conocimientos técnicos de los operarios encargados del desmontaje del andamio, y de que no les dio instrucciones de ninguna clase. Y es respecto de ellas sobre las que el órgano de apelación ha incurrido en la citada falta de argumentación —puesta de manifiesto también por el Ministerio Fiscal—, al no haber hecho mención alguna acerca de los medios probatorios o los razonamientos a partir de los que llega a tales conclusiones fácticas sobre la participación del recurrente en los hechos delictivos imputados. De una parte, la Sentencia condenatoria expone con encomiable amplitud diversas circunstancias fácticas relevantes para la calificación jurídico-penal de los hechos, así como las fuentes de prueba de las que se obtienen. Así, por ejemplo, considera probado que en el plan de seguridad nada se mencionaba de la utilización de un andamio motorizado como el que dio lugar al accidente mortal, obteniendo tal conclusión de lo declarado por los peritos y derivando de la misma, razonadamente, que al no estar previsto el riesgo que representaba la utilización del andamio tampoco se previeron medidas de seguridad para evitar tal riesgo; y entendía también acreditado que la caída de los trabajadores y su muerte </w:t>
      </w:r>
      <w:r>
        <w:lastRenderedPageBreak/>
        <w:t>estaba directamente relacionada con su falta de conocimientos y preparación, y con la ausencia de supervisión de su labor en el andamio por quienes estaban obligados a vigilar y llevar a la práctica el plan de seguridad, citando el informe del inspector de trabajo como fuente probatoria. No obstante, a la hora de atribuir los hechos delictivos al recurrente en emparo, se limita la Sala a afirmar que “el Sr. Queralto dio la orden de desmontaje de los andamios por dos operarios sin preocuparse mínimamente de las condiciones de seguridad de dichos operarios, ni de la capacitación de los operarios para realizar la labor encomendada”, sin hacer mención alguna a los medios de prueba a partir de los que llega a tal aseveración ni dar razones que indiquen el itinerario argumental seguido a tal fin. Tales datos sobre el comportamiento del actor fueron incorporados expresamente al relato de hechos probados por la Audiencia Provincial, sin que hubieran sido tomados en consideración por la Sentencia absolutoria del Juzgado de lo Penal; por ello, tampoco de su lectura cabe inferir el origen probatorio de los mismos.</w:t>
      </w:r>
    </w:p>
    <w:p w:rsidR="0026452D" w:rsidRDefault="0026452D" w:rsidP="0026452D">
      <w:pPr>
        <w:pStyle w:val="TextoNormal"/>
      </w:pPr>
    </w:p>
    <w:p w:rsidR="0026452D" w:rsidRDefault="0026452D" w:rsidP="0026452D">
      <w:pPr>
        <w:pStyle w:val="TextoNormal"/>
      </w:pPr>
      <w:r>
        <w:t>Tal parquedad en la motivación nos impide, en consecuencia, enjuiciar si la valoración de la prueba en que se sostiene la condena dictada por la Audiencia Provincial se ha basado en pruebas personales y dar respuesta, con ello, al motivo de amparo planteado por el demandante. En este sentido, y frente a la línea de análisis propuesta por el Ministerio Fiscal, no resulta procedente que este Tribunal, ante el silencio de las resoluciones judiciales al respecto, entre a indagar si del conjunto de las actuaciones procesales cabe extraer un soporte probatorio en el que apoyar el pronunciamiento judicial y cuál haya de ser la índole —personal o documental— del mismo. Ciertamente, hemos entendido que “el acto final que es objeto de impugnación en amparo no es sino el precipitado de todo el proceso, aunque con frecuencia no todas sus incidencias se hagan explícitas en la resolución final”, por lo que “además del examen riguroso de las Sentencias pronunciadas en instancia y apelación por los Tribunales ordinarios, resultará imprescindible la consideración de la totalidad del proceso judicial para situarnos en el contexto global en el que se produjo el debate procesal, y así comprender primero y enjuiciar después la respuesta judicial ofrecida” (SSTC 272/2005, de 24 de octubre, FJ 2; y 153/2011, de 17 de octubre, FJ 3).</w:t>
      </w:r>
    </w:p>
    <w:p w:rsidR="0026452D" w:rsidRDefault="0026452D" w:rsidP="0026452D">
      <w:pPr>
        <w:pStyle w:val="TextoNormal"/>
      </w:pPr>
    </w:p>
    <w:p w:rsidR="0026452D" w:rsidRDefault="0026452D" w:rsidP="0026452D">
      <w:pPr>
        <w:pStyle w:val="TextoNormal"/>
      </w:pPr>
      <w:r>
        <w:t xml:space="preserve">De igual modo, hemos venido atribuyendo al acta del juicio oral cierta funcionalidad “para posibilitar la verificación de la existencia de prueba de cargo suficiente para fundamentar una condena penal”, considerando que constituye “un documento fehaciente que resulta imprescindible para llevar a cabo el control externo que nos compete al efecto de concluir si hubo o no en el proceso prueba de cargo suficiente y practicada con las debidas garantías de oralidad, contradicción e inmediación” (STC 92/2006, de 27 de marzo, FJ 3). En este sentido, si bien la información que las actuaciones procesales proporcionan constituye un instrumento idóneo para comprender y verificar la valoración probatoria plasmada en las resoluciones judiciales, no puede, sin embargo, erigirse en exclusivo objeto de nuestro enjuiciamiento y enmendar así la ausencia de motivación en que, en el presente caso, incurre la Sentencia combatida, so pena de sustituir la función de valoración de la prueba y fijación de los hechos que es privativa de la potestad jurisdiccional (art. 117.3 CE) y de extralimitarnos con ello en el cometido que la Constitución nos asigna. Como hemos venido reiterando, no corresponde a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w:t>
      </w:r>
      <w:r>
        <w:lastRenderedPageBreak/>
        <w:t>este Tribunal una tercera instancia”; por ello, hemos declarado con especial contundencia que nuestro examen ha de partir “de la radical falta de competencia de esta jurisdicción de amparo para la valoración de la actividad probatoria practicada en un proceso penal y para la evaluación de dicha valoración conforme a criterios de calidad o de oportunidad” (STC 137/2005, de 23 de mayo, FJ 2; y 26/2010, de 27 de abril, FJ 6).</w:t>
      </w:r>
    </w:p>
    <w:p w:rsidR="0026452D" w:rsidRDefault="0026452D" w:rsidP="0026452D">
      <w:pPr>
        <w:pStyle w:val="TextoNormal"/>
      </w:pPr>
    </w:p>
    <w:p w:rsidR="0026452D" w:rsidRDefault="0026452D" w:rsidP="0026452D">
      <w:pPr>
        <w:pStyle w:val="TextoNormal"/>
      </w:pPr>
      <w:r w:rsidRPr="0026452D">
        <w:rPr>
          <w:rStyle w:val="NumeroAFNegritaCaracter"/>
        </w:rPr>
        <w:t>5</w:t>
      </w:r>
      <w:r>
        <w:t>. Los citados déficits de motivación sobre la valoración de la prueba y consiguiente fijación de los hechos habrán de traer consecuencias para el derecho a la presunción de inocencia, cuya vulneración denuncia el recurrente en su segundo motivo de amparo y que pasamos a analizar a continuación. Alega el actor, en primer lugar, que la condena está sostenida sobre una valoración probatoria practicada sin inmediación y contradicción, por lo que no puede ser apta para enervar la presunción de inocencia; en segundo lugar, añade que la conclusión de que el accidente producido era previsible para el recurrente y que, pese a ello dio orden de desmontaje de los andamios sin preocuparse mínimamente de las condiciones de seguridad carece de todo soporte probatorio.</w:t>
      </w:r>
    </w:p>
    <w:p w:rsidR="0026452D" w:rsidRDefault="0026452D" w:rsidP="0026452D">
      <w:pPr>
        <w:pStyle w:val="TextoNormal"/>
      </w:pPr>
    </w:p>
    <w:p w:rsidR="0026452D" w:rsidRDefault="0026452D" w:rsidP="0026452D">
      <w:pPr>
        <w:pStyle w:val="TextoNormal"/>
      </w:pPr>
      <w:r>
        <w:t xml:space="preserve">Desde la STC 31/1981, de 28 de julio, hemos venido reiterando que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FJ 2,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w:t>
      </w:r>
      <w:r w:rsidRPr="0026452D">
        <w:rPr>
          <w:i/>
        </w:rPr>
        <w:t>iter</w:t>
      </w:r>
      <w:r>
        <w:t xml:space="preserve"> discursivo que conduce de la prueba al hecho probado” (también, entre muchas, SSTC 111/2008, de 22 de septiembre, FJ 3; y 26/2010, de 27 de abril, FJ 6).</w:t>
      </w:r>
    </w:p>
    <w:p w:rsidR="0026452D" w:rsidRDefault="0026452D" w:rsidP="0026452D">
      <w:pPr>
        <w:pStyle w:val="TextoNormal"/>
      </w:pPr>
    </w:p>
    <w:p w:rsidR="0026452D" w:rsidRDefault="0026452D" w:rsidP="0026452D">
      <w:pPr>
        <w:pStyle w:val="TextoNormal"/>
      </w:pPr>
      <w:r>
        <w:t xml:space="preserve">En lo que es relevante para el presente enjuiciamiento, hemos de poner de manifiesto “la íntima relación que une la motivación y el derecho a la presunción de inocencia, que no en vano consiste en que la culpabilidad ha de quedar plenamente probada, lo que es tanto como decir expuesta o mostrada. La culpabilidad ha de motivarse y se sustenta en dicha motivación, de modo que sin motivación se produce ya una vulneración del derecho a la presunción de inocencia” (STC 145/2005, de 6 de junio FJ 6; 12/2011, de 28 de febrero, FJ 6). Por tal razón, y como recuerda la STC 12/2011, de 28 de febrero, “este Tribunal ha reiterado que ‘uno de los modos de vulneración de este derecho lo constituye precisamente la falta de motivación del </w:t>
      </w:r>
      <w:r w:rsidRPr="0026452D">
        <w:rPr>
          <w:i/>
        </w:rPr>
        <w:t>iter</w:t>
      </w:r>
      <w:r>
        <w:t xml:space="preserve"> que ha conducido de las pruebas al relato de hechos probados de signo incriminatorio’ (STC 245/2007, 10 de diciembre, FJ 5). Desde esta perspectiva, resulta necesario comprobar si las resoluciones impugnadas no sólo satisfacen el grado mínimo de motivación exigido en general para la tutela judicial, sino también el grado de motivación constitucionalmente exigido </w:t>
      </w:r>
      <w:r w:rsidRPr="0026452D">
        <w:rPr>
          <w:i/>
        </w:rPr>
        <w:t>ex</w:t>
      </w:r>
      <w:r>
        <w:t xml:space="preserve"> derecho a la presunción de inocencia, que conforme a nuestra doctrina es superior al primero ‘dado que está precisamente en juego aquel derecho y, en su caso, el que resulte restringido por la pena, que será el derecho a la libertad cuando, como es ahora el caso, la condena lo sea a penas de prisión (STC 209/2002, de 11 de noviembre, FJ 3; 169/2004, de 6 de octubre, FJ 6; 143/2005, de 6 de junio, FJ 4). El canon de análisis no se conforma ya con la mera cognoscibilidad de la </w:t>
      </w:r>
      <w:r w:rsidRPr="0026452D">
        <w:rPr>
          <w:i/>
        </w:rPr>
        <w:t>ratio dicendi</w:t>
      </w:r>
      <w:r>
        <w:t xml:space="preserve"> de la decisión </w:t>
      </w:r>
      <w:r>
        <w:lastRenderedPageBreak/>
        <w:t>judicial, sino que exige una mínima explicación de los fundamentos probatorios del relato fáctico, con base en el cual se individualiza el caso y se posibilita la aplicación de la norma jurídica (SSTC 5/2000, de 17 de enero, FJ 2; 249/2000, de 30 de octubre, FJ 3; 209/2002, de 11 de noviembre, FFJJ 3 y 4; 143/2005, de 6 de junio, FJ 4)’ (STC 245/2007, 10 de diciembre, FJ 5).” (FJ 6).</w:t>
      </w:r>
    </w:p>
    <w:p w:rsidR="0026452D" w:rsidRDefault="0026452D" w:rsidP="0026452D">
      <w:pPr>
        <w:pStyle w:val="TextoNormal"/>
      </w:pPr>
    </w:p>
    <w:p w:rsidR="0026452D" w:rsidRDefault="0026452D" w:rsidP="0026452D">
      <w:pPr>
        <w:pStyle w:val="TextoNormal"/>
      </w:pPr>
      <w:r>
        <w:t>Junto al diferente estándar de exigencia, consecuencia adicional de esta perspectiva constitucional sobre la ausencia de motivación suficiente del relato fáctico incriminatorio, está la de que, a diferencia del derecho a la tutela judicial efectiva, la plena reparación del derecho a la presunción de inocencia pasará normalmente por la anulación sin retroacción de la Sentencia condenatoria. Como expresa la STC 245/2007, de 10 de diciembre, “la falta de un fundamento fáctico concreto y cognoscible priva a la pena del sustento probatorio que le exige el art. 24.2 CE y convierte el problema de motivación, reparable con una nueva, en un problema de presunción de inocencia, sólo reparable con su anulación definitiva” (FJ 5).</w:t>
      </w:r>
    </w:p>
    <w:p w:rsidR="0026452D" w:rsidRDefault="0026452D" w:rsidP="0026452D">
      <w:pPr>
        <w:pStyle w:val="TextoNormal"/>
      </w:pPr>
    </w:p>
    <w:p w:rsidR="0026452D" w:rsidRDefault="0026452D" w:rsidP="0026452D">
      <w:pPr>
        <w:pStyle w:val="TextoNormal"/>
      </w:pPr>
      <w:r>
        <w:t>La aplicación del citado criterio de enjuiciamiento al caso que nos ocupa desemboca forzosamente en la estimación del motivo de amparo. Como ha sido ya puesto de manifiesto, la Sentencia de la Audiencia Provincial que condenó al recurrente fundamenta la culpabilidad en que, siendo competente del control del riesgo derivado de la utilización del andamio, el recurrente dio la orden de desmontaje de los andamios por los dos operarios fallecidos sin preocuparse mínimamente de sus condiciones de seguridad, ni de su capacitación para realizar tal labor encomendada, pero esta conclusión, incorporada al relato de hechos probados, aparece huérfana de toda mención acerca de los medios de prueba a partir de los que se obtiene, así como de toda argumentación que permita justificar la misma en términos de racionalidad. En consecuencia, debemos declarar vulnerado el derecho a la presunción de inocencia (art. 24.2 CE), con la consiguiente anulación de la Sentencia condenatoria dictada por la Sección Segunda de la Audiencia Provincial de Madrid.</w:t>
      </w:r>
    </w:p>
    <w:p w:rsidR="0026452D" w:rsidRDefault="0026452D" w:rsidP="0026452D">
      <w:pPr>
        <w:pStyle w:val="TextoNormal"/>
      </w:pPr>
    </w:p>
    <w:p w:rsidR="0026452D" w:rsidRDefault="0026452D" w:rsidP="0026452D">
      <w:pPr>
        <w:pStyle w:val="TextoNormal"/>
      </w:pPr>
      <w:r>
        <w:t>La estimación del presente motivo de amparo con el citado alcance hace innecesario que nos pronunciemos sobre las restantes quejas aducidas.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don Pablo Queralto Gómez y, en su virtud:</w:t>
      </w:r>
    </w:p>
    <w:p w:rsidR="0026452D" w:rsidRDefault="0026452D" w:rsidP="0026452D">
      <w:pPr>
        <w:pStyle w:val="TextoNormal"/>
      </w:pPr>
    </w:p>
    <w:p w:rsidR="0026452D" w:rsidRDefault="0026452D" w:rsidP="0026452D">
      <w:pPr>
        <w:pStyle w:val="TextoNormal"/>
      </w:pPr>
      <w:r>
        <w:t>1º Declarar que se ha vulnerado el derecho fundamental del recurrente a la presunción de inocencia (art. 24.2.CE).</w:t>
      </w:r>
    </w:p>
    <w:p w:rsidR="0026452D" w:rsidRDefault="0026452D" w:rsidP="0026452D">
      <w:pPr>
        <w:pStyle w:val="TextoNormal"/>
      </w:pPr>
    </w:p>
    <w:p w:rsidR="0026452D" w:rsidRDefault="0026452D" w:rsidP="0026452D">
      <w:pPr>
        <w:pStyle w:val="TextoNormal"/>
      </w:pPr>
      <w:r>
        <w:t>2º Restablecerlo en su derecho y, a tal fin, anular la Sentencia de 20 de julio de 2006 de la Sección Segunda de la Audiencia Provincial de Madrid exclusivamente en lo referido al recurrente.</w:t>
      </w:r>
    </w:p>
    <w:p w:rsidR="0026452D" w:rsidRDefault="0026452D" w:rsidP="0026452D">
      <w:pPr>
        <w:pStyle w:val="TextoNormal"/>
      </w:pPr>
    </w:p>
    <w:p w:rsidR="0026452D" w:rsidRDefault="0026452D" w:rsidP="0026452D">
      <w:pPr>
        <w:pStyle w:val="TextoNormal"/>
      </w:pPr>
      <w:r>
        <w:lastRenderedPageBreak/>
        <w:t>Publíquese esta Sentencia en el “Boletín Oficial del Estado”.</w:t>
      </w:r>
    </w:p>
    <w:p w:rsidR="0026452D" w:rsidRDefault="0026452D" w:rsidP="0026452D">
      <w:pPr>
        <w:pStyle w:val="TextoNormal"/>
      </w:pPr>
      <w:r>
        <w:t>Dada en Madrid, a treinta y uno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26" w:name="SENTENCIA_2013_23"/>
      <w:r>
        <w:lastRenderedPageBreak/>
        <w:t>SENTENCIA 23/2013, de 31 de enero de 2013</w:t>
      </w:r>
    </w:p>
    <w:bookmarkEnd w:id="26"/>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ECLI:ES:TC:2013:23</w:t>
      </w:r>
    </w:p>
    <w:p w:rsidR="0026452D" w:rsidRDefault="0026452D" w:rsidP="0026452D">
      <w:pPr>
        <w:pStyle w:val="SntesisDescriptiva"/>
      </w:pPr>
    </w:p>
    <w:p w:rsidR="0026452D" w:rsidRDefault="0026452D" w:rsidP="0026452D">
      <w:pPr>
        <w:pStyle w:val="SntesisDescriptiva"/>
      </w:pPr>
      <w:r>
        <w:t>Conflicto positivo de competencia 9881-2006. Planteado por la Junta de Castilla y León en relación con el Real Decreto 918/2006, de 28 de julio, por el que se regula la concesión directa de subvenciones a ayuntamientos para proyectos de acción social a favor de las personas mayores en situación de dependencia.</w:t>
      </w:r>
    </w:p>
    <w:p w:rsidR="0026452D" w:rsidRDefault="0026452D" w:rsidP="0026452D">
      <w:pPr>
        <w:pStyle w:val="SntesisDescriptiva"/>
      </w:pPr>
    </w:p>
    <w:p w:rsidR="0026452D" w:rsidRDefault="0026452D" w:rsidP="0026452D">
      <w:pPr>
        <w:pStyle w:val="SntesisAnaltica"/>
      </w:pPr>
      <w:r>
        <w:t>Competencias sobre condiciones básicas de igualdad, régimen local, asistencia social y desarrollo comunitario: titularidad autonómica de la competencia (STC 13/1992).</w:t>
      </w:r>
    </w:p>
    <w:p w:rsidR="0026452D" w:rsidRDefault="0026452D" w:rsidP="0026452D">
      <w:pPr>
        <w:pStyle w:val="SntesisAnaltica"/>
      </w:pPr>
    </w:p>
    <w:p w:rsidR="0026452D" w:rsidRDefault="0026452D" w:rsidP="0026452D">
      <w:pPr>
        <w:pStyle w:val="Extracto"/>
      </w:pPr>
      <w:r>
        <w:t>1.</w:t>
      </w:r>
      <w:r>
        <w:tab/>
        <w:t>La disposición examinada impone la centralización del procedimiento de gestión, resolución y pago de las ayudas, por lo que, ostentando la Comunidad Autónoma competencia exclusiva sobre la materia y no poder justificarse título competencial estatal alguno, ni genérico ni específico, se vulneran las competencias de la Comunidad Autónoma, lo que implica que los fondos deberían haberse territorializado en los presupuestos generales del Estado o, en su defecto, por normas inmediatamente posteriores o por convenio (SSTC 13/1992, STC 227/2012) [FJ 5].</w:t>
      </w:r>
    </w:p>
    <w:p w:rsidR="0026452D" w:rsidRDefault="0026452D" w:rsidP="0026452D">
      <w:pPr>
        <w:pStyle w:val="Extracto"/>
      </w:pPr>
    </w:p>
    <w:p w:rsidR="0026452D" w:rsidRDefault="0026452D" w:rsidP="0026452D">
      <w:pPr>
        <w:pStyle w:val="Extracto"/>
      </w:pPr>
      <w:r>
        <w:t>2.</w:t>
      </w:r>
      <w:r>
        <w:tab/>
        <w:t>Las subvenciones controvertidas, dirigidas a atender necesidades sociales urgentes de las personas mayores en situación de dependencia, se integran sin dificultad en el ámbito de la asistencia social, ex art. 148.1.20 CE, correspondiendo la competencia a la Comunidad Autónoma de Castilla y León al haber sido asumida con carácter exclusivo en el art. 70.1.10 EACL [FJ 3].</w:t>
      </w:r>
    </w:p>
    <w:p w:rsidR="0026452D" w:rsidRDefault="0026452D" w:rsidP="0026452D">
      <w:pPr>
        <w:pStyle w:val="Extracto"/>
      </w:pPr>
    </w:p>
    <w:p w:rsidR="0026452D" w:rsidRDefault="0026452D" w:rsidP="0026452D">
      <w:pPr>
        <w:pStyle w:val="Extracto"/>
      </w:pPr>
      <w:r>
        <w:t>3.</w:t>
      </w:r>
      <w:r>
        <w:tab/>
        <w:t>La legitimidad constitucional del régimen normativo y de gestión de las subvenciones fijado por el Estado depende de las competencias que el Estado posea en la materia de que se trate, ya que la subvención no es un concepto que delimite competencias (STC 13/1992) [FJ 3].</w:t>
      </w:r>
    </w:p>
    <w:p w:rsidR="0026452D" w:rsidRDefault="0026452D" w:rsidP="0026452D">
      <w:pPr>
        <w:pStyle w:val="Extracto"/>
      </w:pPr>
    </w:p>
    <w:p w:rsidR="0026452D" w:rsidRDefault="0026452D" w:rsidP="0026452D">
      <w:pPr>
        <w:pStyle w:val="Extracto"/>
      </w:pPr>
      <w:r>
        <w:t>4.</w:t>
      </w:r>
      <w:r>
        <w:tab/>
        <w:t>La noción de asistencia social no está precisada en el texto constitucional y nuestro constituyente maneja un concepto consagrado por la práctica nacional e internacional, por lo que ha de entenderse remitida a conceptos elaborados en el ámbito de la legislación general, que deben atraerse a la interpretación constitucional [FJ 3].</w:t>
      </w:r>
    </w:p>
    <w:p w:rsidR="0026452D" w:rsidRDefault="0026452D" w:rsidP="0026452D">
      <w:pPr>
        <w:pStyle w:val="Extracto"/>
      </w:pPr>
    </w:p>
    <w:p w:rsidR="0026452D" w:rsidRDefault="0026452D" w:rsidP="0026452D">
      <w:pPr>
        <w:pStyle w:val="Extracto"/>
      </w:pPr>
      <w:r>
        <w:t>5.</w:t>
      </w:r>
      <w:r>
        <w:tab/>
        <w:t>Atendiendo a las pautas de algunos instrumentos internacionales, como la Carta social europea, la asistencia social, en sentido abstracto, abarca una técnica de protección situada extramuros del sistema de la Seguridad Social, con caracteres propios, tratándose de un mecanismo protector de situaciones de necesidad específicas, sentidas por grupos de población a los que no alcanza el sistema de Seguridad Social y que opera mediante técnicas distintas de las propias de ésta (SSTC 79/1986, 36/2012) [FJ 3].</w:t>
      </w:r>
    </w:p>
    <w:p w:rsidR="0026452D" w:rsidRDefault="0026452D" w:rsidP="0026452D">
      <w:pPr>
        <w:pStyle w:val="Extracto"/>
      </w:pPr>
    </w:p>
    <w:p w:rsidR="0026452D" w:rsidRDefault="0026452D" w:rsidP="0026452D">
      <w:pPr>
        <w:pStyle w:val="Extracto"/>
      </w:pPr>
      <w:r>
        <w:lastRenderedPageBreak/>
        <w:t>6.</w:t>
      </w:r>
      <w:r>
        <w:tab/>
        <w:t>El Estado puede asignar fondos públicos de sus presupuestos a cualquier finalidad lícita, incluso aunque implique la financiación de acciones de fomento en materias de competencia exclusiva de las Comunidades Autónomas, pudiendo, en tales casos, fijar el destino o finalidad de política social o económica a que se deban dedicar los fondos (SSTC 13/1992, 72/2012) [FJ 4].</w:t>
      </w:r>
    </w:p>
    <w:p w:rsidR="0026452D" w:rsidRDefault="0026452D" w:rsidP="0026452D">
      <w:pPr>
        <w:pStyle w:val="Extracto"/>
      </w:pPr>
    </w:p>
    <w:p w:rsidR="0026452D" w:rsidRDefault="0026452D" w:rsidP="0026452D">
      <w:pPr>
        <w:pStyle w:val="Extracto"/>
      </w:pPr>
      <w:r>
        <w:t>7.</w:t>
      </w:r>
      <w:r>
        <w:tab/>
        <w:t>La mera relación directa que el Estado puede entablar con las corporaciones locales no es título bastante para eliminar en todo caso la intervención autonómica en las subvenciones que se otorguen a las entidades locales (STC 227/2012) [FJ 4].</w:t>
      </w:r>
    </w:p>
    <w:p w:rsidR="0026452D" w:rsidRDefault="0026452D" w:rsidP="0026452D">
      <w:pPr>
        <w:pStyle w:val="Extracto"/>
      </w:pPr>
    </w:p>
    <w:p w:rsidR="0026452D" w:rsidRDefault="0026452D" w:rsidP="0026452D">
      <w:pPr>
        <w:pStyle w:val="Extracto"/>
      </w:pPr>
      <w:r>
        <w:t>8.</w:t>
      </w:r>
      <w:r>
        <w:tab/>
        <w:t>Doctrina sobre la delimitación competencial entre el Estado y las Comunidades Autónomas en cuanto al ejercicio de la potestad subvencional de gasto público (STC 13/1992) [FJ 5].</w:t>
      </w:r>
    </w:p>
    <w:p w:rsidR="0026452D" w:rsidRDefault="0026452D" w:rsidP="0026452D">
      <w:pPr>
        <w:pStyle w:val="Extracto"/>
      </w:pPr>
    </w:p>
    <w:p w:rsidR="0026452D" w:rsidRDefault="0026452D" w:rsidP="0026452D">
      <w:pPr>
        <w:pStyle w:val="Extracto"/>
      </w:pPr>
      <w:r>
        <w:t>9.</w:t>
      </w:r>
      <w:r>
        <w:tab/>
        <w:t>Este Tribunal ha rechazado que el art. 149.1.1 CE sea un título competencial suficiente para justificar determinadas ayudas en materia de asistencia social, pues esta competencia no se mueve en la lógica de las bases y legislación de desarrollo, ni es un título horizontal capaz de introducirse en cualquier materia o sector del ordenamiento (STC 173/2004) [FJ 4].</w:t>
      </w:r>
    </w:p>
    <w:p w:rsidR="0026452D" w:rsidRDefault="0026452D" w:rsidP="0026452D">
      <w:pPr>
        <w:pStyle w:val="Extracto"/>
      </w:pPr>
    </w:p>
    <w:p w:rsidR="0026452D" w:rsidRDefault="0026452D" w:rsidP="0026452D">
      <w:pPr>
        <w:pStyle w:val="Extracto"/>
      </w:pPr>
      <w:r>
        <w:t>10.</w:t>
      </w:r>
      <w:r>
        <w:tab/>
        <w:t>La promoción de la igualdad del individuo y los grupos que lo integran, y las previsiones de los arts. 40, 41 y 50 CE, si bien legitiman la capacidad del Estado para disponer de su presupuesto en la acción social o económica, no constituyen por sí mismos un título competencial autónomo a favor del Estado, sino un mandato que ha de informar la actuación de todos los poderes públicos. (SSTC 59/1995, 36/2012) [FJ 4].</w:t>
      </w:r>
    </w:p>
    <w:p w:rsidR="0026452D" w:rsidRDefault="0026452D" w:rsidP="0026452D">
      <w:pPr>
        <w:pStyle w:val="Extracto"/>
      </w:pPr>
    </w:p>
    <w:p w:rsidR="0026452D" w:rsidRDefault="0026452D" w:rsidP="0026452D">
      <w:pPr>
        <w:pStyle w:val="Extracto"/>
      </w:pPr>
      <w:r>
        <w:t>11.</w:t>
      </w:r>
      <w:r>
        <w:tab/>
        <w:t>Existirá el vicio de incompetencia que constituye el objeto propio del conflicto positivo de competencia, bien si la parte actora reclama para sí la competencia ejercida por otro o bien si, en su caso, discrepa de la forma en que el titular de una competencia la ha ejercido, extralimitándose y lesionando, perturbando o desconociendo al ejercitarla el ámbito de atribuciones constitucionales de quien plantea el conflicto (STC 44/2007) [FJ 2].</w:t>
      </w:r>
    </w:p>
    <w:p w:rsidR="0026452D" w:rsidRDefault="0026452D" w:rsidP="0026452D">
      <w:pPr>
        <w:pStyle w:val="Extracto"/>
      </w:pPr>
    </w:p>
    <w:p w:rsidR="0026452D" w:rsidRDefault="0026452D" w:rsidP="0026452D">
      <w:pPr>
        <w:pStyle w:val="Extracto"/>
      </w:pPr>
      <w:r>
        <w:t>12.</w:t>
      </w:r>
      <w:r>
        <w:tab/>
        <w:t>Teniendo en cuenta que la disposición impugnada ya ha agotado sus efectos y se podría afectar a situaciones jurídicas consolidadas, la pretensión de la Junta de Castilla y León ha de estimarse satisfecha mediante la declaración de la titularidad de la competencia controvertida, sin necesidad de que haya de procederse a la anulación de los preceptos correspondientes (SSTC 75/1989, 38/2012) [FJ 5].</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ha pronunciado</w:t>
      </w:r>
    </w:p>
    <w:p w:rsidR="0026452D" w:rsidRDefault="0026452D" w:rsidP="0026452D">
      <w:pPr>
        <w:pStyle w:val="TextoNormal"/>
      </w:pPr>
    </w:p>
    <w:p w:rsidR="0026452D" w:rsidRDefault="0026452D" w:rsidP="0026452D">
      <w:pPr>
        <w:pStyle w:val="TextoNormalCentrado"/>
        <w:keepNext/>
      </w:pPr>
      <w:r>
        <w:lastRenderedPageBreak/>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9881-2006 planteado por la Junta de Castilla y León en relación con el Real Decreto 918/2006, de 28 de julio, por el que se regula la concesión directa de subvenciones a ayuntamientos para proyectos de acción social a favor de las personas mayores en situación de dependencia. Ha formulado alegaciones el Abogado del Estado. Ha sido Ponente la Magistrada doña Encarnación Roca Trías,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30 de octubre de 2006 tuvo entrada en el Registro General de este Tribunal Constitucional, escrito del director de los servicios jurídicos de la Junta de Castilla y León por el que, en la representación que ostenta, interpone conflicto positivo de competencia, tramitado con el número 9881-2006, en relación con el Real Decreto 918/2006, de 28 de julio, por el que se regula la concesión directa de subvenciones a ayuntamientos para proyectos de acción social a favor de las personas mayores en situación de dependencia.</w:t>
      </w:r>
    </w:p>
    <w:p w:rsidR="0026452D" w:rsidRDefault="0026452D" w:rsidP="0026452D">
      <w:pPr>
        <w:pStyle w:val="TextoNormal"/>
      </w:pPr>
    </w:p>
    <w:p w:rsidR="0026452D" w:rsidRDefault="0026452D" w:rsidP="0026452D">
      <w:pPr>
        <w:pStyle w:val="TextoNormal"/>
      </w:pPr>
      <w:r>
        <w:t>Tras dar cuenta de los términos en que se dio cumplimiento al trámite del requerimiento previo de incompetencia, el representante procesal de la Comunidad Autónoma señala que el conflicto se dirige contra la totalidad del Real Decreto, si bien se circunscribe geográficamente a las ayudas dirigidas a ayuntamientos ubicados en el territorio de la Comunidad de Castilla y León, en concreto, El Sahugo, La Robla, Quilós y Trespaderne.</w:t>
      </w:r>
    </w:p>
    <w:p w:rsidR="0026452D" w:rsidRDefault="0026452D" w:rsidP="0026452D">
      <w:pPr>
        <w:pStyle w:val="TextoNormal"/>
      </w:pPr>
    </w:p>
    <w:p w:rsidR="0026452D" w:rsidRDefault="0026452D" w:rsidP="0026452D">
      <w:pPr>
        <w:pStyle w:val="TextoNormal"/>
      </w:pPr>
      <w:r>
        <w:t>El conflicto se sustenta en la vulneración de la competencia exclusiva atribuida a la Comunidad Autónoma en materia de asistencia social, servicios sociales y desarrollo comunitario, en los términos previstos en el art. 32.1.19 de su Estatuto de Autonomía, con el alcance que contempla el apartado 2 del mencionado precepto estatutario. A juicio del Letrado, dicha competencia determina que corresponda a la Comunidad Autónoma la gestión de las subvenciones previstas en la norma impugnada y, en consecuencia, que las partidas que se contemplan en el texto de la misma deban territorializarse en los propios Presupuestos Generales del Estado o en un momento inmediatamente posterior, respetando los principios constitucionales y el orden de distribución de competencias.</w:t>
      </w:r>
    </w:p>
    <w:p w:rsidR="0026452D" w:rsidRDefault="0026452D" w:rsidP="0026452D">
      <w:pPr>
        <w:pStyle w:val="TextoNormal"/>
      </w:pPr>
    </w:p>
    <w:p w:rsidR="0026452D" w:rsidRDefault="0026452D" w:rsidP="0026452D">
      <w:pPr>
        <w:pStyle w:val="TextoNormal"/>
      </w:pPr>
      <w:r>
        <w:t xml:space="preserve">Se pone de manifiesto que el real decreto objeto del conflicto no especifica el título competencial que ampara la regulación estatal, sin que pueda admitirse el esgrimido por el Gobierno de la Nación en el trámite de requerimiento, conforme al cual las subvenciones previstas quedarían cubiertas por la soberanía financiera del Estado, y amparadas competencialmente por lo dispuesto en los arts. 9.2 y 50 CE, así como por lo establecido en el art. 149.1.1 CE. A juicio del representante autonómico, el poder de gasto del Estado destinado a fomentar el equilibrio social no permite a éste concretar la forma en que dichos fondos han de utilizarse y los arts. 9.2 y 50 CE no constituyen títulos válidos de delimitación de </w:t>
      </w:r>
      <w:r>
        <w:lastRenderedPageBreak/>
        <w:t>competencias, y se han excedido las competencias habilitadoras que derivarían de lo dispuesto en el art. 149.1.1 CE, porque el texto adolece de una explicación de las razones de urgencia que lo motivan y ha obviado la aplicación de las técnicas de cooperación con la Comunidad Autónoma, exigidas por el Tribunal Constitucional.</w:t>
      </w:r>
    </w:p>
    <w:p w:rsidR="0026452D" w:rsidRDefault="0026452D" w:rsidP="0026452D">
      <w:pPr>
        <w:pStyle w:val="TextoNormal"/>
      </w:pPr>
    </w:p>
    <w:p w:rsidR="0026452D" w:rsidRDefault="0026452D" w:rsidP="0026452D">
      <w:pPr>
        <w:pStyle w:val="TextoNormal"/>
      </w:pPr>
      <w:r>
        <w:t>La demanda no niega la competencia del Estado para otorgar subvenciones directas a los ayuntamientos, sino la forma en que se ha ejercido dicha competencia en el Real Decreto, excluyendo la participación de la Comunidad Autónoma en el otorgamiento, distribución y gestión de las subvenciones, e ignorando la fórmula que se ha venido utilizando en la práctica para este tipo de ayudas de carácter social y asistencial, que es la del convenio de colaboración, con expresa cita en el texto de la demanda de los convenios e instrumentos de colaboración que hasta la fecha se han concluido entre el Estado y las Comunidades Autónomas para este tipo de ayudas.</w:t>
      </w:r>
    </w:p>
    <w:p w:rsidR="0026452D" w:rsidRDefault="0026452D" w:rsidP="0026452D">
      <w:pPr>
        <w:pStyle w:val="TextoNormal"/>
      </w:pPr>
    </w:p>
    <w:p w:rsidR="0026452D" w:rsidRDefault="0026452D" w:rsidP="0026452D">
      <w:pPr>
        <w:pStyle w:val="TextoNormal"/>
      </w:pPr>
      <w:r>
        <w:t>Tras traer a colación la normativa de la Comunidad Autónoma sobre esta materia, se efectúa un examen de la doctrina constitucional en relación con las ayudas o subvenciones reguladas por el Estado, con especial referencia a la contenida en la STC 13/1992, de 6 de febrero, FJ 8, para considerar que en el presente caso nos encontramos en el primero de los supuestos contemplados en la Sentencia, al tratarse de una materia o sector sobre el que recae la competencia exclusiva de la Comunidad Autónoma, por lo que los fondos con cargo a los cuales el Estado pretende conceder las subvenciones directas reguladas en el Real Decreto, han de integrarse como un recurso que nutre la hacienda de la Comunidad de Castilla y León, consignándose en los presupuestos generales del Estado como transferencias corrientes o de capital a la Comunidad, de manera que la asignación de los fondos quede territorializada.</w:t>
      </w:r>
    </w:p>
    <w:p w:rsidR="0026452D" w:rsidRDefault="0026452D" w:rsidP="0026452D">
      <w:pPr>
        <w:pStyle w:val="TextoNormal"/>
      </w:pPr>
    </w:p>
    <w:p w:rsidR="0026452D" w:rsidRDefault="0026452D" w:rsidP="0026452D">
      <w:pPr>
        <w:pStyle w:val="TextoNormal"/>
      </w:pPr>
      <w:r>
        <w:t>En lo que respecta al alcance del fallo, la representación autonómica solicita que se declare la titularidad de la competencia controvertida y que se anule únicamente lo que concierne al extremo relativo al abono directo de la subvención por el Ministerio de Trabajo y Seguridad Social a los ayuntamientos ubicados en el territorio de Castilla y León que aparecen recogidos en el Real Decreto.</w:t>
      </w:r>
    </w:p>
    <w:p w:rsidR="0026452D" w:rsidRDefault="0026452D" w:rsidP="0026452D">
      <w:pPr>
        <w:pStyle w:val="TextoNormal"/>
      </w:pPr>
    </w:p>
    <w:p w:rsidR="0026452D" w:rsidRDefault="0026452D" w:rsidP="0026452D">
      <w:pPr>
        <w:pStyle w:val="TextoNormal"/>
      </w:pPr>
      <w:r w:rsidRPr="0026452D">
        <w:rPr>
          <w:rStyle w:val="NumeroAFNegritaCaracter"/>
        </w:rPr>
        <w:t>2</w:t>
      </w:r>
      <w:r>
        <w:t>. Este Tribunal, mediante providencia de la Sección Primera de 23 de noviembre de 2006, admitió a trámite el conflicto positivo de competencia promovido por la Junta de Castilla y León, acordando dar traslado de las actuaciones al Gobierno de la Nación, por conducto de su Presidente, al objeto de que en el plazo de veinte días, y por medio de la representación procesal que señala el art. 82.2 de la Ley Orgánica del Tribunal Constitucional (LOTC) pudiera personarse en los autos y aportar cuantos documentos y alegaciones considerase convenientes. Se acordó asimismo comunicar la incoación del conflicto a la Sala de lo Contencioso-Administrativo del Tribunal Supremo por si ante la misma estuviera impugnado o se impugnara el referido Real Decreto, en cuyo caso se suspendería el curso del proceso hasta la decisión del conflicto, así como publicar la incoación del conflicto en el “Boletín Oficial del Estado” y en el “Boletín Oficial de Castilla y León”.</w:t>
      </w:r>
    </w:p>
    <w:p w:rsidR="0026452D" w:rsidRDefault="0026452D" w:rsidP="0026452D">
      <w:pPr>
        <w:pStyle w:val="TextoNormal"/>
      </w:pPr>
    </w:p>
    <w:p w:rsidR="0026452D" w:rsidRDefault="0026452D" w:rsidP="0026452D">
      <w:pPr>
        <w:pStyle w:val="TextoNormal"/>
      </w:pPr>
      <w:r w:rsidRPr="0026452D">
        <w:rPr>
          <w:rStyle w:val="NumeroAFNegritaCaracter"/>
        </w:rPr>
        <w:t>3</w:t>
      </w:r>
      <w:r>
        <w:t>. El 26 de diciembre de 2006 tuvo entrada en este Tribunal escrito de alegaciones del Abogado del Estado en el que solicita se tenga por evacuado el trámite conferido y, en su día, se dicte Sentencia desestimatoria de la demanda, declarando que la competencia controvertida corresponde al Estado.</w:t>
      </w:r>
    </w:p>
    <w:p w:rsidR="0026452D" w:rsidRDefault="0026452D" w:rsidP="0026452D">
      <w:pPr>
        <w:pStyle w:val="TextoNormal"/>
      </w:pPr>
    </w:p>
    <w:p w:rsidR="0026452D" w:rsidRDefault="0026452D" w:rsidP="0026452D">
      <w:pPr>
        <w:pStyle w:val="TextoNormal"/>
      </w:pPr>
      <w:r>
        <w:t>El eje central sobre el que gira la argumentación esgrimida por la Abogacía del Estado es que el carácter exclusivo de las competencias autonómicas en materia de asistencia social no excluye las acciones de fomento, mediante dotaciones presupuestarias, para la financiación directa por la Administración del Estado en aquellos ámbitos materiales que resulten de obligada prestación por las corporaciones locales, entre los que se incluirían la prestación de servicios sociales y promoción social. Las políticas sociales implican un sobrecoste para las entidades locales que justifica la intervención estatal mediante el necesario apoyo financiero a estas políticas específicas, tal y como se justifica en el propio preámbulo del Real Decreto, y asimismo se encuadra en la posibilidad expresamente reconocida en el fundamento jurídico 13 de la STC 13/1992 de que las corporaciones locales colaboren con las Comunidades Autónomas en materias de competencia autonómica, realizando actividades propias de tales corporaciones y recibiendo para ello subvenciones del Estado. A juicio de la representación estatal el título competencial sobre régimen jurídico local (art. 149.1.18 CE) tiene un carácter específico en relación a la materia regulada, dado que la finalidad del crédito estatal es la realización de servicios municipales configurados en la legislación básica estatal como servicios de prestación obligatoria de los municipios, alegando en apoyo de esta tesis lo dispuesto en la STC 233/1999.</w:t>
      </w:r>
    </w:p>
    <w:p w:rsidR="0026452D" w:rsidRDefault="0026452D" w:rsidP="0026452D">
      <w:pPr>
        <w:pStyle w:val="TextoNormal"/>
      </w:pPr>
    </w:p>
    <w:p w:rsidR="0026452D" w:rsidRDefault="0026452D" w:rsidP="0026452D">
      <w:pPr>
        <w:pStyle w:val="TextoNormal"/>
      </w:pPr>
      <w:r>
        <w:t>Subsidiariamente, y para el supuesto de que se considere como título aplicable el recogido en el art. 148.1.20 CE, se afirma que dicha competencia no es incompatible con la que deriva para el Estado de lo dispuesto en el art. 9.2 CE, en conexión con los arts. 40, 41 y 50 CE, que fundamenta con carácter general una acción positiva de los poderes públicos en orden a la consecución de fines sociales, entre los que ocupa un lugar preferente la protección social del conjunto de la población. Asimismo, las previsiones del art. 149.1.1 CE constituyen un mandato a los poderes públicos para que garanticen la igualdad, que guarda relevante conexión con el principio de solidaridad, configurado como un principio dinámico y progresivo, a través del cual se realiza la función promocional que es consustancial al Estado social que configura la Constitución. Lo anterior justifica que las subvenciones previstas en el Real Decreto 918/2006 encuentren amparo, no solo en los títulos competenciales que el Estado ostenta en la materia, sino también en la existencia de un deber constitucional de colaboración, en cuya virtud, los poderes centrales y autonómicos deben permitir o facilitar el adecuado cumplimiento de las responsabilidades que incumben a cada parte en el ejercicio de sus competencias, deber que no altera el reparto competencial, sino las modalidades de ejercicio (SSTC 80/1985, de 4 de julio, y 152/1988, de 20 de julio). Este deber general, en el supuesto de necesidades urgentes, como sería la atención a personas mayores dependientes, se convierte en una obligación jurídica, concretada en la aportación de fondos del Estado a la Administración que es competente para la gestión de los servicios sociales. De lo anterior se deduce que las subvenciones constituyen una manifestación del deber de colaboración del Estado con los entes locales, que viene a dar efectividad a los principios de suficiencia financiera de las haciendas locales (art. 142 CE) y de solidaridad y equilibrio territorial (art. 138 CE),principios que invisten al Estado de facultades para destinar fondos públicos que coadyuven con los de las propias Comunidades Autónomas, a la promoción del bienestar social de los españoles, y, en consecuencia, habilitan al Estado a financiar proyectos como los contemplados en el real decreto objeto del conflicto.</w:t>
      </w:r>
    </w:p>
    <w:p w:rsidR="0026452D" w:rsidRDefault="0026452D" w:rsidP="0026452D">
      <w:pPr>
        <w:pStyle w:val="TextoNormal"/>
      </w:pPr>
    </w:p>
    <w:p w:rsidR="0026452D" w:rsidRDefault="0026452D" w:rsidP="0026452D">
      <w:pPr>
        <w:pStyle w:val="TextoNormal"/>
      </w:pPr>
      <w:r>
        <w:lastRenderedPageBreak/>
        <w:t>El representante estatal considera irrelevante que la finalidad de las subvenciones reguladas coincida con las recogidas en los convenios de colaboración suscritos entre el Ministerio de Trabajo y Asuntos Sociales y las distintas Comunidades Autónomas, pues dicha circunstancia no puede imponerse frente al carácter directo de la presente concesión de subvenciones y la cualificación por su urgencia, rechaza la vulneración del principio de lealtad constitucional por no encontrar acomodo en un procedimiento en el que la discusión entre las partes ha de ceñirse a la reivindicación de una competencia concreta (art. 63.1 LOTC) y considera que en el ámbito definido por la STC 13/1992, la regulación contemplada encaja en el cuarto y último supuesto de los allí previstos, en el que se contempla el supuesto excepcional de gestión directa de las subvenciones por un órgano de la Administración del Estado, cuando resulte imprescindible “para asegurar la plena efectividad de las medidas dentro de la ordenación básica del sector y para garantizar las mismas posibilidades de obtención y disfrute por parte de sus potenciales destinatarios en todo el territorio nacional”, siendo así que, en el supuesto examinado, la atención urgente a las necesidades de personas mayores en situación de dependencia, subvencionando a determinados ayuntamientos a finalizar las construcciones, ampliaciones, adaptaciones o equipamientos de los centros de atención a este colectivo, constituye un problema en cuyo tratamiento se han de asegurar las condiciones básicas de igualdad de dichos mayores dependientes, sin que el Estado pueda permanecer ajeno ante esta problemática social, fomentando el equilibrio social del sector.</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29 de enero de 2013 se acordó señalar para deliberación y votación de la presente Sentencia el día 31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 interpuesto por la Junta de Castilla y León contra el Real Decreto 918/2006, de 28 de julio, por el que se regula la concesión directa de subvenciones a ayuntamientos para proyectos de acción social a favor de personas mayores en situación de dependencia.</w:t>
      </w:r>
    </w:p>
    <w:p w:rsidR="0026452D" w:rsidRDefault="0026452D" w:rsidP="0026452D">
      <w:pPr>
        <w:pStyle w:val="TextoNormal"/>
      </w:pPr>
    </w:p>
    <w:p w:rsidR="0026452D" w:rsidRDefault="0026452D" w:rsidP="0026452D">
      <w:pPr>
        <w:pStyle w:val="TextoNormal"/>
      </w:pPr>
      <w:r>
        <w:t>El Real Decreto tiene por objeto regular la concesión directa de subvenciones a determinados ayuntamientos, para finalizar la construcción, ampliación, adaptación o equipamiento de centros de atención a personas mayores en situación de dependencia para proceder a su puesta en funcionamiento. Entre los municipios que figuran como beneficiarios de las ayudas se incluyen los de El Sahugo, La Robla, Quilós y Trespaderne, situados en el territorio de la Comunidad Autónoma de Castilla y León. La norma impugnada contempla el procedimiento de concesión de las ayudas, las obligaciones que asumen los ayuntamientos beneficiarios, la financiación global y la cuantía individual que corresponde a cada uno de ellos, el procedimiento a seguir en supuesto de incumplimiento y el régimen jurídico aplicable a estas subvenciones.</w:t>
      </w:r>
    </w:p>
    <w:p w:rsidR="0026452D" w:rsidRDefault="0026452D" w:rsidP="0026452D">
      <w:pPr>
        <w:pStyle w:val="TextoNormal"/>
      </w:pPr>
    </w:p>
    <w:p w:rsidR="0026452D" w:rsidRDefault="0026452D" w:rsidP="0026452D">
      <w:pPr>
        <w:pStyle w:val="TextoNormal"/>
      </w:pPr>
      <w:r>
        <w:t xml:space="preserve">La representación procesal de la Comunidad Autónoma de Castilla y León considera que el real decreto objeto del conflicto vulnera la competencia exclusiva que contempla el art. 32.1.19 de su Estatuto de Autonomía, en materia de asistencia social, servicios sociales y desarrollo comunitario, en virtud de la cual corresponde a la Comunidad Autónoma la gestión de las subvenciones previstas en la norma impugnada. No niega la competencia del Estado para otorgar subvenciones, sino el hecho de que se haya excluido la participación de </w:t>
      </w:r>
      <w:r>
        <w:lastRenderedPageBreak/>
        <w:t>la Comunidad Autónoma en el otorgamiento, distribución y gestión de las ayudas, ignorando lo señalado por la doctrina del Tribunal Constitucional, especialmente en la STC 13/1992, conforme a la cual las partidas presupuestarias que se contemplan deberían haber sido objeto de territorialización en los propios presupuestos generales del Estado o en un momento inmediatamente posterior, respetando los principios constitucionales.</w:t>
      </w:r>
    </w:p>
    <w:p w:rsidR="0026452D" w:rsidRDefault="0026452D" w:rsidP="0026452D">
      <w:pPr>
        <w:pStyle w:val="TextoNormal"/>
      </w:pPr>
    </w:p>
    <w:p w:rsidR="0026452D" w:rsidRDefault="0026452D" w:rsidP="0026452D">
      <w:pPr>
        <w:pStyle w:val="TextoNormal"/>
      </w:pPr>
      <w:r>
        <w:t>El Abogado del Estado sostiene, por su parte, que el carácter exclusivo de la competencia autonómica en materia de asistencia social no excluye el ejercicio por el Estado de un poder subvencional directo, que resultaría de las competencias que en materia de régimen local le atribuye el art. 149.1.18 CE, en los supuestos en que la acción de fomento vaya dirigida a la financiación de servicios municipales configurados en la legislación básica estatal como de prestación obligatoria por los municipios. Subsidiariamente, se alegan como títulos aplicables los que derivan de lo señalado en el art. 9.2 en conexión con los arts. 40, 41 y 50 CE y en el art. 149.1.1 CE, que configuran un mandato a los poderes públicos en orden a la consecución de fines sociales de alcance general, que no altera el reparto de competencias, y que, en el supuesto de necesidades urgentes, como sería las atención a los mayores dependientes, se convierte en una obligación jurídica que se concreta en la aportación de fondos estatales a la Administración competente para la gestión de los servicios sociales. A ello se añade que las subvenciones previstas, en cuanto son manifestación del deber de colaboración del Estado con las entidades locales, vienen a su vez a dar efectividad a los principios de suficiencia financiera de éstas (art. 137 CE), de solidaridad y equilibrio territorial (art. 138 CE) y encuentran amparo en lo dispuesto en el art. 149.1.14 CE.</w:t>
      </w:r>
    </w:p>
    <w:p w:rsidR="0026452D" w:rsidRDefault="0026452D" w:rsidP="0026452D">
      <w:pPr>
        <w:pStyle w:val="TextoNormal"/>
      </w:pPr>
    </w:p>
    <w:p w:rsidR="0026452D" w:rsidRDefault="0026452D" w:rsidP="0026452D">
      <w:pPr>
        <w:pStyle w:val="TextoNormal"/>
      </w:pPr>
      <w:r w:rsidRPr="0026452D">
        <w:rPr>
          <w:rStyle w:val="NumeroAFNegritaCaracter"/>
        </w:rPr>
        <w:t>2</w:t>
      </w:r>
      <w:r>
        <w:t>. Una vez expuestas sintéticamente las posiciones de las partes que se enfrentan en este proceso, resulta conveniente realizar algunas precisiones de orden procesal.</w:t>
      </w:r>
    </w:p>
    <w:p w:rsidR="0026452D" w:rsidRDefault="0026452D" w:rsidP="0026452D">
      <w:pPr>
        <w:pStyle w:val="TextoNormal"/>
      </w:pPr>
    </w:p>
    <w:p w:rsidR="0026452D" w:rsidRDefault="0026452D" w:rsidP="0026452D">
      <w:pPr>
        <w:pStyle w:val="TextoNormal"/>
      </w:pPr>
      <w:r>
        <w:t>En primer término, de acuerdo con el suplico de la demanda (STC 195/1998, de 1 de octubre, FJ 1). La pretensión ejercida tiene por objeto que se declare “que la titularidad de la competencia controvertida corresponde a la Comunidad de Castilla y León, anulando la disposición impugnada únicamente en lo que concierne al extremo del abono directo por el Ministerio de Trabajo y Seguridad Social a los ayuntamientos de El Sahúgo, La Robla, Quilós y Trespaderne, ubicados en el territorio de la Comunidad de Castilla y León”.</w:t>
      </w:r>
    </w:p>
    <w:p w:rsidR="0026452D" w:rsidRDefault="0026452D" w:rsidP="0026452D">
      <w:pPr>
        <w:pStyle w:val="TextoNormal"/>
      </w:pPr>
    </w:p>
    <w:p w:rsidR="0026452D" w:rsidRDefault="0026452D" w:rsidP="0026452D">
      <w:pPr>
        <w:pStyle w:val="TextoNormal"/>
      </w:pPr>
      <w:r>
        <w:t>La reivindicación competencial se limita adecuadamente a la ejercida en relación con los municipios situados en el territorio de la Comunidad Autónoma de Castilla y León, lo que resulta acorde con el principio general de “territorialidad” de las competencias autonómicas (por todas, STC 194/2011, de 13 de diciembre, FJ 5). Desde una perspectiva material, el reproche competencial se ciñe exclusivamente a la centralización de la gestión de las ayudas, esto es, al hecho de que la resolución y pago de las mismas se atribuya a un órgano estatal. No se pone en cuestión la competencia del Estado para el ejercicio de la actividad subvencional en sí misma considerada, sino los términos concretos de ejercicio de esa competencia en el supuesto que se examina, lo que está de acuerdo con nuestra jurisprudencia, según la cual, “existirá el vicio de incompetencia que constituye el objeto propio del conflicto positivo de competencia, bien si la parte actora reclama para sí la competencia ejercida por otro o bien si, en su caso, discrepa de la forma en que el titular de una competencia la ha ejercido, extralimitándose y lesionando, perturbando o desconociendo al ejercitarla el ámbito de atribuciones constitucionales de quien plantea el conflicto” (por todas STC 44/2007, de 1 de marzo, FJ 3).</w:t>
      </w:r>
    </w:p>
    <w:p w:rsidR="0026452D" w:rsidRDefault="0026452D" w:rsidP="0026452D">
      <w:pPr>
        <w:pStyle w:val="TextoNormal"/>
      </w:pPr>
    </w:p>
    <w:p w:rsidR="0026452D" w:rsidRDefault="0026452D" w:rsidP="0026452D">
      <w:pPr>
        <w:pStyle w:val="TextoNormal"/>
      </w:pPr>
      <w:r>
        <w:t xml:space="preserve">En segundo lugar, sustentándose la reivindicación competencial de la Junta de Castilla y León en la vulneración de sus competencias en materia de asistencia social, habrá de estarse a lo dispuesto en el vigente Estatuto de Autonomía, aprobado por la Ley Orgánica 14/2007, de 30 de noviembre, que constituye parámetro de control del presente conflicto, en aplicación de nuestra doctrina sobre el </w:t>
      </w:r>
      <w:r w:rsidRPr="0026452D">
        <w:rPr>
          <w:i/>
        </w:rPr>
        <w:t>ius superveniens</w:t>
      </w:r>
      <w:r>
        <w:t>, (STC 1/2011, de 14 de febrero, FJ 2 y doctrina allí citada). El art. 70.1.10 del vigente Estatuto de Autonomía atribuye a la Comunidad Autónoma de Castilla y León competencia exclusiva en materia de “asistencia social, servicios sociales y desarrollo comunitario”, con especificación de que dicha materia incluye, entre otros aspectos, la “promoción y atención de las familias, la infancia, la juventud y los mayores” y la “prevención, atención e inserción social de los colectivos afectados por la discapacidad, la dependencia o la exclusión social”. En su apartado 3 señala que la atribución en exclusividad de estas competencias “se entenderá efectuada sin perjuicio de las competencias que pudieran corresponder al Estado en virtud de otros títulos previstos en la Constitución”.</w:t>
      </w:r>
    </w:p>
    <w:p w:rsidR="0026452D" w:rsidRDefault="0026452D" w:rsidP="0026452D">
      <w:pPr>
        <w:pStyle w:val="TextoNormal"/>
      </w:pPr>
    </w:p>
    <w:p w:rsidR="0026452D" w:rsidRDefault="0026452D" w:rsidP="0026452D">
      <w:pPr>
        <w:pStyle w:val="TextoNormal"/>
      </w:pPr>
      <w:r w:rsidRPr="0026452D">
        <w:rPr>
          <w:rStyle w:val="NumeroAFNegritaCaracter"/>
        </w:rPr>
        <w:t>3</w:t>
      </w:r>
      <w:r>
        <w:t>. La resolución del presente conflicto exige comenzar por el encuadramiento competencial de las ayudas cuestionadas, a fin de determinar si, a la vista de las competencias del Estado y de la Comunidad Autónoma de Castilla y León, se ha producido o no la vulneración competencial denunciada, tomando como parámetro sustantivo la doctrina constitucional, especialmente la recogida en la STC 13/1992, de 6 de febrero, en la que se recoge el principio de que “la legitimidad constitucional del régimen normativo y de gestión de las subvenciones fijado por el Estado depende de las competencias que el Estado posea en la materia de que se trate”, ya que “la subvención no es un concepto que delimite competencias” (FJ 4).</w:t>
      </w:r>
    </w:p>
    <w:p w:rsidR="0026452D" w:rsidRDefault="0026452D" w:rsidP="0026452D">
      <w:pPr>
        <w:pStyle w:val="TextoNormal"/>
      </w:pPr>
    </w:p>
    <w:p w:rsidR="0026452D" w:rsidRDefault="0026452D" w:rsidP="0026452D">
      <w:pPr>
        <w:pStyle w:val="TextoNormal"/>
      </w:pPr>
      <w:r>
        <w:t>Las partes coinciden en afirmar que el ámbito material en el que se incardina la norma recurrida es el relativo a “asistencia social”. Según una doctrina reiterada, la noción de asistencia social no está precisada en el texto constitucional y nuestro constituyente maneja un concepto consagrado por la práctica nacional e internacional, por lo que ha de entenderse remitida a conceptos elaborados en el ámbito de la legislación general, que deben atraerse a la interpretación constitucional. Atendiendo a las pautas de algunos instrumentos internacionales como la Carta social europea, hemos considerado que la asistencia social, en sentido abstracto, “abarca una técnica de protección situada extramuros del Sistema de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(SSTC 79/1986, de 5 de junio, FJ 7; 146/1986, de 25 de noviembre, FJ 2; 239/2002, de 11 de diciembre, FJ 5; 178/2011, de 8 de noviembre, FJ 4; y 36/2012, de 15 de marzo, FJ 4). El examen del Real Decreto permite confirmar que las ayudas objeto de la controversia se integran sin dificultad en el ámbito de la asistencia social, puesto que, como se señala en el preámbulo, las mismas se dirigen “a atender necesidades sociales urgentes de las personas mayores en situación de dependencia”, mediante una aportación financiera destinada a “finalizar la construcción, ampliación, adaptación o equipamiento de centros para poder proceder a su inmediata puesta en funcionamiento”.</w:t>
      </w:r>
    </w:p>
    <w:p w:rsidR="0026452D" w:rsidRDefault="0026452D" w:rsidP="0026452D">
      <w:pPr>
        <w:pStyle w:val="TextoNormal"/>
      </w:pPr>
    </w:p>
    <w:p w:rsidR="0026452D" w:rsidRDefault="0026452D" w:rsidP="0026452D">
      <w:pPr>
        <w:pStyle w:val="TextoNormal"/>
      </w:pPr>
      <w:r>
        <w:t xml:space="preserve">La materia de asistencia social figura en el art. 148.1.20 CE y es por tanto competencia posible de las Comunidades Autónomas. Ha sido efectivamente asumida por la Comunidad </w:t>
      </w:r>
      <w:r>
        <w:lastRenderedPageBreak/>
        <w:t>Autónoma de Castilla y León con carácter exclusivo, en los términos previstos en el citado art. 70.1.10 del vigente Estatuto de Autonomía.</w:t>
      </w:r>
    </w:p>
    <w:p w:rsidR="0026452D" w:rsidRDefault="0026452D" w:rsidP="0026452D">
      <w:pPr>
        <w:pStyle w:val="TextoNormal"/>
      </w:pPr>
    </w:p>
    <w:p w:rsidR="0026452D" w:rsidRDefault="0026452D" w:rsidP="0026452D">
      <w:pPr>
        <w:pStyle w:val="TextoNormal"/>
      </w:pPr>
      <w:r w:rsidRPr="0026452D">
        <w:rPr>
          <w:rStyle w:val="NumeroAFNegritaCaracter"/>
        </w:rPr>
        <w:t>4</w:t>
      </w:r>
      <w:r>
        <w:t>. Expuesto el marco competencial, es preciso analizar la posible existencia de otros títulos que justifiquen la regulación efectuada por el Estado, tomando como punto de partida el hecho de que “el Estado puede asignar fondos públicos de sus presupuestos a cualquier finalidad lícita, incluso aunque implique la financiación de acciones de fomento en materias de competencia exclusiva de las Comunidades Autónomas, pudiendo, en tales casos, fijar el destino o finalidad de política social o económica a que se deban dedicar los fondos” (SSTC 13/1992, FJ 7; 202/1992, FJ 6; 36/2012, FJ 9; y 72/2012, FJ 5). Pero, ello no excusa que el Estado deba ajustarse al orden constitucional de competencias, tanto en la programación como en la ejecución de ese gastos, lo que obligará, en definitiva, a estar “a la normativa general que para cada tipo de subvención dicte el Estado, al objeto de precisar si los condicionamientos que para la gestión de las subvenciones que en la misma se determinan se encuadran dentro de los límites del título competencial que ampara la intervención estatal o, al contario, van más allá del alcance de dicho título, invadiendo las competencias autonómicas sobre la materia subvencionada, lo que significaría no sólo alterar el sistema competencial, sino también distorsionar la autonomía financiera que para el ejercicio de sus competencias, a las Comunidades Autónomas reconoce el art. 156.1 CE” (STC 36/2012, de 15 de marzo, FJ 7, con cita de la STC 96/1990, de 24 de mayo, FJ 15).</w:t>
      </w:r>
    </w:p>
    <w:p w:rsidR="0026452D" w:rsidRDefault="0026452D" w:rsidP="0026452D">
      <w:pPr>
        <w:pStyle w:val="TextoNormal"/>
      </w:pPr>
    </w:p>
    <w:p w:rsidR="0026452D" w:rsidRDefault="0026452D" w:rsidP="0026452D">
      <w:pPr>
        <w:pStyle w:val="TextoNormal"/>
      </w:pPr>
      <w:r>
        <w:t>En el supuesto que se examina, el Abogado del Estado considera que el título competencial que tiene un carácter específico en relación con la materia regulada es el contemplado en el art. 149.1.18 de la Constitución, y, subsidiariamente, lo dispuesto en el art. 9.2, en conexión con los arts. 40, 41 y 50, así como en el art. 149.1.1 CE, de los cuales se derivaría la existencia de un deber específico de colaboración del Estado con las entidades locales que justificaría, en concreto, la aportación de fondos estatales destinados a la realización de aquellos servicios municipales que se configuren en la legislación básica estatal como servicios de prestación obligatoria por los municipios, por lo que, además, considera que la competencia subvencional encontraría cobertura en lo dispuesto en los arts. 137, 138 y en el art. 149.1.14 CE.</w:t>
      </w:r>
    </w:p>
    <w:p w:rsidR="0026452D" w:rsidRDefault="0026452D" w:rsidP="0026452D">
      <w:pPr>
        <w:pStyle w:val="TextoNormal"/>
      </w:pPr>
    </w:p>
    <w:p w:rsidR="0026452D" w:rsidRDefault="0026452D" w:rsidP="0026452D">
      <w:pPr>
        <w:pStyle w:val="TextoNormal"/>
      </w:pPr>
      <w:r>
        <w:t>Debemos descartar, en primer lugar, la aplicación del título competencial del art. 149.1.18 CE pues el régimen local no es una materia o sector de actividad concreto. La mera relación directa que el Estado puede entablar con las corporaciones locales no es título bastante para eliminar en todo caso la intervención autonómica en las subvenciones que se otorguen a las entidades locales [STC 227/2012, de 29 de noviembre, FJ 4 d)]. Tampoco resulta de aplicación el título competencial del art. 149.1.14 CE, pues la finalidad de las ayudas no tiene por objeto la salvaguarda de la suficiencia financiera de las entidades locales, sino la construcción y equipamiento de centros destinados a personas de la tercera edad en situación de dependencia [STC 227/2012, FJ 4 c)].</w:t>
      </w:r>
    </w:p>
    <w:p w:rsidR="0026452D" w:rsidRDefault="0026452D" w:rsidP="0026452D">
      <w:pPr>
        <w:pStyle w:val="TextoNormal"/>
      </w:pPr>
    </w:p>
    <w:p w:rsidR="0026452D" w:rsidRDefault="0026452D" w:rsidP="0026452D">
      <w:pPr>
        <w:pStyle w:val="TextoNormal"/>
      </w:pPr>
      <w:r>
        <w:t>Este Tribunal ha rechazado recientemente que el art. 149.1.1 CE sea un título competencial suficiente para justificar determinadas ayudas en materia de asistencia social, pues esta competencia no se mueve en la lógica de las bases y legislación de desarrollo, ni es un título horizontal capaz de introducirse en cualquier materia o sector del ordenamiento [STC 173/2012, de 15 de octubre, FJ 5 a); y 177/2012, de 15 de octubre, FJ 5 a)]. De ahí que, debemos descartar la competencia estatal invocada a partir de este título.</w:t>
      </w:r>
    </w:p>
    <w:p w:rsidR="0026452D" w:rsidRDefault="0026452D" w:rsidP="0026452D">
      <w:pPr>
        <w:pStyle w:val="TextoNormal"/>
      </w:pPr>
    </w:p>
    <w:p w:rsidR="0026452D" w:rsidRDefault="0026452D" w:rsidP="0026452D">
      <w:pPr>
        <w:pStyle w:val="TextoNormal"/>
      </w:pPr>
      <w:r>
        <w:t>Finalmente, el resto de preceptos constitucionales invocados por la Abogacía del Estado, como son la promoción de la igualdad del individuo y los grupos que lo integran, y las previsiones de los arts. 40, 41 y 50 CE, si bien legitiman la capacidad del Estado para disponer de su presupuesto en la acción social o económica, no constituyen por sí mismos “un título competencial autónomo a favor del Estado, sino un mandato que ha de informar la actuación de todos los poderes públicos” (SSTC 59/1995, de 17 de marzo, FJ 3; y 36/2012, de 15 de marzo, FJ 4).</w:t>
      </w:r>
    </w:p>
    <w:p w:rsidR="0026452D" w:rsidRDefault="0026452D" w:rsidP="0026452D">
      <w:pPr>
        <w:pStyle w:val="TextoNormal"/>
      </w:pPr>
    </w:p>
    <w:p w:rsidR="0026452D" w:rsidRDefault="0026452D" w:rsidP="0026452D">
      <w:pPr>
        <w:pStyle w:val="TextoNormal"/>
      </w:pPr>
      <w:r w:rsidRPr="0026452D">
        <w:rPr>
          <w:rStyle w:val="NumeroAFNegritaCaracter"/>
        </w:rPr>
        <w:t>5</w:t>
      </w:r>
      <w:r>
        <w:t>. En la STC 13/1992, el Tribunal estableció un esquema de delimitación competencial entre el Estado y las Comunidades Autónomas, en cuanto al ejercicio de la potestad subvencional de gasto público, resumido en cuatro supuestos generales y que, como recuerda la reciente STC 38/2012, de 26 de marzo, FJ 4, pese al carácter abierto del esquema en el que se insertan, sigue siendo referente constante en nuestra doctrina posterior y de las alegaciones de las partes en los procesos de constitucionalidad. También en el supuesto que nos ocupa, el debate trabado entre las partes, una vez encuadradas competencialmente las ayudas controvertidas, se centra en determinar el supuesto que, de los cuatro que se contemplan en nuestra doctrina, resulta de aplicación a las ahora controvertidas.</w:t>
      </w:r>
    </w:p>
    <w:p w:rsidR="0026452D" w:rsidRDefault="0026452D" w:rsidP="0026452D">
      <w:pPr>
        <w:pStyle w:val="TextoNormal"/>
      </w:pPr>
    </w:p>
    <w:p w:rsidR="0026452D" w:rsidRDefault="0026452D" w:rsidP="0026452D">
      <w:pPr>
        <w:pStyle w:val="TextoNormal"/>
      </w:pPr>
      <w:r>
        <w:t>El representante de la Comunidad Autónoma de Castilla y León considera que en el presente caso nos encontramos en el primero de los supuestos, contemplado en el fundamento jurídico 8 a) de la Sentencia 13/1992, al tratarse de una materia o sector sobre el que recae la competencia exclusiva de la Comunidad Autónoma. Respecto del mencionado supuesto se determina lo siguiente:</w:t>
      </w:r>
    </w:p>
    <w:p w:rsidR="0026452D" w:rsidRDefault="0026452D" w:rsidP="0026452D">
      <w:pPr>
        <w:pStyle w:val="TextoNormal"/>
      </w:pPr>
    </w:p>
    <w:p w:rsidR="0026452D" w:rsidRDefault="0026452D" w:rsidP="0026452D">
      <w:pPr>
        <w:pStyle w:val="TextoNormal"/>
      </w:pPr>
      <w:r>
        <w:t>“a) Un primer supuesto se produce cuando la Comunidad Autónoma ostenta una competencia exclusiva sobre una determinada materia y el Estado no invoca título competencial alguno, genérico o específico, sobre la misma. El Estado puede, desde luego, decidir asignar 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0026452D" w:rsidRDefault="0026452D" w:rsidP="0026452D">
      <w:pPr>
        <w:pStyle w:val="TextoNormal"/>
      </w:pPr>
    </w:p>
    <w:p w:rsidR="0026452D" w:rsidRDefault="0026452D" w:rsidP="0026452D">
      <w:pPr>
        <w:pStyle w:val="TextoNormal"/>
      </w:pPr>
      <w:r>
        <w:t>Por su parte, el Abogado del Estado disiente del anterior planteamiento, y considera que la regulación efectuada encaja en el cuarto y último supuesto del mencionado fundamento jurídico 8 de la Sentencia, conforme al cual:</w:t>
      </w:r>
    </w:p>
    <w:p w:rsidR="0026452D" w:rsidRDefault="0026452D" w:rsidP="0026452D">
      <w:pPr>
        <w:pStyle w:val="TextoNormal"/>
      </w:pPr>
    </w:p>
    <w:p w:rsidR="0026452D" w:rsidRDefault="0026452D" w:rsidP="0026452D">
      <w:pPr>
        <w:pStyle w:val="TextoNormal"/>
      </w:pPr>
      <w:r>
        <w:t xml:space="preserve">“d) El cuarto y último supuesto es aquél en que no obstante tener las Comunidades Autónomas competencias exclusivas sobre la materia en que recaen las subvenciones, éstas pueden ser gestionadas, excepcionalmente, por un órgano de la Administración del Estado u organismo de éste dependiente, con la consiguiente gestión centralizada de las partidas presupuestarias en los Presupuestos Generales del Estado. Pero ello solo es posible cuando el Estado ostente algún título competencial, genérico o específico, sobre la materia y en las circunstancias señaladas en nuestra doctrina anterior, a saber: que resulte imprescindible para asegurar la plena efectividad de las medidas dentro de la ordenación básica del sector </w:t>
      </w:r>
      <w:r>
        <w:lastRenderedPageBreak/>
        <w:t>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w:t>
      </w:r>
    </w:p>
    <w:p w:rsidR="0026452D" w:rsidRDefault="0026452D" w:rsidP="0026452D">
      <w:pPr>
        <w:pStyle w:val="TextoNormal"/>
      </w:pPr>
    </w:p>
    <w:p w:rsidR="0026452D" w:rsidRDefault="0026452D" w:rsidP="0026452D">
      <w:pPr>
        <w:pStyle w:val="TextoNormal"/>
      </w:pPr>
      <w:r>
        <w:t>En el caso objeto de examen, las subvenciones se encuadran en el supuesto recogido en el fundamento jurídico 8 a) de la STC 13/1992. Al no poder justificarse título competencial estatal alguno, ni genérico ni específico, no se cumple la premisa exigida por el cuarto supuesto de la STC 13/1992, FJ 8 d), para justificar la gestión centralizada, o sea, que el Estado ostente algún título competencial, genérico o específico, sobre la materia, por lo que no es necesario entrar a examinar si se dan las otras circunstancias excepcionales que exige aquel supuesto (STC 227/2012, de 29 de noviembre, FJ 6). Ello implica que los fondos correspondientes a los municipios situados en el territorio de la Comunidad Autónoma de Castilla y León, deberían haberse territorializado en los propios presupuestos generales del Estado o, en su defecto, por normas inmediatamente posteriores o por convenio, siendo así que la disposición examinada impone la centralización de todo el procedimiento de gestión, resolución y pago de las ayudas, por lo que se vulneran las competencias de la Comunidad Autónoma.</w:t>
      </w:r>
    </w:p>
    <w:p w:rsidR="0026452D" w:rsidRDefault="0026452D" w:rsidP="0026452D">
      <w:pPr>
        <w:pStyle w:val="TextoNormal"/>
      </w:pPr>
    </w:p>
    <w:p w:rsidR="0026452D" w:rsidRDefault="0026452D" w:rsidP="0026452D">
      <w:pPr>
        <w:pStyle w:val="TextoNormal"/>
      </w:pPr>
      <w:r>
        <w:t>En lo que se refiere al alcance del fallo, atendiendo a lo solicitado en el texto de la demanda, que se concreta en la anulación de la disposición y a la declaración de la competencia autonómica para el “abono directo” de la subvención, y teniendo en cuenta que, como hemos declarado en otros casos (SSTC 75/1989, de 21 de abril; 13/1992, de 6 de febrero; 79/1992, de 28 de mayo; 186/1999, de 14 de octubre y 38/2012, de 26 de marzo, entre otras) la disposición impugnada ya ha agotado sus efectos y se podría afectar a situaciones jurídicas consolidadas, la pretensión de la Junta de Castilla y León ha de estimarse satisfecha mediante la declaración de la titularidad de la competencia controvertida, sin necesidad de que haya de procederse a la anulación de los preceptos correspondientes.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el conflicto positivo de competencia formulado y declarar que corresponde a la Junta de Castilla y León la titularidad de la competencia controvertida.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treinta y uno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27" w:name="SENTENCIA_2013_24"/>
      <w:r>
        <w:lastRenderedPageBreak/>
        <w:t>SENTENCIA 24/2013, de 31 de enero de 2013</w:t>
      </w:r>
    </w:p>
    <w:bookmarkEnd w:id="27"/>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ECLI:ES:TC:2013:24</w:t>
      </w:r>
    </w:p>
    <w:p w:rsidR="0026452D" w:rsidRDefault="0026452D" w:rsidP="0026452D">
      <w:pPr>
        <w:pStyle w:val="SntesisDescriptiva"/>
      </w:pPr>
    </w:p>
    <w:p w:rsidR="0026452D" w:rsidRDefault="0026452D" w:rsidP="0026452D">
      <w:pPr>
        <w:pStyle w:val="SntesisDescriptiva"/>
      </w:pPr>
      <w:r>
        <w:t>Conflicto positivo de competencia 3726-2007. Planteado por el Gobierno de la Generalitat de Cataluña en relación con diversos preceptos del Real Decreto 1631/2006, de 29 de diciembre, por el que se establecen las enseñanzas mínimas correspondientes a la educación secundaria obligatoria.</w:t>
      </w:r>
    </w:p>
    <w:p w:rsidR="0026452D" w:rsidRDefault="0026452D" w:rsidP="0026452D">
      <w:pPr>
        <w:pStyle w:val="SntesisDescriptiva"/>
      </w:pPr>
    </w:p>
    <w:p w:rsidR="0026452D" w:rsidRDefault="0026452D" w:rsidP="0026452D">
      <w:pPr>
        <w:pStyle w:val="SntesisAnaltica"/>
      </w:pPr>
      <w:r>
        <w:t>Competencias sobre educación: constitucionalidad de los preceptos reglamentarios estatales sobre programas de cualificación profesional inicial y enseñanza de las lenguas propias (STC 88/1983).</w:t>
      </w:r>
    </w:p>
    <w:p w:rsidR="0026452D" w:rsidRDefault="0026452D" w:rsidP="0026452D">
      <w:pPr>
        <w:pStyle w:val="SntesisAnaltica"/>
      </w:pPr>
    </w:p>
    <w:p w:rsidR="0026452D" w:rsidRDefault="0026452D" w:rsidP="0026452D">
      <w:pPr>
        <w:pStyle w:val="Extracto"/>
      </w:pPr>
      <w:r>
        <w:t>1.</w:t>
      </w:r>
      <w:r>
        <w:tab/>
        <w:t>Las enseñanzas mínimas son el instrumento con que cuenta el Estado para conseguir una formación común en un determinado nivel de todos los escolares, que haga posible la homologación del sistema educativo y garantice el cumplimiento de las obligaciones de los poderes públicos en materia de educación, necesidad presente también en los programas de cualificación profesional inicial y en los módulos voluntarios que conducen a la obtención del título de graduado en educación secundaria obligatoria (STC 88/1983) [FJ 5].</w:t>
      </w:r>
    </w:p>
    <w:p w:rsidR="0026452D" w:rsidRDefault="0026452D" w:rsidP="0026452D">
      <w:pPr>
        <w:pStyle w:val="Extracto"/>
      </w:pPr>
    </w:p>
    <w:p w:rsidR="0026452D" w:rsidRDefault="0026452D" w:rsidP="0026452D">
      <w:pPr>
        <w:pStyle w:val="Extracto"/>
      </w:pPr>
      <w:r>
        <w:t>2.</w:t>
      </w:r>
      <w:r>
        <w:tab/>
        <w:t>El precepto en el que se especifican las materias mínimas de los módulos voluntarios para obtener el graduado en educación secundaria obligatoria, deja a las Comunidades Autónomas un ámbito de regulación mucho más amplio que cuando se trata del itinerario normal, por lo que no es posible afirmar que la definición realizada por el Gobierno de los aspectos básicos del currículo haya eliminado la capacidad de las Comunidades Autónomas para ejercer sus competencias de regulación del mismo [FJ 5].</w:t>
      </w:r>
    </w:p>
    <w:p w:rsidR="0026452D" w:rsidRDefault="0026452D" w:rsidP="0026452D">
      <w:pPr>
        <w:pStyle w:val="Extracto"/>
      </w:pPr>
    </w:p>
    <w:p w:rsidR="0026452D" w:rsidRDefault="0026452D" w:rsidP="0026452D">
      <w:pPr>
        <w:pStyle w:val="Extracto"/>
      </w:pPr>
      <w:r>
        <w:t>3.</w:t>
      </w:r>
      <w:r>
        <w:tab/>
        <w:t>La estructuración de los programas de formación de adultos forma parte de lo que cabe entender por enseñanzas mínimas, cuya finalidad no es otra que obtener un mínimo de homogeneidad que haga posible la homologación de los títulos y garantice el cumplimiento de las obligaciones de los poderes públicos en materia educativa [FJ 6].</w:t>
      </w:r>
    </w:p>
    <w:p w:rsidR="0026452D" w:rsidRDefault="0026452D" w:rsidP="0026452D">
      <w:pPr>
        <w:pStyle w:val="Extracto"/>
      </w:pPr>
    </w:p>
    <w:p w:rsidR="0026452D" w:rsidRDefault="0026452D" w:rsidP="0026452D">
      <w:pPr>
        <w:pStyle w:val="Extracto"/>
      </w:pPr>
      <w:r>
        <w:t>4.</w:t>
      </w:r>
      <w:r>
        <w:tab/>
        <w:t xml:space="preserve">Asegurar el conocimiento mínimo de la lengua española corresponde a los poderes públicos </w:t>
      </w:r>
      <w:r w:rsidRPr="0026452D">
        <w:rPr>
          <w:i/>
        </w:rPr>
        <w:t>ex</w:t>
      </w:r>
      <w:r>
        <w:t xml:space="preserve"> art. 3 CE, formando parte, en consecuencia, de la competencia estatal para fijar las enseñanzas mínimas (STC 88/1983) [FJ 7].</w:t>
      </w:r>
    </w:p>
    <w:p w:rsidR="0026452D" w:rsidRDefault="0026452D" w:rsidP="0026452D">
      <w:pPr>
        <w:pStyle w:val="Extracto"/>
      </w:pPr>
    </w:p>
    <w:p w:rsidR="0026452D" w:rsidRDefault="0026452D" w:rsidP="0026452D">
      <w:pPr>
        <w:pStyle w:val="Extracto"/>
      </w:pPr>
      <w:r>
        <w:t>5.</w:t>
      </w:r>
      <w:r>
        <w:tab/>
        <w:t>Del art. 3 CE deriva el deber constitucional de asegurar el conocimiento tanto del castellano como de la lengua propia de la Comunidad, que tiene carácter de lengua oficial, de modo y manera que una regulación de horarios mínimos para la lengua castellana que permita la enseñanza eficaz de ambas lenguas cumpliría con este deber constitucional (STC 88/1983) [FJ 7].</w:t>
      </w:r>
    </w:p>
    <w:p w:rsidR="0026452D" w:rsidRDefault="0026452D" w:rsidP="0026452D">
      <w:pPr>
        <w:pStyle w:val="Extracto"/>
      </w:pPr>
    </w:p>
    <w:p w:rsidR="0026452D" w:rsidRDefault="0026452D" w:rsidP="0026452D">
      <w:pPr>
        <w:pStyle w:val="Extracto"/>
      </w:pPr>
      <w:r>
        <w:lastRenderedPageBreak/>
        <w:t>6.</w:t>
      </w:r>
      <w:r>
        <w:tab/>
        <w:t>Doctrina constitucional sobre la necesidad de fundamentación de la impugnación (SSTC 38/1989, 112/2006) [FJ 6].</w:t>
      </w:r>
    </w:p>
    <w:p w:rsidR="0026452D" w:rsidRDefault="0026452D" w:rsidP="0026452D">
      <w:pPr>
        <w:pStyle w:val="Extracto"/>
      </w:pPr>
    </w:p>
    <w:p w:rsidR="0026452D" w:rsidRDefault="0026452D" w:rsidP="0026452D">
      <w:pPr>
        <w:pStyle w:val="Extracto"/>
      </w:pPr>
      <w:r>
        <w:t>7.</w:t>
      </w:r>
      <w:r>
        <w:tab/>
        <w:t>Doctrina constitucional sobre la variabilidad de las bases (SSTC 133/1997, 18/2011) [FFJJ 6, 7].</w:t>
      </w:r>
    </w:p>
    <w:p w:rsidR="0026452D" w:rsidRDefault="0026452D" w:rsidP="0026452D">
      <w:pPr>
        <w:pStyle w:val="Extracto"/>
      </w:pPr>
    </w:p>
    <w:p w:rsidR="0026452D" w:rsidRDefault="0026452D" w:rsidP="0026452D">
      <w:pPr>
        <w:pStyle w:val="Extracto"/>
      </w:pPr>
      <w:r>
        <w:t>8.</w:t>
      </w:r>
      <w:r>
        <w:tab/>
        <w:t>Doctrina sobre el orden constitucional de competencias en materia de educación (SSTC 122/1989, 31/2010) [FJ 3].</w:t>
      </w:r>
    </w:p>
    <w:p w:rsidR="0026452D" w:rsidRDefault="0026452D" w:rsidP="0026452D">
      <w:pPr>
        <w:pStyle w:val="Extracto"/>
      </w:pPr>
    </w:p>
    <w:p w:rsidR="0026452D" w:rsidRDefault="0026452D" w:rsidP="0026452D">
      <w:pPr>
        <w:pStyle w:val="Extracto"/>
      </w:pPr>
      <w:r>
        <w:t>9.</w:t>
      </w:r>
      <w:r>
        <w:tab/>
        <w:t>Doctrina constitucional sobre los requisitos de la legislación básica (SSTC 77/1985, 14/2004, 222/2006) [FFJJ 2, 5].</w:t>
      </w:r>
    </w:p>
    <w:p w:rsidR="0026452D" w:rsidRDefault="0026452D" w:rsidP="0026452D">
      <w:pPr>
        <w:pStyle w:val="Extracto"/>
      </w:pPr>
    </w:p>
    <w:p w:rsidR="0026452D" w:rsidRDefault="0026452D" w:rsidP="0026452D">
      <w:pPr>
        <w:pStyle w:val="Extracto"/>
      </w:pPr>
      <w:r>
        <w:t>10.</w:t>
      </w:r>
      <w:r>
        <w:tab/>
        <w:t>Doctrina constitucional sobre la apreciación de la pervivencia del objeto pese a la derogación de la norma en procesos constitucionales de naturaleza competencial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3726-2007 interpuesto por el Gobierno de la Generalitat de Cataluña contra diversos preceptos del Real Decreto 1631/2006, de 29 de diciembre, por el que se establecen las enseñanzas mínimas correspondientes a la educación secundaria obligatoria. Ha formulado alegaciones el Abogado del Estado. Ha sido Ponente el Magistrado don Francisco Pérez de los Cobos Orihuel,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25 de abril de 2007 la Letrada de la Generalitat de Cataluña, en la representación que ostenta, promueve conflicto positivo de competencias frente al Gobierno de la Nación contra los apartados 7 y 8 del art. 14, la disposición adicional primera y el anexo III del Real Decreto 1631/2006, de 29 de diciembre, por el que se establecen las enseñanzas mínimas correspondientes a la educación secundaria obligatoria.</w:t>
      </w:r>
    </w:p>
    <w:p w:rsidR="0026452D" w:rsidRDefault="0026452D" w:rsidP="0026452D">
      <w:pPr>
        <w:pStyle w:val="TextoNormal"/>
      </w:pPr>
    </w:p>
    <w:p w:rsidR="0026452D" w:rsidRDefault="0026452D" w:rsidP="0026452D">
      <w:pPr>
        <w:pStyle w:val="TextoNormal"/>
      </w:pPr>
      <w:r>
        <w:lastRenderedPageBreak/>
        <w:t>Justificado el cumplimiento de los requisitos procesales para la promoción del conflicto positivo de competencia, comienza la Letrada de la Generalitat por rechazar que los títulos competenciales invocados por el Estado den cobertura a los preceptos impugnados. Entiende que, en primer lugar, el art. 1491.1.1 CE no faculta al Estado para dictar una regulación material distinta de aquella para la que le está habilitando el art. 149.1.30 CE, lo que ya reconoció el Estado en su respuesta al requerimiento formulado por el Gobierno catalán al Real Decreto 1531/2006, por el que se establecen las enseñanzas mínimas de la educación primaria. Pero tampoco el art. 149.1.30 CE ni la disposición adicional primera 2 a) y c) de la Ley Orgánica 8/1985, de 3 de julio, reguladora del derecho a la educación (LODE), permiten al Estado dictar una regulación básica de la educación secundaria obligatoria con el alcance con que lo han hecho los preceptos impugnados.</w:t>
      </w:r>
    </w:p>
    <w:p w:rsidR="0026452D" w:rsidRDefault="0026452D" w:rsidP="0026452D">
      <w:pPr>
        <w:pStyle w:val="TextoNormal"/>
      </w:pPr>
    </w:p>
    <w:p w:rsidR="0026452D" w:rsidRDefault="0026452D" w:rsidP="0026452D">
      <w:pPr>
        <w:pStyle w:val="TextoNormal"/>
      </w:pPr>
      <w:r>
        <w:t>El art. 131 del Estatuto de Autonomía de Cataluña, continúa la demanda, atribuye la competencia a la Generalitat en materia educativa distinguiendo entre aquellos ámbitos en que tiene carácter exclusivo y aquellos otros en los que su competencia se encuentra limitada exclusivamente por las previsiones de la Ley Orgánica 2/2006, de 3 de mayo, de educación y la LODE pues, según la configuración material de las bases que ha realizado el art. 111 del Estatuto de Autonomía de Cataluña (EAC), no puede corresponder al Estado llevar a cabo una mayor concreción de las ya establecidas en las citadas normas legales. En otras palabras, en la medida en que el contenido mínimo de las enseñanzas que corresponde fijar al Estado tiene por objeto establecer un mínimo de homogeneidad del sistema educativo, este mínimo ya se encuentra determinado en la Ley Orgánica de educación salvo la regulación de las enseñanzas mínimas para el itinerario normal que no se impugna en este conflicto, por lo que los preceptos impugnados habrían excedido el concepto material de bases desplazando la competencia autonómica de establecer los planes de estudios incluyendo la ordenación curricular.</w:t>
      </w:r>
    </w:p>
    <w:p w:rsidR="0026452D" w:rsidRDefault="0026452D" w:rsidP="0026452D">
      <w:pPr>
        <w:pStyle w:val="TextoNormal"/>
      </w:pPr>
    </w:p>
    <w:p w:rsidR="0026452D" w:rsidRDefault="0026452D" w:rsidP="0026452D">
      <w:pPr>
        <w:pStyle w:val="TextoNormal"/>
      </w:pPr>
      <w:r>
        <w:t>Recuerda también la demanda las numerosas controversias competenciales suscitadas en materia de educación a partir de la aprobación de la Ley Orgánica de la calidad de la educación, y de los reglamentos dictados en su desarrollo y, en especial, el conflicto de competencias promovido contra el Real Decreto dictado en desarrollo de la Ley Orgánica de educación, el 1513/2006, de 7 de diciembre, que establece las enseñanzas mínimas de la educación primaria.</w:t>
      </w:r>
    </w:p>
    <w:p w:rsidR="0026452D" w:rsidRDefault="0026452D" w:rsidP="0026452D">
      <w:pPr>
        <w:pStyle w:val="TextoNormal"/>
      </w:pPr>
    </w:p>
    <w:p w:rsidR="0026452D" w:rsidRDefault="0026452D" w:rsidP="0026452D">
      <w:pPr>
        <w:pStyle w:val="TextoNormal"/>
      </w:pPr>
      <w:r>
        <w:t xml:space="preserve">Finalmente, antes de entrar en las concretas impugnaciones, la representación letrada de la Generalitat recuerda que el Real Decreto 1631/2006 tiene por objeto la determinación de los elementos básicos del currículo en cuanto a los objetivos, las competencias básicas, los contenidos y los criterios de evaluación de los aspectos educativos que deben impartir los centros de educación secundaria obligatoria para lo que debe partir de lo establecido en la Ley Orgánica de educación, en concreto de lo establecido en su título preliminar y en el capítulo III del título I de la norma legal citada, cuya regulación gira en torno a la definición y organización del currículo. Por ello, aunque nada hay que objetar a la regulación por el Estado de las enseñanzas mínimas pues con ella no se agota la posibilidad de la Generalitat para el desarrollo del currículo y la determinación de los contenidos más allá del 55 por 100 de los horarios escolares que corresponde determinar al Estado en las Comunidades Autónomas con dos lenguas oficiales, los preceptos impugnados inciden en otros aspectos que </w:t>
      </w:r>
      <w:r>
        <w:lastRenderedPageBreak/>
        <w:t>no pueden considerarse incluidos en las enseñanzas mínimas incidiendo, pues, ilegítimamente en las competencias que corresponden a la Comunidad Autónoma para la organización del currículo educativo.</w:t>
      </w:r>
    </w:p>
    <w:p w:rsidR="0026452D" w:rsidRDefault="0026452D" w:rsidP="0026452D">
      <w:pPr>
        <w:pStyle w:val="TextoNormal"/>
      </w:pPr>
    </w:p>
    <w:p w:rsidR="0026452D" w:rsidRDefault="0026452D" w:rsidP="0026452D">
      <w:pPr>
        <w:pStyle w:val="TextoNormal"/>
      </w:pPr>
      <w:r>
        <w:t xml:space="preserve">En concreto, entiende la Generalitat que esta intromisión en sus competencias se produce, en primer lugar, con la regulación de los programas de cualificación profesional inicial. La Ley Orgánica de educación ha pretendido, al establecer el nivel mínimo de homogeneidad que supone la ordenación de la enseñanza, que en la etapa de educación secundaria obligatoria la educación común debe combinarse con la atención a la diversidad del alumnado, flexibilidad aún mayor cuando se trata de la consecución del grado de educación secundaria obligatoria por los alumnos con necesidades de metodología específica entre los que se encuentran los que han alcanzado la edad de finalización de la etapa educativa sin haber obtenido el título. El art. 30 de la Ley Orgánica de educación atribuye a las Administraciones educativas, esto es, a las Comunidades Autónomas, la organización y regulación de los programas de cualificación profesional inicial siendo así que el real decreto impugnado va mucho más allá al establecer, en contra de lo previsto por el legislador orgánico, en los apartados 7 y 8 del art. 14 los ámbitos en los que debe organizarse y las materias que deben ser incluidas necesariamente, agotando la definición de cómo deben organizarse los contenidos e invadiendo así la competencia que tienen las Comunidades Autónomas, </w:t>
      </w:r>
      <w:r w:rsidRPr="0026452D">
        <w:rPr>
          <w:i/>
        </w:rPr>
        <w:t>ex</w:t>
      </w:r>
      <w:r>
        <w:t xml:space="preserve"> art. 30 de la Ley Orgánica de educación, para organizar y regular los programas de cualificación profesional inicial.</w:t>
      </w:r>
    </w:p>
    <w:p w:rsidR="0026452D" w:rsidRDefault="0026452D" w:rsidP="0026452D">
      <w:pPr>
        <w:pStyle w:val="TextoNormal"/>
      </w:pPr>
    </w:p>
    <w:p w:rsidR="0026452D" w:rsidRDefault="0026452D" w:rsidP="0026452D">
      <w:pPr>
        <w:pStyle w:val="TextoNormal"/>
      </w:pPr>
      <w:r>
        <w:t>En el mismo exceso competencial incurre la disposición final primera al regular la educación de las personas adultas. Los arts. 66 a 70 de la Ley Orgánica de educación establecen los principios y objetivos de esta educación y, cuando estos conducen a la obtención de un título oficial, la Ley Orgánica de educación contempla un marco abierto que remite a las Comunidades Autónomas la elaboración de una oferta adaptada a las condiciones y necesidades de estos alumnos, debiéndose ceñir la regulación estatal a determinar los objetivos y competencias que los alumnos deben asumir para la obtención del correspondiente título académico sin que el Estado pueda regular aspectos relativos a la organización. No cabe invocar el título del art. 1491.1.1 CE pues éste no resulta aplicable cuando el Estado dispone de un título competencial más específico en la materia. Tampoco cabe alegar que la disposición adicional segunda LODE permite al Estado determinar cómo deben organizarse los estudios que conducen al título académico de graduado en educación secundaria obligatoria. Antes al contrario, todos los contenidos referidos a la programación de las enseñanzas han sido establecidos en la Ley Orgánica de educación y en la regulación general que efectúan los arts. 1 a 8 del Real Decreto impugnado. Sin embargo, la disposición adicional primera estructura las enseñanzas en tres ámbitos, determina las áreas que corresponden a cada uno de ellos, y establece los niveles en que se estructuran esas enseñanzas para que puedan cursarse en el plazo de dos años vaciando de contenido la competencia autonómica para organizar los estudios. A ello se añade el hecho de que ni la Ley Orgánica 1/1990, de ordenación general del sistema educativo, ni la Ley Orgánica de calidad de la educación, ni las normas dictadas en su desarrollo habían considerado básica la regulación de la formación de adultos, habiendo dictado la Generalitat la Ley 1/1991, de 18 de marzo, de formación de adultos, y el Decreto 213/2002 por el que se establece la formación curricular de la formación básica prevista para la educación secundaria obligatoria partiendo de los objetivos y contenidos establecidos por la ley estatal.</w:t>
      </w:r>
    </w:p>
    <w:p w:rsidR="0026452D" w:rsidRDefault="0026452D" w:rsidP="0026452D">
      <w:pPr>
        <w:pStyle w:val="TextoNormal"/>
      </w:pPr>
    </w:p>
    <w:p w:rsidR="0026452D" w:rsidRDefault="0026452D" w:rsidP="0026452D">
      <w:pPr>
        <w:pStyle w:val="TextoNormal"/>
      </w:pPr>
      <w:r>
        <w:lastRenderedPageBreak/>
        <w:t>Finalmente también excede de la competencia estatal, en opinión de la Generalitat, la delimitación de horarios que realiza respecto de las áreas el anexo III al impedírsele organizar los currículos. La Ley Orgánica de educación parte de la base de que para garantizar una formación común en todo el territorio del Estado los contenidos de las enseñanzas mínimas se corresponden en las Comunidades Autónomas que tienen establecida una lengua cooficial con el 55 por 100 del horario, lo que permite a la Comunidad Autónoma de Cataluña ejercer la competencia que tiene atribuida por el art. 131.3 c) EAC. Esta diferencia entre las Comunidades Autónomas con y sin lengua cooficial se justifica por la obligación de los poderes públicos de garantizar el conocimiento de una lengua oficial distinta del castellano, siendo así que el Estatuto de Autonomía de Cataluña en su art. 6 expresamente contempla la existencia de obligaciones dirigidas a los poderes públicos en el ámbito educativo que se traducen en la presencia adecuada de las dos lenguas oficiales en los planes de estudios. La obligación, que conforme a la doctrina constitucional deriva de la existencia de otra lengua oficial, de establecer medidas para su conocimiento a través del sistema educativo justifica que el horario que el Estado contempla como necesario para el desarrollo de los contenidos básicos se reduzca en las Comunidades Autónomas con dos lenguas oficiales en un 10 por 100 que se destina a la determinación del currículo correspondiente a la lengua cooficial. Pues bien corresponde a la Generalitat la organización del currículo correspondiente al área de cultura catalana y, como quiera que los objetivos y contenidos que se corresponden a las áreas lingüísticas en una misma etapa educativa ostentan características comunes, la Generalitat debe ver reconocida su capacidad para completar, ampliar o adaptar las enseñanzas mínimas en la forma que estime conveniente. Nada objeta la representación letrada de la Generalitat al hecho de que el anexo III determine que las Comunidades Autónomas con lengua cooficial dispondrán para la organización de las enseñanzas de dicha lengua el 10 por 100 del horario escolar total puesto que es la consecuencia natural del art. 6.5 de la Ley Orgánica de educación. Lo que discute es que el Estado pueda regular cómo puede procederse a detraer ese porcentaje y, al hacerlo, limite la posibilidad de organización de la Comunidad Autónoma. Resulta además que, hasta la aprobación de la disposición impugnada, el Real Decreto 1007/1991, de 14 de junio, dejaba libertad a las Comunidades Autónomas con el único límite de que el porcentaje debía ser distribuido de forma proporcional entre las distintas áreas, criterio que fue continuado por el Real Decreto 831/1991, de 27 de junio, aunque se estableciera un mínimo de horas en lengua castellana. Este criterio ha sido abandonado por el anexo III del real decreto impugnado que establece una limitación a la organización por parte de las Comunidades Autónomas especialmente intensa cuando se aplica sobre las áreas lingüísticas pues al preverse la posibilidad de que los contenidos que corresponden en cada curso a las áreas de lengua puedan ser impartidos de forma conjunta está reconociendo que las habilidades y objetivos establecidos en el Real Decreto se alcanzan al impartirse de forma conjunta con las enseñanzas que en esa misma etapa corresponde al área de lengua y literatura catalana. Dichos contenidos, aunque se cursen de forma conjunta deberán ser incluidos en el desarrollo de los currículos que debe efectuar la Generalitat, pese a ello si la Generalitat opta porque las estructuras comunes se cursen de forma conjunta ésta verá condicionada su capacidad para determinar la lengua en la que deberán cursarse las diferentes áreas puesto que esta opción conlleva que los alumnos reciban las enseñanzas de lengua y literatura castellana en un número de horas no inferior al que corresponda a esta materia en aplicación de los criterios generales de reducción establecidos en el anexo.</w:t>
      </w:r>
    </w:p>
    <w:p w:rsidR="0026452D" w:rsidRDefault="0026452D" w:rsidP="0026452D">
      <w:pPr>
        <w:pStyle w:val="TextoNormal"/>
      </w:pPr>
    </w:p>
    <w:p w:rsidR="0026452D" w:rsidRDefault="0026452D" w:rsidP="0026452D">
      <w:pPr>
        <w:pStyle w:val="TextoNormal"/>
      </w:pPr>
      <w:r>
        <w:lastRenderedPageBreak/>
        <w:t>Por lo expuesto, la Letrada de la Comunidad solicita que se declare que la competencia controvertida corresponde a la Comunidad de Cataluña con anulación de los preceptos recurridos.</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5 de junio de 2007, a propuesta de la Sección Segunda, el Pleno del Tribunal Constitucional acordó admitir a trámite el conflicto positivo de competencia en relación con los apartados 7 y 8 del art. 14, disposición adicional primera y anexo III del Real Decreto 1631/2006, de 29 de diciembre, por el que se establecen las enseñanzas mínimas correspondientes a la educación secundaria obligatoria, y dar traslado de la demanda y documentos presentados al Gobierno, por conducto de su Presidente, para que en el plazo de veinte días y, por medio de la representación procesal que determina el art. 82.2 de la Ley Orgánica del Tribunal Constitucional (LOTC), aporte cuantos documentos y alegaciones considere convenientes. Igualmente se acordó comunicar la incoación del conflicto a la Sala Tercera del Tribunal Supremo por si ante la misma estuviera impugnado o se impugnare el referido real decreto, en cuyo caso se suspenderá el curso del proceso hasta la decisión del conflicto, según dispone el art. 61.2 LOTC, así como publicar la incoación del conflicto en el “Boletín Oficial del Estado” y en el “Diario Oficial de la Generalidad de Cataluña”.</w:t>
      </w:r>
    </w:p>
    <w:p w:rsidR="0026452D" w:rsidRDefault="0026452D" w:rsidP="0026452D">
      <w:pPr>
        <w:pStyle w:val="TextoNormal"/>
      </w:pPr>
    </w:p>
    <w:p w:rsidR="0026452D" w:rsidRDefault="0026452D" w:rsidP="0026452D">
      <w:pPr>
        <w:pStyle w:val="TextoNormal"/>
      </w:pPr>
      <w:r w:rsidRPr="0026452D">
        <w:rPr>
          <w:rStyle w:val="NumeroAFNegritaCaracter"/>
        </w:rPr>
        <w:t>3</w:t>
      </w:r>
      <w:r>
        <w:t>. El Abogado del Estado, en la representación que legalmente ostenta, se personó en el proceso mediante escrito registrado el día 19 de junio de 2007 solicitando una prórroga del plazo inicialmente concedido para la formulación de alegaciones que le fue concedida por providencia del Pleno de 20 de junio de 2007. Mediante escrito que tuvo entrada en este Tribunal de 13 de julio de 2007, el Abogado del Estado solicitó la desestimación de la demanda con base en las alegaciones que a seguidas se exponen.</w:t>
      </w:r>
    </w:p>
    <w:p w:rsidR="0026452D" w:rsidRDefault="0026452D" w:rsidP="0026452D">
      <w:pPr>
        <w:pStyle w:val="TextoNormal"/>
      </w:pPr>
    </w:p>
    <w:p w:rsidR="0026452D" w:rsidRDefault="0026452D" w:rsidP="0026452D">
      <w:pPr>
        <w:pStyle w:val="TextoNormal"/>
      </w:pPr>
      <w:r>
        <w:t>Comienza el Abogado del Estado enmarcando el objeto del conflicto que versa sobre determinados preceptos de un reglamento ejecutivo dictado en ejercicio de la habilitación al Gobierno de la Nación (art. 6.2 de la Ley Orgánica de educación) para regular las enseñanzas mínimas a las que se refiere la disposición adicional primera LODE, y bajo la cobertura de las competencias que al Estado atribuyen los títulos competenciales del art. 149.1.1 y 30 CE. Esta remisión al reglamento estatal tiene por objeto asegurar una formación común a todos los alumnos dentro del sistema educativo español y garantizar la validez de los títulos correspondientes, formación que facilite la continuidad, progresión y coherencia del aprendizaje en caso de movilidad geográfica del alumnado. Aunque la demanda hace referencia a cuestiones formales o de alcance más general, en la medida en que éstas se habrían ya invocado en procesos constitucionales previamente planteados, la demanda circunscribe el conflicto a un reproche dirigido a los preceptos impugnados que, al entender del recurrente, excederían del concepto material de bases.</w:t>
      </w:r>
    </w:p>
    <w:p w:rsidR="0026452D" w:rsidRDefault="0026452D" w:rsidP="0026452D">
      <w:pPr>
        <w:pStyle w:val="TextoNormal"/>
      </w:pPr>
    </w:p>
    <w:p w:rsidR="0026452D" w:rsidRDefault="0026452D" w:rsidP="0026452D">
      <w:pPr>
        <w:pStyle w:val="TextoNormal"/>
      </w:pPr>
      <w:r>
        <w:t xml:space="preserve">Tras recordar brevemente los títulos competenciales que </w:t>
      </w:r>
      <w:r w:rsidRPr="0026452D">
        <w:rPr>
          <w:i/>
        </w:rPr>
        <w:t>ex</w:t>
      </w:r>
      <w:r>
        <w:t xml:space="preserve"> art. 149.1.1 y 149.1.30 CE asisten al Estado para dictar la regulación impugnada y remitirse sin mayor detalle a los argumentos expuestos, en otros procesos constitucionales, en relación al alcance de las competencias compartidas que se atribuyen a la Comunidad Autónoma recurrente por el art. 111 EAC (recursos de inconstitucionalidad 8045-2006 y 8675-2006), se refiere el Abogado del Estado a la finalidad de la normativa básica consistente en asegurar una formación común y garantizar la validez de los títulos nacionales correspondientes, normativa básica a partir </w:t>
      </w:r>
      <w:r>
        <w:lastRenderedPageBreak/>
        <w:t>de la cual las Administraciones educativas pueden establecer el currículo de las distintas enseñanzas.</w:t>
      </w:r>
    </w:p>
    <w:p w:rsidR="0026452D" w:rsidRDefault="0026452D" w:rsidP="0026452D">
      <w:pPr>
        <w:pStyle w:val="TextoNormal"/>
      </w:pPr>
    </w:p>
    <w:p w:rsidR="0026452D" w:rsidRDefault="0026452D" w:rsidP="0026452D">
      <w:pPr>
        <w:pStyle w:val="TextoNormal"/>
      </w:pPr>
      <w:r>
        <w:t>Invoca la representación letrada del Gobierno de la Nación la disposición adicional primera apartado 2 c) LODE de la que se deduciría con claridad meridiana que la fijación de las enseñanzas mínimas es una de las condiciones de obtención, expedición y homologación de títulos académicos, lo que se concretaría en la Ley Orgánica de educación con la atribución al Gobierno de la Nación de la regulación de los aspectos básicos del currículo que constituyen las enseñanzas mínimas. Reconoce asimismo que, sin perjuicio de la relevancia que tiene el título competencial del art. 149.1.1 CE, el art. 149.1.30 CE es título prevalente resumiendo a continuación la doctrina del Tribunal Constitucional relativa a los requisitos que debe reunir la regulación estatal para ser considerada básica. Antes aún de entrar en la contestación de las concretas vulneraciones competenciales denunciadas en la demanda, se refiere el Abogado del Estado a la contradicción existente en el argumento expuesto en la demanda según el cual la normativa básica se habría agotado con la regulación de la Ley Orgánica de educación cuando esta misma disposición legal remite en su art. 6.2 a la regulación por el Gobierno de los aspectos básicos del currículo que constituyen las enseñanzas mínimas, competencia que, por otra parte, no discute la demanda si bien considera que los preceptos impugnados van más allá de lo que puede considerarse enseñanzas mínimas, siendo evidente, sin embargo, que la función del reglamento no es reproducir los preceptos legales sino desarrollarlos.</w:t>
      </w:r>
    </w:p>
    <w:p w:rsidR="0026452D" w:rsidRDefault="0026452D" w:rsidP="0026452D">
      <w:pPr>
        <w:pStyle w:val="TextoNormal"/>
      </w:pPr>
    </w:p>
    <w:p w:rsidR="0026452D" w:rsidRDefault="0026452D" w:rsidP="0026452D">
      <w:pPr>
        <w:pStyle w:val="TextoNormal"/>
      </w:pPr>
      <w:r>
        <w:t>Entrando ya en los concretos preceptos impugnados, recuerda que los apartados 7 y 8 del art. 14 han sido recurridos por considerar la demanda que los programas de cualificación profesional inicial están presididos por el principio de flexibilización correspondiendo a la Comunidad Autónoma decidir cómo se articulan pues el art. 30 de la Ley Orgánica de educación atribuiría la competencia de organización de estos programas a las Comunidades Autónomas, y con el establecimiento de las enseñanzas mínimas ya se habría garantizado la formación conjunta.</w:t>
      </w:r>
    </w:p>
    <w:p w:rsidR="0026452D" w:rsidRDefault="0026452D" w:rsidP="0026452D">
      <w:pPr>
        <w:pStyle w:val="TextoNormal"/>
      </w:pPr>
    </w:p>
    <w:p w:rsidR="0026452D" w:rsidRDefault="0026452D" w:rsidP="0026452D">
      <w:pPr>
        <w:pStyle w:val="TextoNormal"/>
      </w:pPr>
      <w:r>
        <w:t xml:space="preserve">En efecto, el art. 30.3 de la Ley Orgánica de educación regula tres tipos de módulos para estos programas, dos obligatorios cuya superación conduce a una certificación académica expedida por las Administraciones educativas y para los cuales las Comunidades Autónomas tienen total libertad para determinar sus contenidos, y unos voluntarios que posibilitan la obtención del título oficial de graduado en educación secundaria obligatoria donde el Estado establece ciertos condicionamientos a los efectos de garantizar que el título sea homologable con el obtenido a través del itinerario ordinario. A estos efectos, de no haberse introducido la regulación impugnada, las Comunidades Autónomas tendrían que haber organizado los módulos voluntarios respetando íntegramente las materias de los arts. 24 y 25 de la Ley Orgánica de educación y los contenidos especificados en el anexo II del Real Decreto 16131/2006, tal y como deriva del art. 6.4 de la Ley Orgánica de educación. En este sentido, los preceptos impugnados amplían el margen de las Comunidades Autónomas dado que no incluyen todas las materias obligatorias en el itinerario educativo ni tampoco todos los contenidos que necesariamente han de integrar dichas materias. Con respecto a la formación ordinaria, el margen de las Comunidades Autónomas a la hora de organizar los módulos voluntarios se amplía en una serie de aspectos tales como que pueden impartirse en los espacios temporales que se decidan, sin sujeción a un curso determinado, siendo así que la regulación básica del número de materias y el contenido mínimo disminuye. No cabe </w:t>
      </w:r>
      <w:r>
        <w:lastRenderedPageBreak/>
        <w:t>duda, continúa, de que al amparo de la disposición adicional apartado 2 LODE, el Estado podría adentrarse en aspectos organizativos pero en este caso eso ni siquiera lo ha hecho pues los apartados impugnados se han limitado a seguir la técnica típica de las enseñanzas mínimas que no es otra que garantizar el estudio de unas materias con unos contenidos mínimos, siendo así que la única diferencia con la modalidad ordinaria es que en ésta las materias se agrupan por cursos mientras que en los programas de cualificación profesional inicial lo hacen por módulos de acuerdo con el criterio más flexible que para esta formación contiene la Ley Orgánica de educación, quedando a las Comunidades Autónomas un amplio margen para organizar estos programas.</w:t>
      </w:r>
    </w:p>
    <w:p w:rsidR="0026452D" w:rsidRDefault="0026452D" w:rsidP="0026452D">
      <w:pPr>
        <w:pStyle w:val="TextoNormal"/>
      </w:pPr>
    </w:p>
    <w:p w:rsidR="0026452D" w:rsidRDefault="0026452D" w:rsidP="0026452D">
      <w:pPr>
        <w:pStyle w:val="TextoNormal"/>
      </w:pPr>
      <w:r>
        <w:t>En cuanto a la disposición adicional primera, señala el Abogado del Estado que aunque se impugna en su totalidad los argumentos sólo van dirigidos a los apartados 2, 3, y 5 dado que los restantes son reproducción de principios recogidos en la Ley Orgánica de educación. Respecto de los apartados 1, 4, 6 y 7 de la disposición la demanda no cumple con la carga de alegar invocando la doctrina de este Tribunal al respecto. Entiende que los dos primeros argumentos en los que se basa la vulneración de las competencias autonómicas por la citada disposición, esto es, la incidencia en aspectos organizativos de competencia autonómica y el vaciamiento de la competencia autonómica por la previsión de determinados módulos y materias junto con la realización en dos cursos, son idénticos a los ya expuestos para la impugnación de los apartados antes señalados reiterándose en los argumentos ya expuestos. Al tercero de ellos, esto es, que hasta ahora el legislador básico no había regulado esta materia, opone que las competencias estatales son indisponibles e irrenunciables (STC 331/2005, de 15 de diciembre, FJ 10) de manera que cuando el Estado ejerce su competencia básica queda desplazada la normativa de desarrollo autonómica por lo que la cuestión a dilucidar es si el Estado se ha ceñido a los límites materiales de lo básico. Una vez más recuerda el Abogado del Estado que la educación de adultos que regula la disposición impugnada tiene por objeto la obtención de títulos oficiales de validez en todo el territorio nacional (art. 149.1.30 CE) y cumple el mandato del art. 6.2 de la Ley Orgánica de educación de asegurar una formación común y garantizar la validez de los títulos. Las Comunidades Autónomas pueden organizar a su albedrío la enseñanza de adultos pero es necesario superar los ámbitos previstos en el apartado 5 de la disposición —en relación con el 2 y 3— o las pruebas directas a que alude el apartado 6 de la misma disposición. El único reproche nuevo que la demanda hace a la disposición es el relativo a su apartado 2 en cuanto prevé que su organización deberá permitir su realización en dos cursos. Debe tenerse en cuenta que esta previsión permite a las Comunidades Autónomas fijar plazos inferiores siempre que se garantice la adquisición de los objetivos mínimos fijados o, por el contrario, plazos superiores siempre que así lo desee el alumno pues lo único que impone la norma es que se prevea la posibilidad de completar las enseñanzas en el plazo máximo de dos cursos.</w:t>
      </w:r>
    </w:p>
    <w:p w:rsidR="0026452D" w:rsidRDefault="0026452D" w:rsidP="0026452D">
      <w:pPr>
        <w:pStyle w:val="TextoNormal"/>
      </w:pPr>
    </w:p>
    <w:p w:rsidR="0026452D" w:rsidRDefault="0026452D" w:rsidP="0026452D">
      <w:pPr>
        <w:pStyle w:val="TextoNormal"/>
      </w:pPr>
      <w:r>
        <w:t xml:space="preserve">Finalmente contesta el Abogado del Estado a la alegación de vulneración de la competencia autonómica por el anexo III, en concreto por la regulación según la cual para la enseñanza de la lengua cooficial no puede detraerse de un área más de cincuenta horas en el conjunto de los tres primeros años y veinte en el último curso, y a la regulación de las estructuras lingüísticas compartidas. Tras recordar, una vez más, que el anexo III se refiere a las enseñanzas mínimas para las que el art. 6.2 de la Ley Orgánica de educación obliga al Gobierno a fijar los aspectos básicos del currículo, rechaza el argumento según el cual el Gobierno nunca habría considerado que formaba parte de sus competencias establecer criterios de aplicación del porcentaje de reducción de los horarios comunes no solo porque </w:t>
      </w:r>
      <w:r>
        <w:lastRenderedPageBreak/>
        <w:t>entiende que es irrelevante pues el Gobierno puede cambiar su concepción de lo básico siempre que no se exceda, sino también porque resulta inexacto.</w:t>
      </w:r>
    </w:p>
    <w:p w:rsidR="0026452D" w:rsidRDefault="0026452D" w:rsidP="0026452D">
      <w:pPr>
        <w:pStyle w:val="TextoNormal"/>
      </w:pPr>
    </w:p>
    <w:p w:rsidR="0026452D" w:rsidRDefault="0026452D" w:rsidP="0026452D">
      <w:pPr>
        <w:pStyle w:val="TextoNormal"/>
      </w:pPr>
      <w:r>
        <w:t>Desde la Ley Orgánica de ordenación general del sistema educativo, las diferentes leyes educativas y los reglamentos dictados en su aplicación han seguido el mismo sistema: reservar para las enseñanzas mínimas un horario no superior al 65 por 100, permitiendo a las Comunidades Autónomas con lengua cooficial detraer un 10 por 100 estableciendo para ello condiciones que han ido variando. El Real Decreto 1007/1991, de 14 de junio, imponía que el porcentaje citado se detrajese de las áreas del ámbito lingüístico —lengua castellana y literatura, y lengua extranjera— garantizando una distribución proporcional entre las áreas, esto es, el 10 por 100 solo podía detraerse por mitades de ambas áreas, limitación bastante más estricta que la actual. Por su parte, el Real Decreto 831/2003, de 27 de junio, dictado al amparo de la Ley Orgánica de calidad de la educación, permitió detraer las horas para la enseñanza de la lengua cooficial de cualquiera de las áreas pero respetando un mínimo de tres horas semanales en cada curso para el aprendizaje de lengua castellana y literatura. El reglamento impugnado en este conflicto tampoco limita las áreas de las que se puede detraer si bien fija el límite máximo que se puede detraer de una materia para garantizar la presencia real de todas ellas en la enseñanza permitiendo, además, que las estructuras lingüísticas que puedan compartir varias lenguas no tengan que repetirse en cada una de ellas aunque para garantizar el conocimiento formal del castellano prevé que cuando dichas estructuras comunes se impartan en una lengua diferente del castellano deban respetarse las horas atribuidas a esta lengua ya sea a través del área de lengua castellana o literatura, ya sea en otras áreas impartidas en castellano. Antes como ahora, la finalidad de estas condiciones es asegurar que la detracción horaria en las Comunidades Autónomas con otra lengua oficial no se haga en detrimento de los conocimientos esenciales para asegurar la validez de las titulaciones.</w:t>
      </w:r>
    </w:p>
    <w:p w:rsidR="0026452D" w:rsidRDefault="0026452D" w:rsidP="0026452D">
      <w:pPr>
        <w:pStyle w:val="TextoNormal"/>
      </w:pPr>
    </w:p>
    <w:p w:rsidR="0026452D" w:rsidRDefault="0026452D" w:rsidP="0026452D">
      <w:pPr>
        <w:pStyle w:val="TextoNormal"/>
      </w:pPr>
      <w:r>
        <w:t xml:space="preserve">Sale también al paso la representación letrada del Gobierno de la Nación del argumento según el cual las medidas establecidas para asegurar un correcto conocimiento del castellano vulnera la competencia autonómica compartida para el establecimiento de los planes de estudio [art. 131.1.3 c) EAC]. Recuerda que el art. 23 h) de la Ley Orgánica de educación establece como objetivo de la educación secundaria obligatoria contribuir a desarrollar la capacidad que permita comprender y expresar con corrección, oralmente y por escrito, en la lengua castellana y, si la hubiera, en la lengua cooficial de la Comunidad Autónoma, textos y mensajes complejos e iniciarse en el conocimiento, la lectura y el estudio de la literatura, para lo cual los arts. 24.2 y 25.1 de la Ley Orgánica de educación obligan a cursar en cada uno de los años de la educación secundaria obligatoria las materias de lengua castellana y literatura y, si la hubiere, de la lengua cooficial y literatura. De acuerdo con el art. 3 CE existe el deber de todos los españoles de conocer la lengua castellana siendo así que una regulación de los horarios mínimos que no permita una enseñanza eficaz de ambas lenguas incumpliría este deber constitucional (STC 88/1983, FJ 4). Pues bien la regulación impugnada cumple con la anterior exigencia, tanto en relación con las condiciones a que se somete la detracción del 10 por 100 de las enseñanzas mínimas como en lo relativo a que cuando se impartan conjuntamente las estructuras lingüísticas compartidas por varias lenguas, si se hace una lengua diferente a la castellana, se garantice que el alumno recibe enseñanzas en castellano, ya sea de lengua castellana y literatura o cualquier otra área, en un número de horas no inferior al que corresponde a la materia. Se trata en definitiva de que se impartan un número mínimo de horas en castellano como único medio para garantizar el adecuado conocimiento de esta lengua, al menos trescientas horas en el total de los tres </w:t>
      </w:r>
      <w:r>
        <w:lastRenderedPageBreak/>
        <w:t>primeros cursos a distribuir libremente entre ellos y ciento cinco horas en el cuarto, cumpliéndose así el cometido de garantizar el conocimiento de la lengua castellana, quedando por ende un importante margen de desarrollo a las Comunidades Autónomas que disponen de al menos un 45 por 100 garantizado legalmente del total del periodo lectivo para ejercitar la competencia autonómica compartida de ordenación curricular siendo así que el 10 por 100 que pueden detraer de las enseñanzas mínimas pueden tomarlo de las áreas que tengan por conveniente con los únicos límites de que no se detraiga por área más de cincuenta horas en los tres primeros cursos y veinte en el cuarto.</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29 de enero de 2013 se señaló para deliberación y votación de la presente Sentencia el día 31 de dicho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Se trata en el presente proceso de resolver el conflicto positivo de competencia planteado por la Generalitat de Cataluña contra diversos preceptos del Real Decreto 1631/2006, de 29 de diciembre, por el que se establecen las enseñanzas mínimas correspondientes a la educación secundaria obligatoria. Como ha quedado expuesto en los antecedentes, el Gobierno de la Generalitat de Cataluña considera que determinados preceptos de esta norma reglamentaria resultan contrarios al orden constitucional de distribución de competencias pues estima que, conforme al art. 149.1.30 CE y a las previsiones del Estatuto de Autonomía de Cataluña, la regulación estatal contenida en los apartados 7 y 8 del art. 14, la disposición adicional primera y el anexo III exceden de lo que puede considerarse básico en esta materia invadiendo la competencia de la Generalitat para organizar esta enseñanza. Por el contrario, el Abogado del Estado entiende que el Gobierno de la Nación se ha ceñido al ejercicio de la competencia que le atribuye el art. 149.1.30 CE y para la que le habilita el art. 6.2 de la Ley Orgánica 2/2006, de 3 de mayo, de educación, limitándose a establecer las enseñanzas mínimas que conducen a la obtención de un título oficial y dejando cumplido espacio a la Comunidad Autónoma recurrente para el ejercicio de sus competencias.</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abordar la cuestión competencial planteada debemos analizar la incidencia que sobre el presente proceso han podido tener las modificaciones operadas en el reglamento impugnado por el Real Decreto 1146/2011, de 29 de julio, dictado, como afirma su exposición de motivos, por la necesidad de incorporar las modificaciones que en la Ley Orgánica de educación han introducido la disposición final vigésima cuarta, apartado 3, de la Ley 2/2011, de 4 de marzo, de economía sostenible, y la Ley Orgánica 4/2011, de 11 de marzo, complementaria de la anterior.</w:t>
      </w:r>
    </w:p>
    <w:p w:rsidR="0026452D" w:rsidRDefault="0026452D" w:rsidP="0026452D">
      <w:pPr>
        <w:pStyle w:val="TextoNormal"/>
      </w:pPr>
    </w:p>
    <w:p w:rsidR="0026452D" w:rsidRDefault="0026452D" w:rsidP="0026452D">
      <w:pPr>
        <w:pStyle w:val="TextoNormal"/>
      </w:pPr>
      <w:r>
        <w:t xml:space="preserve">Pues bien, la modificación del anexo III del Real Decreto 1631/2006 consiste en establecer el horario correspondiente a los contenidos básicos de las materias del cuarto curso de educación secundaria obligatoria que se incorporan </w:t>
      </w:r>
      <w:r w:rsidRPr="0026452D">
        <w:rPr>
          <w:i/>
        </w:rPr>
        <w:t>ex novo</w:t>
      </w:r>
      <w:r>
        <w:t xml:space="preserve"> a las enseñanzas mínimas, sin que ello afecte en modo alguno a las reglas relativas a la reducción del horario destinado a los contenidos básicos de las materias mínimas en Comunidades Autónomas que cuentan con lengua cooficial.</w:t>
      </w:r>
    </w:p>
    <w:p w:rsidR="0026452D" w:rsidRDefault="0026452D" w:rsidP="0026452D">
      <w:pPr>
        <w:pStyle w:val="TextoNormal"/>
      </w:pPr>
    </w:p>
    <w:p w:rsidR="0026452D" w:rsidRDefault="0026452D" w:rsidP="0026452D">
      <w:pPr>
        <w:pStyle w:val="TextoNormal"/>
      </w:pPr>
      <w:r>
        <w:lastRenderedPageBreak/>
        <w:t>Se ha modificado también la regulación de los programas de cualificación profesional inicial contenida en el art. 14 del Real Decreto 1631/2006, de 29 de diciembre cuyos apartados 7 y 8 han sido impugnados en este proceso. En concreto, tras la modificación, los módulos voluntarios siguen estando organizados en torno a los tres ámbitos a los que ya se refería el art. 14.7 del Real Decreto 1631/2006 pues el art. 14.6, según la redacción del Real Decreto 1146/2011, prevé que los módulos voluntarios se organicen en torno a los ámbitos de comunicación, ámbito social y ámbito científico- tecnológico, previsión que se extiende ahora también a los módulos obligatorios formativos de carácter general que no tienen por objeto, a diferencia de los voluntarios, complementar la formación necesaria para la obtención del título de graduado en educación secundaria obligatoria sino proporcionar cualificación para la actividad profesional y permitir el acceso a los ciclos formativos de grado medio.</w:t>
      </w:r>
    </w:p>
    <w:p w:rsidR="0026452D" w:rsidRDefault="0026452D" w:rsidP="0026452D">
      <w:pPr>
        <w:pStyle w:val="TextoNormal"/>
      </w:pPr>
    </w:p>
    <w:p w:rsidR="0026452D" w:rsidRDefault="0026452D" w:rsidP="0026452D">
      <w:pPr>
        <w:pStyle w:val="TextoNormal"/>
      </w:pPr>
      <w:r>
        <w:t>Finalmente, frente a la obligación de incluir los aspectos básicos del currículo recogidos en el anexo II referidos a las materias mínimas que, para cada ámbito, antes contemplaba el art. 14.8, el art. 14.7 vigente remite a las Administraciones educativas el establecimiento del currículo de estos ámbitos con referencia a los aspectos básicos del currículo imprescindibles para alcanzar las competencias básicas que se establecen en el anexo I.</w:t>
      </w:r>
    </w:p>
    <w:p w:rsidR="0026452D" w:rsidRDefault="0026452D" w:rsidP="0026452D">
      <w:pPr>
        <w:pStyle w:val="TextoNormal"/>
      </w:pPr>
    </w:p>
    <w:p w:rsidR="0026452D" w:rsidRDefault="0026452D" w:rsidP="0026452D">
      <w:pPr>
        <w:pStyle w:val="TextoNormal"/>
      </w:pPr>
      <w:r>
        <w:t>Con respecto a las modificaciones normativas en procesos constitucionales de naturaleza competencial, es doctrina reiterada de este Tribunal que la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148, 2012, de 5 de julio, FJ 2 b)]. Es por ello que si la normativa en torno a la cual se trabó el conflicto resulta parcialmente modificada por otra que viene a plantear los mismos problemas competenciales la consecuencia necesaria será la no desaparición del conflicto (STC 133/2012, de 19 de junio, FJ 2).</w:t>
      </w:r>
    </w:p>
    <w:p w:rsidR="0026452D" w:rsidRDefault="0026452D" w:rsidP="0026452D">
      <w:pPr>
        <w:pStyle w:val="TextoNormal"/>
      </w:pPr>
    </w:p>
    <w:p w:rsidR="0026452D" w:rsidRDefault="0026452D" w:rsidP="0026452D">
      <w:pPr>
        <w:pStyle w:val="TextoNormal"/>
      </w:pPr>
      <w:r>
        <w:t>En aplicación de esta doctrina podemos afirmar que la disputa competencial permanece viva en relación con la disposición adicional primera, el anexo III, y el art. 14.7 del Real Decreto 1631/2006, ya que o no han resultado modificados, o la modificación no ha afectado a la cuestión controvertida o se mantiene una redacción muy similar a la impugnada. En cuanto al art. 14.8, también impugnado, cabe señalar que, aunque la nueva regulación ha eliminado la referencia a las materias mínimas que éste contenía, se impone como límite a la competencia autonómica para establecer el currículo de los módulos voluntarios la exigencia de que en el mismo se incluyan los aspectos que resulten imprescindibles para alcanzar las competencias básicas recogidas en el anexo I de este mismo reglamento, motivo por el cual, al imponerse por vía reglamentaria limitaciones, aunque de menor intensidad, a la competencia organizativa de la Comunidad Autónoma en los programas de cualificación profesional inicial, no cabe concluir la pérdida de objeto.</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Tal y como se expuso prolijamente en los antecedentes, tanto la Generalitat de Cataluña como el Estado coinciden en que la materia afectada por la disposición impugnada es educación; en que el título competencial que asiste al Estado, por ser el más específico, es </w:t>
      </w:r>
      <w:r>
        <w:lastRenderedPageBreak/>
        <w:t>el contemplado en el art. 149.1.30 CE y, finalmente, en que el art. 131.3 c) del Estatuto de Autonomía de Cataluña (EAC) atribuye a Cataluña la competencia compartida para establecer los planes de estudio incluida la ordenación curricular, respetando los aspectos esenciales del derecho a la educación y a la libertad de enseñanza.</w:t>
      </w:r>
    </w:p>
    <w:p w:rsidR="0026452D" w:rsidRDefault="0026452D" w:rsidP="0026452D">
      <w:pPr>
        <w:pStyle w:val="TextoNormal"/>
      </w:pPr>
    </w:p>
    <w:p w:rsidR="0026452D" w:rsidRDefault="0026452D" w:rsidP="0026452D">
      <w:pPr>
        <w:pStyle w:val="TextoNormal"/>
      </w:pPr>
      <w:r>
        <w:t>En relación a las competencias del Estado en materia educativa, afirmamos ya en la STC 55/1985, de 27 de junio, FJ 15, que “[l]a regulación de las condiciones de obtención, expedición y homologación de títulos académicos y profesionales como competencia del Estado, según el art. 149.1.30 de la CE supone la reserva al mismo de toda la función normativa en relación con dicho sector y, en segundo lugar, que la competencia estatal en relación con ‘las normas básicas para el desarrollo del art. 27 de la Constitución’ a que se refiere el mismo art. 149.1.30 de la CE debe entenderse en el sentido de que corresponde al Estado -en la acepción del mismo que venimos utilizando- la función de definir los principios normativos y generales y uniformes de ordenación de las materias enunciadas en tal art. 27 de la CE.”, dos competencias diferenciadas a las que hemos vuelto a hacer referencia, entre otras, en la STC 111/2012, de 24 de mayo, FJ 5, en los términos siguientes: “el art. 149.1.30 CE atribuye al Estado dos competencias diferenciadas que, de acuerdo con nuestra doctrina, presentan un distinto alcance. En primer lugar le reconoce competencia exclusiva para la ‘[r]egulación de las condiciones de obtención, expedición y homologación de títulos académicos y profesionales’, mientras que, en su segundo inciso, le asigna competencia sobre las ‘normas básicas para el desarrollo del art. 27 de la Constitución, a fin de garantizar el cumplimiento de los poderes públicos en esta materia’.”</w:t>
      </w:r>
    </w:p>
    <w:p w:rsidR="0026452D" w:rsidRDefault="0026452D" w:rsidP="0026452D">
      <w:pPr>
        <w:pStyle w:val="TextoNormal"/>
      </w:pPr>
    </w:p>
    <w:p w:rsidR="0026452D" w:rsidRDefault="0026452D" w:rsidP="0026452D">
      <w:pPr>
        <w:pStyle w:val="TextoNormal"/>
      </w:pPr>
      <w:r>
        <w:t>En concreto, la primera de esas competencias comprende la de “establecer los títulos correspondientes a cada nivel y ciclo educativo, en sus distintas modalidades, con valor habilitante tanto desde el punto de vista académico como para el ejercicio de las profesiones tituladas, es decir, aquellas cuyo ejercicio exige un título (</w:t>
      </w:r>
      <w:r w:rsidRPr="0026452D">
        <w:rPr>
          <w:i/>
        </w:rPr>
        <w:t>ad ex</w:t>
      </w:r>
      <w:r>
        <w:t>: Graduado Escolar, Bachiller, Diplomado, Arquitecto Técnico o Ingeniero Técnico en la especialidad correspondiente, Licenciado, Arquitecto, Ingeniero, Doctor), así como la de expedir los títulos correspondientes y para homologar los que no sean expedidos por el Estado” (STC 42/1981, de 22 de diciembre, FJ 3, reiterado en la STC 122/1989, de 6 de julio, FJ 3).</w:t>
      </w:r>
    </w:p>
    <w:p w:rsidR="0026452D" w:rsidRDefault="0026452D" w:rsidP="0026452D">
      <w:pPr>
        <w:pStyle w:val="TextoNormal"/>
      </w:pPr>
    </w:p>
    <w:p w:rsidR="0026452D" w:rsidRDefault="0026452D" w:rsidP="0026452D">
      <w:pPr>
        <w:pStyle w:val="TextoNormal"/>
      </w:pPr>
      <w:r>
        <w:t xml:space="preserve">Por su parte, la competencia para dictar las normas básicas para el desarrollo del art. 27 CE, comprende “[l]a función de definir los principios normativos y generales y uniformes de ordenación de las materias enunciadas en tal art. 27 de la CE” (STC 77/1985, de 27 de junio, FJ 15) o, como señala la STC 111/2012, de 24 de mayo, FJ 5, “la competencia para dictar las normas básicas para el desarrollo del art. 27 CE, que debe entenderse, según hemos afirmado, en el sentido de que incumbe al Estado ‘la función de definir los principios normativos y generales y uniformes de ordenación de las materias enunciadas en tal art. 27 de la CE.’ (STC 77/1985, de 27 de junio, FJ 15).” Resulta pertinente recordar que el derecho a la educación incorpora un contenido primario de derecho de libertad, a partir del cual se debe entender el mandato prestacional a los poderes públicos encaminado a promover las condiciones para que esa libertad sea real y efectiva </w:t>
      </w:r>
      <w:r w:rsidRPr="0026452D">
        <w:rPr>
          <w:i/>
        </w:rPr>
        <w:t>ex</w:t>
      </w:r>
      <w:r>
        <w:t xml:space="preserve"> art. 9.2 CE (SSTC 86/1985, de 10 de julio, FJ 3; y 337/1994, de 23 de diciembre, FJ 9), y que su ejercicio ha de tener lugar en el marco de un sistema educativo cuyos elementos definidores son determinados por los poderes públicos, de modo que la educación constituye una actividad reglada (SSTC 337/1994, de 23 de diciembre, FJ 9; y 134/1997, de 17 de julio, FJ 4). En todo caso, en la </w:t>
      </w:r>
      <w:r>
        <w:lastRenderedPageBreak/>
        <w:t>configuración de ese sistema educativo han de participar necesariamente los niveles de gobierno estatal y autonómico, de acuerdo con sus competencias”.</w:t>
      </w:r>
    </w:p>
    <w:p w:rsidR="0026452D" w:rsidRDefault="0026452D" w:rsidP="0026452D">
      <w:pPr>
        <w:pStyle w:val="TextoNormal"/>
      </w:pPr>
    </w:p>
    <w:p w:rsidR="0026452D" w:rsidRDefault="0026452D" w:rsidP="0026452D">
      <w:pPr>
        <w:pStyle w:val="TextoNormal"/>
      </w:pPr>
      <w:r>
        <w:t>Ello determina que en materia de enseñanza corresponda al Estado la alta inspección, las competencias de ordenación general del sistema educativo, la fijación de las enseñanzas mínimas, la regulación de las condiciones para la obtención, expedición y homologación de títulos académicos y profesionales y el establecimiento de las normas básicas para el desarrollo del art. 27 CE que garanticen el cumplimiento de las obligaciones de los poderes públicos y la igualdad de todos los españoles en el ejercicio de los derechos y en el cumplimiento de los deberes constitucionales (por todas, STC 330/1993, de 12 de noviembre, FJ 3)</w:t>
      </w:r>
    </w:p>
    <w:p w:rsidR="0026452D" w:rsidRDefault="0026452D" w:rsidP="0026452D">
      <w:pPr>
        <w:pStyle w:val="TextoNormal"/>
      </w:pPr>
    </w:p>
    <w:p w:rsidR="0026452D" w:rsidRDefault="0026452D" w:rsidP="0026452D">
      <w:pPr>
        <w:pStyle w:val="TextoNormal"/>
      </w:pPr>
      <w:r>
        <w:t>Respecto de la competencia que el art. 131.3 c) EAC atribuye a la Comunidad Autónoma para establecer los planes de estudio, incluida la ordenación curricular, debemos recordar que la STC 31/2010, de 28 de junio, declaró inconstitucional el inciso “como principios o mínimo común normativo en normas con rango de ley, excepto en los supuestos que se determinen de acuerdo con la Constitución y el presente Estatuto” del art. 111 EAC, intitulado “competencias compartidas”, toda vez que las bases estatales quedaban reducidas “[a] los ‘principios o mínimo común normativo’ fijados por el Estado ‘en normas con rango de ley’, cuando es lo cierto que, conforme a nuestra jurisprudencia, siendo aquél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6 de abril y 147/1991, de 4 de julio, respectivamente). Y ello no como pura excepción al criterio que para el art. 111 EAC constituye la regla de principio (base principial o de mínimo normativo, formalizada como ley), sino como elementos de la definición del contenido y alcance de la competencia atribuida al Estado cuando éste es el titular de la potestad de dictar las bases de la disciplina de una materia determinada.” (STC 31/2010, FJ 60).</w:t>
      </w:r>
    </w:p>
    <w:p w:rsidR="0026452D" w:rsidRDefault="0026452D" w:rsidP="0026452D">
      <w:pPr>
        <w:pStyle w:val="TextoNormal"/>
      </w:pPr>
    </w:p>
    <w:p w:rsidR="0026452D" w:rsidRDefault="0026452D" w:rsidP="0026452D">
      <w:pPr>
        <w:pStyle w:val="TextoNormal"/>
      </w:pPr>
      <w:r>
        <w:t xml:space="preserve">Esta interpretación conforme a la cual el contenido y alcance de las bases estatales serán siempre, y sólo, las que se desprenden de la Constitución interpretada por este Tribunal, es la que ha de tenerse en cuenta para la resolución de este conflicto competencial, lo que nos permite descartar, ya desde este momento, que la competencia estatal </w:t>
      </w:r>
      <w:r w:rsidRPr="0026452D">
        <w:rPr>
          <w:i/>
        </w:rPr>
        <w:t>ex</w:t>
      </w:r>
      <w:r>
        <w:t xml:space="preserve"> art. 149.1.30 CE haya quedado limitada, como se alega en la demanda, a la regulación “de mínimos” contenida en la Ley Orgánica del derecho a la educación y la Ley Orgánica de educación, pudiendo el Estado concretar las bases, más allá de lo establecido en las citadas normas legales, siempre y cuando no invada con ello la competencia autonómica, cuestión ésta que corresponderá dilucidar a este Tribunal.</w:t>
      </w:r>
    </w:p>
    <w:p w:rsidR="0026452D" w:rsidRDefault="0026452D" w:rsidP="0026452D">
      <w:pPr>
        <w:pStyle w:val="TextoNormal"/>
      </w:pPr>
    </w:p>
    <w:p w:rsidR="0026452D" w:rsidRDefault="0026452D" w:rsidP="0026452D">
      <w:pPr>
        <w:pStyle w:val="TextoNormal"/>
      </w:pPr>
      <w:r>
        <w:t xml:space="preserve">Por otro lado, la STC 31/2010, FJ 77, al examinar el art. 131 EAC, estableció, respecto de su apartado 1, que la competencia estatal “no puede verse perjudicada por la sola utilización en el art. 131.1 EAC de la expresión ‘competencia exclusiva’ toda vez que con ésta no se significan otras potestades que las que hemos referido en el fundamento jurídico 59 al enjuiciar la constitucionalidad del art. 110 EAC”; y respecto de su apartado 2, que, pese a la declaración estatutaria de la competencia allí expresada cómo “exclusiva”, “es evidente </w:t>
      </w:r>
      <w:r>
        <w:lastRenderedPageBreak/>
        <w:t>la incidencia de diferentes competencias estatales sobre la materia referidas en los ocho subapartados de dicho precepto”, ya que “se trata de materias claramente encuadradas en el ámbito de la ‘educación’ y, por tanto, directamente afectadas por los arts. 27, 81.1 y 149.1.30 CE, determinantes de una serie de reservas a favor del Estado que, como tenemos repetidos, no quedan desvirtuadas por la calificación estatutaria de determinadas competencias autonómicas como exclusivas, pues el sentido y alcance de esa expresión sólo puede ser el que, con carácter general, admite, en su interpretación constitucionalmente conforme, el art. 110 EAC (fundamentos jurídicos 59 y 64)”.</w:t>
      </w:r>
    </w:p>
    <w:p w:rsidR="0026452D" w:rsidRDefault="0026452D" w:rsidP="0026452D">
      <w:pPr>
        <w:pStyle w:val="TextoNormal"/>
      </w:pPr>
    </w:p>
    <w:p w:rsidR="0026452D" w:rsidRDefault="0026452D" w:rsidP="0026452D">
      <w:pPr>
        <w:pStyle w:val="TextoNormal"/>
      </w:pPr>
      <w:r w:rsidRPr="0026452D">
        <w:rPr>
          <w:rStyle w:val="NumeroAFNegritaCaracter"/>
        </w:rPr>
        <w:t>4</w:t>
      </w:r>
      <w:r>
        <w:t>. Según la doctrina constitucional los requisitos que debe reunir la legislación para ser considerada básica afectan a los dos aspectos material y formal de la regulación estatal. En tal sentido, entre otras, la STC 14/2004, de 13 de febrero, FJ 11, ha establecido que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223/2000, de 21 de septiembre, FJ 6, con cita de las SSTC 1/1982, de 28 de enero, 48/1988, de 2 de marzo, 147/1991, de 4 de julio, y 197/1996, de 28 de noviembre).” Pero lo básico puede tener mayor o menor intensidad dependiendo del ámbito material sobre el que recaiga y así lo afirmamos en la STC 222/2006, de 6 de julio, FJ 3, a cuyo tenor “[e]ste Tribunal ha empleado un concepto de bases que en modo alguno se concreta en el empleo de una técnica uniforme en todos los sectores del Ordenamiento, sino que presupone fórmulas de intensidad y extensión variables en función de las características del ámbito concretamente afectado. Así, hemos reconocido modalidades muy diferentes de lo básico, desde la posibilidad de que el legislador estatal, excepcionalmente ocupe, prácticamente, toda la función normativa al determinar las bases de determinadas submaterias, hasta la legitimidad constitucional de algunos actos administrativos de carácter eminentemente ejecutivo por parte de la Administración General del Estado, así como el empleo de otras modalidades muy diversas (topes máximos, niveles mínimos tramos, e, incluso, bases diferenciadas por territorios, etc.).”</w:t>
      </w:r>
    </w:p>
    <w:p w:rsidR="0026452D" w:rsidRDefault="0026452D" w:rsidP="0026452D">
      <w:pPr>
        <w:pStyle w:val="TextoNormal"/>
      </w:pPr>
    </w:p>
    <w:p w:rsidR="0026452D" w:rsidRDefault="0026452D" w:rsidP="0026452D">
      <w:pPr>
        <w:pStyle w:val="TextoNormal"/>
      </w:pPr>
      <w:r>
        <w:t>En cuanto a la perspectiva formal de la normativa básica, “debemos recordar nuestra doctrina, según la cual se deben satisfacer determinados requisitos con el fin de 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 De manera que a esta perspectiva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precisamos que, como excepción a dicho principio de ley formal, el Gobierno puede hacer uso de la potestad reglamentaria para regular por Decreto alguno de los preceptos básicos de una materia, cuando resulten, por la competencia de ésta, complemento necesario para garantizar el fin a que responde la competencia sobre las bases’ (STC 98/2001, de 5 de abril, FJ 7, con cita de la STC 69/1988, de 19 de abril, FJ 5).” (STC 14/2004, FJ 11).</w:t>
      </w:r>
    </w:p>
    <w:p w:rsidR="0026452D" w:rsidRDefault="0026452D" w:rsidP="0026452D">
      <w:pPr>
        <w:pStyle w:val="TextoNormal"/>
      </w:pPr>
    </w:p>
    <w:p w:rsidR="0026452D" w:rsidRDefault="0026452D" w:rsidP="0026452D">
      <w:pPr>
        <w:pStyle w:val="TextoNormal"/>
      </w:pPr>
      <w:r>
        <w:t xml:space="preserve">En especial en materia de educación, la STC 77/1985, de 27 de junio, FJ 16, que resolvió el recurso previo de inconstitucionalidad promovido contra el proyecto de la Ley Orgánica del derecho a la educación, afirmó la conformidad con la Constitución de la regulación por </w:t>
      </w:r>
      <w:r>
        <w:lastRenderedPageBreak/>
        <w:t>reglamento de materias básicas cuando concurre el doble requisito de la existencia de una habilitación legal y de la inadecuación de la ley para regular una determinada materia en razón de su naturaleza y características, en concreto, “[m]aterias que por su carácter organizatorio y prestacional exigen una continua adecuación, siendo por ello justificado su tratamiento reglamentario, y siempre, desde luego, dentro de los límites que la misma Ley impone”.</w:t>
      </w:r>
    </w:p>
    <w:p w:rsidR="0026452D" w:rsidRDefault="0026452D" w:rsidP="0026452D">
      <w:pPr>
        <w:pStyle w:val="TextoNormal"/>
      </w:pPr>
    </w:p>
    <w:p w:rsidR="0026452D" w:rsidRDefault="0026452D" w:rsidP="0026452D">
      <w:pPr>
        <w:pStyle w:val="TextoNormal"/>
      </w:pPr>
      <w:r w:rsidRPr="0026452D">
        <w:rPr>
          <w:rStyle w:val="NumeroAFNegritaCaracter"/>
        </w:rPr>
        <w:t>5</w:t>
      </w:r>
      <w:r>
        <w:t>. Expuesta brevemente la doctrina constitucional procede, a continuación, entrar en los concretos preceptos impugnados. Se impugnan en primer lugar los apartados 7 y 8 del art. 14 del Real Decreto 1631/2006, de 29 de diciembre. El artículo 14 contiene una serie de determinaciones relativas a los programas de cualificación profesional inicial los cuales tienen por finalidad, de acuerdo con lo establecido en el art. 30 de la Ley Orgánica de educación, que los alumnos alcancen competencias profesionales, tengan la posibilidad de inserción en el mundo laboral y amplíen sus competencias básicas para proseguir los estudios. Como señala la exposición de motivos de la dictada norma legal, “para permitir el tránsito de la formación al trabajo y viceversa, o de éstas a otras actividades, es necesario incrementar la flexibilidad del sistema educativo. Aunque el sistema educativo español haya ido perdiendo parte de su rigidez inicial con el paso del tiempo, no ha favorecido en general la existencia de caminos de ida y vuelta hacia el estudio y la formación. Permitir que los jóvenes que abandonaron sus estudios de manera temprana puedan retomarlos y completarlos y que las personas adultas puedan continuar su aprendizaje a lo largo de la vida exige concebir el sistema educativo de manera más flexible. Y esa flexibilidad implica establecer conexiones entre los distintos tipos de enseñanzas, facilitar el paso de unas a otras y permitir la configuración de vías formativas adaptadas a las necesidades e intereses personales”. Por ello, estos programas destinados a alumnos que habiendo alcanzado la edad de finalización de la educación secundaria obligatoria no han obtenido el título, están organizados de forma modular en lugar de por cursos, pues cuentan, de acuerdo con el art. 30 de la Ley Orgánica de educación, con tres tipos de módulos: los específicos referidos a las unidades de competencia correspondientes a cualificaciones nivel 1 del catálogo nacional de cualificaciones profesionales; los formativos de carácter general que amplían las competencias básicas y favorecen la transición desde el mundo educativo al laboral, y los denominados voluntarios. Mientras que los dos primeros deben cursarse obligatoriamente y conducen a la obtención de una certificación académica que expiden las Administraciones educativas, los módulos voluntarios conducen a la obtención del título de graduado en educación secundaria obligatoria y pueden cursarse bien simultáneamente o una vez finalizados los otros dos, siendo, por prescripción del art. 30.6 de la Ley Orgánica de educación, las Administraciones educativas las competentes para regular estos programas.</w:t>
      </w:r>
    </w:p>
    <w:p w:rsidR="0026452D" w:rsidRDefault="0026452D" w:rsidP="0026452D">
      <w:pPr>
        <w:pStyle w:val="TextoNormal"/>
      </w:pPr>
    </w:p>
    <w:p w:rsidR="0026452D" w:rsidRDefault="0026452D" w:rsidP="0026452D">
      <w:pPr>
        <w:pStyle w:val="TextoNormal"/>
      </w:pPr>
      <w:r>
        <w:t xml:space="preserve">Pues bien, el apartado 7 del art. 14 el Real Decreto impugnado establece que “los módulos conducentes a la obtención del título de Graduado en Educación Secundaria Obligatoria se organizarán en torno a tres ámbitos: ámbito de comunicación, ámbito social y ámbito científico-tecnológico”, mientras que el apartado 8 del mismo precepto señala que “el ámbito de comunicación incluirá los aspectos básicos del currículo recogidos en el Anexo II del presente real decreto referidos a las materias de Lengua castellana y literatura y Primera lengua extranjera e incorporará, si la hubiere, la Lengua cooficial y literatura. El ámbito social incluirá los referidos a las materias de Ciencias sociales, geografía e historia, Educación para la ciudadanía, los aspectos de percepción recogidos en el currículo de Educación plástica y visual y Música. El ámbito científico-tecnológico incluirá aquellos referidos a las </w:t>
      </w:r>
      <w:r>
        <w:lastRenderedPageBreak/>
        <w:t>materias de Ciencias de la naturaleza, Matemáticas, Tecnologías y a los aspectos relacionados con la salud y el medio natural recogidos en el currículo de Educación física. Las administraciones educativas incorporarán a los correspondientes ámbitos, si así lo consideran conveniente, aspectos curriculares de las restantes materias a las que hacen referencia los artículos 24 y 25 de la Ley Orgánica 2/2006, de 3 de mayo, de Educación”.</w:t>
      </w:r>
    </w:p>
    <w:p w:rsidR="0026452D" w:rsidRDefault="0026452D" w:rsidP="0026452D">
      <w:pPr>
        <w:pStyle w:val="TextoNormal"/>
      </w:pPr>
    </w:p>
    <w:p w:rsidR="0026452D" w:rsidRDefault="0026452D" w:rsidP="0026452D">
      <w:pPr>
        <w:pStyle w:val="TextoNormal"/>
      </w:pPr>
      <w:r>
        <w:t>Según se expuso en los antecedentes, considera la Generalitat de Cataluña que el art. 30 de la Ley Orgánica de educación, al atribuir a las Administraciones educativas la regulación de este tipo de programas para alumnos con especiales necesidades metodológicas, está dejando libertad a las Comunidades Autónomas para su regulación sin más límites que los establecidos en el citado precepto legal, por lo que al establecerse reglamentariamente en los dos apartados antes citados, los ámbitos en los que deben organizarse y especificar las materias mínimas que deben comprender para cada ámbito, no sólo estarían contradiciendo lo establecido en la Ley Orgánica de educación sino que, además, estarían agotando la definición de los contenidos eliminando la competencia autonómica para regular estos programas. Por el contrario, el Abogado del Estado considera que los programas de cualificación inicial están sometidos por mandato del art. 6 de la Ley Orgánica de educación a la regulación estatal de enseñanzas mínimas por lo que, de no haberse previsto para ellos una regulación específica en los apartados impugnados, deberían incluir todas las materias obligatorias y todos los contenidos que necesariamente tienen que integrarlas concluyendo que, en la medida en que se amplía el margen de regulación de las Comunidades Autónomas con respecto a la formación ordinaria, no puede considerarse que haya existido vulneración de la competencia autonómica.</w:t>
      </w:r>
    </w:p>
    <w:p w:rsidR="0026452D" w:rsidRDefault="0026452D" w:rsidP="0026452D">
      <w:pPr>
        <w:pStyle w:val="TextoNormal"/>
      </w:pPr>
    </w:p>
    <w:p w:rsidR="0026452D" w:rsidRDefault="0026452D" w:rsidP="0026452D">
      <w:pPr>
        <w:pStyle w:val="TextoNormal"/>
      </w:pPr>
      <w:r>
        <w:t xml:space="preserve">Tal y como señala la Ley Orgánica de educación en su exposición de motivos, “la definición y organización del currículo constituye uno de los elementos centrales del sistema educativo. El título preliminar dedica un capítulo a este asunto, estableciendo sus componentes la distribución de competencias en su definición y en su proceso de desarrollo. Especial interés reviste la inclusión de las competencias básicas entre los componentes del currículo, por cuanto debe permitir caracterizar de manera precisa la formación que deben recibir los estudiantes. Con el fin de asegurar una formación común y garantizar la homologación de los títulos, se encomienda al Gobierno la fijación de los objetivos, competencias básicas, contenidos y criterios de evaluación de los aspectos básicos del currículo, que constituyen las enseñanzas mínimas y a las administraciones educativas el establecimiento del currículo de las distintas enseñanzas”. Por ello, tras definir el currículo como el conjunto de objetivos, competencias básicas, contenidos, métodos pedagógicos y criterios de evaluación de cada una de las enseñanzas reguladas en la presente ley (art. 6.1 de la Ley Orgánica de educación), establece a continuación las competencias que para la determinación del currículo corresponden al Estado y a las Administraciones educativas con referencia expresa a las enseñanzas mínimas que conforme al apartado 2 c) de la disposición adicional primera de la Ley Orgánica 8/1985, de 3 de julio, reguladora del derecho a la educación, corresponde fijar al Estado. En concreto, el art. 6.2 de la Ley Orgánica de educación habilita al reglamento estatal para determinar en relación con los objetivos, competencias básicas, contenidos y criterios de evaluación, los aspectos básicos del currículo que constituyen las enseñanzas mínimas que tienen por objeto asegurar la formación común y garantizar la validez de los títulos correspondientes (art. 6.2 de la Ley Orgánica de educación), correspondiendo a las Administraciones educativas establecer el contenido de las diferentes enseñanzas que deberán incluir los aspectos básicos referidos a las enseñanzas mínimas (art. 6.4 de la Ley </w:t>
      </w:r>
      <w:r>
        <w:lastRenderedPageBreak/>
        <w:t>Orgánica de educación). Finalmente, el art. 6.5 de la Ley Orgánica de educación establece que los títulos correspondientes a las enseñanzas reguladas por esta ley serán homologados por el Estado y expedidos por las Administraciones educativas en las condiciones previstas en la legislación vigente y en las normas básicas y específicas que al efecto se dicten. No existe, pues, en el art. 6 de la Ley Orgánica de educación excepción alguna a la regla general que contempla, esto es, a la competencia estatal para fijar por real decreto las enseñanzas mínimas de cada una de las enseñanzas reguladas en la ley, sean o no cursadas por el itinerario normal y, por tanto, tampoco para las enseñanzas de los programas de cualificación profesional inicial destinados a alumnos mayores de dieciséis años cuando se considere que es la mejor opción para que éstos puedan alcanzar los objetivos de la etapa.</w:t>
      </w:r>
    </w:p>
    <w:p w:rsidR="0026452D" w:rsidRDefault="0026452D" w:rsidP="0026452D">
      <w:pPr>
        <w:pStyle w:val="TextoNormal"/>
      </w:pPr>
    </w:p>
    <w:p w:rsidR="0026452D" w:rsidRDefault="0026452D" w:rsidP="0026452D">
      <w:pPr>
        <w:pStyle w:val="TextoNormal"/>
      </w:pPr>
      <w:r>
        <w:t>Por su parte, el art. 30 de la Ley Orgánica de educación al regular los programas de cualificación profesional inicial no excluye expresamente la competencia estatal para establecer las enseñanzas mínimas o aspectos básicos del currículo pues se limita a reconocer a las Administraciones educativas la competencia para regular los programas de cualificación profesional inicial y establecer el currículo. Cierto es que el art. 30 no reproduce la mención a los aspectos básicos del currículo que contiene el art. 6.4 de la Ley Orgánica de educación, pero tampoco especifica que constituya una excepción a la regla general del art. 6 de esta misma ley.</w:t>
      </w:r>
    </w:p>
    <w:p w:rsidR="0026452D" w:rsidRDefault="0026452D" w:rsidP="0026452D">
      <w:pPr>
        <w:pStyle w:val="TextoNormal"/>
      </w:pPr>
    </w:p>
    <w:p w:rsidR="0026452D" w:rsidRDefault="0026452D" w:rsidP="0026452D">
      <w:pPr>
        <w:pStyle w:val="TextoNormal"/>
      </w:pPr>
      <w:r>
        <w:t>No cabe interpretar que la falta de mención expresa en el art. 30 de la Ley Orgánica de educación a las enseñanzas mínimas equivalga a una tácita renuncia del legislador orgánico al ejercicio por el Estado de su competencia para establecerlas y constituye, por tanto una excepción al art. 6 de la Ley Orgánica de educación. Si tal y como señalamos en la STC 88/1983, de 27 de octubre FJ 3, con referencia en aquel caso a la educación general básica, las enseñanzas mínimas son el instrumento con que cuenta el Estado, sea cual sea la Comunidad Autónoma a la que pertenezcan, para conseguir una formación común en un determinado nivel de todos los escolares que haga posible la homologación del sistema educativo y garantice el cumplimiento de las obligaciones de los poderes públicos en esta materia, esta misma necesidad está presente en el caso de los programas de cualificación profesional inicial y, en concreto, de los módulos voluntarios que conducen a la obtención del título de graduado en educación secundaria obligatoria. Ciertamente, la regulación que ha hecho el legislador orgánico de los programas de cualificación profesional con los que pretende no sólo que el alumno adquiera las competencias básicas para continuar con los estudios sino, además, que obtenga una cualificación profesional, es de menor densidad para los módulos voluntarios, aun cuando conducen a la obtención de un mismo título académico, que para el itinerario normal de la educación secundaria obligatoria, de lo que constituye una buena prueba su organización modular y no por cursos, lo que ha desembocado en una mayor libertad de las Comunidades Autónomas para diseñar el currículo. Pero estas especiales necesidades metodológicas justifican que no exista coincidencia entre las enseñanzas mínimas establecidas para el itinerario normal y los módulos voluntarios pero no así su supresión.</w:t>
      </w:r>
    </w:p>
    <w:p w:rsidR="0026452D" w:rsidRDefault="0026452D" w:rsidP="0026452D">
      <w:pPr>
        <w:pStyle w:val="TextoNormal"/>
      </w:pPr>
    </w:p>
    <w:p w:rsidR="0026452D" w:rsidRDefault="0026452D" w:rsidP="0026452D">
      <w:pPr>
        <w:pStyle w:val="TextoNormal"/>
      </w:pPr>
      <w:r>
        <w:t>Una vez afirmada la competencia que asiste al Estado para regular las enseñanzas mínimas en lo que respecta a los módulos voluntarios que conducen a la obtención del título de graduado en educación secundaria obligatoria, debemos analizar si la regulación de materias o contenidos mínimos de los apartados 7 y 8 del art. 14 del Real Decreto 1631/2006, de 29 de diciembre, cumple los requisitos que exige la doctrina constitucional para que pueda considerarse básica.</w:t>
      </w:r>
    </w:p>
    <w:p w:rsidR="0026452D" w:rsidRDefault="0026452D" w:rsidP="0026452D">
      <w:pPr>
        <w:pStyle w:val="TextoNormal"/>
      </w:pPr>
    </w:p>
    <w:p w:rsidR="0026452D" w:rsidRDefault="0026452D" w:rsidP="0026452D">
      <w:pPr>
        <w:pStyle w:val="TextoNormal"/>
      </w:pPr>
      <w:r>
        <w:t>Como quiera que la Generalitat no cuestiona directamente la idoneidad de la norma reglamentaria para el establecimiento de las bases, pues se limita a señalar que la regulación básica de los programas de cualificación profesional inicial se habría agotado con la regulación de mínimos contenida en la Ley Orgánica de educación, bastará con señalar en relación al aspecto formal de lo básico que, de un lado, el art. 6 de la Ley Orgánica de educación habilita al Gobierno para la regulación de las enseñanzas mínimas que, como se razonó anteriormente, incluye las enseñanzas cursadas por otros itinerarios distintos al regulado en el art. 22 y siguientes de la Ley Orgánica de educación, y de otro que se trata de una materia coyuntural o necesitada de continua adaptación para alcanzar el objetivo de permitir el paso de la formación al trabajo y viceversa, lo cual, por otra parte, admite la Generalitat de Cataluña al no poner en cuestión la regulación que de las enseñanzas mínimas realiza ese mismo Real Decreto en su anexo II aunque, eso sí, únicamente para las enseñanzas que siguen el itinerario ordinario. En definitiva, se cumplen los dos requisitos señalados en la STC 77/1985, de 27 de junio, FJ 16, para considerar que los apartados 7 y 8 del art. 14 reúnen la condición formal de legislación básica.</w:t>
      </w:r>
    </w:p>
    <w:p w:rsidR="0026452D" w:rsidRDefault="0026452D" w:rsidP="0026452D">
      <w:pPr>
        <w:pStyle w:val="TextoNormal"/>
      </w:pPr>
    </w:p>
    <w:p w:rsidR="0026452D" w:rsidRDefault="0026452D" w:rsidP="0026452D">
      <w:pPr>
        <w:pStyle w:val="TextoNormal"/>
      </w:pPr>
      <w:r>
        <w:t>En lo relativo al aspecto material de lo básico, los apartados impugnados vienen a establecer los tres ámbitos en torno a los que se organizan los módulos voluntarios y prevén la aplicación de los aspectos básicos del currículo (anexo II) referidos a las materias mínimas que se especifican para cada ámbito y sus contenidos. Por su finalidad, forma parte de las enseñanzas mínimas el establecimiento de los ámbitos en los que pueden ofertarse los módulos voluntarios lo que, a su vez, determina las materias y contenidos mínimos que deben cursarse pues se trata con ellas de garantizar una homogeneidad en la formación que permita la homologación de los títulos y la garantía de una igualdad básica en el ejercicio del derecho a la educación. En la STC 88/1983, de 27 de octubre, ya afirmamos que la fijación de objetivos por bloques temáticos comprendidos en cada una de las materias o disciplinas de las enseñanzas mínimas, así como los horarios mínimos necesarios para su enseñanza efectiva y, por tanto, también indirectamente la determinación de las materias o disciplinas, formaba parte de la competencia estatal para establecer las enseñanzas mínimas (FJ 3). Una conclusión similar es la que se deduce de la propia demanda pues el establecimiento por el real decreto impugnado de las materias obligatorias y contenidos mínimos (anexo II) para las enseñanzas de la educación secundaria obligatoria que se cursen por el itinerario normal, ha sido pacíficamente admitido por la Generalitat lo que prueba que, por lo que atañe a su contenido, el establecimiento de los ámbitos, materias mínimas y contenidos no excede de lo que debe considerarse “enseñanzas mínimas”.</w:t>
      </w:r>
    </w:p>
    <w:p w:rsidR="0026452D" w:rsidRDefault="0026452D" w:rsidP="0026452D">
      <w:pPr>
        <w:pStyle w:val="TextoNormal"/>
      </w:pPr>
    </w:p>
    <w:p w:rsidR="0026452D" w:rsidRDefault="0026452D" w:rsidP="0026452D">
      <w:pPr>
        <w:pStyle w:val="TextoNormal"/>
      </w:pPr>
      <w:r>
        <w:t xml:space="preserve">Como también se afirma en la STC 88/1983, de 27 de octubre, FJ 4, cuestión distinta es que, aun tratándose de una competencia del Estado, éste se hubiera excedido en el modo de ejercerla, lo que ocurriría si se hubiera vaciado “de contenido práctico las competencias de las Comunidades Autónomas”. A este respecto debemos señalar que las materias mínimas que se especifican para cada ámbito por el art. 14.8 del Real Decreto impugnado son sustancialmente inferiores a las reguladas en su anexo II para el itinerario normal de la educación secundaria obligatoria, previéndose en dicho precepto que las Administraciones educativas, si lo consideran conveniente, incorporarán a los correspondientes ámbitos aspectos curriculares de las restantes materias a las que hacen referencia los arts. 24 y 25 de la Ley Orgánica de educación. La norma, por tanto, deja a las Comunidades Autónomas un ámbito de regulación mucho más amplio que cuando se trata del itinerario normal, pues, como bien </w:t>
      </w:r>
      <w:r>
        <w:lastRenderedPageBreak/>
        <w:t>señala el Abogado del Estado, ni se incluyen todas las materias obligatorias del itinerario ordinario ni tampoco todos los contenidos de algunas de ellas. No es posible, por tanto, afirmar que la definición realizada por el Gobierno de los aspectos básicos del currículo haya eliminado la capacidad de las Comunidades Autónomas para ejercer sus competencias de regulación del currículo en el caso de los módulos voluntarios. En consecuencia, y por las razones expuestas debemos desestimar la impugnación de los apartados 7 y 8 del art. 14 del Real Decreto impugnado.</w:t>
      </w:r>
    </w:p>
    <w:p w:rsidR="0026452D" w:rsidRDefault="0026452D" w:rsidP="0026452D">
      <w:pPr>
        <w:pStyle w:val="TextoNormal"/>
      </w:pPr>
    </w:p>
    <w:p w:rsidR="0026452D" w:rsidRDefault="0026452D" w:rsidP="0026452D">
      <w:pPr>
        <w:pStyle w:val="TextoNormal"/>
      </w:pPr>
      <w:r w:rsidRPr="0026452D">
        <w:rPr>
          <w:rStyle w:val="NumeroAFNegritaCaracter"/>
        </w:rPr>
        <w:t>6</w:t>
      </w:r>
      <w:r>
        <w:t>. Se impugna también la disposición adicional primera del Real Decreto 1631/2006, de 29 de diciembre, que regula la educación de las personas adultas. Aunque formalmente se impugna la totalidad del precepto, resulta imprescindible, antes de entrar en el fondo de la controversia planteada, determinar el alcance de dicha impugnación por cuanto, como alega el Abogado del Estado, la impugnación va dirigida a la regulación de los ámbitos, niveles y materias mínimas en que debe organizarse la formación de adultos que quieran adquirir las competencias y los conocimientos correspondientes a la educación secundaria obligatoria. En efecto, se invoca en la demanda que una vez establecido en la Ley Orgánica de educación y en el Real Decreto las áreas y enseñanzas mínimas correspondientes al itinerario normal de la educación secundaria obligatoria, la flexibilización de las citadas enseñanzas para este alumnado con especiales necesidades solo puede corresponder a la Generalitat ya que la Ley Orgánica de educación no pretende que el Estado establezca contenidos diversos para cada una de las modalidades que dan lugar a la obtención de un título. En definitiva, lo que se impugna por exceder de la competencia estatal para fijar las enseñanzas mínimas es la estructuración que hace la disposición adicional primera de las enseñanzas en tres ámbitos, la determinación de las áreas que corresponden a cada uno de ellos y los niveles en que se estructuran para que puedan cursarse en el plazo de dos años.</w:t>
      </w:r>
    </w:p>
    <w:p w:rsidR="0026452D" w:rsidRDefault="0026452D" w:rsidP="0026452D">
      <w:pPr>
        <w:pStyle w:val="TextoNormal"/>
      </w:pPr>
    </w:p>
    <w:p w:rsidR="0026452D" w:rsidRDefault="0026452D" w:rsidP="0026452D">
      <w:pPr>
        <w:pStyle w:val="TextoNormal"/>
      </w:pPr>
      <w:r>
        <w:t xml:space="preserve">La disposición adicional primera del Real Decreto impugnado es del siguiente tenor: “1. De acuerdo con lo dispuesto en el artículo 68.1 de la Ley Orgánica 2/2006, de 3 de mayo, de Educación, las personas adultas que quieran adquirir las competencias y los conocimientos correspondientes a la Educación secundaria obligatoria, contarán con una oferta adaptada a sus condiciones y necesidades que se regirá por los principios de movilidad y transparencia y podrá desarrollarse a través de la enseñanza presencial y también mediante la educación a distancia. 2. Con objeto de favorecer la flexibilidad en la adquisición de los aprendizajes, facilitar la movilidad y permitir la conciliación con otras responsabilidades y actividades, las enseñanzas de esta etapa para las personas adultas se organizarán de forma modular en tres ámbitos: ámbito de comunicación, ámbito social y ámbito científico-tecnológico y dos niveles en cada uno de ellos. La organización de estas enseñanzas deberá permitir su realización en dos cursos. 3. El ámbito de comunicación incluirá los aspectos básicos del currículo recogidos en el Anexo II del presente real decreto referidos a las materias de Lengua castellana y literatura y Primera lengua extranjera e incorporará, si la hubiere, la Lengua cooficial y literatura. El ámbito social incluirá los referidos a las materias de Ciencias sociales, geografía e historia, Educación para la ciudadanía, los aspectos de percepción recogidos en el currículo de Educación plástica y visual y Música. El ámbito científico-tecnológico incluirá aquellos referidos a las materias de Ciencias de la naturaleza, Matemáticas, Tecnologías y a los aspectos relacionados con la salud y el medio natural recogidos en el currículo de Educación física. Las administraciones educativas incorporarán a los correspondientes ámbitos, si así lo consideran conveniente, aspectos curriculares de las restantes materias a las que hacen referencia los artículos 24 y 25 de la Ley Orgánica 2/2006, </w:t>
      </w:r>
      <w:r>
        <w:lastRenderedPageBreak/>
        <w:t>de 3 de mayo, de Educación. 4. Corresponde a las administraciones educativas establecer los procedimientos para el reconocimiento de la formación reglada que el alumnado acredite y la valoración de los conocimientos y experiencias previas adquiridos a través de la educación no formal, con objeto de proceder a su orientación y adscripción a un nivel determinado dentro de cada uno de los ámbitos de conocimiento. 5. La superación de alguno de los niveles correspondientes a cada uno de los tres ámbitos a los que hace referencia el apartado segundo tendrá validez en todo el Estado. La superación de todos los ámbitos dará derecho a la obtención del título de Graduado en Educación Secundaria Obligatoria. 6. Corresponde a las administraciones educativas, en el ámbito de sus competencias, organizar periódicamente pruebas para que las personas mayores de dieciocho años puedan obtener directamente el título de Graduado en Educación Secundaria Obligatoria, siempre que hayan alcanzado las competencias básicas y los objetivos de la etapa. Estas pruebas se organizarán basándose en los tres ámbitos de conocimiento citados. 7. Estas enseñanzas serán impartidas en centros docentes ordinarios o específicos, debidamente autorizados por las administraciones educativas.”</w:t>
      </w:r>
    </w:p>
    <w:p w:rsidR="0026452D" w:rsidRDefault="0026452D" w:rsidP="0026452D">
      <w:pPr>
        <w:pStyle w:val="TextoNormal"/>
      </w:pPr>
    </w:p>
    <w:p w:rsidR="0026452D" w:rsidRDefault="0026452D" w:rsidP="0026452D">
      <w:pPr>
        <w:pStyle w:val="TextoNormal"/>
      </w:pPr>
      <w:r>
        <w:t>De la mera lectura de la disposición transcrita se deduce que la impugnación de la Generalitat, en los términos antes expuestos, debe ceñirse a sus apartados 2, 3 y 5 pues los restantes no se refieren a los ámbitos, niveles y áreas sino a cuestiones sobre las que en modo alguno, directa o indirectamente, se ha argumentado en la demanda. Tal y como tenemos afirmado en reiteradas ocasiones, el deber de colaboración con la justicia del Tribunal, que tiene que poder conocer las razones del recurso, y la efectividad del derecho de defensa exigen que la impugnación esté adecuadamente argumentada. Tal y como señalamos, entre otras, en la STC 112/2006, de 5 de abril, FJ 19, “[l]a falta de fundamentación de la impugnación nos exime de realizar su enjuiciamiento, de acuerdo con nuestra doctrina, pues hemos afirmado ‘que no basta la mera invocación formal de los preceptos en la demanda (STC 98/1989, FJ 5) o incluso, como sucede en este caso,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 En consecuencia, debemos entender la impugnación limitada a los apartados 2, 3 y 5 de la disposición adicional primera y únicamente nos pronunciaremos sobre ellos.</w:t>
      </w:r>
    </w:p>
    <w:p w:rsidR="0026452D" w:rsidRDefault="0026452D" w:rsidP="0026452D">
      <w:pPr>
        <w:pStyle w:val="TextoNormal"/>
      </w:pPr>
    </w:p>
    <w:p w:rsidR="0026452D" w:rsidRDefault="0026452D" w:rsidP="0026452D">
      <w:pPr>
        <w:pStyle w:val="TextoNormal"/>
      </w:pPr>
      <w:r>
        <w:t xml:space="preserve">La disposición adicional primera del reglamento estatal regula la formación de las personas adultas a la que se refieren los arts. 66 a 69 de la Ley Orgánica de educación. Este tipo de enseñanzas va dirigido a los mayores de dieciocho años o, en determinados supuestos de dieciséis, para quienes no resulta posible acudir a los centros educativos en régimen ordinario (art. 67 de la Ley Orgánica de educación). Entre sus objetivos está la adquisición de una formación básica, la ampliación de los conocimientos, habilidades y destrezas de modo permanente, y facilitar el acceso a las distintas enseñanzas del sistema educativo [art. 66 3 a) de la Ley Orgánica de educación], debiendo existir una oferta, adaptada a sus especiales condiciones y necesidades, que les permita adquirir las competencias y conocimientos correspondientes a la educación básica. Las enseñanzas están estructuradas en módulos organizados en tres ámbitos, los mismos en los que se organizan los módulos voluntarios y, a su vez, cada ámbito en dos niveles que permiten la realización en dos cursos (apartado 2). </w:t>
      </w:r>
      <w:r>
        <w:lastRenderedPageBreak/>
        <w:t>La superación de todos los ámbitos conduce a la obtención del título de graduado en educación secundaria obligatoria, mientras que la superación de uno de los niveles de cada uno de los tres ámbitos tendrá validez en todo el Estado (apartado 5). Finalmente, como en el caso de los módulos voluntarios propios de los programas de cualificación profesional inicial, para cada uno de los ámbitos se establecen las materias mínimas y los contenidos que podrán ser completados por las Administraciones educativas con el resto de materias si así lo estiman conveniente.</w:t>
      </w:r>
    </w:p>
    <w:p w:rsidR="0026452D" w:rsidRDefault="0026452D" w:rsidP="0026452D">
      <w:pPr>
        <w:pStyle w:val="TextoNormal"/>
      </w:pPr>
    </w:p>
    <w:p w:rsidR="0026452D" w:rsidRDefault="0026452D" w:rsidP="0026452D">
      <w:pPr>
        <w:pStyle w:val="TextoNormal"/>
      </w:pPr>
      <w:r>
        <w:t>Como se anticipó, la Generalitat entiende que la regulación impugnada excede de lo básico por cuanto corresponde a las Administraciones educativas diseñar un currículo que responda a las necesidades de este tipo de alumnado, quedando limitada la competencia estatal para regular las enseñanzas mínimas, por expreso deseo de la Ley Orgánica de educación, al itinerario normal que conduce a la obtención del título de graduado en educación secundaria obligatoria, alegando además que a lo largo de los años la regulación básica ha dejado a las Comunidades Autónomas que establecieran con total libertad el currículo de estas enseñanzas y en ejercicio de la misma se han aprobado la Ley del Parlamento de Cataluña 3/1991, de 18 de marzo y el Decreto 213/2002, de 1 de agosto. El Abogado del Estado entiende, por el contrario, que la regulación impugnada organiza estas enseñanzas en la misma forma modular, ámbitos y materias que los programas de cualificación profesional inicial sin exceder de lo básico pues deja amplio margen de actuación a las Comunidades Autónomas, recordando además el carácter variable de las bases.</w:t>
      </w:r>
    </w:p>
    <w:p w:rsidR="0026452D" w:rsidRDefault="0026452D" w:rsidP="0026452D">
      <w:pPr>
        <w:pStyle w:val="TextoNormal"/>
      </w:pPr>
    </w:p>
    <w:p w:rsidR="0026452D" w:rsidRDefault="0026452D" w:rsidP="0026452D">
      <w:pPr>
        <w:pStyle w:val="TextoNormal"/>
      </w:pPr>
      <w:r>
        <w:t>Comenzando por el último de los argumentos expuestos por la Generalitat, procede traer ahora a colación nuestra doctrina sobre la variabilidad de las bases. A este respecto hemos dicho que aunque “las bases, por su propia esencia, tienen vocación de estabilidad” (STC 18/2011, de 3 de marzo, FJ 14), “en ningún caso son inamovibles ni puede predicarse de ellas la petrificación, incompatible no sólo con el talante evolutivo del Derecho, sino con el propio dinamismo del sector de la economía en el cual se insertan (STC 135/1992, fundamento jurídico 2)” (STC 133/1997, de 16 de julio, FJ 8). Así pues, corresponde en cada momento al legislador estatal establecer las bases en cada materia respetando el orden constitucional de reparto de competencias sin que este Tribunal pueda entrar a valorar la idoneidad de la opción adoptada, en este caso por el Gobierno del Estado, para favorecer-según señala la norma impugnada- la flexibilidad en la adquisición de los aprendizajes, facilitar la movilidad de los alumnos entre Comunidades Autónomas y permitir la conciliación con otras responsabilidades y aprendizajes, debiéndonos limitar a determinar si éste se ha excedido o no en el ejercicio de la competencia para la que le habilita el art. 6 de la Ley Orgánica de educación.</w:t>
      </w:r>
    </w:p>
    <w:p w:rsidR="0026452D" w:rsidRDefault="0026452D" w:rsidP="0026452D">
      <w:pPr>
        <w:pStyle w:val="TextoNormal"/>
      </w:pPr>
    </w:p>
    <w:p w:rsidR="0026452D" w:rsidRDefault="0026452D" w:rsidP="0026452D">
      <w:pPr>
        <w:pStyle w:val="TextoNormal"/>
      </w:pPr>
      <w:r>
        <w:t xml:space="preserve">La competencia del Estado para establecer la regulación de las enseñanzas mínimas o aspectos básicos del currículo se extiende, por las razones ya expuestas en el fundamento jurídico anterior, a la formación de personas adultas que conduce, como en el caso de los módulos voluntarios, a la obtención del título de graduado en educación secundaria obligatoria. Es más, la Ley Orgánica de educación no realiza siquiera una remisión expresa a la competencia de las Administraciones educativas para la regulación de las enseñanzas de adultos similar la que contenía el art. 30.6 de esta norma legal para los programas de cualificación profesional inicial, resultando de plena aplicación la regla general establecida en el </w:t>
      </w:r>
      <w:r>
        <w:lastRenderedPageBreak/>
        <w:t>art. 6 de la Ley Orgánica de educación, que atribuye al Gobierno de la Nación la competencia para fijar los aspectos básicos del currículo de las enseñanzas en ella reguladas, sea cual sea el itinerario que se siga.</w:t>
      </w:r>
    </w:p>
    <w:p w:rsidR="0026452D" w:rsidRDefault="0026452D" w:rsidP="0026452D">
      <w:pPr>
        <w:pStyle w:val="TextoNormal"/>
      </w:pPr>
    </w:p>
    <w:p w:rsidR="0026452D" w:rsidRDefault="0026452D" w:rsidP="0026452D">
      <w:pPr>
        <w:pStyle w:val="TextoNormal"/>
      </w:pPr>
      <w:r>
        <w:t>Solo resta, pues, una vez afirmada la competencia estatal para regular las enseñanzas mínimas en el caso de la formación de adultos, analizar si el Gobierno se ha excedido o no en su ejercicio. La estructuración de los programas de formación de adultos que lleva a cabo la disposición impugnada en torno a los tres ámbitos y a las materias mínimas y contenidos es idéntica a la regulada para los módulos voluntarios de los programas de cualificación profesional inicial, regulación que, como ya señalamos en el fundamento jurídico anterior, forma parte de lo que cabe entender por enseñanzas mínimas cuya finalidad no es otra que obtener un mínimo de homogeneidad que haga posible la homologación de los títulos y garantice el cumplimiento de las obligaciones de los poderes públicos en esta materia. A esa misma finalidad responde la exigencia de que, a pesar de su organización modular y no por curso como ocurre con el itinerario normal, la organización del currículo permita cursar las enseñanzas en dos cursos, estableciendo para ello dos niveles en cada ámbito con la previsión de que la superación de un nivel de cada uno de los ámbitos tendrá validez en todo el territorio nacional haciendo así efectivo el principio de movilidad más necesario, si cabe, en quienes deben conciliar formación con actividad laboral. Como antes también se señaló, la libertad de las Comunidades Autónomas para el diseño curricular de este tipo de enseñanzas es más amplia que la que cuenta para regular el currículo de las enseñanzas que conducen al mismo título académico cuando se trata del itinerario normal, sin que en modo alguno la Generalitat haya justificado, más allá de negar la consideración de enseñanzas mínimas de los apartados impugnados, por qué éstos agotan el margen de desarrollo con que cuentan las Administraciones educativas a la hora de diseñar el currículo. Debemos, en consecuencia, desestimar también la impugnación de los apartados 2, 3 y 5 de la disposición adicional primera del Real Decreto 1631/2006, de 29 de diciembre.</w:t>
      </w:r>
    </w:p>
    <w:p w:rsidR="0026452D" w:rsidRDefault="0026452D" w:rsidP="0026452D">
      <w:pPr>
        <w:pStyle w:val="TextoNormal"/>
      </w:pPr>
    </w:p>
    <w:p w:rsidR="0026452D" w:rsidRDefault="0026452D" w:rsidP="0026452D">
      <w:pPr>
        <w:pStyle w:val="TextoNormal"/>
      </w:pPr>
      <w:r w:rsidRPr="0026452D">
        <w:rPr>
          <w:rStyle w:val="NumeroAFNegritaCaracter"/>
        </w:rPr>
        <w:t>7</w:t>
      </w:r>
      <w:r>
        <w:t>. Se impugna finalmente el anexo III del Real Decreto 1631/2006, de 29 de diciembre, que regula, en primer lugar, el horario escolar, expresado en horas de contenidos básicos de las enseñanzas mínimas, horario que por mandato del art. 6.3 de la Ley Orgánica de educación ocupa el 65 por 100 del horario escolar, aunque en las Comunidades Autónomas que tengan lengua cooficial las enseñanzas mínimas solo requerirán el 55 por 100 de los horarios escolares.</w:t>
      </w:r>
    </w:p>
    <w:p w:rsidR="0026452D" w:rsidRDefault="0026452D" w:rsidP="0026452D">
      <w:pPr>
        <w:pStyle w:val="TextoNormal"/>
      </w:pPr>
    </w:p>
    <w:p w:rsidR="0026452D" w:rsidRDefault="0026452D" w:rsidP="0026452D">
      <w:pPr>
        <w:pStyle w:val="TextoNormal"/>
      </w:pPr>
      <w:r>
        <w:t>Aunque formalmente en el suplico de la demanda la Generalitat solicita la anulación del anexo III, sus alegaciones van dirigidas única y exclusivamente a las reglas que regulan cómo debe detraerse el 10 por 100 del horario escolar y a las relativas a la impartición conjunta de los contenidos referidos a estructuras lingüísticas, cuestiones éstas a las que, a falta de otra argumentación por la recurrente, y de acuerdo con lo establecido en la doctrina constitucional antes citada, se ceñirá nuestro pronunciamiento.</w:t>
      </w:r>
    </w:p>
    <w:p w:rsidR="0026452D" w:rsidRDefault="0026452D" w:rsidP="0026452D">
      <w:pPr>
        <w:pStyle w:val="TextoNormal"/>
      </w:pPr>
    </w:p>
    <w:p w:rsidR="0026452D" w:rsidRDefault="0026452D" w:rsidP="0026452D">
      <w:pPr>
        <w:pStyle w:val="TextoNormal"/>
      </w:pPr>
      <w:r>
        <w:t xml:space="preserve">Señala el anexo III lo siguiente: “De acuerdo con lo establecido en el artículo 6.3 de la Ley Orgánica de educación, las Comunidades Autónomas que tengan lengua cooficial dispondrán para la organización de las enseñanzas de dicha lengua del 10% del horario escolar total que se deriva de este anexo, no pudiendo detraer de un área una cifra superior a 50 horas en el conjunto de los tres primeros cursos, ni a 20 horas en cuarto curso. Los contenidos referidos a estructuras lingüísticas que puedan ser compartidos por varias lenguas en un </w:t>
      </w:r>
      <w:r>
        <w:lastRenderedPageBreak/>
        <w:t>mismo curso podrán impartirse de manera conjunta. En este caso, si la lengua de enseñanza de estas estructuras comunes fuera diferente del castellano, deberá garantizarse que el alumnado recibe enseñanzas de lengua y literatura castellana o en lengua castellana en un número de horas no inferior al que corresponda a dicha materia en aplicación de los criterios anteriores.”</w:t>
      </w:r>
    </w:p>
    <w:p w:rsidR="0026452D" w:rsidRDefault="0026452D" w:rsidP="0026452D">
      <w:pPr>
        <w:pStyle w:val="TextoNormal"/>
      </w:pPr>
    </w:p>
    <w:p w:rsidR="0026452D" w:rsidRDefault="0026452D" w:rsidP="0026452D">
      <w:pPr>
        <w:pStyle w:val="TextoNormal"/>
      </w:pPr>
      <w:r>
        <w:t>Los argumentos de la Generalitat, ya aducidos por otra parte en el conflicto de competencias 1662-2007, por ésta planteado contra el Real Decreto 1513/2006, de 7 de diciembre, consisten en que una vez reconocido por la Ley Orgánica de educación a las Comunidades Autónomas con otra lengua oficial la reducción de un 10 por 100 del horario, reducción destinada a la determinación del currículo correspondiente a la otra lengua oficial, la imposición de reglas que limitan la capacidad de organización de ese 10 por 100 del horario mínimo vulnera la competencia autonómica para organizar la enseñanza de su lengua propia. Por la misma razón, si se admite que las habilidades y objetivos de las áreas de lengua pueden conseguirse de igual forma impartiendo los contenidos de forma conjunta para varias lenguas, la imposición de un límite como es el número de horas de lengua y literatura castellana o de cualquier otra área impartidas en lengua castellana vulnera la competencia de la Comunidad Autónoma para el establecimiento de los planes de estudio incluida la ordenación curricular. En apoyo de su argumentación expone la Generalitat que hasta ahora la legislación básica había dejado total libertad a las Comunidades Autónomas con otra lengua oficial para detraer el porcentaje del 10 por 100 de los horarios escolares.</w:t>
      </w:r>
    </w:p>
    <w:p w:rsidR="0026452D" w:rsidRDefault="0026452D" w:rsidP="0026452D">
      <w:pPr>
        <w:pStyle w:val="TextoNormal"/>
      </w:pPr>
    </w:p>
    <w:p w:rsidR="0026452D" w:rsidRDefault="0026452D" w:rsidP="0026452D">
      <w:pPr>
        <w:pStyle w:val="TextoNormal"/>
      </w:pPr>
      <w:r>
        <w:t>Entiende por el contrario la representación letrada del Estado, en primer lugar, que la regulación básica siempre había establecido determinaciones sobre cómo las Comunidades Autónomas con lengua cooficial podían detraer el 10 por 100 de la enseñanza para dicha lengua con la finalidad de asegurar que no se produjera en detrimento de los conocimientos que se consideran esenciales para asegurar la validez nacional de las titulaciones. En segundo lugar, rechaza la vulneración de la competencia autonómica pues, aunque una regulación de los horarios que no permitiera una enseñanza eficaz de ambas lenguas incumpliría la Constitución, las determinaciones impugnadas no afectan al tiempo detraído que sigue siendo de un 10 por 100, por lo que el conocimiento de la lengua cooficial está tan garantizado como antes de la aprobación del reglamento impugnado ya que para ello resulta irrelevante de dónde se detraigan las horas siempre que se prevea el tiempo necesario para ello.</w:t>
      </w:r>
    </w:p>
    <w:p w:rsidR="0026452D" w:rsidRDefault="0026452D" w:rsidP="0026452D">
      <w:pPr>
        <w:pStyle w:val="TextoNormal"/>
      </w:pPr>
    </w:p>
    <w:p w:rsidR="0026452D" w:rsidRDefault="0026452D" w:rsidP="0026452D">
      <w:pPr>
        <w:pStyle w:val="TextoNormal"/>
      </w:pPr>
      <w:r>
        <w:t xml:space="preserve">Para resolver la controversia planteada en torno al anexo III del Real Decreto impugnado, no resulta necesario abordar la cuestión, por lo demás prolijamente expuesta por las partes, de cuál ha sido hasta ahora el alcance de la legislación básica en las sucesivas normas reglamentarias que han regulado las enseñanzas mínimas de la educación secundaria obligatoria pues resulta, a nuestros efectos, irrelevante. Tal y como señalamos en el fundamento jurídico anterior, aunque las bases deben estar dotadas de estabilidad, ello no impide al legislador estatal modificarlas sin que corresponda a este Tribunal comparar la opción del legislador, en este caso del gobierno estatal, con otras anteriores sino determinar si el Estado ha actuado su competencia dentro del orden constitucional o se ha excedido en su ejercicio. En consecuencia, la resolución de la impugnación del anexo III requiere que determinemos si las limitaciones impuestas a las Comunidades Autónomas para reducir el 10 por 100 del horario destinado a los contenidos mínimos obedecen a la finalidad que debe perseguir la competencia estatal básica para fijar las enseñanzas mínimas y si con ellas se ha dejado el </w:t>
      </w:r>
      <w:r>
        <w:lastRenderedPageBreak/>
        <w:t>suficiente margen de desarrollo normativo que corresponde a Cataluña para fijar los planes de estudios incluido el diseño curricular.</w:t>
      </w:r>
    </w:p>
    <w:p w:rsidR="0026452D" w:rsidRDefault="0026452D" w:rsidP="0026452D">
      <w:pPr>
        <w:pStyle w:val="TextoNormal"/>
      </w:pPr>
    </w:p>
    <w:p w:rsidR="0026452D" w:rsidRDefault="0026452D" w:rsidP="0026452D">
      <w:pPr>
        <w:pStyle w:val="TextoNormal"/>
      </w:pPr>
      <w:r>
        <w:t>La primera de las reglas impugnadas consiste en que la reducción del 10 por 100 del horario mínimo, que constituye el 65 por 100 del horario escolar, no podrá realizarse detrayendo de la misma área más de cincuenta horas en los tres primeros cursos ni más de veinte en el cuarto. Obviamente, esta regla impide que la reducción del 10 por 100 de los horarios mínimos vaya en detrimento de alguna o algunas de las áreas impidiendo así alcanzar el conocimiento que se estima necesario para la validez de los títulos y para su homologación. Esta regla incide directamente en la fijación de los horarios de los contenidos básicos que, como señalamos en la STC 88/1983, de 27 de octubre, FJ 3, va aparejada a la competencia estatal para regular las enseñanzas mínimas y, como tal, cumple la finalidad de estas últimas, esto es, garantizar la “formación común en un determinado nivel de todos los escolares”.</w:t>
      </w:r>
    </w:p>
    <w:p w:rsidR="0026452D" w:rsidRDefault="0026452D" w:rsidP="0026452D">
      <w:pPr>
        <w:pStyle w:val="TextoNormal"/>
      </w:pPr>
    </w:p>
    <w:p w:rsidR="0026452D" w:rsidRDefault="0026452D" w:rsidP="0026452D">
      <w:pPr>
        <w:pStyle w:val="TextoNormal"/>
      </w:pPr>
      <w:r>
        <w:t>La segunda actúa como límite a la posibilidad reconocida en la disposición impugnada de que la enseñanza de unos mismos contenidos, los referidos a estructuras lingüísticas, puedan impartirse en un mismo curso de manera conjunta para diferentes lenguas y así evitar duplicidades, posibilidad que, por otra parte, no objeta la Generalitat pues lo que discute no es que se permita impartir los contenidos de forma conjunta para varías lenguas sino la condición o límite que se impone al ejercicio de esta facultad.</w:t>
      </w:r>
    </w:p>
    <w:p w:rsidR="0026452D" w:rsidRDefault="0026452D" w:rsidP="0026452D">
      <w:pPr>
        <w:pStyle w:val="TextoNormal"/>
      </w:pPr>
    </w:p>
    <w:p w:rsidR="0026452D" w:rsidRDefault="0026452D" w:rsidP="0026452D">
      <w:pPr>
        <w:pStyle w:val="TextoNormal"/>
      </w:pPr>
      <w:r>
        <w:t>En efecto, cuando los contenidos comunes se impartan en una lengua distinta del castellano se exige que las horas que se impartan en lengua castellana no sean inferiores a las que corresponderían a lengua y literatura castellana aplicando los criterios generales de reducción de horarios pues el Real Decreto parte de la base de que con un horario inferior no se conseguiría, teniendo en cuenta un rendimiento medio, el nivel homogéneo de conocimiento de la lengua castellana que se estima necesario. En consecuencia, la finalidad de esta determinación no es otra que asegurar ese conocimiento mínimo de la lengua española que corresponde a los poderes públicos garantizar de acuerdo con el art. 3 de la Constitución (STC 88/1983, de 27 de octubre, FJ 4), formando parte, en consecuencia, de la competencia estatal para fijar las enseñanzas mínimas a la que se refiere la disposición adicional primera 2 c) de la Ley Orgánica 8/1985, de 3 de julio, reguladora del derecho a la educación.</w:t>
      </w:r>
    </w:p>
    <w:p w:rsidR="0026452D" w:rsidRDefault="0026452D" w:rsidP="0026452D">
      <w:pPr>
        <w:pStyle w:val="TextoNormal"/>
      </w:pPr>
    </w:p>
    <w:p w:rsidR="0026452D" w:rsidRDefault="0026452D" w:rsidP="0026452D">
      <w:pPr>
        <w:pStyle w:val="TextoNormal"/>
      </w:pPr>
      <w:r>
        <w:t>Problema distinto del examinado hasta ahora es el de si, aun siendo el Estado titular de la competencia para fijar las determinaciones aquí impugnadas, se excedió en el modo de ejercerla por haber dejado, según argumenta la Generalitat, sin contenido la competencia autonómica para definir el currículo que solo le corresponde a ella cuando afecta a la enseñanza de su lengua propia, e impedir con ello el ejercicio de su deber constitucional de garantizar el conocimiento de la lengua catalana que no sólo deriva del Estatuto de Autonomía de Cataluña sino también del art. 3 de la Constitución.</w:t>
      </w:r>
    </w:p>
    <w:p w:rsidR="0026452D" w:rsidRDefault="0026452D" w:rsidP="0026452D">
      <w:pPr>
        <w:pStyle w:val="TextoNormal"/>
      </w:pPr>
    </w:p>
    <w:p w:rsidR="0026452D" w:rsidRDefault="0026452D" w:rsidP="0026452D">
      <w:pPr>
        <w:pStyle w:val="TextoNormal"/>
      </w:pPr>
      <w:r>
        <w:t xml:space="preserve">Ciertamente, tal y como hemos afirmado en la ya tantas veces citada STC 88/1983, de 27 de octubre, FJ 4, del art. 3 de la Constitución deriva el deber constitucional de asegurar el conocimiento tanto del castellano como de la lengua propia de la Comunidad, que tiene carácter de lengua oficial, de modo y manera que “una regulación de los horarios mínimos que no permita una enseñanza eficaz de ambas lenguas incumpliría este deber constitucional que contiene el art. 3 CE”. La Generalitat no ha puesto en duda que la reducción del 10 por 100 de los horarios mínimos sea suficiente para garantizar el conocimiento de su lengua </w:t>
      </w:r>
      <w:r>
        <w:lastRenderedPageBreak/>
        <w:t>propia por lo que como quiera que las determinaciones impugnadas no rebajan o disminuyen el horario escolar a ella destinado, que sigue siendo el 10 por 100, y se limitan a incidir en los criterios que deben tenerse en cuenta para detraer este horario de las materias básicas, no cabe concluir que las determinaciones impugnadas impidan a la Comunidad Autónoma cumplir con su deber de garantizar adecuadamente el conocimiento de la lengua catalana pues, garantizado un horario mínimo para su enseñanza, resulta indiferente a estos efectos la existencia de las reglas impugnadas. A la misma conclusión debe llegarse en relación con la existencia de un límite mínimo de horas impartidas en lengua castellana, en la medida en que la Comunidad Autónoma puede decidir, a la hora de diseñar el currículo, si imparte conjuntamente las estructuras comunes a las dos lenguas, la lengua en que las imparte y, finalmente, en el caso de que se opte por la enseñanza de esas estructuras comunes en lengua distinta de la castellana si lo que resta hasta alcanzar el mínimo de horas exigidas se asignan al área lengua castellana y literatura o a cualquier otra, siempre que se impartan en castellano. Debemos, en consecuencia, desestimar también el conflicto lo que respecta al anexo III del real decreto impugnado.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conflicto positivo de competencia y, en consecuencia, declarar que las competencias controvertidas corresponden al Estado.</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treinta y uno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28" w:name="SENTENCIA_2013_25"/>
      <w:r>
        <w:lastRenderedPageBreak/>
        <w:t>SENTENCIA 25/2013, de 31 de enero de 2013</w:t>
      </w:r>
    </w:p>
    <w:bookmarkEnd w:id="28"/>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ECLI:ES:TC:2013:25</w:t>
      </w:r>
    </w:p>
    <w:p w:rsidR="0026452D" w:rsidRDefault="0026452D" w:rsidP="0026452D">
      <w:pPr>
        <w:pStyle w:val="SntesisDescriptiva"/>
      </w:pPr>
    </w:p>
    <w:p w:rsidR="0026452D" w:rsidRDefault="0026452D" w:rsidP="0026452D">
      <w:pPr>
        <w:pStyle w:val="SntesisDescriptiva"/>
      </w:pPr>
      <w:r>
        <w:t>Conflicto positivo de competencia 3727-2007. Planteado por el Gobierno de la Generalitat de Cataluña en relación con diversos preceptos del Real Decreto 1538/2006, de 15 de diciembre, por el que se establece la ordenación general de la formación profesional del sistema educativo.</w:t>
      </w:r>
    </w:p>
    <w:p w:rsidR="0026452D" w:rsidRDefault="0026452D" w:rsidP="0026452D">
      <w:pPr>
        <w:pStyle w:val="SntesisDescriptiva"/>
      </w:pPr>
    </w:p>
    <w:p w:rsidR="0026452D" w:rsidRDefault="0026452D" w:rsidP="0026452D">
      <w:pPr>
        <w:pStyle w:val="SntesisAnaltica"/>
      </w:pPr>
      <w:r>
        <w:t>Competencias sobre educación: constitucionalidad de los preceptos reglamentarios estatales que regulan los módulos de formación en centros de trabajo y de proyecto (STC 111/2012).</w:t>
      </w:r>
    </w:p>
    <w:p w:rsidR="0026452D" w:rsidRDefault="0026452D" w:rsidP="0026452D">
      <w:pPr>
        <w:pStyle w:val="SntesisAnaltica"/>
      </w:pPr>
    </w:p>
    <w:p w:rsidR="0026452D" w:rsidRDefault="0026452D" w:rsidP="0026452D">
      <w:pPr>
        <w:pStyle w:val="Extracto"/>
      </w:pPr>
      <w:r>
        <w:t>1.</w:t>
      </w:r>
      <w:r>
        <w:tab/>
        <w:t xml:space="preserve">La regulación por el Estado de los módulos profesionales de formación en centros de trabajo  y de proyecto del sistema educativo, así como la programación de los planes de estudio, no constituyen previsiones meramente organizativas, sino que forma parte de los aspectos básicos del currículo que corresponde aprobar al Gobierno de acuerdo con los arts. 6.2 y 39.2 de la Ley Orgánica de Educación, por lo que no cabe apreciar una invasión de la competencia autonómica [FJ 5]. </w:t>
      </w:r>
    </w:p>
    <w:p w:rsidR="0026452D" w:rsidRDefault="0026452D" w:rsidP="0026452D">
      <w:pPr>
        <w:pStyle w:val="Extracto"/>
      </w:pPr>
    </w:p>
    <w:p w:rsidR="0026452D" w:rsidRDefault="0026452D" w:rsidP="0026452D">
      <w:pPr>
        <w:pStyle w:val="Extracto"/>
      </w:pPr>
      <w:r>
        <w:t>2.</w:t>
      </w:r>
      <w:r>
        <w:tab/>
        <w:t xml:space="preserve">El precepto impugnado no regula tanto la fase de formación práctica de formación en centros de trabajo en sí misma considerada, cuanto las condiciones previas que deben reunir los alumnos para acceder a dicha fase, previsión ésta que forma parte de la propia ordenación estructural de las enseñanzas, encuadrable en la competencia estatal para establecer los aspectos básicos del currículo de los estudios de formación profesional (STC 111/2012) [FJ 5]. </w:t>
      </w:r>
    </w:p>
    <w:p w:rsidR="0026452D" w:rsidRDefault="0026452D" w:rsidP="0026452D">
      <w:pPr>
        <w:pStyle w:val="Extracto"/>
      </w:pPr>
    </w:p>
    <w:p w:rsidR="0026452D" w:rsidRDefault="0026452D" w:rsidP="0026452D">
      <w:pPr>
        <w:pStyle w:val="Extracto"/>
      </w:pPr>
      <w:r>
        <w:t>3.</w:t>
      </w:r>
      <w:r>
        <w:tab/>
        <w:t>Aplica la doctrina sobre el encuadramiento competencial de la regulación de la formación profesional del sistema educativo dentro de la materia de educación, competencia compartida entre el Estado y las Comunidades Autonómicas, de la STC 111/2012 [FJ 3].</w:t>
      </w:r>
    </w:p>
    <w:p w:rsidR="0026452D" w:rsidRDefault="0026452D" w:rsidP="0026452D">
      <w:pPr>
        <w:pStyle w:val="Extracto"/>
      </w:pPr>
    </w:p>
    <w:p w:rsidR="0026452D" w:rsidRDefault="0026452D" w:rsidP="0026452D">
      <w:pPr>
        <w:pStyle w:val="Extracto"/>
      </w:pPr>
      <w:r>
        <w:t>4.</w:t>
      </w:r>
      <w:r>
        <w:tab/>
        <w:t>Doctrina sobre la posibilidad de dictar normas básicas de rango reglamentario en el ámbito educativo (SSTC 77/1985, 31/2010, 214/2012) [FJ 4].</w:t>
      </w:r>
    </w:p>
    <w:p w:rsidR="0026452D" w:rsidRDefault="0026452D" w:rsidP="0026452D">
      <w:pPr>
        <w:pStyle w:val="Extracto"/>
      </w:pPr>
    </w:p>
    <w:p w:rsidR="0026452D" w:rsidRDefault="0026452D" w:rsidP="0026452D">
      <w:pPr>
        <w:pStyle w:val="Extracto"/>
      </w:pPr>
      <w:r>
        <w:t>5.</w:t>
      </w:r>
      <w:r>
        <w:tab/>
        <w:t>Doctrina sobre la libertad del legislador estatal para establecer con carácter general, en cada momento, la concreción de lo básico correspondiente a una determinada materia, sin que su acción legislativa en este extremo, plasmación de una legítima opción política, pueda ser fiscalizada por este Tribunal Constitucional, salvo que traspase los límites que para esa acción legislativa resulten del bloque de la constitucionalidad (STC 184/2012) [FJ 4].</w:t>
      </w:r>
    </w:p>
    <w:p w:rsidR="0026452D" w:rsidRDefault="0026452D" w:rsidP="0026452D">
      <w:pPr>
        <w:pStyle w:val="Extracto"/>
      </w:pPr>
    </w:p>
    <w:p w:rsidR="0026452D" w:rsidRDefault="0026452D" w:rsidP="0026452D">
      <w:pPr>
        <w:pStyle w:val="Extracto"/>
      </w:pPr>
      <w:r>
        <w:t>6.</w:t>
      </w:r>
      <w:r>
        <w:tab/>
        <w:t>Doctrina sobre la pérdida o pervivencia del objeto pese a la derogación de la norma en procesos constitucionales de naturaleza competencial, según subsista o no la controversia competencial (STC 204/2012)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3727-2007, promovido por el Gobierno de la Generalitat de Cataluña contra los arts. 11.4, 12.3 y 37.3 del Real Decreto 1538/2006, de 15 de diciembre, por el que se establece la ordenación general de la formación profesional del sistema educativo. Ha formulado alegaciones el Abogado del Estado. Ha sido Ponente el Magistrado don Fernando Valdés Dal-Ré,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25 de abril de 2007, la Abogada de la Generalitat de Cataluña, en representación del Gobierno autonómico, promueve conflicto positivo de competencia contra los arts. 11.4, 12.3 y 37.3 del Real Decreto 1538/2006, de 15 de diciembre, por el que se establece la ordenación general de la formación profesional del sistema educativo. La pretensión instada se apoya, de modo resumido, en los siguientes razonamientos.</w:t>
      </w:r>
    </w:p>
    <w:p w:rsidR="0026452D" w:rsidRDefault="0026452D" w:rsidP="0026452D">
      <w:pPr>
        <w:pStyle w:val="TextoNormal"/>
      </w:pPr>
    </w:p>
    <w:p w:rsidR="0026452D" w:rsidRDefault="0026452D" w:rsidP="0026452D">
      <w:pPr>
        <w:pStyle w:val="TextoNormal"/>
      </w:pPr>
      <w:r>
        <w:t>Como cuestión preliminar, señala que el objeto del conflicto —arts. 11.4, 12.3 y 37.3 del Real Decreto 1538/2006— es de alcance más reducido que el requerimiento previo de incompetencia, por considerar innecesario reiterar la controversia competencial trabada respecto de cuestiones ya sometidas a consideración del Tribunal (concretamente, en el recurso de inconstitucionalidad núm. 4937-2002, contra la Ley Orgánica 5/2002, de 19 de junio, de cualificaciones y de la formación profesional, y el conflicto positivo de competencia núm. 6421-2003, relativo al Real Decreto 942/2003, de 18 de julio, por el que se determinan las condiciones básicas que deben reunir las pruebas para la obtención de los títulos de técnico y técnico superior de formación profesional específica).</w:t>
      </w:r>
    </w:p>
    <w:p w:rsidR="0026452D" w:rsidRDefault="0026452D" w:rsidP="0026452D">
      <w:pPr>
        <w:pStyle w:val="TextoNormal"/>
      </w:pPr>
    </w:p>
    <w:p w:rsidR="0026452D" w:rsidRDefault="0026452D" w:rsidP="0026452D">
      <w:pPr>
        <w:pStyle w:val="TextoNormal"/>
      </w:pPr>
      <w:r>
        <w:t>La competencia que corresponde al Estado para establecer las titulaciones que corresponden a las enseñanzas de formación profesional, y para determinar los aspectos básicos del currículo de cada una de ellas, no le permite regular, con el alcance que se efectúa en esta norma, cómo debe organizarse la formación profesional del sistema educativo.</w:t>
      </w:r>
    </w:p>
    <w:p w:rsidR="0026452D" w:rsidRDefault="0026452D" w:rsidP="0026452D">
      <w:pPr>
        <w:pStyle w:val="TextoNormal"/>
      </w:pPr>
    </w:p>
    <w:p w:rsidR="0026452D" w:rsidRDefault="0026452D" w:rsidP="0026452D">
      <w:pPr>
        <w:pStyle w:val="TextoNormal"/>
      </w:pPr>
      <w:r>
        <w:lastRenderedPageBreak/>
        <w:t>Invoca al respecto el art 131 del Estatuto de Autonomía de Cataluña (EAC), que atribuye a la Generalitat la competencia compartida para establecer los planes de estudio, incluyendo la ordenación curricular (apartado 3 c), y los aspectos organizativos de la educación en régimen no presencial dirigida a los alumnos de edad superior a la de escolarización obligatoria (apartado 2 h).</w:t>
      </w:r>
    </w:p>
    <w:p w:rsidR="0026452D" w:rsidRDefault="0026452D" w:rsidP="0026452D">
      <w:pPr>
        <w:pStyle w:val="TextoNormal"/>
      </w:pPr>
    </w:p>
    <w:p w:rsidR="0026452D" w:rsidRDefault="0026452D" w:rsidP="0026452D">
      <w:pPr>
        <w:pStyle w:val="TextoNormal"/>
      </w:pPr>
      <w:r>
        <w:t>La definición de los aspectos básicos que en este ámbito material tienen por objeto establecer un nivel mínimo de homogeneidad en el sistema educativo ya se encuentra determinada, con carácter general, en la Ley Orgánica 2/2006, de 3 de mayo, de educación, y desarrollada en el capítulo II del Real Decreto 1538/2006, al establecer la regulación, clasificación y estructura de los títulos de formación profesional, aspectos que no son objeto del presente conflicto, y que serán objeto de concreción en las normas que se dicten para regular los respectivos títulos. La configuración material de las bases que se deriva de la jurisprudencia de este Tribunal, y que ha sido recogida en el art. 111 EAC, comporta que no pueda corresponder al Estado llevar a cabo una mayor concreción de esas bases ya establecidas.</w:t>
      </w:r>
    </w:p>
    <w:p w:rsidR="0026452D" w:rsidRDefault="0026452D" w:rsidP="0026452D">
      <w:pPr>
        <w:pStyle w:val="TextoNormal"/>
      </w:pPr>
    </w:p>
    <w:p w:rsidR="0026452D" w:rsidRDefault="0026452D" w:rsidP="0026452D">
      <w:pPr>
        <w:pStyle w:val="TextoNormal"/>
      </w:pPr>
      <w:r>
        <w:t>Según el art. 14 del Real Decreto 1538/2006, respecto de los módulos profesionales, sólo corresponde al Estado la determinación de los objetivos, criterios de evaluación, orientaciones pedagógicas y contenidos básicos del currículo. El contenido general del Real Decreto 1538/2006 encuentra lógico acomodo bajo el título competencial del art. 149.1.30 CE, pero determinados preceptos no responden estrictamente a la finalidad declarada en la propia norma, entrando a regular cuestiones de tipo organizativo que exceden de dicho ámbito, produciéndose una extralimitación competencial en detrimento de la competencia autonómica.</w:t>
      </w:r>
    </w:p>
    <w:p w:rsidR="0026452D" w:rsidRDefault="0026452D" w:rsidP="0026452D">
      <w:pPr>
        <w:pStyle w:val="TextoNormal"/>
      </w:pPr>
    </w:p>
    <w:p w:rsidR="0026452D" w:rsidRDefault="0026452D" w:rsidP="0026452D">
      <w:pPr>
        <w:pStyle w:val="TextoNormal"/>
      </w:pPr>
      <w:r>
        <w:t>Es el caso del art. 11.4, que —cambiando el criterio del art. 42 de la Ley Orgánica de educación, reflejado en el art. 11.3 de la norma impugnada— atribuye al Estado la determinación de los módulos profesionales que deben haber sido superados por el alumno para que pueda realizar el módulo de formación en centros de trabajo. No corresponde al Estado determinar cómo deba temporalizarse este último módulo profesional, agotando con ello la regulación de la organización de los contenidos de cada título, pues esto forma parte de la competencia autonómica para la organización de las correspondientes enseñanzas, como por otra parte reconocían los arts. 11 del Real Decreto 676/1993, de 7 de mayo, y 6.3 del Real Decreto 362/2004, de 5 de marzo, disposiciones ya derogadas.</w:t>
      </w:r>
    </w:p>
    <w:p w:rsidR="0026452D" w:rsidRDefault="0026452D" w:rsidP="0026452D">
      <w:pPr>
        <w:pStyle w:val="TextoNormal"/>
      </w:pPr>
    </w:p>
    <w:p w:rsidR="0026452D" w:rsidRDefault="0026452D" w:rsidP="0026452D">
      <w:pPr>
        <w:pStyle w:val="TextoNormal"/>
      </w:pPr>
      <w:r>
        <w:t>El art. 11.4, abandonando el criterio hasta ese momento seguido por el Estado, incide de esta manera en el ámbito de competencias de la Generalitat, previsto en el art. 131.3 apartados a) y c) EAC.</w:t>
      </w:r>
    </w:p>
    <w:p w:rsidR="0026452D" w:rsidRDefault="0026452D" w:rsidP="0026452D">
      <w:pPr>
        <w:pStyle w:val="TextoNormal"/>
      </w:pPr>
    </w:p>
    <w:p w:rsidR="0026452D" w:rsidRDefault="0026452D" w:rsidP="0026452D">
      <w:pPr>
        <w:pStyle w:val="TextoNormal"/>
      </w:pPr>
      <w:r>
        <w:t>En el mismo exceso competencial incurre el art. 12.3 al regular los módulos profesionales de proyecto, determinando cómo deben organizarse los estudios y privando a la Generalitat de su competencia para establecer, de acuerdo con la estructura y con los aspectos básicos del currículo, la organización de los estudios de formación profesional que se imparten en Cataluña. Al determinar el momento en que debe cursarse el módulo profesional de proyecto (durante el último período del ciclo formativo), y prescribir que debe ser evaluado una vez cursado el módulo profesional en centros de trabajo, el precepto impugnado establece previsiones de carácter organizativo que entran en el ámbito de la competencia autonómica para la programación de los planes de estudio.</w:t>
      </w:r>
    </w:p>
    <w:p w:rsidR="0026452D" w:rsidRDefault="0026452D" w:rsidP="0026452D">
      <w:pPr>
        <w:pStyle w:val="TextoNormal"/>
      </w:pPr>
    </w:p>
    <w:p w:rsidR="0026452D" w:rsidRDefault="0026452D" w:rsidP="0026452D">
      <w:pPr>
        <w:pStyle w:val="TextoNormal"/>
      </w:pPr>
      <w:r>
        <w:t>También en este caso, las previsiones del real decreto impugnado se apartan del criterio seguido en normativa anterior, citándose al respecto el Real Decreto 1659/1994, de 22 de julio, en relación con el módulo profesional de carácter transversal denominado proyecto empresarial del título de técnico superior en administración y finanzas.</w:t>
      </w:r>
    </w:p>
    <w:p w:rsidR="0026452D" w:rsidRDefault="0026452D" w:rsidP="0026452D">
      <w:pPr>
        <w:pStyle w:val="TextoNormal"/>
      </w:pPr>
    </w:p>
    <w:p w:rsidR="0026452D" w:rsidRDefault="0026452D" w:rsidP="0026452D">
      <w:pPr>
        <w:pStyle w:val="TextoNormal"/>
      </w:pPr>
      <w:r>
        <w:t>Concluye que el art. 12.3 impide a la Generalitat de Cataluña el ejercicio de sus competencias en materia de ordenación de la formación profesional.</w:t>
      </w:r>
    </w:p>
    <w:p w:rsidR="0026452D" w:rsidRDefault="0026452D" w:rsidP="0026452D">
      <w:pPr>
        <w:pStyle w:val="TextoNormal"/>
      </w:pPr>
    </w:p>
    <w:p w:rsidR="0026452D" w:rsidRDefault="0026452D" w:rsidP="0026452D">
      <w:pPr>
        <w:pStyle w:val="TextoNormal"/>
      </w:pPr>
      <w:r>
        <w:t>El artículo 37.3, al atribuir al Estado la decisión relativa a la determinación de los módulos que se ofertan con carácter presencial o a distancia, decisión que viene condicionada por aspectos de carácter pedagógico pero que reúne también un elevado componente de carácter organizativo, supone una injerencia en la competencia autonómica relativa a la ordenación y programación de los estudios de formación profesional, y en general a la organización de la oferta educativa en su territorio, que le viene atribuida por el art. 131 apartados 2 y 3 c) EAC.</w:t>
      </w:r>
    </w:p>
    <w:p w:rsidR="0026452D" w:rsidRDefault="0026452D" w:rsidP="0026452D">
      <w:pPr>
        <w:pStyle w:val="TextoNormal"/>
      </w:pPr>
    </w:p>
    <w:p w:rsidR="0026452D" w:rsidRDefault="0026452D" w:rsidP="0026452D">
      <w:pPr>
        <w:pStyle w:val="TextoNormal"/>
      </w:pPr>
      <w:r>
        <w:t>Admitiendo que el art. 37.3 se refiere de forma genérica a la norma que regule cada título de formación profesional, sin efectuar una atribución directa del ejercicio de esa función al Gobierno, por lo que podría entenderse que, en una interpretación conforme con el sistema de distribución de competencias, tal remisión se efectúa a las normas de desarrollo aprobadas por las Comunidades Autónomas, señala que tal interpretación fue rechazada en la contestación al requerimiento de incompetencia, negando a la Generalitat la capacidad de decidir en esta materia.</w:t>
      </w:r>
    </w:p>
    <w:p w:rsidR="0026452D" w:rsidRDefault="0026452D" w:rsidP="0026452D">
      <w:pPr>
        <w:pStyle w:val="TextoNormal"/>
      </w:pPr>
    </w:p>
    <w:p w:rsidR="0026452D" w:rsidRDefault="0026452D" w:rsidP="0026452D">
      <w:pPr>
        <w:pStyle w:val="TextoNormal"/>
      </w:pPr>
      <w:r>
        <w:t>Nuevamente, se insiste en que tal atribución al Estado supone un cambio de criterio respecto de la normativa anterior, citando al respecto los Reales Decretos 676/1993, de 7 de mayo, y 362/2004, de 5 de marzo, así como la normativa autonómica dictada en su desarrollo, que implantó con carácter experimental la oferta de formación profesional a distancia para determinados ciclos de formación profesional, sin que fuera cuestionada por el Estado, y la normativa estatal de 1992 que estableció la modalidad a distancia para determinados ciclos formativos, aplicable sólo al ámbito de gestión que en aquel momento correspondía al Ministerio de Educación, sin pretensión de vincular, como norma de carácter básico, a las Comunidades Autónomas.</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5 de junio de 2007, el Pleno de este Tribunal acordó admitir a trámite el conflicto positivo de competencia en relación con los arts. 11.4, 12.3 y 37.3 del Real Decreto 1538/2006, de 15 de diciembre, por el que se establece la ordenación general de la formación profesional del sistema educativo. Se ordenó, igualmente, dar traslado de la demanda y documentos presentados al Gobierno de la Nación, por conducto de su Presidente, al objeto de que en el plazo de veinte días y, por medio de la representación procesal que determina el art. 82.2 de la Ley Orgánica del Tribunal Constitucional (LOTC), aporte cuantos documentos y alegaciones considere convenientes. Se acordó asimismo comunicar la incoación del conflicto a la Sala de lo Contencioso-Administrativo del Tribunal Supremo, por si ante la misma estuvieran impugnados o se impugnaren los citados preceptos, en cuyo caso se suspendería el curso del proceso hasta la decisión del conflicto, según dispone el art. 61.2 LOTC. Por último, se acordó su publicación en los diarios oficiales, estatal y autonómico.</w:t>
      </w:r>
    </w:p>
    <w:p w:rsidR="0026452D" w:rsidRDefault="0026452D" w:rsidP="0026452D">
      <w:pPr>
        <w:pStyle w:val="TextoNormal"/>
      </w:pPr>
    </w:p>
    <w:p w:rsidR="0026452D" w:rsidRDefault="0026452D" w:rsidP="0026452D">
      <w:pPr>
        <w:pStyle w:val="TextoNormal"/>
      </w:pPr>
      <w:r w:rsidRPr="0026452D">
        <w:rPr>
          <w:rStyle w:val="NumeroAFNegritaCaracter"/>
        </w:rPr>
        <w:t>3</w:t>
      </w:r>
      <w:r>
        <w:t>. Mediante escrito presentado el 19 de junio de 2007 la Abogada del Estado, en la representación que legalmente ostenta, solicitó prórroga del plazo inicialmente concedido para formular alegaciones, prórroga que le fue concedida por providencia del Pleno de 20 de junio de 2007. La Abogada del Estado presentó su escrito de alegaciones el 23 de julio de 2007, instando la desestimación del conflicto con base en los razonamientos que exponemos a continuación.</w:t>
      </w:r>
    </w:p>
    <w:p w:rsidR="0026452D" w:rsidRDefault="0026452D" w:rsidP="0026452D">
      <w:pPr>
        <w:pStyle w:val="TextoNormal"/>
      </w:pPr>
    </w:p>
    <w:p w:rsidR="0026452D" w:rsidRDefault="0026452D" w:rsidP="0026452D">
      <w:pPr>
        <w:pStyle w:val="TextoNormal"/>
      </w:pPr>
      <w:r>
        <w:t>Como cuestión preliminar, señala que los preceptos objeto del conflicto —arts. 11.4, 12.3 y 37.3 del Real Decreto 1538/2006— no resultan coincidentes con los del requerimiento previo de incompetencia efectuado por el Gobierno de la Generalitat, por lo ya expuesto en el antecedente primero.</w:t>
      </w:r>
    </w:p>
    <w:p w:rsidR="0026452D" w:rsidRDefault="0026452D" w:rsidP="0026452D">
      <w:pPr>
        <w:pStyle w:val="TextoNormal"/>
      </w:pPr>
    </w:p>
    <w:p w:rsidR="0026452D" w:rsidRDefault="0026452D" w:rsidP="0026452D">
      <w:pPr>
        <w:pStyle w:val="TextoNormal"/>
      </w:pPr>
      <w:r>
        <w:t>Hace referencia a las alegaciones formuladas en los recursos de inconstitucionalidad núms. 4937-2002 y 5305-2002 en defensa de la Ley Orgánica 5/2002, de 19 de junio, de las cualificaciones y de la formación profesional, que se reputan igualmente válidas para justificar la correcta invocación del art. 149.1.1 y 30 CE, como títulos competenciales habilitantes de la competencia estatal para regular la ordenación general de la formación profesional del sistema educativo, y señala que la demanda circunscribe el conflicto a un reproche puramente material, en cuanto los preceptos impugnados habrían excedido el ámbito de lo básico que corresponde al Estado, olvidando que la exclusiva competencia estatal de regulación de la formación profesional en el ámbito del sistema educativo no es sino una particularización de la competencia estatal general de “ordenación del sistema educativo”, en preservación de su unicidad, que enlaza especialmente con la competencia exclusiva estatal para la regulación de la obtención, expedición y homologación de los títulos académicos y profesionales, válidos en todo el territorio español. La fijación de los aspectos básicos del currículo de las titulaciones correspondientes a los estudios de formación profesional constituye un punto capital en la ordenación del sistema educativo, condición necesaria de la existencia misma de un único sistema educativo español y de su ordenación general por el Estado, lo que no es sino otro modo de expresar la función del Estado como garante de la igualdad del ejercicio del derecho fundamental a la educación en todo el territorio español, mediante la regulación de las condiciones básicas. Tal fijación enlaza además con otra competencia exclusiva estatal, la de regular la obtención, expedición y homologación de títulos académicos y profesionales [art. 149.1.30 CE y disposición adicional primera, apartado 2 c), de la Ley Orgánica 8/1985, de 3 de julio, reguladora del derecho a la educación].</w:t>
      </w:r>
    </w:p>
    <w:p w:rsidR="0026452D" w:rsidRDefault="0026452D" w:rsidP="0026452D">
      <w:pPr>
        <w:pStyle w:val="TextoNormal"/>
      </w:pPr>
    </w:p>
    <w:p w:rsidR="0026452D" w:rsidRDefault="0026452D" w:rsidP="0026452D">
      <w:pPr>
        <w:pStyle w:val="TextoNormal"/>
      </w:pPr>
      <w:r>
        <w:t>Antes de entrar en el examen individualizado de los preceptos impugnados, afirma que ninguno de ellos excede de la competencia estatal, debiendo ser considerados condiciones básicas desde el punto de vista material de acuerdo con la doctrina constitucional, ya que no descienden a un nivel de detalle o minuciosidad que impida el ejercicio de la competencia autonómica, y están basados en razones justificadas, por resultar necesarias al fin pretendido. La competencia estatal no se agota en la regulación contenida en la Ley Orgánica 2/2006, de educación, que en su propio articulado remite al Gobierno la fijación de los aspectos básicos del currículo que constituyen las enseñanzas mínimas (arts. 6.2 y 39.6), y además se extiende a cada una de las materias enumeradas en la disposición adicional primera, apartado 2, de la Ley Orgánica 8/1985, reguladora del derecho a la educación. A partir de tal habilitación, la cuestión por tanto radica en determinar si el Gobierno ha respetado los requisitos materiales que la doctrina constitucional impone a lo básico.</w:t>
      </w:r>
    </w:p>
    <w:p w:rsidR="0026452D" w:rsidRDefault="0026452D" w:rsidP="0026452D">
      <w:pPr>
        <w:pStyle w:val="TextoNormal"/>
      </w:pPr>
    </w:p>
    <w:p w:rsidR="0026452D" w:rsidRDefault="0026452D" w:rsidP="0026452D">
      <w:pPr>
        <w:pStyle w:val="TextoNormal"/>
      </w:pPr>
      <w:r>
        <w:t>El art. 11.4 resulta razonable al establecer como mínimo normativo la necesidad de superar determinados módulos profesionales para poder cursar el módulo de formación en centros de trabajo, delimitando el contenido básico que garantiza la formación común que permite la obtención de un determinado título de formación profesional. Por otra parte, señala que la Comunidad Autónoma puede modular esta previsión, determinando una temporalidad distinta a la establecida con carácter general, en caso de que se haya obtenido evaluación positiva en todos los módulos profesionales realizados en el centro educativo, según dispone el art. 11.3.</w:t>
      </w:r>
    </w:p>
    <w:p w:rsidR="0026452D" w:rsidRDefault="0026452D" w:rsidP="0026452D">
      <w:pPr>
        <w:pStyle w:val="TextoNormal"/>
      </w:pPr>
    </w:p>
    <w:p w:rsidR="0026452D" w:rsidRDefault="0026452D" w:rsidP="0026452D">
      <w:pPr>
        <w:pStyle w:val="TextoNormal"/>
      </w:pPr>
      <w:r>
        <w:t>No puede por tanto decirse que la norma niegue toda flexibilidad a las Comunidades Autónomas, privándolas de su competencia para organizar los estudios correspondientes, sin que el legislador básico predetermine ningún aspecto organizativo. Será la normativa de desarrollo autonómica la que, una vez superado el mínimo de módulos fijado con carácter básico, determine la temporalidad que corresponda al módulo profesional de formación en centros de trabajo.</w:t>
      </w:r>
    </w:p>
    <w:p w:rsidR="0026452D" w:rsidRDefault="0026452D" w:rsidP="0026452D">
      <w:pPr>
        <w:pStyle w:val="TextoNormal"/>
      </w:pPr>
    </w:p>
    <w:p w:rsidR="0026452D" w:rsidRDefault="0026452D" w:rsidP="0026452D">
      <w:pPr>
        <w:pStyle w:val="TextoNormal"/>
      </w:pPr>
      <w:r>
        <w:t>El art. 12.3 contiene previsiones temporales de carácter básico, teniendo en cuenta que el módulo profesional de proyecto pasa a formar parte de las enseñanzas mínimas atribuidas a los ciclos formativos de grado superior (art. 12.1), tratando de asegurar, como se establece expresamente, la incorporación de las competencias adquiridas en el período de prácticas en la empresa, que no podría tener lugar si no se garantizase que dicho módulo se realiza al final del ciclo formativo y se evalúa una vez cursado el módulo profesional de formación en centros de trabajo.</w:t>
      </w:r>
    </w:p>
    <w:p w:rsidR="0026452D" w:rsidRDefault="0026452D" w:rsidP="0026452D">
      <w:pPr>
        <w:pStyle w:val="TextoNormal"/>
      </w:pPr>
    </w:p>
    <w:p w:rsidR="0026452D" w:rsidRDefault="0026452D" w:rsidP="0026452D">
      <w:pPr>
        <w:pStyle w:val="TextoNormal"/>
      </w:pPr>
      <w:r>
        <w:t>Es precisamente la integración a la que se dirige el módulo profesional de proyecto, que implica una progresiva acumulación de capacidades y conocimientos, la que permite (de superarse dicho módulo) la obtención de una titulación académica, por lo que resulta indudable su conexión con el art. 149.1.30 CE, en cuanto reserva al Estado la competencia de ordenación de las condiciones de obtención, expedición y homologación de los títulos académicos y profesionales. Son por tanto aspectos básicos tanto el momento de realización del módulo profesional de proyecto como el momento de su evaluación.</w:t>
      </w:r>
    </w:p>
    <w:p w:rsidR="0026452D" w:rsidRDefault="0026452D" w:rsidP="0026452D">
      <w:pPr>
        <w:pStyle w:val="TextoNormal"/>
      </w:pPr>
    </w:p>
    <w:p w:rsidR="0026452D" w:rsidRDefault="0026452D" w:rsidP="0026452D">
      <w:pPr>
        <w:pStyle w:val="TextoNormal"/>
      </w:pPr>
      <w:r>
        <w:t xml:space="preserve">Por otra parte, el carácter organizativo de una medida no sustrae necesariamente a ésta de la competencia estatal, constituyendo los aspectos organizativos de los módulos mínimos normativos con una clara eficacia </w:t>
      </w:r>
      <w:r w:rsidRPr="0026452D">
        <w:rPr>
          <w:i/>
        </w:rPr>
        <w:t>ad extra</w:t>
      </w:r>
      <w:r>
        <w:t xml:space="preserve"> en su funcionamiento, en tanto que afectan a los derechos e intereses de los aspirantes a la obtención del título, lo que justifica su naturaleza básica (STC 50/1999, de 6 de abril, FJ 3).</w:t>
      </w:r>
    </w:p>
    <w:p w:rsidR="0026452D" w:rsidRDefault="0026452D" w:rsidP="0026452D">
      <w:pPr>
        <w:pStyle w:val="TextoNormal"/>
      </w:pPr>
    </w:p>
    <w:p w:rsidR="0026452D" w:rsidRDefault="0026452D" w:rsidP="0026452D">
      <w:pPr>
        <w:pStyle w:val="TextoNormal"/>
      </w:pPr>
      <w:r>
        <w:t>La fijación de los módulos profesionales que podrán ser ofertados a distancia, a la que se refiere el art. 37.3, forma parte de las condiciones básicas para la obtención del título académico, al objeto de garantizar que los alumnos que los superen adquieran las capacidades que les permitan desarrollar la competencia general correspondiente a la cualificación objeto de los estudios realizados.</w:t>
      </w:r>
    </w:p>
    <w:p w:rsidR="0026452D" w:rsidRDefault="0026452D" w:rsidP="0026452D">
      <w:pPr>
        <w:pStyle w:val="TextoNormal"/>
      </w:pPr>
    </w:p>
    <w:p w:rsidR="0026452D" w:rsidRDefault="0026452D" w:rsidP="0026452D">
      <w:pPr>
        <w:pStyle w:val="TextoNormal"/>
      </w:pPr>
      <w:r>
        <w:t xml:space="preserve">En todo caso, de no estimarse el carácter básico del precepto, no puede ignorarse que, como reconoce el propio escrito de demanda, al remitirse a la norma que regule cada título, </w:t>
      </w:r>
      <w:r>
        <w:lastRenderedPageBreak/>
        <w:t>el precepto ha de calificarse como competencialmente inocuo, no constituyendo una norma atributiva de competencias, y teniendo su impugnación carácter preventivo.</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29 de enero de 2013 se acordó señalar para deliberación y votación de la presente Sentencia el día 31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 instado por el Gobierno de la Generalitat de Cataluña contra los arts. 11.4, 12.3 y 37.3 del Real Decreto 1538/2006, de 15 de diciembre, por el que se establece la ordenación general de la formación profesional del sistema educativo.</w:t>
      </w:r>
    </w:p>
    <w:p w:rsidR="0026452D" w:rsidRDefault="0026452D" w:rsidP="0026452D">
      <w:pPr>
        <w:pStyle w:val="TextoNormal"/>
      </w:pPr>
    </w:p>
    <w:p w:rsidR="0026452D" w:rsidRDefault="0026452D" w:rsidP="0026452D">
      <w:pPr>
        <w:pStyle w:val="TextoNormal"/>
      </w:pPr>
      <w:r>
        <w:t>Sostiene la Generalitat de Cataluña que, si bien el contenido general del Real Decreto 1538/2006 encuentra lógico acomodo bajo el título competencial del art. 149.1.30 CE, determinados preceptos no responden estrictamente a la finalidad declarada en la propia norma, entrando a regular cuestiones de tipo organizativo que exceden de dicho ámbito, produciéndose así una extralimitación competencial en detrimento de la competencia autonómica.</w:t>
      </w:r>
    </w:p>
    <w:p w:rsidR="0026452D" w:rsidRDefault="0026452D" w:rsidP="0026452D">
      <w:pPr>
        <w:pStyle w:val="TextoNormal"/>
      </w:pPr>
    </w:p>
    <w:p w:rsidR="0026452D" w:rsidRDefault="0026452D" w:rsidP="0026452D">
      <w:pPr>
        <w:pStyle w:val="TextoNormal"/>
      </w:pPr>
      <w:r>
        <w:t>Por su parte, la Abogada del Estado defiende la competencia estatal para dictar las disposiciones objeto del conflicto, con base en los títulos competenciales recogidos en el art. 149.1.30 CE, que habilitan al Estado tanto para regular la condiciones de obtención, expedición y homologación de títulos académicos y profesionales como para dictar las normas básicas para el desarrollo del artículo 27 CE.</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examinar el fondo de las cuestiones planteadas, es preciso determinar si pervive la disputa competencial trabada en torno a los preceptos impugnados del Real Decreto 1538/2006, teniendo en cuenta que éste ha quedado íntegramente derogado por el Real Decreto 1147/2011, de 29 de julio, por el que se establece la ordenación general de la formación profesional del sistema educativo, pues, como hemos venido afirmando reiteradamente,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204/2012, de 5 de julio, FJ 2 b)].</w:t>
      </w:r>
    </w:p>
    <w:p w:rsidR="0026452D" w:rsidRDefault="0026452D" w:rsidP="0026452D">
      <w:pPr>
        <w:pStyle w:val="TextoNormal"/>
      </w:pPr>
    </w:p>
    <w:p w:rsidR="0026452D" w:rsidRDefault="0026452D" w:rsidP="0026452D">
      <w:pPr>
        <w:pStyle w:val="TextoNormal"/>
      </w:pPr>
      <w:r>
        <w:t>De acuerdo con este criterio, resulta clara la pervivencia del objeto en lo que se refiere a los arts. 11.4 y 12.3, ya que, con algunos matices en la redacción, los arts. 25.4 y 26.2 del Real Decreto 1147/2011 mantienen la competencia estatal para decidir acerca de las cuestiones que han sido controvertidas en el presente proceso constitucional.</w:t>
      </w:r>
    </w:p>
    <w:p w:rsidR="0026452D" w:rsidRDefault="0026452D" w:rsidP="0026452D">
      <w:pPr>
        <w:pStyle w:val="TextoNormal"/>
      </w:pPr>
    </w:p>
    <w:p w:rsidR="0026452D" w:rsidRDefault="0026452D" w:rsidP="0026452D">
      <w:pPr>
        <w:pStyle w:val="TextoNormal"/>
      </w:pPr>
      <w:r>
        <w:t xml:space="preserve">No es éste sin embargo el caso del art. 37.3, que, al regular la oferta de enseñanzas de formación profesional a distancia, reenvía a la norma específica reguladora de cada título la </w:t>
      </w:r>
      <w:r>
        <w:lastRenderedPageBreak/>
        <w:t>determinación de los módulos profesionales susceptibles de ser ofertados en esta modalidad no presencial. Tal previsión ha sido suprimida en la nueva regulación de las enseñanzas de formación profesional a distancia contenida en los arts. 49 y 50 del Real Decreto 1147/2011, motivo por el cual cabe concluir que ha cesado la controversia competencial trabada en torno este precepto, máxime cuando tampoco se aprecia que lo dispuesto en el mismo se haya irradiado a las normas reguladoras de los distintos títulos de formación profesional dictadas durante su vigencia, toda vez que la cláusula habitual contenida en las mismas se limita a disponer al respecto que los módulos profesionales que forman las enseñanzas del correspondiente ciclo formativo podrán ofertarse a distancia, siempre que se garantice que el alumno puede conseguir los resultados de aprendizaje de los mismos, correspondiendo a las Administraciones educativas adoptar las medidas necesarias.</w:t>
      </w:r>
    </w:p>
    <w:p w:rsidR="0026452D" w:rsidRDefault="0026452D" w:rsidP="0026452D">
      <w:pPr>
        <w:pStyle w:val="TextoNormal"/>
      </w:pPr>
    </w:p>
    <w:p w:rsidR="0026452D" w:rsidRDefault="0026452D" w:rsidP="0026452D">
      <w:pPr>
        <w:pStyle w:val="TextoNormal"/>
      </w:pPr>
      <w:r w:rsidRPr="0026452D">
        <w:rPr>
          <w:rStyle w:val="NumeroAFNegritaCaracter"/>
        </w:rPr>
        <w:t>3</w:t>
      </w:r>
      <w:r>
        <w:t>. Delimitado así el objeto del conflicto, para establecer su encuadramiento en el orden constitucional de distribución de competencias procede remitirse a la STC 111/2012, de 24 de mayo, recaída en los recursos de inconstitucionalidad 4937-2002 y 5305-2002, interpuestos por el Gobierno de la Generalitat de Cataluña y el Parlamento de Cataluña contra la Ley Orgánica 5/2002, de 19 de junio, de las cualificaciones y de la formación profesional.</w:t>
      </w:r>
    </w:p>
    <w:p w:rsidR="0026452D" w:rsidRDefault="0026452D" w:rsidP="0026452D">
      <w:pPr>
        <w:pStyle w:val="TextoNormal"/>
      </w:pPr>
    </w:p>
    <w:p w:rsidR="0026452D" w:rsidRDefault="0026452D" w:rsidP="0026452D">
      <w:pPr>
        <w:pStyle w:val="TextoNormal"/>
      </w:pPr>
      <w:r>
        <w:t>Dicha STC 111/2012 confirma el encuadramiento propuesto por las partes, según el cual la regulación de la formación profesional del sistema educativo constituye un ámbito que, en lo que concierne a la distribución de competencias, se rige por lo dispuesto en el art. 149.1.1 y 30 CE. En síntesis, en esta Sentencia hemos reiterado que la educación es “una materia compartida entre el Estado y las Comunidades Autónomas (por todas, STC 6/1982, de 22 de febrero, FJ 3), y que las competencias del Estado en materia educativa derivan, sobre todo, de lo dispuesto en las cláusulas 1 y 30 del art. 149.1 CE (STC 77/1985, de 27 de junio, FJ 15), arraigando dichas competencias en el derecho fundamental a la educación (art. 27 CE), cuyo ejercicio igualitario debe garantizar el Estado (STC 6/1982, FJ 3). El título específico que ostenta el Estado hace pasar a un segundo plano, como han reconocido las partes, el alcance de la cláusula general del art. 149.1.1 CE (STC 137/1986, de 6 de noviembre, FJ 3), que se proyecta de un modo genérico sobre todos los derechos fundamentales (STC 188/2001, de 20 de septiembre, FJ 6). Pues bien, el art. 149.1.30 CE atribuye al Estado dos competencias diferenciadas que, de acuerdo con nuestra doctrina, presentan un distinto alcance. En primer lugar, le reconoce competencia exclusiva para la ‘[r]egulación de las condiciones de obtención, expedición y homologación de títulos académicos y profesionales’, mientras que, en su segundo inciso, le asigna competencia sobre las ‘normas básicas para el desarrollo del artículo 27 de la Constitución, a fin de garantizar el cumplimiento de las obligaciones de los poderes públicos en esta materia’.” (FJ 5).</w:t>
      </w:r>
    </w:p>
    <w:p w:rsidR="0026452D" w:rsidRDefault="0026452D" w:rsidP="0026452D">
      <w:pPr>
        <w:pStyle w:val="TextoNormal"/>
      </w:pPr>
    </w:p>
    <w:p w:rsidR="0026452D" w:rsidRDefault="0026452D" w:rsidP="0026452D">
      <w:pPr>
        <w:pStyle w:val="TextoNormal"/>
      </w:pPr>
      <w:r>
        <w:t xml:space="preserve">Respecto del primero de dichos ámbitos, “la extensión de esta competencia estatal exclusiva, que supone la reserva al Estado de toda la función normativa en relación con dicho sector (STC 77/1985, de 27 de junio, FJ 15), determina que las Comunidades Autónomas sólo puedan asumir competencias ejecutivas en relación con esta materia, y, en este sentido, el art. 131.4 del Estatuto de Autonomía de Cataluña (EAC) establece que ‘[c]orresponde a la Generalitat, en materia de enseñanza no universitaria, la competencia ejecutiva sobre la expedición y homologación de los títulos académicos y profesionales estatales’.” (FJ 5). Pero también hemos advertido que “debe ser objeto de interpretación estricta, ciñendo su campo de aplicación sólo a lo que tenga una relación directa con la obtención, expedición y </w:t>
      </w:r>
      <w:r>
        <w:lastRenderedPageBreak/>
        <w:t>homologación de títulos”, sin que el hecho de que la formación profesional reglada conduzca a la obtención de un título autorice, sin más, a incardinar toda la materia en el primer inciso del art. 149.1.30 CE. La educación “presenta diversos aspectos en cuya regulación deben participar necesariamente los niveles de gobierno estatal y autonómico”, y por esa razón el Estado no se puede reservar toda la función normativa en relación con la formación profesional reglada, acaparando “todo el desarrollo de una materia al socaire de un título competencial específico, cercenando las posibilidades de intervención normativa de las Comunidades Autónomas en el ejercicio de sus legítimas competencias” (FJ 12).</w:t>
      </w:r>
    </w:p>
    <w:p w:rsidR="0026452D" w:rsidRDefault="0026452D" w:rsidP="0026452D">
      <w:pPr>
        <w:pStyle w:val="TextoNormal"/>
      </w:pPr>
    </w:p>
    <w:p w:rsidR="0026452D" w:rsidRDefault="0026452D" w:rsidP="0026452D">
      <w:pPr>
        <w:pStyle w:val="TextoNormal"/>
      </w:pPr>
      <w:r>
        <w:t>Específicamente, en el FJ 12 c) de esta Sentencia hemos descartado que la regulación relativa a la realización de prácticas profesionales de los alumnos de formación profesional reglada en empresas u otras entidades tenga fundamento en la competencia exclusiva estatal relativa a los títulos académicos y profesionales, por carecer de esa relación directa que hemos reclamado con las condiciones para su obtención, expedición y homologación. Tal criterio resulta directamente aplicable al enjuiciamiento del art. 11.4 del Real Decreto 1538/2006 aquí controvertido, que precisamente regula aspectos relativos al denominado “módulo de formación en centros de trabajo” en que se traducen tales prácticas.</w:t>
      </w:r>
    </w:p>
    <w:p w:rsidR="0026452D" w:rsidRDefault="0026452D" w:rsidP="0026452D">
      <w:pPr>
        <w:pStyle w:val="TextoNormal"/>
      </w:pPr>
    </w:p>
    <w:p w:rsidR="0026452D" w:rsidRDefault="0026452D" w:rsidP="0026452D">
      <w:pPr>
        <w:pStyle w:val="TextoNormal"/>
      </w:pPr>
      <w:r>
        <w:t>E idéntico razonamiento y conclusión debemos hacer ahora respecto del art. 12.3, porque tampoco es posible establecer esa relación directa respecto de la regulación del denominado “módulo profesional de proyecto”, que forma parte, como el primero de los citados, de los módulos profesionales (o áreas de conocimiento teórico-práctico) en que se organizan los ciclos formativos que ordenan las enseñanzas conducentes a la obtención de los títulos de formación profesional (arts. 4.4, 8.1 y 9.1 del Real Decreto 1538/2006). Dispone, ciertamente, el art. 12.4 del Real Decreto 1538/2006 que la superación del módulo profesional de proyecto será necesaria para la obtención del título; pero ello no hace sino confirmar lo dispuesto en el art. 8.4, a cuyo tenor la superación de un ciclo formativo requerirá la evaluación positiva en todos los módulos profesionales que lo componen. En definitiva, esta regla responde a lo dispuesto por el art. 44 de la Ley Orgánica 2/2006, de 3 de mayo, de educación, que exige la superación de las enseñanzas de formación profesional de grado medio o grado superior para la obtención del título de técnico o técnico superior, respectivamente, añadiendo que los alumnos que no superen en su totalidad las enseñanzas de cada uno de los ciclos formativos recibirán un certificado académico de los módulos superados que tendrá efectos de acreditación parcial acumulable de las competencias profesionales adquiridas en relación con el sistema nacional de cualificaciones y formación profesional. Las exigencias relativas a la superación del módulo profesional de proyecto, o a cualquier otro, no son por tanto condiciones específicamente anudadas a la obtención del correspondiente título académico, sino que forman parte del inexcusable proceso de superación del conjunto de las enseñanzas teórico-prácticas que conforman el ciclo formativo.</w:t>
      </w:r>
    </w:p>
    <w:p w:rsidR="0026452D" w:rsidRDefault="0026452D" w:rsidP="0026452D">
      <w:pPr>
        <w:pStyle w:val="TextoNormal"/>
      </w:pPr>
    </w:p>
    <w:p w:rsidR="0026452D" w:rsidRDefault="0026452D" w:rsidP="0026452D">
      <w:pPr>
        <w:pStyle w:val="TextoNormal"/>
      </w:pPr>
      <w:r>
        <w:t xml:space="preserve">Debemos, en consecuencia, encuadrar las cuestiones controvertidas en el segundo de los ámbitos del art. 149.1.30 CE, conforme al cual, continúa la STC 111/2012, “corresponde también al Estado, en virtud del art. 149.1.30 CE, la competencia para dictar las normas básicas para el desarrollo del art. 27 CE, que debe entenderse, según hemos afirmado, en el sentido de que incumbe al Estado ‘la función de definir los principios normativos y generales y uniformes de ordenación de las materias enunciadas en tal art. 27 de la CE’ (STC 77/1985, de 27 de junio, FJ 15)”, añadiendo que “en la configuración de ese sistema educativo han de participar necesariamente los niveles de gobierno estatal y autonómico, de </w:t>
      </w:r>
      <w:r>
        <w:lastRenderedPageBreak/>
        <w:t>acuerdo con sus competencias” (FJ 5), Hemos precisado, por último, que las competencias estatales “deben ejercerse ‘de forma suficientemente amplia y flexible como para permitir que las Comunidades Autónomas con competencias normativas en la materia puedan adoptar sus propias alternativas políticas en función de sus circunstancias específicas’ (STC 131/1996, de 11 de julio, FJ 3)” [FJ 12 b)].</w:t>
      </w:r>
    </w:p>
    <w:p w:rsidR="0026452D" w:rsidRDefault="0026452D" w:rsidP="0026452D">
      <w:pPr>
        <w:pStyle w:val="TextoNormal"/>
      </w:pPr>
    </w:p>
    <w:p w:rsidR="0026452D" w:rsidRDefault="0026452D" w:rsidP="0026452D">
      <w:pPr>
        <w:pStyle w:val="TextoNormal"/>
      </w:pPr>
      <w:r>
        <w:t>Por lo que se refiere a las competencias de la Generalitat de Cataluña, siempre según la STC 111/2012, “su vigente Estatuto de Autonomía le ha atribuido en su art. 131, en materia de enseñanza no universitaria, ‘la competencia exclusiva sobre las enseñanzas postobligatorias que no conduzcan a la obtención de título o certificación académica o profesional con validez en todo el Estado y sobre los centros docentes en que se impartan estas enseñanzas’ (apartado 1), así como la competencia exclusiva respecto de ‘las enseñanzas obligatorias y no obligatorias que conducen a la obtención de un título académico o profesional con validez en todo el Estado y a las enseñanzas de educación infantil’, competencia exclusiva que incluye una serie de potestades especificadas en ocho subapartados (apartado 2). En este caso, ‘[s]e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(STC 31/2010, de 28 de junio, FJ 77). Por último, el apartado 3 del mismo precepto atribuye a la Generalitat una competencia compartida ‘[e]n lo no regulado en el apartado 2 y en relación con las enseñanzas que en él se contemplan’, y ‘respetando los aspectos esenciales del derecho a la educación y a la libertad de enseñanza en materia de enseñanza no universitaria y de acuerdo con lo dispuesto en el artículo 149.1.30 de la Constitución’. Esta competencia también incluye en una decena de subapartados la enunciación de una serie de facultades concretas que corresponden a la Generalitat. Esta competencia compartida tiene el alcance determinado por el art. 111 EAC, según el pronunciamiento contenido en el fundamento jurídico 60 de la STC 31/2010, en el que se describen las facultades comprendidas en la competencia de desarrollo de las bases estatales, precepto que, una vez suprimido el inciso declarado inconstitucional en dicha Sentencia por introducir una definición de las bases que incidía sobre el ámbito competencial del Estado, ‘se limita a describir correctamente las facultades comprendidas en la competencia de desarrollo de unas bases estatales cuyo contenido y alcance serán siempre, y sólo, las que se desprenden de la Constitución interpretada por este Tribunal’.” (FJ 5).</w:t>
      </w:r>
    </w:p>
    <w:p w:rsidR="0026452D" w:rsidRDefault="0026452D" w:rsidP="0026452D">
      <w:pPr>
        <w:pStyle w:val="TextoNormal"/>
      </w:pPr>
    </w:p>
    <w:p w:rsidR="0026452D" w:rsidRDefault="0026452D" w:rsidP="0026452D">
      <w:pPr>
        <w:pStyle w:val="TextoNormal"/>
      </w:pPr>
      <w:r w:rsidRPr="0026452D">
        <w:rPr>
          <w:rStyle w:val="NumeroAFNegritaCaracter"/>
        </w:rPr>
        <w:t>4</w:t>
      </w:r>
      <w:r>
        <w:t>. En el ámbito que de este modo delimita los contornos generales de la competencia compartida en materia de educación, no puede prosperar el argumento esgrimido por la Generalitat de Cataluña para sostener la existencia de una invasión competencial —argumento común a los preceptos impugnados—, que de forma un tanto apriorística limita la competencia estatal a lo determinado en la Ley Orgánica de educación y a lo desarrollado en los preceptos no impugnados del capítulo II del Real Decreto 1538/2006.</w:t>
      </w:r>
    </w:p>
    <w:p w:rsidR="0026452D" w:rsidRDefault="0026452D" w:rsidP="0026452D">
      <w:pPr>
        <w:pStyle w:val="TextoNormal"/>
      </w:pPr>
    </w:p>
    <w:p w:rsidR="0026452D" w:rsidRDefault="0026452D" w:rsidP="0026452D">
      <w:pPr>
        <w:pStyle w:val="TextoNormal"/>
      </w:pPr>
      <w:r>
        <w:t xml:space="preserve">Tal argumento, basado esencialmente en la invocación del art. 111 EAC, debe decaer tanto por lo que sobre este precepto estatutario determinamos en la STC 31/2010, de 28 de junio, FJ 60, antes mencionada, como por nuestra doctrina específica sobre la posibilidad de dictar normas básicas de rango reglamentario en el ámbito educativo. En efecto, como hemos confirmado en la STC 184/2012, de 17 de octubre, FJ 3, y reiterado en las SSTC </w:t>
      </w:r>
      <w:r>
        <w:lastRenderedPageBreak/>
        <w:t>212/2012, 213/2012 y 214/2012, todas ellas de 14 de noviembre, “ya en la STC 77/1985 admitimos tal posibilidad, estimando que la regulación reglamentaria de materias básicas por parte del Gobierno ‘resultaría acorde con los preceptos constitucionales si, primeramente, resultara de una habilitación legal, y, en segundo lugar, si su rango reglamentario viniera justificado por tratarse de materias cuya naturaleza exigiera un tratamiento para el que las normas legales resultaran inadecuadas por sus mismas características’ (FJ 15), sin perjuicio de advertir que ‘si el Gobierno, al dictar las correspondientes normas reglamentarias en virtud de esa remisión, extendiera su regulación a aspectos no básicos o no cubiertos por la habilitación legal, que pretendiera fueran de aplicación directa en el ámbito de las Comunidades Autónomas que hubieran asumido competencias de desarrollo en esta materia, estas Comunidades Autónomas podrían, de ser así y en cada caso, plantear el oportuno conflicto de competencias ante este Tribunal Constitucional, que debería, en cada supuesto, examinar si se hubiera producido o no el traspaso del ámbito competencial estatal.’ (FJ 16)”</w:t>
      </w:r>
    </w:p>
    <w:p w:rsidR="0026452D" w:rsidRDefault="0026452D" w:rsidP="0026452D">
      <w:pPr>
        <w:pStyle w:val="TextoNormal"/>
      </w:pPr>
    </w:p>
    <w:p w:rsidR="0026452D" w:rsidRDefault="0026452D" w:rsidP="0026452D">
      <w:pPr>
        <w:pStyle w:val="TextoNormal"/>
      </w:pPr>
      <w:r>
        <w:t>Por otra parte, en la misma STC 184/2012 hemos dado respuesta a otra línea argumental común a las alegaciones de la Comunidad recurrente, basada en el cambio de criterio que los preceptos impugnados suponen respecto de la normativa estatal anterior, que vienen a sustituir. En cuanto a la variabilidad de las bases estatales, y con abundante cita de nuestra anterior jurisprudencia, dijimos entonces que, “sin alterar el orden constitucional y estatutario de distribución de competencias y con observancia de las garantías de certidumbre jurídica necesarias para asegurar que las Comunidades Autónomas puedan conocer cuál es el marco básico al que deben someter su competencia de desarrollo legislativo, la concreción de lo básico corresponde realizarla en cada momento al legislador estatal, quien, respetando aquel orden y estas garantías, goza de libertad para establecer con carácter general las bases de una determinada materia, sin que su acción legislativa en este extremo, plasmación de una legítima opción política, pueda ser fiscalizada por este Tribunal Constitucional, que no es un juez de la oportunidad, salvo que traspase los límites que para esa acción legislativa resulten del bloque de la constitucionalidad” (FJ 3).</w:t>
      </w:r>
    </w:p>
    <w:p w:rsidR="0026452D" w:rsidRDefault="0026452D" w:rsidP="0026452D">
      <w:pPr>
        <w:pStyle w:val="TextoNormal"/>
      </w:pPr>
    </w:p>
    <w:p w:rsidR="0026452D" w:rsidRDefault="0026452D" w:rsidP="0026452D">
      <w:pPr>
        <w:pStyle w:val="TextoNormal"/>
      </w:pPr>
      <w:r w:rsidRPr="0026452D">
        <w:rPr>
          <w:rStyle w:val="NumeroAFNegritaCaracter"/>
        </w:rPr>
        <w:t>5</w:t>
      </w:r>
      <w:r>
        <w:t>. Una vez descartado que tales argumentos puedan sustentar la invasión de competencias que se reprocha a los preceptos impugnados, procede entrar a su examen singular, a fin de determinar si los mismos se acomodan a las exigencias que debe cumplir la normativa básica de rango reglamentario, de acuerdo con la jurisprudencia de este Tribunal, anteriormente citada.</w:t>
      </w:r>
    </w:p>
    <w:p w:rsidR="0026452D" w:rsidRDefault="0026452D" w:rsidP="0026452D">
      <w:pPr>
        <w:pStyle w:val="TextoNormal"/>
      </w:pPr>
    </w:p>
    <w:p w:rsidR="0026452D" w:rsidRDefault="0026452D" w:rsidP="0026452D">
      <w:pPr>
        <w:pStyle w:val="TextoNormal"/>
      </w:pPr>
      <w:r>
        <w:t>a) El art. 11 del Real Decreto 1538/2006 regula el módulo profesional de formación en centros de trabajo, que debe incluirse en el currículo de los ciclos formativos, prescribiendo que debe cursarse, con carácter general, una vez alcanzada la evaluación positiva en todos los módulos profesionales realizados en el centro educativo, si bien el apartado 3 prevé la posibilidad de que las Administraciones educativas determinen una diferente temporalidad, en función del tipo de oferta, de las características propias de cada ciclo formativo y de la disponibilidad de puestos formativos en las empresas.</w:t>
      </w:r>
    </w:p>
    <w:p w:rsidR="0026452D" w:rsidRDefault="0026452D" w:rsidP="0026452D">
      <w:pPr>
        <w:pStyle w:val="TextoNormal"/>
      </w:pPr>
    </w:p>
    <w:p w:rsidR="0026452D" w:rsidRDefault="0026452D" w:rsidP="0026452D">
      <w:pPr>
        <w:pStyle w:val="TextoNormal"/>
      </w:pPr>
      <w:r>
        <w:t>Dicha flexibilidad, no obstante, queda limitada en la norma de cierre del precepto, el impugnado apartado 4, que remite a los reales decretos que establezcan cada uno de los títulos de formación profesional la determinación de los módulos profesionales que, al menos, deben haberse superado para realizar el módulo de formación en centros de trabajo.</w:t>
      </w:r>
    </w:p>
    <w:p w:rsidR="0026452D" w:rsidRDefault="0026452D" w:rsidP="0026452D">
      <w:pPr>
        <w:pStyle w:val="TextoNormal"/>
      </w:pPr>
    </w:p>
    <w:p w:rsidR="0026452D" w:rsidRDefault="0026452D" w:rsidP="0026452D">
      <w:pPr>
        <w:pStyle w:val="TextoNormal"/>
      </w:pPr>
      <w:r>
        <w:lastRenderedPageBreak/>
        <w:t>El precepto se dicta, como expresamente indica su apartado 1, en cumplimiento del art. 42.2 de la Ley Orgánica de educación, que, tras establecer que el currículo de las enseñanzas de formación profesional incluirá una fase de formación práctica en los centros de trabajo, de la que podrán quedar exentos quienes acrediten una experiencia laboral que se corresponda con los estudios profesionales cursados, remite a las “Administraciones educativas” la regulación tanto de la mencionada fase como de su exención. En la tantas veces citada STC 111/2012, ya señalamos que “el art. 42.2 de la Ley Orgánica de educación se limita a señalar que ‘[e]l currículo de las enseñanzas de formación profesional incluirá una fase de formación práctica en los centros de trabajo’, correspondiendo su regulación a las Administraciones educativas y no de manera exclusiva al Gobierno” [FJ 12 c)].</w:t>
      </w:r>
    </w:p>
    <w:p w:rsidR="0026452D" w:rsidRDefault="0026452D" w:rsidP="0026452D">
      <w:pPr>
        <w:pStyle w:val="TextoNormal"/>
      </w:pPr>
    </w:p>
    <w:p w:rsidR="0026452D" w:rsidRDefault="0026452D" w:rsidP="0026452D">
      <w:pPr>
        <w:pStyle w:val="TextoNormal"/>
      </w:pPr>
      <w:r>
        <w:t>En todo caso, sin desconocer que la expresión “Administraciones educativas” no resulta del todo precisa a la hora de determinar si el precepto legal ha pretendido habilitar al Gobierno para un desarrollo básico de esta fase, o se remite directamente a la normativa autonómica de desarrollo, pues tal expresión no es unívoca en el conjunto de la Ley Orgánica de educación, lo relevante aquí es reparar en que el precepto impugnado no regula tanto la fase de formación práctica de formación en centros de trabajo (o módulo profesional de formación en centros de trabajo), en sí misma considerada, cuanto las condiciones previas que, desde el punto de vista estrictamente formativo, deben reunir los alumnos para acceder a dicha fase.</w:t>
      </w:r>
    </w:p>
    <w:p w:rsidR="0026452D" w:rsidRDefault="0026452D" w:rsidP="0026452D">
      <w:pPr>
        <w:pStyle w:val="TextoNormal"/>
      </w:pPr>
    </w:p>
    <w:p w:rsidR="0026452D" w:rsidRDefault="0026452D" w:rsidP="0026452D">
      <w:pPr>
        <w:pStyle w:val="TextoNormal"/>
      </w:pPr>
      <w:r>
        <w:t>Frente a la tesis sostenida por el Gobierno de la Generalitat de Cataluña, una previsión de estas características no puede ser considerada como atinente a la mera organización de las enseñanzas, sino que forma parte de la propia ordenación estructural de las mismas, con objetivos claramente pedagógicos, puesto que, como es lugar común, el orden temporal en la adquisición de conocimientos resulta consustancial al normal desenvolvimiento de cualquier proceso educativo. La estructura modular de las enseñanzas de formación profesional del sistema educativo dota a las mismas, sin duda, de un amplio margen de flexibilidad en su organización e impartición, pero esta característica no está en modo alguno reñida con la determinación básica de los mínimos estructurales tendentes a asegurar la adecuada transición dentro de cada ciclo formativo, como reclama el art. 3.1 de la Ley Orgánica de educación, y responde en definitiva a la competencia estatal para establecer los aspectos básicos del currículo de los estudios de formación profesional, de conformidad con lo dispuesto por los arts. 6.2 y 39.2 de la Ley Orgánica de educación.</w:t>
      </w:r>
    </w:p>
    <w:p w:rsidR="0026452D" w:rsidRDefault="0026452D" w:rsidP="0026452D">
      <w:pPr>
        <w:pStyle w:val="TextoNormal"/>
      </w:pPr>
    </w:p>
    <w:p w:rsidR="0026452D" w:rsidRDefault="0026452D" w:rsidP="0026452D">
      <w:pPr>
        <w:pStyle w:val="TextoNormal"/>
      </w:pPr>
      <w:r>
        <w:t>Por otra parte, de la lectura del precepto se desprende con claridad que estamos ante condiciones mínimas, susceptibles de desarrollo por la normativa autonómica, por lo que debemos concluir que el art. 11.4 se acomoda a las exigencias que sobre la normativa básica ha establecido la jurisprudencia de este Tribunal.</w:t>
      </w:r>
    </w:p>
    <w:p w:rsidR="0026452D" w:rsidRDefault="0026452D" w:rsidP="0026452D">
      <w:pPr>
        <w:pStyle w:val="TextoNormal"/>
      </w:pPr>
    </w:p>
    <w:p w:rsidR="0026452D" w:rsidRDefault="0026452D" w:rsidP="0026452D">
      <w:pPr>
        <w:pStyle w:val="TextoNormal"/>
      </w:pPr>
      <w:r>
        <w:t>b) Del art. 12, que regula el módulo profesional de proyecto, se impugna su apartado 3, según el cual dicho módulo “se realizará durante el último período del ciclo formativo y se evaluará una vez cursado el módulo profesional de centros de trabajo, con objeto de posibilitar la incorporación en el mismo de las competencias adquiridas en el período de prácticas en empresa”.</w:t>
      </w:r>
    </w:p>
    <w:p w:rsidR="0026452D" w:rsidRDefault="0026452D" w:rsidP="0026452D">
      <w:pPr>
        <w:pStyle w:val="TextoNormal"/>
      </w:pPr>
    </w:p>
    <w:p w:rsidR="0026452D" w:rsidRDefault="0026452D" w:rsidP="0026452D">
      <w:pPr>
        <w:pStyle w:val="TextoNormal"/>
      </w:pPr>
      <w:r>
        <w:t xml:space="preserve">Según dispone el apartado 2 del mismo precepto, tal módulo, incorporado a los ciclos formativos de grado superior, tiene por objeto “la integración de las diversas capacidades y </w:t>
      </w:r>
      <w:r>
        <w:lastRenderedPageBreak/>
        <w:t>conocimientos del currículo del ciclo formativo”, de lo que resulta corolario imprescindible su realización y evaluación en la secuencia cronológica fijada con carácter básico por el precepto impugnado, pues difícilmente podría alcanzarse ese resultado integrador de las capacidades y conocimientos previamente adquiridos, en particular durante el período de prácticas en la empresa, si fuera otro el orden temporal. O dicho de otro modo, la hipotética alteración del orden temporal previsto en el art. 12.3 frustraría, como resulta evidente, la finalidad que persigue la norma básica al incorporar y regular este módulo a los ciclos formativos de grado superior, y por esta razón, como en el supuesto anterior, hemos de concluir que no estamos ante una previsión meramente organizativa, sino que forma parte de los aspectos básicos del currículo que corresponde aprobar al Gobierno de acuerdo con los arts. 6.2 y 39.2 de la Ley Orgánica de Educación, en la que no cabe apreciar una invasión de la competencia autonómica.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conflicto positivo de competencia.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treinta y uno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29" w:name="SENTENCIA_2013_26"/>
      <w:r>
        <w:lastRenderedPageBreak/>
        <w:t>SENTENCIA 26/2013, de 31 de enero de 2013</w:t>
      </w:r>
    </w:p>
    <w:bookmarkEnd w:id="29"/>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49, de 26 de febrero de 2013)</w:t>
      </w:r>
    </w:p>
    <w:p w:rsidR="0026452D" w:rsidRDefault="0026452D" w:rsidP="0026452D">
      <w:pPr>
        <w:pStyle w:val="TtuloBOE"/>
      </w:pPr>
    </w:p>
    <w:p w:rsidR="0026452D" w:rsidRDefault="0026452D" w:rsidP="0026452D">
      <w:pPr>
        <w:pStyle w:val="SntesisDescriptiva"/>
      </w:pPr>
      <w:r>
        <w:t>ECLI:ES:TC:2013:26</w:t>
      </w:r>
    </w:p>
    <w:p w:rsidR="0026452D" w:rsidRDefault="0026452D" w:rsidP="0026452D">
      <w:pPr>
        <w:pStyle w:val="SntesisDescriptiva"/>
      </w:pPr>
    </w:p>
    <w:p w:rsidR="0026452D" w:rsidRDefault="0026452D" w:rsidP="0026452D">
      <w:pPr>
        <w:pStyle w:val="SntesisDescriptiva"/>
      </w:pPr>
      <w:r>
        <w:t>Conflicto positivo de competencia 9077-2008. Planteado por el Gobierno de la Generalitat de Cataluña con respecto a la Orden TIN/2158/2008, de 18 de julio, por la que se establecen las bases reguladoras para la concesión de las subvenciones a entidades locales para el desarrollo de programas innovadores a favor de la integración de inmigrantes, y la resolución de 11 de agosto de 2008, de la Dirección General de Integración de los Inmigrantes, por la que se convoca la concesión de subvenciones a municipios, mancomunidades de municipios y comarcas para el desarrollo de programas innovadores a favor de la integración de inmigrantes.</w:t>
      </w:r>
    </w:p>
    <w:p w:rsidR="0026452D" w:rsidRDefault="0026452D" w:rsidP="0026452D">
      <w:pPr>
        <w:pStyle w:val="SntesisDescriptiva"/>
      </w:pPr>
    </w:p>
    <w:p w:rsidR="0026452D" w:rsidRDefault="0026452D" w:rsidP="0026452D">
      <w:pPr>
        <w:pStyle w:val="SntesisAnaltica"/>
      </w:pPr>
      <w:r>
        <w:t>Competencias sobre condiciones básicas de igualdad, inmigración, hacienda general, régimen jurídico de las Administraciones públicas y asistencia social: disposiciones reglamentarias estatales que vulneran las competencias autonómicas de gestión de las subvenciones (SSTC 13/1992 y 178/2011).</w:t>
      </w:r>
    </w:p>
    <w:p w:rsidR="0026452D" w:rsidRDefault="0026452D" w:rsidP="0026452D">
      <w:pPr>
        <w:pStyle w:val="SntesisAnaltica"/>
      </w:pPr>
    </w:p>
    <w:p w:rsidR="0026452D" w:rsidRDefault="0026452D" w:rsidP="0026452D">
      <w:pPr>
        <w:pStyle w:val="Extracto"/>
      </w:pPr>
      <w:r>
        <w:t>1.</w:t>
      </w:r>
      <w:r>
        <w:tab/>
        <w:t>Aplica doctrina sobre el encuadramiento de las de subvenciones que tienen por objeto el fomento de la integración de los inmigrantes en la materia asistencia social, de la STC 227/2012 [FFJJ 5, 6, 7].</w:t>
      </w:r>
    </w:p>
    <w:p w:rsidR="0026452D" w:rsidRDefault="0026452D" w:rsidP="0026452D">
      <w:pPr>
        <w:pStyle w:val="Extracto"/>
      </w:pPr>
    </w:p>
    <w:p w:rsidR="0026452D" w:rsidRDefault="0026452D" w:rsidP="0026452D">
      <w:pPr>
        <w:pStyle w:val="Extracto"/>
      </w:pPr>
      <w:r>
        <w:t>2.</w:t>
      </w:r>
      <w:r>
        <w:tab/>
        <w:t>Doctrina sobre la delimitación competencial entre el Estado y las Comunidades Autónomas en cuanto al ejercicio de la potestad subvencional de gasto público (STC 13/1992) [FFJJ 5, 6, 7].</w:t>
      </w:r>
    </w:p>
    <w:p w:rsidR="0026452D" w:rsidRDefault="0026452D" w:rsidP="0026452D">
      <w:pPr>
        <w:pStyle w:val="Extracto"/>
      </w:pPr>
    </w:p>
    <w:p w:rsidR="0026452D" w:rsidRDefault="0026452D" w:rsidP="0026452D">
      <w:pPr>
        <w:pStyle w:val="Extracto"/>
      </w:pPr>
      <w:r>
        <w:t>3.</w:t>
      </w:r>
      <w:r>
        <w:tab/>
        <w:t>Puesto que la Comunidad Autónoma ostenta una competencia exclusiva sobre asistencia social y el Estado no ha invocado título competencial suficiente, genérico o específico, sobre la misma, no se cumple la premisa exigida por nuestra doctrina para justificar su gestión centralizada (STC 13/1992) [FJ 7].</w:t>
      </w:r>
    </w:p>
    <w:p w:rsidR="0026452D" w:rsidRDefault="0026452D" w:rsidP="0026452D">
      <w:pPr>
        <w:pStyle w:val="Extracto"/>
      </w:pPr>
    </w:p>
    <w:p w:rsidR="0026452D" w:rsidRDefault="0026452D" w:rsidP="0026452D">
      <w:pPr>
        <w:pStyle w:val="Extracto"/>
      </w:pPr>
      <w:r>
        <w:t>4.</w:t>
      </w:r>
      <w:r>
        <w:tab/>
        <w:t>Doctrina sobre el alcance de la potestad subvencional en el ámbito de la asistencia social (SSTC 178/2011, 227/2012) [FJ 7].</w:t>
      </w:r>
    </w:p>
    <w:p w:rsidR="0026452D" w:rsidRDefault="0026452D" w:rsidP="0026452D">
      <w:pPr>
        <w:pStyle w:val="Extracto"/>
      </w:pPr>
    </w:p>
    <w:p w:rsidR="0026452D" w:rsidRDefault="0026452D" w:rsidP="0026452D">
      <w:pPr>
        <w:pStyle w:val="Extracto"/>
      </w:pPr>
      <w:r>
        <w:t>5.</w:t>
      </w:r>
      <w:r>
        <w:tab/>
        <w:t>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(STC 138/2009) [FJ 3].</w:t>
      </w:r>
    </w:p>
    <w:p w:rsidR="0026452D" w:rsidRDefault="0026452D" w:rsidP="0026452D">
      <w:pPr>
        <w:pStyle w:val="Extracto"/>
      </w:pPr>
    </w:p>
    <w:p w:rsidR="0026452D" w:rsidRDefault="0026452D" w:rsidP="0026452D">
      <w:pPr>
        <w:pStyle w:val="Extracto"/>
      </w:pPr>
      <w:r>
        <w:t>6.</w:t>
      </w:r>
      <w:r>
        <w:tab/>
        <w:t>Doctrina sobre la pervivencia o pérdida del objeto pese a la derogación de la norma en procesos constitucionales de naturaleza competencial, según subsista o no la controversia competencial (SSTC 18/2001, 133/2012) [FJ 2].</w:t>
      </w:r>
    </w:p>
    <w:p w:rsidR="0026452D" w:rsidRDefault="0026452D" w:rsidP="0026452D">
      <w:pPr>
        <w:pStyle w:val="Extracto"/>
      </w:pPr>
    </w:p>
    <w:p w:rsidR="0026452D" w:rsidRDefault="0026452D" w:rsidP="0026452D">
      <w:pPr>
        <w:pStyle w:val="Extracto"/>
      </w:pPr>
      <w:r>
        <w:lastRenderedPageBreak/>
        <w:t>7.</w:t>
      </w:r>
      <w:r>
        <w:tab/>
        <w:t>El conflicto no ha perdido objeto pese a que la norma haya agotado ya sus efectos, pues excluir del examen constitucional los casos de normas con vigencia temporal limitada, sería tanto como negar la posibilidad de control por este Tribunal Constitucional de dichas normas, creándose así un ámbito normativo, estatal o autonómico, inmune al control de la jurisdicción constitucional [FJ 2].</w:t>
      </w:r>
    </w:p>
    <w:p w:rsidR="0026452D" w:rsidRDefault="0026452D" w:rsidP="0026452D">
      <w:pPr>
        <w:pStyle w:val="Extracto"/>
      </w:pPr>
    </w:p>
    <w:p w:rsidR="0026452D" w:rsidRDefault="0026452D" w:rsidP="0026452D">
      <w:pPr>
        <w:pStyle w:val="Extracto"/>
      </w:pPr>
      <w:r>
        <w:t>8.</w:t>
      </w:r>
      <w:r>
        <w:tab/>
        <w:t>Procede declarar la inconstitucionalidad de la resolución impugnada en su totalidad, por corresponder a la Comunidad Autónoma la competencia para realizar la convocatoria de las subvenciones, así como de los artículos de la orden impugnada referentes a la gestión de las subvenciones y de aquellos otros que rebasan lo que conforme a nuestra doctrina constituyen aspectos centrales del régimen subvencional, por vulnerar las competencias de la Comunidad Autónoma de Cataluña en materia de asistencia social [FJ 8].</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9077-2008 promovido por la Letrada de la Generalitat de Cataluña, en representación de su Gobierno, contra la Orden TIN/2158/2008, de 18 de julio, por la que se establecen las bases reguladoras para la concesión de las subvenciones a entidades locales para el desarrollo de programas innovadores a favor de la integración de inmigrantes, y contra la resolución de 11 de agosto de 2008, de la Dirección General de Integración de los Inmigrantes, por la que se convoca la concesión de subvenciones a municipios, mancomunidades de municipios y comarcas para el desarrollo de programas innovadores a favor de la integración de inmigrantes. Ha intervenido y formulado alegaciones la Abogacía del Estado en la representación que legalmente ostenta. Ha sido Ponente el Magistrado don Francisco Pérez de los Cobos Orihuel,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registrado en este Tribunal con fecha 20 de noviembre de 2008 la Letrada de la Generalitat de Cataluña, en representación de su Gobierno, formalizó ante el Tribunal conflicto positivo de competencia contra la Orden TIN/2158/2008, de 18 de julio, </w:t>
      </w:r>
      <w:r>
        <w:lastRenderedPageBreak/>
        <w:t>por la que se establecen las bases reguladoras para la concesión de las subvenciones a entidades locales para el desarrollo de programas innovadores a favor de la integración de inmigrantes, y contra la resolución de 11 de agosto de 2008, de la Dirección General de Integración de los Inmigrantes, por la que se convoca la concesión de subvenciones a municipios, mancomunidades de municipios y comarcas para el desarrollo de programas innovadores a favor de la integración de inmigrantes.</w:t>
      </w:r>
    </w:p>
    <w:p w:rsidR="0026452D" w:rsidRDefault="0026452D" w:rsidP="0026452D">
      <w:pPr>
        <w:pStyle w:val="TextoNormal"/>
      </w:pPr>
    </w:p>
    <w:p w:rsidR="0026452D" w:rsidRDefault="0026452D" w:rsidP="0026452D">
      <w:pPr>
        <w:pStyle w:val="TextoNormal"/>
      </w:pPr>
      <w:r>
        <w:t>Los términos del conflicto, según resulta del escrito de interposición y de la documentación adjunta, se exponen a continuación.</w:t>
      </w:r>
    </w:p>
    <w:p w:rsidR="0026452D" w:rsidRDefault="0026452D" w:rsidP="0026452D">
      <w:pPr>
        <w:pStyle w:val="TextoNormal"/>
      </w:pPr>
    </w:p>
    <w:p w:rsidR="0026452D" w:rsidRDefault="0026452D" w:rsidP="0026452D">
      <w:pPr>
        <w:pStyle w:val="TextoNormal"/>
      </w:pPr>
      <w:r>
        <w:t>a) Comienza la representación de la Generalitat aludiendo al requerimiento de incompetencia que el Consejo Ejecutivo de la Generalitat dirigió al Gobierno de la Nación en relación con las referidas orden y resolución en el que se solicitaba su derogación por invasión de sus competencias exclusivas en materia de integración social de los inmigrantes y la más genérica en materia de asistencia social, así como la vulneración de las previsiones del art. 114 del Estatuto de Autonomía de Cataluña. Requerimiento que fue rechazado.</w:t>
      </w:r>
    </w:p>
    <w:p w:rsidR="0026452D" w:rsidRDefault="0026452D" w:rsidP="0026452D">
      <w:pPr>
        <w:pStyle w:val="TextoNormal"/>
      </w:pPr>
    </w:p>
    <w:p w:rsidR="0026452D" w:rsidRDefault="0026452D" w:rsidP="0026452D">
      <w:pPr>
        <w:pStyle w:val="TextoNormal"/>
      </w:pPr>
      <w:r>
        <w:t>A continuación, prosigue el escrito de la representante de la Generalitat señalando que su Gobierno ha planteado varios conflictos positivos de competencias en materia de subvenciones para fines de asistencia social. Más concretamente ha planteado los conflictos positivos de competencias frente a la Orden TAS/893/2005, de 17 de marzo, por la que se establecían las bases reguladoras para la concesión de subvenciones sometidas al régimen general de subvenciones del área de servicios sociales, familias y discapacidad, del Ministerio de Trabajo y Asuntos Sociales y del Instituto de Mayores y Servicios Sociales; frente a la Orden TAS/1948/2005, de 8 de junio, por la que se establecían las bases reguladoras y se convocaba para el año 2005 la concesión de subvenciones para el desarrollo de proyectos de innovación en los servicios sociales y frente a la Orden TAS/3441/2005, de 2 de noviembre, por la que se establecen las bases reguladoras y se convoca, para el año 2005, la concesión de subvenciones a municipios y mancomunidades de municipios para el desarrollo de programas innovadores a favor de la integración de inmigrantes; cuyas argumentaciones resultarían extrapolables a la presente controversia.</w:t>
      </w:r>
    </w:p>
    <w:p w:rsidR="0026452D" w:rsidRDefault="0026452D" w:rsidP="0026452D">
      <w:pPr>
        <w:pStyle w:val="TextoNormal"/>
      </w:pPr>
    </w:p>
    <w:p w:rsidR="0026452D" w:rsidRDefault="0026452D" w:rsidP="0026452D">
      <w:pPr>
        <w:pStyle w:val="TextoNormal"/>
      </w:pPr>
      <w:r>
        <w:t>La Orden TAS/3441/2005 resulta, según el escrito de la representante de la Generalitat, coincidente con la que es objeto de la presente controversia, aunque en el presente supuesto se haya efectuado separadamente la regulación de las bases para la concesión de subvenciones y su convocatoria.</w:t>
      </w:r>
    </w:p>
    <w:p w:rsidR="0026452D" w:rsidRDefault="0026452D" w:rsidP="0026452D">
      <w:pPr>
        <w:pStyle w:val="TextoNormal"/>
      </w:pPr>
    </w:p>
    <w:p w:rsidR="0026452D" w:rsidRDefault="0026452D" w:rsidP="0026452D">
      <w:pPr>
        <w:pStyle w:val="TextoNormal"/>
      </w:pPr>
      <w:r>
        <w:t xml:space="preserve">Por otra parte, la representante de la Generalitat menciona el conflicto positivo de competencia núm. 7625-2006, planteado por el Gobierno de la Generalitat en relación con la Orden TAS/892/2006, de 23 de marzo, por la que se establecen las bases reguladoras y se convoca la concesión de subvenciones para la realización de programas de cooperación y voluntariado sociales con cargo a la asignación tributaria del impuesto sobre la renta de las personas físicas. El mencionado conflicto positivo de competencia sigue la línea iniciada en su día por el Gobierno de la Generalitat al interponer el recurso de inconstitucionalidad núm. 1932-2004, en relación con -entre otros preceptos y partidas- la disposición adicional decimotercera de la Ley 61/2003, de 30 de diciembre, de presupuestos generales del Estado para el año 2004, que establecía la cuantía mínima a destinar en dicho ejercicio para subvenciones de interés social con cargo al 0,5239 por 100 de la cuota íntegra del impuesto sobre la </w:t>
      </w:r>
      <w:r>
        <w:lastRenderedPageBreak/>
        <w:t>renta de las personas físicas, en tanto la misma no efectuaba ni preveía la correspondiente territorialización a las Comunidades Autónomas.</w:t>
      </w:r>
    </w:p>
    <w:p w:rsidR="0026452D" w:rsidRDefault="0026452D" w:rsidP="0026452D">
      <w:pPr>
        <w:pStyle w:val="TextoNormal"/>
      </w:pPr>
    </w:p>
    <w:p w:rsidR="0026452D" w:rsidRDefault="0026452D" w:rsidP="0026452D">
      <w:pPr>
        <w:pStyle w:val="TextoNormal"/>
      </w:pPr>
      <w:r>
        <w:t>Igualmente recuerda el conflicto positivo de competencia que se ha planteado en relación con la resolución de 14 de julio de 2008, de la Dirección General de Inmigración, por la que se convocan subvenciones públicas para la habilitación de plazas de alojamiento, subvenciones de gestión centralizada cuyo objeto se inscribe también en el ámbito de la asistencia social, dirigida específicamente al colectivo de inmigrantes.</w:t>
      </w:r>
    </w:p>
    <w:p w:rsidR="0026452D" w:rsidRDefault="0026452D" w:rsidP="0026452D">
      <w:pPr>
        <w:pStyle w:val="TextoNormal"/>
      </w:pPr>
    </w:p>
    <w:p w:rsidR="0026452D" w:rsidRDefault="0026452D" w:rsidP="0026452D">
      <w:pPr>
        <w:pStyle w:val="TextoNormal"/>
      </w:pPr>
      <w:r>
        <w:t>b) Señalado lo anterior, examina el escrito de la representante de la Generalitat la jurisprudencia del Tribunal Constitucional en materia de asistencia social y, en concreto, la jurisprudencia sobre la actividad de fomento en dicha materia competencial.</w:t>
      </w:r>
    </w:p>
    <w:p w:rsidR="0026452D" w:rsidRDefault="0026452D" w:rsidP="0026452D">
      <w:pPr>
        <w:pStyle w:val="TextoNormal"/>
      </w:pPr>
    </w:p>
    <w:p w:rsidR="0026452D" w:rsidRDefault="0026452D" w:rsidP="0026452D">
      <w:pPr>
        <w:pStyle w:val="TextoNormal"/>
      </w:pPr>
      <w:r>
        <w:t>Se destaca que las Comunidades Autónomas han asumido competencias en materia de asistencia social, si bien, al tiempo, se recuerda que el Tribunal Constitucional habría reconocido la posibilidad de que el Estado intervenga en aquella bajo determinadas condiciones. Así, se refiere el escrito de la representante de la Generalitat a las SSTC 76/1986, de 9 de junio; 146/1986, de 19 de diciembre; 13/1992, de 6 de febrero; y 239/2002, de 28 de enero, en las que, tras afirmar que la “asistencia social” es competencia exclusiva de la Comunidad Autónoma, se estableció que no obstante, el Estado, en la medida que existan problemas sociales peculiares que requieran y exijan un planteamiento global, puede intervenir al respecto, también mediante medidas de fomento, pero respetando las competencias propias de la Comunidad Autónoma. Distingue el recurrente estas medidas de fomento de aquellas otras como las pensiones asistenciales que son igualmente competencias del Estado.</w:t>
      </w:r>
    </w:p>
    <w:p w:rsidR="0026452D" w:rsidRDefault="0026452D" w:rsidP="0026452D">
      <w:pPr>
        <w:pStyle w:val="TextoNormal"/>
      </w:pPr>
    </w:p>
    <w:p w:rsidR="0026452D" w:rsidRDefault="0026452D" w:rsidP="0026452D">
      <w:pPr>
        <w:pStyle w:val="TextoNormal"/>
      </w:pPr>
      <w:r>
        <w:t>Diferencia, así, el representante del Gobierno de la Generalitat entre dos supuestos de actuación estatal en materia de asistencia social: el supuesto que busca asegurar, mediante pensiones asistenciales, un mínimo vital a los ciudadanos que garantice la uniformidad de sus condiciones de vida (STC 13/1992, de 6 de febrero, FJ 14), esta actuación del Estado encuentra apoyo competencial en el art. 149.1.1 CE; y el supuesto que busca paliar, a través de medidas de fomento, situaciones de necesidad específicas, en la medida que existan problemas sociales peculiares que requieran y exijan un planteamiento global (STC 146/1986, de 19 de diciembre, FJ 3), esta actuación del Estado sólo es constitucionalmente legítima en la medida en que los programas correspondientes no puedan territorializarse en su gestión, esto es, cuando el ámbito estatal de su naturaleza y efectos hagan imposible la consecución del objetivo previsto sin esa gestión centralizada [STC 13/1992, FJ 13 k)].</w:t>
      </w:r>
    </w:p>
    <w:p w:rsidR="0026452D" w:rsidRDefault="0026452D" w:rsidP="0026452D">
      <w:pPr>
        <w:pStyle w:val="TextoNormal"/>
      </w:pPr>
    </w:p>
    <w:p w:rsidR="0026452D" w:rsidRDefault="0026452D" w:rsidP="0026452D">
      <w:pPr>
        <w:pStyle w:val="TextoNormal"/>
      </w:pPr>
      <w:r>
        <w:t>c) Una vez examinada la doctrina constitucional en materia de asistencia social, procede la representante del Gobierno de la Generalitat a analizar el amparo constitucional que el Gobierno de la nación pretende para la Orden TIN/2158/2008, de 18 de julio y para la resolución de 11 de agosto de 2008, de la Dirección General de Integración de los Inmigrantes. Para ello, examina, en primer lugar, las propias disposiciones objeto de conflicto; y, en segundo lugar, los argumentos aducidos por el Gobierno de la Nación en el acuerdo del Consejo de Ministros de 17 de octubre de 2008 por el que rechaza el requerimiento de incompetencia planteado por el Gobierno de la Generalitat.</w:t>
      </w:r>
    </w:p>
    <w:p w:rsidR="0026452D" w:rsidRDefault="0026452D" w:rsidP="0026452D">
      <w:pPr>
        <w:pStyle w:val="TextoNormal"/>
      </w:pPr>
    </w:p>
    <w:p w:rsidR="0026452D" w:rsidRDefault="0026452D" w:rsidP="0026452D">
      <w:pPr>
        <w:pStyle w:val="TextoNormal"/>
      </w:pPr>
      <w:r>
        <w:t xml:space="preserve">El preámbulo de la orden hace referencia al Real Decreto 1129/2008, de 4 de julio, por el que se desarrolla la estructura orgánica básica del Ministerio de Trabajo e Inmigración y </w:t>
      </w:r>
      <w:r>
        <w:lastRenderedPageBreak/>
        <w:t>que asigna a la Dirección General de Integración de los Inmigrantes —entre otras funciones— las relativas a la concertación de actuaciones de promoción de la integración de los colectivos de inmigrantes, solicitantes de asilo, refugiados, apátridas y personas acogidas al régimen de protección temporal y otros estatutos de protección subsidiaria, así como la gestión de subvenciones destinadas a los programas para la promoción laboral, social, cívica y cultural de estos colectivos, en colaboración con otros departamentos ministeriales, Comunidades Autónomas, entidades locales y entidades públicas o privadas. Sin embargo, la representante de la Generalitat señala que a pesar de que tal alusión pudiera hacer pensar que al dictar la orden que nos ocupa el Gobierno del Estado pretende estar ejerciendo su competencia exclusiva en materia de nacionalidad, inmigración, emigración, extranjería y derecho de asilo, entiende que ello no es en absoluto así. Ciertamente, en virtud de dicho título competencial (art. 149.1.2 CE), al Estado le compete cuanto hace referencia a los flujos de entrada y salida de inmigrantes en el territorio español, así como a los permisos de residencia y trabajo de los mismos. Sin embargo, todas aquellas actuaciones encaminadas a prestar apoyo y ayuda a la integración social de los inmigrantes, una vez éstos se encuentran asentados en ubicaciones territoriales concretas, exceden el referido título competencial, incardinándose claramente en el ámbito de la asistencia social a dichas personas. Así se desprendería del art. 1 de la Orden TIN/2158/2008, de 18 de julio, que define el objeto de las ayudas como “la realización de programas innovadores en materia de integración de los inmigrantes” entendiendo como innovadores “aquellos programas cuyas actuaciones introduzcan nuevas formas de intervención social, faciliten la inclusión social, prevengan situaciones de riesgo y promuevan la convivencia ciudadana en el entorno local”. En ese mismo sentido, el punto segundo de la resolución de 11 de agosto de 2008 señala como objeto de las subvenciones la realización de dichos programas, haciendo hincapié en las finalidades de intervención e inclusión social en el entorno local.</w:t>
      </w:r>
    </w:p>
    <w:p w:rsidR="0026452D" w:rsidRDefault="0026452D" w:rsidP="0026452D">
      <w:pPr>
        <w:pStyle w:val="TextoNormal"/>
      </w:pPr>
    </w:p>
    <w:p w:rsidR="0026452D" w:rsidRDefault="0026452D" w:rsidP="0026452D">
      <w:pPr>
        <w:pStyle w:val="TextoNormal"/>
      </w:pPr>
      <w:r>
        <w:t>De acuerdo con el escrito de la representante de la Generalitat, la Dirección General de Integración de los Inmigrantes deberá, lógicamente, ejercer las correspondientes actuaciones respetando las competencias exclusivas autonómicas en materia de asistencia social e integración social de los inmigrantes y, obviamente, los requisitos exigidos por la referida doctrina del Tribunal Constitucional en materia de subvenciones.</w:t>
      </w:r>
    </w:p>
    <w:p w:rsidR="0026452D" w:rsidRDefault="0026452D" w:rsidP="0026452D">
      <w:pPr>
        <w:pStyle w:val="TextoNormal"/>
      </w:pPr>
    </w:p>
    <w:p w:rsidR="0026452D" w:rsidRDefault="0026452D" w:rsidP="0026452D">
      <w:pPr>
        <w:pStyle w:val="TextoNormal"/>
      </w:pPr>
      <w:r>
        <w:t>El Gobierno de la Generalitat no objeta que el Estado, en atención al mandato constitucional contenido en el art. 41 de la Carta magna, pretenda potenciar la acción social dirigida a los inmigrantes. Lo que cuestiona es que pretenda hacerlo al margen del orden de distribución de competencias y solicita la previa territorialización de los fondos que el Estado pretenda dedicar a esa promoción, para que sean las Comunidades Autónomas —cuya competencia en la materia es exclusiva— las que establezcan las bases reguladoras y convoquen la concesión de las correspondientes ayudas.</w:t>
      </w:r>
    </w:p>
    <w:p w:rsidR="0026452D" w:rsidRDefault="0026452D" w:rsidP="0026452D">
      <w:pPr>
        <w:pStyle w:val="TextoNormal"/>
      </w:pPr>
    </w:p>
    <w:p w:rsidR="0026452D" w:rsidRDefault="0026452D" w:rsidP="0026452D">
      <w:pPr>
        <w:pStyle w:val="TextoNormal"/>
      </w:pPr>
      <w:r>
        <w:t xml:space="preserve">Para la representación de la Generalitat el Gobierno ha omitido los dos requisitos —ámbito estatal de los beneficiarios y de los programas— precisados por la doctrina constitucional para considerar legítimo el establecimiento por el Estado y la gestión centralizada de subvenciones en materia de asistencia social. Y ello porque la previsión como posibles sujetos beneficiarios de las subvenciones a los municipios, mancomunidades de municipios y las comarcas determina el incuestionable alcance local de los programas a desarrollar, y hace asimismo innecesario formular consideraciones acerca de la naturaleza local de dichos beneficiarios. Para la representación de la Generalitat el examen de las repetidas orden y </w:t>
      </w:r>
      <w:r>
        <w:lastRenderedPageBreak/>
        <w:t>resolución revela que las mismas efectúan una regulación completa de las condiciones de otorgamiento de las subvenciones, así como que dejan en manos de órganos estatales la completa gestión de las mismas. En consecuencia, el Gobierno de la Generalitat de Cataluña considera que la orden y la resolución impugnadas no se atienen al marco de las competencias que en materia de asistencia social el Tribunal Constitucional ha reconocido al Estado.</w:t>
      </w:r>
    </w:p>
    <w:p w:rsidR="0026452D" w:rsidRDefault="0026452D" w:rsidP="0026452D">
      <w:pPr>
        <w:pStyle w:val="TextoNormal"/>
      </w:pPr>
    </w:p>
    <w:p w:rsidR="0026452D" w:rsidRDefault="0026452D" w:rsidP="0026452D">
      <w:pPr>
        <w:pStyle w:val="TextoNormal"/>
      </w:pPr>
      <w:r>
        <w:t>A continuación reproduce el escrito de la representante de la Generalitat los argumentos del acuerdo de 17 de octubre de 2008 por el que el Consejo de Ministros rechaza el requerimiento de incompetencia formulado en relación con las disposiciones objeto de conflicto. En dicho acuerdo se plasma, según la representante de la Generalitat, un importante giro respecto de la tesis sostenida en el de fecha 20 de enero de 2006, por el que fue rechazado el requerimiento de incompetencia formulado en relación con la Orden TAS/3441/2005. Dicho giro consiste en la pretensión de amparar la actuación controvertida en la competencia exclusiva del Estado que recoge el art. 149.1.2 CE.</w:t>
      </w:r>
    </w:p>
    <w:p w:rsidR="0026452D" w:rsidRDefault="0026452D" w:rsidP="0026452D">
      <w:pPr>
        <w:pStyle w:val="TextoNormal"/>
      </w:pPr>
    </w:p>
    <w:p w:rsidR="0026452D" w:rsidRDefault="0026452D" w:rsidP="0026452D">
      <w:pPr>
        <w:pStyle w:val="TextoNormal"/>
      </w:pPr>
      <w:r>
        <w:t>Asimismo, el escrito destaca que el acuerdo señala, en segundo lugar, que tanto el Estado como las Comunidades Autónomas ostentan competencias para conformar el régimen jurídico de los entes locales (arts. 149.1.18 CE y 9.8 del Estatuto de Autonomía de Cataluña), y que la Ley 7/1985, de 2 de abril, reguladora de las bases del régimen local, dispone que los municipios [art. 25.2 k)] ejercerán competencias en materia de “prestación de servicios sociales y de promoción y reinserción social”. Asimismo, recuerda que el Real Decreto legislativo 781/1986, de 18 de abril, por el que se aprueba el texto refundido de las disposiciones legales vigentes en materia de régimen local, ordena a la Administración del Estado colaborar con las entidades locales en los términos y para los fines previstos en la Ley (art. 63.1), y que el Real Decreto legislativo 2/2004, de 5 de marzo, por el que se aprueba el texto refundido de la Ley reguladora de las haciendas locales, prevé las subvenciones como uno de los recursos que integran la hacienda de las entidades locales (arts. 2 y 40). De ello colige el Gobierno la legitimidad de las actuaciones que aquí se cuestionan, en tanto pretenden garantizar la suficiencia financiera de las entidades para el ejercicio de sus competencias.</w:t>
      </w:r>
    </w:p>
    <w:p w:rsidR="0026452D" w:rsidRDefault="0026452D" w:rsidP="0026452D">
      <w:pPr>
        <w:pStyle w:val="TextoNormal"/>
      </w:pPr>
    </w:p>
    <w:p w:rsidR="0026452D" w:rsidRDefault="0026452D" w:rsidP="0026452D">
      <w:pPr>
        <w:pStyle w:val="TextoNormal"/>
      </w:pPr>
      <w:r>
        <w:t xml:space="preserve">Igualmente se realiza en el acuerdo referido una interpretación forzada y claramente interesada, a juicio de la representante de la Generalitat, del art. 219.2 del Estatuto de Autonomía de Cataluña. Dicho precepto establece que las subvenciones incondicionadas a los entes locales de Cataluña han de percibirse a través de la Generalitat. </w:t>
      </w:r>
      <w:r w:rsidRPr="0026452D">
        <w:rPr>
          <w:i/>
        </w:rPr>
        <w:t>A sensu contrario</w:t>
      </w:r>
      <w:r>
        <w:t xml:space="preserve"> —aunque erróneamente según el escrito de planteamiento del conflicto—, el Gobierno del Estado concluye que las subvenciones condicionadas a los entes locales de Cataluña no se perciben a través de la Generalitat, sino que el Estado puede otorgarlas directamente.</w:t>
      </w:r>
    </w:p>
    <w:p w:rsidR="0026452D" w:rsidRDefault="0026452D" w:rsidP="0026452D">
      <w:pPr>
        <w:pStyle w:val="TextoNormal"/>
      </w:pPr>
    </w:p>
    <w:p w:rsidR="0026452D" w:rsidRDefault="0026452D" w:rsidP="0026452D">
      <w:pPr>
        <w:pStyle w:val="TextoNormal"/>
      </w:pPr>
      <w:r>
        <w:t xml:space="preserve">d) La representante de la Generalitat procede, a continuación, a rebatir las tesis mediante las que el Estado intenta justificar la actuación estatal. Antes manifiesta que, en materia de asistencia social se excluyen en general actuaciones de ámbito demasiado extenso, mientras que encuentran en los ámbitos autonómico y local un nivel de mayor eficacia. No puede olvidarse que, en definitiva, las acciones en el ámbito de asistencia social, tienen como destinatarios personas y colectivos concretos ubicados en lugares específicos del territorio que, por lo mismo, presentan unas peculiaridades que aconsejan como más idóneo un tratamiento específico y próximo, lo que se produce mejor a nivel autonómico o, incluso, local. Sólo en supuestos de emergencia ante grandes catástrofes o con respecto a algunas determinadas campañas de sensibilización, estudios, conferencias, congresos, etc., se podría hablar de una </w:t>
      </w:r>
      <w:r>
        <w:lastRenderedPageBreak/>
        <w:t>efectiva trascendencia de las actuaciones a nivel estatal e, incluso, internacional y, por ello, entiende que, más allá de la concreta distribución de competencias en materia de asistencia social, la propia naturaleza y características de dicha materia determina que el criterio de que los recursos destinados a subvencionar actuaciones de tal índole han de ser distribuidos territorialmente entre las Comunidades Autónomas debe ser el general. La excepción a dicho criterio debería reservarse únicamente a aquellos programas o actividades que, excepcionalmente, tienen una incidencia estatal y, por tanto, no pueden quedar cubiertos por las competencias autonómicas.</w:t>
      </w:r>
    </w:p>
    <w:p w:rsidR="0026452D" w:rsidRDefault="0026452D" w:rsidP="0026452D">
      <w:pPr>
        <w:pStyle w:val="TextoNormal"/>
      </w:pPr>
    </w:p>
    <w:p w:rsidR="0026452D" w:rsidRDefault="0026452D" w:rsidP="0026452D">
      <w:pPr>
        <w:pStyle w:val="TextoNormal"/>
      </w:pPr>
      <w:r>
        <w:t>Señala el escrito de la representante de la Generalitat que de la orden y la resolución objeto de conflicto no se deriva la concurrencia de las circunstancias que justificarían que las ayudas puedan ser establecidas y gestionadas por la Administración del Estado.</w:t>
      </w:r>
    </w:p>
    <w:p w:rsidR="0026452D" w:rsidRDefault="0026452D" w:rsidP="0026452D">
      <w:pPr>
        <w:pStyle w:val="TextoNormal"/>
      </w:pPr>
    </w:p>
    <w:p w:rsidR="0026452D" w:rsidRDefault="0026452D" w:rsidP="0026452D">
      <w:pPr>
        <w:pStyle w:val="TextoNormal"/>
      </w:pPr>
      <w:r>
        <w:t>A continuación, el escrito de la representación de la Generalitat, trata de poner de manifiesto la ineficiencia de cada uno de los fundamentos plasmados en el repetido acuerdo de 17 de octubre de 2008.</w:t>
      </w:r>
    </w:p>
    <w:p w:rsidR="0026452D" w:rsidRDefault="0026452D" w:rsidP="0026452D">
      <w:pPr>
        <w:pStyle w:val="TextoNormal"/>
      </w:pPr>
    </w:p>
    <w:p w:rsidR="0026452D" w:rsidRDefault="0026452D" w:rsidP="0026452D">
      <w:pPr>
        <w:pStyle w:val="TextoNormal"/>
      </w:pPr>
      <w:r>
        <w:t>En relación con la pretensión de amparar en el título competencial del art. 149.1.2 CE las disposiciones objeto de conflicto la representación de la Generalitat se opone a que el Estado, invocando aquel —sobre cuyo concreto ámbito material (control de fronteras, flujos de entrada y salida y situación jurídico-administrativa de los extranjeros) no se suscita duda alguna—, intente actuar en esas otras materias competenciales cuando las mismas tienen indiscutiblemente otros titulares. Así, se denuncia que de la existencia de órganos de coordinación el Gobierno del Estado extrae una conclusión absolutamente gratuita —además de errónea—, cual es su legitimación para llevar a cabo actuaciones de fomento en todos los ámbitos materiales que se ven afectados por el fenómeno de la inmigración, con independencia de si ostenta o no en relación con los mismos algún tipo de competencia.</w:t>
      </w:r>
    </w:p>
    <w:p w:rsidR="0026452D" w:rsidRDefault="0026452D" w:rsidP="0026452D">
      <w:pPr>
        <w:pStyle w:val="TextoNormal"/>
      </w:pPr>
    </w:p>
    <w:p w:rsidR="0026452D" w:rsidRDefault="0026452D" w:rsidP="0026452D">
      <w:pPr>
        <w:pStyle w:val="TextoNormal"/>
      </w:pPr>
      <w:r>
        <w:t>El Gobierno de la Generalitat no cuestiona que el Estado pueda destinar fondos públicos al fomento de la asistencia social de los inmigrantes. Lo que cuestiona es que el Estado pretenda gestionar directamente esos fondos para actuaciones en el ámbito de la asistencia social a los inmigrantes, esto es, en una materia de competencia exclusiva de la Generalitat, sin respetar lo que al respecto establece el art. 114.2 del Estatuto de Autonomía (precepto que prevé que la Generalitat especificará los objetivos de las subvenciones estatales y comunitarias territorializables, regulará las condiciones de su otorgamiento, y llevará a cabo su íntegra gestión), y sin que tampoco se den las condiciones que exige la doctrina del Tribunal Constitucional para considerar legítima la gestión centralizada de subvenciones en materia de servicios sociales.</w:t>
      </w:r>
    </w:p>
    <w:p w:rsidR="0026452D" w:rsidRDefault="0026452D" w:rsidP="0026452D">
      <w:pPr>
        <w:pStyle w:val="TextoNormal"/>
      </w:pPr>
    </w:p>
    <w:p w:rsidR="0026452D" w:rsidRDefault="0026452D" w:rsidP="0026452D">
      <w:pPr>
        <w:pStyle w:val="TextoNormal"/>
      </w:pPr>
      <w:r>
        <w:t>e) Prosigue el escrito de interposición del conflicto de competencia rechazando que la actuación del Estado pueda fundamentarse en el hecho de hallarse la prestación de servicios sociales y de promoción y reinserción social, dentro del ámbito de competencias de los municipios o pueda fundamentarse en el deber de colaboración financiera —mediante subvenciones— de la Administración del Estado con las entidades locales que establece el Real Decreto Legislativo 781/1986; o pueda fundamentarse por la previsión de las subvenciones como uno de los recursos que integran la hacienda de las entidades locales.</w:t>
      </w:r>
    </w:p>
    <w:p w:rsidR="0026452D" w:rsidRDefault="0026452D" w:rsidP="0026452D">
      <w:pPr>
        <w:pStyle w:val="TextoNormal"/>
      </w:pPr>
    </w:p>
    <w:p w:rsidR="0026452D" w:rsidRDefault="0026452D" w:rsidP="0026452D">
      <w:pPr>
        <w:pStyle w:val="TextoNormal"/>
      </w:pPr>
      <w:r>
        <w:lastRenderedPageBreak/>
        <w:t>Destaca la representación de la Generalitat que de acuerdo con la doctrina del Tribunal Constitucional el Estado no puede condicionar o limitar las subvenciones más allá de los títulos en que se ampare su intervención, acomodando a tales títulos la normativa subvencional. Así pues, no se cuestiona que el Gobierno del Estado pueda destinar fondos para la prestación de servicios sociales a nivel local. Sin embargo, hasta aquí puede llegar la afectación de los mismos, debiendo ser transferidos a las comunidades autónomas para que éstas procedan a la convocatoria de ayudas de acuerdo con las bases que, de acuerdo con su propia política de acción social decidan establecer.</w:t>
      </w:r>
    </w:p>
    <w:p w:rsidR="0026452D" w:rsidRDefault="0026452D" w:rsidP="0026452D">
      <w:pPr>
        <w:pStyle w:val="TextoNormal"/>
      </w:pPr>
    </w:p>
    <w:p w:rsidR="0026452D" w:rsidRDefault="0026452D" w:rsidP="0026452D">
      <w:pPr>
        <w:pStyle w:val="TextoNormal"/>
      </w:pPr>
      <w:r>
        <w:t>Señala la representación de la Generalitat que si bien el acuerdo de 17 de octubre de 2008 no hace mención expresa al carácter bifronte del régimen local, sin embargo, los argumentos que tratan de justificar la asignación directa de fondos a los entes locales, apuntan claramente hacia esa dirección. Es por ello que el Gobierno de la Generalitat entiende que se hace necesario señalar de forma clara que dicho carácter bifronte no puede invocarse en apoyo de la orden y la resolución objeto de conflicto.</w:t>
      </w:r>
    </w:p>
    <w:p w:rsidR="0026452D" w:rsidRDefault="0026452D" w:rsidP="0026452D">
      <w:pPr>
        <w:pStyle w:val="TextoNormal"/>
      </w:pPr>
    </w:p>
    <w:p w:rsidR="0026452D" w:rsidRDefault="0026452D" w:rsidP="0026452D">
      <w:pPr>
        <w:pStyle w:val="TextoNormal"/>
      </w:pPr>
      <w:r>
        <w:t>Ese carácter bifronte ha determinado que el Tribunal Constitucional haya considerado respetuosa con el vigente reparto competencial la transferencia directa o la delegación de competencias del Estado a las entidades locales (SSTC 84/1982, de 23 de diciembre, FJ 4; y 214/1989, 21 de diciembre, FJ 11), aunque señalara la conveniencia que las Comunidades Autónomas participaran en el proceso de transferencia. Sin embargo, la delegación o transferencia de competencias a entidades locales no puede efectuarse por el Estado sino en relación con aquéllas que ostenta, no existiendo motivo alguno para apartarse de esa línea cuando de subvenciones se trata. Para la representación de la Generalitat, el carácter bifronte del régimen local determina que, en los supuestos de competencias exclusivas del Estado sobre la totalidad de las funciones de una materia, éste pueda otorgar directamente subvenciones a las entidades locales para la realización de actividades en esa concreta materia, a pesar de que las comunidades autónomas también ostenten competencias sobre el régimen local. Sin embargo, en la realización de acciones de fomento en el ámbito local en relación con materias en las que se produce una compartición de competencias a nivel estatal y autonómico, o con materias de exclusiva competencia autonómica —como es el caso que nos ocupa—, el Estado no puede obviar la clara doctrina de ese Tribunal Constitucional sobre subvenciones.</w:t>
      </w:r>
    </w:p>
    <w:p w:rsidR="0026452D" w:rsidRDefault="0026452D" w:rsidP="0026452D">
      <w:pPr>
        <w:pStyle w:val="TextoNormal"/>
      </w:pPr>
    </w:p>
    <w:p w:rsidR="0026452D" w:rsidRDefault="0026452D" w:rsidP="0026452D">
      <w:pPr>
        <w:pStyle w:val="TextoNormal"/>
      </w:pPr>
      <w:r>
        <w:t>Así pues, para la representante de la Generalitat, por más que el Gobierno del Estado pretenda amparar las bases y la convocatoria de subvenciones establecidas por la Orden TIN/2158/2008, de 18 de julio y por la resolución de 11 de agosto de 2008, de la Dirección General de Integración de los Inmigrantes, en la competencia básica que le otorga el art. 149.1.18 CE, resulta incuestionable que los programas subvencionables se inscriben en el ámbito de la asistencia social y que, por tanto, el destino estatal de fondos en este caso debe seguir la doctrina del Tribunal Constitucional específica para tales supuestos. El carácter bifronte del régimen local no legitima al Estado para otorgar directamente subvenciones a los entes locales en materias, como es el caso, de competencia exclusiva autonómica. El Estado no puede proceder al otorgamiento directo de subvenciones, sino que deberá ceñirse a lo establecido para cada supuesto subvencional por la doctrina constitucional.</w:t>
      </w:r>
    </w:p>
    <w:p w:rsidR="0026452D" w:rsidRDefault="0026452D" w:rsidP="0026452D">
      <w:pPr>
        <w:pStyle w:val="TextoNormal"/>
      </w:pPr>
    </w:p>
    <w:p w:rsidR="0026452D" w:rsidRDefault="0026452D" w:rsidP="0026452D">
      <w:pPr>
        <w:pStyle w:val="TextoNormal"/>
      </w:pPr>
      <w:r>
        <w:lastRenderedPageBreak/>
        <w:t xml:space="preserve">A continuación el escrito de interposición del conflicto de competencia señala que el Gobierno de la nación reitera en el acuerdo de 17 de octubre de 2008 la peculiar interpretación </w:t>
      </w:r>
      <w:r w:rsidRPr="0026452D">
        <w:rPr>
          <w:i/>
        </w:rPr>
        <w:t>a sensu contrario</w:t>
      </w:r>
      <w:r>
        <w:t xml:space="preserve"> del art. 48.2 del Estatuto de Autonomía de 1979 que ya esgrimió en el acuerdo de 20 de enero de 2006 para rechazar el requerimiento formulado en su día en relación con la Orden TAS/3441/2005, y que ahora reproduce en relación con el art. 219.2 del vigente Estatuto de Autonomía. Interpretación que se traduce en el entendimiento que el Estado puede otorgar directamente las subvenciones condicionadas a los entes locales de Cataluña. La representante del Gobierno de la Generalitat insiste en que el art. 219.2 del vigente Estatuto de Autonomía de Cataluña (como el anterior art. 48.2) limita su referencia a las subvenciones incondicionadas, no efectuando mención alguna a las ayudas condicionadas. Por ello, resulta osado realizar consideraciones acerca de estas últimas cuando han sido omitidas por el precepto. Máxime ante la existencia de una abundantísima jurisprudencia acerca de las subvenciones condicionadas, de la que es paradigmática la STC 13/1992, FJ 8.</w:t>
      </w:r>
    </w:p>
    <w:p w:rsidR="0026452D" w:rsidRDefault="0026452D" w:rsidP="0026452D">
      <w:pPr>
        <w:pStyle w:val="TextoNormal"/>
      </w:pPr>
    </w:p>
    <w:p w:rsidR="0026452D" w:rsidRDefault="0026452D" w:rsidP="0026452D">
      <w:pPr>
        <w:pStyle w:val="TextoNormal"/>
      </w:pPr>
      <w:r>
        <w:t>Para el escrito de interposición del conflicto siendo la materia de asistencia social competencia exclusiva autonómica (tanto con carácter general como en el ámbito más específico de la integración social de los inmigrantes) y no concurriendo ninguna de las circunstancias que exige la doctrina constitucional —la dimensión estatal de beneficiarios y programas—, la eventual asignación de fondos por parte del Estado a esa finalidad ha de pasar, indefectiblemente, por su gestión a nivel autonómico.</w:t>
      </w:r>
    </w:p>
    <w:p w:rsidR="0026452D" w:rsidRDefault="0026452D" w:rsidP="0026452D">
      <w:pPr>
        <w:pStyle w:val="TextoNormal"/>
      </w:pPr>
    </w:p>
    <w:p w:rsidR="0026452D" w:rsidRDefault="0026452D" w:rsidP="0026452D">
      <w:pPr>
        <w:pStyle w:val="TextoNormal"/>
      </w:pPr>
      <w:r>
        <w:t>Establecido lo anterior recuerda el escrito de la Letrada de la Generalitat que el acuerdo del Consejo de Ministros de 17 de octubre de 2008 invoca el fundamento jurídico 13 de la repetida STC 13/1992, concretamente en relación con una partida de la Ley de presupuestos generales del Estado para 1989, relativa a “transferencias corrientes a corporaciones locales para subvenciones de actividades de educación compensatoria”. Sin embargo, rechaza el escrito de interposición del conflicto que el referido pronunciamiento conduzca a la conclusión sostenida por el Gobierno del Estado, pues aunque dicho pasaje inicialmente parece dar a entender que el Estado puede otorgar subvenciones directamente a entidades locales, acto seguido se afirma en el mismo que las actividades de los entes locales catalanes no pueden menoscabar las competencias de la Generalitat de Cataluña.</w:t>
      </w:r>
    </w:p>
    <w:p w:rsidR="0026452D" w:rsidRDefault="0026452D" w:rsidP="0026452D">
      <w:pPr>
        <w:pStyle w:val="TextoNormal"/>
      </w:pPr>
    </w:p>
    <w:p w:rsidR="0026452D" w:rsidRDefault="0026452D" w:rsidP="0026452D">
      <w:pPr>
        <w:pStyle w:val="TextoNormal"/>
      </w:pPr>
      <w:r>
        <w:t xml:space="preserve">A continuación la representante de la Generalitat trae a colación los pronunciamientos efectuados en las SSTC 202/1992, de 23 de noviembre; y 59/1995, de 17 de marzo, por el paralelismo que guardan los supuestos examinados en las mismas con la presente controversia. En la primera se juzgaba una disposición por la que se establecían normas para la concesión de ayudas sobre colaboración y asistencia técnica con las corporaciones locales en materia de consumo, en la segunda se juzgaba el convenio de financiación de operaciones de rehabilitación de viviendas de promoción pública, concertado en su día entre el Director general de la Vivienda del Ministerio de Obras Públicas y Urbanismo y el concejal-presidente del Patronato Municipal de la Vivienda del Ayuntamiento de Barcelona. En todos los supuestos resulta implicada una competencia exclusiva autonómica: las de defensa del consumidor y de vivienda en aquéllos, la de asistencia social a los inmigrantes en el presente conflicto; y también en todos los supuestos el Estado destina fondos para actuaciones en los respectivos ámbitos que han de pasar directamente a manos de entidades locales. La representación de la Generalitat recuerda lo que se dijo entonces en relación con que la centralización de la gestión, con la subsiguiente marginación de la Comunidad Autónoma de la </w:t>
      </w:r>
      <w:r>
        <w:lastRenderedPageBreak/>
        <w:t>relación subvencional, no se compadecía con las rígidas condiciones que, de acuerdo con la doctrina constitucional, deben satisfacerse para mantener excepcionalmente la gestión directa y centralizada de las ayudas que recaigan en materias respecto de las cuales la Comunidad Autónoma ha asumido funciones.</w:t>
      </w:r>
    </w:p>
    <w:p w:rsidR="0026452D" w:rsidRDefault="0026452D" w:rsidP="0026452D">
      <w:pPr>
        <w:pStyle w:val="TextoNormal"/>
      </w:pPr>
    </w:p>
    <w:p w:rsidR="0026452D" w:rsidRDefault="0026452D" w:rsidP="0026452D">
      <w:pPr>
        <w:pStyle w:val="TextoNormal"/>
      </w:pPr>
      <w:r>
        <w:t>Se refiere a continuación la representación de la Generalitat al último de los argumentos plasmados en el acuerdo del Consejo de Ministros de 17 de octubre de 2008 y que tiene que ver con el requisito establecido en la orden y la resolución impugnadas en relación con el carácter innovador que han de reunir los programas para poder optar a las subvenciones de que se trata. Al respecto se insiste en que los medios o técnicas que incorporen los concretos programas a subvencionar en nada condicionan la titularidad de la competencia sobre la materia en la que dichos programas inciden.</w:t>
      </w:r>
    </w:p>
    <w:p w:rsidR="0026452D" w:rsidRDefault="0026452D" w:rsidP="0026452D">
      <w:pPr>
        <w:pStyle w:val="TextoNormal"/>
      </w:pPr>
    </w:p>
    <w:p w:rsidR="0026452D" w:rsidRDefault="0026452D" w:rsidP="0026452D">
      <w:pPr>
        <w:pStyle w:val="TextoNormal"/>
      </w:pPr>
      <w:r>
        <w:t>f) Prosigue el escrito de interposición del conflicto de competencia argumentando que el Estado ha de respetar el sistema de servicios sociales que en ejercicio de su competencia exclusiva sobre asistencia social, ha diseñado la Generalitat de Cataluña. Tras referirse a la legislación emanada del Parlamento de Cataluña y su normativa de desarrollo se afirma que el establecimiento de subvenciones como las establecidas por la Orden TIN/2158/2008, de 18 de julio y convocadas por la resolución de 11 de agosto de 2008, de la Dirección General de Integración de los Inmigrantes, supone duplicar actuaciones de forma contraria al orden de distribución de competencias entre el Estado y las Comunidades Autónomas. Para la Letrada de la Generalitat la duplicidad de actuaciones resulta incompatible con el carácter exclusivo de las competencias asumidas por la Generalitat de Cataluña en esta materia y, además, resulta contraria a los principios de eficiencia, eficacia y racionalidad en la aplicación de los siempre escasos recursos públicos y contraria a la necesidad de evitar duplicidades burocráticas, al mantenimiento de Administraciones paralelas y a los principios de descentralización y eficacia administrativa enunciados en el art. 103.1 CE, como ha puesto de manifiesto ese Tribunal Constitucional, entre otras, en las Sentencias 187/1988, de 17 de octubre, FJ 12, 13/1992, de 6 de febrero, FJ 7; y 79/1992, de 28 de mayo, FJ 4.</w:t>
      </w:r>
    </w:p>
    <w:p w:rsidR="0026452D" w:rsidRDefault="0026452D" w:rsidP="0026452D">
      <w:pPr>
        <w:pStyle w:val="TextoNormal"/>
      </w:pPr>
    </w:p>
    <w:p w:rsidR="0026452D" w:rsidRDefault="0026452D" w:rsidP="0026452D">
      <w:pPr>
        <w:pStyle w:val="TextoNormal"/>
      </w:pPr>
      <w:r>
        <w:t>Para la representación de la Generalitat el papel del Estado en materia de asistencia social debería agotarse al trazar las prioridades de política social general en la Ley de presupuestos generales, asignando los recursos para asistencia social en la medida que lo considera conveniente, pero que deberán ser canalizados a través de las comunidades autónomas ya que éstas ostentan la citada competencia material en exclusiva.</w:t>
      </w:r>
    </w:p>
    <w:p w:rsidR="0026452D" w:rsidRDefault="0026452D" w:rsidP="0026452D">
      <w:pPr>
        <w:pStyle w:val="TextoNormal"/>
      </w:pPr>
    </w:p>
    <w:p w:rsidR="0026452D" w:rsidRDefault="0026452D" w:rsidP="0026452D">
      <w:pPr>
        <w:pStyle w:val="TextoNormal"/>
      </w:pPr>
      <w:r>
        <w:t>Tras reiterar conclusivamente sus principales argumentos finaliza el escrito solicitando que se declare que la competencia controvertida corresponde a la Generalitat.</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Mediante providencia de 2 de diciembre de 2008 el Tribunal Constitucional acordó admitir a trámite el presente conflicto; dar traslado de la demanda y documentos presentados al Gobierno de la Nación, al objeto de presentar alegaciones en el plazo de veinte días; comunicar la incoación del conflicto a la Sala de lo Contencioso-Administrativo de la Audiencia Nacional y a la Sala de lo de lo Contencioso-Administrativo del Tribunal Superior de Justicia de Madrid, por si ante las mismas estuvieran impugnadas o se impugnaren la Orden TIN/2158/2008, de 18 de julio, por la que se establecen las bases reguladoras para la concesión de las subvenciones a entidades locales para el desarrollo de programas innovadores a favor de la integración de inmigrantes, o la resolución de 11 de agosto de 2008, de </w:t>
      </w:r>
      <w:r>
        <w:lastRenderedPageBreak/>
        <w:t>la Dirección General de Integración de los Inmigrantes, por la que se convoca la concesión de subvenciones a municipios, mancomunidades de municipios y comarcas para el desarrollo de programas innovadores a favor de la integración de inmigrantes, en cuyo caso deberá suspenderse el curso del proceso hasta la decisión del conflicto, según dispone el  61.2 de la Ley Orgánica del Tribunal Constitucional; y publicar la incoación del conflicto en el “Boletín Oficial del Estado” y en el “Diari Oficial de la Generalitat de Cataluña”.</w:t>
      </w:r>
    </w:p>
    <w:p w:rsidR="0026452D" w:rsidRDefault="0026452D" w:rsidP="0026452D">
      <w:pPr>
        <w:pStyle w:val="TextoNormal"/>
      </w:pPr>
    </w:p>
    <w:p w:rsidR="0026452D" w:rsidRDefault="0026452D" w:rsidP="0026452D">
      <w:pPr>
        <w:pStyle w:val="TextoNormal"/>
      </w:pPr>
      <w:r w:rsidRPr="0026452D">
        <w:rPr>
          <w:rStyle w:val="NumeroAFNegritaCaracter"/>
        </w:rPr>
        <w:t>3</w:t>
      </w:r>
      <w:r>
        <w:t>. Por escrito registrado ante este Tribunal el 22 de diciembre de 2008, la Abogacía del Estado se personó en el proceso solicitando una prórroga del plazo concedido para formular alegaciones, prórroga que le fue concedida mediante providencia del Pleno de 23 de diciembre de 2008. El escrito de alegaciones de la Abogado del Estado se registró en este Tribunal el día 22 de enero de 2009. En dicho escrito se opone a la demanda por las razones que se recogen a continuación.</w:t>
      </w:r>
    </w:p>
    <w:p w:rsidR="0026452D" w:rsidRDefault="0026452D" w:rsidP="0026452D">
      <w:pPr>
        <w:pStyle w:val="TextoNormal"/>
      </w:pPr>
    </w:p>
    <w:p w:rsidR="0026452D" w:rsidRDefault="0026452D" w:rsidP="0026452D">
      <w:pPr>
        <w:pStyle w:val="TextoNormal"/>
      </w:pPr>
      <w:r w:rsidRPr="0026452D">
        <w:rPr>
          <w:rStyle w:val="NumeroAFNegritaCaracter"/>
        </w:rPr>
        <w:t>4</w:t>
      </w:r>
      <w:r>
        <w:t>. Comienza la Abogado del Estado concretando el objeto y alcance del conflicto positivo de competencia planteado por la Generalitat de Cataluña contra la Orden TIN/2158/2008, de 18 de julio, por la que se establecen las bases reguladoras para la concesión de las subvenciones a entidades locales para el desarrollo de programas innovadores a favor de la integración de inmigrantes, y contra la resolución de 11 de agosto de 2008, de la Dirección General de Integración de los Inmigrantes, por la que se convoca la concesión de subvenciones a municipios, mancomunidades de municipios y comarcas para el desarrollo de programas innovadores a favor de la integración de inmigrantes. Tras sintetizar los argumentos de la Generalitat y los contenidos en el acuerdo del Gobierno de 17 de octubre de 2008, por el que se rechazó el requerimiento planteado en su día, señala la Abogado del Estado que en materia de integración de los inmigrantes, existe un evidente entrecruzamiento de títulos competenciales que impiden hacer —como parece que se pretende— de la expresión “integración” algo equivalente a todo lo que se halle relacionado con asistencia social y, por consiguiente, excluir toda intervención que no sea de la Generalitat. La competencia estatal sobre inmigración incluye necesariamente una política sobre integración de los inmigrantes por cuanto no sólo corresponde al Estado, en cuanto titular de dicha competencia exclusiva, ordenar legalmente los flujos de los inmigrantes, sino también favorecer la vía de la integración. Integración en el uso y acceso a servicios esenciales, como el educativo, el sanitario, los servicios sociales, en prevención además de posibles situaciones de conflicto, cual es la finalidad perseguida por los programas cuya financiación se pretende.</w:t>
      </w:r>
    </w:p>
    <w:p w:rsidR="0026452D" w:rsidRDefault="0026452D" w:rsidP="0026452D">
      <w:pPr>
        <w:pStyle w:val="TextoNormal"/>
      </w:pPr>
    </w:p>
    <w:p w:rsidR="0026452D" w:rsidRDefault="0026452D" w:rsidP="0026452D">
      <w:pPr>
        <w:pStyle w:val="TextoNormal"/>
      </w:pPr>
      <w:r>
        <w:t xml:space="preserve">a) Señala el escrito de la Abogado del Estado que las actuaciones contempladas en las disposiciones objeto de conflicto configuran un claro supuesto de potestad subvencional del Estado. A fin de precisar en cuál de los diversos supuestos establecidos por la doctrina recogida en la STC 13/1992 han de encuadrarse las ayudas previstas ha de determinarse el título competencial que ampara dicha intervención estatal, comenzando por el que constituye, a juicio de la Abogado del Estado, el verdadero anclaje constitucional del ejercicio de aquellas actuaciones. Para la Abogado del Estado si bien la evolución del fenómeno migratorio en España impide configurar la competencia exclusiva del Estado sobre “nacionalidad, emigración, inmigración y extranjería” (art. 149.1.2 CE) como un título horizontal de alcance ilimitado que habilita cualquier actuación pública estatal referida a los extranjeros, y pese a que la Constitución no reconoce a las Comunidades Autónomas competencia alguna sobre la política de inmigración ni introduce limitación expresa a la competencia estatal, la no alteración del reparto competencial derivado del bloque de la constitucionalidad impone </w:t>
      </w:r>
      <w:r>
        <w:lastRenderedPageBreak/>
        <w:t>una interpretación que respete los títulos autonómicos de carácter sectorial con incidencia en el fenómeno migratorio, aunque sin llegar al extremo pretendido por la parte demandante que, ignorando la exclusividad de la competencia estatal en materia de inmigración, tan sólo atiende a la competencia autonómica sobre asistencia social.</w:t>
      </w:r>
    </w:p>
    <w:p w:rsidR="0026452D" w:rsidRDefault="0026452D" w:rsidP="0026452D">
      <w:pPr>
        <w:pStyle w:val="TextoNormal"/>
      </w:pPr>
    </w:p>
    <w:p w:rsidR="0026452D" w:rsidRDefault="0026452D" w:rsidP="0026452D">
      <w:pPr>
        <w:pStyle w:val="TextoNormal"/>
      </w:pPr>
      <w:r>
        <w:t>De acuerdo con el escrito de la Abogado del Estado la efectiva prestación de servicios públicos a los inmigrantes en ejercicio de sus derechos sociales —educación, sanidad, vivienda, servicios sociales, cultura— precisa de un previo proceso de integración del que no cabe desvincular el título competencial del art. 149.1.2 CE, y ello pese a la concurrencia de diversos títulos sectoriales materiales de las Comunidades Autónomas y amén del reconocimiento de la competencia estatal para establecer las bases en virtud de diversos títulos del art. 149.1 CE como educación, sanidad o régimen de seguridad social, en algunas de las materias competenciales vinculadas a la integración.</w:t>
      </w:r>
    </w:p>
    <w:p w:rsidR="0026452D" w:rsidRDefault="0026452D" w:rsidP="0026452D">
      <w:pPr>
        <w:pStyle w:val="TextoNormal"/>
      </w:pPr>
    </w:p>
    <w:p w:rsidR="0026452D" w:rsidRDefault="0026452D" w:rsidP="0026452D">
      <w:pPr>
        <w:pStyle w:val="TextoNormal"/>
      </w:pPr>
      <w:r>
        <w:t>Para la Abogado del Estado, resulta que el ámbito material sobre el que recae la orden impugnada no puede reputarse en absoluto ajeno a las competencias estatales hasta el punto de acarrear la inconstitucionalidad, por incompetencia, de la atribución de auxilios o subvenciones con cargo a los fondos públicos del Estado. Nada impide que el Estado, en ejercicio de sus competencias en materia de inmigración y extranjería, colabore de modo relevante en el desarrollo de la integración social.</w:t>
      </w:r>
    </w:p>
    <w:p w:rsidR="0026452D" w:rsidRDefault="0026452D" w:rsidP="0026452D">
      <w:pPr>
        <w:pStyle w:val="TextoNormal"/>
      </w:pPr>
    </w:p>
    <w:p w:rsidR="0026452D" w:rsidRDefault="0026452D" w:rsidP="0026452D">
      <w:pPr>
        <w:pStyle w:val="TextoNormal"/>
      </w:pPr>
      <w:r>
        <w:t>b) Prosigue el escrito de la Abogado del Estado señalando que resultando la Administración municipal la más cercana al ciudadano, con independencia de la nacionalidad que ostente, y aquella sobre la que recaen, en gran medida, los esfuerzos para lograr una convivencia social plena, la situación financiera de las entidades locales comporta determinadas consecuencias de relevancia en la forma de prestación de los servicios para los extranjeros en el ámbito municipal; junto a la enseñanza o la vivienda, las políticas propias de atención social al inmigrante significan un sobrecoste relevante para las entidades afectadas, resultando por ello de especial interés la intervención estatal prestando el necesario apoyo financiero a estas políticas específicas. Con cita en la STC 13/1992 la Abogado del Estado afirma que el Tribunal Constitucional ha admitido en materia de subvenciones de actividades de educación compensatoria la posibilidad de que las corporaciones locales colaboren con la correspondiente Comunidad Autónoma en determinada materia de competencia autonómica realizando actividades propias de tales corporaciones y recibiendo para ello subvenciones del Estado. Tal doctrina fundamentaría el otorgamiento directo de subvenciones por el Estado a las corporaciones locales, sin la intermediación de las Comunidades Autónomas y en tanto la integración de los inmigrantes constituye una actividad propia de las entidades locales.</w:t>
      </w:r>
    </w:p>
    <w:p w:rsidR="0026452D" w:rsidRDefault="0026452D" w:rsidP="0026452D">
      <w:pPr>
        <w:pStyle w:val="TextoNormal"/>
      </w:pPr>
    </w:p>
    <w:p w:rsidR="0026452D" w:rsidRDefault="0026452D" w:rsidP="0026452D">
      <w:pPr>
        <w:pStyle w:val="TextoNormal"/>
      </w:pPr>
      <w:r>
        <w:t xml:space="preserve">De acuerdo con el escrito de la Abogado del Estado la responsabilidad última de determinar un régimen competencial adecuado y garantizar un nivel determinado de servicios corresponde al Estado, a través de su competencia básica del art. 149.1.18 CE, resultando así la presencia de otro título competencial, régimen local, al que igualmente debe atenderse por su especificidad, y en tanto constituye la finalidad del crédito estatal la realización de unos servicios —como son los de seguridad pública y prestación de servicios sociales y promoción y reinserción social— configurados por el propio legislador estatal, en uso de su competencia básica en esta materia (art. 149.1.18 CE), como de prestación obligatoria para los municipios [art. 25.2 a) y k)]. Igualmente recuerda el escrito de la Abogado del Estado </w:t>
      </w:r>
      <w:r>
        <w:lastRenderedPageBreak/>
        <w:t>la doctrina constitucional que reconoce al Estado la capacidad regulatoria “en aquellos casos en los que la normativa estatal tenga por objeto la regulación de instituciones comunes a las distintas haciendas o de medidas de coordinación entre la hacienda estatal y las haciendas de las corporaciones locales. O también cuando su finalidad sea la salvaguarda de la suficiencia financiera de las haciendas locales garantizada por el art. 142 CE, en cuanto presupuesto indispensable para el ejercicio de la autonomía local constitucionalmente reconocido en los arts. 137, 140 y 141 CE (STC 233/1999, FJ 4).</w:t>
      </w:r>
    </w:p>
    <w:p w:rsidR="0026452D" w:rsidRDefault="0026452D" w:rsidP="0026452D">
      <w:pPr>
        <w:pStyle w:val="TextoNormal"/>
      </w:pPr>
    </w:p>
    <w:p w:rsidR="0026452D" w:rsidRDefault="0026452D" w:rsidP="0026452D">
      <w:pPr>
        <w:pStyle w:val="TextoNormal"/>
      </w:pPr>
      <w:r>
        <w:t>c) A continuación señala la Abogado del Estado que si se llegara a considerar que el único título competencial que en este supuesto procede invocar es el de asistencia social, la jurisprudencia del Tribunal Constitucional, si bien reconoce el carácter exclusivo de la competencia en materia de asistencia social, admite al mismo tiempo la posibilidad de intervención del Estado. Para la Abogado del Estado en un Estado autonómico, los poderes públicos despliegan su actividad, también en el terreno de lo social, en el marco del reparto competencial que fija la propia Constitución (arts. 148 y 149) y los respectivos Estatutos de Autonomía, aunque, correspondiendo al Estado en su conjunto, la competencia exclusiva en “la regulación de las condiciones básicas que garanticen la igualdad de todos los españoles en el ejercicio de los derechos y en el cumplimiento de los deberes constitucionales” (art. 149.1.1 CE). Este mandato constitucional expreso a los poderes públicos estatales para que garanticen la igualdad, en general, enlaza, a su vez, con el principio de igualdad (de derechos y obligaciones) que la Constitución establece, en el marco de la organización territorial del Estado, independientemente del territorio en que se habite (art. 139.1). Y así mismo, tiene conexión con el principio de solidaridad, elemento clave tanto del Estado social como del Estado autonómico cuya realización efectiva y garantía son atribuidos expresamente por la propia Constitución al Estado (art. 138.1), principio dinámico y progresivo a través del cual se realiza de manera destacada la función promocional que adquiere el Derecho constitucional en el Estado social.</w:t>
      </w:r>
    </w:p>
    <w:p w:rsidR="0026452D" w:rsidRDefault="0026452D" w:rsidP="0026452D">
      <w:pPr>
        <w:pStyle w:val="TextoNormal"/>
      </w:pPr>
    </w:p>
    <w:p w:rsidR="0026452D" w:rsidRDefault="0026452D" w:rsidP="0026452D">
      <w:pPr>
        <w:pStyle w:val="TextoNormal"/>
      </w:pPr>
      <w:r>
        <w:t>Señala el escrito de la Abogado del Estado que el Estado debe prestar la colaboración a las Administraciones autonómicas y locales para atender a los costes financieros que genera la integración social de los inmigrantes. En ese sentido, una manifestación del deber de colaboración del Estado con los entes locales es el otorgamiento de subvenciones, pues es justamente al legislador estatal a quien incumbe dar efectividad a los principios de suficiencia financiera de las haciendas locales (art. 142 CE) y de solidaridad y equilibrio territorial (art. 138 CE).</w:t>
      </w:r>
    </w:p>
    <w:p w:rsidR="0026452D" w:rsidRDefault="0026452D" w:rsidP="0026452D">
      <w:pPr>
        <w:pStyle w:val="TextoNormal"/>
      </w:pPr>
    </w:p>
    <w:p w:rsidR="0026452D" w:rsidRDefault="0026452D" w:rsidP="0026452D">
      <w:pPr>
        <w:pStyle w:val="TextoNormal"/>
      </w:pPr>
      <w:r>
        <w:t xml:space="preserve">Tras citar doctrina del Tribunal Constitucional en materia de financiación de los entes locales concluye la Abogado del Estado afirmando que el Estado, sin invadir el ámbito sustantivo de la competencia autonómica en materia de asistencia social, está investido de facultades para destinar fondos públicos que coadyuven con los que las propias Comunidades Autónomas dediquen, por su parte, a la promoción y consecución del bienestar social de los españoles, en tanto los arts. 9.2, 138 y 142 CE lo habilitan para emprender acciones como las contenidas en la orden objeto de conflicto, que tienden a potenciar la igualdad entre los ciudadanos. Consecuentemente, debe entenderse excluida también la invasión competencial denunciada por la necesidad de dar efectividad a los principios de suficiencia de las haciendas locales, autonomía de las corporaciones locales y solidaridad (arts. 2, 137, 138.1 y 142 CE), lo que a su vez permite afirmar que la presencia de esta finalidad de salvaguarda de la suficiencia financiera de las entidades locales conduce a apreciar en este caso el ejercicio </w:t>
      </w:r>
      <w:r>
        <w:lastRenderedPageBreak/>
        <w:t>por el Estado de la competencia sobre “hacienda General” contemplada en el art. 149.1.14 CE.</w:t>
      </w:r>
    </w:p>
    <w:p w:rsidR="0026452D" w:rsidRDefault="0026452D" w:rsidP="0026452D">
      <w:pPr>
        <w:pStyle w:val="TextoNormal"/>
      </w:pPr>
    </w:p>
    <w:p w:rsidR="0026452D" w:rsidRDefault="0026452D" w:rsidP="0026452D">
      <w:pPr>
        <w:pStyle w:val="TextoNormal"/>
      </w:pPr>
      <w:r>
        <w:t>d) Prosigue el escrito de la Abogada del Estado afirmando que las ayudas previstas en la orden objeto de conflicto y en la resolución que las convoca se encuentran en este caso respaldadas por los títulos competenciales estatales a que se refiere el art. 149.1.1, 2, 14 y 18 CE. Asimismo distingue entre subvenciones incondicionadas, que no responden a una finalidad o actividad concreta y que “en realidad encubren meras dotaciones presupuestarias destinadas a cubrir necesidades de financiación de un determinado ente” [STC 133/1993, FJ 2 c)], de aquellas otras subvenciones condicionadas o afectas a una finalidad concreta, como sucede en el caso de la orden controvertida, añadiendo que tal distinción resulta relevante porque el art. 48.2, último párrafo, del Estatuto de Autonomía de Cataluña, establece que “las subvenciones incondicionadas se percibirán (por los entes locales) a través de la Generalitat”, limitación a esa modalidad de subvenciones que, pone de manifiesto la posibilidad del otorgamiento directo de subvenciones a los Entes Locales por parte del Estado.</w:t>
      </w:r>
    </w:p>
    <w:p w:rsidR="0026452D" w:rsidRDefault="0026452D" w:rsidP="0026452D">
      <w:pPr>
        <w:pStyle w:val="TextoNormal"/>
      </w:pPr>
    </w:p>
    <w:p w:rsidR="0026452D" w:rsidRDefault="0026452D" w:rsidP="0026452D">
      <w:pPr>
        <w:pStyle w:val="TextoNormal"/>
      </w:pPr>
      <w:r>
        <w:t>Finaliza el escrito de la Abogada del Estado reconduciendo las ayudas previstas en las disposiciones objeto de conflicto al supuesto d) del fundamento jurídico 8 de la STC 13/1992, en tanto la integración social de los inmigrantes constituye un problema cuyo tratamiento excede del ámbito de la Comunidad Autónoma, pues se traduce, en definitiva, en una política social que sólo tiene sentido referida al país en su conjunto, sin que el Estado pueda permanecer ajeno ante la problemática social que conlleva la inmigración y que exige un planteamiento global de ámbito estatal a través de intervenciones de asistencia social de alcance suprautonómico como ocurre con esta adopción de medidas de fomento. Resultando por ello constitucionalmente admisible el régimen centralizado de ayudas que establecen la Orden TIN/2158/2008, de 18 de julio, y la resolución de 11 de agosto de 2008, de la Dirección General de Integración de los Inmigrantes, en la medida en que la plena efectividad de las ayudas exige su gestión centralizada. Correspondiendo pues al Estado la regulación íntegra de las condiciones de otorgamiento y del procedimiento para la concesión de tales ayudas, así como la gestión plena y directa de las mismas, incluyendo su convocatoria, tramitación, resolución y pago, aspectos que se incluyen en el articulado y correspondientes anexos de las disposiciones objeto de conflicto y que responden al alcance que debe darse a las competencias que al Estado le han sido constitucionalmente atribuidas.</w:t>
      </w:r>
    </w:p>
    <w:p w:rsidR="0026452D" w:rsidRDefault="0026452D" w:rsidP="0026452D">
      <w:pPr>
        <w:pStyle w:val="TextoNormal"/>
      </w:pPr>
    </w:p>
    <w:p w:rsidR="0026452D" w:rsidRDefault="0026452D" w:rsidP="0026452D">
      <w:pPr>
        <w:pStyle w:val="TextoNormal"/>
      </w:pPr>
      <w:r>
        <w:t>Por las razones reproducidas la Abogado del Estado solicita que se declare que la competencia controvertida corresponde al Estado.</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providencia de 29 de enero de 2013 se señaló para deliberación y votación de la presente Sentencia el día 31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El presente proceso constitucional tiene por objeto resolver el conflicto positivo de competencia planteado por el Gobierno de la Generalitat de Cataluña contra la Orden TIN/2158/2008, de 18 de julio, por la que se establecen las bases reguladoras para la concesión de las subvenciones a entidades locales para el desarrollo de programas innovadores a favor de la integración de inmigrantes, y contra la resolución de 11 de agosto de 2008, de </w:t>
      </w:r>
      <w:r>
        <w:lastRenderedPageBreak/>
        <w:t>la Dirección General de Integración de los Inmigrantes, por la que se convoca la concesión de subvenciones a municipios, mancomunidades de municipios y comarcas para el desarrollo de programas innovadores a favor de la integración de inmigrantes.</w:t>
      </w:r>
    </w:p>
    <w:p w:rsidR="0026452D" w:rsidRDefault="0026452D" w:rsidP="0026452D">
      <w:pPr>
        <w:pStyle w:val="TextoNormal"/>
      </w:pPr>
    </w:p>
    <w:p w:rsidR="0026452D" w:rsidRDefault="0026452D" w:rsidP="0026452D">
      <w:pPr>
        <w:pStyle w:val="TextoNormal"/>
      </w:pPr>
      <w:r>
        <w:t>Para el Gobierno de la Generalitat de Cataluña ni la orden ni la resolución objeto de conflicto respetan la distribución de competencias en las materias integración social de los inmigrantes y asistencia social derivada del bloque de constitucionalidad en cuanto que dichas disposiciones centralizan en los órganos estatales la regulación, tramitación y resolución de las ayudas referidas, ignorando de este modo la doctrina constitucional recaída en relación con las subvenciones. Por su parte, la Abogado del Estado sostiene la conformidad de la centralización de la regulación, tramitación y resolución de las ayudas con la doctrina constitucional al tratarse de uno de los supuestos en que puede producirse aquella.</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al examen de fondo, procede realizar alguna precisión en relación con el objeto del recurso.</w:t>
      </w:r>
    </w:p>
    <w:p w:rsidR="0026452D" w:rsidRDefault="0026452D" w:rsidP="0026452D">
      <w:pPr>
        <w:pStyle w:val="TextoNormal"/>
      </w:pPr>
    </w:p>
    <w:p w:rsidR="0026452D" w:rsidRDefault="0026452D" w:rsidP="0026452D">
      <w:pPr>
        <w:pStyle w:val="TextoNormal"/>
      </w:pPr>
      <w:r>
        <w:t>La Orden TIN/2158/2008, de 18 de julio, que establece las bases reguladoras para la concesión de las subvenciones a entidades locales para el desarrollo de programas innovadores a favor de la integración de inmigrantes, ha sido explícitamente derogada por la Orden ESS/1744/2012, de 2 de agosto, por la que se establecen las bases reguladoras para la concesión de las subvenciones a entidades locales para el desarrollo de programas innovadores a favor de la integración de inmigrantes. Debemos considerar la incidencia que pueda tener en el proceso el hecho de que la orden, objeto del presente conflicto, haya sido derogada.</w:t>
      </w:r>
    </w:p>
    <w:p w:rsidR="0026452D" w:rsidRDefault="0026452D" w:rsidP="0026452D">
      <w:pPr>
        <w:pStyle w:val="TextoNormal"/>
      </w:pPr>
    </w:p>
    <w:p w:rsidR="0026452D" w:rsidRDefault="0026452D" w:rsidP="0026452D">
      <w:pPr>
        <w:pStyle w:val="TextoNormal"/>
      </w:pPr>
      <w:r>
        <w:t>La incidencia de la citada derogación sobre el objeto del presente recurso de inconstitucionalidad debe ser examinada a la luz de lo que este Tribunal ha afirmado reiteradamente en relación con las modificaciones normativas en procesos constitucionales de naturaleza competencial, pues hemos dicho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18/2011, de 3 de marzo, FJ 3, y las allí citadas). De modo que si la normativa en torno a la cual se trabó el conflicto resulta parcialmente modificada por otra que viene a plantear los mismos problemas competenciales la consecuencia será la no desaparición del conflicto (por todas, STC 133/2012, de 19 de junio, FJ 2).</w:t>
      </w:r>
    </w:p>
    <w:p w:rsidR="0026452D" w:rsidRDefault="0026452D" w:rsidP="0026452D">
      <w:pPr>
        <w:pStyle w:val="TextoNormal"/>
      </w:pPr>
    </w:p>
    <w:p w:rsidR="0026452D" w:rsidRDefault="0026452D" w:rsidP="0026452D">
      <w:pPr>
        <w:pStyle w:val="TextoNormal"/>
      </w:pPr>
      <w:r>
        <w:t>Así, en el presente asunto, en el que la Orden TIN/2158/2008, de 18 de julio, objeto de impugnación ha sido explícitamente derogada por la Orden ESS/1744/2012, de 2 de agosto, se produce la sustitución de la orden objeto de conflicto por otra normativa que reproduce, aun con una redacción diferente, las mismas cuestiones objeto de controversia. Por tanto, en aplicación de la doctrina de este Tribunal ha de alcanzarse la conclusión de que, pese a su modificación, el conflicto de competencia promovido mantiene vivo su objeto.</w:t>
      </w:r>
    </w:p>
    <w:p w:rsidR="0026452D" w:rsidRDefault="0026452D" w:rsidP="0026452D">
      <w:pPr>
        <w:pStyle w:val="TextoNormal"/>
      </w:pPr>
    </w:p>
    <w:p w:rsidR="0026452D" w:rsidRDefault="0026452D" w:rsidP="0026452D">
      <w:pPr>
        <w:pStyle w:val="TextoNormal"/>
      </w:pPr>
      <w:r>
        <w:t xml:space="preserve">En lo que se refiere a la resolución de 11 de agosto de 2008, de la Dirección General de Integración de los Inmigrantes, y aunque la misma haya agotado ya sus efectos, no cabe </w:t>
      </w:r>
      <w:r>
        <w:lastRenderedPageBreak/>
        <w:t>sino igualmente afirmar que el conflicto de competencia mantiene, también, frente a ella vivo su objeto, pues lo relevante no es tanto el agotamiento de los efectos de la concreta norma impugnada cuanto determinar si con ese agotamiento ha cesado o no la controversia competencial, toda vez que el objetivo al que sirven los procesos competenciales es poner fin a la misma a la luz del orden constitucional de reparto de competencias. Cabe, igualmente, trasladar a los supuestos de resoluciones que convocan ayudas para un año concreto y que agotan, así, sus efectos, nuestra doctrina dictada en relación con la vigencia de las leyes de presupuestos, a cuyo tenor “excluir la posibilidad de examen constitucional en estos supuestos ‘sería tanto como negar la posibilidad de control por este Tribunal Constitucional de determinadas normas con vigencia limitada en el tiempo ... creándose así un ámbito normativo (estatal o autonómico) inmune al control de la jurisdicción constitucional’ (por todas, STC 13/2007, de 18 de enero, FJ 1)” [STC 197/2012, de 6 de noviembre, FJ 2].</w:t>
      </w:r>
    </w:p>
    <w:p w:rsidR="0026452D" w:rsidRDefault="0026452D" w:rsidP="0026452D">
      <w:pPr>
        <w:pStyle w:val="TextoNormal"/>
      </w:pPr>
    </w:p>
    <w:p w:rsidR="0026452D" w:rsidRDefault="0026452D" w:rsidP="0026452D">
      <w:pPr>
        <w:pStyle w:val="TextoNormal"/>
      </w:pPr>
      <w:r w:rsidRPr="0026452D">
        <w:rPr>
          <w:rStyle w:val="NumeroAFNegritaCaracter"/>
        </w:rPr>
        <w:t>3</w:t>
      </w:r>
      <w:r>
        <w:t>. Tras lo expuesto, procede entrar ya en el fondo del asunto, señalando que, de acuerdo con nuestra doctrina (por todas,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debemos examinar el contenido concreto de las disposiciones objeto de conflicto.</w:t>
      </w:r>
    </w:p>
    <w:p w:rsidR="0026452D" w:rsidRDefault="0026452D" w:rsidP="0026452D">
      <w:pPr>
        <w:pStyle w:val="TextoNormal"/>
      </w:pPr>
    </w:p>
    <w:p w:rsidR="0026452D" w:rsidRDefault="0026452D" w:rsidP="0026452D">
      <w:pPr>
        <w:pStyle w:val="TextoNormal"/>
      </w:pPr>
      <w:r>
        <w:t>Las partes discrepan sobre el encuadramiento competencial de las referidas ayudas, pues mientras que la Comunidad Autónoma considera que las mismas son enmarcables en el título competencial autonómico en materia de asistencia social, la Abogado del Estado afirma que se fundamentan en las competencias del Estado sobre la regulación de las condiciones básicas que garanticen la igualdad de todos los españoles en el ejercicio de los derechos del art. 149.1.1 CE, sobre inmigración del art. 149.1.2 CE; sobre hacienda general y deuda del Estado del art. 149.1.14 CE y sobre las bases del régimen jurídico de las Administraciones públicas del art. 149.1.18 CE.</w:t>
      </w:r>
    </w:p>
    <w:p w:rsidR="0026452D" w:rsidRDefault="0026452D" w:rsidP="0026452D">
      <w:pPr>
        <w:pStyle w:val="TextoNormal"/>
      </w:pPr>
    </w:p>
    <w:p w:rsidR="0026452D" w:rsidRDefault="0026452D" w:rsidP="0026452D">
      <w:pPr>
        <w:pStyle w:val="TextoNormal"/>
      </w:pPr>
      <w:r w:rsidRPr="0026452D">
        <w:rPr>
          <w:rStyle w:val="NumeroAFNegritaCaracter"/>
        </w:rPr>
        <w:t>4</w:t>
      </w:r>
      <w:r>
        <w:t>. Para identificar la materia en la que proceda encuadrar las subvenciones controvertidas en el presente conflicto, debemos examinar en primer lugar el contenido concreto tanto de la Orden TIN/2158/2008, de 18 de julio, como de la resolución de 11 de agosto de 2008, de la Dirección General de Integración de los Inmigrantes.</w:t>
      </w:r>
    </w:p>
    <w:p w:rsidR="0026452D" w:rsidRDefault="0026452D" w:rsidP="0026452D">
      <w:pPr>
        <w:pStyle w:val="TextoNormal"/>
      </w:pPr>
    </w:p>
    <w:p w:rsidR="0026452D" w:rsidRDefault="0026452D" w:rsidP="0026452D">
      <w:pPr>
        <w:pStyle w:val="TextoNormal"/>
      </w:pPr>
      <w:r>
        <w:t xml:space="preserve">La Orden TIN/2158/2008, de 18 de julio, tiene por objeto el establecimiento de las bases reguladoras de la concesión de subvenciones públicas a municipios, mancomunidades de municipios, comarcas o aquellas otras entidades locales que se determinen en la correspondiente resolución de convocatoria para “la realización de programas innovadores en materia de integración de los inmigrantes. A estos efectos, se entiende como innovadores aquellos programas cuyas actuaciones introduzcan nuevas formas de intervención social, faciliten la inclusión social, prevengan situaciones de riesgo y promuevan la convivencia ciudadana en el entorno local” (art. 1 de la orden). De acuerdo con la orden, las ayudas se podrán conceder a aquellas entidades locales que superen los umbrales de población y porcentajes de extranjeros no comunitarios empadronados que se determinen en la correspondiente convocatoria. Y se darán para desarrollar proyectos innovadores y siempre que las entidades locales aporten una cofinanciación a determinar en la resolución de convocatoria (art. 3). La orden tras </w:t>
      </w:r>
      <w:r>
        <w:lastRenderedPageBreak/>
        <w:t>establecer los órganos competentes para la ordenación, instrucción y resolución del procedimiento (art. 4) se completa con la regulación de los siguientes aspectos: la forma de presentación de solicitudes (solicitud, memorias, presupuesto de los programas, documentación y subsanación de errores) (art. 5); los criterios de valoración de la subvención (art. 6); la evaluación y propuesta de resolución (art. 7) la resolución (art. 8); el pago de la subvención (art. 9); la modificación de los programas (art. 10); las subcontrataciones (art. 11); la modificación de la resolución de la concesión de la subvención (art. 12); las obligaciones de los beneficiarios (art. 13); el control, seguimiento y evaluación (art. 14); la justificación de la subvención a través de las memorias justificativas y explicativas de la realización del programa subvencionado (arts. 15, 16 y 17),; la responsabilidad y el régimen sancionador (art. 18); los reintegros (art. 19); más tres disposiciones finales referidas al régimen jurídico de aplicación supletoria, a las facultades de desarrollo y a la entrada en vigor.</w:t>
      </w:r>
    </w:p>
    <w:p w:rsidR="0026452D" w:rsidRDefault="0026452D" w:rsidP="0026452D">
      <w:pPr>
        <w:pStyle w:val="TextoNormal"/>
      </w:pPr>
    </w:p>
    <w:p w:rsidR="0026452D" w:rsidRDefault="0026452D" w:rsidP="0026452D">
      <w:pPr>
        <w:pStyle w:val="TextoNormal"/>
      </w:pPr>
      <w:r>
        <w:t>La resolución de 11 de agosto de 2008, de la Dirección General de Integración de los Inmigrantes, convoca la concesión de subvenciones a municipios, mancomunidades de municipios y comarcas, para el año 2008, subvenciones que se regirán por lo dispuesto en la Orden TIN/2158/2008, de 18 de julio (apartado primero). En sus distintos apartados la Resolución recoge aspectos relativos al objeto, programas y financiación (apartado segundo), a los requisitos de los beneficiarios (apartado tercero), a la presentación de solicitudes (apartado cuarto), a la subsanación de errores (apartado quinto), a los órganos competentes (apartado sexto), a los criterios de valoración de los programas (apartado séptimo), plazo de ejecución (apartado octavo), a la resolución (apartado noveno), a las obligaciones de los beneficiarios (apartado décimo), a la justificación económica (apartado undécimo) o la necesidad de tener en cuenta lo dispuesto en la Orden TIN/2158/2008, de 18 de julio en todo lo no contemplado en la resolución (apartado duodécimo).</w:t>
      </w:r>
    </w:p>
    <w:p w:rsidR="0026452D" w:rsidRDefault="0026452D" w:rsidP="0026452D">
      <w:pPr>
        <w:pStyle w:val="TextoNormal"/>
      </w:pPr>
    </w:p>
    <w:p w:rsidR="0026452D" w:rsidRDefault="0026452D" w:rsidP="0026452D">
      <w:pPr>
        <w:pStyle w:val="TextoNormal"/>
      </w:pPr>
      <w:r w:rsidRPr="0026452D">
        <w:rPr>
          <w:rStyle w:val="NumeroAFNegritaCaracter"/>
        </w:rPr>
        <w:t>5</w:t>
      </w:r>
      <w:r>
        <w:t>. A la vista del contenido de la orden y de la resolución objeto del presente conflicto debemos examinar a continuación si las ayudas controvertidas se encuadran en alguna de las materias que nos plantea el escrito de la Abogacía del Estado o, alternativamente, en la materia que nos plantea la representación de la Generalitat de Cataluña.</w:t>
      </w:r>
    </w:p>
    <w:p w:rsidR="0026452D" w:rsidRDefault="0026452D" w:rsidP="0026452D">
      <w:pPr>
        <w:pStyle w:val="TextoNormal"/>
      </w:pPr>
    </w:p>
    <w:p w:rsidR="0026452D" w:rsidRDefault="0026452D" w:rsidP="0026452D">
      <w:pPr>
        <w:pStyle w:val="TextoNormal"/>
      </w:pPr>
      <w:r>
        <w:t>A estos efectos debemos recordar la doctrina establecida por este Tribunal en la reciente STC 227/2012, de 29 de noviembre, donde se planteaba la conformidad con la Constitución de la Orden TAS/3441/2005, de 2 de noviembre, por la que se establecen las bases reguladoras y se convoca, para el año 2005, la concesión de subvenciones a municipios y mancomunidades de municipios para el desarrollo de programas innovadores a favor de la integración de inmigrantes. En aquella ocasión, se trataba de unas ayudas con una finalidad y un contenido prácticamente iguales a las ayudas establecidas por las disposiciones objeto del presente conflicto. Entonces este Tribunal rechazó que las ayudas controvertidas se pudiesen fundamentar en los títulos alegados por la representación del Estado. A la misma conclusión debemos llegar ahora.</w:t>
      </w:r>
    </w:p>
    <w:p w:rsidR="0026452D" w:rsidRDefault="0026452D" w:rsidP="0026452D">
      <w:pPr>
        <w:pStyle w:val="TextoNormal"/>
      </w:pPr>
    </w:p>
    <w:p w:rsidR="0026452D" w:rsidRDefault="0026452D" w:rsidP="0026452D">
      <w:pPr>
        <w:pStyle w:val="TextoNormal"/>
      </w:pPr>
      <w:r>
        <w:t>a) Así, debemos descartar, en primer lugar, que las ayudas del Estado establecidas en la disposiciones objeto de conflicto puedan fundamentarse en la competencia del Estado sobre inmigración del art. 149.1.2 CE, para lo cual debemos recordar —como hacíamos en la STC 227/2012, 29 de noviembre— la doctrina de este Tribunal en relación con el alcance de aquel título competencial estatal.</w:t>
      </w:r>
    </w:p>
    <w:p w:rsidR="0026452D" w:rsidRDefault="0026452D" w:rsidP="0026452D">
      <w:pPr>
        <w:pStyle w:val="TextoNormal"/>
      </w:pPr>
    </w:p>
    <w:p w:rsidR="0026452D" w:rsidRDefault="0026452D" w:rsidP="0026452D">
      <w:pPr>
        <w:pStyle w:val="TextoNormal"/>
      </w:pPr>
      <w:r>
        <w:lastRenderedPageBreak/>
        <w:t xml:space="preserve">En la STC 31/2010, de 28 de junio, afirmamos que “como señala el Abogado del Estado, la evolución del fenómeno inmigratorio en España impide configurar la competencia estatal </w:t>
      </w:r>
      <w:r w:rsidRPr="0026452D">
        <w:rPr>
          <w:i/>
        </w:rPr>
        <w:t>ex</w:t>
      </w:r>
      <w:r>
        <w:t xml:space="preserve"> art. 149.1.2 CE como un título horizontal de alcance ilimitado que enerve los títulos competenciales de las Comunidades Autónomas de carácter sectorial con evidente incidencia en la población migratoria, en relación con la cual han adquirido especial importancia las prestaciones de determinados servicios sociales y las correspondientes políticas públicas (educación, asistencia social, sanidad, vivienda, cultura, etc.).” (FJ 83).</w:t>
      </w:r>
    </w:p>
    <w:p w:rsidR="0026452D" w:rsidRDefault="0026452D" w:rsidP="0026452D">
      <w:pPr>
        <w:pStyle w:val="TextoNormal"/>
      </w:pPr>
    </w:p>
    <w:p w:rsidR="0026452D" w:rsidRDefault="0026452D" w:rsidP="0026452D">
      <w:pPr>
        <w:pStyle w:val="TextoNormal"/>
      </w:pPr>
      <w:r>
        <w:t>Ciertamente, en el ámbito de la prestación de servicios públicos a los inmigrantes en ejercicio de sus derechos sociales —por ejemplo, educación, sanidad, vivienda, servicios sociales o cultura— el Estado siempre podrá ejercer sus competencias específicas reservadas en los diversos títulos del art. 149.1 CE —competencias, por ejemplo, en materia de educación, sanidad o régimen de la seguridad social—. Sin embargo, se debe excluir que sobre tal ámbito incida la competencia reservada al Estado en el art. 149.1.2 CE. Así, si bien la entrada y residencia de extranjeros se inscriben en el ámbito de la inmigración y la extranjería, las ayudas previstas en la orden objeto del presente conflicto no se corresponden con esta materia constitucional, pues el objeto de las mismas —la realización de programas innovadores en materia de integración de los inmigrantes, entendiendo a estos efectos como innovadores aquellos programas cuyas actuaciones introduzcan nuevas formas de intervención social, faciliten la inclusión social, prevengan situaciones de riesgo y promuevan la convivencia ciudadana en el entorno local según el art. 1 de la orden objeto de conflicto— es más propio, como explicaremos ahora, de la materia de asistencia social.</w:t>
      </w:r>
    </w:p>
    <w:p w:rsidR="0026452D" w:rsidRDefault="0026452D" w:rsidP="0026452D">
      <w:pPr>
        <w:pStyle w:val="TextoNormal"/>
      </w:pPr>
    </w:p>
    <w:p w:rsidR="0026452D" w:rsidRDefault="0026452D" w:rsidP="0026452D">
      <w:pPr>
        <w:pStyle w:val="TextoNormal"/>
      </w:pPr>
      <w:r>
        <w:t>b) Debemos descartar, en segundo lugar —como ya hicimos en la STC 227/2012, de 29 de noviembre, FJ 4—, que las ayudas del Estado establecidas en las disposiciones objeto de conflicto puedan fundamentarse en la competencia del Estado sobre hacienda general y deuda del Estado del art. 149.1.14 CE, para lo cual debemos recordar igualmente la doctrina de este Tribunal en relación con el alcance de aquel título competencial estatal.</w:t>
      </w:r>
    </w:p>
    <w:p w:rsidR="0026452D" w:rsidRDefault="0026452D" w:rsidP="0026452D">
      <w:pPr>
        <w:pStyle w:val="TextoNormal"/>
      </w:pPr>
    </w:p>
    <w:p w:rsidR="0026452D" w:rsidRDefault="0026452D" w:rsidP="0026452D">
      <w:pPr>
        <w:pStyle w:val="TextoNormal"/>
      </w:pPr>
      <w:r>
        <w:t>En la STC 233/1999, sostuvimos que “sólo de manera puntual podrá el Estado regular con carácter exclusivo tal materia [la regulación de la Hacienda local], haciendo prevalecer el otro título competencial a que hace referencia el art. 1.1 LHL., esto es, el de la ‘Hacienda general’ del art. 149.1.14 CE. Así ocurrirá, en efecto, en aquellos casos en los que la normativa estatal tenga por objeto la regulación de instituciones comunes a las distintas Haciendas o de medidas de coordinación entre la Hacienda estatal y las Haciendas de las Corporaciones Locales. O también cuando su finalidad sea la salvaguarda de la suficiencia financiera de las Haciendas locales garantizada por el art. 142 CE, en cuanto presupuesto indispensable para el ejercicio de la autonomía local constitucionalmente reconocido en los arts. 137, 140 y 141 CE (SSTC 96/1990, fundamento jurídico 7º; 237/1992, fundamento jurídico 6º; 331/1993, fundamentos jurídicos 2º y 3º; y 171/1996, fundamento jurídico 5).” (STC 233/1999, de 16 de diciembre, FJ 4).</w:t>
      </w:r>
    </w:p>
    <w:p w:rsidR="0026452D" w:rsidRDefault="0026452D" w:rsidP="0026452D">
      <w:pPr>
        <w:pStyle w:val="TextoNormal"/>
      </w:pPr>
    </w:p>
    <w:p w:rsidR="0026452D" w:rsidRDefault="0026452D" w:rsidP="0026452D">
      <w:pPr>
        <w:pStyle w:val="TextoNormal"/>
      </w:pPr>
      <w:r>
        <w:t xml:space="preserve">Tal doctrina nos ha llevado a descartar recientemente que el Estado ejercite la competencia sobre “hacienda general” contemplada en el art. 149.1.14 CE, cuando su regulación no tenga como objeto o finalidad principal ni la regulación de instituciones comunes de la hacienda local, ni la salvaguarda de la suficiencia financiera de las entidades locales (STC 150/2012, de 5 de julio, FJ 4). Esta conclusión es plenamente aplicable ahora al presente </w:t>
      </w:r>
      <w:r>
        <w:lastRenderedPageBreak/>
        <w:t>conflicto, pues las ayudas previstas en la Orden TIN/2158/2008, de 18 de julio, y convocadas por la Resolución de 11 de agosto de 2008, de la Dirección General de Integración de los Inmigrantes, tienen como objetivo la realización de programas innovadores en materia de integración de los inmigrantes, entendiendo a estos efectos como innovadores aquellos programas cuyas actuaciones introduzcan nuevas formas de intervención social, faciliten la inclusión social, prevengan situaciones de riesgo y promuevan la convivencia ciudadana en el entorno local (art. 1 de la orden). Objetivo que permite descartar que el Estado ejercite en este caso la competencia sobre “hacienda general” contemplada en el art. 149.1.14 CE, pues las ayudas previstas en las disposiciones referidas no tienen como objeto o finalidad principal ni la regulación de instituciones comunes de la hacienda local, ni la salvaguarda de la suficiencia financiera de las entidades locales. Ciertamente, a través de las ayudas previstas, el Estado financia a los Ayuntamientos para que realicen programas que faciliten la inclusión social, prevengan situaciones de riesgo y promuevan la convivencia. Pero esta transferencia de recursos de la hacienda estatal a las locales persigue no tanto la financiación de las entidades locales como la integración social de la población inmigrante.</w:t>
      </w:r>
    </w:p>
    <w:p w:rsidR="0026452D" w:rsidRDefault="0026452D" w:rsidP="0026452D">
      <w:pPr>
        <w:pStyle w:val="TextoNormal"/>
      </w:pPr>
    </w:p>
    <w:p w:rsidR="0026452D" w:rsidRDefault="0026452D" w:rsidP="0026452D">
      <w:pPr>
        <w:pStyle w:val="TextoNormal"/>
      </w:pPr>
      <w:r>
        <w:t>c) Debemos descartar, en tercer lugar —y como igualmente hicimos en la STC 227/2012, de 29 de noviembre, FJ 4—, que las ayudas del Estado establecidas en las disposiciones objeto de conflicto puedan fundamentarse en la competencia del Estado sobre las bases del régimen jurídico de las Administraciones públicas del art. 149.1.18 CE.</w:t>
      </w:r>
    </w:p>
    <w:p w:rsidR="0026452D" w:rsidRDefault="0026452D" w:rsidP="0026452D">
      <w:pPr>
        <w:pStyle w:val="TextoNormal"/>
      </w:pPr>
    </w:p>
    <w:p w:rsidR="0026452D" w:rsidRDefault="0026452D" w:rsidP="0026452D">
      <w:pPr>
        <w:pStyle w:val="TextoNormal"/>
      </w:pPr>
      <w:r>
        <w:t>En efecto, este Tribunal ha descartado recientemente la posibilidad de que el carácter bifronte del régimen local que, entre otros extremos, permite que el Estado entable relaciones directas con las entidades locales, pueda fundamentar que el Estado puede interesarse en el ejercicio de las competencias locales mediante el otorgamiento de subvenciones directas sin intervención autonómica, pues tal como dijimos “entonces ‘este planteamiento debe rechazarse ya que no se refiere a una materia o sector de la actividad pública en concreto. Como hemos señalado en reiteradas ocasiones y desde fecha muy temprana, la subvención no es concepto que delimite competencias (STC 95/1986, de 10 de julio, FJ 3, con cita de la SSTC 39/1982, de 30 de junio; y 179/1985, de 19 de diciembre), por lo que es preciso incardinar las ayudas o subvenciones que puedan establecerse en las distintas áreas o segmentos de la acción pública en la que proceda encuadrar las subvenciones de que se trate según la distribución constitucional de competencias existente en la materia (STC 129/2010, de 29 de noviembre, FJ 3, con cita de la STC 65/2010, de 18 de octubre, FJ 5).’ (STC 150/2012, de 5 de julio, FJ 4).” [STC 227/2012, FJ 4 d), comillas interiores suprimidas].</w:t>
      </w:r>
    </w:p>
    <w:p w:rsidR="0026452D" w:rsidRDefault="0026452D" w:rsidP="0026452D">
      <w:pPr>
        <w:pStyle w:val="TextoNormal"/>
      </w:pPr>
    </w:p>
    <w:p w:rsidR="0026452D" w:rsidRDefault="0026452D" w:rsidP="0026452D">
      <w:pPr>
        <w:pStyle w:val="TextoNormal"/>
      </w:pPr>
      <w:r>
        <w:t>d) Descartadas las opciones de encuadramiento material planteadas en el escrito de la Abogacía del Estado, debemos examinar ahora el encuadramiento de las ayudas en la materia que nos plantea la Generalitat de Cataluña, la materia de asistencia social.</w:t>
      </w:r>
    </w:p>
    <w:p w:rsidR="0026452D" w:rsidRDefault="0026452D" w:rsidP="0026452D">
      <w:pPr>
        <w:pStyle w:val="TextoNormal"/>
      </w:pPr>
    </w:p>
    <w:p w:rsidR="0026452D" w:rsidRDefault="0026452D" w:rsidP="0026452D">
      <w:pPr>
        <w:pStyle w:val="TextoNormal"/>
      </w:pPr>
      <w:r>
        <w:t xml:space="preserve">Este Tribunal ya ha tenido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w:t>
      </w:r>
      <w:r>
        <w:lastRenderedPageBreak/>
        <w:t>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(STC 36/2012, de 15 de marzo, FJ 4). Bajo esta caracterización se deben encuadrar las subvenciones recogidas en la orden objeto del presente conflicto de competencia, pues tienen como objeto precisamente, tal como se recoge en su art. 1, “la realización de programas innovadores en materia de integración de los inmigrantes. A estos efectos, se entiende como innovadores aquellos programas cuyas actuaciones introduzcan nuevas formas de intervención social, faciliten la inclusión social, prevengan situaciones de riesgo y promuevan la convivencia ciudadana en el entorno local”.</w:t>
      </w:r>
    </w:p>
    <w:p w:rsidR="0026452D" w:rsidRDefault="0026452D" w:rsidP="0026452D">
      <w:pPr>
        <w:pStyle w:val="TextoNormal"/>
      </w:pPr>
    </w:p>
    <w:p w:rsidR="0026452D" w:rsidRDefault="0026452D" w:rsidP="0026452D">
      <w:pPr>
        <w:pStyle w:val="TextoNormal"/>
      </w:pPr>
      <w:r w:rsidRPr="0026452D">
        <w:rPr>
          <w:rStyle w:val="NumeroAFNegritaCaracter"/>
        </w:rPr>
        <w:t>6</w:t>
      </w:r>
      <w:r>
        <w:t>. Una vez identificada la materia a la que se refieren las disposiciones objeto de conflicto, asistencia social, hemos de examinar la distribución de competencias sobre la misma que se deriva de lo dispuesto en la Constitución y en el Estatuto de Autonomía de Cataluña.</w:t>
      </w:r>
    </w:p>
    <w:p w:rsidR="0026452D" w:rsidRDefault="0026452D" w:rsidP="0026452D">
      <w:pPr>
        <w:pStyle w:val="TextoNormal"/>
      </w:pPr>
    </w:p>
    <w:p w:rsidR="0026452D" w:rsidRDefault="0026452D" w:rsidP="0026452D">
      <w:pPr>
        <w:pStyle w:val="TextoNormal"/>
      </w:pPr>
      <w:r>
        <w:t>La Constitución se refiere a la asistencia social en el art. 148.1.20 CE como una materia sobre la que las Comunidades Autónomas pueden asumir la competencia. Así lo ha hecho Cataluña en el art. 166 de su vigente Estatuto de Autonomía. Debemos señalar que en este momento se encuentra vigente la Ley Orgánica 6/2006, de 19 de julio, de reforma del Estatuto de Autonomía de Cataluña, a cuyas prescripciones, y no a las estatutarias vigentes en el momento de formalizarse el recurso, habremos de atenernos de acuerdo con nuestra doctrina según la cual el control de las normas que incurren en un posible exceso competencial debe hacerse de acuerdo con las normas del bloque de la constitucionalidad vigentes en el momento de dictar Sentencia (STC 1/2011, de 14 de febrero, FJ 2 y doctrina allí citada).</w:t>
      </w:r>
    </w:p>
    <w:p w:rsidR="0026452D" w:rsidRDefault="0026452D" w:rsidP="0026452D">
      <w:pPr>
        <w:pStyle w:val="TextoNormal"/>
      </w:pPr>
    </w:p>
    <w:p w:rsidR="0026452D" w:rsidRDefault="0026452D" w:rsidP="0026452D">
      <w:pPr>
        <w:pStyle w:val="TextoNormal"/>
      </w:pPr>
      <w:r>
        <w:t xml:space="preserve">El art. 166 del vigente Estatuto de Autonomía caracteriza las competencias de la Comunidad Autónoma en materia de asistencia social como exclusivas; no obstante, como hemos tenido la oportunidad de reiterar, la competencia de la Comunidad Autónoma “no impide el ejercicio de las competencias del Estado </w:t>
      </w:r>
      <w:r w:rsidRPr="0026452D">
        <w:rPr>
          <w:i/>
        </w:rPr>
        <w:t>ex</w:t>
      </w:r>
      <w:r>
        <w:t xml:space="preserve"> art. 149.1 CE, sea cuando éstas concurran con las autonómicas sobre el mismo espacio físico o sea sobre el mismo objeto jurídico”. (STC 31/2010, de 28 de junio, FJ 104). Al respecto, debemos insistir una vez más que las competencias autonómicas sobre materias no incluidas en el art. 149.1 CE, aunque se enuncien como “competencias exclusivas”, no cierran el paso a las competencias estatales previstas en aquel precepto constitucional. Por tanto, y como ya tuvimos ocasión de afirmar en relación, precisamente, con el art. 166 del vigente Estatuto de Autonomía de Cataluña, “el enunciado de la competencia autonómica como exclusiva no enerva las diferentes competencias del Estado que puedan estar implicadas (art. 149.1.6, 7 y 17 CE, entre otras), debiendo insistir, no obstante, en que de ningún modo se precisa una expresa salvaguarda de las competencias constitucionalmente reservadas al Estado por el art. 149.1 CE, puesto que constituyen límites infranqueables a los enunciados estatutarios.” (STC 31/2010, FJ 104).</w:t>
      </w:r>
    </w:p>
    <w:p w:rsidR="0026452D" w:rsidRDefault="0026452D" w:rsidP="0026452D">
      <w:pPr>
        <w:pStyle w:val="TextoNormal"/>
      </w:pPr>
    </w:p>
    <w:p w:rsidR="0026452D" w:rsidRDefault="0026452D" w:rsidP="0026452D">
      <w:pPr>
        <w:pStyle w:val="TextoNormal"/>
      </w:pPr>
      <w:r>
        <w:t xml:space="preserve">En el presente conflicto la Abogado del Estado ha defendido que el Estado puede regular las ayudas controvertidas con arreglo al art. 149.1.1 CE. Sin embargo, este Tribunal en la reciente STC 227/2012, de 29 de noviembre, FJ 5, ya descartó que el Estado pudiera justificar en este título unas ayudas prácticamente iguales a las contenidas en las disposiciones objeto del presente conflicto. En efecto en aquella ocasión afirmamos que “nuestra doctrina sobre el art. 149.1.1 CE afirma que ‘no puede operar como una especie de título horizontal, </w:t>
      </w:r>
      <w:r>
        <w:lastRenderedPageBreak/>
        <w:t xml:space="preserve">capaz de introducirse en cualquier materia o sector del ordenamiento’ (entre otras, SSTC 239/2002, de 11 de diciembre, FJ 10; 228/2003, de 18 de diciembre, FJ 10; y 150/2012, de 5 de julio, FJ 4). Así lo hemos recordado recientemente en las SSTC 173/2012, de 15 de octubre, FJ 5 a); y 177/2012, de 15 de octubre, FJ 5 a), en las cuales rechazamos que el art. 149.1.1 CE fuese un título competencial suficiente para justificar determinadas ayudas en materia de asistencia social. Por otra parte, debemos descartar que la regulación de las ayudas controvertidas pueda relacionarse con el título competencial </w:t>
      </w:r>
      <w:r w:rsidRPr="0026452D">
        <w:rPr>
          <w:i/>
        </w:rPr>
        <w:t>ex</w:t>
      </w:r>
      <w:r>
        <w:t xml:space="preserve"> art. 149.1.1 CE, pues ni por su objeto ni por su contenido ni por los beneficiarios cabe apreciar conexión directa con ‘la regulación de las condiciones básicas que garanticen la igualdad de todos los españoles en el ejercicio de los derechos y en el cumplimiento de los deberes constitucionales’.” En efecto, de una parte, los beneficiarios de las ayudas previstas son los municipios y las mancomunidades de municipios de población igual o superior a 5.000 personas; de otra, el objeto de las ayudas previstas es el desarrollo de actuaciones y programas innovadores por dichas entidades locales en el ámbito de sus competencias; y, por último, el objeto de las ayudas previstas es el fomento de “la integración de los inmigrantes”, esto es, tal como se precisa en el art. 3.1 de la orden, extranjeros no comunitarios que estén empadronados en los respectivos municipios, y no se trata, por tanto, de “la igualdad de todos los españoles”. En suma, resulta clara la desvinculación de la orden controvertida con respecto al título competencial estatal </w:t>
      </w:r>
      <w:r w:rsidRPr="0026452D">
        <w:rPr>
          <w:i/>
        </w:rPr>
        <w:t>ex</w:t>
      </w:r>
      <w:r>
        <w:t xml:space="preserve"> art. 149.1.1 CE (STC 227/2012, de 29 de noviembre, FJ 5). Doctrina que ahora debemos aplicar a las ayudas objeto del presente conflicto para descartar que la acción del Estado se pueda fundamentar en el título recogido en el art. 149.1.1 CE.</w:t>
      </w:r>
    </w:p>
    <w:p w:rsidR="0026452D" w:rsidRDefault="0026452D" w:rsidP="0026452D">
      <w:pPr>
        <w:pStyle w:val="TextoNormal"/>
      </w:pPr>
    </w:p>
    <w:p w:rsidR="0026452D" w:rsidRDefault="0026452D" w:rsidP="0026452D">
      <w:pPr>
        <w:pStyle w:val="TextoNormal"/>
      </w:pPr>
      <w:r>
        <w:t>El hecho de que no se puedan fundamentar las subvenciones objeto de conflicto en el título competencial previsto en el art. 149.1.1 CE no supone, no obstante, la imposibilidad para el Estado de financiar este tipo de acciones de fomento en materias atribuidas a la competencia exclusiva de las Comunidades Autónomas, pues hemos afirmado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(STC 13/1992, de 6 de febrero, FJ 7). El Estado tiene, por tanto, la capacidad para poner su poder de gasto al servicio de una política de asistencia social, en el ejercicio soberano de la función legislativa presupuestaria, sin perjuicio de que corresponda a la Comunidad Autónoma la competencia exclusiva en materia de asistencia social.</w:t>
      </w:r>
    </w:p>
    <w:p w:rsidR="0026452D" w:rsidRDefault="0026452D" w:rsidP="0026452D">
      <w:pPr>
        <w:pStyle w:val="TextoNormal"/>
      </w:pPr>
    </w:p>
    <w:p w:rsidR="0026452D" w:rsidRDefault="0026452D" w:rsidP="0026452D">
      <w:pPr>
        <w:pStyle w:val="TextoNormal"/>
      </w:pPr>
      <w:r>
        <w:t>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 Dichos supuestos generales concilian la distribución competencial existente en cada materia entre el Estado y las Comunidades Autónomas, por un lado, con la reconocida potestad subvencional de gasto público que ostenta el Estado, por otro.</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Así, una vez expuesto el marco competencial, de los términos del debate procesal trabado entre las partes podemos apreciar que la controversia entre las mismas versa, en realidad, en torno a la aplicación al caso concreto de la consolidada doctrina de este Tribunal en materia de subvenciones y ayudas públicas, en particular la contenida en la STC 13/1992. </w:t>
      </w:r>
      <w:r>
        <w:lastRenderedPageBreak/>
        <w:t>Así, lo discutido resulta ser la concurrencia de las circunstancias excepcionales previstas en la doctrina constitucional (en concreto, en el fundamento jurídico 8 de la STC 13/1992, de 6 de febrero) para que resulte justificada la regulación completa de las subvenciones y la centralización de la gestión que se contienen en la orden y la resolución objeto de conflicto. De hecho, el debate trabado entre las partes, una vez encuadradas las ayudas controvertidas en la materia asistencia social, es reconducible a la determinación del supuesto que, de los cuatro que hemos contemplado en nuestra doctrina, resulta de aplicación a las ahora controvertidas.</w:t>
      </w:r>
    </w:p>
    <w:p w:rsidR="0026452D" w:rsidRDefault="0026452D" w:rsidP="0026452D">
      <w:pPr>
        <w:pStyle w:val="TextoNormal"/>
      </w:pPr>
    </w:p>
    <w:p w:rsidR="0026452D" w:rsidRDefault="0026452D" w:rsidP="0026452D">
      <w:pPr>
        <w:pStyle w:val="TextoNormal"/>
      </w:pPr>
      <w:r>
        <w:t>Al respecto, la representación procesal del Gobierno de la Generalitat, entiende que nos encontramos en el denominado primer supuesto, recogido en el fundamento jurídico 8 a) de aquella, pues, tras afirmar que la doctrina de este Tribunal nunca ha amparado en el art. 149.1.1 CE el establecimiento de líneas de subvención para programas de acción social, considera que el papel del Estado en materia de asistencia social debería agotarse al trazar prioridades en la Ley de presupuestos, territorializando en la propia ley los recursos empleados. Por su parte, del escrito de la Abogado del Estado, y una vez hemos descartado que las ayudas previstas en las disposiciones objeto de conflicto se puedan justificar en los diversos títulos competenciales alegados, se podría deducir que, puesto que se justifica la acción del Estado en el ejercicio de la competencia prevista en el art. 149.1.1 CE, resultaría procedente la aplicación a las ayudas previstas de la doctrina recaída en el fundamento jurídico 8 d) de la misma Sentencia 13/1992, que faculta no sólo para la regulación completa de las ayudas sino también para su gestión centralizada por el Estado.</w:t>
      </w:r>
    </w:p>
    <w:p w:rsidR="0026452D" w:rsidRDefault="0026452D" w:rsidP="0026452D">
      <w:pPr>
        <w:pStyle w:val="TextoNormal"/>
      </w:pPr>
    </w:p>
    <w:p w:rsidR="0026452D" w:rsidRDefault="0026452D" w:rsidP="0026452D">
      <w:pPr>
        <w:pStyle w:val="TextoNormal"/>
      </w:pPr>
      <w:r>
        <w:t>Debemos pronunciarnos ahora sobre cuál de estos dos supuestos —a) o d)— le es de aplicación a las disposiciones objeto de conflicto en razón a sus características. Y precisamente en razón de éstas, confirmamos que las subvenciones reguladas en la Orden TIN/2158/2008, de 18 de julio, y convocadas por la resolución de 11 de agosto de 2008, de la Dirección General de Integración de los Inmigrantes, se incluyen en el primer supuesto recogido en el fundamento jurídico 8 a) de la STC 13/1992. En efecto, al no poder justificarse aquellas en título competencial estatal alguno, ni genérico ni específico, tal como hemos argumentado en los fundamentos jurídicos 5 y 6 de la presente Sentencia, no se cumple la premisa exigida por el cuarto supuesto de la STC 13/1992, FJ 8 d), para justificar la gestión centralizada —que el Estado ostente algún título competencial, genérico o específico, sobre la materia—, por lo que no es necesario entrar a examinar si se dan las otras circunstancias excepcionales que exige aquel supuesto.</w:t>
      </w:r>
    </w:p>
    <w:p w:rsidR="0026452D" w:rsidRDefault="0026452D" w:rsidP="0026452D">
      <w:pPr>
        <w:pStyle w:val="TextoNormal"/>
      </w:pPr>
    </w:p>
    <w:p w:rsidR="0026452D" w:rsidRDefault="0026452D" w:rsidP="0026452D">
      <w:pPr>
        <w:pStyle w:val="TextoNormal"/>
      </w:pPr>
      <w:r>
        <w:t>Por tanto, puesto que la Comunidad Autónoma ostenta una competencia exclusiva sobre asistencia social y el Estado no ha invocado título competencial suficiente              —genérico o específico— sobre la misma, las ayudas quedan ubicadas en el referido primer supuesto [STC 13/1992, FJ 8 a)], que excluye la posibilidad de gestión centralizada.</w:t>
      </w:r>
    </w:p>
    <w:p w:rsidR="0026452D" w:rsidRDefault="0026452D" w:rsidP="0026452D">
      <w:pPr>
        <w:pStyle w:val="TextoNormal"/>
      </w:pPr>
    </w:p>
    <w:p w:rsidR="0026452D" w:rsidRDefault="0026452D" w:rsidP="0026452D">
      <w:pPr>
        <w:pStyle w:val="TextoNormal"/>
      </w:pPr>
      <w:r>
        <w:t xml:space="preserve">Así, la regla general sobre el ejercicio de la potestad subvencional de gasto público del Estado en aquellas materias en las que las Comunidades Autónomas tienen competencia exclusiva y el Estado carece de título competencial alguno, tanto genérico como especifico, indica que la intervención estatal debe limitarse a “decidir asignar parte de sus fondos presupuestarios a esas materias o sectores …, de manera genérica o global, por sectores o subsectores enteros de actividad”, y que “esos fondos han de integrarse como un recurso que nutre la Hacienda autonómica, consignándose en los Presupuestos Generales del Estado </w:t>
      </w:r>
      <w:r>
        <w:lastRenderedPageBreak/>
        <w:t>como Transferencias Corrientes o de Capital a las Comunidades Autónomas, de manera que la asignación de los fondos quede territorializada, a ser posible, en los mismos Presupuestos Generales del Estado” [STC 13/1992, FJ 8 a)].</w:t>
      </w:r>
    </w:p>
    <w:p w:rsidR="0026452D" w:rsidRDefault="0026452D" w:rsidP="0026452D">
      <w:pPr>
        <w:pStyle w:val="TextoNormal"/>
      </w:pPr>
    </w:p>
    <w:p w:rsidR="0026452D" w:rsidRDefault="0026452D" w:rsidP="0026452D">
      <w:pPr>
        <w:pStyle w:val="TextoNormal"/>
      </w:pPr>
      <w:r>
        <w:t>No obstante, en materia de asistencia social debemos tener presente además nuestra reciente doctrina sobre el alcance de la potestad subvencional estatal en ese campo, según la cual, aun tratándose de una materia incluida en el primero de los cuatro supuestos sistematizados en el fundamento jurídico 8 de la STC 13/1992, hemos afirmado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(SSTC 178/2011, de 8 de noviembre, FJ 7; y 36/2012, de 15 de marzo, FJ 8; doctrina aplicada posteriormente en las SSTC 72/2012, de 16 de abril, FJ 4; 73/2012, de 16 de abril, FJ 4; 77/2012, de 16 de abril, FJ 4; 173/2012, de 15 de octubre, FJ 7; 177/2012, de 15 de octubre, FJ 7; 226/2012, de 29 de noviembre, FJ 3; y 227/2012 de 29 de noviembre, FJ 5).</w:t>
      </w:r>
    </w:p>
    <w:p w:rsidR="0026452D" w:rsidRDefault="0026452D" w:rsidP="0026452D">
      <w:pPr>
        <w:pStyle w:val="TextoNormal"/>
      </w:pPr>
    </w:p>
    <w:p w:rsidR="0026452D" w:rsidRDefault="0026452D" w:rsidP="0026452D">
      <w:pPr>
        <w:pStyle w:val="TextoNormal"/>
      </w:pPr>
      <w:r w:rsidRPr="0026452D">
        <w:rPr>
          <w:rStyle w:val="NumeroAFNegritaCaracter"/>
        </w:rPr>
        <w:t>8</w:t>
      </w:r>
      <w:r>
        <w:t>. Sobre la base precedente debemos proceder al examen individualizado de los distintos preceptos de la Orden TIN/2158/2008, de 18 de julio, por la que se establecen las bases reguladoras para la concesión de subvenciones. En lo que se refiere a la resolución de 11 de agosto de 2008, de la Dirección General de Integración de los Inmigrantes, por la que se convoca la concesión de subvenciones de acuerdo con las bases contenidas en la Orden TIN/2158/2008, lo que procede es la declaración de inconstitucionalidad de la disposición en su totalidad, en cuanto que como acto que originó el conflicto está “viciado de incompetencia” (art. 66 de la Ley Orgánica del Tribunal Constitucional) por corresponder a la Comunidad Autónoma la competencia para realizar la convocatoria de las subvenciones.</w:t>
      </w:r>
    </w:p>
    <w:p w:rsidR="0026452D" w:rsidRDefault="0026452D" w:rsidP="0026452D">
      <w:pPr>
        <w:pStyle w:val="TextoNormal"/>
      </w:pPr>
    </w:p>
    <w:p w:rsidR="0026452D" w:rsidRDefault="0026452D" w:rsidP="0026452D">
      <w:pPr>
        <w:pStyle w:val="TextoNormal"/>
      </w:pPr>
      <w:r>
        <w:t>a) El art. 1 de la Orden TIN/2158/2008 es constitucional en cuanto afirma establecer las bases reguladoras de la concesión de subvenciones en la medida en que no rebasen tales bases los aspectos centrales del régimen subvencional, en los términos que resultan del examen subsiguiente de los demás preceptos. El precepto es asimismo constitucional en cuanto establece el objeto de las subvenciones.</w:t>
      </w:r>
    </w:p>
    <w:p w:rsidR="0026452D" w:rsidRDefault="0026452D" w:rsidP="0026452D">
      <w:pPr>
        <w:pStyle w:val="TextoNormal"/>
      </w:pPr>
    </w:p>
    <w:p w:rsidR="0026452D" w:rsidRDefault="0026452D" w:rsidP="0026452D">
      <w:pPr>
        <w:pStyle w:val="TextoNormal"/>
      </w:pPr>
      <w:r>
        <w:t>b) El art. 2 de la Orden TIN/2158/2008 no infringe las competencias autonómicas, en cuanto que únicamente determina aspectos generales relativos a las convocatorias, como son los relativos a que las correspondientes convocatorias se realizarán en régimen de concurrencia competitiva, la necesidad de determinar los créditos presupuestarios a los que deben imputarse las correspondientes subvenciones o aspectos relativos a los remanentes de crédito.</w:t>
      </w:r>
    </w:p>
    <w:p w:rsidR="0026452D" w:rsidRDefault="0026452D" w:rsidP="0026452D">
      <w:pPr>
        <w:pStyle w:val="TextoNormal"/>
      </w:pPr>
    </w:p>
    <w:p w:rsidR="0026452D" w:rsidRDefault="0026452D" w:rsidP="0026452D">
      <w:pPr>
        <w:pStyle w:val="TextoNormal"/>
      </w:pPr>
      <w:r>
        <w:t>c) El art. 3 de la Orden TIN/2158/2008 no infringe las competencias autonómicas puesto que se ciñe a establecer los requisitos esenciales de los solicitantes, aspecto que puede considerarse central en la regulación de las subvenciones previstas.</w:t>
      </w:r>
    </w:p>
    <w:p w:rsidR="0026452D" w:rsidRDefault="0026452D" w:rsidP="0026452D">
      <w:pPr>
        <w:pStyle w:val="TextoNormal"/>
      </w:pPr>
    </w:p>
    <w:p w:rsidR="0026452D" w:rsidRDefault="0026452D" w:rsidP="0026452D">
      <w:pPr>
        <w:pStyle w:val="TextoNormal"/>
      </w:pPr>
      <w:r>
        <w:t xml:space="preserve">d) Los arts. 4 y 5 de la Orden TIN/2158/2008 vulneran las competencias de la Comunidad Autónoma de Cataluña en la medida en que establecen los órganos competentes para la </w:t>
      </w:r>
      <w:r>
        <w:lastRenderedPageBreak/>
        <w:t>ordenación, instrucción y resolución del procedimiento, todos ellos pertenecientes a la Administración general del Estado, y la forma de solicitud, memorias, presupuesto de los programas, documentación y subsanación de errores; aspectos propios de la gestión de las subvenciones.</w:t>
      </w:r>
    </w:p>
    <w:p w:rsidR="0026452D" w:rsidRDefault="0026452D" w:rsidP="0026452D">
      <w:pPr>
        <w:pStyle w:val="TextoNormal"/>
      </w:pPr>
    </w:p>
    <w:p w:rsidR="0026452D" w:rsidRDefault="0026452D" w:rsidP="0026452D">
      <w:pPr>
        <w:pStyle w:val="TextoNormal"/>
      </w:pPr>
      <w:r>
        <w:t>e) El art. 6 de la Orden TIN/2158/2008, que contiene los criterios que han de ser valorados para la adjudicación de las ayudas así como el baremo correspondiente, infringe las competencias autonómicas, como ya tuvimos oportunidad de señalar en la STC 227/2012, de 29 de noviembre, FJ 7, en la medida en que rebasa lo que conforme a nuestra doctrina constituyen aspectos centrales del régimen subvencional y, por ello, cercena el margen necesario para que la Generalitat de Cataluña pueda desarrollar la regulación de las condiciones de otorgamiento.</w:t>
      </w:r>
    </w:p>
    <w:p w:rsidR="0026452D" w:rsidRDefault="0026452D" w:rsidP="0026452D">
      <w:pPr>
        <w:pStyle w:val="TextoNormal"/>
      </w:pPr>
    </w:p>
    <w:p w:rsidR="0026452D" w:rsidRDefault="0026452D" w:rsidP="0026452D">
      <w:pPr>
        <w:pStyle w:val="TextoNormal"/>
      </w:pPr>
      <w:r>
        <w:t>f) Los arts. 7, 8, 9, 10, 11, 12, 13, 14, 15, 16, 17, 18 y 19 de la Orden TIN/2158/2008 , regulan todos ellos aspectos exclusivamente atinentes a la tramitación, resolución, pago, modificaciones, subcontrataciones, control, responsabilidad y reintegros de las ayudas, que son de competencia autonómica y, por ello, vulneran las competencias de la Comunidad Autónoma de Cataluña.</w:t>
      </w:r>
    </w:p>
    <w:p w:rsidR="0026452D" w:rsidRDefault="0026452D" w:rsidP="0026452D">
      <w:pPr>
        <w:pStyle w:val="TextoNormal"/>
      </w:pPr>
    </w:p>
    <w:p w:rsidR="0026452D" w:rsidRDefault="0026452D" w:rsidP="0026452D">
      <w:pPr>
        <w:pStyle w:val="TextoNormal"/>
      </w:pPr>
      <w:r>
        <w:t>g) La disposición final primera de la Orden TIN/2158/2008 no vulnera las competencias autonómicas al remitirse supletoriamente, “en lo no previsto en la presente Orden”, a lo dispuesto en la Ley 38/2003, de 17 de noviembre, general de subvenciones, al Real Decreto 887/2006, de 21 de julio, por el que se aprueba el reglamento de la Ley 38/2003, de 17 de noviembre, general de subvenciones, y a la Ley 30/1992, de 26 de noviembre, de régimen jurídico de las Administraciones públicas y del procedimiento administrativo común, pues dicha remisión se efectúa en términos genéricos y con respecto a normas de carácter predominantemente básico, que son, por tanto, aplicables al conjunto de las Administraciones públicas, y sin perjuicio de que se pueda determinar, a través de los correspondientes procesos constitucionales, la compatibilidad de tales normas con el bloque de constitucionalidad, algo que no se ha suscitado en el presente conflicto de competencia.</w:t>
      </w:r>
    </w:p>
    <w:p w:rsidR="0026452D" w:rsidRDefault="0026452D" w:rsidP="0026452D">
      <w:pPr>
        <w:pStyle w:val="TextoNormal"/>
      </w:pPr>
    </w:p>
    <w:p w:rsidR="0026452D" w:rsidRDefault="0026452D" w:rsidP="0026452D">
      <w:pPr>
        <w:pStyle w:val="TextoNormal"/>
      </w:pPr>
      <w:r>
        <w:t>h) La disposición final segunda, que reconoce a la Dirección General de Integración de los Inmigrantes facultades de desarrollo de la orden, es inconstitucional, porque la capacidad del Estado para regular las subvenciones estatales en materia de asistencia social se circunscribe según nuestra doctrina a los aspectos centrales del régimen subvencional y no puede extenderse a “todas las resoluciones necesarias para la aplicación de esta orden” ni a la resolución de las “dudas concretas que en relación con la misma se susciten”.</w:t>
      </w:r>
    </w:p>
    <w:p w:rsidR="0026452D" w:rsidRDefault="0026452D" w:rsidP="0026452D">
      <w:pPr>
        <w:pStyle w:val="TextoNormal"/>
      </w:pPr>
    </w:p>
    <w:p w:rsidR="0026452D" w:rsidRDefault="0026452D" w:rsidP="0026452D">
      <w:pPr>
        <w:pStyle w:val="TextoNormal"/>
      </w:pPr>
      <w:r>
        <w:t>i) La disposición final tercera regula únicamente la entrada en vigor de la norma, lo cual no vulnera las competencias autonómicas.</w:t>
      </w:r>
    </w:p>
    <w:p w:rsidR="0026452D" w:rsidRDefault="0026452D" w:rsidP="0026452D">
      <w:pPr>
        <w:pStyle w:val="TextoNormal"/>
      </w:pPr>
    </w:p>
    <w:p w:rsidR="0026452D" w:rsidRDefault="0026452D" w:rsidP="0026452D">
      <w:pPr>
        <w:pStyle w:val="TextoNormal"/>
      </w:pPr>
      <w:r w:rsidRPr="0026452D">
        <w:rPr>
          <w:rStyle w:val="NumeroAFNegritaCaracter"/>
        </w:rPr>
        <w:t>9</w:t>
      </w:r>
      <w:r>
        <w:t xml:space="preserve">. Antes del fallo, debemos pronunciarnos sobre el alcance que tiene la vulneración de competencias en que, según hemos visto, incurren la orden y la resolución objeto de conflicto, en consideración a que, como hemos declarado en otros casos (SSTC 75/1989, de 21 de abril, 13/1992, de 6 de febrero, 79/1992, de 28 de mayo, 186/1999, de 14 de octubre, entre otras), aquellas bien ya han agotado sus efectos y se podría afectar a situaciones jurídicas consolidadas, bien han quedado derogada. Por ello, la pretensión del Gobierno de la </w:t>
      </w:r>
      <w:r>
        <w:lastRenderedPageBreak/>
        <w:t>Generalitat de Cataluña ha de estimarse satisfecha mediante la declaración de titularidad de la competencia controvertida.</w:t>
      </w:r>
    </w:p>
    <w:p w:rsidR="0026452D" w:rsidRDefault="0026452D" w:rsidP="0026452D">
      <w:pPr>
        <w:pStyle w:val="TextoNormal"/>
      </w:pPr>
    </w:p>
    <w:p w:rsidR="0026452D" w:rsidRDefault="0026452D" w:rsidP="0026452D">
      <w:pPr>
        <w:pStyle w:val="TextoNormal"/>
      </w:pPr>
      <w:r>
        <w:t>No obstante, debemos recordar nuevamente lo que dijimos en la STC 208/1999, de 11 de noviembre, FJ 8, sobre la necesidad de que, para la plena realización del orden de competencias que se desprende de la Constitución y los Estatutos de Autonomía, se evite la persistencia de situaciones anómalas en las que sigan siendo ejercitadas por el Estado competencias que no le corresponden. Como afirmamos “la lealtad constitucional obliga a todos” (STC 209/1990, de 20 de diciembre, FJ 4) y comprende, sin duda, el respeto a las decisiones de este Alto Tribunal.</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Estimar parcialmente el conflicto positivo de competencia núm. 9077-2008 interpuesto por el Gobierno de la Generalitat de Cataluña contra la Orden TIN/2158/2008, de 18 de julio, por la que se establecen las bases reguladoras para la concesión de las subvenciones a entidades locales para el desarrollo de programas innovadores a favor de la integración de inmigrantes, y contra la resolución de 11 de agosto de 2008, de la Dirección general de Integración de los Inmigrantes, por la que se convoca la concesión de subvenciones a municipios, mancomunidades de municipios y comarcas para el desarrollo de programas innovadores a favor de la integración de inmigrantes, y en consecuencia declarar, con los efectos previstos en el fundamento jurídico 8 de la presente Sentencia, que vulneran las competencias de la Generalitat de Cataluña la resolución referida y los arts. 4, 5, 6, 7, 8, 9, 10, 11, 12, 13, 14, 15, 16, 17, 18 y 19 y la disposición final segunda de la orden referida.</w:t>
      </w:r>
    </w:p>
    <w:p w:rsidR="0026452D" w:rsidRDefault="0026452D" w:rsidP="0026452D">
      <w:pPr>
        <w:pStyle w:val="TextoNormal"/>
      </w:pPr>
    </w:p>
    <w:p w:rsidR="0026452D" w:rsidRDefault="0026452D" w:rsidP="0026452D">
      <w:pPr>
        <w:pStyle w:val="TextoNormal"/>
      </w:pPr>
      <w:r>
        <w:t>2º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treinta y uno de enero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30" w:name="SENTENCIA_2013_27"/>
      <w:r>
        <w:lastRenderedPageBreak/>
        <w:t>SENTENCIA 27/2013, de 11 de febrero de 2013</w:t>
      </w:r>
    </w:p>
    <w:bookmarkEnd w:id="30"/>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ECLI:ES:TC:2013:27</w:t>
      </w:r>
    </w:p>
    <w:p w:rsidR="0026452D" w:rsidRDefault="0026452D" w:rsidP="0026452D">
      <w:pPr>
        <w:pStyle w:val="SntesisDescriptiva"/>
      </w:pPr>
    </w:p>
    <w:p w:rsidR="0026452D" w:rsidRDefault="0026452D" w:rsidP="0026452D">
      <w:pPr>
        <w:pStyle w:val="SntesisDescriptiva"/>
      </w:pPr>
      <w:r>
        <w:t>Recurso de amparo 4176-2009. Promovido por Valzorzales, S.L., en relación con las Sentencias de la Sala de lo Contencioso-Administrativo del Tribunal Supremo y del Tribunal Superior de Justicia de Extremadura que desestimaron su demanda contra la Junta de Extremadura sobre denegación de ayuda a la siembra de cáñamo.</w:t>
      </w:r>
    </w:p>
    <w:p w:rsidR="0026452D" w:rsidRDefault="0026452D" w:rsidP="0026452D">
      <w:pPr>
        <w:pStyle w:val="SntesisDescriptiva"/>
      </w:pPr>
    </w:p>
    <w:p w:rsidR="0026452D" w:rsidRDefault="0026452D" w:rsidP="0026452D">
      <w:pPr>
        <w:pStyle w:val="SntesisAnaltica"/>
      </w:pPr>
      <w:r>
        <w:t>Supuesta vulneración de los derechos a la tutela judicial efectiva (error patente) y a un proceso con todas las garantías: negativa a plantear cuestión prejudicial de interpretación de las normas reguladoras de la organización común de mercados del lino y el cáñamo que se funda en una interpretación razonable y motivada del régimen jurídico de la cuestión prejudicial y que sigue la doctrina del Tribunal de Justicia de la Unión Europea sobre la noción de acto claro. Voto particular.</w:t>
      </w:r>
    </w:p>
    <w:p w:rsidR="0026452D" w:rsidRDefault="0026452D" w:rsidP="0026452D">
      <w:pPr>
        <w:pStyle w:val="SntesisAnaltica"/>
      </w:pPr>
    </w:p>
    <w:p w:rsidR="0026452D" w:rsidRDefault="0026452D" w:rsidP="0026452D">
      <w:pPr>
        <w:pStyle w:val="Extracto"/>
      </w:pPr>
      <w:r>
        <w:t>1.</w:t>
      </w:r>
      <w:r>
        <w:tab/>
        <w:t>Si el Tribunal Supremo manifestó que no tenía duda alguna sobre la interpretación de la normativa europea aplicable al caso, es claro que no existía la obligación de remitir ante la jurisdicción europea una cuestión de interpretación del Derecho comunitario que para el órgano sentenciador no existía [FJ 7].</w:t>
      </w:r>
    </w:p>
    <w:p w:rsidR="0026452D" w:rsidRDefault="0026452D" w:rsidP="0026452D">
      <w:pPr>
        <w:pStyle w:val="Extracto"/>
      </w:pPr>
    </w:p>
    <w:p w:rsidR="0026452D" w:rsidRDefault="0026452D" w:rsidP="0026452D">
      <w:pPr>
        <w:pStyle w:val="Extracto"/>
      </w:pPr>
      <w:r>
        <w:t>2.</w:t>
      </w:r>
      <w:r>
        <w:tab/>
        <w:t>Determinar si el Tribunal Supremo interpretó correctamente el Derecho comunitario al inferir la compatibilidad o no de la exigencia de rotación de cultivos es una cuestión sobre la que este Tribunal, que no es una tercera instancia no puede pronunciarse, salvo que la motivación judicial resultara irrazonable, arbitraria o incursa en error patente (STC 13/2012) [FJ 7].</w:t>
      </w:r>
    </w:p>
    <w:p w:rsidR="0026452D" w:rsidRDefault="0026452D" w:rsidP="0026452D">
      <w:pPr>
        <w:pStyle w:val="Extracto"/>
      </w:pPr>
    </w:p>
    <w:p w:rsidR="0026452D" w:rsidRDefault="0026452D" w:rsidP="0026452D">
      <w:pPr>
        <w:pStyle w:val="Extracto"/>
      </w:pPr>
      <w:r>
        <w:t>3.</w:t>
      </w:r>
      <w:r>
        <w:tab/>
        <w:t>La Sentencia impugnada se funda en una interpretación razonable y motivada del régimen jurídico del planteamiento de la cuestión prejudicial, y que sigue además la propia doctrina jurisprudencial del Tribunal de Justicia sobre el ‘acto claro’, lo que no vulnera el art. 24.1 CE [FJ 7].</w:t>
      </w:r>
    </w:p>
    <w:p w:rsidR="0026452D" w:rsidRDefault="0026452D" w:rsidP="0026452D">
      <w:pPr>
        <w:pStyle w:val="Extracto"/>
      </w:pPr>
    </w:p>
    <w:p w:rsidR="0026452D" w:rsidRDefault="0026452D" w:rsidP="0026452D">
      <w:pPr>
        <w:pStyle w:val="Extracto"/>
      </w:pPr>
      <w:r>
        <w:t>4.</w:t>
      </w:r>
      <w:r>
        <w:tab/>
        <w:t>El Tribunal Supremo no ha dejado sin aplicar ni la norma interna ni la norma europea, y tampoco ha entrado a realizar un juicio de validez de la norma europea aplicada, al considerar que no existía contradicción aparente entre ambas normas, por lo que podrían operar de forma simultánea y compatible en la solución del litigio, por lo que no es posible apreciar una infracción del derecho a la tutela judicial efectiva sin indefensión [FJ 7].</w:t>
      </w:r>
    </w:p>
    <w:p w:rsidR="0026452D" w:rsidRDefault="0026452D" w:rsidP="0026452D">
      <w:pPr>
        <w:pStyle w:val="Extracto"/>
      </w:pPr>
    </w:p>
    <w:p w:rsidR="0026452D" w:rsidRDefault="0026452D" w:rsidP="0026452D">
      <w:pPr>
        <w:pStyle w:val="Extracto"/>
      </w:pPr>
      <w:r>
        <w:t>5.</w:t>
      </w:r>
      <w:r>
        <w:tab/>
        <w:t>La Sentencia del Tribunal Supremo recurrida en amparo se justifica en una interpretación de la legalidad ordinaria y de la jurisprudencia aplicables en relación con la ejecución interna del Derecho de la Unión Europea que está razonada y que no resulta manifiestamente irrazonable o arbitraria y, por tanto, se trata de una resolución judicial que no puede calificarse a primera vista como no fundada en Derecho, con independencia de su acierto o desacierto últimos [FJ 6].</w:t>
      </w:r>
    </w:p>
    <w:p w:rsidR="0026452D" w:rsidRDefault="0026452D" w:rsidP="0026452D">
      <w:pPr>
        <w:pStyle w:val="Extracto"/>
      </w:pPr>
    </w:p>
    <w:p w:rsidR="0026452D" w:rsidRDefault="0026452D" w:rsidP="0026452D">
      <w:pPr>
        <w:pStyle w:val="Extracto"/>
      </w:pPr>
      <w:r>
        <w:t>6.</w:t>
      </w:r>
      <w:r>
        <w:tab/>
        <w:t>Los reglamentos comunitarios aplicables al cultivo del cáñamo admiten un complemento normativo, a cargo de las autoridades estatales, con criterios específicos acordes con las características del lugar en que el que iban a ser aplicados, pudiendo la autoridad autonómica competente, dentro de su capacidad para desarrollar el concepto de ‘faenas normales del cultivo’, establecer la exigencia de la rotación para el disfrute de las ayudas comunitarias al cultivo del cáñamo, requisito cuya lógica y adecuación agronómica no cabe cuestionar [FJ 6].</w:t>
      </w:r>
    </w:p>
    <w:p w:rsidR="0026452D" w:rsidRDefault="0026452D" w:rsidP="0026452D">
      <w:pPr>
        <w:pStyle w:val="Extracto"/>
      </w:pPr>
    </w:p>
    <w:p w:rsidR="0026452D" w:rsidRDefault="0026452D" w:rsidP="0026452D">
      <w:pPr>
        <w:pStyle w:val="Extracto"/>
      </w:pPr>
      <w:r>
        <w:t>7.</w:t>
      </w:r>
      <w:r>
        <w:tab/>
        <w:t>La simple discrepancia de las partes con una resolución judicial no convierte el razonamiento judicial en arbitrario o manifiestamente irrazonable ni, menos aún, obliga a este Tribunal a elegir entre las interpretaciones posibles cuál es la que debe prevalecer (SSTC 59/2003, 221/2005) [FFJJ 5, 6].</w:t>
      </w:r>
    </w:p>
    <w:p w:rsidR="0026452D" w:rsidRDefault="0026452D" w:rsidP="0026452D">
      <w:pPr>
        <w:pStyle w:val="Extracto"/>
      </w:pPr>
    </w:p>
    <w:p w:rsidR="0026452D" w:rsidRDefault="0026452D" w:rsidP="0026452D">
      <w:pPr>
        <w:pStyle w:val="Extracto"/>
      </w:pPr>
      <w:r>
        <w:t>8.</w:t>
      </w:r>
      <w:r>
        <w:tab/>
        <w:t>El derecho a la tutela judicial efectiva del art. 24.1 CE no incluye un pretendido derecho al acierto judicial en la selección, interpretación y aplicación de las disposiciones legales, salvo que afecte al contenido de otros derechos constitucionales distintos al de tutela judicial efectiva (SSTC 3/2011, 183/2011) [FJ 5].</w:t>
      </w:r>
    </w:p>
    <w:p w:rsidR="0026452D" w:rsidRDefault="0026452D" w:rsidP="0026452D">
      <w:pPr>
        <w:pStyle w:val="Extracto"/>
      </w:pPr>
    </w:p>
    <w:p w:rsidR="0026452D" w:rsidRDefault="0026452D" w:rsidP="0026452D">
      <w:pPr>
        <w:pStyle w:val="Extracto"/>
      </w:pPr>
      <w:r>
        <w:t>9.</w:t>
      </w:r>
      <w:r>
        <w:tab/>
        <w:t>Doctrina sobre el derecho a obtener la tutela judicial efectiva, garantizado en el art. 24.1 CE, que comprende el derecho a obtener de los Jueces y Tribunales una resolución motivada y fundada en Derecho sobre el fondo de las pretensiones oportunamente deducidas por las partes en el proceso (SSTC 8/2005, 13/2012) [FJ 5].</w:t>
      </w:r>
    </w:p>
    <w:p w:rsidR="0026452D" w:rsidRDefault="0026452D" w:rsidP="0026452D">
      <w:pPr>
        <w:pStyle w:val="Extracto"/>
      </w:pPr>
    </w:p>
    <w:p w:rsidR="0026452D" w:rsidRDefault="0026452D" w:rsidP="0026452D">
      <w:pPr>
        <w:pStyle w:val="Extracto"/>
      </w:pPr>
      <w:r>
        <w:t>10.</w:t>
      </w:r>
      <w:r>
        <w:tab/>
        <w:t>El recurso de amparo, en lo que respecta a su especial trascendencia constitucional, reviste el interés objetivo de determinar si la doctrina de este Tribunal relativa a las cuestiones prejudiciales es extensible o no, a supuestos en los que la falta de remisión al Tribunal de Justicia de la Unión Europea no tiene como efecto aparejado la inaplicación de norma legal interna alguna, sino que, por el contrario, da lugar a la aplicación de la disposición interna controvertida porque se considera que es compatible con la norma europea sobre cuya interpretación se han proyectado las dudas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amparo núm. 4176-2009, interpuesto por Valzorzales, S.L., representada por la Procuradora de los Tribunales doña Myriam Álvarez del Valle Lavesque y asistida por el Letrado don Cruz Fernández Mariscal, contra la Sentencia de 3 de noviembre de 2008 de la Sección Cuarta de la Sala de lo Contencioso-Administrativo del Tribunal Supremo, que desestima el recurso de casación núm. 2916-2004 formalizado frente a la de 30 de octubre de 2003 de la Sala de lo Contencioso-Administrativo del Tribunal Superior de Justicia de Extremadura, dictada en las actuaciones relativas al recurso contencioso-administrativo núm. 514-2001. Ha comparecido el Letrado de la Junta de Extremadura, en nombre y representación de la misma. Ha intervenido el Ministerio Fiscal. Ha sido Ponente la Magistrada doña Adela Asua Batarrita,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el 5 de mayo de 2009, la Procuradora de los Tribunales doña Myriam Álvarez del Valle Lavesque, en nombre y representación de Valzorzales, S.L., interpuso recurso de amparo contra la Sentencia de casación citada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relevantes para la resolución del presente recurso son, sucintamente expuestos, los siguientes:</w:t>
      </w:r>
    </w:p>
    <w:p w:rsidR="0026452D" w:rsidRDefault="0026452D" w:rsidP="0026452D">
      <w:pPr>
        <w:pStyle w:val="TextoNormal"/>
      </w:pPr>
    </w:p>
    <w:p w:rsidR="0026452D" w:rsidRDefault="0026452D" w:rsidP="0026452D">
      <w:pPr>
        <w:pStyle w:val="TextoNormal"/>
      </w:pPr>
      <w:r>
        <w:t>a) La demandante de amparo solicitó una ayuda a la siembra de cáñamo para la campaña 1999-2000, que le fue denegada por resolución del Director General de Política Agraria Comunitaria de la Junta de Extremadura, de 16 de octubre de 2000, confirmada en alzada por resolución de 27 de febrero de 2001 de la Consejería de Agricultura y Medio Ambiente. El motivo de la denegación residió en que las parcelas declaradas habían sido destinadas el año anterior al cultivo de lino textil, de modo que no se cumplía el requisito de la rotación de cultivos que recoge el art. 10 de la Orden de dicha Consejería de 21 de enero de 1999, según el cual “se deberá respetar la rotacionalidad en los cultivos de lino no textil, cáñamo y lino textil, no pudiéndose utilizar tierras que en la campaña anterior fueron utilizadas para algunos de estos cultivos”.</w:t>
      </w:r>
    </w:p>
    <w:p w:rsidR="0026452D" w:rsidRDefault="0026452D" w:rsidP="0026452D">
      <w:pPr>
        <w:pStyle w:val="TextoNormal"/>
      </w:pPr>
    </w:p>
    <w:p w:rsidR="0026452D" w:rsidRDefault="0026452D" w:rsidP="0026452D">
      <w:pPr>
        <w:pStyle w:val="TextoNormal"/>
      </w:pPr>
      <w:r>
        <w:t xml:space="preserve">b) La recurrente impugnó esas resoluciones ante la Sala de lo Contencioso-Administrativo del Tribunal Superior de Justicia de Extremadura. Se apoyaba en la normativa comunitaria reguladora de la organización común de mercados del sector del lino y el cáñamo, y denunciaba que la orden autonómica de referencia, dictada en el marco de ejecución administrativa del régimen de ayuda previsto en los reglamentos comunitarios, extralimitó su competencia al introducir un requisito no previsto (rotación anual de cultivos) y varió con ello las condiciones de la reglamentación comunitaria para poder ser beneficiario de la ayuda. La norma autonómica, de ese modo, desatendía el principio general de Derecho comunitario de primacía de la norma comunitaria sobre el Derecho nacional, la obligatoriedad de todos sus elementos, el carácter exhaustivo de la regulación y la eficacia directa de los reglamentos comunitarios, así como los principios generales de reparto de competencias entre los Estados miembros y la Comunidad Europea y la aplicación plena y uniforme del Derecho comunitario en relación con el principio de no discriminación e igualdad de trato </w:t>
      </w:r>
      <w:r>
        <w:lastRenderedPageBreak/>
        <w:t>entre los productores, pues perjudicaba a quienes solicitaron la ayuda a través de la Administración autonómica extremeña frente a los que lo hicieron ante otras Administraciones españolas o en otros Estados miembros.</w:t>
      </w:r>
    </w:p>
    <w:p w:rsidR="0026452D" w:rsidRDefault="0026452D" w:rsidP="0026452D">
      <w:pPr>
        <w:pStyle w:val="TextoNormal"/>
      </w:pPr>
    </w:p>
    <w:p w:rsidR="0026452D" w:rsidRDefault="0026452D" w:rsidP="0026452D">
      <w:pPr>
        <w:pStyle w:val="TextoNormal"/>
      </w:pPr>
      <w:r>
        <w:t>Por lo expuesto, el contenido del mencionado art. 10 de la orden de la Junta de Extremadura, aducía el recurso, debía estimarse inaplicable a la solicitud formulada, toda vez que las ayudas deben concederse a superficies en las que se hayan efectuado “faenas normales de cultivo” (Reglamento CEE núm. 1164/1989 de la Comisión, de 28 de abril), concepto que la Comisión Europea conecta con la idea de “rendimientos mínimos” y no con otros factores (Reglamento CE núm. 2183/1997, de 3 de noviembre, y Reglamento CE núm. 452/1999, de 1 de marzo), por lo que estimar que en el caso del lino o del cáñamo es inherente a su naturaleza la rotación con otros productos, estableciendo ese requisito como condición de la ayuda, es absolutamente improcedente, pues la normativa comunitaria no contiene ninguna prescripción que así lo disponga. El poder para adoptar los criterios que definan las actividades normales de cultivo, especialmente en lo relativo al rendimiento mínimo que sea preciso cumplir, es otorgado por el legislador europeo, el Consejo, a la Comisión Europea (art. 6, párrafo segundo, del Reglamento CEE núm. 619/1971 del Consejo), y los parámetros los fijó la Comisión en los Reglamentos antes citados, lo que revela que el art. 10 de la orden autonómica controvertida, cuando introduce el elemento de la rotación de cultivos, carecería de base legal alguna. Realizaba alegaciones, asimismo, sobre los principios de irretroactividad, legalidad, seguridad jurídica y confianza legítima, que a su juicio conculcaba también la Orden de 21 de enero de 1999. Y, finalmente, subrayaba la procedencia de formular al Tribunal de Justicia de la Unión Europea cuestión prejudicial para que interpretase la normativa en cuestión.</w:t>
      </w:r>
    </w:p>
    <w:p w:rsidR="0026452D" w:rsidRDefault="0026452D" w:rsidP="0026452D">
      <w:pPr>
        <w:pStyle w:val="TextoNormal"/>
      </w:pPr>
    </w:p>
    <w:p w:rsidR="0026452D" w:rsidRDefault="0026452D" w:rsidP="0026452D">
      <w:pPr>
        <w:pStyle w:val="TextoNormal"/>
      </w:pPr>
      <w:r>
        <w:t>c) La Sentencia del Tribunal Superior de Justicia de Extremadura de 30 de octubre de 2003, sin someter previamente cuestión prejudicial interpretativa al Tribunal de Justicia, indica que la Comisión ha fijado los rendimientos mínimos, pero no ha definido lo que sean las faenas normales de cultivo, por lo que la normativa comunitaria no impide que la Administración autonómica, dentro de la actividad de control conferida a los Estados miembros y a las Comunidades Autónomas, pueda concretar lo que haya de entenderse por aquel concepto “y establecer la rotación de cultivos o en definitiva, que la tierra no se siembre dos años consecutivos de cáñamo o lino, por ser una actividad normal del cultivo de tales productos, para garantizar una cosecha adecuada”. En consecuencia, declara que la orden autonómica es aplicable al caso y desestima el recurso.</w:t>
      </w:r>
    </w:p>
    <w:p w:rsidR="0026452D" w:rsidRDefault="0026452D" w:rsidP="0026452D">
      <w:pPr>
        <w:pStyle w:val="TextoNormal"/>
      </w:pPr>
    </w:p>
    <w:p w:rsidR="0026452D" w:rsidRDefault="0026452D" w:rsidP="0026452D">
      <w:pPr>
        <w:pStyle w:val="TextoNormal"/>
      </w:pPr>
      <w:r>
        <w:t>d) La actora acudió ante el Tribunal Supremo en casación. Denunciaba de una parte, al amparo del art. 88.1 c) de la Ley reguladora de la jurisdicción contencioso-administrativa, un quebrantamiento de las normas esenciales del juicio, por infracción de las normas reguladoras de la Sentencia, al haberse obviado las exigencias constitucionales de congruencia con las alegaciones formuladas (pretensión en la que se invocaba el art. 24.1 CE y que fue rechazada en el fundamento de Derecho noveno de la Sentencia de la que se dará seguidamente cuenta), y, de otra parte, al amparo del art. 88.1 d) de la Ley de la jurisdicción, la infracción de normas del Ordenamiento jurídico comunitario y nacional y de la jurisprudencia aplicable al caso. En relación con ello pedía que, si la Sala lo consideraba oportuno para emitir su fallo, elevase al Tribunal de Justicia cuestión prejudicial interpretativa de las citadas reglas europeas.</w:t>
      </w:r>
    </w:p>
    <w:p w:rsidR="0026452D" w:rsidRDefault="0026452D" w:rsidP="0026452D">
      <w:pPr>
        <w:pStyle w:val="TextoNormal"/>
      </w:pPr>
    </w:p>
    <w:p w:rsidR="0026452D" w:rsidRDefault="0026452D" w:rsidP="0026452D">
      <w:pPr>
        <w:pStyle w:val="TextoNormal"/>
      </w:pPr>
      <w:r>
        <w:lastRenderedPageBreak/>
        <w:t>Mediante providencia de 27 de mayo de 2008 se acordó oír a las partes (y a la Administración del Estado por los potenciales efectos derivados que podían acarrearse) acerca de la procedencia de elevar una cuestión prejudicial al Tribunal de Justicia para la interpretación, “fundamentalmente, del Reglamento (CEE) número 1164/89 de la Comisión, de 28 de abril de 1989, relativo a las disposiciones de aplicación de la ayuda para el lino textil y el cáñamo; del Reglamento (CE) número 154/97 del Consejo, de 20 de enero de 1997, que modifica el Reglamento (CEE) número 619/71, por el que se fijan las normas generales de concesión de la ayuda para el lino y el cáñamo; y del Reglamento (CE) número 452/99 de la Comisión, de 1 de marzo de 1999, por el que se fija el rendimiento mínimo que debe observarse a efectos de la concesión de la ayuda a la producción del lino textil y el cáñamo, en el siguiente extremo: si dicha normativa optó por decantar las exigencias de la noción comunitaria ‘faenas normales de cultivo’, incluida en el artículo 4.a) del primero de aquellos Reglamentos, a través de un único criterio, el de la obtención de unos rendimientos mínimos que deban observarse a efectos de la concesión de la ayuda a la producción de lino textil y de cáñamo, de suerte que, alcanzados éstos, haya de entenderse cumplida aquella exigencia. Y en particular, si es compatible con el Derecho Comunitario una norma de Derecho Nacional, como fue la reflejada en el artículo 10 de la Orden de la Consejería de Agricultura y Comercio de la Junta de Extremadura de fecha 21 de enero de 1999, que condicione la obtención de esa ayuda a la exigencia de que la superficie declarada no haya sido dedicada al mismo cultivo en la campaña anterior”.</w:t>
      </w:r>
    </w:p>
    <w:p w:rsidR="0026452D" w:rsidRDefault="0026452D" w:rsidP="0026452D">
      <w:pPr>
        <w:pStyle w:val="TextoNormal"/>
      </w:pPr>
    </w:p>
    <w:p w:rsidR="0026452D" w:rsidRDefault="0026452D" w:rsidP="0026452D">
      <w:pPr>
        <w:pStyle w:val="TextoNormal"/>
      </w:pPr>
      <w:r>
        <w:t xml:space="preserve">Tras darse cumplimiento a dicho trámite, se dictó la Sentencia del Tribunal Supremo de 3 de noviembre de 2008, que descarta expresamente plantear la cuestión prejudicial. Con cita de doctrina del Tribunal de Justicia (Sentencias de 7 de junio de 2005, </w:t>
      </w:r>
      <w:r w:rsidRPr="0026452D">
        <w:rPr>
          <w:i/>
        </w:rPr>
        <w:t>Eneco NV y otros</w:t>
      </w:r>
      <w:r>
        <w:t xml:space="preserve">; de 15 de diciembre de 1995, </w:t>
      </w:r>
      <w:r w:rsidRPr="0026452D">
        <w:rPr>
          <w:i/>
        </w:rPr>
        <w:t>Bosman</w:t>
      </w:r>
      <w:r>
        <w:t xml:space="preserve">; de 27 de noviembre de 1997, </w:t>
      </w:r>
      <w:r w:rsidRPr="0026452D">
        <w:rPr>
          <w:i/>
        </w:rPr>
        <w:t>Somalfruit y Camar</w:t>
      </w:r>
      <w:r>
        <w:t xml:space="preserve">, y 13 de julio de 2000, </w:t>
      </w:r>
      <w:r w:rsidRPr="0026452D">
        <w:rPr>
          <w:i/>
        </w:rPr>
        <w:t>Idéal tourisme</w:t>
      </w:r>
      <w:r>
        <w:t xml:space="preserve">), afirma que corresponde exclusivamente al órgano jurisdiccional nacional apreciar, a la luz de las peculiaridades de cada asunto, la necesidad de una decisión prejudicial para poder dictar Sentencia y la pertinencia de las cuestiones a plantear para garantizar una aplicación correcta y una interpretación uniforme del Derecho comunitario en todos los Estados miembros (Sentencias de 24 de mayo de 1977, </w:t>
      </w:r>
      <w:r w:rsidRPr="0026452D">
        <w:rPr>
          <w:i/>
        </w:rPr>
        <w:t>Hoffman-La Roche</w:t>
      </w:r>
      <w:r>
        <w:t xml:space="preserve">, y 4 de noviembre de 1997, </w:t>
      </w:r>
      <w:r w:rsidRPr="0026452D">
        <w:rPr>
          <w:i/>
        </w:rPr>
        <w:t>Parfums Christian Dior</w:t>
      </w:r>
      <w:r>
        <w:t xml:space="preserve">), y resalta que al Tribunal de Justicia no le corresponde, en el marco de la aplicación del art. 234 del Tratado de la Unión (actualmente, art. 267 del Tratado de funcionamiento de la Unión Europea), pronunciarse sobre la compatibilidad de una disposición nacional con el Derecho comunitario, sin perjuicio de que pueda deducir del texto de las cuestiones formuladas por el juez nacional, a tenor de los datos expuestos por éste, los elementos que dependen de la interpretación del Derecho comunitario para permitir a dicho Juez resolver el problema jurídico del que conoce (Sentencia de 30 de septiembre de 2003, </w:t>
      </w:r>
      <w:r w:rsidRPr="0026452D">
        <w:rPr>
          <w:i/>
        </w:rPr>
        <w:t>Köbler</w:t>
      </w:r>
      <w:r>
        <w:t>). Con base en todo ello, proseguía la Sala, no sería procedente esta vez el planteamiento de la cuestión prejudicial, ya que resulta innecesaria “al evidenciarse con toda nitidez cómo debe ser interpretada la disposición reglamentaria de la Comunidad Autónoma sin que la misma incida en una interpretación no uniforme o divergente del derecho comunitario a aplicar por los órganos jurisdiccionales nacionales, que es el fin último a evitar con la cuestión prejudicial”.</w:t>
      </w:r>
    </w:p>
    <w:p w:rsidR="0026452D" w:rsidRDefault="0026452D" w:rsidP="0026452D">
      <w:pPr>
        <w:pStyle w:val="TextoNormal"/>
      </w:pPr>
    </w:p>
    <w:p w:rsidR="0026452D" w:rsidRDefault="0026452D" w:rsidP="0026452D">
      <w:pPr>
        <w:pStyle w:val="TextoNormal"/>
      </w:pPr>
      <w:r>
        <w:t xml:space="preserve">La conclusión anterior se apoya en la reiterada jurisprudencia comunitaria sobre el “acto claro”, desarrollada a partir de la emblemática Sentencia de 6 de octubre de 1982, asunto 283/1981, </w:t>
      </w:r>
      <w:r w:rsidRPr="0026452D">
        <w:rPr>
          <w:i/>
        </w:rPr>
        <w:t>Cilfit</w:t>
      </w:r>
      <w:r>
        <w:t xml:space="preserve">, donde se establece que cuando se trata de “un supuesto que no ofrece dudas sobre la manera de resolver aunque no haya sido objeto de interpretación reiterada del </w:t>
      </w:r>
      <w:r>
        <w:lastRenderedPageBreak/>
        <w:t xml:space="preserve">TJCE”, queda excepcionada la obligación de elevar cuestión prejudicial de interpretación </w:t>
      </w:r>
      <w:r w:rsidRPr="0026452D">
        <w:rPr>
          <w:i/>
        </w:rPr>
        <w:t>ex</w:t>
      </w:r>
      <w:r>
        <w:t xml:space="preserve"> art. 234 TCE. La orden extremeña, conforme a esta doctrina, no contravendría las disposiciones comunitarias, a criterio del Tribunal Supremo.</w:t>
      </w:r>
    </w:p>
    <w:p w:rsidR="0026452D" w:rsidRDefault="0026452D" w:rsidP="0026452D">
      <w:pPr>
        <w:pStyle w:val="TextoNormal"/>
      </w:pPr>
    </w:p>
    <w:p w:rsidR="0026452D" w:rsidRDefault="0026452D" w:rsidP="0026452D">
      <w:pPr>
        <w:pStyle w:val="TextoNormal"/>
      </w:pPr>
      <w:r>
        <w:t>Razona esa conclusión en los siguientes términos (fundamento de Derecho décimo):</w:t>
      </w:r>
    </w:p>
    <w:p w:rsidR="0026452D" w:rsidRDefault="0026452D" w:rsidP="0026452D">
      <w:pPr>
        <w:pStyle w:val="TextoNormal"/>
      </w:pPr>
    </w:p>
    <w:p w:rsidR="0026452D" w:rsidRDefault="0026452D" w:rsidP="0026452D">
      <w:pPr>
        <w:pStyle w:val="TextoNormal"/>
      </w:pPr>
      <w:r>
        <w:t>“[E]l eje del debate lo constituye el concepto ‘faenas normales de cultivo’ expresión contemplada en el art. 4 del Reglamento 1164/1989, de la Comisión de 8 de abril relativo a la disposiciones de aplicación de la ayuda para el lino textil y el cáñamo.</w:t>
      </w:r>
    </w:p>
    <w:p w:rsidR="0026452D" w:rsidRDefault="0026452D" w:rsidP="0026452D">
      <w:pPr>
        <w:pStyle w:val="TextoNormal"/>
      </w:pPr>
    </w:p>
    <w:p w:rsidR="0026452D" w:rsidRDefault="0026452D" w:rsidP="0026452D">
      <w:pPr>
        <w:pStyle w:val="TextoNormal"/>
      </w:pPr>
      <w:r>
        <w:t>Mas tal vocablo no constituye un concepto jurídico indeterminado que deba ser precisado por el Tribunal de Justicia de las Comunidades Europeas ante la posibilidad de interpretaciones divergentes en los distintos Estados de la Unión sino un término cuya complitud puede ser efectuada por los Tribunales nacionales.</w:t>
      </w:r>
    </w:p>
    <w:p w:rsidR="0026452D" w:rsidRDefault="0026452D" w:rsidP="0026452D">
      <w:pPr>
        <w:pStyle w:val="TextoNormal"/>
      </w:pPr>
    </w:p>
    <w:p w:rsidR="0026452D" w:rsidRDefault="0026452D" w:rsidP="0026452D">
      <w:pPr>
        <w:pStyle w:val="TextoNormal"/>
      </w:pPr>
      <w:r>
        <w:t>Resulta patente que la fijación de la organización común de mercados en el sector del lino y del cáñamo efectuada en el Reglamento CEE 1308/1970, de 29 de junio, del Consejo parte, como dice su considerando tercero, ‘de las características de la producción de lino y cáñamo’. Y, como precedente, al Reglamento 1164/1989, constatamos que el Reglamento CEE 619/1971, del Consejo de 22 de marzo de 1971, por el que se fijan las normas generales de concesión de la ayuda para el lino y el cáñamo, ya consideraba en su art. 6 que las ayudas se calcularán con arreglo a ‘la superficie sembrada y cosechada en la que se hayan efectuado actividades normales de cultivo’.</w:t>
      </w:r>
    </w:p>
    <w:p w:rsidR="0026452D" w:rsidRDefault="0026452D" w:rsidP="0026452D">
      <w:pPr>
        <w:pStyle w:val="TextoNormal"/>
      </w:pPr>
    </w:p>
    <w:p w:rsidR="0026452D" w:rsidRDefault="0026452D" w:rsidP="0026452D">
      <w:pPr>
        <w:pStyle w:val="TextoNormal"/>
      </w:pPr>
      <w:r>
        <w:t>Una cuestión es los rendimientos exigibles a las cosechas respecto de las que se pretende la ayuda, materia en la que no vamos a entrar al ser un aspecto ulterior, y otra distinta qué debamos entender por faenas normales de cultivo o actividades normales de cultivo a fin de obviar cultivos puramente especulativos. Ambas se integran en las prácticas agronómicas adecuadas para el cultivo pero se desarrollan en fases distintas.</w:t>
      </w:r>
    </w:p>
    <w:p w:rsidR="0026452D" w:rsidRDefault="0026452D" w:rsidP="0026452D">
      <w:pPr>
        <w:pStyle w:val="TextoNormal"/>
      </w:pPr>
    </w:p>
    <w:p w:rsidR="0026452D" w:rsidRDefault="0026452D" w:rsidP="0026452D">
      <w:pPr>
        <w:pStyle w:val="TextoNormal"/>
      </w:pPr>
      <w:r>
        <w:t>Constituye hecho notorio la necesidad de rotaciones entre dos cosechas de lino, bien sembrando otro producto o bien dejando el terreno a barbecho. En tal sentido la administración demandada en instancia incorporó fotocopia de la Enciclopedia Espasa en la que respecto al lino se afirma que ‘Prospera en terrenos ricos y arcillosos, y mejor aún en los próximos al mar. Es planta de regadío y no debe sembrarse en el mismo campo sino de cuatro en cuatro años. Requiere abonos bien enterrados. Se siembra en otoño o primavera ...’</w:t>
      </w:r>
    </w:p>
    <w:p w:rsidR="0026452D" w:rsidRDefault="0026452D" w:rsidP="0026452D">
      <w:pPr>
        <w:pStyle w:val="TextoNormal"/>
      </w:pPr>
    </w:p>
    <w:p w:rsidR="0026452D" w:rsidRDefault="0026452D" w:rsidP="0026452D">
      <w:pPr>
        <w:pStyle w:val="TextoNormal"/>
      </w:pPr>
      <w:r>
        <w:t xml:space="preserve">Pero, además, conviene integrar en la causa la prueba pericial practicada en el recurso referido al año anterior y que fue incorporado al pleito antecedente del presente recurso de casación en la que un Ingeniero Agrónomo Superior emite informe a petición de las partes acerca del régimen del cultivo del lino textil. Afirma que ‘las tierras sembradas de lino en secano, deben ser barbechadas con el fin de que recuperen las reservas hídricas y mejoras de su estructura, máxime, tras un cultivo considerado esquilmante, como es el lino textil. Si el cultivo se ha realizado en regadío, es evidente, que la tierra no puede descansar barbechada, por razones de rentabilidad, sino que será cultivada de nuevo en la primavera del año siguiente, con la implantación del cultivo pertinente. Lo que sí es aconsejable y fundamental en toda agricultura, ya sea de secano o de regadío en nuestra Comunidad es la alternancia o </w:t>
      </w:r>
      <w:r>
        <w:lastRenderedPageBreak/>
        <w:t>rotación de los cultivos, con el fin de realizar buenas prácticas agrarias… alternando cultivos esquilmantes con otros mejorantes...’</w:t>
      </w:r>
    </w:p>
    <w:p w:rsidR="0026452D" w:rsidRDefault="0026452D" w:rsidP="0026452D">
      <w:pPr>
        <w:pStyle w:val="TextoNormal"/>
      </w:pPr>
    </w:p>
    <w:p w:rsidR="0026452D" w:rsidRDefault="0026452D" w:rsidP="0026452D">
      <w:pPr>
        <w:pStyle w:val="TextoNormal"/>
      </w:pPr>
      <w:r>
        <w:t>De todo lo anterior se concluye inequívocamente que el concepto ‘buena práctica agraria’ en el ámbito del cultivo del lino, en aras a beneficiarse de una ayuda comunitaria, exige una alternancia en los cultivos o el descanso de la tierra mediante el barbecho.”</w:t>
      </w:r>
    </w:p>
    <w:p w:rsidR="0026452D" w:rsidRDefault="0026452D" w:rsidP="0026452D">
      <w:pPr>
        <w:pStyle w:val="TextoNormal"/>
      </w:pPr>
    </w:p>
    <w:p w:rsidR="0026452D" w:rsidRDefault="0026452D" w:rsidP="0026452D">
      <w:pPr>
        <w:pStyle w:val="TextoNormal"/>
      </w:pPr>
      <w:r>
        <w:t>En consecuencia, dice el Alto Tribunal, no hay duda de que la Junta de Extremadura puede perfilar aquel concepto, al ser mejor conocedora, por razones obvias, de cuáles son las buenas prácticas agrarias en su territorio, sin que se haya producido infracción alguna del principio de primacía del Derecho comunitario, que carece de norma concreta sobre ese particular. Por todo cual, rechaza el planteamiento de la cuestión prejudicial y el segundo motivo del recurso de casación.</w:t>
      </w:r>
    </w:p>
    <w:p w:rsidR="0026452D" w:rsidRDefault="0026452D" w:rsidP="0026452D">
      <w:pPr>
        <w:pStyle w:val="TextoNormal"/>
      </w:pPr>
    </w:p>
    <w:p w:rsidR="0026452D" w:rsidRDefault="0026452D" w:rsidP="0026452D">
      <w:pPr>
        <w:pStyle w:val="TextoNormal"/>
      </w:pPr>
      <w:r>
        <w:t>La Sentencia contiene un Voto particular discrepante. Según el Magistrado que lo formula, la procedencia de dictar una norma como la recogida en el art. 10.1 de la orden autonómica no está clara, no puede decirse que resulte evidente o sin duda razonable alguna. Por ello, arguye, “[n]o es, en consecuencia, una afirmación que pueda ser hecha por este Tribunal Supremo; sino una que, de ser correcta, ha de hacer aquel Tribunal, para garantizar así la aplicación uniforme del Derecho Comunitario Europeo”, ya que, según constante jurisprudencia comunitaria, ante un reglamento que establezca una organización común de mercados en un sector determinado, los Estados miembros han de abstenerse de adoptar medidas que puedan significar una excepción a dicho reglamento, efecto que el art. 10.1 de la orden autonómica sí produce puesto que excluye de las ayudas comunitarias derivadas de la organización común de mercados del sector del lino y del cáñamo las superficies que en la campaña anterior hubieran sido utilizadas para cultivar cualquiera de estos productos. Se apoya, en segundo lugar, en que al concepto “faenas normales de cultivo”, presente en la normativa interpretada, puede atribuírsele razonablemente un sentido distinto al dado por la Sentencia recurrida, circunstancia que debería haber hecho dudar al Tribunal Supremo. Añade después que es dudoso que un Estado miembro, o una región del mismo, pueda imponer la rotación como condición de la percepción de ayudas comunitarias, señaladamente cuando la normativa europea encomienda la delimitación del concepto de actividades normales de cultivo a la Comisión e impone un procedimiento muy singular para hacerlo (que engarza con el objetivo de que las ayudas se concedan en condiciones que garanticen la igualdad de trato a los beneficiarios, cualquiera que sea el lugar de su centro de actividad en la Comunidad, y que se concreta en un trámite en el que interviene el “Comité de gestión del lino y del cáñamo”, que está compuesto por representantes de los Estados miembros y presidido por un representante de la Comisión, y puede iniciarse también a instancia de un Estado miembro).</w:t>
      </w:r>
    </w:p>
    <w:p w:rsidR="0026452D" w:rsidRDefault="0026452D" w:rsidP="0026452D">
      <w:pPr>
        <w:pStyle w:val="TextoNormal"/>
      </w:pPr>
    </w:p>
    <w:p w:rsidR="0026452D" w:rsidRDefault="0026452D" w:rsidP="0026452D">
      <w:pPr>
        <w:pStyle w:val="TextoNormal"/>
      </w:pPr>
      <w:r>
        <w:t xml:space="preserve">Todo ello, dice el Magistrado discrepante, acentúa la duda sobre la corrección de la intervención de una Administración autonómica en la definición de lo que sean actividades normales de cultivo, más si se tiene en cuenta que la Comisión desarrolló esa función de delimitación a través de los Reglamentos CE núm. 2183/1997, de 3 de noviembre, y núm. 452/1999, de 1 de marzo, y puso en clara conexión los “rendimientos mínimos” fijados y los “métodos de cultivo correctos”. Este dato, termina el Voto particular, permite concebir que “es la obtención de los rendimientos mínimos fijados lo que determina, </w:t>
      </w:r>
      <w:r w:rsidRPr="0026452D">
        <w:rPr>
          <w:i/>
        </w:rPr>
        <w:t>prima facie</w:t>
      </w:r>
      <w:r>
        <w:t xml:space="preserve">, que el cultivo haya de entenderse efectuado con arreglo o con sujeción a métodos adecuados” o </w:t>
      </w:r>
      <w:r>
        <w:lastRenderedPageBreak/>
        <w:t>que “no cabe que los Estados miembros, y menos aún una región de éstos, dicten una norma que con carácter de disposición general, aplicable en todo caso, equivalga a introducir una condición a cuyo cumplimiento se supedite el derecho a la percepción de las ayudas”. Por todo lo cual, a su entender, debió plantearse la cuestión prejudicial de interpretación de las normas comunitarias que regulaban en enero de 1999 la organización común de mercados del sector del lino y del cáñamo.</w:t>
      </w:r>
    </w:p>
    <w:p w:rsidR="0026452D" w:rsidRDefault="0026452D" w:rsidP="0026452D">
      <w:pPr>
        <w:pStyle w:val="TextoNormal"/>
      </w:pPr>
    </w:p>
    <w:p w:rsidR="0026452D" w:rsidRDefault="0026452D" w:rsidP="0026452D">
      <w:pPr>
        <w:pStyle w:val="TextoNormal"/>
      </w:pPr>
      <w:r>
        <w:t>e) Valzorzales, S.L., promovió contra dicha Sentencia incidente de nulidad de actuaciones (art. 241 de la Ley Orgánica del Poder Judicial), que fue desestimado por Auto de 17 de marzo de 2009.</w:t>
      </w:r>
    </w:p>
    <w:p w:rsidR="0026452D" w:rsidRDefault="0026452D" w:rsidP="0026452D">
      <w:pPr>
        <w:pStyle w:val="TextoNormal"/>
      </w:pPr>
    </w:p>
    <w:p w:rsidR="0026452D" w:rsidRDefault="0026452D" w:rsidP="0026452D">
      <w:pPr>
        <w:pStyle w:val="TextoNormal"/>
      </w:pPr>
      <w:r w:rsidRPr="0026452D">
        <w:rPr>
          <w:rStyle w:val="NumeroAFNegritaCaracter"/>
        </w:rPr>
        <w:t>3</w:t>
      </w:r>
      <w:r>
        <w:t>. En la demanda de amparo la sociedad recurrente alega que la Sentencia de 3 de noviembre de 2008 incurre en error patente con relevancia constitucional (art. 24.1 CE), dado que realiza su enjuiciamiento a partir de elementos que no corresponden al caso de autos, sino a otro anterior, el de la Sentencia de 29 de marzo de 2006 de la misma Sección Cuarta de la Sala de lo Contencioso-Administrativo del Tribunal Supremo, recaída en el recurso de casación núm. 7009-2003, que no es igual al actual. Asimismo, porque en el fundamento de Derecho primero y en el fallo identifica erróneamente el acto administrativo impugnado (pues dice que se trata de una solicitud de ayuda al lino textil en lugar de al cáñamo y le atribuye una fecha distinta de la suya propia, precisamente la de un acto anterior relativo al cultivo del lino que había sido objeto de otro proceso contencioso-administrativo: el anteriormente reseñado) y porque en los fundamentos de Derecho décimo y undécimo alude a la parquedad de la demanda de instancia (pese a que ésta desarrollaba ampliamente las razones que sostenían la impugnación) y a un tercer motivo de casación (que no existía), todo lo cual evidencia que su argumentación constituye una motivación contraria al art. 24.1 CE y produce una incongruencia constitucionalmente relevante desde la perspectiva del art. 24.2 CE.</w:t>
      </w:r>
    </w:p>
    <w:p w:rsidR="0026452D" w:rsidRDefault="0026452D" w:rsidP="0026452D">
      <w:pPr>
        <w:pStyle w:val="TextoNormal"/>
      </w:pPr>
    </w:p>
    <w:p w:rsidR="0026452D" w:rsidRDefault="0026452D" w:rsidP="0026452D">
      <w:pPr>
        <w:pStyle w:val="TextoNormal"/>
      </w:pPr>
      <w:r>
        <w:t xml:space="preserve">Denuncia, en segundo lugar, que la Sentencia impugnada, al negarse a elevar al Tribunal de Justicia la cuestión prejudicial, vulneró el derecho a la tutela judicial efectiva (art. 24.1 CE) y el derecho a un proceso debido y con todas las garantías (art. 24.2 CE), ya que no resolvió sobre la cuestión </w:t>
      </w:r>
      <w:r w:rsidRPr="0026452D">
        <w:rPr>
          <w:i/>
        </w:rPr>
        <w:t>secundum legem</w:t>
      </w:r>
      <w:r>
        <w:t xml:space="preserve"> y con sujeción al sistema de fuentes. Apoya esta queja en la doctrina sentada por la STC 58/2004, de 19 de abril, que transcribe </w:t>
      </w:r>
      <w:r w:rsidRPr="0026452D">
        <w:rPr>
          <w:i/>
        </w:rPr>
        <w:t>in extenso</w:t>
      </w:r>
      <w:r>
        <w:t xml:space="preserve"> y considera trasgredida; en el Voto particular de la Sentencia recurrida, que también reproduce ampliamente, y en la jurisprudencia del Tribunal de Justicia (señaladamente en la STJCE de 6 de octubre de 1982, asunto 283/81, </w:t>
      </w:r>
      <w:r w:rsidRPr="0026452D">
        <w:rPr>
          <w:i/>
        </w:rPr>
        <w:t>Cilfit</w:t>
      </w:r>
      <w:r>
        <w:t>).</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15 de noviembre de 2010, la Sala Primera de este Tribunal, de conformidad con lo dispuesto en el art.11.2 de la Ley Orgánica del Tribunal Constitucional (LOTC), acordó admitir a trámite la demanda y, a tenor de lo establecido en el art. 51 LOTC, requerir atentamente a la Sección Cuarta de Sala de lo Contencioso-Administrativo del Tribunal Supremo para que remitiese certificación o fotocopia adverada de las actuaciones correspondientes al recurso de casación núm. 2916-2004, y a la Sala de lo Contencioso-Administrativo del Tribunal Superior de Justicia de Extremadura para que hiciese lo propio con las relativas al recurso contencioso-administrativo núm. 514-2001. Asimismo, encomendaba al último órgano judicial citado que realizase los emplazamientos correspondientes.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5</w:t>
      </w:r>
      <w:r>
        <w:t>. El Letrado de la Junta de Extremadura se personó por medio de escrito de fecha 30 de diciembre de 2010. Por diligencia de ordenación de 4 de febrero de 2011 se acordó tenerle por personado y parte en el procedimiento y se dio vista de las actuaciones recibidas a las partes personadas y al Ministerio público, a fin de que pudieran presentar las alegaciones que estimasen pertinentes, conforme a lo establecido en el art. 52.1 LOTC.</w:t>
      </w:r>
    </w:p>
    <w:p w:rsidR="0026452D" w:rsidRDefault="0026452D" w:rsidP="0026452D">
      <w:pPr>
        <w:pStyle w:val="TextoNormal"/>
      </w:pPr>
    </w:p>
    <w:p w:rsidR="0026452D" w:rsidRDefault="0026452D" w:rsidP="0026452D">
      <w:pPr>
        <w:pStyle w:val="TextoNormal"/>
      </w:pPr>
      <w:r w:rsidRPr="0026452D">
        <w:rPr>
          <w:rStyle w:val="NumeroAFNegritaCaracter"/>
        </w:rPr>
        <w:t>6</w:t>
      </w:r>
      <w:r>
        <w:t>. La representación de la actora registró sus alegaciones el día 8 de marzo de 2001, en las que reitera en esencia los argumentos de su demanda de amparo.</w:t>
      </w:r>
    </w:p>
    <w:p w:rsidR="0026452D" w:rsidRDefault="0026452D" w:rsidP="0026452D">
      <w:pPr>
        <w:pStyle w:val="TextoNormal"/>
      </w:pPr>
    </w:p>
    <w:p w:rsidR="0026452D" w:rsidRDefault="0026452D" w:rsidP="0026452D">
      <w:pPr>
        <w:pStyle w:val="TextoNormal"/>
      </w:pPr>
      <w:r w:rsidRPr="0026452D">
        <w:rPr>
          <w:rStyle w:val="NumeroAFNegritaCaracter"/>
        </w:rPr>
        <w:t>7</w:t>
      </w:r>
      <w:r>
        <w:t>. El Letrado de la Junta de Extremadura, en escrito presentado el día 8 de marzo de 2011, alega que no procede la admisión del recurso de amparo porque considera que no se ha justificado siquiera la especial transcendencia constitucional del recurso; subsidiariamente manifiesta que debe desestimarse porque no se ha vulnerado ningún derecho fundamental.</w:t>
      </w:r>
    </w:p>
    <w:p w:rsidR="0026452D" w:rsidRDefault="0026452D" w:rsidP="0026452D">
      <w:pPr>
        <w:pStyle w:val="TextoNormal"/>
      </w:pPr>
    </w:p>
    <w:p w:rsidR="0026452D" w:rsidRDefault="0026452D" w:rsidP="0026452D">
      <w:pPr>
        <w:pStyle w:val="TextoNormal"/>
      </w:pPr>
      <w:r>
        <w:t>En cuanto al fondo, dice que la parte recurrente pretende la revisión de lo resuelto por los Tribunales de la jurisdicción contencioso-administrativa, cuando lo cierto es que se ha obtenido un pronunciamiento fundado en Derecho. Se opone también a la segunda denuncia, conectada con la negativa a plantear la cuestión prejudicial, que en su opinión no procedía elevar al Tribunal de Justicia porque la Orden de 21 de enero de 1999 no hizo sino trasladar al ámbito de aplicación de la Comunidad Autónoma de Extremadura lo dispuesto en las normativas comunitaria y estatal. A su juicio, cuando la normativa comunitaria señala que la Comisión podrá establecer los criterios que definan las actividades normales de cultivo, “especialmente” (lo resalta) en lo que respecta al rendimiento mínimo que sea preciso observar (Reglamento CEE núm. 619/1971, del Consejo, de 22 de marzo de 1971, en relación con Reglamento CE núm. 452/1999, de la Comisión, de 1 de marzo de 1999), viene a reconocer que son distintos elementos los que deben tenerse en cuenta para completar dicho concepto y que será facultad de la Comisión fijar uno de ellos (el rendimiento mínimo que sea preciso observar). El resto de elementos que se integran en el concepto actividades normales de cultivo (que conecta su escrito con la idea de “buenas prácticas agrarias”) pueden ser delimitados en la instancia nacional. Y en ejercicio de esa facultad de delimitación, y a falta de norma que lo concrete en el Derecho comunitario, la Junta de Extremadura perfiló el concepto con un requisito razonable (rotación de cultivos) para poder optar a la ayuda a la siembra de lino o cáñamo, al igual que hizo la Junta de Comunidades de Castilla-La Mancha para la misma campaña (Orden de 29 de diciembre de 1998 de la Consejería de Agricultura y Medio Ambiente) y el Estado para la siguiente (art. 22 del Real Decreto 1893/1999, de 10 de diciembre).</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El Fiscal evacuó el trámite de alegaciones el 14 de marzo de 2011. Sobre la queja relativa a la existencia de un error patente con relevancia constitucional, reseña la doctrina constitucional y constata que buena parte de la Sentencia impugnada es reproducción exacta del contenido del fundamento jurídico 9 de otra Sentencia antecedente (la STS de 29 de marzo de 2006), lo que denota una, al menos, dice, desordenada y poco reflexiva traslación del contenido de una resolución anterior, pues fue dictada en un caso de cultivo de lino en el que intervino la misma sociedad ahora demandante de amparo, pese a que al presente supuesto se refiere, en cambio, al cultivo de cáñamo. Sin embargo, a pesar del reproche que </w:t>
      </w:r>
      <w:r>
        <w:lastRenderedPageBreak/>
        <w:t>lo anterior pueda merecer desde otras perspectivas, piensa que no hay elementos contundentes para considerar plausible que la resolución hubiera sido otra de haberse referido expresa y correctamente al cultivo de cáñamo. En efecto, el debate producido a raíz del trámite de audiencia sobre el planteamiento de la cuestión prejudicial y el propio debate deliberativo previo a emitir Sentencia, al igual que el articulado en la impugnación por el recurrente en casación, revelan que la razón de la decisión se fundó en la validez y ajuste al Derecho comunitario de la orden autonómica que exige la rotación de cultivos, norma que es aplicable tanto al lino textil como al cáñamo y al lino no textil, por lo que, concluye el Fiscal, el denunciado error (que por lo demás la parte recurrente enuncia sin argumentar por qué podría haber tenido un efecto en el fallo) carecería de relevancia.</w:t>
      </w:r>
    </w:p>
    <w:p w:rsidR="0026452D" w:rsidRDefault="0026452D" w:rsidP="0026452D">
      <w:pPr>
        <w:pStyle w:val="TextoNormal"/>
      </w:pPr>
    </w:p>
    <w:p w:rsidR="0026452D" w:rsidRDefault="0026452D" w:rsidP="0026452D">
      <w:pPr>
        <w:pStyle w:val="TextoNormal"/>
      </w:pPr>
      <w:r>
        <w:t>Acerca de la otra lesión alegada por Valzorzales, S.L., expone que después de una inicial línea doctrinal que sostuvo que el no planteamiento de una cuestión prejudicial de interpretación del Derecho comunitario ante el Tribunal de Justicia de la Unión Europea venía a ser un tema de legalidad ordinaria, ajeno al recurso de amparo (cita la STC 180/1993, de 31 de mayo), la jurisprudencia ha evolucionado (SSTC 58/2004, de 19 de abril; y 194/2006, de 19 de junio) y admite ahora que en ciertos supuestos esa falta de planteamiento pueda llevar aparejada la lesión de las garantías previstas en el art. 24 CE. En atención a esos pronunciamientos, la existencia o inexistencia de una duda no puede entenderse en términos de convicción subjetiva del juzgador sobre una determinada interpretación del Derecho de la Unión Europea (una apreciación subjetiva), sino como la inexistencia objetiva, clara y terminante de duda alguna en su aplicación. No se trata, pues, de que no haya dudas razonables sino, simplemente, “de que no haya duda alguna” (STC 58/2004, FJ 12).</w:t>
      </w:r>
    </w:p>
    <w:p w:rsidR="0026452D" w:rsidRDefault="0026452D" w:rsidP="0026452D">
      <w:pPr>
        <w:pStyle w:val="TextoNormal"/>
      </w:pPr>
    </w:p>
    <w:p w:rsidR="0026452D" w:rsidRDefault="0026452D" w:rsidP="0026452D">
      <w:pPr>
        <w:pStyle w:val="TextoNormal"/>
      </w:pPr>
      <w:r>
        <w:t xml:space="preserve">El Fiscal constata que en el presente caso no se elevó la cuestión prejudicial por estimarse que en el concepto “faenas normales de cultivo”, empleado por la regulación europea de la organización común de mercados del lino y el cáñamo, cabía incluir la exigencia del descanso del terreno del cultivo, de modo que la rotación anual impuesta por la orden autonómica resultaría conforme con esa regulación. Sin embargo, a su criterio, aun cuando ésta sea una interpretación posible, no es claramente evidente y nítida, hasta el punto de descartar toda duda. Para justificar que cabe otra interpretación acude al silencio de la normativa comunitaria sobre la idea de la rotación; a la jurisprudencia del Tribunal de Justicia ya reseñada, que prohíbe que los Estados regulen excepciones a los Reglamentos comunitarios que establezcan una organización común de mercados en un cierto sector, y, además, al principio de trato igualitario de los beneficiarios de las ayudas, </w:t>
      </w:r>
      <w:r w:rsidRPr="0026452D">
        <w:rPr>
          <w:i/>
        </w:rPr>
        <w:t>ex</w:t>
      </w:r>
      <w:r>
        <w:t xml:space="preserve"> art. 2 del Reglamento núm. 619/1971 del Consejo, pues la ausencia de exigencia de rotación para condicionar la concesión de la ayuda por cultivo de cáñamo en el resto del territorio de la Unión Europea, e incluso en el resto del territorio español, supone que los productores del mismo cultivo en dichos territorios disfrutarían de la subvención a diferencia de la sociedad recurrente. Por último, al igual que hiciera la demanda de amparo, hace suyos los argumentos del Voto particular formulado a la Sentencia recurrida, que reproduce.</w:t>
      </w:r>
    </w:p>
    <w:p w:rsidR="0026452D" w:rsidRDefault="0026452D" w:rsidP="0026452D">
      <w:pPr>
        <w:pStyle w:val="TextoNormal"/>
      </w:pPr>
    </w:p>
    <w:p w:rsidR="0026452D" w:rsidRDefault="0026452D" w:rsidP="0026452D">
      <w:pPr>
        <w:pStyle w:val="TextoNormal"/>
      </w:pPr>
      <w:r>
        <w:t>Confirmada la duda y la imposibilidad de aplicación de la doctrina del “acto claro”, concluye, se hurtó indebidamente al recurrente de un trámite obligado del proceso debido, y se lesionó el derecho a la tutela judicial efectiva en su vertiente de un proceso con todas las garantías.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9</w:t>
      </w:r>
      <w:r>
        <w:t>. Por providencia de 7 de febrero de 2013, se señaló para deliberación y fallo de la Sentencia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La sociedad recurrente dirige su demanda de amparo contra la Sentencia de la Sección Cuarta de la Sala de lo Contencioso-Administrativo del Tribunal Supremo de 3 de noviembre de 2008, que confirmó en casación la Sentencia de la Sala de lo Contencioso-Administrativo del Tribunal Superior de Justicia de Extremadura de 30 de octubre de 2003, en las actuaciones relativas al recurso contencioso-administrativo núm. 514-2001. Denuncia que incurrió, en primer lugar, en la vulneración del derecho a la tutela judicial efectiva, por error patente (art. 24.1 CE), al realizar su enjuiciamiento a partir de elementos que no corresponden al caso de autos, y, en segundo término, que lesionó sus derechos fundamentales a la tutela judicial efectiva (art. 24.1 CE) y a un proceso con todas las garantías (art. 24.2 CE) porque decidió no plantear ante el Tribunal de Justicia de la Unión Europea la cuestión prejudicial de interpretación que había sido solicitada sobre la normativa comunitaria que establecía y regulaba la organización común de mercados del lino y el cáñamo, y procedió a aplicar la Orden de 21 de enero de 1999 de la Junta de Extremadura que, en su opinión, la contraviene. Es del mismo parecer el Ministerio Fiscal, en cuanto se refiere a la segunda queja enunciada, mientras que se opone a todas las pretensiones del recurso la representación de la Junta de Extremadura, según ha quedado expuesto con detalle en los antecedentes de esta resolución.</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Antes de entrar a examinar la cuestión de fondo, debemos determinar si concurre o no el óbice procesal alegado por el Letrado de la Junta de Extremadura, referido al incumplimiento del requisito de justificar en la demanda la especial trascendencia constitucional del recurso [art. 49.1 </w:t>
      </w:r>
      <w:r w:rsidRPr="0026452D">
        <w:rPr>
          <w:i/>
        </w:rPr>
        <w:t>in fine</w:t>
      </w:r>
      <w:r>
        <w:t xml:space="preserve"> de la Ley Orgánica del Tribunal Constitucional (LOTC)].</w:t>
      </w:r>
    </w:p>
    <w:p w:rsidR="0026452D" w:rsidRDefault="0026452D" w:rsidP="0026452D">
      <w:pPr>
        <w:pStyle w:val="TextoNormal"/>
      </w:pPr>
    </w:p>
    <w:p w:rsidR="0026452D" w:rsidRDefault="0026452D" w:rsidP="0026452D">
      <w:pPr>
        <w:pStyle w:val="TextoNormal"/>
      </w:pPr>
      <w:r>
        <w:t>Debe hacerse notar que el representante de la Junta de Extremadura presenta unas alegaciones en las que, tras negar que se haya vulnerado algún derecho fundamental de la actora, se limita a afirmar “que no se ha justificado siquiera la especial transcendencia constitucional del recurso de amparo”, sin acompañar otra indicación o explicación crítica referida a los argumentos que la demanda dedica a justificar la concurrencia de la especial trascendencia constitucional (páginas 7 y 8). En lógica correspondencia con el esfuerzo argumental realizado por la recurrente para justificar ese extremo, según le exige el art. 49.1 LOTC, y teniendo en cuenta el deber de las partes de colaborar con este Tribunal, aportando los argumentos que sustenten sus respectivas posiciones, debe subrayarse que también ha de soportar la consiguiente carga de argumentar quien niega que en la demanda se haya cumplido en forma correcta ese deber; especialmente en la medida en que el planteamiento del óbice se produce cuando ya se ha adoptado una decisión de admisión por parte de este Tribunal, que implica un enjuiciamiento inicial sobre el cumplimiento del deber de justificar la especial trascendencia constitucional del recurso, por más que podamos posteriormente reconsiderar esa primera valoración y adoptar una decisión de inadmisión en la Sentencia.</w:t>
      </w:r>
    </w:p>
    <w:p w:rsidR="0026452D" w:rsidRDefault="0026452D" w:rsidP="0026452D">
      <w:pPr>
        <w:pStyle w:val="TextoNormal"/>
      </w:pPr>
    </w:p>
    <w:p w:rsidR="0026452D" w:rsidRDefault="0026452D" w:rsidP="0026452D">
      <w:pPr>
        <w:pStyle w:val="TextoNormal"/>
      </w:pPr>
      <w:r>
        <w:t xml:space="preserve">Hemos de recordar también que, como se indica, entre otras, en la STC 143/2011, de 26 de septiembre, FJ 2, este Tribunal “ha tomado en consideración la fecha de la interposición de la demanda en relación con la fecha de la publicación, el 28 de julio de 2009, de la STC </w:t>
      </w:r>
      <w:r>
        <w:lastRenderedPageBreak/>
        <w:t>155/2009, de 25 de junio, atenuando el rigor en la valoración del cumplimiento de la carga justificativa de la especial trascendencia constitucional en las demandas interpuestas con anterioridad a esa fecha (AATC 4/2010 y 5/2010, de 14 de enero)”. En el presente recurso de amparo, puesto que la demanda tuvo entrada en el Registro General de este Tribunal el 5 de mayo de 2009, consideramos que era de aplicación el criterio flexible enunciado, acogido también en otros pronunciamientos, como por ejemplo la STC 15/2011, de 28 de febrero, FJ 3. Analizando la demanda de amparo a partir de esta premisa, se constata que la recurrente dedica un fundamento jurídico a justificar que el recurso reviste especial trascendencia constitucional, en el que, si bien, la argumentación gira en su mayor parte en torno a la lesión que le ha producido la decisión del Tribunal Supremo de no plantear la cuestión prejudicial ante el Tribunal de Justicia de la Unión Europea, también ofrece ciertos datos objetivos que pueden permitir a este Tribunal apreciar la especial trascendencia constitucional del asunto. En efecto, la demanda pone de relieve la —a su juicio— errónea premisa de la que parte el Tribunal Supremo, como órgano jurisdiccional que en nuestro Ordenamiento se pronuncia en última instancia, en el sentido de que tiene potestad para aceptar o rechazar el planteamiento de la cuestión prejudicial, sin atenerse a los estrechos límites fijados al respecto en la jurisprudencia del Tribunal Constitucional y del Tribunal de Justicia de la Unión Europea. Y se refiere a la incidencia que esa postura puede tener sobre las disposiciones del Tratado de la Unión Europea que, de acuerdo con la Constitución, tienen “efecto directo sobre los ciudadanos y primacía sobre las disposiciones internas”.</w:t>
      </w:r>
    </w:p>
    <w:p w:rsidR="0026452D" w:rsidRDefault="0026452D" w:rsidP="0026452D">
      <w:pPr>
        <w:pStyle w:val="TextoNormal"/>
      </w:pPr>
    </w:p>
    <w:p w:rsidR="0026452D" w:rsidRDefault="0026452D" w:rsidP="0026452D">
      <w:pPr>
        <w:pStyle w:val="TextoNormal"/>
      </w:pPr>
      <w:r>
        <w:t>No encontramos razones para modificar, en el momento procesal en el que ahora nos hallamos, aquella inicial apreciación de la suficiente justificación de la especial trascendencia constitucional (STC 183/2011, de 21 de noviembre, FJ 2), y además, como destaca el Ministerio Fiscal, este recurso de amparo reviste el interés objetivo de determinar si la más reciente doctrina de este Tribunal relativa a las cuestiones prejudiciales es extensible o no, y, en su caso, en qué términos, a supuestos en los que la falta de remisión al Tribunal de Justicia de la Unión Europea no tiene como efecto aparejado la inaplicación de norma legal interna alguna (circunstancia que sí se daba en los asuntos resueltos hasta la fecha), sino que, por el contrario, da lugar a la aplicación de la disposición interna controvertida porque se considera que es compatible con la norma europea sobre cuya interpretación se han proyectado las dudas.</w:t>
      </w:r>
    </w:p>
    <w:p w:rsidR="0026452D" w:rsidRDefault="0026452D" w:rsidP="0026452D">
      <w:pPr>
        <w:pStyle w:val="TextoNormal"/>
      </w:pPr>
    </w:p>
    <w:p w:rsidR="0026452D" w:rsidRDefault="0026452D" w:rsidP="0026452D">
      <w:pPr>
        <w:pStyle w:val="TextoNormal"/>
      </w:pPr>
      <w:r w:rsidRPr="0026452D">
        <w:rPr>
          <w:rStyle w:val="NumeroAFNegritaCaracter"/>
        </w:rPr>
        <w:t>3</w:t>
      </w:r>
      <w:r>
        <w:t>. Aunque la hipotética estimación de cualquiera de los dos motivos de amparo articulados supondría la retroacción de las actuaciones al momento anterior a la Sentencia de casación, de 3 de noviembre de 2008, el eventual otorgamiento del amparo por la falta de planteamiento de la cuestión prejudicial tendría un mayor efecto retroactivo, pues determinaría que el Tribunal Supremo, antes de plantearse la decisión del fondo del proceso (fase a la que afecta la otra queja articulada en el recurso de amparo), debería cuestionar al Tribunal de Justicia sobre el sentido de la normativa comunitaria que establecía y regulaba la organización común de mercados del lino y el cáñamo. De modo que, con base en la reiterada doctrina constitucional que dispone que se otorgará prioridad a aquellas quejas de las que pueda derivarse la retroacción de las actuaciones y, dentro de éstas, a aquéllas que den lugar a la retroacción a momentos anteriores (por todas, SSTC 229/2003, de 18 de diciembre, FJ 2; y 65/2011, de 16 de mayo, FJ 2), aquél habrá de ser el motivo por el que comencemos nuestro análisis.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4</w:t>
      </w:r>
      <w:r>
        <w:t>. Al resolver sobre la legalidad de la denegación de una ayuda a la siembra de cáñamo solicitada por la recurrente en amparo en la campaña 1999-2000, la Sentencia del Tribunal Supremo que se impugna situó el eje del debate en el concepto “faenas normales de cultivo”, expresión contemplada en el art. 4 del Reglamento (CEE) núm. 1164/1989 de la Comisión, de 28 de abril de 1989, relativo a las disposiciones de aplicación de la ayuda para el lino textil y el cáñamo. El Alto Tribunal consideró que tal expresión no constituye un concepto jurídico indeterminado que deba ser precisado por el Tribunal de Justicia, ante la posibilidad de interpretaciones divergentes en los distintos Estados de la Unión, sino un término “cuya complitud puede ser efectuada por los Tribunales nacionales”.</w:t>
      </w:r>
    </w:p>
    <w:p w:rsidR="0026452D" w:rsidRDefault="0026452D" w:rsidP="0026452D">
      <w:pPr>
        <w:pStyle w:val="TextoNormal"/>
      </w:pPr>
    </w:p>
    <w:p w:rsidR="0026452D" w:rsidRDefault="0026452D" w:rsidP="0026452D">
      <w:pPr>
        <w:pStyle w:val="TextoNormal"/>
      </w:pPr>
      <w:r>
        <w:t>En atención a los elementos de juicio que obraban en autos, y a tenor de la normativa comunitaria aplicable, en efecto, la Sentencia impugnada concluyó que el concepto “buena práctica agraria” (que conectaba con aquel otro de “faenas normales de cultivo” en el ámbito del cultivo a debate) impone una alternancia en los cultivos o el descanso de la tierra mediante el barbecho. De ese modo, el art. 10 de la Orden de 21 de enero de 1999, de la Consejería de Agricultura y Comercio de la Junta de Extremadura, al reclamar “la rotacionalidad en los cultivos de lino no textil, cáñamo y lino textil, no pudiéndose utilizar tierras que en la campaña anterior fueron utilizadas para algunos de estos cultivos”, resultaba, según el Alto Tribunal, conforme con las normas comunitarias y era por tanto aplicable a la solicitud de la parte actora.</w:t>
      </w:r>
    </w:p>
    <w:p w:rsidR="0026452D" w:rsidRDefault="0026452D" w:rsidP="0026452D">
      <w:pPr>
        <w:pStyle w:val="TextoNormal"/>
      </w:pPr>
    </w:p>
    <w:p w:rsidR="0026452D" w:rsidRDefault="0026452D" w:rsidP="0026452D">
      <w:pPr>
        <w:pStyle w:val="TextoNormal"/>
      </w:pPr>
      <w:r>
        <w:t>Se analizaban a tal fin las siguientes disposiciones: el Reglamento (CEE) núm. 1164/89 de la Comisión, de 28 de abril de 1989, relativo a las disposiciones de aplicación de la ayuda para el lino textil y el cáñamo; el Reglamento (CE) núm. 154/1997 del Consejo, de 20 de enero de 1997, que modifica el Reglamento (CEE) núm. 619/1971, por el que se fijan las normas generales de concesión de la ayuda para el lino y el cáñamo; y el Reglamento (CE) núm. 452/1999 de la Comisión, de 1 de marzo de 1999, por el que se fija el rendimiento mínimo que debe observarse a efectos de la concesión de la ayuda a la producción del lino textil y el cáñamo. De dicho análisis se concluía que las exigencias de la noción comunitaria “faenas normales de cultivo”, incluida en el art. 4 a) del primero de aquellos Reglamentos, no quedaban definidas únicamente por la obtención de unos rendimientos mínimos cuya observancia resultaría suficiente para entenderse cumplida aquella exigencia. Y de tal conclusión se derivaría que la previsión comunitaria era compatible con la norma de Derecho interno recogida en el art. 10 de la referida orden de la Consejería de Agricultura y Comercio, que condiciona la obtención de la ayuda, no sólo a los referidos rendimientos, sino también a que la superficie declarada no hubiera sido dedicada a ese tipo de cultivos en la campaña anterior.</w:t>
      </w:r>
    </w:p>
    <w:p w:rsidR="0026452D" w:rsidRDefault="0026452D" w:rsidP="0026452D">
      <w:pPr>
        <w:pStyle w:val="TextoNormal"/>
      </w:pPr>
    </w:p>
    <w:p w:rsidR="0026452D" w:rsidRDefault="0026452D" w:rsidP="0026452D">
      <w:pPr>
        <w:pStyle w:val="TextoNormal"/>
      </w:pPr>
      <w:r>
        <w:t xml:space="preserve">Conforme a esta interpretación el Tribunal Supremo decide no plantear la cuestión prejudicial en los autos del recurso contencioso-administrativo a tenor de las siguientes consideraciones: que corresponde exclusivamente al órgano jurisdiccional nacional apreciar, a la luz de las peculiaridades de cada asunto, la necesidad de una decisión prejudicial para poder dictar Sentencia y, en su caso, la pertinencia de las cuestiones a plantear a fin de garantizar una aplicación correcta y una interpretación uniforme del Derecho comunitario en todos los Estados miembros (SSTJCE de 7 de junio de 2005, </w:t>
      </w:r>
      <w:r w:rsidRPr="0026452D">
        <w:rPr>
          <w:i/>
        </w:rPr>
        <w:t>Eneco NV y otros</w:t>
      </w:r>
      <w:r>
        <w:t xml:space="preserve">, apartado 34; de 13 de julio de 2000, </w:t>
      </w:r>
      <w:r w:rsidRPr="0026452D">
        <w:rPr>
          <w:i/>
        </w:rPr>
        <w:t>Idéal tourisme</w:t>
      </w:r>
      <w:r>
        <w:t xml:space="preserve">, apartado 20; de 27 de noviembre de 1997, </w:t>
      </w:r>
      <w:r w:rsidRPr="0026452D">
        <w:rPr>
          <w:i/>
        </w:rPr>
        <w:t>Somalfruit y Camar</w:t>
      </w:r>
      <w:r>
        <w:t xml:space="preserve">, apartado 40, y de 15 de diciembre de 1995, </w:t>
      </w:r>
      <w:r w:rsidRPr="0026452D">
        <w:rPr>
          <w:i/>
        </w:rPr>
        <w:t>Bosman</w:t>
      </w:r>
      <w:r>
        <w:t xml:space="preserve">, apartado 59); que al Tribunal de Justicia no le corresponde pronunciarse, en el marco de la aplicación del art. 234 del </w:t>
      </w:r>
      <w:r>
        <w:lastRenderedPageBreak/>
        <w:t xml:space="preserve">Tratado de la Comunidad Europea, sobre la compatibilidad de una disposición nacional con el Derecho comunitario, sin perjuicio de que pueda deducir del texto de las cuestiones formuladas en su caso por el Juez nacional, en atención a los datos expuestos por éste, los elementos que dependen de la interpretación del Derecho comunitario para permitir a dicho Juez resolver el problema jurídico del que conoce (STJCE de 30 de septiembre de 2003, </w:t>
      </w:r>
      <w:r w:rsidRPr="0026452D">
        <w:rPr>
          <w:i/>
        </w:rPr>
        <w:t>Köbler</w:t>
      </w:r>
      <w:r>
        <w:t>, apartado 60); en definitiva, que en el caso de autos sería improcedente plantear la cuestión prejudicial comunitaria por tratarse de un supuesto de interpretación evidente y clara de la disposición reglamentaria de la Comunidad Autónoma objeto de impugnación indirecta en el proceso, de manera que no se afecta a la aplicación uniforme del Derecho comunitario por los órganos jurisdiccionales nacionales, uniformidad cuya preservación constituye el fundamento básico de la cuestión prejudicial.</w:t>
      </w:r>
    </w:p>
    <w:p w:rsidR="0026452D" w:rsidRDefault="0026452D" w:rsidP="0026452D">
      <w:pPr>
        <w:pStyle w:val="TextoNormal"/>
      </w:pPr>
    </w:p>
    <w:p w:rsidR="0026452D" w:rsidRDefault="0026452D" w:rsidP="0026452D">
      <w:pPr>
        <w:pStyle w:val="TextoNormal"/>
      </w:pPr>
      <w:r>
        <w:t>Desde tales premisas, entrando en el litigio concreto, la Sentencia realiza una interpretación del criterio de los rendimientos exigibles a las cosechas respecto de las que se pretende la ayuda, entendiendo que no agota el concepto de “faenas normales de cultivo” o “actividades normales de cultivo”, puesto que se trataba de excluir aquellos cultivos puramente especulativos, por lo que no ofrecería duda alguna que la Junta de Extremadura puede perfilar dichas nociones, sobre cuya precisión guarda silencio la norma comunitaria, al ser mejor conocedora, por razones obvias, de cuáles son las buenas prácticas agrarias en su territorio. No se habría producido, por tanto, infracción del principio de primacía del Derecho comunitario, ni era obligado, en suma, plantear una cuestión prejudicial.</w:t>
      </w:r>
    </w:p>
    <w:p w:rsidR="0026452D" w:rsidRDefault="0026452D" w:rsidP="0026452D">
      <w:pPr>
        <w:pStyle w:val="TextoNormal"/>
      </w:pPr>
    </w:p>
    <w:p w:rsidR="0026452D" w:rsidRDefault="0026452D" w:rsidP="0026452D">
      <w:pPr>
        <w:pStyle w:val="TextoNormal"/>
      </w:pPr>
      <w:r>
        <w:t>La empresa recurrente, en cambio, al igual que el Ministerio Fiscal, defiende que la interpretación de la citada normativa comunitaria es cuando menos dudosa, por lo que corresponde al Tribunal de Justicia dirimir las dudas, como único intérprete legítimo del Derecho de la Unión, de manera que el Tribunal Supremo, al no haber formulado cuestión prejudicial sobre ese particular, vulneró los derechos fundamentales a la tutela judicial efectiva (art. 24.1 CE) y a un proceso con todas las garantías (art. 24.2 CE).</w:t>
      </w:r>
    </w:p>
    <w:p w:rsidR="0026452D" w:rsidRDefault="0026452D" w:rsidP="0026452D">
      <w:pPr>
        <w:pStyle w:val="TextoNormal"/>
      </w:pPr>
    </w:p>
    <w:p w:rsidR="0026452D" w:rsidRDefault="0026452D" w:rsidP="0026452D">
      <w:pPr>
        <w:pStyle w:val="TextoNormal"/>
      </w:pPr>
      <w:r w:rsidRPr="0026452D">
        <w:rPr>
          <w:rStyle w:val="NumeroAFNegritaCaracter"/>
        </w:rPr>
        <w:t>5</w:t>
      </w:r>
      <w:r>
        <w:t>. Para abordar el examen de la mencionada queja debemos en primer lugar precisar los contornos del canon constitucional que hemos de emplear. Según es consolidada y unánime doctrina constitucional, tal como recordamos recientemente en la STC 13/2012, de 30 de enero, FJ 3, el derecho a obtener la tutela judicial efectiva, garantizado en el art. 24.1 CE, comprende el derecho a obtener de los Jueces y Tribunales una resolución motivada y fundada en Derecho sobre el fondo de las pretensiones oportunamente deducidas por las partes en el proceso. Ello significa, en primer lugar, que la resolución judicial ha de estar motivada, es decir, contener los elementos y razones de juicio que permitan conocer cuáles han sido los criterios jurídicos que fundamentan la decisión; y, en segundo lugar, que la motivación esté fundada en Derecho (SSTC 276/2006, de 25 de septiembre, FJ 2, y 64/2010, de 18 de octubre; FJ 3) o, lo que es lo mismo, que sea consecuencia de una exégesis racional del Ordenamiento y no fruto de un error patente o de la arbitrariedad (por todas, STC 146/2005, de 6 de junio, FJ 7). En definitiva, el art. 24 CE impone a los órganos judiciales “no sólo la obligación de ofrecer una respuesta motivada a las pretensiones deducidas, sino que, además, ésta ha de tener contenido jurídico y no resultar arbitraria” (STC 8/2005, de 17 de enero, FJ 3).</w:t>
      </w:r>
    </w:p>
    <w:p w:rsidR="0026452D" w:rsidRDefault="0026452D" w:rsidP="0026452D">
      <w:pPr>
        <w:pStyle w:val="TextoNormal"/>
      </w:pPr>
    </w:p>
    <w:p w:rsidR="0026452D" w:rsidRDefault="0026452D" w:rsidP="0026452D">
      <w:pPr>
        <w:pStyle w:val="TextoNormal"/>
      </w:pPr>
      <w:r>
        <w:t xml:space="preserve">En esa misma doctrina constitucional también hemos señalado que el derecho a la tutela judicial efectiva del art. 24.1 CE “no incluye un pretendido derecho al acierto judicial en la </w:t>
      </w:r>
      <w:r>
        <w:lastRenderedPageBreak/>
        <w:t>selección, interpretación y aplicación de las disposiciones legales, salvo que afecte al contenido de otros derechos constitucionales distintos al de tutela judicial efectiva” (recientemente, entre otras, SSTC 3/2011, de 14 de febrero, FFJJ 3 y 5, y 183/2011, de 21 de noviembre, FFJJ 5 y 7). Y que la simple discrepancia de las partes con una resolución judicial, aun fundada en otra interpretación posible de la legalidad aplicada, incluso por plausible que ésta resulte, no convierte el correspondiente razonamiento judicial en arbitrario o manifiestamente irrazonable ni, menos aún, obliga a este Tribunal a elegir entre las interpretaciones posibles cuál es la que debe prevalecer (SSTC 59/2003, de 24 de marzo, FJ 3; 221/2003, de 15 de diciembre, FJ 4; 140/2005, de 6 de junio; FJ 5; y 221/2005, de 12 de septiembre, FJ 5).</w:t>
      </w:r>
    </w:p>
    <w:p w:rsidR="0026452D" w:rsidRDefault="0026452D" w:rsidP="0026452D">
      <w:pPr>
        <w:pStyle w:val="TextoNormal"/>
      </w:pPr>
    </w:p>
    <w:p w:rsidR="0026452D" w:rsidRDefault="0026452D" w:rsidP="0026452D">
      <w:pPr>
        <w:pStyle w:val="TextoNormal"/>
      </w:pPr>
      <w:r w:rsidRPr="0026452D">
        <w:rPr>
          <w:rStyle w:val="NumeroAFNegritaCaracter"/>
        </w:rPr>
        <w:t>6</w:t>
      </w:r>
      <w:r>
        <w:t>. Con arreglo a estos presupuestos no hay duda de que la Sentencia del Tribunal Supremo recurrida en amparo, como ya antes la dictada en la instancia, se justifica en una interpretación de la legalidad ordinaria y de la jurisprudencia aplicables en relación con la ejecución interna del Derecho de la Unión Europea, que está razonada y que no resulta manifiestamente irrazonable o arbitraria y, por tanto, se trata de una resolución judicial que no puede calificarse a primera vista como no fundada en Derecho, con independencia de su acierto o desacierto últimos. En estas condiciones, y al igual que hemos declarado asimismo en otras ocasiones semejantes (SSTC 22/1996, de 12 de febrero; 105/2009, de 4 de mayo; 38/2011, de 28 de marzo; y 13/2012, de 30 de enero), la Sentencia impugnada en amparo cumple con las exigencias constitucionales del art. 24.1 CE. Las conclusiones obtenidas por el Tribunal Supremo, y previamente por el Tribunal de instancia, y la forma en que fueron argumentadas, no constituyen ni aisladamente ni en su conjunto una interpretación manifiestamente irrazonable de la legalidad ordinaria, sin que este Tribunal tenga que entrar a examinar si otras interpretaciones también posibles debían prevalecer sobre aquella.</w:t>
      </w:r>
    </w:p>
    <w:p w:rsidR="0026452D" w:rsidRDefault="0026452D" w:rsidP="0026452D">
      <w:pPr>
        <w:pStyle w:val="TextoNormal"/>
      </w:pPr>
    </w:p>
    <w:p w:rsidR="0026452D" w:rsidRDefault="0026452D" w:rsidP="0026452D">
      <w:pPr>
        <w:pStyle w:val="TextoNormal"/>
      </w:pPr>
      <w:r>
        <w:t>Resulta en efecto plausible la premisa de la que parte el órgano sentenciador de que los reglamentos comunitarios aplicables al cultivo del cáñamo admiten un complemento normativo a cargo de las autoridades estatales competentes para su ejecución, de forma que pueden ser complementados con criterios específicos acordes con las características del lugar en que el que iban a ser aplicados. Igualmente, resulta perfectamente entendible que, dentro de su capacidad para desarrollar el concepto de “faenas normales del cultivo”, la autoridad autonómica competente estableciera la exigencia de la rotación para el disfrute de las ayudas comunitarias al cultivo del cáñamo, requisito cuya lógica y adecuación agronómica no cabe cuestionar. Deducidas y trabadas de una forma no arbitraria las premisas de su razonamiento, el órgano sentenciador dedujo finalmente, sin lugar a duda alguna, la compatibilidad con el Derecho comunitario de la exigencia de la rotación de cultivos.</w:t>
      </w:r>
    </w:p>
    <w:p w:rsidR="0026452D" w:rsidRDefault="0026452D" w:rsidP="0026452D">
      <w:pPr>
        <w:pStyle w:val="TextoNormal"/>
      </w:pPr>
    </w:p>
    <w:p w:rsidR="0026452D" w:rsidRDefault="0026452D" w:rsidP="0026452D">
      <w:pPr>
        <w:pStyle w:val="TextoNormal"/>
      </w:pPr>
      <w:r w:rsidRPr="0026452D">
        <w:rPr>
          <w:rStyle w:val="NumeroAFNegritaCaracter"/>
        </w:rPr>
        <w:t>7</w:t>
      </w:r>
      <w:r>
        <w:t>. Desde esta misma perspectiva constitucional de control de la motivación de las resoluciones judiciales carece igualmente de fundamento la vulneración del art. 24.1 CE que la sociedad recurrente denuncia para combatir la interpretación judicial que descartó la necesidad de plantear la cuestión prejudicial. Pues si el Tribunal Supremo manifestó que no tenía duda alguna sobre la interpretación de la normativa europea aplicable al caso, es claro que no existía la obligación de remitir ante la jurisdicción europea una cuestión de interpretación del Derecho comunitario que para el órgano sentenciador no existía, pues la jurisprudencia del Tribunal de Justicia excluye la necesidad de planteamiento del reenvío judicial en relación con los denominados “actos claros”. Determinar si el Tribunal Supremo interpretó co</w:t>
      </w:r>
      <w:r>
        <w:lastRenderedPageBreak/>
        <w:t>rrectamente el Derecho comunitario al inferir la compatibilidad o no de la exigencia de rotación de cultivos es una cuestión sobre la que este Tribunal, que no es una tercera instancia, según hemos declarado repetidamente, no puede en efecto pronunciarse, salvo que la motivación judicial resultara irrazonable, arbitraria o incursa en error patente (últimamente, por todas, STC 13/2012, de 30 de enero). Circunstancias que no concurren en el presente caso toda vez que la Sentencia impugnada se funda también en una interpretación razonable y motivada del régimen jurídico del planteamiento de la cuestión prejudicial, y que sigue además la propia doctrina jurisprudencial del Tribunal de Justicia sobre el “acto claro”.</w:t>
      </w:r>
    </w:p>
    <w:p w:rsidR="0026452D" w:rsidRDefault="0026452D" w:rsidP="0026452D">
      <w:pPr>
        <w:pStyle w:val="TextoNormal"/>
      </w:pPr>
    </w:p>
    <w:p w:rsidR="0026452D" w:rsidRDefault="0026452D" w:rsidP="0026452D">
      <w:pPr>
        <w:pStyle w:val="TextoNormal"/>
      </w:pPr>
      <w:r>
        <w:t>Por otra parte, cabe destacar que el Tribunal Supremo no ha dejado sin aplicar ni la norma interna en cuestión, ni la norma europea, y tampoco ha entrado a realizar un juicio de validez de la norma europea aplicada. Siguiendo su lógica argumentativa, no existiría contradicción aparente entre las normas europeas e internas, por lo que ambas podrían operar de forma simultánea y compatible en la solución del litigio. En consecuencia, dado que no hay inaplicación de norma interna alguna no resulta extensible al caso la doctrina contenida en las SSTC 58/2004, de 19 de abril, y 78/2010, de 20 de octubre.</w:t>
      </w:r>
    </w:p>
    <w:p w:rsidR="0026452D" w:rsidRDefault="0026452D" w:rsidP="0026452D">
      <w:pPr>
        <w:pStyle w:val="TextoNormal"/>
      </w:pPr>
    </w:p>
    <w:p w:rsidR="0026452D" w:rsidRDefault="0026452D" w:rsidP="0026452D">
      <w:pPr>
        <w:pStyle w:val="TextoNormal"/>
      </w:pPr>
      <w:r>
        <w:t>En consecuencia, tampoco desde esta perspectiva es posible apreciar la infracción del derecho a la tutela judicial efectiva, sin indefensión (art. 24.1 CE) que se denuncia.</w:t>
      </w:r>
    </w:p>
    <w:p w:rsidR="0026452D" w:rsidRDefault="0026452D" w:rsidP="0026452D">
      <w:pPr>
        <w:pStyle w:val="TextoNormal"/>
      </w:pPr>
    </w:p>
    <w:p w:rsidR="0026452D" w:rsidRDefault="0026452D" w:rsidP="0026452D">
      <w:pPr>
        <w:pStyle w:val="TextoNormal"/>
      </w:pPr>
      <w:r w:rsidRPr="0026452D">
        <w:rPr>
          <w:rStyle w:val="NumeroAFNegritaCaracter"/>
        </w:rPr>
        <w:t>8</w:t>
      </w:r>
      <w:r>
        <w:t>. Una vez examinada la primera de las quejas debemos abordar las demás tachas que el recurrente reprocha a la Sentencia recurrida. Así las referidas a la inclusión de elementos que no corresponden al caso de autos sino a otro anterior, la identificación errónea del acto administrativo impugnado y la introducción de diversas alusiones que no se ajustan a su demanda de instancia o su recurso de casación, todo lo cual evidenciaría a su juicio un error patente con relevancia constitucional, una motivación contraria al art. 24.1 CE o una incongruencia constitucionalmente relevante, queja que inadecuadamente el recurrente sitúa en el art. 24.2 CE y no en el art. 24.1 CE, según consolidada doctrina de este Tribunal (últimamente, SSTC 133/2010, de 2 de diciembre, FJ 3 y 155/2012, de 16 de julio, FJ 2). En realidad, las tachas que el demandante de amparo reprocha a la Sentencia impugnada no determinarían la existencia de un error patente o una incongruencia sino de un defecto de motivación. En efecto, los defectos e inexactitudes causados por la asunción y la transcripción de argumentos y consideraciones jurídicas vertidos en una Sentencia anterior del mismo órgano judicial y relativa a un caso distinto aunque similar que afectaba al mismo demandante no plantearían una vulneración del art. 24 CE por falta de enjuiciamiento o por error en el enjuiciamiento, como alega el demandante de amparo, sino un error en la motivación, en cuanto que aquellos defectos revelaran la inadecuación o desajuste de las razones aportadas por el órgano judicial para sustentar la decisión del litigio, por responder al enjuiciamiento de un objeto ajeno. Así pues, nos limitaremos a examinar los reproches planteados por el demandante desde esta concreta perspectiva.</w:t>
      </w:r>
    </w:p>
    <w:p w:rsidR="0026452D" w:rsidRDefault="0026452D" w:rsidP="0026452D">
      <w:pPr>
        <w:pStyle w:val="TextoNormal"/>
      </w:pPr>
    </w:p>
    <w:p w:rsidR="0026452D" w:rsidRDefault="0026452D" w:rsidP="0026452D">
      <w:pPr>
        <w:pStyle w:val="TextoNormal"/>
      </w:pPr>
      <w:r>
        <w:t xml:space="preserve">Como señala el Ministerio Fiscal en sus alegaciones, los errores de cita o de referencia o la alusión a un motivo de casación inexistente se deben a que una parte de la Sentencia impugnada atiende y reproduce el contenido de otra Sentencia anterior, dictada en un caso similar de cultivo de lino y no de cultivo de cáñamo en el que intervino la misma sociedad ahora demandante de amparo, y en el que se analizaba una norma autonómica similar a la controvertida. El Tribunal Supremo no lo oculta sino que lo explicita al comienzo de su razonamiento jurídico, en el fundamento jurídico tercero de su Sentencia, pero dichas </w:t>
      </w:r>
      <w:r>
        <w:lastRenderedPageBreak/>
        <w:t>inexactitudes, además de puntuales, carecen de relevancia pues el examen de la Sentencia impugnada pone claramente de manifiesto que la razón de la decisión se fundó en la validez y ajuste al Derecho comunitario de la orden autonómica aplicable a la nueva campaña agrícola y que también exigía la rotación de cultivos. Asimismo para llegar a dicha conclusión el órgano judicial procedió previamente a abrir un trámite de audiencia específico dirigido a determinar la procedencia del planteamiento de la cuestión prejudicial, en atención a las nuevas circunstancias, tal como expone la propia Sentencia: de una parte, un cambio en la composición de la Sección del órgano sentenciador y en la atribución de la ponencia respecto al anterior recurso de casación; de otra parte, “una ligera modificación del contenido del art. 10 de la Orden de 21 de enero de 1999 respecto al del art. 11 de la Orden precedente de 23 de diciembre de 1997”. Pues bien, como señala la Sentencia, una vez oídas las partes, el órgano judicial por mayoría, con un Voto particular en contra, decidió rechazar el planteamiento de la cuestión prejudicial, al igual que en el recurso anterior, concluyendo explícitamente que “la hermenéutica de la Orden del Gobierno autónomo extremeño, de contenido análogo tanto en la campaña de 1998 como en la de 1999-2000 no deja lugar a duda razonable respecto a la incidencia o divergencia sobre las disposiciones comunitarias”. Por todo ello, tampoco por este motivo es posible apreciar la infracción del derecho a la tutela judicial efectiva (art. 24.1 CE) que se denuncia.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Denegar el amparo solicitado por Valzorzales, S.L.</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febrero de dos mil trece.</w:t>
      </w:r>
    </w:p>
    <w:p w:rsidR="0026452D" w:rsidRDefault="0026452D" w:rsidP="0026452D">
      <w:pPr>
        <w:pStyle w:val="ParrafoNormal"/>
      </w:pPr>
    </w:p>
    <w:p w:rsidR="0026452D" w:rsidRDefault="0026452D" w:rsidP="0026452D">
      <w:pPr>
        <w:pStyle w:val="TextoNormalNegritaCentrado"/>
        <w:keepNext/>
      </w:pPr>
      <w:r>
        <w:t>Voto particular que formula la Magistrada doña Adela Asua Batarrita a la Sentencia dictada en el recurso de amparo núm. 4176-2009</w:t>
      </w:r>
    </w:p>
    <w:p w:rsidR="0026452D" w:rsidRDefault="0026452D" w:rsidP="0026452D">
      <w:pPr>
        <w:pStyle w:val="TextoNormalNegritaCentrado"/>
        <w:keepNext/>
      </w:pPr>
    </w:p>
    <w:p w:rsidR="0026452D" w:rsidRDefault="0026452D" w:rsidP="0026452D">
      <w:pPr>
        <w:pStyle w:val="TextoNormal"/>
      </w:pPr>
      <w:r>
        <w:t>En ejercicio de la facultad que me confiere el art. 90.2 de la Ley Orgánica del Tribunal Constitucional y con pleno respeto a la opinión de la mayoría de la Sala Primera, expreso mi discrepancia con el fallo y la fundamentación jurídica de la Sentencia, desestimatoria del recurso de amparo, que he redactado como Ponente según las directrices impartidas por la Sala.</w:t>
      </w:r>
    </w:p>
    <w:p w:rsidR="0026452D" w:rsidRDefault="0026452D" w:rsidP="0026452D">
      <w:pPr>
        <w:pStyle w:val="TextoNormal"/>
      </w:pPr>
    </w:p>
    <w:p w:rsidR="0026452D" w:rsidRDefault="0026452D" w:rsidP="0026452D">
      <w:pPr>
        <w:pStyle w:val="TextoNormal"/>
      </w:pPr>
      <w:r>
        <w:t>En mi opinión, en virtud de los argumentos que reflejé en la ponencia que presenté y defendí en la deliberación de la Sala y que expongo a continuación, el recurso de amparo debió ser estimado.</w:t>
      </w:r>
    </w:p>
    <w:p w:rsidR="0026452D" w:rsidRDefault="0026452D" w:rsidP="0026452D">
      <w:pPr>
        <w:pStyle w:val="TextoNormal"/>
      </w:pPr>
    </w:p>
    <w:p w:rsidR="0026452D" w:rsidRDefault="0026452D" w:rsidP="0026452D">
      <w:pPr>
        <w:pStyle w:val="TextoNormal"/>
      </w:pPr>
      <w:r>
        <w:t xml:space="preserve">1. La resolución del presente recurso de amparo debiera haber seguido la línea jurisprudencial desarrollada en las SSTC 58/2004, de 19 de abril, y 78/2010, de 20 de octubre, en las que declaramos que el no planteamiento de la cuestión prejudicial puede llevar aparejada </w:t>
      </w:r>
      <w:r>
        <w:lastRenderedPageBreak/>
        <w:t>la lesión del art. 24 CE por incumplimiento de la obligación de remitir al intérprete de la normativa europea el cuestionamiento sobre el alcance de una norma, salvo que sea patente que no concurre duda alguna aplicando los criterios jurisprudenciales europeos al respecto. Por el contrario, nuestra actual Sentencia se separa de la consistencia de aquella argumentación, al asumir como suficiente que la interpretación de la norma europea resulte clara a juicio del órgano judicial que ha de aplicarla, conforme a los parámetros de razonabilidad exigibles en el enjuiciamiento de la legalidad ordinaria. Con tal argumento la obligación impuesta por el art. 267 del Tratado de funcionamiento de la Unión Europea (TFUE) de plantear la cuestión queda excepcionada con base en un particular entendimiento de la doctrina europea del acto claro que la desfigura hasta hacerla irreconocible.</w:t>
      </w:r>
    </w:p>
    <w:p w:rsidR="0026452D" w:rsidRDefault="0026452D" w:rsidP="0026452D">
      <w:pPr>
        <w:pStyle w:val="TextoNormal"/>
      </w:pPr>
    </w:p>
    <w:p w:rsidR="0026452D" w:rsidRDefault="0026452D" w:rsidP="0026452D">
      <w:pPr>
        <w:pStyle w:val="TextoNormal"/>
      </w:pPr>
      <w:r>
        <w:t>La Sentencia de la mayoría de la que discrepo, viene a retomar la anterior doctrina según la cual la infracción del art. 267 TFUE (que sustituye a la original regulación que contenía el art. 177 del Tratado de la Comunidad Económica Europea, después recogida en el art. 234 del Tratado constitutivo de la Comunidad Europea: TCE) no afecta al art. 24 CE salvo en el supuesto de que el Juez ordinario haya realizado una aplicación arbitraria, manifiestamente irrazonable o fruto de un error patente (así, las SSTC 180/1993 y 201/1996, de 9 de diciembre). En definitiva, se opta por aplicar el canon general de interpretación de la legalidad ordinaria interna, desconociendo los parámetros del Derecho europeo respecto a la delimitación del “acto claro”, asentados sobre la ausencia intersubjetiva de duda alguna.</w:t>
      </w:r>
    </w:p>
    <w:p w:rsidR="0026452D" w:rsidRDefault="0026452D" w:rsidP="0026452D">
      <w:pPr>
        <w:pStyle w:val="TextoNormal"/>
      </w:pPr>
    </w:p>
    <w:p w:rsidR="0026452D" w:rsidRDefault="0026452D" w:rsidP="0026452D">
      <w:pPr>
        <w:pStyle w:val="TextoNormal"/>
      </w:pPr>
      <w:r>
        <w:t>Ciertamente el presente recurso de amparo presentaba un aspecto distinto al de otros recursos abordados hasta la fecha por nuestro Tribunal, en los que se impugnaban resoluciones que dejaban sin aplicar normas de Derecho español por considerarlas incompatibles con la normativa europea aplicable al caso. En el presente caso, por el contrario, la impugnación del no planteamiento de la cuestión prejudicial sitúa su queja en la aplicación de una normativa española —orden autonómica que adiciona el requisito de cultivo rotacional como faena normal de cultivo, a efectos de acceder a la subvención— que según el recurrente no sería compatible con la normativa europea correspondiente. Atendiendo a esta diferencia, la Sentencia de la mayoría concluye que “dado que no hay inaplicación de norma interna alguna no resulta extensible al caso la doctrina contenida en las SSTC 58/2004, de 19 de abril, y 78/2010, de 20 de octubre”. Conclusión de la que discrepo totalmente, porque el problema no reside en que se aplique o no la norma española, sino en la asunción por el Tribunal interno de una tarea interpretativa de la norma europea, tarea que queda radicalmente fuera de su competencia.</w:t>
      </w:r>
    </w:p>
    <w:p w:rsidR="0026452D" w:rsidRDefault="0026452D" w:rsidP="0026452D">
      <w:pPr>
        <w:pStyle w:val="TextoNormal"/>
      </w:pPr>
    </w:p>
    <w:p w:rsidR="0026452D" w:rsidRDefault="0026452D" w:rsidP="0026452D">
      <w:pPr>
        <w:pStyle w:val="TextoNormal"/>
      </w:pPr>
      <w:r>
        <w:t xml:space="preserve">Como ya dijimos en la STC 58/2004, ante la falta de planteamiento de la cuestión prejudicial no le corresponde a este Tribunal resolver si existe o no una contradicción entre la normativa interna y el Derecho comunitario para poder justificar la decisión sobre plantear o no la cuestión, sino única y exclusivamente si el Juez español ha adoptado su decisión respetando las garantías en el marco del debido proceso dentro de su jurisdicción (art. 24.2 CE). Posteriormente, en la STC 78/2010 del Pleno de este Tribunal, que modificó la doctrina de la STC 194/2006, de 19 de junio, precisamos que la aplicación o inaplicación de una norma española no es el ingrediente decisivo desde la perspectiva del art. 24 CE, y allí señalamos que “para dejar de aplicar una norma legal vigente por su contradicción con el Derecho comunitario el planteamiento de la cuestión prejudicial sólo resulta preciso, con la perspectiva del art. 24 CE, en caso de que concurran los presupuestos fijados al efecto por </w:t>
      </w:r>
      <w:r>
        <w:lastRenderedPageBreak/>
        <w:t>el propio Derecho comunitario, cuya concurrencia corresponde apreciar a los Jueces y Tribunales de la jurisdicción ordinaria”. Este es el punto que debe subrayarse: la decisión debe fundarse en la concurrencia de los presupuestos establecidos en Derecho comunitario.</w:t>
      </w:r>
    </w:p>
    <w:p w:rsidR="0026452D" w:rsidRDefault="0026452D" w:rsidP="0026452D">
      <w:pPr>
        <w:pStyle w:val="TextoNormal"/>
      </w:pPr>
    </w:p>
    <w:p w:rsidR="0026452D" w:rsidRDefault="0026452D" w:rsidP="0026452D">
      <w:pPr>
        <w:pStyle w:val="TextoNormal"/>
      </w:pPr>
      <w:r>
        <w:t>2. El art. 267 TFUE establece la competencia del Tribunal de Justicia para pronunciarse “con carácter prejudicial” sobre “la interpretación de los Tratados” y sobre “la validez e interpretación de los actos adoptados por las instituciones, órganos u organismos de la Unión”. Cuando un órgano jurisdiccional nacional cuyas decisiones no sean susceptibles de ulterior recurso judicial de Derecho interno, deba resolver un asunto que requiere interpretar el significado de una norma o de un acto propio del Derecho de la Unión, “estará obligado a someter la cuestión al Tribunal”. Planteamiento de la cuestión que para los demás órganos jurisdiccionales nacionales es meramente facultativo. Por lo tanto, ante una duda interpretativa sobre una cuestión de Derecho de la Unión en un litigio pendiente ante un órgano jurisdiccional cuya decisión no es susceptible de ulterior recurso, el único órgano judicial competente para conocer de ella es el Tribunal de Justicia.</w:t>
      </w:r>
    </w:p>
    <w:p w:rsidR="0026452D" w:rsidRDefault="0026452D" w:rsidP="0026452D">
      <w:pPr>
        <w:pStyle w:val="TextoNormal"/>
      </w:pPr>
    </w:p>
    <w:p w:rsidR="0026452D" w:rsidRDefault="0026452D" w:rsidP="0026452D">
      <w:pPr>
        <w:pStyle w:val="TextoNormal"/>
      </w:pPr>
      <w:r>
        <w:t xml:space="preserve">Los Jueces nacionales son Jueces ordinarios de la aplicación del Derecho de la Unión y como tales deben aplicar ese Derecho en los asuntos de que conozcan, pero únicamente el Tribunal de Justicia tiene la competencia y la jurisdicción para pronunciarse sobre la interpretación y la validez del Derecho de la Unión. Conforme al art. 96 CE, el art. 267 TFUE forma parte del ordenamiento interno, y por ello es evidente que el Tribunal de Justicia es el “Juez ordinario predeterminado por la ley” en el sentido del art. 24.2 CE, cuando se trata de cuestiones de interpretación del Derecho de la Unión. En consecuencia, el desconocimiento de la obligación de planteamiento de la cuestión prejudicial puede afectar al citado derecho fundamental. Tal y como recordamos en la STC 58/2004, FJ 14, “los Jueces y Tribunales, en definitiva, sólo son garantes y dispensadores de la tutela que exige el art. 24 CE cuando deciden </w:t>
      </w:r>
      <w:r w:rsidRPr="0026452D">
        <w:rPr>
          <w:i/>
        </w:rPr>
        <w:t>secundum legem</w:t>
      </w:r>
      <w:r>
        <w:t xml:space="preserve"> y conforme al sistema de fuentes establecido. El Poder judicial es, al margen de la legalidad, nudo poder que, al resolver así, no respeta ni asegura las garantías inherentes al procedimiento”.</w:t>
      </w:r>
    </w:p>
    <w:p w:rsidR="0026452D" w:rsidRDefault="0026452D" w:rsidP="0026452D">
      <w:pPr>
        <w:pStyle w:val="TextoNormal"/>
      </w:pPr>
    </w:p>
    <w:p w:rsidR="0026452D" w:rsidRDefault="0026452D" w:rsidP="0026452D">
      <w:pPr>
        <w:pStyle w:val="TextoNormal"/>
      </w:pPr>
      <w:r>
        <w:t xml:space="preserve">La cuestión prejudicial europea, como instrumento de colaboración entre los órganos jurisdiccionales nacionales —en su calidad de Jueces competentes para la aplicación del Derecho comunitario— y el Tribunal de Justicia, tiene como finalidad garantizar una interpretación uniforme del Derecho comunitario en el conjunto de los Estados miembros, o lo que es lo mismo, evitar interpretaciones dispares de los órganos judiciales en la aplicación del Derecho de la Unión (STJCE de 15 de septiembre de 2005, </w:t>
      </w:r>
      <w:r w:rsidRPr="0026452D">
        <w:rPr>
          <w:i/>
        </w:rPr>
        <w:t>Intermodal Transports</w:t>
      </w:r>
      <w:r>
        <w:t>, as. C-495/03, apartado 38). De ahí deriva la obligación establecida en el art. 267 TFUE como criterio general, y los estrechos márgenes de las excepciones a tal obligación.</w:t>
      </w:r>
    </w:p>
    <w:p w:rsidR="0026452D" w:rsidRDefault="0026452D" w:rsidP="0026452D">
      <w:pPr>
        <w:pStyle w:val="TextoNormal"/>
      </w:pPr>
    </w:p>
    <w:p w:rsidR="0026452D" w:rsidRDefault="0026452D" w:rsidP="0026452D">
      <w:pPr>
        <w:pStyle w:val="TextoNormal"/>
      </w:pPr>
      <w:r>
        <w:t xml:space="preserve">3. De las tres concretas excepciones que la jurisprudencia del Tribunal de Justicia admite frente a la obligación del planteamiento de la cuestión prejudicial —impertinencia de la cuestión, identidad o analogía de la cuestión con otra ya resuelta por el Tribunal de Justicia o “acto aclarado”, y claridad de la cuestión o “acto claro”—, la resolución impugnada en amparo acudía a la hipótesis del “acto claro” como justificación del no planteamiento de la cuestión. Y, conforme a los criterios sentados en la doctrina </w:t>
      </w:r>
      <w:r w:rsidRPr="0026452D">
        <w:rPr>
          <w:i/>
        </w:rPr>
        <w:t>Cilfit</w:t>
      </w:r>
      <w:r>
        <w:t xml:space="preserve"> (STJCE de 6 de octubre de 1982, en especial apartados 9 a 21), el “acto claro concurre cuando la correcta aplicación del Derecho de la Unión pueda imponerse con tal evidencia que no deje lugar a duda alguna sobre la solución de la problemática suscitada”. Para alcanzar tal evidencia, deben cumplirse </w:t>
      </w:r>
      <w:r>
        <w:lastRenderedPageBreak/>
        <w:t>algunos exigentes requisitos en el proceso intelectivo conducente a tal convicción, concretamente que se tenga en cuenta que: a) los textos de Derecho de la Unión están redactados en varias lenguas y que las diversas versiones lingüísticas son auténticas por igual, lo que determina que la interpretación de una disposición de Derecho de la Unión obliga a una comparación de las versiones lingüísticas por parte del órgano jurisdiccional nacional; b) el Derecho de la Unión utiliza una terminología propia, de modo que los conceptos jurídicos no tienen necesariamente el mismo contenido en ese Derecho y en los diferentes Derechos nacionales; y, finalmente, c) cada disposición de Derecho de la Unión debe ser situada en su contexto e interpretada a la luz del conjunto de las disposiciones de ese Derecho, de sus finalidades y de su grado de evolución en la fecha en la que debe hacerse aplicación de la disposición de que se trata. Todo ello puede sintetizarse en la condición de que el órgano jurisdiccional nacional alcance con criterios objetivos la convicción de que la misma evidencia será compartida por los órganos jurisdiccionales de los otros Estados miembros, y aún por el propio Tribunal de Justicia.</w:t>
      </w:r>
    </w:p>
    <w:p w:rsidR="0026452D" w:rsidRDefault="0026452D" w:rsidP="0026452D">
      <w:pPr>
        <w:pStyle w:val="TextoNormal"/>
      </w:pPr>
    </w:p>
    <w:p w:rsidR="0026452D" w:rsidRDefault="0026452D" w:rsidP="0026452D">
      <w:pPr>
        <w:pStyle w:val="TextoNormal"/>
      </w:pPr>
      <w:r>
        <w:t>A todo lo anterior quiere referirse nuestra STC 58/2004 cuando en su fundamento jurídico 13 afirma “que la existencia o inexistencia de una duda —a los efectos ahora considerados— no puede entenderse en términos de convicción subjetiva del juzgador sobre una determinada interpretación del Derecho comunitario (una apreciación subjetiva) sino como inexistencia objetiva, clara y terminante, de duda alguna en su aplicación. No se trata, pues, de que no haya dudas razonables sino, simplemente, de que no haya duda alguna”.</w:t>
      </w:r>
    </w:p>
    <w:p w:rsidR="0026452D" w:rsidRDefault="0026452D" w:rsidP="0026452D">
      <w:pPr>
        <w:pStyle w:val="TextoNormal"/>
      </w:pPr>
    </w:p>
    <w:p w:rsidR="0026452D" w:rsidRDefault="0026452D" w:rsidP="0026452D">
      <w:pPr>
        <w:pStyle w:val="TextoNormal"/>
      </w:pPr>
      <w:r>
        <w:t xml:space="preserve">Por ello, la decisión de no planteamiento de la cuestión prejudicial solicitada en el proceso —en el presente caso por solicitud de la parte a la que se suma el Ministerio Fiscal— debe acompañarse de la explicación pertinente, so pena de incurrir en vulneración de la debida motivación y en la correspondiente afectación del derecho al Juez ordinario predeterminado por la ley. Efectivamente cuando la decisión de no plantear la cuestión prejudicial es incorrecta, el órgano judicial se auto-atribuye la función hermenéutica en relación con el Derecho de la Unión desplazando la que genuinamente corresponde al Tribunal de Justicia; al arrogarse una competencia que no le corresponde, incurre en una arbitrariedad por infracción de las normas que delimitan la competencia del Tribunal de Justicia, pues el legislador competente ha querido sustraer al Juez ordinario de última instancia la posibilidad de interpretar el Derecho de la Unión. El problema constitucional no se ciñe, por tanto, a determinar si la resolución judicial adoptada constituye una aplicación arbitraria del Derecho, manifiestamente irrazonable o fruto de un error patente, con arreglo a nuestro canon ordinario </w:t>
      </w:r>
      <w:r w:rsidRPr="0026452D">
        <w:rPr>
          <w:i/>
        </w:rPr>
        <w:t>ex</w:t>
      </w:r>
      <w:r>
        <w:t xml:space="preserve"> art. 24 CE, porque este canon ordinario no es el aplicable a estos supuestos. Lo que se debe aquí examinar es si la decisión de no plantear la cuestión prejudicial ha sido acompañada de las garantías exigidas por el Tribunal de Justicia para excepcionar la obligación de planteamiento derivada del art. 267 TCE, es decir, la constatación de la claridad de la norma europea, la ausencia intersubjetiva de duda sobre su sentido, a fin de confirmar que se trata de un supuesto de “acto claro”. A este estricto parámetro de control debe circunscribirse nuestro enjuiciamiento.</w:t>
      </w:r>
    </w:p>
    <w:p w:rsidR="0026452D" w:rsidRDefault="0026452D" w:rsidP="0026452D">
      <w:pPr>
        <w:pStyle w:val="TextoNormal"/>
      </w:pPr>
    </w:p>
    <w:p w:rsidR="0026452D" w:rsidRDefault="0026452D" w:rsidP="0026452D">
      <w:pPr>
        <w:pStyle w:val="TextoNormal"/>
      </w:pPr>
      <w:r>
        <w:t xml:space="preserve">Y en este punto es donde no debe confundirse el objeto sobre el que se proyecta la valoración de lo que constituye “acto claro”, esa convicción intersubjetiva de que en absoluto cabe otra interpretación. En el presente recurso de amparo la claridad debe predicarse del carácter exhaustivo o no exhaustivo de la norma comunitaria al fijar los requisitos de la subvención en base a los elementos definidos en ella. Concretamente se trata de valorar si </w:t>
      </w:r>
      <w:r>
        <w:lastRenderedPageBreak/>
        <w:t>todos los órganos judiciales que aplican la normas europeas, incluido el propio Tribunal de Justicia estarían de acuerdo en que una normativa interna puede completar y adicionar requisitos a aquellos fijados en la norma europea sobre la subvención agrícola en cuestión. Si no cupiera duda al respecto, estaríamos efectivamente ante un “acto claro”.</w:t>
      </w:r>
    </w:p>
    <w:p w:rsidR="0026452D" w:rsidRDefault="0026452D" w:rsidP="0026452D">
      <w:pPr>
        <w:pStyle w:val="TextoNormal"/>
      </w:pPr>
    </w:p>
    <w:p w:rsidR="0026452D" w:rsidRDefault="0026452D" w:rsidP="0026452D">
      <w:pPr>
        <w:pStyle w:val="TextoNormal"/>
      </w:pPr>
      <w:r>
        <w:t xml:space="preserve">4. La Sentencia impugnada en su fundamento jurídico séptimo afirmaba el carácter innecesario del reenvío “al evidenciarse con toda nitidez cómo debe ser interpretada la disposición reglamentaria de la Comunidad Autónoma sin que la misma incida en una interpretación no uniforme o divergente del Derecho comunitario a aplicar los órganos jurisdiccionales nacionales”, pues “no nos hallamos ante un concepto jurídico que pueda tener distinto contenido en derecho comunitario y en los diferentes derechos nacionales (fundamento jurídico 19 de la sentencia </w:t>
      </w:r>
      <w:r w:rsidRPr="0026452D">
        <w:rPr>
          <w:i/>
        </w:rPr>
        <w:t>Cilfit</w:t>
      </w:r>
      <w:r>
        <w:t xml:space="preserve">)”. Y después de reproducir textualmente un fragmento del apartado 16 de la Sentencia </w:t>
      </w:r>
      <w:r w:rsidRPr="0026452D">
        <w:rPr>
          <w:i/>
        </w:rPr>
        <w:t>Cilfit</w:t>
      </w:r>
      <w:r>
        <w:t xml:space="preserve"> del Tribunal de Justicia sobre la necesidad de que la correcta aplicación del Derecho comunitario se imponga “con tal evidencia que no deje lugar a duda razonable alguna sobre la solución de la cuestión suscitada”, la Sección Cuarta de la Sala de lo Contencioso-Administrativo del Tribunal Supremo señaló lo siguiente: “Entendemos que nos encontramos ante un supuesto que no ofrece dudas sobre la manera de resolver aunque no haya sido objeto de interpretación reiterada del TJCE. Mantenemos que la hermenéutica de la Orden del Gobierno autónomo extremeño, de contenido análogo tanto en la campaña de 1998 como en la de 1999/2000 no deja lugar a duda razonable respecto a la incidencia o divergencia sobre las disposiciones comunitarias”. Es decir, considera claro que el Gobierno autonómico está legitimado para desarrollar, completar o interpretar el concepto de “faenas normales de cultivo”.</w:t>
      </w:r>
    </w:p>
    <w:p w:rsidR="0026452D" w:rsidRDefault="0026452D" w:rsidP="0026452D">
      <w:pPr>
        <w:pStyle w:val="TextoNormal"/>
      </w:pPr>
    </w:p>
    <w:p w:rsidR="0026452D" w:rsidRDefault="0026452D" w:rsidP="0026452D">
      <w:pPr>
        <w:pStyle w:val="TextoNormal"/>
      </w:pPr>
      <w:r>
        <w:t xml:space="preserve">Afirmación con la que rechaza la apelación del recurrente a la doctrina contundente del Tribunal de Justicia sobre el carácter exhaustivo de las normas europeas reguladoras de las organizaciones comunes de mercado y sobre la naturaleza autónoma, de Derecho comunitario, que reviste el concepto “faenas normales de cultivo”, citando entre otras resoluciones un fragmento de la STJCE de 8 de enero de 2002, as. C-428/99, </w:t>
      </w:r>
      <w:r w:rsidRPr="0026452D">
        <w:rPr>
          <w:i/>
        </w:rPr>
        <w:t>Van den Bor</w:t>
      </w:r>
      <w:r>
        <w:t>, apartado 35, cuya particular rotundidad debía haber alertado al órgano judicial sobre la solidez de su interpretación: “ante un Reglamento que establezca una organización común de mercados en un sector determinado, los Estados miembros tienen que abstenerse de adoptar cualquier medida que pueda significar una excepción o infrinja dicho Reglamento”. Doctrina de la que, por cierto, incluso el Tribunal Constitucional se ha hecho eco en su propia jurisprudencia, al analizar el marco jurídico aplicable a la gestión interna de unas ayudas del Fondo Europeo de Orientación y de Garantía Agrícola (FEOGA) objeto de diversos conflictos de competencia:</w:t>
      </w:r>
    </w:p>
    <w:p w:rsidR="0026452D" w:rsidRDefault="0026452D" w:rsidP="0026452D">
      <w:pPr>
        <w:pStyle w:val="TextoNormal"/>
      </w:pPr>
    </w:p>
    <w:p w:rsidR="0026452D" w:rsidRDefault="0026452D" w:rsidP="0026452D">
      <w:pPr>
        <w:pStyle w:val="TextoNormal"/>
      </w:pPr>
      <w:r>
        <w:t>“[L]a regulación de las condiciones de otorgamiento de las ayudas, de su cuantía, de los posibles beneficiarios, e incluso de ciertos aspectos del procedimiento de tramitación de las solicitudes, empezando por el plazo de presentación, así como otras prescripciones de verificación y control, se contienen en los Reglamentos comunitarios …. El margen para una normativa complementaria, de desarrollo o ejecutiva es muy estrecho y, por lo general, se limita a prescripciones de orden organizativo y procedimental, que resultan necesarias para instrumentar la concesión y pago de las ayudas dentro de los diferentes Estados miembros. Solo en contadas ocasiones la legislación nacional puede complementar la normativa comu</w:t>
      </w:r>
      <w:r>
        <w:lastRenderedPageBreak/>
        <w:t>nitaria europea aplicable a los casos de que tratamos, por remisión de ésta, con prescripciones de contenido sustantivo, relativas a la definición de los beneficiarios o a algunas condiciones, límites o suplementos de las ayudas.” (STC 79/1992, de 28 de mayo, FJ 3)</w:t>
      </w:r>
    </w:p>
    <w:p w:rsidR="0026452D" w:rsidRDefault="0026452D" w:rsidP="0026452D">
      <w:pPr>
        <w:pStyle w:val="TextoNormal"/>
      </w:pPr>
    </w:p>
    <w:p w:rsidR="0026452D" w:rsidRDefault="0026452D" w:rsidP="0026452D">
      <w:pPr>
        <w:pStyle w:val="TextoNormal"/>
      </w:pPr>
      <w:r>
        <w:t>Debe tenerse en cuenta que la norma comunitaria básica aplicable al fondo del litigio era el Reglamento (CEE) núm. 619-1971 del Consejo, de 22 de marzo, por el que se fijan normas generales de concesión de ayudas para el lino y el cáñamo. El art. 6 de dicho Reglamento determina lo siguiente: “El importe de la ayuda que se deberá prestar se calculará con arreglo a la superficie sembrada y cosechada en la que se hayan efectuado actividades normales de cultivo. La Comisión podrá, según el procedimiento establecido en el artículo 12 del Reglamento (CEE) núm. 1308-1970, establecer los criterios que definan las actividades normales de cultivo, especialmente en lo que respecta al rendimiento mínimo que sea preciso cumplir” [en la redacción introducida por el Reglamento (CE) núm. 154-1997 del Consejo, de 20 de enero]. Así pues, el Derecho de la Unión reservaba expresamente a la Comisión la determinación de “los criterios que definan las actividades normales de cultivo”.</w:t>
      </w:r>
    </w:p>
    <w:p w:rsidR="0026452D" w:rsidRDefault="0026452D" w:rsidP="0026452D">
      <w:pPr>
        <w:pStyle w:val="TextoNormal"/>
      </w:pPr>
    </w:p>
    <w:p w:rsidR="0026452D" w:rsidRDefault="0026452D" w:rsidP="0026452D">
      <w:pPr>
        <w:pStyle w:val="TextoNormal"/>
      </w:pPr>
      <w:r>
        <w:t xml:space="preserve">Ante esta remisión explícita a la Comisión para completar los criterios al respecto, la afirmación del Tribunal Supremo sobre el carácter indubitado de la competencia autonómica para completar el sentido de un concepto comunitario, resulta cuando menos sorprendente. Ciertamente el Tribunal Supremo no ignoraba la doctrina </w:t>
      </w:r>
      <w:r w:rsidRPr="0026452D">
        <w:rPr>
          <w:i/>
        </w:rPr>
        <w:t>Cilfit</w:t>
      </w:r>
      <w:r>
        <w:t>, que textualmente queda citada en sus fundamentos jurídicos, pero la argumentación que utiliza para alcanzar el fallo se separa claramente de las exigencias de aquella doctrina. Por ello no puedo compartir la conclusión de nuestra Sentencia en su fundamento jurídico 7 al declarar que el Tribunal Supremo aplicó la doctrina europea del acto claro, y menos aún, como se llega a tal conclusión incurriendo en el mismo error de entendimiento de tal doctrina europea. Así, de forma inconsecuente se afirma que nuestro enjuiciamiento debe ceñirse a comprobar “que la motivación judicial resultara irrazonable, arbitraria o incursa en error patente”, y que se ha realizado “una interpretación razonable y motivada del régimen jurídico del planteamiento de la cuestión prejudicial”, y nada se dice de la necesidad de contrastar la concurrencia de los criterios establecidos por la referida doctrin</w:t>
      </w:r>
      <w:r w:rsidRPr="0026452D">
        <w:rPr>
          <w:i/>
        </w:rPr>
        <w:t>a Cilf</w:t>
      </w:r>
      <w:r>
        <w:t>it.</w:t>
      </w:r>
    </w:p>
    <w:p w:rsidR="0026452D" w:rsidRDefault="0026452D" w:rsidP="0026452D">
      <w:pPr>
        <w:pStyle w:val="TextoNormal"/>
      </w:pPr>
    </w:p>
    <w:p w:rsidR="0026452D" w:rsidRDefault="0026452D" w:rsidP="0026452D">
      <w:pPr>
        <w:pStyle w:val="TextoNormal"/>
      </w:pPr>
      <w:r>
        <w:t xml:space="preserve">Efectivamente la doctrina </w:t>
      </w:r>
      <w:r w:rsidRPr="0026452D">
        <w:rPr>
          <w:i/>
        </w:rPr>
        <w:t>Cilfit</w:t>
      </w:r>
      <w:r>
        <w:t xml:space="preserve"> del acto claro reclama una argumentación compleja que tenga en cuenta, entre otras cosas, las peculiaridades de los conceptos cuyo significado puede variar de un país a otro, razón por lo que los órganos europeos plasman sus normas de forma tan casuística y detallada a fin de evitar versiones diferentes de los mismos términos. La exigencia de constatar que no hay lugar para la duda respecto a la aplicación correcta del Derecho comunitario, requiere por ello una explícita argumentación que haga verosímil la asunción de esa misma interpretación por el propio Tribunal de Justicia. Es decir, que sea verosímil que el Tribunal de Justicia considere razonable que la previsión normativa permite a los Estados miembros la adición de otros requisitos asociados a las faenas normales de cultivo.</w:t>
      </w:r>
    </w:p>
    <w:p w:rsidR="0026452D" w:rsidRDefault="0026452D" w:rsidP="0026452D">
      <w:pPr>
        <w:pStyle w:val="TextoNormal"/>
      </w:pPr>
    </w:p>
    <w:p w:rsidR="0026452D" w:rsidRDefault="0026452D" w:rsidP="0026452D">
      <w:pPr>
        <w:pStyle w:val="TextoNormal"/>
      </w:pPr>
      <w:r>
        <w:t xml:space="preserve">5. Nuestra Sentencia desestima el recurso de amparo aplicando el canon ordinario de exigencia de motivación suficiente y no irrazonable, proyectándolo sobre el mismo objeto sobre el que el Tribunal Supremo aplica su argumentación: el significado de las “faenas normales de cultivo”, y la lógica de los criterios agronómicos para entender que la rotación de cultivos es consustancial a tales faenas (FJ 6). Es decir, se entra a interpretar la norma </w:t>
      </w:r>
      <w:r>
        <w:lastRenderedPageBreak/>
        <w:t>europea considerando que dada la razonabilidad de la rotación de cultivos, no sería lógico que la norma europea impidiera adicionar tal requisito. Así, nuestra Sentencia declara:</w:t>
      </w:r>
    </w:p>
    <w:p w:rsidR="0026452D" w:rsidRDefault="0026452D" w:rsidP="0026452D">
      <w:pPr>
        <w:pStyle w:val="TextoNormal"/>
      </w:pPr>
    </w:p>
    <w:p w:rsidR="0026452D" w:rsidRDefault="0026452D" w:rsidP="0026452D">
      <w:pPr>
        <w:pStyle w:val="TextoNormal"/>
      </w:pPr>
      <w:r>
        <w:t>“Resulta en efecto plausible la premisa de la que parte el órgano sentenciador de que los reglamentos comunitarios aplicables al cultivo del cáñamo admiten un complemento normativo a cargo de las autoridades estatales competentes para su ejecución, de forma que pueden ser complementados con criterios específicos acordes con las características del lugar en que el que iban a ser aplicados. Igualmente, resulta perfectamente entendible que, dentro de su capacidad para desarrollar el concepto de ‘faenas normales del cultivo’, la autoridad autonómica competente estableciera la exigencia de la rotación para el disfrute de las ayudas comunitarias al cultivo del cáñamo, requisito cuya lógica y adecuación agronómica no cabe cuestionar. Deducidas y trabadas de una forma no arbitraria las premisas de su razonamiento, el órgano sentenciador dedujo finalmente, sin lugar a duda alguna, la compatibilidad con el Derecho comunitario de la exigencia de la rotación de cultivos.”</w:t>
      </w:r>
    </w:p>
    <w:p w:rsidR="0026452D" w:rsidRDefault="0026452D" w:rsidP="0026452D">
      <w:pPr>
        <w:pStyle w:val="TextoNormal"/>
      </w:pPr>
    </w:p>
    <w:p w:rsidR="0026452D" w:rsidRDefault="0026452D" w:rsidP="0026452D">
      <w:pPr>
        <w:pStyle w:val="TextoNormal"/>
      </w:pPr>
      <w:r>
        <w:t>Una fundamentación que se aleja del objeto de la cuestión, que no debe cifrarse en si al órgano judicial le parece razonable, fuera de toda duda, la exigencia de la rotación, sino en la conformidad de la adición de un requisito a través de una disposición interna, con la lógica de la normativa europea y con los criterios del Tribunal de Justicia, es decir, si el carácter no exhaustivo del reglamento europeo se impone sin ninguna duda.</w:t>
      </w:r>
    </w:p>
    <w:p w:rsidR="0026452D" w:rsidRDefault="0026452D" w:rsidP="0026452D">
      <w:pPr>
        <w:pStyle w:val="TextoNormal"/>
      </w:pPr>
    </w:p>
    <w:p w:rsidR="0026452D" w:rsidRDefault="0026452D" w:rsidP="0026452D">
      <w:pPr>
        <w:pStyle w:val="TextoNormal"/>
      </w:pPr>
      <w:r>
        <w:t xml:space="preserve">La Sentencia impugnada no contiene formalmente ninguna consideración desde esta última perspectiva, ni se infiere tampoco de sus razonamientos que haya sido implícitamente atendida, por lo que la decisión judicial de no planteamiento de la cuestión prejudicial adoptada resulta viciada por un déficit de argumentación. Consiguientemente, el Tribunal Supremo desconoció ostensiblemente los presupuestos configuradores y la finalidad de la cuestión prejudicial, y lesionó también en consecuencia el derecho fundamental a un proceso con todas las garantías reconocido en el art. 24.2 CE. A la misma conclusión se llega a partir de la reciente Sentencia del Tribunal Europeo de Derechos Humanos de 20 de septiembre de 2011, </w:t>
      </w:r>
      <w:r w:rsidRPr="0026452D">
        <w:rPr>
          <w:i/>
        </w:rPr>
        <w:t>Ullens de Schooten y Rezabek c. Bélgica</w:t>
      </w:r>
      <w:r>
        <w:t>, §§ 57-61: el órgano judicial debe exponer las razones por las cuales considera que la aplicación correcta del Derecho de la Unión se impone con tal evidencia que no deja lugar a ninguna duda razonable.</w:t>
      </w:r>
    </w:p>
    <w:p w:rsidR="0026452D" w:rsidRDefault="0026452D" w:rsidP="0026452D">
      <w:pPr>
        <w:pStyle w:val="TextoNormal"/>
      </w:pPr>
    </w:p>
    <w:p w:rsidR="0026452D" w:rsidRDefault="0026452D" w:rsidP="0026452D">
      <w:pPr>
        <w:pStyle w:val="TextoNormal"/>
      </w:pPr>
      <w:r>
        <w:t xml:space="preserve">En suma, el órgano judicial alcanza en la Sentencia impugnada por su propia, autónoma y exclusiva convicción la conclusión sobre la forma correcta de interpretar el Derecho de la Unión, sin aportar elementos externos y objetivos de contraste o de apoyo de esa convicción que acrediten que la misma evidencia será compartida por los órganos jurisdiccionales de los otros Estados miembros y aún por el propio Tribunal de Justicia. Por todo ello, nuestro fallo debió otorgar el amparo solicitado y, en consecuencia, declarar que se vulneró el derecho del recurrente a una motivación pertinente conforme a los criterios aplicables a la problemática del planteamiento de la cuestión prejudicial europea (art. 24.1 CE), y correlativamente al derecho al Juez ordinario predeterminado por la ley (art. 24.2 CE), al no plantear el Tribunal Supremo una cuestión prejudicial de interpretación sobre un aspecto del Derecho de la Unión Europea condicionante del fallo de su Sentencia. En consecuencia, debimos declarar la nulidad de la Sentencia de la Sección Cuarta de la Sala de lo Contencioso-Administrativo del Tribunal Supremo, de 3 de noviembre de 2008, recaída en el recurso de casación núm. 2916-2004, y del Auto del mismo órgano jurisdiccional, de 17 de marzo de 2009, que desestima el incidente de nulidad de actuaciones promovido contra ella, </w:t>
      </w:r>
      <w:r>
        <w:lastRenderedPageBreak/>
        <w:t>retrotrayendo las actuaciones al momento procesal inmediatamente anterior al de la referida Sentencia a fin de que se dictara otra resolución en la que se respetara el derecho fundamental vulnerado.</w:t>
      </w:r>
    </w:p>
    <w:p w:rsidR="0026452D" w:rsidRDefault="0026452D" w:rsidP="0026452D">
      <w:pPr>
        <w:pStyle w:val="TextoNormal"/>
      </w:pPr>
    </w:p>
    <w:p w:rsidR="0026452D" w:rsidRDefault="0026452D" w:rsidP="0026452D">
      <w:pPr>
        <w:pStyle w:val="TextoNormal"/>
      </w:pPr>
      <w:r>
        <w:t>Madrid, a once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31" w:name="SENTENCIA_2013_28"/>
      <w:r>
        <w:lastRenderedPageBreak/>
        <w:t>SENTENCIA 28/2013, de 11 de febrero de 2013</w:t>
      </w:r>
    </w:p>
    <w:bookmarkEnd w:id="31"/>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ECLI:ES:TC:2013:28</w:t>
      </w:r>
    </w:p>
    <w:p w:rsidR="0026452D" w:rsidRDefault="0026452D" w:rsidP="0026452D">
      <w:pPr>
        <w:pStyle w:val="SntesisDescriptiva"/>
      </w:pPr>
    </w:p>
    <w:p w:rsidR="0026452D" w:rsidRDefault="0026452D" w:rsidP="0026452D">
      <w:pPr>
        <w:pStyle w:val="SntesisDescriptiva"/>
      </w:pPr>
      <w:r>
        <w:t>Recurso de amparo 7189-2009. Promovido por don Ignacio Mendiburu Iturrain en relación con las resoluciones de la Sección Primera de la Sala de lo Penal de la Audiencia Nacional sobre licenciamiento definitivo.</w:t>
      </w:r>
    </w:p>
    <w:p w:rsidR="0026452D" w:rsidRDefault="0026452D" w:rsidP="0026452D">
      <w:pPr>
        <w:pStyle w:val="SntesisDescriptiva"/>
      </w:pPr>
    </w:p>
    <w:p w:rsidR="0026452D" w:rsidRDefault="0026452D" w:rsidP="0026452D">
      <w:pPr>
        <w:pStyle w:val="SntesisAnaltica"/>
      </w:pPr>
      <w:r>
        <w:t>Alegada vulneración de los derechos a la igualdad en la aplicación de la ley, libertad personal, tutela judicial efectiva (intangibilidad) y legalidad penal: falta de agotamiento de la vía judicial previa al no haberse interpuesto recurso de casación por infracción de ley (STC 58/2012).</w:t>
      </w:r>
    </w:p>
    <w:p w:rsidR="0026452D" w:rsidRDefault="0026452D" w:rsidP="0026452D">
      <w:pPr>
        <w:pStyle w:val="SntesisAnaltica"/>
      </w:pPr>
    </w:p>
    <w:p w:rsidR="0026452D" w:rsidRDefault="0026452D" w:rsidP="0026452D">
      <w:pPr>
        <w:pStyle w:val="Extracto"/>
      </w:pPr>
      <w:r>
        <w:t>1.</w:t>
      </w:r>
      <w:r>
        <w:tab/>
        <w:t>Aplica la doctrina sobre inadmisión del recurso de amparo por falta de agotamiento de la vía judicial previa al no haberse interpuesto recurso de casación por infracción de ley contra las resoluciones impugnadas de las SSTC 58/2012 y 179/2012 [FJ 2].</w:t>
      </w:r>
    </w:p>
    <w:p w:rsidR="0026452D" w:rsidRDefault="0026452D" w:rsidP="0026452D">
      <w:pPr>
        <w:pStyle w:val="Extracto"/>
      </w:pPr>
    </w:p>
    <w:p w:rsidR="0026452D" w:rsidRDefault="0026452D" w:rsidP="0026452D">
      <w:pPr>
        <w:pStyle w:val="Extracto"/>
      </w:pPr>
      <w:r>
        <w:t>2.</w:t>
      </w:r>
      <w:r>
        <w:tab/>
        <w:t>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máximo de cumplimiento respecto de las penas impuestas (SSTC 58/2012, 179/2012) [FJ 3].</w:t>
      </w:r>
    </w:p>
    <w:p w:rsidR="0026452D" w:rsidRDefault="0026452D" w:rsidP="0026452D">
      <w:pPr>
        <w:pStyle w:val="Extracto"/>
      </w:pPr>
    </w:p>
    <w:p w:rsidR="0026452D" w:rsidRDefault="0026452D" w:rsidP="0026452D">
      <w:pPr>
        <w:pStyle w:val="Extracto"/>
      </w:pPr>
      <w:r>
        <w:t>3.</w:t>
      </w:r>
      <w:r>
        <w:tab/>
        <w:t>Doctrina sobre la exigencia de agotamiento de la vía judicial previa (SSTC 85/1999, 174/2011) [FJ 2].</w:t>
      </w:r>
    </w:p>
    <w:p w:rsidR="0026452D" w:rsidRDefault="0026452D" w:rsidP="0026452D">
      <w:pPr>
        <w:pStyle w:val="Extracto"/>
      </w:pPr>
    </w:p>
    <w:p w:rsidR="0026452D" w:rsidRDefault="0026452D" w:rsidP="0026452D">
      <w:pPr>
        <w:pStyle w:val="Extracto"/>
      </w:pPr>
      <w:r>
        <w:t>4.</w:t>
      </w:r>
      <w:r>
        <w:tab/>
        <w:t>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(SSTC 18/2002, 89/2011)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amparo núm. 7189-2009, promovido por don Ignacio Mendiburu Iturrain, representado por el Procurador de los Tribunales don Javier Cuevas Rivas y asistido por la Abogada doña Onintza Ostolaza Arruabarena, contra el Auto de 26 de mayo de 2009, de la Sección Primera de la Sala de lo Penal de la Audiencia Nacional, dictado en la ejecutoria núm. 58-1984, dimanante del rollo de Sala núm. 58-1984, sumario núm. 58-1984 del Juzgado Central de Instrucción núm. 1, por el que se acuerda fijar como fecha de licenciamiento definitivo de las penas que cumple el recurrente el día 10 de junio de 2014, y contra el Auto de 24 de junio de 2009, que desestimó el recurso de súplica presentado frente a dicha resolución. Ha intervenido el Ministerio Fiscal. Ha sido Ponente el Magistrado don Fernando Valdés Dal-Ré,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31 de julio de 2009, el Procurador de los Tribunales don Javier Cuevas Rivas, en nombre y representación de don Ignacio Mendiburu Iturrain, y bajo la dirección de la Abogada doña Onintza Ostolaza Arruabarena, interpuso recurso de amparo contra las resoluciones judiciales reseñadas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que se fundamenta la demanda de amparo son, sucintamente expuestos, los siguientes:</w:t>
      </w:r>
    </w:p>
    <w:p w:rsidR="0026452D" w:rsidRDefault="0026452D" w:rsidP="0026452D">
      <w:pPr>
        <w:pStyle w:val="TextoNormal"/>
      </w:pPr>
    </w:p>
    <w:p w:rsidR="0026452D" w:rsidRDefault="0026452D" w:rsidP="0026452D">
      <w:pPr>
        <w:pStyle w:val="TextoNormal"/>
      </w:pPr>
      <w:r>
        <w:t>a) El recurrente, junto con otros, fue condenado por Sentencia firme de 12 de abril de 1986 por la Sección Primera de Sala de lo Penal de la Audiencia Nacional, conforme al Código penal (CP) de 1973, como autor de un delito de pertenencia a banda armada, a la pena de seis años y un día de prisión mayor; como autor de un delito de depósito de armas de guerra, a la misma pena; como autor de un delito de asesinato, a la pena de veintisiete años de reclusión mayor y como autor de un delito de utilización de placas de matrícula falsas, a la pena de seis meses y un día de prisión menor.</w:t>
      </w:r>
    </w:p>
    <w:p w:rsidR="0026452D" w:rsidRDefault="0026452D" w:rsidP="0026452D">
      <w:pPr>
        <w:pStyle w:val="TextoNormal"/>
      </w:pPr>
    </w:p>
    <w:p w:rsidR="0026452D" w:rsidRDefault="0026452D" w:rsidP="0026452D">
      <w:pPr>
        <w:pStyle w:val="TextoNormal"/>
      </w:pPr>
      <w:r>
        <w:t>b) Por escrito de 3 de marzo de 2009, el director del centro penitenciario de San Sebastián, en el que el recurrente se encontraba cumpliendo condena, elevó a la Sala la hoja de cálculo de las penas que extinguía con dos propuestas de licenciamiento definitivo alternativas, para el 13 de julio de 2009 o el 10 de junio de 2014, según se aplicaran o no los criterios de cómputo de redenciones establecidos por el Tribunal Supremo en la Sentencia 197/2006, de 28 de febrero.</w:t>
      </w:r>
    </w:p>
    <w:p w:rsidR="0026452D" w:rsidRDefault="0026452D" w:rsidP="0026452D">
      <w:pPr>
        <w:pStyle w:val="TextoNormal"/>
      </w:pPr>
    </w:p>
    <w:p w:rsidR="0026452D" w:rsidRDefault="0026452D" w:rsidP="0026452D">
      <w:pPr>
        <w:pStyle w:val="TextoNormal"/>
      </w:pPr>
      <w:r>
        <w:t>c) Una vez se dio traslado de la propuesta al Ministerio Fiscal y al penado, a fin de que informaran sobre la procedencia de la misma, mediante Auto de 26 de mayo de 2009, la Sección Primera de la Sala de lo Penal de la Audiencia Nacional acordó, a la vista de la propuesta formulada por el centro penitenciario, que, de conformidad con el criterio establecido por la citada Sentencia de la Sala de lo Penal del Tribunal Supremo, el licenciamiento definitivo del penado debería tener lugar el 10 de junio de 2014.</w:t>
      </w:r>
    </w:p>
    <w:p w:rsidR="0026452D" w:rsidRDefault="0026452D" w:rsidP="0026452D">
      <w:pPr>
        <w:pStyle w:val="TextoNormal"/>
      </w:pPr>
    </w:p>
    <w:p w:rsidR="0026452D" w:rsidRDefault="0026452D" w:rsidP="0026452D">
      <w:pPr>
        <w:pStyle w:val="TextoNormal"/>
      </w:pPr>
      <w:r>
        <w:lastRenderedPageBreak/>
        <w:t>d) Contra la anterior resolución interpuso el demandante de amparo recurso de súplica, invocando la lesión de los derechos a la libertad (art. 17.1 CE); del principio de legalidad penal (art. 25.1 CE), en relación con los principios de seguridad jurídica e irretroactividad de las disposiciones sancionadoras desfavorables (art. 9.3 CE); y asimismo la vulneración del derecho a la tutela judicial efectiva en la vertiente de intangibilidad de las resoluciones judiciales firmes (art. 24.1 CE) y la vulneración del principio de igualdad (art. 14 CE).</w:t>
      </w:r>
    </w:p>
    <w:p w:rsidR="0026452D" w:rsidRDefault="0026452D" w:rsidP="0026452D">
      <w:pPr>
        <w:pStyle w:val="TextoNormal"/>
      </w:pPr>
    </w:p>
    <w:p w:rsidR="0026452D" w:rsidRDefault="0026452D" w:rsidP="0026452D">
      <w:pPr>
        <w:pStyle w:val="TextoNormal"/>
      </w:pPr>
      <w:r>
        <w:t>e) El recurso de súplica fue desestimado por Auto de 24 de junio de 2009 en el que se rechazó que la aplicación al caso del criterio sentado por la citada Sentencia de la Sala de lo Penal del Tribunal Supremo núm. 197/2006 hubiera ocasionado vulneración alguna de los derechos fundamentales invocados por el recurrente. El penado solicitó la nulidad de la citada decisión, y la petición fue inadmitida a trámite por Auto de 30 de julio siguiente.</w:t>
      </w:r>
    </w:p>
    <w:p w:rsidR="0026452D" w:rsidRDefault="0026452D" w:rsidP="0026452D">
      <w:pPr>
        <w:pStyle w:val="TextoNormal"/>
      </w:pPr>
    </w:p>
    <w:p w:rsidR="0026452D" w:rsidRDefault="0026452D" w:rsidP="0026452D">
      <w:pPr>
        <w:pStyle w:val="TextoNormal"/>
      </w:pPr>
      <w:r w:rsidRPr="0026452D">
        <w:rPr>
          <w:rStyle w:val="NumeroAFNegritaCaracter"/>
        </w:rPr>
        <w:t>3</w:t>
      </w:r>
      <w:r>
        <w:t>. Después de justificar la especial trascendencia constitucional del recurso en la necesidad de un pronunciamiento del Tribunal Constitucional sobre una cuestión entonces novedosa en su jurisprudencia, como lo era la doctrina de la Sala de lo Penal del Tribunal Supremo fijada en el denominado “caso Henri Parot”, estimando que trasciende al caso concreto y afecta a numerosos penados que se hallan cumpliendo diversas penas acumuladas a cuyo cumplimiento se ha fijado un límite máximo, el recurrente fundamenta su demanda de amparo en los ocho motivos o quejas que a continuación se señalan.</w:t>
      </w:r>
    </w:p>
    <w:p w:rsidR="0026452D" w:rsidRDefault="0026452D" w:rsidP="0026452D">
      <w:pPr>
        <w:pStyle w:val="TextoNormal"/>
      </w:pPr>
    </w:p>
    <w:p w:rsidR="0026452D" w:rsidRDefault="0026452D" w:rsidP="0026452D">
      <w:pPr>
        <w:pStyle w:val="TextoNormal"/>
      </w:pPr>
      <w:r>
        <w:t>Como primer motivo de amparo se denuncia la vulneración del derecho a la tutela judicial efectiva sin indefensión (art. 24.1 CE) y de los derechos a la defensa y a un proceso con todas las garantías (art. 24.2 CE), así como de los derechos reconocidos por los arts. 6 y 13 del Convenio europeo para la protección de los derechos humanos y de las libertades fundamentales (CEDH) y por el art. 14.5 del Pacto internacional de derechos civiles y políticos (PIDCP). Sostiene el recurrente que la Audiencia Nacional acordó en las resoluciones impugnadas la aplicación en su caso de la nueva doctrina de la Sala de lo Penal del Tribunal Supremo que establece un nuevo criterio en cuanto al cómputo de las redenciones por trabajo, que desde entonces pasa a hacerse sobre cada pena acumulada en vez de sobre el límite máximo resultante de la refundición, como se venía haciendo hasta dicha resolución. Considera que su caso es distinto, pues la aplicación del nuevo criterio no se hace al refundir las condenas sino al pronunciarse sobre la propuesta de licenciamiento definitivo formulada por el centro penitenciario, por lo que se desconocen los criterios anteriores utilizados en la ejecutoria.</w:t>
      </w:r>
    </w:p>
    <w:p w:rsidR="0026452D" w:rsidRDefault="0026452D" w:rsidP="0026452D">
      <w:pPr>
        <w:pStyle w:val="TextoNormal"/>
      </w:pPr>
    </w:p>
    <w:p w:rsidR="0026452D" w:rsidRDefault="0026452D" w:rsidP="0026452D">
      <w:pPr>
        <w:pStyle w:val="TextoNormal"/>
      </w:pPr>
      <w:r>
        <w:t>En el motivo de amparo segundo se aduce la vulneración del principio de legalidad penal (art. 25.1 CE, en conexión con el art. 9.3 CE), por la interpretación realizada por la Audiencia Nacional de los arts. 70.2 y 100 CP 1973 y los arts. 66 del Reglamento de prisiones de 1956 y 202 del Reglamento penitenciario vigente. Según el recurrente, la interpretación sentada por la Sala de lo Penal del Tribunal Supremo en su Sentencia núm. 197/2006 y aplicada en el presente caso por la Audiencia Nacional en las resoluciones judiciales impugnadas, es ajena al tenor literal de dichas normas, a las pautas axiológicas que conforman el ordenamiento constitucional y a los modelos de argumentación aceptados por la comunidad jurídica, y quiebra la interpretación jurisprudencial del art. 100 CP 1973 realizada al respecto a lo largo de toda la historia penitenciaria, conforme a la cual la redención de penas por el trabajo se ha de abonar para el cumplimiento de la pena impuesta, de manera que el tiempo de redención es tiempo de cumplimiento de la pena.</w:t>
      </w:r>
    </w:p>
    <w:p w:rsidR="0026452D" w:rsidRDefault="0026452D" w:rsidP="0026452D">
      <w:pPr>
        <w:pStyle w:val="TextoNormal"/>
      </w:pPr>
    </w:p>
    <w:p w:rsidR="0026452D" w:rsidRDefault="0026452D" w:rsidP="0026452D">
      <w:pPr>
        <w:pStyle w:val="TextoNormal"/>
      </w:pPr>
      <w:r>
        <w:t>En los motivos de amparo tercero y cuarto denuncia el recurrente la vulneración del derecho a la tutela judicial efectiva en cuanto garantiza la intangibilidad de las resoluciones judiciales firmes (art. 24.1 CE), en relación con el derecho a la libertad (art. 17.1 CE) y los principios de legalidad y seguridad jurídica (art. 9.3 CE). Sostiene el demandante que el nuevo criterio sobre el cómputo de las redenciones sobre la totalidad de la condena que realiza la Sala de lo Penal del Tribunal Supremo, aplicado a su caso por la Audiencia Nacional en las resoluciones impugnadas en amparo, supone desconocer lo resuelto en su caso con carácter firme en la providencia de 30 de julio de 1996 que fijó en treinta años el límite máximo de cumplimiento, conforme al art. 70.2 CP 1973, duración ésta que ha de ser el referente para el cómputo de las redenciones. De la misma manera, entiende que la aplicación de las redenciones de penas por el trabajo que a lo largo de los años fueron aprobadas por los Juzgados de vigilancia penitenciaria quedan de hecho sin contenido si no se descuentan del límite máximo de cumplimiento de treinta años; acortamiento de su condena que venía haciéndose conforme a una constante interpretación jurisprudencial de las normas legales que no puede ser alterado en su perjuicio, retrasando la fecha de puesta en libertad —que debió producirse el 13 de junio de 2009—, por la aplicación de un nuevo criterio jurisprudencial desfavorable al penado que atenta contra la intangibilidad de las resoluciones judiciales firmes.</w:t>
      </w:r>
    </w:p>
    <w:p w:rsidR="0026452D" w:rsidRDefault="0026452D" w:rsidP="0026452D">
      <w:pPr>
        <w:pStyle w:val="TextoNormal"/>
      </w:pPr>
    </w:p>
    <w:p w:rsidR="0026452D" w:rsidRDefault="0026452D" w:rsidP="0026452D">
      <w:pPr>
        <w:pStyle w:val="TextoNormal"/>
      </w:pPr>
      <w:r>
        <w:t>Como quinto motivo de amparo se alega la vulneración del principio de legalidad penal (art. 25.1 CE), en relación con los principios de seguridad jurídica e irretroactividad de las normas sancionadoras no favorables o restrictivas de derechos individuales (art. 9.3 CE) y con los derechos reconocidos por los arts. 7 CEDH y 15 PIDCP. A juicio del recurrente, las resoluciones judiciales impugnadas conllevan una aplicación retroactiva (tácita) de una norma penal limitativa de derechos dictada en 2003 (la Ley Orgánica 7/2003, de 30 de junio, de medidas de reforma para el cumplimiento íntegro y efectivo de las penas, que dio nueva redacción al art. 78 CP 1995) a unos hechos cometidos antes de 1995, esto es, antes de la publicación del vigente Código penal, que fueron juzgados por sentencias declaradas firmes bajo la vigencia del CP 1973, en ninguna de las cuales se había establecido ningún límite a los beneficios penitenciarios.</w:t>
      </w:r>
    </w:p>
    <w:p w:rsidR="0026452D" w:rsidRDefault="0026452D" w:rsidP="0026452D">
      <w:pPr>
        <w:pStyle w:val="TextoNormal"/>
      </w:pPr>
    </w:p>
    <w:p w:rsidR="0026452D" w:rsidRDefault="0026452D" w:rsidP="0026452D">
      <w:pPr>
        <w:pStyle w:val="TextoNormal"/>
      </w:pPr>
      <w:r>
        <w:t xml:space="preserve">En el sexto motivo de amparo se alega la vulneración del derecho a la igualdad en la aplicación de la ley (art. 14 CE), en relación con el art. 14 CEDH, porque las resoluciones judiciales impugnadas incurren en un injustificado y arbitrario cambio de criterio al aplicar al caso la doctrina de la Sentencia de la Sala de lo Penal del Tribunal Supremo núm. 197/2006, que se aparta de forma arbitraria e irrazonable de su consolidado criterio jurisprudencial precedente sobre el cómputo de la redención de penas por el trabajo, en un momento en el que el CP 1973 ya está derogado y resulta aplicable a un número muy limitado de internos, sin que existan razones que justifiquen dicho cambio de criterio. Se afirma que se trata de un cambio de criterio </w:t>
      </w:r>
      <w:r w:rsidRPr="0026452D">
        <w:rPr>
          <w:i/>
        </w:rPr>
        <w:t>ad personam</w:t>
      </w:r>
      <w:r>
        <w:t>, constitucionalmente vedado, del que resulta que al recurrente se le deniega de manera discriminatoria lo que a otros muchos presos ya se les concedió antes.</w:t>
      </w:r>
    </w:p>
    <w:p w:rsidR="0026452D" w:rsidRDefault="0026452D" w:rsidP="0026452D">
      <w:pPr>
        <w:pStyle w:val="TextoNormal"/>
      </w:pPr>
    </w:p>
    <w:p w:rsidR="0026452D" w:rsidRDefault="0026452D" w:rsidP="0026452D">
      <w:pPr>
        <w:pStyle w:val="TextoNormal"/>
      </w:pPr>
      <w:r>
        <w:t xml:space="preserve">Como séptimo motivo de amparo se alega la vulneración del derecho a la libertad personal (art. 17.1 CE), en relación con los arts. 5 y 7.1 CEDH y los arts. 9.1 y 5 y 15.1 PIDCP. Tras resaltar que, conforme a la doctrina constitucional, la redención de penas por el trabajo afecta al derecho a la libertad personal, sostiene el recurrente, con cita del Voto particular </w:t>
      </w:r>
      <w:r>
        <w:lastRenderedPageBreak/>
        <w:t>conjunto formulado por varios magistrados a la Sentencia de la Sala de lo Penal del Tribunal Supremo núm. 197/2006, que el cambio de criterio jurisprudencial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0026452D" w:rsidRDefault="0026452D" w:rsidP="0026452D">
      <w:pPr>
        <w:pStyle w:val="TextoNormal"/>
      </w:pPr>
    </w:p>
    <w:p w:rsidR="0026452D" w:rsidRDefault="0026452D" w:rsidP="0026452D">
      <w:pPr>
        <w:pStyle w:val="TextoNormal"/>
      </w:pPr>
      <w:r>
        <w:t>Finalmente, se aduce la lesión del principio que garantiza la orientación de las penas privativas de libertad a la reeducación y reinserción social (art. 25.2 CE), en relación con las Reglas mínimas para tratamiento de los reclusos elaboradas en el primer Congreso de las Naciones Unidas sobre prevención del delito y tratamiento del delincuente (Ginebra, 1955), y del Pacto internacional de derechos civiles y políticos. Entiende que el art. 70.2 CP 1973 estaba inspirado en un humanismo penal contrario a la ejecución de reclusiones excesivamente prolongadas. El trabajo penitenciario, y las redenciones ordinarias y extraordinarias persiguen una finalidad resocializadora. La interpretación adoptada por los Autos impugnados dejaría sin efecto estas previsiones, a juicio del demandante.</w:t>
      </w:r>
    </w:p>
    <w:p w:rsidR="0026452D" w:rsidRDefault="0026452D" w:rsidP="0026452D">
      <w:pPr>
        <w:pStyle w:val="TextoNormal"/>
      </w:pPr>
    </w:p>
    <w:p w:rsidR="0026452D" w:rsidRDefault="0026452D" w:rsidP="0026452D">
      <w:pPr>
        <w:pStyle w:val="TextoNormal"/>
      </w:pPr>
      <w:r>
        <w:t>Por todo ello, interesa el otorgamiento del amparo, solicitando por otrosí en la demanda la suspensión de la ejecución de las resoluciones judiciales impugnadas.</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26 de marzo de 2012, la Sala Primera de este Tribunal acordó la admisión a trámite de la demanda de amparo y, a tenor de lo dispuesto en el art. 51 de la Ley Orgánica del Tribunal Constitucional (LOTC), requerir atentamente a la Sección Primera de la Sala de lo Penal de la Audiencia Nacional para que en el plazo no superior a diez días remitiera testimonio de las actuaciones correspondientes a la ejecutoria núm. 58-1984, rollo de Sala con idéntico número, interesándose al propio tiempo el emplazamiento de quienes fueron parte en el procedimiento, a excepción del recurrente, ya personado, para que pudieran comparecer en el plazo de diez días en el presente proceso constitucional.</w:t>
      </w:r>
    </w:p>
    <w:p w:rsidR="0026452D" w:rsidRDefault="0026452D" w:rsidP="0026452D">
      <w:pPr>
        <w:pStyle w:val="TextoNormal"/>
      </w:pPr>
    </w:p>
    <w:p w:rsidR="0026452D" w:rsidRDefault="0026452D" w:rsidP="0026452D">
      <w:pPr>
        <w:pStyle w:val="TextoNormal"/>
      </w:pPr>
      <w:r>
        <w:t>Asimismo la Sala acordó la formación de pieza separada para la tramitación del incidente sobre la suspensión solicitada, concediendo al recurrente y al Ministerio Fiscal un plazo común de tres días para que alegasen lo que estimasen pertinente sobre dicha suspensión. Evacuado dicho trámite de alegaciones, la Sala desestimó la solicitud de suspensión mediante Auto de 7 de mayo de 2012.</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diligencia de ordenación del Secretario de Justicia de la Sala Primera de 4 de julio de 2012, se tuvieron por recibidos los testimonios de las actuaciones en soporte informático remitidos por el servicio común de ejecutorias de la Sala de lo Penal de la Audiencia Nacional y se procedió, conforme a lo establecido en el art. 52 LOTC, a dar traslado en copia en disco compacto de las actuaciones por plazo común de veinte días al Ministerio Fiscal y a las partes personadas para presentar las alegaciones que estimasen pertinentes.</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La representación procesal del recurrente presentó su escrito de alegaciones en este Tribunal el 7 de septiembre de 2012, en el que reiteró las formuladas en la demanda de amparo, poniendo de manifiesto que el Tribunal Europeo de Derechos Humanos acababa de dictar Sentencia de 10 de julio de 2012 en un caso similar (asunto </w:t>
      </w:r>
      <w:r w:rsidRPr="0026452D">
        <w:rPr>
          <w:i/>
        </w:rPr>
        <w:t>Del Rio Prada contra España</w:t>
      </w:r>
      <w:r>
        <w:t xml:space="preserve">) en la que declaraba que la fijación y aplicación jurisprudencial del criterio de </w:t>
      </w:r>
      <w:r>
        <w:lastRenderedPageBreak/>
        <w:t>cómputo de redenciones cuestionado en la demanda de amparo era contrario a los arts. 5 y 7 CEDH, en cuanto garantizan el derecho a la seguridad y libertad y el principio de legalidad de las infracciones y penas. En su opinión, dicho criterio debe marcar el análisis de la presente cuestión dado que es contrario a los derechos invocados la aplicación retroactiva de la jurisprudencia indicada por ser desfavorable a sus intereses y llevar aparejado un alargamiento material de la pena impuesta.</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Una vez se le dio traslado del testimonio completo de las actuaciones, el Ministerio Fiscal presentó en este Tribunal su escrito de alegaciones el 23 de noviembre de 2012. Considera en primer lugar el Fiscal que la Sentencia del Tribunal Europeo de Derechos Humanos de 10 de julio de 2012, asunto </w:t>
      </w:r>
      <w:r w:rsidRPr="0026452D">
        <w:rPr>
          <w:i/>
        </w:rPr>
        <w:t>Del Río Prada c. España</w:t>
      </w:r>
      <w:r>
        <w:t>, no afecta en este momento al presente caso, toda vez que dicha Sentencia no tiene carácter definitivo, de conformidad con lo previsto en el art. 44.2 CEDH, al ser susceptible de revisión por la Gran Sala a solicitud de parte en el plazo de tres meses, debiendo estarse entre tanto a la doctrina sentada por el Tribunal Constitucional en casos semejantes al presente desde la STC 39/2012, de 29 de marzo, hasta la reciente STC 152/2012, de 16 de julio</w:t>
      </w:r>
    </w:p>
    <w:p w:rsidR="0026452D" w:rsidRDefault="0026452D" w:rsidP="0026452D">
      <w:pPr>
        <w:pStyle w:val="TextoNormal"/>
      </w:pPr>
    </w:p>
    <w:p w:rsidR="0026452D" w:rsidRDefault="0026452D" w:rsidP="0026452D">
      <w:pPr>
        <w:pStyle w:val="TextoNormal"/>
      </w:pPr>
      <w:r>
        <w:t>Sentado lo anterior, el Fiscal sostiene que, como ya se apreciara en casos similares al presente en las SSTC 58/2012, 60/2012 y 63/2012, de 29 de marzo todas ellas, así como en las STC 128/2012, de 18 de junio, 157/2012, de 17 de septiembre y 179/2012, de 15 de octubre, concurre el óbice procesal consistente en la falta de agotamiento de la vía judicial [art. 44.1 a) LOTC, en relación con el art. 50.1 a) LOTC], lo que debe determinar la inadmisión del recurso de amparo, toda vez que el demandante no recurrió en casación (art. 988 de la Ley de enjuiciamiento criminal) contra el Auto de la Sección Primera de la Sala de lo Penal de la Audiencia Nacional de 24 de junio de 2009, que desestimó el recurso de súplica interpuesto contra la anterior resolución de 26 de mayo que aprobó la propuesta de licenciamiento definitivo del demandante para el 10 de junio de 2014. A lo que se ha de sumar que el demandante interpuso una solicitud de nulidad de actuaciones improcedente, que fue inadmitida a trámite, y que, aunque no alargó el plazo para demandar el amparo, no consta en las actuaciones que le fuera notificada antes de solicitar el amparo de este Tribunal.</w:t>
      </w:r>
    </w:p>
    <w:p w:rsidR="0026452D" w:rsidRDefault="0026452D" w:rsidP="0026452D">
      <w:pPr>
        <w:pStyle w:val="TextoNormal"/>
      </w:pPr>
    </w:p>
    <w:p w:rsidR="0026452D" w:rsidRDefault="0026452D" w:rsidP="0026452D">
      <w:pPr>
        <w:pStyle w:val="TextoNormal"/>
      </w:pPr>
      <w:r>
        <w:t>Subsidiariamente, para el caso en el que no fuera apreciada la concurrencia de la causa de inadmisión señalada, el Fiscal interesa la denegación del amparo, por entender que las resoluciones impugnadas no infringen los derechos fundamentales invocados en la demanda, conforme a los razonamientos de la doctrina fijada por el Pleno en la STC 39/2012.</w:t>
      </w:r>
    </w:p>
    <w:p w:rsidR="0026452D" w:rsidRDefault="0026452D" w:rsidP="0026452D">
      <w:pPr>
        <w:pStyle w:val="TextoNormal"/>
      </w:pPr>
    </w:p>
    <w:p w:rsidR="0026452D" w:rsidRDefault="0026452D" w:rsidP="0026452D">
      <w:pPr>
        <w:pStyle w:val="TextoNormal"/>
      </w:pPr>
      <w:r>
        <w:t xml:space="preserve">Por lo que respecta a los motivos de la demanda que se refieren a la cuestión de fondo, y que se centran en combatir la aplicación que han hecho las resoluciones impugnadas de la doctrina establecida en la Sentencia de la Sala de lo Penal del Tribunal Supremo núm. 197/2006, señala el Fiscal que también estas quejas deben ser descartadas, a la vista de la ya referida doctrina constitucional. Trasladándola al presente caso, y en particular por lo que se refiere a la alegada lesión del derecho a la tutela judicial efectiva en la vertiente del derecho a la intangibilidad de las resoluciones firmes, señala el Fiscal que el pretendido efecto de intangibilidad, en cuanto al criterio de cómputo de las redenciones por trabajo, no puede predicarse de ninguna decisión adoptada en la ejecutoria, pues en ella no se ha dictado resolución alguna que contenga criterio de cómputo de los beneficios penitenciarios de redención del art. 100 CP 1973. No se infringe, por tanto, el principio de intangibilidad por las resoluciones judiciales impugnadas en amparo, que, acogiendo el criterio establecido en </w:t>
      </w:r>
      <w:r>
        <w:lastRenderedPageBreak/>
        <w:t>la Sentencia de la Sala de lo Penal del Tribunal Supremo núm. 197/2006, aprueban el licenciamiento definitivo del recurrente para el 10 de junio de 2014, puesto que tales resoluciones no revisan ninguna situación jurídica establecida en una anterior resolución firme sobre el cómputo y aplicación de los beneficios de redención de penas por el trabajo.</w:t>
      </w:r>
    </w:p>
    <w:p w:rsidR="0026452D" w:rsidRDefault="0026452D" w:rsidP="0026452D">
      <w:pPr>
        <w:pStyle w:val="TextoNormal"/>
      </w:pPr>
    </w:p>
    <w:p w:rsidR="0026452D" w:rsidRDefault="0026452D" w:rsidP="0026452D">
      <w:pPr>
        <w:pStyle w:val="TextoNormal"/>
      </w:pPr>
      <w:r>
        <w:t>Y en fin, en relación con el resto de motivos, y singularmente del que afirma la vulneración del art. 25.2 CE, propone su desestimación con cita de los argumentos expuestos en la STC 114/2012, FJ 7.</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7 de febrero de 2013 se acordó señalar para deliberación y votación de la presente Sentencia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amparo se dirige contra el Auto de 24 de junio de 2009 de la Sección Primera de la Sala de lo Penal de la Audiencia Nacional, que desestimó el recurso de súplica presentado contra el anterior Auto de 26 de mayo por el que se acordó fijar el día 10 de junio de 2014 como fecha para el licenciamiento definitivo de las penas privativas de libertad que cumple el recurrente, en aplicación del criterio establecido por la Sentencia de la Sala de lo Penal del Tribunal Supremo núm. 197/2006, de 28 de febrero, según la cual, en caso de cumplimiento sucesivo de penas a las que se ha fijado un límite máximo de duración, la redención de penas por el trabajo ha de computarse sobre cada una de las penas impuestas que se cumplen sucesivamente por orden de gravedad, y no sobre el límite máximo de cumplimiento efectivo que pudiera haberse fijado.</w:t>
      </w:r>
    </w:p>
    <w:p w:rsidR="0026452D" w:rsidRDefault="0026452D" w:rsidP="0026452D">
      <w:pPr>
        <w:pStyle w:val="TextoNormal"/>
      </w:pPr>
    </w:p>
    <w:p w:rsidR="0026452D" w:rsidRDefault="0026452D" w:rsidP="0026452D">
      <w:pPr>
        <w:pStyle w:val="TextoNormal"/>
      </w:pPr>
      <w:r>
        <w:t>Con la argumentación que ha quedado expuesta en los antecedentes de esta resolución, se denuncia en la demanda de amparo la supuesta vulneración de los derechos fundamentales a la tutela judicial efectiva sin indefensión (art. 24.1 CE) y a la defensa (art. 24.2 CE); a la legalidad penal (art. 25.1 CE), en conexión con los principios del art. 9.3 CE; a la tutela judicial efectiva en la vertiente de intangibilidad de las resoluciones judiciales firmes (art. 24.1 CE), en relación con los principios de legalidad y seguridad jurídica (art. 9.3 CE); a la igualdad en la aplicación de la ley (art. 14 CE); así como la vulneración del principio de orientación de las penas privativas de libertad a la reeducación y reinserción social (art. 25.2 CE); todo ello en relación con el derecho a la libertad (art. 17.1 CE).</w:t>
      </w:r>
    </w:p>
    <w:p w:rsidR="0026452D" w:rsidRDefault="0026452D" w:rsidP="0026452D">
      <w:pPr>
        <w:pStyle w:val="TextoNormal"/>
      </w:pPr>
    </w:p>
    <w:p w:rsidR="0026452D" w:rsidRDefault="0026452D" w:rsidP="0026452D">
      <w:pPr>
        <w:pStyle w:val="TextoNormal"/>
      </w:pPr>
      <w:r>
        <w:t xml:space="preserve">El Ministerio Fiscal interesa con carácter principal la inadmisión del recurso de amparo </w:t>
      </w:r>
      <w:r w:rsidRPr="0026452D">
        <w:rPr>
          <w:i/>
        </w:rPr>
        <w:t>ex</w:t>
      </w:r>
      <w:r>
        <w:t xml:space="preserve"> arts. 44.1 a) y 50.1 a) de la Ley Orgánica del Tribunal Constitucional (LOTC), por considerar incumplido el requisito procesal que exige el previo agotamiento de la vía judicial y, subsidiariamente, su desestimación, por entender que las resoluciones judiciales impugnadas no han vulnerado los derechos fundamentales invocados por el demandante.</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Como este Tribunal tiene declarado reiteradamente,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w:t>
      </w:r>
      <w:r>
        <w:lastRenderedPageBreak/>
        <w:t>de tales presupuestos, sin que para ello constituya obstáculo el carácter tasado de los pronunciamientos previstos en el art. 53 LOTC (por todas, SSTC 18/2002, de 28 de enero, FJ 3; 158/2002, de 16 de septiembre, FJ 2; 69/2004, de 19 de abril, FJ 3; y 89/2011, de 6 de junio, FJ 2).</w:t>
      </w:r>
    </w:p>
    <w:p w:rsidR="0026452D" w:rsidRDefault="0026452D" w:rsidP="0026452D">
      <w:pPr>
        <w:pStyle w:val="TextoNormal"/>
      </w:pPr>
    </w:p>
    <w:p w:rsidR="0026452D" w:rsidRDefault="0026452D" w:rsidP="0026452D">
      <w:pPr>
        <w:pStyle w:val="TextoNormal"/>
      </w:pPr>
      <w:r>
        <w:t xml:space="preserve">Entre esos presupuestos inexcusables para la admisibilidad de toda demanda de amparo se encuentra la exigencia establecida por el art. 44.1 a) LOTC de “que se hayan agotado todos los medios de impugnación previstos por las normas procesales para el caso concreto dentro de la vía judicial”. La exigencia de agotamiento de la vía judicial previa tiene por objeto preservar el carácter subsidiario del recurso de amparo, evitando que el acceso a esta jurisdicción constitucional se produzca </w:t>
      </w:r>
      <w:r w:rsidRPr="0026452D">
        <w:rPr>
          <w:i/>
        </w:rPr>
        <w:t>per saltum</w:t>
      </w:r>
      <w:r>
        <w:t>, esto es, sin dar oportunidad a los órganos judiciales de pronunciarse y, en definitiva, remediar la lesión que luego se invoca como fundamento del recurso de amparo. Así, el requisito de agotar la vía judicial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(entre otras muchas, SSTC 85/1999, de 10 de mayo, FJ 5; 211/1999, de 29 de noviembre, FJ 2; 71/2000, de 13 de marzo, FJ 3; 128/2002, de 3 de junio, FJ 2; y 174/2011, de 7 de noviembre, FJ 2).</w:t>
      </w:r>
    </w:p>
    <w:p w:rsidR="0026452D" w:rsidRDefault="0026452D" w:rsidP="0026452D">
      <w:pPr>
        <w:pStyle w:val="TextoNormal"/>
      </w:pPr>
    </w:p>
    <w:p w:rsidR="0026452D" w:rsidRDefault="0026452D" w:rsidP="0026452D">
      <w:pPr>
        <w:pStyle w:val="TextoNormal"/>
      </w:pPr>
      <w:r w:rsidRPr="0026452D">
        <w:rPr>
          <w:rStyle w:val="NumeroAFNegritaCaracter"/>
        </w:rPr>
        <w:t>3</w:t>
      </w:r>
      <w:r>
        <w:t>. El análisis de las actuaciones conduce a apreciar la concurrencia del óbice aducido por el Ministerio Fiscal en su escrito de alegaciones, a la vista de lo declarado por el Pleno de este Tribunal en casos similares en las SSTC 58/2012, 60/2012 y 63/2012, todas ellas de 29 de marzo, así como en las más recientes SSTC 128/2012, de 18 de junio; 152/2012, de 16 de julio; 157/2012, de 17 de septiembre, y 179/2012, de 15 de octubre, lo que determina la inadmisión del presente recurso de amparo por falta de agotamiento de la vía judicial previa [art. 44.1 a) LOTC].</w:t>
      </w:r>
    </w:p>
    <w:p w:rsidR="0026452D" w:rsidRDefault="0026452D" w:rsidP="0026452D">
      <w:pPr>
        <w:pStyle w:val="TextoNormal"/>
      </w:pPr>
    </w:p>
    <w:p w:rsidR="0026452D" w:rsidRDefault="0026452D" w:rsidP="0026452D">
      <w:pPr>
        <w:pStyle w:val="TextoNormal"/>
      </w:pPr>
      <w:r>
        <w:t xml:space="preserve">En el presente supuesto el recurrente en amparo impugna el Auto de 26 de mayo de 2009 de la Sección Primera de la Sala de lo Penal de la Audiencia Nacional, por el que se aprueba su licenciamiento definitivo para el día 10 de junio de 2014, resolución que fue confirmada en súplica mediante el Auto de 24 de junio siguiente de la misma Sala y Sección, igualmente impugnado en amparo. Ahora bien, el recurrente acude directamente ante este Tribunal sin haber intentado hacer uso del recurso de casación ante la Sala de lo Penal del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1973— cabrá interponer recurso de casación por infracción de ley. Tal previsión resulta aplicable a los Autos que aprueban el licenciamiento definitivo en condenas de cumplimiento sucesivo en cuanto lo resuelto en ellos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más de un año antes de dictarse las resoluciones impugnadas en amparo mediante el Auto de la Sala de lo Penal del Tribunal Supremo de 7 </w:t>
      </w:r>
      <w:r>
        <w:lastRenderedPageBreak/>
        <w:t>de abril de 2008, dictado precisamente al resolver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máximo de cumplimiento respecto de las penas impuestas, fijación de criterio jurisprudencial que, tanto tiempo después, no podía ser ignorada por la representación procesal y la defensa letrada del demandante de amparo (SSTC 58/2012, FJ 3; 60/2012, FJ 3; 63/2012, FJ 3; 128/2012, FJ 3 y 152/2012, FJ 3, así como 157 y 179/2012, FJ 3).</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Inadmitir el recurso de amparo interpuesto por don Ignacio Mendiburu Iturrain.</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32" w:name="SENTENCIA_2013_29"/>
      <w:r>
        <w:lastRenderedPageBreak/>
        <w:t>SENTENCIA 29/2013, de 11 de febrero de 2013</w:t>
      </w:r>
    </w:p>
    <w:bookmarkEnd w:id="32"/>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ECLI:ES:TC:2013:29</w:t>
      </w:r>
    </w:p>
    <w:p w:rsidR="0026452D" w:rsidRDefault="0026452D" w:rsidP="0026452D">
      <w:pPr>
        <w:pStyle w:val="SntesisDescriptiva"/>
      </w:pPr>
    </w:p>
    <w:p w:rsidR="0026452D" w:rsidRDefault="0026452D" w:rsidP="0026452D">
      <w:pPr>
        <w:pStyle w:val="SntesisDescriptiva"/>
      </w:pPr>
      <w:r>
        <w:t>Recurso de amparo 10522-2009. Promovido por don Adolfo Tomás Fraile Nieto en relación con las Sentencias de del Tribunal Superior de Justicia de Andalucía y de un Juzgado de lo Social de Sevilla parcialmente estimatorias de su impugnación de sanción disciplinaria impuesta por la Universidad de Sevilla.</w:t>
      </w:r>
    </w:p>
    <w:p w:rsidR="0026452D" w:rsidRDefault="0026452D" w:rsidP="0026452D">
      <w:pPr>
        <w:pStyle w:val="SntesisDescriptiva"/>
      </w:pPr>
    </w:p>
    <w:p w:rsidR="0026452D" w:rsidRDefault="0026452D" w:rsidP="0026452D">
      <w:pPr>
        <w:pStyle w:val="SntesisAnaltica"/>
      </w:pPr>
      <w:r>
        <w:t>Vulneración del derecho a la protección de datos de carácter personal: Utilización de imágenes captadas por las cámaras de video-vigilancia instaladas en el recinto universitario para una finalidad, la supervisión laboral, de la que no se informó al trabajador (STC 292/2000). Voto particular.</w:t>
      </w:r>
    </w:p>
    <w:p w:rsidR="0026452D" w:rsidRDefault="0026452D" w:rsidP="0026452D">
      <w:pPr>
        <w:pStyle w:val="SntesisAnaltica"/>
      </w:pPr>
    </w:p>
    <w:p w:rsidR="0026452D" w:rsidRDefault="0026452D" w:rsidP="0026452D">
      <w:pPr>
        <w:pStyle w:val="Extracto"/>
      </w:pPr>
      <w:r>
        <w:t>1.</w:t>
      </w:r>
      <w:r>
        <w:tab/>
        <w:t>Las sanciones impuestas al recurrente con base en las grabaciones captadas por las cámaras de video-vigilancia instaladas en el recinto universitario, sin información previa y expresa, precisa, clara e inequívoca de la finalidad de control de la actividad laboral a la que esa captación podía ser dirigida, deben declararse nulas ya que se priva al recurrente de las facultades de disposición y control sobre sus datos personales y por ende de su derecho fundamental a la protección de datos [FJ 8].</w:t>
      </w:r>
    </w:p>
    <w:p w:rsidR="0026452D" w:rsidRDefault="0026452D" w:rsidP="0026452D">
      <w:pPr>
        <w:pStyle w:val="Extracto"/>
      </w:pPr>
    </w:p>
    <w:p w:rsidR="0026452D" w:rsidRDefault="0026452D" w:rsidP="0026452D">
      <w:pPr>
        <w:pStyle w:val="Extracto"/>
      </w:pPr>
      <w:r>
        <w:t>2.</w:t>
      </w:r>
      <w:r>
        <w:tab/>
        <w:t>La vulneración del art. 18.4 CE no queda contrarrestada por la existencia de distintivos anunciando la instalación de cámaras y captación de imágenes en el recinto universitario ya que era necesaria además una información previa sobre las características y el alcance del tratamiento de datos que iba a realizarse, esto es, en qué casos las grabaciones podían ser examinadas, durante cuánto tiempo y con qué propósitos, explicitando muy particularmente que podían utilizarse para la imposición de sanciones disciplinarias por incumplimientos del contrato de trabajo [FJ 8].</w:t>
      </w:r>
    </w:p>
    <w:p w:rsidR="0026452D" w:rsidRDefault="0026452D" w:rsidP="0026452D">
      <w:pPr>
        <w:pStyle w:val="Extracto"/>
      </w:pPr>
    </w:p>
    <w:p w:rsidR="0026452D" w:rsidRDefault="0026452D" w:rsidP="0026452D">
      <w:pPr>
        <w:pStyle w:val="Extracto"/>
      </w:pPr>
      <w:r>
        <w:t>3.</w:t>
      </w:r>
      <w:r>
        <w:tab/>
        <w:t>Las cámaras de video-vigilancia instaladas en el recinto universitario reprodujeron la imagen del recurrente, que constituye un dato de carácter personal, utilizando la Universidad las grabaciones para el control de la jornada de trabajo de los trabajadores, siendo ésta la responsable del tratamiento de los datos, todo ello sin haberle informado sobre esa utilidad de supervisión laboral asociada a las capturas de su imagen, lo que vulnera el art. 18.4 CE [FJ 8].</w:t>
      </w:r>
    </w:p>
    <w:p w:rsidR="0026452D" w:rsidRDefault="0026452D" w:rsidP="0026452D">
      <w:pPr>
        <w:pStyle w:val="Extracto"/>
      </w:pPr>
    </w:p>
    <w:p w:rsidR="0026452D" w:rsidRDefault="0026452D" w:rsidP="0026452D">
      <w:pPr>
        <w:pStyle w:val="Extracto"/>
      </w:pPr>
      <w:r>
        <w:t>4.</w:t>
      </w:r>
      <w:r>
        <w:tab/>
        <w:t>Las facultades empresariales se encuentran limitadas por los derechos fundamentales no pudiendo el interés privado del empresario justificar que el tratamiento de datos sea empleado en contra del trabajador sin una información previa sobre el control laboral puesto en práctica, pues no hay en el ámbito laboral una razón que tolere la limitación del derecho de información que integra la cobertura ordinaria del derecho fundamental del art. 18.4 CE (SSTC 98/2000, 308/2000) [FJ 7].</w:t>
      </w:r>
    </w:p>
    <w:p w:rsidR="0026452D" w:rsidRDefault="0026452D" w:rsidP="0026452D">
      <w:pPr>
        <w:pStyle w:val="Extracto"/>
      </w:pPr>
    </w:p>
    <w:p w:rsidR="0026452D" w:rsidRDefault="0026452D" w:rsidP="0026452D">
      <w:pPr>
        <w:pStyle w:val="Extracto"/>
      </w:pPr>
      <w:r>
        <w:lastRenderedPageBreak/>
        <w:t>5.</w:t>
      </w:r>
      <w:r>
        <w:tab/>
        <w:t xml:space="preserve">Para que el tratamiento de datos resulte en principio lícito, no será suficiente estar amparado por la Ley, </w:t>
      </w:r>
      <w:r w:rsidRPr="0026452D">
        <w:rPr>
          <w:i/>
        </w:rPr>
        <w:t>ex</w:t>
      </w:r>
      <w:r>
        <w:t xml:space="preserve"> arts. 6.2 LOPD y 20 LET, o que pueda resultar eventualmente proporcionado al fin perseguido, ya que el control empresarial de los trabajadores a través de sistemas de tratamiento de datos que aseguren la máxima eficacia en el propósito de vigilancia, aunque pueda producirse, deberá asegurar la debida información previa [FJ 7].</w:t>
      </w:r>
    </w:p>
    <w:p w:rsidR="0026452D" w:rsidRDefault="0026452D" w:rsidP="0026452D">
      <w:pPr>
        <w:pStyle w:val="Extracto"/>
      </w:pPr>
    </w:p>
    <w:p w:rsidR="0026452D" w:rsidRDefault="0026452D" w:rsidP="0026452D">
      <w:pPr>
        <w:pStyle w:val="Extracto"/>
      </w:pPr>
      <w:r>
        <w:t>6.</w:t>
      </w:r>
      <w:r>
        <w:tab/>
        <w:t>Es complemento indispensable del derecho fundamental del art. 18.4 CE la facultad de saber en todo momento quién dispone de esos datos personales y a qué uso los está sometiendo y por consiguiente, el Pleno del Tribunal ha señalado como elemento caracterizador de la definición constitucional del art. 18.4 CE, de su núcleo esencial, el derecho del afectado a ser informado de quién posee los datos personales y con qué fin [FJ 7].</w:t>
      </w:r>
    </w:p>
    <w:p w:rsidR="0026452D" w:rsidRDefault="0026452D" w:rsidP="0026452D">
      <w:pPr>
        <w:pStyle w:val="Extracto"/>
      </w:pPr>
    </w:p>
    <w:p w:rsidR="0026452D" w:rsidRDefault="0026452D" w:rsidP="0026452D">
      <w:pPr>
        <w:pStyle w:val="Extracto"/>
      </w:pPr>
      <w:r>
        <w:t>7.</w:t>
      </w:r>
      <w:r>
        <w:tab/>
        <w:t>No hay una habilitación legal expresa para la omisión del derecho a la información sobre el tratamiento de datos personales en el ámbito de las relaciones laborales y tampoco podría situarse su fundamento en el interés empresarial de controlar la actividad laboral a través de sistemas sorpresivos o no informados de tratamiento de datos que aseguren la máxima eficacia en el propósito de vigilancia (SSTC 57/1994, 292/2000) [FJ 7].</w:t>
      </w:r>
    </w:p>
    <w:p w:rsidR="0026452D" w:rsidRDefault="0026452D" w:rsidP="0026452D">
      <w:pPr>
        <w:pStyle w:val="Extracto"/>
      </w:pPr>
    </w:p>
    <w:p w:rsidR="0026452D" w:rsidRDefault="0026452D" w:rsidP="0026452D">
      <w:pPr>
        <w:pStyle w:val="Extracto"/>
      </w:pPr>
      <w:r>
        <w:t>8.</w:t>
      </w:r>
      <w:r>
        <w:tab/>
        <w:t>Las imágenes grabadas en un soporte físico constituyen un dato de carácter personal que queda integrado en la cobertura del art. 18.4 CE, ya que el derecho fundamental amplía la garantía constitucional a todos aquellos datos que identifiquen o permitan la identificación de la persona y que puedan servir para la confección de su perfil o para cualquier otra utilidad que, en determinadas circunstancias, constituya una amenaza para el individuo [FJ 5].</w:t>
      </w:r>
    </w:p>
    <w:p w:rsidR="0026452D" w:rsidRDefault="0026452D" w:rsidP="0026452D">
      <w:pPr>
        <w:pStyle w:val="Extracto"/>
      </w:pPr>
    </w:p>
    <w:p w:rsidR="0026452D" w:rsidRDefault="0026452D" w:rsidP="0026452D">
      <w:pPr>
        <w:pStyle w:val="Extracto"/>
      </w:pPr>
      <w:r>
        <w:t>9.</w:t>
      </w:r>
      <w:r>
        <w:tab/>
        <w:t>La especial naturaleza del recurso de casación para la unificación de doctrina,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(SSTC 153/2004, 122/2008) [FJ 3].</w:t>
      </w:r>
    </w:p>
    <w:p w:rsidR="0026452D" w:rsidRDefault="0026452D" w:rsidP="0026452D">
      <w:pPr>
        <w:pStyle w:val="Extracto"/>
      </w:pPr>
    </w:p>
    <w:p w:rsidR="0026452D" w:rsidRDefault="0026452D" w:rsidP="0026452D">
      <w:pPr>
        <w:pStyle w:val="Extracto"/>
      </w:pPr>
      <w:r>
        <w:t>10.</w:t>
      </w:r>
      <w:r>
        <w:tab/>
        <w:t>Reitera la doctrina sobre el derecho fundamental a la protección de datos en relación con la utilización no consentida ni previamente informada de las grabaciones para un fin, desconocido por el afectado, de control de su actividad laboral, sentada en la STC 292/2000 [FFJJ 4 a 7].</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lastRenderedPageBreak/>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10522-2009, promovido por don Adolfo Tomás Fraile Nieto, representado por el Procurador de los Tribunales don Víctor García Montes y ejerciendo en su condición de Abogado su propia defensa, contra la Sentencia de 5 de mayo de 2009 de la Sala de lo Social de Sevilla del Tribunal Superior de Justicia de Andalucía, que desestimó el recurso de suplicación núm. 645-2008 interpuesto frente a la Sentencia de 5 de septiembre de 2007 del Juzgado de lo Social núm. 3 de Sevilla, dictada en el procedimiento núm. 665-2006 sobre impugnación de sanción, y contra el Auto de 22 de septiembre de 2009 de la misma Sala que denegó la nulidad de la primera Sentencia citada. Ha sido parte la Universidad de Sevilla, representada por el Procurador de los Tribunales don Eduardo Codes Feijoo y asistida por el Letrado don Francisco Manuel Barrero Castro. Ha intervenido el Ministerio Fiscal. Ha sido Ponente el Magistrado don Fernando Valdés Dal-Ré,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día 17 de diciembre de 2009, el Procurador de los Tribunales don Víctor García Montes, actuando en nombre y representación de don Adolfo Tomás Fraile Nieto, presentó recurso de amparo constitucional contra las resoluciones citadas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de los que trae causa la demanda son, en síntesis, los siguientes:</w:t>
      </w:r>
    </w:p>
    <w:p w:rsidR="0026452D" w:rsidRDefault="0026452D" w:rsidP="0026452D">
      <w:pPr>
        <w:pStyle w:val="TextoNormal"/>
      </w:pPr>
    </w:p>
    <w:p w:rsidR="0026452D" w:rsidRDefault="0026452D" w:rsidP="0026452D">
      <w:pPr>
        <w:pStyle w:val="TextoNormal"/>
      </w:pPr>
      <w:r>
        <w:t>a) El recurrente en amparo presta sus servicios desde octubre de 1989 en la Universidad de Sevilla, con la categoría profesional de director de servicio habilitado, desarrollando sus funciones como subdirector de la unidad técnica de orientación e inserción profesional. Ante la sospecha de irregularidades en el cumplimiento de su jornada laboral, el director de recursos humanos decidió que el jefe de la unidad de seguridad articulase los medios precisos para determinar las horas de entrada y salida del demandante de su puesto de trabajo durante los meses de enero y febrero de 2006, para lo que debía valerse, si fuera necesario, de la información de las cámaras de video instaladas en los accesos a las dependencias.</w:t>
      </w:r>
    </w:p>
    <w:p w:rsidR="0026452D" w:rsidRDefault="0026452D" w:rsidP="0026452D">
      <w:pPr>
        <w:pStyle w:val="TextoNormal"/>
      </w:pPr>
    </w:p>
    <w:p w:rsidR="0026452D" w:rsidRDefault="0026452D" w:rsidP="0026452D">
      <w:pPr>
        <w:pStyle w:val="TextoNormal"/>
      </w:pPr>
      <w:r>
        <w:t>b) La Universidad de Sevilla tiene concedida autorización administrativa de la Agencia Española de Protección de Datos para, entre otros fines, el control de acceso de las personas de la comunidad universitaria y del personal de empresas externas a sus campus y centros. En virtud de dicha autorización tiene instaladas varias cámaras de vídeo-grabación (fijas y móviles) en los accesos al recinto de la sede sita en la antigua Fábrica de Tabacos, con la debida señalización y advertencia públicas; y, concretamente, dos cámaras de videograbación en los dos únicos accesos directos a la oficina donde el señor Fraile presta sus servicios.</w:t>
      </w:r>
    </w:p>
    <w:p w:rsidR="0026452D" w:rsidRDefault="0026452D" w:rsidP="0026452D">
      <w:pPr>
        <w:pStyle w:val="TextoNormal"/>
      </w:pPr>
    </w:p>
    <w:p w:rsidR="0026452D" w:rsidRDefault="0026452D" w:rsidP="0026452D">
      <w:pPr>
        <w:pStyle w:val="TextoNormal"/>
      </w:pPr>
      <w:r>
        <w:lastRenderedPageBreak/>
        <w:t>c) En las hojas de control de asistencia de su unidad administrativa, correspondientes a los meses de enero y febrero de 2006, el trabajador consignó y firmó cada día como momento de entrada las 8:00 horas y, de salida, las 15:00 horas. Gracias al control realizado se pudo constatar, en cambio, que permaneció en las dependencias de su unidad en horarios muy diferentes a los señalados en tales hojas, acreditándose en la mayor parte de los días laborables (cerca de una treintena, según concretan los hechos probados de las resoluciones recurridas) una demora variable en la hora de entrada al trabajo de entre treinta minutos y varias horas.</w:t>
      </w:r>
    </w:p>
    <w:p w:rsidR="0026452D" w:rsidRDefault="0026452D" w:rsidP="0026452D">
      <w:pPr>
        <w:pStyle w:val="TextoNormal"/>
      </w:pPr>
    </w:p>
    <w:p w:rsidR="0026452D" w:rsidRDefault="0026452D" w:rsidP="0026452D">
      <w:pPr>
        <w:pStyle w:val="TextoNormal"/>
      </w:pPr>
      <w:r>
        <w:t>d) En febrero de 2006 el recurrente pidió licencia por asuntos particulares para los días 16, 17, 20, 21 y 22 de ese mes y se ausentó de su puesto de trabajo en dichas fechas. El permiso le fue denegado, aunque la decisión se le comunicó a través de correo electrónico el mismo día en el que se iniciaba el período de ausencia solicitado.</w:t>
      </w:r>
    </w:p>
    <w:p w:rsidR="0026452D" w:rsidRDefault="0026452D" w:rsidP="0026452D">
      <w:pPr>
        <w:pStyle w:val="TextoNormal"/>
      </w:pPr>
    </w:p>
    <w:p w:rsidR="0026452D" w:rsidRDefault="0026452D" w:rsidP="0026452D">
      <w:pPr>
        <w:pStyle w:val="TextoNormal"/>
      </w:pPr>
      <w:r>
        <w:t>e) En marzo de 2006 se acordó la incoación de un expediente disciplinario. Por resolución rectoral de 31 de mayo de 2006 se le impusieron tres sanciones de suspensión de empleo y sueldo de tres meses cada una, por la comisión de tres faltas muy graves, a saber: faltas reiteradas e injustificadas de puntualidad en la entrada al trabajo durante diez o más días en un mes, cometidas los meses de enero y febrero de 2006 [art. 54.2 a) del Real Decreto Legislativo 1/1995, de 24 de marzo, que aprueba el texto refundido de la Ley del estatuto de los trabajadores (LET) y apartado 1.C.8 del anexo III del convenio colectivo aplicable]; trasgresión de la buena fe contractual y abuso de confianza, consistente en hacer constar en las hojas de control de asistencia una hora de entrada al trabajo que no se corresponde con la real [art. 54.2 d) LET y apartado 1.C 4 del anexo III del convenio colectivo]; y faltas de asistencia injustificadas al trabajo durante más de tres días en un mes, cometidas los días 16, 17, 20, 21 y 22 de febrero de 2006 [art. 54.2 a) LET y apartado 1.C 7 del anexo III del convenio colectivo].</w:t>
      </w:r>
    </w:p>
    <w:p w:rsidR="0026452D" w:rsidRDefault="0026452D" w:rsidP="0026452D">
      <w:pPr>
        <w:pStyle w:val="TextoNormal"/>
      </w:pPr>
    </w:p>
    <w:p w:rsidR="0026452D" w:rsidRDefault="0026452D" w:rsidP="0026452D">
      <w:pPr>
        <w:pStyle w:val="TextoNormal"/>
      </w:pPr>
      <w:r>
        <w:t>f) No conforme con ello presentó reclamación previa, que fue expresamente desestimada mediante resolución de 27 de julio de 2006, interponiendo después la demanda origen de las actuaciones judiciales, dirigida contra las tres sanciones reseñadas. Entre otros muchos extremos, el demandante manifestaba que en el expediente disciplinario se preconstituyó ilegalmente la prueba mediante la utilización de las grabaciones video-gráficas realizadas desde el día 9 de enero de 2006, pese a no existir autorización expresa para tal control laboral, ni explicación de ese seguimiento individualizado.</w:t>
      </w:r>
    </w:p>
    <w:p w:rsidR="0026452D" w:rsidRDefault="0026452D" w:rsidP="0026452D">
      <w:pPr>
        <w:pStyle w:val="TextoNormal"/>
      </w:pPr>
    </w:p>
    <w:p w:rsidR="0026452D" w:rsidRDefault="0026452D" w:rsidP="0026452D">
      <w:pPr>
        <w:pStyle w:val="TextoNormal"/>
      </w:pPr>
      <w:r>
        <w:t>Queda acreditado que el actor solicitó, sin éxito, la inadmisión de la prueba video-gráfica controvertida; que dichas grabaciones no se visualizaron en el acto del juicio (ya que abarcaban las veinticuatro horas de cada uno de los días laborables de los casi dos meses durante los que se extendió el control) y que, no obstante, su contenido fue objeto de la prueba testifical del director de recursos humanos, del jefe de seguridad y de un vigilante, que fundaron sus testimonios en lo que vieron y apreciaron en las mismas. Con base en esas declaraciones y en los razonamientos jurídicos que expondremos a continuación, la Sentencia de 5 de septiembre de 2007 del Juzgado de lo Social núm. 3 de Sevilla desestimó la impugnación de las sanciones.</w:t>
      </w:r>
    </w:p>
    <w:p w:rsidR="0026452D" w:rsidRDefault="0026452D" w:rsidP="0026452D">
      <w:pPr>
        <w:pStyle w:val="TextoNormal"/>
      </w:pPr>
    </w:p>
    <w:p w:rsidR="0026452D" w:rsidRDefault="0026452D" w:rsidP="0026452D">
      <w:pPr>
        <w:pStyle w:val="TextoNormal"/>
      </w:pPr>
      <w:r>
        <w:t xml:space="preserve">Como cuestión previa examinaba la validez de la prueba video-gráfica, cuya nulidad solicitaba la parte demandante. El juzgador destaca que la Universidad de Sevilla cuenta con </w:t>
      </w:r>
      <w:r>
        <w:lastRenderedPageBreak/>
        <w:t>hasta diecinueve autorizaciones de la Agencia Española de Protección de Datos para hacer uso de los soportes informáticos o ficheros grabados por sus videocámaras, entre ellas una dirigida (que identifica con el número dieciséis) al control de acceso de las personas de la comunidad universitaria y el personal de empresas externas a los campus y centros. Considerando que el actor forma parte de la comunidad universitaria, ya que tal concepto no debe limitarse a profesores y alumnos, sino extenderse a todos cuantos forman parte de la Universidad, entre ellos el personal directivo, funcionario y laboral, declara que “no puede compartirse la apreciación de que la demandada carece de autorización para controlar por video-vigilancia la entrada al trabajo del personal laboral a su servicio, razón por la cual cae por su propio peso la argumentación en que se basa la invocada vulneración constitucional”, que formulaba el recurrente de amparo al amparo del art. 18 CE. Añadía a lo anterior, de otra parte, que el uso que se hizo de los medios técnicos de videograbación y de sus soportes informáticos respetó el principio de proporcionalidad exigido por la doctrina constitucional para toda medida restrictiva de los derechos fundamentales, al concurrir los requisitos de idoneidad, necesidad y proporcionalidad en sentido estricto que dicha doctrina establece, “[p]ues la comprobación, mediante visualización de las grabaciones, de si el actor entraba en la dependencia donde tiene su despacho u oficina a la hora establecida es una medida idónea para conseguir el objetivo propuesto; además, era una medida necesaria, por no existir otra más moderada y razonable para efectuar dicho control de asistencia, sobre todo ante la sospecha de que los partes de firma de entrada y salida, que los propios trabajadores cumplimentaban, estuviesen siendo falsificados; y no se alcanza a entender que cause más perjuicios a otros bienes o valores constitucionales en conflicto que beneficios para el interés general se deriven de ello, pues las cámaras están instaladas en vestíbulos o zonas de paso públicos y no en recintos cerrados o reservados al trabajador donde éste pueda presumir que dispone de un ámbito de intimidad digno de protección”.</w:t>
      </w:r>
    </w:p>
    <w:p w:rsidR="0026452D" w:rsidRDefault="0026452D" w:rsidP="0026452D">
      <w:pPr>
        <w:pStyle w:val="TextoNormal"/>
      </w:pPr>
    </w:p>
    <w:p w:rsidR="0026452D" w:rsidRDefault="0026452D" w:rsidP="0026452D">
      <w:pPr>
        <w:pStyle w:val="TextoNormal"/>
      </w:pPr>
      <w:r>
        <w:t>Una vez rechazada tal objeción, entra la Sentencia a conocer del fondo del asunto. Declara que las dos primeras faltas imputadas se acreditaron con la prueba testifical. Sin embargo, anula la sanción correspondiente a la falta impuesta por la ausencia de los días 16, 17, 20, 21 y 22 de febrero de 2006, de conformidad con lo dispuesto en el convenio colectivo aplicable.</w:t>
      </w:r>
    </w:p>
    <w:p w:rsidR="0026452D" w:rsidRDefault="0026452D" w:rsidP="0026452D">
      <w:pPr>
        <w:pStyle w:val="TextoNormal"/>
      </w:pPr>
    </w:p>
    <w:p w:rsidR="0026452D" w:rsidRDefault="0026452D" w:rsidP="0026452D">
      <w:pPr>
        <w:pStyle w:val="TextoNormal"/>
      </w:pPr>
      <w:r>
        <w:t xml:space="preserve">g) La resolución de instancia fue recurrida en suplicación por ambas partes. Tras rechazar en el fundamento de Derecho segundo el recurso de la Universidad, que impugnaba la anulación de la sanción dejada sin efecto por el juzgador </w:t>
      </w:r>
      <w:r w:rsidRPr="0026452D">
        <w:rPr>
          <w:i/>
        </w:rPr>
        <w:t>a quo</w:t>
      </w:r>
      <w:r>
        <w:t xml:space="preserve">, se ocupa la Sala de lo Social de Sevilla del Tribunal Superior de Justicia de Andalucía, en su Sentencia de 5 de mayo de 2009, del recurso del señor Fraile. Con carácter previo al examen de los motivos articulados, advierte que se han unido al rollo de Sala varios documentos presentados por el actor con posterioridad a la formalización de su recurso: escritos acompañados de fotocopias del “Boletín Oficial de la Junta de Andalucía” conteniendo la resolución de 5 de marzo de 2008 de la Universidad de Sevilla (posterior, por tanto, a los hechos) por la que se crean ficheros automatizados de datos de carácter personal y, asimismo, los relativos al inicio y resolución de un expediente instruido por la Agencia Española de Protección de Datos, en virtud de denuncia del señor Fraile como consecuencia de la imposición de las sanciones enjuiciadas en el proceso, y en los que consta que la Agencia Española de Protección de Datos resolvió que la Universidad de Sevilla infringió en este caso lo dispuesto en el art.5 de la Ley Orgánica 15/1999, de 13 de diciembre, de protección de datos de carácter personal (LOPD). Señala la Sentencia, sin embargo, que no tendrá en cuenta tales documentos pues en nada </w:t>
      </w:r>
      <w:r>
        <w:lastRenderedPageBreak/>
        <w:t>podrían incidir en la solución del recurso, “porque la citada resolución sólo imputa a la Universidad la falta de información prevista en dicho art. 5, y por ello no se puede deducir que de tales documentos sea nula de pleno derecho la prueba videográfica que, junto con la prueba testifical, ha sido determinante para la imposición de las sanciones que se combaten en estos autos”.</w:t>
      </w:r>
    </w:p>
    <w:p w:rsidR="0026452D" w:rsidRDefault="0026452D" w:rsidP="0026452D">
      <w:pPr>
        <w:pStyle w:val="TextoNormal"/>
      </w:pPr>
    </w:p>
    <w:p w:rsidR="0026452D" w:rsidRDefault="0026452D" w:rsidP="0026452D">
      <w:pPr>
        <w:pStyle w:val="TextoNormal"/>
      </w:pPr>
      <w:r>
        <w:t xml:space="preserve">Desde el plano de la eventual ilegalidad de la prueba video-gráfica por falta de autorización administrativa específica para su empleo en el control de la asistencia al trabajo, la Sentencia se remite a lo resuelto por el juzgador </w:t>
      </w:r>
      <w:r w:rsidRPr="0026452D">
        <w:rPr>
          <w:i/>
        </w:rPr>
        <w:t>a quo</w:t>
      </w:r>
      <w:r>
        <w:t>, y declara, adicionalmente, que no son de aplicación los pronunciamientos del Tribunal Constitucional invocados, referidos “a la utilización de aparatos de escucha, dispositivos ópticos o de cualquier otro medio para el conocimiento de la vida íntima de las personas, toda vez que la cámara aquí utilizada se encontraba en el vestíbulo que daba acceso al puesto de trabajo del actor, sin grabar por tanto ningún aspecto intimo que afectase a su esfera personal”.</w:t>
      </w:r>
    </w:p>
    <w:p w:rsidR="0026452D" w:rsidRDefault="0026452D" w:rsidP="0026452D">
      <w:pPr>
        <w:pStyle w:val="TextoNormal"/>
      </w:pPr>
    </w:p>
    <w:p w:rsidR="0026452D" w:rsidRDefault="0026452D" w:rsidP="0026452D">
      <w:pPr>
        <w:pStyle w:val="TextoNormal"/>
      </w:pPr>
      <w:r>
        <w:t>Resueltas esas cuestiones previas, rechaza la Sala, en primer lugar, las impugnaciones de carácter fáctico (por su defectuosa formulación, por mezclar cuestiones de hecho con infracción de normas y garantías del procedimiento, o por estar fundadas en documentos ineficaces a efectos revisores). De otra parte, en los motivos dedicados al examen del Derecho aplicado, razona que el art. 54.2 d) del estatuto de los trabajadores puede justificar las decisiones sancionatorias adoptadas, aunque tal precepto haga formalmente referencia al despido, resaltando que, en realidad, es el convenio colectivo aplicado el que regula las faltas y sanciones para los trabajadores de la Universidad de Sevilla.</w:t>
      </w:r>
    </w:p>
    <w:p w:rsidR="0026452D" w:rsidRDefault="0026452D" w:rsidP="0026452D">
      <w:pPr>
        <w:pStyle w:val="TextoNormal"/>
      </w:pPr>
    </w:p>
    <w:p w:rsidR="0026452D" w:rsidRDefault="0026452D" w:rsidP="0026452D">
      <w:pPr>
        <w:pStyle w:val="TextoNormal"/>
      </w:pPr>
      <w:r>
        <w:t>Ambos recursos, por tanto, fueron desestimados.</w:t>
      </w:r>
    </w:p>
    <w:p w:rsidR="0026452D" w:rsidRDefault="0026452D" w:rsidP="0026452D">
      <w:pPr>
        <w:pStyle w:val="TextoNormal"/>
      </w:pPr>
    </w:p>
    <w:p w:rsidR="0026452D" w:rsidRDefault="0026452D" w:rsidP="0026452D">
      <w:pPr>
        <w:pStyle w:val="TextoNormal"/>
      </w:pPr>
      <w:r>
        <w:t>h) El actor interpuso entonces incidente de nulidad de actuaciones, al amparo del art. 241 de la Ley Orgánica del Poder Judicial (LOPJ), rechazado por Auto de 22 de septiembre de 2009.</w:t>
      </w:r>
    </w:p>
    <w:p w:rsidR="0026452D" w:rsidRDefault="0026452D" w:rsidP="0026452D">
      <w:pPr>
        <w:pStyle w:val="TextoNormal"/>
      </w:pPr>
    </w:p>
    <w:p w:rsidR="0026452D" w:rsidRDefault="0026452D" w:rsidP="0026452D">
      <w:pPr>
        <w:pStyle w:val="TextoNormal"/>
      </w:pPr>
      <w:r>
        <w:t>i) Según hemos indicado en los apartados anteriores, la sentencia dictada en el grado jurisdiccional de suplicación pone de manifiesto que, como acreditarían los documentos aportados por el trabajador, la Agencia Española de Protección de Datos declaró que la Universidad de Sevilla infringió en este caso lo dispuesto en el art. 5 LOPD.</w:t>
      </w:r>
    </w:p>
    <w:p w:rsidR="0026452D" w:rsidRDefault="0026452D" w:rsidP="0026452D">
      <w:pPr>
        <w:pStyle w:val="TextoNormal"/>
      </w:pPr>
    </w:p>
    <w:p w:rsidR="0026452D" w:rsidRDefault="0026452D" w:rsidP="0026452D">
      <w:pPr>
        <w:pStyle w:val="TextoNormal"/>
      </w:pPr>
      <w:r>
        <w:t xml:space="preserve">Así se desprende, en efecto, de las actuaciones. Obra en ellas la denuncia interpuesta ante la Agencia Española de Protección de Datos por el señor Fraile en junio de 2007; el Acuerdo de inicio de procedimiento de declaración de infracción y la resolución 00987/2008, de 1 de septiembre de 2008, que aprecia la infracción. En sus antecedentes se recogen las actuaciones inspectoras y las alegaciones de la parte denunciante. Asimismo, plasma las alegaciones de la universidad, que aducía la prescripción de la infracción y el cumplimiento del deber de información del art. 5 LOPD, dado que las zonas video-vigiladas con “cámaras de vigilancia y seguridad como medida de seguridad pública en un lugar tan abierto al público” contenían “distintivos informativos, colocados en distintas puertas de acceso a la Universidad, acerca de la existencia de dichas cámaras perfectamente visible por todos”. Finalmente, enumeran los antecedentes de la resolución las pruebas que la instructora del procedimiento acordó practicar, señalando con relación a éstas que la Universidad de Sevilla aportó un comunicado del servicio de mantenimiento en el que se indicaba la fecha de colocación de </w:t>
      </w:r>
      <w:r>
        <w:lastRenderedPageBreak/>
        <w:t>carteles anunciadores de las cámaras de video-vigilancia, “pero no respondió a las cuestiones planteadas por la instructora del procedimiento relativas a la notificación al personal de dicha Universidad sobre que imágenes grabadas por el sistema de vídeo vigilancia podrían ser utilizadas para el sistema de control horario de sus trabajadores”, de lo que infiere en el apartado de hechos probados que la Universidad de Sevilla no ha podido acreditar que hubiera informado al personal de dicha Universidad sobre la utilización de las imágenes para ese fin.</w:t>
      </w:r>
    </w:p>
    <w:p w:rsidR="0026452D" w:rsidRDefault="0026452D" w:rsidP="0026452D">
      <w:pPr>
        <w:pStyle w:val="TextoNormal"/>
      </w:pPr>
    </w:p>
    <w:p w:rsidR="0026452D" w:rsidRDefault="0026452D" w:rsidP="0026452D">
      <w:pPr>
        <w:pStyle w:val="TextoNormal"/>
      </w:pPr>
      <w:r>
        <w:t>En los fundamentos de Derecho, además de insistirse en la circunstancia anterior, se enuncia el siguiente criterio: aunque la existencia de una relación laboral justifica la obtención, cesión y tratamiento de datos personales sin necesidad de consentimiento, de conformidad con lo dispuesto en el art. 6.2 LOPD, incluidos los datos relativos al cumplimiento de la jornada laboral, era obligado informar previamente a los trabajadores, lo que no se hizo, incumpliéndose con ello el deber regulado en el art. 5 LOPD, al procederse a la recogida de los datos sin proporcionar la información que ese precepto requiere. De ahí que la resolución de la Agencia Española de Protección de Datos declare que la Universidad de Sevilla ha incumplido lo prescrito en la Ley Orgánica de protección de datos, y le requiera para que adopte “las medidas de orden interno que impidan que en el futuro pueda producirse una nueva infracción del artículo 5 de la LOPD”.</w:t>
      </w:r>
    </w:p>
    <w:p w:rsidR="0026452D" w:rsidRDefault="0026452D" w:rsidP="0026452D">
      <w:pPr>
        <w:pStyle w:val="TextoNormal"/>
      </w:pPr>
    </w:p>
    <w:p w:rsidR="0026452D" w:rsidRDefault="0026452D" w:rsidP="0026452D">
      <w:pPr>
        <w:pStyle w:val="TextoNormal"/>
      </w:pPr>
      <w:r w:rsidRPr="0026452D">
        <w:rPr>
          <w:rStyle w:val="NumeroAFNegritaCaracter"/>
        </w:rPr>
        <w:t>3</w:t>
      </w:r>
      <w:r>
        <w:t>. El demandante de amparo dirige sus quejas indistintamente —en ocasiones las entrelaza y proyecta de modo desordenado a las diferentes resoluciones— contra la inicial actuación instructora en el expediente sancionador, la Sentencia de instancia, la de suplicación y el Auto resolutorio del incidente de nulidad de actuaciones del art. 241 LOPJ. Invoca una serie de hechos que no han sido declarados probados, como la falta de ocupación efectiva y aislamiento laboral, o las consecuencias que esas vicisitudes tuvieron presuntamente en su salud. Vincula todo ello a una lesión del derecho a la tutela judicial efectiva por motivación arbitraria e incongruencia de las resoluciones judiciales (art. 24.1 CE), y aprecia lesión del mismo derecho por otras razones añadidas, que se plasman en el recurso de manera vaga e imprecisa o a modo reiterativo de otras quejas que se articulan en la demanda, como las referidas a la validez de las grabaciones o a la indefensión causada por la limitación de los medios de prueba en la instrucción del expediente y en el proceso judicial.</w:t>
      </w:r>
    </w:p>
    <w:p w:rsidR="0026452D" w:rsidRDefault="0026452D" w:rsidP="0026452D">
      <w:pPr>
        <w:pStyle w:val="TextoNormal"/>
      </w:pPr>
    </w:p>
    <w:p w:rsidR="0026452D" w:rsidRDefault="0026452D" w:rsidP="0026452D">
      <w:pPr>
        <w:pStyle w:val="TextoNormal"/>
      </w:pPr>
      <w:r>
        <w:t xml:space="preserve">En relación con esto último, en efecto, el segundo motivo del recurso aduce la vulneración del derecho a utilizar los medios de prueba (art. 24.2 CE), que traduce en cuatro puntos: 1) la expresa negativa del juzgador de instancia a valorar la prueba pericial médica aportada; 2) la falta de garantías en la instrucción y tramitación del expediente disciplinario, debido a que la Universidad de Sevilla no le permitió acceder a las grabaciones realizadas; 3) la negativa del juzgador de instancia a comprobar en el acto del juicio el contenido de la prueba video-gráfica, a pesar de haberla admitido previamente, y su resistencia a satisfacer la solicitud de dirigir oficio al Director de la Agencia Española de Protección de Datos al objeto de probar que la Universidad de Sevilla no tenía autorización administrativa para hacer uso de los ficheros donde almacenaba las imágenes del control laboral de los trabajadores; así como, para terminar, 4) la desatención por parte del Tribunal Superior de Justicia del valor que poseía la prueba sobrevenida, constituida por la resolución de 5 de marzo de 2008 que crea el fichero de la Universidad de Sevilla y permite a ésta hacer uso de las cámaras de vigilancias instaladas, circunstancia que probaría —dice— su alegato, dado que demuestra </w:t>
      </w:r>
      <w:r>
        <w:lastRenderedPageBreak/>
        <w:t>que no existía tal autorización en la fecha de los hechos. Relata, además, otra serie de elementos (manipulación de imágenes, acceso a las mismas por terceros no autorizados o incidencia de esas prácticas en la seguridad) sobre los que ni existen hechos declarados probados ni se concretan con claridad pretensiones en el recurso de amparo.</w:t>
      </w:r>
    </w:p>
    <w:p w:rsidR="0026452D" w:rsidRDefault="0026452D" w:rsidP="0026452D">
      <w:pPr>
        <w:pStyle w:val="TextoNormal"/>
      </w:pPr>
    </w:p>
    <w:p w:rsidR="0026452D" w:rsidRDefault="0026452D" w:rsidP="0026452D">
      <w:pPr>
        <w:pStyle w:val="TextoNormal"/>
      </w:pPr>
      <w:r>
        <w:t>En tercer lugar, denuncia la vulneración del derecho a la dignidad (art. 10 CE), que resultaría lesionado por el seguimiento visual e individualizado al trabajador, y del derecho a la integridad física y moral, consagrado en el art. 15 CE, por la situación de hostigamiento que el trabajador sufrió en su prestación laboral y los efectos que tuvo en su salud, todo lo cual, cuando se concreta como queja en el recurso, desemboca sin embargo en la misma pretensión antes enunciada, referida a la denegación de medios de prueba.</w:t>
      </w:r>
    </w:p>
    <w:p w:rsidR="0026452D" w:rsidRDefault="0026452D" w:rsidP="0026452D">
      <w:pPr>
        <w:pStyle w:val="TextoNormal"/>
      </w:pPr>
    </w:p>
    <w:p w:rsidR="0026452D" w:rsidRDefault="0026452D" w:rsidP="0026452D">
      <w:pPr>
        <w:pStyle w:val="TextoNormal"/>
      </w:pPr>
      <w:r>
        <w:t>Finalmente, invoca los derechos fundamentales de los arts. 18.1 y 4 CE. A su criterio, el tratamiento de las imágenes del trabajador obtenidas con las grabaciones ha vulnerado su derecho fundamental a la autotutela informativa, ya que no se le ha facilitado información sobre la video-vigilancia, lesión que apoya en la doctrina sentada en la STC 292/2000, de 30 de noviembre, que parcialmente reproduce.</w:t>
      </w:r>
    </w:p>
    <w:p w:rsidR="0026452D" w:rsidRDefault="0026452D" w:rsidP="0026452D">
      <w:pPr>
        <w:pStyle w:val="TextoNormal"/>
      </w:pPr>
    </w:p>
    <w:p w:rsidR="0026452D" w:rsidRDefault="0026452D" w:rsidP="0026452D">
      <w:pPr>
        <w:pStyle w:val="TextoNormal"/>
      </w:pPr>
      <w:r w:rsidRPr="0026452D">
        <w:rPr>
          <w:rStyle w:val="NumeroAFNegritaCaracter"/>
        </w:rPr>
        <w:t>4</w:t>
      </w:r>
      <w:r>
        <w:t>. En virtud de providencia de la Sala Primera, de 2 de diciembre de 2010, se acordó la admisión a trámite de la demanda de amparo, solicitándose la certificación o fotocopia adverada de las actuaciones a los órganos judiciales que intervinieron en los diferentes grados jurisdiccionales, antes citados, así como la práctica de los emplazamientos correspondientes.</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en este Tribunal el día 7 de enero de 2011, el Procurador don Eduardo Codes Feijoo solicitó que se le tuviera por personado en nombre y representación de la Universidad de Sevilla.</w:t>
      </w:r>
    </w:p>
    <w:p w:rsidR="0026452D" w:rsidRDefault="0026452D" w:rsidP="0026452D">
      <w:pPr>
        <w:pStyle w:val="TextoNormal"/>
      </w:pPr>
    </w:p>
    <w:p w:rsidR="0026452D" w:rsidRDefault="0026452D" w:rsidP="0026452D">
      <w:pPr>
        <w:pStyle w:val="TextoNormal"/>
      </w:pPr>
      <w:r w:rsidRPr="0026452D">
        <w:rPr>
          <w:rStyle w:val="NumeroAFNegritaCaracter"/>
        </w:rPr>
        <w:t>6</w:t>
      </w:r>
      <w:r>
        <w:t>. Por diligencia de ordenación de la Secretaría de Justicia de la Sección Segunda de este Tribunal, de 26 de enero de 2011, se tuvieron por recibidos los testimonios de las actuaciones y el escrito del Procurador don Eduardo Codes Feijoo, a quien se tuvo por personado y parte en la representación que ostenta, acordándose abrir el plazo común de veinte días al Ministerio Fiscal y a las partes personadas, de conformidad con el art. 52 Ley Orgánica del Tribunal Constitucional (LOTC), para que pudieran presentar las alegaciones que a su derecho conviniere.</w:t>
      </w:r>
    </w:p>
    <w:p w:rsidR="0026452D" w:rsidRDefault="0026452D" w:rsidP="0026452D">
      <w:pPr>
        <w:pStyle w:val="TextoNormal"/>
      </w:pPr>
    </w:p>
    <w:p w:rsidR="0026452D" w:rsidRDefault="0026452D" w:rsidP="0026452D">
      <w:pPr>
        <w:pStyle w:val="TextoNormal"/>
      </w:pPr>
      <w:r w:rsidRPr="0026452D">
        <w:rPr>
          <w:rStyle w:val="NumeroAFNegritaCaracter"/>
        </w:rPr>
        <w:t>7</w:t>
      </w:r>
      <w:r>
        <w:t>. La Universidad de Sevilla evacuó el trámite de alegaciones el día 28 febrero de 2011. Opone con carácter previo el óbice procesal de falta de agotamiento de la vía judicial [art. 44.1 a) LOTC], por no haberse interpuesto contra la Sentencia de suplicación el correspondiente recurso de casación para la unificación de doctrina, a pesar de que la posibilidad de formalizarlo se señalaba en la instrucción de recursos.</w:t>
      </w:r>
    </w:p>
    <w:p w:rsidR="0026452D" w:rsidRDefault="0026452D" w:rsidP="0026452D">
      <w:pPr>
        <w:pStyle w:val="TextoNormal"/>
      </w:pPr>
    </w:p>
    <w:p w:rsidR="0026452D" w:rsidRDefault="0026452D" w:rsidP="0026452D">
      <w:pPr>
        <w:pStyle w:val="TextoNormal"/>
      </w:pPr>
      <w:r>
        <w:t xml:space="preserve">Resalta que los hechos que alega la demanda no se corresponden con los declarados probados, y que el proceso </w:t>
      </w:r>
      <w:r w:rsidRPr="0026452D">
        <w:rPr>
          <w:i/>
        </w:rPr>
        <w:t>a quo</w:t>
      </w:r>
      <w:r>
        <w:t xml:space="preserve"> tenía exclusivamente por objeto la resolución rectoral de 31 de mayo de 2006, que acordaba las sanciones de suspensión de empleo y sueldo. En relación con lo efectivamente enjuiciado, considera que los hechos que motivaron la incoación y </w:t>
      </w:r>
      <w:r>
        <w:lastRenderedPageBreak/>
        <w:t>resolución del expediente disciplinario fueron suficientemente descritos en cuanto a su origen, circunstancias y fechas, pudiendo ser rebatidos, lo que nunca llegó a hacer el recurrente, que pretendió justificar las sanciones en una especie de persecución que nada o poco tiene que ver con el control horario.</w:t>
      </w:r>
    </w:p>
    <w:p w:rsidR="0026452D" w:rsidRDefault="0026452D" w:rsidP="0026452D">
      <w:pPr>
        <w:pStyle w:val="TextoNormal"/>
      </w:pPr>
    </w:p>
    <w:p w:rsidR="0026452D" w:rsidRDefault="0026452D" w:rsidP="0026452D">
      <w:pPr>
        <w:pStyle w:val="TextoNormal"/>
      </w:pPr>
      <w:r>
        <w:t>A su juicio, la alegación relativa al art. 24.1 CE confunde el recurso de amparo con una tercera instancia dentro de la jurisdicción ordinaria, cuando lo cierto es que no existe incongruencia ni otros déficits en las resoluciones judiciales recurridas. Al contrario, éstas motivaron suficientemente sus respectivas partes dispositivas, de las que se podrá discrepar pero en ningún caso tachar de irrazonables ni incursas en infracción de ninguno de los derechos fundamentales que se invocan.</w:t>
      </w:r>
    </w:p>
    <w:p w:rsidR="0026452D" w:rsidRDefault="0026452D" w:rsidP="0026452D">
      <w:pPr>
        <w:pStyle w:val="TextoNormal"/>
      </w:pPr>
    </w:p>
    <w:p w:rsidR="0026452D" w:rsidRDefault="0026452D" w:rsidP="0026452D">
      <w:pPr>
        <w:pStyle w:val="TextoNormal"/>
      </w:pPr>
      <w:r w:rsidRPr="0026452D">
        <w:rPr>
          <w:rStyle w:val="NumeroAFNegritaCaracter"/>
        </w:rPr>
        <w:t>8</w:t>
      </w:r>
      <w:r>
        <w:t>. El Fiscal ante el Tribunal Constitucional presentó sus alegaciones mediante escrito registrado el día 8 de marzo de 2011, interesando la denegación del amparo.</w:t>
      </w:r>
    </w:p>
    <w:p w:rsidR="0026452D" w:rsidRDefault="0026452D" w:rsidP="0026452D">
      <w:pPr>
        <w:pStyle w:val="TextoNormal"/>
      </w:pPr>
    </w:p>
    <w:p w:rsidR="0026452D" w:rsidRDefault="0026452D" w:rsidP="0026452D">
      <w:pPr>
        <w:pStyle w:val="TextoNormal"/>
      </w:pPr>
      <w:r>
        <w:t xml:space="preserve">Comienza con una reflexión sobre el encuadramiento del recurso. En su opinión, lo que se somete a debate es una serie de sanciones impuestas en una relación laboral concertada entre un trabajador y un organismo público que actúa como empresario; un organismo que no interviene con </w:t>
      </w:r>
      <w:r w:rsidRPr="0026452D">
        <w:rPr>
          <w:i/>
        </w:rPr>
        <w:t>potestas</w:t>
      </w:r>
      <w:r>
        <w:t>, ni llega a concluir, en consecuencia, un acto administrativo en sentido propio. El rectorado ejerce el poder disciplinario del empleador, al amparo de la legislación laboral y el IV Convenio colectivo de personal laboral de las universidades de Andalucía, circunstancia que sitúa el recurso en el art. 44 LOTC, no en el del art. 43 LOTC, y excluye la declaración de una lesión constitucional por infracciones en la sustanciación del expediente disciplinario de origen. No obstante, realiza consideraciones sobre la hipótesis alternativa, por si el Tribunal no compartiera aquel encuadramiento que sugiere, y afirma que podrían haberse producido vulneraciones de los arts. 24.1 y 24.2 CE (indefensión y derecho a la utilización de los medios de prueba) en la instrucción del expediente, ya que en su tramitación no se pusieron a disposición del interesado las grabaciones controvertidas.</w:t>
      </w:r>
    </w:p>
    <w:p w:rsidR="0026452D" w:rsidRDefault="0026452D" w:rsidP="0026452D">
      <w:pPr>
        <w:pStyle w:val="TextoNormal"/>
      </w:pPr>
    </w:p>
    <w:p w:rsidR="0026452D" w:rsidRDefault="0026452D" w:rsidP="0026452D">
      <w:pPr>
        <w:pStyle w:val="TextoNormal"/>
      </w:pPr>
      <w:r>
        <w:t>Centrado en lo acontecido en el proceso, no comparte la denuncia de vulneración del derecho a la prueba del artículo 24.2 CE. A su juicio, el actor no puede alegar la quiebra de ese derecho por la falta de visionado de las grabaciones en la instancia, que se debió, entre otras razones, a su propia indiligencia o desinterés, pues no solo no pidió dicha práctica sino que se opuso a que se admitiera el DVD correspondiente. En cuanto al derecho a la tutela judicial efectiva del artículo 24.1 CE, estima que se pretende la revisión de lo fallado por los órganos judiciales, convirtiendo al Tribunal Constitucional en una tercera instancia. Descarta asimismo la incidencia del caso en el derecho a la dignidad personal del art. 10 CE, que no constituye autónomamente un derecho fundamental susceptible de amparo.</w:t>
      </w:r>
    </w:p>
    <w:p w:rsidR="0026452D" w:rsidRDefault="0026452D" w:rsidP="0026452D">
      <w:pPr>
        <w:pStyle w:val="TextoNormal"/>
      </w:pPr>
    </w:p>
    <w:p w:rsidR="0026452D" w:rsidRDefault="0026452D" w:rsidP="0026452D">
      <w:pPr>
        <w:pStyle w:val="TextoNormal"/>
      </w:pPr>
      <w:r>
        <w:t xml:space="preserve">Acercándose seguidamente a la cuestión sustantiva, enuncia una premisa que más tarde proyectará a los diferentes derechos del art. 18 CE. A su parecer, el uso coyuntural de unas cámaras de seguridad para confirmar incumplimientos laborales, cuando ello se realiza de un modo tan levemente invasivo de la privacidad como en el caso de autos, no vulnera las previsiones constitucionales. Esto así, en cuanto al derecho a la intimidad (art. 18.1 CE), entiende que la captación y simultáneo registro de la imagen del actor por las cámaras de seguridad del edificio de la Universidad de Sevilla, reflejando su acceso al vestíbulo del centro universitario en diferentes fechas, no supondría acto alguno de injerencia en la vida íntima, sino la mera captación de la mecánica acción del diario acceso al lugar de trabajo </w:t>
      </w:r>
      <w:r>
        <w:lastRenderedPageBreak/>
        <w:t>que se desarrolla en un ámbito espacial público en presencia de todos y cada uno de quienes coetáneamente transitan por el referido lugar y realizan a su vez idéntica acción. Tampoco habría lesión del art. 18.1 CE desde el prisma del derecho a la propia imagen, que como derecho diferenciado protege ese precepto, dado que el mismo es susceptible de limitaciones si la propia y previa conducta del titular o las circunstancias en las que se encuentre inmerso justifican el descenso de las barreras de reserva, como sucedería cuando existe un interés por parte del empleador en ejercitar el poder de dirección reconocido expresamente en el art. 20.3 LET, que entre otras facultades atribuye la vigilancia y control del cumplimiento de las obligaciones laborales. En definitiva, hallándose justificado el seguimiento empresarial de la asistencia y puntualidad del trabajador, el uso de su imagen para comprobar tales extremos no constituye una actuación desproporcionada en relación con el fin perseguido.</w:t>
      </w:r>
    </w:p>
    <w:p w:rsidR="0026452D" w:rsidRDefault="0026452D" w:rsidP="0026452D">
      <w:pPr>
        <w:pStyle w:val="TextoNormal"/>
      </w:pPr>
    </w:p>
    <w:p w:rsidR="0026452D" w:rsidRDefault="0026452D" w:rsidP="0026452D">
      <w:pPr>
        <w:pStyle w:val="TextoNormal"/>
      </w:pPr>
      <w:r>
        <w:t>De forma mucho más detallada examina el derecho fundamental que se protege en el artículo 18.4 CE. Tras realizar un cuidado recorrido normativo y jurisprudencial, destaca que la toma sucesiva de las imágenes del actor y el empleo de los datos así obtenidos se desarrolló a lo largo de los meses de enero y febrero de 2006, con anterioridad por tanto a la entrada en vigor de la Instrucción 1/2006, de 8 de noviembre, de la Agencia Española de Protección de Datos, dictada con la finalidad de adecuar a la Ley Orgánica de protección de datos de carácter personal el tratamiento de datos personales con fines de vigilancia a través de sistemas de cámaras o videocámaras. Esas especificaciones de la Instrucción 1/2006, sin embargo, no se contenían en la normativa en vigor al tiempo de la incoación del expediente sancionador, habiéndose sometido la Universidad a las disposiciones generales entonces vigentes. En ese sentido, dice el Fiscal, pudiera entenderse que lo que hizo la resolución de la Agencia Española de Protección de Datos de 1 de septiembre de 2008, “es constatar la falta de comunicación a los interesados, pero no ya en los primeros meses de 2006, sino en el período comprendido entre la fecha de 12 de diciembre de 2006 (entrada en vigor de la Instrucción) y la de 5 de marzo 2008, que es cuando finalmente la Universidad de Sevilla obtiene la aprobación del nuevo fichero al que le obliga la Instrucción 1/2006”.</w:t>
      </w:r>
    </w:p>
    <w:p w:rsidR="0026452D" w:rsidRDefault="0026452D" w:rsidP="0026452D">
      <w:pPr>
        <w:pStyle w:val="TextoNormal"/>
      </w:pPr>
    </w:p>
    <w:p w:rsidR="0026452D" w:rsidRDefault="0026452D" w:rsidP="0026452D">
      <w:pPr>
        <w:pStyle w:val="TextoNormal"/>
      </w:pPr>
      <w:r>
        <w:t>En suma, a su parecer, la demandada procedió a la toma y grabación de imágenes en el vestíbulo del edificio por el que se accedía a las dependencias laborales con sujeción a lo dispuesto en la Ley Orgánica 15/1999, pues comunicó a la Agencia Española de Protección de Datos la existencia de un fichero genérico de control de accesos y colocó carteles en los que anunciaba la existencia de cámaras de seguridad. Y satisfechas esas cautelas, el empleo de las grabaciones para el fin de vigilancia de la actividad laboral constituye una medida idónea, en cuanto sirve al fin de comprobar el horario que el trabajador cumple diariamente; una medida necesaria, puesto que existe un interés por parte del empleador en ejercitar el poder de dirección reconocido expresamente en el art. 20 LET; y, finalmente, una medida proporcionada, ya que se produce dentro del debido respecto a la dignidad del trabajador y no se advierte una acción menos gravosa y de la que se obtenga igual resultado, sobre todo si se tiene en cuenta que el control manual de asistencia al centro (hojas de firmas) era un registro que dependía del propio demandante de amparo como una de las funciones asociadas a su puesto de trabajo, lo que excluía su aptitud para la verificación de su propia puntualidad.</w:t>
      </w:r>
    </w:p>
    <w:p w:rsidR="0026452D" w:rsidRDefault="0026452D" w:rsidP="0026452D">
      <w:pPr>
        <w:pStyle w:val="TextoNormal"/>
      </w:pPr>
    </w:p>
    <w:p w:rsidR="0026452D" w:rsidRDefault="0026452D" w:rsidP="0026452D">
      <w:pPr>
        <w:pStyle w:val="TextoNormal"/>
      </w:pPr>
      <w:r>
        <w:t>Por todo lo expuesto, interesa que se dicte Sentencia denegando el amparo pretendido.</w:t>
      </w:r>
    </w:p>
    <w:p w:rsidR="0026452D" w:rsidRDefault="0026452D" w:rsidP="0026452D">
      <w:pPr>
        <w:pStyle w:val="TextoNormal"/>
      </w:pPr>
    </w:p>
    <w:p w:rsidR="0026452D" w:rsidRDefault="0026452D" w:rsidP="0026452D">
      <w:pPr>
        <w:pStyle w:val="TextoNormal"/>
      </w:pPr>
      <w:r w:rsidRPr="0026452D">
        <w:rPr>
          <w:rStyle w:val="NumeroAFNegritaCaracter"/>
        </w:rPr>
        <w:t>9</w:t>
      </w:r>
      <w:r>
        <w:t>. El Procurador don Víctor García Montes no presentó escrito de alegaciones.</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7 de febrero de 2013 se señaló para la deliberación y votación de la presente Sentencia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Con carácter previo al examen de la pretensión de amparo aquí deducida, es necesario discernir cuál sea, en este caso, el acto del poder público frente al que el recurso se formula [art. 41.2 de la Ley Orgánica del Tribunal Constitucional (LOTC)]. La cuestión se ha suscitado por el Ministerio Fiscal en el trámite de alegaciones. Observa que la demanda se articula formalmente contra la Sentencia de 5 de mayo de 2009 de la Sala de lo Social de Sevilla del Tribunal Superior de Justicia de Andalucía, que desestimó el recurso de suplicación núm. 645-2008 interpuesto frente a la Sentencia de 5 de septiembre de 2007 del Juzgado de lo Social núm. 3 de Sevilla, dictada en el procedimiento núm. 665-2006 sobre impugnación de sanción, y contra el Auto de 22 de septiembre de 2009 de la misma Sala, que denegó la nulidad de la primera sentencia. Sin embargo, advierte que el recurrente también imputa las violaciones de derechos que denuncia a la decisión rectoral que acordó la sanción —resolución de 31 de mayo de 2006, por la que se le impusieron tres sanciones de suspensión de empleo y sueldo de tres meses cada una, por la comisión de tres faltas muy graves— y, antes aún, a las irregularidades que se habrían producido en la sustanciación del procedimiento disciplinario que concluyó en aquella resolución sancionadora. A pesar de dicha imputación plural, considera el Ministerio Fiscal que el recurso debe quedar encuadrado en el art. 44 LOTC, ya que en aquellas actuaciones la Universidad de Sevilla intervino como empleador, sin ejercer potestad pública alguna, sino antes bien, estrictamente, las facultades de orden jurídico-privado que le reconoce el ordenamiento laboral.</w:t>
      </w:r>
    </w:p>
    <w:p w:rsidR="0026452D" w:rsidRDefault="0026452D" w:rsidP="0026452D">
      <w:pPr>
        <w:pStyle w:val="TextoNormal"/>
      </w:pPr>
    </w:p>
    <w:p w:rsidR="0026452D" w:rsidRDefault="0026452D" w:rsidP="0026452D">
      <w:pPr>
        <w:pStyle w:val="TextoNormal"/>
      </w:pPr>
      <w:r>
        <w:t>Como dijéramos en un supuesto similar en la STC 6/1988, de 21 de enero, ese entendimiento del sentido de la acción de amparo es, efectivamente, el correcto. El acto público aquí impugnado (pues un acto público es preciso, según dispone aquel art. 41.2 LOTC) viene constituido por las Sentencias anteriormente mencionadas, resoluciones judiciales a las que, de ser cierto lo aducido en la demanda, habría que censurar la desprotección de los derechos fundamentales sustantivos del recurrente (en esencia, como razonaremos, el art. 18.4 CE), sin perjuicio de que, en esa hipótesis, la vulneración originaria o acto lesivo —que las resoluciones judiciales no habrían reparado y este Tribunal tendría que anular— se concrete en la decisión empresarial adoptada en el curso del expediente disciplinario laboral.</w:t>
      </w:r>
    </w:p>
    <w:p w:rsidR="0026452D" w:rsidRDefault="0026452D" w:rsidP="0026452D">
      <w:pPr>
        <w:pStyle w:val="TextoNormal"/>
      </w:pPr>
    </w:p>
    <w:p w:rsidR="0026452D" w:rsidRDefault="0026452D" w:rsidP="0026452D">
      <w:pPr>
        <w:pStyle w:val="TextoNormal"/>
      </w:pPr>
      <w:r>
        <w:t>Todo ello con independencia de que, según se ha expuesto en los antecedentes, a las resoluciones judiciales se les reprocha también en la demanda otras vulneraciones de derechos fundamentales, causadas directa o autónomamente en el proceso (arts. 24.1 y 24.2 CE, por supuesta indefensión y limitación del derecho a la prueba), que no son reiterativas de las que se dicen sufridas extrajudicialmente (esto es, en la relación empresario-trabajador). En cuanto a estas últimas, se debe recordar y aplicar al presente caso lo que ya dijera este Tribunal en su STC 47/1985, de 27 de marzo, FJ 5; esto es, que los órganos judiciales vienen obligados por el art. 53.2 de la Constitución a tutelar los derechos y libertades reseñados en dicha disposición. Esta garantía jurisdiccional se ha de dispensar, en asuntos como el actual, a través del procedimiento laboral y, caso de denegarse indebidamente, mediante la correspondiente acción de amparo constitucional.</w:t>
      </w:r>
    </w:p>
    <w:p w:rsidR="0026452D" w:rsidRDefault="0026452D" w:rsidP="0026452D">
      <w:pPr>
        <w:pStyle w:val="TextoNormal"/>
      </w:pPr>
    </w:p>
    <w:p w:rsidR="0026452D" w:rsidRDefault="0026452D" w:rsidP="0026452D">
      <w:pPr>
        <w:pStyle w:val="TextoNormal"/>
      </w:pPr>
      <w:r>
        <w:t>En definitiva, viene encauzada esta acción por la vía del art. 44, no por la del art. 43 LOTC. Como con razón alega el Ministerio Fiscal, la Universidad de Sevilla no ejerció potestad de imperio alguna, sujeta como estuvo, estrictamente, al ordenamiento jurídico laboral, a la Ley del estatuto de los trabajadores y al IV Convenio colectivo de personal laboral de las universidades de Andalucía, sin ejercer otras facultades que las comúnmente reconocidas por dicha normativa a todo empleador. No se trata de declarar que toda actuación bajo veste privada de los órganos y autoridades que dice el art. 43.1 LOTC no sea susceptible de impugnación en dicha vía, pero sí de negar tal posibilidad en los casos, como el presente, en que los actos que se denuncian por originariamente lesivos de derechos amparables se hayan adoptado en el ejercicio de facultades dimanantes de una relación jurídico-privada (nuevamente, STC 6/1988 y, con anterioridad, STC 35/1983, de 11 de mayo, FJ 3).</w:t>
      </w:r>
    </w:p>
    <w:p w:rsidR="0026452D" w:rsidRDefault="0026452D" w:rsidP="0026452D">
      <w:pPr>
        <w:pStyle w:val="TextoNormal"/>
      </w:pPr>
    </w:p>
    <w:p w:rsidR="0026452D" w:rsidRDefault="0026452D" w:rsidP="0026452D">
      <w:pPr>
        <w:pStyle w:val="TextoNormal"/>
      </w:pPr>
      <w:r w:rsidRPr="0026452D">
        <w:rPr>
          <w:rStyle w:val="NumeroAFNegritaCaracter"/>
        </w:rPr>
        <w:t>2</w:t>
      </w:r>
      <w:r>
        <w:t>. La parte final de la argumentación actora, según reseñamos en los antecedentes, denuncia la vulneración de los apartados 1 y 4 del art. 18 CE. Junto a ello, el recurrente reprocha diversas lesiones a las resoluciones judiciales, relativas a los arts. 24.1 y 24.2 CE, derechos a los que reconduce otras quejas, como la que formalmente sitúa en el art. 15 CE, por la pretendida situación de hostigamiento que habría sufrido en su prestación laboral y los efectos en su salud.</w:t>
      </w:r>
    </w:p>
    <w:p w:rsidR="0026452D" w:rsidRDefault="0026452D" w:rsidP="0026452D">
      <w:pPr>
        <w:pStyle w:val="TextoNormal"/>
      </w:pPr>
    </w:p>
    <w:p w:rsidR="0026452D" w:rsidRDefault="0026452D" w:rsidP="0026452D">
      <w:pPr>
        <w:pStyle w:val="TextoNormal"/>
      </w:pPr>
      <w:r>
        <w:t>Sin embargo, en la medida en que la controversia esencial de naturaleza constitucional suscitada en el proceso judicial ha sido determinar si existe una vulneración de los derechos fundamentales del art. 18 CE, provocada por la utilización de las grabaciones para sancionar al trabajador por el incumplimiento de su horario de trabajo, este Tribunal, una vez agotada la vía previa, puede por sí mismo reparar la lesión denunciada en el caso de que se haya producido. O expresada la idea en otros términos, la declaración de la eventual existencia de las lesiones del art. 24 CE sólo tendría un efecto retardatario para la efectiva tutela de los derechos sustantivos referidos. Por consiguiente, en tanto que las lesiones procesales, aunque existieran, no impedirían nuestro juicio respecto de la lesión principal, procederá entrar de lleno en esta última (por todas, SSTC 62/2007, de 27 de marzo, FJ 2; y 233/2007, de 5 de noviembre, FJ 4).</w:t>
      </w:r>
    </w:p>
    <w:p w:rsidR="0026452D" w:rsidRDefault="0026452D" w:rsidP="0026452D">
      <w:pPr>
        <w:pStyle w:val="TextoNormal"/>
      </w:pPr>
    </w:p>
    <w:p w:rsidR="0026452D" w:rsidRDefault="0026452D" w:rsidP="0026452D">
      <w:pPr>
        <w:pStyle w:val="TextoNormal"/>
      </w:pPr>
      <w:r w:rsidRPr="0026452D">
        <w:rPr>
          <w:rStyle w:val="NumeroAFNegritaCaracter"/>
        </w:rPr>
        <w:t>3</w:t>
      </w:r>
      <w:r>
        <w:t>. Previamente resulta obligado analizar la objeción procesal puesta de manifiesto por la representación procesal de la Universidad de Sevilla que, de concurrir, determinaría un pronunciamiento de inadmisión. Según ha señalado este Tribunal de manera invariable y constante, los defectos insubsanables de que pudiera estar afectado el recurso de amparo no resultan subsanados porque el recurso haya sido inicialmente admitido a trámite (entre las más recientes, SSTC 217/2012 y 221/2012, de 26 de noviembre, FJ 2 de ambas).</w:t>
      </w:r>
    </w:p>
    <w:p w:rsidR="0026452D" w:rsidRDefault="0026452D" w:rsidP="0026452D">
      <w:pPr>
        <w:pStyle w:val="TextoNormal"/>
      </w:pPr>
    </w:p>
    <w:p w:rsidR="0026452D" w:rsidRDefault="0026452D" w:rsidP="0026452D">
      <w:pPr>
        <w:pStyle w:val="TextoNormal"/>
      </w:pPr>
      <w:r>
        <w:t xml:space="preserve">Se censura el incumplimiento del requisito del agotamiento de los recursos utilizables en la vía judicial [art. 44.1 a) LOTC], al no haberse interpuesto contra la Sentencia de suplicación el correspondiente recurso de casación para la unificación de doctrina. La objeción debe ser rechazada. Este Tribunal ha reiterado que la especial naturaleza del recurso de casación para la unificación de doctrina,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Por lo demás, no es suficiente alegar la abstracta procedencia de tal recurso, </w:t>
      </w:r>
      <w:r>
        <w:lastRenderedPageBreak/>
        <w:t>sino que, dada su naturaleza extraordinaria, corresponde acreditar la posibilidad de utilizar esa extraordinaria vía a la parte que pretende hacer valer la no interposición del recurso como motivo de inadmisibilidad de la demanda de amparo (por todas SSTC 153/2004, de 20 de septiembre, FJ 2; y 122/2008, de 20 de octubre, FJ 2). Y en el presente caso en modo alguno cumple esa carga quien formula la objeción, pues no ofrece un razonamiento que justifique la viabilidad de su articulación procesal.</w:t>
      </w:r>
    </w:p>
    <w:p w:rsidR="0026452D" w:rsidRDefault="0026452D" w:rsidP="0026452D">
      <w:pPr>
        <w:pStyle w:val="TextoNormal"/>
      </w:pPr>
    </w:p>
    <w:p w:rsidR="0026452D" w:rsidRDefault="0026452D" w:rsidP="0026452D">
      <w:pPr>
        <w:pStyle w:val="TextoNormal"/>
      </w:pPr>
      <w:r w:rsidRPr="0026452D">
        <w:rPr>
          <w:rStyle w:val="NumeroAFNegritaCaracter"/>
        </w:rPr>
        <w:t>4</w:t>
      </w:r>
      <w:r>
        <w:t>. Procede que entremos a considerar si, como se aduce, resultó vulnerado el derecho del recurrente a la protección de datos de carácter personal (art. 18.4 CE). Es preciso aclarar que, pese a existir una cita plural (apartados primero y cuarto del art. 18 CE), la demanda se contrae exclusivamente a lo dispuesto en el número cuatro de dicha previsión constitucional, ya que estima que el tratamiento de las imágenes obtenidas del trabajador vulneró “su derecho fundamental a la autotutela informativa”, tachando de lesivo que no se le informara sobre la video-vigilancia, lo que sería a su parecer contrario a la doctrina sentada en la STC 292/2000, de 30 de noviembre. No será necesario, entonces, detenerse en los derechos consagrados en el apartado primero del art. 18 CE, ni resultará en consecuencia de aplicación la doctrina de la SSTC 186/2000, de 10 de julio; o 98/2000, de 10 de abril, en las que, más allá de las notables diferencias que concurren con el caso ahora enjuiciado, no fue objeto de alegación ni de tratamiento por este Tribunal el derecho del art. 18.4 CE, sino únicamente el derecho a la intimidad del art. 18.1 CE. Pese a todo, volveremos más tarde sobre esos pronunciamientos.</w:t>
      </w:r>
    </w:p>
    <w:p w:rsidR="0026452D" w:rsidRDefault="0026452D" w:rsidP="0026452D">
      <w:pPr>
        <w:pStyle w:val="TextoNormal"/>
      </w:pPr>
    </w:p>
    <w:p w:rsidR="0026452D" w:rsidRDefault="0026452D" w:rsidP="0026452D">
      <w:pPr>
        <w:pStyle w:val="TextoNormal"/>
      </w:pPr>
      <w:r>
        <w:t>En definitiva, la invocación y transcripción parcial en la demanda de amparo del precedente del Pleno de este Tribunal constituido por la STC 292/2000, de 30 de noviembre, que prácticamente absorbe la íntegra alegación de la parte desde el enfoque propio del art. 18 CE, desvela que, a juicio de ésta, el contenido de ese derecho fundamental a la protección de datos (art. 18.4 CE) fue vulnerado con la utilización no consentida ni previamente informada de las grabaciones para un fin, desconocido por el afectado, de control de su actividad laboral. De resultar de ese modo, habiéndose acordado la medida disciplinaria con base en una lesión del art. 18.4 CE, las sanciones controvertidas no podrían dejar de calificarse como nulas (de acuerdo con la calificación nacida de las SSTC 88/1985, de 19 de julio, FJ 4; o 134/1994, de 9 de mayo, FJ 5, entre otras).</w:t>
      </w:r>
    </w:p>
    <w:p w:rsidR="0026452D" w:rsidRDefault="0026452D" w:rsidP="0026452D">
      <w:pPr>
        <w:pStyle w:val="TextoNormal"/>
      </w:pPr>
    </w:p>
    <w:p w:rsidR="0026452D" w:rsidRDefault="0026452D" w:rsidP="0026452D">
      <w:pPr>
        <w:pStyle w:val="TextoNormal"/>
      </w:pPr>
      <w:r w:rsidRPr="0026452D">
        <w:rPr>
          <w:rStyle w:val="NumeroAFNegritaCaracter"/>
        </w:rPr>
        <w:t>5</w:t>
      </w:r>
      <w:r>
        <w:t>. Para resolver esta cuestión es necesario, en primer lugar, dirimir si los datos del recurrente que han sido objeto de tratamiento están protegidos por el art. 18.4 CE, ya que sólo en caso afirmativo será pertinente que este Tribunal se pronuncie sobre la queja principal planteada en su demanda.</w:t>
      </w:r>
    </w:p>
    <w:p w:rsidR="0026452D" w:rsidRDefault="0026452D" w:rsidP="0026452D">
      <w:pPr>
        <w:pStyle w:val="TextoNormal"/>
      </w:pPr>
    </w:p>
    <w:p w:rsidR="0026452D" w:rsidRDefault="0026452D" w:rsidP="0026452D">
      <w:pPr>
        <w:pStyle w:val="TextoNormal"/>
      </w:pPr>
      <w:r>
        <w:t>Está fuera de toda duda que las imágenes grabadas en un soporte físico, como ha ocurrido en el caso de autos, constituyen un dato de carácter personal que queda integrado en la cobertura del art. 18.4 CE, ya que el derecho fundamental amplía la garantía constitucional a todos aquellos datos que identifiquen o permitan la identificación de la persona y que puedan servir para la confección de su perfil (ideológico, racial, sexual, económico o de cualquier otra índole) o para cualquier otra utilidad que, en determinadas circunstancias, constituya una amenaza para el individuo (STC 292/2000, de 30 de noviembre, FJ 6), lo cual, como es evidente, incluye también aquellos que facilitan la identidad de una persona física por medios que, a través de imágenes, permitan su representación física e identificación visual u ofrezcan una información gráfica o fotográfica sobre su identidad.</w:t>
      </w:r>
    </w:p>
    <w:p w:rsidR="0026452D" w:rsidRDefault="0026452D" w:rsidP="0026452D">
      <w:pPr>
        <w:pStyle w:val="TextoNormal"/>
      </w:pPr>
    </w:p>
    <w:p w:rsidR="0026452D" w:rsidRDefault="0026452D" w:rsidP="0026452D">
      <w:pPr>
        <w:pStyle w:val="TextoNormal"/>
      </w:pPr>
      <w:r>
        <w:t>En esa línea se manifiesta también la normativa rectora en la materia. El art. 3 a) de la Ley Orgánica de protección de datos de carácter personal (LOPD) concreta el concepto de “datos de carácter personal” como “cualquier información concerniente a personas físicas identificadas o identificables”. La letra c) del mismo precepto define el “tratamiento de datos” como las “operaciones y procedimientos técnicos, de carácter automatizado o no, que permitan la recogida, grabación, conservación, elaboración, modificación, bloqueo y cancelación, así como las cesiones de datos que resulten de comunicaciones, consultas, interconexiones y transferencias”. De acuerdo con tales definiciones, la captación de imágenes de las personas constituye un tratamiento de datos personales incluido en el ámbito de aplicación de la normativa citada. Así lo ha declarado con reiteración la Agencia Española de Protección de Datos. Por su parte, el artículo 5.1. f) del Real Decreto 1720/2007, de 21 de diciembre, por el que se aprueba el Reglamento de desarrollo de la Ley Orgánica 15/1999, de 13 de diciembre, de protección de datos de carácter personal, insiste en esa dirección y define los datos de carácter personal del siguiente modo: “Cualquier información numérica, alfabética, gráfica, fotográfica, acústica o de cualquier otro tipo concerniente a personas físicas identificadas o identificables”. Todo ello ha sido perfilado, en lo estrictamente referido a la video-vigilancia, en la Instrucción 1/2006, de 8 de noviembre, de la Agencia Española de Protección de Datos, sobre el tratamiento de datos personales con fines de vigilancia a través de sistemas de cámaras o videocámaras.</w:t>
      </w:r>
    </w:p>
    <w:p w:rsidR="0026452D" w:rsidRDefault="0026452D" w:rsidP="0026452D">
      <w:pPr>
        <w:pStyle w:val="TextoNormal"/>
      </w:pPr>
    </w:p>
    <w:p w:rsidR="0026452D" w:rsidRDefault="0026452D" w:rsidP="0026452D">
      <w:pPr>
        <w:pStyle w:val="TextoNormal"/>
      </w:pPr>
      <w:r>
        <w:t>En la misma dirección se pronuncia el artículo 2 a) de la Directiva 95/46/CE del Parlamento y del Consejo, de 24 de octubre de 1995, relativa a la protección de las personas físicas en lo que respecta al tratamiento de datos personales y a la libre circulación de estos datos, según el cual, a efectos de dicha Directiva, se entiende por dato personal “toda información sobre una persona física identificada o identificable (el ‘interesado’); se considerará identificable toda persona cuya identidad pueda determinarse, directa o indirectamente, en particular mediante un número de identificación o uno o varios elementos específicos, característicos de su identidad física, fisiológica, psíquica, económica, cultural o social” (la misma regulación puede verse en el art. 2 del Reglamento CE núm. 45/2001 del Parlamento Europeo y del Consejo, de 18 de diciembre de 2000, relativo a la protección de las personas físicas en lo que respecta al tratamiento de datos personales por las instituciones y los organismos comunitarios y a la libre circulación de estos datos).</w:t>
      </w:r>
    </w:p>
    <w:p w:rsidR="0026452D" w:rsidRDefault="0026452D" w:rsidP="0026452D">
      <w:pPr>
        <w:pStyle w:val="TextoNormal"/>
      </w:pPr>
    </w:p>
    <w:p w:rsidR="0026452D" w:rsidRDefault="0026452D" w:rsidP="0026452D">
      <w:pPr>
        <w:pStyle w:val="TextoNormal"/>
      </w:pPr>
      <w:r>
        <w:t xml:space="preserve">Estamos, en definitiva, dentro del núcleo esencial del derecho fundamental del art. 18.4 CE, que se actualiza aún de modo más notorio cuando, como en el caso a examen, nos adentramos en un ámbito —el de la video-vigilancia— que ofrece múltiples medios de tratamiento de los datos; sistemas, por lo demás, en auge y desarrollo exponencial, que se amplían y perfeccionan a un ritmo vertiginoso y que se añaden a otros más conocidos (circuitos cerrados de televisión, grabación por dispositivos </w:t>
      </w:r>
      <w:r w:rsidRPr="0026452D">
        <w:rPr>
          <w:i/>
        </w:rPr>
        <w:t>webcam</w:t>
      </w:r>
      <w:r>
        <w:t xml:space="preserve">, digitalización de imágenes o, en particular, instalación de cámaras, incluidas las que se emplacen en el lugar de trabajo). Debe asegurarse, así, que las acciones dirigidas a la seguridad y vigilancia no contravengan aquel derecho fundamental, que tiene pleno protagonismo, por todo lo expuesto, en estos terrenos de la captación y grabación de imágenes personales que permitan la identificación del sujeto. En relación con el contrato de trabajo este protagonismo cobra, si cabe, mayor relevancia habida cuenta la coincidencia existente entre el </w:t>
      </w:r>
      <w:r w:rsidRPr="0026452D">
        <w:rPr>
          <w:i/>
        </w:rPr>
        <w:t>locus</w:t>
      </w:r>
      <w:r>
        <w:t xml:space="preserve"> de trabajo, que es donde pueden movilizarse por los trabajadores las garantías fundamentales, y los espacios físicos sujetos a control mediante sistemas tecnológicos.</w:t>
      </w:r>
    </w:p>
    <w:p w:rsidR="0026452D" w:rsidRDefault="0026452D" w:rsidP="0026452D">
      <w:pPr>
        <w:pStyle w:val="TextoNormal"/>
      </w:pPr>
    </w:p>
    <w:p w:rsidR="0026452D" w:rsidRDefault="0026452D" w:rsidP="0026452D">
      <w:pPr>
        <w:pStyle w:val="TextoNormal"/>
      </w:pPr>
      <w:r w:rsidRPr="0026452D">
        <w:rPr>
          <w:rStyle w:val="NumeroAFNegritaCaracter"/>
        </w:rPr>
        <w:t>6</w:t>
      </w:r>
      <w:r>
        <w:t>. Para el examen del acto empresarial controvertido desde la perspectiva del derecho a la información del afectado, resulta de todo punto obligado traer a colación la STC 292/2000, de 30 de noviembre, del Pleno de este Tribunal. En ella es donde encontramos la solución para el presente recurso y no en otros precedentes de este Tribunal, señaladamente las SSTC 98/2000, de 10 de abril; y 186/2000, de 10 de julio, anteriormente citadas.</w:t>
      </w:r>
    </w:p>
    <w:p w:rsidR="0026452D" w:rsidRDefault="0026452D" w:rsidP="0026452D">
      <w:pPr>
        <w:pStyle w:val="TextoNormal"/>
      </w:pPr>
    </w:p>
    <w:p w:rsidR="0026452D" w:rsidRDefault="0026452D" w:rsidP="0026452D">
      <w:pPr>
        <w:pStyle w:val="TextoNormal"/>
      </w:pPr>
      <w:r>
        <w:t>En efecto, el asunto enjuiciado difiere de esos precedentes desde todos los planos relevantes de aproximación. Así, en un enfoque fáctico, la STC 98/2000, de 10 de abril, se ocupaba de la instalación de micrófonos (vigilancia auditiva) en las dependencias que constituían el lugar de trabajo (vigilancia en el puesto de trabajo) con conocimiento de los trabajadores y del comité de empresa (vigilancia conocida e informada). El derecho fundamental alegado era el del art. 18.1 CE, no el del art. 18.4 CE que ahora nos ocupa y, por razones de congruencia con lo aducido en el recurso, a ese derecho del art. 18.1 CE atendió la construcción del Tribunal, que ni siquiera cita el derecho a la protección de datos personales o su Ley Orgánica reguladora, haciéndolo en cambio con la Ley Orgánica 1/1982, de 5 de mayo, de protección civil del derecho al honor, a la intimidad personal y familiar y a la propia imagen o, en otras palabras, enjuiciando si en aquel acto empresarial se daba una intromisión ilegítima en el derecho a la intimidad.</w:t>
      </w:r>
    </w:p>
    <w:p w:rsidR="0026452D" w:rsidRDefault="0026452D" w:rsidP="0026452D">
      <w:pPr>
        <w:pStyle w:val="TextoNormal"/>
      </w:pPr>
    </w:p>
    <w:p w:rsidR="0026452D" w:rsidRDefault="0026452D" w:rsidP="0026452D">
      <w:pPr>
        <w:pStyle w:val="TextoNormal"/>
      </w:pPr>
      <w:r>
        <w:t>Algo similar cabe decir, en lo esencial, de la STC 186/2000. Desde el punto de vista de los hechos, en primer lugar, no se planteaba una hipótesis de utilización de las grabaciones (allí sí de imágenes) para un fin distinto al expresamente divulgado, como podría acontecer en estos autos, sino una grabación secreta de la actividad laboral. En segundo lugar, la grabación, al igual que en la STC 98/2000, se producía en el puesto de trabajo, no en los vestíbulos y lugares públicos de paso, esto es, fuera de las dependencias en las que se perfecciona la actividad, como sucede en esta ocasión según hemos relatado en los antecedentes y luego precisaremos. Desde el punto de vista material, por su parte, el examen se centró en la proporcionalidad de la medida y en la validez probatoria de las grabaciones (FFJJ 7 y 8), siendo residual el aspecto relativo a la información de su existencia. Y se constata además, como también ocurriera en la STC 98/2000,  que el debate quedaba reducido al art. 18.1 CE, sin mención siquiera del art. 18.4 CE, lo que, como enseguida razonaremos, resulta decisivo.</w:t>
      </w:r>
    </w:p>
    <w:p w:rsidR="0026452D" w:rsidRDefault="0026452D" w:rsidP="0026452D">
      <w:pPr>
        <w:pStyle w:val="TextoNormal"/>
      </w:pPr>
    </w:p>
    <w:p w:rsidR="0026452D" w:rsidRDefault="0026452D" w:rsidP="0026452D">
      <w:pPr>
        <w:pStyle w:val="TextoNormal"/>
      </w:pPr>
      <w:r>
        <w:t>Ciertamente, la STC 186/2000, en respuesta a una alegación de la parte recurrente sobre la ausencia de información, declaró que “(el) hecho de que la instalación del circuito cerrado de televisión no fuera previamente puesta en conocimiento del Comité de empresa y de los trabajadores afectados (sin duda por el justificado temor de la empresa de que el conocimiento de la existencia del sistema de filmación frustraría la finalidad apetecida) carece de trascendencia desde la perspectiva constitucional, pues, fuese o no exigible el informe previo del Comité de empresa a la luz del art. 64.1.3 d) LET, estaríamos en todo caso ante una cuestión de mera legalidad ordinaria, ajena por completo al objeto del recurso de amparo”. Una recta lectura de esa declaración revela que la dimensión ordinaria y no constitucional de la cuestión no se predicaba del derecho de información como garantía nuclear del art. 18.1 CE, sino de las garantías complementarias del art. 18.1 CE que pudieran encontrar expresión en el art. 64.1.3 d) del texto refundido de la Ley del estatuto de los trabajadores (LET) y, por tanto, del alcance concreto de este precepto, relativo a los derechos de información del comité de empresa.</w:t>
      </w:r>
    </w:p>
    <w:p w:rsidR="0026452D" w:rsidRDefault="0026452D" w:rsidP="0026452D">
      <w:pPr>
        <w:pStyle w:val="TextoNormal"/>
      </w:pPr>
    </w:p>
    <w:p w:rsidR="0026452D" w:rsidRDefault="0026452D" w:rsidP="0026452D">
      <w:pPr>
        <w:pStyle w:val="TextoNormal"/>
      </w:pPr>
      <w:r>
        <w:lastRenderedPageBreak/>
        <w:t>De cualquier modo, aunque se comprende que el párrafo transcrito haya podido dar lugar a otras interpretaciones, no debemos ahora profundizar en esa declaración ya que no estamos volviendo a juzgar aquel supuesto, sino sólo señalando las diferencias con el presente. Bastará decir por ello que el art. 18.1 CE impone como regla de principio y, de forma añadida al resto de sus garantías, (aunque sin perjuicio, obviamente, de los límites del derecho que ha ido fijando nuestra doctrina en multitud de resoluciones) un deber de información que protege frente a intromisiones ilegítimas en la intimidad. Es inequívoca en ese sentido, por ejemplo, la STC 196/2004, de 15 de noviembre, FJ 9, según la cual “se vulnera el derecho a la intimidad personal cuando la actuación sobre su ámbito propio y reservado no sea acorde con la ley y no sea consentida, o cuando, aun autorizada, subvierta los términos y el alcance para el que se otorgó el consentimiento, quebrando la conexión entre la información personal que se recaba y el objetivo tolerado para el que fue recogida”.</w:t>
      </w:r>
    </w:p>
    <w:p w:rsidR="0026452D" w:rsidRDefault="0026452D" w:rsidP="0026452D">
      <w:pPr>
        <w:pStyle w:val="TextoNormal"/>
      </w:pPr>
    </w:p>
    <w:p w:rsidR="0026452D" w:rsidRDefault="0026452D" w:rsidP="0026452D">
      <w:pPr>
        <w:pStyle w:val="TextoNormal"/>
      </w:pPr>
      <w:r>
        <w:t>Más importante que el anterior enunciado, empero, es constatar que una interpretación restrictiva del derecho a la información (ya pretendidamente fundada en la STC 186/2000, ya ajena por completo a ella) no podrá operar en un juicio relativo al art. 18.4 CE, como el que nos ocupa. En efecto y según adelantamos, así viene impuesto por la doctrina sentada en la STC 292/2000, de 30 de noviembre, pronunciamiento no sólo posterior a aquellas otras resoluciones sino, además, del Pleno de este Tribunal y referido específicamente al art. 18.4 CE, a diferencia de las reseñadas.</w:t>
      </w:r>
    </w:p>
    <w:p w:rsidR="0026452D" w:rsidRDefault="0026452D" w:rsidP="0026452D">
      <w:pPr>
        <w:pStyle w:val="TextoNormal"/>
      </w:pPr>
    </w:p>
    <w:p w:rsidR="0026452D" w:rsidRDefault="0026452D" w:rsidP="0026452D">
      <w:pPr>
        <w:pStyle w:val="TextoNormal"/>
      </w:pPr>
      <w:r>
        <w:t>En esa resolución encontramos varios elementos que resultarán aplicables en este supuesto. El primero incide todavía en la diferencia que acabamos de cifrar entre el presente recurso y los de las SSTC 98/2000 y 186/2000; o, si se prefiere, entre la doctrina sobre el art. 18.1 CE y la propia del derecho a la protección de datos personales. Nos recuerda el fundamento jurídico 4 de la STC 292/2000, en efecto, que “el constituyente quiso garantizar mediante el actual art. 18.4 CE no sólo un ámbito de protección específico sino también más idóneo que el que podían ofrecer, por sí mismos, los derechos fundamentales mencionados en el apartado 1 del precepto”, o el fundamento jurídico 5 que “[l]a peculiaridad de este derecho fundamental a la protección de datos respecto de aquel derecho fundamental, tan afín como es el de la intimidad, radica, pues, en su distinta función, lo que apareja, por consiguiente, que también su objeto y contenido difieran”. Insiste después el fundamento jurídico 6, subrayando que “[l]a función del derecho fundamental a la intimidad del art. 18.1 CE es la de proteger frente a cualquier invasión que pueda realizarse en aquel ámbito de la vida personal y familiar que la persona desea excluir del conocimiento ajeno y de las intromisiones de terceros en contra de su voluntad (por todas STC 144/1999, de 22 de julio, FJ 8). En cambio, el derecho fundamental a la protección de datos persigue garantizar a esa persona un poder de control sobre sus datos personales, sobre su uso y destino, con el propósito de impedir su tráfico ilícito y lesivo para la dignidad y derecho del afectado … Pero ese poder de disposición sobre los propios datos personales nada vale si el afectado desconoce qué datos son los que se poseen por terceros, quiénes los poseen, y con qué fin”.</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Deteniendo en este punto la transcripción, que podría ser sin duda más amplia, es en el inciso final de lo reproducido en el anterior fundamento jurídico, que reitera en el fundamento jurídico 7, donde encontramos la </w:t>
      </w:r>
      <w:r w:rsidRPr="0026452D">
        <w:rPr>
          <w:i/>
        </w:rPr>
        <w:t>ratio decidendi</w:t>
      </w:r>
      <w:r>
        <w:t xml:space="preserve"> del presente recurso de amparo.</w:t>
      </w:r>
    </w:p>
    <w:p w:rsidR="0026452D" w:rsidRDefault="0026452D" w:rsidP="0026452D">
      <w:pPr>
        <w:pStyle w:val="TextoNormal"/>
      </w:pPr>
    </w:p>
    <w:p w:rsidR="0026452D" w:rsidRDefault="0026452D" w:rsidP="0026452D">
      <w:pPr>
        <w:pStyle w:val="TextoNormal"/>
      </w:pPr>
      <w:r>
        <w:t xml:space="preserve">En efecto, en el fundamento jurídico 7 se declara que es complemento indispensable del derecho fundamental del art. 18.4 CE “la facultad de saber en todo momento quién dispone </w:t>
      </w:r>
      <w:r>
        <w:lastRenderedPageBreak/>
        <w:t>de esos datos personales y a qué uso los está sometiendo”. Por consiguiente, el Pleno del Tribunal ha señalado como elemento caracterizador de la definición constitucional del art. 18.4 CE, de su núcleo esencial, el derecho del afectado a ser informado de quién posee los datos personales y con qué fin.</w:t>
      </w:r>
    </w:p>
    <w:p w:rsidR="0026452D" w:rsidRDefault="0026452D" w:rsidP="0026452D">
      <w:pPr>
        <w:pStyle w:val="TextoNormal"/>
      </w:pPr>
    </w:p>
    <w:p w:rsidR="0026452D" w:rsidRDefault="0026452D" w:rsidP="0026452D">
      <w:pPr>
        <w:pStyle w:val="TextoNormal"/>
      </w:pPr>
      <w:r>
        <w:t>Ese derecho de información opera también cuando existe habilitación legal para recabar los datos sin necesidad de consentimiento, pues es patente que una cosa es la necesidad o no de autorización del afectado y otra, diferente, el deber de informarle sobre su poseedor y el propósito del tratamiento. Es verdad que esa exigencia informativa no puede tenerse por absoluta, dado que cabe concebir limitaciones por razones constitucionalmente admisibles y legalmente previstas, pero no debe olvidarse que la Constitución ha querido que la ley, y sólo la ley, pueda fijar los límites a un derecho fundamental, exigiendo además que el recorte que experimenten sea necesario para lograr el fin legítimo previsto, proporcionado para alcanzarlo y, en todo caso, respetuoso con el contenido esencial del derecho fundamental restringido (SSTC 57/1994, de 28 de febrero, FJ 6; 18/1999, de 22 de febrero, FJ 2, y en relación con el derecho a la protección de datos personales, STC 292/2000, FFJJ 11 y 16).</w:t>
      </w:r>
    </w:p>
    <w:p w:rsidR="0026452D" w:rsidRDefault="0026452D" w:rsidP="0026452D">
      <w:pPr>
        <w:pStyle w:val="TextoNormal"/>
      </w:pPr>
    </w:p>
    <w:p w:rsidR="0026452D" w:rsidRDefault="0026452D" w:rsidP="0026452D">
      <w:pPr>
        <w:pStyle w:val="TextoNormal"/>
      </w:pPr>
      <w:r>
        <w:t>En aplicación de esa doctrina, concluimos que no hay una habilitación legal expresa para esa omisión del derecho a la información sobre el tratamiento de datos personales en el ámbito de las relaciones laborales, y que tampoco podría situarse su fundamento en el interés empresarial de controlar la actividad laboral a través de sistemas sorpresivos o no informados de tratamiento de datos que aseguren la máxima eficacia en el propósito de vigilancia. Esa lógica fundada en la utilidad o conveniencia empresarial haría quebrar la efectividad del derecho fundamental, en su núcleo esencial. En efecto, se confundiría la legitimidad del fin (en este caso, la verificación del cumplimiento de las obligaciones laborales a través del tratamiento de datos, art. 20.3 LET en relación con el art. 6.2 LOPD) con la constitucionalidad del acto (que exige ofrecer previamente la información necesaria, art. 5 LOPD), cuando lo cierto es que cabe proclamar la legitimidad de aquel propósito (incluso sin consentimiento del trabajador, art. 6.2 LOPD) pero, del mismo modo, declarar que lesiona el art. 18.4 CE la utilización para llevarlo a cabo de medios encubiertos que niegan al trabajador la información exigible.</w:t>
      </w:r>
    </w:p>
    <w:p w:rsidR="0026452D" w:rsidRDefault="0026452D" w:rsidP="0026452D">
      <w:pPr>
        <w:pStyle w:val="TextoNormal"/>
      </w:pPr>
    </w:p>
    <w:p w:rsidR="0026452D" w:rsidRDefault="0026452D" w:rsidP="0026452D">
      <w:pPr>
        <w:pStyle w:val="TextoNormal"/>
      </w:pPr>
      <w:r>
        <w:t>En conclusión, no debe olvidarse que hemos establecido de forma invariable y constante que las facultades empresariales se encuentran limitadas por los derechos fundamentales (entre otras muchas, SSTC 98/2000, de 10 de abril, FJ 7, o 308/2000, de 18 de diciembre, FJ 4). Por ello, al igual que el interés público en sancionar infracciones administrativas resulta insuficiente para que la Administración pueda sustraer al interesado información relativa al fichero y sus datos, según dispone el art. 5.1 y 2 LOPD (STC 292/2000, de 30 de noviembre, FJ 18), tampoco el interés privado del empresario podrá justificar que el tratamiento de datos sea empleado en contra del trabajador sin una información previa sobre el control laboral puesto en práctica. No hay en el ámbito laboral, por expresarlo en otros términos, una razón que tolere la limitación del derecho de información que integra la cobertura ordinaria del derecho fundamental del art. 18.4 CE. Por tanto, no será suficiente que el tratamiento de datos resulte en principio lícito, por estar amparado por la Ley (arts. 6.2 LOPD y 20 LET), o que pueda resultar eventualmente, en el caso concreto de que se trate, proporcionado al fin perseguido; el control empresarial por esa vía, antes bien, aunque podrá producirse, deberá asegurar también la debida información previa.</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8</w:t>
      </w:r>
      <w:r>
        <w:t>. En el caso enjuiciado, las cámaras de video-vigilancia instaladas en el recinto universitario reprodujeron la imagen del recurrente y permitieron el control de su jornada de trabajo; captaron, por tanto, su imagen, que constituye un dato de carácter personal, y se emplearon para el seguimiento del cumplimiento de su contrato. De los hechos probados se desprende que la persona jurídica titular del establecimiento donde se encuentran instaladas las videocámaras es la Universidad de Sevilla y que ella fue quien utilizó al fin descrito las grabaciones, siendo la responsable del tratamiento de los datos sin haber informado al trabajador sobre esa utilidad de supervisión laboral asociada a las capturas de su imagen. Vulneró, de esa manera, el art. 18.4 CE.</w:t>
      </w:r>
    </w:p>
    <w:p w:rsidR="0026452D" w:rsidRDefault="0026452D" w:rsidP="0026452D">
      <w:pPr>
        <w:pStyle w:val="TextoNormal"/>
      </w:pPr>
    </w:p>
    <w:p w:rsidR="0026452D" w:rsidRDefault="0026452D" w:rsidP="0026452D">
      <w:pPr>
        <w:pStyle w:val="TextoNormal"/>
      </w:pPr>
      <w:r>
        <w:t>No contrarresta esa conclusión que existieran distintivos anunciando la instalación de cámaras y captación de imágenes en el recinto universitario, ni que se hubiera notificado la creación del fichero a la Agencia Española de Protección de Datos; era necesaria además la información previa y expresa, precisa, clara e inequívoca a los trabajadores de la finalidad de control de la actividad laboral a la que esa captación podía ser dirigida. Una información que debía concretar las características y el alcance del tratamiento de datos que iba a realizarse, esto es, en qué casos las grabaciones podían ser examinadas, durante cuánto tiempo y con qué propósitos, explicitando muy particularmente que podían utilizarse para la imposición de sanciones disciplinarias por incumplimientos del contrato de trabajo.</w:t>
      </w:r>
    </w:p>
    <w:p w:rsidR="0026452D" w:rsidRDefault="0026452D" w:rsidP="0026452D">
      <w:pPr>
        <w:pStyle w:val="TextoNormal"/>
      </w:pPr>
    </w:p>
    <w:p w:rsidR="0026452D" w:rsidRDefault="0026452D" w:rsidP="0026452D">
      <w:pPr>
        <w:pStyle w:val="TextoNormal"/>
      </w:pPr>
      <w:r>
        <w:t>Por otra parte, más allá de que ese derecho a la información expresa y previa es el realmente determinante, podríamos no obstante añadir que tampoco había evidencia alguna de que aquélla fuera la finalidad del tratamiento de los datos, o uno de sus posibles objetos, pues ni siquiera estaban situados los aparatos de video-vigilancia dentro de las concretas dependencias donde se desarrollaba la prestación laboral, sino en los vestíbulos y zonas de paso públicos, según se indicó en los antecedentes de esta resolución al recoger el contenido de la Sentencia de 5 de septiembre de 2007, del Juzgado de lo Social núm.3 de Sevilla. En el mismo sentido apuntan, por lo demás, otros documentos que obran en las actuaciones, según los cuales la video-vigilancia respondía a una “medida de seguridad pública en un lugar tan abierto al público” (alegaciones de la propia universidad en el procedimiento ante la Agencia Española de Protección de Datos), y no por tanto a un fin declarado y específico de control de la actividad laboral. A la misma conclusión sobre el derecho de información del denunciante llegó la Agencia Española de Protección de Datos en su resolución 0987/2008, de 1 de septiembre; resolución que no podría condicionar nuestro juicio de constitucionalidad pero que, sin duda, resulta indicativa.</w:t>
      </w:r>
    </w:p>
    <w:p w:rsidR="0026452D" w:rsidRDefault="0026452D" w:rsidP="0026452D">
      <w:pPr>
        <w:pStyle w:val="TextoNormal"/>
      </w:pPr>
    </w:p>
    <w:p w:rsidR="0026452D" w:rsidRDefault="0026452D" w:rsidP="0026452D">
      <w:pPr>
        <w:pStyle w:val="TextoNormal"/>
      </w:pPr>
      <w:r>
        <w:t>En definitiva, por todo lo dicho, las sanciones impuestas con base en esa única prueba, lesiva de aquel derecho fundamental, deben declararse nulas. Y es que privada la persona de aquellas facultades de disposición y control sobre sus datos personales, lo fue también de su derecho fundamental a la protección de datos, toda vez que, como concluyó en este punto la STC 11/1981, de 8 de abril (FJ 8), “se rebasa o se desconoce el contenido esencial cuando el derecho queda sometido a limitaciones que lo hacen impracticable, lo dificultan más allá de lo razonable o lo despojan de la necesaria protección”. A la vista de tal incumplimiento, generador de la vulneración del art. 18.4 CE, no es preciso analizar el resto de las quejas, ni tampoco examinar el tratamiento de datos personales desde otros enfoques, como el de la proporcionalidad, por lo que procederá anular las resoluciones judiciales impugnadas y la resolución rectoral que impuso las sanciones de suspensión de empleo y sueldo al recurrente en amparo.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don Adolfo Tomás Fraile Nieto, y, en consecuencia:</w:t>
      </w:r>
    </w:p>
    <w:p w:rsidR="0026452D" w:rsidRDefault="0026452D" w:rsidP="0026452D">
      <w:pPr>
        <w:pStyle w:val="TextoNormal"/>
      </w:pPr>
    </w:p>
    <w:p w:rsidR="0026452D" w:rsidRDefault="0026452D" w:rsidP="0026452D">
      <w:pPr>
        <w:pStyle w:val="TextoNormal"/>
      </w:pPr>
      <w:r>
        <w:t>1º Reconocer su derecho fundamental a la protección de datos de carácter personal (art. 18.4 CE).</w:t>
      </w:r>
    </w:p>
    <w:p w:rsidR="0026452D" w:rsidRDefault="0026452D" w:rsidP="0026452D">
      <w:pPr>
        <w:pStyle w:val="TextoNormal"/>
      </w:pPr>
    </w:p>
    <w:p w:rsidR="0026452D" w:rsidRDefault="0026452D" w:rsidP="0026452D">
      <w:pPr>
        <w:pStyle w:val="TextoNormal"/>
      </w:pPr>
      <w:r>
        <w:t>2º Declarar la nulidad de la Sentencia de 5 de septiembre de 2007 del Juzgado de lo Social núm. 3 de Sevilla, dictada en el procedimiento núm. 665-2006; de la Sentencia de 5 de mayo de 2009 de la Sala de lo Social de Sevilla del Tribunal Superior de Justicia de Andalucía, que desestimó el recurso de suplicación núm. 645-2008, y del Auto de 22 de septiembre de 2009 de la misma Sala, resolutorio del incidente de nulidad de actuaciones.</w:t>
      </w:r>
    </w:p>
    <w:p w:rsidR="0026452D" w:rsidRDefault="0026452D" w:rsidP="0026452D">
      <w:pPr>
        <w:pStyle w:val="TextoNormal"/>
      </w:pPr>
    </w:p>
    <w:p w:rsidR="0026452D" w:rsidRDefault="0026452D" w:rsidP="0026452D">
      <w:pPr>
        <w:pStyle w:val="TextoNormal"/>
      </w:pPr>
      <w:r>
        <w:t>3º Declarar la nulidad de la resolución rectoral de 31 de mayo de 2006.</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febrero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Andrés Ollero Tassara respecto a la Sentencia de la Sala Primera de fecha 11 de febrero de 2013 dictada en el recurso de amparo núm. 10522-2009.</w:t>
      </w:r>
    </w:p>
    <w:p w:rsidR="0026452D" w:rsidRDefault="0026452D" w:rsidP="0026452D">
      <w:pPr>
        <w:pStyle w:val="TextoNormalNegritaCentrado"/>
        <w:keepNext/>
      </w:pPr>
    </w:p>
    <w:p w:rsidR="0026452D" w:rsidRDefault="0026452D" w:rsidP="0026452D">
      <w:pPr>
        <w:pStyle w:val="TextoNormal"/>
      </w:pPr>
      <w:r>
        <w:t>En el ejercicio de la facultad que nos confiere el art. 90.2 de la Ley Orgánica del Tribunal Constitucional y con el máximo respeto a la opinión de la mayoría, dejo constancia de mi opinión discrepante puesta ya de manifiesto durante la deliberación de la Sentencia.</w:t>
      </w:r>
    </w:p>
    <w:p w:rsidR="0026452D" w:rsidRDefault="0026452D" w:rsidP="0026452D">
      <w:pPr>
        <w:pStyle w:val="TextoNormal"/>
      </w:pPr>
    </w:p>
    <w:p w:rsidR="0026452D" w:rsidRDefault="0026452D" w:rsidP="0026452D">
      <w:pPr>
        <w:pStyle w:val="TextoNormal"/>
      </w:pPr>
      <w:r>
        <w:t>1. La advertencia del epígrafe cuarto del artículo 18 CE anunciando que “la ley limitará el uso de la informática para garantizar el honor y la intimidad personal y familiar de los ciudadanos y el pleno ejercicio de sus derechos” ha dado paso al reconocimiento de un autónomo derecho constitucional a la protección de datos. No es de extrañar que su delimitación con el derecho a la intimidad, reconocido en el epígrafe primero, no revista con frecuencia particular nitidez.</w:t>
      </w:r>
    </w:p>
    <w:p w:rsidR="0026452D" w:rsidRDefault="0026452D" w:rsidP="0026452D">
      <w:pPr>
        <w:pStyle w:val="TextoNormal"/>
      </w:pPr>
    </w:p>
    <w:p w:rsidR="0026452D" w:rsidRDefault="0026452D" w:rsidP="0026452D">
      <w:pPr>
        <w:pStyle w:val="TextoNormal"/>
      </w:pPr>
      <w:r>
        <w:t xml:space="preserve">Así ocurre en el presente caso, como refleja en sus antecedentes la propia Sentencia al indicar que “el demandante de amparo dirige sus quejas indistintamente —en ocasiones las entrelaza y proyecta de modo desordenado a las diferentes resoluciones—”, después de lo cual “finalmente invoca los derechos fundamentales de los artículos 18.1 y 4 CE”, como se reitera en el fundamento jurídico 2. La argumentación subsiguiente se situará, por el contrario, únicamente en la perspectiva del epígrafe cuarto, quizá para poder justificar el reiterado rechazo de la doctrina recogida en la STC 186/2000, de 10 julio, que estimó un recurso </w:t>
      </w:r>
      <w:r>
        <w:lastRenderedPageBreak/>
        <w:t>de amparo sobre hechos notablemente similares a los ahora enjuiciados. Se afirmará sintomáticamente que, “pese a existir una cita plural (apartados 1 y 4 del art. 18 CE), la demanda se contrae exclusivamente a lo dispuesto en el número cuatro de dicha previsión constitucional”. Aunque en aquella otra ocasión, por las razones ya aludidas, la argumentación girara en torno a la protección del derecho a la intimidad, es obvio —formalidades aparte— que era también entonces el de protección de datos el que materialmente estaba en juego.</w:t>
      </w:r>
    </w:p>
    <w:p w:rsidR="0026452D" w:rsidRDefault="0026452D" w:rsidP="0026452D">
      <w:pPr>
        <w:pStyle w:val="TextoNormal"/>
      </w:pPr>
    </w:p>
    <w:p w:rsidR="0026452D" w:rsidRDefault="0026452D" w:rsidP="0026452D">
      <w:pPr>
        <w:pStyle w:val="TextoNormal"/>
      </w:pPr>
      <w:r>
        <w:t>Por otra parte, la argumentación que fundamenta el fallo optará por apoyarse de modo exclusivo en la STC 292/2000, de 30 de noviembre, que emite un juicio inevitablemente abstracto sobre la constitucionalidad de una ley, y no “en otros precedentes de este Tribunal”, relativos a recursos de amparo que enjuician circunstancias tan concretas y similares como las ahora analizadas, aludiendo “señaladamente” a la ya aludida STC 186/2000.</w:t>
      </w:r>
    </w:p>
    <w:p w:rsidR="0026452D" w:rsidRDefault="0026452D" w:rsidP="0026452D">
      <w:pPr>
        <w:pStyle w:val="TextoNormal"/>
      </w:pPr>
    </w:p>
    <w:p w:rsidR="0026452D" w:rsidRDefault="0026452D" w:rsidP="0026452D">
      <w:pPr>
        <w:pStyle w:val="TextoNormal"/>
      </w:pPr>
      <w:r>
        <w:t>2. Se afirma en la Sentencia que el derecho fundamental a la protección de datos “fue vulnerado con la utilización no consentida ni previamente informada de las grabaciones para un fin, desconocido por el afectado, de control de su actividad laboral”. En vía jurisdiccional se había considerado, sin embargo, probado que entre las diecinueve autorizaciones con que contaba la Universidad hispalense “para hacer uso de los soportes informáticos o ficheros grabados por sus videocámaras”, figuraba una dirigida “al control de acceso de las personas de la comunidad universitaria”. Igualmente que “las zonas video-vigiladas con cámaras de vigilancia y seguridad como medida de seguridad pública en un lugar tan abierto al público contenían distintivos informativos, colocados en distintas puertas de acceso a la Universidad, acerca de la existencia de dichas cámaras perfectamente visible por todos”.</w:t>
      </w:r>
    </w:p>
    <w:p w:rsidR="0026452D" w:rsidRDefault="0026452D" w:rsidP="0026452D">
      <w:pPr>
        <w:pStyle w:val="TextoNormal"/>
      </w:pPr>
    </w:p>
    <w:p w:rsidR="0026452D" w:rsidRDefault="0026452D" w:rsidP="0026452D">
      <w:pPr>
        <w:pStyle w:val="TextoNormal"/>
      </w:pPr>
      <w:r>
        <w:t>La Sentencia enfatiza cómo lo exigible “ha sido perfilado, en lo estrictamente referido a la video-vigilancia, en la Instrucción 1/2006, de 8 de noviembre, de la Agencia Española de Protección de Datos, sobre el tratamiento de datos personales con fines de vigilancia a través de sistemas de cámaras o videocámaras”. Sorprendentemente guarda a la vez silencio sobre una afirmación del Fiscal que no parece irrelevante: “Esas especificaciones de la Instrucción 1/2006, sin embargo, no se contenían en la normativa en vigor al tiempo de la incoación del expediente sancionador”. Todo ello puede explicar que en sede jurisdiccional se hubiera afirmado que “no puede compartirse la apreciación de que la demandada carece de autorización para controlar por video-vigilancia la entrada al trabajo del personal laboral a su servicio, razón por la cual cae por su propio peso la argumentación en que se basa la invocada vulneración constitucional”. No parece pues tan razonable dar por sentado que nos encontramos ante “el interés empresarial de controlar la actividad laboral a través de sistemas sorpresivos o no informados de tratamiento de datos que aseguren la máxima eficacia en el propósito de vigilancia”.</w:t>
      </w:r>
    </w:p>
    <w:p w:rsidR="0026452D" w:rsidRDefault="0026452D" w:rsidP="0026452D">
      <w:pPr>
        <w:pStyle w:val="TextoNormal"/>
      </w:pPr>
    </w:p>
    <w:p w:rsidR="0026452D" w:rsidRDefault="0026452D" w:rsidP="0026452D">
      <w:pPr>
        <w:pStyle w:val="TextoNormal"/>
      </w:pPr>
      <w:r>
        <w:t xml:space="preserve">3. El fundamento jurídico 5 de nuestra citada STC 186/2000, que tan reiteradamente se descarta, resaltaba cómo “debe tenerse en cuenta que el poder de dirección del empresario, imprescindible para la buena marcha de la organización productiva”, “atribuye al empresario, entre otras facultades, la de adoptar las medidas que estime más oportunas de vigilancia y control para verificar el cumplimiento del trabajador de sus obligaciones laborales”. Igualmente en el fundamento jurídico 7 se afirmó que “[e]l hecho de que la instalación del circuito cerrado de televisión no fuera previamente puesta en conocimiento del Comité de empresa y de los trabajadores afectados (sin duda por el justificado temor de la empresa de que </w:t>
      </w:r>
      <w:r>
        <w:lastRenderedPageBreak/>
        <w:t>el conocimiento de la existencia del sistema de filmación frustraría la finalidad apetecida) carece de trascendencia desde la perspectiva constitucional”.</w:t>
      </w:r>
    </w:p>
    <w:p w:rsidR="0026452D" w:rsidRDefault="0026452D" w:rsidP="0026452D">
      <w:pPr>
        <w:pStyle w:val="TextoNormal"/>
      </w:pPr>
    </w:p>
    <w:p w:rsidR="0026452D" w:rsidRDefault="0026452D" w:rsidP="0026452D">
      <w:pPr>
        <w:pStyle w:val="TextoNormal"/>
      </w:pPr>
      <w:r>
        <w:t>Es obvio que dichas medidas han de ser proporcionadas, tras ponderarse las exigencias de los derechos fundamentales en juego. La Sentencia de la que ahora discrepo, fiel a su planteamiento abstracto, se ahorra toda ponderación; la antecedente, tras la obligada ponderación, dictaminaba que el derecho a la intimidad no había sido vulnerado. Cabría argüir que sí se ha producido en este caso ponderación, estimándose que la protección de datos personales primaba sobre las medidas empresariales, pero ello implicaría una sorprendente valoración del peso de los derechos a la intimidad y a la protección de datos. Es bien sabido que este último, dado su carácter instrumental al servicio de otros derechos, amplía el ámbito de protección del propio del derecho a la intimidad, al extenderse a todo tipo de datos, sensibles o no desde la perspectiva tradicional. Asunto distinto, sin embargo, es que —a la hora de ponderarlo— al derecho a la protección de datos se le pueda atribuir más peso del antes adjudicado al derecho a la intimidad. La misma Sentencia reconoce que es éste el que en buena medida acaba indirectamente confiriendo relevancia al de protección de datos, al recordar cómo “amplía la garantía constitucional a todos aquellos datos que identifiquen o permitan la identificación de la persona y que puedan servir para la confección de su perfil (ideológico, racial, sexual, económico o de cualquier otra índole)”.</w:t>
      </w:r>
    </w:p>
    <w:p w:rsidR="0026452D" w:rsidRDefault="0026452D" w:rsidP="0026452D">
      <w:pPr>
        <w:pStyle w:val="TextoNormal"/>
      </w:pPr>
    </w:p>
    <w:p w:rsidR="0026452D" w:rsidRDefault="0026452D" w:rsidP="0026452D">
      <w:pPr>
        <w:pStyle w:val="TextoNormal"/>
      </w:pPr>
      <w:r>
        <w:t>4. La Sentencia no se acoge, a la hora de constatar una posible vulneración de la protección de datos, a su posible utilización para finalidad diversa de la que había justificado la video-vigilancia. Le hubiera sido muy útil como precedente la STC 202/1999, de 8 de noviembre, que no cita. En todo caso, como hemos señalado, parece claro que el control de acceso, de público conocimiento, y la misma situación de las cámaras, que permitía controlar en qué medida el recurrente aportaba datos falsos sobre el cumplimiento de su horario laboral, excluirían tal paralelismo; lo que podría explicar el indicado silencio sobre dicho precedente.</w:t>
      </w:r>
    </w:p>
    <w:p w:rsidR="0026452D" w:rsidRDefault="0026452D" w:rsidP="0026452D">
      <w:pPr>
        <w:pStyle w:val="TextoNormal"/>
      </w:pPr>
    </w:p>
    <w:p w:rsidR="0026452D" w:rsidRDefault="0026452D" w:rsidP="0026452D">
      <w:pPr>
        <w:pStyle w:val="TextoNormal"/>
      </w:pPr>
      <w:r>
        <w:t>Por todo ello me veo obligado a emitir mi Voto particular.</w:t>
      </w:r>
    </w:p>
    <w:p w:rsidR="0026452D" w:rsidRDefault="0026452D" w:rsidP="0026452D">
      <w:pPr>
        <w:pStyle w:val="TextoNormal"/>
      </w:pPr>
    </w:p>
    <w:p w:rsidR="0026452D" w:rsidRDefault="0026452D" w:rsidP="0026452D">
      <w:pPr>
        <w:pStyle w:val="TextoNormal"/>
      </w:pPr>
      <w:r>
        <w:t>Madrid, a once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33" w:name="SENTENCIA_2013_30"/>
      <w:r>
        <w:lastRenderedPageBreak/>
        <w:t>SENTENCIA 30/2013, de 11 de febrero de 2013</w:t>
      </w:r>
    </w:p>
    <w:bookmarkEnd w:id="33"/>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ECLI:ES:TC:2013:30</w:t>
      </w:r>
    </w:p>
    <w:p w:rsidR="0026452D" w:rsidRDefault="0026452D" w:rsidP="0026452D">
      <w:pPr>
        <w:pStyle w:val="SntesisDescriptiva"/>
      </w:pPr>
    </w:p>
    <w:p w:rsidR="0026452D" w:rsidRDefault="0026452D" w:rsidP="0026452D">
      <w:pPr>
        <w:pStyle w:val="SntesisDescriptiva"/>
      </w:pPr>
      <w:r>
        <w:t>Recurso de amparo 827-2011. Promovido por doña Ana Fernández Martín frente a la Sentencia del Juzgado de lo Contencioso-Administrativo núm. 23 de Madrid que confirmó la multa impuesta por no haber aportado datos suficientes para identificar al conductor de un vehículo que había cometido una infracción de tráfico.</w:t>
      </w:r>
    </w:p>
    <w:p w:rsidR="0026452D" w:rsidRDefault="0026452D" w:rsidP="0026452D">
      <w:pPr>
        <w:pStyle w:val="SntesisDescriptiva"/>
      </w:pPr>
    </w:p>
    <w:p w:rsidR="0026452D" w:rsidRDefault="0026452D" w:rsidP="0026452D">
      <w:pPr>
        <w:pStyle w:val="SntesisAnaltica"/>
      </w:pPr>
      <w:r>
        <w:t>Vulneración del derecho a la legalidad sancionadora: resolución sancionadora que carece de fundamento razonable en la infracción administrativa aplicada (STC 111/2004).</w:t>
      </w:r>
    </w:p>
    <w:p w:rsidR="0026452D" w:rsidRDefault="0026452D" w:rsidP="0026452D">
      <w:pPr>
        <w:pStyle w:val="SntesisAnaltica"/>
      </w:pPr>
    </w:p>
    <w:p w:rsidR="0026452D" w:rsidRDefault="0026452D" w:rsidP="0026452D">
      <w:pPr>
        <w:pStyle w:val="Extracto"/>
      </w:pPr>
      <w:r>
        <w:t>1.</w:t>
      </w:r>
      <w:r>
        <w:tab/>
        <w:t>Ni la Ley de seguridad vial exigía expresamente que se facilitaran el número del documento nacional de identidad o del permiso de conducir del conductor del vehículo ni cabe extraer tal exigencia del tenor de la misma una vez que se había indicado a la Administración el nombre, apellidos y domicilio del mismo, suponiendo esto último una respuesta congruente con el deber de identificar a dicha persona y con la finalidad de la exigencia legal, que es la de permitir a la Administración dirigir eventualmente contra esa persona un procedimiento sancionador [FJ 3].</w:t>
      </w:r>
    </w:p>
    <w:p w:rsidR="0026452D" w:rsidRDefault="0026452D" w:rsidP="0026452D">
      <w:pPr>
        <w:pStyle w:val="Extracto"/>
      </w:pPr>
    </w:p>
    <w:p w:rsidR="0026452D" w:rsidRDefault="0026452D" w:rsidP="0026452D">
      <w:pPr>
        <w:pStyle w:val="Extracto"/>
      </w:pPr>
      <w:r>
        <w:t>2.</w:t>
      </w:r>
      <w:r>
        <w:tab/>
        <w:t>La no existencia en el expediente administrativo de constancia de actuación administrativa alguna tendente a comunicar con la persona identificada por el titular del vehículo que se hubiera frustrado por el desconocimiento del número del documento nacional de identidad o del permiso de conducir, revela que la escueta motivación del acto administrativo no responde a una argumentación lógica que permitiera subsumir la conducta de la recurrente en el tipo aplicado (STC 111/2004) [FJ 3].</w:t>
      </w:r>
    </w:p>
    <w:p w:rsidR="0026452D" w:rsidRDefault="0026452D" w:rsidP="0026452D">
      <w:pPr>
        <w:pStyle w:val="Extracto"/>
      </w:pPr>
    </w:p>
    <w:p w:rsidR="0026452D" w:rsidRDefault="0026452D" w:rsidP="0026452D">
      <w:pPr>
        <w:pStyle w:val="Extracto"/>
      </w:pPr>
      <w:r>
        <w:t>3.</w:t>
      </w:r>
      <w:r>
        <w:tab/>
        <w:t>No sólo vulneran el principio de legalidad las resoluciones sancionadoras que se sustenten en una subsunción de los hechos ajena al significado posible de los términos de la norma aplicada, sino también son constitucionalmente rechazables aquellas aplicaciones que, por su argumentación ilógica o su base valorativa ajena a los criterios que informan nuestro ordenamiento constitucional, conduzcan a soluciones opuestas a la orientación material de la norma y, por ello, sean imprevisibles para sus destinatarios [FJ 3].</w:t>
      </w:r>
    </w:p>
    <w:p w:rsidR="0026452D" w:rsidRDefault="0026452D" w:rsidP="0026452D">
      <w:pPr>
        <w:pStyle w:val="Extracto"/>
      </w:pPr>
    </w:p>
    <w:p w:rsidR="0026452D" w:rsidRDefault="0026452D" w:rsidP="0026452D">
      <w:pPr>
        <w:pStyle w:val="Extracto"/>
      </w:pPr>
      <w:r>
        <w:t>4.</w:t>
      </w:r>
      <w:r>
        <w:tab/>
        <w:t>Aplica la doctrina sobre sanciones administrativas por incumplimiento del deber de los titulares de vehículos a motor de suministrar a la Administración la identidad del conductor del mismo tras la denuncia de una supuesta infracción de tráfico, de la STC 111/2004, a cuya argumentación debemos remitirnos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 xml:space="preserve">La Sala Segunda del Tribunal Constitucional, compuesta por don Ramón Rodríguez Arribas, Presidente, don Pablo Pérez Tremps, don Francisco José Hernando Santiago, don </w:t>
      </w:r>
      <w:r>
        <w:lastRenderedPageBreak/>
        <w:t>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827-2011, promovido por doña Ana Fernández Martín, representada por la Procuradora de los Tribunales doña Aurora Gutiérrez Martín y asistida por el Letrado don Sergio Cuevas Corradi, contra la resolución sancionadora de 24 de noviembre de 2008, dictada por el Ayuntamiento de Madrid, así como frente a la Sentencia de 10 de enero de 2011 del Juzgado de lo Contencioso-Administrativo núm. 23 de Madrid y el Auto de 26 de enero de 2011 del mismo órgano judicial. Ha intervenido el Ministerio Fiscal; ha comparecido el Letrado del Ayuntamiento de Madrid. Ha sido Ponente el Magistrado don Luis Ignacio Ortega Álvarez,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Constitucional el 11 de febrero de 2011 la demandante interpuso recurso de amparo contra las resoluciones citadas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los que se fundamenta la demanda son, sucintamente expuestos, los siguientes:</w:t>
      </w:r>
    </w:p>
    <w:p w:rsidR="0026452D" w:rsidRDefault="0026452D" w:rsidP="0026452D">
      <w:pPr>
        <w:pStyle w:val="TextoNormal"/>
      </w:pPr>
    </w:p>
    <w:p w:rsidR="0026452D" w:rsidRDefault="0026452D" w:rsidP="0026452D">
      <w:pPr>
        <w:pStyle w:val="TextoNormal"/>
      </w:pPr>
      <w:r>
        <w:t>El 31 de octubre de 2007 se incoó expediente sancionador a la recurrente, en el que se le requirió que aportara los datos de la persona que conducía el vehículo de su propiedad, si es que no era ella misma, para la oportuna notificación de la infracción de tráfico cometida el 4 de octubre de 2007. La demandante de amparo facilitó los datos de los que disponía, nombre, apellidos y domicilio de la persona que conducía el vehículo el día en el que supuestamente se cometió la infracción. Sin embargo, el Ayuntamiento de Madrid abrió expediente sancionador contra la recurrente por incumplimiento de la obligación de identificar al conductor establecida en el art. 72 del Real Decreto Legislativo 339/1990, de 2 de marzo, por el que se aprueba el texto articulado de la Ley sobre tráfico, circulación de vehículos a motor y seguridad vial. Finalmente se dictó resolución sancionadora de 24 de noviembre de 2008 por la que se impuso una sanción de 301 euros, por no haber cumplido con el deber de identificar al conductor en tiempo y forma.</w:t>
      </w:r>
    </w:p>
    <w:p w:rsidR="0026452D" w:rsidRDefault="0026452D" w:rsidP="0026452D">
      <w:pPr>
        <w:pStyle w:val="TextoNormal"/>
      </w:pPr>
    </w:p>
    <w:p w:rsidR="0026452D" w:rsidRDefault="0026452D" w:rsidP="0026452D">
      <w:pPr>
        <w:pStyle w:val="TextoNormal"/>
      </w:pPr>
      <w:r>
        <w:t>Interpuesto recurso contencioso-administrativo frente a la resolución sancionadora, el Juzgado de lo Contencioso-Administrativo núm. 23 de Madrid dictó Sentencia de 10 de enero de 2011 desestimatoria del recurso. Explicaba el órgano judicial que “el supuesto que analizamos parte de una obligación legal: la del titular de un vehículo de identificar al con</w:t>
      </w:r>
      <w:r>
        <w:lastRenderedPageBreak/>
        <w:t>ductor del vehículo”; tras recordar que el Tribunal Constitucional ha considerado tal obligación proporcionada a la finalidad que persigue, afirmaba que “es necesario analizar cuál es la verdadera obligación y sobre la misma queda suficientemente claro en ambas redacciones del Texto Refundido de la Ley de Seguridad Vial que la obligación es la de señalar al conductor. Si unimos la obligación y el concepto legal del conductor llegamos a la conclusión de que la obligación es la de identificar a una persona que, conforme a la normativa, pueda tener la condición de conductor. En el presente supuesto la posición de la Administración demandada se ha centrado en la identificación. Pues bien, es claro que, situados únicamente en este punto, cabe indicar que los datos aportados para la identificación no podían considerarse suficiente en tanto en cuanto faltaba un elemento esencial como es el número del DNI o del permiso de circulación.”</w:t>
      </w:r>
    </w:p>
    <w:p w:rsidR="0026452D" w:rsidRDefault="0026452D" w:rsidP="0026452D">
      <w:pPr>
        <w:pStyle w:val="TextoNormal"/>
      </w:pPr>
    </w:p>
    <w:p w:rsidR="0026452D" w:rsidRDefault="0026452D" w:rsidP="0026452D">
      <w:pPr>
        <w:pStyle w:val="TextoNormal"/>
      </w:pPr>
      <w:r w:rsidRPr="0026452D">
        <w:rPr>
          <w:rStyle w:val="NumeroAFNegritaCaracter"/>
        </w:rPr>
        <w:t>3</w:t>
      </w:r>
      <w:r>
        <w:t>. La demandante de amparo considera lesionado el principio de legalidad penal, art. 25 CE, el derecho fundamental a la presunción de inocencia, art. 24.2 CE y el principio de igualdad del art. 14 CE.</w:t>
      </w:r>
    </w:p>
    <w:p w:rsidR="0026452D" w:rsidRDefault="0026452D" w:rsidP="0026452D">
      <w:pPr>
        <w:pStyle w:val="TextoNormal"/>
      </w:pPr>
    </w:p>
    <w:p w:rsidR="0026452D" w:rsidRDefault="0026452D" w:rsidP="0026452D">
      <w:pPr>
        <w:pStyle w:val="TextoNormal"/>
      </w:pPr>
      <w:r>
        <w:t>En cuanto al principio de legalidad entiende que se ha lesionado por la Administración al haber exigido, para el cumplimiento legal de identificación del conductor infractor, la comunicación del documento nacional de identidad o número del permiso de circulación. Explica que identificó con nombre, apellidos y domicilio a la persona que consideraba responsable de la infracción, datos que debieron ser suficientes para que la Administración de dirigiera frente a tal persona incoando el oportuno expediente sancionador. Además, argumenta que si no facilitó el documento nacional de identidad era porque en aquel momento le fue imposible recabar ese dato de la persona responsable. Por último, en relación con esta alegación, recuerda que en otro caso idéntico, habiendo aportado los mismos datos, la Administración fue capaz de realizar la oportuna notificación a la persona responsable.</w:t>
      </w:r>
    </w:p>
    <w:p w:rsidR="0026452D" w:rsidRDefault="0026452D" w:rsidP="0026452D">
      <w:pPr>
        <w:pStyle w:val="TextoNormal"/>
      </w:pPr>
    </w:p>
    <w:p w:rsidR="0026452D" w:rsidRDefault="0026452D" w:rsidP="0026452D">
      <w:pPr>
        <w:pStyle w:val="TextoNormal"/>
      </w:pPr>
      <w:r>
        <w:t>En segundo término, considera lesionado su derecho a la presunción de inocencia al haber sido sancionado por el mero hecho de ser el titular del vehículo sin llevar a cabo la más mínima labor de averiguación para saber quién fue el infractor, a pesar de haber facilitados datos suficientes para ello.</w:t>
      </w:r>
    </w:p>
    <w:p w:rsidR="0026452D" w:rsidRDefault="0026452D" w:rsidP="0026452D">
      <w:pPr>
        <w:pStyle w:val="TextoNormal"/>
      </w:pPr>
    </w:p>
    <w:p w:rsidR="0026452D" w:rsidRDefault="0026452D" w:rsidP="0026452D">
      <w:pPr>
        <w:pStyle w:val="TextoNormal"/>
      </w:pPr>
      <w:r>
        <w:t>Por último, alega la lesión del principio de igualdad argumentando que, tanto la resolución sancionadora del Ayuntamiento de Madrid, como la resolución judicial impugnada, se apartan de la doctrina que el Tribunal Constitucional estableció, entre otras, en la STC 111/2004, de 12 de julio.</w:t>
      </w:r>
    </w:p>
    <w:p w:rsidR="0026452D" w:rsidRDefault="0026452D" w:rsidP="0026452D">
      <w:pPr>
        <w:pStyle w:val="TextoNormal"/>
      </w:pPr>
    </w:p>
    <w:p w:rsidR="0026452D" w:rsidRDefault="0026452D" w:rsidP="0026452D">
      <w:pPr>
        <w:pStyle w:val="TextoNormal"/>
      </w:pPr>
      <w:r w:rsidRPr="0026452D">
        <w:rPr>
          <w:rStyle w:val="NumeroAFNegritaCaracter"/>
        </w:rPr>
        <w:t>4</w:t>
      </w:r>
      <w:r>
        <w:t>. La Sala Segunda del Tribunal Constitucional acordó por providencia de 1 de marzo de 2012 la admisión a trámite del recurso de amparo y, de conformidad con el art. 51 de la Ley Orgánica del Tribunal Constitucional, requerir atentamente al Ayuntamiento de Madrid para que remitiera testimonio del expediente administrativo del que surge el presente recurso; asimismo se acordó requerir al Juzgado de lo Contencioso-Administrativo núm. 23 de Madrid, para que en el plazo de diez días remitieran testimonio del procedimiento abreviado núm. 9-2009, interesándose al propio tiempo el emplazamiento de quienes fueron parte en el procedimiento, con excepción de la recurrente en amparo, ya personada. Mediante diligencia de ordenación de 22 de mayo de 2012, se tuvo por personado al Ayuntamiento de Madrid y se otorgó un plazo común de veinte días para que las partes pudieran alegar lo que a su derecho conviniera.</w:t>
      </w:r>
    </w:p>
    <w:p w:rsidR="0026452D" w:rsidRDefault="0026452D" w:rsidP="0026452D">
      <w:pPr>
        <w:pStyle w:val="TextoNormal"/>
      </w:pPr>
    </w:p>
    <w:p w:rsidR="0026452D" w:rsidRDefault="0026452D" w:rsidP="0026452D">
      <w:pPr>
        <w:pStyle w:val="TextoNormal"/>
      </w:pPr>
      <w:r w:rsidRPr="0026452D">
        <w:rPr>
          <w:rStyle w:val="NumeroAFNegritaCaracter"/>
        </w:rPr>
        <w:t>5</w:t>
      </w:r>
      <w:r>
        <w:t>. La recurrente, mediante escrito de 28 de mayo de 2012, reiteró las alegaciones efectuadas en la demanda de amparo.</w:t>
      </w:r>
    </w:p>
    <w:p w:rsidR="0026452D" w:rsidRDefault="0026452D" w:rsidP="0026452D">
      <w:pPr>
        <w:pStyle w:val="TextoNormal"/>
      </w:pPr>
    </w:p>
    <w:p w:rsidR="0026452D" w:rsidRDefault="0026452D" w:rsidP="0026452D">
      <w:pPr>
        <w:pStyle w:val="TextoNormal"/>
      </w:pPr>
      <w:r w:rsidRPr="0026452D">
        <w:rPr>
          <w:rStyle w:val="NumeroAFNegritaCaracter"/>
        </w:rPr>
        <w:t>6</w:t>
      </w:r>
      <w:r>
        <w:t>. El Ministerio Fiscal formuló sus alegaciones en escrito de 21 de junio de 2012.</w:t>
      </w:r>
    </w:p>
    <w:p w:rsidR="0026452D" w:rsidRDefault="0026452D" w:rsidP="0026452D">
      <w:pPr>
        <w:pStyle w:val="TextoNormal"/>
      </w:pPr>
    </w:p>
    <w:p w:rsidR="0026452D" w:rsidRDefault="0026452D" w:rsidP="0026452D">
      <w:pPr>
        <w:pStyle w:val="TextoNormal"/>
      </w:pPr>
      <w:r>
        <w:t>Señala que el presente recurso de amparo presenta notables similitudes con el caso resuelto —en sentido estimatorio— por la STC 111/2004, de 12 de julio, supuesto en el que la propietaria de un vehículo, ante la denuncia de que éste se encontraba estacionado en forma indebida, sí que facilitó al Ayuntamiento de Madrid la identidad del conductor —nombre, apellidos, domicilio—, pero no cumplimentó el espacio reservado al número de su permiso de conducir del conductor.</w:t>
      </w:r>
    </w:p>
    <w:p w:rsidR="0026452D" w:rsidRDefault="0026452D" w:rsidP="0026452D">
      <w:pPr>
        <w:pStyle w:val="TextoNormal"/>
      </w:pPr>
    </w:p>
    <w:p w:rsidR="0026452D" w:rsidRDefault="0026452D" w:rsidP="0026452D">
      <w:pPr>
        <w:pStyle w:val="TextoNormal"/>
      </w:pPr>
      <w:r>
        <w:t>También recuerda el Ministerio Fiscal que la posibilidad de que, como consecuencia de la pautas interpretativas empleada para la subsunción de una conducta en un tipo sancionador (o, dicho de otro modo, en una infracción administrativa), se produzca una vulneración del art. 25.1 CE ha sido contemplada ya por el Tribunal Constitucional, cuya doctrina al respecto quedó sintetizada en el fundamento jurídico 5 de la STC 196/2002, de 28 de octubre.</w:t>
      </w:r>
    </w:p>
    <w:p w:rsidR="0026452D" w:rsidRDefault="0026452D" w:rsidP="0026452D">
      <w:pPr>
        <w:pStyle w:val="TextoNormal"/>
      </w:pPr>
    </w:p>
    <w:p w:rsidR="0026452D" w:rsidRDefault="0026452D" w:rsidP="0026452D">
      <w:pPr>
        <w:pStyle w:val="TextoNormal"/>
      </w:pPr>
      <w:r>
        <w:t>En el momento de los hechos, el art. 72 del Real Decreto Legislativo 339/1990, de 2 de marzo, por el que se aprueba el texto articulado de la Ley sobre tráfico, circulación de vehículos a motor y seguridad vial, según redacción dada por la Ley 17/2005, de 19 de julio, por la que se regula el permiso y la licencia de conducción por puntos y se modifica el texto articulado de la ley sobre tráfico, circulación de vehículos a motor y seguridad vial, después de establecer en su apartado 1 que la responsabilidad por las infracciones a lo dispuesto en la norma recaería directamente en el autor del hecho en que consistiera la infracción, disponía en su apartado 3 lo siguiente:</w:t>
      </w:r>
    </w:p>
    <w:p w:rsidR="0026452D" w:rsidRDefault="0026452D" w:rsidP="0026452D">
      <w:pPr>
        <w:pStyle w:val="TextoNormal"/>
      </w:pPr>
    </w:p>
    <w:p w:rsidR="0026452D" w:rsidRDefault="0026452D" w:rsidP="0026452D">
      <w:pPr>
        <w:pStyle w:val="TextoNormal"/>
      </w:pPr>
      <w:r>
        <w:t>“El titular o el arrendatario del vehículo con el que se haya cometido una infracción, debidamente requerido para ello, tiene el deber de identificar verazmente al conductor responsable de la infracción. Si incumpliera esta obligación en el trámite procedimental oportuno, sin causa justificada, será sancionado pecuniariamente como autor de la infracción muy grave prevista en el art. 65.5 i).”</w:t>
      </w:r>
    </w:p>
    <w:p w:rsidR="0026452D" w:rsidRDefault="0026452D" w:rsidP="0026452D">
      <w:pPr>
        <w:pStyle w:val="TextoNormal"/>
      </w:pPr>
    </w:p>
    <w:p w:rsidR="0026452D" w:rsidRDefault="0026452D" w:rsidP="0026452D">
      <w:pPr>
        <w:pStyle w:val="TextoNormal"/>
      </w:pPr>
      <w:r>
        <w:t xml:space="preserve">Destaca el Ministerio Fiscal que de las actuaciones, resulta que la actividad administrativa se basó, en el presente caso, en considerar la propietaria del vehículo no había identificado verazmente a la persona que como conductor había utilizado el automóvil objeto de la denuncia, por no haber facilitado el número de su documento nacional de identidad o el de su carné de conducir, por lo que dicho órgano administrativo consideró apropiado incoar de oficio a aquélla otro expediente sancionador, haciéndola responsable no ya del indebido estacionamiento del vehículo de su propiedad, sino de no haber facilitado la verdadera identidad de la persona que en aquélla ocasión condujo dicho vehículo. Sin embargo, examinado el expediente administrativo se advierte inmediatamente que en él no existe ninguna actuación administrativa tendente a notificar la infracción cometida a la persona designada por el propietario del vehículo como conductora del mismo. Por el contrario, existe la certeza de que la Administración, por el mero hecho de no haber facilitado el número del documento nacional de identidad o del permiso de conducir del infractor, extrajo de ahí la consecuencia </w:t>
      </w:r>
      <w:r>
        <w:lastRenderedPageBreak/>
        <w:t>de que la propietaria del vehículo había facilitado una identidad no veraz o, si se quiere falsa. Actuación ésta (más que la escueta motivación del acto administrativo impugnado) que no responde a la argumentación lógica que permita subsumir la conducta de la parte recurrente en el tipo aplicado.</w:t>
      </w:r>
    </w:p>
    <w:p w:rsidR="0026452D" w:rsidRDefault="0026452D" w:rsidP="0026452D">
      <w:pPr>
        <w:pStyle w:val="TextoNormal"/>
      </w:pPr>
    </w:p>
    <w:p w:rsidR="0026452D" w:rsidRDefault="0026452D" w:rsidP="0026452D">
      <w:pPr>
        <w:pStyle w:val="TextoNormal"/>
      </w:pPr>
      <w:r>
        <w:t>Tampoco la Sentencia dictada por el Juzgado de lo Contencioso-Administrativo núm. 23 de Madrid en el procedimiento abreviado núm. 9-2009 con fecha 10 de enero de 2011 suministra una motivación jurídica concreta y cognoscible que permita calificar de razonable la subsunción de los hechos en el precepto aplicado como fundamento de la sanción impuesta.</w:t>
      </w:r>
    </w:p>
    <w:p w:rsidR="0026452D" w:rsidRDefault="0026452D" w:rsidP="0026452D">
      <w:pPr>
        <w:pStyle w:val="TextoNormal"/>
      </w:pPr>
    </w:p>
    <w:p w:rsidR="0026452D" w:rsidRDefault="0026452D" w:rsidP="0026452D">
      <w:pPr>
        <w:pStyle w:val="TextoNormal"/>
      </w:pPr>
      <w:r>
        <w:t>Por lo tanto, concluye el Fiscal, dado que ni con la resolución administrativa sancionadora ni con la Sentencia contencioso-administrativa posterior cabe discernir un fundamento razonable para subsumir la conducta de la demandante de amparo en la infracción administrativa por la que resultó sancionada, debe otorgarse a la recurrente al amparo del derecho fundamental que le reconoce el art. 25.1 CE, por lo que deben anularse tanto la resolución sancionadora como la Sentencia.</w:t>
      </w:r>
    </w:p>
    <w:p w:rsidR="0026452D" w:rsidRDefault="0026452D" w:rsidP="0026452D">
      <w:pPr>
        <w:pStyle w:val="TextoNormal"/>
      </w:pPr>
    </w:p>
    <w:p w:rsidR="0026452D" w:rsidRDefault="0026452D" w:rsidP="0026452D">
      <w:pPr>
        <w:pStyle w:val="TextoNormal"/>
      </w:pPr>
      <w:r>
        <w:t>También considera lesionado el derecho a la presunción de inocencia (art. 24.2 CE), tanto por lo que se refiere a la resolución administrativa sancionadora, como a la Sentencia que la confirma, ya que no existe actividad probatoria de cargo, válida y suficiente para enervar la presunción de inocencia de la recurrente, habida cuenta de que no consta en el expediente administrativo la práctica de una sola diligencia tendente a determinar si la persona designada ante la Administración por doña Ana Fernández Martín como conductora el día de autos del vehículo, don J. L. F. G., podía ser efectivamente localizada en el domicilio facilitado.</w:t>
      </w:r>
    </w:p>
    <w:p w:rsidR="0026452D" w:rsidRDefault="0026452D" w:rsidP="0026452D">
      <w:pPr>
        <w:pStyle w:val="TextoNormal"/>
      </w:pPr>
    </w:p>
    <w:p w:rsidR="0026452D" w:rsidRDefault="0026452D" w:rsidP="0026452D">
      <w:pPr>
        <w:pStyle w:val="TextoNormal"/>
      </w:pPr>
      <w:r>
        <w:t xml:space="preserve">Descarta, por último, lesión del principio de igualdad en la aplicación de la ley (art. 14 CE). Considera que la parte recurrente ha incumplido la carga que la corresponde aportar un </w:t>
      </w:r>
      <w:r w:rsidRPr="0026452D">
        <w:rPr>
          <w:i/>
        </w:rPr>
        <w:t>tertium comparationis</w:t>
      </w:r>
      <w:r>
        <w:t>, pues ni ha adjuntado ni ha identificado, ni siquiera ha citado en la demanda resolución alguna del Juzgado de lo Contencioso-Administrativo núm. 23 de Madrid, que permita llevar a cabo un juicio de igualdad (STC 105/2009, de 4 de mayo, FJ 5).</w:t>
      </w:r>
    </w:p>
    <w:p w:rsidR="0026452D" w:rsidRDefault="0026452D" w:rsidP="0026452D">
      <w:pPr>
        <w:pStyle w:val="TextoNormal"/>
      </w:pPr>
    </w:p>
    <w:p w:rsidR="0026452D" w:rsidRDefault="0026452D" w:rsidP="0026452D">
      <w:pPr>
        <w:pStyle w:val="TextoNormal"/>
      </w:pPr>
      <w:r w:rsidRPr="0026452D">
        <w:rPr>
          <w:rStyle w:val="NumeroAFNegritaCaracter"/>
        </w:rPr>
        <w:t>7</w:t>
      </w:r>
      <w:r>
        <w:t>. El Letrado del Ayuntamiento de Madrid formuló alegaciones mediante escrito de 19 de septiembre de 2012, solicitando la desestimación de la demanda.</w:t>
      </w:r>
    </w:p>
    <w:p w:rsidR="0026452D" w:rsidRDefault="0026452D" w:rsidP="0026452D">
      <w:pPr>
        <w:pStyle w:val="TextoNormal"/>
      </w:pPr>
    </w:p>
    <w:p w:rsidR="0026452D" w:rsidRDefault="0026452D" w:rsidP="0026452D">
      <w:pPr>
        <w:pStyle w:val="TextoNormal"/>
      </w:pPr>
      <w:r>
        <w:t xml:space="preserve">Explica que el artículo 72.3 del texto articulado de la Ley sobre tráfico, circulación de vehículos a motor y seguridad vial, aprobado por Real Decreto Legislativo 339/1990, de 2 de marzo establece la obligación que tiene el titular de un vehículo de identificar al conductor que considere que puede ser responsable de una infracción en materia de tráfico. En el presente caso, no existe ninguna vulneración del art. 25.1 CE, ya que, el art. 72.3 de la Ley sobre tráfico, circulación de vehículos a motor y seguridad vial, sanciona la identificación no veraz del conductor responsable de una infracción en materia de tráfico, realizada por la persona titular del vehículo. En su opinión, la identificación será entendida como veraz cuando los datos aportados por la persona requerida por la Administración municipal puedan ser contrastados, con los datos que obran en poder de la Dirección General de Tráfico, es decir, tan solo, si se aporta el documento nacional de identidad o el número del permiso </w:t>
      </w:r>
      <w:r>
        <w:lastRenderedPageBreak/>
        <w:t>de conducir del presunto infractor, se puede saber si la persona identificada, realmente existe y se encuentra habilitada administrativamente para conducir vehículos a motor.</w:t>
      </w:r>
    </w:p>
    <w:p w:rsidR="0026452D" w:rsidRDefault="0026452D" w:rsidP="0026452D">
      <w:pPr>
        <w:pStyle w:val="TextoNormal"/>
      </w:pPr>
    </w:p>
    <w:p w:rsidR="0026452D" w:rsidRDefault="0026452D" w:rsidP="0026452D">
      <w:pPr>
        <w:pStyle w:val="TextoNormal"/>
      </w:pPr>
      <w:r>
        <w:t>En este caso, afirma, la identificación realizada por la recurrente no pasa la prueba de contraste realizada por la Administración municipal, ya que sin el documento nacional de identidad o sin el número de permiso de conducir de la persona identificada no puede saberse si ésta existe ni tampoco si posee la habilitación administrativa para circular con un vehículo a motor en nuestro país.</w:t>
      </w:r>
    </w:p>
    <w:p w:rsidR="0026452D" w:rsidRDefault="0026452D" w:rsidP="0026452D">
      <w:pPr>
        <w:pStyle w:val="TextoNormal"/>
      </w:pPr>
    </w:p>
    <w:p w:rsidR="0026452D" w:rsidRDefault="0026452D" w:rsidP="0026452D">
      <w:pPr>
        <w:pStyle w:val="TextoNormal"/>
      </w:pPr>
      <w:r>
        <w:t>En cuanto a la vulneración del derecho a la presunción de inocencia, art. 24.2 CE, explica que la Administración la dirigió un requerimiento para que identificase de forma veraz a la persona que conducía su vehículo en el momento de comisión de una infracción en materia de tráfico, y sancionó a la recurrente porqué estimó, una vez consultados los archivos de la Dirección General de Tráfico, que la identificación realizada no podía entenderse como veraz contraviniendo lo previsto en el art. 72.3 de la Ley sobre tráfico, circulación de vehículos a motor y seguridad vial.</w:t>
      </w:r>
    </w:p>
    <w:p w:rsidR="0026452D" w:rsidRDefault="0026452D" w:rsidP="0026452D">
      <w:pPr>
        <w:pStyle w:val="TextoNormal"/>
      </w:pPr>
    </w:p>
    <w:p w:rsidR="0026452D" w:rsidRDefault="0026452D" w:rsidP="0026452D">
      <w:pPr>
        <w:pStyle w:val="TextoNormal"/>
      </w:pPr>
      <w:r>
        <w:t>Por último, pone de manifiesto que la Administración municipal, ha advertido que desde el año 2005 hasta ahora, la recurrente ha sido objeto de innumerables procedimientos sancionadores, por el mismo hecho, es decir identificar a una persona como conductor responsable de una infracción en materia de tráfico sin aportar su documento nacional de identidad o número de permiso de conducir. La existencia de tantos procedimientos pone de manifiesto la irresponsabilidad de la recurrente, que permite que utilicen un vehículo de su propiedad persona o personas, de las que desconoce si son o no titulares del permiso que les habilite para conducir vehículos a motor en nuestro país y que además dificulta la labor de la Administración para determinar si la persona que ha sido identificada puede o no ser el presunto responsable de una infracción en materia de tráfico.</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7 de febrero de 2013, se señaló para deliberación y votación de la presente Sentencia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Es objeto del presente recurso de amparo la resolución sancionadora de 24 de noviembre de 2008, dictada por el Ayuntamiento de Madrid, confirmada por la Sentencia de 10 de enero de 2011 del Juzgado de lo Contencioso-Administrativo núm. 23 de Madrid.</w:t>
      </w:r>
    </w:p>
    <w:p w:rsidR="0026452D" w:rsidRDefault="0026452D" w:rsidP="0026452D">
      <w:pPr>
        <w:pStyle w:val="TextoNormal"/>
      </w:pPr>
    </w:p>
    <w:p w:rsidR="0026452D" w:rsidRDefault="0026452D" w:rsidP="0026452D">
      <w:pPr>
        <w:pStyle w:val="TextoNormal"/>
      </w:pPr>
      <w:r>
        <w:t>Como ha quedado expuesto con más detalles en los antecedentes, en opinión de la parte recurrente, tales resoluciones han vulnerado el principio de legalidad, art. 25 CE, su derecho a la presunción de inocencia, art. 24.2 CE y el principio de igualdad, art. 14 CE. El Ministerio Fiscal ha solicitado la estimación de la demanda al considerar vulnerado el principio de legalidad penal y el derecho a la presunción de inocencia de la recurrente. Por su parte, el Ayuntamiento de Madrid, a través de su representación procesal considera que la demanda debe ser desestimada.</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Como han puesto de manifiesto la parte recurrente y el Ministerio Fiscal en sus respectivos escritos, el presente caso presenta una gran similitud con el recurso de amparo </w:t>
      </w:r>
      <w:r>
        <w:lastRenderedPageBreak/>
        <w:t>resuelto por este Tribunal en la STC 111/2004, de 12 de julio. En aquel caso, como en el presente, la demandante fue sancionada por lo que la Administración entendió como un incumplimiento del deber que el art. 72.3 de la Ley sobre tráfico, circulación de vehículos a motor y seguridad vial, impone al titular de un vehículo a motor de suministrar a aquélla la identidad del conductor del mismo ante la denuncia de una supuesta infracción.</w:t>
      </w:r>
    </w:p>
    <w:p w:rsidR="0026452D" w:rsidRDefault="0026452D" w:rsidP="0026452D">
      <w:pPr>
        <w:pStyle w:val="TextoNormal"/>
      </w:pPr>
    </w:p>
    <w:p w:rsidR="0026452D" w:rsidRDefault="0026452D" w:rsidP="0026452D">
      <w:pPr>
        <w:pStyle w:val="TextoNormal"/>
      </w:pPr>
      <w:r>
        <w:t>En ambos supuestos, ante el requerimiento de la Administración para que se identificara al conductor responsable de la infracción, los titulares de los vehículos comunicaron el nombre, apellidos y domicilio del supuesto responsable; estos datos fueron considerados insuficientes por la Administración que, en ambos supuestos, sancionó al titular del vehículo por incumplimiento del deber de identificación del conductor responsable de la infracción, al considerar indispensable la comunicación del número del documento nacional de identidad o del permiso de conducir del responsable para cumplimentar la identificación requerida.</w:t>
      </w:r>
    </w:p>
    <w:p w:rsidR="0026452D" w:rsidRDefault="0026452D" w:rsidP="0026452D">
      <w:pPr>
        <w:pStyle w:val="TextoNormal"/>
      </w:pPr>
    </w:p>
    <w:p w:rsidR="0026452D" w:rsidRDefault="0026452D" w:rsidP="0026452D">
      <w:pPr>
        <w:pStyle w:val="TextoNormal"/>
      </w:pPr>
      <w:r w:rsidRPr="0026452D">
        <w:rPr>
          <w:rStyle w:val="NumeroAFNegritaCaracter"/>
        </w:rPr>
        <w:t>3</w:t>
      </w:r>
      <w:r>
        <w:t>. La resolución sancionadora originaria del presente recurso de amparo, se basó, según se ha expuesto en los antecedentes, en que los datos aportados sobre la identidad del conductor se consideraron insuficientes para entender cumplido el deber que recoge el art. 72.3 de la Ley sobre tráfico, circulación de vehículos a motor y seguridad vial. Al igual que ocurría en el caso resuelto en la STC 111/2004, de 12 de julio, no existe en el expediente administrativo constancia de actuación administrativa alguna tendente a comunicar con la persona identificada por la demandante que se hubiera frustrado por el desconocimiento del número del documento nacional de identidad o del permiso de conducir, lo que revela que, al menos en las circunstancias del caso, la escueta motivación del acto administrativo no responde a una argumentación lógica que permitiera subsumir la conducta de la recurrente en el tipo aplicado.</w:t>
      </w:r>
    </w:p>
    <w:p w:rsidR="0026452D" w:rsidRDefault="0026452D" w:rsidP="0026452D">
      <w:pPr>
        <w:pStyle w:val="TextoNormal"/>
      </w:pPr>
    </w:p>
    <w:p w:rsidR="0026452D" w:rsidRDefault="0026452D" w:rsidP="0026452D">
      <w:pPr>
        <w:pStyle w:val="TextoNormal"/>
      </w:pPr>
      <w:r>
        <w:t>En efecto, ni la norma —en la redacción vigente el momento de los hechos— exigía expresamente que se facilitaran esos concretos datos ni, conforme a los modelos de argumentación aceptados por la comunidad jurídica, cabe extraer tal exigencia del tenor de la misma, una vez que se había indicado a la Administración el nombre, dos apellidos y domicilio del conductor, lo que, en principio y sin que las circunstancias concurrentes permitieran presumir otra cosa, parece, por una parte, que supone una respuesta congruente con el deber de identificar a una persona impuesto en la Ley de seguridad vial y, por otra, que es suficiente con la finalidad de la exigencia legal, que es la de permitir a la Administración dirigir eventualmente contra esa persona un procedimiento sancionador.</w:t>
      </w:r>
    </w:p>
    <w:p w:rsidR="0026452D" w:rsidRDefault="0026452D" w:rsidP="0026452D">
      <w:pPr>
        <w:pStyle w:val="TextoNormal"/>
      </w:pPr>
    </w:p>
    <w:p w:rsidR="0026452D" w:rsidRDefault="0026452D" w:rsidP="0026452D">
      <w:pPr>
        <w:pStyle w:val="TextoNormal"/>
      </w:pPr>
      <w:r>
        <w:t xml:space="preserve">Por tanto, con remisión a lo argumentado en la STC 111/2004, de 12 de julio, procede otorgar el amparo solicitado, recordando que la posibilidad de que se produzca una vulneración del art. 25.1 CE como consecuencia de las pautas interpretativas empleadas para la subsunción de la conducta en el tipo de la infracción ha sido expresamente contemplada por este Tribunal, recientemente recordado en la STC 70/2012, de 16 de abril, FJ 5, en la que, precisamente con remisión a la STC 111/2004, de 12 de julio, FJ 3, se reiteraba que “la validez constitucional de la aplicación de las normas sancionadoras depende tanto del respeto al tenor literal del enunciado normativo, que marca en todo caso una zona indudable de exclusión de comportamientos, como de su previsibilidad (SSTC 151/1997, de 29 de septiembre, FJ 4; y 236/1997, de 22 de diciembre, FJ 3), hallándose en todo caso vinculadas por los principios de legalidad y de seguridad jurídica. De este modo, no sólo vulneran el principio de legalidad las resoluciones sancionadoras que se sustenten en una subsunción </w:t>
      </w:r>
      <w:r>
        <w:lastRenderedPageBreak/>
        <w:t>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w:t>
      </w:r>
    </w:p>
    <w:p w:rsidR="0026452D" w:rsidRDefault="0026452D" w:rsidP="0026452D">
      <w:pPr>
        <w:pStyle w:val="TextoNormal"/>
      </w:pPr>
    </w:p>
    <w:p w:rsidR="0026452D" w:rsidRDefault="0026452D" w:rsidP="0026452D">
      <w:pPr>
        <w:pStyle w:val="TextoNormal"/>
      </w:pPr>
      <w:r>
        <w:t>Una vez constatada la lesión del principio de legalidad no procede el análisis de las demás quejas aducidas en la demanda, puesto que la apreciación de la vulneración del art. 25 CE conlleva la declaración de nulidad de la resolución sancionadora recurrida.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doña Ana Fernández Martín y, en consecuencia:</w:t>
      </w:r>
    </w:p>
    <w:p w:rsidR="0026452D" w:rsidRDefault="0026452D" w:rsidP="0026452D">
      <w:pPr>
        <w:pStyle w:val="TextoNormal"/>
      </w:pPr>
    </w:p>
    <w:p w:rsidR="0026452D" w:rsidRDefault="0026452D" w:rsidP="0026452D">
      <w:pPr>
        <w:pStyle w:val="TextoNormal"/>
      </w:pPr>
      <w:r>
        <w:t>1º Reconocer su derecho fundamental a la legalidad sancionadora (art. 25.1 CE).</w:t>
      </w:r>
    </w:p>
    <w:p w:rsidR="0026452D" w:rsidRDefault="0026452D" w:rsidP="0026452D">
      <w:pPr>
        <w:pStyle w:val="TextoNormal"/>
      </w:pPr>
    </w:p>
    <w:p w:rsidR="0026452D" w:rsidRDefault="0026452D" w:rsidP="0026452D">
      <w:pPr>
        <w:pStyle w:val="TextoNormal"/>
      </w:pPr>
      <w:r>
        <w:t>2º Declarar la nulidad de la resolución sancionadora de 24 de noviembre de 2008, dictada por el Ayuntamiento de Madrid, así como de a la Sentencia de 10 de enero de 2011 del Juzgado de lo Contencioso-Administrativo núm. 23 de Madrid.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34" w:name="SENTENCIA_2013_31"/>
      <w:r>
        <w:lastRenderedPageBreak/>
        <w:t>SENTENCIA 31/2013, de 11 de febrero de 2013</w:t>
      </w:r>
    </w:p>
    <w:bookmarkEnd w:id="34"/>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ECLI:ES:TC:2013:31</w:t>
      </w:r>
    </w:p>
    <w:p w:rsidR="0026452D" w:rsidRDefault="0026452D" w:rsidP="0026452D">
      <w:pPr>
        <w:pStyle w:val="SntesisDescriptiva"/>
      </w:pPr>
    </w:p>
    <w:p w:rsidR="0026452D" w:rsidRDefault="0026452D" w:rsidP="0026452D">
      <w:pPr>
        <w:pStyle w:val="SntesisDescriptiva"/>
      </w:pPr>
      <w:r>
        <w:t>Recurso de amparo 4759-2011. Promovido por don Gabriel Ricardo Dias Azedo frente a las resoluciones de la Sala de lo Penal de la Audiencia Nacional que acordaron su extradición a la Región Administrativa Especial de Hong Kong de la República Popular China.</w:t>
      </w:r>
    </w:p>
    <w:p w:rsidR="0026452D" w:rsidRDefault="0026452D" w:rsidP="0026452D">
      <w:pPr>
        <w:pStyle w:val="SntesisDescriptiva"/>
      </w:pPr>
    </w:p>
    <w:p w:rsidR="0026452D" w:rsidRDefault="0026452D" w:rsidP="0026452D">
      <w:pPr>
        <w:pStyle w:val="SntesisAnaltica"/>
      </w:pPr>
      <w:r>
        <w:t>Vulneración de los derechos a la tutela judicial efectiva y a la libertad: incumplimiento de la legalidad en materia de extradición al tramitarse y concederse la solicitud presentada por la Región Administrativa Especial de Hong Kong sin contar con la asistencia o autorización de la República Popular China. Voto particular.</w:t>
      </w:r>
    </w:p>
    <w:p w:rsidR="0026452D" w:rsidRDefault="0026452D" w:rsidP="0026452D">
      <w:pPr>
        <w:pStyle w:val="SntesisAnaltica"/>
      </w:pPr>
    </w:p>
    <w:p w:rsidR="0026452D" w:rsidRDefault="0026452D" w:rsidP="0026452D">
      <w:pPr>
        <w:pStyle w:val="Extracto"/>
      </w:pPr>
      <w:r>
        <w:t>1.</w:t>
      </w:r>
      <w:r>
        <w:tab/>
        <w:t>Los argumentos que emplean las resoluciones impugnadas para dar por válida la entrega del demandante a las autoridades de la Región Administrativa Especial de Hong Kong no se acomodan a la garantía fundamental de la extradición, art. 13.3 CE, vulnerando los derechos a la tutela judicial efectiva, art. 24.1 CE, y a la libertad, art. 17.1 CE, pues la Región Administrativa Especial de Hong Kong carecía de capacidad para reclamar la entrega sin la asistencia o autorización de la República Popular de China [FJ 7].</w:t>
      </w:r>
    </w:p>
    <w:p w:rsidR="0026452D" w:rsidRDefault="0026452D" w:rsidP="0026452D">
      <w:pPr>
        <w:pStyle w:val="Extracto"/>
      </w:pPr>
    </w:p>
    <w:p w:rsidR="0026452D" w:rsidRDefault="0026452D" w:rsidP="0026452D">
      <w:pPr>
        <w:pStyle w:val="Extracto"/>
      </w:pPr>
      <w:r>
        <w:t>2.</w:t>
      </w:r>
      <w:r>
        <w:tab/>
        <w:t xml:space="preserve">La Ley básica de la Región Administrativa de Hong Kong exige, para solicitar la extradición de cualquier persona, la autorización de la República Popular de China o la existencia de un tratado internacional, no pudiendo suplirse dicha autorización en virtud de razonamientos que apelan al reconocimiento, de facto, de Hong Kong por la comunidad internacional, a que España reconozca la facultad de establecer directamente relaciones extradicionales o a que se hayan celebrado tratados bilaterales, ya que dicha argumentación lesiona el derecho a la tutela judicial efectiva al infringir la garantía institucional derivada del art. 13.3 CE, pues la extradición debe quedar sometida a reglas jurídicas y no exclusivamente a la voluntad de los Estados (SSTC 141/1998, 30/2006) [FJ 5]. </w:t>
      </w:r>
    </w:p>
    <w:p w:rsidR="0026452D" w:rsidRDefault="0026452D" w:rsidP="0026452D">
      <w:pPr>
        <w:pStyle w:val="Extracto"/>
      </w:pPr>
    </w:p>
    <w:p w:rsidR="0026452D" w:rsidRDefault="0026452D" w:rsidP="0026452D">
      <w:pPr>
        <w:pStyle w:val="Extracto"/>
      </w:pPr>
      <w:r>
        <w:t>3.</w:t>
      </w:r>
      <w:r>
        <w:tab/>
        <w:t xml:space="preserve">La resoluciones impugnadas que, negando que Hong Kong sea un Estado, acordaron la extradición del demandante a la Región Administrativa de Hong Kong no son compatibles con la garantía institucional básica del proceso extradicional, </w:t>
      </w:r>
      <w:r w:rsidRPr="0026452D">
        <w:rPr>
          <w:i/>
        </w:rPr>
        <w:t>ex</w:t>
      </w:r>
      <w:r>
        <w:t xml:space="preserve"> art. 13.3 CE, ni con la exigencia de una resolución fundada en Derecho, al sustentar la decisión en la Ley de extradición pasiva, en la que se configura la extradición como acto de soberanía en relación con otros Estados,  y en la Convención de las Naciones Unidas sobre la corrupción, no siendo la Región Administrativa de Hong Kong firmante del mismo [FJ 6].</w:t>
      </w:r>
    </w:p>
    <w:p w:rsidR="0026452D" w:rsidRDefault="0026452D" w:rsidP="0026452D">
      <w:pPr>
        <w:pStyle w:val="Extracto"/>
      </w:pPr>
    </w:p>
    <w:p w:rsidR="0026452D" w:rsidRDefault="0026452D" w:rsidP="0026452D">
      <w:pPr>
        <w:pStyle w:val="Extracto"/>
      </w:pPr>
      <w:r>
        <w:t>4.</w:t>
      </w:r>
      <w:r>
        <w:tab/>
        <w:t xml:space="preserve">Las resoluciones sobre extradición son revisables desde la perspectiva del derecho a la tutela judicial efectiva, es decir, desde la óptica del derecho a obtener una resolución razonablemente fundada en Derecho, si bien atendiendo al canon de </w:t>
      </w:r>
      <w:r>
        <w:lastRenderedPageBreak/>
        <w:t>motivación reforzado, pues este derecho se conecta con otros derechos fundamentales, y en el caso de la extradición pasiva con el derecho a la libertad, al impedir la permanencia en territorio español de un extranjero mediante su traslado forzoso a la frontera y entrega a las autoridades reclamantes (SSTC 141/1998, 232/2012) [FJ 3].</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Ortega Álvarez, don Francisco Pérez de los Cobos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4759-2011, promovido por don Gabriel Ricardo Dias Azedo, representado por el Procurador de los Tribunales don Santos Carrasco Gómez y asistido por el Letrado don Rodrigo Martín Sánchez, contra el Auto del Pleno de la Sala de lo Penal de la Audiencia Nacional 36/2011, de 27 de julio de 2011, recaído en el recurso de súplica 31-2011, interpuesto contra el Auto de la Sección Cuarta de la Sala de lo Penal de la Audiencia Nacional de 26 de mayo de 2011, dictado en rollo de Sala núm. 57-2010, procedimiento de extradición 22-2010, por el que se concede la extradición del demandante a la Región Administrativa Especial de Hong Kong de la República Popular China. Ha intervenido el Ministerio Fiscal y el Gobierno de la Región Administrativa Especial de Hong Kong de la República Popular China, representado por el Procurador don Luis Fernando Granados Bravo, asistido del Letrado don Gustavo López-Muñoz y Larraz. Ha sido Ponente el Magistrado don Ramón Rodríguez Arribas,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con fecha de 2 de septiembre de 2011, don Santos Carrasco Gómez, Procurador de los Tribunales, y de don Gabriel Ricardo Dias Azedo, interpuso recurso de amparo contra las resoluciones judiciales que se citan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de los que trae causa la demanda de amparo, relevantes para la resolución del caso son, en síntesis, los siguientes:</w:t>
      </w:r>
    </w:p>
    <w:p w:rsidR="0026452D" w:rsidRDefault="0026452D" w:rsidP="0026452D">
      <w:pPr>
        <w:pStyle w:val="TextoNormal"/>
      </w:pPr>
    </w:p>
    <w:p w:rsidR="0026452D" w:rsidRDefault="0026452D" w:rsidP="0026452D">
      <w:pPr>
        <w:pStyle w:val="TextoNormal"/>
      </w:pPr>
      <w:r>
        <w:t>a) El demandante de amparo, de nacionalidad portuguesa, fue detenido en territorio español el 8 de noviembre de 2010, a consecuencia de una orden internacional de detención emitida por las autoridades de Hong Kong, publicada el 5 de octubre de 2010, incoándose procedimiento extradicional núm. 22-2010 por el Juzgado Central de Instrucción núm. 5.</w:t>
      </w:r>
    </w:p>
    <w:p w:rsidR="0026452D" w:rsidRDefault="0026452D" w:rsidP="0026452D">
      <w:pPr>
        <w:pStyle w:val="TextoNormal"/>
      </w:pPr>
    </w:p>
    <w:p w:rsidR="0026452D" w:rsidRDefault="0026452D" w:rsidP="0026452D">
      <w:pPr>
        <w:pStyle w:val="TextoNormal"/>
      </w:pPr>
      <w:r>
        <w:t>b) El Juzgado Central de Instrucción núm. 5, dio audiencia al reclamado, que se opuso a la entrega. El 24 de febrero de 2011 dictó Auto elevando el expediente a la Sección Cuarta de la Sala de lo Penal de la Audiencia Nacional.</w:t>
      </w:r>
    </w:p>
    <w:p w:rsidR="0026452D" w:rsidRDefault="0026452D" w:rsidP="0026452D">
      <w:pPr>
        <w:pStyle w:val="TextoNormal"/>
      </w:pPr>
    </w:p>
    <w:p w:rsidR="0026452D" w:rsidRDefault="0026452D" w:rsidP="0026452D">
      <w:pPr>
        <w:pStyle w:val="TextoNormal"/>
      </w:pPr>
      <w:r>
        <w:t>c) Registrado el expediente como rollo de sala núm. 57-2010, en fecha 21 de marzo de 2011 se recibió a través de la Subdirección General de Cooperación Jurídica Internacional, procedente del Departamento de Justicia de la Región Administrativa de Hong Kong (folios 12 a 127, tomo II de las actuaciones seguidas ante el Juzgado Central de Instrucción), documentación posteriormente traducida (folios 39 a 87, del tomo I de las actuaciones seguidas ante la Sección Cuarta de la Sala de lo Penal de la Audiencia Nacional), en la que se contenía entre otros una declaración de la Diputada Principal del Consejo del Gobierno en la Unidad de Asistencia Mutua de la División Legal Internacional del Departamento de Justicia “Lam Mei Sau Linda”, de la Región Especial de Hong Kong de la República Popular de China, en la que citaban entre otros los arts. 12, 13, 96 y 153 de la Ley básica.</w:t>
      </w:r>
    </w:p>
    <w:p w:rsidR="0026452D" w:rsidRDefault="0026452D" w:rsidP="0026452D">
      <w:pPr>
        <w:pStyle w:val="TextoNormal"/>
      </w:pPr>
    </w:p>
    <w:p w:rsidR="0026452D" w:rsidRDefault="0026452D" w:rsidP="0026452D">
      <w:pPr>
        <w:pStyle w:val="TextoNormal"/>
      </w:pPr>
      <w:r>
        <w:t>d) En fecha 11 de mayo de 2011, el demandante de amparo presentó escrito de alegaciones (folios 209 a 216), en el que con referencia a la mencionada declaración, manifestaba que “en la presente solicitud de extradición no existe Estado parte (requirente) como establece nuestra Ley de Extradición Pasiva. Por cuanto Hong Kong no está reconocido como Estado o País … no tiene Tratado de Extradición con España. Hong Kong por medio de sus autoridades administrativas especiales (HKSAR) no tiene facultades para la solicitud de extradición …. A mayor abundamiento … en las conclusiones remitidas por la Subdirectora Principal de Abogados del Gobierno de Hong Kong se afirma categóricamente que la extradición es solicitada por el Gobierno de Hong Kong (HKSAR). Lo cual no está amparado ni contemplado por el tratado de Extradición entre el Reino de España y la República Popular de China de 14 de noviembre de 2005”. Añade más adelante que “la solicitud de extradición de nuestro representado por Hong Kong vulnera especial y gravemente la Ley 4/1985, de Extradición Pasiva (LEP), según el espíritu de la ley (preámbulo) novedades primera, tercera, quinta. Según el artículo 1 establece como requirentes posibles únicamente a los Estados (no a Órganos Especiales Administrativos o seudo-estados).” A continuación expone que la Región Administrativa Especial de Hong Kong no es parte del Tratado de extradición entre España y la República Popular de China de 14 de noviembre de 2005, y que la soberanía para ejercer la extradición conforme a la legislación y tratados internacionales corresponde únicamente a los Estados. Por último considera que no es aplicable la Convención de las Naciones Unidas contra la corrupción de 31 de octubre de 2003, en tanto que el ámbito de cooperación internacional, sólo es aplicable a los Estados parte requeridos y requirentes, siendo la extradición un acto de soberanía en relación con otros Estados.</w:t>
      </w:r>
    </w:p>
    <w:p w:rsidR="0026452D" w:rsidRDefault="0026452D" w:rsidP="0026452D">
      <w:pPr>
        <w:pStyle w:val="TextoNormal"/>
      </w:pPr>
    </w:p>
    <w:p w:rsidR="0026452D" w:rsidRDefault="0026452D" w:rsidP="0026452D">
      <w:pPr>
        <w:pStyle w:val="TextoNormal"/>
      </w:pPr>
      <w:r>
        <w:t xml:space="preserve">e) La Audiencia Nacional, mediante Auto de 26 de mayo de 2011, acordó acceder a la solicitud de extradición del recurrente en amparo solicitada por las autoridades judiciales de la Región Administrativa Especial de Hong Kong, de la República de China, por los hechos objeto de la solicitud constitutivos de robo y estafa según la legislación del lugar de comisión. La Sala asumió que la extradición solicitada se regía por la Convención de las Naciones Unidas contra la corrupción de 31 de octubre de 2003, firmada y ratificada por España y la República Popular de China. Razona el Auto que se dan los presupuestos a que se refiere el art. 7 de la Ley de extradición pasiva, en tanto que el Convenio de Naciones Unidas contra </w:t>
      </w:r>
      <w:r>
        <w:lastRenderedPageBreak/>
        <w:t>la corrupción dispone en su art. 44.8 que “la extradición estará sujeta a las condiciones previstas en el derecho interno del Estado parte requerido o en los Tratados de extradición aplicables …”</w:t>
      </w:r>
    </w:p>
    <w:p w:rsidR="0026452D" w:rsidRDefault="0026452D" w:rsidP="0026452D">
      <w:pPr>
        <w:pStyle w:val="TextoNormal"/>
      </w:pPr>
    </w:p>
    <w:p w:rsidR="0026452D" w:rsidRDefault="0026452D" w:rsidP="0026452D">
      <w:pPr>
        <w:pStyle w:val="TextoNormal"/>
      </w:pPr>
      <w:r>
        <w:t>f) El recurso de súplica interpuesto por el demandante fue desestimado por el Pleno de la Sala de lo Penal de la Audiencia Nacional mediante Auto de 27 de julio de 2011. Frente a la infracción del principio de legalidad extradicional, alegada por el demandante, expuso el órgano judicial que Hong Kong pese a no ser un Estado era un “casi Estado”, al tener una amplísima autonomía otorgada por la República Popular de China y serle reconocida por la comunidad internacional facultades solo posibles a los auténticos Estados. Indica que en el capítulo IV de la Ley básica de Hong Kong se faculta a la Región Administrativa Especial de Hong Kong a establecer acuerdos con otros estados para la asistencia judicial mutua, incluso en el capítulo VII se le faculta expresamente a mantener relaciones exteriores con otros Estados y a concluir tratados. Por ello entiende el Auto que las autoridades competentes de Hong Kong estaban autorizadas para solicitar al Estado español la extradición, ya se entendiera que actuaban como parte del Estado chino, ya que lo hiciera en el ejercicio de sus facultades de actuar autónomamente en el ámbito internacional. En el primer caso la norma jurídica aplicable sería el Convenio bilateral de extradición hispano-chino, acompañado de las normas específicas invocadas, en concreto el Convenio de las Naciones Unidas contra la corrupción y la Ley de extradición española. En el segundo caso, a falta de convenio extradicional específico, la cobertura legal vendría dada por el invocado Convenio de las Naciones Unidas contra la corrupción, cuyas normas expresamente recogen esta posibilidad de servir de base para una extradición, y, entendiendo, en cualquier caso, que de reconocer el Estado español la facultad de establecer directamente relaciones extradicionales a Hong Kong, ello implicaría la aplicabilidad de la Ley de extradición pasiva española como norma para dar lugar, de forma supletoria, a la extradición. Todo ello en consideración al reconocimiento a la Región Administrativa Especial de Hong Kong de un estatuto jurídico claramente especial que contempla amplias facultades para establecer relaciones internacionales y, por tanto, de ser un sujeto de Derecho Internacional —al nivel de casi Estado—, como de hecho acredita el establecimiento de convenios internacionales bilaterales que incluso se han concretado en alguna materia con el propio Estado español y la Unión Europea.</w:t>
      </w:r>
    </w:p>
    <w:p w:rsidR="0026452D" w:rsidRDefault="0026452D" w:rsidP="0026452D">
      <w:pPr>
        <w:pStyle w:val="TextoNormal"/>
      </w:pPr>
    </w:p>
    <w:p w:rsidR="0026452D" w:rsidRDefault="0026452D" w:rsidP="0026452D">
      <w:pPr>
        <w:pStyle w:val="TextoNormal"/>
      </w:pPr>
      <w:r>
        <w:t>En respuesta a la alegación referida al déficit de garantías en la protección de los derechos humanos, el Pleno de la Audiencia Nacional manifestó que, junto al hecho de que la queja se presenta de modo genérico y sin concreción a la situación del reclamado, no se han aportado pruebas de que permitan poner en cuestión la protección de los derechos fundamentales básicos de los ciudadanos de la región de Hong Kong, teniendo en cuenta que la Ley básica de la región recoge un completo elenco de derechos y un sistema de garantías perfectamente homologable a los de nuestro ámbito jurídico-cultural.</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La demanda de amparo se fundamenta en la vulneración del derecho a la tutela judicial efectiva (art. 24.1 CE), en relación con el artículo 13.3 CE y con el derecho a la libertad (art. 17 CE); y en la del derecho a la legalidad penal (art. 25.1 CE) en relación con los principios de legalidad, jerarquía normativa, publicidad de las normas y seguridad jurídica recogidos en el art. 9.3 CE. El núcleo de la queja formulada se proyecta sobre la ausencia de cobertura legal o convencional de la entrega del recurrente acordada por la Audiencia Nacional. Argumenta el demandante que, de una parte, la Región Administrativa Especial de Hong Kong no ha firmado con España tratado o convenio bilateral alguno que permita la extradición, ni </w:t>
      </w:r>
      <w:r>
        <w:lastRenderedPageBreak/>
        <w:t>es tampoco parte de la Convención de Naciones Unidas contra la corrupción de 31 de octubre de 2003, por cuanto es la República Popular China, y no la Región de Hong Kong —cuyo Gobierno es quien solicita la entrega—, el Estado firmante de la misma. De otra parte, al carecer Hong Kong de la condición de Estado soberano, tampoco la Ley de extradición pasiva de 21 de marzo de 1985 puede emplearse como título legal habilitante para la entrega, en tanto en cuanto contempla como partes requirentes de la extradición únicamente a los Estados. En consecuencia, se habría vulnerado el derecho a la tutela judicial efectiva (art. 24.1 CE) al haberse acordado la entrega sin respetar el principio de legalidad extradicional plasmado en el art. 13.3 CE.</w:t>
      </w:r>
    </w:p>
    <w:p w:rsidR="0026452D" w:rsidRDefault="0026452D" w:rsidP="0026452D">
      <w:pPr>
        <w:pStyle w:val="TextoNormal"/>
      </w:pPr>
    </w:p>
    <w:p w:rsidR="0026452D" w:rsidRDefault="0026452D" w:rsidP="0026452D">
      <w:pPr>
        <w:pStyle w:val="TextoNormal"/>
      </w:pPr>
      <w:r>
        <w:t>En un segundo bloque argumental, invoca la STC 91/2000 para denunciar que la República Popular China y la región de Hong Kong no participan de los mismos principios básicos que España en punto al respeto a los derechos humanos. Afirma el demandante que por las autoridades requirentes no se ha dado garantía plena de que la persona reclamada no será ejecutada o no será sometida a penas que atenten a su integridad corporal o que conlleven tratos inhumanos y degradantes.</w:t>
      </w:r>
    </w:p>
    <w:p w:rsidR="0026452D" w:rsidRDefault="0026452D" w:rsidP="0026452D">
      <w:pPr>
        <w:pStyle w:val="TextoNormal"/>
      </w:pPr>
    </w:p>
    <w:p w:rsidR="0026452D" w:rsidRDefault="0026452D" w:rsidP="0026452D">
      <w:pPr>
        <w:pStyle w:val="TextoNormal"/>
      </w:pPr>
      <w:r>
        <w:t>Considera el demandante, que el asunto presentado “tiene relevancia constitucional en el marco del derecho a la tutela judicial efectiva” en la medida en que la selección judicial o la interpretación de la norma aplicable incurre en arbitrariedad, irrazonabilidad manifiesta o bien es fruto de un error patente. En tal sentido cita diversas Sentencias y Autos del Tribunal Constitucional, indicando que “en el presente asunto y conforme a la doctrina jurisprudencial expuesta es evidente que se impugna la ausencia de base legal o convencional para sustentar la extradición”. Añade que las decisiones de extradición tienen “relevancia constitucional”, así como la publicación de los tratados. Apunta que no existen normas de procedimiento de extradición entre Hong Kong y el Gobierno de España por cuanto están en fase de negociaciones para la elaboración de un convenio bilateral de extradición. Indica que no ha intervenido el Estado de la República Popular China con quien España tiene firmado un tratado de extradición. Expone que “la remisión a los tratados internacionales adquiere especial relevancia para el Tribunal Constitucional a la hora de determinar el contenido básico y nuclear de los derechos fundamentales, contenido que no puede ceder ni siquiera ante actuaciones de órganos judiciales extranjeros con relevancia interna …”</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28 de marzo de 2012, la Sección cuarta de este Tribunal acordó, en aplicación de lo dispuesto en el art. 56.3 de la Ley Orgánica del Tribunal Constitucional (LOTC), la suspensión cautelar de la ejecución de las resoluciones judiciales en lo que se refiere únicamente a la declaración de procedencia de la extradición acordada.</w:t>
      </w:r>
    </w:p>
    <w:p w:rsidR="0026452D" w:rsidRDefault="0026452D" w:rsidP="0026452D">
      <w:pPr>
        <w:pStyle w:val="TextoNormal"/>
      </w:pPr>
    </w:p>
    <w:p w:rsidR="0026452D" w:rsidRDefault="0026452D" w:rsidP="0026452D">
      <w:pPr>
        <w:pStyle w:val="TextoNormal"/>
      </w:pPr>
      <w:r w:rsidRPr="0026452D">
        <w:rPr>
          <w:rStyle w:val="NumeroAFNegritaCaracter"/>
        </w:rPr>
        <w:t>5</w:t>
      </w:r>
      <w:r>
        <w:t>. La Sala Segunda de este Tribunal, por providencia de 19 de abril de 2012,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26452D" w:rsidRDefault="0026452D" w:rsidP="0026452D">
      <w:pPr>
        <w:pStyle w:val="TextoNormal"/>
      </w:pPr>
    </w:p>
    <w:p w:rsidR="0026452D" w:rsidRDefault="0026452D" w:rsidP="0026452D">
      <w:pPr>
        <w:pStyle w:val="TextoNormal"/>
      </w:pPr>
      <w:r>
        <w:t xml:space="preserve">Igualmente se acordó formar la correspondiente pieza separada de suspensión, en la que, tras los trámites oportunos, se dictó por la Sala Segunda de este Tribunal el Auto de 4 de </w:t>
      </w:r>
      <w:r>
        <w:lastRenderedPageBreak/>
        <w:t>junio de 2012, acordando mantener las medidas cautelares acordadas en la providencia de 28 de marzo de 2012.</w:t>
      </w:r>
    </w:p>
    <w:p w:rsidR="0026452D" w:rsidRDefault="0026452D" w:rsidP="0026452D">
      <w:pPr>
        <w:pStyle w:val="TextoNormal"/>
      </w:pPr>
    </w:p>
    <w:p w:rsidR="0026452D" w:rsidRDefault="0026452D" w:rsidP="0026452D">
      <w:pPr>
        <w:pStyle w:val="TextoNormal"/>
      </w:pPr>
      <w:r w:rsidRPr="0026452D">
        <w:rPr>
          <w:rStyle w:val="NumeroAFNegritaCaracter"/>
        </w:rPr>
        <w:t>6</w:t>
      </w:r>
      <w:r>
        <w:t>. La Sala Segunda de este Tribunal, mediante providencia de 17 de septiembre de 2012, y una vez recibido testimonio de las actuaciones judiciales requeridas, tuvo por personado y parte en el procedimiento al Procurador don Luis Fernando Granados Bravo en nombre y representación del Gobierno de la Administración Especial de Hong Kong de la República Popular China, y se otorgó, conforme al art. 52.1 LOTC, un plazo común de veinte días a las partes para que alegaran lo que estimaran oportuno.</w:t>
      </w:r>
    </w:p>
    <w:p w:rsidR="0026452D" w:rsidRDefault="0026452D" w:rsidP="0026452D">
      <w:pPr>
        <w:pStyle w:val="TextoNormal"/>
      </w:pPr>
    </w:p>
    <w:p w:rsidR="0026452D" w:rsidRDefault="0026452D" w:rsidP="0026452D">
      <w:pPr>
        <w:pStyle w:val="TextoNormal"/>
      </w:pPr>
      <w:r w:rsidRPr="0026452D">
        <w:rPr>
          <w:rStyle w:val="NumeroAFNegritaCaracter"/>
        </w:rPr>
        <w:t>7</w:t>
      </w:r>
      <w:r>
        <w:t>. Evacuando el referido trámite, el 22 de octubre de 2012 presentó el demandante de amparo escrito de alegaciones en el que, después de poner en cuestión la legitimación del Gobierno de la Región de Hong Kong para personarse en el presente amparo, al no haber sido parte del procedimiento extradicional, se ratificó íntegramente en la demanda de amparo.</w:t>
      </w:r>
    </w:p>
    <w:p w:rsidR="0026452D" w:rsidRDefault="0026452D" w:rsidP="0026452D">
      <w:pPr>
        <w:pStyle w:val="TextoNormal"/>
      </w:pPr>
    </w:p>
    <w:p w:rsidR="0026452D" w:rsidRDefault="0026452D" w:rsidP="0026452D">
      <w:pPr>
        <w:pStyle w:val="TextoNormal"/>
      </w:pPr>
      <w:r w:rsidRPr="0026452D">
        <w:rPr>
          <w:rStyle w:val="NumeroAFNegritaCaracter"/>
        </w:rPr>
        <w:t>8</w:t>
      </w:r>
      <w:r>
        <w:t>. Con fecha de 23 de octubre de 2012, la representación procesal del Gobierno de Hong Kong presentó escrito de alegaciones en el que, con carácter previo, manifiesta ser incierta la alegada residencia legal en Portugal del recurrente, aportando documentación dirigida a probar que su residencia legal permanente radicaría en Hong Kong. A continuación, argumenta que la Región Administrativa de Hong Kong tiene plena autonomía y capacidad jurídica para solicitar la extradición reconocida por España, tal como mostrarían los distintos convenios bilaterales de extradición firmados con terceros Estados, el convenio bilateral firmado con España para evitar la doble imposición o el hecho de que España tenga establecido un Consulado general permanente ante el Gobierno de Hong Kong. Por lo que respecta a la cobertura legal, incluso cuando no se admitiera como tal el convenio de extradición firmado con China, la Ley de extradición pasiva, como ley supletoria, es plenamente aplicable al caso. Por último, rechaza frontalmente la alegación de los déficits de respeto a los derechos humanos, enfatizando que la situación en Hong Kong no es en absoluto equiparable a la de China y que, concretamente, Hong Kong no existe ninguna denuncia de organizaciones internacionales sobre tratos inhumanos o degradantes infligidos a personas reclamadas y entregadas para su enjuiciamiento.</w:t>
      </w:r>
    </w:p>
    <w:p w:rsidR="0026452D" w:rsidRDefault="0026452D" w:rsidP="0026452D">
      <w:pPr>
        <w:pStyle w:val="TextoNormal"/>
      </w:pPr>
    </w:p>
    <w:p w:rsidR="0026452D" w:rsidRDefault="0026452D" w:rsidP="0026452D">
      <w:pPr>
        <w:pStyle w:val="TextoNormal"/>
      </w:pPr>
      <w:r w:rsidRPr="0026452D">
        <w:rPr>
          <w:rStyle w:val="NumeroAFNegritaCaracter"/>
        </w:rPr>
        <w:t>9</w:t>
      </w:r>
      <w:r>
        <w:t xml:space="preserve">. El Ministerio Fiscal, en escrito registrado el 31 de octubre de 2012, interesó la inadmisión del recurso de amparo, por no satisfacer el requisito de admisibilidad establecido en los arts. 49 y 50.1 b) LOTC, referido a la justificación de la especial trascendencia constitucional. Argumenta al respecto que la demanda “simple y llanamente”, por desconocimiento palmario, no cumple —por omisión absoluta e insalvable— con lo dispuesto en los citados preceptos. Tras exponer exhaustivamente la doctrina constitucional desarrollada al efecto, advierte que la demanda no contiene formalmente un apartado dedicado a la especial trascendencia constitucional y, ni siquiera, a pesar de su extensión, contiene una mera mención a los referidos términos. El único pasaje que pudiera considerarse que alude a tal requisito es la mención a la “relevancia constitucional en el marco del derecho a la tutela judicial efectiva”; pero el hecho de que sea transcripción casi literal de expresiones empleadas en Sentencias del Tribunal Constitucional relativas a la tutela judicial efectiva y que ninguna relación guardan con el requisito formal de admisibilidad debe llevar a descartar esa interpretación, estando por lo demás vinculado a la mera denuncia de vulneración del </w:t>
      </w:r>
      <w:r>
        <w:lastRenderedPageBreak/>
        <w:t>derecho. Concluye el Fiscal, en definitiva, que la demanda ni efectúa mención o referencia alguna que pueda ser interpretada como una justificación de la especial trascendencia constitucional, advirtiendo, además, que no cabe una reconstrucción de la demanda por parte del Tribunal a efectos de extraer tal justificación.</w:t>
      </w:r>
    </w:p>
    <w:p w:rsidR="0026452D" w:rsidRDefault="0026452D" w:rsidP="0026452D">
      <w:pPr>
        <w:pStyle w:val="TextoNormal"/>
      </w:pPr>
    </w:p>
    <w:p w:rsidR="0026452D" w:rsidRDefault="0026452D" w:rsidP="0026452D">
      <w:pPr>
        <w:pStyle w:val="TextoNormal"/>
      </w:pPr>
      <w:r>
        <w:t>Subsidiariamente, solicita la desestimación de la demanda. Considera que el principio de legalidad extradicional consagrado en el art. 13.3 CE no halla acomodo en el art. 25.1 CE, por lo que la queja relativa a la vulneración del principio de legalidad penal plasmado en dicho precepto, ni en el art. 9.3 CE con el que se vincula.</w:t>
      </w:r>
    </w:p>
    <w:p w:rsidR="0026452D" w:rsidRDefault="0026452D" w:rsidP="0026452D">
      <w:pPr>
        <w:pStyle w:val="TextoNormal"/>
      </w:pPr>
    </w:p>
    <w:p w:rsidR="0026452D" w:rsidRDefault="0026452D" w:rsidP="0026452D">
      <w:pPr>
        <w:pStyle w:val="TextoNormal"/>
      </w:pPr>
      <w:r>
        <w:t>Afirma que la vulneración del principio de legalidad extradicional converge en el art. 24.1 CE, en tanto que la decisión extradicional sin soporte en la ley o un tratado, vulnera el derecho a la tutela judicial efectiva. A fin de verificar la existencia de la vulneración examina los Autos impugnados. Sostiene que el Auto de la Sección Cuarta de la Sala de lo Penal de la Audiencia Nacional de 26 de mayo de 2011, identifica la base legal para la extradición, en principio, como la constituida, a tenor del art. 13.3 CE, por la Convención de las Naciones Unidas sobre la corrupción de 31 de octubre de 2003 y la Ley 4/1985, de 21 de marzo, de extradición pasiva y el Tratado de extradición bilateral de extradición entre España y la República Popular China, para cuyo caso, también estima cumplidos los requisitos del mismo. Posteriormente examina el razonamiento del Auto del Pleno de la Sala de lo Penal de la Audiencia Nacional de 27 de julio de 2011, y concluye que las resoluciones impugnadas contienen una motivación suficiente, sin que la misma se encuentre incursa en arbitrariedad o irrazonabilidad.</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fecha 7 de febrero de 2013, se señaló para deliberación y fallo de la Sentencia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El objeto de la demanda se contrae a determinar si los Autos del Pleno de la Sala de lo Penal de la Audiencia Nacional de 27 de julio de 2011 y de la Sección Cuarta de la Sala de lo Penal de la Audiencia Nacional de 26 de mayo de 2011 que acordaron la extradición del demandante a la Región Administrativa de Hong Kong vulneran los derechos fundamentales a la tutela judicial efectiva (art. 24.1 CE), en relación con el principio de legalidad extradicional (art. 13.3 CE), y a la legalidad (art. 25.1 CE), por haber infringido el principio </w:t>
      </w:r>
      <w:r w:rsidRPr="0026452D">
        <w:rPr>
          <w:i/>
        </w:rPr>
        <w:t>nulla traditio sine lege</w:t>
      </w:r>
      <w:r>
        <w:t>.</w:t>
      </w:r>
    </w:p>
    <w:p w:rsidR="0026452D" w:rsidRDefault="0026452D" w:rsidP="0026452D">
      <w:pPr>
        <w:pStyle w:val="TextoNormal"/>
      </w:pPr>
    </w:p>
    <w:p w:rsidR="0026452D" w:rsidRDefault="0026452D" w:rsidP="0026452D">
      <w:pPr>
        <w:pStyle w:val="TextoNormal"/>
      </w:pPr>
      <w:r>
        <w:t>El Ministerio Fiscal y la representación procesal de Hong Kong, entienden que la decisión extradicional tenía cobertura en la Convención de las Naciones Unidas contra la corrupción, hecha en Nueva York el 31 de octubre de 2003, el Tratado de extradición entre el Reino de España y la República Popular China, hecho en Madrid el 14 de noviembre de 2005, o subsidiariamente de la Ley de extradición pasiva 4/1985, de 21 de marzo.</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Con carácter previo al examen de la queja formulada por el recurrente es necesario despejar el óbice de admisibilidad que derivaría, a juicio del Ministerio Fiscal, de la falta de justificación de la especial trascendencia constitucional del recurso exigida por el art. 49.1 </w:t>
      </w:r>
      <w:r w:rsidRPr="0026452D">
        <w:rPr>
          <w:i/>
        </w:rPr>
        <w:t>in fine</w:t>
      </w:r>
      <w:r>
        <w:t xml:space="preserve"> de la Ley Orgánica del Tribunal Constitucional (LOTC).</w:t>
      </w:r>
    </w:p>
    <w:p w:rsidR="0026452D" w:rsidRDefault="0026452D" w:rsidP="0026452D">
      <w:pPr>
        <w:pStyle w:val="TextoNormal"/>
      </w:pPr>
    </w:p>
    <w:p w:rsidR="0026452D" w:rsidRDefault="0026452D" w:rsidP="0026452D">
      <w:pPr>
        <w:pStyle w:val="TextoNormal"/>
      </w:pPr>
      <w:r>
        <w:t>La lectura del escrito de demanda pone de manifiesto que el recurrente sustancialmente vincula la existencia de “relevancia constitucional” —dejando al margen cuando la vincula al derecho a la tutela judicial efectiva, como indica el Ministerio Fiscal—, a la circunstancia de que se trata de una decisión de extradición, en que el reclamante, la Región Administrativa Especial de Hong Kong, no es un Estado, y en tal sentido cabe entender que el demandante conecta materialmente en su demanda la alegada lesión con diversos criterios que, conforme a lo ya expuesto en la STC 155/2009, de 25 de junio, FJ 2, dotarían de trascendencia al recurso. En tal sentido puede indicarse que el asunto suscitado, trasciende del caso concreto al plantear una cuestión jurídica de relevante y general repercusión, que afecta a la extradición como acto de soberanía del Estado. Y es que debe resolverse si la región de Hong Kong, carente de soberanía e integrada en el Estado de la República Popular de China, tiene legitimación en virtud de convenios internacionales multilaterales o bilaterales relativos a la extradición suscritos con China, para reclamar a España la entrega de una persona que se encuentre en su territorio, alcanzado la solución a la configuración de las relaciones que en materia de extradición, como acto de soberanía entre Estados, se produzcan entre el Estado español y la Región Administrativa de Hong Kong y a la interpretación de los tratados internacionales suscritos por España y la República Popular de China. Y por otra parte, la cuestión atinente a la legitimación para reclamar la extradición por quien carece de la condición de Estado plantea un problema o una faceta del derecho fundamental a la libertad susceptible de amparo sobre el que no existen pronunciamientos del Tribunal Constitucional.</w:t>
      </w:r>
    </w:p>
    <w:p w:rsidR="0026452D" w:rsidRDefault="0026452D" w:rsidP="0026452D">
      <w:pPr>
        <w:pStyle w:val="TextoNormal"/>
      </w:pPr>
    </w:p>
    <w:p w:rsidR="0026452D" w:rsidRDefault="0026452D" w:rsidP="0026452D">
      <w:pPr>
        <w:pStyle w:val="TextoNormal"/>
      </w:pPr>
      <w:r w:rsidRPr="0026452D">
        <w:rPr>
          <w:rStyle w:val="NumeroAFNegritaCaracter"/>
        </w:rPr>
        <w:t>3</w:t>
      </w:r>
      <w:r>
        <w:t>. Descartado el mencionado defecto procesal, el objeto de la demanda se concreta en determinar si la interpretación efectuada por las resoluciones impugnadas sobre la legitimación de Hong Kong para solicitar la extradición ha vulnerado el derecho a la tutela judicial efectiva del recurrente.</w:t>
      </w:r>
    </w:p>
    <w:p w:rsidR="0026452D" w:rsidRDefault="0026452D" w:rsidP="0026452D">
      <w:pPr>
        <w:pStyle w:val="TextoNormal"/>
      </w:pPr>
    </w:p>
    <w:p w:rsidR="0026452D" w:rsidRDefault="0026452D" w:rsidP="0026452D">
      <w:pPr>
        <w:pStyle w:val="TextoNormal"/>
      </w:pPr>
      <w:r>
        <w:t>En el análisis de esta pretensión procede recordar, antes de efectuar ninguna otra consideración, que la protección de los derechos y libertades fundamentales mediante el recurso de amparo se halla circunscrita, por virtud de lo dispuesto en los arts. 53.2 CE y 41.1 LOTC, a los que se encuentran reconocidos en los arts. 14 a 29 y 30.2 de la Constitución, mientras que la normativa atinente al instituto de la extradición se incluye en el art. 13 y queda, por ello, fuera de su ámbito objetivo (SSTC 11/1983, de 21 de febrero, 11/1985, de 30 de enero, y AATC 112/1982, de 17 de marzo, 403/1983, de 21 de septiembre, y 23/1997, de 27 de enero).</w:t>
      </w:r>
    </w:p>
    <w:p w:rsidR="0026452D" w:rsidRDefault="0026452D" w:rsidP="0026452D">
      <w:pPr>
        <w:pStyle w:val="TextoNormal"/>
      </w:pPr>
    </w:p>
    <w:p w:rsidR="0026452D" w:rsidRDefault="0026452D" w:rsidP="0026452D">
      <w:pPr>
        <w:pStyle w:val="TextoNormal"/>
      </w:pPr>
      <w:r>
        <w:t>Sin embargo, ello no significa, ciertamente, que este Tribunal no pueda revisar, desde la perspectiva de los derechos fundamentales, las resoluciones emitidas por la Audiencia Nacional en materia de extradición. Como hemos recordado recientemente en la STC 232/2012, de 10 de diciembre —con cita de otras—, las resoluciones sobre extradición son revisables “desde la perspectiva del derecho a la tutela judicial efectiva, es decir, desde la óptica del derecho a obtener una resolución razonablemente fundada en Derecho, si bien atendiendo al canon de motivación reforzado, pues este derecho se conecta con otros derechos fundamentales”. Y en el caso de la extradición pasiva el derecho a la libertad está comprometido, “por lo que se refiere a impedir la permanencia en territorio español de un extranjero mediante su traslado forzoso a la frontera y entrega a las autoridades reclamantes” (STC 141/1998, de 29 de junio, FJ 4, entre otras).</w:t>
      </w:r>
    </w:p>
    <w:p w:rsidR="0026452D" w:rsidRDefault="0026452D" w:rsidP="0026452D">
      <w:pPr>
        <w:pStyle w:val="TextoNormal"/>
      </w:pPr>
    </w:p>
    <w:p w:rsidR="0026452D" w:rsidRDefault="0026452D" w:rsidP="0026452D">
      <w:pPr>
        <w:pStyle w:val="TextoNormal"/>
      </w:pPr>
      <w:r>
        <w:t>En consecuencia, el análisis de esta pretensión ha de consistir en el examen de las resoluciones de la Audiencia Nacional desde la perspectiva del contenido que este Tribunal ha otorgado al derecho invocado. De este modo debe recordarse que “el derecho a obtener una resolución fundada en Derecho, favorable o adversa, es garantía frente a la arbitrariedad e irrazonabilidad de los poderes públicos (SSTC 131/1990, FJ 1; y 112/1996, FJ 2), ... ello implica, en primer lugar, que la resolución ha de estar motivada, es decir, contener los elementos y razones de juicio que permitan conocer cuáles han sido los criterios jurídicos que fundamentan la decisión (SSTC 122/1991, FJ 2; 5/1995, FJ 3; y 58/1997, FJ 2). En segundo lugar, que la motivación debe contener una fundamentación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23/1987, FJ 3; 112/1996, FJ 2; y 119/1998, FJ 2). Y, por último, y no menos relevante, si el derecho a la tutela judicial efectiva se encuentra conectado con otro derecho fundamental el canon de las exigencias derivadas del deber de motivación es más riguroso (SSTC 62/1996, FJ 2; 34/1997, FJ 2; 175/1997, FJ 4; 200/1997, FJ 4; 83/1998, FJ 3; 116/1998, FJ 4; y 2/1999, FJ 2, entre otras)” (STC 147/1999, de 4 de agosto, FJ 3). Y por último, “también en este caso la vulneración del derecho a la tutela judicial efectiva del recurrente ha de ser ponderada atendiendo al canon de motivación reforzado” (STC 87/2000, de 27 de marzo, FJ 6).</w:t>
      </w:r>
    </w:p>
    <w:p w:rsidR="0026452D" w:rsidRDefault="0026452D" w:rsidP="0026452D">
      <w:pPr>
        <w:pStyle w:val="TextoNormal"/>
      </w:pPr>
    </w:p>
    <w:p w:rsidR="0026452D" w:rsidRDefault="0026452D" w:rsidP="0026452D">
      <w:pPr>
        <w:pStyle w:val="TextoNormal"/>
      </w:pPr>
      <w:r>
        <w:t xml:space="preserve">A los efectos de la resolución del presente recurso hemos afirmado la vigencia del principio </w:t>
      </w:r>
      <w:r w:rsidRPr="0026452D">
        <w:rPr>
          <w:i/>
        </w:rPr>
        <w:t>nulla traditio sine lege</w:t>
      </w:r>
      <w:r>
        <w:t>, que en definitiva implica que la primera y más fundamental de las garantías del proceso extradicional es que la entrega venga autorizada por alguna de las disposiciones que menciona el art. 13.3 CE: tratado o ley, atendiendo al principio de reciprocidad.</w:t>
      </w:r>
    </w:p>
    <w:p w:rsidR="0026452D" w:rsidRDefault="0026452D" w:rsidP="0026452D">
      <w:pPr>
        <w:pStyle w:val="TextoNormal"/>
      </w:pPr>
    </w:p>
    <w:p w:rsidR="0026452D" w:rsidRDefault="0026452D" w:rsidP="0026452D">
      <w:pPr>
        <w:pStyle w:val="TextoNormal"/>
      </w:pPr>
      <w:r w:rsidRPr="0026452D">
        <w:rPr>
          <w:rStyle w:val="NumeroAFNegritaCaracter"/>
        </w:rPr>
        <w:t>4</w:t>
      </w:r>
      <w:r>
        <w:t>. Llegados a este punto, es preciso verificar si el razonamiento contenido en los Autos impugnados en virtud de los cuales la Región Administrativa de Hong Kong, tenía capacidad para reclamar la extradición del demandante, es arbitrario, manifiestamente irrazonado o irrazonable, o fruto de un error patente, en cuyo caso no podría considerarse fundada en Derecho, dado que la aplicación de la legalidad sería tan sólo una mera apariencia.</w:t>
      </w:r>
    </w:p>
    <w:p w:rsidR="0026452D" w:rsidRDefault="0026452D" w:rsidP="0026452D">
      <w:pPr>
        <w:pStyle w:val="TextoNormal"/>
      </w:pPr>
    </w:p>
    <w:p w:rsidR="0026452D" w:rsidRDefault="0026452D" w:rsidP="0026452D">
      <w:pPr>
        <w:pStyle w:val="TextoNormal"/>
      </w:pPr>
      <w:r>
        <w:t>El Auto del Pleno de la Sala de lo Penal de la Audiencia Nacional de 27 de julio de 2011, motiva la legitimación de Hong Kong para solicitar la extradición del demandante, partiendo de:</w:t>
      </w:r>
    </w:p>
    <w:p w:rsidR="0026452D" w:rsidRDefault="0026452D" w:rsidP="0026452D">
      <w:pPr>
        <w:pStyle w:val="TextoNormal"/>
      </w:pPr>
    </w:p>
    <w:p w:rsidR="0026452D" w:rsidRDefault="0026452D" w:rsidP="0026452D">
      <w:pPr>
        <w:pStyle w:val="TextoNormal"/>
      </w:pPr>
      <w:r>
        <w:t xml:space="preserve">“las singularidades del particular estatuto jurídico de dicha entidad. Ciertamente, Hong Kong no es un Estado. Sin embargo, tiene amplísima autonomía otorgada por la República Popular de China para entablar relaciones internacionales, lo que le convierte en un casi estado, al que la comunidad internacional le viene reconociendo, de facto, facultades sólo posibles a los auténticos Estados. … a tenor de la declaración conjunta de 19.12.1984, fijaron una anexión formal de dicho territorio al Estado Chino, pero conservando dicha región o territorio una amplísima autonomía y conservando los elementos político-culturales-institucionales propios del sistema británico manteniendo Hong Kong, por tanto, su sistema judicial previo, tal como establece la Sección IV del Capítulo IV de la Ley Básica de Hong </w:t>
      </w:r>
      <w:r>
        <w:lastRenderedPageBreak/>
        <w:t>Kong … Pero es más, la propia Ley Básica en su capítulo VII también faculta expresamente al territorio autónomo a mantener, por sí mismo, relaciones exteriores con otros Estados y a concluir tratados, utilizando la denominación ‛Hong Kong China’ (art. 151 de la Ley Básica).”. A continuación indica que “La particularidad de Hong Kong es que no se trata de un Estado formalmente independiente de China, pero tiene un estatuto jurídico claramente especial, con un gran ámbito de autonomía, no solo en el ámbito interno, sino que se proyecta en el exterior, lo que le ha sido reconocido por muchos Estados … con capacidad de establecer convenios bilaterales, incluidos los que se refieren a la materia extradicional …. Aunque no se ha concluido un tratado de esta naturaleza con España, sí se han celebrado tratados bilaterales entre nuestro país y Hong Kong en otras materias, como es la doble imposición. … A falta de un tratado extradicional específico, cabría acudir como norma de cobertura extradicional, a los convenios multinacionales suscritos por dicha entidad, entre cuyas previsiones estuviera el servir sus regulaciones de base jurídicas para la extradición …. En el presente caso, el invocado, es Convenio de Naciones Unidas contra la corrupción …. En cualquier caso, de reconocer el Estado español esta facultad de establecer directamente relaciones extradicionales a Hong Kong, ello implicaría también la aplicabilidad de la Ley de Extradición Pasiva española, incluso como norma para dar lugar, de forma supletoria a la extradición.”</w:t>
      </w:r>
    </w:p>
    <w:p w:rsidR="0026452D" w:rsidRDefault="0026452D" w:rsidP="0026452D">
      <w:pPr>
        <w:pStyle w:val="TextoNormal"/>
      </w:pPr>
    </w:p>
    <w:p w:rsidR="0026452D" w:rsidRDefault="0026452D" w:rsidP="0026452D">
      <w:pPr>
        <w:pStyle w:val="TextoNormal"/>
      </w:pPr>
      <w:r>
        <w:t>Por su parte el Auto de la Sección Cuarta de la Sala de lo Penal de la Audiencia Nacional de 26 de mayo de 2011, extiende la fuente de la extradición al Tratado de extradición entre el Reino de España y la República Popular de China, en los siguientes términos: “Caso de que se entienda que el instrumento aplicable es el Tratado de Extradición entre el Reino de España y la República Popular de China, se cumplen asimismo los requisitos de dicho texto”.</w:t>
      </w:r>
    </w:p>
    <w:p w:rsidR="0026452D" w:rsidRDefault="0026452D" w:rsidP="0026452D">
      <w:pPr>
        <w:pStyle w:val="TextoNormal"/>
      </w:pPr>
    </w:p>
    <w:p w:rsidR="0026452D" w:rsidRDefault="0026452D" w:rsidP="0026452D">
      <w:pPr>
        <w:pStyle w:val="TextoNormal"/>
      </w:pPr>
      <w:r w:rsidRPr="0026452D">
        <w:rPr>
          <w:rStyle w:val="NumeroAFNegritaCaracter"/>
        </w:rPr>
        <w:t>5</w:t>
      </w:r>
      <w:r>
        <w:t>. La argumentación sobre la que se asientan los Autos impugnados desconoce las limitaciones a la autonomía atribuida a Hong Kong en materia extradicional por su Ley básica, y por ende alcanza, lesionándolo, el contenido del derecho a la tutela judicial efectiva (art. 24.1 CE), al infringir la garantía institucional derivada del art. 13.3 CE.</w:t>
      </w:r>
    </w:p>
    <w:p w:rsidR="0026452D" w:rsidRDefault="0026452D" w:rsidP="0026452D">
      <w:pPr>
        <w:pStyle w:val="TextoNormal"/>
      </w:pPr>
    </w:p>
    <w:p w:rsidR="0026452D" w:rsidRDefault="0026452D" w:rsidP="0026452D">
      <w:pPr>
        <w:pStyle w:val="TextoNormal"/>
      </w:pPr>
      <w:r>
        <w:t xml:space="preserve">Literalmente en dichos Autos se indica como sustento de la legitimación extradicional, que Hong Kong que “la comunidad internacional le viene reconociendo, </w:t>
      </w:r>
      <w:r w:rsidRPr="0026452D">
        <w:rPr>
          <w:i/>
        </w:rPr>
        <w:t>de facto</w:t>
      </w:r>
      <w:r>
        <w:t>, facultades sólo posibles a los auténticos Estados”. Dicho razonamiento ni es compatible con la indicada garantía, ni tampoco con las exigencias derivadas del derecho a una resolución fundada en criterios jurídicos, al desconocer lo dispuesto en los arts. 12, 13 y 96 de la Ley básica —cuyo contenido se acreditó mediante el dictamen elaborado por la Diputada Principal del Consejo del Gobierno en la Unidad de Asistencia Mutua de la División Legal Internacional del Departamento de Justicia de la región especial de Hong Kong de la República Popular de China, folio 39, tomo I, de la Sección Cuarta de la Sala de lo Penal de la Audiencia Nacional.</w:t>
      </w:r>
    </w:p>
    <w:p w:rsidR="0026452D" w:rsidRDefault="0026452D" w:rsidP="0026452D">
      <w:pPr>
        <w:pStyle w:val="TextoNormal"/>
      </w:pPr>
    </w:p>
    <w:p w:rsidR="0026452D" w:rsidRDefault="0026452D" w:rsidP="0026452D">
      <w:pPr>
        <w:pStyle w:val="TextoNormal"/>
      </w:pPr>
      <w:r>
        <w:t xml:space="preserve">De tales preceptos resulta que la actuación en el ámbito extradicional precisa la autorización de la República Popular de China, tal y como patentiza la literalidad de los arts. 12 y 13 de la Ley básica, por los que sin dicho consentimiento carece de capacidad para instar la extradición. Tan es así que pese al “alto grado de autonomía” de que goza Hong Kong “estará directamente bajo el Gobierno Central Popular”, (art. 12 de la Ley básica), de modo que “el Gobierno Popular Central será el responsable de los asuntos exteriores relacionados </w:t>
      </w:r>
      <w:r>
        <w:lastRenderedPageBreak/>
        <w:t>con la Región Administrativa Especial de Hong Kong” (art. 13 de la Ley básica), y solo “[c]on la asistencia o autorización del Gobierno Popular Central, el Gobierno de la Región Administrativa Especial de Hong Kong podrá alcanzar los debidos acuerdos con Estados extranjeros para la asistencia jurídica recíproca” (art. 96 de la Ley básica).</w:t>
      </w:r>
    </w:p>
    <w:p w:rsidR="0026452D" w:rsidRDefault="0026452D" w:rsidP="0026452D">
      <w:pPr>
        <w:pStyle w:val="TextoNormal"/>
      </w:pPr>
    </w:p>
    <w:p w:rsidR="0026452D" w:rsidRDefault="0026452D" w:rsidP="0026452D">
      <w:pPr>
        <w:pStyle w:val="TextoNormal"/>
      </w:pPr>
      <w:r>
        <w:t xml:space="preserve">De lo que resulta —frente a lo indicado en las resoluciones impugnadas— que para solicitar la extradición de cualquier persona, la Región Administrativa de Hong Kong necesita bien la autorización del Gobierno Popular Central de la República Popular de China, o bien la existencia de un tratado internacional, cuya celebración presupone el previo consentimiento de China. Dicha autorización no puede suplirse en virtud de razonamientos que apelan bien a reconocimientos </w:t>
      </w:r>
      <w:r w:rsidRPr="0026452D">
        <w:rPr>
          <w:i/>
        </w:rPr>
        <w:t>de facto</w:t>
      </w:r>
      <w:r>
        <w:t xml:space="preserve"> por la “comunidad internacional”, bien a que el “Estado español”, reconozca a Hong Kong la “facultad de establecer directamente relaciones extradicionales”, pues la extradición debe quedar “sometida básicamente”, en virtud de la principal y primera de las garantías del procedimiento extradicional, “a reglas jurídicas y no exclusivamente a la voluntad de los Estados” (STC 141/1998, FJ 4, luego citada por las SSTC 292/2005, de 10 de noviembre, FJ 3; y 30/2006, de 30 de enero, FJ 4).</w:t>
      </w:r>
    </w:p>
    <w:p w:rsidR="0026452D" w:rsidRDefault="0026452D" w:rsidP="0026452D">
      <w:pPr>
        <w:pStyle w:val="TextoNormal"/>
      </w:pPr>
    </w:p>
    <w:p w:rsidR="0026452D" w:rsidRDefault="0026452D" w:rsidP="0026452D">
      <w:pPr>
        <w:pStyle w:val="TextoNormal"/>
      </w:pPr>
      <w:r>
        <w:t>Tampoco desde la óptica del derecho a obtener una resolución razonablemente fundada en Derecho, es posible sustentar la legitimación para solicitar la extradición en el argumento de que Hong Kong haya celebrado tratados bilaterales con España “en otras materias, como es la doble imposición”. Pues las propias resoluciones impugnadas reconocen que con Hong Kong no se ha concluido un tratado de naturaleza extradicional.</w:t>
      </w:r>
    </w:p>
    <w:p w:rsidR="0026452D" w:rsidRDefault="0026452D" w:rsidP="0026452D">
      <w:pPr>
        <w:pStyle w:val="TextoNormal"/>
      </w:pPr>
    </w:p>
    <w:p w:rsidR="0026452D" w:rsidRDefault="0026452D" w:rsidP="0026452D">
      <w:pPr>
        <w:pStyle w:val="TextoNormal"/>
      </w:pPr>
      <w:r>
        <w:t>A ello debe añadirse que no es compatible con la garantía institucional básica del proceso extradicional (art. 13.3 CE), ni con la exigencia de una resolución fundada en derecho, que se sustente la decisión extradicional en la Ley de extradición pasiva. Como bien puso de manifiesto el recurrente, la extradición se configura en la exposición de motivos de la indicada Ley, “como acto de soberanía en relación con otros Estados”. En tal sentido la Ley de extradición pasiva, en todos sus preceptos confiere la posición de parte a los “Estados”, y las resoluciones impugnadas niegan expresamente que Hong Kong lo sea. Ciertamente la exigencia de asistencia o autorización del Gobierno Popular Central de China para acuerdos con Estados extranjeros (art. 96 de la Ley básica), priva a Hong Kong de soberanía, cualidad inherente al propio concepto de Estado.</w:t>
      </w:r>
    </w:p>
    <w:p w:rsidR="0026452D" w:rsidRDefault="0026452D" w:rsidP="0026452D">
      <w:pPr>
        <w:pStyle w:val="TextoNormal"/>
      </w:pPr>
    </w:p>
    <w:p w:rsidR="0026452D" w:rsidRDefault="0026452D" w:rsidP="0026452D">
      <w:pPr>
        <w:pStyle w:val="TextoNormal"/>
      </w:pPr>
      <w:r w:rsidRPr="0026452D">
        <w:rPr>
          <w:rStyle w:val="NumeroAFNegritaCaracter"/>
        </w:rPr>
        <w:t>6</w:t>
      </w:r>
      <w:r>
        <w:t>. Lo anteriormente expuesto resulta confirmado por la declaración de fecha posterior a los Autos impugnados, elaborada por la Diputada Principal del Consejo del Gobierno en la Unidad de Asistencia Mutua de la División Legal Internacional del Departamento de Justicia de la Región Especial de Hong Kong de la República Popular de China (documento núm. 8, acompañado con las alegaciones efectuadas el 23 de octubre de 2012), quien en su punto 12 indica:</w:t>
      </w:r>
    </w:p>
    <w:p w:rsidR="0026452D" w:rsidRDefault="0026452D" w:rsidP="0026452D">
      <w:pPr>
        <w:pStyle w:val="TextoNormal"/>
      </w:pPr>
    </w:p>
    <w:p w:rsidR="0026452D" w:rsidRDefault="0026452D" w:rsidP="0026452D">
      <w:pPr>
        <w:pStyle w:val="TextoNormal"/>
      </w:pPr>
      <w:r>
        <w:t xml:space="preserve">“La República Popular de China y el Reino de España tienen suscrito un Tratado de Extradición del año 2005. Este Tratado no es aplicable a Hong Kong en virtud del principio ‘un país, dos sistemas’. En su lugar el Gobierno Popular de China ha autorizado al Gobierno de Hong Kong a que comience negociaciones con el Gobierno de España para un acuerdo bilateral formalizado entre Hong Kong y el Reino de España para la entrega de fugitivos criminalmente perseguidos conforme al artículo 96 de la Ley Básica. De esta forma, la petición de entrega de Dias Azedo no fue formalizada con base a un acuerdo bilateral entre </w:t>
      </w:r>
      <w:r>
        <w:lastRenderedPageBreak/>
        <w:t>los dos territorios. Tampoco fue hecha en base al Tratado Bilateral de Extradición existente entre la República Popular de China y el Reino de España, por no ser de aplicación a Hong Kong, según quedo expuesto anteriormente.”</w:t>
      </w:r>
    </w:p>
    <w:p w:rsidR="0026452D" w:rsidRDefault="0026452D" w:rsidP="0026452D">
      <w:pPr>
        <w:pStyle w:val="TextoNormal"/>
      </w:pPr>
    </w:p>
    <w:p w:rsidR="0026452D" w:rsidRDefault="0026452D" w:rsidP="0026452D">
      <w:pPr>
        <w:pStyle w:val="TextoNormal"/>
      </w:pPr>
      <w:r>
        <w:t>A la misma conclusión se llega respecto a la Convención de las Naciones Unidas sobre la corrupción, hecha en Nueva York el 31 de octubre de 2003, al no ser la Región Administrativa de Hong Kong firmante del mismo, ni constar autorización a Hong Kong anterior a las resoluciones impugnadas para que pueda efectuar la petición de entrega del demandante, en cumplimiento de lo dispuesto por el art. 13 de la Ley básica.</w:t>
      </w:r>
    </w:p>
    <w:p w:rsidR="0026452D" w:rsidRDefault="0026452D" w:rsidP="0026452D">
      <w:pPr>
        <w:pStyle w:val="TextoNormal"/>
      </w:pPr>
    </w:p>
    <w:p w:rsidR="0026452D" w:rsidRDefault="0026452D" w:rsidP="0026452D">
      <w:pPr>
        <w:pStyle w:val="TextoNormal"/>
      </w:pPr>
      <w:r>
        <w:t xml:space="preserve">En tal sentido, la inexistencia del título que justificara la </w:t>
      </w:r>
      <w:r w:rsidRPr="0026452D">
        <w:rPr>
          <w:i/>
        </w:rPr>
        <w:t>traditio</w:t>
      </w:r>
      <w:r>
        <w:t>, también resulta avalada por la certificación emitida por la oficina del Comisionado del Ministerio de Asuntos Exteriores de fecha 11 de octubre de 2012, posterior al procedimiento de extradición seguido, cuya existencia confirma la previa exigencia de autorización de la República Popular de China para que Hong Kong pueda instar un procedimiento de extradición. De la misma resulta que se autoriza a Hong Kong para que pueda formalizar la petición de entrega del demandante. Tal autorización es de fecha posterior a las resoluciones impugnadas, y no pudo legitimar la petición de entrega efectuada por la Región Administrativa Autónoma de Hong Kong, ni la legitimó, en tanto que las resoluciones impugnadas no pudieron tomarla en consideración como fundamento de la extradición.</w:t>
      </w:r>
    </w:p>
    <w:p w:rsidR="0026452D" w:rsidRDefault="0026452D" w:rsidP="0026452D">
      <w:pPr>
        <w:pStyle w:val="TextoNormal"/>
      </w:pPr>
    </w:p>
    <w:p w:rsidR="0026452D" w:rsidRDefault="0026452D" w:rsidP="0026452D">
      <w:pPr>
        <w:pStyle w:val="TextoNormal"/>
      </w:pPr>
      <w:r w:rsidRPr="0026452D">
        <w:rPr>
          <w:rStyle w:val="NumeroAFNegritaCaracter"/>
        </w:rPr>
        <w:t>7</w:t>
      </w:r>
      <w:r>
        <w:t>. Por cuanto antecede, debe concluirse que los argumentos que emplean tanto la Sección Cuarta como la Sala de lo Penal en Pleno de la Audiencia Nacional para dar por válida la entrega del demandante a las autoridades de la Región Administrativa Especial de Hong Kong no se acomodan a lo dispuesto en el art. 13.3 CE, vulnerando los derechos a la tutela judicial efectiva (art. 24.1 CE), y su derecho a la libertad (art. 17.1 CE), pues la Región Administrativa Especial de Hong Kong carecía de capacidad para reclamar la entrega sin la asistencia o autorización de la República Popular de China, presupuesto que no existió en la petición de extradición del demandante, por lo que la autorización careció de cobertura legal y, en consecuencia, vulneró la garantía fundamental de la extradición de que ésta sólo pueda ser concedida en cumplimiento de un tratado o de la ley, atendiendo al principio de reciprocidad.</w:t>
      </w:r>
    </w:p>
    <w:p w:rsidR="0026452D" w:rsidRDefault="0026452D" w:rsidP="0026452D">
      <w:pPr>
        <w:pStyle w:val="TextoNormal"/>
      </w:pPr>
    </w:p>
    <w:p w:rsidR="0026452D" w:rsidRDefault="0026452D" w:rsidP="0026452D">
      <w:pPr>
        <w:pStyle w:val="TextoNormal"/>
      </w:pPr>
      <w:r>
        <w:t>La procedencia del amparo por este motivo hace innecesario que nos ocupemos de las restantes vulneraciones de derechos fundamentales aducidas por el recurrente.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el recurso de amparo interpuesto por don Gabriel Ricardo Dias Azedo y, en su virtud:</w:t>
      </w:r>
    </w:p>
    <w:p w:rsidR="0026452D" w:rsidRDefault="0026452D" w:rsidP="0026452D">
      <w:pPr>
        <w:pStyle w:val="TextoNormal"/>
      </w:pPr>
    </w:p>
    <w:p w:rsidR="0026452D" w:rsidRDefault="0026452D" w:rsidP="0026452D">
      <w:pPr>
        <w:pStyle w:val="TextoNormal"/>
      </w:pPr>
      <w:r>
        <w:lastRenderedPageBreak/>
        <w:t>1º Declarar que los Autos recurridos han vulnerado el derecho del recurrente a la tutela judicial efectiva y a la libertad.</w:t>
      </w:r>
    </w:p>
    <w:p w:rsidR="0026452D" w:rsidRDefault="0026452D" w:rsidP="0026452D">
      <w:pPr>
        <w:pStyle w:val="TextoNormal"/>
      </w:pPr>
    </w:p>
    <w:p w:rsidR="0026452D" w:rsidRDefault="0026452D" w:rsidP="0026452D">
      <w:pPr>
        <w:pStyle w:val="TextoNormal"/>
      </w:pPr>
      <w:r>
        <w:t>2º Restablecerle en los citados derechos, y a tal efecto anular los Autos de la Sección cuarta de la Sala de lo Penal de la Audiencia Nacional de 26 de mayo de 2011 y del Pleno de la Sala de lo Penal de la Audiencia Nacional de 27 de julio de 2011.</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febrero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Pablo Pérez Tremps a la Sentencia dictada en el recurso de amparo núm. 4759-2011.</w:t>
      </w:r>
    </w:p>
    <w:p w:rsidR="0026452D" w:rsidRDefault="0026452D" w:rsidP="0026452D">
      <w:pPr>
        <w:pStyle w:val="TextoNormalNegritaCentrado"/>
        <w:keepNext/>
      </w:pPr>
    </w:p>
    <w:p w:rsidR="0026452D" w:rsidRDefault="0026452D" w:rsidP="0026452D">
      <w:pPr>
        <w:pStyle w:val="TextoNormal"/>
      </w:pPr>
      <w:r>
        <w:t>Con el máximo respeto a la posición mayoritaria de mis compañeros de la Sala debo manifestar mi discrepancia con parte de la fundamentación de la Sentencia, discrepancia que alcanza al fallo de la misma.</w:t>
      </w:r>
    </w:p>
    <w:p w:rsidR="0026452D" w:rsidRDefault="0026452D" w:rsidP="0026452D">
      <w:pPr>
        <w:pStyle w:val="TextoNormal"/>
      </w:pPr>
    </w:p>
    <w:p w:rsidR="0026452D" w:rsidRDefault="0026452D" w:rsidP="0026452D">
      <w:pPr>
        <w:pStyle w:val="TextoNormal"/>
      </w:pPr>
      <w:r>
        <w:t>1. La primera discrepancia que sostengo con la posición de la mayoría se refiere al análisis y conclusión alcanzada sobre el óbice procesal de falta de justificación de la especial trascendencia constitucional [art. 50.1 a), en relación con el art. 49.1 de la Ley Orgánica del Tribunal Constitucional: LOTC], alegado por el Ministerio Fiscal.</w:t>
      </w:r>
    </w:p>
    <w:p w:rsidR="0026452D" w:rsidRDefault="0026452D" w:rsidP="0026452D">
      <w:pPr>
        <w:pStyle w:val="TextoNormal"/>
      </w:pPr>
    </w:p>
    <w:p w:rsidR="0026452D" w:rsidRDefault="0026452D" w:rsidP="0026452D">
      <w:pPr>
        <w:pStyle w:val="TextoNormal"/>
      </w:pPr>
      <w:r>
        <w:t>La posición mayoritaria ha rechazado este óbice argumentando, por un lado, que el demandante ha vinculado la existencia de una relevancia constitucional del recurso con la circunstancia de que se trata de una decisión de extradición en la que el reclamante no es un estado y, por otro, que con ello cabe entender que el demandante conecta materialmente la lesión del art. 24.1 CE con diversos criterios que, conforme con lo expuesto en la STC 155/2009, de 25 de junio, FJ 2, dotarían de trascendencia al recurso.</w:t>
      </w:r>
    </w:p>
    <w:p w:rsidR="0026452D" w:rsidRDefault="0026452D" w:rsidP="0026452D">
      <w:pPr>
        <w:pStyle w:val="TextoNormal"/>
      </w:pPr>
    </w:p>
    <w:p w:rsidR="0026452D" w:rsidRDefault="0026452D" w:rsidP="0026452D">
      <w:pPr>
        <w:pStyle w:val="TextoNormal"/>
      </w:pPr>
      <w:r>
        <w:t>Esta posición de la mayoría resulta contradictoria con una doctrina constitucional ya muy consolidada sobre este óbice procesal y mantenida, por ejemplo, en la STC 176/2012, de 15 de octubre, por la Sala Primera, y en la STC 178/2012, de 15 de octubre, por esta misma Sala Segunda, contradicción que implica una quiebra de la necesaria seguridad jurídica y uniformidad de la doctrina constitucional.</w:t>
      </w:r>
    </w:p>
    <w:p w:rsidR="0026452D" w:rsidRDefault="0026452D" w:rsidP="0026452D">
      <w:pPr>
        <w:pStyle w:val="TextoNormal"/>
      </w:pPr>
    </w:p>
    <w:p w:rsidR="0026452D" w:rsidRDefault="0026452D" w:rsidP="0026452D">
      <w:pPr>
        <w:pStyle w:val="TextoNormal"/>
      </w:pPr>
      <w:r>
        <w:t xml:space="preserve">En efecto, en la citada STC 178/2012, FJ 3, esta Sala Segunda ponía de manifiesto en relación con este óbice procesal una serie de ideas que conforman una ya reiterada doctrina constitucional sobre el particular. Resumidamente, dichas ideas son, en primer lugar, que conforme con lo dispuesto en el art. 50.1 a) LOTC, el recurso de amparo no puede ser admitido a trámite si el recurrente no cumple la ineludible exigencia impuesta por el art. 49.1 in fine LOTC de justificar de manera expresa en la demanda de amparo la especial trascendencia constitucional del recurso. En segundo lugar, también se llama la atención sobre que la carga de justificar la especial trascendencia constitucional del recurso de amparo es algo distinto a razonar la existencia de la vulneración de un derecho fundamental y que, por tanto, es necesario que en la demanda se disocie adecuadamente la argumentación tendente a evidenciar la existencia de la lesión de un derecho fundamental y los razonamientos específicamente dirigidos a justificar que el recurso presenta especial trascendencia constitucional. A esos efectos, se recordaba que a la parte recurrente le es exigible un esfuerzo argumental </w:t>
      </w:r>
      <w:r>
        <w:lastRenderedPageBreak/>
        <w:t>que ponga en conexión las vulneraciones constitucionales que denuncia con los criterios establecidos en el art. 50.1 b) LOTC, precepto este último, según el cual, la especial trascendencia del recurso se apreciará atendiendo a “su importancia para la interpretación de la Constitución, para su aplicación o para su general eficacia, y para la determinación del contenido y alcance de los derechos fundamentales”.</w:t>
      </w:r>
    </w:p>
    <w:p w:rsidR="0026452D" w:rsidRDefault="0026452D" w:rsidP="0026452D">
      <w:pPr>
        <w:pStyle w:val="TextoNormal"/>
      </w:pPr>
    </w:p>
    <w:p w:rsidR="0026452D" w:rsidRDefault="0026452D" w:rsidP="0026452D">
      <w:pPr>
        <w:pStyle w:val="TextoNormal"/>
      </w:pPr>
      <w:r>
        <w:t>En el presente caso, la lectura de la demanda pone de manifiesto que el recurrente se ha limitado a argumentar la eventual vulneración de los derechos fundamentales invocados, y que no aparece ninguna mención expresa ni implícita a la especial trascendencia constitucional del recurso, no siendo citados siquiera el art. 50.1 b) LOTC, como precepto en que se establecen los supuestos de dicha especial trascendencia constitucional, o la STC 155/2009, de 25 de junio, como resolución en que se concretaron y desarrollaron los criterios básicos para entender justificada la especial trascendencia constitucional. Esta mera constatación, puesta en relación con la doctrina constitucional antes expuesta, debería haber llevado a estimar la concurrencia del óbice procesal aducido por el Ministerio Fiscal, toda vez que la demanda desconoce pura y simplemente que, tras la entrada en vigor de la Ley Orgánica 6/2007, de 24 de mayo, pesa sobre el recurrente la carga de argumentar explícitamente que el amparo solicitado tiene la proyección objetiva exigida por el citado art. 50.1 b) LOTC.</w:t>
      </w:r>
    </w:p>
    <w:p w:rsidR="0026452D" w:rsidRDefault="0026452D" w:rsidP="0026452D">
      <w:pPr>
        <w:pStyle w:val="TextoNormal"/>
      </w:pPr>
    </w:p>
    <w:p w:rsidR="0026452D" w:rsidRDefault="0026452D" w:rsidP="0026452D">
      <w:pPr>
        <w:pStyle w:val="TextoNormal"/>
      </w:pPr>
      <w:r>
        <w:t>2. Por otra parte, la circunstancia de que la posición de la mayoría, para eludir la aplicación de este óbice, haya razonado motu proprio la existencia de una eventual conexión de la vulneración aducida con diversos criterios que, conforme a lo expuesto en la STC 155/2009, de 25 de junio, FJ 2, dotarían de trascendencia al recurso, implica una confusión entre dos óbices procesales muy distintos como son, por un lado, la falta de justificación de la especial trascendencia constitucional [art. 50.1 a), en relación con el art. 49.1 LOTC], que era lo concretamente alegado por el Ministerio Fiscal, y, por otro, la carencia de especial trascendencia constitucional del recurso [art. 50.1 b) LOTC].</w:t>
      </w:r>
    </w:p>
    <w:p w:rsidR="0026452D" w:rsidRDefault="0026452D" w:rsidP="0026452D">
      <w:pPr>
        <w:pStyle w:val="TextoNormal"/>
      </w:pPr>
    </w:p>
    <w:p w:rsidR="0026452D" w:rsidRDefault="0026452D" w:rsidP="0026452D">
      <w:pPr>
        <w:pStyle w:val="TextoNormal"/>
      </w:pPr>
      <w:r>
        <w:t xml:space="preserve">En efecto, en la también citada STC 176/2012, este Tribunal ya censuró la posición del Ministerio Fiscal que consideraba que, a pesar de no haberse cumplido con la carga procesal de justificar la especial trascendencia constitucional del recurso, esa insuficiencia quedaba contrarrestada con la posibilidad de apreciar la eventual conexión de las vulneraciones aducidas con alguno de los criterios que dotarían de especial trascendencia constitucional al recurso. A esos efectos, se señaló que si, como en este caso, el recurrente elude la carga procesal de justificar la especial trascendencia constitucional del recurso “no cabe trasladársela al Tribunal Constitucional, para que éste supla las deficiencias en que incurre la demanda a través de un ejercicio intelectual del que resulten las razones por las que el recurrente parece que entiende que sus pretensiones tienen una dimensión objetiva. Además, razonando de este modo, acaban confundiéndose dos requisitos que la Ley Orgánica del Tribunal Constitucional diferencia y quiere mantener separados: la justificación de la especial trascendencia constitucional del recurso (art. 49.1 in fine LOTC), por un lado, y la existencia misma de tal especial trascendencia [art. 50.1 b) LOTC], por otro. Si considerásemos que, para tener por cumplido el primer requisito basta hallar la proyección objetiva que verdaderamente tiene el recurso, estaríamos soslayando la exigencia del art. 49.1 in fine LOTC, como si fuera una indicación legal puramente superflua que nada añade a lo dispuesto en el apartado 1 b) del artículo siguiente. En definitiva, no cabe eludir el hecho de </w:t>
      </w:r>
      <w:r>
        <w:lastRenderedPageBreak/>
        <w:t>que un recurso no justifica su especial trascendencia constitucional mediante la vía de subrayar las razones por las que podría tenerla efectivamente” (FJ 4).</w:t>
      </w:r>
    </w:p>
    <w:p w:rsidR="0026452D" w:rsidRDefault="0026452D" w:rsidP="0026452D">
      <w:pPr>
        <w:pStyle w:val="TextoNormal"/>
      </w:pPr>
    </w:p>
    <w:p w:rsidR="0026452D" w:rsidRDefault="0026452D" w:rsidP="0026452D">
      <w:pPr>
        <w:pStyle w:val="TextoNormal"/>
      </w:pPr>
      <w:r>
        <w:t>Por tanto, conforme a una doctrina constitucional ya consolidada, el presente recurso de amparo debería haber sido inadmitido por falta de justificación de la especial trascendencia constitucional del recurso.</w:t>
      </w:r>
    </w:p>
    <w:p w:rsidR="0026452D" w:rsidRDefault="0026452D" w:rsidP="0026452D">
      <w:pPr>
        <w:pStyle w:val="TextoNormal"/>
      </w:pPr>
    </w:p>
    <w:p w:rsidR="0026452D" w:rsidRDefault="0026452D" w:rsidP="0026452D">
      <w:pPr>
        <w:pStyle w:val="TextoNormal"/>
      </w:pPr>
      <w:r>
        <w:t>3. Una vez que se decide entrar en el análisis del fondo de la vulneración aducida, discrepo también de la posición de la mayoría respecto del otorgamiento del amparo.</w:t>
      </w:r>
    </w:p>
    <w:p w:rsidR="0026452D" w:rsidRDefault="0026452D" w:rsidP="0026452D">
      <w:pPr>
        <w:pStyle w:val="TextoNormal"/>
      </w:pPr>
    </w:p>
    <w:p w:rsidR="0026452D" w:rsidRDefault="0026452D" w:rsidP="0026452D">
      <w:pPr>
        <w:pStyle w:val="TextoNormal"/>
      </w:pPr>
      <w:r>
        <w:t>En cuanto a la identificación del parámetro de control de constitucionalidad a aplicar en este caso, debo mostrar mi acuerdo con la posición de base de que éste debe ser el del derecho a la tutela judicial efectiva (art. 24.1 CE), desde la concreta perspectiva de la exigencia de motivación de las resoluciones judiciales. Ahora bien, discrepo con la reiterada mención que se hace posteriormente en la posición mayoritaria a la existencia de una garantía institucional reconocida en el art. 13.3 CE, que también habría resultado infringida por la resolución impugnada.</w:t>
      </w:r>
    </w:p>
    <w:p w:rsidR="0026452D" w:rsidRDefault="0026452D" w:rsidP="0026452D">
      <w:pPr>
        <w:pStyle w:val="TextoNormal"/>
      </w:pPr>
    </w:p>
    <w:p w:rsidR="0026452D" w:rsidRDefault="0026452D" w:rsidP="0026452D">
      <w:pPr>
        <w:pStyle w:val="TextoNormal"/>
      </w:pPr>
      <w:r>
        <w:t>En primer lugar, como es conocido, en el recurso de amparo sólo son invocables los derechos fundamentales reconocidos en los arts. 14 a 29 y 30.2 CE [art. 161 a), en relación con el art. 53.2 CE]. Por tanto, sorprende la insistencia de la posición de la mayoría de la Sala en afirmar que la resolución impugnada ha infringido el art. 13.3 CE, cuando éste es un precepto que queda al margen de la jurisdicción de amparo como parámetro de control. En todo caso, más llamativo resulta que, además de considerarse infringido, se afirme que en el art. 13.3 CE se consagra una garantía institucional básica.</w:t>
      </w:r>
    </w:p>
    <w:p w:rsidR="0026452D" w:rsidRDefault="0026452D" w:rsidP="0026452D">
      <w:pPr>
        <w:pStyle w:val="TextoNormal"/>
      </w:pPr>
    </w:p>
    <w:p w:rsidR="0026452D" w:rsidRDefault="0026452D" w:rsidP="0026452D">
      <w:pPr>
        <w:pStyle w:val="TextoNormal"/>
      </w:pPr>
      <w:r>
        <w:t>La garantía institucional es una categoría jurídico-constitucional que, como se señala en la STC 198/2012, de 6 de noviembre, FJ 7, fue asumida por la doctrina constitucional en la STC 32/1981, de 28 de julio, con el fin de proteger determinadas instituciones constitucionalmente reconocidas frente a la acción legislativa que pueda intentar suprimirlas o desnaturalizarlas, de modo tal que dicha garantía tiende a asegurar la preservación de una institución en términos reconocibles para la imagen que de la misma tiene la conciencia social en cada tiempo y lugar. Así, se recordaba que aunque en el momento de su surgimiento este concepto se asociaba exclusivamente a la protección de instituciones públicas, la garantía institucional se proyectó posteriormente hacia instituciones privadas o incluso sobre determinadas manifestaciones sociales. Este concepto ha sido utilizado, pues, por la doctrina constitucional para referirse a diversas instituciones, como la autonomía local (SSTC 32/1981, de 28 de julio, y 240/2006, de 20 de julio), el régimen foral (STC 76/1988, de 26 de abril), la Seguridad Social (SSTC 37/1994, de 10 de febrero, y 213/2005, de 21 de julio), la familia (STC 116/1994, de 18 de abril), el matrimonio (STC 198/2012, de 6 de noviembre) los colegios profesionales (STC 179/1994, de 16 de junio), etc. Pero también se ha proyectado hacia el ámbito de los derechos fundamentales calificándose como garantía institucional o garantía constitucional tanto el habeas corpus (SSTC 44/1991, de 25 de febrero, y 288/2000, de 27 de noviembre) como el habeas data (STC 292/2000, de 30 de noviembre, entre otras), y el derecho de fundación, definido simultáneamente como “institución preservada” y como derecho fundamental (STC 341/2005, de 21 de diciembre), del mismo modo que se define la autonomía universitaria (entre otras STC 75/1997, de 21 de abril).</w:t>
      </w:r>
    </w:p>
    <w:p w:rsidR="0026452D" w:rsidRDefault="0026452D" w:rsidP="0026452D">
      <w:pPr>
        <w:pStyle w:val="TextoNormal"/>
      </w:pPr>
    </w:p>
    <w:p w:rsidR="0026452D" w:rsidRDefault="0026452D" w:rsidP="0026452D">
      <w:pPr>
        <w:pStyle w:val="TextoNormal"/>
      </w:pPr>
      <w:r>
        <w:lastRenderedPageBreak/>
        <w:t>Pues bien, la Sentencia de la que ahora discrepo es el primer pronunciamiento de este Tribunal en el que se afirma que el art. 13.3 CE contiene una garantía institucional. Elementales razones de motivación y la posición del Tribunal Constitucional de intérprete supremo de la Constitución (art. 1.1 LOTC) hubieran exigido, por un lado, poner de manifiesto los argumentos en que se sustenta dicha afirmación y, por otro, establecer cuáles son los contornos y contenido de esa garantía institucional.</w:t>
      </w:r>
    </w:p>
    <w:p w:rsidR="0026452D" w:rsidRDefault="0026452D" w:rsidP="0026452D">
      <w:pPr>
        <w:pStyle w:val="TextoNormal"/>
      </w:pPr>
    </w:p>
    <w:p w:rsidR="0026452D" w:rsidRDefault="0026452D" w:rsidP="0026452D">
      <w:pPr>
        <w:pStyle w:val="TextoNormal"/>
      </w:pPr>
      <w:r>
        <w:t xml:space="preserve">4. Una última discrepancia con la posición de la mayoría se deriva de la proyección del control de constitucionalidad que se ha realizado </w:t>
      </w:r>
      <w:r w:rsidRPr="0026452D">
        <w:rPr>
          <w:i/>
        </w:rPr>
        <w:t>ex</w:t>
      </w:r>
      <w:r>
        <w:t xml:space="preserve"> art. 24.1 CE en este caso concreto.</w:t>
      </w:r>
    </w:p>
    <w:p w:rsidR="0026452D" w:rsidRDefault="0026452D" w:rsidP="0026452D">
      <w:pPr>
        <w:pStyle w:val="TextoNormal"/>
      </w:pPr>
    </w:p>
    <w:p w:rsidR="0026452D" w:rsidRDefault="0026452D" w:rsidP="0026452D">
      <w:pPr>
        <w:pStyle w:val="TextoNormal"/>
      </w:pPr>
      <w:r>
        <w:t>Es muy reiterada la doctrina de este Tribunal en que se insiste que el recurso de amparo no es un cauce idóneo para corregir posibles errores en la selección, interpretación y aplicación del Ordenamiento jurídico al caso, ya que, si así lo fuera, el Tribunal Constitucional se convertiría en un órgano de casación o de apelación universal y quedaría desvirtuada la naturaleza propia del proceso constitucional de amparo (por todas, STC 214/2007, de 8 de octubre, FJ 4). Sin embargo, en la posición mayoritaria se constata una labor dirigida a la valoración de diferentes documentos y elementos de prueba desarrollados en la vía judicial en relación con la existencia de una legitimación activa en la parte reclamante de la extradición para sustituir la selección, interpretación y aplicación del Ordenamiento jurídico, efectuada por los órganos judiciales, pero sin establecer ni argumentar cuál es el concreto defecto constitucional de motivación en el que habrían incurrido las resoluciones impugnadas.</w:t>
      </w:r>
    </w:p>
    <w:p w:rsidR="0026452D" w:rsidRDefault="0026452D" w:rsidP="0026452D">
      <w:pPr>
        <w:pStyle w:val="TextoNormal"/>
      </w:pPr>
    </w:p>
    <w:p w:rsidR="0026452D" w:rsidRDefault="0026452D" w:rsidP="0026452D">
      <w:pPr>
        <w:pStyle w:val="TextoNormal"/>
      </w:pPr>
      <w:r>
        <w:t xml:space="preserve">Por el contrario, no se aprecia en la posición de la mayoría el cumplimiento de la labor de control que es propia a esta jurisdicción de amparo </w:t>
      </w:r>
      <w:r w:rsidRPr="0026452D">
        <w:rPr>
          <w:i/>
        </w:rPr>
        <w:t>ex</w:t>
      </w:r>
      <w:r>
        <w:t xml:space="preserve"> art. 24.1 CE que, concentrada en el eventual cumplimiento por parte de las resoluciones judiciales impugnadas del deber constitucional de motivación, verificara si los argumentos que han sido utilizado en vía judicial pueden ser considerados arbitrarios, irrazonables o incursos en error patente. De haberse hecho así, y tal como también defendía el Ministerio Fiscal, la conclusión debería haber sido que no cabe apreciar la vulneración aducida por el recurrente. Las decisiones judiciales impugnadas no pueden ser tildadas de arbitrarias, ya que están ampliamente desarrolladas las razones que llevan a justificar la legitimación del Hong Kong para solicitar la extradición, tal como cabe apreciarse en la trascripción realizada en los antecedentes, ni tampoco incursas en error patente. Por tanto, a lo sumo, quedaría la posibilidad de que fueran irrazonables o, en su caso, que no se hubiera dado cumplimiento al deber de motivación reforzado. Sin embargo, tampoco la posición de la mayoría desarrolla este juicio de irrazonabilidad que, preciso es recordarlo, exige, conforme a una doctrina constitucional constante, al menos que, a primera vista y sin necesidad de mayor esfuerzo intelectual y argumental, se compruebe que se trate de un razonamiento que parta de premisas inexistentes o patentemente erróneas o con un desarrollo argumental que incurra en quiebras lógicas de tal magnitud que las conclusiones alcanzadas no pueden considerarse basadas en ninguna de las razones aducidas (por todas, STC 214/1999, de 29 de noviembre, FJ 4). Igualmente, está ausente cualquier mención a un eventual incumplimiento del deber de motivación reforzado en que se pusiera de manifiesto una defectuosa ponderación de los intereses constitucionales en conflicto.</w:t>
      </w:r>
    </w:p>
    <w:p w:rsidR="0026452D" w:rsidRDefault="0026452D" w:rsidP="0026452D">
      <w:pPr>
        <w:pStyle w:val="TextoNormal"/>
      </w:pPr>
    </w:p>
    <w:p w:rsidR="0026452D" w:rsidRDefault="0026452D" w:rsidP="0026452D">
      <w:pPr>
        <w:pStyle w:val="TextoNormal"/>
      </w:pPr>
      <w:r>
        <w:t xml:space="preserve">Por tanto, considero que, de haberse proyectado el control de constitucionalidad que es propio en este tipo de supuestos, la conclusión debería haber sido que no cabe apreciar que </w:t>
      </w:r>
      <w:r>
        <w:lastRenderedPageBreak/>
        <w:t>en las resoluciones impugnadas se haya incurrido en ningún defecto de motivación con relevancia constitucional y que, por tanto, en defecto de haberse inadmitido este recurso, también debería haberse denegado el amparo solicitado.</w:t>
      </w:r>
    </w:p>
    <w:p w:rsidR="0026452D" w:rsidRDefault="0026452D" w:rsidP="0026452D">
      <w:pPr>
        <w:pStyle w:val="TextoNormal"/>
      </w:pPr>
    </w:p>
    <w:p w:rsidR="0026452D" w:rsidRDefault="0026452D" w:rsidP="0026452D">
      <w:pPr>
        <w:pStyle w:val="TextoNormal"/>
      </w:pPr>
      <w:r>
        <w:t>Madrid, a once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35" w:name="SENTENCIA_2013_32"/>
      <w:r>
        <w:lastRenderedPageBreak/>
        <w:t>SENTENCIA 32/2013, de 11 de febrero de 2013</w:t>
      </w:r>
    </w:p>
    <w:bookmarkEnd w:id="35"/>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ECLI:ES:TC:2013:32</w:t>
      </w:r>
    </w:p>
    <w:p w:rsidR="0026452D" w:rsidRDefault="0026452D" w:rsidP="0026452D">
      <w:pPr>
        <w:pStyle w:val="SntesisDescriptiva"/>
      </w:pPr>
    </w:p>
    <w:p w:rsidR="0026452D" w:rsidRDefault="0026452D" w:rsidP="0026452D">
      <w:pPr>
        <w:pStyle w:val="SntesisDescriptiva"/>
      </w:pPr>
      <w:r>
        <w:t>Recurso de amparo 501-2012. Promovido por Studios Viales e Ingeniería, S.L., con respecto a las Sentencias dictadas por la Audiencia Provincial de Asturias y un Juzgado de lo Penal de Avilés en procedimiento abreviado por delitos contra la hacienda pública.</w:t>
      </w:r>
    </w:p>
    <w:p w:rsidR="0026452D" w:rsidRDefault="0026452D" w:rsidP="0026452D">
      <w:pPr>
        <w:pStyle w:val="SntesisDescriptiva"/>
      </w:pPr>
    </w:p>
    <w:p w:rsidR="0026452D" w:rsidRDefault="0026452D" w:rsidP="0026452D">
      <w:pPr>
        <w:pStyle w:val="SntesisAnaltica"/>
      </w:pPr>
      <w:r>
        <w:t>Vulneración del derecho a la tutela judicial efectiva (resolución fundada en Derecho): Sentencia de apelación que se aparta conscientemente de una doctrina reiterada y conocida del Tribunal Constitucional (STC 59/2010).</w:t>
      </w:r>
    </w:p>
    <w:p w:rsidR="0026452D" w:rsidRDefault="0026452D" w:rsidP="0026452D">
      <w:pPr>
        <w:pStyle w:val="SntesisAnaltica"/>
      </w:pPr>
    </w:p>
    <w:p w:rsidR="0026452D" w:rsidRDefault="0026452D" w:rsidP="0026452D">
      <w:pPr>
        <w:pStyle w:val="Extracto"/>
      </w:pPr>
      <w:r>
        <w:t>1.</w:t>
      </w:r>
      <w:r>
        <w:tab/>
        <w:t>La interpretación del art. 132.2 CP en el sentido de que la simple presentación de una denuncia o querella interrumpe el plazo de prescripción, sin que medie ningún acto de interposición judicial o de dirección procesal del procedimiento contra el culpable, no respeta las exigencias de tutela reforzada, al no tomar en consideración ni las exigencias derivadas de la seguridad jurídica, ni el fundamento de la institución, ni la implicación del derecho a la libertad, correspondiendo a la jurisdicción ordinaria la determinación de la intensidad o calidad de dicha actuación judicial para entender interrumpido el lapso prescriptivo (SSTC 29/2008, 59/2010, 133/2011)  [FJ 4].</w:t>
      </w:r>
    </w:p>
    <w:p w:rsidR="0026452D" w:rsidRDefault="0026452D" w:rsidP="0026452D">
      <w:pPr>
        <w:pStyle w:val="Extracto"/>
      </w:pPr>
    </w:p>
    <w:p w:rsidR="0026452D" w:rsidRDefault="0026452D" w:rsidP="0026452D">
      <w:pPr>
        <w:pStyle w:val="Extracto"/>
      </w:pPr>
      <w:r>
        <w:t>2.</w:t>
      </w:r>
      <w:r>
        <w:tab/>
        <w:t>Las resoluciones impugnadas incurren en manifiesto desconocimiento del deber de acatamiento de la doctrina del Tribunal Constitucional, lo cual supone una quiebra patente del mandato recogido en el citado art. 5.1 LOPJ, de la que deriva la consiguiente lesión del derecho de la demandante a la tutela judicial efectiva consagrada en el art. 24.1 CE (SSTC 29/2008, 133/2011) [FJ 4].</w:t>
      </w:r>
    </w:p>
    <w:p w:rsidR="0026452D" w:rsidRDefault="0026452D" w:rsidP="0026452D">
      <w:pPr>
        <w:pStyle w:val="Extracto"/>
      </w:pPr>
    </w:p>
    <w:p w:rsidR="0026452D" w:rsidRDefault="0026452D" w:rsidP="0026452D">
      <w:pPr>
        <w:pStyle w:val="Extracto"/>
      </w:pPr>
      <w:r>
        <w:t>3.</w:t>
      </w:r>
      <w:r>
        <w:tab/>
        <w:t>El vicio de incongruencia omisiva existe cuando el órgano judicial deja sin respuesta alguna de las cuestiones planteadas por las partes, siempre que no quepa interpretar razonablemente el silencio judicial como una desestimación tácita, pues la satisfacción del derecho a la tutela judicial efectiva no exige una respuesta explícita y pormenorizada a todas y cada una de las alegaciones que se aducen como fundamento de la pretensión, pudiendo ser suficiente una respuesta global a las alegaciones formuladas por las partes que fundamente la respuesta a la pretensión deducida (SSTC 218/2003, 204/2009) [FJ 3].</w:t>
      </w:r>
    </w:p>
    <w:p w:rsidR="0026452D" w:rsidRDefault="0026452D" w:rsidP="0026452D">
      <w:pPr>
        <w:pStyle w:val="Extracto"/>
      </w:pPr>
    </w:p>
    <w:p w:rsidR="0026452D" w:rsidRDefault="0026452D" w:rsidP="0026452D">
      <w:pPr>
        <w:pStyle w:val="Extracto"/>
      </w:pPr>
      <w:r>
        <w:t>4.</w:t>
      </w:r>
      <w:r>
        <w:tab/>
        <w:t xml:space="preserve">La circunstancia de haber sido parte en el proceso judicial previo no es suficiente para ostentar legitimación activa en el recurso de amparo, </w:t>
      </w:r>
      <w:r w:rsidRPr="0026452D">
        <w:rPr>
          <w:i/>
        </w:rPr>
        <w:t>ex</w:t>
      </w:r>
      <w:r>
        <w:t xml:space="preserve"> arts. 162.1 b) CE y 46.1 b) LOTC, sino que se exige además ostentar un interés legítimo, siendo posible ostentar legitimación para recurrir en amparo aun cuando no se haya sido parte en la vía judicial previa [FJ 2].</w:t>
      </w:r>
    </w:p>
    <w:p w:rsidR="0026452D" w:rsidRDefault="0026452D" w:rsidP="0026452D">
      <w:pPr>
        <w:pStyle w:val="Extracto"/>
      </w:pPr>
    </w:p>
    <w:p w:rsidR="0026452D" w:rsidRDefault="0026452D" w:rsidP="0026452D">
      <w:pPr>
        <w:pStyle w:val="Extracto"/>
      </w:pPr>
      <w:r>
        <w:t>5.</w:t>
      </w:r>
      <w:r>
        <w:tab/>
        <w:t xml:space="preserve">El Tribunal Constitucional ha efectuado una interpretación amplia y flexible de la noción de interés legítimo a efectos de reconocer legitimación para recurrir en </w:t>
      </w:r>
      <w:r>
        <w:lastRenderedPageBreak/>
        <w:t>amparo, entendiendo que tal interés concurre en todo aquel cuyo círculo jurídico pueda resultar afectado por la violación de un derecho fundamental, aunque dicha vulneración no se haya producido directamente en su contra, y sin que ello signifique que en el recurso de amparo exista la acción pública (SSTC 60/1982, 208/2009)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501-2012, promovido por la sociedad mercantil Studios Viales e Ingeniería, S.L., representada por la Procuradora de los Tribunales doña Virginia Camacho Villar y asistida por el Abogado don Alfonso Tomás Menéndez López, contra la providencia de 15 de diciembre de 2011 y la Sentencia de 31 de octubre de 2011 de la Sección Tercera de la Audiencia Provincial de Asturias, con sede en Oviedo, recaída en recurso de apelación núm. 92-2011, interpuesto contra la Sentencia de 31 de marzo de 2011 dictada por el Juzgado de lo Penal núm. 1 de Avilés, en procedimiento abreviado núm. 12-2010. Han comparecido y formulado alegaciones el Abogado del Estado y don Manuel López Ron, representado por el Procurador de los Tribunales don Nicolás Álvarez Real y debidamente asistido por Abogado. Ha intervenido el Ministerio Fiscal.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27 de enero de 2012, la Procuradora de los Tribunales doña Virginia Camacho Villa, en nombre y representación de la sociedad mercantil Studios Viales e Ingeniería, S.L., interpuso recurso de amparo contra la providencia y la Sentencia referidas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que se fundamenta la demanda de amparo son los siguientes:</w:t>
      </w:r>
    </w:p>
    <w:p w:rsidR="0026452D" w:rsidRDefault="0026452D" w:rsidP="0026452D">
      <w:pPr>
        <w:pStyle w:val="TextoNormal"/>
      </w:pPr>
    </w:p>
    <w:p w:rsidR="0026452D" w:rsidRDefault="0026452D" w:rsidP="0026452D">
      <w:pPr>
        <w:pStyle w:val="TextoNormal"/>
      </w:pPr>
      <w:r>
        <w:t xml:space="preserve">a) Mediante Sentencia de 31 de marzo de 2011, el Juzgado de lo Penal núm. 1 de Avilés condenó al acusado don Manuel López Ron como autor de diecinueve delitos contra la hacienda pública, en su calidad de representante legal de determinadas sociedades (entre ellas la recurrente en amparo), por el impago del impuesto sobre el valor añadido (IVA) en los ejercicios 2001 a 2003, a otras tantas penas de prisión (con una duración, cada una de ellas, de entre siete y nueve meses de privación de libertad), multas y accesorias de inhabilitación </w:t>
      </w:r>
      <w:r>
        <w:lastRenderedPageBreak/>
        <w:t>para el derecho de sufragio pasivo y pérdida de la posibilidad de obtener ayudas públicas y del derecho a disfrutar beneficios fiscales, y costas, imponiéndole asimismo una responsabilidad civil de siete millones de euros y declarando como responsable civil subsidiaria a la sociedad mercantil Studios Viales e Ingeniería, S.L., hoy recurrente en amparo, en la suma de 942.148,56 euros (al margen de la correspondiente a otras sociedades declaradas también como responsables civiles subsidiarias). Por otra parte, la Sentencia absuelve al acusado de tres delitos relacionados con el IVA del ejercicio correspondiente al año 2000, al considerar prescritas las tres infracciones referidas al mismo.</w:t>
      </w:r>
    </w:p>
    <w:p w:rsidR="0026452D" w:rsidRDefault="0026452D" w:rsidP="0026452D">
      <w:pPr>
        <w:pStyle w:val="TextoNormal"/>
      </w:pPr>
    </w:p>
    <w:p w:rsidR="0026452D" w:rsidRDefault="0026452D" w:rsidP="0026452D">
      <w:pPr>
        <w:pStyle w:val="TextoNormal"/>
      </w:pPr>
      <w:r>
        <w:t>b) Contra esta Sentencia interpusieron recurso de apelación tanto el condenado como las sociedades mercantiles responsables civiles subsidiarias, así como el Abogado del Estado al que se adhirió el Ministerio Fiscal. La Audiencia Provincial de Asturias desestimó el recurso de los condenados y estimó el recurso del Abogado del Estado y del Ministerio Fiscal por Sentencia de 31 de octubre de 2011 y, entendiendo que los tres delitos fiscales relacionados con el IVA del ejercicio del año 2000 no habían prescrito, condenó por los mismos al acusado Sr. López Ron a penas de siete meses de prisión por cada uno de ellos, multas y accesorias de inhabilitación para el derecho de sufragio pasivo y pérdida de la posibilidad de obtener ayudas públicas y del derecho a disfrutar beneficios fiscales, así como al pago de 1.597.490 euros de indemnización a la hacienda pública, declarando la responsabilidad civil subsidiaria de la sociedad recurrente en amparo respecto de los mencionados delitos fiscales relacionados con el IVA del ejercicio del año 2000 en la suma de 175.317,93 euros, confirmando en lo restante los pronunciamientos de la Sentencia de instancia.</w:t>
      </w:r>
    </w:p>
    <w:p w:rsidR="0026452D" w:rsidRDefault="0026452D" w:rsidP="0026452D">
      <w:pPr>
        <w:pStyle w:val="TextoNormal"/>
      </w:pPr>
    </w:p>
    <w:p w:rsidR="0026452D" w:rsidRDefault="0026452D" w:rsidP="0026452D">
      <w:pPr>
        <w:pStyle w:val="TextoNormal"/>
      </w:pPr>
      <w:r>
        <w:t>c) Contra la Sentencia de 31 de octubre de 2011 de la Audiencia Provincial de Asturias promovieron incidente de nulidad de actuaciones tanto el condenado como los responsables civiles subsidiarios. La sociedad mercantil Studios Viales e Ingeniería, S.L., alegó en dicho incidente la vulneración del derecho a la tutela judicial efectiva (art. 24.1 CE) por inaplicación de la doctrina constitucional sobre la interrupción de la prescripción sentada en las SSTC 63/2005, de 14 de marzo, y 29/2008, de 20 de marzo, entre otras, en relación con la condena por los tres delitos fiscales relacionados con el IVA del ejercicio 2000, y por incongruencia omisiva en relación con uno de los motivos del recurso de apelación.</w:t>
      </w:r>
    </w:p>
    <w:p w:rsidR="0026452D" w:rsidRDefault="0026452D" w:rsidP="0026452D">
      <w:pPr>
        <w:pStyle w:val="TextoNormal"/>
      </w:pPr>
    </w:p>
    <w:p w:rsidR="0026452D" w:rsidRDefault="0026452D" w:rsidP="0026452D">
      <w:pPr>
        <w:pStyle w:val="TextoNormal"/>
      </w:pPr>
      <w:r>
        <w:t>d) Mediante providencia de 15 de diciembre de 2011 la Audiencia Provincial de Asturias acordó no haber lugar al incidente de nulidad promovido por la sociedad mercantil hoy demandante de amparo, al entender que dicho incidente planteaba “una revisión de lo ya resuelto en la Sentencia dictada por este Tribunal en grado de apelación, confundiendo la alegada merma de derechos fundamentales con el simple interés a que la resolución se acomode a sus pretensiones”.</w:t>
      </w:r>
    </w:p>
    <w:p w:rsidR="0026452D" w:rsidRDefault="0026452D" w:rsidP="0026452D">
      <w:pPr>
        <w:pStyle w:val="TextoNormal"/>
      </w:pPr>
    </w:p>
    <w:p w:rsidR="0026452D" w:rsidRDefault="0026452D" w:rsidP="0026452D">
      <w:pPr>
        <w:pStyle w:val="TextoNormal"/>
      </w:pPr>
      <w:r w:rsidRPr="0026452D">
        <w:rPr>
          <w:rStyle w:val="NumeroAFNegritaCaracter"/>
        </w:rPr>
        <w:t>3</w:t>
      </w:r>
      <w:r>
        <w:t>. En la demanda de amparo la sociedad mercantil recurrente alega que la Sentencia de 31 de octubre de 2011 de la Audiencia Provincial de Asturias (así como la providencia que rechaza el incidente de nulidad promovido contra la misma), han vulnerado su derecho a la tutela judicial efectiva (art. 24.1 CE), por inaplicación de la doctrina constitucional sobre la interrupción de la prescripción en relación con la condena por los tres delitos fiscales relacionados con el IVA del ejercicio 2000, y por incongruencia omisiva respecto del motivo quinto del recurso de apelación.</w:t>
      </w:r>
    </w:p>
    <w:p w:rsidR="0026452D" w:rsidRDefault="0026452D" w:rsidP="0026452D">
      <w:pPr>
        <w:pStyle w:val="TextoNormal"/>
      </w:pPr>
    </w:p>
    <w:p w:rsidR="0026452D" w:rsidRDefault="0026452D" w:rsidP="0026452D">
      <w:pPr>
        <w:pStyle w:val="TextoNormal"/>
      </w:pPr>
      <w:r>
        <w:lastRenderedPageBreak/>
        <w:t xml:space="preserve">En relación con la primera de las quejas planteadas, entiende la demandante que las resoluciones impugnadas incurren en una negativa manifiesta del deber de acatamiento de la doctrina del Tribunal Constitucional [art. 5 de la Ley Orgánica del Poder Judicial (LOPJ)], al no aplicar la doctrina del Tribunal Constitucional que se desprende de las SSTC 63/2005 y 29/2008, según la cual es necesario un acto del órgano jurisdiccional para entender interrumpida la prescripción conforme al tenor literal del art. 132.2 del Código penal (CP) vigente en ese momento, no bastando la mera interposición de la denuncia o querella. Y ello, porque si bien la querella se presentó el 26 de enero de 2006, el Auto de admisión a trámite de la misma es de 7 de febrero de 2006 y, en aplicación de la doctrina constitucional antes señalada, debería haberse declarado la prescripción del delito de IVA correspondiente al ejercicio del año 2000, toda vez que el </w:t>
      </w:r>
      <w:r w:rsidRPr="0026452D">
        <w:rPr>
          <w:i/>
        </w:rPr>
        <w:t>dies a quo</w:t>
      </w:r>
      <w:r>
        <w:t xml:space="preserve"> se fija el día 30 de enero de 2001, siendo el </w:t>
      </w:r>
      <w:r w:rsidRPr="0026452D">
        <w:rPr>
          <w:i/>
        </w:rPr>
        <w:t>dies ad quem</w:t>
      </w:r>
      <w:r>
        <w:t xml:space="preserve"> el 30 de enero de 2006, conforme al plazo de prescripción de cinco años previsto en el art. 131.1 CP, en la redacción aplicable al presente caso.</w:t>
      </w:r>
    </w:p>
    <w:p w:rsidR="0026452D" w:rsidRDefault="0026452D" w:rsidP="0026452D">
      <w:pPr>
        <w:pStyle w:val="TextoNormal"/>
      </w:pPr>
    </w:p>
    <w:p w:rsidR="0026452D" w:rsidRDefault="0026452D" w:rsidP="0026452D">
      <w:pPr>
        <w:pStyle w:val="TextoNormal"/>
      </w:pPr>
      <w:r>
        <w:t>En cuanto a la incongruencia omisiva que se imputa a las resoluciones recurridas, la sociedad mercantil recurrente se limita a exponer en su demanda de amparo que la Audiencia provincial de Asturias no da respuesta “al motivo quinto del recurso de apelación donde invocaban expresamente la vulneración de derechos fundamentales”.</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16 de julio de 2012, la Sala Primera del Tribunal Constitucional, conforme a lo dispuesto en el art. 11.2 de la Ley Orgánica del Tribunal Constitucional (LOTC), acordó admitir a trámite el presente recurso de amparo así como, en aplicación de lo dispuesto en el art. 51 LOTC, requerir a los órganos judiciales para que remitieran testimonio de las actuaciones, interesando asimismo el emplazamiento de quienes hubieran sido parte en el procedimiento, con excepción de la parte recurrente en amparo, ya personada, para que en el plazo de diez días pudiesen comparecer en este proceso constitucional.</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en este Tribunal el 1 de agosto de 2012, el Procurador de los Tribunales don Nicolás Álvarez Real, en nombre y representación de don Manuel López Ron, solicita que se le tenga por personado en el presente proceso de amparo interpuesto por la sociedad mercantil Studios Viales e Ingeniería, S.L., y que se suspendan las penas de prisión que le han sido impuestas por la Sentencia impugnada en amparo. El señor López Ron también había interpuesto recurso de amparo contra la Sentencia impugnada en el presente proceso constitucional, que fue inadmitido por providencia de la Sección Primera de 11 de julio de 2012, por incurrir el recurrente en el defecto insubsanable de no haber satisfecho la carga consistente en justificar la especial trascendencia constitucional del recurso (art. 49.1 LOTC).</w:t>
      </w:r>
    </w:p>
    <w:p w:rsidR="0026452D" w:rsidRDefault="0026452D" w:rsidP="0026452D">
      <w:pPr>
        <w:pStyle w:val="TextoNormal"/>
      </w:pPr>
    </w:p>
    <w:p w:rsidR="0026452D" w:rsidRDefault="0026452D" w:rsidP="0026452D">
      <w:pPr>
        <w:pStyle w:val="TextoNormal"/>
      </w:pPr>
      <w:r w:rsidRPr="0026452D">
        <w:rPr>
          <w:rStyle w:val="NumeroAFNegritaCaracter"/>
        </w:rPr>
        <w:t>6</w:t>
      </w:r>
      <w:r>
        <w:t>. Por escrito registrado en este Tribunal el 3 de agosto de 2012, la sociedad recurrente solicitó la suspensión de la ejecución de la Sentencia impugnada en amparo, aduciendo su calidad de responsable civil subsidiaria, así como el hecho de que al señor López Ron se le han impuesto penas de prisión y que una eventual declaración de nulidad de la Sentencia también afectaría a su condena, dándose la circunstancia de que por providencia de 17 de julio de 2012 el Juzgado de lo Penal núm. 1 de Avilés señaló su ingreso en prisión para el 7 de agosto de 2012 y aduciendo la presumible insolvencia del condenado. En virtud de ello considera que concurren los requisitos de urgencia excepcional del art. 56.6 LOTC.</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7</w:t>
      </w:r>
      <w:r>
        <w:t>. La Sección de Vacaciones de este Tribunal, mediante providencia dictada el 21 de agosto de 2012, acordó, de conformidad con lo prevenido en el art. 56 LOTC, formar pieza separada de suspensión y conceder un plazo común de tres días al Ministerio Fiscal y a la sociedad mercantil demandante de amparo para que dentro de dicho término aleguen lo que estimen pertinente en relación con la petición de suspensión interesada.</w:t>
      </w:r>
    </w:p>
    <w:p w:rsidR="0026452D" w:rsidRDefault="0026452D" w:rsidP="0026452D">
      <w:pPr>
        <w:pStyle w:val="TextoNormal"/>
      </w:pPr>
    </w:p>
    <w:p w:rsidR="0026452D" w:rsidRDefault="0026452D" w:rsidP="0026452D">
      <w:pPr>
        <w:pStyle w:val="TextoNormal"/>
      </w:pPr>
      <w:r w:rsidRPr="0026452D">
        <w:rPr>
          <w:rStyle w:val="NumeroAFNegritaCaracter"/>
        </w:rPr>
        <w:t>8</w:t>
      </w:r>
      <w:r>
        <w:t>. Habiéndose personado en el presente proceso constitucional el Abogado del Estado y el Procurador don Nicolás Álvarez Real, en nombre y representación de don Manuel López Ron, por diligencia de ordenación del Secretario de Justicia de la Sala Primera de 23 de agosto de 2012 se les concedió un plazo común de tres días para alegar dentro de dicho término lo que estimen pertinente en relación con la petición de suspensión interesada.</w:t>
      </w:r>
    </w:p>
    <w:p w:rsidR="0026452D" w:rsidRDefault="0026452D" w:rsidP="0026452D">
      <w:pPr>
        <w:pStyle w:val="TextoNormal"/>
      </w:pPr>
    </w:p>
    <w:p w:rsidR="0026452D" w:rsidRDefault="0026452D" w:rsidP="0026452D">
      <w:pPr>
        <w:pStyle w:val="TextoNormal"/>
      </w:pPr>
      <w:r w:rsidRPr="0026452D">
        <w:rPr>
          <w:rStyle w:val="NumeroAFNegritaCaracter"/>
        </w:rPr>
        <w:t>9</w:t>
      </w:r>
      <w:r>
        <w:t>. La suspensión interesada fue finalmente denegada mediante ATC 176/2012, de 1 de octubre.</w:t>
      </w:r>
    </w:p>
    <w:p w:rsidR="0026452D" w:rsidRDefault="0026452D" w:rsidP="0026452D">
      <w:pPr>
        <w:pStyle w:val="TextoNormal"/>
      </w:pPr>
    </w:p>
    <w:p w:rsidR="0026452D" w:rsidRDefault="0026452D" w:rsidP="0026452D">
      <w:pPr>
        <w:pStyle w:val="TextoNormal"/>
      </w:pPr>
      <w:r w:rsidRPr="0026452D">
        <w:rPr>
          <w:rStyle w:val="NumeroAFNegritaCaracter"/>
        </w:rPr>
        <w:t>10</w:t>
      </w:r>
      <w:r>
        <w:t>. Por diligencia de ordenación del Secretario de Justicia de la Sala Primera de 23 de agosto de 2012, se tuvieron por recibidos los testimonios de las actuaciones remitidos por la Sección Tercera de la Audiencia Provincial de Asturias y por el Juzgado de lo Penal núm. 1 de Avilés, y por personados y parte al Abogado del Estado y al Procurador don Nicolás Álvarez Real en nombre y representación de don Manuel López Ron. Asimismo, a tenor de lo dispuesto en el art. 52 LOTC, por diligencia de ordenación del Secretario de Justicia de la Sala Primera, de 2 de octubre de 2012, se acordó dar vista de todas las actuaciones del presente recurso de amparo por un plazo común de veinte días al Ministerio Fiscal y a las partes personadas, para que dentro de dicho término pudieran presentar las alegaciones que estimasen convenientes.</w:t>
      </w:r>
    </w:p>
    <w:p w:rsidR="0026452D" w:rsidRDefault="0026452D" w:rsidP="0026452D">
      <w:pPr>
        <w:pStyle w:val="TextoNormal"/>
      </w:pPr>
    </w:p>
    <w:p w:rsidR="0026452D" w:rsidRDefault="0026452D" w:rsidP="0026452D">
      <w:pPr>
        <w:pStyle w:val="TextoNormal"/>
      </w:pPr>
      <w:r w:rsidRPr="0026452D">
        <w:rPr>
          <w:rStyle w:val="NumeroAFNegritaCaracter"/>
        </w:rPr>
        <w:t>11</w:t>
      </w:r>
      <w:r>
        <w:t>. La representación procesal de don Manuel López Ron presentó su escrito de alegaciones en este Tribunal el día 22 de octubre de 2012, adhiriéndose íntegramente a la argumentación que contiene la demanda de amparo formulada por la sociedad mercantil Studios Viales e Ingeniería, S.L.</w:t>
      </w:r>
    </w:p>
    <w:p w:rsidR="0026452D" w:rsidRDefault="0026452D" w:rsidP="0026452D">
      <w:pPr>
        <w:pStyle w:val="TextoNormal"/>
      </w:pPr>
    </w:p>
    <w:p w:rsidR="0026452D" w:rsidRDefault="0026452D" w:rsidP="0026452D">
      <w:pPr>
        <w:pStyle w:val="TextoNormal"/>
      </w:pPr>
      <w:r w:rsidRPr="0026452D">
        <w:rPr>
          <w:rStyle w:val="NumeroAFNegritaCaracter"/>
        </w:rPr>
        <w:t>12</w:t>
      </w:r>
      <w:r>
        <w:t>. Mediante escrito presentado en el Registro General de este Tribunal el 29 de octubre de 2012, el Abogado del Estado presentó alegaciones solicitando la inadmisión del presente recurso de amparo y, subsidiariamente, la desestimación del mismo.</w:t>
      </w:r>
    </w:p>
    <w:p w:rsidR="0026452D" w:rsidRDefault="0026452D" w:rsidP="0026452D">
      <w:pPr>
        <w:pStyle w:val="TextoNormal"/>
      </w:pPr>
    </w:p>
    <w:p w:rsidR="0026452D" w:rsidRDefault="0026452D" w:rsidP="0026452D">
      <w:pPr>
        <w:pStyle w:val="TextoNormal"/>
      </w:pPr>
      <w:r>
        <w:t xml:space="preserve">El Abogado del Estado alega, en primer lugar, falta de justificación de la especial trascendencia constitucional respecto del motivo de amparo basado en la vulneración del art. 24.1 CE por incongruencia omisiva, al entender que la recurrente no justifica en su demanda la proyección objetiva del amparo solicitado, pues no traduce en el plano formal (art. 49.1 LOTC) la exigencia material de la especial trascendencia constitucional con arreglo a la doctrina sentada por este Tribunal en las SSTC 69/2011, de 16 de mayo, y 143/2011, de 26 de septiembre, entre otras. En segundo término, aduce falta de legitimación activa de la mercantil demandante [art. 50.1 a) LOTC, en relación con los arts. 162.1 b) CE y 46.1 b) LOTC] respecto de la vulneración del art. 24.1 CE, por no aplicar la Audiencia Provincial de Asturias la doctrina constitucional sobre la interrupción de la prescripción de los delitos pues, a juicio del Abogado del Estado, dicha doctrina constitucional protege a quien ha sido </w:t>
      </w:r>
      <w:r>
        <w:lastRenderedPageBreak/>
        <w:t>condenado a una pena privativa de libertad, pero no puede ser invocada por quien es responsable civil subsidiario de un delito.</w:t>
      </w:r>
    </w:p>
    <w:p w:rsidR="0026452D" w:rsidRDefault="0026452D" w:rsidP="0026452D">
      <w:pPr>
        <w:pStyle w:val="TextoNormal"/>
      </w:pPr>
    </w:p>
    <w:p w:rsidR="0026452D" w:rsidRDefault="0026452D" w:rsidP="0026452D">
      <w:pPr>
        <w:pStyle w:val="TextoNormal"/>
      </w:pPr>
      <w:r>
        <w:t>Subsidiariamente, el Abogado del Estado solicita la desestimación del presente recurso de amparo al entender, por un lado, que la Audiencia Provincial de Asturias da respuesta a todas alegaciones elevadas por la sociedad mercantil recurrente y, por otro, que no existe lesión de un derecho fundamental cuando no se es titular del mismo.</w:t>
      </w:r>
    </w:p>
    <w:p w:rsidR="0026452D" w:rsidRDefault="0026452D" w:rsidP="0026452D">
      <w:pPr>
        <w:pStyle w:val="TextoNormal"/>
      </w:pPr>
    </w:p>
    <w:p w:rsidR="0026452D" w:rsidRDefault="0026452D" w:rsidP="0026452D">
      <w:pPr>
        <w:pStyle w:val="TextoNormal"/>
      </w:pPr>
      <w:r w:rsidRPr="0026452D">
        <w:rPr>
          <w:rStyle w:val="NumeroAFNegritaCaracter"/>
        </w:rPr>
        <w:t>13</w:t>
      </w:r>
      <w:r>
        <w:t>. El Ministerio Fiscal presentó su escrito de alegaciones en este Tribunal el 23 de octubre de 2012.</w:t>
      </w:r>
    </w:p>
    <w:p w:rsidR="0026452D" w:rsidRDefault="0026452D" w:rsidP="0026452D">
      <w:pPr>
        <w:pStyle w:val="TextoNormal"/>
      </w:pPr>
    </w:p>
    <w:p w:rsidR="0026452D" w:rsidRDefault="0026452D" w:rsidP="0026452D">
      <w:pPr>
        <w:pStyle w:val="TextoNormal"/>
      </w:pPr>
      <w:r>
        <w:t>Tras exponer detalladamente los antecedentes del asunto, así como la doctrina de este Tribunal respecto de la institución de la prescripción de los delitos y respecto de la vulneración del art. 24.1 CE por incongruencia omisiva, interesa la estimación del presente recurso de amparo por vulneración del derecho a la tutela judicial efectiva, en relación exclusivamente con la prescripción de los delitos relativos al IVA del ejercicio del año 2000. Y ello, porque la Audiencia Provincial de Asturias era conocedora de la existencia de la doctrina del Tribunal Constitucional sobre el cómputo de la prescripción sentada en la STC 63/2005, de 14 de marzo, y, sin embargo, rechaza de forma expresa dicha doctrina, lo que implica una contravención del mandato tajante del art. 5.1 LOPJ, cuyo incumplimiento determina que las resoluciones judiciales impugnadas deban reputarse vulneradoras del art. 24.1 CE.</w:t>
      </w:r>
    </w:p>
    <w:p w:rsidR="0026452D" w:rsidRDefault="0026452D" w:rsidP="0026452D">
      <w:pPr>
        <w:pStyle w:val="TextoNormal"/>
      </w:pPr>
    </w:p>
    <w:p w:rsidR="0026452D" w:rsidRDefault="0026452D" w:rsidP="0026452D">
      <w:pPr>
        <w:pStyle w:val="TextoNormal"/>
      </w:pPr>
      <w:r>
        <w:t>Por el contrario, el Fiscal sostiene que procede la denegación del amparo por incongruencia omisiva, al entender que la Sentencia impugnada ofrece una respuesta a todas las cuestiones planteadas en el motivo quinto del recurso de apelación, satisfaciendo sobradamente las exigencias de motivación derivadas del derecho a la tutela judicial efectiva.</w:t>
      </w:r>
    </w:p>
    <w:p w:rsidR="0026452D" w:rsidRDefault="0026452D" w:rsidP="0026452D">
      <w:pPr>
        <w:pStyle w:val="TextoNormal"/>
      </w:pPr>
    </w:p>
    <w:p w:rsidR="0026452D" w:rsidRDefault="0026452D" w:rsidP="0026452D">
      <w:pPr>
        <w:pStyle w:val="TextoNormal"/>
      </w:pPr>
      <w:r w:rsidRPr="0026452D">
        <w:rPr>
          <w:rStyle w:val="NumeroAFNegritaCaracter"/>
        </w:rPr>
        <w:t>14</w:t>
      </w:r>
      <w:r>
        <w:t>. Por providencia de 7 de febrero de 2012 se acordó señalar para deliberación y votación de la presente Sentencia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La sociedad recurrente en amparo, imputa a la Sentencia de 31 de octubre de 2011 de la Audiencia Provincial de Asturias (y a la providencia de 15 de diciembre de 2011, que rechaza el incidente de nulidad promovido contra la misma porque no reparó las lesiones denunciadas), la vulneración del derecho fundamental a la tutela judicial efectiva (art. 24.1 CE), por inaplicación de la doctrina constitucional sobre la interrupción de la prescripción de los delitos, en relación con la condena por tres delitos fiscales relacionados con el impuesto sobre el valor añadido (IVA) del ejercicio correspondiente al año 2000. Asimismo, aduce que las resoluciones impugnadas vulneran su derecho a la tutela judicial efectiva (art. 24.1 CE) por incurrir en incongruencia omisiva, al no dar respuesta, según la entidad demandante, “al motivo quinto del recurso de apelación donde invocaban expresamente la vulneración de derechos fundamentales”.</w:t>
      </w:r>
    </w:p>
    <w:p w:rsidR="0026452D" w:rsidRDefault="0026452D" w:rsidP="0026452D">
      <w:pPr>
        <w:pStyle w:val="TextoNormal"/>
      </w:pPr>
    </w:p>
    <w:p w:rsidR="0026452D" w:rsidRDefault="0026452D" w:rsidP="0026452D">
      <w:pPr>
        <w:pStyle w:val="TextoNormal"/>
      </w:pPr>
      <w:r>
        <w:t xml:space="preserve">El Abogado del Estado solicita en sus alegaciones la inadmisión del presente recurso de amparo y, subsidiariamente, su denegación, en atención a las razones que han quedado expuestas en los antecedentes de la presente resolución. El Ministerio Fiscal, en virtud de las </w:t>
      </w:r>
      <w:r>
        <w:lastRenderedPageBreak/>
        <w:t>razones que también han quedado expuestas en los antecedentes de la presente Sentencia, interesa el otorgamiento del amparo respecto de la vulneración del art. 24.1 CE por no haber respetado los órganos judiciales la jurisprudencia del Tribunal Constitucional respecto del cómputo de la prescripción sentada en la STC 63/2005, de 14 de marzo, entre otras, e interesa la denegación del amparo solicitado respecto de la vulneración del art. 24.1 CE por incongruencia omisiva.</w:t>
      </w:r>
    </w:p>
    <w:p w:rsidR="0026452D" w:rsidRDefault="0026452D" w:rsidP="0026452D">
      <w:pPr>
        <w:pStyle w:val="TextoNormal"/>
      </w:pPr>
    </w:p>
    <w:p w:rsidR="0026452D" w:rsidRDefault="0026452D" w:rsidP="0026452D">
      <w:pPr>
        <w:pStyle w:val="TextoNormal"/>
      </w:pPr>
      <w:r>
        <w:t>Por su parte, la representación procesal de don Manuel López Ron interesa la estimación del presente recurso de amparo y se adhiere, de forma íntegra, a la argumentación que contiene la demanda de amparo interpuesta por la sociedad mercantil Studios Viales e Ingeniería, S.L.</w:t>
      </w:r>
    </w:p>
    <w:p w:rsidR="0026452D" w:rsidRDefault="0026452D" w:rsidP="0026452D">
      <w:pPr>
        <w:pStyle w:val="TextoNormal"/>
      </w:pPr>
    </w:p>
    <w:p w:rsidR="0026452D" w:rsidRDefault="0026452D" w:rsidP="0026452D">
      <w:pPr>
        <w:pStyle w:val="TextoNormal"/>
      </w:pPr>
      <w:r w:rsidRPr="0026452D">
        <w:rPr>
          <w:rStyle w:val="NumeroAFNegritaCaracter"/>
        </w:rPr>
        <w:t>2</w:t>
      </w:r>
      <w:r>
        <w:t>. A tenor de lo expuesto, debemos pronunciarnos con carácter previo sobre los óbices de admisibilidad aducidos por el Abogado del Estado, antes de entrar a analizar, en su caso, las quejas planteadas en la demanda de amparo. Para el Abogado del Estado el recurso de amparo debería inadmitirse porque, de un lado, la recurrente no justifica en su demanda la especial trascendencia constitucional del motivo de amparo basado en la incongruencia omisiva y, de otro, carecería de legitimación activa para invocar la vulneración del art. 24.1 CE por inaplicación de la doctrina constitucional sobre interrupción de la prescripción de los delitos, toda vez que dicha doctrina constitucional protegería a quien ha sido condenado a una pena privativa de libertad, pero no a quien es responsable civil subsidiario de un delito.</w:t>
      </w:r>
    </w:p>
    <w:p w:rsidR="0026452D" w:rsidRDefault="0026452D" w:rsidP="0026452D">
      <w:pPr>
        <w:pStyle w:val="TextoNormal"/>
      </w:pPr>
    </w:p>
    <w:p w:rsidR="0026452D" w:rsidRDefault="0026452D" w:rsidP="0026452D">
      <w:pPr>
        <w:pStyle w:val="TextoNormal"/>
      </w:pPr>
      <w:r>
        <w:t>Pues bien, estos óbices han de ser rechazados. En primer lugar, porque la recurrente cumple con la carga deriva del art. 49.1 de la Ley Orgánica del Tribunal Constitucional (LOTC) consistente en justificar la especial trascendencia constitucional del recurso, toda vez que a tal fin aduce el desconocimiento manifiesto del deber de acatamiento de la doctrina del Tribunal Constitucional por parte de la Audiencia Provincial de Asturias, remitiéndose al supuesto previsto del apartado f), del fundamento jurídico 2, de la STC 155/2009, de 25 de junio, donde se recoge, como uno de los supuestos en que cabe apreciar que el contenido del recurso de amparo justifica una decisión sobre el fondo en razón de su especial trascendencia constitucional, cuando “un órgano judicial incurra en una negativa manifiesta del deber de acatamiento de la doctrina del Tribunal Constitucional (art. 5 LOPJ)”, siendo esta justificación suficiente para admitir a trámite el recurso de amparo [</w:t>
      </w:r>
      <w:r w:rsidRPr="0026452D">
        <w:rPr>
          <w:i/>
        </w:rPr>
        <w:t>ex</w:t>
      </w:r>
      <w:r>
        <w:t xml:space="preserve"> art. 50.1 b) LOTC], sin que se derive de la Ley Orgánica del Tribunal Constitucional, ni de la doctrina de este Tribunal, la necesidad de justificar la especial trascendencia constitucional, de forma individualizada, de todos y cada uno de los motivos de amparo alegados.</w:t>
      </w:r>
    </w:p>
    <w:p w:rsidR="0026452D" w:rsidRDefault="0026452D" w:rsidP="0026452D">
      <w:pPr>
        <w:pStyle w:val="TextoNormal"/>
      </w:pPr>
    </w:p>
    <w:p w:rsidR="0026452D" w:rsidRDefault="0026452D" w:rsidP="0026452D">
      <w:pPr>
        <w:pStyle w:val="TextoNormal"/>
      </w:pPr>
      <w:r>
        <w:t xml:space="preserve">En segundo término, en relación con la alegada falta de legitimación activa de la sociedad mercantil Studios Viales e Ingeniería, S.L., resulta obligado recordar que los criterios que sirven para determinar si el demandante de amparo ostenta o no legitimación para acudir ante este Tribunal se encuentran en los arts. 162.1 b) CE y 46.1 b) LOTC. Así como el segundo reconoce legitimación para interponer recurso de amparo contra resoluciones de los órganos judiciales a quienes hayan sido parte en el proceso judicial correspondiente, el primero reconoce legitimación para recurrir en amparo a toda persona natural o jurídica que invoque un interés legítimo; razón por la que este Tribunal ha realizado una interpretación integradora de ambos preceptos, en el sentido de entender que la fórmula del art. 46.1 b) </w:t>
      </w:r>
      <w:r>
        <w:lastRenderedPageBreak/>
        <w:t>LOTC complementa a la del art. 162.1 b) CE, sin que se deba considerar limitativa o restrictiva de ella (por todas, SSTC 106/1984, de 16 de noviembre, FJ 1; 237/1997, de 19 de diciembre, FJ 2; y 158/2002, de 16 de septiembre, FJ 2).</w:t>
      </w:r>
    </w:p>
    <w:p w:rsidR="0026452D" w:rsidRDefault="0026452D" w:rsidP="0026452D">
      <w:pPr>
        <w:pStyle w:val="TextoNormal"/>
      </w:pPr>
    </w:p>
    <w:p w:rsidR="0026452D" w:rsidRDefault="0026452D" w:rsidP="0026452D">
      <w:pPr>
        <w:pStyle w:val="TextoNormal"/>
      </w:pPr>
      <w:r>
        <w:t>De este modo hemos precisado que la circunstancia de haber sido parte en el proceso judicial previo no es suficiente para ostentar legitimación activa en el recurso de amparo, sino que se exige, además, ostentar un interés legítimo (y que, a la inversa, es posible ostentar legitimación para recurrir en amparo aun cuando no se haya sido parte en la vía judicial previa); asimismo, hemos efectuado una interpretación muy amplia y flexible de la noción de interés legítimo a efectos de reconocer legitimación para recurrir en amparo, entendiendo que tal interés concurre en todo aquel cuyo círculo jurídico pueda resultar afectado por la violación de un derecho fundamental, aunque dicha vulneración no se haya producido directamente en su contra, y sin que ello signifique, obviamente, que en el recurso de amparo exista la acción pública (SSTC 60/1982, de 11 de octubre, FJ 2; 62/1983, de 11 de julio, FJ 2; 25/1989, de 3 de febrero, FJ 1; 43/1990, de 15 de marzo, FJ 3; 221/2002, de 25 de noviembre, FJ 2; 176/2005, de 4 de julio, FJ 2; 52/2007, de 12 de marzo, FJ 3; y 208/2009, de 26 de noviembre, FJ 2, entre otras).</w:t>
      </w:r>
    </w:p>
    <w:p w:rsidR="0026452D" w:rsidRDefault="0026452D" w:rsidP="0026452D">
      <w:pPr>
        <w:pStyle w:val="TextoNormal"/>
      </w:pPr>
    </w:p>
    <w:p w:rsidR="0026452D" w:rsidRDefault="0026452D" w:rsidP="0026452D">
      <w:pPr>
        <w:pStyle w:val="TextoNormal"/>
      </w:pPr>
      <w:r>
        <w:t>No existiendo duda alguna sobre la condición de parte en el proceso judicial previo de la sociedad demandante de amparo, la cuestión se ciñe a determinar si, además, ostenta un interés legítimo para recurrir en amparo, lo que, en este caso, resulta a todas luces evidente, pues la sociedad mercantil recurrente tiene un interés legítimo en que se declare que los delitos fiscales referidos al IVA del año 2000 han prescrito, dado que, prescritos éstos, cesan también las obligaciones del responsable civil subsidiario, lo que conduce a rechazar la pretendida falta de legitimación para recurrir en amparo.</w:t>
      </w:r>
    </w:p>
    <w:p w:rsidR="0026452D" w:rsidRDefault="0026452D" w:rsidP="0026452D">
      <w:pPr>
        <w:pStyle w:val="TextoNormal"/>
      </w:pPr>
    </w:p>
    <w:p w:rsidR="0026452D" w:rsidRDefault="0026452D" w:rsidP="0026452D">
      <w:pPr>
        <w:pStyle w:val="TextoNormal"/>
      </w:pPr>
      <w:r w:rsidRPr="0026452D">
        <w:rPr>
          <w:rStyle w:val="NumeroAFNegritaCaracter"/>
        </w:rPr>
        <w:t>3</w:t>
      </w:r>
      <w:r>
        <w:t>. Entrando ya en el examen de los motivos de amparo alegados, y aunque no sea la primera de las quejas expuestas en la demanda de amparo, nuestro análisis debe comenzar por la denuncia de la vulneración del derecho a la tutela judicial efectiva (art. 24.1 CE) por la incongruencia omisiva en que, a juicio de la demandante, habría incurrido la Sentencia recurrida. La razón de esta prioridad ha sido expuesta ya en múltiples ocasiones (SSTC 9/1992, de 16 de enero, FJ 1; 128/1998, de 16 de junio, FJ 2; y 215/1999, de 29 de noviembre, FJ 1) y debemos reiterarla una vez más, señalando que la hipotética estimación de dicha incongruencia entrañaría la retroacción de actuaciones, haciendo improcedente, por razones de subsidiariedad del recurso de amparo constitucional, el examen de las quejas cuyo sustrato fáctico pudiera verse alterado por dicha retroacción. Sin embargo, en el caso que nos ocupa esta queja debe ser rechazada.</w:t>
      </w:r>
    </w:p>
    <w:p w:rsidR="0026452D" w:rsidRDefault="0026452D" w:rsidP="0026452D">
      <w:pPr>
        <w:pStyle w:val="TextoNormal"/>
      </w:pPr>
    </w:p>
    <w:p w:rsidR="0026452D" w:rsidRDefault="0026452D" w:rsidP="0026452D">
      <w:pPr>
        <w:pStyle w:val="TextoNormal"/>
      </w:pPr>
      <w:r>
        <w:t>Y ello, en primer lugar, porque la sucinta argumentación aportada en la demanda de amparo para fundamentar la denuncia de la vulneración del derecho a la tutela judicial efectiva (art. 24.1 CE) por incongruencia omisiva, reproducida íntegramente en los antecedentes, exigiría una labor de reconstrucción de la demanda y, como hemos señalado reiteradamente, no le corresponde a este Tribunal reconstruir de oficio la demanda de amparo, ni suplir las razones de las partes —sobre las que recae la carga de la argumentación— cuando aquéllas no se aportan al recurso (SSTC 123/2006, de 24 de abril, FJ 3; 196/2006, de 3 de julio, FJ 3; 74/2007, de 16 de abril, FJ 2; 42/2008, de 10 de marzo, FJ 2; y 182/2009, de 7 de septiembre, FJ 2).</w:t>
      </w:r>
    </w:p>
    <w:p w:rsidR="0026452D" w:rsidRDefault="0026452D" w:rsidP="0026452D">
      <w:pPr>
        <w:pStyle w:val="TextoNormal"/>
      </w:pPr>
    </w:p>
    <w:p w:rsidR="0026452D" w:rsidRDefault="0026452D" w:rsidP="0026452D">
      <w:pPr>
        <w:pStyle w:val="TextoNormal"/>
      </w:pPr>
      <w:r>
        <w:lastRenderedPageBreak/>
        <w:t>En segundo término, porque como mantienen el Abogado del Estado y el Ministerio Fiscal, la Sentencia de 31 de octubre de 2011 de la Sección Tercera de la Audiencia Provincial de Asturias ofrece respuesta, aunque no independiente, a todas las cuestiones planteadas en el motivo quinto del recurso de apelación, cumpliendo las exigencias derivadas del derecho fundamental a la tutela judicial efectiva, sin que pueda apreciarse un vicio de incongruencia omisiva que, de acuerdo con la doctrina de este Tribunal, existe “cuando el órgano judicial deja sin respuesta alguna de las cuestiones planteadas por las partes, siempre que no quepa interpretar razonablemente el silencio judicial como una desestimación tácita cuya motivación pueda deducirse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[por todas, STC 218/2003, de 15 de noviembre, FJ 4 b)].” (STC 204/2009, de 23 de noviembre, FJ 3).</w:t>
      </w:r>
    </w:p>
    <w:p w:rsidR="0026452D" w:rsidRDefault="0026452D" w:rsidP="0026452D">
      <w:pPr>
        <w:pStyle w:val="TextoNormal"/>
      </w:pPr>
    </w:p>
    <w:p w:rsidR="0026452D" w:rsidRDefault="0026452D" w:rsidP="0026452D">
      <w:pPr>
        <w:pStyle w:val="TextoNormal"/>
      </w:pPr>
      <w:r w:rsidRPr="0026452D">
        <w:rPr>
          <w:rStyle w:val="NumeroAFNegritaCaracter"/>
        </w:rPr>
        <w:t>4</w:t>
      </w:r>
      <w:r>
        <w:t>. En cuanto al segundo de los motivos de amparo aducidos, la demandante alega la vulneración del derecho a la tutela judicial efectiva (art. 24.1 CE), toda vez que las Sentencias impugnadas no han apreciado la prescripción de la responsabilidad criminal, apartándose explícitamente de la doctrina sentada en las SSTC 63/2005, de 14 de marzo, y 29/2008, de 20 de febrero.</w:t>
      </w:r>
    </w:p>
    <w:p w:rsidR="0026452D" w:rsidRDefault="0026452D" w:rsidP="0026452D">
      <w:pPr>
        <w:pStyle w:val="TextoNormal"/>
      </w:pPr>
    </w:p>
    <w:p w:rsidR="0026452D" w:rsidRDefault="0026452D" w:rsidP="0026452D">
      <w:pPr>
        <w:pStyle w:val="TextoNormal"/>
      </w:pPr>
      <w:r>
        <w:t>Para llevar a cabo el examen de esta queja, cuya especial trascendencia constitucional [art. 50.1 b) LOTC] deriva, en los términos señalados en la STC 155/2009, de 25 de junio, FJ 2, del desconocimiento manifiesto del deber de acatamiento de la doctrina del Tribunal Constitucional por parte de la Audiencia Provincial de Asturias, es necesario recordar que el art. 132.2 CP, en la redacción vigente en el momento en que se cometieron los hechos que dieron lugar a la Sentencia recurrida, disponía que la prescripción “se interrumpirá, quedando sin efecto el tiempo transcurrido cuando el procedimiento se dirija contra el culpable”. Este precepto ha sido, en efecto, interpretado por el Tribunal Constitucional en el sentido de entender que la querella o denuncia de un tercero “es una ‘solicitud de iniciación’ del procedimiento” (SSTC 63/2005, FJ 8; y 29/2008, FJ 10), pero “no un procedimiento ya iniciado” (STC 29/2008, FJ 10), razón por la cual aquella querella o denuncia no tiene por sí sola eficacia interruptiva del cómputo del plazo de prescripción, sino que es necesario un “acto de interposición judicial” [STC 29/2008, FJ 12 c)] o de “dirección procesal del procedimiento contra el culpable” (STC 63/2005, FJ 5, y, más recientemente, SSTC 95/2010, de 15 de noviembre, FJ 5, y 133/2011, de 18 de julio, FJ 3, entre otras).</w:t>
      </w:r>
    </w:p>
    <w:p w:rsidR="0026452D" w:rsidRDefault="0026452D" w:rsidP="0026452D">
      <w:pPr>
        <w:pStyle w:val="TextoNormal"/>
      </w:pPr>
    </w:p>
    <w:p w:rsidR="0026452D" w:rsidRDefault="0026452D" w:rsidP="0026452D">
      <w:pPr>
        <w:pStyle w:val="TextoNormal"/>
      </w:pPr>
      <w:r>
        <w:t>En consecuencia, la interpretación del art. 132.2 CP en el sentido de que “la simple presentación de una denuncia o querella, sin que medie ningún acto de interposición judicial, interrumpe el plazo de prescripción, no respeta las exigencias de tutela reforzada, al no tomar en consideración, ni las exigencias derivadas de la seguridad jurídica, ni el fundamento de la institución, ni la implicación del derecho a la libertad (art. 17.1 CE)” [STC 59/2010, de 4 de octubre, FJ 2 a)]. Ahora bien, “[l]a determinación de la intensidad o calidad de dicha actuación judicial para entender interrumpido el lapso prescriptivo de las infracciones penales corresponde a la jurisdicción ordinaria” [STC 59/2010, de 4 de octubre, FJ 2 c)].</w:t>
      </w:r>
    </w:p>
    <w:p w:rsidR="0026452D" w:rsidRDefault="0026452D" w:rsidP="0026452D">
      <w:pPr>
        <w:pStyle w:val="TextoNormal"/>
      </w:pPr>
    </w:p>
    <w:p w:rsidR="0026452D" w:rsidRDefault="0026452D" w:rsidP="0026452D">
      <w:pPr>
        <w:pStyle w:val="TextoNormal"/>
      </w:pPr>
      <w:r>
        <w:t xml:space="preserve">En el caso que nos ocupa, si bien la querella se presentó el 26 de enero de 2006, el Auto de admisión a trámite de la misma es de 7 de febrero de 2006, por lo que está claro que ha vencido el plazo de prescripción de cinco años previsto en el art. 131.1 </w:t>
      </w:r>
      <w:r w:rsidRPr="0026452D">
        <w:rPr>
          <w:i/>
        </w:rPr>
        <w:t>in fine</w:t>
      </w:r>
      <w:r>
        <w:t xml:space="preserve"> CP, de acuerdo con la doctrina del Tribunal Constitucional antes citada, según la cual es necesario “un acto de interposición judicial” o de “dirección procesal del procedimiento contra el culpable” para entender interrumpida la prescripción de la infracción penal. Y ello, porque el </w:t>
      </w:r>
      <w:r w:rsidRPr="0026452D">
        <w:rPr>
          <w:i/>
        </w:rPr>
        <w:t>dies a quo</w:t>
      </w:r>
      <w:r>
        <w:t xml:space="preserve"> se fija el día 30 de enero de 2001 (fecha límite para la presentación del IVA correspondiente al ejercicio del año 2000), siendo el </w:t>
      </w:r>
      <w:r w:rsidRPr="0026452D">
        <w:rPr>
          <w:i/>
        </w:rPr>
        <w:t>dies ad quem</w:t>
      </w:r>
      <w:r>
        <w:t xml:space="preserve"> el 30 de enero de 2006, conforme al plazo de prescripción de cinco años previsto en el art. 131.1 CP, en la redacción aplicable al presente caso, sin que del examen de las actuaciones se desprenda la existencia de acto de interposición judicial anterior al referido Auto de admisión de la querella.</w:t>
      </w:r>
    </w:p>
    <w:p w:rsidR="0026452D" w:rsidRDefault="0026452D" w:rsidP="0026452D">
      <w:pPr>
        <w:pStyle w:val="TextoNormal"/>
      </w:pPr>
    </w:p>
    <w:p w:rsidR="0026452D" w:rsidRDefault="0026452D" w:rsidP="0026452D">
      <w:pPr>
        <w:pStyle w:val="TextoNormal"/>
      </w:pPr>
      <w:r>
        <w:t>Sin embargo, la Sección Tercera de la Audiencia Provincial de Asturias, tras exponer la discrepante doctrina del Tribunal Supremo y del Tribunal Constitucional respecto de esta materia, considera, en su Sentencia, prevalente la doctrina del Tribunal Supremo (remitiéndose al Acuerdo del Pleno no jurisdiccional del Tribunal Supremo, de 25 de abril de 2006) y, en consecuencia, entiende que no se ha producido la prescripción toda vez que toma en consideración la fecha de presentación de la querella (26 de enero de 2006) como momento de interrupción de dicha prescripción, rechazando de forma expresa la doctrina constitucional sentada en las citadas SSTC 63/2005 y 29/2008, en las que el Tribunal Constitucional sostiene, como ya se ha reproducido, que la simple presentación de una denuncia o querella, sin que medie ningún acto de interposición judicial, no puede interrumpir el plazo de prescripción, pues ello implicaría una falta de respeto a las exigencias de tutela reforzada. Este apartamiento de la doctrina del Tribunal Constitucional no se subsana en la resolución del incidente de nulidad de actuaciones interpuesto por la demandante, sino que, al contrario, éste se inadmite por providencia de 15 de diciembre de 2011.</w:t>
      </w:r>
    </w:p>
    <w:p w:rsidR="0026452D" w:rsidRDefault="0026452D" w:rsidP="0026452D">
      <w:pPr>
        <w:pStyle w:val="TextoNormal"/>
      </w:pPr>
    </w:p>
    <w:p w:rsidR="0026452D" w:rsidRDefault="0026452D" w:rsidP="0026452D">
      <w:pPr>
        <w:pStyle w:val="TextoNormal"/>
      </w:pPr>
      <w:r>
        <w:t>De lo expuesto se desprende claramente, como sostiene el Ministerio Fiscal, que las resoluciones impugnadas incurren en manifiesto desconocimiento del deber de acatamiento de la doctrina del Tribunal Constitucional, lo cual supone una quiebra patente del mandato recogido en el citado art. 5.1 LOPJ, de la que deriva la consiguiente lesión del derecho de la demandante a la tutela judicial efectiva consagrada en el art. 24.1 CE (SSTC 29/2008, FJ 10; 147/2009, de 15 de junio, FJ 2; 195/2009, de 28 de septiembre, FJ 6, 206/2009, de 23 de noviembre, FJ 3, y 133/2011, FJ 4, entre otras).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la sociedad mercantil Studios Viales e Ingeniería, S.L., y, en consecuencia:</w:t>
      </w:r>
    </w:p>
    <w:p w:rsidR="0026452D" w:rsidRDefault="0026452D" w:rsidP="0026452D">
      <w:pPr>
        <w:pStyle w:val="TextoNormal"/>
      </w:pPr>
    </w:p>
    <w:p w:rsidR="0026452D" w:rsidRDefault="0026452D" w:rsidP="0026452D">
      <w:pPr>
        <w:pStyle w:val="TextoNormal"/>
      </w:pPr>
      <w:r>
        <w:t>1º Reconocer su derecho a la tutela judicial efectiva (art. 24.1 CE)</w:t>
      </w:r>
    </w:p>
    <w:p w:rsidR="0026452D" w:rsidRDefault="0026452D" w:rsidP="0026452D">
      <w:pPr>
        <w:pStyle w:val="TextoNormal"/>
      </w:pPr>
    </w:p>
    <w:p w:rsidR="0026452D" w:rsidRDefault="0026452D" w:rsidP="0026452D">
      <w:pPr>
        <w:pStyle w:val="TextoNormal"/>
      </w:pPr>
      <w:r>
        <w:t>2º Declarar la nulidad de la providencia de 15 de diciembre de 2011 de la Sección Tercera de la Audiencia Provincial de Asturias, así como la nulidad de la Sentencia de 31 de octubre de 2011 de la Sección Tercera de la Audiencia Provincial de Asturias (recaída en recurso de apelación núm. 92-2011), en relación con el pronunciamiento de responsabilidad civil contra la sociedad mercantil demandante de amparo Studios Viales e Ingeniería, S.L., derivada de los tres delitos fiscales correspondientes al IVA del ejercicio del año 2000.</w:t>
      </w:r>
    </w:p>
    <w:p w:rsidR="0026452D" w:rsidRDefault="0026452D" w:rsidP="0026452D">
      <w:pPr>
        <w:pStyle w:val="TextoNormal"/>
      </w:pPr>
    </w:p>
    <w:p w:rsidR="0026452D" w:rsidRDefault="0026452D" w:rsidP="0026452D">
      <w:pPr>
        <w:pStyle w:val="TextoNormal"/>
      </w:pPr>
      <w:r>
        <w:t>3º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36" w:name="SENTENCIA_2013_33"/>
      <w:r>
        <w:lastRenderedPageBreak/>
        <w:t>SENTENCIA 33/2013, de 11 de febrero de 2013</w:t>
      </w:r>
    </w:p>
    <w:bookmarkEnd w:id="36"/>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ECLI:ES:TC:2013:33</w:t>
      </w:r>
    </w:p>
    <w:p w:rsidR="0026452D" w:rsidRDefault="0026452D" w:rsidP="0026452D">
      <w:pPr>
        <w:pStyle w:val="SntesisDescriptiva"/>
      </w:pPr>
    </w:p>
    <w:p w:rsidR="0026452D" w:rsidRDefault="0026452D" w:rsidP="0026452D">
      <w:pPr>
        <w:pStyle w:val="SntesisDescriptiva"/>
      </w:pPr>
      <w:r>
        <w:t>Cuestión de inconstitucionalidad 5060-2012. Planteada por el Juzgado de lo Contencioso-Administrativo núm. 3 de Las Palmas de Gran Canaria en relación el apartado cinco de la disposición transitoria de la Ley 9/2007, de 13 de abril, del sistema canario de seguridad y emergencia y de modificación de la Ley 6/1997, de 4 de julio, de coordinación de las policías locales de Canarias.</w:t>
      </w:r>
    </w:p>
    <w:p w:rsidR="0026452D" w:rsidRDefault="0026452D" w:rsidP="0026452D">
      <w:pPr>
        <w:pStyle w:val="SntesisDescriptiva"/>
      </w:pPr>
    </w:p>
    <w:p w:rsidR="0026452D" w:rsidRDefault="0026452D" w:rsidP="0026452D">
      <w:pPr>
        <w:pStyle w:val="SntesisAnaltica"/>
      </w:pPr>
      <w:r>
        <w:t>Competencias sobre bases del régimen estatutario de la función pública y seguridad pública: nulidad del precepto legal autonómico que establece una dispensa de titulación para la promoción interna de los policías locales (STC 175/2011).</w:t>
      </w:r>
    </w:p>
    <w:p w:rsidR="0026452D" w:rsidRDefault="0026452D" w:rsidP="0026452D">
      <w:pPr>
        <w:pStyle w:val="SntesisAnaltica"/>
      </w:pPr>
    </w:p>
    <w:p w:rsidR="0026452D" w:rsidRDefault="0026452D" w:rsidP="0026452D">
      <w:pPr>
        <w:pStyle w:val="Extracto"/>
      </w:pPr>
      <w:r>
        <w:t>1.</w:t>
      </w:r>
      <w:r>
        <w:tab/>
        <w:t>Aplica la doctrina sobre promoción interna de funcionarios que presten sus servicios en los Cuerpos de Policía Local de la STC 175/2011 [FFJJ 4 a 6].</w:t>
      </w:r>
    </w:p>
    <w:p w:rsidR="0026452D" w:rsidRDefault="0026452D" w:rsidP="0026452D">
      <w:pPr>
        <w:pStyle w:val="Extracto"/>
      </w:pPr>
    </w:p>
    <w:p w:rsidR="0026452D" w:rsidRDefault="0026452D" w:rsidP="0026452D">
      <w:pPr>
        <w:pStyle w:val="Extracto"/>
      </w:pPr>
      <w:r>
        <w:t>2.</w:t>
      </w:r>
      <w:r>
        <w:tab/>
        <w:t>En las normas que configuran el régimen jurídico de los funcionarios que presten sus servicios en los Cuerpos de Policía Local, la titulación se erige en requisito esencial de la promoción interna –</w:t>
      </w:r>
      <w:r w:rsidRPr="0026452D">
        <w:rPr>
          <w:i/>
        </w:rPr>
        <w:t>ex</w:t>
      </w:r>
      <w:r>
        <w:t xml:space="preserve"> art. 92 LBRL–, elemento éste del régimen estatutario de los funcionarios públicos, lo cual conduce a su encuadramiento material en el título competencial del art. 149.1.18 CE (STC 175/2011) [FJ 5].</w:t>
      </w:r>
    </w:p>
    <w:p w:rsidR="0026452D" w:rsidRDefault="0026452D" w:rsidP="0026452D">
      <w:pPr>
        <w:pStyle w:val="Extracto"/>
      </w:pPr>
    </w:p>
    <w:p w:rsidR="0026452D" w:rsidRDefault="0026452D" w:rsidP="0026452D">
      <w:pPr>
        <w:pStyle w:val="Extracto"/>
      </w:pPr>
      <w:r>
        <w:t>3.</w:t>
      </w:r>
      <w:r>
        <w:tab/>
        <w:t>En el ámbito funcionarial de la policía local, la regulación de las materias de ‘promoción interna’ y ‘titulación’, ostentan carácter básico –</w:t>
      </w:r>
      <w:r w:rsidRPr="0026452D">
        <w:rPr>
          <w:i/>
        </w:rPr>
        <w:t>ex</w:t>
      </w:r>
      <w:r>
        <w:t xml:space="preserve"> art. 1.3 LMFP–, y se encuadra sin dificultad en el ‘régimen estatutario de los funcionarios públicos’ del art. 149.1.18 CE (SSTC 99/1987, 175/2011) [FJ 5].</w:t>
      </w:r>
    </w:p>
    <w:p w:rsidR="0026452D" w:rsidRDefault="0026452D" w:rsidP="0026452D">
      <w:pPr>
        <w:pStyle w:val="Extracto"/>
      </w:pPr>
    </w:p>
    <w:p w:rsidR="0026452D" w:rsidRDefault="0026452D" w:rsidP="0026452D">
      <w:pPr>
        <w:pStyle w:val="Extracto"/>
      </w:pPr>
      <w:r>
        <w:t>4.</w:t>
      </w:r>
      <w:r>
        <w:tab/>
        <w:t>No puede estimarse encuadrable la materia de ‘titulación’, aunque se refiera a las policías locales, en el art. 149.1.29 CE de ‘seguridad pública’, porque el art. 39 c) LOFCS no habilita a las Comunidades Autónomas para alterar el régimen de titulaciones del art. 25 LMFP en contra de la legislación básica de homogeneización de los principios del ‘mérito’ y la ‘capacidad’ para toda la función pública (SSTC 175/2011, 4/2012) [FJ 5].</w:t>
      </w:r>
    </w:p>
    <w:p w:rsidR="0026452D" w:rsidRDefault="0026452D" w:rsidP="0026452D">
      <w:pPr>
        <w:pStyle w:val="Extracto"/>
      </w:pPr>
    </w:p>
    <w:p w:rsidR="0026452D" w:rsidRDefault="0026452D" w:rsidP="0026452D">
      <w:pPr>
        <w:pStyle w:val="Extracto"/>
      </w:pPr>
      <w:r>
        <w:t>5.</w:t>
      </w:r>
      <w:r>
        <w:tab/>
        <w:t xml:space="preserve">Procede declarar la inconstitucionalidad y nulidad de la disposición cuestionada, por cuanto en ella se establece, aún con carácter transitorio, una dispensa de la titulación necesaria en relación con las promociones internas de los policías locales que es contraria a la ordenación que con carácter básico ha establecido el Estado en el ejercicio de su competencia exclusiva, </w:t>
      </w:r>
      <w:r w:rsidRPr="0026452D">
        <w:rPr>
          <w:i/>
        </w:rPr>
        <w:t>ex</w:t>
      </w:r>
      <w:r>
        <w:t xml:space="preserve"> art. 149.1.18 CE, para la regulación de las bases del régimen estatutario de los funcionarios públicos [FJ 6].</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lastRenderedPageBreak/>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la cuestión de inconstitucionalidad núm. 5060-2012, promovida por el Juzgado de lo Contencioso-Administrativo núm. 3 de Las Palmas de Gran Canaria en relación con la disposición transitoria, apartado 5, de la Ley 9/2007, de 13 de abril, del sistema canario de seguridad y emergencia y de modificación de la Ley 6/1997, de 4 de julio, de coordinación de las policías locales de Canarias. Han intervenido y formulado alegaciones el Abogado del Estado, el Parlamento de Canarias, el Gobierno de Canarias, así como el Fiscal General del Estado. Ha sido Ponente la Magistrada doña Adela Asua Batarrita,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10 de septiembre de 2012 tuvo entrada en el Registro General de este Tribunal oficio del Juzgado de lo Contencioso-Administrativo núm. 3 de Las Palmas de Gran Canaria, al que se acompañaba, junto con el testimonio del procedimiento abreviado núm. 374-2011 que se tramita ante dicho Juzgado, el Auto de 31 de mayo de 2012, por el que se acuerda plantear cuestión de inconstitucionalidad respecto del apartado 5 de la disposición transitoria de la Ley 9/2007, de 13 de abril, del sistema canario de seguridad y emergencia y de modificación de la Ley 6/1997, de 4 de julio, de coordinación de las policías locales de Canarias, por posible vulneración de los arts. 149.1.18 y 30 CE.</w:t>
      </w:r>
    </w:p>
    <w:p w:rsidR="0026452D" w:rsidRDefault="0026452D" w:rsidP="0026452D">
      <w:pPr>
        <w:pStyle w:val="TextoNormal"/>
      </w:pPr>
    </w:p>
    <w:p w:rsidR="0026452D" w:rsidRDefault="0026452D" w:rsidP="0026452D">
      <w:pPr>
        <w:pStyle w:val="TextoNormal"/>
      </w:pPr>
      <w:r w:rsidRPr="0026452D">
        <w:rPr>
          <w:rStyle w:val="NumeroAFNegritaCaracter"/>
        </w:rPr>
        <w:t>2</w:t>
      </w:r>
      <w:r>
        <w:t>. La cuestión de inconstitucionalidad se plantea en el seno del procedimiento abreviado núm. 374-2011 en el que se impugnaba la resolución de la Academia Canaria de Seguridad de 3 de octubre de 2008, por la que se convocan los cursos de dispensa en un grado del requisito de titulación previstos en el apartado 5 de la disposición transitoria de la Ley 9/2007 (publicada en el “Boletín Oficial de Canarias” de 13 de octubre de 2008).</w:t>
      </w:r>
    </w:p>
    <w:p w:rsidR="0026452D" w:rsidRDefault="0026452D" w:rsidP="0026452D">
      <w:pPr>
        <w:pStyle w:val="TextoNormal"/>
      </w:pPr>
    </w:p>
    <w:p w:rsidR="0026452D" w:rsidRDefault="0026452D" w:rsidP="0026452D">
      <w:pPr>
        <w:pStyle w:val="TextoNormal"/>
      </w:pPr>
      <w:r>
        <w:t xml:space="preserve">En el recurso contencioso-administrativo interpuesto con fecha de 1 de septiembre de 2011 contra la citada resolución los recurrentes alegaron la inconstitucionalidad del apartado 5 de la disposición transitoria de la Ley 9/2007, de 13 de abril, del sistema canario de seguridad y emergencia y de modificación de la Ley 6/1997, de 4 de julio, de coordinación de las policías locales de Canarias y que, siendo la convocatoria impugnada un acto de ejecución de dicha disposición legal, la resolución del recurso requería previamente que el Tribunal Constitucional determinara su adecuación o no a la Constitución, mediante la correspondiente cuestión de inconstitucionalidad. A juicio de los recurrentes, la norma legal </w:t>
      </w:r>
      <w:r>
        <w:lastRenderedPageBreak/>
        <w:t xml:space="preserve">autonómica resultaba incompatible con la normativa básica estatal: el art. 25 de la Ley 30/1984 y el art. 76 y la disposición transitoria tercera del estatuto básico del empleado público aprobado por la Ley 7/2007, de 12 de abril. Aducían los títulos estatales </w:t>
      </w:r>
      <w:r w:rsidRPr="0026452D">
        <w:rPr>
          <w:i/>
        </w:rPr>
        <w:t>ex</w:t>
      </w:r>
      <w:r>
        <w:t xml:space="preserve"> art. 149.1.18 y 30 CE, así como la STC 82/1993, de 8 de marzo, que declaró la inconstitucionalidad del art. 32.2 de la Ley valenciana de coordinación de policías locales que establecía la equivalencia de títulos mediante cursos reconocidos por la Administración autonómica.</w:t>
      </w:r>
    </w:p>
    <w:p w:rsidR="0026452D" w:rsidRDefault="0026452D" w:rsidP="0026452D">
      <w:pPr>
        <w:pStyle w:val="TextoNormal"/>
      </w:pPr>
    </w:p>
    <w:p w:rsidR="0026452D" w:rsidRDefault="0026452D" w:rsidP="0026452D">
      <w:pPr>
        <w:pStyle w:val="TextoNormal"/>
      </w:pPr>
      <w:r>
        <w:t>El 3 de febrero de 2012 los recurrentes presentaron en el registro general del Decanato de los Juzgados de Las Palmas un escrito en el que señalaban que, con fecha de 20 de enero de 2012, había tenido entrada en el Juzgado de lo Contencioso-Administrativo núm. 2 la Sentencia del Tribunal Constitucional de 2/2012, de 13 de enero, por la que, estimando la cuestión de inconstitucionalidad 30-2002 planteada por dicho Juzgado, se declara inconstitucional y nula la disposición transitoria segunda de la Ley Canaria 6/1997 de coordinación de policías locales de Canarias, de la que se acompañaron copias, y que, dado que el apartado 5 de la disposición transitoria de la Ley 9/2007 era una transcripción literal de la disposición transitoria de la Ley 6/1997, se solicitaba al Juzgado adelantar la vista pública y, tras plantear la tesis de la inconstitucionalidad ante las partes y el Ministerio Fiscal para que efectuaran alegaciones, presentar a la mayor brevedad posible la cuestión de inconstitucionalidad en relación con el apartado quinto de la disposición transitoria de la Ley 9/2007.</w:t>
      </w:r>
    </w:p>
    <w:p w:rsidR="0026452D" w:rsidRDefault="0026452D" w:rsidP="0026452D">
      <w:pPr>
        <w:pStyle w:val="TextoNormal"/>
      </w:pPr>
    </w:p>
    <w:p w:rsidR="0026452D" w:rsidRDefault="0026452D" w:rsidP="0026452D">
      <w:pPr>
        <w:pStyle w:val="TextoNormal"/>
      </w:pPr>
      <w:r>
        <w:t>Concluso el procedimiento, y dentro del plazo para dictar sentencia, el Juez de lo Contencioso-Administrativo dictó providencia de fecha 13 de abril de 2012 por la que, de conformidad con lo dispuesto en el art. 35.2 de la Ley Orgánica del Tribunal Constitucional (LOTC), daba traslado al Ministerio Fiscal y a las partes personadas para que en el término común de diez días pudieran formular alegaciones en relación con la pertinencia de plantear cuestión de inconstitucionalidad sobre la disposición transitoria, apartado 5, de la Ley 9/2007, de 13 de abril, del sistema canario de seguridad y emergencia y de modificación de la Ley 6/1997, de 4 de julio, de coordinación de las policías locales de Canarias. Por el Ministerio Fiscal se evacuó el trámite apoyando el planteamiento de la cuestión de inconstitucionalidad. La Administración demandada se opuso al planteamiento.</w:t>
      </w:r>
    </w:p>
    <w:p w:rsidR="0026452D" w:rsidRDefault="0026452D" w:rsidP="0026452D">
      <w:pPr>
        <w:pStyle w:val="TextoNormal"/>
      </w:pPr>
    </w:p>
    <w:p w:rsidR="0026452D" w:rsidRDefault="0026452D" w:rsidP="0026452D">
      <w:pPr>
        <w:pStyle w:val="TextoNormal"/>
      </w:pPr>
      <w:r w:rsidRPr="0026452D">
        <w:rPr>
          <w:rStyle w:val="NumeroAFNegritaCaracter"/>
        </w:rPr>
        <w:t>3</w:t>
      </w:r>
      <w:r>
        <w:t>. Por Auto de 31 de mayo de 2012 el Juzgado de lo Contencioso-Administrativo núm. 3 de Las Palmas de Gran Canaria acordó plantear cuestión de inconstitucionalidad respecto del apartado 5 de la disposición transitoria de la Ley 9/2007, de 13 de abril, del sistema canario de seguridad y emergencia y de modificación de la Ley 6/1997, de 4 de julio, de coordinación de las policías locales de Canarias, por violación de los arts. 149.1.18 CE —en relación con los arts. 22.1 y 25 de la Ley 30/1984, de 2 de agosto— y 149.1.30 CE.</w:t>
      </w:r>
    </w:p>
    <w:p w:rsidR="0026452D" w:rsidRDefault="0026452D" w:rsidP="0026452D">
      <w:pPr>
        <w:pStyle w:val="TextoNormal"/>
      </w:pPr>
    </w:p>
    <w:p w:rsidR="0026452D" w:rsidRDefault="0026452D" w:rsidP="0026452D">
      <w:pPr>
        <w:pStyle w:val="TextoNormal"/>
      </w:pPr>
      <w:r>
        <w:t>El órgano judicial considera que la disposición transitoria traspasa el límite de las normas básicas del Estado contenidas en la Ley 30/1984, sobre medidas para la reforma de la función pública (arts. 22.1 y 25), en la redacción dada por la Ley 23/1988, de 28 de julio y que exigen para la promoción interna consistente en el ascenso de un cuerpo o escala de un grupo de titulación a otro inmediato superior, entre otros requisitos, estar en posesión de la titulación exigida para el ingreso en otro superior.</w:t>
      </w:r>
    </w:p>
    <w:p w:rsidR="0026452D" w:rsidRDefault="0026452D" w:rsidP="0026452D">
      <w:pPr>
        <w:pStyle w:val="TextoNormal"/>
      </w:pPr>
    </w:p>
    <w:p w:rsidR="0026452D" w:rsidRDefault="0026452D" w:rsidP="0026452D">
      <w:pPr>
        <w:pStyle w:val="TextoNormal"/>
      </w:pPr>
      <w:r>
        <w:t xml:space="preserve">Además, el órgano judicial justifica el planteamiento de la cuestión de inconstitucionalidad en la propia fundamentación de la STC 2/2012, de 13 de enero, del Pleno del Tribunal Constitucional, que estimó la cuestión de inconstitucionalidad planteada por el Juzgado de </w:t>
      </w:r>
      <w:r>
        <w:lastRenderedPageBreak/>
        <w:t>lo Contencioso-Administrativo núm. 2 de Las Palmas de Gran Canaria en relación con la disposición transitoria segunda de la Ley del Parlamento de Canarias 6/1997, de 4 de julio, de coordinación de policías locales, cuyo texto es idéntico a la norma legal ahora cuestionada, salvo en el período temporal. El Auto de planteamiento reproduce parte de los fundamentos jurídicos 3 y 4 de la STC 2/2012.</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16 de octubre de 2012, el Pleno de este Tribunal acordó admitir a trámite la presente cuestión de inconstitucionalidad, deferir su conocimiento de conformidad con el art. 10.1 c) LOTC a la Sala Primera, a la que por turno objetivo le correspondía y, de conformidad con lo dispuesto en el art. 37.3 LOTC, dar traslado de las actuaciones recibidas al Congreso de Diputados y al Senado, por conducto de sus Presidentes, al Gobierno, por conducto del Ministro de Justicia, y al Fiscal General del Estado, así como al Parlamento y al Gobierno de Canarias, por conducto de sus Presidentes, al objeto de que, en el improrrogable plazo de quince días, pudieran personarse en el proceso y formular las alegaciones que estimasen convenientes. En la misma providencia se acordó publicar la incoación de la cuestión en el “Boletín Oficial del Estado” y en el “Boletín Oficial de Canarias”, lo que se produjo, respecto del primero, en el del día 24 de octubre de 2012.</w:t>
      </w:r>
    </w:p>
    <w:p w:rsidR="0026452D" w:rsidRDefault="0026452D" w:rsidP="0026452D">
      <w:pPr>
        <w:pStyle w:val="TextoNormal"/>
      </w:pPr>
    </w:p>
    <w:p w:rsidR="0026452D" w:rsidRDefault="0026452D" w:rsidP="0026452D">
      <w:pPr>
        <w:pStyle w:val="TextoNormal"/>
      </w:pPr>
      <w:r w:rsidRPr="0026452D">
        <w:rPr>
          <w:rStyle w:val="NumeroAFNegritaCaracter"/>
        </w:rPr>
        <w:t>5</w:t>
      </w:r>
      <w:r>
        <w:t>. En escrito registrado en este Tribunal el día 24 de octubre de 2012, el Presidente del Congreso de los Diputados transmitió el acuerdo adoptado por la Mesa de la Cámara de personación en el procedimiento y de ofrecimiento de su colaboración a los efectos del art. 88.1 LOTC, con remisión del recurso a la Dirección de estudios, análisis y publicaciones y a la asesoría jurídica de la Secretaría General.</w:t>
      </w:r>
    </w:p>
    <w:p w:rsidR="0026452D" w:rsidRDefault="0026452D" w:rsidP="0026452D">
      <w:pPr>
        <w:pStyle w:val="TextoNormal"/>
      </w:pPr>
    </w:p>
    <w:p w:rsidR="0026452D" w:rsidRDefault="0026452D" w:rsidP="0026452D">
      <w:pPr>
        <w:pStyle w:val="TextoNormal"/>
      </w:pPr>
      <w:r>
        <w:t>Con fecha de 31 de octubre de 2012 tuvo entrada en este Tribunal escrito del Presidente del Senado por el que pone en su conocimiento el acuerdo de la Mesa de la Cámara de personación en el procedimiento y de ofrecimiento de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Mediante escrito registrado en este Tribunal Constitucional el día 8 de noviembre de 2012 el Abogado del Estado formuló alegaciones, en las cuales solicitó la estimación de la cuestión plantada y la declaración de inconstitucionalidad y nulidad de la disposición transitoria cuestionada. A tal efecto razona que, de acuerdo con la doctrina sentada en las SSTC 175/2011, FFJJ 5 y 6, y sobre todo, 2/2012, FJ 3, la cuestión suscitada debe encuadrarse en la materia decimoctava del art. 149.1 (bases del régimen estatutario de funcionarios) y no en la materia decimonovena del mismo artículo y apartado (seguridad pública) y que no puede dudarse del carácter formal y materialmente básico de las normas que establecen la titulación como requisito indispensable para la promoción interna: el art. 18.2 de la Ley 7/2007, de 12 de abril, del estatuto básico del empleado público (LEEP) o el art. 22.1.1 de la Ley 30/1984 en relación ambos con los arts. 3.2, 56.1 e) y 76 LEEP. Es relativamente indiferente que se tome como norma básica sobrevenida el art. 18.2 LEEP o el preexistente art. 22.1.1 de la Ley 30/1984, porque ambos estatuyen lo mismo: la titulación es requisito indispensable para lo que la Ley del estatuto básico del empleado público denomina “promoción interna vertical” [art. 16.3 c)]. Los citados preceptos son formalmente básicos con arreglo al art. 1.3 de la Ley 30/1984 y las disposiciones finales primera y segunda LEEP. El carácter materialmente básico del requisito de titulación para la promoción interna viene reconocido en las SSTC 388/1993, 175/2011 y, ante todo, 2/2012, dada la similar redacción </w:t>
      </w:r>
      <w:r>
        <w:lastRenderedPageBreak/>
        <w:t>del apartado ahora cuestionado con el invalidado por esta última sentencia. En realidad, el apartado objeto de la presente cuestión viene a prolongar un quinquenio más la inconstitucional dispensa de titulación establecida por el precepto declarado nulo en la STC 2/2012. La efectiva e insalvable contradicción entre el apartado cuestionado y las normas básicas estatales resulta con claridad de la STC 2/2012, FJ 4. El apartado ahora cuestionado debe ser declarado inconstitucional y nulo como lo fue su predecesor, la disposición transitoria segunda de la Ley canaria 6/1997, de 4 de julio.</w:t>
      </w:r>
    </w:p>
    <w:p w:rsidR="0026452D" w:rsidRDefault="0026452D" w:rsidP="0026452D">
      <w:pPr>
        <w:pStyle w:val="TextoNormal"/>
      </w:pPr>
    </w:p>
    <w:p w:rsidR="0026452D" w:rsidRDefault="0026452D" w:rsidP="0026452D">
      <w:pPr>
        <w:pStyle w:val="TextoNormal"/>
      </w:pPr>
      <w:r w:rsidRPr="0026452D">
        <w:rPr>
          <w:rStyle w:val="NumeroAFNegritaCaracter"/>
        </w:rPr>
        <w:t>7</w:t>
      </w:r>
      <w:r>
        <w:t>. La representación procesal del Parlamento de Canarias formuló alegaciones mediante escrito registrado en este Tribunal el 14 de noviembre de 2012.</w:t>
      </w:r>
    </w:p>
    <w:p w:rsidR="0026452D" w:rsidRDefault="0026452D" w:rsidP="0026452D">
      <w:pPr>
        <w:pStyle w:val="TextoNormal"/>
      </w:pPr>
    </w:p>
    <w:p w:rsidR="0026452D" w:rsidRDefault="0026452D" w:rsidP="0026452D">
      <w:pPr>
        <w:pStyle w:val="TextoNormal"/>
      </w:pPr>
      <w:r>
        <w:t>En primer lugar, aduce que la cuestión está mal planteada en relación con la supuesta vulneración del art. 149.1.30 CE, ya que, más que un razonamiento, el Auto de planteamiento sólo ofrece una conclusión carente de base, y que, por tanto, la cuestión debe ser inadmitida en dicho punto.</w:t>
      </w:r>
    </w:p>
    <w:p w:rsidR="0026452D" w:rsidRDefault="0026452D" w:rsidP="0026452D">
      <w:pPr>
        <w:pStyle w:val="TextoNormal"/>
      </w:pPr>
    </w:p>
    <w:p w:rsidR="0026452D" w:rsidRDefault="0026452D" w:rsidP="0026452D">
      <w:pPr>
        <w:pStyle w:val="TextoNormal"/>
      </w:pPr>
      <w:r>
        <w:t>En segundo lugar, en cuanto a la supuesta vulneración del art. 149.1.18 CE, rechaza el encuadramiento competencial de la disposición cuestionada en la materia de función pública que realiza el Juzgado, sosteniendo que la disposición debe ser encuadrada en la materia de seguridad pública, respecto a la cual la Comunidad Autónoma de Canarias tiene competencias con arreglo al art. 34.1 del Estatuto de Autonomía de Canarias. Partiendo de esa premisa, razona que el título de seguridad pública engloba el régimen estatutario de sus servidores, por deducirse así del art. 104.2 de la Constitución, y que tal régimen es autónomo, de tal forma que de la normativa aplicable a las fuerzas y cuerpos de seguridad deduce “la improcedencia de someter la promoción de los funcionarios policiales a los requisitos exigidos en los artículos 22.1 y 25 de la Ley 30/1984, de 2 de agosto, de Medidas para la Reforma de la Función, pues esa norma legal desarrolla el estatuto funcionarial previsto en el artículo 103.3 CE”. Por tanto, existiendo una norma específica de la Comunidad Autónoma que aborda la promoción profesional de los miembros de la policía local, no hay que acudir a derecho supletorio según prevé la Ley Orgánica 1/1986, de 13 de marzo, de fuerzas y cuerpos de seguridad, esto es, a la normativa básica en materia de función pública. La normativa autonómica ha de atenerse a los principios constitucionales pero no tiene por qué asumir las soluciones normativas que configuran el régimen estatutario básico de la generalidad de los funcionarios públicos. De todo ello se extrae que nada se opone a que Canarias pueda establecer un medio de dispensa a una concreta titulación para la promoción interna de las policías locales de las corporaciones locales de las islas, respetando las exigencias que el Estado dispone para sus propios cuerpos y fuerzas de seguridad, máxime cuando el art. 6.1 de la Ley Orgánica 2/1986 establece el deber de los diversos poderes públicos de promover en las condiciones más favorables la promoción profesional de los miembros de los distintos cuerpos y fuerzas de seguridad.</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La representación procesal del Gobierno de Canarias formuló alegaciones mediante escrito registrado en este Tribunal el 16 de noviembre de 2012. Después de recordar los términos en los que se había planteado la cuestión de inconstitucionalidad y reproducir extensamente los pronunciamientos de este Tribunal contenidos en la STC 2/2012, de 13 de enero, el Gobierno de Canarias señala que, pese a que la redacción del precepto legal cuestionado no es exactamente coincidente con la de la disposición transitoria segunda entonces declarada inconstitucional y nula, concurre idéntico vicio de inconstitucionalidad apreciado </w:t>
      </w:r>
      <w:r>
        <w:lastRenderedPageBreak/>
        <w:t>por el Tribunal Constitucional, en cuanto reproduce la misma dispensa de la titulación necesaria para participar en procesos de promoción interna. Por todo ello, se solicita de este Tribunal “un pronunciamiento en consecuencia”.</w:t>
      </w:r>
    </w:p>
    <w:p w:rsidR="0026452D" w:rsidRDefault="0026452D" w:rsidP="0026452D">
      <w:pPr>
        <w:pStyle w:val="TextoNormal"/>
      </w:pPr>
    </w:p>
    <w:p w:rsidR="0026452D" w:rsidRDefault="0026452D" w:rsidP="0026452D">
      <w:pPr>
        <w:pStyle w:val="TextoNormal"/>
      </w:pPr>
      <w:r w:rsidRPr="0026452D">
        <w:rPr>
          <w:rStyle w:val="NumeroAFNegritaCaracter"/>
        </w:rPr>
        <w:t>9</w:t>
      </w:r>
      <w:r>
        <w:t>. Mediante escrito registrado en este Tribunal el 11 de diciembre de 2012, el Fiscal General del Estado interesó de este Tribunal la estimación de la cuestión planteada y que, en su virtud, se declare inconstitucional y nula la disposición transitoria, apartado 5, de la Ley 9/2007, de 13 de abril, del sistema canario de seguridad y emergencia y de modificación de la Ley 6/1997, de 4 de julio, de coordinación de las policías locales de Canarias.</w:t>
      </w:r>
    </w:p>
    <w:p w:rsidR="0026452D" w:rsidRDefault="0026452D" w:rsidP="0026452D">
      <w:pPr>
        <w:pStyle w:val="TextoNormal"/>
      </w:pPr>
    </w:p>
    <w:p w:rsidR="0026452D" w:rsidRDefault="0026452D" w:rsidP="0026452D">
      <w:pPr>
        <w:pStyle w:val="TextoNormal"/>
      </w:pPr>
      <w:r>
        <w:t>El Fiscal General comienza su escrito examinando la posible relevancia de ciertas irregularidades producidas en el trámite de audiencia previo al planteamiento de la cuestión, y concluye, que dadas las circunstancias en que se plantea la cuestión de inconstitucionalidad y de acuerdo con el criterio de indeterminación relativa, puede considerarse cumplida la finalidad del trámite de audiencia previsto en el art. 35 LOTC.</w:t>
      </w:r>
    </w:p>
    <w:p w:rsidR="0026452D" w:rsidRDefault="0026452D" w:rsidP="0026452D">
      <w:pPr>
        <w:pStyle w:val="TextoNormal"/>
      </w:pPr>
    </w:p>
    <w:p w:rsidR="0026452D" w:rsidRDefault="0026452D" w:rsidP="0026452D">
      <w:pPr>
        <w:pStyle w:val="TextoNormal"/>
      </w:pPr>
      <w:r>
        <w:t>A continuación el escrito examina la modificación sobrevenida de la norma cuestionada por la Ley 9/2008, de 16 de julio, del cuerpo general de la policía canaria. Considera que la nueva redacción no varía el contenido sustancial de la norma cuestionada, pese a lo cual recuerda la doctrina de este Tribunal a este respecto (citando la STC 171/2012, de 14 de octubre, FJ 2), de la que deduce que el sentido de la decisión que debe adoptar el órgano judicial promotor de la cuestión depende de la constitucionalidad de la norma cuestionada. Por tanto, se cumple también el juicio de aplicabilidad y de relevancia.</w:t>
      </w:r>
    </w:p>
    <w:p w:rsidR="0026452D" w:rsidRDefault="0026452D" w:rsidP="0026452D">
      <w:pPr>
        <w:pStyle w:val="TextoNormal"/>
      </w:pPr>
    </w:p>
    <w:p w:rsidR="0026452D" w:rsidRDefault="0026452D" w:rsidP="0026452D">
      <w:pPr>
        <w:pStyle w:val="TextoNormal"/>
      </w:pPr>
      <w:r>
        <w:t>Entrando en el fondo, el escrito expone la doctrina constitucional, partiendo de la STC 2/2012, de 13 de enero, que declaró la nulidad de la disposición transitoria segunda de la Ley del Parlamento de Canarias 6/1997, de 4 de julio, cuyo contenido era prácticamente idéntico a la norma enjuiciada: el plazo de dispensa se extendía entonces a diez años. La STC 2/2012 aplicaba la doctrina ya establecida en la STC 175/2011, de 8 de noviembre, que fue también aplicada posteriormente en las SSTC 3/2012 y 4/2012, ambas de 13 de enero. Con base en dicha doctrina, se considera procedente la estimación de la cuestión de inconstitucionalidad.</w:t>
      </w:r>
    </w:p>
    <w:p w:rsidR="0026452D" w:rsidRDefault="0026452D" w:rsidP="0026452D">
      <w:pPr>
        <w:pStyle w:val="TextoNormal"/>
      </w:pPr>
    </w:p>
    <w:p w:rsidR="0026452D" w:rsidRDefault="0026452D" w:rsidP="0026452D">
      <w:pPr>
        <w:pStyle w:val="TextoNormal"/>
      </w:pPr>
      <w:r>
        <w:t xml:space="preserve">La disposición transitoria, apartado 5, de la Ley 9/2007 mantiene también con carácter transitorio, al igual que su predecesora (la disposición transitoria quinta de la Ley 6/1997), una dispensa de título para participar en procesos de promoción interna de la policía local de Canarias, que es contraria a lo establecido en el art. 149.1.18 CE, en cuanto que éste atribuye al Estado la competencia exclusiva para la regulación de las bases del régimen estatutario de los funcionarios públicos. La policía local tiene naturaleza de fuerza y cuerpo de seguridad, integrada por funcionarios al servicio de la Administración local, con funciones públicas que implican el ejercicio de autoridad, por lo que su desempeño se reserva exclusivamente al personal funcionarial. Todo ello comporta un régimen funcionarial estatutario que entronca con el art. 149.1.18 CE, en el que la titulación se configura como un requisito básico que se extiende a la promoción interna, aspectos que ostentan carácter básico, como se deriva de los arts. 1, 22.1 y 25 de la Ley 30/1984 y reconoce la STC 388/1993, de 23 de diciembre. Los citados preceptos tienen su correlato en la Ley 7/2007, de 12 de abril, del estatuto básico del empleado público: arts. 18.2 (promoción interna), 56.1 (titulación), 75 y 76 (titulación de distintos cuerpos y escalas) y 55 (principios de igualdad, mérito </w:t>
      </w:r>
      <w:r>
        <w:lastRenderedPageBreak/>
        <w:t>y capacidad), con una equivalencia que señala la STC 113/2010, de 24 de noviembre. Por otra parte, el escrito rechaza el encuadramiento de la “titulación” dentro de la materia competencial “seguridad pública” con arreglo a la STC 175/2011, FJ 6. Por todo ello, concluye que la disposición transitoria, apartado 5, de la Ley 9/2007 vulnera el orden constitucional de competencias en el ámbito competencial que el art. 149.1.18 CE reserva al Estado, en cuanto contradice normas básicas de la Ley 30/1984, de 2 de agosto, de reforma de la función pública, lo que ha de determinar su nulidad.</w:t>
      </w:r>
    </w:p>
    <w:p w:rsidR="0026452D" w:rsidRDefault="0026452D" w:rsidP="0026452D">
      <w:pPr>
        <w:pStyle w:val="TextoNormal"/>
      </w:pPr>
    </w:p>
    <w:p w:rsidR="0026452D" w:rsidRDefault="0026452D" w:rsidP="0026452D">
      <w:pPr>
        <w:pStyle w:val="TextoNormal"/>
      </w:pPr>
      <w:r>
        <w:t>Por último, se descarta la vulneración del art. 149.1.30 CE planteada por el Auto de 31 de mayo de 2012, pues la dispensa de titulación de la norma cuestionada no otorga un título a quien no lo tiene, sino que partiendo precisamente de su carencia por parte del interesado establece su dispensa, que no significa una equivalencia de títulos no homologados por Estado con otros que sí lo están, ni reconocimiento de títulos sin que se cumplan los requisitos establecidos por el Estado.</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7 de febrero de 2013 se señaló para deliberación y votación de la presente Sentencia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La presente cuestión de inconstitucionalidad se suscita por el Juzgado de lo Contencioso-Administrativo núm. 3 de Las Palmas de Gran Canaria en relación con el apartado 5 de la disposición transitoria de la Ley 9/2007, de 13 de abril, del sistema canario de seguridad y emergencia y de modificación de la Ley 6/1997, de 4 de julio, de coordinación de las policías locales de Canarias, precepto de cuya aplicación depende el fallo del procedimiento abreviado núm. 374-2011, en el cual se impugna la resolución de la Academia canaria de seguridad de 3 de octubre de 2008, por la que se convocan los cursos de dispensa en un grado del requisito de titulación previstos en el apartado 5 de la disposición transitoria de la Ley 9/2007.</w:t>
      </w:r>
    </w:p>
    <w:p w:rsidR="0026452D" w:rsidRDefault="0026452D" w:rsidP="0026452D">
      <w:pPr>
        <w:pStyle w:val="TextoNormal"/>
      </w:pPr>
    </w:p>
    <w:p w:rsidR="0026452D" w:rsidRDefault="0026452D" w:rsidP="0026452D">
      <w:pPr>
        <w:pStyle w:val="TextoNormal"/>
      </w:pPr>
      <w:r>
        <w:t>La norma legal cuya constitucionalidad se cuestiona tiene el siguiente tenor:</w:t>
      </w:r>
    </w:p>
    <w:p w:rsidR="0026452D" w:rsidRDefault="0026452D" w:rsidP="0026452D">
      <w:pPr>
        <w:pStyle w:val="TextoNormal"/>
      </w:pPr>
    </w:p>
    <w:p w:rsidR="0026452D" w:rsidRDefault="0026452D" w:rsidP="0026452D">
      <w:pPr>
        <w:pStyle w:val="TextoNormal"/>
      </w:pPr>
      <w:r>
        <w:t>“Para la promoción de los funcionarios que presten sus servicios en los Cuerpos de Policía Local a la entrada en vigor de la presente Ley, y que carezcan de la titulación exigida en la misma, se podrá dispensar en un grado el requisito de titulación siempre que hayan realizado los cursos y obtenido, con aprovechamiento, los diplomas correspondientes que imparta la Academia Canaria de Seguridad. Este derecho sólo podrá ejercitarse durante 5 años desde la entrada en vigor de esta Ley.”</w:t>
      </w:r>
    </w:p>
    <w:p w:rsidR="0026452D" w:rsidRDefault="0026452D" w:rsidP="0026452D">
      <w:pPr>
        <w:pStyle w:val="TextoNormal"/>
      </w:pPr>
    </w:p>
    <w:p w:rsidR="0026452D" w:rsidRDefault="0026452D" w:rsidP="0026452D">
      <w:pPr>
        <w:pStyle w:val="TextoNormal"/>
      </w:pPr>
      <w:r w:rsidRPr="0026452D">
        <w:rPr>
          <w:rStyle w:val="NumeroAFNegritaCaracter"/>
        </w:rPr>
        <w:t>2</w:t>
      </w:r>
      <w:r>
        <w:t>. El órgano judicial considera que la disposición transitoria cuestionada traspasa el límite de las normas básicas del Estado contenidas en la Ley 30/1984 sobre medidas para la reforma de la función pública (arts. 22.1 y 25), que exigen para la promoción interna consistente en el ascenso de un cuerpo o escala de un grupo de titulación a otro inmediato superior, entre otros requisitos, estar en posesión de la titulación exigida para el ingreso en otro superior.</w:t>
      </w:r>
    </w:p>
    <w:p w:rsidR="0026452D" w:rsidRDefault="0026452D" w:rsidP="0026452D">
      <w:pPr>
        <w:pStyle w:val="TextoNormal"/>
      </w:pPr>
    </w:p>
    <w:p w:rsidR="0026452D" w:rsidRDefault="0026452D" w:rsidP="0026452D">
      <w:pPr>
        <w:pStyle w:val="TextoNormal"/>
      </w:pPr>
      <w:r>
        <w:lastRenderedPageBreak/>
        <w:t>Tanto el Abogado del Estado como el Ministerio Fiscal interesan que se estime la cuestión por vulneración del art. 149.1.18 CE. Asimismo, el Gobierno de Canarias, reconociendo la identidad con el vicio de inconstitucionalidad apreciado por el Tribunal Constitucional en la STC 2/2012 solicita “un pronunciamiento en consecuencia”. Por su parte, el Parlamento de Canarias solicita la inadmisibilidad de la cuestión planteada por la alegada vulneración del art. 149.1.30 CE y la desestimación por la alegada vulneración del art. 149.1.30 CE.</w:t>
      </w:r>
    </w:p>
    <w:p w:rsidR="0026452D" w:rsidRDefault="0026452D" w:rsidP="0026452D">
      <w:pPr>
        <w:pStyle w:val="TextoNormal"/>
      </w:pPr>
    </w:p>
    <w:p w:rsidR="0026452D" w:rsidRDefault="0026452D" w:rsidP="0026452D">
      <w:pPr>
        <w:pStyle w:val="TextoNormal"/>
      </w:pPr>
      <w:r w:rsidRPr="0026452D">
        <w:rPr>
          <w:rStyle w:val="NumeroAFNegritaCaracter"/>
        </w:rPr>
        <w:t>3</w:t>
      </w:r>
      <w:r>
        <w:t>. Expuestas la duda de constitucionalidad planteada y las posiciones de las partes comparecidas debemos realizar dos precisiones preliminares:</w:t>
      </w:r>
    </w:p>
    <w:p w:rsidR="0026452D" w:rsidRDefault="0026452D" w:rsidP="0026452D">
      <w:pPr>
        <w:pStyle w:val="TextoNormal"/>
      </w:pPr>
    </w:p>
    <w:p w:rsidR="0026452D" w:rsidRDefault="0026452D" w:rsidP="0026452D">
      <w:pPr>
        <w:pStyle w:val="TextoNormal"/>
      </w:pPr>
      <w:r>
        <w:t>a) La primera se refiere a la solicitud que, en su escrito de alegaciones, nos dirige la representación procesal del Parlamento de Canarias de declarar inadmisible la cuestión planteada en cuanto a uno de los motivos de impugnación, la alegada vulneración del art. 149.1.30 CE. Dicha solicitud se basa en la, a su juicio, ausencia de razonamiento existente en el Auto de planteamiento en relación con ese motivo de impugnación. Pues bien, debemos señalar que tal alegación no es de las que facultan a este Tribunal para inadmitir siquiera parcialmente una cuestión de inconstitucionalidad admitida a trámite, pues la apreciación de la circunstancia alegada rebasa el examen del cumplimiento de los requisitos procesales que este Tribunal puede apreciar en cualquier momento, y pertenece plenamente al examen de la justificación del motivo de inconstitucionalidad alegado, esto es, entra de lleno en el fondo de la cuestión de inconstitucionalidad planteada.</w:t>
      </w:r>
    </w:p>
    <w:p w:rsidR="0026452D" w:rsidRDefault="0026452D" w:rsidP="0026452D">
      <w:pPr>
        <w:pStyle w:val="TextoNormal"/>
      </w:pPr>
    </w:p>
    <w:p w:rsidR="0026452D" w:rsidRDefault="0026452D" w:rsidP="0026452D">
      <w:pPr>
        <w:pStyle w:val="TextoNormal"/>
      </w:pPr>
      <w:r>
        <w:t>b) La segunda precisión se refiere a la modificación de la norma cuestionada. La disposición adicional segunda de la Ley 9/2009, de 16 de julio, de modificación de la Ley 2/2008, de 28 de mayo, del Cuerpo General de la Policía Canaria dio nueva redacción al apartado 5 de la disposición transitoria de la Ley 9/2007, de 13 de abril, del sistema canario de seguridad y emergencias y de modificación de la Ley 6/1997, de 4 de julio, de coordinación de las policías locales de Canarias. El apartado 5 de la disposición transitoria de la Ley 9/2007 ha quedado redactado de la siguiente forma:</w:t>
      </w:r>
    </w:p>
    <w:p w:rsidR="0026452D" w:rsidRDefault="0026452D" w:rsidP="0026452D">
      <w:pPr>
        <w:pStyle w:val="TextoNormal"/>
      </w:pPr>
    </w:p>
    <w:p w:rsidR="0026452D" w:rsidRDefault="0026452D" w:rsidP="0026452D">
      <w:pPr>
        <w:pStyle w:val="TextoNormal"/>
      </w:pPr>
      <w:r>
        <w:t>“Para la promoción interna de los funcionarios que presten sus servicios en los Cuerpos de Policía Local a la entrada en vigor de la presente Ley, y que carezcan de la titulación exigida en la misma, se podrá dispensar en un grado el requisito de titulación siempre que se hayan realizado los cursos y obtenido, con aprovechamiento, los diplomas correspondientes que imparta la Academia Canaria de Seguridad.</w:t>
      </w:r>
    </w:p>
    <w:p w:rsidR="0026452D" w:rsidRDefault="0026452D" w:rsidP="0026452D">
      <w:pPr>
        <w:pStyle w:val="TextoNormal"/>
      </w:pPr>
    </w:p>
    <w:p w:rsidR="0026452D" w:rsidRDefault="0026452D" w:rsidP="0026452D">
      <w:pPr>
        <w:pStyle w:val="TextoNormal"/>
      </w:pPr>
      <w:r>
        <w:t>El curso deberá superarse en el plazo de cinco años desde la entrada en vigor de esta Ley.</w:t>
      </w:r>
    </w:p>
    <w:p w:rsidR="0026452D" w:rsidRDefault="0026452D" w:rsidP="0026452D">
      <w:pPr>
        <w:pStyle w:val="TextoNormal"/>
      </w:pPr>
    </w:p>
    <w:p w:rsidR="0026452D" w:rsidRDefault="0026452D" w:rsidP="0026452D">
      <w:pPr>
        <w:pStyle w:val="TextoNormal"/>
      </w:pPr>
      <w:r>
        <w:t>La obtención del diploma dará derecho a la dispensa de un grado en el requisito de titulación para el acceso al empleo inmediatamente superior, derecho que sólo podrá ejercitarse en alguna de las tres primeras convocatorias de promoción interna que se realicen para el Cuerpo de Policía Local al que pertenecen.”</w:t>
      </w:r>
    </w:p>
    <w:p w:rsidR="0026452D" w:rsidRDefault="0026452D" w:rsidP="0026452D">
      <w:pPr>
        <w:pStyle w:val="TextoNormal"/>
      </w:pPr>
    </w:p>
    <w:p w:rsidR="0026452D" w:rsidRDefault="0026452D" w:rsidP="0026452D">
      <w:pPr>
        <w:pStyle w:val="TextoNormal"/>
      </w:pPr>
      <w:r>
        <w:t xml:space="preserve">Dicha modificación entró en vigor al día siguiente al de la publicación de la Ley 9/2009 en el “Boletín Oficial de Canarias” (disposición final única). La Ley 9/2009 resultaba “aplicable a los procesos de selección o promoción interna a los Cuerpos de la Policía Local en </w:t>
      </w:r>
      <w:r>
        <w:lastRenderedPageBreak/>
        <w:t>los que, al momento de su entrada en vigor, no haya vencido el plazo de presentación de solicitudes”.</w:t>
      </w:r>
    </w:p>
    <w:p w:rsidR="0026452D" w:rsidRDefault="0026452D" w:rsidP="0026452D">
      <w:pPr>
        <w:pStyle w:val="TextoNormal"/>
      </w:pPr>
    </w:p>
    <w:p w:rsidR="0026452D" w:rsidRDefault="0026452D" w:rsidP="0026452D">
      <w:pPr>
        <w:pStyle w:val="TextoNormal"/>
      </w:pPr>
      <w:r>
        <w:t>Tal como alegan el Abogado del Estado y el Fiscal General del Estado, la modificación de la norma cuestionada no tiene efecto extintivo sobre la presente cuestión de inconstitucionalidad. De una parte, porque la nueva redacción mantiene en gran parte el contenido del precepto y no afecta en lo sustancial a los motivos de inconstitucionalidad planteados. De otra parte, porque, para determinar el posible efecto extintivo que la modificación de una norma puede acarrear sobre una cuestión de inconstitucionalidad, nuestra doctrina atiende a si, a pesar de la modificación, el sentido de la Sentencia que debe adoptar el órgano judicial sigue dependiendo de la constitucionalidad de la norma cuestionada (STC 171/2012, de 14 de octubre, FJ 2). Este es el caso en relación con el procedimiento abreviado núm. 374-2011, en el que se discute la conformidad a Derecho de una resolución administrativa de fecha 3 de octubre de 2008 —por tanto, antes de que fuera de aplicación la Ley 9/2009— que convoca los cursos de dispensa en un grado del requisito de titulación previstos justamente en el cuestionado apartado 5 de la disposición transitoria de la Ley 9/2007. En suma, el proceso judicial no puede resolverse si antes no se despeja la duda acerca de la adecuación o no a la Constitución de la regulación legal relativa a la dispensa transitoria en un grado de la exigencia de la titulación requerida.</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Realizadas las anteriores precisiones resulta necesario ahora identificar el canon de enjuiciamiento de la presente cuestión pues, como declaramos en la STC 178/2004, de 21 de octubre, FJ 5, “la frecuente explicación de la cuestión de inconstitucionalidad con apoyo en la idea de la ‘prejudicialidad’ y de la ‘colaboración’ entre los Tribunales ordinarios y el Tribunal Constitucional fundamenta la diferencia de los criterios generales sobre el canon de enjuiciamiento aplicable a la cuestión y al recurso de inconstitucionalidad; y, por lo que se refiere al presente proceso constitucional, la conveniencia de que el Tribunal Constitucional realice el juicio de constitucionalidad en la medida en que resulte útil al Tribunal que plantea la cuestión”. Basándonos en la utilidad de nuestro juicio de constitucionalidad para el órgano judicial que plantea la cuestión, afirmamos en aquel supuesto el criterio de que la constitucionalidad de las normas legales cuestionadas por el órgano judicial no ha de ser examinada conforme al canon de constitucionalidad vigente en el momento en que este Tribunal dicta Sentencia, sino conforme al canon vigente en el momento en que dichas leyes fueron aplicadas por la Administración, dando lugar con ello a un litigio cuya resolución depende del juicio de constitucionalidad que ha de emitir este Tribunal. El mismo criterio debe seguirse en el presente proceso constitucional. En consecuencia, para resolver la cuestión de inconstitucionalidad planteada debemos atender al canon de constitucionalidad vigente a fecha de 3 de octubre de 2008, que es cuando se adoptó la resolución de la Academia Canaria de Seguridad impugnada en el proceso </w:t>
      </w:r>
      <w:r w:rsidRPr="0026452D">
        <w:rPr>
          <w:i/>
        </w:rPr>
        <w:t>a quo</w:t>
      </w:r>
      <w:r>
        <w:t>.</w:t>
      </w:r>
    </w:p>
    <w:p w:rsidR="0026452D" w:rsidRDefault="0026452D" w:rsidP="0026452D">
      <w:pPr>
        <w:pStyle w:val="TextoNormal"/>
      </w:pPr>
    </w:p>
    <w:p w:rsidR="0026452D" w:rsidRDefault="0026452D" w:rsidP="0026452D">
      <w:pPr>
        <w:pStyle w:val="TextoNormal"/>
      </w:pPr>
      <w:r>
        <w:t xml:space="preserve">Aunque el órgano judicial nos propone como parámetro de control de la disposición cuestionada los arts. 22.1 y 25 de la Ley 30/1984, de 2 de agosto, de medidas para la reforma de la Función Pública, lo cierto es que, cuanto se adoptó la resolución administrativa impugnada en el proceso </w:t>
      </w:r>
      <w:r w:rsidRPr="0026452D">
        <w:rPr>
          <w:i/>
        </w:rPr>
        <w:t>a quo</w:t>
      </w:r>
      <w:r>
        <w:t xml:space="preserve">, se encontraba vigente la Ley 7/2007, de 12 abril, del estatuto básico del empleado público (LEEP), que entró en vigor con carácter general en el plazo de un mes a partir de su publicación en el “Boletín Oficial del Estado”, que se produjo el 13 de abril de 2007, y que sustituyó también con carácter general a la Ley 30/1984. No obstante, </w:t>
      </w:r>
      <w:r>
        <w:lastRenderedPageBreak/>
        <w:t>determinados aspectos de la nueva Ley no son plenamente aplicables: así, la nueva clasificación profesional de los funcionarios de carrera establecida en el art. 76 LEEP para sustituir a la clasificación del art. 25 de la Ley 30/1984 no es aplicable mientras no se generalice la implantación de los nuevos títulos universitarios (disposición transitoria tercera LEEP).</w:t>
      </w:r>
    </w:p>
    <w:p w:rsidR="0026452D" w:rsidRDefault="0026452D" w:rsidP="0026452D">
      <w:pPr>
        <w:pStyle w:val="TextoNormal"/>
      </w:pPr>
    </w:p>
    <w:p w:rsidR="0026452D" w:rsidRDefault="0026452D" w:rsidP="0026452D">
      <w:pPr>
        <w:pStyle w:val="TextoNormal"/>
      </w:pPr>
      <w:r>
        <w:t>El órgano judicial nos propone el art. 22.1 de la Ley 30/1984 como canon de control pues dicho precepto era el que había venido estableciendo por espacio de más de dos décadas la exigencia de titulación como requisito indispensable para la promoción interna de los funcionarios. Sin embargo, desde la derogación de dicha disposición por la Ley 7/2007, la norma estatal que establece la titulación como requisito indispensable para la promoción interna es el art. 18.2 LEEP en relación con los arts. 56.1 e) y 76 de la misma Ley y, por otra parte, en la actualidad la aplicación directa a los cuerpos de policía local de lo previsto en el estatuto básico del empleado público viene dispuesta expresamente por el art. 3.2 LEEP.</w:t>
      </w:r>
    </w:p>
    <w:p w:rsidR="0026452D" w:rsidRDefault="0026452D" w:rsidP="0026452D">
      <w:pPr>
        <w:pStyle w:val="TextoNormal"/>
      </w:pPr>
    </w:p>
    <w:p w:rsidR="0026452D" w:rsidRDefault="0026452D" w:rsidP="0026452D">
      <w:pPr>
        <w:pStyle w:val="TextoNormal"/>
      </w:pPr>
      <w:r>
        <w:t>No cabe duda, pues, de que el art. 18.2 LEEP ha de conformar nuestro parámetro de control de constitucionalidad mediata en el presente proceso constitucional, al ser una norma básica desde una doble perspectiva. Por un lado, su carácter formalmente básico, al igual que el de las demás disposiciones de la Ley 7/2007 relativas al régimen estatutario de los funcionarios, se desprende de la disposición final primera de dicha Ley. Por otro lado, este Tribunal ha reconocido en numerosas ocasiones el carácter materialmente básico del requisito de la titulación en el ámbito de la función pública, ya sea en relación con el acceso o la integración de los funcionarios en escalas o grupos (SSTC 388/1993, de 23 de diciembre, FJ 2; y 113/2010, de 24 de noviembre, FJ 5), ya sea —y esto resulta decisivo para el presente proceso— para su promoción interna (SSTC 175/2011, de 8 de noviembre, FJ 5; 2/2012, de 13 de enero, FJ 2; 3/2012, de 13 de enero, FJ 4; y 4/2012, de 13 de enero, FJ 5).</w:t>
      </w:r>
    </w:p>
    <w:p w:rsidR="0026452D" w:rsidRDefault="0026452D" w:rsidP="0026452D">
      <w:pPr>
        <w:pStyle w:val="TextoNormal"/>
      </w:pPr>
    </w:p>
    <w:p w:rsidR="0026452D" w:rsidRDefault="0026452D" w:rsidP="0026452D">
      <w:pPr>
        <w:pStyle w:val="TextoNormal"/>
      </w:pPr>
      <w:r w:rsidRPr="0026452D">
        <w:rPr>
          <w:rStyle w:val="NumeroAFNegritaCaracter"/>
        </w:rPr>
        <w:t>5</w:t>
      </w:r>
      <w:r>
        <w:t>. Señalado lo anterior, el núcleo de la controversia suscitada se contrae al encuadramiento competencial de la norma cuestionada, pues mientras que el órgano judicial (con la concurrencia del Abogado del Estado y del Ministerio Fiscal) parte de que se trata de una norma que incide en el régimen estatutario de los funcionarios públicos    —en concreto, los policías locales— para el que el Estado tiene competencia exclusiva en cuanto a su régimen jurídico básico, el Parlamento de Canarias sostiene que se trataría de una especificidad propia del régimen estatutario de los cuerpos de policía local que la Comunidad Autónoma podría establecer en el ejercicio de sus competencias en materia de seguridad ciudadana reconocidas en el art. 34.1 del Estatuto de Autonomía.</w:t>
      </w:r>
    </w:p>
    <w:p w:rsidR="0026452D" w:rsidRDefault="0026452D" w:rsidP="0026452D">
      <w:pPr>
        <w:pStyle w:val="TextoNormal"/>
      </w:pPr>
    </w:p>
    <w:p w:rsidR="0026452D" w:rsidRDefault="0026452D" w:rsidP="0026452D">
      <w:pPr>
        <w:pStyle w:val="TextoNormal"/>
      </w:pPr>
      <w:r>
        <w:t>Pues bien, sobre el encuadramiento material de una norma semejante a la ahora cuestionada ya se ha pronunciado este Tribunal en la citada STC 175/2011, de 8 de noviembre, cuya doctrina y conclusiones son de plena aplicación al presente supuesto. En ella, tras analizar las normas que configuran el régimen jurídico de los funcionarios de policía local —análisis contenido en el fundamento jurídico 4 al que nos remitimos ahora— concluíamos que de él se desprende que “la ‘titulación’ se erige en requisito esencial de la ‘promoción interna’ (</w:t>
      </w:r>
      <w:r w:rsidRPr="0026452D">
        <w:rPr>
          <w:i/>
        </w:rPr>
        <w:t>ex</w:t>
      </w:r>
      <w:r>
        <w:t xml:space="preserve"> art. 92 LBRL), elemento éste del ‘régimen estatutario de los funcionarios públicos’, lo cual conduce al título competencial del art. 149.1.18 CE.” Seguidamente, sirviéndonos de la doctrina sentada en las SSTC 99/1987, de 11 de junio, FJ 4, y 388/1993, de 23 de diciembre, FJ 2, llegábamos a la conclusión de que en este ámbito funcionarial “la regulación de las materias de ‘promoción interna’ y ‘titulación’, ostentan carácter básico (ex art. </w:t>
      </w:r>
      <w:r>
        <w:lastRenderedPageBreak/>
        <w:t>1.3 de la Ley 30/1984, de 2 de agosto, de medidas para la reforma de la función pública), y se encuadra sin dificultad en el ‘régimen estatutario de los funcionarios públicos’ del art. 149.1.18 CE.” (FJ 5).</w:t>
      </w:r>
    </w:p>
    <w:p w:rsidR="0026452D" w:rsidRDefault="0026452D" w:rsidP="0026452D">
      <w:pPr>
        <w:pStyle w:val="TextoNormal"/>
      </w:pPr>
    </w:p>
    <w:p w:rsidR="0026452D" w:rsidRDefault="0026452D" w:rsidP="0026452D">
      <w:pPr>
        <w:pStyle w:val="TextoNormal"/>
      </w:pPr>
      <w:r>
        <w:t>Asimismo, en esta misma Sentencia descartábamos que pueda “estimarse encuadrable la materia de ‘titulación’, aunque se refiera a las policías locales, en el art. 149.1.29 CE de ‘seguridad pública’, porque sólo sería posible mediante una interpretación forzada del art. 39 c) LOFCS que atribuye a las Comunidades Autónomas ‘fijar los criterios de selección, formación, promoción y movilidad de las policías locales, determinando los niveles educativos exigibles para cada categoría, sin que en ningún caso el nivel pueda ser inferior al graduado escolar’, esto es que el nivel mínimo es el de graduado escolar y que a partir del mismo han de determinarse los niveles educativos de cada categoría dentro del cuerpo policial, pero sin que ello habilite a las Comunidades Autónomas para alterar el régimen de titulaciones del art. 25 de la Ley de medidas de reforma de la función pública en contra de la legislación básica de homogeneización de los principios del ‘mérito’ y la ‘capacidad’ para toda la función pública, y especialmente para la Administración local” (STC 175/2011, FJ 6). Ese mismo criterio fue aplicado posteriormente en las SSTC 2/2012, de 13 de enero, FJ 3; 3/2012, de 13 de enero, FJ 5; y 4/2012, de 13 de enero, FJ 5.</w:t>
      </w:r>
    </w:p>
    <w:p w:rsidR="0026452D" w:rsidRDefault="0026452D" w:rsidP="0026452D">
      <w:pPr>
        <w:pStyle w:val="TextoNormal"/>
      </w:pPr>
    </w:p>
    <w:p w:rsidR="0026452D" w:rsidRDefault="0026452D" w:rsidP="0026452D">
      <w:pPr>
        <w:pStyle w:val="TextoNormal"/>
      </w:pPr>
      <w:r>
        <w:t xml:space="preserve">Además, hemos de poner de relieve que, como de forma coincidente han subrayado el recurrente en el proceso </w:t>
      </w:r>
      <w:r w:rsidRPr="0026452D">
        <w:rPr>
          <w:i/>
        </w:rPr>
        <w:t>a quo</w:t>
      </w:r>
      <w:r>
        <w:t>, el órgano judicial promotor de la cuestión, el Abogado del Estado, el Fiscal General del Estado y el Gobierno de Canarias, el contenido de la disposición objeto de la presente cuestión es sustancialmente idéntico al de la disposición transitoria segunda de la Ley del Parlamento de Canarias 6/1997 de coordinación de policías locales de Canarias, que este Tribunal declaró inconstitucional y nula en la STC 2/2012, de 13 de enero, con fundamento en la doctrina que se acaba de exponer. En efecto, la disposición objeto de la presente cuestión sustituye una dispensa transitoria de titulación prevista en la legislación canaria, cuya vigencia finalizó en 2007 y que, como se ha dicho, este Tribunal declaró inconstitucional y nula en la citada STC 2/2012, por una nueva dispensa transitoria de titulación por espacio de cinco años.</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La aplicación de la anterior doctrina al presente supuesto conduce a la declaración de inconstitucionalidad y nulidad de la disposición transitoria, apartado 5, de la Ley 9/2007, de 13 de abril, del sistema canario de seguridad y mergencia y de modificación de la Ley 6/1997, de 4 de julio, de coordinación de las policías locales de Canarias, por cuanto en ella se establece, aún con carácter transitorio, una dispensa de la titulación necesaria en relación con las promociones internas de los policías locales, que es contraria a la ordenación que con carácter básico ha establecido el Estado en el ejercicio de su competencia exclusiva, </w:t>
      </w:r>
      <w:r w:rsidRPr="0026452D">
        <w:rPr>
          <w:i/>
        </w:rPr>
        <w:t>ex</w:t>
      </w:r>
      <w:r>
        <w:t xml:space="preserve"> art. 149.1.18 CE, para la regulación de las bases del régimen estatutario de los funcionarios públicos. Por esta razón la disposición transitoria sometida a examen de constitucionalidad incurre en el exceso competencial puesto de manifiesto por el órgano judicial, toda vez que las partes intervinientes en este proceso constitucional no niegan que en tal norma se establece una dispensa de titulación que no se compadece con la norma estatal básica, sino que afirman —aunque solo una de ellas— la competencia de la Comunidad Autónoma para establecer tal dispensa al amparo de su competencia en materia de seguridad ciudadana que hemos descartado que pueda otorgar la cobertura constitucional pretendida.</w:t>
      </w:r>
    </w:p>
    <w:p w:rsidR="0026452D" w:rsidRDefault="0026452D" w:rsidP="0026452D">
      <w:pPr>
        <w:pStyle w:val="TextoNormal"/>
      </w:pPr>
    </w:p>
    <w:p w:rsidR="0026452D" w:rsidRDefault="0026452D" w:rsidP="0026452D">
      <w:pPr>
        <w:pStyle w:val="TextoNormal"/>
      </w:pPr>
      <w:r>
        <w:lastRenderedPageBreak/>
        <w:t xml:space="preserve">La conclusión alcanzada convierte ya en innecesario abordar la pretendida vulneración de la competencia exclusiva estatal para la regulación de las condiciones de obtención, expedición y homologación de títulos académicos y profesionales </w:t>
      </w:r>
      <w:r w:rsidRPr="0026452D">
        <w:rPr>
          <w:i/>
        </w:rPr>
        <w:t>ex</w:t>
      </w:r>
      <w:r>
        <w:t xml:space="preserve"> art. 149.1.30 CE.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la presente cuestión de inconstitucionalidad y, en consecuencia, declarar la inconstitucionalidad y nulidad de la disposición transitoria, apartado 5, de la Ley 9/2007, de 13 de abril, del sistema canario de seguridad y emergencia y de modificación de la Ley 6/1997, de 4 de julio, de coordinación de las policías locales de Canarias.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37" w:name="SENTENCIA_2013_34"/>
      <w:r>
        <w:lastRenderedPageBreak/>
        <w:t>SENTENCIA 34/2013, de 14 de febrero de 2013</w:t>
      </w:r>
    </w:p>
    <w:bookmarkEnd w:id="37"/>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ECLI:ES:TC:2013:34</w:t>
      </w:r>
    </w:p>
    <w:p w:rsidR="0026452D" w:rsidRDefault="0026452D" w:rsidP="0026452D">
      <w:pPr>
        <w:pStyle w:val="SntesisDescriptiva"/>
      </w:pPr>
    </w:p>
    <w:p w:rsidR="0026452D" w:rsidRDefault="0026452D" w:rsidP="0026452D">
      <w:pPr>
        <w:pStyle w:val="SntesisDescriptiva"/>
      </w:pPr>
      <w:r>
        <w:t>Recurso de inconstitucionalidad 5934-2003. Interpuesto por el Parlamento de Cataluña en relación con diversos preceptos de la Ley 24/2003, de 10 de julio, de la viña y del vino.</w:t>
      </w:r>
    </w:p>
    <w:p w:rsidR="0026452D" w:rsidRDefault="0026452D" w:rsidP="0026452D">
      <w:pPr>
        <w:pStyle w:val="SntesisDescriptiva"/>
      </w:pPr>
    </w:p>
    <w:p w:rsidR="0026452D" w:rsidRDefault="0026452D" w:rsidP="0026452D">
      <w:pPr>
        <w:pStyle w:val="SntesisAnaltica"/>
      </w:pPr>
      <w:r>
        <w:t>Competencias sobre ordenación general de la economía, agricultura y denominaciones de origen: reconocimiento a los operadores de la facultad de elección del organismo independiente de inspección que deba supervisar su actividad que vulnera las competencias de la Comunidad Autónoma de Cataluña; interpretación conforme de diversos preceptos legales. Voto particular.</w:t>
      </w:r>
    </w:p>
    <w:p w:rsidR="0026452D" w:rsidRDefault="0026452D" w:rsidP="0026452D">
      <w:pPr>
        <w:pStyle w:val="SntesisAnaltica"/>
      </w:pPr>
    </w:p>
    <w:p w:rsidR="0026452D" w:rsidRDefault="0026452D" w:rsidP="0026452D">
      <w:pPr>
        <w:pStyle w:val="Extracto"/>
      </w:pPr>
      <w:r>
        <w:t>1.</w:t>
      </w:r>
      <w:r>
        <w:tab/>
        <w:t>El sistema de elección del organismo independiente de inspección o control contenido en la Ley de la viña y del vino incurre en inconstitucionalidad al invadir la competencia autonómica exclusiva en materia de denominaciones de origen, pues no existe conexión con los criterios generales de ordenación del sector del vino, y permitir que, en determinados casos, sea el operador que deba ser objeto de control quien seleccione al organismo de control o de inspección que va a realizar la fiscalización puede contribuir al surgimiento de situaciones de confusión de intereses, dado que el supervisado elige al supervisor [FJ 14].</w:t>
      </w:r>
    </w:p>
    <w:p w:rsidR="0026452D" w:rsidRDefault="0026452D" w:rsidP="0026452D">
      <w:pPr>
        <w:pStyle w:val="Extracto"/>
      </w:pPr>
    </w:p>
    <w:p w:rsidR="0026452D" w:rsidRDefault="0026452D" w:rsidP="0026452D">
      <w:pPr>
        <w:pStyle w:val="Extracto"/>
      </w:pPr>
      <w:r>
        <w:t>2.</w:t>
      </w:r>
      <w:r>
        <w:tab/>
        <w:t xml:space="preserve">La regulación de los vinos con denominación de origen, de los vinos con denominación de origen calificada, de los órganos de gestión de los vinos de calidad producidos en una región determinada, de los fines y funciones de dichos órganos y de los sistemas de control establecida en la Ley de la viña y del vino constituye una intervención estatal en el ámbito material de las denominaciones de origen amparada en el título competencial que corresponde al Estado </w:t>
      </w:r>
      <w:r w:rsidRPr="0026452D">
        <w:rPr>
          <w:i/>
        </w:rPr>
        <w:t>ex</w:t>
      </w:r>
      <w:r>
        <w:t xml:space="preserve"> art. 149.1.13 CE, no suponiendo invasión de la competencia autonómica sobre dicho ámbito material (STC 31/2010) [FFJJ 10 a 13].</w:t>
      </w:r>
    </w:p>
    <w:p w:rsidR="0026452D" w:rsidRDefault="0026452D" w:rsidP="0026452D">
      <w:pPr>
        <w:pStyle w:val="Extracto"/>
      </w:pPr>
    </w:p>
    <w:p w:rsidR="0026452D" w:rsidRDefault="0026452D" w:rsidP="0026452D">
      <w:pPr>
        <w:pStyle w:val="Extracto"/>
      </w:pPr>
      <w:r>
        <w:t>3.</w:t>
      </w:r>
      <w:r>
        <w:tab/>
        <w:t>La regulación de los órganos de gestión de los vinos de calidad producidos en una región determinada son constitucionales porque la remisión que hacen a la Administración competente también comprende a la de las Comunidades Autónomas y no impiden al legislador autonómico el ejercicio legítimo de su competencia en materia de denominaciones de origen, dentro de los límites establecidos en la ley estatal [FJ 12].</w:t>
      </w:r>
    </w:p>
    <w:p w:rsidR="0026452D" w:rsidRDefault="0026452D" w:rsidP="0026452D">
      <w:pPr>
        <w:pStyle w:val="Extracto"/>
      </w:pPr>
    </w:p>
    <w:p w:rsidR="0026452D" w:rsidRDefault="0026452D" w:rsidP="0026452D">
      <w:pPr>
        <w:pStyle w:val="Extracto"/>
      </w:pPr>
      <w:r>
        <w:t>4.</w:t>
      </w:r>
      <w:r>
        <w:tab/>
        <w:t>La regulación de los fines y funciones de los órganos de gestión de los vinos de calidad producidos en una región determinada no vacían de contenido a la competencia autonómica, pues esta implica una ordenación de mínimos, pudiendo el legislador autonómico ampliarlas (SSTC 186/1988, 95/2001) [FJ 13].</w:t>
      </w:r>
    </w:p>
    <w:p w:rsidR="0026452D" w:rsidRDefault="0026452D" w:rsidP="0026452D">
      <w:pPr>
        <w:pStyle w:val="Extracto"/>
      </w:pPr>
    </w:p>
    <w:p w:rsidR="0026452D" w:rsidRDefault="0026452D" w:rsidP="0026452D">
      <w:pPr>
        <w:pStyle w:val="Extracto"/>
      </w:pPr>
      <w:r>
        <w:lastRenderedPageBreak/>
        <w:t>5.</w:t>
      </w:r>
      <w:r>
        <w:tab/>
        <w:t>La competencia autonómica exclusiva en materia denominaciones de origen se ve enmarcada de un lado por la previsión estatutaria de que se ejercitará en colaboración con el Estado, y de otro por la competencia estatal sobre las bases y coordinación de la planificación general de la actividad económica que reconoce al Estado el art. 149.1.13 CE [FJ 3].</w:t>
      </w:r>
    </w:p>
    <w:p w:rsidR="0026452D" w:rsidRDefault="0026452D" w:rsidP="0026452D">
      <w:pPr>
        <w:pStyle w:val="Extracto"/>
      </w:pPr>
    </w:p>
    <w:p w:rsidR="0026452D" w:rsidRDefault="0026452D" w:rsidP="0026452D">
      <w:pPr>
        <w:pStyle w:val="Extracto"/>
      </w:pPr>
      <w:r>
        <w:t>6.</w:t>
      </w:r>
      <w:r>
        <w:tab/>
        <w:t>Las denominaciones de origen no figuran entre las materias enunciadas en el art. 149.1 CE, por lo que el Estado no puede dictar normas básicas o, en general, normas sobre la materia si ésta ha sido atribuida estatutariamente a las Comunidades Autónomas, lo que no impide su posible conexión con cualesquiera de los títulos estatales relacionados en dicho artículo y muy singularmente con el contenido en la regla 13, ordenación de la economía (SSTC 186/1988, 112/1995, 31/2010) [FFJJ 3, 4].</w:t>
      </w:r>
    </w:p>
    <w:p w:rsidR="0026452D" w:rsidRDefault="0026452D" w:rsidP="0026452D">
      <w:pPr>
        <w:pStyle w:val="Extracto"/>
      </w:pPr>
    </w:p>
    <w:p w:rsidR="0026452D" w:rsidRDefault="0026452D" w:rsidP="0026452D">
      <w:pPr>
        <w:pStyle w:val="Extracto"/>
      </w:pPr>
      <w:r>
        <w:t>7.</w:t>
      </w:r>
      <w:r>
        <w:tab/>
        <w:t xml:space="preserve">En un sector de gran importancia para la economía española, como es el mercado del vino, el aseguramiento de la calidad y diversidad de los vinos y el establecimiento de condiciones de competencia leal entre los operadores, en la medida que, al menos en hipótesis, pueden incidir en el adecuado funcionamiento del mercado, deben ser considerados objetivos de política sectorial que el legislador estatal puede fijar en ejercicio de la competencia para la ordenación general de la economía </w:t>
      </w:r>
      <w:r w:rsidRPr="0026452D">
        <w:rPr>
          <w:i/>
        </w:rPr>
        <w:t>ex</w:t>
      </w:r>
      <w:r>
        <w:t xml:space="preserve"> art. 149.1.13 CE [FJ 9].</w:t>
      </w:r>
    </w:p>
    <w:p w:rsidR="0026452D" w:rsidRDefault="0026452D" w:rsidP="0026452D">
      <w:pPr>
        <w:pStyle w:val="Extracto"/>
      </w:pPr>
    </w:p>
    <w:p w:rsidR="0026452D" w:rsidRDefault="0026452D" w:rsidP="0026452D">
      <w:pPr>
        <w:pStyle w:val="Extracto"/>
      </w:pPr>
      <w:r>
        <w:t>8.</w:t>
      </w:r>
      <w:r>
        <w:tab/>
        <w:t xml:space="preserve">Las bases de la planificación general de la actividad económica, </w:t>
      </w:r>
      <w:r w:rsidRPr="0026452D">
        <w:rPr>
          <w:i/>
        </w:rPr>
        <w:t>ex</w:t>
      </w:r>
      <w:r>
        <w:t xml:space="preserve"> art. 149.1.13 CE, consisten en el establecimiento de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(SSTC 95/1986, 135/2012) [FJ 4].</w:t>
      </w:r>
    </w:p>
    <w:p w:rsidR="0026452D" w:rsidRDefault="0026452D" w:rsidP="0026452D">
      <w:pPr>
        <w:pStyle w:val="Extracto"/>
      </w:pPr>
    </w:p>
    <w:p w:rsidR="0026452D" w:rsidRDefault="0026452D" w:rsidP="0026452D">
      <w:pPr>
        <w:pStyle w:val="Extracto"/>
      </w:pPr>
      <w:r>
        <w:t>9.</w:t>
      </w:r>
      <w:r>
        <w:tab/>
        <w:t>La ordenación general de la economía hace posible la intervención del Estado a través de medidas económicas en sectores materialmente atribuidos a la competencia de las Comunidades Autónomas, que no pueden quedar en ningún caso vacías de contenido a causa de la intervención estatal, que, a su vez, llegará hasta donde lo exija el principio que instrumenta, límite éste cuya observancia se deduce partiendo de la finalidad perseguida por las medidas en cada caso adoptadas (STC 186/1988) [FFJJ 4, 6].</w:t>
      </w:r>
    </w:p>
    <w:p w:rsidR="0026452D" w:rsidRDefault="0026452D" w:rsidP="0026452D">
      <w:pPr>
        <w:pStyle w:val="Extracto"/>
      </w:pPr>
    </w:p>
    <w:p w:rsidR="0026452D" w:rsidRDefault="0026452D" w:rsidP="0026452D">
      <w:pPr>
        <w:pStyle w:val="Extracto"/>
      </w:pPr>
      <w:r>
        <w:t>10.</w:t>
      </w:r>
      <w:r>
        <w:tab/>
        <w:t>La potestad general de dictar bases en una determinada materia permite establecer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(SSTC 69/1988, 136/2012) [FJ 4].</w:t>
      </w:r>
    </w:p>
    <w:p w:rsidR="0026452D" w:rsidRDefault="0026452D" w:rsidP="0026452D">
      <w:pPr>
        <w:pStyle w:val="Extracto"/>
      </w:pPr>
    </w:p>
    <w:p w:rsidR="0026452D" w:rsidRDefault="0026452D" w:rsidP="0026452D">
      <w:pPr>
        <w:pStyle w:val="Extracto"/>
      </w:pPr>
      <w:r>
        <w:t>11.</w:t>
      </w:r>
      <w:r>
        <w:tab/>
        <w:t>Doctrina sobre la delimitación competencial en materia de denominaciones de origen (SSTC 11/1986, 136/2012) [FJ 4].</w:t>
      </w:r>
    </w:p>
    <w:p w:rsidR="0026452D" w:rsidRDefault="0026452D" w:rsidP="0026452D">
      <w:pPr>
        <w:pStyle w:val="Extracto"/>
      </w:pPr>
    </w:p>
    <w:p w:rsidR="0026452D" w:rsidRDefault="0026452D" w:rsidP="0026452D">
      <w:pPr>
        <w:pStyle w:val="Extracto"/>
      </w:pPr>
      <w:r>
        <w:lastRenderedPageBreak/>
        <w:t>12.</w:t>
      </w:r>
      <w:r>
        <w:tab/>
        <w:t>El Estado puede dictar las normas relativas a la organización y funcionamiento de los órganos de gestión de los vinos de calidad producidos en región determinada al amparo de la competencia prevenida en el art. 149.1.13 CE, no invadiendo con ello la competencia autonómica de autoorganización (SSTC 186/1988, 31/2010) [FFJJ 17, 18].</w:t>
      </w:r>
    </w:p>
    <w:p w:rsidR="0026452D" w:rsidRDefault="0026452D" w:rsidP="0026452D">
      <w:pPr>
        <w:pStyle w:val="Extracto"/>
      </w:pPr>
    </w:p>
    <w:p w:rsidR="0026452D" w:rsidRDefault="0026452D" w:rsidP="0026452D">
      <w:pPr>
        <w:pStyle w:val="Extracto"/>
      </w:pPr>
      <w:r>
        <w:t>13.</w:t>
      </w:r>
      <w:r>
        <w:tab/>
        <w:t>Doctrina sobre la competencia autonómica de autoorganización y su limitación por la competencia estatal para establecer las bases de la planificación económica general, art. 149.1.13 CE, y las bases del régimen jurídico de las Administraciones públicas, art. 149.1.18 CE (SSTC 35/1982, 222/2006) [FFJJ 16, 17].</w:t>
      </w:r>
    </w:p>
    <w:p w:rsidR="0026452D" w:rsidRDefault="0026452D" w:rsidP="0026452D">
      <w:pPr>
        <w:pStyle w:val="Extracto"/>
      </w:pPr>
    </w:p>
    <w:p w:rsidR="0026452D" w:rsidRDefault="0026452D" w:rsidP="0026452D">
      <w:pPr>
        <w:pStyle w:val="Extracto"/>
      </w:pPr>
      <w:r>
        <w:t>14.</w:t>
      </w:r>
      <w:r>
        <w:tab/>
        <w:t>El hecho de que las Directivas europeas tengan como finalidad la de homogeneizar, aproximar o armonizar los distintos ordenamientos y que sean de obligado cumplimiento por todas las autoridades de los Estados miembros y que, incluso, puedan tener un efecto directo, no significa que las normas estatales que las adapten a nuestro ordenamiento deban ser consideradas necesariamente ‘básicas’ (SSTC 102/1995, 13/1998) [FJ 7].</w:t>
      </w:r>
    </w:p>
    <w:p w:rsidR="0026452D" w:rsidRDefault="0026452D" w:rsidP="0026452D">
      <w:pPr>
        <w:pStyle w:val="Extracto"/>
      </w:pPr>
    </w:p>
    <w:p w:rsidR="0026452D" w:rsidRDefault="0026452D" w:rsidP="0026452D">
      <w:pPr>
        <w:pStyle w:val="Extracto"/>
      </w:pPr>
      <w:r>
        <w:t>15.</w:t>
      </w:r>
      <w:r>
        <w:tab/>
        <w:t xml:space="preserve">Los preceptos impugnados de Ley de la viña y del vino que regulan las infracciones en la materia encuentran apoyo en la competencia estatal </w:t>
      </w:r>
      <w:r w:rsidRPr="0026452D">
        <w:rPr>
          <w:i/>
        </w:rPr>
        <w:t>ex</w:t>
      </w:r>
      <w:r>
        <w:t xml:space="preserve"> art. 149.1.13 CE por ser necesarios para asegurar la eficacia en todo el territorio nacional de las medidas de ordenación económica del sector del vino [FJ 21].</w:t>
      </w:r>
    </w:p>
    <w:p w:rsidR="0026452D" w:rsidRDefault="0026452D" w:rsidP="0026452D">
      <w:pPr>
        <w:pStyle w:val="Extracto"/>
      </w:pPr>
    </w:p>
    <w:p w:rsidR="0026452D" w:rsidRDefault="0026452D" w:rsidP="0026452D">
      <w:pPr>
        <w:pStyle w:val="Extracto"/>
      </w:pPr>
      <w:r>
        <w:t>16.</w:t>
      </w:r>
      <w:r>
        <w:tab/>
        <w:t xml:space="preserve">La titularidad de la potestad sancionadora va normalmente pareja, como instrumental, a la competencia sustantiva de que se trate y, por ello, las Comunidades Autónomas pueden adoptar normas administrativas sancionadoras cuando tengan competencia sobre la materia sustantiva de que se trate, debiendo acomodarse las disposiciones que dicten a las garantías constitucionales dispuestas en este ámbito del Derecho administrativo sancionador, </w:t>
      </w:r>
      <w:r w:rsidRPr="0026452D">
        <w:rPr>
          <w:i/>
        </w:rPr>
        <w:t>ex</w:t>
      </w:r>
      <w:r>
        <w:t xml:space="preserve"> art. 25.1 CE, y no introducir divergencias irrazonables y desproporcionadas al fin perseguido respecto del régimen jurídico aplicable a otras partes del territorio (SSTC 87/1985, 196/1996) [FJ 20].</w:t>
      </w:r>
    </w:p>
    <w:p w:rsidR="0026452D" w:rsidRDefault="0026452D" w:rsidP="0026452D">
      <w:pPr>
        <w:pStyle w:val="Extracto"/>
      </w:pPr>
    </w:p>
    <w:p w:rsidR="0026452D" w:rsidRDefault="0026452D" w:rsidP="0026452D">
      <w:pPr>
        <w:pStyle w:val="Extracto"/>
      </w:pPr>
      <w:r>
        <w:t>17.</w:t>
      </w:r>
      <w:r>
        <w:tab/>
        <w:t>Doctrina sobre las garantías formales y materiales del principio de legalidad en el ámbito administrativo sancionador (SSTC 242/2005, 166/2012) [FJ 19].</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5934-2003, promovido por el Parlamento de Cataluña contra la disposición final segunda de la Ley 24/2003, de 10 de julio, de la viña y del vino, en cuanto que declara como legislación básica los arts. 22, 23, 25 (excepto sus apartados 4, 8 y 10), 26 [excepto los párrafos b), e) y g) de su apartado 2] y 27 y el apartado 1 del art. 38, los apartados 1 y 3 del art. 39, los apartados 1, 3 y 4 y los párrafos a) y b) del apartado 2 del art. 40 y los arts. 41, 42, 44 y 45 de la mencionada ley. Ha comparecido el Abogado del Estado. Ha sido Ponente el Magistrado don Juan José González Rivas,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3 de octubre de 2003 el Letrado del Parlamento de Cataluña, en nombre y representación de éste, interpuso recurso de inconstitucionalidad contra la disposición final segunda de la Ley 24/2003, de 10 de julio, de la viña y el vino, en cuanto que declara como legislación básica los preceptos relacionados en el encabezamiento.</w:t>
      </w:r>
    </w:p>
    <w:p w:rsidR="0026452D" w:rsidRDefault="0026452D" w:rsidP="0026452D">
      <w:pPr>
        <w:pStyle w:val="TextoNormal"/>
      </w:pPr>
    </w:p>
    <w:p w:rsidR="0026452D" w:rsidRDefault="0026452D" w:rsidP="0026452D">
      <w:pPr>
        <w:pStyle w:val="TextoNormal"/>
      </w:pPr>
      <w:r>
        <w:t>La demanda, tras formular una serie de consideraciones generales sobre las competencias asumidas por Cataluña en materia de agricultura y denominaciones de origen en colaboración con el Estado, afirma, en relación con esta última materia, que su núcleo fundamental está constituido por un conjunto de actuaciones públicas relativas al procedimiento para efectuar las declaraciones de las denominaciones, a la fijación de las características esenciales que deben reunir los diversos productos para obtener esa protección pública, y el establecimiento y gestión de organismos y procedimientos de seguimiento, control, inspección y sanción, tendentes a asegurar el cumplimiento de la normativa. Esta configuración de la materia es la que, sin duda, debió tener presente el legislador estatutario al establecer el sistema de distribución de competencias y no se ha visto alterada por la evolución de los ordenamientos jurídicos interno y comunitario.</w:t>
      </w:r>
    </w:p>
    <w:p w:rsidR="0026452D" w:rsidRDefault="0026452D" w:rsidP="0026452D">
      <w:pPr>
        <w:pStyle w:val="TextoNormal"/>
      </w:pPr>
    </w:p>
    <w:p w:rsidR="0026452D" w:rsidRDefault="0026452D" w:rsidP="0026452D">
      <w:pPr>
        <w:pStyle w:val="TextoNormal"/>
      </w:pPr>
      <w:r>
        <w:t>Tras estas consideraciones previas la demanda argumenta la inconstitucionalidad de la disposición final segunda de la Ley 24/2003, de 10 de julio, de la viña y del vino, al declarar básicos un primer bloque de preceptos: los arts. 22, 23, 25 (excepto sus apartados 4, 8 y 10), 26 [excepto los párrafos b), e), y g) del apartado 2], y 27. La disposición impugnada otorga la condición de legislación básica a estos artículos porque, ante un supuesto similar, el del Real Decreto 157/1988, de 22 de febrero, que estableció la normativa a la que deberían ajustarse las denominaciones de origen y denominaciones de origen calificadas de vinos y sus respectivos reglamentos, la STC 112/1995, de 6 de julio, consideró que se habían invadido las competencias de la Generalitat de Cataluña en materia de denominaciones de origen.</w:t>
      </w:r>
    </w:p>
    <w:p w:rsidR="0026452D" w:rsidRDefault="0026452D" w:rsidP="0026452D">
      <w:pPr>
        <w:pStyle w:val="TextoNormal"/>
      </w:pPr>
    </w:p>
    <w:p w:rsidR="0026452D" w:rsidRDefault="0026452D" w:rsidP="0026452D">
      <w:pPr>
        <w:pStyle w:val="TextoNormal"/>
      </w:pPr>
      <w:r>
        <w:t xml:space="preserve">A juicio de la parte recurrente es revelador que en aquel caso ni en el real decreto impugnado ni en la defensa del mismo ante el Tribunal Constitucional, se justificara la adopción de aquellas medidas con la competencia estatal </w:t>
      </w:r>
      <w:r w:rsidRPr="0026452D">
        <w:rPr>
          <w:i/>
        </w:rPr>
        <w:t>ex</w:t>
      </w:r>
      <w:r>
        <w:t xml:space="preserve"> art. 149.1.13 CE, pues la intervención normativa estatal se justificó en el hecho de que la competencia de la Generalitat de Cataluña sobre denominaciones de origen tenía que desarrollarse, como establecía el art. 12.1.5 </w:t>
      </w:r>
      <w:r>
        <w:lastRenderedPageBreak/>
        <w:t>del Estatuto de Autonomía de Cataluña (EAC), “en colaboración con el Estado”. Por el contrario, ahora se pretende justificar una regulación similar más exhaustiva, en base a la competencia estatal sobre las bases y la coordinación de la planificación económica general.</w:t>
      </w:r>
    </w:p>
    <w:p w:rsidR="0026452D" w:rsidRDefault="0026452D" w:rsidP="0026452D">
      <w:pPr>
        <w:pStyle w:val="TextoNormal"/>
      </w:pPr>
    </w:p>
    <w:p w:rsidR="0026452D" w:rsidRDefault="0026452D" w:rsidP="0026452D">
      <w:pPr>
        <w:pStyle w:val="TextoNormal"/>
      </w:pPr>
      <w:r>
        <w:t>En este sentido, tal y como ya se estableció en las SSTC 11/1986, de 28 de enero, 211/1990, de 20 de diciembre y 112/1995, de 6 de julio, la locución “en colaboración con el Estado” no significa una competencia compartida, ni tampoco unas competencias concurrentes, ni la reserva al Estado de una competencia de coordinación. La colaboración implica que lo que pueda realizar uno de los entes colaboradores no lo debe hacer el otro, de manera que las actuaciones no sean intercambiables y a pesar de que ni en el Real Decreto 157/1988 ni en el conflicto planteado frente al mismo el Estado hizo valer la constitucionalidad de la norma en base a su competencia ex art. 149.1.13 CE, lo cierto es que el Tribunal estableció claramente la improcedencia de que el Estado, en ejercicio de esta competencia, se pueda otorgar una potestad general de dictar bases en materia de denominaciones de origen allí donde no posea esa competencia.</w:t>
      </w:r>
    </w:p>
    <w:p w:rsidR="0026452D" w:rsidRDefault="0026452D" w:rsidP="0026452D">
      <w:pPr>
        <w:pStyle w:val="TextoNormal"/>
      </w:pPr>
    </w:p>
    <w:p w:rsidR="0026452D" w:rsidRDefault="0026452D" w:rsidP="0026452D">
      <w:pPr>
        <w:pStyle w:val="TextoNormal"/>
      </w:pPr>
      <w:r w:rsidRPr="0026452D">
        <w:rPr>
          <w:rStyle w:val="NumeroAFNegritaCaracter"/>
        </w:rPr>
        <w:t>2</w:t>
      </w:r>
      <w:r>
        <w:t>. Para la parte recurrente, la inconstitucionalidad se basa, en extracto, en los siguientes razonamientos:</w:t>
      </w:r>
    </w:p>
    <w:p w:rsidR="0026452D" w:rsidRDefault="0026452D" w:rsidP="0026452D">
      <w:pPr>
        <w:pStyle w:val="TextoNormal"/>
      </w:pPr>
    </w:p>
    <w:p w:rsidR="0026452D" w:rsidRDefault="0026452D" w:rsidP="0026452D">
      <w:pPr>
        <w:pStyle w:val="TextoNormal"/>
      </w:pPr>
      <w:r>
        <w:t>a) Los arts. 22, 23, 25, 26 y 27, de la viña y del vino, regulan las denominaciones de origen, las denominaciones de origen calificadas, sus órganos de gestión, con la determinación de sus fines y funciones, y el sistema de control y certificación, lo que afecta directamente el ámbito nuclear de la competencia exclusiva de la Generalitat de Cataluña en denominaciones de origen. Es difícilmente argumentable que tales aspectos puedan tener alguna incidencia respecto a la planificación general de la economía española en el ámbito de la viticultura, especialmente cuando el Derecho comunitario ya establece un marco jurídico general exhaustivo y suficientemente uniforme para garantizar la plena efectividad del mercado común del sector vitivinícola, marco jurídico, al que, en virtud del principio de primacía del Derecho comunitario, se ha de someter la Generalitat de Cataluña.</w:t>
      </w:r>
    </w:p>
    <w:p w:rsidR="0026452D" w:rsidRDefault="0026452D" w:rsidP="0026452D">
      <w:pPr>
        <w:pStyle w:val="TextoNormal"/>
      </w:pPr>
    </w:p>
    <w:p w:rsidR="0026452D" w:rsidRDefault="0026452D" w:rsidP="0026452D">
      <w:pPr>
        <w:pStyle w:val="TextoNormal"/>
      </w:pPr>
      <w:r>
        <w:t>Por otra parte, los arts. 25 y 26, sobre los órganos de gestión de las denominaciones de origen, al ser calificados como básicos, invaden las competencias de autorganización que la Generalitat de Cataluña tiene en virtud de los arts. 148.1.1 CE y 9.1 EAC. Así, el art. 10 de la Ley catalana 15/2002, de 27 de junio, de ordenación vitivinícola, configura los consejos reguladores de las denominaciones de origen como corporaciones de Derecho público a las cuales se atribuye la gestión de la denominación de origen. Tales consejos tienen personalidad jurídica propia, autonomía económica, plena capacidad jurídica y capacidad de obrar para el cumplimiento de sus funciones y sus actuaciones, que comportan el ejercicio de potestades públicas, están sujetas al Derecho administrativo. Ello supone que, de acuerdo con la legislación invocada, estos consejos forman parte de la Administración institucional catalana, que crea y modula la Generalitat de Cataluña, en virtud de su poder de auto-organización, para ejercer adecuadamente sus competencias.</w:t>
      </w:r>
    </w:p>
    <w:p w:rsidR="0026452D" w:rsidRDefault="0026452D" w:rsidP="0026452D">
      <w:pPr>
        <w:pStyle w:val="TextoNormal"/>
      </w:pPr>
    </w:p>
    <w:p w:rsidR="0026452D" w:rsidRDefault="0026452D" w:rsidP="0026452D">
      <w:pPr>
        <w:pStyle w:val="TextoNormal"/>
      </w:pPr>
      <w:r>
        <w:t xml:space="preserve">b) El otro bloque de artículos que la disposición final segunda de la Ley de la viña y del vino, declara básicos son los relativos al régimen sancionador. En concreto, se establecen como legislación básica, el apartado 1 del art. 38; los apartados 1 y 3 del art. 39; del art. 40, sus apartados 1, 3 y 4 íntegros, así como los párrafos a) y b) de su apartado 2; y los arts. 41, </w:t>
      </w:r>
      <w:r>
        <w:lastRenderedPageBreak/>
        <w:t>42, 44 y 45. Estos artículos se refieren a aspectos tales como la tipificación de las infracciones, la responsabilidad por las mismas, las sanciones y su graduación y la prescripción de infracciones y sanciones.</w:t>
      </w:r>
    </w:p>
    <w:p w:rsidR="0026452D" w:rsidRDefault="0026452D" w:rsidP="0026452D">
      <w:pPr>
        <w:pStyle w:val="TextoNormal"/>
      </w:pPr>
    </w:p>
    <w:p w:rsidR="0026452D" w:rsidRDefault="0026452D" w:rsidP="0026452D">
      <w:pPr>
        <w:pStyle w:val="TextoNormal"/>
      </w:pPr>
      <w:r>
        <w:t>En relación con la competencia sobre la potestad sancionadora la doctrina constitucional formula como regla de deslinde competencial la de “que la titularidad de la potestad sancionadora va normalmente pareja, como instrumental, a la competencia sustantiva de que se trate: de suerte que la imposición de sanciones administrativas por las Comunidades Autónomas sólo se justifica cuando tengan competencias en la materia” (STC 168/1993, de 27 de mayo, FJ 8). En consecuencia, la calificación de los mencionados artículos como legislación básica sólo podría, como mucho, entenderse referida a las materias que sin ser Derecho sancionador, la propia disposición final segunda considera básicas. Pero como el Estado no puede, valiéndose de su competencia para dictar normas que regulen las bases y la coordinación de la planificación económica del sector de la vitivinicultura, afectar a la competencia exclusiva de la Generalitat de Cataluña en materia de denominaciones de origen, estableciendo como legislación básica una serie de artículos que regulan materias que inciden en el núcleo fundamental de la mencionada competencia, tampoco podrá, en consecuencia, pretender el carácter de básico para aquellos artículos que se refieren al régimen sancionador de una materia cuya competencia es de la Generalitat, o cuya calificación como legislación básica se ha demostrado inconstitucional.</w:t>
      </w:r>
    </w:p>
    <w:p w:rsidR="0026452D" w:rsidRDefault="0026452D" w:rsidP="0026452D">
      <w:pPr>
        <w:pStyle w:val="TextoNormal"/>
      </w:pPr>
    </w:p>
    <w:p w:rsidR="0026452D" w:rsidRDefault="0026452D" w:rsidP="0026452D">
      <w:pPr>
        <w:pStyle w:val="TextoNormal"/>
      </w:pPr>
      <w:r w:rsidRPr="0026452D">
        <w:rPr>
          <w:rStyle w:val="NumeroAFNegritaCaracter"/>
        </w:rPr>
        <w:t>3</w:t>
      </w:r>
      <w:r>
        <w:t>. En providencia de 21 de octubre de 2003 se acordó admitir a trámite el recurso, dar traslado de la demanda y documentos presentados al Congreso de los Diputados, al Senado y al Gobierno al objeto de que puedan personarse en el proceso y formular las alegaciones que estimaren convenientes, y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4</w:t>
      </w:r>
      <w:r>
        <w:t>. El 28 de octubre de 2003 la Presidenta del Congreso de los Diputados comunicó el acuerdo de la Mesa de la Cámara para que no se le tuviera por personada en el proceso ni formular alegaciones, poniéndose a disposición del Tribunal.</w:t>
      </w:r>
    </w:p>
    <w:p w:rsidR="0026452D" w:rsidRDefault="0026452D" w:rsidP="0026452D">
      <w:pPr>
        <w:pStyle w:val="TextoNormal"/>
      </w:pPr>
    </w:p>
    <w:p w:rsidR="0026452D" w:rsidRDefault="0026452D" w:rsidP="0026452D">
      <w:pPr>
        <w:pStyle w:val="TextoNormal"/>
      </w:pPr>
      <w:r w:rsidRPr="0026452D">
        <w:rPr>
          <w:rStyle w:val="NumeroAFNegritaCaracter"/>
        </w:rPr>
        <w:t>5</w:t>
      </w:r>
      <w:r>
        <w:t>. El 11 de noviembre de 2003 el Abogado del Estado se personó en el recurso y formuló las alegaciones que sustentaron su petición de que fuera desestimado.</w:t>
      </w:r>
    </w:p>
    <w:p w:rsidR="0026452D" w:rsidRDefault="0026452D" w:rsidP="0026452D">
      <w:pPr>
        <w:pStyle w:val="TextoNormal"/>
      </w:pPr>
    </w:p>
    <w:p w:rsidR="0026452D" w:rsidRDefault="0026452D" w:rsidP="0026452D">
      <w:pPr>
        <w:pStyle w:val="TextoNormal"/>
      </w:pPr>
      <w:r>
        <w:t>El Abogado del Estado comienza por negar que el régimen establecido por los artículos cuyo carácter básico se impugna invada las competencias autonómicas invocadas, pues las enmarca, facilitando la existencia de un mercado nacional uniforme, en el plano de las bases y coordinación de la planificación general de la actividad económica, en atención al objetivo primordial de la Ley 24/2003 de crear un mercado único de los vinos en todo el territorio del Estado, al establecer unos niveles de clasificación que aseguren a los operadores una competencia leal.</w:t>
      </w:r>
    </w:p>
    <w:p w:rsidR="0026452D" w:rsidRDefault="0026452D" w:rsidP="0026452D">
      <w:pPr>
        <w:pStyle w:val="TextoNormal"/>
      </w:pPr>
    </w:p>
    <w:p w:rsidR="0026452D" w:rsidRDefault="0026452D" w:rsidP="0026452D">
      <w:pPr>
        <w:pStyle w:val="TextoNormal"/>
      </w:pPr>
      <w:r>
        <w:t xml:space="preserve">Tras referirse a las competencias autonómicas invocadas en el recurso y a las facultades de ordenación de la economía, reservadas con carácter general al Estado por el art. 149.1.13 C.E, esta parte se detiene en el análisis de la STC 112/1995, de 6 de julio y reproduce parte del fundamento jurídico 6 de la STC 186/1988, de 17 de octubre, en el que se recuerda que </w:t>
      </w:r>
      <w:r>
        <w:lastRenderedPageBreak/>
        <w:t>“el Estado puede operar sobre el sector vitícola haciendo uso de su competencia para proceder a la ordenación general de la economía (art. 149.1.13 CE), pero ello siempre que no vacíe de contenido las competencias de la Comunidad Autónoma sobre la viticultura”. De este modo, las exigencias de un tratamiento uniforme del mercado vitícola hacen que el principio de unidad económica que la Constitución establece para toda España sea determinante y en este supuesto, la correcta delimitación entre las competencias del Estado y la Comunidad Autónoma ha de partir del alcance de esta competencia estatal de ordenación general de la economía, pues la autonómica debe soportarla hasta su límite constitucional.</w:t>
      </w:r>
    </w:p>
    <w:p w:rsidR="0026452D" w:rsidRDefault="0026452D" w:rsidP="0026452D">
      <w:pPr>
        <w:pStyle w:val="TextoNormal"/>
      </w:pPr>
    </w:p>
    <w:p w:rsidR="0026452D" w:rsidRDefault="0026452D" w:rsidP="0026452D">
      <w:pPr>
        <w:pStyle w:val="TextoNormal"/>
      </w:pPr>
      <w:r>
        <w:t>De este modo, los preceptos básicos de la ley recurrida se sitúan en la ordenación general de la economía que constituye el límite expreso de las competencias autonómicas, pues resultan muy significativos, en tanto reflejan la dimensión económica que el sector vínico tiene en España, los datos que suministra el preámbulo de la ley, según el cual España es el tercer productor de vino y posee la mayor extensión de viñedo del mundo, con una superficie cultivada de 1.140.000 hectáreas; un tercio de esa producción corresponde a vinos de calidad; se exportan cada año unos diez millones y medio de hectólitros de vinos y mostos, y aun así hay grandes excedentes.</w:t>
      </w:r>
    </w:p>
    <w:p w:rsidR="0026452D" w:rsidRDefault="0026452D" w:rsidP="0026452D">
      <w:pPr>
        <w:pStyle w:val="TextoNormal"/>
      </w:pPr>
    </w:p>
    <w:p w:rsidR="0026452D" w:rsidRDefault="0026452D" w:rsidP="0026452D">
      <w:pPr>
        <w:pStyle w:val="TextoNormal"/>
      </w:pPr>
      <w:r>
        <w:t>Por ello, es innegable, a la vista de la importancia y trascendencia del sector, la correcta invocación del título competencial legitimador del Estado en la disposición final segunda, en tanto que estamos ante, más allá de una actividad agrícola, ante una netamente económica, que implica no solo a viticultores, sino también a industrias, a distribuidores y a consumidores, lo que hace que su normativa básica reguladora sea claramente de ordenación económica general. Ese título competencial comprende no sólo las medidas de política general en sentido estricto, sino también las dirigidas a sectores económicos concretos.</w:t>
      </w:r>
    </w:p>
    <w:p w:rsidR="0026452D" w:rsidRDefault="0026452D" w:rsidP="0026452D">
      <w:pPr>
        <w:pStyle w:val="TextoNormal"/>
      </w:pPr>
    </w:p>
    <w:p w:rsidR="0026452D" w:rsidRDefault="0026452D" w:rsidP="0026452D">
      <w:pPr>
        <w:pStyle w:val="TextoNormal"/>
      </w:pPr>
      <w:r>
        <w:t xml:space="preserve">El Tribunal Constitucional ha declarado (STC 186/1988, de 17 de octubre) que la competencia del Estado para dirigir la actividad económica general abarca tanto la “definición de líneas de actuación”, que fijan “las directrices y los criterios globales de ordenación de sectores económicos concretos”, como la “adopción de medidas” y de </w:t>
      </w:r>
    </w:p>
    <w:p w:rsidR="0026452D" w:rsidRDefault="0026452D" w:rsidP="0026452D">
      <w:pPr>
        <w:pStyle w:val="TextoNormal"/>
      </w:pPr>
      <w:r>
        <w:t>“decisiones unitarias” que aseguren un tratamiento uniforme de determinados problemas y “las previsiones de acciones o medidas singulares que sean necesarias para alcanzar los fines propuestos dentro de la ordenación de cada sector”. Ha de tenerse en cuenta que el Tribunal ha diferenciado entre la competencia estatal para “dictar bases2 y la competencia de “coordinación”; competencia esta que permite al Estado, más allá de lo que sea la ordenación general de la economía, establecer medios y sistemas de relación que hagan posible la información recíproca, la homogeneización técnica en determinados aspectos y la acción conjunta de las autoridades estatales y autonómicas en el ejercicio de sus respectivas competencias (STC 144/1985, de 25 de octubre, FJ 4).</w:t>
      </w:r>
    </w:p>
    <w:p w:rsidR="0026452D" w:rsidRDefault="0026452D" w:rsidP="0026452D">
      <w:pPr>
        <w:pStyle w:val="TextoNormal"/>
      </w:pPr>
    </w:p>
    <w:p w:rsidR="0026452D" w:rsidRDefault="0026452D" w:rsidP="0026452D">
      <w:pPr>
        <w:pStyle w:val="TextoNormal"/>
      </w:pPr>
      <w:r>
        <w:t>La Ley de la viña y del vino se decanta, de un lado, por regular las materias que necesiten de precisión o desarrollo respecto de lo dispuesto en el acervo comunitario y, de otro, por la regulación de los aspectos imprescindibles para garantizar la eficiencia del mercado único, la libre y leal competencia entre operadores en todas las zonas del territorio nacional y la protección y defensa de los derechos de los consumidores. En definitiva, de acuerdo con el reparto constitucional y estatutario de competencias, así como con la jurisprudencia consti</w:t>
      </w:r>
      <w:r>
        <w:lastRenderedPageBreak/>
        <w:t>tucional, y de conformidad con las correspondientes previsiones del ordenamiento comunitario, el Estado tiene competencia para dictar una regulación como la contenida en la Ley de la viña y del vino, parcialmente de naturaleza básica, al amparo del art. 149.1.13 CE.</w:t>
      </w:r>
    </w:p>
    <w:p w:rsidR="0026452D" w:rsidRDefault="0026452D" w:rsidP="0026452D">
      <w:pPr>
        <w:pStyle w:val="TextoNormal"/>
      </w:pPr>
    </w:p>
    <w:p w:rsidR="0026452D" w:rsidRDefault="0026452D" w:rsidP="0026452D">
      <w:pPr>
        <w:pStyle w:val="TextoNormal"/>
      </w:pPr>
      <w:r>
        <w:t>El Abogado del Estado defiende la constitucionalidad de la calificación como legislación básica de los concretos preceptos que señala el recurso, basándose en los siguientes criterios extractados:</w:t>
      </w:r>
    </w:p>
    <w:p w:rsidR="0026452D" w:rsidRDefault="0026452D" w:rsidP="0026452D">
      <w:pPr>
        <w:pStyle w:val="TextoNormal"/>
      </w:pPr>
    </w:p>
    <w:p w:rsidR="0026452D" w:rsidRDefault="0026452D" w:rsidP="0026452D">
      <w:pPr>
        <w:pStyle w:val="TextoNormal"/>
      </w:pPr>
      <w:r>
        <w:t>a) En lo que se refiere a la de los arts. 22; 23; 25, excepto sus apartados 4, 8 y 10; 26, excepto los párrafos b), e) y g) de su apartado 2, y 27, denuncia como insuficiente la alegación de la demanda de que los mismos afectan directamente al ámbito nuclear de la competencia exclusiva de la Generalitat de Cataluña en denominaciones de origen, pues dichos preceptos se sitúan en el título II de la Ley, que incluye, principalmente, las normas relativas a la titularidad, uso y gestión de los bienes protegidos, protección, reconocimiento y gestión de estos vinos, los órganos de gestión de los vinos de calidad producidos en una región determinada y el procedimiento para reconocer un nivel de protección.</w:t>
      </w:r>
    </w:p>
    <w:p w:rsidR="0026452D" w:rsidRDefault="0026452D" w:rsidP="0026452D">
      <w:pPr>
        <w:pStyle w:val="TextoNormal"/>
      </w:pPr>
    </w:p>
    <w:p w:rsidR="0026452D" w:rsidRDefault="0026452D" w:rsidP="0026452D">
      <w:pPr>
        <w:pStyle w:val="TextoNormal"/>
      </w:pPr>
      <w:r>
        <w:t>El título competencial del art. 149.1.13 CE permite al Estado actuar en ámbitos reservados a otras administraciones públicas a partir de la fijación de las normas que regulan una actividad, cuando la misma debe ser reconducida hacia unos parámetros homogéneos en todo el territorio nacional, para lo cual la Constitución permite acudir tanto a las bases de normación de la materia afectada como a la coordinación de las actividades. Solo merced a tal título competencial puede el Estado incidir en cuestiones relativas a subsectores económicos concretos, que, siendo de la exclusiva competencia autonómica (arts. 12.1. 4 y 5 EAC 1979), integran ámbitos de la política económica nacional, respecto de los que es inevitable acometer una ordenación mínimamente coherente si se quiere asegurar un mercado único de productos de calidad equiparable en todo el territorio del Estado.</w:t>
      </w:r>
    </w:p>
    <w:p w:rsidR="0026452D" w:rsidRDefault="0026452D" w:rsidP="0026452D">
      <w:pPr>
        <w:pStyle w:val="TextoNormal"/>
      </w:pPr>
    </w:p>
    <w:p w:rsidR="0026452D" w:rsidRDefault="0026452D" w:rsidP="0026452D">
      <w:pPr>
        <w:pStyle w:val="TextoNormal"/>
      </w:pPr>
      <w:r>
        <w:t>De este modo, se incorporan en la Ley de la viña y del vino la noción de “denominación de origen” de los vinos, integrándola en el nuevo sistema de protección de la calidad de los vinos españoles, así como la determinación de unas pautas mínimas comunes mediante las que se reconoce jurídicamente aquella figura, lo que implica el ejercicio de la competencia de coordinación atribuida al Estado en relación con la actividad económica general. Se trata de asegurar, mediante una definición expresa de su concepto jurídico y del diseño de su contorno y contenidos esenciales, que una misma institución, la denominación de origen, que juega un papel central en el mercado vitivinícola, no pueda designar realidades diferentes e incluso contradictorias, en las distintas partes del Estado. Para alejar ese riesgo, más que probable, de no existir una definición común, la Ley ofrece una descripción precisa de lo que ha de entenderse por denominación de origen y fija sus rasgos esenciales y comunes, en beneficio de productores y consumidores, en un mercado transparente y único, dotando de certeza y seguridad el tráfico mercantil.</w:t>
      </w:r>
    </w:p>
    <w:p w:rsidR="0026452D" w:rsidRDefault="0026452D" w:rsidP="0026452D">
      <w:pPr>
        <w:pStyle w:val="TextoNormal"/>
      </w:pPr>
    </w:p>
    <w:p w:rsidR="0026452D" w:rsidRDefault="0026452D" w:rsidP="0026452D">
      <w:pPr>
        <w:pStyle w:val="TextoNormal"/>
      </w:pPr>
      <w:r>
        <w:t xml:space="preserve">A través de la competencia estatal de coordinación de la planificación de la actividad económica se puede establecer una homogeneidad en el concepto de denominación de origen, que el Tribunal ha definido como “concepto jurídico pacífico” (STC 112/1995, de 6 de julio, FJ 2), y que debe entenderse como un concepto socialmente reconocido, con anterioridad incluso a la existencia del Estado de las autonomías y a su consiguiente distribución competencial. El establecimiento en los arts. 22 y 23 de los requisitos exigibles a los vinos </w:t>
      </w:r>
      <w:r>
        <w:lastRenderedPageBreak/>
        <w:t>con denominación de origen y con denominación de origen calificada debe incluirse en el espacio reservado al Estado en el ejercicio de su competencia estatal de coordinación por cuanto constituye una garantía de tratamiento uniforme de un mercado suprautonómico, una unificación de los criterios que han de ser tomados en consideración y una garantía del desarrollo armónico en todo el territorio nacional del mercado vinícola. Todos los aspectos citados en ambos preceptos son así convenientes para establecer una necesaria diferenciación entre los requisitos exigidos a las denominaciones de origen y a las denominaciones de origen calificadas y respetuosos con el alcance de la competencia estatal, sin vaciamiento alguno de la autonómica.</w:t>
      </w:r>
    </w:p>
    <w:p w:rsidR="0026452D" w:rsidRDefault="0026452D" w:rsidP="0026452D">
      <w:pPr>
        <w:pStyle w:val="TextoNormal"/>
      </w:pPr>
    </w:p>
    <w:p w:rsidR="0026452D" w:rsidRDefault="0026452D" w:rsidP="0026452D">
      <w:pPr>
        <w:pStyle w:val="TextoNormal"/>
      </w:pPr>
      <w:r>
        <w:t>En definitiva, tales definiciones de denominación de origen y denominación de origen calificada suponen el establecimiento de una homogeneización técnica de dichos conceptos efectuada a través de la competencia estatal para la coordinación general de la actividad económica.</w:t>
      </w:r>
    </w:p>
    <w:p w:rsidR="0026452D" w:rsidRDefault="0026452D" w:rsidP="0026452D">
      <w:pPr>
        <w:pStyle w:val="TextoNormal"/>
      </w:pPr>
    </w:p>
    <w:p w:rsidR="0026452D" w:rsidRDefault="0026452D" w:rsidP="0026452D">
      <w:pPr>
        <w:pStyle w:val="TextoNormal"/>
      </w:pPr>
      <w:r>
        <w:t>b) A juicio del Abogado del Estado, los arts. 25 y 26 de la Ley de la viña y del vino  relativos a los órganos de gestión, sus fines y funciones, tratan de asegurar un mínimo de operatividad y eficacia en la gestión de los vinos de calidad producidos en una región determinada, para lo que resultan imprescindibles unos parámetros de configuración institucional y de actuación mínimamente coherentes en todas las comunidades autónomas. La Ley persigue terminar con las disfunciones originadas por la doble función que tenían los consejos reguladores —por un lado, de gestión de los niveles de protección de los vinos, y, por otro, de control para la garantía de que los vinos cumplen todos los requisitos establecidos en las normas correspondientes—, que presenta como principal inconveniente el de las interferencias entre la vigilancia de las normas propias de cada denominación y los intereses comerciales de vitivinicultores y bodegueros. La opción por la independencia absoluta entre los órganos de gestión y los de control preservará la credibilidad y el prestigio de los vinos de calidad españoles, pues aquellos dejan de ser parte integrante de las administraciones públicas y se configuran como organismos independientes dotados de personalidad jurídica propia, de naturaleza pública o privada, según determine la normativa autonómica o la estatal, según el ámbito territorial autonómico o supraautonómico de la denominación de origen.</w:t>
      </w:r>
    </w:p>
    <w:p w:rsidR="0026452D" w:rsidRDefault="0026452D" w:rsidP="0026452D">
      <w:pPr>
        <w:pStyle w:val="TextoNormal"/>
      </w:pPr>
    </w:p>
    <w:p w:rsidR="0026452D" w:rsidRDefault="0026452D" w:rsidP="0026452D">
      <w:pPr>
        <w:pStyle w:val="TextoNormal"/>
      </w:pPr>
      <w:r>
        <w:t xml:space="preserve">El art. 25 no predetermina, ni, menos aún, impone, a juicio del Abogado del Estado, un modelo concreto de organización, sino que ofrece un abanico de opciones, reenviando su concreción y desarrollo a la norma propia de cada comunidad autónoma. Con idéntico propósito el art. 26 se limita a efectuar una declaración general acerca de las finalidades de los órganos de gestión que, sin menoscabar el ámbito propio de regulación de las comunidades autónomas, diseña un modelo básicamente reconocible en todo el país, cuyo desarrollo compete a aquellas. En cuanto a los órganos de control, el art. 27 contiene una regulación de mínimos que prevé un sistema flexible, a elección de los interesados, que permite optar bien por un organismo independiente acreditado para la certificación de productos; bien por un organismo, igualmente independiente, de inspección; por un órgano administrativo u organismo público y, finalmente, la opción, prevista para los vinos con denominación de origen o con denominación de origen calificada, que aúna en el seno del consejo regulador dos organismos totalmente separados y autónomos, uno encargado de la gestión de los vinos y otro del control, asegurándose la independencia entre ambos. Sin elementos comunes, por genéricos y necesitados de concreción que se hallen, es imposible preservar unos niveles de </w:t>
      </w:r>
      <w:r>
        <w:lastRenderedPageBreak/>
        <w:t>calidad homogéneos; niveles que solamente se garantizan cuando los procedimientos de control y certificación responden a pautas de exigencia, seguridad e independencia. En otro caso, con niveles de exigibilidad diferentes y con criterios de certificación cambiantes, inseguros o muy diferenciados, no existe mercado único ni seguridad en el sector vitivinícola.</w:t>
      </w:r>
    </w:p>
    <w:p w:rsidR="0026452D" w:rsidRDefault="0026452D" w:rsidP="0026452D">
      <w:pPr>
        <w:pStyle w:val="TextoNormal"/>
      </w:pPr>
    </w:p>
    <w:p w:rsidR="0026452D" w:rsidRDefault="0026452D" w:rsidP="0026452D">
      <w:pPr>
        <w:pStyle w:val="TextoNormal"/>
      </w:pPr>
      <w:r>
        <w:t>c) En lo que se refiere a la impugnación del carácter básico que se atribuye a los arts. 38, apartado 1; 39, apartados 1 y 3; 40, apartados 1, 2 en sus párrafos a) y b), 3 y 4 ; y 41, 42, 44 y 45, incluidos en el capítulo II (“Infracciones y sanciones”) del título III (“Régimen sancionador”), apela el representante del Gobierno a la STC 186/1988, que declaró conforme al orden constitucional de competencias la uniformidad de la gravedad de las sanciones a los infractores de las medidas de ordenación económica, lo que supone un elemento disuasorio que podría no operar con la misma intensidad si todas las comunidades autónomas pudieran establecer libremente su sistema sancionador, de modo, que, en su opinión, resulta perfectamente adecuado a la Constitución que las medidas de coordinación económica establecidas por el Estado sean complementadas con las necesarias medidas sancionadoras, decisivas en este tipo de actuaciones, en tanto eficaces para garantizar los mínimos normativos que para la ordenación general de la economía el legislador estatal ha establecido previamente, pudiendo por ello beneficiarse de las mismas justificaciones que las medidas de coordinación en sí.</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12 de febrero de 2013, se señaló el día 14 del mismo mes y año para la deliberación y fallo del presente recurso.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Parlamento de Cataluña impugna la disposición final segunda de la Ley 24/2003, de 10 de julio, de la viña y del vino, en cuanto que declara como legislación básica los arts. 22, 23, 25 (excepto sus apartados 4, 8 y 10), 26 [excepto los párrafos b), e) y g) de su apartado 2], 27, el apartado 1 del art. 38, los apartados 1 y 3 del art. 39, los apartados 1, 3 y 4 y los párrafos a) y b) del apartado 2 del art. 40 y los arts. 41, 42, 44 y 45 de la mencionada Ley.</w:t>
      </w:r>
    </w:p>
    <w:p w:rsidR="0026452D" w:rsidRDefault="0026452D" w:rsidP="0026452D">
      <w:pPr>
        <w:pStyle w:val="TextoNormal"/>
      </w:pPr>
    </w:p>
    <w:p w:rsidR="0026452D" w:rsidRDefault="0026452D" w:rsidP="0026452D">
      <w:pPr>
        <w:pStyle w:val="TextoNormal"/>
      </w:pPr>
      <w:r>
        <w:t xml:space="preserve">El Parlamento de Cataluña sostiene, en primer lugar, que la Comunidad Autónoma de Cataluña tiene atribuida competencia exclusiva en las materias agricultura [art. 12.1.4 del Estatuto de Autonomía de Cataluña (EAC) de 1979] y denominaciones de origen de los vinos (art. 12.1.5 EAC 1979). Según la representación de la recurrente, esta última competencia exclusiva impide que el Estado pueda incidir sobre la materia denominaciones de origen de los vinos, ni siquiera invocando al efecto, como hace la Ley de la viña y del vino, el título competencial bases y coordinación que le reconoce el art. 149.1.13 CE. Funda su alegación en que así lo estableció la STC 112/1995, de 6 de julio; en que la planificación general de la economía española en el ámbito de la viticultura, está condicionada y en buena parte absorbida por la política agrícola común europea; en que la Ley de la viña y del vino no define en ningún lugar cuáles pudieran ser esos fines y objetivos de política económica nacional en el ámbito de la vitivinicultura; y, en fin, en que los preceptos impugnados se refieren a aspectos materiales que entran de lleno en el núcleo fundamental de la competencia exclusiva de la Generalitat de Cataluña sobre denominaciones de origen. En segundo lugar, la Cámara recurrente imputa a los apartados impugnados de los arts. 25 y 26 de la </w:t>
      </w:r>
      <w:r>
        <w:lastRenderedPageBreak/>
        <w:t>Ley de la viña y del vino, que, al regular ciertos aspectos de los órganos de gestión de los vinos de calidad producidos en regiones determinadas (vinos de calidad producidos en regiones determinadas), invaden la competencia autonómica de autoorganización, esto es, de decidir cómo organizar el desempeño de sus propias competencias. Por último, razona el Parlamento de Cataluña que si al Estado no le asisten facultades para realizar una actuación como la referida tampoco ostenta competencia normativa para establecer en la citada materia tipos de infracciones y de sanciones.</w:t>
      </w:r>
    </w:p>
    <w:p w:rsidR="0026452D" w:rsidRDefault="0026452D" w:rsidP="0026452D">
      <w:pPr>
        <w:pStyle w:val="TextoNormal"/>
      </w:pPr>
    </w:p>
    <w:p w:rsidR="0026452D" w:rsidRDefault="0026452D" w:rsidP="0026452D">
      <w:pPr>
        <w:pStyle w:val="TextoNormal"/>
      </w:pPr>
      <w:r>
        <w:t>El Abogado del Estado, en nombre del Gobierno de la Nación, sostiene que la regulación impugnada implica el ejercicio de la competencia de coordinación atribuida al Estado en relación con la actividad económica general por el art. 149.1.13 CE, por lo que pide la desestimación del recurso.</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abordar la resolución de la controversia y de acuerdo con nuestra reiterada doctrina [por todas, SSTC 87/1985, de 16 de julio, FJ 8; 179/1998, de 16 de septiembre, FJ 2; y 134/2011, de 20 de julio, FJ 2 d)], decidiremos este recurso teniendo en cuenta lo dispuesto en la Ley Orgánica 6/2006, de 19 de julio, de reforma del Estatuto de Autonomía de Cataluña, que ha entrado en vigor una vez admitido a trámite este recurso.</w:t>
      </w:r>
    </w:p>
    <w:p w:rsidR="0026452D" w:rsidRDefault="0026452D" w:rsidP="0026452D">
      <w:pPr>
        <w:pStyle w:val="TextoNormal"/>
      </w:pPr>
    </w:p>
    <w:p w:rsidR="0026452D" w:rsidRDefault="0026452D" w:rsidP="0026452D">
      <w:pPr>
        <w:pStyle w:val="TextoNormal"/>
      </w:pPr>
      <w:r>
        <w:t>De otro lado, a pesar que la Cámara recurrente alude a la competencia exclusiva de Cataluña en materia de agricultura (art. 116 EAC 2006), de la que la viticultura es un sector específico, descartamos que tal consideración integre nuestro análisis pues, según doctrina constitucional reiterada (por todas, SSTC 87/1987, de 2 de junio; 152/2003, de 17 de julio; y 212/2005, de 21 de julio), debe preponderar la regla competencial específica (en este caso la relativa a las denominaciones de origen) sobre la más genérica (en este caso la de agricultura). También conduce a descartar esta competencia el hecho de que el escrito de impugnación se limita a mencionarla, sin argumentar con base en ella la pretendida inconstitucionalidad de los preceptos impugnados, pues en un proceso contra leyes “correspond[e] al recurrente no sólo ponerlo en marcha mediante el ejercicio de su legitimación, sino concretar los motivos de la pretendida inconstitucionalidad y colaborar con la jurisdicción constitucional” (por todas, STC 49/2008, de 9 de abril, FJ 4), lo que no ha sucedido en el recurso interpuesto.</w:t>
      </w:r>
    </w:p>
    <w:p w:rsidR="0026452D" w:rsidRDefault="0026452D" w:rsidP="0026452D">
      <w:pPr>
        <w:pStyle w:val="TextoNormal"/>
      </w:pPr>
    </w:p>
    <w:p w:rsidR="0026452D" w:rsidRDefault="0026452D" w:rsidP="0026452D">
      <w:pPr>
        <w:pStyle w:val="TextoNormal"/>
      </w:pPr>
      <w:r w:rsidRPr="0026452D">
        <w:rPr>
          <w:rStyle w:val="NumeroAFNegritaCaracter"/>
        </w:rPr>
        <w:t>3</w:t>
      </w:r>
      <w:r>
        <w:t>. No habiendo duda alguna en el encuadre de los preceptos impugnados en la materia denominaciones de origen, el primer punto que plantea este proceso constitucional es de orden competencial y consiste en si los preceptos impugnados se incardinan en la competencia autonómica exclusiva sobre denominaciones de origen o, por el contrario, pueden entenderse dictados en ejercicio de las competencias estatales que la enmarcan.</w:t>
      </w:r>
    </w:p>
    <w:p w:rsidR="0026452D" w:rsidRDefault="0026452D" w:rsidP="0026452D">
      <w:pPr>
        <w:pStyle w:val="TextoNormal"/>
      </w:pPr>
    </w:p>
    <w:p w:rsidR="0026452D" w:rsidRDefault="0026452D" w:rsidP="0026452D">
      <w:pPr>
        <w:pStyle w:val="TextoNormal"/>
      </w:pPr>
      <w:r>
        <w:t>Para dirimir esta cuestión hemos de determinar, como paso previo, el alcance de los títulos competenciales que centran la controversia.</w:t>
      </w:r>
    </w:p>
    <w:p w:rsidR="0026452D" w:rsidRDefault="0026452D" w:rsidP="0026452D">
      <w:pPr>
        <w:pStyle w:val="TextoNormal"/>
      </w:pPr>
    </w:p>
    <w:p w:rsidR="0026452D" w:rsidRDefault="0026452D" w:rsidP="0026452D">
      <w:pPr>
        <w:pStyle w:val="TextoNormal"/>
      </w:pPr>
      <w:r>
        <w:t xml:space="preserve">a) La materia denominaciones de origen no aparece mencionada ni en el art. 148.1 CE ni en el art. 149.1 CE, por lo que, en virtud de la cláusula residual contenida en el art. 149.1.3 CE, corresponde a las Comunidades Autónomas que la asuman en sus respectivos Estatutos. El art. 12.1.5 EAC 1979 atribuía a la Generalitat competencia exclusiva sobre “las denominaciones de origen en colaboración con el Estado”, de acuerdo con las bases y la ordenación de la actividad económica general. El art. 128 EAC 2006, que en virtud de nuestra doctrina </w:t>
      </w:r>
      <w:r>
        <w:lastRenderedPageBreak/>
        <w:t xml:space="preserve">sobre el </w:t>
      </w:r>
      <w:r w:rsidRPr="0026452D">
        <w:rPr>
          <w:i/>
        </w:rPr>
        <w:t>ius superveniens</w:t>
      </w:r>
      <w:r>
        <w:t xml:space="preserve"> es el parámetro de constitucionalidad que debemos tener en cuenta, dispone, usando términos parcialmente distintos pero manteniendo una regulación similar al derogado art. 12.1.5 EAC 1979, que “corresponde a la Generalitat, respetando lo dispuesto en el artículo 149.1.13 CE, la competencia exclusiva sobre denominaciones de origen y otras menciones de calidad” (apartado 1) y que “las autoridades correspondientes colaboran en la protección de las denominaciones geográficas y de calidad catalanas fuera del territorio de Cataluña y ante las correspondientes instituciones de protección europeas e internacionales” (apartado 4), autoridades que, sin duda, son las estatales.</w:t>
      </w:r>
    </w:p>
    <w:p w:rsidR="0026452D" w:rsidRDefault="0026452D" w:rsidP="0026452D">
      <w:pPr>
        <w:pStyle w:val="TextoNormal"/>
      </w:pPr>
    </w:p>
    <w:p w:rsidR="0026452D" w:rsidRDefault="0026452D" w:rsidP="0026452D">
      <w:pPr>
        <w:pStyle w:val="TextoNormal"/>
      </w:pPr>
      <w:r>
        <w:t>Esta materia incluye, según el art. 128.1 del Estatuto de Autonomía de 2006, “a) [l]a determinación de los posibles niveles de protección de los productos y su régimen y condiciones, así como los derechos y las obligaciones que se derivan; b) [e]l régimen de titularidad de las denominaciones, respetando la legislación de propiedad industrial; c) [l]a regulación de las formas y las condiciones de producción y comercialización de los correspondientes productos, y el régimen sancionador aplicable; d) [e]l régimen de la organización administrativa de la denominación de origen, o mención de calidad, referida tanto a la gestión como al control de la producción y la comercialización”. Por tanto, sigue siendo actual en relación con esta Comunidad Autónoma la configuración de esta materia que hemos venido haciendo, según la que, expresándolo en palabras de la STC 112/1995, de 6 de julio, FJ 2, su núcleo fundamental “está constituido por un conjunto de actuaciones públicas relativas al procedimiento para efectuar las declaraciones de las denominaciones, a la fijación de las características esenciales que deben reunir los diversos productos para obtener esa protección pública, y al establecimiento y gestión de organismos y procedimientos de seguimiento, control, inspección y sanción tendentes a asegurar el cumplimiento de la normativa reseñada”.</w:t>
      </w:r>
    </w:p>
    <w:p w:rsidR="0026452D" w:rsidRDefault="0026452D" w:rsidP="0026452D">
      <w:pPr>
        <w:pStyle w:val="TextoNormal"/>
      </w:pPr>
    </w:p>
    <w:p w:rsidR="0026452D" w:rsidRDefault="0026452D" w:rsidP="0026452D">
      <w:pPr>
        <w:pStyle w:val="TextoNormal"/>
      </w:pPr>
      <w:r>
        <w:t>b) La competencia autonómica exclusiva en materia de denominaciones de origen aparece enmarcada, según se desprende de la normativa estatutaria citada —tanto del art. 128 EAC 2006 como del derogado 12.1.5 EAC 1979— y de la reiterada doctrina constitucional recaída en relación con este último precepto, por dos competencias estatales. De un lado, la previsión estatutaria de que esta competencia autonómica se ejercitará en colaboración con el Estado y, de otro, la competencia sobre las bases y coordinación de la planificación general de la actividad económica que reconoce al Estado el art. 149.1.13 CE. Respecto de esta última, en la STC 31/2010, de 28 de junio, FJ 75 hemos afirmado que “[l]as denominaciones de origen no figuran entre las materias enunciadas en el art. 149.1 CE, por lo que el Estado no puede dictar normas básicas o, en general, normas sobre la materia si ésta ha sido atribuida estatutariamente a las Comunidades Autónomas (STC 112/1995, de 6 de julio, FJ 4) … Evidentemente ello no impide su posible conexión con cualesquiera de los títulos estatales relacionados en el art. 149.1. CE, muy singularmente con el contenido en la regla 13 (ordenación de la economía)”.</w:t>
      </w:r>
    </w:p>
    <w:p w:rsidR="0026452D" w:rsidRDefault="0026452D" w:rsidP="0026452D">
      <w:pPr>
        <w:pStyle w:val="TextoNormal"/>
      </w:pPr>
    </w:p>
    <w:p w:rsidR="0026452D" w:rsidRDefault="0026452D" w:rsidP="0026452D">
      <w:pPr>
        <w:pStyle w:val="TextoNormal"/>
      </w:pPr>
      <w:r w:rsidRPr="0026452D">
        <w:rPr>
          <w:rStyle w:val="NumeroAFNegritaCaracter"/>
        </w:rPr>
        <w:t>4</w:t>
      </w:r>
      <w:r>
        <w:t>. Veamos a continuación, y por separado, el alcance que, según nuestra doctrina, tienen estos dos títulos competenciales estatales, con especial atención a su relación con la competencia autonómica exclusiva sobre denominaciones de origen.</w:t>
      </w:r>
    </w:p>
    <w:p w:rsidR="0026452D" w:rsidRDefault="0026452D" w:rsidP="0026452D">
      <w:pPr>
        <w:pStyle w:val="TextoNormal"/>
      </w:pPr>
    </w:p>
    <w:p w:rsidR="0026452D" w:rsidRDefault="0026452D" w:rsidP="0026452D">
      <w:pPr>
        <w:pStyle w:val="TextoNormal"/>
      </w:pPr>
      <w:r>
        <w:t xml:space="preserve">a) En la STC 11/1986, de 28 de enero —y luego en las SSTC 186/1988, de 17 de octubre; 209/1989, de 15 de diciembre; 211/1990, de 20 de diciembre y 112/1995, de 6 de julio— este Tribunal hizo una exégesis integradora de la calificación estatutaria de esta competencia </w:t>
      </w:r>
      <w:r>
        <w:lastRenderedPageBreak/>
        <w:t xml:space="preserve">autonómica sobre denominaciones de origen como “exclusiva”, poniéndola en relación con la cláusula “en colaboración con el Estado </w:t>
      </w:r>
      <w:r w:rsidRPr="0026452D">
        <w:rPr>
          <w:i/>
        </w:rPr>
        <w:t>ex</w:t>
      </w:r>
      <w:r>
        <w:t xml:space="preserve"> 12.1.5 EAC 1979, recogida en el vigente art. 128.4 EAC. De acuerdo con esa jurisprudencia, han de tomarse en cuenta los elementos siguientes: a) la competencia autonómica no es una competencia compartida conforme a la técnica bases estatales </w:t>
      </w:r>
      <w:r w:rsidRPr="0026452D">
        <w:rPr>
          <w:i/>
        </w:rPr>
        <w:t>versus</w:t>
      </w:r>
      <w:r>
        <w:t xml:space="preserve"> desarrollo y ejecución autonómicas; b) tampoco es una competencia concurrente al modo que ocurre con la cultura en el art. 149.2 de la Constitución y de forma que Estado y Comunidades Autónomas ejerzan a la vez sus competencias concurriendo en la persecución de los objetivos culturales, pero con independencia el uno de las otras; c) ni hay una competencia estatal de coordinación de las competencias autonómicas para lograr la integración de actos parciales en una globalidad como puede ocurrir con la sanidad; d) la “competencia exclusiva en colaboración no implica una previa diferenciación de competencias parciales que el Estado haya de coordinar, sino una actuación que debe ser realizada bilateralmente en régimen de cooperación específica, sin que ello suponga duplicidades o actuaciones intercambiables”; e) de todo esto se concluye una regla de deslinde de funciones consistente en que “lo que puede hacer uno de los entes colaboradores no lo debe hacer el otro, de manera que sus actuaciones no son intercambiables sino complementarias”.</w:t>
      </w:r>
    </w:p>
    <w:p w:rsidR="0026452D" w:rsidRDefault="0026452D" w:rsidP="0026452D">
      <w:pPr>
        <w:pStyle w:val="TextoNormal"/>
      </w:pPr>
    </w:p>
    <w:p w:rsidR="0026452D" w:rsidRDefault="0026452D" w:rsidP="0026452D">
      <w:pPr>
        <w:pStyle w:val="TextoNormal"/>
      </w:pPr>
      <w:r>
        <w:t>La consecuencia relevante de esta interpretación, en términos de delimitación competencial, es que “[l]a Generalitat tiene, por consiguiente, competencia para aprobar, modificar, y ordenar la publicación de reglamentos de denominaciones de origen, viniendo obligada a remitir o notificar su orden al Ministerio de Agricultura, con el fin de hacer posible o facilitar la competencia de colaboración estatal (así se reconoció en la STC 11/1986, FJ 4. Pero esta obligación de remisión directa no proporciona al Estado una competencia de control sobre la publicación de la Orden, que no sería compatible con el carácter exclusivo de la competencia (</w:t>
      </w:r>
      <w:r w:rsidRPr="0026452D">
        <w:rPr>
          <w:i/>
        </w:rPr>
        <w:t>ibidem</w:t>
      </w:r>
      <w:r>
        <w:t>)” (STC 112/1995, de 6 de junio, FJ 3). No implica, sin embargo, un control que invada la competencia autonómica que el Estado, antes de publicar en el “Boletín Oficial del Estado” las denominaciones geográficas o de calidad aprobadas y notificadas por una Comunidad Autónoma, realice en desarrollo de dicho control una verificación reglada de la concurrencia tanto de las normas del bloque de la constitucionalidad atributivas de competencia como de las de la legalidad ordinaria, lo que resulta confirmado por el hecho de que el apartado 2 del art. 32 de la Ley 24/2003 señale que “si en ese mismo plazo el Ministerio de Agricultura, Pesca y Alimentación apreciara la existencia de motivos de ilegalidad, dejará en suspenso la publicación en el ‘Boletín Oficial del Estado’ y procederá a su impugnación ante la jurisdicción contencioso-administrativa”, precepto que no ha sido impugnado.</w:t>
      </w:r>
    </w:p>
    <w:p w:rsidR="0026452D" w:rsidRDefault="0026452D" w:rsidP="0026452D">
      <w:pPr>
        <w:pStyle w:val="TextoNormal"/>
      </w:pPr>
    </w:p>
    <w:p w:rsidR="0026452D" w:rsidRDefault="0026452D" w:rsidP="0026452D">
      <w:pPr>
        <w:pStyle w:val="TextoNormal"/>
      </w:pPr>
      <w:r>
        <w:t xml:space="preserve">b) Distinto de la referida competencia estatal de colaboración es el título competencial que atribuye al Estado las bases y la coordinación de la planificación general de la actividad económica (art. 149.1.13 CE). Sobre este punto, el Tribunal ha entendido que esta competencia no ha de confundirse con la potestad general de dictar bases en una determinada materia, en el sentido de establecer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(entre otras, SSTC 69/1988, de 19 de abril; 109/2003, de 5 de junio; y 136/2012, de 19 de junio). Por el contrario, este Tribunal ha declarado repetidamente desde la STC 95/1986, de 10 de julio (posteriormente, entre otras, en las SSTC 152/1988, </w:t>
      </w:r>
      <w:r>
        <w:lastRenderedPageBreak/>
        <w:t>de 20 de julio, y 188/1989, de 16 de noviembre), que las bases de la planificación general de la actividad económica consisten en el establecimiento de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(STC 135/2012, de 19 de junio, FJ 2), admitiendo así que esta competencia ampara todas las normas y actuaciones, sea cual sea su naturaleza, orientadas al logro de tales fines, entre los que la doctrina constitucional ha situado el de garantizar el mantenimiento de la unidad de mercado (SSTC 118/1996, de 27 de junio, FJ 10, y 208/1999, de 11 de noviembre, FJ 6) o de la “unidad económica” (SSTC 152/1988, de 20 de julio, FJ 2, 186/1988, de 17 de octubre, FJ 2, 96/1990, de 24 de mayo, FJ 3, y 146/1992, de 16 de octubre, FJ 2), pero también el de “alcanzar los objetivos de la política económica general o sectorial” (STC 96/1990, FJ 3, y en el mismo sentido SSTC 80/1985, FJ 1, y 188/1989, FJ 5), así como el de incidir en principios rectores de la política económica y social (SSTC 95/2002, FFJJ 7 y 11, seguida por las SSTC 190/2002, de 17 de octubre; 228/2003 y 230/2003, de 18 de diciembre).</w:t>
      </w:r>
    </w:p>
    <w:p w:rsidR="0026452D" w:rsidRDefault="0026452D" w:rsidP="0026452D">
      <w:pPr>
        <w:pStyle w:val="TextoNormal"/>
      </w:pPr>
    </w:p>
    <w:p w:rsidR="0026452D" w:rsidRDefault="0026452D" w:rsidP="0026452D">
      <w:pPr>
        <w:pStyle w:val="TextoNormal"/>
      </w:pPr>
      <w:r>
        <w:t>Descendiendo al sector que nos ocupa, en la STC 186/1988, de 17 de octubre, dijimos que “el Estado puede operar sobre el sector vitícola haciendo uso de su competencia para proceder a la ordenación general de la economía” (FJ 6) y, aplicando la concepción descrita de las bases de la planificación general de la actividad económica para resolver una controversia referida específicamente a la materia denominaciones de origen, afirmamos que “la ordenación general de la economía hace posible la intervención del Estado a través de medidas económicas en sectores materialmente atribuidos a la competencia de las Comunidades Autónomas, que no pueden quedar en ningún caso vacías de contenido a causa de la intervención estatal, que, a su vez, llegará hasta donde lo exija el principio que instrumenta, límite éste cuya observancia se deduce partiendo de la finalidad perseguida por las medidas en cada caso adoptadas” (FJ 8).</w:t>
      </w:r>
    </w:p>
    <w:p w:rsidR="0026452D" w:rsidRDefault="0026452D" w:rsidP="0026452D">
      <w:pPr>
        <w:pStyle w:val="TextoNormal"/>
      </w:pPr>
    </w:p>
    <w:p w:rsidR="0026452D" w:rsidRDefault="0026452D" w:rsidP="0026452D">
      <w:pPr>
        <w:pStyle w:val="TextoNormal"/>
      </w:pPr>
      <w:r>
        <w:t>De esta forma, el primer límite asegura que el ejercicio de la competencia estatal no elimina por completo la competencia autonómica colindante y la segunda de las condiciones, al requerir que haya un principio al que se encamine la intervención estatal y que ésta llegue solo hasta donde lo exija aquél, refleja el carácter directivo como nota que identifica las bases de la planificación general de la actividad económica y las distingue de la noción general de bases.</w:t>
      </w:r>
    </w:p>
    <w:p w:rsidR="0026452D" w:rsidRDefault="0026452D" w:rsidP="0026452D">
      <w:pPr>
        <w:pStyle w:val="TextoNormal"/>
      </w:pPr>
    </w:p>
    <w:p w:rsidR="0026452D" w:rsidRDefault="0026452D" w:rsidP="0026452D">
      <w:pPr>
        <w:pStyle w:val="TextoNormal"/>
      </w:pPr>
      <w:r>
        <w:t xml:space="preserve">En todo caso, al efecto de delimitar los contornos de esta competencia es también esencial considerar los criterios de la STC 112/1995, de 6 de julio, que resuelve un conflicto positivo de competencia planteado respecto del Real Decreto 157/1988, de 22 de febrero, por el que el Estado fija las normas a las que deben ajustarse las “denominaciones de origen” y “denominaciones de origen calificadas” de vinos, así como sus respectivos reglamentos. No separándose en nada del criterio previamente fijado en la citada STC 186/1988 y que acabamos de recordar, esta STC 112/1995 estableció como canon para decidir la controversia que “la facultad de fijar las bases y coordinar la planificación general de la actividad económica no puede ser confundida con la potestad general de dictar bases en materia de denominaciones de origen allí donde el Estado no posea esta competencia, si bien es claro que ‘el Estado puede operar sobre el sector vitícola haciendo uso de su competencia para proceder a la ordenación general de la economía (art. 149.1.13 CE), pero ello siempre que no vacíe de contenido las competencias de la Comunidad Autónoma sobre la viticultura’ </w:t>
      </w:r>
      <w:r>
        <w:lastRenderedPageBreak/>
        <w:t>(STC 186/1988, fundamento jurídico 6)”. Y esta es la misma doctrina que luego se recoge en la STC 44/2007, de 1 de marzo, FJ 7.</w:t>
      </w:r>
    </w:p>
    <w:p w:rsidR="0026452D" w:rsidRDefault="0026452D" w:rsidP="0026452D">
      <w:pPr>
        <w:pStyle w:val="TextoNormal"/>
      </w:pPr>
    </w:p>
    <w:p w:rsidR="0026452D" w:rsidRDefault="0026452D" w:rsidP="0026452D">
      <w:pPr>
        <w:pStyle w:val="TextoNormal"/>
      </w:pPr>
      <w:r>
        <w:t>La STC 112/1995 concluye, sin embargo, con una consideración ligada al caso concreto que allí se planteaba, caracterizado porque el Real Decreto 157/1988 allí impugnado no ordenaba el sector económico del vino sino exclusivamente las “denominaciones de origen” y “denominaciones de origen calificadas” de vino, según la que “no es esta competencia la que ha sido ejercida aquí. Los arts. 2 a 16 del decreto impugnado aparecen en el capítulo segundo del mismo, bajo la rúbrica “denominaciones de origen” y los arts. 17 a 21, en el capítulo tercero, bajo la rúbrica “denominaciones de origen cualificadas”. “Por consiguiente, con independencia de su contenido, es claro que no representan normas básicas de planificación general de la actividad económica en el sector, sino reglas específicas destinadas exclusivamente a regular las bases a las que han de ajustarse las denominaciones de origen y que, por lo tanto, no pueden ser de aplicación a las Comunidades Autónomas que hayan asumido la competencia exclusiva sobre esta particular materia”.</w:t>
      </w:r>
    </w:p>
    <w:p w:rsidR="0026452D" w:rsidRDefault="0026452D" w:rsidP="0026452D">
      <w:pPr>
        <w:pStyle w:val="TextoNormal"/>
      </w:pPr>
    </w:p>
    <w:p w:rsidR="0026452D" w:rsidRDefault="0026452D" w:rsidP="0026452D">
      <w:pPr>
        <w:pStyle w:val="TextoNormal"/>
      </w:pPr>
      <w:r w:rsidRPr="0026452D">
        <w:rPr>
          <w:rStyle w:val="NumeroAFNegritaCaracter"/>
        </w:rPr>
        <w:t>5</w:t>
      </w:r>
      <w:r>
        <w:t>. Delimitado el sentido y alcance de las competencias en conflicto, ya tenemos los elementos necesarios para enjuiciar si los arts. 22, 23, 25, 26 y 27 de la Ley 24/2003, en la parte en que son impugnados en este proceso, constituyen una intervención estatal incardinable en una de las competencias estatales mencionadas o, por no encontrar apoyo en tales títulos competenciales, invaden la competencia autonómica exclusiva en materia de denominaciones de origen.</w:t>
      </w:r>
    </w:p>
    <w:p w:rsidR="0026452D" w:rsidRDefault="0026452D" w:rsidP="0026452D">
      <w:pPr>
        <w:pStyle w:val="TextoNormal"/>
      </w:pPr>
    </w:p>
    <w:p w:rsidR="0026452D" w:rsidRDefault="0026452D" w:rsidP="0026452D">
      <w:pPr>
        <w:pStyle w:val="TextoNormal"/>
      </w:pPr>
      <w:r>
        <w:t>Antes de realizar ese análisis resulta imprescindible tomar en consideración el contexto normativo en que se integran los preceptos impugnados, que viene dado principalmente por la Ley 24/2003, de 10 de julio, de la viña y del vino. Esta ley tiene por objeto, según anuncia su art. 1, la ordenación básica, en el marco de la normativa de la Unión Europea, de la viña y el vino y, como parte de ella, la regulación, en defensa de productores y consumidores, de los niveles diferenciados de protección del origen y calidad de los vinos. En este punto la Ley de la viña y del vino establece, siguiendo la línea de la Ley 25/1970, de 2 de diciembre, pero con un contenido más flexible, algunos elementos del sistema de protección del origen y la calidad de los vinos (arts. 12 y ss.), remitiendo en lo demás de un modo expreso a la intervención de la legislación autonómica y de la normativa específica de cada nivel de protección, que concurren así a configurar dicho sistema.</w:t>
      </w:r>
    </w:p>
    <w:p w:rsidR="0026452D" w:rsidRDefault="0026452D" w:rsidP="0026452D">
      <w:pPr>
        <w:pStyle w:val="TextoNormal"/>
      </w:pPr>
    </w:p>
    <w:p w:rsidR="0026452D" w:rsidRDefault="0026452D" w:rsidP="0026452D">
      <w:pPr>
        <w:pStyle w:val="TextoNormal"/>
      </w:pPr>
      <w:r>
        <w:t xml:space="preserve">Destacan en ese sistema los llamados vinos de calidad producidos en una región determinada (vinos de calidad producidos en regiones determinadas en la terminología de la Ley) cuya definición se remite en el art. 20.1 de la Ley de la viña y del vino a la normativa comunitaria. Según establece el art. 118 ter del Reglamento CE 1234/2007, del Consejo, de 22 de octubre de 2007, esta categoría alude a los vinos cuyas características se vinculan con mayor o menor intensidad con su origen geográfico. Dentro de ella la Ley 24/2003 distingue varios niveles de protección: vinos de calidad con indicación geográfica, vinos con denominación de origen, vinos con denominación de origen calificada y vinos de pagos. A cada uno de esos niveles de protección se accede a instancias de los viticultores y elaboradores de vinos que ejerzan sus actividades en el área geográfica concernida (art. 28 de la Ley de la viña y del vino), que deberán acreditar tanto que el nombre geográfico que aspiran a ver protegido es suficientemente preciso y está relacionado con la zona geográfica delimitada, como la notoriedad de los vinos procedentes de la misma. Una vez instruido el expediente </w:t>
      </w:r>
      <w:r>
        <w:lastRenderedPageBreak/>
        <w:t xml:space="preserve">correspondiente, la Administración competente, que para los vinos procedentes de un área geográfica ubicada en el territorio de una sola comunidad autónoma será la Administración de ésta, </w:t>
      </w:r>
      <w:r w:rsidRPr="0026452D">
        <w:rPr>
          <w:i/>
        </w:rPr>
        <w:t>ex</w:t>
      </w:r>
      <w:r>
        <w:t xml:space="preserve"> art. 28.1 de la Ley de la viña y del vino, y, en otro caso, la del Estado, procede a reconocer el nivel de protección (art. 31 de la Ley).</w:t>
      </w:r>
    </w:p>
    <w:p w:rsidR="0026452D" w:rsidRDefault="0026452D" w:rsidP="0026452D">
      <w:pPr>
        <w:pStyle w:val="TextoNormal"/>
      </w:pPr>
    </w:p>
    <w:p w:rsidR="0026452D" w:rsidRDefault="0026452D" w:rsidP="0026452D">
      <w:pPr>
        <w:pStyle w:val="TextoNormal"/>
      </w:pPr>
      <w:r>
        <w:t>En el texto legal constituye la condición del reconocimiento de la protección de un nombre geográfico que cada uno de ellos cuente con una norma específica reguladora, con un órgano de gestión, en el que estarán representados los titulares de viñedos y bodegas inscritos en los registros establecidos en aquella norma, y con un sistema de control independiente del órgano de gestión.</w:t>
      </w:r>
    </w:p>
    <w:p w:rsidR="0026452D" w:rsidRDefault="0026452D" w:rsidP="0026452D">
      <w:pPr>
        <w:pStyle w:val="TextoNormal"/>
      </w:pPr>
    </w:p>
    <w:p w:rsidR="0026452D" w:rsidRDefault="0026452D" w:rsidP="0026452D">
      <w:pPr>
        <w:pStyle w:val="TextoNormal"/>
      </w:pPr>
      <w:r>
        <w:t>Mientras que en la preconstitucional Ley 25/1970, de 2 de diciembre, el reconocimiento definitivo por parte del Ministerio de Agricultura culminaba el proceso de constitución de una denominación de origen, en la Ley 24/2003 (art. 32), por el contrario y como hemos subrayado, se establece un trámite posterior al reconocimiento de un vino de calidad producido en una región determinada cuando éste se efectúa por una Comunidad Autónoma, pues tal reconocimiento, o aprobación en los términos del art. 32, será comunicada a la Administración del Estado con una certificación de las disposiciones correspondientes, a fin de proceder a su publicación en el “Boletín Oficial del Estado”, y ello a efectos de su protección nacional o internacional, ya que si la Administración estatal apreciara la existencia de motivos de ilegalidad dejará en suspenso la publicación e impugnará el reconocimiento ante el orden contencioso-administrativo.</w:t>
      </w:r>
    </w:p>
    <w:p w:rsidR="0026452D" w:rsidRDefault="0026452D" w:rsidP="0026452D">
      <w:pPr>
        <w:pStyle w:val="TextoNormal"/>
      </w:pPr>
    </w:p>
    <w:p w:rsidR="0026452D" w:rsidRDefault="0026452D" w:rsidP="0026452D">
      <w:pPr>
        <w:pStyle w:val="TextoNormal"/>
      </w:pPr>
      <w:r>
        <w:t>La protección de los nombres geográficos implica la prohibición de utilizarlos para la designación de otros productos del sector vitivinícola, salvo los supuestos amparados por la normativa comunitaria, y para la designación de vinos que no cumplan los requisitos del nivel de protección correspondiente. Finalmente, el sistema legal se completa con un régimen de infracciones y sanciones, que, como dice la exposición de motivos de la Ley de la viña y del vino, se establece “en una norma de rango legal en cumplimiento del principio de legalidad”, teniendo el carácter de normativa básica “únicamente aquellos preceptos que por su trascendencia juegan como niveladores del sistema sancionador, de manera que aseguren unos criterios de mínima y básica homogeneidad al conjunto del sistema”.</w:t>
      </w:r>
    </w:p>
    <w:p w:rsidR="0026452D" w:rsidRDefault="0026452D" w:rsidP="0026452D">
      <w:pPr>
        <w:pStyle w:val="TextoNormal"/>
      </w:pPr>
    </w:p>
    <w:p w:rsidR="0026452D" w:rsidRDefault="0026452D" w:rsidP="0026452D">
      <w:pPr>
        <w:pStyle w:val="TextoNormal"/>
      </w:pPr>
      <w:r>
        <w:t>En definitiva, la Ley de la viña y del vino, apreciando la importancia que tiene en España el cultivo, la elaboración y la comercialización de vino, persigue establecer criterios generales de ordenación del entero sector vitícola orientados a evitar que la divergencia radical entre las distintas normativas autonómicas obstaculice gravemente la unidad de mercado o, introduciendo confusión, haga ineficaz la intervención pública en ese ámbito de la economía, y en este contexto se inscribe la regulación que hace de los vinos con denominación de origen (art. 22), de los vinos con denominación de origen calificada (art. 23) y de los sistemas de gestión y control de los vinos de calidad producidos en regiones determinadas (arts. 25, 26 y 27).</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Una actuación estatal en tal sentido, en la medida que condiciona el ejercicio de la competencia autonómica exclusiva sobre denominaciones de origen ex art. 128 EAC, no puede hallar sustento en la competencia estatal de colaboración que el propio precepto estatutario reconoce, pues ésta, como señalamos más atrás, autoriza una verificación reglada </w:t>
      </w:r>
      <w:r>
        <w:lastRenderedPageBreak/>
        <w:t>del ajuste de la acción autonómica a la normativa vigente, seguida en su caso de la consecuente impugnación ante los tribunales de justicia, pero no la aprobación de normas que al sujetar el desarrollo de la competencia autonómica limiten su carácter exclusivo.</w:t>
      </w:r>
    </w:p>
    <w:p w:rsidR="0026452D" w:rsidRDefault="0026452D" w:rsidP="0026452D">
      <w:pPr>
        <w:pStyle w:val="TextoNormal"/>
      </w:pPr>
    </w:p>
    <w:p w:rsidR="0026452D" w:rsidRDefault="0026452D" w:rsidP="0026452D">
      <w:pPr>
        <w:pStyle w:val="TextoNormal"/>
      </w:pPr>
      <w:r>
        <w:t>Distinto es el alcance de la competencia estatal para sentar bases de la planificación general de la actividad económica, pues ésta sí permite que el Estado, en aras de una finalidad que persigue garantizar, imponga una decisión normativa o ejecutiva que la instancia autonómica ha de tomar en cuenta al actuar una materia de su competencia exclusiva. Tendremos, por tanto, que verificar si los preceptos impugnados responden o no al esquema que caracteriza este título competencial.</w:t>
      </w:r>
    </w:p>
    <w:p w:rsidR="0026452D" w:rsidRDefault="0026452D" w:rsidP="0026452D">
      <w:pPr>
        <w:pStyle w:val="TextoNormal"/>
      </w:pPr>
    </w:p>
    <w:p w:rsidR="0026452D" w:rsidRDefault="0026452D" w:rsidP="0026452D">
      <w:pPr>
        <w:pStyle w:val="TextoNormal"/>
      </w:pPr>
      <w:r>
        <w:t>El Letrado de la Cámara recurrente considera que esta ponderación ya fue realizada por el Tribunal Constitucional en la STC 112/1995, de 6 de julio, donde se resolvió que los arts. 2 a 21 del Real Decreto 157/1988, de 22 de febrero, por el que el Estado fija las normas a las que deben ajustarse las “denominaciones de origen” y “denominaciones de origen calificadas de vinos”, así como sus respectivos reglamentos, “con independencia de su contenido, no representan normas básicas de planificación general de la actividad económica en el sector, sino reglas específicas destinadas exclusivamente a regular las bases a las que han de ajustarse las denominaciones de origen”.</w:t>
      </w:r>
    </w:p>
    <w:p w:rsidR="0026452D" w:rsidRDefault="0026452D" w:rsidP="0026452D">
      <w:pPr>
        <w:pStyle w:val="TextoNormal"/>
      </w:pPr>
    </w:p>
    <w:p w:rsidR="0026452D" w:rsidRDefault="0026452D" w:rsidP="0026452D">
      <w:pPr>
        <w:pStyle w:val="TextoNormal"/>
      </w:pPr>
      <w:r>
        <w:t xml:space="preserve">No podemos acoger esta alegación, pues el objeto de la impugnación en este proceso difiere de aquél y la distinción entre ambos se conecta con lo que allí fue el criterio decisorio. En efecto, en aquel proceso se enjuiciaba una norma cuyo único objeto era regular las “denominaciones de origen” y “denominaciones de origen calificadas” de vinos, por lo que era lógico decir que los preceptos allí impugnados, con independencia de su contenido, no contenían la ordenación general de un sector económico sino solamente “reglas específicas destinadas exclusivamente a regular las bases a las que han de ajustarse las denominaciones de origen”. Este recurso de inconstitucionalidad, por el contrario, tiene por objeto unos preceptos que, si bien disciplinan las “denominaciones de origen” y “denominaciones de origen calificadas” de vinos, se insertan en el contexto más amplio de la Ley de la viña y del vino, integrando una parte de la ordenación general del sector vitícola que en dicha Ley se hace, y, en consecuencia, dirigiéndose a los objetivos a que dicha ordenación general tiende. Es por ello que </w:t>
      </w:r>
      <w:r w:rsidRPr="0026452D">
        <w:rPr>
          <w:i/>
        </w:rPr>
        <w:t>a priori</w:t>
      </w:r>
      <w:r>
        <w:t xml:space="preserve"> no se puede descartar, como sí se hizo en la STC 112/1995, que los preceptos impugnados constituyan un ejercicio lícito de la competencia atribuida al Estado por el art. 149.1.13 CE.</w:t>
      </w:r>
    </w:p>
    <w:p w:rsidR="0026452D" w:rsidRDefault="0026452D" w:rsidP="0026452D">
      <w:pPr>
        <w:pStyle w:val="TextoNormal"/>
      </w:pPr>
    </w:p>
    <w:p w:rsidR="0026452D" w:rsidRDefault="0026452D" w:rsidP="0026452D">
      <w:pPr>
        <w:pStyle w:val="TextoNormal"/>
      </w:pPr>
      <w:r>
        <w:t>Admitido que la regulación estatal de las denominaciones de origen, cuando se realiza como parte integrante de la disciplina general del sector económico del vino, puede, al menos como hipótesis, estar sustentada en la competencia que atribuye al Estado el art. 149.1.13 CE, procede examinar si en este caso concurren los elementos para que así ocurra.</w:t>
      </w:r>
    </w:p>
    <w:p w:rsidR="0026452D" w:rsidRDefault="0026452D" w:rsidP="0026452D">
      <w:pPr>
        <w:pStyle w:val="TextoNormal"/>
      </w:pPr>
    </w:p>
    <w:p w:rsidR="0026452D" w:rsidRDefault="0026452D" w:rsidP="0026452D">
      <w:pPr>
        <w:pStyle w:val="TextoNormal"/>
      </w:pPr>
      <w:r>
        <w:t xml:space="preserve">Para determinarlo hemos de seguir la doctrina constitucional que consignamos en la STC 186/1988, de 17 de octubre, FJ 7, donde puntualizamos que “la ordenación general de la economía hace posible la intervención del Estado a través de medidas económicas en sectores materialmente atribuidos a la competencia de las Comunidades Autónomas, que no pueden quedar en ningún caso vacías de contenido a causa de la intervención estatal, que, a su vez, llegará hasta donde lo exija el principio que instrumenta, límite éste cuya observancia se deduce partiendo de la finalidad perseguida por las medidas en cada caso adoptadas”. </w:t>
      </w:r>
      <w:r>
        <w:lastRenderedPageBreak/>
        <w:t>Por ello nuestro análisis consistirá en verificar si las líneas directrices y criterios generales con los que la Ley de la viña y del vino vertebra el sector vitícola son o no objetivos de política sectorial que el Estado puede fijar legítimamente al amparo del art. 149.1.13 CE y, a continuación, en comprobar si los preceptos impugnados se orientan a asegurar la efectividad de esos principios y no van más allá de lo que ellos exijan, así como que no vacían de contenido la competencia autonómica.</w:t>
      </w:r>
    </w:p>
    <w:p w:rsidR="0026452D" w:rsidRDefault="0026452D" w:rsidP="0026452D">
      <w:pPr>
        <w:pStyle w:val="TextoNormal"/>
      </w:pPr>
    </w:p>
    <w:p w:rsidR="0026452D" w:rsidRDefault="0026452D" w:rsidP="0026452D">
      <w:pPr>
        <w:pStyle w:val="TextoNormal"/>
      </w:pPr>
      <w:r w:rsidRPr="0026452D">
        <w:rPr>
          <w:rStyle w:val="NumeroAFNegritaCaracter"/>
        </w:rPr>
        <w:t>7</w:t>
      </w:r>
      <w:r>
        <w:t>. Previamente debemos recordar que la representación de la recurrente formula una objeción general, según la cual no se aprecia que los preceptos calificados como básicos puedan tener alguna incidencia respecto a la planificación general de la economía española en el ámbito de la viticultura, en la medida en que está condicionada y en buena parte absorbida por la política agrícola común europea. Hemos de rechazar esta alegación, pues que la normativa europea condicione y en buena parte absorba la planificación general de la economía española en el sector del vino, lejos de justificar que al Estado no le resta espacio para dictar normas que realicen esa función, supone el reconocimiento de que en esa materia pueden establecerse reglas que, con el objeto de diseñar una planificación general del sector, señalen las líneas directrices y criterios generales que han de presidir su organización, así como preverse medidas instrumentadas a la realización de aquéllos. Además, dado que la intervención del Derecho comunitario europeo no altera el reparto constitucional de competencias [STC 99/2012, de 11 de febrero, FJ 2 b)], dicha planificación general del sector del vino corresponde, por efecto de la atribución que se sigue del art. 149.1.13 CE, al Estado, que podrá limitarse a trasponer la parte de aquél que contenga esa planificación general o, respetándola, optar por una ordenación del sector más intensa, siempre, claro está, sin ir más allá de los límites del título competencial que le habilita.</w:t>
      </w:r>
    </w:p>
    <w:p w:rsidR="0026452D" w:rsidRDefault="0026452D" w:rsidP="0026452D">
      <w:pPr>
        <w:pStyle w:val="TextoNormal"/>
      </w:pPr>
    </w:p>
    <w:p w:rsidR="0026452D" w:rsidRDefault="0026452D" w:rsidP="0026452D">
      <w:pPr>
        <w:pStyle w:val="TextoNormal"/>
      </w:pPr>
      <w:r>
        <w:t>Esta conclusión, por lo demás, ya tuvo ocasión de formularla este Tribunal cuando en la STC 128/1999, de 1 de julio, FJ 9, afirmamos que “debemos partir de que el Estado, al amparo del art. 149.1.13 CE, puede, en desarrollo y aplicación del reglamento (CEE) núm. 2.328/91, llevar a cabo una programación general para España de la ‘acción común’ contenida en dicho reglamento comunitario, ya que aquella competencia cobija ‘tanto las normas estatales que fijan las líneas directrices y los criterios globales de ordenación de un sector concreto, como las previsiones de acciones o medidas singulares que sean necesarias para alcanzar los fines propuestos dentro de la ordenación de cada sector’ (STC 213/1994, fundamento jurídico 4, entre otras muchas) y dicha competencia no resulta alterada por el hecho de que se trate de desarrollar un reglamento comunitario, según hemos declarado con reiteración (SSTC 252/1988, 64/1991, 76/1991, 115/1991, 236/1991,79/1992)”.</w:t>
      </w:r>
    </w:p>
    <w:p w:rsidR="0026452D" w:rsidRDefault="0026452D" w:rsidP="0026452D">
      <w:pPr>
        <w:pStyle w:val="TextoNormal"/>
      </w:pPr>
    </w:p>
    <w:p w:rsidR="0026452D" w:rsidRDefault="0026452D" w:rsidP="0026452D">
      <w:pPr>
        <w:pStyle w:val="TextoNormal"/>
      </w:pPr>
      <w:r>
        <w:t xml:space="preserve">De lo anterior se infiere que no nos corresponde verificar la corrección de la afirmación de que la normativa europea condiciona y en buena parte absorbe la planificación general de la economía española en el sector del vino, que en términos abstractos nos plantea el recurrente. Nuestro enjuiciamiento debe circunscribirse a determinar si las concretas normas impugnadas pueden considerarse o no dictadas en el ejercicio legítimo de la competencia que el art. 149.1.3 CE atribuye al Estado, pues como hemos señalado en diversas ocasiones en relación con las directivas europeas y el mismo criterio cabe aplicar a las disposiciones internas que traen causa de reglamentos comunitarios, “el hecho de que las Directivas europeas tengan como finalidad la de homogeneizar, aproximar o armonizar los distintos ordenamientos y que sean de obligado cumplimiento por todas las autoridades o instituciones, centrales y descentralizadas, de los Estados miembros y que, incluso, puedan tener un efecto </w:t>
      </w:r>
      <w:r>
        <w:lastRenderedPageBreak/>
        <w:t>directo, no significa que las normas estatales que las adapten a nuestro ordenamiento deban ser consideradas necesariamente ‘básicas’.” (STC 102/1995, de 26 de junio, FJ 14; en el mismo sentido SSTC 141/1993, de 22 de abril, FJ 2, y 13/1998, de 22 de enero, FJ 3).</w:t>
      </w:r>
    </w:p>
    <w:p w:rsidR="0026452D" w:rsidRDefault="0026452D" w:rsidP="0026452D">
      <w:pPr>
        <w:pStyle w:val="TextoNormal"/>
      </w:pPr>
    </w:p>
    <w:p w:rsidR="0026452D" w:rsidRDefault="0026452D" w:rsidP="0026452D">
      <w:pPr>
        <w:pStyle w:val="TextoNormal"/>
      </w:pPr>
      <w:r w:rsidRPr="0026452D">
        <w:rPr>
          <w:rStyle w:val="NumeroAFNegritaCaracter"/>
        </w:rPr>
        <w:t>8</w:t>
      </w:r>
      <w:r>
        <w:t>. Los Letrados del Parlamento de Cataluña sostienen, además, que la Ley de la viña y del vino “no define en ningún lugar cuáles pudieran ser esos fines y objetivos de política económica nacional en el ámbito de la vitivinicultura que justificaran la intervención normativa del Estado” y también que “los artículos que la Disposición Final Segunda declara como legislación básica y que son objeto de este recurso de inconstitucionalidad se refieren a aspectos materiales que entran de lleno en el núcleo fundamental de la competencia exclusiva de la Generalidad de Cataluña sobre denominaciones de origen, según fue definido en el fundamento jurídico 2, de la STC 112/1995”.</w:t>
      </w:r>
    </w:p>
    <w:p w:rsidR="0026452D" w:rsidRDefault="0026452D" w:rsidP="0026452D">
      <w:pPr>
        <w:pStyle w:val="TextoNormal"/>
      </w:pPr>
    </w:p>
    <w:p w:rsidR="0026452D" w:rsidRDefault="0026452D" w:rsidP="0026452D">
      <w:pPr>
        <w:pStyle w:val="TextoNormal"/>
      </w:pPr>
      <w:r>
        <w:t>Debemos constatar, en relación con esta última alegación, que en la STC 112/1995 el Tribunal no enjuició el contenido de los arts. 2 a 21 del Real Decreto 157/1988, pues expresamente resolvió que “con independencia de su contenido, no representan normas básicas de planificación general de la actividad económica en el sector, sino reglas específicas destinadas exclusivamente a regular las bases a las que han de ajustarse las denominaciones de origen”. Por ello, no cabe afirmar que los preceptos impugnados, por la sola circunstancia que sus mandatos pudieran ser idénticos o parcialmente iguales a los del Real Decreto 157/1988, se refieren a aspectos materiales que entran de lleno en el núcleo fundamental de la competencia exclusiva de la Generalitat de Cataluña sobre denominaciones de origen.</w:t>
      </w:r>
    </w:p>
    <w:p w:rsidR="0026452D" w:rsidRDefault="0026452D" w:rsidP="0026452D">
      <w:pPr>
        <w:pStyle w:val="TextoNormal"/>
      </w:pPr>
    </w:p>
    <w:p w:rsidR="0026452D" w:rsidRDefault="0026452D" w:rsidP="0026452D">
      <w:pPr>
        <w:pStyle w:val="TextoNormal"/>
      </w:pPr>
      <w:r>
        <w:t>Además, a partir de la comparación de ambas normas, también constatamos que la Ley 24/2003 y el Real Decreto 157/1988 difieren sustancialmente en cuanto a su contenido, pues el segundo establecía exhaustivamente las reglas básicas a que debían sujetarse todas las denominaciones de origen, cosa que no hace la primera. Entre los extremos que regulaba aquél y no ésta destacan, entre otros, el contenido mínimo de los reglamentos de las denominaciones de origen (art. 2), la delimitación de la zona de producción (art. 3), las variedades de vid a incluir en cada reglamento como aptas para obtener vino con denominación de origen (art. 4), las prácticas culturales (art. 6), la zona de crianza (art. 7), el sistema de elaboración y envejecimiento (art. 8), las normas relativas a los consejos reguladores y a los registros que debían llevar (arts. 11 a 15).</w:t>
      </w:r>
    </w:p>
    <w:p w:rsidR="0026452D" w:rsidRDefault="0026452D" w:rsidP="0026452D">
      <w:pPr>
        <w:pStyle w:val="TextoNormal"/>
      </w:pPr>
    </w:p>
    <w:p w:rsidR="0026452D" w:rsidRDefault="0026452D" w:rsidP="0026452D">
      <w:pPr>
        <w:pStyle w:val="TextoNormal"/>
      </w:pPr>
      <w:r>
        <w:t>Por todo lo expuesto, no resultando de nuestra doctrina la conclusión automática alegada por los recurrentes, se hace imprescindible verificar precepto por precepto si, dado su contenido, están o no orientados a la realización efectiva de los criterios generales ordenadores del sector del vino y, si estándolo, no se exceden de lo que éstos requieren ni vacían de contenido la competencia autonómica.</w:t>
      </w:r>
    </w:p>
    <w:p w:rsidR="0026452D" w:rsidRDefault="0026452D" w:rsidP="0026452D">
      <w:pPr>
        <w:pStyle w:val="TextoNormal"/>
      </w:pPr>
    </w:p>
    <w:p w:rsidR="0026452D" w:rsidRDefault="0026452D" w:rsidP="0026452D">
      <w:pPr>
        <w:pStyle w:val="TextoNormal"/>
      </w:pPr>
      <w:r w:rsidRPr="0026452D">
        <w:rPr>
          <w:rStyle w:val="NumeroAFNegritaCaracter"/>
        </w:rPr>
        <w:t>9</w:t>
      </w:r>
      <w:r>
        <w:t xml:space="preserve">. Centrado de este modo el enjuiciamiento que nos corresponde en este asunto, debemos constatar que las alegaciones de los recurrentes, que han quedado referidas con detalle en el fundamento jurídico precedente, no contienen una argumentación precisa de por qué a su juicio los preceptos impugnados no responden a la noción de bases de la planificación general de la actividad económica. Se trata, por ello, de una impugnación genérica, lo cual es de especial relevancia a la luz de la doctrina constitucional según la que “tratándose del legislador democrático no podemos perder de vista que la presunción de constitucionalidad ocupa un lugar destacado en el desarrollo de dicho control, correspondiendo al recurrente </w:t>
      </w:r>
      <w:r>
        <w:lastRenderedPageBreak/>
        <w:t xml:space="preserve">no sólo ponerlo en marcha mediante el ejercicio de su legitimación, sino concretar los motivos de la pretendida inconstitucionalidad y colaborar con la jurisdicción constitucional” (por todas, STC 49/2008, de 9 de abril, FJ 4), y a pesar de ello procederemos en los fundamentos jurídicos siguientes al análisis de los preceptos impugnados, comenzando por verificar si los principios del sector del vino sentados por la Ley de la viña y del vino, y a cuya realización se orientan las previsiones recurridas de los arts. 22, 23, 25, 26 y 27, cabe considerarlos, de acuerdo con nuestra doctrina, como objetivos que el Estado puede legítimamente perseguir al amparo de su competencia relativa a la ordenación general de la economía </w:t>
      </w:r>
      <w:r w:rsidRPr="0026452D">
        <w:rPr>
          <w:i/>
        </w:rPr>
        <w:t>ex</w:t>
      </w:r>
      <w:r>
        <w:t xml:space="preserve"> art. 149.1.13 CE.</w:t>
      </w:r>
    </w:p>
    <w:p w:rsidR="0026452D" w:rsidRDefault="0026452D" w:rsidP="0026452D">
      <w:pPr>
        <w:pStyle w:val="TextoNormal"/>
      </w:pPr>
    </w:p>
    <w:p w:rsidR="0026452D" w:rsidRDefault="0026452D" w:rsidP="0026452D">
      <w:pPr>
        <w:pStyle w:val="TextoNormal"/>
      </w:pPr>
      <w:r>
        <w:t>En este sentido, el sector vitivinícola, en virtud de los datos que suministra el apartado IV del preámbulo de la Ley de la viña y del vino, constituye sin duda un hecho económico relevante en la economía nacional. La STC 118/1996, de 27 de junio, aunque refiriéndose al sistema de transporte, reconoce que “lo que parece claro es que, si es un hecho económico de gran importancia, la posibilidad de que el Estado, para ajustarlo al objetivo constitucionalmente legítimo de llevar a cabo una política económica común (STC 96/1984, de 19 de octubre) y para adecuarlo a las exigencias de unidad de la economía nacional que requiere un mercado único (STC 64/1990, de 5 de abril), establezca criterios generales a tener en cuenta a la hora de efectuar el desarrollo normativo con tal de que se limiten a asegurar en ese sector específico la unidad de los principios básicos del orden económico, es constitucionalmente legítima”.</w:t>
      </w:r>
    </w:p>
    <w:p w:rsidR="0026452D" w:rsidRDefault="0026452D" w:rsidP="0026452D">
      <w:pPr>
        <w:pStyle w:val="TextoNormal"/>
      </w:pPr>
    </w:p>
    <w:p w:rsidR="0026452D" w:rsidRDefault="0026452D" w:rsidP="0026452D">
      <w:pPr>
        <w:pStyle w:val="TextoNormal"/>
      </w:pPr>
      <w:r>
        <w:t>Reiteradamente en nuestra doctrina hemos aceptado que, tratándose de un sector de importancia para la economía general, como hemos visto que es el del vino, el Estado puede, en ejercicio de la competencia que le atribuye el art. 149.1.13 CE, fijar objetivos de política sectorial (SSTC 80/1985, de 4 de julio, FJ 1; 188/1989, de 16 de noviembre, FJ 5; STC 96/1990, de 24 de mayo, FJ 3). Por referirnos a los supuestos más recientes, el Tribunal ha admitido en la STC 26/2012, de 1 de marzo, FJ 5, que el Estado imponga un marco más flexible y transparente para el acceso y ejercicio de actividades en el sector servicios (disponiendo al efecto que deben de eliminarse todos aquellos regímenes de autorización que no estén justificados por una razón imperiosa de interés general); en la STC 135/2012, de 19 de junio, FJ 4, que el Estado haya optado por un sistema económico integrado en el sector del transporte y distribución de gas (fijando para que ese objetivo se logre de un modo eficaz una serie de criterios uniformes que vinculan la autorización de instalaciones); en las SSTC 170/2012, de 4 de octubre, FJ 10, y 233/2012, de 13 de diciembre, FJ 2 y 4, que el Estado señale el objetivo de favorecer una mayor competencia dentro del sector de la distribución minorista de productos petrolíferos, estableciendo en orden a su materialización (a) la incorporación de estaciones de servicio en los establecimientos comerciales de nueva apertura como medio de aumentar el número de oferentes; (b) la previsión de silencio positivo respecto de la licencias municipales necesarias para su construcción y puesta en funcionamiento en los centros que estuvieren operativos a la entrada en vigor de la norma.</w:t>
      </w:r>
    </w:p>
    <w:p w:rsidR="0026452D" w:rsidRDefault="0026452D" w:rsidP="0026452D">
      <w:pPr>
        <w:pStyle w:val="TextoNormal"/>
      </w:pPr>
    </w:p>
    <w:p w:rsidR="0026452D" w:rsidRDefault="0026452D" w:rsidP="0026452D">
      <w:pPr>
        <w:pStyle w:val="TextoNormal"/>
      </w:pPr>
      <w:r>
        <w:t>También en el concreto sector del vino este Tribunal ha reconocido que el Estado puede en virtud de esta competencia perseguir objetivos de política sectorial. Así en la STC 186/1988, de 17 de octubre, admitimos la licitud constitucional de una norma mediante la que el Estado, actuando su competencia en materia de ordenación general de la economía, perseguía “fomentar el mercado nacional e internacional de caldos de calidad y aumentar la competitividad de la producción vitivinícola nacional” (FJ 7).</w:t>
      </w:r>
    </w:p>
    <w:p w:rsidR="0026452D" w:rsidRDefault="0026452D" w:rsidP="0026452D">
      <w:pPr>
        <w:pStyle w:val="TextoNormal"/>
      </w:pPr>
    </w:p>
    <w:p w:rsidR="0026452D" w:rsidRDefault="0026452D" w:rsidP="0026452D">
      <w:pPr>
        <w:pStyle w:val="TextoNormal"/>
      </w:pPr>
      <w:r>
        <w:t>Con este bagaje de doctrina constitucional estamos en condiciones de examinar los principios fijados por el legislador estatal en la Ley de la viña y del vino, y a cuyo logro se orientan las medidas singulares previstas en los arts. 22, 23, 25, 26 y 27 que en este proceso se recurren, y decidir si son o no son objetivos que el Estado puede legítimamente perseguir al amparo de su competencia relativa a la ordenación general de la economía ex art. 149.1.13 CE. Debemos puntualizar antes de nada que a este Tribunal, con ocasión de este control, no le corresponde enunciar qué criterios generales articuladores del sector del vino pudieran tener tal consideración, sino solamente, partiendo de los objetivos señalados por el legislador estatal, resolver si son o no ejercicio legítimo de tal competencia estatal.</w:t>
      </w:r>
    </w:p>
    <w:p w:rsidR="0026452D" w:rsidRDefault="0026452D" w:rsidP="0026452D">
      <w:pPr>
        <w:pStyle w:val="TextoNormal"/>
      </w:pPr>
    </w:p>
    <w:p w:rsidR="0026452D" w:rsidRDefault="0026452D" w:rsidP="0026452D">
      <w:pPr>
        <w:pStyle w:val="TextoNormal"/>
      </w:pPr>
      <w:r>
        <w:t>Pues bien, la Ley de la viña y del vino, como parte esencial de la ordenación del sector vitivinícola, prevé en su art. 12, que no ha sido impugnado en este proceso constitucional, que “el sistema de protección del origen y la calidad de los vinos se basará en los siguientes principios: a) Asegurar la calidad y mantener la diversidad de los vinos; b) proporcionar a los operadores condiciones de competencia leal; c) Garantizar la protección de los consumidores y el cumplimiento del principio general de veracidad y demostrabilidad de la información que figure en el etiquetado; d) Permitir la progresión de los vinos en diferentes niveles con un grado de requisitos creciente …; e) Contar con un sistema para el control previsto en esta ley…”</w:t>
      </w:r>
    </w:p>
    <w:p w:rsidR="0026452D" w:rsidRDefault="0026452D" w:rsidP="0026452D">
      <w:pPr>
        <w:pStyle w:val="TextoNormal"/>
      </w:pPr>
    </w:p>
    <w:p w:rsidR="0026452D" w:rsidRDefault="0026452D" w:rsidP="0026452D">
      <w:pPr>
        <w:pStyle w:val="TextoNormal"/>
      </w:pPr>
      <w:r>
        <w:t>Sobre todo los dos primeros principios enunciados en el art. 12 de la Ley de la viña y del vino tienen una repercusión económica inmediata. De un lado, el regulador de este sector económico tiene muy presente que el consumo de vino en la Unión Europea disminuye de manera continua y desde 1996 el volumen de las exportaciones comunitarias de este producto aumenta a un ritmo mucho menor que el de las importaciones, todo lo cual se traduce en un deterioro del equilibrio entre la oferta y la demanda y, a su vez, repercute en los precios de producción y las rentas de los productores [considerando segundo del Reglamento (CE) 479/2008, de 29 de abril, por el que se establece la organización común del mercado vitivinícola].</w:t>
      </w:r>
    </w:p>
    <w:p w:rsidR="0026452D" w:rsidRDefault="0026452D" w:rsidP="0026452D">
      <w:pPr>
        <w:pStyle w:val="TextoNormal"/>
      </w:pPr>
    </w:p>
    <w:p w:rsidR="0026452D" w:rsidRDefault="0026452D" w:rsidP="0026452D">
      <w:pPr>
        <w:pStyle w:val="TextoNormal"/>
      </w:pPr>
      <w:r>
        <w:t>Por su parte, el Reglamento 1493/1999 del Consejo, de 17 de mayo, por el que se establecía la anterior organización común del mercado vitivinícola, ya reconocía la conexión entre la calidad de los vinos y el mejor funcionamiento de ese mercado al decir en su considerando 57 que “el desarrollo de una política de calidad en el sector agrícola, y especialmente en el sector vitivinícola, no puede sino contribuir a la mejora de las condiciones del mercado y, por ello mismo, al incremento de las salidas de los productos; la adopción de normas” y, en el mismo considerando, apuntaba el vínculo estrecho entre la intervención pública dirigida a la protección de los vinos y esa política de fomento de la calidad (“la adopción de normas comunitarias complementarias referentes a la producción y al control de los vcprd [vinos de calidad producidos en regiones determinadas] se inscribe en el marco de dicha política y puede contribuir a la consecución de los objetivos enunciados”).</w:t>
      </w:r>
    </w:p>
    <w:p w:rsidR="0026452D" w:rsidRDefault="0026452D" w:rsidP="0026452D">
      <w:pPr>
        <w:pStyle w:val="TextoNormal"/>
      </w:pPr>
    </w:p>
    <w:p w:rsidR="0026452D" w:rsidRDefault="0026452D" w:rsidP="0026452D">
      <w:pPr>
        <w:pStyle w:val="TextoNormal"/>
      </w:pPr>
      <w:r>
        <w:t xml:space="preserve">Por todo lo expuesto, podemos concluir que en un sector de gran importancia para la economía española, como es el mercado del vino, el aseguramiento de la calidad y diversidad de los vinos y el establecimiento de condiciones de competencia leal entre los operadores, en la medida que, al menos en hipótesis, pueden incidir de un modo determinante en el </w:t>
      </w:r>
      <w:r>
        <w:lastRenderedPageBreak/>
        <w:t xml:space="preserve">adecuado funcionamiento del mercado, deben ser considerados objetivos de política sectorial que el legislador estatal puede fijar en ejercicio de la competencia para la ordenación general de la economía </w:t>
      </w:r>
      <w:r w:rsidRPr="0026452D">
        <w:rPr>
          <w:i/>
        </w:rPr>
        <w:t>ex</w:t>
      </w:r>
      <w:r>
        <w:t xml:space="preserve"> art. 149.1.13 CE.</w:t>
      </w:r>
    </w:p>
    <w:p w:rsidR="0026452D" w:rsidRDefault="0026452D" w:rsidP="0026452D">
      <w:pPr>
        <w:pStyle w:val="TextoNormal"/>
      </w:pPr>
    </w:p>
    <w:p w:rsidR="0026452D" w:rsidRDefault="0026452D" w:rsidP="0026452D">
      <w:pPr>
        <w:pStyle w:val="TextoNormal"/>
      </w:pPr>
      <w:r>
        <w:t>Además de lo anterior, y quizá con mayor relevancia, constatamos que el legislador estatal, al señalar estos dos principios en el art. 12 de la Ley de la viña y del vino, no hace sino establecer como líneas directrices del sector del vino ciertos objetivos de política sectorial ya admitidos por nuestra doctrina como legítimo ejercicio de la competencia que le atribuye el art. 149.1.13 CE, como es el fomento en el mercado nacional e internacional de caldos de calidad y el aumento la competitividad de la producción vitivinícola nacional (STC 186/1988, de 17 de octubre, FJ 7).</w:t>
      </w:r>
    </w:p>
    <w:p w:rsidR="0026452D" w:rsidRDefault="0026452D" w:rsidP="0026452D">
      <w:pPr>
        <w:pStyle w:val="TextoNormal"/>
      </w:pPr>
    </w:p>
    <w:p w:rsidR="0026452D" w:rsidRDefault="0026452D" w:rsidP="0026452D">
      <w:pPr>
        <w:pStyle w:val="TextoNormal"/>
      </w:pPr>
      <w:r w:rsidRPr="0026452D">
        <w:rPr>
          <w:rStyle w:val="NumeroAFNegritaCaracter"/>
        </w:rPr>
        <w:t>10</w:t>
      </w:r>
      <w:r>
        <w:t>. Analizaremos a continuación si los preceptos impugnados contienen medidas directamente conectadas con el logro efectivo de esos criterios de ordenación general del sector del vino, pues ello nos dará el elemento decisivo para dirimir la controversia competencial que preside la primera parte de este recurso de inconstitucionalidad, esto es, si la intervención en el ámbito de las denominaciones de origen que suponen dichas normas está o no amparada por la competencia del Estado para dictar las bases de la planificación general de la economía.</w:t>
      </w:r>
    </w:p>
    <w:p w:rsidR="0026452D" w:rsidRDefault="0026452D" w:rsidP="0026452D">
      <w:pPr>
        <w:pStyle w:val="TextoNormal"/>
      </w:pPr>
    </w:p>
    <w:p w:rsidR="0026452D" w:rsidRDefault="0026452D" w:rsidP="0026452D">
      <w:pPr>
        <w:pStyle w:val="TextoNormal"/>
      </w:pPr>
      <w:r>
        <w:t>El art. 22 de la Ley de la viña y del vino, bajo la rúbrica “Vinos con denominación de origen”, dispone:</w:t>
      </w:r>
    </w:p>
    <w:p w:rsidR="0026452D" w:rsidRDefault="0026452D" w:rsidP="0026452D">
      <w:pPr>
        <w:pStyle w:val="TextoNormal"/>
      </w:pPr>
    </w:p>
    <w:p w:rsidR="0026452D" w:rsidRDefault="0026452D" w:rsidP="0026452D">
      <w:pPr>
        <w:pStyle w:val="TextoNormal"/>
      </w:pPr>
      <w:r>
        <w:t>“1. A los efectos de esta ley se entenderá por ‘denominación de origen’ el nombre de una región, comarca, localidad o lugar determinado que haya sido reconocido administrativamente para designar vinos que cumplan las siguientes condiciones:</w:t>
      </w:r>
    </w:p>
    <w:p w:rsidR="0026452D" w:rsidRDefault="0026452D" w:rsidP="0026452D">
      <w:pPr>
        <w:pStyle w:val="TextoNormal"/>
      </w:pPr>
    </w:p>
    <w:p w:rsidR="0026452D" w:rsidRDefault="0026452D" w:rsidP="0026452D">
      <w:pPr>
        <w:pStyle w:val="TextoNormal"/>
      </w:pPr>
      <w:r>
        <w:t>a) Haber sido elaborados en la región, comarca, localidad o lugar determinados con uvas procedentes de los mismos.</w:t>
      </w:r>
    </w:p>
    <w:p w:rsidR="0026452D" w:rsidRDefault="0026452D" w:rsidP="0026452D">
      <w:pPr>
        <w:pStyle w:val="TextoNormal"/>
      </w:pPr>
    </w:p>
    <w:p w:rsidR="0026452D" w:rsidRDefault="0026452D" w:rsidP="0026452D">
      <w:pPr>
        <w:pStyle w:val="TextoNormal"/>
      </w:pPr>
      <w:r>
        <w:t>b) Disfrutar de un elevado prestigio en el tráfico comercial en atención a su origen.</w:t>
      </w:r>
    </w:p>
    <w:p w:rsidR="0026452D" w:rsidRDefault="0026452D" w:rsidP="0026452D">
      <w:pPr>
        <w:pStyle w:val="TextoNormal"/>
      </w:pPr>
    </w:p>
    <w:p w:rsidR="0026452D" w:rsidRDefault="0026452D" w:rsidP="0026452D">
      <w:pPr>
        <w:pStyle w:val="TextoNormal"/>
      </w:pPr>
      <w:r>
        <w:t>c) Y cuya calidad y características se deban fundamental o exclusivamente al medio geográfico que incluye los factores naturales y humanos.</w:t>
      </w:r>
    </w:p>
    <w:p w:rsidR="0026452D" w:rsidRDefault="0026452D" w:rsidP="0026452D">
      <w:pPr>
        <w:pStyle w:val="TextoNormal"/>
      </w:pPr>
    </w:p>
    <w:p w:rsidR="0026452D" w:rsidRDefault="0026452D" w:rsidP="0026452D">
      <w:pPr>
        <w:pStyle w:val="TextoNormal"/>
      </w:pPr>
      <w:r>
        <w:t>2. Será requisito necesario para el reconocimiento de una denominación de origen que la región, comarca o lugar a la que se refiera hayan sido reconocidos previamente como ámbito geográfico de un vino de calidad con indicación geográfica con una antelación de, al menos, cinco años.</w:t>
      </w:r>
    </w:p>
    <w:p w:rsidR="0026452D" w:rsidRDefault="0026452D" w:rsidP="0026452D">
      <w:pPr>
        <w:pStyle w:val="TextoNormal"/>
      </w:pPr>
    </w:p>
    <w:p w:rsidR="0026452D" w:rsidRDefault="0026452D" w:rsidP="0026452D">
      <w:pPr>
        <w:pStyle w:val="TextoNormal"/>
      </w:pPr>
      <w:r>
        <w:t>3. Además de los criterios señalados en el artículo 15, la delimitación geográfica de una denominación de origen incluirá exclusivamente terrenos de especial aptitud para el cultivo de la vid.</w:t>
      </w:r>
    </w:p>
    <w:p w:rsidR="0026452D" w:rsidRDefault="0026452D" w:rsidP="0026452D">
      <w:pPr>
        <w:pStyle w:val="TextoNormal"/>
      </w:pPr>
    </w:p>
    <w:p w:rsidR="0026452D" w:rsidRDefault="0026452D" w:rsidP="0026452D">
      <w:pPr>
        <w:pStyle w:val="TextoNormal"/>
      </w:pPr>
      <w:r>
        <w:t>4. La gestión de la denominación de origen deberá estar encomendada a un órgano de gestión, denominado Consejo Regulador, en la forma que la normativa de la Administración pública competente determine.”</w:t>
      </w:r>
    </w:p>
    <w:p w:rsidR="0026452D" w:rsidRDefault="0026452D" w:rsidP="0026452D">
      <w:pPr>
        <w:pStyle w:val="TextoNormal"/>
      </w:pPr>
    </w:p>
    <w:p w:rsidR="0026452D" w:rsidRDefault="0026452D" w:rsidP="0026452D">
      <w:pPr>
        <w:pStyle w:val="TextoNormal"/>
      </w:pPr>
      <w:r>
        <w:lastRenderedPageBreak/>
        <w:t>La regulación de los tres primeros apartados está encaminada a la homologación básica del nivel de protección “denominación de origen”, evitando así que con un mismo nombre se designen cosas distintas, pues la consiguiente confusión que se introduciría en el mercado del vino enervaría la utilidad de estos signos distintivos, produciendo un perjuicio notorio e inmediato tanto en la calidad de los vinos como en las condiciones de competencia leal que se proporcionan a los operadores del sector en ámbitos tan relevantes como la producción, la elaboración y la comercialización, proceso que, en su conjunto, nos lleva a concluir, a partir de la finalidad que persiguen, que las medidas previstas en este art. 22 de la Ley de la viña y del vino, sirven a los criterios generales de ordenación del sector del vino y que no van más allá de lo requerido por los principios de protección de la calidad y de la competencia.</w:t>
      </w:r>
    </w:p>
    <w:p w:rsidR="0026452D" w:rsidRDefault="0026452D" w:rsidP="0026452D">
      <w:pPr>
        <w:pStyle w:val="TextoNormal"/>
      </w:pPr>
    </w:p>
    <w:p w:rsidR="0026452D" w:rsidRDefault="0026452D" w:rsidP="0026452D">
      <w:pPr>
        <w:pStyle w:val="TextoNormal"/>
      </w:pPr>
      <w:r>
        <w:t>De otro lado, basta con tener en cuenta que, como constatamos en el fundamento jurídico 8, el Real Decreto 157/1988 contenía muchas otras previsiones sobre los requisitos para acceder al nivel de protección “denominaciones de origen”, sobre las que la Ley de la viña y del vino guarda silencio, para concluir que el precepto que en este momento consideramos, además de perseguir un criterio general de ordenación del sector, no vacía de contenido la competencia autonómica exclusiva sobre denominaciones de origen, que se podrá desplegar, como mínimo, sobre todos esos aspectos que antes estaban regulados de manera unitaria por el citado real decreto.</w:t>
      </w:r>
    </w:p>
    <w:p w:rsidR="0026452D" w:rsidRDefault="0026452D" w:rsidP="0026452D">
      <w:pPr>
        <w:pStyle w:val="TextoNormal"/>
      </w:pPr>
    </w:p>
    <w:p w:rsidR="0026452D" w:rsidRDefault="0026452D" w:rsidP="0026452D">
      <w:pPr>
        <w:pStyle w:val="TextoNormal"/>
      </w:pPr>
      <w:r>
        <w:t xml:space="preserve">Por todo ello, hemos de concluir que dichos apartados del art. 22 de la Ley de la viña y del vino constituyen una intervención estatal en el ámbito material de las denominaciones de origen amparada en el título competencial que corresponde al Estado </w:t>
      </w:r>
      <w:r w:rsidRPr="0026452D">
        <w:rPr>
          <w:i/>
        </w:rPr>
        <w:t>ex</w:t>
      </w:r>
      <w:r>
        <w:t xml:space="preserve"> art. 149.1.13 CE, no suponiendo por tanto invasión de la competencia autonómica sobre dicho ámbito material, pues aunque se enuncia como exclusiva “no impide su posible conexión con cualesquiera de los títulos estatales relacionados en el art. 149.1. CE, muy singularmente con el contenido en la regla 13” (STC 31/2010, FJ 75).</w:t>
      </w:r>
    </w:p>
    <w:p w:rsidR="0026452D" w:rsidRDefault="0026452D" w:rsidP="0026452D">
      <w:pPr>
        <w:pStyle w:val="TextoNormal"/>
      </w:pPr>
    </w:p>
    <w:p w:rsidR="0026452D" w:rsidRDefault="0026452D" w:rsidP="0026452D">
      <w:pPr>
        <w:pStyle w:val="TextoNormal"/>
      </w:pPr>
      <w:r>
        <w:t>El apartado cuarto del art. 22 de la Ley de la viña y del vino, por su parte, expresa la opción por encargar la gestión de la denominación de origen a un órgano cuyo alcance examinaremos al referirnos al art. 25 de la Ley, pero ya debemos resaltar en este momento que la precisión de cómo desarrollará esta función dicho órgano se remite “a la normativa que la Administración pública competente determine”, remisión que no es susceptible de incidir en el orden constitucional de competencias (SSTC 61/1997, de 20 de marzo, FJ 14, y 244/2012, de 18 de diciembre, FJ 6).</w:t>
      </w:r>
    </w:p>
    <w:p w:rsidR="0026452D" w:rsidRDefault="0026452D" w:rsidP="0026452D">
      <w:pPr>
        <w:pStyle w:val="TextoNormal"/>
      </w:pPr>
    </w:p>
    <w:p w:rsidR="0026452D" w:rsidRDefault="0026452D" w:rsidP="0026452D">
      <w:pPr>
        <w:pStyle w:val="TextoNormal"/>
      </w:pPr>
      <w:r w:rsidRPr="0026452D">
        <w:rPr>
          <w:rStyle w:val="NumeroAFNegritaCaracter"/>
        </w:rPr>
        <w:t>11</w:t>
      </w:r>
      <w:r>
        <w:t>. El art. 23 de la Ley de la viña y del vino, bajo la rúbrica “Vinos con denominación de origen calificada”, dispone:</w:t>
      </w:r>
    </w:p>
    <w:p w:rsidR="0026452D" w:rsidRDefault="0026452D" w:rsidP="0026452D">
      <w:pPr>
        <w:pStyle w:val="TextoNormal"/>
      </w:pPr>
    </w:p>
    <w:p w:rsidR="0026452D" w:rsidRDefault="0026452D" w:rsidP="0026452D">
      <w:pPr>
        <w:pStyle w:val="TextoNormal"/>
      </w:pPr>
      <w:r>
        <w:t>“1. Además de los requisitos exigibles a las denominaciones de origen, las denominaciones de origen calificadas deberán cumplir los siguientes:</w:t>
      </w:r>
    </w:p>
    <w:p w:rsidR="0026452D" w:rsidRDefault="0026452D" w:rsidP="0026452D">
      <w:pPr>
        <w:pStyle w:val="TextoNormal"/>
      </w:pPr>
    </w:p>
    <w:p w:rsidR="0026452D" w:rsidRDefault="0026452D" w:rsidP="0026452D">
      <w:pPr>
        <w:pStyle w:val="TextoNormal"/>
      </w:pPr>
      <w:r>
        <w:t>a) Que hayan transcurrido, al menos, 10 años desde su reconocimiento como denominación de origen.</w:t>
      </w:r>
    </w:p>
    <w:p w:rsidR="0026452D" w:rsidRDefault="0026452D" w:rsidP="0026452D">
      <w:pPr>
        <w:pStyle w:val="TextoNormal"/>
      </w:pPr>
    </w:p>
    <w:p w:rsidR="0026452D" w:rsidRDefault="0026452D" w:rsidP="0026452D">
      <w:pPr>
        <w:pStyle w:val="TextoNormal"/>
      </w:pPr>
      <w:r>
        <w:t>b) Que los productos amparados se comercialicen exclusivamente embotellados desde bodegas inscritas y ubicadas en la zona geográfica delimitada.</w:t>
      </w:r>
    </w:p>
    <w:p w:rsidR="0026452D" w:rsidRDefault="0026452D" w:rsidP="0026452D">
      <w:pPr>
        <w:pStyle w:val="TextoNormal"/>
      </w:pPr>
    </w:p>
    <w:p w:rsidR="0026452D" w:rsidRDefault="0026452D" w:rsidP="0026452D">
      <w:pPr>
        <w:pStyle w:val="TextoNormal"/>
      </w:pPr>
      <w:r>
        <w:t>c) Que su organismo u órgano de control establezca y ejecute un adecuado sistema de control, cuantitativo y cualitativo, de los vinos protegidos, desde la producción hasta la salida al mercado, que incluya un control físico-químico y organoléptico por lotes homogéneos de volumen limitado.</w:t>
      </w:r>
    </w:p>
    <w:p w:rsidR="0026452D" w:rsidRDefault="0026452D" w:rsidP="0026452D">
      <w:pPr>
        <w:pStyle w:val="TextoNormal"/>
      </w:pPr>
    </w:p>
    <w:p w:rsidR="0026452D" w:rsidRDefault="0026452D" w:rsidP="0026452D">
      <w:pPr>
        <w:pStyle w:val="TextoNormal"/>
      </w:pPr>
      <w:r>
        <w:t>d) Que en las bodegas inscritas, que habrán de ser independientes y separadas, al menos, por una vía pública de otras bodegas o locales no inscritos, solamente tenga entrada uva procedente de viñedos inscritos o mostos o vinos procedentes de otras bodegas también inscritas en la misma denominación de origen calificada, y que en ellas se elabore o embotelle exclusivamente vino con derecho a la denominación de origen calificada o, en su caso, a los vinos de pagos calificados ubicados en su territorio.</w:t>
      </w:r>
    </w:p>
    <w:p w:rsidR="0026452D" w:rsidRDefault="0026452D" w:rsidP="0026452D">
      <w:pPr>
        <w:pStyle w:val="TextoNormal"/>
      </w:pPr>
    </w:p>
    <w:p w:rsidR="0026452D" w:rsidRDefault="0026452D" w:rsidP="0026452D">
      <w:pPr>
        <w:pStyle w:val="TextoNormal"/>
      </w:pPr>
      <w:r>
        <w:t>e) Que dentro de su zona de producción, estén delimitados cartográficamente, por cada término municipal, los terrenos que se consideren aptos para producir vinos con derecho a la denominación de origen calificada.</w:t>
      </w:r>
    </w:p>
    <w:p w:rsidR="0026452D" w:rsidRDefault="0026452D" w:rsidP="0026452D">
      <w:pPr>
        <w:pStyle w:val="TextoNormal"/>
      </w:pPr>
    </w:p>
    <w:p w:rsidR="0026452D" w:rsidRDefault="0026452D" w:rsidP="0026452D">
      <w:pPr>
        <w:pStyle w:val="TextoNormal"/>
      </w:pPr>
      <w:r>
        <w:t>2. La gestión deberá estar encomendada a un órgano de gestión, denominado Consejo Regulador, en la forma que la normativa de la Administración pública competente determine.”</w:t>
      </w:r>
    </w:p>
    <w:p w:rsidR="0026452D" w:rsidRDefault="0026452D" w:rsidP="0026452D">
      <w:pPr>
        <w:pStyle w:val="TextoNormal"/>
      </w:pPr>
    </w:p>
    <w:p w:rsidR="0026452D" w:rsidRDefault="0026452D" w:rsidP="0026452D">
      <w:pPr>
        <w:pStyle w:val="TextoNormal"/>
      </w:pPr>
      <w:r>
        <w:t>El primer apartado del art. 23 de la Ley de la viña y del vino, respondiendo a una función similar al artículo anterior, indica los requisitos adicionales que son necesarios para obtener un nivel de protección superior como es la “denominación de origen calificada”, por lo que aplicando las mismas consideraciones reseñadas del artículo 22, concluimos que tampoco este precepto significa invasión alguna de la competencia autonómica en materia de denominaciones de origen calificadas.</w:t>
      </w:r>
    </w:p>
    <w:p w:rsidR="0026452D" w:rsidRDefault="0026452D" w:rsidP="0026452D">
      <w:pPr>
        <w:pStyle w:val="TextoNormal"/>
      </w:pPr>
    </w:p>
    <w:p w:rsidR="0026452D" w:rsidRDefault="0026452D" w:rsidP="0026452D">
      <w:pPr>
        <w:pStyle w:val="TextoNormal"/>
      </w:pPr>
      <w:r>
        <w:t>El segundo apartado del art. 23 de la Ley de la viña y del vino, como ocurría con el apartado cuarto del art. 22, opta por encargar la gestión de una denominación de origen calificada a un órgano cuyo alcance, como ya dijimos, examinaremos al referirnos al art. 25 de la Ley, debiendo resaltar también, en este momento, que la precisión de cómo desarrollará esta función dicho órgano se remite “a la normativa que la Administración pública competente determine”, siendo de aplicar respecto de esta remisión los criterios manifestados en el precedente fundamento jurídico.</w:t>
      </w:r>
    </w:p>
    <w:p w:rsidR="0026452D" w:rsidRDefault="0026452D" w:rsidP="0026452D">
      <w:pPr>
        <w:pStyle w:val="TextoNormal"/>
      </w:pPr>
    </w:p>
    <w:p w:rsidR="0026452D" w:rsidRDefault="0026452D" w:rsidP="0026452D">
      <w:pPr>
        <w:pStyle w:val="TextoNormal"/>
      </w:pPr>
      <w:r w:rsidRPr="0026452D">
        <w:rPr>
          <w:rStyle w:val="NumeroAFNegritaCaracter"/>
        </w:rPr>
        <w:t>12</w:t>
      </w:r>
      <w:r>
        <w:t>. El art. 25 de la Ley 24/2003, de 10 de julio de la viña y del vino, bajo la rúbrica “Órganos de gestión de los vinos de calidad producidos en una región determinada”, dispone en los apartados impugnados:</w:t>
      </w:r>
    </w:p>
    <w:p w:rsidR="0026452D" w:rsidRDefault="0026452D" w:rsidP="0026452D">
      <w:pPr>
        <w:pStyle w:val="TextoNormal"/>
      </w:pPr>
    </w:p>
    <w:p w:rsidR="0026452D" w:rsidRDefault="0026452D" w:rsidP="0026452D">
      <w:pPr>
        <w:pStyle w:val="TextoNormal"/>
      </w:pPr>
      <w:r>
        <w:t>“1. La gestión de cada vino de calidad con indicación geográfica, denominación de origen, denominación de origen calificada y, en su caso, vino de pago, será realizada por un órgano de gestión, en el que estarán representados los titulares de viñedos y bodegas inscritos en los registros que se establezcan en la norma específica reguladora del v.c.p.r.d.</w:t>
      </w:r>
    </w:p>
    <w:p w:rsidR="0026452D" w:rsidRDefault="0026452D" w:rsidP="0026452D">
      <w:pPr>
        <w:pStyle w:val="TextoNormal"/>
      </w:pPr>
    </w:p>
    <w:p w:rsidR="0026452D" w:rsidRDefault="0026452D" w:rsidP="0026452D">
      <w:pPr>
        <w:pStyle w:val="TextoNormal"/>
      </w:pPr>
      <w:r>
        <w:t xml:space="preserve">2. En todo caso, los órganos de gestión tendrán personalidad jurídica propia, de naturaleza pública o privada, plena capacidad de obrar y funcionarán en régimen de derecho público o privado. Podrán participar, constituir o relacionarse con toda clase de asociaciones, </w:t>
      </w:r>
      <w:r>
        <w:lastRenderedPageBreak/>
        <w:t>fundaciones y sociedades civiles o mercantiles, estableciendo entre sí, en su caso, los oportunos acuerdos de colaboración.</w:t>
      </w:r>
    </w:p>
    <w:p w:rsidR="0026452D" w:rsidRDefault="0026452D" w:rsidP="0026452D">
      <w:pPr>
        <w:pStyle w:val="TextoNormal"/>
      </w:pPr>
    </w:p>
    <w:p w:rsidR="0026452D" w:rsidRDefault="0026452D" w:rsidP="0026452D">
      <w:pPr>
        <w:pStyle w:val="TextoNormal"/>
      </w:pPr>
      <w:r>
        <w:t>3. Los órganos de gestión se regirán por lo dispuesto en esta ley, las leyes de las comunidades autónomas con competencias en la materia, en sus respectivas normas de desarrollo y en la norma específica del v.c.p.r.d., así como en sus estatutos particulares en su caso".</w:t>
      </w:r>
    </w:p>
    <w:p w:rsidR="0026452D" w:rsidRDefault="0026452D" w:rsidP="0026452D">
      <w:pPr>
        <w:pStyle w:val="TextoNormal"/>
      </w:pPr>
    </w:p>
    <w:p w:rsidR="0026452D" w:rsidRDefault="0026452D" w:rsidP="0026452D">
      <w:pPr>
        <w:pStyle w:val="TextoNormal"/>
      </w:pPr>
      <w:r>
        <w:t>"5. Los órganos de gestión deberán ser autorizados por la Administración competente antes de iniciar su actividad.</w:t>
      </w:r>
    </w:p>
    <w:p w:rsidR="0026452D" w:rsidRDefault="0026452D" w:rsidP="0026452D">
      <w:pPr>
        <w:pStyle w:val="TextoNormal"/>
      </w:pPr>
    </w:p>
    <w:p w:rsidR="0026452D" w:rsidRDefault="0026452D" w:rsidP="0026452D">
      <w:pPr>
        <w:pStyle w:val="TextoNormal"/>
      </w:pPr>
      <w:r>
        <w:t xml:space="preserve">6. Reglamentariamente, en el ámbito de la Administración General del Estado y por la legislación correspondiente en el ámbito de las comunidades autónomas, se podrán establecer las mayorías cualificadas necesarias para la adopción de acuerdos y decisiones por el órgano de gestión y, en especial, para la propuesta del reglamento del v.c.p.r.d. </w:t>
      </w:r>
    </w:p>
    <w:p w:rsidR="0026452D" w:rsidRDefault="0026452D" w:rsidP="0026452D">
      <w:pPr>
        <w:pStyle w:val="TextoNormal"/>
      </w:pPr>
    </w:p>
    <w:p w:rsidR="0026452D" w:rsidRDefault="0026452D" w:rsidP="0026452D">
      <w:pPr>
        <w:pStyle w:val="TextoNormal"/>
      </w:pPr>
      <w:r>
        <w:t>7. La estructura y funcionamiento de los órganos de gestión se establecerá mediante el desarrollo reglamentario oportuno efectuado por la autoridad competente, cumpliendo, en cualquier caso, lo establecido en esta ley y manteniendo como principio básico su funcionamiento sin ánimo de lucro y la representatividad de los intereses económicos y sectoriales integrados en el v.c.p.r.d., con especial contemplación de los minoritarios, debiendo existir paridad en la representación de los diferentes intereses en presencia".</w:t>
      </w:r>
    </w:p>
    <w:p w:rsidR="0026452D" w:rsidRDefault="0026452D" w:rsidP="0026452D">
      <w:pPr>
        <w:pStyle w:val="TextoNormal"/>
      </w:pPr>
    </w:p>
    <w:p w:rsidR="0026452D" w:rsidRDefault="0026452D" w:rsidP="0026452D">
      <w:pPr>
        <w:pStyle w:val="TextoNormal"/>
      </w:pPr>
      <w:r>
        <w:t>"9. Cuando el órgano de gestión revista la modalidad de entidad de derecho público, la Administración competente fijará las condiciones de establecimiento de cuotas de pertenencia y derechos por prestación de servicios en los términos que por la normativa correspondiente se determinen.”</w:t>
      </w:r>
    </w:p>
    <w:p w:rsidR="0026452D" w:rsidRDefault="0026452D" w:rsidP="0026452D">
      <w:pPr>
        <w:pStyle w:val="TextoNormal"/>
      </w:pPr>
    </w:p>
    <w:p w:rsidR="0026452D" w:rsidRDefault="0026452D" w:rsidP="0026452D">
      <w:pPr>
        <w:pStyle w:val="TextoNormal"/>
      </w:pPr>
      <w:r>
        <w:t>Uno de los principios esenciales que vertebran la ordenación del sector vitivinícola que hace la Ley de la viña y del vino es que la gestión de cada vino de calidad producido en una región determinada, cualquiera que sea su especie, en lugar de corresponder a un órgano administrativo, como venía sucediendo con arreglo a la normativa anterior, ha de ser realizada por quienes ostentan los intereses profesionales y comerciales integrados en él. Así lo expresa el apartado primero, cuando prevé que dicha gestión “será realizada por un órgano de gestión, en el que estarán representados los titulares de viñedos y bodegas inscritos en los registros que se establezcan en la norma específica reguladora del v.c.p.r.d.”, y el apartado séptimo, cuando establece como principios básicos el “funcionamiento sin ánimo de lucro” y “la representatividad de los intereses económicos y sectoriales integrados en el v.c.p.r.d., con especial contemplación de los minoritarios, debiendo existir paridad en la representación de los diferentes intereses en presencia”. Este principio de autoadministración persigue que las decisiones sobre la gestión de estos niveles de protección sean adoptadas, no por sujetos ajenos al sector, sino por quienes operan en él, precisamente con el objetivo de que, por su mejor conocimiento de las circunstancias relevantes y mayor conexión con los intereses en juego, aquéllas sean las que más favorezcan la calidad y diversidad de los vinos y, por su intermediación, el mercado del vino, tan importante para la economía española, funcione adecuadamente y consiga mejores resultados.</w:t>
      </w:r>
    </w:p>
    <w:p w:rsidR="0026452D" w:rsidRDefault="0026452D" w:rsidP="0026452D">
      <w:pPr>
        <w:pStyle w:val="TextoNormal"/>
      </w:pPr>
    </w:p>
    <w:p w:rsidR="0026452D" w:rsidRDefault="0026452D" w:rsidP="0026452D">
      <w:pPr>
        <w:pStyle w:val="TextoNormal"/>
      </w:pPr>
      <w:r>
        <w:lastRenderedPageBreak/>
        <w:t xml:space="preserve">Estrechamente conectado con este principio, el apartado segundo impone la exigencia, también novedosa respecto del sistema anterior, de que este órgano de gestión tenga personalidad jurídica propia, lo que posibilita la independencia de criterio, imprescindible en este nuevo modelo de gestión, y confiere la capacidad necesaria para entablar las relaciones que dicha gestión requiera, como por otra parte reconoce el inciso final de ese apartado segundo al disponer que “podrán participar, constituir o relacionarse con toda clase de asociaciones, fundaciones y sociedades civiles o mercantiles, estableciendo entre sí, en su caso, los oportunos acuerdos de colaboración”. Resulta igualmente relevante poner de relieve que esta capacidad de relación, en la medida que permite a los órganos de gestión, mediante las técnicas y procedimientos libremente acordados por ellos, colaborar en el ejercicio de sus funciones, constituye una medida que encuentra apoyo en la competencia estatal de coordinación general </w:t>
      </w:r>
      <w:r w:rsidRPr="0026452D">
        <w:rPr>
          <w:i/>
        </w:rPr>
        <w:t>ex</w:t>
      </w:r>
      <w:r>
        <w:t xml:space="preserve"> art. 149.1.13 CE, que, según reiterada doctrina constitucional, comprende “la fijación de medios y sistemas de relación que hagan posible la información recíproca, la homogeneidad técnica en determinados aspectos y la acción conjunta de las autoridades …, de tal modo que se logre la integración de actos parciales en la globalidad del sistema” [por todas, las SSTC 32/1983, de 28 de abril, FJ 2, 227/1988, de 29 de noviembre, FJ 20 e) y 214/1989, de 21 de diciembre, FJ 20 f)].</w:t>
      </w:r>
    </w:p>
    <w:p w:rsidR="0026452D" w:rsidRDefault="0026452D" w:rsidP="0026452D">
      <w:pPr>
        <w:pStyle w:val="TextoNormal"/>
      </w:pPr>
    </w:p>
    <w:p w:rsidR="0026452D" w:rsidRDefault="0026452D" w:rsidP="0026452D">
      <w:pPr>
        <w:pStyle w:val="TextoNormal"/>
      </w:pPr>
      <w:r>
        <w:t>El apartado tercero enuncia las normas por las que se rigen estos órganos de gestión y si se entiende como una simple enumeración no se puede ver en él invasión alguna de la competencia autonómica. En otro caso, si se le atribuyera la previsión de un orden de prelación tampoco habría extralimitación competencial siempre que la aplicación en primer término de “lo dispuesto en esta ley” se ciñese a aquellos preceptos que tuviesen apoyo en una competencia estatal, cuestión que es la que es objeto de este proceso constitucional.</w:t>
      </w:r>
    </w:p>
    <w:p w:rsidR="0026452D" w:rsidRDefault="0026452D" w:rsidP="0026452D">
      <w:pPr>
        <w:pStyle w:val="TextoNormal"/>
      </w:pPr>
    </w:p>
    <w:p w:rsidR="0026452D" w:rsidRDefault="0026452D" w:rsidP="0026452D">
      <w:pPr>
        <w:pStyle w:val="TextoNormal"/>
      </w:pPr>
      <w:r>
        <w:t>Los apartados quinto y noveno, así como el primer inciso del apartado séptimo, contienen previsiones instrumentales respecto del funcionamiento de los órganos de gestión tal como han quedado definidos, remitiendo dichos preceptos su concreción a la Administración competente o al desarrollo reglamentario, remisión que debe comprenderse en el sentido de que no impide la intermediación del legislador autonómico, que, en ejercicio legítimo de su competencia en materia de denominaciones de origen, podrá condicionar la actuación de la Administración competente, por lo que esta interpretación la llevaremos al fallo.</w:t>
      </w:r>
    </w:p>
    <w:p w:rsidR="0026452D" w:rsidRDefault="0026452D" w:rsidP="0026452D">
      <w:pPr>
        <w:pStyle w:val="TextoNormal"/>
      </w:pPr>
    </w:p>
    <w:p w:rsidR="0026452D" w:rsidRDefault="0026452D" w:rsidP="0026452D">
      <w:pPr>
        <w:pStyle w:val="TextoNormal"/>
      </w:pPr>
      <w:r>
        <w:t>Cuestión distinta es la referencia a posibles mayorías cualificadas que hace el apartado sexto, pues no se advierte conexión con el modelo de gestión previsto en el artículo 25 de la Ley de la viña y del vino, pero en este proceso lo relevante es si un determinado precepto invade las competencias del recurrente, aspecto que no concurre, pues el 25.6 de la Ley se remite enteramente a “la legislación correspondiente en el ámbito de las Comunidades Autónomas”, pudiendo ésta tanto disponer en qué casos cabe imponer esas mayorías como optar por no establecerlas en ninguno, lo que implica el reconocimiento de una necesaria flexibilidad que no invade las competencias autonómicas.</w:t>
      </w:r>
    </w:p>
    <w:p w:rsidR="0026452D" w:rsidRDefault="0026452D" w:rsidP="0026452D">
      <w:pPr>
        <w:pStyle w:val="TextoNormal"/>
      </w:pPr>
    </w:p>
    <w:p w:rsidR="0026452D" w:rsidRDefault="0026452D" w:rsidP="0026452D">
      <w:pPr>
        <w:pStyle w:val="TextoNormal"/>
      </w:pPr>
      <w:r>
        <w:t xml:space="preserve">Así, hemos de concluir en este punto reconociendo que la configuración que los apartados impugnados del art. 25 de la Ley de la viña y del vino hacen del órgano de gestión de cada vino de calidad producido en una región determinada tiene una importante repercusión en la calidad y diversidad en el sector del vino, tratándose de una medida que se ajusta a lo </w:t>
      </w:r>
      <w:r>
        <w:lastRenderedPageBreak/>
        <w:t>que es necesario para la consecución efectiva de ese criterio ordenador del sector vitivinícola, sentado como ejercicio legítimo de la competencia estatal para establecer las bases de la planificación económica.</w:t>
      </w:r>
    </w:p>
    <w:p w:rsidR="0026452D" w:rsidRDefault="0026452D" w:rsidP="0026452D">
      <w:pPr>
        <w:pStyle w:val="TextoNormal"/>
      </w:pPr>
    </w:p>
    <w:p w:rsidR="0026452D" w:rsidRDefault="0026452D" w:rsidP="0026452D">
      <w:pPr>
        <w:pStyle w:val="TextoNormal"/>
      </w:pPr>
      <w:r>
        <w:t xml:space="preserve">Además, para que dichas medidas se configuren como ejercicio legítimo de la competencia estatal </w:t>
      </w:r>
      <w:r w:rsidRPr="0026452D">
        <w:rPr>
          <w:i/>
        </w:rPr>
        <w:t>ex</w:t>
      </w:r>
      <w:r>
        <w:t xml:space="preserve"> art. 149.1.13 CE es necesario que no vacíen de contenido la competencia autonómica material implicada (SSTC 186/1988, de 17 de octubre, FJ 7; 75/1989, 21 de abril, FJ 5; y 95/2001, de 5 de abril, FJ 3). En este sentido, los apartados examinados, lejos de regular exhaustivamente este órgano de gestión, dejan muchas opciones abiertas, por lo que procede afirmar que no vacían la competencia autonómica. Sirva de ejemplo que el apartado segundo, en un aspecto esencial del diseño del órgano de gestión de cada vino de calidad producido en una región determinada, aun exigiendo que tenga personalidad jurídica propia, permite que la misma sea de naturaleza pública o de naturaleza privada, habiendo optado efectivamente las legislaciones autonómicas por uno u otro modelo (a modo de ejemplo, el art. 23 de la Ley de Castilla-La Mancha 8/2003, de 20 de marzo, opta por órganos de gestión de naturaleza privada; el art. 3.1 del Decreto Balear 49/2004, de 28 de mayo, los configura como corporaciones de Derecho público; y art. 25 de la Ley de Castilla y León 8/2005, de 10 de junio, prevé que sean de uno u otro tipo según cuál sea el nivel de protección.). También resulta significativo que todos los apartados impugnados, a excepción del segundo, remiten expresamente bien a las leyes autonómicas, al desarrollo reglamentario a realizar por la autoridad competente o a la norma específica reguladora de cada vino de calidad producido en una región determinada.</w:t>
      </w:r>
    </w:p>
    <w:p w:rsidR="0026452D" w:rsidRDefault="0026452D" w:rsidP="0026452D">
      <w:pPr>
        <w:pStyle w:val="TextoNormal"/>
      </w:pPr>
    </w:p>
    <w:p w:rsidR="0026452D" w:rsidRDefault="0026452D" w:rsidP="0026452D">
      <w:pPr>
        <w:pStyle w:val="TextoNormal"/>
      </w:pPr>
      <w:r>
        <w:t xml:space="preserve">Por todo ello, procede afirmar que los apartados impugnados del art. 25 de la  Ley de la viña y del vino constituyen una intervención estatal en el ámbito material de las denominaciones de origen amparada en el título competencial que corresponde al Estado </w:t>
      </w:r>
      <w:r w:rsidRPr="0026452D">
        <w:rPr>
          <w:i/>
        </w:rPr>
        <w:t>ex</w:t>
      </w:r>
      <w:r>
        <w:t xml:space="preserve"> art. 149.1.13 CE, no suponiendo por tanto invasión de la competencia autonómica sobre dicho ámbito material. En especial, los apartados 5, 7 y 9 del art. 25 de la Ley son constitucionales porque la remisión que hacen a la Administración competente también comprende a la de las Comunidades Autónomas y no impiden al legislador autonómico el ejercicio legítimo de su competencia en materia de denominaciones de origen, dentro de los límites establecidos en la ley estatal objeto de nuestro examen.</w:t>
      </w:r>
    </w:p>
    <w:p w:rsidR="0026452D" w:rsidRDefault="0026452D" w:rsidP="0026452D">
      <w:pPr>
        <w:pStyle w:val="TextoNormal"/>
      </w:pPr>
    </w:p>
    <w:p w:rsidR="0026452D" w:rsidRDefault="0026452D" w:rsidP="0026452D">
      <w:pPr>
        <w:pStyle w:val="TextoNormal"/>
      </w:pPr>
      <w:r w:rsidRPr="0026452D">
        <w:rPr>
          <w:rStyle w:val="NumeroAFNegritaCaracter"/>
        </w:rPr>
        <w:t>13</w:t>
      </w:r>
      <w:r>
        <w:t>. El art. 26 Ley de la viña y del vino, bajo la rúbrica “Fines y funciones de los órganos de gestión”, dispone en los apartados impugnados, que son solo aquellos a los que la disposición final segunda de la Ley atribuye carácter básico:</w:t>
      </w:r>
    </w:p>
    <w:p w:rsidR="0026452D" w:rsidRDefault="0026452D" w:rsidP="0026452D">
      <w:pPr>
        <w:pStyle w:val="TextoNormal"/>
      </w:pPr>
    </w:p>
    <w:p w:rsidR="0026452D" w:rsidRDefault="0026452D" w:rsidP="0026452D">
      <w:pPr>
        <w:pStyle w:val="TextoNormal"/>
      </w:pPr>
      <w:r>
        <w:t>“1. Los fines de los órganos de gestión son la representación, defensa, garantía, investigación y desarrollo de mercados y promoción tanto de los vinos amparados como del nivel de protección.</w:t>
      </w:r>
    </w:p>
    <w:p w:rsidR="0026452D" w:rsidRDefault="0026452D" w:rsidP="0026452D">
      <w:pPr>
        <w:pStyle w:val="TextoNormal"/>
      </w:pPr>
    </w:p>
    <w:p w:rsidR="0026452D" w:rsidRDefault="0026452D" w:rsidP="0026452D">
      <w:pPr>
        <w:pStyle w:val="TextoNormal"/>
      </w:pPr>
      <w:r>
        <w:t>2. Para el cumplimiento de sus fines los órganos de gestión deberán desempeñar, al menos, las siguientes funciones:</w:t>
      </w:r>
    </w:p>
    <w:p w:rsidR="0026452D" w:rsidRDefault="0026452D" w:rsidP="0026452D">
      <w:pPr>
        <w:pStyle w:val="TextoNormal"/>
      </w:pPr>
    </w:p>
    <w:p w:rsidR="0026452D" w:rsidRDefault="0026452D" w:rsidP="0026452D">
      <w:pPr>
        <w:pStyle w:val="TextoNormal"/>
      </w:pPr>
      <w:r>
        <w:t>a) Proponer el reglamento del v.c.p.r.d. así como sus posibles modificaciones.</w:t>
      </w:r>
    </w:p>
    <w:p w:rsidR="0026452D" w:rsidRDefault="0026452D" w:rsidP="0026452D">
      <w:pPr>
        <w:pStyle w:val="TextoNormal"/>
      </w:pPr>
    </w:p>
    <w:p w:rsidR="0026452D" w:rsidRDefault="0026452D" w:rsidP="0026452D">
      <w:pPr>
        <w:pStyle w:val="TextoNormal"/>
      </w:pPr>
      <w:r>
        <w:t>c) Velar por el cumplimiento del reglamento del v.c.p.r.d., pudiendo denunciar cualquier uso incorrecto ante los órganos administrativos y jurisdiccionales competentes.</w:t>
      </w:r>
    </w:p>
    <w:p w:rsidR="0026452D" w:rsidRDefault="0026452D" w:rsidP="0026452D">
      <w:pPr>
        <w:pStyle w:val="TextoNormal"/>
      </w:pPr>
    </w:p>
    <w:p w:rsidR="0026452D" w:rsidRDefault="0026452D" w:rsidP="0026452D">
      <w:pPr>
        <w:pStyle w:val="TextoNormal"/>
      </w:pPr>
      <w:r>
        <w:t>d) Adoptar, en el marco de reglamento del v.c.p.r.d., el establecimiento para cada campaña, según criterios de defensa y mejora de la calidad y dentro de los límites fijados por el reglamento, los rendimientos, límites máximos de producción y de transformación, autorización de la forma y condiciones de riego, o cualquier otro aspecto de coyuntura anual que pueda influir en estos procesos.</w:t>
      </w:r>
    </w:p>
    <w:p w:rsidR="0026452D" w:rsidRDefault="0026452D" w:rsidP="0026452D">
      <w:pPr>
        <w:pStyle w:val="TextoNormal"/>
      </w:pPr>
    </w:p>
    <w:p w:rsidR="0026452D" w:rsidRDefault="0026452D" w:rsidP="0026452D">
      <w:pPr>
        <w:pStyle w:val="TextoNormal"/>
      </w:pPr>
      <w:r>
        <w:t xml:space="preserve">f) Llevar los registros definidos en el reglamento del v.c.p.r.d. </w:t>
      </w:r>
    </w:p>
    <w:p w:rsidR="0026452D" w:rsidRDefault="0026452D" w:rsidP="0026452D">
      <w:pPr>
        <w:pStyle w:val="TextoNormal"/>
      </w:pPr>
    </w:p>
    <w:p w:rsidR="0026452D" w:rsidRDefault="0026452D" w:rsidP="0026452D">
      <w:pPr>
        <w:pStyle w:val="TextoNormal"/>
      </w:pPr>
      <w:r>
        <w:t>h) Gestionar las cuotas obligatorias que en el reglamento del v.c.p.r.d. se establezcan para la financiación del órgano de gestión o Consejo Regulador.</w:t>
      </w:r>
    </w:p>
    <w:p w:rsidR="0026452D" w:rsidRDefault="0026452D" w:rsidP="0026452D">
      <w:pPr>
        <w:pStyle w:val="TextoNormal"/>
      </w:pPr>
    </w:p>
    <w:p w:rsidR="0026452D" w:rsidRDefault="0026452D" w:rsidP="0026452D">
      <w:pPr>
        <w:pStyle w:val="TextoNormal"/>
      </w:pPr>
      <w:r>
        <w:t>i) Proponer los requisitos mínimos de control a los que debe someterse cada operador inscrito en todas y cada una de las fases de producción, elaboración y comercialización de los vinos amparados por cada v.c.p.r.d., y, en su caso, los mínimos de control para la concesión inicial y para el mantenimiento de la certificación.</w:t>
      </w:r>
    </w:p>
    <w:p w:rsidR="0026452D" w:rsidRDefault="0026452D" w:rsidP="0026452D">
      <w:pPr>
        <w:pStyle w:val="TextoNormal"/>
      </w:pPr>
    </w:p>
    <w:p w:rsidR="0026452D" w:rsidRDefault="0026452D" w:rsidP="0026452D">
      <w:pPr>
        <w:pStyle w:val="TextoNormal"/>
      </w:pPr>
      <w:r>
        <w:t>j) Colaborar con las autoridades competentes en materia de vitivinicultura, en particular en el mantenimiento de los registros públicos oficiales vitivinícolas, así como con los órganos encargados del control.</w:t>
      </w:r>
    </w:p>
    <w:p w:rsidR="0026452D" w:rsidRDefault="0026452D" w:rsidP="0026452D">
      <w:pPr>
        <w:pStyle w:val="TextoNormal"/>
      </w:pPr>
    </w:p>
    <w:p w:rsidR="0026452D" w:rsidRDefault="0026452D" w:rsidP="0026452D">
      <w:pPr>
        <w:pStyle w:val="TextoNormal"/>
      </w:pPr>
      <w:r>
        <w:t>3. Cuando llegue a conocimiento de un órgano de gestión cualquier presunto incumplimiento de la normativa vitivinícola, incluida la normativa propia del v.c.p.r.d., aquél deberá denunciarlo a la autoridad que en cada caso resulte competente.</w:t>
      </w:r>
    </w:p>
    <w:p w:rsidR="0026452D" w:rsidRDefault="0026452D" w:rsidP="0026452D">
      <w:pPr>
        <w:pStyle w:val="TextoNormal"/>
      </w:pPr>
    </w:p>
    <w:p w:rsidR="0026452D" w:rsidRDefault="0026452D" w:rsidP="0026452D">
      <w:pPr>
        <w:pStyle w:val="TextoNormal"/>
      </w:pPr>
      <w:r>
        <w:t>4. Con independencia de la naturaleza jurídica pública o privada de los órganos de gestión, las resoluciones que adopten respecto a las funciones enumeradas en los párrafos d), f) y h) del apartado 2 de este artículo podrán ser objeto de impugnación en vía administrativa ante la autoridad que resulte competente según el ámbito territorial del v.c.p.r.d., en la forma que la normativa de la Administración pública competente determine.”</w:t>
      </w:r>
    </w:p>
    <w:p w:rsidR="0026452D" w:rsidRDefault="0026452D" w:rsidP="0026452D">
      <w:pPr>
        <w:pStyle w:val="TextoNormal"/>
      </w:pPr>
    </w:p>
    <w:p w:rsidR="0026452D" w:rsidRDefault="0026452D" w:rsidP="0026452D">
      <w:pPr>
        <w:pStyle w:val="TextoNormal"/>
      </w:pPr>
      <w:r>
        <w:t>El modelo de órgano de gestión de cada vino de calidad producido en una región determinada que regula el art. 25 de la Ley, basado en que el mejor conocimiento de la realidad del sector y la mayor proximidad con los intereses en juego determina que las decisiones de gestión adoptadas por los propios titulares de viñedos y bodegas integrados en cada uno de ellos coadyuvan a la calidad y diversidad del producto, exige como corolario necesario que se prevea la intervención de dicho órgano de gestión en tales cuestiones, entre las que se hallan las relativas a los mercados y a la promoción tanto de los vinos amparados como del nivel de protección (art. 26.1 ), así como que les sea atribuido un mínimo de funciones para la realización de esos fines, dejando espacio, como expresamente prevé el art. 26.2, al legislador autonómico para ampliar dichas funciones.</w:t>
      </w:r>
    </w:p>
    <w:p w:rsidR="0026452D" w:rsidRDefault="0026452D" w:rsidP="0026452D">
      <w:pPr>
        <w:pStyle w:val="TextoNormal"/>
      </w:pPr>
    </w:p>
    <w:p w:rsidR="0026452D" w:rsidRDefault="0026452D" w:rsidP="0026452D">
      <w:pPr>
        <w:pStyle w:val="TextoNormal"/>
      </w:pPr>
      <w:r>
        <w:t xml:space="preserve">Pertenecen a ese núcleo las funciones relativas al reglamento específico de los vinos de calidad producidos en regiones determinadas, tales como proponerlo [art. 26.2 a)], vigilar su cumplimiento y denunciar ante la autoridad competente su incumplimiento[(26.2 b)] o el de cualquier normativa vitivinícola (26.3), pues es allí donde se adoptan las medidas más importantes del funcionamiento de cada uno de esos niveles de protección, siendo de la máxima relevancia, so pena de enervar la eficacia de este diseño legal del órgano de gestión, </w:t>
      </w:r>
      <w:r>
        <w:lastRenderedPageBreak/>
        <w:t>que la visión experta que aporta el órgano de gestión tenga participación tanto en la fijación de las medidas como en la verificación de su cumplimiento y, en su caso, en la denuncia de los incumplimientos.</w:t>
      </w:r>
    </w:p>
    <w:p w:rsidR="0026452D" w:rsidRDefault="0026452D" w:rsidP="0026452D">
      <w:pPr>
        <w:pStyle w:val="TextoNormal"/>
      </w:pPr>
    </w:p>
    <w:p w:rsidR="0026452D" w:rsidRDefault="0026452D" w:rsidP="0026452D">
      <w:pPr>
        <w:pStyle w:val="TextoNormal"/>
      </w:pPr>
      <w:r>
        <w:t>Las medidas de campaña, que son aquellas que por resultar influidas por elementos coyunturales no se fijan en el reglamento específico de los vinos de calidad producidos en regiones determinadas, sino que se establecen anualmente, son adoptadas también por el órgano de gestión [26.2 d], precisamente porque su integración garantiza que su decisión sea la más propicia a la calidad y diversidad de los vinos y, en consecuencia, al logro de la mayor efectividad económica del sector.</w:t>
      </w:r>
    </w:p>
    <w:p w:rsidR="0026452D" w:rsidRDefault="0026452D" w:rsidP="0026452D">
      <w:pPr>
        <w:pStyle w:val="TextoNormal"/>
      </w:pPr>
    </w:p>
    <w:p w:rsidR="0026452D" w:rsidRDefault="0026452D" w:rsidP="0026452D">
      <w:pPr>
        <w:pStyle w:val="TextoNormal"/>
      </w:pPr>
      <w:r>
        <w:t>Esa nota de especialidad en la materia concernida es la que determina que se atribuya igualmente al órgano de gestión la propuesta de los mínimos de control a que ha de someterse cada operador inscrito [26.2 i)] y la colaboración con las autoridades competentes en materia de vitivinicultura [26.2 j)], criterio ya examinado por la precedente jurisprudencia constitucional en supuestos que guardan suficiente afinidad (sirvan de ejemplo las SSTC 100/1991, de 13 de mayo, FJ 5, 243/1994, de 21 de julio y 196/1997, de 13 de noviembre, FJ, 11).</w:t>
      </w:r>
    </w:p>
    <w:p w:rsidR="0026452D" w:rsidRDefault="0026452D" w:rsidP="0026452D">
      <w:pPr>
        <w:pStyle w:val="TextoNormal"/>
      </w:pPr>
    </w:p>
    <w:p w:rsidR="0026452D" w:rsidRDefault="0026452D" w:rsidP="0026452D">
      <w:pPr>
        <w:pStyle w:val="TextoNormal"/>
      </w:pPr>
      <w:r>
        <w:t>Por otro lado, las funciones atribuidas al órgano de gestión en los arts. 26.2 f) y 26.2 h de la Ley de la viña y del vino son inherentes al modelo de gestión configurado en el art. 25 de la Ley, pues, de un lado, sin llevar los registros de los titulares de viñedos y bodegas no se puede saber quiénes son admitidos a participar en la autoadministración y, de otro, sin gestionar las cuotas obligatorias de financiación se carecería de la misma y, en consecuencia, no se podría desempeñar el papel central en la ordenación del sector vitivinícola que el art. 25 de la Ley le asigna, sin que dicha regulación registral impida o dificulte las competencias autonómicas.</w:t>
      </w:r>
    </w:p>
    <w:p w:rsidR="0026452D" w:rsidRDefault="0026452D" w:rsidP="0026452D">
      <w:pPr>
        <w:pStyle w:val="TextoNormal"/>
      </w:pPr>
    </w:p>
    <w:p w:rsidR="0026452D" w:rsidRDefault="0026452D" w:rsidP="0026452D">
      <w:pPr>
        <w:pStyle w:val="TextoNormal"/>
      </w:pPr>
      <w:r>
        <w:t>Por las razones expuestas, y constatando que, tal como exige la doctrina constitucional (SSTC 186/1988, FJ 7; 75/1989, FJ 5; y 95/2001, FJ 3) la competencia autonómica no queda vacía de contenido, pues el art. 26.2 de la Ley de la viña y del vino prevé expresamente que estas funciones implican una ordenación de mínimos, pudiendo el legislador autonómico ampliarlas, procede afirmar que los apartados referidos del art. 26 de la Ley constituyen una intervención estatal en el ámbito material de las denominaciones de origen amparada en el título competencial que corresponde al Estado ex art. 149.1.13 CE, no suponiendo por tanto invasión de la competencia autonómica sobre dicho ámbito material, máxime cuando dicha regulación resulta imprescindible y se justifica por su contenido técnico.</w:t>
      </w:r>
    </w:p>
    <w:p w:rsidR="0026452D" w:rsidRDefault="0026452D" w:rsidP="0026452D">
      <w:pPr>
        <w:pStyle w:val="TextoNormal"/>
      </w:pPr>
    </w:p>
    <w:p w:rsidR="0026452D" w:rsidRDefault="0026452D" w:rsidP="0026452D">
      <w:pPr>
        <w:pStyle w:val="TextoNormal"/>
      </w:pPr>
      <w:r>
        <w:t xml:space="preserve">Resta por analizar en este ámbito el art. 26.4 de la Ley, cuyo sentido es que las resoluciones que adopte el órgano de gestión respecto de las funciones enumeradas en los párrafos d), f) y h) del art. 26.2, en tanto que se trata de funciones públicas, podrán ser impugnadas en vía administrativa ante la autoridad competente, independientemente de que aquél tenga naturaleza jurídica pública o privada, con lo que implícitamente se reconoce que en esos casos actúa como un delegado de la Administración competente. Esta disposición viene exigida por el modelo de órgano de gestión previsto en el art. 25 de la Ley de la viña y del vino, pues solo con ella puede hacerse compatible que aquél pueda ser de naturaleza privada y, a la vez, desempeñar funciones públicas. Además, el art. 26.4, en la medida que se limita </w:t>
      </w:r>
      <w:r>
        <w:lastRenderedPageBreak/>
        <w:t>a prever que esas resoluciones serán recurribles en vía administrativa, indicando que la impugnación se hará efectiva “en la forma que la normativa de la Administración pública competente determine”, no supone invasión alguna de la competencia autonómica en materia de denominaciones de origen.</w:t>
      </w:r>
    </w:p>
    <w:p w:rsidR="0026452D" w:rsidRDefault="0026452D" w:rsidP="0026452D">
      <w:pPr>
        <w:pStyle w:val="TextoNormal"/>
      </w:pPr>
    </w:p>
    <w:p w:rsidR="0026452D" w:rsidRDefault="0026452D" w:rsidP="0026452D">
      <w:pPr>
        <w:pStyle w:val="TextoNormal"/>
      </w:pPr>
      <w:r w:rsidRPr="0026452D">
        <w:rPr>
          <w:rStyle w:val="NumeroAFNegritaCaracter"/>
        </w:rPr>
        <w:t>14</w:t>
      </w:r>
      <w:r>
        <w:t>. El art. 27 de la Ley 24/2003, de 10 de julio de la viña y del vino, bajo la rúbrica “Órganos de gestión de los vinos de calidad producidos en una región determinada”, dispone:</w:t>
      </w:r>
    </w:p>
    <w:p w:rsidR="0026452D" w:rsidRDefault="0026452D" w:rsidP="0026452D">
      <w:pPr>
        <w:pStyle w:val="TextoNormal"/>
      </w:pPr>
    </w:p>
    <w:p w:rsidR="0026452D" w:rsidRDefault="0026452D" w:rsidP="0026452D">
      <w:pPr>
        <w:pStyle w:val="TextoNormal"/>
      </w:pPr>
      <w:r>
        <w:t>“1. El reglamento de cada v.c.p.r.d. establecerá su sistema de control que, en todo caso, estará separado de la gestión del mismo. El control será efectuado:</w:t>
      </w:r>
    </w:p>
    <w:p w:rsidR="0026452D" w:rsidRDefault="0026452D" w:rsidP="0026452D">
      <w:pPr>
        <w:pStyle w:val="TextoNormal"/>
      </w:pPr>
    </w:p>
    <w:p w:rsidR="0026452D" w:rsidRDefault="0026452D" w:rsidP="0026452D">
      <w:pPr>
        <w:pStyle w:val="TextoNormal"/>
      </w:pPr>
      <w:r>
        <w:t>a) Por un organismo público, que actuará de acuerdo con los principios del Real Decreto 50/1993, de 15 de enero, por el que se regula el control oficial de los productos alimenticios, y del Real Decreto 1397/1995, de 4 de agosto, por el que se aprueban medidas adicionales sobre el control oficial de productos alimenticios.</w:t>
      </w:r>
    </w:p>
    <w:p w:rsidR="0026452D" w:rsidRDefault="0026452D" w:rsidP="0026452D">
      <w:pPr>
        <w:pStyle w:val="TextoNormal"/>
      </w:pPr>
    </w:p>
    <w:p w:rsidR="0026452D" w:rsidRDefault="0026452D" w:rsidP="0026452D">
      <w:pPr>
        <w:pStyle w:val="TextoNormal"/>
      </w:pPr>
      <w:r>
        <w:t>b) O, para los vinos con denominación de origen o con denominación de origen calificada, por un órgano de control, que deberá cumplir además los siguientes requisitos:</w:t>
      </w:r>
    </w:p>
    <w:p w:rsidR="0026452D" w:rsidRDefault="0026452D" w:rsidP="0026452D">
      <w:pPr>
        <w:pStyle w:val="TextoNormal"/>
      </w:pPr>
    </w:p>
    <w:p w:rsidR="0026452D" w:rsidRDefault="0026452D" w:rsidP="0026452D">
      <w:pPr>
        <w:pStyle w:val="TextoNormal"/>
      </w:pPr>
      <w:r>
        <w:t>1.º Que se encuentren adecuadamente separados los órganos de gestión y control y que la actuación de estos últimos se realice sin dependencia jerárquica ni administrativa respecto de los órganos de dirección del Consejo Regulador y bajo la tutela de la Administración competente.</w:t>
      </w:r>
    </w:p>
    <w:p w:rsidR="0026452D" w:rsidRDefault="0026452D" w:rsidP="0026452D">
      <w:pPr>
        <w:pStyle w:val="TextoNormal"/>
      </w:pPr>
    </w:p>
    <w:p w:rsidR="0026452D" w:rsidRDefault="0026452D" w:rsidP="0026452D">
      <w:pPr>
        <w:pStyle w:val="TextoNormal"/>
      </w:pPr>
      <w:r>
        <w:t>2.º Que se garanticen la independencia e inamovilidad de los controladores por un período mínimo de seis años y éstos sean habilitados, entre expertos independientes, por la Administración competente, a iniciativa del Consejo Regulador.</w:t>
      </w:r>
    </w:p>
    <w:p w:rsidR="0026452D" w:rsidRDefault="0026452D" w:rsidP="0026452D">
      <w:pPr>
        <w:pStyle w:val="TextoNormal"/>
      </w:pPr>
    </w:p>
    <w:p w:rsidR="0026452D" w:rsidRDefault="0026452D" w:rsidP="0026452D">
      <w:pPr>
        <w:pStyle w:val="TextoNormal"/>
      </w:pPr>
      <w:r>
        <w:t>3.º Que cumplan, según su naturaleza pública o privada, los principios y criterios señalados en los párrafos a), c) o d).</w:t>
      </w:r>
    </w:p>
    <w:p w:rsidR="0026452D" w:rsidRDefault="0026452D" w:rsidP="0026452D">
      <w:pPr>
        <w:pStyle w:val="TextoNormal"/>
      </w:pPr>
    </w:p>
    <w:p w:rsidR="0026452D" w:rsidRDefault="0026452D" w:rsidP="0026452D">
      <w:pPr>
        <w:pStyle w:val="TextoNormal"/>
      </w:pPr>
      <w:r>
        <w:t>c) O por un organismo independiente de control, acreditado en el cumplimiento de la norma sobre ‘Requisitos generales para entidades que realizan la certificación de producto’ (UNE-EN 45011 o norma que la sustituya) y autorizado por la Administración competente.</w:t>
      </w:r>
    </w:p>
    <w:p w:rsidR="0026452D" w:rsidRDefault="0026452D" w:rsidP="0026452D">
      <w:pPr>
        <w:pStyle w:val="TextoNormal"/>
      </w:pPr>
    </w:p>
    <w:p w:rsidR="0026452D" w:rsidRDefault="0026452D" w:rsidP="0026452D">
      <w:pPr>
        <w:pStyle w:val="TextoNormal"/>
      </w:pPr>
      <w:r>
        <w:t>d) O por un organismo independiente de inspección, acreditado en el cumplimiento de la norma sobre ‘Criterios generales para el funcionamiento de los diversos tipos de organismos que realizan inspección’ (UNE-EN 45004 o norma que la sustituya) y autorizado por la Administración competente.</w:t>
      </w:r>
    </w:p>
    <w:p w:rsidR="0026452D" w:rsidRDefault="0026452D" w:rsidP="0026452D">
      <w:pPr>
        <w:pStyle w:val="TextoNormal"/>
      </w:pPr>
    </w:p>
    <w:p w:rsidR="0026452D" w:rsidRDefault="0026452D" w:rsidP="0026452D">
      <w:pPr>
        <w:pStyle w:val="TextoNormal"/>
      </w:pPr>
      <w:r>
        <w:t>2. Cuando el Reglamento de un v.c.p.r.d. opte por uno de los sistemas de control regulados en los párrafos c) o d) del apartado anterior, la elección del organismo independiente de inspección o control corresponderá, en todo caso, al operador que deba ser objeto de control.</w:t>
      </w:r>
    </w:p>
    <w:p w:rsidR="0026452D" w:rsidRDefault="0026452D" w:rsidP="0026452D">
      <w:pPr>
        <w:pStyle w:val="TextoNormal"/>
      </w:pPr>
    </w:p>
    <w:p w:rsidR="0026452D" w:rsidRDefault="0026452D" w:rsidP="0026452D">
      <w:pPr>
        <w:pStyle w:val="TextoNormal"/>
      </w:pPr>
      <w:r>
        <w:lastRenderedPageBreak/>
        <w:t>3. Los organismos privados de inspección que cumplan la norma EN 45004 remitirán los resultados de sus controles a la autoridad competente, para que ésta decida sobre la concesión del nombre geográfico y sobre las medidas correctoras, en su caso, que podrán incluir la iniciación de procedimiento administrativo sancionador.</w:t>
      </w:r>
    </w:p>
    <w:p w:rsidR="0026452D" w:rsidRDefault="0026452D" w:rsidP="0026452D">
      <w:pPr>
        <w:pStyle w:val="TextoNormal"/>
      </w:pPr>
    </w:p>
    <w:p w:rsidR="0026452D" w:rsidRDefault="0026452D" w:rsidP="0026452D">
      <w:pPr>
        <w:pStyle w:val="TextoNormal"/>
      </w:pPr>
      <w:r>
        <w:t>4. Cuando el reglamento de un v.c.p.r.d. opte por el control de organismos privados autorizados que cumplan la norma sobre ‘Requisitos generales para entidades que realizan la certificación de producto’ la decisión de éstos sobre la concesión del nombre geográfico tendrá carácter vinculante para la autoridad competente.</w:t>
      </w:r>
    </w:p>
    <w:p w:rsidR="0026452D" w:rsidRDefault="0026452D" w:rsidP="0026452D">
      <w:pPr>
        <w:pStyle w:val="TextoNormal"/>
      </w:pPr>
    </w:p>
    <w:p w:rsidR="0026452D" w:rsidRDefault="0026452D" w:rsidP="0026452D">
      <w:pPr>
        <w:pStyle w:val="TextoNormal"/>
      </w:pPr>
      <w:r>
        <w:t>A tal efecto, tales organismos deberán:</w:t>
      </w:r>
    </w:p>
    <w:p w:rsidR="0026452D" w:rsidRDefault="0026452D" w:rsidP="0026452D">
      <w:pPr>
        <w:pStyle w:val="TextoNormal"/>
      </w:pPr>
    </w:p>
    <w:p w:rsidR="0026452D" w:rsidRDefault="0026452D" w:rsidP="0026452D">
      <w:pPr>
        <w:pStyle w:val="TextoNormal"/>
      </w:pPr>
      <w:r>
        <w:t>a) Tener establecido un procedimiento de certificación del v.c.p.r.d. según lo previsto en su reglamento, incluyendo la supervisión de la producción de la materia prima, de la elaboración del producto y del producto terminado.</w:t>
      </w:r>
    </w:p>
    <w:p w:rsidR="0026452D" w:rsidRDefault="0026452D" w:rsidP="0026452D">
      <w:pPr>
        <w:pStyle w:val="TextoNormal"/>
      </w:pPr>
    </w:p>
    <w:p w:rsidR="0026452D" w:rsidRDefault="0026452D" w:rsidP="0026452D">
      <w:pPr>
        <w:pStyle w:val="TextoNormal"/>
      </w:pPr>
      <w:r>
        <w:t>b) Tener fijadas las tarifas aplicables a cada uno de los productos objeto de control y certificación, por los conceptos que se determinen reglamentariamente por la Administración competente.</w:t>
      </w:r>
    </w:p>
    <w:p w:rsidR="0026452D" w:rsidRDefault="0026452D" w:rsidP="0026452D">
      <w:pPr>
        <w:pStyle w:val="TextoNormal"/>
      </w:pPr>
    </w:p>
    <w:p w:rsidR="0026452D" w:rsidRDefault="0026452D" w:rsidP="0026452D">
      <w:pPr>
        <w:pStyle w:val="TextoNormal"/>
      </w:pPr>
      <w:r>
        <w:t>c) Conservar para su posible consulta por la Administración competente, durante un plazo de seis años, los expedientes, documentación y datos de los controles realizados y de las certificaciones emitidas.</w:t>
      </w:r>
    </w:p>
    <w:p w:rsidR="0026452D" w:rsidRDefault="0026452D" w:rsidP="0026452D">
      <w:pPr>
        <w:pStyle w:val="TextoNormal"/>
      </w:pPr>
    </w:p>
    <w:p w:rsidR="0026452D" w:rsidRDefault="0026452D" w:rsidP="0026452D">
      <w:pPr>
        <w:pStyle w:val="TextoNormal"/>
      </w:pPr>
      <w:r>
        <w:t>d) Estar acreditado o haber solicitado la acreditación, conforme a la norma sobre ‘Requisitos generales para entidades que realizan la certificación de producto’, con un alcance que incluya el v.c.p.r.d., objeto de control y certificación.</w:t>
      </w:r>
    </w:p>
    <w:p w:rsidR="0026452D" w:rsidRDefault="0026452D" w:rsidP="0026452D">
      <w:pPr>
        <w:pStyle w:val="TextoNormal"/>
      </w:pPr>
    </w:p>
    <w:p w:rsidR="0026452D" w:rsidRDefault="0026452D" w:rsidP="0026452D">
      <w:pPr>
        <w:pStyle w:val="TextoNormal"/>
      </w:pPr>
      <w:r>
        <w:t>e) Comunicar a las autoridades competentes y a los órganos de gestión, la existencia de las irregularidades detectadas en el ejercicio de las funciones de control.</w:t>
      </w:r>
    </w:p>
    <w:p w:rsidR="0026452D" w:rsidRDefault="0026452D" w:rsidP="0026452D">
      <w:pPr>
        <w:pStyle w:val="TextoNormal"/>
      </w:pPr>
    </w:p>
    <w:p w:rsidR="0026452D" w:rsidRDefault="0026452D" w:rsidP="0026452D">
      <w:pPr>
        <w:pStyle w:val="TextoNormal"/>
      </w:pPr>
      <w:r>
        <w:t>5. En ningún caso tendrá la consideración de sanción la denegación de la utilización del nombre geográfico o la suspensión temporal de ésta.</w:t>
      </w:r>
    </w:p>
    <w:p w:rsidR="0026452D" w:rsidRDefault="0026452D" w:rsidP="0026452D">
      <w:pPr>
        <w:pStyle w:val="TextoNormal"/>
      </w:pPr>
    </w:p>
    <w:p w:rsidR="0026452D" w:rsidRDefault="0026452D" w:rsidP="0026452D">
      <w:pPr>
        <w:pStyle w:val="TextoNormal"/>
      </w:pPr>
      <w:r>
        <w:t>6. Sin perjuicio de los controles a los que se refieren los apartados anteriores, las Administraciones públicas competentes en materia vitivinícola podrán efectuar, en todo caso, aquellos controles complementarios que consideren convenientes, tanto a los operadores como a los organismos u órganos de control.”</w:t>
      </w:r>
    </w:p>
    <w:p w:rsidR="0026452D" w:rsidRDefault="0026452D" w:rsidP="0026452D">
      <w:pPr>
        <w:pStyle w:val="TextoNormal"/>
      </w:pPr>
    </w:p>
    <w:p w:rsidR="0026452D" w:rsidRDefault="0026452D" w:rsidP="0026452D">
      <w:pPr>
        <w:pStyle w:val="TextoNormal"/>
      </w:pPr>
      <w:r>
        <w:t xml:space="preserve">La primera norma que contiene el 27.1 de la Ley de la viña y del vino es que el control ha de estar separado de la gestión. La experiencia derivada del anterior sistema de protección de los vinos de calidad producidos en una región determinada, dimanante de la Ley 25/1970, de 2 de diciembre y Real Decreto 157/1988 , de 22 de febrero, en el que el órgano de gestión no solo administraba el nivel de protección sino que también tenía atribuidas las tareas de control, puso de relieve que la confusión de intereses contrapuestos en ocasiones perjudicaba la objetividad de los controles, con el detrimento consiguiente para la calidad de los vinos y la influencia negativa que ello comportaba sobre el nivel de protección en </w:t>
      </w:r>
      <w:r>
        <w:lastRenderedPageBreak/>
        <w:t>general y con el desincentivo propio a mejorar la calidad que se extendía entre los operadores. De este modo, cuando el art. 27 de la Ley de la viña y del vino impone que el control esté separado de la gestión está estableciendo una medida de notable significado para la ordenación vitivinícola, pues afecta directamente a la calidad de los vinos y prestigio de los niveles de protección, así como proporciona condiciones imprescindibles para que la competencia entre operadores sea leal.</w:t>
      </w:r>
    </w:p>
    <w:p w:rsidR="0026452D" w:rsidRDefault="0026452D" w:rsidP="0026452D">
      <w:pPr>
        <w:pStyle w:val="TextoNormal"/>
      </w:pPr>
    </w:p>
    <w:p w:rsidR="0026452D" w:rsidRDefault="0026452D" w:rsidP="0026452D">
      <w:pPr>
        <w:pStyle w:val="TextoNormal"/>
      </w:pPr>
      <w:r>
        <w:t>La segunda regla recogida en el 27.1 es que el reglamento de cada vino de calidad producido en regiones determinadas establecerá su sistema de control. Al igual que dijimos respecto de los apartados quinto, séptimo y noveno del art. 25 de la Ley de la viña y del vino, esta disposición solo es constitucional si se comprende en el sentido de que no impide la intermediación del legislador autonómico, que, en ejercicio legítimo de su competencia en materia de denominaciones de origen, podrá condicionar la actuación de la Administración competente, interpretación que también llevaremos al fallo.</w:t>
      </w:r>
    </w:p>
    <w:p w:rsidR="0026452D" w:rsidRDefault="0026452D" w:rsidP="0026452D">
      <w:pPr>
        <w:pStyle w:val="TextoNormal"/>
      </w:pPr>
    </w:p>
    <w:p w:rsidR="0026452D" w:rsidRDefault="0026452D" w:rsidP="0026452D">
      <w:pPr>
        <w:pStyle w:val="TextoNormal"/>
      </w:pPr>
      <w:r>
        <w:t>El 27.1 de la Ley 24/2003 de la viña y del vino contiene un tercer mandato que consiste en que el legislador autonómico y el reglamento de cada vino de calidad producido en regiones determinadas no pueden configurar cualquier sistema de control, sino que han de seleccionar uno de los cuatro que contempla el art. 27.1 de la Ley, según sea desempeñado (a) por un organismo público, (b) por un órgano de control inserto en el de gestión pero separado de él y con garantías de funcionamiento independiente, (c) por un organismo independiente de control y (d) por un organismo independiente de inspección. La regulación de estos dos últimos sistemas de control se complementa con lo dispuesto en el art. 27.3 y 27.4. Conforme al art. 27.3 de la Ley, los organismos privados de inspección remitirán los resultados de sus controles a la autoridad competente para que ésta decida. De acuerdo con el 27.4 de la Ley, por el contrario, la decisión de los organismos privados de control tendrán carácter vinculante para la autoridad competente, lo que lleva aparejado que deban cumplir cinco condiciones adicionales previstas en ese mismo 27.4 para reforzar la objetividad de sus controles.</w:t>
      </w:r>
    </w:p>
    <w:p w:rsidR="0026452D" w:rsidRDefault="0026452D" w:rsidP="0026452D">
      <w:pPr>
        <w:pStyle w:val="TextoNormal"/>
      </w:pPr>
    </w:p>
    <w:p w:rsidR="0026452D" w:rsidRDefault="0026452D" w:rsidP="0026452D">
      <w:pPr>
        <w:pStyle w:val="TextoNormal"/>
      </w:pPr>
      <w:r>
        <w:t>Las mismas razones expuestas respecto de la primera regla son plenamente aplicables a esta tercera, pues de un análisis meditado del art. 27.1 de la Ley de la viña y del vino, y de los arts. 27.3 y 27.4 que lo complementan, se desprende que si se recogen esos cuatro tipos de mecanismo de control, con las características propias de cada uno de ellos, es porque son los únicos que pueden ofrecer las garantías de objetividad necesarias para asegurar la calidad de los vinos y proporcionar bases suficientes para una competencia leal, procediendo añadir que no se exceden de lo que exige el logro efectivo de ese objetivo. A esto se suma que el sistema descrito no vacía de contenido la competencia autonómica, pues deja amplios márgenes de opción para precisar el mecanismo definitivo. De un lado, la instancia autonómica será quien, a través del legislador e igualmente al aprobar el reglamento de cada vino de calidad producido en regiones determinadas, seleccionará el mecanismo aplicable y de otro, cada uno de los modos de control que admite el precepto, salvo el primero, remiten para su configuración final a la Administración competente [arts. 27.1 b) 2, 27.1 c) y 27.1 d)].</w:t>
      </w:r>
    </w:p>
    <w:p w:rsidR="0026452D" w:rsidRDefault="0026452D" w:rsidP="0026452D">
      <w:pPr>
        <w:pStyle w:val="TextoNormal"/>
      </w:pPr>
    </w:p>
    <w:p w:rsidR="0026452D" w:rsidRDefault="0026452D" w:rsidP="0026452D">
      <w:pPr>
        <w:pStyle w:val="TextoNormal"/>
      </w:pPr>
      <w:r>
        <w:t xml:space="preserve">Los apartados quinto y sexto refuerzan la idea de objetividad y efectividad del control que tiene notables repercusiones económicas en el sector del vino, como ya hemos indicado. En efecto, el apartado quinto prevé que cuando un control manifieste la falta de condiciones </w:t>
      </w:r>
      <w:r>
        <w:lastRenderedPageBreak/>
        <w:t>de un operador se le denegará el uso del nombre geográfico o se le suspenderá en él precisamente por carecer de los requisitos exigibles para su uso, sin necesidad de seguir un cauce sancionador al efecto. Por su parte, el apartado sexto garantiza la objetividad de los controles posibilitando que las Administraciones competentes verifiquen el funcionamiento de los organismos de control o realicen controles adicionales a los operadores del sector del vino.</w:t>
      </w:r>
    </w:p>
    <w:p w:rsidR="0026452D" w:rsidRDefault="0026452D" w:rsidP="0026452D">
      <w:pPr>
        <w:pStyle w:val="TextoNormal"/>
      </w:pPr>
    </w:p>
    <w:p w:rsidR="0026452D" w:rsidRDefault="0026452D" w:rsidP="0026452D">
      <w:pPr>
        <w:pStyle w:val="TextoNormal"/>
      </w:pPr>
      <w:r>
        <w:t>No sucede lo mismo con la previsión contenida en el art. 27.2 de la Ley de la viña y del vino, pues no se puede decir que la medida que recoge esté orientada a garantizar la objetividad del control y, en consecuencia, a favorecer la calidad de los vinos y las condiciones que aseguren la competencia leal entre los intervinientes en ese mercado. En efecto, permitir que, en determinados casos, sea el operador que deba ser objeto de control quien seleccione al concreto organismo de control o de inspección que va a realizar la fiscalización puede contribuir precisamente al surgimiento de situaciones de confusión de intereses, dado que el supervisado elige al supervisor, que pueden poner en tela de juicio la objetividad del referido control.</w:t>
      </w:r>
    </w:p>
    <w:p w:rsidR="0026452D" w:rsidRDefault="0026452D" w:rsidP="0026452D">
      <w:pPr>
        <w:pStyle w:val="TextoNormal"/>
      </w:pPr>
    </w:p>
    <w:p w:rsidR="0026452D" w:rsidRDefault="0026452D" w:rsidP="0026452D">
      <w:pPr>
        <w:pStyle w:val="TextoNormal"/>
      </w:pPr>
      <w:r>
        <w:t>Por ello, al constatarse que no existe conexión con los criterios generales de ordenación del sector del vino, el Estado invade en el art. 27.2 de la Ley 24/2003 la competencia autonómica exclusiva en materia de denominaciones de origen, incurriendo por ello en inconstitucionalidad.</w:t>
      </w:r>
    </w:p>
    <w:p w:rsidR="0026452D" w:rsidRDefault="0026452D" w:rsidP="0026452D">
      <w:pPr>
        <w:pStyle w:val="TextoNormal"/>
      </w:pPr>
    </w:p>
    <w:p w:rsidR="0026452D" w:rsidRDefault="0026452D" w:rsidP="0026452D">
      <w:pPr>
        <w:pStyle w:val="TextoNormal"/>
      </w:pPr>
      <w:r>
        <w:t xml:space="preserve">En suma, procede afirmar que los apartados uno, tres, cuatro, cinco y seis del art. 27 de la Ley de la viña y del vino constituyen una intervención estatal en el ámbito material de las denominaciones de origen amparada en el título competencial que corresponde al Estado </w:t>
      </w:r>
      <w:r w:rsidRPr="0026452D">
        <w:rPr>
          <w:i/>
        </w:rPr>
        <w:t>ex</w:t>
      </w:r>
      <w:r>
        <w:t xml:space="preserve"> art. 149.1.13 CE y, dado que no vacían de contenido la competencia autonómica (SSTC 186/1988, FJ 7; 75/1989, FJ 5; y 95/2001, FJ 3), pues se limitan a establecer varios sistemas de control remitiendo a una instancia posterior la opción por uno u otro, no suponen invasión de la competencia autonómica sobre dicho ámbito material. En especial, el inciso del art. 27.1 que dispone que “el reglamento de cada vino de calidad producido en regiones determinadas establecerá su sistema de control” es constitucional siempre que se interprete que la remisión que hace al “reglamento de cada v.c.p.r.d.” no impide la intermediación del legislador autonómico, que, en ejercicio legítimo de su competencia en materia de denominaciones de origen, podrá condicionar la actuación de la Administración competente.</w:t>
      </w:r>
    </w:p>
    <w:p w:rsidR="0026452D" w:rsidRDefault="0026452D" w:rsidP="0026452D">
      <w:pPr>
        <w:pStyle w:val="TextoNormal"/>
      </w:pPr>
    </w:p>
    <w:p w:rsidR="0026452D" w:rsidRDefault="0026452D" w:rsidP="0026452D">
      <w:pPr>
        <w:pStyle w:val="TextoNormal"/>
      </w:pPr>
      <w:r w:rsidRPr="0026452D">
        <w:rPr>
          <w:rStyle w:val="NumeroAFNegritaCaracter"/>
        </w:rPr>
        <w:t>15</w:t>
      </w:r>
      <w:r>
        <w:t>. Examinada la calificación como básicos de los artículos relacionados en el encabezamiento en cuanto a la alegada invasión de la competencia exclusiva de Cataluña en materia de denominaciones de origen y otras menciones de calidad, procede a continuación, siguiendo el orden de exposición del escrito de impugnación, analizar si tal calificación respecto del art. 25 (excepto sus apartados 4, 8 y 10) y el art. 26 [excepto los párrafos b), e) y g) de su apartado 2] invade la competencia de autorganización de dicha Comunidad Autónoma.</w:t>
      </w:r>
    </w:p>
    <w:p w:rsidR="0026452D" w:rsidRDefault="0026452D" w:rsidP="0026452D">
      <w:pPr>
        <w:pStyle w:val="TextoNormal"/>
      </w:pPr>
    </w:p>
    <w:p w:rsidR="0026452D" w:rsidRDefault="0026452D" w:rsidP="0026452D">
      <w:pPr>
        <w:pStyle w:val="TextoNormal"/>
      </w:pPr>
      <w:r>
        <w:t xml:space="preserve">Desde esta exclusiva perspectiva, puesto que el examen de dichos preceptos ya ha sido efectuado, procede subrayar que el art. 25 de la Ley de la viña y del vino, bajo la rúbrica “Órganos de gestión de los vinos de calidad producidos en una región determinada”, establece, en lo que aquí interesa, que la gestión de cada uno de esos vinos de calidad producidos en región determinada la desempeñará un órgano en el que estarán representados los titulares de viñedos y bodegas inscritos en los registros que se establezcan en su norma específica </w:t>
      </w:r>
      <w:r>
        <w:lastRenderedPageBreak/>
        <w:t>reguladora. Tales órganos de gestión tendrán personalidad jurídica propia, de naturaleza pública o privada, y plena capacidad de obrar y funcionarán en régimen de derecho público o privado. Se regirán por lo dispuesto en la propia Ley de la viña y del vino, en las leyes de las Comunidades Autónomas con competencias en la materia, en sus respectivas normas de desarrollo y en la norma específica del vino de calidad producido en una región determinada, así como en sus estatutos particulares en su caso.</w:t>
      </w:r>
    </w:p>
    <w:p w:rsidR="0026452D" w:rsidRDefault="0026452D" w:rsidP="0026452D">
      <w:pPr>
        <w:pStyle w:val="TextoNormal"/>
      </w:pPr>
    </w:p>
    <w:p w:rsidR="0026452D" w:rsidRDefault="0026452D" w:rsidP="0026452D">
      <w:pPr>
        <w:pStyle w:val="TextoNormal"/>
      </w:pPr>
      <w:r>
        <w:t>Después de establecer el art. 25.5 de la Ley que los órganos de gestión deberán ser autorizados por la Administración competente antes de iniciar su actividad, se consigna que reglamentariamente en el ámbito de la Administración general del Estado, y por la legislación correspondiente en el ámbito de las comunidades autónomas, se podrán establecer las mayorías cualificadas necesarias para la adopción de acuerdos por el órgano de gestión, cuya estructura y funcionamiento se realizarán “mediante el desarrollo reglamentario oportuno efectuado por la autoridad competente, cumpliendo, en cualquier caso, lo establecido en esta ley y manteniendo como principio básico su funcionamiento sin ánimo de lucro y la representatividad de los intereses económicos y sectoriales integrados en el vino de calidad producido en una región determinada, con especial contemplación de los minoritarios, debiendo existir paridad en la representación de los diferentes intereses en presencia” (art. 25.7).</w:t>
      </w:r>
    </w:p>
    <w:p w:rsidR="0026452D" w:rsidRDefault="0026452D" w:rsidP="0026452D">
      <w:pPr>
        <w:pStyle w:val="TextoNormal"/>
      </w:pPr>
    </w:p>
    <w:p w:rsidR="0026452D" w:rsidRDefault="0026452D" w:rsidP="0026452D">
      <w:pPr>
        <w:pStyle w:val="TextoNormal"/>
      </w:pPr>
      <w:r>
        <w:t>Finalmente, el art 25.9 de la Ley de la viña y del vino establece que cuando el órgano de gestión revista la modalidad de entidad de derecho público, la Administración competente fijará las condiciones de establecimiento de cuotas de pertenencia y derechos por prestación de servicios en los términos que por la normativa correspondiente se determinen.</w:t>
      </w:r>
    </w:p>
    <w:p w:rsidR="0026452D" w:rsidRDefault="0026452D" w:rsidP="0026452D">
      <w:pPr>
        <w:pStyle w:val="TextoNormal"/>
      </w:pPr>
    </w:p>
    <w:p w:rsidR="0026452D" w:rsidRDefault="0026452D" w:rsidP="0026452D">
      <w:pPr>
        <w:pStyle w:val="TextoNormal"/>
      </w:pPr>
      <w:r>
        <w:t>Por su parte, el art. 26 de la Ley establece, como ya hemos subrayado, que los órganos de gestión tienen por fines “la representación, defensa, garantía, investigación y desarrollo de mercados y promoción tanto de los vinos amparados como del nivel de protección” y a continuación enumera sus funciones.</w:t>
      </w:r>
    </w:p>
    <w:p w:rsidR="0026452D" w:rsidRDefault="0026452D" w:rsidP="0026452D">
      <w:pPr>
        <w:pStyle w:val="TextoNormal"/>
      </w:pPr>
    </w:p>
    <w:p w:rsidR="0026452D" w:rsidRDefault="0026452D" w:rsidP="0026452D">
      <w:pPr>
        <w:pStyle w:val="TextoNormal"/>
      </w:pPr>
      <w:r>
        <w:t>En los antecedentes consta que el Parlamento recurrente alega que la Ley catalana 15/2002, de 27 de junio, de ordenación vitivinícola, ha configurado los consejos reguladores de las denominaciones de origen como corporaciones de Derecho público cuyas actuaciones, cuando comporten el ejercicio de potestades públicas, quedan sujetas al Derecho administrativo, lo que supone que forman parte de la Administración institucional catalana, que crea y modula la Generalitat de Cataluña, en uso de su poder de autorganización, sin que el hecho de que su competencia en materia de denominaciones de origen haya de ejercerse de acuerdo con la ordenación económica general y en colaboración con el Estado permita a éste invadir aquella potestad.</w:t>
      </w:r>
    </w:p>
    <w:p w:rsidR="0026452D" w:rsidRDefault="0026452D" w:rsidP="0026452D">
      <w:pPr>
        <w:pStyle w:val="TextoNormal"/>
      </w:pPr>
    </w:p>
    <w:p w:rsidR="0026452D" w:rsidRDefault="0026452D" w:rsidP="0026452D">
      <w:pPr>
        <w:pStyle w:val="TextoNormal"/>
      </w:pPr>
      <w:r>
        <w:t>El Abogado del Estado, por su parte, defiende la constitucionalidad del carácter básico de esos dos preceptos, que pretenden asegurar un mínimo de operatividad y eficacia en la gestión de los vinos de calidad producidos en una región determinada, imponiendo la separación de la funciones de gestión y de control y que, además, no imponen un modelo concreto de organización, sino que ofrecen diversas opciones a las comunidades autónomas competentes.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16</w:t>
      </w:r>
      <w:r>
        <w:t>. Esta segunda impugnación también tiene contenido competencial. El Tribunal ha de resolver si la competencia autonómica de autoorganización proyectada sobre los órganos de gestión de los vinos de calidad producidos en región determinada puede verse limitada en los términos previstos en los apartados impugnados de los arts. 25 y 26 de la Ley 24/2003 por la competencia estatal para establecer las bases de la planificación económica general (art. 149.1.13 CE) o por la que le corresponde en materia de bases del régimen jurídico de las Administraciones públicas (art. 149.1.18 CE).</w:t>
      </w:r>
    </w:p>
    <w:p w:rsidR="0026452D" w:rsidRDefault="0026452D" w:rsidP="0026452D">
      <w:pPr>
        <w:pStyle w:val="TextoNormal"/>
      </w:pPr>
    </w:p>
    <w:p w:rsidR="0026452D" w:rsidRDefault="0026452D" w:rsidP="0026452D">
      <w:pPr>
        <w:pStyle w:val="TextoNormal"/>
      </w:pPr>
      <w:r>
        <w:t xml:space="preserve">Respecto de la competencia relativa a la libre organización de la propia Administración autonómica, en la STC 50/1999, 6 de abril, FJ 3, dijimos que “debe advertirse que esta competencia, que efectivamente ha sido reconocida por este Tribunal en diversas ocasiones como algo inherente a la autonomía (STC 227/1988, fundamento jurídico 24), en tanto que competencia exclusiva tiene como único contenido la potestad para crear, modificar y suprimir los órganos, unidades administrativas o entidades que configuran las respectivas Administraciones autonómicas o dependen de ellas (SSTC 35/1982, 165/1986, 137/1988 y 227/1988). Hemos declarado que ‘conformar libremente la estructura orgánica de su aparato administrativo’ (STC 165/1986, fundamento jurídico 6), establecer cuales son ‘los órganos e instituciones’ que configuran las respectivas Administraciones (STC 35/1982, fundamento jurídico 2), son decisiones que corresponden únicamente a las Comunidades Autónomas y, en consecuencia, el Estado debe abstenerse de cualquier intervención en este ámbito (STC 227/1988 y </w:t>
      </w:r>
      <w:r w:rsidRPr="0026452D">
        <w:rPr>
          <w:i/>
        </w:rPr>
        <w:t>a sensu contrario</w:t>
      </w:r>
      <w:r>
        <w:t xml:space="preserve"> STC 13/1988)”. Y en la STC 251/2006, de 25 de julio, FJ 10, puntualizamos que “en lo relativo al alcance que pueden tener los criterios normativos que el Estado puede imponer a las Comunidades Autónomas en una materia tan relevante para el principio de autonomía como lo es la organización administrativa de aquéllas, ‘no debe olvidarse que, según establece el art. 149.1.18 CE, el objetivo fundamental, aunque no único, de las bases en esta materia es el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(STC50/1999, de 6 de abril, FJ 3).”</w:t>
      </w:r>
    </w:p>
    <w:p w:rsidR="0026452D" w:rsidRDefault="0026452D" w:rsidP="0026452D">
      <w:pPr>
        <w:pStyle w:val="TextoNormal"/>
      </w:pPr>
    </w:p>
    <w:p w:rsidR="0026452D" w:rsidRDefault="0026452D" w:rsidP="0026452D">
      <w:pPr>
        <w:pStyle w:val="TextoNormal"/>
      </w:pPr>
      <w:r>
        <w:t>Sin embargo, en la misma STC 50/1999 recordamos que “también hemos reiterado desde la STC 32/1981, fundamento jurídico 6, que fuera de este ámbito de actividad autonómica exclusiva, el Estado puede establecer, desde la competencia sobre bases del régimen jurídico de las Administraciones públicas del art. 149.1.18 CE, principios y reglas básicas sobre aspectos organizativos y de funcionamiento de todas las Administraciones públicas. Esto significa que, en palabras de la STC 227/1988, ‘la potestad organizatoria (autonómica) ... para determinar el régimen jurídico de la organización y funcionamiento’ de su propia Administración, no tiene carácter exclusivo, sino que debe respetar y, en su caso, desarrollar las bases establecidas por el Estado. En definitiva, salvo en lo relativo a la creación de la propia Administración, la potestad de autoorganización, incluso en lo que afecta a los aspectos de organización interna y de funcionamiento, no puede incluirse en la competencia exclusiva de autoorganización de las Comunidades Autónomas; aunque ciertamente, como veremos de inmediato,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w:t>
      </w:r>
    </w:p>
    <w:p w:rsidR="0026452D" w:rsidRDefault="0026452D" w:rsidP="0026452D">
      <w:pPr>
        <w:pStyle w:val="TextoNormal"/>
      </w:pPr>
    </w:p>
    <w:p w:rsidR="0026452D" w:rsidRDefault="0026452D" w:rsidP="0026452D">
      <w:pPr>
        <w:pStyle w:val="TextoNormal"/>
      </w:pPr>
      <w:r>
        <w:t xml:space="preserve">La competencia autonómica relativa a su organización también puede encontrar un límite en el ejercicio legítimo de la competencia estatal para establecer las bases de la planificación económica general </w:t>
      </w:r>
      <w:r w:rsidRPr="0026452D">
        <w:rPr>
          <w:i/>
        </w:rPr>
        <w:t>ex</w:t>
      </w:r>
      <w:r>
        <w:t xml:space="preserve"> art. 149.1.13 CE en los términos que ya expusimos en otro lugar de esta sentencia, a lo que debemos añadir que este Tribunal ha admitido que esa competencia puede limitar decisiones de la Administración sobre ámbitos de su organización como la tasa de reposición de efectivos (SSTC 171/1996, de 30 de octubre, FFJJ 2 y 3; 62/2001, de 1 de marzo, FJ 4; y 24/2002, de 31 de enero, FJ 5) o el incremento de la retribución de sus funcionarios (por todas, STC 222/2006, de 6 de julio).</w:t>
      </w:r>
    </w:p>
    <w:p w:rsidR="0026452D" w:rsidRDefault="0026452D" w:rsidP="0026452D">
      <w:pPr>
        <w:pStyle w:val="TextoNormal"/>
      </w:pPr>
    </w:p>
    <w:p w:rsidR="0026452D" w:rsidRDefault="0026452D" w:rsidP="0026452D">
      <w:pPr>
        <w:pStyle w:val="TextoNormal"/>
      </w:pPr>
      <w:r w:rsidRPr="0026452D">
        <w:rPr>
          <w:rStyle w:val="NumeroAFNegritaCaracter"/>
        </w:rPr>
        <w:t>17</w:t>
      </w:r>
      <w:r>
        <w:t>. Procederemos a continuación a resolver esta segunda controversia competencial a partir de la doctrina constitucional reseñada.</w:t>
      </w:r>
    </w:p>
    <w:p w:rsidR="0026452D" w:rsidRDefault="0026452D" w:rsidP="0026452D">
      <w:pPr>
        <w:pStyle w:val="TextoNormal"/>
      </w:pPr>
    </w:p>
    <w:p w:rsidR="0026452D" w:rsidRDefault="0026452D" w:rsidP="0026452D">
      <w:pPr>
        <w:pStyle w:val="TextoNormal"/>
      </w:pPr>
      <w:r>
        <w:t>Hemos de partir de que los órganos de gestión de las denominaciones de origen y de las denominaciones de origen calificadas es una materia eminentemente autonómica. Ello resulta de que realizan funciones públicas que tienen atribuidas las Comunidades Autónomas y éstas, de acuerdo a la doctrina constitucional citada, disponen de un amplio margen para organizar cómo ejercitar las actividades que le son propias, sin olvidar tampoco que estas actividades públicas encomendadas a los consejos reguladores, al vincular la actuación de los titulares de viñedos y bodegas de ese ámbito, tienen una mayor incidencia externa, por lo que mayor relevancia podrá tener la intervención estatal en materia de bases del régimen jurídico de las Administraciones públicas.</w:t>
      </w:r>
    </w:p>
    <w:p w:rsidR="0026452D" w:rsidRDefault="0026452D" w:rsidP="0026452D">
      <w:pPr>
        <w:pStyle w:val="TextoNormal"/>
      </w:pPr>
    </w:p>
    <w:p w:rsidR="0026452D" w:rsidRDefault="0026452D" w:rsidP="0026452D">
      <w:pPr>
        <w:pStyle w:val="TextoNormal"/>
      </w:pPr>
      <w:r>
        <w:t>Ahora bien, es igualmente cierto que las competencias autonómicas, ni siquiera las que le corresponden con el carácter de exclusivas, no cierran el paso a las competencias que el art. 149.1 CE reconoce al Estado, que constituyen, en expresión de la STC 31/2010, de 28 de junio, FJ 104, “límites infranqueables a los enunciados estatutarios”. Lo que tenemos que dilucidar, por tanto, es si los preceptos recurridos son legítimo ejercicio de alguna de estas competencias estatales, pues, de serlo, los límites que imponen a la potestad autoorganizatoria de la Comunidad Autónoma de Cataluña serán constitucionalmente lícitos.</w:t>
      </w:r>
    </w:p>
    <w:p w:rsidR="0026452D" w:rsidRDefault="0026452D" w:rsidP="0026452D">
      <w:pPr>
        <w:pStyle w:val="TextoNormal"/>
      </w:pPr>
    </w:p>
    <w:p w:rsidR="0026452D" w:rsidRDefault="0026452D" w:rsidP="0026452D">
      <w:pPr>
        <w:pStyle w:val="TextoNormal"/>
      </w:pPr>
      <w:r>
        <w:t>Los apartados impugnados de los arts. 25 y 26 de la Ley de la viña y del vino condicionan la organización y funcionamiento de los órganos de gestión de los vinos de calidad producidos en región determinada en tres únicos sentidos: a) imponen que el órgano de gestión esté integrado por los titulares de los intereses económicos y profesionales implicados en cada vino de calidad producido en regiones determinadas; b) prevén que dicho órgano tenga personalidad jurídica propia y c) designan las funciones que como mínimo tendrán atribuidas, las cuales, como ya se apuntó en el lugar correspondiente de esta resolución, son inherentes al modelo de gestión configurado en el art. 25 de la Ley. En lo demás, en los términos ya señalados al examinar dichos preceptos en los fundamentos jurídicos 12 y 13, se deja amplio margen de actuación al legislador autonómico.</w:t>
      </w:r>
    </w:p>
    <w:p w:rsidR="0026452D" w:rsidRDefault="0026452D" w:rsidP="0026452D">
      <w:pPr>
        <w:pStyle w:val="TextoNormal"/>
      </w:pPr>
    </w:p>
    <w:p w:rsidR="0026452D" w:rsidRDefault="0026452D" w:rsidP="0026452D">
      <w:pPr>
        <w:pStyle w:val="TextoNormal"/>
      </w:pPr>
      <w:r>
        <w:t xml:space="preserve">De este análisis se infiere que los únicos aspectos organizativos y de funcionamiento del órgano de gestión derivados de los apartados impugnados de los arts. 25 y 26 que limitan la competencia autonómica de autoorganización están estrechamente relacionados con la consecución de los fines previstos en el art. 12 que contiene las líneas directrices de la ordenación general del sector vitivinícola. En efecto, el modelo de órgano de gestión de cada vino de calidad producido en una región determinada que regula el art. 25 de la Ley de la viña y </w:t>
      </w:r>
      <w:r>
        <w:lastRenderedPageBreak/>
        <w:t>del vino está basado en que el mejor conocimiento de la realidad del sector y la mayor proximidad con los intereses en juego determina que las decisiones de gestión adoptadas por los propios titulares de viñedos y bodegas integrados en cada uno de ellos coadyuvan a la calidad y diversidad del producto. Esta configuración exige, como ya se razonó, que la gestión esté presidida por un principio de autoadministración y que el órgano que la realice tenga personalidad jurídica y un mínimo de funciones como el que le garantiza el art. 26 de la Ley.</w:t>
      </w:r>
    </w:p>
    <w:p w:rsidR="0026452D" w:rsidRDefault="0026452D" w:rsidP="0026452D">
      <w:pPr>
        <w:pStyle w:val="TextoNormal"/>
      </w:pPr>
    </w:p>
    <w:p w:rsidR="0026452D" w:rsidRDefault="0026452D" w:rsidP="0026452D">
      <w:pPr>
        <w:pStyle w:val="TextoNormal"/>
      </w:pPr>
      <w:r>
        <w:t>En todo caso, el recurso no critica con suficientes razonamientos la normativa contenida en los arts. 25 y 26, por lo que nos limitaremos a señalar que el art. 25 de la Ley de la viña y del vino no impone al legislador autonómico la naturaleza pública o privada de los órganos de gestión, decisión que queda en manos de aquél, ni parece impedir que la ley catalana conserve la caracterización de los consejos reguladores como corporaciones de Derecho público.</w:t>
      </w:r>
    </w:p>
    <w:p w:rsidR="0026452D" w:rsidRDefault="0026452D" w:rsidP="0026452D">
      <w:pPr>
        <w:pStyle w:val="TextoNormal"/>
      </w:pPr>
    </w:p>
    <w:p w:rsidR="0026452D" w:rsidRDefault="0026452D" w:rsidP="0026452D">
      <w:pPr>
        <w:pStyle w:val="TextoNormal"/>
      </w:pPr>
      <w:r>
        <w:t>Por estas razones, hemos de concluir que el Estado puede dictar estas normas al amparo de la competencia prevenida en el art. 149.1.13 CE, no invadiendo con ello la competencia de autoorganización que hace valer la Cámara recurrente, lo que nos conduce a desestimar también esta segunda impugnación.</w:t>
      </w:r>
    </w:p>
    <w:p w:rsidR="0026452D" w:rsidRDefault="0026452D" w:rsidP="0026452D">
      <w:pPr>
        <w:pStyle w:val="TextoNormal"/>
      </w:pPr>
    </w:p>
    <w:p w:rsidR="0026452D" w:rsidRDefault="0026452D" w:rsidP="0026452D">
      <w:pPr>
        <w:pStyle w:val="TextoNormal"/>
      </w:pPr>
      <w:r w:rsidRPr="0026452D">
        <w:rPr>
          <w:rStyle w:val="NumeroAFNegritaCaracter"/>
        </w:rPr>
        <w:t>18</w:t>
      </w:r>
      <w:r>
        <w:t>. Junto a este motivo, existen otros dos que coadyuvan a dicha desestimación. De un lado, negamos que la circunstancia de que la Ley del Parlamento de Cataluña 15/2002, de 27 de junio, de ordenación vitivinícola, al atribuir en su art. 10.1 carácter de corporaciones de Derecho público a los consejos reguladores de las denominaciones de origen de Cataluña haya convertido a dichos consejos en órganos de la Administración catalana, pues una cosa es, en efecto, que tales corporaciones participen de la naturaleza de las administraciones públicas (STC 20/1988, de 18 de febrero, FJ 4) y otra que sean órganos administrativos personificados integrados en la administración institucional.</w:t>
      </w:r>
    </w:p>
    <w:p w:rsidR="0026452D" w:rsidRDefault="0026452D" w:rsidP="0026452D">
      <w:pPr>
        <w:pStyle w:val="TextoNormal"/>
      </w:pPr>
    </w:p>
    <w:p w:rsidR="0026452D" w:rsidRDefault="0026452D" w:rsidP="0026452D">
      <w:pPr>
        <w:pStyle w:val="TextoNormal"/>
      </w:pPr>
      <w:r>
        <w:t>El propio art. 10 de la citada Ley 15/2002, de 27 de junio, de ordenación vitivinícola, confirma esta apreciación cuando prevé que la Administración de la Generalitat esté representada en la comisión rectora de cada denominación de origen, como sujeto externo a la misma, por dos vocales sin derecho a voto designados por el Instituto Catalán de la Viña y el Vino, este sí, organismo de aquella Administración.</w:t>
      </w:r>
    </w:p>
    <w:p w:rsidR="0026452D" w:rsidRDefault="0026452D" w:rsidP="0026452D">
      <w:pPr>
        <w:pStyle w:val="TextoNormal"/>
      </w:pPr>
    </w:p>
    <w:p w:rsidR="0026452D" w:rsidRDefault="0026452D" w:rsidP="0026452D">
      <w:pPr>
        <w:pStyle w:val="TextoNormal"/>
      </w:pPr>
      <w:r>
        <w:t>Además, frente a una alegación similar, también referida a la gestión dentro del sector del vino, tuvimos ocasión de puntualizar en la STC 186/1988, de 17 de octubre, FJ 7, que “no resultan convincentes las alegaciones de la representación del Gobierno Vasco acerca de la invasión por el art. 4.1 del Real Decreto de la competencia del País Vasco para regular su organización institucional, ya que las ‘organizaciones profesionales agrarias’ y ‘otras instituciones afectadas’ a las que el precepto se refiere no son encuadrables dentro de la organización institucional de la Comunidad Autónoma en el sentido estatutario que la misma tiene, las primeras por ser colectivos que se desarrollan al margen de la organización de la Comunidad Autónoma y las segundas por indeterminadas.•</w:t>
      </w:r>
    </w:p>
    <w:p w:rsidR="0026452D" w:rsidRDefault="0026452D" w:rsidP="0026452D">
      <w:pPr>
        <w:pStyle w:val="TextoNormal"/>
      </w:pPr>
    </w:p>
    <w:p w:rsidR="0026452D" w:rsidRDefault="0026452D" w:rsidP="0026452D">
      <w:pPr>
        <w:pStyle w:val="TextoNormal"/>
      </w:pPr>
      <w:r>
        <w:t xml:space="preserve">El otro motivo consiste en que, como se admite en la demanda por referencia a la STC 112/1995, de 6 de julio, forma parte del “núcleo fundamental” de la materia denominaciones de origen “el establecimiento y gestión de organismos y procedimientos de seguimiento, </w:t>
      </w:r>
      <w:r>
        <w:lastRenderedPageBreak/>
        <w:t>control, inspección y sanción, tendentes a asegurar el cumplimiento de la normativa” (FJ 2), lo que comprende la regulación de los órganos de gestión. Ello resulta corroborado por la propia legislación catalana, en la medida que la regulación de estos órganos de gestión la efectúa, no en una norma horizontal u organizativa, sino en la norma sectorial en que regula las denominaciones de origen vinícolas (la Ley 15/2002, de 27 de junio, de ordenación vitivinícola). Resulta así que la regulación de los órganos de gestión no afecta a las competencias de organización de la Administración de la Generalitat y, por el contrario, forma parte del contenido propio de la materia denominaciones de origen, sobre la que como hemos indicado, pueden incidir las bases estatales.</w:t>
      </w:r>
    </w:p>
    <w:p w:rsidR="0026452D" w:rsidRDefault="0026452D" w:rsidP="0026452D">
      <w:pPr>
        <w:pStyle w:val="TextoNormal"/>
      </w:pPr>
    </w:p>
    <w:p w:rsidR="0026452D" w:rsidRDefault="0026452D" w:rsidP="0026452D">
      <w:pPr>
        <w:pStyle w:val="TextoNormal"/>
      </w:pPr>
      <w:r>
        <w:t>En este sentido, como reconocimos en los fundamentos jurídicos 75 y 93 de la STC 31/2010, de 28 de junio, la competencia sobre gestión o control de comercialización no impide que el Estado pueda dictar normas ordenadoras con fundamento en el artículo 149.1.18 CE en aspectos organizativos, o con apoyo en otro título competencial, como aquí hemos reconocido con fundamento en el artículo 149.1.13 CE que presupone la existencia de la competencia estatal sobre las bases y coordinación de la planificación general de la actividad económica.</w:t>
      </w:r>
    </w:p>
    <w:p w:rsidR="0026452D" w:rsidRDefault="0026452D" w:rsidP="0026452D">
      <w:pPr>
        <w:pStyle w:val="TextoNormal"/>
      </w:pPr>
    </w:p>
    <w:p w:rsidR="0026452D" w:rsidRDefault="0026452D" w:rsidP="0026452D">
      <w:pPr>
        <w:pStyle w:val="TextoNormal"/>
      </w:pPr>
      <w:r w:rsidRPr="0026452D">
        <w:rPr>
          <w:rStyle w:val="NumeroAFNegritaCaracter"/>
        </w:rPr>
        <w:t>19</w:t>
      </w:r>
      <w:r>
        <w:t>. La tercera y última impugnación se dirige contra la disposición final segunda de la Ley de la viña y del vino, en cuanto que declara como legislación básica el apartado 1 del art. 38, los apartados 1 y 3 del art. 39, los apartados 1, 3 y 4 y los párrafos a) y b) del apartado 2 del art. 40 y los arts. 41, 42, 44 y 45 de la mencionada Ley, preceptos todos ellos de carácter sancionador.</w:t>
      </w:r>
    </w:p>
    <w:p w:rsidR="0026452D" w:rsidRDefault="0026452D" w:rsidP="0026452D">
      <w:pPr>
        <w:pStyle w:val="TextoNormal"/>
      </w:pPr>
    </w:p>
    <w:p w:rsidR="0026452D" w:rsidRDefault="0026452D" w:rsidP="0026452D">
      <w:pPr>
        <w:pStyle w:val="TextoNormal"/>
      </w:pPr>
      <w:r>
        <w:t xml:space="preserve">De acuerdo con la doctrina reiterada de este Tribunal (entre otras muchas, SSTC 104/2009, de 4 de mayo, FJ 2, 135/2010, de 2 de diciembre, FJ 4, 144/2011, de 26 de septiembre, FJ 4, 90/2012, de 7 de mayo, FJ 4) el art. 25.1 CE, que incorpora la regla </w:t>
      </w:r>
      <w:r w:rsidRPr="0026452D">
        <w:rPr>
          <w:i/>
        </w:rPr>
        <w:t>nullum crimen. nulla poena sine lege</w:t>
      </w:r>
      <w:r>
        <w:t xml:space="preserve">, comprende una doble garantía, formal y material. La garantía material, como señaló la STC 242/2005, de 10 de octubre, FJ 2, deriva “del mandato de taxatividad o de </w:t>
      </w:r>
      <w:r w:rsidRPr="0026452D">
        <w:rPr>
          <w:i/>
        </w:rPr>
        <w:t>lex certa</w:t>
      </w:r>
      <w:r>
        <w:t xml:space="preserve">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(en el mismo sentido, entre otras muchas, SSTC 104/2009, de 4 de mayo, FJ 2; 144/2011, de 26 de septiembre de 2011, FJ 4; y 90/2012, de 7 de mayo, FJ 4). Por esta razón, como también señala la citada STC 104/2009, de 4 de mayo, FJ 2,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w:t>
      </w:r>
    </w:p>
    <w:p w:rsidR="0026452D" w:rsidRDefault="0026452D" w:rsidP="0026452D">
      <w:pPr>
        <w:pStyle w:val="TextoNormal"/>
      </w:pPr>
    </w:p>
    <w:p w:rsidR="0026452D" w:rsidRDefault="0026452D" w:rsidP="0026452D">
      <w:pPr>
        <w:pStyle w:val="TextoNormal"/>
      </w:pPr>
      <w:r>
        <w:t>La garantía formal, como señala la STC 166/2012, de 1 octubre, FJ 5, hace referencia al rango necesario de las normas tipificadoras de esas conductas y sanciones y sostiene, siguiendo la constante jurisprudencia de este Tribunal, que el término “legislación vigente” contenido en el art. 25.1 CE “es expresivo de una reserva de ley en materia sancionadora (por todas STC 77/2006, de 13 de marzo, FJ único y jurisprudencia allí citada)”.</w:t>
      </w:r>
    </w:p>
    <w:p w:rsidR="0026452D" w:rsidRDefault="0026452D" w:rsidP="0026452D">
      <w:pPr>
        <w:pStyle w:val="TextoNormal"/>
      </w:pPr>
    </w:p>
    <w:p w:rsidR="0026452D" w:rsidRDefault="0026452D" w:rsidP="0026452D">
      <w:pPr>
        <w:pStyle w:val="TextoNormal"/>
      </w:pPr>
      <w:r>
        <w:lastRenderedPageBreak/>
        <w:t>No obstante, este Tribunal ha señalado también (entre otras muchas, STC 26/2005 de 14 de febrero, FJ 3) que en relación con “las infracciones y sanciones administrativas el alcance de la reserva de ley no puede ser tan riguroso como lo es por referencia a los tipos y sanciones penales en sentido estricto, y ello tanto 'por razones que atañen al modelo constitucional de distribución de las potestades públicas' como ‘por el carácter en cierto modo insuprimible de la potestad reglamentaria en ciertas materias, bien, por último, por exigencias de prudencia o de oportunidad’ (STC 42/1987, de 7 de abril, FJ 2)”. Por esta razón es doctrina constitucional reiterada, por todas, STC 242/2005, de 10 de octubre, FJ 2, que la garantía formal, a diferencia de la garantía material, cuyo alcance es absoluto, “tiene una eficacia relativa o limitada en el ámbito sancionador administrativo, toda vez que no cabe excluir la colaboración reglamentaria en la propia tarea de tipificación de las infracciones y atribución de las correspondientes sanciones, aunque sí hay que excluir el que tales remisiones hagan posible una regulación independiente y no claramente subordinada a la ley.” De ahí que en la citada STC 242/2005, de 10 de octubre, FJ 2, se sostenga que “la garantía formal implica que la ley debe contener la determinación de los elementos esenciales de la conducta antijurídica y al reglamento sólo puede corresponder, en su caso, el desarrollo y precisión de los tipos de infracciones previamente establecidos por la ley (por todas, SSTC 161/2003, de 15 de septiembre, FJ 2, ó 26/2005, de 14 de febrero, FJ 3).” En definitiva, como ha señalado la STC 104/2009, de 4 de mayo, FJ 2, lo que el art. 25.1 CE prohíbe “es la remisión de la ley al reglamento sin una previa determinación de los elementos esenciales de la conducta antijurídica”.</w:t>
      </w:r>
    </w:p>
    <w:p w:rsidR="0026452D" w:rsidRDefault="0026452D" w:rsidP="0026452D">
      <w:pPr>
        <w:pStyle w:val="TextoNormal"/>
      </w:pPr>
    </w:p>
    <w:p w:rsidR="0026452D" w:rsidRDefault="0026452D" w:rsidP="0026452D">
      <w:pPr>
        <w:pStyle w:val="TextoNormal"/>
      </w:pPr>
      <w:r>
        <w:t>La recurrente, con base en la regla de deslinde competencial reiterada por este Tribunal por la que la titularidad de la potestad sancionadora va ligada a la competencia sustantiva de que se trate (SSTC 87/1985, de 16 de julio, FJ 8; 137/1986, de 6 de noviembre, FJ 3; 48/1988, de 22 de marzo, FJ 25; 152/1988, de 20 de julio, FJ 14; y 15/1989, de 26 de enero, FJ 10, entre muchas), alega literalmente que “la calificación de los mencionados artículos como legislación básica sólo podríamos, como mucho, entenderla referida a las materias que sin ser derecho sancionador, la propia disposición final segunda considera básicas. Como sea que, como ha quedado demostrado en este escrito, el Estado no puede, valiéndose de su competencia para dictar normas que regulen las bases y la coordinación de la planificación económica del sector de la vitivinicultura, afectar a la competencia exclusiva de la Generalidad de Cataluña en materia de denominaciones de origen, estableciendo como legislación básica a una serie de artículos que regulan materias que inciden en el núcleo fundamental de la mencionada competencia, tampoco podrá, en consecuencia, pretender el carácter de básico para aquellos artículos que se refieren al régimen sancionador de una materia cuya competencia es de la Generalidad, o cuya calificación como legislación básica se ha demostrado inconstitucional”.</w:t>
      </w:r>
    </w:p>
    <w:p w:rsidR="0026452D" w:rsidRDefault="0026452D" w:rsidP="0026452D">
      <w:pPr>
        <w:pStyle w:val="TextoNormal"/>
      </w:pPr>
    </w:p>
    <w:p w:rsidR="0026452D" w:rsidRDefault="0026452D" w:rsidP="0026452D">
      <w:pPr>
        <w:pStyle w:val="TextoNormal"/>
      </w:pPr>
      <w:r>
        <w:t>Del análisis precedente se infiere que la recurrente reconoce al Estado competencia sustantiva, y correlativamente capacidad para establecer normativa sancionadora sobre las materias que la disposición final segunda de la Ley de la viña y del vino considera básicas y que aquélla no ha impugnado en este proceso constitucional, faltando una fundamentación específica sobre esta materia. Esta controversia competencial, por tanto, se ciñe a la normativa sancionadora conexa a las materias reguladas en los preceptos impugnados en este recurso de inconstitucionalidad que no tengan carácter sancionador, esto es, a aquellas normas sancionadoras impugnadas que sean correlato de los arts. 22, 23 y 27 de la Ley de la viña y del vino o de los apartados cuestionados de los arts. 25 y 26 de la Ley.</w:t>
      </w:r>
    </w:p>
    <w:p w:rsidR="0026452D" w:rsidRDefault="0026452D" w:rsidP="0026452D">
      <w:pPr>
        <w:pStyle w:val="TextoNormal"/>
      </w:pPr>
    </w:p>
    <w:p w:rsidR="0026452D" w:rsidRDefault="0026452D" w:rsidP="0026452D">
      <w:pPr>
        <w:pStyle w:val="TextoNormal"/>
      </w:pPr>
      <w:r>
        <w:t>Esta delimitación del objeto, siguiendo los postulados reconocidos reiteradamente por la jurisprudencia de este Tribunal (por todas, SSTC 98/1989, de 1 de junio, FJ 5; 195/1998, de 1 de octubre, FJ 1 y 112/2006, de 5 de abril, FJ 19) excluye de él enteramente a los arts. 41, 42, 44 y 45 de la Ley de la viña y del vino porque, al ser su regulación de aplicación general, el Estado los ha dictado válidamente, por lo que hace al menos a aquellos tipos infractores sobre los que, por no tener relación con los preceptos impugnados da orden sustantivo, no se proyecta la controversia competencial. Se exceptúa solamente el art. 41.4, en la medida que contiene una regla especial aplicable a los órganos de gestión de los vinos de calidad producidos en regiones determinadas y a los organismos u órganos de inspección o control.</w:t>
      </w:r>
    </w:p>
    <w:p w:rsidR="0026452D" w:rsidRDefault="0026452D" w:rsidP="0026452D">
      <w:pPr>
        <w:pStyle w:val="TextoNormal"/>
      </w:pPr>
    </w:p>
    <w:p w:rsidR="0026452D" w:rsidRDefault="0026452D" w:rsidP="0026452D">
      <w:pPr>
        <w:pStyle w:val="TextoNormal"/>
      </w:pPr>
      <w:r>
        <w:t xml:space="preserve">Por su parte, los arts. 38, 39 y 40 de la Ley, que respectivamente tipifican las infracciones leves, graves y muy graves, presentan una estructura muy significativa, pues su primer apartado recoge una enumeración de tipos infractores de aplicación general mientras el segundo tipifica las infracciones previstas específicamente “para los operadores voluntariamente acogidos a un nivel de protección” (arts. 38.2 y 39.2) o “en relación a los v.c.p.r.d.” (art. 40.2), derivándose además de la disposición final segunda que los arts. 38.2, 39.2 y 40. [salvo los párrafos a) y b) de este último] no tienen carácter básico. Esta tipificación es un indicio relevante de que el legislador estatal incluyó la delimitación de las conductas infractoras directamente conectadas con los niveles de protección en un precepto al que no atribuía carácter básico, en atención a que su competencia sobre esa materia estaría limitada a la intervención constitucionalmente legítima en virtud del título competencial </w:t>
      </w:r>
      <w:r w:rsidRPr="0026452D">
        <w:rPr>
          <w:i/>
        </w:rPr>
        <w:t>ex</w:t>
      </w:r>
      <w:r>
        <w:t xml:space="preserve"> 149.1.13. Y, por el contrario, que los tipos infractores recogidos en los arts. 38.1, 39.1 y 40.1 de la Ley de la viña y del vino, preceptos básicos como hemos dicho, no revisten tal nexo con la regulación sustantiva que hacen los preceptos impugnados, esto es, los arts. 22, 23 y 27 y los apartados cuestionados de los arts. 25 y 26. Esta conclusión determina que los arts. 38.1, 39.1 y 40.1 de la Ley quedasen fuera de la controversia competencial que preside este recurso de inconstitucionalidad, lo que resulta confirmado a partir de un análisis detenido de dichos tipos, pues las conductas allí tipificadas se refieren a materias sustantivas distintas que encuentran su regulación en normas diversas de los preceptos impugnados.</w:t>
      </w:r>
    </w:p>
    <w:p w:rsidR="0026452D" w:rsidRDefault="0026452D" w:rsidP="0026452D">
      <w:pPr>
        <w:pStyle w:val="TextoNormal"/>
      </w:pPr>
    </w:p>
    <w:p w:rsidR="0026452D" w:rsidRDefault="0026452D" w:rsidP="0026452D">
      <w:pPr>
        <w:pStyle w:val="TextoNormal"/>
      </w:pPr>
      <w:r>
        <w:t>Estas materias se pueden resumir como sigue: a) libros-registro y otra clase de declaraciones que tienen por objeto en común el conocimiento preciso de la producción, con objetivos tan dispares como el control fiscal o la verificación del etiquetado [arts. 38.1 a), b), c) y d); 39.1 a), b) y c)]; b) régimen de plantaciones [arts. 38.1 f), l), m), n) y ñ); 39.1 m)]; c) riego de vid [art. 38.1 o)]; d) etiquetado y presentación del producto [arts. 38.1 h), i); 39.1 e) y f); 40.1 b)]; e) errores o falsedades en solicitudes vitícolas, como las de subvenciones [arts. 38.1 e) y 39.1. d)]; f) manipulaciones no autorizadas o falsificación de productos [arts. 38.1 k), 39.1 i), j), k), ñ) y o); 40.1 a), c), d) y f)]; g) no hacer entrega de productos para destilaciones obligatorias [art. 38.1 j) y 39.1.g)] y h) obstaculizar la inspección o el control [arts. 38.1 p); 39.1 n) y 40.1 e) y g)].</w:t>
      </w:r>
    </w:p>
    <w:p w:rsidR="0026452D" w:rsidRDefault="0026452D" w:rsidP="0026452D">
      <w:pPr>
        <w:pStyle w:val="TextoNormal"/>
      </w:pPr>
    </w:p>
    <w:p w:rsidR="0026452D" w:rsidRDefault="0026452D" w:rsidP="0026452D">
      <w:pPr>
        <w:pStyle w:val="TextoNormal"/>
      </w:pPr>
      <w:r>
        <w:t>Mención especial merecen las conductas tipificadas en los apartados a) y b) del art. 40.2 de la Ley, pues aun indicando la rúbrica del art. 40.2 que se trata de infracciones en relación con los vinos de calidad producidos en regiones determinadas, están conectadas más específicamente con preceptos sustantivos distintos de los que aquí se impugnaron, como los art. 17 y 18 en el primer caso y, además de éstos, el art. 3 en el segundo caso.</w:t>
      </w:r>
    </w:p>
    <w:p w:rsidR="0026452D" w:rsidRDefault="0026452D" w:rsidP="0026452D">
      <w:pPr>
        <w:pStyle w:val="TextoNormal"/>
      </w:pPr>
    </w:p>
    <w:p w:rsidR="0026452D" w:rsidRDefault="0026452D" w:rsidP="0026452D">
      <w:pPr>
        <w:pStyle w:val="TextoNormal"/>
      </w:pPr>
      <w:r>
        <w:lastRenderedPageBreak/>
        <w:t>En fin, de acuerdo al análisis expuesto, la controversia competencial que es objeto de esta tercera impugnación se reduce a los arts. 39.3, 40.3, 40.4 y 41.4 de la Ley de la viña y del vino.</w:t>
      </w:r>
    </w:p>
    <w:p w:rsidR="0026452D" w:rsidRDefault="0026452D" w:rsidP="0026452D">
      <w:pPr>
        <w:pStyle w:val="TextoNormal"/>
      </w:pPr>
    </w:p>
    <w:p w:rsidR="0026452D" w:rsidRDefault="0026452D" w:rsidP="0026452D">
      <w:pPr>
        <w:pStyle w:val="TextoNormal"/>
      </w:pPr>
      <w:r w:rsidRPr="0026452D">
        <w:rPr>
          <w:rStyle w:val="NumeroAFNegritaCaracter"/>
        </w:rPr>
        <w:t>20</w:t>
      </w:r>
      <w:r>
        <w:t>. Nuestra doctrina sobre la materia es, tal como la ha recordado recientemente la STC 8/2012, de 18 de enero, FJ 11, que “es una regla de deslinde competencial muy reiterada por este Tribunal que la titularidad de la potestad sancionadora va normalmente pareja, como instrumental, a la competencia sustantiva de que se trate (STC168/1993, FJ 8; 87/1985, de 16 de julio, FJ 8; y 48/1988, de 22 de marzo, FJ 25)” y, a continuación, que, por ello, las Comunidades Autónomas “pueden adoptar normas administrativas sancionadoras cuando tengan competencia sobre la materia sustantiva de que se trate, debiendo acomodarse las disposiciones que dicten a las garantías constitucionales dispuestas en este ámbito del Derecho administrativo sancionador (art. 25.1 CE), y no introducir divergencias irrazonables y desproporcionadas al fin perseguido respecto del régimen jurídico aplicable a otras partes del territorio (art. 149.1.1 CE; SSTC 87/1985, de 16 de julio, FJ 8; y 196/1996, de 28 de noviembre, FJ 3)”.</w:t>
      </w:r>
    </w:p>
    <w:p w:rsidR="0026452D" w:rsidRDefault="0026452D" w:rsidP="0026452D">
      <w:pPr>
        <w:pStyle w:val="TextoNormal"/>
      </w:pPr>
    </w:p>
    <w:p w:rsidR="0026452D" w:rsidRDefault="0026452D" w:rsidP="0026452D">
      <w:pPr>
        <w:pStyle w:val="TextoNormal"/>
      </w:pPr>
      <w:r>
        <w:t>La Cámara recurrente sostiene que la Comunidad Autónoma de Cataluña, en virtud de su competencia sustantiva sobre denominaciones de origen y denominaciones de origen calificado está habilitada para establecer la normativa sancionadora en la materia con el único límite reseñado en la doctrina expuesta. El Estado, por el contrario, mantiene que los arts. 22, 23 y 27 de la Ley de la viña y del vino y los apartados cuestionados de los arts. 25 y 26 son constitucionales por ser ejercicio legítimo de la competencia para establecer las bases de la planificación económica general. Y que esta competencia sustantiva le autoriza, de acuerdo a la doctrina constitucional reseñada, a prever la normativa sancionadora necesaria para asegurar que dichas bases sean efectivas.</w:t>
      </w:r>
    </w:p>
    <w:p w:rsidR="0026452D" w:rsidRDefault="0026452D" w:rsidP="0026452D">
      <w:pPr>
        <w:pStyle w:val="TextoNormal"/>
      </w:pPr>
    </w:p>
    <w:p w:rsidR="0026452D" w:rsidRDefault="0026452D" w:rsidP="0026452D">
      <w:pPr>
        <w:pStyle w:val="TextoNormal"/>
      </w:pPr>
      <w:r>
        <w:t>A estos efectos, resulta relevante tener presente la doctrina que establecimos en otro proceso en que se discutía, en un asunto también relativo al sector del vino, hasta qué punto el Estado podía regular normativa sancionadora para asegurar la eficacia de los principios con los que se ordena el sector. En efecto, en la STC 186/1988, de 17 de octubre, FJ 6, apuntamos que “respecto de las sanciones, debe señalarse que el art. 5 de la Orden constituye una norma básica porque tiende a asegurar la eficacia en todo el territorio nacional de las medidas de ordenación económica general consistente en reducir el riego de la vid a los casos autorizados. Que la gravedad de las sanciones a los infractores de esas medidas sea uniforme supone un elemento disuasorio de posibles infracciones que podría no operar con la misma intensidad en todas las Comunidades Autónomas si éstas pudieran establecer libremente su sistema de sanciones. Pero hay que advertir que la norma básica se limita a establecer, como se ha dicho, en conexión con los arts. 42 y 43 del Decreto 835/1972, de 23 de marzo, (que también contienen normas básicas inferidas de normas preconstitucionales) el tipo de sanciones. La imposición concreta de éstas es una típica facultad de ejecución que corresponde a la Comunidad Autónoma, lo que el art. 5 no niega”.</w:t>
      </w:r>
    </w:p>
    <w:p w:rsidR="0026452D" w:rsidRDefault="0026452D" w:rsidP="0026452D">
      <w:pPr>
        <w:pStyle w:val="TextoNormal"/>
      </w:pPr>
    </w:p>
    <w:p w:rsidR="0026452D" w:rsidRDefault="0026452D" w:rsidP="0026452D">
      <w:pPr>
        <w:pStyle w:val="TextoNormal"/>
      </w:pPr>
      <w:r>
        <w:t xml:space="preserve">Resulta relevante en este momento tener en cuenta que la regulación sobre el riego de la vid se encuentra en el art. 9 de la Ley de la viña y del vino, esto es, se trata de una medida de ordenación del sector del vino que, no sólo no ha sido recurrida, sino que además está fuera del título II, que es el dedicado al Sistema de protección del origen y calidad de los vinos. Otras materias también disciplinadas en el Título I son las plantaciones y derechos </w:t>
      </w:r>
      <w:r>
        <w:lastRenderedPageBreak/>
        <w:t>de replantación (arts. 5 y 6), el arranque de viñedos (art. 8), el aumento artificial de la graduación alcohólica natural (art. 9). En fin, también son materias ordenadas en el título II y no recurridas la titularidad y uso de los bienes protegidos (art. 17) o la protección de su uso (art. 18). Pues bien, muchos de los tipos infractores que hemos mencionado en el fundamento jurídico anterior se refieren a estas materias, de modo que, aplicando la regla de deslinde competencial según la que la titularidad de la potestad sancionadora va normalmente pareja, como instrumental, a la competencia sustantiva de que se trate (STC168/1993, FJ 8; 87/1985, de 16 de julio, FJ 8; y 48/1988, de 22 de marzo, FJ 25), el Estado sería competente para establecer dichos tipos.</w:t>
      </w:r>
    </w:p>
    <w:p w:rsidR="0026452D" w:rsidRDefault="0026452D" w:rsidP="0026452D">
      <w:pPr>
        <w:pStyle w:val="TextoNormal"/>
      </w:pPr>
    </w:p>
    <w:p w:rsidR="0026452D" w:rsidRDefault="0026452D" w:rsidP="0026452D">
      <w:pPr>
        <w:pStyle w:val="TextoNormal"/>
      </w:pPr>
      <w:r w:rsidRPr="0026452D">
        <w:rPr>
          <w:rStyle w:val="NumeroAFNegritaCaracter"/>
        </w:rPr>
        <w:t>21</w:t>
      </w:r>
      <w:r>
        <w:t xml:space="preserve">. Una vez definida la doctrina constitucional que ha de guiar nuestro enjuiciamiento, estamos en condiciones de resolver si los preceptos que, según razonamos antes, son el objeto de nuestro enjuiciamiento encuentran apoyo en la competencia estatal </w:t>
      </w:r>
      <w:r w:rsidRPr="0026452D">
        <w:rPr>
          <w:i/>
        </w:rPr>
        <w:t>ex</w:t>
      </w:r>
      <w:r>
        <w:t xml:space="preserve"> art. 149.1.13 CE, por ser necesarios para asegurar la eficacia en todo el territorio nacional de las medidas de ordenación económica del sector del vino que hemos considerado constitucionales, o, de no serlo, se extralimitan de las competencias estatales e invaden la competencia autonómica exclusiva que la Comunidad Autónoma de Cataluña ostenta en materia de denominaciones de origen y denominaciones de origen calificadas.</w:t>
      </w:r>
    </w:p>
    <w:p w:rsidR="0026452D" w:rsidRDefault="0026452D" w:rsidP="0026452D">
      <w:pPr>
        <w:pStyle w:val="TextoNormal"/>
      </w:pPr>
    </w:p>
    <w:p w:rsidR="0026452D" w:rsidRDefault="0026452D" w:rsidP="0026452D">
      <w:pPr>
        <w:pStyle w:val="TextoNormal"/>
      </w:pPr>
      <w:r>
        <w:t>El art. 39.3 de la Ley de la viña y del vino prevé que “para los organismos u órganos de inspección o de control constituirán infracciones graves las siguientes: a) La expedición de certificados o informes cuyo contenido no se ajuste a la realidad de los hechos; b) La realización de inspecciones, ensayos o pruebas por los citados organismos u órganos de forma incompleta o con resultados inexactos por una insuficiente constatación de los hechos o por la deficiente aplicación de normas técnicas”. Dado que el modelo de separación entre gestión y control de los niveles de protección, orientado a asegurar la objetividad en los informes de inspección y en las certificaciones expedidas por los organismos u órganos de inspección o de control, es un elemento estrechamente conectado con el buen funcionamiento económico del mercado del vino, resulta de capital importancia que la gravedad de las sanciones a los infractores de esas medidas, así como las propias conductas tipificadas, sea uniforme, por lo que el precepto resulta constitucional.</w:t>
      </w:r>
    </w:p>
    <w:p w:rsidR="0026452D" w:rsidRDefault="0026452D" w:rsidP="0026452D">
      <w:pPr>
        <w:pStyle w:val="TextoNormal"/>
      </w:pPr>
    </w:p>
    <w:p w:rsidR="0026452D" w:rsidRDefault="0026452D" w:rsidP="0026452D">
      <w:pPr>
        <w:pStyle w:val="TextoNormal"/>
      </w:pPr>
      <w:r>
        <w:t>El art. 40.3 de la Ley dispone que “para los organismos u órganos de inspección o de control constituirán infracciones muy graves las tipificadas en el apartado 3 del artículo anterior, cuando de las mismas resulte un daño muy grave o se derive un peligro muy grave e inminente para las personas, la flora, la fauna o el medio ambiente”. Dado que el contenido de esta norma es muy similar al del art. 39.3 de la Ley, con la sola diferencia de las circunstancias que le atribuyen mayor gravedad, procede reiterar las consideraciones allí hechas y también procede reconocer su constitucionalidad.</w:t>
      </w:r>
    </w:p>
    <w:p w:rsidR="0026452D" w:rsidRDefault="0026452D" w:rsidP="0026452D">
      <w:pPr>
        <w:pStyle w:val="TextoNormal"/>
      </w:pPr>
    </w:p>
    <w:p w:rsidR="0026452D" w:rsidRDefault="0026452D" w:rsidP="0026452D">
      <w:pPr>
        <w:pStyle w:val="TextoNormal"/>
      </w:pPr>
      <w:r>
        <w:t xml:space="preserve">El art. 40.4 de la Ley de la viña y del vino establece que “para los Consejos Reguladores de los vinos con denominación de origen o con denominación de origen calificada constituirá infracción muy grave la intromisión en la actividad de estos últimos o la perturbación de la independencia o inamovilidad de los controladores”. Ya hemos subrayado al analizar el art. 27 de la Ley, y en el examen de los artículos precedentes, que la separación entre los órganos de gestión y los de control de los vinos de calidad producidos en regiones determinadas asegura la objetividad de los controles a los que se sujetan a los operadores del sector vitivinícola y, como corolario, la calidad de los vinos y las condiciones que incentivan la </w:t>
      </w:r>
      <w:r>
        <w:lastRenderedPageBreak/>
        <w:t>competencia leal entre aquéllos, lo que la convierte en un criterio general ordenador de este sector. El art. 27.1.b) de la Ley, para el caso de las “denominaciones de origen” y de las “denominaciones de origen calificadas”, permite una especie distinta de esta separación, que consiste en que el órgano de control se establezca dentro del consejo regulador pero con independencia de él, garantizada porque su actuación tendrá lugar sin dependencia alguna del órgano de dirección y porque los controladores tendrán asegurada su independencia e inamovibilidad durante seis años. Se comprende, entonces, que prever que en todo el territorio español constituirá infracción, y será muy grave, la intromisión en la actividad de estos órganos de control o la perturbación de la independencia o inamovilidad de los controladores es imprescindible para la efectividad de la citada separación en ámbitos tan importantes como el de los vinos con denominación de origen o con denominación de origen calificada y estas circunstancias determinan que tal precepto resulta constitucional.</w:t>
      </w:r>
    </w:p>
    <w:p w:rsidR="0026452D" w:rsidRDefault="0026452D" w:rsidP="0026452D">
      <w:pPr>
        <w:pStyle w:val="TextoNormal"/>
      </w:pPr>
    </w:p>
    <w:p w:rsidR="0026452D" w:rsidRDefault="0026452D" w:rsidP="0026452D">
      <w:pPr>
        <w:pStyle w:val="TextoNormal"/>
      </w:pPr>
      <w:r>
        <w:t>Finalmente, según el art. 41. 4 de la Ley, “de las infracciones cometidas por las personas jurídicas, incluidos los órganos de gestión de los v.c.p.r.d. y los organismos u órganos de inspección o control, serán responsables subsidiariamente los administradores o titulares de los mismos que no realizaren los actos necesarios que fuesen de su incumbencia para el cumplimiento de las obligaciones infringidas, consintieren el incumplimiento por quienes de ellos dependan o adoptaren acuerdos que hicieran posibles tales infracciones.” La integración de los órganos de gestión de los vinos de calidad producidos en regiones determinadas con los titulares de viñedos y de bodegas inscritos en cada uno de ellos, así como la independencia y profesionalidad que caracteriza a los organismos u órganos de inspección o control, son elementos esenciales del sistema de protección del origen y calidad del vino encaminadas a que sus decisiones favorezcan el mejor funcionamiento del mercado del vino. Por ello, una medida como la descrita en el tipo infractor, según la cual en los casos en que los administradores o titulares de estos órganos desatiendan gravemente sus funciones resultarán responsables subsidiarios de las infracciones cometidas por las personas jurídicas de las que forman parte, es idónea y necesaria para que estos criterios ordenadores del sector del vino, enraizados de un lado en el acierto que la autoadministración confiere a las decisiones de gestión y de otro en la objetividad de los controles, se logren de un modo efectivo, sin que se aprecien, en consecuencia, tachas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22</w:t>
      </w:r>
      <w:r>
        <w:t>. Los razonamientos expuestos conducen a declarar la constitucionalidad de la Ley 24/2003, de 10 de julio, de la viña y del vino, salvo el artículo 27.2, y sin perjuicio de la interpretación conforme a la Constitución que se contiene respecto a los apartados 5, 7 en su primer inciso (“La estructura y funcionamiento de los órganos de gestión se establecerá mediante el desarrollo reglamentario oportuno efectuado por la autoridad competente”) y 9 del artículo 25 de la ley, en la forma reconocida en el fundamento jurídico decimosegundo y del inciso primero del artículo 27.1 (“El reglamento de cada v.c.p.r.d. establecerá su sistema de control”) en la forma reconocida en el fundamento jurídico decimocuarto.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lastRenderedPageBreak/>
        <w:t>Ha decidido</w:t>
      </w:r>
    </w:p>
    <w:p w:rsidR="0026452D" w:rsidRDefault="0026452D" w:rsidP="0026452D">
      <w:pPr>
        <w:pStyle w:val="TextoNormalCentrado"/>
        <w:keepNext/>
      </w:pPr>
    </w:p>
    <w:p w:rsidR="0026452D" w:rsidRDefault="0026452D" w:rsidP="0026452D">
      <w:pPr>
        <w:pStyle w:val="TextoNormal"/>
      </w:pPr>
      <w:r>
        <w:t>Estimar parcialmente el recurso de inconstitucionalidad interpuesto por el Parlamento de Cataluña y, en consecuencia, declarar:</w:t>
      </w:r>
    </w:p>
    <w:p w:rsidR="0026452D" w:rsidRDefault="0026452D" w:rsidP="0026452D">
      <w:pPr>
        <w:pStyle w:val="TextoNormal"/>
      </w:pPr>
    </w:p>
    <w:p w:rsidR="0026452D" w:rsidRDefault="0026452D" w:rsidP="0026452D">
      <w:pPr>
        <w:pStyle w:val="TextoNormal"/>
      </w:pPr>
      <w:r>
        <w:t>1º Que el artículo 27.2 de la Ley 24/2003, de 10 de julio, de la viña y del vino, al señalar: “Cuando el Reglamento de un v.c.p.r.d. opte por uno de los sistemas de control regulados en los párrafos c) o d) del apartado anterior, la elección del organismo independiente de inspección o control corresponderá, en todo caso, al operador que deba ser objeto de control” vulnera las competencias de la Comunidad Autónoma de Cataluña.</w:t>
      </w:r>
    </w:p>
    <w:p w:rsidR="0026452D" w:rsidRDefault="0026452D" w:rsidP="0026452D">
      <w:pPr>
        <w:pStyle w:val="TextoNormal"/>
      </w:pPr>
    </w:p>
    <w:p w:rsidR="0026452D" w:rsidRDefault="0026452D" w:rsidP="0026452D">
      <w:pPr>
        <w:pStyle w:val="TextoNormal"/>
      </w:pPr>
      <w:r>
        <w:t>2º Que los apartados 5, 7 y 9 del artículo 25 de la Ley no son inconstitucionales siempre que se interpreten en los términos fijados en el fundamento jurídico 12.</w:t>
      </w:r>
    </w:p>
    <w:p w:rsidR="0026452D" w:rsidRDefault="0026452D" w:rsidP="0026452D">
      <w:pPr>
        <w:pStyle w:val="TextoNormal"/>
      </w:pPr>
    </w:p>
    <w:p w:rsidR="0026452D" w:rsidRDefault="0026452D" w:rsidP="0026452D">
      <w:pPr>
        <w:pStyle w:val="TextoNormal"/>
      </w:pPr>
      <w:r>
        <w:t>3º Que el artículo 27.1 de la Ley no es inconstitucional siempre que se interprete en los términos fijados en el fundamento jurídico 14.</w:t>
      </w:r>
    </w:p>
    <w:p w:rsidR="0026452D" w:rsidRDefault="0026452D" w:rsidP="0026452D">
      <w:pPr>
        <w:pStyle w:val="TextoNormal"/>
      </w:pPr>
    </w:p>
    <w:p w:rsidR="0026452D" w:rsidRDefault="0026452D" w:rsidP="0026452D">
      <w:pPr>
        <w:pStyle w:val="TextoNormal"/>
      </w:pPr>
      <w:r>
        <w:t>4º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febrero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Luis Ignacio Ortega Álvarez al que se adhieren los Magistrados don Pablo Pérez Tremps, doña Adela Asua Batarrita, doña Encarnación Roca Trías y don Fernando Valdés Dal-Ré respecto de la Sentencia dictada en el recurso de inconstitucionalidad núm. 5934-2003.</w:t>
      </w:r>
    </w:p>
    <w:p w:rsidR="0026452D" w:rsidRDefault="0026452D" w:rsidP="0026452D">
      <w:pPr>
        <w:pStyle w:val="TextoNormalNegritaCentrado"/>
        <w:keepNext/>
      </w:pPr>
    </w:p>
    <w:p w:rsidR="0026452D" w:rsidRDefault="0026452D" w:rsidP="0026452D">
      <w:pPr>
        <w:pStyle w:val="TextoNormal"/>
      </w:pPr>
      <w:r>
        <w:t>En el ejercicio de la facultad que me confiere el art. 90.2 de la Ley Orgánica del Tribunal Constitucional y con el máximo respeto a la opinión de la mayoría del Tribunal recogida en la Sentencia, debo manifestar mi discrepancia con parte de la fundamentación de la Sentencia, discrepancia que alcanza también al fallo de la misma.</w:t>
      </w:r>
    </w:p>
    <w:p w:rsidR="0026452D" w:rsidRDefault="0026452D" w:rsidP="0026452D">
      <w:pPr>
        <w:pStyle w:val="TextoNormal"/>
      </w:pPr>
    </w:p>
    <w:p w:rsidR="0026452D" w:rsidRDefault="0026452D" w:rsidP="0026452D">
      <w:pPr>
        <w:pStyle w:val="TextoNormal"/>
      </w:pPr>
      <w:r>
        <w:t xml:space="preserve">He de manifestar, en primer lugar, que comparto el criterio del que parte la Sentencia de la mayoría en el sentido de que el art. 149.1.13 CE proporciona sustento a una intervención estatal en el ámbito de la vitivinicultura, pues estimo que las previsiones estatutarias en materia de denominaciones de origen, pese su calificación como exclusivas, no impiden toda intervención estatal en este sector, dadas, por un lado, las indudables facultades que ostenta el Estado en relación con la ordenación de la economía y, por otro, la expresa mención que los preceptos estatutarios del derogado art. 12.1.5 del Estatuto de Autonomía de Cataluña de 1979 y el actualmente vigente 128 del Estatuto de Autonomía de 2006 hacen al mencionado precepto constitucional. También comparto con la mayoría la afirmación de que, como se repara de la lectura de la síntesis de doctrina constitucional que se realiza, la doctrina de este Tribunal no había aclarado hasta dónde llega la competencia estatal </w:t>
      </w:r>
      <w:r w:rsidRPr="0026452D">
        <w:rPr>
          <w:i/>
        </w:rPr>
        <w:t>ex</w:t>
      </w:r>
      <w:r>
        <w:t xml:space="preserve"> art. 149.1.13 en la materia “denominaciones de origen”</w:t>
      </w:r>
    </w:p>
    <w:p w:rsidR="0026452D" w:rsidRDefault="0026452D" w:rsidP="0026452D">
      <w:pPr>
        <w:pStyle w:val="TextoNormal"/>
      </w:pPr>
    </w:p>
    <w:p w:rsidR="0026452D" w:rsidRDefault="0026452D" w:rsidP="0026452D">
      <w:pPr>
        <w:pStyle w:val="TextoNormal"/>
      </w:pPr>
      <w:r>
        <w:lastRenderedPageBreak/>
        <w:t>No obstante, conviene recordar ya que, invocando el título competencial estatal del art. 149.1.13 CE, el apartado segundo de la disposición final segunda de la Ley 24/2003 declara el carácter básico de muchos de sus preceptos: el título I completo (excepto el art. 4), determinados artículos del título II (capítulo 1 completo, excepto el art. 16, los apartados 4 y 8 del art. 25 y los párrafos b], e] y g] del apartado 2 del art. 26; apartado primero del art. 31; y art. 32) y determinados artículos también del título III (art. 37; art. 38.1; art. 39, apartados 1 y 3; art. 40, apartados 1, 3 y 4; párrafos a] y b] del apartado 2 del mismo art. 40; art. 41, art. 42; art. 44; y art. 45). Declaración que se realiza pese a que, como la Sentencia de la mayoría reconoce, el Estado no posee competencia para dictar normativa básica específicamente en materia de denominaciones de origen, pudiendo incidir en la regulación del sector únicamente en aquellos aspectos que, por su trascendencia económica, puedan incardinarse en el ámbito del art. 149.1.13 CE. Obviamente no basta la mera invocación por el Estado de este título competencial para dar respuesta a la controversia planteada. Una cosa es que el Estado, ejerciendo esta competencia, pueda dictar bases sobre un sector de clara trascendencia económica como el vitivinícola, y otra distinta es que cada precepto concreto declarado básico al amparo del art. 149.1.13 CE responda a las exigencias que, desde el punto de vista material, debe cumplir la normativa básica.</w:t>
      </w:r>
    </w:p>
    <w:p w:rsidR="0026452D" w:rsidRDefault="0026452D" w:rsidP="0026452D">
      <w:pPr>
        <w:pStyle w:val="TextoNormal"/>
      </w:pPr>
    </w:p>
    <w:p w:rsidR="0026452D" w:rsidRDefault="0026452D" w:rsidP="0026452D">
      <w:pPr>
        <w:pStyle w:val="TextoNormal"/>
      </w:pPr>
      <w:r>
        <w:t>En mi opinión al acometer esta última tarea la Sentencia de la mayoría define adecuadamente el canon de enjuiciamiento a aplicar, canon que luego aplica de forma exhaustiva a los preceptos impugnados. Ese canon se construye por relación a dos de los principios que se incluyen en el no impugnado art. 12, como son asegurar la calidad y mantener la diversidad de los vinos y proporcionar a los operadores condiciones de competencia leal, principios que se conectan con el art. 149.1.13 CE con fundamento en la doctrina de la STC 186/1988.</w:t>
      </w:r>
    </w:p>
    <w:p w:rsidR="0026452D" w:rsidRDefault="0026452D" w:rsidP="0026452D">
      <w:pPr>
        <w:pStyle w:val="TextoNormal"/>
      </w:pPr>
    </w:p>
    <w:p w:rsidR="0026452D" w:rsidRDefault="0026452D" w:rsidP="0026452D">
      <w:pPr>
        <w:pStyle w:val="TextoNormal"/>
      </w:pPr>
      <w:r>
        <w:t>La razón de mi discrepancia no estriba, por tanto, en la construcción del canon de enjuiciamiento sino en que el razonamiento que se desarrolla a la hora de aplicar dicho canon a algunos de los preceptos impugnados no me resulta convincente. Recordemos que no estamos en el ámbito de la ordenación general del sector económico del vino, sino en algo más concreto: si la regulación que efectúa la norma estatal de las denominaciones de origen vitivinícolas, que es el extremo concretamente discutido por los recurrentes, se encuadra materialmente en la planificación u ordenación general de la economía. La cuestión era, por tanto, decidir si los preceptos impugnados se incardinan en la competencia autonómica exclusiva sobre denominaciones de origen o si, por el contrario, se consideran dictados en el ejercicio de las competencias estatales, señaladamente las del art. 149.1.13 CE, que enmarcan aquellas.</w:t>
      </w:r>
    </w:p>
    <w:p w:rsidR="0026452D" w:rsidRDefault="0026452D" w:rsidP="0026452D">
      <w:pPr>
        <w:pStyle w:val="TextoNormal"/>
      </w:pPr>
    </w:p>
    <w:p w:rsidR="0026452D" w:rsidRDefault="0026452D" w:rsidP="0026452D">
      <w:pPr>
        <w:pStyle w:val="TextoNormal"/>
      </w:pPr>
      <w:r>
        <w:t xml:space="preserve">Por ello, siendo objetivo de la regulación, según la mayoría, “el fomento en el mercado nacional e internacional de caldos de calidad y el aumento la competitividad de la producción vitivinícola nacional” (FJ 9), resulta legítimo pensar que su generalidad como criterios ordenadores hubiera debido llevar a considerar innecesarias para la realización de tales principios y, por tanto, no cubiertos por el art. 149.1.13 CE, algunas de las normas impugnadas. El carácter genérico de tales principios, elevados ya a la categoría de canon para determinar “si los preceptos impugnados contienen medidas directamente conectadas con el logro efectivo de esos criterios de ordenación general del sector del vino” (FJ 10), no exigiría una concreción tan detallada como la que lleva a cabo la norma estatal y es validada por la Sentencia de la mayoría. De hecho, y no tan paradójicamente, el resultado al que se llega no </w:t>
      </w:r>
      <w:r>
        <w:lastRenderedPageBreak/>
        <w:t>está muy alejado al que resultaría de atribuir una extensión similar al art. 149.1.13 CE, no ya en relación con el entero sector vitícola, sino, más específicamente, con las denominaciones de origen, posibilidad ya cerrada por nuestra doctrina en la STC 112/1995, de 6 de julio.</w:t>
      </w:r>
    </w:p>
    <w:p w:rsidR="0026452D" w:rsidRDefault="0026452D" w:rsidP="0026452D">
      <w:pPr>
        <w:pStyle w:val="TextoNormal"/>
      </w:pPr>
    </w:p>
    <w:p w:rsidR="0026452D" w:rsidRDefault="0026452D" w:rsidP="0026452D">
      <w:pPr>
        <w:pStyle w:val="TextoNormal"/>
      </w:pPr>
      <w:r>
        <w:t xml:space="preserve">Considero que, conforme al canon de la propia Sentencia, en la resolución de la controversia hubiera debido tenerse en cuenta que, en reiteradas ocasiones y en relación con los más diversos sectores, este Tribunal no ha apreciado una incidencia relevante en la economía y ha extraído del ámbito de la competencia del Estado sobre las bases y la coordinación de la planificación general de la actividad económica sectores de la realidad que, pese a tener un componente económico, no tenían una conexión relevante con el objeto propio de la ordenación general de la economía. Así sucedía, por ejemplo, en los casos resueltos en las SSTC 252/1988, FJ 3; 192/1990, FJ 4; 76/1991, FJ 4; 313/1994, a las que se remiten las SSTC 16/1996, FJ 2 E) i); 102/1995, FJ 13; 21/1999, FJ 5; 242/1999, FJ 16 b) o 95/2002, FJ 7, donde se destaca que el hecho de que existan aspectos económicos en una actividad, no implica, sin más, la competencia estatal </w:t>
      </w:r>
      <w:r w:rsidRPr="0026452D">
        <w:rPr>
          <w:i/>
        </w:rPr>
        <w:t>ex</w:t>
      </w:r>
      <w:r>
        <w:t xml:space="preserve"> art. 149.1.13 CE sino que para que concurra el título estatal dichos aspectos económicos deben ser materia en sí misma de una ordenación general de la economía. Por otra parte, respecto al criterio del no vaciamiento de las competencias autonómicas, también recogido en la Sentencia de la mayoría, estimo que no es sino un llamamiento a la no extralimitación de la competencia del Estado más allá de su propio ámbito y del respeto del contenido de las competencias reconocidas a las Comunidades Autónomas sobre determinadas actividades económicas. Se trata de un criterio utilizado tempranamente en la STC 37/1987, FJ 7; y que se plasma, por ejemplo, en la STC 77/2004, de 20 de abril, FJ 4, al recordar “que la competencia estatal atribuida por el art. 149.1.13 CE no puede extenderse hasta incluir cualquier acción de naturaleza económica si no posee una incidencia directa y significativa sobre la actividad económica general (SSTC 186/1988, de 17 de octubre, 133/1997, de 16 de julio), pues, en otro caso, se vaciaría de contenido una materia y un título competencial más específico (SSTC 112/1995, de 6 de julio, 21/1999, de 25 de febrero, FJ 5; 95/2002, de 25 de abril, FJ 7)”. En este sentido, en la STC 220/1992, de 11 de diciembre, FJ 12, el Tribunal declaró, con cita de la STC 186/1988, de 17 de octubre, que “el título sobre ordenación general de la economía hace posible la intervención del Estado en sectores materialmente atribuidos a la competencia de las Comunidades Autónomas —como aquí ocurre—, pero estos no deben quedar en ningún caso vacíos de contenido en virtud de esa intervención estatal que sólo debe llegar “hasta donde lo exija el principio que instrumenta”. Se trata entonces de un criterio fundamental tanto desde el punto de vista del necesario reconocimiento de las competencias autonómicas como desde el de la necesidad de evitar, dado que la competencia sobre las bases y coordinación de la planificación general de la actividad económica es una competencia de dirección general de la economía que se proyecta en los diversos sectores de la misma (STC 134/2011, de 20 de julio, FJ7), interpretaciones expansivas del título competencial estatal del art. 149.1.13 CE puesto que, como tenemos declarado, dicho título debe ser interpretado de forma estricta cuando concurre con una materia o un título competencial más específico (por todas, STC 164/2001, de 11 de julio, FJ 9).</w:t>
      </w:r>
    </w:p>
    <w:p w:rsidR="0026452D" w:rsidRDefault="0026452D" w:rsidP="0026452D">
      <w:pPr>
        <w:pStyle w:val="TextoNormal"/>
      </w:pPr>
    </w:p>
    <w:p w:rsidR="0026452D" w:rsidRDefault="0026452D" w:rsidP="0026452D">
      <w:pPr>
        <w:pStyle w:val="TextoNormal"/>
      </w:pPr>
      <w:r>
        <w:t xml:space="preserve">Estimo, entonces, que un razonamiento como el que acabo de exponer debería haber llevado a un examen mucho más exigente, o si se quiere, menos condescendiente con el legislador estatal que el efectuado por la mayoría en relación específicamente con los arts. 25, 26 y 27 de la Ley 24/2003. Preceptos reguladores de los órganos de gestión y de los </w:t>
      </w:r>
      <w:r>
        <w:lastRenderedPageBreak/>
        <w:t>mecanismos de control, en los que, a mi entender, se muestra una excesiva deferencia con las decisiones del legislador estatal a la hora de atribuir carácter básico a regulaciones excesivamente detalladas y que no cumplen los criterios que la propia sentencia de la mayoría parecía haber exigido para atribuirles tal carácter. La consecuencia de lo anterior, unido a lo profuso y detallado de la normativa comunitaria en esta materia, produce como resultado el efectivo vaciamiento de la competencia autonómica en materia de denominaciones de origen, que es precisamente algo que la mayoría parece excluir al definir los aspectos generales de nuestra doctrina en el fundamento jurídico 4 b).</w:t>
      </w:r>
    </w:p>
    <w:p w:rsidR="0026452D" w:rsidRDefault="0026452D" w:rsidP="0026452D">
      <w:pPr>
        <w:pStyle w:val="TextoNormal"/>
      </w:pPr>
    </w:p>
    <w:p w:rsidR="0026452D" w:rsidRDefault="0026452D" w:rsidP="0026452D">
      <w:pPr>
        <w:pStyle w:val="TextoNormal"/>
      </w:pPr>
      <w:r>
        <w:t>Por ello, en mi criterio, algunos aspectos del art. 25, relativo a los órganos de gestión de los vinos de calidad producidos en una región determinada, pueden ser considerados básicos, pues se ajustan a los criterios de la mayoría en el sentido de que podría entenderse que establece una serie de principios sobre dichos órganos de gestión. Sin embargo también considero que la constitucionalidad de los apartados 5, 7 y 9 del art. 25 no puede salvarse con una interpretación conforme como la que adopta la mayoría. No es suficiente con una mera remisión o un mandato de desarrollo normativo en un ámbito ya predeterminado, sino que, en la medida en que el art. 149.1.13 CE no lo limite, ha de reconocerse a la Comunidad Autónoma un espacio normativo propio en un ámbito en el que ostenta una competencia exclusiva, lo que habría de incluir, por ejemplo, la decisión respecto al régimen de inicio de la actividad de los órganos de gestión, sometido por la ley a autorización administrativa (art. 25.5) o la omisión de mandatos específicos de regulación, como los de los arts. 25.7 y 25.9.</w:t>
      </w:r>
    </w:p>
    <w:p w:rsidR="0026452D" w:rsidRDefault="0026452D" w:rsidP="0026452D">
      <w:pPr>
        <w:pStyle w:val="TextoNormal"/>
      </w:pPr>
    </w:p>
    <w:p w:rsidR="0026452D" w:rsidRDefault="0026452D" w:rsidP="0026452D">
      <w:pPr>
        <w:pStyle w:val="TextoNormal"/>
      </w:pPr>
      <w:r>
        <w:t xml:space="preserve">Igualmente el art. 26, relativo a los fines y funciones de los órganos de gestión, es, salvo su apartado 1, excesivamente detallado para ser considerado básico </w:t>
      </w:r>
      <w:r w:rsidRPr="0026452D">
        <w:rPr>
          <w:i/>
        </w:rPr>
        <w:t>ex</w:t>
      </w:r>
      <w:r>
        <w:t xml:space="preserve"> art. 149.1.13 CE, atendiendo al canon que la propia ponencia enuncia, pues no contiene una directriz general respecto a los órganos de gestión y, específicamente su apartado segundo, supera ampliamente el contenido de ordenación de mínimos con el que es calificado por la mayoría. Además, pese a que el título competencial estatal que justifica la regulación es de indudable contenido económico, resulta que solamente una de las funciones, la de gestionar las cuotas, tiene componente económico, aunque bastante alejado, en mi opinión, de la ordenación general de un sector productivo. De hecho, incluso podría entenderse que la intención del legislador estatal era evitar la intervención autonómica, pues la concreción de las funciones de los órganos de gestión queda deferida al reglamento de cada vino de calidad producido en una región determinada.</w:t>
      </w:r>
    </w:p>
    <w:p w:rsidR="0026452D" w:rsidRDefault="0026452D" w:rsidP="0026452D">
      <w:pPr>
        <w:pStyle w:val="TextoNormal"/>
      </w:pPr>
    </w:p>
    <w:p w:rsidR="0026452D" w:rsidRDefault="0026452D" w:rsidP="0026452D">
      <w:pPr>
        <w:pStyle w:val="TextoNormal"/>
      </w:pPr>
      <w:r>
        <w:t xml:space="preserve">En cuanto al art. 27, sobre los mecanismos de control y certificación, entiendo, por la misma razón, que lo básico es únicamente la existencia de un mecanismo de control y que éste se encargue a un órgano distinto del de gestión, esto es, el primer inciso del apartado 1. En cuanto al resto del precepto, especialmente el resto del apartado 1, resulta que remite las decisiones al reglamento de cada denominación, lo que se salva con una interpretación conforme que no me resulta convincente, por cuanto el reconocimiento de la posible intermediación de legislador autonómico se ve inmediatamente limitada por la delimitación precisa de las opciones posibles de control, lo que reduce a la mínima expresión la competencia autonómica. La razón de la mayoría para calificar como básico tal sistema estriba en que “si se recogen esos cuatro tipos de mecanismo de control, con las características propias de cada uno de ellos, es porque son los únicos que pueden ofrecer las garantías de objetividad necesarias para asegurar la calidad de los vinos y proporcionar bases suficientes para una competencia leal, procediendo añadir que no se exceden de lo que exige el logro efectivo </w:t>
      </w:r>
      <w:r>
        <w:lastRenderedPageBreak/>
        <w:t>de ese objetivo” (FJ 14). Es decir son los únicos porque este Tribunal así lo afirma, validando la previa decisión estatal, y la duda que se plantea es cuáles son las razones por las que esa identificación de cuatro específicos modelos, y solamente esos cuatro, ha de ser realizada por el legislador estatal y no por el autonómico o, llegado el caso, por la propia Administración de las Comunidades Autónomas, instancias a las que, en la práctica, no se les permite indagar la posible existencia de otros mecanismos de control. Asimismo, el que el único posible desarrollo de la base estatal sea una elección en un marco detalladamente establecido no casa bien con el hecho de que las Comunidades Autónomas ostenten competencias exclusivas en la materia. Y desde luego, el desarrollo de una política propia en el ejercicio de esa competencia exclusiva parece que ha de revestir notas de mayor complejidad que la simple posibilidad de elegir una de las cuatro opciones predeterminadas.</w:t>
      </w:r>
    </w:p>
    <w:p w:rsidR="0026452D" w:rsidRDefault="0026452D" w:rsidP="0026452D">
      <w:pPr>
        <w:pStyle w:val="TextoNormal"/>
      </w:pPr>
    </w:p>
    <w:p w:rsidR="0026452D" w:rsidRDefault="0026452D" w:rsidP="0026452D">
      <w:pPr>
        <w:pStyle w:val="TextoNormal"/>
      </w:pPr>
      <w:r>
        <w:t>Por ello, a los arts. 25, 26 y 27, salvo los extremos que ya se han mencionado les serían de aplicación los criterios de la STC 112/1995, FJ 4, en los que se señaló que: “La finalidad perseguida por las normas objeto de conflicto está en condicionar y armonizar los contenidos mínimos de los Reglamentos de las denominaciones de origen, y aunque todo ello tiene obviamente conexión con una actividad económica, este grado reflejo de relación no permite extender de forma excesiva la cláusula constitucional mencionada hasta enmarcar cualquier acción sobre este sector de naturaleza económica, pues, de ser así, se vaciaría de contenido una materia y un título competencial más específico. Según se dice acertadamente en la demanda, la facultad de fijar las bases y coordinar la planificación general de la actividad económica no puede ser confundida con la potestad general de dictar bases en materia de denominaciones de origen allí donde el Estado no posea esta competencia, si bien es claro que ‘el Estado puede operar sobre el sector vitícola haciendo uso de su competencia para proceder a la ordenación general de la economía (art. 149.1.13 CE), pero ello siempre que no vacíe de contenido las competencias de la Comunidad Autónoma sobre la viticultura’ (STC 186/1988, fundamento jurídico 6).”</w:t>
      </w:r>
    </w:p>
    <w:p w:rsidR="0026452D" w:rsidRDefault="0026452D" w:rsidP="0026452D">
      <w:pPr>
        <w:pStyle w:val="TextoNormal"/>
      </w:pPr>
    </w:p>
    <w:p w:rsidR="0026452D" w:rsidRDefault="0026452D" w:rsidP="0026452D">
      <w:pPr>
        <w:pStyle w:val="TextoNormal"/>
      </w:pPr>
      <w:r>
        <w:t>Llegados a este punto el análisis de los arts. 25 y 26 desde la perspectiva de la invasión de la potestad autonómica de autoorganización carecería ya de sentido si, como he planteado, tales preceptos fueran considerados previamente, en los términos que he expuesto, normas en materia de denominaciones de origen, de competencia autonómica, Pese a ello considero destacable el silencio que la mayoría guarda sobre el posible juego del art. 149.1.18 CE, aplicado a las funciones de los órganos de gestión, pues, insisto en que lo que se declara básico son aspectos con un cariz organizativo más que económico.</w:t>
      </w:r>
    </w:p>
    <w:p w:rsidR="0026452D" w:rsidRDefault="0026452D" w:rsidP="0026452D">
      <w:pPr>
        <w:pStyle w:val="TextoNormal"/>
      </w:pPr>
    </w:p>
    <w:p w:rsidR="0026452D" w:rsidRDefault="0026452D" w:rsidP="0026452D">
      <w:pPr>
        <w:pStyle w:val="TextoNormal"/>
      </w:pPr>
      <w:r>
        <w:t>Por último, respecto del régimen de infracciones y sanciones, estimo que nada aporta a la argumentación la profusa cita doctrinal en torno al art. 25.1, pues se trata de una cuestión no planteada por el recurrente. Por el contrario, una vez que se ha delimitado con mucha precisión el objeto del recurso, que queda ceñido a los arts. 39.3, 40.3, 40.4 y 41.4, por su conexión con los preceptos sustantivos impugnados, ya que la demanda sólo cuestiona el régimen sancionador (de aplicación general a todo el sector vitivinícola) en la medida en que está conectado a la materia “denominaciones de origen”, considero que, en atención a la misma doctrina que se cita en la Sentencia (FJ 20), la impugnación, así delimitada, hubiera debido acogerse por tratarse de tipificación de infracciones conexas a preceptos encuadrables en la materia “denominaciones de origen” de competencia autonómica.</w:t>
      </w:r>
    </w:p>
    <w:p w:rsidR="0026452D" w:rsidRDefault="0026452D" w:rsidP="0026452D">
      <w:pPr>
        <w:pStyle w:val="TextoNormal"/>
      </w:pPr>
    </w:p>
    <w:p w:rsidR="0026452D" w:rsidRDefault="0026452D" w:rsidP="0026452D">
      <w:pPr>
        <w:pStyle w:val="TextoNormal"/>
      </w:pPr>
      <w:r>
        <w:t>Madrid, a catorce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lastRenderedPageBreak/>
        <w:br w:type="page"/>
      </w:r>
    </w:p>
    <w:p w:rsidR="0026452D" w:rsidRDefault="0026452D" w:rsidP="0026452D">
      <w:pPr>
        <w:pStyle w:val="TtuloResolucin"/>
      </w:pPr>
      <w:bookmarkStart w:id="38" w:name="SENTENCIA_2013_35"/>
      <w:r>
        <w:lastRenderedPageBreak/>
        <w:t>SENTENCIA 35/2013, de 14 de febrero de 2013</w:t>
      </w:r>
    </w:p>
    <w:bookmarkEnd w:id="38"/>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ECLI:ES:TC:2013:35</w:t>
      </w:r>
    </w:p>
    <w:p w:rsidR="0026452D" w:rsidRDefault="0026452D" w:rsidP="0026452D">
      <w:pPr>
        <w:pStyle w:val="SntesisDescriptiva"/>
      </w:pPr>
    </w:p>
    <w:p w:rsidR="0026452D" w:rsidRDefault="0026452D" w:rsidP="0026452D">
      <w:pPr>
        <w:pStyle w:val="SntesisDescriptiva"/>
      </w:pPr>
      <w:r>
        <w:t>Conflicto positivo de competencia 145-2004. Promovido por el Consejo de Gobierno de la Junta de Andalucía en relación con el Real Decreto 1046/2003, de 1 de agosto, por el que se regula el subsistema de formación profesional continua.</w:t>
      </w:r>
    </w:p>
    <w:p w:rsidR="0026452D" w:rsidRDefault="0026452D" w:rsidP="0026452D">
      <w:pPr>
        <w:pStyle w:val="SntesisDescriptiva"/>
      </w:pPr>
    </w:p>
    <w:p w:rsidR="0026452D" w:rsidRDefault="0026452D" w:rsidP="0026452D">
      <w:pPr>
        <w:pStyle w:val="SntesisAnaltica"/>
      </w:pPr>
      <w:r>
        <w:t>Competencias en materia laboral: atribución a la Administración del Estado del ejercicio de funciones ejecutivas que vulnera las competencias autonómicas al basarse exclusivamente en los efectos territoriales de las actuaciones (STC 244/2012).</w:t>
      </w:r>
    </w:p>
    <w:p w:rsidR="0026452D" w:rsidRDefault="0026452D" w:rsidP="0026452D">
      <w:pPr>
        <w:pStyle w:val="SntesisAnaltica"/>
      </w:pPr>
    </w:p>
    <w:p w:rsidR="0026452D" w:rsidRDefault="0026452D" w:rsidP="0026452D">
      <w:pPr>
        <w:pStyle w:val="Extracto"/>
      </w:pPr>
      <w:r>
        <w:t>1.</w:t>
      </w:r>
      <w:r>
        <w:tab/>
        <w:t>Aplica la doctrina sobre la distribución de competencias en relación a la regulación del subsistema de formación profesional continua de la STC 244/2012 [FFJJ 3 a 9].</w:t>
      </w:r>
    </w:p>
    <w:p w:rsidR="0026452D" w:rsidRDefault="0026452D" w:rsidP="0026452D">
      <w:pPr>
        <w:pStyle w:val="Extracto"/>
      </w:pPr>
    </w:p>
    <w:p w:rsidR="0026452D" w:rsidRDefault="0026452D" w:rsidP="0026452D">
      <w:pPr>
        <w:pStyle w:val="Extracto"/>
      </w:pPr>
      <w:r>
        <w:t>2.</w:t>
      </w:r>
      <w:r>
        <w:tab/>
        <w:t xml:space="preserve">Aplica la doctrina sobre el encuadramiento competencial de las acciones formativas de los trabajadores ocupados así como su financiación en la materia ‘legislación laboral’, </w:t>
      </w:r>
      <w:r w:rsidRPr="0026452D">
        <w:rPr>
          <w:i/>
        </w:rPr>
        <w:t>ex</w:t>
      </w:r>
      <w:r>
        <w:t xml:space="preserve"> art. 149.1.7 CE, de la STC 244/2012 [FJ 3].</w:t>
      </w:r>
    </w:p>
    <w:p w:rsidR="0026452D" w:rsidRDefault="0026452D" w:rsidP="0026452D">
      <w:pPr>
        <w:pStyle w:val="Extracto"/>
      </w:pPr>
    </w:p>
    <w:p w:rsidR="0026452D" w:rsidRDefault="0026452D" w:rsidP="0026452D">
      <w:pPr>
        <w:pStyle w:val="Extracto"/>
      </w:pPr>
      <w:r>
        <w:t>3.</w:t>
      </w:r>
      <w:r>
        <w:tab/>
        <w:t xml:space="preserve">La competencia exclusiva del Estado en materia de ‘legislación laboral’, </w:t>
      </w:r>
      <w:r w:rsidRPr="0026452D">
        <w:rPr>
          <w:i/>
        </w:rPr>
        <w:t>ex</w:t>
      </w:r>
      <w:r>
        <w:t xml:space="preserve"> art. 149.1.7 CE le habilita para prever estructuras organizativas que, configuradas como órganos de deliberación, consulta, o propuesta, vienen a responder finalidad de los principios de cooperación y colaboración, siempre y cuando las funciones atribuidas a dichos órganos no vengan a sustituir las competencias de ejecución que son propias de las Comunidades Autónomas (STC 244/2012) [FJ 4].</w:t>
      </w:r>
    </w:p>
    <w:p w:rsidR="0026452D" w:rsidRDefault="0026452D" w:rsidP="0026452D">
      <w:pPr>
        <w:pStyle w:val="Extracto"/>
      </w:pPr>
    </w:p>
    <w:p w:rsidR="0026452D" w:rsidRDefault="0026452D" w:rsidP="0026452D">
      <w:pPr>
        <w:pStyle w:val="Extracto"/>
      </w:pPr>
      <w:r>
        <w:t>4.</w:t>
      </w:r>
      <w:r>
        <w:tab/>
        <w:t>La mera previsión de una estructura organizativa y de participación entre el Estado, las Comunidades Autónomas y los agentes sociales implicados en el ámbito de la formación continua, en cuanto traslación de los principios de cooperación y colaboración, tiene por objeto favorecer el ejercicio de las respectivas competencias, y en esta medida, tales previsiones no alteran el esquema de reparto competencial, ni impiden a la Comunidad Autónoma, en ejercicio de su potestad de autoorganización, la creación de los servicios o unidades propios que estime convenientes en orden al ejercicio de las competencias de ejecución que le han sido constitucionalmente atribuidas (STC 244/2012) [FJ 4].</w:t>
      </w:r>
    </w:p>
    <w:p w:rsidR="0026452D" w:rsidRDefault="0026452D" w:rsidP="0026452D">
      <w:pPr>
        <w:pStyle w:val="Extracto"/>
      </w:pPr>
    </w:p>
    <w:p w:rsidR="0026452D" w:rsidRDefault="0026452D" w:rsidP="0026452D">
      <w:pPr>
        <w:pStyle w:val="Extracto"/>
      </w:pPr>
      <w:r>
        <w:t>5.</w:t>
      </w:r>
      <w:r>
        <w:tab/>
        <w:t xml:space="preserve">La exigencia de uniformidad que informa el título competencial del Estado sobre legislación laboral </w:t>
      </w:r>
      <w:r w:rsidRPr="0026452D">
        <w:rPr>
          <w:i/>
        </w:rPr>
        <w:t>ex</w:t>
      </w:r>
      <w:r>
        <w:t xml:space="preserve"> art. 149.1.7 CE determina que ningún espacio de regulación externa les resta a las Comunidades Autónomas, las cuales únicamente pueden disponer de una competencia de mera ejecución de la normación estatal (SSTC 227/1998, 51/2006) [FJ 5].</w:t>
      </w:r>
    </w:p>
    <w:p w:rsidR="0026452D" w:rsidRDefault="0026452D" w:rsidP="0026452D">
      <w:pPr>
        <w:pStyle w:val="Extracto"/>
      </w:pPr>
    </w:p>
    <w:p w:rsidR="0026452D" w:rsidRDefault="0026452D" w:rsidP="0026452D">
      <w:pPr>
        <w:pStyle w:val="Extracto"/>
      </w:pPr>
      <w:r>
        <w:lastRenderedPageBreak/>
        <w:t>6.</w:t>
      </w:r>
      <w:r>
        <w:tab/>
        <w:t xml:space="preserve">La legislación laboral reservada al Estado, </w:t>
      </w:r>
      <w:r w:rsidRPr="0026452D">
        <w:rPr>
          <w:i/>
        </w:rPr>
        <w:t>ex</w:t>
      </w:r>
      <w:r>
        <w:t xml:space="preserve"> art. 149.1.7 CE, incluye el régimen de las condiciones relativas a los colectivos prioritarios para el acceso a las acciones de formación continua, circunscribiéndose la competencia autonómica a los exclusivos aspectos de ejecución o gestión sin que, en consecuencia, pueda regular dicho acceso [FJ 5].</w:t>
      </w:r>
    </w:p>
    <w:p w:rsidR="0026452D" w:rsidRDefault="0026452D" w:rsidP="0026452D">
      <w:pPr>
        <w:pStyle w:val="Extracto"/>
      </w:pPr>
    </w:p>
    <w:p w:rsidR="0026452D" w:rsidRDefault="0026452D" w:rsidP="0026452D">
      <w:pPr>
        <w:pStyle w:val="Extracto"/>
      </w:pPr>
      <w:r>
        <w:t>7.</w:t>
      </w:r>
      <w:r>
        <w:tab/>
        <w:t>La intervención previa de las comisiones paritarias sectoriales y territoriales se constituye como un ejercicio de función mediadora en relación a discrepancias sobre el contenido de las acciones formativas que no desplaza la competencia atribuida a la Administración competente en caso de subsistencia del desacuerdo, por lo que dicha función no interfiere o menoscaba el ejercicio de las competencias que corresponden a la Comunidad Autónoma (STC 244/2012) [FJ 6].</w:t>
      </w:r>
    </w:p>
    <w:p w:rsidR="0026452D" w:rsidRDefault="0026452D" w:rsidP="0026452D">
      <w:pPr>
        <w:pStyle w:val="Extracto"/>
      </w:pPr>
    </w:p>
    <w:p w:rsidR="0026452D" w:rsidRDefault="0026452D" w:rsidP="0026452D">
      <w:pPr>
        <w:pStyle w:val="Extracto"/>
      </w:pPr>
      <w:r>
        <w:t>8.</w:t>
      </w:r>
      <w:r>
        <w:tab/>
        <w:t>La atribución a un órgano estatal de la gestión centralizada de subvenciones destinadas a la realización de acciones complementarias relacionadas con la formación continua, cuando dichas acciones afecten a un ámbito territorial supraautonómico, vulnera las competencias autonómicas de ejecución, pues no concurren en este supuesto las circunstancias excepcionales que pudieran justificar esa atribución (SSTC 13/1992, 244/2012) [FJ 7].</w:t>
      </w:r>
    </w:p>
    <w:p w:rsidR="0026452D" w:rsidRDefault="0026452D" w:rsidP="0026452D">
      <w:pPr>
        <w:pStyle w:val="Extracto"/>
      </w:pPr>
    </w:p>
    <w:p w:rsidR="0026452D" w:rsidRDefault="0026452D" w:rsidP="0026452D">
      <w:pPr>
        <w:pStyle w:val="Extracto"/>
      </w:pPr>
      <w:r>
        <w:t>9.</w:t>
      </w:r>
      <w:r>
        <w:tab/>
        <w:t>Las funciones que desempeñen las comisiones paritarias sectoriales y territoriales no serán objetables en la medida en que estas estructuras organizativas de participación de los agentes sociales actúen como instrumentos de colaboración y apoyo en el desarrollo del subsistema de formación continua, siempre que no asuman funciones de gestión o ejecución del subsistema de formación continua que sustituyan y excluyan a las Comunidades Autónomas del ejercicio de las atribuciones que constitucional y estatutariamente tienen atribuidas como propias (STC 244/2012) [FJ 8].</w:t>
      </w:r>
    </w:p>
    <w:p w:rsidR="0026452D" w:rsidRDefault="0026452D" w:rsidP="0026452D">
      <w:pPr>
        <w:pStyle w:val="Extracto"/>
      </w:pPr>
    </w:p>
    <w:p w:rsidR="0026452D" w:rsidRDefault="0026452D" w:rsidP="0026452D">
      <w:pPr>
        <w:pStyle w:val="Extracto"/>
      </w:pPr>
      <w:r>
        <w:t>10.</w:t>
      </w:r>
      <w:r>
        <w:tab/>
        <w:t xml:space="preserve">Doctrina sobre el </w:t>
      </w:r>
      <w:r w:rsidRPr="0026452D">
        <w:rPr>
          <w:i/>
        </w:rPr>
        <w:t>ius superveniens</w:t>
      </w:r>
      <w:r>
        <w:t xml:space="preserve"> conforme a la cual el control de las normas que incurren en un posible exceso competencial debe hacerse de acuerdo a las normas del bloque de la constitucionalidad vigentes al momento de dictar Sentencia (STC 1/2011)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conflicto positivo de competencia núm. 145-2004 promovido por el Consejo de Gobierno de la Junta de Andalucía, en relación con el Real Decreto 1046/2003, de 1 de agosto, por el que se regula el subsistema de formación profesional continua. Ha comparecido y formulado alegaciones el Abogado del Estado. Ha sido Ponente el Magistrado don Andrés Ollero Tassara,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día 9 de enero de 2004 tuvo entrada en el Registro General de este Tribunal Constitucional escrito de la Letrada de la Junta de Andalucía por el que, en la representación que legalmente ostenta, interpone conflicto positivo de competencia, tramitado con el número 145-2004, en relación con los artículos 1; 5; 10, apartados 5 y 6; 17; 20, apartado 2 y disposición adicional sexta del Real Decreto 1046/2003, de 1 de agosto, por el que se regula el subsistema de formación profesional continua.</w:t>
      </w:r>
    </w:p>
    <w:p w:rsidR="0026452D" w:rsidRDefault="0026452D" w:rsidP="0026452D">
      <w:pPr>
        <w:pStyle w:val="TextoNormal"/>
      </w:pPr>
    </w:p>
    <w:p w:rsidR="0026452D" w:rsidRDefault="0026452D" w:rsidP="0026452D">
      <w:pPr>
        <w:pStyle w:val="TextoNormal"/>
      </w:pPr>
      <w:r>
        <w:t>La Letrada de la Junta de Andalucía, tras dar cuenta de los términos en que se dio cumplimiento al trámite del requerimiento previo de incompetencia, fundamenta la presente impugnación en la vulneración del reparto competencial establecido en la Constitución y en el Estatuto de Autonomía de Andalucía. Afirma que el real decreto de referencia desconoce las competencias autonómicas previstas en el art. 17.2 del Estatuto de Autonomía sobre ejecución de la legislación laboral conforme a lo establecido en el art. 149.1.7 CE.</w:t>
      </w:r>
    </w:p>
    <w:p w:rsidR="0026452D" w:rsidRDefault="0026452D" w:rsidP="0026452D">
      <w:pPr>
        <w:pStyle w:val="TextoNormal"/>
      </w:pPr>
    </w:p>
    <w:p w:rsidR="0026452D" w:rsidRDefault="0026452D" w:rsidP="0026452D">
      <w:pPr>
        <w:pStyle w:val="TextoNormal"/>
      </w:pPr>
      <w:r>
        <w:t>Admite que la regulación del subsistema de formación profesional continua de los trabajadores ocupados se encuadra en el ámbito laboral, resultando, en consecuencia, amparada por la competencia que el art. 149.1.7 CE atribuye al Estado, pero rechaza la aplicación al presente supuesto de otros títulos competenciales invocados por la disposición final primera del Real Decreto (apartados 13 y 17 del art. 149.1 CE).</w:t>
      </w:r>
    </w:p>
    <w:p w:rsidR="0026452D" w:rsidRDefault="0026452D" w:rsidP="0026452D">
      <w:pPr>
        <w:pStyle w:val="TextoNormal"/>
      </w:pPr>
    </w:p>
    <w:p w:rsidR="0026452D" w:rsidRDefault="0026452D" w:rsidP="0026452D">
      <w:pPr>
        <w:pStyle w:val="TextoNormal"/>
      </w:pPr>
      <w:r>
        <w:t>El artículo 1 vulnera las competencias autonómicas de ejecución en materia laboral, afirma, porque, al definir el objeto de la regulación, incluye “la estructura organizativa y la participación en el subsistema”. La extremada generalidad de esta formulación propicia la injerencia competencial, pues no deja suficientemente claro que la mención a la estructura organizativa y a la participación sólo puede referirse al ámbito propio de la competencia estatal.</w:t>
      </w:r>
    </w:p>
    <w:p w:rsidR="0026452D" w:rsidRDefault="0026452D" w:rsidP="0026452D">
      <w:pPr>
        <w:pStyle w:val="TextoNormal"/>
      </w:pPr>
    </w:p>
    <w:p w:rsidR="0026452D" w:rsidRDefault="0026452D" w:rsidP="0026452D">
      <w:pPr>
        <w:pStyle w:val="TextoNormal"/>
      </w:pPr>
      <w:r>
        <w:t>El artículo 5 invade las competencias de la Comunidad Autónoma porque excluye la intervención autonómica en la determinación de los colectivos prioritarios a los que va dirigida la formación continua. La regulación no sólo designa tales colectivo, sino que establece, además, que el porcentaje de su participación en el subsistema será determinado por el Ministerio de Trabajo y Asuntos Sociales, a propuesta de la Comisión Estatal de Formación Continua. Esto vulnera las competencias de la Comunidad, que alcanzan a la determinación de los destinatarios de las acciones de formación continua para ajustar las prioridades a las características del mercado regional de trabajo.</w:t>
      </w:r>
    </w:p>
    <w:p w:rsidR="0026452D" w:rsidRDefault="0026452D" w:rsidP="0026452D">
      <w:pPr>
        <w:pStyle w:val="TextoNormal"/>
      </w:pPr>
    </w:p>
    <w:p w:rsidR="0026452D" w:rsidRDefault="0026452D" w:rsidP="0026452D">
      <w:pPr>
        <w:pStyle w:val="TextoNormal"/>
      </w:pPr>
      <w:r>
        <w:lastRenderedPageBreak/>
        <w:t>Los apartados 5 y 6 del artículo 10 establecen los órganos a los que corresponde resolver las discrepancias entre los representantes de los trabajadores (apartado 5) o los trabajadores singulares (apartado 6) y la empresa en materia de formación continua, remitiéndose a las comisiones paritarias sectoriales o territoriales competentes, y en último caso, a la Administración competente. A juicio de la Letrada de la Junta, esta última referencia no salva la competencia autonómica en la materia, pues esta no sólo consiste en la posible resolución de las discrepancias, sino también en la determinación de los órganos y el procedimiento para la resolución de tales diferencias. La competencia de ejecución laboral implica un poder de organización de servicios, que es algo más que resolver recursos por indicación de una norma estatal.</w:t>
      </w:r>
    </w:p>
    <w:p w:rsidR="0026452D" w:rsidRDefault="0026452D" w:rsidP="0026452D">
      <w:pPr>
        <w:pStyle w:val="TextoNormal"/>
      </w:pPr>
    </w:p>
    <w:p w:rsidR="0026452D" w:rsidRDefault="0026452D" w:rsidP="0026452D">
      <w:pPr>
        <w:pStyle w:val="TextoNormal"/>
      </w:pPr>
      <w:r>
        <w:t>El artículo 17 atribuye al Instituto Nacional de Empleo, con el apoyo técnico de la Fundación Estatal para la Formación en el Empleo, la concesión y pago de las subvenciones destinadas a la realización de acciones complementarias, de investigación, de estudios de carácter sectorial o multisectorial y de productos y herramientas innovadores relacionados con la formación continua, cuando tales acciones afecten a un ámbito territorial superior al de una Comunidad Autónoma. La Letrada de la Junta estima que estas tareas expresan el ejercicio de una competencia de ejecución de titularidad autonómica, sin que a ello pueda afectar el criterio territorial. Según la jurisprudencia constitucional, el ámbito territorial no es determinante para la asunción de competencias por parte del Estado (STC 233/2000, FJ 11). La necesaria uniformidad del régimen laboral en todo el Estado queda salvaguardada mediante la competencia estatal sobre la “legislación laboral”, legal y reglamentaria, prevista en el art. 149.1.7 CE, sin que a tal efecto sea precisa la gestión centralizada. A diferencia de otros títulos competenciales, no es posible distinguir dentro de la “ejecución de la legislación laboral”, un ámbito autonómico y otro estatal. Por otro lado, el Estado, conforme a la disposición discutida, determina cuándo la acción de formación profesional afecta o no a un ámbito superior al autonómico, con lo que tiene en sus manos la operatividad de la competencia autonómica, pudiendo vaciar su contenido. Esto vulnera la propia esencia del esquema de reparto competencial.</w:t>
      </w:r>
    </w:p>
    <w:p w:rsidR="0026452D" w:rsidRDefault="0026452D" w:rsidP="0026452D">
      <w:pPr>
        <w:pStyle w:val="TextoNormal"/>
      </w:pPr>
    </w:p>
    <w:p w:rsidR="0026452D" w:rsidRDefault="0026452D" w:rsidP="0026452D">
      <w:pPr>
        <w:pStyle w:val="TextoNormal"/>
      </w:pPr>
      <w:r>
        <w:t>El apartado 1 del art. 20 prevé la posibilidad de constituir en las Comunidades Autónomas comisiones paritarias territoriales integradas por las organizaciones empresariales y sindicales más representativas. Según la parte promotora del conflicto, esta posibilidad es constitucional. Sin embargo, deja de serlo en el apartado 2, al fijarse las competencias y funciones de estas comisiones en contra de la competencia autonómica para la organización de sus servicios a la hora de ejecutar la legislación laboral. El Estado no puede imponer las concretas funciones de estos órganos en materia de formación profesional sin violentar la competencia de la Comunidad Autónoma.</w:t>
      </w:r>
    </w:p>
    <w:p w:rsidR="0026452D" w:rsidRDefault="0026452D" w:rsidP="0026452D">
      <w:pPr>
        <w:pStyle w:val="TextoNormal"/>
      </w:pPr>
    </w:p>
    <w:p w:rsidR="0026452D" w:rsidRDefault="0026452D" w:rsidP="0026452D">
      <w:pPr>
        <w:pStyle w:val="TextoNormal"/>
      </w:pPr>
      <w:r>
        <w:t>Por último, según la Letrada autonómica, la disposición adicional sexta viene a excluir a las Comunidades Autónomas del control de los fondos destinados a la formación profesional continua. Tal exclusión no encuentra justificación en la competencia estatal de establecimiento de una regulación uniforme heterónoma de la relación de trabajo y penetra en las atribuciones autonómicas de ejecución de la legislación laboral. Tal control constituye una típica competencia de ejecución que corresponde a la Comunidad Autónoma. A su vez, la Comunidad Autónoma difícilmente puede ejercer sus competencias ejecutivas si no puede llevar a efecto el control de los fondos destinados a la formación profesional continua.</w:t>
      </w:r>
    </w:p>
    <w:p w:rsidR="0026452D" w:rsidRDefault="0026452D" w:rsidP="0026452D">
      <w:pPr>
        <w:pStyle w:val="TextoNormal"/>
      </w:pPr>
    </w:p>
    <w:p w:rsidR="0026452D" w:rsidRDefault="0026452D" w:rsidP="0026452D">
      <w:pPr>
        <w:pStyle w:val="TextoNormal"/>
      </w:pPr>
      <w:r>
        <w:lastRenderedPageBreak/>
        <w:t>Posteriormente, mediante escrito de subsanación de errores registrado en fecha de 15 de enero de 2004, la Letrada de la Junta de Andalucía aportó copia de la documentación que debió adjuntar a la demanda.</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10 de febrero de 2004 la Sección Cuarta de este Tribunal admitió a trámite el conflicto positivo de competencia promovido por el Consejo de Gobierno de la Junta de Andalucía, acordando dar traslado de las actuaciones al Gobierno de la Nación, por conducto de su Presidente, al objeto de que en el plazo de veinte días pudiera personarse en los autos y aportar cuantos documentos y alegaciones considerase convenientes. Acordó asimismo comunicar la incoación del conflicto a la Sala de lo Contencioso-Administrativo del Tribunal Supremo, por si estuviera impugnado o se impugnara el referido Real Decreto, en cuyo caso se suspendería el curso del proceso hasta la decisión del conflicto, así como publicarla en los boletines oficiales del Estado y de la Junta de Andalucía, que se realizó en los núms. 48 de 25 de febrero de 2004 y 43 de 3 de marzo del mismo año, respectivamente.</w:t>
      </w:r>
    </w:p>
    <w:p w:rsidR="0026452D" w:rsidRDefault="0026452D" w:rsidP="0026452D">
      <w:pPr>
        <w:pStyle w:val="TextoNormal"/>
      </w:pPr>
    </w:p>
    <w:p w:rsidR="0026452D" w:rsidRDefault="0026452D" w:rsidP="0026452D">
      <w:pPr>
        <w:pStyle w:val="TextoNormal"/>
      </w:pPr>
      <w:r w:rsidRPr="0026452D">
        <w:rPr>
          <w:rStyle w:val="NumeroAFNegritaCaracter"/>
        </w:rPr>
        <w:t>3</w:t>
      </w:r>
      <w:r>
        <w:t>. Mediante escrito que tuvo entrada en este Tribunal el 18 de febrero de 2004, el Abogado del Estado solicitó, dada la acumulación de asuntos pendientes ante ese servicio jurídico, una prórroga hasta el máximo legal del plazo concedido para alegaciones. La Sección Cuarta, mediante providencia de 24 de febrero, acordó incorporar a las actuaciones el escrito del Abogado del Estado y atender su solicitud, ampliando en diez días el plazo inicialmente concedido.</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escrito de alegaciones registrado en este Tribunal el 5 de marzo de 2004, el Abogado del Estado solicita que se tenga por evacuado el trámite conferido y que, en su día, se dicte Sentencia desestimatoria de la demanda en todos sus extremos, declarando los preceptos impugnados ajustados a la Constitución, por las razones que a continuación se exponen.</w:t>
      </w:r>
    </w:p>
    <w:p w:rsidR="0026452D" w:rsidRDefault="0026452D" w:rsidP="0026452D">
      <w:pPr>
        <w:pStyle w:val="TextoNormal"/>
      </w:pPr>
    </w:p>
    <w:p w:rsidR="0026452D" w:rsidRDefault="0026452D" w:rsidP="0026452D">
      <w:pPr>
        <w:pStyle w:val="TextoNormal"/>
      </w:pPr>
      <w:r>
        <w:t>La formación continua de los trabajadores ocupados se incardina en la materia laboral, según las SSTC 95/2002 y 190/2002, al constituir un derecho concreto de los trabajadores en el seno de la relación laboral. Por eso, afirma, el art. 149.1.7 CE ampara la regulación estatal de esta actividad. Este título autoriza a establecer un régimen jurídico-laboral unitario que alcanza a la formación continua de los trabajadores ocupados. Por esto el Estado tiene capacidad para optar entre una variedad de modelos posibles de financiación. Puede elegir entre subvenciones públicas o bonificaciones en las cuotas que las empresas ingresan en la Seguridad Social o imponer un sistema mixto, como en el caso. Por lo mismo, puede establecer las modalidades organizativas y de gestión de los planes de empresa o de los planes agrupados que, por su dimensión supraterritorial o por otros motivos, no puedan ser adecuadamente desarrolladas por las Comunidades Autónomas o excedan de su ámbito competencial.</w:t>
      </w:r>
    </w:p>
    <w:p w:rsidR="0026452D" w:rsidRDefault="0026452D" w:rsidP="0026452D">
      <w:pPr>
        <w:pStyle w:val="TextoNormal"/>
      </w:pPr>
    </w:p>
    <w:p w:rsidR="0026452D" w:rsidRDefault="0026452D" w:rsidP="0026452D">
      <w:pPr>
        <w:pStyle w:val="TextoNormal"/>
      </w:pPr>
      <w:r>
        <w:t xml:space="preserve">La denuncia de inconstitucionalidad contra el art. 1 del Real Decreto carece de todo fundamento. Cabe interpretarlo conforme a la Constitución de modo tal que su referencia a la estructura organizativa y de participación del subsistema se entienda realizada sin perjuicio de las competencias autonómicas de ejecución de la legislación laboral. El capítulo V del Real Decreto regula, justamente, esa estructura partiendo de criterios de cooperación y con </w:t>
      </w:r>
      <w:r>
        <w:lastRenderedPageBreak/>
        <w:t>pleno respeto de las competencias autonómicas de autoorganización. Para la Abogacía del Estado es significativo que la demandante haya limitado su impugnación a los arts. 1 y 20.2, sin ampliarla a toda la regulación del capítulo V del Real Decreto 1046/2003.</w:t>
      </w:r>
    </w:p>
    <w:p w:rsidR="0026452D" w:rsidRDefault="0026452D" w:rsidP="0026452D">
      <w:pPr>
        <w:pStyle w:val="TextoNormal"/>
      </w:pPr>
    </w:p>
    <w:p w:rsidR="0026452D" w:rsidRDefault="0026452D" w:rsidP="0026452D">
      <w:pPr>
        <w:pStyle w:val="TextoNormal"/>
      </w:pPr>
      <w:r>
        <w:t>El Real Decreto prevé, ciertamente, determinadas entidades u órganos de ámbito estatal —Fundación Estatal para la Formación en el Empleo y Comisión Estatal de Formación Continua—. Sin embargo, esto no vulnera de suyo las competencias propias de las Comunidades Autónomas. La norma controvertida únicamente les atribuye funciones que forman parte de las competencias propias del Estado, sin ocuparse de la estructura organizativa de las Comunidades Autónomas que, en efecto, sólo a ellas compete.</w:t>
      </w:r>
    </w:p>
    <w:p w:rsidR="0026452D" w:rsidRDefault="0026452D" w:rsidP="0026452D">
      <w:pPr>
        <w:pStyle w:val="TextoNormal"/>
      </w:pPr>
    </w:p>
    <w:p w:rsidR="0026452D" w:rsidRDefault="0026452D" w:rsidP="0026452D">
      <w:pPr>
        <w:pStyle w:val="TextoNormal"/>
      </w:pPr>
      <w:r>
        <w:t>La necesaria colaboración entre el Estado y las Comunidades Autónomas, que es un principio implícito esencial del sistema constitucional de organización territorial, justifica la previsión de funciones de coordinación y evaluación de las diferentes políticas de formación continua desarrolladas en todo el territorio. Por esta razón el Real Decreto configura la Comisión Estatal de Formación Continua y la Fundación Estatal para la Formación en el Empleo como órganos técnicos al servicio de todas las Administraciones públicas. Las Comunidades Autónomas participan en ellas con el mismo nivel de decisión que el Estado (arts. 18.3 y 21.3) y, en todo caso, conservan la competencia para organizar la prestación del servicio conforme a su propio criterio.</w:t>
      </w:r>
    </w:p>
    <w:p w:rsidR="0026452D" w:rsidRDefault="0026452D" w:rsidP="0026452D">
      <w:pPr>
        <w:pStyle w:val="TextoNormal"/>
      </w:pPr>
    </w:p>
    <w:p w:rsidR="0026452D" w:rsidRDefault="0026452D" w:rsidP="0026452D">
      <w:pPr>
        <w:pStyle w:val="TextoNormal"/>
      </w:pPr>
      <w:r>
        <w:t>A su vez, las comisiones paritarias sectoriales y territoriales (arts. 19 y 20) no forman parte de ninguna Administración; son órganos de participación de los agentes sociales y económicos. Su constitución es facultativa. Nacen al amparo de los convenios colectivos sectoriales de ámbito estatal o acuerdos específicos. Intervienen necesariamente en el subsistema por su condición de instrumentos posibilitadores de la implicación activa de los sujetos representados en el diseño e implantación de la formación continua, sin merma de las facultades que la Administración competente tenga atribuidas. Son tareas de mera participación que no implican ejercicio de potestades administrativas. Lo confirma la simple lectura del apartado 2 del art. 20, objeto del presente conflicto, en contra de lo razonado por la Letrada autonómica. Los cometidos previstos no suponen la adopción de actos administrativos y, en consecuencia, no menoscaban competencia autonómica alguna. La norma prevé, incluso, que corresponde a la Administración competente resolver las discrepancias entre los trabajadores y las empresas cuando no hayan podido dirimirse en el seno de estos órganos (art. 10.5).</w:t>
      </w:r>
    </w:p>
    <w:p w:rsidR="0026452D" w:rsidRDefault="0026452D" w:rsidP="0026452D">
      <w:pPr>
        <w:pStyle w:val="TextoNormal"/>
      </w:pPr>
    </w:p>
    <w:p w:rsidR="0026452D" w:rsidRDefault="0026452D" w:rsidP="0026452D">
      <w:pPr>
        <w:pStyle w:val="TextoNormal"/>
      </w:pPr>
      <w:r>
        <w:t>Por otro lado, la concreción de los colectivos prioritarios (art. 5) garantiza la no discriminación y el acceso a la formación de trabajadores con mayores dificultades. Constituye una medida normativa adoptada en ejercicio de la competencia estatal exclusiva sobre legislación laboral que no dificulta el ejercicio de la competencia ejecutiva autonómica ni mucho menos la invade. Se trata, además, de una exigencia impuesta por el Fondo Social Europeo que corresponde atender al Estado. De ahí que el precepto se refiera específicamente a los trabajadores pertenecientes a los colectivos prioritarios señalados por esta institución. Por lo demás, es verdad que, conforme al precepto controvertido, la fijación del porcentaje de acceso a la formación de los trabajadores de estos colectivos prioritarios corresponde al Ministerio de Trabajo y Asuntos Sociales. Sin embargo, no hay marginación de las Comunidades Autónomas, pues participan en la elaboración de la propuesta que se presenta a la Comisión Estatal de Formación Continua (art. 18.3).</w:t>
      </w:r>
    </w:p>
    <w:p w:rsidR="0026452D" w:rsidRDefault="0026452D" w:rsidP="0026452D">
      <w:pPr>
        <w:pStyle w:val="TextoNormal"/>
      </w:pPr>
    </w:p>
    <w:p w:rsidR="0026452D" w:rsidRDefault="0026452D" w:rsidP="0026452D">
      <w:pPr>
        <w:pStyle w:val="TextoNormal"/>
      </w:pPr>
      <w:r>
        <w:t>El reproche de inconstitucionalidad dirigido contra los apartados 5 y 6 del art. 10 parte, según el Abogado del Estado, de una peculiar interpretación del alcance la competencia andaluza para la ejecución de la legislación laboral. Esas previsiones son, justamente, fruto del ejercicio de esta competencia estatal. La mera disconformidad de la demandante con la opción político-legislativa establecida no puede fundar la inconstitucionalidad denunciada.</w:t>
      </w:r>
    </w:p>
    <w:p w:rsidR="0026452D" w:rsidRDefault="0026452D" w:rsidP="0026452D">
      <w:pPr>
        <w:pStyle w:val="TextoNormal"/>
      </w:pPr>
    </w:p>
    <w:p w:rsidR="0026452D" w:rsidRDefault="0026452D" w:rsidP="0026452D">
      <w:pPr>
        <w:pStyle w:val="TextoNormal"/>
      </w:pPr>
      <w:r>
        <w:t>La impugnación de la disposición adicional sexta tiene carácter preventivo, por lo que es improcedente. La demanda adolece en este punto de gran imprecisión, pues no concreta en forma alguna en qué se ha extralimitado el legislador estatal. Sólo las medidas que adopte el Gobierno podrían ser objeto de impugnación caso a caso, pero no la disposición que las habilita.</w:t>
      </w:r>
    </w:p>
    <w:p w:rsidR="0026452D" w:rsidRDefault="0026452D" w:rsidP="0026452D">
      <w:pPr>
        <w:pStyle w:val="TextoNormal"/>
      </w:pPr>
    </w:p>
    <w:p w:rsidR="0026452D" w:rsidRDefault="0026452D" w:rsidP="0026452D">
      <w:pPr>
        <w:pStyle w:val="TextoNormal"/>
      </w:pPr>
      <w:r>
        <w:t>En fin, la supraterritorialidad fundamenta la competencia estatal prevista en el art. 17. El precepto reconoce a las claras que corresponden a las Comunidades Autónomas las tareas de gestión y ejecución en los supuestos de contratos programas para la formación de trabajadores o acciones complementarias o de acompañamiento, si sólo afectan a su ámbito territorial. A su vez, según el Abogado del Estado, el criterio empleado para deslindar cuándo el ejercicio de la actividad deja de corresponder a las Comunidades Autónomas encuentra cobertura en la jurisprudencia constitucional aplicable.</w:t>
      </w:r>
    </w:p>
    <w:p w:rsidR="0026452D" w:rsidRDefault="0026452D" w:rsidP="0026452D">
      <w:pPr>
        <w:pStyle w:val="TextoNormal"/>
      </w:pPr>
    </w:p>
    <w:p w:rsidR="0026452D" w:rsidRDefault="0026452D" w:rsidP="0026452D">
      <w:pPr>
        <w:pStyle w:val="TextoNormal"/>
      </w:pPr>
      <w:r w:rsidRPr="0026452D">
        <w:rPr>
          <w:rStyle w:val="NumeroAFNegritaCaracter"/>
        </w:rPr>
        <w:t>5</w:t>
      </w:r>
      <w:r>
        <w:t>. Por providencia de 12 de febrero de 2013 se acordó señalar para deliberación y votación de la presente Sentencia el día 14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 planteado por el Consejo de Gobierno de la Junta de Andalucía en relación con los artículos 1; 5; apartados 5 y 6 del art. 10; 17; apartado 2 del art. 20 y disposición adicional sexta del Real Decreto 1046/2003, de 1 de agosto, por el que se regula el subsistema de formación profesional continua.</w:t>
      </w:r>
    </w:p>
    <w:p w:rsidR="0026452D" w:rsidRDefault="0026452D" w:rsidP="0026452D">
      <w:pPr>
        <w:pStyle w:val="TextoNormal"/>
      </w:pPr>
    </w:p>
    <w:p w:rsidR="0026452D" w:rsidRDefault="0026452D" w:rsidP="0026452D">
      <w:pPr>
        <w:pStyle w:val="TextoNormal"/>
      </w:pPr>
      <w:r>
        <w:t>La Letrada de la Junta de Andalucía considera que la formación continua de los trabajadores ocupados se encuadra en el ámbito laboral (art. 149.1.7 CE) y funda su impugnación en que los preceptos controvertidos no están cubiertos por las competencias estatales en la materia. Denuncia, en particular, la invasión de las competencias de ejecución de la legislación laboral del Estado que atribuye a la Comunidad de Andalucía el art. 17.2 de su Estatuto de Autonomía.</w:t>
      </w:r>
    </w:p>
    <w:p w:rsidR="0026452D" w:rsidRDefault="0026452D" w:rsidP="0026452D">
      <w:pPr>
        <w:pStyle w:val="TextoNormal"/>
      </w:pPr>
    </w:p>
    <w:p w:rsidR="0026452D" w:rsidRDefault="0026452D" w:rsidP="0026452D">
      <w:pPr>
        <w:pStyle w:val="TextoNormal"/>
      </w:pPr>
      <w:r>
        <w:t>Según el Abogado del Estado, varios títulos competenciales, especialmente el incluido en el art. 149.1.7 CE, respaldan plenamente la regulación impugnada. Permiten el establecimiento de un régimen jurídico unitario de la formación continua de los trabajadores ocupados y del modelo de financiación y organización que el legislador estatal considere más eficaz. Por esta razón, solicita la íntegra desestimación del recurso y la declaración de que las disposiciones impugnadas se ajustan a la Constitución.</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2</w:t>
      </w:r>
      <w:r>
        <w:t>. Expuestas sintéticamente las posiciones de las partes, antes de proceder al examen de la cuestión de fondo, resulta conveniente realizar algunas precisiones.</w:t>
      </w:r>
    </w:p>
    <w:p w:rsidR="0026452D" w:rsidRDefault="0026452D" w:rsidP="0026452D">
      <w:pPr>
        <w:pStyle w:val="TextoNormal"/>
      </w:pPr>
    </w:p>
    <w:p w:rsidR="0026452D" w:rsidRDefault="0026452D" w:rsidP="0026452D">
      <w:pPr>
        <w:pStyle w:val="TextoNormal"/>
      </w:pPr>
      <w:r>
        <w:t>a) Este conflicto presenta una fundamental coincidencia con el tramitado bajo el núm. 7264-2003, que formuló la Generalitat de Cataluña contra este mismo Real Decreto, dando lugar a la reciente STC 244/2012, de 18 de diciembre. La doctrina de esta Sentencia resulta de directa aplicación a la presente controversia.</w:t>
      </w:r>
    </w:p>
    <w:p w:rsidR="0026452D" w:rsidRDefault="0026452D" w:rsidP="0026452D">
      <w:pPr>
        <w:pStyle w:val="TextoNormal"/>
      </w:pPr>
    </w:p>
    <w:p w:rsidR="0026452D" w:rsidRDefault="0026452D" w:rsidP="0026452D">
      <w:pPr>
        <w:pStyle w:val="TextoNormal"/>
      </w:pPr>
      <w:r>
        <w:t>b) La disposición derogatoria única 2 a) del Real Decreto 395/2007, de 23 de marzo, regulador del subsistema de formación profesional para el empleo, ha derogado expresamente el Real Decreto 1046/2003 que aquí se controvierte. Respecto de los efectos que esto tiene sobre el objeto del presente proceso constitucional, vale lo que en su momento declaramos en la STC 244/2012, de 18 de diciembre, FJ 2 b) al enfrentarnos a la misma cuestión. Subsiste el objeto del presente conflicto porque el Real Decreto 395/2007 plantea en esencia los mismos problemas competenciales que motivan el conflicto promovido contra el Real Decreto 1046/2003. La disputa sobre la titularidad competencial sigue viva entre las partes y, por tanto, persiste el interés en la determinación de la titularidad de la competencia discutida.</w:t>
      </w:r>
    </w:p>
    <w:p w:rsidR="0026452D" w:rsidRDefault="0026452D" w:rsidP="0026452D">
      <w:pPr>
        <w:pStyle w:val="TextoNormal"/>
      </w:pPr>
    </w:p>
    <w:p w:rsidR="0026452D" w:rsidRDefault="0026452D" w:rsidP="0026452D">
      <w:pPr>
        <w:pStyle w:val="TextoNormal"/>
      </w:pPr>
      <w:r>
        <w:t xml:space="preserve">c) Tras la interposición del presente conflicto, la Ley Orgánica 2/2007, de 19 de marzo, ha reformado el Estatuto de Autonomía de Andalucía. En el presente proceso constitucional manejaremos la versión actualmente vigente conforme a nuestra consolidada doctrina sobre el </w:t>
      </w:r>
      <w:r w:rsidRPr="0026452D">
        <w:rPr>
          <w:i/>
        </w:rPr>
        <w:t>ius superveniens</w:t>
      </w:r>
      <w:r>
        <w:t>, según la cual “el control de las normas que incurren en un posible exceso competencial debe hacerse de acuerdo a las normas del bloque de la constitucionalidad vigentes al momento de dictar Sentencia” (STC 1/2011, de 14 de febrero, FJ 2, y doctrina allí citada).</w:t>
      </w:r>
    </w:p>
    <w:p w:rsidR="0026452D" w:rsidRDefault="0026452D" w:rsidP="0026452D">
      <w:pPr>
        <w:pStyle w:val="TextoNormal"/>
      </w:pPr>
    </w:p>
    <w:p w:rsidR="0026452D" w:rsidRDefault="0026452D" w:rsidP="0026452D">
      <w:pPr>
        <w:pStyle w:val="TextoNormal"/>
      </w:pPr>
      <w:r w:rsidRPr="0026452D">
        <w:rPr>
          <w:rStyle w:val="NumeroAFNegritaCaracter"/>
        </w:rPr>
        <w:t>3</w:t>
      </w:r>
      <w:r>
        <w:t>. Entrando en el enjuiciamiento de fondo de la cuestión controvertida, ambas partes coinciden en que el Real Decreto 1046/2003 se inserta en el ámbito de las competencias exclusivas sobre “legislación laboral” que el art. 149.1.7 CE atribuye al Estado en consonancia con lo que este Tribunal ha declarado en la STC 244/2012, de 18 de diciembre, FJ 4.</w:t>
      </w:r>
    </w:p>
    <w:p w:rsidR="0026452D" w:rsidRDefault="0026452D" w:rsidP="0026452D">
      <w:pPr>
        <w:pStyle w:val="TextoNormal"/>
      </w:pPr>
    </w:p>
    <w:p w:rsidR="0026452D" w:rsidRDefault="0026452D" w:rsidP="0026452D">
      <w:pPr>
        <w:pStyle w:val="TextoNormal"/>
      </w:pPr>
      <w:r>
        <w:t>Sin embargo, la Letrada autonómica rechaza que los apartados 13 y 17 del art. 149.1 CE puedan soportar la regulación controvertida. Respecto del primer título competencial (bases y coordinación de la planificación general de la economía), hay que subrayar que, conforme al art. 3 del Real Decreto controvertido, los beneficiarios de la formación continua no son exclusivamente trabajadores asalariados que prestan servicios en empresas privadas o entidades públicas empresariales y cotizan a la Seguridad Social en concepto de formación profesional. Esto es relevante porque, según lo declarado en la Sentencia de referencia, no puede descartarse que el art. 149.1.13 CE cubra “la decisión de expandir el círculo de los beneficiarios de la actividad prevista como formación continua, hasta alcanzar a colectivos de trabajadores que no son propiamente trabajadores ocupados ni asalariados”. No obstante, en lo que atiene específicamente a la norma discutida, hemos constatado que el núcleo de su regulación, conforme a la finalidad declarada, “sigue siendo la formación profesional continua de los trabajadores ocupados y asalariados, que tiene la consideración de ‘legislación laboral’ al amparo del art. 149.1.7 de la Constitución, y cuya ejecución corresponde a las Comunidades Autónomas” (STC 244/2012, FJ 4).</w:t>
      </w:r>
    </w:p>
    <w:p w:rsidR="0026452D" w:rsidRDefault="0026452D" w:rsidP="0026452D">
      <w:pPr>
        <w:pStyle w:val="TextoNormal"/>
      </w:pPr>
    </w:p>
    <w:p w:rsidR="0026452D" w:rsidRDefault="0026452D" w:rsidP="0026452D">
      <w:pPr>
        <w:pStyle w:val="TextoNormal"/>
      </w:pPr>
      <w:r>
        <w:lastRenderedPageBreak/>
        <w:t>En cambio, hemos razonado ampliamente que el título competencial del art. 149.1.17 (legislación básica y régimen jurídico de la Seguridad Social) no puede cubrir la regulación de la formación profesional, señalando, en particular, que el hecho de que, conforme al Real Decreto controvertido, “los créditos destinados a formación tengan su origen en cotizaciones que se recaudan por la tesorería de la Seguridad Social, no implica que formen parte de la caja única de la Seguridad Social, ni, en consecuencia, que resulte de aplicación al presente supuesto la competencia prevista en el art. 149.1.17 CE” (STC 244/2012, FJ 4).</w:t>
      </w:r>
    </w:p>
    <w:p w:rsidR="0026452D" w:rsidRDefault="0026452D" w:rsidP="0026452D">
      <w:pPr>
        <w:pStyle w:val="TextoNormal"/>
      </w:pPr>
    </w:p>
    <w:p w:rsidR="0026452D" w:rsidRDefault="0026452D" w:rsidP="0026452D">
      <w:pPr>
        <w:pStyle w:val="TextoNormal"/>
      </w:pPr>
      <w:r>
        <w:t xml:space="preserve">Determinada, pues, la inclusión del Real Decreto en el ámbito competencial relativo a la “legislación laboral”, cabe afirmar que “el Estado, desde sus competencias en materia de legislación laboral, </w:t>
      </w:r>
      <w:r w:rsidRPr="0026452D">
        <w:rPr>
          <w:i/>
        </w:rPr>
        <w:t>ex</w:t>
      </w:r>
      <w:r>
        <w:t xml:space="preserve"> art. 149.1.7 CE, está facultado para abordar la presente regulación, pero no puede ignorar que la competencia para su ejecución corresponde a la Comunidad Autónoma, sin que en el ejercicio de su competencia normativa pueda el Estado desapoderar a las Comunidades Autónomas de las competencias estatutariamente asumidas y efectivamente traspasadas, siendo ésta la perspectiva desde la que debe procederse al examen de los distintos preceptos que son objeto de la presente impugnación, siguiendo las premisas establecidas en la citada Sentencia 95/2002” (STC 244/2012, FJ 4).</w:t>
      </w:r>
    </w:p>
    <w:p w:rsidR="0026452D" w:rsidRDefault="0026452D" w:rsidP="0026452D">
      <w:pPr>
        <w:pStyle w:val="TextoNormal"/>
      </w:pPr>
    </w:p>
    <w:p w:rsidR="0026452D" w:rsidRDefault="0026452D" w:rsidP="0026452D">
      <w:pPr>
        <w:pStyle w:val="TextoNormal"/>
      </w:pPr>
      <w:r w:rsidRPr="0026452D">
        <w:rPr>
          <w:rStyle w:val="NumeroAFNegritaCaracter"/>
        </w:rPr>
        <w:t>4</w:t>
      </w:r>
      <w:r>
        <w:t>. La impugnación se dirige, en primer término, contra el art. 1, conforme al que el Real Decreto 1046/2003 “tiene por objeto regular las distintas iniciativas de formación que constituyen el subsistema de formación continua, el régimen de funcionamiento y su financiación, así como la estructura organizativa y de participación del subsistema”. La Letrada autonómica centra su argumentación en la referencia del último inciso a la “estructura organizativa y de participación en el subsistema de formación continua” como objeto de la regulación. Considera que la previsión de una estructura organizativa estatal invade la competencia de Andalucía para la definición de su propia estructura organizativa en materia laboral. Ahora bien, la demanda no extiende la impugnación a los preceptos reguladores de la citada estructura organizativa (arts. 18 a 21), salvo en lo que respecta al art. 20.2.</w:t>
      </w:r>
    </w:p>
    <w:p w:rsidR="0026452D" w:rsidRDefault="0026452D" w:rsidP="0026452D">
      <w:pPr>
        <w:pStyle w:val="TextoNormal"/>
      </w:pPr>
    </w:p>
    <w:p w:rsidR="0026452D" w:rsidRDefault="0026452D" w:rsidP="0026452D">
      <w:pPr>
        <w:pStyle w:val="TextoNormal"/>
      </w:pPr>
      <w:r>
        <w:t xml:space="preserve">Según la Letrada de la Junta, la mera existencia de órganos estatales en materia de formación continua, cualquiera que sea su naturaleza y el alcance de sus atribuciones, determina </w:t>
      </w:r>
      <w:r w:rsidRPr="0026452D">
        <w:rPr>
          <w:i/>
        </w:rPr>
        <w:t>per se</w:t>
      </w:r>
      <w:r>
        <w:t xml:space="preserve"> la exclusión de la posibilidad de una organización administrativa autonómica y, con ello, una relevante vulneración competencial. Esta interpretación no resulta, en realidad, de la lectura de la disposición impugnada. Según hemos declarado ya en la STC 244/2012, FJ 8, al hilo de la impugnación formulada contra varios de los concretos preceptos reguladores de la citada estructura: “la competencia exclusiva del Estado en materia de ‘legislación laboral’ prevista en el art. 149.1.7 CE supone la atribución a éste de la íntegra regulación de la materia, y, en consecuencia, le habilita para prever aquellas estructuras organizativas que, configuradas como órganos de deliberación, consulta, o propuesta, vienen a responder adecuadamente a la finalidad que es propia de los principios de cooperación y colaboración”, teniendo en cuenta que “la mera previsión de una estructura organizativa y de participación entre el Estado, las Comunidades Autónomas y los agentes sociales implicados en el ámbito de la formación continua, en cuanto traslación de los principios generales de cooperación y colaboración, tiene por objeto favorecer la adecuada articulación del ejercicio de las respectivas competencias, y en esta medida tales previsiones no alteran el esquema de reparto competencial, ni impiden a la Comunidad Autónoma, en ejercicio de su potestad de autoorganización, la creación de los servicios o unidades propios que estime convenientes en orden al adecuado ejercicio de las competencias de ejecución que le han </w:t>
      </w:r>
      <w:r>
        <w:lastRenderedPageBreak/>
        <w:t>sido constitucionalmente atribuidas, siempre y cuando las funciones atribuidas a dichos órganos no vengan a sustituir las competencias de ejecución que son propias de las Comunidades Autónomas”. Por esta razón debe rechazarse la impugnación dirigida contra el art. 1 del Real Decreto 1046/2003.</w:t>
      </w:r>
    </w:p>
    <w:p w:rsidR="0026452D" w:rsidRDefault="0026452D" w:rsidP="0026452D">
      <w:pPr>
        <w:pStyle w:val="TextoNormal"/>
      </w:pPr>
    </w:p>
    <w:p w:rsidR="0026452D" w:rsidRDefault="0026452D" w:rsidP="0026452D">
      <w:pPr>
        <w:pStyle w:val="TextoNormal"/>
      </w:pPr>
      <w:r w:rsidRPr="0026452D">
        <w:rPr>
          <w:rStyle w:val="NumeroAFNegritaCaracter"/>
        </w:rPr>
        <w:t>5</w:t>
      </w:r>
      <w:r>
        <w:t>. El conflicto se dirige, en segundo término, contra el artículo 5 del Real Decreto 1046/2003. Según la Comunidad Autónoma el precepto contraviene las competencias autonómicas de ejecución por dos razones. En primer lugar, por dejar de prever la intervención decisoria de la Comunidad en la determinación de los colectivos prioritarios a los que van dirigidas las iniciativas de formación continua. En segundo lugar, por atribuir al Ministerio de Trabajo, a propuesta de la Comisión estatal de formación continua, la fijación del porcentaje de participación de los mencionados colectivos. Según la parte promotora del conflicto, no salva la constitucionalidad del precepto la previsión de una intervención autonómica dentro de la Comisión mencionada. Tal órgano es de carácter estatal y, dada su composición paritaria, las Comunidades Autónomas carecen de capacidad decisoria.</w:t>
      </w:r>
    </w:p>
    <w:p w:rsidR="0026452D" w:rsidRDefault="0026452D" w:rsidP="0026452D">
      <w:pPr>
        <w:pStyle w:val="TextoNormal"/>
      </w:pPr>
    </w:p>
    <w:p w:rsidR="0026452D" w:rsidRDefault="0026452D" w:rsidP="0026452D">
      <w:pPr>
        <w:pStyle w:val="TextoNormal"/>
      </w:pPr>
      <w:r>
        <w:t xml:space="preserve">La determinación de los colectivos prioritarios para el acceso a las distintas iniciativas en materia de formación continua se inscribe en el ámbito propio de la legislación laboral que el art. 149.1.7 CE atribuye a la competencia exclusiva del Estado. Hemos declarado en este sentido que “las competencias referidas a la legislación son normativas y comprenden la totalidad de la potestad para la regulación de la materia a que se contrae; y las competencias ejecutivas son por regla general aplicativas, llevando a la práctica lo establecido en la disposiciones normativas” (STC 103/1999, FJ 49). En particular, “la exigencia de uniformidad que informa el título competencial del Estado sobre legislación laboral </w:t>
      </w:r>
      <w:r w:rsidRPr="0026452D">
        <w:rPr>
          <w:i/>
        </w:rPr>
        <w:t>ex</w:t>
      </w:r>
      <w:r>
        <w:t xml:space="preserve"> art. 149.1.7 CE (STC 227/1998, de 26 de noviembre, FJ 9) determina en definitiva que ningún espacio de regulación externa les resta a las Comunidades Autónomas, las cuales únicamente pueden disponer de una competencia de mera ejecución de la normación estatal” (STC 51/2006, de 16 de febrero, FJ 4). Esto implica que la legislación laboral reservada al Estado incluye el régimen de las condiciones relativas a los colectivos prioritarios para el acceso a las acciones de formación continua. La competencia autonómica se circunscribe a los exclusivos aspectos de ejecución o gestión sin que, en consecuencia, pueda regular dicho acceso. Por tanto, ha de rechazarse la pretensión de la Comunidad Autónoma en este extremo.</w:t>
      </w:r>
    </w:p>
    <w:p w:rsidR="0026452D" w:rsidRDefault="0026452D" w:rsidP="0026452D">
      <w:pPr>
        <w:pStyle w:val="TextoNormal"/>
      </w:pPr>
    </w:p>
    <w:p w:rsidR="0026452D" w:rsidRDefault="0026452D" w:rsidP="0026452D">
      <w:pPr>
        <w:pStyle w:val="TextoNormal"/>
      </w:pPr>
      <w:r w:rsidRPr="0026452D">
        <w:rPr>
          <w:rStyle w:val="NumeroAFNegritaCaracter"/>
        </w:rPr>
        <w:t>6</w:t>
      </w:r>
      <w:r>
        <w:t>. El primer apartado del artículo 10 del Real Decreto 1046/2003 dispone que la empresa someterá las acciones formativas a información de la representación legal de los trabajadores, conforme a lo dispuesto en el Estatuto de los trabajadores. Según los apartados 5 y 6, la “Administración competente” resolverá las discrepancias que puedan surgir entre los trabajadores o sus representantes y la empresa cuando no exista comisión paritaria sectorial o territorial o, habiéndola, cuando se mantuviese el desacuerdo. A juicio de la Junta de Andalucía, estos dos apartados lesionan sus competencias de ejecución, al regular la organización y el procedimiento para la resolución de las diferencias reseñadas. Tal vulneración no resultaría sanada por el papel adjudicado a la Administración competente ante las discrepancias no resueltas en el seno de las citadas Comisiones.</w:t>
      </w:r>
    </w:p>
    <w:p w:rsidR="0026452D" w:rsidRDefault="0026452D" w:rsidP="0026452D">
      <w:pPr>
        <w:pStyle w:val="TextoNormal"/>
      </w:pPr>
    </w:p>
    <w:p w:rsidR="0026452D" w:rsidRDefault="0026452D" w:rsidP="0026452D">
      <w:pPr>
        <w:pStyle w:val="TextoNormal"/>
      </w:pPr>
      <w:r>
        <w:t xml:space="preserve">Debemos rechazar esta impugnación por las razones expuestas en el FJ 8 b) de la STC 244/2012 al resolver la denuncia de inconstitucionalidad dirigida contra el régimen funcional de las comisiones paritarias sectoriales y territoriales de los arts. 19.2 y 20.2: “Las comisiones paritarias sectoriales (art. 19) y territoriales (art. 20) son órganos de representación </w:t>
      </w:r>
      <w:r>
        <w:lastRenderedPageBreak/>
        <w:t>de las organizaciones empresariales y sindicales, en los que no se integran ni la Administración estatal ni la autonómica …. Se contempla en estos preceptos una función de mediación en la resolución de las posibles discrepancias sobre el contenido de las acciones formativas propuestas por la empresa que se atribuye a un órgano, las comisiones paritarias, integrado precisamente por organizaciones sindicales y empresariales, lo que resulta acorde a la naturaleza “privada” del conflicto y que, en caso de mantenerse el desacuerdo, se remite para su posterior resolución a la “Administración competente”. En estos términos, la intervención previa de las comisiones paritarias se constituye como un ejercicio de función mediadora por quien ostenta la representación de las partes, que no desplaza la competencia atribuida a la Administración competente en caso de subsistencia del desacuerdo, por lo que dicha función no interfiere o menoscaba el ejercicio de las competencias que corresponden” a la Comunidad Autónoma.</w:t>
      </w:r>
    </w:p>
    <w:p w:rsidR="0026452D" w:rsidRDefault="0026452D" w:rsidP="0026452D">
      <w:pPr>
        <w:pStyle w:val="TextoNormal"/>
      </w:pPr>
    </w:p>
    <w:p w:rsidR="0026452D" w:rsidRDefault="0026452D" w:rsidP="0026452D">
      <w:pPr>
        <w:pStyle w:val="TextoNormal"/>
      </w:pPr>
      <w:r w:rsidRPr="0026452D">
        <w:rPr>
          <w:rStyle w:val="NumeroAFNegritaCaracter"/>
        </w:rPr>
        <w:t>7</w:t>
      </w:r>
      <w:r>
        <w:t>. La parte promotora del conflicto impugna también el artículo 17 del Real Decreto 1046/2003. El apartado primero de este precepto establece que corresponde al Instituto Nacional de Empleo (INEM) la concesión y pago de las subvenciones destinadas a la realización de acciones complementarias de investigación, de estudios de carácter sectorial y multisectorial y de productos y herramientas innovadores relacionados con la formación continua, cuando dichas acciones afecten a un ámbito territorial superior al de una Comunidad Autónoma. Para las acciones de ámbito territorial exclusivamente autonómico, el apartado 2 se remite art. 153 del texto refundido de la Ley general presupuestaria, aprobado por Real Decreto Legislativo 1091/1988, de 23 de septiembre.</w:t>
      </w:r>
    </w:p>
    <w:p w:rsidR="0026452D" w:rsidRDefault="0026452D" w:rsidP="0026452D">
      <w:pPr>
        <w:pStyle w:val="TextoNormal"/>
      </w:pPr>
    </w:p>
    <w:p w:rsidR="0026452D" w:rsidRDefault="0026452D" w:rsidP="0026452D">
      <w:pPr>
        <w:pStyle w:val="TextoNormal"/>
      </w:pPr>
      <w:r>
        <w:t>Respecto del apartado primero del art. 17, hemos declarado en la STC 244/2012, FJ 7, que vulnera el orden de distribución competencial por atribuir expresamente a un órgano estatal (INEM) el ejercicio de funciones de naturaleza ejecutiva, consistentes en la concesión y pago de ayudas sin que concurran las circunstancias excepcionales que podrían justificar la gestión centralizada de acuerdo con el FJ 8 d) de la STC 13/1992. Procede, pues, afirmar que el art. 17.1 del Real Decreto 1046/2003 invade las competencias de la Comunidad Autónoma de Andalucía.</w:t>
      </w:r>
    </w:p>
    <w:p w:rsidR="0026452D" w:rsidRDefault="0026452D" w:rsidP="0026452D">
      <w:pPr>
        <w:pStyle w:val="TextoNormal"/>
      </w:pPr>
    </w:p>
    <w:p w:rsidR="0026452D" w:rsidRDefault="0026452D" w:rsidP="0026452D">
      <w:pPr>
        <w:pStyle w:val="TextoNormal"/>
      </w:pPr>
      <w:r>
        <w:t>Respecto del apartado 2, basta constatar la ausencia de una argumentación específica que apoye la impugnación para rechazarla de acuerdo con la doctrina recopilada en la STC 158/2011, de 19 de octubre, según la cual “no basta la mera invocación formal de los preceptos en la demanda (STC 98/1989, FJ 5)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w:t>
      </w:r>
    </w:p>
    <w:p w:rsidR="0026452D" w:rsidRDefault="0026452D" w:rsidP="0026452D">
      <w:pPr>
        <w:pStyle w:val="TextoNormal"/>
      </w:pPr>
    </w:p>
    <w:p w:rsidR="0026452D" w:rsidRDefault="0026452D" w:rsidP="0026452D">
      <w:pPr>
        <w:pStyle w:val="TextoNormal"/>
      </w:pPr>
      <w:r w:rsidRPr="0026452D">
        <w:rPr>
          <w:rStyle w:val="NumeroAFNegritaCaracter"/>
        </w:rPr>
        <w:t>8</w:t>
      </w:r>
      <w:r>
        <w:t>. El apartado 1 del art. 20 prevé la posibilidad de constituir en las Comunidades Autónomas comisiones paritarias territoriales integradas por las organizaciones empresariales y sindicales más representativas. La Letrada autonómica admite la constitucionalidad de este apartado. No obstante, niega la del siguiente, por establecer las competencias y funciones de estas comisiones en contra de la competencia autonómica para la organización de sus servicios a la hora de ejecutar la legislación laboral.</w:t>
      </w:r>
    </w:p>
    <w:p w:rsidR="0026452D" w:rsidRDefault="0026452D" w:rsidP="0026452D">
      <w:pPr>
        <w:pStyle w:val="TextoNormal"/>
      </w:pPr>
    </w:p>
    <w:p w:rsidR="0026452D" w:rsidRDefault="0026452D" w:rsidP="0026452D">
      <w:pPr>
        <w:pStyle w:val="TextoNormal"/>
      </w:pPr>
      <w:r>
        <w:lastRenderedPageBreak/>
        <w:t>Respecto de estas comisiones, ya hemos tenido la oportunidad de advertir que “las funciones que desempeñen no serán objetables en la medida en que estas estructuras organizativas de participación de los agentes sociales actúen como instrumentos de colaboración y apoyo en el desarrollo del subsistema de formación continua, mediante actuaciones de naturaleza consultiva, de propuesta o deliberación, y siempre que no asuman funciones de gestión o ejecución del subsistema de formación continua que sustituyan y excluyan a las Comunidades Autónomas del ejercicio de las atribuciones que constitucional y estatutariamente tienen atribuidas como propias” [STC 244/2012, FJ 8 b)].</w:t>
      </w:r>
    </w:p>
    <w:p w:rsidR="0026452D" w:rsidRDefault="0026452D" w:rsidP="0026452D">
      <w:pPr>
        <w:pStyle w:val="TextoNormal"/>
      </w:pPr>
    </w:p>
    <w:p w:rsidR="0026452D" w:rsidRDefault="0026452D" w:rsidP="0026452D">
      <w:pPr>
        <w:pStyle w:val="TextoNormal"/>
      </w:pPr>
      <w:r>
        <w:t>En particular, la función de mediación encomendada a la Comisión en el apartado a) no merece reproche de constitucionalidad, según hemos razonado ya en el fundamento jurídico 6 de esta resolución. Tampoco las atribuciones previstas en la letra b) en materia de “seguimiento” de la formación continua, que encuentran “una específica justificación en la conveniencia de lograr una correcta adecuación de los planes de formación a las necesidades del ámbito o sector al que se dirigen, lo que pone de relieve el importante papel que desempeñan estas entidades para detectar tales necesidades, por su inmediato contacto con la realidad laboral y empresarial” [STC 244/2012, FJ 8 b)]. Del mismo modo, no suscitan objeciones las tareas previstas en los apartados c), d), e) y f) por contraerse al establecimiento o propuesta de criterios orientativos, y a funciones de toma de conocimiento, elaboración de una memoria anual o actuaciones de colaboración e información “que no afectan al ámbito propio de la ejecución del subsistema de formación continua” [STC 244/2012, FJ 8 b)].</w:t>
      </w:r>
    </w:p>
    <w:p w:rsidR="0026452D" w:rsidRDefault="0026452D" w:rsidP="0026452D">
      <w:pPr>
        <w:pStyle w:val="TextoNormal"/>
      </w:pPr>
    </w:p>
    <w:p w:rsidR="0026452D" w:rsidRDefault="0026452D" w:rsidP="0026452D">
      <w:pPr>
        <w:pStyle w:val="TextoNormal"/>
      </w:pPr>
      <w:r w:rsidRPr="0026452D">
        <w:rPr>
          <w:rStyle w:val="NumeroAFNegritaCaracter"/>
        </w:rPr>
        <w:t>9</w:t>
      </w:r>
      <w:r>
        <w:t>. Conforme a la disposición adicional sexta, el Gobierno “articulará las fórmulas y las medidas legislativas que sean necesarias para que los fondos con destino a la formación continua provenientes de la cuota de formación profesional sean aplicados, en su totalidad, a la financiación de las iniciativas formativas recogidas en este Real Decreto”. Según la Letrada autonómica, este precepto podría acabar excluyendo a las Comunidades Autónomas del control de los fondos destinados a la formación profesional continua.</w:t>
      </w:r>
    </w:p>
    <w:p w:rsidR="0026452D" w:rsidRDefault="0026452D" w:rsidP="0026452D">
      <w:pPr>
        <w:pStyle w:val="TextoNormal"/>
      </w:pPr>
    </w:p>
    <w:p w:rsidR="0026452D" w:rsidRDefault="0026452D" w:rsidP="0026452D">
      <w:pPr>
        <w:pStyle w:val="TextoNormal"/>
      </w:pPr>
      <w:r>
        <w:t>La disposición controvertida no produce efectivamente la exclusión denunciada, por lo que procede rechazar su impugnación. La referencia expresa a fórmulas y medidas “legislativas” permite encuadrar la actuación prevista en el ámbito de las competencias normativas que el art. 149.1.7 CE reserva al Estado, sin que el temor a que otras interpretaciones puedan en el futuro vulnerar las competencias autonómicas pueda fundar una declaración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10</w:t>
      </w:r>
      <w:r>
        <w:t>. Por último, es preciso determinar el alcance del fallo respecto de la vulneración competencial en que incurre el art. 17.1 del Real Decreto 1046/2003. Al igual que en la STC 244/2012, FJ 10, procede aquí tener en cuenta que el precepto ya ha agotado sus efectos y que ha podido dar lugar a situaciones jurídicas consolidadas para afirmar que la pretensión de la Junta de Andalucía ha de entenderse satisfecha mediante la declaración de la titularidad autonómica de la competencia controvertida.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parcialmente el conflicto positivo de competencia interpuesto por el Consejo de Gobierno de la Junta de Andalucía y, en su virtud</w:t>
      </w:r>
    </w:p>
    <w:p w:rsidR="0026452D" w:rsidRDefault="0026452D" w:rsidP="0026452D">
      <w:pPr>
        <w:pStyle w:val="TextoNormal"/>
      </w:pPr>
    </w:p>
    <w:p w:rsidR="0026452D" w:rsidRDefault="0026452D" w:rsidP="0026452D">
      <w:pPr>
        <w:pStyle w:val="TextoNormal"/>
      </w:pPr>
      <w:r>
        <w:t>1º Declarar que el art. 17.1 del Real Decreto 1046/2003, de 1 de agosto, vulnera las competencias de la Junta de Andalucía.</w:t>
      </w:r>
    </w:p>
    <w:p w:rsidR="0026452D" w:rsidRDefault="0026452D" w:rsidP="0026452D">
      <w:pPr>
        <w:pStyle w:val="TextoNormal"/>
      </w:pPr>
    </w:p>
    <w:p w:rsidR="0026452D" w:rsidRDefault="0026452D" w:rsidP="0026452D">
      <w:pPr>
        <w:pStyle w:val="TextoNormal"/>
      </w:pPr>
      <w:r>
        <w:t>2º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39" w:name="SENTENCIA_2013_36"/>
      <w:r>
        <w:lastRenderedPageBreak/>
        <w:t>SENTENCIA 36/2013, de 14 de febrero de 2013</w:t>
      </w:r>
    </w:p>
    <w:bookmarkEnd w:id="39"/>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ECLI:ES:TC:2013:36</w:t>
      </w:r>
    </w:p>
    <w:p w:rsidR="0026452D" w:rsidRDefault="0026452D" w:rsidP="0026452D">
      <w:pPr>
        <w:pStyle w:val="SntesisDescriptiva"/>
      </w:pPr>
    </w:p>
    <w:p w:rsidR="0026452D" w:rsidRDefault="0026452D" w:rsidP="0026452D">
      <w:pPr>
        <w:pStyle w:val="SntesisDescriptiva"/>
      </w:pPr>
      <w:r>
        <w:t>Recurso de inconstitucionalidad 2123-2004. Interpuesto por el Consejo de Gobierno de la Junta de Castilla La Mancha respecto del artículo 129 de la Ley 62/2003, de 30 de diciembre, de medidas fiscales, administrativas y del orden social.</w:t>
      </w:r>
    </w:p>
    <w:p w:rsidR="0026452D" w:rsidRDefault="0026452D" w:rsidP="0026452D">
      <w:pPr>
        <w:pStyle w:val="SntesisDescriptiva"/>
      </w:pPr>
    </w:p>
    <w:p w:rsidR="0026452D" w:rsidRDefault="0026452D" w:rsidP="0026452D">
      <w:pPr>
        <w:pStyle w:val="SntesisAnaltica"/>
      </w:pPr>
      <w:r>
        <w:t>Principios democrático, de seguridad jurídica, y de interdicción de la arbitrariedad de los poderes públicos; competencias sobre aguas: constitucionalidad de la remisión al reglamento de la clasificación de los estados o potenciales de masas de agua, así como de los preceptos legales relativos a los plazos de participación pública en la elaboración de planes hidrológicos, demarcaciones hidrográficas y procedimiento de imputación de responsabilidad por incumplimiento del Derecho de la Unión Europea.</w:t>
      </w:r>
    </w:p>
    <w:p w:rsidR="0026452D" w:rsidRDefault="0026452D" w:rsidP="0026452D">
      <w:pPr>
        <w:pStyle w:val="SntesisAnaltica"/>
      </w:pPr>
    </w:p>
    <w:p w:rsidR="0026452D" w:rsidRDefault="0026452D" w:rsidP="0026452D">
      <w:pPr>
        <w:pStyle w:val="Extracto"/>
      </w:pPr>
      <w:r>
        <w:t>1.</w:t>
      </w:r>
      <w:r>
        <w:tab/>
        <w:t>No existe ningún mandato legal que exija que una Directiva comunitaria deba ser transpuesta a través de un determinado instrumento normativo, por lo que siendo la ‘ley de acompañamiento’ una ley ordinaria que emana de las Cortes Generales, puede entrar a regular cualquier materia no expresamente asignada a otro tipo legislativo, y es que, del bloque de la constitucionalidad no se deriva impedimento para que se puedan aprobar ‘leyes transversales’, ni óbice que impida o limite la incorporación a un solo texto legislativo de multitud de medidas normativas de carácter heterogéneo (STC 136/2011) [FJ 3].</w:t>
      </w:r>
    </w:p>
    <w:p w:rsidR="0026452D" w:rsidRDefault="0026452D" w:rsidP="0026452D">
      <w:pPr>
        <w:pStyle w:val="Extracto"/>
      </w:pPr>
    </w:p>
    <w:p w:rsidR="0026452D" w:rsidRDefault="0026452D" w:rsidP="0026452D">
      <w:pPr>
        <w:pStyle w:val="Extracto"/>
      </w:pPr>
      <w:r>
        <w:t>2.</w:t>
      </w:r>
      <w:r>
        <w:tab/>
        <w:t>Cuando por razón de la materia del proyecto de ley pueda corresponder, en principio, a varias comisiones, se encomendará a aquélla que sea de la competencia principal de una de ellas, tratándose de una decisión de mera oportunidad parlamentaria que, en sí mismo, no conlleva merma alguna de los principios constitucionales que han de informar el procedimiento legislativo en cuanto procedimiento de la formación de la voluntad del órgano (STC 102/2012) [FJ 3].</w:t>
      </w:r>
    </w:p>
    <w:p w:rsidR="0026452D" w:rsidRDefault="0026452D" w:rsidP="0026452D">
      <w:pPr>
        <w:pStyle w:val="Extracto"/>
      </w:pPr>
    </w:p>
    <w:p w:rsidR="0026452D" w:rsidRDefault="0026452D" w:rsidP="0026452D">
      <w:pPr>
        <w:pStyle w:val="Extracto"/>
      </w:pPr>
      <w:r>
        <w:t>3.</w:t>
      </w:r>
      <w:r>
        <w:tab/>
        <w:t>Ni la Constitución, ni los Reglamentos parlamentarios, ni la Ley Orgánica del Consejo de Estado, prevén la necesidad de dictamen de este órgano consultivo en el trámite de enmiendas, por lo que no cabe admitir que se entienda contraria al bloque de constitucionalidad una enmienda que ha previsto la transposición de una Directiva comunitaria sin el citado dictamen siguiendo el procedimiento legislativo legalmente previsto [FJ 4].</w:t>
      </w:r>
    </w:p>
    <w:p w:rsidR="0026452D" w:rsidRDefault="0026452D" w:rsidP="0026452D">
      <w:pPr>
        <w:pStyle w:val="Extracto"/>
      </w:pPr>
    </w:p>
    <w:p w:rsidR="0026452D" w:rsidRDefault="0026452D" w:rsidP="0026452D">
      <w:pPr>
        <w:pStyle w:val="Extracto"/>
      </w:pPr>
      <w:r>
        <w:t>4.</w:t>
      </w:r>
      <w:r>
        <w:tab/>
        <w:t>En el artículo controvertido conviven preceptos básicos con otros que no lo son,  sin que el legislador hubiera en su momento establecido diferenciación alguna al respecto, pero dicha incorrección técnica del precepto, reprochable por lo demás a la entera legislación de aguas, no es por sí sola motivo suficiente para declarar su inconstitucionalidad (STC 149/2012) [FJ 5].</w:t>
      </w:r>
    </w:p>
    <w:p w:rsidR="0026452D" w:rsidRDefault="0026452D" w:rsidP="0026452D">
      <w:pPr>
        <w:pStyle w:val="Extracto"/>
      </w:pPr>
    </w:p>
    <w:p w:rsidR="0026452D" w:rsidRDefault="0026452D" w:rsidP="0026452D">
      <w:pPr>
        <w:pStyle w:val="Extracto"/>
      </w:pPr>
      <w:r>
        <w:lastRenderedPageBreak/>
        <w:t>5.</w:t>
      </w:r>
      <w:r>
        <w:tab/>
        <w:t>Puede resultar criticable desde un punto de vista de técnica legislativa que el legislador no haya acomodado la regulación de las materias recogidas en los preceptos controvertidos a la interpretación conforme a la Constitución realizada por este Tribunal, sin embargo, una vez efectuada dicha interpretación conforme de los preceptos impugnados, el legislador no tiene obligación de darles una nueva redacción, pues la interpretación conforme conlleva la validez de la norma o preceptos impugnados (STC 227/1988) [FJ 6].</w:t>
      </w:r>
    </w:p>
    <w:p w:rsidR="0026452D" w:rsidRDefault="0026452D" w:rsidP="0026452D">
      <w:pPr>
        <w:pStyle w:val="Extracto"/>
      </w:pPr>
    </w:p>
    <w:p w:rsidR="0026452D" w:rsidRDefault="0026452D" w:rsidP="0026452D">
      <w:pPr>
        <w:pStyle w:val="Extracto"/>
      </w:pPr>
      <w:r>
        <w:t>6.</w:t>
      </w:r>
      <w:r>
        <w:tab/>
        <w:t>La legislación básica del Estado no cumple sólo una función de uniformidad relativa, sino también de ordenación mediante mínimos que deben ser respetados en todo caso, pero que pueden permitir que las Comunidades Autónomas con competencias en la materia establezcan niveles de protección más altos, que no entrarían, por ese solo hecho, en contradicción con la normativa básica del Estado (SSTC 170/1989, 15/1998) [FJ 7].</w:t>
      </w:r>
    </w:p>
    <w:p w:rsidR="0026452D" w:rsidRDefault="0026452D" w:rsidP="0026452D">
      <w:pPr>
        <w:pStyle w:val="Extracto"/>
      </w:pPr>
    </w:p>
    <w:p w:rsidR="0026452D" w:rsidRDefault="0026452D" w:rsidP="0026452D">
      <w:pPr>
        <w:pStyle w:val="Extracto"/>
      </w:pPr>
      <w:r>
        <w:t>7.</w:t>
      </w:r>
      <w:r>
        <w:tab/>
        <w:t>La legislación básica a que se refiere el art. 149.1.23 CE estará integrada por las normas de rango legal e incluso reglamentario, siempre que estas últimas resulten imprescindibles y se justifiquen por su contenido técnico o por su carácter coyuntural o estacionario (STC 306/2000) [FJ 7].</w:t>
      </w:r>
    </w:p>
    <w:p w:rsidR="0026452D" w:rsidRDefault="0026452D" w:rsidP="0026452D">
      <w:pPr>
        <w:pStyle w:val="Extracto"/>
      </w:pPr>
    </w:p>
    <w:p w:rsidR="0026452D" w:rsidRDefault="0026452D" w:rsidP="0026452D">
      <w:pPr>
        <w:pStyle w:val="Extracto"/>
      </w:pPr>
      <w:r>
        <w:t>8.</w:t>
      </w:r>
      <w:r>
        <w:tab/>
        <w:t>La regulación de los órganos de gestión para las cuencas intercomunitarias es competencia del Estado [FJ 8].</w:t>
      </w:r>
    </w:p>
    <w:p w:rsidR="0026452D" w:rsidRDefault="0026452D" w:rsidP="0026452D">
      <w:pPr>
        <w:pStyle w:val="Extracto"/>
      </w:pPr>
    </w:p>
    <w:p w:rsidR="0026452D" w:rsidRDefault="0026452D" w:rsidP="0026452D">
      <w:pPr>
        <w:pStyle w:val="Extracto"/>
      </w:pPr>
      <w:r>
        <w:t>9.</w:t>
      </w:r>
      <w:r>
        <w:tab/>
        <w:t>Corresponde a las Comunidades Autónomas que han asumido la competencia exclusiva en materia de régimen local, la regulación, mediante Ley, del régimen jurídico de las corporaciones locales de su territorio, debiendo ajustarse esa Ley a las bases establecidas por el Estado (SSTC 32/1981, 240/2006) [FJ 8].</w:t>
      </w:r>
    </w:p>
    <w:p w:rsidR="0026452D" w:rsidRDefault="0026452D" w:rsidP="0026452D">
      <w:pPr>
        <w:pStyle w:val="Extracto"/>
      </w:pPr>
    </w:p>
    <w:p w:rsidR="0026452D" w:rsidRDefault="0026452D" w:rsidP="0026452D">
      <w:pPr>
        <w:pStyle w:val="Extracto"/>
      </w:pPr>
      <w:r>
        <w:t>10.</w:t>
      </w:r>
      <w:r>
        <w:tab/>
        <w:t xml:space="preserve">El legislador ha optado por restringir la participación en el órgano colegiado, denominado ‘comité de autoridades competentes’, a los entes locales representados a través de las federaciones territoriales de municipios, pero cualquiera que sea el juicio o valoración que ello pueda merecer, con tal determinación no se han vulnerado las competencias de las Comunidades Autónomas en materia de régimen local, que podrán crear, </w:t>
      </w:r>
      <w:r w:rsidRPr="0026452D">
        <w:rPr>
          <w:i/>
        </w:rPr>
        <w:t>ex</w:t>
      </w:r>
      <w:r>
        <w:t xml:space="preserve"> art. 141.3 CE, agrupaciones de municipios diferentes de la provincia [FJ 8].</w:t>
      </w:r>
    </w:p>
    <w:p w:rsidR="0026452D" w:rsidRDefault="0026452D" w:rsidP="0026452D">
      <w:pPr>
        <w:pStyle w:val="Extracto"/>
      </w:pPr>
    </w:p>
    <w:p w:rsidR="0026452D" w:rsidRDefault="0026452D" w:rsidP="0026452D">
      <w:pPr>
        <w:pStyle w:val="Extracto"/>
      </w:pPr>
      <w:r>
        <w:t>11.</w:t>
      </w:r>
      <w:r>
        <w:tab/>
        <w:t xml:space="preserve">Aunque la responsabilidad </w:t>
      </w:r>
      <w:r w:rsidRPr="0026452D">
        <w:rPr>
          <w:i/>
        </w:rPr>
        <w:t>ad extra</w:t>
      </w:r>
      <w:r>
        <w:t xml:space="preserve"> de la Administración estatal por incumplimientos del Derecho de la Unión Europea no justifica la asunción de una competencia que no le corresponde, tampoco le impide repercutir </w:t>
      </w:r>
      <w:r w:rsidRPr="0026452D">
        <w:rPr>
          <w:i/>
        </w:rPr>
        <w:t>ad intra</w:t>
      </w:r>
      <w:r>
        <w:t>, sobre las Administraciones públicas autonómicas competentes, la responsabilidad que en cada caso proceda (SSTC 79/1992, 96/2002) [FJ 9].</w:t>
      </w:r>
    </w:p>
    <w:p w:rsidR="0026452D" w:rsidRDefault="0026452D" w:rsidP="0026452D">
      <w:pPr>
        <w:pStyle w:val="Extracto"/>
      </w:pPr>
    </w:p>
    <w:p w:rsidR="0026452D" w:rsidRDefault="0026452D" w:rsidP="0026452D">
      <w:pPr>
        <w:pStyle w:val="Extracto"/>
      </w:pPr>
      <w:r>
        <w:t>12.</w:t>
      </w:r>
      <w:r>
        <w:tab/>
        <w:t>Corresponde al Estado, no sólo establecer los sistemas de coordinación y cooperación que permitan evitar las irregularidades o las carencias en el cumplimiento de la normativa europea, sino también los sistemas de compensación interadministrativa de la responsabilidad financiera que pudiera generarse para el propio Es</w:t>
      </w:r>
      <w:r>
        <w:lastRenderedPageBreak/>
        <w:t>tado en el caso de que dichas irregularidades o carencias se produjeran efectivamente y así se constatara por las instituciones comunitarias (SSTC 148/1998, 198/2011) [FJ 9].</w:t>
      </w:r>
    </w:p>
    <w:p w:rsidR="0026452D" w:rsidRDefault="0026452D" w:rsidP="0026452D">
      <w:pPr>
        <w:pStyle w:val="Extracto"/>
      </w:pPr>
    </w:p>
    <w:p w:rsidR="0026452D" w:rsidRDefault="0026452D" w:rsidP="0026452D">
      <w:pPr>
        <w:pStyle w:val="Extracto"/>
      </w:pPr>
      <w:r>
        <w:t>13.</w:t>
      </w:r>
      <w:r>
        <w:tab/>
        <w:t>Doctrina constitucional sobre el respeto al principio de seguridad jurídica por las leyes de acompañamiento pese a su carácter heterogéneo [FJ 3].</w:t>
      </w:r>
    </w:p>
    <w:p w:rsidR="0026452D" w:rsidRDefault="0026452D" w:rsidP="0026452D">
      <w:pPr>
        <w:pStyle w:val="Extracto"/>
      </w:pPr>
    </w:p>
    <w:p w:rsidR="0026452D" w:rsidRDefault="0026452D" w:rsidP="0026452D">
      <w:pPr>
        <w:pStyle w:val="Extracto"/>
      </w:pPr>
      <w:r>
        <w:t>14.</w:t>
      </w:r>
      <w:r>
        <w:tab/>
        <w:t>Doctrina constitucional sobre el principio democrático y el proceso de formación de voluntad de los parlamentarios (STC 136/2011) [FJ 3].</w:t>
      </w:r>
    </w:p>
    <w:p w:rsidR="0026452D" w:rsidRDefault="0026452D" w:rsidP="0026452D">
      <w:pPr>
        <w:pStyle w:val="Extracto"/>
      </w:pPr>
    </w:p>
    <w:p w:rsidR="0026452D" w:rsidRDefault="0026452D" w:rsidP="0026452D">
      <w:pPr>
        <w:pStyle w:val="Extracto"/>
      </w:pPr>
      <w:r>
        <w:t>15.</w:t>
      </w:r>
      <w:r>
        <w:tab/>
        <w:t>Doctrina constitucional sobre la exigencia del principio de ley formal en la determinación de las bases con independencia de que el legislador haga o no invocación explícita del título competencial que ampara sus leyes (STC 133/1997) [FJ 5].</w:t>
      </w:r>
    </w:p>
    <w:p w:rsidR="0026452D" w:rsidRDefault="0026452D" w:rsidP="0026452D">
      <w:pPr>
        <w:pStyle w:val="Extracto"/>
      </w:pPr>
    </w:p>
    <w:p w:rsidR="0026452D" w:rsidRDefault="0026452D" w:rsidP="0026452D">
      <w:pPr>
        <w:pStyle w:val="Extracto"/>
      </w:pPr>
      <w:r>
        <w:t>16.</w:t>
      </w:r>
      <w:r>
        <w:tab/>
        <w:t>Doctrina sobre el orden constitucional de competencias en materia hidrológica (SSTC 227/1998, 149/2012) [FJ 7].</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2123-2004, interpuesto por el Consejo de Gobierno de la Junta de Castilla La Mancha, representado por el Letrado de la Junta de Comunidades de Castilla La Mancha, contra el art. 129 de la Ley 62/2003, de 30 de diciembre, de medidas fiscales, administrativas y del orden social. Ha intervenido el Abogado del Estado. Ha sido Ponente el Magistrado don Francisco José Hernando Santiago,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presentado en el Registro General de este Tribunal el 31 de marzo de 2004, el Letrado de la Junta de Comunidades de Castilla-La Mancha, en nombre del Consejo de Gobierno de la Comunidad Autónoma de Castilla-La Mancha, interpuso recurso de inconstitucionalidad contra el art. 129 de la Ley 62/2003, de 30 de diciembre, de medidas fiscales, administrativas y del orden social, que modifica el texto refundido de la Ley de </w:t>
      </w:r>
      <w:r>
        <w:lastRenderedPageBreak/>
        <w:t>aguas, aprobado por Real Decreto Legislativo 1/2001, de 20 de julio, con la finalidad de incorporar al Derecho español la Directiva 2000/60/CE, por la que se establece un marco comunitario de actuación en el ámbito de la política de aguas. El precepto se impugna por considerar que vulnera los arts. 1.1, 9.3, 107, 137, 153 y 156.1 CE.</w:t>
      </w:r>
    </w:p>
    <w:p w:rsidR="0026452D" w:rsidRDefault="0026452D" w:rsidP="0026452D">
      <w:pPr>
        <w:pStyle w:val="TextoNormal"/>
      </w:pPr>
    </w:p>
    <w:p w:rsidR="0026452D" w:rsidRDefault="0026452D" w:rsidP="0026452D">
      <w:pPr>
        <w:pStyle w:val="TextoNormal"/>
      </w:pPr>
      <w:r w:rsidRPr="0026452D">
        <w:rPr>
          <w:rStyle w:val="NumeroAFNegritaCaracter"/>
        </w:rPr>
        <w:t>2</w:t>
      </w:r>
      <w:r>
        <w:t>. Los motivos del recurso de inconstitucionalidad son los que, sucintamente, se recogen a continuación:</w:t>
      </w:r>
    </w:p>
    <w:p w:rsidR="0026452D" w:rsidRDefault="0026452D" w:rsidP="0026452D">
      <w:pPr>
        <w:pStyle w:val="TextoNormal"/>
      </w:pPr>
    </w:p>
    <w:p w:rsidR="0026452D" w:rsidRDefault="0026452D" w:rsidP="0026452D">
      <w:pPr>
        <w:pStyle w:val="TextoNormal"/>
      </w:pPr>
      <w:r>
        <w:t>a) Considera, en primer lugar, el Letrado de la Junta de Comunidades de Castilla-La Mancha que las modificaciones normativas impugnadas se contienen en una de las leyes llamadas “de acompañamiento” a los presupuestos generales del Estado, leyes estas que, en su opinión, siguiendo la doctrina más autorizada, conculcan el principio de seguridad jurídica consagrado en el art. 9.3 CE. Afirma que la acumulación de preceptos inconexos, sin una razón que los vincule, en el mismo instrumento normativo, hace imposible el conocimiento por el ciudadano de los preceptos que se encuentra obligado a cumplir y, en el presente caso, el art. 129 de la Ley de acompañamiento carece de cualquier justificación que explique su introducción en dicha Ley. Así, en primer lugar, señala que el precepto es plenamente enmarcable en lo que el Tribunal Supremo califica de “Derecho codificado” por cuanto introduce una modificación de gran alcance en el texto refundido de la Ley de aguas. En segundo lugar, indica que tampoco supera el precepto de transposición el menor juicio de conexión con lo que se supone que debe ser el contenido de la Ley de acompañamiento y que no es otro que medidas de contenido financiero estrechamente unidas al plan político que comportan los presupuestos generales.</w:t>
      </w:r>
    </w:p>
    <w:p w:rsidR="0026452D" w:rsidRDefault="0026452D" w:rsidP="0026452D">
      <w:pPr>
        <w:pStyle w:val="TextoNormal"/>
      </w:pPr>
    </w:p>
    <w:p w:rsidR="0026452D" w:rsidRDefault="0026452D" w:rsidP="0026452D">
      <w:pPr>
        <w:pStyle w:val="TextoNormal"/>
      </w:pPr>
      <w:r>
        <w:t>A mayor abundamiento el Letrado de la Junta de Comunidades de Castilla-La Mancha se pregunta si la necesidad jurídica de trasponer la Directiva como consecuencia de la expiración del plazo que la misma preveía puede justificar la transposición en la Ley de acompañamiento y la respuesta, a su juicio, debe ser negativa pues el posible incumplimiento de obligaciones externas del Estado no puede justificar el uso indebido del Derecho interno.</w:t>
      </w:r>
    </w:p>
    <w:p w:rsidR="0026452D" w:rsidRDefault="0026452D" w:rsidP="0026452D">
      <w:pPr>
        <w:pStyle w:val="TextoNormal"/>
      </w:pPr>
    </w:p>
    <w:p w:rsidR="0026452D" w:rsidRDefault="0026452D" w:rsidP="0026452D">
      <w:pPr>
        <w:pStyle w:val="TextoNormal"/>
      </w:pPr>
      <w:r>
        <w:t>b) En segundo lugar, se afirma que la Ley 62/2003 tampoco satisface las exigencias de legitimidad democrática que cualquier ley debe cumplir, pues su tramitación de una forma paralela a la Ley de presupuestos comporta una reducción de los plazos de examen, discusión y debate de la norma que impide que las Cámaras cumplan correctamente su función constitucional. En este sentido, destaca que la incorporación de una norma comunitaria sobre aguas no ha sido objeto de estudio y debate por las comisiones parlamentarias especializadas, sino sólo por la Comisión de Economía, Comercio y Turismo en el Senado, ya que ni siquiera ha sido debatida en comisión a su paso por el Congreso.</w:t>
      </w:r>
    </w:p>
    <w:p w:rsidR="0026452D" w:rsidRDefault="0026452D" w:rsidP="0026452D">
      <w:pPr>
        <w:pStyle w:val="TextoNormal"/>
      </w:pPr>
    </w:p>
    <w:p w:rsidR="0026452D" w:rsidRDefault="0026452D" w:rsidP="0026452D">
      <w:pPr>
        <w:pStyle w:val="TextoNormal"/>
      </w:pPr>
      <w:r>
        <w:t>c) En tercer lugar, considera el Letrado de la Junta de Comunidades de Castilla-La Mancha que el hecho de que la transposición de la Directiva 2000/60/CE se haya realizado como consecuencia de una enmienda presentada en el Senado ha tenido, a su vez, otro defecto claramente lesivo del procedimiento que debe seguir cualquier tarea de transposición y es impedir que el Consejo de Estado emita el preceptivo dictamen previsto por el art. 21.2 de su Ley Orgánica. El anteproyecto de ley de medidas fiscales, administrativas y del orden social fue objeto de ese preceptivo informe pero no pudo el Consejo de Estado dictaminar la incorporación de la Directiva 2000/60/CE ya que se hará efectiva como consecuencia de una enmienda presentada en el Senado.</w:t>
      </w:r>
    </w:p>
    <w:p w:rsidR="0026452D" w:rsidRDefault="0026452D" w:rsidP="0026452D">
      <w:pPr>
        <w:pStyle w:val="TextoNormal"/>
      </w:pPr>
    </w:p>
    <w:p w:rsidR="0026452D" w:rsidRDefault="0026452D" w:rsidP="0026452D">
      <w:pPr>
        <w:pStyle w:val="TextoNormal"/>
      </w:pPr>
      <w:r>
        <w:t>d) En cuarto lugar, se considera inconstitucional no identificar formal y expresamente las normas básicas del nuevo régimen legal. Así, afirma el Letrado de la Junta de Comunidades de Castilla-La Mancha que puede calificarse de infractora del principio de seguridad jurídica la omisión de la declaración por la legislación estatal de la condición de básica de los preceptos para los que ejerza competencias de esta naturaleza, cuando la misma no se infiere claramente de su propia estructura porque genera una notable incertidumbre en la Comunidad Autónoma de Castilla-La Mancha sobre la delimitación de su ámbito competencial afectado.</w:t>
      </w:r>
    </w:p>
    <w:p w:rsidR="0026452D" w:rsidRDefault="0026452D" w:rsidP="0026452D">
      <w:pPr>
        <w:pStyle w:val="TextoNormal"/>
      </w:pPr>
    </w:p>
    <w:p w:rsidR="0026452D" w:rsidRDefault="0026452D" w:rsidP="0026452D">
      <w:pPr>
        <w:pStyle w:val="TextoNormal"/>
      </w:pPr>
      <w:r>
        <w:t>e) En quinto lugar, se afirma que la nueva redacción dada a la regulación del informe municipal en los proyectos de obras hidráulicas de interés general o supramunicipal infringe la autonomía local y las competencias autonómicas sobre régimen local. El art. 122 de la Ley 62/2003 ha añadido un nuevo párrafo al apartado 2 del art. 127 del texto refundido de la Ley de aguas, según el cual “el informe deberá pronunciarse exclusivamente sobre aspectos relacionados con el planeamiento urbanístico”. Este inciso es, a juicio del Letrado de la Junta de Comunidades de Castilla-La Mancha, inconstitucional por atentatorio contra la garantía institucional de la autonomía local y las competencias que el Estatuto de Autonomía de Castilla-La Mancha atribuye a esta Comunidad Autónoma sobre urbanismo y régimen local porque:</w:t>
      </w:r>
    </w:p>
    <w:p w:rsidR="0026452D" w:rsidRDefault="0026452D" w:rsidP="0026452D">
      <w:pPr>
        <w:pStyle w:val="TextoNormal"/>
      </w:pPr>
    </w:p>
    <w:p w:rsidR="0026452D" w:rsidRDefault="0026452D" w:rsidP="0026452D">
      <w:pPr>
        <w:pStyle w:val="TextoNormal"/>
      </w:pPr>
      <w:r>
        <w:t xml:space="preserve">- el trámite de “informe previo” municipal que contempla el apartado 2 del art. 127 del texto refundido de la Ley de aguas se inserta en el procedimiento de aprobación del proyecto de la obra pública correspondiente y habilitación para su ejecución y en él no sustituye sólo a la licencia urbanística de obra sino a cualquier intervención municipal previa; </w:t>
      </w:r>
    </w:p>
    <w:p w:rsidR="0026452D" w:rsidRDefault="0026452D" w:rsidP="0026452D">
      <w:pPr>
        <w:pStyle w:val="TextoNormal"/>
      </w:pPr>
    </w:p>
    <w:p w:rsidR="0026452D" w:rsidRDefault="0026452D" w:rsidP="0026452D">
      <w:pPr>
        <w:pStyle w:val="TextoNormal"/>
      </w:pPr>
      <w:r>
        <w:t xml:space="preserve">- los proyectos de obras hidráulicas de abastecimiento de aguas a municipios y de estaciones depuradoras de aguas residuales afectan a las competencias hidráulicas de los municipios de que se trate y, en consecuencia, su informe previo habrá de poder versar sobre tales materias y no sólo sobre planificación urbanística; </w:t>
      </w:r>
    </w:p>
    <w:p w:rsidR="0026452D" w:rsidRDefault="0026452D" w:rsidP="0026452D">
      <w:pPr>
        <w:pStyle w:val="TextoNormal"/>
      </w:pPr>
    </w:p>
    <w:p w:rsidR="0026452D" w:rsidRDefault="0026452D" w:rsidP="0026452D">
      <w:pPr>
        <w:pStyle w:val="TextoNormal"/>
      </w:pPr>
      <w:r>
        <w:t>- las entidades locales afectadas por las obras hidráulicas de interés general y actuaciones hidráulicas de ámbito supramunicipal incluidas en la planificación hidrológica no son sólo los municipios, sino que pueden serlo otras muchas cuyo ámbito competencial puede ser por completo ajeno al urbanismo; y</w:t>
      </w:r>
    </w:p>
    <w:p w:rsidR="0026452D" w:rsidRDefault="0026452D" w:rsidP="0026452D">
      <w:pPr>
        <w:pStyle w:val="TextoNormal"/>
      </w:pPr>
    </w:p>
    <w:p w:rsidR="0026452D" w:rsidRDefault="0026452D" w:rsidP="0026452D">
      <w:pPr>
        <w:pStyle w:val="TextoNormal"/>
      </w:pPr>
      <w:r>
        <w:t>- aun cuando se aceptase que la competencia de los entes locales para participar en el procedimiento de aprobación del proyecto de la obra pública y legitimación de su ejecución pueda estar circunscrita a informar sobre aspectos urbanísticos, tampoco sería conforme a la Constitución la dicción según la cual debe pronunciarse exclusivamente “sobre aspectos relacionados con el planeamiento urbanístico”.</w:t>
      </w:r>
    </w:p>
    <w:p w:rsidR="0026452D" w:rsidRDefault="0026452D" w:rsidP="0026452D">
      <w:pPr>
        <w:pStyle w:val="TextoNormal"/>
      </w:pPr>
    </w:p>
    <w:p w:rsidR="0026452D" w:rsidRDefault="0026452D" w:rsidP="0026452D">
      <w:pPr>
        <w:pStyle w:val="TextoNormal"/>
      </w:pPr>
      <w:r>
        <w:t>f) En sexto lugar, considera el Letrado de la Junta de Comunidades de Castilla-La Mancha que la reforma del texto refundido de la Ley de aguas operada por el art. 129 de la Ley 62/2003 ha incurrido en el defecto de técnica legislativa de reproducir redacciones que ya habían sido objeto de examen en la STC 227/1988 y que, por ser inconstitucionales en su interpretación más inmediata o literal, habían provocado un fallo interpretativo en dicha Sentencia. En particular se refiere a los siguientes preceptos:</w:t>
      </w:r>
    </w:p>
    <w:p w:rsidR="0026452D" w:rsidRDefault="0026452D" w:rsidP="0026452D">
      <w:pPr>
        <w:pStyle w:val="TextoNormal"/>
      </w:pPr>
    </w:p>
    <w:p w:rsidR="0026452D" w:rsidRDefault="0026452D" w:rsidP="0026452D">
      <w:pPr>
        <w:pStyle w:val="TextoNormal"/>
      </w:pPr>
      <w:r>
        <w:t xml:space="preserve">- el apartado 5 del art. 16 bis del texto refundido de la Ley de aguas, que apodera al Gobierno, por real decreto, para fijar el ámbito territorial de cada demarcación hidrográfica, que será necesariamente coincidente con el de su plan hidrológico, extremo este último que viene impuesto por la propia Directiva 2000/60/CE en su art. 13.1 y confirma el inciso final del nuevo art. 40.3 del texto refundido de la Ley de aguas. Ahora bien, a su juicio, una cosa es que dicha coincidencia de ámbitos sea considerada como básica y, en consecuencia, su trasposición cumpla a la ley estatal de aguas, y otra distinta que su delimitación caso a caso sea atribuida sin excepción a la potestad reglamentaria del Gobierno; </w:t>
      </w:r>
    </w:p>
    <w:p w:rsidR="0026452D" w:rsidRDefault="0026452D" w:rsidP="0026452D">
      <w:pPr>
        <w:pStyle w:val="TextoNormal"/>
      </w:pPr>
    </w:p>
    <w:p w:rsidR="0026452D" w:rsidRDefault="0026452D" w:rsidP="0026452D">
      <w:pPr>
        <w:pStyle w:val="TextoNormal"/>
      </w:pPr>
      <w:r>
        <w:t xml:space="preserve">- la nueva redacción dada al art. 41.2 del texto refundido de la Ley de aguas que establece una remisión reglamentaria para regular el procedimiento de aprobación y revisión de los planes hidrológicos de cuenca; </w:t>
      </w:r>
    </w:p>
    <w:p w:rsidR="0026452D" w:rsidRDefault="0026452D" w:rsidP="0026452D">
      <w:pPr>
        <w:pStyle w:val="TextoNormal"/>
      </w:pPr>
    </w:p>
    <w:p w:rsidR="0026452D" w:rsidRDefault="0026452D" w:rsidP="0026452D">
      <w:pPr>
        <w:pStyle w:val="TextoNormal"/>
      </w:pPr>
      <w:r>
        <w:t xml:space="preserve">- el inciso “y la actuación subsidiaria del Gobierno en caso de falta de propuesta” del apartado 3 del art. 41 del texto refundido de la Ley de aguas, que reproduce otro similar del anterior art. 39.2 de la Ley de aguas de 1985; </w:t>
      </w:r>
    </w:p>
    <w:p w:rsidR="0026452D" w:rsidRDefault="0026452D" w:rsidP="0026452D">
      <w:pPr>
        <w:pStyle w:val="TextoNormal"/>
      </w:pPr>
    </w:p>
    <w:p w:rsidR="0026452D" w:rsidRDefault="0026452D" w:rsidP="0026452D">
      <w:pPr>
        <w:pStyle w:val="TextoNormal"/>
      </w:pPr>
      <w:r>
        <w:t>- la nueva redacción dada a los contenidos preceptivos de los planes hidrológicos de cuenca en el apartado 1º del art. 42 del texto refundido de la Ley de aguas, y en particular por lo que hace al resumen de los programas de medidas adoptados para alcanzar los objetivos previstos de su letra g), las letras i’) a o’), que reiteran lo antes previsto en las letras f) y siguientes del art. 40 de la Ley de aguas de 1985.</w:t>
      </w:r>
    </w:p>
    <w:p w:rsidR="0026452D" w:rsidRDefault="0026452D" w:rsidP="0026452D">
      <w:pPr>
        <w:pStyle w:val="TextoNormal"/>
      </w:pPr>
    </w:p>
    <w:p w:rsidR="0026452D" w:rsidRDefault="0026452D" w:rsidP="0026452D">
      <w:pPr>
        <w:pStyle w:val="TextoNormal"/>
      </w:pPr>
      <w:r>
        <w:t>A todos los preceptos enumerados, se añaden otros de nuevo cuño respecto de la Ley antes vigente. Es el caso, en primer lugar, de la previsión contenida en el nuevo art. 92 ter del texto refundido de la Ley de aguas según la cual “reglamentariamente se determinarán las condiciones técnicas definitorias de cada uno de los estados y potenciales (en las masa de aguas), así como los criterios para su clasificación”. Para el Letrado de la Junta de Comunidades de Castilla-La Mancha la indefinición de la Ley en punto a la condición básica o no de sus nuevos preceptos no facilita interpretar cuál sea la competencia supuestamente ejercida al habilitar este desarrollo reglamentario. A su juicio, tratándose de la articulación de criterios técnicos en relación con los “objetivos de protección” de las aguas parece lógico entender que estamos ante bases de la protección del medio ambiente al amparo del art. 149.1.23 CE. Supuesto esto, se cuestiona si la remisión hecha por el legislador al reglamento para que haga una regulación cabal de tales criterios encaja en el referido título competencial. Aplicando la doctrina constitucional sentada, entre otras, en la STC 306/2000, concluye que el reglamento a que remita la ley no podrá determinar sin más las condiciones definitorias de cada uno de los estados y potenciales de las masas de las aguas, aunque sea eso justamente lo que afirma la ley, sino tan sólo determinar las condiciones técnicas mínimas para definir los distintos estados y potenciales de las aguas y para clasificar a las masas de agua en cada uno de ellos, sin perjuicio de la eventual elevación de dichas condiciones o requisitos por las Comunidades Autónomas que sean competentes en la materia.</w:t>
      </w:r>
    </w:p>
    <w:p w:rsidR="0026452D" w:rsidRDefault="0026452D" w:rsidP="0026452D">
      <w:pPr>
        <w:pStyle w:val="TextoNormal"/>
      </w:pPr>
    </w:p>
    <w:p w:rsidR="0026452D" w:rsidRDefault="0026452D" w:rsidP="0026452D">
      <w:pPr>
        <w:pStyle w:val="TextoNormal"/>
      </w:pPr>
      <w:r>
        <w:t xml:space="preserve">En segundo lugar, cita también la nueva disposición adicional duodécima introducida en el texto refundido de la Ley de aguas por la Ley 62/2003, dedicada a los “plazos para la participación pública”. Este precepto viene a trasponer el art. 14 de la Directiva. Señala el Letrado de la Junta de Comunidades de Castilla-La Mancha que nos encontramos de nuevo </w:t>
      </w:r>
      <w:r>
        <w:lastRenderedPageBreak/>
        <w:t>ante un precepto del que no es fácil dirimir qué título competencial del Estado lo ampara. Tratándose de la participación pública en el procedimiento de aprobación o revisión de los planes hidrológicos, esto es, en un procedimiento administrativo, se plantea si tales reglas pretenden constituir bases del régimen jurídico de las Administraciones públicas, o procedimiento administrativo común (art. 149.1.18 CE) o incluso condiciones básicas de la igualdad de todos en el ejercicio del derecho a participar en los asuntos públicos y/o al medio ambiente (art. 149.1.1 en relación con los arts. 23.1 y 45 CE). En cualquier caso, indica, resulta claro que la competencia legislativa ejercida por el Estado no es sobre planes, por ello, la remisión que hace el apartado 3 de la disposición al reglamento para fijar sin matiz ni límite alguno los términos en que se permitirá el acceso a los documentos y a la información de referencia utilizados para elaborar el plan, podría haberse hecho sólo respecto de los planes de la competencia de los organismos de cuenca, pero no de los atribuidos a la “administración hidráulica competente de la Comunidad Autónoma” a la que alude el propio apartado 1 del precepto. Con ello, se cuestiona la competencia del Estado para reglamentar el acceso en todo caso más allá del reparto constitucional de competencias en las materias afectadas.</w:t>
      </w:r>
    </w:p>
    <w:p w:rsidR="0026452D" w:rsidRDefault="0026452D" w:rsidP="0026452D">
      <w:pPr>
        <w:pStyle w:val="TextoNormal"/>
      </w:pPr>
    </w:p>
    <w:p w:rsidR="0026452D" w:rsidRDefault="0026452D" w:rsidP="0026452D">
      <w:pPr>
        <w:pStyle w:val="TextoNormal"/>
      </w:pPr>
      <w:r>
        <w:t>g) En séptimo lugar, se alega la posible inconstitucionalidad de la composición del comité de autoridades competentes. La Ley 62/2003 introduce un nuevo art. 36 bis del texto refundido de la Ley de aguas en el que crea un órgano de cooperación interadministrativa al que denomina comité de autoridades competentes. El Letrado de la Junta de Comunidades de Castilla-La Mancha no cuestiona su creación, que bien puede ampararse, a su juicio, en el título competencial del art. 149.1.22 CE, sino su composición. La participación se restringe a las Comunidades Autónomas y los entes locales “con competencias sobre la protección y control de las aguas”, sin que se indique qué significa “control de las aguas” y teniendo en cuenta, señala, que este órgano ejerce también funciones de cooperación. Así, considera que para no entender infringido por la ley el deber general de colaboración entre las Administraciones públicas implícito en nuestro modelo constitucional de organización del territorio y la autonomía local entendida como derecho a intervenir en cuantos asuntos afecten directamente al círculo de sus intereses, la participación en este órgano debe quedar abierta a las Comunidades Autónomas y a los entes locales con competencias en materia de aguas o de protección del medio ambiente y los espacios naturales, la flora y la fauna.</w:t>
      </w:r>
    </w:p>
    <w:p w:rsidR="0026452D" w:rsidRDefault="0026452D" w:rsidP="0026452D">
      <w:pPr>
        <w:pStyle w:val="TextoNormal"/>
      </w:pPr>
    </w:p>
    <w:p w:rsidR="0026452D" w:rsidRDefault="0026452D" w:rsidP="0026452D">
      <w:pPr>
        <w:pStyle w:val="TextoNormal"/>
      </w:pPr>
      <w:r>
        <w:t xml:space="preserve">h) En octavo lugar, se considera inconstitucional el mecanismo de imputación de responsabilidad del nuevo art. 121 bis del texto refundido de la Ley de aguas. Señala que, según expusiera el propio Gobierno, el fundamento de este precepto está en el art. 23 de la Directiva 2000/600/CE que establece la obligación de tipificar penal o administrativamente aquellas conductas que generen lesiones para el régimen de las aguas. Pues bien, a su juicio, el nuevo art. 121 bis del texto refundido de la Ley de aguas, confundiendo esa obligación de tipificación como mecanismo punitivo con la cuestión de la determinación de responsabilidades de las Administraciones internas ante sanciones impuestas a España por las autoridades comunitarias, ha creado un instrumento jurídico que no sólo no responde a la obligación impuesta por la Directiva sino que resulta inconstitucional. Indica que se está ante un procedimiento sancionador, aunque sea en el seno de relaciones interadministrativas. Materialmente, su finalidad es imputar una actuación ilícita desde el punto de vista comunitario a una administración pública, y muy singularmente a las Comunidades Autónomas, dadas sus competencias en materia de aguas. Se trata, señala, de un mecanismo sancionador </w:t>
      </w:r>
      <w:r w:rsidRPr="0026452D">
        <w:rPr>
          <w:i/>
        </w:rPr>
        <w:t>sui generis</w:t>
      </w:r>
      <w:r>
        <w:t xml:space="preserve"> ya que la calificación de la conducta vendrá realizada por las instituciones comunitarias. </w:t>
      </w:r>
      <w:r>
        <w:lastRenderedPageBreak/>
        <w:t xml:space="preserve">Así, afirma que, puesto que la responsabilidad externa del Estado es única y por tanto su imputación desde el punto de vista del Derecho comunitario se hace al Reino de España, lo que el precepto prevé es una segunda imputación </w:t>
      </w:r>
      <w:r w:rsidRPr="0026452D">
        <w:rPr>
          <w:i/>
        </w:rPr>
        <w:t>ad intra</w:t>
      </w:r>
      <w:r>
        <w:t xml:space="preserve"> para exigir la responsabilidad a la Administración o Administraciones causantes del incumplimiento. Nos encontramos, insiste, ante un mecanismo de control y este tipo de control, al menos por lo que respecta a las Comunidades Autónomas, carece de fundamento jurídico, pues las previsiones del art. 153, junto con la del art. 155, ambos de la Constitución, han sido considerados como un enunciado casi cerrado, de modo que ningún control del Estado sobre las Comunidades Autónomas puede establecerse legalmente fuera de esos supuestos y de algunos otros que puedan fijar los propios Estatutos de Autonomía y ciertas leyes orgánicas. Añade que el nuevo art. 121 bis del texto refundido de la Ley de aguas hace caso omiso del deber de cooperación entre el Estado y las Comunidades Autónomas que se impone a ambos a la hora de ejecutar el Derecho europeo, y hace caso omiso de los instrumentos existentes para hacer efectivo ese deber, configurando a la Administración del Estado como un aparato meramente de represión de conductas políticas y de recaudación de cantidades que han salido de sus cuentas, con el fin de compensar el déficit que ello le haya generado.</w:t>
      </w:r>
    </w:p>
    <w:p w:rsidR="0026452D" w:rsidRDefault="0026452D" w:rsidP="0026452D">
      <w:pPr>
        <w:pStyle w:val="TextoNormal"/>
      </w:pPr>
    </w:p>
    <w:p w:rsidR="0026452D" w:rsidRDefault="0026452D" w:rsidP="0026452D">
      <w:pPr>
        <w:pStyle w:val="TextoNormal"/>
      </w:pPr>
      <w:r w:rsidRPr="0026452D">
        <w:rPr>
          <w:rStyle w:val="NumeroAFNegritaCaracter"/>
        </w:rPr>
        <w:t>3</w:t>
      </w:r>
      <w:r>
        <w:t>. Por providencia de la Sección Tercera de 27 de abril de 2004, se acordó admitir a trámite el recurso y dar traslado de la demanda y documentos presentados, conforme establece el art. 34 de la Ley Orgánica del Tribunal Constitucional, al Congreso de los Diputados y al Senado, por conducto de sus Presidentes, y al Gobierno de la Nación, al objeto de que, en el plazo de quince días, pudieran personarse en el proceso y formular las alegaciones que estimasen convenientes. Asimismo, se acordó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4</w:t>
      </w:r>
      <w:r>
        <w:t>. Por escrito registrado en este Tribunal el 7 de mayo de 2004, se personó el Abogado del Estado y solicitó prórroga del plazo concedido para la presentación del escrito de alegaciones. Por providencia de la Sección Tercera de 11 de mayo de 2004, se acordó tener por personado al Abogado del Estado y concederle una prórroga en ocho días más del plazo concedido para formular alegaciones.</w:t>
      </w:r>
    </w:p>
    <w:p w:rsidR="0026452D" w:rsidRDefault="0026452D" w:rsidP="0026452D">
      <w:pPr>
        <w:pStyle w:val="TextoNormal"/>
      </w:pPr>
    </w:p>
    <w:p w:rsidR="0026452D" w:rsidRDefault="0026452D" w:rsidP="0026452D">
      <w:pPr>
        <w:pStyle w:val="TextoNormal"/>
      </w:pPr>
      <w:r w:rsidRPr="0026452D">
        <w:rPr>
          <w:rStyle w:val="NumeroAFNegritaCaracter"/>
        </w:rPr>
        <w:t>5</w:t>
      </w:r>
      <w:r>
        <w:t>. El Presidente del Senado, mediante escrito recibido el 12 de mayo de 2004, comunicó que la Cámara se personaba en el proceso ofreciendo su colaboración.</w:t>
      </w:r>
    </w:p>
    <w:p w:rsidR="0026452D" w:rsidRDefault="0026452D" w:rsidP="0026452D">
      <w:pPr>
        <w:pStyle w:val="TextoNormal"/>
      </w:pPr>
    </w:p>
    <w:p w:rsidR="0026452D" w:rsidRDefault="0026452D" w:rsidP="0026452D">
      <w:pPr>
        <w:pStyle w:val="TextoNormal"/>
      </w:pPr>
      <w:r w:rsidRPr="0026452D">
        <w:rPr>
          <w:rStyle w:val="NumeroAFNegritaCaracter"/>
        </w:rPr>
        <w:t>6</w:t>
      </w:r>
      <w:r>
        <w:t>. . El Presidente del Congreso de los Diputados, mediante escrito registrado en este Tribunal el día 14 de mayo de 2004, comunicó el acuerdo de la Mesa de la Cámara de no personarse en el proceso.</w:t>
      </w:r>
    </w:p>
    <w:p w:rsidR="0026452D" w:rsidRDefault="0026452D" w:rsidP="0026452D">
      <w:pPr>
        <w:pStyle w:val="TextoNormal"/>
      </w:pPr>
    </w:p>
    <w:p w:rsidR="0026452D" w:rsidRDefault="0026452D" w:rsidP="0026452D">
      <w:pPr>
        <w:pStyle w:val="TextoNormal"/>
      </w:pPr>
      <w:r w:rsidRPr="0026452D">
        <w:rPr>
          <w:rStyle w:val="NumeroAFNegritaCaracter"/>
        </w:rPr>
        <w:t>7</w:t>
      </w:r>
      <w:r>
        <w:t>. El Abogado del Estado presentó su escrito de alegaciones el 21 de mayo de 2004 interesando la desestimación del recurso por las razones que se exponen a continuación:</w:t>
      </w:r>
    </w:p>
    <w:p w:rsidR="0026452D" w:rsidRDefault="0026452D" w:rsidP="0026452D">
      <w:pPr>
        <w:pStyle w:val="TextoNormal"/>
      </w:pPr>
    </w:p>
    <w:p w:rsidR="0026452D" w:rsidRDefault="0026452D" w:rsidP="0026452D">
      <w:pPr>
        <w:pStyle w:val="TextoNormal"/>
      </w:pPr>
      <w:r>
        <w:t xml:space="preserve">a) En primer lugar hace una serie de alegaciones de carácter general sobre los límites al contenido de las leyes de acompañamiento y el principio de seguridad jurídica. En este sentido, señala que el art. 134 CE sólo impone límites a las leyes de presupuestos y, por ello, las denominadas leyes de acompañamiento, en tanto que leyes ordinarias, pueden en principio abarcar cualquier materia, pues el legislador goza de libertad para determinar el contenido normativo de las leyes que aprueba. Recuerda que, salvo en determinados casos que </w:t>
      </w:r>
      <w:r>
        <w:lastRenderedPageBreak/>
        <w:t>pueden resultar notoriamente graves, las cuestiones de técnica legislativa son ajenas al Tribunal Constitucional, pues las omisiones o las deficiencias técnicas de una norma no constituyen, en sí mismas, tachas de inconstitucionalidad.</w:t>
      </w:r>
    </w:p>
    <w:p w:rsidR="0026452D" w:rsidRDefault="0026452D" w:rsidP="0026452D">
      <w:pPr>
        <w:pStyle w:val="TextoNormal"/>
      </w:pPr>
    </w:p>
    <w:p w:rsidR="0026452D" w:rsidRDefault="0026452D" w:rsidP="0026452D">
      <w:pPr>
        <w:pStyle w:val="TextoNormal"/>
      </w:pPr>
      <w:r>
        <w:t>Por lo que se refiere a la técnica legislativa de incorporar a textos legales normas “intrusas”, ajenas al contenido regulado por aquellos, señala que no es exclusiva de las denominadas “leyes de acompañamiento” y que sólo podría considerarse esta técnica contraria al principio de seguridad jurídica cuando no exista una justificación suficiente para introducirlas en la ley de acompañamiento y supongan un cambio legislativo tan severo que afecten al sistema o subsistema en cuyo seno pretendan desarrollar su eficacia.</w:t>
      </w:r>
    </w:p>
    <w:p w:rsidR="0026452D" w:rsidRDefault="0026452D" w:rsidP="0026452D">
      <w:pPr>
        <w:pStyle w:val="TextoNormal"/>
      </w:pPr>
    </w:p>
    <w:p w:rsidR="0026452D" w:rsidRDefault="0026452D" w:rsidP="0026452D">
      <w:pPr>
        <w:pStyle w:val="TextoNormal"/>
      </w:pPr>
      <w:r>
        <w:t>b) En segundo lugar alude a la inexistencia de límites al alcance de las enmiendas del Senado. El art. 90.2 CE atribuye una facultad de enmendar expresamente reconocida que no limita el alcance de las enmiendas senatoriales que modifiquen el proyecto enviado por el Congreso de los Diputados. Razones de corrección técnica y buena ordenación del procedimiento legislativo pueden aconsejar que las adiciones en forma de enmienda que supongan una innovación importante debieran tramitarse como proyectos de ley, pero recuerda que el Tribunal Constitucional ha tenido oportunidad de declarar en las SSTC 88/1987 y 194/2000 que ello no se deduce necesariamente del bloque de constitucionalidad. Por ello, concluye que cualquier precepto incorporado a la ley de acompañamiento en virtud de una enmienda aceptada en el Senado no es inconstitucional por causa de esta mera circunstancia.</w:t>
      </w:r>
    </w:p>
    <w:p w:rsidR="0026452D" w:rsidRDefault="0026452D" w:rsidP="0026452D">
      <w:pPr>
        <w:pStyle w:val="TextoNormal"/>
      </w:pPr>
    </w:p>
    <w:p w:rsidR="0026452D" w:rsidRDefault="0026452D" w:rsidP="0026452D">
      <w:pPr>
        <w:pStyle w:val="TextoNormal"/>
      </w:pPr>
      <w:r>
        <w:t>c) En tercer lugar se adentra en la defensa de la constitucionalidad de las alegaciones relativas a las modificaciones al Real Decreto Legislativo 1/2001, de 20 de julio, por el que se aprueba el texto refundido de la Ley de aguas. Señala el Abogado del Estado que se trata de alegaciones que se ciñen a la adecuación del instrumento de la denominada “ley de acompañamiento” para trasponer a nuestro ordenamiento la Directiva 2000/60/CE por la que se establece un marco comunitario de actuación en el ámbito de la política de aguas. Considera que las modificaciones realizadas por el Real Decreto Legislativo 1/2001, de 20 de julio, son singularizadas en virtud de la citada exigencia de trasposición, pero no suponen ni un cambio sistemático ni total de una ley cabecera de un sector del ordenamiento jurídico como es la regulación de las aguas continentales. En cuanto a la ausencia de dictamen del Consejo de Estado y si este es preceptivo de conformidad con el art. 21.1 de su Ley Orgánica, señala que es una cuestión de legalidad ordinaria ajena al Tribunal Constitucional.</w:t>
      </w:r>
    </w:p>
    <w:p w:rsidR="0026452D" w:rsidRDefault="0026452D" w:rsidP="0026452D">
      <w:pPr>
        <w:pStyle w:val="TextoNormal"/>
      </w:pPr>
    </w:p>
    <w:p w:rsidR="0026452D" w:rsidRDefault="0026452D" w:rsidP="0026452D">
      <w:pPr>
        <w:pStyle w:val="TextoNormal"/>
      </w:pPr>
      <w:r>
        <w:t xml:space="preserve">El Abogado del Estado afirma que las dudas que surgen en la demanda de manera inconcreta e imprecisa deben entenderse suficientemente salvadas por los pronunciamientos del Tribunal Constitucional y en especial la STC 227/1988. Aunque se produce una modificación particularizada de diversos artículos de la Ley de aguas, a su juicio la única innovación esencial queda recogida en el primer apartado del art. 129 que establece el concepto de “demarcación hidrográfica” como principal unidad a efectos de la gestión de cuencas. Sin embargo, señala que la cuestión que se suscita en éste y en otros recursos de inconstitucionalidad es la habilitación al Gobierno para que mediante Real Decreto y oídas las Comunidades Autónomas, fije el ámbito territorial de cada demarcación que será coincidente con el de su plan hidrológico. La habilitación al Gobierno para aprobar reglamentos, si se produce por una necesidad de complementar la Ley, dentro, a su vez, de las competencias estatales, resulta irrelevante a los efectos de constitucionalidad, tanto si se ejerce la habilitación para </w:t>
      </w:r>
      <w:r>
        <w:lastRenderedPageBreak/>
        <w:t>la aprobación del ámbito territorial de las demarcaciones hidrográficas como para la aprobación de los planes hidrológicos. En todo lo demás, considera que las modificaciones no aportan innovaciones del nivel que pueda decirse que se ha modificado el modelo diseñado por la vigente legislación de aguas, cambiando el sistema con tanta profundidad, que al haberse realizado por una “ley de acompañamiento”, se ha vulnerado el principio de seguridad jurídica, pues los destinatarios de la Ley gozan de suficiente certeza sobre el derecho, en cada caso, aplicable sobre la materia.</w:t>
      </w:r>
    </w:p>
    <w:p w:rsidR="0026452D" w:rsidRDefault="0026452D" w:rsidP="0026452D">
      <w:pPr>
        <w:pStyle w:val="TextoNormal"/>
      </w:pPr>
    </w:p>
    <w:p w:rsidR="0026452D" w:rsidRDefault="0026452D" w:rsidP="0026452D">
      <w:pPr>
        <w:pStyle w:val="TextoNormal"/>
      </w:pPr>
      <w:r>
        <w:t>En cuanto al apartado 21, señala que la demanda circunscribe sus alegaciones al inciso referido “a la actuación subsidiaria del Gobierno en caso de falta de propuesta”, lo que no supone innovación alguna puesto que ya estaba recogido en el apartado 2 del art. 41 sobre elaboración de los planes hidrológicos de cuenca, lo que debe ser interpretado de acuerdo con el fundamento jurídico 26 de la STC 118/1998.</w:t>
      </w:r>
    </w:p>
    <w:p w:rsidR="0026452D" w:rsidRDefault="0026452D" w:rsidP="0026452D">
      <w:pPr>
        <w:pStyle w:val="TextoNormal"/>
      </w:pPr>
    </w:p>
    <w:p w:rsidR="0026452D" w:rsidRDefault="0026452D" w:rsidP="0026452D">
      <w:pPr>
        <w:pStyle w:val="TextoNormal"/>
      </w:pPr>
      <w:r>
        <w:t>Por lo que se refiere a la impugnación del art. 122 afirma que la referencia al informe previo, como sucedáneo de un acto de control preventivo municipal, era claramente insuficiente puesto que se hablaba simplemente de órganos urbanísticos competentes y, por ello, la introducción de que será emitido a petición del Ministerio de Medio Ambiente o sus organismos autónomos y que su contenido versará exclusivamente sobre los aspectos urbanísticos no suponen sino una precisión que mejora la delimitación de la competencia municipal de emitir el tantas veces citado informe, del que se hablaba solo indirectamente como requisito de la prerrogativa de imposibilidad de suspensión de la obra hidráulica.</w:t>
      </w:r>
    </w:p>
    <w:p w:rsidR="0026452D" w:rsidRDefault="0026452D" w:rsidP="0026452D">
      <w:pPr>
        <w:pStyle w:val="TextoNormal"/>
      </w:pPr>
    </w:p>
    <w:p w:rsidR="0026452D" w:rsidRDefault="0026452D" w:rsidP="0026452D">
      <w:pPr>
        <w:pStyle w:val="TextoNormal"/>
      </w:pPr>
      <w:r>
        <w:t>d) En cuarto y último lugar, aborda la constitucionalidad de las alegaciones relativas al art. 129, apartado 37, por el que se introduce un nuevo art. 121 bis del texto refundido de la Ley de aguas sobre responsabilidad comunitaria. En este sentido considera que en los supuestos de responsabilidad comunitaria debe equilibrarse el ejercicio de las competencias autonómicas ejecutando el derecho derivado europeo y las atribuciones del Gobierno en virtud del art. 93 CE, de suerte que junto al ejercicio pleno de la autonomía existe responsabilidad por ese ejercicio y, en particular, cuando de este se derivan cargas innecesarias para el Reino de España y en definitiva para los administrados. Recuerda que sobre este principio de responsabilidad en el ejercicio de las competencias autonómicas solo se establecen dos cuestiones que gozan de plena licitud constitucional, como son la audiencia de la Administración interesada en el procedimiento que se establezca al efecto y que la responsabilidad financiera pueda ser solventada a través de la institución de la compensación de las transferencias financieras que esta reciba.</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12 de febrero de 2013, se señaló para deliberación y votación de la presente Sentencia el día 14 del mismo mes y año, trámite que ha finalizado en el día de hoy.</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El presente recurso de inconstitucionalidad se interpone por el Consejo de Gobierno de la Junta de Comunidades de Castilla-La Mancha contra el art. 129 de la Ley 62/2003, de 30 de diciembre, de medidas fiscales, administrativas y del orden social, por vulnerar los principios democrático y de seguridad jurídica, y de interdicción de la arbitrariedad de los </w:t>
      </w:r>
      <w:r>
        <w:lastRenderedPageBreak/>
        <w:t>poderes públicos consagrados en los arts. 1.1 y 9.3 CE, así como los arts. 107, 137, 153 y 156.1 CE.</w:t>
      </w:r>
    </w:p>
    <w:p w:rsidR="0026452D" w:rsidRDefault="0026452D" w:rsidP="0026452D">
      <w:pPr>
        <w:pStyle w:val="TextoNormal"/>
      </w:pPr>
    </w:p>
    <w:p w:rsidR="0026452D" w:rsidRDefault="0026452D" w:rsidP="0026452D">
      <w:pPr>
        <w:pStyle w:val="TextoNormal"/>
      </w:pPr>
      <w:r>
        <w:t>El Abogado del Estado defiende la constitucionalidad del precepto rechazando, por los motivos que se resumen en los antecedentes de esta Sentencia, que se vulneren los preceptos constitucionales invocados por el Letrado de la Junta de Comunidades de Castilla-La Mancha.</w:t>
      </w:r>
    </w:p>
    <w:p w:rsidR="0026452D" w:rsidRDefault="0026452D" w:rsidP="0026452D">
      <w:pPr>
        <w:pStyle w:val="TextoNormal"/>
      </w:pPr>
    </w:p>
    <w:p w:rsidR="0026452D" w:rsidRDefault="0026452D" w:rsidP="0026452D">
      <w:pPr>
        <w:pStyle w:val="TextoNormal"/>
      </w:pPr>
      <w:r>
        <w:t>Es preciso señalar con carácter previo que, aunque en el cuerpo del escrito de interposición del recurso se formulan alegaciones en relación con el art. 122 de la Ley 62/2003, de 30 de diciembre, el encabezamiento y el suplico del recurso se circunscribe exclusivamente al art. 129; y, lo que es más relevante, también se refiere sólo a dicho precepto el acuerdo del Consejo de Gobierno de la Junta de Comunidades de Castilla-La Mancha de 24 de marzo de 2004 por el que se decidió interponer el presente recurso de inconstitucionalidad. Por tanto, habiendo una coincidencia entre el precepto recogido en el acuerdo del Consejo de Gobierno del que trae causa el recurso y el mencionado en el encabezamiento y en el suplico del escrito de interposición, debe concluirse que el objeto del presente recurso se limita al art. 129 de la Ley 62/2003, de 30 de diciembre (en sentido similar, STC 138/2010, de 16 de diciembre, FJ 1).</w:t>
      </w:r>
    </w:p>
    <w:p w:rsidR="0026452D" w:rsidRDefault="0026452D" w:rsidP="0026452D">
      <w:pPr>
        <w:pStyle w:val="TextoNormal"/>
      </w:pPr>
    </w:p>
    <w:p w:rsidR="0026452D" w:rsidRDefault="0026452D" w:rsidP="0026452D">
      <w:pPr>
        <w:pStyle w:val="TextoNormal"/>
      </w:pPr>
      <w:r w:rsidRPr="0026452D">
        <w:rPr>
          <w:rStyle w:val="NumeroAFNegritaCaracter"/>
        </w:rPr>
        <w:t>2</w:t>
      </w:r>
      <w:r>
        <w:t>. Una vez delimitado el objeto de nuestro enjuiciamiento, debemos señalar que el art. 129 de la Ley 62/2003, de 30 de diciembre, de medidas fiscales, administrativas y del orden social, modifica el texto refundido de la Ley de aguas, aprobado por Real Decreto Legislativo 1/2001, de 20 de julio, con la finalidad de incorporar al Derecho español, la Directiva 2000/60/CE, por la que se establece un marco comunitario de actuación en el ámbito de la política de aguas. Esta Directiva, como recientemente hemos recordado en la STC 149/2012, de 5 de julio, FJ 6, “tiene por objetivo principal la protección y mejora de la calidad y el estado ecológico de las aguas partiendo de la idea de la vulnerabilidad de los ecosistemas acuáticos situados cerca de las costas y los estuarios o en golfos o mares relativamente cerrados y de la importante incidencia que, en el equilibrio de estas zonas, tiene la propia calidad de las aguas continentales que fluyen hacia ellas, estableciendo, por ello, un marco para la protección conjunta de las aguas continentales, de transición, costeras y subterráneas que persigue alcanzar tanto un buen estado de las aguas de cada cuenca hidrográfica como conseguir que las concentraciones de sustancias peligrosas prioritarias en el medio marino sean cercanas a los valores básicos para las sustancias de origen natural”.</w:t>
      </w:r>
    </w:p>
    <w:p w:rsidR="0026452D" w:rsidRDefault="0026452D" w:rsidP="0026452D">
      <w:pPr>
        <w:pStyle w:val="TextoNormal"/>
      </w:pPr>
    </w:p>
    <w:p w:rsidR="0026452D" w:rsidRDefault="0026452D" w:rsidP="0026452D">
      <w:pPr>
        <w:pStyle w:val="TextoNormal"/>
      </w:pPr>
      <w:r>
        <w:t>A esos efectos, la Directiva dispone que “los Estados miembros especificarán las cuencas hidrográficas situadas en su territorio nacional y… las incluirán en demarcaciones hidrográficas” (art. 3) nacionales o internacionales, entendiéndose por demarcación hidrográfica “la zona marina y terrestre compuesta por una o varias cuencas hidrográficas vecinas y las aguas subterráneas y costeras asociadas” (art. 2) y considerándose esta zona “como principal unidad a efectos de gestión de las cuencas hidrográficas” (art. 2), así como de la consecución de los objetivos medioambientales fijados y de la planificación hidrológica.</w:t>
      </w:r>
    </w:p>
    <w:p w:rsidR="0026452D" w:rsidRDefault="0026452D" w:rsidP="0026452D">
      <w:pPr>
        <w:pStyle w:val="TextoNormal"/>
      </w:pPr>
    </w:p>
    <w:p w:rsidR="0026452D" w:rsidRDefault="0026452D" w:rsidP="0026452D">
      <w:pPr>
        <w:pStyle w:val="TextoNormal"/>
      </w:pPr>
      <w:r>
        <w:t>El art. 129 de la Ley 62/2003, al trasponer esta Directiva 2000/60/CE a nuestro ordenamiento jurídico, introduce en el texto refundido de la Ley de aguas algunas modificaciones de importancia. En primer lugar, amplía el objeto de la propia Ley de aguas, que a la regu</w:t>
      </w:r>
      <w:r>
        <w:lastRenderedPageBreak/>
        <w:t>lación clásica del dominio público hidráulico, del uso del agua y del ejercicio de las competencias atribuidas al Estado en las materias relacionadas con dicho dominio en el marco de las competencias delimitadas en el art. 149 CE, suma ahora el establecimiento de las normas básicas de protección de las aguas continentales, costeras y de transición, sin perjuicio de su calificación jurídica y de la legislación específica que les sea de aplicación (art. 1.2 del texto refundido de la Ley de aguas).</w:t>
      </w:r>
    </w:p>
    <w:p w:rsidR="0026452D" w:rsidRDefault="0026452D" w:rsidP="0026452D">
      <w:pPr>
        <w:pStyle w:val="TextoNormal"/>
      </w:pPr>
    </w:p>
    <w:p w:rsidR="0026452D" w:rsidRDefault="0026452D" w:rsidP="0026452D">
      <w:pPr>
        <w:pStyle w:val="TextoNormal"/>
      </w:pPr>
      <w:r>
        <w:t>Por otra parte, la Ley 62/2003 incorpora al texto refundido de la Ley de aguas, junto al concepto clásico de cuenca hidrográfica, la nueva noción de demarcación hidrográfica. Así, el art. 16 bis.1 define como demarcación hidrográfica “la zona terrestre y marina compuesta por una o varias cuencas hidrográficas vecinas y las aguas de transición, subterráneas y costeras asociadas a dichas cuencas”. Finalmente, los acuíferos que no correspondan plenamente a ninguna demarcación en particular, se incluirán en la demarcación más próxima o más apropiada, pudiendo atribuirse a cada una de las demarcaciones la parte de acuífero correspondiente a su respectivo ámbito territorial, y debiendo garantizarse, en este caso, una gestión coordinada mediante las oportunas notificaciones entre demarcaciones afectadas.</w:t>
      </w:r>
    </w:p>
    <w:p w:rsidR="0026452D" w:rsidRDefault="0026452D" w:rsidP="0026452D">
      <w:pPr>
        <w:pStyle w:val="TextoNormal"/>
      </w:pPr>
    </w:p>
    <w:p w:rsidR="0026452D" w:rsidRDefault="0026452D" w:rsidP="0026452D">
      <w:pPr>
        <w:pStyle w:val="TextoNormal"/>
      </w:pPr>
      <w:r>
        <w:t>La demarcación hidrográfica, así entendida, se erige ahora, según establece el art. 16 bis.4 del texto refundido de la Ley de aguas, en “la principal unidad a efectos de gestión de cuencas” constituyendo, en todo caso, el ámbito espacial al que se aplican las normas de protección de las aguas contempladas en la Ley (sin perjuicio del régimen específico del medio marino que pueda establecer el Estado) y también el nuevo ámbito territorial de los planes hidrológicos de cuenca. No obstante, se sigue manteniendo también, como noción central, la noción de cuenca hidrográfica —aunque ahora se reformule siguiendo la definición de la Directiva 2000/60/CE—, que se considera indivisible como unidad de gestión del recurso, que continúa determinando la organización de la Administración hidráulica y que sigue siendo el objeto principal de los planes hidrológicos (que siguen llamándose “planes hidrológicos de cuenca”), aunque se disponga que “el ámbito territorial de cada plan hidrológico de cuenca será coincidente con el de la demarcación hidrográfica correspondiente” (art. 40 del texto refundido de la Ley de aguas).</w:t>
      </w:r>
    </w:p>
    <w:p w:rsidR="0026452D" w:rsidRDefault="0026452D" w:rsidP="0026452D">
      <w:pPr>
        <w:pStyle w:val="TextoNormal"/>
      </w:pPr>
    </w:p>
    <w:p w:rsidR="0026452D" w:rsidRDefault="0026452D" w:rsidP="0026452D">
      <w:pPr>
        <w:pStyle w:val="TextoNormal"/>
      </w:pPr>
      <w:r>
        <w:t>En este marco general, conviene precisar que aunque son muchos los preceptos del texto refundido de la Ley de aguas modificados por el art. 129 de la Ley 62/2003, el presente recurso no plantea motivos de inconstitucionalidad respecto de cada uno de ellos sino que sus reproches se pueden agrupar en dos grandes bloques. El primero, relativo a cuestiones de técnica legislativa, y el segundo, dirigido en concreto a alguno de los preceptos introducidos en el texto refundido.</w:t>
      </w:r>
    </w:p>
    <w:p w:rsidR="0026452D" w:rsidRDefault="0026452D" w:rsidP="0026452D">
      <w:pPr>
        <w:pStyle w:val="TextoNormal"/>
      </w:pPr>
    </w:p>
    <w:p w:rsidR="0026452D" w:rsidRDefault="0026452D" w:rsidP="0026452D">
      <w:pPr>
        <w:pStyle w:val="TextoNormal"/>
      </w:pPr>
      <w:r w:rsidRPr="0026452D">
        <w:rPr>
          <w:rStyle w:val="NumeroAFNegritaCaracter"/>
        </w:rPr>
        <w:t>3</w:t>
      </w:r>
      <w:r>
        <w:t>. Considera, en primer lugar, el Consejo de Gobierno de la Junta de Comunidades de Castilla-La Mancha que el art. 129 del texto refundido de la Ley de aguas es contrario al art. 9.3 CE, por ir incluido en una ley de “acompañamiento”, esto es, en una ley sin objeto predeterminado, cuya publicación formal no implica que las normas que contiene sean conocidas por sus destinatarios sin necesidad de una diligencia extraordinaria. Antes al contrario, la acumulación de preceptos inconexos hace imposible a los ciudadanos, a su juicio, el conocimiento de los preceptos que se encuentran obligados a cumplir.</w:t>
      </w:r>
    </w:p>
    <w:p w:rsidR="0026452D" w:rsidRDefault="0026452D" w:rsidP="0026452D">
      <w:pPr>
        <w:pStyle w:val="TextoNormal"/>
      </w:pPr>
    </w:p>
    <w:p w:rsidR="0026452D" w:rsidRDefault="0026452D" w:rsidP="0026452D">
      <w:pPr>
        <w:pStyle w:val="TextoNormal"/>
      </w:pPr>
      <w:r>
        <w:t xml:space="preserve">Esta cuestión ha sido recientemente resuelta por este Tribunal en la STC 136/2011, de 13 de septiembre, FJ 9, en la que concluimos que no cabe apreciar en ello ningún vicio </w:t>
      </w:r>
      <w:r>
        <w:lastRenderedPageBreak/>
        <w:t>susceptible de afectar a la seguridad jurídica conforme al contenido constitucionalmente garantizado de dicho principio, pues tales leyes de acompañamiento tienen un objeto que, “aunque heterogéneo, está perfectamente delimitado en el momento de presentación del proyecto al Congreso de los Diputados, teniendo todos sus eventuales destinatarios (operadores jurídicos y ciudadanos) conocimiento del mismo mediante su publicación en el ‘Diario Oficial de las Cortes Generales’, como finalmente tienen conocimiento del texto definitivo mediante su inserción en el ‘Boletín Oficial del Estado’.” (en el mismo sentido, STC 120/2012, de 4 de junio, FJ 3).</w:t>
      </w:r>
    </w:p>
    <w:p w:rsidR="0026452D" w:rsidRDefault="0026452D" w:rsidP="0026452D">
      <w:pPr>
        <w:pStyle w:val="TextoNormal"/>
      </w:pPr>
    </w:p>
    <w:p w:rsidR="0026452D" w:rsidRDefault="0026452D" w:rsidP="0026452D">
      <w:pPr>
        <w:pStyle w:val="TextoNormal"/>
      </w:pPr>
      <w:r>
        <w:t>Sostiene también el Consejo de Gobierno de la Junta de Comunidades de Castilla-La Mancha que la necesidad jurídica de trasponer una Directiva comunitaria como consecuencia de la expiración del plazo que ella misma preveía no puede justificar la transposición en la ley de “acompañamiento”. Esta alegación debe ser también rechazada, pues no existe ningún mandato legal que exija que una Directiva comunitaria deba ser transpuesta a través de un determinado instrumento normativo. La ley de “acompañamiento” es una ley ordinaria y como tal ley ordinaria que emana de las Cortes Generales “puede entrar a regular cualquier materia no expresamente asignada a otro tipo legislativo, y es que, del bloque de la constitucionalidad no se deriva ni impedimento alguno para que se puedan aprobar lo que califica como ‘leyes transversales’, ni exigencia de ninguna clase que imponga que cada materia deba ser objeto de un proyecto independiente, dado que las formas de manifestarse la voluntad de las Cámaras sólo tendrán un carácter limitado cuando así se derive del propio texto constitucional. En consecuencia, ningún óbice existe desde el punto de vista constitucional que impida o limite la incorporación a un solo texto legislativo, para su tramitación conjunta en un solo procedimiento, de multitud de medidas normativas de carácter heterogéneo” (STC 136/2011, de 30 septiembre, FJ 3).</w:t>
      </w:r>
    </w:p>
    <w:p w:rsidR="0026452D" w:rsidRDefault="0026452D" w:rsidP="0026452D">
      <w:pPr>
        <w:pStyle w:val="TextoNormal"/>
      </w:pPr>
    </w:p>
    <w:p w:rsidR="0026452D" w:rsidRDefault="0026452D" w:rsidP="0026452D">
      <w:pPr>
        <w:pStyle w:val="TextoNormal"/>
      </w:pPr>
      <w:r>
        <w:t>Por último, en relación con la técnica de las leyes de acompañamiento, considera la Comunidad Autónoma recurrente que la Ley 62/2003 infringe el principio democrático pues su tramitación paralela a la ley de presupuestos comporta una reducción de los plazos de examen, discusión y debate de la norma que impide que las Cámaras cumplan correctamente su función constitucional. Señala que esa incorrecta tramitación comporta, además, que el debate carezca del rigor técnico necesario lesionando el principio de especialización parlamentaria. Así, dada la tramitación unitaria de un sinfín de materias de naturaleza muy diversa en las leyes de “acompañamiento”, es una única comisión en cada Cámara (la de economía y hacienda en el Congreso de los Diputados, y la de economía, comercio y turismo en el Senado) la que, en un solo debate y en escasísimo tiempo, ve cuestiones tan variopintas como la reforma del impuesto sobre la renta de las personas físicas, las ayudas a las víctimas del terrorismo, la reforma de la Ley de la jurisdicción contencioso-administrativa o la transposición de una Directiva en materia de aguas, por poner algunos ejemplos de las cuestiones recogidas en la Ley 62/2003.</w:t>
      </w:r>
    </w:p>
    <w:p w:rsidR="0026452D" w:rsidRDefault="0026452D" w:rsidP="0026452D">
      <w:pPr>
        <w:pStyle w:val="TextoNormal"/>
      </w:pPr>
    </w:p>
    <w:p w:rsidR="0026452D" w:rsidRDefault="0026452D" w:rsidP="0026452D">
      <w:pPr>
        <w:pStyle w:val="TextoNormal"/>
      </w:pPr>
      <w:r>
        <w:t xml:space="preserve">Pues bien, esta queja debe ser igualmente rechazada. Como hemos señalado en la STC 136/2011, de 13 de septiembre, “el principio democrático consagrado por nuestra Constitución (art. 1.1) impone que la formación de la voluntad de las Cortes Generales se articule a través de un procedimiento cuyos rasgos estructurales ha prescrito el texto constitucional” (FJ 5). La inobservancia “de los preceptos que regulan el procedimiento legislativo podría viciar de inconstitucionalidad la ley cuando esa inobservancia altere de modo sustancial el </w:t>
      </w:r>
      <w:r>
        <w:lastRenderedPageBreak/>
        <w:t>proceso de formación de voluntad en el seno de las Cámaras” (FJ 6). No basta, en consecuencia, “cualquier vicio o inobservancia de los previstos en las normas que regulan el procedimiento parlamentario para declarar la eventual inconstitucionalidad de la norma o disposición con que se pone fin al mismo”, pues “tal inconstitucionalidad sólo se producirá si el vicio o inobservancia denunciada afecta esencialmente al proceso de formación de la voluntad de los parlamentarios, de modo que sólo los vicios o defectos más graves provocan un déficit democrático en el proceso de elaboración de una norma que podría conducir a su declaración de inconstitucionalidad” (FJ 10).</w:t>
      </w:r>
    </w:p>
    <w:p w:rsidR="0026452D" w:rsidRDefault="0026452D" w:rsidP="0026452D">
      <w:pPr>
        <w:pStyle w:val="TextoNormal"/>
      </w:pPr>
    </w:p>
    <w:p w:rsidR="0026452D" w:rsidRDefault="0026452D" w:rsidP="0026452D">
      <w:pPr>
        <w:pStyle w:val="TextoNormal"/>
      </w:pPr>
      <w:r>
        <w:t>En concreto, en relación con el hecho de que el proyecto de ley se tramite en la Comisión de Economía y Hacienda del Congreso, y en la Comisión de Economía, Comercio y Turismo del Senado, y no en la competente por razón de cada materia, en contra de lo señalado en el art. 43 del Reglamento del Congreso de los Diputados y concordante del Senado, hemos señalado en la STC 102/2012, de 8 de mayo, FJ 3, “que estamos en presencia de un acto de trámite (la atribución a una comisión del conocimiento de un proyecto de ley) inserto en un procedimiento parlamentario cuya eventual inobservancia sólo podría alcanzar relevancia constitucional y, por tanto, viciar de inconstitucionalidad la ley resultante cuando … esa inobservancia altere de modo sustancial el proceso de formación de voluntad de una Cámara … Pero es que, en segundo lugar, la decisión de atribuir el conocimiento de un proyecto a una u otra comisión es una función de la Mesa del Congreso de los Diputados (arts. 43.1 y 109 del Reglamento del Congreso de los Diputados) o del Senado (arts. 54 y 104.2 del Reglamento del Senado), de manera que, cuando por razón de la materia un proyecto, proposición o asunto pueda corresponder, en principio, a varias comisiones, se encomendará a aquella “que sea de la competencia principal de una comisión” (así se deduce del art. 43.2 del Reglamento del Congreso de los Diputados). Se trata, pues, de una decisión de mera oportunidad parlamentaria que, en sí misma, no conlleva merma alguna de los principios constitucionales que han de informar el procedimiento legislativo en cuanto procedimiento de formación de la voluntad del órgano”.</w:t>
      </w:r>
    </w:p>
    <w:p w:rsidR="0026452D" w:rsidRDefault="0026452D" w:rsidP="0026452D">
      <w:pPr>
        <w:pStyle w:val="TextoNormal"/>
      </w:pPr>
    </w:p>
    <w:p w:rsidR="0026452D" w:rsidRDefault="0026452D" w:rsidP="0026452D">
      <w:pPr>
        <w:pStyle w:val="TextoNormal"/>
      </w:pPr>
      <w:r w:rsidRPr="0026452D">
        <w:rPr>
          <w:rStyle w:val="NumeroAFNegritaCaracter"/>
        </w:rPr>
        <w:t>4</w:t>
      </w:r>
      <w:r>
        <w:t>. Alega también la Comunidad Autónoma recurrente que el hecho de que la transposición de la Directiva 2000/60/CE se haya realizado como consecuencia de una enmienda presentada en el Senado ha tenido, a su vez, otro efecto claramente lesivo del procedimiento que debe seguir cualquier tarea de transposición, cual es impedir que el Consejo de Estado emita el preceptivo dictamen previsto por el art. 21.2 de su Ley Orgánica. Recuerda que el anteproyecto de Ley de medidas fiscales, administrativas y del orden social fue objeto de ese preceptivo dictamen y, sin embargo, no pudo el supremo órgano consultivo dictaminar la incorporación de la Directiva 2000/60/CE, ya que esta incorporación se ha hecho efectiva como consecuencia de la citada enmienda.</w:t>
      </w:r>
    </w:p>
    <w:p w:rsidR="0026452D" w:rsidRDefault="0026452D" w:rsidP="0026452D">
      <w:pPr>
        <w:pStyle w:val="TextoNormal"/>
      </w:pPr>
    </w:p>
    <w:p w:rsidR="0026452D" w:rsidRDefault="0026452D" w:rsidP="0026452D">
      <w:pPr>
        <w:pStyle w:val="TextoNormal"/>
      </w:pPr>
      <w:r>
        <w:t xml:space="preserve">A ello debe responderse que ni la Constitución, ni los Reglamentos parlamentarios, ni la Ley Orgánica del Consejo de Estado, prevén la necesidad de dictamen de este órgano consultivo en el trámite de enmiendas, por lo que no cabe admitir que se entienda contraria al bloque de constitucionalidad una enmienda que ha previsto la transposición de una Directiva comunitaria sin el citado dictamen siguiendo el procedimiento legislativo legalmente previsto. No hay que olvidar que el Consejo de Estado es el supremo órgano consultivo del Gobierno de la Nación, no del Congreso y del Senado. Su función es la de orientar con rigor la actuación, especialmente normativa, del Gobierno, a la luz del bloque de la constitucionalidad y del resto del ordenamiento jurídico, actuando en la fase previa de elaboración de </w:t>
      </w:r>
      <w:r>
        <w:lastRenderedPageBreak/>
        <w:t>una norma. Así, los dictámenes del Consejo de Estado versan sobre los anteproyectos o proyectos inicialmente aprobados por el Gobierno antes de su remisión al Parlamento y no sobre los proyectos que el Ejecutivo definitivamente aprueba y remite a las Cámaras. Su papel, por tanto, de apoyo a la función legislativa se centra en una fase muy inicial de la correspondiente iniciativa, pero una vez que el proyecto de ley definitivamente se aprueba por el Consejo de Ministros, con la introducción o no de las indicaciones del Consejo de Estado, y es remitido a las Cámaras, al Consejo de Estado no le compete decir nada sobre las posibles enmiendas que se introduzcan en el texto.</w:t>
      </w:r>
    </w:p>
    <w:p w:rsidR="0026452D" w:rsidRDefault="0026452D" w:rsidP="0026452D">
      <w:pPr>
        <w:pStyle w:val="TextoNormal"/>
      </w:pPr>
    </w:p>
    <w:p w:rsidR="0026452D" w:rsidRDefault="0026452D" w:rsidP="0026452D">
      <w:pPr>
        <w:pStyle w:val="TextoNormal"/>
      </w:pPr>
      <w:r w:rsidRPr="0026452D">
        <w:rPr>
          <w:rStyle w:val="NumeroAFNegritaCaracter"/>
        </w:rPr>
        <w:t>5</w:t>
      </w:r>
      <w:r>
        <w:t>. El Letrado de la Junta de Comunidades de Castilla-La Mancha impugna a continuación el art. 129 de la Ley 62/2003 por considerar inconstitucional que este precepto no identifique formal y expresamente las normas básicas del nuevo régimen legal. Alega que el concepto material de bases debe completarse o matizarse con un canon formal en cuanto a la inclusión por regla general de las bases en disposiciones con rango de ley y el deber de su explicitación de tal carácter, todo ello por razones reconducibles a la efectividad del principio de seguridad jurídica (art. 9.3 CE). Señala que, mientras que la Ley 62/2003 lo hace en otras materias, no así en el art. 129, sin que pueda alegarse que la doctrina sentada en la STC 227/1988, de 29 de noviembre, en relación con la Ley de aguas de 1985, haya clarificado de modo definitivo los títulos competenciales ejercidos en la legislación de aguas del Estado haciendo innecesaria la declaración expresa de cuáles de sus preceptos tienen carácter básico. Esta falta de declaración explícita acerca de qué preceptos tienen la consideración de básicos es calificada por la Comunidad Autónoma recurrente como una inconstitucionalidad por omisión, habida cuenta de que hacerlo constituye un deber del legislador.</w:t>
      </w:r>
    </w:p>
    <w:p w:rsidR="0026452D" w:rsidRDefault="0026452D" w:rsidP="0026452D">
      <w:pPr>
        <w:pStyle w:val="TextoNormal"/>
      </w:pPr>
    </w:p>
    <w:p w:rsidR="0026452D" w:rsidRDefault="0026452D" w:rsidP="0026452D">
      <w:pPr>
        <w:pStyle w:val="TextoNormal"/>
      </w:pPr>
      <w:r>
        <w:t>A este respecto es indudable que, de nuestra doctrina (STC 149/2012), se deriva directamente que en el cuestionado art. 129 conviven preceptos básicos con otros que no lo son (así, por ejemplo, las redacciones dadas a los arts. 16.5 y 36.2, respectivamente), sin que el legislador hubiera en su momento establecido diferenciación alguna al respecto, pero dicha incorrección técnica del precepto, reprochable por lo demás a la entera legislación de aguas, no es, por sí sola y con la generalidad con la que se ha formulado por la representación procesal de la Junta de Comunidades de Castilla-La Mancha, motivo suficiente para declarar la inconstitucionalidad del precepto.</w:t>
      </w:r>
    </w:p>
    <w:p w:rsidR="0026452D" w:rsidRDefault="0026452D" w:rsidP="0026452D">
      <w:pPr>
        <w:pStyle w:val="TextoNormal"/>
      </w:pPr>
    </w:p>
    <w:p w:rsidR="0026452D" w:rsidRDefault="0026452D" w:rsidP="0026452D">
      <w:pPr>
        <w:pStyle w:val="TextoNormal"/>
      </w:pPr>
      <w:r>
        <w:t xml:space="preserve">Así, hemos de tener en cuenta lo que afirmamos en la STC 233/1999, FJ 4 a) cuando señalamos: “De entrada hay que comenzar recordando lo que afirmamos en la STC 133/1997 (fundamento jurídico 6) a propósito de la exigencia del principio de ley formal en la determinación de las bases. Dijimos entonces que de dicho principio ‘no se deriva para el legislador la obligación de invocar expresamente el título competencial que ampara sus Leyes’. Y añadíamos a continuación: “las competencias son indisponibles e irrenunciables, tanto para el legislador del Estado como para el de las Comunidades Autónomas; operan </w:t>
      </w:r>
      <w:r w:rsidRPr="0026452D">
        <w:rPr>
          <w:i/>
        </w:rPr>
        <w:t>ope Constitutionis</w:t>
      </w:r>
      <w:r>
        <w:t>, con independencia de que uno u otro legislador hagan invocación explícita de las mismas.”</w:t>
      </w:r>
    </w:p>
    <w:p w:rsidR="0026452D" w:rsidRDefault="0026452D" w:rsidP="0026452D">
      <w:pPr>
        <w:pStyle w:val="TextoNormal"/>
      </w:pPr>
    </w:p>
    <w:p w:rsidR="0026452D" w:rsidRDefault="0026452D" w:rsidP="0026452D">
      <w:pPr>
        <w:pStyle w:val="TextoNormal"/>
      </w:pPr>
      <w:r>
        <w:t xml:space="preserve">Cabe recordar, asimismo, que la propia STC 227/1988, de 29 de noviembre, por la que se resolvió el recurso de inconstitucionalidad interpuesto contra diversos preceptos de la Ley 29/1985, de 2 de agosto, de aguas, calificó de operación especialmente ardua la determinación del esquema competencial aplicable en materia de aguas, dado que junto a los títulos competenciales específicos en materia de aguas, “los recursos hídricos no sólo son </w:t>
      </w:r>
      <w:r>
        <w:lastRenderedPageBreak/>
        <w:t>un bien respecto del que es preciso establecer el régimen jurídico de dominio, gestión y aprovechamiento en sentido estricto, sino que constituyen además el soporte físico de una pluralidad de actividades, públicas o privadas, en relación con las cuales la Constitución y los Estatutos de Autonomía atribuyen competencias tanto al Estado como a las Comunidades Autónomas: concesiones administrativas, protección del medio ambiente, vertidos industriales o contaminantes, ordenación del territorio, obras públicas, régimen energético, pesca fluvial, entre otros” (FJ 13), conclusión que se reitera en el fundamento jurídico 18 de la misma STC 227/1988, recalcando la necesidad de examinar caso por caso, en atención a los distintos preceptos impugnados, la posible concurrencia de otros títulos competenciales, además de los previstos en el art. 149.1.22 CE.</w:t>
      </w:r>
    </w:p>
    <w:p w:rsidR="0026452D" w:rsidRDefault="0026452D" w:rsidP="0026452D">
      <w:pPr>
        <w:pStyle w:val="TextoNormal"/>
      </w:pPr>
    </w:p>
    <w:p w:rsidR="0026452D" w:rsidRDefault="0026452D" w:rsidP="0026452D">
      <w:pPr>
        <w:pStyle w:val="TextoNormal"/>
      </w:pPr>
      <w:r>
        <w:t>Por tanto, de la ausencia de toda calificación expresa, respecto de los preceptos modificados del texto refundido de la Ley de aguas a los que hace referencia el impugnado art. 129, a lo sumo podría concluirse, como ya hemos hecho en la STC 149/2012, que alguno de aquellos no es básico, debiendo plantearnos entonces si pudiera entenderse dictado al amparo de otros títulos competenciales estatales, señaladamente el art. 149.1.22 CE. Pero que esta hipotética calificación sea o no conforme con la Constitución es cuestión que, en todo caso, sólo puede enjuiciarse en relación con cada uno de los citados preceptos y previa la correspondiente alegación, lo que es evidente que no se ha hecho en el presente proceso. Tampoco, por otra parte, se ha justificado en qué manera la indeterminación del legislador estatal ha alterado, condicionado o limitado las competencias de la Comunidad Autónoma, las cuales, por lo demás, vienen definidas por el bloque de la constitucionalidad y no por el legislador estatal.</w:t>
      </w:r>
    </w:p>
    <w:p w:rsidR="0026452D" w:rsidRDefault="0026452D" w:rsidP="0026452D">
      <w:pPr>
        <w:pStyle w:val="TextoNormal"/>
      </w:pPr>
    </w:p>
    <w:p w:rsidR="0026452D" w:rsidRDefault="0026452D" w:rsidP="0026452D">
      <w:pPr>
        <w:pStyle w:val="TextoNormal"/>
      </w:pPr>
      <w:r>
        <w:t>En suma, como los recurrentes no cuestionan en este caso la perspectiva material de los preceptos introducidos en el texto refundido de la Ley de aguas por el art. 129 de la Ley 62/2003, sino sólo genéricamente su perspectiva formal, debemos, por las razones antes expuestas, rechazar directamente esta impugnación.</w:t>
      </w:r>
    </w:p>
    <w:p w:rsidR="0026452D" w:rsidRDefault="0026452D" w:rsidP="0026452D">
      <w:pPr>
        <w:pStyle w:val="TextoNormal"/>
      </w:pPr>
    </w:p>
    <w:p w:rsidR="0026452D" w:rsidRDefault="0026452D" w:rsidP="0026452D">
      <w:pPr>
        <w:pStyle w:val="TextoNormal"/>
      </w:pPr>
      <w:r w:rsidRPr="0026452D">
        <w:rPr>
          <w:rStyle w:val="NumeroAFNegritaCaracter"/>
        </w:rPr>
        <w:t>6</w:t>
      </w:r>
      <w:r>
        <w:t>. De una forma inconcreta e imprecisa el recurso plantea la inconstitucionalidad de determinadas habilitaciones al Gobierno que el art. 129 de la Ley 62/2003 ha introducido en algunos preceptos del texto refundido de la Ley de aguas. Considera que la reforma operada por el art. 129 de la Ley 62/2003 ha incurrido en el defecto de técnica legislativa de reproducir redacciones que ya habían sido objeto de examen en la STC 227/1988 y que, por ser inconstitucionales en su interpretación más inmediata o literal, habían provocado un fallo interpretativo en dicha Sentencia.</w:t>
      </w:r>
    </w:p>
    <w:p w:rsidR="0026452D" w:rsidRDefault="0026452D" w:rsidP="0026452D">
      <w:pPr>
        <w:pStyle w:val="TextoNormal"/>
      </w:pPr>
    </w:p>
    <w:p w:rsidR="0026452D" w:rsidRDefault="0026452D" w:rsidP="0026452D">
      <w:pPr>
        <w:pStyle w:val="TextoNormal"/>
      </w:pPr>
      <w:r>
        <w:t>En concreto, las dudas se refieren a los arts. 16 bis apartado 5, 41.2, 41.3 y 42.1 g) letras i`) a o`) que reproducen lo dispuesto en los arts. 38.2, 39.2 y 40 letras f) y siguientes de la Ley de aguas de 1985. El legislador ha decidido, por tanto, recuperar la redacción original de los preceptos señalados sin que esta opción pueda ser rechazable desde un punto de vista constitucional, pues, según reiterada doctrina de este Tribunal, “el juicio de constitucionalidad no lo es de técnica legislativa” [SSTC 109/1987, de 29 de junio, FJ 3 c); 226/1993, de 8 de julio, FJ 4; y 188/2005, de 4 de julio, FJ 4], ni de “perfección técnica de las leyes” (STC 226/1993, de 8 de julio, FJ 4), ya que nuestro control “nada tiene que ver con su depuración técnica” (SSTC 226/1993, de 8 de julio, FJ 5; y 195/1996, de 28 de noviembre, FJ 4).</w:t>
      </w:r>
    </w:p>
    <w:p w:rsidR="0026452D" w:rsidRDefault="0026452D" w:rsidP="0026452D">
      <w:pPr>
        <w:pStyle w:val="TextoNormal"/>
      </w:pPr>
    </w:p>
    <w:p w:rsidR="0026452D" w:rsidRDefault="0026452D" w:rsidP="0026452D">
      <w:pPr>
        <w:pStyle w:val="TextoNormal"/>
      </w:pPr>
      <w:r>
        <w:lastRenderedPageBreak/>
        <w:t>Ciertamente, puede resultar criticable desde un punto de vista de técnica legislativa que el legislador no haya acomodado la regulación de las materias recogidas en los preceptos señalados a la interpretación conforme realizada por este Tribunal en la STC 227/1988, de 29 de noviembre. Sin embargo, en la medida en que la citada Sentencia no declara inconstitucionales los preceptos de la Ley de aguas de 1985 a los que alude la Comunidad Autónoma recurrente sino que efectúa una interpretación conforme a la Constitución de los mismos, el legislador no tiene obligación de darles una nueva redacción, pues la interpretación conforme lo que conlleva precisamente es la validez de la norma o de los preceptos impugnados.</w:t>
      </w:r>
    </w:p>
    <w:p w:rsidR="0026452D" w:rsidRDefault="0026452D" w:rsidP="0026452D">
      <w:pPr>
        <w:pStyle w:val="TextoNormal"/>
      </w:pPr>
    </w:p>
    <w:p w:rsidR="0026452D" w:rsidRDefault="0026452D" w:rsidP="0026452D">
      <w:pPr>
        <w:pStyle w:val="TextoNormal"/>
      </w:pPr>
      <w:r>
        <w:t>En todo caso, en la medida en que el legislador resulta vinculado por las Sentencias dictadas por este Tribunal en procedimientos de declaración de inconstitucionalidad (art. 164.1 CE y art. 38.1 de la Ley Orgánica del Tribunal Constitucional), ha de entenderse que el pronunciamiento interpretativo de la STC 227/1988, de 29 de noviembre, proyecta su eficacia sobre los artículos del texto refundido de la Ley de aguas introducidos por el art. 129 de la Ley 62/2003 y que reproducen preceptos de la Ley de aguas de 1985 (en este sentido, STC 209/2009, de 26 de noviembre, FJ 2).</w:t>
      </w:r>
    </w:p>
    <w:p w:rsidR="0026452D" w:rsidRDefault="0026452D" w:rsidP="0026452D">
      <w:pPr>
        <w:pStyle w:val="TextoNormal"/>
      </w:pPr>
    </w:p>
    <w:p w:rsidR="0026452D" w:rsidRDefault="0026452D" w:rsidP="0026452D">
      <w:pPr>
        <w:pStyle w:val="TextoNormal"/>
      </w:pPr>
      <w:r w:rsidRPr="0026452D">
        <w:rPr>
          <w:rStyle w:val="NumeroAFNegritaCaracter"/>
        </w:rPr>
        <w:t>7</w:t>
      </w:r>
      <w:r>
        <w:t>. Junto a los preceptos del texto refundido que reproducen lo dispuesto en la Ley de aguas de 1985 y sobre los que se pronunció la STC 227/1988, de 29 de noviembre, conforme hemos señalado en el fundamento jurídico anterior, la Comunidad Autónoma recurrente considera también inconstitucional la habilitación al Gobierno para el desarrollo de determinadas materias recogida en dos artículos de nuevo cuño. Se trata del apartado 1 del art. 92 ter y de la disposición adicional duodécima del texto refundido de la Ley de aguas.</w:t>
      </w:r>
    </w:p>
    <w:p w:rsidR="0026452D" w:rsidRDefault="0026452D" w:rsidP="0026452D">
      <w:pPr>
        <w:pStyle w:val="TextoNormal"/>
      </w:pPr>
    </w:p>
    <w:p w:rsidR="0026452D" w:rsidRDefault="0026452D" w:rsidP="0026452D">
      <w:pPr>
        <w:pStyle w:val="TextoNormal"/>
      </w:pPr>
      <w:r>
        <w:t>a) Señala el apartado 1 del art. 92 ter:</w:t>
      </w:r>
    </w:p>
    <w:p w:rsidR="0026452D" w:rsidRDefault="0026452D" w:rsidP="0026452D">
      <w:pPr>
        <w:pStyle w:val="TextoNormal"/>
      </w:pPr>
    </w:p>
    <w:p w:rsidR="0026452D" w:rsidRDefault="0026452D" w:rsidP="0026452D">
      <w:pPr>
        <w:pStyle w:val="TextoNormal"/>
      </w:pPr>
      <w:r>
        <w:t>“En relación con los objetivos de protección se distinguirán diferentes estados o potenciales en las masas de agua, debiendo diferenciarse al menos entre las aguas superficiales, las aguas subterráneas y las masas de agua artificiales y muy modificadas. Reglamentariamente se determinarán las condiciones técnicas definitorias de cada uno de los estados y potenciales, así como los criterios para su clasificación.”</w:t>
      </w:r>
    </w:p>
    <w:p w:rsidR="0026452D" w:rsidRDefault="0026452D" w:rsidP="0026452D">
      <w:pPr>
        <w:pStyle w:val="TextoNormal"/>
      </w:pPr>
    </w:p>
    <w:p w:rsidR="0026452D" w:rsidRDefault="0026452D" w:rsidP="0026452D">
      <w:pPr>
        <w:pStyle w:val="TextoNormal"/>
      </w:pPr>
      <w:r>
        <w:t>La Comunidad Autónoma de Castilla-La Mancha cuestiona si la remisión hecha por el legislador al reglamento encaja en el título competencial “protección del medio ambiente” del art. 149.1.23 CE e indica que le plantea dudas la completa regulación de la materia que parece querer atribuirse a la potestad reglamentaria del Gobierno. Añade que el alcance determinador y definitorio de las condiciones y su referencia a cada uno de los estados potenciales, no deja margen alguno al desarrollo legislativo autonómico en el ejercicio de sus competencias de protección del medio ambiente. Asimismo, concluye que el reglamento a que remite la Ley no podrá determinar sin más las condiciones definitorias de cada uno de los estados y potenciales de las masas de las aguas, aunque sea eso justamente lo que afirma la Ley, sino tan sólo determinar las condiciones técnicas mínimas para definir los distintos estados y potenciales de las aguas y para clasificar a las masas de agua en cada uno de ellos, sin perjuicio de la elevación de dichas condiciones o requisitos por las Comunidades Autónomas que sean competentes en la materia.</w:t>
      </w:r>
    </w:p>
    <w:p w:rsidR="0026452D" w:rsidRDefault="0026452D" w:rsidP="0026452D">
      <w:pPr>
        <w:pStyle w:val="TextoNormal"/>
      </w:pPr>
    </w:p>
    <w:p w:rsidR="0026452D" w:rsidRDefault="0026452D" w:rsidP="0026452D">
      <w:pPr>
        <w:pStyle w:val="TextoNormal"/>
      </w:pPr>
      <w:r>
        <w:lastRenderedPageBreak/>
        <w:t xml:space="preserve">El título V del texto refundido de la Ley de aguas, bajo la rúbrica “La protección del dominio público hidráulico y de la calidad de las aguas”, incluye una serie de disposiciones de diferente alcance y finalidad, casi todas ellas relacionadas con la denominada policía demanial. Como recogimos en la STC 227/1988, de 29 de noviembre, FJ 25, en relación con el mismo título de la Ley de aguas de 1985, “la Ley se limita, en términos generales, a establecer algunas prescripciones de principio, con el fin de garantizar la calidad de las aguas continentales y de su entorno, sin merma de la competencia de las Comunidades Autónomas para desarrollar o complementar aquellas normas generales y para ejecutarlas en el ámbito de sus competencias administrativas sobre el dominio público hidráulico. Tales prescripciones encuentran fácil encaje en la legislación básica sobre protección del medio ambiente, que al Estado corresponde dictar </w:t>
      </w:r>
      <w:r w:rsidRPr="0026452D">
        <w:rPr>
          <w:i/>
        </w:rPr>
        <w:t>ex</w:t>
      </w:r>
      <w:r>
        <w:t xml:space="preserve"> art. 149.1.23 de la Constitución”.</w:t>
      </w:r>
    </w:p>
    <w:p w:rsidR="0026452D" w:rsidRDefault="0026452D" w:rsidP="0026452D">
      <w:pPr>
        <w:pStyle w:val="TextoNormal"/>
      </w:pPr>
    </w:p>
    <w:p w:rsidR="0026452D" w:rsidRDefault="0026452D" w:rsidP="0026452D">
      <w:pPr>
        <w:pStyle w:val="TextoNormal"/>
      </w:pPr>
      <w:r>
        <w:t>El art. 149.1.23 CE atribuye al Estado la competencia para dictar “legislación básica sobre protección del medio ambiente, sin perjuicio de las facultades de las Comunidades Autónomas de establecer normas adicionales de protección”. Pues bien, conforme a la doctrina de este Tribunal, el art. 149.1.23 CE “habilita al Estado, en primer lugar, para proceder a un encuadramiento de una política global de protección ambiental, habida cuenta del alcance no sólo nacional sino internacional que tiene la regulación de esta materia y de la exigencia de la indispensable solidaridad colectiva consagrada en el art. 45.2 CE (STC 64/1982, de 4 de noviembre, FJ 4). Bien entendido que la legislación básica del Estado no cumple sólo una función de uniformidad relativa, sino también de ordenación mediante mínimos que deben ser respetados en todo caso, pero que pueden permitir que las Comunidades Autónomas en la materia establezcan niveles de protección más altos, que no entrarían, por ese solo hecho, en contradicción con la normativa básica del Estado. El sentido del precepto constitucional es el de que las bases estatales son de carácter mínimo y, por tanto, los niveles de protección que el Estado establezca en desarrollo del mismo pueden ser elevados o mejorados por la normativa autonómica (SSTC 170/1989, de 19 de octubre, FJ 2; 102/1995, FJ 9; 156/1995, de 26 de octubre, FJ 4, y 15/1998, de 22 de enero, FJ 13). Esa legislación básica a que se refiere el art. 149.1.23 CE estará integrada por las normas de rango legal, e incluso reglamentario, siempre que estas últimas resulten imprescindibles y se justifiquen por su contenido técnico o por su carácter coyuntural o estacionario” (STC 306/2000, de 12 de diciembre, FJ 6).</w:t>
      </w:r>
    </w:p>
    <w:p w:rsidR="0026452D" w:rsidRDefault="0026452D" w:rsidP="0026452D">
      <w:pPr>
        <w:pStyle w:val="TextoNormal"/>
      </w:pPr>
    </w:p>
    <w:p w:rsidR="0026452D" w:rsidRDefault="0026452D" w:rsidP="0026452D">
      <w:pPr>
        <w:pStyle w:val="TextoNormal"/>
      </w:pPr>
      <w:r>
        <w:t>Por tanto, conforme a la doctrina expuesta, no resulta inconstitucional que las bases para determinar las condiciones técnicas definitorias de cada uno de los estados y potenciales en las masas de agua, así como los criterios para su clasificación, se contengan en una disposición reglamentaria. Por otro lado, adelantarnos a declarar inconstitucional el contenido del reglamento si no permite a las Comunidades Autónomas elevar o mejorar las condiciones o requisitos que imponga supone plantear una impugnación preventiva por parte de la Comunidad Autónoma recurrente, vedada por nuestra doctrina, sin que, por otra parte, nada obstaculiza que, si el Gobierno, al dictar la correspondiente norma reglamentaria en virtud de esa remisión, impidiera que las condiciones técnicas mínimas que establezca puedan ser elevadas o mejoradas por la normativa autonómica, pudiera plantearse el oportuno conflicto de competencias a fin de examinar si se hubiera producido o no la extralimitación en el ámbito competencial estatal. Ahora bien, la mera remisión en abstracto al reglamento no supone necesariamente que dicha norma vulnerará las competencias asumidas por las Comunidades Autónomas, ni puede, por lo que hemos dicho, reputarse, sin más, inconstitucional.</w:t>
      </w:r>
    </w:p>
    <w:p w:rsidR="0026452D" w:rsidRDefault="0026452D" w:rsidP="0026452D">
      <w:pPr>
        <w:pStyle w:val="TextoNormal"/>
      </w:pPr>
    </w:p>
    <w:p w:rsidR="0026452D" w:rsidRDefault="0026452D" w:rsidP="0026452D">
      <w:pPr>
        <w:pStyle w:val="TextoNormal"/>
      </w:pPr>
      <w:r>
        <w:t>b) Por su parte, la disposición adicional duodécima texto refundido de la Ley de aguas establece:</w:t>
      </w:r>
    </w:p>
    <w:p w:rsidR="0026452D" w:rsidRDefault="0026452D" w:rsidP="0026452D">
      <w:pPr>
        <w:pStyle w:val="TextoNormal"/>
      </w:pPr>
    </w:p>
    <w:p w:rsidR="0026452D" w:rsidRDefault="0026452D" w:rsidP="0026452D">
      <w:pPr>
        <w:pStyle w:val="TextoNormal"/>
      </w:pPr>
      <w:r>
        <w:t>“Plazos para la Participación Pública.</w:t>
      </w:r>
    </w:p>
    <w:p w:rsidR="0026452D" w:rsidRDefault="0026452D" w:rsidP="0026452D">
      <w:pPr>
        <w:pStyle w:val="TextoNormal"/>
      </w:pPr>
    </w:p>
    <w:p w:rsidR="0026452D" w:rsidRDefault="0026452D" w:rsidP="0026452D">
      <w:pPr>
        <w:pStyle w:val="TextoNormal"/>
      </w:pPr>
      <w:r>
        <w:t>1. El organismo de cuenca o administración hidráulica competente de la Comunidad Autónoma publicarán y pondrán a disposición del público, en los plazos que en esta disposición se establecen, los siguientes documentos:</w:t>
      </w:r>
    </w:p>
    <w:p w:rsidR="0026452D" w:rsidRDefault="0026452D" w:rsidP="0026452D">
      <w:pPr>
        <w:pStyle w:val="TextoNormal"/>
      </w:pPr>
    </w:p>
    <w:p w:rsidR="0026452D" w:rsidRDefault="0026452D" w:rsidP="0026452D">
      <w:pPr>
        <w:pStyle w:val="TextoNormal"/>
      </w:pPr>
      <w:r>
        <w:t>a) Tres años antes de iniciarse el procedimiento para la aprobación o revisión del correspondiente plan hidrológico, un calendario y un programa de trabajo sobre la elaboración del plan, con indicación de las fórmulas de consulta que se adoptarán en cada caso.</w:t>
      </w:r>
    </w:p>
    <w:p w:rsidR="0026452D" w:rsidRDefault="0026452D" w:rsidP="0026452D">
      <w:pPr>
        <w:pStyle w:val="TextoNormal"/>
      </w:pPr>
    </w:p>
    <w:p w:rsidR="0026452D" w:rsidRDefault="0026452D" w:rsidP="0026452D">
      <w:pPr>
        <w:pStyle w:val="TextoNormal"/>
      </w:pPr>
      <w:r>
        <w:t>b) Dos años antes del inicio del procedimiento a que se refiere el párrafo anterior, un esquema provisional de los temas importantes que se plantean en la cuenca hidrográfica en materia de gestión de las aguas.</w:t>
      </w:r>
    </w:p>
    <w:p w:rsidR="0026452D" w:rsidRDefault="0026452D" w:rsidP="0026452D">
      <w:pPr>
        <w:pStyle w:val="TextoNormal"/>
      </w:pPr>
    </w:p>
    <w:p w:rsidR="0026452D" w:rsidRDefault="0026452D" w:rsidP="0026452D">
      <w:pPr>
        <w:pStyle w:val="TextoNormal"/>
      </w:pPr>
      <w:r>
        <w:t>c) Un año antes de iniciar el procedimiento, los ejemplares del proyecto de plan hidrológico de cuenca.</w:t>
      </w:r>
    </w:p>
    <w:p w:rsidR="0026452D" w:rsidRDefault="0026452D" w:rsidP="0026452D">
      <w:pPr>
        <w:pStyle w:val="TextoNormal"/>
      </w:pPr>
    </w:p>
    <w:p w:rsidR="0026452D" w:rsidRDefault="0026452D" w:rsidP="0026452D">
      <w:pPr>
        <w:pStyle w:val="TextoNormal"/>
      </w:pPr>
      <w:r>
        <w:t>2. El organismo de cuenca o administración hidráulica competente de la Comunidad Autónoma concederán un plazo mínimo de seis meses para la presentación de observaciones por escrito sobre los documentos relacionados en el apartado 1 de esta disposición.</w:t>
      </w:r>
    </w:p>
    <w:p w:rsidR="0026452D" w:rsidRDefault="0026452D" w:rsidP="0026452D">
      <w:pPr>
        <w:pStyle w:val="TextoNormal"/>
      </w:pPr>
    </w:p>
    <w:p w:rsidR="0026452D" w:rsidRDefault="0026452D" w:rsidP="0026452D">
      <w:pPr>
        <w:pStyle w:val="TextoNormal"/>
      </w:pPr>
      <w:r>
        <w:t>3. Previa solicitud y en los términos que se establezca reglamentariamente, se permitirá el acceso a los documentos y a la información de referencia utilizados para elaborar el plan hidrológico de cuenca.”</w:t>
      </w:r>
    </w:p>
    <w:p w:rsidR="0026452D" w:rsidRDefault="0026452D" w:rsidP="0026452D">
      <w:pPr>
        <w:pStyle w:val="TextoNormal"/>
      </w:pPr>
    </w:p>
    <w:p w:rsidR="0026452D" w:rsidRDefault="0026452D" w:rsidP="0026452D">
      <w:pPr>
        <w:pStyle w:val="TextoNormal"/>
      </w:pPr>
      <w:r>
        <w:t>Para la Comunidad Autónoma recurrente la remisión que hace el apartado 3 de la disposición adicional duodécima al reglamento para fijar sin matiz ni límite alguno los términos en que se permitirá el acceso a los documentos y a la información de referencia utilizados para elaborar el plan, podría haberse hecho sólo respecto de los planes de competencia de los organismos de cuenca, pero no de los atribuidos a la “administración hidráulica competente de la Comunidad Autónoma” a la que alude el propio apartado 1 del precepto.</w:t>
      </w:r>
    </w:p>
    <w:p w:rsidR="0026452D" w:rsidRDefault="0026452D" w:rsidP="0026452D">
      <w:pPr>
        <w:pStyle w:val="TextoNormal"/>
      </w:pPr>
    </w:p>
    <w:p w:rsidR="0026452D" w:rsidRDefault="0026452D" w:rsidP="0026452D">
      <w:pPr>
        <w:pStyle w:val="TextoNormal"/>
      </w:pPr>
      <w:r>
        <w:t xml:space="preserve">La previsión impugnada tiene como destinatarios a las distintas Administraciones públicas encargadas, en sus respectivos ámbitos de competencia, de la planificación hidrológica. Procede recordar que, conforme a nuestra doctrina en relación con la materia hidrológica, al Estado, además de sus competencias ex art. 149.1.22 CE sobre las aguas que discurran por más de una Comunidad Autónoma, le corresponde de acuerdo con el art. 149.1.13 CE, la ordenación de la actividad planificadora hidrológica en las cuencas comprendidas íntegramente en el territorio de una Comunidad Autónoma [STC 227/1988, FJ 20 b)], debiendo recordarse al respecto la relevante significación de la planificación hidrológica como instrumento de integración y coordinación de las políticas sectoriales de las distintas Administraciones públicas. En este sentido, los planes hidrológicos de cuenca, cuyo contenido regula el art. 42 y que tienen carácter vinculante según el art. 40.4, comprenden una serie de disposiciones relativas a la protección y aprovechamiento de los recursos hidráulicos (prioridad </w:t>
      </w:r>
      <w:r>
        <w:lastRenderedPageBreak/>
        <w:t>y compatibilidad de usos, medio ambiente, ordenación del territorio, agricultura y montes, infraestructura, aprovechamientos energéticos, protección civil, etcétera), que inciden tanto en la actividad de diferentes Administraciones públicas como en la de particulares. Finalmente, no puede obviarse que uno de los principios rectores de la gestión en materia de aguas ha de ser el de conservación y protección del medio ambiente (al respecto art. 14.3 del texto refundido de la Ley de aguas), afirmando el carácter demanial del bien a fin de asegurar una ordenación racional y socialmente aceptable de su uso y disfrute (STC 227/1988, FJ 11), lo que presenta indudable conexión con las competencias estatales del art. 149.1.23 CE.</w:t>
      </w:r>
    </w:p>
    <w:p w:rsidR="0026452D" w:rsidRDefault="0026452D" w:rsidP="0026452D">
      <w:pPr>
        <w:pStyle w:val="TextoNormal"/>
      </w:pPr>
    </w:p>
    <w:p w:rsidR="0026452D" w:rsidRDefault="0026452D" w:rsidP="0026452D">
      <w:pPr>
        <w:pStyle w:val="TextoNormal"/>
      </w:pPr>
      <w:r>
        <w:t xml:space="preserve">En todo caso, el precepto se limita a establecer una previsión relativa a lo que recientemente (STC 149/2012, de 5 de julio, FJ 8) hemos calificado como participación social en la planificación hidrológica que el Estado puede legítimamente establecer en ejercicio de sus competencias </w:t>
      </w:r>
      <w:r w:rsidRPr="0026452D">
        <w:rPr>
          <w:i/>
        </w:rPr>
        <w:t>ex</w:t>
      </w:r>
      <w:r>
        <w:t xml:space="preserve"> art. 149.1.18 CE, en relación con el régimen jurídico de las Administraciones públicas, participación que “es plenamente acorde con la singular naturaleza de este tipo de planificación y el efecto que ésta produce sobre diversos intereses, así como sobre diferentes materias de competencia de distintas Administraciones públicas”.</w:t>
      </w:r>
    </w:p>
    <w:p w:rsidR="0026452D" w:rsidRDefault="0026452D" w:rsidP="0026452D">
      <w:pPr>
        <w:pStyle w:val="TextoNormal"/>
      </w:pPr>
    </w:p>
    <w:p w:rsidR="0026452D" w:rsidRDefault="0026452D" w:rsidP="0026452D">
      <w:pPr>
        <w:pStyle w:val="TextoNormal"/>
      </w:pPr>
      <w:r>
        <w:t>En consecuencia, la queja formulada, centrada en la carencia de un título competencial estatal para regular esta cuestión con carácter general, no puede prosperar, sin perjuicio de advertir que nada impide, llegado el caso, el planteamiento de un conflicto de competencias en el caso de estimarse que el Gobierno, al dictar la correspondiente norma reglamentaria en virtud de esta remisión, hubiera incurrido en extralimitación competencial.</w:t>
      </w:r>
    </w:p>
    <w:p w:rsidR="0026452D" w:rsidRDefault="0026452D" w:rsidP="0026452D">
      <w:pPr>
        <w:pStyle w:val="TextoNormal"/>
      </w:pPr>
    </w:p>
    <w:p w:rsidR="0026452D" w:rsidRDefault="0026452D" w:rsidP="0026452D">
      <w:pPr>
        <w:pStyle w:val="TextoNormal"/>
      </w:pPr>
      <w:r w:rsidRPr="0026452D">
        <w:rPr>
          <w:rStyle w:val="NumeroAFNegritaCaracter"/>
        </w:rPr>
        <w:t>8</w:t>
      </w:r>
      <w:r>
        <w:t>. Impugna también la Comunidad Autónoma recurrente la composición del nuevo órgano de cooperación interadministrativa, al que denomina comité de autoridades competentes, introducido en el art. 36 bis del texto refundido de la Ley de aguas, cuyo contenido es el siguiente:</w:t>
      </w:r>
    </w:p>
    <w:p w:rsidR="0026452D" w:rsidRDefault="0026452D" w:rsidP="0026452D">
      <w:pPr>
        <w:pStyle w:val="TextoNormal"/>
      </w:pPr>
    </w:p>
    <w:p w:rsidR="0026452D" w:rsidRDefault="0026452D" w:rsidP="0026452D">
      <w:pPr>
        <w:pStyle w:val="TextoNormal"/>
      </w:pPr>
      <w:r>
        <w:t>“1. Para garantizar la adecuada cooperación en la aplicación de las normas de protección de las aguas, se crea en el caso de demarcaciones hidrográficas con cuencas intercomunitarias, el Comité de Autoridades Competentes.</w:t>
      </w:r>
    </w:p>
    <w:p w:rsidR="0026452D" w:rsidRDefault="0026452D" w:rsidP="0026452D">
      <w:pPr>
        <w:pStyle w:val="TextoNormal"/>
      </w:pPr>
    </w:p>
    <w:p w:rsidR="0026452D" w:rsidRDefault="0026452D" w:rsidP="0026452D">
      <w:pPr>
        <w:pStyle w:val="TextoNormal"/>
      </w:pPr>
      <w:r>
        <w:t>La creación del Comité de Autoridades Competentes de la demarcación hidrográfica no afectará a la titularidad de las competencias que en las materias relacionadas con la gestión de las aguas correspondan a las distintas Administraciones Publicas, que continuarán ejerciéndose de acuerdo con lo previsto en cada caso en la normativa que resulte de aplicación.</w:t>
      </w:r>
    </w:p>
    <w:p w:rsidR="0026452D" w:rsidRDefault="0026452D" w:rsidP="0026452D">
      <w:pPr>
        <w:pStyle w:val="TextoNormal"/>
      </w:pPr>
    </w:p>
    <w:p w:rsidR="0026452D" w:rsidRDefault="0026452D" w:rsidP="0026452D">
      <w:pPr>
        <w:pStyle w:val="TextoNormal"/>
      </w:pPr>
      <w:r>
        <w:t>2. El Comité de Autoridades Competentes de la demarcación hidrográfica tendrá como funciones básicas:</w:t>
      </w:r>
    </w:p>
    <w:p w:rsidR="0026452D" w:rsidRDefault="0026452D" w:rsidP="0026452D">
      <w:pPr>
        <w:pStyle w:val="TextoNormal"/>
      </w:pPr>
    </w:p>
    <w:p w:rsidR="0026452D" w:rsidRDefault="0026452D" w:rsidP="0026452D">
      <w:pPr>
        <w:pStyle w:val="TextoNormal"/>
      </w:pPr>
      <w:r>
        <w:t>a) Favorecer la cooperación en el ejercicio de las competencias relacionadas con la protección de las aguas que ostenten las distintas Administraciones Públicas en el seno de la respectiva demarcación hidrográfica.</w:t>
      </w:r>
    </w:p>
    <w:p w:rsidR="0026452D" w:rsidRDefault="0026452D" w:rsidP="0026452D">
      <w:pPr>
        <w:pStyle w:val="TextoNormal"/>
      </w:pPr>
    </w:p>
    <w:p w:rsidR="0026452D" w:rsidRDefault="0026452D" w:rsidP="0026452D">
      <w:pPr>
        <w:pStyle w:val="TextoNormal"/>
      </w:pPr>
      <w:r>
        <w:t>b) Impulsar la adopción por las Administraciones Públicas competentes en cada demarcación de las medidas que exija el cumplimiento de las normas de protección de esta Ley.</w:t>
      </w:r>
    </w:p>
    <w:p w:rsidR="0026452D" w:rsidRDefault="0026452D" w:rsidP="0026452D">
      <w:pPr>
        <w:pStyle w:val="TextoNormal"/>
      </w:pPr>
    </w:p>
    <w:p w:rsidR="0026452D" w:rsidRDefault="0026452D" w:rsidP="0026452D">
      <w:pPr>
        <w:pStyle w:val="TextoNormal"/>
      </w:pPr>
      <w:r>
        <w:lastRenderedPageBreak/>
        <w:t>c) Proporcionar a la Unión Europea, a través del Ministerio de Medio Ambiente, la información relativa a la demarcación hidrográfica que se requiera, conforme a la normativa vigente.</w:t>
      </w:r>
    </w:p>
    <w:p w:rsidR="0026452D" w:rsidRDefault="0026452D" w:rsidP="0026452D">
      <w:pPr>
        <w:pStyle w:val="TextoNormal"/>
      </w:pPr>
    </w:p>
    <w:p w:rsidR="0026452D" w:rsidRDefault="0026452D" w:rsidP="0026452D">
      <w:pPr>
        <w:pStyle w:val="TextoNormal"/>
      </w:pPr>
      <w:r>
        <w:t>3. El Comité de Autoridades Competentes estará integrado por:</w:t>
      </w:r>
    </w:p>
    <w:p w:rsidR="0026452D" w:rsidRDefault="0026452D" w:rsidP="0026452D">
      <w:pPr>
        <w:pStyle w:val="TextoNormal"/>
      </w:pPr>
    </w:p>
    <w:p w:rsidR="0026452D" w:rsidRDefault="0026452D" w:rsidP="0026452D">
      <w:pPr>
        <w:pStyle w:val="TextoNormal"/>
      </w:pPr>
      <w:r>
        <w:t>a) Los órganos de la Administración General del Estado con competencias sobre el aprovechamiento, protección y control de las aguas objeto de esta Ley, con un número de representantes que no supere el de las Comunidades Autónomas.</w:t>
      </w:r>
    </w:p>
    <w:p w:rsidR="0026452D" w:rsidRDefault="0026452D" w:rsidP="0026452D">
      <w:pPr>
        <w:pStyle w:val="TextoNormal"/>
      </w:pPr>
    </w:p>
    <w:p w:rsidR="0026452D" w:rsidRDefault="0026452D" w:rsidP="0026452D">
      <w:pPr>
        <w:pStyle w:val="TextoNormal"/>
      </w:pPr>
      <w:r>
        <w:t>b) Los órganos de las Comunidades Autónomas, cuyo territorio forme parte total o parcialmente de la demarcación hidrográfica, con competencias sobre la protección y control de las aguas objeto de esta Ley, con un representante por cada Comunidad Autónoma.</w:t>
      </w:r>
    </w:p>
    <w:p w:rsidR="0026452D" w:rsidRDefault="0026452D" w:rsidP="0026452D">
      <w:pPr>
        <w:pStyle w:val="TextoNormal"/>
      </w:pPr>
    </w:p>
    <w:p w:rsidR="0026452D" w:rsidRDefault="0026452D" w:rsidP="0026452D">
      <w:pPr>
        <w:pStyle w:val="TextoNormal"/>
      </w:pPr>
      <w:r>
        <w:t>c) Los Entes locales, cuyo territorio coincida total o parcialmente con el de la demarcación hidrográfica, con competencias sobre la protección y control de las aguas objeto de esta Ley, representados en función de su población dentro de la demarcación, a través de las correspondientes Federaciones Territoriales de Municipios.</w:t>
      </w:r>
    </w:p>
    <w:p w:rsidR="0026452D" w:rsidRDefault="0026452D" w:rsidP="0026452D">
      <w:pPr>
        <w:pStyle w:val="TextoNormal"/>
      </w:pPr>
    </w:p>
    <w:p w:rsidR="0026452D" w:rsidRDefault="0026452D" w:rsidP="0026452D">
      <w:pPr>
        <w:pStyle w:val="TextoNormal"/>
      </w:pPr>
      <w:r>
        <w:t>4. En el caso de demarcaciones hidrográficas de cuencas intracomunitarias, las Comunidades Autónomas competentes garantizarán el principio de unidad de gestión de las aguas, la cooperación en el ejercicio de las competencias que en relación con su protección ostenten las distintas Administraciones públicas y, en particular, las que corresponden a la Administración General del Estado en materia de dominio público marítimo terrestre, portuario y de marina mercante.</w:t>
      </w:r>
    </w:p>
    <w:p w:rsidR="0026452D" w:rsidRDefault="0026452D" w:rsidP="0026452D">
      <w:pPr>
        <w:pStyle w:val="TextoNormal"/>
      </w:pPr>
    </w:p>
    <w:p w:rsidR="0026452D" w:rsidRDefault="0026452D" w:rsidP="0026452D">
      <w:pPr>
        <w:pStyle w:val="TextoNormal"/>
      </w:pPr>
      <w:r>
        <w:t>Asimismo proporcionarán a la Unión Europea, a través del Ministerio de Medio Ambiente, la información relativa a la demarcación hidrográfica que se requiera conforme a la normativa vigente.”</w:t>
      </w:r>
    </w:p>
    <w:p w:rsidR="0026452D" w:rsidRDefault="0026452D" w:rsidP="0026452D">
      <w:pPr>
        <w:pStyle w:val="TextoNormal"/>
      </w:pPr>
    </w:p>
    <w:p w:rsidR="0026452D" w:rsidRDefault="0026452D" w:rsidP="0026452D">
      <w:pPr>
        <w:pStyle w:val="TextoNormal"/>
      </w:pPr>
      <w:r>
        <w:t xml:space="preserve">Con respecto a este precepto considera la Comunidad Autónoma de Castilla-La Mancha que al restringir la participación de las Comunidades Autónomas y los entes locales a aquéllos que tengan “competencias sobre la protección y control de las aguas”, se está utilizando una expresión ciertamente críptica y poco habitual en el lenguaje dedicado hasta ahora a dirimir las competencias en materia de aguas, ya que ni el bloque de constitucionalidad ni el propio texto refundido de la Ley de aguas la utilizan cuando definen las competencias autonómicas. Señala que si por “control de las aguas” se entiende el control del dominio público hidráulico, la competencia en tal caso la tiene atribuida en estas cuencas el organismo de cuenca correspondiente, lo que de suyo excluiría la competencia autonómica y local. Y por lo que se refiere a la “protección de las aguas” afirma que no podemos entender que se refiere a la protección del dominio público hidráulico, porque ello constituye de nuevo una potestad reservada al Estado. Por otro lado, indica que, si tanto el control como la protección se entienden referidos no a las aguas sino a sus aprovechamientos, en tal caso sí hay competencia autonómica, pero ésta se circunscribe a las que discurran exclusivamente por su territorio, lo que de nuevo puede abocar a excluir su competencia en el caso que nos ocupa, que es el de la cuencas intercomunitarias. Asimismo, por lo que se refiere a la representación de los entes locales en el Comité, señala que el hacer depender “de su población dentro de la demarcación” su participación, implica que no se sabe cómo va a determinarse </w:t>
      </w:r>
      <w:r>
        <w:lastRenderedPageBreak/>
        <w:t>cuando el término municipal sólo esté parcialmente incluido en el territorio de la demarcación. Por otro lado, considera que la mención del inciso final de la letra c) del art. 36 bis.3, según el cual la representación de los entes locales afectados debe hacerse necesariamente “a través de las correspondientes federaciones territoriales de municipios” puede vulnerar la competencia legislativa de las Comunidades Autónomas en materia de régimen local al excluir de la participación en el órgano a otros entes locales como las comarcas, a las que se atribuyan competencias hidráulicas, o las entidades metropolitanas que puedan crearse por ley autonómica para la gestión de obras y servicios hidráulicos.</w:t>
      </w:r>
    </w:p>
    <w:p w:rsidR="0026452D" w:rsidRDefault="0026452D" w:rsidP="0026452D">
      <w:pPr>
        <w:pStyle w:val="TextoNormal"/>
      </w:pPr>
    </w:p>
    <w:p w:rsidR="0026452D" w:rsidRDefault="0026452D" w:rsidP="0026452D">
      <w:pPr>
        <w:pStyle w:val="TextoNormal"/>
      </w:pPr>
      <w:r>
        <w:t>Hemos de partir de que la Ley de aguas dispone la existencia, en el caso de las demarcaciones hidrográficas con cuencas intercomunitarias, de un órgano de cooperación de las Administraciones competentes en materia de protección de las aguas, al que denomina comité de autoridades competentes. El Real Decreto 126/2007, de 2 de febrero, ha regulado la composición, funcionamiento y atribuciones de este comité que tiene por objetivo garantizar la adecuada cooperación en la aplicación de las normas de protección de las aguas. Pues bien, en relación con las quejas formuladas respecto de la regulación del citado comité de autoridades competentes, debemos señalar, en primer lugar, que no es función de este Tribunal disipar las dudas interpretativas que pueda plantear la redacción del art. 36 bis. No obstante, por lo que se refiere a la interpretación de la expresión “competencias sobre la protección y control de las aguas” que plantea la Comunidad Autónoma recurrente, no es ocioso destacar que el art. 36 bis se limita a recoger que deberán estar presentes en los comités de autoridades competentes aquellas Comunidades Autónomas que tienen su territorio, en todo o en parte, dentro del ámbito de la demarcación hidrográfica y lo estarán a través de los órganos correspondientes en materia de protección y control de las aguas.</w:t>
      </w:r>
    </w:p>
    <w:p w:rsidR="0026452D" w:rsidRDefault="0026452D" w:rsidP="0026452D">
      <w:pPr>
        <w:pStyle w:val="TextoNormal"/>
      </w:pPr>
    </w:p>
    <w:p w:rsidR="0026452D" w:rsidRDefault="0026452D" w:rsidP="0026452D">
      <w:pPr>
        <w:pStyle w:val="TextoNormal"/>
      </w:pPr>
      <w:r>
        <w:t>Por lo que se refiere al reproche relativo a la configuración del comité de autoridades competentes, al no formar parte del mismo otros entes locales como las comarcas o las entidades metropolitanas, y que a juicio de la Comunidad Autónoma de Castilla-La Mancha puede vulnerar la competencia legislativa de las Comunidades Autónomas en materia de régimen local, debemos recordar que la regulación de los órganos de gestión para las cuencas intercomunitarias es, en todo caso, competencia del Estado.</w:t>
      </w:r>
    </w:p>
    <w:p w:rsidR="0026452D" w:rsidRDefault="0026452D" w:rsidP="0026452D">
      <w:pPr>
        <w:pStyle w:val="TextoNormal"/>
      </w:pPr>
    </w:p>
    <w:p w:rsidR="0026452D" w:rsidRDefault="0026452D" w:rsidP="0026452D">
      <w:pPr>
        <w:pStyle w:val="TextoNormal"/>
      </w:pPr>
      <w:r>
        <w:t xml:space="preserve">En relación con el alcance de la competencia autonómica en materia de régimen local, hemos señalado que corresponde a las Comunidades Autónomas que han asumido la competencia exclusiva en materia de régimen local la regulación mediante Ley del régimen jurídico de las corporaciones locales de su territorio. Ahora bien, esta Ley debe ajustarse “a las bases establecidas por el Estado, de manera que el régimen jurídico de las Corporaciones Locales, aun en aquellas Comunidades Autónomas que ... asumen el </w:t>
      </w:r>
      <w:r w:rsidRPr="0026452D">
        <w:rPr>
          <w:i/>
        </w:rPr>
        <w:t>maximum</w:t>
      </w:r>
      <w:r>
        <w:t xml:space="preserve"> de competencias al respecto, es siempre resultado de la actividad concurrente del Estado (en el sentido más estrecho del término) y de las Comunidades Autónomas” (STC 84/1982, de 23 de diciembre, FJ 4). Así, la competencia del Estado en materia de régimen local queda limitada al establecimiento de las bases o principios básicos. “La autonomía local consagrada en el art. 137 CE (con el complemento de los arts. 140 y 141 CE) se traduce en una garantía institucional de los elementos esenciales o del núcleo primario del autogobierno de los entes locales territoriales, núcleo que debe necesariamente ser respetado por el legislador (estatal o autonómico, general o sectorial) para que dichas Administraciones sean reconocibles en tanto que entes dotados de autogobierno” (SSTC 159/2001, de 5 de julio, FJ 4; 51/2004, de 13 de abril, FJ 9; la ya citada 252/2005, FJ 4, y 240/2006, de 20 de julio, FJ 8). Por ello, en </w:t>
      </w:r>
      <w:r>
        <w:lastRenderedPageBreak/>
        <w:t>la STC 32/1981, de 28 de julio, indicamos que aquella garantía “es de carácter general y configuradora de un modelo de Estado y ello conduce, como consecuencia obligada, a entender que corresponde al mismo la fijación de principios o criterios básicos en materia de organización y competencia de general aplicación en todo el Estado. La fijación de estas condiciones básicas no puede implicar en ningún caso el establecimiento de un régimen uniforme para todas las entidades locales de todo el Estado, sino que debe permitir opciones diversas, ya que la potestad normativa de las Comunidades Autónomas no es en estos supuestos de carácter reglamentario” (FJ 5; en relación con la organización local, STC 214/1989, de 21 de diciembre, FJ 6).</w:t>
      </w:r>
    </w:p>
    <w:p w:rsidR="0026452D" w:rsidRDefault="0026452D" w:rsidP="0026452D">
      <w:pPr>
        <w:pStyle w:val="TextoNormal"/>
      </w:pPr>
    </w:p>
    <w:p w:rsidR="0026452D" w:rsidRDefault="0026452D" w:rsidP="0026452D">
      <w:pPr>
        <w:pStyle w:val="TextoNormal"/>
      </w:pPr>
      <w:r>
        <w:t>Lo que se plantea en realidad por la Comunidad Autónoma recurrente es una posible vulneración del principio de autonomía local e indirectamente de la competencia legislativa en materia de régimen local en la medida en que las Comunidades Autónomas en ejercicio de esa competencia pueden crear entes locales con intereses en la materia de aguas —por ejemplo, comarcas o entidades metropolitanas— que sin embargo no tienen prevista su participación en el comité de autoridades competentes.</w:t>
      </w:r>
    </w:p>
    <w:p w:rsidR="0026452D" w:rsidRDefault="0026452D" w:rsidP="0026452D">
      <w:pPr>
        <w:pStyle w:val="TextoNormal"/>
      </w:pPr>
    </w:p>
    <w:p w:rsidR="0026452D" w:rsidRDefault="0026452D" w:rsidP="0026452D">
      <w:pPr>
        <w:pStyle w:val="TextoNormal"/>
      </w:pPr>
      <w:r>
        <w:t>Esta queja debe ser rechazada. El hecho de que sólo formen parte del comité de autoridades competentes los entes locales representados a través de las federaciones territoriales de municipios no vulnera la competencia legislativa de las Comunidades Autónomas en materia de régimen local, que podrán crear, conforme a lo dispuesto en el art. 141.3 CE, agrupaciones de municipios diferentes de la provincia. El comité de autoridades competentes es un órgano específicamente encargado de garantizar la adecuada cooperación en la aplicación de las normas de protección de las aguas establecido únicamente para las demarcaciones con cuencas intercomunitarias. Aunque pudiera ser aconsejable que en dicho órgano estuvieran presentes todos los entes locales con intereses en la materia, debe atenderse, como señalamos en la STC 214/1989, de 21 de diciembre, FJ 29, a la propia eficacia y operatividad de los órganos de colaboración que aglutinan a diversas instancias políticas y administrativas, pues “sin duda, los mecanismos de cooperación y colaboración no se agotan en la creación de órganos colegiados, … lo cual abunda en el criterio de la necesidad de extremar cautelas, por meras razones de economía y eficacia administrativa, en orden a la institución y puesta en funcionamiento de ese tipo de manifestaciones orgánicas”.</w:t>
      </w:r>
    </w:p>
    <w:p w:rsidR="0026452D" w:rsidRDefault="0026452D" w:rsidP="0026452D">
      <w:pPr>
        <w:pStyle w:val="TextoNormal"/>
      </w:pPr>
    </w:p>
    <w:p w:rsidR="0026452D" w:rsidRDefault="0026452D" w:rsidP="0026452D">
      <w:pPr>
        <w:pStyle w:val="TextoNormal"/>
      </w:pPr>
      <w:r>
        <w:t>El legislador ha optado, en este caso, por restringir la participación en el órgano colegiado a los entes locales representados a través de las federaciones territoriales de municipios, previsiblemente en aras a lograr una mayor efectividad en su actuación, pero, en última instancia, cualquiera que sea el juicio o valoración que ello pueda merecer, con tal determinación no se han vulnerado las competencias de las Comunidades Autónomas en materia de régimen local. Es más, en la medida en que las entidades locales, distintas de los municipios, que pueden crearse por las Comunidades Autónomas son en realidad agrupaciones de municipios —comarcas, entidades metropolitanas— no puede negarse que dichos entes tienen una vía para expresar sus intereses en el citado Comité a través de los correspondientes municipios.</w:t>
      </w:r>
    </w:p>
    <w:p w:rsidR="0026452D" w:rsidRDefault="0026452D" w:rsidP="0026452D">
      <w:pPr>
        <w:pStyle w:val="TextoNormal"/>
      </w:pPr>
    </w:p>
    <w:p w:rsidR="0026452D" w:rsidRDefault="0026452D" w:rsidP="0026452D">
      <w:pPr>
        <w:pStyle w:val="TextoNormal"/>
      </w:pPr>
      <w:r w:rsidRPr="0026452D">
        <w:rPr>
          <w:rStyle w:val="NumeroAFNegritaCaracter"/>
        </w:rPr>
        <w:t>9</w:t>
      </w:r>
      <w:r>
        <w:t>. Por último, la Comunidad Autónoma recurrente considera inconstitucional el mecanismo de imputación de responsabilidad que establece el art. 121 bis del texto refundido de la Ley de aguas. Dicho precepto dispone lo siguiente:</w:t>
      </w:r>
    </w:p>
    <w:p w:rsidR="0026452D" w:rsidRDefault="0026452D" w:rsidP="0026452D">
      <w:pPr>
        <w:pStyle w:val="TextoNormal"/>
      </w:pPr>
    </w:p>
    <w:p w:rsidR="0026452D" w:rsidRDefault="0026452D" w:rsidP="0026452D">
      <w:pPr>
        <w:pStyle w:val="TextoNormal"/>
      </w:pPr>
      <w:r>
        <w:lastRenderedPageBreak/>
        <w:t>“Las Administraciones Públicas competentes en cada demarcación hidrográfica, que incumplieran los objetivos ambientales fijados en la planificación hidrológica o el deber de informar sobre estas cuestiones, dando lugar a que el Reino de España sea sancionado por las instituciones europeas, asumirán en la parte que le sea imputable las responsabilidades que de tal incumplimiento se hubieran derivado. En el procedimiento de imputación de responsabilidad que se tramite se garantizará, en todo caso, la audiencia de la Administración afectada, pudiendo compensarse el importe que se determine con cargo a las transferencias financieras que la misma reciba.”</w:t>
      </w:r>
    </w:p>
    <w:p w:rsidR="0026452D" w:rsidRDefault="0026452D" w:rsidP="0026452D">
      <w:pPr>
        <w:pStyle w:val="TextoNormal"/>
      </w:pPr>
    </w:p>
    <w:p w:rsidR="0026452D" w:rsidRDefault="0026452D" w:rsidP="0026452D">
      <w:pPr>
        <w:pStyle w:val="TextoNormal"/>
      </w:pPr>
      <w:r>
        <w:t>Afirma el Letrado de la Junta de Comunidades de Castilla-La Mancha que el nuevo art. 121 bis se enmarca en una línea legislativa que pretende consagrar formalmente la posibilidad de repercutir en las Comunidades Autónomas responsabilidades pecuniarias que pudieran derivarse del incumplimiento de obligaciones derivadas de la pertenencia a la Unión Europea. Señala que el precepto no se limita a formular el principio de responsabilidad de quien incumple sino que va mucho más allá creando un auténtico control sin cobertura constitucional y regulándolo de manera incompleta. Añade que aunque el precepto no lo diga expresamente, el legislador está pensando en que es la Administración del Estado la que, en cada caso, debe determinar si existe responsabilidad por parte de alguna otra Administración pública y, en su caso, hasta dónde alcanza dicha responsabilidad. A su juicio, no cabe duda de que se está ante un procedimiento sancionador, aunque sea en el seno de relaciones interadministrativas. Insiste en la idea de que el nuevo art. 121 bis introduce un mecanismo de control que no encaja en ninguna de las previsiones de los arts. 153 y 155 CE, porque ninguna de ellas atribuye a la Administración General del Estado el ejercicio de un control. Añade que el art. 121 bis hace caso omiso del deber de cooperación entre el Estado y las Comunidades Autónomas que se impone a ambos a la hora de ejecutar el Derecho europeo, y hace caso omiso de los instrumentos existentes para hacer efectivos ese deber, configurando a la Administración del Estado como un aparato meramente de represión de conductas políticas y de recaudación de cantidades que han salido de sus cuentas, con el fin de compensar el déficit que ello le haya generado.</w:t>
      </w:r>
    </w:p>
    <w:p w:rsidR="0026452D" w:rsidRDefault="0026452D" w:rsidP="0026452D">
      <w:pPr>
        <w:pStyle w:val="TextoNormal"/>
      </w:pPr>
    </w:p>
    <w:p w:rsidR="0026452D" w:rsidRDefault="0026452D" w:rsidP="0026452D">
      <w:pPr>
        <w:pStyle w:val="TextoNormal"/>
      </w:pPr>
      <w:r>
        <w:t xml:space="preserve">También este reproche debe ser desestimado. Este Tribunal ha afirmado que, aunque la responsabilidad </w:t>
      </w:r>
      <w:r w:rsidRPr="0026452D">
        <w:rPr>
          <w:i/>
        </w:rPr>
        <w:t>ad extra</w:t>
      </w:r>
      <w:r>
        <w:t xml:space="preserve"> de la Administración estatal por incumplimientos del Derecho de la Unión Europea no justifica la asunción de una competencia que no le corresponde, “tampoco le impide repercutir </w:t>
      </w:r>
      <w:r w:rsidRPr="0026452D">
        <w:rPr>
          <w:i/>
        </w:rPr>
        <w:t>ad intra</w:t>
      </w:r>
      <w:r>
        <w:t>, sobre las Administraciones públicas autonómicas competentes, la responsabilidad que en cada caso proceda” (SSTC 79/1992, de 28 de mayo, FJ 5; 148/1998, de 2 de julio, FJ 8; o 96/2002, de 25 de abril, FJ 10). De acuerdo con nuestra jurisprudencia, reiterada en la STC 198/2011, de 13 de diciembre, FJ 15, respecto del art. 11 de la Ley 18/2001, de 12 de diciembre, general de estabilidad presupuestaria, que tiene una redacción muy similar al precepto aquí cuestionado, corresponde al Estado, no sólo establecer los sistemas de coordinación y cooperación que permitan evitar las irregularidades o las carencias en el cumplimiento de la normativa europea, sino también “los sistemas de compensación interadministrativa de la responsabilidad financiera que pudiera generarse para el propio Estado en el caso de que dichas irregularidades o carencias se produjeran efectivamente y así se constatara por las instituciones comunitarias” (STC 148/1998, de 2 de julio, FJ 8). Con base en esta doctrina se debe desestimar la impugnación del art. 121 bis.</w:t>
      </w:r>
    </w:p>
    <w:p w:rsidR="0026452D" w:rsidRDefault="0026452D" w:rsidP="0026452D">
      <w:pPr>
        <w:pStyle w:val="TextoNormal"/>
      </w:pPr>
    </w:p>
    <w:p w:rsidR="0026452D" w:rsidRDefault="0026452D" w:rsidP="0026452D">
      <w:pPr>
        <w:pStyle w:val="TextoNormalCentrado"/>
        <w:keepNext/>
      </w:pPr>
      <w:r>
        <w:lastRenderedPageBreak/>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recurso de inconstitucionalidad interpuesto contra el art. 129 de la Ley 62/2003, de 30 de diciembre, de medidas fiscales, administrativas y del orden social.</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40" w:name="SENTENCIA_2013_37"/>
      <w:r>
        <w:lastRenderedPageBreak/>
        <w:t>SENTENCIA 37/2013, de 14 de febrero de 2013</w:t>
      </w:r>
    </w:p>
    <w:bookmarkEnd w:id="40"/>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ECLI:ES:TC:2013:37</w:t>
      </w:r>
    </w:p>
    <w:p w:rsidR="0026452D" w:rsidRDefault="0026452D" w:rsidP="0026452D">
      <w:pPr>
        <w:pStyle w:val="SntesisDescriptiva"/>
      </w:pPr>
    </w:p>
    <w:p w:rsidR="0026452D" w:rsidRDefault="0026452D" w:rsidP="0026452D">
      <w:pPr>
        <w:pStyle w:val="SntesisDescriptiva"/>
      </w:pPr>
      <w:r>
        <w:t>Conflicto positivo de competencia 7526-2004. Planteado por el Consejo de Gobierno de la Comunidad de Madrid, en relación con diversos apartados de la Orden TAS/2783/2004, de 30 de julio, por la que se establecen las bases reguladoras para la concesión de subvenciones públicas mediante contratos programa para la formación de trabajadores, en desarrollo del Real Decreto 1046/2003, de 1 de agosto, por el que se regula el subsistema de formación profesional continua.</w:t>
      </w:r>
    </w:p>
    <w:p w:rsidR="0026452D" w:rsidRDefault="0026452D" w:rsidP="0026452D">
      <w:pPr>
        <w:pStyle w:val="SntesisDescriptiva"/>
      </w:pPr>
    </w:p>
    <w:p w:rsidR="0026452D" w:rsidRDefault="0026452D" w:rsidP="0026452D">
      <w:pPr>
        <w:pStyle w:val="SntesisAnaltica"/>
      </w:pPr>
      <w:r>
        <w:t>Competencias en materia laboral: pérdida parcial de objeto del conflicto positivo de competencia, adecuado ejercicio de las competencias estatales (STC 244/2012).</w:t>
      </w:r>
    </w:p>
    <w:p w:rsidR="0026452D" w:rsidRDefault="0026452D" w:rsidP="0026452D">
      <w:pPr>
        <w:pStyle w:val="SntesisAnaltica"/>
      </w:pPr>
    </w:p>
    <w:p w:rsidR="0026452D" w:rsidRDefault="0026452D" w:rsidP="0026452D">
      <w:pPr>
        <w:pStyle w:val="Extracto"/>
      </w:pPr>
      <w:r>
        <w:t>1.</w:t>
      </w:r>
      <w:r>
        <w:tab/>
        <w:t xml:space="preserve">La delimitación de competencias en el subsistema de formación profesional continua deriva de lo dispuesto en el art. 149.1.7 CE, que atribuye al Estado la competencia exclusiva en materia de legislación laboral, y de lo señalado en el art. 28.1.1.12 EAM, de conformidad con el cual corresponde a la Comunidad de Madrid la ejecución de la legislación del Estado en materia laboral (STC 244/2012) [FJ 4]. </w:t>
      </w:r>
    </w:p>
    <w:p w:rsidR="0026452D" w:rsidRDefault="0026452D" w:rsidP="0026452D">
      <w:pPr>
        <w:pStyle w:val="Extracto"/>
      </w:pPr>
    </w:p>
    <w:p w:rsidR="0026452D" w:rsidRDefault="0026452D" w:rsidP="0026452D">
      <w:pPr>
        <w:pStyle w:val="Extracto"/>
      </w:pPr>
      <w:r>
        <w:t>2.</w:t>
      </w:r>
      <w:r>
        <w:tab/>
        <w:t>Doctrina constitucional en materia de subvenciones (SSTC 179/1985, 13/1992, 77/2012) [FFJJ 4, 6].</w:t>
      </w:r>
    </w:p>
    <w:p w:rsidR="0026452D" w:rsidRDefault="0026452D" w:rsidP="0026452D">
      <w:pPr>
        <w:pStyle w:val="Extracto"/>
      </w:pPr>
    </w:p>
    <w:p w:rsidR="0026452D" w:rsidRDefault="0026452D" w:rsidP="0026452D">
      <w:pPr>
        <w:pStyle w:val="Extracto"/>
      </w:pPr>
      <w:r>
        <w:t>3.</w:t>
      </w:r>
      <w:r>
        <w:tab/>
        <w:t>Tratándose de subvenciones en materia laboral el Estado es competente para decidir qué entidades pueden ser beneficiarias de las ayudas, imponiéndoselo a las Comunidades Autónomas incluso respecto de las ayudas de ámbito autonómico, en la medida en que este aspecto se inserta en la función normativa de estas ayudas, que corresponde íntegramente al Estado (STC 13/1993) [FJ 5].</w:t>
      </w:r>
    </w:p>
    <w:p w:rsidR="0026452D" w:rsidRDefault="0026452D" w:rsidP="0026452D">
      <w:pPr>
        <w:pStyle w:val="Extracto"/>
      </w:pPr>
    </w:p>
    <w:p w:rsidR="0026452D" w:rsidRDefault="0026452D" w:rsidP="0026452D">
      <w:pPr>
        <w:pStyle w:val="Extracto"/>
      </w:pPr>
      <w:r>
        <w:t>4.</w:t>
      </w:r>
      <w:r>
        <w:tab/>
        <w:t>El Estado, aunque no le asistiese ninguna competencia genérica o específica en el ámbito de la presente controversia competencial, tiene competencia para regular los aspectos centrales del régimen subvencional, entre los que figura la determinación de las entidades y organizaciones solicitantes de la ayuda (SSTC 72/2012, 226/2012) [FJ 5].</w:t>
      </w:r>
    </w:p>
    <w:p w:rsidR="0026452D" w:rsidRDefault="0026452D" w:rsidP="0026452D">
      <w:pPr>
        <w:pStyle w:val="Extracto"/>
      </w:pPr>
    </w:p>
    <w:p w:rsidR="0026452D" w:rsidRDefault="0026452D" w:rsidP="0026452D">
      <w:pPr>
        <w:pStyle w:val="Extracto"/>
      </w:pPr>
      <w:r>
        <w:t>5.</w:t>
      </w:r>
      <w:r>
        <w:tab/>
        <w:t>La facultad de gasto público, consecuencia lógica de la autonomía financiera, no es un título legitimador de la atribución de competencias (SSTC  95/1986, 36/2012) [FJ 6].</w:t>
      </w:r>
    </w:p>
    <w:p w:rsidR="0026452D" w:rsidRDefault="0026452D" w:rsidP="0026452D">
      <w:pPr>
        <w:pStyle w:val="Extracto"/>
      </w:pPr>
    </w:p>
    <w:p w:rsidR="0026452D" w:rsidRDefault="0026452D" w:rsidP="0026452D">
      <w:pPr>
        <w:pStyle w:val="Extracto"/>
      </w:pPr>
      <w:r>
        <w:t>6.</w:t>
      </w:r>
      <w:r>
        <w:tab/>
        <w:t>Aplica la doctrina sobre la constitucionalidad de la función atribuida a las comisiones paritarias sectoriales, al  no suscitar objeciones en cuanto se contraen al establecimiento o propuesta de criterios orientativos que no afectan al ámbito propio de la ejecución del subsistema de formación continua, de la STC 244/2012 [FJ 3].</w:t>
      </w:r>
    </w:p>
    <w:p w:rsidR="0026452D" w:rsidRDefault="0026452D" w:rsidP="0026452D">
      <w:pPr>
        <w:pStyle w:val="Extracto"/>
      </w:pPr>
    </w:p>
    <w:p w:rsidR="0026452D" w:rsidRDefault="0026452D" w:rsidP="0026452D">
      <w:pPr>
        <w:pStyle w:val="Extracto"/>
      </w:pPr>
      <w:r>
        <w:t>7.</w:t>
      </w:r>
      <w:r>
        <w:tab/>
        <w:t>Aplica la doctrina sobre la delimitación de competencias sobre formación profesional continua de trabajadores, según la cual la función normativa corresponde al Estado y la actividad ejecutiva o de gestión a las Comunidades Autónomas, de la STC 244/2012, cuya doctrina resulta de directa aplicación al supuesto que nos ocupa [FFJJ 3 a 5].</w:t>
      </w:r>
    </w:p>
    <w:p w:rsidR="0026452D" w:rsidRDefault="0026452D" w:rsidP="0026452D">
      <w:pPr>
        <w:pStyle w:val="Extracto"/>
      </w:pPr>
    </w:p>
    <w:p w:rsidR="0026452D" w:rsidRDefault="0026452D" w:rsidP="0026452D">
      <w:pPr>
        <w:pStyle w:val="Extracto"/>
      </w:pPr>
      <w:r>
        <w:t>8.</w:t>
      </w:r>
      <w:r>
        <w:tab/>
        <w:t>Doctrina sobre la pervivencia del objeto pese a la modificación de la norma en procesos constitucionales de naturaleza competencial cuando perviva la controversia competencial (SSTC 148/2012, 161/2012) [FJ 3].</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7526-2004 promovido por el Consejo de Gobierno de la Comunidad de Madrid, en relación con los apartados 2.1 b) y 5 de la Orden TAS/2783/2004, de 30 de julio, por la que se establecen las bases reguladoras para la concesión de subvenciones públicas mediante contratos programa para la formación de trabajadores, en desarrollo del Real Decreto 1046/2003, de 1 de agosto, por el que se regula el subsistema de formación profesional continua. Ha comparecido y formulado alegaciones el Abogado del Estado. Ha sido Ponente el Magistrado don Juan José González Rivas,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día 14 de diciembre de 2004 tuvo entrada en el Registro General de este Tribunal Constitucional, escrito del Letrado de la Comunidad de Madrid, por el que, en la representación que legalmente ostenta, interpone conflicto positivo de competencia, tramitado con el número 7526-2004, en relación con los apartados 2.1 b) y 5 de la Orden TAS/2783/2004, de 30 de julio, por la que se establecen las bases reguladoras para la concesión de subvenciones públicas mediante contratos programa para la formación de trabajadores, en desarrollo del Real Decreto 1046/2003, de 1 de agosto, por el que se regula el subsistema de formación profesional continua.</w:t>
      </w:r>
    </w:p>
    <w:p w:rsidR="0026452D" w:rsidRDefault="0026452D" w:rsidP="0026452D">
      <w:pPr>
        <w:pStyle w:val="TextoNormal"/>
      </w:pPr>
    </w:p>
    <w:p w:rsidR="0026452D" w:rsidRDefault="0026452D" w:rsidP="0026452D">
      <w:pPr>
        <w:pStyle w:val="TextoNormal"/>
      </w:pPr>
      <w:r>
        <w:lastRenderedPageBreak/>
        <w:t>Tras dar cuenta de las actuaciones procedimentales seguidas en la fase previa de requerimiento de incompetencia, el representante de la Comunidad Autónoma señala que la Orden TAS/2783/2004, de 30 de junio se dicta en desarrollo del Real Decreto 1046/2003, de 1 de agosto, y viene a regular una de las distintas iniciativas de formación continua contempladas en el mismo, en concreto, los contratos programa para la formación de los trabajadores a que se refieren los arts. 14 y 15 del Real Decreto 1046/2003, de 1 de agosto, siendo su objeto el de establecer las bases reguladoras para la concesión de subvenciones públicas mediante contratos programa.</w:t>
      </w:r>
    </w:p>
    <w:p w:rsidR="0026452D" w:rsidRDefault="0026452D" w:rsidP="0026452D">
      <w:pPr>
        <w:pStyle w:val="TextoNormal"/>
      </w:pPr>
    </w:p>
    <w:p w:rsidR="0026452D" w:rsidRDefault="0026452D" w:rsidP="0026452D">
      <w:pPr>
        <w:pStyle w:val="TextoNormal"/>
      </w:pPr>
      <w:r>
        <w:t>A juicio de la Comunidad Autónoma, la materia regulada se encuadra competencialmente en el ámbito de lo dispuesto en el art. 149.1.7 CE y art. 28.1.1.12 del Estatuto de Autonomía de la Comunidad de Madrid, en virtud de los cuales, corresponde al Estado la competencia exclusiva en materia de “legislación laboral” y a la Comunidad Autónoma la ejecución de la legislación estatal.</w:t>
      </w:r>
    </w:p>
    <w:p w:rsidR="0026452D" w:rsidRDefault="0026452D" w:rsidP="0026452D">
      <w:pPr>
        <w:pStyle w:val="TextoNormal"/>
      </w:pPr>
    </w:p>
    <w:p w:rsidR="0026452D" w:rsidRDefault="0026452D" w:rsidP="0026452D">
      <w:pPr>
        <w:pStyle w:val="TextoNormal"/>
      </w:pPr>
      <w:r>
        <w:t>La orden objeto del presente conflicto incide directamente sobre las competencias de ejecución y gestión de la Comunidad de Madrid, en dos aspectos concretos: en primer lugar, al condicionar los contratos programa de carácter autonómico y sectorial a la negociación colectiva estatal, evitando la participación de la Comunidad de Madrid en una parte fundamental, la que se refiere a los sectores productivos de su territorio; y en segundo término, al imponer a las Comunidades Autónomas, de forma taxativa y excluyente, las entidades beneficiarias, a través de las cuales se ha de llevar a cabo la “ejecución” de los planes de formación continua mediante la suscripción de contratos programa.</w:t>
      </w:r>
    </w:p>
    <w:p w:rsidR="0026452D" w:rsidRDefault="0026452D" w:rsidP="0026452D">
      <w:pPr>
        <w:pStyle w:val="TextoNormal"/>
      </w:pPr>
    </w:p>
    <w:p w:rsidR="0026452D" w:rsidRDefault="0026452D" w:rsidP="0026452D">
      <w:pPr>
        <w:pStyle w:val="TextoNormal"/>
      </w:pPr>
      <w:r>
        <w:t>Ambos aspectos suponen la implantación de un sistema de gestión centralizada de la formación continua de los trabajadores ocupados, que resulta contrario a lo señalado por el Tribunal Constitucional en su Sentencia 95/2002, de 25 de abril, en cuanto determinan una intervención genérica u horizontal que se proyecta sobre toda la función gestora, intervención para la que el Estado no está habilitado constitucionalmente.</w:t>
      </w:r>
    </w:p>
    <w:p w:rsidR="0026452D" w:rsidRDefault="0026452D" w:rsidP="0026452D">
      <w:pPr>
        <w:pStyle w:val="TextoNormal"/>
      </w:pPr>
    </w:p>
    <w:p w:rsidR="0026452D" w:rsidRDefault="0026452D" w:rsidP="0026452D">
      <w:pPr>
        <w:pStyle w:val="TextoNormal"/>
      </w:pPr>
      <w:r>
        <w:t>En concreto, considera la representación autonómica que el apartado 2.1 b) restringe su autonomía política y su capacidad de autogobierno, vulnerando el orden constitucional de distribución de competencias, pues las Comunidades Autónomas en general, y la Comunidad de Madrid en particular, deben atenerse a la limitación que para la suscripción de contratos programa de carácter autonómico impone la orden, al condicionarlo a la negociación colectiva estatal, y al cumplimiento de alguno de los requisitos previstos en el citado apartado, con lo que se restringe la participación de las Comunidades Autónomas en la determinación de los sectores representativos de su ámbito territorial. En definitiva, se hacen depender los contratos programa de ámbito autonómico, de lo que pueda resultar de la negociación colectiva estatal, hecho que supone la asunción por parte del Estado de competencias de ejecución y de funciones de gestión de las subvenciones, vaciando de contenido las competencias autonómicas. A ello se añade que la restricción en relación con la posibilidad de que las Comunidades Autónomas puedan suscribir contratos programa para la ejecución de planes de formación continua sectoriales, supeditándola a la concurrencia de alguno de los dos requisitos o supuestos que contempla el precepto, no aparece recogida en el Real Decreto 1046/2003, de 1 de agosto, que la orden desarrolla.</w:t>
      </w:r>
    </w:p>
    <w:p w:rsidR="0026452D" w:rsidRDefault="0026452D" w:rsidP="0026452D">
      <w:pPr>
        <w:pStyle w:val="TextoNormal"/>
      </w:pPr>
    </w:p>
    <w:p w:rsidR="0026452D" w:rsidRDefault="0026452D" w:rsidP="0026452D">
      <w:pPr>
        <w:pStyle w:val="TextoNormal"/>
      </w:pPr>
      <w:r>
        <w:lastRenderedPageBreak/>
        <w:t>A juicio de la Comunidad Autónoma, las subvenciones públicas a otorgar mediante la suscripción de contratos programa se incardinan en el tercero de los supuestos previstos en el fundamento jurídico 8 de la STC 13/1992, de 6 de febrero, que admite que el Estado puede extenderse en la regulación de detalle respecto del destino, condiciones y tramitación de las subvenciones, dejando a salvo la potestad autonómica de autoorganización de los servicios, siendo así que en el presente supuesto se recoge una especificación de las subvenciones en tal grado de concreción y detalle, que se priva a la Comunidad Autónoma de desarrollar, en el sector subvencionado, una política orientada a la satisfacción de sus intereses peculiares.</w:t>
      </w:r>
    </w:p>
    <w:p w:rsidR="0026452D" w:rsidRDefault="0026452D" w:rsidP="0026452D">
      <w:pPr>
        <w:pStyle w:val="TextoNormal"/>
      </w:pPr>
    </w:p>
    <w:p w:rsidR="0026452D" w:rsidRDefault="0026452D" w:rsidP="0026452D">
      <w:pPr>
        <w:pStyle w:val="TextoNormal"/>
      </w:pPr>
      <w:r>
        <w:t>En lo que respecta al apartado 5, el representante autonómico afirma que la determinación por parte del Estado, con carácter exclusivo y excluyente, de las entidades beneficiarias de la concesión de subvenciones públicas para la ejecución de planes de formación continua (organizaciones empresariales y sindicales, que realmente son entidades intermediarias, pues a través de ellas se ejecutan los plantes de formación) impide a las Comunidades Autónomas gestionar las acciones de formación profesional continua, pues la entidad que ha de ejecutar la formación continua viene impuesta por el Estado, incidiendo la Administración estatal en un ámbito que no es de normación o legislación, sino claramente de ejecución, lo que excluye el ejercicio por las Comunidades Autónomas de las funciones inherentes a la actuación administrativa precisa para la gestión y concesión de estas ayudas.</w:t>
      </w:r>
    </w:p>
    <w:p w:rsidR="0026452D" w:rsidRDefault="0026452D" w:rsidP="0026452D">
      <w:pPr>
        <w:pStyle w:val="TextoNormal"/>
      </w:pPr>
    </w:p>
    <w:p w:rsidR="0026452D" w:rsidRDefault="0026452D" w:rsidP="0026452D">
      <w:pPr>
        <w:pStyle w:val="TextoNormal"/>
      </w:pPr>
      <w:r>
        <w:t>Por último el Letrado de la Comunidad Autónoma alega la violación del principio de autonomía financiera de la Comunidad de Madrid, considerando que dicho principio se configura como una garantía que exige la plena disposición de los medios financieros para poder ejercer sin condicionamientos indebidos y en toda su extensión las competencias propias. Los preceptos objeto del conflicto inciden en el ámbito de dicha autonomía financiera, restringiendo la libertad de la Comunidad de Madrid para la fijación de la orientación del gasto público en esta materia y limitando las posibilidades de distribución del mismo dentro del marco de sus competencias.</w:t>
      </w:r>
    </w:p>
    <w:p w:rsidR="0026452D" w:rsidRDefault="0026452D" w:rsidP="0026452D">
      <w:pPr>
        <w:pStyle w:val="TextoNormal"/>
      </w:pPr>
    </w:p>
    <w:p w:rsidR="0026452D" w:rsidRDefault="0026452D" w:rsidP="0026452D">
      <w:pPr>
        <w:pStyle w:val="TextoNormal"/>
      </w:pPr>
      <w:r w:rsidRPr="0026452D">
        <w:rPr>
          <w:rStyle w:val="NumeroAFNegritaCaracter"/>
        </w:rPr>
        <w:t>2</w:t>
      </w:r>
      <w:r>
        <w:t>. Este Tribunal, mediante providencia de la Sección Segunda de 18 de enero de 2005, admitió a trámite el conflicto positivo de competencia promovido por el Consejo de Gobierno de la Comunidad de Madrid, acordando dar traslado de las actuaciones al Gobierno de la Nación, por conducto de su Presidente, al objeto de que en el plazo de veinte días, y por medio de la representación procesal que señala el art. 82.2 de la Ley Orgánica del Tribunal Constitucional (LOTC) pudiera personarse en los autos y aportar cuantos documentos y alegaciones considerase convenientes. Se acordó asimismo comunicar la incoación del conflicto a la Sala de lo Contencioso-Administrativo del Tribunal Supremo por si ante la misma estuviera impugnado o se impugnara el referido real decreto, en cuyo caso se suspendería el curso del proceso hasta la decisión del conflicto, así como publicar la incoación del conflicto en el “Boletín Oficial del Estado” y en el “Boletín Oficial de la Comunidad de Madrid”.</w:t>
      </w:r>
    </w:p>
    <w:p w:rsidR="0026452D" w:rsidRDefault="0026452D" w:rsidP="0026452D">
      <w:pPr>
        <w:pStyle w:val="TextoNormal"/>
      </w:pPr>
    </w:p>
    <w:p w:rsidR="0026452D" w:rsidRDefault="0026452D" w:rsidP="0026452D">
      <w:pPr>
        <w:pStyle w:val="TextoNormal"/>
      </w:pPr>
      <w:r w:rsidRPr="0026452D">
        <w:rPr>
          <w:rStyle w:val="NumeroAFNegritaCaracter"/>
        </w:rPr>
        <w:t>3</w:t>
      </w:r>
      <w:r>
        <w:t>. El 25 de febrero de 2005 tuvo entrada en este Tribunal escrito de alegaciones del Abogado del Estado en el que solicita se tenga por evacuado el trámite conferido y, en su día, se dicte Sentencia desestimatoria de la demanda, declarando la titularidad estatal de las competencias controvertidas.</w:t>
      </w:r>
    </w:p>
    <w:p w:rsidR="0026452D" w:rsidRDefault="0026452D" w:rsidP="0026452D">
      <w:pPr>
        <w:pStyle w:val="TextoNormal"/>
      </w:pPr>
    </w:p>
    <w:p w:rsidR="0026452D" w:rsidRDefault="0026452D" w:rsidP="0026452D">
      <w:pPr>
        <w:pStyle w:val="TextoNormal"/>
      </w:pPr>
      <w:r>
        <w:lastRenderedPageBreak/>
        <w:t>El Abogado del Estado comienza recordando que el requerimiento previo formulado por el Consejo de Gobierno fue parcialmente aceptado por el Gobierno de la Nación y ello entraña que el objeto del presente proceso haya pasado a reducirse a las pretensiones no acogidas en fase de requerimiento. A su juicio, el acuerdo del Consejo de Ministros de aceptación parcial del requerimiento reconoce la competencia de ejecución de la Comunidad demandante en mucha mayor medida que la reflejada en la demanda, por lo que puede llegar a inferirse que la promoción del conflicto no pretende sino restringir el legítimo ejercicio por el Estado de su competencia exclusiva sobre la legislación laboral.</w:t>
      </w:r>
    </w:p>
    <w:p w:rsidR="0026452D" w:rsidRDefault="0026452D" w:rsidP="0026452D">
      <w:pPr>
        <w:pStyle w:val="TextoNormal"/>
      </w:pPr>
    </w:p>
    <w:p w:rsidR="0026452D" w:rsidRDefault="0026452D" w:rsidP="0026452D">
      <w:pPr>
        <w:pStyle w:val="TextoNormal"/>
      </w:pPr>
      <w:r>
        <w:t>La Abogacía del Estado considera que la competencia estatal se asienta tanto en el art. 149.1.1 CE, en relación con los arts. 40.1 y 138.1 CE, como en el art. 149.1.7 y 13 CE, si bien afirma a continuación que la disposición en conflicto debe ser constitucionalmente medida con las normas constitucionales y estatutarias en materia laboral (art. 149.1.7 CE y art. 28.1.12 del Estatuto de Autonomía de la Comunidad de Madrid), recordando que el Tribunal Constitucional en sus Sentencias 95/2002, de 25 de abril, y 190/2002, de 17 de octubre, a la hora de establecer el título competencial con el que debería identificarse la formación continua de los trabajadores ocupados optó por incardinarla en la materia laboral, al constituir un derecho concreto de los trabajadores en el seno de la relación laboral, de suerte que el precepto constitucional que ampara la competencia para legislar sobre la actividad es el art. 149.1.7 de nuestra norma suprema.</w:t>
      </w:r>
    </w:p>
    <w:p w:rsidR="0026452D" w:rsidRDefault="0026452D" w:rsidP="0026452D">
      <w:pPr>
        <w:pStyle w:val="TextoNormal"/>
      </w:pPr>
    </w:p>
    <w:p w:rsidR="0026452D" w:rsidRDefault="0026452D" w:rsidP="0026452D">
      <w:pPr>
        <w:pStyle w:val="TextoNormal"/>
      </w:pPr>
      <w:r>
        <w:t>La orden impugnada encuentra además cobertura constitucional en la competencia estatal de ordenación y dirección general de la economía (art. 149.1.13 CE) por lo que procede asimismo valorar la doctrina constitucional sobre el poder de gasto del Estado, en cuanto el contenido de la orden constituye un supuesto de potestad subvencional, al que resulta de aplicación la doctrina constitucional recapitulada en la STC 13/1992, de 6 de febrero, siendo de aplicación el tercero de los supuestos contenidos en la Sentencia. En este sentido, la competencia estatal para establecer las bases reguladoras para la concesión de subvenciones públicas mediante contratos programa para la formación de trabajadores resulta correctamente ejercitada en orden a asegurar la plena efectividad de la medida de política de empleo y a garantizar las mismas posibilidades de obtención y disfrute de las ayudas por parte de sus destinatarios potenciales en todo el territorio nacional.</w:t>
      </w:r>
    </w:p>
    <w:p w:rsidR="0026452D" w:rsidRDefault="0026452D" w:rsidP="0026452D">
      <w:pPr>
        <w:pStyle w:val="TextoNormal"/>
      </w:pPr>
    </w:p>
    <w:p w:rsidR="0026452D" w:rsidRDefault="0026452D" w:rsidP="0026452D">
      <w:pPr>
        <w:pStyle w:val="TextoNormal"/>
      </w:pPr>
      <w:r>
        <w:t xml:space="preserve">En relación a las tachas de inconstitucionalidad esgrimidas respecto del apartado 2.1 b), el representante estatal considera que la formación continua como instrumento de promoción del empleo y como derecho de los trabajadores no puede ser desconocido por los acuerdos con rango de ley que regulan los derechos de los trabajadores en una determinado sector, y que son convenios colectivos sectoriales. Tales convenios se encargan también de regular aspectos relativos a la formación continua, teniendo para ello en consideración las necesidades y peculiaridades del sector de que se trate, necesidades que adquieren una dimensión que sólo puede resultar correctamente atendida a través de la negociación colectiva estatal, cuyo previo acuerdo a la suscripción de estos contratos programa facilitará que aquéllas se vean satisfechas pese a tratarse de un plan circunscrito a una determinada Comunidad Autónoma o de una suma de planes de ámbito autonómico. Las exigencia contenidas en este apartado han sido dictadas por el Estado en ejercicio de su competencia exclusiva sobre la legislación laboral, tratando con ello de trasladar las peculiaridades y necesidades de un sector determinado a todos los planes de formación sectoriales de carácter autonómico diseñados por las organizaciones empresariales y sindicales más representativas a dicho nivel, </w:t>
      </w:r>
      <w:r>
        <w:lastRenderedPageBreak/>
        <w:t>en un intento de dotar al sector de una formación continua específica y homogénea, pues la promoción profesional y la competitividad del mercado transcienden de las características propias de un mercado laboral circunscrito a un ámbito local. Con ello no se restringen las posibilidades de la Comunidad de Madrid para determinar los sectores representativos en su ámbito territorial, pues el establecimiento de este tipo de contratos programa y sus requisitos no vulnera las competencias ejecutivas o de gestión de la demandante, dado que el Estado ni siquiera interviene en la negociación colectiva estatal, siendo a los agentes sociales a quienes incumbe participar en dicha negociación.</w:t>
      </w:r>
    </w:p>
    <w:p w:rsidR="0026452D" w:rsidRDefault="0026452D" w:rsidP="0026452D">
      <w:pPr>
        <w:pStyle w:val="TextoNormal"/>
      </w:pPr>
    </w:p>
    <w:p w:rsidR="0026452D" w:rsidRDefault="0026452D" w:rsidP="0026452D">
      <w:pPr>
        <w:pStyle w:val="TextoNormal"/>
      </w:pPr>
      <w:r>
        <w:t>En cuanto a la relación de entidades beneficiarias que incluye el apartado 5, se estima que el mismo ha sido también dictado en ejercicio de las competencias que sobre legislación laboral incumben al Estado, sin que dicha previsión se incardine entre las competencias ejecutivas de las Comunidades Autónomas. Para el representante estatal, la argumentación esgrimida por la Administración autonómica parece confundir la competencia de gestión atribuida a ésta, con la figura del particular beneficiario al que corresponde por su propia condición de tal, desarrollar el plan de formación, pues olvida que ambos llevan a cabo actuaciones que se desarrollan en planos distintos: la actividad pública de gestión a cargo de la Administración autonómica, y la actividad privada de gestión de la actividad subvencionada a cargo del beneficiario de la subvención. Se niega por último la vulneración del principio de autonomía financiera, puesto que disponiendo el Estado de título competencial suficiente para comprometer sus recursos en esta materia, las previsiones impugnadas en nada vienen a vulnerar el mencionado principio.</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27 de septiembre de 2005, la Sección Segunda acuerda, de conformidad con lo dispuesto en el art. 84 LOTC, oír a las partes personadas por término de diez días, para que aleguen sobre la pérdida de objeto del presente conflicto positivo de competencia a la vista de las Órdenes TAS/2094/2005, de 17 de junio, y TAS/2562/2005, de 28 de julio, por las que se modifica la Orden TAS/2783/2004, de 30 de julio, de la que trae causa el presente conflicto.</w:t>
      </w:r>
    </w:p>
    <w:p w:rsidR="0026452D" w:rsidRDefault="0026452D" w:rsidP="0026452D">
      <w:pPr>
        <w:pStyle w:val="TextoNormal"/>
      </w:pPr>
    </w:p>
    <w:p w:rsidR="0026452D" w:rsidRDefault="0026452D" w:rsidP="0026452D">
      <w:pPr>
        <w:pStyle w:val="TextoNormal"/>
      </w:pPr>
      <w:r w:rsidRPr="0026452D">
        <w:rPr>
          <w:rStyle w:val="NumeroAFNegritaCaracter"/>
        </w:rPr>
        <w:t>5</w:t>
      </w:r>
      <w:r>
        <w:t>. En fecha 10 de octubre de 2005 tuvo entrada en este Tribunal el escrito de alegaciones evacuado por el Abogado del Estado, de acuerdo con la anterior providencia. A juicio de la representación estatal, las disposiciones reglamentarias a que alude la citada providencia inciden sólo en parte en la pervivencia del conflicto positivo de competencias planteado en su día, pues la Orden TAS/2094/2005 viene a modificar determinados preceptos, ninguno de los cuales resulta coincidente con los impugnados por la Comunidad de Madrid, por lo que no hace perder virtualidad al conflicto planteado; por su parte, la Orden TAS/2562/2005 tiene por objeto modificar el apartado 2.1 b) de la disposición objeto del conflicto, eliminando el requisito relativo al previo acuerdo de la negociación colectiva sectorial estatal así como los supuestos en los que cabe la suscripción de este tipo de contratos programa. Dado que la Comunidad Autónoma demandante fundamenta precisamente la tacha de inconstitucionalidad que dirige contra este apartado en el establecimiento de los citados requisitos y puesto que vienen a ser suprimidos, resulta manifiesto que el contenido de la modificación efectuada determina la extinción sobrevenida del objeto del proceso conflictual en relación con dicho apartado.</w:t>
      </w:r>
    </w:p>
    <w:p w:rsidR="0026452D" w:rsidRDefault="0026452D" w:rsidP="0026452D">
      <w:pPr>
        <w:pStyle w:val="TextoNormal"/>
      </w:pPr>
    </w:p>
    <w:p w:rsidR="0026452D" w:rsidRDefault="0026452D" w:rsidP="0026452D">
      <w:pPr>
        <w:pStyle w:val="TextoNormal"/>
      </w:pPr>
      <w:r>
        <w:t xml:space="preserve">En cuanto al apartado 5, permanece viva la controversia competencial suscitada, pues en nada afecta a dicho apartado la modificación contenida en la Orden TAS/2562/2005. En </w:t>
      </w:r>
      <w:r>
        <w:lastRenderedPageBreak/>
        <w:t>cuanto a la vulneración de la autonomía financiera de las Comunidades Autónomas de que acusa la demanda a los apartados impugnados, la denunciada vulneración no llega a desaparecer con la modificación introducida, lo que se traduce en la pervivencia de la controversia también en este punto.</w:t>
      </w:r>
    </w:p>
    <w:p w:rsidR="0026452D" w:rsidRDefault="0026452D" w:rsidP="0026452D">
      <w:pPr>
        <w:pStyle w:val="TextoNormal"/>
      </w:pPr>
    </w:p>
    <w:p w:rsidR="0026452D" w:rsidRDefault="0026452D" w:rsidP="0026452D">
      <w:pPr>
        <w:pStyle w:val="TextoNormal"/>
      </w:pPr>
      <w:r w:rsidRPr="0026452D">
        <w:rPr>
          <w:rStyle w:val="NumeroAFNegritaCaracter"/>
        </w:rPr>
        <w:t>6</w:t>
      </w:r>
      <w:r>
        <w:t>. En fecha 20 de octubre de 2005 tuvo entrada en el Registro General de este Tribunal el escrito de alegaciones del Letrado de la Comunidad de Madrid sobre la posible pérdida de objeto del conflicto.</w:t>
      </w:r>
    </w:p>
    <w:p w:rsidR="0026452D" w:rsidRDefault="0026452D" w:rsidP="0026452D">
      <w:pPr>
        <w:pStyle w:val="TextoNormal"/>
      </w:pPr>
    </w:p>
    <w:p w:rsidR="0026452D" w:rsidRDefault="0026452D" w:rsidP="0026452D">
      <w:pPr>
        <w:pStyle w:val="TextoNormal"/>
      </w:pPr>
      <w:r>
        <w:t>En relación a la disputa competencial suscitada respecto del apartado 2.1 b), la Comunidad de Madrid entiende que con la modificación operada por la Orden TAS 2562/2005, de 28 de julio, se da por parte del Estado una redacción conforme a algunas de las cuestiones suscitadas, en concreto las relativas a la tipología de los contratos programa, pero sin que exista pronunciamiento alguno sobre la titularidad competencial que origina el conflicto, por lo que se mantiene viva la disputa competencial. En relación con el apartado 5 de la orden objeto del conflicto, considera el Letrado autonómico que la regulación no se ha visto alterada en modo alguno por las nuevas órdenes de modificación parcial.</w:t>
      </w:r>
    </w:p>
    <w:p w:rsidR="0026452D" w:rsidRDefault="0026452D" w:rsidP="0026452D">
      <w:pPr>
        <w:pStyle w:val="TextoNormal"/>
      </w:pPr>
    </w:p>
    <w:p w:rsidR="0026452D" w:rsidRDefault="0026452D" w:rsidP="0026452D">
      <w:pPr>
        <w:pStyle w:val="TextoNormal"/>
      </w:pPr>
      <w:r w:rsidRPr="0026452D">
        <w:rPr>
          <w:rStyle w:val="NumeroAFNegritaCaracter"/>
        </w:rPr>
        <w:t>7</w:t>
      </w:r>
      <w:r>
        <w:t>. En fecha 7 de octubre de 2005 tuvo entrada en el Registro General de este Tribunal, oficio de la Sección Cuarta de la Sala de lo Contencioso-Administrativo de la Audiencia Nacional en el que se informa que por Auto de 28 de julio, se ha suspendido el procedimiento seguido frente a la Orden TAS/2783/2004, de 30 de julio, y se solicita que una vez resuelto el presente conflicto positivo de competencia se participe su resultado a ese órgano, a fin de que pueda alzarse la suspensión.</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12 de febrero de 2012 se acordó señalar para deliberación y votación de la presente Sentencia el día 14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 planteado por el Consejo de Gobierno de la Comunidad de Madrid en relación con los apartados 2.1 b) y 5 de la Orden TAS/2783/2004, de 30 de julio, por la que se establecen las bases reguladoras para la concesión de subvenciones públicas mediante contratos programa para la formación de trabajadores en desarrollo del Real Decreto 1046/2003, de 1 de agosto, por el que se regula el subsistema de formación profesional continua.</w:t>
      </w:r>
    </w:p>
    <w:p w:rsidR="0026452D" w:rsidRDefault="0026452D" w:rsidP="0026452D">
      <w:pPr>
        <w:pStyle w:val="TextoNormal"/>
      </w:pPr>
    </w:p>
    <w:p w:rsidR="0026452D" w:rsidRDefault="0026452D" w:rsidP="0026452D">
      <w:pPr>
        <w:pStyle w:val="TextoNormal"/>
      </w:pPr>
      <w:r>
        <w:t>Los preceptos impugnados tienen la siguiente redacción:</w:t>
      </w:r>
    </w:p>
    <w:p w:rsidR="0026452D" w:rsidRDefault="0026452D" w:rsidP="0026452D">
      <w:pPr>
        <w:pStyle w:val="TextoNormal"/>
      </w:pPr>
    </w:p>
    <w:p w:rsidR="0026452D" w:rsidRDefault="0026452D" w:rsidP="0026452D">
      <w:pPr>
        <w:pStyle w:val="TextoNormal"/>
      </w:pPr>
      <w:r>
        <w:t>a) Art. 2.1 b):</w:t>
      </w:r>
    </w:p>
    <w:p w:rsidR="0026452D" w:rsidRDefault="0026452D" w:rsidP="0026452D">
      <w:pPr>
        <w:pStyle w:val="TextoNormal"/>
      </w:pPr>
    </w:p>
    <w:p w:rsidR="0026452D" w:rsidRDefault="0026452D" w:rsidP="0026452D">
      <w:pPr>
        <w:pStyle w:val="TextoNormal"/>
      </w:pPr>
      <w:r>
        <w:t>“Segundo. Tipología y duración de los contratos programa.</w:t>
      </w:r>
    </w:p>
    <w:p w:rsidR="0026452D" w:rsidRDefault="0026452D" w:rsidP="0026452D">
      <w:pPr>
        <w:pStyle w:val="TextoNormal"/>
      </w:pPr>
    </w:p>
    <w:p w:rsidR="0026452D" w:rsidRDefault="0026452D" w:rsidP="0026452D">
      <w:pPr>
        <w:pStyle w:val="TextoNormal"/>
      </w:pPr>
      <w:r>
        <w:t>Uno. En función de los objetivos a cubrir y del ámbito o naturaleza de la formación, se establecen los siguientes tipos de contratos programa, tanto para el ámbito estatal como autonómico:</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b) Contratos programa para la ejecución de planes de formación amparados en la negociación colectiva de ámbito sectorial estatal, dirigidos a la formación de trabajadores de un sector productivo concreto, con el fin de desarrollar acciones formativas de interés general para dicho sector y satisfacer necesidades específicas de formación del mismo.</w:t>
      </w:r>
    </w:p>
    <w:p w:rsidR="0026452D" w:rsidRDefault="0026452D" w:rsidP="0026452D">
      <w:pPr>
        <w:pStyle w:val="TextoNormal"/>
      </w:pPr>
    </w:p>
    <w:p w:rsidR="0026452D" w:rsidRDefault="0026452D" w:rsidP="0026452D">
      <w:pPr>
        <w:pStyle w:val="TextoNormal"/>
      </w:pPr>
      <w:r>
        <w:t>En el ámbito autonómico, podrán suscribirse contratos programa para la ejecución de planes de formación continua sectoriales cuando, contando con el acuerdo de la negociación colectiva sectorial estatal, concurra alguno de los siguientes supuestos:</w:t>
      </w:r>
    </w:p>
    <w:p w:rsidR="0026452D" w:rsidRDefault="0026452D" w:rsidP="0026452D">
      <w:pPr>
        <w:pStyle w:val="TextoNormal"/>
      </w:pPr>
    </w:p>
    <w:p w:rsidR="0026452D" w:rsidRDefault="0026452D" w:rsidP="0026452D">
      <w:pPr>
        <w:pStyle w:val="TextoNormal"/>
      </w:pPr>
      <w:r>
        <w:t>El sector tenga en el respectivo territorio un peso preponderante respecto al que tiene a nivel estatal.</w:t>
      </w:r>
    </w:p>
    <w:p w:rsidR="0026452D" w:rsidRDefault="0026452D" w:rsidP="0026452D">
      <w:pPr>
        <w:pStyle w:val="TextoNormal"/>
      </w:pPr>
    </w:p>
    <w:p w:rsidR="0026452D" w:rsidRDefault="0026452D" w:rsidP="0026452D">
      <w:pPr>
        <w:pStyle w:val="TextoNormal"/>
      </w:pPr>
      <w:r>
        <w:t>La formación se presente como instrumento para la solución o cobertura de problemas o necesidades excepcionales y de crisis de un determinado sector.”</w:t>
      </w:r>
    </w:p>
    <w:p w:rsidR="0026452D" w:rsidRDefault="0026452D" w:rsidP="0026452D">
      <w:pPr>
        <w:pStyle w:val="TextoNormal"/>
      </w:pPr>
    </w:p>
    <w:p w:rsidR="0026452D" w:rsidRDefault="0026452D" w:rsidP="0026452D">
      <w:pPr>
        <w:pStyle w:val="TextoNormal"/>
      </w:pPr>
      <w:r>
        <w:t>Tal precepto ha sido modificado por la Orden TAS/2562/2005, de 28 de julio (“BOE” de 5 de agosto de 2005) que señala:</w:t>
      </w:r>
    </w:p>
    <w:p w:rsidR="0026452D" w:rsidRDefault="0026452D" w:rsidP="0026452D">
      <w:pPr>
        <w:pStyle w:val="TextoNormal"/>
      </w:pPr>
    </w:p>
    <w:p w:rsidR="0026452D" w:rsidRDefault="0026452D" w:rsidP="0026452D">
      <w:pPr>
        <w:pStyle w:val="TextoNormal"/>
      </w:pPr>
      <w:r>
        <w:t>“Se modifica el apartado Segundo. Uno letra b) de la Orden TAS/2783/2004, de 30 de julio, por la que se establecen las bases reguladoras para la concesión de subvenciones públicas mediante contratos programa para la formación de los trabajadores, en desarrollo del Real Decreto 1046/2003, de 1 de agosto, por el que se regula el Subsistema de Formación Profesional Continua EDL 2004/78154 , que quedará redactado en los siguientes términos:</w:t>
      </w:r>
    </w:p>
    <w:p w:rsidR="0026452D" w:rsidRDefault="0026452D" w:rsidP="0026452D">
      <w:pPr>
        <w:pStyle w:val="TextoNormal"/>
      </w:pPr>
    </w:p>
    <w:p w:rsidR="0026452D" w:rsidRDefault="0026452D" w:rsidP="0026452D">
      <w:pPr>
        <w:pStyle w:val="TextoNormal"/>
      </w:pPr>
      <w:r>
        <w:t>b) Contratos programa para la ejecución de planes de formación amparados en la negociación colectiva de ámbito sectorial estatal, dirigidos a la formación de trabajadores de un sector productivo concreto, con el fin de desarrollar acciones formativas de interés general para dicho sector y satisfacer necesidades específicas de formación del mismo.</w:t>
      </w:r>
    </w:p>
    <w:p w:rsidR="0026452D" w:rsidRDefault="0026452D" w:rsidP="0026452D">
      <w:pPr>
        <w:pStyle w:val="TextoNormal"/>
      </w:pPr>
    </w:p>
    <w:p w:rsidR="0026452D" w:rsidRDefault="0026452D" w:rsidP="0026452D">
      <w:pPr>
        <w:pStyle w:val="TextoNormal"/>
      </w:pPr>
      <w:r>
        <w:t>En los ámbitos estatal y autonómico, los contratos programa para la ejecución de planes de formación continua sectoriales deberán respetar los criterios acordados en el marco de la negociación colectiva sectorial estatal, según lo previsto en el art. 19.2 c) del Real Decreto 1046/2003, de 1 de agosto, por el que se regula el subsistema de formación profesional continua.”</w:t>
      </w:r>
    </w:p>
    <w:p w:rsidR="0026452D" w:rsidRDefault="0026452D" w:rsidP="0026452D">
      <w:pPr>
        <w:pStyle w:val="TextoNormal"/>
      </w:pPr>
    </w:p>
    <w:p w:rsidR="0026452D" w:rsidRDefault="0026452D" w:rsidP="0026452D">
      <w:pPr>
        <w:pStyle w:val="TextoNormal"/>
      </w:pPr>
      <w:r>
        <w:t>b) El apartado 5 (“Entidades beneficiarias”) de la Orden TAS/2783/2004, de 30 de julio (“BOE” de 16 de agosto de 2004), señala:</w:t>
      </w:r>
    </w:p>
    <w:p w:rsidR="0026452D" w:rsidRDefault="0026452D" w:rsidP="0026452D">
      <w:pPr>
        <w:pStyle w:val="TextoNormal"/>
      </w:pPr>
    </w:p>
    <w:p w:rsidR="0026452D" w:rsidRDefault="0026452D" w:rsidP="0026452D">
      <w:pPr>
        <w:pStyle w:val="TextoNormal"/>
      </w:pPr>
      <w:r>
        <w:t>“Uno. Serán entidades beneficiarias de la concesión de subvenciones públicas para la ejecución de planes de formación continua mediante la suscripción de contratos programa, las siguientes:</w:t>
      </w:r>
    </w:p>
    <w:p w:rsidR="0026452D" w:rsidRDefault="0026452D" w:rsidP="0026452D">
      <w:pPr>
        <w:pStyle w:val="TextoNormal"/>
      </w:pPr>
    </w:p>
    <w:p w:rsidR="0026452D" w:rsidRDefault="0026452D" w:rsidP="0026452D">
      <w:pPr>
        <w:pStyle w:val="TextoNormal"/>
      </w:pPr>
      <w:r>
        <w:t>a) Para los contratos programa de ejecución de planes de formación intersectoriales, previstos en el apartado segundo, uno, letra a) de la presente Orden, las organizaciones empresariales y sindicales más representativas.</w:t>
      </w:r>
    </w:p>
    <w:p w:rsidR="0026452D" w:rsidRDefault="0026452D" w:rsidP="0026452D">
      <w:pPr>
        <w:pStyle w:val="TextoNormal"/>
      </w:pPr>
    </w:p>
    <w:p w:rsidR="0026452D" w:rsidRDefault="0026452D" w:rsidP="0026452D">
      <w:pPr>
        <w:pStyle w:val="TextoNormal"/>
      </w:pPr>
      <w:r>
        <w:t>b) Para los contratos programa de ejecución de planes de formación sectoriales, previstos en el apartado segundo, uno, letra b) de esta Orden, las entidades creadas al amparo de la negociación colectiva sectorial, así como las organizaciones empresariales o sindicales más representativas o representativas en el sector.</w:t>
      </w:r>
    </w:p>
    <w:p w:rsidR="0026452D" w:rsidRDefault="0026452D" w:rsidP="0026452D">
      <w:pPr>
        <w:pStyle w:val="TextoNormal"/>
      </w:pPr>
    </w:p>
    <w:p w:rsidR="0026452D" w:rsidRDefault="0026452D" w:rsidP="0026452D">
      <w:pPr>
        <w:pStyle w:val="TextoNormal"/>
      </w:pPr>
      <w:r>
        <w:t>c) Para los contratos programa de ejecución de planes de la economía social, previstos en el apartado segundo, uno, letra c) de esta Orden, las confederaciones y federaciones de cooperativas y/o sociedades laborales con notable implantación en el correspondiente ámbito territorial. La notable implantación a que alude este párrafo se acreditará en la forma que determine la correspondiente convocatoria.</w:t>
      </w:r>
    </w:p>
    <w:p w:rsidR="0026452D" w:rsidRDefault="0026452D" w:rsidP="0026452D">
      <w:pPr>
        <w:pStyle w:val="TextoNormal"/>
      </w:pPr>
    </w:p>
    <w:p w:rsidR="0026452D" w:rsidRDefault="0026452D" w:rsidP="0026452D">
      <w:pPr>
        <w:pStyle w:val="TextoNormal"/>
      </w:pPr>
      <w:r>
        <w:t>d) Para los contratos programa de ejecución de planes formativos dirigidos a trabajadores autónomos, previstos en el apartado segundo, uno, letra d) de la presente norma, las asociaciones de trabajadores autónomos con carácter intersectorial que tengan suficiente implantación en el respectivo ámbito territorial, con experiencia acreditada en la gestión y desarrollo de acciones formativas por sí mismas o a través de sus organizaciones asociadas y se hallen legalmente constituidas con anterioridad a la fecha de publicación de la correspondiente convocatoria.</w:t>
      </w:r>
    </w:p>
    <w:p w:rsidR="0026452D" w:rsidRDefault="0026452D" w:rsidP="0026452D">
      <w:pPr>
        <w:pStyle w:val="TextoNormal"/>
      </w:pPr>
    </w:p>
    <w:p w:rsidR="0026452D" w:rsidRDefault="0026452D" w:rsidP="0026452D">
      <w:pPr>
        <w:pStyle w:val="TextoNormal"/>
      </w:pPr>
      <w:r>
        <w:t>Dos. De conformidad con lo establecido en el art. 11.2 de la Ley 38/2003, de 17 de noviembre, General de Subvenciones, los miembros asociados de la entidad beneficiaria que se comprometan a ejecutar la totalidad o parte del plan de formación en nombre y por cuenta de la misma tendrán igualmente la consideración de beneficiarios.</w:t>
      </w:r>
    </w:p>
    <w:p w:rsidR="0026452D" w:rsidRDefault="0026452D" w:rsidP="0026452D">
      <w:pPr>
        <w:pStyle w:val="TextoNormal"/>
      </w:pPr>
    </w:p>
    <w:p w:rsidR="0026452D" w:rsidRDefault="0026452D" w:rsidP="0026452D">
      <w:pPr>
        <w:pStyle w:val="TextoNormal"/>
      </w:pPr>
      <w:r>
        <w:t>Tres. De conformidad con lo establecido en el art. 11.3 de la Ley General de Subvenciones, tendrán asimismo la condición de beneficiarias, las agrupaciones formadas por las Entidades previstas en el punto 1 del presente apartado quinto con entidades vinculadas a las mismas, que tengan entre sus fines el desarrollo de actividades formativas.</w:t>
      </w:r>
    </w:p>
    <w:p w:rsidR="0026452D" w:rsidRDefault="0026452D" w:rsidP="0026452D">
      <w:pPr>
        <w:pStyle w:val="TextoNormal"/>
      </w:pPr>
    </w:p>
    <w:p w:rsidR="0026452D" w:rsidRDefault="0026452D" w:rsidP="0026452D">
      <w:pPr>
        <w:pStyle w:val="TextoNormal"/>
      </w:pPr>
      <w:r>
        <w:t>El representante u apoderado único de la agrupación deberá pertenecer a alguna de las entidades beneficiarias previstas en el punto uno.</w:t>
      </w:r>
    </w:p>
    <w:p w:rsidR="0026452D" w:rsidRDefault="0026452D" w:rsidP="0026452D">
      <w:pPr>
        <w:pStyle w:val="TextoNormal"/>
      </w:pPr>
    </w:p>
    <w:p w:rsidR="0026452D" w:rsidRDefault="0026452D" w:rsidP="0026452D">
      <w:pPr>
        <w:pStyle w:val="TextoNormal"/>
      </w:pPr>
      <w:r>
        <w:t>Cuatro. No podrá obtener la condición de beneficiarias aquellas entidades en quienes concurra alguna de las circunstancias a que se refiere el art. 13, apartados 2 y 3, de la citada Ley General de Subvenciones.”</w:t>
      </w:r>
    </w:p>
    <w:p w:rsidR="0026452D" w:rsidRDefault="0026452D" w:rsidP="0026452D">
      <w:pPr>
        <w:pStyle w:val="TextoNormal"/>
      </w:pPr>
    </w:p>
    <w:p w:rsidR="0026452D" w:rsidRDefault="0026452D" w:rsidP="0026452D">
      <w:pPr>
        <w:pStyle w:val="TextoNormal"/>
      </w:pPr>
      <w:r w:rsidRPr="0026452D">
        <w:rPr>
          <w:rStyle w:val="NumeroAFNegritaCaracter"/>
        </w:rPr>
        <w:t>2</w:t>
      </w:r>
      <w:r>
        <w:t>. El Letrado de la Comunidad de Madrid fundamenta el conflicto en la vulneración de las competencias autonómicas en materia de ejecución de la legislación laboral, que derivan de lo dispuesto en el art. 28.1.1.12 del Estatuto de Autonomía de la Comunidad de Madrid (EAM) y que imputa al apartado 2.1 b) de la orden, en cuanto condiciona los contratos programa de carácter autonómico y sectorial, a la negociación colectiva estatal y al cumplimiento de los requisitos allí previstos, con lo que limita la participación de la Comunidad Autónoma en orden a la determinación de los sectores productivos representativos de su ámbito territorial; y al apartado 5 de la misma, en cuanto impone, de forma taxativa y excluyente, las entidades beneficiarias a través de las cuales se ha de llevar a cabo la ejecución de los planes de formación continua mediante la suscripción de contratos programa.</w:t>
      </w:r>
    </w:p>
    <w:p w:rsidR="0026452D" w:rsidRDefault="0026452D" w:rsidP="0026452D">
      <w:pPr>
        <w:pStyle w:val="TextoNormal"/>
      </w:pPr>
    </w:p>
    <w:p w:rsidR="0026452D" w:rsidRDefault="0026452D" w:rsidP="0026452D">
      <w:pPr>
        <w:pStyle w:val="TextoNormal"/>
      </w:pPr>
      <w:r>
        <w:lastRenderedPageBreak/>
        <w:t>El Abogado del Estado sostiene que la regulación impugnada se encuentra plenamente respaldada por los títulos competenciales del Estado, en concreto por lo dispuesto en el art. 149.1.1 en relación con los arts. 40 y 138, todos ellos de la Constitución, y también en los artículos 149.1.7 y 13 CE.</w:t>
      </w:r>
    </w:p>
    <w:p w:rsidR="0026452D" w:rsidRDefault="0026452D" w:rsidP="0026452D">
      <w:pPr>
        <w:pStyle w:val="TextoNormal"/>
      </w:pPr>
    </w:p>
    <w:p w:rsidR="0026452D" w:rsidRDefault="0026452D" w:rsidP="0026452D">
      <w:pPr>
        <w:pStyle w:val="TextoNormal"/>
      </w:pPr>
      <w:r>
        <w:t>En especial lo establecido en los arts. 149.1.7 CE y en el art. 28.1.1.12 EAM determinan el encuadramiento competencial de la materia regulada que habilita al Estado para establecer un régimen jurídico unitario en materia de formación continua de trabajadores ocupados, que justifica y ampara la regulación efectuada en los apartados de la orden que son objeto del presente conflicto.</w:t>
      </w:r>
    </w:p>
    <w:p w:rsidR="0026452D" w:rsidRDefault="0026452D" w:rsidP="0026452D">
      <w:pPr>
        <w:pStyle w:val="TextoNormal"/>
      </w:pPr>
    </w:p>
    <w:p w:rsidR="0026452D" w:rsidRDefault="0026452D" w:rsidP="0026452D">
      <w:pPr>
        <w:pStyle w:val="TextoNormal"/>
      </w:pPr>
      <w:r w:rsidRPr="0026452D">
        <w:rPr>
          <w:rStyle w:val="NumeroAFNegritaCaracter"/>
        </w:rPr>
        <w:t>3</w:t>
      </w:r>
      <w:r>
        <w:t>. Con carácter previo al enjuiciamiento de fondo, es preciso determinar la vigencia de la controversia competencial en los términos en que ha sido planteada, a la vista de las modificaciones operadas en la orden que es objeto del presente conflicto por la Orden TAS/2094/2005, de 17 de junio (“BOE” 1 de julio de 2005) y por la Orden TAS/2562/2005, de 28 de julio (“BOE” de 5 de agosto de 2005).</w:t>
      </w:r>
    </w:p>
    <w:p w:rsidR="0026452D" w:rsidRDefault="0026452D" w:rsidP="0026452D">
      <w:pPr>
        <w:pStyle w:val="TextoNormal"/>
      </w:pPr>
    </w:p>
    <w:p w:rsidR="0026452D" w:rsidRDefault="0026452D" w:rsidP="0026452D">
      <w:pPr>
        <w:pStyle w:val="TextoNormal"/>
      </w:pPr>
      <w:r>
        <w:t>Resulta procedente para ello, recordar nuestra específica doctrina en relación con las modificaciones normativas en procesos constitucionales de naturaleza competencial para concretar con mayor claridad el problema de la eventual pérdida de objeto en estos procesos.</w:t>
      </w:r>
    </w:p>
    <w:p w:rsidR="0026452D" w:rsidRDefault="0026452D" w:rsidP="0026452D">
      <w:pPr>
        <w:pStyle w:val="TextoNormal"/>
      </w:pPr>
    </w:p>
    <w:p w:rsidR="0026452D" w:rsidRDefault="0026452D" w:rsidP="0026452D">
      <w:pPr>
        <w:pStyle w:val="TextoNormal"/>
      </w:pPr>
      <w:r>
        <w:t>Este Tribunal ha afirmado reiteradamente, en relación a los procesos de naturaleza competencial,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[STC 149/2012, de 5 de julio, FJ 2 b)]. Y es que, como se señala en la STC 133/2012, de 19 de junio, FJ 2, “en las controversias de alcance competencial es necesario apreciar los efectos que tiene sobre el conflicto la entrada en vigor de la nueva normativa reguladora de algunos de los aspectos en discusión. Dicha operación debe realizarse atendiendo en cada caso a las circunstancias concretas y, ante todo, a la pervivencia de la controversia competencial, esto es, a si la disputa sobre la titularidad de la competencia sigue o no viva entre las partes, de modo que si la normativa en torno a la cual se trabó el conflicto resulta parcialmente modificada por otra que viene a plantear los mismos problemas competenciales, la consecuencia necesaria será la no desaparición del conflicto”.</w:t>
      </w:r>
    </w:p>
    <w:p w:rsidR="0026452D" w:rsidRDefault="0026452D" w:rsidP="0026452D">
      <w:pPr>
        <w:pStyle w:val="TextoNormal"/>
      </w:pPr>
    </w:p>
    <w:p w:rsidR="0026452D" w:rsidRDefault="0026452D" w:rsidP="0026452D">
      <w:pPr>
        <w:pStyle w:val="TextoNormal"/>
      </w:pPr>
      <w:r>
        <w:t>Esta doctrina ha sido reiterada en las SSTC 148/2012, de 5 de julio, FJ 2 b); 149/2012, de 5 de junio FJ 2 b); y 161/2012, de 20 de septiembre, FJ 2.</w:t>
      </w:r>
    </w:p>
    <w:p w:rsidR="0026452D" w:rsidRDefault="0026452D" w:rsidP="0026452D">
      <w:pPr>
        <w:pStyle w:val="TextoNormal"/>
      </w:pPr>
    </w:p>
    <w:p w:rsidR="0026452D" w:rsidRDefault="0026452D" w:rsidP="0026452D">
      <w:pPr>
        <w:pStyle w:val="TextoNormal"/>
      </w:pPr>
      <w:r>
        <w:t>En el supuesto que se examina, las modificaciones introducidas por la Orden TAS/2094/2005 resultan irrelevantes en orden al presente conflicto, por cuanto se refieren a aspectos o cuestiones ajenas a las que han dado lugar a esta controversia competencial, al modificar los apartados 1; 13.2, primer párrafo; 14, primer párrafo; 16, último párrafo; 17.2, primer párrafo y 28.1.</w:t>
      </w:r>
    </w:p>
    <w:p w:rsidR="0026452D" w:rsidRDefault="0026452D" w:rsidP="0026452D">
      <w:pPr>
        <w:pStyle w:val="TextoNormal"/>
      </w:pPr>
    </w:p>
    <w:p w:rsidR="0026452D" w:rsidRDefault="0026452D" w:rsidP="0026452D">
      <w:pPr>
        <w:pStyle w:val="TextoNormal"/>
      </w:pPr>
      <w:r>
        <w:lastRenderedPageBreak/>
        <w:t>No sucede así en el caso de la Orden TAS/2562/2005, cuyo artículo único viene precisamente a modificar el apartado 2.1 b) de la Orden TAS/2783/2004, que es objeto de la presente impugnación, pues, como ya hemos consignado al determinar el contenido de los preceptos impugnado, el apartado 2.1 b), en la redacción dada por la Orden TAS/2783/2005 condicionaba la suscripción, en el ámbito autonómico, de contratos programa para la ejecución de planes de formación continua sectoriales, a que se contase con el previo acuerdo de la negociación colectiva sectorial estatal y a la concurrencia de alguno de los siguientes supuestos: “el sector tenga en el respectivo territorio un peso preponderante respecto del que tiene a nivel estatal”, o “la formación se presente como instrumento para la solución o cobertura de problemas o necesidades excepcionales y de crisis de un determinado sector”.</w:t>
      </w:r>
    </w:p>
    <w:p w:rsidR="0026452D" w:rsidRDefault="0026452D" w:rsidP="0026452D">
      <w:pPr>
        <w:pStyle w:val="TextoNormal"/>
      </w:pPr>
    </w:p>
    <w:p w:rsidR="0026452D" w:rsidRDefault="0026452D" w:rsidP="0026452D">
      <w:pPr>
        <w:pStyle w:val="TextoNormal"/>
      </w:pPr>
      <w:r>
        <w:t>La modificación introducida viene a eliminar la exigencia de que haya de contarse necesariamente con el previo acuerdo de la negociación colectiva sectorial estatal y suprime la referencia a los dos supuestos que, adicionalmente, habían de concurrir. En la nueva redacción dada al precepto, el respeto a la negociación colectiva sectorial estatal, en los ámbitos estatal y autonómico, se acota a “lo previsto en el art. 19.2 c) del Real Decreto 1046/2003, de 1 de agosto, por el que se regula el subsistema de formación profesional continua”. El mencionado artículo atribuye a las comisiones paritarias sectoriales, integradas por las organizaciones empresariales y sindicales más representativas en el sector o subsector, la función de “establecer los criterios orientativos para el acceso de los trabajadores a la formación”; y la constitucionalidad de este precepto fue expresamente reconocida por la STC 244/2012, de 18 de diciembre, FJ 8, en donde se vino a afirmar que la función atribuida por este precepto a las comisiones paritarias sectoriales no suscita objeciones en cuanto “se contraen al establecimiento o propuesta de criterios orientativos … que no afectan al ámbito propio de la ejecución del subsistema de formación continua”.</w:t>
      </w:r>
    </w:p>
    <w:p w:rsidR="0026452D" w:rsidRDefault="0026452D" w:rsidP="0026452D">
      <w:pPr>
        <w:pStyle w:val="TextoNormal"/>
      </w:pPr>
    </w:p>
    <w:p w:rsidR="0026452D" w:rsidRDefault="0026452D" w:rsidP="0026452D">
      <w:pPr>
        <w:pStyle w:val="TextoNormal"/>
      </w:pPr>
      <w:r>
        <w:t>Tanto el Abogado del Estado como el Letrado de la Comunidad de Madrid coinciden en que la modificación introducida en este precepto viene a resolver la tacha de inconstitucionalidad formulada en relación con el mismo, afirmando expresamente la representación autonómica que “la Comunidad de Madrid entiende que con la modificación operada en el apartado 2.1 b) de la Orden TAS/2783/2004, por la Orden TAS/2562/2005, de 28 de julio, se da por parte del Estado una redacción conforme a algunas de las cuestiones suscitadas por la Comunidad en el conflicto de competencia planteado, en concreto, las relativas a la tipología de los contratos programa, pero sin que exista pronunciamiento alguno sobre la titularidad competencial que origina el conflicto, subsistiendo o manteniéndose viva, no obstante la modificación de la Orden, la disputa competencial”. A la vista de lo anterior, y sin perjuicio pues del expreso pronunciamiento sobre la titularidad competencial en relación al presente conflicto, que a continuación se efectúa, no cabe sino concluir que la modificación operada en el apartado 2.1 b) determina la desaparición del objeto del conflicto en relación con este precepto, quedando pues circunscrita la presente controversia a lo dispuesto en el apartado 5 de la orden.</w:t>
      </w:r>
    </w:p>
    <w:p w:rsidR="0026452D" w:rsidRDefault="0026452D" w:rsidP="0026452D">
      <w:pPr>
        <w:pStyle w:val="TextoNormal"/>
      </w:pPr>
    </w:p>
    <w:p w:rsidR="0026452D" w:rsidRDefault="0026452D" w:rsidP="0026452D">
      <w:pPr>
        <w:pStyle w:val="TextoNormal"/>
      </w:pPr>
      <w:r w:rsidRPr="0026452D">
        <w:rPr>
          <w:rStyle w:val="NumeroAFNegritaCaracter"/>
        </w:rPr>
        <w:t>4</w:t>
      </w:r>
      <w:r>
        <w:t>. El apartado 5 de la orden determina quiénes serán las entidades beneficiarias de la concesión de subvenciones públicas para la ejecución de planes de formación continua mediante la suscripción de contratos programa, en sus distintas modalidades.</w:t>
      </w:r>
    </w:p>
    <w:p w:rsidR="0026452D" w:rsidRDefault="0026452D" w:rsidP="0026452D">
      <w:pPr>
        <w:pStyle w:val="TextoNormal"/>
      </w:pPr>
    </w:p>
    <w:p w:rsidR="0026452D" w:rsidRDefault="0026452D" w:rsidP="0026452D">
      <w:pPr>
        <w:pStyle w:val="TextoNormal"/>
      </w:pPr>
      <w:r>
        <w:t xml:space="preserve">La Comunidad Autónoma de Madrid considera que la determinación por la norma estatal, con carácter exclusivo y excluyente, de las entidades beneficiarias de las subvenciones, </w:t>
      </w:r>
      <w:r>
        <w:lastRenderedPageBreak/>
        <w:t>impide a la Comunidad Autónoma el ejercicio de las facultades que le corresponden para la gestión de estas ayudas, en virtud de las competencias que en materia de ejecución de la legislación laboral le atribuye el art 28.1.1.12 de su Estatuto de Autonomía, y excede, a su vez de las competencias que al Estado atribuye el art. 149.1.7 CE, en materia de “legislación laboral”.</w:t>
      </w:r>
    </w:p>
    <w:p w:rsidR="0026452D" w:rsidRDefault="0026452D" w:rsidP="0026452D">
      <w:pPr>
        <w:pStyle w:val="TextoNormal"/>
      </w:pPr>
    </w:p>
    <w:p w:rsidR="0026452D" w:rsidRDefault="0026452D" w:rsidP="0026452D">
      <w:pPr>
        <w:pStyle w:val="TextoNormal"/>
      </w:pPr>
      <w:r>
        <w:t>La resolución del presente conflicto exige comenzar por el encuadramiento competencial de las ayudas que se contemplan, a fin de determinar si, a la vista de las competencias del Estado y de la Comunidad de Madrid, se ha producido o no la vulneración competencial denunciada, tomando como parámetro sustantivo la doctrina constitucional, especialmente la recogida en la STC 13/1992, de 6 de febrero, en la que se afirma que “la legitimidad constitucional del régimen normativo y de gestión de las subvenciones fijado por el Estado depende de las competencias que el Estado posea en la materia de que se trate”, ya que “la subvención no es un concepto que delimite competencias” (FJ 4).</w:t>
      </w:r>
    </w:p>
    <w:p w:rsidR="0026452D" w:rsidRDefault="0026452D" w:rsidP="0026452D">
      <w:pPr>
        <w:pStyle w:val="TextoNormal"/>
      </w:pPr>
    </w:p>
    <w:p w:rsidR="0026452D" w:rsidRDefault="0026452D" w:rsidP="0026452D">
      <w:pPr>
        <w:pStyle w:val="TextoNormal"/>
      </w:pPr>
      <w:r>
        <w:t>Por ello, en la resolución de esta controversia que se suscita respecto a la regulación y aplicación de las ayudas y subvenciones que puedan establecerse en las distintas áreas o segmentos de la acción pública, hemos de partir de la distribución de competencias existente en la materia constitucional en la que proceda encuadrar las subvenciones de que se trate (por todas STC 38/2012, de 26 de marzo, FJ 3).</w:t>
      </w:r>
    </w:p>
    <w:p w:rsidR="0026452D" w:rsidRDefault="0026452D" w:rsidP="0026452D">
      <w:pPr>
        <w:pStyle w:val="TextoNormal"/>
      </w:pPr>
    </w:p>
    <w:p w:rsidR="0026452D" w:rsidRDefault="0026452D" w:rsidP="0026452D">
      <w:pPr>
        <w:pStyle w:val="TextoNormal"/>
      </w:pPr>
      <w:r>
        <w:t>En este caso, la orden que se examina se configura como norma de desarrollo de las previsiones contenidas en el art. 14 del Real Decreto 1046/2003, de 1 de agosto, por el que se regula el subsistema de formación profesional continua, disposición sobre la que hemos tenido ocasión de pronunciarnos en la STC 244/2012, de 18 de diciembre, y cuya doctrina, por tanto, resulta de directa aplicación al supuesto que nos ocupa, convirtiéndose en parámetro de referencia para resolver la presente impugnación.</w:t>
      </w:r>
    </w:p>
    <w:p w:rsidR="0026452D" w:rsidRDefault="0026452D" w:rsidP="0026452D">
      <w:pPr>
        <w:pStyle w:val="TextoNormal"/>
      </w:pPr>
    </w:p>
    <w:p w:rsidR="0026452D" w:rsidRDefault="0026452D" w:rsidP="0026452D">
      <w:pPr>
        <w:pStyle w:val="TextoNormal"/>
      </w:pPr>
      <w:r>
        <w:t>Así, y en lo que respecta a la delimitación competencial en esta materia, ambas partes coinciden en afirmar que el título competencial prevalente, en el que se incardinan las presentes ayudas, es el que deriva de lo dispuesto en el art. 149.1.7 CE, afirmación que resulta coincidente con la recogida en el fundamento jurídico 4 de la STC 244/2012, de 18 de diciembre, donde afirmamos que “sin excluir que el Estado pueda apelar al título del art. 149.1.13 CE para la decisión de expandir el círculo de los beneficiarios de la actividad prevista como formación continua hasta alcanzar a colectivos de trabajadores que no son propiamente trabajadores ocupados ni asalariados, el núcleo de la regulación, según la finalidad declarada por la norma, sigue siendo la formación profesional continua de trabajadores ocupados y asalariados, que tiene la consideración de ‘legislación laboral’ al amparo del art. 149.1.7 de la Constitución y cuya ejecución corresponde a las Comunidades Autónomas”.</w:t>
      </w:r>
    </w:p>
    <w:p w:rsidR="0026452D" w:rsidRDefault="0026452D" w:rsidP="0026452D">
      <w:pPr>
        <w:pStyle w:val="TextoNormal"/>
      </w:pPr>
    </w:p>
    <w:p w:rsidR="0026452D" w:rsidRDefault="0026452D" w:rsidP="0026452D">
      <w:pPr>
        <w:pStyle w:val="TextoNormal"/>
      </w:pPr>
      <w:r>
        <w:t>La delimitación de competencias en la materia deriva pues de lo dispuesto en el citado art. 149.1.7 CE, que atribuye al Estado la competencia exclusiva en materia de legislación laboral, y de lo señalado en el art. 28.1.1.12 del Estatuto de Autonomía de la Comunidad de Madrid, de conformidad con el cual corresponde a ésta la ejecución de la legislación del Estado en materia laboral.</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Se desprende de todo lo anterior que hay acuerdo entre las partes en que la orden objeto de conflicto se inscribe en la materia laboral. Pues bien, el reparto competencial en </w:t>
      </w:r>
      <w:r>
        <w:lastRenderedPageBreak/>
        <w:t>este ámbito material es que la función normativa corresponde al Estado y la actividad ejecutiva o de gestión a las Comunidades Autónomas. Así lo hemos afirmado, siguiendo la serie de resoluciones que se inició con la STC 95/2002, de 25 de abril (FJ 16), en la STC 244/2012, de 18 de diciembre (FJ 7), en la que, al analizar los apartados 1 a 4 del art. 14 del Real Decreto 1046/2003, dijimos que “estamos ante una materia, la laboral, en la que, como ya ha quedado señalado, el Estado posee competencias normativas plenas, lo que le habilita para establecer la completa disciplina normativa, incluyendo la definición de aquellos supuestos en que, por las características de la acción formativa y la naturaleza de sus beneficiarios, se exceden las competencias autonómicas de ejecución”.</w:t>
      </w:r>
    </w:p>
    <w:p w:rsidR="0026452D" w:rsidRDefault="0026452D" w:rsidP="0026452D">
      <w:pPr>
        <w:pStyle w:val="TextoNormal"/>
      </w:pPr>
    </w:p>
    <w:p w:rsidR="0026452D" w:rsidRDefault="0026452D" w:rsidP="0026452D">
      <w:pPr>
        <w:pStyle w:val="TextoNormal"/>
      </w:pPr>
      <w:r>
        <w:t>Esta distribución de funciones supone que el Estado en materia laboral, de acuerdo con la doctrina establecida en el fundamento jurídico 8 c) de la STC 13/1992, de 6 de febrero, además de consignar subvenciones de fomento en sus presupuestos generales, especificando su destino y regulando las condiciones esenciales de otorgamiento, “puede extenderse en la regulación de detalle respecto del destino, condiciones y tramitación de las subvenciones, dejando a salvo la potestad autonómica de autoorganización de los servicios”.</w:t>
      </w:r>
    </w:p>
    <w:p w:rsidR="0026452D" w:rsidRDefault="0026452D" w:rsidP="0026452D">
      <w:pPr>
        <w:pStyle w:val="TextoNormal"/>
      </w:pPr>
    </w:p>
    <w:p w:rsidR="0026452D" w:rsidRDefault="0026452D" w:rsidP="0026452D">
      <w:pPr>
        <w:pStyle w:val="TextoNormal"/>
      </w:pPr>
      <w:r>
        <w:t>Pero lo expuesto hasta aquí no nos conduce sin más a la resolución de este conflicto en los términos que está planteado, pues las partes discrepan, como también se deduce del fundamento jurídico precedente, sobre si la determinación de los beneficiarios de la ayuda materializada a través de los contratos programa se encuadra en la función normativa, que corresponde al Estado, o en la función ejecutiva o de gestión, que es atribución de la Comunidad Autónoma, divergencia que hemos de resolver a favor de la primera opción, pues es precisamente la naturaleza de los beneficiarios, tanto sus características como el ámbito de actuación de los mismos, uno de los criterios determinantes de la regulación de las ayudas a las que se refiere la orden objeto del conflicto, por lo que forma parte de la actividad normativa que compete al Estado en materia laboral.</w:t>
      </w:r>
    </w:p>
    <w:p w:rsidR="0026452D" w:rsidRDefault="0026452D" w:rsidP="0026452D">
      <w:pPr>
        <w:pStyle w:val="TextoNormal"/>
      </w:pPr>
    </w:p>
    <w:p w:rsidR="0026452D" w:rsidRDefault="0026452D" w:rsidP="0026452D">
      <w:pPr>
        <w:pStyle w:val="TextoNormal"/>
      </w:pPr>
      <w:r>
        <w:t>Además, es relevante recordar que este dilema ya está resuelto en nuestra doctrina, aunque sea en un ámbito parcialmente distinto. En efecto, entre otras, en las SSTC 72/2012, de 16 de abril, FJ 5; 77/2012, de 16 de abril, FJ 4; 173/2012, de 15 de octubre, FJ 7; y 226/2012, de 29 de noviembre; FJ 5, resolviendo sendos conflictos positivos de competencia respecto de ayudas en materia de asistencia social, hemos afirmado que el Estado, aunque no le asiste ninguna competencia genérica o específica en ese ámbito, tiene competencia para regular los aspectos centrales del régimen subvencional y que entre ellos figura la determinación de las entidades y organizaciones solicitantes de la ayuda. La oportunidad de retomar esta doctrina deriva de que lo discutido en aquellos asuntos y en éste, independientemente del supuesto de la STC 13/1992, de 6 de febrero, en que se encuadre cada uno, es si la delimitación de quienes pueden optar a una ayuda forma parte de la regulación de la misma o, por el contrario, de su gestión.</w:t>
      </w:r>
    </w:p>
    <w:p w:rsidR="0026452D" w:rsidRDefault="0026452D" w:rsidP="0026452D">
      <w:pPr>
        <w:pStyle w:val="TextoNormal"/>
      </w:pPr>
    </w:p>
    <w:p w:rsidR="0026452D" w:rsidRDefault="0026452D" w:rsidP="0026452D">
      <w:pPr>
        <w:pStyle w:val="TextoNormal"/>
      </w:pPr>
      <w:r>
        <w:t>Hemos de concluir, por tanto, que tratándose de subvenciones en materia laboral el Estado es competente para decidir qué entidades pueden ser beneficiarias de las ayudas, imponiéndoselo a las Comunidades Autónomas incluso respecto de las ayudas de ámbito autonómico, en la medida en que este aspecto se inserta en la función normativa de estas ayudas, que corresponde íntegramente al Estado según la doctrina constitucional mencionada en este fundamento jurídico [por todas, STC 13/1993, FJ 8 c)].</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6</w:t>
      </w:r>
      <w:r>
        <w:t xml:space="preserve">. Finalmente, respecto del último apartado, susceptible de valoración, sobre la alegada vulneración del principio de autonomía financiera de la Comunidad Autónoma, ya dijimos en la STC 36/2012, de 15 de marzo, FJ 7, “que no se podía realizar </w:t>
      </w:r>
      <w:r w:rsidRPr="0026452D">
        <w:rPr>
          <w:i/>
        </w:rPr>
        <w:t>prima facie</w:t>
      </w:r>
      <w:r>
        <w:t xml:space="preserve"> un pronunciamiento genérico, sino que había de estarse al contenido concreto de la norma, al objeto de determinar si se ha producido algún exceso competencial en dicha regulación con desconocimiento de la autonomía política y financiera de la citada Comunidad”.</w:t>
      </w:r>
    </w:p>
    <w:p w:rsidR="0026452D" w:rsidRDefault="0026452D" w:rsidP="0026452D">
      <w:pPr>
        <w:pStyle w:val="TextoNormal"/>
      </w:pPr>
    </w:p>
    <w:p w:rsidR="0026452D" w:rsidRDefault="0026452D" w:rsidP="0026452D">
      <w:pPr>
        <w:pStyle w:val="TextoNormal"/>
      </w:pPr>
      <w:r>
        <w:t>Sobre este particular, la reiterada doctrina de este Tribunal señala, respecto a que la “facultad de gasto público, consecuencia lógica de la autonomía financiera, no es un título legitimador de la atribución de competencias” (por todas, STC 95/1986, de 10 de julio, FJ 3), habiéndose precisado, con referencia a una frecuente manifestación de esta facultad de gasto, como son las subvenciones, que el hecho de invertir fondos propios en una determinada actividad no es un título competencial propio, ni el solo hecho de financiar puede erigirse en núcleo que atraiga hacia sí toda competencia sobre los variados aspectos a que pueda dar lugar la actividad de financiación (entre otras, STC 179/1985, de 19 de diciembre, FJ 1).</w:t>
      </w:r>
    </w:p>
    <w:p w:rsidR="0026452D" w:rsidRDefault="0026452D" w:rsidP="0026452D">
      <w:pPr>
        <w:pStyle w:val="TextoNormal"/>
      </w:pPr>
    </w:p>
    <w:p w:rsidR="0026452D" w:rsidRDefault="0026452D" w:rsidP="0026452D">
      <w:pPr>
        <w:pStyle w:val="TextoNormal"/>
      </w:pPr>
      <w:r>
        <w:t>Por tanto, como recuerda la STC 77/2012, de 16 de abril, FJ 4: “la actuación estatal subvencional solo se justifica en los casos en que, por razón de la materia subvencionada sobre la que opera, ‘la Constitución o los estatutos de Autonomía hayan reservado al Estado competencias sobre la materia subvencionada o que aquella actuación se enmarque en las facultades estatales de dirección o coordinación de la política económica en cuanto tales subvenciones puedan constituir elemento esencial de la misma. De lo que deriva que el Estado no puede condicionar las subvenciones o determinar su finalidad más allá del alcance de los títulos competenciales que amparen su intervención (STC 201/1988)’. En definitiva, concluíamos, con cita de la STC 96/1990, de 24 de mayo, FJ 15, habrá que estar a la normativa que dicte el Estado para cada tipo de subvención ‘al objeto de precisar si los condicionamientos que para la gestión de las subvenciones que en la misma se determinan se encuadran dentro de los límites del título competencial que ampara la intervención estatal o, al contrario, van más allá del alcance de dicho título, invadiendo las competencias autonómicas sobre la materia subvencionada, lo que significaría no solo alterar el sistema competencial, sino también distorsionar la autonomía financiera que para el ejercicio de sus competencias a las Comunidades Autónomas reconoce el art. 156.1 CE’. (STC 36/2012, FJ 7).”</w:t>
      </w:r>
    </w:p>
    <w:p w:rsidR="0026452D" w:rsidRDefault="0026452D" w:rsidP="0026452D">
      <w:pPr>
        <w:pStyle w:val="TextoNormal"/>
      </w:pPr>
    </w:p>
    <w:p w:rsidR="0026452D" w:rsidRDefault="0026452D" w:rsidP="0026452D">
      <w:pPr>
        <w:pStyle w:val="TextoNormal"/>
      </w:pPr>
      <w:r>
        <w:t>Estas circunstancias de invasión competencial en la Comunidad Autónoma de Madrid no concurren en la cuestión planteada, pues el Estado dispone de título competencial adecuado para comprometer sus recursos en esta materia, razones que desvirtúan la alegada vulneración genérica que sobre la autonomía financiera realiza la parte recurrente.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lastRenderedPageBreak/>
        <w:t>Ha decidido</w:t>
      </w:r>
    </w:p>
    <w:p w:rsidR="0026452D" w:rsidRDefault="0026452D" w:rsidP="0026452D">
      <w:pPr>
        <w:pStyle w:val="TextoNormalCentrado"/>
        <w:keepNext/>
      </w:pPr>
    </w:p>
    <w:p w:rsidR="0026452D" w:rsidRDefault="0026452D" w:rsidP="0026452D">
      <w:pPr>
        <w:pStyle w:val="TextoNormal"/>
      </w:pPr>
      <w:r>
        <w:t>Declarar sin objeto el conflicto positivo de competencias interpuesto por el Gobierno de la Comunidad de Madrid en relación con el apartado segundo. uno b) de la Orden TAS/2783/2004, de 30 de julio, por la que se establecen las bases reguladoras para la concesión de subvenciones públicas mediante contratos programa para la formación de trabajadores, en desarrollo del Real Decreto 1046/2003, de 1 de agosto, por el que se regula el subsistema de formación profesional continua, en la modificación operada por la Orden TAS/2562/2005, de 28 de julio.</w:t>
      </w:r>
    </w:p>
    <w:p w:rsidR="0026452D" w:rsidRDefault="0026452D" w:rsidP="0026452D">
      <w:pPr>
        <w:pStyle w:val="TextoNormal"/>
      </w:pPr>
    </w:p>
    <w:p w:rsidR="0026452D" w:rsidRDefault="0026452D" w:rsidP="0026452D">
      <w:pPr>
        <w:pStyle w:val="TextoNormal"/>
      </w:pPr>
      <w:r>
        <w:t>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41" w:name="SENTENCIA_2013_38"/>
      <w:r>
        <w:lastRenderedPageBreak/>
        <w:t>SENTENCIA 38/2013, de 14 de febrero de 2013</w:t>
      </w:r>
    </w:p>
    <w:bookmarkEnd w:id="41"/>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ECLI:ES:TC:2013:38</w:t>
      </w:r>
    </w:p>
    <w:p w:rsidR="0026452D" w:rsidRDefault="0026452D" w:rsidP="0026452D">
      <w:pPr>
        <w:pStyle w:val="SntesisDescriptiva"/>
      </w:pPr>
    </w:p>
    <w:p w:rsidR="0026452D" w:rsidRDefault="0026452D" w:rsidP="0026452D">
      <w:pPr>
        <w:pStyle w:val="SntesisDescriptiva"/>
      </w:pPr>
      <w:r>
        <w:t>Recurso de inconstitucionalidad 2081-2005. Interpuesto por el Presidente del Gobierno de la Nación en relación con el artículo único de la Ley de las Cortes de Castilla y León 7/2004, de 22 de diciembre, que da nueva redacción al art. 47 de la Ley 6/1991, de 19 de abril, de archivos y patrimonio documental de Castilla y León.</w:t>
      </w:r>
    </w:p>
    <w:p w:rsidR="0026452D" w:rsidRDefault="0026452D" w:rsidP="0026452D">
      <w:pPr>
        <w:pStyle w:val="SntesisDescriptiva"/>
      </w:pPr>
    </w:p>
    <w:p w:rsidR="0026452D" w:rsidRDefault="0026452D" w:rsidP="0026452D">
      <w:pPr>
        <w:pStyle w:val="SntesisAnaltica"/>
      </w:pPr>
      <w:r>
        <w:t>Competencias sobre archivos: nulidad del precepto legal que extiende a archivos de titularidad estatal la aplicación de la normativa autonómica (SSTC 103/1988 y 14/2013).</w:t>
      </w:r>
    </w:p>
    <w:p w:rsidR="0026452D" w:rsidRDefault="0026452D" w:rsidP="0026452D">
      <w:pPr>
        <w:pStyle w:val="SntesisAnaltica"/>
      </w:pPr>
    </w:p>
    <w:p w:rsidR="0026452D" w:rsidRDefault="0026452D" w:rsidP="0026452D">
      <w:pPr>
        <w:pStyle w:val="Extracto"/>
      </w:pPr>
      <w:r>
        <w:t>1.</w:t>
      </w:r>
      <w:r>
        <w:tab/>
        <w:t xml:space="preserve">El precepto impugnado, que regula el Sistema de Archivos de Castilla y León, vulnera las competencias del Estado, </w:t>
      </w:r>
      <w:r w:rsidRPr="0026452D">
        <w:rPr>
          <w:i/>
        </w:rPr>
        <w:t>ex</w:t>
      </w:r>
      <w:r>
        <w:t xml:space="preserve"> arts. 149.1.28 y 149.2 CE, al no contemplar una exclusión de los archivos de titularidad estatal, debiendo ser declarado, por ello, inconstitucional y nulo [FJ 5].</w:t>
      </w:r>
    </w:p>
    <w:p w:rsidR="0026452D" w:rsidRDefault="0026452D" w:rsidP="0026452D">
      <w:pPr>
        <w:pStyle w:val="Extracto"/>
      </w:pPr>
    </w:p>
    <w:p w:rsidR="0026452D" w:rsidRDefault="0026452D" w:rsidP="0026452D">
      <w:pPr>
        <w:pStyle w:val="Extracto"/>
      </w:pPr>
      <w:r>
        <w:t>2.</w:t>
      </w:r>
      <w:r>
        <w:tab/>
        <w:t>Corresponde a la Comunidad Autónoma, en relación a los archivos históricos provinciales cuya gestión haya transferido el Estado, la ejecución de la normativa aprobada por el Estado, conforme al correspondiente convenio de traspaso de competencias, careciendo la Comunidad Autónoma de una potestad reglamentaria de alcance general, estando limitada a la emanación de reglamentos de organización interna y de ordenación funcional de la competencia ejecutiva autonómica (STC 31/2010) [FJ 4].</w:t>
      </w:r>
    </w:p>
    <w:p w:rsidR="0026452D" w:rsidRDefault="0026452D" w:rsidP="0026452D">
      <w:pPr>
        <w:pStyle w:val="Extracto"/>
      </w:pPr>
    </w:p>
    <w:p w:rsidR="0026452D" w:rsidRDefault="0026452D" w:rsidP="0026452D">
      <w:pPr>
        <w:pStyle w:val="Extracto"/>
      </w:pPr>
      <w:r>
        <w:t>3.</w:t>
      </w:r>
      <w:r>
        <w:tab/>
        <w:t>La transferencia de la gestión sobre archivos de titularidad estatal no conlleva la atribución de la potestad reglamentaria, pues lo que establece el art. 149.1.28 CE es la posibilidad de transferir la gestión de dichos establecimientos a las Comunidades Autónomas, y que, una vez hecho, a la Comunidad Autónoma corresponde la ejecución de la legislación del Estado, esto es, sujetando su gestión a las normas reglamentarias que en desarrollo de su legislación dicte el Estado (STC 17/1991) [FJ 4].</w:t>
      </w:r>
    </w:p>
    <w:p w:rsidR="0026452D" w:rsidRDefault="0026452D" w:rsidP="0026452D">
      <w:pPr>
        <w:pStyle w:val="Extracto"/>
      </w:pPr>
    </w:p>
    <w:p w:rsidR="0026452D" w:rsidRDefault="0026452D" w:rsidP="0026452D">
      <w:pPr>
        <w:pStyle w:val="Extracto"/>
      </w:pPr>
      <w:r>
        <w:t>4.</w:t>
      </w:r>
      <w:r>
        <w:tab/>
        <w:t>No contradice el art. 149.1.28 CE, en relación con el art. 149.2 CE, que los fondos ubicados en archivos de titularidad estatal se integren en sistemas archivísticos de las Comunidades Autónomas, en cuanto ello implique una calificación que sólo añada una sobreprotección a dichos fondos, pero sin incidencia en la regulación, disposición o gestión de los fondos documentales ni de los archivos en que se ubican (SSTC 31/2010, 48/2010) [FJ 4].</w:t>
      </w:r>
    </w:p>
    <w:p w:rsidR="0026452D" w:rsidRDefault="0026452D" w:rsidP="0026452D">
      <w:pPr>
        <w:pStyle w:val="Extracto"/>
      </w:pPr>
    </w:p>
    <w:p w:rsidR="0026452D" w:rsidRDefault="0026452D" w:rsidP="0026452D">
      <w:pPr>
        <w:pStyle w:val="Extracto"/>
      </w:pPr>
      <w:r>
        <w:t>5.</w:t>
      </w:r>
      <w:r>
        <w:tab/>
        <w:t>Ha de distinguirse la competencia para definir e integrar los elementos que componen el patrimonio documental y la competencia sobre los archivos que contienen dichos documentos, ya que la calificación de documentos y la ordenación de archivos son intervenciones legislativas diferentes (STC 103/1988) [FJ 4].</w:t>
      </w:r>
    </w:p>
    <w:p w:rsidR="0026452D" w:rsidRDefault="0026452D" w:rsidP="0026452D">
      <w:pPr>
        <w:pStyle w:val="Extracto"/>
      </w:pPr>
    </w:p>
    <w:p w:rsidR="0026452D" w:rsidRDefault="0026452D" w:rsidP="0026452D">
      <w:pPr>
        <w:pStyle w:val="Extracto"/>
      </w:pPr>
      <w:r>
        <w:lastRenderedPageBreak/>
        <w:t>6.</w:t>
      </w:r>
      <w:r>
        <w:tab/>
        <w:t>Las competencias autonómicas sobre patrimonio histórico incluyen la capacidad para definir los elementos integrantes del mismo, y ello aun en el caso de que los documentos de interés para la Comunidad Autónoma se integren en archivos de titularidad estatal, siendo la Comunidad Autónoma la que puede establecer la definición y los elementos integrantes de su patrimonio documental con independencia de la titularidad de los documentos y del archivo en que se hallen ubicados (STC 103/1988) [FJ 4].</w:t>
      </w:r>
    </w:p>
    <w:p w:rsidR="0026452D" w:rsidRDefault="0026452D" w:rsidP="0026452D">
      <w:pPr>
        <w:pStyle w:val="Extracto"/>
      </w:pPr>
    </w:p>
    <w:p w:rsidR="0026452D" w:rsidRDefault="0026452D" w:rsidP="0026452D">
      <w:pPr>
        <w:pStyle w:val="Extracto"/>
      </w:pPr>
      <w:r>
        <w:t>7.</w:t>
      </w:r>
      <w:r>
        <w:tab/>
        <w:t>Cuando la duda de constitucionalidad se basa en un problema de delimitación competencial y el juicio de constitucionalidad ha de producirse por el contraste no sólo con la Constitución, sino con el llamado bloque de la constitucionalidad, art. 28.1 LOTC, este Tribunal habrá de considerar las leyes vigentes y las bases materiales establecidas en el momento de formularse el juicio y dictarse la sentencia (SSTC 87/1985, 120/2012)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2081-2005, interpuesto por el Presidente del Gobierno de la Nación, representado por el Abogado del Estado, contra el artículo único de la Ley de la Comunidad Autónoma de Castilla y León 7/2004, de 22 de diciembre, que da nueva redacción al art. 47 de la Ley 6/1991, de 19 de abril, de archivos y patrimonio documental de Castilla y León. Han comparecido y formulado alegaciones la Junta y las Cortes de Castilla y León. Ha sido Ponente el Magistrado don Francisco José Hernando Santiago,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23 de marzo de 2005, el Abogado del Estado, actuando en representación del Presidente del Gobierno de la Nación, interpuso recurso de inconstitucionalidad contra el artículo único de la Ley de la Comunidad Autónoma de Castilla y León 7/2004, de 22 de diciembre, que da nueva redacción al art. 47 de la Ley 6/1991, de 19 de abril, de archivos y patrimonio documental de Castilla y León.</w:t>
      </w:r>
    </w:p>
    <w:p w:rsidR="0026452D" w:rsidRDefault="0026452D" w:rsidP="0026452D">
      <w:pPr>
        <w:pStyle w:val="TextoNormal"/>
      </w:pPr>
    </w:p>
    <w:p w:rsidR="0026452D" w:rsidRDefault="0026452D" w:rsidP="0026452D">
      <w:pPr>
        <w:pStyle w:val="TextoNormal"/>
      </w:pPr>
      <w:r>
        <w:lastRenderedPageBreak/>
        <w:t>El precepto impugnado incorpora al sistema de archivos de Castilla y León “el Archivo General de Simancas, el Archivo de la Real Cancillería de Valladolid, el Archivo General de la Guerra Civil Española con sede en Salamanca y, en general, todos los archivos históricos de titularidad estatal y de interés para la Comunidad de Castilla y León existentes en el territorio de ésta.”</w:t>
      </w:r>
    </w:p>
    <w:p w:rsidR="0026452D" w:rsidRDefault="0026452D" w:rsidP="0026452D">
      <w:pPr>
        <w:pStyle w:val="TextoNormal"/>
      </w:pPr>
    </w:p>
    <w:p w:rsidR="0026452D" w:rsidRDefault="0026452D" w:rsidP="0026452D">
      <w:pPr>
        <w:pStyle w:val="TextoNormal"/>
      </w:pPr>
      <w:r>
        <w:t>Tras la reforma, el art. 47 de la Ley 6/1991, de 19 de abril, de archivos y patrimonio documental de Castilla y León ha quedado redactado en los siguientes términos:</w:t>
      </w:r>
    </w:p>
    <w:p w:rsidR="0026452D" w:rsidRDefault="0026452D" w:rsidP="0026452D">
      <w:pPr>
        <w:pStyle w:val="TextoNormal"/>
      </w:pPr>
    </w:p>
    <w:p w:rsidR="0026452D" w:rsidRDefault="0026452D" w:rsidP="0026452D">
      <w:pPr>
        <w:pStyle w:val="TextoNormal"/>
      </w:pPr>
      <w:r>
        <w:t>“El Sistema de Archivos de Castilla y León está constituido por los siguientes centros:</w:t>
      </w:r>
    </w:p>
    <w:p w:rsidR="0026452D" w:rsidRDefault="0026452D" w:rsidP="0026452D">
      <w:pPr>
        <w:pStyle w:val="TextoNormal"/>
      </w:pPr>
    </w:p>
    <w:p w:rsidR="0026452D" w:rsidRDefault="0026452D" w:rsidP="0026452D">
      <w:pPr>
        <w:pStyle w:val="TextoNormal"/>
      </w:pPr>
      <w:r>
        <w:t>1. El Archivo General de Simancas, el Archivo de la Real Cancillería de Valladolid, el Archivo General de la Guerra Civil Española con sede en Salamanca y, en general, de todos los archivos históricos de titularidad estatal y de interés para la Comunidad de Castilla y León existentes en el territorio de ésta.</w:t>
      </w:r>
    </w:p>
    <w:p w:rsidR="0026452D" w:rsidRDefault="0026452D" w:rsidP="0026452D">
      <w:pPr>
        <w:pStyle w:val="TextoNormal"/>
      </w:pPr>
    </w:p>
    <w:p w:rsidR="0026452D" w:rsidRDefault="0026452D" w:rsidP="0026452D">
      <w:pPr>
        <w:pStyle w:val="TextoNormal"/>
      </w:pPr>
      <w:r>
        <w:t>2. El Archivo General de Castilla y León.</w:t>
      </w:r>
    </w:p>
    <w:p w:rsidR="0026452D" w:rsidRDefault="0026452D" w:rsidP="0026452D">
      <w:pPr>
        <w:pStyle w:val="TextoNormal"/>
      </w:pPr>
    </w:p>
    <w:p w:rsidR="0026452D" w:rsidRDefault="0026452D" w:rsidP="0026452D">
      <w:pPr>
        <w:pStyle w:val="TextoNormal"/>
      </w:pPr>
      <w:r>
        <w:t>3. El Archivo de las Cortes de Castilla y León.</w:t>
      </w:r>
    </w:p>
    <w:p w:rsidR="0026452D" w:rsidRDefault="0026452D" w:rsidP="0026452D">
      <w:pPr>
        <w:pStyle w:val="TextoNormal"/>
      </w:pPr>
    </w:p>
    <w:p w:rsidR="0026452D" w:rsidRDefault="0026452D" w:rsidP="0026452D">
      <w:pPr>
        <w:pStyle w:val="TextoNormal"/>
      </w:pPr>
      <w:r>
        <w:t>4. Los Archivos Centrales de la Presidencia y de las Consejerías de la Administración Autonómica.</w:t>
      </w:r>
    </w:p>
    <w:p w:rsidR="0026452D" w:rsidRDefault="0026452D" w:rsidP="0026452D">
      <w:pPr>
        <w:pStyle w:val="TextoNormal"/>
      </w:pPr>
    </w:p>
    <w:p w:rsidR="0026452D" w:rsidRDefault="0026452D" w:rsidP="0026452D">
      <w:pPr>
        <w:pStyle w:val="TextoNormal"/>
      </w:pPr>
      <w:r>
        <w:t>5. Los Archivos Territoriales.</w:t>
      </w:r>
    </w:p>
    <w:p w:rsidR="0026452D" w:rsidRDefault="0026452D" w:rsidP="0026452D">
      <w:pPr>
        <w:pStyle w:val="TextoNormal"/>
      </w:pPr>
    </w:p>
    <w:p w:rsidR="0026452D" w:rsidRDefault="0026452D" w:rsidP="0026452D">
      <w:pPr>
        <w:pStyle w:val="TextoNormal"/>
      </w:pPr>
      <w:r>
        <w:t>6. Los Archivos Históricos Provinciales, sin perjuicio de la normativa del Estado que les sea de aplicación.</w:t>
      </w:r>
    </w:p>
    <w:p w:rsidR="0026452D" w:rsidRDefault="0026452D" w:rsidP="0026452D">
      <w:pPr>
        <w:pStyle w:val="TextoNormal"/>
      </w:pPr>
    </w:p>
    <w:p w:rsidR="0026452D" w:rsidRDefault="0026452D" w:rsidP="0026452D">
      <w:pPr>
        <w:pStyle w:val="TextoNormal"/>
      </w:pPr>
      <w:r>
        <w:t>7. Los Archivos de las Diputaciones Provinciales.</w:t>
      </w:r>
    </w:p>
    <w:p w:rsidR="0026452D" w:rsidRDefault="0026452D" w:rsidP="0026452D">
      <w:pPr>
        <w:pStyle w:val="TextoNormal"/>
      </w:pPr>
    </w:p>
    <w:p w:rsidR="0026452D" w:rsidRDefault="0026452D" w:rsidP="0026452D">
      <w:pPr>
        <w:pStyle w:val="TextoNormal"/>
      </w:pPr>
      <w:r>
        <w:t>8. Los Archivos Municipales y de las restantes entidades locales de ámbito inferior al provincial.</w:t>
      </w:r>
    </w:p>
    <w:p w:rsidR="0026452D" w:rsidRDefault="0026452D" w:rsidP="0026452D">
      <w:pPr>
        <w:pStyle w:val="TextoNormal"/>
      </w:pPr>
    </w:p>
    <w:p w:rsidR="0026452D" w:rsidRDefault="0026452D" w:rsidP="0026452D">
      <w:pPr>
        <w:pStyle w:val="TextoNormal"/>
      </w:pPr>
      <w:r>
        <w:t>9. Los Archivos privados de uso público a los que se refiere el artículo 39.2.</w:t>
      </w:r>
    </w:p>
    <w:p w:rsidR="0026452D" w:rsidRDefault="0026452D" w:rsidP="0026452D">
      <w:pPr>
        <w:pStyle w:val="TextoNormal"/>
      </w:pPr>
    </w:p>
    <w:p w:rsidR="0026452D" w:rsidRDefault="0026452D" w:rsidP="0026452D">
      <w:pPr>
        <w:pStyle w:val="TextoNormal"/>
      </w:pPr>
      <w:r>
        <w:t>10. Los archivos de titularidad autonómica o local que se puedan crear en el futuro.</w:t>
      </w:r>
    </w:p>
    <w:p w:rsidR="0026452D" w:rsidRDefault="0026452D" w:rsidP="0026452D">
      <w:pPr>
        <w:pStyle w:val="TextoNormal"/>
      </w:pPr>
    </w:p>
    <w:p w:rsidR="0026452D" w:rsidRDefault="0026452D" w:rsidP="0026452D">
      <w:pPr>
        <w:pStyle w:val="TextoNormal"/>
      </w:pPr>
      <w:r>
        <w:t>11. Aquellos otros archivos de cualquier titularidad, pública o privada, que se integren en el Sistema mediante convenio o concierto suscrito con la Consejería de Cultura y Turismo.”</w:t>
      </w:r>
    </w:p>
    <w:p w:rsidR="0026452D" w:rsidRDefault="0026452D" w:rsidP="0026452D">
      <w:pPr>
        <w:pStyle w:val="TextoNormal"/>
      </w:pPr>
    </w:p>
    <w:p w:rsidR="0026452D" w:rsidRDefault="0026452D" w:rsidP="0026452D">
      <w:pPr>
        <w:pStyle w:val="TextoNormal"/>
      </w:pPr>
      <w:r>
        <w:t xml:space="preserve">El Abogado del Estado expone que el art. 149.1.28 CE atribuye al Estado la competencia exclusiva sobre “los museos, bibliotecas y archivos de titularidad estatal, sin perjuicio de su gestión por parte de las Comunidades Autónomas”, al tiempo que el art. 149.2 CE le atribuye competencias en materia de cultura. En base a estos dos preceptos, el Estado tiene competencia exclusiva sobre los archivos que sean de su titularidad, ostentando tanto la facultad legislativa, como la de desarrollo y ejecución; sin perjuicio de que pueda conferir, </w:t>
      </w:r>
      <w:r>
        <w:lastRenderedPageBreak/>
        <w:t>en los términos que considere oportunos, la competencia de gestión a las Comunidades Autónomas.</w:t>
      </w:r>
    </w:p>
    <w:p w:rsidR="0026452D" w:rsidRDefault="0026452D" w:rsidP="0026452D">
      <w:pPr>
        <w:pStyle w:val="TextoNormal"/>
      </w:pPr>
    </w:p>
    <w:p w:rsidR="0026452D" w:rsidRDefault="0026452D" w:rsidP="0026452D">
      <w:pPr>
        <w:pStyle w:val="TextoNormal"/>
      </w:pPr>
      <w:r>
        <w:t>Por lo que se refiere a las competencias de la Comunidad Autónoma de Castilla y León en materia de archivos, su Estatuto de Autonomía estableció en el art. 32.1.13 que tiene competencia exclusiva en materia de “museos, bibliotecas, hemerotecas, archivos y otros centros culturales y de depósito de interés para la Comunidad y que no sean de titularidad estatal”. Al tiempo, entre las competencias de ejecución, el art. 36.4 del Estatuto de Autonomía atribuyó a la Comunidad Autónoma la “gestión de museos, archivos, bibliotecas y colecciones de naturaleza análoga de titularidad estatal que no se reserve el Estado”, añadiendo que “los términos de la gestión serán fijados mediante convenio”.</w:t>
      </w:r>
    </w:p>
    <w:p w:rsidR="0026452D" w:rsidRDefault="0026452D" w:rsidP="0026452D">
      <w:pPr>
        <w:pStyle w:val="TextoNormal"/>
      </w:pPr>
    </w:p>
    <w:p w:rsidR="0026452D" w:rsidRDefault="0026452D" w:rsidP="0026452D">
      <w:pPr>
        <w:pStyle w:val="TextoNormal"/>
      </w:pPr>
      <w:r>
        <w:t>De acuerdo con el régimen de distribución de competencias descrito, el Estado puede determinar qué archivos son de titularidad estatal, y, por tanto, quedan sometidos, con base en el título del art. 149.1.28 CE, a su competencia exclusiva. Esta competencia no se ve alterada por la referencia que se hace en el precepto constitucional a “sin perjuicio de su gestión por parte de las Comunidades Autónomas”, pues con ella lo que se pretende es reconocer al Estado, al ejercer su competencia normativa sobre esos archivos, la facultad de atribuir a las Comunidades Autónomas su gestión, sin necesidad de utilizar la previsión del art. 150 CE.</w:t>
      </w:r>
    </w:p>
    <w:p w:rsidR="0026452D" w:rsidRDefault="0026452D" w:rsidP="0026452D">
      <w:pPr>
        <w:pStyle w:val="TextoNormal"/>
      </w:pPr>
    </w:p>
    <w:p w:rsidR="0026452D" w:rsidRDefault="0026452D" w:rsidP="0026452D">
      <w:pPr>
        <w:pStyle w:val="TextoNormal"/>
      </w:pPr>
      <w:r>
        <w:t>De lo anterior resulta que la determinación del régimen jurídico aplicable a los archivos de titularidad estatal corresponde al Estado y que cualquier regulación autonómica sobre esa materia supone una invasión competencial inconstitucional, como fijó la STC 103/1988, de 8 de junio.</w:t>
      </w:r>
    </w:p>
    <w:p w:rsidR="0026452D" w:rsidRDefault="0026452D" w:rsidP="0026452D">
      <w:pPr>
        <w:pStyle w:val="TextoNormal"/>
      </w:pPr>
    </w:p>
    <w:p w:rsidR="0026452D" w:rsidRDefault="0026452D" w:rsidP="0026452D">
      <w:pPr>
        <w:pStyle w:val="TextoNormal"/>
      </w:pPr>
      <w:r>
        <w:t>Continúa el Abogado del Estado señalando que los fondos documentales tanto del Archivo de Simancas, como del Archivo de la Real Chancillería de Valladolid y del Archivo de la Guerra Civil Española, tienen una excepcional trascendencia histórica en el proceso de formación de España, constituyendo un patrimonio documental comunitario que requiere del tratamiento único y general que le confiere la titularidad y la gestión estatal. Puesto que tales archivos son de titularidad estatal y no ha sido transferida su gestión, resulta inconstitucional su inclusión en el sistema de archivos de Castilla y León, tal y como hace el artículo único de la Ley 7/2004, al dar nueva redacción al art. 47 de la Ley 6/1991, de 19 de abril; del mismo modo que también resulta inconstitucional la inclusión en dicho sistema archivístico de “todos los archivos históricos de titularidad estatal y de interés para la Comunidad de Castilla y León existentes en el territorio de ésta”. Por el contrario, la gestión de los archivos históricos provinciales de titularidad estatal ha sido cedida a la Comunidad Autónoma mediante resolución de 9 de junio de 1986 por la que se da publicidad al convenio de 5 de junio del mismo año entre el Ministerio de Cultura y la Comunidad Autónoma de Castilla y León.</w:t>
      </w:r>
    </w:p>
    <w:p w:rsidR="0026452D" w:rsidRDefault="0026452D" w:rsidP="0026452D">
      <w:pPr>
        <w:pStyle w:val="TextoNormal"/>
      </w:pPr>
    </w:p>
    <w:p w:rsidR="0026452D" w:rsidRDefault="0026452D" w:rsidP="0026452D">
      <w:pPr>
        <w:pStyle w:val="TextoNormal"/>
      </w:pPr>
      <w:r>
        <w:t xml:space="preserve">Añade que aunque la inclusión de los archivos discutidos en el sistema de archivos de la Comunidad Autónoma no tuviera consecuencia práctica alguna, la norma impugnada seguiría siendo inconstitucional porque la misma no tiene competencia normativa en la materia. La doctrina sobre la interpretación conforme podrá invocarse ante la duda de si una norma autonómica de desarrollo vulnera la legislación estatal que desarrolla, pero en el presente caso el legislador autonómico no tiene competencia para legislar sobre el régimen aplicable </w:t>
      </w:r>
      <w:r>
        <w:lastRenderedPageBreak/>
        <w:t>a los archivos de titularidad estatal, de modo que cualquier intromisión en ese ámbito debe reputarse inconstitucional. En todo caso, añade el Abogado del Estado, la inclusión de archivos de titularidad estatal en el sistema de archivos de Castilla y León no es inocua, pues supone la atribución a su Consejería de Cultura de las competencias previstas, entre otros, en el art. 43 de la Ley, es decir, la de coordinación e inspección de los archivos y servicios del sistema, o la aprobación de las normas técnicas de aplicación para los centros y servicios integrados en el sistema archivístico.</w:t>
      </w:r>
    </w:p>
    <w:p w:rsidR="0026452D" w:rsidRDefault="0026452D" w:rsidP="0026452D">
      <w:pPr>
        <w:pStyle w:val="TextoNormal"/>
      </w:pPr>
    </w:p>
    <w:p w:rsidR="0026452D" w:rsidRDefault="0026452D" w:rsidP="0026452D">
      <w:pPr>
        <w:pStyle w:val="TextoNormal"/>
      </w:pPr>
      <w:r>
        <w:t>Señala también el Abogado del Estado que en la exposición de motivos de la ley recurrida se invoca el título competencial previsto en el art. 32.1.12 del Estatuto de Autonomía, que atribuye a la Comunidad Autónoma competencia exclusiva en materia de “patrimonio histórico, artístico, monumental, arqueológico, arquitectónico y científico de interés para la Comunidad, sin perjuicio de la competencia del Estado para su defensa contra la exportación y la expoliación”; siendo conocida la doctrina de este Tribunal según la cual en la competencia autonómica sobre el patrimonio histórico “ha de entenderse comprendida la competencia autonómica para definir el patrimonio documental en cuanto parte integrante de su patrimonio histórico, así como los documentos radicados en su territorio que constituyen ese patrimonio”. En la distinción entre archivo y documentos, la jurisprudencia constitucional concluye que si bien la calificación del documento puede corresponder a la Comunidad Autónoma, las consecuencias de dicha calificación vulnerarían el reparto competencial cuando afecte a los archivos de titularidad estatal y, por tanto, a la competencia exclusiva del Estado conferida por el art. 149.1.28 CE (STC 103/1988, de 8 de junio, FFJJ 3 y 4).</w:t>
      </w:r>
    </w:p>
    <w:p w:rsidR="0026452D" w:rsidRDefault="0026452D" w:rsidP="0026452D">
      <w:pPr>
        <w:pStyle w:val="TextoNormal"/>
      </w:pPr>
    </w:p>
    <w:p w:rsidR="0026452D" w:rsidRDefault="0026452D" w:rsidP="0026452D">
      <w:pPr>
        <w:pStyle w:val="TextoNormal"/>
      </w:pPr>
      <w:r>
        <w:t>Añade que un archivo no es sino un conjunto orgánico de documentos (art. 59.1 de la Ley del Patrimonio Histórico Español) y, por tanto, la competencia sobre el archivo debe extenderse a los documentos en él incluidos, sin los cuales aquél no es nada. Pero es que, en cualquier caso, la ley impugnada, a diferencia de la andaluza objeto de la STC 103/1988, regula directamente archivos de titularidad estatal sin maquillarlo refiriéndose al patrimonio documental que pudiera integrar tales archivos. En este sentido, el art. 47 de la Ley 6/1991, modificado por la ley recurrida, se integra en el título III “Del sistema de archivos de Castilla y León”, capítulo II “De los centros y servicios del Sistema de Archivos”. Por tanto, la Comunidad Autónoma no ejerce la competencia de calificación de los documentos que deben entenderse integrados en el patrimonio histórico castellano-leonés, sino que directamente regula archivos de titularidad estatal, en clara invasión de la competencia exclusiva del art. 149.1.18 CE. Concluye que no parece de recibo que la Comunidad Autónoma pretenda amparar la ley recurrida en la competencia prevista en el art. 32.1.12 de su Estatuto, sin referencia alguna a la previsión del propio art. 32.1.13, relativo a archivos.</w:t>
      </w:r>
    </w:p>
    <w:p w:rsidR="0026452D" w:rsidRDefault="0026452D" w:rsidP="0026452D">
      <w:pPr>
        <w:pStyle w:val="TextoNormal"/>
      </w:pPr>
    </w:p>
    <w:p w:rsidR="0026452D" w:rsidRDefault="0026452D" w:rsidP="0026452D">
      <w:pPr>
        <w:pStyle w:val="TextoNormal"/>
      </w:pPr>
      <w:r w:rsidRPr="0026452D">
        <w:rPr>
          <w:rStyle w:val="NumeroAFNegritaCaracter"/>
        </w:rPr>
        <w:t>2</w:t>
      </w:r>
      <w:r>
        <w:t>. La Sección Cuarta del Tribunal, por providencia de 19 de abril de 2005, acordó admitir a trámite el recurso de inconstitucionalidad; dar traslado de la demanda y de los documentos presentados, de conformidad con lo establecido en el art. 34 de la Ley Orgánica del Tribunal Constitucional (LOTC), al Congreso de los Diputados y al Senado, así como a la Junta y a las Cortes de Castilla y León, por conducto de sus respetivos Presidentes, al objeto de que, en el plazo de quince días, pudieran personarse en el procedimiento y formular alegaciones; se tuvo por invocado por el Presidente del Gobierno el art. 161.2 CE, lo que, a su tenor, produjo la suspensión de la vigencia y aplicación del precepto impugnado; así como, finalmente, publicar la incoación del recurso de inconstitucionalidad y la suspensión acordada en el “Boletín Oficial del Estado” y en el “Boletín Oficial de Castilla y León”.</w:t>
      </w:r>
    </w:p>
    <w:p w:rsidR="0026452D" w:rsidRDefault="0026452D" w:rsidP="0026452D">
      <w:pPr>
        <w:pStyle w:val="TextoNormal"/>
      </w:pPr>
    </w:p>
    <w:p w:rsidR="0026452D" w:rsidRDefault="0026452D" w:rsidP="0026452D">
      <w:pPr>
        <w:pStyle w:val="TextoNormal"/>
      </w:pPr>
      <w:r w:rsidRPr="0026452D">
        <w:rPr>
          <w:rStyle w:val="NumeroAFNegritaCaracter"/>
        </w:rPr>
        <w:t>3</w:t>
      </w:r>
      <w:r>
        <w:t>. La Presidenta en funciones del Congreso de los Diputados, por escrito registrado el 9 de mayo de 2005, comunicó el acuerdo de la Mesa de la Cámara de no personarse en el procedimiento ni formular alegaciones. Mediante escrito registrado el 13 de mayo de 2005, el Presidente del Senado solicitó que se tuviera por personada a la Cámara y ofrecida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4</w:t>
      </w:r>
      <w:r>
        <w:t>. La Junta de Castilla y León, representada por el Procurador de los Tribunales don Federico Olivares de Santiago y asistida por el Letrado don Tomás R. Fernández, mediante escrito registrado el 11 de mayo de 2005, compareció en el proceso y solicitó la desestimación del recurso.</w:t>
      </w:r>
    </w:p>
    <w:p w:rsidR="0026452D" w:rsidRDefault="0026452D" w:rsidP="0026452D">
      <w:pPr>
        <w:pStyle w:val="TextoNormal"/>
      </w:pPr>
    </w:p>
    <w:p w:rsidR="0026452D" w:rsidRDefault="0026452D" w:rsidP="0026452D">
      <w:pPr>
        <w:pStyle w:val="TextoNormal"/>
      </w:pPr>
      <w:r>
        <w:t>A tal fin argumenta que el nuevo art. 47.1 de la Ley 6/1991, de 19 de abril, de archivos y del patrimonio documental de Castilla y León, no supone en absoluto la asunción por la Comunidad Autónoma de la titularidad de los archivos estatales que dicho precepto cita, ni tampoco de la gestión de los mismos, por lo que no implica la más mínima merma de las competencias que sobre ellos ostenta el Estado, ya que éstas están expresamente salvadas, de forma reiterada a lo largo del articulado de la ley, a cuya luz hay que leer el nuevo art. 47.1.</w:t>
      </w:r>
    </w:p>
    <w:p w:rsidR="0026452D" w:rsidRDefault="0026452D" w:rsidP="0026452D">
      <w:pPr>
        <w:pStyle w:val="TextoNormal"/>
      </w:pPr>
    </w:p>
    <w:p w:rsidR="0026452D" w:rsidRDefault="0026452D" w:rsidP="0026452D">
      <w:pPr>
        <w:pStyle w:val="TextoNormal"/>
      </w:pPr>
      <w:r>
        <w:t>Así resulta, por lo pronto, del art. 4.2 de la Ley, que al referirse a los documentos producidos o reunidos por órganos o entidades integrantes de la Administración del Estado que forman parte del patrimonio documental de Castilla y León, precisa a continuación que ello es “sin perjuicio de la legislación estatal que les afecte”. Más específicamente, el art. 10.3 precisa que “en lo que respecta a los bienes integrantes del Patrimonio Documental de Castilla y León conservados en archivos de titularidad estatal, se estará a lo dispuesto en los convenios de gestión celebrados con el Estado y en las leyes y normas reglamentarias de desarrollo que se dicten sobre la materia”, precisión ésta que se reitera en la letra c) del art. 43 (“La gestión de los archivos de titularidad estatal en el marco de los convenios firmados o por firmar con la Administración del Estado”) y nuevamente en la disposición adicional cuarta (“La consulta de los documentos propiedad del Estado conservados en los archivos de titularidad estatal, así como en general la gestión de los archivos de titularidad estatal por la Comunidad Autónoma, se regirá por los convenios establecidos o que se puedan establecer con el Estado y de acuerdo con las normas estatales que les sean de aplicación, sin perjuicio de las competencias que pueda asumir la Comunidad Autónoma en virtud de lo dispuesto en el art. 29 de su Estatuto de Autonomía”).</w:t>
      </w:r>
    </w:p>
    <w:p w:rsidR="0026452D" w:rsidRDefault="0026452D" w:rsidP="0026452D">
      <w:pPr>
        <w:pStyle w:val="TextoNormal"/>
      </w:pPr>
    </w:p>
    <w:p w:rsidR="0026452D" w:rsidRDefault="0026452D" w:rsidP="0026452D">
      <w:pPr>
        <w:pStyle w:val="TextoNormal"/>
      </w:pPr>
      <w:r>
        <w:t>Añade que la inclusión en el sistema de archivos de Castilla y León tiene que entenderse necesariamente “sin perjuicio de la legislación del Estado que les afecte”, en virtud de lo dispuesto con carácter general por el art. 4.2 de la Ley, a cuya luz es obligado interpretar todos sus preceptos y, por lo tanto, también el nuevo art. 47.1. Entiende que difícilmente puede considerarse inconstitucional que el legislador de una Comunidad Autónoma contemple en su conjunto todos los archivos existentes en su territorio, habida cuenta de que ese conjunto reúne sistemáticamente toda la memoria de su trayectoria histórica y está preparado para conservar la que debe guardarse de su presente y de su futuro; menos aún, que exprese su deseo de contribuir a “la conservación, enriquecimiento y difusión” de ese conjunto, que es la misión que el art. 41 de la Ley asigna al sistema de archivos de Castilla y León.</w:t>
      </w:r>
    </w:p>
    <w:p w:rsidR="0026452D" w:rsidRDefault="0026452D" w:rsidP="0026452D">
      <w:pPr>
        <w:pStyle w:val="TextoNormal"/>
      </w:pPr>
    </w:p>
    <w:p w:rsidR="0026452D" w:rsidRDefault="0026452D" w:rsidP="0026452D">
      <w:pPr>
        <w:pStyle w:val="TextoNormal"/>
      </w:pPr>
      <w:r>
        <w:t>Continúa expresando que la Ley 6/1991, de 19 de abril, no precisa las condiciones de integración en el sistema de todos esos archivos, cuya determinación remite a una futura norma reglamentaria (art. 50.1) y a los conciertos o convenios que la Administración autonómica pueda concluir con sus titulares, instrumentos que habrán de hacer “mención expresa de los derechos y obligaciones de las partes firmantes, así como de las singularidades que en cada caso procedan” (art. 50.2). No hay, pues, un único régimen jurídico para todos los archivos que constituyen el sistema de archivos de Castilla y León, sino una pluralidad de regímenes jurídicos, cuya definición en último término habrá de hacerse en cada caso mediante el concreto acuerdo que la Administración autonómica suscriba con las entidades, públicas o privadas, a las que corresponda la titularidad de los archivos de que se trate. Considera que si esto está claro con carácter general, lo es todavía más en lo que respecta a los archivos de titularidad estatal, ya que el art. 43 c) de la Ley establece, al referirse a las competencias de la Consejería de Cultura y Bienestar, que ésta ejercerá “las competencias atribuidas a la Comunidad Autónoma en materia de archivos y patrimonio documental en general” y que en lo que respecta a la gestión de los archivos de titularidad estatal estará a lo que dispongan “los convenios firmados o por firmar con la Administración del Estado”, precisión que reiteran las disposiciones adicionales cuarta y sexta de la ley.</w:t>
      </w:r>
    </w:p>
    <w:p w:rsidR="0026452D" w:rsidRDefault="0026452D" w:rsidP="0026452D">
      <w:pPr>
        <w:pStyle w:val="TextoNormal"/>
      </w:pPr>
    </w:p>
    <w:p w:rsidR="0026452D" w:rsidRDefault="0026452D" w:rsidP="0026452D">
      <w:pPr>
        <w:pStyle w:val="TextoNormal"/>
      </w:pPr>
      <w:r>
        <w:t xml:space="preserve">Por su parte, el art. 43 a) de la Ley refiere expresamente las competencias de la Consejería de Cultura y Bienestar Social en materia de planificación, creación y control de los centros y servicios archivísticos a los de “titularidad autonómica”, exclusivamente. Las competencias de coordinación e inspección de los archivos y servicios archivísticos del sistema se limitan a los archivos “que no sean de titularidad estatal” por el art. 43 b). Las concernientes a la gestión de los archivos de titularidad estatal se reconducen por el art. 43 c) a “los convenios firmados o por firmar con la Administración del Estado”, remisión que se reitera por el art. 43 e). La aprobación por la citada Consejería de normas técnicas </w:t>
      </w:r>
      <w:r w:rsidRPr="0026452D">
        <w:rPr>
          <w:i/>
        </w:rPr>
        <w:t>ex</w:t>
      </w:r>
      <w:r>
        <w:t xml:space="preserve"> art. 43 d): “La Consejería de Cultura y Bienestar Social ejercerá las competencias atribuidas a la Comunidad Autónoma”, hay que entenderla forzosamente referida a los archivos propios de la Comunidad Autónoma. Conforme al art. 43 “la prestación de servicios de conservación y restauración de los bienes integrantes del Patrimonio Documental de Castilla y León” (apartado f) presupone la demanda de esos servicios por los dueños de los bienes en cuestión. “La cooperación e intercambio con otros sistemas de Archivos, la integración en el Sistema Español de Archivos y la incorporación a organizaciones internacionales” (apartado g) es una mera declaración de disponibilidad y de voluntad de colaboración.</w:t>
      </w:r>
    </w:p>
    <w:p w:rsidR="0026452D" w:rsidRDefault="0026452D" w:rsidP="0026452D">
      <w:pPr>
        <w:pStyle w:val="TextoNormal"/>
      </w:pPr>
    </w:p>
    <w:p w:rsidR="0026452D" w:rsidRDefault="0026452D" w:rsidP="0026452D">
      <w:pPr>
        <w:pStyle w:val="TextoNormal"/>
      </w:pPr>
      <w:r>
        <w:t>Explica que el art. 49.2, al referirse a los centros integrantes de las redes provinciales, no incluye a los archivos estatales aludidos por el nuevo art. 47.1 de la Ley, como se desprende con claridad del precepto en el que se establece una correlación entre “los centros que no tengan carácter regional” (subregionales) y las referidas “redes provinciales”; los centros “más que regionales” quedan por hipótesis fuera de esas “redes provinciales”.</w:t>
      </w:r>
    </w:p>
    <w:p w:rsidR="0026452D" w:rsidRDefault="0026452D" w:rsidP="0026452D">
      <w:pPr>
        <w:pStyle w:val="TextoNormal"/>
      </w:pPr>
    </w:p>
    <w:p w:rsidR="0026452D" w:rsidRDefault="0026452D" w:rsidP="0026452D">
      <w:pPr>
        <w:pStyle w:val="TextoNormal"/>
      </w:pPr>
      <w:r>
        <w:t>Sostiene que tampoco puede verse agresión competencial alguna en el art. 51, según el cual el acceso a los archivos integrados en el sistema castellano-leonés y la consulta de sus fondos documentales serán gratuitos, porque tal precepto no puede alcanzar a aquellos archivos cuya gestión no está en manos de la Comunidad Autónoma. Tampoco hay invasión competencial alguna en el art. 52, puesto que se refiere exclusivamente a la selección del personal de “los archivos públicos no estatales”.</w:t>
      </w:r>
    </w:p>
    <w:p w:rsidR="0026452D" w:rsidRDefault="0026452D" w:rsidP="0026452D">
      <w:pPr>
        <w:pStyle w:val="TextoNormal"/>
      </w:pPr>
    </w:p>
    <w:p w:rsidR="0026452D" w:rsidRDefault="0026452D" w:rsidP="0026452D">
      <w:pPr>
        <w:pStyle w:val="TextoNormal"/>
      </w:pPr>
      <w:r>
        <w:t>En relación con los arts. 44 a 46, relativos al Consejo de Archivos de Castilla y León, afirma que éste es un mero “órgano consultivo y asesor de la Administración de la Comunidad Autónoma en materia de archivos y patrimonio documental” (art. 44) que “será oído respecto de las cuestiones técnicas de interés general que plantee la actividad del Sistema” (art. 46). Entiende que no puede considerarse inconstitucional un precepto legal autonómico que contemple la mera audiencia de un órgano consultivo de la Comunidad Autónoma en cuestiones técnicas de interés general sobre la actividad de unos archivos de titularidad estatal que contienen la historia de las gentes de Castilla y León y que se encuentran físicamente radicados en el territorio de dicha Comunidad, máxime porque si el Estado no acepta la necesidad de dar audiencia, la previsión de la ley autonómica carecerá de efectividad.</w:t>
      </w:r>
    </w:p>
    <w:p w:rsidR="0026452D" w:rsidRDefault="0026452D" w:rsidP="0026452D">
      <w:pPr>
        <w:pStyle w:val="TextoNormal"/>
      </w:pPr>
    </w:p>
    <w:p w:rsidR="0026452D" w:rsidRDefault="0026452D" w:rsidP="0026452D">
      <w:pPr>
        <w:pStyle w:val="TextoNormal"/>
      </w:pPr>
      <w:r>
        <w:t>Por consiguiente, la nueva redacción dada al art. 47.1 de la Ley 6/1991, de 19 de abril, interpretada en el contexto sistemático del texto legal no daña las competencias que el Estado ostenta sobre los archivos de Simancas, de la Real Chancillería de Valladolid y de la Guerra Civil. La inclusión no tiene otro significado que el de contribuir a “la conservación, enriquecimiento y difusión del Patrimonio Documental de Castilla y León”, que es la misión que el art. 41 asigna al sistema, contribución que, según resulta del título III de la Ley, se concreta en el ofrecimiento a todos los elementos constitutivos del sistema de los servicios que la ley en cuestión crea.</w:t>
      </w:r>
    </w:p>
    <w:p w:rsidR="0026452D" w:rsidRDefault="0026452D" w:rsidP="0026452D">
      <w:pPr>
        <w:pStyle w:val="TextoNormal"/>
      </w:pPr>
    </w:p>
    <w:p w:rsidR="0026452D" w:rsidRDefault="0026452D" w:rsidP="0026452D">
      <w:pPr>
        <w:pStyle w:val="TextoNormal"/>
      </w:pPr>
      <w:r>
        <w:t>En definitiva, el precepto legal impugnado, interpretado sistemáticamente en el contexto de la Ley 6/1991 de la que forma parte, no altera las competencias que el Estado ostenta sobre los archivos de los que es titular, ni modifica el régimen jurídico al que dichos archivos están hoy sujetos.</w:t>
      </w:r>
    </w:p>
    <w:p w:rsidR="0026452D" w:rsidRDefault="0026452D" w:rsidP="0026452D">
      <w:pPr>
        <w:pStyle w:val="TextoNormal"/>
      </w:pPr>
    </w:p>
    <w:p w:rsidR="0026452D" w:rsidRDefault="0026452D" w:rsidP="0026452D">
      <w:pPr>
        <w:pStyle w:val="TextoNormal"/>
      </w:pPr>
      <w:r w:rsidRPr="0026452D">
        <w:rPr>
          <w:rStyle w:val="NumeroAFNegritaCaracter"/>
        </w:rPr>
        <w:t>5</w:t>
      </w:r>
      <w:r>
        <w:t>. El Letrado de las Cortes de Castilla y León, mediante escrito presentado el 17 de mayo de 2005, solicita la desestimación del recurso de inconstitucional. Comienza señalando que la competencia del Estado sobre los archivos de titularidad estatal, tal y como se indica expresamente en la ley impugnada, en modo alguno es discutida ni cuestionada. Con todo, no puede ignorarse la existencia de otros títulos competenciales que inciden en la materia; entre ellos, y sin aludir al más general relativo a la cultura (arts. 44, 46 y 149.2 CE), está la competencia en materia de patrimonio histórico, asumida con carácter exclusivo por la Comunidad Autónoma en el art. 32.1.12 de su Estatuto de Autonomía. Que los archivos enumerados en la ley impugnada sean de titularidad y gestión estatal, no impide su consideración como bienes del patrimonio histórico de la Comunidad. El problema ha de centrarse en las consecuencias jurídicas de la modificación introducida por la ley objeto del recurso, antes que en un examen de la carencia de título competencial concreto.</w:t>
      </w:r>
    </w:p>
    <w:p w:rsidR="0026452D" w:rsidRDefault="0026452D" w:rsidP="0026452D">
      <w:pPr>
        <w:pStyle w:val="TextoNormal"/>
      </w:pPr>
    </w:p>
    <w:p w:rsidR="0026452D" w:rsidRDefault="0026452D" w:rsidP="0026452D">
      <w:pPr>
        <w:pStyle w:val="TextoNormal"/>
      </w:pPr>
      <w:r>
        <w:t>Expone también que la STC 103/1988, de 8 de junio, señaló que la mención en una ley autonómica de los archivos estatales no es, por sí sola, acreedora a la tacha de inconstitucionalidad, si el régimen jurídico de tales archivos no se ve alterado por la Ley. Sólo en el supuesto de que existiera una intrusión de la Ley autonómica en el régimen jurídico aplicable a los archivos de titularidad y gestión estatal sería cuando podría darse el caso de una extralimitación competencial, con las consecuencias que de ello pudieran derivarse, especialmente en orden a su eventual inconstitucionalidad.</w:t>
      </w:r>
    </w:p>
    <w:p w:rsidR="0026452D" w:rsidRDefault="0026452D" w:rsidP="0026452D">
      <w:pPr>
        <w:pStyle w:val="TextoNormal"/>
      </w:pPr>
    </w:p>
    <w:p w:rsidR="0026452D" w:rsidRDefault="0026452D" w:rsidP="0026452D">
      <w:pPr>
        <w:pStyle w:val="TextoNormal"/>
      </w:pPr>
      <w:r>
        <w:lastRenderedPageBreak/>
        <w:t>Sin embargo, continúa, la inclusión de los archivos estatales en el sistema de archivos de Castilla y León no supone ni la asunción de la titularidad ni de la gestión de los archivos. Ambos aspectos —titularidad y gestión— resultan salvados de manera explícita y reiterada en la Ley 6/1991; así, en los arts. 4.2, 10.3, 43 c) y disposición adicional cuarta.</w:t>
      </w:r>
    </w:p>
    <w:p w:rsidR="0026452D" w:rsidRDefault="0026452D" w:rsidP="0026452D">
      <w:pPr>
        <w:pStyle w:val="TextoNormal"/>
      </w:pPr>
    </w:p>
    <w:p w:rsidR="0026452D" w:rsidRDefault="0026452D" w:rsidP="0026452D">
      <w:pPr>
        <w:pStyle w:val="TextoNormal"/>
      </w:pPr>
      <w:r>
        <w:t>Expresa que la razón por la que se crea el sistema de archivos de Castilla y León tiene su respuesta en la propia Ley 6/1991, cuyo art. 41 dice: “El Sistema de Archivos de Castilla y León es el conjunto de órganos, centros y servicios cuya misión es la conservación, enriquecimiento y difusión del Patrimonio Documental de Castilla y León”. Tales fines, añade, no sólo se prestan a la aplicación del principio de cooperación entre Administraciones sino que su eficaz consecución lo exige.</w:t>
      </w:r>
    </w:p>
    <w:p w:rsidR="0026452D" w:rsidRDefault="0026452D" w:rsidP="0026452D">
      <w:pPr>
        <w:pStyle w:val="TextoNormal"/>
      </w:pPr>
    </w:p>
    <w:p w:rsidR="0026452D" w:rsidRDefault="0026452D" w:rsidP="0026452D">
      <w:pPr>
        <w:pStyle w:val="TextoNormal"/>
      </w:pPr>
      <w:r>
        <w:t>Por su parte, el art. 43 de la Ley especifica las competencias que la Comunidad ejerce. Así, en su letra a) se refiere a la planificación, creación y organización, limitada a los archivos de titularidad autonómica y a los que se establezcan en colaboración con otras Administraciones. La letra b), referida a la coordinación e inspección, excluye expresamente a los archivos de titularidad estatal. La letra c), al referirse a la gestión de los archivos de titularidad estatal, la supedita a los convenios previos necesarios para asumir tal gestión. La letra d), referida a la aprobación de normas técnicas, la supedita a que la Comunidad Autónoma tenga la gestión, en el caso de los de titularidad estatal. El resto de atribuciones no hacen sino establecer obligaciones para la propia Comunidad Autónoma.</w:t>
      </w:r>
    </w:p>
    <w:p w:rsidR="0026452D" w:rsidRDefault="0026452D" w:rsidP="0026452D">
      <w:pPr>
        <w:pStyle w:val="TextoNormal"/>
      </w:pPr>
    </w:p>
    <w:p w:rsidR="0026452D" w:rsidRDefault="0026452D" w:rsidP="0026452D">
      <w:pPr>
        <w:pStyle w:val="TextoNormal"/>
      </w:pPr>
      <w:r>
        <w:t>Por tanto, dentro de los fines establecidos en el art. 41, una interpretación sistemática de la Ley, ha de llevar a la conclusión de que la inclusión en el sistema, además de limitarse a ser una mera mención de formar parte del patrimonio de la Comunidad Autónoma, sirve para posibilitar el ejercicio de otras competencias de la Comunidad, una de carácter exclusivo, relativa al patrimonio, y otra de carácter concurrente, relativa a la cultura. Esta inclusión permitirá colaborar en el acrecentamiento, conservación y difusión de los archivos, como bienes integrantes del patrimonio de la Comunidad; es más, no sólo permitirá el ejercicio de estos auténticos deberes, sino que la propia Comunidad Autónoma, de alguna manera, refuerza su obligación, todo ello sin interferencia ni menoscabo de la actuación estatal que queda a salvo, no sólo en la titularidad sino también en la gestión.</w:t>
      </w:r>
    </w:p>
    <w:p w:rsidR="0026452D" w:rsidRDefault="0026452D" w:rsidP="0026452D">
      <w:pPr>
        <w:pStyle w:val="TextoNormal"/>
      </w:pPr>
    </w:p>
    <w:p w:rsidR="0026452D" w:rsidRDefault="0026452D" w:rsidP="0026452D">
      <w:pPr>
        <w:pStyle w:val="TextoNormal"/>
      </w:pPr>
      <w:r w:rsidRPr="0026452D">
        <w:rPr>
          <w:rStyle w:val="NumeroAFNegritaCaracter"/>
        </w:rPr>
        <w:t>6</w:t>
      </w:r>
      <w:r>
        <w:t>. Mediante otrosí, en su escrito de 17 de mayo de 2005 el Letrado de las Cortes de Castilla y León solicitó el levantamiento anticipado de la suspensión del precepto legal recurrido. Tras oír a las partes, el Tribunal acordó (ATC 300/2005, de 5 de julio) levantar la suspensión de la vigencia del precepto objeto de impugnación.</w:t>
      </w:r>
    </w:p>
    <w:p w:rsidR="0026452D" w:rsidRDefault="0026452D" w:rsidP="0026452D">
      <w:pPr>
        <w:pStyle w:val="TextoNormal"/>
      </w:pPr>
    </w:p>
    <w:p w:rsidR="0026452D" w:rsidRDefault="0026452D" w:rsidP="0026452D">
      <w:pPr>
        <w:pStyle w:val="TextoNormal"/>
      </w:pPr>
      <w:r w:rsidRPr="0026452D">
        <w:rPr>
          <w:rStyle w:val="NumeroAFNegritaCaracter"/>
        </w:rPr>
        <w:t>7</w:t>
      </w:r>
      <w:r>
        <w:t>. Mediante providencia de12 de febrero de 2013 se señaló para deliberación y votación de la presente Sentencia el día 14 del mismo mes y año, trámite que ha finalizado en el día de hoy.</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El presente recurso de inconstitucionalidad ha sido interpuesto por el Abogado del Estado, en nombre del Presidente del Gobierno de la Nación, contra el artículo único de la Ley de la Comunidad Autónoma de Castilla y León 7/2004, de 22 de diciembre, que da </w:t>
      </w:r>
      <w:r>
        <w:lastRenderedPageBreak/>
        <w:t>nueva redacción al art. 47 de la Ley 6/1991, de 19 de abril, de archivos y patrimonio documental de Castilla y León. El precepto impugnado incorpora al sistema de archivos de Castilla y León “el Archivo General de Simancas, el Archivo de la Real Cancillería de Valladolid, el Archivo General de la Guerra Civil Española con sede en Salamanca y, en general, todos los archivos históricos de titularidad estatal y de interés para la Comunidad de Castilla y León existentes en el territorio de ésta”.</w:t>
      </w:r>
    </w:p>
    <w:p w:rsidR="0026452D" w:rsidRDefault="0026452D" w:rsidP="0026452D">
      <w:pPr>
        <w:pStyle w:val="TextoNormal"/>
      </w:pPr>
    </w:p>
    <w:p w:rsidR="0026452D" w:rsidRDefault="0026452D" w:rsidP="0026452D">
      <w:pPr>
        <w:pStyle w:val="TextoNormal"/>
      </w:pPr>
      <w:r>
        <w:t>De acuerdo con su art. 1.1, la mencionada Ley 6/1991, de 19 de abril, tiene por objeto “la protección, acrecentamiento y difusión del Patrimonio Documental de Castilla y León y la articulación de un sistema castellano-leonés de archivos que garantice la conservación y posibilite el conocimiento de este importante legado histórico cultural”.</w:t>
      </w:r>
    </w:p>
    <w:p w:rsidR="0026452D" w:rsidRDefault="0026452D" w:rsidP="0026452D">
      <w:pPr>
        <w:pStyle w:val="TextoNormal"/>
      </w:pPr>
    </w:p>
    <w:p w:rsidR="0026452D" w:rsidRDefault="0026452D" w:rsidP="0026452D">
      <w:pPr>
        <w:pStyle w:val="TextoNormal"/>
      </w:pPr>
      <w:r>
        <w:t>El sistema castellano-leonés de archivos al que alude el anterior precepto se define como “el conjunto de órganos, centros y servicios cuya misión es la conservación, enriquecimiento y difusión del Patrimonio Documental de Castilla y León” (art. 41).</w:t>
      </w:r>
    </w:p>
    <w:p w:rsidR="0026452D" w:rsidRDefault="0026452D" w:rsidP="0026452D">
      <w:pPr>
        <w:pStyle w:val="TextoNormal"/>
      </w:pPr>
    </w:p>
    <w:p w:rsidR="0026452D" w:rsidRDefault="0026452D" w:rsidP="0026452D">
      <w:pPr>
        <w:pStyle w:val="TextoNormal"/>
      </w:pPr>
      <w:r>
        <w:t>Conviene advertir que el art. 47 de la Ley, ya desde su redacción originaria, incluía en el sistema archivístico de Castilla y León a los archivos históricos provinciales, los cuales son archivos de titularidad estatal cuya gestión ha sido traspasada a la Comunidad Autónoma. Lo que la reforma operada por la ley impugnada ha llevado a cabo es incorporar al sistema archivístico autonómico el Archivo General de Simancas, el Archivo de la Real Chancillería de Valladolid, el Archivo General de la Guerra Civil Española (actual Centro Documental de la Memoria Histórica) y, en general, todos los archivos históricos de titularidad estatal y de interés para la Comunidad de Castilla y León existentes en el territorio de ésta.</w:t>
      </w:r>
    </w:p>
    <w:p w:rsidR="0026452D" w:rsidRDefault="0026452D" w:rsidP="0026452D">
      <w:pPr>
        <w:pStyle w:val="TextoNormal"/>
      </w:pPr>
    </w:p>
    <w:p w:rsidR="0026452D" w:rsidRDefault="0026452D" w:rsidP="0026452D">
      <w:pPr>
        <w:pStyle w:val="TextoNormal"/>
      </w:pPr>
      <w:r>
        <w:t>Esta inclusión es la que motiva la interposición del recurso de inconstitucionalidad, razonando el Abogado del Estado que tal inclusión en el sistema de archivos de Castilla y León constituye una extralimitación competencial del legislador autonómico, ya que el art. 149.1.28 en relación con el 149.2, ambos de la Constitución, atribuyen al Estado una competencia exclusiva sobre los archivos de su titularidad, incluyendo la legislación, su desarrollo y ejecución, sin perjuicio de que en el ejercicio de esa competencia pueda el Estado atribuir a las Comunidades Autónomas, en los términos que considere oportunos, la competencia de gestión.</w:t>
      </w:r>
    </w:p>
    <w:p w:rsidR="0026452D" w:rsidRDefault="0026452D" w:rsidP="0026452D">
      <w:pPr>
        <w:pStyle w:val="TextoNormal"/>
      </w:pPr>
    </w:p>
    <w:p w:rsidR="0026452D" w:rsidRDefault="0026452D" w:rsidP="0026452D">
      <w:pPr>
        <w:pStyle w:val="TextoNormal"/>
      </w:pPr>
      <w:r>
        <w:t>Por el contrario, tanto la Junta como las Cortes de Castilla y León, sin negar la titularidad estatal de los referidos Archivos ni las competencias que sobre ellos confieren al Estado los arts. 149.1.28 y 149.2 CE, entienden que la reforma legal impugnada en modo alguno altera el régimen de distribución de competencias sobre esta materia. A su juicio, la inclusión no tiene otro significado que el de contribuir a “la conservación, enriquecimiento y difusión del patrimonio documental de Castilla y León”, que es la misión que el art. 41 de la Ley 6/1991 asigna al sistema archivístico, contribución que, según resulta del título III de la misma, se concreta en el ofrecimiento de los servicios que la Ley crea.</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Una vez identificados el objeto del recurso y la posición de las partes, antes de abordar el examen de la constitucionalidad del precepto impugnado es preciso añadir que el parámetro de constitucionalidad del que hemos de servirnos viene dado, de una parte, por los arts. 149.1.28 y 149.2, ambos de la Constitución. Conforme al primero de ellos, el Estado tiene competencia exclusiva sobre “museos, bibliotecas y archivos de titularidad estatal, sin </w:t>
      </w:r>
      <w:r>
        <w:lastRenderedPageBreak/>
        <w:t>perjuicio de su gestión por parte de las Comunidades Autónomas”. Añade el art. 149.2 CE que “sin perjuicio de las competencias que podrán asumir las Comunidades Autónomas, el Estado considerará el servicio de la cultura como deber y atribución esencial y facilitará la comunicación cultural entre las Comunidades Autónomas, de acuerdo con ellas”.</w:t>
      </w:r>
    </w:p>
    <w:p w:rsidR="0026452D" w:rsidRDefault="0026452D" w:rsidP="0026452D">
      <w:pPr>
        <w:pStyle w:val="TextoNormal"/>
      </w:pPr>
    </w:p>
    <w:p w:rsidR="0026452D" w:rsidRDefault="0026452D" w:rsidP="0026452D">
      <w:pPr>
        <w:pStyle w:val="TextoNormal"/>
      </w:pPr>
      <w:r>
        <w:t>En segundo lugar, debemos tomar en consideración el Estatuto de Autonomía de Castilla y León, pero advirtiendo que con posterioridad a la admisión a trámite de este recurso de inconstitucionalidad se ha producido la aprobación de la Ley Orgánica 14/2007, de 30 de noviembre, de reforma del Estatuto, por lo que, de acuerdo con nuestra doctrina, las cuestiones que se controvierten se decidirán teniendo en cuenta las nuevas prescripciones estatutarias que puedan ser de aplicación, pues cuando la duda de constitucionalidad se basa en un problema de delimitación competencial y el juicio de constitucionalidad ha de producirse por el contraste no sólo con la Constitución, sino con el llamado bloque de la constitucionalidad (art. 28.1 de la Ley Orgánica del Tribunal Constitucional), este Tribunal habrá de considerar las leyes vigentes y las bases materiales establecidas en el momento de formularse el juicio y dictarse la sentencia [SSTC 87/1985, de 16 de julio, FJ 8; 179/1998, de 16 de septiembre, FJ 2; 134/2011, de 20 de julio, FJ 2 d); y 120/2012, de 4 de junio, FJ 2 c)]. No obstante, debe advertirse que los preceptos estatutarios con incidencia en el presente proceso constitucional solamente han sido objeto de renumeración por la mencionada Ley Orgánica 14/2007, de 30 de noviembre.</w:t>
      </w:r>
    </w:p>
    <w:p w:rsidR="0026452D" w:rsidRDefault="0026452D" w:rsidP="0026452D">
      <w:pPr>
        <w:pStyle w:val="TextoNormal"/>
      </w:pPr>
    </w:p>
    <w:p w:rsidR="0026452D" w:rsidRDefault="0026452D" w:rsidP="0026452D">
      <w:pPr>
        <w:pStyle w:val="TextoNormal"/>
      </w:pPr>
      <w:r>
        <w:t>Así, el art. 70.1.31 e), que mantiene igual redacción que el precedente art. 32.1.13 del Estatuto de Autonomía, dispone que la Comunidad de Castilla y León tiene competencia exclusiva en materia de “museos, bibliotecas, hemerotecas, archivos y otros centros culturales y de depósito de interés para la Comunidad y que no sean de titularidad estatal”.</w:t>
      </w:r>
    </w:p>
    <w:p w:rsidR="0026452D" w:rsidRDefault="0026452D" w:rsidP="0026452D">
      <w:pPr>
        <w:pStyle w:val="TextoNormal"/>
      </w:pPr>
    </w:p>
    <w:p w:rsidR="0026452D" w:rsidRDefault="0026452D" w:rsidP="0026452D">
      <w:pPr>
        <w:pStyle w:val="TextoNormal"/>
      </w:pPr>
      <w:r>
        <w:t>Por su parte, el art. 76.4 —con igual redacción que el precedente art. 36.4— añade que “corresponde a la Comunidad de Castilla y León, en los términos que establezcan las leyes y las normas reglamentarias que en su desarrollo dicte el Estado, la función ejecutiva en las siguientes materias: … Gestión de museos, archivos, bibliotecas y colecciones de naturaleza análoga de titularidad estatal que no se reserve el Estado. Los términos de la gestión serán fijados mediante convenios”.</w:t>
      </w:r>
    </w:p>
    <w:p w:rsidR="0026452D" w:rsidRDefault="0026452D" w:rsidP="0026452D">
      <w:pPr>
        <w:pStyle w:val="TextoNormal"/>
      </w:pPr>
    </w:p>
    <w:p w:rsidR="0026452D" w:rsidRDefault="0026452D" w:rsidP="0026452D">
      <w:pPr>
        <w:pStyle w:val="TextoNormal"/>
      </w:pPr>
      <w:r>
        <w:t>Finalmente, el art. 70.1.31 d) —con igual dicción que el anterior art. 32.1.12— atribuye a la Comunidad de Castilla y León competencia exclusiva en materia de “patrimonio histórico, artístico, monumental, arqueológico, arquitectónico y científico de interés para la Comunidad, sin perjuicio de la competencia del Estado para su defensa contra la exportación y la expoliación”.</w:t>
      </w:r>
    </w:p>
    <w:p w:rsidR="0026452D" w:rsidRDefault="0026452D" w:rsidP="0026452D">
      <w:pPr>
        <w:pStyle w:val="TextoNormal"/>
      </w:pPr>
    </w:p>
    <w:p w:rsidR="0026452D" w:rsidRDefault="0026452D" w:rsidP="0026452D">
      <w:pPr>
        <w:pStyle w:val="TextoNormal"/>
      </w:pPr>
      <w:r w:rsidRPr="0026452D">
        <w:rPr>
          <w:rStyle w:val="NumeroAFNegritaCaracter"/>
        </w:rPr>
        <w:t>3</w:t>
      </w:r>
      <w:r>
        <w:t>. Una vez definido el parámetro de constitucionalidad del precepto impugnado, debemos referirnos a la plasmación que el régimen competencial descrito ha tenido en relación con los archivos de titularidad estatal radicados en Castilla y León.</w:t>
      </w:r>
    </w:p>
    <w:p w:rsidR="0026452D" w:rsidRDefault="0026452D" w:rsidP="0026452D">
      <w:pPr>
        <w:pStyle w:val="TextoNormal"/>
      </w:pPr>
    </w:p>
    <w:p w:rsidR="0026452D" w:rsidRDefault="0026452D" w:rsidP="0026452D">
      <w:pPr>
        <w:pStyle w:val="TextoNormal"/>
      </w:pPr>
      <w:r>
        <w:t xml:space="preserve">Con sustento en la competencia atribuida al Estado por el art. 149.1.28 CE —plasmada en el art. 61 de la Ley 16/1985, de 25 de junio, del patrimonio histórico español, y en el art. 10.1, letra l) del Real Decreto 257/2012, de 27 de enero— existen en la actualidad doce archivos de titularidad estatal en Castilla y León: el Archivo General de Simancas, el Archivo de la Real Chancillería de Valladolid, el Centro Documental de la Memoria Histórica </w:t>
      </w:r>
      <w:r>
        <w:lastRenderedPageBreak/>
        <w:t>(antiguo Archivo General de la Guerra Civil Española) y los archivos históricos provinciales de Ávila, Burgos, León, Palencia, Salamanca, Segovia, Soria, Valladolid y Zamora.</w:t>
      </w:r>
    </w:p>
    <w:p w:rsidR="0026452D" w:rsidRDefault="0026452D" w:rsidP="0026452D">
      <w:pPr>
        <w:pStyle w:val="TextoNormal"/>
      </w:pPr>
    </w:p>
    <w:p w:rsidR="0026452D" w:rsidRDefault="0026452D" w:rsidP="0026452D">
      <w:pPr>
        <w:pStyle w:val="TextoNormal"/>
      </w:pPr>
      <w:r>
        <w:t>De conformidad con el propio art. 149.1.28 CE, la gestión de estos archivos de titularidad estatal puede quedar reservada al Estado o, en su caso, ser transferida a las Comunidades Autónomas. En particular, el Estado se ha reservado la gestión del Archivo General de Simancas, del Archivo de la Real Chancillería de Valladolid y del Centro Documental de la Memoria Histórica.</w:t>
      </w:r>
    </w:p>
    <w:p w:rsidR="0026452D" w:rsidRDefault="0026452D" w:rsidP="0026452D">
      <w:pPr>
        <w:pStyle w:val="TextoNormal"/>
      </w:pPr>
    </w:p>
    <w:p w:rsidR="0026452D" w:rsidRDefault="0026452D" w:rsidP="0026452D">
      <w:pPr>
        <w:pStyle w:val="TextoNormal"/>
      </w:pPr>
      <w:r>
        <w:t>En relación con los demás archivos de titularidad estatal, el Real Decreto 3019/1983, de 21 de septiembre, sobre traspaso de funciones y servicios del Estado, en materia de cultura, a la Comunidad de Castilla y León, dispuso que mediante convenio entre el Ministerio de Cultura y la Comunidad Autónoma se establecieran los términos de los derechos y obligaciones que ambas partes en materia de gestión de museos, archivos y bibliotecas de titularidad estatal. Este convenio fue publicado en el “Boletín Oficial del Estado” de 3 de julio de 1986, en virtud de resolución de 9 de junio de 1986 de la Secretaría General Técnica del Ministerio de Cultura.</w:t>
      </w:r>
    </w:p>
    <w:p w:rsidR="0026452D" w:rsidRDefault="0026452D" w:rsidP="0026452D">
      <w:pPr>
        <w:pStyle w:val="TextoNormal"/>
      </w:pPr>
    </w:p>
    <w:p w:rsidR="0026452D" w:rsidRDefault="0026452D" w:rsidP="0026452D">
      <w:pPr>
        <w:pStyle w:val="TextoNormal"/>
      </w:pPr>
      <w:r>
        <w:t>Finalmente, todos ellos, bajo la calificación de archivos históricos, forman parte del sistema de archivos de la Administración General del Estado que, a su vez, se integra en el sistema español de archivos, constituido y regulado por el Real Decreto 1708/2011, de 18 de noviembre, que comprende los archivos de la Administración General del Estado y el resto de los archivos públicos y privados que se vinculen al sistema mediante los correspondientes instrumentos de cooperación.</w:t>
      </w:r>
    </w:p>
    <w:p w:rsidR="0026452D" w:rsidRDefault="0026452D" w:rsidP="0026452D">
      <w:pPr>
        <w:pStyle w:val="TextoNormal"/>
      </w:pPr>
    </w:p>
    <w:p w:rsidR="0026452D" w:rsidRDefault="0026452D" w:rsidP="0026452D">
      <w:pPr>
        <w:pStyle w:val="TextoNormal"/>
      </w:pPr>
      <w:r w:rsidRPr="0026452D">
        <w:rPr>
          <w:rStyle w:val="NumeroAFNegritaCaracter"/>
        </w:rPr>
        <w:t>4</w:t>
      </w:r>
      <w:r>
        <w:t>. Lo que en este proceso constitucional se controvierte es si la inclusión de los indicados archivos de titularidad estatal en el sistema de archivos de Castilla y León supone una alteración del régimen competencial descrito. Para dar respuesta a ello habremos de tener presentes ciertos pronunciamientos anteriores de este Tribunal estrechamente vinculados a la cuestión enjuiciada.</w:t>
      </w:r>
    </w:p>
    <w:p w:rsidR="0026452D" w:rsidRDefault="0026452D" w:rsidP="0026452D">
      <w:pPr>
        <w:pStyle w:val="TextoNormal"/>
      </w:pPr>
    </w:p>
    <w:p w:rsidR="0026452D" w:rsidRDefault="0026452D" w:rsidP="0026452D">
      <w:pPr>
        <w:pStyle w:val="TextoNormal"/>
      </w:pPr>
      <w:r>
        <w:t xml:space="preserve">Así, la STC 103/1988, de 8 de junio, en la que a propósito de la impugnación de la Ley del Parlamento de Andalucía 3/1984, de 9 de enero, valoramos como intervenciones legislativas diferentes la calificación de documentos y la ordenación de archivos. Y es que, ciertamente, ha de distinguirse la competencia para definir e integrar los elementos que componen el patrimonio documental y la competencia sobre los archivos que contienen dichos documentos. Por lo que se refiere a la primera, las competencias autonómicas sobre patrimonio histórico incluyen la capacidad para definir los elementos integrantes del mismo, y ello aun en el caso de que los documentos de interés para la Comunidad Autónoma se integren en archivos de titularidad estatal, siendo la Comunidad Autónoma la que puede establecer la definición y los elementos integrantes de su patrimonio documental con independencia de la titularidad de los documentos y del archivo en que se hallen ubicados (FJ 3). Por el contrario, si la legislación autonómica contuviera referencias a los archivos de titularidad estatal, en el sentido de llevar a cabo regulaciones reservadas a la competencia legislativa del Estado, se rebasarían los límites competenciales que derivan del art. 149.1.28 CE y, eventualmente, del Estatuto de Autonomía; mientras que si las disposiciones de la Ley se </w:t>
      </w:r>
      <w:r>
        <w:lastRenderedPageBreak/>
        <w:t>refieren o pueden entenderse referidas únicamente a los archivos de competencia de la Comunidad Autónoma, no se habría traspasado, evidentemente, ese límite competencial (FJ 4).</w:t>
      </w:r>
    </w:p>
    <w:p w:rsidR="0026452D" w:rsidRDefault="0026452D" w:rsidP="0026452D">
      <w:pPr>
        <w:pStyle w:val="TextoNormal"/>
      </w:pPr>
    </w:p>
    <w:p w:rsidR="0026452D" w:rsidRDefault="0026452D" w:rsidP="0026452D">
      <w:pPr>
        <w:pStyle w:val="TextoNormal"/>
      </w:pPr>
      <w:r>
        <w:t>Posteriormente, en la STC 17/1991, de 31 de enero, con motivo de que la Generalitat de Cataluña rechazara la competencia del Estado para dictar un reglamento de organización, funcionamiento y personal de los archivos, bibliotecas y museos de titularidad estatal, dijimos que la transferencia de la gestión sobre estos archivos no conlleva la atribución de la potestad reglamentaria, pues lo que en su párrafo final establece el art. 149.1.28 CE es la posibilidad de transferir la gestión de los establecimientos citados a las Comunidades Autónomas, y que, una vez hecho, a la Comunidad Autónoma corresponde “la ejecución de la legislación del Estado” esto es, sujetando su gestión a las normas reglamentarias que en desarrollo de su legislación dicte el Estado (FJ 19).</w:t>
      </w:r>
    </w:p>
    <w:p w:rsidR="0026452D" w:rsidRDefault="0026452D" w:rsidP="0026452D">
      <w:pPr>
        <w:pStyle w:val="TextoNormal"/>
      </w:pPr>
    </w:p>
    <w:p w:rsidR="0026452D" w:rsidRDefault="0026452D" w:rsidP="0026452D">
      <w:pPr>
        <w:pStyle w:val="TextoNormal"/>
      </w:pPr>
      <w:r>
        <w:t>Singular importancia ofrecen los pronunciamientos de la STC 31/2010, de 28 de junio, en relación con la constitucionalidad del art. 127.2 (FJ 73) y de la disposición adicional decimotercera del actual Estatuto de Autonomía de Cataluña (FJ 74). En los mismos se concluye que no contradice el art. 149.1.28 CE, en relación con el art. 149.2 CE, que los fondos ubicados en archivos de titularidad estatal se integren en sistemas archivísticos de las Comunidades Autónomas, en cuanto ello implique una calificación que sólo añada una sobreprotección a dichos fondos, pero sin incidencia en la regulación, disposición o gestión de los fondos documentales ni de los archivos en que se ubican. Esta apreciación fue reiterada en las Sentencias que resolvieron los recursos de inconstitucionalidad promovidos contra la misma disposición adicional decimotercera por el Consejo de Gobierno de la Diputación General de Aragón (STC 46/2010, de 8 de septiembre), el Consejo de Gobierno de la Comunidad Autónoma de las Illes Balears (STC 47/2010, de 8 de septiembre) y la Generalitat de la Comunidad Valenciana (STC 48/2010, de 9 de septiembre).</w:t>
      </w:r>
    </w:p>
    <w:p w:rsidR="0026452D" w:rsidRDefault="0026452D" w:rsidP="0026452D">
      <w:pPr>
        <w:pStyle w:val="TextoNormal"/>
      </w:pPr>
    </w:p>
    <w:p w:rsidR="0026452D" w:rsidRDefault="0026452D" w:rsidP="0026452D">
      <w:pPr>
        <w:pStyle w:val="TextoNormal"/>
      </w:pPr>
      <w:r>
        <w:t>Por último, debemos tomar en consideración la reciente STC 14/2013, de 31 de enero, en la que nos hemos pronunciado sobre la constitucionalidad de la inclusión por la Ley del Parlamento catalán 10/2001, de 13 de julio, de ciertos archivos de titularidad estatal en el sistema archivístico de Cataluña. En ella hemos reiterado que la legislación autonómica no es aplicable a los archivos de titularidad estatal, incluso aunque éstos custodien fondos que la legislación autonómica declare ahora o en el futuro como pertenecientes al patrimonio documental autonómico (FJ 6). Por ello concluimos en relación con el Archivo de la Corona de Aragón, en cuanto archivo cuya gestión tiene reservada el Estado, que la Comunidad Autónoma de Cataluña carece de competencias sobre el mismo, sin perjuicio de su participación en el Patronato del Archivo de la Corona de Aragón constituido por el Real Decreto 1267/2006, de 8 de noviembre. Y que en lo tocante a los archivos históricos provinciales cuya gestión ha transferido el Estado a la Comunidad Autónoma, corresponde a ésta la ejecución de la normativa —legal y reglamentaria— aprobada por el Estado, conforme al correspondiente convenio de traspaso de competencias, careciendo la Comunidad Autónoma en este ámbito de una potestad reglamentaria de alcance general, estando limitada a la emanación de reglamentos de organización interna y de ordenación funcional de la competencia ejecutiva autonómica, de acuerdo con lo que dicho en el fundamento jurídico 61 de la misma STC 31/2010, de 28 de junio.</w:t>
      </w:r>
    </w:p>
    <w:p w:rsidR="0026452D" w:rsidRDefault="0026452D" w:rsidP="0026452D">
      <w:pPr>
        <w:pStyle w:val="TextoNormal"/>
      </w:pPr>
    </w:p>
    <w:p w:rsidR="0026452D" w:rsidRDefault="0026452D" w:rsidP="0026452D">
      <w:pPr>
        <w:pStyle w:val="TextoNormal"/>
      </w:pPr>
      <w:r>
        <w:lastRenderedPageBreak/>
        <w:t>En definitiva, rigiéndose los archivos de titularidad estatal exclusivamente por la legislación del Estado, la inclusión de sus fondos en un sistema de archivos autonómico no tiene otro posible efecto que el admitido en la STC 31/2010, de 28 de junio, esto es, en su caso, “introducir una calificación que sólo puede añadir una sobreprotección a dichos fondos”, lo cual no menoscaba la competencia estatal (FJ 74).</w:t>
      </w:r>
    </w:p>
    <w:p w:rsidR="0026452D" w:rsidRDefault="0026452D" w:rsidP="0026452D">
      <w:pPr>
        <w:pStyle w:val="TextoNormal"/>
      </w:pPr>
    </w:p>
    <w:p w:rsidR="0026452D" w:rsidRDefault="0026452D" w:rsidP="0026452D">
      <w:pPr>
        <w:pStyle w:val="TextoNormal"/>
      </w:pPr>
      <w:r w:rsidRPr="0026452D">
        <w:rPr>
          <w:rStyle w:val="NumeroAFNegritaCaracter"/>
        </w:rPr>
        <w:t>5</w:t>
      </w:r>
      <w:r>
        <w:t>. La doctrina jurisprudencial expuesta debe ser contrastada con el contenido de la Ley castellano-leonesa 7/2004, de 22 de diciembre, que da nueva redacción al art. 47 de la Ley 6/1991, de 19 de abril, de archivos y patrimonio documental de Castilla y León, pues es preciso enjuiciar si, como sostiene el Abogado del Estado, ello conlleva en el presente caso y con menoscabo de las competencias estatales, la sujeción de los archivos estatales radicados en Castilla y León al régimen de la mencionada Ley 6/1991, de 19 de abril.</w:t>
      </w:r>
    </w:p>
    <w:p w:rsidR="0026452D" w:rsidRDefault="0026452D" w:rsidP="0026452D">
      <w:pPr>
        <w:pStyle w:val="TextoNormal"/>
      </w:pPr>
    </w:p>
    <w:p w:rsidR="0026452D" w:rsidRDefault="0026452D" w:rsidP="0026452D">
      <w:pPr>
        <w:pStyle w:val="TextoNormal"/>
      </w:pPr>
      <w:r>
        <w:t>Nuestro canon de constitucionalidad en la materia, según ha sido ya expuesto, es el acogido desde la STC 103/1988, de 8 de junio, con arreglo al cual si la legislación autonómica llevara a cabo regulaciones reservadas a la competencia legislativa del Estado, se rebasarían los límites competenciales que derivan del art. 149.1.28 CE y, eventualmente, del Estatuto de Autonomía; mientras que si las disposiciones de la ley se refieren o pueden entenderse referidas únicamente a los archivos de competencia de la Comunidad Autónoma, no se habría traspasado ese límite competencial (FJ 4).</w:t>
      </w:r>
    </w:p>
    <w:p w:rsidR="0026452D" w:rsidRDefault="0026452D" w:rsidP="0026452D">
      <w:pPr>
        <w:pStyle w:val="TextoNormal"/>
      </w:pPr>
    </w:p>
    <w:p w:rsidR="0026452D" w:rsidRDefault="0026452D" w:rsidP="0026452D">
      <w:pPr>
        <w:pStyle w:val="TextoNormal"/>
      </w:pPr>
      <w:r>
        <w:t>En dos ocasiones precedentes hemos aplicado esta regla a sendas leyes autonómicas: la Ley andaluza 3/1984, de 9 de enero —enjuiciada en la STC 103/1988, de 8 de junio— que declaramos constitucional en cuanto distinguía entre documentos y archivos y, con respecto a estos últimos, excluía en su art. 13 la competencia exclusiva de la Comunidad sobre los de titularidad estatal. Y, del mismo modo, la Ley del Parlamento catalán 10/2001, de 13 de julio —enjuiciada en la STC 14/2013, de 31 de enero— cuyo art. 3.2, bajo la rúbrica “ámbito de aplicación”, declara explícitamente que “los archivos de titularidad estatal, incluidos los integrados en el sistema de archivos de Cataluña, se rigen por la legislación estatal”; precepto que comporta, según apreciamos en nuestra Sentencia, que los archivos de titularidad estatal no puedan entenderse incluidos, a ningún efecto, en el ámbito de aplicación de la citada ley (FJ 6).</w:t>
      </w:r>
    </w:p>
    <w:p w:rsidR="0026452D" w:rsidRDefault="0026452D" w:rsidP="0026452D">
      <w:pPr>
        <w:pStyle w:val="TextoNormal"/>
      </w:pPr>
    </w:p>
    <w:p w:rsidR="0026452D" w:rsidRDefault="0026452D" w:rsidP="0026452D">
      <w:pPr>
        <w:pStyle w:val="TextoNormal"/>
      </w:pPr>
      <w:r>
        <w:t>Por el contrario, tal exclusión no se contempla en la ley castellano-leonesa examinada, de lo que ha de colegirse que a los archivos comprendidos en el nuevo apartado primero del art. 47 de la Ley les sería de aplicación la normativa autonómica —al menos en aquello que de modo expreso no fuera excepcionado en cada caso por su articulado— lo cual está en contradicción con el orden constitucional de distribución de competencias en la materia. Refuerza esta apreciación el que el propio art. 47 de la Ley, que desde su redacción originaria inserta en el sistema castellano-leonés a los archivos históricos provinciales pese a ser también de titularidad estatal, acompañara esa inclusión de la mención “sin perjuicio de la normativa del Estado que les sea de aplicación” (actual apartado 6), salvedad que no se hace en relación con los archivos estatales ahora incorporados, sin perjuicio de que no sea objeto de este proceso la suficiencia constitucional del indicado inciso.</w:t>
      </w:r>
    </w:p>
    <w:p w:rsidR="0026452D" w:rsidRDefault="0026452D" w:rsidP="0026452D">
      <w:pPr>
        <w:pStyle w:val="TextoNormal"/>
      </w:pPr>
    </w:p>
    <w:p w:rsidR="0026452D" w:rsidRDefault="0026452D" w:rsidP="0026452D">
      <w:pPr>
        <w:pStyle w:val="TextoNormal"/>
      </w:pPr>
      <w:r>
        <w:t xml:space="preserve">Por cuanto antecede procede declarar que el artículo único de la Ley de la Comunidad Autónoma de Castilla y León 7/2004, de 22 de diciembre, que da nueva redacción al art. 47 de la Ley 6/1991, de 19 de abril, de archivos y patrimonio documental de Castilla y León, </w:t>
      </w:r>
      <w:r>
        <w:lastRenderedPageBreak/>
        <w:t>vulnera las competencias del Estado, tal como las mismas se establecen en el art. 149.1.28 en relación con el art. 149.2 de la Constitución, debiendo ser declarado, por ello, inconstitucional y nulo.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el presente recurso de inconstitucionalidad y, en consecuencia, declarar inconstitucional y nulo el artículo único de la Ley Castilla y León 7/2004, de 22 de diciembre.</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42" w:name="SENTENCIA_2013_39"/>
      <w:r>
        <w:lastRenderedPageBreak/>
        <w:t>SENTENCIA 39/2013, de 14 de febrero de 2013</w:t>
      </w:r>
    </w:p>
    <w:bookmarkEnd w:id="42"/>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ECLI:ES:TC:2013:39</w:t>
      </w:r>
    </w:p>
    <w:p w:rsidR="0026452D" w:rsidRDefault="0026452D" w:rsidP="0026452D">
      <w:pPr>
        <w:pStyle w:val="SntesisDescriptiva"/>
      </w:pPr>
    </w:p>
    <w:p w:rsidR="0026452D" w:rsidRDefault="0026452D" w:rsidP="0026452D">
      <w:pPr>
        <w:pStyle w:val="SntesisDescriptiva"/>
      </w:pPr>
      <w:r>
        <w:t>Recurso de inconstitucionalidad 4174-2006. Interpuesto por ochenta y un Diputados del Grupo Parlamentario Popular del Congreso de los Diputados en relación con el Real Decreto-ley 4/2006, de 24 de febrero, por el que se modifican las funciones de la Comisión Nacional de Energía.</w:t>
      </w:r>
    </w:p>
    <w:p w:rsidR="0026452D" w:rsidRDefault="0026452D" w:rsidP="0026452D">
      <w:pPr>
        <w:pStyle w:val="SntesisDescriptiva"/>
      </w:pPr>
    </w:p>
    <w:p w:rsidR="0026452D" w:rsidRDefault="0026452D" w:rsidP="0026452D">
      <w:pPr>
        <w:pStyle w:val="SntesisAnaltica"/>
      </w:pPr>
      <w:r>
        <w:t>Límites a los decretos-leyes: acreditación de la concurrencia del presupuesto habilitante y de la conexión de sentido entre la situación de urgencia y las medidas ideadas para hacerle frente.</w:t>
      </w:r>
    </w:p>
    <w:p w:rsidR="0026452D" w:rsidRDefault="0026452D" w:rsidP="0026452D">
      <w:pPr>
        <w:pStyle w:val="SntesisAnaltica"/>
      </w:pPr>
    </w:p>
    <w:p w:rsidR="0026452D" w:rsidRDefault="0026452D" w:rsidP="0026452D">
      <w:pPr>
        <w:pStyle w:val="Extracto"/>
      </w:pPr>
      <w:r>
        <w:t>1.</w:t>
      </w:r>
      <w:r>
        <w:tab/>
        <w:t>La importancia del sector energético para el desarrollo de la actividad económica en general determina que su ordenación sea susceptible de constituir una necesidad cuya valoración entra dentro del ámbito de atribuciones que corresponde al Gobierno, al que corresponde apreciar cual es el momento más apropiado para adoptar sus decisiones (SSTC 170/2012, 233/2012) [FJ 8].</w:t>
      </w:r>
    </w:p>
    <w:p w:rsidR="0026452D" w:rsidRDefault="0026452D" w:rsidP="0026452D">
      <w:pPr>
        <w:pStyle w:val="Extracto"/>
      </w:pPr>
    </w:p>
    <w:p w:rsidR="0026452D" w:rsidRDefault="0026452D" w:rsidP="0026452D">
      <w:pPr>
        <w:pStyle w:val="Extracto"/>
      </w:pPr>
      <w:r>
        <w:t>2.</w:t>
      </w:r>
      <w:r>
        <w:tab/>
        <w:t>Dada la situación de extraordinaria y urgente necesidad, configurada por la apreciación de un déficit de regulación legal en materia de operaciones de concentración en el sector energético y la constatación de la existencia de importantes operaciones de concentración en curso en el sector energético, y su conexión de sentido con las medidas incluidas en el decreto-ley dirigidas a extender la autorización administrativa a ciertas operaciones de concentración que previamente no la necesitaban así como a precisar las causas legales de denegación o de condicionamiento de dichas autorizaciones administrativas, hemos de apreciar la existencia de la situación habilitante requerida por el art. 86.1 CE [FFJJ 8 a 10].</w:t>
      </w:r>
    </w:p>
    <w:p w:rsidR="0026452D" w:rsidRDefault="0026452D" w:rsidP="0026452D">
      <w:pPr>
        <w:pStyle w:val="Extracto"/>
      </w:pPr>
    </w:p>
    <w:p w:rsidR="0026452D" w:rsidRDefault="0026452D" w:rsidP="0026452D">
      <w:pPr>
        <w:pStyle w:val="Extracto"/>
      </w:pPr>
      <w:r>
        <w:t>3.</w:t>
      </w:r>
      <w:r>
        <w:tab/>
        <w:t>Doctrina sobre la valoración de la existencia de la conexión de sentido entre la situación de urgencia definida por el Gobierno y las medidas concretas adoptadas para afrontarla (STC 29/1982) [FJ 9].</w:t>
      </w:r>
    </w:p>
    <w:p w:rsidR="0026452D" w:rsidRDefault="0026452D" w:rsidP="0026452D">
      <w:pPr>
        <w:pStyle w:val="Extracto"/>
      </w:pPr>
    </w:p>
    <w:p w:rsidR="0026452D" w:rsidRDefault="0026452D" w:rsidP="0026452D">
      <w:pPr>
        <w:pStyle w:val="Extracto"/>
      </w:pPr>
      <w:r>
        <w:t>4.</w:t>
      </w:r>
      <w:r>
        <w:tab/>
        <w:t>El concepto de extraordinaria y urgente necesidad que se contiene en la Constitución no es una cláusula o expresión vacía de significado dentro de la cual el lógico margen de apreciación política del Gobierno se mueva libremente sin restricción alguna, sino, por el contrario, la constatación de un límite jurídico a la actuación mediante decretos-leyes [FJ 5].</w:t>
      </w:r>
    </w:p>
    <w:p w:rsidR="0026452D" w:rsidRDefault="0026452D" w:rsidP="0026452D">
      <w:pPr>
        <w:pStyle w:val="Extracto"/>
      </w:pPr>
    </w:p>
    <w:p w:rsidR="0026452D" w:rsidRDefault="0026452D" w:rsidP="0026452D">
      <w:pPr>
        <w:pStyle w:val="Extracto"/>
      </w:pPr>
      <w:r>
        <w:t>5.</w:t>
      </w:r>
      <w:r>
        <w:tab/>
        <w:t>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(SSTC 11/2002, 137/2003) [FJ 5].</w:t>
      </w:r>
    </w:p>
    <w:p w:rsidR="0026452D" w:rsidRDefault="0026452D" w:rsidP="0026452D">
      <w:pPr>
        <w:pStyle w:val="Extracto"/>
      </w:pPr>
    </w:p>
    <w:p w:rsidR="0026452D" w:rsidRDefault="0026452D" w:rsidP="0026452D">
      <w:pPr>
        <w:pStyle w:val="Extracto"/>
      </w:pPr>
      <w:r>
        <w:lastRenderedPageBreak/>
        <w:t>6.</w:t>
      </w:r>
      <w:r>
        <w:tab/>
        <w:t>La definición por los órganos políticos de una situación de ‘extraordinaria y urgente necesidad’ debe ser  explícita y razonada, debiendo asimismo existir una conexión de sentido o relación de adecuación entre la situación definida que constituye el presupuesto habilitante y las medidas que en el decreto-ley se adoptan de manera que estas últimas guarden una relación directa o de congruencia con la situación que se trata de afrontar (SSTC 29/1982, 182/1997) [FJ 5].</w:t>
      </w:r>
    </w:p>
    <w:p w:rsidR="0026452D" w:rsidRDefault="0026452D" w:rsidP="0026452D">
      <w:pPr>
        <w:pStyle w:val="Extracto"/>
      </w:pPr>
    </w:p>
    <w:p w:rsidR="0026452D" w:rsidRDefault="0026452D" w:rsidP="0026452D">
      <w:pPr>
        <w:pStyle w:val="Extracto"/>
      </w:pPr>
      <w:r>
        <w:t>7.</w:t>
      </w:r>
      <w:r>
        <w:tab/>
        <w:t>El examen de la concurrencia del presupuesto habilitante de la ‘extraordinaria y urgente necesidad’ se ha de llevar a cabo mediante la valoración conjunta de todos aquellos factores que determinaron al Gobierno a dictar la disposición legal excepcional, que son, básicamente, los que quedan reflejados en la exposición de motivos de la norma, a lo largo del debate parlamentario de convalidación, y en el propio expediente de elaboración de la misma (SSTC 29/1982, 137/2003) [FJ 5].</w:t>
      </w:r>
    </w:p>
    <w:p w:rsidR="0026452D" w:rsidRDefault="0026452D" w:rsidP="0026452D">
      <w:pPr>
        <w:pStyle w:val="Extracto"/>
      </w:pPr>
    </w:p>
    <w:p w:rsidR="0026452D" w:rsidRDefault="0026452D" w:rsidP="0026452D">
      <w:pPr>
        <w:pStyle w:val="Extracto"/>
      </w:pPr>
      <w:r>
        <w:t>8.</w:t>
      </w:r>
      <w:r>
        <w:tab/>
        <w:t>La valoración de la extraordinaria y urgente necesidad de una medida puede ser independiente de su imprevisibilidad e, incluso, de que tenga su origen en la previa inactividad del propio Gobierno siempre que concurra efectivamente la excepcionalidad de la situación, ya que lo que importa no es tanto la causa de las circunstancias que justifican la legislación de urgencia cuanto el hecho de que tales circunstancias efectivamente concurran (SSTC 11/2002, 1/2012) [FFJJ 5, 8].</w:t>
      </w:r>
    </w:p>
    <w:p w:rsidR="0026452D" w:rsidRDefault="0026452D" w:rsidP="0026452D">
      <w:pPr>
        <w:pStyle w:val="Extracto"/>
      </w:pPr>
    </w:p>
    <w:p w:rsidR="0026452D" w:rsidRDefault="0026452D" w:rsidP="0026452D">
      <w:pPr>
        <w:pStyle w:val="Extracto"/>
      </w:pPr>
      <w:r>
        <w:t>9.</w:t>
      </w:r>
      <w:r>
        <w:tab/>
        <w:t>Doctrina sobre el sentido y alcance del presupuesto legitimador de la extraordinaria y urgente necesidad (SSTC 68/2007, 329/2005) [FJ 5].</w:t>
      </w:r>
    </w:p>
    <w:p w:rsidR="0026452D" w:rsidRDefault="0026452D" w:rsidP="0026452D">
      <w:pPr>
        <w:pStyle w:val="Extracto"/>
      </w:pPr>
    </w:p>
    <w:p w:rsidR="0026452D" w:rsidRDefault="0026452D" w:rsidP="0026452D">
      <w:pPr>
        <w:pStyle w:val="Extracto"/>
      </w:pPr>
      <w:r>
        <w:t>10.</w:t>
      </w:r>
      <w:r>
        <w:tab/>
        <w:t>La Constitución únicamente admite la legislación de urgencia bajo condiciones cuya inobservancia constituye una infracción que sólo puede repararse con una declaración de inconstitucionalidad, sin que los efectos derogatorios de la legislación sobrevenida o los convalidantes de la asunción del Decreto-ley por el Congreso de los Diputados puedan corregir un defecto que ha de concebirse como necesariamente insubsanable (STC 155/2005) [FJ 3].</w:t>
      </w:r>
    </w:p>
    <w:p w:rsidR="0026452D" w:rsidRDefault="0026452D" w:rsidP="0026452D">
      <w:pPr>
        <w:pStyle w:val="Extracto"/>
      </w:pPr>
    </w:p>
    <w:p w:rsidR="0026452D" w:rsidRDefault="0026452D" w:rsidP="0026452D">
      <w:pPr>
        <w:pStyle w:val="Extracto"/>
      </w:pPr>
      <w:r>
        <w:t>11.</w:t>
      </w:r>
      <w:r>
        <w:tab/>
        <w:t>Doctrina constitucional sobre la pervivencia o pérdida del objeto pese a la modificación o derogación de la norma, en recursos de inconstitucionalidad (SSTC 160/1987, 385/1993)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inconstitucionalidad núm. 4174-2006, promovido por ochenta y un Diputados del Grupo Parlamentario Popular del Congreso de los Diputados, contra el Real Decreto-ley 4/2006, de 24 de febrero, por el que se modifican las funciones de la Comisión Nacional de Energía. Ha intervenido el Abogado del Estado. Ha sido Ponente la Magistrada doña Adela Asua Batarrita,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Con fecha 11 de abril de 2006, tuvo entrada en el Registro General de este Tribunal escrito de don Ignacio Astarloa Huarte-Mendicoa, Diputado del Congreso y comisionado por ochenta Diputados del Grupo Parlamentario Popular, que interponía recurso de inconstitucionalidad contra el Real Decreto-ley 4/2006, de 24 de febrero, por el que se modifican las funciones de la Comisión Nacional de Energía.</w:t>
      </w:r>
    </w:p>
    <w:p w:rsidR="0026452D" w:rsidRDefault="0026452D" w:rsidP="0026452D">
      <w:pPr>
        <w:pStyle w:val="TextoNormal"/>
      </w:pPr>
    </w:p>
    <w:p w:rsidR="0026452D" w:rsidRDefault="0026452D" w:rsidP="0026452D">
      <w:pPr>
        <w:pStyle w:val="TextoNormal"/>
      </w:pPr>
      <w:r w:rsidRPr="0026452D">
        <w:rPr>
          <w:rStyle w:val="NumeroAFNegritaCaracter"/>
        </w:rPr>
        <w:t>2</w:t>
      </w:r>
      <w:r>
        <w:t>. En el escrito de interposición del recurso de inconstitucionalidad, una vez indicada la concurrencia de los requisitos formales relativos al planteamiento en plazo del recurso y a la legitimación de los recurrentes y después de exponer la regulación existente a la entrada en vigor del Real Decreto-ley 4/2006, se formulan los siguientes reproches de inconstitucionalidad a la norma recurrida.</w:t>
      </w:r>
    </w:p>
    <w:p w:rsidR="0026452D" w:rsidRDefault="0026452D" w:rsidP="0026452D">
      <w:pPr>
        <w:pStyle w:val="TextoNormal"/>
      </w:pPr>
    </w:p>
    <w:p w:rsidR="0026452D" w:rsidRDefault="0026452D" w:rsidP="0026452D">
      <w:pPr>
        <w:pStyle w:val="TextoNormal"/>
      </w:pPr>
      <w:r>
        <w:t xml:space="preserve">En primer lugar, se impugna el Real Decreto-ley 4/2006 por vulnerar el art. 86.1 CE, al no existir una situación de extraordinaria y urgente necesidad que legitime al Gobierno para dictar aquél. Los recurrentes consideran que las razones que se exponen en la exposición de motivos no acreditan en los términos de la jurisprudencia constitucional la concurrencia de la situación de extraordinaria y urgente necesidad: para fundamentar la urgencia en dictar una norma que introduce reformas no es razón suficiente aducir que es urgente que sus destinatarios conozcan tales reformas. Tampoco es justificación suficiente la que aparece formulada en la memoria justificativa del Real Decreto-ley, “la conocida existencia de operaciones en curso y previsibles de profundo calado, con efectos que pueden resultar de difícil e imposible corrección”, pues tales operaciones no eran imprevisibles y se han planteado en distintas ocasiones en los últimos años. Y aunque hubiera situación de urgencia, no se aprecia la conexión o relación de adecuación entre tal situación y las medidas adoptadas por el Real Decreto-ley. Si una mejor garantía de la seguridad pública exige añadir nuevas causas por las que la Comisión Nacional de Energía puede condicionar o denegar una operación y tal cambio normativo es urgente debido a la existencia de operaciones en curso, no se entiende por qué el nuevo régimen, a tenor de la disposición transitoria única del Decreto-ley, no es de aplicación sin distinción alguna a todas las operaciones pendientes de ejecución y no solo a las no autorizadas. Finalmente, se señala que “el motivo real que ha determinado tal adopción es, con toda probabilidad, la voluntad del Gobierno de poner trabas a la OPA por el 100% del capital de ENDESA, S.A. presentada por la entidad alemana E.ON </w:t>
      </w:r>
      <w:r w:rsidRPr="0026452D">
        <w:rPr>
          <w:i/>
        </w:rPr>
        <w:t>Zwölfte Verwaltungs Gmb</w:t>
      </w:r>
      <w:r>
        <w:t>H, filial al 100 por ciento de la sociedad alemana E.ON, AG, (en adelante, ‘E.ON’) oferta competidora de la que con anterioridad había presentado por el mismo porcentaje de ENDESA, S.A. la sociedad española Gas Natural SDG, S.A. Ese motivo se hace explícito en la Memoria Justificativa del Real Decreto-Ley”, en los términos antes indicados.</w:t>
      </w:r>
    </w:p>
    <w:p w:rsidR="0026452D" w:rsidRDefault="0026452D" w:rsidP="0026452D">
      <w:pPr>
        <w:pStyle w:val="TextoNormal"/>
      </w:pPr>
    </w:p>
    <w:p w:rsidR="0026452D" w:rsidRDefault="0026452D" w:rsidP="0026452D">
      <w:pPr>
        <w:pStyle w:val="TextoNormal"/>
      </w:pPr>
      <w:r>
        <w:t xml:space="preserve">En segundo lugar, se impugna el párrafo segundo del apartado 1 de la disposición adicional undécima, 3.1.14 de la Ley 34/1998, de 7 de octubre, del sector de hidrocarburos, en la redacción dada por el artículo único del Real Decreto-ley 4/2006, por vulneración del derecho fundamental a la libertad de empresa (art. 38 CE). Dicho párrafo, que somete a autorización administrativa previa determinadas operaciones de adquisición que anteriormente estaban exentas, introduce una restricción al derecho fundamental, violando, por lo demás, lo dispuesto en los arts. 43 y 56 del Tratado constitutivo de la Comunidad Europea (TCE). Con arreglo a la jurisprudencia constitucional, la validez de las medidas restrictivas de la libertad de empresa está condicionada a que sean proporcionadas para la satisfacción de un fin constitucionalmente legítimo y que no exista una alternativa que sea menos restrictiva. Los recurrentes razonan que en el ordenamiento español existen otras medidas idóneas para satisfacer el señalado fin de seguridad pública que son menos restrictivas para la libertad de empresa. Con anterioridad al Real Decreto-ley 4/2006, tanto la Ley del sector eléctrico como la Ley del sector de hidrocarburos contenían previsiones tendentes a garantizar la existencia de abastecimiento mínimo de energía eléctrica y de productos petrolíferos, que eran menos restrictivas del derecho fundamental que la autorización </w:t>
      </w:r>
      <w:r w:rsidRPr="0026452D">
        <w:rPr>
          <w:i/>
        </w:rPr>
        <w:t>ex ante</w:t>
      </w:r>
      <w:r>
        <w:t xml:space="preserve"> impuesta por el Real Decreto-ley.</w:t>
      </w:r>
    </w:p>
    <w:p w:rsidR="0026452D" w:rsidRDefault="0026452D" w:rsidP="0026452D">
      <w:pPr>
        <w:pStyle w:val="TextoNormal"/>
      </w:pPr>
    </w:p>
    <w:p w:rsidR="0026452D" w:rsidRDefault="0026452D" w:rsidP="0026452D">
      <w:pPr>
        <w:pStyle w:val="TextoNormal"/>
      </w:pPr>
      <w:r>
        <w:t>En tercer lugar, se impugna la disposición transitoria única del Real Decreto-ley por vulneración del principio de irretroactividad de las disposiciones restrictivas de los derechos individuales (art. 9.3 CE). La nueva exigencia de autorización administrativa para operaciones que hasta entonces no estaban sujetas a la misma constituye una disposición restrictiva del derecho fundamental a la libertad de empresa, sometida al principio de irretroactividad de las disposiciones restrictivas de los derechos individuales (art. 9.3 CE). La disposición transitoria única somete las operaciones planteadas y pendientes de ejecución en el momento de entrada en vigor del Real Decreto-ley a la necesidad de obtener la autorización de la Comisión Nacional de Energía. Tal régimen confiere alcance retroactivo a la extensión del ámbito objeto de aplicación de la función decimocuarta operado por el Real Decreto-ley, pues se aplica a operaciones ya iniciadas, que se pusieron en marcha durante la vigencia de un régimen jurídico que no contemplaba tal autorización.</w:t>
      </w:r>
    </w:p>
    <w:p w:rsidR="0026452D" w:rsidRDefault="0026452D" w:rsidP="0026452D">
      <w:pPr>
        <w:pStyle w:val="TextoNormal"/>
      </w:pPr>
    </w:p>
    <w:p w:rsidR="0026452D" w:rsidRDefault="0026452D" w:rsidP="0026452D">
      <w:pPr>
        <w:pStyle w:val="TextoNormal"/>
      </w:pPr>
      <w:r>
        <w:t xml:space="preserve">En cuarto lugar, se impugna la disposición transitoria única del Real Decreto-ley por vulneración del principio de igualdad ante la ley (art. 14 CE). A juicio de los recurrentes, se dispensa un trato jurídico distinto a las entidades que pretendan realizar las operaciones en cuestión en función de que con anterioridad a la entrada en vigor del Real Decreto-ley hubieran obtenido o no la autorización de la Comisión Nacional de Energía al amparo del régimen anterior. Invocando diversa jurisprudencia constitucional, se alega que tal discriminación únicamente se ajustaría a la Constitución en la medida en que el criterio de diferenciación entre una y otra y las consecuencias jurídicas derivadas de la diferenciación fueran relevantes desde la perspectiva del fin perseguido por la norma en cuestión. Dicha circunstancia no se acreditaría en el presente caso, pues desde la perspectiva del fin del Real Decreto-ley 4/2006 —proteger los intereses generales de la política energética española y, en particular, la seguridad pública— es irrelevante que una operación hubiera obtenido una autorización anterior cuando ésta no tuvo en cuenta tales intereses. Tanto el criterio diferenciador como las consecuencias derivadas de su aplicación son incoherentes con el fin normativo, no guardan relación alguna y no son necesarios para satisfacer la finalidad de la norma. Frente a la conclusión anterior no cabe oponer la doctrina constitucional sobre la </w:t>
      </w:r>
      <w:r>
        <w:lastRenderedPageBreak/>
        <w:t>discriminación derivada de la sucesión normativa, pues se trata de operaciones que desde el punto temporal son idénticas, al hallarse planteadas en la fecha de entrada en vigor del Real Decreto-ley.</w:t>
      </w:r>
    </w:p>
    <w:p w:rsidR="0026452D" w:rsidRDefault="0026452D" w:rsidP="0026452D">
      <w:pPr>
        <w:pStyle w:val="TextoNormal"/>
      </w:pPr>
    </w:p>
    <w:p w:rsidR="0026452D" w:rsidRDefault="0026452D" w:rsidP="0026452D">
      <w:pPr>
        <w:pStyle w:val="TextoNormal"/>
      </w:pPr>
      <w:r>
        <w:t>En quinto y último lugar, se impugna la disposición transitoria única del Real Decreto-ley por vulneración del principio de seguridad jurídica (art. 9.3 CE). La conclusión de la vulneración del citado principio constitucional se fundamenta: a) en la inexistencia de intereses generales que justifiquen la aplicación retroactiva del Real Decreto-ley, pues el interés general de la seguridad jurídica, entendido como garantía del abastecimiento de productos petrolíferos y de electricidad, se encuentra ya suficientemente protegido por técnicas preexistentes en el ordenamiento español y menos restrictivas de los derechos afectados; b) en la imprevisibilidad de la reforma normativa establecida, pues va en contra de los pronunciamientos de la Comisión respecto a normas españolas similares y de la postura manifestada por el mismo Gobierno español autor del Real Decreto-ley en procedimientos legislativos tendentes a la eliminación de obstáculos a la libre circulación de capitales; c) en la trascendencia de las decisiones económicas adoptadas por los agentes económicos afectados, pues el simple planteamiento formal de una operación, aunque no se haya ejecutado todavía, entraña la realización de gastos de elevadísima cuantía y la manifestación pública de las orientaciones estratégicas de la compañía que plantea la operación.</w:t>
      </w:r>
    </w:p>
    <w:p w:rsidR="0026452D" w:rsidRDefault="0026452D" w:rsidP="0026452D">
      <w:pPr>
        <w:pStyle w:val="TextoNormal"/>
      </w:pPr>
    </w:p>
    <w:p w:rsidR="0026452D" w:rsidRDefault="0026452D" w:rsidP="0026452D">
      <w:pPr>
        <w:pStyle w:val="TextoNormal"/>
      </w:pPr>
      <w:r w:rsidRPr="0026452D">
        <w:rPr>
          <w:rStyle w:val="NumeroAFNegritaCaracter"/>
        </w:rPr>
        <w:t>3</w:t>
      </w:r>
      <w:r>
        <w:t>. Por providencia de 9 de mayo de 2006 la Sección Tercera de este Tribunal acordó admitir a trámite el recurso de inconstitucionalidad y dar traslado del mismo y de los documentos presentados, conforme establece el art. 34 de la Ley Orgánica del Tribunal Constitucional (LOTC), al Congreso de los Diputados y al Senado, por conducto de sus Presidentes, y al Gobierno, por conducto del Ministro de Justicia, al objeto de que, en el plazo de quince días, pudieran personarse en el procedimiento y formular alegaciones. Asimismo se acordó publicar la incoación del procedimiento en el “Boletín Oficial del Estado”, lo que se verificó el 26 de mayo de 2006.</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22 de mayo de 2006 la Sección Tercera de este Tribunal acordó tener por personado al Abogado del Estado y, según interesaba, prorrogarle en ocho días el plazo concedido en el proveído anterior.</w:t>
      </w:r>
    </w:p>
    <w:p w:rsidR="0026452D" w:rsidRDefault="0026452D" w:rsidP="0026452D">
      <w:pPr>
        <w:pStyle w:val="TextoNormal"/>
      </w:pPr>
    </w:p>
    <w:p w:rsidR="0026452D" w:rsidRDefault="0026452D" w:rsidP="0026452D">
      <w:pPr>
        <w:pStyle w:val="TextoNormal"/>
      </w:pPr>
      <w:r w:rsidRPr="0026452D">
        <w:rPr>
          <w:rStyle w:val="NumeroAFNegritaCaracter"/>
        </w:rPr>
        <w:t>5</w:t>
      </w:r>
      <w:r>
        <w:t>. El escrito de alegaciones del Abogado del Estado se registró en el Tribunal el 15 de junio de 2006.</w:t>
      </w:r>
    </w:p>
    <w:p w:rsidR="0026452D" w:rsidRDefault="0026452D" w:rsidP="0026452D">
      <w:pPr>
        <w:pStyle w:val="TextoNormal"/>
      </w:pPr>
    </w:p>
    <w:p w:rsidR="0026452D" w:rsidRDefault="0026452D" w:rsidP="0026452D">
      <w:pPr>
        <w:pStyle w:val="TextoNormal"/>
      </w:pPr>
      <w:r>
        <w:t xml:space="preserve">a) Antes de analizar los argumentos de la demanda, efectúa algunas precisiones previas. Por un lado, subraya que la nueva redacción de la disposición adicional undécima, 3.1.14 de la Ley 34/1998, de 7 de octubre, del sector de hidrocarburos (en adelante, función decimocuarta), introducida por el Real Decreto-ley, extiende el requisito de autorización, que ya se exigía cuando la sociedad adquirente realizara actividades reguladas, al caso en que sea la adquirida quien desarrolle tales actividades; define con mucha mayor precisión los casos en que la Comisión Nacional de Energía puede denegar o condicionar la autorización, especificando el objeto de la supervisión, aunque todos los nuevos motivos de denegación o condicionamiento eran perfectamente subsumibles en la amplia fórmula que existía previamente. Por otro lado, considera que la demanda presupone “el motivo real” determinante de la adopción del Real Decreto-ley sin añadir los necesarios razonamientos justificativos y </w:t>
      </w:r>
      <w:r>
        <w:lastRenderedPageBreak/>
        <w:t>elementos acreditativos de esa intencionalidad. La única finalidad que resulta del Real Decreto-ley, de su exposición de motivos y de la memoria justificativa es, según la representación procesal del Gobierno, la de que todas las operaciones de concentración en un sector tan relevante como el energético queden sometidas a la supervisión del organismo regulador y todo lo demás son suposiciones sin fundamento.</w:t>
      </w:r>
    </w:p>
    <w:p w:rsidR="0026452D" w:rsidRDefault="0026452D" w:rsidP="0026452D">
      <w:pPr>
        <w:pStyle w:val="TextoNormal"/>
      </w:pPr>
    </w:p>
    <w:p w:rsidR="0026452D" w:rsidRDefault="0026452D" w:rsidP="0026452D">
      <w:pPr>
        <w:pStyle w:val="TextoNormal"/>
      </w:pPr>
      <w:r>
        <w:t>b) Siguiendo el orden de las alegaciones de la demanda, en respuesta a la primera impugnación, comienza recordando la doctrina constitucional sobre la concurrencia de la extraordinaria y urgente necesidad habilitante del real decreto-ley: explicitación y razonamiento de la concurrencia de la situación de extraordinaria y urgente necesidad que se pretende afrontar con el instrumento normativo; valoración no abusiva o no arbitraria de la concurrencia del presupuesto; y relación directa o de congruencia entre la situación que constituye el presupuesto habilitante y las medidas que se adoptan en el Decreto-ley. Los tres requisitos se cumplen en el presente caso. Por lo que respecta al primer requisito, señala que la urgencia se refiere a la necesidad de poner fin a las insuficiencias advertidas en la regulación de la Ley 34/1988, de 7 de octubre, del sector de hidrocarburos, como se desprende de la exposición de motivos. Además, quizá la justificación más clara se encuentra en la memoria justificativa: “se requiere que las medidas propuestas sean adoptadas con carácter de extrema y urgente necesidad, habida cuenta de la conocida existencia de operaciones en curso y previsibles de profundo calado, con efectos que pueden resultar de difícil o imposible corrección”.</w:t>
      </w:r>
    </w:p>
    <w:p w:rsidR="0026452D" w:rsidRDefault="0026452D" w:rsidP="0026452D">
      <w:pPr>
        <w:pStyle w:val="TextoNormal"/>
      </w:pPr>
    </w:p>
    <w:p w:rsidR="0026452D" w:rsidRDefault="0026452D" w:rsidP="0026452D">
      <w:pPr>
        <w:pStyle w:val="TextoNormal"/>
      </w:pPr>
      <w:r>
        <w:t>El segundo requisito también se cumple por cuanto la calificación de la urgencia realizada por los órganos políticos no es manifiestamente arbitraria o abusiva. Los argumentos aducidos en contrario en la demanda son rechazados, porque, por un lado, las posturas de la Comisión o del Gobierno español sobre determinada cuestión nada aportan al análisis de la urgencia del Real Decreto-ley y, por otro, porque el Tribunal Constitucional no exige que las circunstancias que motivan el Real Decreto-ley sean totalmente imprevisibles, sino que basta con que “por razones difíciles de prever se requiera una acción normativa inmediata” (STC 329/2005, de 15 de diciembre), y las operaciones de concentración son sin duda difíciles de prever, pues se mantienen ocultas hasta el mismo momento en que se solicitan las correspondientes autorizaciones. Parece evidente que la realización de una importante operación de concentración empresarial en un sector tan vital como el energético, operación que eventualmente podría afectar a la regularidad del suministro, es una circunstancia económica difícil de prever y que exige una respuesta inmediata, máxime teniendo en cuenta que con la legislación vigente antes del Real Decreto-ley tal operación no estaba sometida a ningún tipo de supervisión por los organismos reguladores del mercado energético.</w:t>
      </w:r>
    </w:p>
    <w:p w:rsidR="0026452D" w:rsidRDefault="0026452D" w:rsidP="0026452D">
      <w:pPr>
        <w:pStyle w:val="TextoNormal"/>
      </w:pPr>
    </w:p>
    <w:p w:rsidR="0026452D" w:rsidRDefault="0026452D" w:rsidP="0026452D">
      <w:pPr>
        <w:pStyle w:val="TextoNormal"/>
      </w:pPr>
      <w:r>
        <w:t xml:space="preserve">El Abogado del Estado considera que el único argumento de la demanda para rechazar el cumplimiento del tercer requisito, la relación directa o de congruencia entre la situación que constituye el presupuesto habilitante y las medidas que se adoptan en el Decreto-ley, es que la disposición transitoria única declara inaplicable la reforma a las operaciones ya autorizadas por la Comisión Nacional de Energía. La demanda discute la urgencia más que la congruencia de las medidas adoptadas con aquella urgencia, y su razonamiento es contradictorio con la alegación de vulneración del principio de irretroactividad de las disposiciones restrictivas de derechos individuales, pues si hubiera declarado aplicable la reforma a las operaciones ya supervisadas y autorizadas, entonces habría más razón para entender vulnerado dicho principio. Es el respeto a situaciones con un mayor grado de consolidación lo </w:t>
      </w:r>
      <w:r>
        <w:lastRenderedPageBreak/>
        <w:t>que determinó que los órganos políticos no sometieran a nueva autorización las operaciones ya supervisadas y no la valoración sobre la urgencia de las medidas.</w:t>
      </w:r>
    </w:p>
    <w:p w:rsidR="0026452D" w:rsidRDefault="0026452D" w:rsidP="0026452D">
      <w:pPr>
        <w:pStyle w:val="TextoNormal"/>
      </w:pPr>
    </w:p>
    <w:p w:rsidR="0026452D" w:rsidRDefault="0026452D" w:rsidP="0026452D">
      <w:pPr>
        <w:pStyle w:val="TextoNormal"/>
      </w:pPr>
      <w:r>
        <w:t>c) En cuanto a la vulneración alegada del art. 38 CE relativo a la libertad de empresa, el Abogado del Estado señala que, como toda libertad, la de empresa se encuentra sometida a limitaciones, si bien estas han de ser proporcionadas y razonables. El propio art. 38 CE somete el derecho a dos límites: “las exigencias de la economía general y, en su caso, de la planificación”. Por otro lado, la libertad de empresa también estaría sujeta a las limitaciones derivadas de la función social de la propiedad (arts. 33 y 128 CE) o de la necesaria protección de consumidores y usuarios (art. 51 CE). El Real Decreto-ley viene a ampliar subjetivamente una autorización que ya se exigía antes y a especificar con mayor rigor el contenido de la supervisión, sin que la previsión hubiera suscitado ninguna duda de constitucionalidad antes de la reforma.</w:t>
      </w:r>
    </w:p>
    <w:p w:rsidR="0026452D" w:rsidRDefault="0026452D" w:rsidP="0026452D">
      <w:pPr>
        <w:pStyle w:val="TextoNormal"/>
      </w:pPr>
    </w:p>
    <w:p w:rsidR="0026452D" w:rsidRDefault="0026452D" w:rsidP="0026452D">
      <w:pPr>
        <w:pStyle w:val="TextoNormal"/>
      </w:pPr>
      <w:r>
        <w:t xml:space="preserve">En relación con la necesaria interpretación del art. 38 CE conforme a los arts. 43 y 56 TCE, se afirma que el propio Derecho comunitario permite que las legislaciones nacionales establezcan limitaciones a tales libertades; que el Tribunal de Justicia ha declarado que una libertad fundamental comunitaria puede ser limitada mediante una normativa nacional, si se halla justificada por algunas de las causas previstas en el Tratado o por razones de imperioso interés general; y que la seguridad pública es causa legítima para establecer limitaciones a las libertades de establecimiento y circulación de capitales: la seguridad pública incluye las medidas necesarias para garantizar el suministro de productos o servicios esenciales, entre los que ocupan un lugar cualificado los energéticos. También se señala que la Comisión, en la petición de información dirigida al Reino de España en relación con el Decreto-ley, no cuestiona la posibilidad de adoptar medidas limitativas, sino simplemente la claridad de los motivos que permiten condicionar o denegar la autorización y el momento de la intervención administrativa, considerando que la supervisión </w:t>
      </w:r>
      <w:r w:rsidRPr="0026452D">
        <w:rPr>
          <w:i/>
        </w:rPr>
        <w:t>ex post</w:t>
      </w:r>
      <w:r>
        <w:t xml:space="preserve"> es más proporcional y menos restrictiva, reproches que, en su contestación, España considera infundados.</w:t>
      </w:r>
    </w:p>
    <w:p w:rsidR="0026452D" w:rsidRDefault="0026452D" w:rsidP="0026452D">
      <w:pPr>
        <w:pStyle w:val="TextoNormal"/>
      </w:pPr>
    </w:p>
    <w:p w:rsidR="0026452D" w:rsidRDefault="0026452D" w:rsidP="0026452D">
      <w:pPr>
        <w:pStyle w:val="TextoNormal"/>
      </w:pPr>
      <w:r>
        <w:t>En lo tocante a la proporcionalidad de la restricción, señala que el fin de las medidas recogidas en el Real Decreto-ley es el fin último de toda la legislación energética, garantizar un suministro suficiente y de calidad, y que si siempre se ha considerado proporcionada la previa supervisión por el órgano regulador de la adquisición de participaciones cuando el adquirente es una sociedad regulada, la misma consideración debe merecer la extensión del régimen a la adquisición de participaciones en sociedades reguladas. La supervisión de las operaciones de concentración en que el adquirido realice actividad regulada no sólo es proporcionada, sino imprescindible para garantizar que aquella no pueda afectar negativamente al suministro energético. El argumento definitivo a favor de su proporcionalidad es la forma en que se articula la limitación de acuerdo con lo previsto en el art. 18 del Real Decreto 1339/1999, de 31 de julio, regulador del procedimiento de autorización: tanto la brevedad del plazo máximo disponible por la Comisión Nacional de Energía para resolver expresamente (un mes), como el valor del silencio (positivo), acreditan que el mecanismo supervisor procura la menor incidencia posible en la libertad.</w:t>
      </w:r>
    </w:p>
    <w:p w:rsidR="0026452D" w:rsidRDefault="0026452D" w:rsidP="0026452D">
      <w:pPr>
        <w:pStyle w:val="TextoNormal"/>
      </w:pPr>
    </w:p>
    <w:p w:rsidR="0026452D" w:rsidRDefault="0026452D" w:rsidP="0026452D">
      <w:pPr>
        <w:pStyle w:val="TextoNormal"/>
      </w:pPr>
      <w:r>
        <w:t xml:space="preserve">d) En cuanto a la alegación de la vulneración del principio de irretroactividad de las disposiciones restrictivas de los derechos individuales (art. 9.3 CE), el Abogado del Estado considera que está carente del necesario razonamiento justificativo. De acuerdo con la doctrina constitucional, sólo la retroactividad de grado máximo se encuentra afectada por la </w:t>
      </w:r>
      <w:r>
        <w:lastRenderedPageBreak/>
        <w:t xml:space="preserve">previsión del art. 9.3 CE, no en cambio la de grado medio, que habría que examinarse, en su caso, desde la perspectiva de su incidencia sobre la seguridad jurídica. Una operación de concentración en curso no es una situación cuyos efectos se hayan consumado: es una situación expectante que todavía no ha comenzado a producir efecto alguno. Además, el art. 9.3 CE sólo prohíbe la retroactividad de las disposiciones “restrictivas de derechos individuales”, y de una operación en curso no ha nacido ningún derecho individual que pueda resultar restringido por la nueva normativa. Si la Constitución no prohíbe una incidencia </w:t>
      </w:r>
      <w:r w:rsidRPr="0026452D">
        <w:rPr>
          <w:i/>
        </w:rPr>
        <w:t>pro futuro</w:t>
      </w:r>
      <w:r>
        <w:t xml:space="preserve"> en derechos adquiridos (STC 97/1990, de 24 de mayo, FJ 4), menos lo hará respecto de situaciones expectantes, futuras o pendientes de consolidación (STC 97/1990, FJ 6).</w:t>
      </w:r>
    </w:p>
    <w:p w:rsidR="0026452D" w:rsidRDefault="0026452D" w:rsidP="0026452D">
      <w:pPr>
        <w:pStyle w:val="TextoNormal"/>
      </w:pPr>
    </w:p>
    <w:p w:rsidR="0026452D" w:rsidRDefault="0026452D" w:rsidP="0026452D">
      <w:pPr>
        <w:pStyle w:val="TextoNormal"/>
      </w:pPr>
      <w:r>
        <w:t>e) Por lo que respecta a la alegación de vulneración del principio de igualdad, el Abogado del Estado afirma que se trata de un simple supuesto de sucesión normativa. Las situaciones que, de acuerdo con el Derecho transitorio, queden sometidas a la legislación derogada, naturalmente recibirán un tratamiento legal distinto al de las situaciones que se sujeten a la normativa que entra en vigor. El Tribunal Constitucional tiene declarado que en los casos de sucesión normativa estamos simplemente ante la aplicación de la ley en el tiempo, en la que el desigual tratamiento de los supuestos sometidos a uno u otro régimen es natural consecuencia de la libertad del legislador de configurar la realidad y de la “necesaria evolución del ordenamiento jurídico” (ATC 367/2003, de 13 de noviembre, FJ 5). En supuestos de sucesión normativa, lo relevante no es la desigualdad consustancial a todo proceso de reforma, sino que las normas transitorias definan el momento de aplicación de la nueva regulación sin incurrir en la arbitrariedad proscrita por el art. 9.3 CE.</w:t>
      </w:r>
    </w:p>
    <w:p w:rsidR="0026452D" w:rsidRDefault="0026452D" w:rsidP="0026452D">
      <w:pPr>
        <w:pStyle w:val="TextoNormal"/>
      </w:pPr>
    </w:p>
    <w:p w:rsidR="0026452D" w:rsidRDefault="0026452D" w:rsidP="0026452D">
      <w:pPr>
        <w:pStyle w:val="TextoNormal"/>
      </w:pPr>
      <w:r>
        <w:t xml:space="preserve">El Abogado del Estado señala que la demanda es incongruente al alegar una irretroactividad contraria al art. 9.3 CE y al tiempo exigir en otro punto argumental una mayor retroactividad de la misma norma. En cualquier caso, no existe discriminación constitucionalmente reprochable. No es válido el </w:t>
      </w:r>
      <w:r w:rsidRPr="0026452D">
        <w:rPr>
          <w:i/>
        </w:rPr>
        <w:t>tertium comparationis</w:t>
      </w:r>
      <w:r>
        <w:t xml:space="preserve"> que sugiere la demanda para justificar la discriminación. Las operaciones en curso que hayan obtenido una autorización de la Comisión Nacional de Energía no están en la misma situación que las que no hayan sido sometidas a supervisión por el organismo regulador y, por tanto, no hayan obtenido la oportuna autorización. Las operaciones autorizadas han sido sometidas a la supervisión del organismo regulador, garantizando la inexistencia de “riesgos significativos o efectos negativos, directos o indirectos, sobre las actividades reguladas”. Además, el otorgamiento, condicionado o no, de la autorización genera ciertas expectativas favorables al buen fin de la operación, con las importantes repercusiones económicas que tales expectativas provocan. Como en cualquier norma de derecho transitorio, el legislador ha de buscar el difícil equilibrio de intentar la más inmediata aplicación de la nueva normativa —que se introduce porque se considera beneficiosa y, por tanto, es lógico que se pretenda su pronta aplicación— y, al tiempo, no alcanzar irrazonablemente a situaciones que han adquirido un cierto grado de consolidación. El Real Decreto-ley, con el mejor criterio a juicio del Abogado del Estado, ha considerado que no era razonable ni proporcionado someter a nueva autorización operaciones ya supervisadas.</w:t>
      </w:r>
    </w:p>
    <w:p w:rsidR="0026452D" w:rsidRDefault="0026452D" w:rsidP="0026452D">
      <w:pPr>
        <w:pStyle w:val="TextoNormal"/>
      </w:pPr>
    </w:p>
    <w:p w:rsidR="0026452D" w:rsidRDefault="0026452D" w:rsidP="0026452D">
      <w:pPr>
        <w:pStyle w:val="TextoNormal"/>
      </w:pPr>
      <w:r>
        <w:t xml:space="preserve">Contra lo alegado por los recurrentes, la circunstancia de que una operación haya sido autorizada y sometida a la supervisión de la Comisión Nacional de Energía sí guarda relación con el sentido de la norma y no es arbitraria en el sentido de la STC 190/2005, de 7 de julio, FJ 4. Si una de las finalidades de la norma es garantizar la previa supervisión de todas </w:t>
      </w:r>
      <w:r>
        <w:lastRenderedPageBreak/>
        <w:t>las operaciones de concentración relativas a una entidad regulada, el hecho de que la operación se hubiera sometido ya a la previa autorización de la Comisión Nacional de Energía tiene una evidente conexión con la finalidad del Real Decreto-ley. La disposición transitoria única parte, por tanto, de un dato cierto y objetivo.</w:t>
      </w:r>
    </w:p>
    <w:p w:rsidR="0026452D" w:rsidRDefault="0026452D" w:rsidP="0026452D">
      <w:pPr>
        <w:pStyle w:val="TextoNormal"/>
      </w:pPr>
    </w:p>
    <w:p w:rsidR="0026452D" w:rsidRDefault="0026452D" w:rsidP="0026452D">
      <w:pPr>
        <w:pStyle w:val="TextoNormal"/>
      </w:pPr>
      <w:r>
        <w:t>f) Finalmente, en relación con la vulneración de la seguridad jurídica, el Abogado del Estado señala que el Tribunal Constitucional tiene declarado que, a diferencia de la retroactividad “auténtica o de grado máximo”, la retroactividad “impropia o de grado medio”, definida como la incidencia en “situaciones jurídicas actuales aún no concluidas”, no estaría sujeta a la prohibición del art. 9.3 CE, aunque podría tener relevancia constitucional desde la perspectiva de la protección de la seguridad jurídica (STC 182/1997, de 28 de octubre, FJ 11). Cuando la norma de retroactividad media fuera “absolutamente imprevisible”, “solo podría reputarse conforme con la Constitución si existieran claras exigencia de interés general que justificaran que el principio de seguridad jurídica que, insistimos, no es un valor absoluto, debería ceder ante otros bienes o valores constitucionalmente protegidos” [STC 182/1997, de 28 de octubre, FJ 13 a)]. Pues bien, el Abogado del Estado señala que, hasta cierto punto, parece razonable prever que, ante una operación de concentración, en un sector tan directamente relacionado con intereses vitales, el interés general impondría una reserva legal que sometiera la operación a la supervisión del organismo regulador. Y, en cualquier caso, aun aceptando la dificultad de previsión de la reforma, no cabe duda de que respecto de las operaciones en curso no sometidas a la supervisión del organismo regulador, existía un evidente interés público en que se verificara que la operación no ponía en peligro la seguridad pública, entendida como regularidad y calidad del suministro energético. En el difícil equilibro entre la seguridad jurídica y el interés público tutelado por el Real Decreto-ley, el legislador, con buen criterio, entendió que prevalecía el segundo respecto de las operaciones no supervisadas ni autorizadas, pues era precisa la intervención del organismo regulador que garantizara que no iban a afectar al suministro, mientras que, en cambio, en las operaciones ya autorizadas existía una suficiente garantía del interés público que hacía innecesario el sacrificio de la seguridad jurídica. Contra lo que argumenta la demanda, la posibilidad de analizar las operaciones autorizadas bajo el prisma, técnicamente más acabado, del nuevo listado de motivos de denegación o condicionamiento, es muy dudoso que pueda justificar el menoscabo de la seguridad jurídica, pues los nuevos motivos son únicamente especificación del genérico motivo que recogía la redacción originaria con el fin de fortalecer la seguridad jurídica, por lo que resultaría profundamente incongruente justificar el sacrificio de la seguridad jurídica con una aplicación retroactiva de una nueva regulación que viene precisamente a reforzarla.</w:t>
      </w:r>
    </w:p>
    <w:p w:rsidR="0026452D" w:rsidRDefault="0026452D" w:rsidP="0026452D">
      <w:pPr>
        <w:pStyle w:val="TextoNormal"/>
      </w:pPr>
    </w:p>
    <w:p w:rsidR="0026452D" w:rsidRDefault="0026452D" w:rsidP="0026452D">
      <w:pPr>
        <w:pStyle w:val="TextoNormal"/>
      </w:pPr>
      <w:r w:rsidRPr="0026452D">
        <w:rPr>
          <w:rStyle w:val="NumeroAFNegritaCaracter"/>
        </w:rPr>
        <w:t>6</w:t>
      </w:r>
      <w:r>
        <w:t>. Mediante providencia de 12 de febrero de 2013 se señaló para deliberación y votación de la presente Sentencia el día 14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recurso de inconstitucionalidad se interpone por ochenta y un Diputados del Grupo Parlamentario Popular en el Congreso de los Diputados, contra el Real Decreto-ley 4/2006, de 24 de febrero, por el que se modifican las funciones de la Comisión Nacional de Energía.</w:t>
      </w:r>
    </w:p>
    <w:p w:rsidR="0026452D" w:rsidRDefault="0026452D" w:rsidP="0026452D">
      <w:pPr>
        <w:pStyle w:val="TextoNormal"/>
      </w:pPr>
    </w:p>
    <w:p w:rsidR="0026452D" w:rsidRDefault="0026452D" w:rsidP="0026452D">
      <w:pPr>
        <w:pStyle w:val="TextoNormal"/>
      </w:pPr>
      <w:r>
        <w:lastRenderedPageBreak/>
        <w:t>Los motivos de inconstitucionalidad que fundamentan el recurso pueden agruparse en tres grupos: la vulneración del art. 86.1 CE por el Real Decreto-ley, la vulneración del derecho fundamental a la libertad de empresa (art. 38 CE) por el artículo único del Real Decreto-ley 4/2006 que da nueva redacción al párrafo segundo del apartado 1 de la disposición adicional undécima 3.1.14 de la Ley 34/1998, de 7 de octubre, del sector de hidrocarburos, y la vulneración de los principios de irretroactividad de las disposiciones restrictivas de los derechos individuales (art. 9.3 CE), de igualdad ante la ley (art. 14 CE) y de seguridad jurídica (art. 9.3 CE) por la disposición transitoria única del Real Decreto-ley 4/2006.</w:t>
      </w:r>
    </w:p>
    <w:p w:rsidR="0026452D" w:rsidRDefault="0026452D" w:rsidP="0026452D">
      <w:pPr>
        <w:pStyle w:val="TextoNormal"/>
      </w:pPr>
    </w:p>
    <w:p w:rsidR="0026452D" w:rsidRDefault="0026452D" w:rsidP="0026452D">
      <w:pPr>
        <w:pStyle w:val="TextoNormal"/>
      </w:pPr>
      <w:r>
        <w:t>El Abogado del Estado propone la desestimación total del recurso, al entender que los preceptos impugnados son conformes a la Constitución.</w:t>
      </w:r>
    </w:p>
    <w:p w:rsidR="0026452D" w:rsidRDefault="0026452D" w:rsidP="0026452D">
      <w:pPr>
        <w:pStyle w:val="TextoNormal"/>
      </w:pPr>
    </w:p>
    <w:p w:rsidR="0026452D" w:rsidRDefault="0026452D" w:rsidP="0026452D">
      <w:pPr>
        <w:pStyle w:val="TextoNormal"/>
      </w:pPr>
      <w:r w:rsidRPr="0026452D">
        <w:rPr>
          <w:rStyle w:val="NumeroAFNegritaCaracter"/>
        </w:rPr>
        <w:t>2</w:t>
      </w:r>
      <w:r>
        <w:t>. La resolución del recurso que nos ocupa exige hacer una precisión previa sobre el impacto que en su objeto pueda haber tenido la aprobación de la Ley 2/2011, de 4 de marzo, de economía sostenible. El apartado cinco de la disposición final trigésima tercera de la Ley 2/2011 ha dado una nueva redacción a la función decimocuarta del punto 1 de apartado tercero de la disposición adicional undécima de la Ley 34/1998, de 7 de octubre, del sector de hidrocarburos. En consecuencia, la concreta redacción que el artículo único del Real Decreto-ley 4/2006 dio a la función decimocuarta del punto 1 del apartado tercero de la disposición adicional undécima de la Ley 34/1998, de 7 de octubre, del sector de hidrocarburos ha quedado derogada y, con ello, también el artículo único del Real Decreto-ley 4/2006.</w:t>
      </w:r>
    </w:p>
    <w:p w:rsidR="0026452D" w:rsidRDefault="0026452D" w:rsidP="0026452D">
      <w:pPr>
        <w:pStyle w:val="TextoNormal"/>
      </w:pPr>
    </w:p>
    <w:p w:rsidR="0026452D" w:rsidRDefault="0026452D" w:rsidP="0026452D">
      <w:pPr>
        <w:pStyle w:val="TextoNormal"/>
      </w:pPr>
      <w:r w:rsidRPr="0026452D">
        <w:rPr>
          <w:rStyle w:val="NumeroAFNegritaCaracter"/>
        </w:rPr>
        <w:t>3</w:t>
      </w:r>
      <w:r>
        <w:t>. Tal y como ha recordado la STC 1/2012, de 13 de enero, citando a su vez las SSTC 134/2004, de 22 de julio, y 68/2007, de 28 de marzo, es reiterada la doctrina constitucional que establece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(por ejemplo, SSTC 233/1999, de 12 de diciembre, FJ 3; 148/2000, de 1 de junio, FJ 3; 190/2000, de 13 de julio, FJ 2; y 16/2003, de 30 de enero, FJ 2).” (FJ 3).</w:t>
      </w:r>
    </w:p>
    <w:p w:rsidR="0026452D" w:rsidRDefault="0026452D" w:rsidP="0026452D">
      <w:pPr>
        <w:pStyle w:val="TextoNormal"/>
      </w:pPr>
    </w:p>
    <w:p w:rsidR="0026452D" w:rsidRDefault="0026452D" w:rsidP="0026452D">
      <w:pPr>
        <w:pStyle w:val="TextoNormal"/>
      </w:pPr>
      <w:r>
        <w:t xml:space="preserve">La proyección de este planteamiento de principio sobre el recurso de inconstitucionalidad, tal y como ha recordado la STC 124/2003, de 19 de junio, FJ 3, por tratarse de un “recurso abstracto y orientado a la depuración objetiva del ordenamiento”, determina que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De modo que, si bien carece de sentido, en el seno de un recurso de inconstitucionalidad, “pronunciarse sobre normas que el mismo legislador ha expulsado ya de dicho ordenamiento ... de modo total, sin ultraactividad” (SSTC 160/1987, de 27 de octubre, FJ 6; 150/1990, de 4 de octubre, FJ 8; y 385/1993, de 23 de diciembre, FJ 2), puede resultar útil y conveniente su enjuiciamiento, aun cuando hayan sido derogadas, para excluir “toda </w:t>
      </w:r>
      <w:r>
        <w:lastRenderedPageBreak/>
        <w:t>aplicación posterior de la disposición legal controvertida, privándola así del vestigio de vigencia que pudiera conservar” (SSTC 160/1987, de 27 de octubre, FJ 6; y 385/1993, de 23 de diciembre, FJ 2).</w:t>
      </w:r>
    </w:p>
    <w:p w:rsidR="0026452D" w:rsidRDefault="0026452D" w:rsidP="0026452D">
      <w:pPr>
        <w:pStyle w:val="TextoNormal"/>
      </w:pPr>
    </w:p>
    <w:p w:rsidR="0026452D" w:rsidRDefault="0026452D" w:rsidP="0026452D">
      <w:pPr>
        <w:pStyle w:val="TextoNormal"/>
      </w:pPr>
      <w:r>
        <w:t>En suma, en lo que al recurso de inconstitucionalidad se refiere, la derogación formal o la sustitución del contenido de una disposición jurídica por otro tiene, como regla general, efecto extintivo del objeto. Esto es lo que ocurre en el presente proceso con el artículo único del Real Decreto-ley 4/2006. La regla general de la pérdida de objeto se ha de extender igualmente a la disposición transitoria única del Real Decreto-ley 4/2006: aunque no ha sido formalmente derogada, su única finalidad era establecer el momento inicial de la aplicación de una regulación que no existe en el momento de dictar esta resolución.</w:t>
      </w:r>
    </w:p>
    <w:p w:rsidR="0026452D" w:rsidRDefault="0026452D" w:rsidP="0026452D">
      <w:pPr>
        <w:pStyle w:val="TextoNormal"/>
      </w:pPr>
    </w:p>
    <w:p w:rsidR="0026452D" w:rsidRDefault="0026452D" w:rsidP="0026452D">
      <w:pPr>
        <w:pStyle w:val="TextoNormal"/>
      </w:pPr>
      <w:r>
        <w:t>Según nuestra doctrina, la regla general de la pérdida de objeto consiente, sin embargo, por su propio fundamento, ciertas excepciones y, entre ellas, una que ahora interesa en consideración a la primera de las alegaciones en que se fundamenta el presente recurso de inconstitucionalidad. En efecto, en el recurso se cuestiona la legitimidad constitucional de la adopción de una norma de urgencia como el Real Decreto-ley 4/2006, por cuanto se habría incumplido el presupuesto de la “extraordinaria y urgente necesidad” justificativa de la aprobación de un decreto-ley. Constituye reiterada doctrina constitucional, recordada por la citada STC 1/2012, de 13 de enero, FJ 4 (con cita de las STC 155/2005, de 9 de junio, FJ 2; y 68/2007, de 28 de marzo, FJ 4) que “es algo fuera de duda” que “el control del Decreto-ley en cuanto tal no está impedido por el hecho de la novación operada por la Ley, siguiendo lo que dispone el art. 86.3”, pues el interés constitucional “de ajustar el uso del instrumento del Decreto-ley al marco del art. 86.1 ... no puede considerarse satisfecho por la derivación del Decreto-ley hacia el cauce del art. 86.3”, ya que si bien “pudiera ... pensarse que una eficacia retroactiva de la Ley que diera cobijo a los efectos producidos por el Decreto-ley puede privar de sentido a la impugnación dirigida ... al Decreto-ley, ... esto no es así, pues ... velar por el recto ejercicio de la potestad de emitir Decretos-leyes, dentro del marco constitucional, es algo que no puede eludirse por la utilización del procedimiento del art. 86.3 (STC 111/1983, de 2 de diciembre, FJ 3; en el mismo sentido, más recientemente, STC 182/1997, de 28 de octubre, FJ 1)”. En este mismo sentido hemos declarado también que “la Constitución únicamente admite la legislación de urgencia bajo condiciones cuya inobservancia constituye una infracción que sólo puede repararse con una declaración de inconstitucionalidad, sin que los efectos derogatorios de la legislación sobrevenida o los convalidantes de la asunción del Decreto-ley por el Congreso de los Diputados puedan corregir un defecto que ha de concebirse como necesariamente insubsanable, pues, en otro caso, los límites del art. 86 CE sólo serían operativos en el tiempo que media entre el Decreto-ley y su convalidación o su conversión en ley, esto es, en un tiempo en el que este Tribunal nunca podrá materialmente pronunciarse” (STC 155/2005, de 9 de junio, FJ 2).</w:t>
      </w:r>
    </w:p>
    <w:p w:rsidR="0026452D" w:rsidRDefault="0026452D" w:rsidP="0026452D">
      <w:pPr>
        <w:pStyle w:val="TextoNormal"/>
      </w:pPr>
    </w:p>
    <w:p w:rsidR="0026452D" w:rsidRDefault="0026452D" w:rsidP="0026452D">
      <w:pPr>
        <w:pStyle w:val="TextoNormal"/>
      </w:pPr>
      <w:r>
        <w:t>Resulta así que, en todo caso, pervive el objeto del presente recurso por lo que hace a la alegación de vulneración del art. 86.1 CE por el Real Decreto-ley 4/2006.</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Tal y como quedó reflejado en los antecedentes de esta resolución, los recurrentes sostienen que los preceptos adoptados, al ser aprobados bajo la forma de decreto-ley, vulneraron lo dispuesto en el art. 86.1 CE, por no concurrir la “extraordinaria y urgente necesidad” habilitante del uso de dicha facultad, dado que no puede justificarse su aprobación </w:t>
      </w:r>
      <w:r>
        <w:lastRenderedPageBreak/>
        <w:t>por ninguna de las razones apuntadas en su exposición de motivos o en la memoria justificativa, ni tampoco se aprecia la conexión o relación de adecuación entre tal situación y las medidas adoptadas por el Real Decreto-ley.</w:t>
      </w:r>
    </w:p>
    <w:p w:rsidR="0026452D" w:rsidRDefault="0026452D" w:rsidP="0026452D">
      <w:pPr>
        <w:pStyle w:val="TextoNormal"/>
      </w:pPr>
    </w:p>
    <w:p w:rsidR="0026452D" w:rsidRDefault="0026452D" w:rsidP="0026452D">
      <w:pPr>
        <w:pStyle w:val="TextoNormal"/>
      </w:pPr>
      <w:r>
        <w:t>El Abogado del Estado afirma, sustancialmente, que la extraordinaria y urgente necesidad justificativa de la aprobación del Decreto-ley derivaría de la necesidad de poner fin a las insuficiencias advertidas en la regulación de la Ley 34/1988, de 7 de octubre, del sector de hidrocarburos, como se desprende de la exposición de motivos y tal como se expresa en la memoria justificativa, y que la calificación de la urgencia realizada por los órganos políticos no es manifiestamente arbitraria o abusiva. Considera que las operaciones de concentración son sin duda difíciles de prever, pues se mantienen ocultas hasta el mismo momento en que se solicitan las correspondientes autorizaciones, y que la realización de una importante operación de concentración empresarial en un sector tan vital como el energético, operación que eventualmente podría afectar a la regularidad del suministro, es una circunstancia económica difícil de prever y que exige una respuesta inmediata, máxime teniendo en cuenta que con la legislación vigente antes del Real Decreto-ley tal operación no estaba sometida a ningún tipo de supervisión por los organismos reguladores del mercado energético.</w:t>
      </w:r>
    </w:p>
    <w:p w:rsidR="0026452D" w:rsidRDefault="0026452D" w:rsidP="0026452D">
      <w:pPr>
        <w:pStyle w:val="TextoNormal"/>
      </w:pPr>
    </w:p>
    <w:p w:rsidR="0026452D" w:rsidRDefault="0026452D" w:rsidP="0026452D">
      <w:pPr>
        <w:pStyle w:val="TextoNormal"/>
      </w:pPr>
      <w:r w:rsidRPr="0026452D">
        <w:rPr>
          <w:rStyle w:val="NumeroAFNegritaCaracter"/>
        </w:rPr>
        <w:t>5</w:t>
      </w:r>
      <w:r>
        <w:t>. Una vez acotado el problema constitucional, a la luz del art. 86.1 CE debemos acudir a la doctrina establecida por este Tribunal sobre el sentido y alcance del presupuesto legitimador de la extraordinaria y urgente necesidad. Dicha doctrina ha sido reiterada por la STC 68/2007, de 28 de marzo, y más recientemente por las SSTC 31/2011, de 17 de marzo, 137/2011, de 14 de septiembre, y 1/2012, de 13 de enero, con cita, entre otras, de las SSTC 182/1997, de 28 de octubre; 11/2002, de 17 de enero; 137/2003, de 3 de julio; 189/2005, de 7 de julio, FJ 3, y 329/2005, de 15 de diciembre, FJ 5. En estas Sentencias, tras reconocer el peso que en la apreciación de la extraordinaria y urgente necesidad ha de concederse “al juicio puramente político de los órganos a los que incumbe la dirección del Estado”, declaramos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(SSTC 11/2002, de 17 de enero, FJ 4; y 137/2003, de 3 de julio, FJ 3).</w:t>
      </w:r>
    </w:p>
    <w:p w:rsidR="0026452D" w:rsidRDefault="0026452D" w:rsidP="0026452D">
      <w:pPr>
        <w:pStyle w:val="TextoNormal"/>
      </w:pPr>
    </w:p>
    <w:p w:rsidR="0026452D" w:rsidRDefault="0026452D" w:rsidP="0026452D">
      <w:pPr>
        <w:pStyle w:val="TextoNormal"/>
      </w:pPr>
      <w:r>
        <w:t xml:space="preserve">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de </w:t>
      </w:r>
      <w:r>
        <w:lastRenderedPageBreak/>
        <w:t>31 de mayo, FJ 3), de manera que estas últimas guarden una relación directa o de congruencia con la situación que se trata de afrontar” (STC 182/1997, de 28 de octubre, FJ 3). Ello quiere decir que la definición expresa de la extraordinaria y urgente necesidad no ha de contenerse siempre en el propio real decreto-ley, sino que tal presupuesto puede ser deducido igualmente de una pluralidad de elementos. Así pues, el examen de la concurrencia del citado presupuesto habilitante de la “extraordinaria y urgente necesidad” siempre se ha de llevar a cabo mediante la valoración conjunta de todos aquellos factores que determinaron al Gobierno a dictar la disposición legal excepcional,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 de 28 de octubre, FJ 3; 11/2002, de 17 de enero, FJ 4; y 137/2003, de 3 de julio, FJ 3). Este Tribunal ha señalado asimismo que “la valoración de la extraordinaria y urgente necesidad de una medida puede ser independiente de su imprevisibilidad e, incluso, de que tenga su origen en la previa inactividad del propio Gobierno siempre que concurra efectivamente la excepcionalidad de la situación” (STC 1/2012, de 13 de enero, FJ 6), pues “lo que aquí debe importar no es tanto la causa de las circunstancias que justifican la legislación de urgencia cuanto el hecho de que tales circunstancias efectivamente concurran” (SSTC 11/2002, de 17 de enero, FJ 6; y 68/2007, de 28 de marzo, FJ 8). También hemos de recordar que este Tribunal ha insistido en que el control jurídico de este requisito no debe suplantar a los órganos constitucionales que intervienen en la aprobación y convalidación de los reales decretos-leyes, sino que ha de apoyarse en una valoración de conjunto de las circunstancias que rodean al caso (STC 332/2005, de 15 de diciembre, FJ 5; y 31/2011, de 17 de marzo, FJ 3).</w:t>
      </w:r>
    </w:p>
    <w:p w:rsidR="0026452D" w:rsidRDefault="0026452D" w:rsidP="0026452D">
      <w:pPr>
        <w:pStyle w:val="TextoNormal"/>
      </w:pPr>
    </w:p>
    <w:p w:rsidR="0026452D" w:rsidRDefault="0026452D" w:rsidP="0026452D">
      <w:pPr>
        <w:pStyle w:val="TextoNormal"/>
      </w:pPr>
      <w:r>
        <w:t>A lo anterior cabe añadir, por último, que la perspectiva desde la que ha de examinarse la concurrencia del presupuesto habilitante del art. 86.1 CE es “la del momento en que se aprueba el correspondiente decreto-ley, de manera que el presupuesto de la validez de dicha norma no queda alterado por datos o circunstancias posteriores que pudieran cuestionar la apreciación de la urgencia o de la necesidad afirmadas en aquel momento” (STC 1/2012, de 13 de enero, FJ 6). Asimismo, el examen de la concurrencia del presupuesto habilitante del art. 86.1 CE en la adopción de un decreto-ley es del todo independiente del control de la conformidad material con la Constitución de las disposiciones incluidas en la norma de urgencia y, tanto más, en cuanto que se sitúa extramuros de nuestra jurisdicción, del control de su conformidad material con el Derecho de la Unión Europea.</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Con arreglo a la doctrina que se acaba de recordar debemos comprobar ahora si en el Real Decreto-ley 4/2006 objeto del presente recurso de inconstitucionalidad concurre el presupuesto habilitante de la “extraordinaria y urgente necesidad” exigido por el art. 86.1 CE. Siguiendo la doctrina expuesta debemos por tanto analizar dos elementos: en primer lugar, la presentación explícita y razonada de los motivos que han sido tenidos en cuenta por el Gobierno en su aprobación (SSTC 29/1982, de 31 de mayo, FJ 3; 111/1983, de 2 de diciembre, FJ 5; 182/1997, de 20 de octubre, FJ 3; 137/2003, de 3 de julio, FJ 4; y 1/2012, de 13 de enero, FJ 7); en segundo lugar, la existencia de una necesaria conexión entre la situación de urgencia definida y la medida concreta adoptada para subvenir a ella (SSTC </w:t>
      </w:r>
      <w:r>
        <w:lastRenderedPageBreak/>
        <w:t>29/1982, de 31 de mayo, FJ 3; 182/1997, de 20 de octubre, FJ 3; 137/2003, de 3 de julio, FJ 4; y 1/2012, de 13 de enero, FJ 7).</w:t>
      </w:r>
    </w:p>
    <w:p w:rsidR="0026452D" w:rsidRDefault="0026452D" w:rsidP="0026452D">
      <w:pPr>
        <w:pStyle w:val="TextoNormal"/>
      </w:pPr>
    </w:p>
    <w:p w:rsidR="0026452D" w:rsidRDefault="0026452D" w:rsidP="0026452D">
      <w:pPr>
        <w:pStyle w:val="TextoNormal"/>
      </w:pPr>
      <w:r>
        <w:t>Entrando, en primer lugar, a analizar los motivos explicitados por el Gobierno para la aprobación del Real Decreto-ley 4/2006, debemos acudir a la exposición de motivos de la norma, al debate parlamentario de convalidación y, en su caso, al expediente de elaboración de la norma (por todas, STC 1/2012, FJ 7).</w:t>
      </w:r>
    </w:p>
    <w:p w:rsidR="0026452D" w:rsidRDefault="0026452D" w:rsidP="0026452D">
      <w:pPr>
        <w:pStyle w:val="TextoNormal"/>
      </w:pPr>
    </w:p>
    <w:p w:rsidR="0026452D" w:rsidRDefault="0026452D" w:rsidP="0026452D">
      <w:pPr>
        <w:pStyle w:val="TextoNormal"/>
      </w:pPr>
      <w:r>
        <w:t>En la exposición de motivos del Real Decreto-ley se afirma lo siguiente:</w:t>
      </w:r>
    </w:p>
    <w:p w:rsidR="0026452D" w:rsidRDefault="0026452D" w:rsidP="0026452D">
      <w:pPr>
        <w:pStyle w:val="TextoNormal"/>
      </w:pPr>
    </w:p>
    <w:p w:rsidR="0026452D" w:rsidRDefault="0026452D" w:rsidP="0026452D">
      <w:pPr>
        <w:pStyle w:val="TextoNormal"/>
      </w:pPr>
      <w:r>
        <w:t>“Las tendencias de concentración empresarial en los mercados energéticos mundiales y europeos han puesto de relieve determinadas insuficiencias en la legislación vigente. Insuficiencias que tienen al menos una doble faceta: por una parte, no se contemplan todos los intereses cuya protección por los poderes públicos parece conveniente; por otra, no somete a simétrica consideración las operaciones cualquiera que sea el agente promotor de las mismas.</w:t>
      </w:r>
    </w:p>
    <w:p w:rsidR="0026452D" w:rsidRDefault="0026452D" w:rsidP="0026452D">
      <w:pPr>
        <w:pStyle w:val="TextoNormal"/>
      </w:pPr>
    </w:p>
    <w:p w:rsidR="0026452D" w:rsidRDefault="0026452D" w:rsidP="0026452D">
      <w:pPr>
        <w:pStyle w:val="TextoNormal"/>
      </w:pPr>
      <w:r>
        <w:t>Así, conforme a la legislación vigente, no resulta posible examinar en todos los supuestos la adquisición del control de unas empresas por otras, en la medida que afecten a intereses generales de la política energética española y, en particular, a la seguridad pública. Además, mientras que en su actual redacción la función Decimocuarta de la Comisión Nacional de Energía, regulada en la Disposición Adicional Undécima.Tercero.1 de la Ley 34/1998, de 7 de octubre, del Sector de Hidrocarburos, condiciona a la autorización de la Comisión Nacional de Energía la toma de participación por sociedades con actividades reguladas en cualquier entidad que realice actividades de naturaleza mercantil, no establece la misma previsión cuando la sociedad objeto de la participación realiza actividades reguladas pero no la sociedad que pretende dicha participación.</w:t>
      </w:r>
    </w:p>
    <w:p w:rsidR="0026452D" w:rsidRDefault="0026452D" w:rsidP="0026452D">
      <w:pPr>
        <w:pStyle w:val="TextoNormal"/>
      </w:pPr>
    </w:p>
    <w:p w:rsidR="0026452D" w:rsidRDefault="0026452D" w:rsidP="0026452D">
      <w:pPr>
        <w:pStyle w:val="TextoNormal"/>
      </w:pPr>
      <w:r>
        <w:t>La corrección de ambas insuficiencias, que requiere una disposición con rango de ley, adquiere carácter de extrema y urgente necesidad, por cuanto que es necesario establecer sin dilación las características de la nueva regulación, de manera que los agentes económicos dispongan de unas perspectivas claras del marco jurídico en el que ejercitar sus opciones empresariales o financieras.”</w:t>
      </w:r>
    </w:p>
    <w:p w:rsidR="0026452D" w:rsidRDefault="0026452D" w:rsidP="0026452D">
      <w:pPr>
        <w:pStyle w:val="TextoNormal"/>
      </w:pPr>
    </w:p>
    <w:p w:rsidR="0026452D" w:rsidRDefault="0026452D" w:rsidP="0026452D">
      <w:pPr>
        <w:pStyle w:val="TextoNormal"/>
      </w:pPr>
      <w:r>
        <w:t>De la literalidad de la exposición de motivos del Real Decreto-ley se desprende que la justificación de la aprobación del mismo en el marco del art. 86.1 se concreta en la necesidad de corregir dos concretas “insuficiencias” que el Gobierno aprecia en la legislación entonces vigente en relación con la regulación de la potestad de supervisión de las operaciones de concentración en el sector energético: por un lado, la insuficiente precisión legal de los intereses cuya protección por los poderes públicos parece conveniente en los supuestos de adquisición del control de unas empresas por otras; por otro, la falta de previsión legal de la autorización de la Comisión Nacional de Energía de la toma de participación en una sociedad que realice actividades reguladas por una sociedad que no las realice.</w:t>
      </w:r>
    </w:p>
    <w:p w:rsidR="0026452D" w:rsidRDefault="0026452D" w:rsidP="0026452D">
      <w:pPr>
        <w:pStyle w:val="TextoNormal"/>
      </w:pPr>
    </w:p>
    <w:p w:rsidR="0026452D" w:rsidRDefault="0026452D" w:rsidP="0026452D">
      <w:pPr>
        <w:pStyle w:val="TextoNormal"/>
      </w:pPr>
      <w:r>
        <w:t xml:space="preserve">En el trámite de convalidación del Real Decreto-ley, en la defensa del texto ofrecida por el Ministro de Industria, Turismo y Comercio, en nombre del Gobierno, ante el Pleno del Congreso de los Diputados (Cortes Generales, “Diario de Sesiones del Congreso de los Diputados”, Pleno y Diputación Permanente, VIII Legislatura, Año 2006, núm. 163, sesión </w:t>
      </w:r>
      <w:r>
        <w:lastRenderedPageBreak/>
        <w:t>plenaria núm. 152 del 23 de marzo de 2006, págs. 8121 a 8123), se afirma, entre otras cosas, lo siguiente:</w:t>
      </w:r>
    </w:p>
    <w:p w:rsidR="0026452D" w:rsidRDefault="0026452D" w:rsidP="0026452D">
      <w:pPr>
        <w:pStyle w:val="TextoNormal"/>
      </w:pPr>
    </w:p>
    <w:p w:rsidR="0026452D" w:rsidRDefault="0026452D" w:rsidP="0026452D">
      <w:pPr>
        <w:pStyle w:val="TextoNormal"/>
      </w:pPr>
      <w:r>
        <w:t>“Esta regulación española para las tomas de participación de empresas en el sector energético se ha venido manteniendo en el tiempo en unos mercados europeos y mundiales en los que las concentraciones empresariales tienen una tendencia creciente, concentraciones que han puesto de manifiesto las limitaciones de la actual legislación para la protección por los poderes públicos de los intereses cuya salvaguarda tiene encomendados. Por tanto, el Real Decreto-ley 4/2006 está originado por una clara insuficiencia de la legislación vigente que presenta al menos dos aspectos fundamentales. En primer lugar, con la actual legislación no resulta posible examinar en todas sus facetas los efectos derivados de la adquisición del control de unas empresas por otras en el sector energético; al menos no en todos los supuestos que afectan a los intereses generales de la política energética española y en particular a la seguridad pública. En segundo lugar, mientras que en su redacción actual la función decimocuarta de la Comisión Nacional de Energía condiciona a la autorización de la comisión la toma de participaciones por sociedades con actividades reguladas en cualquier entidad que realice actividades de naturaleza mercantil, no se establece la misma previsión cuando la sociedad objeto de la toma de participación realiza actividades reguladas pero no lo hace la sociedad que pretende dicha participación. Es decir, hasta este real decreto-ley el criterio que determinaba si una operación de toma de participación empresarial debe ser o no objeto de autorización por la Comisión Nacional de Energía se basaba en la naturaleza regulada de las actividades de la empresa que pretendía adquirir la participación y en el sector en el que esta opera, y no en las características de la sociedad objeto de la toma de participación. Esto ha puesto en evidencia una clara insuficiencia en la legislación, ya que una operación como por ejemplo una oferta pública de adquisición de acciones sobre una gran compañía energética solo debía ser analizada por la Comisión Nacional de Energía si era iniciada por otra compañía del sector energético español que realizase actividades reguladas, pero si tal operación de adquisición procediese de una empresa, por ejemplo, del sector textil o de otra con actividades en cualquier otro sector de otro país, no tendría que someterse a este procedimiento de autorización por la Comisión Nacional de Energía, cuyo objeto consiste en garantizar el adecuado funcionamiento del sistema energético regulado de nuestro país.”</w:t>
      </w:r>
    </w:p>
    <w:p w:rsidR="0026452D" w:rsidRDefault="0026452D" w:rsidP="0026452D">
      <w:pPr>
        <w:pStyle w:val="TextoNormal"/>
      </w:pPr>
    </w:p>
    <w:p w:rsidR="0026452D" w:rsidRDefault="0026452D" w:rsidP="0026452D">
      <w:pPr>
        <w:pStyle w:val="TextoNormal"/>
      </w:pPr>
      <w:r>
        <w:t>A lo anterior el Ministro de Industria, Turismo y Comercio añadió otras dos consideraciones: por un lado, que “la entrada en vigor del nuevo régimen legal debe ser inmediata, ya que es condición necesaria para que los agentes económicos dispongan de perspectivas claras sobre el marco en el que actuar y no soporten las distorsiones asociadas al plazo necesario para la aprobación en este caso de un proyecto de ley”; por otro, que “resultaba discriminatorio someter a autorización la adquisición de participaciones únicamente cuando era realizada por una empresa que, a su vez, realizase actividades reguladas. Por ello, se ha considerado coherente con el sistema vigente ampliar su ámbito subjetivo; al mismo tiempo, se ha considerado conveniente ampliar el ámbito de aplicación de la autorización a las empresas que se encuentran en determinadas relaciones de sujeción especial, por la particular naturaleza de ésta y por su trascendencia para el mantenimiento de los objetivos de política sectorial”.</w:t>
      </w:r>
    </w:p>
    <w:p w:rsidR="0026452D" w:rsidRDefault="0026452D" w:rsidP="0026452D">
      <w:pPr>
        <w:pStyle w:val="TextoNormal"/>
      </w:pPr>
    </w:p>
    <w:p w:rsidR="0026452D" w:rsidRDefault="0026452D" w:rsidP="0026452D">
      <w:pPr>
        <w:pStyle w:val="TextoNormal"/>
      </w:pPr>
      <w:r>
        <w:t xml:space="preserve">Para completar el análisis de los motivos alegados por el Gobierno, procede traer a colación la memoria justificativa del proyecto de real decreto-ley por el que se modifican las </w:t>
      </w:r>
      <w:r>
        <w:lastRenderedPageBreak/>
        <w:t>funciones de la Comisión Nacional de Energía, en tanto que dicho dictamen constituye un trámite sustancial del procedimiento de elaboración de la norma impugnada. En dicha memoria justificativa se fundamentó la necesidad de la modificación legislativa mediante real decreto-ley en tres razones: “En primer lugar porque se pretende modificar una disposición con rango de ley. En segundo lugar, porque se requiere que las medidas propuestas sean adoptadas con carácter de extrema y urgente necesidad, habida cuenta de la conocida existencia de operaciones en curso y previsibles de profundo calado, con efectos que pueden resultar de difícil e imposible corrección. En tercer lugar, porque es necesario también establecer sin dilación las características de la nueva regulación, de manera que los agentes económicos dispongan de unas perspectivas claras del marco jurídico en el que ejercitar sus opciones empresariales o financieras.”</w:t>
      </w:r>
    </w:p>
    <w:p w:rsidR="0026452D" w:rsidRDefault="0026452D" w:rsidP="0026452D">
      <w:pPr>
        <w:pStyle w:val="TextoNormal"/>
      </w:pPr>
    </w:p>
    <w:p w:rsidR="0026452D" w:rsidRDefault="0026452D" w:rsidP="0026452D">
      <w:pPr>
        <w:pStyle w:val="TextoNormal"/>
      </w:pPr>
      <w:r w:rsidRPr="0026452D">
        <w:rPr>
          <w:rStyle w:val="NumeroAFNegritaCaracter"/>
        </w:rPr>
        <w:t>7</w:t>
      </w:r>
      <w:r>
        <w:t>. Una vez expuestos los motivos aducidos por el Gobierno en el propio Real Decreto-ley, en su proceso de convalidación y en el procedimiento de elaboración de la norma, podemos entrar a analizar su pertinencia. En el presente recurso se suscitan dos objeciones desde la perspectiva del art. 86.1 CE. La primera plantea la necesidad y urgencia de la adopción del Real Decreto-ley impugnado. La segunda objeción rechaza la relación de adecuación entre la situación de extraordinaria y urgente necesidad alegada por el Gobierno y las medidas incluidas a tal efecto en el Real Decreto-ley, en cuanto que, para una mejor garantía de la seguridad pública, que es la finalidad principal aducida por el Gobierno, el nuevo régimen debería haber sido aplicable sin distinción alguna a todas las operaciones pendientes de ejecución y no solo a las no autorizadas.</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Por lo que respecta a la primera objeción, cabe recordar que, en diversos momentos, el Gobierno ha alegado expresamente tres circunstancias concretas para fundamentar el recurso al decreto-ley: la insuficiencia de la vigente regulación legal en materia de operaciones de concentración en el sector energético, la necesidad de proporcionar a los agentes económicos “unas perspectivas claras del marco jurídico en el que ejercitar sus opciones empresariales o financieras”, y “la conocida existencia de operaciones en curso y previsibles de profundo calado, con efectos que pueden resultar de difícil e imposible corrección”. Los recurrentes se han limitado a razonar explícitamente su rechazo a la pertinencia de dos de esas tres circunstancias. Pues bien, sólo parcialmente podemos compartir esos argumentos. Ciertamente la urgencia de una modificación legislativa no se puede fundamentar en la urgencia de que sus destinatarios conozcan tales reformas. En cambio, con arreglo a nuestra doctrina no podemos aceptar el argumento de que las operaciones de concentración en el sector energético no eran imprevisibles o se habían planteado en otras ocasiones en los años anteriores, pues “la valoración de la extraordinaria y urgente necesidad de una medida puede ser independiente de su imprevisibilidad e, incluso, de que tenga su origen en la previa inactividad del propio Gobierno” (STC 1/2012, de 13 de enero, FJ 6). En consecuencia, debemos considerar que la situación de extraordinaria y urgente necesidad que el Gobierno quería abordar mediante la aprobación del decreto-ley objeto del presente proceso constitucional está configurada por la concurrencia de una doble circunstancia: la apreciación, por un lado, de un déficit de regulación legal en materia de operaciones de concentración en el sector energético y la constatación, por otro, de la existencia de importantes operaciones de concentración en curso en dicho sector. En concreto el déficit o laguna normativa se concretaba según el Gobierno en la asimetría existente, desde la perspectiva de la necesidad de una autorización administrativa previa, entre dos tipos de operaciones de concentración en el sector energético. Mientras que la adquisición de participaciones realizada por sociedades </w:t>
      </w:r>
      <w:r>
        <w:lastRenderedPageBreak/>
        <w:t>que desarrollaran actividades que tuvieran la consideración de reguladas o actividades que estuvieran sujetas a una intervención administrativa que implicara una relación de sujeción especial estaban sujetas a autorización administrativa, no lo estaba en cambio la adquisición de participaciones en esas mismas sociedades por otros sujetos, esto es, por sociedades que no desarrollaran actividades reguladas o que no estuvieran sujetas a una intervención administrativa. A esa asimetría o disparidad de criterios legales se conecta la otra circunstancia alegada por el Gobierno de “la conocida existencia de operaciones en curso y previsibles de profundo calado, con efectos que pueden resultar de difícil e imposible corrección”, lo que implícitamente apela al carácter acuciante y urgente que, según el Gobierno, revestía la intervención legislativa en dicho ámbito.</w:t>
      </w:r>
    </w:p>
    <w:p w:rsidR="0026452D" w:rsidRDefault="0026452D" w:rsidP="0026452D">
      <w:pPr>
        <w:pStyle w:val="TextoNormal"/>
      </w:pPr>
    </w:p>
    <w:p w:rsidR="0026452D" w:rsidRDefault="0026452D" w:rsidP="0026452D">
      <w:pPr>
        <w:pStyle w:val="TextoNormal"/>
      </w:pPr>
      <w:r>
        <w:t>Por otra parte, este Tribunal ha reconocido recientemente la relevancia, desde la perspectiva del art. 86.1 CE, de la ordenación de los procesos que se desarrollan en el sector energético (SSTC 170/2012, de 4 de octubre, FJ 6; y 233/2012, de 13 de diciembre, FJ 2). Así, en la STC 170/2012, FJ 6, consideramos, con relación a la concurrencia del presupuesto habilitante en la adopción de un real decreto-ley, que “la importancia del sector energético para el desarrollo de la actividad económica en general determina que su ordenación, introduciendo reformas en el mismo a fin de mejorar el funcionamiento de los distintos subsectores que lo integran, sea susceptible de constituir una necesidad cuya valoración entra dentro del ámbito de atribuciones que corresponde al Gobierno, al que corresponde apreciar cual es el momento o la coyuntura económica más apropiada para adoptar sus decisiones en este caso dirigidas a introducir un mayor grado de liberalización de las actividades en el sector petrolero, circunstancia que puede hacer necesaria la aprobación de disposiciones legislativas provisionales y de eficacia inmediata como las contenidas en un decreto-ley excluyendo que se trate de un uso abusivo o arbitrario de dicha facultad”. Si bien este pronunciamiento se realizó con relación a unas disposiciones cuya finalidad era la liberalización de las actividades en el subsector del petróleo, el mismo criterio debe valer con respecto a la introducción de disposiciones de signo contrario, como sucede en el presente caso, en el cual las medidas incluidas en el Real Decreto-ley 4/2006 se dirigen a extender la autorización administrativa a ciertas operaciones de concentración que previamente no la necesitaban así como a precisar las causas legales de denegación o de condicionamiento de dichas autorizaciones administrativas.</w:t>
      </w:r>
    </w:p>
    <w:p w:rsidR="0026452D" w:rsidRDefault="0026452D" w:rsidP="0026452D">
      <w:pPr>
        <w:pStyle w:val="TextoNormal"/>
      </w:pPr>
    </w:p>
    <w:p w:rsidR="0026452D" w:rsidRDefault="0026452D" w:rsidP="0026452D">
      <w:pPr>
        <w:pStyle w:val="TextoNormal"/>
      </w:pPr>
      <w:r>
        <w:t>Por todo ello, conforme a nuestra doctrina, recapitulada en el fundamento jurídico 5 de esta Sentencia, debemos declarar que la definición por los órganos políticos de la situación de extraordinaria y urgente necesidad resulta explícita y razonada, por lo que, no constituyendo un supuesto de uso abusivo o arbitrario de la potestad normativa excepcional conferida al Gobierno, debemos concluir que concurre el presupuesto habilitante de la extraordinaria y urgente necesidad requerido por el art. 86.1 CE.</w:t>
      </w:r>
    </w:p>
    <w:p w:rsidR="0026452D" w:rsidRDefault="0026452D" w:rsidP="0026452D">
      <w:pPr>
        <w:pStyle w:val="TextoNormal"/>
      </w:pPr>
    </w:p>
    <w:p w:rsidR="0026452D" w:rsidRDefault="0026452D" w:rsidP="0026452D">
      <w:pPr>
        <w:pStyle w:val="TextoNormal"/>
      </w:pPr>
      <w:r w:rsidRPr="0026452D">
        <w:rPr>
          <w:rStyle w:val="NumeroAFNegritaCaracter"/>
        </w:rPr>
        <w:t>9</w:t>
      </w:r>
      <w:r>
        <w:t xml:space="preserve">. La otra objeción planteada por los recurrentes se refiere en realidad al segundo elemento a analizar por este Tribunal en la tarea de control del presupuesto habilitante del art. 86.1 CE, esto es, la conexión entre la situación de urgencia definida y las medidas concretas adoptadas para afrontarla, que figuran en la disposición impugnada. Los recurrentes descartan la conexión de sentido entre la situación de urgencia y las medidas concretas adoptadas para afrontarla, arguyendo que, para una mejor garantía de la seguridad pública, el nuevo régimen debería haber sido aplicable sin distinción alguna a la totalidad de las operaciones pendientes de ejecución y no solo a las no autorizadas. Este argumento no puede acogerse. </w:t>
      </w:r>
      <w:r>
        <w:lastRenderedPageBreak/>
        <w:t>La discrepancia con respecto a las concretas medidas adoptadas por el Gobierno para afrontar la situación de urgencia por él definida no es motivo suficiente para fundamentar la inconstitucionalidad de la utilización del decreto-ley; como tampoco puede serlo la consideración de que existirían medidas tanto o más adecuadas o efectivas para la consecución de los propios objetivos gubernamentales. Por esta razón, tampoco tenemos que analizar si, como alega el Abogado del Estado, las medidas que, como contraste, nos proponen los recurrentes podrían plantear problemas desde la perspectiva del principio de irretroactividad. Desde la perspectiva del art. 86.1 CE nuestro control se debe ceñir a verificar si las concretas medidas incluidas en el decreto-ley adoptado presentan la inexcusable conexión de sentido con la situación de urgencia definida por el Gobierno.</w:t>
      </w:r>
    </w:p>
    <w:p w:rsidR="0026452D" w:rsidRDefault="0026452D" w:rsidP="0026452D">
      <w:pPr>
        <w:pStyle w:val="TextoNormal"/>
      </w:pPr>
    </w:p>
    <w:p w:rsidR="0026452D" w:rsidRDefault="0026452D" w:rsidP="0026452D">
      <w:pPr>
        <w:pStyle w:val="TextoNormal"/>
      </w:pPr>
      <w:r>
        <w:t>Nuestra doctrina ha afirmado un doble criterio o perspectiva para valorar la existencia de la conexión de sentido: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w:t>
      </w:r>
    </w:p>
    <w:p w:rsidR="0026452D" w:rsidRDefault="0026452D" w:rsidP="0026452D">
      <w:pPr>
        <w:pStyle w:val="TextoNormal"/>
      </w:pPr>
    </w:p>
    <w:p w:rsidR="0026452D" w:rsidRDefault="0026452D" w:rsidP="0026452D">
      <w:pPr>
        <w:pStyle w:val="TextoNormal"/>
      </w:pPr>
      <w:r>
        <w:t>Como ya hemos señalado, la situación de extraordinaria y urgente necesidad que habilitaba al Gobierno para aprobar el decreto-ley estaba configurada por la concurrencia de una doble circunstancia: la apreciación de un déficit de regulación legal en materia de operaciones de concentración en el sector energético y la constatación de la existencia de importantes operaciones de concentración en curso en dicho sector.</w:t>
      </w:r>
    </w:p>
    <w:p w:rsidR="0026452D" w:rsidRDefault="0026452D" w:rsidP="0026452D">
      <w:pPr>
        <w:pStyle w:val="TextoNormal"/>
      </w:pPr>
    </w:p>
    <w:p w:rsidR="0026452D" w:rsidRDefault="0026452D" w:rsidP="0026452D">
      <w:pPr>
        <w:pStyle w:val="TextoNormal"/>
      </w:pPr>
      <w:r>
        <w:t>En cuanto al contenido de las medidas previstas por el Decreto-ley, cabe recordar que se trata de modificaciones que daban nueva redacción a la disposición adicional undécima, 3.1.14 de la Ley 34/1998, de 7 de octubre, del sector de hidrocarburos. Tales modificaciones consistían, por una parte, en la sujeción a autorización administrativa de la adquisición de participaciones en un porcentaje superior a un diez por ciento del capital social o cualquier otro que conceda influencia significativa en una sociedad que, por sí o por medio de otras que pertenezcan a su grupo de sociedades, desarrolle alguna de las actividades que tengan la consideración de reguladas o actividades que estén sujetas a una intervención administrativa que implique una relación de sujeción especial por cualquier sujeto, y no solo —como hasta entonces— de las adquisiciones realizadas por sociedades que desarrollaran actividades que tuvieran la consideración de reguladas o actividades que estuvieran sujetas a una intervención administrativa que implicara una relación de sujeción especial; y, por otra parte, en la mayor precisión introducida en la regulación legal de las causas que facultaban al órgano competente para denegar o someter a condiciones las autorizaciones de esas adquisiciones, sin que sea necesario a los efectos del presente proceso constitucional descender al detalle de la regulación legal de esas concretas causas.</w:t>
      </w:r>
    </w:p>
    <w:p w:rsidR="0026452D" w:rsidRDefault="0026452D" w:rsidP="0026452D">
      <w:pPr>
        <w:pStyle w:val="TextoNormal"/>
      </w:pPr>
    </w:p>
    <w:p w:rsidR="0026452D" w:rsidRDefault="0026452D" w:rsidP="0026452D">
      <w:pPr>
        <w:pStyle w:val="TextoNormal"/>
      </w:pPr>
      <w:r>
        <w:t xml:space="preserve">En cuanto a la estructura de las disposiciones incluidas en el Decreto-ley, las disposiciones que establecían la sujeción a autorización administrativa de las adquisiciones por cualquier sujeto (y no sólo, como hasta entonces, por sociedades que desarrollaran actividades reguladas) de participaciones en sociedades que realizaran actividades reguladas y la nueva regulación de las causas de denegación o de condicionamiento de las autorizaciones, estaban dotadas de eficacia inmediata y modificaban por tanto de manera instantánea la situación </w:t>
      </w:r>
      <w:r>
        <w:lastRenderedPageBreak/>
        <w:t>jurídica existente, por cuanto que no sólo entraban en vigor el mismo día de su publicación en el “Boletín Oficial del Estado” (disposición final segunda del Real Decreto-ley 4/2006) sino que se aplicaban incluso a las operaciones pendientes de ejecución (disposición transitoria única del Real Decreto-ley 4/2006).</w:t>
      </w:r>
    </w:p>
    <w:p w:rsidR="0026452D" w:rsidRDefault="0026452D" w:rsidP="0026452D">
      <w:pPr>
        <w:pStyle w:val="TextoNormal"/>
      </w:pPr>
    </w:p>
    <w:p w:rsidR="0026452D" w:rsidRDefault="0026452D" w:rsidP="0026452D">
      <w:pPr>
        <w:pStyle w:val="TextoNormal"/>
      </w:pPr>
      <w:r>
        <w:t>A la luz de los dos criterios señalados, el contenido y la estructura de las disposiciones incluidas en el decreto-ley controvertido, debemos rechazar en suma la segunda objeción alegada por los recurrentes desde la perspectiva del art. 86.1 CE. Las medidas incluidas en el Decreto-ley no carecen en efecto de conexión de sentido con la situación de extraordinaria y urgente necesidad definida por el Gobierno, pues, por un lado, eran idóneas para remediar las insuficiencias de la regulación legal en materia de operaciones de concentración en el sector energético apreciadas por el Gobierno y, por otro lado, tenían incidencia inmediata en ese ámbito.</w:t>
      </w:r>
    </w:p>
    <w:p w:rsidR="0026452D" w:rsidRDefault="0026452D" w:rsidP="0026452D">
      <w:pPr>
        <w:pStyle w:val="TextoNormal"/>
      </w:pPr>
    </w:p>
    <w:p w:rsidR="0026452D" w:rsidRDefault="0026452D" w:rsidP="0026452D">
      <w:pPr>
        <w:pStyle w:val="TextoNormal"/>
      </w:pPr>
      <w:r w:rsidRPr="0026452D">
        <w:rPr>
          <w:rStyle w:val="NumeroAFNegritaCaracter"/>
        </w:rPr>
        <w:t>10</w:t>
      </w:r>
      <w:r>
        <w:t>. Hemos de concluir, por todo lo señalado, que, en el caso del Real Decreto-ley 4/2006 objeto del presente proceso constitucional, el Gobierno ha aportado justificación suficiente que permita apreciar la existencia de la situación habilitante requerida por el art. 86.1 CE, y que las medidas incluidas en dicho decreto-ley no carecen de conexión de sentido con respecto a la situación de urgencia definida por aquél.</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La extinción del recurso por desaparición sobrevenida del objeto respecto del artículo único y la disposición transitoria única del Real Decreto-ley 4/2006, de 24 de febrero, por el que se modifican las funciones de la Comisión Nacional de Energía.</w:t>
      </w:r>
    </w:p>
    <w:p w:rsidR="0026452D" w:rsidRDefault="0026452D" w:rsidP="0026452D">
      <w:pPr>
        <w:pStyle w:val="TextoNormal"/>
      </w:pPr>
    </w:p>
    <w:p w:rsidR="0026452D" w:rsidRDefault="0026452D" w:rsidP="0026452D">
      <w:pPr>
        <w:pStyle w:val="TextoNormal"/>
      </w:pPr>
      <w:r>
        <w:t>2º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43" w:name="SENTENCIA_2013_40"/>
      <w:r>
        <w:lastRenderedPageBreak/>
        <w:t>SENTENCIA 40/2013, de 14 de febrero de 2013</w:t>
      </w:r>
    </w:p>
    <w:bookmarkEnd w:id="43"/>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ECLI:ES:TC:2013:40</w:t>
      </w:r>
    </w:p>
    <w:p w:rsidR="0026452D" w:rsidRDefault="0026452D" w:rsidP="0026452D">
      <w:pPr>
        <w:pStyle w:val="SntesisDescriptiva"/>
      </w:pPr>
    </w:p>
    <w:p w:rsidR="0026452D" w:rsidRDefault="0026452D" w:rsidP="0026452D">
      <w:pPr>
        <w:pStyle w:val="SntesisDescriptiva"/>
      </w:pPr>
      <w:r>
        <w:t>Conflicto positivo de competencia 6893-2007. Planteado por el Gobierno de la Junta de Galicia en relación con la Orden TAS/1051/2007, de 18 de abril, por la que se establecen las bases reguladoras y se convoca la concesión de subvenciones para la realización de programas de cooperación y voluntariado sociales con cargo a la asignación tributaria del impuesto sobre la renta de las personas físicas.</w:t>
      </w:r>
    </w:p>
    <w:p w:rsidR="0026452D" w:rsidRDefault="0026452D" w:rsidP="0026452D">
      <w:pPr>
        <w:pStyle w:val="SntesisDescriptiva"/>
      </w:pPr>
    </w:p>
    <w:p w:rsidR="0026452D" w:rsidRDefault="0026452D" w:rsidP="0026452D">
      <w:pPr>
        <w:pStyle w:val="SntesisAnaltica"/>
      </w:pPr>
      <w:r>
        <w:t>Competencias sobre condiciones básicas de igualdad y asistencia social: preceptos reglamentarios estatales que vulneran las competencias autonómicas de gestión de las subvenciones (STC 21/2013). Voto particular.</w:t>
      </w:r>
    </w:p>
    <w:p w:rsidR="0026452D" w:rsidRDefault="0026452D" w:rsidP="0026452D">
      <w:pPr>
        <w:pStyle w:val="SntesisAnaltica"/>
      </w:pPr>
    </w:p>
    <w:p w:rsidR="0026452D" w:rsidRDefault="0026452D" w:rsidP="0026452D">
      <w:pPr>
        <w:pStyle w:val="Extracto"/>
      </w:pPr>
      <w:r>
        <w:t>1.</w:t>
      </w:r>
      <w:r>
        <w:tab/>
        <w:t>El contenido de la orden objeto del presente conflicto de competencia es coincidente, al tratarse de la misma convocatoria de subvenciones en materia de asistencia social en un ejercicio posterior, con el de la orden que enjuiciamos en la STC 21/2013 [FJ 6].</w:t>
      </w:r>
    </w:p>
    <w:p w:rsidR="0026452D" w:rsidRDefault="0026452D" w:rsidP="0026452D">
      <w:pPr>
        <w:pStyle w:val="Extracto"/>
      </w:pPr>
    </w:p>
    <w:p w:rsidR="0026452D" w:rsidRDefault="0026452D" w:rsidP="0026452D">
      <w:pPr>
        <w:pStyle w:val="Extracto"/>
      </w:pPr>
      <w:r>
        <w:t>2.</w:t>
      </w:r>
      <w:r>
        <w:tab/>
        <w:t xml:space="preserve">Las subvenciones controvertidas, dirigidas a la realización de programas de cooperación y voluntariado sociales con cargo a la asignación tributaria del impuesto sobre la renta de las personas físicas, se deben encuadrar en materia de asistencia social, </w:t>
      </w:r>
      <w:r w:rsidRPr="0026452D">
        <w:rPr>
          <w:i/>
        </w:rPr>
        <w:t>ex</w:t>
      </w:r>
      <w:r>
        <w:t xml:space="preserve"> art. 148.1.20 CE, correspondiendo a la Comunidad Autónoma la competencia exclusiva en la materia (SSTC 36/2012, 21/2013) [FJ 4].</w:t>
      </w:r>
    </w:p>
    <w:p w:rsidR="0026452D" w:rsidRDefault="0026452D" w:rsidP="0026452D">
      <w:pPr>
        <w:pStyle w:val="Extracto"/>
      </w:pPr>
    </w:p>
    <w:p w:rsidR="0026452D" w:rsidRDefault="0026452D" w:rsidP="0026452D">
      <w:pPr>
        <w:pStyle w:val="Extracto"/>
      </w:pPr>
      <w:r>
        <w:t>3.</w:t>
      </w:r>
      <w:r>
        <w:tab/>
        <w:t>Debemos descartar que la regulación de las ayudas controvertidas pueda relacionarse con el título competencial del art. 149.1.1 CE, pues ni por su objeto ni por su contenido cabe apreciar una conexión directa con dicho título, sin que ello impida al Estado, en uso de su soberanía financiera, asignar fondos públicos a unas finalidades u otras al existir otros preceptos constitucionales que legitiman su capacidad para disponer de su presupuesto en la acción social o económica [FJ 5].</w:t>
      </w:r>
    </w:p>
    <w:p w:rsidR="0026452D" w:rsidRDefault="0026452D" w:rsidP="0026452D">
      <w:pPr>
        <w:pStyle w:val="Extracto"/>
      </w:pPr>
    </w:p>
    <w:p w:rsidR="0026452D" w:rsidRDefault="0026452D" w:rsidP="0026452D">
      <w:pPr>
        <w:pStyle w:val="Extracto"/>
      </w:pPr>
      <w:r>
        <w:t>4.</w:t>
      </w:r>
      <w:r>
        <w:tab/>
        <w:t>Puesto que la Comunidad Autónoma ostenta competencia exclusiva sobre asistencia social y el Estado no ha invocado título competencial suficiente –genérico o específico– sobre la misma, la intervención estatal debe limitarse a asignar parte de sus fondos presupuestarios a esta materia de manera genérica o global, integrando estos fondos como un recurso que nutre la Hacienda autonómica, de manera que su asignación quede territorializada, a ser posible, en los mismos Presupuestos Generales del Estado (STC 13/1992)  [FJ 6].</w:t>
      </w:r>
    </w:p>
    <w:p w:rsidR="0026452D" w:rsidRDefault="0026452D" w:rsidP="0026452D">
      <w:pPr>
        <w:pStyle w:val="Extracto"/>
      </w:pPr>
    </w:p>
    <w:p w:rsidR="0026452D" w:rsidRDefault="0026452D" w:rsidP="0026452D">
      <w:pPr>
        <w:pStyle w:val="Extracto"/>
      </w:pPr>
      <w:r>
        <w:t>5.</w:t>
      </w:r>
      <w:r>
        <w:tab/>
        <w:t xml:space="preserve">Tratándose de ayudas en materia de asistencia social, al Estado le corresponde la regulación de los aspectos centrales del régimen subvencional –objeto y finalidad, modalidad técnica, beneficiarios y requisitos generales de acceso–, mientras que a </w:t>
      </w:r>
      <w:r>
        <w:lastRenderedPageBreak/>
        <w:t>las Comunidades Autónomas les corresponde lo atinente a su gestión –tramitación, resolución y pago, así como la regulación del procedimiento correspondiente a estos aspectos– (SSTC 178/2011, 227/2012)  [FJ 6].</w:t>
      </w:r>
    </w:p>
    <w:p w:rsidR="0026452D" w:rsidRDefault="0026452D" w:rsidP="0026452D">
      <w:pPr>
        <w:pStyle w:val="Extracto"/>
      </w:pPr>
    </w:p>
    <w:p w:rsidR="0026452D" w:rsidRDefault="0026452D" w:rsidP="0026452D">
      <w:pPr>
        <w:pStyle w:val="Extracto"/>
      </w:pPr>
      <w:r>
        <w:t>6.</w:t>
      </w:r>
      <w:r>
        <w:tab/>
        <w:t>El Estado tiene la capacidad para poner su poder de gasto al servicio de una política de asistencia social, en el ejercicio soberano de la función legislativa presupuestaria, sin perjuicio de que corresponda a la Comunidad Autónoma la competencia exclusiva en materia de asistencia social (STC 13/1992) [FJ 5].</w:t>
      </w:r>
    </w:p>
    <w:p w:rsidR="0026452D" w:rsidRDefault="0026452D" w:rsidP="0026452D">
      <w:pPr>
        <w:pStyle w:val="Extracto"/>
      </w:pPr>
    </w:p>
    <w:p w:rsidR="0026452D" w:rsidRDefault="0026452D" w:rsidP="0026452D">
      <w:pPr>
        <w:pStyle w:val="Extracto"/>
      </w:pPr>
      <w:r>
        <w:t>7.</w:t>
      </w:r>
      <w:r>
        <w:tab/>
        <w:t>Atendiendo a las pautas de algunos instrumentos internacionales, como la Carta social europea, la asistencia social, en sentido abstracto, abarca a una técnica de protección situada extramuros del sistema de la Seguridad Social, con caracteres propios, tratándose de un mecanismo protector de situaciones de necesidad específicas, sentidas por grupos de población a los que no alcanza el sistema de Seguridad Social y que opera mediante técnicas distintas de las propias de ésta (STC 36/2012) [FJ 4].</w:t>
      </w:r>
    </w:p>
    <w:p w:rsidR="0026452D" w:rsidRDefault="0026452D" w:rsidP="0026452D">
      <w:pPr>
        <w:pStyle w:val="Extracto"/>
      </w:pPr>
    </w:p>
    <w:p w:rsidR="0026452D" w:rsidRDefault="0026452D" w:rsidP="0026452D">
      <w:pPr>
        <w:pStyle w:val="Extracto"/>
      </w:pPr>
      <w:r>
        <w:t>8.</w:t>
      </w:r>
      <w:r>
        <w:tab/>
        <w:t>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(STC 138/2009) [FJ 3].</w:t>
      </w:r>
    </w:p>
    <w:p w:rsidR="0026452D" w:rsidRDefault="0026452D" w:rsidP="0026452D">
      <w:pPr>
        <w:pStyle w:val="Extracto"/>
      </w:pPr>
    </w:p>
    <w:p w:rsidR="0026452D" w:rsidRDefault="0026452D" w:rsidP="0026452D">
      <w:pPr>
        <w:pStyle w:val="Extracto"/>
      </w:pPr>
      <w:r>
        <w:t>9.</w:t>
      </w:r>
      <w:r>
        <w:tab/>
        <w:t>El enunciado de la competencia autonómica como exclusiva no enerva las diferentes competencias del Estado que puedan estar implicadas, sea cuando éstas concurran con las autonómicas sobre el mismo espacio físico o sea sobre el mismo objeto jurídico, no siendo precisa una expresa salvaguarda de las competencias constitucionalmente reservadas al Estado por el art. 149.1 CE, puesto que constituyen límites infranqueables a los enunciados estatutarios (STC 31/2010) [FJ 5].</w:t>
      </w:r>
    </w:p>
    <w:p w:rsidR="0026452D" w:rsidRDefault="0026452D" w:rsidP="0026452D">
      <w:pPr>
        <w:pStyle w:val="Extracto"/>
      </w:pPr>
    </w:p>
    <w:p w:rsidR="0026452D" w:rsidRDefault="0026452D" w:rsidP="0026452D">
      <w:pPr>
        <w:pStyle w:val="Extracto"/>
      </w:pPr>
      <w:r>
        <w:t>10.</w:t>
      </w:r>
      <w:r>
        <w:tab/>
        <w:t xml:space="preserve">La competencia estatal, </w:t>
      </w:r>
      <w:r w:rsidRPr="0026452D">
        <w:rPr>
          <w:i/>
        </w:rPr>
        <w:t>ex</w:t>
      </w:r>
      <w:r>
        <w:t xml:space="preserve"> art. 149.1.1 CE, no puede operar como una especie de título horizontal, capaz de introducirse en cualquier materia o sector del ordenamiento, pues el legislador estatal no puede establecer el régimen jurídico completo de la materia, regulación acabada que corresponde al poder público que corresponda según el sistema constitucional de distribución de competencias (SSTC 61/1997, 177/2012) [FJ 5].</w:t>
      </w:r>
    </w:p>
    <w:p w:rsidR="0026452D" w:rsidRDefault="0026452D" w:rsidP="0026452D">
      <w:pPr>
        <w:pStyle w:val="Extracto"/>
      </w:pPr>
    </w:p>
    <w:p w:rsidR="0026452D" w:rsidRDefault="0026452D" w:rsidP="0026452D">
      <w:pPr>
        <w:pStyle w:val="Extracto"/>
      </w:pPr>
      <w:r>
        <w:t>11.</w:t>
      </w:r>
      <w:r>
        <w:tab/>
        <w:t>Doctrina sobre la pervivencia del objeto del conflicto positivo de competencia pese a la modificación o derogación de la norma (SSTC 233/1999, 99/2012) [FJ 2].</w:t>
      </w:r>
    </w:p>
    <w:p w:rsidR="0026452D" w:rsidRDefault="0026452D" w:rsidP="0026452D">
      <w:pPr>
        <w:pStyle w:val="Extracto"/>
      </w:pPr>
    </w:p>
    <w:p w:rsidR="0026452D" w:rsidRDefault="0026452D" w:rsidP="0026452D">
      <w:pPr>
        <w:pStyle w:val="Extracto"/>
      </w:pPr>
      <w:r>
        <w:t>12.</w:t>
      </w:r>
      <w:r>
        <w:tab/>
        <w:t>Procede estimarse satisfecha la pretensión del Gobierno de Galicia mediante la declaración de titularidad de la competencia controvertida al haber agotado la norma sus efectos y una eventual declaración de nulidad podría afectar a situaciones jurídicas consolidadas (SSTC 75/1989, 186/1999) [FJ 8].</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 xml:space="preserve">El Pleno del Tribunal, compuesto por don Pascual Sala Sánchez, Presidente, don Ramón Rodríguez Arribas, don Manuel Aragón Reyes, don Pablo Pérez Tremps, don Francisco </w:t>
      </w:r>
      <w:r>
        <w:lastRenderedPageBreak/>
        <w:t>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6893-2007 promovido por el Letrado de la Junta de Galicia, en representación de su Gobierno, contra la Orden TAS/1051/2007, de 18 de abril, por la que se establecen las bases reguladoras y se convoca la concesión de subvenciones para la realización de programas de cooperación y voluntariado sociales con cargo a la asignación tributaria del impuesto sobre la renta de las personas físicas. Ha intervenido y formulado alegaciones el Abogado del Estado en la representación que legalmente ostenta. Ha sido Ponente la Magistrada doña Adela Asua Batarrita,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con fecha 3 de agosto de 2007, el Letrado de la Junta de Galicia, en representación de su Gobierno, formalizó ante el Tribunal conflicto positivo de competencia contra la Orden TAS/1051/2007, de 18 de abril, por la que se establecen las bases reguladoras y se convoca la concesión de subvenciones para la realización de programas de cooperación y voluntariado sociales con cargo a la asignación tributaria del impuesto sobre la renta de las personas físicas. Los términos del conflicto, según resultan del escrito de interposición y de la documentación adjunta, se exponen a continuación.</w:t>
      </w:r>
    </w:p>
    <w:p w:rsidR="0026452D" w:rsidRDefault="0026452D" w:rsidP="0026452D">
      <w:pPr>
        <w:pStyle w:val="TextoNormal"/>
      </w:pPr>
    </w:p>
    <w:p w:rsidR="0026452D" w:rsidRDefault="0026452D" w:rsidP="0026452D">
      <w:pPr>
        <w:pStyle w:val="TextoNormal"/>
      </w:pPr>
      <w:r>
        <w:t xml:space="preserve">a) Comienza la representación de la Junta aludiendo al requerimiento de incompetencia que el Consejo de la Junta de Galicia dirigió en su día al Gobierno de la Nación en relación con la orden impugnada y al marco jurídico de lo que denomina el tramo social del 0,52 por 100 del impuesto sobre la renta de las personas físicas (IRPF), que tiene como destino “otros fines de interés social”. El Estado, que creó el “tramo social” del IRPF por ley, lo ha desarrollado por una serie de reales decretos que concretan los fines de interés social a los que va destinada esta asignación tributaria, así como los requisitos y procedimientos para obtener estas subvenciones, siendo también el Estado, como se manifiesta en la orden objeto de conflicto, el que convoca las ayudas y las adjudica anualmente, reservándose, así, toda la ejecución y gestión de aquellas y siendo la intervención autonómica inexistente. El escrito analiza la evolución de los reales decretos referidos y los cambios normativos que se han ido produciendo a lo largo del tiempo, destacándose, por ejemplo, la supresión de la exigencia del ámbito de actuación estatal de los entes susceptibles de optar a las ayudas. Subraya que, dentro del tramo social referido, existen dos líneas de ayudas, las de asistencia social, </w:t>
      </w:r>
      <w:r>
        <w:lastRenderedPageBreak/>
        <w:t>otorgadas en órdenes anuales como la contenida en la orden objeto de conflicto, y las relativas a cooperación internacional, donde las Comunidades Autónomas no discuten que sean de competencia estatal.</w:t>
      </w:r>
    </w:p>
    <w:p w:rsidR="0026452D" w:rsidRDefault="0026452D" w:rsidP="0026452D">
      <w:pPr>
        <w:pStyle w:val="TextoNormal"/>
      </w:pPr>
    </w:p>
    <w:p w:rsidR="0026452D" w:rsidRDefault="0026452D" w:rsidP="0026452D">
      <w:pPr>
        <w:pStyle w:val="TextoNormal"/>
      </w:pPr>
      <w:r>
        <w:t>b) Señalado lo anterior, el escrito del representante de la Junta examina el contenido de la Orden TAS/1051/2007, de 18 de abril. Destaca en primer lugar la importancia económica del conflicto suscitado al tratarse de una cantidad a repartir de 100.746.483,40 de euros. En segundo lugar, analiza los distintos preceptos recogidos en la orden para concluir que de su simple lectura se deduce que ni los concesionarios deben tener un ámbito de actuación estatal ni los programas a desarrollar deben tener un ámbito de desarrollo estatal, más bien todo lo contrario. Ello se refleja en las resoluciones de concesión de ayudas del tramo social del IRPF que se han producido en el pasado que se examinan en el escrito de la Junta y que demostrarían que el otorgamiento de subvenciones se viene produciendo a entidades cuyo ámbito de actuación es inferior al estatal y para desarrollar programas de carácter igualmente infraestatal.</w:t>
      </w:r>
    </w:p>
    <w:p w:rsidR="0026452D" w:rsidRDefault="0026452D" w:rsidP="0026452D">
      <w:pPr>
        <w:pStyle w:val="TextoNormal"/>
      </w:pPr>
    </w:p>
    <w:p w:rsidR="0026452D" w:rsidRDefault="0026452D" w:rsidP="0026452D">
      <w:pPr>
        <w:pStyle w:val="TextoNormal"/>
      </w:pPr>
      <w:r>
        <w:t>c) A continuación analiza el escrito del representante de la Junta la competencia autonómica en materia de acción social. Señala que el Consejo de Ministros, en su rechazo al requerimiento planteado en su día, reconoció estar en el ámbito de la protección y asistencia social y reconoció que en la Constitución, concretamente en el art. 149.1, no existe habilitación competencial para el Estado en tal materia. Recuerda la jurisprudencia del Tribunal Constitucional en la que se considera que la noción de asistencia social no está precisada en el texto constitucional, pero que de la legislación vigente resulta la existencia de una asistencia social externa al sistema de la Seguridad Social, y no integrada en él, que es la contenida en el art. 148.1.20 CE. Esta asistencia social es un instrumento de protección ante casos de necesidades específicas exigidas por grupos de población a los que no llega la Seguridad Social y sobre los que deben operar técnicas distintas de las propias de la Seguridad Social. Asistencia social que ha sido asumida como competencia la Comunidad Autónoma de Galicia en el art. 27.23 del Estatuto de Autonomía para Galicia (EAG). Además, existen otros títulos autonómicos, como la promoción del desarrollo comunitario (art. 27.24 EAG), que refuerzan la competencia de la Comunidad Autónoma de Galicia en relación con este tramo social del IRPF. Asimismo, se recuerda que la Administración autonómica ha desarrollado su Administración de servicios sociales, incluyendo la actividad de fomento, siendo la duplicidad contraria al art. 103.1 CE.</w:t>
      </w:r>
    </w:p>
    <w:p w:rsidR="0026452D" w:rsidRDefault="0026452D" w:rsidP="0026452D">
      <w:pPr>
        <w:pStyle w:val="TextoNormal"/>
      </w:pPr>
    </w:p>
    <w:p w:rsidR="0026452D" w:rsidRDefault="0026452D" w:rsidP="0026452D">
      <w:pPr>
        <w:pStyle w:val="TextoNormal"/>
      </w:pPr>
      <w:r>
        <w:t xml:space="preserve">d) Seguidamente, el escrito del representante de la Junta examina el título competencial esgrimido por el Estado. El art. 149.1.1 CE forma parte de los títulos competenciales estatales horizontales, cuya aplicación se extiende por todas las materias y donde una interpretación excesiva vaciaría las competencias autonómicas, como reconoce el propio Tribunal Constitucional. El escrito considera que la competencia del art. 149.1.1 CE debe ser una competencia limitada al ámbito de lo normativo; que sólo puede recaer sobre los derechos y libertades en sentido estricto (esto es, sólo sobre los derechos de la sección primera y segunda del capítulo II del título I), no sobre los del capítulo III; y que el art. 149.1.1 CE sólo autoriza el dictado de normas que afecten al contenido primario del derecho o a las “posiciones jurídicas fundamentales” en la medida en que sean estrictamente “imprescindibles o necesarias” para garantizar esa igualdad primaria. Recalca entonces que las condiciones básicas no pueden llegar a agotar la regulación del derecho constitucional, pues sólo </w:t>
      </w:r>
      <w:r>
        <w:lastRenderedPageBreak/>
        <w:t>puede entrar a regular ese núcleo que garantice esa igualdad, que no es una igualdad plena, sino sólo primaria o de esas posiciones jurídicas elementales.</w:t>
      </w:r>
    </w:p>
    <w:p w:rsidR="0026452D" w:rsidRDefault="0026452D" w:rsidP="0026452D">
      <w:pPr>
        <w:pStyle w:val="TextoNormal"/>
      </w:pPr>
    </w:p>
    <w:p w:rsidR="0026452D" w:rsidRDefault="0026452D" w:rsidP="0026452D">
      <w:pPr>
        <w:pStyle w:val="TextoNormal"/>
      </w:pPr>
      <w:r>
        <w:t>Para el escrito de la representación de la Junta, el Tribunal Constitucional ha querido dejar claro que esas condiciones básicas no pueden dar como resultado un vaciamiento de las competencias autonómicas sectoriales sobre materias en las que algún derecho constitucional bascule. Por tanto, a su juicio, la concesión de las ayudas contenidas en la orden objeto de conflicto no se puede entender que afecte al contenido primario de los derechos, sus posiciones jurídicas fundamentales, ni se puede sostener que todos los programas allí previstos tienen que tener una gestión centralizada, cuando sabido es que en materia de asistencia social las actuaciones suelen ser locales o autonómicas, siendo la cercanía al problema lo que otorga mayores visos de eficacia. En definitiva, el art. 149.1.1 CE no puede ser el sustento de la orden objeto de conflicto.</w:t>
      </w:r>
    </w:p>
    <w:p w:rsidR="0026452D" w:rsidRDefault="0026452D" w:rsidP="0026452D">
      <w:pPr>
        <w:pStyle w:val="TextoNormal"/>
      </w:pPr>
    </w:p>
    <w:p w:rsidR="0026452D" w:rsidRDefault="0026452D" w:rsidP="0026452D">
      <w:pPr>
        <w:pStyle w:val="TextoNormal"/>
      </w:pPr>
      <w:r>
        <w:t>e) Una vez ha descartado que la acción de fomento del Estado se pueda fundamentar en el título competencial recogido en el art. 149.1.1 CE, el escrito de la Junta recuerda la doctrina del Tribunal Constitucional establecida en la STC 13/1992 en la que se concluye que el Estado no puede llevar la regulación de las subvenciones a tal grado de concreción que impida a las Comunidades Autónomas ejercer sus propias competencias de regulación y gestión. Tras reproducir los principales párrafos de la STC 13/1992 y recordar el fundamento jurídico 8 de la misma en el que se establece un sistema de cuatro supuestos, entra el escrito del representante de la Junta a examinar en qué supuesto de los descritos nos encontraríamos. Para el representante de la Junta, dado que niega que sea invocable el art. 149.1.1 CE por el Estado, considera que habría que insertar las ayudas contenidas en la orden objeto de conflicto en el apartado a) del fundamento jurídico 8 de la STC 13/1992. En su defecto, no obstante, si se llegara a determinar que el art. 149.1.1 CE tiene operatividad, la ubicación sería, afirma el escrito del representante de la Junta, en el apartado b), y no en el d), como pretende el Estado. Pero aunque se llegara a establecer la aplicabilidad al caso de ese apartado d), lo cual sólo se afirma en el escrito del representante de la Junta a efectos dialécticos, nunca cabría una actuación estatal como la diseñada en la disposición objeto de conflicto, pues en todo caso, la gestión centralizada siempre sería la excepción ante situaciones muy cualificadas y justificadas, siendo necesario que se exija una dimensión nacional de las entidades y organizaciones no gubernamentales que solicitan esas ayudas estatales pero, sobre todo, siendo absolutamente imprescindible que se exija que los programas a desarrollar tengan que tener necesariamente, para su eficacia y viabilidad, un ámbito estatal.</w:t>
      </w:r>
    </w:p>
    <w:p w:rsidR="0026452D" w:rsidRDefault="0026452D" w:rsidP="0026452D">
      <w:pPr>
        <w:pStyle w:val="TextoNormal"/>
      </w:pPr>
    </w:p>
    <w:p w:rsidR="0026452D" w:rsidRDefault="0026452D" w:rsidP="0026452D">
      <w:pPr>
        <w:pStyle w:val="TextoNormal"/>
      </w:pPr>
      <w:r>
        <w:t>De acuerdo con el escrito del representante de la Junta, y con base en los razonamientos precedentes, los fondos previstos en la orden objeto de conflicto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 Solo excepcionalmente la gestión de las ayudas podría ser centralizada en el Estado, y para ello debería aparecer con carácter evidente y justificado la necesidad de tal gestión centralizada, lo que no ocurre ni en la orden ni en la respuesta del Gobierno estatal, sencillamente porque no existe esa excepcionalidad. Por lo tanto, incluso situándose a efectos dialécticos en el apartado d), considera que tendría que existir una territorialización, si no total, casi total de los fondos.</w:t>
      </w:r>
    </w:p>
    <w:p w:rsidR="0026452D" w:rsidRDefault="0026452D" w:rsidP="0026452D">
      <w:pPr>
        <w:pStyle w:val="TextoNormal"/>
      </w:pPr>
    </w:p>
    <w:p w:rsidR="0026452D" w:rsidRDefault="0026452D" w:rsidP="0026452D">
      <w:pPr>
        <w:pStyle w:val="TextoNormal"/>
      </w:pPr>
      <w:r>
        <w:lastRenderedPageBreak/>
        <w:t>Finaliza el escrito solicitando que se declare que la competencia controvertida corresponde a la Comunidad Autónoma de Galicia y que debe procederse a la distribución territorial de la correspondiente consignación presupuestaria, transfiriendo las cuantías resultantes a fin de que sean las Comunidades Autónomas las que procedan a la gestión centralizada de las ayudas.</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25 de septiembre de 2007, el Tribunal Constitucional acordó admitir a trámite el presente conflicto; dar traslado de la demanda y documentos presentados al Gobierno de la Nación, al objeto de presentar alegaciones en el plazo de veinte días; comunicar la incoación del conflicto a la Sala de lo Contencioso-Administrativo de la Audiencia Nacional, por si ante la misma estuviera impugnado o se impugnare la Orden TAS/1051/2007, de 18 de abril, por la que se establecen las bases reguladoras y se convoca la concesión de subvenciones para la realización de programas de cooperación y voluntariado sociales con cargo a la asignación tributaria del impuesto sobre la renta de las personas físicas, en cuyo caso deberá suspenderse el curso del proceso hasta la decisión del conflicto, según dispone el art. 61.2 de la Ley Orgánica del Tribunal Constitucional (LOTC); y publicar la incoación del conflicto en el “Boletín Oficial del Estado” y en el “Diario Oficial de Galicia”.</w:t>
      </w:r>
    </w:p>
    <w:p w:rsidR="0026452D" w:rsidRDefault="0026452D" w:rsidP="0026452D">
      <w:pPr>
        <w:pStyle w:val="TextoNormal"/>
      </w:pPr>
    </w:p>
    <w:p w:rsidR="0026452D" w:rsidRDefault="0026452D" w:rsidP="0026452D">
      <w:pPr>
        <w:pStyle w:val="TextoNormal"/>
      </w:pPr>
      <w:r w:rsidRPr="0026452D">
        <w:rPr>
          <w:rStyle w:val="NumeroAFNegritaCaracter"/>
        </w:rPr>
        <w:t>3</w:t>
      </w:r>
      <w:r>
        <w:t>. Por escrito registrado ante este Tribunal el 2 de octubre de 2007, el Abogado del Estado se personó en el proceso solicitando una prórroga del plazo concedido para formular alegaciones, prórroga que le fue concedida mediante providencia de 3 de octubre de 2007. El escrito de alegaciones de la Abogado del Estado se registró en este Tribunal el día 31 de octubre de 2007. En dicho escrito se opone a la demanda por las razones que se recogen a continuación.</w:t>
      </w:r>
    </w:p>
    <w:p w:rsidR="0026452D" w:rsidRDefault="0026452D" w:rsidP="0026452D">
      <w:pPr>
        <w:pStyle w:val="TextoNormal"/>
      </w:pPr>
    </w:p>
    <w:p w:rsidR="0026452D" w:rsidRDefault="0026452D" w:rsidP="0026452D">
      <w:pPr>
        <w:pStyle w:val="TextoNormal"/>
      </w:pPr>
      <w:r>
        <w:t>Comienza la Abogado del Estado concretando el objeto y alcance del conflicto positivo de competencia planteado por la Junta de Galicia contra la Orden TAS/1051/2007, de 18 de abril. Tras sintetizar los argumentos de aquella recuerda que la exclusividad competencial con que las Comunidades Autónomas han asumido estatutariamente competencias en materia de asistencia social debe ser matizada, pues la jurisprudencia del Tribunal Constitucional si bien reconoce en esta materia dicho carácter exclusivo admite al mismo tiempo la posibilidad de intervención del Estado.</w:t>
      </w:r>
    </w:p>
    <w:p w:rsidR="0026452D" w:rsidRDefault="0026452D" w:rsidP="0026452D">
      <w:pPr>
        <w:pStyle w:val="TextoNormal"/>
      </w:pPr>
    </w:p>
    <w:p w:rsidR="0026452D" w:rsidRDefault="0026452D" w:rsidP="0026452D">
      <w:pPr>
        <w:pStyle w:val="TextoNormal"/>
      </w:pPr>
      <w:r>
        <w:t>a) Reproduce el escrito de la Abogado del Estado la jurisprudencia del Tribunal Constitucional en materia de asistencia social, destacando la STC 146/1986, de 25 noviembre, y refiriéndose tanto a la posibilidad de que el Estado ostente competencia sobre la dimensión nacional o estatal de la asistencia social, por estar referidas esas actuaciones al país en su conjunto, razón por la que exigen un planteamiento global de ámbito estatal; como a la posible gestión centralizada en tal materia que se habría admitido excepcional y justificadamente.</w:t>
      </w:r>
    </w:p>
    <w:p w:rsidR="0026452D" w:rsidRDefault="0026452D" w:rsidP="0026452D">
      <w:pPr>
        <w:pStyle w:val="TextoNormal"/>
      </w:pPr>
    </w:p>
    <w:p w:rsidR="0026452D" w:rsidRDefault="0026452D" w:rsidP="0026452D">
      <w:pPr>
        <w:pStyle w:val="TextoNormal"/>
      </w:pPr>
      <w:r>
        <w:t>A continuación, considera el Abogado del Estado que las actuaciones contempladas en la Orden TAS/1051/2007, de 18 de abril, configuran un claro supuesto de potestad subvencional del Estado y procede en primer lugar a determinar el título competencial que ampararía dicha intervención estatal.</w:t>
      </w:r>
    </w:p>
    <w:p w:rsidR="0026452D" w:rsidRDefault="0026452D" w:rsidP="0026452D">
      <w:pPr>
        <w:pStyle w:val="TextoNormal"/>
      </w:pPr>
    </w:p>
    <w:p w:rsidR="0026452D" w:rsidRDefault="0026452D" w:rsidP="0026452D">
      <w:pPr>
        <w:pStyle w:val="TextoNormal"/>
      </w:pPr>
      <w:r>
        <w:lastRenderedPageBreak/>
        <w:t xml:space="preserve">Tras referirse a los arts. 9.2, 138 y 142 CE como preceptos que habilitan al Estado para emprender acciones como las contenidas en la orden objeto de conflicto, considera el Abogado del Estado que, como con toda claridad afirma la STC 13/1992, en su fundamento jurídico 7, las subvenciones estatales pueden tender a asegurar las condiciones básicas de igualdad cuya regulación reserva al Estado el art. 149.1.1 CE, poniéndose de este modo el </w:t>
      </w:r>
      <w:r w:rsidRPr="0026452D">
        <w:rPr>
          <w:i/>
        </w:rPr>
        <w:t>spending power</w:t>
      </w:r>
      <w:r>
        <w:t xml:space="preserve"> estatal al servicio de una política de equilibrio social en ejecución de mandatos constitucionales (arts. 1.1 o 9.2 CE) que, aunque obligan a todos los poderes públicos, corresponde prioritariamente realizar a quien mayor capacidad de gasto tiene.</w:t>
      </w:r>
    </w:p>
    <w:p w:rsidR="0026452D" w:rsidRDefault="0026452D" w:rsidP="0026452D">
      <w:pPr>
        <w:pStyle w:val="TextoNormal"/>
      </w:pPr>
    </w:p>
    <w:p w:rsidR="0026452D" w:rsidRDefault="0026452D" w:rsidP="0026452D">
      <w:pPr>
        <w:pStyle w:val="TextoNormal"/>
      </w:pPr>
      <w:r>
        <w:t>Recuerda el escrito del Abogado del Estado la contestación del Gobierno al previo requerimiento de incompetencia autonómico donde se afirmó que el Estado tiene título competencial para gestionar el programa del 0,52 por 100 del IRPF con base en el art. 149.1.1 CE. Y se afirmó además que la igualdad efectiva en el ejercicio de los derechos sociales requiere el empleo de criterios de eficiencia y economía en la programación y ejecución del gasto público (art. 31.2 CE), criterios que llevaban al Gobierno a afirmar que la Administración General del Estado se encontraba en mejor disposición para conseguir la igualdad en el ámbito de las políticas sociales.</w:t>
      </w:r>
    </w:p>
    <w:p w:rsidR="0026452D" w:rsidRDefault="0026452D" w:rsidP="0026452D">
      <w:pPr>
        <w:pStyle w:val="TextoNormal"/>
      </w:pPr>
    </w:p>
    <w:p w:rsidR="0026452D" w:rsidRDefault="0026452D" w:rsidP="0026452D">
      <w:pPr>
        <w:pStyle w:val="TextoNormal"/>
      </w:pPr>
      <w:r>
        <w:t>b) Una vez realizado el encuadre competencial procede el escrito del Abogado del Estado a justificar la gestión centralizada de las subvenciones objeto de la convocatoria impugnada. Para ello encaja las mismas en el cuarto supuesto del fundamento jurídico 8 de la STC 13/1992 que permite como excepción la gestión centralizada estatal cuando el Estado ostente algún título competencial, genérico o específico, sobre la materia y tal gestión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en la medida de fomento de que se trate.</w:t>
      </w:r>
    </w:p>
    <w:p w:rsidR="0026452D" w:rsidRDefault="0026452D" w:rsidP="0026452D">
      <w:pPr>
        <w:pStyle w:val="TextoNormal"/>
      </w:pPr>
    </w:p>
    <w:p w:rsidR="0026452D" w:rsidRDefault="0026452D" w:rsidP="0026452D">
      <w:pPr>
        <w:pStyle w:val="TextoNormal"/>
      </w:pPr>
      <w:r>
        <w:t>La orden impugnada encajaría, según el escrito del Abogado del Estado, en este supuesto, en tanto los problemas que trata de resolver con los programas cuya realización se pretende financiar exigen una política social que sólo tiene sentido referida al país en su conjunto, pues se persigue garantizar una cierta igualdad en su obtención y disfrute por los beneficiarios último en todo el territorio nacional. La percepción equitativa de las ayudas exige su gestión centralizada, incluyendo su convocatoria, tramitación, resolución y pago. Como fundamento adicional de su afirmación recuerda el Abogado del Estado que la STC 13/1992, en su fundamento jurídico 13 K a), apreció la concurrencia de los requisitos para justificar la gestión centralizada de las subvenciones destinadas a la realización de programas de cooperación y voluntariado sociales con cargo a la asignación tributaria del IRPF.</w:t>
      </w:r>
    </w:p>
    <w:p w:rsidR="0026452D" w:rsidRDefault="0026452D" w:rsidP="0026452D">
      <w:pPr>
        <w:pStyle w:val="TextoNormal"/>
      </w:pPr>
    </w:p>
    <w:p w:rsidR="0026452D" w:rsidRDefault="0026452D" w:rsidP="0026452D">
      <w:pPr>
        <w:pStyle w:val="TextoNormal"/>
      </w:pPr>
      <w:r>
        <w:t>A continuación y una vez ha admitido la facultad estatal de intervenir en materia de asistencia social a través del ejercicio del art. 149.1.1 CE, procede el escrito del Abogado del Estado a examinar si el Estado se ha extralimitado en el ejercicio de la competencia reconocida por dicho título.</w:t>
      </w:r>
    </w:p>
    <w:p w:rsidR="0026452D" w:rsidRDefault="0026452D" w:rsidP="0026452D">
      <w:pPr>
        <w:pStyle w:val="TextoNormal"/>
      </w:pPr>
    </w:p>
    <w:p w:rsidR="0026452D" w:rsidRDefault="0026452D" w:rsidP="0026452D">
      <w:pPr>
        <w:pStyle w:val="TextoNormal"/>
      </w:pPr>
      <w:r>
        <w:lastRenderedPageBreak/>
        <w:t>Así de acuerdo con el escrito del Abogado del Estado en lo que respecta al carácter normativo del art. 149.1.1 CE, el Tribunal Constitucional ha señalado que las condiciones básicas “pueden comprender, además de potestades normativas, las ejecutivas, excluyendo, por tanto, a las Comunidades Autónomas, con el propósito de evitar ejecuciones plurales y diferenciadas por territorios autonómicos, y ello mediante la centralización de dichas facultades gestoras (SSTC 189/1989, FJ 3; 190/1989, FFJJ 2 y 3; 191/1990, FFJJ 1; y 13/1992, FJ 7), y que “si bien el alcance del art. 149.1.1 CE es ‘esencialmente normativo’, como hemos dicho en la reciente STC 208/1999, de 15 de noviembre, FJ 6; por referirse a ‘la regulación’ de esas condiciones básicas, cabe observar, sin embargo, que ninguna calificación adicional se ha agregado por el constituyente respecto a la naturaleza de tales condiciones que pueda restringir su alcance”.</w:t>
      </w:r>
    </w:p>
    <w:p w:rsidR="0026452D" w:rsidRDefault="0026452D" w:rsidP="0026452D">
      <w:pPr>
        <w:pStyle w:val="TextoNormal"/>
      </w:pPr>
    </w:p>
    <w:p w:rsidR="0026452D" w:rsidRDefault="0026452D" w:rsidP="0026452D">
      <w:pPr>
        <w:pStyle w:val="TextoNormal"/>
      </w:pPr>
      <w:r>
        <w:t>c) Examina a continuación el escrito del Abogado del Estado el contenido del orden impugnada y justifica igualmente la centralización de la gestión en el hecho de que las subvenciones se refieren a programas de cooperación y voluntariado sociales enmarcados dentro de planes nacionales, en lo que se justifica la actuación estatal en la necesidad de garantizar cierta igualdad en la obtención y el disfrute de las ayudas por sus receptores finales.</w:t>
      </w:r>
    </w:p>
    <w:p w:rsidR="0026452D" w:rsidRDefault="0026452D" w:rsidP="0026452D">
      <w:pPr>
        <w:pStyle w:val="TextoNormal"/>
      </w:pPr>
    </w:p>
    <w:p w:rsidR="0026452D" w:rsidRDefault="0026452D" w:rsidP="0026452D">
      <w:pPr>
        <w:pStyle w:val="TextoNormal"/>
      </w:pPr>
      <w:r>
        <w:t>Rechaza el escrito de la Abogado del Estado que la orden objeto de conflicto suponga la infracción de la doctrina del Tribunal Constitucional que exigen el ámbito estatal de actuación de las entidades beneficiarias, pues si bien es verdad que la orden admite que concurran aquellas otras entidades que propongan proyectos de posible ejecución en sus respectivos ámbitos territoriales, esta posibilidad se admite únicamente cuando dichos proyectos guarden directa relación con programas definidos como de interés general en la convocatoria anual. De ello deriva que los programas a subvencionar entrañan una innegable incidencia estatal que supone que no queden debidamente cubiertos por las competencias autonómicas si se quiere realmente garantizar la igualdad en la percepción de las ayudas.</w:t>
      </w:r>
    </w:p>
    <w:p w:rsidR="0026452D" w:rsidRDefault="0026452D" w:rsidP="0026452D">
      <w:pPr>
        <w:pStyle w:val="TextoNormal"/>
      </w:pPr>
    </w:p>
    <w:p w:rsidR="0026452D" w:rsidRDefault="0026452D" w:rsidP="0026452D">
      <w:pPr>
        <w:pStyle w:val="TextoNormal"/>
      </w:pPr>
      <w:r>
        <w:t>Recalca a continuación el escrito de la Abogada del Estado que la Orden TAS/1051/2007, de 18 de abril, prevé a lo largo de su articulado la intervención de las Comunidades Autónomas en cuyos territorios se desarrollen las actividades subvencionadas en determinados trámites del procedimiento de concesión.</w:t>
      </w:r>
    </w:p>
    <w:p w:rsidR="0026452D" w:rsidRDefault="0026452D" w:rsidP="0026452D">
      <w:pPr>
        <w:pStyle w:val="TextoNormal"/>
      </w:pPr>
    </w:p>
    <w:p w:rsidR="0026452D" w:rsidRDefault="0026452D" w:rsidP="0026452D">
      <w:pPr>
        <w:pStyle w:val="TextoNormal"/>
      </w:pPr>
      <w:r>
        <w:t>d) Finalmente se refiere el Abogado del Estado a un “estudio sobre el programa de subvenciones con cargo al 0,52 del IRPF” en el que se recoge una encuesta realizada a una muestra significativa de las entidades subvencionadas y en el que se plasman las consecuencias que se derivarían de una eventual descentralización de la gestión de estas subvenciones. Consecuencias entre las que se destacan, entre otras: la provocación de diferencias de cobertura, calidad y enfoque en el desarrollo de los programas; deterioro del trabajo en red de muchas entidades, reforzamiento del principio de territorialidad frente al de necesidad; aplicación de distintos baremos para la satisfacción de las mismas necesidades de los distintos colectivos, quebrando el principio de igualdad en el acceso y materialización de los derechos sociales; descoordinación y desvinculación de objetivos en las entidades dedicadas a colectivos con las mismas necesidades; producción de agravios comparativos entre territorios y colectivos y perdida de la perspectiva de igualdad ciudadana con independencia del lugar de residencia; debilitación y desaparición de las redes de colaboración actualmente existentes entre el Estado y el denominado Tercer Sector de acción social y entre las propias entidades, con fragmentación del tejido asociativo ya creado a nivel estatal.</w:t>
      </w:r>
    </w:p>
    <w:p w:rsidR="0026452D" w:rsidRDefault="0026452D" w:rsidP="0026452D">
      <w:pPr>
        <w:pStyle w:val="TextoNormal"/>
      </w:pPr>
    </w:p>
    <w:p w:rsidR="0026452D" w:rsidRDefault="0026452D" w:rsidP="0026452D">
      <w:pPr>
        <w:pStyle w:val="TextoNormal"/>
      </w:pPr>
      <w:r>
        <w:t>Por las razones reproducidas la Abogado del Estado solicita que se declare que la competencia controvertida corresponde al Estado.</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12 de febrero de 2013 se señaló para deliberación y votación de la presente Sentencia el día 14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 planteado por la Junta de Galicia contra la Orden TAS/1051/2007, de 18 de abril, por la que se establecen las bases reguladoras y se convoca la concesión de subvenciones para la realización de programas de cooperación y voluntariado sociales con cargo a la asignación tributaria del impuesto sobre la renta de las personas físicas.</w:t>
      </w:r>
    </w:p>
    <w:p w:rsidR="0026452D" w:rsidRDefault="0026452D" w:rsidP="0026452D">
      <w:pPr>
        <w:pStyle w:val="TextoNormal"/>
      </w:pPr>
    </w:p>
    <w:p w:rsidR="0026452D" w:rsidRDefault="0026452D" w:rsidP="0026452D">
      <w:pPr>
        <w:pStyle w:val="TextoNormal"/>
      </w:pPr>
      <w:r>
        <w:t>Para el Gobierno de la Comunidad Autónoma de Galicia la orden objeto de conflicto no respeta la distribución de competencias en materia de asistencia social derivada del bloque de constitucionalidad, en cuanto que dicha disposición centraliza en los órganos estatales la regulación, tramitación y resolución de las ayudas referidas, ignorando de este modo la doctrina constitucional recaída en relación con las subvenciones. Por su parte, el Abogado del Estado sostiene la conformidad de la centralización de la regulación, tramitación y resolución de las ayudas con la doctrina constitucional al tratarse de uno de los supuestos en que puede producirse aquella.</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al examen de fondo, procede realizar alguna precisión en relación con el objeto del recurso.</w:t>
      </w:r>
    </w:p>
    <w:p w:rsidR="0026452D" w:rsidRDefault="0026452D" w:rsidP="0026452D">
      <w:pPr>
        <w:pStyle w:val="TextoNormal"/>
      </w:pPr>
    </w:p>
    <w:p w:rsidR="0026452D" w:rsidRDefault="0026452D" w:rsidP="0026452D">
      <w:pPr>
        <w:pStyle w:val="TextoNormal"/>
      </w:pPr>
      <w:r>
        <w:t>La Orden TAS/1051/2007, de 18 de abril, por la que se establecen las bases reguladoras y se convoca la concesión de subvenciones para la realización de programas de cooperación y voluntariado sociales con cargo a la asignación tributaria del impuesto sobre la renta de las personas físicas, tiene un doble objetivo: por un lado, establecer las bases reguladoras para la concesión de subvenciones para la realización de programas de cooperación y voluntariado sociales con cargo a la asignación tributaria del impuesto sobre la renta de las personas físicas, y, por otro, proceder a su convocatoria para el año 2007. En lo que se refiere a la convocatoria para 2007 la misma ha agotado ya sus efectos y en lo que se refiere a las bases reguladoras las mismas fueron modificadas en el año 2008 por la Orden TAS/592/2008, de 29 de febrero, por la que se establecen las bases reguladoras y se convoca la concesión de subvenciones para la realización de programas de cooperación y voluntariado sociales con cargo a la asignación tributaria del impuesto sobre la renta de las personas físicas, bases reguladoras que, a su vez, han sido modificadas sucesivamente en los años posteriores. Debemos considerar la incidencia que pueda tener en el proceso el hecho de que la Orden TAS/1051/2007, objeto del presente conflicto, haya sido modificada.</w:t>
      </w:r>
    </w:p>
    <w:p w:rsidR="0026452D" w:rsidRDefault="0026452D" w:rsidP="0026452D">
      <w:pPr>
        <w:pStyle w:val="TextoNormal"/>
      </w:pPr>
    </w:p>
    <w:p w:rsidR="0026452D" w:rsidRDefault="0026452D" w:rsidP="0026452D">
      <w:pPr>
        <w:pStyle w:val="TextoNormal"/>
      </w:pPr>
      <w:r>
        <w:t xml:space="preserve">Para apreciar la incidencia que dichas modificaciones tienen en cuanto a la pervivencia del presente proceso nos atendremos a la doctrina de este Tribunal, que señala que “la apreciación de la pérdida de objeto del proceso dependerá de la incidencia real que sobre el mismo tenga la derogación, sustitución o modificación de la norma o el agotamiento de los </w:t>
      </w:r>
      <w:r>
        <w:lastRenderedPageBreak/>
        <w:t>efectos del acto y no puede resolverse apriorísticamente en función de criterios abstractos o genéricos (por todas, SSTC 233/1999, de 12 de diciembre, FJ 3; 33/2005 de 17 de febrero, FJ 2)”. Además la “doctrina de este Tribunal avala la conclusión de la no desaparición del objeto del conflicto cuando la normativa en relación con la cual se trabó un conflicto no es simplemente derogada, sino parcialmente sustituida por otra que viene a plantear en esencia los mismos problemas competenciales (STC 128/1999, de 1 de julio, FJ 4)” (STC 99/2012, de 8 de mayo, FJ 8).</w:t>
      </w:r>
    </w:p>
    <w:p w:rsidR="0026452D" w:rsidRDefault="0026452D" w:rsidP="0026452D">
      <w:pPr>
        <w:pStyle w:val="TextoNormal"/>
      </w:pPr>
    </w:p>
    <w:p w:rsidR="0026452D" w:rsidRDefault="0026452D" w:rsidP="0026452D">
      <w:pPr>
        <w:pStyle w:val="TextoNormal"/>
      </w:pPr>
      <w:r>
        <w:t>En el presente asunto ocurre que las modificaciones que se realizan de las bases reguladoras de las subvenciones para la realización de programas de cooperación y voluntariado sociales con cargo a la asignación tributaria del impuesto sobre la renta de las personas físicas, suponen su sustitución por otra normativa que reproduce, aun con una redacción diferente, las mismas cuestiones objeto de controversia. Por tanto, en aplicación de la doctrina de este Tribunal ha de alcanzarse la conclusión de que, pese a su modificación, el conflicto de competencia promovido mantiene vivo su objeto.</w:t>
      </w:r>
    </w:p>
    <w:p w:rsidR="0026452D" w:rsidRDefault="0026452D" w:rsidP="0026452D">
      <w:pPr>
        <w:pStyle w:val="TextoNormal"/>
      </w:pPr>
    </w:p>
    <w:p w:rsidR="0026452D" w:rsidRDefault="0026452D" w:rsidP="0026452D">
      <w:pPr>
        <w:pStyle w:val="TextoNormal"/>
      </w:pPr>
      <w:r w:rsidRPr="0026452D">
        <w:rPr>
          <w:rStyle w:val="NumeroAFNegritaCaracter"/>
        </w:rPr>
        <w:t>3</w:t>
      </w:r>
      <w:r>
        <w:t>. Tras lo expuesto, procede entrar ya en el fondo del asunto, señalando que, de acuerdo con nuestra doctrina (por todas,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debemos examinar, en primer lugar, el contenido concreto de la disposición objeto de conflicto.</w:t>
      </w:r>
    </w:p>
    <w:p w:rsidR="0026452D" w:rsidRDefault="0026452D" w:rsidP="0026452D">
      <w:pPr>
        <w:pStyle w:val="TextoNormal"/>
      </w:pPr>
    </w:p>
    <w:p w:rsidR="0026452D" w:rsidRDefault="0026452D" w:rsidP="0026452D">
      <w:pPr>
        <w:pStyle w:val="TextoNormal"/>
      </w:pPr>
      <w:r>
        <w:t xml:space="preserve">La Orden TAS/1051/2007 tiene por objeto, tal como recoge su art. 1, la convocatoria de la concesión de subvenciones para la realización de programas de cooperación y voluntariado sociales, de interés general, encaminados a atender situaciones de necesidad y/o marginación de personas mayores de sesenta y cinco años, personas que sufran alguna discapacidad física, psíquica o sensorial, mujeres, familia, infancia y juventud, personas afectadas por problemas de drogodependencia, pueblo gitano, población reclusa y ex reclusa, refugiados y asilados, migrantes, víctimas del terrorismo, personas afectadas por el VIH/SIDA (virus de la inmunodeficiencia humana/síndrome de inmunodeficiencia adquirida), así como actuaciones integrales contra la exclusión social y para la erradicación de la pobreza y demás actuaciones de solidaridad social para cubrir necesidades de interés general. El art. 2 determina los programas para la atención de necesidades sociales de interés general que se consideran de carácter prioritario. El art. 3 establece los requisitos que deberán cumplir las entidades y organizaciones solicitantes. El art. 4 dispone la distribución de créditos por programas de acuerdo con lo que dispone el anexo B. La orden tras establecer los órganos competentes para la ordenación, instrucción y resolución del procedimiento (art. 5) se completa con la regulación de los siguientes aspectos: la forma de presentación de solicitudes (solicitud, memorias, presupuesto de los programas, documentación y subsanación de errores) (art. 6), la financiación de los programas presentados (art. 7), los criterios de valoración de la subvención (art. 8), los informes (art. 9), la resolución (art. 10), las denominadas situaciones de emergencia social (art. 11), los convenios-programa (art. 12), el pago de la subvención (art. 13), la modificación de los programas (art. 14); las obligaciones de los beneficiarios (art. 15), el control, seguimiento y evaluación (art. 16), los gastos subvencionables (art. 17) la justificación de los gastos (arts. 18); la responsabilidad y el régimen sancionador (art. 19), los reintegros (art. 20), más dos disposiciones finales referidas al régimen </w:t>
      </w:r>
      <w:r>
        <w:lastRenderedPageBreak/>
        <w:t>jurídico de aplicación supletoria y a la entrada en vigor. La orden igualmente recoge una serie de anexos con los programas prioritarios, la distribución del crédito, el logotipo para la difusión de los programas subvenciones, y los modelos de solicitud y de las memorias explicativas de la entidad, del programa y del proyecto.</w:t>
      </w:r>
    </w:p>
    <w:p w:rsidR="0026452D" w:rsidRDefault="0026452D" w:rsidP="0026452D">
      <w:pPr>
        <w:pStyle w:val="TextoNormal"/>
      </w:pPr>
    </w:p>
    <w:p w:rsidR="0026452D" w:rsidRDefault="0026452D" w:rsidP="0026452D">
      <w:pPr>
        <w:pStyle w:val="TextoNormal"/>
      </w:pPr>
      <w:r w:rsidRPr="0026452D">
        <w:rPr>
          <w:rStyle w:val="NumeroAFNegritaCaracter"/>
        </w:rPr>
        <w:t>4</w:t>
      </w:r>
      <w:r>
        <w:t>. A la vista del contenido de la orden objeto del presente conflicto, y tal y como coinciden las propias partes de este proceso, estamos ante subvenciones dirigidas a financiar programas en materia de asistencia social.</w:t>
      </w:r>
    </w:p>
    <w:p w:rsidR="0026452D" w:rsidRDefault="0026452D" w:rsidP="0026452D">
      <w:pPr>
        <w:pStyle w:val="TextoNormal"/>
      </w:pPr>
    </w:p>
    <w:p w:rsidR="0026452D" w:rsidRDefault="0026452D" w:rsidP="0026452D">
      <w:pPr>
        <w:pStyle w:val="TextoNormal"/>
      </w:pPr>
      <w:r>
        <w:t>Este Tribunal ya ha tenido la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(STC 36/2012, de 15 de marzo, FJ 4). Bajo esta caracterización se deben encuadrar las subvenciones recogidas en la orden objeto del presente conflicto de competencia, pues tienen como objeto precisamente, tal como se recoge en su art. 1, “la realización de programas de cooperación y voluntariado sociales, de interés general, encaminados a atender situaciones de necesidad y/o marginación … así como actuaciones integrales contra la exclusión social y para la erradicación de la pobreza y demás actuaciones de solidaridad social para cubrir necesidades de interés general”.</w:t>
      </w:r>
    </w:p>
    <w:p w:rsidR="0026452D" w:rsidRDefault="0026452D" w:rsidP="0026452D">
      <w:pPr>
        <w:pStyle w:val="TextoNormal"/>
      </w:pPr>
    </w:p>
    <w:p w:rsidR="0026452D" w:rsidRDefault="0026452D" w:rsidP="0026452D">
      <w:pPr>
        <w:pStyle w:val="TextoNormal"/>
      </w:pPr>
      <w:r w:rsidRPr="0026452D">
        <w:rPr>
          <w:rStyle w:val="NumeroAFNegritaCaracter"/>
        </w:rPr>
        <w:t>5</w:t>
      </w:r>
      <w:r>
        <w:t>. Una vez identificada la materia a la que se refiere la disposición objeto de conflicto, asistencia social, hemos de examinar la distribución de competencias sobre la misma que se deriva de lo dispuesto en la Constitución y en el Estatuto de Autonomía de Galicia.</w:t>
      </w:r>
    </w:p>
    <w:p w:rsidR="0026452D" w:rsidRDefault="0026452D" w:rsidP="0026452D">
      <w:pPr>
        <w:pStyle w:val="TextoNormal"/>
      </w:pPr>
    </w:p>
    <w:p w:rsidR="0026452D" w:rsidRDefault="0026452D" w:rsidP="0026452D">
      <w:pPr>
        <w:pStyle w:val="TextoNormal"/>
      </w:pPr>
      <w:r>
        <w:t>La Constitución se refiere a la asistencia social en el art. 148.1.20 CE como una materia sobre la que las Comunidades Autónomas pueden asumir la competencia. Así lo ha hecho Galicia en el art. 27.23 de su Estatuto de Autonomía.</w:t>
      </w:r>
    </w:p>
    <w:p w:rsidR="0026452D" w:rsidRDefault="0026452D" w:rsidP="0026452D">
      <w:pPr>
        <w:pStyle w:val="TextoNormal"/>
      </w:pPr>
    </w:p>
    <w:p w:rsidR="0026452D" w:rsidRDefault="0026452D" w:rsidP="0026452D">
      <w:pPr>
        <w:pStyle w:val="TextoNormal"/>
      </w:pPr>
      <w:r>
        <w:t xml:space="preserve">El art. 27.23 del Estatuto de Autonomía de Galicia caracteriza las competencias de la Comunidad Autónoma en materia de asistencia social como exclusivas; no obstante, como hemos tenido la oportunidad de reiterar, la competencia de una Comunidad Autónoma “no impide el ejercicio de las competencias del Estado </w:t>
      </w:r>
      <w:r w:rsidRPr="0026452D">
        <w:rPr>
          <w:i/>
        </w:rPr>
        <w:t>ex</w:t>
      </w:r>
      <w:r>
        <w:t xml:space="preserve"> art. 149.1 CE, sea cuando éstas concurran con las autonómicas sobre el mismo espacio físico o sea sobre el mismo objeto jurídico” (STC 31/2010, de 28 de junio, FJ 104). Como ya tuvimos ocasión de afirmar en relación con el art. 166 del vigente Estatuto de Autonomía de Cataluña, que atribuía a aquella Comunidad competencias en materia de asistencia social, “el enunciado de la competencia autonómica como exclusiva no enerva las diferentes competencias del Estado que puedan estar implicadas (art. 149.1.6, 7 y 17 CE, entre otras), debiendo insistir, no obstante, en que </w:t>
      </w:r>
      <w:r>
        <w:lastRenderedPageBreak/>
        <w:t>de ningún modo se precisa una expresa salvaguarda de las competencias constitucionalmente reservadas al Estado por el art. 149.1 CE, puesto que constituyen límites infranqueables a los enunciados estatutarios” (STC 31/2010, FJ 104). Así pues, las competencias autonómicas sobre materias no incluidas en el art. 149.1 CE, aunque se enuncien como “competencias exclusivas”, no cierran el paso a las competencias estatales previstas en aquel precepto constitucional.</w:t>
      </w:r>
    </w:p>
    <w:p w:rsidR="0026452D" w:rsidRDefault="0026452D" w:rsidP="0026452D">
      <w:pPr>
        <w:pStyle w:val="TextoNormal"/>
      </w:pPr>
    </w:p>
    <w:p w:rsidR="0026452D" w:rsidRDefault="0026452D" w:rsidP="0026452D">
      <w:pPr>
        <w:pStyle w:val="TextoNormal"/>
      </w:pPr>
      <w:r>
        <w:t xml:space="preserve">En el presente conflicto el Abogado del Estado ha defendido que el Estado puede fundamentar las ayudas controvertidas en el ejercicio de la competencia prevista en el art. 149.1.1 CE. Sin embargo, en una serie de Sentencias recientes este Tribunal ha rechazado que el art. 149.1.1 CE sea un título competencial suficiente para justificar determinadas ayudas en materia de asistencia social. En efecto, en las SSTC 173/2012, de 15 de octubre, FJ 5 a) y 177/2012, de 15 de octubre, FJ 5 a), recordamos que “en la temprana STC 61/1997, de 20 de marzo, señalamos (FJ 7) que el art. 149.1.1 CE, ‘no ha atribuido al Estado la fijación de las bases sobre los derechos y libertades constitucionales, sino sólo el establecimiento —eso sí, entero— de aquellas condiciones básicas que tiendan a garantizar la igualdad. Y si bien es cierto que su regulación no puede suponer una normación completa y acabada del derecho y deber de que se trate y, en consecuencia, es claro que las Comunidades Autónomas, en la medida en que tengan competencias sobre la materia, podrán siempre aprobar normas atinentes al régimen jurídico de ese derecho … no lo es menos, sin embargo, que la competencia </w:t>
      </w:r>
      <w:r w:rsidRPr="0026452D">
        <w:rPr>
          <w:i/>
        </w:rPr>
        <w:t>ex</w:t>
      </w:r>
      <w:r>
        <w:t xml:space="preserve"> art 149.1.1 CE no se mueve en la lógica de las bases estatales-legislación autonómica de desarrollo. En otras palabras, el Estado tiene la competencia exclusiva para incidir sobre los derechos y deberes constitucionales desde una concreta perspectiva, la de la garantía de la igualdad en las posiciones jurídicas fundamentales, dimensión que no es, en rigor, susceptible de desarrollo como si de unas bases se tratara; será luego el legislador competente, estatal y autonómico, el que respetando tales condiciones básicas establezca su régimen jurídico, de acuerdo con el orden constitucional de competencias’.”. [SSTC 173/2012, de 15 de octubre, FJ 5 a) y 177/2012, de 15 de octubre, FJ 5 a)].</w:t>
      </w:r>
    </w:p>
    <w:p w:rsidR="0026452D" w:rsidRDefault="0026452D" w:rsidP="0026452D">
      <w:pPr>
        <w:pStyle w:val="TextoNormal"/>
      </w:pPr>
    </w:p>
    <w:p w:rsidR="0026452D" w:rsidRDefault="0026452D" w:rsidP="0026452D">
      <w:pPr>
        <w:pStyle w:val="TextoNormal"/>
      </w:pPr>
      <w:r>
        <w:t xml:space="preserve">Tras ello, continuamos afirmando que “con carácter general, tenemos declarado que este título competencial ‘no puede operar como una especie de título horizontal, capaz de introducirse en cualquier materia o sector del ordenamiento’.” (entre otras, SSTC 239/2002, de 11 de diciembre, FJ 10; 228/2003, de 18 de diciembre, FJ 10; y 150/2012, de 5 de julio, FJ 4). Es decir, con la finalidad de establecer las condiciones básicas </w:t>
      </w:r>
      <w:r w:rsidRPr="0026452D">
        <w:rPr>
          <w:i/>
        </w:rPr>
        <w:t>ex</w:t>
      </w:r>
      <w:r>
        <w:t xml:space="preserve"> art. 149.1.1 CE para garantizar la igualdad en el ejercicio de los derechos, el Estado no puede pretender alterar el sistema de reparto competencial. Así lo entendimos en la STC 148/2012, de 5 de julio, FJ 4, cuando afirmamos que, amparado sólo en este título competencial (el art. 149.1.1 CE), “‘el legislador estatal no puede establecer el régimen jurídico completo de la materia, regulación acabada que corresponde, con el límite de tales condiciones básicas de dominio estatal, al poder público que corresponda según el sistema constitucional de distribución de competencias [STC 61/1997, FJ 7 b)]’. Por tanto, debemos excluir la suficiencia del título competencial invocado por la orden controvertida’.” [SSTC 173/2012, de 15 de octubre, FJ 5 a); y 177/2012, de 15 de octubre, FJ 5 a)].</w:t>
      </w:r>
    </w:p>
    <w:p w:rsidR="0026452D" w:rsidRDefault="0026452D" w:rsidP="0026452D">
      <w:pPr>
        <w:pStyle w:val="TextoNormal"/>
      </w:pPr>
    </w:p>
    <w:p w:rsidR="0026452D" w:rsidRDefault="0026452D" w:rsidP="0026452D">
      <w:pPr>
        <w:pStyle w:val="TextoNormal"/>
      </w:pPr>
      <w:r>
        <w:t xml:space="preserve">En aplicación de dicha doctrina debemos descartar que la regulación de las ayudas controvertidas pueda relacionarse con el título competencial </w:t>
      </w:r>
      <w:r w:rsidRPr="0026452D">
        <w:rPr>
          <w:i/>
        </w:rPr>
        <w:t>ex</w:t>
      </w:r>
      <w:r>
        <w:t xml:space="preserve"> art. 149.1.1 CE, pues ni por su objeto ni por su contenido cabe apreciar una conexión directa de las ayudas controvertidas </w:t>
      </w:r>
      <w:r>
        <w:lastRenderedPageBreak/>
        <w:t xml:space="preserve">con “la regulación de las condiciones básicas que garanticen la igualdad de todos los españoles en el ejercicio de los derechos y en el cumplimiento de los deberes constitucionales”. En efecto, de una parte, los beneficiarios de las ayudas previstas son organizaciones no gubernamentales y entidades sociales que reúnen determinados requisitos; de otra, el objeto de las ayudas previstas es la realización de programas de cooperación y voluntariado sociales de interés general, así como actuaciones integrales contra la exclusión social para la erradicación de la pobreza y demás actuaciones de solidaridad social. En suma, resulta clara la desvinculación de la orden controvertida con respecto al título competencial estatal </w:t>
      </w:r>
      <w:r w:rsidRPr="0026452D">
        <w:rPr>
          <w:i/>
        </w:rPr>
        <w:t>ex</w:t>
      </w:r>
      <w:r>
        <w:t xml:space="preserve"> art. 149.1.1 CE.</w:t>
      </w:r>
    </w:p>
    <w:p w:rsidR="0026452D" w:rsidRDefault="0026452D" w:rsidP="0026452D">
      <w:pPr>
        <w:pStyle w:val="TextoNormal"/>
      </w:pPr>
    </w:p>
    <w:p w:rsidR="0026452D" w:rsidRDefault="0026452D" w:rsidP="0026452D">
      <w:pPr>
        <w:pStyle w:val="TextoNormal"/>
      </w:pPr>
      <w:r>
        <w:t>El hecho de que no se puedan fundamentar las subvenciones objeto de conflicto en el título competencial previsto en el art. 149.1.1 CE no supone, no obstante, la imposibilidad para el Estado de financiar este tipo de acciones de fomento en materias atribuidas a la competencia exclusiva de las Comunidades Autónomas, pues tal y como hemos afirmado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(STC 13/1992, de 6 de febrero, FJ 7). El Estado tiene, por tanto, la capacidad para poner su poder de gasto al servicio de una política de asistencia social, en el ejercicio soberano de la función legislativa presupuestaria, sin perjuicio de que corresponda a la Comunidad Autónoma la competencia exclusiva en materia de asistencia social.</w:t>
      </w:r>
    </w:p>
    <w:p w:rsidR="0026452D" w:rsidRDefault="0026452D" w:rsidP="0026452D">
      <w:pPr>
        <w:pStyle w:val="TextoNormal"/>
      </w:pPr>
    </w:p>
    <w:p w:rsidR="0026452D" w:rsidRDefault="0026452D" w:rsidP="0026452D">
      <w:pPr>
        <w:pStyle w:val="TextoNormal"/>
      </w:pPr>
      <w:r>
        <w:t>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 Dichos supuestos generales tratan precisamente de conciliar la distribución competencial existente en cada materia entre el Estado y las Comunidades Autónomas, por un lado, con la reconocida potestad subvencional de gasto público que ostenta el Estado, por otro.</w:t>
      </w:r>
    </w:p>
    <w:p w:rsidR="0026452D" w:rsidRDefault="0026452D" w:rsidP="0026452D">
      <w:pPr>
        <w:pStyle w:val="TextoNormal"/>
      </w:pPr>
    </w:p>
    <w:p w:rsidR="0026452D" w:rsidRDefault="0026452D" w:rsidP="0026452D">
      <w:pPr>
        <w:pStyle w:val="TextoNormal"/>
      </w:pPr>
      <w:r w:rsidRPr="0026452D">
        <w:rPr>
          <w:rStyle w:val="NumeroAFNegritaCaracter"/>
        </w:rPr>
        <w:t>6</w:t>
      </w:r>
      <w:r>
        <w:t>. Una vez expuesto el marco competencial, de los términos del debate procesal trabado entre las partes podemos apreciar que la controversia entre las mismas versa, en realidad, en torno a la aplicación al caso concreto de la consolidada doctrina de este Tribunal en materia de subvenciones y ayudas públicas, en particular la contenida en aquella STC 13/1992. Así, lo discutido resulta ser la concurrencia de las circunstancias excepcionales previstas en la doctrina constitucional para que resulte justificada la regulación completa de las subvenciones y la centralización de la gestión que se contienen en la orden objeto de conflicto. De hecho, el debate trabado entre las partes, una vez encuadradas las ayudas controvertidas en la materia asistencia social, es reconducible a la determinación del supuesto que, de los cuatro que hemos contemplado en nuestra doctrina (en concreto, en el fundamento jurídico 8 de la STC 13/1992, de 6 de febrero), resulta de aplicación a las ayudas referidas.</w:t>
      </w:r>
    </w:p>
    <w:p w:rsidR="0026452D" w:rsidRDefault="0026452D" w:rsidP="0026452D">
      <w:pPr>
        <w:pStyle w:val="TextoNormal"/>
      </w:pPr>
    </w:p>
    <w:p w:rsidR="0026452D" w:rsidRDefault="0026452D" w:rsidP="0026452D">
      <w:pPr>
        <w:pStyle w:val="TextoNormal"/>
      </w:pPr>
      <w:r>
        <w:t xml:space="preserve">La representación procesal de la Junta de Galicia entiende que nos encontramos en el denominado primer supuesto, recogido en el fundamento jurídico 8 a) de aquella, y considera que el papel del Estado debería agotarse al trazar prioridades en la Ley de presupuestos, </w:t>
      </w:r>
      <w:r>
        <w:lastRenderedPageBreak/>
        <w:t>territorializando en la propia Ley los recursos empleados. Por su parte, el Abogado del Estado considera que, puesto que se justifica la acción del Estado en el ejercicio de la competencia prevista en el art. 149.1.1 CE, resulta procedente la aplicación a las ayudas previstas del de denominado cuarto supuesto, recogido en el fundamento jurídico 8 d) de la misma Sentencia 13/1992, que faculta no sólo para la regulación completa de las ayudas sino también para su gestión centralizada por el Estado.</w:t>
      </w:r>
    </w:p>
    <w:p w:rsidR="0026452D" w:rsidRDefault="0026452D" w:rsidP="0026452D">
      <w:pPr>
        <w:pStyle w:val="TextoNormal"/>
      </w:pPr>
    </w:p>
    <w:p w:rsidR="0026452D" w:rsidRDefault="0026452D" w:rsidP="0026452D">
      <w:pPr>
        <w:pStyle w:val="TextoNormal"/>
      </w:pPr>
      <w:r>
        <w:t>Debemos pronunciarnos ahora sobre cuál de estos dos supuestos —a) o d)— le es de aplicación a la orden objeto de conflicto en razón a sus características. Y precisamente en razón de éstas, confirmamos que las subvenciones contenidas en la Orden TAS/1051/2007, de 18 de abril, se incluyen en el primer supuesto recogido en el fundamento jurídico 8 a) de la STC 13/1992. En efecto, al no poder justificarse aquellas en título competencial estatal alguno, ni genérico ni específico, tal como hemos argumentado en el fundamento jurídico 5 de la presente Sentencia, no se cumple la premisa exigida por el cuarto supuesto de la STC 13/1992, FJ 8 d), para justificar la gestión centralizada —que el Estado ostente algún título competencial, genérico o específico, sobre la materia—, por lo que no es necesario entrar a examinar si se dan las otras circunstancias excepcionales que exige aquel supuesto.</w:t>
      </w:r>
    </w:p>
    <w:p w:rsidR="0026452D" w:rsidRDefault="0026452D" w:rsidP="0026452D">
      <w:pPr>
        <w:pStyle w:val="TextoNormal"/>
      </w:pPr>
    </w:p>
    <w:p w:rsidR="0026452D" w:rsidRDefault="0026452D" w:rsidP="0026452D">
      <w:pPr>
        <w:pStyle w:val="TextoNormal"/>
      </w:pPr>
      <w:r>
        <w:t>Por tanto, puesto que la Comunidad Autónoma ostenta una competencia exclusiva sobre asistencia social y el Estado no ha invocado título competencial suficiente —genérico o específico— sobre la misma, las ayudas quedan ubicadas en el referido primer supuesto [STC 13/1992, FJ 8 a)], que excluye la posibilidad de gestión centralizada.</w:t>
      </w:r>
    </w:p>
    <w:p w:rsidR="0026452D" w:rsidRDefault="0026452D" w:rsidP="0026452D">
      <w:pPr>
        <w:pStyle w:val="TextoNormal"/>
      </w:pPr>
    </w:p>
    <w:p w:rsidR="0026452D" w:rsidRDefault="0026452D" w:rsidP="0026452D">
      <w:pPr>
        <w:pStyle w:val="TextoNormal"/>
      </w:pPr>
      <w:r>
        <w:t>Así, la regla general sobre el ejercicio de la potestad subvencional de gasto público del Estado en aquellas materias en las que las Comunidades Autónomas tienen competencia exclusiva y el Estado carece de título competencial alguno, tanto genérico como especifico, indica que la intervención estatal debe limitarse a “decidir asignar parte de sus fondos presupuestarios a esas materias o sectores …, de manera genérica o global, por sectores o subsectores enteros de actividad”, y que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 [STC 13/1992, FJ 8 a)].</w:t>
      </w:r>
    </w:p>
    <w:p w:rsidR="0026452D" w:rsidRDefault="0026452D" w:rsidP="0026452D">
      <w:pPr>
        <w:pStyle w:val="TextoNormal"/>
      </w:pPr>
    </w:p>
    <w:p w:rsidR="0026452D" w:rsidRDefault="0026452D" w:rsidP="0026452D">
      <w:pPr>
        <w:pStyle w:val="TextoNormal"/>
      </w:pPr>
      <w:r>
        <w:t>No obstante, en materia de asistencia social debemos tener presente además nuestra reciente doctrina sobre el alcance de la potestad subvencional estatal en ese campo, según la cual, aun tratándose de una materia incluida en el primero de los cuatro supuestos sistematizados en el fundamento jurídico 8 de la STC 13/1992, hemos afirmado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(SSTC 178/2011, de 8 de noviembre, FJ 7; y 36/2012, de 15 de marzo, FJ 8, doctrina aplicada posteriormente en las SSTC 72/2012, de 16 de abril, FJ 4; 73/2012, de 16 de abril, FJ 4; 77/2012, de 16 de abril, FJ 4; 173/2012, de 15 de octubre, FJ 7; 177/2012, de 15 de octubre, FJ 7; 226/2012, de 29 de noviembre, FJ 3; y 227/2012, de 29 de noviembre, FJ 5).</w:t>
      </w:r>
    </w:p>
    <w:p w:rsidR="0026452D" w:rsidRDefault="0026452D" w:rsidP="0026452D">
      <w:pPr>
        <w:pStyle w:val="TextoNormal"/>
      </w:pPr>
    </w:p>
    <w:p w:rsidR="0026452D" w:rsidRDefault="0026452D" w:rsidP="0026452D">
      <w:pPr>
        <w:pStyle w:val="TextoNormal"/>
      </w:pPr>
      <w:r>
        <w:t>Por último, hemos de señalar que el contenido de la orden objeto del presente conflicto de competencia es coincidente con el de la orden que enjuiciamos en el reciente conflicto de competencia núm. 7625-2006 mediante la STC 21/2013, de 29 de enero, al tratarse de la misma convocatoria en el ejercicio siguiente.</w:t>
      </w:r>
    </w:p>
    <w:p w:rsidR="0026452D" w:rsidRDefault="0026452D" w:rsidP="0026452D">
      <w:pPr>
        <w:pStyle w:val="TextoNormal"/>
      </w:pPr>
    </w:p>
    <w:p w:rsidR="0026452D" w:rsidRDefault="0026452D" w:rsidP="0026452D">
      <w:pPr>
        <w:pStyle w:val="TextoNormal"/>
      </w:pPr>
      <w:r w:rsidRPr="0026452D">
        <w:rPr>
          <w:rStyle w:val="NumeroAFNegritaCaracter"/>
        </w:rPr>
        <w:t>7</w:t>
      </w:r>
      <w:r>
        <w:t>. Sobre la base precedente debemos proceder al examen de los distintos preceptos de la orden objeto de conflicto.</w:t>
      </w:r>
    </w:p>
    <w:p w:rsidR="0026452D" w:rsidRDefault="0026452D" w:rsidP="0026452D">
      <w:pPr>
        <w:pStyle w:val="TextoNormal"/>
      </w:pPr>
    </w:p>
    <w:p w:rsidR="0026452D" w:rsidRDefault="0026452D" w:rsidP="0026452D">
      <w:pPr>
        <w:pStyle w:val="TextoNormal"/>
      </w:pPr>
      <w:r>
        <w:t>a) El art. 1 es inconstitucional por lo que respecta a la convocatoria de la concesión de las subvenciones, siendo constitucional en cuanto establece el objeto de dichas subvenciones.</w:t>
      </w:r>
    </w:p>
    <w:p w:rsidR="0026452D" w:rsidRDefault="0026452D" w:rsidP="0026452D">
      <w:pPr>
        <w:pStyle w:val="TextoNormal"/>
      </w:pPr>
    </w:p>
    <w:p w:rsidR="0026452D" w:rsidRDefault="0026452D" w:rsidP="0026452D">
      <w:pPr>
        <w:pStyle w:val="TextoNormal"/>
      </w:pPr>
      <w:r>
        <w:t>b) El art. 2 no infringe las competencias autonómicas en cuanto define los programas de carácter prioritario.</w:t>
      </w:r>
    </w:p>
    <w:p w:rsidR="0026452D" w:rsidRDefault="0026452D" w:rsidP="0026452D">
      <w:pPr>
        <w:pStyle w:val="TextoNormal"/>
      </w:pPr>
    </w:p>
    <w:p w:rsidR="0026452D" w:rsidRDefault="0026452D" w:rsidP="0026452D">
      <w:pPr>
        <w:pStyle w:val="TextoNormal"/>
      </w:pPr>
      <w:r>
        <w:t>c) El art. 3, que regula los requisitos generales que deben satisfacer las entidades y organizaciones solicitantes de ayuda, no vulnera las competencias de la Comunidad Autónoma de Galicia.</w:t>
      </w:r>
    </w:p>
    <w:p w:rsidR="0026452D" w:rsidRDefault="0026452D" w:rsidP="0026452D">
      <w:pPr>
        <w:pStyle w:val="TextoNormal"/>
      </w:pPr>
    </w:p>
    <w:p w:rsidR="0026452D" w:rsidRDefault="0026452D" w:rsidP="0026452D">
      <w:pPr>
        <w:pStyle w:val="TextoNormal"/>
      </w:pPr>
      <w:r>
        <w:t>d) El art. 4, que distribuye los créditos asignados por programas, no vulnera las competencias autonómicas.</w:t>
      </w:r>
    </w:p>
    <w:p w:rsidR="0026452D" w:rsidRDefault="0026452D" w:rsidP="0026452D">
      <w:pPr>
        <w:pStyle w:val="TextoNormal"/>
      </w:pPr>
    </w:p>
    <w:p w:rsidR="0026452D" w:rsidRDefault="0026452D" w:rsidP="0026452D">
      <w:pPr>
        <w:pStyle w:val="TextoNormal"/>
      </w:pPr>
      <w:r>
        <w:t>e) Los arts. 5, 6 y 7 conculcan las competencias autonómicas al regular ya sea los órganos estatales competentes para realizar la tramitación de las ayudas ya sea diversas cuestiones relativas a la tramitación administrativa (solicitudes, memorias, documentación, subsanación de errores y forma de financiación).</w:t>
      </w:r>
    </w:p>
    <w:p w:rsidR="0026452D" w:rsidRDefault="0026452D" w:rsidP="0026452D">
      <w:pPr>
        <w:pStyle w:val="TextoNormal"/>
      </w:pPr>
    </w:p>
    <w:p w:rsidR="0026452D" w:rsidRDefault="0026452D" w:rsidP="0026452D">
      <w:pPr>
        <w:pStyle w:val="TextoNormal"/>
      </w:pPr>
      <w:r>
        <w:t>f) El art. 8 contiene no sólo los criterios que han de ser valorados para la adjudicación de las ayudas, sino también el baremo correspondiente a aplicar a cada uno de ellos, por lo que esta última concreción infringe las competencias autonómicas en la medida en que rebasa lo que conforme a nuestra doctrina constituyen aspectos centrales del régimen subvencional (STC 227/2012, de 29 de noviembre, FJ 7) y, por ello, cercena el margen necesario para que la Junta de Galicia pueda desarrollar la regulación de las condiciones de otorgamiento.</w:t>
      </w:r>
    </w:p>
    <w:p w:rsidR="0026452D" w:rsidRDefault="0026452D" w:rsidP="0026452D">
      <w:pPr>
        <w:pStyle w:val="TextoNormal"/>
      </w:pPr>
    </w:p>
    <w:p w:rsidR="0026452D" w:rsidRDefault="0026452D" w:rsidP="0026452D">
      <w:pPr>
        <w:pStyle w:val="TextoNormal"/>
      </w:pPr>
      <w:r>
        <w:t>g) Los arts. 9, 10, 11, 12, 13, 14, 15, 16, 17, 18, 19 y 20 regulan todos ellos aspectos exclusivamente atinentes a la tramitación, resolución, pago, control, responsabilidad y reintegros de las ayudas, que son de competencia autonómica y, por ello, vulneran las competencias autonómicas, todo ello sin perjuicio del carácter básico que puedan tener determinados preceptos de la Ley general de subvenciones que en ellos se citan.</w:t>
      </w:r>
    </w:p>
    <w:p w:rsidR="0026452D" w:rsidRDefault="0026452D" w:rsidP="0026452D">
      <w:pPr>
        <w:pStyle w:val="TextoNormal"/>
      </w:pPr>
    </w:p>
    <w:p w:rsidR="0026452D" w:rsidRDefault="0026452D" w:rsidP="0026452D">
      <w:pPr>
        <w:pStyle w:val="TextoNormal"/>
      </w:pPr>
      <w:r>
        <w:t xml:space="preserve">h) La disposición final primera no vulnera las competencias autonómicas al remitirse de modo genérico a la Ley 38/2003, de 17 de noviembre, general de subvenciones, al Real Decreto 887/2006, de 21 de julio, por el que se aprueba el reglamento de la Ley general de subvenciones, y a la Ley 30/1992, de 26 de noviembre, de régimen jurídico de las Administraciones públicas y del procedimiento administrativo común, pues dicha remisión se efectúa en términos genéricos y con respecto a normas de carácter predominantemente básico, que son, por tanto, aplicables al conjunto de las Administraciones públicas, y sin perjuicio </w:t>
      </w:r>
      <w:r>
        <w:lastRenderedPageBreak/>
        <w:t>de que se pueda determinar, a través de los correspondientes procesos constitucionales, la compatibilidad de tales normas con el bloque de constitucionalidad, algo que no se ha suscitado en el presente conflicto de competencia.</w:t>
      </w:r>
    </w:p>
    <w:p w:rsidR="0026452D" w:rsidRDefault="0026452D" w:rsidP="0026452D">
      <w:pPr>
        <w:pStyle w:val="TextoNormal"/>
      </w:pPr>
    </w:p>
    <w:p w:rsidR="0026452D" w:rsidRDefault="0026452D" w:rsidP="0026452D">
      <w:pPr>
        <w:pStyle w:val="TextoNormal"/>
      </w:pPr>
      <w:r>
        <w:t>i) La disposición final segunda regula la entrada en vigor de la norma y por ello no vulnera las competencias autonómicas.</w:t>
      </w:r>
    </w:p>
    <w:p w:rsidR="0026452D" w:rsidRDefault="0026452D" w:rsidP="0026452D">
      <w:pPr>
        <w:pStyle w:val="TextoNormal"/>
      </w:pPr>
    </w:p>
    <w:p w:rsidR="0026452D" w:rsidRDefault="0026452D" w:rsidP="0026452D">
      <w:pPr>
        <w:pStyle w:val="TextoNormal"/>
      </w:pPr>
      <w:r>
        <w:t>j) Como consecuencia de lo declarado anteriormente, la vulneración de las competencias de la Comunidad Autónoma de Galicia se extiende también al anexo C y a los anexos I, II, III y IV de la orden impugnada, por cuanto regulan cuestiones que exceden de los aspectos centrales del régimen subvencional. Sin embargo, los anexos A y B que contienen los programas prioritarios y la distribución del crédito por colectivos o programas no vulneran las competencias autonómicas, no obstante requerir tal distribución su territorialización.</w:t>
      </w:r>
    </w:p>
    <w:p w:rsidR="0026452D" w:rsidRDefault="0026452D" w:rsidP="0026452D">
      <w:pPr>
        <w:pStyle w:val="TextoNormal"/>
      </w:pPr>
    </w:p>
    <w:p w:rsidR="0026452D" w:rsidRDefault="0026452D" w:rsidP="0026452D">
      <w:pPr>
        <w:pStyle w:val="TextoNormal"/>
      </w:pPr>
      <w:r w:rsidRPr="0026452D">
        <w:rPr>
          <w:rStyle w:val="NumeroAFNegritaCaracter"/>
        </w:rPr>
        <w:t>8</w:t>
      </w:r>
      <w:r>
        <w:t>. Antes de pronunciar nuestro fallo debemos concretar el alcance de la vulneración de competencias en que incurre la orden objeto del presente conflicto, en consideración a que, como hemos declarado en otros casos (SSTC 75/1989, de 21 de abril; 13/1992, de 6 de febrero; 79/1992, de 28 de mayo; y 186/1999, de 14 de octubre, entre otras), aquella bien ya ha agotado sus efectos y se podría afectar a situaciones jurídicas consolidadas, bien ha quedado modificada. Por ello, la pretensión del Gobierno de Galicia ha de estimarse satisfecha mediante el presente reconocimiento de su titularidad en la materia objeto de este conflicto, en los términos que se vienen fundamentando y que se concretan en el consiguiente fallo.</w:t>
      </w:r>
    </w:p>
    <w:p w:rsidR="0026452D" w:rsidRDefault="0026452D" w:rsidP="0026452D">
      <w:pPr>
        <w:pStyle w:val="TextoNormal"/>
      </w:pPr>
    </w:p>
    <w:p w:rsidR="0026452D" w:rsidRDefault="0026452D" w:rsidP="0026452D">
      <w:pPr>
        <w:pStyle w:val="TextoNormal"/>
      </w:pPr>
      <w:r>
        <w:t>En todo caso, debemos recordar lo manifestado en la STC 230/2003, de 18 de diciembre, FJ 6: “las Sentencias de este Tribunal, de las que deriva una doctrina —la doctrina constitucional—, como señala el art. 40.2 LOTC, tienen el valor de cosa juzgada (art. 164.1 CE), de suerte que todos los poderes públicos, tal como prescribe el art. 87.1 LOTC, están obligados a dar cumplimiento a lo que el Tribunal Constitucional resuelva cualquiera que sea el procedimiento en que lo haya sido. Los mencionados preceptos determinan, por sí solos, una eficacia de las Sentencias de este Tribunal que no se proyecta únicamente respecto de los hechos pretéritos que fueron el objeto del proceso, sino que se extiende de algún modo hacia el futuro, por lo menos para privar de eficacia a los actos obstativos del derecho constitucional preservado, siempre que se produzca una nueva lesión del mismo derecho en vicisitudes sucesivas de la misma relación jurídica que fue enjuiciada en la Sentencia”.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Estimar parcialmente el conflicto positivo de competencia núm. 6893-2007 interpuesto por la Junta de Galicia contra la Orden TAS/1051/2007, de 18 de abril, por la que se establecen las bases reguladoras y se convoca la concesión de subvenciones para la realiza</w:t>
      </w:r>
      <w:r>
        <w:lastRenderedPageBreak/>
        <w:t>ción de programas de cooperación y voluntariado sociales con cargo a la asignación tributaria del impuesto sobre la renta de las personas físicas y, en consecuencia, declarar, con los efectos previstos en el fundamento jurídico 7 de la presente Sentencia, que vulneran las competencias de la Comunidad Autónoma de Galicia los arts. 1, salvo en lo que se refiere al objeto de la convocatoria; 5, 6, 7, 8, en cuanto al establecimiento del baremo aplicable, 9, 10, 11, 12, 13, 14, 15, 16, 17, 18, 19 y 20, así como los anexos C, I, II, III y IV de la orden referida.</w:t>
      </w:r>
    </w:p>
    <w:p w:rsidR="0026452D" w:rsidRDefault="0026452D" w:rsidP="0026452D">
      <w:pPr>
        <w:pStyle w:val="TextoNormal"/>
      </w:pPr>
    </w:p>
    <w:p w:rsidR="0026452D" w:rsidRDefault="0026452D" w:rsidP="0026452D">
      <w:pPr>
        <w:pStyle w:val="TextoNormal"/>
      </w:pPr>
      <w:r>
        <w:t>2º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febrero de dos mil trece.</w:t>
      </w:r>
    </w:p>
    <w:p w:rsidR="0026452D" w:rsidRDefault="0026452D" w:rsidP="0026452D">
      <w:pPr>
        <w:pStyle w:val="ParrafoNormal"/>
      </w:pPr>
    </w:p>
    <w:p w:rsidR="0026452D" w:rsidRDefault="0026452D" w:rsidP="0026452D">
      <w:pPr>
        <w:pStyle w:val="TextoNormalNegritaCentrado"/>
        <w:keepNext/>
      </w:pPr>
      <w:r>
        <w:t>Voto particular que formula la Magistrada doña Adela Asua Batarrita a la Sentencia dictada en el conflicto positivo de competencia núm. 6893-2007.</w:t>
      </w:r>
    </w:p>
    <w:p w:rsidR="0026452D" w:rsidRDefault="0026452D" w:rsidP="0026452D">
      <w:pPr>
        <w:pStyle w:val="TextoNormalNegritaCentrado"/>
        <w:keepNext/>
      </w:pPr>
    </w:p>
    <w:p w:rsidR="0026452D" w:rsidRDefault="0026452D" w:rsidP="0026452D">
      <w:pPr>
        <w:pStyle w:val="TextoNormal"/>
      </w:pPr>
      <w:r>
        <w:t>En ejercicio de la facultad que me confiere el art. 90.2 de la Ley Orgánica del Tribunal Constitucional y con pleno respeto a la opinión de la mayoría del Tribunal, debo manifestar mi discrepancia parcial con el fallo y con la fundamentación jurídica de la Sentencia dictada, si bien como ponente de la presente Sentencia y, en dicha condición, recojo en ella la opinión mayoritaria del Pleno.</w:t>
      </w:r>
    </w:p>
    <w:p w:rsidR="0026452D" w:rsidRDefault="0026452D" w:rsidP="0026452D">
      <w:pPr>
        <w:pStyle w:val="TextoNormal"/>
      </w:pPr>
    </w:p>
    <w:p w:rsidR="0026452D" w:rsidRDefault="0026452D" w:rsidP="0026452D">
      <w:pPr>
        <w:pStyle w:val="TextoNormal"/>
      </w:pPr>
      <w:r>
        <w:t>En cuanto a mi discrepancia me remito a los argumentos expuestos en el Voto particular que formulé a la STC 226/2012, de 29 de noviembre, dictada en el conflicto positivo de competencia núm. 7046-2005.</w:t>
      </w:r>
    </w:p>
    <w:p w:rsidR="0026452D" w:rsidRDefault="0026452D" w:rsidP="0026452D">
      <w:pPr>
        <w:pStyle w:val="TextoNormal"/>
      </w:pPr>
    </w:p>
    <w:p w:rsidR="0026452D" w:rsidRDefault="0026452D" w:rsidP="0026452D">
      <w:pPr>
        <w:pStyle w:val="TextoNormal"/>
      </w:pPr>
      <w:r>
        <w:t>Madrid, a catorce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44" w:name="SENTENCIA_2013_41"/>
      <w:r>
        <w:lastRenderedPageBreak/>
        <w:t>SENTENCIA 41/2013, de 14 de febrero de 2013</w:t>
      </w:r>
    </w:p>
    <w:bookmarkEnd w:id="44"/>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ECLI:ES:TC:2013:41</w:t>
      </w:r>
    </w:p>
    <w:p w:rsidR="0026452D" w:rsidRDefault="0026452D" w:rsidP="0026452D">
      <w:pPr>
        <w:pStyle w:val="SntesisDescriptiva"/>
      </w:pPr>
    </w:p>
    <w:p w:rsidR="0026452D" w:rsidRDefault="0026452D" w:rsidP="0026452D">
      <w:pPr>
        <w:pStyle w:val="SntesisDescriptiva"/>
      </w:pPr>
      <w:r>
        <w:t>Cuestión de inconstitucionalidad 8970-2008. Planteada por el Juzgado de lo Social núm. 33 de Barcelona respecto de la disposición adicional tercera de la Ley 40/2007, de 4 de diciembre, de medidas en materia de Seguridad Social.</w:t>
      </w:r>
    </w:p>
    <w:p w:rsidR="0026452D" w:rsidRDefault="0026452D" w:rsidP="0026452D">
      <w:pPr>
        <w:pStyle w:val="SntesisDescriptiva"/>
      </w:pPr>
    </w:p>
    <w:p w:rsidR="0026452D" w:rsidRDefault="0026452D" w:rsidP="0026452D">
      <w:pPr>
        <w:pStyle w:val="SntesisAnaltica"/>
      </w:pPr>
      <w:r>
        <w:t>Principio de igualdad ante la ley: nulidad del precepto legal que supedita el disfrute del derecho a la pensión de viudedad que en él se establece a que el causante y el beneficiario hubieran tenido hijos comunes. Voto particular.</w:t>
      </w:r>
    </w:p>
    <w:p w:rsidR="0026452D" w:rsidRDefault="0026452D" w:rsidP="0026452D">
      <w:pPr>
        <w:pStyle w:val="SntesisAnaltica"/>
      </w:pPr>
    </w:p>
    <w:p w:rsidR="0026452D" w:rsidRDefault="0026452D" w:rsidP="0026452D">
      <w:pPr>
        <w:pStyle w:val="Extracto"/>
      </w:pPr>
      <w:r>
        <w:t>1.</w:t>
      </w:r>
      <w:r>
        <w:tab/>
        <w:t>El requisito contenido en el precepto cuestionado, constituye una directa vulneración del principio de igualdad ante la ley consagrado por el art. 14 CE, pues la diferencia de trato que establece entre parejas de hecho, en razón a que hubieran tenido o no hijos en común, no sólo no obedece a ninguna razón objetivamente justificada, relacionada con la propia esencia de la pensión de viudedad, sino que conduce a un resultado desproporcionado, al impedir injustificadamente a determinados supérstites de parejas de hecho el acceso a la protección dispensada mediante dicha pensión [FJ 9].</w:t>
      </w:r>
    </w:p>
    <w:p w:rsidR="0026452D" w:rsidRDefault="0026452D" w:rsidP="0026452D">
      <w:pPr>
        <w:pStyle w:val="Extracto"/>
      </w:pPr>
    </w:p>
    <w:p w:rsidR="0026452D" w:rsidRDefault="0026452D" w:rsidP="0026452D">
      <w:pPr>
        <w:pStyle w:val="Extracto"/>
      </w:pPr>
      <w:r>
        <w:t>2.</w:t>
      </w:r>
      <w:r>
        <w:tab/>
        <w:t>La diferencia de trato que establece el precepto cuestionado es carente de una justificación objetiva y razonable, porque no responde a la finalidad de la pensión de viudedad, que no es propiamente la de atender a una real situación de necesidad o de dependencia económica, asegurando un mínimo de rentas, sino más bien de resarcir frente al daño que se produce a la muerte del causante por la falta o minoración de ingresos de los que participaba el supérstite, otorgando a tal efecto una pensión que depende en su cuantía de las cotizaciones efectuadas por el causante al régimen de Seguridad Social correspondiente [FJ 8].</w:t>
      </w:r>
    </w:p>
    <w:p w:rsidR="0026452D" w:rsidRDefault="0026452D" w:rsidP="0026452D">
      <w:pPr>
        <w:pStyle w:val="Extracto"/>
      </w:pPr>
    </w:p>
    <w:p w:rsidR="0026452D" w:rsidRDefault="0026452D" w:rsidP="0026452D">
      <w:pPr>
        <w:pStyle w:val="Extracto"/>
      </w:pPr>
      <w:r>
        <w:t>3.</w:t>
      </w:r>
      <w:r>
        <w:tab/>
        <w:t xml:space="preserve">Vulnera el principio de igualdad ante la ley, </w:t>
      </w:r>
      <w:r w:rsidRPr="0026452D">
        <w:rPr>
          <w:i/>
        </w:rPr>
        <w:t>ex</w:t>
      </w:r>
      <w:r>
        <w:t xml:space="preserve"> art. 14 CE, el requisito de haber tenido hijos en común para el acceso a la pensión de viudedad al resultar ser de imposible cumplimiento por razones biológicas, tanto para las parejas de hecho formadas por personas del mismo sexo como para las parejas de hecho de distinto sexo que no pudieron tener hijos por causa de infertilidad, a lo que ha de añadirse que la posibilidad de adopción por parejas de hecho ha estado vetada en el ordenamiento jurídico hasta fechas relativamente recientes, por lo que el requisito no podía ser cumplido por vía de adopción [FJ 8].</w:t>
      </w:r>
    </w:p>
    <w:p w:rsidR="0026452D" w:rsidRDefault="0026452D" w:rsidP="0026452D">
      <w:pPr>
        <w:pStyle w:val="Extracto"/>
      </w:pPr>
    </w:p>
    <w:p w:rsidR="0026452D" w:rsidRDefault="0026452D" w:rsidP="0026452D">
      <w:pPr>
        <w:pStyle w:val="Extracto"/>
      </w:pPr>
      <w:r>
        <w:t>4.</w:t>
      </w:r>
      <w:r>
        <w:tab/>
        <w:t xml:space="preserve">En la libertad de configuración que le corresponde, el legislador se encuentra plenamente legitimado para considerar como merecedoras de mayor protección, </w:t>
      </w:r>
      <w:r w:rsidRPr="0026452D">
        <w:rPr>
          <w:i/>
        </w:rPr>
        <w:t>ex</w:t>
      </w:r>
      <w:r>
        <w:t xml:space="preserve"> arts. 39 y 41 CE, mediante la pensión de viudedad aquellas situaciones de necesidad en las que existan cargas familiares para el supérstite, porque entienda que </w:t>
      </w:r>
      <w:r>
        <w:lastRenderedPageBreak/>
        <w:t>en tales supuestos se acrecienta el daño económico que para el sobreviviente resulta de la disminución de ingresos producida por el fallecimiento del causante [FJ 8].</w:t>
      </w:r>
    </w:p>
    <w:p w:rsidR="0026452D" w:rsidRDefault="0026452D" w:rsidP="0026452D">
      <w:pPr>
        <w:pStyle w:val="Extracto"/>
      </w:pPr>
    </w:p>
    <w:p w:rsidR="0026452D" w:rsidRDefault="0026452D" w:rsidP="0026452D">
      <w:pPr>
        <w:pStyle w:val="Extracto"/>
      </w:pPr>
      <w:r>
        <w:t>5.</w:t>
      </w:r>
      <w:r>
        <w:tab/>
        <w:t xml:space="preserve">El requisito legal cuestionado no puede ser entendido como un indicador inequívoco de la existencia efectiva de la relación de convivencia </w:t>
      </w:r>
      <w:r w:rsidRPr="0026452D">
        <w:rPr>
          <w:i/>
        </w:rPr>
        <w:t>more uxorio</w:t>
      </w:r>
      <w:r>
        <w:t xml:space="preserve"> que se pretende proteger, pues ni la circunstancia de haber tenido hijos en común acredita una mayor estabilidad o solidez de la unión de hecho, ni dicha circunstancia constituye el único medio de prueba posible sobre la estabilidad de la pareja [FJ 7].</w:t>
      </w:r>
    </w:p>
    <w:p w:rsidR="0026452D" w:rsidRDefault="0026452D" w:rsidP="0026452D">
      <w:pPr>
        <w:pStyle w:val="Extracto"/>
      </w:pPr>
    </w:p>
    <w:p w:rsidR="0026452D" w:rsidRDefault="0026452D" w:rsidP="0026452D">
      <w:pPr>
        <w:pStyle w:val="Extracto"/>
      </w:pPr>
      <w:r>
        <w:t>6.</w:t>
      </w:r>
      <w:r>
        <w:tab/>
        <w:t>El principio de igualdad en la ley no sólo exige que la diferencia de trato resulte objetivamente justificada, sino también que supere un juicio de proporcionalidad sobre la relación existente entre la medida adoptada, el resultado producido y la finalidad pretendida (SSTC 22/1981, 39/2002) [FJ 6].</w:t>
      </w:r>
    </w:p>
    <w:p w:rsidR="0026452D" w:rsidRDefault="0026452D" w:rsidP="0026452D">
      <w:pPr>
        <w:pStyle w:val="Extracto"/>
      </w:pPr>
    </w:p>
    <w:p w:rsidR="0026452D" w:rsidRDefault="0026452D" w:rsidP="0026452D">
      <w:pPr>
        <w:pStyle w:val="Extracto"/>
      </w:pPr>
      <w:r>
        <w:t>7.</w:t>
      </w:r>
      <w:r>
        <w:tab/>
        <w:t>Doctrina sobre el margen de libertad de configuración del legislador para establecer los requisitos exigibles para acceder a la pensión de viudedad establecida dentro del sistema público de Seguridad Social  (SSTC 65/1987, 184/1990) [FJ 3].</w:t>
      </w:r>
    </w:p>
    <w:p w:rsidR="0026452D" w:rsidRDefault="0026452D" w:rsidP="0026452D">
      <w:pPr>
        <w:pStyle w:val="Extracto"/>
      </w:pPr>
    </w:p>
    <w:p w:rsidR="0026452D" w:rsidRDefault="0026452D" w:rsidP="0026452D">
      <w:pPr>
        <w:pStyle w:val="Extracto"/>
      </w:pPr>
      <w:r>
        <w:t>8.</w:t>
      </w:r>
      <w:r>
        <w:tab/>
        <w:t xml:space="preserve">Resulta ajeno a la jurisdicción del Tribunal Constitucional controlar la compatibilidad de un precepto legal con el Derecho de la Unión Europea, toda vez que este ordenamiento no integra en sí mismo el canon de constitucionalidad bajo el que hayan de examinarse las leyes del Estado español ya que, </w:t>
      </w:r>
      <w:r w:rsidRPr="0026452D">
        <w:rPr>
          <w:i/>
        </w:rPr>
        <w:t>ex</w:t>
      </w:r>
      <w:r>
        <w:t xml:space="preserve"> art. 10.2 CE, la medida de la constitucionalidad de la ley enjuiciada seguiría estando integrada por el precepto constitucional definidor del derecho o libertad, si bien interpretado, en cuanto a los perfiles exactos de su contenido, de conformidad con los tratados o acuerdos internacionales de que se trate (SSTC 28/1991, 173/2005)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la cuestión de inconstitucionalidad núm. 8970-2008, planteada por el Juzgado de lo Social núm. 33 de Barcelona respecto de la disposición adicional tercera de la Ley 40/2007, </w:t>
      </w:r>
      <w:r>
        <w:lastRenderedPageBreak/>
        <w:t>de 4 de diciembre, de medidas en materia de Seguridad Social. Han comparecido y formulado alegaciones el Abogado del Estado y el Fiscal General del Estado.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Con fecha 18 de noviembre de 2008 tuvo entrada en el Registro General de este Tribunal escrito del Juzgado de lo Social núm. 33 de Barcelona, al que se acompaña, junto con el testimonio del procedimiento núm. 432-2008 que se tramita ante dicho Juzgado, el Auto de 11 de noviembre de 2008, por el que se acuerda plantear cuestión de inconstitucionalidad respecto de la disposición adicional tercera de la Ley 40/2007, de 4 de diciembre, de medidas en materia de Seguridad Social, por posible vulneración del art. 14 CE.</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de los que trae causa la cuestión de inconstitucionalidad planteada son, sucintamente expuestos, los siguientes:</w:t>
      </w:r>
    </w:p>
    <w:p w:rsidR="0026452D" w:rsidRDefault="0026452D" w:rsidP="0026452D">
      <w:pPr>
        <w:pStyle w:val="TextoNormal"/>
      </w:pPr>
    </w:p>
    <w:p w:rsidR="0026452D" w:rsidRDefault="0026452D" w:rsidP="0026452D">
      <w:pPr>
        <w:pStyle w:val="TextoNormal"/>
      </w:pPr>
      <w:r>
        <w:t>a) Don J.M.D.F. solicitó el 10 de marzo de 2008 a la Dirección Provincial de Barcelona del Instituto Nacional de la Seguridad Social (INSS) el reconocimiento de la pensión de viudedad como consecuencia del fallecimiento (acaecido el 27 de marzo de 2004) de don J.N.O., con el que había convivido de forma estable desde el año 1982 hasta la muerte de éste. La solicitud se basaba en la disposición adicional tercera de la Ley 40/2007, de 4 de diciembre, de medidas en materia de Seguridad Social, norma que reconoce derecho a la pensión de viudedad a los supérstites de parejas de hecho cuando, habiéndose producido el fallecimiento del causante antes de la entrada en vigor de la Ley 40/2007 (1 de enero de 2008), concurran las circunstancias que la referida disposición adicional establece, entre ellas “que el causante y el beneficiario hubieran tenido hijos comunes”.</w:t>
      </w:r>
    </w:p>
    <w:p w:rsidR="0026452D" w:rsidRDefault="0026452D" w:rsidP="0026452D">
      <w:pPr>
        <w:pStyle w:val="TextoNormal"/>
      </w:pPr>
    </w:p>
    <w:p w:rsidR="0026452D" w:rsidRDefault="0026452D" w:rsidP="0026452D">
      <w:pPr>
        <w:pStyle w:val="TextoNormal"/>
      </w:pPr>
      <w:r>
        <w:t>La solicitud fue denegada por resolución del INSS de 13 de marzo de 2008 en razón a no cumplirse el requisito de haber tenido hijos comunes con el causante. Interpuesta contra esta resolución reclamación previa, fundada en la imposibilidad de cumplimiento del referido requisito en el caso de las parejas de hecho del mismo sexo, fue denegada por el mismo fundamento mediante resolución del INSS de 10 de abril de 2008.</w:t>
      </w:r>
    </w:p>
    <w:p w:rsidR="0026452D" w:rsidRDefault="0026452D" w:rsidP="0026452D">
      <w:pPr>
        <w:pStyle w:val="TextoNormal"/>
      </w:pPr>
    </w:p>
    <w:p w:rsidR="0026452D" w:rsidRDefault="0026452D" w:rsidP="0026452D">
      <w:pPr>
        <w:pStyle w:val="TextoNormal"/>
      </w:pPr>
      <w:r>
        <w:t>b) Formulada demanda contra la anterior resolución administrativa, correspondió conocer de la misma al Juzgado de lo Social núm. 33 de Barcelona (autos núm. 432-2008), el cual, concluso el pleito para Sentencia, dictó providencia el 10 de octubre de 2008 por la que, de conformidad con el art. 35.2 de la Ley Orgánica del Tribunal Constitucional (LOTC), acordó conferir plazo común de diez días a las partes y al Ministerio Fiscal para que alegasen sobre la pertinencia de plantear cuestión de inconstitucionalidad respecto de la disposición adicional tercera de la Ley 40/2007, de 4 de diciembre, por posible vulneración del art. 14 CE, toda vez que el requisito de haber tenido hijos comunes establecido en la citada disposición para causar derecho a pensión de viudedad, cuando el fallecimiento del causante hubiera tenido lugar antes del 1 de enero de 2008, resulta de imposible cumplimiento para las parejas de hecho del mismo sexo si se trata de hijos biológicos y de muy difícil cumplimiento en la práctica si se trata de hijos adoptivos, pues el derecho de las parejas de hecho (heterosexuales u homosexuales) a adoptar sólo se ha reconocido en Cata</w:t>
      </w:r>
      <w:r>
        <w:lastRenderedPageBreak/>
        <w:t xml:space="preserve">luña a partir de la Ley del Parlamento catalán 3/2005, de 8 de abril (de forma que era imposible la adopción si el fallecimiento acaeció con anterioridad, como sucede en el caso enjuiciado). La exigencia del referido requisito, aparentemente neutral, supone así, según el Juzgado, un trato discriminatorio para las parejas de hecho del mismo sexo, por su efecto excluyente de la pensión de viudedad. En fin, el Juzgado invoca la Sentencia del Tribunal de Justicia de la Unión Europea de 1 de abril de 2008, C-267/2006, asunto </w:t>
      </w:r>
      <w:r w:rsidRPr="0026452D">
        <w:rPr>
          <w:i/>
        </w:rPr>
        <w:t>Maruko c. Versorgungsanstalt der deutschen Bühnen</w:t>
      </w:r>
      <w:r>
        <w:t>, que consideró contraria a la Directiva 2000/78/CE la denegación de pensión de viudedad al supérstite de una pareja estable del mismo sexo en situación comparable a la de un cónyuge supérstite beneficiario de esa prestación de seguridad social.</w:t>
      </w:r>
    </w:p>
    <w:p w:rsidR="0026452D" w:rsidRDefault="0026452D" w:rsidP="0026452D">
      <w:pPr>
        <w:pStyle w:val="TextoNormal"/>
      </w:pPr>
    </w:p>
    <w:p w:rsidR="0026452D" w:rsidRDefault="0026452D" w:rsidP="0026452D">
      <w:pPr>
        <w:pStyle w:val="TextoNormal"/>
      </w:pPr>
      <w:r>
        <w:t>c) El Ministerio Fiscal y la representación procesal de don J.M.D.F. manifestaron su opinión favorable al planteamiento de la cuestión de inconstitucionalidad respecto de la disposición adicional tercera de la Ley 40/2007, de 4 de diciembre, por estimar que el requisito de que el causante y el beneficiario hubieran tenido hijos comunes resulta de imposible cumplimiento para las parejas de hecho del mismo sexo, cuando uno de sus miembros falleció antes del año 2005, por lo que se produce una discriminación por razón de la orientación sexual (art. 14 CE).</w:t>
      </w:r>
    </w:p>
    <w:p w:rsidR="0026452D" w:rsidRDefault="0026452D" w:rsidP="0026452D">
      <w:pPr>
        <w:pStyle w:val="TextoNormal"/>
      </w:pPr>
    </w:p>
    <w:p w:rsidR="0026452D" w:rsidRDefault="0026452D" w:rsidP="0026452D">
      <w:pPr>
        <w:pStyle w:val="TextoNormal"/>
      </w:pPr>
      <w:r>
        <w:t>Por su parte, el Letrado de la Administración de la Seguridad Social se opuso al planteamiento de la cuestión, por entender que la disposición adicional tercera de la Ley 40/2007, de 4 de diciembre, en cuanto establece el requisito de la descendencia común para causar pensión de viudedad, no lesiona el art. 14 CE. La exigencia legal de que el causante y el beneficiario hubieran tenido hijos en común para causar derecho a la pensión de viudedad constituye una opción legislativa legítima y de carácter neutro, por cuanto subraya el requisito de estabilidad y notoriedad de la pareja de hecho, y no es un requisito exclusivo ni excluyente para las parejas homosexuales, ya que la falta de este requisito puede darse también en parejas de hecho heterosexuales que no hubieran podido o querido tener descendencia común.</w:t>
      </w:r>
    </w:p>
    <w:p w:rsidR="0026452D" w:rsidRDefault="0026452D" w:rsidP="0026452D">
      <w:pPr>
        <w:pStyle w:val="TextoNormal"/>
      </w:pPr>
    </w:p>
    <w:p w:rsidR="0026452D" w:rsidRDefault="0026452D" w:rsidP="0026452D">
      <w:pPr>
        <w:pStyle w:val="TextoNormal"/>
      </w:pPr>
      <w:r>
        <w:t>A ello añade el Letrado de la Administración de la Seguridad Social que desde la Ley catalana 3/2005, de 8 de abril, es posible en Cataluña la adopción por parejas de hecho, tanto heterosexuales como homosexuales, lo que impide considerar que el dato elegido por el legislador para valorar la especial intensidad o notoriedad de la convivencia y afectividad de la pareja de hecho (haber tenido hijos en común) a efectos del acceso a la pensión de viudedad excepcional que regula la disposición adicional tercera de la Ley 40/2007, de 4 de diciembre, discrimine a las parejas de hecho del mismo sexo.</w:t>
      </w:r>
    </w:p>
    <w:p w:rsidR="0026452D" w:rsidRDefault="0026452D" w:rsidP="0026452D">
      <w:pPr>
        <w:pStyle w:val="TextoNormal"/>
      </w:pPr>
    </w:p>
    <w:p w:rsidR="0026452D" w:rsidRDefault="0026452D" w:rsidP="0026452D">
      <w:pPr>
        <w:pStyle w:val="TextoNormal"/>
      </w:pPr>
      <w:r>
        <w:t xml:space="preserve">Finalmente advierte el Letrado de la Administración de la Seguridad Social, en relación con el principio de igualdad de trato e interdicción de discriminación del Derecho europeo, que las prestaciones de muerte y supervivencia incluidas en los regímenes públicos de Seguridad Social (como es la discutida en el proceso </w:t>
      </w:r>
      <w:r w:rsidRPr="0026452D">
        <w:rPr>
          <w:i/>
        </w:rPr>
        <w:t>a quo</w:t>
      </w:r>
      <w:r>
        <w:t xml:space="preserve">) no están comprendidas en el ámbito de aplicación de la Directiva 2000/78/CE, de 27 de noviembre, relativa al establecimiento de un marco general para el empleo y la ocupación, de acuerdo con la Sentencia del Tribunal Superior de Justicia de la Unión Europea de 1 de abril de 2008, C-267/2006, asunto </w:t>
      </w:r>
      <w:r w:rsidRPr="0026452D">
        <w:rPr>
          <w:i/>
        </w:rPr>
        <w:t>Maruko c. Versorgungsanstalt der deutschen Bühnen</w:t>
      </w:r>
      <w:r>
        <w:t>.</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3</w:t>
      </w:r>
      <w:r>
        <w:t>. Mediante Auto de 11 de noviembre de 2008 el Juzgado de lo Social núm. 33 de Barcelona acordó plantear cuestión de inconstitucionalidad respecto de la disposición adicional tercera de la Ley 40/2007, de 4 de diciembre, en cuanto exige (de forma indiscriminada y sin excepciones) el requisito de haber tenido hijos comunes con el causante para acceder a la prestación de viudedad respecto a hechos causantes anteriores al 1 de enero de 2008, puede infringir el art. 14 CE, al comportar una discriminación en razón de la orientación sexual, en tanto que excluye del acceso a esta prestación a las parejas de hecho del mismo sexo cuando el hecho causante se haya producido antes de la posibilidad legal de adopción (en el ámbito autonómico o estatal que corresponda) y lo limita notablemente, a partir de esta fecha, en comparación con las parejas heterosexuales.</w:t>
      </w:r>
    </w:p>
    <w:p w:rsidR="0026452D" w:rsidRDefault="0026452D" w:rsidP="0026452D">
      <w:pPr>
        <w:pStyle w:val="TextoNormal"/>
      </w:pPr>
    </w:p>
    <w:p w:rsidR="0026452D" w:rsidRDefault="0026452D" w:rsidP="0026452D">
      <w:pPr>
        <w:pStyle w:val="TextoNormal"/>
      </w:pPr>
      <w:r>
        <w:t>El Juzgado fundamenta el planteamiento de la cuestión de inconstitucionalidad en las consideraciones que seguidamente se resumen.</w:t>
      </w:r>
    </w:p>
    <w:p w:rsidR="0026452D" w:rsidRDefault="0026452D" w:rsidP="0026452D">
      <w:pPr>
        <w:pStyle w:val="TextoNormal"/>
      </w:pPr>
    </w:p>
    <w:p w:rsidR="0026452D" w:rsidRDefault="0026452D" w:rsidP="0026452D">
      <w:pPr>
        <w:pStyle w:val="TextoNormal"/>
      </w:pPr>
      <w:r>
        <w:t>a) Por lo que se refiere al juicio de aplicabilidad y relevancia, señala el Juzgado que el fallo a dictar en el proceso depende de la validez de la norma cuestionada, porque, en aplicación de la disposición adicional tercera de la Ley 40/2007, de 4 de diciembre, la demanda debería ser desestimada, por cuanto es exclusivamente el incumplimiento del requisito de “haber tenido hijos comunes” lo que fundamenta la denegación de la prestación de viudedad por parte del INSS, que no ha discutido la concurrencia en el caso de los restantes requisitos exigidos para causar derecho a la pensión. Además, la disposición cuestionada, en el extremo indicado, es la única norma aplicable al caso, dado que es exclusivamente esta norma la que regula, con carácter excepcional, la posibilidad de solicitar la pensión de viudedad respecto de hechos causantes previos a la entrada en vigor de dicha ley (1 de enero de 2008).</w:t>
      </w:r>
    </w:p>
    <w:p w:rsidR="0026452D" w:rsidRDefault="0026452D" w:rsidP="0026452D">
      <w:pPr>
        <w:pStyle w:val="TextoNormal"/>
      </w:pPr>
    </w:p>
    <w:p w:rsidR="0026452D" w:rsidRDefault="0026452D" w:rsidP="0026452D">
      <w:pPr>
        <w:pStyle w:val="TextoNormal"/>
      </w:pPr>
      <w:r>
        <w:t>b) Considera el Juzgado que la disposición adicional tercera de la Ley 40/2007, de 4 de diciembre, en cuanto establece el requisito de la descendencia común para causar derecho a la pensión de viudedad, contraviene el art. 14 CE, sin que sea posible la adecuación de la norma cuestionada al referido precepto constitucional por vía interpretativa, toda vez que el tenor de la citada disposición es claro y categórico, sin margen alguna para otra interpretación que no sea la literal.</w:t>
      </w:r>
    </w:p>
    <w:p w:rsidR="0026452D" w:rsidRDefault="0026452D" w:rsidP="0026452D">
      <w:pPr>
        <w:pStyle w:val="TextoNormal"/>
      </w:pPr>
    </w:p>
    <w:p w:rsidR="0026452D" w:rsidRDefault="0026452D" w:rsidP="0026452D">
      <w:pPr>
        <w:pStyle w:val="TextoNormal"/>
      </w:pPr>
      <w:r>
        <w:t>c) El Juzgado entiende que el precepto legal cuestionado, en el extremo indicado (exigencia de haber tenido hijos en común), establece un requisito de muy difícil o imposible cumplimiento para las parejas de hecho homosexuales y, por ello, comporta un trato desfavorable por causa de la orientación sexual, expresamente prohibido por el art. 14 CE.</w:t>
      </w:r>
    </w:p>
    <w:p w:rsidR="0026452D" w:rsidRDefault="0026452D" w:rsidP="0026452D">
      <w:pPr>
        <w:pStyle w:val="TextoNormal"/>
      </w:pPr>
    </w:p>
    <w:p w:rsidR="0026452D" w:rsidRDefault="0026452D" w:rsidP="0026452D">
      <w:pPr>
        <w:pStyle w:val="TextoNormal"/>
      </w:pPr>
      <w:r>
        <w:t xml:space="preserve">La Ley 40/2007, de 4 de diciembre, modificó el art. 174 de la Ley General de la Seguridad Social (LGSS), que regula la pensión de viudedad, e introdujo una nueva situación protegida: la referida al supérstite de una pareja de hecho que acredite una convivencia con el causante durante al menos los cinco años anteriores al fallecimiento y dependencia económica. Por otra parte, la disposición adicional tercera de la Ley 40/2007, bajo el título “pensión de viudedad en supuestos especiales”, establece, con carácter excepcional, que también podrá solicitarse dicha pensión en aquellos supuestos en los que el hecho causante se haya producido con anterioridad a su entrada en vigor (1 de enero de 2008), siempre que, además de los requisitos generales de alta y cotización establecidos en el art. 174.1 LGSS, concurran las siguientes circunstancias: que a la muerte del causante no se hubiera podido causar derecho a la pensión de viudedad; que se acredite una convivencia ininterrumpida durante al </w:t>
      </w:r>
      <w:r>
        <w:lastRenderedPageBreak/>
        <w:t>menos los seis años anteriores al fallecimiento; que el beneficiario no tenga reconocida otra prestación contributiva de la Seguridad Social; y “que el causante y el beneficiario hubieran tenido hijos comunes”.</w:t>
      </w:r>
    </w:p>
    <w:p w:rsidR="0026452D" w:rsidRDefault="0026452D" w:rsidP="0026452D">
      <w:pPr>
        <w:pStyle w:val="TextoNormal"/>
      </w:pPr>
    </w:p>
    <w:p w:rsidR="0026452D" w:rsidRDefault="0026452D" w:rsidP="0026452D">
      <w:pPr>
        <w:pStyle w:val="TextoNormal"/>
      </w:pPr>
      <w:r>
        <w:t>El Tribunal Constitucional ha reiterado en múltiples ocasiones que la diferenciación normativa entre sujetos debida a una sucesión legislativa no puede considerarse, por sí misma, generadora de trato desigual o discriminación, por lo que la norma que protege una nueva situación puede no tener efecto retroactivo alguno, limitando su aplicación a las nuevas situaciones que se generen después de la entrada en vigor, o restringir dicha aplicación retroactiva a determinados supuestos. A la luz de esta doctrina es legítima la opción del legislador de restringir la “eficacia retroactiva” de la nueva prestación a determinados supuestos, añadiendo más requisitos a los establecidos con carácter general para la nueva prestación (o alterándolos, al sustituir el requisito de la dependencia económica del causante por el haber tenido hijos comunes). Pero dichos requisitos deben ser congruentes con la finalidad de la prestación y en tal sentido no parece lógico ni razonable el requisito inexcusable de la descendencia común, que no responde ni a la que tradicionalmente se ha entendido como finalidad de la pensión de viudedad (resarcir el daño que produce la disminución de ingresos provocada por la muerte del cónyuge) ni a la finalidad de la nueva prestación establecida en el art. 174.3 LGSS para las parejas de hecho (proteger a los supérstites en situación de dependencia económica), pues la protección de los hijos, en su caso, ya es objeto de otra prestación específica (pensión de orfandad).</w:t>
      </w:r>
    </w:p>
    <w:p w:rsidR="0026452D" w:rsidRDefault="0026452D" w:rsidP="0026452D">
      <w:pPr>
        <w:pStyle w:val="TextoNormal"/>
      </w:pPr>
    </w:p>
    <w:p w:rsidR="0026452D" w:rsidRDefault="0026452D" w:rsidP="0026452D">
      <w:pPr>
        <w:pStyle w:val="TextoNormal"/>
      </w:pPr>
      <w:r>
        <w:t>Estamos, en suma, ante la exigencia de un requisito aparentemente “neutral” (haber tenido hijos comunes) que, sin embargo, tiene un efecto excluyente de la nueva pensión para las parejas de hecho del mismo sexo, dada la imposibilidad biológica de tener hijos en común y la imposibilidad legal de su adopción en común hasta fechas muy recientes, como sucede en el caso enjuiciado, en el que la defunción del causante se produjo antes de la entrada en vigor de la Ley por la que se autorizó la adopción en común a las parejas de hecho del mismo sexo (Ley catalana 3/2005, de 8 de abril). Pudiera erigirse así el referido requisito, según el Juzgado, en un factor de discriminación prohibido por el art. 14 CE, ya se entienda como “directa”, al exigirse para causar derecho a la pensión un requisito que se sabe es de imposible o muy difícil cumplimiento, o como “indirecta”, por cuanto, aunque —como parece obvio— el legislador no tuviera tal intencionalidad de exclusión, su impacto negativo en las parejas de hecho homosexuales es evidente.</w:t>
      </w:r>
    </w:p>
    <w:p w:rsidR="0026452D" w:rsidRDefault="0026452D" w:rsidP="0026452D">
      <w:pPr>
        <w:pStyle w:val="TextoNormal"/>
      </w:pPr>
    </w:p>
    <w:p w:rsidR="0026452D" w:rsidRDefault="0026452D" w:rsidP="0026452D">
      <w:pPr>
        <w:pStyle w:val="TextoNormal"/>
      </w:pPr>
      <w:r>
        <w:t>Si el legislador, con la reforma introducida por la Ley 40/2007, ha incorporado en la protección de la pensión de viudedad a las parejas de hecho —sin llegar a equipararlas a los matrimonios— y lo ha hecho sin distinción alguna (como no podía ser de otro modo) en cuanto a la orientación sexual de sus integrantes, la legítima opción de proteger (excepcional y restrictivamente) algunas situaciones anteriores a la entrada en vigor de la Ley 40/2007 no puede hacerse mediante un requisito que sí reproduzca nuevamente dicha distinción. Por más que pueda entenderse y justificarse técnicamente la exigencia de los “hijos en común” como indicador de la especial intensidad de la “análoga relación de afectividad a la conyugal” e incluso de la interdependencia económica de la pareja a proteger, es el carácter exclusivo de tal indicador (sin posibilidad de medios alternativos para acreditar aquellas circunstancias) lo que pudiera generar el efecto discriminatorio respecto de las parejas de hecho homosexuales.</w:t>
      </w:r>
    </w:p>
    <w:p w:rsidR="0026452D" w:rsidRDefault="0026452D" w:rsidP="0026452D">
      <w:pPr>
        <w:pStyle w:val="TextoNormal"/>
      </w:pPr>
    </w:p>
    <w:p w:rsidR="0026452D" w:rsidRDefault="0026452D" w:rsidP="0026452D">
      <w:pPr>
        <w:pStyle w:val="TextoNormal"/>
      </w:pPr>
      <w:r>
        <w:lastRenderedPageBreak/>
        <w:t xml:space="preserve">Por otra parte, no cabe entender que la discriminación no la habría generado la exigencia del requisito de tener hijos en común de la disposición cuestionada sino la normativa que no permitió hasta fechas recientes (en Cataluña desde el año 2005) la posibilidad de adopción en común a las parejas del mismo sexo: si el legislador establece </w:t>
      </w:r>
      <w:r w:rsidRPr="0026452D">
        <w:rPr>
          <w:i/>
        </w:rPr>
        <w:t>ex novo</w:t>
      </w:r>
      <w:r>
        <w:t>, a partir de 1 de enero de 2008, el derecho a la prestación de viudedad de las parejas de hecho sin distinción en razón de la orientación sexual, no puede —a fin de acotar el ámbito personal de la retroactividad de la reforma— imponer un requisito aparentemente “neutral” a sabiendas de que, en razón de la imposibilidad biológica y del marco legal existente hasta 2005, ello va a excluir a un colectivo en razón precisamente de su orientación sexual. Y la orientación sexual, si bien no aparece expresamente mencionada en el art. 14 CE como uno de los concretos supuestos en que queda prohibido un trato discriminatorio, es indudablemente una circunstancia incluida en la cláusula “cualquier otra condición o circunstancia personal o social”, a la que debe ser referida la interdicción de la discriminación del art. 14 CE, como señala la STC 41/2006, de 13 de febrero.</w:t>
      </w:r>
    </w:p>
    <w:p w:rsidR="0026452D" w:rsidRDefault="0026452D" w:rsidP="0026452D">
      <w:pPr>
        <w:pStyle w:val="TextoNormal"/>
      </w:pPr>
    </w:p>
    <w:p w:rsidR="0026452D" w:rsidRDefault="0026452D" w:rsidP="0026452D">
      <w:pPr>
        <w:pStyle w:val="TextoNormal"/>
      </w:pPr>
      <w:r>
        <w:t xml:space="preserve">d) Por último, el Juzgado invoca en apoyo de su duda de constitucionalidad la ya citada Sentencia del Tribunal de Justicia de la Unión Europea de 1 de abril de 2008, C-267/2006, asunto </w:t>
      </w:r>
      <w:r w:rsidRPr="0026452D">
        <w:rPr>
          <w:i/>
        </w:rPr>
        <w:t>Maruko c. Versorgungsanstalt der deutschen Bühnen</w:t>
      </w:r>
      <w:r>
        <w:t>, que consideró contraria a la Directiva 2000/78/CE, del Consejo, de 27 de noviembre de 2000, relativa al establecimiento de un marco general para la igualdad de trato en el empleo y la ocupación, la denegación de pensión de viudedad al supérstite de una pareja estable del mismo sexo en situación comparable a la de un cónyuge supérstite beneficiario de esa misma prestación de seguridad social. Y señala asimismo que el hecho de que el legislador europeo no haya elaborado todavía una norma-marco para la igualdad y no discriminación en materia de Seguridad Social, incluida la derivada de la orientación sexual, no puede comportar, en ningún caso, que los órganos jurisdiccionales de los Estados miembros no deban velar por la tutela de dicha garantía constitucional fundamental también en dicho ámbito.</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16 de marzo de 2009 el Pleno, a propuesta de la Sección Primera de este Tribunal, acordó admitir a trámite la cuestión de inconstitucionalidad y, de conformidad con lo dispuesto en el art. 10.1 c) LOTC, en la redacción dada por la Ley Orgánica 6/2007, de 24 de mayo, reservarse para sí el conocimiento de la cuestión.</w:t>
      </w:r>
    </w:p>
    <w:p w:rsidR="0026452D" w:rsidRDefault="0026452D" w:rsidP="0026452D">
      <w:pPr>
        <w:pStyle w:val="TextoNormal"/>
      </w:pPr>
    </w:p>
    <w:p w:rsidR="0026452D" w:rsidRDefault="0026452D" w:rsidP="0026452D">
      <w:pPr>
        <w:pStyle w:val="TextoNormal"/>
      </w:pPr>
      <w:r>
        <w:t>Asimismo acordó dar traslado de las actuaciones, conforme dispone el art. 37.2 LOTC, al Congreso de los Diputados y al Senado, por conducto de sus Presidentes, al Gobierno de la Nación, por conducto del Ministerio de Justicia, y al Fiscal General del Estado, al objeto de que en plazo de quince días pudieran personarse en el proceso y formular alegaciones.</w:t>
      </w:r>
    </w:p>
    <w:p w:rsidR="0026452D" w:rsidRDefault="0026452D" w:rsidP="0026452D">
      <w:pPr>
        <w:pStyle w:val="TextoNormal"/>
      </w:pPr>
    </w:p>
    <w:p w:rsidR="0026452D" w:rsidRDefault="0026452D" w:rsidP="0026452D">
      <w:pPr>
        <w:pStyle w:val="TextoNormal"/>
      </w:pPr>
      <w:r>
        <w:t xml:space="preserve">También acordó comunicar esta providencia al Juzgado de lo Social núm. 33 de Barcelona a fin de que, en virtud de lo dispuesto en el art. 35.3 LOTC, permanezca suspendido el proceso </w:t>
      </w:r>
      <w:r w:rsidRPr="0026452D">
        <w:rPr>
          <w:i/>
        </w:rPr>
        <w:t>a quo</w:t>
      </w:r>
      <w:r>
        <w:t xml:space="preserve"> hasta que resuelva definitivamente la cuestión por este Tribunal, y publicar la incoación de la cuestión en el “Boletín Oficial del Estado”, publicación que tuvo lugar el 30 de marzo de 2009.</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El Presidente del Congreso de los Diputados, mediante escrito registrado en este Tribunal el día 31 de marzo de 2009, comunicó que la Cámara ha adoptado el acuerdo de personarse en el proceso, ofreciendo su colaboración a los efectos del art. 88.1 LOTC. El Presidente del Senado, mediante escrito registrado en este Tribunal el día 7 de abril de 2009, </w:t>
      </w:r>
      <w:r>
        <w:lastRenderedPageBreak/>
        <w:t>comunicó a su vez que dicha Cámara ha adoptado el acuerdo de personarse en el proceso, ofreciendo asimismo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6</w:t>
      </w:r>
      <w:r>
        <w:t>. Mediante escrito registrado en este Tribunal el 14 de abril de 2009 el Abogado del Estado se personó en el presente proceso constitucional y formuló las alegaciones que seguidamente se resumen, solicitando que se dicte Sentencia desestimatoria de la cuestión de inconstitucionalidad planteada.</w:t>
      </w:r>
    </w:p>
    <w:p w:rsidR="0026452D" w:rsidRDefault="0026452D" w:rsidP="0026452D">
      <w:pPr>
        <w:pStyle w:val="TextoNormal"/>
      </w:pPr>
    </w:p>
    <w:p w:rsidR="0026452D" w:rsidRDefault="0026452D" w:rsidP="0026452D">
      <w:pPr>
        <w:pStyle w:val="TextoNormal"/>
      </w:pPr>
      <w:r>
        <w:t>Señala el Abogado del Estado que una de las novedades más relevantes de la Ley 40/2007, de 4 de diciembre, de medidas en materia de Seguridad Social, es la de reconocer, con determinadas condiciones, el derecho a la pensión de viudedad de los supérstites de parejas de hecho (art. 174.3 LGSS, en la redacción resultante del art. 5 de la Ley 40/2007), sin establecer la plena equiparación entre las parejas matrimoniales y las de hecho a los efectos de esta prestación.</w:t>
      </w:r>
    </w:p>
    <w:p w:rsidR="0026452D" w:rsidRDefault="0026452D" w:rsidP="0026452D">
      <w:pPr>
        <w:pStyle w:val="TextoNormal"/>
      </w:pPr>
    </w:p>
    <w:p w:rsidR="0026452D" w:rsidRDefault="0026452D" w:rsidP="0026452D">
      <w:pPr>
        <w:pStyle w:val="TextoNormal"/>
      </w:pPr>
      <w:r>
        <w:t>En este marco legal, la disposición adicional tercera de la Ley 40/2007 contiene una norma retroactiva favorable, puesto que, “con carácter excepcional”, reconoce el derecho a la pensión de viudedad a los supérstites de parejas de hecho cuando el fallecimiento del causante se hubiere producido antes de la entrada en vigor de la Ley 40/2007 (esto es, por hechos causantes anteriores al 1 de enero de 2008), siempre que se cumplan los requisitos exigidos en la referida disposición, entre ellos el establecido en la letra c), que establece la exigencia de “que el causante y el beneficiario hubieran tenido hijos comunes”. Del Auto de planteamiento se infiere que no se cuestiona en su integridad la disposición adicional tercera de la Ley 40/2007, sino exclusivamente la letra c) de la misma.</w:t>
      </w:r>
    </w:p>
    <w:p w:rsidR="0026452D" w:rsidRDefault="0026452D" w:rsidP="0026452D">
      <w:pPr>
        <w:pStyle w:val="TextoNormal"/>
      </w:pPr>
    </w:p>
    <w:p w:rsidR="0026452D" w:rsidRDefault="0026452D" w:rsidP="0026452D">
      <w:pPr>
        <w:pStyle w:val="TextoNormal"/>
      </w:pPr>
      <w:r>
        <w:t xml:space="preserve">Para el Abogado del Estado la circunstancia de que se cuestione una norma excepcional que da efecto retroactivo, aunque limitado, a una ampliación de beneficiarios de la pensión de viudedad, resulta determinante para la resolución del asunto, pues cuando se trata de normas que dotan de eficacia retroactiva a normas que amplían la acción protectora de la Seguridad Social el margen de libertad de configuración del legislador es muy amplio. El legislador podría haberse limitado (sin incurrir por ello en tacha de inconstitucionalidad alguna) a extender el derecho a la pensión de viudedad a los supérstites de parejas de hecho cuando el hecho causante hubiere producido tras la entrada en vigor de la Ley 40/2007. Sin embargo, ha decidido extender de forma excepcional este derecho a hechos causantes acaecidos con anterioridad, si bien con sujeción a unos requisitos determinados, entre ellos el relativo a “que el causante y el beneficiario hubieran tenido hijos comunes”, regulación que no puede considerarse en modo alguno lesiva del art. 14 CE. En el propio Auto de planteamiento se acepta que la norma cuestionada carece de finalidad discriminatoria directa y que está redactada de manera neutral en relación con la orientación sexual de la pareja de hecho. Sin embargo, se sostiene en el Auto que la norma puede incurrir en discriminación indirecta de un grupo social, las parejas de hecho del mismo sexo, al exigirse para causar derecho a la pensión de viudedad en este supuesto un requisito de imposible o muy difícil cumplimiento (haber tenido hijos en común). A juicio del Abogado del Estado tal argumento es insostenible, porque la interdicción de las discriminaciones indirectas es una técnica al servicio de la promoción de los grupos desfavorecidos y, por ello, sólo tiene sentido aplicarla en normas que deben regir </w:t>
      </w:r>
      <w:r w:rsidRPr="0026452D">
        <w:rPr>
          <w:i/>
        </w:rPr>
        <w:t>pro futuro</w:t>
      </w:r>
      <w:r>
        <w:t>, nunca en una norma como la cuestionada, cuya aplicación se proyecta de forma retroactiva sobre hechos causantes acaecidos con anterioridad a su entrada en vigor, de forma inmutable.</w:t>
      </w:r>
    </w:p>
    <w:p w:rsidR="0026452D" w:rsidRDefault="0026452D" w:rsidP="0026452D">
      <w:pPr>
        <w:pStyle w:val="TextoNormal"/>
      </w:pPr>
    </w:p>
    <w:p w:rsidR="0026452D" w:rsidRDefault="0026452D" w:rsidP="0026452D">
      <w:pPr>
        <w:pStyle w:val="TextoNormal"/>
      </w:pPr>
      <w:r>
        <w:t>El requisito —letra c) de la disposición adicional tercera de la Ley 40/2007— de “que el causante y el beneficiario hubieran tenido hijos comunes” para tener derecho a la pensión de viudedad, cuando el hecho causante se hubiere producido antes de la entrada en vigor de la Ley 40/2007, no tiene en cuenta la orientación sexual de la pareja de hecho como factor del excepcional acceso retroactivo a la pensión, pudiendo afectar tanto a parejas heterosexuales como homosexuales, y su finalidad parece obedecer al entendimiento de que la existencia de hijos comunes evidencia la existencia de una situación de pareja real, estable y notoria, eliminando así de raíz el riesgo de fraude.</w:t>
      </w:r>
    </w:p>
    <w:p w:rsidR="0026452D" w:rsidRDefault="0026452D" w:rsidP="0026452D">
      <w:pPr>
        <w:pStyle w:val="TextoNormal"/>
      </w:pPr>
    </w:p>
    <w:p w:rsidR="0026452D" w:rsidRDefault="0026452D" w:rsidP="0026452D">
      <w:pPr>
        <w:pStyle w:val="TextoNormal"/>
      </w:pPr>
      <w:r>
        <w:t>Que las parejas homosexuales tuvieran mayor dificultad de cumplir este requisito en comparación con las parejas heterosexuales (dada la imposibilidad biológica de que las parejas homosexuales tengan hijos entre sí y la imposibilidad legal de su adopción en común hasta fecha muy reciente, como sucede en este caso, en el que la defunción del causante es anterior a la fecha a partir de la cual se autorizó en Cataluña, por Ley 3/2005, de 8 de abril) no resulta, según el Abogado del Estado, un argumento convincente para fundamentar la presunta inconstitucionalidad de la norma cuestionada, por tratarse de una norma retroactiva que se refiere a hechos causantes que tuvieron lugar en el pasado. La decisión de tener o no hijos la tomaron las parejas de hecho heterosexuales y homosexuales con abstracción de las reglas de acceso a la pensión de viudedad, precisamente porque entonces era tan imprevisible tanto para un tipo de parejas como para el otro que la circunstancia de contar con hijos comunes pudiera convertirse en un requisito para acceder a la pensión de viudedad en virtud de una norma futura a la que el legislador daría eficacia retroactiva. Por otra parte, no existen razones demostradas para afirmar taxativamente que el requisito de cuya constitucionalidad se duda tenga mayor incidencia en las parejas homosexuales que en las heterosexuales estériles del conjunto de parejas de hecho en las que uno de sus miembros hubiera fallecido antes de 1 de enero de 2008. Y es que, a juicio del Abogado del Estado, la diferencia de trato que introduce la norma cuestionada no reposa ni directa ni indirectamente en la orientación sexual, sino en la existencia o inexistencia de descendencia común biológica o adoptiva. Es decir, no se plantea un problema de prohibición de discriminaciones, sino de cláusula general de igualdad.</w:t>
      </w:r>
    </w:p>
    <w:p w:rsidR="0026452D" w:rsidRDefault="0026452D" w:rsidP="0026452D">
      <w:pPr>
        <w:pStyle w:val="TextoNormal"/>
      </w:pPr>
    </w:p>
    <w:p w:rsidR="0026452D" w:rsidRDefault="0026452D" w:rsidP="0026452D">
      <w:pPr>
        <w:pStyle w:val="TextoNormal"/>
      </w:pPr>
      <w:r>
        <w:t>Examinada la norma cuestionada desde la perspectiva de la cláusula general de igualdad del art. 14 CE, el Abogado del Estado considera que la diferencia de trato que el requisito que la letra c) de la disposición adicional tercera de la Ley 40/2007 establece entre parejas de hecho (heterosexuales y homosexuales) con hijos comunes y parejas de hecho (heterosexuales y homosexuales) sin hijos comunes se basa en una finalidad objetiva, legítima y razonable, como es la de limitar la eficacia retroactiva del derecho a pensión a parejas de hecho de existencia indiscutible, para evitar abusos y fraudes, lo que resulta adecuado para garantizar la equidad, eficiencia y economía del gasto público en materia de pensiones públicas dentro de lo financieramente posible en cada momento (art. 31.2 CE), y es coherente con los mandatos del art. 39 CE. Además, las consecuencias jurídicas que resultan de esa diferenciación no pueden tacharse de desproporcionadas, pues, siendo los recursos financieros limitados, se trata de concentrar la excepcional protección dispensada por la disposición adicional tercera de la Ley 40/2007 en los casos de supervivientes de parejas de hecho con hijos comunes, por ser el indicador (la existencia de huérfanos) que hace más acusada la situación de necesidad y demanda mayor protección social.</w:t>
      </w:r>
    </w:p>
    <w:p w:rsidR="0026452D" w:rsidRDefault="0026452D" w:rsidP="0026452D">
      <w:pPr>
        <w:pStyle w:val="TextoNormal"/>
      </w:pPr>
    </w:p>
    <w:p w:rsidR="0026452D" w:rsidRDefault="0026452D" w:rsidP="0026452D">
      <w:pPr>
        <w:pStyle w:val="TextoNormal"/>
      </w:pPr>
      <w:r>
        <w:lastRenderedPageBreak/>
        <w:t xml:space="preserve">Señala por último el Abogado del Estado que la referencia del Auto de planteamiento a la Directiva 2000/78/CE, del Consejo, de 27 de noviembre de 2000, relativa al establecimiento de un marco general para la igualdad de trato en el empleo y la ocupación no resulta relevante para resolver la presente cuestión. Y no ya porque sea ajeno a la jurisdicción del Tribunal Constitucional controlar la compatibilidad de la Ley 40/2007 con el Derecho europeo (por todas, SSTC 64/1991, de 22 de marzo; 58/2004, de 19 de abril, y 329/2005, de 15 de diciembre), sino porque el art. 3.3 de dicha Directiva excluye de su ámbito de aplicación los pagos de cualquier tipo efectuados por los regímenes públicos de seguridad social, como lo confirma la propia Sentencia del Tribunal Superior de Justicia de la Unión Europea de 1 de abril de 2008, asunto C-267/2006, </w:t>
      </w:r>
      <w:r w:rsidRPr="0026452D">
        <w:rPr>
          <w:i/>
        </w:rPr>
        <w:t>Maruko c. Versorgungsanstalt der deutschen Bühnen</w:t>
      </w:r>
      <w:r>
        <w:t xml:space="preserve"> que se invoca en el Auto de planteamiento de la presente cuestión.</w:t>
      </w:r>
    </w:p>
    <w:p w:rsidR="0026452D" w:rsidRDefault="0026452D" w:rsidP="0026452D">
      <w:pPr>
        <w:pStyle w:val="TextoNormal"/>
      </w:pPr>
    </w:p>
    <w:p w:rsidR="0026452D" w:rsidRDefault="0026452D" w:rsidP="0026452D">
      <w:pPr>
        <w:pStyle w:val="TextoNormal"/>
      </w:pPr>
      <w:r w:rsidRPr="0026452D">
        <w:rPr>
          <w:rStyle w:val="NumeroAFNegritaCaracter"/>
        </w:rPr>
        <w:t>7</w:t>
      </w:r>
      <w:r>
        <w:t>. El Fiscal General del Estado presentó su escrito de alegaciones ante este Tribunal con fecha 8 de mayo de 2009, interesando la desestimación de la presente cuestión.</w:t>
      </w:r>
    </w:p>
    <w:p w:rsidR="0026452D" w:rsidRDefault="0026452D" w:rsidP="0026452D">
      <w:pPr>
        <w:pStyle w:val="TextoNormal"/>
      </w:pPr>
    </w:p>
    <w:p w:rsidR="0026452D" w:rsidRDefault="0026452D" w:rsidP="0026452D">
      <w:pPr>
        <w:pStyle w:val="TextoNormal"/>
      </w:pPr>
      <w:r>
        <w:t>Advierte el Fiscal General del Estado que la duda de constitucionalidad que le suscita al Juzgado promotor de la cuestión el requisito contenido en la letra c) de la disposición adicional tercera de la Ley 40/2007, de 4 de diciembre, “que el causante y el beneficiario hubieran tenido hijos comunes” para tener derecho a la pensión de viudedad, cuando el hecho causante se hubiere producido antes de la entrada en vigor de la Ley 40/2007 (1 de enero de 2008), se refiere a la diferencia de trato que se establece entre las parejas de hecho heterosexuales y homosexuales, dada la imposibilidad biológica de que las parejas homosexuales tengan hijos entre sí y la imposibilidad legal de su adopción conjunta hasta fechas muy recientes, pues la adopción conjunta por unión entre personas del mismo sexo se permitió en Cataluña por Ley 3/2005, de 8 de abril (que entró en vigor el 9 de mayo), y con carácter general para el Derecho común en virtud de la Ley 13/2005, de 1 de julio (que entró en vigor el 3 de julio). Por tanto, la discriminación que se apunta en el Auto de planteamiento se produciría hasta la entrada en vigor de dichas Leyes, pero no en el periodo que transcurre entre la entrada en vigor de las mismas y la de entrada en vigor de la Ley 40/2007 (1 de enero de 2008), pues en ese periodo la posibilidad de tener hijos comunes —por adopción— las parejas del mismo sexo resulta ya efectiva.</w:t>
      </w:r>
    </w:p>
    <w:p w:rsidR="0026452D" w:rsidRDefault="0026452D" w:rsidP="0026452D">
      <w:pPr>
        <w:pStyle w:val="TextoNormal"/>
      </w:pPr>
    </w:p>
    <w:p w:rsidR="0026452D" w:rsidRDefault="0026452D" w:rsidP="0026452D">
      <w:pPr>
        <w:pStyle w:val="TextoNormal"/>
      </w:pPr>
      <w:r>
        <w:t>Por otra parte, a partir del 1 de enero de 2008 carece ya de aplicabilidad la norma de naturaleza temporal contenida en la disposición adicional tercera de la Ley 40/2007 que se cuestiona y que contiene una regulación de carácter excepcional y eficacia retroactiva, pues los hechos causantes acaecidos a partir de la fecha indicada generarán, en su caso, el derecho a pensión de viudedad para las parejas de hecho en los términos establecidos en el art. 174.3 LGSS, conforme a la redacción dada al mismo por el art. 5.3 de la Ley 40/2007.</w:t>
      </w:r>
    </w:p>
    <w:p w:rsidR="0026452D" w:rsidRDefault="0026452D" w:rsidP="0026452D">
      <w:pPr>
        <w:pStyle w:val="TextoNormal"/>
      </w:pPr>
    </w:p>
    <w:p w:rsidR="0026452D" w:rsidRDefault="0026452D" w:rsidP="0026452D">
      <w:pPr>
        <w:pStyle w:val="TextoNormal"/>
      </w:pPr>
      <w:r>
        <w:t xml:space="preserve">Teniendo en cuenta estas premisas, señala el Fiscal General del Estado que la duda de constitucionalidad que plantea el Juzgado promotor de la cuestión en relación con el requisito contenido en la letra c) de la disposición adicional tercera de la Ley 40/2007 (tener hijos en común) descansa en la pretendida discriminación indirecta por razón de la orientación sexual que la norma cuestionada ocasionaría a las parejas de hecho del mismo sexo, pues aunque la norma esté formulada de manera neutra (se aplica tanto a las parejas de hecho heterosexuales como a las homosexuales), perjudica a las parejas homosexuales, dada la imposibilidad biológica de que tengan hijos entre sí y la imposibilidad legal de su adopción </w:t>
      </w:r>
      <w:r>
        <w:lastRenderedPageBreak/>
        <w:t>conjunta hasta la entrada en vigor en las referidas fechas de 2005 de la Ley catalana 3/2005, y de la Ley estatal 13/2005.</w:t>
      </w:r>
    </w:p>
    <w:p w:rsidR="0026452D" w:rsidRDefault="0026452D" w:rsidP="0026452D">
      <w:pPr>
        <w:pStyle w:val="TextoNormal"/>
      </w:pPr>
    </w:p>
    <w:p w:rsidR="0026452D" w:rsidRDefault="0026452D" w:rsidP="0026452D">
      <w:pPr>
        <w:pStyle w:val="TextoNormal"/>
      </w:pPr>
      <w:r>
        <w:t>Recuerda el Fiscal General del Estado que la jurisprudencia constitucional ha declarado reiteradamente que el distinto tratamiento que el legislador venía dispensando a los matrimonios y a las uniones de hecho a efectos del derecho a la pensión de viudedad no conculcaba el art. 14 CE, habiendo declarado asimismo que era constitucionalmente legítimo otorgar al matrimonio, a tenor de lo dispuesto en el art. 32.1 CE, un trato más favorable que a las relaciones de hecho. La nueva regulación que se establece por la Ley 40/2007 extiende el derecho a la pensión de viudedad a las parejas de hecho, si bien no en igualdad de condiciones con las uniones matrimoniales, sino con sujeción a determinados requisitos. Ciertamente, para hechos causantes acaecidos a partir de su entrada en vigor la pensión de viudedad se reconoce al supérstite de una pareja de hecho con independencia de que hubieran tenido hijos en común, siendo lo determinante la situación económica del superviviente (art. 174.3 LGSS), a diferencia de lo que sucede cuando se trata de hechos causantes acaecidos con anterioridad a la entrada en vigor de la Ley 40/2007, supuesto excepcional en el que para reconocer el derecho a la pensión de viudedad al supérstite de una pareja de hecho se exige como requisito inexcusable haber tenido hijos en común con el causante (disposición adicional tercera de la Ley 40/2007).</w:t>
      </w:r>
    </w:p>
    <w:p w:rsidR="0026452D" w:rsidRDefault="0026452D" w:rsidP="0026452D">
      <w:pPr>
        <w:pStyle w:val="TextoNormal"/>
      </w:pPr>
    </w:p>
    <w:p w:rsidR="0026452D" w:rsidRDefault="0026452D" w:rsidP="0026452D">
      <w:pPr>
        <w:pStyle w:val="TextoNormal"/>
      </w:pPr>
      <w:r>
        <w:t>Para el Fiscal General del Estado, el diferente régimen jurídico establecido por el legislador para causar derecho a la pensión de viudedad las parejas de hecho en función de que se trate de hechos causantes acaecidos tras la entrada en vigor de la Ley 40/2007 o con anterioridad, se explica, por un lado, por el propio fundamento que ofrece la excepcionalidad de la norma retroactiva contenida en la disposición adicional tercera de la Ley 40/2007, y de otro por la peculiar naturaleza mixta de la pensión de viudedad para las uniones de hecho que se establece en la nueva redacción del art. 174.3 LGSS, y que considera más dignas de protección aquellas situaciones en las que existen cargas familiares.</w:t>
      </w:r>
    </w:p>
    <w:p w:rsidR="0026452D" w:rsidRDefault="0026452D" w:rsidP="0026452D">
      <w:pPr>
        <w:pStyle w:val="TextoNormal"/>
      </w:pPr>
    </w:p>
    <w:p w:rsidR="0026452D" w:rsidRDefault="0026452D" w:rsidP="0026452D">
      <w:pPr>
        <w:pStyle w:val="TextoNormal"/>
      </w:pPr>
      <w:r>
        <w:t>La naturaleza excepcional de la pensión reconocida por la disposición adicional tercera de la Ley 40/2007 pretende evitar una súbita acumulación de reclamaciones de pensiones basadas en hechos pretéritos cuya acreditación puede resultar especialmente dudosa, y por ello susceptible de peticiones fraudulentas, habida cuenta la relativa novedad de los registros municipales de uniones de hechos. El requisito de haber tenido hijos en común aparece así como un razonable indicador de la realidad de la previa y efectiva convivencia.</w:t>
      </w:r>
    </w:p>
    <w:p w:rsidR="0026452D" w:rsidRDefault="0026452D" w:rsidP="0026452D">
      <w:pPr>
        <w:pStyle w:val="TextoNormal"/>
      </w:pPr>
    </w:p>
    <w:p w:rsidR="0026452D" w:rsidRDefault="0026452D" w:rsidP="0026452D">
      <w:pPr>
        <w:pStyle w:val="TextoNormal"/>
      </w:pPr>
      <w:r>
        <w:t>Por otra parte, la Ley 40/2007 dota de naturaleza mixta a la pensión de viudedad para las uniones de hecho que se establece para hechos causantes acaecidos tras su entrada en vigor, de forma que la existencia o no de hijos comunes con derecho a pensión determinante se erige en factor decisivo para determinar el nivel de ingresos económicos que el supérstite no puede superar para tener derecho a la pensión de viudedad (art. 174.3 LGSS). La existencia de hijos comunes no tiene así como finalidad exclusiva la de indicar una convivencia previa entre los miembros de la pareja de hecho, sino que también sirve para identificar una concreta situación de necesidad merecedora de mayor protección.</w:t>
      </w:r>
    </w:p>
    <w:p w:rsidR="0026452D" w:rsidRDefault="0026452D" w:rsidP="0026452D">
      <w:pPr>
        <w:pStyle w:val="TextoNormal"/>
      </w:pPr>
    </w:p>
    <w:p w:rsidR="0026452D" w:rsidRDefault="0026452D" w:rsidP="0026452D">
      <w:pPr>
        <w:pStyle w:val="TextoNormal"/>
      </w:pPr>
      <w:r>
        <w:t xml:space="preserve">Resulta así justificado para el Fiscal General del Estado que el legislador haya decidido diferenciar dos situaciones perfectamente deslindables y que obedecen a distintas razones: de una parte, la de los hechos causantes acaecidos tras la entrada en vigor de la Ley 40/2007, </w:t>
      </w:r>
      <w:r>
        <w:lastRenderedPageBreak/>
        <w:t>en cuyo caso, y contándose como medios documentales útiles para verificar la convivencia (registros municipales o similares), se reconoce una pensión de viudedad, cuya obtención se hace más difícil de no tener hijos comunes, en atención al diferente nivel de ingresos exigido; de otra, los hechos causantes acaecidos con anterioridad a la entrada en vigor de la Ley 40/2007, para los que, dadas las dificultades de acreditar documentalmente la realidad de las antiguas situaciones de convivencia, se reconoce excepcionalmente una pensión de viudedad siempre que existieran hijos comunes, indicador objetivo que demuestra la estabilidad de la pareja de hecho. Existe, por tanto, una justificación objetiva y razonable no sólo de la diferencia de trato entre los hechos causantes anteriores y posteriores a la entrada en vigor de la Ley 40/2007, sino también entre las uniones de hecho heterosexuales y homosexuales (cuando uno de los miembros de la pareja falleció antes de la entrada en vigor de la Ley 40/2007), pues en tal caso el reconocimiento de la pensión vendrá justificado exclusivamente por la necesidad de contribuir al levantamiento de las cargas familiares, esto es, por existir hijos comunes, ya que de no existir éstos no se tiene derecho a la pensión, con el fin de minimizar el impacto económico en los fondos de la Seguridad Social que podrían causar reclamaciones basadas en supuestas pretéritas situaciones de convivencia de dudosa probanza.</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12 de febrero de 2013 se acordó señalar para deliberación y votación de la presente Sentencia el día 14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Juzgado de lo Social núm. 33 de Barcelona plantea cuestión de inconstitucionalidad respecto de la disposición adicional tercera de la Ley 40/2007, de 4 de diciembre, de medidas en materia de Seguridad Social, por entender que pudiera ser contrario al art. 14 CE. Dicha disposición, bajo el epígrafe “Pensión de viudedad en supuestos especiales”, establece lo siguiente:</w:t>
      </w:r>
    </w:p>
    <w:p w:rsidR="0026452D" w:rsidRDefault="0026452D" w:rsidP="0026452D">
      <w:pPr>
        <w:pStyle w:val="TextoNormal"/>
      </w:pPr>
    </w:p>
    <w:p w:rsidR="0026452D" w:rsidRDefault="0026452D" w:rsidP="0026452D">
      <w:pPr>
        <w:pStyle w:val="TextoNormal"/>
      </w:pPr>
      <w:r>
        <w:t>“Con carácter excepcional, se reconocerá derecho a la pensión de viudedad cuando, habiéndose producido el hecho causante con anterioridad a la entrada en vigor de la presente Ley, concurran las siguientes circunstancias:</w:t>
      </w:r>
    </w:p>
    <w:p w:rsidR="0026452D" w:rsidRDefault="0026452D" w:rsidP="0026452D">
      <w:pPr>
        <w:pStyle w:val="TextoNormal"/>
      </w:pPr>
    </w:p>
    <w:p w:rsidR="0026452D" w:rsidRDefault="0026452D" w:rsidP="0026452D">
      <w:pPr>
        <w:pStyle w:val="TextoNormal"/>
      </w:pPr>
      <w:r>
        <w:t>a) Que a la muerte del causante, reuniendo éste los requisitos de alta y cotización a que se refiere el apartado 1 del artículo 174 del texto refundido de la Ley General de la Seguridad Social, no se hubiera podido causar derecho a pensión de viudedad.</w:t>
      </w:r>
    </w:p>
    <w:p w:rsidR="0026452D" w:rsidRDefault="0026452D" w:rsidP="0026452D">
      <w:pPr>
        <w:pStyle w:val="TextoNormal"/>
      </w:pPr>
    </w:p>
    <w:p w:rsidR="0026452D" w:rsidRDefault="0026452D" w:rsidP="0026452D">
      <w:pPr>
        <w:pStyle w:val="TextoNormal"/>
      </w:pPr>
      <w:r>
        <w:t>b) Que el beneficiario hubiera mantenido convivencia ininterrumpida, como pareja de hecho en los términos establecidos en el primer inciso, párrafo cuarto, artículo 174.3 de la Ley General de la Seguridad Social, en la redacción dada por el artículo 5 de la presente Ley, con el causante, durante, al menos, los seis años anteriores al fallecimiento de éste.</w:t>
      </w:r>
    </w:p>
    <w:p w:rsidR="0026452D" w:rsidRDefault="0026452D" w:rsidP="0026452D">
      <w:pPr>
        <w:pStyle w:val="TextoNormal"/>
      </w:pPr>
    </w:p>
    <w:p w:rsidR="0026452D" w:rsidRDefault="0026452D" w:rsidP="0026452D">
      <w:pPr>
        <w:pStyle w:val="TextoNormal"/>
      </w:pPr>
      <w:r>
        <w:t>c) Que el causante y el beneficiario hubieran tenido hijos comunes.</w:t>
      </w:r>
    </w:p>
    <w:p w:rsidR="0026452D" w:rsidRDefault="0026452D" w:rsidP="0026452D">
      <w:pPr>
        <w:pStyle w:val="TextoNormal"/>
      </w:pPr>
    </w:p>
    <w:p w:rsidR="0026452D" w:rsidRDefault="0026452D" w:rsidP="0026452D">
      <w:pPr>
        <w:pStyle w:val="TextoNormal"/>
      </w:pPr>
      <w:r>
        <w:t>d) Que el beneficiario no tenga reconocido derecho a pensión contributiva de la Seguridad Social.</w:t>
      </w:r>
    </w:p>
    <w:p w:rsidR="0026452D" w:rsidRDefault="0026452D" w:rsidP="0026452D">
      <w:pPr>
        <w:pStyle w:val="TextoNormal"/>
      </w:pPr>
    </w:p>
    <w:p w:rsidR="0026452D" w:rsidRDefault="0026452D" w:rsidP="0026452D">
      <w:pPr>
        <w:pStyle w:val="TextoNormal"/>
      </w:pPr>
      <w:r>
        <w:lastRenderedPageBreak/>
        <w:t>e) Para acceder a la pensión regulada en la presente disposición, la correspondiente solicitud deberá ser presentada en el plazo improrrogable de los doce meses siguientes a la entrada en vigor de esta Ley. La pensión reconocida tendrá efectos económicos desde el día primero de 2007, siempre que se cumplan todos los requisitos previstos en esta disposición.”</w:t>
      </w:r>
    </w:p>
    <w:p w:rsidR="0026452D" w:rsidRDefault="0026452D" w:rsidP="0026452D">
      <w:pPr>
        <w:pStyle w:val="TextoNormal"/>
      </w:pPr>
    </w:p>
    <w:p w:rsidR="0026452D" w:rsidRDefault="0026452D" w:rsidP="0026452D">
      <w:pPr>
        <w:pStyle w:val="TextoNormal"/>
      </w:pPr>
      <w:r>
        <w:t>Para el Juzgado promotor de la cuestión la disposición adicional tercera de la Ley 40/2007 comporta un trato desfavorable por causa de la orientación sexual, expresamente prohibido por el art. 14 CE, toda vez que el requisito de haber tenido hijos en común que establece la citada disposición para poder causar derecho a la pensión de viudedad en supuestos de parejas de hecho en las que el fallecimiento del causante se produjo antes del 1 de enero de 2008 (fecha de entrada en vigor de la Ley 40/2007), resulta de muy difícil o imposible cumplimiento para las parejas de hecho homosexuales. Pues, además de la imposibilidad biológica, ha de tenerse en cuenta que el derecho de las parejas del mismo sexo a la adopción conjunta y la adopción individual del hijo del conviviente sólo ha sido reconocido de manera reciente en algunas Comunidades Autónomas en las leyes que regulan el régimen jurídico de las parejas de hecho, como ha sucedido en Cataluña en virtud de la Ley del Parlamento catalán 3/2005, de 8 de abril. La exigencia del referido requisito, aparentemente neutral, supone así, según el Juzgado, un trato discriminatorio para las parejas de hecho del mismo sexo, por su efecto excluyente de la pensión de viudedad.</w:t>
      </w:r>
    </w:p>
    <w:p w:rsidR="0026452D" w:rsidRDefault="0026452D" w:rsidP="0026452D">
      <w:pPr>
        <w:pStyle w:val="TextoNormal"/>
      </w:pPr>
    </w:p>
    <w:p w:rsidR="0026452D" w:rsidRDefault="0026452D" w:rsidP="0026452D">
      <w:pPr>
        <w:pStyle w:val="TextoNormal"/>
      </w:pPr>
      <w:r w:rsidRPr="0026452D">
        <w:rPr>
          <w:rStyle w:val="NumeroAFNegritaCaracter"/>
        </w:rPr>
        <w:t>2</w:t>
      </w:r>
      <w:r>
        <w:t>. De lo expuesto resulta que, como advierten en sus alegaciones el Abogado del Estado y el Fiscal General del Estado (que interesan la desestimación de la cuestión, por las razones que han quedado resumidas en el relato de antecedentes), del Auto de planteamiento se infiere que no se cuestiona en su integridad la disposición adicional tercera de la Ley 40/2007, sino exclusivamente la letra c) de la misma, que establece la exigencia de “que el causante y el beneficiario hubieran tenido hijos comunes” para poder causar derecho a la pensión de viudedad en supuestos de parejas de hecho estables en las que el fallecimiento del causante se hubiere producido antes de la entrada en vigor de dicha Ley. A este concreto inciso del precepto legal, habrá de referirse, en consecuencia, nuestro enjuiciamiento.</w:t>
      </w:r>
    </w:p>
    <w:p w:rsidR="0026452D" w:rsidRDefault="0026452D" w:rsidP="0026452D">
      <w:pPr>
        <w:pStyle w:val="TextoNormal"/>
      </w:pPr>
    </w:p>
    <w:p w:rsidR="0026452D" w:rsidRDefault="0026452D" w:rsidP="0026452D">
      <w:pPr>
        <w:pStyle w:val="TextoNormal"/>
      </w:pPr>
      <w:r>
        <w:t xml:space="preserve">Una precisión más resulta pertinente antes de abordar el fondo del asunto, y se refiere a la invocación que el Juzgado promotor de la cuestión realiza, para reforzar sus argumentos sobre la posible inconstitucionalidad de la disposición adicional tercera de la Ley 40/2007, de la Directiva 2000/78/CE, del Consejo, de 27 de noviembre de 2000, relativa al establecimiento de un marco general para la igualdad de trato en el empleo, y de la Sentencia del Tribunal de Justicia de la Unión Europea de 1 de abril de 2008, C-267/2006, asunto </w:t>
      </w:r>
      <w:r w:rsidRPr="0026452D">
        <w:rPr>
          <w:i/>
        </w:rPr>
        <w:t>Maruko c. Versorgungsanstalt der deutschen Bühnen</w:t>
      </w:r>
      <w:r>
        <w:t>, en relación con el principio de igualdad de trato e interdicción de discriminación del Derecho de la Unión Europea.</w:t>
      </w:r>
    </w:p>
    <w:p w:rsidR="0026452D" w:rsidRDefault="0026452D" w:rsidP="0026452D">
      <w:pPr>
        <w:pStyle w:val="TextoNormal"/>
      </w:pPr>
    </w:p>
    <w:p w:rsidR="0026452D" w:rsidRDefault="0026452D" w:rsidP="0026452D">
      <w:pPr>
        <w:pStyle w:val="TextoNormal"/>
      </w:pPr>
      <w:r>
        <w:t>Pues bien, como acertadamente ha puesto de relieve el Abogado del Estado en sus alegaciones, la referencia del Auto de planteamiento a la Directiva 2000/78/CE —y a la citada Sentencia del Tribunal de Justicia de la Unión Europea de 1 de abril de 2008— no resulta relevante para resolver la presente cuestión.</w:t>
      </w:r>
    </w:p>
    <w:p w:rsidR="0026452D" w:rsidRDefault="0026452D" w:rsidP="0026452D">
      <w:pPr>
        <w:pStyle w:val="TextoNormal"/>
      </w:pPr>
    </w:p>
    <w:p w:rsidR="0026452D" w:rsidRDefault="0026452D" w:rsidP="0026452D">
      <w:pPr>
        <w:pStyle w:val="TextoNormal"/>
      </w:pPr>
      <w:r>
        <w:t xml:space="preserve">En primer lugar, porque resulta ajeno a la jurisdicción del Tribunal Constitucional controlar la compatibilidad de un precepto legal (en este caso de la disposición adicional tercera de la Ley 40/2007) con el Derecho de la Unión Europea, toda vez que este ordenamiento no integra en sí mismo el canon de constitucionalidad bajo el que hayan de examinarse las </w:t>
      </w:r>
      <w:r>
        <w:lastRenderedPageBreak/>
        <w:t>leyes del Estado español, ni siquiera en el caso de que la supuesta contradicción sirviera para fundamentar la pretensión de inconstitucionalidad de una ley por oposición a un derecho fundamental, atendiendo a lo dispuesto en el art. 10.2 CE (a cuyo tenor las normas constitucionales que reconocen los derechos y libertades han de interpretarse “de conformidad con la Declaración Universal de Derechos Humanos y los Tratados y acuerdos internacionales sobre las mismas materias ratificados por España”), pues en tal supuesto la medida de la constitucionalidad de la ley enjuiciada seguiría estando integrada por el precepto constitucional definidor del derecho o libertad, si bien interpretado, en cuanto a los perfiles exactos de su contenido, de conformidad con los tratados o acuerdos internacionales de que se trate (por todas, SSTC 28/1991, de 14 de febrero, FJ 5; 128/1999, de 1 de julio, FJ 9; 208/1999, de 11 de noviembre, FJ 4; 45/2001, de 15 de febrero, FJ 7; 38/2002, de 14 de febrero, FJ 11; y 173/2005, de 23 de junio, FJ 9), incluidos, en su caso, los Tratados de la Unión Europea y la Carta de derechos fundamentales de la Unión Europea, que tiene la misma eficacia jurídica vinculante que los Tratados, en virtud de lo dispuesto en el Tratado de Lisboa de 13 de diciembre de 2007.</w:t>
      </w:r>
    </w:p>
    <w:p w:rsidR="0026452D" w:rsidRDefault="0026452D" w:rsidP="0026452D">
      <w:pPr>
        <w:pStyle w:val="TextoNormal"/>
      </w:pPr>
    </w:p>
    <w:p w:rsidR="0026452D" w:rsidRDefault="0026452D" w:rsidP="0026452D">
      <w:pPr>
        <w:pStyle w:val="TextoNormal"/>
      </w:pPr>
      <w:r>
        <w:t xml:space="preserve">Y en segundo lugar porque, conforme ya advirtiera también el Letrado de la Administración de la Seguridad Social en el trámite de audiencia del art. 35.2 de la Ley Orgánica del Tribunal Constitucional (LOTC), las prestaciones de muerte y supervivencia incluidas en los regímenes públicos de Seguridad Social (como es la discutida en el proceso </w:t>
      </w:r>
      <w:r w:rsidRPr="0026452D">
        <w:rPr>
          <w:i/>
        </w:rPr>
        <w:t>a quo</w:t>
      </w:r>
      <w:r>
        <w:t xml:space="preserve">) no están comprendidas en el ámbito de aplicación de la Directiva 2000/78/CE, como lo confirma la propia Sentencia del Tribunal de Justicia de la Unión Europea de 1 de abril de 2008, asunto C-267/2006, </w:t>
      </w:r>
      <w:r w:rsidRPr="0026452D">
        <w:rPr>
          <w:i/>
        </w:rPr>
        <w:t>Maruko c. Versorgungsanstalt der deutschen Bühnen</w:t>
      </w:r>
      <w:r>
        <w:t>, que se invoca en el Auto de planteamiento.</w:t>
      </w:r>
    </w:p>
    <w:p w:rsidR="0026452D" w:rsidRDefault="0026452D" w:rsidP="0026452D">
      <w:pPr>
        <w:pStyle w:val="TextoNormal"/>
      </w:pPr>
    </w:p>
    <w:p w:rsidR="0026452D" w:rsidRDefault="0026452D" w:rsidP="0026452D">
      <w:pPr>
        <w:pStyle w:val="TextoNormal"/>
      </w:pPr>
      <w:r w:rsidRPr="0026452D">
        <w:rPr>
          <w:rStyle w:val="NumeroAFNegritaCaracter"/>
        </w:rPr>
        <w:t>3</w:t>
      </w:r>
      <w:r>
        <w:t>. Precisado así el objeto de la presente cuestión, para dar adecuada respuesta a la duda de constitucionalidad que se nos plantea resulta oportuno examinar el contexto en el que se enmarca la disposición adicional tercera de la Ley 40/2007.</w:t>
      </w:r>
    </w:p>
    <w:p w:rsidR="0026452D" w:rsidRDefault="0026452D" w:rsidP="0026452D">
      <w:pPr>
        <w:pStyle w:val="TextoNormal"/>
      </w:pPr>
    </w:p>
    <w:p w:rsidR="0026452D" w:rsidRDefault="0026452D" w:rsidP="0026452D">
      <w:pPr>
        <w:pStyle w:val="TextoNormal"/>
      </w:pPr>
      <w:r>
        <w:t xml:space="preserve">En tal sentido debemos empezar por recordar que desde la STC 184/1990, de 15 de noviembre, este Tribunal ha venido declarando que la exigencia del vínculo matrimonial como presupuesto para acceder a la pensión de viudedad establecida dentro del sistema público de Seguridad Social no pugna con el art. 14 CE, toda vez que “el matrimonio y la convivencia extramatrimonial no son realidades equivalentes. El matrimonio es una institución social garantizada por la Constitución, y el derecho del hombre y de la mujer a contraerlo es un derecho constitucional (art. 32.1) … Nada de ello ocurre con la unión de hecho </w:t>
      </w:r>
      <w:r w:rsidRPr="0026452D">
        <w:rPr>
          <w:i/>
        </w:rPr>
        <w:t>more uxorio</w:t>
      </w:r>
      <w:r>
        <w:t xml:space="preserve">, que ni es una institución jurídicamente garantizada ni hay un derecho constitucional expreso a su establecimiento”. Por consiguiente, nada se opone constitucionalmente a que “el legislador, dentro de su amplísima libertad de decisión, deduzca razonablemente consecuencias de esa diferente situación de partida” (STC 184/1990, FJ 3). Lo que significa que “no serán necesariamente incompatibles con el art. 39.1 CE, ni tampoco con el principio de igualdad, las medidas de los poderes públicos que otorgan un trato distinto y más favorable a la unión familiar que a otras unidades convivenciales, ni aquellas otras medidas que favorezcan el ejercicio del derecho constitucional a contraer matrimonio (art. 32.1 CE), siempre, claro es, que con ello no se coarte ni se dificulte irrazonablemente al hombre y la mujer que decidan convivir </w:t>
      </w:r>
      <w:r w:rsidRPr="0026452D">
        <w:rPr>
          <w:i/>
        </w:rPr>
        <w:t>more uxorio</w:t>
      </w:r>
      <w:r>
        <w:t>.” (STC 184/1990, FJ 2).</w:t>
      </w:r>
    </w:p>
    <w:p w:rsidR="0026452D" w:rsidRDefault="0026452D" w:rsidP="0026452D">
      <w:pPr>
        <w:pStyle w:val="TextoNormal"/>
      </w:pPr>
    </w:p>
    <w:p w:rsidR="0026452D" w:rsidRDefault="0026452D" w:rsidP="0026452D">
      <w:pPr>
        <w:pStyle w:val="TextoNormal"/>
      </w:pPr>
      <w:r>
        <w:lastRenderedPageBreak/>
        <w:t>Así pues, siendo el derecho a contraer matrimonio un derecho constitucional, el legislador puede establecer diferencias de tratamiento entre la unión matrimonial y la puramente fáctica, concluyéndose que “la diferencia de trato en la pensión de viudedad entre cónyuges y quienes conviven de hecho sin que nada les impida contraer matrimonio no es arbitraria o carente de fundamento” (STC 184/1990, FJ 3), ni resulta discriminatoria desde la perspectiva del art. 14 CE, pues la exigencia del vínculo matrimonial para tener derecho a la pensión de viudedad “no está privada de justificación objetiva y razonable” (STC 184/1990, FJ 4; doctrina que se reitera en términos similares en SSTC 29/1991, 30/1991, 31/1991, 35/1991 y 38/1991, todas ellas de 14 de febrero; 77/1991, de 11 de abril; 29/1992, de 9 de marzo; y 69/1994, de 28 de febrero; y AATC 188/2003, de 3 de junio; 47/2004, de 10 de febrero; 77/2004, de 9 de marzo; 177/2004, de 11 de mayo; 393/2004, de 19 de octubre; y 203/2005, de 10 de mayo).</w:t>
      </w:r>
    </w:p>
    <w:p w:rsidR="0026452D" w:rsidRDefault="0026452D" w:rsidP="0026452D">
      <w:pPr>
        <w:pStyle w:val="TextoNormal"/>
      </w:pPr>
    </w:p>
    <w:p w:rsidR="0026452D" w:rsidRDefault="0026452D" w:rsidP="0026452D">
      <w:pPr>
        <w:pStyle w:val="TextoNormal"/>
      </w:pPr>
      <w:r>
        <w:t>De este modo, se ha venido considerando de forma reiterada por nuestra doctrina que la exclusión de las parejas de hecho de la protección dispensada en materia de pensión de viudedad por el sistema público de Seguridad Social no resulta contraria a la Constitución, sin perjuicio de que, como también hemos tenido ocasión de advertir en esa misma doctrina, tampoco existe obstáculo constitucional alguno a que el legislador pueda extender la protección de la pensión de viudedad a las uniones de hecho estables, heterosexuales u homosexuales: “es cierto también que el legislador podría extender a las uniones estables de hecho, al menos en determinadas condiciones, los beneficios de la pensión de viudedad. Extensión que en modo alguno resulta vedada por el art. 14 ni encontraría obstáculos en los arts. 32 y 39 de la Constitución. El legislador dispone de un amplio margen de libertad en la configuración del sistema de Seguridad Social y en la apreciación de las circunstancias socioeconómicas de cada momento a la hora de administrar recursos limitados para atender a un gran número de necesidades sociales (por todas, SSTC 65/1987, FJ 17; 134/1987, FJ 5 y 97/1990, FJ 3). En tal sentido, la opción de requerir la existencia de previo vínculo matrimonial para tener derecho a una pensión de supervivencia no es la única constitucionalmente posible, por lo que es legítimo propugnar que la actual pensión de viudedad se extienda por el legislador a las uniones estables de hecho” (STC 184/1990, FJ 3), “sean o no heterosexuales” (ATC 222/1994, de 11 de julio, FJ 2). En suma, “habrá de ser, en su caso, el legislador quien decida proceder a dicha extensión, con los requisitos y en los términos que se consideren pertinentes, y en el marco de una nueva y coherente ordenación de la citada pensión, singularmente si la convivencia establece sin vínculo matrimonial se instalara como una práctica social extendida” (STC 184/1990, FJ 5).</w:t>
      </w:r>
    </w:p>
    <w:p w:rsidR="0026452D" w:rsidRDefault="0026452D" w:rsidP="0026452D">
      <w:pPr>
        <w:pStyle w:val="TextoNormal"/>
      </w:pPr>
    </w:p>
    <w:p w:rsidR="0026452D" w:rsidRDefault="0026452D" w:rsidP="0026452D">
      <w:pPr>
        <w:pStyle w:val="TextoNormal"/>
      </w:pPr>
      <w:r w:rsidRPr="0026452D">
        <w:rPr>
          <w:rStyle w:val="NumeroAFNegritaCaracter"/>
        </w:rPr>
        <w:t>4</w:t>
      </w:r>
      <w:r>
        <w:t>. En el ejercicio de ese amplio margen de libertad de configuración al que tantas veces hemos hecho mención el legislador ha procedido en la Ley 40/2007, de 4 de diciembre, de medidas en materia de Seguridad Social, a la extensión de los beneficios de la pensión de viudedad a las parejas de hecho estables (tanto heterosexuales como homosexuales), pero sin llegar a la plena equiparación en el régimen jurídico de las prestaciones de viudedad entre los matrimonios y las parejas de hecho.</w:t>
      </w:r>
    </w:p>
    <w:p w:rsidR="0026452D" w:rsidRDefault="0026452D" w:rsidP="0026452D">
      <w:pPr>
        <w:pStyle w:val="TextoNormal"/>
      </w:pPr>
    </w:p>
    <w:p w:rsidR="0026452D" w:rsidRDefault="0026452D" w:rsidP="0026452D">
      <w:pPr>
        <w:pStyle w:val="TextoNormal"/>
      </w:pPr>
      <w:r>
        <w:t xml:space="preserve">En efecto, la Ley 40/2007, de 4 de diciembre, introduce relevantes reformas en la regulación de la acción protectora de nuestro sistema de Seguridad Social, siguiendo las recomendaciones señaladas en el acuerdo sobre medidas en materia de Seguridad Social, suscrito el 13 de julio de 2006 por el Gobierno y los interlocutores sociales UGT, CCOO, </w:t>
      </w:r>
      <w:r>
        <w:lastRenderedPageBreak/>
        <w:t>CEOE y CEPYME, y teniendo en cuenta las prioridades establecidas por el pacto de Toledo en su renovación parlamentaria de 2003, conforme se detalla en el preámbulo de dicha ley.</w:t>
      </w:r>
    </w:p>
    <w:p w:rsidR="0026452D" w:rsidRDefault="0026452D" w:rsidP="0026452D">
      <w:pPr>
        <w:pStyle w:val="TextoNormal"/>
      </w:pPr>
    </w:p>
    <w:p w:rsidR="0026452D" w:rsidRDefault="0026452D" w:rsidP="0026452D">
      <w:pPr>
        <w:pStyle w:val="TextoNormal"/>
      </w:pPr>
      <w:r>
        <w:t>En particular, por lo que se refiere a las prestaciones de muerte y supervivencia las mayores novedades introducidas por la Ley 40/2007 atañen precisamente a la pensión de viudedad y, dentro de ésta, destaca en especial su reconocimiento a los supérstites de parejas de hecho estables que, además de los requisitos generales de alta y cotización (como en el caso de los matrimonios), acrediten una convivencia estable y notoria con el causante con carácter inmediato al fallecimiento de éste y con una duración ininterrumpida de al menos cinco años, así como la constitución formal de la pareja de hecho, mediante la inscripción en alguno de los registros específicos que hubieran sido creados al efecto o mediante la formalización de la unión en documento público (inscripción o formalización que deberán haberse producido como mínimo con dos años de antelación a la fecha del fallecimiento del causante), a lo que se añade el requisito de la situación de dependencia económica del conviviente supérstite, en un porcentaje variable en función de sus ingresos y de la existencia o no de hijos comunes con derecho a pensión de orfandad [art. 174.3 de la Ley General de la Seguridad Social (LGSS)]. Con ello se intenta, como también señala el preámbulo de la Ley 40/2007, “una aproximación, en la medida de lo posible, a la institución matrimonial”, toda vez que, “habida cuenta de la imposibilidad de conseguir la plena equiparación entre las parejas matrimoniales y las de hecho, se hace inviable la plena igualación en el régimen jurídico de las prestaciones de viudedad”.</w:t>
      </w:r>
    </w:p>
    <w:p w:rsidR="0026452D" w:rsidRDefault="0026452D" w:rsidP="0026452D">
      <w:pPr>
        <w:pStyle w:val="TextoNormal"/>
      </w:pPr>
    </w:p>
    <w:p w:rsidR="0026452D" w:rsidRDefault="0026452D" w:rsidP="0026452D">
      <w:pPr>
        <w:pStyle w:val="TextoNormal"/>
      </w:pPr>
      <w:r>
        <w:t>Esta importante reforma legal, que se sitúa en la necesidad de atender las situaciones creadas por las nuevas realidades familiares, dando así respuesta a una creciente demanda social, despliega su eficacia jurídica respecto de los hechos causantes que acaezcan a partir de la entrada en vigor de la Ley 40/2007, esto es, a partir del 1 de enero de 2008, conforme a la regla general según la cual en materia de Seguridad Social la norma aplicable para causar derecho a la prestación de que se trate es la vigente en el momento de producirse el hecho causante.</w:t>
      </w:r>
    </w:p>
    <w:p w:rsidR="0026452D" w:rsidRDefault="0026452D" w:rsidP="0026452D">
      <w:pPr>
        <w:pStyle w:val="TextoNormal"/>
      </w:pPr>
    </w:p>
    <w:p w:rsidR="0026452D" w:rsidRDefault="0026452D" w:rsidP="0026452D">
      <w:pPr>
        <w:pStyle w:val="TextoNormal"/>
      </w:pPr>
      <w:r>
        <w:t>Valga recordar una vez más que, en la determinación de las situaciones de necesidad que han de ser atendidas, el legislador tiene un amplio margen de apreciación a la hora de regular y modificar las prestaciones para adaptarlas a las necesidades del momento, teniendo en cuenta el contexto general en que aquellas situaciones se producen, las circunstancias socioeconómicas, la disponibilidad de medios de financiación y las necesidades de los diversos grupos sociales, así como la importancia relativa de las mismas (SSTC 65/1987, de 21 de mayo, FJ 17; 134/1987, de 21 de julio, FJ 5; 97/1990, de 24 de mayo, FJ 3; 184/1990, FJ 5; y 197/2003, de 30 de octubre, FJ 3, por todas).</w:t>
      </w:r>
    </w:p>
    <w:p w:rsidR="0026452D" w:rsidRDefault="0026452D" w:rsidP="0026452D">
      <w:pPr>
        <w:pStyle w:val="TextoNormal"/>
      </w:pPr>
    </w:p>
    <w:p w:rsidR="0026452D" w:rsidRDefault="0026452D" w:rsidP="0026452D">
      <w:pPr>
        <w:pStyle w:val="TextoNormal"/>
      </w:pPr>
      <w:r>
        <w:t>En tal sentido, aunque en su configuración actual (que tiene su origen en la reforma introducida por la Ley 24/1972, de 21 de junio) la pensión de viudedad en el caso de matrimonio (art. 174.1 LGSS) no tenga por estricta finalidad atender a una situación de necesidad o de dependencia económica, sino más bien compensar frente a un daño, cual es la falta o minoración de unos ingresos de los que participaba el cónyuge supérstite, y, en general, afrontar las repercusiones económicas causadas por la actualización de una contingencia (la muerte de uno de los cónyuges), no es menos cierto que ello no impide que el legislador pueda configurarla legítimamente en el futuro de distinto modo, condicionando su recono</w:t>
      </w:r>
      <w:r>
        <w:lastRenderedPageBreak/>
        <w:t>cimiento o su cuantía (o su compatibilidad con otras rentas del trabajo o pensiones del beneficiario) a la existencia de un estado real de necesidad del supérstite o de dependencia económica del causante, así como, en su caso, a la existencia de cargas familiares (como así se ha sugerido en alguna ocasión en las recomendaciones del pacto de Toledo, con la finalidad de recuperar la configuración originaria de la pensión de viudedad como prestación sustitutiva de las rentas perdidas por el óbito del causante).</w:t>
      </w:r>
    </w:p>
    <w:p w:rsidR="0026452D" w:rsidRDefault="0026452D" w:rsidP="0026452D">
      <w:pPr>
        <w:pStyle w:val="TextoNormal"/>
      </w:pPr>
    </w:p>
    <w:p w:rsidR="0026452D" w:rsidRDefault="0026452D" w:rsidP="0026452D">
      <w:pPr>
        <w:pStyle w:val="TextoNormal"/>
      </w:pPr>
      <w:r>
        <w:t>Tal es, justamente, la ordenación de la pensión de viudedad en el caso de parejas de hecho estables que introduce la Ley 40/2007 (dando nueva redacción al art. 174.3 LGSS) para hechos causantes acaecidos a partir de su entrada en vigor (1 de enero de 2008), de tal suerte que su reconocimiento se fundamenta en la concurrencia de una situación real de necesidad del supérstite, en función de su nivel de ingresos propios y de la existencia o no de cargas familiares.</w:t>
      </w:r>
    </w:p>
    <w:p w:rsidR="0026452D" w:rsidRDefault="0026452D" w:rsidP="0026452D">
      <w:pPr>
        <w:pStyle w:val="TextoNormal"/>
      </w:pPr>
    </w:p>
    <w:p w:rsidR="0026452D" w:rsidRDefault="0026452D" w:rsidP="0026452D">
      <w:pPr>
        <w:pStyle w:val="TextoNormal"/>
      </w:pPr>
      <w:r w:rsidRPr="0026452D">
        <w:rPr>
          <w:rStyle w:val="NumeroAFNegritaCaracter"/>
        </w:rPr>
        <w:t>5</w:t>
      </w:r>
      <w:r>
        <w:t>. Además de lo anterior —y ello nos sitúa ya en el problema a abordar en la presente cuestión— la Ley 40/2007 establece también en su disposición adicional tercera una regla de carácter excepcional y eficacia retroactiva favorable, que permite acceder a la pensión de viudedad a los supérstites de parejas de hecho estables en las que el fallecimiento del causante hubiere tenido lugar antes de la entrada en vigor de la Ley 40/2007, siempre que se cumplan una serie de requisitos, entre ellos el de haber tenido hijos en común, que es el requisito cuestionado y que excluye de la pensión de viudedad a los supérstites de parejas de hecho en las que el fallecimiento del causante se hubiese producido antes del 1 de enero de 2008 y que no hubiesen tenido comunes, aunque cumplan el resto de requisitos establecidos por la referida disposición adicional para acceder a la pensión.</w:t>
      </w:r>
    </w:p>
    <w:p w:rsidR="0026452D" w:rsidRDefault="0026452D" w:rsidP="0026452D">
      <w:pPr>
        <w:pStyle w:val="TextoNormal"/>
      </w:pPr>
    </w:p>
    <w:p w:rsidR="0026452D" w:rsidRDefault="0026452D" w:rsidP="0026452D">
      <w:pPr>
        <w:pStyle w:val="TextoNormal"/>
      </w:pPr>
      <w:r>
        <w:t>La pensión de viudedad regulada en la disposición adicional tercera de la Ley 40/2007 se configura así como una prestación de carácter excepcional, pensada para atender situaciones de necesidad acaecidas con anterioridad a la entrada en vigor de dicha reforma legal, como excepción a la regla general en materia de Seguridad Social conforme a la cual, como ya se dijo, la norma aplicable para causar derecho a la prestación de que se trate es la vigente en el momento de producirse el hecho causante.</w:t>
      </w:r>
    </w:p>
    <w:p w:rsidR="0026452D" w:rsidRDefault="0026452D" w:rsidP="0026452D">
      <w:pPr>
        <w:pStyle w:val="TextoNormal"/>
      </w:pPr>
    </w:p>
    <w:p w:rsidR="0026452D" w:rsidRDefault="0026452D" w:rsidP="0026452D">
      <w:pPr>
        <w:pStyle w:val="TextoNormal"/>
      </w:pPr>
      <w:r>
        <w:t xml:space="preserve">Justamente por ello, porque no se pretende ampliar retroactivamente la protección de la pensión de viudedad de parejas de hecho (con independencia de su orientación sexual) a cualquier supuesto, sino a concretas situaciones de necesidad acaecidas antes del 1 de enero de 2008 que el legislador ha considerado merecedoras de protección, por tratarse de uniones </w:t>
      </w:r>
      <w:r w:rsidRPr="0026452D">
        <w:rPr>
          <w:i/>
        </w:rPr>
        <w:t>more uxorio</w:t>
      </w:r>
      <w:r>
        <w:t xml:space="preserve"> dotadas de estabilidad y permanencia, es por lo que se establece en la disposición adicional tercera de la Ley 40/2007 una serie de requisitos sin el concurso de los cuales no cabe acceder a esta pensión de carácter excepcional: a) acreditación por el causante de los requisitos de alta y cotización a que se refiere el art. 174.1 LGSS (es decir, los mismos que se exigen para causar derecho a la pensión “ordinaria” de viudedad); b) convivencia ininterrumpida de los miembros de la pareja durante, al menos, los seis años inmediatamente anteriores al fallecimiento del causante (frente a los cinco exigidos para hechos causantes producidos tras la entrada en vigor de la Ley 40/2007); c) haber tenido hijos en común; d) incompatibilidad de esta pensión excepcional con cualquiera otra pensión contributiva a la que pudiera tener derecho el beneficiario (frente a lo establecido para la pensión “ordinaria” de viudedad en el art. 179.1 LGSS, que determina su compatibilidad con el percibo por parte del beneficiario de cualquier otra pensión contributiva a la que pudiera tener derecho); y e) </w:t>
      </w:r>
      <w:r>
        <w:lastRenderedPageBreak/>
        <w:t>presentación de la solicitud en el plazo improrrogable de doce meses siguientes a la entrada en vigor de la Ley 40/2007 (lo que significa que esta pensión de carácter excepcional sólo pudo ser solicitada desde el 1 de enero hasta el 31 de diciembre de 2008). De tales requisitos, acumulativos e inexcusables, el órgano judicial sólo cuestiona, como se ha dicho, la constitucionalidad de la exigencia de haber tenido hijos en común.</w:t>
      </w:r>
    </w:p>
    <w:p w:rsidR="0026452D" w:rsidRDefault="0026452D" w:rsidP="0026452D">
      <w:pPr>
        <w:pStyle w:val="TextoNormal"/>
      </w:pPr>
    </w:p>
    <w:p w:rsidR="0026452D" w:rsidRDefault="0026452D" w:rsidP="0026452D">
      <w:pPr>
        <w:pStyle w:val="TextoNormal"/>
      </w:pPr>
      <w:r>
        <w:t xml:space="preserve">El Juzgado promotor de la cuestión considera en efecto, como quedó reflejado en los antecedentes, que la exigencia de haber tenido hijos comunes, establecida por la letra c) de la disposición adicional tercera de la Ley 40/2007 para tener derecho a pensión de viudedad en caso de parejas de hecho en las que el fallecimiento del causante se produjo antes de la entrada en vigor de dicha Ley (1 de enero de 2008), constituye un requisito de muy difícil o imposible cumplimiento para las parejas de hecho del mismo sexo y, por ello, comporta un trato desfavorable por causa de la orientación sexual, prohibido por el art. 14 CE, ya se entienda como discriminación directa o, más bien, como discriminación indirecta, por cuanto, aunque se trate de un requisito aparentemente “neutral”, excluye de la pensión a las parejas de hecho del mismo sexo, dada la imposibilidad biológica para estas uniones de tener hijos comunes y la imposibilidad legal de adoptar en común hasta fechas recientes, como sucede en el caso enjuiciado en el proceso </w:t>
      </w:r>
      <w:r w:rsidRPr="0026452D">
        <w:rPr>
          <w:i/>
        </w:rPr>
        <w:t>a quo</w:t>
      </w:r>
      <w:r>
        <w:t>, en el que la defunción del causante se produjo antes de la entrada en vigor de la Ley catalana 3/2005, de 8 de abril, por la que se autorizó la adopción en común a las parejas de hecho del mismo sexo.</w:t>
      </w:r>
    </w:p>
    <w:p w:rsidR="0026452D" w:rsidRDefault="0026452D" w:rsidP="0026452D">
      <w:pPr>
        <w:pStyle w:val="TextoNormal"/>
      </w:pPr>
    </w:p>
    <w:p w:rsidR="0026452D" w:rsidRDefault="0026452D" w:rsidP="0026452D">
      <w:pPr>
        <w:pStyle w:val="TextoNormal"/>
      </w:pPr>
      <w:r w:rsidRPr="0026452D">
        <w:rPr>
          <w:rStyle w:val="NumeroAFNegritaCaracter"/>
        </w:rPr>
        <w:t>6</w:t>
      </w:r>
      <w:r>
        <w:t>. Así pues, el Juzgado promotor de la cuestión no fundamenta su duda sobre la constitucionalidad del precepto legal cuestionado en la cláusula general de igualdad del primer inciso del art. 14 CE, sino desde la perspectiva de las prohibiciones de discriminación que este mismo precepto constitucional enuncia a continuación, entre las que, desde luego, ha de entenderse comprendida la discriminación por causa de la orientación sexual, pues si bien es cierto que esta causa no aparece expresamente mencionada en el art. 14 CE como uno de los concretos supuestos en que queda prohibido un trato discriminatorio, es indubitadamente una circunstancia incluida en la cláusula “cualquier otra condición o circunstancia personal o social” a la que debe ser referida la interdicción de la discriminación (por todas, STC 41/2006, de 13 de febrero, FJ 3).</w:t>
      </w:r>
    </w:p>
    <w:p w:rsidR="0026452D" w:rsidRDefault="0026452D" w:rsidP="0026452D">
      <w:pPr>
        <w:pStyle w:val="TextoNormal"/>
      </w:pPr>
    </w:p>
    <w:p w:rsidR="0026452D" w:rsidRDefault="0026452D" w:rsidP="0026452D">
      <w:pPr>
        <w:pStyle w:val="TextoNormal"/>
      </w:pPr>
      <w:r>
        <w:t xml:space="preserve">Sin embargo, nuestro enjuiciamiento sobre la constitucionalidad del precepto legal cuestionado ha de comenzar por su escrutinio desde la perspectiva de la cláusula general de igualdad del primer inciso del art. 14 CE, toda vez que el requisito de “que el causante y el beneficiario hubieran tenido hijos comunes” para tener derecho a la pensión de viudedad cuando el hecho causante se hubiere producido antes de la entrada en vigor de la Ley 40/2007, no tiene en cuenta la orientación sexual de la pareja de hecho como factor determinante del excepcional acceso retroactivo a la pensión, sino la existencia o inexistencia de descendencia común, biológica o adoptiva. Dicho de otro modo, el requisito establecido en la cuestionada letra c) de la disposición adicional tercera de la Ley 40/2007 se exige a todas las parejas de hecho, con independencia de que sus componentes sean de distinto o del mismo sexo, y ello al margen (claro está) de que el requisito sea, como señala el Juzgado promotor de la cuestión, de más difícil o incluso imposible cumplimiento en el caso de las parejas homosexuales, dada la imposibilidad biológica de que las parejas homosexuales tengan hijos entre sí y la imposibilidad legal de adopción conjunta por estas parejas (también de las parejas de hecho formadas por miembros de distinto sexo) hasta fechas relativamente </w:t>
      </w:r>
      <w:r>
        <w:lastRenderedPageBreak/>
        <w:t>recientes, cuando diversas Comunidades Autónomas han aprobado leyes que permiten la adopción conjunta por las parejas de hecho.</w:t>
      </w:r>
    </w:p>
    <w:p w:rsidR="0026452D" w:rsidRDefault="0026452D" w:rsidP="0026452D">
      <w:pPr>
        <w:pStyle w:val="TextoNormal"/>
      </w:pPr>
    </w:p>
    <w:p w:rsidR="0026452D" w:rsidRDefault="0026452D" w:rsidP="0026452D">
      <w:pPr>
        <w:pStyle w:val="TextoNormal"/>
      </w:pPr>
      <w:r>
        <w:t>Examinada la cuestión desde la perspectiva de la cláusula general de igualdad, se hace necesario recordar que, como tiene declarado este Tribunal desde la STC 22/1981, de 2 de julio (recogiendo al respecto la doctrina del Tribunal Europeo de Derechos Humanos en relación con el art. 14 del Convenio europeo para la protección de los derechos humanos y de las libertades fundamentales),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w:t>
      </w:r>
    </w:p>
    <w:p w:rsidR="0026452D" w:rsidRDefault="0026452D" w:rsidP="0026452D">
      <w:pPr>
        <w:pStyle w:val="TextoNormal"/>
      </w:pPr>
    </w:p>
    <w:p w:rsidR="0026452D" w:rsidRDefault="0026452D" w:rsidP="0026452D">
      <w:pPr>
        <w:pStyle w:val="TextoNormal"/>
      </w:pPr>
      <w:r>
        <w:t>De esta suerte, para que sea constitucionalmente lícita la diferencia de trato es necesario que las consecuencias jurídicas que se deriven de tal distinción sean proporcionadas a la finalidad perseguida, de suerte que se eviten resultados excesivamente gravosos o desmedidos. En suma, el principio de igualdad en la ley no sólo exige que la diferencia de trato resulte objetivamente justificada, sino también que supere un juicio de proporcionalidad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200/2001, de 4 de octubre, FJ 4; y 39/2002, de 14 de febrero, FJ 4, por todas).</w:t>
      </w:r>
    </w:p>
    <w:p w:rsidR="0026452D" w:rsidRDefault="0026452D" w:rsidP="0026452D">
      <w:pPr>
        <w:pStyle w:val="TextoNormal"/>
      </w:pPr>
    </w:p>
    <w:p w:rsidR="0026452D" w:rsidRDefault="0026452D" w:rsidP="0026452D">
      <w:pPr>
        <w:pStyle w:val="TextoNormal"/>
      </w:pPr>
      <w:r>
        <w:t>Debemos, en consecuencia, determinar si la diferencia de trato que el referido requisito legal contenido en la letra c) de la disposición adicional tercera de la Ley 40/2007 establece entre parejas de hecho con hijos en común y parejas de hecho que no hubiesen tenido hijos comunes, responde a una finalidad objetivamente justificada, razonable y proporcionada.</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Nada dice la exposición de motivos de la Ley 40/2007 acerca de las razones que han llevado al legislador a establecer la exigencia de que la pareja de hecho hubiese tenido hijos en común como requisito </w:t>
      </w:r>
      <w:r w:rsidRPr="0026452D">
        <w:rPr>
          <w:i/>
        </w:rPr>
        <w:t>sine qua non</w:t>
      </w:r>
      <w:r>
        <w:t xml:space="preserve"> para poder causar derecho a la especial pensión de viudedad prevista en la disposición adicional tercera de dicha Ley.</w:t>
      </w:r>
    </w:p>
    <w:p w:rsidR="0026452D" w:rsidRDefault="0026452D" w:rsidP="0026452D">
      <w:pPr>
        <w:pStyle w:val="TextoNormal"/>
      </w:pPr>
    </w:p>
    <w:p w:rsidR="0026452D" w:rsidRDefault="0026452D" w:rsidP="0026452D">
      <w:pPr>
        <w:pStyle w:val="TextoNormal"/>
      </w:pPr>
      <w:r>
        <w:t xml:space="preserve">Por su parte, como ha quedado reflejado en el relato de antecedentes de la presente Sentencia, el Fiscal General y el Abogado del Estado vienen a coincidir en sus escritos de alegaciones en que la disposición adicional tercera de la Ley 40/2007 contiene una norma excepcional cuya finalidad es la de ampliar retroactivamente el derecho a la pensión de viudedad, si bien no para cualquier supuesto de parejas de hecho estables, sino sólo para situaciones de convivencia </w:t>
      </w:r>
      <w:r w:rsidRPr="0026452D">
        <w:rPr>
          <w:i/>
        </w:rPr>
        <w:t>more uxorio</w:t>
      </w:r>
      <w:r>
        <w:t xml:space="preserve"> cualificada, de suerte que la descendencia común no sólo se erigiría en el presupuesto mismo de la concreta situación de necesidad que se pretende atender mediante esta prestación especial (disminución de ingresos producida por el </w:t>
      </w:r>
      <w:r>
        <w:lastRenderedPageBreak/>
        <w:t>óbito de uno de los miembros de la pareja de hecho cuya convivencia resulta notoria y prolongada en el tiempo), sino que, a la vez, permitiría conjurar el riesgo de que se produzcan reclamaciones abusivas o fraudulentas fundadas en hechos pretéritos de dudosa probanza (teniendo en cuenta que la creación de los registros municipales de uniones de hecho es relativamente reciente), en detrimento de la adecuada asignación de los recursos económicos —escasos frente a las necesidades de protección siempre crecientes— del sistema de Seguridad Social.</w:t>
      </w:r>
    </w:p>
    <w:p w:rsidR="0026452D" w:rsidRDefault="0026452D" w:rsidP="0026452D">
      <w:pPr>
        <w:pStyle w:val="TextoNormal"/>
      </w:pPr>
    </w:p>
    <w:p w:rsidR="0026452D" w:rsidRDefault="0026452D" w:rsidP="0026452D">
      <w:pPr>
        <w:pStyle w:val="TextoNormal"/>
      </w:pPr>
      <w:r>
        <w:t xml:space="preserve">De este modo, según la tesis del Fiscal General y del Abogado del Estado, el requisito legal cuestionado operaría como un indicador inequívoco de la existencia efectiva de la relación de convivencia que se pretende proteger, lo que se acomodaría al carácter excepcional de la pensión de viudedad regulada por la disposición adicional tercera de la Ley 40/2007, y por ende a la finalidad de evitar que accedan a esta prestación situaciones en las que la pretendida convivencia </w:t>
      </w:r>
      <w:r w:rsidRPr="0026452D">
        <w:rPr>
          <w:i/>
        </w:rPr>
        <w:t>more uxorio</w:t>
      </w:r>
      <w:r>
        <w:t xml:space="preserve"> no resultase plenamente acreditada, finalidad que, a juicio del Fiscal General y del Abogado del Estado, resulta adecuada para garantizar la equidad, eficiencia y economía del gasto público en materia de pensiones públicas, dentro del margen de apreciación de las circunstancias socioeconómicas de cada momento a la hora de administrar recursos limitados para atender a un gran número de necesidades sociales, (arts. 31.2 y 41 CE), y que no contraviene los mandatos de protección social de la familia y en particular de los hijos menores (art. 39 CE).</w:t>
      </w:r>
    </w:p>
    <w:p w:rsidR="0026452D" w:rsidRDefault="0026452D" w:rsidP="0026452D">
      <w:pPr>
        <w:pStyle w:val="TextoNormal"/>
      </w:pPr>
    </w:p>
    <w:p w:rsidR="0026452D" w:rsidRDefault="0026452D" w:rsidP="0026452D">
      <w:pPr>
        <w:pStyle w:val="TextoNormal"/>
      </w:pPr>
      <w:r>
        <w:t>Sin embargo, este Tribunal no aprecia que los razonamientos del Fiscal General y del Abogado del Estado a favor de la constitucionalidad del precepto legal cuestionado permitan entender que la diferencia de trato que establece entre parejas de hecho responda a una justificación objetiva y razonable, en función del objetivo perseguido.</w:t>
      </w:r>
    </w:p>
    <w:p w:rsidR="0026452D" w:rsidRDefault="0026452D" w:rsidP="0026452D">
      <w:pPr>
        <w:pStyle w:val="TextoNormal"/>
      </w:pPr>
    </w:p>
    <w:p w:rsidR="0026452D" w:rsidRDefault="0026452D" w:rsidP="0026452D">
      <w:pPr>
        <w:pStyle w:val="TextoNormal"/>
      </w:pPr>
      <w:r>
        <w:t xml:space="preserve">En efecto, el requisito legal cuestionado no puede ser entendido como un indicador inequívoco de la existencia efectiva de la relación de convivencia </w:t>
      </w:r>
      <w:r w:rsidRPr="0026452D">
        <w:rPr>
          <w:i/>
        </w:rPr>
        <w:t>more uxorio</w:t>
      </w:r>
      <w:r>
        <w:t xml:space="preserve"> que se pretende proteger, pues ni la circunstancia de haber tenido hijos en común acredita una mayor estabilidad o solidez de la unión de hecho, ni dicha circunstancia constituye el único medio de prueba posible sobre la estabilidad de la pareja, debiendo repararse en que la propia disposición adicional tercera de la Ley 40/2007, en su letra b), ya establece como requisito autónomo para acceder a la pensión, al margen de la descendencia, que el beneficiario hubiera mantenido convivencia ininterrumpida como pareja de hecho con el causante durante, al menos, los seis años anteriores al fallecimiento de éste, en los términos establecidos en el primer inciso, párrafo cuarto, del art. 174.3 LGSS.</w:t>
      </w:r>
    </w:p>
    <w:p w:rsidR="0026452D" w:rsidRDefault="0026452D" w:rsidP="0026452D">
      <w:pPr>
        <w:pStyle w:val="TextoNormal"/>
      </w:pPr>
    </w:p>
    <w:p w:rsidR="0026452D" w:rsidRDefault="0026452D" w:rsidP="0026452D">
      <w:pPr>
        <w:pStyle w:val="TextoNormal"/>
      </w:pPr>
      <w:r>
        <w:t xml:space="preserve">Es decir, tanto en el supuesto excepcional de la pensión de viudedad </w:t>
      </w:r>
      <w:r w:rsidRPr="0026452D">
        <w:rPr>
          <w:i/>
        </w:rPr>
        <w:t>more uxorio</w:t>
      </w:r>
      <w:r>
        <w:t xml:space="preserve"> previsto en la disposición adicional tercera de la Ley 40/2007 (para hechos causantes acaecidos antes del 1 de enero de 2008), como en el supuesto “ordinario” de la pensión de viudedad </w:t>
      </w:r>
      <w:r w:rsidRPr="0026452D">
        <w:rPr>
          <w:i/>
        </w:rPr>
        <w:t>more uxorio</w:t>
      </w:r>
      <w:r>
        <w:t xml:space="preserve"> regulado por el citado art. 174.3 LGSS (para hechos causantes a partir del 1 de enero de 2008), el cumplimiento del requisito de convivencia estable y notoria como pareja de hecho con carácter inmediato al fallecimiento del causante se acredita del mismo modo (durante un periodo mínimo que es, por cierto, superior en el caso de la pensión de viudedad de carácter excepcional regulada por la disposición adicional tercera de la Ley 40/2007), esto es, mediante el certificado municipal de empadronamiento.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8</w:t>
      </w:r>
      <w:r>
        <w:t xml:space="preserve">. Descartado que la diferencia de trato entre parejas de hecho que establece el requisito contenido en la letra c) de la disposición adicional tercera de la Ley 40/2007 se justifique por la conveniencia de acreditar de forma inequívoca una efectiva y estable convivencia </w:t>
      </w:r>
      <w:r w:rsidRPr="0026452D">
        <w:rPr>
          <w:i/>
        </w:rPr>
        <w:t>more uxorio</w:t>
      </w:r>
      <w:r>
        <w:t xml:space="preserve"> entre el causante y el beneficiario, a fin de evitar posibles reclamaciones abusivas o fraudulentas, debemos asimismo rechazar que dicho requisito encuentre justificación objetiva y razonable en una pretendida finalidad de otorgar protección social a una concreta situación de necesidad.</w:t>
      </w:r>
    </w:p>
    <w:p w:rsidR="0026452D" w:rsidRDefault="0026452D" w:rsidP="0026452D">
      <w:pPr>
        <w:pStyle w:val="TextoNormal"/>
      </w:pPr>
    </w:p>
    <w:p w:rsidR="0026452D" w:rsidRDefault="0026452D" w:rsidP="0026452D">
      <w:pPr>
        <w:pStyle w:val="TextoNormal"/>
      </w:pPr>
      <w:r>
        <w:t xml:space="preserve">Ciertamente, en la libertad de configuración que le corresponde, el legislador se encuentra plenamente legitimado para considerar como merecedoras de mayor protección </w:t>
      </w:r>
      <w:r w:rsidRPr="0026452D">
        <w:rPr>
          <w:i/>
        </w:rPr>
        <w:t>ex</w:t>
      </w:r>
      <w:r>
        <w:t xml:space="preserve"> arts. 39 y 41 CE mediante la pensión de viudedad —y al margen de la pensión de orfandad que pueda corresponder a los hijos— aquellas situaciones de necesidad en las que existan cargas familiares para el supérstite, porque entienda que en tales supuestos se acrecienta el daño económico que para el sobreviviente resulta de la disminución de ingresos producida por el fallecimiento del causante. En este sentido, la mayor situación de dependencia económica que puede suponer, al menos en hipótesis, la existencia de hijos en común de la pareja de hecho a cargo del miembro supérstite (cuando los hijos sean menores de edad o discapacitados) podría considerarse como justificación objetiva y razonable del requisito legal cuestionado, si no fuera porque los propios términos en que dicho requisito aparece formulado en la disposición adicional tercera de la Ley 40/2007 privan de fundamento a semejante conclusión.</w:t>
      </w:r>
    </w:p>
    <w:p w:rsidR="0026452D" w:rsidRDefault="0026452D" w:rsidP="0026452D">
      <w:pPr>
        <w:pStyle w:val="TextoNormal"/>
      </w:pPr>
    </w:p>
    <w:p w:rsidR="0026452D" w:rsidRDefault="0026452D" w:rsidP="0026452D">
      <w:pPr>
        <w:pStyle w:val="TextoNormal"/>
      </w:pPr>
      <w:r>
        <w:t>En efecto, el precepto cuestionado exige únicamente que “el causante y el beneficiario hubieran tenido hijos comunes”, lo que significa que —cumplidos los restantes requisitos que señala el legislador— se puede acceder a la pensión de viudedad excepcional regulada en la disposición adicional tercera de la Ley 40/2007 tanto si existen hijos comunes de la pareja de hecho a cargo del supérstite, como si los hijos comunes de la pareja no sobreviven al causante o no se encuentran ya a cargo del supérstite por ser mayores de edad. En definitiva, cumplida la exigencia de que la pareja de hecho hubiese tenido hijos en común, resulta indiferente para el acceso a la pensión regulada por la disposición adicional tercera de la Ley 40/2007 que esos hijos sean menores o mayores de edad, su convivencia o no con sus progenitores, su dependencia económica del supérstite, o incluso si sobreviven al causante o han fallecido. Dicho de otro modo, lo relevante para el legislador en el precepto cuestionado no es que sobrevivan hijos comunes de la pareja de hecho que dependan económicamente del progenitor superviviente, sino, exclusivamente, que la pareja de hecho haya tenido descendencia en común.</w:t>
      </w:r>
    </w:p>
    <w:p w:rsidR="0026452D" w:rsidRDefault="0026452D" w:rsidP="0026452D">
      <w:pPr>
        <w:pStyle w:val="TextoNormal"/>
      </w:pPr>
    </w:p>
    <w:p w:rsidR="0026452D" w:rsidRDefault="0026452D" w:rsidP="0026452D">
      <w:pPr>
        <w:pStyle w:val="TextoNormal"/>
      </w:pPr>
      <w:r>
        <w:t>La diferencia de trato que establece el requisito legal cuestionado se revela así carente de una justificación objetiva y razonable, porque no responde a la finalidad de la pensión (contributiva) de viudedad configurada por la disposición adicional tercera de la Ley 40/2007 (referida a hechos causantes acaecidos antes de su entrada en vigor, de ahí su carácter excepcional) que no es propiamente la de atender a una real situación de necesidad o de dependencia económica, asegurando un mínimo de rentas, sino más bien resarcir frente al daño que se produce al actualizarse la contingencia (la muerte del causante), por la falta o minoración de ingresos de los que participaba el supérstite, otorgando a tal efecto una pensión que depende en su cuantía de las cotizaciones efectuadas por el causante al régimen de Seguridad Social correspondiente.</w:t>
      </w:r>
    </w:p>
    <w:p w:rsidR="0026452D" w:rsidRDefault="0026452D" w:rsidP="0026452D">
      <w:pPr>
        <w:pStyle w:val="TextoNormal"/>
      </w:pPr>
    </w:p>
    <w:p w:rsidR="0026452D" w:rsidRDefault="0026452D" w:rsidP="0026452D">
      <w:pPr>
        <w:pStyle w:val="TextoNormal"/>
      </w:pPr>
      <w:r>
        <w:lastRenderedPageBreak/>
        <w:t>Pero sucede también que ese requisito (haber tenido hijos en común) no sólo carece de justificación constitucionalmente legítima por las razones expuestas, sino que, además, resulta ser de imposible cumplimiento, por razones biológicas, tanto para las parejas de hecho formadas por personas del mismo sexo como para las parejas de hecho de distinto sexo que no pudieron tener hijos por causa de infertilidad, a lo que ha de añadirse que la posibilidad de adopción de niños por las parejas de hecho ha estado vetada en nuestro ordenamiento jurídico hasta fechas relativamente recientes, como ya se dijo, lo que significa que el requisito cuestionado tampoco podía ser cumplido por vía de adopción en el caso de aquellas parejas de hecho en las que el fallecimiento de uno de sus miembros se produjo antes de la entrada en vigor de la normativa legal autonómica aplicable en cada caso que permite la adopción conjunta a las parejas de hecho, del mismo o de distinto sexo.</w:t>
      </w:r>
    </w:p>
    <w:p w:rsidR="0026452D" w:rsidRDefault="0026452D" w:rsidP="0026452D">
      <w:pPr>
        <w:pStyle w:val="TextoNormal"/>
      </w:pPr>
    </w:p>
    <w:p w:rsidR="0026452D" w:rsidRDefault="0026452D" w:rsidP="0026452D">
      <w:pPr>
        <w:pStyle w:val="TextoNormal"/>
      </w:pPr>
      <w:r w:rsidRPr="0026452D">
        <w:rPr>
          <w:rStyle w:val="NumeroAFNegritaCaracter"/>
        </w:rPr>
        <w:t>9</w:t>
      </w:r>
      <w:r>
        <w:t>. Lo expuesto permite concluir que el requisito contenido en la letra c) de la disposición adicional tercera de la Ley 40/2007, de 4 de diciembre, constituye una directa vulneración del principio de igualdad ante la ley consagrado por el art. 14 CE, pues la diferencia de trato que se establece por la norma cuestionada entre parejas de hecho, en razón a que hubieran tenido o no hijos en común, no sólo no obedece, como se ha visto, a ninguna razón objetivamente justificada, relacionada con la propia esencia, fundamento o finalidad de la pensión de viudedad especial regulada en la referida disposición adicional de la Ley 40/2007 (aplicable sólo a hechos causantes acaecidos antes de su entrada en vigor), sino que conduce además a un resultado desproporcionado, al impedir injustificadamente a determinados supérstites de parejas de hecho el acceso a la protección dispensada mediante dicha pensión, por ser de imposible cumplimiento (por razones biológicas o jurídicas) la exigencia de haber tenido hijos comunes.</w:t>
      </w:r>
    </w:p>
    <w:p w:rsidR="0026452D" w:rsidRDefault="0026452D" w:rsidP="0026452D">
      <w:pPr>
        <w:pStyle w:val="TextoNormal"/>
      </w:pPr>
    </w:p>
    <w:p w:rsidR="0026452D" w:rsidRDefault="0026452D" w:rsidP="0026452D">
      <w:pPr>
        <w:pStyle w:val="TextoNormal"/>
      </w:pPr>
      <w:r>
        <w:t>Ello conduce a declarar por este motivo la inconstitucionalidad y nulidad de la letra c) de la disposición adicional tercera de la Ley 40/2007, lo que hace innecesario que nos pronunciemos acerca de si, además, el precepto en cuestión conlleva una vulneración de la prohibición de discriminación en función de “cualquier otra condición o circunstancia personal o social” a la que art. 14 CE se refiere, en particular por causa de la orientación sexual, en la medida en que el requisito de haber tenido hijos comunes resulta de muy difícil o imposible cumplimiento para las parejas de hecho del mismo sexo, conforme a los argumentos que han quedado anteriormente expuestos.</w:t>
      </w:r>
    </w:p>
    <w:p w:rsidR="0026452D" w:rsidRDefault="0026452D" w:rsidP="0026452D">
      <w:pPr>
        <w:pStyle w:val="TextoNormal"/>
      </w:pPr>
    </w:p>
    <w:p w:rsidR="0026452D" w:rsidRDefault="0026452D" w:rsidP="0026452D">
      <w:pPr>
        <w:pStyle w:val="TextoNormal"/>
      </w:pPr>
      <w:r>
        <w:t xml:space="preserve">Ha de advertirse que esta declaración de inconstitucionalidad y nulidad, que tiene efectos </w:t>
      </w:r>
      <w:r w:rsidRPr="0026452D">
        <w:rPr>
          <w:i/>
        </w:rPr>
        <w:t>erga omnes</w:t>
      </w:r>
      <w:r>
        <w:t xml:space="preserve"> desde la fecha de publicación de la presente Sentencia en el “Boletín Oficial del Estado” (art. 164.1 CE y art. 38.1 LOTC), no permite que quienes, por no cumplir el requisito de haber tenido hijos en común con el causante, no solicitaron la pensión de viudedad prevista en la disposición adicional tercera de la Ley 40/2007 en el plazo de los doce meses siguientes a la entrada en vigor de dicha Ley, puedan reclamar ahora la pensión, toda vez que el referido requisito temporal, establecido en la letra e) de la misma disposición, ni ha sido cuestionado, ni cabe que este Tribunal extienda al mismo la declaración de inconstitucionalidad y nulidad de la letra c) de dicha disposición, al no concurrir entre uno y otro inciso la conexión o consecuencia que para extender la declaración de nulidad exige el art. 39.1 LOTC. Tampoco permite, claro está, revisar procesos fenecidos mediante sentencia con fuerza de cosa juzgada en los que se haya hecho aplicación de lo dispuesto en la letra c) de la disposición adicional tercera de la Ley 40/2007 (art. 40.1 LOTC).</w:t>
      </w:r>
    </w:p>
    <w:p w:rsidR="0026452D" w:rsidRDefault="0026452D" w:rsidP="0026452D">
      <w:pPr>
        <w:pStyle w:val="TextoNormal"/>
      </w:pPr>
    </w:p>
    <w:p w:rsidR="0026452D" w:rsidRDefault="0026452D" w:rsidP="0026452D">
      <w:pPr>
        <w:pStyle w:val="TextoNormalCentrado"/>
        <w:keepNext/>
      </w:pPr>
      <w:r>
        <w:lastRenderedPageBreak/>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la presente cuestión de inconstitucionalidad y, en consecuencia, declarar inconstitucional y nula la letra “c) Que el causante y el beneficiario hubieran tenido hijos comunes”, de la disposición adicional tercera de la Ley 40/2007, de 4 de diciembre, de medidas en materia de Seguridad Social.</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febrero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Francisco Pérez de los Cobos Orihuel a la Sentencia dictada por el Pleno con fecha 14 de febrero de 2013 que resuelve la cuestión de inconstitucionalidad núm. 8970-2008, al que se adhieren los Magistrados don Ramón Rodríguez Arribas, don Andrés Ollero Tassara y don Juan José González Rivas.</w:t>
      </w:r>
    </w:p>
    <w:p w:rsidR="0026452D" w:rsidRDefault="0026452D" w:rsidP="0026452D">
      <w:pPr>
        <w:pStyle w:val="TextoNormalNegritaCentrado"/>
        <w:keepNext/>
      </w:pPr>
    </w:p>
    <w:p w:rsidR="0026452D" w:rsidRDefault="0026452D" w:rsidP="0026452D">
      <w:pPr>
        <w:pStyle w:val="TextoNormal"/>
      </w:pPr>
      <w:r>
        <w:t>Con el debido respeto al parecer mayoritario del Pleno del Tribunal Constitucional, en uso de la facultad que me atribuye el art. 90.2 de la Ley Orgánica del Tribunal Constitucional, me veo en la obligación de manifestar a través de este Voto particular mi discrepancia con el fallo y la fundamentación jurídica (concretamente los fundamentos jurídicos 7, 8 y 9) de la Sentencia que ha estimado la presente cuestión de inconstitucionalidad.</w:t>
      </w:r>
    </w:p>
    <w:p w:rsidR="0026452D" w:rsidRDefault="0026452D" w:rsidP="0026452D">
      <w:pPr>
        <w:pStyle w:val="TextoNormal"/>
      </w:pPr>
    </w:p>
    <w:p w:rsidR="0026452D" w:rsidRDefault="0026452D" w:rsidP="0026452D">
      <w:pPr>
        <w:pStyle w:val="TextoNormal"/>
      </w:pPr>
      <w:r>
        <w:t>La principal razón de mi discrepancia radica en que, a mi juicio, contra el parecer mayoritario del Tribunal, el requisito de haber tenido hijos comunes, establecido en la letra c) de la disposición adicional tercera de la Ley 40/2007, de 4 de diciembre, de medidas en materia de Seguridad Social, para acceder a la pensión de viudedad, que con carácter excepcional y retroactivo allí se establece, era un requisito razonable.</w:t>
      </w:r>
    </w:p>
    <w:p w:rsidR="0026452D" w:rsidRDefault="0026452D" w:rsidP="0026452D">
      <w:pPr>
        <w:pStyle w:val="TextoNormal"/>
      </w:pPr>
    </w:p>
    <w:p w:rsidR="0026452D" w:rsidRDefault="0026452D" w:rsidP="0026452D">
      <w:pPr>
        <w:pStyle w:val="TextoNormal"/>
      </w:pPr>
      <w:r>
        <w:t>La jurisprudencia constitucional ha venido declarando de manera reiterada que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128/2009, de 1 de junio, FJ 4), y en relación con la pensión de viudedad ha manifestado, concretamente, que “el legislador dispone de un amplio margen de libertad en la configuración del sistema de Seguridad Social y en la apreciación de las circunstancias socioeconómicas a la hora de administrar recursos limitados para atender a un gran número de necesidades sociales” (STC 69/2007, de 16 de abril, FJ 3)</w:t>
      </w:r>
    </w:p>
    <w:p w:rsidR="0026452D" w:rsidRDefault="0026452D" w:rsidP="0026452D">
      <w:pPr>
        <w:pStyle w:val="TextoNormal"/>
      </w:pPr>
    </w:p>
    <w:p w:rsidR="0026452D" w:rsidRDefault="0026452D" w:rsidP="0026452D">
      <w:pPr>
        <w:pStyle w:val="TextoNormal"/>
      </w:pPr>
      <w:r>
        <w:t xml:space="preserve">Pues bien, disponiendo de estos márgenes de libertad, la Ley 40/2007, de 4 de diciembre, decidió extender la pensión de viudedad a los supérstites de las parejas de hecho, pero no presumiendo sin más como en los supuestos de matrimonio la existencia de la situación de </w:t>
      </w:r>
      <w:r>
        <w:lastRenderedPageBreak/>
        <w:t>necesidad (art. 174.1 Ley general de la Seguridad Social: LGSS), sino exigiendo la concurrencia de determinados requisitos que actúan como criterios de delimitación de la situación protegida. Para los hechos causantes posteriores a la Ley 40/2007, el legislador optó por definir la situación de necesidad mediante un elemento de ponderación económica que atiende al nivel de ingresos del supérstite en el momento de producirse el fallecimiento, o en su caso, en el año inmediatamente anterior y por referencia a su proporción respecto a la suma con los del causante (art. 174.3 LGSS). En los supuestos en que el hecho causante se había producido antes de la entrada en vigor de la Ley 40/2007, y habida cuenta de que se trataba de configurar una pensión excepcional, de carácter retroactivo y de que el fallecimiento del causante podía haber acontecido años atrás, el legislador optó por delimitar la situación de necesidad mediante un criterio de ponderación distinto y vino a exigir para otorgar el derecho a la pensión “que el causante y el beneficiario hubieran tenido hijos comunes” (letra c) disposición adicional tercera Ley 40/2007).</w:t>
      </w:r>
    </w:p>
    <w:p w:rsidR="0026452D" w:rsidRDefault="0026452D" w:rsidP="0026452D">
      <w:pPr>
        <w:pStyle w:val="TextoNormal"/>
      </w:pPr>
    </w:p>
    <w:p w:rsidR="0026452D" w:rsidRDefault="0026452D" w:rsidP="0026452D">
      <w:pPr>
        <w:pStyle w:val="TextoNormal"/>
      </w:pPr>
      <w:r>
        <w:t xml:space="preserve">A mi entender, que el legislador decidiera utilizar el hecho de haber tenido descendencia común como criterio de selección de la situación merecedora de protección no puede considerarse carente de justificación objetiva y razonable, atendidos los limitados recursos económicos del sistema de Seguridad Social. Haber tenido hijos en común implica la existencia de mayores cargas familiares, anteriores y/o posteriores al hecho causante, cuya atención incide en todo caso sobre la capacidad económica del superviviente. Su valoración por el legislador, por tanto, encaja perfectamente en la lógica de esta prestación dirigida a compensar el daño que la muerte del causante produce en el beneficiario por la falta o minoración de ingresos de los que participaba, sin que resulte desprovisto de sentido presumir que este daño es mayor cuando han existido hijos comunes. La exigencia de hijos comunes no es, por lo demás, un requisito ajeno a la regulación de la pensión de viudedad, pues el legislador lo contempla también en otros supuestos (art. 174.1 </w:t>
      </w:r>
      <w:r w:rsidRPr="0026452D">
        <w:rPr>
          <w:i/>
        </w:rPr>
        <w:t>in fine</w:t>
      </w:r>
      <w:r>
        <w:t xml:space="preserve"> LGSS).</w:t>
      </w:r>
    </w:p>
    <w:p w:rsidR="0026452D" w:rsidRDefault="0026452D" w:rsidP="0026452D">
      <w:pPr>
        <w:pStyle w:val="TextoNormal"/>
      </w:pPr>
    </w:p>
    <w:p w:rsidR="0026452D" w:rsidRDefault="0026452D" w:rsidP="0026452D">
      <w:pPr>
        <w:pStyle w:val="TextoNormal"/>
      </w:pPr>
      <w:r>
        <w:t>En la lógica de la regulación sometida a nuestra consideración, el requisito cuestionado desplegaba una segunda virtualidad y era la de constituir un indicio probatorio concluyente de la existencia de la pareja de hecho, entendida en los términos legales como la constituida con análoga relación de afectividad a la conyugal [letra b) de la disposición adicional tercera de la Ley 40/2007 por remisión al primer inciso del párrafo cuarto del art. 174.3 LGSS]. Para los supuestos en los que el hecho causante es posterior a la Ley 40/2007, el art. 174 LGSS en los incisos segundo y tercero de su párrafo cuarto, exige, como regla común, que la existencia de la pareja de hecho se acredite mediante certificación de la inscripción en alguno de los registros específicos existentes en las Comunidades Autónomas o ayuntamientos del lugar de residencia o mediante documento público en el que conste la constitución de dicha pareja, que en todo caso deberá haberse producido con una antelación mínima de dos años con respecto de la fecha de fallecimiento del causante. En los supuestos en los que el hecho causante es anterior a la Ley 40/2007, el carácter retroactivo de la pensión de viudedad llevó al legislador a no exigir estas formalidades para acreditar la existencia de la pareja de hecho, estableciendo en su lugar la exigencia de haber tenido hijos en común, requisito que actuaba como concluyente indicador de la veraz existencia de dicha unión y que servía para conjurar el riesgo de que se produjeran reclamaciones abusivas o fraudulentas y se acabara reconociendo la pensión de viudedad a quienes, pese a acreditar el periodo de convivencia exigido por la norma, no hubieran mantenido realmente con el causante la relación de afectividad análoga a la conyugal que la Ley requiere para ser beneficiario de la prestación.</w:t>
      </w:r>
    </w:p>
    <w:p w:rsidR="0026452D" w:rsidRDefault="0026452D" w:rsidP="0026452D">
      <w:pPr>
        <w:pStyle w:val="TextoNormal"/>
      </w:pPr>
    </w:p>
    <w:p w:rsidR="0026452D" w:rsidRDefault="0026452D" w:rsidP="0026452D">
      <w:pPr>
        <w:pStyle w:val="TextoNormal"/>
      </w:pPr>
      <w:r>
        <w:t>En mi opinión, por consiguiente, tampoco desde esta perspectiva, el requisito cuestionado puede considerarse injustificado, antes al contrario, resulta completamente acorde con el deber constitucional de que la ejecución del gasto público, en este caso en materia de prestaciones de Seguridad Social, se realice de acuerdo con el principio de eficiencia (art. 31.2 CE).</w:t>
      </w:r>
    </w:p>
    <w:p w:rsidR="0026452D" w:rsidRDefault="0026452D" w:rsidP="0026452D">
      <w:pPr>
        <w:pStyle w:val="TextoNormal"/>
      </w:pPr>
    </w:p>
    <w:p w:rsidR="0026452D" w:rsidRDefault="0026452D" w:rsidP="0026452D">
      <w:pPr>
        <w:pStyle w:val="TextoNormal"/>
      </w:pPr>
      <w:r>
        <w:t>Se produce, además, la situación paradójica de que, tras la intervención “racionalizadora” del Tribunal Constitucional, la regulación de la “pensión de viudedad en supuestos especiales” prevista en la disposición adicional tercera de la Ley 40/2007, resulta menos razonable que la originaria, y ello por dos razones:</w:t>
      </w:r>
    </w:p>
    <w:p w:rsidR="0026452D" w:rsidRDefault="0026452D" w:rsidP="0026452D">
      <w:pPr>
        <w:pStyle w:val="TextoNormal"/>
      </w:pPr>
    </w:p>
    <w:p w:rsidR="0026452D" w:rsidRDefault="0026452D" w:rsidP="0026452D">
      <w:pPr>
        <w:pStyle w:val="TextoNormal"/>
      </w:pPr>
      <w:r>
        <w:t>En primer lugar, porque, declarado inconstitucional y nulo el requisito de que el causante y el beneficiario hubieran tenido hijos comunes, se priva al precepto del único instrumento del que éste se servía para constatar la existencia de una relación de afectividad análoga a la conyugal y, en consecuencia, para acreditar la existencia de la pareja de hecho bastará acreditar una convivencia ininterrumpida, mediante el correspondiente certificado de empadronamiento, durante, al menos, los seis años anteriores al fallecimiento del causante.</w:t>
      </w:r>
    </w:p>
    <w:p w:rsidR="0026452D" w:rsidRDefault="0026452D" w:rsidP="0026452D">
      <w:pPr>
        <w:pStyle w:val="TextoNormal"/>
      </w:pPr>
    </w:p>
    <w:p w:rsidR="0026452D" w:rsidRDefault="0026452D" w:rsidP="0026452D">
      <w:pPr>
        <w:pStyle w:val="TextoNormal"/>
      </w:pPr>
      <w:r>
        <w:t>En segundo lugar, porque, eliminado el requisito en cuestión, el acceso a la pensión “excepcional” y retroactiva que configuró el legislador resulta más asequible que el previsto con carácter general para las parejas de hecho.</w:t>
      </w:r>
    </w:p>
    <w:p w:rsidR="0026452D" w:rsidRDefault="0026452D" w:rsidP="0026452D">
      <w:pPr>
        <w:pStyle w:val="TextoNormal"/>
      </w:pPr>
    </w:p>
    <w:p w:rsidR="0026452D" w:rsidRDefault="0026452D" w:rsidP="0026452D">
      <w:pPr>
        <w:pStyle w:val="TextoNormal"/>
      </w:pPr>
      <w:r>
        <w:t>En conclusión, el requisito que la mayoría del Pleno considera irrazonable, a mi juicio, no lo es y, anulado el mismo, la regulación legal queda seriamente menoscabada en su lógica.</w:t>
      </w:r>
    </w:p>
    <w:p w:rsidR="0026452D" w:rsidRDefault="0026452D" w:rsidP="0026452D">
      <w:pPr>
        <w:pStyle w:val="TextoNormal"/>
      </w:pPr>
    </w:p>
    <w:p w:rsidR="0026452D" w:rsidRDefault="0026452D" w:rsidP="0026452D">
      <w:pPr>
        <w:pStyle w:val="TextoNormal"/>
      </w:pPr>
      <w:r>
        <w:t>Madrid, a diecinueve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45" w:name="SENTENCIA_2013_42"/>
      <w:r>
        <w:lastRenderedPageBreak/>
        <w:t>SENTENCIA 42/2013, de 14 de febrero de 2013</w:t>
      </w:r>
    </w:p>
    <w:bookmarkEnd w:id="45"/>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61, de 12 de marzo de 2013)</w:t>
      </w:r>
    </w:p>
    <w:p w:rsidR="0026452D" w:rsidRDefault="0026452D" w:rsidP="0026452D">
      <w:pPr>
        <w:pStyle w:val="TtuloBOE"/>
      </w:pPr>
    </w:p>
    <w:p w:rsidR="0026452D" w:rsidRDefault="0026452D" w:rsidP="0026452D">
      <w:pPr>
        <w:pStyle w:val="SntesisDescriptiva"/>
      </w:pPr>
      <w:r>
        <w:t>ECLI:ES:TC:2013:42</w:t>
      </w:r>
    </w:p>
    <w:p w:rsidR="0026452D" w:rsidRDefault="0026452D" w:rsidP="0026452D">
      <w:pPr>
        <w:pStyle w:val="SntesisDescriptiva"/>
      </w:pPr>
    </w:p>
    <w:p w:rsidR="0026452D" w:rsidRDefault="0026452D" w:rsidP="0026452D">
      <w:pPr>
        <w:pStyle w:val="SntesisDescriptiva"/>
      </w:pPr>
      <w:r>
        <w:t>Cuestión de inconstitucionalidad 9200-2008. Planteada por el Juzgado de Primera Instancia núm. 1 de Lleida en relación con el artículo 121.21 d) de la primera Ley del Código civil de Cataluña, aprobada por Ley del Parlamento de Cataluña 29/2002, de 30 de diciembre.</w:t>
      </w:r>
    </w:p>
    <w:p w:rsidR="0026452D" w:rsidRDefault="0026452D" w:rsidP="0026452D">
      <w:pPr>
        <w:pStyle w:val="SntesisDescriptiva"/>
      </w:pPr>
    </w:p>
    <w:p w:rsidR="0026452D" w:rsidRDefault="0026452D" w:rsidP="0026452D">
      <w:pPr>
        <w:pStyle w:val="SntesisAnaltica"/>
      </w:pPr>
      <w:r>
        <w:t>Principio de igualdad ante la ley; competencias sobre legislación procesal y Derecho civil: inadmisión de la cuestión de inconstitucionalidad al plantearse respecto de un precepto legal que no se encontraba vigente al momento de producirse los hechos objeto de enjuiciamiento.</w:t>
      </w:r>
    </w:p>
    <w:p w:rsidR="0026452D" w:rsidRDefault="0026452D" w:rsidP="0026452D">
      <w:pPr>
        <w:pStyle w:val="SntesisAnaltica"/>
      </w:pPr>
    </w:p>
    <w:p w:rsidR="0026452D" w:rsidRDefault="0026452D" w:rsidP="0026452D">
      <w:pPr>
        <w:pStyle w:val="Extracto"/>
      </w:pPr>
      <w:r>
        <w:t>1.</w:t>
      </w:r>
      <w:r>
        <w:tab/>
        <w:t xml:space="preserve">A pesar de ser el propio juzgador a quien le asalta la duda derivada del conflicto de normas autonómica y estatal sobre prescripción de la acción de responsabilidad extracontractual, en ningún momento puso en contraste los elementos temporales del caso con la fecha de entrada en vigor de la norma de cuya constitucionalidad duda, razón por la cual, dado que en el proceso </w:t>
      </w:r>
      <w:r w:rsidRPr="0026452D">
        <w:rPr>
          <w:i/>
        </w:rPr>
        <w:t>a quo</w:t>
      </w:r>
      <w:r>
        <w:t xml:space="preserve"> se sustancia una pretensión relativa a una responsabilidad extracontractual nacida con anterioridad a la entrada en vigor de la norma cuestionada, no se supera el juicio de relevancia [FJ 4].</w:t>
      </w:r>
    </w:p>
    <w:p w:rsidR="0026452D" w:rsidRDefault="0026452D" w:rsidP="0026452D">
      <w:pPr>
        <w:pStyle w:val="Extracto"/>
      </w:pPr>
    </w:p>
    <w:p w:rsidR="0026452D" w:rsidRDefault="0026452D" w:rsidP="0026452D">
      <w:pPr>
        <w:pStyle w:val="Extracto"/>
      </w:pPr>
      <w:r>
        <w:t>2.</w:t>
      </w:r>
      <w:r>
        <w:tab/>
        <w:t>Siendo controvertida la aplicación al caso de la norma cuestionada por razones temporales y no habiendo el Magistrado-Juez emitido juicio alguno sobre las consecuencias que pudiera acarrear el régimen transitorio previsto en la Ley cuestionada, queda abierta la posibilidad de que del artículo cuestionado no dependa el signo de su pronunciamiento y, consecuentemente, que nuestra Sentencia resulte innecesaria o indiferente para la decisión del proceso, lo que no satisface suficientemente los juicios de aplicabilidad y relevancia exigidos por el art. 35 LOTC (STC 84/2012; AATC 39/2012, 191/2012) [FJ 5].</w:t>
      </w:r>
    </w:p>
    <w:p w:rsidR="0026452D" w:rsidRDefault="0026452D" w:rsidP="0026452D">
      <w:pPr>
        <w:pStyle w:val="Extracto"/>
      </w:pPr>
    </w:p>
    <w:p w:rsidR="0026452D" w:rsidRDefault="0026452D" w:rsidP="0026452D">
      <w:pPr>
        <w:pStyle w:val="Extracto"/>
      </w:pPr>
      <w:r>
        <w:t>3.</w:t>
      </w:r>
      <w:r>
        <w:tab/>
        <w:t>Doctrina constitucional sobre el juicio de aplicabilidad de la cuestión de inconstitucionalidad (STC 84/2012; AATC 39/2012, 206/2012) [FJ 5].</w:t>
      </w:r>
    </w:p>
    <w:p w:rsidR="0026452D" w:rsidRDefault="0026452D" w:rsidP="0026452D">
      <w:pPr>
        <w:pStyle w:val="Extracto"/>
      </w:pPr>
    </w:p>
    <w:p w:rsidR="0026452D" w:rsidRDefault="0026452D" w:rsidP="0026452D">
      <w:pPr>
        <w:pStyle w:val="Extracto"/>
      </w:pPr>
      <w:r>
        <w:t>4.</w:t>
      </w:r>
      <w:r>
        <w:tab/>
        <w:t>Doctrina constitucional sobre el juicio de relevancia de la cuestión de inconstitucionalidad (SSTC 17/1981, 87/2012) [FJ 2].</w:t>
      </w:r>
    </w:p>
    <w:p w:rsidR="0026452D" w:rsidRDefault="0026452D" w:rsidP="0026452D">
      <w:pPr>
        <w:pStyle w:val="Extracto"/>
      </w:pPr>
    </w:p>
    <w:p w:rsidR="0026452D" w:rsidRDefault="0026452D" w:rsidP="0026452D">
      <w:pPr>
        <w:pStyle w:val="Extracto"/>
      </w:pPr>
      <w:r>
        <w:t>5.</w:t>
      </w:r>
      <w:r>
        <w:tab/>
        <w:t>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(SSTC 84/2012,  222/2012)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lastRenderedPageBreak/>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la cuestión de inconstitucionalidad núm. 9200-2008, planteada por el Juzgado de Primera Instancia núm. 1 de Lleida sobre el art. 121.21 d) de la primera Ley del Código civil de Cataluña, aprobada por Ley del Parlamento de Cataluña 29/2002, de 30 de diciembre, por posible vulneración de los arts. 14, 149.1.6 y 8 de la Constitución. Han intervenido el Letrado del Parlamento de Cataluña y el Abogado de la Generalitat de Cataluña, en la representación que ostentan, y el Fiscal General del Estado. Ha sido Ponente el Magistrado don Fernando Valdés Dal-Ré,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día 24 de noviembre de 2008 tuvo entrada en el Registro General de este Tribunal un escrito del Magistrado-Juez del Juzgado de Primera Instancia núm. 1 de Lleida al que se acompañaba, junto al testimonio de las actuaciones correspondientes al procedimiento ordinario núm. 1600-2007, el Auto de 28 de octubre de 2008 por el que acuerda plantear cuestión de inconstitucionalidad en relación con el art. 121.21 d) de la primera Ley del Código civil de Cataluña, aprobada por Ley del Parlamento de Cataluña 29/2002, de 30 de diciembre, por posible vulneración de los arts. 14, 149.1.6 y 8 de la Constitución.</w:t>
      </w:r>
    </w:p>
    <w:p w:rsidR="0026452D" w:rsidRDefault="0026452D" w:rsidP="0026452D">
      <w:pPr>
        <w:pStyle w:val="TextoNormal"/>
      </w:pPr>
    </w:p>
    <w:p w:rsidR="0026452D" w:rsidRDefault="0026452D" w:rsidP="0026452D">
      <w:pPr>
        <w:pStyle w:val="TextoNormal"/>
      </w:pPr>
      <w:r w:rsidRPr="0026452D">
        <w:rPr>
          <w:rStyle w:val="NumeroAFNegritaCaracter"/>
        </w:rPr>
        <w:t>2</w:t>
      </w:r>
      <w:r>
        <w:t>. Los antecedentes de hecho del planteamiento de la presente cuestión de inconstitucionalidad son, en síntesis, los siguientes:</w:t>
      </w:r>
    </w:p>
    <w:p w:rsidR="0026452D" w:rsidRDefault="0026452D" w:rsidP="0026452D">
      <w:pPr>
        <w:pStyle w:val="TextoNormal"/>
      </w:pPr>
    </w:p>
    <w:p w:rsidR="0026452D" w:rsidRDefault="0026452D" w:rsidP="0026452D">
      <w:pPr>
        <w:pStyle w:val="TextoNormal"/>
      </w:pPr>
      <w:r>
        <w:t>a) El día 14 de diciembre de 2007 la representación procesal de don Antonio Martínez Escudero presentó en el Decanato de los Juzgados de Lleida demanda de juicio ordinario contra La Ferrería de Bell-lloc, S.L., y la aseguradora Mapfre Industrial, S.A., Seguros y Reaseguros, en ejercicio de acción de responsabilidad extracontractual o aquiliana, reclamando la cantidad de 16.748,05 €, más intereses legales y costas; importe que correspondería al actor como indemnización de las consecuencias de determinado accidente, ocurrido el día 9 de julio de 2001.</w:t>
      </w:r>
    </w:p>
    <w:p w:rsidR="0026452D" w:rsidRDefault="0026452D" w:rsidP="0026452D">
      <w:pPr>
        <w:pStyle w:val="TextoNormal"/>
      </w:pPr>
    </w:p>
    <w:p w:rsidR="0026452D" w:rsidRDefault="0026452D" w:rsidP="0026452D">
      <w:pPr>
        <w:pStyle w:val="TextoNormal"/>
      </w:pPr>
      <w:r>
        <w:t>b) Turnada la demanda al Juzgado que plantea la cuestión de inconstitucionalidad, fue admitida a trámite por Auto del día 6 de febrero de 2008, acordándose emplazar a las sociedades demandadas para que pudieran contestar a la demanda.</w:t>
      </w:r>
    </w:p>
    <w:p w:rsidR="0026452D" w:rsidRDefault="0026452D" w:rsidP="0026452D">
      <w:pPr>
        <w:pStyle w:val="TextoNormal"/>
      </w:pPr>
    </w:p>
    <w:p w:rsidR="0026452D" w:rsidRDefault="0026452D" w:rsidP="0026452D">
      <w:pPr>
        <w:pStyle w:val="TextoNormal"/>
      </w:pPr>
      <w:r>
        <w:lastRenderedPageBreak/>
        <w:t>c) Mediante escritos de 7 y 14 de marzo comparecieron las dos partes demandadas, oponiéndose a los pedimentos de la parte actora. Aducían que la acción ejercitada estaba prescrita, toda vez que el siniestro del que derivaba la pretensión había ocurrido en julio de 2001 y la reclamación extrajudicial tuvo lugar el 28 de diciembre de 2004, como después, en un segundo momento, a través de burofax de fecha 12 de diciembre de 2005, por lo que habría transcurrido con creces el plazo de un año (art. 1968.2 del Código civil) desde la producción del accidente hasta la primera reclamación extrajudicial, y también desde la reclamación de diciembre de 2005 hasta la fecha de presentación de la demanda, que se produjo en diciembre de 2007.</w:t>
      </w:r>
    </w:p>
    <w:p w:rsidR="0026452D" w:rsidRDefault="0026452D" w:rsidP="0026452D">
      <w:pPr>
        <w:pStyle w:val="TextoNormal"/>
      </w:pPr>
    </w:p>
    <w:p w:rsidR="0026452D" w:rsidRDefault="0026452D" w:rsidP="0026452D">
      <w:pPr>
        <w:pStyle w:val="TextoNormal"/>
      </w:pPr>
      <w:r>
        <w:t>En el acto de audiencia previa, celebrado el día 17 de abril de 2008, la parte actora argumentó que el plazo de prescripción de la acción de responsabilidad extracontractual no era el previsto en el Código civil, como invocaban las demandadas, sino el plazo trienal del art. 121.21 d) del Código civil de Cataluña. El juzgador dispuso que la excepción de prescripción de la acción alegada por las partes demandadas se resolvería en Sentencia, con carácter previo a conocer el fondo del asunto.</w:t>
      </w:r>
    </w:p>
    <w:p w:rsidR="0026452D" w:rsidRDefault="0026452D" w:rsidP="0026452D">
      <w:pPr>
        <w:pStyle w:val="TextoNormal"/>
      </w:pPr>
    </w:p>
    <w:p w:rsidR="0026452D" w:rsidRDefault="0026452D" w:rsidP="0026452D">
      <w:pPr>
        <w:pStyle w:val="TextoNormal"/>
      </w:pPr>
      <w:r>
        <w:t>d) Por providencia de 31 de julio de 2008, el Juzgado de Primera Instancia núm. 1 de Lleida acordó, de conformidad con lo dispuesto en el art. 35.2 de la Ley Orgánica del Tribunal Constitucional (LOTC), oír a las partes y al Ministerio Fiscal por plazo común de diez días para que alegaran lo que estimaran oportuno sobre la pertinencia de plantear cuestión de inconstitucionalidad sobre el artículo 121.21 d) de la Ley 29/2002, de 30 de diciembre, del Parlamento de Cataluña, por la que se aprueba la primera Ley del Código civil de Cataluña, por su eventual colisión con los arts. 14 y 149.1. 6 y 8 del texto constitucional.</w:t>
      </w:r>
    </w:p>
    <w:p w:rsidR="0026452D" w:rsidRDefault="0026452D" w:rsidP="0026452D">
      <w:pPr>
        <w:pStyle w:val="TextoNormal"/>
      </w:pPr>
    </w:p>
    <w:p w:rsidR="0026452D" w:rsidRDefault="0026452D" w:rsidP="0026452D">
      <w:pPr>
        <w:pStyle w:val="TextoNormal"/>
      </w:pPr>
      <w:r>
        <w:t>e) Evacuando el trámite conferido, el Ministerio Fiscal destacaba que el precepto referido establece un período de prescripción de acciones derivadas de responsabilidad extracontractual diferente al que establece la norma estatal, por lo que incide en el fondo de la cuestión planteada y suscita la duda de si dicha norma entra dentro del ámbito del art. 149.1. 6 y 8 CE. Consideraba, por el contrario, que la cuestión no debía extenderse al art. 14 CE, ya que no se encuadra la acción en un procedimiento de defensa de derechos fundamentales.</w:t>
      </w:r>
    </w:p>
    <w:p w:rsidR="0026452D" w:rsidRDefault="0026452D" w:rsidP="0026452D">
      <w:pPr>
        <w:pStyle w:val="TextoNormal"/>
      </w:pPr>
    </w:p>
    <w:p w:rsidR="0026452D" w:rsidRDefault="0026452D" w:rsidP="0026452D">
      <w:pPr>
        <w:pStyle w:val="TextoNormal"/>
      </w:pPr>
      <w:r>
        <w:t>f) La parte demandante presentó escrito en el que se oponía al planteamiento de la cuestión de inconstitucionalidad. Citaba el ATC 349/2003, de 29 de octubre, del que a su juicio se desprendería la aplicación al caso del art. 121.21 d) de la Ley 29/2002, de 30 de diciembre, del Parlamento de Cataluña. Por su parte, las sociedades demandadas en el proceso, tras un segundo requerimiento, evacuaron el trámite en un único escrito, subrayando que, desde la fecha del accidente (julio de 2001) hasta la primera reclamación extrajudicial de la actora (diciembre de 2004), habían transcurrido tanto el año de prescripción que marca el Código civil, como el plazo de tres años que fija la Ley catalana, por lo que sería innecesario promover la cuestión de inconstitucionalidad.</w:t>
      </w:r>
    </w:p>
    <w:p w:rsidR="0026452D" w:rsidRDefault="0026452D" w:rsidP="0026452D">
      <w:pPr>
        <w:pStyle w:val="TextoNormal"/>
      </w:pPr>
    </w:p>
    <w:p w:rsidR="0026452D" w:rsidRDefault="0026452D" w:rsidP="0026452D">
      <w:pPr>
        <w:pStyle w:val="TextoNormal"/>
      </w:pPr>
      <w:r>
        <w:t xml:space="preserve">g) Por Auto de 9 de octubre y providencia de 13 de octubre de 2008 se concedió nuevo plazo de alegaciones, respectivamente, a la parte demandada y al demandante en el proceso, al estimar el juzgador que no habían cumplido debidamente el trámite; la primera porque a la vista de las actuaciones —y en contra de lo que afirmó en su escrito— no había transcurrido el plazo de prescripción que fija la Ley catalana; y el segundo, por su lado, porque el </w:t>
      </w:r>
      <w:r>
        <w:lastRenderedPageBreak/>
        <w:t>Auto del Tribunal Constitucional que citaba en su escrito se ocupó de un precepto diferente del que era objeto de debate en estos autos.</w:t>
      </w:r>
    </w:p>
    <w:p w:rsidR="0026452D" w:rsidRDefault="0026452D" w:rsidP="0026452D">
      <w:pPr>
        <w:pStyle w:val="TextoNormal"/>
      </w:pPr>
    </w:p>
    <w:p w:rsidR="0026452D" w:rsidRDefault="0026452D" w:rsidP="0026452D">
      <w:pPr>
        <w:pStyle w:val="TextoNormal"/>
      </w:pPr>
      <w:r>
        <w:t>Ambas partes se opusieron en el nuevo trámite al planteamiento de la cuestión, entendiendo que la norma catalana no invadía competencias estatales.</w:t>
      </w:r>
    </w:p>
    <w:p w:rsidR="0026452D" w:rsidRDefault="0026452D" w:rsidP="0026452D">
      <w:pPr>
        <w:pStyle w:val="TextoNormal"/>
      </w:pPr>
    </w:p>
    <w:p w:rsidR="0026452D" w:rsidRDefault="0026452D" w:rsidP="0026452D">
      <w:pPr>
        <w:pStyle w:val="TextoNormal"/>
      </w:pPr>
      <w:r>
        <w:t>h) El Juzgado de Primera Instancia núm. 1 de Lleida dictó Auto el 28 de octubre de 2008, cuya parte dispositiva acuerda promover cuestión de inconstitucionalidad en relación al artículo 121.21 d) de la primera Ley del Código civil de Cataluña, aprobada por Ley 29/2002, de 30 de diciembre, del Parlamento de Cataluña.</w:t>
      </w:r>
    </w:p>
    <w:p w:rsidR="0026452D" w:rsidRDefault="0026452D" w:rsidP="0026452D">
      <w:pPr>
        <w:pStyle w:val="TextoNormal"/>
      </w:pPr>
    </w:p>
    <w:p w:rsidR="0026452D" w:rsidRDefault="0026452D" w:rsidP="0026452D">
      <w:pPr>
        <w:pStyle w:val="TextoNormal"/>
      </w:pPr>
      <w:r w:rsidRPr="0026452D">
        <w:rPr>
          <w:rStyle w:val="NumeroAFNegritaCaracter"/>
        </w:rPr>
        <w:t>3</w:t>
      </w:r>
      <w:r>
        <w:t>. A juicio del órgano judicial, la acción se ejercitó con evidente extemporaneidad en relación con el plazo previsto en el artículo 1968, 2 del Código civil, pero dentro del plazo que regula el artículo 121.21 d) de la Ley 29/2002 del Parlamento de Cataluña, de modo que el signo de la Sentencia a dictar depende de la constitucionalidad de este último precepto.</w:t>
      </w:r>
    </w:p>
    <w:p w:rsidR="0026452D" w:rsidRDefault="0026452D" w:rsidP="0026452D">
      <w:pPr>
        <w:pStyle w:val="TextoNormal"/>
      </w:pPr>
    </w:p>
    <w:p w:rsidR="0026452D" w:rsidRDefault="0026452D" w:rsidP="0026452D">
      <w:pPr>
        <w:pStyle w:val="TextoNormal"/>
      </w:pPr>
      <w:r>
        <w:t>El art. 121.21 d) fija un plazo para el ejercicio de la acción de responsabilidad extracontractual diferente del que establece la legislación estatal, con invasión por parte del legislador catalán, a criterio del juzgador, de la competencia exclusiva del Estado en materia procesal (art.149.1.6 CE). Tal invasión no puede encontrar justificación en ninguna especialidad procesal que pudiera derivarse de alguna particularidad del derecho sustantivo de la Comunidad Autónoma de Cataluña, única hipótesis en que podría contemplarse la intervención normativa, según deduce de la doctrina establecida en la STC 47/2004, de 25 de marzo, que transcribe parcialmente. Añade un segundo razonamiento, relativo al art. 149.1.8 CE, por si se entendiera que el plazo que establece el precepto cuestionado no es de naturaleza procesal, sino de naturaleza sustantiva civil, y defiende en relación con ello que el establecimiento de un plazo específico por el legislador catalán para el ejercicio de las acciones basadas en la responsabilidad extracontractual no obedece tampoco a una regulación reveladora de la conservación, modificación y desarrollo por la Comunidad de Cataluña de su Derecho civil, foral o especial, único marco en el que aquella previsión constitucional le atribuye competencias. Termina aludiendo al art. 14 CE, ya que estima que el establecimiento por el Código civil de Cataluña de un plazo para el ejercicio de las acciones de responsabilidad extracontractual superior al fijado por el Código civil común, situaría en posición más favorable a las personas a cuya relación jurídica le fuera aplicable el Código autonómico que a aquéllas que vengan regidas por la norma estatal, sin que ello encuentre una explicación objetiva y razonable.</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13 de enero de 2009, el Pleno de este Tribunal acordó admitir a trámite la cuestión, así como dar traslado de las actuaciones recibidas, conforme establece el art. 37.3 LOTC, al Congreso de los Diputados y al Senado, por conducto de sus Presidentes; al Gobierno, por conducto del Ministro de Justicia, y al Fiscal General del Estado, así como al Gobierno y al Parlamento de Cataluña, por conducto de sus Presidentes, al objeto de que pudieran personarse en el proceso y formular las alegaciones que estimasen convenientes, y publicar la incoación de la cuestión en el “Boletín Oficial del Estado” y en el “Diari Oficial de la Generalitat de Catalunya”.</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5</w:t>
      </w:r>
      <w:r>
        <w:t>. Por escrito registrado el 29 de enero de 2009, el Abogado del Estado se personó en nombre del Gobierno, sin hacer alegaciones.</w:t>
      </w:r>
    </w:p>
    <w:p w:rsidR="0026452D" w:rsidRDefault="0026452D" w:rsidP="0026452D">
      <w:pPr>
        <w:pStyle w:val="TextoNormal"/>
      </w:pPr>
    </w:p>
    <w:p w:rsidR="0026452D" w:rsidRDefault="0026452D" w:rsidP="0026452D">
      <w:pPr>
        <w:pStyle w:val="TextoNormal"/>
      </w:pPr>
      <w:r w:rsidRPr="0026452D">
        <w:rPr>
          <w:rStyle w:val="NumeroAFNegritaCaracter"/>
        </w:rPr>
        <w:t>6</w:t>
      </w:r>
      <w:r>
        <w:t>. En escrito registrado en este Tribunal Constitucional el 30 de enero de 2009, el Presidente del Congreso de los Diputados comunicó que la Mesa de la Cámara había acordado personarse en el presente proceso constitucional, dando por ofrecida su colaboración a los efectos del art. 88.1 LOTC. En igual sentido actuó el Presidente del Senado, con fecha de 5 de febrero de 2009, comunicando el acuerdo de la Mesa de la Cámara de 3 de febrero de 2009.</w:t>
      </w:r>
    </w:p>
    <w:p w:rsidR="0026452D" w:rsidRDefault="0026452D" w:rsidP="0026452D">
      <w:pPr>
        <w:pStyle w:val="TextoNormal"/>
      </w:pPr>
    </w:p>
    <w:p w:rsidR="0026452D" w:rsidRDefault="0026452D" w:rsidP="0026452D">
      <w:pPr>
        <w:pStyle w:val="TextoNormal"/>
      </w:pPr>
      <w:r w:rsidRPr="0026452D">
        <w:rPr>
          <w:rStyle w:val="NumeroAFNegritaCaracter"/>
        </w:rPr>
        <w:t>7</w:t>
      </w:r>
      <w:r>
        <w:t>. El Letrado del Parlamento de Cataluña, en representación y defensa de éste y de conformidad con el acuerdo de la Mesa del Parlamento de 27 de enero de 2009, formuló sus alegaciones mediante escrito registrado en este Tribunal el día 4 de febrero siguiente, en el que solicita la desestimación de la cuestión planteada.</w:t>
      </w:r>
    </w:p>
    <w:p w:rsidR="0026452D" w:rsidRDefault="0026452D" w:rsidP="0026452D">
      <w:pPr>
        <w:pStyle w:val="TextoNormal"/>
      </w:pPr>
    </w:p>
    <w:p w:rsidR="0026452D" w:rsidRDefault="0026452D" w:rsidP="0026452D">
      <w:pPr>
        <w:pStyle w:val="TextoNormal"/>
      </w:pPr>
      <w:r>
        <w:t>A criterio de dicha representación, el Magistrado que insta la cuestión efectúa una interpretación completamente asistemática de los artículos que menciona de la Constitución y soslaya lo que dispone el Estatuto de Autonomía de Cataluña, sin plantearse debidamente la adecuación de la norma legal al bloque de la constitucionalidad. Con base en una interpretación sistemática, a su juicio, se advierte que la Generalidad tiene competencia para definir el plazo de prescripción controvertido, en virtud de los artículos 129 y 130 del vigente Estatuto de Autonomía de Cataluña (EAC), en concordancia con los artículos 149.1.6 y 8 de la Constitución. En ello abundaría lo que dispuso el Tribunal Constitucional en las SSTC 88/1993, de 12 de marzo, y 156/1993, de 6 de mayo, que reconocen que las competencias autonómicas para desarrollar el propio Derecho civil permiten regular las instituciones jurídicas que han sido recogidas históricamente en el mismo, así como instituciones no reguladas tradicionalmente por el derecho preexistente, con el límite de la conexión entre éste y dichas instituciones. Confirmaría la competencia, de otra parte, lo declarado en el ATC 349/2003, de 29 de octubre, o, en fin, los precedentes históricos (el derecho catalán histórico siempre ha regulado la prescripción, afirma) y los precedentes jurisprudenciales (la jurisprudencia del Tribunal Supremo, dice, siempre ha sido respetuosa con la normativa catalana de prescripción).</w:t>
      </w:r>
    </w:p>
    <w:p w:rsidR="0026452D" w:rsidRDefault="0026452D" w:rsidP="0026452D">
      <w:pPr>
        <w:pStyle w:val="TextoNormal"/>
      </w:pPr>
    </w:p>
    <w:p w:rsidR="0026452D" w:rsidRDefault="0026452D" w:rsidP="0026452D">
      <w:pPr>
        <w:pStyle w:val="TextoNormal"/>
      </w:pPr>
      <w:r>
        <w:t>Se opone, en segundo lugar, a la pretendida vulneración del art. 14 CE. Recuerda que, según la jurisprudencia de este Tribunal,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de manera que, como es lógico, si de dicho ejercicio derivan desigualdades en la posición jurídica de los ciudadanos residentes en cada una de las distintas Comunidades Autónomas, no por ello resulta necesariamente infringido el principio de igualdad.</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Mediante escrito registrado en este Tribunal el día 10 de febrero de 2009, el Abogado de la Generalitat de Cataluña, en representación y defensa de su Gobierno de acuerdo con la decisión adoptada en la sesión de 3 de febrero de 2009, evacuó el trámite de alegaciones </w:t>
      </w:r>
      <w:r>
        <w:lastRenderedPageBreak/>
        <w:t>solicitando la inadmisión o, en su defecto, la desestimación de la cuestión de inconstitucionalidad promovida.</w:t>
      </w:r>
    </w:p>
    <w:p w:rsidR="0026452D" w:rsidRDefault="0026452D" w:rsidP="0026452D">
      <w:pPr>
        <w:pStyle w:val="TextoNormal"/>
      </w:pPr>
    </w:p>
    <w:p w:rsidR="0026452D" w:rsidRDefault="0026452D" w:rsidP="0026452D">
      <w:pPr>
        <w:pStyle w:val="TextoNormal"/>
      </w:pPr>
      <w:r>
        <w:t>Manifiesta su total oposición al entendimiento que del alcance del ámbito competencial relativo al Derecho civil autonómico se contiene en el Auto que plantea la cuestión, si bien, con carácter previo, considera que no se cumple el requisito del juicio de relevancia exigible para su promoción, toda vez que el signo de la Sentencia a dictar por el Juzgado proponente no depende de la constitucionalidad de la regla contenida en el artículo 121.21 d) de la Ley catalana, pues lo dispuesto en dicho precepto no rige el caso de autos. Llega a esa conclusión partiendo de los hechos y fechas recogidos en el propio Auto de planteamiento, de los que infiere la necesidad de atender a las disposiciones finales y transitoria única de la Ley 29/2002, de 30 de diciembre, al tratarse de una pretensión nacida pero todavía no ejercida a la entrada en vigor (1 de enero de 2004) del precepto de cuya constitucionalidad se duda. Esa última circunstancia, a tenor de tales disposiciones, determina en esta ocasión concreta que las reglas del Derecho civil catalán provoquen una misma solución que la que establece el Código civil común, desplazando el plazo de prescripción trienal previsto en el art. 121.21 d) del libro primero del Código civil de Cataluña. Por ello, al derivarse de aquellas disposiciones la aplicación al caso el art. 1968.2 del Código civil, la cuestión de inconstitucionalidad planteada sobre el art. 121.21 d) carece de la debida justificación del juicio de relevancia, exigido por el art. 35.2 de la LOTC en relación con el art. 163 CE, por lo que procedería su inadmisión.</w:t>
      </w:r>
    </w:p>
    <w:p w:rsidR="0026452D" w:rsidRDefault="0026452D" w:rsidP="0026452D">
      <w:pPr>
        <w:pStyle w:val="TextoNormal"/>
      </w:pPr>
    </w:p>
    <w:p w:rsidR="0026452D" w:rsidRDefault="0026452D" w:rsidP="0026452D">
      <w:pPr>
        <w:pStyle w:val="TextoNormal"/>
      </w:pPr>
      <w:r>
        <w:t>Analiza después, no obstante, el fondo del asunto. Sintéticamente, sostiene que el art. 121.21 d) no contiene una regla de especialidad procesal que pueda incidir en el art. 149.1.6 CE, señaladamente porque no se trata de una norma procesal; que el art. 121.21 d) responde a la competencia de la Generalitat para conservar, mantener y desarrollar el Derecho civil de Cataluña, según lo previsto en el art. 149.1.8 CE, al constituir una norma propia de Derecho civil que ha formado parte desde tiempo inmemorial de su regulación; y que el art. 121.21 d) tampoco vulnera la igualdad ante la ley del art. 14 CE, como prueba la jurisprudencia constitucional que ha declarado que no es contrario a ese derecho fundamental que la regulación de una determinada institución conduzca a efectos diferentes en unas Comunidades Autónomas y en otras.</w:t>
      </w:r>
    </w:p>
    <w:p w:rsidR="0026452D" w:rsidRDefault="0026452D" w:rsidP="0026452D">
      <w:pPr>
        <w:pStyle w:val="TextoNormal"/>
      </w:pPr>
    </w:p>
    <w:p w:rsidR="0026452D" w:rsidRDefault="0026452D" w:rsidP="0026452D">
      <w:pPr>
        <w:pStyle w:val="TextoNormal"/>
      </w:pPr>
      <w:r>
        <w:t>Por todo ello, la regulación del art. 121.21 d) de la Ley 29/2002, primera Ley del Código civil de Cataluña, aunque a su entender no resulte de aplicación al litigio en el que se ha promovido la presente cuestión, respondería adecuadamente a la competencia que ostenta la Generalitat de Cataluña en materia de Derecho civil, según el art. 9.2 EAC de 1979 y el actualmente vigente art. 129 EAC de 2006, que respetan a su vez el art. 149.1.8 CE.</w:t>
      </w:r>
    </w:p>
    <w:p w:rsidR="0026452D" w:rsidRDefault="0026452D" w:rsidP="0026452D">
      <w:pPr>
        <w:pStyle w:val="TextoNormal"/>
      </w:pPr>
    </w:p>
    <w:p w:rsidR="0026452D" w:rsidRDefault="0026452D" w:rsidP="0026452D">
      <w:pPr>
        <w:pStyle w:val="TextoNormal"/>
      </w:pPr>
      <w:r w:rsidRPr="0026452D">
        <w:rPr>
          <w:rStyle w:val="NumeroAFNegritaCaracter"/>
        </w:rPr>
        <w:t>9</w:t>
      </w:r>
      <w:r>
        <w:t>. El Fiscal General del Estado evacuó el trámite conferido mediante escrito registrado el día 18 de febrero de 2009, interesando la desestimación de la cuestión de inconstitucionalidad. Coincide con el Abogado de la Generalitat de Cataluña en la objeción al juicio de relevancia, llegando a la misma conclusión, y afirma que si el Juez proponente estimaba que el precepto de cuya constitucionalidad duda era aplicable al caso de autos debió también cuestionar la disposición transitoria única de la Ley 29/2008, lo que no hizo, por lo que el juicio de relevancia no se exteriorizó de forma adecuada. No obstante, por si el Tribunal entendiera otra cosa, razona sobre la problemática de fondo, con argumentos muy similares e iguales conclusiones que las representaciones del Parlamento y el Gobierno de Cataluña.</w:t>
      </w:r>
    </w:p>
    <w:p w:rsidR="0026452D" w:rsidRDefault="0026452D" w:rsidP="0026452D">
      <w:pPr>
        <w:pStyle w:val="TextoNormal"/>
      </w:pPr>
    </w:p>
    <w:p w:rsidR="0026452D" w:rsidRDefault="0026452D" w:rsidP="0026452D">
      <w:pPr>
        <w:pStyle w:val="TextoNormal"/>
      </w:pPr>
      <w:r w:rsidRPr="0026452D">
        <w:rPr>
          <w:rStyle w:val="NumeroAFNegritaCaracter"/>
        </w:rPr>
        <w:t>10</w:t>
      </w:r>
      <w:r>
        <w:t>. El Pleno del Tribunal Constitucional, por ATC de fecha de 12 de febrero de 2013, acordó aceptar la abstención formulada por la Magistrada doña Encarnación Roca Trías en la presente cuestión de inconstitucionalidad, apartándola definitivamente del conocimiento de la misma.</w:t>
      </w:r>
    </w:p>
    <w:p w:rsidR="0026452D" w:rsidRDefault="0026452D" w:rsidP="0026452D">
      <w:pPr>
        <w:pStyle w:val="TextoNormal"/>
      </w:pPr>
    </w:p>
    <w:p w:rsidR="0026452D" w:rsidRDefault="0026452D" w:rsidP="0026452D">
      <w:pPr>
        <w:pStyle w:val="TextoNormal"/>
      </w:pPr>
      <w:r w:rsidRPr="0026452D">
        <w:rPr>
          <w:rStyle w:val="NumeroAFNegritaCaracter"/>
        </w:rPr>
        <w:t>11</w:t>
      </w:r>
      <w:r>
        <w:t>. Mediante providencia de 12 de febrero de 2013 se señaló para deliberación y votación de la presente Sentencia el día 14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objeto de la presente cuestión de inconstitucionalidad, planteada por el Juzgado de Primera Instancia núm. 1 de Lleida, es determinar si el art. 121.21 d) de la primera Ley del Código civil de Cataluña, aprobada por Ley del Parlamento de Cataluña 29/2002, de 30 de diciembre, vulnera los arts. 14, 149.1.6 y 8 de la Constitución.</w:t>
      </w:r>
    </w:p>
    <w:p w:rsidR="0026452D" w:rsidRDefault="0026452D" w:rsidP="0026452D">
      <w:pPr>
        <w:pStyle w:val="TextoNormal"/>
      </w:pPr>
    </w:p>
    <w:p w:rsidR="0026452D" w:rsidRDefault="0026452D" w:rsidP="0026452D">
      <w:pPr>
        <w:pStyle w:val="TextoNormal"/>
      </w:pPr>
      <w:r>
        <w:t>La norma cuestionada fija un plazo trienal de prescripción para el ejercicio de la acción de responsabilidad extracontractual, diferente y más amplio que el previsto en la legislación estatal, contenido en el art. 1968.2 del Código civil (un año). A juicio del órgano proponente, se produce una invasión de la competencia del Estado en materia de legislación procesal (art.149.1.6 CE) o, en su defecto, en materia de legislación civil (art. 149.1.8 CE), así como la vulneración del art. 14 CE, respectivamente, porque la regulación controvertida no puede encontrar justificación en ninguna especialidad procesal derivada del derecho sustantivo de la Comunidad Autónoma de Cataluña; porque no obedece tampoco a una intervención normativa con vocación de conservación, modificación y desarrollo del Derecho civil de Cataluña, y porque, en cuanto a la igualdad, al fijar un plazo para el ejercicio de las acciones de responsabilidad extracontractual superior al del Código civil común, otorga un régimen más favorable para las personas a cuyas relaciones jurídicas les sea aplicable el Código autonómico.</w:t>
      </w:r>
    </w:p>
    <w:p w:rsidR="0026452D" w:rsidRDefault="0026452D" w:rsidP="0026452D">
      <w:pPr>
        <w:pStyle w:val="TextoNormal"/>
      </w:pPr>
    </w:p>
    <w:p w:rsidR="0026452D" w:rsidRDefault="0026452D" w:rsidP="0026452D">
      <w:pPr>
        <w:pStyle w:val="TextoNormal"/>
      </w:pPr>
      <w:r w:rsidRPr="0026452D">
        <w:rPr>
          <w:rStyle w:val="NumeroAFNegritaCaracter"/>
        </w:rPr>
        <w:t>2</w:t>
      </w:r>
      <w:r>
        <w:t>. Tanto el Abogado de la Generalitat de Cataluña como el Fiscal General del Estado interesan, con carácter previo al examen de la problemática suscitada, la inadmisión de la presente cuestión por incumplimiento de las condiciones procesales exigidas por los arts. 163 CE y 35 de la Ley Orgánica del Tribunal Constitucional (LOTC). A tal efecto hemos de recordar una vez más que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(entre las más recientes, SSTC 84/2012, de 18 de abril, FJ 2; y 222/2012, de 27 de noviembre, FJ 3).</w:t>
      </w:r>
    </w:p>
    <w:p w:rsidR="0026452D" w:rsidRDefault="0026452D" w:rsidP="0026452D">
      <w:pPr>
        <w:pStyle w:val="TextoNormal"/>
      </w:pPr>
    </w:p>
    <w:p w:rsidR="0026452D" w:rsidRDefault="0026452D" w:rsidP="0026452D">
      <w:pPr>
        <w:pStyle w:val="TextoNormal"/>
      </w:pPr>
      <w:r>
        <w:t xml:space="preserve">Es preciso recordar que el art. 35.1 LOTC exige que la norma con rango de ley de la que tenga dudas un Juez o Tribunal debe ser “aplicable al caso y de cuya validez dependa el fallo”, añadiéndose en el apartado 2 del indicado precepto que el órgano judicial deberá especificar o justificar, en el auto de planteamiento de la cuestión, en qué medida la decisión </w:t>
      </w:r>
      <w:r>
        <w:lastRenderedPageBreak/>
        <w:t>del proceso depende de la validez de la norma en cuestión. Es decir, la norma cuestionada debe superar el denominado “juicio de relevancia”, o lo que es lo mismo, la justificación de que la decisión del proceso depende de su validez, dado que la cuestión de inconstitucionalidad no puede resultar desvirtuada por un uso no acomodado a su naturaleza y finalidad propias, lo que sucedería si se permitiera que se utilizase para obtener pronunciamientos innecesarios o indiferentes para la decisión del proceso en que la cuestión se suscita (por todas, SSTC 17/1981, de 1 de junio, FJ 1; y, entre las últimas, STC 87/2012, de 18 de abril, FJ 2).</w:t>
      </w:r>
    </w:p>
    <w:p w:rsidR="0026452D" w:rsidRDefault="0026452D" w:rsidP="0026452D">
      <w:pPr>
        <w:pStyle w:val="TextoNormal"/>
      </w:pPr>
    </w:p>
    <w:p w:rsidR="0026452D" w:rsidRDefault="0026452D" w:rsidP="0026452D">
      <w:pPr>
        <w:pStyle w:val="TextoNormal"/>
      </w:pPr>
      <w:r>
        <w:t xml:space="preserve">Es a los Jueces y Tribunales ordinarios que plantean las cuestiones de inconstitucionalidad a quienes corresponde, </w:t>
      </w:r>
      <w:r w:rsidRPr="0026452D">
        <w:rPr>
          <w:i/>
        </w:rPr>
        <w:t>prima facie</w:t>
      </w:r>
      <w:r>
        <w:t>,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(entre otras, SSTC 100/2006, de 30 de marzo, FJ 2; 141/2008, de 30 de octubre, FJ 4; o 201/2011, de 13 de diciembre, FJ 2).</w:t>
      </w:r>
    </w:p>
    <w:p w:rsidR="0026452D" w:rsidRDefault="0026452D" w:rsidP="0026452D">
      <w:pPr>
        <w:pStyle w:val="TextoNormal"/>
      </w:pPr>
    </w:p>
    <w:p w:rsidR="0026452D" w:rsidRDefault="0026452D" w:rsidP="0026452D">
      <w:pPr>
        <w:pStyle w:val="TextoNormal"/>
      </w:pPr>
      <w:r w:rsidRPr="0026452D">
        <w:rPr>
          <w:rStyle w:val="NumeroAFNegritaCaracter"/>
        </w:rPr>
        <w:t>3</w:t>
      </w:r>
      <w:r>
        <w:t>. Desde esta última perspectiva, alguna de las partes así como el Fiscal General del Estado han alegado, en sus respectivos escritos, que la presente cuestión de inconstitucionalidad no reúne, en lo que concierne a los juicios de aplicabilidad y relevancia, los requisitos establecidos en el art. 35 LOTC. Estos reproches exigen, en esta secuencia procesal, un tratamiento particular y específico, debiendo ser abordados con la debida profundidad.</w:t>
      </w:r>
    </w:p>
    <w:p w:rsidR="0026452D" w:rsidRDefault="0026452D" w:rsidP="0026452D">
      <w:pPr>
        <w:pStyle w:val="TextoNormal"/>
      </w:pPr>
    </w:p>
    <w:p w:rsidR="0026452D" w:rsidRDefault="0026452D" w:rsidP="0026452D">
      <w:pPr>
        <w:pStyle w:val="TextoNormal"/>
      </w:pPr>
      <w:r>
        <w:t>Debemos partir de que la fecha de entrada en vigor del art. 121.21 d) y del conjunto de los preceptos que en la Ley 29/2002, de 30 de diciembre, regulan el instituto de la prescripción (el 1 de enero de 2004, a tenor de dispuesto en su disposición final segunda) es posterior en el tiempo a la fecha del accidente (9 de julio de 2001) del que nace la pretensión de responsabilidad extracontractual en el caso de autos. También es posterior a la fecha en la que se abrió un nuevo plazo prescriptivo —según el criterio que se deduce del Auto de planteamiento— tras la notificación el 16 de diciembre de 2003 del Auto de archivo de las diligencias previas núm. 1087-2001, del Juzgado de Primera Instancia e Instrucción núm. 5 de Lleida, incoadas con motivo de la denuncia que formuló el actor tras el accidente ocurrido el día 9 de julio de 2001.</w:t>
      </w:r>
    </w:p>
    <w:p w:rsidR="0026452D" w:rsidRDefault="0026452D" w:rsidP="0026452D">
      <w:pPr>
        <w:pStyle w:val="TextoNormal"/>
      </w:pPr>
    </w:p>
    <w:p w:rsidR="0026452D" w:rsidRDefault="0026452D" w:rsidP="0026452D">
      <w:pPr>
        <w:pStyle w:val="TextoNormal"/>
      </w:pPr>
      <w:r>
        <w:t xml:space="preserve">Como recuerda el Fiscal General del Estado, el preámbulo de la Ley 29/2002, de 30 de diciembre, afirma: “Dada la importancia y la previsible repercusión práctica de la nueva normativa sobre prescripción y caducidad, ha sido preciso finalmente regular con detalle las situaciones transitorias y optar por un grado de retroactividad medio, que tiende a favorecer la aplicación de los plazos de prescripción más cortos. Por estas mismas razones y por la conveniencia que el título II del libro primero del Código Civil de Cataluña entre en vigor al comienzo del año natural, también se ha considerado necesario establecer una </w:t>
      </w:r>
      <w:r w:rsidRPr="0026452D">
        <w:rPr>
          <w:i/>
        </w:rPr>
        <w:t>vacatio legis</w:t>
      </w:r>
      <w:r>
        <w:t xml:space="preserve"> hasta el 1 de enero de 2004”. Así lo dispone, en efecto, la disposición final segunda de la Ley catalana.</w:t>
      </w:r>
    </w:p>
    <w:p w:rsidR="0026452D" w:rsidRDefault="0026452D" w:rsidP="0026452D">
      <w:pPr>
        <w:pStyle w:val="TextoNormal"/>
      </w:pPr>
    </w:p>
    <w:p w:rsidR="0026452D" w:rsidRDefault="0026452D" w:rsidP="0026452D">
      <w:pPr>
        <w:pStyle w:val="TextoNormal"/>
      </w:pPr>
      <w:r>
        <w:t>Ese dato debe complementarse con su disposición transitoria única, según la cual:</w:t>
      </w:r>
    </w:p>
    <w:p w:rsidR="0026452D" w:rsidRDefault="0026452D" w:rsidP="0026452D">
      <w:pPr>
        <w:pStyle w:val="TextoNormal"/>
      </w:pPr>
    </w:p>
    <w:p w:rsidR="0026452D" w:rsidRDefault="0026452D" w:rsidP="0026452D">
      <w:pPr>
        <w:pStyle w:val="TextoNormal"/>
      </w:pPr>
      <w:r>
        <w:t>“Las normas del libro primero del Código Civil de Cataluña que regulan la prescripción y la caducidad se aplican a las pretensiones, las acciones y los poderes de configuración jurídica nacidos y aún no ejercidos con anterioridad al 1 de enero de 2004, con las excepciones que resultan de las normas siguientes:</w:t>
      </w:r>
    </w:p>
    <w:p w:rsidR="0026452D" w:rsidRDefault="0026452D" w:rsidP="0026452D">
      <w:pPr>
        <w:pStyle w:val="TextoNormal"/>
      </w:pPr>
    </w:p>
    <w:p w:rsidR="0026452D" w:rsidRDefault="0026452D" w:rsidP="0026452D">
      <w:pPr>
        <w:pStyle w:val="TextoNormal"/>
      </w:pPr>
      <w:r>
        <w:t>a) El inicio, la interrupción y el reinicio del cómputo de la prescripción producidos antes del 1 de enero de 2004 se regulan por las normas vigentes hasta aquel momento.</w:t>
      </w:r>
    </w:p>
    <w:p w:rsidR="0026452D" w:rsidRDefault="0026452D" w:rsidP="0026452D">
      <w:pPr>
        <w:pStyle w:val="TextoNormal"/>
      </w:pPr>
    </w:p>
    <w:p w:rsidR="0026452D" w:rsidRDefault="0026452D" w:rsidP="0026452D">
      <w:pPr>
        <w:pStyle w:val="TextoNormal"/>
      </w:pPr>
      <w:r>
        <w:t>b) Si el plazo de prescripción establecido en la presente Ley es más largo, la prescripción se consuma cuando ha transcurrido el plazo establecido por la regulación anterior.</w:t>
      </w:r>
    </w:p>
    <w:p w:rsidR="0026452D" w:rsidRDefault="0026452D" w:rsidP="0026452D">
      <w:pPr>
        <w:pStyle w:val="TextoNormal"/>
      </w:pPr>
    </w:p>
    <w:p w:rsidR="0026452D" w:rsidRDefault="0026452D" w:rsidP="0026452D">
      <w:pPr>
        <w:pStyle w:val="TextoNormal"/>
      </w:pPr>
      <w:r>
        <w:t>c) Si el plazo de prescripción establecido por la presente ley es más corto que el que establecía la regulación anterior, se aplica el establecido por la presente ley, el cual empieza a contar desde el 1 de enero de 2004. Sin embargo, si el plazo establecido por la regulación anterior, aun siendo más largo, se agota antes que el plazo establecido por la presente ley, la prescripción se consuma cuando ha transcurrido el plazo establecido por la regulación anterior.”</w:t>
      </w:r>
    </w:p>
    <w:p w:rsidR="0026452D" w:rsidRDefault="0026452D" w:rsidP="0026452D">
      <w:pPr>
        <w:pStyle w:val="TextoNormal"/>
      </w:pPr>
    </w:p>
    <w:p w:rsidR="0026452D" w:rsidRDefault="0026452D" w:rsidP="0026452D">
      <w:pPr>
        <w:pStyle w:val="TextoNormal"/>
      </w:pPr>
      <w:r>
        <w:t>Pues bien, el art. 121.21 d) de la Ley 29/2002, sometido al juicio de constitucionalidad, establece una prescripción trienal para las pretensiones derivadas de responsabilidad extracontractual. Por su parte, el art. 1968.2 del Código civil fija para la prescripción extintiva de esas pretensiones el plazo de un año. La cita de éste es relevante para la aplicación de aquel régimen transitorio, toda vez que la norma catalana que regulaba la prescripción con anterioridad a la entrada en vigor del art. 121.21 d) de la Ley 29/2002, norma que éste precepto sustituye según su disposición final primera, era el art. 344 del Decreto Legislativo 1/1984, de 19 de julio, por el que se aprueba el texto refundido de compilación del Derecho civil de Cataluña, que contenía un remisión al régimen común, véase: “Para la prescripción extintiva regirán los plazos especiales establecidos en esta Compilación , y en lo no previsto en ella, los especiales que determina el Código Civil”.</w:t>
      </w:r>
    </w:p>
    <w:p w:rsidR="0026452D" w:rsidRDefault="0026452D" w:rsidP="0026452D">
      <w:pPr>
        <w:pStyle w:val="TextoNormal"/>
      </w:pPr>
    </w:p>
    <w:p w:rsidR="0026452D" w:rsidRDefault="0026452D" w:rsidP="0026452D">
      <w:pPr>
        <w:pStyle w:val="TextoNormal"/>
      </w:pPr>
      <w:r w:rsidRPr="0026452D">
        <w:rPr>
          <w:rStyle w:val="NumeroAFNegritaCaracter"/>
        </w:rPr>
        <w:t>4</w:t>
      </w:r>
      <w:r>
        <w:t>. El Auto de planteamiento señala que tanto desde el 16 de diciembre de 2003 (fecha de notificación del Auto de archivo de las diligencias previas núm. 1087-2001 del Juzgado de Primera Instancia e Instrucción núm. 5 de Lleida) hasta la primera reclamación extrajudicial (realizada por cartas certificadas el día 28 de diciembre de 2004), como desde la segunda reclamación extrajudicial que se llevó a cabo (efectuada mediante burofax de 12 de diciembre de 2005) hasta la fecha de presentación de la demanda (14 de diciembre de 2007), habría transcurrido con creces el plazo previsto en el artículo 1968.2 del Código civil. Sin embargo, añade, es también evidente que ninguno de los dos intervalos temporales que resultan de las fechas indicadas rebasan los tres años que contempla el art. 121.21 d) de la Ley 29/2002 del Parlamento de Cataluña.</w:t>
      </w:r>
    </w:p>
    <w:p w:rsidR="0026452D" w:rsidRDefault="0026452D" w:rsidP="0026452D">
      <w:pPr>
        <w:pStyle w:val="TextoNormal"/>
      </w:pPr>
    </w:p>
    <w:p w:rsidR="0026452D" w:rsidRDefault="0026452D" w:rsidP="0026452D">
      <w:pPr>
        <w:pStyle w:val="TextoNormal"/>
      </w:pPr>
      <w:r>
        <w:t xml:space="preserve">Partiendo de esos referentes temporales contenidos en el Auto de planteamiento de la cuestión, y acogiendo sus propios parámetros de cómputo, concluimos que el plazo de prescripción quedó interrumpido durante la tramitación de las diligencias previas núm. 1087-2001 del Juzgado de Primera Instancia e Instrucción núm. 5 de Lleida; y que el nuevo plazo </w:t>
      </w:r>
      <w:r>
        <w:lastRenderedPageBreak/>
        <w:t xml:space="preserve">de prescripción se inició el día 16 de diciembre de 2003, cuando se notificó a la Letrada del denunciante el archivo de aquellas diligencias previas. Una fecha en la que aún no había entrado en vigor la Ley catalana en el apartado que ahora se cuestiona. Se advierte igualmente, como señala de nuevo el órgano judicial, que, en la fecha en la que se produjo la primera reclamación extrajudicial (28 de diciembre de 2004), había transcurrido ya el plazo previsto en el art. 1968.2 del Código civil, aunque, al mismo tiempo, que dicha reclamación extrajudicial se realizó cuando ya estaba vigente el título II del libro primero del Código civil de Cataluña, y por tanto el plazo trienal del art. 121.21 d). Se deduce de todo ello que en el proceso </w:t>
      </w:r>
      <w:r w:rsidRPr="0026452D">
        <w:rPr>
          <w:i/>
        </w:rPr>
        <w:t>a quo</w:t>
      </w:r>
      <w:r>
        <w:t xml:space="preserve"> se sustancia una pretensión relativa a una responsabilidad extracontractual nacida con anterioridad a la entrada en vigor de las normas del libro primero del Código civil de Cataluña, pero ejercida cuando ya estaban vigentes dichas normas.</w:t>
      </w:r>
    </w:p>
    <w:p w:rsidR="0026452D" w:rsidRDefault="0026452D" w:rsidP="0026452D">
      <w:pPr>
        <w:pStyle w:val="TextoNormal"/>
      </w:pPr>
    </w:p>
    <w:p w:rsidR="0026452D" w:rsidRDefault="0026452D" w:rsidP="0026452D">
      <w:pPr>
        <w:pStyle w:val="TextoNormal"/>
      </w:pPr>
      <w:r>
        <w:t xml:space="preserve">Bajo esas circunstancias, como ponen de manifiesto el Abogado de la Generalitat de Cataluña y el Fiscal General del Estado, debía atenderse a la disposición transitoria única de la Ley 29/2002, antes transcrita, para discernir si la norma aplicable al caso podía no ser el art. 121.21 d), ahora cuestionado, sino el art. 1968.2 del Código civil al establecer un plazo prescriptivo más corto. Pese a la insistencia en la alegación de la prescripción desde la contestación a la demanda, como luego en la audiencia previa o en el trámite del art. 35.2 LOTC, y a pesar de ser al propio juzgador a quien le asalta la duda derivada del conflicto de normas, en ningún momento puso a contraste la elementos temporales del caso con la fecha de entrada en vigor de la norma de cuya constitucionalidad duda, ni con su régimen transitorio, que soslayó abiertamente, pese a que esos datos temporales desencadenaban a todas luces el juego de tales previsiones jurídicas y la aplicación del art. 1968.2 del Código civil, vista la remisión que contenía el art. 344 del Decreto Legislativo 1/1984, de 19 de julio (compilación del Derecho civil de Cataluña), al plazo prescriptivo más corto en él regulado y su condición de norma aplicable al caso por esa razón, a tenor del régimen transitorio. En definitiva, el nuevo plazo trienal del art. 121.21 d) de la Ley 29/2002, de 30 de diciembre, no resulta de aplicación en el proceso </w:t>
      </w:r>
      <w:r w:rsidRPr="0026452D">
        <w:rPr>
          <w:i/>
        </w:rPr>
        <w:t>a quo</w:t>
      </w:r>
      <w:r>
        <w:t>, y no se supera, entonces, el juicio de relevancia en esta cuestión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5</w:t>
      </w:r>
      <w:r>
        <w:t>. Aceptando a efectos dialécticos que el órgano judicial pudiera realizar otra interpretación de ese régimen transitorio y juego de remisiones, dentro de un análisis relativo a los juicios de aplicabilidad y relevancia como el que ahora nos ocupa, no podríamos ignorar el criterio seguido en recientes pronunciamientos constitucionales, en los que, ante situaciones análogas de carácter dudoso y discutible de la aplicabilidad de la norma cuestionada, hemos exigido un pronunciamiento específico del órgano judicial sobre la aplicación de la norma al caso, a efectos de garantizar que la resolución del litigio depende realmente de la solución que este Tribunal ofrezca sobre la constitucionalidad de la norma.</w:t>
      </w:r>
    </w:p>
    <w:p w:rsidR="0026452D" w:rsidRDefault="0026452D" w:rsidP="0026452D">
      <w:pPr>
        <w:pStyle w:val="TextoNormal"/>
      </w:pPr>
    </w:p>
    <w:p w:rsidR="0026452D" w:rsidRDefault="0026452D" w:rsidP="0026452D">
      <w:pPr>
        <w:pStyle w:val="TextoNormal"/>
      </w:pPr>
      <w:r>
        <w:t xml:space="preserve">En este sentido nos hemos pronunciado en la STC 84/2012, de 18 de abril, FJ 3, relativa a la cuestión de inconstitucionalidad presentada respecto al art. 138.6 de la Ley de procedimiento laboral, o en el ATC 39/2012, de 28 de febrero, FJ 5, pero, sobre todo y por ser más cercana la objeción a la que aquí se manifiesta, en los aún más recientes AATC 191/2012, de 16 de octubre, y 206/2012, de 30 de octubre, sobre el Real Decreto-ley 3/2012, de 10 de febrero, de medidas urgentes para la reforma del mercado laboral. Al igual que ocurría en esas dos últimas resoluciones, cabe decir también ahora que siendo controvertida la aplicación al caso de la norma cuestionada —como en dichos Autos, por razones temporales—, y teniendo además el órgano judicial conocimiento de esta dificultad —que fue puesta de </w:t>
      </w:r>
      <w:r>
        <w:lastRenderedPageBreak/>
        <w:t>relieve desde el momento inicial de contestación a la demanda y después en la audiencia previa y en las alegaciones del trámite del art. 35 LOTC—, el Magistrado-Juez rehúye emitir juicio alguno sobre las consecuencias que pudiera acarrear el régimen transitorio previsto en la Ley catalana, vistas las fechas de inicio del cómputo de la prescripción, interrupción y reinicio de los plazos prescriptivos que él mismo recoge en el Auto de planteamiento. Así, queda abierta la posibilidad de que finalmente llegue a considerar que del art. 121.21 d) de la Ley 29/1992, de 30 de diciembre, no depende el signo de su pronunciamiento y que, en consecuencia, nos encontremos con el resultado de que nuestra Sentencia habría resultado innecesaria o indiferente para la decisión del proceso.</w:t>
      </w:r>
    </w:p>
    <w:p w:rsidR="0026452D" w:rsidRDefault="0026452D" w:rsidP="0026452D">
      <w:pPr>
        <w:pStyle w:val="TextoNormal"/>
      </w:pPr>
    </w:p>
    <w:p w:rsidR="0026452D" w:rsidRDefault="0026452D" w:rsidP="0026452D">
      <w:pPr>
        <w:pStyle w:val="TextoNormal"/>
      </w:pPr>
      <w:r>
        <w:t>En definitiva, a la luz de la doctrina constitucional expuesta, hemos de concluir que no se han satisfecho suficientemente los juicios de aplicabilidad y relevancia exigidos por el art. 35 LOTC, circunstancia que, por sí sola y sin necesidad de entrar en el fondo, determina la inadmisión a trámite de la presente cuestión de inconstitucionalidad, en aplicación de lo dispuesto en el art. 37.1 LOTC.</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Inadmitir la cuestión de inconstitucionalidad núm. 9200-2008, planteada por el Juzgado de Primera Instancia núm. 1 de Lleida.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46" w:name="SENTENCIA_2013_43"/>
      <w:r>
        <w:lastRenderedPageBreak/>
        <w:t>SENTENCIA 43/2013, de 25 de febrero de 2013</w:t>
      </w:r>
    </w:p>
    <w:bookmarkEnd w:id="46"/>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73, de 26 de marzo de 2013)</w:t>
      </w:r>
    </w:p>
    <w:p w:rsidR="0026452D" w:rsidRDefault="0026452D" w:rsidP="0026452D">
      <w:pPr>
        <w:pStyle w:val="TtuloBOE"/>
      </w:pPr>
    </w:p>
    <w:p w:rsidR="0026452D" w:rsidRDefault="0026452D" w:rsidP="0026452D">
      <w:pPr>
        <w:pStyle w:val="SntesisDescriptiva"/>
      </w:pPr>
      <w:r>
        <w:t>ECLI:ES:TC:2013:43</w:t>
      </w:r>
    </w:p>
    <w:p w:rsidR="0026452D" w:rsidRDefault="0026452D" w:rsidP="0026452D">
      <w:pPr>
        <w:pStyle w:val="SntesisDescriptiva"/>
      </w:pPr>
    </w:p>
    <w:p w:rsidR="0026452D" w:rsidRDefault="0026452D" w:rsidP="0026452D">
      <w:pPr>
        <w:pStyle w:val="SntesisDescriptiva"/>
      </w:pPr>
      <w:r>
        <w:t>Recurso de amparo 5716-2010. Promovido por doña Paloma Ogayar Lechuga en relación con la Sentencia de la Audiencia Provincial de Huelva que la condenó, en apelación, por un delito contra los derechos de los trabajadores en concurso con una falta de lesiones.</w:t>
      </w:r>
    </w:p>
    <w:p w:rsidR="0026452D" w:rsidRDefault="0026452D" w:rsidP="0026452D">
      <w:pPr>
        <w:pStyle w:val="SntesisDescriptiva"/>
      </w:pPr>
    </w:p>
    <w:p w:rsidR="0026452D" w:rsidRDefault="0026452D" w:rsidP="0026452D">
      <w:pPr>
        <w:pStyle w:val="SntesisAnaltica"/>
      </w:pPr>
      <w:r>
        <w:t>Vulneración de los derechos a un proceso con todas las garantías y a la presunción de inocencia: STC 144/2012 (condena fundada en la valoración de pruebas de carácter personal y pronunciada en apelación sin haber celebrado vista pública).</w:t>
      </w:r>
    </w:p>
    <w:p w:rsidR="0026452D" w:rsidRDefault="0026452D" w:rsidP="0026452D">
      <w:pPr>
        <w:pStyle w:val="SntesisAnaltica"/>
      </w:pPr>
    </w:p>
    <w:p w:rsidR="0026452D" w:rsidRDefault="0026452D" w:rsidP="0026452D">
      <w:pPr>
        <w:pStyle w:val="Extracto"/>
      </w:pPr>
      <w:r>
        <w:t>1.</w:t>
      </w:r>
      <w:r>
        <w:tab/>
        <w:t>El recurso planteado en el presente proceso, referente a la condena fundada en la valoración de pruebas de carácter personal pronunciada en apelación sin haber celebrado vista pública, ha sido resuelta, contra la misma Sentencia y con base en los mismos motivos, respecto a otros tres demandantes de amparo, en la STC 144/2012 [FFJJ 3, 5 a 8].</w:t>
      </w:r>
    </w:p>
    <w:p w:rsidR="0026452D" w:rsidRDefault="0026452D" w:rsidP="0026452D">
      <w:pPr>
        <w:pStyle w:val="Extracto"/>
      </w:pPr>
    </w:p>
    <w:p w:rsidR="0026452D" w:rsidRDefault="0026452D" w:rsidP="0026452D">
      <w:pPr>
        <w:pStyle w:val="Extracto"/>
      </w:pPr>
      <w:r>
        <w:t>2.</w:t>
      </w:r>
      <w:r>
        <w:tab/>
        <w:t>No cabe apreciar la vulneración del principio acusatorio, toda vez que los términos en que fue formulada la acusación incluían desde el primer momento los tipos penales del pronunciamiento condenatorio dictado por el Tribunal de apelación, que la acusación particular, en su recurso de apelación contra la Sentencia absolutoria de instancia, reiteró su solicitud de condena, por lo que la demandante de amparo pudo defenderse en las sucesivas fases de los hechos que se le imputaban de forma contradictoria, y que el fallo condenatorio respetó el deber de congruencia en los términos que le era constitucionalmente exigible [FJ 4].</w:t>
      </w:r>
    </w:p>
    <w:p w:rsidR="0026452D" w:rsidRDefault="0026452D" w:rsidP="0026452D">
      <w:pPr>
        <w:pStyle w:val="Extracto"/>
      </w:pPr>
    </w:p>
    <w:p w:rsidR="0026452D" w:rsidRDefault="0026452D" w:rsidP="0026452D">
      <w:pPr>
        <w:pStyle w:val="Extracto"/>
      </w:pPr>
      <w:r>
        <w:t>3.</w:t>
      </w:r>
      <w:r>
        <w:tab/>
        <w:t>Doctrina sobre el principio acusatorio (SSTC 53/1989, 155/2009) [FJ 4].</w:t>
      </w:r>
    </w:p>
    <w:p w:rsidR="0026452D" w:rsidRDefault="0026452D" w:rsidP="0026452D">
      <w:pPr>
        <w:pStyle w:val="Extracto"/>
      </w:pPr>
    </w:p>
    <w:p w:rsidR="0026452D" w:rsidRDefault="0026452D" w:rsidP="0026452D">
      <w:pPr>
        <w:pStyle w:val="Extracto"/>
      </w:pPr>
      <w:r>
        <w:t>4.</w:t>
      </w:r>
      <w:r>
        <w:tab/>
        <w:t>La Audiencia Provincial ha vulnerado en su Sentencia el derecho a un proceso con todas las garantías de la recurrente en amparo, ya que la condenó como autora de un delito contra los derechos de los trabajadores en concurso con una falta de lesiones por imprudencia, operando una alteración del relato de hechos probados de la Sentencia absolutoria de instancia con base en una valoración de pruebas personales sin respetar las garantías de inmediación y contradicción [FJ 6].</w:t>
      </w:r>
    </w:p>
    <w:p w:rsidR="0026452D" w:rsidRDefault="0026452D" w:rsidP="0026452D">
      <w:pPr>
        <w:pStyle w:val="Extracto"/>
      </w:pPr>
    </w:p>
    <w:p w:rsidR="0026452D" w:rsidRDefault="0026452D" w:rsidP="0026452D">
      <w:pPr>
        <w:pStyle w:val="Extracto"/>
      </w:pPr>
      <w:r>
        <w:t>5.</w:t>
      </w:r>
      <w:r>
        <w:tab/>
        <w:t>Los principios de inmediación y contradicción imponen que la prueba deba practicarse ante el órgano judicial al que corresponde su valoración, siendo notoria la insuficiencia del acta del juicio como medio de documentación de las pruebas de carácter personal dada por la imposibilidad de reflejar los aspectos no verbales de toda declaración, lo que conlleva a que el examen directo y personal de las personas cuya declaración va a ser objeto de nueva valoración en la segunda instancia se realice en el seno de una nueva audiencia en presencia de los demás interesados y parte adversas (SSTC 167/2002, 144/2012) [FJ 6].</w:t>
      </w:r>
    </w:p>
    <w:p w:rsidR="0026452D" w:rsidRDefault="0026452D" w:rsidP="0026452D">
      <w:pPr>
        <w:pStyle w:val="Extracto"/>
      </w:pPr>
    </w:p>
    <w:p w:rsidR="0026452D" w:rsidRDefault="0026452D" w:rsidP="0026452D">
      <w:pPr>
        <w:pStyle w:val="Extracto"/>
      </w:pPr>
      <w:r>
        <w:lastRenderedPageBreak/>
        <w:t>6.</w:t>
      </w:r>
      <w:r>
        <w:tab/>
        <w:t>El respeto a los principios de publicidad, inmediación y contradicción, que forman parte del contenido del derecho a un proceso con todas las garantías, impone que toda condena articulada sobre pruebas personales se fundamente en una actividad probatoria que el órgano judicial haya examinado directa y personalmente en un debate público, en el que se respete la posibilidad de contradicción, lo que no resulta aplicable cuando la condena pronunciada en apelación no resulta del análisis de medios probatorios que exijan presenciar su práctica para su valoración, como es el caso de la prueba documental o la prueba pericial (SSTC 167/2002, 144/2012)  [FJ 5].</w:t>
      </w:r>
    </w:p>
    <w:p w:rsidR="0026452D" w:rsidRDefault="0026452D" w:rsidP="0026452D">
      <w:pPr>
        <w:pStyle w:val="Extracto"/>
      </w:pPr>
    </w:p>
    <w:p w:rsidR="0026452D" w:rsidRDefault="0026452D" w:rsidP="0026452D">
      <w:pPr>
        <w:pStyle w:val="Extracto"/>
      </w:pPr>
      <w:r>
        <w:t>7.</w:t>
      </w:r>
      <w:r>
        <w:tab/>
        <w:t>La vulneración del derecho a un proceso con todas las garantías, al haber modificado la Sala de apelación el relato de hechos probados de la Sentencia absolutoria de instancia mediante una nueva valoración y revisión de las pruebas personales sin respetar las garantías de inmediación y contradicción, determinará también la del derecho a la presunción de inocencia cuando la eliminación de las pruebas irregularmente valoradas deje sin sustento el relato de hechos probados que soporta la declaración de culpabilidad del acusado, lo que sucederá cuando a partir de la propia motivación de la Sentencia, se constate que dicha prueba era esencial para llegar a la conclusión fáctica incriminatoria (SSTC 36/2008, 144/2012) [FFJJ 3, 7].</w:t>
      </w:r>
    </w:p>
    <w:p w:rsidR="0026452D" w:rsidRDefault="0026452D" w:rsidP="0026452D">
      <w:pPr>
        <w:pStyle w:val="Extracto"/>
      </w:pPr>
    </w:p>
    <w:p w:rsidR="0026452D" w:rsidRDefault="0026452D" w:rsidP="0026452D">
      <w:pPr>
        <w:pStyle w:val="Extracto"/>
      </w:pPr>
      <w:r>
        <w:t>8.</w:t>
      </w:r>
      <w:r>
        <w:tab/>
        <w:t>Dado que los datos derivados de las pruebas documental y pericial están absolutamente imbricados con las declaraciones desarrolladas en el juicio por los acusados, testigos y peritos, pruebas de carácter personal necesitadas de inmediación, aquellos elementos probatorios carecen de eficacia probatoria autónoma desvinculados de estos testimonios, no siendo por sí solos suficientes para conformar prueba de cargo para enervar la presunción de inocencia (STC 144/2012) [FJ 7].</w:t>
      </w:r>
    </w:p>
    <w:p w:rsidR="0026452D" w:rsidRDefault="0026452D" w:rsidP="0026452D">
      <w:pPr>
        <w:pStyle w:val="Extracto"/>
      </w:pPr>
    </w:p>
    <w:p w:rsidR="0026452D" w:rsidRDefault="0026452D" w:rsidP="0026452D">
      <w:pPr>
        <w:pStyle w:val="Extracto"/>
      </w:pPr>
      <w:r>
        <w:t>9.</w:t>
      </w:r>
      <w:r>
        <w:tab/>
        <w:t>Quienes se personan en un proceso de amparo a tenor del art. 51.2 LOTC, una vez admitido a trámite el recurso, no pueden convertirse en codemandantes y pedir la reparación o la preservación de sus propios derechos fundamentales ya que conforme a nuestra doctrina no pueden deducir pretensiones propias e independientes del recurso admitido, que es el que acota el objeto del proceso, quedando su intervención reducida a formular alegaciones y a que se les notifiquen las resoluciones que recaigan en el proceso (SSTC 241/1994, 144/2012) [FJ 8].</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amparo núm. 5716-2010, promovido por doña Paloma Ogayar Lechuga, representada por la Procuradora de los Tribunales doña María Luisa Maestre Gómez y asistida por el Abogado don Fernando Vergel Araujo, contra la Sentencia de la Sección Segunda de la Audiencia Provincial de Huelva de 29 de enero de 2010, que estimó el recurso de apelación núm. 246-2009 interpuesto contra la Sentencia absolutoria dictada por el Juzgado de lo Penal núm. 4 de Huelva de 20 de febrero de 2009, condenando a la recurrente como autora de un delito contra los derechos de los trabajadores en concurso con una falta de lesiones por imprudencia. Ha intervenido el Ministerio Fiscal. También han comparecido don Antonio Muñiz García, don Rafael Muñiz García y Hermanos Muñiz de Ayamonte, S.L., representados por la Procuradora de los Tribunales doña María Jesús Mateos Herranz y asistidos por el Abogado don Manuel Alfonso Arenas; don Joaquín Gutiérrez García y don José Correa Reyes, representados por el Procurador don Antonio Gómez de la Serna Adrada y asistidos por el Abogado don José Antonio Sotomayor Díaz; don Tomás Solaz Martínez, representado por el Procurador don Jorge Deleito García y asistido por el Abogado don Manuel Vázquez Rangel; don Juan Martín Correa y doña Manuela Martín Rodríguez, representados por el Procurador don Víctor García Montes y asistidos por el Abogado don Pedro Pérez Duarte; así como don José González del Carmen, representado por la Procuradora doña María Rodríguez Puyol y asistido por el Abogado don Gregorio Solanes Aguilar. Ha sido Ponente el Magistrado don Andrés Ollero Tassara,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el 14 de julio de 2010, la Procuradora de los Tribunales doña María Luisa Maestre Gómez, en nombre y representación de doña Paloma Ogayar Lechuga, interpuso recurso de amparo contra la Sentencia de la Sección Segunda de la Audiencia Provincial de Huelva citada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los que se fundamenta la demanda de amparo son, sucintamente expuestos, los que se siguen:</w:t>
      </w:r>
    </w:p>
    <w:p w:rsidR="0026452D" w:rsidRDefault="0026452D" w:rsidP="0026452D">
      <w:pPr>
        <w:pStyle w:val="TextoNormal"/>
      </w:pPr>
    </w:p>
    <w:p w:rsidR="0026452D" w:rsidRDefault="0026452D" w:rsidP="0026452D">
      <w:pPr>
        <w:pStyle w:val="TextoNormal"/>
      </w:pPr>
      <w:r>
        <w:t>a) El Juzgado de lo Penal núm. 4 de Huelva por Sentencia de 20 de febrero de 2009, recaída en el procedimiento abreviado núm. 221-2008, absolvió, entre otros, a doña Paloma Ogayar Lechuga de los delitos contra los derechos de los trabajadores y lesiones cometidas por imprudencia grave de los que había sido acusada por la acusación particular.</w:t>
      </w:r>
    </w:p>
    <w:p w:rsidR="0026452D" w:rsidRDefault="0026452D" w:rsidP="0026452D">
      <w:pPr>
        <w:pStyle w:val="TextoNormal"/>
      </w:pPr>
    </w:p>
    <w:p w:rsidR="0026452D" w:rsidRDefault="0026452D" w:rsidP="0026452D">
      <w:pPr>
        <w:pStyle w:val="TextoNormal"/>
      </w:pPr>
      <w:r>
        <w:t>Dicha resolución contiene el siguiente relato de hechos probados:</w:t>
      </w:r>
    </w:p>
    <w:p w:rsidR="0026452D" w:rsidRDefault="0026452D" w:rsidP="0026452D">
      <w:pPr>
        <w:pStyle w:val="TextoNormal"/>
      </w:pPr>
    </w:p>
    <w:p w:rsidR="0026452D" w:rsidRDefault="0026452D" w:rsidP="0026452D">
      <w:pPr>
        <w:pStyle w:val="TextoNormal"/>
      </w:pPr>
      <w:r>
        <w:t xml:space="preserve">“Primero.- Sobre las 16:45 horas del día 8 de junio de 2005 el operario pintor con categoría profesional de peón José González del Carmen, de 21 años de edad, que se hallaba trabajando como asalariado para la empresa Hermanos Muñiz de Ayamonte, S.L., (contratada por la empresa Construcciones Juan Margallo, S.L., para efectuar labores de pintura en la obra de la Urbanización Huerta Beas II, de Ayamonte, de la que era promotora la empresa Vitomarsa &amp; Conalmar UTE), pintaba el techo y la cornisa de un local comercial sito en la </w:t>
      </w:r>
      <w:r>
        <w:lastRenderedPageBreak/>
        <w:t>mencionada obra a una altura de unos 6,30 metros, actuando por indicación del encargado de cuadrilla Ramón Seda Aguilera, utilizando a tal fin un rodillo con alargador de unos 5 metros de longitud cuando, por causas no precisadas, perdió el equilibrio y cayó al vacío, estrellándose contra el suelo y sufriendo de este modo menoscabo físico …, tardando en sanar 240 días, todos los cuales estuvo impedido para sus ocupaciones habituales y hospitalizado, y restándole como secuelas paraplejía completa de nivel neurológico T9, trastorno del humor-trastorno depresivo reactivo, dolor neuropático de MMII (por analogía neuralgia del nervio ciático), material de osteosíntesis en columna vertebral y perjuicio estético moderado.</w:t>
      </w:r>
    </w:p>
    <w:p w:rsidR="0026452D" w:rsidRDefault="0026452D" w:rsidP="0026452D">
      <w:pPr>
        <w:pStyle w:val="TextoNormal"/>
      </w:pPr>
    </w:p>
    <w:p w:rsidR="0026452D" w:rsidRDefault="0026452D" w:rsidP="0026452D">
      <w:pPr>
        <w:pStyle w:val="TextoNormal"/>
      </w:pPr>
      <w:r>
        <w:t>Segundo.- La empresa Construcciones Juan Margallo, S.L., contaba como representante legal en aquellas fechas a Juan Martín Correa, desempeñando la tarea de encargados de seguridad José Tomás Solaz Martínez y Manuela Martín Rodríguez, y Paloma Ogayar Lechuga, la de Jefa de la obra descrita; Rafael Muñiz García y Antonio Muñiz García eran los representantes legales de Hermanos Muñiz, S.L., y los arquitectos técnicos Joaquín José Gutiérrez García y José Manuel Correa Reyes desempeñaban la tarea de coordinadores de seguridad; todos ellos eran mayores de edad y carecían de antecedentes penales. Tanto Hermanos Muñiz de Ayamonte, S.L., como Construcciones Juan Margallo, S.L., tenían concertadas pólizas de accidente con la Estrella, S.A., de Seguros, en virtud de una de las cuales dicha entidad abonó al lesionado José González del Carmen la suma de 39.000 euros.</w:t>
      </w:r>
    </w:p>
    <w:p w:rsidR="0026452D" w:rsidRDefault="0026452D" w:rsidP="0026452D">
      <w:pPr>
        <w:pStyle w:val="TextoNormal"/>
      </w:pPr>
    </w:p>
    <w:p w:rsidR="0026452D" w:rsidRDefault="0026452D" w:rsidP="0026452D">
      <w:pPr>
        <w:pStyle w:val="TextoNormal"/>
      </w:pPr>
      <w:r>
        <w:t>Tercero.- No se ha acreditado que la obra mencionada careciera de las medidas de protección frente a riesgos de caída de altura consistentes en la implantación de barandillas protectoras en plataformas, andamios y pasarelas, así como en los desniveles, huecos y aberturas existentes en los pisos de las obras, que supongan para los trabajadores un riesgo de caída de altura superior a 2 metros; tampoco, que la caída del trabajador José González del Carmen trajera por causa la no implantación por los responsables de las empresas constructoras de medidas de seguridad en la obra de referencia, ni que éstos dejaran de informar a los trabajadores a su cargo de los riesgos aparejados a las tareas que desempeñaban; tampoco, que dichos responsables incumplieran sus deberes relacionados con la supervisión de las medidas de seguridad, colectivas e individuales, que eran precisas para que los trabajadores desempeñaran su labor con las debidas garantías; consta por el contrario acreditado que los trabajadores de la obra tenían a su disposición medidas individuales de seguridad consistentes, entre otras, en cascos y cinturones de seguridad suministrados por las empresas indicadas, las cuales impartieron además en diversas ocasiones a los operarios cursos en materia de seguridad en el trabajo adecuados a las tareas a realizar.”</w:t>
      </w:r>
    </w:p>
    <w:p w:rsidR="0026452D" w:rsidRDefault="0026452D" w:rsidP="0026452D">
      <w:pPr>
        <w:pStyle w:val="TextoNormal"/>
      </w:pPr>
    </w:p>
    <w:p w:rsidR="0026452D" w:rsidRDefault="0026452D" w:rsidP="0026452D">
      <w:pPr>
        <w:pStyle w:val="TextoNormal"/>
      </w:pPr>
      <w:r>
        <w:t>b) Formulado recurso de apelación por la acusación particular, la Sección Segunda de la Audiencia Provincial de Huelva, sin celebrar vista pública, dictó Sentencia de 29 de enero de 2010, en el rollo de apelación núm. 246-2009, por la que condenó a doña Paloma Ogayar Lechuga, como autora de un delito contra los derechos de los trabajadores en concurso con una falta de lesiones por imprudencia, a las penas de seis meses de prisión, multa de seis meses con una cuota diaria de diez euros o apremio personal subsidiario de un día por cada dos cuotas en caso de impago, accesoria de inhabilitación especial por seis meses para el ejercicio del cargo de jefe de obra en la actividad empresarial de construcción, por el delito; a la vez, a la pena de veinte días de multa con una cuota diaria de diez euros o apremio personal subsidiario de un día por cada dos cuotas en caso de impago, por la falta. En con</w:t>
      </w:r>
      <w:r>
        <w:lastRenderedPageBreak/>
        <w:t>cepto de responsabilidad civil, junto al resto de los condenados, al abono conjunto y solidario de 227.371,50 euros más los intereses correspondientes a favor de don José González del Carmen.</w:t>
      </w:r>
    </w:p>
    <w:p w:rsidR="0026452D" w:rsidRDefault="0026452D" w:rsidP="0026452D">
      <w:pPr>
        <w:pStyle w:val="TextoNormal"/>
      </w:pPr>
    </w:p>
    <w:p w:rsidR="0026452D" w:rsidRDefault="0026452D" w:rsidP="0026452D">
      <w:pPr>
        <w:pStyle w:val="TextoNormal"/>
      </w:pPr>
      <w:r>
        <w:t>Para sustentar este pronunciamiento, la Sala de apelación no aceptó el hecho probado tercero de la Sentencia de instancia, que fue sustituido por el siguiente:</w:t>
      </w:r>
    </w:p>
    <w:p w:rsidR="0026452D" w:rsidRDefault="0026452D" w:rsidP="0026452D">
      <w:pPr>
        <w:pStyle w:val="TextoNormal"/>
      </w:pPr>
    </w:p>
    <w:p w:rsidR="0026452D" w:rsidRDefault="0026452D" w:rsidP="0026452D">
      <w:pPr>
        <w:pStyle w:val="TextoNormal"/>
      </w:pPr>
      <w:r>
        <w:t>“Los trabajos de pintura de cornisa e interior de techo llevados a cabo por José González del Carmen se localizaban en la parte superior de una estructura en forma de torreón de tres alturas que alojaba una escalera circular interior, no contando con barandillas, vallas, sargentos u otro sistema de protección alguno en sus dos niveles superiores y sí únicamente con una barandillas en el arranque de la escalera en el piso inferior. Tampoco existían redes u otro elemento de protección frente a caídas.</w:t>
      </w:r>
    </w:p>
    <w:p w:rsidR="0026452D" w:rsidRDefault="0026452D" w:rsidP="0026452D">
      <w:pPr>
        <w:pStyle w:val="TextoNormal"/>
      </w:pPr>
    </w:p>
    <w:p w:rsidR="0026452D" w:rsidRDefault="0026452D" w:rsidP="0026452D">
      <w:pPr>
        <w:pStyle w:val="TextoNormal"/>
      </w:pPr>
      <w:r>
        <w:t>Había en la obra arneses que los trabajadores tenían que solicitar si entendían que les hacía falta.</w:t>
      </w:r>
    </w:p>
    <w:p w:rsidR="0026452D" w:rsidRDefault="0026452D" w:rsidP="0026452D">
      <w:pPr>
        <w:pStyle w:val="TextoNormal"/>
      </w:pPr>
    </w:p>
    <w:p w:rsidR="0026452D" w:rsidRDefault="0026452D" w:rsidP="0026452D">
      <w:pPr>
        <w:pStyle w:val="TextoNormal"/>
      </w:pPr>
      <w:r>
        <w:t>No ha quedado acreditado que José González del Carmen recibiera adecuada formación sobre riesgos laborales en general o inherentes a los trabajos que habría de desempeñar en la obra.”</w:t>
      </w:r>
    </w:p>
    <w:p w:rsidR="0026452D" w:rsidRDefault="0026452D" w:rsidP="0026452D">
      <w:pPr>
        <w:pStyle w:val="TextoNormal"/>
      </w:pPr>
    </w:p>
    <w:p w:rsidR="0026452D" w:rsidRDefault="0026452D" w:rsidP="0026452D">
      <w:pPr>
        <w:pStyle w:val="TextoNormal"/>
      </w:pPr>
      <w:r>
        <w:t>El Tribunal consideró acreditado este nuevo hecho probado, en el fundamento jurídico tercero de su resolución, en base —entre otros— a los siguientes razonamientos:</w:t>
      </w:r>
    </w:p>
    <w:p w:rsidR="0026452D" w:rsidRDefault="0026452D" w:rsidP="0026452D">
      <w:pPr>
        <w:pStyle w:val="TextoNormal"/>
      </w:pPr>
    </w:p>
    <w:p w:rsidR="0026452D" w:rsidRDefault="0026452D" w:rsidP="0026452D">
      <w:pPr>
        <w:pStyle w:val="TextoNormal"/>
      </w:pPr>
      <w:r>
        <w:t xml:space="preserve">“Como se consigna en los hechos probados de esta Sentencia, la Sala no comparte la evaluación de la prueba practicada por parte del Juez </w:t>
      </w:r>
      <w:r w:rsidRPr="0026452D">
        <w:rPr>
          <w:i/>
        </w:rPr>
        <w:t>a quo</w:t>
      </w:r>
      <w:r>
        <w:t xml:space="preserve"> y extrae consecuencias diferentes del material probatorio que podemos sintetizar como sigue:</w:t>
      </w: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3.2 De las medidas de seguridad colectivas e individuales</w:t>
      </w:r>
    </w:p>
    <w:p w:rsidR="0026452D" w:rsidRDefault="0026452D" w:rsidP="0026452D">
      <w:pPr>
        <w:pStyle w:val="TextoNormal"/>
      </w:pPr>
    </w:p>
    <w:p w:rsidR="0026452D" w:rsidRDefault="0026452D" w:rsidP="0026452D">
      <w:pPr>
        <w:pStyle w:val="TextoNormal"/>
      </w:pPr>
      <w:r>
        <w:t>En relación con las primeras, la prueba documental obrante en autos es de enorme contundencia y sirve para desvirtuar las conclusiones obtenidas en la sentencia que se apela.</w:t>
      </w:r>
    </w:p>
    <w:p w:rsidR="0026452D" w:rsidRDefault="0026452D" w:rsidP="0026452D">
      <w:pPr>
        <w:pStyle w:val="TextoNormal"/>
      </w:pPr>
    </w:p>
    <w:p w:rsidR="0026452D" w:rsidRDefault="0026452D" w:rsidP="0026452D">
      <w:pPr>
        <w:pStyle w:val="TextoNormal"/>
      </w:pPr>
      <w:r>
        <w:t xml:space="preserve">El primer documento que existe en la causa relativo al accidente es precisamente el que abre las diligencias previas, atestado instruido por la policía local de Ayamonte el mismo día de los hechos. Documento que, por la imparcialidad que se presume de sus redactores y por el valor que hemos de otorgar a los primeros datos recopilados en situación de absoluta inmediatez, debe ser especialmente tenido en cuenta. En el mismo ya se consigna, en referencia al accidentado, que ‘... según manifestaciones de los testigos esta persona no se encontraba con ningún sistema de protección ni de sujeción, ni se encuentra sujeto con ningún sistema de seguridad así como no existía ninguna protección en el hueco de la escalera...’. No se reseña la identidad de los testigos pero el propio atestado, ratificado además en el acto del juicio por los agentes que intervinieron en su confección, tiene como recopilación de tales testimonios una virtualidad probatoria intrínseca. Pero además de ello, el relato se completa con cuatro fotografías (folios 4 y 5 de lo actuado), tomadas con tal inmediatez que aparecen en las mismas todavía la ambulancia del servicio de emergencia 061, en las que se </w:t>
      </w:r>
      <w:r>
        <w:lastRenderedPageBreak/>
        <w:t>puede apreciar que los comentarios acerca de la ausencia de toda medida de seguridad en la torre es palmaria...</w:t>
      </w:r>
    </w:p>
    <w:p w:rsidR="0026452D" w:rsidRDefault="0026452D" w:rsidP="0026452D">
      <w:pPr>
        <w:pStyle w:val="TextoNormal"/>
      </w:pPr>
    </w:p>
    <w:p w:rsidR="0026452D" w:rsidRDefault="0026452D" w:rsidP="0026452D">
      <w:pPr>
        <w:pStyle w:val="TextoNormal"/>
      </w:pPr>
      <w:r>
        <w:t xml:space="preserve">En segundo lugar, en la propuesta de sanción elaborada en el expediente sancionador abierto por los mismos hechos por la Inspección de Trabajo y Seguridad Social (folios 49 y ss.) contiene una serie de apreciaciones de suma contundencia como las que aparecen en su apartado primero donde se especifica que el trabajador ‘… cae al suelo desde lo alto por carecer el perímetro de barandillas o de otra medida de protección equivalente...’ o el tercero que, por su interés, merece la pena ser transcrito en su integridad: ‘tanto el accidentado como el encargado manifiestan que no había ninguna barrera en el acceso al edificio, siendo colocadas posteriormente. Parece razonable que así fuera, por cuanto de haber existido habrían sido saltadas al menos cuatro veces: al inspeccionar </w:t>
      </w:r>
      <w:r w:rsidRPr="0026452D">
        <w:rPr>
          <w:i/>
        </w:rPr>
        <w:t>in situ</w:t>
      </w:r>
      <w:r>
        <w:t xml:space="preserve"> la tarea, al empezar a trabajar y subir el material (rodillo y bote de 30 kgs. de pintura), al dejar de trabajar a las 2, y al volver a trabajar a las 3, con lo que recordarían su existencia. Por otra parte, si la hubiera habría que haberla quitado al realizar el trabajo ya que ese trabajo había que hacerlo, y evidentemente el pintor no es alguien ‘ajeno a la obra’ (apareció una señal que decía ‘prohibido el paso a toda persona ajena a la obra’)…</w:t>
      </w:r>
    </w:p>
    <w:p w:rsidR="0026452D" w:rsidRDefault="0026452D" w:rsidP="0026452D">
      <w:pPr>
        <w:pStyle w:val="TextoNormal"/>
      </w:pPr>
    </w:p>
    <w:p w:rsidR="0026452D" w:rsidRDefault="0026452D" w:rsidP="0026452D">
      <w:pPr>
        <w:pStyle w:val="TextoNormal"/>
      </w:pPr>
      <w:r>
        <w:t>3.2.2 Por lo que hace a las medidas de seguridad individuales, no podemos descartar que las hubiese en la obra, ya que algunos testigos así lo afirman y no hay otro medio de prueba que podamos tener en cuenta para contradecir dicha versión, pero acogiendo las propias apreciaciones del Sr. Juez de primer grado que tiene por acreditado (fundamento jurídico tercero de la sentencia) que ‘... los trabajadores de la obra tenían a su disposición medidas de seguridad consistentes, entre otras, en cascos y cinturones...’, considera la Sala que los cinturones o arneses, como manifiesta en juicio algún testigo los tenían que solicitar los trabajadores.</w:t>
      </w:r>
    </w:p>
    <w:p w:rsidR="0026452D" w:rsidRDefault="0026452D" w:rsidP="0026452D">
      <w:pPr>
        <w:pStyle w:val="TextoNormal"/>
      </w:pPr>
    </w:p>
    <w:p w:rsidR="0026452D" w:rsidRDefault="0026452D" w:rsidP="0026452D">
      <w:pPr>
        <w:pStyle w:val="TextoNormal"/>
      </w:pPr>
      <w:r>
        <w:t>Ello no nos sitúa tanto ante una duda acerca de si el día del accidente había en la obra cinturones o arneses a disposición de los trabajadores, sino de la obligatoriedad para los obreros de usarlos, de la supervisión que en este aspecto se hacía y, enlazando con el apartado siguiente, del propio conocimiento que José González del Carmen había adquirido, a través de la formación que se le brindó, de la importancia de usarlos en situaciones como aquella en la que el accidente se produjo.</w:t>
      </w:r>
    </w:p>
    <w:p w:rsidR="0026452D" w:rsidRDefault="0026452D" w:rsidP="0026452D">
      <w:pPr>
        <w:pStyle w:val="TextoNormal"/>
      </w:pPr>
    </w:p>
    <w:p w:rsidR="0026452D" w:rsidRDefault="0026452D" w:rsidP="0026452D">
      <w:pPr>
        <w:pStyle w:val="TextoNormal"/>
      </w:pPr>
      <w:r>
        <w:t>3.3 De la formación recibida por José González del Carmen</w:t>
      </w:r>
    </w:p>
    <w:p w:rsidR="0026452D" w:rsidRDefault="0026452D" w:rsidP="0026452D">
      <w:pPr>
        <w:pStyle w:val="TextoNormal"/>
      </w:pPr>
    </w:p>
    <w:p w:rsidR="0026452D" w:rsidRDefault="0026452D" w:rsidP="0026452D">
      <w:pPr>
        <w:pStyle w:val="TextoNormal"/>
      </w:pPr>
      <w:r>
        <w:t>Nuevamente en relación con este extremo existen versiones de testigos y acusados cuya apreciación por el Sr. Juez de lo Penal, dando en la conclusión de que la víctima había recibido la formación oportuna, no pueden ser revisadas por este Tribunal. Pero también aquí discrepamos de la sentencia criticada en tanto que existen fuentes de prueba que siembran toda una serie de dudas acerca del contenido de la formación que recibiera.</w:t>
      </w:r>
    </w:p>
    <w:p w:rsidR="0026452D" w:rsidRDefault="0026452D" w:rsidP="0026452D">
      <w:pPr>
        <w:pStyle w:val="TextoNormal"/>
      </w:pPr>
    </w:p>
    <w:p w:rsidR="0026452D" w:rsidRDefault="0026452D" w:rsidP="0026452D">
      <w:pPr>
        <w:pStyle w:val="TextoNormal"/>
      </w:pPr>
      <w:r>
        <w:t>Nos referimos al informe pericial caligráfico de la Guardia Civil que establece que de los dos documentos estudiados, folios 369 y 371, contienen firmas de José y que la que aparece en el primero de ellos es verdadera, no así la segunda.</w:t>
      </w:r>
    </w:p>
    <w:p w:rsidR="0026452D" w:rsidRDefault="0026452D" w:rsidP="0026452D">
      <w:pPr>
        <w:pStyle w:val="TextoNormal"/>
      </w:pPr>
    </w:p>
    <w:p w:rsidR="0026452D" w:rsidRDefault="0026452D" w:rsidP="0026452D">
      <w:pPr>
        <w:pStyle w:val="TextoNormal"/>
      </w:pPr>
      <w:r>
        <w:t xml:space="preserve">Por lo tanto podemos dudar, razonablemente que la formación recibida por el trabajador accidentado fuera más allá de la hora dedicada a ‘información sobre riesgos laborales y </w:t>
      </w:r>
      <w:r>
        <w:lastRenderedPageBreak/>
        <w:t>formación en materia preventiva’ ficha obrante al folio 369, ya que la ficha del folio 371, según la Benemérita no fue firmada por él; dándose además la circunstancia de que en este capítulo de formación se insertaba un apartado relativo al arnés.</w:t>
      </w:r>
    </w:p>
    <w:p w:rsidR="0026452D" w:rsidRDefault="0026452D" w:rsidP="0026452D">
      <w:pPr>
        <w:pStyle w:val="TextoNormal"/>
      </w:pPr>
    </w:p>
    <w:p w:rsidR="0026452D" w:rsidRDefault="0026452D" w:rsidP="0026452D">
      <w:pPr>
        <w:pStyle w:val="TextoNormal"/>
      </w:pPr>
      <w:r>
        <w:t>Por último, nota la Sala una falta de coherencia interna en cuanto a la apreciación de pruebas en la sentencia de primer grado, lo que origina a su vez un déficit de precisión en las conclusiones extraídas que nos lleva a no compartir las mismas, cuando sostiene por una parte que José González del Carmen gozaba de un nivel de formación apropiado y por otra asienta en su fundamento de derecho segundo —transcrito más arriba— que tanto José como su primo Ramón ignoraban que la empresa contaba con una grúa para realizar labores de pintura de exterior a altura o en otras situaciones de riesgo. La formación e información son dos capítulos difícilmente separables y mal se podría reputar a un operario como correctamente informado cuando desconoce los recursos idóneos para llevar a efecto una determinada tarea, desconoce su carácter de inexcusables en situaciones de riesgo y no sabe siquiera si la empresa para la que trabaja cuenta con los mismos.</w:t>
      </w:r>
    </w:p>
    <w:p w:rsidR="0026452D" w:rsidRDefault="0026452D" w:rsidP="0026452D">
      <w:pPr>
        <w:pStyle w:val="TextoNormal"/>
      </w:pPr>
    </w:p>
    <w:p w:rsidR="0026452D" w:rsidRDefault="0026452D" w:rsidP="0026452D">
      <w:pPr>
        <w:pStyle w:val="TextoNormal"/>
      </w:pPr>
      <w:r>
        <w:t>En conclusión la Sala tiene por dudoso el hecho de que José González del Carmen recibiera una adecuada formación en materia de riesgos laborales.”</w:t>
      </w:r>
    </w:p>
    <w:p w:rsidR="0026452D" w:rsidRDefault="0026452D" w:rsidP="0026452D">
      <w:pPr>
        <w:pStyle w:val="TextoNormal"/>
      </w:pPr>
    </w:p>
    <w:p w:rsidR="0026452D" w:rsidRDefault="0026452D" w:rsidP="0026452D">
      <w:pPr>
        <w:pStyle w:val="TextoNormal"/>
      </w:pPr>
      <w:r>
        <w:t>Constatado lo anterior, el Tribunal de apelación, en el fundamento jurídico cuarto de la Sentencia, razona la responsabilidad de la ahora recurrente en las siguientes consideraciones:</w:t>
      </w:r>
    </w:p>
    <w:p w:rsidR="0026452D" w:rsidRDefault="0026452D" w:rsidP="0026452D">
      <w:pPr>
        <w:pStyle w:val="TextoNormal"/>
      </w:pPr>
    </w:p>
    <w:p w:rsidR="0026452D" w:rsidRDefault="0026452D" w:rsidP="0026452D">
      <w:pPr>
        <w:pStyle w:val="TextoNormal"/>
      </w:pPr>
      <w:r>
        <w:t>“4.3 Paloma Ogayar Lechuga</w:t>
      </w:r>
    </w:p>
    <w:p w:rsidR="0026452D" w:rsidRDefault="0026452D" w:rsidP="0026452D">
      <w:pPr>
        <w:pStyle w:val="TextoNormal"/>
      </w:pPr>
    </w:p>
    <w:p w:rsidR="0026452D" w:rsidRDefault="0026452D" w:rsidP="0026452D">
      <w:pPr>
        <w:pStyle w:val="TextoNormal"/>
      </w:pPr>
      <w:r>
        <w:t>Aunque en la alzada la representación de José González del Carmen solicita la condena de todos los acusados, prácticamente la única fundamentación de su recurso se encuentra relacionada con la responsabilidad de los hermanos Muñiz García, sin realizar una verdadera tarea de impugnación de los argumentos en que se basa la sentencia absolutoria. Este detalle dificulta, aun cuando podemos entender que no impide a la Sala, estudiar la posible responsabilidad de cada uno de los acusados, más allá de la pretensión de condena del Ministerio Fiscal que se circunscribe a cuatro de ellos.</w:t>
      </w:r>
    </w:p>
    <w:p w:rsidR="0026452D" w:rsidRDefault="0026452D" w:rsidP="0026452D">
      <w:pPr>
        <w:pStyle w:val="TextoNormal"/>
      </w:pPr>
    </w:p>
    <w:p w:rsidR="0026452D" w:rsidRDefault="0026452D" w:rsidP="0026452D">
      <w:pPr>
        <w:pStyle w:val="TextoNormal"/>
      </w:pPr>
      <w:r>
        <w:t>Enlazando con cuanto se dijo más arriba, debemos recordar en este punto que el art. 316 del Código Penal remite a la normativa laboral y que ésta designa a una serie de intervinientes en el proceso constructivo como responsables en distinta medida en materia de seguridad.</w:t>
      </w:r>
    </w:p>
    <w:p w:rsidR="0026452D" w:rsidRDefault="0026452D" w:rsidP="0026452D">
      <w:pPr>
        <w:pStyle w:val="TextoNormal"/>
      </w:pPr>
    </w:p>
    <w:p w:rsidR="0026452D" w:rsidRDefault="0026452D" w:rsidP="0026452D">
      <w:pPr>
        <w:pStyle w:val="TextoNormal"/>
      </w:pPr>
      <w:r>
        <w:t>Entre tales responsables podemos, a través de la extensiva redacción del art. 318 del Código Penal, plantearnos si se encuentra el Jefe de Obra, al igual que aquellos otros empleados como capataces, maestros y oficiales que ostenten algún tipo de facultad de ordenación del trabajo o de dirección de instrucciones a otros empleados. Y para ello resulta necesaria la prueba de que la Jefe de Obra, en su calidad de encargada del servicio hubiera sido responsable de los fallos de seguridad o que, conociéndolos y pudiendo remediarlo, no hubieran adoptado medidas para ello. Y el Tribunal tiene como efectivamente verificado tal aspecto.</w:t>
      </w:r>
    </w:p>
    <w:p w:rsidR="0026452D" w:rsidRDefault="0026452D" w:rsidP="0026452D">
      <w:pPr>
        <w:pStyle w:val="TextoNormal"/>
      </w:pPr>
    </w:p>
    <w:p w:rsidR="0026452D" w:rsidRDefault="0026452D" w:rsidP="0026452D">
      <w:pPr>
        <w:pStyle w:val="TextoNormal"/>
      </w:pPr>
      <w:r>
        <w:lastRenderedPageBreak/>
        <w:t>Recordando cuanto se dijo en el considerando segundo de esta sentencia, hemos de resaltar especialmente en ese aspecto que las declaraciones de la propia acusada y testificales producidas en el juicio oral en relación con la misma, no han sido específicamente analizadas por la sentencia de primer grado. No ha extraído de ellas el Sr. Magistrado conclusión alguna que se plasme expresamente en su resolución y que por tanto constituya un óbice para una diversa interpretación de la Sala.</w:t>
      </w:r>
    </w:p>
    <w:p w:rsidR="0026452D" w:rsidRDefault="0026452D" w:rsidP="0026452D">
      <w:pPr>
        <w:pStyle w:val="TextoNormal"/>
      </w:pPr>
    </w:p>
    <w:p w:rsidR="0026452D" w:rsidRDefault="0026452D" w:rsidP="0026452D">
      <w:pPr>
        <w:pStyle w:val="TextoNormal"/>
      </w:pPr>
      <w:r>
        <w:t>Por otra parte, las bases para la condena de Paloma Ogayar Lechuga no se asientan de manera exclusiva, ni aun primordial, en tales declaraciones, sino que afloran de su misma posición en el proceso constructivo que se estaba llevando a cabo. No obstante, resultará conveniente dejar apuntados algunos de los testimonios vertidos en juicio que, sin adición interpretativa alguna, vienen a fundamentar esta conclusión. Así, en su declaración en el plenario:</w:t>
      </w:r>
    </w:p>
    <w:p w:rsidR="0026452D" w:rsidRDefault="0026452D" w:rsidP="0026452D">
      <w:pPr>
        <w:pStyle w:val="TextoNormal"/>
      </w:pPr>
    </w:p>
    <w:p w:rsidR="0026452D" w:rsidRDefault="0026452D" w:rsidP="0026452D">
      <w:pPr>
        <w:pStyle w:val="TextoNormal"/>
      </w:pPr>
      <w:r>
        <w:t>‘El día del accidente se encontraba en la obra, vio al accidentado en el suelo. En el torreón había que pintar el exterior. Interior en bruto. No dio orden de que se realizara el trabajo … Que la zona del torreón esta precintada con valla y puntales y señal de prohibido el paso … Que el trabajador para entrar tenía que pedir permiso a Saldaña … no tiene conocimiento de que se lo preguntara … Que ella no lleva nada de seguridad y salud en la obra …’.</w:t>
      </w:r>
    </w:p>
    <w:p w:rsidR="0026452D" w:rsidRDefault="0026452D" w:rsidP="0026452D">
      <w:pPr>
        <w:pStyle w:val="TextoNormal"/>
      </w:pPr>
    </w:p>
    <w:p w:rsidR="0026452D" w:rsidRDefault="0026452D" w:rsidP="0026452D">
      <w:pPr>
        <w:pStyle w:val="TextoNormal"/>
      </w:pPr>
      <w:r>
        <w:t>En el marco de una declaración autoexculpatoria tendente a desligar su actuación con los específicos cometidos de seguridad y salud, lo cual resulta correcto, obtenemos la certeza de que su trabajo cotidiano sí se desarrollaba en la obra, hasta el punto de hallarse presente el día en que el siniestro ocurrió. Por ello ni siquiera es preciso que diera la orden directa de pintar en el torreón, puesto que lo fundamental es que conocía, si no la tarea de pintura de aquél día sí la situación de éste —sin protección alguna— y el riesgo que con ello se mantenía.”</w:t>
      </w:r>
    </w:p>
    <w:p w:rsidR="0026452D" w:rsidRDefault="0026452D" w:rsidP="0026452D">
      <w:pPr>
        <w:pStyle w:val="TextoNormal"/>
      </w:pPr>
    </w:p>
    <w:p w:rsidR="0026452D" w:rsidRDefault="0026452D" w:rsidP="0026452D">
      <w:pPr>
        <w:pStyle w:val="TextoNormal"/>
      </w:pPr>
      <w:r>
        <w:t>c) Contra la anterior Sentencia de la Audiencia Provincial, la representación procesal de la recurrente promovió incidente de nulidad de actuaciones, alegando la lesión del derecho a un proceso con todas las garantías, por referencia a los principios de inmediación y contradicción, así como de la presunción de inocencia, al haber sido condenada por la Sala por los referidos tipos penales, sin haberse celebrado vista pública durante la apelación y luego de haber procedido en su resolución a modificar los hechos declarados probados en la instancia. También invocaba la vulneración del principio acusatorio, por no haberse expuesto en la apelación por las acusaciones personadas los elementos incriminatorios existentes respecto de ella, no teniendo así oportunidad de defenderse.</w:t>
      </w:r>
    </w:p>
    <w:p w:rsidR="0026452D" w:rsidRDefault="0026452D" w:rsidP="0026452D">
      <w:pPr>
        <w:pStyle w:val="TextoNormal"/>
      </w:pPr>
    </w:p>
    <w:p w:rsidR="0026452D" w:rsidRDefault="0026452D" w:rsidP="0026452D">
      <w:pPr>
        <w:pStyle w:val="TextoNormal"/>
      </w:pPr>
      <w:r>
        <w:t xml:space="preserve">Frente a esta pretensión, el Tribunal dictó Auto de 3 de mayo de 2010, por el que procedió a desestimar el incidente de nulidad presentado. A tal fin, razonaba, en su fundamento de Derecho primero, que el Tribunal no estimó necesaria la celebración de vista “al encontrarse suficientemente ilustrado con el material probatorio obrante en la causa y a través de las alegaciones de parte en los correspondientes recursos e impugnaciones de los mismos”. Por otra parte, la condena no se había basado en una apreciación de prueba de naturaleza personal “correspondiéndose las conclusiones obtenidas en esta segunda instancia con el estudio de la prueba documental incorporada a la causa” (mismo fundamento jurídico). Respecto del principio acusatorio, la Sala tampoco acoge le pretensión de la recurrente, pues entiende que “consideramos que con la posición de la acusación particular solicitando en alzada la </w:t>
      </w:r>
      <w:r>
        <w:lastRenderedPageBreak/>
        <w:t>condena de todos los acusados [entre estos de la ahora demandante], se habilita al Tribunal para efectuar un pronunciamiento condenatorio contra todos ellos sin vulnerar esa faceta del principio acusatorio” [fundamento jurídico primero, letra c)].</w:t>
      </w:r>
    </w:p>
    <w:p w:rsidR="0026452D" w:rsidRDefault="0026452D" w:rsidP="0026452D">
      <w:pPr>
        <w:pStyle w:val="TextoNormal"/>
      </w:pPr>
    </w:p>
    <w:p w:rsidR="0026452D" w:rsidRDefault="0026452D" w:rsidP="0026452D">
      <w:pPr>
        <w:pStyle w:val="TextoNormal"/>
      </w:pPr>
      <w:r w:rsidRPr="0026452D">
        <w:rPr>
          <w:rStyle w:val="NumeroAFNegritaCaracter"/>
        </w:rPr>
        <w:t>3</w:t>
      </w:r>
      <w:r>
        <w:t>. a) La recurrente atribuye en primer lugar la lesión del principio acusatorio (art. 24.2 CE) en relación con el derecho a la tutela judicial efectiva (art. 24.1 CE) a la Sentencia dictada por la Audiencia Provincial de Huelva, al haber sido condenada después de haber sido absuelta, pero “sin que se haya formulado una acusación concreta contra ella en la segunda instancia”.</w:t>
      </w:r>
    </w:p>
    <w:p w:rsidR="0026452D" w:rsidRDefault="0026452D" w:rsidP="0026452D">
      <w:pPr>
        <w:pStyle w:val="TextoNormal"/>
      </w:pPr>
    </w:p>
    <w:p w:rsidR="0026452D" w:rsidRDefault="0026452D" w:rsidP="0026452D">
      <w:pPr>
        <w:pStyle w:val="TextoNormal"/>
      </w:pPr>
      <w:r>
        <w:t>Así, es cierto que, en la primera instancia la recurrente conoció y pudo defenderse de la acusación que contra ella formularon el Fiscal y la acusación particular por un delito contra los derechos de los trabajadores en concurso con un delito de lesiones por imprudencia grave (aunque después el Fiscal retiró su acusación en las conclusiones definitivas). Mas también es verdad que, una vez dictada Sentencia absolutoria respecto de la misma, sólo la acusación particular la recurrió, sin que ésta concretara en momento alguno los términos de su recurso ni expusiera los razonamientos en base a los cuales discrepaba de dicho pronunciamiento absolutorio. En este sentido, la propia Sentencia de la Audiencia Provincial de Huelva, ahora impugnada, reconoce en su fundamento jurídico 4.3 que “aunque en la alzada la representación de José González del Carmen solicita la condena de todos los acusados, prácticamente la única fundamentación de su recurso se encuentra relacionada con la responsabilidad de los hermanos Muñiz García, sin realizar una verdadera tarea de impugnación de los argumentos en que se basa la Sentencia absolutoria”; si bien la Audiencia Provincial seguidamente, de manera incorrecta, entendió que esta circunstancia “no impide a la Sala estudiar la posible responsabilidad de cada uno de los acusados (también de Paloma Ogayar Lechuga), más allá de la pretensión de condena del Ministerio Fiscal que se circunscribe a cuatro de ellos” (mismo fundamento jurídico). Así las cosas, la ahora demandante de amparo ha sufrido la consiguiente indefensión “al no haber tenido oportunidad de defenderse de una acusación no explicitada de forma que pueda ser objeto de contradicción”.</w:t>
      </w:r>
    </w:p>
    <w:p w:rsidR="0026452D" w:rsidRDefault="0026452D" w:rsidP="0026452D">
      <w:pPr>
        <w:pStyle w:val="TextoNormal"/>
      </w:pPr>
    </w:p>
    <w:p w:rsidR="0026452D" w:rsidRDefault="0026452D" w:rsidP="0026452D">
      <w:pPr>
        <w:pStyle w:val="TextoNormal"/>
      </w:pPr>
      <w:r>
        <w:t>b) Como segundo motivo de impugnación la demandante hace referencia a la vulneración del derecho a un proceso con todas las garantías (art. 24.2 CE) por parte de la resolución de la Sala de apelación, al haber corregido la valoración practicada por el Juzgado de lo Penal, modificando los hechos probados de su Sentencia, concluyendo en un pronunciamiento condenatorio respecto del referido delito contra los derechos de los trabajadores, sin respetar los principios de inmediación y contradicción. Se cita así como infringida la doctrina enunciada en la STC 167/2002, de 18 de septiembre, y pronunciamientos posteriores (entre los que se citan las SSTC 167/2001, de 16 de julio; 60/2008, de 26 de mayo; 120/2009, de 18 de mayo), al haber procedido el Tribunal a revocar el pronunciamiento absolutorio del Juzgado sin practicar prueba alguna durante la apelación, ni proceder, en consecuencia, a oír directamente a los acusados y testigos que prestaron declaración en el juicio oral.</w:t>
      </w:r>
    </w:p>
    <w:p w:rsidR="0026452D" w:rsidRDefault="0026452D" w:rsidP="0026452D">
      <w:pPr>
        <w:pStyle w:val="TextoNormal"/>
      </w:pPr>
    </w:p>
    <w:p w:rsidR="0026452D" w:rsidRDefault="0026452D" w:rsidP="0026452D">
      <w:pPr>
        <w:pStyle w:val="TextoNormal"/>
      </w:pPr>
      <w:r>
        <w:t xml:space="preserve">Así, el Tribunal modificó el hecho probado tercero de la Sentencia del Juzgado de lo Penal, reconociendo que la obra donde se encontraba el trabajador accidentado no contaba con todas las medidas necesarias de protección ni había quedado acreditado que este hubiera recibido los adecuados cursos de formación de riesgos laborales, para seguidamente inferir la responsabilidad de la ahora recurrente, como jefa de obra, tras una nueva valoración de las pruebas personales practicadas, fundamentalmente de su propio testimonio y del resto </w:t>
      </w:r>
      <w:r>
        <w:lastRenderedPageBreak/>
        <w:t>de las declaraciones de acusados y testigos. Tal variación de la Sala resulta inaceptable, conforme a la anterior doctrina, pues está cambiando la apreciación del Juez de instancia, sin haber presenciado directamente estas pruebas personales, al no haber admitido la celebración de vista pública.</w:t>
      </w:r>
    </w:p>
    <w:p w:rsidR="0026452D" w:rsidRDefault="0026452D" w:rsidP="0026452D">
      <w:pPr>
        <w:pStyle w:val="TextoNormal"/>
      </w:pPr>
    </w:p>
    <w:p w:rsidR="0026452D" w:rsidRDefault="0026452D" w:rsidP="0026452D">
      <w:pPr>
        <w:pStyle w:val="TextoNormal"/>
      </w:pPr>
      <w:r>
        <w:t>c) En tercer lugar se alega en la demanda la infracción del derecho a la presunción de inocencia (art. 24.2 CE), que no es sino corolario del anterior motivo, pues, conforme a la citada doctrina de este Tribunal, la vulneración del derecho a un proceso con todas las garantías, al haber sobrevenido la condena tras una valoración de pruebas personales sin respetar los principios de inmediación y contradicción, conlleva la lesión del derecho a la presunción de inocencia por no existir entonces prueba válidamente practicada, sin que la prueba documental que queda en la causa tenga virtualidad suficiente para esta condena.</w:t>
      </w:r>
    </w:p>
    <w:p w:rsidR="0026452D" w:rsidRDefault="0026452D" w:rsidP="0026452D">
      <w:pPr>
        <w:pStyle w:val="TextoNormal"/>
      </w:pPr>
    </w:p>
    <w:p w:rsidR="0026452D" w:rsidRDefault="0026452D" w:rsidP="0026452D">
      <w:pPr>
        <w:pStyle w:val="TextoNormal"/>
      </w:pPr>
      <w:r>
        <w:t>En todo caso, aduce la recurrente, la Sala ha efectuado una interpretación incorrecta de la prueba, pues sustenta su condena en su posición de “garante” de la obra en cuestión respecto de “los niveles de seguridad idóneos”, siendo así que “los verdaderos garantes sólo pueden ser los empresarios, los encargados de seguridad y los coordinadores de seguridad”.</w:t>
      </w:r>
    </w:p>
    <w:p w:rsidR="0026452D" w:rsidRDefault="0026452D" w:rsidP="0026452D">
      <w:pPr>
        <w:pStyle w:val="TextoNormal"/>
      </w:pPr>
    </w:p>
    <w:p w:rsidR="0026452D" w:rsidRDefault="0026452D" w:rsidP="0026452D">
      <w:pPr>
        <w:pStyle w:val="TextoNormal"/>
      </w:pPr>
      <w:r w:rsidRPr="0026452D">
        <w:rPr>
          <w:rStyle w:val="NumeroAFNegritaCaracter"/>
        </w:rPr>
        <w:t>4</w:t>
      </w:r>
      <w:r>
        <w:t>. La Sala Primera de este Tribunal por providencia de 22 de marzo de 2012 acordó inadmitir el recurso de amparo formulado por considerar que carecía de la especial trascendencia constitucional que requiere el art. 50.1 b) de la Ley Orgánica del Tribunal Constitucional (LOTC). Interpuesto recurso de súplica por el Ministerio Fiscal, fue estimado por ATC 137/2012, de 2 de julio, que dejó sin efecto la providencia de 22 de marzo habida cuenta de la identidad sustancial entre el presente recurso de amparo y el núm. 5637-2010, que había sido previamente admitido. En consecuencia, la Sala Primera de este Tribunal por providencia de 2 de julio de 2012 acordó admitir a trámite la demanda de amparo y, a tenor de lo dispuesto en el art. 51 LOTC, requerir al Juzgado de lo Penal núm. 4 y a la Audiencia Provincial de Huelva para que, en el plazo de diez días, remitieran certificación o fotocopia adverada de las actuaciones correspondientes al procedimiento abreviado núm. 221-2008 y rollo de apelación núm. 246-2009, respectivamente. En la misma providencia se acordó que por dicho Juzgado se procediera al emplazamiento de quienes fueron parte en el procedimiento, con excepción del recurrente en amparo, para que en el plazo de diez días pudieran comparecer en este proceso constitucional.</w:t>
      </w:r>
    </w:p>
    <w:p w:rsidR="0026452D" w:rsidRDefault="0026452D" w:rsidP="0026452D">
      <w:pPr>
        <w:pStyle w:val="TextoNormal"/>
      </w:pPr>
    </w:p>
    <w:p w:rsidR="0026452D" w:rsidRDefault="0026452D" w:rsidP="0026452D">
      <w:pPr>
        <w:pStyle w:val="TextoNormal"/>
      </w:pPr>
      <w:r>
        <w:t>Igualmente se dispuso formar la correspondiente pieza separada de suspensión, en la que, tras los trámites oportunos, la Sala Primera de este Tribunal dictó el ATC 155/2012, de 21 de agosto, acordando acceder a la suspensión de la pena privativa de libertad de seis meses de prisión y accesoria de inhabilitación especial para el ejercicio del cargo de jefe de obra en la actividad empresarial de construcción por ese mismo periodo de tiempo, denegándose la suspensión de los restantes pronunciamientos.</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Por diligencia de ordenación de la Secretaria de Justicia de la Sala Primera de este Tribunal, de 28 de septiembre de 2012, se tuvieron por personados y partes en el procedimiento a la Procuradora de los Tribunales doña María Jesús Mateos en nombre y representación de don Antonio Muñiz García, don Rafael Muñiz García y Hermanos Muñiz de Ayamonte, S.L., al Procurador don Antonio Gómez de la Serna Adrada en nombre y representación de don Joaquín Gutiérrez García y don José Correa Reyes, al Procurador don Jorge Deleito García en nombre y representación de don Tomás Solaz Martínez, al Procurador </w:t>
      </w:r>
      <w:r>
        <w:lastRenderedPageBreak/>
        <w:t>don Víctor García Montes en nombre y representación de don Juan Martín Correa y doña Manuela Martín Rodríguez y a la Procuradora doña María Rodríguez Puyol en nombre y representación de don José González del Carmen.</w:t>
      </w:r>
    </w:p>
    <w:p w:rsidR="0026452D" w:rsidRDefault="0026452D" w:rsidP="0026452D">
      <w:pPr>
        <w:pStyle w:val="TextoNormal"/>
      </w:pPr>
    </w:p>
    <w:p w:rsidR="0026452D" w:rsidRDefault="0026452D" w:rsidP="0026452D">
      <w:pPr>
        <w:pStyle w:val="TextoNormal"/>
      </w:pPr>
      <w:r>
        <w:t>En la misma diligencia se acordó dar vista de las actuaciones a las partes personadas y al Ministerio Fiscal, por un plazo común de veinte días, para presentar las alegaciones que estimasen pertinentes, de conformidad con lo previsto en el art. 52.1 LOTC.</w:t>
      </w:r>
    </w:p>
    <w:p w:rsidR="0026452D" w:rsidRDefault="0026452D" w:rsidP="0026452D">
      <w:pPr>
        <w:pStyle w:val="TextoNormal"/>
      </w:pPr>
    </w:p>
    <w:p w:rsidR="0026452D" w:rsidRDefault="0026452D" w:rsidP="0026452D">
      <w:pPr>
        <w:pStyle w:val="TextoNormal"/>
      </w:pPr>
      <w:r w:rsidRPr="0026452D">
        <w:rPr>
          <w:rStyle w:val="NumeroAFNegritaCaracter"/>
        </w:rPr>
        <w:t>6</w:t>
      </w:r>
      <w:r>
        <w:t>. La recurrente presentó sus alegaciones mediante escrito que tuvo entrada en el Registro General de este Tribunal el 31 de octubre de 2012. En este se limita a reiterar, de manera resumida, los argumentos ya expuestos en su demanda de amparo sobre la lesión del principio acusatorio en relación con el derecho a la tutela judicial efectiva, imputable a la resolución dictada por la Audiencia Provincial de Huelva, así como del derecho a un proceso con todas las garantías y a la presunción de inocencia, al no haber respetado la Sala los principios de inmediación y contradicción, no siendo, en consecuencia, la prueba ponderada apta y suficiente para sustentar su condena.</w:t>
      </w:r>
    </w:p>
    <w:p w:rsidR="0026452D" w:rsidRDefault="0026452D" w:rsidP="0026452D">
      <w:pPr>
        <w:pStyle w:val="TextoNormal"/>
      </w:pPr>
    </w:p>
    <w:p w:rsidR="0026452D" w:rsidRDefault="0026452D" w:rsidP="0026452D">
      <w:pPr>
        <w:pStyle w:val="TextoNormal"/>
      </w:pPr>
      <w:r w:rsidRPr="0026452D">
        <w:rPr>
          <w:rStyle w:val="NumeroAFNegritaCaracter"/>
        </w:rPr>
        <w:t>7</w:t>
      </w:r>
      <w:r>
        <w:t>. La representación procesal de don Antonio Muñiz García, don Rafael Muñiz García y Hermanos Muñiz de Ayamonte, S.L., condenados en esta causa, presentaron sus alegaciones por escrito registrado en este Tribunal el 31 de octubre de 2012. En éste se adhieren íntegramente a los razonamientos expuestos en la demanda de amparo, añadiendo que el contenido de la STC 144/2012, de 2 de julio, en que a ellos se les otorgó el amparo por la lesión del derecho a un proceso con todas las garantías y a la presunción de inocencia por parte de la Sentencia ahora impugnada, es también aplicable al supuesto ahora objeto de análisis.</w:t>
      </w:r>
    </w:p>
    <w:p w:rsidR="0026452D" w:rsidRDefault="0026452D" w:rsidP="0026452D">
      <w:pPr>
        <w:pStyle w:val="TextoNormal"/>
      </w:pPr>
    </w:p>
    <w:p w:rsidR="0026452D" w:rsidRDefault="0026452D" w:rsidP="0026452D">
      <w:pPr>
        <w:pStyle w:val="TextoNormal"/>
      </w:pPr>
      <w:r>
        <w:t>La representación de don Joaquín Gutiérrez García y don José Correa Reyes, también condenados, cumplimentaron el trámite conferido por escrito registrado el mismo 31 de octubre de 2012, mostrando su plena adhesión a los motivos de impugnación de la parte recurrente. Respecto de la invocada lesión del derecho a un proceso con todas las garantías y a la presunción de inocencia, porque se había revocado por la Audiencia “una sentencia absolutoria, con alteración de los hechos declarados probados por el Juzgado de lo Penal, sin celebración de vista y, por ende, sin materializarse prueba alguna en segunda instancia”. Respecto del principio acusatorio, porque el Tribunal de apelación había asumido en este caso “funciones acusatorias”. Por ello, interesan que se otorgue el amparo a la recurrente, anulando de forma plena la resolución ahora impugnada de la Audiencia Provincial de Huelva. Por otra parte, teniendo en cuenta que a los ahora comparecientes les había sido inadmitida su demanda de amparo por providencia de la Sección Segunda de la Sala Primera de este Tribunal de 2 diciembre de 2010, por no “apreciar la especial trascendencia constitucional”, siendo así que esta demanda se interpuso “por idénticos motivos a los ahora esgrimidos por la recurrente y contra las mismas resoluciones”, se interesa que este Tribunal Constitucional “mediante incidente, en pieza separada o como resulte más oportuno, acceda a reconsiderar y revocar la inadmisión de nuestra demanda de amparo (núm. 5514-2010) para que pueda ser tramitada, examinada y resuelta”. Para ello, se razona que “el motivo de inadmisión (‘por no apreciar la especial trascendencia constitucional’) ha quedado sin efectos ante el dictado de la Sentencia núm. 144-2012 de fecha 2 de julio de 2012 de la Sala Segunda de este Tribunal, que ha decretado la nulidad por inconstitucionalidad, de las resoluciones impugnadas de la Sección Segunda de la Audiencia Provincial de Huelva”.</w:t>
      </w:r>
    </w:p>
    <w:p w:rsidR="0026452D" w:rsidRDefault="0026452D" w:rsidP="0026452D">
      <w:pPr>
        <w:pStyle w:val="TextoNormal"/>
      </w:pPr>
    </w:p>
    <w:p w:rsidR="0026452D" w:rsidRDefault="0026452D" w:rsidP="0026452D">
      <w:pPr>
        <w:pStyle w:val="TextoNormal"/>
      </w:pPr>
      <w:r>
        <w:t>La representación de don Tomás Solaz Martínez, otro de los condenados en esta causa, presentó sus alegaciones por escrito registrado en fecha 2 de noviembre de 2012, adhiriéndose íntegramente a las alegaciones realizadas por la recurrente en relación a lesión de los derechos fundamentales referidos. En dicho escrito, por otra parte, se significa que los efectos de la estimación de este recurso, mediante la nulidad de la Sentencia de la Audiencia Provincial de Huelva, ha de extenderse “al resto de los condenados” en la misma. Respecto del caso concreto de don Tomás Solaz, esta persona también recurrió en amparo ante este Tribunal, por los mismos motivos, siendo inadmitida su demanda (núm. 5676-2010) por “carecer de especial trascendencia constitucional”, pronunciamiento que no fue recurrido por el Fiscal. Además, se razona, la STC 144/2012, de 2 de julio, de la Sala Segunda, debió haber concedido el amparo a los demás condenados en la causa, lo que no hizo al otorgarlo sólo a don Antonio Muñiz García y a don Rafael Muñiz García.</w:t>
      </w:r>
    </w:p>
    <w:p w:rsidR="0026452D" w:rsidRDefault="0026452D" w:rsidP="0026452D">
      <w:pPr>
        <w:pStyle w:val="TextoNormal"/>
      </w:pPr>
    </w:p>
    <w:p w:rsidR="0026452D" w:rsidRDefault="0026452D" w:rsidP="0026452D">
      <w:pPr>
        <w:pStyle w:val="TextoNormal"/>
      </w:pPr>
      <w:r>
        <w:t>La representación de don Juan Martín Rodríguez y doña Manuela Martín Rodríguez, condenados en este procedimiento por los mismos tipos penales, presentaron sus alegaciones por escrito registrado el 2 de noviembre de 2012. En éste también se adhieren a los razonamientos expuestos en la demanda sobre las lesiones del derecho a un proceso con todas las garantías y a la presunción de inocencia. Así, “el Tribunal de apelación siembra la duda sobre la base de hechos ampliamente probados, mediante declaraciones de testigos, peritos, documentales, etc., y además lo hace hasta el punto de decir que el Juez de primera instancia llega a una conclusión contraria a la lógica, sin tener en cuenta que fue precisamente este Juzgado penal de primera instancia el que pudo observar directamente y de acuerdo con los principios de inmediación y contradicción las pruebas realizadas”. Además, “hemos asistido a una interpretación arbitraria de la prueba bajo el amparo de la razonabilidad, la cual en absoluto ha tenido en cuenta el principio de presunción de inocencia, sino la creencia propia por parte de los magistrados de apelación de que mis clientes y el resto de los imputados eran culpables, y a partir de esta premisa fabricar una sentencia condenatoria exenta de toda prueba válida”. A estas lesiones constitucionales se viene a añadir la del principio acusatorio, por falta de individualización de la imputación, tanto por el Fiscal como por la acusación particular. Por lo expuesto, se solicita la nulidad de la resolución dictada por la Sala de apelación, debiendo extenderse estos efectos “a la demandante recurrente y a los alegantes personados”. Para ello, al igual que se ha expresado por los anteriores comparecientes, se tiene en cuenta la STC 144/2012 que otorga el amparo a otros condenados y la circunstancia de que a los ahora alegantes también les fue inadmitida su demanda de amparo (5732-2010).</w:t>
      </w:r>
    </w:p>
    <w:p w:rsidR="0026452D" w:rsidRDefault="0026452D" w:rsidP="0026452D">
      <w:pPr>
        <w:pStyle w:val="TextoNormal"/>
      </w:pPr>
    </w:p>
    <w:p w:rsidR="0026452D" w:rsidRDefault="0026452D" w:rsidP="0026452D">
      <w:pPr>
        <w:pStyle w:val="TextoNormal"/>
      </w:pPr>
      <w:r w:rsidRPr="0026452D">
        <w:rPr>
          <w:rStyle w:val="NumeroAFNegritaCaracter"/>
        </w:rPr>
        <w:t>8</w:t>
      </w:r>
      <w:r>
        <w:t>. La representación de don José González del Carmen, acusación particular en la causa penal, presentó sus alegaciones mediante escrito registrado el 31 de octubre de 2012, interesando, por el contrario, la desestimación del recurso de amparo.</w:t>
      </w:r>
    </w:p>
    <w:p w:rsidR="0026452D" w:rsidRDefault="0026452D" w:rsidP="0026452D">
      <w:pPr>
        <w:pStyle w:val="TextoNormal"/>
      </w:pPr>
    </w:p>
    <w:p w:rsidR="0026452D" w:rsidRDefault="0026452D" w:rsidP="0026452D">
      <w:pPr>
        <w:pStyle w:val="TextoNormal"/>
      </w:pPr>
      <w:r>
        <w:t>A tal fin, comienza por reseñar la extemporaneidad de la demanda presentada porque “el plazo para interponer el recurso es de 20 días siguientes a la notificación de la resolución, por lo que si le fue notificada el 2 de junio, el mismo finalizaba el 3 de julio, y el recurso tuvo entrada (en este Tribunal Constitucional) el 14 de julio de 2010”.</w:t>
      </w:r>
    </w:p>
    <w:p w:rsidR="0026452D" w:rsidRDefault="0026452D" w:rsidP="0026452D">
      <w:pPr>
        <w:pStyle w:val="TextoNormal"/>
      </w:pPr>
    </w:p>
    <w:p w:rsidR="0026452D" w:rsidRDefault="0026452D" w:rsidP="0026452D">
      <w:pPr>
        <w:pStyle w:val="TextoNormal"/>
      </w:pPr>
      <w:r>
        <w:t xml:space="preserve">Posteriormente, pone de relieve que la invocada lesión del principio acusatorio no se habría producido porque “esta representación jamás retiró la acusación de doña Paloma </w:t>
      </w:r>
      <w:r>
        <w:lastRenderedPageBreak/>
        <w:t>Ogayar Lechuga, como bien se indica de contrario, elevó a definitivas las conclusiones provisionales; conclusiones en las que se hacía constar la responsabilidad de la Sra. Ogayar como Jefe de obra”. En lo que se refiere a la vulneración del derecho a un proceso con todas las garantías, razona que la Audiencia Provincial no ha infringido los principios de inmediación y contradicción al no haber efectuado una nueva valoración de la prueba practicada en la instancia, limitándose a realizar “una revisión o análisis de la estructura racional del discurso valorativo”, lo que está permitido por la jurisprudencia constitucional (se cita la STC 153/2011, de 17 de octubre). Por otra parte, la Sala pondera otras pruebas, sobre las que no rige el principio de inmediación, como cierta documental y pericial obrante en la causa. En relación a la presunción de inocencia, don José González pone de relieve que la Sentencia impugnada “tiene en consideración la prueba practicada y realiza un análisis exhaustivo de la misma, más racional que la realizada por el Tribunal de primera instancia”, acudiendo, además, a documentos no valorados por este, “como lo es el atestado instruido por la Policía Local de Ayamonte el mismo día de los hechos; … la propuesta de sanción elaborada en el expediente sancionador abierto por la Inspección de Trabajo y Seguridad Social; … y el informe pericial caligráfico de la Guardia Civil”. Todo este conjunto probatorio, concluye, permite a la Sala de apelación conformar prueba de cargo suficiente para desvirtuar la presunción de inocencia.</w:t>
      </w:r>
    </w:p>
    <w:p w:rsidR="0026452D" w:rsidRDefault="0026452D" w:rsidP="0026452D">
      <w:pPr>
        <w:pStyle w:val="TextoNormal"/>
      </w:pPr>
    </w:p>
    <w:p w:rsidR="0026452D" w:rsidRDefault="0026452D" w:rsidP="0026452D">
      <w:pPr>
        <w:pStyle w:val="TextoNormal"/>
      </w:pPr>
      <w:r w:rsidRPr="0026452D">
        <w:rPr>
          <w:rStyle w:val="NumeroAFNegritaCaracter"/>
        </w:rPr>
        <w:t>9</w:t>
      </w:r>
      <w:r>
        <w:t>. El Ministerio público cumplimentó el trámite de alegaciones por escrito presentado en el Registro General de este Tribunal el 25 de octubre de 2012, interesando la estimación del recurso, por vulneración de los derechos fundamentales a un proceso con todas las garantías y a la presunción de inocencia.</w:t>
      </w:r>
    </w:p>
    <w:p w:rsidR="0026452D" w:rsidRDefault="0026452D" w:rsidP="0026452D">
      <w:pPr>
        <w:pStyle w:val="TextoNormal"/>
      </w:pPr>
    </w:p>
    <w:p w:rsidR="0026452D" w:rsidRDefault="0026452D" w:rsidP="0026452D">
      <w:pPr>
        <w:pStyle w:val="TextoNormal"/>
      </w:pPr>
      <w:r>
        <w:t>Respecto de la primera infracción, el Fiscal entiende que se habría producido la vulneración de los principios de inmediación y contradicción, porque la Audiencia Provincial había basado la condena de doña Paloma Ogayar Lechuga “en sus propias declaraciones no presenciadas por el Tribunal de apelación, lo que contradice la doctrina del Tribunal Constitucional”. Además, los razonamientos expuestos en la STC 144/2012, en la que se analiza un recurso de amparo de otros condenados, son “extrapolables a la ahora demandante” pues su condena se sustenta también “en la inexistencia de medidas de seguridad en la obra y en la defectuosa formación del trabajador accidentado, de lo que se le hizo responsable tanto por su condición de Jefa de obra como por sus manifestaciones en el plenario”. En esta Sentencia, cuyos fundamentos jurídicos 3, 4 y 5 transcribe el Fiscal, se significa que la Sala deduce estos datos sobre las medidas de seguridad y formación del trabajador de una serie de pruebas personales, como declaraciones de acusados, perjudicado, testigos y peritos. Por otra parte, afirma el Fiscal, también sería de aplicación en este caso lo dicho en el fundamento jurídico 6 de la citada STC 144/2012 sobre la consiguiente lesión de la presunción de inocencia, consecuencia de la anterior conculcación, pues la eliminación de las pruebas irregularmente valoradas ha dejado sin sustento el relato de hechos probados que soporta la declaración de culpabilidad de la recurrente.</w:t>
      </w:r>
    </w:p>
    <w:p w:rsidR="0026452D" w:rsidRDefault="0026452D" w:rsidP="0026452D">
      <w:pPr>
        <w:pStyle w:val="TextoNormal"/>
      </w:pPr>
    </w:p>
    <w:p w:rsidR="0026452D" w:rsidRDefault="0026452D" w:rsidP="0026452D">
      <w:pPr>
        <w:pStyle w:val="TextoNormal"/>
      </w:pPr>
      <w:r>
        <w:t xml:space="preserve">Por el contrario, el Ministerio público no aprecia la vulneración del principio acusatorio por la Sentencia de apelación, pues la demandante ha tenido en todo momento “temporáneo conocimiento” de los hechos que se le imputaban y “posibilidad de contradicción y defensa”. Así, “los hechos objeto de enjuiciamiento eran claros y los mismos” (la caída de un pintor en un torreón sin las necesarias medidas de seguridad, deduciéndose la culpabilidad de la recurrente por su condición de jefa de obra), “sin que la Sala haya introducido ningún </w:t>
      </w:r>
      <w:r>
        <w:lastRenderedPageBreak/>
        <w:t>elemento esencial atinente a la intervención en los mismos de la ahora demandante, ajenos a los alegados y probados”. Tampoco, concluye el Fiscal, “la calificación jurídica de la conducta de la ahora demandante se ha apartado de lo sostenido por la acusación particular que discrepó con la Sentencia absolutoria y formuló recurso de apelación interesando su condena”.</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21 de febrero de 2013 se señaló para deliberación y votación de la presente Sentencia el día 25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Es objeto de impugnación en este recurso de amparo la Sentencia de la Sección Segunda de la Audiencia Provincial de Huelva, de 29 de enero de 2010, que, revocando el pronunciamiento absolutorio dictado por el Juzgado de lo Penal núm. 4 en su Sentencia de 20 de febrero de 2009, condenó a la recurrente, tras el correspondiente recurso de apelación interpuesto por la acusación particular, como autora de un delito contra los derechos de los trabajadores [art. 316 del Código penal (CP)] en concurso con una falta de lesiones por imprudencia (art. 621.3 CP). Esta impugnación se extiende al Auto de 3 de mayo de 2010, dictado por la misma Sección, que desestima el incidente de nulidad de actuaciones interpuesto contra la Sentencia indicada. La recurrente considera vulnerado el principio acusatorio (art. 24.2 CE), en relación con el derecho a la tutela judicial efectiva (art. 24.1 CE), por haber sido condenada luego de haber sido absuelta “sin que se haya formulado una acusación concreta contra ella en la segunda instancia”. También entiende infringido el derecho a un proceso con todas las garantías (art. 24.2 CE), al haber modificado la Sala de apelación el relato de hechos probados de la Sentencia de instancia mediante una nueva valoración de las pruebas personales practicadas en el juicio sin haberlas sometido a la debida contradicción, inmediación y oralidad. Dicha lesión conlleva la del derecho a la presunción de inocencia (art. 24.2 CE) por no existir entonces prueba válidamente practicada, efectuando, en todo caso, el Tribunal una interpretación incorrecta de la misma respecto de su posición de “garante” de la obra en cuestión.</w:t>
      </w:r>
    </w:p>
    <w:p w:rsidR="0026452D" w:rsidRDefault="0026452D" w:rsidP="0026452D">
      <w:pPr>
        <w:pStyle w:val="TextoNormal"/>
      </w:pPr>
    </w:p>
    <w:p w:rsidR="0026452D" w:rsidRDefault="0026452D" w:rsidP="0026452D">
      <w:pPr>
        <w:pStyle w:val="TextoNormal"/>
      </w:pPr>
      <w:r>
        <w:t>Las representaciones procesales de don Antonio Muñiz García, don Rafael Muñiz García, y hermanos Muñiz de Ayamonte, S.L., de don Joaquín Gutiérrez García y don José Correa Reyes, de don Tomás Solaz Martínez, y de don Juan Martín Rodríguez y doña Manuela Martín Rodríguez, todos ellos condenados en la presente causa, interesan la estimación de la demanda de amparo por los motivos que se exponen en los antecedentes de esta resolución.</w:t>
      </w:r>
    </w:p>
    <w:p w:rsidR="0026452D" w:rsidRDefault="0026452D" w:rsidP="0026452D">
      <w:pPr>
        <w:pStyle w:val="TextoNormal"/>
      </w:pPr>
    </w:p>
    <w:p w:rsidR="0026452D" w:rsidRDefault="0026452D" w:rsidP="0026452D">
      <w:pPr>
        <w:pStyle w:val="TextoNormal"/>
      </w:pPr>
      <w:r>
        <w:t>Por el contrario, la representación de don José González del Carmen, luego de plantear el óbice procesal de extemporaneidad de la demanda, interesó la desestimación del recurso. En su condición de acusación particular, sostuvo en todo momento la acción penal contra la recurrente, habiéndose limitado la Audiencia Provincial a realizar una revisión de la “estructura racional” del discurso valorativo del Juez de lo penal, ponderando tan sólo pruebas que no necesitan de inmediación, como cierta documental y pericial, suficientes para el pronunciamiento de condena.</w:t>
      </w:r>
    </w:p>
    <w:p w:rsidR="0026452D" w:rsidRDefault="0026452D" w:rsidP="0026452D">
      <w:pPr>
        <w:pStyle w:val="TextoNormal"/>
      </w:pPr>
    </w:p>
    <w:p w:rsidR="0026452D" w:rsidRDefault="0026452D" w:rsidP="0026452D">
      <w:pPr>
        <w:pStyle w:val="TextoNormal"/>
      </w:pPr>
      <w:r>
        <w:lastRenderedPageBreak/>
        <w:t>El Ministerio Fiscal interesa que se otorgue el amparo solicitado respecto de las lesiones invocadas del derecho a un proceso con todas las garantías y a la presunción de inocencia, al haberse apoyado la Sala para la condena en una ponderación de pruebas personales, entre estas la propia declaración de la recurrente, quedando sin soporte su declaración de culpabilidad una vez eliminadas estas pruebas. Sin que se aprecie vulneración del principio acusatorio, al haber tenido la acusada en todo momento la posibilidad de defenderse de los hechos que se le imputaban.</w:t>
      </w:r>
    </w:p>
    <w:p w:rsidR="0026452D" w:rsidRDefault="0026452D" w:rsidP="0026452D">
      <w:pPr>
        <w:pStyle w:val="TextoNormal"/>
      </w:pPr>
    </w:p>
    <w:p w:rsidR="0026452D" w:rsidRDefault="0026452D" w:rsidP="0026452D">
      <w:pPr>
        <w:pStyle w:val="TextoNormal"/>
      </w:pPr>
      <w:r w:rsidRPr="0026452D">
        <w:rPr>
          <w:rStyle w:val="NumeroAFNegritaCaracter"/>
        </w:rPr>
        <w:t>2</w:t>
      </w:r>
      <w:r>
        <w:t>. Por haberlo así planteado la representación procesal de don José González del Carmen hemos de pronunciarnos, en primer lugar, sobre el invocado óbice de extemporaneidad de la demanda, al haber sido supuestamente presentada ésta fuera de plazo; por cuanto, de apreciarse, ello supondría su inadmisión de acuerdo con lo previsto en el art. 50.1 a), en relación con el art. 44.2, ambos de la Ley Orgánica del Tribunal Constitucional (LOTC).</w:t>
      </w:r>
    </w:p>
    <w:p w:rsidR="0026452D" w:rsidRDefault="0026452D" w:rsidP="0026452D">
      <w:pPr>
        <w:pStyle w:val="TextoNormal"/>
      </w:pPr>
    </w:p>
    <w:p w:rsidR="0026452D" w:rsidRDefault="0026452D" w:rsidP="0026452D">
      <w:pPr>
        <w:pStyle w:val="TextoNormal"/>
      </w:pPr>
      <w:r>
        <w:t>Así las cosas, observamos que el Auto de la Sección Segunda de la Audiencia Provincial de Huelva de 3 de mayo de 2010, resolutorio de la nulidad presentada, fue notificado a la recurrente el 2 de junio del mismo año, constando como fecha de entrada de su recurso de amparo en este Tribunal Constitucional el 14 de julio de 2010. Con estos antecedentes, resulta evidente que la demanda no es extemporánea pues el plazo legalmente prescrito en el citado art. 44.2 LOTC de treinta días para la interposición del recurso de amparo, no de veinte como se afirma erróneamente por la parte ahora compareciente, concluiría el día 16 de julio del referido año.</w:t>
      </w:r>
    </w:p>
    <w:p w:rsidR="0026452D" w:rsidRDefault="0026452D" w:rsidP="0026452D">
      <w:pPr>
        <w:pStyle w:val="TextoNormal"/>
      </w:pPr>
    </w:p>
    <w:p w:rsidR="0026452D" w:rsidRDefault="0026452D" w:rsidP="0026452D">
      <w:pPr>
        <w:pStyle w:val="TextoNormal"/>
      </w:pPr>
      <w:r w:rsidRPr="0026452D">
        <w:rPr>
          <w:rStyle w:val="NumeroAFNegritaCaracter"/>
        </w:rPr>
        <w:t>3</w:t>
      </w:r>
      <w:r>
        <w:t>. Antes de entrar en el fondo del asunto, hay que reseñar que en la STC 144/2012, de 2 de julio, hemos anulado, sin retroacción de actuaciones, la Sentencia de la Audiencia Provincial de Huelva de 29 de enero de 2010 (a la que se refiere también la presente demanda de amparo), aunque sólo en relación con los condenados que interpusieron el recurso de amparo núm. 5673-2010, don Antonio Muñiz García, don Rafael Muñiz García y Hermanos Ayamonte, S.L. Apreciamos entonces que la Audiencia Provincial, al condenar a los tres recurrentes como autores de un delito contra los derechos de los trabajadores en concurso con una falta de lesiones por imprudencia, del que habían sido previamente absueltos, operó “una alteración del relato de los hechos probados de la Sentencia de instancia con base en una valoración de las pruebas personales sin respetar las garantías de inmediación y contradicción” lo que constituye una vulneración del derecho a un proceso con todas las garantías (art. 24.2 CE). La condena penal quedó en consecuencia desprovista de fundamentos probatorios, por lo que declaramos también la vulneración del derecho a la presunción de inocencia (art. 24.2 CE).</w:t>
      </w:r>
    </w:p>
    <w:p w:rsidR="0026452D" w:rsidRDefault="0026452D" w:rsidP="0026452D">
      <w:pPr>
        <w:pStyle w:val="TextoNormal"/>
      </w:pPr>
    </w:p>
    <w:p w:rsidR="0026452D" w:rsidRDefault="0026452D" w:rsidP="0026452D">
      <w:pPr>
        <w:pStyle w:val="TextoNormal"/>
      </w:pPr>
      <w:r>
        <w:t xml:space="preserve">La anulación se ciñó exclusivamente a los demandantes de amparo, don Antonio Muñiz García, don Rafael Muñiz García y Hermanos Muñiz de Ayamonte, S.L., sin que, por tanto, sus efectos se extendieran a doña Paloma Ogayar Lechuga, también condenada como autora de un delito contra los derechos de los trabajadores en concurso con una falta de lesiones por imprudencia por la misma Sentencia de la Audiencia Provincial de Huelva y recurrente en el presente proceso constitucional. No obstante, es claro que para decidir la actual demanda de amparo habrá de tenerse en cuenta la STC 144/2012, pues la formula doña Paloma Ogayar Lechuga contra la misma Sentencia y con base en los mismos motivos, limitándose sólo a añadir un tercero, relativo a la supuesta lesión del principio acusatorio. Según desarrollamos a continuación y como acertadamente afirma el Fiscal, los fundamentos de esa </w:t>
      </w:r>
      <w:r>
        <w:lastRenderedPageBreak/>
        <w:t>Sentencia constitucional respecto de la vulneración de los principios de inmediación y contradicción así como de presunción de inocencia, son “extrapolables a la ahora demandante”.</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Respecto de la primera infracción denunciada sobre la lesión del principio acusatorio, conviene recordar que este Tribunal ha señalado que, entre las garantías que incluye dicho principio, se encuentra la de que “nadie puede ser condenado por cosa distinta de la que se le ha acusado y de la que, por lo tanto, haya podido defenderse”; ha precisado a este respecto que por “cosa” no puede entenderse únicamente “un concreto devenir de acontecimientos, un </w:t>
      </w:r>
      <w:r w:rsidRPr="0026452D">
        <w:rPr>
          <w:i/>
        </w:rPr>
        <w:t>factum</w:t>
      </w:r>
      <w:r>
        <w:t>”, sino también “la perspectiva jurídica que delimita de un cierto modo ese devenir y selecciona algunos de sus rasgos, pues el debate contradictorio recae no sólo sobre los hechos, sino también sobre la calificación jurídica” (por todas, STC 60/2008, de 26 de mayo, FJ 6). Esta vinculación entre la pretensión punitiva de las partes acusadoras y el fallo de la Sentencia judicial implica que el órgano de enjuiciamiento debe dictar una resolución congruente con dicha pretensión; lo que responde a la necesidad, no sólo de garantizar las posibilidades de contradicción y defensa, sino también de respetar la distribución de funciones entre los diferentes participantes en el proceso penal. De este modo, el análisis del respeto a la garantía del deber de congruencia entre la acusación y fallo por parte de una resolución judicial debe venir dado, no sólo por la verificación de que el condenado ha tenido la oportunidad de debatir los elementos de la acusación contradictoriamente, sino también por la comprobación de que el órgano de enjuiciamiento no ha comprometido su imparcialidad asumiendo funciones acusatorias que constitucionalmente no le corresponden (SSTC 123/2005, de 12 de mayo, FJ 4 y 155/2009, de 25 de junio, FJ 4). Estas exigencias del principio acusatorio, como también hemos afirmado, son igualmente aplicables en la segunda instancia (STC 60/2008, de 26 de mayo, FJ 6), de forma que “la acusación, contradicción y defensa han de garantizarse no sólo en el juicio de primera instancia sino también en la fase de recurso, y, por ello, en la apelación, donde ha de existir también una acusación formulada contra una persona determinada, pues no hay posibilidad de condena sin acusación” (STC 53/1989, de 22 de febrero, FJ 2).</w:t>
      </w:r>
    </w:p>
    <w:p w:rsidR="0026452D" w:rsidRDefault="0026452D" w:rsidP="0026452D">
      <w:pPr>
        <w:pStyle w:val="TextoNormal"/>
      </w:pPr>
    </w:p>
    <w:p w:rsidR="0026452D" w:rsidRDefault="0026452D" w:rsidP="0026452D">
      <w:pPr>
        <w:pStyle w:val="TextoNormal"/>
      </w:pPr>
      <w:r>
        <w:t xml:space="preserve">A la luz de esta doctrina, ningún reproche cabe efectuar al pronunciamiento condenatorio de la recurrente por el Tribunal de apelación por un delito contra los derechos de los trabajadores en concurso con una falta de lesiones por imprudencia, toda vez que los términos en que fue formulada contra ella desde el primer momento acusación por la acusación particular (el Fiscal renunció a esta respecto de la recurrente en sus conclusiones definitivas) incluían, según observamos, los referidos tipos penales. A lo que ha de añadirse que dicha acusación interpuso recurso de apelación contra la Sentencia absolutoria de instancia, solicitando una nueva valoración de la prueba practicada y reiterando su solicitud de condena. En este recurso, como consta en el testimonio del rollo de apelación recibido en este Tribunal, si bien es verdad que la parte parece centrarse en la responsabilidad de otros coimputados (como se reconoce en la sentencia ahora impugnada), también observamos que su contenido plantea la cuestión esencial objeto de debate, como es la carencia de medidas de seguridad colectivas e individuales en la obra. Por otra parte, como reconoce el Fiscal, la ahora demandante ha tenido en las sucesivas fases de la causa un conocimiento cierto de los hechos que se le imputaban (sobre su responsabilidad como jefa de obra por estas deficiencias), por lo que pudo defenderse de los mismos de forma contradictoria. En este sentido, constatamos, en el expresado rollo, que la ahora recurrente en su escrito de oposición al recurso de apelación desarrolla ampliamente este aspecto sobre su falta de responsabilidad en esas tareas relacionadas con la salud y seguridad de los trabajadores, ejerciendo así una </w:t>
      </w:r>
      <w:r>
        <w:lastRenderedPageBreak/>
        <w:t>defensa coherente con el reproche penal que se le formulaba. Finalmente, el fallo condenatorio de la Sentencia de la Audiencia Provincial respetó el deber de congruencia en los términos que le era constitucionalmente exigible, condenando a la recurrente a penas de prisión y multa inferiores a las solicitadas por la acusación, por lo que no cabe apreciar la vulneración alegada del principio acusatorio contraria al art. 24.2 CE.</w:t>
      </w:r>
    </w:p>
    <w:p w:rsidR="0026452D" w:rsidRDefault="0026452D" w:rsidP="0026452D">
      <w:pPr>
        <w:pStyle w:val="TextoNormal"/>
      </w:pPr>
    </w:p>
    <w:p w:rsidR="0026452D" w:rsidRDefault="0026452D" w:rsidP="0026452D">
      <w:pPr>
        <w:pStyle w:val="TextoNormal"/>
      </w:pPr>
      <w:r w:rsidRPr="0026452D">
        <w:rPr>
          <w:rStyle w:val="NumeroAFNegritaCaracter"/>
        </w:rPr>
        <w:t>5</w:t>
      </w:r>
      <w:r>
        <w:t>. Por lo que se refiere a la segunda infracción denunciada sobre el derecho a un proceso con todas las garantías, atribuible al Tribunal de apelación por haber condenado a la demandante por un delito contra los derechos de los trabajadores, conviene traer a colación, de manera sucinta, la consolidada doctrina constitucional, iniciada en la STC 167/2002, de 18 de septiembre y reiterada en numerosas Sentencias posteriores (entre las últimas, la STC 144/2012, de 2 de julio, referente a otros condenados en esta causa), según la cual el respeto a los principios de publicidad, inmediación y contradicción, que forman parte del contenido del derecho fundamental invocado, impone inexorablemente que toda condena articulada sobre pruebas personales se fundamente en una actividad probatoria que el órgano judicial haya examinado directa y personalmente en un debate público, en el que se respete la posibilidad de contradicción. Por lo que hemos razonado que el órgano de apelación no puede operar una modificación de los hechos probados de la Sentencia de instancia que conduzca a la condena del acusado si tal modificación no viene precedida del examen directo y personal de los acusados y testigos en un debate público en el que se respete la posibilidad de contradicción (SSTC 60/2008, de 26 de mayo, FJ 5 y 188/2009, de 7 de septiembre, FJ 2).</w:t>
      </w:r>
    </w:p>
    <w:p w:rsidR="0026452D" w:rsidRDefault="0026452D" w:rsidP="0026452D">
      <w:pPr>
        <w:pStyle w:val="TextoNormal"/>
      </w:pPr>
    </w:p>
    <w:p w:rsidR="0026452D" w:rsidRDefault="0026452D" w:rsidP="0026452D">
      <w:pPr>
        <w:pStyle w:val="TextoNormal"/>
      </w:pPr>
      <w:r>
        <w:t>Ahora bien, hemos precisado que, cuando el órgano de apelación se limita a rectificar la inferencia realizada por el de instancia, a partir de unos hechos base que resultan acreditados en esta, estamos ante una cuestión que puede resolverse adecuadamente sobre la base de lo actuado, sin que sea necesario, para garantizar un proceso justo, la reproducción del debate público y la inmediación (SSTC 38/2008, de 25 de febrero, FJ 5 y 46/2011, de 11 de abril, FJ 2). De igual modo, la doctrina constitucional mencionada tampoco resultará aplicable cuando el núcleo de la discrepancia entre la Sentencia de instancia y la de apelación se refiera estrictamente a la calificación jurídica de los hechos que se declararon probados por el órgano judicial que primariamente conoció de los mismos, pues su subsunción típica no precisa de la inmediación judicial (STC 34/2009, de 9 de febrero, FJ 4). También hemos precisado que no cabrá efectuar reproche constitucional alguno cuando la condena pronunciada en apelación (tanto si el apelado hubiese sido absuelto en la instancia como si la Sentencia de apelación empeora su situación), a pesar de la alteración del sustrato fáctico sobre el que se asienta, esta no resulta del análisis de medios probatorios que exijan presenciar su práctica para su valoración, como es el caso de la prueba documental, cuya valoración sí es posible en segunda instancia sin necesidad de reproducción del debate procesal [SSTC 46/2011, de 11 de abril, FJ 2 b) y 154/2011, de 17 de octubre, FJ 2], o incluso la prueba pericial, cuando en el documento escrito de los informes periciales estén expuestas las razones que pueden hacer convincentes las conclusiones a las que esos informes lleguen (STC 143/2005, de 6 de junio, FJ 6).</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En este caso, resulta que el Juzgado de lo Penal núm. 4 de Huelva absolvió a la recurrente, jefa de obra, junto a otros, del delito contra los derechos de los trabajadores por el que se le acusaba. Según el hecho probado primero de su Sentencia, el operario don José González del Carmen, cuando estaba pintando el techo y la cornisa de un local comercial en la obra de la urbanización Huerta Beas II de Ayamonte, cayó al vacío sufriendo lesiones </w:t>
      </w:r>
      <w:r>
        <w:lastRenderedPageBreak/>
        <w:t>graves de diversa consideración. No obstante, en el hecho probado tercero de dicha Sentencia se consignaba, tal como hemos dejado reflejado en los antecedentes de la presente resolución, que no se había acreditado que la obra en cuestión “careciera de las medidas de protección frente a riesgos de caída de altura” y que “la caída del trabajador José González del Carmen trajera por causa la no implantación por los responsables de las empresas constructoras de medidas de seguridad en la obra de referencia, ni que éstos dejaran de informar a los trabajadores a su cargo de los riesgos aparejados a las tareas que desempeñaban”.</w:t>
      </w:r>
    </w:p>
    <w:p w:rsidR="0026452D" w:rsidRDefault="0026452D" w:rsidP="0026452D">
      <w:pPr>
        <w:pStyle w:val="TextoNormal"/>
      </w:pPr>
    </w:p>
    <w:p w:rsidR="0026452D" w:rsidRDefault="0026452D" w:rsidP="0026452D">
      <w:pPr>
        <w:pStyle w:val="TextoNormal"/>
      </w:pPr>
      <w:r>
        <w:t>La Audiencia Provincial de Huelva, por su parte, revocó este pronunciamiento, condenando a la ahora demandante como autora del expresado tipo penal en concurso con una falta de lesiones por imprudencia, junto a otros responsables de la obra. Para ello modificó, como hemos visto, el hecho probado tercero de la Sentencia de instancia, que quedó redactado de la siguiente forma: “los trabajos de pintura de cornisa e interior de techo llevados a cabo por José González del Carmen se localizaban en la parte superior de una estructura en forma de torreón de tres alturas que alojaba una escalera circular interior, no contando con barandillas, vallas, sargentos u otro sistema de protección alguno en sus dos niveles superiores y sí únicamente con una barandilla en el arranque de la escalera en el piso inferior. Tampoco existían redes u otro elemento de protección frente a caídas. Había en la obra arneses que los trabajadores tenían que solicitar si entendían que les hacía falta. No ha quedado acreditado que José González del Carmen recibiera adecuada formación sobre riesgos laborales en general o inherentes a los trabajos que habría de desempeñar en la obra”.</w:t>
      </w:r>
    </w:p>
    <w:p w:rsidR="0026452D" w:rsidRDefault="0026452D" w:rsidP="0026452D">
      <w:pPr>
        <w:pStyle w:val="TextoNormal"/>
      </w:pPr>
    </w:p>
    <w:p w:rsidR="0026452D" w:rsidRDefault="0026452D" w:rsidP="0026452D">
      <w:pPr>
        <w:pStyle w:val="TextoNormal"/>
      </w:pPr>
      <w:r>
        <w:t xml:space="preserve">Así las cosas, lo primero que cabe constatar, como así hacíamos en la STC 144/2012, de 2 de julio, que es de referencia para este proceso constitucional por las razones antedichas, es que “no nos encontramos ante un caso en que la Sala de apelación haya deducido una conclusión distinta ante unos hechos base acreditados por el Juzgado ni ante un supuesto en que ambos órganos judiciales discrepan de la calificación jurídica dada al referido </w:t>
      </w:r>
      <w:r w:rsidRPr="0026452D">
        <w:rPr>
          <w:i/>
        </w:rPr>
        <w:t>factum</w:t>
      </w:r>
      <w:r>
        <w:t>. Por el contrario, observamos que la Audiencia Provincial procede a una modificación sustancial de los hechos probados en dos aspectos que son relevantes para apreciar el ilícito penal objeto de la causa: sobre la existencia en la obra de medidas de seguridad, tanto individuales como colectivas, y sobre la información dada por parte de los responsables de las empresas constructoras a los trabajadores de los riesgos de su labor, impartiéndoles los debidos cursos de formación en materia de seguridad en el trabajo”.</w:t>
      </w:r>
    </w:p>
    <w:p w:rsidR="0026452D" w:rsidRDefault="0026452D" w:rsidP="0026452D">
      <w:pPr>
        <w:pStyle w:val="TextoNormal"/>
      </w:pPr>
    </w:p>
    <w:p w:rsidR="0026452D" w:rsidRDefault="0026452D" w:rsidP="0026452D">
      <w:pPr>
        <w:pStyle w:val="TextoNormal"/>
      </w:pPr>
      <w:r>
        <w:t xml:space="preserve">La representación de don José González del Carmen, acusación particular en el procedimiento penal del que resultó la condena a la recurrente en amparo, alega que en realidad la Sala de apelación para evaluar dichos aspectos controvertidos no ha realizado una nueva ponderación de la prueba practicada, limitándose a realizar “una revisión o análisis de la estructura racional del discurso valorativo”. No obstante, el Tribunal, como advertíamos en el fundamento jurídico 4 de la citada STC 144/2012, da a entender que procede a una nueva valoración de las pruebas personales en la segunda instancia (declaraciones de los acusados, perjudicado, testigos y peritos), cuando en el fundamento jurídico segundo de su Sentencia (que lleva por título precisamente “de la valoración de la prueba por el Tribunal de apelación”) admite que “subsisten otros parámetros y otros instrumentos técnicos que nos permiten comprobar la corrección del examen de la prueba realizado en la instancia, … como son la verificación de la racionalidad de las inferencias obtenidas, la contradicción de la prueba de carácter personal con otros elementos de prueba documentales, o incluso de las propias declaraciones vertidas en el plenario, que se hará partiendo exactamente del contenido de </w:t>
      </w:r>
      <w:r>
        <w:lastRenderedPageBreak/>
        <w:t>sus declaraciones tal y como están recogidas en el acta y posteriormente se reflejan en los razonamientos jurídicos de la sentencia combatida … de tal suerte que en el proceso de comprobación realizado por el Tribunal hemos podido … tomar las propias impresiones del Juez de lo Penal, tal como constan en la Sentencia apelada, interpretando de forma diversa su trascendencia”. Esta forma de actuar de la Sala, argumentábamos en el referido fundamento jurídico 4 de la STC citada, no es respetuosa con la doctrina emanada de la STC 167/2002, por referencia a los principios de inmediación y contradicción, que imponen que la prueba se practique ante el órgano judicial al que corresponde su valoración, siendo notorio que “la insuficiencia del acta del juicio como medio de documentación de las pruebas de carácter personal —incluso cuando el empleo de estenotipia permita consignar literalmente las palabras pronunciadas en el curso del acto— viene dada por la imposibilidad de reflejar los aspectos no verbales de toda declaración”, y, en el caso de la garantía de contradicción, “esta conlleva el que ese examen ‘directo y personal’ de las personas cuya declaración va a ser objeto de nueva valoración en la segunda instancia se realice en el seno de una nueva audiencia en presencia de los demás interesados y parte adversas”.</w:t>
      </w:r>
    </w:p>
    <w:p w:rsidR="0026452D" w:rsidRDefault="0026452D" w:rsidP="0026452D">
      <w:pPr>
        <w:pStyle w:val="TextoNormal"/>
      </w:pPr>
    </w:p>
    <w:p w:rsidR="0026452D" w:rsidRDefault="0026452D" w:rsidP="0026452D">
      <w:pPr>
        <w:pStyle w:val="TextoNormal"/>
      </w:pPr>
      <w:r>
        <w:t>Seguidamente la representación de don José González del Carmen afirma en su escrito que la Audiencia Provincial habría valorado una serie de pruebas no necesitadas de inmediación, como cierta documental y pericial. A esta observación dábamos también respuesta en la STC 144/2012, cuando en su fundamento jurídico 5 afirmábamos que “la Sala afirma utilizar la prueba documental y pericial para sustentar su juicio de revisión (atestado policial, expediente de la Inspección de Trabajo y Seguridad Social, pericial caligráfica de la Guardia Civil), elementos probatorios que, como también hemos afirmado, sí pueden en principio ser fiscalizables en vía de recurso sin merma de las garantías constitucionales. … No obstante, en este caso, estas diligencias, como reconoce el Fiscal, no pueden tener la eficacia revisora que les otorga el Tribunal, pues las mismas fueron llevadas después al plenario por quienes elaboraron dichos documentos, siendo ratificados y sometidos a contradicción a través de las declaraciones de los policías, agentes de la Guardia Civil y técnicos correspondientes de la Inspección de Trabajo (aportando éstos informaciones específicas sobre las particularidades del accidente), revistiendo estos testimonios una naturaleza incuestionable personal, por lo que el Tribunal de apelación no se puede apartar de las conclusiones obtenidas de los mismos por el Juez de instancia sin celebrar previamente vista pública y haber oído personal y directamente a sus protagonistas. Además, algunos datos que se hacen constar en estos documentos (en concreto, sobre la falta de medidas de protección en la obra) parecen deducirse de lo manifestado cuando se elaboraron por el perjudicado, encargado de la obra y otros testigos, siendo así que éstos también depusieron en el juicio oral, donde pudieron ser sometidas a debate sus conclusiones por todas las partes. En definitiva, los elementos probatorios ahora utilizados por la Audiencia Provincial, documental y pericial, en lo que basa la modificación de los hechos probados de la Sentencia de instancia, están absolutamente imbricados sus resultados con la credibilidad de los testimonios de las pruebas personales que luego se desarrollaron en el plenario (declaraciones de acusados, perjudicado, testigos y peritos), no pudiéndose disociar en la forma en que se ha hecho por la Sala unos elementos de otros, pues ello supone una desnaturalización del contenido de la doctrina emanada de la STC 167/2002, al ponderarse así con esta fórmula de manera indirecta por el órgano de apelación pruebas de carácter personal sin las debidas garantías constitucionales y otorgarse por el mismo una preeminencia al contenido de las declaraciones documentadas sobre los propios testimonios personales, practicados en el momento cumbre del proceso penal respetando los principios de inmediación y contradicción.”</w:t>
      </w:r>
    </w:p>
    <w:p w:rsidR="0026452D" w:rsidRDefault="0026452D" w:rsidP="0026452D">
      <w:pPr>
        <w:pStyle w:val="TextoNormal"/>
      </w:pPr>
    </w:p>
    <w:p w:rsidR="0026452D" w:rsidRDefault="0026452D" w:rsidP="0026452D">
      <w:pPr>
        <w:pStyle w:val="TextoNormal"/>
      </w:pPr>
      <w:r>
        <w:t>Además, en la condena de la ahora demandante concurre un elemento diferencial respecto del supuesto a que se refiere la STC 144/2012, pues el propio Tribunal de apelación reconoce en el fundamento jurídico cuarto de su Sentencia que ha tenido en cuenta para inferir su responsabilidad su propia declaración en el plenario, donde reconoció que el día del accidente se encontraba en la obra, no teniendo ninguna responsabilidad en materia de salud y seguridad, prueba ésta de naturaleza eminentemente personal. Así, la Sala procede a una ponderación de este testimonio, cuando significa que “en el marco de una declaración autoexculpatoria tendente a desligar su actuación con los específicos cometidos de seguridad y salud, lo cual resulta correcto, obtenemos la certeza de que su trabajo cotidiano sí se desarrollaba en la obra, hasta el punto de hallarse presente el día en que el siniestro ocurrió. Por ello ni siquiera es preciso que diera la orden directa de pintar en el torreón, puesto que lo fundamental es que conocía, si no la tarea de pintura de aquél día sí la situación de éste —sin protección alguna— y el riesgo que con ello se mantenía”.</w:t>
      </w:r>
    </w:p>
    <w:p w:rsidR="0026452D" w:rsidRDefault="0026452D" w:rsidP="0026452D">
      <w:pPr>
        <w:pStyle w:val="TextoNormal"/>
      </w:pPr>
    </w:p>
    <w:p w:rsidR="0026452D" w:rsidRDefault="0026452D" w:rsidP="0026452D">
      <w:pPr>
        <w:pStyle w:val="TextoNormal"/>
      </w:pPr>
      <w:r>
        <w:t>De lo expuesto, cabe deducir que la Sección Segunda de la Audiencia Provincial de Huelva ha vulnerado en su Sentencia el derecho a un proceso con todas las garantías de la recurrente, ya que se le condenó como autora de un delito contra los derechos de los trabajadores en concurso con una falta de lesiones por imprudencia, del que había sido absuelta, operando una alteración del relato de hechos probados de la Sentencia de instancia con base en una valoración de pruebas personales sin respetar las garantías de inmediación y contradicción.</w:t>
      </w:r>
    </w:p>
    <w:p w:rsidR="0026452D" w:rsidRDefault="0026452D" w:rsidP="0026452D">
      <w:pPr>
        <w:pStyle w:val="TextoNormal"/>
      </w:pPr>
    </w:p>
    <w:p w:rsidR="0026452D" w:rsidRDefault="0026452D" w:rsidP="0026452D">
      <w:pPr>
        <w:pStyle w:val="TextoNormal"/>
      </w:pPr>
      <w:r w:rsidRPr="0026452D">
        <w:rPr>
          <w:rStyle w:val="NumeroAFNegritaCaracter"/>
        </w:rPr>
        <w:t>7</w:t>
      </w:r>
      <w:r>
        <w:t>. Como se recordaba en la STC 144/2012, FJ 6, “la constatación de la anterior vulneración determinará también la del derecho a la presunción de inocencia (art. 24.2 CE)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la propia motivación de la Sentencia, se constate que dicha prueba era esencial para llegar a la conclusión fáctica incriminatoria, de modo que con su exclusión la inferencia en dicha conclusión devenga ilógica o no concluyente a partir de los presupuestos de la propia Sentencia (SSTC 36/2008, de 25 de febrero, FJ 5; 214/2009, de 30 de noviembre, FJ 5; y 30/2010, de 17 de mayo, FJ 5, entre otras).”</w:t>
      </w:r>
    </w:p>
    <w:p w:rsidR="0026452D" w:rsidRDefault="0026452D" w:rsidP="0026452D">
      <w:pPr>
        <w:pStyle w:val="TextoNormal"/>
      </w:pPr>
    </w:p>
    <w:p w:rsidR="0026452D" w:rsidRDefault="0026452D" w:rsidP="0026452D">
      <w:pPr>
        <w:pStyle w:val="TextoNormal"/>
      </w:pPr>
      <w:r>
        <w:t>En el presente caso, se tienen en cuenta por el Tribunal de apelación —además de una serie de pruebas personales (cuya ponderación hemos invalidado de acuerdo con la doctrina derivada de la STC 167/2002)— otros elementos probatorios, como cierta documental y pericial, cuya valoración en principio sí puede válidamente realizarse en segunda instancia, en la forma expuesta, sin necesidad de reproducción en el debate procesal, dada su naturaleza. Ahora bien, como establecimos también en la STC 144/2012, FJ 6, los datos derivados de estas pruebas están absolutamente imbricados con las declaraciones desarrolladas en el juicio por los acusados, testigos y peritos, pruebas de carácter personal necesitadas de inmediación, por lo que estos elementos probatorios carecen de eficacia probatoria autónoma desvinculados de estos testimonios, no siendo por sí solos suficientes para conformar prueba de cargo para enervar la presunción de inocencia.</w:t>
      </w:r>
    </w:p>
    <w:p w:rsidR="0026452D" w:rsidRDefault="0026452D" w:rsidP="0026452D">
      <w:pPr>
        <w:pStyle w:val="TextoNormal"/>
      </w:pPr>
    </w:p>
    <w:p w:rsidR="0026452D" w:rsidRDefault="0026452D" w:rsidP="0026452D">
      <w:pPr>
        <w:pStyle w:val="TextoNormal"/>
      </w:pPr>
      <w:r>
        <w:lastRenderedPageBreak/>
        <w:t>De acuerdo con lo anterior, hemos de declarar también la vulneración del derecho a la presunción de inocencia de la recurrente, anulando la Sentencia condenatoria recaída respecto a la misma sin retroacción de las actuaciones.</w:t>
      </w:r>
    </w:p>
    <w:p w:rsidR="0026452D" w:rsidRDefault="0026452D" w:rsidP="0026452D">
      <w:pPr>
        <w:pStyle w:val="TextoNormal"/>
      </w:pPr>
    </w:p>
    <w:p w:rsidR="0026452D" w:rsidRDefault="0026452D" w:rsidP="0026452D">
      <w:pPr>
        <w:pStyle w:val="TextoNormal"/>
      </w:pPr>
      <w:r w:rsidRPr="0026452D">
        <w:rPr>
          <w:rStyle w:val="NumeroAFNegritaCaracter"/>
        </w:rPr>
        <w:t>8</w:t>
      </w:r>
      <w:r>
        <w:t>. Resta por añadir que el alcance del amparo que se otorga se ciñe exclusivamente a doña Paloma Ogayar Lechuga. Como hemos recordado en el fundamento jurídico 7 de la STC 144/2012, “a tal efecto carece de relevancia que la representación procesal de otros condenados en la causa soliciten también el otorgamiento del amparo a su favor, pues hemos venido reiterando (por todas, STC 78/2003, de 28 de abril, FJ 2) la imposibilidad de que quienes se personan en un proceso constitucional de amparo a tenor del art. 51.2 de la Ley Orgánica del Tribunal Constitucional, una vez admitido a trámite el recurso, puedan convertirse en codemandantes y pedir la reparación o la preservación de sus propios derechos fundamentales. De igual forma, en relación con los motivos de impugnación complementarios que también articulan estas partes en sus escritos de alegaciones, también es conocido, conforme a esta doctrina, que no se pueden deducir por las mismas pretensiones propias, independientes del recurso de amparo admitido, que es el que acota el objeto del recurso (STC 192/2004, de 2 de noviembre, FJ 5), pretensiones que, además, no han sido informadas contradictoriamente por la acusación particular ni por el Fiscal en este proceso constitucional. El papel de estos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doña Paloma Ogayar Lechuga, y en su virtud</w:t>
      </w:r>
    </w:p>
    <w:p w:rsidR="0026452D" w:rsidRDefault="0026452D" w:rsidP="0026452D">
      <w:pPr>
        <w:pStyle w:val="TextoNormal"/>
      </w:pPr>
    </w:p>
    <w:p w:rsidR="0026452D" w:rsidRDefault="0026452D" w:rsidP="0026452D">
      <w:pPr>
        <w:pStyle w:val="TextoNormal"/>
      </w:pPr>
      <w:r>
        <w:t>1º Reconocer sus derechos a un proceso con todas las garantías y a la presunción de inocencia (art. 24.2 CE).</w:t>
      </w:r>
    </w:p>
    <w:p w:rsidR="0026452D" w:rsidRDefault="0026452D" w:rsidP="0026452D">
      <w:pPr>
        <w:pStyle w:val="TextoNormal"/>
      </w:pPr>
    </w:p>
    <w:p w:rsidR="0026452D" w:rsidRDefault="0026452D" w:rsidP="0026452D">
      <w:pPr>
        <w:pStyle w:val="TextoNormal"/>
      </w:pPr>
      <w:r>
        <w:t>2º Anular, respecto de la misma, la Sentencia de la Sección Segunda de la Audiencia Provincial de Huelva, de 29 de enero de 2010, dictada en rollo de apelación núm. 246-2009, así como el Auto de 3 de mayo de 2010, desestimatorio de la nulidad planteada.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veinticinco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47" w:name="SENTENCIA_2013_44"/>
      <w:r>
        <w:lastRenderedPageBreak/>
        <w:t>SENTENCIA 44/2013, de 25 de febrero de 2013</w:t>
      </w:r>
    </w:p>
    <w:bookmarkEnd w:id="47"/>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73, de 26 de marzo de 2013)</w:t>
      </w:r>
    </w:p>
    <w:p w:rsidR="0026452D" w:rsidRDefault="0026452D" w:rsidP="0026452D">
      <w:pPr>
        <w:pStyle w:val="TtuloBOE"/>
      </w:pPr>
    </w:p>
    <w:p w:rsidR="0026452D" w:rsidRDefault="0026452D" w:rsidP="0026452D">
      <w:pPr>
        <w:pStyle w:val="SntesisDescriptiva"/>
      </w:pPr>
      <w:r>
        <w:t>ECLI:ES:TC:2013:44</w:t>
      </w:r>
    </w:p>
    <w:p w:rsidR="0026452D" w:rsidRDefault="0026452D" w:rsidP="0026452D">
      <w:pPr>
        <w:pStyle w:val="SntesisDescriptiva"/>
      </w:pPr>
    </w:p>
    <w:p w:rsidR="0026452D" w:rsidRDefault="0026452D" w:rsidP="0026452D">
      <w:pPr>
        <w:pStyle w:val="SntesisDescriptiva"/>
      </w:pPr>
      <w:r>
        <w:t>Recurso de amparo 8932-2010. Promovido por la Confederación General del Trabajo respecto de las resoluciones de la Sala de lo Social del Tribunal Supremo y de la Audiencia Nacional que declararon la finalización de un procedimiento de impugnación de convenio colectivo.</w:t>
      </w:r>
    </w:p>
    <w:p w:rsidR="0026452D" w:rsidRDefault="0026452D" w:rsidP="0026452D">
      <w:pPr>
        <w:pStyle w:val="SntesisDescriptiva"/>
      </w:pPr>
    </w:p>
    <w:p w:rsidR="0026452D" w:rsidRDefault="0026452D" w:rsidP="0026452D">
      <w:pPr>
        <w:pStyle w:val="SntesisAnaltica"/>
      </w:pPr>
      <w:r>
        <w:t>Supuesta vulneración de los derechos a la igualdad, a la tutela judicial efectiva y a un proceso con todas las garantías, y a la libertad sindical: apreciación de la carencia sobrevenida de objeto del proceso, al haberse derogado los preceptos controvertidos del convenio colectivo impugnado, fundada en una causa legal aplicada al caso de manera razonada y razonable.</w:t>
      </w:r>
    </w:p>
    <w:p w:rsidR="0026452D" w:rsidRDefault="0026452D" w:rsidP="0026452D">
      <w:pPr>
        <w:pStyle w:val="SntesisAnaltica"/>
      </w:pPr>
    </w:p>
    <w:p w:rsidR="0026452D" w:rsidRDefault="0026452D" w:rsidP="0026452D">
      <w:pPr>
        <w:pStyle w:val="Extracto"/>
      </w:pPr>
      <w:r>
        <w:t>1.</w:t>
      </w:r>
      <w:r>
        <w:tab/>
        <w:t>La desaparición sobrevenida del objeto del proceso, aun cuando no contemplada expresamente en el art. 86.1 LOTC, ha sido admitida por este Tribunal como forma de terminación de los distintos procesos constitucionales, razón por la cual la decisión acordada en la vía judicial, que consideraba que la controversia carecía de cualquier interés o utilidad real al haberse derogado los preceptos impugnados por otro convenio posterior, no ha incurrido en una interpretación indebidamente restrictiva del derecho a la tutela judicial efectiva que tenga que ser corregida por este Tribunal (STC 84/2006) [FJ 6].</w:t>
      </w:r>
    </w:p>
    <w:p w:rsidR="0026452D" w:rsidRDefault="0026452D" w:rsidP="0026452D">
      <w:pPr>
        <w:pStyle w:val="Extracto"/>
      </w:pPr>
    </w:p>
    <w:p w:rsidR="0026452D" w:rsidRDefault="0026452D" w:rsidP="0026452D">
      <w:pPr>
        <w:pStyle w:val="Extracto"/>
      </w:pPr>
      <w:r>
        <w:t>2.</w:t>
      </w:r>
      <w:r>
        <w:tab/>
        <w:t>La causa legal de terminación anticipada de un proceso por pérdida sobrevenida de su objeto, de conformidad a lo establecido en el art. 22 LEC, se conecta con la pérdida del interés legítimo en obtener la tutela judicial en relación a la pretensión ejercitada, siendo su sentido evitar la continuación de un proceso en el cual el demandante haya perdido sobrevenidamente todo el interés jurídico que en él tenía (STC 102/2009) [FJ 6].</w:t>
      </w:r>
    </w:p>
    <w:p w:rsidR="0026452D" w:rsidRDefault="0026452D" w:rsidP="0026452D">
      <w:pPr>
        <w:pStyle w:val="Extracto"/>
      </w:pPr>
    </w:p>
    <w:p w:rsidR="0026452D" w:rsidRDefault="0026452D" w:rsidP="0026452D">
      <w:pPr>
        <w:pStyle w:val="Extracto"/>
      </w:pPr>
      <w:r>
        <w:t>3.</w:t>
      </w:r>
      <w:r>
        <w:tab/>
        <w:t>Existe una causa legal para acordar el archivo de la demanda dado que, ante la inexistencia en la legislación procesal laboral de una disposición relativa a la pérdida sobrevenida del objeto del proceso, las resoluciones judiciales impugnadas consideraron aplicable al caso el art. 22 LEC, en virtud de la supletoriedad de Ley de enjuiciamiento civil, lo que permite poner fin al procedimiento en supuestos de carencia sobrevenida de objeto [FJ 5].</w:t>
      </w:r>
    </w:p>
    <w:p w:rsidR="0026452D" w:rsidRDefault="0026452D" w:rsidP="0026452D">
      <w:pPr>
        <w:pStyle w:val="Extracto"/>
      </w:pPr>
    </w:p>
    <w:p w:rsidR="0026452D" w:rsidRDefault="0026452D" w:rsidP="0026452D">
      <w:pPr>
        <w:pStyle w:val="Extracto"/>
      </w:pPr>
      <w:r>
        <w:t>4.</w:t>
      </w:r>
      <w:r>
        <w:tab/>
        <w:t>El derecho a la tutela judicial efectiva en su vertiente de acceso a la jurisdicción se concreta en el derecho a la obtención de una resolución fundada en Derecho sobre el fondo de las pretensiones deducidas, resolución que debe entenderse como el modo normal de prestación de la tutela judicial [FJ 4].</w:t>
      </w:r>
    </w:p>
    <w:p w:rsidR="0026452D" w:rsidRDefault="0026452D" w:rsidP="0026452D">
      <w:pPr>
        <w:pStyle w:val="Extracto"/>
      </w:pPr>
    </w:p>
    <w:p w:rsidR="0026452D" w:rsidRDefault="0026452D" w:rsidP="0026452D">
      <w:pPr>
        <w:pStyle w:val="Extracto"/>
      </w:pPr>
      <w:r>
        <w:t>5.</w:t>
      </w:r>
      <w:r>
        <w:tab/>
        <w:t xml:space="preserve">El derecho a la tutela judicial efectiva excluye que la normativa procesal se interprete de forma rigorista, excesivamente formalista o desproporcionada en relación </w:t>
      </w:r>
      <w:r>
        <w:lastRenderedPageBreak/>
        <w:t>con los fines que preserva y los intereses que se sacrifican cuando se trata del acceso a la jurisdicción, no exigiendo tal derecho fundamental seleccionar la interpretación más favorable a la admisión de entre todas las que resulten posibles (SSTC 60/1985, 155/2012) [FJ 4].</w:t>
      </w:r>
    </w:p>
    <w:p w:rsidR="0026452D" w:rsidRDefault="0026452D" w:rsidP="0026452D">
      <w:pPr>
        <w:pStyle w:val="Extracto"/>
      </w:pPr>
    </w:p>
    <w:p w:rsidR="0026452D" w:rsidRDefault="0026452D" w:rsidP="0026452D">
      <w:pPr>
        <w:pStyle w:val="Extracto"/>
      </w:pPr>
      <w:r>
        <w:t>6.</w:t>
      </w:r>
      <w:r>
        <w:tab/>
        <w:t>Resultan constitucionalmente legítimas desde la perspectiva del derecho fundamental de acceso a la jurisdicción, aquellas decisiones de inadmisión o de finalización anticipada del proceso, sin que se resuelva sobre el fondo de las pretensiones deducidas en él, cuando encuentren amparo en una norma legal interpretada y aplicada razonablemente y sin rigorismo, formalismo excesivo o desproporción [FJ 4].</w:t>
      </w:r>
    </w:p>
    <w:p w:rsidR="0026452D" w:rsidRDefault="0026452D" w:rsidP="0026452D">
      <w:pPr>
        <w:pStyle w:val="Extracto"/>
      </w:pPr>
    </w:p>
    <w:p w:rsidR="0026452D" w:rsidRDefault="0026452D" w:rsidP="0026452D">
      <w:pPr>
        <w:pStyle w:val="Extracto"/>
      </w:pPr>
      <w:r>
        <w:t>7.</w:t>
      </w:r>
      <w:r>
        <w:tab/>
        <w:t>El requisito de la invocación previa del derecho fundamental vulnerado tiene por finalidad, de un lado, que los órganos judiciales tengan oportunidad para pronunciarse sobre la violación constitucional y, de otro, preservar el carácter subsidiario de la jurisdicción constitucional de amparo, que resultaría desvirtuado si ante ella se plantearan cuestiones sobre las que previamente no se ha dado ocasión de pronunciarse a los órganos de la jurisdicción ordinaria (SSTC 132/2006, 7/2007) [FJ 3].</w:t>
      </w:r>
    </w:p>
    <w:p w:rsidR="0026452D" w:rsidRDefault="0026452D" w:rsidP="0026452D">
      <w:pPr>
        <w:pStyle w:val="Extracto"/>
      </w:pPr>
    </w:p>
    <w:p w:rsidR="0026452D" w:rsidRDefault="0026452D" w:rsidP="0026452D">
      <w:pPr>
        <w:pStyle w:val="Extracto"/>
      </w:pPr>
      <w:r>
        <w:t>8.</w:t>
      </w:r>
      <w:r>
        <w:tab/>
        <w:t>La especial trascendencia constitucional del recurso se asienta en su proyección de generalidad al, por un lado, denunciar el problema de la carencia de un cauce para impugnar con perspectiva colectiva una norma convencional una vez que se ha suscrito otra nueva y, por otro, plantear un problema nuevo en relación al derecho a la tutela judicial efectiva, al requerir que este Tribunal determine si resulta aplicable el art. 22 LEC a los asuntos que versan sobre impugnación de convenios colectivos en el orden social y de ser así, si la suscripción de un nuevo convenio colectivo ha de conllevar la terminación sobrevenida del proceso [FJ 2].</w:t>
      </w:r>
    </w:p>
    <w:p w:rsidR="0026452D" w:rsidRDefault="0026452D" w:rsidP="0026452D">
      <w:pPr>
        <w:pStyle w:val="Extracto"/>
      </w:pPr>
    </w:p>
    <w:p w:rsidR="0026452D" w:rsidRDefault="0026452D" w:rsidP="0026452D">
      <w:pPr>
        <w:pStyle w:val="Extracto"/>
      </w:pPr>
      <w:r>
        <w:t>9.</w:t>
      </w:r>
      <w:r>
        <w:tab/>
        <w:t>Cabe apreciar un esfuerzo argumental destinado a cumplimentar la carga de justificación de la especial trascendencia constitucional del recurso de amparo, al haberse disociado suficientemente en la demanda entre los argumentados destinados a fundamentar las lesiones de los derechos fundamentales de aquellos otros encaminados a justificar la especial trascendencia constitucional del recurso, y al haber aducido como fundamento de la concurrencia de la especial trascendencia constitucional unos motivos coincidentes con los criterios sentados en nuestra doctrina (STC 155/2009)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8932-2010, promovido por la Confederación General del Trabajo, representada por la Procuradora de los Tribunales doña Valentina López Valero y asistida por el Abogado don Raúl Maíllo García, contra la Sentencia de la Sala de lo Social del Tribunal Supremo, de 15 de septiembre de 2010, que desestima el recurso de casación núm. 51-2009, y contra el Auto de la Sala de lo Social de la Audiencia Nacional, de 5 de marzo de 2009, que declaró la finalización del procedimiento núm. 151-2008 sobre impugnación de convenio colectivo por carencia sobrevenida del objeto. Han comparecido los Procuradores de los Tribunales doña Olga Romojaro Casado en representación de la federación estatal de industrias textil-piel, químicas y afines de Comisiones Obreras y don Luis Fernando Álvarez Wiese en representación de Gas Natural SDG, S.A. Ha intervenido el Ministerio Fiscal. Ha sido Ponente el Magistrado don Luis Ignacio Ortega Álvarez, quien expresa el parecer de la Sala.</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28 de diciembre de 2010, la Confederación General del Trabajo (CGT) interpuso recurso de amparo contra las resoluciones citadas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los que se fundamenta la demanda son, sucintamente expuestos, los siguientes:</w:t>
      </w:r>
    </w:p>
    <w:p w:rsidR="0026452D" w:rsidRDefault="0026452D" w:rsidP="0026452D">
      <w:pPr>
        <w:pStyle w:val="TextoNormal"/>
      </w:pPr>
    </w:p>
    <w:p w:rsidR="0026452D" w:rsidRDefault="0026452D" w:rsidP="0026452D">
      <w:pPr>
        <w:pStyle w:val="TextoNormal"/>
      </w:pPr>
      <w:r>
        <w:t>a) La Confederación General del Trabajo presentó demanda sobre impugnación de convenio colectivo por considerar que los arts. 24 y 25 del IV convenio colectivo de la empresa Gas Natural SDG, S.A., contenían una doble escala salarial con relación a los complementos de antigüedad y jornada partida, en virtud de la fecha de ingreso en la empresa, lo que atentaba contra el derecho a la igualdad de los trabajadores y la prohibición de discriminación (art. 14 CE). Por tal motivo, se solicitaba que se declarase la ilegalidad y nulidad de los preceptos citados en los siguientes términos:</w:t>
      </w:r>
    </w:p>
    <w:p w:rsidR="0026452D" w:rsidRDefault="0026452D" w:rsidP="0026452D">
      <w:pPr>
        <w:pStyle w:val="TextoNormal"/>
      </w:pPr>
    </w:p>
    <w:p w:rsidR="0026452D" w:rsidRDefault="0026452D" w:rsidP="0026452D">
      <w:pPr>
        <w:pStyle w:val="TextoNormal"/>
      </w:pPr>
      <w:r>
        <w:t>“-Artículo 24, apartado b) Trienio de valor único, declarando la nulidad de la distinción establecida en el art. 24 del IV Convenio Colectivo entre los trabajadores ingresados antes y después del 15/12/1994 respecto de la antigüedad, y se reconozca el derecho de los incorporados con posterioridad a las citadas fechas a que se les abone el complemento de antigüedad de acuerdo con el apartado a) del referido artículo.</w:t>
      </w:r>
    </w:p>
    <w:p w:rsidR="0026452D" w:rsidRDefault="0026452D" w:rsidP="0026452D">
      <w:pPr>
        <w:pStyle w:val="TextoNormal"/>
      </w:pPr>
    </w:p>
    <w:p w:rsidR="0026452D" w:rsidRDefault="0026452D" w:rsidP="0026452D">
      <w:pPr>
        <w:pStyle w:val="TextoNormal"/>
      </w:pPr>
      <w:r>
        <w:t xml:space="preserve">-Artículo 25.1 del IV convenio colectivo de Gas Natural SDG, S.A., 2004-2006, al que remite expresamente, en cuanto al párrafo </w:t>
      </w:r>
      <w:r w:rsidRPr="0026452D">
        <w:rPr>
          <w:i/>
        </w:rPr>
        <w:t>in fine</w:t>
      </w:r>
      <w:r>
        <w:t xml:space="preserve">, respecto de la supresión del referido plus y el párrafo segundo, del que se eliminará la referencia de </w:t>
      </w:r>
      <w:r w:rsidRPr="0026452D">
        <w:rPr>
          <w:i/>
        </w:rPr>
        <w:t>estar devengando</w:t>
      </w:r>
      <w:r>
        <w:t xml:space="preserve"> el referido plus, declarando la nulidad de la distinción establecida por el art. 25.1 del IV Convenio Colectivo entre los trabajadores ingresados antes y después del convenio colectivo de 2006 respecto del complemento de jornada partida, y se reconozca el derecho de los reincorporados con </w:t>
      </w:r>
      <w:r>
        <w:lastRenderedPageBreak/>
        <w:t>posterioridad a las citadas fechas a que se les abone el referido complemento de acuerdo con lo regulado para los que lo vinieran percibiendo con antigüedad.”</w:t>
      </w:r>
    </w:p>
    <w:p w:rsidR="0026452D" w:rsidRDefault="0026452D" w:rsidP="0026452D">
      <w:pPr>
        <w:pStyle w:val="TextoNormal"/>
      </w:pPr>
    </w:p>
    <w:p w:rsidR="0026452D" w:rsidRDefault="0026452D" w:rsidP="0026452D">
      <w:pPr>
        <w:pStyle w:val="TextoNormal"/>
      </w:pPr>
      <w:r>
        <w:t>b) Por escrito de fecha 23 de febrero de 2009, la entidad demandada, Gas Natural SDG, S.A., presentó escrito en el que solicitaba a la Sala de lo Social de la Audiencia Nacional la terminación del proceso por carencia sobrevenida de su objeto al amparo del art. 22 de la Ley 1/2000, de 7 de enero, de enjuiciamiento civil (LEC), dado que, tras la iniciación del litigio, los preceptos convencionales impugnados y cuya nulidad pretendía la CGT, ya no formaban parte del ordenamiento jurídico, al haber sido derogados como consecuencia de la aprobación de un posterior convenio colectivo (convenio colectivo 2007-2009 de Gas Natural SDG, S.A., cuyo registro y publicación se dispuso por resolución de 21 de octubre de 2008, de la Dirección General de Trabajo).</w:t>
      </w:r>
    </w:p>
    <w:p w:rsidR="0026452D" w:rsidRDefault="0026452D" w:rsidP="0026452D">
      <w:pPr>
        <w:pStyle w:val="TextoNormal"/>
      </w:pPr>
    </w:p>
    <w:p w:rsidR="0026452D" w:rsidRDefault="0026452D" w:rsidP="0026452D">
      <w:pPr>
        <w:pStyle w:val="TextoNormal"/>
      </w:pPr>
      <w:r>
        <w:t xml:space="preserve">c) Por medio de Auto de la Sala de lo Social de la Audiencia Nacional, de 5 de marzo de 2009, se declaró la finalización del citado procedimiento sobre impugnación de convenio colectivo por carencia sobrevenida de objeto. Señala la Sala que en la modalidad procesal de impugnación de convenios colectivos (en la que se ataca directamente la legalidad de sus disposiciones de forma colectiva), la acción puede ser ejercitada en cualquier momento mientras el convenio colectivo mantenga su vigencia, de forma que, a </w:t>
      </w:r>
      <w:r w:rsidRPr="0026452D">
        <w:rPr>
          <w:i/>
        </w:rPr>
        <w:t>sensu contrario</w:t>
      </w:r>
      <w:r>
        <w:t>, no cabe ejercitarla cuando el mismo ya no está vigente. Se añade que si el convenio está derogado por uno posterior, como era el caso, carece de objeto pronunciarse sobre la legalidad de los preceptos que ya no se integran en el ordenamiento jurídico aplicable.</w:t>
      </w:r>
    </w:p>
    <w:p w:rsidR="0026452D" w:rsidRDefault="0026452D" w:rsidP="0026452D">
      <w:pPr>
        <w:pStyle w:val="TextoNormal"/>
      </w:pPr>
    </w:p>
    <w:p w:rsidR="0026452D" w:rsidRDefault="0026452D" w:rsidP="0026452D">
      <w:pPr>
        <w:pStyle w:val="TextoNormal"/>
      </w:pPr>
      <w:r>
        <w:t>d) Frente a la anterior resolución judicial, la parte actora interpuso recurso de casación (núm. 51-2009) en el que se denunciaba la infracción de los artículos 22 (en relación con los arts. 82 y 86 del texto refundido de la Ley del estatuto de los trabajadores), 411 y 413 LEC, así como de los arts. 9.3 y 24 CE. En este sentido, se sostiene que la interpretación del art. 22 LEC realizada por la Audiencia Nacional resultó rigorista y formalista, pues no cabía apreciar la pérdida sobrevenida del objeto del proceso cuando el interés de esa parte actora no resultaba satisfecho con la falta de vigencia del convenio colectivo impugnado, sino que precisaba su expulsión del ordenamiento jurídico vigente al tiempo de la formulación de la demanda. En definitiva, a juicio del sindicato recurrente, el proceso no debía verse afectado, como regla general, por las modificaciones que se produjesen una vez iniciado el mismo, debiendo resolverse teniendo en cuenta la situación jurídica objeto del pleito tal y como se hallara en el momento de la presentación de la demanda. Por todo ello, se termina solicitando la estimación del recurso, la declaración de la inexistencia de carencia sobrevenida de objeto, y la consiguiente continuación del procedimiento y estimación de las pretensiones articuladas en la demanda.</w:t>
      </w:r>
    </w:p>
    <w:p w:rsidR="0026452D" w:rsidRDefault="0026452D" w:rsidP="0026452D">
      <w:pPr>
        <w:pStyle w:val="TextoNormal"/>
      </w:pPr>
    </w:p>
    <w:p w:rsidR="0026452D" w:rsidRDefault="0026452D" w:rsidP="0026452D">
      <w:pPr>
        <w:pStyle w:val="TextoNormal"/>
      </w:pPr>
      <w:r>
        <w:t xml:space="preserve">e) El recurso de casación fue desestimado por Sentencia de la Sala de lo Social del Tribunal Supremo, de 15 de septiembre de 2010. La Sala, aplicando lo decidido en su anterior Sentencia de 23 de junio de 2010 (recaída en recurso formulado con relación al I convenio colectivo de la empresa Gas Natural Distribución SDG, S.A.), recuerda que la norma que surge de la negociación colectiva acostumbra a tener vocación coyuntural o limitada en el tiempo, condicionada en muchas ocasiones, entre otras cosas, por circunstancias del mercado o por la propia posición de las partes negociadoras, por lo que tiene unos periodos de vigencia relativamente cortos; también indica que la impugnación directa del convenio que </w:t>
      </w:r>
      <w:r>
        <w:lastRenderedPageBreak/>
        <w:t>se fundamenta en la ilegalidad no está sujeta a plazo y puede hacerse a lo largo de su vigencia, pero que finalizada esta, habrá de apreciarse la falta de acción. Después, añade que la desaparición del objeto del recurso es uno de los modos de terminación del proceso y que, en concreto, en los recursos directos contra disposiciones generales la ulterior derogación de estas últimas determina la desestimación de los recursos correspondientes dado que, aunque en su momento pudiesen estar fundados, la derogación sobrevenida de la norma priva a la controversia de cualquier interés o utilidad real, doctrina que se ha aplicado no sólo con relación a la impugnación de disposiciones generales sino también de resoluciones o actos administrativos singulares. A tenor de lo anteriormente expuesto, se termina diciendo (en aplicación de la doctrina de esa Sala de lo Social, de la Sala Tercera de ese mismo Tribunal, y de la doctrina constitucional que se sintetiza) que dado que la pretensión de la parte se contraía a la anulación de los preceptos del convenio colectivo impugnado, carecía de objeto pronunciarse sobre la legalidad de preceptos que ya no se integraban en el ordenamiento jurídico aplicable, al haber sido derogados por el posterior convenio colectivo.</w:t>
      </w:r>
    </w:p>
    <w:p w:rsidR="0026452D" w:rsidRDefault="0026452D" w:rsidP="0026452D">
      <w:pPr>
        <w:pStyle w:val="TextoNormal"/>
      </w:pPr>
    </w:p>
    <w:p w:rsidR="0026452D" w:rsidRDefault="0026452D" w:rsidP="0026452D">
      <w:pPr>
        <w:pStyle w:val="TextoNormal"/>
      </w:pPr>
      <w:r w:rsidRPr="0026452D">
        <w:rPr>
          <w:rStyle w:val="NumeroAFNegritaCaracter"/>
        </w:rPr>
        <w:t>3</w:t>
      </w:r>
      <w:r>
        <w:t>. El sindicato recurrente fundamenta su demanda de amparo en la infracción del derecho a la tutela judicial efectiva (art. 24.1 CE), en conexión con el principio de igualdad y prohibición de discriminación (art. 14 CE), derecho a la libertad sindical (art. 28.1 CE), y principios de seguridad jurídica e interdicción de la arbitrariedad (art. 9.3 CE). Asimismo, en el suplico de la demanda, se cita como vulnerado el derecho a un proceso con todas las garantías (art. 24.2 CE), al que también se hace referencia al justificarse la especial trascendencia constitucional del recurso.</w:t>
      </w:r>
    </w:p>
    <w:p w:rsidR="0026452D" w:rsidRDefault="0026452D" w:rsidP="0026452D">
      <w:pPr>
        <w:pStyle w:val="TextoNormal"/>
      </w:pPr>
    </w:p>
    <w:p w:rsidR="0026452D" w:rsidRDefault="0026452D" w:rsidP="0026452D">
      <w:pPr>
        <w:pStyle w:val="TextoNormal"/>
      </w:pPr>
      <w:r>
        <w:t xml:space="preserve">Partiendo de la doctrina constitucional relativa al derecho a la tutela judicial efectiva en su vertiente de derecho de acceso al proceso, se señala que en el presente caso no nos encontramos ante un supuesto de normas derogadas que dejen de tener validez, sino ante una norma convencional impugnada que es sustituida por otra más moderna, pero que sigue manteniendo sus efectos y es aplicable, al menos durante el año anterior al momento en que la norma es sustituida, por el nuevo convenio colectivo. A juicio de la parte recurrente, no tiene sentido que se pueda discutir la validez y legalidad de la referida norma a través de procedimientos individuales y que no pueda hacerse con carácter colectivo por las organizaciones sindicales legitimadas para ello, cuando dicha actuación forma parte, además, del derecho de libertad sindical. También considera que el propio Tribunal Constitucional ha establecido una doctrina mucho más matizada sobre la pérdida sobrevenida de objeto, en función de la aplicabilidad de la norma derogada. A este respecto, indica que este Tribunal, en relación con la pérdida de vigor de normas sobre las cuales existía, bien recurso de amparo, bien cuestión de inconstitucionalidad, ha establecido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(por ejemplo, SSTC 233/1999, de 12 de diciembre”. Así mismo, indica que este Tribunal ha sostenido, para declarar la inconstitucionalidad del Real Decreto-ley de la reforma laboral de 2002, siguiendo precedente doctrina, que tratándose de un recurso de inconstitucionalidad carece de sentido pronunciarse sobre normas que el mismo legislador ha expulsado ya del ordenamiento de modo total, sin ultraactividad, pero que, por idéntica razón, para excluir toda aplicación posterior de la disposición legal controvertida privándola del vestigio de </w:t>
      </w:r>
      <w:r>
        <w:lastRenderedPageBreak/>
        <w:t>vigencia que pudiera conservar, puede resultar conveniente su enjuiciamiento aun cuando haya sido derogada.</w:t>
      </w:r>
    </w:p>
    <w:p w:rsidR="0026452D" w:rsidRDefault="0026452D" w:rsidP="0026452D">
      <w:pPr>
        <w:pStyle w:val="TextoNormal"/>
      </w:pPr>
    </w:p>
    <w:p w:rsidR="0026452D" w:rsidRDefault="0026452D" w:rsidP="0026452D">
      <w:pPr>
        <w:pStyle w:val="TextoNormal"/>
      </w:pPr>
      <w:r>
        <w:t>Con relación al art. 22 LEC que regula la terminación del proceso por satisfacción extraprocesal o carencia sobrevenida del objeto, indica la parte recurrente que ese precepto está configurado para evitar la continuación innecesaria del procedimiento cuando se hayan satisfecho los intereses legítimos de forma extraprocesal o haya dejado de existir interés legítimo en obtener la tutela judicial, circunstancias que considera que no concurren en el caso de sustitución del convenio colectivo impugnado por otro posterior. En este sentido, señala que en este caso sigue existiendo un interés jurídicamente relevante por cuanto a la fecha de la presentación de la demanda judicial estaba vigente el referido convenio colectivo, producía efectos y de haberse dictado sentencia por la Audiencia Nacional sus consecuencias se habrían proyectado sobre todo ese período de tiempo. A la vista de lo anterior, la pretensión de esa parte no se ha visto satisfecha con la finalización de la vigencia del convenio impugnado, lo que se lograría si se expurgasen los preceptos impugnados del ordenamiento jurídico que estaba vigente a la fecha de presentación de la demanda. En otras palabras, no cabría apreciar una pérdida de objeto de la demanda en tanto que su estimación tendría indudables efectos económicos en los trabajadores de la empresa, aunque los preceptos impugnados hubieran desaparecido en el convenio ulterior. El problema, además, no se solventa por el hecho de que los trabajadores formulen demandas de forma individual, con el riesgo que ello supone de obtener sentencias contradictorias. El Auto dictado en instancia parece sostener que lo único que se extingue con la publicación del nuevo convenio es la acción colectiva, pero eso implica que sigue existiendo un interés jurídico protegible que, en ningún modo ha decaído, pues no se puede deslindar la norma convencional impugnada de las consecuencias e intereses individuales que produce. Resultaría sorprendente que se pudiera pronunciar sobre la nulidad de determinados artículos un órgano judicial por cada trabajador que articule la referida demanda individual y que, sin embargo, carezca de interés legítimo, como organización sindical y en representación de los trabajadores, para solicitar esa misma tutela judicial efectiva por medio del procedimiento de impugnación de convenio colectivo, con una cognición obviamente limitada, pues la nulidad deberá referirse únicamente al período de vigencia del mismo y no al período durante el cual dicha norma ha perdido ya vigencia.</w:t>
      </w:r>
    </w:p>
    <w:p w:rsidR="0026452D" w:rsidRDefault="0026452D" w:rsidP="0026452D">
      <w:pPr>
        <w:pStyle w:val="TextoNormal"/>
      </w:pPr>
    </w:p>
    <w:p w:rsidR="0026452D" w:rsidRDefault="0026452D" w:rsidP="0026452D">
      <w:pPr>
        <w:pStyle w:val="TextoNormal"/>
      </w:pPr>
      <w:r>
        <w:t xml:space="preserve">Finalmente, en cuanto a la especial trascendencia constitucional del recurso de amparo planteado, el sindicato recurrente sostiene que con él se plantea un problema o una faceta de un derecho fundamental susceptible de amparo sobre el que no hay doctrina del Tribunal Constitucional. En este sentido, se señala que se han lesionado los derechos a la tutela judicial efectiva y a un proceso con todas las garantías, y que el pronunciamiento del Tribunal Constitucional habrá de clarificar dos aspectos muy concretos con especial relevancia en el procedimiento laboral: si es aplicable el art. 22 LEC a los asuntos que versen sobre la impugnación de convenios colectivos en el orden jurisdiccional social, una vez interpuesta la demanda impugnatoria; y, en caso afirmativo, si la suscripción de un nuevo convenio conlleva la terminación sobrevenida y la imposibilidad de acudir al trámite de impugnación de convenios colectivos previsto en la norma, quedando únicamente como vía para su cuestionamiento los procedimientos individuales sobre los efectos propios de su aplicación. Además, se considera que la demanda plantea un problema que trasciende el caso concreto que nos ocupa, incluso a los derechos fundamentales que se consideran vulnerados, puesto que </w:t>
      </w:r>
      <w:r>
        <w:lastRenderedPageBreak/>
        <w:t>lo fundamental es la carencia de cauce para cuestionar o impugnar, con proyección de generalidad, la norma convencional, una vez suscrita otra nueva pese a mantener el despliegue de sus efectos, lo que supone, al entender de la demandante, una cuestión jurídica relevante y general, con repercusión social sobre numerosos convenios y procedimientos. Se trataría, por ello, de una cuestión de gran interés y repercusión para el conjunto de los trabajadores, así como de las organizaciones sindicales.</w:t>
      </w:r>
    </w:p>
    <w:p w:rsidR="0026452D" w:rsidRDefault="0026452D" w:rsidP="0026452D">
      <w:pPr>
        <w:pStyle w:val="TextoNormal"/>
      </w:pPr>
    </w:p>
    <w:p w:rsidR="0026452D" w:rsidRDefault="0026452D" w:rsidP="0026452D">
      <w:pPr>
        <w:pStyle w:val="TextoNormal"/>
      </w:pPr>
      <w:r w:rsidRPr="0026452D">
        <w:rPr>
          <w:rStyle w:val="NumeroAFNegritaCaracter"/>
        </w:rPr>
        <w:t>4</w:t>
      </w:r>
      <w:r>
        <w:t>. Tras reclamar y recibir las actuaciones correspondientes, la Sala Segunda de este Tribunal mediante providencia de 10 de noviembre de 2012, acordó la admisión a trámite del recurso de amparo y, en aplicación del art. 51 de la Ley Orgánica del Tribunal Constitucional (LOTC), dirigir comunicación a la Sala de lo Social de la Audiencia Nacional a fin de que emplazase a quienes hubieran sido parte en el procedimiento de amparo, excepto la parte recurrente en amparo, para que pudiesen comparecer en el mismo si lo estimasen conveniente dentro del plazo de diez días.</w:t>
      </w:r>
    </w:p>
    <w:p w:rsidR="0026452D" w:rsidRDefault="0026452D" w:rsidP="0026452D">
      <w:pPr>
        <w:pStyle w:val="TextoNormal"/>
      </w:pPr>
    </w:p>
    <w:p w:rsidR="0026452D" w:rsidRDefault="0026452D" w:rsidP="0026452D">
      <w:pPr>
        <w:pStyle w:val="TextoNormal"/>
      </w:pPr>
      <w:r w:rsidRPr="0026452D">
        <w:rPr>
          <w:rStyle w:val="NumeroAFNegritaCaracter"/>
        </w:rPr>
        <w:t>5</w:t>
      </w:r>
      <w:r>
        <w:t>. Por medio de escrito con fecha de registro de 10 de enero de 2012, la Letrada doña Blanca Suarez Garrido, en representación de la federación estatal de industrias textil-piel, químicas y afines de Comisiones Obreras (CCOO), se personó como parte recurrida en el recurso de amparo.</w:t>
      </w:r>
    </w:p>
    <w:p w:rsidR="0026452D" w:rsidRDefault="0026452D" w:rsidP="0026452D">
      <w:pPr>
        <w:pStyle w:val="TextoNormal"/>
      </w:pPr>
    </w:p>
    <w:p w:rsidR="0026452D" w:rsidRDefault="0026452D" w:rsidP="0026452D">
      <w:pPr>
        <w:pStyle w:val="TextoNormal"/>
      </w:pPr>
      <w:r w:rsidRPr="0026452D">
        <w:rPr>
          <w:rStyle w:val="NumeroAFNegritaCaracter"/>
        </w:rPr>
        <w:t>6</w:t>
      </w:r>
      <w:r>
        <w:t>. Por diligencia de ordenación del Secretario de Justicia de la Sala Segunda de este Tribunal, de fecha 20 de febrero de 2012, se acordó: tener por personado y parte en el procedimiento al Procurador don Luis Fernando Álvarez Wiese, en nombre y representación de Gas Natural SDG, S.A., acordándose entender con él las sucesivas actuaciones, a condición de que dicho Procurador presentase escritura de poder original que acreditara debidamente su representación en el plazo de diez días; unir a las actuaciones el escrito presentado por la letrada doña Blanca Suárez Garrido en nombre de CCOO y conceder a esta última un plazo de diez días para que compareciese por medio de Procurador, conforme a lo dispuesto en el art. 81.1 LOTC; y, finalmente, dar vista de las actuaciones recibidas a las partes personadas y al Ministerio Fiscal por plazo común de veinte días para que pudiesen formular alegaciones conforme a lo dispuesto en el art. 52.1 LOTC.</w:t>
      </w:r>
    </w:p>
    <w:p w:rsidR="0026452D" w:rsidRDefault="0026452D" w:rsidP="0026452D">
      <w:pPr>
        <w:pStyle w:val="TextoNormal"/>
      </w:pPr>
    </w:p>
    <w:p w:rsidR="0026452D" w:rsidRDefault="0026452D" w:rsidP="0026452D">
      <w:pPr>
        <w:pStyle w:val="TextoNormal"/>
      </w:pPr>
      <w:r w:rsidRPr="0026452D">
        <w:rPr>
          <w:rStyle w:val="NumeroAFNegritaCaracter"/>
        </w:rPr>
        <w:t>7</w:t>
      </w:r>
      <w:r>
        <w:t>. Atendiendo a los requerimientos realizados en la anterior diligencia de ordenación, CCOO se personó en el recurso de amparo mediante escrito registrado en este Tribunal con fecha de 6 de marzo de 2012, a través de la Procuradora de los Tribunales doña Olga Romojaro Casado. Así mismo, por medio de escrito con fecha de registro de 13 de marzo de 2012, el Procurador don Luis Fernando Álvarez Wiese aportó copia de poder en acreditación de la representación de la empresa Gas Natural SDG, S.A.</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Por escrito con fecha de registro de 29 de marzo de 2012, la representación procesal de la empresa Gas Natural SDG, S.A., presentó escrito de alegaciones. En él se afirma, en primer lugar, que el recurso de amparo resulta inadmisible al no haberse justificado suficientemente su especial trascendencia constitucional, ya que la parte recurrente se habría limitado a reiterar los planteamientos de legalidad ordinaria realizados ante la propia Audiencia Nacional y ante el Tribunal Supremo. En segundo lugar, se niega la vulneración del art. 24 CE ya que las resoluciones judiciales recurridas habrían utilizado una vía legítima y específicamente regulada en el art. 22.1 LEC (de aplicación supletoria en el proceso laboral) </w:t>
      </w:r>
      <w:r>
        <w:lastRenderedPageBreak/>
        <w:t xml:space="preserve">que permite la terminación anticipada del procedimiento por pérdida sobrevenida del interés litigioso (en este caso, como consecuencia de la derogación del convenio colectivo impugnado). Se precisa, además, que en el momento de presentación de la demanda (12 de agosto de 2008), el convenio colectivo impugnado ya había sido sustituido por otro nuevo, pues se había alcanzado el oportuno acuerdo que tan solo estaba pendiente de publicación en el “Boletín Oficial del Estado”. Se cita después con relación al art. 22 LEC, la STC 102/2009, de 27 de abril, según la cual “para que la decisión judicial de cierre del proceso por pérdida sobrevenida del objeto resulte respetuosa del derecho fundamental a la tutela judicial efectiva es necesario que la pérdida del interés legítimo sea completa”. Y, en el caso de autos, no cabría duda de ello, por cuanto la pretensión por la que se accionó se limitaba a solicitar la anulación y expulsión del ordenamiento jurídico de los preceptos convencionales impugnados, lo cual deviene ahora irrealizable al no formar parte el texto del ordenamiento jurídico. No se podría identificar, tampoco, el “interés legítimo” al que se refiere la citada Sentencia constitucional, con otros supuestos intereses sindicales, pues estos últimos, aun siendo plenamente respetables, no están implicados en la pretensión ejercitada que es la que delimita el interés legítimo en esta modalidad procesal. Posteriormente, se recuerda la consolidada doctrina del Tribunal Supremo (Sala de lo Contencioso-Administrativo) en supuestos de impugnación de normas reglamentarias, situación que guardaría gran paralelismo con la impugnación de convenios colectivos, y conforme a la cual, aquellos recursos que pretendan expulsar del ordenamiento jurídico normas que, supuestamente, son ilegales, perderán su objeto cuando, al tiempo de dictarse la Sentencia, la norma haya sido ya derogada (se citan, entre otras muchas, Sentencias de la Sala de lo Contencioso-Administrativo del Tribunal Supremo de 29 de abril y 16 de mayo de 2008). Se adiciona que los efectos derivados de la impugnación de convenios colectivos tienen una semejanza con los efectos que provoca la anulación de una norma a través de un procedimiento de impugnación de normas en la jurisdicción contencioso-administrativa. De este modo, tanto el art. 72.2 de la Ley 29/1998, de 13 de julio, reguladora de la jurisdicción contencioso-administrativa, como el art. 164.3 de la Ley de procedimiento laboral (LPL), disponen la publicación en el boletín oficial correspondiente de las Sentencias anulatorias de las disposiciones generales y convenios colectivos, respectivamente, con el objeto de apartar del ordenamiento jurídico la norma viciada de nulidad. Se prosigue diciendo que es evidente que en el caso de autos no hay ultraactividad posible en el convenio impugnado, al haber sido totalmente derogado por el V convenio colectivo de Gas Natural SDG, S.A., y que siendo el objeto del proceso el que se declarase la nulidad parcial de ciertos preceptos del convenio colectivo que resultó derogado tras la iniciación del litigio, resulta carente de todos sentido una declaración de nulidad que ningún influjo iba a tener desde la perspectiva del interés colectivo, que es el único que se persigue con esa modalidad procesal. Posteriormente, con cita, entre otras, de la STC 128/2009, de 1 de junio, se señala que lo que es realmente determinante para conocer si se ha producido la pérdida de objeto del litigio cuando nos encontramos ante una norma que ha sido derogada y cuya constitucional se discute, es que la norma derogada tenga una incidencia directa y fundamental en el procedimiento </w:t>
      </w:r>
      <w:r w:rsidRPr="0026452D">
        <w:rPr>
          <w:i/>
        </w:rPr>
        <w:t>a quo</w:t>
      </w:r>
      <w:r>
        <w:t xml:space="preserve"> determinante del planteamiento de la cuestión litigiosa. Es decir, sería factible la continuación del procedimiento cuando existiese un interés real que pudiese verse afectado e influido directamente en ese procedimiento o en otros en curso. En otras palabras, que de la hipotética declaración de nulidad se derivase una consecuencia práctica y no meramente de carácter consultivo, lo cual en ningún caso sucedería en el presente litigio. En definitiva, la parte recurrente lo que estaría instando en su recurso de amparo es que se dicte una sentencia meramente declarativa sobre la legalidad de unos preceptos que ya han sido derogados, y conforme ha declarado la doctrina </w:t>
      </w:r>
      <w:r>
        <w:lastRenderedPageBreak/>
        <w:t>constitucional (se cita la STC 210/1972, de 30 de noviembre, FJ 2) con relación a tal tipo de acciones declarativas, es preciso que exista una “verdadera necesidad de tutela jurisdiccional cifrable en el interés en que los órganos judiciales pongan fin a una falta de certidumbre en torno a la relación jurídica de que se trate”. El interés es, pues, requisito de este tipo de acciones, de tal modo que “una resolución judicial que de manera no arbitraria ni irrazonable afirme la inexistencia de la acción meramente declarativa por falta de interés, no atenta contra el derecho a la tutela judicial efectiva”.</w:t>
      </w:r>
    </w:p>
    <w:p w:rsidR="0026452D" w:rsidRDefault="0026452D" w:rsidP="0026452D">
      <w:pPr>
        <w:pStyle w:val="TextoNormal"/>
      </w:pPr>
    </w:p>
    <w:p w:rsidR="0026452D" w:rsidRDefault="0026452D" w:rsidP="0026452D">
      <w:pPr>
        <w:pStyle w:val="TextoNormal"/>
      </w:pPr>
      <w:r>
        <w:t>Finalmente, y a puros efectos dialécticos, se afirma que cualquier pronunciamiento sobre el contenido del extinguido convenio colectivo no tendría ningún sentido, puesto que los preceptos en cuestión —y que podrían declararse nulos, en su caso— no se encuentran vigentes en el ordenamiento jurídico; tampoco sería posible cumplir con lo previsto en el art. 164.3 LPL, que ordena publicar la Sentencia en el boletín oficial correspondiente cuando la misma sea anulatoria del convenio colectivo. En definitiva, un pronunciamiento judicial sobre el contenido del convenio colectivo litigioso no tendría más trascendencia que la de una mera consulta sin efectos prácticos, y, si bien es cierto que, como se apunta por la parte recurrente, evidentemente el convenio impugnado se mantuvo vigente, por ultraactividad, durante un cierto tiempo, desplegando sus inherentes efectos jurídicos, no es menos cierto que esta circunstancia no implica que ahora, una vez derogado el mismo, deba el Tribunal pronunciarse sobre si sus cláusulas eran o no ajustadas a derecho, y ello es así porque, se olvida la parte recurrente que accionó por medio de un procedimiento especial de impugnación de convenios colectivos cuyo objeto queda limitado al correspondiente control de legalidad y, expulsión, en su caso, del ordenamiento jurídico de la norma controvertida, pretensión que conforme a lo expuesto, sería de imposible cumplimiento en el caso de autos. Por todo lo cual, se concluye el escrito de alegaciones interesando la inadmisión de la demanda planteada o, subsidiariamente, su desestimación.</w:t>
      </w:r>
    </w:p>
    <w:p w:rsidR="0026452D" w:rsidRDefault="0026452D" w:rsidP="0026452D">
      <w:pPr>
        <w:pStyle w:val="TextoNormal"/>
      </w:pPr>
    </w:p>
    <w:p w:rsidR="0026452D" w:rsidRDefault="0026452D" w:rsidP="0026452D">
      <w:pPr>
        <w:pStyle w:val="TextoNormal"/>
      </w:pPr>
      <w:r w:rsidRPr="0026452D">
        <w:rPr>
          <w:rStyle w:val="NumeroAFNegritaCaracter"/>
        </w:rPr>
        <w:t>9</w:t>
      </w:r>
      <w:r>
        <w:t>. Por escrito con fecha de registro de 2 de abril de 2012 el Ministerio Fiscal presentó sus alegaciones. En primer término, considera que el recurso resulta inadmisible por falta de invocación previa ante los órganos judiciales del derecho a la igualdad (art. 14 CE) y del derecho a la libertad sindical (art. 28.1 CE) ya que no fueron invocados oportunamente en el recurso de casación sino de forma novedosa en la demanda de amparo. Además, tampoco se ha formulado respecto a ellos, el incidente de nulidad de actuaciones previsto en el art. 241.1 de la Ley Orgánica del Poder Judicial. La parte justifica la falta de interposición del incidente, aduciendo que la vulneración ya se había planteado en el recurso de casación. Sin embargo, en este último recurso sólo se denunció la vulneración de los arts. 9.3 y art. 24 CE, no así, la de los arts. 14 y 28.1 CE. Se advierte que, no obstante, se realizará al respecto las oportunas consideraciones, ante la eventualidad de que el Tribunal Constitucional pudiera apreciar la no concurrencia de la causa de inadmisión apuntada.</w:t>
      </w:r>
    </w:p>
    <w:p w:rsidR="0026452D" w:rsidRDefault="0026452D" w:rsidP="0026452D">
      <w:pPr>
        <w:pStyle w:val="TextoNormal"/>
      </w:pPr>
    </w:p>
    <w:p w:rsidR="0026452D" w:rsidRDefault="0026452D" w:rsidP="0026452D">
      <w:pPr>
        <w:pStyle w:val="TextoNormal"/>
      </w:pPr>
      <w:r>
        <w:t xml:space="preserve">A la vista de lo que antecede, el Fiscal centra el objeto del recurso de amparo en la alegación relativa a la vulneración del art. 24 CE pues el otro precepto también citado, el art. 9.3 CE, no es susceptible de tutela a través del recurso de amparo conforme al art. 53.2 CE. Aclara que la parte recurrente sostiene la infracción del derecho a la tutela judicial efectiva al considerar que la interpretación que en la vía judicial se ha realizado del art. 22 LEC no satisface el “test de razonabilidad” y que ha supuesto “una denegación del acceso a la jurisdicción a partir de una consideración excesivamente rigurosa de la normativa aplicable”. En definitiva, en la demanda de amparo se parte de que la interpretación “razonable” es la que </w:t>
      </w:r>
      <w:r>
        <w:lastRenderedPageBreak/>
        <w:t>ese sindicato recurrente propone, a saber, que la derogación de un determinado convenio colectivo, que ha desplegado efectos en el tiempo de su vigencia, solo debe impugnarse mediante una acción colectiva y no mediante acciones individuales de los trabajadores afectados. En opinión del Fiscal, lo que se plantea en el recurso de amparo es una cuestión de legalidad ordinaria que corresponde resolver a los órganos judiciales conforme al art. 117.3 CE, sin que sea función del Tribunal Constitucional examinar la interpretación que haya de darse al citado precepto legal (art. 22 LEC), salvo que la efectuada por los órganos judiciales careciese de fundamentación jurídica o fuera absolutamente extravagante. Pues bien, partiendo de lo anterior, señala el Fiscal que se podrá compartir o no el criterio empleado por la Audiencia Nacional y por el Tribunal Supremo, pero lo que en modo alguno se puede cuestionar es que ambos órganos jurisdiccionales realizan una más que correcta interpretación jurídica, sin quiebra alguna del derecho a la tutela judicial efectiva (art. 24.1 CE) cuando, valiéndose de anteriores sentencias dictadas por la propia Sala de lo Social del Tribunal Supremo, así como de otras dictadas por la Sala de lo Contencioso-Administrativo del mismo Tribunal, se estima que los efectos derivados de la nulidad de una norma legal que es derogada por otra posterior, pueden ser combatidos en procedimientos distintos a aquel que se había iniciado para impugnar disposiciones generales que pierden vigencia durante la sustanciación del proceso.</w:t>
      </w:r>
    </w:p>
    <w:p w:rsidR="0026452D" w:rsidRDefault="0026452D" w:rsidP="0026452D">
      <w:pPr>
        <w:pStyle w:val="TextoNormal"/>
      </w:pPr>
    </w:p>
    <w:p w:rsidR="0026452D" w:rsidRDefault="0026452D" w:rsidP="0026452D">
      <w:pPr>
        <w:pStyle w:val="TextoNormal"/>
      </w:pPr>
      <w:r>
        <w:t xml:space="preserve">Finalmente, y como ya advirtiera al principio de su escrito al apreciar la causa de inadmisión de falta de invocación con relación a los arts. 14 y 28.1 CE, el Fiscal, a los meros efectos dialécticos, se pronuncia sobre la alegación del sindicato recurrente relativa a su infracción. De este modo, comenzando por el primero, el derecho a la igualdad (art. 14 CE), indica el Fiscal que la parte recurrente confunde dos objetos procesales distintos que se ventilan de forma sucesiva e independiente: de un lado, un objeto inicial, esto es, el relativo a las diferencias salariales en convenio colectivo; de otro lado, un segundo objeto que no se refiere a tal cuestión de fondo, sino al aspecto meramente procesal relativo a la oportunidad de la terminación anormal del procedimiento por carencia sobrevenida del objeto. Pues bien, precisado lo anterior, prosigue diciendo que así como con respecto al primero de los objetos enunciados (diferencias salariales) resulta patente la existencia de un determinado término de comparación en el que efectuar el juicio de igualdad, no se alcanza a comprender cuál es el término de comparación con respecto al único y fundamental extremo que justifica la demanda de amparo, y que no es otro que el de las consecuencias de la aplicación del art. 22 LEC. Desde esta perspectiva, la única comparación hipotética sería, a juicio del Fiscal, la establecida entre quienes, dentro del grupo de trabajadores afectados por la disminución de su salario, tuvieran que ejercitar acciones individuales y quienes no, lo cual constituiría un supuesto absolutamente irreal, en tanto que todos los que resultan perjudicados por los discriminatorios términos del convenio derogado, son los mismos a quienes se reconoce la posibilidad de acudir al ejercicio de acciones individuales. El Fiscal califica a esta confusión de los dos objetos como un interesado planteamiento del sindicato recurrente, que no parte de situaciones comparables. En cualquier caso, si a pesar de ello, se llegara a afirmar que por el mero hecho de la apreciación de la pérdida de objeto se consolida la situación discriminatoria contenida en el convenio colectivo, se recuerda la circunstancia de que nada obstaría a que los trabajadores pudiesen ver corregida la discriminación por medio de las correspondientes acciones ante la jurisdicción social conforme a la doctrina constitucional en virtud de la cual el simple hecho de la diferente fecha de incorporación a la empresa no puede ser causa de diferenciación salarial. Se recuerda, así mismo, que el recurso de amparo </w:t>
      </w:r>
      <w:r>
        <w:lastRenderedPageBreak/>
        <w:t>es una medida de reparación de vulneraciones reales de derechos fundamentales y no de aquellas que resultan meramente hipotéticas.</w:t>
      </w:r>
    </w:p>
    <w:p w:rsidR="0026452D" w:rsidRDefault="0026452D" w:rsidP="0026452D">
      <w:pPr>
        <w:pStyle w:val="TextoNormal"/>
      </w:pPr>
    </w:p>
    <w:p w:rsidR="0026452D" w:rsidRDefault="0026452D" w:rsidP="0026452D">
      <w:pPr>
        <w:pStyle w:val="TextoNormal"/>
      </w:pPr>
      <w:r>
        <w:t>Para terminar, y por lo que se refiere a la alegación de la parte recurrente sobre la vulneración del derecho a la libertad sindical, el Fiscal niega que se haya producido por el mero hecho de que se haya acordado la terminación anticipada del procedimiento. Si bien es cierto que la libertad sindical conlleva la libertad de accionar ante los órganos jurisdiccionales, ello no supone tener derecho a la concreta respuesta pretendida. Y, en este sentido, añade que la acción judicial promovida por un sindicato (tal y como se reconoce en la STC 65/2009), obliga a reconducir la cuestión al derecho a la tutela judicial efectiva (art. 24.1 CE), pues es sólo este derecho el directamente implicado, al denegarse por un órgano judicial una resolución sobre el fondo, sin perjuicio de que de su eventual vulneración derive mediatamente la del derecho de libertad sindical para cuya tutela se promovió el proceso judicial. En virtud de todo lo cual, el Fiscal finaliza el escrito interesando la denegación del amparo.</w:t>
      </w:r>
    </w:p>
    <w:p w:rsidR="0026452D" w:rsidRDefault="0026452D" w:rsidP="0026452D">
      <w:pPr>
        <w:pStyle w:val="TextoNormal"/>
      </w:pPr>
    </w:p>
    <w:p w:rsidR="0026452D" w:rsidRDefault="0026452D" w:rsidP="0026452D">
      <w:pPr>
        <w:pStyle w:val="TextoNormal"/>
      </w:pPr>
      <w:r w:rsidRPr="0026452D">
        <w:rPr>
          <w:rStyle w:val="NumeroAFNegritaCaracter"/>
        </w:rPr>
        <w:t>10</w:t>
      </w:r>
      <w:r>
        <w:t>. Por diligencia de ordenación del Secretario de Justicia de la Sala Segunda de este Tribunal, de fecha 11 de abril de 2012, se tuvo por personada y parte en el procedimiento a la Procuradora doña Olga Romojaro Casado, en nombre y representación de federación estatal de industrias textil-piel, químicas y afines de CCOO, acordándose entender con ellas las sucesivas actuaciones y darle un plazo de veinte días para formular alegaciones de conformidad con el art. 52.1 de la Ley Orgánica del Tribunal Constitucional.</w:t>
      </w:r>
    </w:p>
    <w:p w:rsidR="0026452D" w:rsidRDefault="0026452D" w:rsidP="0026452D">
      <w:pPr>
        <w:pStyle w:val="TextoNormal"/>
      </w:pPr>
    </w:p>
    <w:p w:rsidR="0026452D" w:rsidRDefault="0026452D" w:rsidP="0026452D">
      <w:pPr>
        <w:pStyle w:val="TextoNormal"/>
      </w:pPr>
      <w:r w:rsidRPr="0026452D">
        <w:rPr>
          <w:rStyle w:val="NumeroAFNegritaCaracter"/>
        </w:rPr>
        <w:t>11</w:t>
      </w:r>
      <w:r>
        <w:t>. No habiendo presentado escrito de alegaciones las Procuradoras doña Valentina López Valero y doña Olga Romajaro Casado, por providencia de 14 de febrero de 2013, se señaló para deliberación y votación de la presente Sentencia el día 25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amparo se dirige contra el Auto de la Sala de lo Social de la Audiencia Nacional, de 5 de marzo de 2009, que puso fin al procedimiento de impugnación de convenio colectivo formulado por el sindicato recurrente en amparo, y contra la Sentencia de la Sala de lo Social del Tribunal Supremo, de 15 de septiembre de 2010, que lo confirmó. Como ha quedado recogido en los antecedentes de esta Sentencia, las resoluciones judiciales impugnadas no resolvieron el fondo de la pretensión del sindicato recurrente (declaración de ilegalidad y nulidad de determinados aspectos de los arts. 24 y 25 del IV convenio colectivo de la empresa Gas Natural SDG, S.A.) al apreciar, con apoyo en el art. 22 de la Ley 1/2000, de 7 de enero, de enjuiciamiento civil (en adelante, LEC), la carencia sobrevenida del objeto del proceso, toda vez que los preceptos cuestionados ya no formaban parte del ordenamiento jurídico al haber perdido vigencia durante la tramitación del proceso como consecuencia de la aprobación de un posterior convenio colectivo (convenio colectivo 2007-2009 de Gas Natural SDG, S.A).</w:t>
      </w:r>
    </w:p>
    <w:p w:rsidR="0026452D" w:rsidRDefault="0026452D" w:rsidP="0026452D">
      <w:pPr>
        <w:pStyle w:val="TextoNormal"/>
      </w:pPr>
    </w:p>
    <w:p w:rsidR="0026452D" w:rsidRDefault="0026452D" w:rsidP="0026452D">
      <w:pPr>
        <w:pStyle w:val="TextoNormal"/>
      </w:pPr>
      <w:r>
        <w:t xml:space="preserve">Sostiene el sindicato recurrente que tal decisión judicial, al vedarle una resolución sobre el fondo de su pretensión a través de una interpretación excesivamente rigurosa del art. 22 LEC, habría vulnerado el derecho a la tutela judicial efectiva (art. 24.1 CE) en conexión con el derecho a la igualdad y no discriminación (art. 14 CE), el derecho a un proceso con todas </w:t>
      </w:r>
      <w:r>
        <w:lastRenderedPageBreak/>
        <w:t>las garantías (art. 24.2 CE), el derecho a la libertad sindical (art. 28.1 CE), y los principios de seguridad jurídica e interdicción de la arbitrariedad (art. 9.3 CE). En este sentido, afirma que a pesar de la derogación del convenio colectivo impugnado, subsistiría en el presente caso un interés legítimo de esa parte a la prosecución del proceso, como lo es el interés en conocer si los preceptos del convenio colectivo impugnado vulneraban el art. 14 CE y, de ser así, obtener la declaración de su nulidad por el tiempo en el que estuvieron vigentes.</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entrar en el análisis de las vulneraciones aducidas, es preciso abordar la eventual concurrencia de óbices procesales que impidan un pronunciamiento sobre ellas, toda vez que, como ha reiterado este Tribunal, los defectos insubsanables de que pudiera estar afectado el recurso de amparo no resultan subsanados porque haya sido inicialmente admitido a trámite, por lo que su comprobación puede volverse a abordar o reconsiderar en la Sentencia, de oficio o a instancia de parte, dando lugar a un pronunciamiento de inadmisión por la falta de tales presupuestos (por todas, STC 58/2012, de 29 de marzo, FJ 2).</w:t>
      </w:r>
    </w:p>
    <w:p w:rsidR="0026452D" w:rsidRDefault="0026452D" w:rsidP="0026452D">
      <w:pPr>
        <w:pStyle w:val="TextoNormal"/>
      </w:pPr>
    </w:p>
    <w:p w:rsidR="0026452D" w:rsidRDefault="0026452D" w:rsidP="0026452D">
      <w:pPr>
        <w:pStyle w:val="TextoNormal"/>
      </w:pPr>
      <w:r>
        <w:t xml:space="preserve">La representación procesal de Gas Natural SDG, S.A. considera que la demanda de amparo se halla incursa en la causa de inadmisión derivada del incumplimiento de la exigencia impuesta por el art. 49.1 </w:t>
      </w:r>
      <w:r w:rsidRPr="0026452D">
        <w:rPr>
          <w:i/>
        </w:rPr>
        <w:t>in fine</w:t>
      </w:r>
      <w:r>
        <w:t xml:space="preserve"> de la Ley Orgánica del Tribunal Constitucional (LOTC) de justificar la especial trascendencia constitucional del recurso, dado que, en su opinión, los argumentos ofrecidos por la parte recurrente resultarían insuficientes para dar por correctamente cumplimentada la carga que pesa sobre ella. Sin embargo, esta objeción ha de ser rechazada puesto que en el recurso de amparo se ponen de relieve los datos necesarios para justificar la proyección objetiva del amparo solicitado (STC 143/2011, de 26 de septiembre, FJ 2), la conexión material entre las vulneraciones denunciadas y los criterios establecidos en el art. 50.1 b) LOTC y en el fundamento jurídico 2 de la STC 155/2009, de 25 de junio (STC 170/2011, de 3 de noviembre, FJ 3). En este sentido, el sindicato recurrente conecta materialmente en su demanda las lesiones alegadas con diversos criterios que, conforme a la citada STC 155/2009, dotarían de trascendencia al recurso. Ciertamente, se asienta la especial trascendencia constitucional en dos motivos: en primer lugar, por su proyección de generalidad al denunciarse el problema de la carencia de un cauce para impugnar con proyección colectiva una norma convencional una vez que se ha suscrito otra nueva; en segundo lugar, por plantear un problema nuevo con relación al derecho a la tutela judicial efectiva, al requerir que este Tribunal determine si resulta aplicable el art. 22 LEC a los asuntos que versan sobre impugnación de convenios colectivos en el orden social y de ser así, si la suscripción de un nuevo convenio colectivo ha de conllevar la terminación sobrevenida del proceso, quedando como única vía para su cuestionamiento los procedimientos individuales instados por los trabajadores con relación a los efectos de su aplicación. En definitiva, y con independencia de la valoración que tales alegaciones puedan merecer, cabe apreciar un esfuerzo argumental de la parte recurrente destinado a cumplimentar la carga de justificación de la especial trascendencia constitucional del recurso de amparo impuesto en el art. 49.1 LOTC, al haberse disociado suficientemente en la demanda de amparo entre los argumentados destinados a fundamentar las lesiones de los derechos fundamentales, de aquellos otros encaminados a justificar la especial trascendencia constitucional del recurso, y al haber aducido la parte como fundamento de la concurrencia de la especial trascendencia constitucional, en ese intento de cumplir con la carga de justificación, unos motivos que coinciden con los criterios que fueron sentados en la STC 155/2009, de 25 de junio [en concreto, los previstos en los apartados a) y g) del fundamento jurídico 2].</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3</w:t>
      </w:r>
      <w:r>
        <w:t>. Por su parte, el Ministerio Fiscal sostiene que el recurso de amparo resulta inadmisible con relación a la alegación de la infracción del art. 9.3 CE, al tratarse de un precepto excluido por el art. 53.2 CE de su posible examen a través del recurso de amparo, y respecto a los arts. 14 CE y 28.1 CE, por no haberse cumplido con el requisito de la invocación previa exigido en el art. 44.1 c) LOTC. En este sentido, señala que no se denunció la infracción de estos dos últimos preceptos en el recurso de casación, en el que el sindicato únicamente imputó al órgano judicial la infracción de los arts. 9.3 y 24 CE por haber declarado la terminación del proceso por pérdida sobrevenida de su objeto a través de una interpretación restrictiva del art. 22 LEC.</w:t>
      </w:r>
    </w:p>
    <w:p w:rsidR="0026452D" w:rsidRDefault="0026452D" w:rsidP="0026452D">
      <w:pPr>
        <w:pStyle w:val="TextoNormal"/>
      </w:pPr>
    </w:p>
    <w:p w:rsidR="0026452D" w:rsidRDefault="0026452D" w:rsidP="0026452D">
      <w:pPr>
        <w:pStyle w:val="TextoNormal"/>
      </w:pPr>
      <w:r>
        <w:t>De acuerdo con lo anteriormente apuntado, hemos de comenzar precisando que ha de quedar fuera de nuestro enjuiciamiento la infracción de los principios de seguridad jurídica e interdicción de la arbitrariedad (art. 9.3 CE), al no estar comprendidos entre los derechos y libertades susceptibles de amparo constitucional, de conformidad con lo dispuesto en el art. 41.1 LOTC.</w:t>
      </w:r>
    </w:p>
    <w:p w:rsidR="0026452D" w:rsidRDefault="0026452D" w:rsidP="0026452D">
      <w:pPr>
        <w:pStyle w:val="TextoNormal"/>
      </w:pPr>
    </w:p>
    <w:p w:rsidR="0026452D" w:rsidRDefault="0026452D" w:rsidP="0026452D">
      <w:pPr>
        <w:pStyle w:val="TextoNormal"/>
      </w:pPr>
      <w:r>
        <w:t>Por otro lado, el análisis de las actuaciones conduce también a apreciar la concurrencia del óbice aducido por el Ministerio Fiscal con relación a los arts. 14 CE y 28.1 CE, al no haberse cumplido en este caso con el requisito de la invocación previa del derecho fundamental vulnerado [art. 44.1 c) LOTC]. Conforme ha reiterado este Tribunal, no se trata de un mero formalismo retórico o inútil, sino que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(por todas, SSTC 132/2006, de 24 de abril, FJ 3; y 7/2007, de 15 de enero, FJ 3).</w:t>
      </w:r>
    </w:p>
    <w:p w:rsidR="0026452D" w:rsidRDefault="0026452D" w:rsidP="0026452D">
      <w:pPr>
        <w:pStyle w:val="TextoNormal"/>
      </w:pPr>
    </w:p>
    <w:p w:rsidR="0026452D" w:rsidRDefault="0026452D" w:rsidP="0026452D">
      <w:pPr>
        <w:pStyle w:val="TextoNormal"/>
      </w:pPr>
      <w:r>
        <w:t>Pues bien, en el caso de autos, el sindicato recurrente sostiene en su demanda de amparo que la decisión judicial de apreciar la pérdida de objeto del proceso supuso una interpretación del art. 22 LEC rigurosa y lesiva de su derecho a la tutela judicial efectiva (art. 24.1 CE), así como de los arts. 14 y 28.1 CE. Pero, tal y como advierte el Ministerio Fiscal, la alegación de estos dos últimos preceptos se produce por vez primera en la demanda de amparo, ya que la decisión de archivo de la demanda acordada por la Audiencia Nacional fue cuestionada en el recurso de casación únicamente sobre la base de la infracción de los arts. 9.3 y 24 CE, sin efectuarse mención alguna sobre la posible incidencia de la decisión de archivo en relación con los derechos a la igualdad y a la libertad sindical que ahora se invocan ante este Tribunal. Por consiguiente, hemos de concluir que en el caso de autos no se ha respetado el carácter subsidiario del recurso de amparo al no haber ofrecido el sindicato recurrente al Tribunal Supremo la posibilidad de reparar, en su caso, la infracción de los preceptos constitucionales ahora invocados, por lo que ha de apreciarse respecto a ellos la causa de inadmisión prevista en el art. 44.1 c) LOTC, que en el momento de dictar esta Sentencia se convierte en causa de desestimación.</w:t>
      </w:r>
    </w:p>
    <w:p w:rsidR="0026452D" w:rsidRDefault="0026452D" w:rsidP="0026452D">
      <w:pPr>
        <w:pStyle w:val="TextoNormal"/>
      </w:pPr>
    </w:p>
    <w:p w:rsidR="0026452D" w:rsidRDefault="0026452D" w:rsidP="0026452D">
      <w:pPr>
        <w:pStyle w:val="TextoNormal"/>
      </w:pPr>
      <w:r>
        <w:t xml:space="preserve">Por último, antes de pasar a analizar el fondo de la controversia planteada, debemos puntualizar que aunque en el recurso de amparo se afirma también la vulneración del derecho a un proceso con todas las garantías (art. 24.2 CE), tal alegación no cuenta con desarrollo </w:t>
      </w:r>
      <w:r>
        <w:lastRenderedPageBreak/>
        <w:t>argumental alguno, constituyendo un reproche meramente formal y retórico que se utiliza por la parte en apoyo de la alegación relativa a la infracción del derecho a la tutela judicial efectiva (art. 24.1 CE), al que debemos reconducirla.</w:t>
      </w:r>
    </w:p>
    <w:p w:rsidR="0026452D" w:rsidRDefault="0026452D" w:rsidP="0026452D">
      <w:pPr>
        <w:pStyle w:val="TextoNormal"/>
      </w:pPr>
    </w:p>
    <w:p w:rsidR="0026452D" w:rsidRDefault="0026452D" w:rsidP="0026452D">
      <w:pPr>
        <w:pStyle w:val="TextoNormal"/>
      </w:pPr>
      <w:r w:rsidRPr="0026452D">
        <w:rPr>
          <w:rStyle w:val="NumeroAFNegritaCaracter"/>
        </w:rPr>
        <w:t>4</w:t>
      </w:r>
      <w:r>
        <w:t>. Partiendo, pues, de que el objeto de nuestro enjuiciamiento es comprobar si la discutida decisión de archivo del proceso contraviene el art. 24.1 CE, debemos comenzar recordando que el derecho a la tutela judicial efectiva en su vertiente de acceso a la jurisdicción se concreta en el derecho a la obtención de una resolución fundada en Derecho sobre el fondo de las pretensiones deducidas, resolución que debe entenderse como el modo normal de prestación de la tutela judicial. Lo anterior no excluye, sin embargo, que sea constitucionalmente lícita una resolución de inadmisión, que no entre en el fondo de la cuestión, cuando tal decisión se funde en una causa legal que así lo justifique, aplicada razonablemente por el órgano judicial. Ciertamente, el derecho a la tutela judicial efectiva es un derecho de prestación de configuración legal, por lo que su ejercicio y dispensación están supeditados a la concurrencia de los presupuestos y requisitos que en cada caso establezca el legislador, de ahí que, en principio, el control sobre la concurrencia de tales presupuestos y requisitos sea una operación jurídica que no trasciende el ámbito de la legalidad ordinaria. Ahora bien, conviene recordar que el derecho a la tutela judicial efectiva excluye que la normativa procesal se interprete de forma rigorista, excesivamente formalista o desproporcionada en relación con los fines que preserva y los intereses que se sacrifican cuando se trata del acceso a la jurisdicción, y que tal derecho fundamental no exige necesariamente seleccionar la interpretación más favorable a la admisión de entre todas las que resulten posibles (por todas, SSTC 60/1985, de 6 de mayo, FJ 3; 206/1987, de 21 de diciembre; 134/1990, de 19 de julio, FJ 5; 311/2000, de 18 de diciembre, FJ 3; 228/2006, de 17 de julio, FJ 2; 76/2012, de 16 de abril, FJ 3; y 155/2012, de 16 de julio, FJ 3). En definitiva, y conforme a lo anteriormente expuesto, en nuestro enjuiciamiento habremos de partir de que resultan constitucionalmente legítimas desde la perspectiva del derecho fundamental de acceder a la jurisdicción, aquellas decisiones de inadmisión o de finalización anticipada del proceso, sin que se resuelva sobre el fondo de las pretensiones deducidas en él, cuando encuentren amparo en una norma legal interpretada y aplicada razonablemente y sin rigorismo, formalismo excesivo o desproporción.</w:t>
      </w:r>
    </w:p>
    <w:p w:rsidR="0026452D" w:rsidRDefault="0026452D" w:rsidP="0026452D">
      <w:pPr>
        <w:pStyle w:val="TextoNormal"/>
      </w:pPr>
    </w:p>
    <w:p w:rsidR="0026452D" w:rsidRDefault="0026452D" w:rsidP="0026452D">
      <w:pPr>
        <w:pStyle w:val="TextoNormal"/>
      </w:pPr>
      <w:r w:rsidRPr="0026452D">
        <w:rPr>
          <w:rStyle w:val="NumeroAFNegritaCaracter"/>
        </w:rPr>
        <w:t>5</w:t>
      </w:r>
      <w:r>
        <w:t>. Teniendo en cuenta la doctrina constitucional que ha sido expuesta, nos corresponde ahora comprobar, en primer lugar, si existía una causa legal para acordar el archivo de la demanda de impugnación de convenio colectivo formulada por el sindicato recurrente en amparo y, en segundo lugar, si la legalidad procesal fue aplicada razonable y proporcionadamente en el supuesto concreto.</w:t>
      </w:r>
    </w:p>
    <w:p w:rsidR="0026452D" w:rsidRDefault="0026452D" w:rsidP="0026452D">
      <w:pPr>
        <w:pStyle w:val="TextoNormal"/>
      </w:pPr>
    </w:p>
    <w:p w:rsidR="0026452D" w:rsidRDefault="0026452D" w:rsidP="0026452D">
      <w:pPr>
        <w:pStyle w:val="TextoNormal"/>
      </w:pPr>
      <w:r>
        <w:t>Comenzando, por lo tanto, con el análisis de si la decisión de archivo se fundamenta en una causa legal, se advierte que la misma encuentra cobertura legal adecuada en el art. 22 LEC, precepto que bajo la rúbrica de “[t]erminación del proceso por satisfacción extraprocesal o carencia sobrevenida de objeto”, prevé la posibilidad de que se decrete mediante Auto la terminación del proceso “[c]uando por circunstancias sobrevenidas a la demanda y a la reconvención, dejare de haber interés legítimo en obtener la tutela pretendida, porque se hayan satisfecho, fuera del proceso, las pretensiones del actor y, en su caso, del demandado reconviniente o por cualquier otra causa”.</w:t>
      </w:r>
    </w:p>
    <w:p w:rsidR="0026452D" w:rsidRDefault="0026452D" w:rsidP="0026452D">
      <w:pPr>
        <w:pStyle w:val="TextoNormal"/>
      </w:pPr>
    </w:p>
    <w:p w:rsidR="0026452D" w:rsidRDefault="0026452D" w:rsidP="0026452D">
      <w:pPr>
        <w:pStyle w:val="TextoNormal"/>
      </w:pPr>
      <w:r>
        <w:lastRenderedPageBreak/>
        <w:t>Pues bien, conforme dispone ese artículo en su apartado segundo, en el caso de que alguna de las partes sostuviere la subsistencia de interés legítimo, negando motivadamente que se hubiere dado satisfacción extraprocesal a sus pretensiones, el tribunal convocará a las partes a una comparecencia sobre ese único objeto, en el plazo de diez días, y terminada la misma, el tribunal decidirá mediante auto, dentro de los diez días siguientes, si procede, o no, continuar el juicio, imponiéndose las costas de estas actuaciones a quien viere rechazada su pretensión. Ante la inexistencia en la legislación procesal laboral de una disposición específica relativa a la pérdida sobrevenida del objeto del proceso, las resoluciones judiciales impugnadas consideraron aplicable al caso el art. 22 LEC, en virtud de la disposición adicional primera uno que establece que, en lo no previsto en el Real Decreto Legislativo 2/1995, de 7 de abril, que aprueba el texto refundido de la Ley de procedimiento laboral, regirá como supletoria la Ley de enjuiciamiento civil, así como conforme al art. 4 LEC, que declara la supletoriedad de esta última en defecto de disposiciones en las leyes que regulan los procesos penales, contencioso-administrativos, laborales y militares. Por ello, una vez que la parte demandada en el caso de autos, hubo instado la terminación del proceso por carencia sobrevenida del objeto al amparo de ese precepto, y no concurriendo la conformidad de la parte actora al respecto, el órgano judicial, siguiendo lo dispuesto en el art. 22 LEC, convocó a las partes a una comparecencia con el objeto de determinar si había o no satisfacción extraprocesal o carencia de objeto de la demanda, acordándose (por Auto de la Sala de lo Social de la Audiencia Nacional, de 5 de marzo de 2009) la finalización del procedimiento en materia de impugnación de convenio colectivo por carencia sobrevenida del objeto. Teniendo en cuenta todo ello, hemos de concluir que las resoluciones judiciales impugnadas en este recurso de amparo fundamentaron su decisión de archivo en una causa legal, al aplicar al caso el art. 22 LEC que permite poner fin al procedimiento en supuestos de carencia sobrevenida de objeto.</w:t>
      </w:r>
    </w:p>
    <w:p w:rsidR="0026452D" w:rsidRDefault="0026452D" w:rsidP="0026452D">
      <w:pPr>
        <w:pStyle w:val="TextoNormal"/>
      </w:pPr>
    </w:p>
    <w:p w:rsidR="0026452D" w:rsidRDefault="0026452D" w:rsidP="0026452D">
      <w:pPr>
        <w:pStyle w:val="TextoNormal"/>
      </w:pPr>
      <w:r w:rsidRPr="0026452D">
        <w:rPr>
          <w:rStyle w:val="NumeroAFNegritaCaracter"/>
        </w:rPr>
        <w:t>6</w:t>
      </w:r>
      <w:r>
        <w:t>. Llegados a este punto, debemos analizar ahora los razonamientos utilizados por las resoluciones judiciales para argumentar la decisión de archivo del procedimiento de impugnación de convenio colectivo instado por el sindicato recurrente en amparo, con el objeto de comprobar si se aplicó razonablemente y sin rigorismo, formalismo excesivo o desproporción, la causa legal en la que se fundamentó la decisión controvertida.</w:t>
      </w:r>
    </w:p>
    <w:p w:rsidR="0026452D" w:rsidRDefault="0026452D" w:rsidP="0026452D">
      <w:pPr>
        <w:pStyle w:val="TextoNormal"/>
      </w:pPr>
    </w:p>
    <w:p w:rsidR="0026452D" w:rsidRDefault="0026452D" w:rsidP="0026452D">
      <w:pPr>
        <w:pStyle w:val="TextoNormal"/>
      </w:pPr>
      <w:r>
        <w:t xml:space="preserve">La Sala de lo Social de la Audiencia Nacional acordó que procedía declarar la finalización del citado procedimiento por carencia sobrevenida del objeto ante la derogación por convenio colectivo posterior de los preceptos objeto del litigio, sobre la base de que en el ejercicio de la acción colectiva de impugnación de convenios colectivos [art. 161 y siguientes del entonces vigente Real Decreto Legislativo 2/1995, de 7 de abril, por el que se aprueba el texto refundido de la Ley de procedimiento laboral, (en adelante, LPL)], carece de objeto pronunciarse sobre la legalidad de los preceptos que ya no se integran en el ordenamiento jurídico aplicable. Esa decisión fue plenamente confirmada por la Sala de lo Social del Tribunal Supremo (que aplicando lo resuelto en su Sentencia de 23 de junio de 2010 en un caso idéntico) desestimó el recurso de casación planteado por el sindicato recurrente en amparo. En efecto, el Tribunal Supremo comienza recordando la uniforme jurisprudencia de su Sala de lo Social relativa a que la impugnación directa del convenio colectivo que se fundamenta en la ilegalidad no está sujeta a plazo y puede hacerse a lo largo de toda su vigencia, por lo que acabada esta, habrá de apreciarse falta de acción. También se sintetiza la postura mantenida por la Sala Tercera de ese mismo Tribunal, que viene sosteniendo que la desaparición del objeto del recurso es uno de los medios de terminación del proceso y que, singularmente, </w:t>
      </w:r>
      <w:r>
        <w:lastRenderedPageBreak/>
        <w:t xml:space="preserve">en los recurso contra disposiciones generales, la ulterior derogación de éstas ha determinado la desestimación de los recursos correspondientes, no porque en su momento no estuviesen fundados los recursos, sino porque la derogación sobrevenida de la norma priva a la controversia de cualquier interés o utilidad real (causa de terminación también aplicada en los recursos cuyo objeto no era la impugnación de una disposición general sino de una resolución o acto administrativo). También se trae a colación la STC 84/2006, de 27 de marzo, en la que se señala que la desaparición sobrevenida del objeto del proceso, aun cuando no contemplada expresamente en el art. 86.1 LOTC, ha sido admitida por este Tribunal como forma de terminación de los distintos procesos constitucionales, como en los casos en los que en el procedimiento que dio origen al recurso de amparo, los propios órganos judiciales han reparado las lesiones del derecho invocado en sede constitucional, o bien cuando la reparación de ha producido por desaparición de la causa o acto que inició el procedimiento. Pues bien, aplicando la citada doctrina al caso enjuiciado, la Sala de lo Social del Tribunal Supremo aprecia en la Sentencia impugnada la carencia sobrevenida del objeto ya que la pretensión de la </w:t>
      </w:r>
      <w:r w:rsidRPr="0026452D">
        <w:rPr>
          <w:i/>
        </w:rPr>
        <w:t>litis</w:t>
      </w:r>
      <w:r>
        <w:t xml:space="preserve"> se contraía a que se declarase la ilegalidad y nulidad de los concretos aspectos impugnados del convenio colectivo, preceptos que habían sido derogados por otro convenio posterior. En consecuencia, aprecia que carecía de objeto pronunciarse sobre la legalidad de unos preceptos que ya no integraban el ordenamiento jurídico aplicable.</w:t>
      </w:r>
    </w:p>
    <w:p w:rsidR="0026452D" w:rsidRDefault="0026452D" w:rsidP="0026452D">
      <w:pPr>
        <w:pStyle w:val="TextoNormal"/>
      </w:pPr>
    </w:p>
    <w:p w:rsidR="0026452D" w:rsidRDefault="0026452D" w:rsidP="0026452D">
      <w:pPr>
        <w:pStyle w:val="TextoNormal"/>
      </w:pPr>
      <w:r>
        <w:t>De lo anterior se deduce que la decisión acordada en la vía judicial de poner fin al procedimiento instado por el sindicato recurrente en amparo (al entender que la derogación sobrevenida de la norma priva a la controversia de cualquier interés o utilidad real) se ha fundado en una causa legal (art. 22 LEC) que ha sido aplicada al caso de forma razonada y razonable, y sin haber incurrido en una interpretación indebidamente restrictiva del derecho a la tutela judicial efectiva (art. 24.1 CE) que tenga que ser corregida por este Tribunal.</w:t>
      </w:r>
    </w:p>
    <w:p w:rsidR="0026452D" w:rsidRDefault="0026452D" w:rsidP="0026452D">
      <w:pPr>
        <w:pStyle w:val="TextoNormal"/>
      </w:pPr>
    </w:p>
    <w:p w:rsidR="0026452D" w:rsidRDefault="0026452D" w:rsidP="0026452D">
      <w:pPr>
        <w:pStyle w:val="TextoNormal"/>
      </w:pPr>
      <w:r>
        <w:t xml:space="preserve">Efectivamente, tal y como dijimos en la STC 102/2009, de 27 de abril (FJ 7), la causa legal de terminación anticipada de un proceso por pérdida sobrevenida de su objeto, de conformidad a lo establecido en el art. 22 LEC, se conecta con la pérdida del interés legítimo en obtener la tutela judicial en relación a la pretensión ejercitada, y precisamente, por ello, su sentido es evitar la continuación de un proceso en el cual el demandante haya perdido sobrevenidamente todo el interés jurídico que en él tenía. Conforme a lo que precede, siendo la pretensión del sindicato recurrente en este caso, la obtención de la nulidad parcial de determinados preceptos del convenio colectivo por considerarlos ilegales, la derogación de los mismos por otro convenio colectivo posterior ha permitido entender a los órganos judiciales que se había producido una pérdida del interés legítimo de la parte actora en la prosecución del procedimiento (esto es, en la declaración de su nulidad para reajustar su contenido a la legalidad). Y tal decisión, como ha quedado dicho, desde la perspectiva del control externo que compete efectuar a este Tribunal, no es merecedora de tacha alguna desde el punto de vista del art. 24.1 CE al no poderse calificar como irrazonable, desproporcionada o excesivamente rigorista, sino que permite ser considerada como respetuosa con la </w:t>
      </w:r>
      <w:r w:rsidRPr="0026452D">
        <w:rPr>
          <w:i/>
        </w:rPr>
        <w:t>ratio</w:t>
      </w:r>
      <w:r>
        <w:t xml:space="preserve"> del precepto de la legislación procesal común aplicado (art. 22 LEC), con la finalidad misma del proceso de impugnación de convenio colectivo regulado en la legislación procesal laboral (arts. 161 y siguientes LPL), y con las exigencias derivadas del art. 24.1 CE.</w:t>
      </w:r>
    </w:p>
    <w:p w:rsidR="0026452D" w:rsidRDefault="0026452D" w:rsidP="0026452D">
      <w:pPr>
        <w:pStyle w:val="TextoNormal"/>
      </w:pPr>
    </w:p>
    <w:p w:rsidR="0026452D" w:rsidRDefault="0026452D" w:rsidP="0026452D">
      <w:pPr>
        <w:pStyle w:val="TextoNormal"/>
      </w:pPr>
      <w:r>
        <w:t xml:space="preserve">De todo lo que precede, se ha de concluir que no se ha producido la vulneración del derecho a la obtención de una resolución sobre el fondo de la pretensión (art. 24.1 CE) aducida en la demanda de amparo; todo ello sin perjuicio de que queda a salvo los derechos </w:t>
      </w:r>
      <w:r>
        <w:lastRenderedPageBreak/>
        <w:t>individuales de los trabajadores para poder reclamar ante los Tribunales los posibles efectos que en su caso pudiera seguir produciendo el convenio colectivo derogado.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Denegar el amparo solicitado.</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veinticinco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48" w:name="SENTENCIA_2013_45"/>
      <w:r>
        <w:lastRenderedPageBreak/>
        <w:t>SENTENCIA 45/2013, de 25 de febrero de 2013</w:t>
      </w:r>
    </w:p>
    <w:bookmarkEnd w:id="48"/>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73, de 26 de marzo de 2013)</w:t>
      </w:r>
    </w:p>
    <w:p w:rsidR="0026452D" w:rsidRDefault="0026452D" w:rsidP="0026452D">
      <w:pPr>
        <w:pStyle w:val="TtuloBOE"/>
      </w:pPr>
    </w:p>
    <w:p w:rsidR="0026452D" w:rsidRDefault="0026452D" w:rsidP="0026452D">
      <w:pPr>
        <w:pStyle w:val="SntesisDescriptiva"/>
      </w:pPr>
      <w:r>
        <w:t>ECLI:ES:TC:2013:45</w:t>
      </w:r>
    </w:p>
    <w:p w:rsidR="0026452D" w:rsidRDefault="0026452D" w:rsidP="0026452D">
      <w:pPr>
        <w:pStyle w:val="SntesisDescriptiva"/>
      </w:pPr>
    </w:p>
    <w:p w:rsidR="0026452D" w:rsidRDefault="0026452D" w:rsidP="0026452D">
      <w:pPr>
        <w:pStyle w:val="SntesisDescriptiva"/>
      </w:pPr>
      <w:r>
        <w:t>Recurso de amparo 6818-2011. Promovido por doña Ana Fernández Martín frente a la Sentencia del Juzgado de lo Contencioso-Administrativo núm. 1 de Madrid que confirmó la multa impuesta por no haber aportado datos suficientes para identificar al conductor de un vehículo que había cometido una infracción de tráfico.</w:t>
      </w:r>
    </w:p>
    <w:p w:rsidR="0026452D" w:rsidRDefault="0026452D" w:rsidP="0026452D">
      <w:pPr>
        <w:pStyle w:val="SntesisDescriptiva"/>
      </w:pPr>
    </w:p>
    <w:p w:rsidR="0026452D" w:rsidRDefault="0026452D" w:rsidP="0026452D">
      <w:pPr>
        <w:pStyle w:val="SntesisAnaltica"/>
      </w:pPr>
      <w:r>
        <w:t>Vulneración del derecho a la legalidad sancionadora: STC 30/2013 (resolución sancionadora que carece de fundamento razonable en la infracción administrativa aplicada).</w:t>
      </w:r>
    </w:p>
    <w:p w:rsidR="0026452D" w:rsidRDefault="0026452D" w:rsidP="0026452D">
      <w:pPr>
        <w:pStyle w:val="SntesisAnaltica"/>
      </w:pPr>
    </w:p>
    <w:p w:rsidR="0026452D" w:rsidRDefault="0026452D" w:rsidP="0026452D">
      <w:pPr>
        <w:pStyle w:val="Extracto"/>
      </w:pPr>
      <w:r>
        <w:t>1.</w:t>
      </w:r>
      <w:r>
        <w:tab/>
        <w:t>El presente recurso, en lo que respecta a la sanción impuesta al titular de un vehículo a motor por no suministrar a la Administración la identidad del conductor del mismo ante la denuncia de una infracción, presenta una total identidad con el recurso de amparo resuelto por este Tribunal en la STC 30/2013, que aplica la doctrina de la STC 111/2004, a cuyas conclusiones hemos de remitirnos [FJ 2].</w:t>
      </w:r>
    </w:p>
    <w:p w:rsidR="0026452D" w:rsidRDefault="0026452D" w:rsidP="0026452D">
      <w:pPr>
        <w:pStyle w:val="Extracto"/>
      </w:pPr>
    </w:p>
    <w:p w:rsidR="0026452D" w:rsidRDefault="0026452D" w:rsidP="0026452D">
      <w:pPr>
        <w:pStyle w:val="Extracto"/>
      </w:pPr>
      <w:r>
        <w:t>2.</w:t>
      </w:r>
      <w:r>
        <w:tab/>
        <w:t>No sólo vulneran el principio de legalidad las resoluciones sancionadoras que se sustenten en una subsunción de los hechos ajena al significado posible de los términos de la norma aplicada, sino también son constitucionalmente rechazables aquellas aplicaciones que, por su argumentación ilógica o su base valorativa ajena a los criterios que informan nuestro ordenamiento constitucional, conduzcan a soluciones opuestas a la orientación material de la norma y, por ello, sean imprevisibles para sus destinatarios (STC 30/2013)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amparo núm. 6818-2011, promovido por doña Ana Fernández Martín, representada por la Procuradora de los Tribunales doña Aurora Gutiérrez Martín, y asistida por el Abogado don Sergio Cuevas Corradi, contra la resolución sancionadora de 16 de julio de 2009, del Director General de movilidad del Ayuntamiento de Madrid, y contra la Sentencia del Juzgado de lo Contencioso-Administrativo núm. 1 de Madrid, de fecha 18 de </w:t>
      </w:r>
      <w:r>
        <w:lastRenderedPageBreak/>
        <w:t>noviembre de 2011, dictada en el procedimiento abreviado 861-2009. Han intervenido la Letrada del Ayuntamiento de Madrid actuando en representación del mismo, y el Ministerio Fiscal. Ha sido Ponente la Magistrada doña Encarnación Roca Trías,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La Procuradora de los Tribunales, doña Aurora Gutiérrez Martín, actuando en representación de doña Ana Fernández Martín, presentó en el Registro General de este Tribunal Constitucional, con fecha 15 de diciembre de 2001, recurso de amparo contra la resolución judicial citada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antecedentes en los que se fundamenta este recurso son los que a continuación se resumen.</w:t>
      </w:r>
    </w:p>
    <w:p w:rsidR="0026452D" w:rsidRDefault="0026452D" w:rsidP="0026452D">
      <w:pPr>
        <w:pStyle w:val="TextoNormal"/>
      </w:pPr>
    </w:p>
    <w:p w:rsidR="0026452D" w:rsidRDefault="0026452D" w:rsidP="0026452D">
      <w:pPr>
        <w:pStyle w:val="TextoNormal"/>
      </w:pPr>
      <w:r>
        <w:t>a) El día 19 de noviembre de 2007 un controlador del servicio de estacionamiento regulado del Ayuntamiento de Madrid, formuló denuncia por haber estacionado, sin el distintivo que habilita para el estacionamiento con limitación horaria, dando lugar a la incoación de expediente sancionador. Notificada la denuncia a doña Ana Fernández Martín, titular del automóvil, denunciado y hoy demandante de amparo, se le requirió para que, en el plazo de veinte días hábiles, procediera a comunicar el nombre, domicilio, y demás datos de la persona que, en el momento de la denuncia, conducía el automóvil con apercibimiento de que, de no hacerlo así, sería considerada autora de una falta grave por infracción del deber establecido en el art. 72.3 del Real Decreto Legislativo 339/1990, de 2 de marzo, por el que se aprueba el texto articulado de la Ley sobre tráfico, circulación de vehículos a motor y seguridad vial, según redacción dada por la Ley 17/2005, de 19 de julio, por la que se regula el permiso y la licencia de conducción por puntos y se modifica el texto articulado de la ley sobre tráfico, circulación de vehículos a motor y seguridad vial. La titular del vehículo cumplió el mencionado requerimiento, poniendo en conocimiento de la Administración quién era, en aquella fecha, el conductor del vehículo, identificándolo con nombre y dos apellidos y proporcionando los datos de su domicilio a efectos de notificación.</w:t>
      </w:r>
    </w:p>
    <w:p w:rsidR="0026452D" w:rsidRDefault="0026452D" w:rsidP="0026452D">
      <w:pPr>
        <w:pStyle w:val="TextoNormal"/>
      </w:pPr>
    </w:p>
    <w:p w:rsidR="0026452D" w:rsidRDefault="0026452D" w:rsidP="0026452D">
      <w:pPr>
        <w:pStyle w:val="TextoNormal"/>
      </w:pPr>
      <w:r>
        <w:t>b) Sin que conste intento alguno de actuación respecto de la persona identificada como conductora del indicado vehículo, con fecha 1 de abril de 2009, el departamento de instrucción de multas de circulación del Ayuntamiento de Madrid optó por seguir el correspondiente procedimiento sancionador contra la propietaria del mismo, habida cuenta de que, a pesar de haber sido debidamente requerida para ello, los datos aportados en su momento sobre la identidad del conductor habían sido insuficientes para una veraz identificación.</w:t>
      </w:r>
    </w:p>
    <w:p w:rsidR="0026452D" w:rsidRDefault="0026452D" w:rsidP="0026452D">
      <w:pPr>
        <w:pStyle w:val="TextoNormal"/>
      </w:pPr>
    </w:p>
    <w:p w:rsidR="0026452D" w:rsidRDefault="0026452D" w:rsidP="0026452D">
      <w:pPr>
        <w:pStyle w:val="TextoNormal"/>
      </w:pPr>
      <w:r>
        <w:t>c) Mediante escrito de fecha 16 de abril de 2009, la propietaria del vehículo alegó que había ofrecido a la Administración las precisas señas de identidad que permitían la localización del conductor conforme a lo exigido en el art. 72.3 de la Ley de seguridad vial. Alegó que el citado precepto no impone el deber de averiguación e investigación de todos y cada uno de los datos personales del conductor, razón por la cual solicitó la práctica de la prueba consistente en que se le remitiera la diligencia negativa o intento de notificación al conductor responsable de la infracción en el domicilio aportado en el momento procedimental oportuno.</w:t>
      </w:r>
    </w:p>
    <w:p w:rsidR="0026452D" w:rsidRDefault="0026452D" w:rsidP="0026452D">
      <w:pPr>
        <w:pStyle w:val="TextoNormal"/>
      </w:pPr>
    </w:p>
    <w:p w:rsidR="0026452D" w:rsidRDefault="0026452D" w:rsidP="0026452D">
      <w:pPr>
        <w:pStyle w:val="TextoNormal"/>
      </w:pPr>
      <w:r>
        <w:t>d) Por resolución de 16 de julio de 2009, del Director General de movilidad del Ayuntamiento de Madrid, se impuso a la hoy demandante de amparo, propietaria del vehículo denunciado, sanción de 301 euros por la infracción consistente en el incumplimiento de la obligación de identificar en tiempo y forma al conductor responsable de infracción. La motivación de la resolución reza de la siguiente forma: “En el presente expediente no consta que se haya cumplido con el deber de identificar en tiempo y forma al conductor responsable de la infracción, a tenor de lo dispuesto en el art. 72.3 LSV., a pesar de haber sido requerido para ello en el momento procedimental oportuno, puesto que los datos aportados en su momento sobre la identidad del conductor son insuficientes para que la identificación se considere veraz.”</w:t>
      </w:r>
    </w:p>
    <w:p w:rsidR="0026452D" w:rsidRDefault="0026452D" w:rsidP="0026452D">
      <w:pPr>
        <w:pStyle w:val="TextoNormal"/>
      </w:pPr>
    </w:p>
    <w:p w:rsidR="0026452D" w:rsidRDefault="0026452D" w:rsidP="0026452D">
      <w:pPr>
        <w:pStyle w:val="TextoNormal"/>
      </w:pPr>
      <w:r>
        <w:t>e) Mediante escrito de 29 de julio de 2009 se presentó demanda, a tramitar por el procedimiento abreviado, ante el Juzgado de lo Contencioso-Administrativo núm. 1 de Madrid contra la resolución sancionadora. En ella se alega que la sanción no es conforme a derecho por cuanto la Ley sobre tráfico, circulación de vehículos a motor y seguridad vial no impone el deber de averiguación e investigación de todos los datos personales del conductor, que se ha vulnerado el principio de culpabilidad y presunción de inocencia, que no se motiva adecuadamente porque no es veraz la identificación realizada y, finalmente, que se ha vulnerado el derecho a utilizar los medios de prueba ya que la Administración no realizó gestión alguna para notificar al conductor denunciado.</w:t>
      </w:r>
    </w:p>
    <w:p w:rsidR="0026452D" w:rsidRDefault="0026452D" w:rsidP="0026452D">
      <w:pPr>
        <w:pStyle w:val="TextoNormal"/>
      </w:pPr>
    </w:p>
    <w:p w:rsidR="0026452D" w:rsidRDefault="0026452D" w:rsidP="0026452D">
      <w:pPr>
        <w:pStyle w:val="TextoNormal"/>
      </w:pPr>
      <w:r>
        <w:t>f) Por Sentencia de fecha l8 de noviembre de 2011, recaída en el procedimiento abreviado número 861-2009, el Juzgado de lo Contencioso-Administrativo núm. 1 de Madrid, desestimó el recurso. Tras reproducir el art. 94 de la Ordenanza de movilidad de Madrid y el art. 72 de la Ley sobre tráfico, circulación de vehículos a motor y seguridad vial, la Sentencia razona que se ha incumplido el deber de identificar verazmente al conductor por cuanto no se facilitó el número de permiso de conducir, prueba que no resulta desproporcionada para la recurrente teniendo en cuenta que el identificado como conductor tenía su domicilio, según puso en conocimiento del Ayuntamiento la propietaria del vehículo, en la misma dirección que ésta. El propietario del vehículo que permite su conducción a otro incurre en falta de responsabilidad si no recaba de éste los datos y el número del título que le habilita para la conducción (FJ 3). Añade, además, que para el cumplimiento del deber que consagra el art. 5.1 de la Ley Orgánica del Poder Judicial, la mención expresa a la falta de causa justificada como elemento definidor del tipo legal, deja un amplio margen de adecuación a las particularidades del caso concreto (FJ 4). Por ello, concluye la Sentencia, la recurrente no cumple con la obligación impuesta pues de forma negligente o culpable no indica el número del permiso de conducción del denunciado.</w:t>
      </w:r>
    </w:p>
    <w:p w:rsidR="0026452D" w:rsidRDefault="0026452D" w:rsidP="0026452D">
      <w:pPr>
        <w:pStyle w:val="TextoNormal"/>
      </w:pPr>
    </w:p>
    <w:p w:rsidR="0026452D" w:rsidRDefault="0026452D" w:rsidP="0026452D">
      <w:pPr>
        <w:pStyle w:val="TextoNormal"/>
      </w:pPr>
      <w:r w:rsidRPr="0026452D">
        <w:rPr>
          <w:rStyle w:val="NumeroAFNegritaCaracter"/>
        </w:rPr>
        <w:t>3</w:t>
      </w:r>
      <w:r>
        <w:t>. El recurso de amparo se fundamenta en la vulneración del derecho a la legalidad sancionadora (art. 25.1 CE), del derecho a la presunción de inocencia (art. 24.2 CE) y, finalmente, en la vulneración del principio de igualdad en la aplicación de la Ley (art. 14 CE). En cuanto a la primera de las lesiones denunciadas alega la demanda de amparo que la sancionada cumplió en todo momento su obligación de identificar de forma veraz al conductor, que si no se aportó el documento nacional de identidad fue porque en ese momento se desconocía y no se pudo acceder al mismo pero que, en todo caso, ello no viene exigido por el art. 72.3, tanto más cuando la Administración ni siquiera intentó practicar la notifica</w:t>
      </w:r>
      <w:r>
        <w:lastRenderedPageBreak/>
        <w:t>ción. Alega que la doctrina constitucional contiene la exigencia de que se faciliten únicamente los datos que permitan identificar al conductor para que la Administración pueda dirigir un procedimiento sancionador contra él. En cuanto a la vulneración del derecho a la presunción de inocencia, considera que sancionar al propietario del vehículo por el mero hecho de serlo sin haber intentado la notificación a quien fue denunciado como conductor y sin intentar conocer la identidad del verdadero infractor supone haber impuesto una sanción sin actividad probatoria de cargo. Finalmente, en cuanto al derecho a la igualdad en aplicación de la ley, entiende que tanto la resolución como la Sentencia se pronuncian en sentido distinto al de las numerosas Sentencias del Tribunal Constitucional, en concreto, la de 12 de julio de 2004, cuya doctrina se puso de manifiesto ya en la vía administrativa y se reiteró ante el Juzgado.</w:t>
      </w:r>
    </w:p>
    <w:p w:rsidR="0026452D" w:rsidRDefault="0026452D" w:rsidP="0026452D">
      <w:pPr>
        <w:pStyle w:val="TextoNormal"/>
      </w:pPr>
    </w:p>
    <w:p w:rsidR="0026452D" w:rsidRDefault="0026452D" w:rsidP="0026452D">
      <w:pPr>
        <w:pStyle w:val="TextoNormal"/>
      </w:pPr>
      <w:r>
        <w:t>En cuanto a la justificación del requisito de la especial trascendencia constitucional, considera que concurre una negativa manifiesta del Juzgado Contencioso-Administrativo a acatar la doctrina constitucional, toda vez que, puesta de manifiesto la Sentencia del Tribunal Constitucional de fecha 12 de julio de 2004, el Juzgado habría obviado su contenido, como así mismo ha obviado la reiterada doctrina constitucional que existe, en su opinión, en este sentido. Invoca, también, el incumplimiento reiterado por la jurisdicción ordinaria de la doctrina constitucional, existiendo resoluciones judiciales contradictorias sobre el derecho fundamental invocado, aplicándolo en unos casos y desconociéndolo en otros.</w:t>
      </w:r>
    </w:p>
    <w:p w:rsidR="0026452D" w:rsidRDefault="0026452D" w:rsidP="0026452D">
      <w:pPr>
        <w:pStyle w:val="TextoNormal"/>
      </w:pPr>
    </w:p>
    <w:p w:rsidR="0026452D" w:rsidRDefault="0026452D" w:rsidP="0026452D">
      <w:pPr>
        <w:pStyle w:val="TextoNormal"/>
      </w:pPr>
      <w:r>
        <w:t>Finalmente, se solicita la suspensión de la ejecución de la sanción administrativa confirmada por la Sentencia del Juzgado.</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19 de abril de 2012, la Sala Segunda acordó admitir a trámite el recurso de amparo y, en consecuencia, ordenó el emplazamiento para que en el plazo de diez días pudieran comparecer quienes hubieran sido parte en el procedimiento. Asimismo, ordenó se formara pieza separada del incidente de suspensión que, tras la correspondiente tramitación, fue resuelto por ATC 124/2012, de 18 de junio, que denegó la suspensión solicitada.</w:t>
      </w:r>
    </w:p>
    <w:p w:rsidR="0026452D" w:rsidRDefault="0026452D" w:rsidP="0026452D">
      <w:pPr>
        <w:pStyle w:val="TextoNormal"/>
      </w:pPr>
    </w:p>
    <w:p w:rsidR="0026452D" w:rsidRDefault="0026452D" w:rsidP="0026452D">
      <w:pPr>
        <w:pStyle w:val="TextoNormal"/>
      </w:pPr>
      <w:r w:rsidRPr="0026452D">
        <w:rPr>
          <w:rStyle w:val="NumeroAFNegritaCaracter"/>
        </w:rPr>
        <w:t>5</w:t>
      </w:r>
      <w:r>
        <w:t>. Por escrito que tuvo entrada en el Registro General de este Tribunal Constitucional el 29 de mayo de 2012, la Letrada del Ayuntamiento de Madrid, actuando en nombre y representación del mismo, se personó en el recurso. Por diligencia de ordenación del Secretario, de 25 de junio de 2012, se tuvo por personada a dicha Letrada y se procedió a darle vista de las actuaciones para que pudiera presentar alegaciones, lo que hizo mediante escrito registrado el 26 de julio de 2012. Alega la Letrada consistorial que se ha cometido la infracción contemplada en el art. 72.3 de la Ley sobre tráfico, circulación de vehículos a motor y seguridad vial, pues no se identificó verazmente al conductor ya que no se aportó el permiso de conducir, prueba que no era desproporcionada para la recurrente, reproduciendo los fundamentos jurídicos de la Sentencia. En relación con la presunción de inocencia, alega que la demandante de amparo ha confundido dos infracciones pues no se le está imponiendo una sanción como conductora del vehículo, sino como titular del vehículo y por no identificar verazmente al conductor. Finalmente rechaza la vulneración del derecho de igualdad en la aplicación de la ley, recordando la doctrina constitucional sobre el mencionado derecho y los requisitos que ésta exige sin que, en este caso, las resoluciones judiciales procedan del mismo órgano judicial.</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6</w:t>
      </w:r>
      <w:r>
        <w:t>. El 3 de septiembre de 2012, tuvo entrada en este Tribunal Constitucional el escrito de alegaciones del Ministerio Fiscal que se basa en los argumentos que se resumen a continuación. Señala en primer lugar que, correctamente entendido el recurso de amparo, se trataría, en contra de lo afirmado en la demanda, de un amparo contra la resolución administrativa impugnada, pues la lesión debe imputarse a ésta habiéndose limitado la Sentencia, en su caso, a no repararla.</w:t>
      </w:r>
    </w:p>
    <w:p w:rsidR="0026452D" w:rsidRDefault="0026452D" w:rsidP="0026452D">
      <w:pPr>
        <w:pStyle w:val="TextoNormal"/>
      </w:pPr>
    </w:p>
    <w:p w:rsidR="0026452D" w:rsidRDefault="0026452D" w:rsidP="0026452D">
      <w:pPr>
        <w:pStyle w:val="TextoNormal"/>
      </w:pPr>
      <w:r>
        <w:t>Tras recordar la doctrina de este Tribunal que consagra la constitucionalidad del deber de colaborar que impone el art. 72.3 LSV, procede a considerar la vulneración del principio de legalidad sancionadora. Para ello, analiza los supuestos resueltos por las SSTC 8/1996, de 29 de enero; 20/1996, de 12 de febrero; 54/2008, de 14 de abril, y 36/2010, de 19 de julio, concluyendo que no coinciden con el planteado en este caso pues, en aquellos, o bien no se procedió a denunciar al conductor, o bien se exigió a los propietarios que aportaran prueba acreditativa de que la persona designada era la que efectivamente conducía el vehículo. Concluye, sin embargo, que existe identidad de este supuesto con el contemplado en la STC 111/2004, de 12 de julio, pues en que el propietario facilitó a la Administración la identificación del conductor, pero no así el número de su permiso de conducir, como ocurre en el caso que nos ocupa.</w:t>
      </w:r>
    </w:p>
    <w:p w:rsidR="0026452D" w:rsidRDefault="0026452D" w:rsidP="0026452D">
      <w:pPr>
        <w:pStyle w:val="TextoNormal"/>
      </w:pPr>
    </w:p>
    <w:p w:rsidR="0026452D" w:rsidRDefault="0026452D" w:rsidP="0026452D">
      <w:pPr>
        <w:pStyle w:val="TextoNormal"/>
      </w:pPr>
      <w:r>
        <w:t>Esto señalado, recuerda que este Tribunal ya se ha pronunciado sobre la posibilidad de que se produzca una vulneración del art. 25.1 CE al subsumir la Administración o los órganos judiciales, una determinada conducta en el tipo infractor, doctrina que resume en los siguientes puntos: (i) la validez de la aplicación de las normas sancionadoras depende tanto del respeto del tenor literal como de la previsibilidad, hallándose vinculadas por los principios de legalidad y seguridad jurídica; (ii) vulneran este derecho las que por su soporte metodológico —argumentación ilógica o excesivamente extravagante— o axiológico —base valorativa ajena a los criterios que informan el ordenamiento constitucional— conduzcan a soluciones opuestas a la orientación material de la norma, (iii) para aplicar el canon debe partirse de la motivación contenida en las resoluciones recurridas, de forma que cabrá apreciar una vulneración de este derecho cuando se constate que se ha hecho una interpretación analógica o cuando ello derive de la ausencia de motivación o fundamentación.</w:t>
      </w:r>
    </w:p>
    <w:p w:rsidR="0026452D" w:rsidRDefault="0026452D" w:rsidP="0026452D">
      <w:pPr>
        <w:pStyle w:val="TextoNormal"/>
      </w:pPr>
    </w:p>
    <w:p w:rsidR="0026452D" w:rsidRDefault="0026452D" w:rsidP="0026452D">
      <w:pPr>
        <w:pStyle w:val="TextoNormal"/>
      </w:pPr>
      <w:r>
        <w:t>Pues bien, como quiera que la motivación de la resolución sancionadora no responde a una argumentación lógica que permita subsumir la conducta en el tipo pues, una vez aportado nombre y dos apellidos y domicilio, no cabe concluir que se facilitó una identidad no veraz o falsa sobre todo cuando ni siquiera se intentó practicar notificación, y que tampoco lo hace la Sentencia, que se limita a hacer suya la argumentación de la resolución impugnada, añadiendo la facilidad que tenía la propietaria del vehículo para obtener este dato de quien tenía el mismo domicilio que ella, concluye señalando que se ha producido una vulneración del art. 25.1 CE no sólo por la subsunción realizada de la conducta en el tipo infractor sino, además, por la falta de motivación, que no puede reconducirse al art. 24.1 CE en la medida en que la reparación de la lesión solo cabría anulando definitivamente la resolución administrativa.</w:t>
      </w:r>
    </w:p>
    <w:p w:rsidR="0026452D" w:rsidRDefault="0026452D" w:rsidP="0026452D">
      <w:pPr>
        <w:pStyle w:val="TextoNormal"/>
      </w:pPr>
    </w:p>
    <w:p w:rsidR="0026452D" w:rsidRDefault="0026452D" w:rsidP="0026452D">
      <w:pPr>
        <w:pStyle w:val="TextoNormal"/>
      </w:pPr>
      <w:r>
        <w:t xml:space="preserve">En cuanto a la lesión del derecho a la presunción de inocencia, entiende el Ministerio Fiscal que no ha habido prueba de cargo alguna dirigida a demostrar que la identificación no era veraz, por lo que no cabe enervar la presunción de inocencia de la recurrente que se </w:t>
      </w:r>
      <w:r>
        <w:lastRenderedPageBreak/>
        <w:t>ha visto lesionada, tanto por la resolución administrativa, como por la Sentencia que la confirma. Rechaza, finalmente, la lesión del derecho fundamental a la igualdad en la aplicación de la ley por cuanto no se habría aportado ningún término válido de comparación que permita llevar a cabo el juicio de igualdad. Solicita, en consecuencia, que se declare la vulneración del derecho a la legalidad sancionadora y a la presunción de inocencia y se anulen tanto la resolución sancionadora como la Sentencia del Juzgado de lo Contencioso-Administrativo núm. 1 de Madrid.</w:t>
      </w:r>
    </w:p>
    <w:p w:rsidR="0026452D" w:rsidRDefault="0026452D" w:rsidP="0026452D">
      <w:pPr>
        <w:pStyle w:val="TextoNormal"/>
      </w:pPr>
    </w:p>
    <w:p w:rsidR="0026452D" w:rsidRDefault="0026452D" w:rsidP="0026452D">
      <w:pPr>
        <w:pStyle w:val="TextoNormal"/>
      </w:pPr>
      <w:r w:rsidRPr="0026452D">
        <w:rPr>
          <w:rStyle w:val="NumeroAFNegritaCaracter"/>
        </w:rPr>
        <w:t>7</w:t>
      </w:r>
      <w:r>
        <w:t>. Por providencia de fecha veintiuno de febrero de dos mil trece, se señaló para deliberación y fallo el día veinticinco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Este recurso de amparo se dirige contra la resolución sancionadora de 16 de julio de 2009, del Director General de movilidad del Ayuntamiento de Madrid, y contra la Sentencia del Juzgado de lo Contencioso-Administrativo núm. 1 de Madrid, de fecha 18 de noviembre de 2011, dictada en el procedimiento abreviado 861-2009. La demandante de amparo invoca la lesión del derecho a la legalidad sancionadora (art. 25.1 CE), de la presunción de inocencia (art. 24.2 CE) y, finalmente, de igualdad en la aplicación de la ley (art. 14 CE). La representación letrada del Ayuntamiento descarta que se hayan producido todas y cada una de las vulneraciones denunciadas, mientras que el Ministerio Fiscal considera que la resolución administrativa y la Sentencia, al haber confirmado la resolución sancionadora, han vulnerado los derechos fundamentales consagrados en los arts. 25.1 y 24.1 ambos de la Constitución.</w:t>
      </w:r>
    </w:p>
    <w:p w:rsidR="0026452D" w:rsidRDefault="0026452D" w:rsidP="0026452D">
      <w:pPr>
        <w:pStyle w:val="TextoNormal"/>
      </w:pPr>
    </w:p>
    <w:p w:rsidR="0026452D" w:rsidRDefault="0026452D" w:rsidP="0026452D">
      <w:pPr>
        <w:pStyle w:val="TextoNormal"/>
      </w:pPr>
      <w:r w:rsidRPr="0026452D">
        <w:rPr>
          <w:rStyle w:val="NumeroAFNegritaCaracter"/>
        </w:rPr>
        <w:t>2</w:t>
      </w:r>
      <w:r>
        <w:t>. El presente caso presenta una total identidad con el recurso de amparo 827-2011 resuelto por este Tribunal en la STC 30/2013, de 11 de febrero, pues en ambos casos las circunstancias son idénticas: a) el demandante de amparo fue sancionado por la infracción consistente en el incumplimiento del deber que el art. 72.3 de la Ley sobre tráfico, circulación de vehículos a motor y seguridad vial, impone al titular de un vehículo a motor de suministrar a aquélla la identidad del conductor del mismo ante la denuncia de una infracción; b) ante el requerimiento de la Administración para que identificara al conductor responsable de la infracción, el titular del vehículo comunicó el nombre, apellidos y domicilio del supuesto responsable; estos datos fueron considerados insuficientes por la Administración que, en ambos casos, sancionó al titular del vehículo por incumplimiento del deber de identificación del conductor responsable de la infracción, al considerar indispensable la comunicación del número del documento nacional de identidad (DNI) o del permiso de conducir del responsable para cumplimentar la identificación requerida; c) no existe en el expediente administrativo constancia de actuación administrativa alguna tendente a comunicar con la persona identificada por la demandante que se hubiera frustrado por el desconocimiento del número del DNI o del permiso de conducir; d) la escueta motivación del acto administrativo no responde a una argumentación lógica que permitiera subsumir la conducta de la recurrente en el tipo aplicado, y e) la redacción de la norma vigente el momento de cometerse los hechos no exigía expresamente que se facilitaran esos concretos datos.</w:t>
      </w:r>
    </w:p>
    <w:p w:rsidR="0026452D" w:rsidRDefault="0026452D" w:rsidP="0026452D">
      <w:pPr>
        <w:pStyle w:val="TextoNormal"/>
      </w:pPr>
    </w:p>
    <w:p w:rsidR="0026452D" w:rsidRDefault="0026452D" w:rsidP="0026452D">
      <w:pPr>
        <w:pStyle w:val="TextoNormal"/>
      </w:pPr>
      <w:r>
        <w:t xml:space="preserve">Debemos, pues, otorgar el amparo estimando la vulneración del derecho a la legalidad sancionadora, con remisión a lo establecido en el fundamento jurídico 3 de la STC 30/2013, </w:t>
      </w:r>
      <w:r>
        <w:lastRenderedPageBreak/>
        <w:t>de 11 de febrero, que, a su vez, reitera lo establecido en la STC 111/2004, de 12 de julio, recordando que no sólo vulneran el principio de legalidad las resoluciones sancionadoras que se sustenten en una subsunción de los hechos ajena al significado posible de los términos de la norma aplicada, sino que también son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Constatada la lesión del derecho fundamental, no procede el análisis de las demás quejas aducidas en la demanda, puesto que la apreciación de la vulneración del art. 25 CE conlleva la declaración de nulidad de la resolución sancionadora recurrida.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doña Ana Fernández Martín y, en consecuencia:</w:t>
      </w:r>
    </w:p>
    <w:p w:rsidR="0026452D" w:rsidRDefault="0026452D" w:rsidP="0026452D">
      <w:pPr>
        <w:pStyle w:val="TextoNormal"/>
      </w:pPr>
    </w:p>
    <w:p w:rsidR="0026452D" w:rsidRDefault="0026452D" w:rsidP="0026452D">
      <w:pPr>
        <w:pStyle w:val="TextoNormal"/>
      </w:pPr>
      <w:r>
        <w:t>1º Reconocer su derecho fundamental a la legalidad sancionadora (art. 25.1 CE).</w:t>
      </w:r>
    </w:p>
    <w:p w:rsidR="0026452D" w:rsidRDefault="0026452D" w:rsidP="0026452D">
      <w:pPr>
        <w:pStyle w:val="TextoNormal"/>
      </w:pPr>
    </w:p>
    <w:p w:rsidR="0026452D" w:rsidRDefault="0026452D" w:rsidP="0026452D">
      <w:pPr>
        <w:pStyle w:val="TextoNormal"/>
      </w:pPr>
      <w:r>
        <w:t>2º Declarar la nulidad de la resolución sancionadora de 16 de julio de 2009, dictada por el Ayuntamiento de Madrid, así como de la Sentencia del Juzgado de lo Contencioso- Administrativo núm. 1 de Madrid, de fecha 18 de noviembre de 2011.</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veinticinco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49" w:name="SENTENCIA_2013_46"/>
      <w:r>
        <w:lastRenderedPageBreak/>
        <w:t>SENTENCIA 46/2013, de 28 de febrero de 2013</w:t>
      </w:r>
    </w:p>
    <w:bookmarkEnd w:id="49"/>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73, de 26 de marzo de 2013)</w:t>
      </w:r>
    </w:p>
    <w:p w:rsidR="0026452D" w:rsidRDefault="0026452D" w:rsidP="0026452D">
      <w:pPr>
        <w:pStyle w:val="TtuloBOE"/>
      </w:pPr>
    </w:p>
    <w:p w:rsidR="0026452D" w:rsidRDefault="0026452D" w:rsidP="0026452D">
      <w:pPr>
        <w:pStyle w:val="SntesisDescriptiva"/>
      </w:pPr>
      <w:r>
        <w:t>ECLI:ES:TC:2013:46</w:t>
      </w:r>
    </w:p>
    <w:p w:rsidR="0026452D" w:rsidRDefault="0026452D" w:rsidP="0026452D">
      <w:pPr>
        <w:pStyle w:val="SntesisDescriptiva"/>
      </w:pPr>
    </w:p>
    <w:p w:rsidR="0026452D" w:rsidRDefault="0026452D" w:rsidP="0026452D">
      <w:pPr>
        <w:pStyle w:val="SntesisDescriptiva"/>
      </w:pPr>
      <w:r>
        <w:t>Recurso de inconstitucionalidad 1174-2003. Interpuesto por el Presidente de Gobierno en relación con el artículo 17.1 de la Ley de la Asamblea de Extremadura 11/2002, de 12 de diciembre, de colegios y consejos de colegios profesionales de Extremadura.</w:t>
      </w:r>
    </w:p>
    <w:p w:rsidR="0026452D" w:rsidRDefault="0026452D" w:rsidP="0026452D">
      <w:pPr>
        <w:pStyle w:val="SntesisDescriptiva"/>
      </w:pPr>
    </w:p>
    <w:p w:rsidR="0026452D" w:rsidRDefault="0026452D" w:rsidP="0026452D">
      <w:pPr>
        <w:pStyle w:val="SntesisAnaltica"/>
      </w:pPr>
      <w:r>
        <w:t>Competencias sobre colegios profesionales: nulidad del precepto legal que establece los supuestos de colegiación obligatoria de los funcionarios públicos autonómicos (STC 3/2013).</w:t>
      </w:r>
    </w:p>
    <w:p w:rsidR="0026452D" w:rsidRDefault="0026452D" w:rsidP="0026452D">
      <w:pPr>
        <w:pStyle w:val="SntesisAnaltica"/>
      </w:pPr>
    </w:p>
    <w:p w:rsidR="0026452D" w:rsidRDefault="0026452D" w:rsidP="0026452D">
      <w:pPr>
        <w:pStyle w:val="Extracto"/>
      </w:pPr>
      <w:r>
        <w:t>1.</w:t>
      </w:r>
      <w:r>
        <w:tab/>
        <w:t>El precepto autonómico impugnado, al eximir de la colegiación obligatoria a los empleados públicos cuando ejercen la profesión por cuenta de la Administración, establece una excepción no contemplada en la Ley estatal de colegios profesionales, lo que vulnera las competencias estatales, al ser competencia del Estado tanto el establecimiento de la colegiación obligatoria, como el establecimiento de las excepciones que afectan a los empleados públicos a la vista de los concretos intereses generales que puedan verse afectados [FJ 4].</w:t>
      </w:r>
    </w:p>
    <w:p w:rsidR="0026452D" w:rsidRDefault="0026452D" w:rsidP="0026452D">
      <w:pPr>
        <w:pStyle w:val="Extracto"/>
      </w:pPr>
    </w:p>
    <w:p w:rsidR="0026452D" w:rsidRDefault="0026452D" w:rsidP="0026452D">
      <w:pPr>
        <w:pStyle w:val="Extracto"/>
      </w:pPr>
      <w:r>
        <w:t>2.</w:t>
      </w:r>
      <w:r>
        <w:tab/>
        <w:t xml:space="preserve">El precepto impugnado contiene una excepción a la regla de la colegiación forzosa a los empleados públicos, cuando ejercen la profesión por cuenta de la Administración, que sirve como elemento definitorio de la institución colegial a la que se pertenece en razón de la actividad profesional que se realiza, por lo que debe quedar encuadrado en el título competencial de colegios profesionales, que ostenta el Estado </w:t>
      </w:r>
      <w:r w:rsidRPr="0026452D">
        <w:rPr>
          <w:i/>
        </w:rPr>
        <w:t>ex</w:t>
      </w:r>
      <w:r>
        <w:t xml:space="preserve"> art. 149.1.18 CE, siendo el de función pública meramente incidental al no tratarse de colegios profesionales integrados exclusivamente por funcionarios públicos (STC 3/2013) [FJ 3 a)].</w:t>
      </w:r>
    </w:p>
    <w:p w:rsidR="0026452D" w:rsidRDefault="0026452D" w:rsidP="0026452D">
      <w:pPr>
        <w:pStyle w:val="Extracto"/>
      </w:pPr>
    </w:p>
    <w:p w:rsidR="0026452D" w:rsidRDefault="0026452D" w:rsidP="0026452D">
      <w:pPr>
        <w:pStyle w:val="Extracto"/>
      </w:pPr>
      <w:r>
        <w:t>3.</w:t>
      </w:r>
      <w:r>
        <w:tab/>
        <w:t>La Ley de colegios profesionales, no contiene una excepción a la regla de la colegiación forzosa para los profesionales que ejercen su actividad al servicio de la Administración pública, cuando ésta resulte exigible, pues no distingue entre el ejercicio libre de la profesión y el ejercicio por cuenta ajena, por lo que el inciso impugnado que establece dicha excepción vulnera lo establecido en la citada Ley (STC 3/2013) [FJ 3 b)].</w:t>
      </w:r>
    </w:p>
    <w:p w:rsidR="0026452D" w:rsidRDefault="0026452D" w:rsidP="0026452D">
      <w:pPr>
        <w:pStyle w:val="Extracto"/>
      </w:pPr>
    </w:p>
    <w:p w:rsidR="0026452D" w:rsidRDefault="0026452D" w:rsidP="0026452D">
      <w:pPr>
        <w:pStyle w:val="Extracto"/>
      </w:pPr>
      <w:r>
        <w:t>4.</w:t>
      </w:r>
      <w:r>
        <w:tab/>
        <w:t>Forma parte de la competencia estatal del art. 149.1.18 CE la definición, a partir del tipo de colegiación, de los modelos posibles de colegios profesionales, pero también la determinación de las condiciones en que las Comunidades Autónomas pueden crear entidades corporativas de uno u otro tipo, pues el régimen forzoso o voluntario es una condición esencial de la conformación de cada colegio profesional (STC 3/2013) [FJ 3 c)].</w:t>
      </w:r>
    </w:p>
    <w:p w:rsidR="0026452D" w:rsidRDefault="0026452D" w:rsidP="0026452D">
      <w:pPr>
        <w:pStyle w:val="Extracto"/>
      </w:pPr>
    </w:p>
    <w:p w:rsidR="0026452D" w:rsidRDefault="0026452D" w:rsidP="0026452D">
      <w:pPr>
        <w:pStyle w:val="Extracto"/>
      </w:pPr>
      <w:r>
        <w:t>5.</w:t>
      </w:r>
      <w:r>
        <w:tab/>
        <w:t xml:space="preserve">La exigencia de la colegiación obligatoria para el ejercicio de una determinada profesión así como sus excepciones constituye una condición básica que garantiza </w:t>
      </w:r>
      <w:r>
        <w:lastRenderedPageBreak/>
        <w:t xml:space="preserve">la igualdad en el ejercicio de los derechos y deberes constitucionales, </w:t>
      </w:r>
      <w:r w:rsidRPr="0026452D">
        <w:rPr>
          <w:i/>
        </w:rPr>
        <w:t>ex</w:t>
      </w:r>
      <w:r>
        <w:t xml:space="preserve"> art. 149.1.1 CE, que guarda una relación directa con el derecho reconocido en el art. 35.1 CE y constituye una excepción, </w:t>
      </w:r>
      <w:r w:rsidRPr="0026452D">
        <w:rPr>
          <w:i/>
        </w:rPr>
        <w:t>ex</w:t>
      </w:r>
      <w:r>
        <w:t xml:space="preserve"> art. 36 CE, a la libertad de asociación para aquellos profesionales que se ven obligados a colegiarse (STC 3/2013) [FJ 3 d)].</w:t>
      </w:r>
    </w:p>
    <w:p w:rsidR="0026452D" w:rsidRDefault="0026452D" w:rsidP="0026452D">
      <w:pPr>
        <w:pStyle w:val="Extracto"/>
      </w:pPr>
    </w:p>
    <w:p w:rsidR="0026452D" w:rsidRDefault="0026452D" w:rsidP="0026452D">
      <w:pPr>
        <w:pStyle w:val="Extracto"/>
      </w:pPr>
      <w:r>
        <w:t>6.</w:t>
      </w:r>
      <w:r>
        <w:tab/>
        <w:t>Aplica la doctrina sobre la excepción a la colegiación obligatoria del personal al servicio de las Administraciones públicas, sentada en la STC 3/2013 [FFJJ 3, 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1174-2003, promovido por el Presidente de Gobierno contra el inciso “o para la realización de actividades propias de su profesión por cuenta de aquéllas” del art. 17.1 de la Ley de la Asamblea de Extremadura 11/2002, de 12 de diciembre, de colegios y consejos de colegios profesionales de Extremadura. Han sido parte la Asamblea de Extremadura y el Consejo de Gobierno de la Comunidad Autónoma de Extremadura. Ha sido Ponente el Presidente don Pascual Sala Sánchez,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Con fecha 28 de febrero de 2003 tuvo entrada en este Tribunal el recurso de inconstitucionalidad promovido por el Presidente del Gobierno, a través del Abogado del Estado, contra el inciso “o para la realización de actividades propias de su profesión por cuenta de aquéllas”, del art. 17.1 de la Ley 11/2002, de 12 de diciembre, de colegios y de consejos de colegios profesionales de Extremadura, publicada en el “Diario Oficial de Extremadura” el 28 del mismo mes y año. El recurso se fundamenta en las alegaciones que se exponen resumidamente a continuación.</w:t>
      </w:r>
    </w:p>
    <w:p w:rsidR="0026452D" w:rsidRDefault="0026452D" w:rsidP="0026452D">
      <w:pPr>
        <w:pStyle w:val="TextoNormal"/>
      </w:pPr>
    </w:p>
    <w:p w:rsidR="0026452D" w:rsidRDefault="0026452D" w:rsidP="0026452D">
      <w:pPr>
        <w:pStyle w:val="TextoNormal"/>
      </w:pPr>
      <w:r>
        <w:t xml:space="preserve">Tras señalar la relación existente entre el presente recurso y los planteados por el Estado contra la Ley de medidas del Parlamento de Andalucía 15/2001, y la Ley de Canarias 2/2002, de establecimiento de normas tributarias y medidas administrativas y de personal que establecen una exención de la obligación de colegiarse a los funcionarios públicos en términos similares al precepto aquí impugnado, afirma que el art. 17 de la Ley impugnada </w:t>
      </w:r>
      <w:r>
        <w:lastRenderedPageBreak/>
        <w:t>contiene dos excepciones a la regla general sobre el régimen de colegiación del art. 16.3, una primera para el ejercicio por los empleados públicos de sus funciones y, otra, para la realización de las actividades propias de su profesión siendo esta segunda inconstitucional. Mientras que las primeras son las típicas del ejercicio de las potestades administrativas, esto es, las funciones propias del puesto de trabajo que le corresponde en la organización administrativa, las segundas se refieren al ejercicio de una actividad profesional por cuenta de la Administración, sin que se especifique quiénes son los destinatarios de la actividad, lo que permite que un funcionario en el ámbito sanitario pueda ejercer su profesión sin estar colegiado.</w:t>
      </w:r>
    </w:p>
    <w:p w:rsidR="0026452D" w:rsidRDefault="0026452D" w:rsidP="0026452D">
      <w:pPr>
        <w:pStyle w:val="TextoNormal"/>
      </w:pPr>
    </w:p>
    <w:p w:rsidR="0026452D" w:rsidRDefault="0026452D" w:rsidP="0026452D">
      <w:pPr>
        <w:pStyle w:val="TextoNormal"/>
      </w:pPr>
      <w:r>
        <w:t xml:space="preserve">Considera que la incorporación al colegio o su exención es un elemento esencial de la ordenación del colegio profesional y que existen determinadas competencias que asisten al Estado a la hora de regular la materia de colegios profesionales, tanto por ser corporaciones de derecho público (art. 149.1.18 CE), como por tratarse la colegiación obligatoria de un requisito para el ejercicio de la profesión. La Comunidad de Extremadura tiene, por su parte, </w:t>
      </w:r>
      <w:r w:rsidRPr="0026452D">
        <w:rPr>
          <w:i/>
        </w:rPr>
        <w:t>ex</w:t>
      </w:r>
      <w:r>
        <w:t xml:space="preserve"> art. 8.6 del Estatuto de Autonomía aprobado por Ley Orgánica 1/1983, de 25 de febrero, competencia en materia de colegios profesionales y ejercicio de las profesiones tituladas en el marco de la legislación básica del Estado y en los términos que la misma establezca. Entiende que la competencia normativa básica que asiste al Estado alcanza la regulación de la colegiación obligatoria invocando, en apoyo de esta tesis, la STC 330/1994, cuyo fundamento jurídico 9 reproduce literalmente. Pero considera, además, que se trata de una condición básica que garantiza la igualdad de los derechos constitucionales pues la obligatoriedad incide directamente en el ejercicio del derecho a elegir profesión y afecta a los derechos de los destinatarios de los servicios profesionales.</w:t>
      </w:r>
    </w:p>
    <w:p w:rsidR="0026452D" w:rsidRDefault="0026452D" w:rsidP="0026452D">
      <w:pPr>
        <w:pStyle w:val="TextoNormal"/>
      </w:pPr>
    </w:p>
    <w:p w:rsidR="0026452D" w:rsidRDefault="0026452D" w:rsidP="0026452D">
      <w:pPr>
        <w:pStyle w:val="TextoNormal"/>
      </w:pPr>
      <w:r>
        <w:t>Una vez delimitada la competencia estatal, el Abogado del Estado considera que el inciso autonómico impugnado es contrario a la legislación estatal básica que, tras establecer la colegiación como requisito necesario para el ejercicio de las profesiones colegiadas, regula una excepción en el art. 1.3 de la Ley 2/1974 que afirma que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Esta excepción estaría limitada a los funcionarios que actúan dentro del ámbito de su función pública, bajo el régimen de organización, control y disciplina administrativa, pero no así cuando prestan servicios profesionales a los ciudadanos o terceros, pues su actividad se sale del ámbito de la Administración, y la función que desempeña el colegio profesional no puede ser sustituida por las funciones administrativas propias de su organización y funcionamiento.</w:t>
      </w:r>
    </w:p>
    <w:p w:rsidR="0026452D" w:rsidRDefault="0026452D" w:rsidP="0026452D">
      <w:pPr>
        <w:pStyle w:val="TextoNormal"/>
      </w:pPr>
    </w:p>
    <w:p w:rsidR="0026452D" w:rsidRDefault="0026452D" w:rsidP="0026452D">
      <w:pPr>
        <w:pStyle w:val="TextoNormal"/>
      </w:pPr>
      <w:r>
        <w:t>Así pues, en cuanto que el inciso impugnado exime de la colegiación a quienes ejercen su profesión por cuenta de la Administración siendo los terceros o usuarios los destinatarios de la misma, es inconstitucional y así deber ser declarado por este Tribunal.</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Por providencia de la Sección Cuarta, de 29 de abril de 2003, se acordó admitir a trámite el recurso de inconstitucionalidad presentado por el Abogado del Estado en representación del Presidente del Gobierno y dar traslado de la demanda al Congreso de los Diputados y al Senado, a la Asamblea y al Consejo de Gobierno de la Junta de Extremadura al objeto de que en el plazo de quince días pudieran personarse en el proceso y formular las </w:t>
      </w:r>
      <w:r>
        <w:lastRenderedPageBreak/>
        <w:t>alegaciones que estimaran convenientes. Así mismo se acordó la publicación de la incoación del recurso en el “Boletín Oficial del Estado” y en el “Diario Oficial de Extremadura”.</w:t>
      </w:r>
    </w:p>
    <w:p w:rsidR="0026452D" w:rsidRDefault="0026452D" w:rsidP="0026452D">
      <w:pPr>
        <w:pStyle w:val="TextoNormal"/>
      </w:pPr>
    </w:p>
    <w:p w:rsidR="0026452D" w:rsidRDefault="0026452D" w:rsidP="0026452D">
      <w:pPr>
        <w:pStyle w:val="TextoNormal"/>
      </w:pPr>
      <w:r w:rsidRPr="0026452D">
        <w:rPr>
          <w:rStyle w:val="NumeroAFNegritaCaracter"/>
        </w:rPr>
        <w:t>3</w:t>
      </w:r>
      <w:r>
        <w:t>. El 16 de mayo de 2003 tuvo entrada en este Tribunal escrito de la Presidenta del Congreso de los Diputados en el que se comunica que el Congreso no se personará en el proceso ni formulará alegaciones. El 23 del mismo mes y año tuvo entrada en el Registro General del Tribunal Constitucional escrito del Presidente del Senado comunicando el acuerdo de la Mesa, del día 9 anterior, consistente en “dar por personada a esta Cámara en dicho procedimiento y por ofrecida su colaboración a los efectos del art. 88.1 de la LOTC”.</w:t>
      </w:r>
    </w:p>
    <w:p w:rsidR="0026452D" w:rsidRDefault="0026452D" w:rsidP="0026452D">
      <w:pPr>
        <w:pStyle w:val="TextoNormal"/>
      </w:pPr>
    </w:p>
    <w:p w:rsidR="0026452D" w:rsidRDefault="0026452D" w:rsidP="0026452D">
      <w:pPr>
        <w:pStyle w:val="TextoNormal"/>
      </w:pPr>
      <w:r w:rsidRPr="0026452D">
        <w:rPr>
          <w:rStyle w:val="NumeroAFNegritaCaracter"/>
        </w:rPr>
        <w:t>4</w:t>
      </w:r>
      <w:r>
        <w:t>. Por escrito con registro de entrada en el Tribunal Constitucional el 26 de mayo de 2003, la Asamblea de Extremadura formuló sus alegaciones que son, en esencia, las siguientes. La ley y el inciso impugnado se han dictado al amparo de las competencias autonómicas de desarrollo legislativo en materia de colegios profesionales y ejercicio de las profesiones tituladas. Su contenido se ajusta la legislación básica, pues el art. 16.3 de la Ley extremeña solo establece la obligación de colegiarse para el ejercicio privado de las profesiones pero no para cuando se ejercen por cuenta de la administración, lo que es coherente con la excepción contemplada en la ley estatal que excluye, en su opinión, a los empleados públicos cuando actúan exclusivamente por cuenta de la administración con independencia de quiénes sean los destinatarios de la actividad. Cita en apoyo de esta interpretación las SSTC 69/1985 y 131/1989. Por lo expuesto, el Letrado de la Asamblea de Extremadura solicita la desestimación del recurso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5</w:t>
      </w:r>
      <w:r>
        <w:t>. El día 28 de mayo de 2003, el Letrado de la Junta de Extremadura, en la representación que por el ministerio de la ley ostenta, presentó en el registro del Tribunal Constitucional el escrito de alegaciones que se exponen a continuación.</w:t>
      </w:r>
    </w:p>
    <w:p w:rsidR="0026452D" w:rsidRDefault="0026452D" w:rsidP="0026452D">
      <w:pPr>
        <w:pStyle w:val="TextoNormal"/>
      </w:pPr>
    </w:p>
    <w:p w:rsidR="0026452D" w:rsidRDefault="0026452D" w:rsidP="0026452D">
      <w:pPr>
        <w:pStyle w:val="TextoNormal"/>
      </w:pPr>
      <w:r>
        <w:t>Tras resumir la doctrina constitucional sobre competencias estatales y autonómicas en materia de colegios profesionales y profesiones tituladas, sienta una serie de conclusiones. En primer lugar que el Tribunal Constitucional se ha pronunciado en reiteradas ocasiones negando que la colegiación obligatoria vulnere el derecho a la libertad de asociación o de sindicación. En segundo lugar, que la doctrina constitucional ha reconocido que el personal de las Administraciones públicas puede estar exceptuado del requisito de la colegiación obligatoria sin que por ello se vulnere el art. 14 CE. En tercer lugar, que corresponde al legislador y a la Administración pública competente en razón de la relación funcionarial determinar en qué condiciones eximir, por tratarse de un ejercicio profesional al servicio de la propia administración, del requisito mencionado. Por ello debe corresponder a la Comunidad Autónoma decidir si sus funcionarios deben quedar sometidos a la organización colegial o, si por el contrario, las facultades que ejercen por delegación los colegios profesionales son avocadas y ejercitadas directamente por la Administración.</w:t>
      </w:r>
    </w:p>
    <w:p w:rsidR="0026452D" w:rsidRDefault="0026452D" w:rsidP="0026452D">
      <w:pPr>
        <w:pStyle w:val="TextoNormal"/>
      </w:pPr>
    </w:p>
    <w:p w:rsidR="0026452D" w:rsidRDefault="0026452D" w:rsidP="0026452D">
      <w:pPr>
        <w:pStyle w:val="TextoNormal"/>
      </w:pPr>
      <w:r>
        <w:t>Niega, finalmente, la interpretación que del art. 1.3 de la Ley estatal 2/1974 realiza la Abogacía del Estado, pues considera que la excepción afecta en todo caso a quienes realizan sus funciones profesionales en el seno de la propia Administración delegante, invocando a favor de esta interpretación la STC 131/1989 que, según alega, permitiría que el requisito de colegiación pudiera ser eximido sin tener en cuenta a quiénes va destinada su actividad.</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6</w:t>
      </w:r>
      <w:r>
        <w:t>. Por providencia de 26 de febrero de 2013 se señaló para deliberación y votación de la presente Sentencia el día 28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interpone por el Presidente del Gobierno contra el inciso del art. 17.1 de la Ley de la Asamblea de Extremadura 11/2002, de 12 de diciembre, cuyo tenor es el siguiente: “o para la realización de actividades propias de su profesión por cuenta de aquéllas”. El Abogado del Estado considera que este inciso, en cuanto que exime de la colegiación forzosa a los empleados públicos que realizan actividades propias de una profesión colegiada por cuenta de la Administración cuando sus destinatarios son ciudadanos o terceros, vulnera la competencia estatal para determinar los supuestos de colegiación obligatoria y sus excepciones, y la regulación estatal dictada en esta materia.</w:t>
      </w:r>
    </w:p>
    <w:p w:rsidR="0026452D" w:rsidRDefault="0026452D" w:rsidP="0026452D">
      <w:pPr>
        <w:pStyle w:val="TextoNormal"/>
      </w:pPr>
    </w:p>
    <w:p w:rsidR="0026452D" w:rsidRDefault="0026452D" w:rsidP="0026452D">
      <w:pPr>
        <w:pStyle w:val="TextoNormal"/>
      </w:pPr>
      <w:r>
        <w:t>Tanto la representación de la Asamblea de Extremadura como del Consejo de Gobierno de la citada Comunidad Autónoma niegan que el inciso del precepto mencionado incurra en la infracción constitucional que se le imputa, pues afirman la competencia de la Comunidad Autónoma para eximir a su funcionarios de la colegiación forzosa cuando realizan sus actividades profesionales por cuenta de la Administración y, en todo caso, entienden que la exención, por la legislación estatal, de la exigencia de colegiación a los funcionarios, no discrimina, a estos efectos, entre quiénes son los destinatarios últimos de los servicios profesionales que realizan los empleados públicos, pues lo definitivo es que actúan dentro del ámbito de la función pública y bajo el régimen de organización, control y disciplina administrativa.</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abordar el examen de fondo de la impugnación planteada, resulta necesario reseñar las modificaciones normativas que se han producido desde la interposición del recurso de inconstitucionalidad, pues el control de las normas que incurren en un posible exceso competencial debe hacerse de acuerdo con las normas del bloque de la constitucionalidad vigente en el momento de dictar sentencia (por todas STC 5/2012, de 17 de enero, FJ 3).</w:t>
      </w:r>
    </w:p>
    <w:p w:rsidR="0026452D" w:rsidRDefault="0026452D" w:rsidP="0026452D">
      <w:pPr>
        <w:pStyle w:val="TextoNormal"/>
      </w:pPr>
    </w:p>
    <w:p w:rsidR="0026452D" w:rsidRDefault="0026452D" w:rsidP="0026452D">
      <w:pPr>
        <w:pStyle w:val="TextoNormal"/>
      </w:pPr>
      <w:r>
        <w:t>El Estatuto de Autonomía extremeño ha sido modificado por la Ley Orgánica 1/2011, de 28 de enero, de reforma del Estatuto de Autonomía de la Comunidad Autónoma de Extremadura. Ahora, el art. 9.11 incluye, entre las competencias exclusivas de la Comunidad Autónoma, la relativa a colegios profesionales y ejercicio de las profesiones tituladas, aunque debe tenerse en cuenta, a los efectos de interpretar qué debe entenderse por competencia exclusiva, lo establecido en el art. 8.1 de esta misma ley orgánica cuando señala que “dichas competencias comprenderán las funciones que en cada caso procedan, sin perjuicio de las que pudieran corresponder al Estado en virtud de títulos competenciales propios previstos en la Constitución” y lo afirmado al respecto en el fundamento jurídico 64 de la STC 31/2010, de 28 de junio.</w:t>
      </w:r>
    </w:p>
    <w:p w:rsidR="0026452D" w:rsidRDefault="0026452D" w:rsidP="0026452D">
      <w:pPr>
        <w:pStyle w:val="TextoNormal"/>
      </w:pPr>
    </w:p>
    <w:p w:rsidR="0026452D" w:rsidRDefault="0026452D" w:rsidP="0026452D">
      <w:pPr>
        <w:pStyle w:val="TextoNormal"/>
      </w:pPr>
      <w:r>
        <w:t xml:space="preserve">Por otra parte, la Ley estatal 2/1974, de 13 de febrero, de Colegios profesionales y, en concreto su art. 1.3, que invoca el Abogado del Estado como norma básica de contraste, ha sido modificado por el art. 5 de la Ley 25/2009, de 22 de diciembre, de modificación de </w:t>
      </w:r>
      <w:r>
        <w:lastRenderedPageBreak/>
        <w:t>diversas leyes para su adaptación a la Ley sobre el libre acceso a las actividades de servicios y su ejercicio.</w:t>
      </w:r>
    </w:p>
    <w:p w:rsidR="0026452D" w:rsidRDefault="0026452D" w:rsidP="0026452D">
      <w:pPr>
        <w:pStyle w:val="TextoNormal"/>
      </w:pPr>
    </w:p>
    <w:p w:rsidR="0026452D" w:rsidRDefault="0026452D" w:rsidP="0026452D">
      <w:pPr>
        <w:pStyle w:val="TextoNormal"/>
      </w:pPr>
      <w:r w:rsidRPr="0026452D">
        <w:rPr>
          <w:rStyle w:val="NumeroAFNegritaCaracter"/>
        </w:rPr>
        <w:t>3</w:t>
      </w:r>
      <w:r>
        <w:t>. El presente recurso guarda una íntima conexión con el recurso de inconstitucionalidad núm. 1893-2002. En él se impugnó por el Abogado del Estado el inciso “o para la realización de actividades propias de su profesión por cuenta de aquellas” incluido en el art. 30.2 de la Ley 15/2001, de 26 de diciembre, del Parlamento de Andalucía, el cual contenía una excepción a la colegiación forzosa de los empleados públicos idéntica a la impugnada en este recurso de inconstitucionalidad. En consecuencia, debemos remitirnos para resolver la cuestión planteada a la STC 3/2013, de 17 de enero, cuyas apreciaciones y conclusiones resumimos a continuación:</w:t>
      </w:r>
    </w:p>
    <w:p w:rsidR="0026452D" w:rsidRDefault="0026452D" w:rsidP="0026452D">
      <w:pPr>
        <w:pStyle w:val="TextoNormal"/>
      </w:pPr>
    </w:p>
    <w:p w:rsidR="0026452D" w:rsidRDefault="0026452D" w:rsidP="0026452D">
      <w:pPr>
        <w:pStyle w:val="TextoNormal"/>
      </w:pPr>
      <w:r>
        <w:t>a) El inciso impugnado contiene una excepción a la regla de la colegiación forzosa que sirve como elemento definitorio de la institución colegial a la que se pertenece en razón de la actividad profesional que se realiza. Por ello, debe quedar encuadrado en el título competencial de colegios profesionales, siendo el de función pública meramente incidental al no tratarse de colegios profesionales integrados exclusivamente por funcionarios públicos. La competencia del Estado para regular los colegios profesionales le viene dada por el art. 149.1.18 CE, que le permite fijar los principios y reglas básicas de este tipo de entidades corporativas (FJ 5).</w:t>
      </w:r>
    </w:p>
    <w:p w:rsidR="0026452D" w:rsidRDefault="0026452D" w:rsidP="0026452D">
      <w:pPr>
        <w:pStyle w:val="TextoNormal"/>
      </w:pPr>
    </w:p>
    <w:p w:rsidR="0026452D" w:rsidRDefault="0026452D" w:rsidP="0026452D">
      <w:pPr>
        <w:pStyle w:val="TextoNormal"/>
      </w:pPr>
      <w:r>
        <w:t>b) El art. 1.3 de la Ley 2/1974, de 13 de febrero, de colegios profesionales, no contiene una excepción a la regla de la colegiación forzosa para los profesionales que ejercen su actividad al servicio de la Administración pública, cuando ésta resulte exigible, pues ello no se desprende del tenor literal del precepto, ni obedece al concepto de colegio profesional que acogió la Ley 2/1974, y hoy se mantiene para los de colegiación obligatoria, un modelo basado en la encomienda a los profesionales, por su experiencia y pericia, de las funciones públicas sobre la profesión, sin distinguir entre el ejercicio libre de la profesión y el ejercicio por cuenta ajena. En consecuencia, el inciso impugnado vulnera lo establecido en el art. 3.2 de la Ley 2/1974, de 13 de febrero, que exige la colegiación forzosa para el ejercicio de las profesiones que determine una ley del Estado (FJ 6).</w:t>
      </w:r>
    </w:p>
    <w:p w:rsidR="0026452D" w:rsidRDefault="0026452D" w:rsidP="0026452D">
      <w:pPr>
        <w:pStyle w:val="TextoNormal"/>
      </w:pPr>
    </w:p>
    <w:p w:rsidR="0026452D" w:rsidRDefault="0026452D" w:rsidP="0026452D">
      <w:pPr>
        <w:pStyle w:val="TextoNormal"/>
      </w:pPr>
      <w:r>
        <w:t>c) Forma parte de la competencia estatal del art. 149.1.18 CE la definición, a partir del tipo de colegiación, de los modelos posibles de colegios profesionales pero, también, la determinación de las condiciones en que las Comunidades Autónomas pueden crear entidades corporativas de uno u otro tipo pues el régimen forzoso o voluntario es una condición esencial de la conformación de cada colegio profesional (FJ 7).</w:t>
      </w:r>
    </w:p>
    <w:p w:rsidR="0026452D" w:rsidRDefault="0026452D" w:rsidP="0026452D">
      <w:pPr>
        <w:pStyle w:val="TextoNormal"/>
      </w:pPr>
    </w:p>
    <w:p w:rsidR="0026452D" w:rsidRDefault="0026452D" w:rsidP="0026452D">
      <w:pPr>
        <w:pStyle w:val="TextoNormal"/>
      </w:pPr>
      <w:r>
        <w:t xml:space="preserve">d) La exigencia de la colegiación obligatoria para el ejercicio de una determinada profesión, y en consecuencia sus excepciones, constituye, además, una condición básica que garantiza la igualdad en el ejercicio de los derechos y deberes constitucionales </w:t>
      </w:r>
      <w:r w:rsidRPr="0026452D">
        <w:rPr>
          <w:i/>
        </w:rPr>
        <w:t>ex</w:t>
      </w:r>
      <w:r>
        <w:t xml:space="preserve"> art. 149.1.1 CE. Guarda una relación directa, inmediata y estrecha con el derecho reconocido en el art. 35.1 CE en el que incide de forma directa y profunda y constituye una excepción, amparada en el art. 36 CE, a la libertad de asociación para aquellos profesionales que, para poder hacer efectivo el derecho a la libertad de elección y ejercicio profesional, se ven obligados a colegiarse y, por tanto, a formar parte de una entidad corporativa asumiendo los derechos y deberes que se imponen a su miembros y a no abandonarla en tanto en cuanto sigan ejerciendo la profesión (FJ 8).</w:t>
      </w:r>
    </w:p>
    <w:p w:rsidR="0026452D" w:rsidRDefault="0026452D" w:rsidP="0026452D">
      <w:pPr>
        <w:pStyle w:val="TextoNormal"/>
      </w:pPr>
    </w:p>
    <w:p w:rsidR="0026452D" w:rsidRDefault="0026452D" w:rsidP="0026452D">
      <w:pPr>
        <w:pStyle w:val="TextoNormal"/>
      </w:pPr>
      <w:r w:rsidRPr="0026452D">
        <w:rPr>
          <w:rStyle w:val="NumeroAFNegritaCaracter"/>
        </w:rPr>
        <w:t>4</w:t>
      </w:r>
      <w:r>
        <w:t>. En conclusión, el inciso impugnado, al eximir de la colegiación obligatoria a los empleados públicos, cuando ejercen la profesión por cuenta de la Administración, establece una excepción no contemplada en la Ley estatal de colegios profesionales. Siendo competente el Estado para establecer la colegiación obligatoria, lo es también para establecer las excepciones que afectan a los empleados públicos a la vista de los concretos intereses generales que puedan verse afectados, motivo por el cual debemos declarar que el inciso impugnado ha vulnerado las competencias estatales, y, por tanto, es inconstitucional y nulo.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el recurso de inconstitucionalidad núm. 1174-2003 interpuesto por el Presidente del Gobierno contra el inciso “o para la realización de actividades propias de su profesión por cuenta de aquéllas” del art. 17.1 de la Ley del Parlamento de Extremadura 11/2002, de 12 de diciembre, de colegios y consejos de colegios profesionales de Extremadura, y, en consecuencia, declarar su inconstitucionalidad y nulidad.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veintiocho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50" w:name="SENTENCIA_2013_47"/>
      <w:r>
        <w:lastRenderedPageBreak/>
        <w:t>SENTENCIA 47/2013, de 28 de febrero de 2013</w:t>
      </w:r>
    </w:p>
    <w:bookmarkEnd w:id="50"/>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73, de 26 de marzo de 2013)</w:t>
      </w:r>
    </w:p>
    <w:p w:rsidR="0026452D" w:rsidRDefault="0026452D" w:rsidP="0026452D">
      <w:pPr>
        <w:pStyle w:val="TtuloBOE"/>
      </w:pPr>
    </w:p>
    <w:p w:rsidR="0026452D" w:rsidRDefault="0026452D" w:rsidP="0026452D">
      <w:pPr>
        <w:pStyle w:val="SntesisDescriptiva"/>
      </w:pPr>
      <w:r>
        <w:t>ECLI:ES:TC:2013:47</w:t>
      </w:r>
    </w:p>
    <w:p w:rsidR="0026452D" w:rsidRDefault="0026452D" w:rsidP="0026452D">
      <w:pPr>
        <w:pStyle w:val="SntesisDescriptiva"/>
      </w:pPr>
    </w:p>
    <w:p w:rsidR="0026452D" w:rsidRDefault="0026452D" w:rsidP="0026452D">
      <w:pPr>
        <w:pStyle w:val="SntesisDescriptiva"/>
      </w:pPr>
      <w:r>
        <w:t>Conflicto positivo de competencia 6328-2003. Interpuesto por el Gobierno de la Generalitat de Cataluña respecto del Real Decreto 828/2003, de 27 de junio, por el que se establecen los aspectos educativos básicos de la educación preescolar.</w:t>
      </w:r>
    </w:p>
    <w:p w:rsidR="0026452D" w:rsidRDefault="0026452D" w:rsidP="0026452D">
      <w:pPr>
        <w:pStyle w:val="SntesisDescriptiva"/>
      </w:pPr>
    </w:p>
    <w:p w:rsidR="0026452D" w:rsidRDefault="0026452D" w:rsidP="0026452D">
      <w:pPr>
        <w:pStyle w:val="SntesisAnaltica"/>
      </w:pPr>
      <w:r>
        <w:t>Competencias sobre educación y asistencia social: constitucionalidad de los preceptos reglamentarios estatales relativos a la educación infantil (STC 184/2012).</w:t>
      </w:r>
    </w:p>
    <w:p w:rsidR="0026452D" w:rsidRDefault="0026452D" w:rsidP="0026452D">
      <w:pPr>
        <w:pStyle w:val="SntesisAnaltica"/>
      </w:pPr>
    </w:p>
    <w:p w:rsidR="0026452D" w:rsidRDefault="0026452D" w:rsidP="0026452D">
      <w:pPr>
        <w:pStyle w:val="Extracto"/>
      </w:pPr>
      <w:r>
        <w:t>1.</w:t>
      </w:r>
      <w:r>
        <w:tab/>
        <w:t>La cuestión planteada en el presente procedimiento ha de reputarse resuelta por la doctrina que este Tribunal que establece que el carácter asistencial y no educativo de la etapa preescolar no excluye la competencia estatal de ordenación del sistema educativo del que, indudablemente, forma parte esa etapa (STC 184/2012)  [FJ 3].</w:t>
      </w:r>
    </w:p>
    <w:p w:rsidR="0026452D" w:rsidRDefault="0026452D" w:rsidP="0026452D">
      <w:pPr>
        <w:pStyle w:val="Extracto"/>
      </w:pPr>
    </w:p>
    <w:p w:rsidR="0026452D" w:rsidRDefault="0026452D" w:rsidP="0026452D">
      <w:pPr>
        <w:pStyle w:val="Extracto"/>
      </w:pPr>
      <w:r>
        <w:t>2.</w:t>
      </w:r>
      <w:r>
        <w:tab/>
        <w:t>El reconocimiento del carácter educativo de la etapa de educación preescolar es motivo suficiente para reconocer que el Estado está competencialmente habilitado para, en el ejercicio de sus competencias en materia de educación, determinar la titulación académica que ha de reunir el profesorado encargado de impartir las enseñanzas propias de dicha etapa educativa (SSTC 184/2012, 3/2013)  [FFJJ 3, 4].</w:t>
      </w:r>
    </w:p>
    <w:p w:rsidR="0026452D" w:rsidRDefault="0026452D" w:rsidP="0026452D">
      <w:pPr>
        <w:pStyle w:val="Extracto"/>
      </w:pPr>
    </w:p>
    <w:p w:rsidR="0026452D" w:rsidRDefault="0026452D" w:rsidP="0026452D">
      <w:pPr>
        <w:pStyle w:val="Extracto"/>
      </w:pPr>
      <w:r>
        <w:t>3.</w:t>
      </w:r>
      <w:r>
        <w:tab/>
        <w:t xml:space="preserve">Aplica la doctrina del </w:t>
      </w:r>
      <w:r w:rsidRPr="0026452D">
        <w:rPr>
          <w:i/>
        </w:rPr>
        <w:t>ius superveniens</w:t>
      </w:r>
      <w:r>
        <w:t xml:space="preserve"> de la STC 134/2011 [FJ 2 b)].</w:t>
      </w:r>
    </w:p>
    <w:p w:rsidR="0026452D" w:rsidRDefault="0026452D" w:rsidP="0026452D">
      <w:pPr>
        <w:pStyle w:val="Extracto"/>
      </w:pPr>
    </w:p>
    <w:p w:rsidR="0026452D" w:rsidRDefault="0026452D" w:rsidP="0026452D">
      <w:pPr>
        <w:pStyle w:val="Extracto"/>
      </w:pPr>
      <w:r>
        <w:t>4.</w:t>
      </w:r>
      <w:r>
        <w:tab/>
        <w:t>Doctrina sobre la pervivencia del objeto pese a la derogación de la norma en procesos constitucionales de naturaleza competencial cuando perviva la controversia competencial (SSTC 147/1998, 194/2012) [FJ 2 a)].</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conflicto positivo de competencia núm. 6328-2003 interpuesto por el Gobierno de la Generalitat de Cataluña contra el Real Decreto 828/2003, de 27 de junio, por el que se establecen los aspectos educativos básicos de la educación preescolar. Ha formulado alegaciones el Abogado del Estado. Ha sido Ponente el Magistrado don Ramón Rodríguez Arribas,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el Registro General de este Tribunal Constitucional el día 24 de octubre de 2003, la Letrada de la Generalitat de Cataluña, en la representación que legalmente ostenta, promueve conflicto positivo de competencia contra el Real Decreto 828/2003, de 27 de junio, por el que se establecen los aspectos educativos básicos de la educación preescolar.</w:t>
      </w:r>
    </w:p>
    <w:p w:rsidR="0026452D" w:rsidRDefault="0026452D" w:rsidP="0026452D">
      <w:pPr>
        <w:pStyle w:val="TextoNormal"/>
      </w:pPr>
    </w:p>
    <w:p w:rsidR="0026452D" w:rsidRDefault="0026452D" w:rsidP="0026452D">
      <w:pPr>
        <w:pStyle w:val="TextoNormal"/>
      </w:pPr>
      <w:r>
        <w:t>El conflicto se fundamenta en los motivos que, resumidamente, se exponen a continuación:</w:t>
      </w:r>
    </w:p>
    <w:p w:rsidR="0026452D" w:rsidRDefault="0026452D" w:rsidP="0026452D">
      <w:pPr>
        <w:pStyle w:val="TextoNormal"/>
      </w:pPr>
    </w:p>
    <w:p w:rsidR="0026452D" w:rsidRDefault="0026452D" w:rsidP="0026452D">
      <w:pPr>
        <w:pStyle w:val="TextoNormal"/>
      </w:pPr>
      <w:r>
        <w:t>La Letrada de la Generalitat de Cataluña, tras hacer referencia al cumplimiento de los trámites preceptivos para el planteamiento del conflicto, comienza señalando que la impugnación del Real Decreto 828/2003 se sustenta en los mismos criterios que determinaron el planteamiento de recurso de inconstitucionalidad frente a la Ley Orgánica 10/2002, de 23 de diciembre, de calidad de la educación. Señala que la educación preescolar no forma parte de las enseñanzas escolares, suponiendo la nueva orientación un cambio sustancial respecto del sistema de la Ley Orgánica 1/1990, de 3 de octubre, de ordenación general del sistema educativo. Así, en la medida en que la propia Ley Orgánica de calidad de la educación no ha incluido la educación preescolar entre las enseñanzas escolares, dicha educación tiene un carácter asistencial que excluye la aplicación del art. 149.1.1 y 30 CE, debiendo incardinarse su normativa en la materia de “asistencia social”, competencia exclusiva de la Generalitat, conforme al art. 9.25 del Estatuto de Autonomía de Cataluña. La demanda rechaza que el Real Decreto 828/2003 pueda sustentarse en el art. 149.1.1 y 30 CE. En cuanto al art. 149.1.1 CE, no puede configurarse como título aplicable en esta materia (con cita de la STC 188/2001, de 20 de septiembre). Por lo que respecta al art. 149.1.30 CE señala que este título competencial no permite al Estado adoptar una normativa como la impugnada en la medida que estas enseñanzas no forman parte del sistema educativo al tener un carácter principalmente asistencial, tal como resulta del preámbulo y del art. 7 de la Ley Orgánica de calidad de la educación. La Letrada de la Generalitat de Cataluña entiende justificada la referencia del art. 10 de esta Ley Orgánica a los componentes educativos de la etapa pero, más allá de dicha determinación, de la necesaria cualificación de los profesionales, del carácter voluntario y de la necesidad de que las administraciones educativas garanticen una oferta suficiente, entiende que no hay otros aspectos educativos que puedan ser establecidos como básicos por el Estado.</w:t>
      </w:r>
    </w:p>
    <w:p w:rsidR="0026452D" w:rsidRDefault="0026452D" w:rsidP="0026452D">
      <w:pPr>
        <w:pStyle w:val="TextoNormal"/>
      </w:pPr>
    </w:p>
    <w:p w:rsidR="0026452D" w:rsidRDefault="0026452D" w:rsidP="0026452D">
      <w:pPr>
        <w:pStyle w:val="TextoNormal"/>
      </w:pPr>
      <w:r>
        <w:t xml:space="preserve">Por ello, argumenta que la intervención estatal en esta etapa ha de limitarse a los principios ya previstos en la Ley Orgánica de calidad de la educación, correspondiendo a la Generalitat de Cataluña, en el ejercicio de sus competencias en materia de asistencia social, </w:t>
      </w:r>
      <w:r>
        <w:lastRenderedPageBreak/>
        <w:t>establecer los requisitos de los profesionales que presten atención a los niños así como los requisitos de los centros, en cuanto que tales cuestiones se inscriben también, en el ámbito competencial de la asistencia social. Recuerda al respecto los criterios de la doctrina constitucional en la materia para concluir que la regulación impugnada ha de encuadrarse en el conjunto de medidas promovidas por los poderes públicos para conciliar la vida familiar y laboral, quedando su carácter marcadamente asistencial confirmado por el Real Decreto 2217/1979, de 7 de septiembre, por el que se transfirieron a la Generalitat de Cataluña diversas competencias en materia de sanidad, y por el Real Decreto 2809/1980, de 3 de octubre, en relación con la transferencia de determinadas funciones y servicios en materia de educación preescolar.</w:t>
      </w:r>
    </w:p>
    <w:p w:rsidR="0026452D" w:rsidRDefault="0026452D" w:rsidP="0026452D">
      <w:pPr>
        <w:pStyle w:val="TextoNormal"/>
      </w:pPr>
    </w:p>
    <w:p w:rsidR="0026452D" w:rsidRDefault="0026452D" w:rsidP="0026452D">
      <w:pPr>
        <w:pStyle w:val="TextoNormal"/>
      </w:pPr>
      <w:r>
        <w:t>Finalmente, citando el art. 14 de la Ley Orgánica 8/1985, de 3 de julio, reguladora del derecho a la educación, el escrito de interposición del conflicto reconoce la facultad del Gobierno para, en el ejercicio de sus competencias básicas, determinar, entre otras cuestiones, la titulación académica del profesorado y los requisitos mínimos de las instalaciones, si bien entiende que esa misma competencia no le habilita para fijar cual debe ser la titulación académica de las personas que vayan a atender a niños menores de tres años ni para establecer los requisitos de los centros, ya que estamos en el ámbito de la asistencia social.</w:t>
      </w:r>
    </w:p>
    <w:p w:rsidR="0026452D" w:rsidRDefault="0026452D" w:rsidP="0026452D">
      <w:pPr>
        <w:pStyle w:val="TextoNormal"/>
      </w:pPr>
    </w:p>
    <w:p w:rsidR="0026452D" w:rsidRDefault="0026452D" w:rsidP="0026452D">
      <w:pPr>
        <w:pStyle w:val="TextoNormal"/>
      </w:pPr>
      <w:r>
        <w:t>Concluye la Letrada de la Generalitat de Cataluña señalando que la impugnación se refiere a la norma en su totalidad, puesto que su objeto exclusivo es la determinación de los requisitos básicos de los profesionales y de los requisitos mínimos de los centros, por lo que carecería de sentido impugnar únicamente los arts. 3, 4 y 5 y las disposiciones transitoria única y finales primera y segunda, admitiendo la competencia estatal para regular los principios generales, art. 1 y los ámbitos, art. 2, puesto que estos se limitan a reproducir los apartados 1 y 4 del art. 10 de la Ley Orgánica de calidad de la educación.</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la Sección Segunda del Tribunal Constitucional de 2 de diciembre de 2003 se acordó admitir a trámite el conflicto positivo de competencia en relación con el Real Decreto 828/2003, de 27 de junio, por el que se establecen los aspectos educativos básicos de la educación preescolar, dar traslado de la demanda y documentos presentados al Gobierno, por conducto de su Presidente, para que en el plazo de veinte días y, por medio de la representación procesal que determina el art. 82.2 de la Ley Orgánica del Tribunal Constitucional (LOTC), aporte cuantos documentos y alegaciones considere convenientes. Igualmente se acordó comunicar la incoación del conflicto a la Sala Tercera del Tribunal Supremo, por si ante la misma estuvieran impugnados o se impugnaren los citados preceptos, en cuyo caso se suspenderá el curso del proceso hasta la decisión del conflicto, según dispone el art. 61.2 LOTC, así como publicar la incoación del conflicto en el “Boletín Oficial del Estado” y en el “Diari Oficial de la Generalitat de Cataluña”.</w:t>
      </w:r>
    </w:p>
    <w:p w:rsidR="0026452D" w:rsidRDefault="0026452D" w:rsidP="0026452D">
      <w:pPr>
        <w:pStyle w:val="TextoNormal"/>
      </w:pPr>
    </w:p>
    <w:p w:rsidR="0026452D" w:rsidRDefault="0026452D" w:rsidP="0026452D">
      <w:pPr>
        <w:pStyle w:val="TextoNormal"/>
      </w:pPr>
      <w:r w:rsidRPr="0026452D">
        <w:rPr>
          <w:rStyle w:val="NumeroAFNegritaCaracter"/>
        </w:rPr>
        <w:t>3</w:t>
      </w:r>
      <w:r>
        <w:t>. El Abogado del Estado, en la representación que legalmente ostenta, se personó en el proceso por escrito registrado el día 30 de diciembre de 2003 instando la desestimación del conflicto conforme a los siguientes argumentos.</w:t>
      </w:r>
    </w:p>
    <w:p w:rsidR="0026452D" w:rsidRDefault="0026452D" w:rsidP="0026452D">
      <w:pPr>
        <w:pStyle w:val="TextoNormal"/>
      </w:pPr>
    </w:p>
    <w:p w:rsidR="0026452D" w:rsidRDefault="0026452D" w:rsidP="0026452D">
      <w:pPr>
        <w:pStyle w:val="TextoNormal"/>
      </w:pPr>
      <w:r>
        <w:t xml:space="preserve">El representante del Gobierno alude, en primer lugar, a que la educación preescolar tiene como finalidad primordial la atención educativa, sin excluir su carácter asistencial a la primera infancia, pues se vincula a factores y procesos evolutivos relacionados con las experiencias, el desarrollo y los aprendizajes propios de las edades a las que está dirigida. La </w:t>
      </w:r>
      <w:r>
        <w:lastRenderedPageBreak/>
        <w:t>segregación de la educación preescolar respecto de la división en dos ciclos del sistema anterior no supone en absoluto que se prescinda del aspecto educativo de esta etapa, como se pone de manifiesto de forma muy clara en la Ley Orgánica de calidad de la educación, en especial su art. 10.5 relativo a los fines de esta etapa, que conecta directamente con el art. 27.2 CE.</w:t>
      </w:r>
    </w:p>
    <w:p w:rsidR="0026452D" w:rsidRDefault="0026452D" w:rsidP="0026452D">
      <w:pPr>
        <w:pStyle w:val="TextoNormal"/>
      </w:pPr>
    </w:p>
    <w:p w:rsidR="0026452D" w:rsidRDefault="0026452D" w:rsidP="0026452D">
      <w:pPr>
        <w:pStyle w:val="TextoNormal"/>
      </w:pPr>
      <w:r>
        <w:t>Se refiere el Abogado del Estado en segundo lugar al concepto de asistencia social en la doctrina constitucional, señalando que cada una de las actividades, en el ámbito de la educación preescolar, que vengan anudadas a este concepto constitucional son materia objeto de competencia autonómica. Sin embargo, el establecimiento de las normas reguladoras de los fines pedagógicos de los centros, de los requisitos básicos de titulación o de la calificación profesional de los profesionales y de los requisitos mínimos que han de reunir los centros educativos, corresponden al Estado, en cuanto que forman parte del sistema educativo, sin que el carácter voluntario de esta educación pueda desnaturalizar esa conclusión.</w:t>
      </w:r>
    </w:p>
    <w:p w:rsidR="0026452D" w:rsidRDefault="0026452D" w:rsidP="0026452D">
      <w:pPr>
        <w:pStyle w:val="TextoNormal"/>
      </w:pPr>
    </w:p>
    <w:p w:rsidR="0026452D" w:rsidRDefault="0026452D" w:rsidP="0026452D">
      <w:pPr>
        <w:pStyle w:val="TextoNormal"/>
      </w:pPr>
      <w:r>
        <w:t>Defiende a continuación la representación procesal del Gobierno la competencia estatal para dictar la regulación de la ordenación general del sistema educativo y las normas básicas para el desarrollo del art. 27 CE. La norma impugnada responde a esta competencia en cuanto tiene un contenido sustancialmente normativo que le permite fijar propósitos, principios, objetivos y métodos preordenados al fin educativo y que permiten a las Comunidades Autónomas adoptar sus propias alternativas. Además, entiende que los contenidos regulados por la disposición impugnada son elementos conformadores del núcleo del derecho a la educación, siendo perfectamente constitucional el uso de la potestad reglamentaria para regular aspectos básicos de una materia que exige un tratamiento particularizado.</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de26 de febrero de 2013 se señaló para deliberación y votación de la presente Sentencia el día 28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La presente resolución ha de resolver el conflicto positivo de competencia planteado por la Generalitat de Cataluña contra el Real Decreto 828/2003, de 27 de junio, por el que se establecen los aspectos educativos básicos de la educación preescolar.</w:t>
      </w:r>
    </w:p>
    <w:p w:rsidR="0026452D" w:rsidRDefault="0026452D" w:rsidP="0026452D">
      <w:pPr>
        <w:pStyle w:val="TextoNormal"/>
      </w:pPr>
    </w:p>
    <w:p w:rsidR="0026452D" w:rsidRDefault="0026452D" w:rsidP="0026452D">
      <w:pPr>
        <w:pStyle w:val="TextoNormal"/>
      </w:pPr>
      <w:r>
        <w:t>Como ha quedado expuesto en los antecedentes, el Gobierno de la Generalitat de Cataluña considera que dicha norma resulta contraria al orden constitucional de distribución de competencias, pues estima que la educación preescolar no forma parte del sistema educativo, teniendo un carácter asistencial que excluye la posibilidad de dictar una norma como la impugnada, que no podría fundamentarse en las competencias estatales de los arts. 149.1.1 y 149.1.30 CE, debiendo incardinarse la atención a los niños de esta edad en las competencias exclusivas autonómicas en materia de asistencia social. Dicha queja, formulada en primera instancia contra la totalidad de la norma, se singulariza en relación con los preceptos de la misma relativos a los requisitos básicos de los profesionales (art. 3) así como los requisitos mínimos de los centros destinados a esta finalidad (art. 4 y disposición transitoria única). A los anteriores planteamientos se ha opuesto el Abogado del Estado señalando que la regulación objeto del presente conflicto tiene un claro componente educativo y se ampara en los arts. 149.1.1 y 149.1.30 CE.</w:t>
      </w:r>
    </w:p>
    <w:p w:rsidR="0026452D" w:rsidRDefault="0026452D" w:rsidP="0026452D">
      <w:pPr>
        <w:pStyle w:val="TextoNormal"/>
      </w:pPr>
    </w:p>
    <w:p w:rsidR="0026452D" w:rsidRDefault="0026452D" w:rsidP="0026452D">
      <w:pPr>
        <w:pStyle w:val="TextoNormal"/>
      </w:pPr>
      <w:r w:rsidRPr="0026452D">
        <w:rPr>
          <w:rStyle w:val="NumeroAFNegritaCaracter"/>
        </w:rPr>
        <w:t>2</w:t>
      </w:r>
      <w:r>
        <w:t>. Expuestas las posiciones de las partes en el proceso debemos previamente despejar dos órdenes de cuestiones.</w:t>
      </w:r>
    </w:p>
    <w:p w:rsidR="0026452D" w:rsidRDefault="0026452D" w:rsidP="0026452D">
      <w:pPr>
        <w:pStyle w:val="TextoNormal"/>
      </w:pPr>
    </w:p>
    <w:p w:rsidR="0026452D" w:rsidRDefault="0026452D" w:rsidP="0026452D">
      <w:pPr>
        <w:pStyle w:val="TextoNormal"/>
      </w:pPr>
      <w:r>
        <w:t>a) En primer lugar resulta preciso considerar la incidencia que pueda tener en el proceso el hecho de que el Real Decreto 828/2003, objeto del conflicto, no se encuentre en vigor en el momento de dictar la presente Sentencia, pues el mismo fue derogado expresamente por el Real Decreto 1630/2006, de 29 de diciembre, por el que se establecen las enseñanzas mínimas del segundo ciclo de educación infantil. En este sentido, la disposición transitoria única del citado Real Decreto 1630/2006, establece que hasta la implantación de la nueva ordenación de la educación infantil de acuerdo con lo dispuesto en el Real Decreto 806/2006, de 30 de junio, por el que se establece el calendario de aplicación de la nueva ordenación del sistema educativo, establecida por la Ley Orgánica 2/2006, de 3 de mayo, de educación, las enseñanzas mínimas de esta etapa se regirán por lo establecido, entre otros, por el Real Decreto 828/2003, de 27 de junio. Dicha implantación estaba prevista en el art. 3 del citado Real Decreto 806/2006, conforme a los siguientes criterios: antes de la fecha de implantación del primer ciclo de la educación infantil y, en todo caso, antes del 31 de diciembre del año 2007, las Administraciones educativas debían determinar los contenidos educativos del primer ciclo de la educación infantil de acuerdo con lo establecido en el artículo 14.7 de la Ley Orgánica 2/2006, de 3 de mayo, de educación, de manera que, en el año académico 2008-2009, las Administraciones educativas implantasen las enseñanzas correspondientes al primer y segundo ciclo de la educación infantil y dejaran de impartir, entre otras, las enseñanzas de preescolar definidas por la Ley Orgánica 10/2002, de 23 de diciembre, de calidad de la educación. Constatado así tanto que la norma impugnada ha sido derogada como que sus previsiones ya no son aplicables, siquiera de forma transitoria, debemos plantearnos los efectos que dicha circunstancia tiene en relación con lo señalado por nuestra doctrina sobre la pérdida de objeto en los procesos constitucionales, en particular, en aquellos en los que, como en el presente, se ventilan discrepancias puramente competenciales.</w:t>
      </w:r>
    </w:p>
    <w:p w:rsidR="0026452D" w:rsidRDefault="0026452D" w:rsidP="0026452D">
      <w:pPr>
        <w:pStyle w:val="TextoNormal"/>
      </w:pPr>
    </w:p>
    <w:p w:rsidR="0026452D" w:rsidRDefault="0026452D" w:rsidP="0026452D">
      <w:pPr>
        <w:pStyle w:val="TextoNormal"/>
      </w:pPr>
      <w:r>
        <w:t>En ese sentido, como recuerda la STC 194/2012, de 31 de octubre, FJ 2, con cita de la STC 99/2012, de 8 de mayo, FJ 2 c): “Hay que tener en cuenta que en las controversias de alcance competencial como la que nos ocupa, es necesario apreciar los efectos que tiene sobre el conflicto la entrada en vigor de nueva normativa reguladora de algunos de los aspectos en discusión, aunque no se haya impugnado. Esta operación valorativa deberemos hacerla de acuerdo con lo que nuestra doctrina reitera, esto es, ‘hay que huir de todo automatismo, siendo necesario atender a las circunstancias concurrentes en cada caso, y, ante todo, a la pervivencia de la controversia competencial, esto es, a si la disputa sobre la titularidad competencial sigue o no viva entre las partes’ (STC 147/1998, FJ 3, y jurisprudencia allí citada).” Asimismo, junto al criterio que se acaba de reproducir, procede recordar que, en este tipo de procesos promovidos por causa de vulneración del orden constitucional de competencias, tenemos establecido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194/2012, FJ 2, con cita de la STC 134/2011, de 20 de julio, FJ 2 b)].</w:t>
      </w:r>
    </w:p>
    <w:p w:rsidR="0026452D" w:rsidRDefault="0026452D" w:rsidP="0026452D">
      <w:pPr>
        <w:pStyle w:val="TextoNormal"/>
      </w:pPr>
    </w:p>
    <w:p w:rsidR="0026452D" w:rsidRDefault="0026452D" w:rsidP="0026452D">
      <w:pPr>
        <w:pStyle w:val="TextoNormal"/>
      </w:pPr>
      <w:r>
        <w:lastRenderedPageBreak/>
        <w:t>Es decir, conforme a la doctrina que se acaba de exponer debemos ahora plantearnos las consecuencias que los cambios normativos acaecidos durante la pendencia del proceso tienen respecto a la pervivencia de su objeto (en el mismo sentido AATC 244/2012 y 245/2012, ambos de 18 de diciembre). En esa ponderación que, conforme a esta doctrina, exige la valoración sobre la pérdida de objeto puede, sin duda, deducirse que los cambios normativos antes mencionados han supuesto la desaparición sobrevenida de parte del objeto del proceso.</w:t>
      </w:r>
    </w:p>
    <w:p w:rsidR="0026452D" w:rsidRDefault="0026452D" w:rsidP="0026452D">
      <w:pPr>
        <w:pStyle w:val="TextoNormal"/>
      </w:pPr>
    </w:p>
    <w:p w:rsidR="0026452D" w:rsidRDefault="0026452D" w:rsidP="0026452D">
      <w:pPr>
        <w:pStyle w:val="TextoNormal"/>
      </w:pPr>
      <w:r>
        <w:t>En efecto, la Generalitat de Cataluña formula en realidad tres quejas respecto al Real Decreto 828/2003. La primera, que afecta al conjunto de la norma, se refiere a su encaje en el sistema constitucional de distribución de competencias, ya que, como se ha dejado constancia en los antecedentes, entiende que las cuestiones relacionadas con la atención a los niños de 0 a 3 años de edad a los que se refiere la norma impugnada encuentran su ámbito preferente de encuadramiento en la materia asistencia social de suerte que, una vez fijados los elementos educativos de esta etapa por la Ley Orgánica de calidad de la educación, el resto de las cuestiones a regular ha de corresponder a la Comunidad Autónoma en atención al carácter asistencial que se atribuye a esta etapa. Relacionada con esta primera queja, se han formulado otras dos, relativas, respectivamente, al establecimiento por el Estado de los requisitos de titulación de los profesionales encargados de la atención a los niños en esta etapa y a las condiciones que han de reunir los centros en los que se imparta.</w:t>
      </w:r>
    </w:p>
    <w:p w:rsidR="0026452D" w:rsidRDefault="0026452D" w:rsidP="0026452D">
      <w:pPr>
        <w:pStyle w:val="TextoNormal"/>
      </w:pPr>
    </w:p>
    <w:p w:rsidR="0026452D" w:rsidRDefault="0026452D" w:rsidP="0026452D">
      <w:pPr>
        <w:pStyle w:val="TextoNormal"/>
      </w:pPr>
      <w:r>
        <w:t>Pues bien, respecto a la primera de ellas, tacha genérica acerca del carácter asistencial y no educativo de la etapa, es de apreciar que la controversia subsiste, ya que la Ley Orgánica de educación se refiere en sus arts. 12 a 15 a la educación infantil, indicando que la misma “constituye la etapa educativa con identidad propia que atiende a niñas y niños desde el nacimiento hasta los seis años de edad” (art. 12.1 Ley Orgánica de educación), estableciéndose en el art. 13 los objetivos perseguidos en esta etapa educativa y en el art. 14 lo relativo a su ordenación así como los principios pedagógicos a aplicar. También pervive la queja relativa a la competencia para determinar los requisitos del personal a cargo de los niños que se encuentren en esta etapa, pues el art. 92.1 de la Ley Orgánica de educación se refiere a dicha cuestión en unos términos muy similares a los del art. 3 del Real Decreto 828/2003. No sucede lo mismo, sin embargo, con lo relativo a los requisitos de los centros, pues, según el art. 14.7 de la Ley Orgánica de educación, las administraciones educativas “regularán los requisitos que hayan de cumplir los centros que impartan dicho ciclo, relativos, en todo caso, a la relación numérica alumnado-profesor, a las instalaciones y al número de puestos escolares”. Procede entonces considerar que la controversia trabada en torno a este último aspecto ha desaparecido en la medida en que el Estado ya no mantiene su voluntad de determinar tales cuestiones (en el mismo sentido, STC 99/2012, 8 de mayo, FJ 8), lo que se traduce es que debamos apreciar la desaparición sobrevenida de la queja que, vinculada a la principal, se dirige a los preceptos del Real Decreto 828/2003 que hacen referencia a esta cuestión, esto es, al art. 4 y a la disposición transitoria única.</w:t>
      </w:r>
    </w:p>
    <w:p w:rsidR="0026452D" w:rsidRDefault="0026452D" w:rsidP="0026452D">
      <w:pPr>
        <w:pStyle w:val="TextoNormal"/>
      </w:pPr>
    </w:p>
    <w:p w:rsidR="0026452D" w:rsidRDefault="0026452D" w:rsidP="0026452D">
      <w:pPr>
        <w:pStyle w:val="TextoNormal"/>
      </w:pPr>
      <w:r>
        <w:t>Por tanto, ha de alcanzarse la conclusión de que, pese a su derogación, el conflicto de competencias promovido frente al Real Decreto 828/2003 mantiene vivo su objeto respecto del carácter asistencial y no educativo de la regulación que contiene, así como en relación con los requisitos básicos a cumplir por los profesionales encargados de la atención a los niños en esta etapa que se establecen en el art. 3.</w:t>
      </w:r>
    </w:p>
    <w:p w:rsidR="0026452D" w:rsidRDefault="0026452D" w:rsidP="0026452D">
      <w:pPr>
        <w:pStyle w:val="TextoNormal"/>
      </w:pPr>
    </w:p>
    <w:p w:rsidR="0026452D" w:rsidRDefault="0026452D" w:rsidP="0026452D">
      <w:pPr>
        <w:pStyle w:val="TextoNormal"/>
      </w:pPr>
      <w:r>
        <w:lastRenderedPageBreak/>
        <w:t>b) En segundo lugar, también deberemos tener en cuenta que la Ley Orgánica 6/2006, de 19 de julio, de reforma del Estatuto de Autonomía de Cataluña, (en adelante, EAC) ha entrado en vigor con posterioridad a la admisión a trámite de este conflicto de competencia, por lo que, nuevamente de acuerdo con nuestra doctrina [por todas, STC 134/2011, de 20 de julio, FJ 2 d)], las cuestiones que se controvierten se decidirán teniendo en cuenta las prescripciones del nuevo Estatuto de Autonomía de Cataluña que puedan ser de aplicación.</w:t>
      </w:r>
    </w:p>
    <w:p w:rsidR="0026452D" w:rsidRDefault="0026452D" w:rsidP="0026452D">
      <w:pPr>
        <w:pStyle w:val="TextoNormal"/>
      </w:pPr>
    </w:p>
    <w:p w:rsidR="0026452D" w:rsidRDefault="0026452D" w:rsidP="0026452D">
      <w:pPr>
        <w:pStyle w:val="TextoNormal"/>
      </w:pPr>
      <w:r w:rsidRPr="0026452D">
        <w:rPr>
          <w:rStyle w:val="NumeroAFNegritaCaracter"/>
        </w:rPr>
        <w:t>3</w:t>
      </w:r>
      <w:r>
        <w:t>. Entrando ya a examinar la primera de las quejas formuladas, la misma ha de reputarse resuelta por la doctrina que este Tribunal ha establecido en la STC 184/2012, de 17 de octubre, FJ 5 a), doctrina que permite ya descartar la pretensión que informa la demanda. En efecto, en dicha Sentencia y fundamento jurídico, al examinar el entonces impugnado art. 10.2 de la Ley Orgánica de calidad de la educación, relativo a la educación preescolar, dejamos claramente establecido que “el cuestionado art. 10.2 se inserta en la competencia estatal de ordenación del sistema educativo, del que, indudablemente, forma parte esta etapa, y ha de atenerse a los principios pedagógicos que formula el art. 10.5 de la Ley Orgánica, precepto que concreta los aspectos a los que ha de prestarse atención en esta fase de educación. Extremos todos ellos que permiten descartar las alegaciones en las que se funda la tacha de inconstitucionalidad formulada”, así como también “que la educación preescolar forma indudablemente parte del sistema educativo, tal como dispone el no impugnado art. 7 de la Ley Orgánica de calidad de la educación en sus apartados 1 y 2, norma que, por lo demás, deja claramente establecido que la escolarización en esta etapa educativa depende de la decisión de los padres, voluntariedad de la decisión paterna que, como es evidente, en nada afecta a las responsabilidades que las Administraciones públicas, en el ámbito de sus respectivas competencias, han de asumir como consecuencia de la inclusión de la educación preescolar en el sistema educativo y que se concretan, entre otras, en la necesidad de garantizar la existencia de un número de plazas suficientes para asegurar la escolarización de la población que la solicite.” Doctrina que se ha reiterado en las SSTC 212/2012, de fecha 13 de diciembre de 2012, FJ 5; 213/2012, de 13 de diciembre de 2012 FJ 4; 214/2012, FJ 8 a), de 13 de diciembre de 2012 noviembre, y, finalmente, 3/2013, de 17 de enero, FJ 3.</w:t>
      </w:r>
    </w:p>
    <w:p w:rsidR="0026452D" w:rsidRDefault="0026452D" w:rsidP="0026452D">
      <w:pPr>
        <w:pStyle w:val="TextoNormal"/>
      </w:pPr>
    </w:p>
    <w:p w:rsidR="0026452D" w:rsidRDefault="0026452D" w:rsidP="0026452D">
      <w:pPr>
        <w:pStyle w:val="TextoNormal"/>
      </w:pPr>
      <w:r>
        <w:t>Esta conclusión ésta que, en todo caso, ya se avanzaba en la STC 31/2010, de 28 de junio, en la que al examinar el art. 132.2 EAC, que consideraba competencia exclusiva autonómica, entre otras, “la determinación de los contenidos educativos del primer ciclo de la educación infantil y la regulación de los centros en los que se imparte dicho ciclo, así como la definición de las plantillas del profesorado y las titulaciones y especializaciones del personal restante”, afirmamos que “[s]e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pues el sentido y alcance de esa expresión sólo puede ser el que, con carácter general, admite, en su interpretación constitucionalmente conforme, el art. 110 EAC (fundamentos jurídicos 59 y 64).” (FJ 77).</w:t>
      </w:r>
    </w:p>
    <w:p w:rsidR="0026452D" w:rsidRDefault="0026452D" w:rsidP="0026452D">
      <w:pPr>
        <w:pStyle w:val="TextoNormal"/>
      </w:pPr>
    </w:p>
    <w:p w:rsidR="0026452D" w:rsidRDefault="0026452D" w:rsidP="0026452D">
      <w:pPr>
        <w:pStyle w:val="TextoNormal"/>
      </w:pPr>
      <w:r>
        <w:t xml:space="preserve">En suma, por lo expuesto no queda sino desestimar la queja formulada, sin perjuicio de advertir que, en realidad, los arts. 1 y 2 del Real Decreto 828/2003 en los que la queja puede esencialmente residenciarse no son sino una mínima concreción de lo dispuesto en el art. </w:t>
      </w:r>
      <w:r>
        <w:lastRenderedPageBreak/>
        <w:t>10.5 de la Ley Orgánica de calidad de la educación, guardando, además, evidentes similitudes con los objetivos de la educación infantil, y como tales dirigidos a niños de 0 a 6 años de edad, establecidos en la vigente de la Ley Orgánica de educación.</w:t>
      </w:r>
    </w:p>
    <w:p w:rsidR="0026452D" w:rsidRDefault="0026452D" w:rsidP="0026452D">
      <w:pPr>
        <w:pStyle w:val="TextoNormal"/>
      </w:pPr>
    </w:p>
    <w:p w:rsidR="0026452D" w:rsidRDefault="0026452D" w:rsidP="0026452D">
      <w:pPr>
        <w:pStyle w:val="TextoNormal"/>
      </w:pPr>
      <w:r w:rsidRPr="0026452D">
        <w:rPr>
          <w:rStyle w:val="NumeroAFNegritaCaracter"/>
        </w:rPr>
        <w:t>4</w:t>
      </w:r>
      <w:r>
        <w:t>. En cuanto al art. 3 del Real Decreto 828/2003, el mismo intitulado requisitos básicos de los profesionales, dispone que “[l]a Educación Preescolar será impartida por maestros con la especialidad de Educación Infantil, Técnicos Superiores en Educación Infantil o por otros profesionales con la debida cualificación para prestar una atención apropiada a los niños de esta edad.”</w:t>
      </w:r>
    </w:p>
    <w:p w:rsidR="0026452D" w:rsidRDefault="0026452D" w:rsidP="0026452D">
      <w:pPr>
        <w:pStyle w:val="TextoNormal"/>
      </w:pPr>
    </w:p>
    <w:p w:rsidR="0026452D" w:rsidRDefault="0026452D" w:rsidP="0026452D">
      <w:pPr>
        <w:pStyle w:val="TextoNormal"/>
      </w:pPr>
      <w:r>
        <w:t>El encuadramiento de la cuestión debatida en el ámbito educativo, conforme a la doctrina que ya ha quedado expuesta, conduce derechamente a la desestimación de la impugnación. El reconocimiento del carácter educativo de esta etapa es entonces motivo suficiente para que la queja no pueda prosperar, pues, como la propia demanda reconoce, el Estado está competencialmente habilitado para, en el ejercicio de sus competencias en materia de educación, determinar, entre otras cuestiones, la titulación académica que ha de reunir el profesorado encargado de impartir las enseñanzas propias de cada etapa educativa, tal como al respecto establece el art. 14 de la Ley Orgánica 8/1985, de 3 de julio, reguladora del derecho a la educación. Además, como su tenor literal pone de manifiesto, el Estado ha establecido dichos requisitos básicos de forma flexible, pues no excluye la intervención autonómica en la materia.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Declarar extinguido, por desaparición sobrevenida de su objeto, el presente conflicto positivo de competencias en lo que respecta al art. 4 y a la disposición transitoria única del Real Decreto 828/2003, de 27 de junio, por el que se establecen los aspectos educativos básicos de la educación preescolar.</w:t>
      </w:r>
    </w:p>
    <w:p w:rsidR="0026452D" w:rsidRDefault="0026452D" w:rsidP="0026452D">
      <w:pPr>
        <w:pStyle w:val="TextoNormal"/>
      </w:pPr>
    </w:p>
    <w:p w:rsidR="0026452D" w:rsidRDefault="0026452D" w:rsidP="0026452D">
      <w:pPr>
        <w:pStyle w:val="TextoNormal"/>
      </w:pPr>
      <w:r>
        <w:t>2º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veintiocho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51" w:name="SENTENCIA_2013_48"/>
      <w:r>
        <w:lastRenderedPageBreak/>
        <w:t>SENTENCIA 48/2013, de 28 de febrero de 2013</w:t>
      </w:r>
    </w:p>
    <w:bookmarkEnd w:id="51"/>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73, de 26 de marzo de 2013)</w:t>
      </w:r>
    </w:p>
    <w:p w:rsidR="0026452D" w:rsidRDefault="0026452D" w:rsidP="0026452D">
      <w:pPr>
        <w:pStyle w:val="TtuloBOE"/>
      </w:pPr>
    </w:p>
    <w:p w:rsidR="0026452D" w:rsidRDefault="0026452D" w:rsidP="0026452D">
      <w:pPr>
        <w:pStyle w:val="SntesisDescriptiva"/>
      </w:pPr>
      <w:r>
        <w:t>ECLI:ES:TC:2013:48</w:t>
      </w:r>
    </w:p>
    <w:p w:rsidR="0026452D" w:rsidRDefault="0026452D" w:rsidP="0026452D">
      <w:pPr>
        <w:pStyle w:val="SntesisDescriptiva"/>
      </w:pPr>
    </w:p>
    <w:p w:rsidR="0026452D" w:rsidRDefault="0026452D" w:rsidP="0026452D">
      <w:pPr>
        <w:pStyle w:val="SntesisDescriptiva"/>
      </w:pPr>
      <w:r>
        <w:t>Conflicto positivo de competencia 6330-2003. Planteado por el Gobierno de la Generalitat de Cataluña en relación con diversos preceptos del Real Decreto 831/2003, de 27 de junio, por el que se establece la ordenación general y las enseñanzas comunes de la educación secundaria obligatoria.</w:t>
      </w:r>
    </w:p>
    <w:p w:rsidR="0026452D" w:rsidRDefault="0026452D" w:rsidP="0026452D">
      <w:pPr>
        <w:pStyle w:val="SntesisDescriptiva"/>
      </w:pPr>
    </w:p>
    <w:p w:rsidR="0026452D" w:rsidRDefault="0026452D" w:rsidP="0026452D">
      <w:pPr>
        <w:pStyle w:val="SntesisAnaltica"/>
      </w:pPr>
      <w:r>
        <w:t>Competencias sobre educación: constitucionalidad de los preceptos reglamentarios estatales relativos a la enseñanza de las lenguas cooficiales (STC 15/2013) y a la composición de los equipos de evaluación que deben decidir sobre la promoción de los alumnos (STC 184/2012).</w:t>
      </w:r>
    </w:p>
    <w:p w:rsidR="0026452D" w:rsidRDefault="0026452D" w:rsidP="0026452D">
      <w:pPr>
        <w:pStyle w:val="SntesisAnaltica"/>
      </w:pPr>
    </w:p>
    <w:p w:rsidR="0026452D" w:rsidRDefault="0026452D" w:rsidP="0026452D">
      <w:pPr>
        <w:pStyle w:val="Extracto"/>
      </w:pPr>
      <w:r>
        <w:t>1.</w:t>
      </w:r>
      <w:r>
        <w:tab/>
        <w:t>La determinación del número mínimo de horas que ha de dedicarse a la enseñanza en castellano reviste carácter básico, pues responde a la obligación estatal de garantizar el conocimiento del castellano en tanto que lengua oficial del Estado, sin que haya quedado demostrado que dicha regulación impida una enseñanza eficaz de ambas lenguas en orden a la garantía de conocimiento suficiente de las lenguas catalana y castellana, que es lo que sería inconstitucional en los términos de nuestra doctrina (SSTC 337/1994, 31/2010) [FJ 4].</w:t>
      </w:r>
    </w:p>
    <w:p w:rsidR="0026452D" w:rsidRDefault="0026452D" w:rsidP="0026452D">
      <w:pPr>
        <w:pStyle w:val="Extracto"/>
      </w:pPr>
    </w:p>
    <w:p w:rsidR="0026452D" w:rsidRDefault="0026452D" w:rsidP="0026452D">
      <w:pPr>
        <w:pStyle w:val="Extracto"/>
      </w:pPr>
      <w:r>
        <w:t>2.</w:t>
      </w:r>
      <w:r>
        <w:tab/>
        <w:t>Resulta perfectamente legítimo que el catalán, en atención al objetivo de la normalización lingüística en Cataluña, sea el centro de gravedad de este modelo de bilingüismo, aunque siempre con el límite de que ello no determine la exclusión del castellano como lengua docente de forma que quede garantizado su conocimiento y uso en el territorio de la Comunidad Autónoma (STC 337/1994, 31/2010) [FJ 4].</w:t>
      </w:r>
    </w:p>
    <w:p w:rsidR="0026452D" w:rsidRDefault="0026452D" w:rsidP="0026452D">
      <w:pPr>
        <w:pStyle w:val="Extracto"/>
      </w:pPr>
    </w:p>
    <w:p w:rsidR="0026452D" w:rsidRDefault="0026452D" w:rsidP="0026452D">
      <w:pPr>
        <w:pStyle w:val="Extracto"/>
      </w:pPr>
      <w:r>
        <w:t>3.</w:t>
      </w:r>
      <w:r>
        <w:tab/>
        <w:t>La reserva expresa de un porcentaje del horario escolar total para la enseñanza de la lengua cooficial no hace referencia alguna a la lengua de impartición de las enseñanzas que regula, de manera que corresponde a los poderes públicos competentes organizar la enseñanza que ha de recibirse en una y otra lengua en relación con las distintas áreas de conocimiento y ello al objeto de garantizar el derecho de los ciudadanos a recibir enseñanza en catalán y en castellano [FJ 4].</w:t>
      </w:r>
    </w:p>
    <w:p w:rsidR="0026452D" w:rsidRDefault="0026452D" w:rsidP="0026452D">
      <w:pPr>
        <w:pStyle w:val="Extracto"/>
      </w:pPr>
    </w:p>
    <w:p w:rsidR="0026452D" w:rsidRDefault="0026452D" w:rsidP="0026452D">
      <w:pPr>
        <w:pStyle w:val="Extracto"/>
      </w:pPr>
      <w:r>
        <w:t>4.</w:t>
      </w:r>
      <w:r>
        <w:tab/>
        <w:t>No corresponde a este Tribunal determinar cuál sea la opción didáctica o pedagógica más adecuada para que el sistema educativo garantice el conocimiento de las dos lenguas cooficiales, sino tan solo confrontar la norma cuestionada con el orden constitucional y estatutario de distribución de competencias [FJ 4].</w:t>
      </w:r>
    </w:p>
    <w:p w:rsidR="0026452D" w:rsidRDefault="0026452D" w:rsidP="0026452D">
      <w:pPr>
        <w:pStyle w:val="Extracto"/>
      </w:pPr>
    </w:p>
    <w:p w:rsidR="0026452D" w:rsidRDefault="0026452D" w:rsidP="0026452D">
      <w:pPr>
        <w:pStyle w:val="Extracto"/>
      </w:pPr>
      <w:r>
        <w:t>5.</w:t>
      </w:r>
      <w:r>
        <w:tab/>
        <w:t>Doctrina constitucional sobre la concreción y posible variabilidad, por el legislador estatal, del marco básico en el ámbito educativo (STC 184/2012) [FJ 4].</w:t>
      </w:r>
    </w:p>
    <w:p w:rsidR="0026452D" w:rsidRDefault="0026452D" w:rsidP="0026452D">
      <w:pPr>
        <w:pStyle w:val="Extracto"/>
      </w:pPr>
    </w:p>
    <w:p w:rsidR="0026452D" w:rsidRDefault="0026452D" w:rsidP="0026452D">
      <w:pPr>
        <w:pStyle w:val="Extracto"/>
      </w:pPr>
      <w:r>
        <w:lastRenderedPageBreak/>
        <w:t>6.</w:t>
      </w:r>
      <w:r>
        <w:tab/>
        <w:t xml:space="preserve">La determinación por el precepto impugnado de la composición del equipo de evaluación escolar que debe decidir sobre la promoción de los alumnos al curso superior se justifica plenamente por la necesidad de asegurar unas condiciones básicas de igualdad en la acción evaluadora sobre los alumnos en el sistema educativo español, lo que contribuye a garantizar la efectiva homologación de títulos académicos, por lo que se trata de una medida que al Estado corresponde establecer en el ejercicio de su competencia exclusiva </w:t>
      </w:r>
      <w:r w:rsidRPr="0026452D">
        <w:rPr>
          <w:i/>
        </w:rPr>
        <w:t>ex</w:t>
      </w:r>
      <w:r>
        <w:t xml:space="preserve"> art. 149.1.30 CE (SSTC 184/2012, 212/2012) [FJ 5].</w:t>
      </w:r>
    </w:p>
    <w:p w:rsidR="0026452D" w:rsidRDefault="0026452D" w:rsidP="0026452D">
      <w:pPr>
        <w:pStyle w:val="Extracto"/>
      </w:pPr>
    </w:p>
    <w:p w:rsidR="0026452D" w:rsidRDefault="0026452D" w:rsidP="0026452D">
      <w:pPr>
        <w:pStyle w:val="Extracto"/>
      </w:pPr>
      <w:r>
        <w:t>7.</w:t>
      </w:r>
      <w:r>
        <w:tab/>
        <w:t>Doctrina sobre la naturaleza básica de la regulación de las condiciones en las que es posible la promoción en el sistema educativo (SSTC 212/2012, 184/2012) [FJ 5].</w:t>
      </w:r>
    </w:p>
    <w:p w:rsidR="0026452D" w:rsidRDefault="0026452D" w:rsidP="0026452D">
      <w:pPr>
        <w:pStyle w:val="Extracto"/>
      </w:pPr>
    </w:p>
    <w:p w:rsidR="0026452D" w:rsidRDefault="0026452D" w:rsidP="0026452D">
      <w:pPr>
        <w:pStyle w:val="Extracto"/>
      </w:pPr>
      <w:r>
        <w:t>8.</w:t>
      </w:r>
      <w:r>
        <w:tab/>
        <w:t>Doctrina constitucional sobre las competencias estatales en materia de educación (STC 184/2012) [FJ 3].</w:t>
      </w:r>
    </w:p>
    <w:p w:rsidR="0026452D" w:rsidRDefault="0026452D" w:rsidP="0026452D">
      <w:pPr>
        <w:pStyle w:val="Extracto"/>
      </w:pPr>
    </w:p>
    <w:p w:rsidR="0026452D" w:rsidRDefault="0026452D" w:rsidP="0026452D">
      <w:pPr>
        <w:pStyle w:val="Extracto"/>
      </w:pPr>
      <w:r>
        <w:t>9.</w:t>
      </w:r>
      <w:r>
        <w:tab/>
        <w:t>Doctrina constitucional sobre las competencias autonómicas en materia de educación (SSTC 31/2010, 212/2012) [FJ 3].</w:t>
      </w:r>
    </w:p>
    <w:p w:rsidR="0026452D" w:rsidRDefault="0026452D" w:rsidP="0026452D">
      <w:pPr>
        <w:pStyle w:val="Extracto"/>
      </w:pPr>
    </w:p>
    <w:p w:rsidR="0026452D" w:rsidRDefault="0026452D" w:rsidP="0026452D">
      <w:pPr>
        <w:pStyle w:val="Extracto"/>
      </w:pPr>
      <w:r>
        <w:t>10.</w:t>
      </w:r>
      <w:r>
        <w:tab/>
        <w:t>Doctrina constitucional sobre la utilización de las lenguas oficiales en la enseñanza (SSTC 87/1983, 31/2010, 15/2013) [FJ 3].</w:t>
      </w:r>
    </w:p>
    <w:p w:rsidR="0026452D" w:rsidRDefault="0026452D" w:rsidP="0026452D">
      <w:pPr>
        <w:pStyle w:val="Extracto"/>
      </w:pPr>
    </w:p>
    <w:p w:rsidR="0026452D" w:rsidRDefault="0026452D" w:rsidP="0026452D">
      <w:pPr>
        <w:pStyle w:val="Extracto"/>
      </w:pPr>
      <w:r>
        <w:t>11.</w:t>
      </w:r>
      <w:r>
        <w:tab/>
        <w:t>Doctrina sobre el deber constitucional de conocer el castellano y el derecho de los ciudadanos a conocerlo (SSTC 6/1982, 337/1994, 87/1983) [FJ 3].</w:t>
      </w:r>
    </w:p>
    <w:p w:rsidR="0026452D" w:rsidRDefault="0026452D" w:rsidP="0026452D">
      <w:pPr>
        <w:pStyle w:val="Extracto"/>
      </w:pPr>
    </w:p>
    <w:p w:rsidR="0026452D" w:rsidRDefault="0026452D" w:rsidP="0026452D">
      <w:pPr>
        <w:pStyle w:val="Extracto"/>
      </w:pPr>
      <w:r>
        <w:t>12.</w:t>
      </w:r>
      <w:r>
        <w:tab/>
        <w:t>Doctrina sobre la pervivencia o pérdida del objeto pese a la derogación de la norma en procesos constitucionales de naturaleza competencial según se mantenga viva o no la controversia competencial (SSTC 18/2011, 207/2012) [FJ 2 a)].</w:t>
      </w:r>
    </w:p>
    <w:p w:rsidR="0026452D" w:rsidRDefault="0026452D" w:rsidP="0026452D">
      <w:pPr>
        <w:pStyle w:val="Extracto"/>
      </w:pPr>
    </w:p>
    <w:p w:rsidR="0026452D" w:rsidRDefault="0026452D" w:rsidP="0026452D">
      <w:pPr>
        <w:pStyle w:val="Extracto"/>
      </w:pPr>
      <w:r>
        <w:t>13.</w:t>
      </w:r>
      <w:r>
        <w:tab/>
        <w:t xml:space="preserve">Aplica la doctrina del </w:t>
      </w:r>
      <w:r w:rsidRPr="0026452D">
        <w:rPr>
          <w:i/>
        </w:rPr>
        <w:t>ius superveniens</w:t>
      </w:r>
      <w:r>
        <w:t xml:space="preserve"> en procesos de naturaleza competencial (SSTC 137/1986, 83/2012) [FJ 2 c)].</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conflicto positivo de competencia núm. 6330-2003, interpuesto por el Gobierno de la Generalitat de Cataluña contra diversos preceptos del Real Decreto 831/2003, de 27 de junio, por el que se establece la ordenación general y las enseñanzas comunes de la educación secundaria obligatoria. Ha intervenido y formulado alegaciones la Abogacía del Estado.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24 de octubre de 2003 la Letrada de la Generalitat de Cataluña, en la representación que legalmente ostenta, promueve conflicto positivo de competencia frente al Gobierno de la Nación contra los arts. 3, 4, 6.3, 7, 9, 15.1, 19; la disposición final primera; y los anexos I, II y III, del Real Decreto 831/2003, de 27 de junio, por el que se establece la ordenación general y las enseñanzas comunes de la educación secundaria obligatoria.</w:t>
      </w:r>
    </w:p>
    <w:p w:rsidR="0026452D" w:rsidRDefault="0026452D" w:rsidP="0026452D">
      <w:pPr>
        <w:pStyle w:val="TextoNormal"/>
      </w:pPr>
    </w:p>
    <w:p w:rsidR="0026452D" w:rsidRDefault="0026452D" w:rsidP="0026452D">
      <w:pPr>
        <w:pStyle w:val="TextoNormal"/>
      </w:pPr>
      <w:r w:rsidRPr="0026452D">
        <w:rPr>
          <w:rStyle w:val="NumeroAFNegritaCaracter"/>
        </w:rPr>
        <w:t>2</w:t>
      </w:r>
      <w:r>
        <w:t>. El conflicto se fundamenta en los motivos que, resumidamente, se exponen a continuación:</w:t>
      </w:r>
    </w:p>
    <w:p w:rsidR="0026452D" w:rsidRDefault="0026452D" w:rsidP="0026452D">
      <w:pPr>
        <w:pStyle w:val="TextoNormal"/>
      </w:pPr>
    </w:p>
    <w:p w:rsidR="0026452D" w:rsidRDefault="0026452D" w:rsidP="0026452D">
      <w:pPr>
        <w:pStyle w:val="TextoNormal"/>
      </w:pPr>
      <w:r>
        <w:t>Tras hacer referencia al cumplimiento de los presupuestos procesales exigidos por la Ley Orgánica del Tribunal Constitucional (LOTC) para la promoción de un conflicto positivo de competencia, comienza señalando la Letrada de la Generalitat de Cataluña que el Real Decreto 831/2003, en la medida en que desarrolla la Ley Orgánica 10/2002, de calidad de la educación, incurre en los mismos vicios de inconstitucionalidad por incompetencia que fueron puestos de manifiesto por dicha representación en el recurso de inconstitucionalidad núm. 1621-2003, interpuesto contra dicha ley. A juicio de la Letrada autonómica, la Ley Orgánica de calidad de la educación pretende fundar una nueva ordenación del sistema educativo desconociendo los límites que los Estatutos de Autonomía imponen al legislador estatal, en particular los derivados del art. 15 del Estatuto de Autonomía de Cataluña, aprobado por Ley Orgánica 4/1979, de 18 de diciembre, que ha de operar como canon de constitucionalidad.</w:t>
      </w:r>
    </w:p>
    <w:p w:rsidR="0026452D" w:rsidRDefault="0026452D" w:rsidP="0026452D">
      <w:pPr>
        <w:pStyle w:val="TextoNormal"/>
      </w:pPr>
    </w:p>
    <w:p w:rsidR="0026452D" w:rsidRDefault="0026452D" w:rsidP="0026452D">
      <w:pPr>
        <w:pStyle w:val="TextoNormal"/>
      </w:pPr>
      <w:r>
        <w:t xml:space="preserve">En conexión con lo anterior, sostiene la Letrada autonómica que la regulación cuestionada del Real Decreto 831/2003, por el que se establece la ordenación general y las enseñanzas comunes de la educación secundaria obligatoria, no puede tener encaje en ninguno de los títulos competenciales referidos en su disposición adicional primera (art. 149.1.1, 18 y 30 CE). Aunque el título competencial aplicable en esta materia de educación sería, en principio, el previsto en el art. 149.1.30 CE (STC 188/2001, de 20 de septiembre), ello no habilita al Estado para dictar una regulación básica de la educación secundaria obligatoria en los términos en que se efectúa en los preceptos impugnados del Real Decreto 831/2003, que no respetan el reparto competencial en materia educativa que resulta del bloque de constitucionalidad, del que deriva la necesidad de que la norma básica reserve un margen suficiente a la normativa de desarrollo que permita a las Comunidades Autónomas expresar sus intereses particulares. De esta manera, con cita de las SSTC 147/1991, de 4 de julio; 141/1993, de 22 de abril, y 131/1996, de 11 de julio, la Letrada de la Generalitat de Cataluña </w:t>
      </w:r>
      <w:r>
        <w:lastRenderedPageBreak/>
        <w:t>argumenta que las normas básicas han de formularse en forma de principios generales y pueden incluir condiciones mínimas y parámetros, pero no diseñar en concreto el régimen organizativo propio ni llegar a tal grado de detalle que impida a las Comunidades Autónomas establecer su propia opción legislativa.</w:t>
      </w:r>
    </w:p>
    <w:p w:rsidR="0026452D" w:rsidRDefault="0026452D" w:rsidP="0026452D">
      <w:pPr>
        <w:pStyle w:val="TextoNormal"/>
      </w:pPr>
    </w:p>
    <w:p w:rsidR="0026452D" w:rsidRDefault="0026452D" w:rsidP="0026452D">
      <w:pPr>
        <w:pStyle w:val="TextoNormal"/>
      </w:pPr>
      <w:r>
        <w:t xml:space="preserve">Así, un primer grupo de preceptos del Real Decreto 831/2003, por el que se establece la ordenación general y las enseñanzas comunes de la educación secundaria obligatoria (concretamente los arts. 3, 4, 6.3, 7 y 9, y los anexos I, II y III), se impugnan por entender que la regulación de las enseñanzas comunes efectuada en el Real Decreto 831/2003 impide su desarrollo por la Comunidad Autónoma. Teniendo en cuenta que el Real Decreto 831/2003 pretende, de acuerdo con lo establecido en el art. 8.2 de la Ley Orgánica de calidad de la educación, fijar las enseñanzas comunes definidas como los elementos básicos del </w:t>
      </w:r>
      <w:r w:rsidRPr="0026452D">
        <w:rPr>
          <w:i/>
        </w:rPr>
        <w:t>curriculum</w:t>
      </w:r>
      <w:r>
        <w:t>, sostiene la Letrada de la Generalitat de Cataluña que el Estado no puede regular las enseñanzas comunes, más allá de las enseñanzas mínimas (STC 88/1983, de 27 de octubre, FJ 3), tal y como estaban previstas en los arts. 4.2 y concordantes de la Ley Orgánica 1/1990, de 3 de octubre, de ordenación general del sistema educativo, con la finalidad de garantizar un nivel mínimo de homogeneidad en la formación de los escolares. Ese cambio de “enseñanzas mínimas” a “enseñanzas comunes” es sustantivo, ya que encierra un cambio de concepción y una extensión de lo básico que deja de ser un mínimo común y se convierte en una regulación homogeneizadora que ya no responde a objetivos de formación común, sino que se extiende a todo el espacio regulador, lo que implica que se pasa de un sistema en el que la regla de mínimos marcaba el contenido de la formación común que debía ser impartida a todos los alumnos a otro en el cual el contenido de esa formación pretende ser determinado unilateralmente por el Estado. De este modo, los preceptos impugnados del Real Decreto 831/2003 no se limitan a establecer lo que consideran como elementos básicos del currículo, sino que lo hacen de forma tal que dejan vacías de contenido las competencias de la Generalitat de Cataluña en materia de educación, dado el grado de detalle de los aspectos que configuran el contenido básico de la etapa educativa y la exigencia de que los elementos básicos que configuran el currículo se impartan “en sus propios términos”, lo que imposibilita que el contenido del currículo sea desarrollado o estructurado libremente por la Generalitat de Cataluña, que sólo podrá efectuar el diseño del 45 por 100 del mismo. Por ello la Letrada de la Generalitat considera que los arts. 3, 4, 6.3, 7 y 9, y los anexos I, II y III del Real Decreto 831/2003 suponen una extralimitación competencial por no “establecer esas bases de forma suficientemente amplia y flexible como para permitir que las Comunidades Autónomas con competencias normativas en la materia puedan adoptar sus propias alternativas políticas en función de sus circunstancias específicas” (STC 131/1996, FJ 3).</w:t>
      </w:r>
    </w:p>
    <w:p w:rsidR="0026452D" w:rsidRDefault="0026452D" w:rsidP="0026452D">
      <w:pPr>
        <w:pStyle w:val="TextoNormal"/>
      </w:pPr>
    </w:p>
    <w:p w:rsidR="0026452D" w:rsidRDefault="0026452D" w:rsidP="0026452D">
      <w:pPr>
        <w:pStyle w:val="TextoNormal"/>
      </w:pPr>
      <w:r>
        <w:t xml:space="preserve">Añade a lo anterior que la determinación de los contenidos del currículo que se establece en los anexos I y II del Real Decreto 831/2003 resulta especialmente grave cuando se refiere al área lingüística y en concreto al estudio de la lengua catalana. De acuerdo con el art. 8.2 de la Ley Orgánica de calidad de la educación, el art. 4.2 del Real Decreto 831/2003 establece en el 55 por 100 el porcentaje del </w:t>
      </w:r>
      <w:r w:rsidRPr="0026452D">
        <w:rPr>
          <w:i/>
        </w:rPr>
        <w:t>currículo</w:t>
      </w:r>
      <w:r>
        <w:t xml:space="preserve"> que corresponde a las enseñanzas comunes en las Comunidades Autónomas que tienen junto a la lengua castellana otra lengua oficial (frente al 65 por 100 establecido para las Comunidades Autónomas que no tienen lengua propia), con la finalidad de incluir entre las asignaturas la que corresponde al estudio de la segunda lengua oficial. Sin embargo, a juicio de la Letrada autonómica, los anexos I y II del Real Decreto 831/2003, al fijar la distribución del horario escolar correspondiente a las en</w:t>
      </w:r>
      <w:r>
        <w:lastRenderedPageBreak/>
        <w:t>señanzas comunes, llevan a cabo una regulación completamente distinta, que afecta profundamente a las posibilidades de alcanzar un conocimiento suficiente de la lengua catalana, puesto que, de un lado, se limita el número de horas que deben dedicarse al estudio de esta lengua y, de otro, se determina el mínimo de horas que deben dedicarse al estudio de la lengua castellana (tres horas semanales en todo caso), lo que a la postre supone también un tratamiento desigual para la lengua catalana, por ser algo superior el número de horas que corresponde al estudio de la lengua castellana en la misma etapa educativa (educación secundaria obligatoria). En definitiva —concluye la Letrada de la Generalitat de Cataluña— la determinación de los contenidos del currículo de la lengua castellana y del horario mínimo correspondiente que efectúan los anexos I y II del Real Decreto 831/2003 impiden a la Generalitat de Cataluña no solo establecer una estructura coherente y coordinada de los currículos correspondientes al área lingüística, sino también a la enseñanza eficaz de la lengua catalana, lo que supone incumplir el mandato derivado del art. 3 del Estatuto de Autonomía de Cataluña de 1979 y comporta, asimismo, una vulneración de las competencias de la Generalitat de Cataluña en materia educativa.</w:t>
      </w:r>
    </w:p>
    <w:p w:rsidR="0026452D" w:rsidRDefault="0026452D" w:rsidP="0026452D">
      <w:pPr>
        <w:pStyle w:val="TextoNormal"/>
      </w:pPr>
    </w:p>
    <w:p w:rsidR="0026452D" w:rsidRDefault="0026452D" w:rsidP="0026452D">
      <w:pPr>
        <w:pStyle w:val="TextoNormal"/>
      </w:pPr>
      <w:r>
        <w:t>Se impugna también el art. 15.1 del Real Decreto 831/2003 porque este precepto determina la composición del equipo de evaluación (que debe decidir sobre la promoción del alumno al curso siguiente), lo que constituye una cuestión de carácter puramente organizativo, que ni afecta al derecho a la educación, ni a la competencia estatal de regulación de las condiciones para la obtención de títulos académicos. El art. 15.1 del Real Decreto 831/2003 invade las competencias autonómicas, pues la competencia estatal en este ámbito se limita a la determinación de los órganos de participación de la comunidad escolar en los centros docentes (STC 137/1986, de 6 de noviembre, FJ 4).</w:t>
      </w:r>
    </w:p>
    <w:p w:rsidR="0026452D" w:rsidRDefault="0026452D" w:rsidP="0026452D">
      <w:pPr>
        <w:pStyle w:val="TextoNormal"/>
      </w:pPr>
    </w:p>
    <w:p w:rsidR="0026452D" w:rsidRDefault="0026452D" w:rsidP="0026452D">
      <w:pPr>
        <w:pStyle w:val="TextoNormal"/>
      </w:pPr>
      <w:r>
        <w:t>El art. 19 del Real Decreto 831/2003, que regula el calendario escolar, se impugna por el Gobierno de la Generalitat de Cataluña, por entender que no puede tener carácter básico. La determinación del calendario académico, estableciendo no sólo el mínimo de días lectivos (175), sino también las fechas de inicio (no antes del 1 de septiembre) y conclusión (no más tarde del 30 de junio) del curso escolar, supone, según la Letrada de la Generalitat de Cataluña, una extralimitación en el ejercicio de la competencia estatal en relación con las normas básicas para el desarrollo del art. 27 CE, a que se refiere el art. 149.1.30 CE, pues esa determinación del calendario escolar no viene justificada por la necesidad de asegurar el contenido de las enseñanzas mínimas en la etapa de educación secundaria obligatoria. La determinación del calendario escolar es una materia organizativa y por tanto se enmarca en la competencia plena de la Generalitat de Cataluña sobre educación.</w:t>
      </w:r>
    </w:p>
    <w:p w:rsidR="0026452D" w:rsidRDefault="0026452D" w:rsidP="0026452D">
      <w:pPr>
        <w:pStyle w:val="TextoNormal"/>
      </w:pPr>
    </w:p>
    <w:p w:rsidR="0026452D" w:rsidRDefault="0026452D" w:rsidP="0026452D">
      <w:pPr>
        <w:pStyle w:val="TextoNormal"/>
      </w:pPr>
      <w:r>
        <w:t>En fin, sostiene la Letrada autonómica que el desarrollo de la atención a los alumnos con necesidades educativas específicas corresponde a la Generalitat de Cataluña, por lo que la regulación contenida en la disposición adicional segunda del Real Decreto 831/2003 (que, por un lado permite reducir la duración de la educación secundaria obligatoria para los alumnos superdotados; y, por otro, fija en 19 años el límite máximo de edad para la escolarización de alumnos con necesidades educativas especiales en aulas de educación especial en centros ordinarios), supone, por detallada, una extralimitación de lo básico.</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Mediante providencia de la Sección Primera del Tribunal Constitucional de 2 de diciembre de 2003 se acordó admitir a trámite el conflicto positivo de competencia interpuesto por el Gobierno de la Generalitat de Cataluña en relación con los arts. 3, 4, 6.3, 7, 9, 15.1 y </w:t>
      </w:r>
      <w:r>
        <w:lastRenderedPageBreak/>
        <w:t>19; la disposición final primera; y los anexos I, II y III, del Real Decreto 831/2003, de 27 de junio, por el que se establece la ordenación general y las enseñanzas comunes de la educación secundaria obligatoria. Asimismo se acordó dar traslado de la demanda y documentos presentados al Gobierno de la Nación, por conducto de su Presidente, para que en el plazo de veinte días y, por medio de la representación procesal que determina el art. 82.2 LOTC, aporte cuantos documentos y alegaciones considere convenientes. Igualmente se acordó comunicar la incoación del conflicto a la Sala de lo Contencioso-Administrativo del Tribunal Supremo, por si ante la misma estuvieran impugnados o se impugnaren los citados preceptos del referido real decreto, en cuyo caso se suspenderá el curso del proceso hasta la decisión del conflicto, según dispone el art. 61.2 LOTC, así como publicar la incoación del conflicto en el “Boletín Oficial del Estado” y en el “Diario Oficial de la Generalidad de Cataluña”.</w:t>
      </w:r>
    </w:p>
    <w:p w:rsidR="0026452D" w:rsidRDefault="0026452D" w:rsidP="0026452D">
      <w:pPr>
        <w:pStyle w:val="TextoNormal"/>
      </w:pPr>
    </w:p>
    <w:p w:rsidR="0026452D" w:rsidRDefault="0026452D" w:rsidP="0026452D">
      <w:pPr>
        <w:pStyle w:val="TextoNormal"/>
      </w:pPr>
      <w:r w:rsidRPr="0026452D">
        <w:rPr>
          <w:rStyle w:val="NumeroAFNegritaCaracter"/>
        </w:rPr>
        <w:t>4</w:t>
      </w:r>
      <w:r>
        <w:t>. La Abogada del Estado se personó en el presente proceso constitucional en nombre del Gobierno de la Nación y formuló alegaciones mediante escrito registrado en este Tribunal el 2 de enero de 2004, solicitando que se dictase Sentencia desestimatoria del conflicto conforme a los argumentos que seguidamente se exponen.</w:t>
      </w:r>
    </w:p>
    <w:p w:rsidR="0026452D" w:rsidRDefault="0026452D" w:rsidP="0026452D">
      <w:pPr>
        <w:pStyle w:val="TextoNormal"/>
      </w:pPr>
    </w:p>
    <w:p w:rsidR="0026452D" w:rsidRDefault="0026452D" w:rsidP="0026452D">
      <w:pPr>
        <w:pStyle w:val="TextoNormal"/>
      </w:pPr>
      <w:r>
        <w:t>Comienza señalando la Abogada del Estado como cuestión preliminar que es necesario delimitar el objeto del conflicto, pues no resulta del todo congruente con el requerimiento de incompetencia efectuado por el Gobierno de la Generalitat de Cataluña. Y ello porque dicho requerimiento se formula en relación con los arts. 3, 4, 6.3, 7, 9, 15.1 y 19; la disposición adicional segunda; las disposiciones finales primera y segunda; y los anexos I, II y III, del Real Decreto 831/2003, de 27 de junio, mientras que en el suplico de la demanda del conflicto no se incluye la disposición adicional segunda (aunque sí se formulan alegaciones al respecto en el cuerpo de la demanda) ni tampoco la disposición final segunda (sobre la que el Gobierno de la Generalitat de Cataluña considera haber obtenido satisfacción a su requerimiento, pese a que el Consejo de Ministros acordó no estimar fundado el mismo).</w:t>
      </w:r>
    </w:p>
    <w:p w:rsidR="0026452D" w:rsidRDefault="0026452D" w:rsidP="0026452D">
      <w:pPr>
        <w:pStyle w:val="TextoNormal"/>
      </w:pPr>
    </w:p>
    <w:p w:rsidR="0026452D" w:rsidRDefault="0026452D" w:rsidP="0026452D">
      <w:pPr>
        <w:pStyle w:val="TextoNormal"/>
      </w:pPr>
      <w:r>
        <w:t>Señala a continuación la Abogada del Estado que las dos primeras alegaciones que se formulan por la representación autonómica se encuentran íntimamente conectadas con las formuladas por el propio Gobierno de la Generalitat de Cataluña en el recurso de inconstitucionalidad núm. 1621-2003 interpuesto contra diversos preceptos de la Ley Orgánica de calidad de la educación. En consecuencia, por razones de economía procesal, la Abogacía del Estado se remite íntegramente a sus alegaciones en dicho recurso relativas a las bases constitucionales del sistema educativo, la significación general de la Ley Orgánica de calidad de la educación y su amparo en las competencias reservadas al Estado por los arts. 149.1.1, 149.1.18 y 149.1.30 CE. Estos mismos títulos competenciales amparan el Real Decreto 831/2003, de 27 de junio, por el que se establece la ordenación general y las enseñanzas comunes de la educación secundaria obligatoria, que desarrolla la Ley Orgánica de calidad de la educación.</w:t>
      </w:r>
    </w:p>
    <w:p w:rsidR="0026452D" w:rsidRDefault="0026452D" w:rsidP="0026452D">
      <w:pPr>
        <w:pStyle w:val="TextoNormal"/>
      </w:pPr>
    </w:p>
    <w:p w:rsidR="0026452D" w:rsidRDefault="0026452D" w:rsidP="0026452D">
      <w:pPr>
        <w:pStyle w:val="TextoNormal"/>
      </w:pPr>
      <w:r>
        <w:t xml:space="preserve">Señalado lo anterior, la Abogada del Estado se refiere al primer grupo de preceptos impugnados, los arts. 3, 4, 6.3, 7 y 9, y los anexos I, II y III del Real Decreto 831/2003, que se impugnan por entender que la regulación de las enseñanzas comunes efectuada en el Real Decreto impide su desarrollo por la Comunidad Autónoma. Al respecto la Abogacía del Estado señala que la controversia competencial planteada en este caso reproduce la ya suscitada en el referido recurso de inconstitucionalidad contra la Ley Orgánica de calidad de la </w:t>
      </w:r>
      <w:r>
        <w:lastRenderedPageBreak/>
        <w:t>educación a propósito de la sustitución terminológica que lleva a cabo esta Ley de las “enseñanzas mínimas” por “enseñanzas comunes”, por lo que la Abogacía del Estado da por reproducidas sus alegaciones en dicho recurso sobre esta cuestión. Recuerda la Abogada del Estado que la competencia estatal para establecer las enseñanzas mínimas ha sido reconocida por la doctrina constitucional (SSTC 6/1982, de 22 de febrero, y 87/1983 y 88/1983, de 27 de octubre ambas), de modo que al Estado le corresponde fijar las enseñanzas comunes (antes mínimas) y a las Comunidades Autónomas establecer el currículo completo, del que las enseñanzas comunes forman parte en sus propios términos. La fijación por el Estado de las enseñanzas comunes, obligatorias para todo el territorio nacional, es necesaria derivación de la unidad del sistema educativo español (mínimo común educativo), por lo que si se permitiera que las Comunidades Autónomas pudieran alterar, modificar o sustituir las enseñanzas comunes no quedaría garantizada la formación común que define la identidad del sistema educativo, de modo que se trata de una competencia que, por su propia naturaleza corresponde al Estado. Además, la determinación por el Estado de las enseñanzas comunes enlaza a su vez con otra competencia exclusiva estatal, cual es la de regular la obtención, expedición y homologación de títulos académicos y profesionales (art. 149.1.30 CE).</w:t>
      </w:r>
    </w:p>
    <w:p w:rsidR="0026452D" w:rsidRDefault="0026452D" w:rsidP="0026452D">
      <w:pPr>
        <w:pStyle w:val="TextoNormal"/>
      </w:pPr>
    </w:p>
    <w:p w:rsidR="0026452D" w:rsidRDefault="0026452D" w:rsidP="0026452D">
      <w:pPr>
        <w:pStyle w:val="TextoNormal"/>
      </w:pPr>
      <w:r>
        <w:t>Además, el mayor peso académico de las enseñanzas comunes justifica la competencia estatal para fijar, en relación con los horarios escolares, los porcentajes que han de dedicarse a las enseñanzas comunes, atendiendo a la existencia en las Comunidades Autónomas de otra lengua cooficial distinta del castellano, lengua oficial en todo el territorio español (SSTC 87/1983 y 88/1983, FFJJ 4 y 5), sin que puedan aceptarse los argumentos que realiza la demanda sobre el pretendido perjuicio que se causa a la enseñanza de la lengua catalana, dado que, según la Abogada del Estado, tales argumentos parten de una interpretación errónea de las disposiciones reglamentarias dictadas en desarrollo de la Ley Orgánica de ordenación general del sistema educativo, que conducía en la práctica a que la Generalitat de Cataluña viniese impartiendo menos horas lectivas de las establecidas para la enseñanza de la lengua castellana. El Real Decreto 831/2003 conserva la anterior previsión normativa de que las Comunidades Autónomas con lengua cooficial propia dispongan del 10 por 100 del horario escolar para el estudio de la misma, pero al propio tiempo establece un mínimo de tres horas semanales para estudio de la lengua castellana, de modo que las Comunidades Autónomas con lengua cooficial propia tendrán que detraer ese 10 por 100 para el estudio de la misma de otras materias, en lugar de hacerlo del estudio de la lengua castellana, como invariablemente venía sucediendo en Cataluña, en detrimento del estudio de la lengua oficial en todo el Estado. No hay, pues, en el Real Decreto 831/2003 perjuicio ni trato desigual para la enseñanza de la lengua catalana (en la que, por lo demás, se imparte el currículo de la educación secundaria obligatoria en Cataluña, y en la que están redactados también sus libros de texto), ni tampoco invasión de las competencias autonómicas sobre educación, sino que, por el contrario, el Real Decreto 831/2003 contribuye a una adecuada enseñanza —hasta ahora no garantizada— de la lengua castellana en las Comunidades Autónomas con régimen de cooficialidad lingüística.</w:t>
      </w:r>
    </w:p>
    <w:p w:rsidR="0026452D" w:rsidRDefault="0026452D" w:rsidP="0026452D">
      <w:pPr>
        <w:pStyle w:val="TextoNormal"/>
      </w:pPr>
    </w:p>
    <w:p w:rsidR="0026452D" w:rsidRDefault="0026452D" w:rsidP="0026452D">
      <w:pPr>
        <w:pStyle w:val="TextoNormal"/>
      </w:pPr>
      <w:r>
        <w:t xml:space="preserve">Por lo que respecta a la impugnación del art. 15.1 del Real Decreto 831/2003, que determina la composición del equipo de evaluación, la Abogacía del Estado se remite a sus alegaciones respecto del art. 29.3 de la Ley Orgánica de calidad de la educación, que aquel precepto desarrolla, en el referido recurso de inconstitucionalidad de la Generalitat de Cataluña. Según la Abogada del Estado, la determinación de la composición del equipo de </w:t>
      </w:r>
      <w:r>
        <w:lastRenderedPageBreak/>
        <w:t>evaluación responde a la necesidad de asegurar unas condiciones básicas de igualdad en la acción evaluadora de los alumnos dentro del sistema educativo español, lo que contribuye a garantizar la efectiva homologación de títulos, por lo que se trata de una medida que al Estado corresponde establecer.</w:t>
      </w:r>
    </w:p>
    <w:p w:rsidR="0026452D" w:rsidRDefault="0026452D" w:rsidP="0026452D">
      <w:pPr>
        <w:pStyle w:val="TextoNormal"/>
      </w:pPr>
    </w:p>
    <w:p w:rsidR="0026452D" w:rsidRDefault="0026452D" w:rsidP="0026452D">
      <w:pPr>
        <w:pStyle w:val="TextoNormal"/>
      </w:pPr>
      <w:r>
        <w:t>La Abogacía del Estado rechaza asimismo la impugnación del art. 19 del Real Decreto 831/2003, que regula el calendario escolar. Este precepto, que se limita a establecer un mínimo de días lectivos y una previsión de fechas-tope de inicio y conclusión del curso escolar, y que atribuye a las Administraciones educativas la competencia para fijar anualmente el calendario escolar, constituye normativa básica sobre educación, pues establece un mínimo común denominador normativo en el sistema educativo español.</w:t>
      </w:r>
    </w:p>
    <w:p w:rsidR="0026452D" w:rsidRDefault="0026452D" w:rsidP="0026452D">
      <w:pPr>
        <w:pStyle w:val="TextoNormal"/>
      </w:pPr>
    </w:p>
    <w:p w:rsidR="0026452D" w:rsidRDefault="0026452D" w:rsidP="0026452D">
      <w:pPr>
        <w:pStyle w:val="TextoNormal"/>
      </w:pPr>
      <w:r>
        <w:t>Finalmente, la Abogacía del Estado niega que, en contra de lo que sostiene la representación autonómica en el último fundamento de su demanda —si bien no solicita luego en el suplico la anulación del precepto— la regulación contenida en la disposición adicional segunda del Real Decreto 831/2003 (flexibilización de la duración de la etapa), suponga una extralimitación de lo básico, remitiéndose de nuevo la Abogacía del Estado a sus alegaciones sobre esta cuestión en el referido recurso de inconstitucionalidad de la Generalitat de Cataluña contra la Ley Orgánica de calidad de la educación.</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providencia de 26 de febrero de 2013 se señaló para deliberación y votación de la presente Sentencia el día 28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En el presente proceso constitucional hemos de resolver el conflicto positivo de competencia planteado por el Gobierno de la Generalitat de Cataluña contra diversos preceptos del Real Decreto 831/2003, de 27 de junio, por el que se establece la ordenación general y las enseñanzas comunes de la educación secundaria obligatoria.</w:t>
      </w:r>
    </w:p>
    <w:p w:rsidR="0026452D" w:rsidRDefault="0026452D" w:rsidP="0026452D">
      <w:pPr>
        <w:pStyle w:val="TextoNormal"/>
      </w:pPr>
    </w:p>
    <w:p w:rsidR="0026452D" w:rsidRDefault="0026452D" w:rsidP="0026452D">
      <w:pPr>
        <w:pStyle w:val="TextoNormal"/>
      </w:pPr>
      <w:r>
        <w:t>Como ha quedado expuesto en los antecedentes de esta Sentencia, el Gobierno de la Generalitat de Cataluña considera que determinados preceptos del citado real decreto resultan contrarios al orden constitucional de distribución de competencias, pues estima en síntesis que, conforme al art. 149.1.30 CE y a las previsiones del Estatuto de Autonomía de Cataluña, la regulación de las “enseñanzas comunes” contenida en los arts. 3, 4, 6.3, 7, 9, 15.1 y 19, la disposición final primera y los anexos I, II y III, del Real Decreto 831/2003, excedería, por su minuciosidad y detalle, de lo que puede considerarse básico en esta materia, al agotar completamente el espacio normativo de la Comunidad Autónoma respecto a la regulación del contenido del currículo de la educación secundaria obligatoria, con especial afectación en lo que se refiere a la enseñanza de la lengua catalana en este nivel educativo. La impugnación que se dirige contra la disposición final primera no es autónoma, en cuanto que con ella se pone de manifiesto la falta de cobertura competencial que se reprocha a los restantes contenidos del Real Decreto 831/2003 que han sido impugnados.</w:t>
      </w:r>
    </w:p>
    <w:p w:rsidR="0026452D" w:rsidRDefault="0026452D" w:rsidP="0026452D">
      <w:pPr>
        <w:pStyle w:val="TextoNormal"/>
      </w:pPr>
    </w:p>
    <w:p w:rsidR="0026452D" w:rsidRDefault="0026452D" w:rsidP="0026452D">
      <w:pPr>
        <w:pStyle w:val="TextoNormal"/>
      </w:pPr>
      <w:r>
        <w:t xml:space="preserve">Al anterior planteamiento se ha opuesto la Abogacía del Estado señalando que el presente conflicto viene a reproducir en buena medida los argumentos deducidos por el propio Gobierno de la Generalitat de Cataluña en su recurso de inconstitucionalidad núm. 1621-2003 </w:t>
      </w:r>
      <w:r>
        <w:lastRenderedPageBreak/>
        <w:t>interpuesto contra diversos preceptos de la Ley Orgánica 10/2002, de calidad de la educación, que dan cobertura al Real Decreto 831/2003, y que la regulación objeto del presente conflicto se enmarcaría en las competencias reconocidas al Estado para garantizar que el derecho a la educación, en lo que se refiere a la educación secundaria obligatoria, se ejerza con igualdad y uniformidad en cualquier parte del territorio del Estado.</w:t>
      </w:r>
    </w:p>
    <w:p w:rsidR="0026452D" w:rsidRDefault="0026452D" w:rsidP="0026452D">
      <w:pPr>
        <w:pStyle w:val="TextoNormal"/>
      </w:pPr>
    </w:p>
    <w:p w:rsidR="0026452D" w:rsidRDefault="0026452D" w:rsidP="0026452D">
      <w:pPr>
        <w:pStyle w:val="TextoNormal"/>
      </w:pPr>
      <w:r>
        <w:t>En suma, el conflicto suscitado gira en torno a la delimitación de las competencias del Estado y de la Comunidad Autónoma de Cataluña respecto a la regulación de las enseñanzas que deben configurar el currículo de la educación secundaria obligatoria, en términos similares a los planteados en el citado recurso de inconstitucionalidad núm. 1621-2003 interpuesto por el Gobierno de la Generalitat de Cataluña contra diversos preceptos de la Ley Orgánica de calidad de la educación, entre ellos el art. 8.2 y 3 (y, en relación con ellos, los arts. 16.3, 23.2, 26.2, 35.6 y 49.2 y la disposición adicional segunda, apartado 2), en cuanto atañe a la regulación de las enseñanzas comunes de la educación secundaria obligatoria, debiendo recordarse que esta impugnación fue desestimada en la reciente STC 212/2012, de 14 de noviembre.</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al examen de fondo de los preceptos impugnados procede efectuar determinadas precisiones de orden procesal que condicionan el alcance de dicho examen de fondo.</w:t>
      </w:r>
    </w:p>
    <w:p w:rsidR="0026452D" w:rsidRDefault="0026452D" w:rsidP="0026452D">
      <w:pPr>
        <w:pStyle w:val="TextoNormal"/>
      </w:pPr>
    </w:p>
    <w:p w:rsidR="0026452D" w:rsidRDefault="0026452D" w:rsidP="0026452D">
      <w:pPr>
        <w:pStyle w:val="TextoNormal"/>
      </w:pPr>
      <w:r>
        <w:t>a) En primer lugar es necesario determinar la incidencia que pueda tener en este proceso constitucional el hecho de que el real decreto objeto del conflicto no se encuentre en vigor en el momento de dictar la presente Sentencia.</w:t>
      </w:r>
    </w:p>
    <w:p w:rsidR="0026452D" w:rsidRDefault="0026452D" w:rsidP="0026452D">
      <w:pPr>
        <w:pStyle w:val="TextoNormal"/>
      </w:pPr>
    </w:p>
    <w:p w:rsidR="0026452D" w:rsidRDefault="0026452D" w:rsidP="0026452D">
      <w:pPr>
        <w:pStyle w:val="TextoNormal"/>
      </w:pPr>
      <w:r>
        <w:t>En efecto, el Real Decreto 831/2003, de 27 de junio, por el que se establece la ordenación general y las enseñanzas comunes de la educación secundaria obligatoria, en desarrollo de lo dispuesto en el art. 8.2 de la Ley Orgánica de calidad de la educación, fue derogado por el Real Decreto 806/2006, de 30 de junio, por el que se establece el calendario de aplicación de la nueva ordenación del sistema educativo resultante de la Ley Orgánica 2/2006, de 3 de mayo, de educación, en los términos señalados por la disposición transitoria primera del propio Real Decreto 806/2006, en cuyo virtud se mantiene la vigencia de los arts. 13, 15 y 18.2 y 3 del Real Decreto 831/2003, referentes a la evaluación, promoción y condiciones de obtención del título de graduado en educación secundaria obligatoria (preceptos no impugnados en el presente conflicto) hasta el término del año académico 2006-2007. Posteriormente se dicta, en desarrollo del art. 6.2 de la citada Ley Orgánica 2/2006, de educación, el vigente Real Decreto 1631/2006, de 29 de diciembre, por el que se establecen las enseñanzas mínimas correspondientes a la educación secundaria obligatoria (parcialmente modificado por el Real Decreto 1146/2011, de 29 de julio, y el Real Decreto 1190/2012, de 3 de agosto), que sustituye definitivamente a la regulación contenida en el Real Decreto 831/2003, de acuerdo con el calendario de aplicación de la nueva ordenación del sistema educativo derivado de la mencionada Ley Orgánica 2/2006, establecido, en lo que se refiere a la educación secundaria obligatoria, por el art. 8 y ss. del citado Real Decreto 806/2006.</w:t>
      </w:r>
    </w:p>
    <w:p w:rsidR="0026452D" w:rsidRDefault="0026452D" w:rsidP="0026452D">
      <w:pPr>
        <w:pStyle w:val="TextoNormal"/>
      </w:pPr>
    </w:p>
    <w:p w:rsidR="0026452D" w:rsidRDefault="0026452D" w:rsidP="0026452D">
      <w:pPr>
        <w:pStyle w:val="TextoNormal"/>
      </w:pPr>
      <w:r>
        <w:t xml:space="preserve">Constatada así la pérdida de vigencia del Real Decreto 831/2003, objeto del presente conflicto, debemos recordar que este Tribunal ha afirmado reiteradamente, en relación con las modificaciones normativas en procesos constitucionales de naturaleza competencial, que la eventual apreciación de la pérdida de objeto del proceso dependerá de la incidencia real </w:t>
      </w:r>
      <w:r>
        <w:lastRenderedPageBreak/>
        <w:t>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18/2011, de 3 de marzo, FJ 3, y 143/2012, de 5 de julio, FJ 2). De modo que si la normativa en torno a la cual se trabó el conflicto resulta parcialmente modificada por otra que viene a plantear los mismos problemas competenciales la consecuencia será la no desaparición del conflicto (por todas, SSTC 133/2012, de 19 de junio, FJ 2, 194/2012, de 31 de octubre, FJ 2, y 207/2012, de 14 de noviembre, FJ 2).</w:t>
      </w:r>
    </w:p>
    <w:p w:rsidR="0026452D" w:rsidRDefault="0026452D" w:rsidP="0026452D">
      <w:pPr>
        <w:pStyle w:val="TextoNormal"/>
      </w:pPr>
    </w:p>
    <w:p w:rsidR="0026452D" w:rsidRDefault="0026452D" w:rsidP="0026452D">
      <w:pPr>
        <w:pStyle w:val="TextoNormal"/>
      </w:pPr>
      <w:r>
        <w:t>Conforme a la doctrina que se acaba de exponer resulta que la nueva normativa reguladora de las enseñanzas mínimas de la educación secundaria obligatoria (Real Decreto 1631/2006, de 29 de diciembre), ha supuesto la desaparición sobrevenida de parte del objeto del presente proceso constitucional, conforme seguidamente se indica.</w:t>
      </w:r>
    </w:p>
    <w:p w:rsidR="0026452D" w:rsidRDefault="0026452D" w:rsidP="0026452D">
      <w:pPr>
        <w:pStyle w:val="TextoNormal"/>
      </w:pPr>
    </w:p>
    <w:p w:rsidR="0026452D" w:rsidRDefault="0026452D" w:rsidP="0026452D">
      <w:pPr>
        <w:pStyle w:val="TextoNormal"/>
      </w:pPr>
      <w:r>
        <w:t>Respecto a la impugnación de los arts. 3, 4, 6.3, 7 y 9 del Real Decreto 831/2003, en relación con los anexos I, II y III del mismo, cabe advertir que la regulación actualmente vigente, el ya mencionado Real Decreto 1631/2006, de 29 de diciembre, no hace referencia a las denominadas “enseñanzas comunes” ni a la necesidad de que consten en el currículo en sus propios términos. Debemos, pues, concluir que la controversia trabada en torno a estos aspectos ha desaparecido, en la medida en que el Estado ya no mantiene su voluntad de determinar tales cuestiones. Todo ello sin perjuicio de advertir que esta impugnación se encuentra estrechamente relacionada con la efectuada en el recurso de inconstitucionalidad interpuesto por el Gobierno de la Generalitat de Cataluña contra la Ley Orgánica de calidad de la educación, que ya encontró respuesta en la citada STC 212/2012, FJ 4, por lo que no subsiste aquí necesidad alguna de preservar los ámbitos respectivos de competencia.</w:t>
      </w:r>
    </w:p>
    <w:p w:rsidR="0026452D" w:rsidRDefault="0026452D" w:rsidP="0026452D">
      <w:pPr>
        <w:pStyle w:val="TextoNormal"/>
      </w:pPr>
    </w:p>
    <w:p w:rsidR="0026452D" w:rsidRDefault="0026452D" w:rsidP="0026452D">
      <w:pPr>
        <w:pStyle w:val="TextoNormal"/>
      </w:pPr>
      <w:r>
        <w:t>No sucede lo mismo, sin embargo, con la impugnación relativa a lo que se estima como una indebida determinación de los contenidos y horarios de las áreas lingüísticas y los horarios correspondientes, esencialmente contenidas en los anexos I y II del Real Decreto 831/2003, en cuanto que el Gobierno de la Generalitat de Cataluña entiende que con esta regulación se impide o dificulta el conocimiento de la lengua propia de la Comunidad Autónoma. En efecto, aunque que formuladas de un modo distinto, tales reglas subsisten en el vigente Real Decreto 1631/2006 (art. 9 y anexo III), por lo que, de conformidad con nuestra doctrina, forzoso es concluir que el objeto del conflicto no ha desaparecido en este punto.</w:t>
      </w:r>
    </w:p>
    <w:p w:rsidR="0026452D" w:rsidRDefault="0026452D" w:rsidP="0026452D">
      <w:pPr>
        <w:pStyle w:val="TextoNormal"/>
      </w:pPr>
    </w:p>
    <w:p w:rsidR="0026452D" w:rsidRDefault="0026452D" w:rsidP="0026452D">
      <w:pPr>
        <w:pStyle w:val="TextoNormal"/>
      </w:pPr>
      <w:r>
        <w:t>También ha de entenderse subsistente la controversia trabada respecto del art. 15.1 del Real Decreto 831/2003, en cuanto determina la composición del equipo de evaluación (que debe decidir sobre la promoción del alumno al curso siguiente), toda vez que el vigente Real Decreto 1631/2006 reproduce esta regla organizativa en términos similares en su art. 10.4.</w:t>
      </w:r>
    </w:p>
    <w:p w:rsidR="0026452D" w:rsidRDefault="0026452D" w:rsidP="0026452D">
      <w:pPr>
        <w:pStyle w:val="TextoNormal"/>
      </w:pPr>
    </w:p>
    <w:p w:rsidR="0026452D" w:rsidRDefault="0026452D" w:rsidP="0026452D">
      <w:pPr>
        <w:pStyle w:val="TextoNormal"/>
      </w:pPr>
      <w:r>
        <w:t xml:space="preserve">Por último, ha de concluirse que ha perdido objeto la impugnación referida a la falta de carácter básico de la fijación del calendario escolar establecida en el art. 19 del Real Decreto 831/2003, pues no se encuentra en el contenido del Real Decreto 1631/2006 mención alguna a la determinación del calendario escolar. Ello sin perjuicio de advertir que también esta impugnación reproduce la efectuada en el recurso de inconstitucionalidad interpuesto por la Generalitat de Cataluña contra la Ley Orgánica de calidad de la educación, que ya encontró </w:t>
      </w:r>
      <w:r>
        <w:lastRenderedPageBreak/>
        <w:t>respuesta en la STC 212/2012, FJ 9, por lo que tampoco subsistiría la necesidad de preservar los ámbitos respectivos de competencia en este punto.</w:t>
      </w:r>
    </w:p>
    <w:p w:rsidR="0026452D" w:rsidRDefault="0026452D" w:rsidP="0026452D">
      <w:pPr>
        <w:pStyle w:val="TextoNormal"/>
      </w:pPr>
    </w:p>
    <w:p w:rsidR="0026452D" w:rsidRDefault="0026452D" w:rsidP="0026452D">
      <w:pPr>
        <w:pStyle w:val="TextoNormal"/>
      </w:pPr>
      <w:r>
        <w:t>b) Expuesto cuanto antecede, debemos seguidamente delimitar el objeto del presente proceso constitucional, teniendo en cuenta que, como ha reiterado nuestra doctrina (por todas, STC 207/2012, de 14 de noviembre, FJ 2), el enjuiciamiento que se solicita de este Tribunal debe contraerse exclusivamente a los preceptos que se contienen en el suplico de la demanda del conflicto, en la que, como señala el Abogado del Estado, no aparece ninguna mención a la disposición adicional segunda del Real Decreto 831/2003 (atención a los alumnos con necesidades educativas específicas), por lo que el citado precepto no debe ser enjuiciado en el presente conflicto de competencia. Y ello sin perjuicio de advertir que de nuevo estamos ante una impugnación que reproduce la planteada en el recurso de inconstitucionalidad interpuesto por la Generalitat de Cataluña contra la Ley Orgánica de calidad de la educación, que también encontró respuesta en la citada STC 212/2012, FJ 4, por lo que tampoco subsiste aquí necesidad de preservar los ámbitos respectivos de competencia.</w:t>
      </w:r>
    </w:p>
    <w:p w:rsidR="0026452D" w:rsidRDefault="0026452D" w:rsidP="0026452D">
      <w:pPr>
        <w:pStyle w:val="TextoNormal"/>
      </w:pPr>
    </w:p>
    <w:p w:rsidR="0026452D" w:rsidRDefault="0026452D" w:rsidP="0026452D">
      <w:pPr>
        <w:pStyle w:val="TextoNormal"/>
      </w:pPr>
      <w:r>
        <w:t>De igual modo resulta innecesario un pronunciamiento específico sobre la disposición final primera del Real Decreto 831/2003, pues, como ya quedó señalado, la queja que se dirige contra esta disposición no es autónoma, en cuanto que con la misma se pretende poner de manifiesto la falta de cobertura competencial que se reprocha a los restantes contenidos del Real Decreto 831/2003 que han sido impugnados en el presente proceso.</w:t>
      </w:r>
    </w:p>
    <w:p w:rsidR="0026452D" w:rsidRDefault="0026452D" w:rsidP="0026452D">
      <w:pPr>
        <w:pStyle w:val="TextoNormal"/>
      </w:pPr>
    </w:p>
    <w:p w:rsidR="0026452D" w:rsidRDefault="0026452D" w:rsidP="0026452D">
      <w:pPr>
        <w:pStyle w:val="TextoNormal"/>
      </w:pPr>
      <w:r>
        <w:t xml:space="preserve">c) Finalmente, habrá de tenerse en cuenta que, de acuerdo con nuestra doctrina sobre el </w:t>
      </w:r>
      <w:r w:rsidRPr="0026452D">
        <w:rPr>
          <w:i/>
        </w:rPr>
        <w:t>ius superveniens</w:t>
      </w:r>
      <w:r>
        <w:t xml:space="preserve"> en procesos de naturaleza competencial (por todas, SSTC 137/1986, de 6 de noviembre, FJ 2, y 83/2012, de 18 de abril, FJ 2), las cuestiones que se controvierten se decidirán a la luz de la delimitación de competencias resultante de la Ley Orgánica 6/2006, de 19 de julio, de reforma del Estatuto de Autonomía de Cataluña (EAC), apreciando el alcance que sus prescripciones puedan tener, en su caso, sobre la controversia trabada.</w:t>
      </w:r>
    </w:p>
    <w:p w:rsidR="0026452D" w:rsidRDefault="0026452D" w:rsidP="0026452D">
      <w:pPr>
        <w:pStyle w:val="TextoNormal"/>
      </w:pPr>
    </w:p>
    <w:p w:rsidR="0026452D" w:rsidRDefault="0026452D" w:rsidP="0026452D">
      <w:pPr>
        <w:pStyle w:val="TextoNormal"/>
      </w:pPr>
      <w:r w:rsidRPr="0026452D">
        <w:rPr>
          <w:rStyle w:val="NumeroAFNegritaCaracter"/>
        </w:rPr>
        <w:t>3</w:t>
      </w:r>
      <w:r>
        <w:t>. Centrados así los términos del debate procesal hemos de considerar seguidamente la cuestión relativa al encuadramiento de la cuestión controvertida en el sistema material de distribución de competencias. Al respecto es patente que su ámbito natural de encuadramiento es, como coinciden ambas partes procesales, la materia de educación, en concreto en su vertiente no universitaria.</w:t>
      </w:r>
    </w:p>
    <w:p w:rsidR="0026452D" w:rsidRDefault="0026452D" w:rsidP="0026452D">
      <w:pPr>
        <w:pStyle w:val="TextoNormal"/>
      </w:pPr>
    </w:p>
    <w:p w:rsidR="0026452D" w:rsidRDefault="0026452D" w:rsidP="0026452D">
      <w:pPr>
        <w:pStyle w:val="TextoNormal"/>
      </w:pPr>
      <w:r>
        <w:t xml:space="preserve">En cuanto se refiere a las competencias estatales en esta materia baste ahora con remitirse a la STC 184/2012, de 17 de octubre, FJ 3, que sintetiza nuestra doctrina respecto a las competencias estatales en materia de educación </w:t>
      </w:r>
      <w:r w:rsidRPr="0026452D">
        <w:rPr>
          <w:i/>
        </w:rPr>
        <w:t>ex</w:t>
      </w:r>
      <w:r>
        <w:t xml:space="preserve"> art. 149.1.30 CE, en su doble contenido relativo a la competencia exclusiva para la “regulación de las condiciones de obtención, expedición y homologación de títulos académicos y profesionales”, y a la competencia sobre las “normas básicas para el desarrollo del artículo 27 de la Constitución, a fin de garantizar el cumplimiento de las obligaciones de los poderes públicos en esta materia”.</w:t>
      </w:r>
    </w:p>
    <w:p w:rsidR="0026452D" w:rsidRDefault="0026452D" w:rsidP="0026452D">
      <w:pPr>
        <w:pStyle w:val="TextoNormal"/>
      </w:pPr>
    </w:p>
    <w:p w:rsidR="0026452D" w:rsidRDefault="0026452D" w:rsidP="0026452D">
      <w:pPr>
        <w:pStyle w:val="TextoNormal"/>
      </w:pPr>
      <w:r>
        <w:t xml:space="preserve">A las competencias educativas autonómicas se refiere la citada STC 212/2012, FJ 3, en los términos siguientes: </w:t>
      </w:r>
    </w:p>
    <w:p w:rsidR="0026452D" w:rsidRDefault="0026452D" w:rsidP="0026452D">
      <w:pPr>
        <w:pStyle w:val="TextoNormal"/>
      </w:pPr>
    </w:p>
    <w:p w:rsidR="0026452D" w:rsidRDefault="0026452D" w:rsidP="0026452D">
      <w:pPr>
        <w:pStyle w:val="TextoNormal"/>
      </w:pPr>
      <w:r>
        <w:lastRenderedPageBreak/>
        <w:t>“En esta materia, el art. 131 del Estatuto de Autonomía de Cataluña (EAC) aprobado en el año 2006, bajo la rúbrica “Educación”, atribuye determinadas competencias a la Generalitat de Cataluña en el ámbito de la enseñanza no universitaria. En particular de acuerdo con el apartado 2 del art. 131 EAC, corresponde a la Generalitat, en materia de enseñanza no universitaria, la competencia exclusiva respecto de ‘las enseñanzas obligatorias y no obligatorias que conducen a la obtención de un título académico o profesional con validez en todo el Estado y a las enseñanzas de educación infantil’. Competencia exclusiva que, en virtud del mismo precepto, incluye una serie de potestades especificadas en ocho subapartados y sobre la que, como recuerda la STC 111/2012, de 24 de mayo, ya señalamos en la STC 31/2010, de 28 de junio, FJ 77, que ‘[s]e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Por último, el apartado 3 del mismo precepto atribuye a la Generalitat una competencia compartida ‘[e]n lo no regulado en el apartado 2 y en relación con las enseñanzas que en él se contemplan’, y ‘respetando los aspectos esenciales del derecho a la educación y a la libertad de enseñanza en materia de enseñanza no universitaria y de acuerdo con lo dispuesto en el artículo 149.1.30 de la Constitución’. Esta competencia también incluye en una decena de subapartados la enunciación de una serie de facultades concretas que corresponden a la Generalitat que han de ser entendidas en el sentido que ya expresamos en la STC 31/2010 (FJ 60).”</w:t>
      </w:r>
    </w:p>
    <w:p w:rsidR="0026452D" w:rsidRDefault="0026452D" w:rsidP="0026452D">
      <w:pPr>
        <w:pStyle w:val="TextoNormal"/>
      </w:pPr>
    </w:p>
    <w:p w:rsidR="0026452D" w:rsidRDefault="0026452D" w:rsidP="0026452D">
      <w:pPr>
        <w:pStyle w:val="TextoNormal"/>
      </w:pPr>
      <w:r>
        <w:t>Finalmente, y como ya dijimos en la STC 15/2013, de 31 de enero, FJ 3, en respuesta a una queja idéntica a la presente, planteada también por el Gobierno de la Generalitat de Cataluña (en aquel caso en el conflicto positivo de competencia interpuesto contra el Real Decreto 830/2003, de 27 de junio, por el que se establecen las enseñanzas comunes de la educación primaria), puesto que lo discutido es el régimen previsto por el Estado para la enseñanza de la lengua castellana en relación con el de la lengua cooficial de la Comunidad Autónoma, cumple ahora recordar, a fin de completar el canon de enjuiciamiento, nuestra doctrina en torno a la utilización de las lenguas oficiales en la enseñanza. Doctrina esta última que, como recuerda la STC 31/2010, FJ 24, descarta desde un principio toda pretensión de exclusividad de una de las lenguas oficiales en materia de enseñanza, pues tal enseñanza de las lenguas oficiales es una de las consecuencias inherentes a la cooficialidad (STC 87/1983, de 27 de octubre, FJ 5). Así, hemos señalado que “corresponde a los poderes públicos competentes, en atención a los objetivos de la normalización lingüística en Cataluña y a los propios objetivos de la educación, organizar la enseñanza que ha de recibirse en una y otra lengua en relación con las distintas áreas de conocimiento obligatorio en los diferentes niveles educativos para alcanzar un resultado proporcionado con estas finalidades; y ello al objeto de garantizar el derecho de los ciudadanos a recibir, durante los estudios básicos en los centros docentes de Cataluña, enseñanza en catalán y en castellano. Derecho que se deriva no sólo de los arts. 3 y 27 CE sino del art. 3 del EAC.” (STC 337/1994, de 23 de diciembre, FJ 10).</w:t>
      </w:r>
    </w:p>
    <w:p w:rsidR="0026452D" w:rsidRDefault="0026452D" w:rsidP="0026452D">
      <w:pPr>
        <w:pStyle w:val="TextoNormal"/>
      </w:pPr>
    </w:p>
    <w:p w:rsidR="0026452D" w:rsidRDefault="0026452D" w:rsidP="0026452D">
      <w:pPr>
        <w:pStyle w:val="TextoNormal"/>
      </w:pPr>
      <w:r>
        <w:t xml:space="preserve">Como resalta la STC 31/2010, con cita de la STC 337/1994, FJ 9, “también desde la perspectiva del art. 27 CE ha de llegarse a la conclusión de que ni del contenido del derecho constitucional a la educación reconocido en dicho precepto ni tampoco, en particular, de sus apartados 2, 5 y 7, se desprende el derecho a recibir la enseñanza en sólo una de las dos </w:t>
      </w:r>
      <w:r>
        <w:lastRenderedPageBreak/>
        <w:t>lenguas cooficiales en la Comunidad Autónoma, a elección de los interesados. El derecho de todos a la educación, no cabe olvidarlo, se ejerce en el marco de un sistema educativo en el que los poderes públicos —esto es, el Estado a través de la legislación básica y las Comunidades Autónomas en el marco de sus competencias en esta materia— determinan los currículos de los distintos niveles, etapas, ciclos y grados de enseñanza, las enseñanzas mínimas y las concretas áreas o materias objeto de aprendizaje, organizando asimismo su desarrollo en los distintos Centros docentes; por lo que la educación constituye, en términos generales, una actividad reglada. De este modo, el derecho a la educación que la Constitución garantiza no conlleva que la actividad prestacional de los poderes públicos en esta materia pueda estar condicionada por la libre opción de los interesados de la lengua docente. Y por ello los poderes públicos —el Estado y la Comunidad Autónoma— están facultados para determinar el empleo de las dos lenguas que son cooficiales en una Comunidad Autónoma como lenguas de comunicación en la enseñanza, de conformidad con el reparto competencial en materia de educación.”</w:t>
      </w:r>
    </w:p>
    <w:p w:rsidR="0026452D" w:rsidRDefault="0026452D" w:rsidP="0026452D">
      <w:pPr>
        <w:pStyle w:val="TextoNormal"/>
      </w:pPr>
    </w:p>
    <w:p w:rsidR="0026452D" w:rsidRDefault="0026452D" w:rsidP="0026452D">
      <w:pPr>
        <w:pStyle w:val="TextoNormal"/>
      </w:pPr>
      <w:r>
        <w:t>En particular, por lo que respecta a la enseñanza del castellano “ha de tenerse presente que en la STC 6/1982, fundamento jurídico 10, hemos dicho tempranamente que corresponde al Estado velar por el respeto de los derechos lingüísticos en el sistema educativo y, en particular, ‘el de recibir enseñanza en la lengua oficial del Estado’; pues no cabe olvidar que el deber constitucional de conocer el castellano (art. 3.1 CE) presupone la satisfacción del derecho de los ciudadanos a conocerlo a través de las enseñanzas recibidas en los estudios básicos” (STC 337/1994, FJ 10). Finalmente, en las SSTC 87/1983 y 88/1983, ambas de 27 de octubre, ya sentamos el criterio de que “los horarios mínimos tienen como finalidad, según se ha dicho, asegurar el cumplimiento de las enseñanzas mínimas, y ello ha de hacerse en forma que no vacíen de contenido práctico las competencias de las Comunidades Autónomas”, lo que, en el caso de Comunidades Autónomas con lengua cooficial, supone naturalmente, que ambas lenguas han de ser enseñadas en los centros escolares de la Comunidad con la intensidad que permita alcanzar el objetivo, exigido por el art. 3 CE, de garantizar el derecho de conocer y usar ambas lenguas, de suerte que “el Estado en su conjunto (incluidas las Comunidades Autónomas) tienen el deber constitucional de asegurar el conocimiento tanto del castellano como de las lenguas propias de aquellas comunidades que tengan otra lengua como oficial. Una regulación de los horarios mínimos que no permita una enseñanza eficaz de ambas lenguas en esas Comunidades incumpliría el art. 3 de la Constitución” (SSTC 87/1983, FJ 5, y 88/1983, FJ 4).</w:t>
      </w:r>
    </w:p>
    <w:p w:rsidR="0026452D" w:rsidRDefault="0026452D" w:rsidP="0026452D">
      <w:pPr>
        <w:pStyle w:val="TextoNormal"/>
      </w:pPr>
    </w:p>
    <w:p w:rsidR="0026452D" w:rsidRDefault="0026452D" w:rsidP="0026452D">
      <w:pPr>
        <w:pStyle w:val="TextoNormal"/>
      </w:pPr>
      <w:r w:rsidRPr="0026452D">
        <w:rPr>
          <w:rStyle w:val="NumeroAFNegritaCaracter"/>
        </w:rPr>
        <w:t>4</w:t>
      </w:r>
      <w:r>
        <w:t>. Señalado todo lo anterior estamos ya en condiciones de responder a la principal queja competencial que se nos suscita, si bien, dado el planteamiento formulado por la Generalitat de Cataluña, es preciso advertir, en primer lugar, que no corresponde a este Tribunal determinar cuál sea la opción didáctica o pedagógica más adecuada para que el sistema educativo garantice el conocimiento de las dos lenguas cooficiales, sino tan solo confrontar la norma cuestionada con el orden constitucional y estatutario de distribución de competencias, razón por la cual no podemos entrar a examinar los reproches que se dirigen al anexo I del Real Decreto 831/2003, en cuanto a la determinación de los elementos básicos del currículo de educación secundaria obligatoria en el área correspondiente a la enseñanza de la lengua castellana.</w:t>
      </w:r>
    </w:p>
    <w:p w:rsidR="0026452D" w:rsidRDefault="0026452D" w:rsidP="0026452D">
      <w:pPr>
        <w:pStyle w:val="TextoNormal"/>
      </w:pPr>
    </w:p>
    <w:p w:rsidR="0026452D" w:rsidRDefault="0026452D" w:rsidP="0026452D">
      <w:pPr>
        <w:pStyle w:val="TextoNormal"/>
      </w:pPr>
      <w:r>
        <w:t xml:space="preserve">La controversia queda así centrada en la consideración de que la regulación del anexo II del Real Decreto 831/2003 en cuanto que dispone que “de acuerdo con lo establecido en el </w:t>
      </w:r>
      <w:r>
        <w:lastRenderedPageBreak/>
        <w:t>artículo octavo, apartado 2, de la Ley Orgánica 10/2002, de 23 de diciembre, de Calidad de la Educación, las Comunidades Autónomas que tengan, junto con la lengua castellana, otra lengua oficial, dispondrán para la organización de las enseñanzas de dicha lengua del diez por ciento del horario escolar total que se deriva del presente Anexo. En todo caso, el horario escolar correspondiente a las enseñanzas comunes de la Lengua castellana será, como mínimo, de 3 horas semanales para cada curso”. Tal regulación afectaría, según el Gobierno autonómico recurrente, al conocimiento de la lengua propia de la Comunidad Autónoma, a la que colocaría en una situación de desigualdad derivada del hecho de que se limita el número de hora que puede destinarse a la enseñanza de la lengua catalana al diez por ciento del horario escolar total que deriva del mencionado anexo II, así como por la determinación del número mínimo de horas que ha de dedicarse a la enseñanza de la lengua castellana.</w:t>
      </w:r>
    </w:p>
    <w:p w:rsidR="0026452D" w:rsidRDefault="0026452D" w:rsidP="0026452D">
      <w:pPr>
        <w:pStyle w:val="TextoNormal"/>
      </w:pPr>
    </w:p>
    <w:p w:rsidR="0026452D" w:rsidRDefault="0026452D" w:rsidP="0026452D">
      <w:pPr>
        <w:pStyle w:val="TextoNormal"/>
      </w:pPr>
      <w:r>
        <w:t>El reproche competencial ha sido formulado por la Generalitat de Cataluña a partir de la comparación de la regulación cuestionada con la del anexo II del Real Decreto 1007/1991, de 14 de junio, a la que aquella ha venido a remplazar. Es evidente, sin embargo, que el citado Real Decreto 1007/1991 no puede constituir parámetro de enjuiciamiento del Real Decreto 831/2003, el cual únicamente puede venir constituido por las disposiciones constitucionales y estatutarias que resulten de aplicación.</w:t>
      </w:r>
    </w:p>
    <w:p w:rsidR="0026452D" w:rsidRDefault="0026452D" w:rsidP="0026452D">
      <w:pPr>
        <w:pStyle w:val="TextoNormal"/>
      </w:pPr>
    </w:p>
    <w:p w:rsidR="0026452D" w:rsidRDefault="0026452D" w:rsidP="0026452D">
      <w:pPr>
        <w:pStyle w:val="TextoNormal"/>
      </w:pPr>
      <w:r>
        <w:t>Igualmente procede advertir que la posible variabilidad de las bases estatales en el ámbito educativo ya se ha reconocido por la doctrina constitucional, de manera que “no resulta ocioso recordar al respecto que, sin alterar el orden constitucional y estatutario de distribución de competencias y con observancia de las garantías de certidumbre jurídica necesarias para asegurar que las Comunidades Autónomas puedan conocer cuál es el marco básico al que deben someter su competencia de desarrollo legislativo, la concreción de lo básico corresponde realizarla en cada momento al legislador estatal, quien, respetando aquel orden y estas garantías, goza de libertad para establecer con carácter general las bases de una determinada materia, sin que su acción legislativa en este extremo, plasmación de una legítima opción política, pueda ser fiscalizada por este Tribunal Constitucional, que no es un juez de la oportunidad, salvo que traspase los límites que para esa acción legislativa resulten del bloque de la constitucionalidad” (STC 184/2012, FJ 3).</w:t>
      </w:r>
    </w:p>
    <w:p w:rsidR="0026452D" w:rsidRDefault="0026452D" w:rsidP="0026452D">
      <w:pPr>
        <w:pStyle w:val="TextoNormal"/>
      </w:pPr>
    </w:p>
    <w:p w:rsidR="0026452D" w:rsidRDefault="0026452D" w:rsidP="0026452D">
      <w:pPr>
        <w:pStyle w:val="TextoNormal"/>
      </w:pPr>
      <w:r>
        <w:t>Conforme a lo que se ha expuesto resulta que las quejas formuladas por el Gobierno de la Generalitat de Cataluña, vinculadas a lo que se entiende como una situación de desigualdad en la enseñanza de las dos lenguas cooficiales, son dos. La primera se relaciona con la posibilidad de disponer del 10 por 100 del horario escolar total que deriva del anexo II del Real Decreto 831/2003 para la organización de las enseñanzas de la lengua oficial distinta del castellano; la segunda es la relativa al establecimiento del horario escolar correspondiente a las enseñanzas comunes de lengua castellana. Ninguna de las dos quejas puede prosperar, pues no es posible apreciar la situación de desigualdad denunciada respecto de la enseñanza de la lengua cooficial.</w:t>
      </w:r>
    </w:p>
    <w:p w:rsidR="0026452D" w:rsidRDefault="0026452D" w:rsidP="0026452D">
      <w:pPr>
        <w:pStyle w:val="TextoNormal"/>
      </w:pPr>
    </w:p>
    <w:p w:rsidR="0026452D" w:rsidRDefault="0026452D" w:rsidP="0026452D">
      <w:pPr>
        <w:pStyle w:val="TextoNormal"/>
      </w:pPr>
      <w:r>
        <w:t xml:space="preserve">En efecto, por lo que hace a la posibilidad de dedicar un 10 por 100 del horario escolar total a la enseñanza de la lengua cooficial es de apreciar que ese porcentaje es el mismo que el establecido en el Real Decreto 1007/1991, sin que el mismo haya suscitado problemas competenciales, y guarda directa relación con idéntica reducción del porcentaje del horario escolar que corresponde a los contenidos de las enseñanzas mínimas en las Comunidades Autónomas que tengan, junto con la castellana, otra lengua propia cooficial, pues en ese </w:t>
      </w:r>
      <w:r>
        <w:lastRenderedPageBreak/>
        <w:t>caso requieren el 55 por 100 de los horarios escolares frente al 65 por 100 previsto para aquellas que no la tengan (art. 8.2 de la Ley Orgánica de Calidad de la Educación, en relación con las denominadas “enseñanzas comunes”, y ahora, en el mismo sentido, art. 6.3 de la Ley Orgánica de Educación). Como ya señalamos en la citada STC 212/2012, FJ 4, dichas previsiones otorgan a las administraciones educativas un margen suficiente “dentro del cual pueden prever enseñanzas específicas que respondan a su particularidad dentro del Estado autonómico”, entre las cuales se cuenta, sin duda, la relativa a la lengua cooficial. En realidad la queja formulada parece tener más que ver con la imposibilidad de que el total de ese 10 por 100 destinado a la enseñanza de la lengua cooficial se extraiga en su totalidad de las materias correspondientes al ámbito lingüístico que con el porcentaje del horario escolar total destinado a la enseñanza de la lengua cooficial, lo que, en todo caso, responde a una opción estatal que no puede ser considerada contraria al orden competencial, sin que, como hemos advertido, corresponda a este Tribunal entrar a valorar cuestiones vinculadas la programación didáctica de la impartición de las diferentes enseñanzas que componen el currículo de esta etapa educativa.</w:t>
      </w:r>
    </w:p>
    <w:p w:rsidR="0026452D" w:rsidRDefault="0026452D" w:rsidP="0026452D">
      <w:pPr>
        <w:pStyle w:val="TextoNormal"/>
      </w:pPr>
    </w:p>
    <w:p w:rsidR="0026452D" w:rsidRDefault="0026452D" w:rsidP="0026452D">
      <w:pPr>
        <w:pStyle w:val="TextoNormal"/>
      </w:pPr>
      <w:r>
        <w:t>Por otra parte, la determinación del número mínimo de horas que ha de dedicarse a la enseñanza en castellano reviste con naturalidad carácter básico, pues responde a la ya aludida obligación estatal de garantizar el conocimiento del castellano en tanto que lengua oficial del Estado, sin que, por lo demás, haya quedado demostrado que dicha regulación impida una enseñanza eficaz de ambas lenguas en orden a la garantía de conocimiento suficiente de las lenguas catalana y castellana, que es lo que sería inconstitucional en los términos de nuestra doctrina.</w:t>
      </w:r>
    </w:p>
    <w:p w:rsidR="0026452D" w:rsidRDefault="0026452D" w:rsidP="0026452D">
      <w:pPr>
        <w:pStyle w:val="TextoNormal"/>
      </w:pPr>
    </w:p>
    <w:p w:rsidR="0026452D" w:rsidRDefault="0026452D" w:rsidP="0026452D">
      <w:pPr>
        <w:pStyle w:val="TextoNormal"/>
      </w:pPr>
      <w:r>
        <w:t>A este respecto cumple advertir que el Real Decreto 831/2003 de ningún modo entraña la exclusión de una de las dos lenguas cooficiales pues, además de la reserva expresa de un porcentaje del horario escolar total para la enseñanza de la lengua cooficial, no hace referencia alguna a la lengua de impartición de las enseñanzas que regula, de manera que corresponde a los poderes públicos competentes organizar la enseñanza que ha de recibirse en una y otra lengua en relación con las distintas áreas de conocimiento y ello al objeto de garantizar el derecho de los ciudadanos a recibir enseñanza en catalán y en castellano. Por ello, no debe olvidarse que en la queja que se nos ha formulado se obvia “la íntima relación existente entre el conocimiento de la lengua como materia objeto de estudio, de un lado, y, de otro, su uso como lengua docente, ya que lo segundo, indudablemente, potencia lo primero” (STC 337/1994, FJ 10). Por ello, como concluimos en la STC 337/1994, FJ 10, y reiteramos en la STC 31/2010, FJ 24, resulta perfectamente “legítimo que el catalán, en atención al objetivo de la normalización lingüística en Cataluña, sea el centro de gravedad de este modelo de bilingüismo”, aunque siempre con el límite de que “ello no determine la exclusión del castellano como lengua docente de forma que quede garantizado su conocimiento y uso en el territorio de la Comunidad Autónoma”, tal como, por otra parte, expresa el propio Estatuto de Autonomía de Cataluña cuando, en su art. 35.2, alude, tanto a la necesidad de conocer ambas lenguas, el catalán y el castellano, al finalizar la enseñanza obligatoria como a su presencia adecuada en los planes de estudios.</w:t>
      </w:r>
    </w:p>
    <w:p w:rsidR="0026452D" w:rsidRDefault="0026452D" w:rsidP="0026452D">
      <w:pPr>
        <w:pStyle w:val="TextoNormal"/>
      </w:pPr>
    </w:p>
    <w:p w:rsidR="0026452D" w:rsidRDefault="0026452D" w:rsidP="0026452D">
      <w:pPr>
        <w:pStyle w:val="TextoNormal"/>
      </w:pPr>
      <w:r>
        <w:t xml:space="preserve">Por tanto, en la medida en que las previsiones cuestionadas se dirigen a garantizar el conocimiento del castellano sin detrimento de la lengua cooficial, forzoso es concluir que, al igual que en los casos resueltos en las SSTC 87/1983, FJ 5, y 88/1983, FJ 4, “el Gobierno ha fijado unos horarios mínimos para todo el territorio nacional, y en materia lingüística los </w:t>
      </w:r>
      <w:r>
        <w:lastRenderedPageBreak/>
        <w:t>ha fijado sólo con relación al castellano, ya que al referirse a enseñanzas mínimas en todo el Estado se ha limitado correctamente a regular la enseñanza de la única lengua que es oficial en todo su territorio y que, por tanto, debe enseñarse en todo él con arreglo de unos mismos criterios concernientes tanto al contenido como a los horarios mínimos; mientras que la regulación de la enseñanza de otras lenguas oficiales corresponde a las respectivas instituciones autonómicas”.</w:t>
      </w:r>
    </w:p>
    <w:p w:rsidR="0026452D" w:rsidRDefault="0026452D" w:rsidP="0026452D">
      <w:pPr>
        <w:pStyle w:val="TextoNormal"/>
      </w:pPr>
    </w:p>
    <w:p w:rsidR="0026452D" w:rsidRDefault="0026452D" w:rsidP="0026452D">
      <w:pPr>
        <w:pStyle w:val="TextoNormal"/>
      </w:pPr>
      <w:r>
        <w:t>Así lo apreciamos también en el caso de la citada STC 15/2013, FJ 4, al igual que en la STC 24/2013, de 31 de enero, FJ 7, que resuelve el conflicto positivo de competencia interpuesto por el Gobierno de la Generalitat de Cataluña contra diversos preceptos del Real Decreto 1631/2006, de 29 de diciembre, por el que se establecen las enseñanzas mínimas correspondientes a la educación secundaria obligatoria, norma que sustituyó, como ya se dijo, a la regulación contenida en el Real Decreto 831/2003, objeto del presente conflicto.</w:t>
      </w:r>
    </w:p>
    <w:p w:rsidR="0026452D" w:rsidRDefault="0026452D" w:rsidP="0026452D">
      <w:pPr>
        <w:pStyle w:val="TextoNormal"/>
      </w:pPr>
    </w:p>
    <w:p w:rsidR="0026452D" w:rsidRDefault="0026452D" w:rsidP="0026452D">
      <w:pPr>
        <w:pStyle w:val="TextoNormal"/>
      </w:pPr>
      <w:r w:rsidRPr="0026452D">
        <w:rPr>
          <w:rStyle w:val="NumeroAFNegritaCaracter"/>
        </w:rPr>
        <w:t>5</w:t>
      </w:r>
      <w:r>
        <w:t>. Procede que examinemos a continuación la queja competencial que el Gobierno de la Generalitat de Cataluña plantea respecto del art. 15.1 del Real Decreto 831/2003, basada en que este precepto invade las competencias autonómicas en materia de organización de centros docentes, en cuanto determina la composición del equipo de evaluación que debe decidir sobre la promoción de los alumnos. El precepto impugnado dispone lo siguiente:</w:t>
      </w:r>
    </w:p>
    <w:p w:rsidR="0026452D" w:rsidRDefault="0026452D" w:rsidP="0026452D">
      <w:pPr>
        <w:pStyle w:val="TextoNormal"/>
      </w:pPr>
    </w:p>
    <w:p w:rsidR="0026452D" w:rsidRDefault="0026452D" w:rsidP="0026452D">
      <w:pPr>
        <w:pStyle w:val="TextoNormal"/>
      </w:pPr>
      <w:r>
        <w:t>“Al finalizar cada uno de los cursos de la etapa y como consecuencia del proceso de evaluación, el equipo de evaluación, integrado por el conjunto de profesores de cada grupo de alumnos y coordinado por el profesor tutor de dicho grupo, decidirá, de acuerdo con lo establecido en los apartados siguientes, sobre la promoción de cada alumno al curso siguiente teniendo en cuenta su madurez y posibilidades de recuperación y de progreso en los cursos posteriores”.</w:t>
      </w:r>
    </w:p>
    <w:p w:rsidR="0026452D" w:rsidRDefault="0026452D" w:rsidP="0026452D">
      <w:pPr>
        <w:pStyle w:val="TextoNormal"/>
      </w:pPr>
    </w:p>
    <w:p w:rsidR="0026452D" w:rsidRDefault="0026452D" w:rsidP="0026452D">
      <w:pPr>
        <w:pStyle w:val="TextoNormal"/>
      </w:pPr>
      <w:r>
        <w:t>Pues bien, la tacha competencial que se dirige frente al art. 15.1 del Real Decreto 831/2003, se encuentra estrechamente relacionada con la planteada contra el art. 29.3 de la Ley Orgánica de calidad de la educación en el recurso de inconstitucionalidad interpuesto por el Gobierno de la Generalitat de Cataluña contra la referida ley orgánica, tacha que fue rechazada en la STC 212/2012, FJ 5, por remisión a su vez a la doctrina sentada en la STC 184/2012, FJ 6 c), en la que hemos considerado que “la regulación de las condiciones en las que es posible progresar en el sistema educativo mediante el paso de un curso a otro ha de corresponder al Estado, por poseer una indudable naturaleza básica que se relaciona con el necesario grado de homogeneidad e igualdad que ha de ser predicable del sistema educativo en su conjunto. Señalado lo anterior, también ha quedado ya indicado con anterioridad la posibilidad de que el Estado establezca bases del sistema educativo mediante normas de rango reglamentario; posibilidad que, en el caso concreto que examinamos, viene además justificada por el mandato legal de que tales condiciones se ajusten a las necesidades de los alumnos, así como por la evidente relación que dicha previsión tiene con una de las finalidades perseguidas por la Ley Orgánica de calidad de la educación, como es la de reducir el abandono escolar. Todo ello determina que las condiciones en las que es posible el paso de un curso a otro puedan ser cambiantes y requerir su modificación en atención a las circunstancias de toda índole que concurran y sea preciso atender, siempre con respeto a lo previsto por el legislador en relación con tal posibilidad (decisión del equipo de evaluación, asesorado por el de orientación, y previa consulta a los padres).”</w:t>
      </w:r>
    </w:p>
    <w:p w:rsidR="0026452D" w:rsidRDefault="0026452D" w:rsidP="0026452D">
      <w:pPr>
        <w:pStyle w:val="TextoNormal"/>
      </w:pPr>
    </w:p>
    <w:p w:rsidR="0026452D" w:rsidRDefault="0026452D" w:rsidP="0026452D">
      <w:pPr>
        <w:pStyle w:val="TextoNormal"/>
      </w:pPr>
      <w:r>
        <w:lastRenderedPageBreak/>
        <w:t xml:space="preserve">Siguiendo la doctrina sentada en las citadas SSTC 184/2012, FJ 6 c), y 212/2012, FJ 5, la impugnación dirigida contra el art. 15.1 del Real Decreto 831/2003 debe ser igualmente desestimada. La determinación por este precepto de la composición del equipo de evaluación, integrado por el conjunto de profesores de cada grupo de alumnos, es una medida que responde a la exigencia normativa de evaluación del aprendizaje de los alumnos a los efectos de su promoción al curso superior prescrita en los arts. 28 y 29 de la Ley Orgánica de calidad de la educación, y que se justifica plenamente por la necesidad de asegurar unas condiciones básicas de igualdad en la acción evaluadora sobre los alumnos en el sistema educativo español, lo que contribuye a garantizar la efectiva homologación de títulos académicos, por lo que se trata de una medida que al Estado corresponde establecer en el ejercicio de su competencia exclusiva </w:t>
      </w:r>
      <w:r w:rsidRPr="0026452D">
        <w:rPr>
          <w:i/>
        </w:rPr>
        <w:t>ex</w:t>
      </w:r>
      <w:r>
        <w:t xml:space="preserve"> art. 149.1.30 CE.</w:t>
      </w:r>
    </w:p>
    <w:p w:rsidR="0026452D" w:rsidRDefault="0026452D" w:rsidP="0026452D">
      <w:pPr>
        <w:pStyle w:val="TextoNormal"/>
      </w:pPr>
    </w:p>
    <w:p w:rsidR="0026452D" w:rsidRDefault="0026452D" w:rsidP="0026452D">
      <w:pPr>
        <w:pStyle w:val="TextoNormal"/>
      </w:pPr>
      <w:r w:rsidRPr="0026452D">
        <w:rPr>
          <w:rStyle w:val="NumeroAFNegritaCaracter"/>
        </w:rPr>
        <w:t>6</w:t>
      </w:r>
      <w:r>
        <w:t>. La desestimación de las anteriores impugnaciones lleva consigo necesariamente la de la disposición final primera del Real Decreto 831/2003, referida a los títulos competenciales, pues ya hemos advertido que dicha impugnación no es autónoma, sino que la demanda fundamenta este reproche simplemente en la conexión que la referida disposición tiene con el resto de los contenidos impugnados del Real Decreto 831/2003, que han sido examinados en los términos expuestos.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Declarar extinguido, por desaparición sobrevenida de su objeto, el presente conflicto positivo de competencia en lo que respecta a los arts. 3, 4, 6.3, 7, 9, y 19, y el anexo III del Real Decreto 831/2003, de 27 de junio, por el que se establece la ordenación general y las enseñanzas comunes de la educación secundaria obligatoria.</w:t>
      </w:r>
    </w:p>
    <w:p w:rsidR="0026452D" w:rsidRDefault="0026452D" w:rsidP="0026452D">
      <w:pPr>
        <w:pStyle w:val="TextoNormal"/>
      </w:pPr>
    </w:p>
    <w:p w:rsidR="0026452D" w:rsidRDefault="0026452D" w:rsidP="0026452D">
      <w:pPr>
        <w:pStyle w:val="TextoNormal"/>
      </w:pPr>
      <w:r>
        <w:t>2º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veintiocho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52" w:name="SENTENCIA_2013_49"/>
      <w:r>
        <w:lastRenderedPageBreak/>
        <w:t>SENTENCIA 49/2013, de 28 de febrero de 2013</w:t>
      </w:r>
    </w:p>
    <w:bookmarkEnd w:id="52"/>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73, de 26 de marzo de 2013)</w:t>
      </w:r>
    </w:p>
    <w:p w:rsidR="0026452D" w:rsidRDefault="0026452D" w:rsidP="0026452D">
      <w:pPr>
        <w:pStyle w:val="TtuloBOE"/>
      </w:pPr>
    </w:p>
    <w:p w:rsidR="0026452D" w:rsidRDefault="0026452D" w:rsidP="0026452D">
      <w:pPr>
        <w:pStyle w:val="SntesisDescriptiva"/>
      </w:pPr>
      <w:r>
        <w:t>ECLI:ES:TC:2013:49</w:t>
      </w:r>
    </w:p>
    <w:p w:rsidR="0026452D" w:rsidRDefault="0026452D" w:rsidP="0026452D">
      <w:pPr>
        <w:pStyle w:val="SntesisDescriptiva"/>
      </w:pPr>
    </w:p>
    <w:p w:rsidR="0026452D" w:rsidRDefault="0026452D" w:rsidP="0026452D">
      <w:pPr>
        <w:pStyle w:val="SntesisDescriptiva"/>
      </w:pPr>
      <w:r>
        <w:t>Recurso de inconstitucionalidad 988-2004. Interpuesto por el Consejo Ejecutivo de la Generalitat de Cataluña en relación con diversos preceptos de la Ley 43/2003, de 21 de noviembre, de montes.</w:t>
      </w:r>
    </w:p>
    <w:p w:rsidR="0026452D" w:rsidRDefault="0026452D" w:rsidP="0026452D">
      <w:pPr>
        <w:pStyle w:val="SntesisDescriptiva"/>
      </w:pPr>
    </w:p>
    <w:p w:rsidR="0026452D" w:rsidRDefault="0026452D" w:rsidP="0026452D">
      <w:pPr>
        <w:pStyle w:val="SntesisAnaltica"/>
      </w:pPr>
      <w:r>
        <w:t>Competencias sobre montes: inconstitucionalidad del encuadramiento en la competencia estatal sobre investigación científica y técnica del precepto legal relativo a la cooperación interadministrativa en las redes temáticas, parcelas de seguimiento y áreas de reserva derivadas de la normativa internacional (STC 242/1999).</w:t>
      </w:r>
    </w:p>
    <w:p w:rsidR="0026452D" w:rsidRDefault="0026452D" w:rsidP="0026452D">
      <w:pPr>
        <w:pStyle w:val="SntesisAnaltica"/>
      </w:pPr>
    </w:p>
    <w:p w:rsidR="0026452D" w:rsidRDefault="0026452D" w:rsidP="0026452D">
      <w:pPr>
        <w:pStyle w:val="Extracto"/>
      </w:pPr>
      <w:r>
        <w:t>1.</w:t>
      </w:r>
      <w:r>
        <w:tab/>
        <w:t xml:space="preserve">No cabe concluir del precepto impugnado que la actividad investigadora sea la principal o predominante, por lo que, no siendo el título competencial habilitante el del art. 149.1.15 CE sino el general de la Ley –legislación básica en materia de montes </w:t>
      </w:r>
      <w:r w:rsidRPr="0026452D">
        <w:rPr>
          <w:i/>
        </w:rPr>
        <w:t>ex</w:t>
      </w:r>
      <w:r>
        <w:t xml:space="preserve"> art. 149.1.23 CE– debemos declarar la inconstitucionalidad de la disposición final segunda en lo que a dicho título se refiere [FJ 7].</w:t>
      </w:r>
    </w:p>
    <w:p w:rsidR="0026452D" w:rsidRDefault="0026452D" w:rsidP="0026452D">
      <w:pPr>
        <w:pStyle w:val="Extracto"/>
      </w:pPr>
    </w:p>
    <w:p w:rsidR="0026452D" w:rsidRDefault="0026452D" w:rsidP="0026452D">
      <w:pPr>
        <w:pStyle w:val="Extracto"/>
      </w:pPr>
      <w:r>
        <w:t>2.</w:t>
      </w:r>
      <w:r>
        <w:tab/>
        <w:t>El título competencial del art. 149.1.15 CE –investigación– es susceptible de ser utilizado respecto de cualquier género de materias con independencia de cuál sea el titular de la competencia para su ordenación, pero para que sea de aplicación este título competencial debe resultar patente que la actividad principal o predominante debe ser la investigadora (SSTC 53/1988, 242/1999) [FJ 7].</w:t>
      </w:r>
    </w:p>
    <w:p w:rsidR="0026452D" w:rsidRDefault="0026452D" w:rsidP="0026452D">
      <w:pPr>
        <w:pStyle w:val="Extracto"/>
      </w:pPr>
    </w:p>
    <w:p w:rsidR="0026452D" w:rsidRDefault="0026452D" w:rsidP="0026452D">
      <w:pPr>
        <w:pStyle w:val="Extracto"/>
      </w:pPr>
      <w:r>
        <w:t>3.</w:t>
      </w:r>
      <w:r>
        <w:tab/>
        <w:t>El principio de colaboración es consustancial al Estado autonómico sin que corresponda a este Tribunal determinar cuáles deban ser las técnicas y cauces precisos para dar curso a esta necesaria cooperación entre el Estado y las Comunidades Autónomas, por lo que la previsión de este principio cooperativo para la materia específica de redes temáticas y parcelas de seguimiento puede considerarse superflua pero no vulneradora de las competencias de las Comunidades Autónomas (SSTC 133/1990, 204/2002) [FJ 7].</w:t>
      </w:r>
    </w:p>
    <w:p w:rsidR="0026452D" w:rsidRDefault="0026452D" w:rsidP="0026452D">
      <w:pPr>
        <w:pStyle w:val="Extracto"/>
      </w:pPr>
    </w:p>
    <w:p w:rsidR="0026452D" w:rsidRDefault="0026452D" w:rsidP="0026452D">
      <w:pPr>
        <w:pStyle w:val="Extracto"/>
      </w:pPr>
      <w:r>
        <w:t>4.</w:t>
      </w:r>
      <w:r>
        <w:tab/>
        <w:t>La regulación de la sustitución de los convenios de repoblación se dirige a establecer un tratamiento común de los derechos y deberes ya nacidos, tanto de los particulares como de la Administración, o mejor dicho, del interés público que esta persigue, sin que se elimine el margen de desarrollo normativo de las Comunidades Autónomas [FJ 8].</w:t>
      </w:r>
    </w:p>
    <w:p w:rsidR="0026452D" w:rsidRDefault="0026452D" w:rsidP="0026452D">
      <w:pPr>
        <w:pStyle w:val="Extracto"/>
      </w:pPr>
    </w:p>
    <w:p w:rsidR="0026452D" w:rsidRDefault="0026452D" w:rsidP="0026452D">
      <w:pPr>
        <w:pStyle w:val="Extracto"/>
      </w:pPr>
      <w:r>
        <w:t>5.</w:t>
      </w:r>
      <w:r>
        <w:tab/>
        <w:t>La competencia que al Estado atribuye el art. 149.1.23 CE permite establecer técnicas de coordinación cuando es necesario cohonestar el ejercicio de varias competencias concurrentes sobre el mismo espacio físico, siendo una de ellas la ‘técnica del informe favorable’, en la que el ejercicio de las competencias atribuidas a diferentes administraciones se articula en un único procedimiento en el que el ór</w:t>
      </w:r>
      <w:r>
        <w:lastRenderedPageBreak/>
        <w:t>gano competente se encuentra vinculado por el informe de otras Administraciones, aunque dicho condicionamiento solo será legítimo cuando el ejercicio de las propias competencias se mantenga dentro de sus límites (SSTC 149/1991, 151/2003) [FJ 9].</w:t>
      </w:r>
    </w:p>
    <w:p w:rsidR="0026452D" w:rsidRDefault="0026452D" w:rsidP="0026452D">
      <w:pPr>
        <w:pStyle w:val="Extracto"/>
      </w:pPr>
    </w:p>
    <w:p w:rsidR="0026452D" w:rsidRDefault="0026452D" w:rsidP="0026452D">
      <w:pPr>
        <w:pStyle w:val="Extracto"/>
      </w:pPr>
      <w:r>
        <w:t>6.</w:t>
      </w:r>
      <w:r>
        <w:tab/>
        <w:t>El título del art. 149.1.18 CE no exige dar un tratamiento uniforme a todos los bienes públicos, con independencia de la categoría de bienes a la que pertenezcan, pues el mínimo común uniforme que debe garantizar la legislación básica puede ser distinto según las características de los bienes públicos afectados, sin que sea necesario que la legislación básica se encuentre toda ella incluida en una misma norma legal [FJ 10].</w:t>
      </w:r>
    </w:p>
    <w:p w:rsidR="0026452D" w:rsidRDefault="0026452D" w:rsidP="0026452D">
      <w:pPr>
        <w:pStyle w:val="Extracto"/>
      </w:pPr>
    </w:p>
    <w:p w:rsidR="0026452D" w:rsidRDefault="0026452D" w:rsidP="0026452D">
      <w:pPr>
        <w:pStyle w:val="Extracto"/>
      </w:pPr>
      <w:r>
        <w:t>7.</w:t>
      </w:r>
      <w:r>
        <w:tab/>
        <w:t>El precepto impugnado, que regula el deslinde de los montes de titularidad pública, establece determinaciones necesarias para garantizar un mínimo común de seguridad jurídica que no agotan el margen de desarrollo normativo de las Comunidades Autónomas, pues a ellas corresponde determinar el procedimiento al que debe ajustarse el deslinde de los montes catalogados con independencia de quien sea su titular, así como de los montes de su titularidad [FJ 10].</w:t>
      </w:r>
    </w:p>
    <w:p w:rsidR="0026452D" w:rsidRDefault="0026452D" w:rsidP="0026452D">
      <w:pPr>
        <w:pStyle w:val="Extracto"/>
      </w:pPr>
    </w:p>
    <w:p w:rsidR="0026452D" w:rsidRDefault="0026452D" w:rsidP="0026452D">
      <w:pPr>
        <w:pStyle w:val="Extracto"/>
      </w:pPr>
      <w:r>
        <w:t>8.</w:t>
      </w:r>
      <w:r>
        <w:tab/>
        <w:t>La previsión según la cual, cuando los montes cuentan con planes de gestión que regulan los aprovechamientos, las Comunidades Autónomas deben establecer un plazo máximo para que los órganos autonómicos competentes realicen el control sobre la adecuación de lo notificado a lo establecido en el instrumento de gestión forma parte de la regulación común uniforme que permite garantizar el tratamiento común de los titulares de derechos sobre los montes ordenados, sin que la misma agote el desarrollo de la legislación básica por las Comunidades Autónomas que, a la vista de sus peculiaridades, podrán establecer plazos más o menos amplios de veto [FJ 11].</w:t>
      </w:r>
    </w:p>
    <w:p w:rsidR="0026452D" w:rsidRDefault="0026452D" w:rsidP="0026452D">
      <w:pPr>
        <w:pStyle w:val="Extracto"/>
      </w:pPr>
    </w:p>
    <w:p w:rsidR="0026452D" w:rsidRDefault="0026452D" w:rsidP="0026452D">
      <w:pPr>
        <w:pStyle w:val="Extracto"/>
      </w:pPr>
      <w:r>
        <w:t>9.</w:t>
      </w:r>
      <w:r>
        <w:tab/>
        <w:t>La prescripción según la cual debe existir, en las operaciones de extinción de incendios, un mando único y un director técnico con formación específica, no puede considerarse que exceda el ámbito de lo básico, pues pertenece a la regulación común mínima que el Estado considera necesaria al servir a la finalidad de garantizar una mínima eficiencia y seguridad en la labor de extinción de incendios, lo que no agota el ámbito organizativo de las Comunidades Autónomas que podrán, dentro de estos límites, desarrollar la organización de esta función ejecutiva [FJ 12].</w:t>
      </w:r>
    </w:p>
    <w:p w:rsidR="0026452D" w:rsidRDefault="0026452D" w:rsidP="0026452D">
      <w:pPr>
        <w:pStyle w:val="Extracto"/>
      </w:pPr>
    </w:p>
    <w:p w:rsidR="0026452D" w:rsidRDefault="0026452D" w:rsidP="0026452D">
      <w:pPr>
        <w:pStyle w:val="Extracto"/>
      </w:pPr>
      <w:r>
        <w:t>10.</w:t>
      </w:r>
      <w:r>
        <w:tab/>
        <w:t>La fijación de manera uniforme de los poderes de movilización de recursos y sacrificio de derechos que se atribuyen al director técnico de la extinción del incendio pertenece al núcleo de la competencia estatal de seguridad pública prevista en el art. 149.1.29 CE, no resultando difícil encontrar, por otra parte, una ‘exigencia superior de interés nacional’ en la imposición de un mando único y de un director técnico para la extinción de incendios de cierta entidad [FJ 12].</w:t>
      </w:r>
    </w:p>
    <w:p w:rsidR="0026452D" w:rsidRDefault="0026452D" w:rsidP="0026452D">
      <w:pPr>
        <w:pStyle w:val="Extracto"/>
      </w:pPr>
    </w:p>
    <w:p w:rsidR="0026452D" w:rsidRDefault="0026452D" w:rsidP="0026452D">
      <w:pPr>
        <w:pStyle w:val="Extracto"/>
      </w:pPr>
      <w:r>
        <w:t>11.</w:t>
      </w:r>
      <w:r>
        <w:tab/>
        <w:t xml:space="preserve">En materia de protección civil se producen unas competencias concurrentes del Estado, en virtud de la reserva del art. 149.1.29 CE, y de las Comunidades Autónomas que las hayan asumido en sus Estatutos en virtud de habilitaciones constitucionales, pero dichas competencias se encuentran subordinadas a las superiores </w:t>
      </w:r>
      <w:r>
        <w:lastRenderedPageBreak/>
        <w:t>exigencias del interés nacional en los casos en que éste pueda entrar en juego (SSTC 133/1990, 31/2010) [FJ 12].</w:t>
      </w:r>
    </w:p>
    <w:p w:rsidR="0026452D" w:rsidRDefault="0026452D" w:rsidP="0026452D">
      <w:pPr>
        <w:pStyle w:val="Extracto"/>
      </w:pPr>
    </w:p>
    <w:p w:rsidR="0026452D" w:rsidRDefault="0026452D" w:rsidP="0026452D">
      <w:pPr>
        <w:pStyle w:val="Extracto"/>
      </w:pPr>
      <w:r>
        <w:t>12.</w:t>
      </w:r>
      <w:r>
        <w:tab/>
        <w:t>En materias como la ordenación del territorio, el urbanismo, el medio ambiente y la ordenación de los recursos forestales existen profundas interacciones, por lo que para determinar cuál es la materia y, por tanto, el título competencial de referencia es necesario atender tanto a la finalidad como al contenido de la norma o, dicho de otra forma, a las técnicas legislativas utilizadas para alcanzar dicha finalidad (STC 28/1997) [FJ 5].</w:t>
      </w:r>
    </w:p>
    <w:p w:rsidR="0026452D" w:rsidRDefault="0026452D" w:rsidP="0026452D">
      <w:pPr>
        <w:pStyle w:val="Extracto"/>
      </w:pPr>
    </w:p>
    <w:p w:rsidR="0026452D" w:rsidRDefault="0026452D" w:rsidP="0026452D">
      <w:pPr>
        <w:pStyle w:val="Extracto"/>
      </w:pPr>
      <w:r>
        <w:t>13.</w:t>
      </w:r>
      <w:r>
        <w:tab/>
        <w:t>Es imprescindible, a los efectos de determinar si pervive o no el objeto del proceso, analizar la incidencia que haya podido tener la derogación o modificación de los preceptos discutidos, lo que, en los procesos constitucionales de orden competencial, dependerá exclusivamente de que se mantenga o no la controversia competencial (STC 184/2012)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988-2004, interpuesto por el Consejo Ejecutivo de la Generalitat de Cataluña contra los siguientes artículos. de la Ley 43/2003, de 21 de noviembre, de montes: 7, apartados. 1 a), 2 c), g) y h) y 3 b); 18.4, en su inciso: “excepción de los declarados como de interés general por el Estado”; 21, apartados 2, 4 y 7; 32; 36, apartado 5, en la medida en que exige que el informe sea favorable, 37, en cuanto a la regulación del silencio y de la motivación que efectúan sus apartados a) y b); 42; 46, apartados 1 y 2; 47, apartados 1 y 3; 49.2, último inciso; 56.1; 63; disposición adicional primera; disposición transitoria tercera; y disposiciones finales segunda y tercera. Ha intervenido y formulado alegaciones el Abogado del Estado. Ha sido Ponente doña Encarnación Roca Trías,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El Abogado de la Generalitat de Cataluña interpuso, mediante escrito registrado en este Tribunal el 19 de febrero de 2004, recurso de inconstitucionalidad contra los preceptos </w:t>
      </w:r>
      <w:r>
        <w:lastRenderedPageBreak/>
        <w:t>de la Ley 43/2003, de 21 de noviembre, de montes, de los que se hace mérito en el encabezamiento de esta Sentencia, con fundamento en las alegaciones que a continuación se resumen.</w:t>
      </w:r>
    </w:p>
    <w:p w:rsidR="0026452D" w:rsidRDefault="0026452D" w:rsidP="0026452D">
      <w:pPr>
        <w:pStyle w:val="TextoNormal"/>
      </w:pPr>
    </w:p>
    <w:p w:rsidR="0026452D" w:rsidRDefault="0026452D" w:rsidP="0026452D">
      <w:pPr>
        <w:pStyle w:val="TextoNormal"/>
      </w:pPr>
      <w:r>
        <w:t>Los artículos impugnados de la Ley 43/2003, de 21 de noviembre, de montes, efectúan una definición de las funciones de la Administración estatal que exceden de su competencia para fijar la normativa básica en materia de montes y aprovechamientos forestales y en materia de medio ambiente. Para la representación de la Generalitat, la amplitud con la que el Estado interpreta los títulos competenciales recogidos en el art. 149.1.23 CE, y los demás citados en la disposición final segunda de la Ley de montes invade el ámbito competencial autonómico. Además, en algún caso, el objeto de la regulación no se corresponde con el ámbito material de ninguno de los títulos invocados, puesto que encaja de lleno en la regulación legal de la protección civil. Así, la mayor parte de los preceptos objeto de impugnación lo son por vulnerar la competencia exclusiva que el art. 9.10 del Estatuto de Autonomía de Cataluña (en adelante EAC) de 1979, le atribuye en materia de montes.</w:t>
      </w:r>
    </w:p>
    <w:p w:rsidR="0026452D" w:rsidRDefault="0026452D" w:rsidP="0026452D">
      <w:pPr>
        <w:pStyle w:val="TextoNormal"/>
      </w:pPr>
    </w:p>
    <w:p w:rsidR="0026452D" w:rsidRDefault="0026452D" w:rsidP="0026452D">
      <w:pPr>
        <w:pStyle w:val="TextoNormal"/>
      </w:pPr>
      <w:r>
        <w:t>La normativa básica de montes ha de responder al mandato que el art. 45 CE dirige a los poderes públicos para que se garantice el uso racional de los recursos naturales, entre ellos el forestal. Por ello, las bases, aún contenidas en la Ley de montes, solo pueden tener el carácter de niveles mínimos de protección que podrán ser objeto de desarrollo por parte de la Comunidad Autónoma, lo que resulta contrario a que el Estado se reserve facultades de ejecución y de desarrollo de la Ley. Tal extralimitación competencial se manifiesta en distintos preceptos de la Ley, que se exponen a continuación.</w:t>
      </w:r>
    </w:p>
    <w:p w:rsidR="0026452D" w:rsidRDefault="0026452D" w:rsidP="0026452D">
      <w:pPr>
        <w:pStyle w:val="TextoNormal"/>
      </w:pPr>
    </w:p>
    <w:p w:rsidR="0026452D" w:rsidRDefault="0026452D" w:rsidP="0026452D">
      <w:pPr>
        <w:pStyle w:val="TextoNormal"/>
      </w:pPr>
      <w:r>
        <w:t>El art. 7.1 a) de la Ley atribuye a la Administración general del Estado, la competencia exclusiva para la gestión de los montes de su titularidad, facultad de carácter ejecutivo que no respeta la competencia de gestión que asiste a la Generalitat sobre los montes catalogados de utilidad pública (STC 53/1994, de 24 de febrero). Con ello, el legislador estatal se estaría apartando del criterio establecido en el Real Decreto 1590/1980, de 31 de julio, de traspaso de servicios del Estado en materia de conservación de la naturaleza, por el que la Generalitat pasaba a ocupar la posición del Instituto de Conservación de la Naturaleza en relación con los montes tutelados, consorciados o contratados por dicha entidad y se preveía un plazo para su traspaso. El inventario de los montes citados se aprobó por el Real Decreto 1555/1994, de 8 de julio.</w:t>
      </w:r>
    </w:p>
    <w:p w:rsidR="0026452D" w:rsidRDefault="0026452D" w:rsidP="0026452D">
      <w:pPr>
        <w:pStyle w:val="TextoNormal"/>
      </w:pPr>
    </w:p>
    <w:p w:rsidR="0026452D" w:rsidRDefault="0026452D" w:rsidP="0026452D">
      <w:pPr>
        <w:pStyle w:val="TextoNormal"/>
      </w:pPr>
      <w:r>
        <w:t xml:space="preserve">De acuerdo con los arts. 7.2 g) y 32 y la disposición final tercera de la Ley de montes, el Estado se reserva la competencia para la aprobación de las instrucciones básicas para la ordenación y aprovechamiento de montes. Aunque el apartado 2 g) del art. 7, al definir las funciones que otorga al Estado, indica que se llevarán a cabo en colaboración con las Comunidades Autónomas y sin perjuicio de sus competencias en estos ámbitos, el art. 32 de la Ley le atribuye la redacción y aprobación de las instrucciones sin que se concrete el grado y el modo de participación de las Comunidades Autónomas. La STC 40/1998, de 19 de febrero, ya estableció que la planificación por parte del Estado responde a la idea de criterios generales y principios mínimos y no tiene por qué suponer, </w:t>
      </w:r>
      <w:r w:rsidRPr="0026452D">
        <w:rPr>
          <w:i/>
        </w:rPr>
        <w:t>a priori</w:t>
      </w:r>
      <w:r>
        <w:t xml:space="preserve">, la invasión de competencias ejecutivas autonómicas. Así pues, no hay necesidad de aprobar instrucciones para la ordenación y aprovechamiento de los montes, pues la Ley ya define cuál ha de ser el contenido mínimo de dichos instrumentos de ordenación al establecer el contenido de los planes de ordenación de los recursos forestales, que aprueben las Comunidades Autónomas. Por </w:t>
      </w:r>
      <w:r>
        <w:lastRenderedPageBreak/>
        <w:t>tanto, deberían ser éstas las que delimitaran el contenido de los planes de ordenación que, en ese marco, elabore el titular del monte o la propia Administración autonómica. A lo sumo, en el ejercicio de una competencia concurrente, podrían formalizarse a través de un convenio o acuerdo entre el Estado y las Comunidades Autónomas, en el marco de la Conferencia Sectorial de Medio Ambiente, puesto que corresponde a las Comunidades Autónomas la ordenación de los recursos.</w:t>
      </w:r>
    </w:p>
    <w:p w:rsidR="0026452D" w:rsidRDefault="0026452D" w:rsidP="0026452D">
      <w:pPr>
        <w:pStyle w:val="TextoNormal"/>
      </w:pPr>
    </w:p>
    <w:p w:rsidR="0026452D" w:rsidRDefault="0026452D" w:rsidP="0026452D">
      <w:pPr>
        <w:pStyle w:val="TextoNormal"/>
      </w:pPr>
      <w:r>
        <w:t>El art. 7.2 h) atribuye al Estado la realización de actuaciones de restauración hidrológica forestal, que tienen el carácter de actos de ejecución, con base en su competencia para aprobar la normativa básica en materia de medio ambiente. Pero la atribución de carácter básico a normas reglamentarias, a actos de ejecución o a potestades administrativas ha de considerarse excepcional lo que no ocurre en este caso, como por otra parte así lo han considerado el Real Decreto Legislativo 1/2001, de 20 de julio, por el que se aprueba el texto refundido de la Ley de aguas y la Ley 10/2001, de 5 de julio, del plan hidrológico nacional, al atribuir competencias de ejecución en esta materia a las Comunidades Autónomas. En los casos en que la elaboración del plan hidrológico de cuenca corresponda al Estado esta competencia deberá coexistir, en un mismo espacio físico, con la de la Comunidad Autónoma.</w:t>
      </w:r>
    </w:p>
    <w:p w:rsidR="0026452D" w:rsidRDefault="0026452D" w:rsidP="0026452D">
      <w:pPr>
        <w:pStyle w:val="TextoNormal"/>
      </w:pPr>
    </w:p>
    <w:p w:rsidR="0026452D" w:rsidRDefault="0026452D" w:rsidP="0026452D">
      <w:pPr>
        <w:pStyle w:val="TextoNormal"/>
      </w:pPr>
      <w:r>
        <w:t>Los arts. 7.3 b) y 56.1 de la Ley de montes atribuyen a la Administración general del Estado la coordinación para el establecimiento y mantenimiento de las redes europeas de parcelas de seguimiento de las interacciones del monte en el medio ambiente. En el marco de los programas de acción comunitaria en materia de medio ambiente impulsados desde las instituciones europeas, algunos reglamentos del Parlamento y del Consejo establecen una obligación de seguimiento de los bosques y de las interacciones medioambientales con el objeto de que se aporte una información fiable y comparable que ayude a proteger los bosques de la Comunidad. Dicha información deberá obtenerse y transmitirse usando unos parámetros comparables y supone que desde los Estados miembros se desarrollará una red sistemática de redes de observación. Pero aun admitiendo que correspondiera a la Administración estatal la comunicación de los datos a los órganos comunitarios, dicha función en ningún caso podría comportar el establecimiento y mantenimiento de dichas parcelas, pues esa sería una función ejecutiva que correspondería a la Administración autonómica, sin que ni la ejecución del Derecho comunitario sea un título atributivo de competencias al Estado, ni tampoco lo sea el art. 149.1.15 CE, pues la mera comprobación de la adecuación de las medidas adoptadas no puede considerarse una actuación de investigación científica.</w:t>
      </w:r>
    </w:p>
    <w:p w:rsidR="0026452D" w:rsidRDefault="0026452D" w:rsidP="0026452D">
      <w:pPr>
        <w:pStyle w:val="TextoNormal"/>
      </w:pPr>
    </w:p>
    <w:p w:rsidR="0026452D" w:rsidRDefault="0026452D" w:rsidP="0026452D">
      <w:pPr>
        <w:pStyle w:val="TextoNormal"/>
      </w:pPr>
      <w:r>
        <w:t>La disposición adicional primera determina tanto la vigencia de los convenios y conciertos suscritos por las Comunidades Autónomas en materia de repoblación forestal, como las condiciones bajo las que deben regir los aprovechamientos en dichas zonas. No cabe considerar básica la determinación de los casos y condiciones bajo las cuales éstas puedan suscribir convenios con el objeto de adoptar medidas para la repoblación de superficies afectadas por incendios forestales., por lo que los convenios y los consorcios de repoblación vigentes en Cataluña o los que en su caso les sustituyan deben regirse por la legislación autonómica.</w:t>
      </w:r>
    </w:p>
    <w:p w:rsidR="0026452D" w:rsidRDefault="0026452D" w:rsidP="0026452D">
      <w:pPr>
        <w:pStyle w:val="TextoNormal"/>
      </w:pPr>
    </w:p>
    <w:p w:rsidR="0026452D" w:rsidRDefault="0026452D" w:rsidP="0026452D">
      <w:pPr>
        <w:pStyle w:val="TextoNormal"/>
      </w:pPr>
      <w:r>
        <w:t>También sería inconstitucional, la reserva al Estado de facultades ejecutivas en los supuestos de concurrencia competencial a los que se refieren los arts. 18.4 y 36.5 de la Ley de montes, pues, de acuerdo con la doctrina constitucional, cuando concurren distintas compe</w:t>
      </w:r>
      <w:r>
        <w:lastRenderedPageBreak/>
        <w:t>tencias en un mismo espacio físico, deben buscarse fórmulas que permitan la correcta articulación en el ejercicio de las distintas competencias y, en el caso de que resultaran insuficientes, la decisión final correspondería al titular de la competencia prevalente. Por esta razón no se consideran constitucionalmente admisibles, en este ámbito, fórmulas de coordinación como las previstas en los arts. 18.4, en su inciso “a excepción de los declarados como de interés general por el Estado” y 36.5 de la Ley de montes.</w:t>
      </w:r>
    </w:p>
    <w:p w:rsidR="0026452D" w:rsidRDefault="0026452D" w:rsidP="0026452D">
      <w:pPr>
        <w:pStyle w:val="TextoNormal"/>
      </w:pPr>
    </w:p>
    <w:p w:rsidR="0026452D" w:rsidRDefault="0026452D" w:rsidP="0026452D">
      <w:pPr>
        <w:pStyle w:val="TextoNormal"/>
      </w:pPr>
      <w:r>
        <w:t>Por su parte, el apartado quinto del art. 36 no estaría siendo respetuoso con un sistema de articulación de competencias concurrentes al regular los aprovechamientos en los montes afectados por las zonas de servidumbre, policía o afección de los dominios públicos hidráulico, marítimo-terrestre, de carreteras o ferroviario. Pese a que la Ley de montes otorga a las Comunidades Autónomas el diseño y aprobación de las distintas figuras de ordenación de los montes y establece, en el marco de las bases, cuáles deben ser los contenidos a los que deberían ajustarse dichos instrumentos de ordenación, excluye del sistema general de aprovechamiento sometido a autorización aquellos efectuados de acuerdo con los planes de ordenación aprobados por las Comunidades Autónomas, si dichos planes obtuvieron informe favorable de los órganos de gestión del dominio público. Ello comportaría la limitación de la competencia de la Administración autonómica, puesto que no sólo se le impide determinar el régimen de aprovechamiento adecuado en virtud de su competencia en materia de montes sino que incluso se excluyen fórmulas de colaboración.</w:t>
      </w:r>
    </w:p>
    <w:p w:rsidR="0026452D" w:rsidRDefault="0026452D" w:rsidP="0026452D">
      <w:pPr>
        <w:pStyle w:val="TextoNormal"/>
      </w:pPr>
    </w:p>
    <w:p w:rsidR="0026452D" w:rsidRDefault="0026452D" w:rsidP="0026452D">
      <w:pPr>
        <w:pStyle w:val="TextoNormal"/>
      </w:pPr>
      <w:r>
        <w:t>El art. 21 regula el régimen de deslinde de los montes de titularidad pública. El legislador se basa en la competencia que el art. 149.1.18 CE atribuye al Estado. Pero la Ley se excede de las bases cuando regula el inicio del procedimiento, el contenido de la resolución por la que se aprueba el deslinde, y a la necesidad de publicación y notificación de la resolución puesto que no deja margen para su desarrollo normativo por parte de la Comunidad Autónoma. Si en la Ley 33/2003, de patrimonio de las Administraciones públicas, que afecta a todos los bienes públicos, incluidos los montes públicos, el procedimiento de deslinde no es básico, tampoco debe tener tal consideración en la ley impugnada.</w:t>
      </w:r>
    </w:p>
    <w:p w:rsidR="0026452D" w:rsidRDefault="0026452D" w:rsidP="0026452D">
      <w:pPr>
        <w:pStyle w:val="TextoNormal"/>
      </w:pPr>
    </w:p>
    <w:p w:rsidR="0026452D" w:rsidRDefault="0026452D" w:rsidP="0026452D">
      <w:pPr>
        <w:pStyle w:val="TextoNormal"/>
      </w:pPr>
      <w:r>
        <w:t>También la regulación que se efectúa en el art. 37 sobre las condiciones a las que están sometidos los aprovechamientos maderables y leñosos excede de lo que deba considerarse como normativa básica pues, además de preverse la necesidad de efectuar la notificación previa del aprovechamiento cuando existe instrumento de ordenación y exigir la autorización en caso contrario, se regulan aspectos procedimentales tales como la necesidad de que la resolución sea motivada o el régimen del silencio administrativo. Tal regulación no vendría amparada ni por la competencia básica en materia de aprovechamientos forestales, ni por el art. 149.1.18 CE pues excede de lo establecido en la Ley 30/1992, de 26 de noviembre, de régimen jurídico de las Administraciones públicas y del procedimiento común (LPC).</w:t>
      </w:r>
    </w:p>
    <w:p w:rsidR="0026452D" w:rsidRDefault="0026452D" w:rsidP="0026452D">
      <w:pPr>
        <w:pStyle w:val="TextoNormal"/>
      </w:pPr>
    </w:p>
    <w:p w:rsidR="0026452D" w:rsidRDefault="0026452D" w:rsidP="0026452D">
      <w:pPr>
        <w:pStyle w:val="TextoNormal"/>
      </w:pPr>
      <w:r>
        <w:t xml:space="preserve">Tampoco la competencia estatal de determinación de las bases para la protección del medio ambiente habilita al Estado para regular las medidas de fomento que en ejercicio de sus competencias propias pueden efectuar las Comunidades Autónomas (arts. 49.2, 63 y disposición transitoria tercera de la Ley de montes) puesto que condicionan la capacidad de gasto de la Generalitat en el legítimo ejercicio de su competencia en materia de montes. El art. 63 no sólo establece los criterios de preferencia para el acceso a incentivos económicos otorgados por las distintas administraciones públicas con competencias en materia de montes sino que, de acuerdo con la disposición transitoria tercera, se establece un límite temporal </w:t>
      </w:r>
      <w:r>
        <w:lastRenderedPageBreak/>
        <w:t>de diez años para que los propietarios de montes puedan acogerse a los incentivos económicos. Pasado este plazo, si no han procedido a efectuar la ordenación del monte no tendrán acceso, no sólo a los incentivos estatales, sino tampoco a aquellos que libremente pudieran establecer las Comunidades Autónomas. Con ello se estaría impidiendo a la Comunidad Autónoma determinar su propia política forestal que, en el marco de las bases estatales, le permita establecer una línea de ayuda con la finalidad de incentivar a los propietarios forestales para que elaboren planes de ordenación conforme a la normativa estatal o autonómica. Además, se entiende que el plazo de diez años establecido por la Ley resulta contradictorio con la finalidad de que se proceda a la ordenación de los montes, si se tiene en cuenta que el plazo para la ordenación fijado en su disposición transitoria segunda es de 15 años.</w:t>
      </w:r>
    </w:p>
    <w:p w:rsidR="0026452D" w:rsidRDefault="0026452D" w:rsidP="0026452D">
      <w:pPr>
        <w:pStyle w:val="TextoNormal"/>
      </w:pPr>
    </w:p>
    <w:p w:rsidR="0026452D" w:rsidRDefault="0026452D" w:rsidP="0026452D">
      <w:pPr>
        <w:pStyle w:val="TextoNormal"/>
      </w:pPr>
      <w:r>
        <w:t>El art. 63, en su tercer apartado, establece un criterio de prioridad, en este caso doblemente condicionado, porque requiere que el monte se encuentre en una zona definida como de alto riesgo y de otro porque también en este caso se exige que se disponga de un plan. Por tanto, también esta regulación excedería de lo que deba considerarse como bases de protección del medio ambiente.</w:t>
      </w:r>
    </w:p>
    <w:p w:rsidR="0026452D" w:rsidRDefault="0026452D" w:rsidP="0026452D">
      <w:pPr>
        <w:pStyle w:val="TextoNormal"/>
      </w:pPr>
    </w:p>
    <w:p w:rsidR="0026452D" w:rsidRDefault="0026452D" w:rsidP="0026452D">
      <w:pPr>
        <w:pStyle w:val="TextoNormal"/>
      </w:pPr>
      <w:r>
        <w:t>La regulación de la organización y de los trabajos de extinción de incendios que llevan a cabo los arts. 7.2 c), 46.2 y 47.1 y 3 de la Ley se sostiene sobre el título competencial relativo a la protección civil. Conforme a lo establecido por este Tribunal, dicho ámbito material debe integrarse como una vertiente del título competencial “seguridad pública” establecido en el art. 149.1.29 CE, que reconoce la competencia del Estado en dicho ámbito, sin perjuicio de que las Comunidades Autónomas puedan crear su propia policía, pero dado el reconocimiento por parte de la jurisprudencia constitucional de la competencia de la Generalitat en materia de seguridad pública, podría decirse que nos encontramos ante una competencia concurrente, lo que implica la competencia autonómica para la regulación y ejecución de las facultades relativas a la seguridad pública, excepto cuando concurran circunstancias de interés nacional que comporten la subordinación de la competencia autonómica. La Ley, en cambio, atribuye a la Administración del Estado, en colaboración con la autonómica, la competencia ejecutiva para “la normalización de los medios materiales para la extinción de los incendios forestales en todo el territorio español” [art. 7.2 c)].</w:t>
      </w:r>
    </w:p>
    <w:p w:rsidR="0026452D" w:rsidRDefault="0026452D" w:rsidP="0026452D">
      <w:pPr>
        <w:pStyle w:val="TextoNormal"/>
      </w:pPr>
    </w:p>
    <w:p w:rsidR="0026452D" w:rsidRDefault="0026452D" w:rsidP="0026452D">
      <w:pPr>
        <w:pStyle w:val="TextoNormal"/>
      </w:pPr>
      <w:r>
        <w:t>El art. 46.1 atribuye al Estado la homologación de la formación, preparación y equipamiento del personal y la normalización de los medios materiales que intervengan en los trabajos de extinción de incendios, condicionando la competencia de la Generalitat para la organización de la extinción de los incendios al obligarle a establecer un mando unificado y estructurado por funciones y exigir al director técnico una formación acreditada sobre incendios forestales y técnicas de extinción. Regulación, por otra parte, contraria a la contenida en el Real Decreto 40/1992, de 24 de abril, por el que se aprueba la norma básica de protección civil.</w:t>
      </w:r>
    </w:p>
    <w:p w:rsidR="0026452D" w:rsidRDefault="0026452D" w:rsidP="0026452D">
      <w:pPr>
        <w:pStyle w:val="TextoNormal"/>
      </w:pPr>
    </w:p>
    <w:p w:rsidR="0026452D" w:rsidRDefault="0026452D" w:rsidP="0026452D">
      <w:pPr>
        <w:pStyle w:val="TextoNormal"/>
      </w:pPr>
      <w:r>
        <w:t>Por su parte, el art. 47.1 de la Ley regula los trabajos de extinción y establece los recursos de que dispone el director técnico de la operación, lo que sería parte del plan de emergencia que correspondería elaborar a la Administración de la Comunidad Autónoma. Y el art. 47.3 establece la obligación de la Administración responsable de la extinción de asumir la defensa jurídica en los órdenes jurisdiccionales civil y penal de las personas que han participado en la extinción del incendio por las posibles responsabilidades derivadas de dichas actuaciones lo que debería realizarse en el marco de la norma reguladora correspondiente.</w:t>
      </w:r>
    </w:p>
    <w:p w:rsidR="0026452D" w:rsidRDefault="0026452D" w:rsidP="0026452D">
      <w:pPr>
        <w:pStyle w:val="TextoNormal"/>
      </w:pPr>
    </w:p>
    <w:p w:rsidR="0026452D" w:rsidRDefault="0026452D" w:rsidP="0026452D">
      <w:pPr>
        <w:pStyle w:val="TextoNormal"/>
      </w:pPr>
      <w:r>
        <w:t>Finalmente, se insta la inconstitucionalidad de la disposición final segunda por su conexión con los preceptos impugnados, concretamente, por el hecho de que dichos preceptos no quedan amparados por los títulos competenciales en ella recogidos.</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23 de marzo de 2004, la Sección Primera de este Tribunal acordó admitir a trámite el recurso de inconstitucionalidad, así como dar traslado de la demanda y documentos presentados, de conformidad con el art. 34 de la Ley Orgánica del Tribunal Constitucional (LOTC), al Congreso de los Diputados y al Senado, por conducto de sus Presidentes y al Gobierno, a través del Ministerio de Justicia al objeto de que, en el plazo de 15 días, pudiesen personarse en el proceso y formular las alegaciones que estimaran convenientes, así como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Por escrito registrado en este Tribunal Constitucional el 5 de abril de 2004, la Presidenta del Congreso de los Diputados comunicó que la Mesa de la Cámara había acordado no personarse ni formular alegaciones en el presente proceso constitucional, pese a lo cual ofrecía su colaboración a los efectos del art.88.1 LOTC.</w:t>
      </w:r>
    </w:p>
    <w:p w:rsidR="0026452D" w:rsidRDefault="0026452D" w:rsidP="0026452D">
      <w:pPr>
        <w:pStyle w:val="TextoNormal"/>
      </w:pPr>
    </w:p>
    <w:p w:rsidR="0026452D" w:rsidRDefault="0026452D" w:rsidP="0026452D">
      <w:pPr>
        <w:pStyle w:val="TextoNormal"/>
      </w:pPr>
      <w:r w:rsidRPr="0026452D">
        <w:rPr>
          <w:rStyle w:val="NumeroAFNegritaCaracter"/>
        </w:rPr>
        <w:t>4</w:t>
      </w:r>
      <w:r>
        <w:t>. El 20 de abril de 2004 se presentó en el Registro General de este Tribunal Constitucional el escrito de alegaciones formulado por el Abogado del Estado en representación del Gobierno de la Nación, que se resumen a continuación.</w:t>
      </w:r>
    </w:p>
    <w:p w:rsidR="0026452D" w:rsidRDefault="0026452D" w:rsidP="0026452D">
      <w:pPr>
        <w:pStyle w:val="TextoNormal"/>
      </w:pPr>
    </w:p>
    <w:p w:rsidR="0026452D" w:rsidRDefault="0026452D" w:rsidP="0026452D">
      <w:pPr>
        <w:pStyle w:val="TextoNormal"/>
      </w:pPr>
      <w:r>
        <w:t>Considera el Abogado del Estado que es el título competencial previsto en el art. 149.1.23 CE para la legislación básica en materia de montes y aprovechamientos forestales el que, fundamentalmente, ampara la Ley recurrida, discrepando de que este título específico deba ceder ante el más general del medio ambiente. Por tanto, la doctrina aplicable sería la establecida en la STC 21/1999, de 25 de febrero (FJ 5), abarcando la competencia estatal el establecimiento de “criterios globales de ordenación del sector” forestal y la previsión de “acciones o medidas singulares que sean necesarias para alcanzar los fines propuestos” con tal ordenación y, dentro de ellas y a título excepcional, medidas ejecutivas cuando sean necesarias para garantizar la integridad de las competencias estatales de ordenación básica de los montes y los aprovechamientos forestales.</w:t>
      </w:r>
    </w:p>
    <w:p w:rsidR="0026452D" w:rsidRDefault="0026452D" w:rsidP="0026452D">
      <w:pPr>
        <w:pStyle w:val="TextoNormal"/>
      </w:pPr>
    </w:p>
    <w:p w:rsidR="0026452D" w:rsidRDefault="0026452D" w:rsidP="0026452D">
      <w:pPr>
        <w:pStyle w:val="TextoNormal"/>
      </w:pPr>
      <w:r>
        <w:t xml:space="preserve">En cuanto a las concretas impugnaciones de los diversos apartados del art. 7 de la Ley de montes señala, en primer lugar, que el término “competencia” es utilizado en este precepto en un sentido muy amplio y, a veces, equívoco. Así, el apartado 1 a) del art. 7, puesto en relación con el art. 6.1 c) que no ha sido recurrido, haría referencia, con la gestión de los montes por el Estado, al ejercicio de potestades públicas para defensa y, en su caso, aprovechamiento de su dominio público forestal o de sus montes patrimoniales, esto es, al conjunto de actividades técnicas y materiales relativas a la conservación, mejora y aprovechamiento del monte. Considera el Abogado del Estado que la “competencia” estatal del art. 7.1 a), interpretada sistemáticamente en relación con el resto de preceptos de la Ley de montes, no es más que el modo abreviado de citar las potestades de que dispone la Administración general del Estado sobre los montes del dominio público estatal por su consideración de titular de tal, así como las facultades “gestoras” que ostenta como propietaria de montes patrimoniales, muchas veces en igualdad con los demás propietarios de montes privados y siempre con pleno respeto a las competencias de las Comunidades Autónomas en </w:t>
      </w:r>
      <w:r>
        <w:lastRenderedPageBreak/>
        <w:t>materia de montes y aprovechamientos forestales. Por todo ello, no considera que exista violación del orden de competencias, ni en particular del art. 9.10 EAC.</w:t>
      </w:r>
    </w:p>
    <w:p w:rsidR="0026452D" w:rsidRDefault="0026452D" w:rsidP="0026452D">
      <w:pPr>
        <w:pStyle w:val="TextoNormal"/>
      </w:pPr>
    </w:p>
    <w:p w:rsidR="0026452D" w:rsidRDefault="0026452D" w:rsidP="0026452D">
      <w:pPr>
        <w:pStyle w:val="TextoNormal"/>
      </w:pPr>
      <w:r>
        <w:t>En torno a lo dispuesto en el art. 7.2 c) en relación con el art. 46.1, se examina el problema del título competencial prevalente para los incendios forestales. Se recuerda que la protección civil es definida en el preámbulo de la Ley 2/1985, de 21 de enero como la “protección física de las personas y de los bienes, en situación de grave riesgo colectivo, calamidad pública o catástrofe extraordinaria, en la que la seguridad y la vida de las personas pueden peligrar y sucumbir masivamente”. La idea de que la organización y mantenimiento de servicios de prevención y extinción de incendios y la formación de mandos y componentes de estos servicios se encuadran dentro de la protección civil vendría avalada tanto por lo dispuesto en diversos artículos de esta Ley y en la norma básica de protección civil (Real Decreto 407/1992, de 24 de abril), como en lo establecido por la jurisprudencia constitucional (STC 133/1990, de 19 de julio).</w:t>
      </w:r>
    </w:p>
    <w:p w:rsidR="0026452D" w:rsidRDefault="0026452D" w:rsidP="0026452D">
      <w:pPr>
        <w:pStyle w:val="TextoNormal"/>
      </w:pPr>
    </w:p>
    <w:p w:rsidR="0026452D" w:rsidRDefault="0026452D" w:rsidP="0026452D">
      <w:pPr>
        <w:pStyle w:val="TextoNormal"/>
      </w:pPr>
      <w:r>
        <w:t>En lo que se refiere al art. 7.2 c) de la Ley de montes la competencia estatal discutida por el recurrente es la que se refiere a la normalización de los medios materiales para la extinción. Tal competencia, es atribuida también a la Administración general del Estado en el art. 46.1 de la Ley. De acuerdo con la disposición final 2.1, este precepto se ampara en el art. 149.1.23 CE. Pues bien esta facultad, que entraña una actividad normativa que fija de forma permanente las características uniformes que deben poseer en todo el territorio nacional los medios materiales de extinción, queda dentro de la competencia estatal, tanto si se la considera norma básica en materia de montes, como si se la incluye en la materia “protección civil”. La necesidad de tal uniformidad deriva de la necesidad de eficacia a la que debe responder la acción coordinada de diversas Administraciones en la extinción de incendios y, desde la perspectiva de la protección civil, la normalización de medios materiales aparece como competencia estatal en el art. 17.2 e) de la Ley 2/1985 (STC 32/1983, de 28 de abril). Las mismas razones son predicables de la competencia estatal para “la homologación de la formación, preparación y equipamiento” del personal de extinción, prevista en el art. 46.1 de la ley impugnada.</w:t>
      </w:r>
    </w:p>
    <w:p w:rsidR="0026452D" w:rsidRDefault="0026452D" w:rsidP="0026452D">
      <w:pPr>
        <w:pStyle w:val="TextoNormal"/>
      </w:pPr>
    </w:p>
    <w:p w:rsidR="0026452D" w:rsidRDefault="0026452D" w:rsidP="0026452D">
      <w:pPr>
        <w:pStyle w:val="TextoNormal"/>
      </w:pPr>
      <w:r>
        <w:t xml:space="preserve">El art. 7.2 g), en relación con el art. 32.2 y la disposición final tercera atribuye a la Administración general del Estado “en colaboración con las Comunidades Autónomas y sin perjuicio de sus competencias en estos ámbitos”, la elaboración y aprobación de las instrucciones básicas para la ordenación y aprovechamiento de montes que se elaboran en la Conferencia Sectorial de Medio Ambiente (art. 10) y se aprueban mediante real decreto. Las instrucciones básicas cumplen la doble función de (i) adaptar los criterios e indicadores de sostenibilidad establecidos en convenios y resoluciones internacionales y en la normativa europea sobre la Red Natura 2000 (art. 3 de la Directiva 92/43/CEE del Consejo); y (ii) fijar el contenido mínimo de los instrumentos de gestión, es decir, los proyectos de ordenación y de los planes dasocráticos y sus revisiones desde el punto de vista de la gestión sostenible. En cuanto portadoras de un mínimo uniforme general en la adaptación de criterios de sostenibilidad y en el contenido de los proyectos de ordenación y planes dasocráticos, las instrucciones respetan el ámbito formal de lo básico pues resulta necesario la continua adaptación a la evolución del contexto internacional y europeo y a los resultados de la gestión sostenible de los monte. Tampoco se excederían los límites materiales de las bases, puesto que establecerían “criterios globales de ordenación del sector” forestal a desarrollar por las </w:t>
      </w:r>
      <w:r>
        <w:lastRenderedPageBreak/>
        <w:t>Comunidades Autónomas. Rechaza, finalmente, el Abogado del Estado que las instrucciones básicas sean innecesarias por redundantes, ya que el planes de ordenación de los recursos forestales es un instrumento de planificación forestal (art. 31.1), en tanto que aquéllas pretenden fijar un mínimo nacional uniforme de los instrumentos de gestión, lo que resulta absolutamente ajeno a las finalidades planificadores de los citados planes.</w:t>
      </w:r>
    </w:p>
    <w:p w:rsidR="0026452D" w:rsidRDefault="0026452D" w:rsidP="0026452D">
      <w:pPr>
        <w:pStyle w:val="TextoNormal"/>
      </w:pPr>
    </w:p>
    <w:p w:rsidR="0026452D" w:rsidRDefault="0026452D" w:rsidP="0026452D">
      <w:pPr>
        <w:pStyle w:val="TextoNormal"/>
      </w:pPr>
      <w:r>
        <w:t>En lo que se refiere al art. 7.2 h), como quiera que los demandantes no hacen alusión alguna en su escrito al art. 42 de la misma Ley, entiende que el recurrente habría incumplido la carga de fundamentar debidamente su impugnación (por todas, STC 48/2003, de 12 de marzo, FJ 3). Por lo que respecta a la competencia de la Administración general del Estado en las actuaciones de restauración hidrológico-forestal, que ejerce “en colaboración con las Comunidades Autónomas y sin perjuicio de sus competencias en estos ámbitos”, se señala que conforme a lo dispuesto en el art. 41.3, corresponde al Ministerio de Medio Ambiente en colaboración con las Comunidades Autónomas la elaboración y aprobación del plan nacional de actuaciones prioritarias de restauración hidrológico-forestal, de cuya aplicación y seguimiento, que se efectuará coordinadamente por el Ministerio y las Comunidades Autónomas, no puede desentenderse el Estado, sin que ello impida que sean a las Comunidades Autónomas las que delimiten las zonas de peligro y aprueben los planes específicos de restauración.</w:t>
      </w:r>
    </w:p>
    <w:p w:rsidR="0026452D" w:rsidRDefault="0026452D" w:rsidP="0026452D">
      <w:pPr>
        <w:pStyle w:val="TextoNormal"/>
      </w:pPr>
    </w:p>
    <w:p w:rsidR="0026452D" w:rsidRDefault="0026452D" w:rsidP="0026452D">
      <w:pPr>
        <w:pStyle w:val="TextoNormal"/>
      </w:pPr>
      <w:r>
        <w:t>El art. 42 prevé la declaración por parte del Ministerio de Medio Ambiente, a petición de las Comunidades afectadas, de “interés general” de actuaciones de restauración hidrológico-forestal fuera del dominio público hidráulico. Esta declaración sirve para permitir al acceso a los incentivos estatales “por las externalidades ambientales”, según cabe deducir del art. 65.2 c), no recurrido, por lo que no existe competencia autonómica alguna vulnerada.</w:t>
      </w:r>
    </w:p>
    <w:p w:rsidR="0026452D" w:rsidRDefault="0026452D" w:rsidP="0026452D">
      <w:pPr>
        <w:pStyle w:val="TextoNormal"/>
      </w:pPr>
    </w:p>
    <w:p w:rsidR="0026452D" w:rsidRDefault="0026452D" w:rsidP="0026452D">
      <w:pPr>
        <w:pStyle w:val="TextoNormal"/>
      </w:pPr>
      <w:r>
        <w:t>El art. 7.3. b) reconoce al Estado una competencia de coordinación cuyo objeto es “el establecimiento y mantenimiento de las redes europeas de parcelas”, por lo que corresponde al Estado la coordinación de una red estatal, necesaria para el cumplimiento de las obligaciones establecidas en el Reglamento (CEE) núm. 3258/86, mientras que el establecimiento, el mantenimiento, la financiación y el control de las “redes temáticas y parcelas de seguimiento derivadas de la normativa internacional” podrá efectuarse —conforme a lo establecido en el art. 56.1— por las Comunidades Autónomas en cooperación con el Estado. Podría entenderse que el mandato del art. 56.1 es superfluo dado que la cooperación es un principio inherente al Estado de Autonomías, pero en modo alguno lesivo de las competencias de la Generalitat.</w:t>
      </w:r>
    </w:p>
    <w:p w:rsidR="0026452D" w:rsidRDefault="0026452D" w:rsidP="0026452D">
      <w:pPr>
        <w:pStyle w:val="TextoNormal"/>
      </w:pPr>
    </w:p>
    <w:p w:rsidR="0026452D" w:rsidRDefault="0026452D" w:rsidP="0026452D">
      <w:pPr>
        <w:pStyle w:val="TextoNormal"/>
      </w:pPr>
      <w:r>
        <w:t>En cuanto al resto de los preceptos impugnados en la demanda, respecto al art. 18.4 de la Ley de montes se recurre exclusivamente el inciso “a excepción de los declarados como de interés general por el Estado” que sería constitucional si el interés general declarado en relación con un expediente de demanialidad es manifestación de una competencia exclusiva del Estado que deba considerarse prevalente por razones constitucionales respecto a las autonómicas concurrentes en el mismo espacio físico (conforme a lo establecido, entre otras en las SSTC 77/1984, de 3 de julio, FJ 3; 56/1986, de 13 de mayo, FJ 3; y 40 /1998, de 19 de febrero).</w:t>
      </w:r>
    </w:p>
    <w:p w:rsidR="0026452D" w:rsidRDefault="0026452D" w:rsidP="0026452D">
      <w:pPr>
        <w:pStyle w:val="TextoNormal"/>
      </w:pPr>
    </w:p>
    <w:p w:rsidR="0026452D" w:rsidRDefault="0026452D" w:rsidP="0026452D">
      <w:pPr>
        <w:pStyle w:val="TextoNormal"/>
      </w:pPr>
      <w:r>
        <w:lastRenderedPageBreak/>
        <w:t>El art. 21.2, 4 y 7, regula el deslinde Ley de montes públicos. Aunque dictado a partir de la competencia del art. 149.1.18 CE (disposición final segunda 2) podría quedar comprendido en el art. 149.1.23 CE pues se limita a regular el deslinde de unos singulares bienes públicos. Cierto es que el art. 52 de la Ley 33/2003, del patrimonio de las Administraciones públicas, no reviste carácter básico pero ello se explica por su carácter supletorio y su aplicación sólo en aquellos sectores en los que no exista una regulación especial propia (sea ésta estatal o autonómica). Además, las Comunidades Autónomas pueden regular el procedimiento de deslinde, dentro de los límites del art. 21 de la Ley de montes. En lo que se refiere, concretamente, al apartado 2, éste regula los modos de iniciación del procedimiento, legitimando al órgano forestal autonómico cuando el monte esté catalogado. Se prescribe una carga de publicación y notificación a todos los colindantes e interesados, lo que, por su evidente finalidad garantista, resultaría comprendida en el mínimo uniforme nacional propio de las “bases en sentido material”. El apartado 4 describe el contenido nuclear de la resolución que pone fin al procedimiento de deslinde que no podría variar de una Comunidad Autónoma a otra. El apartado 7, en su primer inciso, enuncia una regla garantista sobre notificación y publicación de la que depende la eficacia de la resolución administrativa de deslinde mientras que, en su segundo inciso, contiene una norma de participación o distribución jurisdiccional de los litigios ocasionados por el deslinde administrativo, en la que se reflejaría la jurisprudencia y práctica de muchos años. El segundo inciso, por su parte, estaría concretando, respecto al deslinde de montes, lo dispuesto en los apartados 2 y 4 del art. 9 de la Ley Orgánica del Poder Judicial y, por ello, se ampararía concurrentemente en el art. 149.1.5 CE, sin necesitar, por ello, de una mayor justificación en cuanto a su carácter básico.</w:t>
      </w:r>
    </w:p>
    <w:p w:rsidR="0026452D" w:rsidRDefault="0026452D" w:rsidP="0026452D">
      <w:pPr>
        <w:pStyle w:val="TextoNormal"/>
      </w:pPr>
    </w:p>
    <w:p w:rsidR="0026452D" w:rsidRDefault="0026452D" w:rsidP="0026452D">
      <w:pPr>
        <w:pStyle w:val="TextoNormal"/>
      </w:pPr>
      <w:r>
        <w:t>En cuanto al art. 36.5, se impugna sólo en la medida en que se exige que el informe sea favorable. No se trata de un medio de articulación de competencias estatales y autonómicas concurrentes sobre un mismo espacio físico, pues el otro dominio público al que se refiere el apartado cuestionado no tiene por qué ser necesariamente estatal, sino que puede tratarse igualmente de dominio público autonómico. Se intenta simplificar las actuaciones administrativas en beneficio de quien aprovecha el monte, en principio su dueño, en el procedimiento de aprobación del instrumento de gestión forestal, en el que la decisión corresponde a la Comunidad Autónoma (art. 33.2). Si todos los gestores de los diversos demanios están conformes con la gestión forestal planeada o proyectada, los aprovechamientos forestales en cuestión quedarían legitimados desde las plurales perspectivas demaniales concurrentes, no sólo desde la forestal. La falta del informe favorable se traduciría simplemente en que el aprovechamiento forestal requerirá autorización del órgano gestor del dominio público concurrente de acuerdo con su legislación específica.</w:t>
      </w:r>
    </w:p>
    <w:p w:rsidR="0026452D" w:rsidRDefault="0026452D" w:rsidP="0026452D">
      <w:pPr>
        <w:pStyle w:val="TextoNormal"/>
      </w:pPr>
    </w:p>
    <w:p w:rsidR="0026452D" w:rsidRDefault="0026452D" w:rsidP="0026452D">
      <w:pPr>
        <w:pStyle w:val="TextoNormal"/>
      </w:pPr>
      <w:r>
        <w:t xml:space="preserve">Respecto al art. 37, la parte recurrente entiende que no es competencia del Estado determinar el sentido del silencio administrativo y exigir motivación o justificación técnica de la denegación del aprovechamiento en los supuestos previstos en dicho artículo. A este respecto, se advierte que el art. 37 reconoce la competencia autonómica para fijar el plazo máximo para que la Administración forestal autonómica dicte y notifique resolución expresa. Como la doctrina de este Tribunal afirma que la regulación del procedimiento administrativo en una materia especial es competencia conexa con la que se disponga para regular lo sustantivo, el Estado ostenta la competencia para establecer el régimen básico de las decisiones administrativas que recaen en materia de aprovechamientos forestales sobre todo cuando operan, como el silencio o la motivación, en garantía de los administrados. El art. </w:t>
      </w:r>
      <w:r>
        <w:lastRenderedPageBreak/>
        <w:t>46.2 entiende es constitucional por remisión a la argumentación relativa a al 46.1 de la Ley de montes.</w:t>
      </w:r>
    </w:p>
    <w:p w:rsidR="0026452D" w:rsidRDefault="0026452D" w:rsidP="0026452D">
      <w:pPr>
        <w:pStyle w:val="TextoNormal"/>
      </w:pPr>
    </w:p>
    <w:p w:rsidR="0026452D" w:rsidRDefault="0026452D" w:rsidP="0026452D">
      <w:pPr>
        <w:pStyle w:val="TextoNormal"/>
      </w:pPr>
      <w:r>
        <w:t>El art. 47.1 de la Ley contiene el estatuto básico del director técnico, habilitándole para adoptar medidas de movilización, sacrificio de derechos e intervención en la propiedad privada. También sería básica la habilitación a la autoridad local para movilizar medios públicos y privados. El art. 47.3 impone a la Administración responsable de la extinción (normalmente, la autonómica) asumir la defensa en juicio civil y penal del director técnico y del personal a sus órdenes durante las operaciones de extinción regla que podría encontrar amparo en el art. 149.1.18 CE y en los demás títulos competenciales que se han invocado por esta parte respecto a las demás normas sobre incendios forestales recurridas. La garantía de defensa jurídica podría coadyuvar a que las actuaciones que supongan un sacrificio de derechos se tomen en el momento más oportuno.</w:t>
      </w:r>
    </w:p>
    <w:p w:rsidR="0026452D" w:rsidRDefault="0026452D" w:rsidP="0026452D">
      <w:pPr>
        <w:pStyle w:val="TextoNormal"/>
      </w:pPr>
    </w:p>
    <w:p w:rsidR="0026452D" w:rsidRDefault="0026452D" w:rsidP="0026452D">
      <w:pPr>
        <w:pStyle w:val="TextoNormal"/>
      </w:pPr>
      <w:r>
        <w:t>En lo referente a la impugnación del art. 63 en relación con el último inciso del art. 49.2 y la disposición transitoria tercera de la Ley de montes, se resalta que el núcleo de la impugnación reside en si las Comunidades Autónomas deben o no respetar los criterios de preferencia del art. 63 a la hora de otorgar incentivos con cargo a fondos propios. En virtud de su competencia del art. 149.1.23 CE, el Estado puede establecer las bases de la acción de fomento en materia de montes y aprovechamientos forestales, bases que vinculan a todas las Administraciones públicas (STC 95/2001, de 5 de abril, FFJJ 2 y 3). Por lo demás, la autonomía de gasto de las CCAA puede ser legítimamente condicionada, con arreglo a lo dispuesto en los arts. 156.1 CE y 2.1 b) y c) de la Ley Orgánica de financiación de las Comunidades Autónomas (STC 68/1996, de 18 de abril, FJ 10). Tampoco se considera que desborde lo básico el estímulo de la suscripción del seguro de incendios forestales mediante el acceso preferente a subvenciones del art. 64 (art. 49.2).</w:t>
      </w:r>
    </w:p>
    <w:p w:rsidR="0026452D" w:rsidRDefault="0026452D" w:rsidP="0026452D">
      <w:pPr>
        <w:pStyle w:val="TextoNormal"/>
      </w:pPr>
    </w:p>
    <w:p w:rsidR="0026452D" w:rsidRDefault="0026452D" w:rsidP="0026452D">
      <w:pPr>
        <w:pStyle w:val="TextoNormal"/>
      </w:pPr>
      <w:r>
        <w:t xml:space="preserve">Igualmente, se considera norma básica de la acción de fomento la contenida en la disposición transitoria tercera respecto a los montes no ordenados, con la que se trataría de estimular su ordenación. El establecimiento de un plazo máximo de diez años sería un elemento esencial tanto para determinar la aplicación del nuevo régimen de incentivos, como para conseguir la finalidad incentivadora pretendida durante el periodo transitorio. Por su parte, el plazo de 15 años de la disposición transitoria segunda sería un plazo máximo para cumplir una obligación </w:t>
      </w:r>
      <w:r w:rsidRPr="0026452D">
        <w:rPr>
          <w:i/>
        </w:rPr>
        <w:t>ex lege</w:t>
      </w:r>
      <w:r>
        <w:t>, mientras que el plazo de diez años de la transitoria tercera sería el máximo para acogerse a un régimen de auxilio financiero que estimula el cumplimiento de la obligación de disponer de un instrumento de gestión forestal.</w:t>
      </w:r>
    </w:p>
    <w:p w:rsidR="0026452D" w:rsidRDefault="0026452D" w:rsidP="0026452D">
      <w:pPr>
        <w:pStyle w:val="TextoNormal"/>
      </w:pPr>
    </w:p>
    <w:p w:rsidR="0026452D" w:rsidRDefault="0026452D" w:rsidP="0026452D">
      <w:pPr>
        <w:pStyle w:val="TextoNormal"/>
      </w:pPr>
      <w:r>
        <w:t xml:space="preserve">La demanda de inconstitucionalidad ataca lo dispuesto en el apartado primero de la disposición adicional primera de la Ley de montes, en tanto se considera que la suscripción de los consorcios y los convenios de repoblación a los que ésta se refiere es un acto de mera ejecución que corresponde a la Comunidad Autónoma. Señala, sin embargo, el Abogado del Estado que los referidos convenios y consorcios son los ya existentes a la entrada en vigor de la nueva Ley de montes (pues se trata de los amparados en la legislación estatal que se deroga en la disposición derogatoria única y se prevé que éstos continuarán vigentes hasta la fecha de su finalización) y no los que se pudieran suscribir en el futuro. El apartado segundo de esa misma disposición adicional prevé la posibilidad de que las Comunidades Autónomas sustituyan los consorcios y convenios de repoblación por otras figuras contractuales, siempre que se cuente con el acuerdo de los propietarios. Dado que se deja un margen </w:t>
      </w:r>
      <w:r>
        <w:lastRenderedPageBreak/>
        <w:t>de desarrollo legislativo a las Comunidades Autónomas [letra c) del apartado 2], nos encontramos ante una típica norma básica amparada en la competencia estatal sobre montes y aprovechamientos forestales del art. 149.1.23 CE que, además, contribuye a delimitar la función social de la propiedad forestal.</w:t>
      </w:r>
    </w:p>
    <w:p w:rsidR="0026452D" w:rsidRDefault="0026452D" w:rsidP="0026452D">
      <w:pPr>
        <w:pStyle w:val="TextoNormal"/>
      </w:pPr>
    </w:p>
    <w:p w:rsidR="0026452D" w:rsidRDefault="0026452D" w:rsidP="0026452D">
      <w:pPr>
        <w:pStyle w:val="TextoNormal"/>
      </w:pPr>
      <w:r>
        <w:t>Por último, en cuanto a la solicitud de los demandantes en relación con la declaración de inconstitucionalidad por conexión o consecuencia de la disposición final segunda, después de lo razonado ya en su escrito, la representación del Gobierno entiende que no cabe reprochar ninguna inconstitucionalidad a tal precepto legal.</w:t>
      </w:r>
    </w:p>
    <w:p w:rsidR="0026452D" w:rsidRDefault="0026452D" w:rsidP="0026452D">
      <w:pPr>
        <w:pStyle w:val="TextoNormal"/>
      </w:pPr>
    </w:p>
    <w:p w:rsidR="0026452D" w:rsidRDefault="0026452D" w:rsidP="0026452D">
      <w:pPr>
        <w:pStyle w:val="TextoNormal"/>
      </w:pPr>
      <w:r w:rsidRPr="0026452D">
        <w:rPr>
          <w:rStyle w:val="NumeroAFNegritaCaracter"/>
        </w:rPr>
        <w:t>5</w:t>
      </w:r>
      <w:r>
        <w:t>. Por providencia de 26 de febrero de 2013 se acordó señalar para deliberación y votación de la presente Sentencia el día 28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interpone por el Consejo Ejecutivo de la Generalitat de Cataluña contra los arts. 7.1 a); 7.2 c), g) y h); 7.3 b); 18.4 en su inciso: “a excepción de los declarados como de interés general por el Estado”; 21.2, 4 y 7; 32; 36.5 en la medida en que exige que el informe sea favorable; 37 en cuanto a la regulación del silencio y de la motivación que efectúan sus apartados a) y b); 42; 46.1 y 2; 47.1 y 3; 49.2, último inciso; 56.1; 63; disposición adicional primera; disposición transitoria tercera, y disposiciones finales segunda y tercera, todos ellos de la Ley 43/2003, de 21 de noviembre, de montes.</w:t>
      </w:r>
    </w:p>
    <w:p w:rsidR="0026452D" w:rsidRDefault="0026452D" w:rsidP="0026452D">
      <w:pPr>
        <w:pStyle w:val="TextoNormal"/>
      </w:pPr>
    </w:p>
    <w:p w:rsidR="0026452D" w:rsidRDefault="0026452D" w:rsidP="0026452D">
      <w:pPr>
        <w:pStyle w:val="TextoNormal"/>
      </w:pPr>
      <w:r>
        <w:t>Como se expuso en los antecedentes, la Generalitat de Cataluña alega que la amplitud con que la ley estatal ha interpretado los títulos competenciales del art. 149.1.23 CE, y los demás citados en la disposición final segunda, vulnera la competencia exclusiva autonómica que le atribuye el art. 9.10 del Estatuto de Autonomía de Cataluña (EAC) de 1979 en materia de montes y en materia de protección civil y seguridad pública. Por el contrario, el Abogado del Estado considera que el Estado no se ha extralimitado en el ejercicio de sus competencias, pues la regulación impugnada queda amparada, en su totalidad, por los títulos competenciales que se invocan en la citada disposición final segunda, según se razona de forma pormenorizada, para cada uno de los preceptos impugnados, en su escrito de alegaciones.</w:t>
      </w:r>
    </w:p>
    <w:p w:rsidR="0026452D" w:rsidRDefault="0026452D" w:rsidP="0026452D">
      <w:pPr>
        <w:pStyle w:val="TextoNormal"/>
      </w:pPr>
    </w:p>
    <w:p w:rsidR="0026452D" w:rsidRDefault="0026452D" w:rsidP="0026452D">
      <w:pPr>
        <w:pStyle w:val="TextoNormal"/>
      </w:pPr>
      <w:r w:rsidRPr="0026452D">
        <w:rPr>
          <w:rStyle w:val="NumeroAFNegritaCaracter"/>
        </w:rPr>
        <w:t>2</w:t>
      </w:r>
      <w:r>
        <w:t>. Debemos señalar, en primer lugar, que la Ley 10/2006, de 28 de abril, de modificación de la Ley 43/2003, de 21 de noviembre, ha afectado a una buena parte de los preceptos impugnados. Por ello, antes de entrar en el enjuiciamiento de las cuestiones planteadas en la demanda, y a los efectos de determinar si pervive o no el objeto del proceso, resulta imprescindible analizar la incidencia que haya podido tener la derogación o modificación de los preceptos discutidos, lo que, en los procesos constitucionales de orden competencial, dependerá exclusivamente, tal y como tenemos afirmado en nuestra más reciente doctrina (por todas, STC 184/2012, de 17 de octubre, FJ 2), de que se mantenga o no la controversia competencial.</w:t>
      </w:r>
    </w:p>
    <w:p w:rsidR="0026452D" w:rsidRDefault="0026452D" w:rsidP="0026452D">
      <w:pPr>
        <w:pStyle w:val="TextoNormal"/>
      </w:pPr>
    </w:p>
    <w:p w:rsidR="0026452D" w:rsidRDefault="0026452D" w:rsidP="0026452D">
      <w:pPr>
        <w:pStyle w:val="TextoNormal"/>
      </w:pPr>
      <w:r>
        <w:t>Para ello, y teniendo en cuenta que, según reconoce la exposición de motivos de la Ley 10/2006, de 28 de abril, una de las finalidades de la reforma legislativa posterior es la de adecuarla al orden constitucional de distribución de competencias, la valoración de la vi</w:t>
      </w:r>
      <w:r>
        <w:lastRenderedPageBreak/>
        <w:t>gencia de la controversia competencial planteada requiere analizar, en cada caso, si la modificación operada por la Ley 10/2006 ha supuesto una modificación de los términos en que el Estado ha ejercido sus competencias. Si así fuera, la controversia competencial discutida en el proceso habría perdido vigencia, sin perjuicio de los nuevos problemas competenciales que la modificación pudiera suscitar, lo que, además de escapar del objeto de este proceso, resulta, por otra parte, consustancial a las controversias que afectan al alcance de la legislación básica estatal, por naturaleza variable. A tal efecto debemos señalar que, ni la recurrente, ni ninguna otra Comunidad Autónoma han cuestionado la nueva redacción que la Ley 10/2006 ha dado a los preceptos impugnados en este recurso. Debe advertirse, únicamente, que la Ley 10/2006 ha sido objeto de dos recursos de inconstitucionalidad que se tramitan ante este Tribunal con los números 7837-2006 y 8021-2006, pero en ninguno de ellos se impugnan los preceptos cuestionados en este recurso.</w:t>
      </w:r>
    </w:p>
    <w:p w:rsidR="0026452D" w:rsidRDefault="0026452D" w:rsidP="0026452D">
      <w:pPr>
        <w:pStyle w:val="TextoNormal"/>
      </w:pPr>
    </w:p>
    <w:p w:rsidR="0026452D" w:rsidRDefault="0026452D" w:rsidP="0026452D">
      <w:pPr>
        <w:pStyle w:val="TextoNormal"/>
      </w:pPr>
      <w:r>
        <w:t>Por el contrario, si la modificación llevada a cabo por la Ley 10/2006 no afectara en esencia al alcance de las competencias atribuidas al Estado por la Ley 43/2003, deberemos entender que pervive la controversia competencial y sobre ella nos pronunciaremos aun cuando, en el caso de que se apreciara su inconstitucionalidad, el alcance del fallo no podría ser de anulación, al haber sido sustituido el precepto sobre el que pervive la controversia competencial por la Ley 10/2006, no impugnada en este proceso.</w:t>
      </w:r>
    </w:p>
    <w:p w:rsidR="0026452D" w:rsidRDefault="0026452D" w:rsidP="0026452D">
      <w:pPr>
        <w:pStyle w:val="TextoNormal"/>
      </w:pPr>
    </w:p>
    <w:p w:rsidR="0026452D" w:rsidRDefault="0026452D" w:rsidP="0026452D">
      <w:pPr>
        <w:pStyle w:val="TextoNormal"/>
      </w:pPr>
      <w:r w:rsidRPr="0026452D">
        <w:rPr>
          <w:rStyle w:val="NumeroAFNegritaCaracter"/>
        </w:rPr>
        <w:t>3</w:t>
      </w:r>
      <w:r>
        <w:t>. En aplicación del criterio señalado en el fundamento jurídico anterior, analizaremos, en primer lugar, los artículos impugnados que han resultado derogados por la Ley 10/2006. Se han derogado dos preceptos que atribuían competencias ejecutivas al Estado. El art. 7.1 a) de la Ley de montes atribuía al Estado la competencia para la gestión de los montes de su propiedad, sin distinguir entre montes patrimoniales y montes catalogados, y el art. 7.2 h), la competencia para la realización de actuaciones de restauración forestal. También ha quedado derogado el apartado segundo del art. 21, que regulaba el inicio del procedimiento de deslinde de los montes públicos al que la recurrente atribuía una regulación excesivamente pormenorizada que excedía del ámbito de lo básico.</w:t>
      </w:r>
    </w:p>
    <w:p w:rsidR="0026452D" w:rsidRDefault="0026452D" w:rsidP="0026452D">
      <w:pPr>
        <w:pStyle w:val="TextoNormal"/>
      </w:pPr>
    </w:p>
    <w:p w:rsidR="0026452D" w:rsidRDefault="0026452D" w:rsidP="0026452D">
      <w:pPr>
        <w:pStyle w:val="TextoNormal"/>
      </w:pPr>
      <w:r>
        <w:t>La derogación ha supuesto o una supresión, o una modificación a menos de las competencias que la Ley 43/2003 atribuía al Estado y, en consecuencia, debemos concluir la pérdida de objeto de este proceso en lo que se refiere a los arts. 7.1 a) 7.2 h) y 21.2 .de la Ley de montes.</w:t>
      </w:r>
    </w:p>
    <w:p w:rsidR="0026452D" w:rsidRDefault="0026452D" w:rsidP="0026452D">
      <w:pPr>
        <w:pStyle w:val="TextoNormal"/>
      </w:pPr>
    </w:p>
    <w:p w:rsidR="0026452D" w:rsidRDefault="0026452D" w:rsidP="0026452D">
      <w:pPr>
        <w:pStyle w:val="TextoNormal"/>
      </w:pPr>
      <w:r w:rsidRPr="0026452D">
        <w:rPr>
          <w:rStyle w:val="NumeroAFNegritaCaracter"/>
        </w:rPr>
        <w:t>4</w:t>
      </w:r>
      <w:r>
        <w:t>. En segundo lugar, procede analizar los preceptos impugnados que han sido modificados por la Ley 10/2006 para, en aplicación del criterio anteriormente expuesto, determinar si la modificación legislativa ha supuesto un replanteamiento de los términos en los que el Estado ejerce su competencia, pues, de llegarse a esta conclusión, el proceso habría perdido objeto. Para ello agruparemos los preceptos en función de las instituciones que regulan y las vulneraciones denunciadas, rechazando, en aras de una mayor claridad expositiva, recurrir al criterio puramente formal de la numeración de los preceptos impugnados.</w:t>
      </w:r>
    </w:p>
    <w:p w:rsidR="0026452D" w:rsidRDefault="0026452D" w:rsidP="0026452D">
      <w:pPr>
        <w:pStyle w:val="TextoNormal"/>
      </w:pPr>
    </w:p>
    <w:p w:rsidR="0026452D" w:rsidRDefault="0026452D" w:rsidP="0026452D">
      <w:pPr>
        <w:pStyle w:val="TextoNormal"/>
      </w:pPr>
      <w:r>
        <w:t xml:space="preserve">a) Los arts. 7.2 g) y 3 y la disposición final tercera, en su redacción inicial, regulaban las instrucciones básicas de ordenación y aprovechamiento de los montes a las que debían atenerse las Comunidades Autónomas al aprobar los planes de ordenación de los recursos forestales. Así, el art. 7.2 g) atribuía a la Administración general del Estado, en colaboración con las Comunidades Autónomas, y sin perjuicio de sus competencias, la elaboración y </w:t>
      </w:r>
      <w:r>
        <w:lastRenderedPageBreak/>
        <w:t>aprobación de las citadas instrucciones básicas. Esta competencia se concretaba en el art. 32 que, tras consagrar el principio de gestión forestal sostenible y enunciar las finalidades a las que ésta tiene que servir y los diferentes aspectos que debe integrar (apartado 1), regulaba el procedimiento de elaboración y aprobación de las instrucciones básicas (apartado 2). Estas instrucciones reglamentarias se elaboraban por el Ministerio y las Comunidades Autónomas a través de la conferencia sectorial, previa consulta al Consejo Nacional de Bosques, y se aprobaban por el Consejo de Ministros, previo informe de la Comisión Nacional de Protección de la Naturaleza. Su contenido, regulado en este mismo apartado, consistía en establecer, para los montes españoles, los criterios e indicadores de sostenibilidad, su evaluación y seguimiento, de conformidad con los criterios establecidos en resoluciones internacionales y convenios en los que España sea parte y, en particular, los requeridos para los montes incluidos en la Red Natura 2000, y determinar el contenido mínimo de los proyectos de ordenación y de los planes dasocráticos para la gestión sostenible de los montes y de sus correspondientes revisiones. Finalmente, la disposición final tercera habilitaba al Gobierno para el desarrollo reglamentario de la Ley en el ámbito de sus competencias y, en relación con las instrucciones básicas, establecía un plazo de un año desde la entrada en vigor de la Ley para su elaboración y aprobación.</w:t>
      </w:r>
    </w:p>
    <w:p w:rsidR="0026452D" w:rsidRDefault="0026452D" w:rsidP="0026452D">
      <w:pPr>
        <w:pStyle w:val="TextoNormal"/>
      </w:pPr>
    </w:p>
    <w:p w:rsidR="0026452D" w:rsidRDefault="0026452D" w:rsidP="0026452D">
      <w:pPr>
        <w:pStyle w:val="TextoNormal"/>
      </w:pPr>
      <w:r>
        <w:t>Como se expuso en los antecedentes de forma pormenorizada, la queja de la Comunidad Autónoma recurrente es que el Estado se habría excedido al ejercer la competencia básica que le asiste en materia de medio ambiente, montes y aprovechamientos forestales al incluir una competencia reglamentaria que agota la posibilidad de desarrollo autonómico de las bases estatales. A pesar de la llamada a la colaboración del Estado y Comunidades Autónomas para su elaboración y aprobación, es el Estado el que aprueba finalmente las instrucciones básicas que impedirían cualquier posibilidad de desarrollo por las Comunidades Autónomas, cuya competencia ejecutiva quedaría limitada a la aprobación de los planes de ordenación y dasocráticos, en el marco de lo establecido en las instrucciones.</w:t>
      </w:r>
    </w:p>
    <w:p w:rsidR="0026452D" w:rsidRDefault="0026452D" w:rsidP="0026452D">
      <w:pPr>
        <w:pStyle w:val="TextoNormal"/>
      </w:pPr>
    </w:p>
    <w:p w:rsidR="0026452D" w:rsidRDefault="0026452D" w:rsidP="0026452D">
      <w:pPr>
        <w:pStyle w:val="TextoNormal"/>
      </w:pPr>
      <w:r>
        <w:t>Pues bien, los tres preceptos han sido modificados por la Ley 10/2006. El art. 7.2 g) atribuye ahora a la Administración general del Estado, en colaboración con las Comunidades Autónomas, la competencia para dictar unas directrices básicas comunes de ordenación y aprovechamiento de montes. La competencia para su elaboración y aprobación corresponde al Gobierno, previa consulta al Consejo Nacional de Bosques, la Comisión Nacional de protección de la naturaleza y a las Comunidades Autónomas a través de la conferencia sectorial. Estas directrices tienen como contenido, además del establecimiento de los antes citados criterios e indicadores de calidad, determinar el contenido mínimo de las instrucciones de ordenación y aprovechamiento de montes cuya elaboración y aprobación corresponde ahora a las Comunidades Autónomas que ocupan el ámbito normativo antes atribuido a las Instrucciones básicas. Por su parte, ha desaparecido de la disposición final tercera la mención a las instrucciones, pues ésta se limita a habilitar no solo al Gobierno, sino también a las Comunidades Autónomas para dictar las disposiciones de desarrollo de la ley, en el ámbito de sus respectivas competencias.</w:t>
      </w:r>
    </w:p>
    <w:p w:rsidR="0026452D" w:rsidRDefault="0026452D" w:rsidP="0026452D">
      <w:pPr>
        <w:pStyle w:val="TextoNormal"/>
      </w:pPr>
    </w:p>
    <w:p w:rsidR="0026452D" w:rsidRDefault="0026452D" w:rsidP="0026452D">
      <w:pPr>
        <w:pStyle w:val="TextoNormal"/>
      </w:pPr>
      <w:r>
        <w:t xml:space="preserve">De lo expuesto cabe concluir que la Ley 10/2006 ha modificado, a menos, el alcance de la competencia del Estado en relación al dictado de las instrucciones que ahora corresponde aprobar a las Comunidades Autónomas a partir de las directrices básicas que el Estado se reserva cuya acomodación al orden constitucional de competencias escapa a este proceso. </w:t>
      </w:r>
      <w:r>
        <w:lastRenderedPageBreak/>
        <w:t>Debemos concluir, pues, la pérdida de objeto del proceso en lo que se refiere a los arts. 7.2 g) y 32 y a la disposición final tercera.</w:t>
      </w:r>
    </w:p>
    <w:p w:rsidR="0026452D" w:rsidRDefault="0026452D" w:rsidP="0026452D">
      <w:pPr>
        <w:pStyle w:val="TextoNormal"/>
      </w:pPr>
    </w:p>
    <w:p w:rsidR="0026452D" w:rsidRDefault="0026452D" w:rsidP="0026452D">
      <w:pPr>
        <w:pStyle w:val="TextoNormal"/>
      </w:pPr>
      <w:r>
        <w:t>b) El art. 7.3 b) de la Ley de montes atribuía a la Administración general del Estado “la coordinación en el establecimiento y mantenimiento de las redes europeas de parcelas para el seguimiento de las interacciones del monte en el medio ambiente”. La Comunidad Autónoma recurrente discute la atribución al Estado de una competencia genérica de coordinación para el establecimiento y mantenimiento de las redes europeas de parcelas de seguimiento, pues se trataría de una competencia ejecutiva que ha de corresponder a las Comunidades Autónomas, debiendo distinguirse a estos efectos, entre la comunicación de los datos a las autoridades comunitarias, que no se cuestiona directamente, y la competencia para el establecimiento y mantenimiento de dichas parcelas. Tras la reforma operada en el art. 7.3 b) por la Ley 10/2006, la competencia de coordinación ha sido sustituida por la colaboración en el diseño de las redes, y la recopilación y comunicación a los órganos comunitarios de los datos obtenidos por las Comunidades Autónomas en su ámbito territorial, procedentes de las parcelas de las redes europeas. Descartada, tras la reforma, esa genérica competencia de coordinación cuya constitucionalidad se ponía en duda, debemos afirmar que el recurso ha perdido objeto en lo que afecta al art. 7.3 b).</w:t>
      </w:r>
    </w:p>
    <w:p w:rsidR="0026452D" w:rsidRDefault="0026452D" w:rsidP="0026452D">
      <w:pPr>
        <w:pStyle w:val="TextoNormal"/>
      </w:pPr>
    </w:p>
    <w:p w:rsidR="0026452D" w:rsidRDefault="0026452D" w:rsidP="0026452D">
      <w:pPr>
        <w:pStyle w:val="TextoNormal"/>
      </w:pPr>
      <w:r>
        <w:t>c) El art. 18.4 de la Ley establecía que cuando un monte catalogado y, por tanto, de dominio público forestal, estuviera afectado por un expediente del que pudiera derivarse otra declaración de demanialidad distinta, resultaba necesario buscar cauces de cooperación entre las Administraciones afectadas, correspondiendo decidir, en caso de discrepancia, a la Administración que hubiera tramitado el expediente de afectación. Sin embargo, se excluía de este procedimiento a los montes que hubieran sido declarados de interés general por el Estado. Esto es, precisamente, lo que le reprocha la Comunidad Autónoma: que en este caso se haya eliminado la obligación constitucional de buscar fórmulas de articulación de competencias de las Administraciones públicas que inciden sobre un mismo monte, de ahí que se impugnara el inciso “declarados de interés general”. Sin embargo, tras la reforma operada por la Ley 10/2006, el art. 18.4 obliga, también en este supuesto, a buscar cauces de cooperación en las mismas condiciones que si no se hubiera producido la declaración de interés general, y solo en caso de discrepancia resolverá el Consejo de Ministros. En consecuencia, la modificación del art. 18.4 de la Ley de montes ha supuesto una modificación de los términos en los que el Estado ejerce la competencia discutida y, por tanto, debemos declarar, también en este caso, la pérdida de objeto.</w:t>
      </w:r>
    </w:p>
    <w:p w:rsidR="0026452D" w:rsidRDefault="0026452D" w:rsidP="0026452D">
      <w:pPr>
        <w:pStyle w:val="TextoNormal"/>
      </w:pPr>
    </w:p>
    <w:p w:rsidR="0026452D" w:rsidRDefault="0026452D" w:rsidP="0026452D">
      <w:pPr>
        <w:pStyle w:val="TextoNormal"/>
      </w:pPr>
      <w:r>
        <w:t xml:space="preserve">d) El art. 21 de la Ley regula el deslinde de los montes de titularidad pública y en su apartado 7 establecía la obligación de publicar y notificar la resolución definitiva a los interesados y colindantes, estableciéndose, a continuación, la distribución de competencias entre los órdenes jurisdiccionales. Así la jurisdicción ordinaria conoce de los recursos en los que se discute la propiedad, la posesión o cualquier otro derecho real, mientras que la jurisdicción contencioso-administrativa es competente para conocer de los recursos contra los deslindes por motivos de competencia o procedimiento. La recurrente basó su impugnación en que la regulación de la notificación y publicación es tan exhaustiva que excede de lo que debe considerarse legislación básica, sin poner reparo alguno a la regulación de las competencias de los órdenes jurisdiccionales. Tras la reforma, aunque se mantiene igual la regulación de este último aspecto, ha desaparecido cualquier mención a la publicación o </w:t>
      </w:r>
      <w:r>
        <w:lastRenderedPageBreak/>
        <w:t xml:space="preserve">notificación, por lo que, eliminada la cuestión litigiosa, debemos concluir la pérdida de objeto del proceso en relación con el art. 21.7 de la Ley de montes. </w:t>
      </w:r>
    </w:p>
    <w:p w:rsidR="0026452D" w:rsidRDefault="0026452D" w:rsidP="0026452D">
      <w:pPr>
        <w:pStyle w:val="TextoNormal"/>
      </w:pPr>
    </w:p>
    <w:p w:rsidR="0026452D" w:rsidRDefault="0026452D" w:rsidP="0026452D">
      <w:pPr>
        <w:pStyle w:val="TextoNormal"/>
      </w:pPr>
      <w:r>
        <w:t>e) El art. 37, en su redacción inicial establecía las condiciones básicas a las que han de sujetarse los aprovechamientos maderables y leñosos en los montes no gestionados por los órganos forestales de la Comunidad Autónoma. Se partía en este precepto de la distinción entre montes según estuvieran o no ordenados. Así, en el caso de que contaran con un plan de ordenación que contemplara el aprovechamiento solicitado bastaba con una comunicación previa del aprovechamiento a la Administración autonómica [art. 37 a)], mientras que, en el segundo —montes no ordenados—, los aprovechamientos requerían de su autorización [art. 37 b)]. En el caso de la notificación previa se establecía que transcurrido el plazo previsto en la legislación autonómica sin que se hubiera dictado resolución motivada condicionando o denegando el aprovechamiento notificado éste se entendía aceptado. En el caso de la autorización se establecía el sentido positivo del silencio y la exigencia de motivación de la resolución expresa desestimatoria.</w:t>
      </w:r>
    </w:p>
    <w:p w:rsidR="0026452D" w:rsidRDefault="0026452D" w:rsidP="0026452D">
      <w:pPr>
        <w:pStyle w:val="TextoNormal"/>
      </w:pPr>
    </w:p>
    <w:p w:rsidR="0026452D" w:rsidRDefault="0026452D" w:rsidP="0026452D">
      <w:pPr>
        <w:pStyle w:val="TextoNormal"/>
      </w:pPr>
      <w:r>
        <w:t>La Ley 10/2006 ha modificado el apartado b) del precepto citado que en su redacción vigente, se limita a señalar que “en caso de no existir dichos instrumentos, estos aprovechamientos requerirán autorización administrativa” [apartado b)].</w:t>
      </w:r>
    </w:p>
    <w:p w:rsidR="0026452D" w:rsidRDefault="0026452D" w:rsidP="0026452D">
      <w:pPr>
        <w:pStyle w:val="TextoNormal"/>
      </w:pPr>
    </w:p>
    <w:p w:rsidR="0026452D" w:rsidRDefault="0026452D" w:rsidP="0026452D">
      <w:pPr>
        <w:pStyle w:val="TextoNormal"/>
      </w:pPr>
      <w:r>
        <w:t>Se puede concluir de lo hasta aquí expuesto que la controversia competencial ha perdido objeto en lo que al apartado b) se refiere, pues no se regula con respecto a éstas ni cuál es el sentido del silencio ni la obligación de motivación. Así pues, debemos declarar la pérdida de objeto del proceso en lo relativo a las autorizaciones, esto es, sobre el art. 37 b) de la Ley de montes. .</w:t>
      </w:r>
    </w:p>
    <w:p w:rsidR="0026452D" w:rsidRDefault="0026452D" w:rsidP="0026452D">
      <w:pPr>
        <w:pStyle w:val="TextoNormal"/>
      </w:pPr>
    </w:p>
    <w:p w:rsidR="0026452D" w:rsidRDefault="0026452D" w:rsidP="0026452D">
      <w:pPr>
        <w:pStyle w:val="TextoNormal"/>
      </w:pPr>
      <w:r>
        <w:t>f) Se impugnan los arts. 49.2, 63 y la disposición transitoria tercera de la Ley de montes. La primera de las disposiciones citadas establecía que los propietarios que suscribieran el seguro de incendios forestales tendrían prioridad para acogerse a las subvenciones contempladas en el art. 64 de la Ley, que no distinguía entre si estas eran estatales o autonómicas. Por su parte, el art. 63 establecía que los incentivos recogidos en los arts. 64 a 66 (subvenciones, incentivos por externalidades ambientales y créditos) se aplicarían a los montes ordenados de propietarios privados y entidades locales, teniendo preferencia los protectores y catalogados, así como los incluidos en la Red Natura 2000. Los no ordenados incluidos en un plan de ordenación de recursos forestales podían acceder a los incentivos cuando así se estableciera en el plan citado. También, en las subvenciones para la prevención contra incendios se declaraba la prioridad de los montes ubicados en una zona de alto riesgo de incendio con un plan de defensa contra incendios vigentes, sin distinguir entre incentivos estatales y autonómicos. Finalmente, la disposición transitoria tercera establecía que en un plazo de diez años los propietarios de los montes no ordenados podrían acogerse a los incentivos contemplados en el art. 63, pudiendo ser objeto de subvención la elaboración del correspondiente instrumento de ordenación. Pasado el plazo previsto se denegaría cualquier subvención en tanto no se aprobara el correspondiente plan de gestión o, en su caso, fueran incluidos en un plan de ordenación de recursos forestales.</w:t>
      </w:r>
    </w:p>
    <w:p w:rsidR="0026452D" w:rsidRDefault="0026452D" w:rsidP="0026452D">
      <w:pPr>
        <w:pStyle w:val="TextoNormal"/>
      </w:pPr>
    </w:p>
    <w:p w:rsidR="0026452D" w:rsidRDefault="0026452D" w:rsidP="0026452D">
      <w:pPr>
        <w:pStyle w:val="TextoNormal"/>
      </w:pPr>
      <w:r>
        <w:t>La queja de inconstitucionalidad planteada por la recurrente consiste en que la competencia estatal de fijación de la legislación básica no habilita al Estado para regular las medi</w:t>
      </w:r>
      <w:r>
        <w:lastRenderedPageBreak/>
        <w:t>das de fomento que, en ejercicio de sus competencias propias, puedan efectuar las Comunidades Autónomas en los términos en que se realizaba en los artículos citados. En otras palabras, el establecimiento de criterios de preferencia o prioridad para el otorgamiento de las ayudas autonómicas excedería de lo que debe considerarse legislación básica.</w:t>
      </w:r>
    </w:p>
    <w:p w:rsidR="0026452D" w:rsidRDefault="0026452D" w:rsidP="0026452D">
      <w:pPr>
        <w:pStyle w:val="TextoNormal"/>
      </w:pPr>
    </w:p>
    <w:p w:rsidR="0026452D" w:rsidRDefault="0026452D" w:rsidP="0026452D">
      <w:pPr>
        <w:pStyle w:val="TextoNormal"/>
      </w:pPr>
      <w:r>
        <w:t>Dos de los tres preceptos citados han sido modificados por la Ley 10/2006. El art. 49 de la Ley de montes vigente limita la prioridad de quienes tengan suscrito el seguro de incendios forestales a las ayudas que se financien con cargo a los presupuestos generales del Estado. Por su parte, se han modificado los apartados primero y tercero del art. 63 de la Ley, de modo que la regulación de qué montes ordenados pueden acceder a los incentivos y la preferencia en el acceso a las ayudas para la prevención de incendios que contemplaba el apartado tercero, se limita ahora a las ayudas financiadas a cargo de los presupuestos generales del Estado. Podemos, pues, concluir que habiendo desaparecido la controversia competencial trabada en torno a ellos por no establecerse en la regulación vigente criterios de prioridad aplicables a las ayudas autonómicas, el recurso ha perdido objeto.</w:t>
      </w:r>
    </w:p>
    <w:p w:rsidR="0026452D" w:rsidRDefault="0026452D" w:rsidP="0026452D">
      <w:pPr>
        <w:pStyle w:val="TextoNormal"/>
      </w:pPr>
    </w:p>
    <w:p w:rsidR="0026452D" w:rsidRDefault="0026452D" w:rsidP="0026452D">
      <w:pPr>
        <w:pStyle w:val="TextoNormal"/>
      </w:pPr>
      <w:r>
        <w:t>En cuanto a la disposición transitoria, aunque no ha sido modificada, es accesoria a la regulación contenida en el art. 63 de la Ley a la que se remite expresamente, por lo que debe concluirse, de igual manera, la pérdida de objeto del recurso en relación a la citada disposición transitoria por haber desaparecido la controversia competencial expuesta en la demanda.</w:t>
      </w:r>
    </w:p>
    <w:p w:rsidR="0026452D" w:rsidRDefault="0026452D" w:rsidP="0026452D">
      <w:pPr>
        <w:pStyle w:val="TextoNormal"/>
      </w:pPr>
    </w:p>
    <w:p w:rsidR="0026452D" w:rsidRDefault="0026452D" w:rsidP="0026452D">
      <w:pPr>
        <w:pStyle w:val="TextoNormal"/>
      </w:pPr>
      <w:r>
        <w:t>Debemos, pues, concluir, que el proceso ha perdido objeto en lo relativo a los arts. 49.2, 63 y disposición transitoria tercera.</w:t>
      </w:r>
    </w:p>
    <w:p w:rsidR="0026452D" w:rsidRDefault="0026452D" w:rsidP="0026452D">
      <w:pPr>
        <w:pStyle w:val="TextoNormal"/>
      </w:pPr>
    </w:p>
    <w:p w:rsidR="0026452D" w:rsidRDefault="0026452D" w:rsidP="0026452D">
      <w:pPr>
        <w:pStyle w:val="TextoNormal"/>
      </w:pPr>
      <w:r>
        <w:t>g) Los arts. 7.2 c), 46.1 y 47.1 y 3, han sido modificados por la Ley 10/2006.</w:t>
      </w:r>
    </w:p>
    <w:p w:rsidR="0026452D" w:rsidRDefault="0026452D" w:rsidP="0026452D">
      <w:pPr>
        <w:pStyle w:val="TextoNormal"/>
      </w:pPr>
    </w:p>
    <w:p w:rsidR="0026452D" w:rsidRDefault="0026452D" w:rsidP="0026452D">
      <w:pPr>
        <w:pStyle w:val="TextoNormal"/>
      </w:pPr>
      <w:r>
        <w:t>En su redacción original, el art. 7.2 c) atribuía al Estado, en colaboración con las Comunidades Autónomas, la competencia para la normalización de los medios materiales de extinción de incendios en todo el territorio nacional. Por su parte, el art. 46.1 establecía que corresponde a la Administración general del Estado, en coordinación con las Comunidades Autónomas, la homologación de la formación, preparación y equipamiento del personal y la normalización de los medios materiales que intervengan en los trabajos de extinción contra incendios forestales, correspondiendo el seguimiento de estas medidas a la Comisión Nacional de Protección de la Naturaleza asistida por el Comité de lucha contra incendios forestales. El apartado 1 del art. 47 atribuía la condición de agente de la autoridad al director técnico de cada operación de extinción de incendios y se regulaban las facultades que ostenta en relación con la movilización de medios públicos y privados y a efectos de entrada en la propiedad privada y otras medidas. Finalmente, se imponía a la Administración responsable de la extinción del incendio la obligación de asumir la defensa en juicio (civil y penal) del director técnico por las responsabilidades en que hubiera podido incurrir como consecuencia de las actuaciones realizadas por éste para la extinción del incendio (art. 47.3).</w:t>
      </w:r>
    </w:p>
    <w:p w:rsidR="0026452D" w:rsidRDefault="0026452D" w:rsidP="0026452D">
      <w:pPr>
        <w:pStyle w:val="TextoNormal"/>
      </w:pPr>
    </w:p>
    <w:p w:rsidR="0026452D" w:rsidRDefault="0026452D" w:rsidP="0026452D">
      <w:pPr>
        <w:pStyle w:val="TextoNormal"/>
      </w:pPr>
      <w:r>
        <w:t>Pues bien, tras la reforma operada por la Ley 10/2006, el art. 7.2 c) atribuye al Estado, en colaboración con las Comunidades Autónomas, la competencia para dictar instrucciones de normalización de los medios materiales y no para realizar la normalización. A su vez, la competencia que antes se ejercía en coordinación con las Comunidades para la homologa</w:t>
      </w:r>
      <w:r>
        <w:lastRenderedPageBreak/>
        <w:t>ción de la formación y preparación, ahora ha sido sustituida por la competencia que se enuncia de la forma siguiente: “para facilitar la colaboración entre los dispositivos de colaboración de incendios forestales, de forma que sea posible la asistencia recíproca de las Administraciones competentes y la utilización conjunta de todos los medios personales y materiales, la Administración general del Estado, en colaboración con las Comunidades Autónomas, a propuesta de la Comisión Nacional de Protección de la Naturaleza, asistida por el Comité de Lucha contra Incendios Forestales, establecerá las directrices comunes para la formación, preparación y equipamiento de personal y para la normalización de los medios materiales”.</w:t>
      </w:r>
    </w:p>
    <w:p w:rsidR="0026452D" w:rsidRDefault="0026452D" w:rsidP="0026452D">
      <w:pPr>
        <w:pStyle w:val="TextoNormal"/>
      </w:pPr>
    </w:p>
    <w:p w:rsidR="0026452D" w:rsidRDefault="0026452D" w:rsidP="0026452D">
      <w:pPr>
        <w:pStyle w:val="TextoNormal"/>
      </w:pPr>
      <w:r>
        <w:t>Por su parte, el art. 47.1 ha sido levemente modificado pues la Ley 10/2006 se ha limitado a añadir, tras el término “director”, el de “responsable técnico de las tareas de extinción” aunque, por lo demás, el precepto permanece igual. Por último, la obligación que se imponía en el art. 47.3 a la Administración responsable de la extinción del incendio de asistir jurídicamente al director es ahora una obligación de adoptar las medidas oportunas para garantizar su defensa jurídica.</w:t>
      </w:r>
    </w:p>
    <w:p w:rsidR="0026452D" w:rsidRDefault="0026452D" w:rsidP="0026452D">
      <w:pPr>
        <w:pStyle w:val="TextoNormal"/>
      </w:pPr>
    </w:p>
    <w:p w:rsidR="0026452D" w:rsidRDefault="0026452D" w:rsidP="0026452D">
      <w:pPr>
        <w:pStyle w:val="TextoNormal"/>
      </w:pPr>
      <w:r>
        <w:t>A la vista de lo expuesto, debe concluirse que el alcance del ejercicio de las competencias del Estado se ha modificado sustancialmente en lo que respecta a los arts. 7.2 c), 46.1 y 47.3, por lo que debemos concluir la pérdida de objeto en lo que a ellos atañe. A diferente conclusión debemos llegar en lo que se refiere al art. 47.1 en el que la modificación no tiene repercusión alguna sobre la controversia planteada en este proceso.</w:t>
      </w:r>
    </w:p>
    <w:p w:rsidR="0026452D" w:rsidRDefault="0026452D" w:rsidP="0026452D">
      <w:pPr>
        <w:pStyle w:val="TextoNormal"/>
      </w:pPr>
    </w:p>
    <w:p w:rsidR="0026452D" w:rsidRDefault="0026452D" w:rsidP="0026452D">
      <w:pPr>
        <w:pStyle w:val="TextoNormal"/>
      </w:pPr>
      <w:r>
        <w:t>En definitiva, debemos declarar que este proceso ha perdido objeto en relación con los arts. 7.1 a); 7.2 c), g) y h); 7.3 b); 18.4; 21.2; 21.7; 32; 37 b); 46.1; 47.3; 49.2; 63; disposición transitoria tercera y disposición final tercera. Igualmente, de la disposición final segunda en lo que a éstos se refiere por no contener una impugnación autónoma sino derivada de la impugnación de los preceptos citados.</w:t>
      </w:r>
    </w:p>
    <w:p w:rsidR="0026452D" w:rsidRDefault="0026452D" w:rsidP="0026452D">
      <w:pPr>
        <w:pStyle w:val="TextoNormal"/>
      </w:pPr>
    </w:p>
    <w:p w:rsidR="0026452D" w:rsidRDefault="0026452D" w:rsidP="0026452D">
      <w:pPr>
        <w:pStyle w:val="TextoNormal"/>
      </w:pPr>
      <w:r w:rsidRPr="0026452D">
        <w:rPr>
          <w:rStyle w:val="NumeroAFNegritaCaracter"/>
        </w:rPr>
        <w:t>5</w:t>
      </w:r>
      <w:r>
        <w:t>. Resulta necesario hacer, todavía, dos precisiones más antes de abordar el enjuiciamiento de los artículos sobre los que se mantiene la controversia competencial. La primera es relativa a la modificación que, tras la interposición de este recurso, se ha producido en el Estatuto de Autonomía de Cataluña de 1979 por la Ley Orgánica 6/2006, de 19 de julio, lo que nos obligará a redirigir el análisis sobre la constitucionalidad de los preceptos impugnados pues, de conformidad con nuestra doctrina, las cuestiones que se controviertan habrán de decidirse considerando las prescripciones del nuevo Estatuto de Autonomía que resulten ser de aplicación (STC 207/2011, de 20 de diciembre, FJ 3, por todas).</w:t>
      </w:r>
    </w:p>
    <w:p w:rsidR="0026452D" w:rsidRDefault="0026452D" w:rsidP="0026452D">
      <w:pPr>
        <w:pStyle w:val="TextoNormal"/>
      </w:pPr>
    </w:p>
    <w:p w:rsidR="0026452D" w:rsidRDefault="0026452D" w:rsidP="0026452D">
      <w:pPr>
        <w:pStyle w:val="TextoNormal"/>
      </w:pPr>
      <w:r>
        <w:t>En segundo lugar, como resulta preceptivo en cualquier recurso de inconstitucionalidad basado en motivos competenciales, será necesario determinar con motivo de las concretas impugnaciones, la materia y, por tanto, los títulos competenciales que asisten a las partes pues, aunque con carácter general, tal y como señala la disposición final segunda, la ley se dicta al amparo de lo dispuesto en el art. 149.1.23 CE y tiene, por tanto, carácter básico, ello no impediría que determinados preceptos de la Ley de montes pudieran tener amparo en otros títulos competenciales, lo que analizaremos con ocasión de cada uno de los preceptos impugnados.</w:t>
      </w:r>
    </w:p>
    <w:p w:rsidR="0026452D" w:rsidRDefault="0026452D" w:rsidP="0026452D">
      <w:pPr>
        <w:pStyle w:val="TextoNormal"/>
      </w:pPr>
    </w:p>
    <w:p w:rsidR="0026452D" w:rsidRDefault="0026452D" w:rsidP="0026452D">
      <w:pPr>
        <w:pStyle w:val="TextoNormal"/>
      </w:pPr>
      <w:r>
        <w:lastRenderedPageBreak/>
        <w:t xml:space="preserve">Debemos, sin embargo, pronunciarnos con carácter previo sobre la alegación que, con carácter general, realiza la recurrente sobre el alcance de la competencia que ostenta el Estado para la regulación de los montes </w:t>
      </w:r>
      <w:r w:rsidRPr="0026452D">
        <w:rPr>
          <w:i/>
        </w:rPr>
        <w:t>ex</w:t>
      </w:r>
      <w:r>
        <w:t xml:space="preserve"> art. 149.1.23 CE. La Generalitat encuadra la ley impugnada dentro del título competencial en materia de medio ambiente (art. 149.1.23 CE). De ahí se seguiría, en su opinión, la aplicación de la doctrina de la STC 170/1989, de 19 de octubre, FJ 2, de acuerdo con la cual la regulación básica del Estado en la materia habrá de consistir en una “ordenación mediante mínimos”.</w:t>
      </w:r>
    </w:p>
    <w:p w:rsidR="0026452D" w:rsidRDefault="0026452D" w:rsidP="0026452D">
      <w:pPr>
        <w:pStyle w:val="TextoNormal"/>
      </w:pPr>
    </w:p>
    <w:p w:rsidR="0026452D" w:rsidRDefault="0026452D" w:rsidP="0026452D">
      <w:pPr>
        <w:pStyle w:val="TextoNormal"/>
      </w:pPr>
      <w:r>
        <w:t xml:space="preserve">Pues bien, en materias como la ordenación del territorio, el urbanismo, el medio ambiente y la ordenación de los recursos forestales existen profundas interacciones. Para determinar cuál es la materia y, por tanto, el título competencial de referencia es necesario atender tanto a la finalidad como al contenido de la norma o, dicho de otra forma, a las técnicas legislativas utilizadas para alcanzar dicha finalidad (STC 28/1997, de 13 de febrero, FJ 4). En aplicación de esta doctrina, el título competencial preferente y más específico desde el que ha de juzgarse la ley impugnada, cuyo objeto es la regulación del régimen jurídico de los montes públicos y privados, es el referido a la competencia exclusiva del Estado en materia de legislación básica sobre montes y aprovechamientos forestales (art. 149.1.23 </w:t>
      </w:r>
      <w:r w:rsidRPr="0026452D">
        <w:rPr>
          <w:i/>
        </w:rPr>
        <w:t>in fine</w:t>
      </w:r>
      <w:r>
        <w:t xml:space="preserve"> CE), ello sin perjuicio de que exista una vertiente ambiental integrada en este título competencial sectorial y de que, incluso, algunos preceptos de la Ley, que en su momento analizaremos, pudieran encontrar su justificación constitucional en otros títulos competenciales. Esta conclusión, de alguna forma, viene a ser admitida por la Generalitat que, pese a haber ubicado la Ley de montes bajo el amparo del título competencial de medio ambiente, opone a la competencia estatal del art. 149.1.23 CE la competencia autonómica prevista en el art. 9.10 EAC de 1979, que se refería, precisamente, a los “montes, aprovechamientos y servicios forestales, vías pecuarias y pastos, espacios naturales protegidos y tratamiento especial de zonas de montaña”, cuando dicho Estatuto contaba con un título específico referido a la protección del medio ambiente. En el vigente Estatuto de Autonomía de Cataluña, el art. 116.2 b) atribuye a la Generalitat la competencia compartida para la regulación y el régimen de intervención administrativa y de uso de los montes, de los aprovechamientos y los servicios forestales y de las vías pecuarias de Cataluña.</w:t>
      </w:r>
    </w:p>
    <w:p w:rsidR="0026452D" w:rsidRDefault="0026452D" w:rsidP="0026452D">
      <w:pPr>
        <w:pStyle w:val="TextoNormal"/>
      </w:pPr>
    </w:p>
    <w:p w:rsidR="0026452D" w:rsidRDefault="0026452D" w:rsidP="0026452D">
      <w:pPr>
        <w:pStyle w:val="TextoNormal"/>
      </w:pPr>
      <w:r w:rsidRPr="0026452D">
        <w:rPr>
          <w:rStyle w:val="NumeroAFNegritaCaracter"/>
        </w:rPr>
        <w:t>6</w:t>
      </w:r>
      <w:r>
        <w:t>. El art. 42 de la Ley de montes atribuye al Ministerio de Medio Ambiente la facultad para declarar de interés general las actuaciones de restauración hidrológico-forestal fuera del dominio público hidráulico, a petición de las Comunidades Autónomas. Este precepto no ha sido modificado por la Ley 10/2006, de 28 de abril. A pesar de ello, nuestro pronunciamiento no entrará en el análisis de la inconstitucionalidad denunciada, ya que la demanda no ha cumplido debidamente con la carga de fundamentar debidamente su impugnación, pues solo existe una invocación formal de la vulneración, sin que el cuerpo del recurso contenga argumentación específica dirigida a justificar la contradicción del precepto impugnado con el orden constitucional de distribución de competencias (STC 233/1999, de 16 de diciembre, FJ 2)</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El art. 56.1 a cuyo tenor, la Administración general del Estado y las Comunidades Autónomas cooperarán en el establecimiento, mantenimiento, financiación y control de las redes temáticas y parcelas de seguimiento derivadas de la normativa internacional, sus respectivos planes forestales o los planes nacionales de investigación científica, desarrollo e innovación tecnológica, se enmarca en el capítulo I (dedicado a la “investigación forestal”) del título V (“Investigación, formación, extensión y divulgación”) de la Ley que, conforme </w:t>
      </w:r>
      <w:r>
        <w:lastRenderedPageBreak/>
        <w:t>a lo dispuesto en la disposición final segunda, apartado tercero, letra b) de la misma norma, se dicta al amparo del art. 149.1.15 CE. Considera la recurrente que este precepto no tiene cabida en el título estatal de investigación. Tampoco tendría cabida el precepto impugnado en el título del art. 149.1.23 CE, pues está atribuyendo al Estado verdaderas competencias ejecutivas de establecimiento y mantenimiento de las parcelas que componen la red y que correspondería a las Comunidades Autónomas.</w:t>
      </w:r>
    </w:p>
    <w:p w:rsidR="0026452D" w:rsidRDefault="0026452D" w:rsidP="0026452D">
      <w:pPr>
        <w:pStyle w:val="TextoNormal"/>
      </w:pPr>
    </w:p>
    <w:p w:rsidR="0026452D" w:rsidRDefault="0026452D" w:rsidP="0026452D">
      <w:pPr>
        <w:pStyle w:val="TextoNormal"/>
      </w:pPr>
      <w:r>
        <w:t>Tenemos declarado que el título competencial del art. 149.1.15 CE, es susceptible de ser utilizado respecto de cualquier género de materias con independencia de cuál sea el titular de la competencia para su ordenación (SSTC 53/1988, fundamento jurídico 1; y 186/1999, de 3 de octubre, FJ 7). Pero también hemos señalado que, para que sea de aplicación este título competencial, debe resultar patente que la actividad principal o predominante debe ser la investigadora (STC 242/1999, de 21 de diciembre FJ 14). Debe tenerse en cuenta que la finalidad de las citadas redes y parcelas de seguimiento es la de recopilar una información fiable sobre el estado de los montes, información que puede estar o no relacionada con una determinada actividad investigadora.</w:t>
      </w:r>
    </w:p>
    <w:p w:rsidR="0026452D" w:rsidRDefault="0026452D" w:rsidP="0026452D">
      <w:pPr>
        <w:pStyle w:val="TextoNormal"/>
      </w:pPr>
    </w:p>
    <w:p w:rsidR="0026452D" w:rsidRDefault="0026452D" w:rsidP="0026452D">
      <w:pPr>
        <w:pStyle w:val="TextoNormal"/>
      </w:pPr>
      <w:r>
        <w:t>Por lo expuesto, y como quiera que no cabe concluir del precepto que la actividad investigadora es la principal o predominante, debemos entender que el título competencial habilitante no es, como señala la disposición final segunda, el del art. 149.1.15 CE, sino el general de la Ley, esto es, legislación básica en materia de montes (art. 149.1.23 CE). Debemos, declarar la inconstitucionalidad de la disposición final segunda en el sentido dicho, con independencia de la conclusión a que lleguemos sobre la constitucionalidad del art. 56.1 de la Ley de montes.</w:t>
      </w:r>
    </w:p>
    <w:p w:rsidR="0026452D" w:rsidRDefault="0026452D" w:rsidP="0026452D">
      <w:pPr>
        <w:pStyle w:val="TextoNormal"/>
      </w:pPr>
    </w:p>
    <w:p w:rsidR="0026452D" w:rsidRDefault="0026452D" w:rsidP="0026452D">
      <w:pPr>
        <w:pStyle w:val="TextoNormal"/>
      </w:pPr>
      <w:r>
        <w:t>Existiendo una competencia compartida del Estado y las Comunidades Autónomas en la materia, el establecimiento de una previsión dirigida a procurar la colaboración y cooperación interadministrativa en el ejercicio de sus respectivas competencias forma parte de la legislación básica en la medida en que no cabe interpretar, en contra de lo afirmado por la recurrente, que el precepto esté atribuyendo al Estado competencias ejecutivas que no le corresponden. El principio de colaboración es consustancial al Estado autonómico (por todas, SSTC 133/1990, de 19 de julio, FJ 10; 146/1992, de 16 de octubre, FJ 4; 132/1998, de 18 de junio, FJ 10 y 204/2002, de 31 de octubre, FFJJ 7 y 11), sin que corresponda a este Tribunal determinar, ni tan siquiera sugerir, cuáles deban ser las técnicas y cauces precisos para dar curso a esta necesaria cooperación entre el Estado y las Comunidades Autónomas (STC 146/1992, de 16 de octubre, FJ 4). La previsión de este principio cooperativo para una materia específica (aquí las redes temáticas y parcelas de seguimiento) puede considerarse superflua, pero no vulneradora de las competencias de las Comunidades Autónomas, de donde cabe concluir que no puede hacerse reproche alguno de inconstitucionalidad respecto al art. 56.1 de la Ley de montes, sin perjuicio de lo antes señalado en relación con la disposición final segunda en lo que a éste se refiere.</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La disposición adicional primera de la Ley establece, en su apartado primero, que los consorcios y convenios de repoblación amparados en las leyes que la Ley de montes deroga siguen vigentes hasta la fecha de su finalización y, en su apartado segundo, permite, que no obliga, a las Comunidades Autónomas sustituir esos convenios por otras figuras contractuales en determinadas condiciones. Nada objeta la recurrente a lo dispuesto en el primer apartado de esta disposición, pero sí al segundo apartado, pues considera que la regulación de </w:t>
      </w:r>
      <w:r>
        <w:lastRenderedPageBreak/>
        <w:t xml:space="preserve">las condiciones de los convenios u otras figuras contractuales excede de lo que debe considerarse básico </w:t>
      </w:r>
      <w:r w:rsidRPr="0026452D">
        <w:rPr>
          <w:i/>
        </w:rPr>
        <w:t>ex</w:t>
      </w:r>
      <w:r>
        <w:t xml:space="preserve"> art. 149.1.23 CE, que es el título habilitante de acuerdo con la disposición final segunda. Existiendo entre las partes acuerdo sobre el título competencial que resulta de aplicación, la solución de la cuestión controvertida radica en determinar si el establecimiento de las condiciones en las que se permite la extinción de los convenios ya suscritos, forma parte o no de ese común normativo dirigido a asegurar, de manera unitaria y en condiciones de igualdad, los intereses generales. Importa para ello reseñar que, tanto el primer apartado —no impugnado—, como el segundo, aunque encuadrados en una disposición adicional, tienen vocación de transitoriedad pues, mientras que el primero establece una regla general para los convenios ya suscritos y que siguen produciendo efectos, el segundo contiene su excepción, pues, como cabe concluir de su tenor literal, solo afecta a los convenios o consorcios en vigor, y no, por tanto, a los que se suscriban en el futuro cuya regulación queda en manos de las Comunidades Autónomas.</w:t>
      </w:r>
    </w:p>
    <w:p w:rsidR="0026452D" w:rsidRDefault="0026452D" w:rsidP="0026452D">
      <w:pPr>
        <w:pStyle w:val="TextoNormal"/>
      </w:pPr>
    </w:p>
    <w:p w:rsidR="0026452D" w:rsidRDefault="0026452D" w:rsidP="0026452D">
      <w:pPr>
        <w:pStyle w:val="TextoNormal"/>
      </w:pPr>
      <w:r>
        <w:t>El apartado segundo permite a las Comunidades Autónomas que así lo deseen, sin necesidad de esperar hasta su finalización, modificar el régimen de los convenios en vigor y sustituirlos por otras figuras. Con ello se trata de propiciar la repoblación mediante la eliminación de la carga de los propietarios de compensar a la Administración —que era el modelo anterior— cuando los beneficios de la repoblación no se traducen tanto en la posibilidad de obtener un rendimiento económico por la explotación de la finca repoblada, sino en el beneficio indirecto para el medio ambiente y la colectividad de mantener el arbolado. Esta última posibilidad obedece a la estrategia forestal española de suprimir los consorcios forzosos de repoblación en montes privados y establecer otras figuras menos gravosas para los propietarios de los terrenos siempre que éstos se comprometan a gestionar de forma sostenible las masas arbóreas creadas.</w:t>
      </w:r>
    </w:p>
    <w:p w:rsidR="0026452D" w:rsidRDefault="0026452D" w:rsidP="0026452D">
      <w:pPr>
        <w:pStyle w:val="TextoNormal"/>
      </w:pPr>
    </w:p>
    <w:p w:rsidR="0026452D" w:rsidRDefault="0026452D" w:rsidP="0026452D">
      <w:pPr>
        <w:pStyle w:val="TextoNormal"/>
      </w:pPr>
      <w:r>
        <w:t>La regulación de las condiciones en que se permite la sustitución de los convenios ya existentes se dirige a establecer un tratamiento común de los derechos y deberes ya nacidos, tanto de los particulares como de la Administración, o mejor dicho, del interés público que esta persigue. En efecto, la exigencia de consentimiento de los propietarios, la carga que se les impone de conservar la masa forestal cuya repoblación costeará la Administración, y la exigencia de que los beneficios indirectos que genera la repoblación que costea la Administración sean superiores a los derivados de la explotación de la finca forestal —en cuyo caso deberán ser los propietarios vinculados por la situación jurídica ya creada quienes sigan costeando—, responden a las finalidades antes mencionadas, sin que se elimine el margen de desarrollo normativo de las Comunidades Autónomas que podrán optar por sustituir o no los convenios antes de su extinción y establecer cualesquiera otras condiciones, además de las contempladas en esta disposición, para aplicar la nueva figura. Debemos por lo expuesto, declarar que el segundo apartado de la disposición adicional primera es constitucional como también la disposición final en lo que a este afecta.</w:t>
      </w:r>
    </w:p>
    <w:p w:rsidR="0026452D" w:rsidRDefault="0026452D" w:rsidP="0026452D">
      <w:pPr>
        <w:pStyle w:val="TextoNormal"/>
      </w:pPr>
    </w:p>
    <w:p w:rsidR="0026452D" w:rsidRDefault="0026452D" w:rsidP="0026452D">
      <w:pPr>
        <w:pStyle w:val="TextoNormal"/>
      </w:pPr>
      <w:r w:rsidRPr="0026452D">
        <w:rPr>
          <w:rStyle w:val="NumeroAFNegritaCaracter"/>
        </w:rPr>
        <w:t>9</w:t>
      </w:r>
      <w:r>
        <w:t xml:space="preserve">. El art. 36.5 de la Ley de montes se impugna sólo en cuanto que se requiere “informe favorable”. El citado precepto establece que “los aprovechamientos en los montes afectados por las zonas de servidumbre, policía, o afección de los dominios públicos hidráulico, marítimo-terrestre, de carreteras o ferroviario no precisarán de la autorización de los órganos competentes de dichos dominios, siempre y cuando tales montes dispongan de instrumentos de gestión cuya aprobación por el órgano forestal de la Comunidad Autónoma haya sido </w:t>
      </w:r>
      <w:r>
        <w:lastRenderedPageBreak/>
        <w:t>informada favorablemente por los órganos de gestión de los dominios públicos mencionados.”</w:t>
      </w:r>
    </w:p>
    <w:p w:rsidR="0026452D" w:rsidRDefault="0026452D" w:rsidP="0026452D">
      <w:pPr>
        <w:pStyle w:val="TextoNormal"/>
      </w:pPr>
    </w:p>
    <w:p w:rsidR="0026452D" w:rsidRDefault="0026452D" w:rsidP="0026452D">
      <w:pPr>
        <w:pStyle w:val="TextoNormal"/>
      </w:pPr>
      <w:r>
        <w:t>Contra lo razonado por la recurrente e interpretado en sus justos términos, el precepto no sustrae estos aprovechamientos a la autorización de la Administración autonómica forestal en los casos en que ésta sea exigible pues, si así fuera, no tendría sentido imponer como requisito necesario que se haya emitido informe favorable en el procedimiento de tramitación del instrumento de gestión, requisito de imposible cumplimiento para la Administración autonómica forestal que tiene la competencia para aprobar el instrumento de gestión.</w:t>
      </w:r>
    </w:p>
    <w:p w:rsidR="0026452D" w:rsidRDefault="0026452D" w:rsidP="0026452D">
      <w:pPr>
        <w:pStyle w:val="TextoNormal"/>
      </w:pPr>
    </w:p>
    <w:p w:rsidR="0026452D" w:rsidRDefault="0026452D" w:rsidP="0026452D">
      <w:pPr>
        <w:pStyle w:val="TextoNormal"/>
      </w:pPr>
      <w:r>
        <w:t>La competencia que al Estado atribuye el art. 149.1.23 CE, título competencial que las partes no discuten, permite establecer técnicas de coordinación cuando es necesario cohonestar el ejercicio de varias competencias concurrentes sobre el mismo espacio físico —montes, aguas, costas, carreteras y ferrocarril—. Una de estas técnicas es la denominada “técnica del informe favorable” en términos de la STC 149/1991, de 4 de julio, FJ 4 D b a´), mediante la cual, el ejercicio de las competencias que tienen atribuidas las diferentes administraciones se articula en un único procedimiento en el que el órgano que formalmente tiene atribuida la competencia se encuentra vinculado por el informe de otras Administraciones, aunque, claro está, el condicionamiento de las competencias ajenas solo será legítimo cuando el ejercicio de las propias se mantenga dentro de sus límites. Aunque esta técnica solo es una de las posibles, lo cierto es que ha sido aceptada por este Tribunal en distintas ocasiones, en tanto responde a una regla de racionalización que evita seguir procedimientos separados cuando se trata de armonizar competencias estatales y autonómicas [entre otras, las SSTC 149/1991, de 4 de julio, FFJJ 4 D .b a') y 7 A c); 40/1998, de 18 de febrero, FJ 30; y 151/2003, de 17 de julio, FFJJ 4 y 5 b)]. Por tales razones, no puede considerarse que este precepto sea contrario a la Constitución como tampoco lo es la disposición final segunda en cuanto al título competencial que le dota de cobertura.</w:t>
      </w:r>
    </w:p>
    <w:p w:rsidR="0026452D" w:rsidRDefault="0026452D" w:rsidP="0026452D">
      <w:pPr>
        <w:pStyle w:val="TextoNormal"/>
      </w:pPr>
    </w:p>
    <w:p w:rsidR="0026452D" w:rsidRDefault="0026452D" w:rsidP="0026452D">
      <w:pPr>
        <w:pStyle w:val="TextoNormal"/>
      </w:pPr>
      <w:r w:rsidRPr="0026452D">
        <w:rPr>
          <w:rStyle w:val="NumeroAFNegritaCaracter"/>
        </w:rPr>
        <w:t>10</w:t>
      </w:r>
      <w:r>
        <w:t>. El art. 21 de la Ley regula el deslinde de los montes de titularidad pública basándose, según lo dispuesto en el apartado segundo de la disposición final segunda de la misma Ley, en las competencias para dictar la legislación básica que el art. 149.1.18 CE atribuye al Estado. Sin discutir el título atributivo de competencias que invoca la disposición final segunda, entiende la representación de la Generalitat, que la regulación de la Ley de montes se apartaría, sin justificación alguna, de las bases establecidas con carácter general en la Ley 43/2003, de 21 de noviembre, de patrimonio de las Administraciones públicas, que no atribuye carácter básico a la regulación del procedimiento de deslinde que en ella se contiene.</w:t>
      </w:r>
    </w:p>
    <w:p w:rsidR="0026452D" w:rsidRDefault="0026452D" w:rsidP="0026452D">
      <w:pPr>
        <w:pStyle w:val="TextoNormal"/>
      </w:pPr>
    </w:p>
    <w:p w:rsidR="0026452D" w:rsidRDefault="0026452D" w:rsidP="0026452D">
      <w:pPr>
        <w:pStyle w:val="TextoNormal"/>
      </w:pPr>
      <w:r>
        <w:t xml:space="preserve">En realidad, la objeción planteada tiene que ver con la exhaustividad con que la Ley regula el procedimiento de deslinde  de montes de titularidad pública, por resultar excesivamente detallada y no dejar margen para su desarrollo normativo por parte de la Comunidad Autónoma. El art. 21.4 de la Ley de montes, el único sobre el que se mantiene el objeto de este proceso, establece que “los deslindes deberán aprobarse a la vista de los documentos acreditativos o situaciones de posesión cualificadas que acrediten la titularidad pública del monte objeto del deslinde, y establecerán sus límites con sus cabidas y plano, debiendo concretarse igualmente los gravámenes existentes”. Debe señalarse, en primer lugar, que, en contra de lo que afirma la recurrente, el título del art. 149.1.18 CE no exige dar un tratamiento uniforme a todos los bienes públicos, con independencia de la categoría de bienes a </w:t>
      </w:r>
      <w:r>
        <w:lastRenderedPageBreak/>
        <w:t>la que pertenezcan, pues el mínimo común uniforme que debe garantizar la legislación básica puede ser distinto según las características de los bienes públicos afectados, sin que sea necesario, por otra parte, que la legislación básica se encuentre toda ella incluida en una misma norma legal. Partiendo de esta base procede analizar ahora si la regulación que realiza la Ley de montes del deslinde administrativo, en concreto, el art. 21.4, excede de lo que debe considerarse básico.</w:t>
      </w:r>
    </w:p>
    <w:p w:rsidR="0026452D" w:rsidRDefault="0026452D" w:rsidP="0026452D">
      <w:pPr>
        <w:pStyle w:val="TextoNormal"/>
      </w:pPr>
    </w:p>
    <w:p w:rsidR="0026452D" w:rsidRDefault="0026452D" w:rsidP="0026452D">
      <w:pPr>
        <w:pStyle w:val="TextoNormal"/>
      </w:pPr>
      <w:r>
        <w:t>Los requisitos relativos al contenido de los acuerdos definitivos de aprobación del deslinde consisten, en primer lugar, en la constancia de la cabida del monte deslindado y en la obligación de establecer su delimitación sobre plano, lo que opera, sin duda alguna, como garantía mínima y común de la exactitud de la delimitación del monte público objeto de deslinde y de la seguridad jurídica tanto de las Administraciones titulares como de los propietarios colindantes. En segundo lugar, se exige consten en ella los gravámenes que existan sobre el monte público deslindado lo que sirve a ese mismo propósito de garantizar la seguridad jurídica de terceros. Estas determinaciones, necesarias a los efectos de garantizar un mínimo común de seguridad jurídica en los deslindes de montes públicos, no agotan el margen de desarrollo normativo de las Comunidades Autónomas pues, de acuerdo con lo establecido el art. 21.3 de la Ley de montes, corresponde a las Comunidades Autónomas determinar el procedimiento al que debe ajustarse el deslinde de los montes catalogados con independencia de quien sea su titular, así como de los montes de su titularidad. Debemos, pues, declarar la constitucionalidad del art. 21.4 de la Ley de montes, así como de la disposición final segunda que no es inconstitucional en cuanto prevé el dictado de este precepto al amparo del art. 149.1.18 CE.</w:t>
      </w:r>
    </w:p>
    <w:p w:rsidR="0026452D" w:rsidRDefault="0026452D" w:rsidP="0026452D">
      <w:pPr>
        <w:pStyle w:val="TextoNormal"/>
      </w:pPr>
    </w:p>
    <w:p w:rsidR="0026452D" w:rsidRDefault="0026452D" w:rsidP="0026452D">
      <w:pPr>
        <w:pStyle w:val="TextoNormal"/>
      </w:pPr>
      <w:r w:rsidRPr="0026452D">
        <w:rPr>
          <w:rStyle w:val="NumeroAFNegritaCaracter"/>
        </w:rPr>
        <w:t>11</w:t>
      </w:r>
      <w:r>
        <w:t>. El art. 37 a) de la Ley de montes establece que para los aprovechamientos forestales en montes ordenados, esto es, que cuenten con proyecto de ordenación, plan dasocrático o instrumento de gestión equivalente, o montes incluidos en el ámbito de aplicación del plan de ordenación de recursos forestales y éste así lo prevea, será únicamente necesaria la notificación previa del aprovechamiento para que el órgano competente pueda comprobar su adecuación al plan de ordenación. La denegación o condicionamiento del mismo solo podrá realizarse, por resolución motivada, en el plazo que establezca la Comunidad Autónoma, transcurrido el cual sin que se haya dictado la mencionada resolución se entenderá aceptado. La inconstitucionalidad se predica por la recurrente, como se puso de manifiesto en los antecedentes, tanto de la obligación de motivar la resolución por la que se deniega o condiciona el aprovechamiento, como de la regulación del sentido del silencio.</w:t>
      </w:r>
    </w:p>
    <w:p w:rsidR="0026452D" w:rsidRDefault="0026452D" w:rsidP="0026452D">
      <w:pPr>
        <w:pStyle w:val="TextoNormal"/>
      </w:pPr>
    </w:p>
    <w:p w:rsidR="0026452D" w:rsidRDefault="0026452D" w:rsidP="0026452D">
      <w:pPr>
        <w:pStyle w:val="TextoNormal"/>
      </w:pPr>
      <w:r>
        <w:t>Ninguna duda cabe sobre la constitucionalidad del precepto impugnado en lo relativo a la exigencia de motivación de las resoluciones de denegación o condicionamiento del aprovechamiento notificado que son, al fin y al cabo, un ejemplo indiscutible de actos desfavorables o limitativos de derechos. Se trata, simplemente, de un recordatorio de lo dispuesto en el art. 54.1 a) de la Ley de régimen jurídico de las Administraciones públicas y del procedimiento administrativo común (LPC), que según la competencia del art. 149.1.18 CE, determina, con carácter general, que habrán de ser motivados “los actos que limiten derechos subjetivos o intereses legítimos” y, en esa medida, ningún margen de acción tendría la Comunidad Autónoma para regular en sentido diferente.</w:t>
      </w:r>
    </w:p>
    <w:p w:rsidR="0026452D" w:rsidRDefault="0026452D" w:rsidP="0026452D">
      <w:pPr>
        <w:pStyle w:val="TextoNormal"/>
      </w:pPr>
    </w:p>
    <w:p w:rsidR="0026452D" w:rsidRDefault="0026452D" w:rsidP="0026452D">
      <w:pPr>
        <w:pStyle w:val="TextoNormal"/>
      </w:pPr>
      <w:r>
        <w:t xml:space="preserve">En cuanto a la regulación del carácter positivo del silencio que, en opinión de la recurrente, impone este precepto, debemos poner de manifiesto, antes de nada, que la técnica de </w:t>
      </w:r>
      <w:r>
        <w:lastRenderedPageBreak/>
        <w:t>intervención regulada en este apartado obedece a una figura, la notificación o comunicación previa, bien distinta de la autorización. Una figura a la que se refiere el art. 71 bis LPC, en la redacción que le dio la Ley 25/2009, de 22 de diciembre. Con la notificación o comunicación previa el interesado pone en conocimiento de la Administración sus datos y demás requisitos exigibles para el ejercicio de un derecho o el inicio de una actividad, momento a partir del cual, con carácter general, se permite su ejercicio, sin perjuicio de las facultades de control, comprobación e inspección de la Administración. Por ello, a diferencia del procedimiento autorizatorio que, necesariamente, debe terminar con un acto definitivo expreso que enerva la prohibición contenida en la norma, la notificación previa no requiere tal cosa, pues, con carácter general y sin perjuicio de lo que establezcan las regulaciones específicas, la prohibición del ejercicio del derecho o de la actividad en la que se basa la denominada actividad administrativa de “policía” se dispensa con la presentación de la correspondiente notificación o comunicación previa. Y si no existe obligación de dictar un acto administrativo expreso, tampoco puede entrar en juego la institución del silencio, ficción jurídica que solo actúa una vez transcurrido el plazo para resolver y notificar la resolución sin que esta obligación se haya cumplido por la Administración.</w:t>
      </w:r>
    </w:p>
    <w:p w:rsidR="0026452D" w:rsidRDefault="0026452D" w:rsidP="0026452D">
      <w:pPr>
        <w:pStyle w:val="TextoNormal"/>
      </w:pPr>
    </w:p>
    <w:p w:rsidR="0026452D" w:rsidRDefault="0026452D" w:rsidP="0026452D">
      <w:pPr>
        <w:pStyle w:val="TextoNormal"/>
      </w:pPr>
      <w:r>
        <w:t xml:space="preserve">Descartado, a partir de lo expuesto, que el art. 37 de la Ley de montes regule el silencio positivo debemos, analizar si forma parte de la competencia del Estado, </w:t>
      </w:r>
      <w:r w:rsidRPr="0026452D">
        <w:rPr>
          <w:i/>
        </w:rPr>
        <w:t>ex</w:t>
      </w:r>
      <w:r>
        <w:t xml:space="preserve"> art. 149.1.18 CE, regular una comunicación previa con veto, esto es, con un plazo limitado para que la Administración pueda llevar a cabo su actividad de control o comprobación de que lo notificado responde a la legalidad, sin perjuicio del control que siempre ésta debe realizar para que la actividad o el ejercicio del derecho se adecúen, en la práctica, a lo notificado y aceptado por la Administración.</w:t>
      </w:r>
    </w:p>
    <w:p w:rsidR="0026452D" w:rsidRDefault="0026452D" w:rsidP="0026452D">
      <w:pPr>
        <w:pStyle w:val="TextoNormal"/>
      </w:pPr>
    </w:p>
    <w:p w:rsidR="0026452D" w:rsidRDefault="0026452D" w:rsidP="0026452D">
      <w:pPr>
        <w:pStyle w:val="TextoNormal"/>
      </w:pPr>
      <w:r>
        <w:t>Cuando los montes están ordenados, es decir, cuentan con planes de gestión que regulan los aprovechamientos de que pueden ser objeto, la previsión según la cual las Comunidades Autónomas deben establecer un plazo máximo para que los órganos competentes de la Administración autonómica realicen el control sobre la adecuación de lo notificado a lo establecido en el instrumento de gestión, forma parte de esa regulación común uniforme que permite garantizar el tratamiento común de los titulares de derechos sobre los montes ordenados. Esta regulación, por otra parte, no agota la posibilidad de desarrollo de la legislación básica por parte de las Comunidades Autónomas que, a la vista de sus peculiaridades, podrán establecer plazos más o menos amplios de veto. Por lo expuesto, debemos declarar que el art. 37 a) de la Ley de montes no vulnera el orden de distribución de competencias al prever una comunicación previa con veto.</w:t>
      </w:r>
    </w:p>
    <w:p w:rsidR="0026452D" w:rsidRDefault="0026452D" w:rsidP="0026452D">
      <w:pPr>
        <w:pStyle w:val="TextoNormal"/>
      </w:pPr>
    </w:p>
    <w:p w:rsidR="0026452D" w:rsidRDefault="0026452D" w:rsidP="0026452D">
      <w:pPr>
        <w:pStyle w:val="TextoNormal"/>
      </w:pPr>
      <w:r w:rsidRPr="0026452D">
        <w:rPr>
          <w:rStyle w:val="NumeroAFNegritaCaracter"/>
        </w:rPr>
        <w:t>12</w:t>
      </w:r>
      <w:r>
        <w:t xml:space="preserve">. El art. 46.2 de la Ley de montes contempla la existencia de un mando unificado y de un director técnico para la extinción de cada incendio: “el órgano competente de la Comunidad Autónoma establecerá para la extinción de cada incendio, salvo en aquellos supuestos que se juzgue innecesario por su pequeña entidad, un mando unificado y estructurado por funciones, basado en los objetivos de eficacia y seguridad. El director técnico de la extinción será un profesional que haya recibido formación acreditada específica sobre comportamiento del fuego forestal y técnicas adecuadas para su extinción”. Por su parte, el art. 47.1 de la Ley regula las facultades que asistían al director técnico, al director o responsable técnico de las tareas de extinción tras la reforma operada por la Ley 10/2006, al que se atribuye la condición de agente de la autoridad. Estas facultades van desde la movilización de medios públicos y privados hasta la entrada sin consentimiento de los titulares en fincas </w:t>
      </w:r>
      <w:r>
        <w:lastRenderedPageBreak/>
        <w:t>forestales o agrarias pasando por otra serie de medidas que suponen la intervención o disposición de los bienes de propiedad privada sin consentimiento de sus titulares.</w:t>
      </w:r>
    </w:p>
    <w:p w:rsidR="0026452D" w:rsidRDefault="0026452D" w:rsidP="0026452D">
      <w:pPr>
        <w:pStyle w:val="TextoNormal"/>
      </w:pPr>
    </w:p>
    <w:p w:rsidR="0026452D" w:rsidRDefault="0026452D" w:rsidP="0026452D">
      <w:pPr>
        <w:pStyle w:val="TextoNormal"/>
      </w:pPr>
      <w:r>
        <w:t xml:space="preserve">La recurrente niega que dicha regulación forme parte de la competencia que al Estado corresponde </w:t>
      </w:r>
      <w:r w:rsidRPr="0026452D">
        <w:rPr>
          <w:i/>
        </w:rPr>
        <w:t>ex</w:t>
      </w:r>
      <w:r>
        <w:t xml:space="preserve"> art. 149.1.23 CE y para cuyo dictado le habilita la disposición final segunda, por lo que se habría visto vulnerada su competencia en materia de montes. Pero, además, añade, se habría desconocido la competencia de la Comunidad Autónoma en materia de protección civil que habría cedido ante la competencia estatal concurrente cuando no existen exigencias de interés nacional que lo justifiquen.</w:t>
      </w:r>
    </w:p>
    <w:p w:rsidR="0026452D" w:rsidRDefault="0026452D" w:rsidP="0026452D">
      <w:pPr>
        <w:pStyle w:val="TextoNormal"/>
      </w:pPr>
    </w:p>
    <w:p w:rsidR="0026452D" w:rsidRDefault="0026452D" w:rsidP="0026452D">
      <w:pPr>
        <w:pStyle w:val="TextoNormal"/>
      </w:pPr>
      <w:r>
        <w:t>La tarea de deslindar las distintas materias implicadas, de acuerdo con la finalidad predominante de la norma, a los efectos de delimitar los títulos competenciales aplicables, contiene, a veces, elevadas proporciones de convención y artificio. En este caso, la finalidad de las normas impugnadas es tanto la de prevención y superación de una situación de grave riesgo o catástrofe, como la de protección del monte cuya misma existencia se pone en riesgo por el incendio. En cualquier caso, frente a las competencias estatales, nos encontramos con las competencias autonómicas establecidas en los arts. 116.2 b) y 131.1 y 2 del actual Estatuto de Autonomía de Cataluña.</w:t>
      </w:r>
    </w:p>
    <w:p w:rsidR="0026452D" w:rsidRDefault="0026452D" w:rsidP="0026452D">
      <w:pPr>
        <w:pStyle w:val="TextoNormal"/>
      </w:pPr>
    </w:p>
    <w:p w:rsidR="0026452D" w:rsidRDefault="0026452D" w:rsidP="0026452D">
      <w:pPr>
        <w:pStyle w:val="TextoNormal"/>
      </w:pPr>
      <w:r>
        <w:t>En el primero de ellos se prevé, según hemos visto, la competencia compartida sobre “la regulación y el régimen de intervención administrativa y de usos de los montes, de los aprovechamientos y los servicios forestales y de las vías pecuarias de Cataluña”. Tal competencia habrá de ejercerse en el marco de las bases que, en la materia, dicte el Estado (STC 31/2010, de 28 de junio, FJ 60). En el art. 131.1 EAC se atribuye a la Generalitat “la competencia exclusiva en materia de protección civil, que incluye, en todo caso, la regulación, la planificación y ejecución de medidas relativas a las emergencias y la seguridad civil, así como la dirección y coordinación de los servicios de protección civil, que incluyen los servicios de prevención y extinción de incendios, sin perjuicio de las facultades en esta materia de los gobiernos locales”, pero siempre “respetando lo establecido por el Estado en el ejercicio de sus competencias en materia de seguridad pública”, mientras que en el apartado segundo se establece que la Generalitat, en los casos relativos a emergencias y protección civil de alcance superior en Cataluña, debe promover mecanismos de colaboración con otras Comunidades Autónomas y con el Estado</w:t>
      </w:r>
    </w:p>
    <w:p w:rsidR="0026452D" w:rsidRDefault="0026452D" w:rsidP="0026452D">
      <w:pPr>
        <w:pStyle w:val="TextoNormal"/>
      </w:pPr>
    </w:p>
    <w:p w:rsidR="0026452D" w:rsidRDefault="0026452D" w:rsidP="0026452D">
      <w:pPr>
        <w:pStyle w:val="TextoNormal"/>
      </w:pPr>
      <w:r>
        <w:t>Como hemos señalado en la STC 31/2010, de 28 de junio (FJ 78), refiriéndonos precisamente al art. 131.1, en la materia específica de protección civil se producen unas competencias concurrentes del Estado (en virtud de la reserva del art. 149.1.29 CE) y de las Comunidades Autónomas que hayan asumido competencias en sus Estatutos en virtud de habilitaciones constitucionales. Pero las competencias asumidas por éstas se encuentran “subordinadas a las superiores exigencias del interés nacional en los casos en que éste pueda entrar en juego (STC 133/1990, FFJJ 5 y 6)]”.</w:t>
      </w:r>
    </w:p>
    <w:p w:rsidR="0026452D" w:rsidRDefault="0026452D" w:rsidP="0026452D">
      <w:pPr>
        <w:pStyle w:val="TextoNormal"/>
      </w:pPr>
    </w:p>
    <w:p w:rsidR="0026452D" w:rsidRDefault="0026452D" w:rsidP="0026452D">
      <w:pPr>
        <w:pStyle w:val="TextoNormal"/>
      </w:pPr>
      <w:r>
        <w:t xml:space="preserve">Procede, en consecuencia, comprobar si la regulación controvertida se encuentra justificada o no, bien por tratarse de normativa básica en la materia, bien por concurrir en ésta “superiores exigencias de interés nacional”, bien por ambas cosas. Desde el punto de vista del título de legislación básica de montes, la prescripción según la cual debe existir, en las operaciones de extinción, un mando único y un director técnico con formación específica, no puede considerarse que exceda el ámbito de lo básico, pues pertenece a esa regulación </w:t>
      </w:r>
      <w:r>
        <w:lastRenderedPageBreak/>
        <w:t>común mínima que el Estado considera necesaria al servir a la finalidad de garantizar una mínima eficiencia y seguridad en la labor de extinción de incendios. Ello no agota el ámbito organizativo de que gozan las Comunidades Autónomas que podrán, dentro de estos límites, desarrollar la organización de esta función ejecutiva, límites que, por demás, no son excesivamente pormenorizados, pues la propia exigencia de un mando único se remite a la definición que realicen las Comunidades Autónomas de lo que debe considerarse un incendio de escasa entidad, sin que tampoco se precise, de forma agotadora, qué debe entenderse por formación específica acreditada, lo que corresponderá determinar a las Comunidades Autónomas.</w:t>
      </w:r>
    </w:p>
    <w:p w:rsidR="0026452D" w:rsidRDefault="0026452D" w:rsidP="0026452D">
      <w:pPr>
        <w:pStyle w:val="TextoNormal"/>
      </w:pPr>
    </w:p>
    <w:p w:rsidR="0026452D" w:rsidRDefault="0026452D" w:rsidP="0026452D">
      <w:pPr>
        <w:pStyle w:val="TextoNormal"/>
      </w:pPr>
      <w:r>
        <w:t>Las mismas razones son predicables de la regulación de las facultades del director técnico de la operación de extinción, aunque definidas con mayor grado de precisión. Se tratan, todas ellas, de facultades exorbitantes imprescindibles para garantizar un nivel común de eficacia en la actividad de extinción de incendios y, vistas desde la otra cara de la moneda, garantizadoras de un tratamiento común de los afectados, al establecer unos límites comunes a los derechos de los particulares.</w:t>
      </w:r>
    </w:p>
    <w:p w:rsidR="0026452D" w:rsidRDefault="0026452D" w:rsidP="0026452D">
      <w:pPr>
        <w:pStyle w:val="TextoNormal"/>
      </w:pPr>
    </w:p>
    <w:p w:rsidR="0026452D" w:rsidRDefault="0026452D" w:rsidP="0026452D">
      <w:pPr>
        <w:pStyle w:val="TextoNormal"/>
      </w:pPr>
      <w:r>
        <w:t>Por otra parte, enfocada la cuestión desde la perspectiva de la protección civil, no resulta difícil encontrar una “exigencia superior de interés nacional” que reclama la imposición de un mando único y de un director técnico con la necesaria preparación para la extinción de incendios de cierta entidad en un país como el nuestro, uno de los de la Unión Europea con más masa forestal y que más incendios sufre anualmente. La fijación de manera uniforme de los poderes de movilización de recursos y sacrificio de derechos que se atribuyen al director técnico de la extinción del incendio pertenece, por otra parte, al núcleo mismo de la competencia estatal de seguridad pública prevista en el art. 149.1.29 CE.</w:t>
      </w:r>
    </w:p>
    <w:p w:rsidR="0026452D" w:rsidRDefault="0026452D" w:rsidP="0026452D">
      <w:pPr>
        <w:pStyle w:val="TextoNormal"/>
      </w:pPr>
    </w:p>
    <w:p w:rsidR="0026452D" w:rsidRDefault="0026452D" w:rsidP="0026452D">
      <w:pPr>
        <w:pStyle w:val="TextoNormal"/>
      </w:pPr>
      <w:r>
        <w:t>Por lo expuesto, debemos concluir la constitucionalidad de los arts. 46.2 y 47 de la Ley de montes y la de la disposición final segunda en cuanto a ellos se refiere.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Declarar que el proceso ha perdido objeto en relación con los arts. 7.1 a); 7.2 c), g) y h); 7.3 b); 18.4 en su inciso “a excepción de los declarados como de interés general por el Estado”; 21.2; 21.7; 32; 37 b); 46.1; 47.3; 49.2; 63; disposición transitoria tercera y disposición final tercera, así como con la disposición final segunda en lo que a éstos se refiere por no tratarse de una impugnación autónoma sino derivada de la impugnación de los preceptos citados.</w:t>
      </w:r>
    </w:p>
    <w:p w:rsidR="0026452D" w:rsidRDefault="0026452D" w:rsidP="0026452D">
      <w:pPr>
        <w:pStyle w:val="TextoNormal"/>
      </w:pPr>
    </w:p>
    <w:p w:rsidR="0026452D" w:rsidRDefault="0026452D" w:rsidP="0026452D">
      <w:pPr>
        <w:pStyle w:val="TextoNormal"/>
      </w:pPr>
      <w:r>
        <w:t>2º Estimar parcialmente el presente recurso de inconstitucionalidad, interpuesto por la Generalitat de Cataluña contra determinados preceptos de la Ley 43/2003, de 21 de noviembre, de montes y, en consecuencia, declarar la inconstitucionalidad de la disposición final segunda con el alcance señalado en el fundamento jurídico 7.</w:t>
      </w:r>
    </w:p>
    <w:p w:rsidR="0026452D" w:rsidRDefault="0026452D" w:rsidP="0026452D">
      <w:pPr>
        <w:pStyle w:val="TextoNormal"/>
      </w:pPr>
    </w:p>
    <w:p w:rsidR="0026452D" w:rsidRDefault="0026452D" w:rsidP="0026452D">
      <w:pPr>
        <w:pStyle w:val="TextoNormal"/>
      </w:pPr>
      <w:r>
        <w:t>3º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veintiocho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53" w:name="SENTENCIA_2013_50"/>
      <w:r>
        <w:lastRenderedPageBreak/>
        <w:t>SENTENCIA 50/2013, de 28 de febrero de 2013</w:t>
      </w:r>
    </w:p>
    <w:bookmarkEnd w:id="53"/>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73, de 26 de marzo de 2013)</w:t>
      </w:r>
    </w:p>
    <w:p w:rsidR="0026452D" w:rsidRDefault="0026452D" w:rsidP="0026452D">
      <w:pPr>
        <w:pStyle w:val="TtuloBOE"/>
      </w:pPr>
    </w:p>
    <w:p w:rsidR="0026452D" w:rsidRDefault="0026452D" w:rsidP="0026452D">
      <w:pPr>
        <w:pStyle w:val="SntesisDescriptiva"/>
      </w:pPr>
      <w:r>
        <w:t>ECLI:ES:TC:2013:50</w:t>
      </w:r>
    </w:p>
    <w:p w:rsidR="0026452D" w:rsidRDefault="0026452D" w:rsidP="0026452D">
      <w:pPr>
        <w:pStyle w:val="SntesisDescriptiva"/>
      </w:pPr>
    </w:p>
    <w:p w:rsidR="0026452D" w:rsidRDefault="0026452D" w:rsidP="0026452D">
      <w:pPr>
        <w:pStyle w:val="SntesisDescriptiva"/>
      </w:pPr>
      <w:r>
        <w:t>Recurso de inconstitucionalidad 1021-2004. Interpuesto por el Presidente del Gobierno en relación con diversos preceptos de la Ley de la Junta General del Principado de Asturias 6/2003, de 30 de diciembre, de medidas presupuestarias, administrativas y fiscales.</w:t>
      </w:r>
    </w:p>
    <w:p w:rsidR="0026452D" w:rsidRDefault="0026452D" w:rsidP="0026452D">
      <w:pPr>
        <w:pStyle w:val="SntesisDescriptiva"/>
      </w:pPr>
    </w:p>
    <w:p w:rsidR="0026452D" w:rsidRDefault="0026452D" w:rsidP="0026452D">
      <w:pPr>
        <w:pStyle w:val="SntesisAnaltica"/>
      </w:pPr>
      <w:r>
        <w:t>Competencias sobre colegios profesionales: nulidad del precepto legal que establece los supuestos de colegiación obligatoria de los funcionarios públicos autonómicos (STC 3/2013).</w:t>
      </w:r>
    </w:p>
    <w:p w:rsidR="0026452D" w:rsidRDefault="0026452D" w:rsidP="0026452D">
      <w:pPr>
        <w:pStyle w:val="SntesisAnaltica"/>
      </w:pPr>
    </w:p>
    <w:p w:rsidR="0026452D" w:rsidRDefault="0026452D" w:rsidP="0026452D">
      <w:pPr>
        <w:pStyle w:val="Extracto"/>
      </w:pPr>
      <w:r>
        <w:t>1.</w:t>
      </w:r>
      <w:r>
        <w:tab/>
        <w:t>El inciso impugnado, al eximir de la colegiación obligatoria a los empleados públicos, cuando ejercen la profesión por cuenta de la Administración, establece una excepción no contemplada en la Ley estatal de colegios profesionales, por lo que siendo competente el Estado para establecer la colegiación obligatoria y por tanto para establecer las excepciones que afectan a los empleados públicos a la vista de los concretos intereses generales que puedan verse afectados, hemos de determinar su inconstitucionalidad (STC 3/2013) [FJ 5].</w:t>
      </w:r>
    </w:p>
    <w:p w:rsidR="0026452D" w:rsidRDefault="0026452D" w:rsidP="0026452D">
      <w:pPr>
        <w:pStyle w:val="Extracto"/>
      </w:pPr>
    </w:p>
    <w:p w:rsidR="0026452D" w:rsidRDefault="0026452D" w:rsidP="0026452D">
      <w:pPr>
        <w:pStyle w:val="Extracto"/>
      </w:pPr>
      <w:r>
        <w:t>2.</w:t>
      </w:r>
      <w:r>
        <w:tab/>
        <w:t>La competencia estatal para fijar las bases deriva de la configuración de los colegios profesionales como corporaciones de Derecho público y de la atribución a los mismos de funciones públicas de mayor o menor relevancia para la profesión, por lo que dado que el art. 36 CE no hace reserva de la institución colegial a las profesiones tituladas, la competencia del Estado para definir el modelo de colegio profesional para las profesiones reguladas no tituladas encuentra los mismos límites que cuando la ejerce para las profesiones tituladas (STC 330/1994) [FJ 5].</w:t>
      </w:r>
    </w:p>
    <w:p w:rsidR="0026452D" w:rsidRDefault="0026452D" w:rsidP="0026452D">
      <w:pPr>
        <w:pStyle w:val="Extracto"/>
      </w:pPr>
    </w:p>
    <w:p w:rsidR="0026452D" w:rsidRDefault="0026452D" w:rsidP="0026452D">
      <w:pPr>
        <w:pStyle w:val="Extracto"/>
      </w:pPr>
      <w:r>
        <w:t>3.</w:t>
      </w:r>
      <w:r>
        <w:tab/>
        <w:t>Dado que la Ley estatal de colegios profesionales, no exime a los empleados públicos de colegiarse cuando realizan las actividades propias de una profesión para cuyo ejercicio se exige la colegiación, la exención del deber de colegiación del personal al servicio de las Administraciones públicas del Principado de Asturias para la realización de actividades por cuenta de aquellas, correspondientes a su profesión, que se contiene en el precepto impugnado, vulnera lo establecido en dicha Ley, que exige la colegiación forzosa para las profesiones que determine una ley del Estado (STC 3/2013) [FJ 4].</w:t>
      </w:r>
    </w:p>
    <w:p w:rsidR="0026452D" w:rsidRDefault="0026452D" w:rsidP="0026452D">
      <w:pPr>
        <w:pStyle w:val="Extracto"/>
      </w:pPr>
    </w:p>
    <w:p w:rsidR="0026452D" w:rsidRDefault="0026452D" w:rsidP="0026452D">
      <w:pPr>
        <w:pStyle w:val="Extracto"/>
      </w:pPr>
      <w:r>
        <w:t>4.</w:t>
      </w:r>
      <w:r>
        <w:tab/>
        <w:t xml:space="preserve">La competencia del Estado para regular los colegios profesionales viene dada por el art. 149.1.18 CE, que le permite fijar los principios y reglas básicas de este tipo de entidades corporativas ya que aun cuando los colegios profesionales se constituyen para defender primordialmente los intereses privados de sus miembros, tiene también una dimensión pública que les equipara a las Administraciones Públicas de carácter territorial aunque a los solos aspectos organizativos y competenciales en los que ésta se concreta y singulariza, por su parte la competencia autonómica en esta materia se contiene en el art. 11.9 del Estatuto de Autonomía </w:t>
      </w:r>
      <w:r>
        <w:lastRenderedPageBreak/>
        <w:t>del Principado de Asturias, en el marco de dicha legislación básica del Estado  (SSTC 76/1983, 3/2013) [FJ 4].</w:t>
      </w:r>
    </w:p>
    <w:p w:rsidR="0026452D" w:rsidRDefault="0026452D" w:rsidP="0026452D">
      <w:pPr>
        <w:pStyle w:val="Extracto"/>
      </w:pPr>
    </w:p>
    <w:p w:rsidR="0026452D" w:rsidRDefault="0026452D" w:rsidP="0026452D">
      <w:pPr>
        <w:pStyle w:val="Extracto"/>
      </w:pPr>
      <w:r>
        <w:t>5.</w:t>
      </w:r>
      <w:r>
        <w:tab/>
        <w:t>El precepto impugnado contiene una excepción a la regla de la colegiación forzosa a los empleados públicos, cuando ejercen la profesión por cuenta de la Administración, que sirve como elemento definitorio de la institución colegial a la que se pertenece en razón de la actividad profesional que se realiza, por lo que debe quedar encuadrado en el título competencial de colegios profesionales, que ostenta el Estado ex art. 149.1.18 CE, siendo el de función pública meramente incidental al no tratarse de colegios profesionales integrados exclusivamente por funcionarios públicos (SSTC 87/1989, 3/2013) [FJ 4].</w:t>
      </w:r>
    </w:p>
    <w:p w:rsidR="0026452D" w:rsidRDefault="0026452D" w:rsidP="0026452D">
      <w:pPr>
        <w:pStyle w:val="Extracto"/>
      </w:pPr>
    </w:p>
    <w:p w:rsidR="0026452D" w:rsidRDefault="0026452D" w:rsidP="0026452D">
      <w:pPr>
        <w:pStyle w:val="Extracto"/>
      </w:pPr>
      <w:r>
        <w:t>6.</w:t>
      </w:r>
      <w:r>
        <w:tab/>
        <w:t xml:space="preserve">Aplica la doctrina del </w:t>
      </w:r>
      <w:r w:rsidRPr="0026452D">
        <w:rPr>
          <w:i/>
        </w:rPr>
        <w:t>ius superveniens</w:t>
      </w:r>
      <w:r>
        <w:t xml:space="preserve"> en procesos de naturaleza competencial (STC 148/2012) [FJ 2].</w:t>
      </w:r>
    </w:p>
    <w:p w:rsidR="0026452D" w:rsidRDefault="0026452D" w:rsidP="0026452D">
      <w:pPr>
        <w:pStyle w:val="Extracto"/>
      </w:pPr>
    </w:p>
    <w:p w:rsidR="0026452D" w:rsidRDefault="0026452D" w:rsidP="0026452D">
      <w:pPr>
        <w:pStyle w:val="Extracto"/>
      </w:pPr>
      <w:r>
        <w:t>7.</w:t>
      </w:r>
      <w:r>
        <w:tab/>
        <w:t>Aplica la doctrina sobre la excepción a la colegiación obligatoria del personal al servicio de las Administraciones públicas, sentada en la STC 3/2013 [FFJJ 3 a 5].</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1021-2004, interpuesto por el Presidente del Gobierno, y en su representación por el Abogado del Estado, contra el art. 10.2 y 3, y el inciso “ni para la realización de actividades por cuenta de aquéllos, correspondientes a su profesión” del art. 11 de la Ley del Principado de Asturias 6/2003, de 30 de diciembre, de medidas presupuestarias, administrativas y fiscales. Ha comparecido y formulado alegaciones el Consejo de Gobierno del Principado de Asturias, representado por su Letrado. Ha sido Ponente el Magistrado don Francisco José Hernando Santiago, quien expresa el parecer del Tribunal.</w:t>
      </w:r>
    </w:p>
    <w:p w:rsidR="0026452D" w:rsidRDefault="0026452D" w:rsidP="0026452D">
      <w:pPr>
        <w:pStyle w:val="TextoNormal"/>
      </w:pPr>
    </w:p>
    <w:p w:rsidR="0026452D" w:rsidRDefault="0026452D" w:rsidP="0026452D">
      <w:pPr>
        <w:pStyle w:val="TextoNormalNegritaCentrado"/>
        <w:keepNext/>
      </w:pPr>
      <w:r>
        <w:lastRenderedPageBreak/>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Con fecha 20 de febrero de 2004 tuvo entrada en el Registro General de este Tribunal Constitucional, escrito del Abogado del Estado, en representación del Presidente del Gobierno, por el que interpone recurso de inconstitucionalidad en relación con el art. 10.2 y 3, y el inciso “ni para la realización de actividades por cuenta de aquéllos, correspondientes a su profesión” del art. 11 de la Ley del Principado de Asturias 6/2003, de 30 de diciembre, de medidas presupuestarias, administrativas y fiscales. En su escrito desarrolla dos impugnaciones autónomas, que son las siguientes:</w:t>
      </w:r>
    </w:p>
    <w:p w:rsidR="0026452D" w:rsidRDefault="0026452D" w:rsidP="0026452D">
      <w:pPr>
        <w:pStyle w:val="TextoNormal"/>
      </w:pPr>
    </w:p>
    <w:p w:rsidR="0026452D" w:rsidRDefault="0026452D" w:rsidP="0026452D">
      <w:pPr>
        <w:pStyle w:val="TextoNormal"/>
      </w:pPr>
      <w:r>
        <w:t>a) El art. 10.2 y 3 incorpora un apartado 2 bis al art. 5 y una disposición transitoria segunda, a la Ley 2/2003, de 17 de marzo, de medios de comunicación social asturiana, que viene a desarrollar un procedimiento excepcional de elección del consejo de administración del Ente Público de Comunicación del Principado de Asturias, consistente en su elección por mayoría absoluta del Pleno de la Junta General del Principado, en el supuesto de que aquél no se hubiese constituido al inicio de cada legislatura de conformidad con el procedimiento ordinario previsto en el art. 5, apartado 1, de la Ley 2/2003, de 17 de marzo. A juicio del Abogado del Estado, este procedimiento resulta incompatible y contradictorio con lo previsto en la legislación estatal básica en materia de medios de comunicación social, que exige mayoría de dos tercios para la elección de los miembros del Consejo de Administración.</w:t>
      </w:r>
    </w:p>
    <w:p w:rsidR="0026452D" w:rsidRDefault="0026452D" w:rsidP="0026452D">
      <w:pPr>
        <w:pStyle w:val="TextoNormal"/>
      </w:pPr>
    </w:p>
    <w:p w:rsidR="0026452D" w:rsidRDefault="0026452D" w:rsidP="0026452D">
      <w:pPr>
        <w:pStyle w:val="TextoNormal"/>
      </w:pPr>
      <w:r>
        <w:t>Afirma el Abogado del Estado que, de conformidad con el régimen de distribución de competencias en materia de medios de comunicación social, que deriva de lo dispuesto en el art. 149.1.27 CE y en el art. 17 del Estatuto de Autonomía del Principado de Asturias, y con lo señalado en la STC 10/1982, de 23 de marzo, la Ley 4/1980, de 10 de enero, reguladora del estatuto de la radio y televisión, tiene el carácter de norma básica en esta materia. El art. 2.3 del estatuto establece que la organización y control parlamentario del tercer canal regional, así como la radiodifusión y televisión en el mismo ámbito territorial, se articulará orgánica y funcionalmente de acuerdo con los criterios establecidos en los arts. 5 a 12 y 26 del citado estatuto, y según ley de la Comunidad Autónoma. Y en el art. 7.1 del estatuto, al determinar la composición del consejo de administración del ente público Radiotelevisión Española, se establece con carácter básico, la elección de sus miembros mediante mayoría de dos tercios de la Cámara, entre personas de relevantes méritos profesionales. A la vista de lo anterior, la previsión autonómica es contraria a los criterios establecidos con carácter básico en el estatuto de la radio y la televisión (arts. 5 a 12), a los que debe sujetarse la regulación del tercer canal (art. 2.3); sin olvidar que la adecuación a estos artículos de la Ley 4/1980, de 10 de enero, proviene, asimismo, de lo dispuesto en la Ley 46/1983, de 26 de diciembre, reguladora del tercer canal (art. 8). La impugnación del precepto deriva, en consecuencia, de la vulneración de las normas básicas estatales en materia de medios de comunicación social, sin que pueda justificarse la introducción por la legislación autonómica de una excepción a las citadas normas básicas, pues la doctrina constitucional (STC 146/1993, de 29 de abril) considera que las excepciones a la reglas básicas, aun cuando sean excepciones temporales, deben ser igualmente básicas y únicamente corresponde establecerlas al legislador estatal.</w:t>
      </w:r>
    </w:p>
    <w:p w:rsidR="0026452D" w:rsidRDefault="0026452D" w:rsidP="0026452D">
      <w:pPr>
        <w:pStyle w:val="TextoNormal"/>
      </w:pPr>
    </w:p>
    <w:p w:rsidR="0026452D" w:rsidRDefault="0026452D" w:rsidP="0026452D">
      <w:pPr>
        <w:pStyle w:val="TextoNormal"/>
      </w:pPr>
      <w:r>
        <w:t xml:space="preserve">b) El art. 11 de la ley recurrida establece dos causas de exención de la colegiación obligatoria para el personal al servicio de la Administración del Principado de Asturias, sus </w:t>
      </w:r>
      <w:r>
        <w:lastRenderedPageBreak/>
        <w:t>organismos y entes públicos, cualquiera que sea la naturaleza de su relación de servicio. De conformidad con dicho precepto, el personal no necesitará estar incorporado al colegio profesional correspondiente “para el ejercicio de funciones administrativas, ni para la realización de actividades por cuenta de aquéllos, correspondientes a su profesión”.</w:t>
      </w:r>
    </w:p>
    <w:p w:rsidR="0026452D" w:rsidRDefault="0026452D" w:rsidP="0026452D">
      <w:pPr>
        <w:pStyle w:val="TextoNormal"/>
      </w:pPr>
    </w:p>
    <w:p w:rsidR="0026452D" w:rsidRDefault="0026452D" w:rsidP="0026452D">
      <w:pPr>
        <w:pStyle w:val="TextoNormal"/>
      </w:pPr>
      <w:r>
        <w:t>La primera de las excepciones se refiere al “ejercicio de funciones administrativas” y, a juicio del Abogado del Estado, aunque no se especifiquen, tales funciones habrán de ser las típicas del ejercicio de las potestades administrativas, por lo que, en este caso, dicho personal no actúa en el ámbito del ejercicio de una profesión, sino en el ámbito del desempeño de las funciones propias de cuerpo, puesto o cargo, que le corresponde en la organización administrativa, y el control, la organización y la fiscalización de esa actividad se encuentran regulados en la normativa administrativa y se lleva a efecto mediante los propios órganos administrativos creados para esta finalidad. De lo anterior deduce que resulta razonable que esta actividad, ya sea funcionarial o laboral, quede fuera del requisito de la colegiación, dado, además, que la propia normativa básica estatal también prevé esta posibilidad.</w:t>
      </w:r>
    </w:p>
    <w:p w:rsidR="0026452D" w:rsidRDefault="0026452D" w:rsidP="0026452D">
      <w:pPr>
        <w:pStyle w:val="TextoNormal"/>
      </w:pPr>
    </w:p>
    <w:p w:rsidR="0026452D" w:rsidRDefault="0026452D" w:rsidP="0026452D">
      <w:pPr>
        <w:pStyle w:val="TextoNormal"/>
      </w:pPr>
      <w:r>
        <w:t>La segunda causa de exención de la colegiación —que constituye el objeto del presente recurso de inconstitucionalidad— se refiere a “la realización de actividades por cuenta de aquéllos, correspondientes a su profesión”. Y si bien el inciso no especifica quién será el destinatario directo de esa actividad profesional, debe entenderse que serán los ciudadanos o terceros distintos de la Administración del Principado de Asturias, dado que la primera de las exenciones de colegiación se refiere al supuesto de las funciones que tienen por destinatarias a las Administraciones públicas, por lo que dicha previsión vulnera la normativa básica estatal, dictada en ejercicio de las competencias en materia de colegios profesionales.</w:t>
      </w:r>
    </w:p>
    <w:p w:rsidR="0026452D" w:rsidRDefault="0026452D" w:rsidP="0026452D">
      <w:pPr>
        <w:pStyle w:val="TextoNormal"/>
      </w:pPr>
    </w:p>
    <w:p w:rsidR="0026452D" w:rsidRDefault="0026452D" w:rsidP="0026452D">
      <w:pPr>
        <w:pStyle w:val="TextoNormal"/>
      </w:pPr>
      <w:r>
        <w:t>La materia “colegios profesionales” no se encuentra incluida en el listado de competencias reservadas al Estado, total o parcialmente, en el art. 149.1 CE, y sí se contempla en el art. 11.9 del Estatuto de Autonomía del Principado de Asturias, que atribuye a éste competencia de desarrollo legislativo y ejecución, en el marco de la legislación básica del Estado, y, en su caso, en los términos que la misma establezca, en materia de colegios profesionales; lo anterior determina que la competencia autonómica en esta materia haya de enmarcarse en lo dispuesto por la legislación básica estatal dictada en ejercicio de las competencias que derivan de lo señalado en el art. 149.1.18 CE, por el carácter semipúblico de los colegios profesionales, y de lo dispuesto en el art. 149.1.1 CE, por ser la colegiación requisito para el ejercicio del derecho que consiste en llevar acabo la actividad propia de una profesión titulada.</w:t>
      </w:r>
    </w:p>
    <w:p w:rsidR="0026452D" w:rsidRDefault="0026452D" w:rsidP="0026452D">
      <w:pPr>
        <w:pStyle w:val="TextoNormal"/>
      </w:pPr>
    </w:p>
    <w:p w:rsidR="0026452D" w:rsidRDefault="0026452D" w:rsidP="0026452D">
      <w:pPr>
        <w:pStyle w:val="TextoNormal"/>
      </w:pPr>
      <w:r>
        <w:t>La incidencia de la competencia estatal prevista en el art. 149.1.18 CE, deriva del carácter público de los colegios profesionales y de su similitud, aunque no sea total, con las Administraciones públicas, y ha sido reconocida en las SSTC 76/1983, 20/1988 y 87/1989; y respecto a la cuestión de si la citada competencia estatal puede alcanzar al régimen de obligatoriedad de colegiación para el ejercicio de las profesiones colegiadas y sus excepciones, el Abogado del Estado recuerda que la STC 330/1994, de 15 de diciembre, estableció que una de las materias de competencia del Estado es el régimen de colegiación de los profesionales, reconociendo expresamente, incluso en el caso de la máxima reducción competencial del Estado, que la determinación de si es o no necesaria la colegiación para ejercer la correspondiente profesión, constituye una base de la regulación, que es competencia estatal en virtud del título del art. 149.1.18 CE.</w:t>
      </w:r>
    </w:p>
    <w:p w:rsidR="0026452D" w:rsidRDefault="0026452D" w:rsidP="0026452D">
      <w:pPr>
        <w:pStyle w:val="TextoNormal"/>
      </w:pPr>
    </w:p>
    <w:p w:rsidR="0026452D" w:rsidRDefault="0026452D" w:rsidP="0026452D">
      <w:pPr>
        <w:pStyle w:val="TextoNormal"/>
      </w:pPr>
      <w:r>
        <w:t>Además del mencionado título competencial, la competencia estatal prevista en el art. 149.1.1 CE tiene, en esta materia, una doble proyección. Por una parte, la obligatoriedad o libertad de colegiación incide directamente en el derecho a elegir y, lógicamente, ejercer, una actividad profesional o empresarial, poniéndose en relación, por tanto, con el derecho previsto en el art. 35.1 CE; y, de otro, la colegiación supone una garantía en el ejercicio de las profesiones que inciden sobre bienes jurídicos de la máxima relevancia, como la vida, la integridad corporal, la libertad o la seguridad, lo que justifica, incluso constitucionalmente, la figura penal del intrusismo profesional, que trata de asegurar que los ciudadanos sean atendidos por los profesionales correspondientes (STC 150/1997, de 29 de septiembre), de donde concluye que en la exigencia de colegiación incide también la competencia estatal exclusiva sobre las condiciones básicas para el ejercicio de derechos constitucionales (art. 149.1.1 CE) y, de no admitirse esta tesis, podría ocurrir que la posición básica de los profesionales fuese distinta en cada una de las Comunidades Autónomas, conculcando el principio general de promoción de la igualdad, que se contempla en el art. 9.2 CE. Todo lo anterior viene a confirmar que corresponde al Estado la competencia para establecer con carácter básico el régimen de colegiación obligatoria y sus excepciones.</w:t>
      </w:r>
    </w:p>
    <w:p w:rsidR="0026452D" w:rsidRDefault="0026452D" w:rsidP="0026452D">
      <w:pPr>
        <w:pStyle w:val="TextoNormal"/>
      </w:pPr>
    </w:p>
    <w:p w:rsidR="0026452D" w:rsidRDefault="0026452D" w:rsidP="0026452D">
      <w:pPr>
        <w:pStyle w:val="TextoNormal"/>
      </w:pPr>
      <w:r>
        <w:t>Dicho régimen se encuentra contenido en la Ley sobre colegios profesionales de 13 de febrero de 1974, modificada por Ley de 26 de diciembre de 1978, que establece, como bases del régimen de colegiación, la colegiación obligatoria en su art. 3.2; regla general que encuentra su excepción en el número 3 del art. 1 de la Ley de 1974, precepto que ha sido interpretado en el sentido de que la base estatal reconoce expresamente que cuando el funcionario actúa dentro del ámbito de su función pública y, por lo tanto, bajo el régimen de organización, control y disciplina administrativa, queda excluido de estar sujeto a los fines y a las funciones de los colegios profesionales, pues será la propia Administración con sus medios personales, orgánicos y funcionales la que velará por el adecuado desempeño de las funciones públicas, siendo éste el criterio recogido en la doctrina de este Tribunal, entre otras, en la STC 131/1989, de 17 de julio.</w:t>
      </w:r>
    </w:p>
    <w:p w:rsidR="0026452D" w:rsidRDefault="0026452D" w:rsidP="0026452D">
      <w:pPr>
        <w:pStyle w:val="TextoNormal"/>
      </w:pPr>
    </w:p>
    <w:p w:rsidR="0026452D" w:rsidRDefault="0026452D" w:rsidP="0026452D">
      <w:pPr>
        <w:pStyle w:val="TextoNormal"/>
      </w:pPr>
      <w:r>
        <w:t>Por el contrario, la exención de colegiación, en relación con la realización de actividades propias de su profesión, del personal al servicio de la Administración del Principado, supone que el personal funcionario o laboral va a prestar sus servicios directamente a los ciudadanos u otros terceros aunque por cuenta de la Administración a la que pertenece; de este modo, su actividad sale del ámbito propio de la Administración porque se proyecta directamente sobre otras personas físicas o jurídicas, lo que impide que pueda incluirse en el supuesto de exclusión previsto en la base estatal y únicamente referido al ejercicio de competencias administrativas internas. En el supuesto controvertido, la exención de colegiación requeriría de una norma estatal que así lo disponga, en virtud de la competencia en materia de bases del régimen jurídico de las Administraciones públicas (art. 149.1.18 CE) y de garantía de la igualdad en el régimen de ejercicio de las profesiones colegiadas (art. 149.1.1 CE).</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Este Tribunal, mediante providencia de la Sección Tercera de 13 de abril de 2004, admitió a trámite el recurso de inconstitucionalidad promovido por el Presidente del Gobierno, y en su representación y defensa por el Abogado del Estado, acordando dar traslado de las actuaciones, conforme establece el art. 34 Ley Orgánica del Tribunal Constitucional (LOTC), al Congreso de los Diputados y al Senado, así como al Gobierno del Principado de Asturias, por conducto de sus Presidentes, al objeto de que en el plazo de quince días </w:t>
      </w:r>
      <w:r>
        <w:lastRenderedPageBreak/>
        <w:t>pudieran personarse en el proceso y formular las alegaciones que estimasen convenientes; se acordó asimismo tener por invocado por el Presidente del Gobierno el art. 161.2 CE, lo que, conforme al art. 30 LOTC, produjo la suspensión de la vigencia y aplicación de los preceptos impugnados; así como publicar la incoación del recurso y la suspensión acordada en el “Boletín Oficial del Estado” y en el “Boletín Oficial del Principado de Asturias”.</w:t>
      </w:r>
    </w:p>
    <w:p w:rsidR="0026452D" w:rsidRDefault="0026452D" w:rsidP="0026452D">
      <w:pPr>
        <w:pStyle w:val="TextoNormal"/>
      </w:pPr>
    </w:p>
    <w:p w:rsidR="0026452D" w:rsidRDefault="0026452D" w:rsidP="0026452D">
      <w:pPr>
        <w:pStyle w:val="TextoNormal"/>
      </w:pPr>
      <w:r w:rsidRPr="0026452D">
        <w:rPr>
          <w:rStyle w:val="NumeroAFNegritaCaracter"/>
        </w:rPr>
        <w:t>3</w:t>
      </w:r>
      <w:r>
        <w:t>. La Mesa del Senado, por escrito de su Presidente de 28 de abril de 2004, acordó dar por personada a esa Cámara y por ofrecida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4</w:t>
      </w:r>
      <w:r>
        <w:t>. La Mesa del Congreso de los Diputados, por escrito de su Presidente de 30 de abril de 2004, acordó no personarse en el proceso ni formular alegaciones.</w:t>
      </w:r>
    </w:p>
    <w:p w:rsidR="0026452D" w:rsidRDefault="0026452D" w:rsidP="0026452D">
      <w:pPr>
        <w:pStyle w:val="TextoNormal"/>
      </w:pPr>
    </w:p>
    <w:p w:rsidR="0026452D" w:rsidRDefault="0026452D" w:rsidP="0026452D">
      <w:pPr>
        <w:pStyle w:val="TextoNormal"/>
      </w:pPr>
      <w:r w:rsidRPr="0026452D">
        <w:rPr>
          <w:rStyle w:val="NumeroAFNegritaCaracter"/>
        </w:rPr>
        <w:t>5</w:t>
      </w:r>
      <w:r>
        <w:t>. La Junta General del Principado de Asturias, representada por su Letrado Mayor, por escrito de 3 de mayo de 2004, acordó su personación en el proceso, sin formular alegaciones, y ofrecer su colaboración a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6</w:t>
      </w:r>
      <w:r>
        <w:t>. El Abogado del Estado, por escrito de 5 de mayo de 2004, al amparo de lo establecido en el art. 86 LOTC y con remisión al art. 80 de la misma, solicitó de este Tribunal que acordase tener por desistido parcialmente al Presidente del Gobierno, en relación con la impugnación dirigida contra los números 2 y 3 del art. 10 de la Ley 6/2003, de 30 de diciembre.</w:t>
      </w:r>
    </w:p>
    <w:p w:rsidR="0026452D" w:rsidRDefault="0026452D" w:rsidP="0026452D">
      <w:pPr>
        <w:pStyle w:val="TextoNormal"/>
      </w:pPr>
    </w:p>
    <w:p w:rsidR="0026452D" w:rsidRDefault="0026452D" w:rsidP="0026452D">
      <w:pPr>
        <w:pStyle w:val="TextoNormal"/>
      </w:pPr>
      <w:r w:rsidRPr="0026452D">
        <w:rPr>
          <w:rStyle w:val="NumeroAFNegritaCaracter"/>
        </w:rPr>
        <w:t>7</w:t>
      </w:r>
      <w:r>
        <w:t>. La Sección Tercera del Tribunal, en providencia de 5 de mayo siguiente, acordó incorporar a los autos del escrito presentado por el Abogado del Estado y oír a la Junta General y al Consejo de Gobierno del Principado de Asturias, para que, en el plazo de cinco días, expusieren lo que estimasen conveniente sobre el desistimiento parcial del recurso. Y, en escrito de 12 de mayo de 2004, la Letrada del Servicio Jurídico del Principado de Asturias, en nombre y representación del Consejo de Gobierno, manifestó su conformidad con el desistimiento parcial, e interesa del Tribunal el levantamiento de la suspensión en relación a los preceptos que no han sido objeto de desistimiento.</w:t>
      </w:r>
    </w:p>
    <w:p w:rsidR="0026452D" w:rsidRDefault="0026452D" w:rsidP="0026452D">
      <w:pPr>
        <w:pStyle w:val="TextoNormal"/>
      </w:pPr>
    </w:p>
    <w:p w:rsidR="0026452D" w:rsidRDefault="0026452D" w:rsidP="0026452D">
      <w:pPr>
        <w:pStyle w:val="TextoNormal"/>
      </w:pPr>
      <w:r w:rsidRPr="0026452D">
        <w:rPr>
          <w:rStyle w:val="NumeroAFNegritaCaracter"/>
        </w:rPr>
        <w:t>8</w:t>
      </w:r>
      <w:r>
        <w:t>. En fecha 13 de mayo de 2004 tuvo entrada en el Tribunal el escrito de alegaciones de la Letrada del Servicio Jurídico del Principado de Asturias, en el que se solicita la desestimación del presente recurso de inconstitucionalidad por las razones que a continuación se exponen resumidamente.</w:t>
      </w:r>
    </w:p>
    <w:p w:rsidR="0026452D" w:rsidRDefault="0026452D" w:rsidP="0026452D">
      <w:pPr>
        <w:pStyle w:val="TextoNormal"/>
      </w:pPr>
    </w:p>
    <w:p w:rsidR="0026452D" w:rsidRDefault="0026452D" w:rsidP="0026452D">
      <w:pPr>
        <w:pStyle w:val="TextoNormal"/>
      </w:pPr>
      <w:r>
        <w:t xml:space="preserve">a) Considera la representación procesal de la Comunidad Autónoma que los apartados 2 y 3 del art. 10 de la Ley 6/2003, de 30 de diciembre, encuentran amparo en las competencias que a la misma atribuye el art. 17 del Estatuto de Autonomía, pues la Ley 4/1980, de 10 de enero, del estatuto de la radio y la televisión y la Ley 46/1983, de 26 de diciembre, reguladora del tercer canal de televisión, no son normas atributivas de competencias, sino que se trata de normas delimitadoras o definidoras, que constituyen el marco legislativo estatal de carácter básico dentro del cual pueden asumirse las competencias en los Estatutos de Autonomía y pueden ejercerse las competencias autonómicas, en virtud de la propia remisión que hace el art. 17 del Estatuto de Autonomía y sobre la base de lo dispuesto en el art. </w:t>
      </w:r>
      <w:r>
        <w:lastRenderedPageBreak/>
        <w:t>149.1.27 CE. En este marco, el art. 2.3 de la Ley 4/1980 prevé que las Comunidades Autónomas dispongan la organización y funcionamiento del tercer canal regional y de la radiodifusión sonora y la televisión de acuerdo con los criterios con los que se organiza y funciona el ente público Radio Televisión Española (RTVE), que se contienen en las secciones I a V del capítulo II al que se remite; de este modo el propio art. 2.3 expresa, de manera muy indeterminada, que el contenido de estas secciones contiene “criterios” que, si bien, tienen carácter básico, en cuanto tales criterios no son ni pueden ser absolutos, completos y exhaustivos, sino que requieren adaptación e interpretación para ajustar unas normas que han sido concebidas para un organismo específico, como es el ente público RTVE, a la realidad de las Comunidades Autónomas.</w:t>
      </w:r>
    </w:p>
    <w:p w:rsidR="0026452D" w:rsidRDefault="0026452D" w:rsidP="0026452D">
      <w:pPr>
        <w:pStyle w:val="TextoNormal"/>
      </w:pPr>
    </w:p>
    <w:p w:rsidR="0026452D" w:rsidRDefault="0026452D" w:rsidP="0026452D">
      <w:pPr>
        <w:pStyle w:val="TextoNormal"/>
      </w:pPr>
      <w:r>
        <w:t>En este contexto y con respecto a la designación de los miembros del Consejo de Administración, las Comunidades Autónomas pueden llevar a cabo una adaptación de los criterios básicos, en la que tienen cabida ciertas diferencias respecto al régimen contenido en la Ley 4/1980, por lo que no es posible proclamar la taxatividad de lo dispuesto en los arts. 5 a 12 de la Ley 4/1980; y el propio Tribunal ha reconocido que existen dos niveles de intensidad en la delimitación por parte del Estado del ámbito de ejercicio de las competencias autonómicas para organizar su sistema institucional de medios de comunicación social (SSTC 10/1982, FJ 2 y 146/1993, FJ 2). El criterio básico estatal, asumido como procedimiento ordinario y general en la designación del Consejo de Administración del Ente Público de Comunicación del Principado de Asturias, no impide que las Comunidades Autónomas puedan desarrollarlo y disponer regulaciones extraordinarias que lo complementen en situaciones excepcionales, que no han sido previstas en dichos criterios básicos de carácter general, siempre y cuando se encuentren debidamente fundamentadas y justificadas, como es el caso del art. 10 de la Ley autonómica. Se afirma, finalmente, en relación con la afirmación contenida en la demanda de que el carácter básico se extiende tanto a la ordenación ordinaria de una materia como a las excepciones que el propio Estado establezca de la misma, que esto no implica que las Comunidades Autónomas no puedan introducir una ordenación extraordinaria en ejercicio de sus competencias de desarrollo sobre la ordenación ordinaria que se haya establecido con carácter básico.</w:t>
      </w:r>
    </w:p>
    <w:p w:rsidR="0026452D" w:rsidRDefault="0026452D" w:rsidP="0026452D">
      <w:pPr>
        <w:pStyle w:val="TextoNormal"/>
      </w:pPr>
    </w:p>
    <w:p w:rsidR="0026452D" w:rsidRDefault="0026452D" w:rsidP="0026452D">
      <w:pPr>
        <w:pStyle w:val="TextoNormal"/>
      </w:pPr>
      <w:r>
        <w:t>b) En lo que respecta a la supuesta inconstitucionalidad del art. 11 de la Ley autonómica, en el inciso impugnado, considera el representante autonómico que no resulta aceptable la interpretación que el Abogado del Estado efectúa de los dos supuestos reguladores contenidos en el precepto, pues considera que la excepción a la regla general de colegiación es una y única para todos los empleados públicos, e incluye con carácter general la totalidad de los servicios susceptibles de ser prestados por dichos empleados; esto es, la excepción de colegiación comprende a todos los empleados públicos de la Administración del Principado, cuando actúan en el ejercicio de su función o empleo de carácter público para esta Administración, por lo que la regulación recurrida no incide en la obligatoriedad de la colegiación con alcance general en profesiones concretas y fuera del espacio de las relaciones de servicio de la Administración del Principado de Asturias con su personal.</w:t>
      </w:r>
    </w:p>
    <w:p w:rsidR="0026452D" w:rsidRDefault="0026452D" w:rsidP="0026452D">
      <w:pPr>
        <w:pStyle w:val="TextoNormal"/>
      </w:pPr>
    </w:p>
    <w:p w:rsidR="0026452D" w:rsidRDefault="0026452D" w:rsidP="0026452D">
      <w:pPr>
        <w:pStyle w:val="TextoNormal"/>
      </w:pPr>
      <w:r>
        <w:t xml:space="preserve">A juicio del Letrado autonómico, el carácter básico o esencial de la obligatoriedad de colegiación de los empleados públicos no se deduce ni del art. 36 ni del art. 149 CE, ni de ninguna disposición en la que el Estado haya hecho uso de tal potestad normativa. A mayor abundamiento, la Ley 7/1997, de 14 de abril, de modificación de la Ley 2/1974, de 13 de febrero, de colegios profesionales, en su disposición adicional segunda precisa cuáles son </w:t>
      </w:r>
      <w:r>
        <w:lastRenderedPageBreak/>
        <w:t>los artículos de la Ley 2/1974, de 13 de febrero, que tienen el carácter de legislación básica dictada al amparo de las cláusulas 1 y 18 del art. 149.1 CE, y en la relación de preceptos básicos no aparece incluido el art. 1.3, por lo que al amparo del art. 149.1.18 CE no puede añadirse más espacio a la reserva estatal del contenido de la disposición final segunda.</w:t>
      </w:r>
    </w:p>
    <w:p w:rsidR="0026452D" w:rsidRDefault="0026452D" w:rsidP="0026452D">
      <w:pPr>
        <w:pStyle w:val="TextoNormal"/>
      </w:pPr>
    </w:p>
    <w:p w:rsidR="0026452D" w:rsidRDefault="0026452D" w:rsidP="0026452D">
      <w:pPr>
        <w:pStyle w:val="TextoNormal"/>
      </w:pPr>
      <w:r>
        <w:t>A juicio del representante autonómico, la potestad normativa sobre la colegiación de los empleados públicos no sólo reside en el título competencial sobre “colegios profesionales”, sino que dicho título se complementa con el título competencial sobre “función pública”, lo que implica que sobre la colegiación del personal al servicio de la Administración del Estado corresponderá decidir al legislador estatal, y sobre la colegiación del personal al servicio de las Comunidades Autónomas, al legislador autonómico, dentro del respeto a las bases del régimen jurídico de los empleados públicos cuya competencia ostenta el Estado y en la que no se encuentra referencia alguna a la colegiación obligatoria para ninguna profesión.</w:t>
      </w:r>
    </w:p>
    <w:p w:rsidR="0026452D" w:rsidRDefault="0026452D" w:rsidP="0026452D">
      <w:pPr>
        <w:pStyle w:val="TextoNormal"/>
      </w:pPr>
    </w:p>
    <w:p w:rsidR="0026452D" w:rsidRDefault="0026452D" w:rsidP="0026452D">
      <w:pPr>
        <w:pStyle w:val="TextoNormal"/>
      </w:pPr>
      <w:r>
        <w:t>La competencia estatal sobre las “bases del régimen jurídico de las Administraciones públicas” (art. 149.1.18) se circunscribe a la fijación de los criterios básicos en materia de organización y competencia de los colegios profesionales (SSTC 20/1998, de 27 de enero, 76/1983, de 5 de agosto y 87/1989, de 11 de mayo). Y en cuanto a la alegada aplicación del art. 149.1.1 CE, considera el Letrado autonómico que resulta difícil entender que la determinación de la no obligatoriedad de colegiación obstaculice el ejercicio del derecho contemplado en el art. 35 CE, pues, en su caso, podría defenderse lo contrario, pero lo que nunca puede asumirse es que el levantamiento de un obstáculo legal para el ejercicio profesional pueda incidir en las condiciones básicas de ejercicio de un derecho. Pone de relieve la representación autonómica que, cuando el Estado ha tenido oportunidad de determinar “las condiciones básicas del ejercicio del derecho” ha omitido tal posibilidad, lo que no es sino una demostración de la inexistencia de tal competencia estatal, poniendo como ejemplo la Ley 30/1999, de 5 de octubre, de selección y provisión de plazas de personal estatutario de los servicios de salud, que excluyó la exigencia de colegiación como requisito necesario para obtener el nombramiento como personal estatutario fijo del Sistema Nacional de Salud, o la Ley 55/2003, de 16 de diciembre, del estatuto marco del personal estatutario de los servicios de salud, que ha omitido cualquier exigencia de colegiación obligatoria en orden a la adquisición de la condición de personal estatutario fijo. No puede defenderse, por tanto, que nos hallemos ante un supuesto de garantía de igualdad en las condiciones básicas para el ejercicio de los derechos, cuando expresamente se excepcionan colectivos (así, médicos militares), y el hecho de que otras normas autonómicas, como las de Cantabria, País Vasco y La Rioja no hayan sido impugnadas, abona también esta idea.</w:t>
      </w:r>
    </w:p>
    <w:p w:rsidR="0026452D" w:rsidRDefault="0026452D" w:rsidP="0026452D">
      <w:pPr>
        <w:pStyle w:val="TextoNormal"/>
      </w:pPr>
    </w:p>
    <w:p w:rsidR="0026452D" w:rsidRDefault="0026452D" w:rsidP="0026452D">
      <w:pPr>
        <w:pStyle w:val="TextoNormal"/>
      </w:pPr>
      <w:r>
        <w:t>Corresponde, pues, al legislador y a la Administración pública competente por razón de la relación funcionarial, determinar con carácter general en qué supuestos y condiciones puede excluirse la obligación de colegiación, por tratarse de un ejercicio profesional al servicio de la propia Administración e integrado en una organización administrativa con su inseparable carácter público.</w:t>
      </w:r>
    </w:p>
    <w:p w:rsidR="0026452D" w:rsidRDefault="0026452D" w:rsidP="0026452D">
      <w:pPr>
        <w:pStyle w:val="TextoNormal"/>
      </w:pPr>
    </w:p>
    <w:p w:rsidR="0026452D" w:rsidRDefault="0026452D" w:rsidP="0026452D">
      <w:pPr>
        <w:pStyle w:val="TextoNormal"/>
      </w:pPr>
      <w:r>
        <w:t>El texto de las alegaciones concluye con la solicitud, en otrosí, de que se acuerde el inmediato levantamiento de la suspensión de la disposición impugnada, sin perjuicio de las alegaciones que, con mayor fundamento, se realicen en el momento procesal adecuado.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9</w:t>
      </w:r>
      <w:r>
        <w:t>. Próximo a finalizar el plazo de los cinco meses que señala el art. 161.2 CE desde que se produjo la suspensión de los preceptos impugnados en este recurso de inconstitucionalidad, la Sección Tercera acordó, mediante providencia de 25 de mayo de 2004, conceder a las partes personadas un plazo de cinco días para que expusieran lo que considerasen conveniente acerca del mantenimiento o levantamiento de la suspensión.</w:t>
      </w:r>
    </w:p>
    <w:p w:rsidR="0026452D" w:rsidRDefault="0026452D" w:rsidP="0026452D">
      <w:pPr>
        <w:pStyle w:val="TextoNormal"/>
      </w:pPr>
    </w:p>
    <w:p w:rsidR="0026452D" w:rsidRDefault="0026452D" w:rsidP="0026452D">
      <w:pPr>
        <w:pStyle w:val="TextoNormal"/>
      </w:pPr>
      <w:r>
        <w:t>Evacuando el trámite conferido, el Abogado del Estado presentó, el 1 de junio de 2004, escrito en el que se recuerda que en fecha 4 de mayo fue presentado por esa representación escrito solicitando se acordase tener por desistido al Presidente del Gobierno de la Nación en lo relativo a los números 2 y 3 del art. 10 de la Ley del Principado de Asturias 6/2003, de 30 de diciembre, y se señala que no se formulan alegaciones sobre el mantenimiento o levantamiento de la suspensión, ni sobre el referido precepto pendiente de acuerdo de desistimiento, ni sobre el inciso recurrido del art. 11 de la ley autonómica. En fecha 3 de junio de 2004, tuvo entrada el escrito de la Letrada del Servicio Jurídico del Principado de Asturias, que postulaba el levantamiento de la suspensión.</w:t>
      </w:r>
    </w:p>
    <w:p w:rsidR="0026452D" w:rsidRDefault="0026452D" w:rsidP="0026452D">
      <w:pPr>
        <w:pStyle w:val="TextoNormal"/>
      </w:pPr>
    </w:p>
    <w:p w:rsidR="0026452D" w:rsidRDefault="0026452D" w:rsidP="0026452D">
      <w:pPr>
        <w:pStyle w:val="TextoNormal"/>
      </w:pPr>
      <w:r w:rsidRPr="0026452D">
        <w:rPr>
          <w:rStyle w:val="NumeroAFNegritaCaracter"/>
        </w:rPr>
        <w:t>10</w:t>
      </w:r>
      <w:r>
        <w:t>. Mediante el ATC 234/2004, de 7 de junio, el Tribunal acordó tener por desistido parcialmente al Abogado del Estado, en la representación que legalmente ostenta, de la impugnación de los números 2 y 3 del art. 10 de la Ley del Principado de Asturias 6/2003, de 30 de diciembre, de medidas presupuestarias, administrativas y fiscales, y dejar sin efecto la suspensión de la aplicación y vigencia de los mencionados apartados del citado precepto legal, manteniéndose el recurso de inconstitucionalidad en cuanto a la impugnación del inciso “ni para la realización de actividades por cuenta de aquéllos, correspondientes a su profesión” de su art. 11. Esta decisión fue publicada en el “Boletín Oficial del Estado” de 29 de junio de 2004.</w:t>
      </w:r>
    </w:p>
    <w:p w:rsidR="0026452D" w:rsidRDefault="0026452D" w:rsidP="0026452D">
      <w:pPr>
        <w:pStyle w:val="TextoNormal"/>
      </w:pPr>
    </w:p>
    <w:p w:rsidR="0026452D" w:rsidRDefault="0026452D" w:rsidP="0026452D">
      <w:pPr>
        <w:pStyle w:val="TextoNormal"/>
      </w:pPr>
      <w:r>
        <w:t>En el posterior ATC 240/2004, de 29 de junio, el Tribunal acordó levantar la suspensión de la vigencia y aplicación del mencionado inciso del art. 11 de la Ley, decisión que fue publicada en el “Boletín Oficial del Estado” de 20 de julio de 2004.</w:t>
      </w:r>
    </w:p>
    <w:p w:rsidR="0026452D" w:rsidRDefault="0026452D" w:rsidP="0026452D">
      <w:pPr>
        <w:pStyle w:val="TextoNormal"/>
      </w:pPr>
    </w:p>
    <w:p w:rsidR="0026452D" w:rsidRDefault="0026452D" w:rsidP="0026452D">
      <w:pPr>
        <w:pStyle w:val="TextoNormal"/>
      </w:pPr>
      <w:r w:rsidRPr="0026452D">
        <w:rPr>
          <w:rStyle w:val="NumeroAFNegritaCaracter"/>
        </w:rPr>
        <w:t>11</w:t>
      </w:r>
      <w:r>
        <w:t>. Por providencia de 26 de febrero de 2013 se acordó señalar para deliberación y votación de la presente Sentencia el día 28 del mismo mes y año, trámite que ha finalizado en el día de hoy.</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Tras haberse producido el desistimiento parcial que se refleja en los antecedentes de esta resolución, el presente recurso de inconstitucionalidad, interpuesto por el Presidente del Gobierno de la Nación, se dirige contra el inciso final del art. 11 de la Ley del Principado de Asturias 6/2003, de 30 de diciembre. El precepto dispone: “El personal al servicio de la Administración Pública del Principado de Asturias, sus organismos y entes públicos, cualquiera que sea la naturaleza de su relación de servicio, no necesitará estar incorporado al colegio profesional correspondiente para el ejercicio de sus funciones administrativas, ni para la realización de actividades por cuenta de aquéllos, correspondientes a su profesión.” La impugnación se ciñe al inciso “ni para la realización de actividades por cuenta de aquéllos”.</w:t>
      </w:r>
    </w:p>
    <w:p w:rsidR="0026452D" w:rsidRDefault="0026452D" w:rsidP="0026452D">
      <w:pPr>
        <w:pStyle w:val="TextoNormal"/>
      </w:pPr>
    </w:p>
    <w:p w:rsidR="0026452D" w:rsidRDefault="0026452D" w:rsidP="0026452D">
      <w:pPr>
        <w:pStyle w:val="TextoNormal"/>
      </w:pPr>
      <w:r>
        <w:t>El Abogado del Estado considera que el inciso impugnado, en cuanto exime de colegiación a los empleados públicos autonómicos para el ejercicio de actividades profesionales por cuenta de la Administración del Principado, pero dirigidas a ciudadanos o terceros destinatarios, vulnera la competencia que corresponde al Estado, en virtud de lo dispuesto en el art. 149.1.1 y 18 de la Constitución para establecer con carácter básico los supuestos de colegiación profesional obligatoria y sus excepciones, así como la legislación básica estatal en la materia.</w:t>
      </w:r>
    </w:p>
    <w:p w:rsidR="0026452D" w:rsidRDefault="0026452D" w:rsidP="0026452D">
      <w:pPr>
        <w:pStyle w:val="TextoNormal"/>
      </w:pPr>
    </w:p>
    <w:p w:rsidR="0026452D" w:rsidRDefault="0026452D" w:rsidP="0026452D">
      <w:pPr>
        <w:pStyle w:val="TextoNormal"/>
      </w:pPr>
      <w:r>
        <w:t>La representación procesal de la Comunidad Autónoma afirma, por el contrario, que el inciso impugnado regula la actuación profesional de los empleados públicos autonómicos cuando ejercen funciones o desarrollan su actividad en el ámbito del servicio público y bajo dependencia de la Administración autonómica, por lo que la competencia ejercida es la que corresponde a la Comunidad Autónoma en materia de función pública, dentro del respeto a las bases estatales en materia de régimen jurídico de los empleados públicos, siendo así que en las bases estatales dictadas en esta materia no se encuentra referencia alguna a la colegiación obligatoria, por lo que no se ha producido la mencionada invasión competencial.</w:t>
      </w:r>
    </w:p>
    <w:p w:rsidR="0026452D" w:rsidRDefault="0026452D" w:rsidP="0026452D">
      <w:pPr>
        <w:pStyle w:val="TextoNormal"/>
      </w:pPr>
    </w:p>
    <w:p w:rsidR="0026452D" w:rsidRDefault="0026452D" w:rsidP="0026452D">
      <w:pPr>
        <w:pStyle w:val="TextoNormal"/>
      </w:pPr>
      <w:r w:rsidRPr="0026452D">
        <w:rPr>
          <w:rStyle w:val="NumeroAFNegritaCaracter"/>
        </w:rPr>
        <w:t>2</w:t>
      </w:r>
      <w:r>
        <w:t>. Una vez expuestas sintéticamente las posiciones de las partes que se enfrentan en este proceso, resulta conveniente realizar algunas precisiones de orden procesal, antes de proceder al examen de la cuestión de fondo.</w:t>
      </w:r>
    </w:p>
    <w:p w:rsidR="0026452D" w:rsidRDefault="0026452D" w:rsidP="0026452D">
      <w:pPr>
        <w:pStyle w:val="TextoNormal"/>
      </w:pPr>
    </w:p>
    <w:p w:rsidR="0026452D" w:rsidRDefault="0026452D" w:rsidP="0026452D">
      <w:pPr>
        <w:pStyle w:val="TextoNormal"/>
      </w:pPr>
      <w:r>
        <w:t>En lo que respecta a la pervivencia del proceso, debe señalarse que la Ley 6/2003, de 30 de diciembre, fue modificada por la disposición final primera de la Ley asturiana 6/2004, de 28 de diciembre, únicamente en lo relativo a su denominación, que pasó a ser la de “Ley de acompañamiento a los Presupuestos Generales para 2004”; y ha sido asimismo objeto de algunas reformas puntuales que no han afectado al art. 11, objeto del presente recurso, el cual mantiene su redacción original, por lo que subsiste la controversia en los términos en que ha sido planteada.</w:t>
      </w:r>
    </w:p>
    <w:p w:rsidR="0026452D" w:rsidRDefault="0026452D" w:rsidP="0026452D">
      <w:pPr>
        <w:pStyle w:val="TextoNormal"/>
      </w:pPr>
    </w:p>
    <w:p w:rsidR="0026452D" w:rsidRDefault="0026452D" w:rsidP="0026452D">
      <w:pPr>
        <w:pStyle w:val="TextoNormal"/>
      </w:pPr>
      <w:r>
        <w:t xml:space="preserve">Tratándose de un recurso en el que se ventilan únicamente cuestiones de índole competencial, es necesario tener en cuenta que, de acuerdo con nuestra doctrina sobre el </w:t>
      </w:r>
      <w:r w:rsidRPr="0026452D">
        <w:rPr>
          <w:i/>
        </w:rPr>
        <w:t>ius superveniens</w:t>
      </w:r>
      <w:r>
        <w:t xml:space="preserve"> en procesos de naturaleza competencial, nuestro control ha de hacerse de acuerdo con el bloque de constitucionalidad y con las demás normas que operan como parámetro de enjuiciamiento que estén vigentes en el momento de dictar sentencia (por todas, STC 148/2012, de 5 de julio, FJ 2). En este sentido, hemos de tener presente que la Ley estatal 2/1974, de 13 de febrero, sobre colegios profesionales, invocada por el Abogado del Estado como norma básica de contraste, ha sido reformada por la Ley 25/2009, de 22 de diciembre, de modificación de diversas leyes para su adaptación a la Ley sobre el libre acceso a las actividades de servicios y su ejercicio, disposición esta última que deviene, pues, en parámetro para resolver la controversia planteada.</w:t>
      </w:r>
    </w:p>
    <w:p w:rsidR="0026452D" w:rsidRDefault="0026452D" w:rsidP="0026452D">
      <w:pPr>
        <w:pStyle w:val="TextoNormal"/>
      </w:pPr>
    </w:p>
    <w:p w:rsidR="0026452D" w:rsidRDefault="0026452D" w:rsidP="0026452D">
      <w:pPr>
        <w:pStyle w:val="TextoNormal"/>
      </w:pPr>
      <w:r w:rsidRPr="0026452D">
        <w:rPr>
          <w:rStyle w:val="NumeroAFNegritaCaracter"/>
        </w:rPr>
        <w:t>3</w:t>
      </w:r>
      <w:r>
        <w:t>. También con carácter previo al examen de fondo, debemos dar respuesta a la alegación formulada por el Consejo de Gobierno del Principado de Asturias sobre la inexistencia de una auténtica controversia competencial que sustente el presente recurso de inconstitucionalidad.</w:t>
      </w:r>
    </w:p>
    <w:p w:rsidR="0026452D" w:rsidRDefault="0026452D" w:rsidP="0026452D">
      <w:pPr>
        <w:pStyle w:val="TextoNormal"/>
      </w:pPr>
    </w:p>
    <w:p w:rsidR="0026452D" w:rsidRDefault="0026452D" w:rsidP="0026452D">
      <w:pPr>
        <w:pStyle w:val="TextoNormal"/>
      </w:pPr>
      <w:r>
        <w:lastRenderedPageBreak/>
        <w:t>Para el Abogado del Estado, la exención de colegiación resulta admisible en lo que respecta al ejercicio por los empleados públicos de funciones administrativas propias del puesto o cargo y que se realicen bajo la tutela de la Administración pública, pero no puede extenderse al ejercicio por los empleados públicos de una actividad profesional por cuenta de la Administración pública que tenga como objeto a terceros destinatarios del servicio público, siendo este último supuesto el que determina la vulneración de las competencias estatales.</w:t>
      </w:r>
    </w:p>
    <w:p w:rsidR="0026452D" w:rsidRDefault="0026452D" w:rsidP="0026452D">
      <w:pPr>
        <w:pStyle w:val="TextoNormal"/>
      </w:pPr>
    </w:p>
    <w:p w:rsidR="0026452D" w:rsidRDefault="0026452D" w:rsidP="0026452D">
      <w:pPr>
        <w:pStyle w:val="TextoNormal"/>
      </w:pPr>
      <w:r>
        <w:t>La representación autonómica considera que el inciso impugnado admite una interpretación conforme con lo señalado por el representante estatal, en cuanto entiende que la excepción a la regla de colegiación que el precepto contiene es una y única para todos los empleados públicos e incluye la totalidad de los servicios susceptibles de ser prestados por dichos empleados públicos cuando actúan en el ejercicio de una función o empleo de carácter público para dicha Administración, por lo que dicha regulación no afecta a la obligatoriedad de colegiación para el ejercicio profesional fuera del espacio de las relaciones de servicio de la Administración autonómica con su personal y, en consecuencia, no se produce la alegada vulneración competencial.</w:t>
      </w:r>
    </w:p>
    <w:p w:rsidR="0026452D" w:rsidRDefault="0026452D" w:rsidP="0026452D">
      <w:pPr>
        <w:pStyle w:val="TextoNormal"/>
      </w:pPr>
    </w:p>
    <w:p w:rsidR="0026452D" w:rsidRDefault="0026452D" w:rsidP="0026452D">
      <w:pPr>
        <w:pStyle w:val="TextoNormal"/>
      </w:pPr>
      <w:r>
        <w:t>Este planteamiento ha sido expresamente rechazado por este Tribunal en la reciente STC 3/2013, de 17 de enero, entendiendo que “con independencia de la interpretación que se haga, … lo que está en discusión es la competencia de la Comunidad Autónoma … para eximir de la colegiación a los funcionarios, personal estatutario y laboral que realizan su actividad profesional al servicio exclusivo de las Administraciones autonómicas, cuando dicha actividad va destinada a terceros usuarios del servicio público. Es ésta la competencia que la Comunidad Autónoma afirma tener, y que el Estado rechaza. Existe, pues, un debate competencial” (FJ 4).</w:t>
      </w:r>
    </w:p>
    <w:p w:rsidR="0026452D" w:rsidRDefault="0026452D" w:rsidP="0026452D">
      <w:pPr>
        <w:pStyle w:val="TextoNormal"/>
      </w:pPr>
    </w:p>
    <w:p w:rsidR="0026452D" w:rsidRDefault="0026452D" w:rsidP="0026452D">
      <w:pPr>
        <w:pStyle w:val="TextoNormal"/>
      </w:pPr>
      <w:r w:rsidRPr="0026452D">
        <w:rPr>
          <w:rStyle w:val="NumeroAFNegritaCaracter"/>
        </w:rPr>
        <w:t>4</w:t>
      </w:r>
      <w:r>
        <w:t>. Entrando en el examen de la cuestión de fondo, y tratándose de un recurso de carácter fundamentalmente competencial, debemos comenzar por el encuadramiento competencial del precepto controvertido. Ambas partes coinciden en considerar que la materia regulada se inserta en el ámbito de las competencias sobre “colegios profesionales”, si bien la Comunidad Autónoma afirma, además, que dicho título se interfiere y complementa con el referente a la “función pública”.</w:t>
      </w:r>
    </w:p>
    <w:p w:rsidR="0026452D" w:rsidRDefault="0026452D" w:rsidP="0026452D">
      <w:pPr>
        <w:pStyle w:val="TextoNormal"/>
      </w:pPr>
    </w:p>
    <w:p w:rsidR="0026452D" w:rsidRDefault="0026452D" w:rsidP="0026452D">
      <w:pPr>
        <w:pStyle w:val="TextoNormal"/>
      </w:pPr>
      <w:r>
        <w:t>En la antes citada STC 3/2013, de 17 de enero, ya afirmamos que la materia regulada se inserta en el título competencial relativo a “colegios profesionales”, en cuanto “contiene … la excepción a una regla general que sirve como elemento definitorio de la institución colegial a la que se pertenece en razón de la actividad profesional que se realiza. Por ello debe quedar encuadrado en el título competencial al que responde dicha normativa, es decir, el de colegios profesionales”, y descartamos su inserción en el ámbito material de la función pública, pues “el título competencial sobre función pública debe considerarse meramente incidental, no sólo porque, como es jurisprudencia de este Tribunal, debe primar la regla competencial específica sobre la más genérica (SSTC 87/1987, FJ 2; 152/2003, FJ 7; y 212/2005, FJ 3, entre otras) —si bien a este criterio no se le puede atribuir un valor absoluto (SSTC 197/1996, FJ 4; y 14/2004, FJ 5)— sino también porque el título de función pública solo sería de aplicación preferente en el caso de los Colegios Profesionales integrados exclusivamente por funcionarios públicos o por quienes ejercen funciones públicas (STC 87/1989, FJ 3), lo que no ocurre en el presente caso” (FJ 5).</w:t>
      </w:r>
    </w:p>
    <w:p w:rsidR="0026452D" w:rsidRDefault="0026452D" w:rsidP="0026452D">
      <w:pPr>
        <w:pStyle w:val="TextoNormal"/>
      </w:pPr>
    </w:p>
    <w:p w:rsidR="0026452D" w:rsidRDefault="0026452D" w:rsidP="0026452D">
      <w:pPr>
        <w:pStyle w:val="TextoNormal"/>
      </w:pPr>
      <w:r>
        <w:t>La competencia autonómica en esta materia se contiene en el art. 11.9 del Estatuto de Autonomía del Principado de Asturias, conforme al cual, en el marco de la legislación básica del Estado y, en su caso, en los términos que la misma establezca, corresponde a ésta el desarrollo legislativo y la ejecución en materia de “Corporaciones de derecho público representativas de intereses económicos y profesionales. Ejercicio de profesiones tituladas”.</w:t>
      </w:r>
    </w:p>
    <w:p w:rsidR="0026452D" w:rsidRDefault="0026452D" w:rsidP="0026452D">
      <w:pPr>
        <w:pStyle w:val="TextoNormal"/>
      </w:pPr>
    </w:p>
    <w:p w:rsidR="0026452D" w:rsidRDefault="0026452D" w:rsidP="0026452D">
      <w:pPr>
        <w:pStyle w:val="TextoNormal"/>
      </w:pPr>
      <w:r>
        <w:t>La competencia del Estado para regular los colegios profesionales —en los términos señalados en el mismo fundamento jurídico de la STC 3/2013, de 17 de enero— “viene dada por el art. 149.1.18 CE, que le permite fijar los principios y reglas básicas de este tipo de entidades corporativas … Aun cuando los colegios profesionales se constituyen para defender primordialmente los intereses privados de sus miembros, tiene también una dimensión pública que les equipara a las Administraciones Públicas de carácter territorial aunque a los solos aspectos organizativos y competenciales en los que ésta se concreta y singulariza [SSTC 76/1983, de 5 de agosto, FJ 26; 20/1988, de 18 de febrero, FJ 4; 87/89, de 11 de mayo, FJ 3 b)]. En definitiva, corresponde al Estado fijar las reglas básicas a que los colegios profesionales han de ajustar su organización y competencias, aunque con menor extensión e intensidad que cuando se refiere a las Administraciones públicas en sentido estricto (STC 31/2010, de 28 de junio, FJ 71)”.</w:t>
      </w:r>
    </w:p>
    <w:p w:rsidR="0026452D" w:rsidRDefault="0026452D" w:rsidP="0026452D">
      <w:pPr>
        <w:pStyle w:val="TextoNormal"/>
      </w:pPr>
    </w:p>
    <w:p w:rsidR="0026452D" w:rsidRDefault="0026452D" w:rsidP="0026452D">
      <w:pPr>
        <w:pStyle w:val="TextoNormal"/>
      </w:pPr>
      <w:r>
        <w:t>A partir de lo anterior, procede pues contrastar el inciso impugnado con lo establecido en la Ley estatal reguladora de los colegios profesionales que, como hemos señalado, es la Ley 2/1974, de 13 de febrero —en la redacción dada por la Ley 25/2009, de 22 de diciembre, de modificación de diversas leyes para su adaptación a la ley sobre el libre acceso a las actividades de servicios y su ejercicio— cuyo art. 3.2 establece: “Será requisito indispensable para el ejercicio de las profesiones hallarse incorporado al colegio profesional correspondiente cuando así lo establezca una ley estatal”. Y en el art. 1.3, también en su redacción vigente, se dispone que “son fines esenciales de estas Corporaciones la ordenación del ejercicio de las profesiones, la representación institucional exclusiva de las mismas cuando estén sujetas a colegiación obligatoria, la defensa de los intereses profesionales de los colegiados y la protección de los intereses de los consumidores y usuarios de los servicios de sus colegiados, todo ello sin perjuicio de la competencia de la Administración Pública por razón de la relación funcionarial”. Conforme a la disposición final primera de la Ley 25/2009, de 22 de diciembre, la modificación de la Ley sobre colegios profesionales se realiza al amparo del art. 149.1.18 y 30 de la Constitución.</w:t>
      </w:r>
    </w:p>
    <w:p w:rsidR="0026452D" w:rsidRDefault="0026452D" w:rsidP="0026452D">
      <w:pPr>
        <w:pStyle w:val="TextoNormal"/>
      </w:pPr>
    </w:p>
    <w:p w:rsidR="0026452D" w:rsidRDefault="0026452D" w:rsidP="0026452D">
      <w:pPr>
        <w:pStyle w:val="TextoNormal"/>
      </w:pPr>
      <w:r>
        <w:t xml:space="preserve">La cuestión a dilucidar se centra pues, esencialmente, en determinar si la excepción prevista con carácter básico en el art. 1.3 de la ley estatal, ampara el ejercicio profesional de los funcionarios y empleados públicos siempre y cuando actúen por cuenta de la Administración pública, y aun en el supuesto de que sus destinatarios sean terceros usuarios de los servicios públicos. A esta cuestión da respuesta la repetida STC 3/2013, de 17 de enero, cuando afirma que “el art. 1.3 de la Ley 2/1974, de 13 de febrero, de colegios profesionales, no contiene una excepción a la regla de colegiación forzosa para los profesionales que ejercen su actividad al servicio de la Administración pública, cuando ésta resulte exigible, pues ello no se desprende del tenor literal del precepto ni obedece al concepto de colegio profesional que acogió la Ley 2/1974, de 13 de febrero, y hoy se mantiene para los colegios profesionales de colegiación obligatoria”. Añadiendo más adelante que “la expresión ‘sin </w:t>
      </w:r>
      <w:r>
        <w:lastRenderedPageBreak/>
        <w:t>perjuicio de la competencia de la Administración pública por razón de la relación funcionarial’, no contiene una exclusión del régimen de colegiación obligatoria de los funcionarios públicos sino, al contrario, una cautela dirigida a garantizar que el ejercicio de las competencias colegiales de ordenación de la profesión que se atribuyen, en exclusiva a los colegios profesionales y, por tanto, a los propios profesionales, no desplaza o impide el ejercicio de las competencias que, como empleadora, la Administración ostenta sin excepción sobre todo su personal, con independencia de que éste realice o no actividades propias de profesiones colegiadas. Una cautela especialmente necesaria en cuanto que la función de ordenación del ejercicio de la profesión que se atribuye a los colegios profesionales en el art. 1.3, no se limita al ‘ejercicio libre’ de la profesión, sino que se extiende ‘al ejercicio de la profesión’ con independencia de que se realice por cuenta propia o ajena” (FJ 6).</w:t>
      </w:r>
    </w:p>
    <w:p w:rsidR="0026452D" w:rsidRDefault="0026452D" w:rsidP="0026452D">
      <w:pPr>
        <w:pStyle w:val="TextoNormal"/>
      </w:pPr>
    </w:p>
    <w:p w:rsidR="0026452D" w:rsidRDefault="0026452D" w:rsidP="0026452D">
      <w:pPr>
        <w:pStyle w:val="TextoNormal"/>
      </w:pPr>
      <w:r>
        <w:t>El anterior razonamiento permite concluir —siguiendo los postulados de la Sentencia— que, dado que el art. 1.3 de la Ley 2/1974, de 13 de febrero, no exime a los empleados públicos de colegiarse cuando realizan las actividades propias de una profesión para cuyo ejercicio se exige la colegiación, la exención del deber de colegiación de los funcionarios, personal estatutario y personal laboral al servicio de las Administraciones públicas del Principado de Asturias, para la realización de actividades por cuenta de la Administración, correspondientes a su profesión, que se contiene en el inciso impugnado, “vulnera lo establecido en el art. 3.2 de la Ley 2/1974, de 13 de febrero, que exige la colegiación forzosa para las profesiones que determine una ley del Estado”.</w:t>
      </w:r>
    </w:p>
    <w:p w:rsidR="0026452D" w:rsidRDefault="0026452D" w:rsidP="0026452D">
      <w:pPr>
        <w:pStyle w:val="TextoNormal"/>
      </w:pPr>
    </w:p>
    <w:p w:rsidR="0026452D" w:rsidRDefault="0026452D" w:rsidP="0026452D">
      <w:pPr>
        <w:pStyle w:val="TextoNormal"/>
      </w:pPr>
      <w:r w:rsidRPr="0026452D">
        <w:rPr>
          <w:rStyle w:val="NumeroAFNegritaCaracter"/>
        </w:rPr>
        <w:t>5</w:t>
      </w:r>
      <w:r>
        <w:t>. Constatada la concurrencia de un supuesto de inconstitucionalidad mediata, o de contradicción de la norma autonómica impugnada con la legislación del Estado, la adecuación de la norma de contraste (la Ley 25/2009, de 22 de diciembre) a las competencias estatales en la materia, es objeto de examen en el texto de la STC 3/2013, de 17 de enero, en la que, por remisión a su vez a lo dispuesto en la STC 330/1994, de 15 de diciembre, FJ 9, viene a concluir que la normativa estatal encuentra cobertura en el art. 149.1.18 CE y en el desarrollo legislativo del art. 36 del texto fundamental, siendo así que “la determinación del régimen de colegiación tiene carácter básico, pues es una condición esencial de la conformación de cada colegio profesional: Ahora bien, dado que en la Ley se limita considerablemente la dimensión pública que tenían estos colegios, sustituyendo sus facultades de autorización y control por la que realicen los organismos competentes de la Administración pública, paralelamente el nivel de lo básico debe ser reducido y, por tanto, de la ordenación dispuesta en el art. 31 sólo han de considerarse básicos la denominación, la ausencia de obligatoriedad en su adscripción y la existencia de un consejo general”.</w:t>
      </w:r>
    </w:p>
    <w:p w:rsidR="0026452D" w:rsidRDefault="0026452D" w:rsidP="0026452D">
      <w:pPr>
        <w:pStyle w:val="TextoNormal"/>
      </w:pPr>
    </w:p>
    <w:p w:rsidR="0026452D" w:rsidRDefault="0026452D" w:rsidP="0026452D">
      <w:pPr>
        <w:pStyle w:val="TextoNormal"/>
      </w:pPr>
      <w:r>
        <w:t>Se afirma asimismo que “el carácter forzoso de la colegiación, como excepción a la libertad general de asociación, debe venir justificado por la relevancia del fin público que se persigue, así como por la dificultad de obtener ese fin sin recurrir a la adscripción forzosa al ente corporativo”. En definitiva, “la competencia estatal para fijar las bases deriva … de la configuración de los colegios profesionales como corporaciones de Derecho público y de la atribución a los mismos de funciones públicas de mayor o menor relevancia para la profesión, y dado que el art. 36 CE no hace reserva de la institución colegial a las profesiones tituladas, la competencia del Estado para definir el modelo de colegio profesional para las profesiones reguladas no tituladas encuentra los mismos límites que cuando la ejerce para las profesiones tituladas (STC 330/1994, FJ 9)” (FJ 7).</w:t>
      </w:r>
    </w:p>
    <w:p w:rsidR="0026452D" w:rsidRDefault="0026452D" w:rsidP="0026452D">
      <w:pPr>
        <w:pStyle w:val="TextoNormal"/>
      </w:pPr>
    </w:p>
    <w:p w:rsidR="0026452D" w:rsidRDefault="0026452D" w:rsidP="0026452D">
      <w:pPr>
        <w:pStyle w:val="TextoNormal"/>
      </w:pPr>
      <w:r>
        <w:lastRenderedPageBreak/>
        <w:t>Por otro lado y en relación con la invocación que realiza el Abogado del Estado a lo dispuesto en el art. 149.1.1 CE, hemos señalado que “resulta necesario analizar si … la exigencia de colegiación forzosa y la determinación de las excepciones que puedan imponerse a la misma, puede considerarse una condición básica en los términos que ésta ha sido definida por la doctrina constitucional”, y, en relación con ello, consideramos que “la colegiación obligatoria para el ejercicio de determinadas profesiones constituye, en definitiva, un límite que se impone al contenido primario del derecho del art. 35.1 CE por ser un requisito necesario para su ejercicio; es también … un límite esencial en la medida en que su exigencia supone la excepción, para quienes eligen una determinada profesión, del derecho fundamental de asociación en su vertiente negativa y, finalmente, resulta imprescindible, pues no se garantizaría el ejercicio del derecho del art. 35.1 CE en condiciones de igualdad, si el resultado del juicio que necesariamente debe realizarse a la vista de los concretos intereses públicos que concurren en cada caso, en cada profesión, y la obligación de elegir la alternativa menos gravosa entre las permitidas en el art. 36 CE, fuera distinta dependiendo del lugar de establecimiento o prestación” (FJ 8).</w:t>
      </w:r>
    </w:p>
    <w:p w:rsidR="0026452D" w:rsidRDefault="0026452D" w:rsidP="0026452D">
      <w:pPr>
        <w:pStyle w:val="TextoNormal"/>
      </w:pPr>
    </w:p>
    <w:p w:rsidR="0026452D" w:rsidRDefault="0026452D" w:rsidP="0026452D">
      <w:pPr>
        <w:pStyle w:val="TextoNormal"/>
      </w:pPr>
      <w:r>
        <w:t>Todo lo expuesto, lleva a la conclusión de que “el inciso impugnado, al eximir de la colegiación obligatoria a los empleados públicos, cuando ejercen la profesión por cuenta de la Administración, establece una excepción no contemplada en la Ley estatal de colegios profesionales …. Siendo competente el Estado para establecer la colegiación obligatoria, lo es también para establecer las excepciones que afectan a los empleados públicos a la vista de los concretos intereses generales que puedan verse afectados” (STC 3/2013, de 17 de enero, FJ 8), motivo por el cual hemos de concluir que el inciso impugnado ha vulnerado las competencias estatales y ello determina, por tanto, su inconstitucionalidad.</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el recurso de inconstitucionalidad núm. 1021-2004, interpuesto por el Presidente del Gobierno contra el inciso “ni para la realización de actividades por cuenta de aquéllos, correspondientes a su profesión” del art. 11 de la Ley del Principado de Asturias 6/2003, de 30 de diciembre, de medidas presupuestarias, administrativas y fiscales, y, en consecuencia, declarar su inconstitucionalidad y nulidad.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veintiocho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54" w:name="SENTENCIA_2013_51"/>
      <w:r>
        <w:lastRenderedPageBreak/>
        <w:t>SENTENCIA 51/2013, de 28 de febrero de 2013</w:t>
      </w:r>
    </w:p>
    <w:bookmarkEnd w:id="54"/>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73, de 26 de marzo de 2013)</w:t>
      </w:r>
    </w:p>
    <w:p w:rsidR="0026452D" w:rsidRDefault="0026452D" w:rsidP="0026452D">
      <w:pPr>
        <w:pStyle w:val="TtuloBOE"/>
      </w:pPr>
    </w:p>
    <w:p w:rsidR="0026452D" w:rsidRDefault="0026452D" w:rsidP="0026452D">
      <w:pPr>
        <w:pStyle w:val="SntesisDescriptiva"/>
      </w:pPr>
      <w:r>
        <w:t>ECLI:ES:TC:2013:51</w:t>
      </w:r>
    </w:p>
    <w:p w:rsidR="0026452D" w:rsidRDefault="0026452D" w:rsidP="0026452D">
      <w:pPr>
        <w:pStyle w:val="SntesisDescriptiva"/>
      </w:pPr>
    </w:p>
    <w:p w:rsidR="0026452D" w:rsidRDefault="0026452D" w:rsidP="0026452D">
      <w:pPr>
        <w:pStyle w:val="SntesisDescriptiva"/>
      </w:pPr>
      <w:r>
        <w:t>Recurso de inconstitucionalidad 5049-2004. Interpuesto por el Consejo de Gobierno de la Región de Murcia, en relación con el Real Decreto-ley 2/2004, de 18 de junio, por el que se modifica la Ley 10/2001, de 5 de julio, del plan hidrológico nacional.</w:t>
      </w:r>
    </w:p>
    <w:p w:rsidR="0026452D" w:rsidRDefault="0026452D" w:rsidP="0026452D">
      <w:pPr>
        <w:pStyle w:val="SntesisDescriptiva"/>
      </w:pPr>
    </w:p>
    <w:p w:rsidR="0026452D" w:rsidRDefault="0026452D" w:rsidP="0026452D">
      <w:pPr>
        <w:pStyle w:val="SntesisAnaltica"/>
      </w:pPr>
      <w:r>
        <w:t>Límites a los decretos leyes: STC 237/2012 (constitucionalidad del decreto ley que deroga las previsiones de la Ley del plan hidrológico nacional relativas al trasvase de aguas del Ebro).</w:t>
      </w:r>
    </w:p>
    <w:p w:rsidR="0026452D" w:rsidRDefault="0026452D" w:rsidP="0026452D">
      <w:pPr>
        <w:pStyle w:val="SntesisAnaltica"/>
      </w:pPr>
    </w:p>
    <w:p w:rsidR="0026452D" w:rsidRDefault="0026452D" w:rsidP="0026452D">
      <w:pPr>
        <w:pStyle w:val="Extracto"/>
      </w:pPr>
      <w:r>
        <w:t>1.</w:t>
      </w:r>
      <w:r>
        <w:tab/>
        <w:t>Puede apreciarse razonablemente la concurrencia de la extraordinaria y urgente necesidad tanto en la derogación de los preceptos de la Ley del plan hidrológico nacional como en las declaraciones de interés general incluidas en el Real Decreto-ley impugnado, ya que, sin entrar a valorar la bondad técnica de dichas medidas ni su oportunidad e idoneidad para paliar las deficiencias hídricas que han aquejado secularmente a las cuencas mediterráneas, podemos afirmar que ni una ni otra representan un uso abusivo del decreto-ley (SSTC 142/1993, 237/2012) [FJ 4].</w:t>
      </w:r>
    </w:p>
    <w:p w:rsidR="0026452D" w:rsidRDefault="0026452D" w:rsidP="0026452D">
      <w:pPr>
        <w:pStyle w:val="Extracto"/>
      </w:pPr>
    </w:p>
    <w:p w:rsidR="0026452D" w:rsidRDefault="0026452D" w:rsidP="0026452D">
      <w:pPr>
        <w:pStyle w:val="Extracto"/>
      </w:pPr>
      <w:r>
        <w:t>2.</w:t>
      </w:r>
      <w:r>
        <w:tab/>
        <w:t xml:space="preserve">El decreto-ley impugnado, que modifica el plan hidrológico nacional y deroga los preceptos relativos al trasvase de aguas del Ebro, satisface el requisito de conexión de sentido, ya que en tanto no se derogasen formalmente dichos preceptos el Gobierno debía llevar a cabo las actuaciones materiales necesarias para cumplimentarlo y destinar a tal fin los fondos precisos, al exigirlo así los principios de legalidad, seguridad jurídica y pleno sometimiento de la acción administrativa a la ley y al Derecho, </w:t>
      </w:r>
      <w:r w:rsidRPr="0026452D">
        <w:rPr>
          <w:i/>
        </w:rPr>
        <w:t>ex</w:t>
      </w:r>
      <w:r>
        <w:t xml:space="preserve"> arts. 9.3 y 103.1 CE, no siendo una alternativa en nuestro ordenamiento constitucional la inaplicación de la ley (STC 237/2012) [FJ 5].</w:t>
      </w:r>
    </w:p>
    <w:p w:rsidR="0026452D" w:rsidRDefault="0026452D" w:rsidP="0026452D">
      <w:pPr>
        <w:pStyle w:val="Extracto"/>
      </w:pPr>
    </w:p>
    <w:p w:rsidR="0026452D" w:rsidRDefault="0026452D" w:rsidP="0026452D">
      <w:pPr>
        <w:pStyle w:val="Extracto"/>
      </w:pPr>
      <w:r>
        <w:t>3.</w:t>
      </w:r>
      <w:r>
        <w:tab/>
        <w:t>El Real Decreto-ley impugnado no ha transgredido los límites materiales de los decretos-leyes puesto que el equilibrio territorial es un objetivo de la política hidráulica establecido por el legislador ordinario carente de todo componente orgánico, por lo que no puede concluirse que la alteración de las determinaciones legislativas cuando concurra el presupuesto habilitante afecte en modo alguno a una institución basilar del Estado constitucional (STC 237/2012) [FJ 8].</w:t>
      </w:r>
    </w:p>
    <w:p w:rsidR="0026452D" w:rsidRDefault="0026452D" w:rsidP="0026452D">
      <w:pPr>
        <w:pStyle w:val="Extracto"/>
      </w:pPr>
    </w:p>
    <w:p w:rsidR="0026452D" w:rsidRDefault="0026452D" w:rsidP="0026452D">
      <w:pPr>
        <w:pStyle w:val="Extracto"/>
      </w:pPr>
      <w:r>
        <w:t>4.</w:t>
      </w:r>
      <w:r>
        <w:tab/>
        <w:t xml:space="preserve">La regulación y funciones del Consejo Nacional del Agua que se contiene en el texto refundido de la Ley de aguas no puede llevarnos a concluir que el legislador infraconstitucional haya podido trascenderse a sí mismo e introducir en el art. 86 CE una limitación procedimental </w:t>
      </w:r>
      <w:r w:rsidRPr="0026452D">
        <w:rPr>
          <w:i/>
        </w:rPr>
        <w:t>ratione materiae</w:t>
      </w:r>
      <w:r>
        <w:t xml:space="preserve"> para la utilización del decreto-ley cuando concurra el presupuesto habilitante (STC 237/2012) [FJ 6].</w:t>
      </w:r>
    </w:p>
    <w:p w:rsidR="0026452D" w:rsidRDefault="0026452D" w:rsidP="0026452D">
      <w:pPr>
        <w:pStyle w:val="Extracto"/>
      </w:pPr>
    </w:p>
    <w:p w:rsidR="0026452D" w:rsidRDefault="0026452D" w:rsidP="0026452D">
      <w:pPr>
        <w:pStyle w:val="Extracto"/>
      </w:pPr>
      <w:r>
        <w:t>5.</w:t>
      </w:r>
      <w:r>
        <w:tab/>
        <w:t xml:space="preserve">A este Tribunal no le corresponde controlar la adecuación de la actividad de los poderes públicos nacionales al Derecho comunitario europeo, pues este control compete a los órganos de la jurisdicción ordinaria, en cuanto aplicadores que son </w:t>
      </w:r>
      <w:r>
        <w:lastRenderedPageBreak/>
        <w:t>del ordenamiento comunitario y, en su caso, al Tribunal de Justicia de la Unión Europea (SSTC 135/2012, 237/2012)  [FJ 6].</w:t>
      </w:r>
    </w:p>
    <w:p w:rsidR="0026452D" w:rsidRDefault="0026452D" w:rsidP="0026452D">
      <w:pPr>
        <w:pStyle w:val="Extracto"/>
      </w:pPr>
    </w:p>
    <w:p w:rsidR="0026452D" w:rsidRDefault="0026452D" w:rsidP="0026452D">
      <w:pPr>
        <w:pStyle w:val="Extracto"/>
      </w:pPr>
      <w:r>
        <w:t>6.</w:t>
      </w:r>
      <w:r>
        <w:tab/>
        <w:t xml:space="preserve">Cuando se enjuicia una norma legal desde la perspectiva de la interdicción de arbitrariedad, </w:t>
      </w:r>
      <w:r w:rsidRPr="0026452D">
        <w:rPr>
          <w:i/>
        </w:rPr>
        <w:t>ex</w:t>
      </w:r>
      <w:r>
        <w:t xml:space="preserve"> art. 9.3 CE, el análisis se ha de centrar en verificar si tal norma establece una discriminación, pues la discriminación entraña siempre arbitrariedad, o bien, si aun no estableciéndola, carece de toda justificación, lo que también supondría una arbitrariedad, sin que sea pertinente un análisis a fondo de todas las motivaciones posibles de la norma y de todas sus eventuales consecuencias (SSTC 104/2000, 19/2013)  [FJ 6].</w:t>
      </w:r>
    </w:p>
    <w:p w:rsidR="0026452D" w:rsidRDefault="0026452D" w:rsidP="0026452D">
      <w:pPr>
        <w:pStyle w:val="Extracto"/>
      </w:pPr>
    </w:p>
    <w:p w:rsidR="0026452D" w:rsidRDefault="0026452D" w:rsidP="0026452D">
      <w:pPr>
        <w:pStyle w:val="Extracto"/>
      </w:pPr>
      <w:r>
        <w:t>7.</w:t>
      </w:r>
      <w:r>
        <w:tab/>
        <w:t>Doctrina sobre el examen de la concurrencia del presupuesto habilitante de la extraordinaria y urgente necesidad de los Decretos-leyes (STC 237/2012) [FFJJ 2 a 8].</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5049-2004, interpuesto por el Consejo de Gobierno de la Región de Murcia, representado por el Letrado de la Comunidad Autónoma de la Región de Murcia, en relación con el Real Decreto-ley 2/2004, de 18 de junio, por el que se modifica la Ley 10/2001, de 5 de julio, del plan hidrológico nacional. Ha comparecido y formulado alegaciones el Abogado del Estado. Ha sido Ponente el Magistrado don Juan José González Rivas,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Constitucional el 29 de julio de 2004 el Letrado de la Comunidad Autónoma de la Región de Murcia interpuso recurso de inconstitucionalidad frente al Real Decreto-ley 2/2004, de 18 de junio, por el que se modifica la Ley 10/2001, de 5 de julio, del plan hidrológico nacional.</w:t>
      </w:r>
    </w:p>
    <w:p w:rsidR="0026452D" w:rsidRDefault="0026452D" w:rsidP="0026452D">
      <w:pPr>
        <w:pStyle w:val="TextoNormal"/>
      </w:pPr>
    </w:p>
    <w:p w:rsidR="0026452D" w:rsidRDefault="0026452D" w:rsidP="0026452D">
      <w:pPr>
        <w:pStyle w:val="TextoNormal"/>
      </w:pPr>
      <w:r>
        <w:t>El presente recurso de inconstitucionalidad se basa en los argumentos que se exponen:</w:t>
      </w:r>
    </w:p>
    <w:p w:rsidR="0026452D" w:rsidRDefault="0026452D" w:rsidP="0026452D">
      <w:pPr>
        <w:pStyle w:val="TextoNormal"/>
      </w:pPr>
    </w:p>
    <w:p w:rsidR="0026452D" w:rsidRDefault="0026452D" w:rsidP="0026452D">
      <w:pPr>
        <w:pStyle w:val="TextoNormal"/>
      </w:pPr>
      <w:r>
        <w:lastRenderedPageBreak/>
        <w:t>a) La representación autonómica inicia su escrito de demanda con un epígrafe, rubricado “Hechos”, en el que defiende la tesis de que el Real Decreto-ley 2/2004 es un acto de voluntad política cuya elaboración y fundamentación jurídico-formal es exigua o inexistente. Además, sostiene que el trasvase que se pretende derogar y el plan hidrológico en que se integra son “el resultado de un amplio y participado proceso de composición de intereses que ha generado un equilibrio real entre ellos”. A estos efectos expone pormenorizadamente el procedimiento seguido para la aprobación del plan hidrológico nacional y da cuenta de las razones que le llevan a defender que, efectivamente, con este plan se logró un equilibrio real.</w:t>
      </w:r>
    </w:p>
    <w:p w:rsidR="0026452D" w:rsidRDefault="0026452D" w:rsidP="0026452D">
      <w:pPr>
        <w:pStyle w:val="TextoNormal"/>
      </w:pPr>
    </w:p>
    <w:p w:rsidR="0026452D" w:rsidRDefault="0026452D" w:rsidP="0026452D">
      <w:pPr>
        <w:pStyle w:val="TextoNormal"/>
      </w:pPr>
      <w:r>
        <w:t>b) Seguidamente dedica su atención a dos aspectos procesales: la legitimación del Consejo de Gobierno de la Región de Murcia para promover este proceso constitucional, cuestión que examina en especial a la luz de la doctrina contenida en la STC 48/2003, y el efectivo cumplimiento de los diferentes establecidos en la Ley Orgánica de este Tribunal (LOTC), en particular la interposición en plazo del recurso.</w:t>
      </w:r>
    </w:p>
    <w:p w:rsidR="0026452D" w:rsidRDefault="0026452D" w:rsidP="0026452D">
      <w:pPr>
        <w:pStyle w:val="TextoNormal"/>
      </w:pPr>
    </w:p>
    <w:p w:rsidR="0026452D" w:rsidRDefault="0026452D" w:rsidP="0026452D">
      <w:pPr>
        <w:pStyle w:val="TextoNormal"/>
      </w:pPr>
      <w:r>
        <w:t>c) Entrando ya en el examen del fondo del recurso, el Letrado de la Comunidad Autónoma de la Región de Murcia defiende, en primer lugar, la inexistencia del presupuesto habilitante que legitimaría la aprobación del decreto-ley controvertido, dicho de otro modo, la ausencia de “extraordinaria y urgente necesidad”. Tras la exposición de la doctrina sentada al respecto por este Tribunal, afirma que no puede considerarse urgente la derogación del trasvase de aguas de la cuenca del Ebro, porque el plan hidrológico nacional lo había configurado como una “simple autorización para actuar, sin obligación de hacerlo, ni plazo para ello”. Además, tampoco concurriría, a juicio de la representación autonómica, el supuesto de “urgencia económica” pues cabía optar por el desistimiento de los contratos adjudicados para la ejecución del plan hidrológico nacional en este punto, o a su suspensión haciendo uso de las posibilidades existentes en el texto refundido de la Ley de contratos de las Administraciones públicas.</w:t>
      </w:r>
    </w:p>
    <w:p w:rsidR="0026452D" w:rsidRDefault="0026452D" w:rsidP="0026452D">
      <w:pPr>
        <w:pStyle w:val="TextoNormal"/>
      </w:pPr>
    </w:p>
    <w:p w:rsidR="0026452D" w:rsidRDefault="0026452D" w:rsidP="0026452D">
      <w:pPr>
        <w:pStyle w:val="TextoNormal"/>
      </w:pPr>
      <w:r>
        <w:t>La parte recurrente niega que la justificación de la urgencia pueda hallarse en las soluciones alternativas recogidas en el Real Decreto-ley, que, a mayor abundamiento, ya estarían previstas en el anexo II de la redacción originaria de la Ley del plan hidrológico nacional y la urgencia no se justificaría, en fin, ni por la mayor reutilización del agua, ni por la mejora de la gestión de este recurso natural, en particular porque la mejora de regadíos ya estaba prevista en la Ley del plan hidrológico nacional y no representa novedad alguna en la legislación española de aguas.</w:t>
      </w:r>
    </w:p>
    <w:p w:rsidR="0026452D" w:rsidRDefault="0026452D" w:rsidP="0026452D">
      <w:pPr>
        <w:pStyle w:val="TextoNormal"/>
      </w:pPr>
    </w:p>
    <w:p w:rsidR="0026452D" w:rsidRDefault="0026452D" w:rsidP="0026452D">
      <w:pPr>
        <w:pStyle w:val="TextoNormal"/>
      </w:pPr>
      <w:r>
        <w:t>Defiende el Letrado autonómico que en el decreto-ley controvertido no se aprecia la necesaria conexión de sentido entre la situación urgente que legitimaría su aprobación y las medidas adoptadas para hacerle frente. En particular porque el Real Decreto-ley 2/2004 no es una “norma de directa aplicación” sino que requiere un desarrollo normativo, esto es, la adopción de medidas tendentes a su ejecución, sin que, por lo demás, el propio decreto-ley fije un plazo para su aprobación.</w:t>
      </w:r>
    </w:p>
    <w:p w:rsidR="0026452D" w:rsidRDefault="0026452D" w:rsidP="0026452D">
      <w:pPr>
        <w:pStyle w:val="TextoNormal"/>
      </w:pPr>
    </w:p>
    <w:p w:rsidR="0026452D" w:rsidRDefault="0026452D" w:rsidP="0026452D">
      <w:pPr>
        <w:pStyle w:val="TextoNormal"/>
      </w:pPr>
      <w:r>
        <w:t>d) A continuación se le reprocha al Real Decreto-ley 2/2004 haber incurrido en inconstitucionalidad “por vulneración del derecho de participación”. Este motivo impugnatorio se desglosa en cinco grandes líneas argumentales.</w:t>
      </w:r>
    </w:p>
    <w:p w:rsidR="0026452D" w:rsidRDefault="0026452D" w:rsidP="0026452D">
      <w:pPr>
        <w:pStyle w:val="TextoNormal"/>
      </w:pPr>
    </w:p>
    <w:p w:rsidR="0026452D" w:rsidRDefault="0026452D" w:rsidP="0026452D">
      <w:pPr>
        <w:pStyle w:val="TextoNormal"/>
      </w:pPr>
      <w:r>
        <w:lastRenderedPageBreak/>
        <w:t>1ª) En la primera de ellas se hace referencia a la vulneración del derecho de participación por inaplicación de las previsiones al respecto contenidas en el texto refundido de la Ley de aguas y el Reglamento de planificación hidrológica. Tras consignar las distintas referencias que a la participación se hacen en el texto constitucional, el Letrado autonómico alude sucintamente a “la participación de las Comunidades Autónomas en la elaboración del plan hidrológico nacional según la jurisprudencia constitucional”, punto en el que reproduce parcialmente el fundamento jurídico 20 de la STC 227/1988. Dicho esto, señala que el derecho de participación de las Comunidades Autónomas en la elaboración del plan hidrológico nacional se articula, al menos, a través del Consejo Nacional del Agua, pues así se desprende de la regulación que de este órgano colegiado se contiene en los arts. 19 y 20 del texto refundido de la Ley de aguas. Pues bien, en este caso el recurso al decreto-ley para modificar el plan hidrológico nacional ha supuesto una quiebra de estas garantías de participación autonómica en la toma de una decisión estatal de indudable relevancia para la calidad de vida de los ciudadanos y que afecta directamente a muy diversas planificaciones sectoriales, como la territorial o la urbanística. “En consecuencia”, asevera el Letrado autonómico, “la falta de observancia del informe del Consejo Nacional del Agua vicia de inconstitucionalidad la aprobación del Real Decreto-ley 2/2004 por infracción de una garantía constitucional cual es el derecho de participación.”</w:t>
      </w:r>
    </w:p>
    <w:p w:rsidR="0026452D" w:rsidRDefault="0026452D" w:rsidP="0026452D">
      <w:pPr>
        <w:pStyle w:val="TextoNormal"/>
      </w:pPr>
    </w:p>
    <w:p w:rsidR="0026452D" w:rsidRDefault="0026452D" w:rsidP="0026452D">
      <w:pPr>
        <w:pStyle w:val="TextoNormal"/>
      </w:pPr>
      <w:r>
        <w:t>2ª) En la segunda de esas líneas argumentales se habla de la “vulneración del derecho de participación desde la perspectiva del principio de lealtad institucional”. El Letrado autonómico hace hincapié, en este punto, en que el plan hidrológico nacional al que se refiere el texto refundido de la Ley de aguas “funciona como un todo unitario interrelacionado, que afecta a todo el territorio nacional” e incide sobre distintos sectores y ámbitos competenciales, lo que explica la trascendencia de la participación autonómica en el proceso de elaboración del plan. Al punto de que llega a hablar de la posibilidad de una “afectación sustancial en las condiciones esenciales de ejercicio de las correspondientes competencias autonómicas, entre ellas, claro es, la Región de Murcia. El respeto a las competencias autonómicas y el principio de buena fe, que expresamente invoca la representación del Consejo de Gobierno de la Región de Murcia, obligan a respetar ese derecho de participación en la elaboración de decisiones del Estado, que hayan de ejercer una influencia decisiva en la esfera competencial autonómica.</w:t>
      </w:r>
    </w:p>
    <w:p w:rsidR="0026452D" w:rsidRDefault="0026452D" w:rsidP="0026452D">
      <w:pPr>
        <w:pStyle w:val="TextoNormal"/>
      </w:pPr>
    </w:p>
    <w:p w:rsidR="0026452D" w:rsidRDefault="0026452D" w:rsidP="0026452D">
      <w:pPr>
        <w:pStyle w:val="TextoNormal"/>
      </w:pPr>
      <w:r>
        <w:t xml:space="preserve">3ª) También se denuncia la “vulneración del derecho de participación por inaplicación de la Directiva marco del agua” desarrollándose lo que el Letrado autonómico denomina “consideración formal del motivo”, desde la que no se cuestiona la constitucionalidad del decreto-ley controvertido por su contenido material sino exclusivamente porque se ha prescindido de la garantía de participación ciudadana en su elaboración. En opinión del representante del Consejo de Gobierno de la Región de Murcia, el Derecho europeo “configura legalmente el derecho constitucional de participación ciudadana (y obliga a todos los poderes públicos)”, señalando al respecto que “lo que el Tribunal Constitucional no tiene resuelto —salvo error de esta parte— es la cuestión de si los tratados internacionales pueden ser el vehículo de configuración legal del derecho constitucional de participación ciudadana”. Dicho lo cual y tras reseñar el tratamiento que este derecho recibe en la Directiva marco del agua, defiende que aunque este norma del Derecho de la Unión aluda únicamente a los planes hidrológicos de cuenca, debe concluirse su aplicabilidad a la Ley del plan hidrológico nacional, según resulta tanto de una lectura conjunta y sistemática de la propia Directiva y </w:t>
      </w:r>
      <w:r>
        <w:lastRenderedPageBreak/>
        <w:t>del texto refundido de la Ley de aguas. Concluye este alegato el Letrado autonómico recordando que la incorrecta trasposición de la Directiva marco del agua no puede erigirse en obstáculo para la virtualidad del derecho de participación dado el efecto directo.</w:t>
      </w:r>
    </w:p>
    <w:p w:rsidR="0026452D" w:rsidRDefault="0026452D" w:rsidP="0026452D">
      <w:pPr>
        <w:pStyle w:val="TextoNormal"/>
      </w:pPr>
    </w:p>
    <w:p w:rsidR="0026452D" w:rsidRDefault="0026452D" w:rsidP="0026452D">
      <w:pPr>
        <w:pStyle w:val="TextoNormal"/>
      </w:pPr>
      <w:r>
        <w:t>4ª) La representación del Consejo de Gobierno de la Región de Murcia se refiere después a la trascendencia del derecho de participación en materia de agua a nivel internacional, vertiente respecto de la cual subraya la necesidad de ser especialmente riguroso en la reacción frente a la utilización del decreto-ley como técnica para eludir el derecho de participación. En apoyo de esta tesis enumera varios instrumentos de Derecho internacional en los que se presta especial atención a la participación como técnica de protección del medio ambiente.</w:t>
      </w:r>
    </w:p>
    <w:p w:rsidR="0026452D" w:rsidRDefault="0026452D" w:rsidP="0026452D">
      <w:pPr>
        <w:pStyle w:val="TextoNormal"/>
      </w:pPr>
    </w:p>
    <w:p w:rsidR="0026452D" w:rsidRDefault="0026452D" w:rsidP="0026452D">
      <w:pPr>
        <w:pStyle w:val="TextoNormal"/>
      </w:pPr>
      <w:r>
        <w:t>5ª) Como colofón de todo lo expuesto señala el Letrado autonómico que la trascendencia del derecho de participación se refuerza más, si cabe, si se atiende a las exigencias del principio de solidaridad y sobre este punto menciona, entre otros, los arts. 2, 138, 156 y 158 de la Constitución.</w:t>
      </w:r>
    </w:p>
    <w:p w:rsidR="0026452D" w:rsidRDefault="0026452D" w:rsidP="0026452D">
      <w:pPr>
        <w:pStyle w:val="TextoNormal"/>
      </w:pPr>
    </w:p>
    <w:p w:rsidR="0026452D" w:rsidRDefault="0026452D" w:rsidP="0026452D">
      <w:pPr>
        <w:pStyle w:val="TextoNormal"/>
      </w:pPr>
      <w:r>
        <w:t>e) El tercero de los motivos del recurso se basa en la vulneración del principio de interdicción de la arbitrariedad de los poderes públicos (art. 9.3 CE) al haber actuado el Gobierno sin el mínimo examen crítico necesario para la adopción de una medida como la reflejada en el Real Decreto-ley 2/2004, que se encuentra ayuna de la racionalidad técnica exigible a la preparación de toda norma. Este motivo se desarrolla en una doble línea argumental. En primer lugar, se sostiene la irracionalidad del Decreto-ley, cuya exposición de motivos reconoce las “críticas al trasvase del Ebro, al que se acusa sin ningún documento técnico que lo respalde de toda clase de vicios” y la falta de la necesaria racionalidad técnica que se encuentra, a juicio del Letrado autonómico, en la relación de actuaciones urgentes que se pretende emprender. En segundo lugar, se niega la existencia de una relación de proporcionalidad entre los fines perseguidos y los medios empleados para su consecución. Se reitera que no era necesario dictar un decreto-ley para paralizar el trasvase, bastando con dejarlo en suspenso, de donde concluye el Letrado autonómico que la actuación ha sido desproporcionada.</w:t>
      </w:r>
    </w:p>
    <w:p w:rsidR="0026452D" w:rsidRDefault="0026452D" w:rsidP="0026452D">
      <w:pPr>
        <w:pStyle w:val="TextoNormal"/>
      </w:pPr>
    </w:p>
    <w:p w:rsidR="0026452D" w:rsidRDefault="0026452D" w:rsidP="0026452D">
      <w:pPr>
        <w:pStyle w:val="TextoNormal"/>
      </w:pPr>
      <w:r>
        <w:t>f) El cuarto motivo del recurso hace referencia a la vulneración de la reserva constitucional de ley al introducirse el Real Decreto-ley 2/2004 en ámbitos vedados a las normas de urgencia por el art. 86.1 CE. Al respecto se defiende que el decreto-ley impugnado afecta a instituciones básicas de rango constitucional, pues deja completamente al margen del proceso de elaboración de la norma al Senado, Cámara de representación territorial que fue protagonista en la elaboración del plan hidrológico nacional y también se alude al equilibrio hidrográfico interterritorial.</w:t>
      </w:r>
    </w:p>
    <w:p w:rsidR="0026452D" w:rsidRDefault="0026452D" w:rsidP="0026452D">
      <w:pPr>
        <w:pStyle w:val="TextoNormal"/>
      </w:pPr>
    </w:p>
    <w:p w:rsidR="0026452D" w:rsidRDefault="0026452D" w:rsidP="0026452D">
      <w:pPr>
        <w:pStyle w:val="TextoNormal"/>
      </w:pPr>
      <w:r>
        <w:t>Sostiene el Letrado autonómico que la valoración conjunta de los factores que impulsaron al Gobierno a dictar la disposición impugnada conduce igualmente a declarar su inconstitucionalidad. Opone en este punto el “voluntarismo de un Gobierno que razona en círculos” y “el juego de equilibrios institucionales” alcanzado en la Ley del plan hidrológico nacional que tan dañado queda por la decisión de derogar las previsiones de la norma legal relativas al trasvase de aguas de la cuenca del Ebro.</w:t>
      </w:r>
    </w:p>
    <w:p w:rsidR="0026452D" w:rsidRDefault="0026452D" w:rsidP="0026452D">
      <w:pPr>
        <w:pStyle w:val="TextoNormal"/>
      </w:pPr>
    </w:p>
    <w:p w:rsidR="0026452D" w:rsidRDefault="0026452D" w:rsidP="0026452D">
      <w:pPr>
        <w:pStyle w:val="TextoNormal"/>
      </w:pPr>
      <w:r>
        <w:lastRenderedPageBreak/>
        <w:t>En suma, las dudas expuestas obligan a someter al Real Decreto-ley 2/2004 —de carácter doblemente excepcional pues se trata de un acto del Gobierno con fuerza de ley y una norma de caso único— a un examen riguroso; examen que la norma no supera, por lo que resulta inconstitucional, concluyendo el Letrado autonómico que “la fundamentación de este Decreto-Ley no resiste un examen mínimamente riguroso”.</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5 de octubre de 2004, la Sección Segunda de este Tribunal acordó admitir a trámite el presente recurso de inconstitucionalidad, así como dar traslado de la demanda y documentos presentados, de conformidad con el art. 34 LOTC, al Congreso de los Diputados y al Senado, por conducto de sus Presidentes, y al Gobierno, a través del Ministro de Justicia, al objeto de que en el plazo de quince días pudiesen personarse en el proceso y formular las alegaciones que estimaran convenientes; y publicar la incoación del recurso en el “Boletín Oficial del Estado”, lo que se llevó a efecto en el “Boletín Oficial del Estado” núm. 258, de 26 de octubre de 2004.</w:t>
      </w:r>
    </w:p>
    <w:p w:rsidR="0026452D" w:rsidRDefault="0026452D" w:rsidP="0026452D">
      <w:pPr>
        <w:pStyle w:val="TextoNormal"/>
      </w:pPr>
    </w:p>
    <w:p w:rsidR="0026452D" w:rsidRDefault="0026452D" w:rsidP="0026452D">
      <w:pPr>
        <w:pStyle w:val="TextoNormal"/>
      </w:pPr>
      <w:r w:rsidRPr="0026452D">
        <w:rPr>
          <w:rStyle w:val="NumeroAFNegritaCaracter"/>
        </w:rPr>
        <w:t>3</w:t>
      </w:r>
      <w:r>
        <w:t>. Mediante escrito presentado el 19 de octubre de 2004, el Abogado del Estado, actuando en la representación que legalmente ostenta, solicitó que se le tuviera por comparecido en este proceso constitucional y que se le concediera una prórroga del plazo conferido para formular alegaciones. La Sección Segunda de este Tribunal accedió a lo interesado por proveído de 22 de octubre de 2004.</w:t>
      </w:r>
    </w:p>
    <w:p w:rsidR="0026452D" w:rsidRDefault="0026452D" w:rsidP="0026452D">
      <w:pPr>
        <w:pStyle w:val="TextoNormal"/>
      </w:pPr>
    </w:p>
    <w:p w:rsidR="0026452D" w:rsidRDefault="0026452D" w:rsidP="0026452D">
      <w:pPr>
        <w:pStyle w:val="TextoNormal"/>
      </w:pPr>
      <w:r w:rsidRPr="0026452D">
        <w:rPr>
          <w:rStyle w:val="NumeroAFNegritaCaracter"/>
        </w:rPr>
        <w:t>4</w:t>
      </w:r>
      <w:r>
        <w:t>. Registrado en este Tribunal el día 21 de octubre de 2004, el Presidente del Senado comunicó que dicha Cámara se daba por personada en este proceso constitucional y ofrecía su colaboración a los efectos del art. 88.1 LOTC. El 22 de octubre de 2004 se recibió en el Registro General de este Tribunal escrito del Presidente del Congreso de los Diputados comunicando que la Mesa de la Cámara había acordado no personarse ni formular alegaciones en el presente proceso constitucional, poniendo a disposición del Tribunal las actuaciones de la Cámara que pudiera precisar.</w:t>
      </w:r>
    </w:p>
    <w:p w:rsidR="0026452D" w:rsidRDefault="0026452D" w:rsidP="0026452D">
      <w:pPr>
        <w:pStyle w:val="TextoNormal"/>
      </w:pPr>
    </w:p>
    <w:p w:rsidR="0026452D" w:rsidRDefault="0026452D" w:rsidP="0026452D">
      <w:pPr>
        <w:pStyle w:val="TextoNormal"/>
      </w:pPr>
      <w:r w:rsidRPr="0026452D">
        <w:rPr>
          <w:rStyle w:val="NumeroAFNegritaCaracter"/>
        </w:rPr>
        <w:t>5</w:t>
      </w:r>
      <w:r>
        <w:t>. El Abogado del Estado presentó su escrito de alegaciones el 16 de noviembre de 2004, solicitando la desestimación del recurso por las razones que seguidamente se sintetizan:</w:t>
      </w:r>
    </w:p>
    <w:p w:rsidR="0026452D" w:rsidRDefault="0026452D" w:rsidP="0026452D">
      <w:pPr>
        <w:pStyle w:val="TextoNormal"/>
      </w:pPr>
    </w:p>
    <w:p w:rsidR="0026452D" w:rsidRDefault="0026452D" w:rsidP="0026452D">
      <w:pPr>
        <w:pStyle w:val="TextoNormal"/>
      </w:pPr>
      <w:r>
        <w:t>a) El Abogado del Estado comienza con una “consideración preliminar” relativa al largo debate habido en España acerca de las virtudes y defectos de los trasvases de aguas entre cuencas hidrográficas.</w:t>
      </w:r>
    </w:p>
    <w:p w:rsidR="0026452D" w:rsidRDefault="0026452D" w:rsidP="0026452D">
      <w:pPr>
        <w:pStyle w:val="TextoNormal"/>
      </w:pPr>
    </w:p>
    <w:p w:rsidR="0026452D" w:rsidRDefault="0026452D" w:rsidP="0026452D">
      <w:pPr>
        <w:pStyle w:val="TextoNormal"/>
      </w:pPr>
      <w:r>
        <w:t>Reconoce el Abogado del Estado que la demanda “ha realizado un indiscutible esfuerzo” para dar contenido jurídico a esa valoración extrajurídica de los méritos respectivos de la planificación afectada y de la derogada. Para ello se ha partido de una “especie de presupuesto implícito existente en la Constitución y consistente en una forma de mandato directamente dirigido a que determinadas cuencas hidrográficas cuenten con una aportación suplementaria de aguas” proveniente de otras cuencas, citándose, en apoyo de esta tesis, los más diversos preceptos de la Constitución “con objeto de confirmar, a través de complicadísimas construcciones interpretativas, aquella consecuencia”.</w:t>
      </w:r>
    </w:p>
    <w:p w:rsidR="0026452D" w:rsidRDefault="0026452D" w:rsidP="0026452D">
      <w:pPr>
        <w:pStyle w:val="TextoNormal"/>
      </w:pPr>
    </w:p>
    <w:p w:rsidR="0026452D" w:rsidRDefault="0026452D" w:rsidP="0026452D">
      <w:pPr>
        <w:pStyle w:val="TextoNormal"/>
      </w:pPr>
      <w:r>
        <w:t xml:space="preserve">No se trata, advierte el Abogado del Estado, de cuestionar ni la necesidad ni la urgencia de la planificación hidrológica “sino de situar la cuestión en su auténtico emplazamiento, </w:t>
      </w:r>
      <w:r>
        <w:lastRenderedPageBreak/>
        <w:t>que es la esfera de decisiones propia del legislador, lo que excluye como errónea la perspectiva de que parte el propio recurso al querer inferir de una serie de preceptos constitucionales no ya la posibilidad de un plan hidrológico, sino la preferencia de una determinada y concreta modalidad planificadora sobre otra que descalifica como inadecuada”.</w:t>
      </w:r>
    </w:p>
    <w:p w:rsidR="0026452D" w:rsidRDefault="0026452D" w:rsidP="0026452D">
      <w:pPr>
        <w:pStyle w:val="TextoNormal"/>
      </w:pPr>
    </w:p>
    <w:p w:rsidR="0026452D" w:rsidRDefault="0026452D" w:rsidP="0026452D">
      <w:pPr>
        <w:pStyle w:val="TextoNormal"/>
      </w:pPr>
      <w:r>
        <w:t>b) Junto con la impugnación material o “de fondo”, a la que hacen referencia los párrafos anteriores, la demanda incluye otra impugnación “formal” del Real Decreto-ley 2/2004 y en la que se asienta sustancialmente sobre el contraste de la génesis de sus preceptos y los correlativos de la Ley del plan hidrológico nacional. Este contraste es claramente instrumental pues sirve al propósito de resaltar el mayor acierto de las decisiones adoptadas en la Ley, minusvalorando las plasmadas en el Decreto-ley controvertido. Para el Abogado del Estado la comparación resulta de todo punto improcedente al basarse en factores externos a las normas, como el tiempo invertido en la elaboración de una y otra, dando a entender que el Decreto-ley habría ignorado la documentación allegada durante el procedimiento de elaboración de la Ley del plan hidrológico nacional.</w:t>
      </w:r>
    </w:p>
    <w:p w:rsidR="0026452D" w:rsidRDefault="0026452D" w:rsidP="0026452D">
      <w:pPr>
        <w:pStyle w:val="TextoNormal"/>
      </w:pPr>
    </w:p>
    <w:p w:rsidR="0026452D" w:rsidRDefault="0026452D" w:rsidP="0026452D">
      <w:pPr>
        <w:pStyle w:val="TextoNormal"/>
      </w:pPr>
      <w:r>
        <w:t>c) En relación con la concurrencia del presupuesto habilitante para dictar el Real Decreto-ley 2/2004, se hace referencia a su memoria justificativa y a la existencia de numerosos estudios científicos en los que se valora críticamente la alternativa del trasvase. El Abogado del Estado menciona, en especial, la evaluación efectuada por la Dirección General de Política Regional de la Comisión Europea, reproduce diversos pasajes del preámbulo de la norma objeto de este proceso y de la memoria justificativa de la que se ha dejado hecha mención y relata sucintamente el debate parlamentario de convalidación de la norma de urgencia.</w:t>
      </w:r>
    </w:p>
    <w:p w:rsidR="0026452D" w:rsidRDefault="0026452D" w:rsidP="0026452D">
      <w:pPr>
        <w:pStyle w:val="TextoNormal"/>
      </w:pPr>
    </w:p>
    <w:p w:rsidR="0026452D" w:rsidRDefault="0026452D" w:rsidP="0026452D">
      <w:pPr>
        <w:pStyle w:val="TextoNormal"/>
      </w:pPr>
      <w:r>
        <w:t>d) Después de replicar algunos de los datos técnicos incluidos en la demanda, aborda el Abogado del Estado la crítica formulada al decreto-ley que nos ocupa en cuanto a la ausencia de la necesaria “conexión de sentido” entre la finalidad que se persigue y la medida adoptada. En su opinión, la demanda confunde eficacia inmediata y ejecución instantánea al sostener que, no habiéndose ejecutado todavía el trasvase, la derogación de la Ley del plan hidrológico nacional no puede calificarse de urgente al faltar la conexión estructural entre la pretendida situación de urgencia y la norma. Lo que puede exigirse al decreto-ley es que no se demore en su aplicación más allá de lo que sería previsible para atender a idéntica necesidad por los procedimientos legislativos comunes, pero no que se añada a la eficacia inmediata o aplicación inmediata de la ley el cumplimiento o agotamiento instantáneo de sus efectos. En particular cuando, como sucede en este caso, se prevé la construcción de grandes obras públicas, en las cuales los plazos previstos por las normas suelen ser meramente estimativos, por lo que no puede exigirse de los decretos-leyes que incidan sobre ellas un agotamiento instantáneo de sus efectos.</w:t>
      </w:r>
    </w:p>
    <w:p w:rsidR="0026452D" w:rsidRDefault="0026452D" w:rsidP="0026452D">
      <w:pPr>
        <w:pStyle w:val="TextoNormal"/>
      </w:pPr>
    </w:p>
    <w:p w:rsidR="0026452D" w:rsidRDefault="0026452D" w:rsidP="0026452D">
      <w:pPr>
        <w:pStyle w:val="TextoNormal"/>
      </w:pPr>
      <w:r>
        <w:t xml:space="preserve">e) Rechaza el Abogado del Estado que se haya vulnerado el derecho de participación. Al respecto hace hincapié en que el objeto de la impugnación es un real decreto-ley “que en un plano procedimental no sería exagerado presentar como una excepción al trámite normal y general previsto por la Constitución para la producción de las normas de rango legal: el trámite parlamentario”. De modo que aun en la hipótesis de que se hubiera omitido algún trámite de audiencia a la Comunidad Autónoma recurrente, dicha omisión hallaría dispensa en el art. 86 CE, que no incluye entre los límites al decreto-ley este derecho de audiencia o de participación. Ha de entenderse que cuando la Constitución autoriza a prescindir de la </w:t>
      </w:r>
      <w:r>
        <w:lastRenderedPageBreak/>
        <w:t>tramitación parlamentaria en situaciones de urgente necesidad, con mayor razón está excluyendo la realización de aquellos otros trámites que eventualmente estuvieran previstos para la elaboración de planes, proyectos e incluso textos jurídicos y no sean compatibles con la urgencia que legitima la aprobación de esta clase de normas. De otro modo, el decreto-ley sería un instrumento inútil para hacer frente a situaciones urgentes de la colectividad.</w:t>
      </w:r>
    </w:p>
    <w:p w:rsidR="0026452D" w:rsidRDefault="0026452D" w:rsidP="0026452D">
      <w:pPr>
        <w:pStyle w:val="TextoNormal"/>
      </w:pPr>
    </w:p>
    <w:p w:rsidR="0026452D" w:rsidRDefault="0026452D" w:rsidP="0026452D">
      <w:pPr>
        <w:pStyle w:val="TextoNormal"/>
      </w:pPr>
      <w:r>
        <w:t>f) La demanda erige en canon de validez del decreto-ley impugnado las previsiones del texto refundido de la Ley de aguas relativas al procedimiento de elaboración de los planes hidrológicos y, destacadamente, aquellas que contemplan la intervención del Consejo Nacional del Agua, constitucionalizando así las previsiones de una ley sectorial y tratando de alzar una barrera infranqueable a la aprobación de decretos-leyes, desconociendo que los trámites participativos de la Ley de aguas están previstos para el procedimiento legislativo ordinario, como demuestra su realización “antes de su remisión a las Cortes” [art. 20.1 a) del texto refundido de la Ley de aguas]. No se justifica la necesidad de atenerse a estos mismos trámites procedimentales tanto para la aprobación como para la modificación del plan hidrológico nacional y recuerda el Abogado del Estado que el art. 20 de la Ley de aguas por más que sea conforme con la Constitución no tiene rango constitucional ni incorpora una garantía institucional que se superponga a las normas con rango de ley.</w:t>
      </w:r>
    </w:p>
    <w:p w:rsidR="0026452D" w:rsidRDefault="0026452D" w:rsidP="0026452D">
      <w:pPr>
        <w:pStyle w:val="TextoNormal"/>
      </w:pPr>
    </w:p>
    <w:p w:rsidR="0026452D" w:rsidRDefault="0026452D" w:rsidP="0026452D">
      <w:pPr>
        <w:pStyle w:val="TextoNormal"/>
      </w:pPr>
      <w:r>
        <w:t>g) Para el Abogado del Estado no ha habido vulneración de la interdicción de la arbitrariedad de los poderes públicos (art. 9.3 CE). Tras recordar sucintamente la doctrina constitucional relevante para el caso, indica que no puede sostenerse que las medidas contenidas en el Real Decreto-ley sean abusivas o arbitrarias, en el sentido de que estén desprovistas de racionalidad, por manifiestamente incongruentes o inadecuadas con su objetivo. No estamos, en fin, ante una norma desprovista de fundamento, aunque pueda legítimamente discreparse de la concreta solución por ella alumbrada.</w:t>
      </w:r>
    </w:p>
    <w:p w:rsidR="0026452D" w:rsidRDefault="0026452D" w:rsidP="0026452D">
      <w:pPr>
        <w:pStyle w:val="TextoNormal"/>
      </w:pPr>
    </w:p>
    <w:p w:rsidR="0026452D" w:rsidRDefault="0026452D" w:rsidP="0026452D">
      <w:pPr>
        <w:pStyle w:val="TextoNormal"/>
      </w:pPr>
      <w:r>
        <w:t>h) Para concluir, el Abogado del Estado defiende que el decreto-ley controvertido respeta todos los límites del art. 86.1 CE. En particular, porque no se afecta a ninguna institución básica de rango constitucional, en especial el Senado, habida cuenta, en especial, de que la convalidación de los decretos-leyes es una función privativamente atribuida al Congreso de los Diputados y teniendo muy presente que la afección al régimen de las Comunidades Autónomas, y esto enlaza con la consideración del Senado como Cámara de representación territorial, se refiere a una “delimitación directa y positiva de las competencias” y no a cualquier regulación que indirectamente “incida” en las competencias autonómicas. Por lo demás, advierte el Abogado del Estado, buena parte de las consideraciones formuladas por la actora tienen una naturaleza eminentemente política y por ello ajena a la jurisdicción de este Tribunal, y señala la confusión en la que incurre el solapamiento de la consideración del Real Decreto-ley como norma de urgencia y como norma de caso único. Se trata, en todo caso, de una norma relativa a la planificación y usos de los recursos hidráulicos, como también lo era la Ley de plan hidrológico nacional en su redacción originaria, por lo que el Real Decreto-ley 2/2004 y la Ley del plan compartirán, de aceptarse la tesis de la demandante, una misma naturaleza en punto a su singularidad o generalidad.</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26 de febrero de 2013 se señaló para deliberación y fallo del presente recurso el día 28 del mismo mes y año.</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recurso de inconstitucionalidad núm. 5049-2004, interpuesto por el Consejo de Gobierno de la Región de Murcia y cuya resolución nos ocupa en la presente Sentencia, coincide básicamente en objeto y fundamentación con el promovido en su día por el Gobierno de la Generalitat Valenciana, tramitado con el número 4786-2004 y resuelto en la reciente STC 237/2012, de 13 de diciembre. En ambos recursos de inconstitucionalidad se impugna el Real Decreto-ley 2/2004, de 18 de junio, por el que se modifica la Ley 10/2001, de 5 de julio, del plan hidrológico nacional.</w:t>
      </w:r>
    </w:p>
    <w:p w:rsidR="0026452D" w:rsidRDefault="0026452D" w:rsidP="0026452D">
      <w:pPr>
        <w:pStyle w:val="TextoNormal"/>
      </w:pPr>
    </w:p>
    <w:p w:rsidR="0026452D" w:rsidRDefault="0026452D" w:rsidP="0026452D">
      <w:pPr>
        <w:pStyle w:val="TextoNormal"/>
      </w:pPr>
      <w:r>
        <w:t>El Real Decreto-ley 2/2004 cuenta con un único artículo, integrado por dos apartados. En el primero de ellos se modifica la redacción del art. 36.5 de la Ley 10/2001 declarando de interés general las obras incluidas en el nuevo anexo III de la Ley y de carácter prioritario y urgente la realización de las actuaciones enumeradas en el nuevo anexo IV. En el segundo se añaden los ya citados anexos III, rubricado “Nuevas actuaciones de interés general”, y IV, que lleva por título “Actuaciones prioritarias y urgentes”.</w:t>
      </w:r>
    </w:p>
    <w:p w:rsidR="0026452D" w:rsidRDefault="0026452D" w:rsidP="0026452D">
      <w:pPr>
        <w:pStyle w:val="TextoNormal"/>
      </w:pPr>
    </w:p>
    <w:p w:rsidR="0026452D" w:rsidRDefault="0026452D" w:rsidP="0026452D">
      <w:pPr>
        <w:pStyle w:val="TextoNormal"/>
      </w:pPr>
      <w:r>
        <w:t>El Decreto-ley impugnado se completa con una disposición derogatoria y tres disposiciones finales. En virtud de aquélla se derogan los siguientes artículos de la Ley 10/2001, de 5 de julio, del plan hidrológico nacional: 13 (rubricado “Previsiones de nuevas transferencias ordinarias” y en el que se relacionan distintas transferencias anuales desde la cuenca del Ebro a las cuencas interna de Cataluña, del Júcar, Segura y del Sur), 16 (relativo a las “condiciones técnicas” de las transferencias autorizadas en la Ley), 17 (“Destinos de las aguas trasvasadas”), 18 (“Condiciones de la organización de los usuarios”, que incluye la constitución obligatoria de una junta central de usuarios o entidad representativa equivalente para cada una de las transferencias autorizadas), 19 (“Condiciones de gestión”, que prevé la creación de una comisión de trasvases para el conjunto de las transferencias de aguas autorizadas por el art. 13), 21 (“Efectos de las transferencias”, donde se declaran de interés general las obras de infraestructura necesarias para la realización de las transferencias autorizadas por la Ley y se establece que los proyectos de obras necesarias para la ejecución de los trasvases llevarán implícita la declaración de utilidad pública y la necesidad de ocupación de los bienes y adquisición de los derechos a los fines de expropiación forzosa y ocupación temporal), 22 (“Régimen económico financiero del trasvase”, que regula el canon del trasvase), 23 (que determina las “compensaciones de carácter ambiental a las cuencas cedentes”) y la segunda frase del apartado cuatro del art. 36 (rubricado “Programación de inversiones”), según la cual “[p]or dicha razón, y en aplicación del principio general de garantía de las demandas actuales y futuras de la cuenca cedente a que se refiere el artículo 12, será un objetivo básico a alcanzar por las Administraciones hidráulicas competentes que la mayor parte de las infraestructuras incluidas en la mencionada Resolución se encuentren terminadas o en ejecución con anterioridad a la efectividad de las transferencias autorizadas por la presente Ley.” Se deroga, asimismo, expresamente, el art. 125 de la Ley 62/2003, de 30 de diciembre, de medidas fiscales, administrativas y del orden social, en el que se contenía la “declaración de urgente ocupación de bienes afectados por la expropiación a que dé lugar la realización del trazado y las obras de infraestructura que sean necesarias para la realización de las transferencias de recursos hídricos que autoriza la Ley 10/2001, de 5 de julio, del Plan Hidrológico Nacional.”</w:t>
      </w:r>
    </w:p>
    <w:p w:rsidR="0026452D" w:rsidRDefault="0026452D" w:rsidP="0026452D">
      <w:pPr>
        <w:pStyle w:val="TextoNormal"/>
      </w:pPr>
    </w:p>
    <w:p w:rsidR="0026452D" w:rsidRDefault="0026452D" w:rsidP="0026452D">
      <w:pPr>
        <w:pStyle w:val="TextoNormal"/>
      </w:pPr>
      <w:r>
        <w:lastRenderedPageBreak/>
        <w:t>El Real Decreto-ley fue convalidado por acuerdo del Pleno del Congreso de los Diputados de 29 de junio de 2004 (publicado en el “Boletín Oficial del Estado” núm. 160, de 3 de julio de 2004). Haciendo uso de la posibilidad que le brinda el art. 86.3 CE, la Cámara acordó igualmente la tramitación del Decreto-ley como proyecto de ley por el procedimiento de urgencia, dando lugar a la Ley 11/2005, de 22 de junio, por la que se modifica la Ley 10/2001, de 5 de julio, del plan hidrológico nacional.</w:t>
      </w:r>
    </w:p>
    <w:p w:rsidR="0026452D" w:rsidRDefault="0026452D" w:rsidP="0026452D">
      <w:pPr>
        <w:pStyle w:val="TextoNormal"/>
      </w:pPr>
    </w:p>
    <w:p w:rsidR="0026452D" w:rsidRDefault="0026452D" w:rsidP="0026452D">
      <w:pPr>
        <w:pStyle w:val="TextoNormal"/>
      </w:pPr>
      <w:r>
        <w:t>En todo caso, como ya hemos reconocido [STC 237/2012, de 13 de diciembre (FJ 2)] la derogación tácita del Real Decreto-ley 2/2004 por la Ley 11/2005 no es óbice para que examinemos las cuestiones planteadas en este recurso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Cuatro son los motivos esgrimidos por el Consejo de Gobierno de la Región de Murcia para controvertir la constitucionalidad de esa norma de urgencia: a) falta del presupuesto habilitante que legitima, </w:t>
      </w:r>
      <w:r w:rsidRPr="0026452D">
        <w:rPr>
          <w:i/>
        </w:rPr>
        <w:t>ex</w:t>
      </w:r>
      <w:r>
        <w:t xml:space="preserve"> art. 86.1 CE, la aprobación de un decreto-ley y ausencia, en todo caso, de conexión de sentido entre la situación de extraordinaria y urgente necesidad a la que se pretende hacer frente con la aprobación de esta norma con rango de ley, y las concretas medidas diseñadas al efecto, subrayándose que no había urgencia económica y tampoco venía determinada por el plan alternativo previsto en el anexo II de la Ley 10/2001, sin que se advirtiera relación de adecuación entre la situación de urgencia y las medidas arbitradas; b) vulneración del derecho de participación en los términos que resultan de la configuración del Consejo Nacional del Agua en el texto refundido de la Ley de aguas, aprobado por el Real Decreto Legislativo 1/2001, de 20 de julio, y de la Directiva 2000/60/CE del Parlamento Europeo y del Consejo, de 23 de octubre de 2000, por la que se establece un marco comunitario de actuación en el ámbito de la política de aguas, conocida como Directiva marco del agua, con vulneración de los artículos 9.1, 45.2, 105.1 y 129.1 de la CE; c) infracción del principio de interdicción de la arbitrariedad de los poderes públicos (art. 9.3 CE) y d) como cuarto y último motivo, vulneración de la reserva constitucional de ley, al haber incidido el Decreto-ley impugnado en materias que le están constitucionalmente vedadas por aplicación del art. 86.1 CE.</w:t>
      </w:r>
    </w:p>
    <w:p w:rsidR="0026452D" w:rsidRDefault="0026452D" w:rsidP="0026452D">
      <w:pPr>
        <w:pStyle w:val="TextoNormal"/>
      </w:pPr>
    </w:p>
    <w:p w:rsidR="0026452D" w:rsidRDefault="0026452D" w:rsidP="0026452D">
      <w:pPr>
        <w:pStyle w:val="TextoNormal"/>
      </w:pPr>
      <w:r>
        <w:t>Estos motivos han sido examinados en la ya citada STC 237/2012, cuyas conclusiones recordaremos ahora en lo que resulte estrictamente indispensable para la resolución del presente proceso constitucional.</w:t>
      </w:r>
    </w:p>
    <w:p w:rsidR="0026452D" w:rsidRDefault="0026452D" w:rsidP="0026452D">
      <w:pPr>
        <w:pStyle w:val="TextoNormal"/>
      </w:pPr>
    </w:p>
    <w:p w:rsidR="0026452D" w:rsidRDefault="0026452D" w:rsidP="0026452D">
      <w:pPr>
        <w:pStyle w:val="TextoNormal"/>
      </w:pPr>
      <w:r w:rsidRPr="0026452D">
        <w:rPr>
          <w:rStyle w:val="NumeroAFNegritaCaracter"/>
        </w:rPr>
        <w:t>3</w:t>
      </w:r>
      <w:r>
        <w:t>. La concurrencia del requisito de la “extraordinaria y urgente necesidad” enunciado por el art. 86.1 CE, presupuesto habilitante de la aprobación del Real Decreto-ley 2/2004, fue específicamente analizada en los fundamentos jurídicos 3 a 6 de la STC 237/2012, a cuyo contenido nos remitimos, si bien en este punto conviene recordar la doctrina de este Tribunal contenida básicamente en las SSTC 182/1997, de 28 de octubre (FJ 3); 68/2007, de 28 de marzo (FJ 6); 31/2011, de 17 de marzo (FJ 3) y 137/2011, de 14 de febrero (FJ 4).</w:t>
      </w:r>
    </w:p>
    <w:p w:rsidR="0026452D" w:rsidRDefault="0026452D" w:rsidP="0026452D">
      <w:pPr>
        <w:pStyle w:val="TextoNormal"/>
      </w:pPr>
    </w:p>
    <w:p w:rsidR="0026452D" w:rsidRDefault="0026452D" w:rsidP="0026452D">
      <w:pPr>
        <w:pStyle w:val="TextoNormal"/>
      </w:pPr>
      <w:r>
        <w:t>Una síntesis expositiva de dicha doctrina puede concretarse del siguiente modo:</w:t>
      </w:r>
    </w:p>
    <w:p w:rsidR="0026452D" w:rsidRDefault="0026452D" w:rsidP="0026452D">
      <w:pPr>
        <w:pStyle w:val="TextoNormal"/>
      </w:pPr>
    </w:p>
    <w:p w:rsidR="0026452D" w:rsidRDefault="0026452D" w:rsidP="0026452D">
      <w:pPr>
        <w:pStyle w:val="TextoNormal"/>
      </w:pPr>
      <w:r>
        <w:t xml:space="preserve">“Nuestra Constitución ha adoptado una solución flexible y matizada respecto del fenómeno del decreto-ley que, por una parte, no lleva a su completa proscripción en aras del mantenimiento de una rígida separación de los poderes, ni se limita a permitirlo de una forma totalmente excepcional en situaciones de necesidad absoluta, de modo que la utilización de este instrumento normativo se estima legítima ‘en todos aquellos casos en que hay </w:t>
      </w:r>
      <w:r>
        <w:lastRenderedPageBreak/>
        <w:t>que alcanzar los objetivos marcados para la gobernación del país, que, por circunstancias difíciles o imposibles de prever, requieren una acción normativa inmediata o en que las coyunturas económicas exigen una rápida respuesta’ (STC 6/1983, de 4 de febrero, FJ 5). En otras palabras, el fin que justifica la legislación de urgencia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11/2002, de 17 de enero, FJ 4, y 137/2003, de 3 de julio, FJ 3).</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La adecuada fiscalización del recurso al decreto-ley requiere que la definición por los órganos políticos de una situación ‘de extraordinaria y urgente necesidad’ sea ‘explícita y razonada’, del mismo modo que corresponde a este Tribunal constatar la existencia de ‘una conexión de sentido o relación de adecuación entre la situación definida que constituye el presupuesto habilitante y las medidas que en el Decreto-ley se adoptan, de manera que estas últimas guarden una relación directa o de congruencia con la situación que se trata de afrontar’. En cuanto a los instrumentos de los que puede valerse este Tribunal, se añade en el mismo fundamento jurídico 4 de la STC 137/2011,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 presentes las situaciones concretas y los objetivos gubernamentales que han dado lugar a la aprobación del Decreto-ley’.” (STC 237/2012, FJ 4)</w:t>
      </w:r>
    </w:p>
    <w:p w:rsidR="0026452D" w:rsidRDefault="0026452D" w:rsidP="0026452D">
      <w:pPr>
        <w:pStyle w:val="TextoNormal"/>
      </w:pPr>
    </w:p>
    <w:p w:rsidR="0026452D" w:rsidRDefault="0026452D" w:rsidP="0026452D">
      <w:pPr>
        <w:pStyle w:val="TextoNormal"/>
      </w:pPr>
      <w:r w:rsidRPr="0026452D">
        <w:rPr>
          <w:rStyle w:val="NumeroAFNegritaCaracter"/>
        </w:rPr>
        <w:t>4</w:t>
      </w:r>
      <w:r>
        <w:t>. En el caso analizado, nuestro análisis se concreta en los siguientes puntos:</w:t>
      </w:r>
    </w:p>
    <w:p w:rsidR="0026452D" w:rsidRDefault="0026452D" w:rsidP="0026452D">
      <w:pPr>
        <w:pStyle w:val="TextoNormal"/>
      </w:pPr>
    </w:p>
    <w:p w:rsidR="0026452D" w:rsidRDefault="0026452D" w:rsidP="0026452D">
      <w:pPr>
        <w:pStyle w:val="TextoNormal"/>
      </w:pPr>
      <w:r>
        <w:t>El preámbulo del Real Decreto-ley 2/2004 se abre con la afirmación de que las transferencias de aguas del bajo Ebro a diferentes cuencas hidrográficas previstas en el plan hidrológico nacional aprobado por la Ley 10/2001, de 5 de julio, respondería a unos “supuestos objetivos de racionalidad, eficiencia socio económica y ambiental, que distintos informes técnicos han puesto en entredicho, al considerar que en una decisión de tanto calado como la de llevar a cabo el trasvase no han merecido la debida atención y tratamiento aspectos fundamentales”. Tras lo cual se relacionan las carencias que se achacan a la Ley.</w:t>
      </w:r>
    </w:p>
    <w:p w:rsidR="0026452D" w:rsidRDefault="0026452D" w:rsidP="0026452D">
      <w:pPr>
        <w:pStyle w:val="TextoNormal"/>
      </w:pPr>
    </w:p>
    <w:p w:rsidR="0026452D" w:rsidRDefault="0026452D" w:rsidP="0026452D">
      <w:pPr>
        <w:pStyle w:val="TextoNormal"/>
      </w:pPr>
      <w:r>
        <w:t xml:space="preserve">En cuanto a los aspectos económicos, se afirma que “se han exagerado los beneficios del proyecto”, en tanto que “sus costes aparecen sistemáticamente infravalorados, y en algunos casos ni siquiera han sido tomados en consideración; la estructura de precios para la industria, la agricultura y los consumidores no ha sido suficientemente bien explicada; no se ha aclarado si se aplicarían tarifas diferentes según los territorios, ni cómo establecerían los acuerdos en materia de precios; los beneficios positivos, en términos de creación de empleo, han sido sobreestimados, y la relación entre el precio y la demanda no está bien contemplada.” Por lo que hace a las repercusiones ambientales, se le reprocha a la Ley no haber analizado adecuadamente “los efectos de una posible reducción de las cantidades de agua a trasvasar” y se añade que tampoco “se han despejado las incertidumbres sobre el caudal futuro del Ebro; no se han adoptado las medidas necesarias para la protección del río Ebro </w:t>
      </w:r>
      <w:r>
        <w:lastRenderedPageBreak/>
        <w:t>y en particular del Delta; no se ha asegurado la protección de las especies protegidas existentes, contrariamente a lo exigido por la legislación comunitaria sobre hábitats”; al tiempo que se declara que en la evaluación ambiental no consta información “sobre la toma y la distribución del agua del trasvase, ni sobre los bombeos de agua y las instalaciones eléctricas necesarias, aspecto clave para determinar el consumo de energía que requieren y su impacto en el cumplimiento por España del Protocolo de Kioto; tampoco se ha informado en el trámite de consulta sobre el aumento de salinidad previsto tanto en la cuenca cedente como en las cuencas receptoras, pospuesta a estudios futuros, que pueden llegar cuando el daño sea ya irreparable.” En cuanto a los aspectos técnicos, se subraya “la ausencia del rigor necesario en los estudios sobre la disponibilidad efectiva de agua para trasvasar, de forma que no es posible determinar cuánta agua puede ser transferida, ni con qué garantías, existiendo por otra parte un margen de duda excesivo sobre la capacidad de los embalses previstos para almacenar el agua en las cuencas receptoras.”</w:t>
      </w:r>
    </w:p>
    <w:p w:rsidR="0026452D" w:rsidRDefault="0026452D" w:rsidP="0026452D">
      <w:pPr>
        <w:pStyle w:val="TextoNormal"/>
      </w:pPr>
    </w:p>
    <w:p w:rsidR="0026452D" w:rsidRDefault="0026452D" w:rsidP="0026452D">
      <w:pPr>
        <w:pStyle w:val="TextoNormal"/>
      </w:pPr>
      <w:r>
        <w:t>Concluida la reseña de estas “acusadas y graves deficiencias en los criterios que prestan soporte al trasvase”, según las califica el propio preámbulo, se pronostica que “las posibilidades de obtener financiación con cargo tanto a Fondos de Cohesión como al FEDER para un proyecto de las características descritas resultan prácticamente inexistentes”.</w:t>
      </w:r>
    </w:p>
    <w:p w:rsidR="0026452D" w:rsidRDefault="0026452D" w:rsidP="0026452D">
      <w:pPr>
        <w:pStyle w:val="TextoNormal"/>
      </w:pPr>
    </w:p>
    <w:p w:rsidR="0026452D" w:rsidRDefault="0026452D" w:rsidP="0026452D">
      <w:pPr>
        <w:pStyle w:val="TextoNormal"/>
      </w:pPr>
      <w:r>
        <w:t>Tras esta exposición de las carencias que aquejarían al trasvase de aguas del río Ebro, se afirma que “el panorama descrito lleva a considerar que el trasvase proyectado cuestiona gravemente los principios que la propia Ley 10/2001, de 5 de julio, establece en el artículo 12”, por lo que “es necesario … adoptar mediante real decreto ley unas medidas cuya urgencia se justifica en las razones hasta aquí expuestas, ya que carecería de toda racionalidad continuar invirtiendo en las obras necesarias para realizar un trasvase que no se va a llevar a cabo.” A este respecto se advierte de que “además de un evidente despilfarro de recursos públicos, ello supondría impedir o retrasar, por inmovilización de recursos financieros, la exigible y urgente realización de las medidas estructurales de inversión y de gestión que se aprueban mediante este real decreto ley con el carácter de prioritarias y urgentes” puesto que “la satisfacción de las necesidades hídricas de las cuencas mediterráneas no admite demora, y debe procurarse asegurando la estabilidad de un desarrollo más equilibrado, sostenible y concertado en todos los territorios a los que hubiera afectado el trasvase del Ebro”.</w:t>
      </w:r>
    </w:p>
    <w:p w:rsidR="0026452D" w:rsidRDefault="0026452D" w:rsidP="0026452D">
      <w:pPr>
        <w:pStyle w:val="TextoNormal"/>
      </w:pPr>
    </w:p>
    <w:p w:rsidR="0026452D" w:rsidRDefault="0026452D" w:rsidP="0026452D">
      <w:pPr>
        <w:pStyle w:val="TextoNormal"/>
      </w:pPr>
      <w:r>
        <w:t>Durante el debate de convalidación del Real Decreto-ley celebrado por el Pleno del Congreso de los Diputados el día 29 de junio de 2004, la entonces Ministra de Medio Ambiente insistió en la concurrencia de “razones de carácter técnico, de carácter jurídico, económico y ambiental” que justificarían la aprobación de esta norma provisional, al tiempo que recordaba que “los informes de la Comisión Europea de marzo son todos contrarios al trasvase del Ebro”. En otro orden de consideración, presentó el Decreto-ley cuya constitucionalidad ahora se controvierte como una de las primeras expresiones de “la profunda reorientación de la política del agua en España” que se proponía llevar acabo el Gobierno, una política “que va a poner el énfasis en la gestión de la demanda” de acuerdo con las pautas sentadas en la Directiva Marco del Agua (Cortes Generales. “Diario de Sesiones del Congreso de los Diputados”, Pleno y Diputación Permanente. VIII Legislatura. Año 2004, núm. 21, páginas 876 y ss.).</w:t>
      </w:r>
    </w:p>
    <w:p w:rsidR="0026452D" w:rsidRDefault="0026452D" w:rsidP="0026452D">
      <w:pPr>
        <w:pStyle w:val="TextoNormal"/>
      </w:pPr>
    </w:p>
    <w:p w:rsidR="0026452D" w:rsidRDefault="0026452D" w:rsidP="0026452D">
      <w:pPr>
        <w:pStyle w:val="TextoNormal"/>
      </w:pPr>
      <w:r>
        <w:lastRenderedPageBreak/>
        <w:t>Como puede apreciarse en los pasajes del preámbulo del Real Decreto-ley 2/2004 y de la intervención de la Ministra de Medio Ambiente en el debate parlamentario de convalidación, ahora reproducidos, el recurso a esta norma de urgencia se justifica en la necesidad imperiosa de suministrar agua a las cuencas deficitarias —a este respecto se afirma en la parte expositiva del Real Decreto-ley que “la satisfacción de las necesidades hídricas de las cuencas mediterráneas no admite demora”— y hacerlo con una solución técnica, la que se plasma en las actuaciones e infraestructuras enumeradas en los anexos III y IV, muy distintas de aquella por la que se decantó en su día la Ley del plan hidrológico nacional, esto es, el trasvase de aguas desde la cuenca baja del río Ebro a esas cuencas mediterráneas deficitarias.</w:t>
      </w:r>
    </w:p>
    <w:p w:rsidR="0026452D" w:rsidRDefault="0026452D" w:rsidP="0026452D">
      <w:pPr>
        <w:pStyle w:val="TextoNormal"/>
      </w:pPr>
    </w:p>
    <w:p w:rsidR="0026452D" w:rsidRDefault="0026452D" w:rsidP="0026452D">
      <w:pPr>
        <w:pStyle w:val="TextoNormal"/>
      </w:pPr>
      <w:r>
        <w:t>La conclusión que se sostiene en el FJ 6 de la STC 237/2012, de 13 de diciembre, es que “puede apreciarse razonablemente la concurrencia de la extraordinaria y urgente necesidad tanto en la derogación de los preceptos de la Ley del plan hidrológico nacional como en las declaraciones de interés general por el Real Decreto-ley 2/2004. Sin entrar a valorar la bondad técnica de dichas medidas ni su oportunidad e idoneidad para paliar las deficiencias hídricas que han aquejado secularmente a las cuencas mediterráneas, juicios que no compete formular a este Tribunal Constitucional (en similares términos, SSTC 142/1993, de 22 de abril, FJ 9, y 182/1997, de 28 de octubre, FJ 4, relativas todas ellas a medidas de carácter económico), bien podemos afirmar que ni una ni otra representan un uso abusivo del decreto-ley.”</w:t>
      </w:r>
    </w:p>
    <w:p w:rsidR="0026452D" w:rsidRDefault="0026452D" w:rsidP="0026452D">
      <w:pPr>
        <w:pStyle w:val="TextoNormal"/>
      </w:pPr>
    </w:p>
    <w:p w:rsidR="0026452D" w:rsidRDefault="0026452D" w:rsidP="0026452D">
      <w:pPr>
        <w:pStyle w:val="TextoNormal"/>
      </w:pPr>
      <w:r>
        <w:t>Los razonamientos expuestos conducen a reconocer la validez del requisito de extraordinaria y urgente necesidad.</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Con respecto a la ausencia del requisito de la conexión de sentido o relación de adecuación entre la situación de urgencia y las medidas arbitradas para hacerle frente, dijimos en la citada STC 237/2012, de 13 de diciembre, (FJ 6) y recordamos ahora, lo siguiente: “Tampoco merece favorable acogida la denuncia de que el Real Decreto-ley no satisface el requisito de la conexión de sentido pues hubiera bastado con paralizar las obras de realización de las infraestructuras necesarias para la realización del trasvase del Ebro, sin necesidad de derogar los preceptos de la Ley del plan hidrológico nacional relativos al mismo, pues está al alcance de un Gobierno decidir libremente la realización o no de unas de unas obras expresamente declaradas de interés general por el legislador. Antes bien, se trata de una obligación normativa que está llamado a cumplir, de modo que en tanto esté vigente la ley, en este caso la Ley del plan hidrológico nacional, no tiene libertad alguna de elección y debe ejecutar las previsiones legales al exigirlo así de consuno los principios de legalidad, seguridad jurídica y pleno sometimiento de la acción administrativa a la ley y al Derecho (arts. 9.3 y 103.1 CE). Por lo mismo que la Ley del plan hidrológico nacional no se limitó a autorizar una serie de actuaciones, dejando su suerte en manos del Gobierno, no puede sostenerse que éste pueda desentenderse de la realización de aquéllas. La inaplicación de la ley no es una alternativa en nuestro ordenamiento constitucional y por ello mismo en tanto no se derogasen formalmente los preceptos de la Ley del plan hidrológico nacional que contenían el régimen jurídico del trasvase de aguas de la cuenca baja del Ebro era necesario llevar a cabo las actuaciones materiales necesarias para cumplimentarlo y destinar a tal fin los fondos precisos.” (FJ 6). En este mismo fundamento jurídico desestimamos igualmente el alegato relativo a la falta de aplicación completa e inmediata del Decreto-ley como criterio determinante de su inconstitucionalidad pues “no debe confundirse eficacia inmediata de la </w:t>
      </w:r>
      <w:r>
        <w:lastRenderedPageBreak/>
        <w:t>norma provisional con la ejecución instantánea de la misma” dado que “sólo aquélla es un requisito ínsito en la definición constitucional del decreto-ley establecida en el art. 86.1 CE”.</w:t>
      </w:r>
    </w:p>
    <w:p w:rsidR="0026452D" w:rsidRDefault="0026452D" w:rsidP="0026452D">
      <w:pPr>
        <w:pStyle w:val="TextoNormal"/>
      </w:pPr>
    </w:p>
    <w:p w:rsidR="0026452D" w:rsidRDefault="0026452D" w:rsidP="0026452D">
      <w:pPr>
        <w:pStyle w:val="TextoNormal"/>
      </w:pPr>
      <w:r>
        <w:t>Lo expuesto nos conduce a desestimar el primer bloque de razonamientos concretado en el fundamento jurídico 2 a) de esta resolución, formulados por el Consejo de Gobierno de la Región de Murcia en relación con el Real Decreto-ley 2/2004, de 18 de junio, por el que se modifica la Ley 10/2001, de 5 de julio, del plan hidrológico nacional.</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La pretendida infracción del derecho de participación por el Real Decreto-ley 2/2004 a la que hemos hecho referencia en el fundamento jurídico 2 b) de esta resolución fue descartada en el fundamento jurídico 8 de la STC 237/2012. Concretamente, por lo que atañe a la falta de intervención del Consejo Nacional del Agua en el procedimiento de elaboración de este Decreto-ley, eje central de toda la argumentación desarrollada por la representación del Ejecutivo autonómico, advertimos entonces que la lectura de la regulación y funciones que de este órgano colegiado se contiene en el texto refundido de la Ley de aguas no puede llevarnos a “concluir que el legislador infraconstitucional haya podido trascenderse a sí mismo e introducir en el art. 86 CE una limitación procedimental </w:t>
      </w:r>
      <w:r w:rsidRPr="0026452D">
        <w:rPr>
          <w:i/>
        </w:rPr>
        <w:t>ratione materiae</w:t>
      </w:r>
      <w:r>
        <w:t xml:space="preserve"> para la utilización del decreto-ley cuando concurra el presupuesto habilitante”. Por lo demás, esta misma conclusión la hemos reiterado recientemente con ocasión del enjuiciamiento de la constitucionalidad de determinados preceptos de la Ley 11/2005, de 5 de julio, resultante de la tramitación como proyecto de ley del Real Decreto-ley 2/2004 [STC 19/2013, de 21 de enero, FJ 2 b)], al subrayar que dicha tramitación se desarrolla en el seno de las Cortes Generales y se rige únicamente por la Constitución y los Reglamentos de las Cámaras.</w:t>
      </w:r>
    </w:p>
    <w:p w:rsidR="0026452D" w:rsidRDefault="0026452D" w:rsidP="0026452D">
      <w:pPr>
        <w:pStyle w:val="TextoNormal"/>
      </w:pPr>
    </w:p>
    <w:p w:rsidR="0026452D" w:rsidRDefault="0026452D" w:rsidP="0026452D">
      <w:pPr>
        <w:pStyle w:val="TextoNormal"/>
      </w:pPr>
      <w:r>
        <w:t>En cuanto la queja de vulneración de este mismo derecho de participación “por inaplicación de la Directiva marco del agua”, baste reiterar ahora que “en la medida en que tanto despejar esta incógnita como examinar la efectiva existencia de infracción de las Directivas citadas es presupuesto inexcusable para el análisis del motivo esgrimido para postular la nulidad del Real Decreto-ley 2/2004, cumple recordar, una vez más, que ‘a este Tribunal no le corresponde controlar la adecuación de la actividad de los poderes públicos nacionales al Derecho comunitario europeo, pues este control compete a los órganos de la jurisdicción ordinaria, en cuanto aplicadores que son del ordenamiento comunitario, y, en su caso, al Tribunal de Justicia de la Unión Europea’ (STC 135/2012, de 19 de junio, FJ 2).” (STC 237/2012, FJ 8). Lo dicho nos exime del análisis de los instrumentos de Derecho internacional mencionados por el Letrado autonómico en su escrito de demanda, pues “los Tratados internacionales no constituyen canon para el enjuiciamiento de la adecuación a la Constitución de normas dotadas de rango legal” (STC 136/2011, de 13 de septiembre, FJ 12, y las numerosas resoluciones allí citadas).</w:t>
      </w:r>
    </w:p>
    <w:p w:rsidR="0026452D" w:rsidRDefault="0026452D" w:rsidP="0026452D">
      <w:pPr>
        <w:pStyle w:val="TextoNormal"/>
      </w:pPr>
    </w:p>
    <w:p w:rsidR="0026452D" w:rsidRDefault="0026452D" w:rsidP="0026452D">
      <w:pPr>
        <w:pStyle w:val="TextoNormal"/>
      </w:pPr>
      <w:r>
        <w:t>Los criterios manifestados conducen a desestimar la impugnación del segundo bloque de contenidos efectuado por el Consejo de Gobierno de la Comunidad de Murcia, al impugnar el Real Decreto-ley 2/2004.</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La infracción del principio de interdicción de la arbitrariedad que constituye el tercer argumento dirigido contra el Real Decreto-ley 2/2004 debe ser asimismo rechazada por los motivos ya expuestos en el fundamento jurídico 9 a) de la STC 237/2012 [las letras b) y c) de ese mismo fundamento jurídico se dedican al estudio de otras vertientes del vicio que no han sido aducidas por el Consejo de Gobierno de la Región de Murcia]. Según advertimos </w:t>
      </w:r>
      <w:r>
        <w:lastRenderedPageBreak/>
        <w:t>entonces —y hemos reiterado en la reciente STC 19/2013, de 31 de enero, FJ 2 b)— “este Tribunal viene afirmando que cuando del enjuiciamiento de una norma legal desde la perspectiva que proporciona la interdicción de arbitrariedad consagrada por el art. 9.3 CE se trata,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(entre otras muchas, SSTC 104/2000, de 13 de abril, FJ 8 y 148/2012, de 5 de julio, FJ 15)”.</w:t>
      </w:r>
    </w:p>
    <w:p w:rsidR="0026452D" w:rsidRDefault="0026452D" w:rsidP="0026452D">
      <w:pPr>
        <w:pStyle w:val="TextoNormal"/>
      </w:pPr>
    </w:p>
    <w:p w:rsidR="0026452D" w:rsidRDefault="0026452D" w:rsidP="0026452D">
      <w:pPr>
        <w:pStyle w:val="TextoNormal"/>
      </w:pPr>
      <w:r>
        <w:t>El preámbulo del Real Decreto-ley 2/2004 ha sido ya objeto de examen específico en esta misma Sentencia para descartar que dicha modificación legal llevada a cabo mediante el uso de una norma con valor de ley provisional y urgente representara un uso abusivo o arbitrario de la figura del decreto-ley. Cuestión distinta, y sobre la que no procede que este Tribunal formule pronunciamiento alguno, es la eficacia persuasiva que esas mismas razones hayan podido tener.</w:t>
      </w:r>
    </w:p>
    <w:p w:rsidR="0026452D" w:rsidRDefault="0026452D" w:rsidP="0026452D">
      <w:pPr>
        <w:pStyle w:val="TextoNormal"/>
      </w:pPr>
    </w:p>
    <w:p w:rsidR="0026452D" w:rsidRDefault="0026452D" w:rsidP="0026452D">
      <w:pPr>
        <w:pStyle w:val="TextoNormal"/>
      </w:pPr>
      <w:r>
        <w:t>En todo caso, como ha reconocido el fundamento jurídico 2 b) de la STC 19/2013, de 31 de enero, “la legítima discrepancia con la norma no es de suyo razón de inconstitucionalidad”, añadiendo que “los informes, estudios e intervenciones previos a la elaboración de la Ley del plan hidrológico nacional no agotaron su función con la aprobación de este texto legal sino que seguían estando a disposición del Gobierno de la Nación, quien habría hecho uso de algunos de ellos, así como de otros informes elevados con posterioridad a la promulgación de la Ley y que se mencionan específicamente en el preámbulo del Real Decreto-ley 2/2004. Así se advierte en la lectura del debate de convalidación, en el que distintas intervenciones hicieron mención expresa al contenido y sentido de esos mismos informes.”</w:t>
      </w:r>
    </w:p>
    <w:p w:rsidR="0026452D" w:rsidRDefault="0026452D" w:rsidP="0026452D">
      <w:pPr>
        <w:pStyle w:val="TextoNormal"/>
      </w:pPr>
    </w:p>
    <w:p w:rsidR="0026452D" w:rsidRDefault="0026452D" w:rsidP="0026452D">
      <w:pPr>
        <w:pStyle w:val="TextoNormal"/>
      </w:pPr>
      <w:r>
        <w:t>Los argumentos expuestos conducen al rechazo de la infracción del principio de interdicción de la arbitrariedad aducido por la parte recurrente.</w:t>
      </w:r>
    </w:p>
    <w:p w:rsidR="0026452D" w:rsidRDefault="0026452D" w:rsidP="0026452D">
      <w:pPr>
        <w:pStyle w:val="TextoNormal"/>
      </w:pPr>
    </w:p>
    <w:p w:rsidR="0026452D" w:rsidRDefault="0026452D" w:rsidP="0026452D">
      <w:pPr>
        <w:pStyle w:val="TextoNormal"/>
      </w:pPr>
      <w:r w:rsidRPr="0026452D">
        <w:rPr>
          <w:rStyle w:val="NumeroAFNegritaCaracter"/>
        </w:rPr>
        <w:t>8</w:t>
      </w:r>
      <w:r>
        <w:t>. Finalmente, procede realizar el análisis del motivo del fundamento jurídico 2 d) de esta resolución, relativo a la pretendida vulneración de los límites materiales a los decretos-leyes fijados en el art. 86.1 CE. Ya en la STC 237/2012, de 13 de diciembre, en cuanto a la falta de intervención del Senado en la elaboración y aprobación del Real Decreto-ley 2/2004, advertimos que era una “consecuencia lógica de la regulación constitucional de la figura del decreto-ley. No estará de más insistir, al respecto, en que el recurso al decreto-ley conlleva la sustitución del Parlamento por el Gobierno en la aprobación de normas con valor de ley y vigencia provisional (STC 182/1997, FJ 3), como tampoco recordar que nuestro sistema parlamentario se caracteriza por un ‘notorio bicameralismo imperfecto’ (STC 155/2005, de 9 de junio, FJ 9), una de cuyas manifestaciones radica, precisamente, en la reserva exclusiva al Congreso de los Diputados de la competencia para convalidar los decretos-leyes, sin intervención del Senado.” [FJ 7 a)].</w:t>
      </w:r>
    </w:p>
    <w:p w:rsidR="0026452D" w:rsidRDefault="0026452D" w:rsidP="0026452D">
      <w:pPr>
        <w:pStyle w:val="TextoNormal"/>
      </w:pPr>
    </w:p>
    <w:p w:rsidR="0026452D" w:rsidRDefault="0026452D" w:rsidP="0026452D">
      <w:pPr>
        <w:pStyle w:val="TextoNormal"/>
      </w:pPr>
      <w:r>
        <w:t xml:space="preserve">Con respecto al equilibrio interterritorial, concretado en el equilibrio hidrológico, decíamos entonces, y reiteramos ahora, que “sin que ello suponga minusvaloración alguna, interesa subrayar que ese equilibrio territorial es un objetivo de la política hidráulica —establecido por el legislador ordinario— carente de todo componente orgánico, por lo que no puede concluirse que la alteración de las determinaciones legislativas cuando concurra el </w:t>
      </w:r>
      <w:r>
        <w:lastRenderedPageBreak/>
        <w:t>presupuesto habilitante afecte en modo alguno a una institución basilar del Estado constitucional.” (STC 237/2012, de 13 de diciembre, FJ 7).</w:t>
      </w:r>
    </w:p>
    <w:p w:rsidR="0026452D" w:rsidRDefault="0026452D" w:rsidP="0026452D">
      <w:pPr>
        <w:pStyle w:val="TextoNormal"/>
      </w:pPr>
    </w:p>
    <w:p w:rsidR="0026452D" w:rsidRDefault="0026452D" w:rsidP="0026452D">
      <w:pPr>
        <w:pStyle w:val="TextoNormal"/>
      </w:pPr>
      <w:r>
        <w:t>Resta únicamente por señalar que la representación del Consejo de Gobierno de la Región de Murcia no ha aportado ninguna razón que permita compartir su caracterización del Real Decreto-ley 2/2004 como una ley singular o de caso único, figura que hace referencia a aquellas normas “dictadas en atención a un supuesto de hecho concreto y singular, que agotan su contenido y eficacia en la adopción y ejecución de la medida tomada por el legislador ante ese supuesto de hecho, aislado en la ley singular y no comunicable con ningún otro” (SSTC 166/1986, de 19 de diciembre, FJ 10; y121/2012, de 5 de junio, FJ 3), lo que impide compartir las conclusiones del discurso desarrollado en este punto por el Letrado autonómico sobre la caracterización que deduce la inconstitucionalidad del Decreto-ley controvertido en este proceso.</w:t>
      </w:r>
    </w:p>
    <w:p w:rsidR="0026452D" w:rsidRDefault="0026452D" w:rsidP="0026452D">
      <w:pPr>
        <w:pStyle w:val="TextoNormal"/>
      </w:pPr>
    </w:p>
    <w:p w:rsidR="0026452D" w:rsidRDefault="0026452D" w:rsidP="0026452D">
      <w:pPr>
        <w:pStyle w:val="TextoNormal"/>
      </w:pPr>
      <w:r w:rsidRPr="0026452D">
        <w:rPr>
          <w:rStyle w:val="NumeroAFNegritaCaracter"/>
        </w:rPr>
        <w:t>9</w:t>
      </w:r>
      <w:r>
        <w:t>. Los razonamientos expuestos conducen a desestimar el recurso de inconstitucionalidad promovido por el Consejo de Gobierno de la Comunidad Autónoma de Murcia contra el Real Decreto-ley 2/2004.</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veintiocho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55" w:name="SENTENCIA_2013_52"/>
      <w:r>
        <w:lastRenderedPageBreak/>
        <w:t>SENTENCIA 52/2013, de 28 de febrero de 2013</w:t>
      </w:r>
    </w:p>
    <w:bookmarkEnd w:id="55"/>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73, de 26 de marzo de 2013)</w:t>
      </w:r>
    </w:p>
    <w:p w:rsidR="0026452D" w:rsidRDefault="0026452D" w:rsidP="0026452D">
      <w:pPr>
        <w:pStyle w:val="TtuloBOE"/>
      </w:pPr>
    </w:p>
    <w:p w:rsidR="0026452D" w:rsidRDefault="0026452D" w:rsidP="0026452D">
      <w:pPr>
        <w:pStyle w:val="SntesisDescriptiva"/>
      </w:pPr>
      <w:r>
        <w:t>ECLI:ES:TC:2013:52</w:t>
      </w:r>
    </w:p>
    <w:p w:rsidR="0026452D" w:rsidRDefault="0026452D" w:rsidP="0026452D">
      <w:pPr>
        <w:pStyle w:val="SntesisDescriptiva"/>
      </w:pPr>
    </w:p>
    <w:p w:rsidR="0026452D" w:rsidRDefault="0026452D" w:rsidP="0026452D">
      <w:pPr>
        <w:pStyle w:val="SntesisDescriptiva"/>
      </w:pPr>
      <w:r>
        <w:t>Conflicto positivo de competencia 7604-2009 . Planteado por el Gobierno de la Generalitat de Cataluña en relación con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w:t>
      </w:r>
    </w:p>
    <w:p w:rsidR="0026452D" w:rsidRDefault="0026452D" w:rsidP="0026452D">
      <w:pPr>
        <w:pStyle w:val="SntesisDescriptiva"/>
      </w:pPr>
    </w:p>
    <w:p w:rsidR="0026452D" w:rsidRDefault="0026452D" w:rsidP="0026452D">
      <w:pPr>
        <w:pStyle w:val="SntesisAnaltica"/>
      </w:pPr>
      <w:r>
        <w:t>Competencias sobre condiciones básicas de igualdad y asistencia social: preceptos reglamentarios estatales que vulneran las competencias autonómicas de gestión de las subvenciones (STC 21/2013).</w:t>
      </w:r>
    </w:p>
    <w:p w:rsidR="0026452D" w:rsidRDefault="0026452D" w:rsidP="0026452D">
      <w:pPr>
        <w:pStyle w:val="SntesisAnaltica"/>
      </w:pPr>
    </w:p>
    <w:p w:rsidR="0026452D" w:rsidRDefault="0026452D" w:rsidP="0026452D">
      <w:pPr>
        <w:pStyle w:val="Extracto"/>
      </w:pPr>
      <w:r>
        <w:t>1.</w:t>
      </w:r>
      <w:r>
        <w:tab/>
        <w:t>El contenido de la orden objeto del presente conflicto de competencia es coincidente, al tratarse de la misma convocatoria de subvenciones en materia de asistencia social en un ejercicio posterior, con el de la orden que enjuiciamos en la STC 21/2013 [FJ 3].</w:t>
      </w:r>
    </w:p>
    <w:p w:rsidR="0026452D" w:rsidRDefault="0026452D" w:rsidP="0026452D">
      <w:pPr>
        <w:pStyle w:val="Extracto"/>
      </w:pPr>
    </w:p>
    <w:p w:rsidR="0026452D" w:rsidRDefault="0026452D" w:rsidP="0026452D">
      <w:pPr>
        <w:pStyle w:val="Extracto"/>
      </w:pPr>
      <w:r>
        <w:t>2.</w:t>
      </w:r>
      <w:r>
        <w:tab/>
        <w:t xml:space="preserve">Las subvenciones controvertidas, dirigidas a la realización de programas de cooperación y voluntariado sociales con cargo a la asignación tributaria del impuesto sobre la renta de las personas físicas, se deben encuadrar en materia de asistencia social, </w:t>
      </w:r>
      <w:r w:rsidRPr="0026452D">
        <w:rPr>
          <w:i/>
        </w:rPr>
        <w:t>ex</w:t>
      </w:r>
      <w:r>
        <w:t xml:space="preserve"> art. 148.1.20 CE, correspondiendo a la Comunidad Autónoma la competencia exclusiva en la materia (SSTC 36/2012, 21/2013) [FJ 4].</w:t>
      </w:r>
    </w:p>
    <w:p w:rsidR="0026452D" w:rsidRDefault="0026452D" w:rsidP="0026452D">
      <w:pPr>
        <w:pStyle w:val="Extracto"/>
      </w:pPr>
    </w:p>
    <w:p w:rsidR="0026452D" w:rsidRDefault="0026452D" w:rsidP="0026452D">
      <w:pPr>
        <w:pStyle w:val="Extracto"/>
      </w:pPr>
      <w:r>
        <w:t>3.</w:t>
      </w:r>
      <w:r>
        <w:tab/>
        <w:t>Debemos rechazar que la regulación de las ayudas controvertidas pueda relacionarse con el título competencial del art. 149.1.1 CE, pues ni por su objeto ni por su contenido cabe apreciar una conexión directa con dicho título, sin que ello impida al Estado, en uso de su soberanía financiera, asignar fondos públicos a unas finalidades u otras al existir otros preceptos constitucionales que legitiman su capacidad para disponer de su presupuesto en la acción social o económica (STC 21/2013) [FJ 5].</w:t>
      </w:r>
    </w:p>
    <w:p w:rsidR="0026452D" w:rsidRDefault="0026452D" w:rsidP="0026452D">
      <w:pPr>
        <w:pStyle w:val="Extracto"/>
      </w:pPr>
    </w:p>
    <w:p w:rsidR="0026452D" w:rsidRDefault="0026452D" w:rsidP="0026452D">
      <w:pPr>
        <w:pStyle w:val="Extracto"/>
      </w:pPr>
      <w:r>
        <w:t>4.</w:t>
      </w:r>
      <w:r>
        <w:tab/>
        <w:t>Puesto que la Comunidad Autónoma ostenta competencia exclusiva sobre asistencia social y el Estado no ha invocado título competencial suficiente –genérico o específico– sobre la misma, la intervención estatal debe limitarse a asignar parte de sus fondos presupuestarios a esta materia de manera genérica o global, integrando estos fondos como un recurso que nutre la Hacienda autonómica, de manera que su asignación quede territorializada, a ser posible, en los mismos Presupuestos Generales del Estado (STC 13/1992) [FJ 6].</w:t>
      </w:r>
    </w:p>
    <w:p w:rsidR="0026452D" w:rsidRDefault="0026452D" w:rsidP="0026452D">
      <w:pPr>
        <w:pStyle w:val="Extracto"/>
      </w:pPr>
    </w:p>
    <w:p w:rsidR="0026452D" w:rsidRDefault="0026452D" w:rsidP="0026452D">
      <w:pPr>
        <w:pStyle w:val="Extracto"/>
      </w:pPr>
      <w:r>
        <w:t>5.</w:t>
      </w:r>
      <w:r>
        <w:tab/>
        <w:t xml:space="preserve">Tratándose de ayudas en materia de asistencia social, al Estado le corresponde la regulación de los aspectos centrales del régimen subvencional –objeto y finalidad, modalidad técnica, beneficiarios y requisitos generales de acceso–, mientras que a </w:t>
      </w:r>
      <w:r>
        <w:lastRenderedPageBreak/>
        <w:t>las Comunidades Autónomas les corresponde lo atinente a su gestión –tramitación, resolución y pago, así como la regulación del procedimiento correspondiente a estos aspectos– (SSTC 178/2011, 227/2012) [FJ 6].</w:t>
      </w:r>
    </w:p>
    <w:p w:rsidR="0026452D" w:rsidRDefault="0026452D" w:rsidP="0026452D">
      <w:pPr>
        <w:pStyle w:val="Extracto"/>
      </w:pPr>
    </w:p>
    <w:p w:rsidR="0026452D" w:rsidRDefault="0026452D" w:rsidP="0026452D">
      <w:pPr>
        <w:pStyle w:val="Extracto"/>
      </w:pPr>
      <w:r>
        <w:t>6.</w:t>
      </w:r>
      <w:r>
        <w:tab/>
        <w:t>El Estado tiene la capacidad para poner su poder de gasto al servicio de una política de asistencia social, en el ejercicio soberano de la función legislativa presupuestaria, sin perjuicio de que corresponda a la Comunidad Autónoma la competencia exclusiva en materia de asistencia social (STC 13/1992) [FJ 5].</w:t>
      </w:r>
    </w:p>
    <w:p w:rsidR="0026452D" w:rsidRDefault="0026452D" w:rsidP="0026452D">
      <w:pPr>
        <w:pStyle w:val="Extracto"/>
      </w:pPr>
    </w:p>
    <w:p w:rsidR="0026452D" w:rsidRDefault="0026452D" w:rsidP="0026452D">
      <w:pPr>
        <w:pStyle w:val="Extracto"/>
      </w:pPr>
      <w:r>
        <w:t>7.</w:t>
      </w:r>
      <w:r>
        <w:tab/>
        <w:t>Atendiendo a las pautas de algunos instrumentos internacionales, como la Carta social europea, la asistencia social, en sentido abstracto, abarca a una técnica de protección situada extramuros del sistema de la Seguridad Social, con caracteres propios, tratándose de un mecanismo protector de situaciones de necesidad específicas, sentidas por grupos de población a los que no alcanza el sistema de Seguridad Social y que opera mediante técnicas distintas de las propias de ésta (STC 36/2012) [FJ 4].</w:t>
      </w:r>
    </w:p>
    <w:p w:rsidR="0026452D" w:rsidRDefault="0026452D" w:rsidP="0026452D">
      <w:pPr>
        <w:pStyle w:val="Extracto"/>
      </w:pPr>
    </w:p>
    <w:p w:rsidR="0026452D" w:rsidRDefault="0026452D" w:rsidP="0026452D">
      <w:pPr>
        <w:pStyle w:val="Extracto"/>
      </w:pPr>
      <w:r>
        <w:t>8.</w:t>
      </w:r>
      <w:r>
        <w:tab/>
        <w:t>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(SSTC 138/2009, 21/2013) [FJ 3].</w:t>
      </w:r>
    </w:p>
    <w:p w:rsidR="0026452D" w:rsidRDefault="0026452D" w:rsidP="0026452D">
      <w:pPr>
        <w:pStyle w:val="Extracto"/>
      </w:pPr>
    </w:p>
    <w:p w:rsidR="0026452D" w:rsidRDefault="0026452D" w:rsidP="0026452D">
      <w:pPr>
        <w:pStyle w:val="Extracto"/>
      </w:pPr>
      <w:r>
        <w:t>9.</w:t>
      </w:r>
      <w:r>
        <w:tab/>
        <w:t>El enunciado de la competencia autonómica como exclusiva no enerva las diferentes competencias del Estado que puedan estar implicadas, sea cuando éstas concurran con las autonómicas sobre el mismo espacio físico o sea sobre el mismo objeto jurídico, no siendo precisa una expresa salvaguarda de las competencias constitucionalmente reservadas al Estado por el art. 149.1 CE, puesto que constituyen límites infranqueables a los enunciados estatutarios (STC 31/2010) [FJ 5].</w:t>
      </w:r>
    </w:p>
    <w:p w:rsidR="0026452D" w:rsidRDefault="0026452D" w:rsidP="0026452D">
      <w:pPr>
        <w:pStyle w:val="Extracto"/>
      </w:pPr>
    </w:p>
    <w:p w:rsidR="0026452D" w:rsidRDefault="0026452D" w:rsidP="0026452D">
      <w:pPr>
        <w:pStyle w:val="Extracto"/>
      </w:pPr>
      <w:r>
        <w:t>10.</w:t>
      </w:r>
      <w:r>
        <w:tab/>
        <w:t xml:space="preserve">La competencia estatal, </w:t>
      </w:r>
      <w:r w:rsidRPr="0026452D">
        <w:rPr>
          <w:i/>
        </w:rPr>
        <w:t>ex</w:t>
      </w:r>
      <w:r>
        <w:t xml:space="preserve"> art. 149.1.1 CE, no puede operar como una especie de título horizontal, capaz de introducirse en cualquier materia o sector del ordenamiento, pues el legislador estatal no puede establecer el régimen jurídico completo de la materia, regulación acabada que corresponde al poder público que corresponda según el sistema constitucional de distribución de competencias (SSTC 61/1997, 177/2012) [FJ 5].</w:t>
      </w:r>
    </w:p>
    <w:p w:rsidR="0026452D" w:rsidRDefault="0026452D" w:rsidP="0026452D">
      <w:pPr>
        <w:pStyle w:val="Extracto"/>
      </w:pPr>
    </w:p>
    <w:p w:rsidR="0026452D" w:rsidRDefault="0026452D" w:rsidP="0026452D">
      <w:pPr>
        <w:pStyle w:val="Extracto"/>
      </w:pPr>
      <w:r>
        <w:t>11.</w:t>
      </w:r>
      <w:r>
        <w:tab/>
        <w:t>Doctrina sobre la pervivencia del objeto del conflicto positivo de competencia pese a la modificación o derogación de la norma (SSTC 233/1999, 99/2012) [FJ 2].</w:t>
      </w:r>
    </w:p>
    <w:p w:rsidR="0026452D" w:rsidRDefault="0026452D" w:rsidP="0026452D">
      <w:pPr>
        <w:pStyle w:val="Extracto"/>
      </w:pPr>
    </w:p>
    <w:p w:rsidR="0026452D" w:rsidRDefault="0026452D" w:rsidP="0026452D">
      <w:pPr>
        <w:pStyle w:val="Extracto"/>
      </w:pPr>
      <w:r>
        <w:t>12.</w:t>
      </w:r>
      <w:r>
        <w:tab/>
        <w:t>Procede estimarse satisfecha la pretensión del Gobierno de la Generalitat de Cataluña mediante la declaración de titularidad de la competencia controvertida al haber agotado la norma sus efectos y una eventual declaración de nulidad podría afectar a situaciones jurídicas consolidadas (SSTC 75/1989, 186/1999) [FJ 8].</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 xml:space="preserve">El Pleno del Tribunal Constitucional, compuesto por don Pascual Sala Sánchez, Presidente, don Ramón Rodríguez Arribas, don Manuel Aragón Reyes, don Pablo Pérez Tremps, </w:t>
      </w:r>
      <w:r>
        <w:lastRenderedPageBreak/>
        <w:t>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7604-2009 promovido por la Letrada de la Generalitat de Cataluña, en representación de su Gobierno, contra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 Ha intervenido y formulado alegaciones el Abogado del Estado en la representación que legalmente ostenta. Ha sido Ponente el Magistrado don Pablo Pérez Tremps,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con fecha 10 de septiembre de 2009 la Letrada de la Generalitat de Cataluña, en representación de su Gobierno, formalizó ante el Tribunal conflicto positivo de competencia contra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 Los términos del conflicto, según resulta del escrito de interposición y de la documentación adjunta, se exponen a continuación.</w:t>
      </w:r>
    </w:p>
    <w:p w:rsidR="0026452D" w:rsidRDefault="0026452D" w:rsidP="0026452D">
      <w:pPr>
        <w:pStyle w:val="TextoNormal"/>
      </w:pPr>
    </w:p>
    <w:p w:rsidR="0026452D" w:rsidRDefault="0026452D" w:rsidP="0026452D">
      <w:pPr>
        <w:pStyle w:val="TextoNormal"/>
      </w:pPr>
      <w:r>
        <w:t>a) Comienza la representación de la Generalitat aludiendo al requerimiento de incompetencia que el Consejo Ejecutivo de la Generalitat dirigió al Gobierno de la Nación en relación con la orden impugnada en el que se solicitaba su derogación por invasión de la competencia exclusiva autonómica en materia de asistencia social. Requerimiento que fue rechazado.</w:t>
      </w:r>
    </w:p>
    <w:p w:rsidR="0026452D" w:rsidRDefault="0026452D" w:rsidP="0026452D">
      <w:pPr>
        <w:pStyle w:val="TextoNormal"/>
      </w:pPr>
    </w:p>
    <w:p w:rsidR="0026452D" w:rsidRDefault="0026452D" w:rsidP="0026452D">
      <w:pPr>
        <w:pStyle w:val="TextoNormal"/>
      </w:pPr>
      <w:r>
        <w:t>A continuación, prosigue el escrito señalando que recientemente su Gobierno ha planteado otros conflictos positivos de competencias en materia de subvenciones para fines de asistencia social, conflictos positivos de competencias frente a las Órdenes TAS/893/2005; TAS/1984/2005; TAS/3441/2005; TAS/892/2006; TIN/2158/2008; frente a la resolución de 11 de agosto de 2008, de la Dirección General de Integración de los Inmigrantes; y frente a la resolución de 14 de julio de 2008, de la Dirección General de Inmigración, por la que se convocan subvenciones públicas para habilitación de plazas de alojamiento. Las argumentaciones vertidas en estos conflictos resultarían extrapolables a la presente controversia.</w:t>
      </w:r>
    </w:p>
    <w:p w:rsidR="0026452D" w:rsidRDefault="0026452D" w:rsidP="0026452D">
      <w:pPr>
        <w:pStyle w:val="TextoNormal"/>
      </w:pPr>
    </w:p>
    <w:p w:rsidR="0026452D" w:rsidRDefault="0026452D" w:rsidP="0026452D">
      <w:pPr>
        <w:pStyle w:val="TextoNormal"/>
      </w:pPr>
      <w:r>
        <w:t>De acuerdo con el escrito de la representante de la Generalitat, la Orden SAS/1352/2009, de 26 de mayo, ahora impugnada, no se ajusta a la doctrina constitucional sobre la actividad subvencional del Estado en el ámbito de la asistencia social, no siendo respetuosa con el vigente orden de distribución de competencias, puesto que no reúne los requisitos exigidos por la jurisprudencia constitucional para considerar legítima la gestión centralizada de las ayudas.</w:t>
      </w:r>
    </w:p>
    <w:p w:rsidR="0026452D" w:rsidRDefault="0026452D" w:rsidP="0026452D">
      <w:pPr>
        <w:pStyle w:val="TextoNormal"/>
      </w:pPr>
    </w:p>
    <w:p w:rsidR="0026452D" w:rsidRDefault="0026452D" w:rsidP="0026452D">
      <w:pPr>
        <w:pStyle w:val="TextoNormal"/>
      </w:pPr>
      <w:r>
        <w:t>b) Señalado lo anterior, el escrito de la representante de la Generalitat examina la jurisprudencia del Tribunal Constitucional en materia de asistencia social y, en concreto, la jurisprudencia sobre la actividad de fomento en dicha materia competencial.</w:t>
      </w:r>
    </w:p>
    <w:p w:rsidR="0026452D" w:rsidRDefault="0026452D" w:rsidP="0026452D">
      <w:pPr>
        <w:pStyle w:val="TextoNormal"/>
      </w:pPr>
    </w:p>
    <w:p w:rsidR="0026452D" w:rsidRDefault="0026452D" w:rsidP="0026452D">
      <w:pPr>
        <w:pStyle w:val="TextoNormal"/>
      </w:pPr>
      <w:r>
        <w:t>Se destaca que las Comunidades Autónomas han asumido competencias en materia de asistencia social, si bien, al tiempo, se recuerda que el Tribunal Constitucional habría reconocido la posibilidad de que el Estado intervenga en aquella bajo determinadas condiciones. Así, se refiere el escrito de la representante de la Generalitat a la STC 76/1986, de 9 de junio, o a la STC 146/1986, de 25 de noviembre, en las que, tras afirmar que la “asistencia social” es competencia exclusiva de la Comunidad Autónoma, se estableció que, no obstante, el Estado, en la medida que existan problemas sociales peculiares que requieran y exijan un planteamiento global, puede intervenir al respecto también mediante medidas de fomento, pero respetando las competencias propias de la Comunidad Autónoma. Distingue el recurrente estas medidas de fomento de aquellas otras como las pensiones asistenciales que son igualmente competencia del Estado.</w:t>
      </w:r>
    </w:p>
    <w:p w:rsidR="0026452D" w:rsidRDefault="0026452D" w:rsidP="0026452D">
      <w:pPr>
        <w:pStyle w:val="TextoNormal"/>
      </w:pPr>
    </w:p>
    <w:p w:rsidR="0026452D" w:rsidRDefault="0026452D" w:rsidP="0026452D">
      <w:pPr>
        <w:pStyle w:val="TextoNormal"/>
      </w:pPr>
      <w:r>
        <w:t>Igualmente se hace referencia en el escrito de la representación de la Generalitat a la doctrina sentada en las SSTC 13/1992, de 6 de febrero y 239/2002, de 11 de diciembre, que permitiría al Estado actuar en materia de asistencia social mediante medidas de fomento, pero siendo legítima la intervención estatal en la gestión directa de la concesión de ayudas sólo en la medida en que los programas correspondientes no puedan territorializarse en su gestión, esto es, cuando el ámbito estatal de su naturaleza y efectos hagan imposible la consecución del objetivo previsto sin esa gestión centralizada.</w:t>
      </w:r>
    </w:p>
    <w:p w:rsidR="0026452D" w:rsidRDefault="0026452D" w:rsidP="0026452D">
      <w:pPr>
        <w:pStyle w:val="TextoNormal"/>
      </w:pPr>
    </w:p>
    <w:p w:rsidR="0026452D" w:rsidRDefault="0026452D" w:rsidP="0026452D">
      <w:pPr>
        <w:pStyle w:val="TextoNormal"/>
      </w:pPr>
      <w:r>
        <w:t>c) Una vez examinada la doctrina constitucional en materia de asistencia social, la representante del Gobierno de la Generalitat procede al análisis del amparo constitucional que el Gobierno de la Nación pretende para la Orden SAS/1352/2009.</w:t>
      </w:r>
    </w:p>
    <w:p w:rsidR="0026452D" w:rsidRDefault="0026452D" w:rsidP="0026452D">
      <w:pPr>
        <w:pStyle w:val="TextoNormal"/>
      </w:pPr>
    </w:p>
    <w:p w:rsidR="0026452D" w:rsidRDefault="0026452D" w:rsidP="0026452D">
      <w:pPr>
        <w:pStyle w:val="TextoNormal"/>
      </w:pPr>
      <w:r>
        <w:t>Para ello, examina, en primer lugar, la propia Orden SAS/1352/2009 y, en segundo lugar, los argumentos aducidos por el Gobierno de la Nación en el acuerdo del Consejo de Ministros de 13 de agosto de 2009 por el que rechaza el requerimiento de incompetencia planteado por el Gobierno de la Generalitat.</w:t>
      </w:r>
    </w:p>
    <w:p w:rsidR="0026452D" w:rsidRDefault="0026452D" w:rsidP="0026452D">
      <w:pPr>
        <w:pStyle w:val="TextoNormal"/>
      </w:pPr>
    </w:p>
    <w:p w:rsidR="0026452D" w:rsidRDefault="0026452D" w:rsidP="0026452D">
      <w:pPr>
        <w:pStyle w:val="TextoNormal"/>
      </w:pPr>
      <w:r>
        <w:t>El preámbulo de la Orden SAS/1352/2009 hace referencia al Decreto 825/1988 por el que se regulan los fines de interés social de la asignación tributaria del impuesto sobre la renta de las personas físicas (IRPF) y al Real Decreto 195/1989, de 17 de febrero, por el que se establecen los requisitos y procedimiento para solicitar ayudas para fines de interés social, derivadas de la asignación tributaria del impuesto sobre la renta de las personas físicas, así como a las normas posteriores que los han modificado. Esta normativa, según se despren</w:t>
      </w:r>
      <w:r>
        <w:lastRenderedPageBreak/>
        <w:t>dería del propio preámbulo, legitimaría la gestión centralizada de los fondos correspondientes a la asignación tributaria del IRPF en el ejercicio de la competencia prevista en el art. 149.1.1 CE y en la necesidad de promover la igualdad efectiva en el ejercicio de los derechos sociales a través del empleo de criterios de eficiencia y economía en la programación y ejecución del gasto público.</w:t>
      </w:r>
    </w:p>
    <w:p w:rsidR="0026452D" w:rsidRDefault="0026452D" w:rsidP="0026452D">
      <w:pPr>
        <w:pStyle w:val="TextoNormal"/>
      </w:pPr>
    </w:p>
    <w:p w:rsidR="0026452D" w:rsidRDefault="0026452D" w:rsidP="0026452D">
      <w:pPr>
        <w:pStyle w:val="TextoNormal"/>
      </w:pPr>
      <w:r>
        <w:t>Señala el escrito de la representante de la Generalitat que de la lectura de los diversos preceptos de la Orden SAS/1352/2009 se extrae que la misma centraliza la gestión de las subvenciones, sin exigir la concurrencia de ninguno de los requisitos establecidos por la jurisprudencia constitucional para considerar constitucionalmente legítima tal centralización. Así, la orden omite tanto el alcance nacional que, por su naturaleza, efectos y dimensión han de reunir los programas a desarrollar, como el ámbito nacional de actuación de las entidades y organizaciones solicitantes vulnerando así la distribución de competencias en materia de asistencia social.</w:t>
      </w:r>
    </w:p>
    <w:p w:rsidR="0026452D" w:rsidRDefault="0026452D" w:rsidP="0026452D">
      <w:pPr>
        <w:pStyle w:val="TextoNormal"/>
      </w:pPr>
    </w:p>
    <w:p w:rsidR="0026452D" w:rsidRDefault="0026452D" w:rsidP="0026452D">
      <w:pPr>
        <w:pStyle w:val="TextoNormal"/>
      </w:pPr>
      <w:r>
        <w:t>Por su parte, el acuerdo del Consejo de Ministros de 13 de agosto de 2009 por el que rechaza el requerimiento de incompetencia de la Generalitat pretende encontrar amparo en el fundamento jurídico 13 K a) de la STC 13/1992 para la centralización de la gestión de las ayudas prevista en la orden impugnada, así como en el argumento de que las consignaciones presupuestarias relativas al 0,7 por 100 del IRPF se dedican a programas sociales en sentido amplio, de manera que, aunque se trate de asistencia social, esta materia podría concurrir con otras (dependencia, sanidad, inmigración, educación, cooperación al desarrollo, etc.). Igualmente se reproduce en el acuerdo del Consejo de Ministros la doctrina del Tribunal Constitucional sobre la concurrencia de las condiciones que justificaría una gestión centralizada de las ayudas por parte del Estado, y se recuerda que, en el preámbulo de la orden objeto de conflicto se busca amparo para la centralización de la gestión en el art. 149.1.1 CE y en otros preceptos constitucionales (arts. 1.1, 9.2, 138.1 y 2, 139.1 y 156.1CE).</w:t>
      </w:r>
    </w:p>
    <w:p w:rsidR="0026452D" w:rsidRDefault="0026452D" w:rsidP="0026452D">
      <w:pPr>
        <w:pStyle w:val="TextoNormal"/>
      </w:pPr>
    </w:p>
    <w:p w:rsidR="0026452D" w:rsidRDefault="0026452D" w:rsidP="0026452D">
      <w:pPr>
        <w:pStyle w:val="TextoNormal"/>
      </w:pPr>
      <w:r>
        <w:t>Para la representación de la Generalitat ninguna de las justificaciones aducidas en la orden objeto de conflicto o en el acuerdo referido puede amparar la actuación estatal invasiva de las competencias de la Generalitat. Asimismo se alega que dicho acuerdo no da respuesta a la tacha de incumplimiento de la doctrina constitucional que el Gobierno de la Generalitat puso de manifiesto en el escrito de requerimiento, pues el Estado pretende encontrar amparo para dicha actuación en la competencia recogida en el art. 149.1.1 CE; sin embargo, dicho título que ha dado cobertura a la concesión por el Estado de pensiones asistenciales nunca ha sido invocado, alega la representación de la Generalitat, por el Tribunal Constitucional para amparar el establecimiento de líneas de subvención para programas de acción social, pues el art. 149.1.1 CE, de acuerdo con la jurisprudencia del Tribunal, “no puede operar como una especie de título horizontal”, pues dichas cláusula se refiere a las posiciones jurídicas fundamentales (facultades elementales, límites esenciales, deberes fundamentales, prestaciones básicas, ciertas premisas o presupuestos previos, con cita de la STC 61/1997, de 20 de marzo, FFJJ 7 y 8).</w:t>
      </w:r>
    </w:p>
    <w:p w:rsidR="0026452D" w:rsidRDefault="0026452D" w:rsidP="0026452D">
      <w:pPr>
        <w:pStyle w:val="TextoNormal"/>
      </w:pPr>
    </w:p>
    <w:p w:rsidR="0026452D" w:rsidRDefault="0026452D" w:rsidP="0026452D">
      <w:pPr>
        <w:pStyle w:val="TextoNormal"/>
      </w:pPr>
      <w:r>
        <w:t>Habida cuenta de la definición del objeto de las subvenciones impugnadas no nos hallaríamos ante un supuesto en el que se vean implicadas las facultades elementales, los límites esenciales o las prestaciones básicas de un derecho fundamental. En consecuencia resultaría excluida de la propia doctrina constitucional la pretensión de amparar en el art. 149.1.1 CE la gestión centralizada de la concesión de subvenciones.</w:t>
      </w:r>
    </w:p>
    <w:p w:rsidR="0026452D" w:rsidRDefault="0026452D" w:rsidP="0026452D">
      <w:pPr>
        <w:pStyle w:val="TextoNormal"/>
      </w:pPr>
    </w:p>
    <w:p w:rsidR="0026452D" w:rsidRDefault="0026452D" w:rsidP="0026452D">
      <w:pPr>
        <w:pStyle w:val="TextoNormal"/>
      </w:pPr>
      <w:r>
        <w:t>d) Prosigue el escrito de la representación de la Generalitat de Cataluña afirmando que la gestión centralizada únicamente sería legítima en el supuesto de concurrencia de la doble dimensión de los programas a subvencionar: tanto el ámbito estatal de sus objetivos, alcance y efectos; como el ámbito estatal de actuación de las organizaciones beneficiarias, sin que la simple autodefinición de un teórico ámbito de actuación estatal sea, en sí misma, definitiva.</w:t>
      </w:r>
    </w:p>
    <w:p w:rsidR="0026452D" w:rsidRDefault="0026452D" w:rsidP="0026452D">
      <w:pPr>
        <w:pStyle w:val="TextoNormal"/>
      </w:pPr>
    </w:p>
    <w:p w:rsidR="0026452D" w:rsidRDefault="0026452D" w:rsidP="0026452D">
      <w:pPr>
        <w:pStyle w:val="TextoNormal"/>
      </w:pPr>
      <w:r>
        <w:t>De acuerdo con el escrito de la representación de la Generalitat, en la asistencia social se excluyen, en general, actuaciones de ámbito demasiado extenso, pues éstas son más eficaces en los ámbitos más próximos, como son el autonómico y local, por las propias características diferenciales de los colectivos concretos ubicados en lugares específicos del territorio, lo que se ejemplifica con los programas explícitamente reseñados en la Orden SAS/1352/2009.</w:t>
      </w:r>
    </w:p>
    <w:p w:rsidR="0026452D" w:rsidRDefault="0026452D" w:rsidP="0026452D">
      <w:pPr>
        <w:pStyle w:val="TextoNormal"/>
      </w:pPr>
    </w:p>
    <w:p w:rsidR="0026452D" w:rsidRDefault="0026452D" w:rsidP="0026452D">
      <w:pPr>
        <w:pStyle w:val="TextoNormal"/>
      </w:pPr>
      <w:r>
        <w:t>Para la representación de la Generalitat de Cataluña, en materia de asistencia social, sólo en supuestos de emergencia ante grandes catástrofes o con respecto a determinadas campañas de sensibilización, estudios, conferencias o congresos se podría justificar una actuación a nivel estatal.</w:t>
      </w:r>
    </w:p>
    <w:p w:rsidR="0026452D" w:rsidRDefault="0026452D" w:rsidP="0026452D">
      <w:pPr>
        <w:pStyle w:val="TextoNormal"/>
      </w:pPr>
    </w:p>
    <w:p w:rsidR="0026452D" w:rsidRDefault="0026452D" w:rsidP="0026452D">
      <w:pPr>
        <w:pStyle w:val="TextoNormal"/>
      </w:pPr>
      <w:r>
        <w:t xml:space="preserve">Reitera a continuación el escrito de planteamiento del conflicto que la orden impugnada no exige ni que el ámbito de actuación de las entidades solicitantes sea necesariamente estatal ni que los programas tengan ámbito estatal. Así, en cuanto a las entidades y organizaciones solicitantes, la orden no incorpora exigencia alguna sobre su ámbito de actuación, y en cuanto al alcance de los programas a desarrollar introduce como elemento novedoso la concurrencia de un “interés general” de la actividad, en sustitución de la exigencia de un determinado alcance territorial. La introducción de este nuevo concepto no puede ser entendida, afirma el escrito de la representación de la Generalitat, como equivalente al requisito del ámbito estatal de los programas y, de la lectura de los supuestos detallados en el art. 4 de la Orden SAS/1352/2009, no puede extraerse </w:t>
      </w:r>
      <w:r w:rsidRPr="0026452D">
        <w:rPr>
          <w:i/>
        </w:rPr>
        <w:t>per se</w:t>
      </w:r>
      <w:r>
        <w:t>, a excepción del supuesto e), un carácter supraautonómico de los programas que haga necesaria la gestión centralizada.</w:t>
      </w:r>
    </w:p>
    <w:p w:rsidR="0026452D" w:rsidRDefault="0026452D" w:rsidP="0026452D">
      <w:pPr>
        <w:pStyle w:val="TextoNormal"/>
      </w:pPr>
    </w:p>
    <w:p w:rsidR="0026452D" w:rsidRDefault="0026452D" w:rsidP="0026452D">
      <w:pPr>
        <w:pStyle w:val="TextoNormal"/>
      </w:pPr>
      <w:r>
        <w:t>Recuerda el escrito de la representación de la Generalitat que el constituyente ya previó la posibilidad de programas o actuaciones que se realizaran en más de una Comunidad Autónoma, sin que por ello las competencias hubieran de corresponder al Estado, pues se previó en el art. 145.2 CE la posibilidad de que las Comunidades Autónomas realicen convenios entre sí.</w:t>
      </w:r>
    </w:p>
    <w:p w:rsidR="0026452D" w:rsidRDefault="0026452D" w:rsidP="0026452D">
      <w:pPr>
        <w:pStyle w:val="TextoNormal"/>
      </w:pPr>
    </w:p>
    <w:p w:rsidR="0026452D" w:rsidRDefault="0026452D" w:rsidP="0026452D">
      <w:pPr>
        <w:pStyle w:val="TextoNormal"/>
      </w:pPr>
      <w:r>
        <w:t>Señala esta parte que la función social que el Estado ha de cumplir en virtud del mandato contenido en el art. 41 CE, debe canalizarse a través de las Comunidades Autónomas. El papel del Estado en materia de asistencia social debería limitarse a trazar las prioridades de política social general en la Ley de presupuestos territorializando los fondos, ya que son las Comunidades Autónomas las que ostentan la citada competencia material en exclusiva.</w:t>
      </w:r>
    </w:p>
    <w:p w:rsidR="0026452D" w:rsidRDefault="0026452D" w:rsidP="0026452D">
      <w:pPr>
        <w:pStyle w:val="TextoNormal"/>
      </w:pPr>
    </w:p>
    <w:p w:rsidR="0026452D" w:rsidRDefault="0026452D" w:rsidP="0026452D">
      <w:pPr>
        <w:pStyle w:val="TextoNormal"/>
      </w:pPr>
      <w:r>
        <w:t xml:space="preserve">Para fundamentar su argumentación, la representación de la Generalitat de Cataluña detalla, a continuación, las entidades y los proyectos a los que se otorgaron en los años previos subvenciones en convocatorias, en lo esencial, parecidas a la que se discute en el presente conflicto de competencias. La enumeración que se realiza sería indicativa del hecho de que ni el ámbito de actuación de las entidades beneficiarias, ni el ámbito de aplicación de los </w:t>
      </w:r>
      <w:r>
        <w:lastRenderedPageBreak/>
        <w:t>programas subvencionados era estatal. Habida cuenta de la identidad de contenidos entre las diferentes convocatorias, cabe presumir que el Estado también concederá en 2009 subvenciones a entidades y programas que no tengan ámbito estatal.</w:t>
      </w:r>
    </w:p>
    <w:p w:rsidR="0026452D" w:rsidRDefault="0026452D" w:rsidP="0026452D">
      <w:pPr>
        <w:pStyle w:val="TextoNormal"/>
      </w:pPr>
    </w:p>
    <w:p w:rsidR="0026452D" w:rsidRDefault="0026452D" w:rsidP="0026452D">
      <w:pPr>
        <w:pStyle w:val="TextoNormal"/>
      </w:pPr>
      <w:r>
        <w:t>e) A continuación, el escrito de planteamiento del conflicto trata de rebatir los argumentos aducidos por el Gobierno de la Nación en el acuerdo del Consejo de Ministros por el que se rechazó el requerimiento de incompetencia. Así rechaza que la participación, más o menos amplia, de las Comunidades Autónomas en el procedimiento de concesión de las subvenciones pueda sustituir la gestión descentralizada que corresponde cuando se trata de asistencia social. Igualmente examina el escrito de la representación de la Generalitat la proposición no de ley, de 10 de marzo de 2009, sobre medidas para la asignación tributaria del porcentaje del impuesto sobre la renta de las personas físicas a la que se refiere el acuerdo de 13 de agosto de 2009 y la interpretación que a la misma debe darse, sin perjuicio de señalar que en todo caso tal interpretación no puede contradecir el vigente orden de distribución competencial y la doctrina del Tribunal Constitucional. Asimismo considera que el Estado está incumpliendo sistemáticamente los compromisos asumidos en diferentes momentos en el sentido de ajustarse a la doctrina constitucional y al orden de reparto competencial en las convocatorias de subvenciones.</w:t>
      </w:r>
    </w:p>
    <w:p w:rsidR="0026452D" w:rsidRDefault="0026452D" w:rsidP="0026452D">
      <w:pPr>
        <w:pStyle w:val="TextoNormal"/>
      </w:pPr>
    </w:p>
    <w:p w:rsidR="0026452D" w:rsidRDefault="0026452D" w:rsidP="0026452D">
      <w:pPr>
        <w:pStyle w:val="TextoNormal"/>
      </w:pPr>
      <w:r>
        <w:t>Prosigue su escrito la representación de la Generalitat de Cataluña recordando que la Comunidad Autónoma, en ejercicio de su competencia exclusiva en materia de asistencia social, ha establecido un sistema de servicios sociales de carácter integral, fruto del ejercicio de la competencia exclusiva que ostenta en materia de asistencia social, inmigrantes, juventud y políticas de género, y considera que el Estado no puede interferir en el normal funcionamiento y evolución de dicho sistema ni tampoco establecer programas de ayuda para complementar la actuación asistencial de la Comunidad Autónoma de Cataluña. El establecimiento de subvenciones, además de una injerencia competencial, supone duplicar actuaciones vulnerando el orden de distribución de competencias y los principios de descentralización y eficacia administrativa enunciados en el art. 103.1 CE.</w:t>
      </w:r>
    </w:p>
    <w:p w:rsidR="0026452D" w:rsidRDefault="0026452D" w:rsidP="0026452D">
      <w:pPr>
        <w:pStyle w:val="TextoNormal"/>
      </w:pPr>
    </w:p>
    <w:p w:rsidR="0026452D" w:rsidRDefault="0026452D" w:rsidP="0026452D">
      <w:pPr>
        <w:pStyle w:val="TextoNormal"/>
      </w:pPr>
      <w:r>
        <w:t>Tras reiterar conclusivamente sus principales argumentos, finaliza el escrito solicitando que se declare que la competencia controvertida corresponde a la Generalitat y que debe procederse a la distribución territorial de la correspondiente consignación presupuestaria, transfiriendo las cuantías resultantes a fin de que sean las Comunidades Autónomas las que procedan a la gestión descentralizada de las ayudas.</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29 de septiembre de 2009, el Tribunal Constitucional acordó admitir a trámite el presente conflicto; dar traslado de la demanda y documentos presentados al Gobierno de la Nación, al objeto de que pueda presentar alegaciones en el plazo de veinte días; comunicar la incoación del conflicto a la Sala de lo Contencioso-Administrativo de la Audiencia Nacional, por si ante la misma estuviera impugnada o se impugnare la Orden SAS/1352/2009 de 26 de mayo, en cuyo caso deberá suspenderse el curso del proceso hasta la decisión del conflicto, según dispone el art. 61.2 de la Ley Orgánica del Tribunal Constitucional (LOTC); y publicar la incoación del conflicto en el “Boletín Oficial del Estado” y en el “Diari Oficial de la Generalitat de Cataluña”.</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Por escrito registrado ante este Tribunal el 6 de octubre de 2009, el Abogado del Estado se personó en el proceso, solicitando una prórroga del plazo concedido para formular </w:t>
      </w:r>
      <w:r>
        <w:lastRenderedPageBreak/>
        <w:t>alegaciones, prórroga que le fue concedida mediante providencia de 7 de octubre de 2009. El escrito de alegaciones del Abogado del Estado se registró en este Tribunal el día 17 de noviembre de 2009. En dicho escrito se opone a la demanda por las razones que se recogen a continuación.</w:t>
      </w:r>
    </w:p>
    <w:p w:rsidR="0026452D" w:rsidRDefault="0026452D" w:rsidP="0026452D">
      <w:pPr>
        <w:pStyle w:val="TextoNormal"/>
      </w:pPr>
    </w:p>
    <w:p w:rsidR="0026452D" w:rsidRDefault="0026452D" w:rsidP="0026452D">
      <w:pPr>
        <w:pStyle w:val="TextoNormal"/>
      </w:pPr>
      <w:r>
        <w:t>Comienza el Abogado del Estado concretando el objeto y alcance del conflicto positivo de competencia planteado por la Generalitat de Cataluña contra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 Tras sintetizar los argumentos de aquélla recuerda que la exclusividad competencial con que las Comunidades Autónomas han asumido estatutariamente competencias en materia de asistencia social debe ser matizada, pues la jurisprudencia del Tribunal Constitucional si bien reconoce en esta materia dicho carácter exclusivo, admite al mismo tiempo la posibilidad de intervención del Estado.</w:t>
      </w:r>
    </w:p>
    <w:p w:rsidR="0026452D" w:rsidRDefault="0026452D" w:rsidP="0026452D">
      <w:pPr>
        <w:pStyle w:val="TextoNormal"/>
      </w:pPr>
    </w:p>
    <w:p w:rsidR="0026452D" w:rsidRDefault="0026452D" w:rsidP="0026452D">
      <w:pPr>
        <w:pStyle w:val="TextoNormal"/>
      </w:pPr>
      <w:r>
        <w:t>a) Reproduce el escrito del Abogado del Estado la jurisprudencia del Tribunal Constitucional en materia de asistencia social (SSTC 76/1986, de 9 de junio; 146/1986, de 25 de noviembre: o 239/2002, de 11 de diciembre). Refiriéndose tanto a la posibilidad de que el Estado ostente competencia sobre la dimensión nacional o estatal de la asistencia social, por estar referidas esas actuaciones al país en su conjunto, razón por la que exigen un planteamiento global de ámbito estatal; como a la posible gestión centralizada en tal materia que se habría admitido excepcional y justificadamente. En lo que se refiere a este segundo supuesto el Abogado del Estado recuerda que la gestión de subvenciones de asistencia social debe encomendarse como regla general a la Comunidad Autónoma competente, admitiéndose tan sólo de manera excepcional y justificadamente la gestión centralizada de las mismas.</w:t>
      </w:r>
    </w:p>
    <w:p w:rsidR="0026452D" w:rsidRDefault="0026452D" w:rsidP="0026452D">
      <w:pPr>
        <w:pStyle w:val="TextoNormal"/>
      </w:pPr>
    </w:p>
    <w:p w:rsidR="0026452D" w:rsidRDefault="0026452D" w:rsidP="0026452D">
      <w:pPr>
        <w:pStyle w:val="TextoNormal"/>
      </w:pPr>
      <w:r>
        <w:t>A continuación refiere el Abogado del Estado que la Generalitat planteó en su día recurso contencioso-administrativo contra la Orden TAS/592/2008, de contenido similar al de la orden objeto de impugnación, que fue desestimado por la Audiencia Nacional al considerarse que la política social que plasma la orden tiene un ámbito más amplio que el de un territorio y viene a desarrollar o a coadyuvar al desarrollo de planes de ámbito nacional.</w:t>
      </w:r>
    </w:p>
    <w:p w:rsidR="0026452D" w:rsidRDefault="0026452D" w:rsidP="0026452D">
      <w:pPr>
        <w:pStyle w:val="TextoNormal"/>
      </w:pPr>
    </w:p>
    <w:p w:rsidR="0026452D" w:rsidRDefault="0026452D" w:rsidP="0026452D">
      <w:pPr>
        <w:pStyle w:val="TextoNormal"/>
      </w:pPr>
      <w:r>
        <w:t>Prosigue el escrito del Abogado del Estado señalando que las actuaciones contempladas en la Orden SAS/1352/2009 de 26 de mayo, objeto del presente conflicto, configuran un claro supuesto de potestad subvencional del Estado y procede a determinar el título competencial que ampararía dicha intervención estatal. Tras reconocer que la asistencia social es una competencia asumida por las Comunidades Autónomas considera que, constituida España como un Estado social y democrático de derecho (art. 1.1 CE) y existiendo una conexión entre esta declaración y el mandato contenido en el art. 9.2 CE, no es imaginable un Estado absolutamente ajeno a los mandatos que en materia de asistencia y servicios sociales se contemplan en los arts. 40, 41 y 50 CE.</w:t>
      </w:r>
    </w:p>
    <w:p w:rsidR="0026452D" w:rsidRDefault="0026452D" w:rsidP="0026452D">
      <w:pPr>
        <w:pStyle w:val="TextoNormal"/>
      </w:pPr>
    </w:p>
    <w:p w:rsidR="0026452D" w:rsidRDefault="0026452D" w:rsidP="0026452D">
      <w:pPr>
        <w:pStyle w:val="TextoNormal"/>
      </w:pPr>
      <w:r>
        <w:t xml:space="preserve">Tras referirse a los arts. 9.2, 138 y 142 CE como preceptos que habilitan al Estado para emprender acciones como las contenidas en la orden objeto de conflicto, considera el Abogado del Estado que, como con toda claridad afirma la STC 13/1992, en su fundamento jurídico 7, las subvenciones estatales pueden tender a asegurar las condiciones básicas de </w:t>
      </w:r>
      <w:r>
        <w:lastRenderedPageBreak/>
        <w:t xml:space="preserve">igualdad cuya regulación reserva al Estado el art. 149.1.1 CE, poniéndose de este modo el </w:t>
      </w:r>
      <w:r w:rsidRPr="0026452D">
        <w:rPr>
          <w:i/>
        </w:rPr>
        <w:t>spending power</w:t>
      </w:r>
      <w:r>
        <w:t xml:space="preserve"> estatal al servicio de una política de equilibrio social en ejecución de mandatos constitucionales (art. 1.1 o 9.2 CE) que, aunque obligan a todos los poderes públicos, corresponde prioritariamente realizar a quien mayor capacidad de gasto tiene.</w:t>
      </w:r>
    </w:p>
    <w:p w:rsidR="0026452D" w:rsidRDefault="0026452D" w:rsidP="0026452D">
      <w:pPr>
        <w:pStyle w:val="TextoNormal"/>
      </w:pPr>
    </w:p>
    <w:p w:rsidR="0026452D" w:rsidRDefault="0026452D" w:rsidP="0026452D">
      <w:pPr>
        <w:pStyle w:val="TextoNormal"/>
      </w:pPr>
      <w:r>
        <w:t>b) Una vez realizado el encuadre competencial procede el escrito del Abogado del Estado a justificar la gestión centralizada de las subvenciones objeto de la convocatoria impugnada. Para ello encaja las mismas en el cuarto supuesto del fundamento jurídico 8 de la STC 13/1992, que permite, como excepción, la gestión centralizada estatal cuando el Estado ostente algún título competencial, genérico o específico, sobre la materia y tal gestión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de la medida de fomento de que se trate.</w:t>
      </w:r>
    </w:p>
    <w:p w:rsidR="0026452D" w:rsidRDefault="0026452D" w:rsidP="0026452D">
      <w:pPr>
        <w:pStyle w:val="TextoNormal"/>
      </w:pPr>
    </w:p>
    <w:p w:rsidR="0026452D" w:rsidRDefault="0026452D" w:rsidP="0026452D">
      <w:pPr>
        <w:pStyle w:val="TextoNormal"/>
      </w:pPr>
      <w:r>
        <w:t>La orden impugnada encajaría, según el escrito del Abogado del Estado, en este supuesto, en tanto que los problemas que afrontan los programas cuya realización se pretende financiar exigen una política social que sólo tiene sentido referida al país en su conjunto, pues se persigue garantizar una cierta igualdad en su obtención y disfrute por los beneficiarios últimos en todo el territorio nacional. La percepción equitativa de las ayudas exige su gestión centralizada, incluyendo su convocatoria, tramitación, resolución y pago. Como fundamento adicional de su afirmación, recuerda el Abogado del Estado que la STC 13/1992, en su fundamento jurídico 13 apartado K a), apreció la concurrencia de los requisitos para justificar la gestión centralizada de las subvenciones destinadas a la realización de programas de cooperación y voluntariado sociales con cargo a la asignación tributaria del IRPF.</w:t>
      </w:r>
    </w:p>
    <w:p w:rsidR="0026452D" w:rsidRDefault="0026452D" w:rsidP="0026452D">
      <w:pPr>
        <w:pStyle w:val="TextoNormal"/>
      </w:pPr>
    </w:p>
    <w:p w:rsidR="0026452D" w:rsidRDefault="0026452D" w:rsidP="0026452D">
      <w:pPr>
        <w:pStyle w:val="TextoNormal"/>
      </w:pPr>
      <w:r>
        <w:t>A continuación examina el contenido de la orden impugnada y justifica igualmente la centralización de la gestión en el hecho de que las subvenciones se refieren a programas de cooperación y voluntariado sociales enmarcados dentro de planes nacionales, justificando además la actuación estatal en la necesidad de garantizar cierta igualdad en la obtención y el disfrute de las ayudas por sus receptores finales.</w:t>
      </w:r>
    </w:p>
    <w:p w:rsidR="0026452D" w:rsidRDefault="0026452D" w:rsidP="0026452D">
      <w:pPr>
        <w:pStyle w:val="TextoNormal"/>
      </w:pPr>
    </w:p>
    <w:p w:rsidR="0026452D" w:rsidRDefault="0026452D" w:rsidP="0026452D">
      <w:pPr>
        <w:pStyle w:val="TextoNormal"/>
      </w:pPr>
      <w:r>
        <w:t>Tras subrayar el escrito del Abogado del Estado que la orden objeto de conflicto ha sido elaborada por el Ministerio de Sanidad y Política Social, en ejecución de lo previsto en el Real Decreto 195/1989, destaca que en el ámbito de la Conferencia Sectorial de Asuntos Sociales fueron las Comunidades Autónomas las que propusieron que las entidades de ámbito estatal, autonómico, provincial y local pudieran ser beneficiarias de las ayudas lo que llevó al Estado a modificar la implantación territorial de las entidades beneficiarias.</w:t>
      </w:r>
    </w:p>
    <w:p w:rsidR="0026452D" w:rsidRDefault="0026452D" w:rsidP="0026452D">
      <w:pPr>
        <w:pStyle w:val="TextoNormal"/>
      </w:pPr>
    </w:p>
    <w:p w:rsidR="0026452D" w:rsidRDefault="0026452D" w:rsidP="0026452D">
      <w:pPr>
        <w:pStyle w:val="TextoNormal"/>
      </w:pPr>
      <w:r>
        <w:t>Asimismo, resalta el escrito del Abogado del Estado que la novedosa descripción que el art. 4 de la orden hace, como actividades elegibles, de las circunstancias de interés general que deben concurrir en los programas a subvencionar entrañan una innegable incidencia estatal. Igualmente se destaca que la orden objeto de conflicto introduce una mayor participación autonómica en determinados trámites del procedimiento de concesión y se justifica la supresión de que las entidades beneficiarias tengan ámbito estatal en la necesidad de po</w:t>
      </w:r>
      <w:r>
        <w:lastRenderedPageBreak/>
        <w:t>sibilitar la concurrencia a la convocatoria a entidades que propongan proyectos que convenga atender por su directa relación con programas de interés general según la convocatoria anual del Ministerio.</w:t>
      </w:r>
    </w:p>
    <w:p w:rsidR="0026452D" w:rsidRDefault="0026452D" w:rsidP="0026452D">
      <w:pPr>
        <w:pStyle w:val="TextoNormal"/>
      </w:pPr>
    </w:p>
    <w:p w:rsidR="0026452D" w:rsidRDefault="0026452D" w:rsidP="0026452D">
      <w:pPr>
        <w:pStyle w:val="TextoNormal"/>
      </w:pPr>
      <w:r>
        <w:t>c) Finalmente, aporta el Abogado del Estado una relación de entidades subvencionadas en 2008 y un “Estudio sobre el programa de subvenciones con cargo al 0,52 por 100 del IRPF” en el que se recoge una encuesta realizada a una muestra significativa de las entidades subvencionadas y en el que se plasman las consecuencias que se derivarían de una eventual descentralización de la gestión de estas subvenciones. Entre estas consecuencias destacan: las diferencias de cobertura, calidad y enfoque en el desarrollo de los programas; el deterioro del trabajo en red de muchas entidades; el refuerzo del principio de territorialidad frente al de necesidad; la aplicación de distintos baremos para la satisfacción de las mismas necesidades de los distintos colectivos quebrando el principio de igualdad en el acceso y materialización de los derechos sociales; la descoordinación y desvinculación de objetivos en las entidades dedicadas a colectivos con las mismas necesidades; la producción de agravios comparativos entre territorios y colectivos y la pérdida de la perspectiva de igualdad ciudadana con independencia del lugar de residencia; el debilitamiento y la desaparición de las redes de colaboración actualmente existentes entre el Estado y el denominado tercer sector de acción social y entre las propias entidades, con fragmentación del tejido asociativo ya creado a nivel estatal.</w:t>
      </w:r>
    </w:p>
    <w:p w:rsidR="0026452D" w:rsidRDefault="0026452D" w:rsidP="0026452D">
      <w:pPr>
        <w:pStyle w:val="TextoNormal"/>
      </w:pPr>
    </w:p>
    <w:p w:rsidR="0026452D" w:rsidRDefault="0026452D" w:rsidP="0026452D">
      <w:pPr>
        <w:pStyle w:val="TextoNormal"/>
      </w:pPr>
      <w:r>
        <w:t>Por las razones reproducidas el Abogado del Estado solicita que se declare que la competencia controvertida corresponde al Estado.</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26 de febrero de 2013, se señaló para deliberación y votación de la presente Sentencia el día 28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competencias planteado por el Gobierno de la Generalitat de Cataluña contra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w:t>
      </w:r>
    </w:p>
    <w:p w:rsidR="0026452D" w:rsidRDefault="0026452D" w:rsidP="0026452D">
      <w:pPr>
        <w:pStyle w:val="TextoNormal"/>
      </w:pPr>
    </w:p>
    <w:p w:rsidR="0026452D" w:rsidRDefault="0026452D" w:rsidP="0026452D">
      <w:pPr>
        <w:pStyle w:val="TextoNormal"/>
      </w:pPr>
      <w:r>
        <w:t>Para el Gobierno de la Generalitat de Cataluña, la orden objeto de conflicto no respeta la distribución de competencias en materia de asistencia social derivada del bloque de constitucionalidad en cuanto que dicha disposición centraliza en los órganos estatales la regulación, tramitación y resolución de las ayudas referidas, ignorando de este modo la doctrina constitucional recaída en relación con las subvenciones. Por su parte, el Abogado del Estado sostiene la conformidad de la centralización de la regulación, tramitación y resolución de las ayudas con la doctrina constitucional al tratarse de uno de los supuestos en que puede producirse aquella.</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al examen de fondo, procede realizar alguna precisión en relación con el objeto del recurso.</w:t>
      </w:r>
    </w:p>
    <w:p w:rsidR="0026452D" w:rsidRDefault="0026452D" w:rsidP="0026452D">
      <w:pPr>
        <w:pStyle w:val="TextoNormal"/>
      </w:pPr>
    </w:p>
    <w:p w:rsidR="0026452D" w:rsidRDefault="0026452D" w:rsidP="0026452D">
      <w:pPr>
        <w:pStyle w:val="TextoNormal"/>
      </w:pPr>
      <w:r>
        <w:t>La Orden SAS/1352/2009, de 26 de mayo, tiene un doble objetivo: por un lado, establecer las bases reguladoras para la concesión de subvenciones para la realización de programas de cooperación y voluntariado sociales con cargo a la asignación tributaria del impuesto sobre la renta de las personas físicas, y, por otro, proceder a su convocatoria para el año 2009. En lo que se refiere a la convocatoria para 2009 la misma ha agotado ya sus efectos y en lo que se refiere a las bases reguladoras las mismas fueron modificadas en el año 2010 por la Orden SAS/1536/2010, de 10 de junio, por la que se establecen las bases reguladoras y se convoca la concesión de subvenciones para la realización de programas de cooperación y voluntariado sociales con cargo a la asignación tributaria del impuesto sobre la renta de las personas físicas, bases reguladoras que, a su vez, han ido siendo modificadas en los años sucesivos. Debemos considerar, pues, la incidencia que pueda tener en el proceso el hecho de que la Orden SAS/1352/2009, de 26 de mayo, objeto del presente conflicto, haya sido modificada.</w:t>
      </w:r>
    </w:p>
    <w:p w:rsidR="0026452D" w:rsidRDefault="0026452D" w:rsidP="0026452D">
      <w:pPr>
        <w:pStyle w:val="TextoNormal"/>
      </w:pPr>
    </w:p>
    <w:p w:rsidR="0026452D" w:rsidRDefault="0026452D" w:rsidP="0026452D">
      <w:pPr>
        <w:pStyle w:val="TextoNormal"/>
      </w:pPr>
      <w:r>
        <w:t>Para apreciar la incidencia que dichas modificaciones tienen en cuanto a la pervivencia del presente proceso nos atendremos a la doctrina de este Tribunal, que señala que “la apreciación de la pérdida de objeto del proceso dependerá de la incidencia real que sobre el mismo tenga la derogación, sustitución o modificación de la norma o el agotamiento de los efectos del acto y no puede resolverse apriorísticamente en función de criterios abstractos o genéricos (por todas, SSTC 233/1999, de 12 de diciembre, FJ 3; 33/2005 de 17 de febrero, FJ 2)”. Además la “doctrina de este Tribunal avala la conclusión de la no desaparición del objeto del conflicto cuando la normativa en relación con la cual se trabó un conflicto no es simplemente derogada, sino parcialmente sustituida por otra que viene a plantear en esencia los mismos problemas competenciales” (STC 99/2012, de 8 de mayo, FJ 8 y jurisprudencia allí citada).</w:t>
      </w:r>
    </w:p>
    <w:p w:rsidR="0026452D" w:rsidRDefault="0026452D" w:rsidP="0026452D">
      <w:pPr>
        <w:pStyle w:val="TextoNormal"/>
      </w:pPr>
    </w:p>
    <w:p w:rsidR="0026452D" w:rsidRDefault="0026452D" w:rsidP="0026452D">
      <w:pPr>
        <w:pStyle w:val="TextoNormal"/>
      </w:pPr>
      <w:r>
        <w:t>En el presente asunto las modificaciones realizadas sobre las bases reguladoras de las subvenciones para programas de cooperación y voluntariado sociales con cargo a la asignación tributaria del impuesto sobre la renta de las personas físicas, suponen su sustitución por otra normativa que reproduce, con una redacción diferente, las mismas cuestiones objeto de controversia. Por tanto, en aplicación de la doctrina de este Tribunal ha de alcanzarse la conclusión de que, pese a su modificación, el conflicto de competencia promovido frente a la Orden SAS/1352/2009 de 26 de mayo mantiene vivo su objeto.</w:t>
      </w:r>
    </w:p>
    <w:p w:rsidR="0026452D" w:rsidRDefault="0026452D" w:rsidP="0026452D">
      <w:pPr>
        <w:pStyle w:val="TextoNormal"/>
      </w:pPr>
    </w:p>
    <w:p w:rsidR="0026452D" w:rsidRDefault="0026452D" w:rsidP="0026452D">
      <w:pPr>
        <w:pStyle w:val="TextoNormal"/>
      </w:pPr>
      <w:r w:rsidRPr="0026452D">
        <w:rPr>
          <w:rStyle w:val="NumeroAFNegritaCaracter"/>
        </w:rPr>
        <w:t>3</w:t>
      </w:r>
      <w:r>
        <w:t>. Tras lo expuesto, procede entrar ya en el fondo del asunto, señalando que el contenido de la orden objeto del presente conflicto de competencia es coincidente con el de la orden que enjuiciamos en la STC 21/2013, de 31 de enero, al tratarse de la misma convocatoria en un ejercicio posterior.</w:t>
      </w:r>
    </w:p>
    <w:p w:rsidR="0026452D" w:rsidRDefault="0026452D" w:rsidP="0026452D">
      <w:pPr>
        <w:pStyle w:val="TextoNormal"/>
      </w:pPr>
    </w:p>
    <w:p w:rsidR="0026452D" w:rsidRDefault="0026452D" w:rsidP="0026452D">
      <w:pPr>
        <w:pStyle w:val="TextoNormal"/>
      </w:pPr>
      <w:r>
        <w:t>Tal y como hicimos entonces, debemos comenzar recordando que, de acuerdo con nuestra doctrina —por todas, la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debemos examinar, en primer lugar, el contenido concreto de las disposiciones objeto de conflicto.</w:t>
      </w:r>
    </w:p>
    <w:p w:rsidR="0026452D" w:rsidRDefault="0026452D" w:rsidP="0026452D">
      <w:pPr>
        <w:pStyle w:val="TextoNormal"/>
      </w:pPr>
    </w:p>
    <w:p w:rsidR="0026452D" w:rsidRDefault="0026452D" w:rsidP="0026452D">
      <w:pPr>
        <w:pStyle w:val="TextoNormal"/>
      </w:pPr>
      <w:r>
        <w:lastRenderedPageBreak/>
        <w:t>La Orden SAS/1352/2009 tiene por objeto, tal como recoge su art. 1, “la convocatoria de la concesión de subvenciones para la realización de programas de cooperación y voluntariado sociales, de interés general, encaminados a atender situaciones de necesidad y/o marginación de personas mayores de sesenta y cinco años, personas que sufran alguna discapacidad física, psíquica o sensorial, mujeres, familia, infancia y juventud, personas afectadas por problemas de drogodependencia, pueblo gitano, población reclusa y ex reclusa, refugiados y asilados, migrantes, víctimas del terrorismo, personas afectadas por el VIH/SIDA, así como actuaciones integrales contra la exclusión social y para la erradicación de la pobreza y demás actuaciones de solidaridad social para cubrir necesidades de interés general.” El art. 2 determina los programas para la atención de necesidades sociales de interés general que se consideran de carácter prioritario. El art. 3 establece los requisitos que deberán cumplir las entidades y organizaciones solicitantes. El art. 4 se refiere a las actividades elegibles. El art. 5 dispone la distribución de créditos por programas de acuerdo con lo que dispone el anexo B de la propia orden. La orden, tras establecer en el art. 6 los órganos competentes para la ordenación, instrucción y resolución del procedimiento, se completa con la regulación de los siguientes aspectos: la forma de presentación de solicitudes, memorias, documentación y subsanación de errores (art. 7), la financiación de los programas presentados (art. 8), los criterios objetivos de valoración (art. 9), los informes (art. 10), la resolución (art. 11), las denominadas situaciones de emergencia social (art. 12), los convenios-programa (art. 13), el abono de la subvención (art. 14), las modificaciones de la resolución de concesión y del convenio-programa (art. 15); las obligaciones de los beneficiarios (art. 16), el control, seguimiento y evaluación (art. 17), los gastos subvencionables (art. 18); la justificación de los gastos (art. 19); la responsabilidad y el régimen sancionador (art. 20), los reintegros (art. 21), más dos disposiciones finales referidas al régimen jurídico de aplicación supletoria y a la entrada en vigor. La orden igualmente recoge una serie de anexos con los programas prioritarios, la distribución del crédito, el logotipo, la solicitud, la memoria explicativa de la entidad, la memoria explicativa del programa y la memoria explicativa del proyecto.</w:t>
      </w:r>
    </w:p>
    <w:p w:rsidR="0026452D" w:rsidRDefault="0026452D" w:rsidP="0026452D">
      <w:pPr>
        <w:pStyle w:val="TextoNormal"/>
      </w:pPr>
    </w:p>
    <w:p w:rsidR="0026452D" w:rsidRDefault="0026452D" w:rsidP="0026452D">
      <w:pPr>
        <w:pStyle w:val="TextoNormal"/>
      </w:pPr>
      <w:r w:rsidRPr="0026452D">
        <w:rPr>
          <w:rStyle w:val="NumeroAFNegritaCaracter"/>
        </w:rPr>
        <w:t>4</w:t>
      </w:r>
      <w:r>
        <w:t>. A la vista del contenido de la orden objeto del presente conflicto, y tal y como coinciden las partes de este proceso, estamos ante subvenciones dirigidas a financiar programas en materia de asistencia social.</w:t>
      </w:r>
    </w:p>
    <w:p w:rsidR="0026452D" w:rsidRDefault="0026452D" w:rsidP="0026452D">
      <w:pPr>
        <w:pStyle w:val="TextoNormal"/>
      </w:pPr>
    </w:p>
    <w:p w:rsidR="0026452D" w:rsidRDefault="0026452D" w:rsidP="0026452D">
      <w:pPr>
        <w:pStyle w:val="TextoNormal"/>
      </w:pPr>
      <w:r>
        <w:t xml:space="preserve">Este Tribunal ya ha tenido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(STC 36/2012, de 15 de marzo, FJ 4). Bajo esta caracterización se deben encuadrar las subvenciones recogidas en la orden objeto del </w:t>
      </w:r>
      <w:r>
        <w:lastRenderedPageBreak/>
        <w:t>presente conflicto de competencia, tal y como se deduce claramente de su objeto, definido en el art. 1, previamente transcrito, de la propia orden.</w:t>
      </w:r>
    </w:p>
    <w:p w:rsidR="0026452D" w:rsidRDefault="0026452D" w:rsidP="0026452D">
      <w:pPr>
        <w:pStyle w:val="TextoNormal"/>
      </w:pPr>
    </w:p>
    <w:p w:rsidR="0026452D" w:rsidRDefault="0026452D" w:rsidP="0026452D">
      <w:pPr>
        <w:pStyle w:val="TextoNormal"/>
      </w:pPr>
      <w:r w:rsidRPr="0026452D">
        <w:rPr>
          <w:rStyle w:val="NumeroAFNegritaCaracter"/>
        </w:rPr>
        <w:t>5</w:t>
      </w:r>
      <w:r>
        <w:t>. Una vez identificada la materia a la que se refiere la disposición objeto de conflicto, asistencia social, debemos examinar la distribución de competencias sobre la misma que se deriva de lo dispuesto en la Constitución y en el Estatuto de Autonomía de Cataluña.</w:t>
      </w:r>
    </w:p>
    <w:p w:rsidR="0026452D" w:rsidRDefault="0026452D" w:rsidP="0026452D">
      <w:pPr>
        <w:pStyle w:val="TextoNormal"/>
      </w:pPr>
    </w:p>
    <w:p w:rsidR="0026452D" w:rsidRDefault="0026452D" w:rsidP="0026452D">
      <w:pPr>
        <w:pStyle w:val="TextoNormal"/>
      </w:pPr>
      <w:r>
        <w:t xml:space="preserve">La Constitución se refiere a la asistencia social en el art. 148.1.20 CE como una materia sobre la que las Comunidades Autónomas pueden asumir competencias. Así lo ha hecho Cataluña en el art. 166 de su vigente Estatuto de Autonomía. Este precepto caracteriza las competencias de la Comunidad Autónoma en materia de asistencia social como exclusivas; no obstante, como hemos tenido la oportunidad de reiterar, la competencia de la Comunidad Autónoma “no impide el ejercicio de las competencias del Estado </w:t>
      </w:r>
      <w:r w:rsidRPr="0026452D">
        <w:rPr>
          <w:i/>
        </w:rPr>
        <w:t>ex</w:t>
      </w:r>
      <w:r>
        <w:t xml:space="preserve"> art. 149.1 CE, sea cuando éstas concurran con las autonómicas sobre el mismo espacio físico o sea sobre el mismo objeto jurídico” (STC 31/2010, de 28 de junio, FJ 104). Al respecto, debemos insistir una vez más en que las competencias autonómicas sobre materias no incluidas en el art. 149.1 CE, aunque se enuncien como “competencias exclusivas”, no cierran el paso a las competencias estatales previstas en aquel precepto constitucional. Por tanto, y como ya tuvimos ocasión de afirmar en relación, precisamente, con el artículo 166 del vigente Estatuto de Autonomía de Cataluña, “el enunciado de la competencia autonómica como exclusiva no enerva las diferentes competencias del Estado que puedan estar implicadas (art. 149.1.6, 7 y 17 CE, entre otras), debiendo insistir, no obstante, en que de ningún modo se precisa una expresa salvaguarda de las competencias constitucionalmente reservadas al Estado por el art. 149.1 CE, puesto que constituyen límites infranqueables a los enunciados estatutarios” (STC 31/2010, de 28 de junio, FJ 104).</w:t>
      </w:r>
    </w:p>
    <w:p w:rsidR="0026452D" w:rsidRDefault="0026452D" w:rsidP="0026452D">
      <w:pPr>
        <w:pStyle w:val="TextoNormal"/>
      </w:pPr>
    </w:p>
    <w:p w:rsidR="0026452D" w:rsidRDefault="0026452D" w:rsidP="0026452D">
      <w:pPr>
        <w:pStyle w:val="TextoNormal"/>
      </w:pPr>
      <w:r>
        <w:t>En el presente conflicto el Abogado del Estado ha defendido, precisamente, que el Estado puede regular las ayudas controvertidas con fundamento en el art. 149.1.1 CE.</w:t>
      </w:r>
    </w:p>
    <w:p w:rsidR="0026452D" w:rsidRDefault="0026452D" w:rsidP="0026452D">
      <w:pPr>
        <w:pStyle w:val="TextoNormal"/>
      </w:pPr>
    </w:p>
    <w:p w:rsidR="0026452D" w:rsidRDefault="0026452D" w:rsidP="0026452D">
      <w:pPr>
        <w:pStyle w:val="TextoNormal"/>
      </w:pPr>
      <w:r>
        <w:t>En relación con el porcentaje de la cuota íntegra del impuesto sobre la renta de las personas físicas destinado a determinados fines, este Tribunal ya ha tenido la ocasión de señalar que “es evidente que el Estado puede intervenir en este campo cuando le habiliten para ello otros títulos competenciales específicos. Por ejemplo, el que atañe a las relaciones internacionales (art. 149.1.3 CE), cuando se trata de programas internacionales de ayuda” [STC 13/1992, de 6 de febrero, FJ 13, K), a)].</w:t>
      </w:r>
    </w:p>
    <w:p w:rsidR="0026452D" w:rsidRDefault="0026452D" w:rsidP="0026452D">
      <w:pPr>
        <w:pStyle w:val="TextoNormal"/>
      </w:pPr>
    </w:p>
    <w:p w:rsidR="0026452D" w:rsidRDefault="0026452D" w:rsidP="0026452D">
      <w:pPr>
        <w:pStyle w:val="TextoNormal"/>
      </w:pPr>
      <w:r>
        <w:t xml:space="preserve">Sin embargo, este Tribunal, en una serie de sentencias recientes ha rechazado que el art. 149.1.1 CE sea un título competencial suficiente para justificar determinadas ayudas en materia de asistencia social. En efecto, en las SSTC 173/2012, de 15 de octubre, FJ 5 a) y 177/2012, de 15 de octubre, FJ 5 a), recordamos que “en la temprana STC 61/1997, de 20 de marzo, señalamos (FJ 7) que el art. 149.1.1 CE, ‘no ha atribuido al Estado la fijación de las bases sobre los derechos y libertades constitucionales, sino sólo el establecimiento —eso sí, entero— de aquellas condiciones básicas que tiendan a garantizar la igualdad. Y si bien es cierto que su regulación no puede suponer una normación completa y acabada del derecho y deber de que se trate y, en consecuencia, es claro que las Comunidades Autónomas, en la medida en que tengan competencias sobre la materia, podrán siempre aprobar normas atinentes al régimen jurídico de ese derecho …, no lo es menos, sin embargo, que la competencia </w:t>
      </w:r>
      <w:r w:rsidRPr="0026452D">
        <w:rPr>
          <w:i/>
        </w:rPr>
        <w:t>ex</w:t>
      </w:r>
      <w:r>
        <w:t xml:space="preserve"> art 149.1.1 CE no se mueve en la lógica de las bases estatales-legislación </w:t>
      </w:r>
      <w:r>
        <w:lastRenderedPageBreak/>
        <w:t>autonómica de desarrollo. En otras palabras, el Estado tiene la competencia exclusiva para incidir sobre los derechos y deberes constitucionales desde una concreta perspectiva, la de la garantía de la igualdad en las posiciones jurídicas fundamentales, dimensión que no es, en rigor, susceptible de desarrollo como si de unas bases se tratara; será luego el legislador competente, estatal y autonómico, el que respetando tales condiciones básicas establezca su régimen jurídico, de acuerdo con el orden constitucional de competencias’.” [SSTC 173/2012, de 15 de octubre, FJ 5 a); y 177/2012, de 15 de octubre, FJ 5 a)].</w:t>
      </w:r>
    </w:p>
    <w:p w:rsidR="0026452D" w:rsidRDefault="0026452D" w:rsidP="0026452D">
      <w:pPr>
        <w:pStyle w:val="TextoNormal"/>
      </w:pPr>
    </w:p>
    <w:p w:rsidR="0026452D" w:rsidRDefault="0026452D" w:rsidP="0026452D">
      <w:pPr>
        <w:pStyle w:val="TextoNormal"/>
      </w:pPr>
      <w:r>
        <w:t xml:space="preserve">Tras ello, continuamos afirmando que “con carácter general, tenemos declarado que este título competencial ‘no puede operar como una especie de título horizontal, capaz de introducirse en cualquier materia o sector del ordenamiento’ (entre otras, SSTC 239/2002, de 11 de diciembre, FJ 10; 228/2003, de 18 de diciembre, FJ 10; y 150/2012, de 5 de julio, FJ 4). Es decir, con la finalidad de establecer las condiciones básicas </w:t>
      </w:r>
      <w:r w:rsidRPr="0026452D">
        <w:rPr>
          <w:i/>
        </w:rPr>
        <w:t>ex</w:t>
      </w:r>
      <w:r>
        <w:t xml:space="preserve"> art. 149.1.1 CE para garantizar la igualdad en el ejercicio de los derechos, el Estado no puede pretender alterar el sistema de reparto competencial. Así lo entendimos en la STC 148/2012, de 5 de julio, FJ 4, cuando afirmamos que, amparado sólo en este título competencial (el art. 149.1.1 CE), ‘el legislador estatal no puede establecer el régimen jurídico completo de la materia, regulación acabada que corresponde, con el límite de tales condiciones básicas de dominio estatal, al poder público que corresponda según el sistema constitucional de distribución de competencias [STC 61/1997, FJ 7 b)]’. Por tanto, debemos excluir la suficiencia del título competencial invocado por la orden controvertida” [SSTC 173/2012, de 15 de octubre, FJ 5 a) y 177/2012, de 15 de octubre, FJ 5 a)].</w:t>
      </w:r>
    </w:p>
    <w:p w:rsidR="0026452D" w:rsidRDefault="0026452D" w:rsidP="0026452D">
      <w:pPr>
        <w:pStyle w:val="TextoNormal"/>
      </w:pPr>
    </w:p>
    <w:p w:rsidR="0026452D" w:rsidRDefault="0026452D" w:rsidP="0026452D">
      <w:pPr>
        <w:pStyle w:val="TextoNormal"/>
      </w:pPr>
      <w:r>
        <w:t xml:space="preserve">En aplicación de tal doctrina —que fue igualmente recogida en la STC 21/2013, de 31 de enero, al enjuiciar una orden cuyo contenido era coincidente con el de la orden objeto del presente conflicto de competencia al tratarse de la misma convocatoria en un ejercicio anterior— debemos rechazar ahora que la regulación de las ayudas controvertidas pueda relacionarse con el título competencial </w:t>
      </w:r>
      <w:r w:rsidRPr="0026452D">
        <w:rPr>
          <w:i/>
        </w:rPr>
        <w:t>ex</w:t>
      </w:r>
      <w:r>
        <w:t xml:space="preserve"> art. 149.1.1 CE, pues ni por su objeto ni por su contenido cabe apreciar una conexión directa de las ayudas controvertidas con “la regulación de las condiciones básicas que garanticen la igualdad de todos los españoles en el ejercicio de los derechos y en el cumplimiento de los deberes constitucionales”. En efecto, de una parte, los beneficiarios de las ayudas previstas son organizaciones no gubernamentales y entidades sociales que reúnen determinados requisitos; de otra, el objeto de las ayudas previstas es la realización de programas de cooperación y voluntariado sociales de interés general, así como actuaciones integrales contra la exclusión social para la erradicación de la pobreza y demás actuaciones de solidaridad social. En suma, resulta clara la desvinculación de la orden controvertida con respecto al título competencial estatal </w:t>
      </w:r>
      <w:r w:rsidRPr="0026452D">
        <w:rPr>
          <w:i/>
        </w:rPr>
        <w:t>ex</w:t>
      </w:r>
      <w:r>
        <w:t xml:space="preserve"> art. 149.1.1 CE.</w:t>
      </w:r>
    </w:p>
    <w:p w:rsidR="0026452D" w:rsidRDefault="0026452D" w:rsidP="0026452D">
      <w:pPr>
        <w:pStyle w:val="TextoNormal"/>
      </w:pPr>
    </w:p>
    <w:p w:rsidR="0026452D" w:rsidRDefault="0026452D" w:rsidP="0026452D">
      <w:pPr>
        <w:pStyle w:val="TextoNormal"/>
      </w:pPr>
      <w:r>
        <w:t xml:space="preserve">El hecho de que no se puedan fundamentar las subvenciones objeto de conflicto en el título competencial previsto en el art. 149.1.1 CE no supone, no obstante, la imposibilidad para el Estado de financiar este tipo de acciones de fomento en materias atribuidas a la competencia exclusiva de las Comunidades Autónomas, pues hemos afirmado de manera reiterada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(STC 13/1992, de 6 de febrero, FJ 7). El Estado tiene, por tanto, la capacidad para poner su poder de gasto al servicio de una política de asistencia social, en el ejercicio soberano de la función legislativa </w:t>
      </w:r>
      <w:r>
        <w:lastRenderedPageBreak/>
        <w:t>presupuestaria, sin perjuicio de que corresponda a la Comunidad Autónoma la competencia exclusiva en materia de asistencia social.</w:t>
      </w:r>
    </w:p>
    <w:p w:rsidR="0026452D" w:rsidRDefault="0026452D" w:rsidP="0026452D">
      <w:pPr>
        <w:pStyle w:val="TextoNormal"/>
      </w:pPr>
    </w:p>
    <w:p w:rsidR="0026452D" w:rsidRDefault="0026452D" w:rsidP="0026452D">
      <w:pPr>
        <w:pStyle w:val="TextoNormal"/>
      </w:pPr>
      <w:r>
        <w:t>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 Dichos supuestos generales tratan precisamente de conciliar la distribución competencial existente en cada materia entre el Estado y las Comunidades Autónomas, por un lado, con la reconocida potestad subvencional de gasto público que ostenta el Estado, por otro.</w:t>
      </w:r>
    </w:p>
    <w:p w:rsidR="0026452D" w:rsidRDefault="0026452D" w:rsidP="0026452D">
      <w:pPr>
        <w:pStyle w:val="TextoNormal"/>
      </w:pPr>
    </w:p>
    <w:p w:rsidR="0026452D" w:rsidRDefault="0026452D" w:rsidP="0026452D">
      <w:pPr>
        <w:pStyle w:val="TextoNormal"/>
      </w:pPr>
      <w:r w:rsidRPr="0026452D">
        <w:rPr>
          <w:rStyle w:val="NumeroAFNegritaCaracter"/>
        </w:rPr>
        <w:t>6</w:t>
      </w:r>
      <w:r>
        <w:t>. Así, una vez expuesto el marco competencial, de los términos del debate procesal trabado entre las partes podemos apreciar que la controversia entre las mismas versa, en realidad, en torno a la aplicación al caso concreto de la consolidada doctrina de este Tribunal en materia de subvenciones y ayudas públicas, en particular la contenida en la STC 13/1992. Lo discutido resulta ser la concurrencia de las circunstancias excepcionales previstas en la doctrina constitucional para que resulte justificada la regulación completa de las subvenciones y la centralización de la gestión que se contienen en la orden objeto de conflicto. De hecho una vez encuadradas las ayudas controvertidas en la materia asistencia social, el debate es reconducible a la determinación del supuesto que resulta de aplicación a las ayudas referidas de entre los cuatro que hemos contemplado en nuestra doctrina (en concreto, en el fundamento jurídico 8 de la STC 13/1992, de 6 de febrero).</w:t>
      </w:r>
    </w:p>
    <w:p w:rsidR="0026452D" w:rsidRDefault="0026452D" w:rsidP="0026452D">
      <w:pPr>
        <w:pStyle w:val="TextoNormal"/>
      </w:pPr>
    </w:p>
    <w:p w:rsidR="0026452D" w:rsidRDefault="0026452D" w:rsidP="0026452D">
      <w:pPr>
        <w:pStyle w:val="TextoNormal"/>
      </w:pPr>
      <w:r>
        <w:t>Al respecto, la representación procesal del Gobierno de la Generalitat, si bien no se refiere explícitamente en este punto a la STC 13/1992, parece entender que nos encontramos en el denominado primer supuesto, recogido en el fundamento jurídico 8 a) de aquella, pues, tras afirmar que la doctrina de este Tribunal nunca ha amparado en el art. 149.1.1 CE el establecimiento de líneas de subvención para programas de acción social, considera que el papel del Estado en materia de asistencia social debería agotarse al trazar prioridades en la Ley de presupuestos, territorializando en la propia Ley los recursos empleados. Por su parte, el Abogado del Estado considera que, puesto que se justifica la acción del Estado en el ejercicio de la competencia prevista en el art. 149.1.1 CE, resulta procedente la aplicación a las ayudas previstas del denominado cuarto supuesto, recogido en el fundamento jurídico 8 d) de la misma STC 13/1992, que faculta no sólo para la regulación completa de las ayudas sino también para su gestión centralizada por el Estado.</w:t>
      </w:r>
    </w:p>
    <w:p w:rsidR="0026452D" w:rsidRDefault="0026452D" w:rsidP="0026452D">
      <w:pPr>
        <w:pStyle w:val="TextoNormal"/>
      </w:pPr>
    </w:p>
    <w:p w:rsidR="0026452D" w:rsidRDefault="0026452D" w:rsidP="0026452D">
      <w:pPr>
        <w:pStyle w:val="TextoNormal"/>
      </w:pPr>
      <w:r>
        <w:t>Debemos pronunciarnos ahora sobre cuál de estos dos supuestos —a) o d)— le es de aplicación a la orden objeto de conflicto en razón a sus características. Y precisamente en razón de éstas, confirmamos que las subvenciones contenidas en la Orden SAS/1352/2009 se incluyen en el primer supuesto recogido en el fundamento jurídico 8 a) de la STC 13/1992. En efecto, al no poder justificarse aquellas en título competencial estatal alguno, ni genérico ni específico, tal como hemos argumentado en el fundamento jurídico 5 de la presente Sentencia, no se cumple la premisa exigida por el cuarto supuesto de la STC 13/1992, FJ 8 d), para justificar la gestión centralizada —que el Estado ostente algún título competencial, genérico o específico, sobre la materia—, por lo que no es necesario entrar a examinar si se dan las otras circunstancias excepcionales que exige aquel supuesto.</w:t>
      </w:r>
    </w:p>
    <w:p w:rsidR="0026452D" w:rsidRDefault="0026452D" w:rsidP="0026452D">
      <w:pPr>
        <w:pStyle w:val="TextoNormal"/>
      </w:pPr>
    </w:p>
    <w:p w:rsidR="0026452D" w:rsidRDefault="0026452D" w:rsidP="0026452D">
      <w:pPr>
        <w:pStyle w:val="TextoNormal"/>
      </w:pPr>
      <w:r>
        <w:lastRenderedPageBreak/>
        <w:t>Por tanto, puesto que la Comunidad Autónoma ostenta una competencia exclusiva sobre asistencia social y el Estado no ha invocado título competencial suficiente —genérico o específico— sobre la misma, las ayudas quedan ubicadas en el referido primer supuesto [STC 13/1992, FJ 8 a)], que excluye la posibilidad de gestión centralizada.</w:t>
      </w:r>
    </w:p>
    <w:p w:rsidR="0026452D" w:rsidRDefault="0026452D" w:rsidP="0026452D">
      <w:pPr>
        <w:pStyle w:val="TextoNormal"/>
      </w:pPr>
    </w:p>
    <w:p w:rsidR="0026452D" w:rsidRDefault="0026452D" w:rsidP="0026452D">
      <w:pPr>
        <w:pStyle w:val="TextoNormal"/>
      </w:pPr>
      <w:r>
        <w:t>Así, la regla general sobre el ejercicio de la potestad subvencional de gasto público del Estado en aquellas materias en las que las Comunidades Autónomas tienen competencia exclusiva y el Estado carece de título competencial alguno, tanto genérico como especifico, indica que la intervención estatal debe limitarse a “decidir asignar parte de sus fondos presupuestarios a esas materias o sectores … , de manera genérica o global, por sectores o subsectores enteros de actividad”, y que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 [STC 13/1992, FJ 8 a)].</w:t>
      </w:r>
    </w:p>
    <w:p w:rsidR="0026452D" w:rsidRDefault="0026452D" w:rsidP="0026452D">
      <w:pPr>
        <w:pStyle w:val="TextoNormal"/>
      </w:pPr>
    </w:p>
    <w:p w:rsidR="0026452D" w:rsidRDefault="0026452D" w:rsidP="0026452D">
      <w:pPr>
        <w:pStyle w:val="TextoNormal"/>
      </w:pPr>
      <w:r>
        <w:t>No obstante, en materia de asistencia social debemos tener presente, además, nuestra reciente doctrina sobre el alcance de la potestad subvencional estatal en ese campo, según la cual, aun tratándose de una materia incluida en el primero de los cuatro supuestos sistematizados en el fundamento jurídico 8 de la STC 13/1992, hemos afirmado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(SSTC 178/2011, de 8 de noviembre, FJ 7; y 36/2012, de 15 de marzo, FJ 8; doctrina aplicada posteriormente en las SSTC 72/2012, de 16 de abril, FJ 4; 73/2012, de 16 de abril, FJ 4; 77/2012, de 16 de abril, FJ 4; 173/2012, de 15 de octubre, FJ 7; 177/2012, de 15 de octubre, FJ 7; 226/2012, de 29 de noviembre, FJ 3; y 227/2012 de 29 de noviembre, FJ 5).</w:t>
      </w:r>
    </w:p>
    <w:p w:rsidR="0026452D" w:rsidRDefault="0026452D" w:rsidP="0026452D">
      <w:pPr>
        <w:pStyle w:val="TextoNormal"/>
      </w:pPr>
    </w:p>
    <w:p w:rsidR="0026452D" w:rsidRDefault="0026452D" w:rsidP="0026452D">
      <w:pPr>
        <w:pStyle w:val="TextoNormal"/>
      </w:pPr>
      <w:r>
        <w:t>Por último, hemos de recordar, nuevamente, que el contenido de la orden objeto del presente conflicto de competencia es coincidente con el de las ordenes que enjuiciamos en los recientes conflictos de competencia núm. 7625-2006 y 6893-2007 mediante las SSTC 21/2013, de 31 de enero y 40/2013, de 14 de febrero, al tratarse de la misma convocatoria en los ejercicios anteriores.</w:t>
      </w:r>
    </w:p>
    <w:p w:rsidR="0026452D" w:rsidRDefault="0026452D" w:rsidP="0026452D">
      <w:pPr>
        <w:pStyle w:val="TextoNormal"/>
      </w:pPr>
    </w:p>
    <w:p w:rsidR="0026452D" w:rsidRDefault="0026452D" w:rsidP="0026452D">
      <w:pPr>
        <w:pStyle w:val="TextoNormal"/>
      </w:pPr>
      <w:r w:rsidRPr="0026452D">
        <w:rPr>
          <w:rStyle w:val="NumeroAFNegritaCaracter"/>
        </w:rPr>
        <w:t>7</w:t>
      </w:r>
      <w:r>
        <w:t>. Sobre la base precedente, debemos proceder al examen de los distintos preceptos de la orden objeto de conflicto.</w:t>
      </w:r>
    </w:p>
    <w:p w:rsidR="0026452D" w:rsidRDefault="0026452D" w:rsidP="0026452D">
      <w:pPr>
        <w:pStyle w:val="TextoNormal"/>
      </w:pPr>
    </w:p>
    <w:p w:rsidR="0026452D" w:rsidRDefault="0026452D" w:rsidP="0026452D">
      <w:pPr>
        <w:pStyle w:val="TextoNormal"/>
      </w:pPr>
      <w:r>
        <w:t>a) El art. 1 es inconstitucional por lo que respecta a la convocatoria de la concesión de las subvenciones, siendo constitucional en cuanto establece el objeto de dichas subvenciones.</w:t>
      </w:r>
    </w:p>
    <w:p w:rsidR="0026452D" w:rsidRDefault="0026452D" w:rsidP="0026452D">
      <w:pPr>
        <w:pStyle w:val="TextoNormal"/>
      </w:pPr>
    </w:p>
    <w:p w:rsidR="0026452D" w:rsidRDefault="0026452D" w:rsidP="0026452D">
      <w:pPr>
        <w:pStyle w:val="TextoNormal"/>
      </w:pPr>
      <w:r>
        <w:t>b) El art. 2 no infringe las competencias autonómicas en cuanto define los programas de carácter prioritario.</w:t>
      </w:r>
    </w:p>
    <w:p w:rsidR="0026452D" w:rsidRDefault="0026452D" w:rsidP="0026452D">
      <w:pPr>
        <w:pStyle w:val="TextoNormal"/>
      </w:pPr>
    </w:p>
    <w:p w:rsidR="0026452D" w:rsidRDefault="0026452D" w:rsidP="0026452D">
      <w:pPr>
        <w:pStyle w:val="TextoNormal"/>
      </w:pPr>
      <w:r>
        <w:lastRenderedPageBreak/>
        <w:t>c) Los arts. 3 y 4 no infringen las competencias autonómicas puesto que se ciñen a establecer los requisitos esenciales de los solicitantes y las actividades elegibles, aspectos que pueden considerarse centrales en la regulación de las subvenciones previstas.</w:t>
      </w:r>
    </w:p>
    <w:p w:rsidR="0026452D" w:rsidRDefault="0026452D" w:rsidP="0026452D">
      <w:pPr>
        <w:pStyle w:val="TextoNormal"/>
      </w:pPr>
    </w:p>
    <w:p w:rsidR="0026452D" w:rsidRDefault="0026452D" w:rsidP="0026452D">
      <w:pPr>
        <w:pStyle w:val="TextoNormal"/>
      </w:pPr>
      <w:r>
        <w:t>d) El art. 5, que distribuye los créditos asignados por programas, tampoco vulnera las competencias autonómicas.</w:t>
      </w:r>
    </w:p>
    <w:p w:rsidR="0026452D" w:rsidRDefault="0026452D" w:rsidP="0026452D">
      <w:pPr>
        <w:pStyle w:val="TextoNormal"/>
      </w:pPr>
    </w:p>
    <w:p w:rsidR="0026452D" w:rsidRDefault="0026452D" w:rsidP="0026452D">
      <w:pPr>
        <w:pStyle w:val="TextoNormal"/>
      </w:pPr>
      <w:r>
        <w:t>e) Los arts. 6, 7 y 8 conculcan las competencias autonómicas al referirse, respectivamente a los órganos estatales competentes para realizar la tramitación de las ayudas —art. 6— y a cuestiones adjetivas de la tramitación administrativa (solicitudes, documentación a presentar y forma de financiación de los programas) —arts. 7 y 8—, que son aspectos propios de la gestión de las subvenciones.</w:t>
      </w:r>
    </w:p>
    <w:p w:rsidR="0026452D" w:rsidRDefault="0026452D" w:rsidP="0026452D">
      <w:pPr>
        <w:pStyle w:val="TextoNormal"/>
      </w:pPr>
    </w:p>
    <w:p w:rsidR="0026452D" w:rsidRDefault="0026452D" w:rsidP="0026452D">
      <w:pPr>
        <w:pStyle w:val="TextoNormal"/>
      </w:pPr>
      <w:r>
        <w:t>f) El art. 9 contiene no sólo los criterios que han de ser valorados para la adjudicación de las ayudas, sino también el baremo correspondiente a aplicar a cada uno de ellos, por lo que esta última concreción infringe las competencias autonómicas en la medida en que rebasa lo que conforme a nuestra doctrina constituyen aspectos centrales del régimen subvencional (STC 227/2012, de 29 de noviembre, FJ 7) y, por ello, cercena el margen necesario para que la Generalitat pueda desarrollar la regulación de las condiciones de otorgamiento.</w:t>
      </w:r>
    </w:p>
    <w:p w:rsidR="0026452D" w:rsidRDefault="0026452D" w:rsidP="0026452D">
      <w:pPr>
        <w:pStyle w:val="TextoNormal"/>
      </w:pPr>
    </w:p>
    <w:p w:rsidR="0026452D" w:rsidRDefault="0026452D" w:rsidP="0026452D">
      <w:pPr>
        <w:pStyle w:val="TextoNormal"/>
      </w:pPr>
      <w:r>
        <w:t>g) Los arts. 10, 11, 12, 13, 14, 15, 16, 17, 18, 19, 20 y 21 regulan todos ellos aspectos exclusivamente atinentes a la tramitación, resolución, pago, control, responsabilidad y reintegros de las ayudas, que son de competencia autonómica y, por ello, vulneran las competencias de la Comunidad Autónoma de Cataluña, todo ello sin perjuicio del carácter básico que puedan tener determinados preceptos de la Ley general de subvenciones que en ellos se citan.</w:t>
      </w:r>
    </w:p>
    <w:p w:rsidR="0026452D" w:rsidRDefault="0026452D" w:rsidP="0026452D">
      <w:pPr>
        <w:pStyle w:val="TextoNormal"/>
      </w:pPr>
    </w:p>
    <w:p w:rsidR="0026452D" w:rsidRDefault="0026452D" w:rsidP="0026452D">
      <w:pPr>
        <w:pStyle w:val="TextoNormal"/>
      </w:pPr>
      <w:r>
        <w:t>h) La disposición final primera no vulnera las competencias autonómicas al remitirse de modo genérico a la Ley 38/2003, de 17 de noviembre, general de subvenciones, al Real Decreto 887/2006, de 21 de julio, por el que se aprueba el reglamento de la Ley general de subvenciones, y a la Ley 30/1992, de 26 de noviembre, de régimen jurídico de las Administraciones públicas y del procedimiento administrativo común, pues dicha remisión se efectúa en términos genéricos y con respecto a normas de carácter predominantemente básico, que son, por tanto, aplicables al conjunto de las Administraciones públicas, y sin perjuicio de que se pueda determinar, a través de los correspondientes procesos constitucionales, la compatibilidad de tales normas con el bloque de constitucionalidad, algo que no se ha suscitado en el presente conflicto de competencia.</w:t>
      </w:r>
    </w:p>
    <w:p w:rsidR="0026452D" w:rsidRDefault="0026452D" w:rsidP="0026452D">
      <w:pPr>
        <w:pStyle w:val="TextoNormal"/>
      </w:pPr>
    </w:p>
    <w:p w:rsidR="0026452D" w:rsidRDefault="0026452D" w:rsidP="0026452D">
      <w:pPr>
        <w:pStyle w:val="TextoNormal"/>
      </w:pPr>
      <w:r>
        <w:t>i) La disposición final segunda regula la entrada en vigor de la norma y por ello no vulnera las competencias autonómicas.</w:t>
      </w:r>
    </w:p>
    <w:p w:rsidR="0026452D" w:rsidRDefault="0026452D" w:rsidP="0026452D">
      <w:pPr>
        <w:pStyle w:val="TextoNormal"/>
      </w:pPr>
    </w:p>
    <w:p w:rsidR="0026452D" w:rsidRDefault="0026452D" w:rsidP="0026452D">
      <w:pPr>
        <w:pStyle w:val="TextoNormal"/>
      </w:pPr>
      <w:r>
        <w:t>j) Como consecuencia de lo declarado anteriormente, la vulneración de las competencias de la Comunidad Autónoma de Cataluña se extiende también al anexo C y a los anexos I, II, III y IV de la orden impugnada, por cuanto regulan cuestiones que exceden de los aspectos centrales del régimen subvencional. Sin embargo, los anexos A y B que contienen los programas prioritarios y la distribución del crédito por colectivos o programas no vulneran las competencias autonómicas, no obstante requerir tal distribución su territorialización.</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8</w:t>
      </w:r>
      <w:r>
        <w:t>. Antes del fallo, debemos pronunciarnos sobre el alcance que tiene la vulneración de competencias en que, según hemos visto, incurre la orden objeto de conflicto, en consideración a que, como hemos declarado en otros casos (SSTC 75/1989, de 21 de abril, 13/1992, de 6 de febrero, 79/1992, de 28 de mayo, 186/1999, de 14 de octubre, entre otras), aquella bien ya ha agotado sus efectos y se podría afectar a situaciones jurídicas consolidadas, bien ha quedado modificada. Por ello, la pretensión del Gobierno de la Generalitat de Cataluña ha de estimarse satisfecha mediante la declaración de titularidad de la competencia controvertida.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Estimar parcialmente el conflicto positivo de competencia núm. 7604-2009 interpuesto por el Gobierno de la Generalitat de Cataluña contra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 y en consecuencia declarar, con los efectos previstos en el fundamento jurídico 8 de la presente Sentencia, que vulneran las competencias de la Generalitat de Cataluña los arts. 1, salvo en lo que se refiere al objeto de la convocatoria; 6, 7, 8, 9, en cuanto al establecimiento del baremo aplicable, 10, 11, 12, 13, 14, 15, 16, 17, 18, 19, 20 y 21, así como los anexos C, I, II, III y IV de la orden referida.</w:t>
      </w:r>
    </w:p>
    <w:p w:rsidR="0026452D" w:rsidRDefault="0026452D" w:rsidP="0026452D">
      <w:pPr>
        <w:pStyle w:val="TextoNormal"/>
      </w:pPr>
    </w:p>
    <w:p w:rsidR="0026452D" w:rsidRDefault="0026452D" w:rsidP="0026452D">
      <w:pPr>
        <w:pStyle w:val="TextoNormal"/>
      </w:pPr>
      <w:r>
        <w:t>2º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veintiocho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56" w:name="SENTENCIA_2013_53"/>
      <w:r>
        <w:lastRenderedPageBreak/>
        <w:t>SENTENCIA 53/2013, de 28 de febrero de 2013</w:t>
      </w:r>
    </w:p>
    <w:bookmarkEnd w:id="56"/>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73, de 26 de marzo de 2013)</w:t>
      </w:r>
    </w:p>
    <w:p w:rsidR="0026452D" w:rsidRDefault="0026452D" w:rsidP="0026452D">
      <w:pPr>
        <w:pStyle w:val="TtuloBOE"/>
      </w:pPr>
    </w:p>
    <w:p w:rsidR="0026452D" w:rsidRDefault="0026452D" w:rsidP="0026452D">
      <w:pPr>
        <w:pStyle w:val="SntesisDescriptiva"/>
      </w:pPr>
      <w:r>
        <w:t>ECLI:ES:TC:2013:53</w:t>
      </w:r>
    </w:p>
    <w:p w:rsidR="0026452D" w:rsidRDefault="0026452D" w:rsidP="0026452D">
      <w:pPr>
        <w:pStyle w:val="SntesisDescriptiva"/>
      </w:pPr>
    </w:p>
    <w:p w:rsidR="0026452D" w:rsidRDefault="0026452D" w:rsidP="0026452D">
      <w:pPr>
        <w:pStyle w:val="SntesisDescriptiva"/>
      </w:pPr>
      <w:r>
        <w:t>Recurso de amparo 8309-2010. Promovido por don Juan Carlos Subijana Izquierdo y don Zigor Bravo Sáez de Urabain en relación con las Sentencias de la Sala de lo Penal del Tribunal Supremo y de la Audiencia Nacional que les condenaron por delitos de asesinato y daños terroristas.</w:t>
      </w:r>
    </w:p>
    <w:p w:rsidR="0026452D" w:rsidRDefault="0026452D" w:rsidP="0026452D">
      <w:pPr>
        <w:pStyle w:val="SntesisDescriptiva"/>
      </w:pPr>
    </w:p>
    <w:p w:rsidR="0026452D" w:rsidRDefault="0026452D" w:rsidP="0026452D">
      <w:pPr>
        <w:pStyle w:val="SntesisAnaltica"/>
      </w:pPr>
      <w:r>
        <w:t>Vulneración del derecho a un proceso con todas las garantías: condena penal fundada en declaraciones prestadas en dependencias policiales no reproducidas en el juicio oral (STC 68/2010).</w:t>
      </w:r>
    </w:p>
    <w:p w:rsidR="0026452D" w:rsidRDefault="0026452D" w:rsidP="0026452D">
      <w:pPr>
        <w:pStyle w:val="SntesisAnaltica"/>
      </w:pPr>
    </w:p>
    <w:p w:rsidR="0026452D" w:rsidRDefault="0026452D" w:rsidP="0026452D">
      <w:pPr>
        <w:pStyle w:val="Extracto"/>
      </w:pPr>
      <w:r>
        <w:t>1.</w:t>
      </w:r>
      <w:r>
        <w:tab/>
        <w:t>Las declaraciones autoincriminatorias o heteroinculpatorias prestadas ante la policía no pueden ser consideradas exponentes de prueba anticipada o preconstituida, y no sólo porque su reproducción en el juicio oral no se revele en la mayor parte de los casos imposible o difícil sino, fundamentalmente, porque no se efectuaron en presencia judicial  [FJ 4].</w:t>
      </w:r>
    </w:p>
    <w:p w:rsidR="0026452D" w:rsidRDefault="0026452D" w:rsidP="0026452D">
      <w:pPr>
        <w:pStyle w:val="Extracto"/>
      </w:pPr>
    </w:p>
    <w:p w:rsidR="0026452D" w:rsidRDefault="0026452D" w:rsidP="0026452D">
      <w:pPr>
        <w:pStyle w:val="Extracto"/>
      </w:pPr>
      <w:r>
        <w:t>2.</w:t>
      </w:r>
      <w:r>
        <w:tab/>
        <w:t>Doctrina sobre el valor probatorio del atestado policial (SSTC 107/1983, 31/1981, 68/2010)  [FJ 3].</w:t>
      </w:r>
    </w:p>
    <w:p w:rsidR="0026452D" w:rsidRDefault="0026452D" w:rsidP="0026452D">
      <w:pPr>
        <w:pStyle w:val="Extracto"/>
      </w:pPr>
    </w:p>
    <w:p w:rsidR="0026452D" w:rsidRDefault="0026452D" w:rsidP="0026452D">
      <w:pPr>
        <w:pStyle w:val="Extracto"/>
      </w:pPr>
      <w:r>
        <w:t>3.</w:t>
      </w:r>
      <w:r>
        <w:tab/>
        <w:t>La sustentación por un Juez o Tribunal de lo penal de una condena en su propia apreciación de lo sucedido a partir de su valoración de testimonios a los que no ha asistido no sólo vulnera el derecho del acusado a un proceso con todas las garantías, sino también el derecho de presunción de inocencia siempre que la eliminación de la prueba irregularmente valorada deje sin sustento el relato de hechos probados que soporta la declaración de culpabilidad del acusado (SSTC 81/1998, 144/2012)  [FJ 5].</w:t>
      </w:r>
    </w:p>
    <w:p w:rsidR="0026452D" w:rsidRDefault="0026452D" w:rsidP="0026452D">
      <w:pPr>
        <w:pStyle w:val="Extracto"/>
      </w:pPr>
    </w:p>
    <w:p w:rsidR="0026452D" w:rsidRDefault="0026452D" w:rsidP="0026452D">
      <w:pPr>
        <w:pStyle w:val="Extracto"/>
      </w:pPr>
      <w:r>
        <w:t>4.</w:t>
      </w:r>
      <w:r>
        <w:tab/>
        <w:t>Respecto de uno de los recurrentes de amparo, los órganos judiciales han contado con otros elementos probatorios –registros domiciliarios– además del constituido por su declaración ante la policía, pruebas cuyo valor incriminatorio acredita que la consideración efectuada de la declaración ante la policía no alcanza decisiva relevancia material o valor constitutivo en la condena, por lo que el recurso debe desestimarse íntegramente respecto de este recurrente  [FJ 6].</w:t>
      </w:r>
    </w:p>
    <w:p w:rsidR="0026452D" w:rsidRDefault="0026452D" w:rsidP="0026452D">
      <w:pPr>
        <w:pStyle w:val="Extracto"/>
      </w:pPr>
    </w:p>
    <w:p w:rsidR="0026452D" w:rsidRDefault="0026452D" w:rsidP="0026452D">
      <w:pPr>
        <w:pStyle w:val="Extracto"/>
      </w:pPr>
      <w:r>
        <w:t>5.</w:t>
      </w:r>
      <w:r>
        <w:tab/>
        <w:t>En lo que afecta a uno de los recurrentes de amparo, las Sentencias recurridas califican en varias ocasiones las pruebas adicionales a la declaración ante la policía del otro recurrente como meros elementos de corroboración de dicha declaración, circunstancia que no permite enervar su presunción de inocencia, por lo que ha de apreciarse la vulneración del derecho a un proceso con todas las garantías, correspondiendo a la Sala sentenciadora determinar la eventual independencia y va</w:t>
      </w:r>
      <w:r>
        <w:lastRenderedPageBreak/>
        <w:t>lidez incriminatoria de las referidas pruebas adicionales, con exclusión de la declaración ante la policía que hemos declarado lesiva del citado derecho fundamental, a fin de mantener o revisar la condena  [FJ 7].</w:t>
      </w:r>
    </w:p>
    <w:p w:rsidR="0026452D" w:rsidRDefault="0026452D" w:rsidP="0026452D">
      <w:pPr>
        <w:pStyle w:val="Extracto"/>
      </w:pPr>
    </w:p>
    <w:p w:rsidR="0026452D" w:rsidRDefault="0026452D" w:rsidP="0026452D">
      <w:pPr>
        <w:pStyle w:val="Extracto"/>
      </w:pPr>
      <w:r>
        <w:t>6.</w:t>
      </w:r>
      <w:r>
        <w:tab/>
        <w:t xml:space="preserve">El resultado absolutorio o condenatorio del recurrente en amparo, es competencia de los Tribunales penales, tanto por la prohibición legal de que el Tribunal Constitucional entre a valorar los hechos del proceso, </w:t>
      </w:r>
      <w:r w:rsidRPr="0026452D">
        <w:rPr>
          <w:i/>
        </w:rPr>
        <w:t>ex</w:t>
      </w:r>
      <w:r>
        <w:t xml:space="preserve"> art. 44.1 b) LOTC, como por la imposibilidad material de que los procesos constitucionales puedan contar con las garantías de oralidad, inmediación y contradicción que deben rodear a la valoración probatoria (STC 126/2011) [FJ 7].</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8309-2010, promovido por don Juan Carlos Subijana Izquierdo y don Zigor Bravo Sáez de Urabain, representados por el Procurador de los Tribunales don Javier Cuevas Rivas y asistidos por el Abogado don Iker Urbina Fernández, contra la Sentencia de 10 de marzo de 2010 de la Sección Primera de la Sala de lo Penal de la Audiencia Nacional, en el rollo de Sala núm. 18-2009 procedente del sumario núm. 16-2000 del Juzgado Central de Instrucción núm. 3, que les condenó por delitos de asesinato y daños terroristas a las penas de veinticinco y tres años de prisión, con accesorias, y contra la Sentencia de la Sala de lo Penal del Tribunal Supremo, de 1 de octubre de 2010, que confirmó la anterior resolución en el recurso de casación núm. 10413-2010. Ha sido parte doña Concepción Jaular Díaz, representada por el Procurador de los Tribunales don José Pedro Vila Rodríguez y asistida por el Abogado don Juan Carlos Rodríguez-Segura. Ha intervenido el Ministerio Fiscal. Ha sido Ponente el Magistrado don Fernando Valdés Dal-Ré,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día 25 de noviembre de 2010, el Procurador de los Tribunales don Javier Cuevas Rivas, actuando en nombre y representación de don Juan Carlos Subijana Izquierdo y don Zigor Bravo Sáez de Urabain, presentó recurso de amparo constitucional contra las resoluciones citadas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de los que trae causa la demanda son, en síntesis, los siguientes:</w:t>
      </w:r>
    </w:p>
    <w:p w:rsidR="0026452D" w:rsidRDefault="0026452D" w:rsidP="0026452D">
      <w:pPr>
        <w:pStyle w:val="TextoNormal"/>
      </w:pPr>
    </w:p>
    <w:p w:rsidR="0026452D" w:rsidRDefault="0026452D" w:rsidP="0026452D">
      <w:pPr>
        <w:pStyle w:val="TextoNormal"/>
      </w:pPr>
      <w:r>
        <w:t>a) En el Juzgado Central de Instrucción núm. 3 se incoó el sumario núm. 16-2000 por los delitos de asesinato terrorista y estragos terroristas, cuyo enjuiciamiento correspondió a la Sección Primera de la Sala de lo Penal de la Audiencia Nacional. En fecha 10 de marzo de 2010 dictó Sentencia, condenando a los recurrentes en amparo como autores de un delito de asesinato terrorista a la pena de veinticinco años de prisión, con la accesoria de inhabilitación absoluta durante el tiempo de condena, con prohibición de aproximarse y comunicar con la viuda e hija de la víctima durante cinco años y de acudir a la localidad de Vitoria-Gasteiz o al lugar de residencia de dichos familiares. Asimismo, fueron condenados como autores de un delito de daños terroristas a la pena de tres años de prisión, con la accesoria de suspensión del derecho de sufragio pasivo durante el tiempo de la condena. Y en concepto de responsabilidad civil, a indemnizar conjunta y solidariamente a la viuda e hija de la víctima en la cantidad, a cada una de ellas, de 400.000 euros —declarando el derecho del Estado a subrogarse en las cantidades que en concepto de indemnización a las perjudicadas por estos hechos hayan sido o puedan ser satisfechas—, y al Consorcio de Compensación de Seguros en la cantidad de 62.730 euros, así como al pago de las costas por partes iguales, incluidas las de la acusación particular.</w:t>
      </w:r>
    </w:p>
    <w:p w:rsidR="0026452D" w:rsidRDefault="0026452D" w:rsidP="0026452D">
      <w:pPr>
        <w:pStyle w:val="TextoNormal"/>
      </w:pPr>
    </w:p>
    <w:p w:rsidR="0026452D" w:rsidRDefault="0026452D" w:rsidP="0026452D">
      <w:pPr>
        <w:pStyle w:val="TextoNormal"/>
      </w:pPr>
      <w:r>
        <w:t>b) La citada resolución declara probado que los recurrentes en amparo eran miembros de la organización terrorista ETA; que en el año 2000 integraban un comando de información; que el señor Bravo frecuentaba la casa de sus padres, sita en el mismo inmueble en el que vivía el funcionario de prisiones don Máximo Casado Carreda, quien aparcaba su vehículo en el garaje comunitario; que transmitió al señor Subijana información precisa sobre las circunstancias personales de dicho funcionario: su dirección, vehículo y la ubicación de su plaza en el garaje del inmueble, facilitándole una llave de acceso al mismo; que el señor Subijana trasladó la información así como la citada llave a ETA; que utilizando dichas revelaciones, integrantes no identificados de dicha organización colocaron un artefacto, explosivo del tipo lapa en los bajos del turismo del funcionario, que se hallaba estacionado en el garaje comunitario; que sobre las 7:45 horas del día 22 de octubre de 2000, cuando el funcionario intentaba poner en marcha el vehículo, se produjo la explosión del artefacto, ocasionándole la muerte en los momentos inmediatamente posteriores; que la autoría de la acción fue reivindicada por aquella organización terrorista en comunicado publicado en el diario “Gara”, el día 19 de noviembre de 2000 y, en fin, que la explosión causó la destrucción del vehículo del señor Casado y diversos daños en las comunidades de propietarios y en los vehículos estacionados en las plazas próximas del garaje comunitario.</w:t>
      </w:r>
    </w:p>
    <w:p w:rsidR="0026452D" w:rsidRDefault="0026452D" w:rsidP="0026452D">
      <w:pPr>
        <w:pStyle w:val="TextoNormal"/>
      </w:pPr>
    </w:p>
    <w:p w:rsidR="0026452D" w:rsidRDefault="0026452D" w:rsidP="0026452D">
      <w:pPr>
        <w:pStyle w:val="TextoNormal"/>
      </w:pPr>
      <w:r>
        <w:t>La Sala razona sobre la legalidad de las fuentes de prueba tomadas en consideración, respondiendo con ello a la denuncia de ilicitud formulada por la defensa. En concreto, se pronuncia sobre la validez de las declaraciones en dependencias policiales prestadas por el señor Subijana, que se denunciaban obtenidas mediante torturas, y, asimismo, sobre la incorporación como material probatorio del resultado de los registros efectuados en los domicilios de ambos acusados, pues se censuraba que no constara en las actuaciones resolución judicial alguna que los hubiera autorizado.</w:t>
      </w:r>
    </w:p>
    <w:p w:rsidR="0026452D" w:rsidRDefault="0026452D" w:rsidP="0026452D">
      <w:pPr>
        <w:pStyle w:val="TextoNormal"/>
      </w:pPr>
    </w:p>
    <w:p w:rsidR="0026452D" w:rsidRDefault="0026452D" w:rsidP="0026452D">
      <w:pPr>
        <w:pStyle w:val="TextoNormal"/>
      </w:pPr>
      <w:r>
        <w:lastRenderedPageBreak/>
        <w:t>Subraya la Sentencia que las declaraciones del señor Subijana y las actas de registro practicadas en los domicilios provienen del procedimiento sumario núm. 15-2002 del Juzgado Central de Instrucción núm. 1, que dio lugar al rollo de Sala núm. 20-2002, en el que se dictó Sentencia de conformidad de los acusados, entre los que se encontraban los señores Bravo y Subijana, siendo condenado aquél por pertenencia a la organización ETA, y apreciándose en cambio la identidad de cosa juzgada respecto del último citado, al haber sido condenado en Francia por el mismo motivo. La resolución hace constar, seguidamente, que por providencia dictada por la Juez Central de Instrucción núm. 3 se acordó incorporar al procedimiento el testimonio de las referidas declaraciones, de las actas de entrada y registro en los domicilios de los acusados y de los documentos incautados en los mismos.</w:t>
      </w:r>
    </w:p>
    <w:p w:rsidR="0026452D" w:rsidRDefault="0026452D" w:rsidP="0026452D">
      <w:pPr>
        <w:pStyle w:val="TextoNormal"/>
      </w:pPr>
    </w:p>
    <w:p w:rsidR="0026452D" w:rsidRDefault="0026452D" w:rsidP="0026452D">
      <w:pPr>
        <w:pStyle w:val="TextoNormal"/>
      </w:pPr>
      <w:r>
        <w:t>Deteniéndose en lo manifestado por el señor Subijana ante la policía el día 8 de septiembre de 2001, afirma la referida Sentencia de la Audiencia Nacional que en su declaración judicial, interrogado por el Juez Central de Instrucción sobre el trato recibido, manifestó “que ha sido tratado correctamente por la Guardia Civil”. Consta también, prosigue, que fue reconocido por el médico forense en las dependencias policiales sin que se emitiera parte alguno, y que la defensa no pidió la incorporación de los informes médicos que deben obrar en las actuaciones originales sobre los exámenes practicados al acusado. Asimismo, señala que en fechas posteriores a su detención e ingreso en prisión presentó una denuncia ante el Juzgado de Instrucción de Donostia-San Sebastián por torturas, y que la defensa aportó un informe elaborado por el Comité de Derechos Humanos de las Naciones Unidas en el que se acredita la misma, pero en el que se refleja también el informe del Gobierno de España que niega esas prácticas y da cuenta de que el procedimiento seguido en virtud de aquella denuncia fue archivado. Por todo lo cual, concluye afirmando: “todo el material dirigido a probar las supuestas torturas se limita a las declaraciones del acusado en el juicio oral al responder a las preguntas formuladas por su defensa -en uso de su derecho no quiso contestar a las preguntas de las acusaciones- y a una denuncia formulada por el acusado contra la Guardia Civil por torturas, tras haber afirmado ante el Juez de Instrucción que había recibido un trato correcto, denuncia que al parecer fue archivada. Con dicho material, carente de cualquier otro sustento, no pueden tenerse por probadas las supuestas torturas que el acusado dice haber recibido”.</w:t>
      </w:r>
    </w:p>
    <w:p w:rsidR="0026452D" w:rsidRDefault="0026452D" w:rsidP="0026452D">
      <w:pPr>
        <w:pStyle w:val="TextoNormal"/>
      </w:pPr>
    </w:p>
    <w:p w:rsidR="0026452D" w:rsidRDefault="0026452D" w:rsidP="0026452D">
      <w:pPr>
        <w:pStyle w:val="TextoNormal"/>
      </w:pPr>
      <w:r>
        <w:t>En cuanto a los registros efectuados, la Sentencia argumenta que las correspondientes diligencias fueron practicadas en presencia del Secretario judicial, quien levantó acta con todas las formalidades exigidas por la Ley de enjuiciamiento criminal, lo que evidencia que los registros se amparaban en una resolución judicial; y que, a pesar de no haber sido incorporados a las actuaciones los autos expedidos por el Juez de instrucción que los autorizó, dichas autorizaciones deben encontrarse lógicamente incorporadas al procedimiento del que se dedujo el testimonio de las actas de entrada y registro (el procedimiento sumario núm. 15-2002 del Juzgado Central de Instrucción núm. 1, que dio lugar al rollo de Sala núm. 20-2002).</w:t>
      </w:r>
    </w:p>
    <w:p w:rsidR="0026452D" w:rsidRDefault="0026452D" w:rsidP="0026452D">
      <w:pPr>
        <w:pStyle w:val="TextoNormal"/>
      </w:pPr>
    </w:p>
    <w:p w:rsidR="0026452D" w:rsidRDefault="0026452D" w:rsidP="0026452D">
      <w:pPr>
        <w:pStyle w:val="TextoNormal"/>
      </w:pPr>
      <w:r>
        <w:t xml:space="preserve">A dicha consideración añade una referencia al acuerdo adoptado en Sala General por el Pleno de la Sala Segunda del Tribunal Supremo, de fecha 26 de mayo de 2009, según el cual “en los procesos incoados a raíz de la deducción de testimonios de una causa principal, la simple alegación de que el acto jurisdiccional limitativo del derecho al secreto de las comunicaciones es nulo, porque no hay constancia legítima de las resoluciones antecedentes, no debe implicar sin más la nulidad. En tales casos, cuando la validez de un medio </w:t>
      </w:r>
      <w:r>
        <w:lastRenderedPageBreak/>
        <w:t>probatorio dependa de la legitimidad de la obtención de fuentes de prueba en otro procedimiento, si el interesado impugna en la instancia la legitimidad de aquel medio de prueba, la parte que lo propuso deberá justificar de forma contradictoria la legitimidad cuestionada. Pero si, conocido el origen de un medio de prueba propuesto en un procedimiento, no se promueve dicho debate, no podrá suscitarse en ulteriores instancias la cuestión de la falta de constancia en ese procedimiento de las circunstancias concurrentes en otro relativas al modo de obtención de las fuentes de aquella prueba”. Y dice la Sala, extendiendo el criterio de ese acuerdo a las diligencias de entrada y registro, que la parte recurrente incurrió en tal pasividad, ya que no fue sino en el momento del informe de la defensa en el juicio oral cuando se invocó la ausencia de la resolución judicial legitimadora de los registros, pese a que, si dudaba de su existencia o de su legalidad, pudo en su escrito de conclusiones provisionales señalar la falta de las resoluciones habilitantes. En consecuencia, constando además la intervención del Secretario judicial en esas diligencias, no existiría impedimento para la valoración de las pruebas obtenidas en los registros practicados.</w:t>
      </w:r>
    </w:p>
    <w:p w:rsidR="0026452D" w:rsidRDefault="0026452D" w:rsidP="0026452D">
      <w:pPr>
        <w:pStyle w:val="TextoNormal"/>
      </w:pPr>
    </w:p>
    <w:p w:rsidR="0026452D" w:rsidRDefault="0026452D" w:rsidP="0026452D">
      <w:pPr>
        <w:pStyle w:val="TextoNormal"/>
      </w:pPr>
      <w:r>
        <w:t>Con ese material probatorio, considerado válido, se procede a la valoración de la prueba, declarando la Audiencia Nacional la participación de los acusados en los hechos que se les imputaban. Alude para ello a un primer indicio, constituido por el relato fáctico de la Sentencia dictada por la misma Sección Primera en fecha 5 de junio de 2009 (rollo de Sala núm. 20-2002, sumario núm. 15-2002 del Juzgado Central de instrucción núm. 1, anteriormente citada), que fue objeto de discusión en el plenario tras introducirse en la vista, y del que se desprende que los recurrentes en amparo, junto a un tercero, formaron un comando de la organización terrorista ETA desde el año 1997, cuya finalidad era obtener información al servicio de la citada organización, a la que facilitaron en numerosas ocasiones datos relevantes para la ulterior ejecución de atentados contra personas y cosas. De otra parte, destaca la coincidencia entre el domicilio de los padres del señor Bravo y del funcionario asesinado, y que aquél tenía acceso al garaje del inmueble y posibilidad de conocer los datos del señor Casado. Se refiere, en tercer lugar, a la declaración prestada por el señor Subijana ante la Guardia Civil el 8 de septiembre de 2001, en la que relató pormenorizadamente su ingreso en ETA y las acciones en las que había participado, y en la que dijo respecto de los hechos enjuiciados: “Que la información sobre el funcionario de prisiones se la había proporcionado Zigor Bravo. Que la información consistía en varias notas acerca de su vehículo, su dirección, la forma de entrar en el garaje donde guardaba su vehículo. Que también Zigor le había facilitado la llave de acceso al garaje”, agregando luego la Sala que en la posterior declaración judicial referente a los mismos hechos manifestó que no deseaba rectificar ni ratificar la declaración prestada ante la Guardia Civil, que no había recibido ningún tipo de presión para incluir en su declaración al señor Bravo y que no quería declarar ni contestar a las preguntas efectuadas. Por lo tanto, se concluye, el señor Subijana no ratificó la declaración efectuada en dependencias policiales, pero expresamente no la desmintió.</w:t>
      </w:r>
    </w:p>
    <w:p w:rsidR="0026452D" w:rsidRDefault="0026452D" w:rsidP="0026452D">
      <w:pPr>
        <w:pStyle w:val="TextoNormal"/>
      </w:pPr>
    </w:p>
    <w:p w:rsidR="0026452D" w:rsidRDefault="0026452D" w:rsidP="0026452D">
      <w:pPr>
        <w:pStyle w:val="TextoNormal"/>
      </w:pPr>
      <w:r>
        <w:t xml:space="preserve">Transcribe después el acuerdo del Pleno no jurisdiccional de la Sala Segunda del Tribunal Supremo, de 28 de noviembre de 2006, que dispuso que “las declaraciones válidamente prestadas ante la policía pueden ser objeto de valoración por el Tribunal, previa su incorporación al juicio oral en alguna de las formas admitidas por la jurisprudencia”. A renglón seguido se apoya en la STS 1215/2006, de 4 de diciembre, dictada en un caso que guarda gran similitud, dice, con el enjuiciado, resolución que hace suya y de la que deduce la validez de las declaraciones del señor Subijana en dependencias policiales, en tanto que “fueron introducidas en el juicio oral por su exhibición a dicho acusado para su ratificación, a lo que </w:t>
      </w:r>
      <w:r>
        <w:lastRenderedPageBreak/>
        <w:t>éste se negó, pues en uso de su derecho no contestó a las preguntas del Ministerio Fiscal. Fueron por lo tanto sometidas a debate contradictorio —la defensa interrogó al acusado ampliamente sobre las mismas— y el acusado las justificó por haber sido sometido a torturas, cuestión que ya ha sido analizada”.</w:t>
      </w:r>
    </w:p>
    <w:p w:rsidR="0026452D" w:rsidRDefault="0026452D" w:rsidP="0026452D">
      <w:pPr>
        <w:pStyle w:val="TextoNormal"/>
      </w:pPr>
    </w:p>
    <w:p w:rsidR="0026452D" w:rsidRDefault="0026452D" w:rsidP="0026452D">
      <w:pPr>
        <w:pStyle w:val="TextoNormal"/>
      </w:pPr>
      <w:r>
        <w:t>De otro lado, en cuanto a los efectos incriminatorios de las manifestaciones del señor Subijana respecto de la responsabilidad del señor Bravo, advierte que, si bien la declaración del coimputado no puede convertirse en el único fundamento de una condena penal, pues requiere de las corroboraciones necesarias, en este caso dichos elementos de corroboración concurren; a saber: la pertenencia a ETA del señor Bravo, que él mismo aceptó en el procedimiento antes reseñado (Sentencia de 5 de junio de 2009); la accesibilidad por sus relaciones de vecindad a los datos que el señor Subijana dice que le proporcionó; los resultados de los registros efectuados en los domicilios, que revelan la coincidencia entre los documentos hallados y las informaciones de las que disponía ETA y, finalmente, un documento (folio 755) intervenido en el registro del domicilio del señor Subijana, manuscrito por éste conforme a la prueba pericial caligráfica ratificada en el juicio oral, que contenía la siguiente secuencia: “carcelero, plano, claves, garaje, domicilio”. En definitiva, termina la Sala, los documentos intervenidos en los domicilios de los acusados acreditan su relación con ETA y su trabajo como informadores al servicio de la organización terrorista, así como que el señor Subijana tenía en su poder la información que manifestó le había proporcionado el señor Bravo, lo que es un elemento más de corroboración de lo declarado ante la policía. Lo entonces expresado, por tanto, unido al conjunto de los elementos mencionados, concluye, acreditaría la participación del señor Bravo en los hechos.</w:t>
      </w:r>
    </w:p>
    <w:p w:rsidR="0026452D" w:rsidRDefault="0026452D" w:rsidP="0026452D">
      <w:pPr>
        <w:pStyle w:val="TextoNormal"/>
      </w:pPr>
    </w:p>
    <w:p w:rsidR="0026452D" w:rsidRDefault="0026452D" w:rsidP="0026452D">
      <w:pPr>
        <w:pStyle w:val="TextoNormal"/>
      </w:pPr>
      <w:r>
        <w:t>Con base en todo lo expuesto se procede a la calificación jurídica, la determinación de la autoría por cooperación necesaria, la imposición de las penas y la responsabilidad civil y costas, condenando a los recurrentes en amparo como autores de un delito de asesinato terrorista (art. 572.1.1, en la redacción entonces vigente, en relación con el art. 139.1 del Código penal: CP) y de un delito de daños terroristas (art.266.1, en relación con los arts. 263 y 574 CP).</w:t>
      </w:r>
    </w:p>
    <w:p w:rsidR="0026452D" w:rsidRDefault="0026452D" w:rsidP="0026452D">
      <w:pPr>
        <w:pStyle w:val="TextoNormal"/>
      </w:pPr>
    </w:p>
    <w:p w:rsidR="0026452D" w:rsidRDefault="0026452D" w:rsidP="0026452D">
      <w:pPr>
        <w:pStyle w:val="TextoNormal"/>
      </w:pPr>
      <w:r>
        <w:t>c) La Sentencia de la Sección Primera de la Sala de lo Penal de la Audiencia Nacional, de 10 de marzo de 2010, fue recurrida en casación por ambos condenados. El recurso denunciaba, de una parte, la vulneración del art. 24.2 CE, en tanto que consagra la presunción de inocencia, al haberse considerado a los señores Subijana y Bravo autores de aquellos delitos sin que existiese prueba de cargo y, de otra parte, la aplicación indebida del art. 28 b) CP, por la apreciación de la autoría por cooperación necesaria. El recurso fue desestimado por Sentencia de 1 de octubre de 2010, dictada por la Sala de lo Penal del Tribunal Supremo.</w:t>
      </w:r>
    </w:p>
    <w:p w:rsidR="0026452D" w:rsidRDefault="0026452D" w:rsidP="0026452D">
      <w:pPr>
        <w:pStyle w:val="TextoNormal"/>
      </w:pPr>
    </w:p>
    <w:p w:rsidR="0026452D" w:rsidRDefault="0026452D" w:rsidP="0026452D">
      <w:pPr>
        <w:pStyle w:val="TextoNormal"/>
      </w:pPr>
      <w:r>
        <w:t>Sobre la validez de la declaración prestada en diligencias policiales, el Alto Tribunal alude a la decisión mayoritaria adoptada en la sesión del Pleno no jurisdiccional celebrado el día 28 de noviembre de 2006, anteriormente transcrita, y señala que las condiciones establecidas en ese acuerdo se cumplirían en el supuesto enjuiciado. Razona lo siguiente:</w:t>
      </w:r>
    </w:p>
    <w:p w:rsidR="0026452D" w:rsidRDefault="0026452D" w:rsidP="0026452D">
      <w:pPr>
        <w:pStyle w:val="TextoNormal"/>
      </w:pPr>
    </w:p>
    <w:p w:rsidR="0026452D" w:rsidRDefault="0026452D" w:rsidP="0026452D">
      <w:pPr>
        <w:pStyle w:val="TextoNormal"/>
      </w:pPr>
      <w:r>
        <w:t xml:space="preserve">“A este respecto hay que decir que, no habiéndose evidenciado la imposibilidad de la comparecencia ante el Tribunal de los funcionarios, en este caso guardias, que intervinieron en las declaraciones policiales de los acusados, la forma más correcta de introducción de éstas en el acto del Juicio era la de la presencia de dichos servidores públicos en el acto del </w:t>
      </w:r>
      <w:r>
        <w:lastRenderedPageBreak/>
        <w:t>Juicio para prestar declaración acerca de lo que vieron y oyeron, así como respecto de las restantes circunstancias que rodearon a dichas actuaciones policiales, dando cuenta así, personalmente, tanto del contenido de las referidas declaraciones como de su propia conducta en aquellos momentos. Lo que obviamente resulta más enriquecedor, convincente y seguro que la mera lectura de las actas del atestado en las que constan las manifestaciones vertidas por los declarantes.</w:t>
      </w:r>
    </w:p>
    <w:p w:rsidR="0026452D" w:rsidRDefault="0026452D" w:rsidP="0026452D">
      <w:pPr>
        <w:pStyle w:val="TextoNormal"/>
      </w:pPr>
    </w:p>
    <w:p w:rsidR="0026452D" w:rsidRDefault="0026452D" w:rsidP="0026452D">
      <w:pPr>
        <w:pStyle w:val="TextoNormal"/>
      </w:pPr>
      <w:r>
        <w:t>Pero es que en el presente caso acontece que la introducción de aquella declaración en el juicio se produjo de la forma más efectiva y fiable posible, a saber, el propio reconocimiento de la misma por el acusado, ahora recurrente, que si bien afirmó en el acto del juicio oral, a preguntas de su propio defensor que fueron las únicas a las que accedió a contestar, que aquellas manifestaciones no se correspondían con la realidad sino que fueron provocadas por el padecimiento causado por las torturas de que fue objeto, no niega expresamente el hecho de su existencia.</w:t>
      </w:r>
    </w:p>
    <w:p w:rsidR="0026452D" w:rsidRDefault="0026452D" w:rsidP="0026452D">
      <w:pPr>
        <w:pStyle w:val="TextoNormal"/>
      </w:pPr>
    </w:p>
    <w:p w:rsidR="0026452D" w:rsidRDefault="0026452D" w:rsidP="0026452D">
      <w:pPr>
        <w:pStyle w:val="TextoNormal"/>
      </w:pPr>
      <w:r>
        <w:t>De modo que el objeto a analizar en esta ocasión se desplaza, desde la genérica posibilidad de eficacia acreditativa de las declaraciones ante la Policía, ya admitida de acuerdo con los argumentos expuestos en el apartado anterior, pasando por la necesidad de una correcta introducción en Juicio de dicho material probatorio, efectuada en esta ocasión por la admisión de su existencia por el propio interesado a la que acabamos de referirnos, para concluir en la determinación de la existencia de vicios o circunstancias, como la práctica de torturas, amenazas o coacciones sobre el declarante, que supusieran la nulidad de dichos elementos procesales.</w:t>
      </w:r>
    </w:p>
    <w:p w:rsidR="0026452D" w:rsidRDefault="0026452D" w:rsidP="0026452D">
      <w:pPr>
        <w:pStyle w:val="TextoNormal"/>
      </w:pPr>
    </w:p>
    <w:p w:rsidR="0026452D" w:rsidRDefault="0026452D" w:rsidP="0026452D">
      <w:pPr>
        <w:pStyle w:val="TextoNormal"/>
      </w:pPr>
      <w:r>
        <w:t xml:space="preserve">Y en este sentido, resultan plenamente lógicos y convincentes los razonamientos expuestos por los Jueces </w:t>
      </w:r>
      <w:r w:rsidRPr="0026452D">
        <w:rPr>
          <w:i/>
        </w:rPr>
        <w:t>a quibus</w:t>
      </w:r>
      <w:r>
        <w:t xml:space="preserve"> en su Resolución, para rechazar la existencia de las alegadas torturas, teniendo en cuenta que el recurrente no denunció ilícito alguno de tales características en el momento inicial de las actuaciones, en su declaración fue asistido de Letrado que nada manifestó tampoco al respecto, el Médico forense que en aquel momento le examinó no informó de señal ni dato alguno que indicase o hiciera sospechar de un sometimiento a malos tratos e incluso el propio Subijana, ante el Juez de Instrucción y tiempo después, dijo expresamente que la Guardia Civil le había trato correctamente.</w:t>
      </w:r>
    </w:p>
    <w:p w:rsidR="0026452D" w:rsidRDefault="0026452D" w:rsidP="0026452D">
      <w:pPr>
        <w:pStyle w:val="TextoNormal"/>
      </w:pPr>
    </w:p>
    <w:p w:rsidR="0026452D" w:rsidRDefault="0026452D" w:rsidP="0026452D">
      <w:pPr>
        <w:pStyle w:val="TextoNormal"/>
      </w:pPr>
      <w:r>
        <w:t>Por lo que aquella declaración ha de declararse existente, válida y con la suficiente eficacia probatoria para, una vez valorada por el Juzgador, llevar a éste a la convicción razonable y necesaria acerca de la veracidad del contenido de lo manifestado y suficiente, por tanto, para enervar el derecho a la presunción de inocencia del acusado.”</w:t>
      </w:r>
    </w:p>
    <w:p w:rsidR="0026452D" w:rsidRDefault="0026452D" w:rsidP="0026452D">
      <w:pPr>
        <w:pStyle w:val="TextoNormal"/>
      </w:pPr>
    </w:p>
    <w:p w:rsidR="0026452D" w:rsidRDefault="0026452D" w:rsidP="0026452D">
      <w:pPr>
        <w:pStyle w:val="TextoNormal"/>
      </w:pPr>
      <w:r>
        <w:t>Por otra parte, confirma la validez de los registros llevados a cabo en las viviendas de los señores Subijana y Bravo, para lo que se remite al acuerdo de 26 de mayo de 2009, ya citado, que extiende expresamente a los supuestos de entrada y registro domiciliario, y subraya que en dichos registros “se ocuparon elementos tan incriminatorios para los titulares de las viviendas como diversa documentación que, pericialmente analizada, revela su coincidencia con otro material intervenido en Francia a la dirigente de ETA Ainhoa García Montero con las informaciones de que disponía la banda para la ejecución de atentados y en concreto, en relación con el caso que analizamos, un documento hallado en la casa de Subijana en el que figuran las expresiones ‘carcelero, plano, claves, garaje, domicilio’.”</w:t>
      </w:r>
    </w:p>
    <w:p w:rsidR="0026452D" w:rsidRDefault="0026452D" w:rsidP="0026452D">
      <w:pPr>
        <w:pStyle w:val="TextoNormal"/>
      </w:pPr>
    </w:p>
    <w:p w:rsidR="0026452D" w:rsidRDefault="0026452D" w:rsidP="0026452D">
      <w:pPr>
        <w:pStyle w:val="TextoNormal"/>
      </w:pPr>
      <w:r>
        <w:lastRenderedPageBreak/>
        <w:t>Finalmente, centrado en la condena del señor Bravo, comparte con la Sentencia impugnada la existencia de elementos de corroboración objetiva de la declaración en sede policial hasta aquí aludida, efectuada por el coencausado señor Subijana.</w:t>
      </w:r>
    </w:p>
    <w:p w:rsidR="0026452D" w:rsidRDefault="0026452D" w:rsidP="0026452D">
      <w:pPr>
        <w:pStyle w:val="TextoNormal"/>
      </w:pPr>
    </w:p>
    <w:p w:rsidR="0026452D" w:rsidRDefault="0026452D" w:rsidP="0026452D">
      <w:pPr>
        <w:pStyle w:val="TextoNormal"/>
      </w:pPr>
      <w:r>
        <w:t>Por tales razones, la Sala Segunda del Tribunal Supremo desestimó el recurso en su integridad.</w:t>
      </w:r>
    </w:p>
    <w:p w:rsidR="0026452D" w:rsidRDefault="0026452D" w:rsidP="0026452D">
      <w:pPr>
        <w:pStyle w:val="TextoNormal"/>
      </w:pPr>
    </w:p>
    <w:p w:rsidR="0026452D" w:rsidRDefault="0026452D" w:rsidP="0026452D">
      <w:pPr>
        <w:pStyle w:val="TextoNormal"/>
      </w:pPr>
      <w:r w:rsidRPr="0026452D">
        <w:rPr>
          <w:rStyle w:val="NumeroAFNegritaCaracter"/>
        </w:rPr>
        <w:t>3</w:t>
      </w:r>
      <w:r>
        <w:t>. Los demandantes de amparo aducen la vulneración del derecho a la presunción de inocencia (art. 24.2 CE), en relación con el art. 6.2 del Convenio europeo para la protección de los derechos humanos y de las libertades fundamentales (CEDH) y el art. 14.2 del Pacto internacional de derechos civiles y políticos (PIDCP). Lo fundamentan, en primer lugar, en que se considerara prueba de cargo la declaración realizada por el señor Subijana en dependencias policiales, no ratificada ante el Juzgado Central de Instrucción ni en el acto de la vista oral. A su juicio, la lesión se desprendería de la doctrina de la STC 51/1995, de 23 de febrero, y otras posteriores de este mismo Tribunal que declararon que los atestados policiales tienen únicamente valor de denuncia, sin que sea suficiente su reproducción en el plenario para que se conviertan en prueba de cargo. Esas declaraciones, por lo demás, constituyeron la base fundamental de las condenas, ya que representan el único elemento que permite mantener que el señor Bravo facilitó información del señor Casado al señor Subijana para que éste último la trasladara a ETA, de suerte que, eliminadas del acervo probatorio, ninguno de los otros elementos circunstanciales —a los que las resoluciones recurridas otorgan un mero valor corroborador— permitiría enervar la presunción de inocencia de los recurrentes.</w:t>
      </w:r>
    </w:p>
    <w:p w:rsidR="0026452D" w:rsidRDefault="0026452D" w:rsidP="0026452D">
      <w:pPr>
        <w:pStyle w:val="TextoNormal"/>
      </w:pPr>
    </w:p>
    <w:p w:rsidR="0026452D" w:rsidRDefault="0026452D" w:rsidP="0026452D">
      <w:pPr>
        <w:pStyle w:val="TextoNormal"/>
      </w:pPr>
      <w:r>
        <w:t>Como segunda razón de la vulneración del derecho a la presunción de inocencia del art. 24.2 CE, alude el recurso a los documentos incautados en los registros de los domicilios particulares de los recurrentes, respecto de los que, sin embargo, no obra en las actuaciones resolución judicial habilitante. No obstante lo establecido en las Sentencias impugnadas, dicen, no puede admitirse que corresponda a la defensa demostrar el motivo de nulidad derivado de aquello frente a quien pretende utilizar dicha prueba, pues debería ser este último el que soporte la carga de garantizar que sea introducida en el procedimiento y en el acto de vista oral de conformidad con las normas que rigen el mismo. En suma, la ausencia de las resoluciones que autorizaron la entrada y registro en los domicilios de los recurrentes conllevaría la ilicitud de dichas diligencias y la imposibilidad de valorar la documentación incautada, resultando indudable la conexión de antijuridicidad exigida (STC 49/2007, de 12 de marzo) pues las resoluciones impugnadas utilizaron dicha documentación como elemento de corroboración de la declaración policial del señor Subijana.</w:t>
      </w:r>
    </w:p>
    <w:p w:rsidR="0026452D" w:rsidRDefault="0026452D" w:rsidP="0026452D">
      <w:pPr>
        <w:pStyle w:val="TextoNormal"/>
      </w:pPr>
    </w:p>
    <w:p w:rsidR="0026452D" w:rsidRDefault="0026452D" w:rsidP="0026452D">
      <w:pPr>
        <w:pStyle w:val="TextoNormal"/>
      </w:pPr>
      <w:r>
        <w:t xml:space="preserve">Como tercer motivo se aduce, subsidiariamente, la misma vulneración del derecho a la presunción de inocencia del art. 24.2 CE, por declararse probados hechos sobre los que no existe prueba alguna, como que el señor Bravo tuviera conocimiento de la condición de funcionario de prisiones del señor Casado, o que miembros no identificados de ETA, utilizando dicha información, colocaran un artefacto explosivo del tipo lapa en su vehículo. Sobre el particular sólo existen meras hipótesis policiales, desconociéndose si el artefacto se colocó fuera o en el interior del garaje y las personas que participaron en esos hechos. En suma, a su juicio, no existe prueba de cargo que acredite que el señor Bravo conociera al </w:t>
      </w:r>
      <w:r>
        <w:lastRenderedPageBreak/>
        <w:t>señor Casado y supiera de su condición de funcionario de prisiones, ni que facilitara información sobre el mismo al señor Subijana, ni de que éste la hiciera llegar a la dirección de ETA o de que esa información fuera correcta y utilizada por la mencionada organización.</w:t>
      </w:r>
    </w:p>
    <w:p w:rsidR="0026452D" w:rsidRDefault="0026452D" w:rsidP="0026452D">
      <w:pPr>
        <w:pStyle w:val="TextoNormal"/>
      </w:pPr>
    </w:p>
    <w:p w:rsidR="0026452D" w:rsidRDefault="0026452D" w:rsidP="0026452D">
      <w:pPr>
        <w:pStyle w:val="TextoNormal"/>
      </w:pPr>
      <w:r w:rsidRPr="0026452D">
        <w:rPr>
          <w:rStyle w:val="NumeroAFNegritaCaracter"/>
        </w:rPr>
        <w:t>4</w:t>
      </w:r>
      <w:r>
        <w:t>. En virtud de providencia de la Sala Primera, de 11 de abril de 2011, se acordó la admisión a trámite de la demanda de amparo, solicitándose la certificación o fotocopia adverada de las actuaciones a los órganos judiciales que intervinieron en los diferentes grados jurisdiccionales, antes citados, así como la práctica de los emplazamientos correspondientes.</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en este Tribunal el día 30 de mayo de 2011, el Procurador don José Pedro Vila Rodríguez solicitó que se le tuviera por personado en nombre y representación de doña Concepción Jaular Díaz.</w:t>
      </w:r>
    </w:p>
    <w:p w:rsidR="0026452D" w:rsidRDefault="0026452D" w:rsidP="0026452D">
      <w:pPr>
        <w:pStyle w:val="TextoNormal"/>
      </w:pPr>
    </w:p>
    <w:p w:rsidR="0026452D" w:rsidRDefault="0026452D" w:rsidP="0026452D">
      <w:pPr>
        <w:pStyle w:val="TextoNormal"/>
      </w:pPr>
      <w:r w:rsidRPr="0026452D">
        <w:rPr>
          <w:rStyle w:val="NumeroAFNegritaCaracter"/>
        </w:rPr>
        <w:t>6</w:t>
      </w:r>
      <w:r>
        <w:t>. Por diligencia de ordenación de la Secretaría de Justicia de la Sección Segunda de este Tribunal, de 2 de junio de 2011, se tuvieron por recibidos los testimonios de las actuaciones y el escrito del Procurador don José Pedro Vila Rodríguez, a quien se tuvo por personado y parte en la representación que ostenta, acordándose abrir el plazo común de veinte días al Ministerio Fiscal y a las partes personadas, de conformidad con el art. 52 de la Ley Orgánica del Tribunal Constitucional (LOTC), para que pudieran presentar las alegaciones que a su derecho conviniere.</w:t>
      </w:r>
    </w:p>
    <w:p w:rsidR="0026452D" w:rsidRDefault="0026452D" w:rsidP="0026452D">
      <w:pPr>
        <w:pStyle w:val="TextoNormal"/>
      </w:pPr>
    </w:p>
    <w:p w:rsidR="0026452D" w:rsidRDefault="0026452D" w:rsidP="0026452D">
      <w:pPr>
        <w:pStyle w:val="TextoNormal"/>
      </w:pPr>
      <w:r w:rsidRPr="0026452D">
        <w:rPr>
          <w:rStyle w:val="NumeroAFNegritaCaracter"/>
        </w:rPr>
        <w:t>7</w:t>
      </w:r>
      <w:r>
        <w:t>. La representación procesal de doña Concepción Jaular Díaz presentó escrito de alegaciones antes de recibir la notificación de la anterior providencia, aunque se ratificó en los contenidos del mismo el día 15 de junio de 2011, una vez que el plazo le había sido conferido.</w:t>
      </w:r>
    </w:p>
    <w:p w:rsidR="0026452D" w:rsidRDefault="0026452D" w:rsidP="0026452D">
      <w:pPr>
        <w:pStyle w:val="TextoNormal"/>
      </w:pPr>
    </w:p>
    <w:p w:rsidR="0026452D" w:rsidRDefault="0026452D" w:rsidP="0026452D">
      <w:pPr>
        <w:pStyle w:val="TextoNormal"/>
      </w:pPr>
      <w:r>
        <w:t>Resalta que no existe un solo indicio de torturas o malos tratos y que las alegaciones de vulneración de la presunción de inocencia —por falta de ratificación de la declaración del señor Subijana en sede policial y de prueba de cargo para basar la condena— fueron resueltas en el proceso de manera clara y pormenorizada, fundamentada en Derecho. Por lo demás, aquellas declaraciones ante la policía fueron introducidas en el juicio oral, y resultaron por lo tanto sometidas a debate contradictorio, mientras que, en lo que se refiere al señor Bravo, los órganos judiciales aportaron los elementos corroboradores necesarios, entre los que es especialmente relevante el documento que figura en el folio 755 de las actuaciones (que citamos con anterioridad).</w:t>
      </w:r>
    </w:p>
    <w:p w:rsidR="0026452D" w:rsidRDefault="0026452D" w:rsidP="0026452D">
      <w:pPr>
        <w:pStyle w:val="TextoNormal"/>
      </w:pPr>
    </w:p>
    <w:p w:rsidR="0026452D" w:rsidRDefault="0026452D" w:rsidP="0026452D">
      <w:pPr>
        <w:pStyle w:val="TextoNormal"/>
      </w:pPr>
      <w:r w:rsidRPr="0026452D">
        <w:rPr>
          <w:rStyle w:val="NumeroAFNegritaCaracter"/>
        </w:rPr>
        <w:t>8</w:t>
      </w:r>
      <w:r>
        <w:t>. El Fiscal ante el Tribunal Constitucional evacuó el trámite de alegaciones el día 12 de julio de 2011, interesando la denegación del amparo.</w:t>
      </w:r>
    </w:p>
    <w:p w:rsidR="0026452D" w:rsidRDefault="0026452D" w:rsidP="0026452D">
      <w:pPr>
        <w:pStyle w:val="TextoNormal"/>
      </w:pPr>
    </w:p>
    <w:p w:rsidR="0026452D" w:rsidRDefault="0026452D" w:rsidP="0026452D">
      <w:pPr>
        <w:pStyle w:val="TextoNormal"/>
      </w:pPr>
      <w:r>
        <w:t>Pone de manifiesto que en el plenario se practicó abundante prueba y que, tras el examen del conjunto de ese material probatorio, la Sala de enjuiciamiento descartó que la declaración policial se hubiera obtenido bajo tortura y rechazó la versión de los hechos de los acusados. Por ello, a su juicio, la declaración ante la Guardia Civil no constituyó la prueba en la que se sustentó la condena de ambos demandantes, sino que, por el contrario, se apoyó en diversos elementos acreditados y pruebas practicadas en el acto del juicio oral.</w:t>
      </w:r>
    </w:p>
    <w:p w:rsidR="0026452D" w:rsidRDefault="0026452D" w:rsidP="0026452D">
      <w:pPr>
        <w:pStyle w:val="TextoNormal"/>
      </w:pPr>
    </w:p>
    <w:p w:rsidR="0026452D" w:rsidRDefault="0026452D" w:rsidP="0026452D">
      <w:pPr>
        <w:pStyle w:val="TextoNormal"/>
      </w:pPr>
      <w:r>
        <w:lastRenderedPageBreak/>
        <w:t>En segundo lugar, en lo que atañe a los documentos obtenidos en los registros domiciliarios, mantiene que si el derecho a la presunción de inocencia puede considerarse temporáneamente invocado tras el dictado de la Sentencia condenatoria, no ocurre igual con la vulneración del derecho sustantivo que fundamenta la ilicitud de la prueba, puesto que, como tiene declarado este Tribunal Constitucional, a partir del momento mismo en que la lesión se produjo podía ser invocada ante los órganos judiciales (STC 171/1992, de 26 de octubre, FJ 3). De acuerdo con ese criterio la denuncia pudo formularse, en el entendimiento habitual en estos casos, al comienzo del juicio oral, cosa que no se hizo, por lo que debe declararse incumplido el requisito previsto en el art. 44.1 c) LOTC. No obstante, por si no se compartiera su tesis, postula la validez de dicha documental, ya que, afirma, ambos demandantes a preguntas de su defensa y con todas las garantías reconocieron en el plenario que en sus domicilios fueron incautados los documentos mencionados, aunque negaran que les pertenecieran.</w:t>
      </w:r>
    </w:p>
    <w:p w:rsidR="0026452D" w:rsidRDefault="0026452D" w:rsidP="0026452D">
      <w:pPr>
        <w:pStyle w:val="TextoNormal"/>
      </w:pPr>
    </w:p>
    <w:p w:rsidR="0026452D" w:rsidRDefault="0026452D" w:rsidP="0026452D">
      <w:pPr>
        <w:pStyle w:val="TextoNormal"/>
      </w:pPr>
      <w:r>
        <w:t>Se opone finalmente al último motivo del recurso, que revela a su juicio una mera discrepancia con la valoración probatoria, lo que es ajeno al derecho fundamental invocado.</w:t>
      </w:r>
    </w:p>
    <w:p w:rsidR="0026452D" w:rsidRDefault="0026452D" w:rsidP="0026452D">
      <w:pPr>
        <w:pStyle w:val="TextoNormal"/>
      </w:pPr>
    </w:p>
    <w:p w:rsidR="0026452D" w:rsidRDefault="0026452D" w:rsidP="0026452D">
      <w:pPr>
        <w:pStyle w:val="TextoNormal"/>
      </w:pPr>
      <w:r w:rsidRPr="0026452D">
        <w:rPr>
          <w:rStyle w:val="NumeroAFNegritaCaracter"/>
        </w:rPr>
        <w:t>9</w:t>
      </w:r>
      <w:r>
        <w:t>. El Procurador don Javier Cuevas Rivas no presentó alegaciones en el plazo conferido.</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27 de noviembre de 2012, el Pleno, de conformidad con lo establecido en el art. 10.1 n) LOTC y a propuesta de la Sala Primera, acordó recabar para sí el conocimiento del presente recurso de amparo.</w:t>
      </w:r>
    </w:p>
    <w:p w:rsidR="0026452D" w:rsidRDefault="0026452D" w:rsidP="0026452D">
      <w:pPr>
        <w:pStyle w:val="TextoNormal"/>
      </w:pPr>
    </w:p>
    <w:p w:rsidR="0026452D" w:rsidRDefault="0026452D" w:rsidP="0026452D">
      <w:pPr>
        <w:pStyle w:val="TextoNormal"/>
      </w:pPr>
      <w:r w:rsidRPr="0026452D">
        <w:rPr>
          <w:rStyle w:val="NumeroAFNegritaCaracter"/>
        </w:rPr>
        <w:t>11</w:t>
      </w:r>
      <w:r>
        <w:t>. Por providencia de 26 de febrero de 2013, se señaló para la deliberación y votación de la presente Sentencia el día 28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amparo se dirige contra las Sentencias de 10 de marzo de 2010 de la Sección Primera de la Sala de lo Penal de la Audiencia Nacional, dictada en el rollo de Sala núm. 18-2009 procedente del sumario núm. 16-2000 del Juzgado Central de Instrucción núm. 3, que condenó a los recurrentes en amparo por delitos de asesinato y daños terroristas a las penas de veinticinco y tres años de prisión, con accesorias, y de 1 de octubre de 2010, de la Sala de lo Penal del Tribunal Supremo, que confirmó la anterior resolución en el recurso de casación núm. 10413-2010. En la demanda se considera vulnerado el derecho a la presunción de inocencia (art. 24.2 CE) con base en diversos motivos: porque se fundó la condena en la declaración de uno de los demandantes, prestada ante la policía y no ratificada en presencia judicial; porque se valoraron documentos incautados en los registros de los domicilios particulares de los recurrentes respecto de los que, sin embargo, no obra en las actuaciones resolución judicial habilitante, y porque, subsidiariamente, se declararon probados hechos sobre los que no existe prueba de cargo alguna, sino sólo meras hipótesis policiales. El Ministerio Fiscal y la representación procesal de doña Concepción Jaular Díaz interesan la desestimación íntegra de la demanda, defendiendo el primero de ellos que la segunda alegación, relativa al valor de los registros domiciliaros y de las pruebas en ellos obtenidas, no fue correctamente invocada en la vía judicial previa [art. 44.1 c) de la Ley Orgánica del Tribunal Constitucional: LOTC].</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Las alegaciones contenidas en el presente recurso se abordarán siguiendo el orden de la demanda de amparo. Este criterio metodológico permitirá, pues, dotar a nuestro pronunciamiento de una sistemática apropiada </w:t>
      </w:r>
      <w:r w:rsidRPr="0026452D">
        <w:rPr>
          <w:i/>
        </w:rPr>
        <w:t>ad casum</w:t>
      </w:r>
      <w:r>
        <w:t>.</w:t>
      </w:r>
    </w:p>
    <w:p w:rsidR="0026452D" w:rsidRDefault="0026452D" w:rsidP="0026452D">
      <w:pPr>
        <w:pStyle w:val="TextoNormal"/>
      </w:pPr>
    </w:p>
    <w:p w:rsidR="0026452D" w:rsidRDefault="0026452D" w:rsidP="0026452D">
      <w:pPr>
        <w:pStyle w:val="TextoNormal"/>
      </w:pPr>
      <w:r>
        <w:t>Comenzando por la declaración prestada en sede policial por el señor Subijana, que tuvo una doble manifestación —auto y heteroinculpatoria, pues incriminó también al otro recurrente—, será preciso traer a colación el argumento en el que funda su validez como prueba de cargo la Sala Segunda del Tribunal Supremo, a saber: que fue introducida en el juicio de la forma más efectiva y fiable posible, esto es, a través del propio reconocimiento por el acusado de que la misma se produjo, pues si bien afirmó en el acto del juicio oral, a preguntas de su propio defensor que fueron las únicas a las que accedió a contestar, que aquellas manifestaciones que hizo en dependencias policiales no se correspondían con la realidad, sino que fueron provocadas por el padecimiento causado por las torturas de que fue objeto, “no niega expresamente el hecho de su existencia”. Añade a lo anterior el Alto Tribunal una serie de elementos dirigidos a rechazar las alegadas torturas, que habrían supuesto, como es obvio, un motivo de nulidad, pero que, una vez descartadas, despejarían toda duda sobre la validez del testimonio reseñado, vista aquella incorporación fiable al acto del juicio. Bajo esas circunstancias —concluye la Sentencia de casación— lo expresado en aquel momento ante la policía ha de reputarse válido y con la suficiente eficacia probatoria para, una vez valorado por el Juzgador, llevar a éste a la convicción razonable y necesaria acerca de la veracidad del contenido de lo manifestado, y suficiente, por tanto, para enervar el derecho a la presunción de inocencia del declarante, como igualmente de la del señor Bravo, al existir factores que corroboran el testimonio del coimputado.</w:t>
      </w:r>
    </w:p>
    <w:p w:rsidR="0026452D" w:rsidRDefault="0026452D" w:rsidP="0026452D">
      <w:pPr>
        <w:pStyle w:val="TextoNormal"/>
      </w:pPr>
    </w:p>
    <w:p w:rsidR="0026452D" w:rsidRDefault="0026452D" w:rsidP="0026452D">
      <w:pPr>
        <w:pStyle w:val="TextoNormal"/>
      </w:pPr>
      <w:r>
        <w:t>En relación con lo anterior, obra en las actuaciones lo que dijo el señor Subijana en el acto del juicio (folio 258): que no se ratificaba en las declaraciones efectuadas ante la policía porque fueron realizadas bajo torturas y amenazas; que sus manifestaciones fueron preparadas por la Guardia Civil, que hizo especial hincapié en que tenía que imputar al señor Bravo, al que en realidad sólo conocía porque le había servido alguna consumición en el bar donde trabajaba, y que no informó a ETA sobre el señor Casado, del que no tenía datos y al que no conocía. El señor Bravo coincidió con el señor Subijana en lo referente al tipo de relación que mantenían y negó, asimismo, los hechos que le eran imputados.</w:t>
      </w:r>
    </w:p>
    <w:p w:rsidR="0026452D" w:rsidRDefault="0026452D" w:rsidP="0026452D">
      <w:pPr>
        <w:pStyle w:val="TextoNormal"/>
      </w:pPr>
    </w:p>
    <w:p w:rsidR="0026452D" w:rsidRDefault="0026452D" w:rsidP="0026452D">
      <w:pPr>
        <w:pStyle w:val="TextoNormal"/>
      </w:pPr>
      <w:r w:rsidRPr="0026452D">
        <w:rPr>
          <w:rStyle w:val="NumeroAFNegritaCaracter"/>
        </w:rPr>
        <w:t>3</w:t>
      </w:r>
      <w:r>
        <w:t>. Procederemos ahora a recoger los contenidos esenciales de nuestra doctrina en la materia, sintetizados por la STC 68/2010, de 18 de octubre.</w:t>
      </w:r>
    </w:p>
    <w:p w:rsidR="0026452D" w:rsidRDefault="0026452D" w:rsidP="0026452D">
      <w:pPr>
        <w:pStyle w:val="TextoNormal"/>
      </w:pPr>
    </w:p>
    <w:p w:rsidR="0026452D" w:rsidRDefault="0026452D" w:rsidP="0026452D">
      <w:pPr>
        <w:pStyle w:val="TextoNormal"/>
      </w:pPr>
      <w:r>
        <w:t>a) Como regla general, sólo pueden considerarse pruebas que vinculen a los órganos de la justicia penal las practicadas en el juicio oral, pues el procedimiento probatorio ha de tener lugar necesariamente en el debate contradictorio que en forma oral se desarrolle ante el mismo Juez o Tribunal que ha de dictar Sentencia, de manera que la convicción sobre los hechos enjuiciados se alcance en contacto directo con los medios de prueba aportados a tal fin por las partes (por todas, SSTC 182/1989, de 3 de noviembre, FJ 2; 195/2002, de 28 de octubre, FJ 2; 206/2003, de 1 de diciembre, FJ 2; 1/2006, de 16 de enero, FJ 4; 345/2006, de 11 de diciembre, FJ 3, o 134/2010, de 3 de diciembre, FJ 3). Es en el juicio oral donde se aseguran las garantías constitucionales de inmediación, contradicción, oralidad y publicidad (entre otras muchas, STC 67/2001, de 17 de marzo, FJ 6).</w:t>
      </w:r>
    </w:p>
    <w:p w:rsidR="0026452D" w:rsidRDefault="0026452D" w:rsidP="0026452D">
      <w:pPr>
        <w:pStyle w:val="TextoNormal"/>
      </w:pPr>
    </w:p>
    <w:p w:rsidR="0026452D" w:rsidRDefault="0026452D" w:rsidP="0026452D">
      <w:pPr>
        <w:pStyle w:val="TextoNormal"/>
      </w:pPr>
      <w:r>
        <w:lastRenderedPageBreak/>
        <w:t>b) La regla que se viene de enunciar, sin embargo, no puede entenderse de manera tan radical que conduzca a negar toda eficacia probatoria potencial a otras diligencias. En efecto, nuestra doctrina ha admitido que la regla general consiente determinadas excepciones, particularmente respecto de las declaraciones prestadas en fase sumarial cuando se cumplan una serie de presupuestos y requisitos que “hemos clasificado como: a) materiales —que exista una causa legitima que impida reproducir la declaración en el juicio oral—; b) subjetivos —la necesaria intervención del Juez de Instrucción—; c) objetivos —que se garantice la posibilidad de contradicción, para lo cual ha de haber sido convocado el Abogado del imputado, a fin de que pueda participar en el interrogatorio sumarial del testigo—; d) formales —la introducción del contenido de la declaración sumarial a través de la lectura del acta en que se documenta, conforme a lo ordenado por el art. 730 LECrim—, o a través de los interrogatorios, lo que posibilita que su contenido acceda al debate procesal público y se someta a confrontación con las demás declaraciones de quienes sí intervinieron en el juicio oral” [STC 68/2010, FJ 5 a), y los restantes pronunciamientos de este Tribunal allí igualmente citados].</w:t>
      </w:r>
    </w:p>
    <w:p w:rsidR="0026452D" w:rsidRDefault="0026452D" w:rsidP="0026452D">
      <w:pPr>
        <w:pStyle w:val="TextoNormal"/>
      </w:pPr>
    </w:p>
    <w:p w:rsidR="0026452D" w:rsidRDefault="0026452D" w:rsidP="0026452D">
      <w:pPr>
        <w:pStyle w:val="TextoNormal"/>
      </w:pPr>
      <w:r>
        <w:t>c) Por el contrario, la posibilidad de otorgar la condición de prueba a declaraciones prestadas extramuros del juicio oral no alcanza a las practicadas ante la policía. Se confirma con ello la doctrina de nuestra temprana STC 31/1981, de 28 de julio, FJ 4, según la cual “dicha declaración, al formar parte del atestado, tiene, en principio, únicamente valor de denuncia, como señala el art. 297 de la LECrim”, por lo que, considerado en sí mismo, y como hemos dicho en la STC 68/2010, FJ 5 b), “el atestado se erige en objeto de prueba y no en medio de prueba, y los hechos que en él se afirman por funcionarios, testigos o imputados han de ser introducidos en el juicio oral a través de auténticos medios probatorios”.</w:t>
      </w:r>
    </w:p>
    <w:p w:rsidR="0026452D" w:rsidRDefault="0026452D" w:rsidP="0026452D">
      <w:pPr>
        <w:pStyle w:val="TextoNormal"/>
      </w:pPr>
    </w:p>
    <w:p w:rsidR="0026452D" w:rsidRDefault="0026452D" w:rsidP="0026452D">
      <w:pPr>
        <w:pStyle w:val="TextoNormal"/>
      </w:pPr>
      <w:r>
        <w:t>Una vez señalado que la declaración ante la policía no constituye como tal, y por sí sola, un medio de prueba, no es preciso en este momento entrar en el análisis de problemas asociados a ello, abordados en nuestros precedentes pero sin relevancia alguna en este recurso.</w:t>
      </w:r>
    </w:p>
    <w:p w:rsidR="0026452D" w:rsidRDefault="0026452D" w:rsidP="0026452D">
      <w:pPr>
        <w:pStyle w:val="TextoNormal"/>
      </w:pPr>
    </w:p>
    <w:p w:rsidR="0026452D" w:rsidRDefault="0026452D" w:rsidP="0026452D">
      <w:pPr>
        <w:pStyle w:val="TextoNormal"/>
      </w:pPr>
      <w:r>
        <w:t>d) El criterio descrito en la letra anterior no significa, no obstante, negar eficacia probatoria potencial a cualquier diligencia policial reflejada en el atestado, puesto que, si se introduce en el juicio oral con respeto “a la triple exigencia constitucional de toda actividad probatoria: publicidad inmediación y contradicción” (SSTC 155/2002, de 22 de julio, FJ 10 y 187/2003, de 27 de septiembre, FJ 4), puede desplegar efectos probatorios, en contraste o concurrencia con otros elementos de prueba.</w:t>
      </w:r>
    </w:p>
    <w:p w:rsidR="0026452D" w:rsidRDefault="0026452D" w:rsidP="0026452D">
      <w:pPr>
        <w:pStyle w:val="TextoNormal"/>
      </w:pPr>
    </w:p>
    <w:p w:rsidR="0026452D" w:rsidRDefault="0026452D" w:rsidP="0026452D">
      <w:pPr>
        <w:pStyle w:val="TextoNormal"/>
      </w:pPr>
      <w:r w:rsidRPr="0026452D">
        <w:rPr>
          <w:rStyle w:val="NumeroAFNegritaCaracter"/>
        </w:rPr>
        <w:t>4</w:t>
      </w:r>
      <w:r>
        <w:t>. Las declaraciones obrantes en los atestados policiales, en conclusión, no tienen valor probatorio de cargo. Singularmente, y en directa relación con el caso que ahora nos ocupa, ni las autoincriminatorias ni las heteroinculpatorias prestadas ante la policía pueden ser consideradas exponentes de prueba anticipada o de prueba preconstituida. Y no sólo porque su reproducción en el juicio oral no se revele en la mayor parte de los casos imposible o difícil sino, fundamentalmente, porque no se efectuaron en presencia de la autoridad judicial, que es la autoridad que, por estar institucionalmente dotada de independencia e imparcialidad, asegura la fidelidad del testimonio y su eventual eficacia probatoria. Lo hemos dispuesto de ese modo, en relación con las declaraciones de coimputados y copartícipes en los hechos, por ejemplo, en las SSTC 51/1995, de 23 de febrero; 206/2003, de 1 de diciembre, o 68/2010, de 18 de octubre.</w:t>
      </w:r>
    </w:p>
    <w:p w:rsidR="0026452D" w:rsidRDefault="0026452D" w:rsidP="0026452D">
      <w:pPr>
        <w:pStyle w:val="TextoNormal"/>
      </w:pPr>
    </w:p>
    <w:p w:rsidR="0026452D" w:rsidRDefault="0026452D" w:rsidP="0026452D">
      <w:pPr>
        <w:pStyle w:val="TextoNormal"/>
      </w:pPr>
      <w:r>
        <w:lastRenderedPageBreak/>
        <w:t>En suma, no puede confundirse la acreditación de la existencia de un acto (declaración ante la policía) con una veracidad y refrendo de sus contenidos que alcance carácter o condición de prueba por sí sola.</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Según la consolidada doctrina de este Tribunal, la Constitución veda </w:t>
      </w:r>
      <w:r w:rsidRPr="0026452D">
        <w:rPr>
          <w:i/>
        </w:rPr>
        <w:t>ex</w:t>
      </w:r>
      <w:r>
        <w:t xml:space="preserve"> art. 24.2 que un Juez o Tribunal de lo penal sustente una condena en su propia apreciación de lo sucedido a partir de su valoración de testimonios a los que no ha asistido. El derecho fundamental del acusado a un proceso con todas las garantías (art. 24.2 CE) exige que la valoración de un testimonio personal sólo pueda ser realizada por el órgano judicial ante el que se practique y siempre que además dicha práctica se realice en condiciones plenas de contradicción y publicidad.</w:t>
      </w:r>
    </w:p>
    <w:p w:rsidR="0026452D" w:rsidRDefault="0026452D" w:rsidP="0026452D">
      <w:pPr>
        <w:pStyle w:val="TextoNormal"/>
      </w:pPr>
    </w:p>
    <w:p w:rsidR="0026452D" w:rsidRDefault="0026452D" w:rsidP="0026452D">
      <w:pPr>
        <w:pStyle w:val="TextoNormal"/>
      </w:pPr>
      <w:r>
        <w:t>Junto a la lesión de ese derecho, cuya declaración se impone cuando haya tenido una incidencia material en la condena, se producirá también la vulneración del derecho a la presunción de inocencia siempre que la eliminación de la prueba irregularmente valorada deje sin sustento el relato de hechos probados que soporta la declaración de culpabilidad del acusado. Esto sucederá, por supuesto, cuando la prueba personal eliminada sea la única tomada en cuenta por la resolución impugnada, pero asimismo cuando, a partir de su propia motivación, se constate que dicha prueba era esencial para llegar a la conclusión fáctica incriminatoria, de modo que con su exclusión la inferencia de dicha conclusión devenga ilógica o no concluyente (STC 207/2007, de 24 de septiembre, FJ 2, y entre las más recientes, STC 144/2012, de 2 de julio, FJ 6, o la reiterada STC 68/2010, dictada en una problemática próxima a la que resolvemos, como ha quedado expuesto). Sin embargo y de existir otras pruebas de cargo válidas e independientes, la presunción de inocencia no resultará infringida (por ejemplo, STC 81/1998, de 2 de abril, FJ 3, o 167/2002, de 18 de septiembre, FJ 6, ambas del Pleno de este Tribunal).</w:t>
      </w:r>
    </w:p>
    <w:p w:rsidR="0026452D" w:rsidRDefault="0026452D" w:rsidP="0026452D">
      <w:pPr>
        <w:pStyle w:val="TextoNormal"/>
      </w:pPr>
    </w:p>
    <w:p w:rsidR="0026452D" w:rsidRDefault="0026452D" w:rsidP="0026452D">
      <w:pPr>
        <w:pStyle w:val="TextoNormal"/>
      </w:pPr>
      <w:r>
        <w:t>Nos corresponde analizar entonces si existen otras pruebas de cargo válidamente practicadas. Y, de constatarse su existencia, decidir, si a partir del análisis de las resoluciones judiciales, se puede concluir o no que la condena se fundó en ellas. Si existieran aquéllas pero requirieran una nueva valoración por parte de la Sala sentenciadora, una vez eliminada la prueba anulada, procedería acordar la retroacción de actuaciones al momento anterior a dictar Sentencia, para que fueran los órganos judiciales quienes la realizaran, pues a este Tribunal no le compete esa función. Pero si del examen de la Sentencia condenatoria pudiera llegarse a la conclusión inversa (que la prueba anulada no resulta indispensable ni determinante para el fallo de culpabilidad, sino que, antes bien, éste puede seguir asentándose en las restantes válidamente practicadas), no procedería acordar la retroacción de las actuaciones, desestimándose en esa hipótesis el recurso de amparo.</w:t>
      </w:r>
    </w:p>
    <w:p w:rsidR="0026452D" w:rsidRDefault="0026452D" w:rsidP="0026452D">
      <w:pPr>
        <w:pStyle w:val="TextoNormal"/>
      </w:pPr>
    </w:p>
    <w:p w:rsidR="0026452D" w:rsidRDefault="0026452D" w:rsidP="0026452D">
      <w:pPr>
        <w:pStyle w:val="TextoNormal"/>
      </w:pPr>
      <w:r w:rsidRPr="0026452D">
        <w:rPr>
          <w:rStyle w:val="NumeroAFNegritaCaracter"/>
        </w:rPr>
        <w:t>6</w:t>
      </w:r>
      <w:r>
        <w:t>. En el presente caso y respecto del recurrente señor Subijana, advertimos que, tras la lectura de las resoluciones impugnadas, los órganos judiciales han contado con otros elementos de prueba además del constituido por su declaración ante la policía, señaladamente el resultado de los registros domiciliarios practicados, cuya validez ha sido también cuestionada en este recurso.</w:t>
      </w:r>
    </w:p>
    <w:p w:rsidR="0026452D" w:rsidRDefault="0026452D" w:rsidP="0026452D">
      <w:pPr>
        <w:pStyle w:val="TextoNormal"/>
      </w:pPr>
    </w:p>
    <w:p w:rsidR="0026452D" w:rsidRDefault="0026452D" w:rsidP="0026452D">
      <w:pPr>
        <w:pStyle w:val="TextoNormal"/>
      </w:pPr>
      <w:r>
        <w:t xml:space="preserve">Las resoluciones judiciales razonan con pleno sentido que las correspondientes diligencias fueron desarrolladas en presencia del Secretario judicial, lo que evidencia que los registros se amparaban en una resolución judicial; y que, a pesar de no constar incorporados </w:t>
      </w:r>
      <w:r>
        <w:lastRenderedPageBreak/>
        <w:t>a las actuaciones los Autos expedidos por el Juez de instrucción que los autorizó, éstos deben encontrarse lógicamente incorporados al procedimiento del que se dedujo el testimonio de las actas de entrada y registro (el procedimiento sumario núm. 15-2002 del Juzgado Central de Instrucción núm. 1, que dio lugar al rollo de Sala núm. 20-2002).</w:t>
      </w:r>
    </w:p>
    <w:p w:rsidR="0026452D" w:rsidRDefault="0026452D" w:rsidP="0026452D">
      <w:pPr>
        <w:pStyle w:val="TextoNormal"/>
      </w:pPr>
    </w:p>
    <w:p w:rsidR="0026452D" w:rsidRDefault="0026452D" w:rsidP="0026452D">
      <w:pPr>
        <w:pStyle w:val="TextoNormal"/>
      </w:pPr>
      <w:r>
        <w:t>Además de esos razonamientos sustantivos, se resalta la inactividad impugnatoria de la parte recurrente en la instancia. Pese a lo que afirma el Ministerio Fiscal, esto último no permite oponer el óbice procesal del art. 44.1 c) LOTC, toda vez que la invocación tardía no impidió el tratamiento material de la cuestión, pero sí explica y fundamenta en cambio la aplicación del acuerdo adoptado en Sala General por el Pleno de la Sala Segunda del Tribunal Supremo, de fecha 26 de mayo de 2009, más aún si se observa que esa objeción sobre la pasividad de la parte se puso de manifiesto junto con los reseñados argumentos de fondo.</w:t>
      </w:r>
    </w:p>
    <w:p w:rsidR="0026452D" w:rsidRDefault="0026452D" w:rsidP="0026452D">
      <w:pPr>
        <w:pStyle w:val="TextoNormal"/>
      </w:pPr>
    </w:p>
    <w:p w:rsidR="0026452D" w:rsidRDefault="0026452D" w:rsidP="0026452D">
      <w:pPr>
        <w:pStyle w:val="TextoNormal"/>
      </w:pPr>
      <w:r>
        <w:t>Dicho acuerdo, en el que se fundan las resoluciones judiciales recurridas en amparo, dispone que, cuando la validez de un medio probatorio dependa de la legitimidad de la obtención de fuentes de prueba en otro procedimiento, si el interesado impugna en la instancia la legitimidad de aquel medio de prueba, la parte que lo propuso deberá justificar de forma contradictoria la legitimidad cuestionada; pero si, por el contrario, conocido el origen de un medio de prueba propuesto en un procedimiento no se promueve dicho debate, no podrá suscitarse en ulteriores instancias la cuestión de la falta de constancia en ese procedimiento de las circunstancias concurrentes en otro relativas al modo de obtención de las fuentes de aquella prueba. Tal es, justamente, lo que aquí acontece.</w:t>
      </w:r>
    </w:p>
    <w:p w:rsidR="0026452D" w:rsidRDefault="0026452D" w:rsidP="0026452D">
      <w:pPr>
        <w:pStyle w:val="TextoNormal"/>
      </w:pPr>
    </w:p>
    <w:p w:rsidR="0026452D" w:rsidRDefault="0026452D" w:rsidP="0026452D">
      <w:pPr>
        <w:pStyle w:val="TextoNormal"/>
      </w:pPr>
      <w:r>
        <w:t>A nuestro juicio, la intervención del Secretario judicial en aquellas diligencias y el carácter no desproporcionado de la carga que define el acuerdo aludido, autoriza la valoración de las pruebas obtenidas en los indicados registros.</w:t>
      </w:r>
    </w:p>
    <w:p w:rsidR="0026452D" w:rsidRDefault="0026452D" w:rsidP="0026452D">
      <w:pPr>
        <w:pStyle w:val="TextoNormal"/>
      </w:pPr>
    </w:p>
    <w:p w:rsidR="0026452D" w:rsidRDefault="0026452D" w:rsidP="0026452D">
      <w:pPr>
        <w:pStyle w:val="TextoNormal"/>
      </w:pPr>
      <w:r>
        <w:t xml:space="preserve">Esto así, si tenemos en cuenta que en dichos registros se ocupó diversa documentación que, pericialmente analizada, revela su coincidencia con otro material intervenido en Francia a una dirigente de ETA, y que en la casa del señor Subijana se halló un documento (manuscrito por éste conforme a la prueba pericial caligráfica ratificada en el juicio oral) que contenía las expresiones “carcelero, plano, claves, garaje, domicilio”, es posible concluir, como afirma el Ministerio Fiscal, que en el plenario se practicó diversa prueba y que sólo tras el examen del conjunto de ese material probatorio la Sala de enjuiciamiento tomó la decisión condenatoria. A esas otras pruebas incriminatorias, autónomas de la declaración ante la policía, se refiere el propio Tribunal Supremo en el fundamento de Derecho segundo B) </w:t>
      </w:r>
      <w:r w:rsidRPr="0026452D">
        <w:rPr>
          <w:i/>
        </w:rPr>
        <w:t>in fine</w:t>
      </w:r>
      <w:r>
        <w:t xml:space="preserve"> y C) de la Sentencia recurrida.</w:t>
      </w:r>
    </w:p>
    <w:p w:rsidR="0026452D" w:rsidRDefault="0026452D" w:rsidP="0026452D">
      <w:pPr>
        <w:pStyle w:val="TextoNormal"/>
      </w:pPr>
    </w:p>
    <w:p w:rsidR="0026452D" w:rsidRDefault="0026452D" w:rsidP="0026452D">
      <w:pPr>
        <w:pStyle w:val="TextoNormal"/>
      </w:pPr>
      <w:r>
        <w:t>El valor incriminatorio de esas otras pruebas valoradas por el Tribunal Supremo, por lo demás, acredita que la consideración efectuada de la declaración ante la policía, que fue tenida por prueba pese a carecer autónomamente de ese carácter, no alcanza decisiva relevancia material o valor constitutivo en la condena. En razón de ello, no es apreciable, respecto de este recurrente, la vulneración del derecho a un proceso con todas las garantías (art. 24.2 CE), por lo que el recurso del señor Subijana deberá desestimarse en su integridad.</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El resultado desde la perspectiva de la presunción de inocencia no puede llevarnos a una idéntica declaración para los dos recurrentes. En efecto, de los documentos intervenidos </w:t>
      </w:r>
      <w:r>
        <w:lastRenderedPageBreak/>
        <w:t>en los registros domiciliarios y del relato fáctico de la Sentencia dictada por la misma Sección Primera de la Audiencia Nacional en fecha 5 de junio de 2009 (rollo de Sala núm. 20-2002, sumario núm. 15-2002 del Juzgado Central de instrucción núm. 1), que fue objeto de discusión en el plenario tras introducirse en la vista, se desprende que el señor Subijana formaba parte de un comando de la organización terrorista, que tenía en su poder información coincidente con la empleada por ETA y que se encontró en su domicilio un texto manuscrito con la reveladora secuencia “carcelero, plano, claves, garaje, domicilio”. A la vista de ello, declarar la directa vinculación del señor Subijana con el atentado por el que fue condenado y su participación en los hechos no puede considerarse una inferencia no concluyente o excesivamente abierta, insuficiente para enervar su derecho a la presunción de inocencia.</w:t>
      </w:r>
    </w:p>
    <w:p w:rsidR="0026452D" w:rsidRDefault="0026452D" w:rsidP="0026452D">
      <w:pPr>
        <w:pStyle w:val="TextoNormal"/>
      </w:pPr>
    </w:p>
    <w:p w:rsidR="0026452D" w:rsidRDefault="0026452D" w:rsidP="0026452D">
      <w:pPr>
        <w:pStyle w:val="TextoNormal"/>
      </w:pPr>
      <w:r>
        <w:t>Por el contrario, suprimido igualmente del acervo probatorio el testimonio del señor Subijana en dependencias policiales, deberá ser la Sala sentenciadora quien valore las pruebas restantes a fin de mantener o revisar la condena del señor Bravo. Los elementos que vienen de enunciarse en el párrafo anterior en lo que atañe al señor Subijana no operan con idénticos efectos para el señor Bravo, ni permiten entonces a este Tribunal llegar a la misma conclusión anteriormente señalada sobre la presunción de inocencia. En efecto, en lo que afecta al señor Bravo, es cierto que las Sentencias recurridas califican en varias ocasiones dichas pruebas adicionales como meros elementos de corroboración de la declaración del señor Subijana ante la policía, circunstancia que no permitiría enervar su presunción de inocencia, pero también es verdad que en otros momentos apuntan su posible entidad probatoria autónoma, de modo que no corresponde a este Tribunal despejar el debate sobre la eventual independencia y validez incriminatoria de esas pruebas en relación con aquel recurrente.</w:t>
      </w:r>
    </w:p>
    <w:p w:rsidR="0026452D" w:rsidRDefault="0026452D" w:rsidP="0026452D">
      <w:pPr>
        <w:pStyle w:val="TextoNormal"/>
      </w:pPr>
    </w:p>
    <w:p w:rsidR="0026452D" w:rsidRDefault="0026452D" w:rsidP="0026452D">
      <w:pPr>
        <w:pStyle w:val="TextoNormal"/>
      </w:pPr>
      <w:r>
        <w:t>En ese sentido, consta la pertenencia a ETA del señor Bravo, que él mismo aceptó en el procedimiento que dio lugar a la Sentencia de 5 de junio de 2009, y que si bien en sí misma, como es obvio, no acredita su participación en los concretos hechos objeto de enjuiciamiento, podría ser valorada en conexión con otros hechos, como su accesibilidad a los datos de la víctima por sus relaciones de vecindad o los resultados de los registros efectuados en los domicilios, que revelan la coincidencia entre los documentos hallados y las informaciones de las que disponía ETA, deduciendo de todo ello, en su caso, los hechos constitutivos del delito, o absolviendo al recurrente si no cupiera esa conclusión, al amparo del derecho a la presunción de inocencia. Ese juicio, tenga un resultado absolutorio o condenatorio, es competencia de los Tribunales penales, tanto por la prohibición legal de que el Tribunal Constitucional entre a valorar los hechos del proceso [art. 44.1 b) LOTC], como por la imposibilidad material de que los procesos constitucionales puedan contar con las garantías de oralidad, inmediación y contradicción que deben rodear a la valoración probatoria (STC 126/2011, de 28 de julio, FJ 21). En consecuencia y respecto del señor Bravo, ha de apreciarse la vulneración del derecho a un proceso con todas las garantías (art. 24.2 CE), ordenándose la retroacción de actuaciones al momento anterior al dictado de la Sentencia de la Audiencia Nacional para que sea dicho órgano judicial el que valore las pruebas restantes, con autonomía y exclusión de la que hemos declarado lesiva del citado derecho fundamental.</w:t>
      </w:r>
    </w:p>
    <w:p w:rsidR="0026452D" w:rsidRDefault="0026452D" w:rsidP="0026452D">
      <w:pPr>
        <w:pStyle w:val="TextoNormal"/>
      </w:pPr>
    </w:p>
    <w:p w:rsidR="0026452D" w:rsidRDefault="0026452D" w:rsidP="0026452D">
      <w:pPr>
        <w:pStyle w:val="TextoNormalCentrado"/>
        <w:keepNext/>
      </w:pPr>
      <w:r>
        <w:lastRenderedPageBreak/>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Denegar el amparo solicitado por don Juan Carlos Subijana Izquierdo.</w:t>
      </w:r>
    </w:p>
    <w:p w:rsidR="0026452D" w:rsidRDefault="0026452D" w:rsidP="0026452D">
      <w:pPr>
        <w:pStyle w:val="TextoNormal"/>
      </w:pPr>
    </w:p>
    <w:p w:rsidR="0026452D" w:rsidRDefault="0026452D" w:rsidP="0026452D">
      <w:pPr>
        <w:pStyle w:val="TextoNormal"/>
      </w:pPr>
      <w:r>
        <w:t>Otorgar parcialmente el amparo solicitado por don Zigor Bravo Sáez de Urabain, y en consecuencia:</w:t>
      </w:r>
    </w:p>
    <w:p w:rsidR="0026452D" w:rsidRDefault="0026452D" w:rsidP="0026452D">
      <w:pPr>
        <w:pStyle w:val="TextoNormal"/>
      </w:pPr>
    </w:p>
    <w:p w:rsidR="0026452D" w:rsidRDefault="0026452D" w:rsidP="0026452D">
      <w:pPr>
        <w:pStyle w:val="TextoNormal"/>
      </w:pPr>
      <w:r>
        <w:t>1º Reconocerle el derecho fundamental a un proceso con todas las garantías (art. 24.2 CE).</w:t>
      </w:r>
    </w:p>
    <w:p w:rsidR="0026452D" w:rsidRDefault="0026452D" w:rsidP="0026452D">
      <w:pPr>
        <w:pStyle w:val="TextoNormal"/>
      </w:pPr>
    </w:p>
    <w:p w:rsidR="0026452D" w:rsidRDefault="0026452D" w:rsidP="0026452D">
      <w:pPr>
        <w:pStyle w:val="TextoNormal"/>
      </w:pPr>
      <w:r>
        <w:t>2º En lo relativo a las condenas impuestas a don Zigor Bravo Sáez de Urabain, declarar la nulidad de la Sentencia de 10 de marzo de 2010 de la Sección Primera de la Sala de lo Penal de la Audiencia Nacional, y de la Sentencia de la Sala de lo Penal del Tribunal Supremo, de 1 de octubre de 2010, que confirmó la anterior resolución en el recurso de casación núm. 10413-2010, con retroacción de las actuaciones al momento inmediato anterior al dictado de la primera Sentencia, para que en su lugar pronuncie otra que resulte respetuosa con el derecho fundamental vulnerado.</w:t>
      </w:r>
    </w:p>
    <w:p w:rsidR="0026452D" w:rsidRDefault="0026452D" w:rsidP="0026452D">
      <w:pPr>
        <w:pStyle w:val="TextoNormal"/>
      </w:pPr>
    </w:p>
    <w:p w:rsidR="0026452D" w:rsidRDefault="0026452D" w:rsidP="0026452D">
      <w:pPr>
        <w:pStyle w:val="TextoNormal"/>
      </w:pPr>
      <w:r>
        <w:t>3º Desestimar su demanda de amparo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veintiocho de febrero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57" w:name="SENTENCIA_2013_54"/>
      <w:r>
        <w:lastRenderedPageBreak/>
        <w:t>SENTENCIA 54/2013, de 11 de marzo de 2013</w:t>
      </w:r>
    </w:p>
    <w:bookmarkEnd w:id="57"/>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ECLI:ES:TC:2013:54</w:t>
      </w:r>
    </w:p>
    <w:p w:rsidR="0026452D" w:rsidRDefault="0026452D" w:rsidP="0026452D">
      <w:pPr>
        <w:pStyle w:val="SntesisDescriptiva"/>
      </w:pPr>
    </w:p>
    <w:p w:rsidR="0026452D" w:rsidRDefault="0026452D" w:rsidP="0026452D">
      <w:pPr>
        <w:pStyle w:val="SntesisDescriptiva"/>
      </w:pPr>
      <w:r>
        <w:t>Recurso de amparo 8136-2009. Promovido por don Juan María Gabirondo Agote en relación con las resoluciones de la Sección Segunda de la Sala de lo Penal de la Audiencia Nacional sobre licenciamiento definitivo.</w:t>
      </w:r>
    </w:p>
    <w:p w:rsidR="0026452D" w:rsidRDefault="0026452D" w:rsidP="0026452D">
      <w:pPr>
        <w:pStyle w:val="SntesisDescriptiva"/>
      </w:pPr>
    </w:p>
    <w:p w:rsidR="0026452D" w:rsidRDefault="0026452D" w:rsidP="0026452D">
      <w:pPr>
        <w:pStyle w:val="SntesisAnaltica"/>
      </w:pPr>
      <w:r>
        <w:t>Alegada vulneración de los derechos a la igualdad en la aplicación de la ley, libertad personal, tutela judicial efectiva (intangibilidad) y legalidad penal: falta de agotamiento de la vía judicial previa al no haberse interpuesto recurso de casación por infracción de ley (STC 58/2012).</w:t>
      </w:r>
    </w:p>
    <w:p w:rsidR="0026452D" w:rsidRDefault="0026452D" w:rsidP="0026452D">
      <w:pPr>
        <w:pStyle w:val="SntesisAnaltica"/>
      </w:pPr>
    </w:p>
    <w:p w:rsidR="0026452D" w:rsidRDefault="0026452D" w:rsidP="0026452D">
      <w:pPr>
        <w:pStyle w:val="Extracto"/>
      </w:pPr>
      <w:r>
        <w:t>1.</w:t>
      </w:r>
      <w:r>
        <w:tab/>
        <w:t xml:space="preserve">Procede inadmitir el recurso de amparo por falta agotamiento de la vía judicial previa, </w:t>
      </w:r>
      <w:r w:rsidRPr="0026452D">
        <w:rPr>
          <w:i/>
        </w:rPr>
        <w:t>ex</w:t>
      </w:r>
      <w:r>
        <w:t xml:space="preserve"> art. 44.1 a) LOTC, al acudir el recurrente directamente ante este Tribunal sin hacer uso del recurso de casación por infracción de ley que cabe interponer, ante el Tribunal Supremo, contra los Autos por los que se determina el límite máximo de cumplimiento en los casos de acumulación de condenas impuestas en distintos procesos pero que hubieran podido ser enjuiciados en un único proceso  (SSTC 58/2012, 217/2012) [FJ 3].</w:t>
      </w:r>
    </w:p>
    <w:p w:rsidR="0026452D" w:rsidRDefault="0026452D" w:rsidP="0026452D">
      <w:pPr>
        <w:pStyle w:val="Extracto"/>
      </w:pPr>
    </w:p>
    <w:p w:rsidR="0026452D" w:rsidRDefault="0026452D" w:rsidP="0026452D">
      <w:pPr>
        <w:pStyle w:val="Extracto"/>
      </w:pPr>
      <w:r>
        <w:t>2.</w:t>
      </w:r>
      <w:r>
        <w:tab/>
        <w:t>Doctrina sobre la recurribilidad en casación de los Autos de licenciamiento definitivo (SSTC 58/2012, 128/2012) [FJ 3].</w:t>
      </w:r>
    </w:p>
    <w:p w:rsidR="0026452D" w:rsidRDefault="0026452D" w:rsidP="0026452D">
      <w:pPr>
        <w:pStyle w:val="Extracto"/>
      </w:pPr>
    </w:p>
    <w:p w:rsidR="0026452D" w:rsidRDefault="0026452D" w:rsidP="0026452D">
      <w:pPr>
        <w:pStyle w:val="Extracto"/>
      </w:pPr>
      <w:r>
        <w:t>3.</w:t>
      </w:r>
      <w:r>
        <w:tab/>
        <w:t>Entre los presupuestos inexcusables para la admisibilidad de toda demanda de amparo se encuentra la exigencia de que se hayan agotado todos los medios de impugnación previstos por las normas procesales para el caso concreto dentro de la vía judicial, exigencia que tiene por objeto preservar el carácter subsidiario del recurso de amparo (SSTC 139/1985, 217/2012)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amparo núm. 8136-2009, promovido por don Juan María Gabirondo Agote, representado por el Procurador de los Tribunales don Javier J. Cuevas Rivas y asistido por la Abogada doña Ainhoa Baglietto Gabilondo, contra el Auto de 24 de abril de 2009, de la Sección Segunda de la Sala de lo Penal de la Audiencia Nacional, dictado en la ejecutoria núm. 67-1990, dimanante del rollo de Sala núm. 89-1986, sumario núm. 42-1986 del Juzgado Central de Instrucción núm. 5, por el que se aprueba el licenciamiento definitivo del recurrente el día 28 de abril de 2016, y contra el Auto de 17 de julio de 2009 que desestimó el recurso de súplica interpuesto frente a aquella resolución. Ha intervenido el Ministerio Fiscal. Ha sido Ponente el Magistrado don Fernando Valdés Dal-Ré,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29 de septiembre de 2009, el Procurador de los Tribunales don Javier J. Cuevas Rivas, en nombre y representación de don Juan María Gabirondo Agote, interpuso recurso de amparo contra las resoluciones judiciales referidas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que se fundamenta la demanda de amparo son, sucintamente expuestos, los siguientes:</w:t>
      </w:r>
    </w:p>
    <w:p w:rsidR="0026452D" w:rsidRDefault="0026452D" w:rsidP="0026452D">
      <w:pPr>
        <w:pStyle w:val="TextoNormal"/>
      </w:pPr>
    </w:p>
    <w:p w:rsidR="0026452D" w:rsidRDefault="0026452D" w:rsidP="0026452D">
      <w:pPr>
        <w:pStyle w:val="TextoNormal"/>
      </w:pPr>
      <w:r>
        <w:t>a) El recurrente fue condenado en tres causas penales a diversas penas de prisión conforme al Código penal (CP) de 1973 —sumario núm. 56-1986 del Juzgado Central núm. 1, sumario núm. 46-1983 del Juzgado Central núm. 5, y sumario núm. 42-1986 del Juzgado Central núm. 5.</w:t>
      </w:r>
    </w:p>
    <w:p w:rsidR="0026452D" w:rsidRDefault="0026452D" w:rsidP="0026452D">
      <w:pPr>
        <w:pStyle w:val="TextoNormal"/>
      </w:pPr>
    </w:p>
    <w:p w:rsidR="0026452D" w:rsidRDefault="0026452D" w:rsidP="0026452D">
      <w:pPr>
        <w:pStyle w:val="TextoNormal"/>
      </w:pPr>
      <w:r>
        <w:t>b) La Sección Segunda de la Sala de lo Penal de la Audiencia Nacional acordó por Auto de 21 de marzo de 1997, de conformidad con el art. 70.2 CP 1973, fijar en una duración de treinta años de privación de libertad el tiempo total de cumplimiento de las diversas penas impuestas en las causas reseñadas.</w:t>
      </w:r>
    </w:p>
    <w:p w:rsidR="0026452D" w:rsidRDefault="0026452D" w:rsidP="0026452D">
      <w:pPr>
        <w:pStyle w:val="TextoNormal"/>
      </w:pPr>
    </w:p>
    <w:p w:rsidR="0026452D" w:rsidRDefault="0026452D" w:rsidP="0026452D">
      <w:pPr>
        <w:pStyle w:val="TextoNormal"/>
      </w:pPr>
      <w:r>
        <w:t>c) Por providencia de 18 de junio de 2003 se aprobó liquidación de condena con fecha de cumplimiento el 23 de julio de 2008, luego modificada por providencia de 20 de octubre de 2003, que fijó, como nueva fecha de cumplimiento, el día 18 de abril de 2008.</w:t>
      </w:r>
    </w:p>
    <w:p w:rsidR="0026452D" w:rsidRDefault="0026452D" w:rsidP="0026452D">
      <w:pPr>
        <w:pStyle w:val="TextoNormal"/>
      </w:pPr>
    </w:p>
    <w:p w:rsidR="0026452D" w:rsidRDefault="0026452D" w:rsidP="0026452D">
      <w:pPr>
        <w:pStyle w:val="TextoNormal"/>
      </w:pPr>
      <w:r>
        <w:t>d) Por escrito de 19 de septiembre de 2007, el director del centro penitenciario en el que se encontraba interno el recurrente elevó a la Sala la hoja de cálculo de las condenas, con propuesta de licenciamiento definitivo para el 1 de diciembre de 2007.</w:t>
      </w:r>
    </w:p>
    <w:p w:rsidR="0026452D" w:rsidRDefault="0026452D" w:rsidP="0026452D">
      <w:pPr>
        <w:pStyle w:val="TextoNormal"/>
      </w:pPr>
    </w:p>
    <w:p w:rsidR="0026452D" w:rsidRDefault="0026452D" w:rsidP="0026452D">
      <w:pPr>
        <w:pStyle w:val="TextoNormal"/>
      </w:pPr>
      <w:r>
        <w:t>e) La providencia de 21 de abril de 2008, sin embargo, aprobó el licenciamiento definitivo del penado para el 28 de abril de 2016, en aplicación de los criterios de cómputo de redención fijados en la STS 197/2006, de 28 de febrero.</w:t>
      </w:r>
    </w:p>
    <w:p w:rsidR="0026452D" w:rsidRDefault="0026452D" w:rsidP="0026452D">
      <w:pPr>
        <w:pStyle w:val="TextoNormal"/>
      </w:pPr>
    </w:p>
    <w:p w:rsidR="0026452D" w:rsidRDefault="0026452D" w:rsidP="0026452D">
      <w:pPr>
        <w:pStyle w:val="TextoNormal"/>
      </w:pPr>
      <w:r>
        <w:t xml:space="preserve">f) El día 28 de noviembre de 2008 el demandante de amparo solicitó la libertad, estimando que había cumplido la condena que le fue impuesta y que debió ser licenciado en </w:t>
      </w:r>
      <w:r>
        <w:lastRenderedPageBreak/>
        <w:t>diciembre de 2007, conforme a los criterios de redenciones de pena y los límites establecidos en el art. 70 CP de 1973. Alegaba los derechos reconocidos en los arts. 14, 17.1, 24.1, 25.1 y 25.2 CE, así como el art. 9.3 CE.</w:t>
      </w:r>
    </w:p>
    <w:p w:rsidR="0026452D" w:rsidRDefault="0026452D" w:rsidP="0026452D">
      <w:pPr>
        <w:pStyle w:val="TextoNormal"/>
      </w:pPr>
    </w:p>
    <w:p w:rsidR="0026452D" w:rsidRDefault="0026452D" w:rsidP="0026452D">
      <w:pPr>
        <w:pStyle w:val="TextoNormal"/>
      </w:pPr>
      <w:r>
        <w:t>g) Por Auto de 24 de abril de 2009 de la Sala de lo Penal, Sección Segunda, de la Audiencia Nacional, se desestimó la petición de libertad y se acordó estar a la providencia de 21 de abril de 2008 (fecha de licenciamiento definitivo el 28 de abril de 2016), de conformidad con el criterio sentado por la citada Sentencia de la Sala de lo Penal del Tribunal Supremo, que extracta.</w:t>
      </w:r>
    </w:p>
    <w:p w:rsidR="0026452D" w:rsidRDefault="0026452D" w:rsidP="0026452D">
      <w:pPr>
        <w:pStyle w:val="TextoNormal"/>
      </w:pPr>
    </w:p>
    <w:p w:rsidR="0026452D" w:rsidRDefault="0026452D" w:rsidP="0026452D">
      <w:pPr>
        <w:pStyle w:val="TextoNormal"/>
      </w:pPr>
      <w:r>
        <w:t>h) Contra la anterior resolución interpuso el demandante de amparo recurso de súplica, reiterando la vulneración de los derechos fundamentales citados en su previa solicitud de libertad. El recurso fue desestimado por Auto de 17 de julio de 2009, en el que se rechazó que la aplicación al caso de la STC 197/2006 hubiera ocasionado vulneración alguna de los derechos fundamentales invocados por el recurrente.</w:t>
      </w:r>
    </w:p>
    <w:p w:rsidR="0026452D" w:rsidRDefault="0026452D" w:rsidP="0026452D">
      <w:pPr>
        <w:pStyle w:val="TextoNormal"/>
      </w:pPr>
    </w:p>
    <w:p w:rsidR="0026452D" w:rsidRDefault="0026452D" w:rsidP="0026452D">
      <w:pPr>
        <w:pStyle w:val="TextoNormal"/>
      </w:pPr>
      <w:r w:rsidRPr="0026452D">
        <w:rPr>
          <w:rStyle w:val="NumeroAFNegritaCaracter"/>
        </w:rPr>
        <w:t>3</w:t>
      </w:r>
      <w:r>
        <w:t>. El recurrente fundamenta su demanda de amparo en los ocho motivos o quejas que, a continuación, se resumen:</w:t>
      </w:r>
    </w:p>
    <w:p w:rsidR="0026452D" w:rsidRDefault="0026452D" w:rsidP="0026452D">
      <w:pPr>
        <w:pStyle w:val="TextoNormal"/>
      </w:pPr>
    </w:p>
    <w:p w:rsidR="0026452D" w:rsidRDefault="0026452D" w:rsidP="0026452D">
      <w:pPr>
        <w:pStyle w:val="TextoNormal"/>
      </w:pPr>
      <w:r>
        <w:t>a) Como primer motivo de amparo se denuncia la vulneración de los derechos a la tutela judicial efectiva, sin que quepa indefensión (art. 24.1 CE), y a un proceso con todas las garantías (art. 24.2 CE), así como del derecho a un recurso efectivo [art. 13 del Convenio europeo para la protección de los derechos humanos y las libertades fundamentales (CEDH) y art. 14.5 del Pacto internacional de derechos civiles y políticos], puesto que el Auto que cerró el proceso, aun cuando desestima el recurso de súplica interpuesto por la representación procesal del recurrente, revela que no se puede discutir la aplicación de la STS 197/2006, de 28 de febrero, en este trámite.</w:t>
      </w:r>
    </w:p>
    <w:p w:rsidR="0026452D" w:rsidRDefault="0026452D" w:rsidP="0026452D">
      <w:pPr>
        <w:pStyle w:val="TextoNormal"/>
      </w:pPr>
    </w:p>
    <w:p w:rsidR="0026452D" w:rsidRDefault="0026452D" w:rsidP="0026452D">
      <w:pPr>
        <w:pStyle w:val="TextoNormal"/>
      </w:pPr>
      <w:r>
        <w:t>b) En el segundo motivo de amparo se aduce la vulneración del principio de legalidad (art. 25.1 y 25.2 CE) en relación con el art. 9.1 CE, como consecuencia de la interpretación realizada por el órgano judicial de los arts. 70.2 y 100 CP 1973, así como de los arts. 66 del Reglamento de prisiones de 1956 y del art. 202 del Reglamento penitenciario actual. A su juicio,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por lo demás extravagante, por cuanto quiebra lo que había sido la interpretación realizada a lo largo de toda la historia penitenciaria (conforme a la cual la redención de penas por el trabajo se abonaba al tiempo efectivo de cumplimiento) en un momento en que la norma ha sido ya derogada y los supuestos de aplicación de la misma tienden a desaparecer. Los Autos impugnados, en suma, modifican de manera grave, contraria a Derecho y al reo, la aplicación de normas de carácter sustantivo, rompiendo con los criterios doctrinales y jurisprudenciales existentes hasta la fecha y teniendo como consecuencia la denegación de un derecho establecido por la Ley, sin que exista motivo alguno para dicho cambio de criterio.</w:t>
      </w:r>
    </w:p>
    <w:p w:rsidR="0026452D" w:rsidRDefault="0026452D" w:rsidP="0026452D">
      <w:pPr>
        <w:pStyle w:val="TextoNormal"/>
      </w:pPr>
    </w:p>
    <w:p w:rsidR="0026452D" w:rsidRDefault="0026452D" w:rsidP="0026452D">
      <w:pPr>
        <w:pStyle w:val="TextoNormal"/>
      </w:pPr>
      <w:r>
        <w:t xml:space="preserve">c) El tercer motivo de amparo denuncia la vulneración del derecho a la tutela judicial efectiva (art. 24.1 CE), en relación con el derecho a la libertad (art. 17 CE). Sostiene la demanda que la nueva interpretación del cómputo de las redenciones sobre la totalidad de </w:t>
      </w:r>
      <w:r>
        <w:lastRenderedPageBreak/>
        <w:t>la condena genera indefensión e inseguridad jurídica, puesto que las redenciones aprobadas por los Juzgados de Vigilancia Penitenciaria, intangibles y firmes, aplicadas —como se venía haciendo— al tope de treinta años, suponían un importante acortamiento de su condena. El trabajo y los estudios en prisión se realizaron en la confianza de que las redenciones así obtenidas implicarían dicha reducción del tiempo de permanencia en prisión, de manera que la defraudación de esa expectativa genera inseguridad jurídica y vulnera el derecho a la tutela judicial efectiva, en relación con el derecho a la libertad, que implica un deber reforzado de motivación.</w:t>
      </w:r>
    </w:p>
    <w:p w:rsidR="0026452D" w:rsidRDefault="0026452D" w:rsidP="0026452D">
      <w:pPr>
        <w:pStyle w:val="TextoNormal"/>
      </w:pPr>
    </w:p>
    <w:p w:rsidR="0026452D" w:rsidRDefault="0026452D" w:rsidP="0026452D">
      <w:pPr>
        <w:pStyle w:val="TextoNormal"/>
      </w:pPr>
      <w:r>
        <w:t>d) Como cuarto motivo de amparo se denuncia la lesión del art. 24.1 CE, en su vertiente de derecho a la intangibilidad de las resoluciones judiciales. A juicio del recurrente, no sólo nos encontramos con una expectativa de reducción de la condena y consecuentemente de libertad, sino que nos encontramos ante resoluciones firmes, nunca cuestionadas y nunca modificadas, por las que se fija un máximo de treinta años para todas las condenas impuestas, de donde se deriva la correspondiente liquidación de condena y cuya consecuencia es la aplicación a la misma de la institución de la redención de penas por el trabajo. Las resoluciones judiciales ahora impugnadas atrasan gravemente la fecha de licenciamiento definitivo, con la consiguiente vulneración del derecho a la intangibilidad de las resoluciones judiciales firmes que integra el art. 24.1 CE.</w:t>
      </w:r>
    </w:p>
    <w:p w:rsidR="0026452D" w:rsidRDefault="0026452D" w:rsidP="0026452D">
      <w:pPr>
        <w:pStyle w:val="TextoNormal"/>
      </w:pPr>
    </w:p>
    <w:p w:rsidR="0026452D" w:rsidRDefault="0026452D" w:rsidP="0026452D">
      <w:pPr>
        <w:pStyle w:val="TextoNormal"/>
      </w:pPr>
      <w:r>
        <w:t>e) Como quinto motivo de amparo se considera vulnerado el principio de legalidad (arts. 25.1 y 9.3 CE), por aplicación retroactiva de una ley desfavorable. Se denuncia que con esta pretendida nueva interpretación, de facto, se está aplicando retroactivamente el art. 78 CP 1995 a un penado bajo el CP de 1973.</w:t>
      </w:r>
    </w:p>
    <w:p w:rsidR="0026452D" w:rsidRDefault="0026452D" w:rsidP="0026452D">
      <w:pPr>
        <w:pStyle w:val="TextoNormal"/>
      </w:pPr>
    </w:p>
    <w:p w:rsidR="0026452D" w:rsidRDefault="0026452D" w:rsidP="0026452D">
      <w:pPr>
        <w:pStyle w:val="TextoNormal"/>
      </w:pPr>
      <w:r>
        <w:t>f) En sexto lugar invoca el derecho a la igualdad en la aplicación de la ley (art. 14 CE y art. 14 CEDH). Censura el injustificado y arbitrario cambio de criterio a raíz de la STS 197/2006, de 3 de julio, que rompe con toda la jurisprudencia anterior al respecto. Estamos, dice, ante una reescritura de la ley, provocada por factores extrajurídicos, por quienes son los sujetos pasivos a los que afecta y por las circunstancias en que se adopta la decisión. Por lo demás, al recurrente se le deniega lo que se concedió a otras personas incursas en el mismo procedimiento y en situación absolutamente idéntica.</w:t>
      </w:r>
    </w:p>
    <w:p w:rsidR="0026452D" w:rsidRDefault="0026452D" w:rsidP="0026452D">
      <w:pPr>
        <w:pStyle w:val="TextoNormal"/>
      </w:pPr>
    </w:p>
    <w:p w:rsidR="0026452D" w:rsidRDefault="0026452D" w:rsidP="0026452D">
      <w:pPr>
        <w:pStyle w:val="TextoNormal"/>
      </w:pPr>
      <w:r>
        <w:t>g) En el séptimo motivo de amparo se alega la vulneración del derecho a la libertad (art. 17.1 CE). Se razona que la técnica aplicada vacía absolutamente de contenido la redención de penas por el trabajo, haciéndola inoperante, y crea una suerte de cumplimiento virtual de la condena, frente al cumplimiento efectivo de la misma.</w:t>
      </w:r>
    </w:p>
    <w:p w:rsidR="0026452D" w:rsidRDefault="0026452D" w:rsidP="0026452D">
      <w:pPr>
        <w:pStyle w:val="TextoNormal"/>
      </w:pPr>
    </w:p>
    <w:p w:rsidR="0026452D" w:rsidRDefault="0026452D" w:rsidP="0026452D">
      <w:pPr>
        <w:pStyle w:val="TextoNormal"/>
      </w:pPr>
      <w:r>
        <w:t>h) Finalmente, se invoca el art. 25.2 CE, en relación con las reglas mínimas para tratamiento de los reclusos elaboradas por Naciones Unidas y el Pacto internacional de derechos civiles y políticos. La nueva interpretación que aplican las resoluciones impugnadas priva en buena medida de su efecto práctico al beneficio de las redenciones en el caso del señor Gabirondo Agote, lo cual vulnera los principios inspiradores de las normas del Código penal y Ley Orgánica general penitenciaria en relación con el art 25.2 CE y demás tratados mencionados.</w:t>
      </w:r>
    </w:p>
    <w:p w:rsidR="0026452D" w:rsidRDefault="0026452D" w:rsidP="0026452D">
      <w:pPr>
        <w:pStyle w:val="TextoNormal"/>
      </w:pPr>
    </w:p>
    <w:p w:rsidR="0026452D" w:rsidRDefault="0026452D" w:rsidP="0026452D">
      <w:pPr>
        <w:pStyle w:val="TextoNormal"/>
      </w:pPr>
      <w:r>
        <w:t>Por todo ello interesa el otorgamiento del amparo, solicitando por otrosí en la demanda la suspensión de la ejecución de las resoluciones judiciales impugnadas.</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26 de marzo de 2012, la Sala Primera de este Tribunal acordó la admisión a trámite de la demanda de amparo y, a tenor de lo dispuesto en el art. 51 de la Ley Orgánica del Tribunal Constitucional (LOTC), requerir atentamente a la Sección Segunda de la Sala de lo Penal de la Audiencia Nacional para que en el plazo no superior a diez días remitiera testimonio de las actuaciones correspondientes a la ejecutoria núm. 67-1990, rollo de Sala núm. 89-1986, interesándose al propio tiempo el emplazamiento de quienes fueron parte en el procedimiento, a excepción del recurrente, ya personado, para que pudieran comparecer en el presente proceso constitucional.</w:t>
      </w:r>
    </w:p>
    <w:p w:rsidR="0026452D" w:rsidRDefault="0026452D" w:rsidP="0026452D">
      <w:pPr>
        <w:pStyle w:val="TextoNormal"/>
      </w:pPr>
    </w:p>
    <w:p w:rsidR="0026452D" w:rsidRDefault="0026452D" w:rsidP="0026452D">
      <w:pPr>
        <w:pStyle w:val="TextoNormal"/>
      </w:pPr>
      <w:r>
        <w:t>Asimismo acordó la Sala la formación de pieza separada para la tramitación del incidente sobre la suspensión solicitada, y conceder al recurrente y al Ministerio Fiscal un plazo común de tres días para que alegasen lo que estimasen pertinente sobre dicha suspensión. Evacuado dicho trámite de alegaciones, la Sala desestimó la solicitud de suspensión mediante el ATC 74/2012, de 7 de mayo.</w:t>
      </w:r>
    </w:p>
    <w:p w:rsidR="0026452D" w:rsidRDefault="0026452D" w:rsidP="0026452D">
      <w:pPr>
        <w:pStyle w:val="TextoNormal"/>
      </w:pPr>
    </w:p>
    <w:p w:rsidR="0026452D" w:rsidRDefault="0026452D" w:rsidP="0026452D">
      <w:pPr>
        <w:pStyle w:val="TextoNormal"/>
      </w:pPr>
      <w:r w:rsidRPr="0026452D">
        <w:rPr>
          <w:rStyle w:val="NumeroAFNegritaCaracter"/>
        </w:rPr>
        <w:t>5</w:t>
      </w:r>
      <w:r>
        <w:t>. Por diligencia de ordenación del Secretario de Justicia de la Sala Primera, de 3 de septiembre de 2012, se tuvieron por recibidos los testimonios de las actuaciones remitidos por la Sección Segunda de la Sala de lo Penal de la Audiencia Nacional y se procedió, conforme a lo establecido en el art. 52 LOTC, a dar vista de las actuaciones por plazo común de veinte días al Ministerio Fiscal y a las partes personadas para que presentaran las alegaciones que estimasen pertinentes. En diligencia de ordenación de 8 de enero de 2013 se concedió un plazo igual al anterior, para nuevas alegaciones o ampliación de las previamente realizadas, tras recibirse el testimonio del Auto de 26 de mayo de 2011, de la sección Segunda de la Sala de lo Penal de la Audiencia Nacional, que acordó no revisar el licenciamiento definitivo aprobado para el penado.</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La representación procesal del recurrente presentó su escrito de alegaciones en este Tribunal el 18 de julio de 2012. En esencia, reitera las formuladas en la demanda de amparo, poniendo no obstante de manifiesto la novedad que representa que el Tribunal Europeo de Derechos Humanos acabara de dictar Sentencia, de 10 de julio de 2012 (asunto </w:t>
      </w:r>
      <w:r w:rsidRPr="0026452D">
        <w:rPr>
          <w:i/>
        </w:rPr>
        <w:t>del Río Prada contra España</w:t>
      </w:r>
      <w:r>
        <w:t>), en la que declara que la fijación y aplicación jurisprudencial del criterio de cómputo de redenciones cuestionado es contrario a los arts. 5 y 7 CEDH.</w:t>
      </w:r>
    </w:p>
    <w:p w:rsidR="0026452D" w:rsidRDefault="0026452D" w:rsidP="0026452D">
      <w:pPr>
        <w:pStyle w:val="TextoNormal"/>
      </w:pPr>
    </w:p>
    <w:p w:rsidR="0026452D" w:rsidRDefault="0026452D" w:rsidP="0026452D">
      <w:pPr>
        <w:pStyle w:val="TextoNormal"/>
      </w:pPr>
      <w:r>
        <w:t>En respuesta a la diligencia de ordenación de 8 de enero de 2013, por escrito registrado el día 5 de febrero siguiente, el recurrente amplió sus alegaciones. Además de abundar en sus argumentos de fondo, sostiene que se produjo un correcto agotamiento de la vía judicial previa, pese a no haber interpuesto recurso de casación contra el Auto que cerró el proceso. A su criterio, la vía casacional no consta de manera expresa en la ley para estos casos. Por otra parte, los Autos de 24 de abril y 17 de julio de 2009 no eran pronunciamientos de fondo o que modificasen la acumulación de condena o fueran complementarios a la misma, no siendo por ello recurribles en casación, sin haber indicado la Audiencia Nacional que cabía recurso. Por ello, ante la falta de certeza de la ley y la ausencia de instrucción de recursos por parte del Tribunal obligado, no podría resultar perjudicado, concluye, el señor Gabirondo.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7</w:t>
      </w:r>
      <w:r>
        <w:t xml:space="preserve">. El Ministerio Fiscal presentó su escrito de alegaciones el 15 de febrero de 2013. Considera en primer lugar que la Sentencia del Tribunal Europeo de Derechos Humanos de 10 de julio de 2012, asunto </w:t>
      </w:r>
      <w:r w:rsidRPr="0026452D">
        <w:rPr>
          <w:i/>
        </w:rPr>
        <w:t>del Río Prada c. España</w:t>
      </w:r>
      <w:r>
        <w:t>, no afecta en este momento al presente caso, toda vez que dicha Sentencia no tiene carácter definitivo, de conformidad con lo previsto en el art. 44.2 CEDH, al ser susceptible de revisión por la Gran Sala a solicitud de parte en el plazo de tres meses, debiendo estarse entre tanto a la doctrina sentada por el Tribunal Constitucional en casos semejantes al presente desde la STC 39/2012, de 29 de marzo.</w:t>
      </w:r>
    </w:p>
    <w:p w:rsidR="0026452D" w:rsidRDefault="0026452D" w:rsidP="0026452D">
      <w:pPr>
        <w:pStyle w:val="TextoNormal"/>
      </w:pPr>
    </w:p>
    <w:p w:rsidR="0026452D" w:rsidRDefault="0026452D" w:rsidP="0026452D">
      <w:pPr>
        <w:pStyle w:val="TextoNormal"/>
      </w:pPr>
      <w:r>
        <w:t>Dicho lo anterior, el Fiscal razona que, como ya se apreciara en casos similares al presente en las SSTC 58/2012, 60/2012 y 63/2012, todas ellas de 29 de marzo, así como en la SSTC 128/2012, de 18 de junio, 152/2012, de 16 de julio, y 157/2012, de 17 de septiembre, concurre el óbice de falta de agotamiento de la vía judicial [art. 44.1 a) LOTC, en relación con el art. 50.1 a) LOTC]. Se impone, en consecuencia, la inadmisión del recurso de amparo, toda vez que el demandante no recurrió en casación (art. 988 de la Ley de enjuiciamiento criminal) contra el Auto de 17 de julio de 2009, de la Sección Segunda de la Sala de lo Penal de la Audiencia Nacional, que desestimó el recurso de súplica interpuesto contra la anterior resolución de 24 de abril de 2009, que aprobó la propuesta de licenciamiento definitivo del demandante para el 28 de abril de 2016.</w:t>
      </w:r>
    </w:p>
    <w:p w:rsidR="0026452D" w:rsidRDefault="0026452D" w:rsidP="0026452D">
      <w:pPr>
        <w:pStyle w:val="TextoNormal"/>
      </w:pPr>
    </w:p>
    <w:p w:rsidR="0026452D" w:rsidRDefault="0026452D" w:rsidP="0026452D">
      <w:pPr>
        <w:pStyle w:val="TextoNormal"/>
      </w:pPr>
      <w:r>
        <w:t>Subsidiariamente, para el caso de que no fuera apreciada la concurrencia de la causa de inadmisión señalada, el Fiscal interesa la denegación del amparo. En su opinión, las resoluciones impugnadas no infringen los derechos fundamentales invocados en la demanda, a la vista de las circunstancias del caso y conforme a los razonamientos recogidos en distintos pronunciamientos de este Tribunal, entre los que destaca las SSTC 44/2012, 47/2012 y 51/2012, todas ellas de 29 de marzo, y 113/2012, de 24 de mayo.</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8 de marzo de 2013 se señaló para la deliberación y votación de la presente Sentencia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En la demanda de amparo se denuncia, con la argumentación que ha quedado expuesta en los antecedentes de esta resolución, la vulneración de los derechos consagrados en los arts. 14, 17, 24.1 y 2, y 25.1 y 2 CE.</w:t>
      </w:r>
    </w:p>
    <w:p w:rsidR="0026452D" w:rsidRDefault="0026452D" w:rsidP="0026452D">
      <w:pPr>
        <w:pStyle w:val="TextoNormal"/>
      </w:pPr>
    </w:p>
    <w:p w:rsidR="0026452D" w:rsidRDefault="0026452D" w:rsidP="0026452D">
      <w:pPr>
        <w:pStyle w:val="TextoNormal"/>
      </w:pPr>
      <w:r>
        <w:t xml:space="preserve">El Ministerio Fiscal interesa con carácter principal la inadmisión del recurso de amparo </w:t>
      </w:r>
      <w:r w:rsidRPr="0026452D">
        <w:rPr>
          <w:i/>
        </w:rPr>
        <w:t>ex</w:t>
      </w:r>
      <w:r>
        <w:t xml:space="preserve"> arts. 44.1 a) y 50.1 a) de la Ley Orgánica del Tribunal Constitucional (LOTC), por considerar incumplido el requisito del agotamiento de la vía judicial y, subsidiariamente, su desestimación por entender que las resoluciones judiciales impugnadas no han vulnerado los derechos fundamentales invocados por el demandante.</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Como este Tribunal tiene reiteradamente declarado,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w:t>
      </w:r>
      <w:r>
        <w:lastRenderedPageBreak/>
        <w:t>oficio o a instancia de parte, dando lugar a un pronunciamiento de inadmisión por la falta de tales presupuestos, sin que para ello constituya obstáculo el carácter tasado de los pronunciamientos previstos en el art. 53 LOTC (por todas, SSTC 53/1983, de 20 de junio, FJ 2, y 221/2012, de 26 de noviembre, FJ 2).</w:t>
      </w:r>
    </w:p>
    <w:p w:rsidR="0026452D" w:rsidRDefault="0026452D" w:rsidP="0026452D">
      <w:pPr>
        <w:pStyle w:val="TextoNormal"/>
      </w:pPr>
    </w:p>
    <w:p w:rsidR="0026452D" w:rsidRDefault="0026452D" w:rsidP="0026452D">
      <w:pPr>
        <w:pStyle w:val="TextoNormal"/>
      </w:pPr>
      <w:r>
        <w:t xml:space="preserve">Entre esos presupuestos inexcusables para la admisibilidad de toda demanda de amparo se encuentra la exigencia establecida por el art. 44.1 a) LOTC de “que se hayan agotado todos los medios de impugnación previstos por las normas procesales para el caso concreto dentro de la vía judicial”. La exigencia de agotamiento de la vía judicial previa tiene por objeto preservar el carácter subsidiario del recurso de amparo, evitando que el acceso a esta jurisdicción constitucional se produzca </w:t>
      </w:r>
      <w:r w:rsidRPr="0026452D">
        <w:rPr>
          <w:i/>
        </w:rPr>
        <w:t>per saltum</w:t>
      </w:r>
      <w:r>
        <w:t>, esto es, sin dar oportunidad a los órganos judiciales de pronunciarse y, en definitiva, remediar la lesión que luego se invoca como fundamento del recurso de amparo (entre tantas otras, SSTC 139/1985, de 18 de octubre, FJ 7, y 217/2012, de 26 de noviembre, FJ 3).</w:t>
      </w:r>
    </w:p>
    <w:p w:rsidR="0026452D" w:rsidRDefault="0026452D" w:rsidP="0026452D">
      <w:pPr>
        <w:pStyle w:val="TextoNormal"/>
      </w:pPr>
    </w:p>
    <w:p w:rsidR="0026452D" w:rsidRDefault="0026452D" w:rsidP="0026452D">
      <w:pPr>
        <w:pStyle w:val="TextoNormal"/>
      </w:pPr>
      <w:r w:rsidRPr="0026452D">
        <w:rPr>
          <w:rStyle w:val="NumeroAFNegritaCaracter"/>
        </w:rPr>
        <w:t>3</w:t>
      </w:r>
      <w:r>
        <w:t>. El análisis de las actuaciones conduce a apreciar la concurrencia del óbice aducido por el Ministerio Fiscal en su escrito de alegaciones, a la vista de lo declarado por este Tribunal en casos similares en las SSTC 58/2012, 60/2012 y 63/2012, todas ellas de 29 de marzo, así como en las más recientes SSTC 128/2012, de 18 de junio; 152/2012, de 16 de julio y 157/2012, de 17 de septiembre, o 217/2012, de 26 de noviembre, entre otras, lo que determina la inadmisión del presente recurso de amparo por falta de agotamiento de la vía judicial previa [art. 44.1 a) LOTC].</w:t>
      </w:r>
    </w:p>
    <w:p w:rsidR="0026452D" w:rsidRDefault="0026452D" w:rsidP="0026452D">
      <w:pPr>
        <w:pStyle w:val="TextoNormal"/>
      </w:pPr>
    </w:p>
    <w:p w:rsidR="0026452D" w:rsidRDefault="0026452D" w:rsidP="0026452D">
      <w:pPr>
        <w:pStyle w:val="TextoNormal"/>
      </w:pPr>
      <w:r>
        <w:t xml:space="preserve">En el presente supuesto el recurrente en amparo impugna el Auto de 24 de abril de 2009 de la Sección Segunda de la Sala de lo Penal de la Audiencia Nacional, por el que se aprueba su licenciamiento definitivo para el día 28 de abril de 2016, resolución que fue confirmada en súplica mediante el Auto de 17 de julio siguiente de la misma Sala y Sección, igualmente impugnado en amparo. Ahora bien, acude directamente ante este Tribunal sin haber intentado hacer uso del recurso de casación ante la Sala de lo Penal del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previsión resulta aplicable a los Autos que aprueban el licenciamiento definitivo en condenas acumuladas en cuanto lo resuelto en ellos incide en el límite concreto de la pena privativa de libertad que ha de cumplir el penado. En tal sentido, aun cuando la jurisprudencia del Tribunal Supremo no siempre fue unánime en cuanto a la recurribilidad en casación de los Autos de liquidación de condena, tal incertidumbre fue definitivamente despejada algo más de un año antes de dictarse las resoluciones impugnadas en amparo mediante Auto de la Sala de lo Penal del Tribunal Supremo, de 7 de abril de 2008, dictado precisamente al resolver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máximo de cumplimiento respecto de las penas impuestas, fijación de criterio jurisprudencial que no podía </w:t>
      </w:r>
      <w:r>
        <w:lastRenderedPageBreak/>
        <w:t>ser ignorada tanto tiempo después por la representación procesal y la defensa letrada del demandante de amparo.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Inadmitir el recurso de amparo interpuesto por don Juan María Gabirondo Agote.</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58" w:name="SENTENCIA_2013_55"/>
      <w:r>
        <w:lastRenderedPageBreak/>
        <w:t>SENTENCIA 55/2013, de 11 de marzo de 2013</w:t>
      </w:r>
    </w:p>
    <w:bookmarkEnd w:id="58"/>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ECLI:ES:TC:2013:55</w:t>
      </w:r>
    </w:p>
    <w:p w:rsidR="0026452D" w:rsidRDefault="0026452D" w:rsidP="0026452D">
      <w:pPr>
        <w:pStyle w:val="SntesisDescriptiva"/>
      </w:pPr>
    </w:p>
    <w:p w:rsidR="0026452D" w:rsidRDefault="0026452D" w:rsidP="0026452D">
      <w:pPr>
        <w:pStyle w:val="SntesisDescriptiva"/>
      </w:pPr>
      <w:r>
        <w:t>Recurso de amparo 6163-2010. Promovido por don Carlos Artigas Nicolás en relación con la Sentencia de la Sala de lo Social del Tribunal Superior de Justicia de Cataluña que, en suplicación, desestimó su petición de pensión de viudedad.</w:t>
      </w:r>
    </w:p>
    <w:p w:rsidR="0026452D" w:rsidRDefault="0026452D" w:rsidP="0026452D">
      <w:pPr>
        <w:pStyle w:val="SntesisDescriptiva"/>
      </w:pPr>
    </w:p>
    <w:p w:rsidR="0026452D" w:rsidRDefault="0026452D" w:rsidP="0026452D">
      <w:pPr>
        <w:pStyle w:val="SntesisAnaltica"/>
      </w:pPr>
      <w:r>
        <w:t>Vulneración del derecho a la igualdad ante la ley: STC 41/2013 (denegación de la pretensión ejercitada en el litigio social que trae causa de la aplicación de un precepto legal contrario al derecho a la igualdad ante la ley al supeditar el disfrute del derecho a la pensión de viudedad que en él se establece a que el causante y el beneficiario hubieran tenido hijos comunes).</w:t>
      </w:r>
    </w:p>
    <w:p w:rsidR="0026452D" w:rsidRDefault="0026452D" w:rsidP="0026452D">
      <w:pPr>
        <w:pStyle w:val="SntesisAnaltica"/>
      </w:pPr>
    </w:p>
    <w:p w:rsidR="0026452D" w:rsidRDefault="0026452D" w:rsidP="0026452D">
      <w:pPr>
        <w:pStyle w:val="Extracto"/>
      </w:pPr>
      <w:r>
        <w:t>1.</w:t>
      </w:r>
      <w:r>
        <w:tab/>
        <w:t>Aplica la doctrina sobre la vulneración del derecho a la igualdad ante la ley por el condicionamiento del derecho a la pensión de viudedad de las parejas de hecho a la exigencia de haber tenido hijos comunes, de la STC 41/2013  [FJ 2].</w:t>
      </w:r>
    </w:p>
    <w:p w:rsidR="0026452D" w:rsidRDefault="0026452D" w:rsidP="0026452D">
      <w:pPr>
        <w:pStyle w:val="Extracto"/>
      </w:pPr>
    </w:p>
    <w:p w:rsidR="0026452D" w:rsidRDefault="0026452D" w:rsidP="0026452D">
      <w:pPr>
        <w:pStyle w:val="Extracto"/>
      </w:pPr>
      <w:r>
        <w:t>2.</w:t>
      </w:r>
      <w:r>
        <w:tab/>
        <w:t xml:space="preserve">La diferencia de trato establecida entre parejas de hecho para el reconocimiento de la pensión de viudedad, en razón a que hubieran tenido o no hijos en común, constituye una directa vulneración del principio de igualdad ante la ley, </w:t>
      </w:r>
      <w:r w:rsidRPr="0026452D">
        <w:rPr>
          <w:i/>
        </w:rPr>
        <w:t>ex</w:t>
      </w:r>
      <w:r>
        <w:t xml:space="preserve"> art. 14 CE, pues no sólo no obedece a ninguna razón objetivamente justificada, relacionada con la propia esencia de la pensión de viudedad, sino que conduce a un resultado desproporcionado, al impedir injustificadamente a determinados supérstites el acceso a dicha pensión por ser de imposible cumplimiento, por razones biológicas o jurídicas, tal requisito (STC 41/2013)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amparo núm. 6163-2010, promovido por don Carlos Artigas Nicolás, representado por el Procurador de los Tribunales don Eduardo Codes Pérez Andújar y asistido por el Abogado don Fernando Arribas Hernáez, contra la Sentencia de la Sala de lo Social del Tribunal Superior de Justicia de Cataluña, de 6 de julio de 2010, que resuelve el </w:t>
      </w:r>
      <w:r>
        <w:lastRenderedPageBreak/>
        <w:t>recurso de suplicación núm. 4137-2009 formulado frente a la Sentencia del Juzgado de lo Social núm. 3 de Gerona, de 23 de marzo de 2009, dictada en los autos núm. 445-2008 sobre Seguridad Social. Han sido parte Activa Mutua 2008, Mutua de Accidentes de Trabajo y Enfermedades Profesionales de la Seguridad Social núm. 3, representada por el Procurador de los Tribunales don Noel-Alain de Dorremochea Guiot y asistida por el Abogado don Rafael Somalo Moreno y el Instituto Nacional de la Seguridad Social, asistido y representado por el Letrado de la Administración de la Seguridad Social. Ha intervenido el Ministerio Fiscal. Ha sido Ponente el Magistrado don Francisco Pérez de los Cobos Orihuel,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17 de diciembre de 2010, el Procurador de los Tribunales don Eduardo Codes Pérez Andújar, en representación de don Carlos Artigas Nicolás, interpuso recurso de amparo contra la resolución citada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los que se fundamenta la demanda son, sucintamente expuestos, los siguientes:</w:t>
      </w:r>
    </w:p>
    <w:p w:rsidR="0026452D" w:rsidRDefault="0026452D" w:rsidP="0026452D">
      <w:pPr>
        <w:pStyle w:val="TextoNormal"/>
      </w:pPr>
    </w:p>
    <w:p w:rsidR="0026452D" w:rsidRDefault="0026452D" w:rsidP="0026452D">
      <w:pPr>
        <w:pStyle w:val="TextoNormal"/>
      </w:pPr>
      <w:r>
        <w:t>a) El recurrente en amparo solicitó con fecha de 10 de enero de 2008 pensión de viudedad como consecuencia del fallecimiento de don Francisco Galve Mallen, acaecido el día 15 de diciembre de 2004, con el que había convivido maritalmente durante diecinueve años. La pareja de hecho se formalizó mediante escritura pública con fecha de 19 de julio de 1999.</w:t>
      </w:r>
    </w:p>
    <w:p w:rsidR="0026452D" w:rsidRDefault="0026452D" w:rsidP="0026452D">
      <w:pPr>
        <w:pStyle w:val="TextoNormal"/>
      </w:pPr>
    </w:p>
    <w:p w:rsidR="0026452D" w:rsidRDefault="0026452D" w:rsidP="0026452D">
      <w:pPr>
        <w:pStyle w:val="TextoNormal"/>
      </w:pPr>
      <w:r>
        <w:t>b) Por resolución de la Dirección Provincial de Girona del Instituto Nacional de la Seguridad Social (INSS) de 15 de febrero de 2008 se denegó la pensión de viudedad solicitada por “no haber tenido hijos comunes con el causante fallecido antes del 01/01/2008”, lo que dio lugar, tras la desestimación de reclamación previa, a la interposición de demanda en la vía judicial.</w:t>
      </w:r>
    </w:p>
    <w:p w:rsidR="0026452D" w:rsidRDefault="0026452D" w:rsidP="0026452D">
      <w:pPr>
        <w:pStyle w:val="TextoNormal"/>
      </w:pPr>
    </w:p>
    <w:p w:rsidR="0026452D" w:rsidRDefault="0026452D" w:rsidP="0026452D">
      <w:pPr>
        <w:pStyle w:val="TextoNormal"/>
      </w:pPr>
      <w:r>
        <w:t>c) Por Sentencia del Juzgado de lo Social núm. 3 de Girona, de 23 de marzo de 2009, se estimó la demanda declarando el derecho del actor a la pensión de viudedad reclamada, al apreciar que la exigencia de tener hijos comunes prevista en la disposición adicional tercera c) de la Ley 40/2007, de 4 de diciembre, de medidas en materia de Seguridad Social, vulneraba el art. 14 CE en tanto que suponía una discriminación por razón de la orientación sexual, ya que tal norma imponía un requisito, que aunque teóricamente neutral, dejaba de serlo en el caso de las parejas de hecho homosexuales, y especialmente, en las masculinas, que ni podían tener hijos biológicos en común, ni pudieron adoptarlos hasta la aprobación de la Ley del Parlamento de Cataluña 3/2005, de 8 de abril, en materia de adopción y tutela.</w:t>
      </w:r>
    </w:p>
    <w:p w:rsidR="0026452D" w:rsidRDefault="0026452D" w:rsidP="0026452D">
      <w:pPr>
        <w:pStyle w:val="TextoNormal"/>
      </w:pPr>
    </w:p>
    <w:p w:rsidR="0026452D" w:rsidRDefault="0026452D" w:rsidP="0026452D">
      <w:pPr>
        <w:pStyle w:val="TextoNormal"/>
      </w:pPr>
      <w:r>
        <w:t>d) La citada resolución fue revocada como consecuencia de la formulación por Mutua FIMAC y el INSS de recurso de suplicación, por medio de Sentencia de la Sala de lo Social del Tribunal Superior de Justicia de Cataluña, de 6 de julio de 2010, que consideró que la disposición adicional controvertida no suponía una desigualdad de trato contraria al art. 14 CE.</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3</w:t>
      </w:r>
      <w:r>
        <w:t xml:space="preserve">. El recurrente en amparo sostiene que la Sentencia del Tribunal Superior de Justicia impugnada vulnera el art. 14 CE en tanto que la disposición adicional tercera c) de la Ley 40/2007, de 4 de diciembre, de medidas en materia de Seguridad Social (en adelante, Ley 40/2007) , en virtud de la cual desestima su pretensión de percepción de pensión de viudedad, le impone un requisito (tener hijos en común con el causante de la pensión) de imposible cumplimiento en la fecha del fallecimiento, ya que, además de no poder tener hijos biológicos, a las parejas homosexuales les estaba vedada entonces la posibilidad de adopción (lo que fue posible con la entrada en vigor de la Ley catalana 3/2005, de 8 de abril). En virtud de esta imposibilidad, se sostiene que un requisito que en apariencia es neutral resulta, sin embargo, discriminatorio por razón de orientación sexual y contrario al principio de igualdad del art. 14 CE. En definitiva, indica que las consecuencias jurídicas que de la norma discutida se deriva son totalmente gravosas y desmedidas para esa parte y carecen de fundamento objetivo y razonable. Asimismo, se aduce que el recurso planteado tendría la especial trascendencia constitucional exigida por el art. 49.1 </w:t>
      </w:r>
      <w:r w:rsidRPr="0026452D">
        <w:rPr>
          <w:i/>
        </w:rPr>
        <w:t>in fine</w:t>
      </w:r>
      <w:r>
        <w:t xml:space="preserve"> de la Ley Orgánica del Tribunal Constitucional (LOTC) en tanto que la lesión que se alega provendría de la propia norma y se estaría planteando un problema sobre el que no hay doctrina constitucional.</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la Sala Segunda de este Tribunal de 15 de septiembre de 2011 se acordó la admisión a trámite del recurso de amparo y, en aplicación del art. 51 de la Ley Orgánica del Tribunal Constitucional, dirigir comunicación a la Sala de lo Social para que remitiese copia de las actuaciones correspondientes al recurso de suplicación núm. 4137-2009, así como al Juzgado de lo Social núm. 3 de Gerona, a fin de que hiciera lo propio con las actuaciones correspondientes al procedimiento núm. 445-2008 y emplazase a quienes hubieran sido parte en el procedimiento de amparo, excepto la parte recurrente en amparo, para que pudiesen comparecer en el mismo si lo estimasen conveniente dentro del plazo de diez días.</w:t>
      </w:r>
    </w:p>
    <w:p w:rsidR="0026452D" w:rsidRDefault="0026452D" w:rsidP="0026452D">
      <w:pPr>
        <w:pStyle w:val="TextoNormal"/>
      </w:pPr>
    </w:p>
    <w:p w:rsidR="0026452D" w:rsidRDefault="0026452D" w:rsidP="0026452D">
      <w:pPr>
        <w:pStyle w:val="TextoNormal"/>
      </w:pPr>
      <w:r w:rsidRPr="0026452D">
        <w:rPr>
          <w:rStyle w:val="NumeroAFNegritaCaracter"/>
        </w:rPr>
        <w:t>5</w:t>
      </w:r>
      <w:r>
        <w:t>. Por medio de escrito con fecha de registro de 3 de octubre de 2011, el Procurador de los Tribunales Noel-Alain de Dorremochea Guiot, se persona en el procedimiento en nombre y representación de Activa Mutua 2008, Mutua de accidentes de trabajo y enfermedades profesionales de la Seguridad Social núm. 3.</w:t>
      </w:r>
    </w:p>
    <w:p w:rsidR="0026452D" w:rsidRDefault="0026452D" w:rsidP="0026452D">
      <w:pPr>
        <w:pStyle w:val="TextoNormal"/>
      </w:pPr>
    </w:p>
    <w:p w:rsidR="0026452D" w:rsidRDefault="0026452D" w:rsidP="0026452D">
      <w:pPr>
        <w:pStyle w:val="TextoNormal"/>
      </w:pPr>
      <w:r w:rsidRPr="0026452D">
        <w:rPr>
          <w:rStyle w:val="NumeroAFNegritaCaracter"/>
        </w:rPr>
        <w:t>6</w:t>
      </w:r>
      <w:r>
        <w:t>. Por medio de escrito con fecha de registro de 6 de octubre de 2011, el Letrado de la Administración de la Seguridad Social se persona en el procedimiento en nombre y representación del Instituto Nacional de la Seguridad Social.</w:t>
      </w:r>
    </w:p>
    <w:p w:rsidR="0026452D" w:rsidRDefault="0026452D" w:rsidP="0026452D">
      <w:pPr>
        <w:pStyle w:val="TextoNormal"/>
      </w:pPr>
    </w:p>
    <w:p w:rsidR="0026452D" w:rsidRDefault="0026452D" w:rsidP="0026452D">
      <w:pPr>
        <w:pStyle w:val="TextoNormal"/>
      </w:pPr>
      <w:r w:rsidRPr="0026452D">
        <w:rPr>
          <w:rStyle w:val="NumeroAFNegritaCaracter"/>
        </w:rPr>
        <w:t>7</w:t>
      </w:r>
      <w:r>
        <w:t>. Por diligencia de ordenación del Secretario de Justicia de la Sala Segunda de este Tribunal, de fecha 20 de febrero de 2012, se acordó tener por personado y parte en el procedimiento al Procurador don Noel-Alain de Dorremochea Guiot, en nombre y representación de Activa Mutua 2008, Mutua de accidentes de trabajo y enfermedades profesionales de la Seguridad Social núm. 3, y al Letrado de la Seguridad Social, en nombre del INSS, acordándose entender con ellos las sucesivas actuaciones, condicionando tal decisión a que ambos Procuradores acreditaran debidamente su representación. Así mismo, se acordó dar vista de las actuaciones recibidas a las partes personadas y al Ministerio Fiscal por plazo común de veinte días para que pudiesen formular alegaciones conforme a lo dispuesto en el art. 52.1 LOTC.</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8</w:t>
      </w:r>
      <w:r>
        <w:t>. Por medio de escrito con fecha de registro de 11 de noviembre de 2011 la representación procesal del INSS, atendiendo al requerimiento realizado en la anterior diligencia, presenta escrito acreditando la representación que ostenta.</w:t>
      </w:r>
    </w:p>
    <w:p w:rsidR="0026452D" w:rsidRDefault="0026452D" w:rsidP="0026452D">
      <w:pPr>
        <w:pStyle w:val="TextoNormal"/>
      </w:pPr>
    </w:p>
    <w:p w:rsidR="0026452D" w:rsidRDefault="0026452D" w:rsidP="0026452D">
      <w:pPr>
        <w:pStyle w:val="TextoNormal"/>
      </w:pPr>
      <w:r w:rsidRPr="0026452D">
        <w:rPr>
          <w:rStyle w:val="NumeroAFNegritaCaracter"/>
        </w:rPr>
        <w:t>9</w:t>
      </w:r>
      <w:r>
        <w:t>. Por escrito con fecha de registro de 15 de noviembre de 2011, la representación procesal del recurrente en amparo se ratifica íntegramente en las alegaciones realizadas en su recurso de amparo.</w:t>
      </w:r>
    </w:p>
    <w:p w:rsidR="0026452D" w:rsidRDefault="0026452D" w:rsidP="0026452D">
      <w:pPr>
        <w:pStyle w:val="TextoNormal"/>
      </w:pPr>
    </w:p>
    <w:p w:rsidR="0026452D" w:rsidRDefault="0026452D" w:rsidP="0026452D">
      <w:pPr>
        <w:pStyle w:val="TextoNormal"/>
      </w:pPr>
      <w:r w:rsidRPr="0026452D">
        <w:rPr>
          <w:rStyle w:val="NumeroAFNegritaCaracter"/>
        </w:rPr>
        <w:t>10</w:t>
      </w:r>
      <w:r>
        <w:t>. Con fecha de registro de 29 de noviembre de 2011, la representación procesal del INSS presenta escrito de alegaciones en el que interesa la desestimación del recurso de amparo al considerar que la disposición adicional discutida no contraviene el art. 14 CE, teniendo en cuenta que este precepto no impide el distinto tratamiento temporal de situaciones iguales motivado por la sucesión normativa y que la norma afecta tanto a parejas homosexuales como heterosexuales que no han tenido hijos, puesto que lo protegido por el legislador es la pareja con prole y no el cónyuge superviviente.</w:t>
      </w:r>
    </w:p>
    <w:p w:rsidR="0026452D" w:rsidRDefault="0026452D" w:rsidP="0026452D">
      <w:pPr>
        <w:pStyle w:val="TextoNormal"/>
      </w:pPr>
    </w:p>
    <w:p w:rsidR="0026452D" w:rsidRDefault="0026452D" w:rsidP="0026452D">
      <w:pPr>
        <w:pStyle w:val="TextoNormal"/>
      </w:pPr>
      <w:r w:rsidRPr="0026452D">
        <w:rPr>
          <w:rStyle w:val="NumeroAFNegritaCaracter"/>
        </w:rPr>
        <w:t>11</w:t>
      </w:r>
      <w:r>
        <w:t>. Por escrito con fecha de registro de 29 de noviembre de 2011, la representación procesal de Activa Mutua 2008, Mutua de accidentes de trabajo y enfermedades profesionales de la Seguridad Social núm. 3, interesa la desestimación del recurso de amparo planteado al considerar que no se ha producido la vulneración del derecho a la igualdad (art. 14 CE). Por escrito de esa misma fecha, la representación procesal presenta también escrito cumpliendo el requerimiento realizado por la providencia de 20 de octubre de 2011, acompañando la escritura de poder acreditativo de su representación.</w:t>
      </w:r>
    </w:p>
    <w:p w:rsidR="0026452D" w:rsidRDefault="0026452D" w:rsidP="0026452D">
      <w:pPr>
        <w:pStyle w:val="TextoNormal"/>
      </w:pPr>
    </w:p>
    <w:p w:rsidR="0026452D" w:rsidRDefault="0026452D" w:rsidP="0026452D">
      <w:pPr>
        <w:pStyle w:val="TextoNormal"/>
      </w:pPr>
      <w:r w:rsidRPr="0026452D">
        <w:rPr>
          <w:rStyle w:val="NumeroAFNegritaCaracter"/>
        </w:rPr>
        <w:t>12</w:t>
      </w:r>
      <w:r>
        <w:t>. Por escrito con fecha de registro de 2 de diciembre de 2011 presenta sus alegaciones el Ministerio Fiscal, interesando el otorgamiento del amparo solicitado sobre la base de que se habría producido una vulneración del derecho a la igualdad en el caso de autos debido a la inaplicación por parte de la resolución judicial impugnada de la disposición adicional décima de la Ley 30/1981, de 7 de julio, por la que se modifica la regulación del matrimonio en el Código civil y se determina el procedimiento a seguir en las causas de nulidad, separación y divorcio.</w:t>
      </w:r>
    </w:p>
    <w:p w:rsidR="0026452D" w:rsidRDefault="0026452D" w:rsidP="0026452D">
      <w:pPr>
        <w:pStyle w:val="TextoNormal"/>
      </w:pPr>
    </w:p>
    <w:p w:rsidR="0026452D" w:rsidRDefault="0026452D" w:rsidP="0026452D">
      <w:pPr>
        <w:pStyle w:val="TextoNormal"/>
      </w:pPr>
      <w:r w:rsidRPr="0026452D">
        <w:rPr>
          <w:rStyle w:val="NumeroAFNegritaCaracter"/>
        </w:rPr>
        <w:t>13</w:t>
      </w:r>
      <w:r>
        <w:t>. Por diligencia de ordenación de 12 de diciembre de 2011 se hizo constar la presentación de los escritos de alegaciones anteriormente apuntados, quedando el recurso de amparo para deliberación cuando por turno correspondiese.</w:t>
      </w:r>
    </w:p>
    <w:p w:rsidR="0026452D" w:rsidRDefault="0026452D" w:rsidP="0026452D">
      <w:pPr>
        <w:pStyle w:val="TextoNormal"/>
      </w:pPr>
    </w:p>
    <w:p w:rsidR="0026452D" w:rsidRDefault="0026452D" w:rsidP="0026452D">
      <w:pPr>
        <w:pStyle w:val="TextoNormal"/>
      </w:pPr>
      <w:r w:rsidRPr="0026452D">
        <w:rPr>
          <w:rStyle w:val="NumeroAFNegritaCaracter"/>
        </w:rPr>
        <w:t>14</w:t>
      </w:r>
      <w:r>
        <w:t>. Por providencia de 7 de marzo de 2013, se señaló para votación y fallo de la Sentencia el día 11 de dicho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Como ha quedo expuesto en los antecedentes, el recurrente en amparo solicitó pensión de viudedad en virtud de la disposición adicional tercera de la Ley 40/2007, de 4 de diciembre, de medidas en materia de Seguridad Social, que reconoce la pensión de viudedad a parejas de hecho en las que el fallecimiento del causante se produjo antes de la entrada en </w:t>
      </w:r>
      <w:r>
        <w:lastRenderedPageBreak/>
        <w:t>vigor de esa Ley, cuando se cumpliesen determinados requisitos, entre ellos, “que el causante y el beneficiario hubieran tenido hijos en común” [apartado c)]. La solicitud fue rechazada por el Instituto Nacional de la Seguridad Social por incumplirse esta última exigencia, decisión que fue confirmada en suplicación por la Sentencia de la Sala de lo Social del Tribunal Superior de Justicia de Cataluña, de 6 de julio de 2010, que es la resolución judicial que ahora se impugna.</w:t>
      </w:r>
    </w:p>
    <w:p w:rsidR="0026452D" w:rsidRDefault="0026452D" w:rsidP="0026452D">
      <w:pPr>
        <w:pStyle w:val="TextoNormal"/>
      </w:pPr>
    </w:p>
    <w:p w:rsidR="0026452D" w:rsidRDefault="0026452D" w:rsidP="0026452D">
      <w:pPr>
        <w:pStyle w:val="TextoNormal"/>
      </w:pPr>
      <w:r>
        <w:t>En la formulación de su recurso de amparo, el recurrente imputa a la Sentencia de la Sala de lo Social la vulneración del art. 14 CE por considerar que la exigencia del apartado c) de la referida disposición adicional vulnera el derecho a la igualdad y a la no discriminación por orientación sexual, al exigírsele un requisito de imposible cumplimiento en la fecha del fallecimiento del causante, ya que, además de no haber podido tener hijos biológicos al tratarse de una pareja homosexual, no les fue posible la adopción hasta la entrada en vigor de la Ley catalana 3/2005, de 8 de abril.</w:t>
      </w:r>
    </w:p>
    <w:p w:rsidR="0026452D" w:rsidRDefault="0026452D" w:rsidP="0026452D">
      <w:pPr>
        <w:pStyle w:val="TextoNormal"/>
      </w:pPr>
    </w:p>
    <w:p w:rsidR="0026452D" w:rsidRDefault="0026452D" w:rsidP="0026452D">
      <w:pPr>
        <w:pStyle w:val="TextoNormal"/>
      </w:pPr>
      <w:r w:rsidRPr="0026452D">
        <w:rPr>
          <w:rStyle w:val="NumeroAFNegritaCaracter"/>
        </w:rPr>
        <w:t>2</w:t>
      </w:r>
      <w:r>
        <w:t>. Planteada la cuestión en los términos expuestos, la respuesta ha de ser forzosamente concisa e inequívoca a la luz de nuestra reciente STC 41/2013, de 14 de febrero, por la que el Pleno de este Tribunal ha resuelto la cuestión de inconstitucionalidad planteada por el Juzgado de lo Social núm. 33 de Barcelona respecto al apartado c) de la disposición adicional tercera de la Ley 40/2007, declarándola inconstitucional y nula. Ciertamente, en ella hemos declarado que el requisito contenido en la letra c) de la disposición cuestionada, constituye una directa vulneración del principio de igualdad ante la ley (art. 14 CE), pues la diferencia de trato que se establece entre parejas de hecho, en razón a que hubieran tenido o no hijos en común, no sólo no obedece a ninguna razón objetivamente justificada, relacionada con la propia esencia, fundamento o finalidad de la pensión de viudedad especial que regula, sino que conduce a un resultado desproporcionado, al impedir injustificadamente a determinados supérstites de parejas de hecho el acceso a la protección dispensada mediante dicha pensión, por ser de imposible cumplimiento (por razones biológicas y jurídicas), la exigencia de haber tenido hijos comunes.</w:t>
      </w:r>
    </w:p>
    <w:p w:rsidR="0026452D" w:rsidRDefault="0026452D" w:rsidP="0026452D">
      <w:pPr>
        <w:pStyle w:val="TextoNormal"/>
      </w:pPr>
    </w:p>
    <w:p w:rsidR="0026452D" w:rsidRDefault="0026452D" w:rsidP="0026452D">
      <w:pPr>
        <w:pStyle w:val="TextoNormal"/>
      </w:pPr>
      <w:r>
        <w:t>Por consiguiente, no hay sino que reiterar la doctrina expuesta en la citada Sentencia y sentar la misma conclusión, reconociendo al recurrente en amparo la vulneración del derecho a la igualdad ante la ley (art. 14 CE) que denuncia, lo que conduce a la estimación del recurso de amparo planteado.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el recurso de amparo interpuesto por don Carlos Artigas Nicolás y, en su virtud:</w:t>
      </w:r>
    </w:p>
    <w:p w:rsidR="0026452D" w:rsidRDefault="0026452D" w:rsidP="0026452D">
      <w:pPr>
        <w:pStyle w:val="TextoNormal"/>
      </w:pPr>
    </w:p>
    <w:p w:rsidR="0026452D" w:rsidRDefault="0026452D" w:rsidP="0026452D">
      <w:pPr>
        <w:pStyle w:val="TextoNormal"/>
      </w:pPr>
      <w:r>
        <w:t>1º Declarar que ha sido vulnerado el derecho del recurrente a la igualdad ante la ley (art. 14 CE).</w:t>
      </w:r>
    </w:p>
    <w:p w:rsidR="0026452D" w:rsidRDefault="0026452D" w:rsidP="0026452D">
      <w:pPr>
        <w:pStyle w:val="TextoNormal"/>
      </w:pPr>
    </w:p>
    <w:p w:rsidR="0026452D" w:rsidRDefault="0026452D" w:rsidP="0026452D">
      <w:pPr>
        <w:pStyle w:val="TextoNormal"/>
      </w:pPr>
      <w:r>
        <w:lastRenderedPageBreak/>
        <w:t>2º Restablecerlo en su derecho y, a tal fin, anular la Sentencia de la Sala de lo Social del Tribunal Superior de Justicia de Cataluña, de 6 de julio de 2010, dictada en el recurso de suplicación núm. 4137-2009, en proceso sobre Seguridad Social, declarando la firmeza de la Sentencia dictada por el Juzgado de lo Social núm. 3 de Gerona, de 23 de marzo de 2009, en autos núm. 445-2008.</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59" w:name="SENTENCIA_2013_56"/>
      <w:r>
        <w:lastRenderedPageBreak/>
        <w:t>SENTENCIA 56/2013, de 11 de marzo de 2013</w:t>
      </w:r>
    </w:p>
    <w:bookmarkEnd w:id="59"/>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ECLI:ES:TC:2013:56</w:t>
      </w:r>
    </w:p>
    <w:p w:rsidR="0026452D" w:rsidRDefault="0026452D" w:rsidP="0026452D">
      <w:pPr>
        <w:pStyle w:val="SntesisDescriptiva"/>
      </w:pPr>
    </w:p>
    <w:p w:rsidR="0026452D" w:rsidRDefault="0026452D" w:rsidP="0026452D">
      <w:pPr>
        <w:pStyle w:val="SntesisDescriptiva"/>
      </w:pPr>
      <w:r>
        <w:t>Recurso de amparo 7271-2010. Promovido por la entidad General de Galerías Comerciales, S.A., en relación con la Sentencia de la Sala de lo Civil del Tribunal Supremo que, en grado de casación, le condenó a abonar una indemnización por incumplimiento contractual.</w:t>
      </w:r>
    </w:p>
    <w:p w:rsidR="0026452D" w:rsidRDefault="0026452D" w:rsidP="0026452D">
      <w:pPr>
        <w:pStyle w:val="SntesisDescriptiva"/>
      </w:pPr>
    </w:p>
    <w:p w:rsidR="0026452D" w:rsidRDefault="0026452D" w:rsidP="0026452D">
      <w:pPr>
        <w:pStyle w:val="SntesisAnaltica"/>
      </w:pPr>
      <w:r>
        <w:t>Supuesta vulneración del derecho a la tutela judicial efectiva (resolución motivada y fundada en Derecho): adecuado ejercicio por el órgano judicial de su facultad revisora de los hechos, fruto de una valoración de todos los elementos de prueba obrantes en autos.</w:t>
      </w:r>
    </w:p>
    <w:p w:rsidR="0026452D" w:rsidRDefault="0026452D" w:rsidP="0026452D">
      <w:pPr>
        <w:pStyle w:val="SntesisAnaltica"/>
      </w:pPr>
    </w:p>
    <w:p w:rsidR="0026452D" w:rsidRDefault="0026452D" w:rsidP="0026452D">
      <w:pPr>
        <w:pStyle w:val="Extracto"/>
      </w:pPr>
      <w:r>
        <w:t>1.</w:t>
      </w:r>
      <w:r>
        <w:tab/>
        <w:t>La posibilidad de efectuar una distinta valoración de la prueba por la Sala de lo Civil del Tribunal Supremo es posible, a través del recurso extraordinario por infracción procesal, en los casos de apreciación arbitraria o ilógica de la prueba, infracción de regla de valoración fijada legal o jurisprudencialmente o cuando dicha valoración no supere el test de racionabilidad exigible para respetar el derecho fundamental a la tutela judicial efectiva [FJ 3].</w:t>
      </w:r>
    </w:p>
    <w:p w:rsidR="0026452D" w:rsidRDefault="0026452D" w:rsidP="0026452D">
      <w:pPr>
        <w:pStyle w:val="Extracto"/>
      </w:pPr>
    </w:p>
    <w:p w:rsidR="0026452D" w:rsidRDefault="0026452D" w:rsidP="0026452D">
      <w:pPr>
        <w:pStyle w:val="Extracto"/>
      </w:pPr>
      <w:r>
        <w:t>2.</w:t>
      </w:r>
      <w:r>
        <w:tab/>
        <w:t>Doctrina sobre el derecho fundamental a la tutela judicial efectiva, art. 24.1 CE, en sus vertientes del derecho a obtener una respuesta motivada –que permite conocer las razones de la decisión y posibilita su control mediante el sistema de los recursos–, fundada en Derecho –que conlleva la garantía de que no sea consecuencia de una aplicación arbitraria de la legalidad, no resulte manifiestamente irrazonable o incurra en un error patente– y congruente (SSTC 61/1983, 182/2011) [FJ 2].</w:t>
      </w:r>
    </w:p>
    <w:p w:rsidR="0026452D" w:rsidRDefault="0026452D" w:rsidP="0026452D">
      <w:pPr>
        <w:pStyle w:val="Extracto"/>
      </w:pPr>
    </w:p>
    <w:p w:rsidR="0026452D" w:rsidRDefault="0026452D" w:rsidP="0026452D">
      <w:pPr>
        <w:pStyle w:val="Extracto"/>
      </w:pPr>
      <w:r>
        <w:t>3.</w:t>
      </w:r>
      <w:r>
        <w:tab/>
        <w:t xml:space="preserve">La promoción del incidente de nulidad de actuaciones resultaba no sólo procedente sino preceptiva para garantizar la subsidiariedad del recurso de amparo, pues la resolución impugnada es la última recaída en el proceso, con lo que la parte no ha podido denunciar antes la lesión, ésta viene referida a un derecho fundamental protegible en amparo </w:t>
      </w:r>
      <w:r w:rsidRPr="0026452D">
        <w:rPr>
          <w:i/>
        </w:rPr>
        <w:t>ex</w:t>
      </w:r>
      <w:r>
        <w:t xml:space="preserve"> art. 53.2 CE y el escrito donde se plantea la queja cumple con la carga de identificar la faceta del derecho vulnerado así como los hechos determinantes de la lesión [FJ 1].</w:t>
      </w:r>
    </w:p>
    <w:p w:rsidR="0026452D" w:rsidRDefault="0026452D" w:rsidP="0026452D">
      <w:pPr>
        <w:pStyle w:val="Extracto"/>
      </w:pPr>
    </w:p>
    <w:p w:rsidR="0026452D" w:rsidRDefault="0026452D" w:rsidP="0026452D">
      <w:pPr>
        <w:pStyle w:val="Extracto"/>
      </w:pPr>
      <w:r>
        <w:t>4.</w:t>
      </w:r>
      <w:r>
        <w:tab/>
        <w:t>No toda providencia de inadmisión de un incidente de nulidad de actuaciones, por el mero hecho de serlo, merece reproche desde la óptica de la irrazonabilidad o la falta de motivación, ni supone un desprecio hacia la función encomendada por el legislador a los Tribunales de la jurisdicción ordinaria en la protección de los derechos fundamentales, debiendo atenderse no sólo al texto de la resolución judicial sino al contenido del escrito por el que dicho incidente se solicita [FJ 4].</w:t>
      </w:r>
    </w:p>
    <w:p w:rsidR="0026452D" w:rsidRDefault="0026452D" w:rsidP="0026452D">
      <w:pPr>
        <w:pStyle w:val="Extracto"/>
      </w:pPr>
    </w:p>
    <w:p w:rsidR="0026452D" w:rsidRDefault="0026452D" w:rsidP="0026452D">
      <w:pPr>
        <w:pStyle w:val="Extracto"/>
      </w:pPr>
      <w:r>
        <w:t>5.</w:t>
      </w:r>
      <w:r>
        <w:tab/>
        <w:t xml:space="preserve">Para justificar la especial trascendencia constitucional del recurso, </w:t>
      </w:r>
      <w:r w:rsidRPr="0026452D">
        <w:rPr>
          <w:i/>
        </w:rPr>
        <w:t>ex</w:t>
      </w:r>
      <w:r>
        <w:t xml:space="preserve"> arts. 49.1 y 50.1 b) LOTC, no basta con referirse a las implicaciones económicas de la decisión adoptada por la resolución recurrida, no al menos si ello se plantea desde la óptica </w:t>
      </w:r>
      <w:r>
        <w:lastRenderedPageBreak/>
        <w:t>de la gravedad de la lesión, criterio en sí mismo descartado como de especial trascendencia (ATC 29/2011) [FJ 1].</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7271-2010, promovido por la entidad General de Galerías Comerciales, S.A., representada por la Procuradora de los Tribunales doña María Luz Albacar Medina y asistida por el Abogado don Antonio Ruiz Villén, contra Sentencia de la Sala de lo Civil del Tribunal Supremo, de 30 de abril de 2010 y contra providencia de la misma Sala, de 13 de julio de 2010, inadmitiendo incidente de nulidad de actuaciones promovido contra dicha Sentencia. Ha actuado como parte demandada la empresa Centros Comerciales Carrefour, S.A., representada por la Procuradora doña Lourdes Fernández-Luna Tamayo y defendida por el Abogado don Joaquín María Almoguera Valencia. Ha intervenido el Ministerio Fiscal. Ha sido Ponente el Magistrado don Luis Ignacio Ortega Álvarez,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el 8 de octubre de 2010, la Procuradora de los Tribunales doña María Luz Albacar Medina interpuso demanda de amparo contra las resoluciones a las que se ha hecho referencia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con relevancia para la resolución del presente recurso de amparo y a los que se refiere la demanda presentada, son los siguientes:</w:t>
      </w:r>
    </w:p>
    <w:p w:rsidR="0026452D" w:rsidRDefault="0026452D" w:rsidP="0026452D">
      <w:pPr>
        <w:pStyle w:val="TextoNormal"/>
      </w:pPr>
    </w:p>
    <w:p w:rsidR="0026452D" w:rsidRDefault="0026452D" w:rsidP="0026452D">
      <w:pPr>
        <w:pStyle w:val="TextoNormal"/>
      </w:pPr>
      <w:r>
        <w:t xml:space="preserve">a) La entidad Centros Comerciales Pryca, S.A., consignó escrito de demanda el 16 de septiembre de 1996 ante los Juzgados de Primera Instancia de Marbella, en acción de reclamación de cantidad por daños y perjuicios derivados de incumplimiento contractual contra la entidad aquí recurrente de amparo. La actora alegaba que estando interesada en la explotación de un hipermercado en el término municipal de Marbella había acudido a la demandada en su calidad de promotora de esta clase de establecimientos, la que a su vez se hallaba en trámites con el Ayuntamiento de Marbella para la permuta de unos terrenos donde se levantaría un centro comercial dentro del cual se situaría el hipermercado objeto del pacto, segregando esta última como finca independiente. Tras una serie de negociaciones mantenidas con sus responsables, prosigue narrando la demanda de instancia, el día 2 de agosto </w:t>
      </w:r>
      <w:r>
        <w:lastRenderedPageBreak/>
        <w:t>de 1995 la promotora demandada y la constructora EMASA remitieron a la actora un fax por el que se confirmaba “el total, pleno y definitivo acuerdo que se había alcanzado para la venta a mi representada del cajón Hipermercado objeto de la presente demanda”, fax que se aportó como documento núm. 7 de dicha demanda y que se titula “Marbella. Calendario de Pagos”. Como parte de los acuerdos alcanzados, añade, entregó a la demandada “un anticipo o financiación para la construcción del Hipermercado” el cual quedó documentado en un “contrato de préstamo sin interés, otorgado entre las partes en 21 de septiembre de 1995”, con fecha de vencimiento 3 de enero de 1996 (documento núm. 11 de la demanda), si bien la misma se pospuso en varias ocasiones por la falta de adjudicación a la promotora de los terrenos, fijándose una última prórroga para el 16 de septiembre de 1996 (documentos 12 y 13). El precio total de la operación era por importe de dos mil setecientos millones de pesetas (2.700.000.000 pesetas.), de los que dos mil millones (2.000.000.000 pesetas.) debían entregarse a la vendedora en el acto de otorgamiento de las escrituras públicas y “el resto hasta alcanzar el total precio debía satisfacerse de acuerdo con los porcentajes reflejados y acordados en el referido fax, a medida que se alcanzaran distintos niveles de obra de construcción, que lógicamente si se había ya alcanzado al otorgamiento de la escritura pública de formalización de la venta, se añadirían al pago previsto en el apartado a) anterior”.</w:t>
      </w:r>
    </w:p>
    <w:p w:rsidR="0026452D" w:rsidRDefault="0026452D" w:rsidP="0026452D">
      <w:pPr>
        <w:pStyle w:val="TextoNormal"/>
      </w:pPr>
    </w:p>
    <w:p w:rsidR="0026452D" w:rsidRDefault="0026452D" w:rsidP="0026452D">
      <w:pPr>
        <w:pStyle w:val="TextoNormal"/>
      </w:pPr>
      <w:r>
        <w:t>Alega la demanda de instancia que ante los retrasos de la promotora en otorgar la escritura, llevó a cabo contra ésta un requerimiento por vía notarial el 9 de septiembre de 1996, con entrega de carta de 6 de septiembre (documento núm. 56) por la que le exigía cumpliera con sus obligaciones. Asimismo y dado que el préstamo había sido garantizado mediante aval (compromiso de pago a primer requerimiento) expedido a su favor por el Banco Exterior de España el 20 de septiembre de 1995 (mismo documento núm. 11), también objeto de varias prórrogas, la actora decidió hacerlo efectivo “en protección de sus más legítimos intereses, el reembolso por el Banco garante de los 800 millones de pesetas objeto de la financiación expresada, ya que la referida garantía vencía a todos sus efectos en el día de hoy [16 de septiembre de 1996]”; ejecución del aval del que ya advertía en la propia carta de 6 de septiembre.</w:t>
      </w:r>
    </w:p>
    <w:p w:rsidR="0026452D" w:rsidRDefault="0026452D" w:rsidP="0026452D">
      <w:pPr>
        <w:pStyle w:val="TextoNormal"/>
      </w:pPr>
    </w:p>
    <w:p w:rsidR="0026452D" w:rsidRDefault="0026452D" w:rsidP="0026452D">
      <w:pPr>
        <w:pStyle w:val="TextoNormal"/>
      </w:pPr>
      <w:r>
        <w:t>En el suplico de la demanda se pedía la condena a la demandada a terminar las obras del hipermercado, otorgar a su favor las correspondientes escrituras y a indemnizar a la actora “en el importe de los daños y perjuicios ocasionados, a determinar su importe en ejecución de sentencia”.</w:t>
      </w:r>
    </w:p>
    <w:p w:rsidR="0026452D" w:rsidRDefault="0026452D" w:rsidP="0026452D">
      <w:pPr>
        <w:pStyle w:val="TextoNormal"/>
      </w:pPr>
    </w:p>
    <w:p w:rsidR="0026452D" w:rsidRDefault="0026452D" w:rsidP="0026452D">
      <w:pPr>
        <w:pStyle w:val="TextoNormal"/>
      </w:pPr>
      <w:r>
        <w:t>b) Admitida la demanda por el Juzgado de Primera Instancia núm. 4 de Marbella (juicio de mayor cuantía núm. 281-1996), la entidad aquí recurrente presentó escrito de contestación a la demanda, invocando la excepción procesal de litisconsorcio pasivo necesario por no demandarse a la entidad EMASA y, en cuanto al fondo, oponiéndose a lo pretendido, negando que existiera contrato de compraventa y defendiendo en todo caso la autonomía del contrato de préstamo por los ochocientos millones de pesetas.</w:t>
      </w:r>
    </w:p>
    <w:p w:rsidR="0026452D" w:rsidRDefault="0026452D" w:rsidP="0026452D">
      <w:pPr>
        <w:pStyle w:val="TextoNormal"/>
      </w:pPr>
    </w:p>
    <w:p w:rsidR="0026452D" w:rsidRDefault="0026452D" w:rsidP="0026452D">
      <w:pPr>
        <w:pStyle w:val="TextoNormal"/>
      </w:pPr>
      <w:r>
        <w:t xml:space="preserve">Abierto trámite de réplica previsto entonces para esta clase de procedimiento por la Ley de enjuiciamiento civil (LEC) de 1881, la actora presentó escrito de 17 de enero de 1997 señalando que ante el conocimiento de que el cajón hipermercado había sido vendido a otra entidad (Alcampo, S.A.), cuantificó las distintas partidas de daños y perjuicios, entre ellas una por mil cien millones de pesetas (1.100.000.000 pesetas) en concepto de daño emergente, resultado de deducir del importe de la venta descubierta del hipermercado (tres mil </w:t>
      </w:r>
      <w:r>
        <w:lastRenderedPageBreak/>
        <w:t>ochocientos millones), el total de lo pactado en el contrato suscrito entre ambas (los dos mil setecientos millones).</w:t>
      </w:r>
    </w:p>
    <w:p w:rsidR="0026452D" w:rsidRDefault="0026452D" w:rsidP="0026452D">
      <w:pPr>
        <w:pStyle w:val="TextoNormal"/>
      </w:pPr>
    </w:p>
    <w:p w:rsidR="0026452D" w:rsidRDefault="0026452D" w:rsidP="0026452D">
      <w:pPr>
        <w:pStyle w:val="TextoNormal"/>
      </w:pPr>
      <w:r>
        <w:t>c) El Juzgado dictó Sentencia el 30 de junio de 1998 desestimando íntegramente la demanda, declarando probado (fundamento cuarto) que existieron dos contratos distintos: (i) el de préstamo suscrito por ochocientos millones mediante convenio privado el 21 de septiembre de 1995, sujeto a varias fechas de vencimiento hasta que el 16 de septiembre de 1996 cuando la actora ejecutó su derecho de reembolso; (ii) y el de venta del cajón hipermercado en los términos que refleja aquel documento núm. 7, habiendo aceptado la demandada la oferta de la actora en la que especificaba el objeto del mismo y el precio. Se declara asimismo probado que ni la vendedora entregó la finca ni la compradora abonó el precio, sin que pueda considerarse parte de este último los ochocientos millones ya citados, teniendo en cuenta lo confesado en juicio por el representante legal de Pryca, S.A., quien reconoce que no se había entregado ninguna cantidad a cuenta del precio de la compraventa, así como del examen de la contabilidad de dicha empresa en cuanto al asiento de la operación del préstamo. A partir de estos datos probatorios, colige el Juzgado que hubo incumplimiento por ambas partes de sus respectivas obligaciones, desestimando íntegramente la demanda e imponiendo las costas a la demandada, lo que se corrigió por Auto de rectificación de error material el 2 de julio de 1998, imponiéndolas a la actora.</w:t>
      </w:r>
    </w:p>
    <w:p w:rsidR="0026452D" w:rsidRDefault="0026452D" w:rsidP="0026452D">
      <w:pPr>
        <w:pStyle w:val="TextoNormal"/>
      </w:pPr>
    </w:p>
    <w:p w:rsidR="0026452D" w:rsidRDefault="0026452D" w:rsidP="0026452D">
      <w:pPr>
        <w:pStyle w:val="TextoNormal"/>
      </w:pPr>
      <w:r>
        <w:t>Por nuevo Auto de 8 de julio de 1998 y a instancia de esta última parte, se aclaró la Sentencia modificando el fallo para decir que se estimaba la demanda en la concreta petición declarativa de la existencia del contrato de compraventa, aunque “sin haber lugar al resto de los pedimentos interesados en el suplico del escrito expositivo inicial, y todo ello con expresa condena en costas a la significada parte actora”.</w:t>
      </w:r>
    </w:p>
    <w:p w:rsidR="0026452D" w:rsidRDefault="0026452D" w:rsidP="0026452D">
      <w:pPr>
        <w:pStyle w:val="TextoNormal"/>
      </w:pPr>
    </w:p>
    <w:p w:rsidR="0026452D" w:rsidRDefault="0026452D" w:rsidP="0026452D">
      <w:pPr>
        <w:pStyle w:val="TextoNormal"/>
      </w:pPr>
      <w:r>
        <w:t>d) Centros Comerciales Pryca, S.A., apeló la Sentencia. Del recurso conoció la Sección Quinta de la Audiencia Provincial de Málaga (rollo núm. 718-1998), que el 4 de noviembre de 2003 dictó Sentencia desestimatoria del mismo confirmando la resolución recurrida, si bien declaró la nulidad del Auto de 8 de julio de 1998 al entender que éste no aclaraba sino que rectificaba erróneamente la Sentencia, al considerar como petición autónoma lo que no pasaba de ser un mero presupuesto de la acción de condena ejercitada (fundamento de Derecho cuarto). En cuanto al fondo y en lo que importa destacar, la Sección juzgadora señala en su fundamento de Derecho quinto, que “tras el estudio de la prueba practicada, y en especial de la documental acompañada de los escritos de demanda y contestación … es correcta y acertada la relación de hechos probados que contiene la sentencia recurrida”, manteniendo también el enfoque jurídico de absolver de la demanda al constatar el incumplimiento de las respectivas obligaciones por ambas partes.</w:t>
      </w:r>
    </w:p>
    <w:p w:rsidR="0026452D" w:rsidRDefault="0026452D" w:rsidP="0026452D">
      <w:pPr>
        <w:pStyle w:val="TextoNormal"/>
      </w:pPr>
    </w:p>
    <w:p w:rsidR="0026452D" w:rsidRDefault="0026452D" w:rsidP="0026452D">
      <w:pPr>
        <w:pStyle w:val="TextoNormal"/>
      </w:pPr>
      <w:r>
        <w:t>e) Interpuestos recursos de casación y extraordinario por infracción procesal por la actora contra la resolución de apelación, la Sala de lo Civil del Tribunal Supremo dictó Sentencia el 30 de abril de 2010 (recurso núm. 118-2004) declarando haber lugar a los mismos, revocando las dictadas en instancia con estimación parcial de la demanda formulada y condenando a la entidad demandada por incumplimiento de contrato, debiendo indemnizar a la actora en la suma “del equivalente en euros de mil cien millones de pesetas”.</w:t>
      </w:r>
    </w:p>
    <w:p w:rsidR="0026452D" w:rsidRDefault="0026452D" w:rsidP="0026452D">
      <w:pPr>
        <w:pStyle w:val="TextoNormal"/>
      </w:pPr>
    </w:p>
    <w:p w:rsidR="0026452D" w:rsidRDefault="0026452D" w:rsidP="0026452D">
      <w:pPr>
        <w:pStyle w:val="TextoNormal"/>
      </w:pPr>
      <w:r>
        <w:t xml:space="preserve">En lo que interesa a este amparo, el fundamento quinto de la Sentencia entra a resolver y estima el recurso extraordinario por infracción procesal, en concreto por infracción de los </w:t>
      </w:r>
      <w:r>
        <w:lastRenderedPageBreak/>
        <w:t>arts. 1218 y 1225 del Código civil, en relación con los arts. 319 y 326 LEC, error en la valoración de la prueba documental, diciendo: “A la compradora se le reprocha no haber cumplido con su obligación previa y contractual de adelantar parte del precio, sin tener en cuenta el escrito que la mercantil demandada remitió a la actora el día 2 de Agosto de 1.995. Se trata de lo que ambas partes califican de ‘calendario de pagos’, al que sin duda se relaciona el adelanto, vía préstamo, de los 800.000.000 de pesetas que la compradora entregó a la vendedora un mes después de haber realizado la oferta y que la sentencia califica como un anticipo o señal del precio de la compraventa vinculado, por tanto, al contrato de compraventa del hipermercado, puesto que en la realidad, contrastada mediante dicho documento, venía a cubrir el importe total de las diversas etapas constructivas iniciadas y señaladas en el meritado calendario. Esta prueba contradice de forma evidente los argumentos que, faltos de absoluta lógica, violentan la normalidad contractual con relación al pago puesto que prestamista y prestatario se encontraban vinculados por un contrato de compraventa en el que el comprador asume el compromiso de pagar unas cantidades por la construcción del hipermercado al comenzar las obras (posteriormente renovado), lo cual pone en evidencia el pago que deriva del citado documento y que es perfectamente coherente con el requerimiento notarial dirigido por PRYCA a la vendedora el 9 de septiembre de 1996 para el cumplimiento de su obligación de entrega.”</w:t>
      </w:r>
    </w:p>
    <w:p w:rsidR="0026452D" w:rsidRDefault="0026452D" w:rsidP="0026452D">
      <w:pPr>
        <w:pStyle w:val="TextoNormal"/>
      </w:pPr>
    </w:p>
    <w:p w:rsidR="0026452D" w:rsidRDefault="0026452D" w:rsidP="0026452D">
      <w:pPr>
        <w:pStyle w:val="TextoNormal"/>
      </w:pPr>
      <w:r>
        <w:t>Tras este pronunciamiento la Sala entra a resolver el recurso de casación interpuesto en el fundamento sexto, razonando que “la compradora entregó la suma de ochocientos millones de pesetas instrumentada en forma del préstamo como anticipo del precio, cubriendo de esa forma el importe total de las diversas etapas constructivas señaladas en el calendario de pagos. Consecuencia de lo cual es que no debía más cantidad que la restante de 2.000.000 de pesetas que, conforme a dicho calendario, debía satisfacerse en el momento que se concediera a la entidad demandada la Licencia de Construcción y que se otorgara escritura de Declaración de Obra Nueva y División en Régimen de Propiedad Horizontal, ‘donde Centros Comerciales PRYCA quedaría propietaria de la finca destinada a Hipermercado’, previa deducción de cien millones entregados de más”. La Sala sostiene que existe incumplimiento de la vendedora pero no de la compradora, “habida cuenta que entregó 800.000.000 de pesetas al iniciarse la construcción del cajón hipermercado, anticipando con exceso el pago de las distintas partidas referidas en el calendario; exceso que también se tuvo en cuenta en el calendario. Y si no pagó la cantidad restante de 2.000 millones de pesetas fue porque no había surgido dicha obligación, pues … en ningún momento se produjo el otorgamiento de la escritura pública de compraventa a favor de la recurrente, pese a haber sido requerida notarialmente para ello, ni pudo este producirse al haberse transmitido el objeto vendido”.</w:t>
      </w:r>
    </w:p>
    <w:p w:rsidR="0026452D" w:rsidRDefault="0026452D" w:rsidP="0026452D">
      <w:pPr>
        <w:pStyle w:val="TextoNormal"/>
      </w:pPr>
    </w:p>
    <w:p w:rsidR="0026452D" w:rsidRDefault="0026452D" w:rsidP="0026452D">
      <w:pPr>
        <w:pStyle w:val="TextoNormal"/>
      </w:pPr>
      <w:r>
        <w:t>Accediendo a lo solicitado por la actora en la instancia, “en la forma que se concretó en el escrito de réplica”, la Sentencia entra a cuantificar el perjuicio derivado del incumplimiento de la vendedora, rechazando la condena por lucro cesante (esto es, la “pérdida del negocio que comportaba la adquisición del local”) pero acordándola por daño emergente, equivalente a “la plusvalía que le ha originado la venta a un tercero del Cajón Hipermercado, estimada en la diferencia del valor que tenía la cosa objeto de la compraventa —2.700 millones de pesetas—, y lo que pagó la nueva compradora —3.800 millones de pesetas—, es decir, 1.100 millones” (fundamento séptimo).</w:t>
      </w:r>
    </w:p>
    <w:p w:rsidR="0026452D" w:rsidRDefault="0026452D" w:rsidP="0026452D">
      <w:pPr>
        <w:pStyle w:val="TextoNormal"/>
      </w:pPr>
    </w:p>
    <w:p w:rsidR="0026452D" w:rsidRDefault="0026452D" w:rsidP="0026452D">
      <w:pPr>
        <w:pStyle w:val="TextoNormal"/>
      </w:pPr>
      <w:r>
        <w:lastRenderedPageBreak/>
        <w:t>f) La aquí recurrente promovió incidente de nulidad de actuaciones por vulneración del derecho a la tutela judicial efectiva (art. 24.1 CE) en sus vertientes de motivación y derecho a una resolución jurídicamente fundada.</w:t>
      </w:r>
    </w:p>
    <w:p w:rsidR="0026452D" w:rsidRDefault="0026452D" w:rsidP="0026452D">
      <w:pPr>
        <w:pStyle w:val="TextoNormal"/>
      </w:pPr>
    </w:p>
    <w:p w:rsidR="0026452D" w:rsidRDefault="0026452D" w:rsidP="0026452D">
      <w:pPr>
        <w:pStyle w:val="TextoNormal"/>
      </w:pPr>
      <w:r>
        <w:t>En su respuesta, la Sala dictó providencia de inadmisión a trámite el 13 de julio de 2010, señalando lo que sigue: “[N]o ha lugar a admitir a trámite el incidente instado, puesto que según se evidencia por la argumentación de la petición de nulidad efectuada en la que se denuncia la vulneración del derecho a la tutela judicial efectiva en su vertiente de derecho a una resolución motivada, dicha solicitud no tiene más fundamento que mostrar la disconformidad de la parte con la fundamentación de la Sentencia que, como consecuencia de una nueva apreciación fáctica derivada de la revisión de la valoración probatoria, declara la existencia de un contrato de compraventa y su resolución por incumplimiento de la parte vendedora con la consiguiente indemnización del daño derivado de la frustración del incremento patrimonial que hubiera experimentado la entidad compradora, planteamiento que queda debidamente exteriorizado y justificado en derecho sin que, más allá de su no aceptación, suponga una motivación arbitraria. De este forma, la denuncia que se realiza a través del incidente tiene una mera finalidad instrumental.”</w:t>
      </w:r>
    </w:p>
    <w:p w:rsidR="0026452D" w:rsidRDefault="0026452D" w:rsidP="0026452D">
      <w:pPr>
        <w:pStyle w:val="TextoNormal"/>
      </w:pPr>
    </w:p>
    <w:p w:rsidR="0026452D" w:rsidRDefault="0026452D" w:rsidP="0026452D">
      <w:pPr>
        <w:pStyle w:val="TextoNormal"/>
      </w:pPr>
      <w:r w:rsidRPr="0026452D">
        <w:rPr>
          <w:rStyle w:val="NumeroAFNegritaCaracter"/>
        </w:rPr>
        <w:t>3</w:t>
      </w:r>
      <w:r>
        <w:t>. La demanda de amparo alega que la Sentencia dictada en casación produce la vulneración del derecho a la tutela judicial efectiva (art. 24.1 CE) en sus vertientes de derecho a la motivación de las resoluciones judiciales y a obtener una decisión fundada en Derecho, señalando que contiene una “motivación arbitraria e irrazonable, que hace abstracción de las pruebas obrantes en autos y del derecho que le es aplicable, alcanzando una conclusión de todo punto estrambótica e incomprensible”. Considera que la Sala ha contradicho su doctrina general acerca de la improcedencia de revisar en casación los hechos probados y la interpretación de los contratos realizada por los tribunales de instancia, con el resultado de una valoración absurda de la prueba, en cuanto a considerar que los ochocientos millones de pesetas sirvieron como anticipo para cubrir las diversas etapas constructivas señaladas en el calendario de pagos, sin “ningún elemento o material probatorio en el que basa su opinión”, pues las cantidades entregadas en concepto de préstamo no pueden ser imputadas a un pago salvo que las partes novasen el negocio, lo que no ocurrió, hasta el punto, añade, que el préstamo fue devuelto.</w:t>
      </w:r>
    </w:p>
    <w:p w:rsidR="0026452D" w:rsidRDefault="0026452D" w:rsidP="0026452D">
      <w:pPr>
        <w:pStyle w:val="TextoNormal"/>
      </w:pPr>
    </w:p>
    <w:p w:rsidR="0026452D" w:rsidRDefault="0026452D" w:rsidP="0026452D">
      <w:pPr>
        <w:pStyle w:val="TextoNormal"/>
      </w:pPr>
      <w:r>
        <w:t xml:space="preserve">Como segundo motivo del recurso, considera la demanda de amparo que la Sentencia de casación incurre en lesión del art. 24.1 CE, en las dos vertientes indicadas (motivación y resolución fundada), por fijar la cantidad de mil cien millones de pesetas en concepto de indemnización por daño emergente mediante un razonamiento erróneo y arbitrario, que no pasa de ser una mera elucubración y que ni siquiera es realista por no tener en cuenta las cargas fiscales y otros gastos que hubiera generado la propia operación de compraventa; aparte de que en el suplico de la demanda de primera instancia la actora no solicitó que se cuantificaran los daños en sentencia sino en trámite de su ejecución, lo que produce también lesión del derecho a la tutela judicial efectiva, Tercer motivo del recurso, por incongruencia </w:t>
      </w:r>
      <w:r w:rsidRPr="0026452D">
        <w:rPr>
          <w:i/>
        </w:rPr>
        <w:t>extra petitum</w:t>
      </w:r>
      <w:r>
        <w:t>.</w:t>
      </w:r>
    </w:p>
    <w:p w:rsidR="0026452D" w:rsidRDefault="0026452D" w:rsidP="0026452D">
      <w:pPr>
        <w:pStyle w:val="TextoNormal"/>
      </w:pPr>
    </w:p>
    <w:p w:rsidR="0026452D" w:rsidRDefault="0026452D" w:rsidP="0026452D">
      <w:pPr>
        <w:pStyle w:val="TextoNormal"/>
      </w:pPr>
      <w:r>
        <w:t>Por último se queja la demanda de amparo, en un motivo que califica de “subsidiario” de los tres anteriores, de la “escasa o nula relevancia” que ha tenido para la Sala de lo Civil del Tribunal Supremo la interposición del incidente de nulidad de actuaciones promovido con</w:t>
      </w:r>
      <w:r>
        <w:lastRenderedPageBreak/>
        <w:t>tra su Sentencia, a pesar de la reforma que dicho mecanismo de tutela de derechos fundamentales ha experimentado con la Ley Orgánica 6/2007, de 24 de mayo, potenciando su utilidad. En su virtud solicita la nulidad de las dos resoluciones impugnadas y, en su defecto, sólo la de la providencia de inadmisión del incidente para que se retrotraigan actuaciones al momento anterior a ser ésta dictada.</w:t>
      </w:r>
    </w:p>
    <w:p w:rsidR="0026452D" w:rsidRDefault="0026452D" w:rsidP="0026452D">
      <w:pPr>
        <w:pStyle w:val="TextoNormal"/>
      </w:pPr>
    </w:p>
    <w:p w:rsidR="0026452D" w:rsidRDefault="0026452D" w:rsidP="0026452D">
      <w:pPr>
        <w:pStyle w:val="TextoNormal"/>
      </w:pPr>
      <w:r>
        <w:t>La demanda justifica la especial trascendencia constitucional del recurso del art. 50.1 b) de la Ley Orgánica del Tribunal Constitucional, con invocación de la STC 155/2009, de 25 de junio, en tres aspectos: primero, la existencia de una resolución que, como la Sentencia impugnada, evidencia a su parecer un decisionismo arbitrario en su contenido que vulnera los derechos fundamentales ya invocados; segundo, las consecuencias que tiene la resolución desde la perspectiva de la condena al pago de una suma de mil cien millones de pesetas, suficiente para producir la quiebra de cualquier empresa por potente y saneada que se encuentre; y tercero, en cuanto a la providencia de inadmisión del incidente de nulidad de actuaciones promovido contra aquella Sentencia, la misma responde a la práctica habitual de los órganos judiciales de restar toda importancia a su función de primeros tuteladores de los derechos y garantías fundamentales a través del referido incidente de nulidad, sin entrar en el fondo de los escritos y limitándose a entender que la formulación del incidente es meramente instrumental del posterior recurso de amparo, lo que no responde a una lectura constitucional de la reforma de la Ley Orgánica del Tribunal Constitucional del año 2007 en esta materia.</w:t>
      </w:r>
    </w:p>
    <w:p w:rsidR="0026452D" w:rsidRDefault="0026452D" w:rsidP="0026452D">
      <w:pPr>
        <w:pStyle w:val="TextoNormal"/>
      </w:pPr>
    </w:p>
    <w:p w:rsidR="0026452D" w:rsidRDefault="0026452D" w:rsidP="0026452D">
      <w:pPr>
        <w:pStyle w:val="TextoNormal"/>
      </w:pPr>
      <w:r w:rsidRPr="0026452D">
        <w:rPr>
          <w:rStyle w:val="NumeroAFNegritaCaracter"/>
        </w:rPr>
        <w:t>4</w:t>
      </w:r>
      <w:r>
        <w:t>. Por diligencia de ordenación de la Secretaría de Justicia de la Sección Cuarta de este Tribunal, de 23 de marzo de 2011, se acordó dirigir comunicación al Juzgado de Primera Instancia núm. 4 de Marbella para que remitiera certificación o fotocopia adverada de las actuaciones correspondientes, insistiéndose mediante recordatorio de 9 de junio de 2011, finalmente cumplimentado por dicho órgano judicial a través de oficio de 20 de julio de 2011.</w:t>
      </w:r>
    </w:p>
    <w:p w:rsidR="0026452D" w:rsidRDefault="0026452D" w:rsidP="0026452D">
      <w:pPr>
        <w:pStyle w:val="TextoNormal"/>
      </w:pPr>
    </w:p>
    <w:p w:rsidR="0026452D" w:rsidRDefault="0026452D" w:rsidP="0026452D">
      <w:pPr>
        <w:pStyle w:val="TextoNormal"/>
      </w:pPr>
      <w:r w:rsidRPr="0026452D">
        <w:rPr>
          <w:rStyle w:val="NumeroAFNegritaCaracter"/>
        </w:rPr>
        <w:t>5</w:t>
      </w:r>
      <w:r>
        <w:t>. El 16 de febrero de 2012 la Sala Segunda de este Tribunal dictó providencia admitiendo a trámite la demanda de amparo, acordando dirigir comunicación a la Sala Primera del Tribunal Supremo y a la Sección Quinta de la Audiencia Provincial de Málaga para que en plazo no superior a diez días remitieran certificación o fotocopia adverada de las actuaciones relativas, respectivamente, al recurso de casación núm. 118-2004 y al recurso de apelación 718-1998; mientras que se acordó dirigir también comunicación al Juzgado de Primera Instancia núm. 4 de Marbella para que procediera a emplazar a quienes hubieren sido parte en el procedimiento, excepto la entidad recurrente, a fin de su comparecencia ante este Tribunal si lo desean en plazo no superior a diez días.</w:t>
      </w:r>
    </w:p>
    <w:p w:rsidR="0026452D" w:rsidRDefault="0026452D" w:rsidP="0026452D">
      <w:pPr>
        <w:pStyle w:val="TextoNormal"/>
      </w:pPr>
    </w:p>
    <w:p w:rsidR="0026452D" w:rsidRDefault="0026452D" w:rsidP="0026452D">
      <w:pPr>
        <w:pStyle w:val="TextoNormal"/>
      </w:pPr>
      <w:r>
        <w:t>Como respuesta a este emplazamiento, la Procuradora de los Tribunales doña Lourdes Fernández-Luna Tamayo, actuando como representante de la empresa Centros Comerciales Carrefour, S.A. (titular de los derechos de Centros Comerciales Pryca, S.A.), presentó escrito el 30 de marzo de 2012 solicitando se le tuviera por parte personada en el recurso, dictándose diligencia de ordenación por la Sala Segunda de este Tribunal el 9 de mayo de 2012, aceptando dicha personación aunque condicionada a que por su representante procesal se aportase en el plazo de diez días la escritura de poder original, lo que se satisfizo mediante escrito de 17 de mayo de 2012.</w:t>
      </w:r>
    </w:p>
    <w:p w:rsidR="0026452D" w:rsidRDefault="0026452D" w:rsidP="0026452D">
      <w:pPr>
        <w:pStyle w:val="TextoNormal"/>
      </w:pPr>
    </w:p>
    <w:p w:rsidR="0026452D" w:rsidRDefault="0026452D" w:rsidP="0026452D">
      <w:pPr>
        <w:pStyle w:val="TextoNormal"/>
      </w:pPr>
      <w:r>
        <w:lastRenderedPageBreak/>
        <w:t>En la misma resolución se acordó dar vista de las actuaciones a las partes y al Ministerio Fiscal por plazo común de veinte días, en orden a la presentación de alegaciones del art. 52.1 de la Ley Orgánica de este Tribunal.</w:t>
      </w:r>
    </w:p>
    <w:p w:rsidR="0026452D" w:rsidRDefault="0026452D" w:rsidP="0026452D">
      <w:pPr>
        <w:pStyle w:val="TextoNormal"/>
      </w:pPr>
    </w:p>
    <w:p w:rsidR="0026452D" w:rsidRDefault="0026452D" w:rsidP="0026452D">
      <w:pPr>
        <w:pStyle w:val="TextoNormal"/>
      </w:pPr>
      <w:r w:rsidRPr="0026452D">
        <w:rPr>
          <w:rStyle w:val="NumeroAFNegritaCaracter"/>
        </w:rPr>
        <w:t>6</w:t>
      </w:r>
      <w:r>
        <w:t>. Por escrito de 25 de mayo de 2012, la representación procesal de la entidad recurrente presentó sus alegaciones ratificándose en todo lo expuesto en la demanda de amparo.</w:t>
      </w:r>
    </w:p>
    <w:p w:rsidR="0026452D" w:rsidRDefault="0026452D" w:rsidP="0026452D">
      <w:pPr>
        <w:pStyle w:val="TextoNormal"/>
      </w:pPr>
    </w:p>
    <w:p w:rsidR="0026452D" w:rsidRDefault="0026452D" w:rsidP="0026452D">
      <w:pPr>
        <w:pStyle w:val="TextoNormal"/>
      </w:pPr>
      <w:r>
        <w:t>Por su parte lo hizo la entidad Centros Comerciales Carrefour, S.A., mediante escrito de 13 de junio de 2012, interesando se dictara Sentencia de inadmisión y subsidiariamente de desestimación del recurso. En primer término, adujo como óbices: a) la extemporaneidad de la demanda, por resultar improcedente el incidente de nulidad de actuaciones con el que sólo se pretendía un nuevo enjuiciamiento del caso controvertido; y b) la falta de justificación del requisito de la especial trascendencia constitucional del recurso, porque ésta se basa en la gravedad de la lesión y porque además se le denegó la suspensión cautelar de la resolución recurrida, por no ser irreparable el perjuicio económico que alega. Ya en cuanto al fondo, la parte defiende lo que han sido sus pretensiones en la vía judicial previa y la corrección de la Sentencia impugnada en amparo, negando que haya vulneración de la tutela judicial efectiva.</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El Ministerio Fiscal presentó su escrito de alegaciones el 15 de junio de 2012, interesando la desestimación del recurso de amparo. Sin referirse a los óbices, cree la Fiscalía que la Sentencia recurrida, mediante un razonamiento certero y suficientemente explicado, llegó a la conclusión de que la única de las partes que ha incumplido es la vendedora al no otorgar las correspondientes escrituras públicas, mientras que la compradora “habiendo entregado la suma articulada formalmente como préstamo” de los ochocientos millones, no tenía obligación de pagar el resto del precio (2.000 millones) hasta el acto de otorgamiento de las escrituras, el cual no se produjo por causa imputable a la vendedora. Tampoco aprecia lesión del art. 24.1 CE en cuanto al pronunciamiento de cuantificación de los daños, ni por falta de motivación ni por incongruencia </w:t>
      </w:r>
      <w:r w:rsidRPr="0026452D">
        <w:rPr>
          <w:i/>
        </w:rPr>
        <w:t>extra petita</w:t>
      </w:r>
      <w:r>
        <w:t>, dado que la actora solicitó la cuantificación en el trámite de réplica con base en el entonces vigente art. 548 LEC 1881. Rechaza finalmente también el motivo subsidiario de defectuosa motivación de la providencia de inadmisión de la nulidad de actuaciones, que considera correcta.</w:t>
      </w:r>
    </w:p>
    <w:p w:rsidR="0026452D" w:rsidRDefault="0026452D" w:rsidP="0026452D">
      <w:pPr>
        <w:pStyle w:val="TextoNormal"/>
      </w:pPr>
    </w:p>
    <w:p w:rsidR="0026452D" w:rsidRDefault="0026452D" w:rsidP="0026452D">
      <w:pPr>
        <w:pStyle w:val="TextoNormal"/>
      </w:pPr>
      <w:r w:rsidRPr="0026452D">
        <w:rPr>
          <w:rStyle w:val="NumeroAFNegritaCaracter"/>
        </w:rPr>
        <w:t>8</w:t>
      </w:r>
      <w:r>
        <w:t>. Por medio de otrosí, el escrito de demanda de amparo interesó la suspensión de la ejecución de la Sentencia recurrida en cuanto a la condena al pago de los mil cien millones de pesetas (6.611.133,15 euros), más intereses y costas. Abierta la pieza cautelar de suspensión según providencia de esta Sala Segunda de 16 de febrero de 2012, el Ministerio Fiscal presentó alegaciones por escrito de 29 de febrero de 2012, oponiéndose a lo solicitado al no haberse aportado prueba documental o de otro género respecto de la pérdida de finalidad del recurso si aquel importe se hace efectivo. Por su parte, la representante procesal de la recurrente dedujo escrito el 2 de marzo de 2012, ratificándose en lo pedido. La Sala finalmente dictó el ATC 55/2012, de 26 de marzo, denegando la suspensión por tratarse de una cuestión estrictamente económica, sin aportarse prueba que justifique la excepcionalidad de la medida.</w:t>
      </w:r>
    </w:p>
    <w:p w:rsidR="0026452D" w:rsidRDefault="0026452D" w:rsidP="0026452D">
      <w:pPr>
        <w:pStyle w:val="TextoNormal"/>
      </w:pPr>
    </w:p>
    <w:p w:rsidR="0026452D" w:rsidRDefault="0026452D" w:rsidP="0026452D">
      <w:pPr>
        <w:pStyle w:val="TextoNormal"/>
      </w:pPr>
      <w:r w:rsidRPr="0026452D">
        <w:rPr>
          <w:rStyle w:val="NumeroAFNegritaCaracter"/>
        </w:rPr>
        <w:t>9</w:t>
      </w:r>
      <w:r>
        <w:t>. Mediante providencia de fecha 7 de marzo de 2013, se señaló para deliberación y fallo de la Sentencia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Se interpone el presente recurso de amparo contra la Sentencia de la Sala de lo Civil del Tribunal Supremo que, declarando haber lugar al recurso extraordinario por infracción procesal y el subsiguiente de casación interpuestos por la parte actora del proceso, acordó estimar en parte la demanda interpuesta, al considerar erróneas las bases fácticas sobre las cuales tanto el Juzgado como la Audiencia Provincial habían apreciado un incumplimiento recíproco de las obligaciones pactadas por ambas mercantiles (absolviendo ambos a la demandada y dejando a las dos partes en la misma situación anterior al pleito), afirmando en su lugar que la valoración de la prueba documental permite colegir que la compradora sí había cumplido con la obligación de pagar el precio, pues abonó ochocientos millones de pesetas y sólo le restaban dos mil millones que debía entregar en el acto de otorgamiento de escrituras, el cual no se realizó por causa imputable a la vendedora. La Sala condena así a esta última al pago en euros del equivalente a mil cien millones (1.100.000.000) de pesetas por daño emergente.</w:t>
      </w:r>
    </w:p>
    <w:p w:rsidR="0026452D" w:rsidRDefault="0026452D" w:rsidP="0026452D">
      <w:pPr>
        <w:pStyle w:val="TextoNormal"/>
      </w:pPr>
    </w:p>
    <w:p w:rsidR="0026452D" w:rsidRDefault="0026452D" w:rsidP="0026452D">
      <w:pPr>
        <w:pStyle w:val="TextoNormal"/>
      </w:pPr>
      <w:r>
        <w:t xml:space="preserve">La entidad promotora del presente amparo afirma que el nuevo </w:t>
      </w:r>
      <w:r w:rsidRPr="0026452D">
        <w:rPr>
          <w:i/>
        </w:rPr>
        <w:t>factum</w:t>
      </w:r>
      <w:r>
        <w:t xml:space="preserve"> fijado por la Sentencia impugnada en amparo, además de suponer ruptura del criterio tradicional de la Sala Primera del Alto Tribunal de respetar la labor cumplida por los Tribunales inferiores en la valoración de la prueba, adolece de irrazonabilidad y por ende lesiona su derecho fundamental a la tutela judicial efectiva (art. 24.1 CE) en sus vertientes de motivación y derecho a una resolución fundada, al no sustentarse en prueba alguna la imputación de los ochocientos millones como parte del pago del precio de la compraventa, dato que resulta decisivo para articular la solución jurídica del caso, con el perjuicio económico indicado. Se cuestiona también bajo el prisma del art. 24.1 CE la motivación y carácter fundado del pronunciamiento de cuantificación de daños, que se reputa igualmente incongruente </w:t>
      </w:r>
      <w:r w:rsidRPr="0026452D">
        <w:rPr>
          <w:i/>
        </w:rPr>
        <w:t>extra petita</w:t>
      </w:r>
      <w:r>
        <w:t>, y se niega la motivación (art. 24.1 CE) de la providencia de inadmisión del incidente de nulidad so pretexto de su carácter instrumental respecto del posterior recurso de amparo.</w:t>
      </w:r>
    </w:p>
    <w:p w:rsidR="0026452D" w:rsidRDefault="0026452D" w:rsidP="0026452D">
      <w:pPr>
        <w:pStyle w:val="TextoNormal"/>
      </w:pPr>
    </w:p>
    <w:p w:rsidR="0026452D" w:rsidRDefault="0026452D" w:rsidP="0026452D">
      <w:pPr>
        <w:pStyle w:val="TextoNormal"/>
      </w:pPr>
      <w:r>
        <w:t>Analizaremos los motivos de la demanda de amparo en el orden que propone la entidad recurrente, sin que constituyan impedimento para ello los dos óbices procesales opuestos en su escrito de alegaciones por la representación de Centros Comerciales Carrefour, S.A., al no alcanzar éstos la suficiente consistencia, teniendo en cuenta:</w:t>
      </w:r>
    </w:p>
    <w:p w:rsidR="0026452D" w:rsidRDefault="0026452D" w:rsidP="0026452D">
      <w:pPr>
        <w:pStyle w:val="TextoNormal"/>
      </w:pPr>
    </w:p>
    <w:p w:rsidR="0026452D" w:rsidRDefault="0026452D" w:rsidP="0026452D">
      <w:pPr>
        <w:pStyle w:val="TextoNormal"/>
      </w:pPr>
      <w:r>
        <w:t xml:space="preserve">a) En cuanto al alegado defecto de agotamiento de la vía judicial previa al amparo del art. 44.1 a) de la Ley Orgánica del Tribunal Constitucional (LOTC) en virtud de la interposición de un incidente de nulidad de actuaciones contra la Sentencia del Tribunal Supremo: sí que se cumplían los presupuestos exigidos por la norma reguladora (art. 241.1 de la Ley Orgánica del Poder Judicial: LOPJ) para su procedencia, pues la resolución cuestionada era justamente la última recaída en el proceso, con lo que la parte no había podido denunciar antes la lesión; ésta viene referida a un derecho fundamental protegible en amparo </w:t>
      </w:r>
      <w:r w:rsidRPr="0026452D">
        <w:rPr>
          <w:i/>
        </w:rPr>
        <w:t>ex</w:t>
      </w:r>
      <w:r>
        <w:t xml:space="preserve"> art. 53.2 CE y el escrito donde se plantea la queja, en fin, cumple con la carga de identificar la faceta del derecho vulnerado así como los hechos determinantes de la lesión. En tales condiciones, la promoción del incidente resultaba no sólo procedente sino preceptiva, para garantizar la subsidiariedad del recurso constitucional de amparo.</w:t>
      </w:r>
    </w:p>
    <w:p w:rsidR="0026452D" w:rsidRDefault="0026452D" w:rsidP="0026452D">
      <w:pPr>
        <w:pStyle w:val="TextoNormal"/>
      </w:pPr>
    </w:p>
    <w:p w:rsidR="0026452D" w:rsidRDefault="0026452D" w:rsidP="0026452D">
      <w:pPr>
        <w:pStyle w:val="TextoNormal"/>
      </w:pPr>
      <w:r>
        <w:lastRenderedPageBreak/>
        <w:t>b) Y respecto de la justificación del requisito de la especial trascendencia constitucional del recurso [arts. 49.1 y 50.1 b) LOTC], es cierto que la demanda inicia este apartado con consideraciones relativas a los motivos de fondo, lo que devendría insuficiente conforme a doctrina reiterada de este Tribunal que individualiza esta carga de argumentación como algo distinto a razonar sobre la existencia de la vulneración del derecho fundamental (últimamente, STC 107/2012, de 21 de mayo, FJ 2 y las anteriores que ahí se citan). Tampoco basta con referirse a las implicaciones económicas de la decisión adoptada por la resolución recurrida, no al menos si ello se plantea desde la óptica de la gravedad de la lesión, criterio en sí mismo descartado como de especial trascendencia (ATC 29/2011, de 17 de marzo, FJ 3). Eventualmente podría subsumirse en el supuesto del apartado “g” del listado de nuestra STC 155/2009, de 25 de junio, FJ 2, cuando las circunstancias del caso evidencien un grado de relevancia y generalidad de esa repercusión económica.</w:t>
      </w:r>
    </w:p>
    <w:p w:rsidR="0026452D" w:rsidRDefault="0026452D" w:rsidP="0026452D">
      <w:pPr>
        <w:pStyle w:val="TextoNormal"/>
      </w:pPr>
    </w:p>
    <w:p w:rsidR="0026452D" w:rsidRDefault="0026452D" w:rsidP="0026452D">
      <w:pPr>
        <w:pStyle w:val="TextoNormal"/>
      </w:pPr>
      <w:r>
        <w:t>La recurrente justificó también la especial trascendencia constitucional en la censura que debía merecer la respuesta de inadmisión al incidente de nulidad de actuaciones del Tribunal Supremo, en cuanto expresiva, dice, de una práctica judicial reiterada que minimiza o desprecia el papel atribuido por el Ordenamiento a los Tribunales ordinarios en la protección de los derechos fundamentales, especialmente tras el reforzamiento de dicho incidente por mor de la disposición final primera de la Ley Orgánica 6/2007, de 24 de mayo. Y así planteado, compete sin duda a este Tribunal fijar doctrina que ataje comportamientos que enerven la eficacia de este mecanismo de tutela judicial, en cuanto en ello va comprometido también el carácter subsidiario del amparo. Con este fin se han dictado las SSTC 43/2010, de 26 de julio, FFJJ 4 y 5 (donde el órgano judicial remitía al interesado a promover un proceso declarativo); 107/2011, de 20 de junio, FJ 5 (inadmisión de plano del incidente para que la tutela se dispensara en amparo) y 153/2012, de 16 de julio, FFJJ 3 a 5 (recurso de amparo promovido únicamente contra la resolución de inadmisión del incidente), declarando en todas ellas la vulneración del art. 24.1 CE. La segunda de las citadas (STC 107/2011) resuelve una queja similar a la aquí planteada, pero precisamente dicha Sentencia todavía no se había dictado ni menos todavía publicado en el “Boletín Oficial del Estado” a la fecha en que se interpuso la presente demanda de amparo, lo que por tanto dotaba de especial trascendencia constitucional a este recurso, a falta en ese momento de una doctrina específica [supuesto a) del listado de la STC 155/2009, de 25 de junio, FJ 2]. Por tanto, no concurre tampoco este óbice.</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Los tres motivos del recurso, como ya se ha sintetizado, plantean la lesión de los derechos a obtener una resolución judicial motivada y jurídicamente fundada, lo que exige atender a la doctrina asentada por este Tribunal en torno al contenido esencial de esta doble vertiente del derecho fundamental a la tutela judicial efectiva (art. 24.1 CE), de la que se hace resumen en la reciente STC 182/2011, de 21 de noviembre, FJ 3, en los siguientes términos: </w:t>
      </w:r>
    </w:p>
    <w:p w:rsidR="0026452D" w:rsidRDefault="0026452D" w:rsidP="0026452D">
      <w:pPr>
        <w:pStyle w:val="TextoNormal"/>
      </w:pPr>
    </w:p>
    <w:p w:rsidR="0026452D" w:rsidRDefault="0026452D" w:rsidP="0026452D">
      <w:pPr>
        <w:pStyle w:val="TextoNormal"/>
      </w:pPr>
      <w:r>
        <w:t xml:space="preserve">“Este Tribunal, en una muy reiterada y ya consolidada doctrina, recogida en sus inicios en las SSTC 61/1983, de 11 de julio, FJ 3, y 13/1987, de 5 de febrero, FJ 3, y confirmada últimamente en el FJ 4 de la STC 248/2006, de 24 de julio, ha venido declarando que el derecho a la tutela judicial efectiva incluye el derecho a obtener de los órganos judiciales una respuesta razonada, motivada, fundada en Derecho y congruente con las pretensiones oportunamente deducidas por las partes, por cuanto la motivación de las resoluciones judiciales, aparte de venir impuesta en el art. 120.3 CE, es una exigencia derivada del art. 24.1 </w:t>
      </w:r>
      <w:r>
        <w:lastRenderedPageBreak/>
        <w:t>CE que permite conocer las razones de la decisión que aquéllas contienen y que posibilita su control mediante el sistema de los recursos (entre otras muchas, SSTC 163/2000, de 12 de junio, FJ 3; 187/2000, de 10 de julio, FJ 2; y 214/2000, de 18 de septiembre, FJ 4). La motivación debe contener una fundamentación en Derecho (STC 147/1999, de 4 de agosto, FJ 3).</w:t>
      </w:r>
    </w:p>
    <w:p w:rsidR="0026452D" w:rsidRDefault="0026452D" w:rsidP="0026452D">
      <w:pPr>
        <w:pStyle w:val="TextoNormal"/>
      </w:pPr>
    </w:p>
    <w:p w:rsidR="0026452D" w:rsidRDefault="0026452D" w:rsidP="0026452D">
      <w:pPr>
        <w:pStyle w:val="TextoNormal"/>
      </w:pPr>
      <w:r>
        <w:t>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6; 82/2001, de 26 de marzo, FJ 2; 221/2001, de 31 de octubre, FJ 6; 55/2003, de 24 de marzo, FJ 6; 213/2003, de 1 de diciembre, FJ 4). El art. 24 CE impone entonces, a los órganos judiciales, la obligación de dictar una resolución fundada en Derecho que no puede considerarse cumplida con la mera emisión de una declaración de voluntad en un sentido u otro, sino que debe ser consecuencia de una exégesis racional del ordenamiento, y no fruto de la arbitrariedad (SSTC 61/1983, de 11 de julio; 5/1986, de 21 de enero; 78/1986, de 13 de junio; 116/1986, de 8 de octubre, y 75/1988, de 25 de abril, FJ 3). No basta, pues, con obtener una respuesta motivada, sino que, además, ésta ha tener contenido jurídico y no resultar arbitraria (por todas, SSTC 22/1994, de 27 de enero, FJ 2; 324/1994, de 1 de diciembre, FJ 2; 24/1999, 8 de marzo, FJ 3, y 10/2000, de 17 de enero, FJ 2)…”</w:t>
      </w:r>
    </w:p>
    <w:p w:rsidR="0026452D" w:rsidRDefault="0026452D" w:rsidP="0026452D">
      <w:pPr>
        <w:pStyle w:val="TextoNormal"/>
      </w:pPr>
    </w:p>
    <w:p w:rsidR="0026452D" w:rsidRDefault="0026452D" w:rsidP="0026452D">
      <w:pPr>
        <w:pStyle w:val="TextoNormal"/>
      </w:pPr>
      <w:r w:rsidRPr="0026452D">
        <w:rPr>
          <w:rStyle w:val="NumeroAFNegritaCaracter"/>
        </w:rPr>
        <w:t>3</w:t>
      </w:r>
      <w:r>
        <w:t>. La doctrina de referencia ha de conducir a la desestimación del primer motivo de la demanda de amparo.</w:t>
      </w:r>
    </w:p>
    <w:p w:rsidR="0026452D" w:rsidRDefault="0026452D" w:rsidP="0026452D">
      <w:pPr>
        <w:pStyle w:val="TextoNormal"/>
      </w:pPr>
    </w:p>
    <w:p w:rsidR="0026452D" w:rsidRDefault="0026452D" w:rsidP="0026452D">
      <w:pPr>
        <w:pStyle w:val="TextoNormal"/>
      </w:pPr>
      <w:r>
        <w:t xml:space="preserve">De entrada, ha de precisarse que la posibilidad de efectuar una distinta valoración de la prueba no le está vedada a la Sala de lo Civil del Tribunal Supremo, control que ya era posible bien que de manera restringida, según su propia jurisprudencia, en el recurso de casación anterior a la entrada en vigor de la actual Ley de enjuiciamiento civil (LEC) por la vía del error de Derecho en la valoración de la prueba (art. 1692.4 LEC de 1881) y que en lo que aquí importa considerar, sigue siendo posible hoy a través del recurso extraordinario por infracción procesal, </w:t>
      </w:r>
      <w:r w:rsidRPr="0026452D">
        <w:rPr>
          <w:i/>
        </w:rPr>
        <w:t>ex</w:t>
      </w:r>
      <w:r>
        <w:t xml:space="preserve"> art. 469.1.4 LEC de 2000, también de manera limitada a los casos de apreciación arbitraria o ilógica de la prueba, infracción de regla de valoración fijada legal o jurisprudencialmente o cuando dicha valoración no supere el test de “racionabilidad” exigible para respetar el derecho fundamental a la tutela judicial efectiva (tal como recogen, entre otras, las SSTS 831/2004, de 14 de julio; 977/2008, de 17 de octubre; 400/2012, de 12 de junio; 532/2012, de 30 de julio; 595/2012 y 616/2012, ambas de 23 de octubre; y las que en ellas se citan).</w:t>
      </w:r>
    </w:p>
    <w:p w:rsidR="0026452D" w:rsidRDefault="0026452D" w:rsidP="0026452D">
      <w:pPr>
        <w:pStyle w:val="TextoNormal"/>
      </w:pPr>
    </w:p>
    <w:p w:rsidR="0026452D" w:rsidRDefault="0026452D" w:rsidP="0026452D">
      <w:pPr>
        <w:pStyle w:val="TextoNormal"/>
      </w:pPr>
      <w:r>
        <w:t xml:space="preserve">Siendo irreprochable el ejercicio de la facultad revisora de los hechos y del Derecho que cumple en el caso la Sala Primera del Tribunal Supremo, ésta, tras una valoración de todos los elementos de prueba obrantes en autos y con aplicación de las normas sustantivas pertinentes, sostiene que la parte compradora había cumplido con las obligaciones que le eran exigibles, mediante el abono de ochocientos millones cuya finalidad última, en interpretación conjunta de todos los pactos suscritos entre las dos entidades, era servir como parte del </w:t>
      </w:r>
      <w:r>
        <w:lastRenderedPageBreak/>
        <w:t>precio de la compraventa; ello con independencia de que luego ejecutara el aval bancario y los recuperara lo que sólo hizo después de comprobar que la aquí recurrente no iba a cumplir con la entrega del bien inmueble, de modo que los otros dos mil millones de pesetas tampoco le eran exigibles a la compradora al no tener lugar el otorgamiento de escrituras, en cuyo acto debían pagarse. Nada hay en este análisis jurídico, del que deriva en definitiva la conclusión por la Sala Primera del Tribunal Supremo de que la vendedora es la única parte que incumplió sus obligaciones y que por ello tiene la obligación de indemnizar a aquélla en concepto de daños y perjuicios, que pueda considerarse arbitrario ni irrazonable. Desde la función de control externo que nos corresponde desempeñar, no cabe reconocer aquí la lesión del art. 24.1 CE que se invoca.</w:t>
      </w:r>
    </w:p>
    <w:p w:rsidR="0026452D" w:rsidRDefault="0026452D" w:rsidP="0026452D">
      <w:pPr>
        <w:pStyle w:val="TextoNormal"/>
      </w:pPr>
    </w:p>
    <w:p w:rsidR="0026452D" w:rsidRDefault="0026452D" w:rsidP="0026452D">
      <w:pPr>
        <w:pStyle w:val="TextoNormal"/>
      </w:pPr>
      <w:r w:rsidRPr="0026452D">
        <w:rPr>
          <w:rStyle w:val="NumeroAFNegritaCaracter"/>
        </w:rPr>
        <w:t>4</w:t>
      </w:r>
      <w:r>
        <w:t>. Igual suerte desestimatoria han de correr los restantes motivos del recurso.</w:t>
      </w:r>
    </w:p>
    <w:p w:rsidR="0026452D" w:rsidRDefault="0026452D" w:rsidP="0026452D">
      <w:pPr>
        <w:pStyle w:val="TextoNormal"/>
      </w:pPr>
    </w:p>
    <w:p w:rsidR="0026452D" w:rsidRDefault="0026452D" w:rsidP="0026452D">
      <w:pPr>
        <w:pStyle w:val="TextoNormal"/>
      </w:pPr>
      <w:r>
        <w:t xml:space="preserve">Así, en lo que concierne a la cuantificación de los daños, tal y como observa el Ministerio Fiscal en su escrito de alegaciones, no existe incongruencia </w:t>
      </w:r>
      <w:r w:rsidRPr="0026452D">
        <w:rPr>
          <w:i/>
        </w:rPr>
        <w:t>extra petita</w:t>
      </w:r>
      <w:r>
        <w:t xml:space="preserve"> por el hecho de que se haya fijado el daño emergente en la propia Sentencia, en vez de diferirse a la fase de ejecución como pedía la actora en su escrito de demanda de primera instancia, pues en el proceso de mayor cuantía de la LEC de 1881 por cuyo cauce se sustanció el que aquí nos ocupa, resultaba posible aprovechar el trámite de réplica, </w:t>
      </w:r>
      <w:r w:rsidRPr="0026452D">
        <w:rPr>
          <w:i/>
        </w:rPr>
        <w:t>ex</w:t>
      </w:r>
      <w:r>
        <w:t xml:space="preserve"> art. 548 de dicha ley procesal, con el fin de ampliar, adicionar o modificar la pretensión deducida inicialmente siempre que con ello no se alterase el objeto principal, límite respetado por la actora al limitarse a solicitar en el escrito correspondiente que se cuantificaran los daños en la Sentencia.</w:t>
      </w:r>
    </w:p>
    <w:p w:rsidR="0026452D" w:rsidRDefault="0026452D" w:rsidP="0026452D">
      <w:pPr>
        <w:pStyle w:val="TextoNormal"/>
      </w:pPr>
    </w:p>
    <w:p w:rsidR="0026452D" w:rsidRDefault="0026452D" w:rsidP="0026452D">
      <w:pPr>
        <w:pStyle w:val="TextoNormal"/>
      </w:pPr>
      <w:r>
        <w:t xml:space="preserve">Tampoco hay nada que objetar, desde la perspectiva del derecho a una resolución fundada en Derecho (art. 24.1 CE), al método de cálculo elegido por la Sala </w:t>
      </w:r>
      <w:r w:rsidRPr="0026452D">
        <w:rPr>
          <w:i/>
        </w:rPr>
        <w:t>ad quem</w:t>
      </w:r>
      <w:r>
        <w:t>, partiendo de la objetividad de los parámetros que selecciona, deduciendo del importe de la venta del hipermercado realizada indebidamente por la vendedora aquí recurrente a una tercera entidad, el inferior precio pactado a su vez en la compraventa frustrada entre las partes del proceso.</w:t>
      </w:r>
    </w:p>
    <w:p w:rsidR="0026452D" w:rsidRDefault="0026452D" w:rsidP="0026452D">
      <w:pPr>
        <w:pStyle w:val="TextoNormal"/>
      </w:pPr>
    </w:p>
    <w:p w:rsidR="0026452D" w:rsidRDefault="0026452D" w:rsidP="0026452D">
      <w:pPr>
        <w:pStyle w:val="TextoNormal"/>
      </w:pPr>
      <w:r>
        <w:t>Finalmente, respecto de la queja por la inadmisión del incidente de nulidad de actuaciones, motivo último y subsidiario de los anteriores de la demanda de amparo, lógico corolario de lo que acaba de exponerse ha de ser también su desestimación. Descartada la lesión del derecho a la tutela judicial efectiva por la Sentencia de casación, el que la Sala del Alto Tribunal diga en su providencia de inadmisión visto el contenido del escrito en el que se plantea el incidente, que lo pretendido por la parte al promover contra ella un incidente de nulidad, era instar una nueva valoración de la prueba —como tal, improcedente—, reafirmando a su vez que la Sentencia dictada aparece fundada en Derecho, son razonamientos que la entidad demandante en amparo podrá no compartir, pero desde luego los mismos no evidencian irrazonabilidad ni falta de motivación. Tampoco, como sostiene la recurrente, un desprecio o desdén hacia la función encomendada por el legislador a los Tribunales de la jurisdicción ordinaria, en este caso al Tribunal Supremo, en la protección de los derechos fundamentales; función reforzada tras la ampliación del ámbito objetivo del incidente de nulidad de actuaciones por la disposición final primera de la Ley Orgánica 6/2007, de 24 de mayo (que modifica el art. 241.1 LOPJ con ese fin), como ha tenido ocasión de referirse este Tribunal Constitucional en las Sentencias reseñadas en el anterior fundamento jurídico 1.</w:t>
      </w:r>
    </w:p>
    <w:p w:rsidR="0026452D" w:rsidRDefault="0026452D" w:rsidP="0026452D">
      <w:pPr>
        <w:pStyle w:val="TextoNormal"/>
      </w:pPr>
    </w:p>
    <w:p w:rsidR="0026452D" w:rsidRDefault="0026452D" w:rsidP="0026452D">
      <w:pPr>
        <w:pStyle w:val="TextoNormal"/>
      </w:pPr>
      <w:r>
        <w:lastRenderedPageBreak/>
        <w:t>De ello no deriva que toda providencia de inadmisión de un incidente de nulidad, por el mero hecho de serlo, merezca reproche desde la óptica que se predica, debiendo atenderse no sólo al texto de la resolución judicial sino al contenido del escrito por el que dicho incidente se solicita. En este caso y por lo que se ha explicado, no lo merece la providencia impugnada.</w:t>
      </w:r>
    </w:p>
    <w:p w:rsidR="0026452D" w:rsidRDefault="0026452D" w:rsidP="0026452D">
      <w:pPr>
        <w:pStyle w:val="TextoNormal"/>
      </w:pPr>
    </w:p>
    <w:p w:rsidR="0026452D" w:rsidRDefault="0026452D" w:rsidP="0026452D">
      <w:pPr>
        <w:pStyle w:val="TextoNormal"/>
      </w:pPr>
      <w:r>
        <w:t>Consecuentemente, procede la desestimación de la demanda de amparo.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recurso de amparo interpuesto por General de Galerías Comerciales, S.A.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60" w:name="SENTENCIA_2013_57"/>
      <w:r>
        <w:lastRenderedPageBreak/>
        <w:t>SENTENCIA 57/2013, de 11 de marzo de 2013</w:t>
      </w:r>
    </w:p>
    <w:bookmarkEnd w:id="60"/>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ECLI:ES:TC:2013:57</w:t>
      </w:r>
    </w:p>
    <w:p w:rsidR="0026452D" w:rsidRDefault="0026452D" w:rsidP="0026452D">
      <w:pPr>
        <w:pStyle w:val="SntesisDescriptiva"/>
      </w:pPr>
    </w:p>
    <w:p w:rsidR="0026452D" w:rsidRDefault="0026452D" w:rsidP="0026452D">
      <w:pPr>
        <w:pStyle w:val="SntesisDescriptiva"/>
      </w:pPr>
      <w:r>
        <w:t>Recurso de amparo 3723-2011. Promovido por don Eduardo González Nájera en relación con las Sentencias de la Audiencia Provincial de La Rioja y de un Juzgado de lo Penal de Logroño que le condenaron por seis delitos de abuso sexual.</w:t>
      </w:r>
    </w:p>
    <w:p w:rsidR="0026452D" w:rsidRDefault="0026452D" w:rsidP="0026452D">
      <w:pPr>
        <w:pStyle w:val="SntesisDescriptiva"/>
      </w:pPr>
    </w:p>
    <w:p w:rsidR="0026452D" w:rsidRDefault="0026452D" w:rsidP="0026452D">
      <w:pPr>
        <w:pStyle w:val="SntesisAnaltica"/>
      </w:pPr>
      <w:r>
        <w:t>Supuesta vulneración de los derechos a la tutela judicial efectiva, un proceso con todas las garantías y presunción de inocencia: tramitación del proceso penal que posibilitó suficientemente el ejercicio adecuado del derecho de defensa y contradicción frente a las manifestaciones prestadas por las menores víctimas del delito durante su exploración pericial en fase sumarial (STC 174/2011).</w:t>
      </w:r>
    </w:p>
    <w:p w:rsidR="0026452D" w:rsidRDefault="0026452D" w:rsidP="0026452D">
      <w:pPr>
        <w:pStyle w:val="SntesisAnaltica"/>
      </w:pPr>
    </w:p>
    <w:p w:rsidR="0026452D" w:rsidRDefault="0026452D" w:rsidP="0026452D">
      <w:pPr>
        <w:pStyle w:val="Extracto"/>
      </w:pPr>
      <w:r>
        <w:t>1.</w:t>
      </w:r>
      <w:r>
        <w:tab/>
        <w:t>No lesiona el derecho al uso de los medios de prueba pertinentes para la defensa la imposibilidad material de valerse de las notas manuscritas de las conversaciones mantenidas con las tutoras de las menores por las redactoras del informe psicosocial, no sólo porque dicha pretensión probatoria debiera haberse formulado en la vía judicial previa, sino porque dichas notas habían sido destruidas antes de que su aportación fuera solicitada, dado su carácter de borrador utilizado para redactar el informe al que se trasladó su contenido, que ha sido unido a las actuaciones y valorado judicialmente [FJ 2].</w:t>
      </w:r>
    </w:p>
    <w:p w:rsidR="0026452D" w:rsidRDefault="0026452D" w:rsidP="0026452D">
      <w:pPr>
        <w:pStyle w:val="Extracto"/>
      </w:pPr>
    </w:p>
    <w:p w:rsidR="0026452D" w:rsidRDefault="0026452D" w:rsidP="0026452D">
      <w:pPr>
        <w:pStyle w:val="Extracto"/>
      </w:pPr>
      <w:r>
        <w:t>2.</w:t>
      </w:r>
      <w:r>
        <w:tab/>
        <w:t xml:space="preserve">Doctrina sobre las eventuales limitaciones y modulaciones de las garantías procesales del acusado que, en atención a la menor edad de quienes pueden haber sido víctimas de abusos sexuales, pueden adoptarse para conocer su versión de los hechos y para evitar que su interrogatorio formal, con plena contradicción procesal en el acto del juicio oral, afecte negativamente a su desarrollo personal y su indemnidad moral y psíquica (STC 174/2011; STEDH caso </w:t>
      </w:r>
      <w:r w:rsidRPr="0026452D">
        <w:rPr>
          <w:i/>
        </w:rPr>
        <w:t>S.N. contra Suecia</w:t>
      </w:r>
      <w:r>
        <w:t>, de 2 de julio de 2002) [FJ 3].</w:t>
      </w:r>
    </w:p>
    <w:p w:rsidR="0026452D" w:rsidRDefault="0026452D" w:rsidP="0026452D">
      <w:pPr>
        <w:pStyle w:val="Extracto"/>
      </w:pPr>
    </w:p>
    <w:p w:rsidR="0026452D" w:rsidRDefault="0026452D" w:rsidP="0026452D">
      <w:pPr>
        <w:pStyle w:val="Extracto"/>
      </w:pPr>
      <w:r>
        <w:t>3.</w:t>
      </w:r>
      <w:r>
        <w:tab/>
        <w:t xml:space="preserve">Pese a que la forma natural de refutar las manifestaciones incriminatorias que se vierten contra un acusado es el interrogatorio personal practicado en el acto del juicio oral, dicha regla general admite excepciones a través de las cuales es conforme a la Constitución integrar en la valoración probatoria el resultado de las diligencias sumariales de investigación si las mismas se someten a determinadas exigencias de contradicción (STC 174/2011; STEDH de 19 de febrero de 2013, caso </w:t>
      </w:r>
      <w:r w:rsidRPr="0026452D">
        <w:rPr>
          <w:i/>
        </w:rPr>
        <w:t>Gani contra España</w:t>
      </w:r>
      <w:r>
        <w:t>) [FJ 4].</w:t>
      </w:r>
    </w:p>
    <w:p w:rsidR="0026452D" w:rsidRDefault="0026452D" w:rsidP="0026452D">
      <w:pPr>
        <w:pStyle w:val="Extracto"/>
      </w:pPr>
    </w:p>
    <w:p w:rsidR="0026452D" w:rsidRDefault="0026452D" w:rsidP="0026452D">
      <w:pPr>
        <w:pStyle w:val="Extracto"/>
      </w:pPr>
      <w:r>
        <w:t>4.</w:t>
      </w:r>
      <w:r>
        <w:tab/>
        <w:t xml:space="preserve">En el testimonio de menores víctimas de delitos contra la libertad sexual resulta legítimo adoptar medidas de protección en su favor, incluso rechazar su presencia en juicio para ser personalmente interrogados, pero los órganos judiciales están obligados a tomar otras precauciones que contrapesen o reequilibren los déficits de defensa que derivan de la imposibilidad de interrogarlos personalmente en el </w:t>
      </w:r>
      <w:r>
        <w:lastRenderedPageBreak/>
        <w:t xml:space="preserve">juicio oral (SSTC 303/1993, 1/2006; SSTEDH casos </w:t>
      </w:r>
      <w:r w:rsidRPr="0026452D">
        <w:rPr>
          <w:i/>
        </w:rPr>
        <w:t>P.S. contra Alemania</w:t>
      </w:r>
      <w:r>
        <w:t xml:space="preserve">, de 20 de diciembre de 2001 y </w:t>
      </w:r>
      <w:r w:rsidRPr="0026452D">
        <w:rPr>
          <w:i/>
        </w:rPr>
        <w:t>A.S. contra Finlandia</w:t>
      </w:r>
      <w:r>
        <w:t>, de 28 de septiembre de 2010) [FJ 4].</w:t>
      </w:r>
    </w:p>
    <w:p w:rsidR="0026452D" w:rsidRDefault="0026452D" w:rsidP="0026452D">
      <w:pPr>
        <w:pStyle w:val="Extracto"/>
      </w:pPr>
    </w:p>
    <w:p w:rsidR="0026452D" w:rsidRDefault="0026452D" w:rsidP="0026452D">
      <w:pPr>
        <w:pStyle w:val="Extracto"/>
      </w:pPr>
      <w:r>
        <w:t>5.</w:t>
      </w:r>
      <w:r>
        <w:tab/>
        <w:t xml:space="preserve">Quien sea sospechoso de haber cometido un delito de abuso sexual debe ser informado de la existencia de la exploración del menor, acceder a su contenido mediante su grabación audiovisual y tener la posibilidad procesal de cuestionarla, indicando aquellos aspectos adicionales sobre los que la defensa considera debe ser interrogado, si bien la contradicción que es posible ejercer en cada caso se articulará atendiendo a las peculiaridades de la prueba que se practique (SSTC 174/2011, 155/2002; STEDH caso </w:t>
      </w:r>
      <w:r w:rsidRPr="0026452D">
        <w:rPr>
          <w:i/>
        </w:rPr>
        <w:t>A.S. contra Finlandia</w:t>
      </w:r>
      <w:r>
        <w:t>, de 28 de septiembre de 2010) [FJ 5].</w:t>
      </w:r>
    </w:p>
    <w:p w:rsidR="0026452D" w:rsidRDefault="0026452D" w:rsidP="0026452D">
      <w:pPr>
        <w:pStyle w:val="Extracto"/>
      </w:pPr>
    </w:p>
    <w:p w:rsidR="0026452D" w:rsidRDefault="0026452D" w:rsidP="0026452D">
      <w:pPr>
        <w:pStyle w:val="Extracto"/>
      </w:pPr>
      <w:r>
        <w:t>6.</w:t>
      </w:r>
      <w:r>
        <w:tab/>
        <w:t>El demandante tuvo posibilidad suficiente de ejercer su derecho de defensa y contradicción frente a las manifestaciones prestadas por las menores en fase sumarial, pudiendo cuestionarlas y solicitar la ampliación, por lo que no considerándolo necesario y no proponiendo como prueba a practicar en el juicio oral la exploración de las menores, no se aprecia el déficit de contradicción que sería constitucionalmente relevante para entender vulnerado el derecho a un proceso con todas las garantías [FJ 5].</w:t>
      </w:r>
    </w:p>
    <w:p w:rsidR="0026452D" w:rsidRDefault="0026452D" w:rsidP="0026452D">
      <w:pPr>
        <w:pStyle w:val="Extracto"/>
      </w:pPr>
    </w:p>
    <w:p w:rsidR="0026452D" w:rsidRDefault="0026452D" w:rsidP="0026452D">
      <w:pPr>
        <w:pStyle w:val="Extracto"/>
      </w:pPr>
      <w:r>
        <w:t>7.</w:t>
      </w:r>
      <w:r>
        <w:tab/>
        <w:t>Se descarta la vulneración del derecho a la presunción de inocencia pues el cuestionamiento de la credibilidad de algunos testimonios presentados en el juicio oral no forma parte del contenido de ese derecho evaluable por el Tribunal Constitucional dada la falta de competencia de esta jurisdicción de amparo para la valoración de la actividad probatoria practicada en un proceso penal y para la evaluación de dicha valoración conforme a criterios de calidad o de oportunidad [FJ 6 a)].</w:t>
      </w:r>
    </w:p>
    <w:p w:rsidR="0026452D" w:rsidRDefault="0026452D" w:rsidP="0026452D">
      <w:pPr>
        <w:pStyle w:val="Extracto"/>
      </w:pPr>
    </w:p>
    <w:p w:rsidR="0026452D" w:rsidRDefault="0026452D" w:rsidP="0026452D">
      <w:pPr>
        <w:pStyle w:val="Extracto"/>
      </w:pPr>
      <w:r>
        <w:t>8.</w:t>
      </w:r>
      <w:r>
        <w:tab/>
        <w:t>La jurisdicción de amparo carece de competencia para la valoración de la actividad probatoria practicada en un proceso penal, de modo que la función del Tribunal Constitucional cuando se alega la presunción de inocencia es verificar si ha existido prueba que pueda estimarse racionalmente de cargo, limitándose a supervisar externamente la razonabilidad del discurso que une la actividad probatoria y el relato fáctico resultante, declarando la vulneración del derecho fundamental tan sólo cuando no exista una actividad probatoria de cargo constitucionalmente válida (SSTC 31/1981, 220/1998) [FJ 6 a)].</w:t>
      </w:r>
    </w:p>
    <w:p w:rsidR="0026452D" w:rsidRDefault="0026452D" w:rsidP="0026452D">
      <w:pPr>
        <w:pStyle w:val="Extracto"/>
      </w:pPr>
    </w:p>
    <w:p w:rsidR="0026452D" w:rsidRDefault="0026452D" w:rsidP="0026452D">
      <w:pPr>
        <w:pStyle w:val="Extracto"/>
      </w:pPr>
      <w:r>
        <w:t>9.</w:t>
      </w:r>
      <w:r>
        <w:tab/>
        <w:t>Las cautelas sobre la aceptación el testimonio de referencia como medio apto para desvirtuar la presunción de inocencia decaen cuando las manifestaciones del testigo directo acceden al juicio oral en cualquiera de las formas permitidas en Derecho, pues dichas manifestaciones, cuando son incriminatorias, constituyen la mínima y suficiente actividad probatoria que, en el proceso de amparo, permite dar por desvirtuada la presunción de inocencia (SSTC 217/1989, 41/2003; SSTEDH casos P.S. contra Alemania, de 20 de diciembre de 2001 y D. contra Finlandia, de 7 de julio de 2009) [FJ 6 b)].</w:t>
      </w:r>
    </w:p>
    <w:p w:rsidR="0026452D" w:rsidRDefault="0026452D" w:rsidP="0026452D">
      <w:pPr>
        <w:pStyle w:val="Extracto"/>
      </w:pPr>
    </w:p>
    <w:p w:rsidR="0026452D" w:rsidRDefault="0026452D" w:rsidP="0026452D">
      <w:pPr>
        <w:pStyle w:val="Extracto"/>
      </w:pPr>
      <w:r>
        <w:t>10.</w:t>
      </w:r>
      <w:r>
        <w:tab/>
        <w:t xml:space="preserve">No corresponde a la jurisdicción de este Tribunal atender la pretensión de nueva y subjetiva valoración de la prueba ni, como si fuera una tercera instancia, revisar </w:t>
      </w:r>
      <w:r>
        <w:lastRenderedPageBreak/>
        <w:t>o sustituir a los órganos jurisdiccionales penales en la valoración del significado y trascendencia de los distintos elementos de prueba sobre los que se ha fundamentado la condena, pues la misma les ha llevado a considerar fundada y motivadamente que, más allá de toda duda razonable, los hechos imputados han resultado probados [FJ 6 c)].</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3723-2011, promovido por don Eduardo González Nájera, representado por la Procuradora de los Tribunales doña Sara Carrasco Machado y asistido por el Letrado don Eladio-Jose Mateo Ayala, contra la Sentencia núm. 96/2011, de 2 de mayo, dictada por la Sección Primera de la Audiencia Provincial de La Rioja (rollo de apelación núm. 32-2011), desestimatoria del recurso de apelación presentado contra la Sentencia de 2 de noviembre de 2010, del Juzgado de lo Penal núm. 2 de Logroño (rollo núm. 47-2010), que condenó al recurrente como autor de seis delitos de abuso sexual. Ha intervenido el Ministerio Fiscal, así como don E.V.M. (personado en nombre de una de las víctimas menor de edad), que ha sido representado por la Procuradora de los Tribunales doña Raquel Nieto Bolaño y asistido del Letrado don Roberto Terrazas Fernández. Ha sido Ponente el Magistrado don Ramón Rodríguez Arribas,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Por escrito recibido en el Registro General de este Tribunal el 28 de junio de 2011, doña Sara Carrasco Machado, Procuradora de los Tribunales, actuando en nombre y representación procesal de don Eduardo González Nájera, interpuso recurso de amparo contra las resoluciones judiciales que se citan en el encabezamiento que le condenaron como autor de seis delitos de abuso sexual a la pena, por cada uno de ellos, de dos años de prisión, accesoria de inhabilitación especial para el derecho de sufragio pasivo y el ejercicio de su profesión docente durante seis años, manteniendo las medidas de alejamiento cautelarmente adoptadas.</w:t>
      </w:r>
    </w:p>
    <w:p w:rsidR="0026452D" w:rsidRDefault="0026452D" w:rsidP="0026452D">
      <w:pPr>
        <w:pStyle w:val="TextoNormal"/>
      </w:pPr>
    </w:p>
    <w:p w:rsidR="0026452D" w:rsidRDefault="0026452D" w:rsidP="0026452D">
      <w:pPr>
        <w:pStyle w:val="TextoNormal"/>
      </w:pPr>
      <w:r w:rsidRPr="0026452D">
        <w:rPr>
          <w:rStyle w:val="NumeroAFNegritaCaracter"/>
        </w:rPr>
        <w:t>2</w:t>
      </w:r>
      <w:r>
        <w:t>. Sucintamente expuestos, los hechos en los que tiene su origen el presente recurso son los siguientes:</w:t>
      </w:r>
    </w:p>
    <w:p w:rsidR="0026452D" w:rsidRDefault="0026452D" w:rsidP="0026452D">
      <w:pPr>
        <w:pStyle w:val="TextoNormal"/>
      </w:pPr>
    </w:p>
    <w:p w:rsidR="0026452D" w:rsidRDefault="0026452D" w:rsidP="0026452D">
      <w:pPr>
        <w:pStyle w:val="TextoNormal"/>
      </w:pPr>
      <w:r>
        <w:lastRenderedPageBreak/>
        <w:t>a) El 15 de octubre de 2008, con un intervalo de algo más de tres horas, la madre y el padre de dos niñas de cinco años y medio de edad, acudieron a la Jefatura Superior de Policía de Logroño a denunciar que, dos días antes y por separado, las menores les habían narrado a cada uno de ellos que el demandante, profesor de apoyo a la psicomotricidad en el colegio al que éstas acudían, había aprovechado los ejercicios físicos realizados en clase para introducir su mano por la ropa interior tocándoles la zona púbica y los órganos genitales.</w:t>
      </w:r>
    </w:p>
    <w:p w:rsidR="0026452D" w:rsidRDefault="0026452D" w:rsidP="0026452D">
      <w:pPr>
        <w:pStyle w:val="TextoNormal"/>
      </w:pPr>
    </w:p>
    <w:p w:rsidR="0026452D" w:rsidRDefault="0026452D" w:rsidP="0026452D">
      <w:pPr>
        <w:pStyle w:val="TextoNormal"/>
      </w:pPr>
      <w:r>
        <w:t>b) El día siguiente fue detenido el demandante. En su declaración policial, prestada con asistencia letrada, negó la realidad de los tocamientos que se le imputaban. Durante ese mismo día, otros tres padres de niñas de la misma clase presentaron denuncias por hechos similares.</w:t>
      </w:r>
    </w:p>
    <w:p w:rsidR="0026452D" w:rsidRDefault="0026452D" w:rsidP="0026452D">
      <w:pPr>
        <w:pStyle w:val="TextoNormal"/>
      </w:pPr>
    </w:p>
    <w:p w:rsidR="0026452D" w:rsidRDefault="0026452D" w:rsidP="0026452D">
      <w:pPr>
        <w:pStyle w:val="TextoNormal"/>
      </w:pPr>
      <w:r>
        <w:t>c) El demandante fue puesto a disposición judicial un día después, el 17 de octubre de 2008. En su declaración ante la Juez instructora ratificó la versión de los hechos expuesta en la declaración policial. Tras su indagación, la Juez decretó su libertad provisional con prohibición de abandonar el territorio nacional, entrega de pasaporte, obligación de comparecer dos días al mes ante el Juzgado y prohibición de comunicación y acercamiento a las menores, al colegio y al domicilio de éstas. Ese mismo día, ante el Secretario Judicial, el señor González Nájera designó Letrado y Procuradora para su defensa y representación en la causa.</w:t>
      </w:r>
    </w:p>
    <w:p w:rsidR="0026452D" w:rsidRDefault="0026452D" w:rsidP="0026452D">
      <w:pPr>
        <w:pStyle w:val="TextoNormal"/>
      </w:pPr>
    </w:p>
    <w:p w:rsidR="0026452D" w:rsidRDefault="0026452D" w:rsidP="0026452D">
      <w:pPr>
        <w:pStyle w:val="TextoNormal"/>
      </w:pPr>
      <w:r>
        <w:t>d) Los días 23 y 24 de octubre de 2008, los padres de otras dos menores presentaron denuncia por los mismos hechos ante la policía, afirmando que sus hijas también habían sufrido tocamientos por parte del demandante durante el desarrollo de la misma clase.</w:t>
      </w:r>
    </w:p>
    <w:p w:rsidR="0026452D" w:rsidRDefault="0026452D" w:rsidP="0026452D">
      <w:pPr>
        <w:pStyle w:val="TextoNormal"/>
      </w:pPr>
    </w:p>
    <w:p w:rsidR="0026452D" w:rsidRDefault="0026452D" w:rsidP="0026452D">
      <w:pPr>
        <w:pStyle w:val="TextoNormal"/>
      </w:pPr>
      <w:r>
        <w:t>e) El 27 de octubre, la Juez instructora acordó recabar del equipo psicosocial de los Juzgados de Logroño “informe sobre las menores de edad” cuyos padres habían denunciado los hechos investigados y “sobre el perfil psicológico del denunciado”. Tres semanas después, el 20 de noviembre de 2008, se amplió su contenido a las dos últimas menores a las que se referían las denuncias.</w:t>
      </w:r>
    </w:p>
    <w:p w:rsidR="0026452D" w:rsidRDefault="0026452D" w:rsidP="0026452D">
      <w:pPr>
        <w:pStyle w:val="TextoNormal"/>
      </w:pPr>
    </w:p>
    <w:p w:rsidR="0026452D" w:rsidRDefault="0026452D" w:rsidP="0026452D">
      <w:pPr>
        <w:pStyle w:val="TextoNormal"/>
      </w:pPr>
      <w:r>
        <w:t>Los informes fueron emitidos, respectivamente, el 9 y 23 de febrero de 2009. El relativo a las menores lo elaboraron la psicóloga y la trabajadora social de los Juzgados. El examen psicológico del demandante lo realizó la psicóloga forense del Instituto de Medicina Legal de La Rioja. Ambos fueron presentados por escrito ante el Juzgado de Instrucción y quedaron unidos a las actuaciones.</w:t>
      </w:r>
    </w:p>
    <w:p w:rsidR="0026452D" w:rsidRDefault="0026452D" w:rsidP="0026452D">
      <w:pPr>
        <w:pStyle w:val="TextoNormal"/>
      </w:pPr>
    </w:p>
    <w:p w:rsidR="0026452D" w:rsidRDefault="0026452D" w:rsidP="0026452D">
      <w:pPr>
        <w:pStyle w:val="TextoNormal"/>
      </w:pPr>
      <w:r>
        <w:t>f) El 28 de mayo de 2009, la representación procesal del demandante dirigió escrito al Juzgado solicitando se requiriese al equipo que elaboró el informe psicosocial para que aportara a la causa “las notas y documentos facilitados por el personal del colegio público” a las que se refería el informe, para tener acceso a copia de los mismos. Así lo acordó el Juzgado, mediante el oportuno requerimiento. Los días 3 y 14 de julio de 2009, el demandante aportó a la causa certificación del centro escolar acreditativa de los cursos y horarios que impartía, así como informe pericial psicológico elaborado, a su instancia, por una psicóloga clínica.</w:t>
      </w:r>
    </w:p>
    <w:p w:rsidR="0026452D" w:rsidRDefault="0026452D" w:rsidP="0026452D">
      <w:pPr>
        <w:pStyle w:val="TextoNormal"/>
      </w:pPr>
    </w:p>
    <w:p w:rsidR="0026452D" w:rsidRDefault="0026452D" w:rsidP="0026452D">
      <w:pPr>
        <w:pStyle w:val="TextoNormal"/>
      </w:pPr>
      <w:r>
        <w:t xml:space="preserve">Mediante oficio de 24 de julio de 2009, el equipo psicosocial de los Juzgados de Logroño informó al Juzgado de que “no se conservan notas ni apuntes tomados durante las entrevistas </w:t>
      </w:r>
      <w:r>
        <w:lastRenderedPageBreak/>
        <w:t>colaterales ya que lo considerado relevante de dichas entrevistas se plasmó en el informe que se emitió para el procedimiento y los borradores fueron destruidos”. En cuanto al documento aportado por una de las orientadoras del colegio que fue entrevistada se indicó que, tratándose de anotaciones personales tomadas por ella, le fue devuelto al finalizar el informe, por lo que no podían aportarlo al no estar en su poder.</w:t>
      </w:r>
    </w:p>
    <w:p w:rsidR="0026452D" w:rsidRDefault="0026452D" w:rsidP="0026452D">
      <w:pPr>
        <w:pStyle w:val="TextoNormal"/>
      </w:pPr>
    </w:p>
    <w:p w:rsidR="0026452D" w:rsidRDefault="0026452D" w:rsidP="0026452D">
      <w:pPr>
        <w:pStyle w:val="TextoNormal"/>
      </w:pPr>
      <w:r>
        <w:t>g) Mediante Auto de 11 de septiembre de 2009, la Juez instructor dio por finalizada la investigación y acordó la continuación de la causa contra el demandante por los trámites del procedimiento abreviado, por si los hechos fueran constitutivos de un delito de abuso sexual, dando traslado a los acusadores público y particular a fin de que solicitaran o no la apertura del juicio oral. El Auto no fue recurrido por ninguna de las partes personadas. El 20 de noviembre de 2009 se unió a la causa el escrito de acusación del Ministerio Fiscal. El 10 de diciembre de 2009 presentó su escrito la acusación particular.</w:t>
      </w:r>
    </w:p>
    <w:p w:rsidR="0026452D" w:rsidRDefault="0026452D" w:rsidP="0026452D">
      <w:pPr>
        <w:pStyle w:val="TextoNormal"/>
      </w:pPr>
    </w:p>
    <w:p w:rsidR="0026452D" w:rsidRDefault="0026452D" w:rsidP="0026452D">
      <w:pPr>
        <w:pStyle w:val="TextoNormal"/>
      </w:pPr>
      <w:r>
        <w:t>h) La Juez instructora decretó la apertura del juicio oral ante el Juzgado de lo Penal de Logroño mediante Auto de 13 de enero de 2010. El demandante presentó su escrito de defensa el 12 de febrero de 2010. La vista oral fue señalada y se desarrolló a puerta cerrada el 5 de octubre de ese mismo año. Ninguna de las partes había solicitado como prueba el interrogatorio de las menores.</w:t>
      </w:r>
    </w:p>
    <w:p w:rsidR="0026452D" w:rsidRDefault="0026452D" w:rsidP="0026452D">
      <w:pPr>
        <w:pStyle w:val="TextoNormal"/>
      </w:pPr>
    </w:p>
    <w:p w:rsidR="0026452D" w:rsidRDefault="0026452D" w:rsidP="0026452D">
      <w:pPr>
        <w:pStyle w:val="TextoNormal"/>
      </w:pPr>
      <w:r>
        <w:t>i) El relato de hechos probados de la Sentencia condenatoria describe cómo el 13 de octubre de 2008, aprovechando su condición de profesor de psicomotricidad en un colegio público, el demandante invitó sucesivamente a seis niñas, de edades comprendidas entre los cuatro y los seis años, a que dirigieran al resto de la clase sobre que movimientos había que hacer, apartando en cada ocasión a la menor del grupo, acercándola a él y haciéndola objeto de tocamientos en la zona púbica o los genitales, con ocasión de tal actividad.</w:t>
      </w:r>
    </w:p>
    <w:p w:rsidR="0026452D" w:rsidRDefault="0026452D" w:rsidP="0026452D">
      <w:pPr>
        <w:pStyle w:val="TextoNormal"/>
      </w:pPr>
    </w:p>
    <w:p w:rsidR="0026452D" w:rsidRDefault="0026452D" w:rsidP="0026452D">
      <w:pPr>
        <w:pStyle w:val="TextoNormal"/>
      </w:pPr>
      <w:r>
        <w:t>j) Según exponen las Sentencias impugnadas, la afirmación de hechos que dio lugar a la condena se basa en la exposición de los hechos efectuada por las menores, en fase sumarial, ante los miembros del equipo psicosocial del Juzgado, los cuales dirigieron la exploración y la grabaron en soporte audiovisual, que fue posteriormente reproducido en el acto del juicio oral. A la versión incriminatoria de las menores se ha otorgado credibilidad atendiendo a las siguientes pruebas: la declaración testifical en el juicio oral de sus progenitores, que narraron en cada caso lo que su hija les había contado sobre los hechos denunciados y las circunstancias en que dicha narración se produjo; la declaración testifical de las tutoras de las dos clases de las que formaban parte las menores, que narraron las conversaciones mantenidas con algunas de éstas, y con sus padres, el día posterior a los hechos denunciados; y la declaración en juicio oral de la psicóloga y la trabajadora social que, en fase sumarial, elaboraron el informe pericial psicosocial donde se recogen las manifestaciones de las niñas, así como las conclusiones periciales sobre su credibilidad; cuyo contenido ratificaron.</w:t>
      </w:r>
    </w:p>
    <w:p w:rsidR="0026452D" w:rsidRDefault="0026452D" w:rsidP="0026452D">
      <w:pPr>
        <w:pStyle w:val="TextoNormal"/>
      </w:pPr>
    </w:p>
    <w:p w:rsidR="0026452D" w:rsidRDefault="0026452D" w:rsidP="0026452D">
      <w:pPr>
        <w:pStyle w:val="TextoNormal"/>
      </w:pPr>
      <w:r w:rsidRPr="0026452D">
        <w:rPr>
          <w:rStyle w:val="NumeroAFNegritaCaracter"/>
        </w:rPr>
        <w:t>3</w:t>
      </w:r>
      <w:r>
        <w:t>. En su demanda, el recurrente invoca como vulnerados los derechos fundamentales a la tutela judicial efectiva sin indefensión, a un proceso con todas las garantías y a la presunción de inocencia (arts. 24.1 y 2 CE).</w:t>
      </w:r>
    </w:p>
    <w:p w:rsidR="0026452D" w:rsidRDefault="0026452D" w:rsidP="0026452D">
      <w:pPr>
        <w:pStyle w:val="TextoNormal"/>
      </w:pPr>
    </w:p>
    <w:p w:rsidR="0026452D" w:rsidRDefault="0026452D" w:rsidP="0026452D">
      <w:pPr>
        <w:pStyle w:val="TextoNormal"/>
      </w:pPr>
      <w:r>
        <w:t xml:space="preserve">a) Alega el recurrente que la Sentencia condenatoria y la que la ratifica en apelación vulneraron de forma conjunta los derechos invocados por dos clases de razones: según la primera, no tuvieron en cuenta que había visto truncado su derecho a servirse de pruebas </w:t>
      </w:r>
      <w:r>
        <w:lastRenderedPageBreak/>
        <w:t>esenciales para su defensa y, en segundo lugar, utilizaron para fundamentar su condena pruebas que, por falta de contradicción, estaban viciadas desde la fase de instrucción. Indica, desde la primera perspectiva, que en fase sumarial pidió conocer “las notas de las conversaciones y documentos” a que se refería el informe psicosocial que estaban relacionadas con las entrevistas mantenidas con las tutoras de las niñas y con la orientadora del centro escolar. Entiende el demandante que dicha petición estaba plenamente justificada, pese a lo cual no se llegó a practicar por cuanto sus redactoras habían destruido los borradores elaborados. Añade el recurrente que, pese a que los testigos estaban orientados predeterminadamente por los medios de comunicación, no pudo contradecir las manifestaciones de las menores debido a que, en fase de instrucción, no ha intervenido en diligencia alguna y no han declarado en el juicio oral pese a que su exploración directa no ha sido desaconsejada a lo largo del proceso, dado que ninguna de las dos acusaciones propuso como prueba su declaración en el plenario. Considera que dichas deficiencias no pueden ser suplidas por el testimonio indirecto o de referencia de sus padres. Entiende que, por ambas razones, debe declararse la nulidad del proceso desde su inicio (desde la denuncia de los hechos por parte de los progenitores de las menores).</w:t>
      </w:r>
    </w:p>
    <w:p w:rsidR="0026452D" w:rsidRDefault="0026452D" w:rsidP="0026452D">
      <w:pPr>
        <w:pStyle w:val="TextoNormal"/>
      </w:pPr>
    </w:p>
    <w:p w:rsidR="0026452D" w:rsidRDefault="0026452D" w:rsidP="0026452D">
      <w:pPr>
        <w:pStyle w:val="TextoNormal"/>
      </w:pPr>
      <w:r>
        <w:t>b) Afirmando específicamente la vulneración del derecho a la presunción de inocencia, considera el demandante que, atendida la anterior denuncia de irregularidades procesales y el resultado de la prueba practicada en el juicio oral, existían dudas sobre su culpabilidad que debieron llevar a su absolución. Señala también que no fueron tomadas en consideración por los juzgadores diversas pruebas, practicadas en el juicio oral, de las que podía deducirse su inocencia. Y que, debido a su carácter indirecto y sustitutivo de la exploración inmediata de las menores, la testifical de referencia practicada en el juicio oral no es suficiente prueba de cargo en un caso como el presente, en el que no existía imposibilidad real y efectiva de obtener la declaración de las testigos directas o principales.</w:t>
      </w:r>
    </w:p>
    <w:p w:rsidR="0026452D" w:rsidRDefault="0026452D" w:rsidP="0026452D">
      <w:pPr>
        <w:pStyle w:val="TextoNormal"/>
      </w:pPr>
    </w:p>
    <w:p w:rsidR="0026452D" w:rsidRDefault="0026452D" w:rsidP="0026452D">
      <w:pPr>
        <w:pStyle w:val="TextoNormal"/>
      </w:pPr>
      <w:r>
        <w:t>Al fundamentar esta misma pretensión de amparo cuestiona la valoración judicial de la prueba testifical de la acusación, poniendo de manifiesto las supuestas inexactitudes y contradicciones en las que los padres de las menores incurrieron por haber estado en contacto, intercambiando información, desde que los hechos fueron denunciados. Cuestiona también la ausencia de valoración de otras pruebas testificales que no le incriminaron en los hechos, por entender que no se les ha prestado consideración alguna (varios profesores del colegio, su orientadora psicopedagógica y los inspectores educativos que elaboraron un informe sobre los hechos), así como la evaluación pericial del perfil psicológico del demandante. Finaliza sus alegaciones señalando que no se aplicaron correctamente las técnicas de exploración que se dicen utilizadas en la entrevista con las menores y, por tanto, no han sido debidamente acreditados los hechos imputados al demandante. Por lo expuesto, en su pretensión de amparo, solicita se declare la nulidad de las dos Sentencias cuestionadas, cuyos efectos en Derecho deberán ser determinados por este Tribunal.</w:t>
      </w:r>
    </w:p>
    <w:p w:rsidR="0026452D" w:rsidRDefault="0026452D" w:rsidP="0026452D">
      <w:pPr>
        <w:pStyle w:val="TextoNormal"/>
      </w:pPr>
    </w:p>
    <w:p w:rsidR="0026452D" w:rsidRDefault="0026452D" w:rsidP="0026452D">
      <w:pPr>
        <w:pStyle w:val="TextoNormal"/>
      </w:pPr>
      <w:r w:rsidRPr="0026452D">
        <w:rPr>
          <w:rStyle w:val="NumeroAFNegritaCaracter"/>
        </w:rPr>
        <w:t>4</w:t>
      </w:r>
      <w:r>
        <w:t>. En la propia demanda se solicitó la suspensión de la ejecución de las resoluciones recurridas de conformidad con lo dispuesto en el art. 56 de la Ley Orgánica del Tribunal Constitucional (LOTC). Concluida la tramitación de la pieza separada correspondiente, por ATC 44/2012, de 12 de marzo, la Sala acordó no suspender la ejecución de la pena privativa de libertad impuesta, tampoco de su accesoria. Las posteriores peticiones de revisión de la decisión denegatoria fueron desestimadas por resoluciones de 16 de abril, 11 de junio y 1 de octubre de 2012.</w:t>
      </w:r>
    </w:p>
    <w:p w:rsidR="0026452D" w:rsidRDefault="0026452D" w:rsidP="0026452D">
      <w:pPr>
        <w:pStyle w:val="TextoNormal"/>
      </w:pPr>
    </w:p>
    <w:p w:rsidR="0026452D" w:rsidRDefault="0026452D" w:rsidP="0026452D">
      <w:pPr>
        <w:pStyle w:val="TextoNormal"/>
      </w:pPr>
      <w:r>
        <w:t>Por providencia de 16 de febrero de 2012, la Sala Segunda había acordado la admisión a trámite de la demanda así como, a tenor de lo establecido en el art. 51 LOTC, requerir a la Audiencia Provincial de La Rioja (Sección Primera) para que remitiera testimonio de las actuaciones correspondientes al rollo de Sala núm. 32-2011. En el mismo sentido se ofició al Juzgado de lo Penal núm. 2 de Logroño (rollo núm. 47-2010), interesando al tiempo que se emplazara a quienes fueron parte en el procedimiento, a excepción del demandante de amparo, para que pudiesen comparecer en el recurso de amparo en el plazo de diez días.</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de fecha 10 de abril de 2012, bajo la representación de la Procuradora de los Tribunales doña Raquel Nieto Bolaño y asistido del Letrado don Roberto Terrazas Fernández, se personó en este proceso constitucional don E.V.M, en nombre de una de las víctimas menor de edad.</w:t>
      </w:r>
    </w:p>
    <w:p w:rsidR="0026452D" w:rsidRDefault="0026452D" w:rsidP="0026452D">
      <w:pPr>
        <w:pStyle w:val="TextoNormal"/>
      </w:pPr>
    </w:p>
    <w:p w:rsidR="0026452D" w:rsidRDefault="0026452D" w:rsidP="0026452D">
      <w:pPr>
        <w:pStyle w:val="TextoNormal"/>
      </w:pPr>
      <w:r>
        <w:t>Por diligencia de ordenación de 12 de abril siguiente, la Secretaría de Justicia acordó tenerle por personado y darle vista de las actuaciones recibidas por plazo común de veinte días, así como al recurrente y al Ministerio Fiscal, a fin de que pudieran presentar las alegaciones que estimaran pertinentes, de conformidad con lo dispuesto en el art. 52.1 LOTC.</w:t>
      </w:r>
    </w:p>
    <w:p w:rsidR="0026452D" w:rsidRDefault="0026452D" w:rsidP="0026452D">
      <w:pPr>
        <w:pStyle w:val="TextoNormal"/>
      </w:pPr>
    </w:p>
    <w:p w:rsidR="0026452D" w:rsidRDefault="0026452D" w:rsidP="0026452D">
      <w:pPr>
        <w:pStyle w:val="TextoNormal"/>
      </w:pPr>
      <w:r w:rsidRPr="0026452D">
        <w:rPr>
          <w:rStyle w:val="NumeroAFNegritaCaracter"/>
        </w:rPr>
        <w:t>6</w:t>
      </w:r>
      <w:r>
        <w:t>. El 21 de mayo de 2012 presentó el demandante sus alegaciones. En ellas ratificó el contenido de la demanda, destacando aquellos extremos que consideraba merecían una atención especial e insistiendo en la existencia de las vulneraciones de derechos denunciadas.</w:t>
      </w:r>
    </w:p>
    <w:p w:rsidR="0026452D" w:rsidRDefault="0026452D" w:rsidP="0026452D">
      <w:pPr>
        <w:pStyle w:val="TextoNormal"/>
      </w:pPr>
    </w:p>
    <w:p w:rsidR="0026452D" w:rsidRDefault="0026452D" w:rsidP="0026452D">
      <w:pPr>
        <w:pStyle w:val="TextoNormal"/>
      </w:pPr>
      <w:r>
        <w:t>La Procuradora de los Tribunales doña Raquel Nieto Bolaño, presentó las alegaciones de su representado (progenitor de una de las menores de edad víctima de los hechos denunciados) mediante escrito registrado el 18 de mayo de 2012. En el mismo expresa su oposición a la pretensión de amparo. Entiende que existe una causa de inadmisión en relación con la alegada vulneración del derecho a un proceso con todas las garantías y al uso de los medios de prueba pertinentes para la defensa por no haberlo invocado formalmente el demandante en la vía judicial previa ni haber formulado recurso alguno en relación con dicha supuesta vulneración. En cuanto al fondo de dicha pretensión, señala que en ningún momento del proceso la defensa ha visto denegada la práctica de ninguno de los medios de investigación o prueba que propuso en tiempo y forma. Ninguna de las partes propuso la declaración directa en el proceso de las menores, ni en fase de instrucción ni en fase intermedia; tampoco en apelación. Razón ésta por la que no puede quejarse de que no se hayan practicado las pruebas que nunca propuso. Cuestiona además su pasividad procesal así como la irrelevancia de las notas que solicitó y no le fueron facilitadas por haber sido destruidas.</w:t>
      </w:r>
    </w:p>
    <w:p w:rsidR="0026452D" w:rsidRDefault="0026452D" w:rsidP="0026452D">
      <w:pPr>
        <w:pStyle w:val="TextoNormal"/>
      </w:pPr>
    </w:p>
    <w:p w:rsidR="0026452D" w:rsidRDefault="0026452D" w:rsidP="0026452D">
      <w:pPr>
        <w:pStyle w:val="TextoNormal"/>
      </w:pPr>
      <w:r>
        <w:t>En relación con la alegada vulneración del derecho a la presunción de inocencia entiende que no expresa sino su desacuerdo crítico con la valoración judicial de la prueba, sin que llegue a denunciarse vulneración alguna de las garantías procesales. Considera que la condena se apoya en pruebas de cargo, practicadas con las debidas garantías procesales de las que, a través de un discurso razonado y lógico, los órganos judiciales han deducido la culpabilidad del demandante en seis de los siete casos denunciados. Destaca que en el momento de los hechos las menores contaban con cuatro y cinco años de edad, lo que no las hacía aptas para un interrogatorio procesal directo. El resultado de la exploración por parte del equipo psicosocial del Juzgado fue puesto a su disposición, abriéndole así plenas posibili</w:t>
      </w:r>
      <w:r>
        <w:lastRenderedPageBreak/>
        <w:t>dades de cuestionamiento y contradicción, sobre su método de realización o sobre sus conclusiones. Agrega que la posibilidad de impacto emocional sobre las menores era evidente si, dos años después, hubieran tenido que declarar sobre los hechos en el acto del juicio oral, lo que fue suplido por la grabación de la entrevista sumarial. Concluye señalando que la prueba practicada fue suficiente y diversa, pues tampoco puede ser rechazada la validez de los testimonios de referencia como prueba de cargo en casos como el presente, en los que se aprecia una imposibilidad justificada de obtener la prueba directa.</w:t>
      </w:r>
    </w:p>
    <w:p w:rsidR="0026452D" w:rsidRDefault="0026452D" w:rsidP="0026452D">
      <w:pPr>
        <w:pStyle w:val="TextoNormal"/>
      </w:pPr>
    </w:p>
    <w:p w:rsidR="0026452D" w:rsidRDefault="0026452D" w:rsidP="0026452D">
      <w:pPr>
        <w:pStyle w:val="TextoNormal"/>
      </w:pPr>
      <w:r w:rsidRPr="0026452D">
        <w:rPr>
          <w:rStyle w:val="NumeroAFNegritaCaracter"/>
        </w:rPr>
        <w:t>7</w:t>
      </w:r>
      <w:r>
        <w:t>. El Ministerio Fiscal presentó sus alegaciones mediante escrito registrado el día 23 de mayo de 2012. En él solicita la desestimación de la solicitud de amparo al apreciar que no se produjeron las vulneraciones de derechos fundamentales que se denuncian.</w:t>
      </w:r>
    </w:p>
    <w:p w:rsidR="0026452D" w:rsidRDefault="0026452D" w:rsidP="0026452D">
      <w:pPr>
        <w:pStyle w:val="TextoNormal"/>
      </w:pPr>
    </w:p>
    <w:p w:rsidR="0026452D" w:rsidRDefault="0026452D" w:rsidP="0026452D">
      <w:pPr>
        <w:pStyle w:val="TextoNormal"/>
      </w:pPr>
      <w:r>
        <w:t>Siguiendo el orden de exposición de la demanda, analiza en primer lugar la denunciada imposibilidad de valerse de pruebas relevantes para la defensa (las notas de las conversaciones y documentos a que se refería el informe psicosocial relacionados con las entrevistas mantenidas con las tutoras de las niñas y con la orientadora del centro escolar). Destaca el Fiscal que la queja puede incurrir en falta de agotamiento de la vía judicial, art. 44.1 LOTC, dado que dicha imposibilidad no fue en ningún momento planteada ni cuestionada en la fase instructora, intermedia, en el plenario o en el recurso de apelación, por lo que no ha habido denegación de prueba por no haber cuestionado el demandante la insuficiencia probatoria que esgrime. La incorporación de dichos documentos a la causa, cuya relevancia no ha sido acreditada, no pudo atenderse por causas no imputables al órgano judicial, al haber sido en parte destruidos debido a que se trataba de simples borradores. Las notas de la orientadora psicopedagógica si fueron incorporadas a través de otra prueba documental (folios 239 y siguientes de las actuaciones). A lo expuesto se añade que las tutoras y la orientadora asistieron al juicio oral y pudieron ser interrogadas por la defensa.</w:t>
      </w:r>
    </w:p>
    <w:p w:rsidR="0026452D" w:rsidRDefault="0026452D" w:rsidP="0026452D">
      <w:pPr>
        <w:pStyle w:val="TextoNormal"/>
      </w:pPr>
    </w:p>
    <w:p w:rsidR="0026452D" w:rsidRDefault="0026452D" w:rsidP="0026452D">
      <w:pPr>
        <w:pStyle w:val="TextoNormal"/>
      </w:pPr>
      <w:r>
        <w:t>Sobre la supuesta ausencia de contradicción que se habría producido en relación con las manifestaciones de las menores, considera que dicho déficit no deriva de ninguna resolución judicial tendente a impedirla, sino que fue propiciada por la defensa del demandante al considerarla conveniente a sus intereses defensivos. Tras describir la secuencia procesal a través de la cual la exploración de las menores se incorporó a las actuaciones por medio del equipo psicosocial del Juzgado y se trasladó a las partes personadas, pone de relieve que el demandante únicamente solicitó aportaciones documentales complementarias, pero no la ampliación de la exploración de las menores, la cual no cuestionó y, al haber sido grabada, se visualizó y oyó íntegramente en el acto del juicio oral.</w:t>
      </w:r>
    </w:p>
    <w:p w:rsidR="0026452D" w:rsidRDefault="0026452D" w:rsidP="0026452D">
      <w:pPr>
        <w:pStyle w:val="TextoNormal"/>
      </w:pPr>
    </w:p>
    <w:p w:rsidR="0026452D" w:rsidRDefault="0026452D" w:rsidP="0026452D">
      <w:pPr>
        <w:pStyle w:val="TextoNormal"/>
      </w:pPr>
      <w:r>
        <w:t>Por último, razona que no se ha vulnerado el derecho a la presunción de inocencia del demandante pues no se aprecia la supuesta debilidad del material probatorio valorado en orden a su enervación. Descartada la supuesta irregularidad de la ausencia de prueba ya analizada y del no sometimiento a contradicción directa de las manifestaciones de los menores, la queja se reduce a expresar dudas y discrepancias sobre la valoración de la prueba, que el demandante considera insuficiente. Para el Ministerio Fiscal, las cuestiones suscitadas sobre la valoración de las pruebas son ajenas al contenido del derecho fundamental alegado, dado que las Sentencias cuestionadas analizan todas las pruebas practicadas de modo pormenorizado llegando razonadamente a la conclusión de condena. Por todo lo expuesto, solicita la desestimación del recurso de amparo.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8</w:t>
      </w:r>
      <w:r>
        <w:t>. Por providencia de fecha 7 de Marzo de 2013 se señaló para deliberación y votación de la presente Sentencia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Se dirige la solicitud de amparo contra la Sentencia dictada por el Juzgado de lo Penal núm. 2 de Logroño, ratificada en apelación por la Sección Primera de la Audiencia Provincial de La Rioja, por la que, tras ser declarado autor de seis delitos de abuso sexual, se condenó al demandante de amparo, por cada uno de ellos, a la pena de dos años de prisión con la accesoria de inhabilitación especial para el derecho de sufragio pasivo y el ejercicio de su profesión docente durante seis años, manteniendo las medidas de alejamiento cautelarmente adoptadas.</w:t>
      </w:r>
    </w:p>
    <w:p w:rsidR="0026452D" w:rsidRDefault="0026452D" w:rsidP="0026452D">
      <w:pPr>
        <w:pStyle w:val="TextoNormal"/>
      </w:pPr>
    </w:p>
    <w:p w:rsidR="0026452D" w:rsidRDefault="0026452D" w:rsidP="0026452D">
      <w:pPr>
        <w:pStyle w:val="TextoNormal"/>
      </w:pPr>
      <w:r>
        <w:t>La circunstancia de que, en sentido constitucional (art. 12 CE), fueran menores de edad las víctimas de los hechos enjuiciados en el proceso penal previo en el que se dictaron las resoluciones aquí recurridas, explica que, de conformidad con el art. 8 de las Reglas mínimas de las Naciones Unidas para la administración de justicia de menores, conocidas como Reglas de Beijing, e incluidas en la Resolución de la Asamblea General 40/33, de 29 de noviembre de 1985, no se incluyan en esta resolución el nombre y los apellidos completos de las víctimas menores de edad ni los de los padres de una de ellas, personados en este proceso, al objeto de respetar su intimidad (SSTC 114/2006, de 5 de abril, FJ 7, y 41/2009, de 9 de febrero, FJ 1).</w:t>
      </w:r>
    </w:p>
    <w:p w:rsidR="0026452D" w:rsidRDefault="0026452D" w:rsidP="0026452D">
      <w:pPr>
        <w:pStyle w:val="TextoNormal"/>
      </w:pPr>
    </w:p>
    <w:p w:rsidR="0026452D" w:rsidRDefault="0026452D" w:rsidP="0026452D">
      <w:pPr>
        <w:pStyle w:val="TextoNormal"/>
      </w:pPr>
      <w:r>
        <w:t>El relato de hechos probados de la Sentencia condenatoria describe cómo en el mes de octubre de 2008, aprovechando su condición de profesor de psicomotricidad en un colegio público, el demandante invitó sucesivamente a seis niñas, con edades comprendidas entre los cuatro y los seis años, a que dirigieran al resto de alumnas y alumnos sobre que movimientos había que hacer durante la clase, apartando en cada ocasión a la menor del grupo, acercándola a él y haciéndola objeto de tocamientos en la zona púbica o los genitales, con ocasión de tal actividad.</w:t>
      </w:r>
    </w:p>
    <w:p w:rsidR="0026452D" w:rsidRDefault="0026452D" w:rsidP="0026452D">
      <w:pPr>
        <w:pStyle w:val="TextoNormal"/>
      </w:pPr>
    </w:p>
    <w:p w:rsidR="0026452D" w:rsidRDefault="0026452D" w:rsidP="0026452D">
      <w:pPr>
        <w:pStyle w:val="TextoNormal"/>
      </w:pPr>
      <w:r>
        <w:t>Tal y como más extensamente se ha expuesto en los antecedentes de esta resolución, con una argumentación que en gran medida se reitera en cada alegación, se denuncia en la demanda de amparo la vulneración de los derechos fundamentales a la tutela judicial efectiva sin indefensión (art. 24.1 CE) y a un proceso con todas las garantías, afirmando haber sufrido limitaciones en la posibilidad de practicar prueba, así como su derecho a la presunción de inocencia (art. 24.2 CE).</w:t>
      </w:r>
    </w:p>
    <w:p w:rsidR="0026452D" w:rsidRDefault="0026452D" w:rsidP="0026452D">
      <w:pPr>
        <w:pStyle w:val="TextoNormal"/>
      </w:pPr>
    </w:p>
    <w:p w:rsidR="0026452D" w:rsidRDefault="0026452D" w:rsidP="0026452D">
      <w:pPr>
        <w:pStyle w:val="TextoNormal"/>
      </w:pPr>
      <w:r>
        <w:t>El Ministerio Fiscal propugna la desestimación del recurso de amparo. Entiende que el demandante no agotó la vía judicial previa en relación con la alegada lesión de su derecho a la prueba. Y en cuanto al fondo de las quejas considera que las mismas no tienen contenido pues el demandante fue condenado razonadamente en un juicio justo con apoyo en pruebas de cargo. La representación de quien ejerció la acusación particular en el proceso judicial previo coincide con el Ministerio Fiscal, tanto en la existencia de una causa de inadmisión por falta de agotamiento de la vía judicial previa, como en la inexistencia de las vulneraciones alegadas.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2</w:t>
      </w:r>
      <w:r>
        <w:t>. Debe descartarse que pueda ser valorada y apreciada como lesión autónoma del derecho al uso de los medios de prueba pertinentes para la defensa (art. 24.2 CE) la denunciada imposibilidad material de valerse de pruebas, supuestamente relevantes, a la que se refiere el demandante en relación con las notas manuscritas de las conversaciones mantenidas con las tutoras de las menores por parte de las redactoras del informe psicosocial elaborado en fase de instrucción, así como del documento entregado a éstas por la orientadora psicopedagógica del centro escolar. No sólo porque, de ser una pretensión probatoria posible, debiera haberse formulado ante el Juzgado de lo penal y el Tribunal de apelación —lo que, conforme señalamos en el ATC 12/2010, de 27 de enero, permitiría entonces apreciar el óbice de procedibilidad alegado por el Ministerio Fiscal y la acusación particular personada en este proceso de amparo [art. 44.1) de la Ley Orgánica del Tribunal Constitucional: LOTC]—, sino porque tal imposibilidad material carece de soporte fáctico en el caso del documento elaborado por la orientadora (que sí ha sido unido a las actuaciones y valorado judicialmente, folios 239 y ss.). Y, en lo demás, la falta de aportación a las actuaciones de las notas solicitadas no es imputable a la decisión o pasividad de los órganos judiciales, que nunca denegaron la práctica de tal diligencia de investigación, sino al hecho de haber sido destruidas por la psicóloga y la trabajadora social antes de que su aportación fuera solicitada, dado su carácter de borrador provisional utilizado para redactar el informe al que se trasladó su contenido. No obstante, en tanto en cuanto dicha argumentación se utiliza recurrentemente para tratar de justificar el resto de vulneraciones aducidas, singularmente, la insuficiencia de la actividad probatoria que sustenta la condena, será tomada de nuevo en consideración al analizar el contenido de esas otras alegaciones.</w:t>
      </w:r>
    </w:p>
    <w:p w:rsidR="0026452D" w:rsidRDefault="0026452D" w:rsidP="0026452D">
      <w:pPr>
        <w:pStyle w:val="TextoNormal"/>
      </w:pPr>
    </w:p>
    <w:p w:rsidR="0026452D" w:rsidRDefault="0026452D" w:rsidP="0026452D">
      <w:pPr>
        <w:pStyle w:val="TextoNormal"/>
      </w:pPr>
      <w:r w:rsidRPr="0026452D">
        <w:rPr>
          <w:rStyle w:val="NumeroAFNegritaCaracter"/>
        </w:rPr>
        <w:t>3</w:t>
      </w:r>
      <w:r>
        <w:t>. La condena del demandante se apoya en la exteriorización verbal por parte de las menores de la experiencia personal sufrida. Inicialmente lo manifestaron a sus padres, de forma espontánea o al ser preguntadas al respecto; lo que dio lugar a la denuncia por parte de los progenitores. Ya en fase de investigación sumarial, a petición de la Juez de instrucción, dicha versión de los hechos investigados fue reiterada durante la entrevista con las integrantes del equipo psicosocial del Juzgado al que se encargó un informe sobre las siete menores a las que se refería la denuncia. Las manifestaciones incriminatorias han accedido al juicio oral a través de la audición y visión de la grabación de la exploración. Han accedido también de forma indirecta, como testimonio de referencia, a través de la declaración de los progenitores, de sus profesoras y de la ratificación pericial de las encargadas de la redacción del informe psicosocial. Todos ellos narraron lo que las menores les habían manifestado.</w:t>
      </w:r>
    </w:p>
    <w:p w:rsidR="0026452D" w:rsidRDefault="0026452D" w:rsidP="0026452D">
      <w:pPr>
        <w:pStyle w:val="TextoNormal"/>
      </w:pPr>
    </w:p>
    <w:p w:rsidR="0026452D" w:rsidRDefault="0026452D" w:rsidP="0026452D">
      <w:pPr>
        <w:pStyle w:val="TextoNormal"/>
      </w:pPr>
      <w:r>
        <w:t>El demandante afirma que la condena penal ha vulnerado sus derechos a un proceso con todas las garantías y a la presunción de inocencia debido a que nunca ha podido contradecir directamente dichas manifestaciones porque las menores nunca han declarado ante los órganos judiciales: ni en fase sumarial, por no haberlo acordado la Juez de instrucción, ni tampoco en el plenario, por no haberlo pedido como prueba ninguna de las acusaciones.</w:t>
      </w:r>
    </w:p>
    <w:p w:rsidR="0026452D" w:rsidRDefault="0026452D" w:rsidP="0026452D">
      <w:pPr>
        <w:pStyle w:val="TextoNormal"/>
      </w:pPr>
    </w:p>
    <w:p w:rsidR="0026452D" w:rsidRDefault="0026452D" w:rsidP="0026452D">
      <w:pPr>
        <w:pStyle w:val="TextoNormal"/>
      </w:pPr>
      <w:r>
        <w:t xml:space="preserve">Al igual que en el supuesto abordado en la STC 174/2011, de 7 de noviembre —aunque con decisivos matices diferenciales— la cuestión planteada en la demanda tiene que ver con las eventuales limitaciones y modulaciones de las garantías procesales del acusado que, en atención a la menor edad de quienes pueden haber sido víctimas de abusos sexuales, pueden adoptarse para conocer su versiónde los hechos y, en cuanto sea necesario, para evitar que su interrogatorio formal con plena contradicción procesal en el acto del juicio oral —en </w:t>
      </w:r>
      <w:r>
        <w:lastRenderedPageBreak/>
        <w:t xml:space="preserve">cuanto son testigos de cargo especialmente vulnerables—, afecte negativamente a su desarrollo personal y su indemnidad moral y psíquica, que según experiencias contrastadas, presentan especiales tasas de vulnerabilidad en estas situaciones (STEDH de 2 de julio de 2002, caso </w:t>
      </w:r>
      <w:r w:rsidRPr="0026452D">
        <w:rPr>
          <w:i/>
        </w:rPr>
        <w:t>S.N. contra Suecia</w:t>
      </w:r>
      <w:r>
        <w:t>).</w:t>
      </w:r>
    </w:p>
    <w:p w:rsidR="0026452D" w:rsidRDefault="0026452D" w:rsidP="0026452D">
      <w:pPr>
        <w:pStyle w:val="TextoNormal"/>
      </w:pPr>
    </w:p>
    <w:p w:rsidR="0026452D" w:rsidRDefault="0026452D" w:rsidP="0026452D">
      <w:pPr>
        <w:pStyle w:val="TextoNormal"/>
      </w:pPr>
      <w:r>
        <w:t>Aunque sería necesaria una concreta regulación legal de las exploraciones de los menores en esta clase de delitos, para proteger adecuadamente los derechos constitucionales de estos y también los de los posibles imputados, el análisis debe realizarse, a partir de la aplicación de la doctrina fijada en la citada STC 174/2011. No obstante, debemos destacar que en este caso existen circunstancias específicas que deben ser puestas de manifiesto y tomadas en consideración al abordar la pretensión de amparo. Son las siguientes:</w:t>
      </w:r>
    </w:p>
    <w:p w:rsidR="0026452D" w:rsidRDefault="0026452D" w:rsidP="0026452D">
      <w:pPr>
        <w:pStyle w:val="TextoNormal"/>
      </w:pPr>
    </w:p>
    <w:p w:rsidR="0026452D" w:rsidRDefault="0026452D" w:rsidP="0026452D">
      <w:pPr>
        <w:pStyle w:val="TextoNormal"/>
      </w:pPr>
      <w:r>
        <w:t>a) Las siete menores a las que se refieren los hechos investigados en el proceso judicial previo tenían entre cuatro y seis años de edad cuando éstos acaecieron. El juicio oral se celebró dos años después. Su escasa edad es relevante en relación con la forma en que pueden prestar testimonio y puede evaluarse o cuestionarse su credibilidad, dada su diferente habilidad de producción verbal, comprensión lingüística, capacidad de verse influidas por el escenario y condiciones en que se realice el interrogatorio, así como su desarrollo moral y, en general, su estructura psíquica diferenciada.</w:t>
      </w:r>
    </w:p>
    <w:p w:rsidR="0026452D" w:rsidRDefault="0026452D" w:rsidP="0026452D">
      <w:pPr>
        <w:pStyle w:val="TextoNormal"/>
      </w:pPr>
    </w:p>
    <w:p w:rsidR="0026452D" w:rsidRDefault="0026452D" w:rsidP="0026452D">
      <w:pPr>
        <w:pStyle w:val="TextoNormal"/>
      </w:pPr>
      <w:r>
        <w:t>b) Durante el proceso judicial previo las menores no declararon nunca ante la policía, el Ministerio Fiscal o la Juez instructora. Es decir, ningún agente del poder público con responsabilidades en la investigación participó en el procedimiento de obtención de las manifestaciones verbales de las menores.</w:t>
      </w:r>
    </w:p>
    <w:p w:rsidR="0026452D" w:rsidRDefault="0026452D" w:rsidP="0026452D">
      <w:pPr>
        <w:pStyle w:val="TextoNormal"/>
      </w:pPr>
    </w:p>
    <w:p w:rsidR="0026452D" w:rsidRDefault="0026452D" w:rsidP="0026452D">
      <w:pPr>
        <w:pStyle w:val="TextoNormal"/>
      </w:pPr>
      <w:r>
        <w:t>c) La declaración directa de las menores en el procedimiento, es decir su interrogatorio personal e inmediato por los representantes de las partes, no fue tampoco solicitada. Ni por el Ministerio Fiscal, ni por la acusación particular, ni por la defensa del demandante.</w:t>
      </w:r>
    </w:p>
    <w:p w:rsidR="0026452D" w:rsidRDefault="0026452D" w:rsidP="0026452D">
      <w:pPr>
        <w:pStyle w:val="TextoNormal"/>
      </w:pPr>
    </w:p>
    <w:p w:rsidR="0026452D" w:rsidRDefault="0026452D" w:rsidP="0026452D">
      <w:pPr>
        <w:pStyle w:val="TextoNormal"/>
      </w:pPr>
      <w:r>
        <w:t>d) Consecuentemente, los órganos judiciales nunca se pronunciaron sobre la posibilidad de practicar dicho interrogatorio formal y contradictorio, aceptándolo, denegándolo o sometiéndolo a condiciones, dado que no les fue solicitado como diligencia sumarial ni como prueba, ni fue recurrido el Auto que dio por concluida la fase de investigación.</w:t>
      </w:r>
    </w:p>
    <w:p w:rsidR="0026452D" w:rsidRDefault="0026452D" w:rsidP="0026452D">
      <w:pPr>
        <w:pStyle w:val="TextoNormal"/>
      </w:pPr>
    </w:p>
    <w:p w:rsidR="0026452D" w:rsidRDefault="0026452D" w:rsidP="0026452D">
      <w:pPr>
        <w:pStyle w:val="TextoNormal"/>
      </w:pPr>
      <w:r w:rsidRPr="0026452D">
        <w:rPr>
          <w:rStyle w:val="NumeroAFNegritaCaracter"/>
        </w:rPr>
        <w:t>4</w:t>
      </w:r>
      <w:r>
        <w:t>. Expuestas las circunstancias diferenciadoras del supuesto de hecho, abordaremos a continuación la alegada lesión del derecho a un proceso con todas las garantías que el demandante asocia al déficit de contradicción que le produjo no haber podido interrogar a las menores en el juicio oral, para el cual no fueron propuestas como testigos por la acusación pese a que, en fase sumarial, sólo fueron exploradas por el equipo psicosocial, sin intervención previa o simultánea de las partes.</w:t>
      </w:r>
    </w:p>
    <w:p w:rsidR="0026452D" w:rsidRDefault="0026452D" w:rsidP="0026452D">
      <w:pPr>
        <w:pStyle w:val="TextoNormal"/>
      </w:pPr>
    </w:p>
    <w:p w:rsidR="0026452D" w:rsidRDefault="0026452D" w:rsidP="0026452D">
      <w:pPr>
        <w:pStyle w:val="TextoNormal"/>
      </w:pPr>
      <w:r>
        <w:t xml:space="preserve">Su análisis ha de partir de la doctrina fijada en la STC 174/2011 (FFJJ 3 y 4), según la cual, pese a que “en nuestra tradición jurídica la forma natural de refutar las manifestaciones incriminatorias que se vierten contra un acusado es el interrogatorio personal del testigo practicado en el acto del juicio oral” —art. 6.3 d) del Convenio europeo para la protección de los derechos humanos y de las libertades fundamentales— dicha regla general “admite excepciones a través de las cuales es conforme a la Constitución, en limitadas ocasiones, </w:t>
      </w:r>
      <w:r>
        <w:lastRenderedPageBreak/>
        <w:t xml:space="preserve">integrar en la valoración probatoria el resultado de las diligencias sumariales de investigación si las mismas se someten a determinadas exigencias de contradicción” (STEDH de 19 de febrero de 2013, asunto </w:t>
      </w:r>
      <w:r w:rsidRPr="0026452D">
        <w:rPr>
          <w:i/>
        </w:rPr>
        <w:t>Gani contra España</w:t>
      </w:r>
      <w:r>
        <w:t>, § 38).</w:t>
      </w:r>
    </w:p>
    <w:p w:rsidR="0026452D" w:rsidRDefault="0026452D" w:rsidP="0026452D">
      <w:pPr>
        <w:pStyle w:val="TextoNormal"/>
      </w:pPr>
    </w:p>
    <w:p w:rsidR="0026452D" w:rsidRDefault="0026452D" w:rsidP="0026452D">
      <w:pPr>
        <w:pStyle w:val="TextoNormal"/>
      </w:pPr>
      <w:r>
        <w:t xml:space="preserve">El testimonio de los menores de edad víctimas de delitos contra la libertad sexual es uno de los supuestos constitucionalmente relevantes en los que está justificada dicha modulación excepcional de las garantías de contradicción y defensa del acusado que afirma su inocencia. Dos son las razones que lo justifican: la menor edad de la víctima y la naturaleza del delito investigado. Hemos señalado ya que “en tales casos excepcionales es posible modular la forma de prestar declaración e incluso dar valor probatorio al contenido incriminatorio de manifestaciones prestadas fuera del juicio oral siempre que se garantice suficientemente el derecho de defensa del acusado (SSTC 303/1993, de 25 de octubre, FJ 3; 153/1997, de 29 de septiembre, FJ 5; 12/2002, de 28 de enero, FJ 4; 195/2002, de 28 de octubre, FJ 2; 187/2003, de 27 de octubre, FJ 3; y 1/2006, de 16 de enero, FFJJ 3 y 4)”. Como destacamos entonces, recogiendo los pronunciamientos del Tribunal Europeo de Derechos Humanos, los intereses de la víctima han de ser protegidos por cuanto “frecuentemente los procesos por delitos contra la libertad sexual son vividos por las víctimas como ‘una auténtica ordalía’; no se trata sólo de la obligación jurídica de rememorar y narrar ante terceros las circunstancias de la agresión, sino también de la indebida reiteración con la que, a tal fin, es exigida su comparecencia en las diversas fases del procedimiento. Tales circunstancias se acentúan cuando la víctima es menor de edad (SSTEDH de 20 de diciembre de 2001, caso </w:t>
      </w:r>
      <w:r w:rsidRPr="0026452D">
        <w:rPr>
          <w:i/>
        </w:rPr>
        <w:t>P.S. contra Alemania</w:t>
      </w:r>
      <w:r>
        <w:t xml:space="preserve">; 2 de julio de 2002, caso </w:t>
      </w:r>
      <w:r w:rsidRPr="0026452D">
        <w:rPr>
          <w:i/>
        </w:rPr>
        <w:t>S.N. contra Suecia</w:t>
      </w:r>
      <w:r>
        <w:t xml:space="preserve">; 10 de noviembre de 2005, caso </w:t>
      </w:r>
      <w:r w:rsidRPr="0026452D">
        <w:rPr>
          <w:i/>
        </w:rPr>
        <w:t>Bocos-Cuesta contra Holanda</w:t>
      </w:r>
      <w:r>
        <w:t xml:space="preserve">; 24 de abril de 2007, caso </w:t>
      </w:r>
      <w:r w:rsidRPr="0026452D">
        <w:rPr>
          <w:i/>
        </w:rPr>
        <w:t>W. contra Finlandia</w:t>
      </w:r>
      <w:r>
        <w:t xml:space="preserve">; 10 de mayo de 2007, caso </w:t>
      </w:r>
      <w:r w:rsidRPr="0026452D">
        <w:rPr>
          <w:i/>
        </w:rPr>
        <w:t>A.H. contra Finlandia</w:t>
      </w:r>
      <w:r>
        <w:t xml:space="preserve">; 27 de junio de 2009, </w:t>
      </w:r>
      <w:r w:rsidRPr="0026452D">
        <w:rPr>
          <w:i/>
        </w:rPr>
        <w:t>caso A.L. contra Finlandia</w:t>
      </w:r>
      <w:r>
        <w:t xml:space="preserve">; 7 de julio de 2009, caso </w:t>
      </w:r>
      <w:r w:rsidRPr="0026452D">
        <w:rPr>
          <w:i/>
        </w:rPr>
        <w:t>D. contra Finlandia</w:t>
      </w:r>
      <w:r>
        <w:t xml:space="preserve">; o, finalmente, la más reciente de 28 de septiembre de 2010, caso </w:t>
      </w:r>
      <w:r w:rsidRPr="0026452D">
        <w:rPr>
          <w:i/>
        </w:rPr>
        <w:t>A.S. contra Finlandia</w:t>
      </w:r>
      <w:r>
        <w:t>)”.</w:t>
      </w:r>
    </w:p>
    <w:p w:rsidR="0026452D" w:rsidRDefault="0026452D" w:rsidP="0026452D">
      <w:pPr>
        <w:pStyle w:val="TextoNormal"/>
      </w:pPr>
    </w:p>
    <w:p w:rsidR="0026452D" w:rsidRDefault="0026452D" w:rsidP="0026452D">
      <w:pPr>
        <w:pStyle w:val="TextoNormal"/>
      </w:pPr>
      <w:r>
        <w:t>En atención al interés del menor hemos admitido que “en estos supuestos, cuando la víctima es menor de edad, resulta legítimo adoptar medidas de protección en su favor, incluso rechazar su presencia en juicio para ser personalmente interrogada”. Y en interés del acusado que ve así modificada la forma en que puede ejercer su derecho de contradicción, añadimos: “tales cautelas han de ser compatibles con la posibilidad que ha de otorgarse al acusado de ejercer adecuadamente su derecho de defensa, a cuyo fin los órganos judiciales están obligados, simultáneamente, a tomar otras precauciones que contrapesen o reequilibren los déficits de defensa que derivan de la imposibilidad de interrogar personalmente al testigo de cargo en el juicio oral”.</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En los delitos de abuso sexual, usualmente, la declaración del menor es la única prueba directa sobre los hechos, pues las restantes suelen limitarse a relatar lo que el menor ha narrado o a analizar las condiciones en las que narró los hechos o, por fin, a evaluar la credibilidad de su relato (SSTEDH </w:t>
      </w:r>
      <w:r w:rsidRPr="0026452D">
        <w:rPr>
          <w:i/>
        </w:rPr>
        <w:t>P.S. contra Alemania, § 30; W. contra Finlandia, § 47; D. contra Finlandia</w:t>
      </w:r>
      <w:r>
        <w:t xml:space="preserve">, § 44). En tal medida, el centro de atención del debate jurídico recae naturalmente sobre las garantías que han de rodear la exploración del menor y la forma en la que la misma puede introducirse en el debate del juicio oral. En la delimitación precisa de cuáles hayan de ser esas precauciones mínimas que han de establecerse en favor de la defensa para, al mismo tiempo, dar protección a la víctima y garantizar al acusado un juicio con todas las garantías, hemos asumido en la citada STC 174/2011 el canon a que se refiere la STEDH de 28 de septiembre de 2010, caso </w:t>
      </w:r>
      <w:r w:rsidRPr="0026452D">
        <w:rPr>
          <w:i/>
        </w:rPr>
        <w:t>A.S. contra Finlandia</w:t>
      </w:r>
      <w:r>
        <w:t xml:space="preserve">, § 56, conforme a la </w:t>
      </w:r>
      <w:r>
        <w:lastRenderedPageBreak/>
        <w:t>cual “quien sea sospechoso de haber cometido el delito debe ser informado de que se va a oír al menor, y debe tener una oportunidad de observar dicha exploración, bien en el momento en que se produce o después, a través de su grabación audiovisual; asimismo debe tener la posibilidad de dirigir preguntas al menor, de forma directa o indirecta, bien durante el desarrollo de la primera exploración o en una ocasión posterior”. Conocer la existencia de la exploración, acceder a su contenido mediante su grabación audiovisual y tener la posibilidad procesal de cuestionarla, durante su realización o en un momento posterior (ya sea en fase de investigación o en el juicio oral), indicando aquellos aspectos adicionales sobre los que la defensa considera deben ser interrogados, son las tres claves de la contradicción debida en estos casos, pues no cabe olvidar que la contradicción que es posible ejercer en cada caso “se articula atendiendo a las peculiaridades de la prueba de que se trate” (STC 155/2002, de 22 de julio, FJ 10), es decir, varía en función de la naturaleza de la prueba que se pretende contradecir.</w:t>
      </w:r>
    </w:p>
    <w:p w:rsidR="0026452D" w:rsidRDefault="0026452D" w:rsidP="0026452D">
      <w:pPr>
        <w:pStyle w:val="TextoNormal"/>
      </w:pPr>
    </w:p>
    <w:p w:rsidR="0026452D" w:rsidRDefault="0026452D" w:rsidP="0026452D">
      <w:pPr>
        <w:pStyle w:val="TextoNormal"/>
      </w:pPr>
      <w:r>
        <w:t>En el caso presente la única exploración de las menores llevada a cabo en el proceso con razón de la investigación de la denuncia tuvo lugar, a requerimiento judicial, en fase de instrucción. Su objetivo fue elaborar el informe sobre las menores que fue encargado al equipo psicosocial del Juzgado. Dicha exploración, en la que participó una psicóloga y una trabajadora social, fue grabada en soporte audiovisual, cuya reproducción íntegra fue propuesta como prueba y llevada a efecto en la vista del juicio oral. El informe pericial elaborado incorpora la versión de los hechos que facilitaron las menores pues, para su realización, las expertas obtuvieron de éstas la exteriorización verbal de sus recuerdos, procediendo a continuación a evaluar la credibilidad de tales manifestaciones.</w:t>
      </w:r>
    </w:p>
    <w:p w:rsidR="0026452D" w:rsidRDefault="0026452D" w:rsidP="0026452D">
      <w:pPr>
        <w:pStyle w:val="TextoNormal"/>
      </w:pPr>
    </w:p>
    <w:p w:rsidR="0026452D" w:rsidRDefault="0026452D" w:rsidP="0026452D">
      <w:pPr>
        <w:pStyle w:val="TextoNormal"/>
      </w:pPr>
      <w:r>
        <w:t>Como antes señalamos, para la aplicación de la doctrina expuesta a la resolución de esta pretensión de amparo resultan decisivas las particularidades de la actuación procesal cuestionada, las cuales permiten diferenciar en este caso la conclusión alcanzada en la STC 174/2011. Las menores no fueron interrogadas por la policía, ni por el Ministerio Fiscal, ni por la Juez de instrucción. Su exploración se llevó a efecto a través de la psicóloga y la trabajadora social del equipo del Juzgado al que se encargó un informe pericial sobre ellas. Tal exploración a través de expertos, además de estar expresamente prevista en la ley procesal (art. 433 de la Ley de enjuiciamiento criminal), ha sido admitida como legítima por este Tribunal, en protección de los intereses de la víctima (STC 174/2011, FJ 4). Dada la escasa edad de las menores, que no alcanzaba en ningún caso los seis años de edad, no sólo resultaba adecuado para su debida protección que la exploración se llevara a cabo por expertos, sino también lo era para fortalecer la fiabilidad de sus manifestaciones, pues la intermediación del experto puede disminuir el impacto emocional de la entrevista al tiempo que favorecer la adecuación del lenguaje utilizado a su comprensión lingüística. Tal opción posibilitaba, además, elegir y acomodar el escenario de la entrevista para, conforme a reglas de experiencia práctica homologadas que se utilizaron en este caso, la misma se desarrollara de forma más natural que con los rígidos condicionamientos de un interrogatorio procesal formalizado.</w:t>
      </w:r>
    </w:p>
    <w:p w:rsidR="0026452D" w:rsidRDefault="0026452D" w:rsidP="0026452D">
      <w:pPr>
        <w:pStyle w:val="TextoNormal"/>
      </w:pPr>
    </w:p>
    <w:p w:rsidR="0026452D" w:rsidRDefault="0026452D" w:rsidP="0026452D">
      <w:pPr>
        <w:pStyle w:val="TextoNormal"/>
      </w:pPr>
      <w:r>
        <w:t xml:space="preserve">Como se expuso en los antecedentes, una vez recibido el informe pericial psicosocial, la Juez de instrucción lo puso a disposición de las partes, incluida la defensa del demandante ya entonces imputado, quien tras conocerlo solicitó tres meses después (en mayo de 2009) la aportación a la causa, como diligencia de investigación complementaria, de ciertos datos </w:t>
      </w:r>
      <w:r>
        <w:lastRenderedPageBreak/>
        <w:t>adicionales a los que nos hemos referido antes al rechazar la supuesta vulneración del derecho a la prueba (las notas manuscritas de las conversaciones mantenidas con las tutoras de las menores por parte de las redactoras del informe psicosocial elaborado en fase de instrucción, así como del documento entregado a éstas por la orientadora psicopedagógica del centro escolar). A diferencia del supuesto analizado en la STC 174/2011, durante los siguientes meses hasta la apertura del juicio oral en enero de 2010, la defensa no solicitó ninguna otra diligencia de investigación, ni pidió una nueva exploración de las menores, ni cuestionó el Auto de 11 de septiembre de 2009 por el que la Juez instructora dio por suficiente y finalizada la investigación de los hechos denunciados. Tampoco en su escrito de defensa propuso como prueba la declaración en juicio oral de las menores, en ninguna de sus modalidades, lo que refuerza la impresión de que resultaba patente que se habían observado las garantías constitucionales. En este caso, por tanto, los órganos judiciales responsables de la investigación o el juicio no se pronunciaron sobre la posibilidad de interrogatorio directo de las menores, ni lo obstaculizaron o impidieron.</w:t>
      </w:r>
    </w:p>
    <w:p w:rsidR="0026452D" w:rsidRDefault="0026452D" w:rsidP="0026452D">
      <w:pPr>
        <w:pStyle w:val="TextoNormal"/>
      </w:pPr>
    </w:p>
    <w:p w:rsidR="0026452D" w:rsidRDefault="0026452D" w:rsidP="0026452D">
      <w:pPr>
        <w:pStyle w:val="TextoNormal"/>
      </w:pPr>
      <w:r>
        <w:t xml:space="preserve">El conjunto de vicisitudes procesales que han sido descritas permite afirmar que, en este caso, precisamente conforme a la doctrina fijada en la STC 174/2011, aplicada a un caso cuyas diferencias se han expuesto, el demandante tuvo posibilidad suficiente de ejercer adecuadamente su derecho de defensa y contradicción frente a las manifestaciones prestadas por las menores durante su exploración pericial en fase sumarial, dado que fueron grabadas en video, recogidas en el informe psicosocial elaborado e, inmediatamente después, puestas a disposición de la defensa, pudiendo ser cuestionadas con suficiente antelación antes de que la instrucción fuera concluida. La defensa del demandante conoció la exploración de las menores, tuvo pleno acceso a su contenido íntegro y a su grabación audiovisual. Por tanto, tuvo posibilidad de cuestionarla durante todo el proceso judicial y pudo solicitar la ampliación de la misma a fin de que, en una nueva exploración, se les plantearan otros aspectos, preguntas o matizaciones. El ordenamiento jurídico procesal no lo impedía. El demandante no lo consideró entonces necesario u oportuno y además —como ya se ha dicho— no propuso como prueba a practicar en el juicio oral la exploración de las menores. Por todo lo expuesto, no se aprecia el déficit de contradicción que sería constitucionalmente relevante si, de haber pretendido cuestionarlas, le hubiera sido impedido por los órganos judiciales (SSTEDH </w:t>
      </w:r>
      <w:r w:rsidRPr="0026452D">
        <w:rPr>
          <w:i/>
        </w:rPr>
        <w:t>S.N. c. Suecia</w:t>
      </w:r>
      <w:r>
        <w:t xml:space="preserve">, antes citada, § 49-50; </w:t>
      </w:r>
      <w:r w:rsidRPr="0026452D">
        <w:rPr>
          <w:i/>
        </w:rPr>
        <w:t>B. contra Finlandia</w:t>
      </w:r>
      <w:r>
        <w:t xml:space="preserve">, de 24 de abril de 2007, § 44 o el Auto </w:t>
      </w:r>
      <w:r w:rsidRPr="0026452D">
        <w:rPr>
          <w:i/>
        </w:rPr>
        <w:t>Accardi y otros contra Italia</w:t>
      </w:r>
      <w:r>
        <w:t>, de 20 de enero de 2005) o si, por falta de suficiente información o puesta a su disposición, o por impedimento legal, no hubiese podido contradecir la exploración en la forma que ha sido indicada. Todo lo cual conduce a la desestimación de la pretensión de amparo en cuanto denuncia la vulneración del derecho a un proceso con todas las garantías por insuficiente contradicción.</w:t>
      </w:r>
    </w:p>
    <w:p w:rsidR="0026452D" w:rsidRDefault="0026452D" w:rsidP="0026452D">
      <w:pPr>
        <w:pStyle w:val="TextoNormal"/>
      </w:pPr>
    </w:p>
    <w:p w:rsidR="0026452D" w:rsidRDefault="0026452D" w:rsidP="0026452D">
      <w:pPr>
        <w:pStyle w:val="TextoNormal"/>
      </w:pPr>
      <w:r w:rsidRPr="0026452D">
        <w:rPr>
          <w:rStyle w:val="NumeroAFNegritaCaracter"/>
        </w:rPr>
        <w:t>6</w:t>
      </w:r>
      <w:r>
        <w:t>. Resta por analizar la alegada vulneración del derecho a la presunción de inocencia que, con los mismos argumentos, y alguno adicional, se formula en último lugar en la demanda denunciando la insuficiencia de la prueba de cargo.</w:t>
      </w:r>
    </w:p>
    <w:p w:rsidR="0026452D" w:rsidRDefault="0026452D" w:rsidP="0026452D">
      <w:pPr>
        <w:pStyle w:val="TextoNormal"/>
      </w:pPr>
    </w:p>
    <w:p w:rsidR="0026452D" w:rsidRDefault="0026452D" w:rsidP="0026452D">
      <w:pPr>
        <w:pStyle w:val="TextoNormal"/>
      </w:pPr>
      <w:r>
        <w:t xml:space="preserve">Descartada como ha sido la relevancia constitucional de la forma en que la contradicción fue posible en la vía judicial previa, quedan sin contenido los argumentos del demandante que funda en dicho supuesto déficit la vulneración de su derecho a ser presumido inocente. La denunciada vulneración queda reducida, por ello, a las alegaciones en las que se afirma la existencia de dudas sobre su culpabilidad que derivarían de la falta de credibilidad de </w:t>
      </w:r>
      <w:r>
        <w:lastRenderedPageBreak/>
        <w:t>algunos de los testimonios prestados en el juicio oral; de la falta de valoración de determinadas pruebas que justificarían suficientemente su absolución y de la impugnación de la naturaleza de testimonio de referencia que tienen las declaraciones de los progenitores de las menores, las de sus tutoras y las manifestaciones de las dos expertas que las exploraron en fase sumarial, condición ésta que, en su opinión, devalúa la suficiencia probatoria de la prueba practicada.</w:t>
      </w:r>
    </w:p>
    <w:p w:rsidR="0026452D" w:rsidRDefault="0026452D" w:rsidP="0026452D">
      <w:pPr>
        <w:pStyle w:val="TextoNormal"/>
      </w:pPr>
    </w:p>
    <w:p w:rsidR="0026452D" w:rsidRDefault="0026452D" w:rsidP="0026452D">
      <w:pPr>
        <w:pStyle w:val="TextoNormal"/>
      </w:pPr>
      <w:r>
        <w:t>a) La primera de las alegaciones, en tanto cuestiona materialmente la credibilidad de algunos testimonios presentados en el juicio oral, no forma parte del contenido del derecho a la presunción de inocencia que es evaluable por el Tribunal Constitucional en el proceso de amparo. El bagaje teórico y jurisprudencial necesario para desestimar esta queja, como hemos reiterado muchas veces antes en nuestra jurisprudencia, parte de la radical falta de competencia de esta jurisdicción de amparo para la valoración de la actividad probatoria practicada en un proceso penal y para la evaluación de dicha valoración conforme a criterios de calidad o de oportunidad. Como señalamos en la STC 220/1998, de 16 de noviembre,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Y es que, como se afirmó ya en la STC 174/1985, de 17 de diciembre, “la función del Tribunal Constitucional, cuando se alega ante él la presunción de inocencia, es verificar si ha existido esa prueba que pueda estimarse racionalmente de cargo. En caso afirmativo no le compete revisar la valoración de que tal prueba haya realizado el juzgador en conciencia, de acuerdo con el citado art. 741 de la Ley de Enjuiciamiento Criminal, pues su jurisdicción respecto a la actuación de los Tribunales ordinarios se reduce a determinar si se han vulnerado o no las garantías constitucionales [arts. 117.3, 123.1, 161.1 b) de la Constitución y 44 y 54 de la LOTC], sin que pueda ni deba actuar como una tercera instancia” (FJ 2).</w:t>
      </w:r>
    </w:p>
    <w:p w:rsidR="0026452D" w:rsidRDefault="0026452D" w:rsidP="0026452D">
      <w:pPr>
        <w:pStyle w:val="TextoNormal"/>
      </w:pPr>
    </w:p>
    <w:p w:rsidR="0026452D" w:rsidRDefault="0026452D" w:rsidP="0026452D">
      <w:pPr>
        <w:pStyle w:val="TextoNormal"/>
      </w:pPr>
      <w:r>
        <w:t xml:space="preserve">Desde la perspectiva del resultado de la valoración, que es la que utiliza el demandante para tratar de dar sentido a su queja, el control a través del amparo debe ser prudente. Dados los límites y configuración del proceso constitucional de amparo,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pues, como señalamos en la STC 81/1998, de 2 de abril, FJ 3, aunque “la presunción de inocencia, en su vertiente de regla de juicio ... opera, en el ámbito de la jurisdicción ordinaria, como el derecho del acusado a no sufrir una condena a menos que la culpabilidad haya quedado establecida más allá de toda duda razonable, en virtud de pruebas que puedan considerarse de cargo y obtenidas con todas las garantías”; dicha exigencia de convicción fundada debidamente obtenida sólo puede ser denunciada y analizada en toda su extensión, con todo su contenido, ante la jurisdicción ordinaria, mientras que, de forma más limitada, la jurisdicción constitucional “que no puede entrar a valorar las pruebas sustituyendo a los Jueces y Tribunales ordinarios en su función exclusiva </w:t>
      </w:r>
      <w:r w:rsidRPr="0026452D">
        <w:rPr>
          <w:i/>
        </w:rPr>
        <w:t>ex</w:t>
      </w:r>
      <w:r>
        <w:t xml:space="preserve"> art. 117.1 CE (SSTC 174/1985, fundamento jurídico 5; 63/1993, fundamento jurídico 5 y 244/1984, fundamento jurídico 2, entre otras muchas)” sólo podrá constatar y declarar la vulneración del derecho fundamental por vía de amparo “cuando no exista una actividad probatoria de cargo constitucionalmente válida, de la que, de modo no </w:t>
      </w:r>
      <w:r>
        <w:lastRenderedPageBreak/>
        <w:t>arbitrario, puede inferirse la culpabilidad, como hemos venido afirmando desde la STC 31/1981, de 28 de julio, FJ 3, hasta las más recientes”.</w:t>
      </w:r>
    </w:p>
    <w:p w:rsidR="0026452D" w:rsidRDefault="0026452D" w:rsidP="0026452D">
      <w:pPr>
        <w:pStyle w:val="TextoNormal"/>
      </w:pPr>
    </w:p>
    <w:p w:rsidR="0026452D" w:rsidRDefault="0026452D" w:rsidP="0026452D">
      <w:pPr>
        <w:pStyle w:val="TextoNormal"/>
      </w:pPr>
      <w:r>
        <w:t xml:space="preserve">b) La condena del demandante se apoya en este caso en las declaraciones de las menores prestadas durante su exploración en fase sumarial, que fueron introducidas legítimamente en el juicio oral a través de la reproducción de su grabación audiovisual, la cual pudo ser observada tanto por el Tribunal sentenciador como por las partes. A partir de la constatación de que existía una causa legítima para que las menores no asistieran al juicio oral como testigos de la acusación, el testimonio de referencia de sus progenitores, de sus tutoras y el de las mismas expertas que las exploraron, en cuanto narran la manifestación incriminatoria que a ellos les hicieron las niñas, puede ser legítimamente valorado, aunque sólo tenga como función argumental reforzar o restar credibilidad a dicha incriminación, pero no sustituirla. Si en relación con el testimonio de referencia hemos advertido desde las SSTC 217/1989, de 21 de diciembre, FJ 4; 79/1994, de 14 de marzo, FJ 4; y 35/1995, de 6 de febrero, FJ 3, sobre los “recelos o reservas a su aceptación como medio apto para desvirtuar la presunción de inocencia”, es precisamente para evitar que a su través se sustituya u obvie el contenido del testimonio directo (STC 209/2001, de 22 de octubre, FJ 4), eludiendo así la inmediación y el propio debate sobre la realidad del hecho que conforma la acusación. Dichas cautelas y precauciones decaen cuando las manifestaciones del testigo directo acceden al juicio oral en cualquiera de las formas permitidas en Derecho, como ha ocurrido en este caso, pues dichas manifestaciones, cuando son incriminatorias, constituyen la mínima y suficiente actividad probatoria que, en el proceso de amparo, permite dar por desvirtuada la presunción de inocencia del demandante (STC 41/2003, de 27 de febrero, FJ 3). En tales supuestos, el testimonio de referencia sobre lo que el testigo directo manifestó no cumple otra función probatoria que conformar el debate y formar convicción sobre la credibilidad del testimonio directo, que —como dijimos— es la verdadera prueba de cargo (SSTEDH caso </w:t>
      </w:r>
      <w:r w:rsidRPr="0026452D">
        <w:rPr>
          <w:i/>
        </w:rPr>
        <w:t>P.S. contra Alemania</w:t>
      </w:r>
      <w:r>
        <w:t xml:space="preserve">, § 30; caso </w:t>
      </w:r>
      <w:r w:rsidRPr="0026452D">
        <w:rPr>
          <w:i/>
        </w:rPr>
        <w:t>W. contra Finlandia</w:t>
      </w:r>
      <w:r>
        <w:t xml:space="preserve">, § 47; caso </w:t>
      </w:r>
      <w:r w:rsidRPr="0026452D">
        <w:rPr>
          <w:i/>
        </w:rPr>
        <w:t>D. contra Finlandia</w:t>
      </w:r>
      <w:r>
        <w:t>, § 44). No se aprecia, por ello, la vulneración denunciada.</w:t>
      </w:r>
    </w:p>
    <w:p w:rsidR="0026452D" w:rsidRDefault="0026452D" w:rsidP="0026452D">
      <w:pPr>
        <w:pStyle w:val="TextoNormal"/>
      </w:pPr>
    </w:p>
    <w:p w:rsidR="0026452D" w:rsidRDefault="0026452D" w:rsidP="0026452D">
      <w:pPr>
        <w:pStyle w:val="TextoNormal"/>
      </w:pPr>
      <w:r>
        <w:t>c) El mismo razonamiento lleva a descartar la queja en cuanto alega que no han sido valoradas pruebas favorables a la versión del demandante. El examen de la motivación fáctica de las extensas y razonadas Sentencias de instancia y apelación (fundamentos jurídicos primero y segundo, respectivamente) pone de relieve que dichas pruebas fueron valoradas, aunque no han sido decisivas para formar la convicción judicial sobre los hechos. Más allá de tal constatación, no corresponde a la jurisdicción de este Tribunal atender la pretensión de nueva y subjetiva valoración de la prueba que funda la queja del recurrente, ni, como si fuera una tercera instancia, revisar o sustituir a los órganos jurisdiccionales penales en la valoración del significado y trascendencia de los distintos elementos de prueba sobre los que se ha fundamentado la condena, pues la misma les ha llevado a considerar fundada y motivadamente que, más allá de toda duda razonable, los hechos imputados han resultado probados.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lastRenderedPageBreak/>
        <w:t>Ha decidido</w:t>
      </w:r>
    </w:p>
    <w:p w:rsidR="0026452D" w:rsidRDefault="0026452D" w:rsidP="0026452D">
      <w:pPr>
        <w:pStyle w:val="TextoNormalCentrado"/>
        <w:keepNext/>
      </w:pPr>
    </w:p>
    <w:p w:rsidR="0026452D" w:rsidRDefault="0026452D" w:rsidP="0026452D">
      <w:pPr>
        <w:pStyle w:val="TextoNormal"/>
      </w:pPr>
      <w:r>
        <w:t>Denegar el amparo solicitado por don Eduardo González Nájera.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61" w:name="SENTENCIA_2013_58"/>
      <w:r>
        <w:lastRenderedPageBreak/>
        <w:t>SENTENCIA 58/2013, de 11 de marzo de 2013</w:t>
      </w:r>
    </w:p>
    <w:bookmarkEnd w:id="61"/>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ECLI:ES:TC:2013:58</w:t>
      </w:r>
    </w:p>
    <w:p w:rsidR="0026452D" w:rsidRDefault="0026452D" w:rsidP="0026452D">
      <w:pPr>
        <w:pStyle w:val="SntesisDescriptiva"/>
      </w:pPr>
    </w:p>
    <w:p w:rsidR="0026452D" w:rsidRDefault="0026452D" w:rsidP="0026452D">
      <w:pPr>
        <w:pStyle w:val="SntesisDescriptiva"/>
      </w:pPr>
      <w:r>
        <w:t>Cuestión de inconstitucionalidad 4595-2011. Planteada por el Juzgado de lo Contencioso-Administrativo núm. 6 de Murcia con relación el artículo 7.2 l) de la Ley de la Asamblea Regional de Murcia 5/2001, de 5 de diciembre, de personal estatutario del Servicio Murciano de Salud.</w:t>
      </w:r>
    </w:p>
    <w:p w:rsidR="0026452D" w:rsidRDefault="0026452D" w:rsidP="0026452D">
      <w:pPr>
        <w:pStyle w:val="SntesisDescriptiva"/>
      </w:pPr>
    </w:p>
    <w:p w:rsidR="0026452D" w:rsidRDefault="0026452D" w:rsidP="0026452D">
      <w:pPr>
        <w:pStyle w:val="SntesisAnaltica"/>
      </w:pPr>
      <w:r>
        <w:t>Derecho de huelga: nulidad del precepto legal que atribuye a un órgano administrativo de dirección y gestión, el Director Gerente del Servicio Murciano de Salud, la fijación de los servicios mínimos en el caso de huelga (STC 296/2006).</w:t>
      </w:r>
    </w:p>
    <w:p w:rsidR="0026452D" w:rsidRDefault="0026452D" w:rsidP="0026452D">
      <w:pPr>
        <w:pStyle w:val="SntesisAnaltica"/>
      </w:pPr>
    </w:p>
    <w:p w:rsidR="0026452D" w:rsidRDefault="0026452D" w:rsidP="0026452D">
      <w:pPr>
        <w:pStyle w:val="Extracto"/>
      </w:pPr>
      <w:r>
        <w:t>1.</w:t>
      </w:r>
      <w:r>
        <w:tab/>
        <w:t>La presente cuestión, en lo que respecta a la posible vulneración del art. 28.2 CE con motivo de la atribución al director gerente del Servicio de salud autonómico, de la fijación de los servicios mínimos en los casos de huelga de su personal, es esencialmente igual a la resuelta por la STC 296/2006  [FFJJ 3, 4].</w:t>
      </w:r>
    </w:p>
    <w:p w:rsidR="0026452D" w:rsidRDefault="0026452D" w:rsidP="0026452D">
      <w:pPr>
        <w:pStyle w:val="Extracto"/>
      </w:pPr>
    </w:p>
    <w:p w:rsidR="0026452D" w:rsidRDefault="0026452D" w:rsidP="0026452D">
      <w:pPr>
        <w:pStyle w:val="Extracto"/>
      </w:pPr>
      <w:r>
        <w:t>2.</w:t>
      </w:r>
      <w:r>
        <w:tab/>
        <w:t>El Director Gerente del Servicio de salud no es un órgano políticamente responsable ante los ciudadanos de modo directo o indirecto, sino de un órgano de gestión y por ello no reúne las condiciones de neutralidad e independencia necesarias para que la atribución de la competencia para fijar los servicios mínimos en caso de huelga pudiera considerarse como respetuosa con el contenido del derecho de huelga reconocido en el art. 28.2 CE (STC 296/2006) [FJ 3].</w:t>
      </w:r>
    </w:p>
    <w:p w:rsidR="0026452D" w:rsidRDefault="0026452D" w:rsidP="0026452D">
      <w:pPr>
        <w:pStyle w:val="Extracto"/>
      </w:pPr>
    </w:p>
    <w:p w:rsidR="0026452D" w:rsidRDefault="0026452D" w:rsidP="0026452D">
      <w:pPr>
        <w:pStyle w:val="Extracto"/>
      </w:pPr>
      <w:r>
        <w:t>3.</w:t>
      </w:r>
      <w:r>
        <w:tab/>
        <w:t xml:space="preserve">La facultad del Director Gerente para la fijación de los servicios mínimos afecta al ejercicio de derechos fundamentales, lo que requiere que los adopte un órgano que se halle en una posición </w:t>
      </w:r>
      <w:r w:rsidRPr="0026452D">
        <w:rPr>
          <w:i/>
        </w:rPr>
        <w:t>supra partes</w:t>
      </w:r>
      <w:r>
        <w:t xml:space="preserve"> y que se encuentre revestido de autoridad política, características que no concurren en la figura examinada, al ser un órgano de gestión y administración de la entidad afectada por la huelga, en el que no concurren los requisitos de neutralidad e imparcialidad precisos para poder apreciar todos los aspectos sociales del conflicto (SSTC 26/1981, 36/2007) [FJ 4].</w:t>
      </w:r>
    </w:p>
    <w:p w:rsidR="0026452D" w:rsidRDefault="0026452D" w:rsidP="0026452D">
      <w:pPr>
        <w:pStyle w:val="Extracto"/>
      </w:pPr>
    </w:p>
    <w:p w:rsidR="0026452D" w:rsidRDefault="0026452D" w:rsidP="0026452D">
      <w:pPr>
        <w:pStyle w:val="Extracto"/>
      </w:pPr>
      <w:r>
        <w:t>4.</w:t>
      </w:r>
      <w:r>
        <w:tab/>
        <w:t xml:space="preserve">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w:t>
      </w:r>
      <w:r w:rsidRPr="0026452D">
        <w:rPr>
          <w:i/>
        </w:rPr>
        <w:t>a quo</w:t>
      </w:r>
      <w:r>
        <w:t xml:space="preserve"> y de su validez dependa la decisión a adoptar en éste (SSTC 79/2011, 28/2012) [FJ 2].</w:t>
      </w:r>
    </w:p>
    <w:p w:rsidR="0026452D" w:rsidRDefault="0026452D" w:rsidP="0026452D">
      <w:pPr>
        <w:pStyle w:val="Extracto"/>
      </w:pPr>
    </w:p>
    <w:p w:rsidR="0026452D" w:rsidRDefault="0026452D" w:rsidP="0026452D">
      <w:pPr>
        <w:pStyle w:val="Extracto"/>
      </w:pPr>
      <w:r>
        <w:t>5.</w:t>
      </w:r>
      <w:r>
        <w:tab/>
        <w:t>Procede declarar la inconstitucionalidad y consiguiente nulidad del precepto autonómico por ser claramente incompatible con el art. 28.2 CE, al atribuir la fijación de los servicios mínimos en caso de huelga a un órgano que no tiene la cualidad de autoridad gubernativa [FJ 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lastRenderedPageBreak/>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la cuestión de inconstitucionalidad núm. 4595-2011 promovida por el Juzgado de lo Contencioso-Administrativo núm. 6 de Murcia con relación al art. 7.2 l) de la Ley de la Asamblea Regional de Murcia 5/2001, de 5 de diciembre, de personal estatutario del Servicio Murciano de Salud, por posible vulneración del art. 28.2 de la Constitución. Han comparecido y formulado alegaciones el Consejo de Gobierno de la Región de Murcia, el Fiscal General del Estado, Comisiones Obreras de la Región de Murcia, y la Unión General de Trabajadores de la Región de Murcia. Ha sido Ponente la Magistrada doña Encarnación Roca Trías,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día 2 de agosto de 2011 tuvo entrada en el Registro General del Tribunal Constitucional un escrito del Juzgado de lo Contencioso-Administrativo núm. 6 de Murcia, al que se acompaña, junto al testimonio del correspondiente procedimiento, el Auto de 27 de julio de 2011, por el que se acuerda plantear una cuestión de inconstitucionalidad en relación con el art. 7.2 l) de la Ley de la Asamblea Regional de Murcia 5/2001, de 5 de diciembre, de personal estatutario del Servicio Murciano de Salud, por posible vulneración del art. 28.2 CE, al otorgar al Director Gerente del citado Servicio la competencia para fijar los servicios mínimos en caso de huelga.</w:t>
      </w:r>
    </w:p>
    <w:p w:rsidR="0026452D" w:rsidRDefault="0026452D" w:rsidP="0026452D">
      <w:pPr>
        <w:pStyle w:val="TextoNormal"/>
      </w:pPr>
    </w:p>
    <w:p w:rsidR="0026452D" w:rsidRDefault="0026452D" w:rsidP="0026452D">
      <w:pPr>
        <w:pStyle w:val="TextoNormal"/>
      </w:pPr>
      <w:r w:rsidRPr="0026452D">
        <w:rPr>
          <w:rStyle w:val="NumeroAFNegritaCaracter"/>
        </w:rPr>
        <w:t>2</w:t>
      </w:r>
      <w:r>
        <w:t>. Los antecedentes de hecho del planteamiento de la presente cuestión de inconstitucionalidad son los siguientes:</w:t>
      </w:r>
    </w:p>
    <w:p w:rsidR="0026452D" w:rsidRDefault="0026452D" w:rsidP="0026452D">
      <w:pPr>
        <w:pStyle w:val="TextoNormal"/>
      </w:pPr>
    </w:p>
    <w:p w:rsidR="0026452D" w:rsidRDefault="0026452D" w:rsidP="0026452D">
      <w:pPr>
        <w:pStyle w:val="TextoNormal"/>
      </w:pPr>
      <w:r>
        <w:t>a) Los sindicatos Comisiones Obreras y Unión General de Trabajadores, ambos de la Región de Murcia, convocaron una huelga general para la jornada del 29 de septiembre de 2010, a cuyo efecto, remitieron a la Consejería de Presidencia y Administraciones Públicas de la Región de Murcia un escrito sobre la convocatoria de la huelga y los objetivos de la misma.</w:t>
      </w:r>
    </w:p>
    <w:p w:rsidR="0026452D" w:rsidRDefault="0026452D" w:rsidP="0026452D">
      <w:pPr>
        <w:pStyle w:val="TextoNormal"/>
      </w:pPr>
    </w:p>
    <w:p w:rsidR="0026452D" w:rsidRDefault="0026452D" w:rsidP="0026452D">
      <w:pPr>
        <w:pStyle w:val="TextoNormal"/>
      </w:pPr>
      <w:r>
        <w:t>b) Por resolución de 16 de septiembre de 2010 del Director Gerente del Servicio Murciano de Salud, se fijaron los servicios mínimos correspondientes a la citada huelga general.</w:t>
      </w:r>
    </w:p>
    <w:p w:rsidR="0026452D" w:rsidRDefault="0026452D" w:rsidP="0026452D">
      <w:pPr>
        <w:pStyle w:val="TextoNormal"/>
      </w:pPr>
    </w:p>
    <w:p w:rsidR="0026452D" w:rsidRDefault="0026452D" w:rsidP="0026452D">
      <w:pPr>
        <w:pStyle w:val="TextoNormal"/>
      </w:pPr>
      <w:r>
        <w:lastRenderedPageBreak/>
        <w:t>c) Con fecha de 23 de septiembre de 2010, los sindicatos arriba indicados formularon recurso contencioso-administrativo por el procedimiento especial para la protección de derechos fundamentales de la persona, ante la Sala de lo Contencioso-Administrativo del Tribunal Superior de Justicia de Murcia, que por Auto de 2 noviembre de 2010 acordó declarar su incompetencia para el conocimiento del recurso interpuesto e inhibirse a favor de los Juzgados de lo Contencioso-Administrativo de Murcia. A resultas de lo anterior, el recurso fue turnado al Juzgado de lo Contencioso-Administrativo núm. 6 de Murcia, dando lugar a los autos sobre derechos fundamentales núm. 839-2010.</w:t>
      </w:r>
    </w:p>
    <w:p w:rsidR="0026452D" w:rsidRDefault="0026452D" w:rsidP="0026452D">
      <w:pPr>
        <w:pStyle w:val="TextoNormal"/>
      </w:pPr>
    </w:p>
    <w:p w:rsidR="0026452D" w:rsidRDefault="0026452D" w:rsidP="0026452D">
      <w:pPr>
        <w:pStyle w:val="TextoNormal"/>
      </w:pPr>
      <w:r>
        <w:t>d) Con fecha de 10 de febrero de 2011, los sindicatos recurrentes formularon demanda pidiendo que se declarase la nulidad de la mencionada resolución de 16 de septiembre de 2010, por entender que vulneraba los derechos de huelga y de libertad sindical (art. 28 CE). En este sentido, se denunció la falta de motivación y proporcionalidad de los servicios mínimos fijados, así como la incompetencia del órgano que los determinó (al no tener el Director Gerente del Servicio Murciano de Salud la condición de autoridad gubernativa). Finalmente, se interesó también el planteamiento de cuestión de inconstitucionalidad con relación al art. 7.2 l) de Ley de la Asamblea Regional de Murcia 5/2001, de 5 de diciembre, de personal estatutario del Servicio Murciano de Salud, al otorgar la competencia para la determinación de los servicios mínimos al Director Gerente del referido servicio.</w:t>
      </w:r>
    </w:p>
    <w:p w:rsidR="0026452D" w:rsidRDefault="0026452D" w:rsidP="0026452D">
      <w:pPr>
        <w:pStyle w:val="TextoNormal"/>
      </w:pPr>
    </w:p>
    <w:p w:rsidR="0026452D" w:rsidRDefault="0026452D" w:rsidP="0026452D">
      <w:pPr>
        <w:pStyle w:val="TextoNormal"/>
      </w:pPr>
      <w:r>
        <w:t>e) Tras la completa tramitación del proceso, con fecha de 23 de junio de 2011, el Juzgado de lo Contencioso-Administrativo núm. 6 de Murcia dictó providencia al amparo del art. 35.2 de la Ley Orgánica 2/1979, de 3 de octubre, del Tribunal Constitucional (en adelante, LOTC), concediendo trámite a las partes y al Ministerio Fiscal para que, en el plazo de diez días, alegasen sobre la pertinencia de plantear la cuestión de inconstitucionalidad propuesta por la parte recurrente en su demanda.</w:t>
      </w:r>
    </w:p>
    <w:p w:rsidR="0026452D" w:rsidRDefault="0026452D" w:rsidP="0026452D">
      <w:pPr>
        <w:pStyle w:val="TextoNormal"/>
      </w:pPr>
    </w:p>
    <w:p w:rsidR="0026452D" w:rsidRDefault="0026452D" w:rsidP="0026452D">
      <w:pPr>
        <w:pStyle w:val="TextoNormal"/>
      </w:pPr>
      <w:r>
        <w:t>f) Con fecha de 22 de julio de 2011, el Fiscal se remitió a lo expuesto, en lo relativo al planteamiento de la cuestión de inconstitucionalidad, en su escrito de alegaciones de 18 de febrero de 2011, por el que despachó el traslado conferido por diligencia de ordenación de 14 de febrero de 2011 del Juzgado de lo Contencioso-Administrativo núm. 6 de Murcia.</w:t>
      </w:r>
    </w:p>
    <w:p w:rsidR="0026452D" w:rsidRDefault="0026452D" w:rsidP="0026452D">
      <w:pPr>
        <w:pStyle w:val="TextoNormal"/>
      </w:pPr>
    </w:p>
    <w:p w:rsidR="0026452D" w:rsidRDefault="0026452D" w:rsidP="0026452D">
      <w:pPr>
        <w:pStyle w:val="TextoNormal"/>
      </w:pPr>
      <w:r>
        <w:t>g) Por medio de Auto del Juzgado de lo Contencioso-Administrativo núm. 6 de Murcia, de 27 de julio de 2011, se acordó elevar a este Tribunal cuestión de inconstitucionalidad sobre el art. 7.2 l) de la Ley de la Asamblea de la Región de Murcia 5/2001, de 5 de diciembre, de personal estatutario del Servicio Murciano de Salud, por posible vulneración del art. 28.2 CE.</w:t>
      </w:r>
    </w:p>
    <w:p w:rsidR="0026452D" w:rsidRDefault="0026452D" w:rsidP="0026452D">
      <w:pPr>
        <w:pStyle w:val="TextoNormal"/>
      </w:pPr>
    </w:p>
    <w:p w:rsidR="0026452D" w:rsidRDefault="0026452D" w:rsidP="0026452D">
      <w:pPr>
        <w:pStyle w:val="TextoNormal"/>
      </w:pPr>
      <w:r w:rsidRPr="0026452D">
        <w:rPr>
          <w:rStyle w:val="NumeroAFNegritaCaracter"/>
        </w:rPr>
        <w:t>3</w:t>
      </w:r>
      <w:r>
        <w:t>. En el Auto de planteamiento de la cuestión de inconstitucionalidad, el órgano judicial proponente, tras concretar los antecedentes de hecho en el planteamiento de la cuestión y las alegaciones efectuadas por las partes y el Ministerio Fiscal, sobre la constitucionalidad de los apartados controvertidos, realiza, en síntesis, las consideraciones que a continuación se extractan.</w:t>
      </w:r>
    </w:p>
    <w:p w:rsidR="0026452D" w:rsidRDefault="0026452D" w:rsidP="0026452D">
      <w:pPr>
        <w:pStyle w:val="TextoNormal"/>
      </w:pPr>
    </w:p>
    <w:p w:rsidR="0026452D" w:rsidRDefault="0026452D" w:rsidP="0026452D">
      <w:pPr>
        <w:pStyle w:val="TextoNormal"/>
      </w:pPr>
      <w:r>
        <w:t xml:space="preserve">Recuerda el órgano judicial que el art. 10 del Real Decreto-ley 17/1977, de 4 de marzo, de relaciones de trabajo, dispone que “[c]uando la huelga se declare en empresas encargadas de la prestación de cualquier género de servicios públicos o de reconocida e inaplazable necesidad y concurran circunstancias de especial gravedad, la autoridad gubernativa podrá </w:t>
      </w:r>
      <w:r>
        <w:lastRenderedPageBreak/>
        <w:t>acordar las medidas necesarias para asegurar el funcionamiento de los servicios”. Añade que el Tribunal Constitucional ha tenido la ocasión de concretar el concepto de “autoridad gubernativa” al que ese artículo se refiere, así como de resaltar la incidencia que la inobservancia del precepto puede tener en el contenido esencial del derecho de huelga (art. 28.2 CE). En este sentido, trae a colación la doctrina constitucional dictada al respecto, según la cual: la decisión sobre la adopción de las garantías de funcionamiento de los servicios no puede ponerse en manos de ninguna de las partes implicadas, sino que debe ser sometida a un tercero imparcial (STC 11/1981, de 8 de abril); las limitaciones que los derechos fundamentales puedan sufrir en aras del mantenimiento de los servicios esenciales han de ser establecidas por el Gobierno u órgano que ejerza la responsabilidad de gobierno (STC 26/1981, de 17 de julio), pues sólo así se puede asegurar que las limitaciones al derecho de huelga sean en atención a los intereses de la comunidad, de una manera imparcial y de acuerdo con las características y necesidades del servicio afectado por la huelga (STC 27/1989, de 3 de febrero); y, por último, que el criterio diferenciador para distinguir entre órganos políticos o de gobierno y los órganos propiamente administrativos es el de la existencia de responsabilidad política (STC 296/2006, de 11 de octubre). Pues bien, conforme a esta última Sentencia, se señala que la atribución al Servicio Murciano de Salud de la competencia para fijar los servicios mínimos “no puede bastar para transformar la naturaleza jurídica del órgano” y que “la responsabilidad ante el conjunto de los ciudadanos ha de concurrir en el órgano de que se trate al margen de que se le atribuya o no expresamente una facultad que la Constitución reserva a los órganos de gobierno”.</w:t>
      </w:r>
    </w:p>
    <w:p w:rsidR="0026452D" w:rsidRDefault="0026452D" w:rsidP="0026452D">
      <w:pPr>
        <w:pStyle w:val="TextoNormal"/>
      </w:pPr>
    </w:p>
    <w:p w:rsidR="0026452D" w:rsidRDefault="0026452D" w:rsidP="0026452D">
      <w:pPr>
        <w:pStyle w:val="TextoNormal"/>
      </w:pPr>
      <w:r>
        <w:t xml:space="preserve">A la vista de lo anterior, se pasa a examinar la figura del Director Gerente del Servicio Murciano de Salud diseñada por la normativa que lo regula, con el fin de comprobar si resultaba competente para fijar los servicios mínimos controvertidos. Indica a este respecto, que la Ley autonómica 5/2001, incluye al Director General (art. 4) entre los órganos superiores de dirección y gestión del personal estatutario del Servicio Murciano de Salud, a quien corresponde la “ejecución y la coordinación de las medidas que guardan relación con la dirección y gestión del personal estatutario, conforme a las directrices que establezca el Consejo de Administración” (art.7). Por su parte, el Decreto autonómico 148/2002, de 27 de diciembre, al referirse a la estructura organizativa del citado Servicio, incluye entre los órganos centrales de gestión, al Director Gerente [art. 2.1 1 c)], y lo define como órgano ejecutivo que ejercerá las facultades de dirección y gestión, dentro de los límites y de acuerdo con las directrices establecidas por el Consejo de Administración (art. 7). Pues bien, de todo lo anterior, el órgano judicial deduce que el Director Gerente del Servicio Murciano de Salud es un órgano superior central de gestión del Servicio (y no de dirección), cuyo cometido es el desarrollo general, la ejecución y la coordinación de las medidas que guarden relación con la dirección y gestión del personal estatutario, labor para la que cuenta con el apoyo de tres direcciones generales (estructuradas, a su vez, en subdirecciones generales). Y, añade, que la norma controvertida que permite al Director Gerente aprobar las medidas que garanticen los servicios mínimos en los casos de huelga en los centros dependientes del Servicio Murciano de Salud, es heterogénea respecto de las demás facultades enumeradas, pues la fijación de los servicios mínimos exige una ponderación del ejercicio del derecho de huelga de los trabajadores y de las garantías precisas para asegurar el mantenimiento de los servicios esenciales de la comunidad, según dispone el art. 28.2 CE, que requiere una nota de imparcialidad, y, por lo tanto, una posición externa al ámbito en el que se va a desarrollar el ejercicio del derecho fundamental. En definitiva, resultaría incompatible con </w:t>
      </w:r>
      <w:r>
        <w:lastRenderedPageBreak/>
        <w:t>la actuación de quien es, simultáneamente, órgano superior y central de gestión y jefe de personal.</w:t>
      </w:r>
    </w:p>
    <w:p w:rsidR="0026452D" w:rsidRDefault="0026452D" w:rsidP="0026452D">
      <w:pPr>
        <w:pStyle w:val="TextoNormal"/>
      </w:pPr>
    </w:p>
    <w:p w:rsidR="0026452D" w:rsidRDefault="0026452D" w:rsidP="0026452D">
      <w:pPr>
        <w:pStyle w:val="TextoNormal"/>
      </w:pPr>
      <w:r>
        <w:t xml:space="preserve">En consecuencia, surge la duda sobre la constitucionalidad del art. 7.2 l) de la Ley de la Asamblea de la Región de Murcia 5/2001, de 5 de diciembre, de personal estatutario del Servicio Murciano de Salud, porque la fijación de los servicios mínimos en caso de huelga requiere que el órgano que los adopte se halle en una posición </w:t>
      </w:r>
      <w:r w:rsidRPr="0026452D">
        <w:rPr>
          <w:i/>
        </w:rPr>
        <w:t>supra partes</w:t>
      </w:r>
      <w:r>
        <w:t xml:space="preserve"> y que, además, se encuentre revestido de autoridad política ya que se trata de “privar a un conjunto de ciudadanos en un caso concreto de un derecho fundamental” (STC 26/1981, de 17 de julio). Dicha condición no la ostentaría el Director Gerente del Servicio Murciano de Salud, por más que fueran el Director y el Subdirector Generales de recursos humanos quienes participaran, cumpliendo instrucciones, en la negociación de los servicios mínimos, porque, en última instancia, la jefatura del personal sujeto a los servicios que se recurren corresponde al Director Gerente, que es parte en el conflicto y carece, por ello, de competencia.</w:t>
      </w:r>
    </w:p>
    <w:p w:rsidR="0026452D" w:rsidRDefault="0026452D" w:rsidP="0026452D">
      <w:pPr>
        <w:pStyle w:val="TextoNormal"/>
      </w:pPr>
    </w:p>
    <w:p w:rsidR="0026452D" w:rsidRDefault="0026452D" w:rsidP="0026452D">
      <w:pPr>
        <w:pStyle w:val="TextoNormal"/>
      </w:pPr>
      <w:r>
        <w:t>En definitiva, concluye el órgano judicial que debe plantear la cuestión de inconstitucionalidad promovida por la parte recurrente, en la medida en que para decidir sobre el motivo de impugnación referido a la falta de competencia del Director General del Servicio Murciano de Salud para fijar los servicios mínimos en caso de huelga, es necesario que previamente se declare si el art. 7.2 l) de la Ley autonómica citada, vulnera o no el art. 28.2 CE y la doctrina que lo desarrolla. La estimación de tal motivo, implicaría la del recurso interpuesto, sin necesidad de entrar en la consideración del resto de motivos de impugnación articulados, con la consiguiente nulidad de la resolución recurrida.</w:t>
      </w:r>
    </w:p>
    <w:p w:rsidR="0026452D" w:rsidRDefault="0026452D" w:rsidP="0026452D">
      <w:pPr>
        <w:pStyle w:val="TextoNormal"/>
      </w:pPr>
    </w:p>
    <w:p w:rsidR="0026452D" w:rsidRDefault="0026452D" w:rsidP="0026452D">
      <w:pPr>
        <w:pStyle w:val="TextoNormal"/>
      </w:pPr>
      <w:r w:rsidRPr="0026452D">
        <w:rPr>
          <w:rStyle w:val="NumeroAFNegritaCaracter"/>
        </w:rPr>
        <w:t>4</w:t>
      </w:r>
      <w:r>
        <w:t>. La Sección Tercera, mediante providencia de 31 de enero de 2012, acordó, en virtud del art. 37.1 LOTC, oír al Fiscal General del Estado para que en el plazo de diez días alegara lo que estimara conveniente acerca de la admisibilidad de la presente cuestión de inconstitucionalidad, en relación con el cumplimiento de los requisitos procesales (art. 35.2 LOTC).</w:t>
      </w:r>
    </w:p>
    <w:p w:rsidR="0026452D" w:rsidRDefault="0026452D" w:rsidP="0026452D">
      <w:pPr>
        <w:pStyle w:val="TextoNormal"/>
      </w:pPr>
    </w:p>
    <w:p w:rsidR="0026452D" w:rsidRDefault="0026452D" w:rsidP="0026452D">
      <w:pPr>
        <w:pStyle w:val="TextoNormal"/>
      </w:pPr>
      <w:r w:rsidRPr="0026452D">
        <w:rPr>
          <w:rStyle w:val="NumeroAFNegritaCaracter"/>
        </w:rPr>
        <w:t>5</w:t>
      </w:r>
      <w:r>
        <w:t>. Con fecha de 27 de febrero de 2012, el Fiscal General del Estado presentó escrito de alegaciones en el que sostiene que la forma en la que se dio cumplimiento por el órgano judicial al trámite prevenido en el art. 35.2 LOTC, aunque se puede considerar irregular (por cuanto que directamente no precisaba ni el precepto cuestionado ni el vulnerado de la Constitución, ni sus propias dudas de constitucionalidad, limitándose a remitirse a la “[c]uestión de inconstitucionalidad propuesta por la parte recurrente en el segundo otrosí digo de su demanda o sobre el fondo de esta”), sin embargo, no excedería de un supuesto de indeterminación relativa que no acarrearía la inadmisión, en tanto que habrían quedado expuestas, mínima pero suficientemente, las dudas del Juez en relación con la alegación de la demandante y la doctrina de la STC 296/2006, de 11 de octubre, que fue objeto de análisis por todos los intervinientes y reflejadas posteriormente en el Auto de planteamiento. En definitiva, la providencia inicial del citado trámite habría cumplido su finalidad, en cuanto que se ha podido conocer la opinión de los interesados para facilitar la resolución sobre la viabilidad y alcance del problema constitucional planteado.</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Por providencia de 22 de mayo de 2012, el Pleno de este Tribunal acordó tener por formuladas las alegaciones del Fiscal General del Estado y admitir a trámite la cuestión; deferir a la Sala Segunda, a la que por turno le había correspondido, el conocimiento de la </w:t>
      </w:r>
      <w:r>
        <w:lastRenderedPageBreak/>
        <w:t>presente cuestión, de conformidad con lo dispuesto en el art. 10.1 c) LOTC; dar traslado de la demanda y documentos presentados conforme establece el art. 37.3 LOTC al Congreso de los Diputados y al Senado, por conducto de sus Presidentes, al Gobierno, a través del Ministro de Justicia, al Fiscal General del Estado, y a la Asamblea Regional de Murcia y al Gobierno de la Región de Murcia, por conducto de sus Presidentes, para que, en el improrrogable plazo de quince días, pudieran personarse en el procedimiento y formular las alegaciones que estimasen convenientes; comunicar la presente resolución al Juzgado de lo Contencioso-Administrativo núm. 6 de Murcia a fin de que, de conformidad con el art. 35.3 LOTC, permaneciese suspendido el proceso hasta que este Tribunal resolviese definitivamente la presente cuestión; y publicar la incoación de la cuestión en el “Boletín Oficial del Estado” y en el “Boletín Oficial de la Región de Murcia” (lo que se llevó a efecto en el “BOE” núm. 129, de 30 de mayo de 2012, y en el “BORM” núm. 136, de 14 de junio de 2012).</w:t>
      </w:r>
    </w:p>
    <w:p w:rsidR="0026452D" w:rsidRDefault="0026452D" w:rsidP="0026452D">
      <w:pPr>
        <w:pStyle w:val="TextoNormal"/>
      </w:pPr>
    </w:p>
    <w:p w:rsidR="0026452D" w:rsidRDefault="0026452D" w:rsidP="0026452D">
      <w:pPr>
        <w:pStyle w:val="TextoNormal"/>
      </w:pPr>
      <w:r w:rsidRPr="0026452D">
        <w:rPr>
          <w:rStyle w:val="NumeroAFNegritaCaracter"/>
        </w:rPr>
        <w:t>7</w:t>
      </w:r>
      <w:r>
        <w:t>. Mediante escrito presentado en el Registro de este Tribunal el día 6 de junio de 2012, el Presidente del Congreso de los Diputados comunicó a este Tribunal el acuerdo de la Mesa de dar por personada a esta Cámara y por ofrecida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8</w:t>
      </w:r>
      <w:r>
        <w:t>. Mediante escrito presentado en el Registro General de este Tribunal el día 6 de junio de 2012, el Presidente del Senado comunicó a este Tribunal la decisión de la Mesa de dar por personada a esta Cámara y por ofrecida su colaboración a los efectos del art. 88.1 LOTC, con remisión a la Dirección de estudios, análisis y publicaciones, y a la asesoría jurídica de la Secretaría General.</w:t>
      </w:r>
    </w:p>
    <w:p w:rsidR="0026452D" w:rsidRDefault="0026452D" w:rsidP="0026452D">
      <w:pPr>
        <w:pStyle w:val="TextoNormal"/>
      </w:pPr>
    </w:p>
    <w:p w:rsidR="0026452D" w:rsidRDefault="0026452D" w:rsidP="0026452D">
      <w:pPr>
        <w:pStyle w:val="TextoNormal"/>
      </w:pPr>
      <w:r w:rsidRPr="0026452D">
        <w:rPr>
          <w:rStyle w:val="NumeroAFNegritaCaracter"/>
        </w:rPr>
        <w:t>9</w:t>
      </w:r>
      <w:r>
        <w:t>. Con fecha de 12 de junio de 2012, se presentó en el Registro de este Tribunal escrito por parte del Presidente de la Asamblea Regional de Murcia, comunicando el acuerdo adoptado por la Comisión de Competencia Legislativa de la citada Asamblea, de personarse en la cuestión de inconstitucionalidad, sin formular alegaciones, ofreciendo la colaboración de acuerdo con el art. 88.1 LOTC.</w:t>
      </w:r>
    </w:p>
    <w:p w:rsidR="0026452D" w:rsidRDefault="0026452D" w:rsidP="0026452D">
      <w:pPr>
        <w:pStyle w:val="TextoNormal"/>
      </w:pPr>
    </w:p>
    <w:p w:rsidR="0026452D" w:rsidRDefault="0026452D" w:rsidP="0026452D">
      <w:pPr>
        <w:pStyle w:val="TextoNormal"/>
      </w:pPr>
      <w:r w:rsidRPr="0026452D">
        <w:rPr>
          <w:rStyle w:val="NumeroAFNegritaCaracter"/>
        </w:rPr>
        <w:t>10</w:t>
      </w:r>
      <w:r>
        <w:t>. Por escrito registrado en este Tribunal con fecha de 13 de junio de 2012, el Abogado del Estado se personó en el presente proceso constitucional, manifestando que no formularía alegaciones, aunque solicitaba que se le notificasen la Sentencia y demás resoluciones que se dictasen en este procedimiento.</w:t>
      </w:r>
    </w:p>
    <w:p w:rsidR="0026452D" w:rsidRDefault="0026452D" w:rsidP="0026452D">
      <w:pPr>
        <w:pStyle w:val="TextoNormal"/>
      </w:pPr>
    </w:p>
    <w:p w:rsidR="0026452D" w:rsidRDefault="0026452D" w:rsidP="0026452D">
      <w:pPr>
        <w:pStyle w:val="TextoNormal"/>
      </w:pPr>
      <w:r w:rsidRPr="0026452D">
        <w:rPr>
          <w:rStyle w:val="NumeroAFNegritaCaracter"/>
        </w:rPr>
        <w:t>11</w:t>
      </w:r>
      <w:r>
        <w:t>. Con fecha de 15 de junio de 2012, se presentó en el Registro General de este Tribunal escrito por la Procuradora de los Tribunales doña Isabel Cañedo Vega para personarse en nombre y representación de Comisiones Obreras de la Región de Murcia.</w:t>
      </w:r>
    </w:p>
    <w:p w:rsidR="0026452D" w:rsidRDefault="0026452D" w:rsidP="0026452D">
      <w:pPr>
        <w:pStyle w:val="TextoNormal"/>
      </w:pPr>
    </w:p>
    <w:p w:rsidR="0026452D" w:rsidRDefault="0026452D" w:rsidP="0026452D">
      <w:pPr>
        <w:pStyle w:val="TextoNormal"/>
      </w:pPr>
      <w:r w:rsidRPr="0026452D">
        <w:rPr>
          <w:rStyle w:val="NumeroAFNegritaCaracter"/>
        </w:rPr>
        <w:t>12</w:t>
      </w:r>
      <w:r>
        <w:t>. Con fecha de 19 de junio de 2012, se presentó en el Registro General de este Tribunal escrito por la Procuradora de los Tribunales doña Paloma Valles Tormo para personarse en nombre y representación de Unión General de Trabajadores de la Región de Murcia.</w:t>
      </w:r>
    </w:p>
    <w:p w:rsidR="0026452D" w:rsidRDefault="0026452D" w:rsidP="0026452D">
      <w:pPr>
        <w:pStyle w:val="TextoNormal"/>
      </w:pPr>
    </w:p>
    <w:p w:rsidR="0026452D" w:rsidRDefault="0026452D" w:rsidP="0026452D">
      <w:pPr>
        <w:pStyle w:val="TextoNormal"/>
      </w:pPr>
      <w:r w:rsidRPr="0026452D">
        <w:rPr>
          <w:rStyle w:val="NumeroAFNegritaCaracter"/>
        </w:rPr>
        <w:t>13</w:t>
      </w:r>
      <w:r>
        <w:t xml:space="preserve">. Mediante escrito registrado en este Tribunal con fecha de 19 de junio de 2012, el Letrado de la Comunidad Autónoma de la Región de Murcia, en cumplimiento del acuerdo </w:t>
      </w:r>
      <w:r>
        <w:lastRenderedPageBreak/>
        <w:t>de 15 de junio de 2012 del Consejo de Gobierno de la Región de Murcia, procede a personarse en nombre y representación de este último, y a formular alegaciones.</w:t>
      </w:r>
    </w:p>
    <w:p w:rsidR="0026452D" w:rsidRDefault="0026452D" w:rsidP="0026452D">
      <w:pPr>
        <w:pStyle w:val="TextoNormal"/>
      </w:pPr>
    </w:p>
    <w:p w:rsidR="0026452D" w:rsidRDefault="0026452D" w:rsidP="0026452D">
      <w:pPr>
        <w:pStyle w:val="TextoNormal"/>
      </w:pPr>
      <w:r>
        <w:t>Tras recordar el contenido de la STC 296/2006, de 11 de octubre, se pasa a examinar si el Gerente del Servicio Murciano de Salud reúne los requisitos que dicha Sentencia requiere para poder fijar los servicios mínimos, a saber, tratarse de un órgano de naturaleza política y mantener la debida imparcialidad respecto de los intereses en juego. Y en tal sentido, comenzando por el primero de los requisitos apuntados, afirma que el cargo en cuestión tiene naturaleza política dado que su nombramiento corresponde al Consejo de Gobierno, según determina el art. 25.4 de la Ley 4/1994, de 26 de julio, de salud de la Región de Murcia y aparece incluido en el ámbito de aplicación de la Ley 5/1994, de 1 de agosto, por la que se aprobó el estatuto regional de la actividad política. Por otro lado, se considera que también se cumple el segundo de los requisitos, relativo a la necesidad de imparcialidad y objetividad para la fijación de los servicios mínimos, teniendo en cuenta las siguientes circunstancias: a) según dispone el art. 25.4 de la Ley 4/1994 citada, el Director Gerente del Servicio Murciano de Salud es el órgano ejecutivo de tal Servicio y ejerce, de manera efectiva y permanente, las facultades de dirección y gestión dentro de los límites y de acuerdo con las directrices establecidas por el Consejo de Administración; b) se le atribuye la competencia para fijar los servicios mínimos en la Ley 5/2001, de 5 de diciembre, de personal estatutario del Servicio Murciano de Salud y en el Decreto 148/2002, de 27 de diciembre, por el que se aprueba la estructura y régimen de funcionamiento de los órganos de participación, administración y gestión del Servicio Murciano de Salud; d) de las anteriores normas se deduce que el Director Gerente del Servicio Murciano de Salud no es sólo el responsable del personal, sino la máxima autoridad en la gestión de ese organismo; y e) la figura del citado Director Gerente se sitúa en una posición de superioridad respecto de los órganos políticos (Director General de asistencia sanitaria, Director General de régimen económico y prestaciones, y Director General de recursos humanos), que son los encargados de gestionar de manera inmediata las diversas materias, lo que le permite gozar de los requisitos de imparcialidad y objetividad que exige la jurisprudencia constitucional a los cargos políticos para poder fijar los servicios mínimos.</w:t>
      </w:r>
    </w:p>
    <w:p w:rsidR="0026452D" w:rsidRDefault="0026452D" w:rsidP="0026452D">
      <w:pPr>
        <w:pStyle w:val="TextoNormal"/>
      </w:pPr>
    </w:p>
    <w:p w:rsidR="0026452D" w:rsidRDefault="0026452D" w:rsidP="0026452D">
      <w:pPr>
        <w:pStyle w:val="TextoNormal"/>
      </w:pPr>
      <w:r>
        <w:t>En definitiva, se entiende que las consideraciones que efectúa la STC 296/2006, de 11 de octubre, serían de aplicación al Director General de recursos humanos en el supuesto de que éste hubiese fijado los servicios mínimos, ya que es el encargado de negociar con los sindicatos su composición, y es, al mismo tiempo, el responsable director. Por el contrario, el Director Gerente se halla en situación de superioridad respecto de aquél y del resto de cargos políticos del organismo, lo que le permite valorar de forma objetiva los distintos intereses en juego.</w:t>
      </w:r>
    </w:p>
    <w:p w:rsidR="0026452D" w:rsidRDefault="0026452D" w:rsidP="0026452D">
      <w:pPr>
        <w:pStyle w:val="TextoNormal"/>
      </w:pPr>
    </w:p>
    <w:p w:rsidR="0026452D" w:rsidRDefault="0026452D" w:rsidP="0026452D">
      <w:pPr>
        <w:pStyle w:val="TextoNormal"/>
      </w:pPr>
      <w:r w:rsidRPr="0026452D">
        <w:rPr>
          <w:rStyle w:val="NumeroAFNegritaCaracter"/>
        </w:rPr>
        <w:t>14</w:t>
      </w:r>
      <w:r>
        <w:t>. Por diligencia de ordenación de 22 de junio de 2012 se acordó unir a las actuaciones los escritos presentados con fecha de 15 y 19 de junio de 2009 por las Procuradoras doña Isabel Cañedo Vega y doña Paloma Valles Tormo, en nombre y representación, respectivamente, de Comisiones Obreras de la Región de Murcia y de la Unión General de Trabajadores de la Región de Murcia, tenerlas por personadas y partes en la presente cuestión de inconstitucionalidad, y atender con ellas las sucesivas actuaciones. Asimismo, conforme establece el art. 37.2 LOTC, se les concedió un plazo de quince días para que formulasen alegaciones, todo ello condicionado a que las citadas Procuradoras presentasen escritura de poder original que acreditase sus respectivas representaciones.</w:t>
      </w:r>
    </w:p>
    <w:p w:rsidR="0026452D" w:rsidRDefault="0026452D" w:rsidP="0026452D">
      <w:pPr>
        <w:pStyle w:val="TextoNormal"/>
      </w:pPr>
    </w:p>
    <w:p w:rsidR="0026452D" w:rsidRDefault="0026452D" w:rsidP="0026452D">
      <w:pPr>
        <w:pStyle w:val="TextoNormal"/>
      </w:pPr>
      <w:r w:rsidRPr="0026452D">
        <w:rPr>
          <w:rStyle w:val="NumeroAFNegritaCaracter"/>
        </w:rPr>
        <w:t>15</w:t>
      </w:r>
      <w:r>
        <w:t>. Por escrito registrado el día 27 de junio de 2012, el Fiscal General del Estado evacuó el trámite de alegaciones, solicitando la estimación de la presente cuestión de inconstitucionalidad y, en su virtud, que se declare la inconstitucional y nulidad del apartado l) del art. 7.2 de la Ley 5/2001, de 5 de diciembre, de personal estatutario del Servicio Murciano de Salud.</w:t>
      </w:r>
    </w:p>
    <w:p w:rsidR="0026452D" w:rsidRDefault="0026452D" w:rsidP="0026452D">
      <w:pPr>
        <w:pStyle w:val="TextoNormal"/>
      </w:pPr>
    </w:p>
    <w:p w:rsidR="0026452D" w:rsidRDefault="0026452D" w:rsidP="0026452D">
      <w:pPr>
        <w:pStyle w:val="TextoNormal"/>
      </w:pPr>
      <w:r>
        <w:t>Tras precisar los hechos de los que trae causa la presente cuestión, concretar el alcance del auto de planteamiento de la cuestión de inconstitucionalidad, identificar el precepto impugnado y recordar la doctrina constitucional sobre la cuestión planteada (STC 296/2006, de 11 de octubre, reiterada en las SSTC 310/2006, de 23 de octubre y 36/2007, de 12 de febrero), se pasa a examinar la legislación de aplicación al caso con el objeto de comprobar la naturaleza del órgano al que se atribuye la cuestionada potestad de fijación de servicios mínimos y si se cumple la doctrina constitucional antes referenciada. En primer lugar, se revisa el contenido de la Ley 4/1994, de 26 de julio, de salud de la Región de Murcia, en concreto, el art. 20, que fija como fines del Servicio Murciano de Salud la ejecución de las competencias de administración y gestión de servicios, prestaciones y programas sanitarios que le atribuya la Administración de la Comunidad Autónoma; el art. 21, relativo a su naturaleza jurídica, que aclara que se trata de un ente de Derecho público [de los previstos en el art. 6.1 a) de la Ley 3/1990, de 5 de abril, de hacienda de la Región de Murcia), adscrito a la Consejería de Sanidad y Asuntos Sociales; y el art. 25, referido a la estructura orgánica del Servicio Murciano de Salud, cuyos órganos centrales son el Consejo de Administración y el Director Gerente, especificándose respecto de este último que “será nombrado por el Consejo de Gobierno a propuesta del consejero competente en materia de sanidad” y que “será el órgano ejecutivo del Servicio Murciano de Salud, y ejercerá de manera efectiva y permanente, las facultades de dirección y gestión dentro de los límites y de acuerdo con las directrices establecidas por el Consejo de Administración”.</w:t>
      </w:r>
    </w:p>
    <w:p w:rsidR="0026452D" w:rsidRDefault="0026452D" w:rsidP="0026452D">
      <w:pPr>
        <w:pStyle w:val="TextoNormal"/>
      </w:pPr>
    </w:p>
    <w:p w:rsidR="0026452D" w:rsidRDefault="0026452D" w:rsidP="0026452D">
      <w:pPr>
        <w:pStyle w:val="TextoNormal"/>
      </w:pPr>
      <w:r>
        <w:t>En segundo lugar, se pasa a examinar la Ley 5/2001, de 5 de diciembre, de personal estatutario del Servicio Murciano de Salud, según la cual, el Director Gerente se configura dentro de los órganos superiores de dirección y de gestión (art. 4), a quien corresponde el desarrollo general, la ejecución y la coordinación de las medidas que guardan relación con la dirección y gestión del personal estatutario, conforme a las directrices que establezca el Consejo de Administración (art. 7). En este sentido, le compete la jefatura del personal estatutario del Servicio, elaborar y coordinar medidas tendentes a mejorar la formación del personal y racionalizar el funcionamiento de los servicios, la aprobación de plantillas, la elaboración de ofertas de empleo público, convocar pruebas selectivas y llevar a cabo los correspondientes nombramientos, convocatoria de la provisión de puestos de trabajo, fijación de la jornada y horario del personal, declaración al personal estatutario en la situación administrativa correspondiente, resolver expedientes sobre compatibilidad y disciplinarios, aprobar las medidas que garanticen los servicios mínimos en los casos de huelga en los centros dependientes de ese Servicio, y aquellas otras que correspondan al Servicio Murciano de Salud y no hayan sido atribuidas a otros órganos. También se destaca que esa Ley 5/2001, define al Consejo de Administración, en el que se integra el Director Gerente, como “máximo órgano de administración”.</w:t>
      </w:r>
    </w:p>
    <w:p w:rsidR="0026452D" w:rsidRDefault="0026452D" w:rsidP="0026452D">
      <w:pPr>
        <w:pStyle w:val="TextoNormal"/>
      </w:pPr>
    </w:p>
    <w:p w:rsidR="0026452D" w:rsidRDefault="0026452D" w:rsidP="0026452D">
      <w:pPr>
        <w:pStyle w:val="TextoNormal"/>
      </w:pPr>
      <w:r>
        <w:lastRenderedPageBreak/>
        <w:t>En tercer lugar, se refiere al Decreto 148/2002, de 27 de diciembre, que regula la estructura organizativa del Servicio Murciano de Salud, destacando la inclusión del Director Gerente entre los órganos de gestión del Servicio (art. 2), encargado de manera efectiva y permanente de las facultades de dirección y gestión (art. 7), y al que corresponde, entre otras funciones, la de la representación legal del Servicio Murciano de Salud, el ejercicio de acciones en vía jurisdiccional en relación con intereses, bienes y derecho del citado Servicio, o la designación del personal directivo (art. 8). Asimismo, el art. 9 especifica que bajo la dirección del Director Gerente existen tres centros directivos, a saber, Dirección General de aseguramiento y calidad asistencial, Dirección General de asistencia sanitaria y Dirección General de recursos.</w:t>
      </w:r>
    </w:p>
    <w:p w:rsidR="0026452D" w:rsidRDefault="0026452D" w:rsidP="0026452D">
      <w:pPr>
        <w:pStyle w:val="TextoNormal"/>
      </w:pPr>
    </w:p>
    <w:p w:rsidR="0026452D" w:rsidRDefault="0026452D" w:rsidP="0026452D">
      <w:pPr>
        <w:pStyle w:val="TextoNormal"/>
      </w:pPr>
      <w:r>
        <w:t>En cuarto lugar, y concluyendo ya con el análisis de la normativa aplicable a la controversia, se hace también mención del texto refundido de la Ley de la función pública de la Región de Murcia, aprobado por Decreto Legislativo 1/2001, de 26 de enero, en concreto, a los arts. 1 y 2 (objeto de la Ley y definición de la función pública de la Administración pública de la Región de Murcia), así como al art. 11 2 m), que atribuye al Consejo de Gobierno la aprobación, a propuesta de la Consejería correspondiente, de los decretos que garanticen los servicios mínimos en los casos de huelga en la Administración pública de la Región de Murcia.</w:t>
      </w:r>
    </w:p>
    <w:p w:rsidR="0026452D" w:rsidRDefault="0026452D" w:rsidP="0026452D">
      <w:pPr>
        <w:pStyle w:val="TextoNormal"/>
      </w:pPr>
    </w:p>
    <w:p w:rsidR="0026452D" w:rsidRDefault="0026452D" w:rsidP="0026452D">
      <w:pPr>
        <w:pStyle w:val="TextoNormal"/>
      </w:pPr>
      <w:r>
        <w:t>Pues bien, a la vista de lo anteriormente expuesto, el Fiscal General del Estado considera que la cuestión planteada es análoga a la resuelta en la STC 296/2006 ya mencionada, doctrina que, por ello, resulta de aplicación al presente caso. En este sentido, señala que el Servicio Murciano de Salud es un ente de Derecho público adscrito a la Consejería de Sanidad y Asuntos Sociales, cuyos fines son “la ejecución de las competencias de administración y gestión de servicios, prestaciones y programas sanitarios que le atribuya la Administración de la Comunidad Autónoma” (art. 20, de la Ley 4/1994 citada); que el Consejo de Administración es el máximo órgano de Administración (art. 6 de la Ley 5/2001 citada) y, el Director Gerente, un genuino órgano ejecutivo y de gestión (art. 7 de la Ley 5/2001, art. 25.4 de la Ley 4/1994 y art. 7 del Decreto 148/2002). Además, añade que la designación y cese del Director Gerente carece de trascendencia sujeta a responsabilidad política, pues su nombramiento se efectúa por el Consejo de Gobierno, a propuesta del Consejero competente en materia de sanidad, con independencia, por tanto, de cualquier resultado político. Y que, si bien es cierto que el art. 9.2 del Decreto 148/2002, regula lo que denomina tres centros directivos, atribuyéndoles determinadas responsabilidades de gestión, ello lo es con subordinación al Director Gerente, lo que en modo alguno permite atribuirle una naturaleza de neutralidad por el hecho de que otros órganos contribuyan también a la gestión bajo su dependencia. Lo mismo cabe decir con relación a los subdirectores generales, siendo indiferente, en razón de esa dependencia funcional, quién estuvo al frente de las negociaciones con los representantes de los trabajadores para abordar concretos aspectos de la huelga, pues, en definitiva, la decisión y responsabilidad última sobre los servicios mínimos se adoptó por el Director Gerente de acuerdo con el precepto cuestionado.</w:t>
      </w:r>
    </w:p>
    <w:p w:rsidR="0026452D" w:rsidRDefault="0026452D" w:rsidP="0026452D">
      <w:pPr>
        <w:pStyle w:val="TextoNormal"/>
      </w:pPr>
    </w:p>
    <w:p w:rsidR="0026452D" w:rsidRDefault="0026452D" w:rsidP="0026452D">
      <w:pPr>
        <w:pStyle w:val="TextoNormal"/>
      </w:pPr>
      <w:r>
        <w:t>Teniendo en cuenta la normativa expuesta, el Fiscal General del Estado afirma que el Director Gerente está imbricado en la organización del Servicio como su vértice superior, sin perjuicio de las facultades del Consejo de Administración, y muy especialmente, en relación con el personal, cuya jefatura y dirección ostenta, lo que excluye su posición de im</w:t>
      </w:r>
      <w:r>
        <w:lastRenderedPageBreak/>
        <w:t xml:space="preserve">parcialidad </w:t>
      </w:r>
      <w:r w:rsidRPr="0026452D">
        <w:rPr>
          <w:i/>
        </w:rPr>
        <w:t>supra partes</w:t>
      </w:r>
      <w:r>
        <w:t>, propia de quien ha de decidir los servicios mínimos. En este sentido, señala que quien es responsable del correcto funcionamiento del servicio, difícilmente está en condiciones de ponderar imparcialmente no solo ese funcionamiento del que forma parte esencial, sino también los intereses de los trabajadores en el ejercicio del derecho de huelga y de los usuarios del Servicio, o lo que es lo mismo, de adoptar una decisión que mantenga el requerido equilibrio entre los intereses legítimos derivados del conflicto. Recuerda, así, que, como se mantuvo en la STC 296/2006, FJ 4, desde dicha posición “ningún órgano puede asumir la grave responsabilidad de limitar el derecho constitucional de huelga del personal cuya dirección tiene encomendada”.</w:t>
      </w:r>
    </w:p>
    <w:p w:rsidR="0026452D" w:rsidRDefault="0026452D" w:rsidP="0026452D">
      <w:pPr>
        <w:pStyle w:val="TextoNormal"/>
      </w:pPr>
    </w:p>
    <w:p w:rsidR="0026452D" w:rsidRDefault="0026452D" w:rsidP="0026452D">
      <w:pPr>
        <w:pStyle w:val="TextoNormal"/>
      </w:pPr>
      <w:r>
        <w:t>Finalmente, termina diciendo que ningún obstáculo a lo anterior supone el hecho de que la competencia sobre servicios mínimos cuestionada esté atribuida por Ley al Director Gerente, ya que, de acuerdo con la doctrina de la STC 296/2006, tal circunstancia no transforma la naturaleza jurídica del órgano. Además, se recuerda que conforme al Decreto Legislativo 1/2001, de 26 de enero, ya citado, que tiene por cometido la regulación de la Función pública de la Región de Murcia, corresponde al Consejo de Gobierno [art. 11 m)] aprobar, a propuesta de la Consejería correspondiente, los decretos que garanticen los servicios mínimos en los casos de huelga en la Administración pública de esa Región. Regulación que, aun indirectamente, abona la perspectiva de considerar a los órganos con efectiva responsabilidad política la función de asumir decisiones, como la fijación de los servicios mínimos. En definitiva, el Fiscal General del Estado afirma que el precepto cuestionado resultaría incompatible con el art. 28.2 CE, en la interpretación sentada por el Tribunal Constitucional, al no reunir el Director Gerente del Servicio Murciano de Salud las características de neutralidad e imparcialidad que le habilitarían para decidir los servicios mínimos en los términos del precepto mencionado. Por todo ello, entiende que procedería su declaración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16</w:t>
      </w:r>
      <w:r>
        <w:t>. Por medio de escrito con fecha de registro de 12 de julio de 2012, la Procuradora doña Isabel Cañedo Vega formula alegaciones en nombre y representación de Comisiones Obreras de la Región de Murcia, interesando que se declare la inconstitucionalidad del art. 7.2 l) de la Ley 5/2001, de 5 de diciembre, de personal estatutario del Servicio Murciano de Salud, toda vez que atribuye competencia para la fijación de los servicios mínimos en caso de huelga a un órgano que no tiene la cualidad de autoridad gubernativa en los términos previstos en la STC 296/2006, de 11 de octubre. También manifiesta la contradicción existente en los textos legales de la Comunidad Autónoma de la Región de Murcia, ya que según el art. 11 2 m) de la Ley 1/2001, de 26 de enero, corresponde al Consejo de Gobierno de esa Región, la aprobación de los derechos que garanticen los servicios mínimos en caso de huelga en la Administración pública de la Región de Murcia. Y, de conformidad con el art. 3 del citado texto legal, su ámbito de aplicación abarca también al personal estatutario de la citada Región.</w:t>
      </w:r>
    </w:p>
    <w:p w:rsidR="0026452D" w:rsidRDefault="0026452D" w:rsidP="0026452D">
      <w:pPr>
        <w:pStyle w:val="TextoNormal"/>
      </w:pPr>
    </w:p>
    <w:p w:rsidR="0026452D" w:rsidRDefault="0026452D" w:rsidP="0026452D">
      <w:pPr>
        <w:pStyle w:val="TextoNormal"/>
      </w:pPr>
      <w:r w:rsidRPr="0026452D">
        <w:rPr>
          <w:rStyle w:val="NumeroAFNegritaCaracter"/>
        </w:rPr>
        <w:t>17</w:t>
      </w:r>
      <w:r>
        <w:t xml:space="preserve">. Por medio de escrito con fecha de registro de 16 de julio de 2012, la Procuradora de los Tribunales doña Paloma Valles Tormo formula alegaciones en nombre y representación de Unión General de Trabajadores de la Región de Murcia, interesando que se declare la inconstitucionalidad del precepto cuestionado, por la atribución de la competencia para la fijación de los servicios mínimos a un órgano que no es autoridad gubernativa como exige la STC 296/2006, poniendo de manifiesto también la contradicción del precepto cuestionado con la Ley de la función pública regional, aprobada por Decreto Legislativo 1/2001, de 26 </w:t>
      </w:r>
      <w:r>
        <w:lastRenderedPageBreak/>
        <w:t>de enero [arts. 11.2 m) y 3], que atribuye la competencia al Consejo de Gobierno de la Región de Murcia.</w:t>
      </w:r>
    </w:p>
    <w:p w:rsidR="0026452D" w:rsidRDefault="0026452D" w:rsidP="0026452D">
      <w:pPr>
        <w:pStyle w:val="TextoNormal"/>
      </w:pPr>
    </w:p>
    <w:p w:rsidR="0026452D" w:rsidRDefault="0026452D" w:rsidP="0026452D">
      <w:pPr>
        <w:pStyle w:val="TextoNormal"/>
      </w:pPr>
      <w:r w:rsidRPr="0026452D">
        <w:rPr>
          <w:rStyle w:val="NumeroAFNegritaCaracter"/>
        </w:rPr>
        <w:t>18</w:t>
      </w:r>
      <w:r>
        <w:t>. Por diligencia de 17 de julio de 2012 se hace constar que dentro del plazo conferido en la providencia de admisión a trámite del presente proceso, se han personado en el mismo y formulado escrito de alegaciones las representaciones legales del Consejo de Gobierno de la Región de Murcia, Comisiones Obreras de la Región de Murcia, Unión General de Trabajadores de la Región de Murcia, y el Fiscal General del Estado, y que se han personado sin efectuar alegaciones el Abogado del Estado y la Asamblea Regional de Murcia, quedando pendiente para deliberación y votación de la Sentencia, sin perjuicio de lo dispuesto en el art. 84 LOTC.</w:t>
      </w:r>
    </w:p>
    <w:p w:rsidR="0026452D" w:rsidRDefault="0026452D" w:rsidP="0026452D">
      <w:pPr>
        <w:pStyle w:val="TextoNormal"/>
      </w:pPr>
    </w:p>
    <w:p w:rsidR="0026452D" w:rsidRDefault="0026452D" w:rsidP="0026452D">
      <w:pPr>
        <w:pStyle w:val="TextoNormal"/>
      </w:pPr>
      <w:r w:rsidRPr="0026452D">
        <w:rPr>
          <w:rStyle w:val="NumeroAFNegritaCaracter"/>
        </w:rPr>
        <w:t>19</w:t>
      </w:r>
      <w:r>
        <w:t>. Por providencia de 7 de marzo de 2013, se señaló para deliberación y votación de la presente Sentencia el día 11 de marzo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Por Auto de 27 de julio de 2011, el Juzgado de lo Contencioso-Administrativo núm. 6 de Murcia acordó plantear cuestión de inconstitucionalidad en relación con el art. 7.2 l) de la Ley de la Asamblea de la Región de Murcia 5/2001, de 5 de diciembre, de personal estatutario del Servicio Murciano de Salud.</w:t>
      </w:r>
    </w:p>
    <w:p w:rsidR="0026452D" w:rsidRDefault="0026452D" w:rsidP="0026452D">
      <w:pPr>
        <w:pStyle w:val="TextoNormal"/>
      </w:pPr>
    </w:p>
    <w:p w:rsidR="0026452D" w:rsidRDefault="0026452D" w:rsidP="0026452D">
      <w:pPr>
        <w:pStyle w:val="TextoNormal"/>
      </w:pPr>
      <w:r>
        <w:t>Tal y como ha quedado expuesto en los antecedentes de esta Sentencia, el órgano judicial promotor de la cuestión considera que el precepto indicado, al atribuir al Director Gerente del citado Servicio la potestad de “aprobar las medidas que garanticen los servicios mínimos en los casos de huelga en los centros dependientes del Servicio Murciano de Salud”, podría vulnerar el art. 28.2 CE, porque no tendría la cualidad de “autoridad gubernativa” que exige el art. 10 del Real Decreto-ley 17/1977, de 4 de marzo, de relaciones de trabajo. Señala que se trata de un órgano superior y central de gestión del Servicio, en el que no concurriría la nota de imparcialidad exigida para ponderar el ejercicio del derecho de huelga de los trabajadores y establecer las garantías precisas para asegurar el mantenimiento de los servicios esenciales. Esta opinión es compartida por el Fiscal General del Estado que indica que, siendo el Director Gerente un órgano de gestión del Servicio, carece de la posición de imparcialidad s</w:t>
      </w:r>
      <w:r w:rsidRPr="0026452D">
        <w:rPr>
          <w:i/>
        </w:rPr>
        <w:t xml:space="preserve">upra partes </w:t>
      </w:r>
      <w:r>
        <w:t>propia de quien ha de decidir los servicios mínimos conforme a la doctrina sentada en la STC 296/2006, de 11 de octubre; posición que mantienen también las representaciones procesales de las organizaciones sindicales de la Región de Murcia, Comisiones Obreras y Unión General de Trabajadores.</w:t>
      </w:r>
    </w:p>
    <w:p w:rsidR="0026452D" w:rsidRDefault="0026452D" w:rsidP="0026452D">
      <w:pPr>
        <w:pStyle w:val="TextoNormal"/>
      </w:pPr>
    </w:p>
    <w:p w:rsidR="0026452D" w:rsidRDefault="0026452D" w:rsidP="0026452D">
      <w:pPr>
        <w:pStyle w:val="TextoNormal"/>
      </w:pPr>
      <w:r>
        <w:t>Por el contrario, el Consejo de Gobierno de la Región de Murcia, en defensa de la constitucionalidad de la norma autonómica, sostiene a través de su representación procesal, que el Director Gerente del Servicio Murciano de Salud reúne los requisitos exigidos por la citada Sentencia constitucional para fijar los servicios mínimos, al tratarse de un órgano de naturaleza política que tiene la imparcialidad requerida para ponderar los intereses en juego.</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Ante todo, se hace preciso comenzar indicando que el epígrafe l) del apartado 2 del art. 7 cuestionado, fue suprimido por el art. 18 de la Ley de la Asamblea de la Región de </w:t>
      </w:r>
      <w:r>
        <w:lastRenderedPageBreak/>
        <w:t>Murcia 5/2012, de 29 de junio, de ajuste presupuestario y de medidas en materia de la función pública, pasando el actual apartado m) a ser el nuevo apartado l). El citado art. 18 añadió también un epígrafe d) al apartado 1 del art. 5, atribuyendo al Consejo de Gobierno de la Comunidad Autónoma de la Región de Murcia, la potestad de aprobar las medidas que garanticen los servicios mínimos en los casos de huelga en los centros dependientes del Servicio Murciano de Salud.</w:t>
      </w:r>
    </w:p>
    <w:p w:rsidR="0026452D" w:rsidRDefault="0026452D" w:rsidP="0026452D">
      <w:pPr>
        <w:pStyle w:val="TextoNormal"/>
      </w:pPr>
    </w:p>
    <w:p w:rsidR="0026452D" w:rsidRDefault="0026452D" w:rsidP="0026452D">
      <w:pPr>
        <w:pStyle w:val="TextoNormal"/>
      </w:pPr>
      <w:r>
        <w:t xml:space="preserve">A la vista de lo anterior, es necesario recordar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w:t>
      </w:r>
      <w:r w:rsidRPr="0026452D">
        <w:rPr>
          <w:i/>
        </w:rPr>
        <w:t>a quo</w:t>
      </w:r>
      <w:r>
        <w:t xml:space="preserve"> y de su validez dependa la decisión a adoptar en éste (entre las últimas, SSTC 63/2011, de 16 de mayo, FJ 2; 79/2011, de 6 de junio, FJ 2; 117/2011, de 4 de julio, FJ 2; 161/2011, de 19 de octubre, FJ 2; 175/2011, de 8 de noviembre, FJ 2; 21/2012, de 16 de febrero, FJ 2; y 28/2012, de 1 de marzo, FJ 2). Por ello, hay que concluir que el presente proceso no ha perdido su objeto dado que el epígrafe del precepto cuestionado, a pesar de los cambios normativos que se han producido con posterioridad en la materia, sigue resultando de aplicación en el proceso contencioso-administrativo en cuyo seno se ha suscitado la presente cuestión de inconstitucionalidad y, de su validez, dependerá la decisión a adoptar en el proceso judicial </w:t>
      </w:r>
      <w:r w:rsidRPr="0026452D">
        <w:rPr>
          <w:i/>
        </w:rPr>
        <w:t>a quo</w:t>
      </w:r>
      <w:r>
        <w:t>.</w:t>
      </w:r>
    </w:p>
    <w:p w:rsidR="0026452D" w:rsidRDefault="0026452D" w:rsidP="0026452D">
      <w:pPr>
        <w:pStyle w:val="TextoNormal"/>
      </w:pPr>
    </w:p>
    <w:p w:rsidR="0026452D" w:rsidRDefault="0026452D" w:rsidP="0026452D">
      <w:pPr>
        <w:pStyle w:val="TextoNormal"/>
      </w:pPr>
      <w:r w:rsidRPr="0026452D">
        <w:rPr>
          <w:rStyle w:val="NumeroAFNegritaCaracter"/>
        </w:rPr>
        <w:t>3</w:t>
      </w:r>
      <w:r>
        <w:t>. Aclarado lo que antecede, la controversia constitucional se centra, pues, en determinar si al atribuir al Director Gerente del Servicio Murciano de Salud la potestad de fijar los servicios mínimos en caso de huelga en esa entidad, la norma autonómica cuestionada vulnera el art. 28.2 CE. Las dudas de constitucionalidad que ahora se suscitan son esencialmente las mismas que hemos resuelto en nuestra STC 296/2006, de 11 de octubre, al dar respuesta a la cuestión de inconstitucionalidad núm. 5633-2002 planteada por el Juzgado de lo Contencioso-Administrativo núm. 4 de Oviedo respecto del art. 15.2 l) de la Ley de la Comunidad Autónoma del Principado de Asturias 1/1992, de 2 de julio, del Servicio de Salud del Principado de Asturias (modificada por la Ley de esa Comunidad 14/2001, de 28 de diciembre, de medidas presupuestarias, administrativas y fiscales). En aquel caso, se planteó también la posible vulneración del art. 28.2 CE con motivo de la atribución al Director Gerente del Servicio de Salud del Principado de Asturias, de la fijación de los servicios mínimos en los casos de huelga de su personal.</w:t>
      </w:r>
    </w:p>
    <w:p w:rsidR="0026452D" w:rsidRDefault="0026452D" w:rsidP="0026452D">
      <w:pPr>
        <w:pStyle w:val="TextoNormal"/>
      </w:pPr>
    </w:p>
    <w:p w:rsidR="0026452D" w:rsidRDefault="0026452D" w:rsidP="0026452D">
      <w:pPr>
        <w:pStyle w:val="TextoNormal"/>
      </w:pPr>
      <w:r>
        <w:t>Tras estudiar detalladamente el régimen jurídico del Director Gerente del Servicio de Salud del Principado de Asturias, llegamos a la conclusión de que no se trataba de un órgano políticamente responsable ante los ciudadanos de modo directo o indirecto, sino de un órgano de gestión y que, precisamente por ello, no reunía las condiciones de neutralidad e independencia necesarias para que la atribución de la competencia para fijar los servicios mínimos en caso de huelga pudiera considerarse como respetuosa con el contenido del derecho de huelga reconocido en el art. 28.2 CE.</w:t>
      </w:r>
    </w:p>
    <w:p w:rsidR="0026452D" w:rsidRDefault="0026452D" w:rsidP="0026452D">
      <w:pPr>
        <w:pStyle w:val="TextoNormal"/>
      </w:pPr>
    </w:p>
    <w:p w:rsidR="0026452D" w:rsidRDefault="0026452D" w:rsidP="0026452D">
      <w:pPr>
        <w:pStyle w:val="TextoNormal"/>
      </w:pPr>
      <w:r>
        <w:t xml:space="preserve">En este sentido, precisamos en la citada STC 296/2006 que: la atribución de dicha competencia por la ley autonómica no puede bastar para transformar la naturaleza jurídica del órgano en cuestión “ya que los rasgos de imparcialidad, y sobre todo, responsabilidad ante el conjunto de los ciudadanos, han de concurrir en el órgano de que se trate al margen de que se le atribuya o no expresamente una facultad que la Constitución reserva a los órganos de gobierno” (fundamento jurídico 3); la fijación de los servicios mínimos en caso de huelga </w:t>
      </w:r>
      <w:r>
        <w:lastRenderedPageBreak/>
        <w:t xml:space="preserve">requiere que el órgano que los adopte se halle en una posición </w:t>
      </w:r>
      <w:r w:rsidRPr="0026452D">
        <w:rPr>
          <w:i/>
        </w:rPr>
        <w:t>supra partes</w:t>
      </w:r>
      <w:r>
        <w:t xml:space="preserve"> y revestido de autoridad política, ya que se trata de privar a un conjunto de ciudadanos en un caso concreto de un derecho constitucional (fundamento jurídico 4); que resulta imposible incluir en la noción de autoridad política al Director Gerente del Servicio de Salud del Principado de Asturias, cuyo cometido básico es asegurar el mantenimiento del servicio que tiene encomendado y que, desde esa posición, ningún órgano puede asumir la grave responsabilidad de limitar el derecho constitucional de huelga del personal cuya dirección tiene encomendada (fundamento jurídico 4); tal consideración no impide, sin embargo, que la puesta en práctica de los servicios, una vez concretados por la autoridad competente, sea confiada a los órganos de dirección y gestión de la entidad afectada o discurra por los cauces propios de la autonomía colectiva, lo que no significa que la fijación de los servicios mínimos pueda ser delegada a la dirección empresarial (fundamento jurídico 4). Con base a todo ello, tal y como ha quedado apuntado, declaramos en aquél caso la inconstitucionalidad y nulidad del precepto autonómico sometido a nuestro enjuiciamiento.</w:t>
      </w:r>
    </w:p>
    <w:p w:rsidR="0026452D" w:rsidRDefault="0026452D" w:rsidP="0026452D">
      <w:pPr>
        <w:pStyle w:val="TextoNormal"/>
      </w:pPr>
    </w:p>
    <w:p w:rsidR="0026452D" w:rsidRDefault="0026452D" w:rsidP="0026452D">
      <w:pPr>
        <w:pStyle w:val="TextoNormal"/>
      </w:pPr>
      <w:r w:rsidRPr="0026452D">
        <w:rPr>
          <w:rStyle w:val="NumeroAFNegritaCaracter"/>
        </w:rPr>
        <w:t>4</w:t>
      </w:r>
      <w:r>
        <w:t>. La doctrina de la STC 296/2006, de 11 de octubre, es aplicable a la presente cuestión que plantea la eventual inconstitucionalidad de la atribución al Director Gerente del Servicio de Salud murciano, de la fijación de los servicios mínimos en el caso de huelga de su personal.</w:t>
      </w:r>
    </w:p>
    <w:p w:rsidR="0026452D" w:rsidRDefault="0026452D" w:rsidP="0026452D">
      <w:pPr>
        <w:pStyle w:val="TextoNormal"/>
      </w:pPr>
    </w:p>
    <w:p w:rsidR="0026452D" w:rsidRDefault="0026452D" w:rsidP="0026452D">
      <w:pPr>
        <w:pStyle w:val="TextoNormal"/>
      </w:pPr>
      <w:r>
        <w:t>El examen de la figura del mencionado Director Gerente permite llegar a la misma conclusión que la allí obtenida, esto es, que no se trata de una autoridad gubernativa sino de un órgano administrativo que asume las funciones de dirección y gestión del Servicio Murciano de Salud, y que, en consecuencia, no se encuentra revestido de la nota de imparcialidad que, conforme a nuestra doctrina, requiere la fijación de los servicios mínimos en caso de huelga.</w:t>
      </w:r>
    </w:p>
    <w:p w:rsidR="0026452D" w:rsidRDefault="0026452D" w:rsidP="0026452D">
      <w:pPr>
        <w:pStyle w:val="TextoNormal"/>
      </w:pPr>
    </w:p>
    <w:p w:rsidR="0026452D" w:rsidRDefault="0026452D" w:rsidP="0026452D">
      <w:pPr>
        <w:pStyle w:val="TextoNormal"/>
      </w:pPr>
      <w:r>
        <w:t>El mencionado Servicio, conforme a lo previsto en la Ley de la Asamblea Regional de Murcia 4/1994, de 26 de julio, es un ente de Derecho público adscrito a la Consejería de Sanidad y Asuntos Sociales (art. 21), que tiene como fines la ejecución de las competencias de administración y gestión de servicios, prestaciones y programas sanitarios que le atribuya la Administración de la Comunidad (art. 20). Y, su Director Gerente es, por su parte, junto al Consejo de Administración, un órgano central de la dirección y gestión del referido Servicio. En este sentido, conforme dispone al art. 25 de la citada Ley, es nombrado por el Consejo de Gobierno a propuesta del consejero competente en materia de sanidad, y es el órgano ejecutivo del Servicio Murciano de Salud al tener encomendadas las facultades de dirección y gestión, dentro de los límites y de acuerdo con las directrices establecidas en el Consejo de Administración.</w:t>
      </w:r>
    </w:p>
    <w:p w:rsidR="0026452D" w:rsidRDefault="0026452D" w:rsidP="0026452D">
      <w:pPr>
        <w:pStyle w:val="TextoNormal"/>
      </w:pPr>
    </w:p>
    <w:p w:rsidR="0026452D" w:rsidRDefault="0026452D" w:rsidP="0026452D">
      <w:pPr>
        <w:pStyle w:val="TextoNormal"/>
      </w:pPr>
      <w:r>
        <w:t xml:space="preserve">Las funciones del Director Gerente dentro de su Servicio (enumeradas en el art. 7 de la Ley de la Asamblea Regional de Murcia, 5/2001, de 5 de diciembre, de personal estatutario del Servicio Murciano de Salud y en el art. 8 del Decreto autonómico 148/2002, de 27 de diciembre, por el que se establece la estructura y funciones de los órganos de participación, administración y gestión del Servicio Murciano de Salud), son, entre otras: la representación legal del Servicio, la jefatura del personal, la aprobación de los instrumentos de ordenación de los puestos de trabajo, la elaboración de la oferta de empleo público, la convocatoria de pruebas selectivas de personal y su nombramiento, la convocatoria de procedimientos de provisión de puestos de trabajo, la designación del personal directivo, la negociación de las condiciones de trabajo, la fijación de la jornada y el horario del personal, la actuación como </w:t>
      </w:r>
      <w:r>
        <w:lastRenderedPageBreak/>
        <w:t>órgano de contratación, o, en fin, el dictado de instrucciones relativas al funcionamiento y organización internos. A tales funciones se añade [bajo la letra l) del apartado 2, del art. 7 de la Ley autonómica 5/2001 controvertida; y bajo la letra ll), apartado 1, del art. 8 del Decreto autonómico 148/2002, de 27 de diciembre] la de “aprobar las medidas que garanticen los servicios mínimos en los casos de huelga en los centros dependientes del Servicio Murciano de Salud”.</w:t>
      </w:r>
    </w:p>
    <w:p w:rsidR="0026452D" w:rsidRDefault="0026452D" w:rsidP="0026452D">
      <w:pPr>
        <w:pStyle w:val="TextoNormal"/>
      </w:pPr>
    </w:p>
    <w:p w:rsidR="0026452D" w:rsidRDefault="0026452D" w:rsidP="0026452D">
      <w:pPr>
        <w:pStyle w:val="TextoNormal"/>
      </w:pPr>
      <w:r>
        <w:t xml:space="preserve">La última previsión, relativa a la facultad del Director Gerente para la fijación de los servicios mínimos, resulta extraña con relación al resto de las funciones encomendadas al Director Gerente que atañen a la dirección y gestión del Servicio. Por afectar al ejercicio de los derechos fundamentales, requiere que los adopte un órgano que se halle en una posición </w:t>
      </w:r>
      <w:r w:rsidRPr="0026452D">
        <w:rPr>
          <w:i/>
        </w:rPr>
        <w:t>supra partes</w:t>
      </w:r>
      <w:r>
        <w:t xml:space="preserve"> y que, además se encuentre revestido de autoridad política (por todas, SSTC 26/1981, de 17 de julio, FJ 11; 53/1986, de 5 de mayo, FJ 5; 27/1989, de 3 de febrero, FJ 3; 296/2006, de 11 de octubre, FJ 2; 310/2006, de 23 de octubre, FJ 4; y 36/2007, de 12 de febrero, FJ 2). Sin embargo, no concurren en la figura examinada, como este Tribunal tuvo oportunidad de declarar en la citada STC 296/2006 con relación al Director Gerente de otro servicio de salud, al ser un órgano de gestión y administración de la entidad empleadora afectada por la huelga, en el que, por consiguiente, no concurren los requisitos de neutralidad e imparcialidad precisos para poder apreciar todos los aspectos sociales del conflicto.</w:t>
      </w:r>
    </w:p>
    <w:p w:rsidR="0026452D" w:rsidRDefault="0026452D" w:rsidP="0026452D">
      <w:pPr>
        <w:pStyle w:val="TextoNormal"/>
      </w:pPr>
    </w:p>
    <w:p w:rsidR="0026452D" w:rsidRDefault="0026452D" w:rsidP="0026452D">
      <w:pPr>
        <w:pStyle w:val="TextoNormal"/>
      </w:pPr>
      <w:r>
        <w:t>Todo lo anterior nos conduce a considerar que el precepto autonómico cuestionado es claramente incompatible con el art. 28.2 CE, al atribuir la fijación de los servicios mínimos en caso de huelga a un órgano que no tiene la cualidad de autoridad gubernativa, por lo que se ha de declarar su inconstitucionalidad y consiguiente nulidad.</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la presente cuestión de inconstitucionalidad y, en su virtud, declarar inconstitucionalidad y nulo el apartado l) del art. 7.2 de la Ley de la Asamblea Regional de Murcia 5/2001, de 5 de diciembre, de personal estatutario del Servicio Murciano de Salud.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62" w:name="SENTENCIA_2013_59"/>
      <w:r>
        <w:lastRenderedPageBreak/>
        <w:t>SENTENCIA 59/2013, de 13 de marzo de 2013</w:t>
      </w:r>
    </w:p>
    <w:bookmarkEnd w:id="62"/>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ECLI:ES:TC:2013:59</w:t>
      </w:r>
    </w:p>
    <w:p w:rsidR="0026452D" w:rsidRDefault="0026452D" w:rsidP="0026452D">
      <w:pPr>
        <w:pStyle w:val="SntesisDescriptiva"/>
      </w:pPr>
    </w:p>
    <w:p w:rsidR="0026452D" w:rsidRDefault="0026452D" w:rsidP="0026452D">
      <w:pPr>
        <w:pStyle w:val="SntesisDescriptiva"/>
      </w:pPr>
      <w:r>
        <w:t>Conflicto positivo de competencia 1618-2003. Planteado por el Gobierno de Aragón respecto de la certificación sobre afección a la conservación de la diversidad en las zonas especiales de conservación y en las zonas de especial protección para las aves, expedida el 9 de noviembre de 2002 por la Dirección General de Conservación de la Naturaleza del Ministerio de Medio Ambiente, en relación con el proyecto denominado “Construcción de abastecimiento de Agua a Lleida y núcleos urbanos de la zona regable del canal de Piñana, fase II”.</w:t>
      </w:r>
    </w:p>
    <w:p w:rsidR="0026452D" w:rsidRDefault="0026452D" w:rsidP="0026452D">
      <w:pPr>
        <w:pStyle w:val="SntesisDescriptiva"/>
      </w:pPr>
    </w:p>
    <w:p w:rsidR="0026452D" w:rsidRDefault="0026452D" w:rsidP="0026452D">
      <w:pPr>
        <w:pStyle w:val="SntesisAnaltica"/>
      </w:pPr>
      <w:r>
        <w:t>Competencias sobre medio ambiente y espacios naturales protegidos: carácter instrumental de la certificación ambiental respecto de la obra hidráulica de competencia estatal sobre la que versa (SSTC 13/1998 y 149/2012).</w:t>
      </w:r>
    </w:p>
    <w:p w:rsidR="0026452D" w:rsidRDefault="0026452D" w:rsidP="0026452D">
      <w:pPr>
        <w:pStyle w:val="SntesisAnaltica"/>
      </w:pPr>
    </w:p>
    <w:p w:rsidR="0026452D" w:rsidRDefault="0026452D" w:rsidP="0026452D">
      <w:pPr>
        <w:pStyle w:val="Extracto"/>
      </w:pPr>
      <w:r>
        <w:t>1.</w:t>
      </w:r>
      <w:r>
        <w:tab/>
        <w:t>La evaluación de la repercusión que para un lugar concreto conlleva una obra o actividad queda fuera de la función ejecutiva o de gestión en materia de espacios naturales protegidos cuando está orientada a facilitar al órgano competente sobre ella la información ambiental específica para decidir si se realiza o no y, en su caso, en qué condiciones se hace, pues tiene como finalidad que los entes públicos valoren el medio ambiente cuando ejercen sus atribuciones sobre cualquiera de las obras, instalaciones u otras actividades integradas en sus títulos competenciales que, por su naturaleza y finalidad, atraen a la de medio ambiente (SSTC 13/1998, 149/2012)  [FJ 3].</w:t>
      </w:r>
    </w:p>
    <w:p w:rsidR="0026452D" w:rsidRDefault="0026452D" w:rsidP="0026452D">
      <w:pPr>
        <w:pStyle w:val="Extracto"/>
      </w:pPr>
    </w:p>
    <w:p w:rsidR="0026452D" w:rsidRDefault="0026452D" w:rsidP="0026452D">
      <w:pPr>
        <w:pStyle w:val="Extracto"/>
      </w:pPr>
      <w:r>
        <w:t>2.</w:t>
      </w:r>
      <w:r>
        <w:tab/>
        <w:t>Es acorde con la distribución constitucional de competencias la atribución a la Administración del Estado de la realización de la evaluación ambiental de las zonas especiales de conservación en aquellos casos en los que el plan o proyecto debe ser autorizado o aprobado por ella tras la realización de la correspondiente evaluación de impacto ambiental, garantizándose, en todo caso, la consulta a las Comunidades Autónomas en cuyo territorio se ubique el proyecto en cuestión (STC 149/2012)  [FJ 3].</w:t>
      </w:r>
    </w:p>
    <w:p w:rsidR="0026452D" w:rsidRDefault="0026452D" w:rsidP="0026452D">
      <w:pPr>
        <w:pStyle w:val="Extracto"/>
      </w:pPr>
    </w:p>
    <w:p w:rsidR="0026452D" w:rsidRDefault="0026452D" w:rsidP="0026452D">
      <w:pPr>
        <w:pStyle w:val="Extracto"/>
      </w:pPr>
      <w:r>
        <w:t>3.</w:t>
      </w:r>
      <w:r>
        <w:tab/>
        <w:t>El elemento determinante del encuadre competencial de la certificación de evaluación ambiental es su vínculo finalista con la decisión de realizar o no la obra o actividad cuyas consecuencias se evalúan, siendo igualmente decisivo en conflictos entre la competencia sustantiva estatal que da cobertura a la obra o actividad y la competencia autonómica exclusiva sobre espacios naturales protegidos, procediendo, por ello, que declaremos que esta clase específica de evaluación ambiental se incardina en el primer título y no en el segundo  [FJ 3].</w:t>
      </w:r>
    </w:p>
    <w:p w:rsidR="0026452D" w:rsidRDefault="0026452D" w:rsidP="0026452D">
      <w:pPr>
        <w:pStyle w:val="Extracto"/>
      </w:pPr>
    </w:p>
    <w:p w:rsidR="0026452D" w:rsidRDefault="0026452D" w:rsidP="0026452D">
      <w:pPr>
        <w:pStyle w:val="Extracto"/>
      </w:pPr>
      <w:r>
        <w:t>4.</w:t>
      </w:r>
      <w:r>
        <w:tab/>
        <w:t xml:space="preserve">Una obra de infraestructura orientada a favorecer el abastecimiento de agua a municipios de gran población usando para ello aguas que discurren por más de </w:t>
      </w:r>
      <w:r>
        <w:lastRenderedPageBreak/>
        <w:t xml:space="preserve">una Comunidad Autónoma, es a todas luces competencia del Estado </w:t>
      </w:r>
      <w:r w:rsidRPr="0026452D">
        <w:rPr>
          <w:i/>
        </w:rPr>
        <w:t>ex</w:t>
      </w:r>
      <w:r>
        <w:t xml:space="preserve"> apartados 22 y 24 del art. 149.1 CE  [FJ 4].</w:t>
      </w:r>
    </w:p>
    <w:p w:rsidR="0026452D" w:rsidRDefault="0026452D" w:rsidP="0026452D">
      <w:pPr>
        <w:pStyle w:val="Extracto"/>
      </w:pPr>
    </w:p>
    <w:p w:rsidR="0026452D" w:rsidRDefault="0026452D" w:rsidP="0026452D">
      <w:pPr>
        <w:pStyle w:val="Extracto"/>
      </w:pPr>
      <w:r>
        <w:t>5.</w:t>
      </w:r>
      <w:r>
        <w:tab/>
        <w:t xml:space="preserve">Doctrina constitucional sobre el </w:t>
      </w:r>
      <w:r w:rsidRPr="0026452D">
        <w:rPr>
          <w:i/>
        </w:rPr>
        <w:t>ius superveniens</w:t>
      </w:r>
      <w:r>
        <w:t xml:space="preserve"> en procesos de naturaleza competencial (STC 208/2012)  [FJ 2 a)].</w:t>
      </w:r>
    </w:p>
    <w:p w:rsidR="0026452D" w:rsidRDefault="0026452D" w:rsidP="0026452D">
      <w:pPr>
        <w:pStyle w:val="Extracto"/>
      </w:pPr>
    </w:p>
    <w:p w:rsidR="0026452D" w:rsidRDefault="0026452D" w:rsidP="0026452D">
      <w:pPr>
        <w:pStyle w:val="Extracto"/>
      </w:pPr>
      <w:r>
        <w:t>6.</w:t>
      </w:r>
      <w:r>
        <w:tab/>
        <w:t>Doctrina sobre la pérdida o pervivencia del objeto pese a la derogación de la norma en procesos constitucionales de naturaleza competencial según haya cesado o no la controversia competencial (STC 149/2012)  [FJ 2 b)].</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1618-2003, interpuesto por el Gobierno de Aragón contra la certificación de 9 de noviembre de 2002 sobre afección de los proyectos y actuaciones a la conservación de la diversidad en las zonas especiales de conservación y en las zonas de especial protección para las aves, expedida por la Dirección General de Conservación de la Naturaleza del Ministerio de Medio Ambiente en relación con el proyecto titulado “Construcción de abastecimiento de Agua a Lleida y núcleos urbanos de la zona regable del canal de Piñana, fase II”. Ha comparecido y formulado alegaciones el Abogado del Estado.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presentado en el Registro General de este Tribunal el día 21 de marzo de 2003 el Letrado de la Comunidad Autónoma de Aragón, en la representación que legalmente ostenta, promueve conflicto positivo de competencia contra la certificación de 9 de noviembre de 2002 sobre afección de los proyectos y actuaciones a la conservación de la diversidad en las zonas especiales de conservación y en las zonas de especial protección para las aves, expedida por la Dirección General de Conservación de la Naturaleza del Ministerio de Medio Ambiente en relación con el proyecto titulado “Construcción de abastecimiento de Agua a Lleida y núcleos urbanos de la zona regable del canal de Piñana, fase II”, por invadir la competencia exclusiva autonómica en materia de espacios protegidos (art. </w:t>
      </w:r>
      <w:r>
        <w:lastRenderedPageBreak/>
        <w:t>31.1.15 del Estatuto de Autonomía de Aragón, aprobado por Ley Orgánica 8/1982, de 10 de agosto, en la redacción dada al mismo por la Ley Orgánica 5/1996, de 30 de diciembre).</w:t>
      </w:r>
    </w:p>
    <w:p w:rsidR="0026452D" w:rsidRDefault="0026452D" w:rsidP="0026452D">
      <w:pPr>
        <w:pStyle w:val="TextoNormal"/>
      </w:pPr>
    </w:p>
    <w:p w:rsidR="0026452D" w:rsidRDefault="0026452D" w:rsidP="0026452D">
      <w:pPr>
        <w:pStyle w:val="TextoNormal"/>
      </w:pPr>
      <w:r>
        <w:t>El Letrado autonómico resalta que la conjunción del art. 149.1.23 CE y de los arts. 37.3 (“Corresponde a la Comunidad Autónoma el desarrollo legislativo y ejecución de la legislación básica del Estado en las siguientes materias: Protección del medio ambiente; normas adicionales de protección del medio ambiente y del paisaje”) y 31.1.15 (“Corresponde a la Comunidad Autónoma la competencia exclusiva en las siguientes materias: Montes, aprovechamientos y servicios forestales, vías pecuarias y espacios naturales protegidos”) del Estatuto de Autonomía de Aragón exige diferenciar el medio ambiente como título competencial específico de títulos vinculados al medio ambiente pero distintos de éste, por su especificidad, como el relativo a los espacios naturales protegidos. Y añade que en el marco de esos títulos competenciales se aprobó por el Estado el Real Decreto 1997/1995, de 7 de diciembre, por el que se establecen medidas para contribuir a garantizar la biodiversidad mediante la conservación de los hábitats naturales de la flora y la fauna silvestre, cuyo art. 6, bajo la rúbrica “medidas de conservación”, dispone:</w:t>
      </w:r>
    </w:p>
    <w:p w:rsidR="0026452D" w:rsidRDefault="0026452D" w:rsidP="0026452D">
      <w:pPr>
        <w:pStyle w:val="TextoNormal"/>
      </w:pPr>
    </w:p>
    <w:p w:rsidR="0026452D" w:rsidRDefault="0026452D" w:rsidP="0026452D">
      <w:pPr>
        <w:pStyle w:val="TextoNormal"/>
      </w:pPr>
      <w:r>
        <w:t>“1. Respecto de las zonas especiales de conservación las Comunidades Autónomas correspondientes fijarán las medidas de conservación necesarias que implicarán, en su caso, adecuados planes de gestión, específicos a los lugares o integrados en otros planes de desarrollo, y las apropiadas medidas reglamentarias, administrativas o contractuales, que respondan a las exigencias ecológicas de los tipos de hábitats naturales del anexo I y de las especies del anexo II presentes en los lugares.</w:t>
      </w:r>
    </w:p>
    <w:p w:rsidR="0026452D" w:rsidRDefault="0026452D" w:rsidP="0026452D">
      <w:pPr>
        <w:pStyle w:val="TextoNormal"/>
      </w:pPr>
    </w:p>
    <w:p w:rsidR="0026452D" w:rsidRDefault="0026452D" w:rsidP="0026452D">
      <w:pPr>
        <w:pStyle w:val="TextoNormal"/>
      </w:pPr>
      <w:r>
        <w:t>2. Por las Comunidades Autónomas correspondientes se adoptarán las medidas apropiadas para evitar en las zonas especiales de conservación el deterioro de los hábitats naturales y de los hábitats de especies, así como las alteraciones que repercutan en las especies que hayan motivado la designación de las zonas, en la medida en que dichas alteraciones puedan tener un efecto apreciable en lo que respecta a los objetivos del presente Real Decreto.</w:t>
      </w:r>
    </w:p>
    <w:p w:rsidR="0026452D" w:rsidRDefault="0026452D" w:rsidP="0026452D">
      <w:pPr>
        <w:pStyle w:val="TextoNormal"/>
      </w:pPr>
    </w:p>
    <w:p w:rsidR="0026452D" w:rsidRDefault="0026452D" w:rsidP="0026452D">
      <w:pPr>
        <w:pStyle w:val="TextoNormal"/>
      </w:pPr>
      <w:r>
        <w:t>3. Cualquier plan o proyecto que, sin tener relación directa con la gestión del lugar o sin ser necesario para la misma, pueda afectar de forma apreciable a los citados lugares, ya sea individualmente o en combinación con otros planes o proyectos, se someterá a una adecuada evaluación de sus repercusiones en el lugar, que se realizará de acuerdo con las normas que sean de aplicación, de acuerdo con lo establecido en la legislación básica estatal y en las normas adicionales de protección dictadas por las Comunidades Autónomas, teniendo en cuenta los objetivos de conservación de dicho lugar. A la vista de las conclusiones de la evaluación de las repercusiones en el lugar y supeditado a lo dispuesto en el apartado 4 de este artículo, las Comunidades Autónomas correspondientes sólo manifestarán su conformidad con dicho plan o proyecto tras haberse asegurado de que no causará perjuicio a la integridad del lugar en cuestión y, si procede, tras haberlo sometido a información pública.</w:t>
      </w:r>
    </w:p>
    <w:p w:rsidR="0026452D" w:rsidRDefault="0026452D" w:rsidP="0026452D">
      <w:pPr>
        <w:pStyle w:val="TextoNormal"/>
      </w:pPr>
    </w:p>
    <w:p w:rsidR="0026452D" w:rsidRDefault="0026452D" w:rsidP="0026452D">
      <w:pPr>
        <w:pStyle w:val="TextoNormal"/>
      </w:pPr>
      <w:r>
        <w:t xml:space="preserve">4. Si, a pesar de las conclusiones negativas de la evaluación de las repercusiones sobre el lugar y a falta de soluciones alternativas, debiera realizarse un plan o proyecto por razones imperiosas de interés público de primer orden, incluidas razones de índole social o económica, las Administraciones públicas competentes tomarán cuantas medidas compensatorias sean necesarias para garantizar que la coherencia global de Natura 2000 quede protegida. En su caso, las Comunidades Autónomas comunicarán al Ministerio de Agricultura, Pesca </w:t>
      </w:r>
      <w:r>
        <w:lastRenderedPageBreak/>
        <w:t>y Alimentación las medidas compensatorias que hayan adoptado y éste, a través del cauce correspondiente, informará a la Comisión Europea.</w:t>
      </w:r>
    </w:p>
    <w:p w:rsidR="0026452D" w:rsidRDefault="0026452D" w:rsidP="0026452D">
      <w:pPr>
        <w:pStyle w:val="TextoNormal"/>
      </w:pPr>
    </w:p>
    <w:p w:rsidR="0026452D" w:rsidRDefault="0026452D" w:rsidP="0026452D">
      <w:pPr>
        <w:pStyle w:val="TextoNormal"/>
      </w:pPr>
      <w:r>
        <w:t>En caso de que el lugar considerado albergue un tipo de hábitat natural y/o una especie prioritarios, únicamente se podrán alegar consideraciones relacionadas con la salud humana y la seguridad pública, o relativas a consecuencias positivas de primordial importancia para el medio ambiente, o bien, otras razones imperiosas de interés público de primer orden. En este último caso, a través del cauce correspondiente, habrá que consultar, previamente, a la Comisión Europea.</w:t>
      </w:r>
    </w:p>
    <w:p w:rsidR="0026452D" w:rsidRDefault="0026452D" w:rsidP="0026452D">
      <w:pPr>
        <w:pStyle w:val="TextoNormal"/>
      </w:pPr>
    </w:p>
    <w:p w:rsidR="0026452D" w:rsidRDefault="0026452D" w:rsidP="0026452D">
      <w:pPr>
        <w:pStyle w:val="TextoNormal"/>
      </w:pPr>
      <w:r>
        <w:t>Desde el momento en que un lugar figure en la lista de lugares de importancia comunitaria, éste quedará sometido a lo dispuesto en los apartados 2, 3 y 4 de este artículo.</w:t>
      </w:r>
    </w:p>
    <w:p w:rsidR="0026452D" w:rsidRDefault="0026452D" w:rsidP="0026452D">
      <w:pPr>
        <w:pStyle w:val="TextoNormal"/>
      </w:pPr>
    </w:p>
    <w:p w:rsidR="0026452D" w:rsidRDefault="0026452D" w:rsidP="0026452D">
      <w:pPr>
        <w:pStyle w:val="TextoNormal"/>
      </w:pPr>
      <w:r>
        <w:t>También será de aplicación a las zonas de especial protección para las aves, declaradas, en su caso, por las Comunidades Autónomas correspondientes, al amparo del artículo 4 de la Directiva 79/409/CEE, lo establecido en los apartados 2, 3 y 4 de este mismo artículo.”</w:t>
      </w:r>
    </w:p>
    <w:p w:rsidR="0026452D" w:rsidRDefault="0026452D" w:rsidP="0026452D">
      <w:pPr>
        <w:pStyle w:val="TextoNormal"/>
      </w:pPr>
    </w:p>
    <w:p w:rsidR="0026452D" w:rsidRDefault="0026452D" w:rsidP="0026452D">
      <w:pPr>
        <w:pStyle w:val="TextoNormal"/>
      </w:pPr>
      <w:r>
        <w:t xml:space="preserve">La Administración General del Estado, a juicio del representante del Gobierno de Aragón, se atribuye la función de control </w:t>
      </w:r>
      <w:r w:rsidRPr="0026452D">
        <w:rPr>
          <w:i/>
        </w:rPr>
        <w:t>ex</w:t>
      </w:r>
      <w:r>
        <w:t xml:space="preserve"> art. 6.3 de la norma transcrita y, en consecuencia, la Dirección General de Conservación de la Naturaleza del Ministerio de Medio Ambiente formuló el 9 de noviembre de 2002, en relación con el proyecto titulado “Construcción de abastecimiento de Agua a Lleida y núcleos urbanos de la zona regable del canal de Piñana, fase II”, lo que denomina “Declaración de la autoridad responsable de supervisar los lugares de la Red Natura 2000”, concluyendo en ella que el proyecto evaluado “no tendrá efectos negativos apreciables en lugares incluidos en la Red Natura 2000, siempre que se cumplan las siguientes condiciones: a) Las conducciones previstas no invadirán en ningún caso el ámbito territorial del LIC de ‘Aiguabarreig Segre – Noguera Ribagorzana’ (ES5130020), limitándose a cruzar este espacio por los puntos previstos (ramal Albesa y ramal Corbins-Torrelameu) aprovechando la existencia de infraestructuras preexistentes sin que las obras incidan en el cauce del río o sus márgenes; b) Cualquier superficie de ocupación temporal para la ejecución de las obras (parques de maquinaria, instalaciones auxiliares, acopio o vertido de materiales, etc.) se ubicará fuera del límite de los espacios de la Red Natura 2000. Igualmente, no se realizará tránsito de maquinaria por el interior de los Lugares de la Red Natura 2000; c) No se procederá a la realización de cortes, desvíos u otro tipo de obras que varíen los caudales circulantes en el Noguera Ribagorzana. Las obras se realizarán aprovechando el período de menor caudal circulante (invierno); d) Se velará por el mantenimiento de la calidad de las aguas del Noguera Ribagorzana mediante aportes de agua del Canal de Enlace, aguas abajo de los cruces previstos sobre el cauce; d) Se extremarán todas las medidas preventivas de impacto ambiental durante la ejecución de las obras y, entre éstas, se prestará especial atención al jalonamiento temporal de la zona de obras en las inmediaciones de los Lugares de la Red Natura 2000, así como al mantenimiento en óptimas condiciones de dicho jalonamiento.”</w:t>
      </w:r>
    </w:p>
    <w:p w:rsidR="0026452D" w:rsidRDefault="0026452D" w:rsidP="0026452D">
      <w:pPr>
        <w:pStyle w:val="TextoNormal"/>
      </w:pPr>
    </w:p>
    <w:p w:rsidR="0026452D" w:rsidRDefault="0026452D" w:rsidP="0026452D">
      <w:pPr>
        <w:pStyle w:val="TextoNormal"/>
      </w:pPr>
      <w:r>
        <w:t xml:space="preserve">Acto seguido, el escrito de promoción de este proceso constitucional recuerda que el Gobierno de Aragón requirió de incompetencia al Gobierno de la Nación respecto de esta certificación de 9 de noviembre de 2002, rechazando éste el requerimiento con el argumento de que la certificación cuestionada es una técnica asimilable al estudio de impacto ambiental, de modo que resulta aplicable la doctrina constitucional, originada con las SSTC </w:t>
      </w:r>
      <w:r>
        <w:lastRenderedPageBreak/>
        <w:t>102/1995, de 26 de junio, y 13/1998, de 22 de enero, según la cual evaluar la afectación medioambiental de planes y proyectos no supone propiamente ejercicio de competencias en materia de gestión medioambiental, sino ejercicio de la competencia que ampara la realización de la obra o proyecto que se pretenda ejecutar.</w:t>
      </w:r>
    </w:p>
    <w:p w:rsidR="0026452D" w:rsidRDefault="0026452D" w:rsidP="0026452D">
      <w:pPr>
        <w:pStyle w:val="TextoNormal"/>
      </w:pPr>
    </w:p>
    <w:p w:rsidR="0026452D" w:rsidRDefault="0026452D" w:rsidP="0026452D">
      <w:pPr>
        <w:pStyle w:val="TextoNormal"/>
      </w:pPr>
      <w:r>
        <w:t>El Letrado autonómico, una vez delimitados así los hechos relevantes, argumenta que la vulneración competencial radica en que, al asimilar la certificación cuestionada con la evaluación de impacto ambiental, “el Gobierno de la Nación niega la existencia de una competencia autonómica en materia de espacios naturales protegidos que, aunque vinculada a la competencia medioambiental, constituya una competencia específica diferenciada de esa genérica que se prevé en el art. 149.1.23 CE”, destinando el resto de sus consideraciones a fundamentar la diferencia entre ambos títulos competenciales y entre ambas técnicas de protección ambiental.</w:t>
      </w:r>
    </w:p>
    <w:p w:rsidR="0026452D" w:rsidRDefault="0026452D" w:rsidP="0026452D">
      <w:pPr>
        <w:pStyle w:val="TextoNormal"/>
      </w:pPr>
    </w:p>
    <w:p w:rsidR="0026452D" w:rsidRDefault="0026452D" w:rsidP="0026452D">
      <w:pPr>
        <w:pStyle w:val="TextoNormal"/>
      </w:pPr>
      <w:r>
        <w:t>Respecto de la distinción entre ambos títulos competenciales destaca que “aunque guarden una evidente conexión con el medio ambiente, los espacios naturales protegidos son objeto de un título competencial adicional, definido por la especialidad que implica la materia ante la necesidad de conservar los hábitats y las especies de flora y fauna mediante una ordenación específica de la totalidad de actividades que se van a desarrollar en un determinado territorio”, aludiendo a la doctrina constitucional en que este criterio tiene reflejo: “Este Tribunal ha venido advirtiendo que, a pesar de la íntima relación existente entre las materias relativas al medio ambiente y a los espacios naturales protegidos en nuestro ordenamiento las actividades públicas relativas a estos objetos constituyen ámbitos materiales distintos, dotados de diferente distribución de funciones. Concretamente, se ha dicho que la materia medio ambiente tiene un alcance genérico, tanto en su objeto como en el tipo de protección, respecto de la materia de espacios naturales protegidos, que se refiere únicamente a un elemento u objeto de aquéllas —el soporte topográfico del medio ambiente, en palabras de la STC 102/1995, de 26 de junio— y a una determinada forma de actuación” [STC 195/1998, de 1 de octubre, FJ 3, que cita literalmente la STC 97/2002, de 25 de abril, FJ 9 a)].</w:t>
      </w:r>
    </w:p>
    <w:p w:rsidR="0026452D" w:rsidRDefault="0026452D" w:rsidP="0026452D">
      <w:pPr>
        <w:pStyle w:val="TextoNormal"/>
      </w:pPr>
    </w:p>
    <w:p w:rsidR="0026452D" w:rsidRDefault="0026452D" w:rsidP="0026452D">
      <w:pPr>
        <w:pStyle w:val="TextoNormal"/>
      </w:pPr>
      <w:r>
        <w:t>Advierte, además, el Letrado autonómico que el protagonismo de la Comunidad Autónoma de Aragón es más intenso en el ámbito de los espacios naturales protegidos, pues mientras en él su competencia es exclusiva, en la materia medioambiental solo le compete el desarrollo legislativo y la ejecución.</w:t>
      </w:r>
    </w:p>
    <w:p w:rsidR="0026452D" w:rsidRDefault="0026452D" w:rsidP="0026452D">
      <w:pPr>
        <w:pStyle w:val="TextoNormal"/>
      </w:pPr>
    </w:p>
    <w:p w:rsidR="0026452D" w:rsidRDefault="0026452D" w:rsidP="0026452D">
      <w:pPr>
        <w:pStyle w:val="TextoNormal"/>
      </w:pPr>
      <w:r>
        <w:t>Partiendo de este marco competencial, el Letrado autonómico califica la actividad de expedición del certificado discutido de actividad de control en materia de espacios naturales protegidos, inscribiéndola en consecuencia en la función ejecutiva que en ese ámbito competencial tiene atribuida el Gobierno de Aragón. Admite a continuación que, a pesar de que la competencia sobre espacios naturales protegidos es exclusiva, cabría la intervención del Estado en virtud de sus facultades para fijar las bases de la protección ambiental, pero a continuación puntualiza que, tratándose de una función ejecutiva, la posibilidad de esa intervención estatal es excepcional, siendo necesaria una justificación que, por lo general, se manifestará por motivos supraautonómicos y que deberá expresar las razones por las que no se puede alcanzar el mismo objetivo mediante el establecimiento de fórmulas de coordinación de las Comunidades Autónomas en el ejercicio de sus competencias, circunstancias que, a su juicio, no concurren en el presente caso.</w:t>
      </w:r>
    </w:p>
    <w:p w:rsidR="0026452D" w:rsidRDefault="0026452D" w:rsidP="0026452D">
      <w:pPr>
        <w:pStyle w:val="TextoNormal"/>
      </w:pPr>
    </w:p>
    <w:p w:rsidR="0026452D" w:rsidRDefault="0026452D" w:rsidP="0026452D">
      <w:pPr>
        <w:pStyle w:val="TextoNormal"/>
      </w:pPr>
      <w:r>
        <w:t>Las últimas consideraciones del Letrado autonómico se dedican al régimen jurídico de la evaluación de impacto ambiental y su diferencia respecto de otras técnicas de control medioambiental, en especial en relación con la evaluación de la afectación de planes y proyectos a las zonas especiales de conservación y zonas de especial protección para las aves insertas en la Red Natura 2000, de la que es expresión la certificación controvertida. La evaluación de impacto ambiental se formula no atendiendo estrictamente a la protección del hábitat natural, sino también a otros elementos que, en una comprensión amplia concepto material de “medio ambiente”, superan la noción de medio natural. Junto a este mecanismo de carácter horizontal, el ordenamiento prevé evaluaciones ambientales de significado sectorial, como el art. 7 del Reglamento de actividades molestas, insalubres, nocivas y peligrosas, el art. 98 de la Ley de aguas, el art. 42.2 de la Ley de costas y la autorización ambiental integrada regulada por la Ley 16/2002, de 1 de julio. Entre estas técnicas sectoriales se cuenta también la recogida en el art. 6.3 del referido Real Decreto 1997/1995, pues no busca medir la repercusión general del proyecto examinado en el medio ambiente, entendido en sentido omnicomprensivo, sino su afectación sobre la biodiversidad de un lugar concreto que se configura como un ecosistema natural que es objeto de especial tutela para garantizar su conservación, lo que implica la necesidad de efectuar una evaluación específica, diferenciada de la evaluación de impacto ambiental.</w:t>
      </w:r>
    </w:p>
    <w:p w:rsidR="0026452D" w:rsidRDefault="0026452D" w:rsidP="0026452D">
      <w:pPr>
        <w:pStyle w:val="TextoNormal"/>
      </w:pPr>
    </w:p>
    <w:p w:rsidR="0026452D" w:rsidRDefault="0026452D" w:rsidP="0026452D">
      <w:pPr>
        <w:pStyle w:val="TextoNormal"/>
      </w:pPr>
      <w:r>
        <w:t>La conexión íntima con un espacio natural concreto que presenta este tipo de control, en contraste con la repercusión general en el medio ambiente que connota la evaluación de impacto ambiental, justifica el distinto encuadre competencial, con lo que no es aplicable la doctrina originada con las citadas SSTC 102/1995 y 13/1998 y, a su vez, que deba prevalecer, en virtud de su carácter más específico, la competencia autonómica respecto de los espacios naturales protegidos sobre la competencia sustantiva ligada al proyecto evaluado que pudiera hacer valer el Estado, según el Letrado autonómico.</w:t>
      </w:r>
    </w:p>
    <w:p w:rsidR="0026452D" w:rsidRDefault="0026452D" w:rsidP="0026452D">
      <w:pPr>
        <w:pStyle w:val="TextoNormal"/>
      </w:pPr>
    </w:p>
    <w:p w:rsidR="0026452D" w:rsidRDefault="0026452D" w:rsidP="0026452D">
      <w:pPr>
        <w:pStyle w:val="TextoNormal"/>
      </w:pPr>
      <w:r>
        <w:t>En fin, en el caso en que el plan o proyecto que deba ser sometido al control regulado en el art. 6.3 del Real Decreto 1997/1995 estuviese también sujeto por sus características al trámite previo de evaluación de impacto ambiental, el Letrado autonómico sostiene que uno de esos controles no absorbe al otro, no alterándose en ningún caso el reparto competencial según el cual el primero de esos controles corresponde a la Comunidad Autónoma de Aragón.</w:t>
      </w:r>
    </w:p>
    <w:p w:rsidR="0026452D" w:rsidRDefault="0026452D" w:rsidP="0026452D">
      <w:pPr>
        <w:pStyle w:val="TextoNormal"/>
      </w:pPr>
    </w:p>
    <w:p w:rsidR="0026452D" w:rsidRDefault="0026452D" w:rsidP="0026452D">
      <w:pPr>
        <w:pStyle w:val="TextoNormal"/>
      </w:pPr>
      <w:r>
        <w:t>Por último, mediante otrosí, el Letrado autonómico agrega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solicitada de dicho acto administrativo”.</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La Sección Primera de este Tribunal, por providencia de 8 de abril de 2003, acordó admitir a trámite el conflicto positivo de competencia promovido por el Gobierno de Aragón y dar traslado de la demanda y documentos presentados al Gobierno de la Nación, por conducto de su Presidente, al objeto de que en plazo de veinte días alegue lo que estime oportuno; asimismo acordó comunicar la incoación del conflicto al Decano de los Juzgados Centrales de lo Contencioso-Administrativo, por si ante los mismos estuviera impugnada o se </w:t>
      </w:r>
      <w:r>
        <w:lastRenderedPageBreak/>
        <w:t>impugnase la certificación objeto del conflicto, en cuyo caso se suspenderá el curso del proceso hasta la decisión del mismo, y conceder al Abogado del Estado un plazo de veinte días para que exponga lo que a su interés convenga acerca de la suspensión de la certificación impugnada que se pide en otrosí en la demanda; finalmente se acordó publicar la incoación del conflicto en el “Boletín Oficial del Estado” y en el “Boletín Oficial de Aragón”.</w:t>
      </w:r>
    </w:p>
    <w:p w:rsidR="0026452D" w:rsidRDefault="0026452D" w:rsidP="0026452D">
      <w:pPr>
        <w:pStyle w:val="TextoNormal"/>
      </w:pPr>
    </w:p>
    <w:p w:rsidR="0026452D" w:rsidRDefault="0026452D" w:rsidP="0026452D">
      <w:pPr>
        <w:pStyle w:val="TextoNormal"/>
      </w:pPr>
      <w:r w:rsidRPr="0026452D">
        <w:rPr>
          <w:rStyle w:val="NumeroAFNegritaCaracter"/>
        </w:rPr>
        <w:t>3</w:t>
      </w:r>
      <w:r>
        <w:t>. El Abogado del Estado, en escrito de alegaciones registrado en este Tribunal el día 22 de abril de 2003, se opone a la demanda y solicita que se dicte Sentencia declarando ajustada a la Constitución la certificación impugnada.</w:t>
      </w:r>
    </w:p>
    <w:p w:rsidR="0026452D" w:rsidRDefault="0026452D" w:rsidP="0026452D">
      <w:pPr>
        <w:pStyle w:val="TextoNormal"/>
      </w:pPr>
    </w:p>
    <w:p w:rsidR="0026452D" w:rsidRDefault="0026452D" w:rsidP="0026452D">
      <w:pPr>
        <w:pStyle w:val="TextoNormal"/>
      </w:pPr>
      <w:r>
        <w:t>Alude el Abogado del Estado en primer lugar al reparto competencial entre Estado y Comunidades Autónomas para la protección del medio ambiente. Afirma en tal sentido que la STC 102/1995, de 26 de junio, FJ 3 establece, entre otros criterios, que los recursos naturales son soportes físicos de una pluralidad de actuaciones públicas y privadas en relación a los cuales la Constitución y los Estatutos de Autonomía han atribuido diversas competencias y, que dado que sobre una misma superficie o espacio natural pueden actuar distintas Administraciones públicas para diferentes funciones o competencias, resulta inevitable a continuación determinar, en cada caso, el título competencial predominante por su vinculación directa e inmediata, en virtud del principio de especificidad, operando así mediante la calificación del contenido material de cada precepto y la averiguación de su finalidad. Y concluye Abogado del Estado que en el presente caso el título competencial predominante, tanto por la finalidad inmediata (obtención de financiación), como por la finalidad mediata (realización de una obra), es la competencia sustantiva en cuyo ejercicio consiste la realización del proyecto u obra a realizar, de forma que la emisión de una certificación de evaluación ambiental de la misma, no supone ejercicio de competencias en materia de gestión del medio ambiente, sino de la competencia que justifica el proyecto u obra a realizar.</w:t>
      </w:r>
    </w:p>
    <w:p w:rsidR="0026452D" w:rsidRDefault="0026452D" w:rsidP="0026452D">
      <w:pPr>
        <w:pStyle w:val="TextoNormal"/>
      </w:pPr>
    </w:p>
    <w:p w:rsidR="0026452D" w:rsidRDefault="0026452D" w:rsidP="0026452D">
      <w:pPr>
        <w:pStyle w:val="TextoNormal"/>
      </w:pPr>
      <w:r>
        <w:t>Añade el Abogado del Estado otra alegación en la que analiza el art. 6.3 del Real Decreto 1997/1995 y afirma que en su virtud la Dirección General de Conservación de la Naturaleza del Ministerio de Medio Ambiente expidió la certificación objeto del conflicto, que contiene una declaración que se realizó en el ámbito de un procedimiento de solicitud de fondos de cohesión europeos cuya finalidad inmediata es la obtención de la financiación del proyecto y la mediata es la realización de la obra. No cabe duda —sigue razonando el Abogado del Estado— de que entre la evaluación de impacto ambiental y la evaluación de repercusión sobre las zonas protegidas integrantes de la Red Natura 2000, prevista en el 6.3 Real Decreto 1997/1995, se da una analogía que permite considerar, como tuvo oportunidad de señalar la citada STC 13/1998, que su finalidad es la de facilitar a las autoridades competentes información adecuada que les permita decidir sobre un determinado proyecto con pleno conocimiento de sus posibles impactos significativos en el medio ambiente. Y a partir de esa consideración, y en aplicación de la doctrina constitucional de la STC 13/1998, que cita, deduce el Abogado del Estado que tal declaración no supone ejercicio de competencias ni en materia de medio ambiente ni de espacios naturales protegidos, sino de una competencia a la que están anudados el proyecto u obra pública concretos que se pretende ejecutar por la Administración que la tiene atribuida, competencia que no resulta discutida en la demanda de conflicto.</w:t>
      </w:r>
    </w:p>
    <w:p w:rsidR="0026452D" w:rsidRDefault="0026452D" w:rsidP="0026452D">
      <w:pPr>
        <w:pStyle w:val="TextoNormal"/>
      </w:pPr>
    </w:p>
    <w:p w:rsidR="0026452D" w:rsidRDefault="0026452D" w:rsidP="0026452D">
      <w:pPr>
        <w:pStyle w:val="TextoNormal"/>
      </w:pPr>
      <w:r>
        <w:lastRenderedPageBreak/>
        <w:t>Concluye el Abogado del Estado manifestando su oposición a la suspensión de la certificación objeto del presento conflicto, por entender que no se justifica la existencia de perjuicio alguno de imposible o difícil reparación, sino que antes al contrario se produciría, en su opinión, un perjuicio al interés general si se acordase la suspensión, al impedirse con ello la financiación y posterior ejecución del proyecto.</w:t>
      </w:r>
    </w:p>
    <w:p w:rsidR="0026452D" w:rsidRDefault="0026452D" w:rsidP="0026452D">
      <w:pPr>
        <w:pStyle w:val="TextoNormal"/>
      </w:pPr>
    </w:p>
    <w:p w:rsidR="0026452D" w:rsidRDefault="0026452D" w:rsidP="0026452D">
      <w:pPr>
        <w:pStyle w:val="TextoNormal"/>
      </w:pPr>
      <w:r w:rsidRPr="0026452D">
        <w:rPr>
          <w:rStyle w:val="NumeroAFNegritaCaracter"/>
        </w:rPr>
        <w:t>4</w:t>
      </w:r>
      <w:r>
        <w:t>. Por ATC 190/2003, de 3 de junio, se acordó no acceder a la suspensión de la eficacia de la certificación de la Dirección General de Conservación de la Naturaleza del Ministerio de Medio Ambiente, de 9 de noviembre de 2002, sobre afección de los proyectos y actuaciones a la conservación de la diversidad en zonas de especial conservación y en zonas de especial protección de las aves.</w:t>
      </w:r>
    </w:p>
    <w:p w:rsidR="0026452D" w:rsidRDefault="0026452D" w:rsidP="0026452D">
      <w:pPr>
        <w:pStyle w:val="TextoNormal"/>
      </w:pPr>
    </w:p>
    <w:p w:rsidR="0026452D" w:rsidRDefault="0026452D" w:rsidP="0026452D">
      <w:pPr>
        <w:pStyle w:val="TextoNormal"/>
      </w:pPr>
      <w:r w:rsidRPr="0026452D">
        <w:rPr>
          <w:rStyle w:val="NumeroAFNegritaCaracter"/>
        </w:rPr>
        <w:t>5</w:t>
      </w:r>
      <w:r>
        <w:t>. Por providencia de 12 de marzo de 2013 se señaló para deliberación y votación de la presente Sentencia el día 13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 planteado por el Gobierno Aragón contra la certificación de 9 de noviembre de 2002 sobre afección de los proyectos y actuaciones a la conservación de la diversidad en las zonas especiales de conservación y en las zonas de especial protección para las aves, expedida por la Dirección General de Conservación de la Naturaleza del Ministerio de Medio Ambiente en relación con el proyecto titulado “Construcción de abastecimiento de Agua a Lleida y núcleos urbanos de la zona regable del canal de Piñana, fase II”, por invadir la competencia exclusiva autonómica en materia de espacios naturales protegidos (art. 31.1.15 del Estatuto de Autonomía de Aragón, aprobado por Ley Orgánica 8/1982, de 10 de agosto, en la redacción dada al mismo por la Ley Orgánica 5/1996, de 30 de diciembre), según las razones que han quedado reflejadas en los antecedentes de la presente Sentencia.</w:t>
      </w:r>
    </w:p>
    <w:p w:rsidR="0026452D" w:rsidRDefault="0026452D" w:rsidP="0026452D">
      <w:pPr>
        <w:pStyle w:val="TextoNormal"/>
      </w:pPr>
    </w:p>
    <w:p w:rsidR="0026452D" w:rsidRDefault="0026452D" w:rsidP="0026452D">
      <w:pPr>
        <w:pStyle w:val="TextoNormal"/>
      </w:pPr>
      <w:r>
        <w:t>Por el contrario, el Abogado del Estado defiende la constitucionalidad de la actuación impugnada, por los motivos que también se resumen en los antecedentes de esta Sentencia, rechazando que se vulnere competencia alguna de la Comunidad Autónoma de Aragón.</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adentrarnos en el problema competencial planteado en el presente conflicto hemos de considerar la incidencia de las modificaciones normativas acaecidas durante su pendencia.</w:t>
      </w:r>
    </w:p>
    <w:p w:rsidR="0026452D" w:rsidRDefault="0026452D" w:rsidP="0026452D">
      <w:pPr>
        <w:pStyle w:val="TextoNormal"/>
      </w:pPr>
    </w:p>
    <w:p w:rsidR="0026452D" w:rsidRDefault="0026452D" w:rsidP="0026452D">
      <w:pPr>
        <w:pStyle w:val="TextoNormal"/>
      </w:pPr>
      <w:r>
        <w:t xml:space="preserve">a) Conforme con nuestra doctrina constitucional sobre el </w:t>
      </w:r>
      <w:r w:rsidRPr="0026452D">
        <w:rPr>
          <w:i/>
        </w:rPr>
        <w:t>ius superveniens</w:t>
      </w:r>
      <w:r>
        <w:t xml:space="preserve"> en procesos de naturaleza competencial, la verificación de si un acto o una norma incurren en un posible exceso competencial ha de hacerse de acuerdo con las reglas que operan como parámetro de enjuiciamiento que estén vigentes en el momento de dictar sentencia [por todas, STC 208/2012, de 14 de noviembre, FJ 2 b)]. Procede, por ello, señalar que este pronunciamiento se hará a la luz de la delimitación de competencias que resulte de la Ley Orgánica 5/2007, de 20 de abril, de reforma del Estatuto de Autonomía de Aragón.</w:t>
      </w:r>
    </w:p>
    <w:p w:rsidR="0026452D" w:rsidRDefault="0026452D" w:rsidP="0026452D">
      <w:pPr>
        <w:pStyle w:val="TextoNormal"/>
      </w:pPr>
    </w:p>
    <w:p w:rsidR="0026452D" w:rsidRDefault="0026452D" w:rsidP="0026452D">
      <w:pPr>
        <w:pStyle w:val="TextoNormal"/>
      </w:pPr>
      <w:r>
        <w:lastRenderedPageBreak/>
        <w:t>b) También es doctrina constitucional que en los procesos de contenido competencial la pervivencia del objeto depende que haya “cesado o no la controversia competencial, toda vez que poner fin a la misma a la luz del orden constitucional de reparto de competencias es el fin último al que sirven tales procesos” [por todas, STC 149/2012, de 5 de julio, FJ 2 b)].</w:t>
      </w:r>
    </w:p>
    <w:p w:rsidR="0026452D" w:rsidRDefault="0026452D" w:rsidP="0026452D">
      <w:pPr>
        <w:pStyle w:val="TextoNormal"/>
      </w:pPr>
    </w:p>
    <w:p w:rsidR="0026452D" w:rsidRDefault="0026452D" w:rsidP="0026452D">
      <w:pPr>
        <w:pStyle w:val="TextoNormal"/>
      </w:pPr>
      <w:r>
        <w:t>El suplico del escrito rector de este proceso constitucional deja claro que el Gobierno autonómico recurrente impugna la certificación de 9 de noviembre de 2002 emitida por la Dirección General de Conservación de la Naturaleza del Ministerio de Medio Ambiente en la medida que dicha certificación es manifestación de la discrepancia existente sobre a quien compete “expedir las certificaciones sobre afección de los proyectos públicos y privados a las ZEC [zonas especiales de conservación] y ZEPAS [zonas especiales de protección para las aves] que se encuentran en el territorio de la Comunidad Autónoma de Aragón y que están incluidas en la Red Natura 2000”. Por este motivo, hay que tener en cuenta las modificaciones normativas acaecidas durante la pendencia de este proceso en la regulación estatal de esta materia, pues, aun no imputándose a dicha normativa el exceso competencial, si hubieran introducido cambios sustanciales que evidenciaran que dichas certificaciones serán expedidas por el órgano autonómico competente la controversia competencial habría desaparecido, por lo que el proceso habría perdido su objeto.</w:t>
      </w:r>
    </w:p>
    <w:p w:rsidR="0026452D" w:rsidRDefault="0026452D" w:rsidP="0026452D">
      <w:pPr>
        <w:pStyle w:val="TextoNormal"/>
      </w:pPr>
    </w:p>
    <w:p w:rsidR="0026452D" w:rsidRDefault="0026452D" w:rsidP="0026452D">
      <w:pPr>
        <w:pStyle w:val="TextoNormal"/>
      </w:pPr>
      <w:r>
        <w:t>La certificación a la que la parte recurrente reprocha la extralimitación competencial es aplicación del art. 6 del Real Decreto 1997/1995, de 7 de diciembre, que establece medidas para contribuir a garantizar la biodiversidad mediante la conservación de los hábitats naturales y de la fauna y flora silvestres, precepto transcrito en su integridad en los antecedentes. Pues bien, el Real Decreto 1421/2006, de 1 de diciembre, modifica el apartado 4 y añade los apartados 5 y 6, todos del art. 6 del Real Decreto 1997/1995, que quedan redactados como sigue:</w:t>
      </w:r>
    </w:p>
    <w:p w:rsidR="0026452D" w:rsidRDefault="0026452D" w:rsidP="0026452D">
      <w:pPr>
        <w:pStyle w:val="TextoNormal"/>
      </w:pPr>
    </w:p>
    <w:p w:rsidR="0026452D" w:rsidRDefault="0026452D" w:rsidP="0026452D">
      <w:pPr>
        <w:pStyle w:val="TextoNormal"/>
      </w:pPr>
      <w:r>
        <w:t>“4. Si, a pesar de las conclusiones negativas de la evaluación de las repercusiones sobre el lugar y a falta de soluciones alternativas, debiera realizarse un plan, programa o proyecto por razones imperiosas de interés público de primer orden, incluidas razones de índole social o económica, las administraciones públicas competentes tomarán cuantas medidas compensatorias sean necesarias para garantizar que la coherencia global de la Red Natura 2000 quede protegida.</w:t>
      </w:r>
    </w:p>
    <w:p w:rsidR="0026452D" w:rsidRDefault="0026452D" w:rsidP="0026452D">
      <w:pPr>
        <w:pStyle w:val="TextoNormal"/>
      </w:pPr>
    </w:p>
    <w:p w:rsidR="0026452D" w:rsidRDefault="0026452D" w:rsidP="0026452D">
      <w:pPr>
        <w:pStyle w:val="TextoNormal"/>
      </w:pPr>
      <w:r>
        <w:t>La adopción de las medidas compensatorias se llevará a cabo, en su caso, durante el procedimiento de evaluación ambiental de planes y programas y de evaluación de impacto ambiental de proyectos, de acuerdo con lo dispuesto en la normativa aplicable.</w:t>
      </w:r>
    </w:p>
    <w:p w:rsidR="0026452D" w:rsidRDefault="0026452D" w:rsidP="0026452D">
      <w:pPr>
        <w:pStyle w:val="TextoNormal"/>
      </w:pPr>
    </w:p>
    <w:p w:rsidR="0026452D" w:rsidRDefault="0026452D" w:rsidP="0026452D">
      <w:pPr>
        <w:pStyle w:val="TextoNormal"/>
      </w:pPr>
      <w:r>
        <w:t xml:space="preserve">En el caso de planes, programas y proyectos autorizados por la Administración General del Estado y sometidos a su vez a evaluación de impacto ambiental, las medidas compensatorias serán fijadas por el Ministerio de Medio Ambiente. Para la definición de dichas medidas, se consultará específicamente al órgano de la Comunidad Autónoma competente para la gestión del espacio de la Red Natura 2000 afectado por el plan, programa o proyecto. El plazo para la emisión de dicho informe será de treinta días. En el supuesto de discrepancias sobre las medidas compensatorias, el Ministerio de Medio Ambiente constituirá un grupo de trabajo con representantes de dicho departamento y de la comunidad autónoma afectada </w:t>
      </w:r>
      <w:r>
        <w:lastRenderedPageBreak/>
        <w:t>para definir, de común acuerdo y en el plazo máximo de treinta días, las medidas compensatorias que deberán incorporarse al plan, programa o proyecto. En caso de persistir el desacuerdo, el Ministerio de Medio Ambiente determinará las medidas compensatorias tomando en consideración el parecer de la Comunidad Autónoma.</w:t>
      </w:r>
    </w:p>
    <w:p w:rsidR="0026452D" w:rsidRDefault="0026452D" w:rsidP="0026452D">
      <w:pPr>
        <w:pStyle w:val="TextoNormal"/>
      </w:pPr>
    </w:p>
    <w:p w:rsidR="0026452D" w:rsidRDefault="0026452D" w:rsidP="0026452D">
      <w:pPr>
        <w:pStyle w:val="TextoNormal"/>
      </w:pPr>
      <w:r>
        <w:t>En los restantes supuestos, corresponderá a las Comunidades Autónomas la evaluación de las repercusiones en el espacio de la Red ecológica europea Natura 2000.</w:t>
      </w:r>
    </w:p>
    <w:p w:rsidR="0026452D" w:rsidRDefault="0026452D" w:rsidP="0026452D">
      <w:pPr>
        <w:pStyle w:val="TextoNormal"/>
      </w:pPr>
    </w:p>
    <w:p w:rsidR="0026452D" w:rsidRDefault="0026452D" w:rsidP="0026452D">
      <w:pPr>
        <w:pStyle w:val="TextoNormal"/>
      </w:pPr>
      <w:r>
        <w:t>5. En caso de que el lugar considerado albergue un tipo de hábitat natural y/o una especie prioritarios, únicamente se podrán alegar consideraciones relacionadas con la salud humana y la seguridad pública, o relativas a consecuencias positivas de primordial importancia para el medio ambiente, o bien, otras razones imperiosas de interés público de primer orden. En este último caso, a través del cauce correspondiente, habrá que consultar previamente a la Comisión Europea.</w:t>
      </w:r>
    </w:p>
    <w:p w:rsidR="0026452D" w:rsidRDefault="0026452D" w:rsidP="0026452D">
      <w:pPr>
        <w:pStyle w:val="TextoNormal"/>
      </w:pPr>
    </w:p>
    <w:p w:rsidR="0026452D" w:rsidRDefault="0026452D" w:rsidP="0026452D">
      <w:pPr>
        <w:pStyle w:val="TextoNormal"/>
      </w:pPr>
      <w:r>
        <w:t>Desde el momento en que un lugar figure en la lista de lugares de importancia comunitaria, éste quedará sometido a lo dispuesto en los apartados 2, 3 y 4 de este artículo.</w:t>
      </w:r>
    </w:p>
    <w:p w:rsidR="0026452D" w:rsidRDefault="0026452D" w:rsidP="0026452D">
      <w:pPr>
        <w:pStyle w:val="TextoNormal"/>
      </w:pPr>
    </w:p>
    <w:p w:rsidR="0026452D" w:rsidRDefault="0026452D" w:rsidP="0026452D">
      <w:pPr>
        <w:pStyle w:val="TextoNormal"/>
      </w:pPr>
      <w:r>
        <w:t>También será de aplicación a las zonas de especial protección para las aves, declaradas, en su caso, por las Comunidades Autónomas correspondientes, al amparo del artículo 4 de la Directiva 79/409/CEE lo establecido en los apartados 2, 3 y 4 de este mismo artículo.</w:t>
      </w:r>
    </w:p>
    <w:p w:rsidR="0026452D" w:rsidRDefault="0026452D" w:rsidP="0026452D">
      <w:pPr>
        <w:pStyle w:val="TextoNormal"/>
      </w:pPr>
    </w:p>
    <w:p w:rsidR="0026452D" w:rsidRDefault="0026452D" w:rsidP="0026452D">
      <w:pPr>
        <w:pStyle w:val="TextoNormal"/>
      </w:pPr>
      <w:r>
        <w:t>6. Las Comunidades Autónomas, en el ámbito de sus competencias, comunicarán al Ministerio de Medio Ambiente las medidas compensatorias que hayan adoptado y éste, a través del cauce correspondiente, informará a la Comisión Europea.”</w:t>
      </w:r>
    </w:p>
    <w:p w:rsidR="0026452D" w:rsidRDefault="0026452D" w:rsidP="0026452D">
      <w:pPr>
        <w:pStyle w:val="TextoNormal"/>
      </w:pPr>
    </w:p>
    <w:p w:rsidR="0026452D" w:rsidRDefault="0026452D" w:rsidP="0026452D">
      <w:pPr>
        <w:pStyle w:val="TextoNormal"/>
      </w:pPr>
      <w:r>
        <w:t>También tiene incidencia en esta materia la disposición adicional cuarta del Real Decreto Legislativo 1/2008, de 11 de enero, por el que se aprueba el texto refundido de la Ley de evaluación de impacto ambiental de proyectos, que establece:</w:t>
      </w:r>
    </w:p>
    <w:p w:rsidR="0026452D" w:rsidRDefault="0026452D" w:rsidP="0026452D">
      <w:pPr>
        <w:pStyle w:val="TextoNormal"/>
      </w:pPr>
    </w:p>
    <w:p w:rsidR="0026452D" w:rsidRDefault="0026452D" w:rsidP="0026452D">
      <w:pPr>
        <w:pStyle w:val="TextoNormal"/>
      </w:pPr>
      <w:r>
        <w:t>“1. La evaluación de los proyectos que, sin tener relación directa con la gestión del lugar de que se trate de la Red Natura 2000 o sin ser necesario para la misma, pueda afectar de forma apreciable a los citados lugares ya sea individualmente o en combinación con otros planes o proyectos, se someterá a una adecuada evaluación de sus repercusiones en el lugar teniendo en cuenta los objetivos de conservación de dicho lugar, conforme a lo dispuesto en la Ley 42/2007, de 13 de diciembre, de Patrimonio Natural y de la Biodiversidad, sin perjuicio de lo establecido en la presente Ley.</w:t>
      </w:r>
    </w:p>
    <w:p w:rsidR="0026452D" w:rsidRDefault="0026452D" w:rsidP="0026452D">
      <w:pPr>
        <w:pStyle w:val="TextoNormal"/>
      </w:pPr>
    </w:p>
    <w:p w:rsidR="0026452D" w:rsidRDefault="0026452D" w:rsidP="0026452D">
      <w:pPr>
        <w:pStyle w:val="TextoNormal"/>
      </w:pPr>
      <w:r>
        <w:t xml:space="preserve">2. En el supuesto de proyectos autorizados o aprobados por la Administración General del Estado, a la vista de las conclusiones de la evaluación de impacto ambiental sobre las zonas de la Red Natura 2000, y supeditado a lo dispuesto en el apartado 4 del artículo 6 del Real Decreto 1997/1995, de 7 de diciembre, por el que se establecen medidas para contribuir a garantizar la biodiversidad mediante la conservación de los hábitats naturales y de la fauna y flora silvestres, el Ministerio de Medio Ambiente fijará las medidas compensatorias necesarias para garantizar la coherencia global de Natura 2000. Para su definición, se consultará preceptivamente al órgano competente de la Comunidad Autónoma en la que se localice el proyecto, cuyo parecer podrá ser incorporado a la declaración de impacto ambiental que emita el órgano ambiental estatal. El plazo para la evacuación de dicho informe será de 30 </w:t>
      </w:r>
      <w:r>
        <w:lastRenderedPageBreak/>
        <w:t>días. Transcurrido dicho plazo sin que se hubiere emitido el informe, el órgano ambiental estatal podrá proseguir las actuaciones.</w:t>
      </w:r>
    </w:p>
    <w:p w:rsidR="0026452D" w:rsidRDefault="0026452D" w:rsidP="0026452D">
      <w:pPr>
        <w:pStyle w:val="TextoNormal"/>
      </w:pPr>
    </w:p>
    <w:p w:rsidR="0026452D" w:rsidRDefault="0026452D" w:rsidP="0026452D">
      <w:pPr>
        <w:pStyle w:val="TextoNormal"/>
      </w:pPr>
      <w:r>
        <w:t>3. La remisión, en su caso, de la información a la Comisión Europea sobre las medidas compensatorias que se hayan adoptado se llevará a cabo por el Ministerio de Medio Ambiente en los términos previstos en el artículo 10 de la Ley 30/1992, de 26 de noviembre.”</w:t>
      </w:r>
    </w:p>
    <w:p w:rsidR="0026452D" w:rsidRDefault="0026452D" w:rsidP="0026452D">
      <w:pPr>
        <w:pStyle w:val="TextoNormal"/>
      </w:pPr>
    </w:p>
    <w:p w:rsidR="0026452D" w:rsidRDefault="0026452D" w:rsidP="0026452D">
      <w:pPr>
        <w:pStyle w:val="TextoNormal"/>
      </w:pPr>
      <w:r>
        <w:t>En la STC 149/2012, de 5 de julio, FJ 2 b), nos pronunciamos sobre esta cuestión, precisamente al considerar si con carácter sobrevenido había perdido su objeto un proceso competencial en el que la controversia competencial era similar, si bien que en aquel caso la parte recurrente —Consejo de Gobierno de la Junta de Andalucía— imputaba la eventual invasión a la disposición adicional cuarta introducida por el art. 127.3 de la Ley 62/2003 en el Real Decreto Legislativo 1302/1986, de 28 de junio, disposición que ha sido sustituida por el último precepto transcrito. Y dijimos que “[c]omo se advierte con facilidad, la nueva regulación no introduce modificaciones sustanciales respecto a la anterior. La vigente disposición adicional cuarta del Real Decreto Legislativo 1/2008 sigue atribuyendo a la Administración del Estado la competencia para la realización de la evaluación de los proyectos que puedan afectar de forma apreciable a las zonas de la Red Natura, así como la determinación de las medidas compensatorias que puedan ser necesarias, en relación con los proyectos que deban ser autorizados o aprobados por la propia Administración del Estado, aspecto éste que el Consejo de Gobierno de la Comunidad Autónoma de Andalucía considera contrario al orden constitucional de competencias por invadir las competencias que le corresponden en materia de espacios naturales protegidos y de gestión de la protección medioambiental”.</w:t>
      </w:r>
    </w:p>
    <w:p w:rsidR="0026452D" w:rsidRDefault="0026452D" w:rsidP="0026452D">
      <w:pPr>
        <w:pStyle w:val="TextoNormal"/>
      </w:pPr>
    </w:p>
    <w:p w:rsidR="0026452D" w:rsidRDefault="0026452D" w:rsidP="0026452D">
      <w:pPr>
        <w:pStyle w:val="TextoNormal"/>
      </w:pPr>
      <w:r>
        <w:t>La anterior conclusión, que no dejó de tener en cuenta la citada modificación introducida por el Real Decreto 1421/2006 en el art. 6.4 del Real Decreto 1997/1995, pues a este precepto se refiere expresamente la disposición adicional cuarta del Real Decreto Legislativo 1/2008 en los términos ya indicados, es plenamente aplicable a este caso, donde la controversia competencial versa sobre si la expedición de este tipo de certificaciones invade la competencia autonómica sobre la gestión de espacios naturales protegidos, competencia que la Comunidad Autónoma de Aragón tiene atribuida con idéntico alcance que la Comunidad Autónoma de Andalucía, todo lo cual nos lleva a constatar que la controversia competencial no ha desaparecido, requiriendo de este Tribunal un pronunciamiento sobre el fondo.</w:t>
      </w:r>
    </w:p>
    <w:p w:rsidR="0026452D" w:rsidRDefault="0026452D" w:rsidP="0026452D">
      <w:pPr>
        <w:pStyle w:val="TextoNormal"/>
      </w:pPr>
    </w:p>
    <w:p w:rsidR="0026452D" w:rsidRDefault="0026452D" w:rsidP="0026452D">
      <w:pPr>
        <w:pStyle w:val="TextoNormal"/>
      </w:pPr>
      <w:r w:rsidRPr="0026452D">
        <w:rPr>
          <w:rStyle w:val="NumeroAFNegritaCaracter"/>
        </w:rPr>
        <w:t>3</w:t>
      </w:r>
      <w:r>
        <w:t>. Lo que en este proceso constitucional tenemos que decidir, por tanto, es si la expedición de las certificaciones sobre afección de los proyectos públicos y privados a las zonas especiales de conservación y a las zonas de especial protección para las aves que se encuentren en el territorio de la Comunidad Autónoma de Aragón es una materia inscrita en la competencia sustantiva que se materializa con la obra o actividad cuya incidencia se evalúa o si, por el contrario, se encuadra en la competencia sobre espacios naturales protegidos atribuida con el carácter de exclusiva a la Comunidad Autónoma de Aragón por el art. 71.21 del Estatuto de Autonomía de Aragón de 2007. No es un problema, pues, de que sobre la materia controvertida concurran dos competencias completamente válidas, la competencia sustantiva del Estado y la autonómica sobre espacios naturales protegidos, sino de en cuál de ellas queda comprendida, dado su contenido material y finalidad, la materia disputada, que es concretamente la emisión de los certificados sobre afección de proyectos a la Red Natura 2000.</w:t>
      </w:r>
    </w:p>
    <w:p w:rsidR="0026452D" w:rsidRDefault="0026452D" w:rsidP="0026452D">
      <w:pPr>
        <w:pStyle w:val="TextoNormal"/>
      </w:pPr>
    </w:p>
    <w:p w:rsidR="0026452D" w:rsidRDefault="0026452D" w:rsidP="0026452D">
      <w:pPr>
        <w:pStyle w:val="TextoNormal"/>
      </w:pPr>
      <w:r>
        <w:t>La determinación del criterio que habremos de usar para resolver esa controversia ha de tener en cuenta la doctrina constitucional establecida en la citada STC 149/2012, de 5 de julio, que resuelve un conflicto que, si bien distinto, tiene elementos muy relevantes en común con el presente y en el que hicimos pronunciamientos que son de utilidad en lo que aquí interesa. En aquella ocasión también se trataba del encuadramiento competencial de las certificaciones sobre afectación a las zonas especiales de conservación y zonas de especial protección para las aves, sólo que entonces la parte recurrente oponía frente a la competencia sustantiva del Estado su competencia sobre la gestión de la protección ambiental, sosteniendo que la materia controvertida encontraba en esta última su mejor acomodo. En el presente conflicto, por el contrario, el Gobierno de Aragón centra su esfuerzo argumental en que dichas certificaciones, dado que tienen por objeto facilitar la información ambiental específica en tanto que circunscrita a las repercusiones de un proyecto sobre un determinado espacio, no constituyen tanto una técnica transversal (como lo es la evaluación de impacto ambiental) como un mecanismo de control de índole sectorial y se incardina, en consecuencia, en su competencia exclusiva sobre espacios naturales protegidos (no en su competencia sobre gestión de la protección ambiental) y no, por tanto, en la competencia sustantiva del Estado que ampara la obra o actividad cuya eventual afectación se valora.</w:t>
      </w:r>
    </w:p>
    <w:p w:rsidR="0026452D" w:rsidRDefault="0026452D" w:rsidP="0026452D">
      <w:pPr>
        <w:pStyle w:val="TextoNormal"/>
      </w:pPr>
    </w:p>
    <w:p w:rsidR="0026452D" w:rsidRDefault="0026452D" w:rsidP="0026452D">
      <w:pPr>
        <w:pStyle w:val="TextoNormal"/>
      </w:pPr>
      <w:r>
        <w:t>Dijimos en la citada STC 149/2012 que “de acuerdo con la doctrina de este Tribunal, establecida en la STC 13/1998, de 22 de enero, y reiterada en otras posteriores (SSTC 101/2006, de 30 de marzo; 1/2012, de 13 de enero; y 34/2012, de 15 de marzo), es conforme con el orden constitucional de competencias que la normativa confíe la evaluación de impacto ambiental a la propia Administración estatal que realiza o autoriza el proyecto de una obra, instalación o actividad que se encuentra sujeta a su competencia pues, en tales casos, ‘la Administración estatal ejerce sus propias competencias sustantivas sobre la obra, la instalación o la actividad proyectada, aun cuando preceptivamente deba considerar su impacto ambiental’ (STC 13/1998, FJ 8). Así lo pone de manifiesto el ‘que la declaración de impacto ambiental determine la conveniencia o no de realizar el proyecto’’ y que, en caso afirmativo, fije las condiciones en que se debe realizar, estando el contenido de la declaración ‘llamado a integrarse en la autorización que concederá el órgano titular de la competencia sustantiva sobre el proyecto’ (STC 13/1998, FJ 7). En definitiva, el Tribunal ha considerado que la evaluación de impacto ambiental es una técnica transversal que condiciona la actuación estatal ‘que se materializa físicamente, produciendo las consiguientes repercusiones en el territorio y en el medio ambiente de una o varias Comunidades Autónomas’ y que no puede caracterizarse como ‘ejecución o gestión en materia de medio ambiente’ porque su finalidad es que todas las Administraciones públicas ‘valoren el medio ambiente cuando ejercen sus competencias sobre cualquiera de las obras, instalaciones u otras actividades de su competencia’; obras, instalaciones y actividades que forman parte de materias que están ‘sometidas por la Constitución y los Estatutos de Autonomía a reglas específicas de reparto de competencias, que son títulos que por su naturaleza y finalidad atraen a la de medio ambiente, cuyo carácter complejo y multidisciplinario afecta a los más variados sectores del ordenamiento’ (STC 13/1998, FJ 8).” (STC 149/2012, FJ 3).</w:t>
      </w:r>
    </w:p>
    <w:p w:rsidR="0026452D" w:rsidRDefault="0026452D" w:rsidP="0026452D">
      <w:pPr>
        <w:pStyle w:val="TextoNormal"/>
      </w:pPr>
    </w:p>
    <w:p w:rsidR="0026452D" w:rsidRDefault="0026452D" w:rsidP="0026452D">
      <w:pPr>
        <w:pStyle w:val="TextoNormal"/>
      </w:pPr>
      <w:r>
        <w:t xml:space="preserve">Más adelante, a la luz del contexto normativo de las certificaciones que nos ocupan, reconocimos que “[l]a evaluación ambiental de las zonas de especial conservación que prevén tanto la Directiva como la Ley 42/2007, 13 de diciembre, de patrimonio natural y biodiversidad, y el Real Decreto 1997/1995 es, por tanto, una técnica de evaluación diferenciada de </w:t>
      </w:r>
      <w:r>
        <w:lastRenderedPageBreak/>
        <w:t>la evaluación de impacto ambiental que tiene su propia metodología —aunque, en ocasiones, pueda inspirarse en la de esta última—, así como un objeto y una finalidad más específicos que consiste en el análisis de las repercusiones de planes y proyectos que puedan afectar de forma apreciable a las zonas de especial conservación para preservar su integridad y objetivos de conservación, así como, en general, para garantizar la coherencia de la Red Natura 2000”. Pero que, a pesar de esa diferencia, “la evaluación ambiental de las zonas especiales de conservación es una técnica muy similar a la evaluación de impacto ambiental, pues al igual que ésta tiene por finalidad que las Administraciones públicas valoren la afección al medio ambiente —aunque en este caso, la valoración se limite a la afección a un elemento específico del medio ambiente— cuando hayan de decidir acerca de la autorización o aprobación de un plan o proyecto que puedan afectar de forma apreciable a espacios de la Red Natura 2000. Es decir, se trata de un informe sectorial que determina la conveniencia o no de realizar determinadas obras o actividades desde la perspectiva de sus repercusiones sobre este tipo de espacios. Obras y actividades que —como hemos dicho en relación con la evaluación de impacto ambiental—, están sometidas por la Constitución y los Estatutos de Autonomía a sus propios títulos competenciales. Títulos competenciales que atraen al medioambiental (STC 13/1998, FJ 8) y, por tanto, también a la evaluación ambiental de los planes y proyectos que puedan afectar de forma apreciable a espacios de la Red Natura. Es, por tanto, acorde con la distribución constitucional de competencias que la legislación atribuya a la Administración del Estado la realización de la evaluación ambiental de las zonas especiales de conservación en aquellos casos en los que el plan o proyecto debe ser autorizado o aprobado por ella tras la realización de la correspondiente evaluación de impacto ambiental integrándose, en estos casos, dada su naturaleza sectorial, la evaluación ambiental de la zona especial de conservación —como técnica específica de evaluación— en la más general de la evaluación de impacto ambiental, garantizándose, en todo caso, la consulta —por la vía del informe preceptivo— a las Comunidades Autónomas en cuyo territorio se ubique el proyecto en cuestión.” (STC 149/2012, FJ 3).</w:t>
      </w:r>
    </w:p>
    <w:p w:rsidR="0026452D" w:rsidRDefault="0026452D" w:rsidP="0026452D">
      <w:pPr>
        <w:pStyle w:val="TextoNormal"/>
      </w:pPr>
    </w:p>
    <w:p w:rsidR="0026452D" w:rsidRDefault="0026452D" w:rsidP="0026452D">
      <w:pPr>
        <w:pStyle w:val="TextoNormal"/>
      </w:pPr>
      <w:r>
        <w:t xml:space="preserve">Esta </w:t>
      </w:r>
      <w:r w:rsidRPr="0026452D">
        <w:rPr>
          <w:i/>
        </w:rPr>
        <w:t>ratio</w:t>
      </w:r>
      <w:r>
        <w:t>, según la cual el elemento determinante del encuadre competencial de este tipo de certificación es su vínculo finalista con la decisión de realizar o no la obra o actividad cuyas consecuencias se evalúan (“se trata de un informe sectorial que determina la conveniencia o no de realizar determinadas obras o actividades desde la perspectiva de sus repercusiones sobre este tipo de espacios”), es igualmente decisiva cuando el conflicto se traba entre la competencia sustantiva estatal que da cobertura a la obra o actividad y la competencia autonómica exclusiva sobre espacios naturales protegidos, procediendo, por tanto, que declaremos que esta clase específica de evaluación ambiental es una materia que se incardina en el primer título y no en el segundo.</w:t>
      </w:r>
    </w:p>
    <w:p w:rsidR="0026452D" w:rsidRDefault="0026452D" w:rsidP="0026452D">
      <w:pPr>
        <w:pStyle w:val="TextoNormal"/>
      </w:pPr>
    </w:p>
    <w:p w:rsidR="0026452D" w:rsidRDefault="0026452D" w:rsidP="0026452D">
      <w:pPr>
        <w:pStyle w:val="TextoNormal"/>
      </w:pPr>
      <w:r>
        <w:t xml:space="preserve">Es cierto, como señalamos en la STC 102/1995, de 26 de junio, FJ 18, que la gestión de los espacios naturales protegidos “corresponde en principio a las Comunidades Autónomas. No sólo la Constitución la encomienda a aquéllas, sino que además estatutariamente se les defiere la función ejecutiva no sólo en el ámbito entero de la protección del medio ambiente, comprendidos los espacios naturales, trátese de las normas básicas como de las adicionales y de las que se dicten para su desarrollo, legislativas y reglamentarias, estatales o no, sino también en las diferentes facetas que conllevan la administración, la inspección y la potestad sancionadora”. Coherentemente con esta doctrina constitucional, el Real Decreto 1997/1995 prevé que “[r]especto de las zonas especiales de conservación las Comunidades Autónomas correspondientes fijarán las medidas de conservación necesarias” (art. 6.1) y “adoptarán las </w:t>
      </w:r>
      <w:r>
        <w:lastRenderedPageBreak/>
        <w:t>medidas apropiadas para evitar en las zonas especiales de conservación el deterioro de los hábitats naturales y de los hábitats de especies” (art. 6.2). Correlativamente, les corresponde también a las Comunidades Autónomas como una submateria que forma parte de la gestión de los espacios naturales protegidos la inspección de su cumplimiento y el consiguiente ejercicio de la potestad sancionadora cuando sean incumplidas.</w:t>
      </w:r>
    </w:p>
    <w:p w:rsidR="0026452D" w:rsidRDefault="0026452D" w:rsidP="0026452D">
      <w:pPr>
        <w:pStyle w:val="TextoNormal"/>
      </w:pPr>
    </w:p>
    <w:p w:rsidR="0026452D" w:rsidRDefault="0026452D" w:rsidP="0026452D">
      <w:pPr>
        <w:pStyle w:val="TextoNormal"/>
      </w:pPr>
      <w:r>
        <w:t>Sin embargo, queda fuera de esa función ejecutiva en materia de espacios naturales protegidos la evaluación de la repercusión que para un lugar concreto conlleva una obra o actividad cuando está orientada a facilitar al órgano competente sobre ella la información ambiental específica para decidir si se realiza o no y, en su caso, en qué condiciones se hace, pues una evaluación así configurada tiene una finalidad estrechamente vinculada con la obra o actividad de que se trate, cual es que todos los entes públicos valoren el medio ambiente, en este caso un elemento específico del medio ambiente, cuando ejercen sus atribuciones sobre cualquiera de las obras, instalaciones u otras actividades de su competencia, valoración ambiental que, como no podía ser de otra manera, debe tener en cuenta los objetivos de conservación del lugar de que se trate, como expresamente constata tanto el art. 6.3 del Real Decreto 1997/1995 como el apartado 1 de la disposición adicional cuarta del Real Decreto Legislativo 1/2008.</w:t>
      </w:r>
    </w:p>
    <w:p w:rsidR="0026452D" w:rsidRDefault="0026452D" w:rsidP="0026452D">
      <w:pPr>
        <w:pStyle w:val="TextoNormal"/>
      </w:pPr>
    </w:p>
    <w:p w:rsidR="0026452D" w:rsidRDefault="0026452D" w:rsidP="0026452D">
      <w:pPr>
        <w:pStyle w:val="TextoNormal"/>
      </w:pPr>
      <w:r w:rsidRPr="0026452D">
        <w:rPr>
          <w:rStyle w:val="NumeroAFNegritaCaracter"/>
        </w:rPr>
        <w:t>4</w:t>
      </w:r>
      <w:r>
        <w:t>. La certificación de 9 de noviembre de 2002 fue expedida por la Dirección General de Conservación de la Naturaleza del Ministerio de Medio Ambiente en aplicación del citado art. 6.3 del Real Decreto 1997/1995, que, como consta en los antecedentes de la presente Sentencia, es transcripción literal del art. 6.3 de la Directiva 92/43/CEE. Tiene por objeto valorar las repercusiones sobre los lugares de la Red Natura 2000 del proyecto titulado “Construcción de abastecimiento de Agua a Lleida y núcleos urbanos de la zona regable del canal de Piñana, fase II” y declara que “no tendrá efectos negativos apreciables en lugares incluidos en la Red Natura 2000, siempre que se cumplan las siguientes condiciones”, de las cuales también se ha dejado constancia en los antecedentes. Dicha declaración se inscribe en el ámbito de un procedimiento de solicitud de fondos de cohesión de la Unión Europea cuya finalidad inmediata es la obtención de la financiación del proyecto y la mediata es la realización de la obra.</w:t>
      </w:r>
    </w:p>
    <w:p w:rsidR="0026452D" w:rsidRDefault="0026452D" w:rsidP="0026452D">
      <w:pPr>
        <w:pStyle w:val="TextoNormal"/>
      </w:pPr>
    </w:p>
    <w:p w:rsidR="0026452D" w:rsidRDefault="0026452D" w:rsidP="0026452D">
      <w:pPr>
        <w:pStyle w:val="TextoNormal"/>
      </w:pPr>
      <w:r>
        <w:t>De esta descripción de la certificación objeto de este conflicto se desprende que el proyecto cuyas repercusiones se examina no tiene como objeto inmediato actuar en la gestión de los lugares de la Red Natura 2000, sino asegurar que una obra de infraestructura orientada a favorecer el abastecimiento de agua a municipios de gran población usando para ello aguas que discurren por más de una Comunidad Autónoma, que es a todas luces una competencia del Estado (arts. 149.1.22 y 149.1.24 CE), incorpore en su realización la consideración de sus efectos respecto de ese tipo de espacios naturales protegidos.</w:t>
      </w:r>
    </w:p>
    <w:p w:rsidR="0026452D" w:rsidRDefault="0026452D" w:rsidP="0026452D">
      <w:pPr>
        <w:pStyle w:val="TextoNormal"/>
      </w:pPr>
    </w:p>
    <w:p w:rsidR="0026452D" w:rsidRDefault="0026452D" w:rsidP="0026452D">
      <w:pPr>
        <w:pStyle w:val="TextoNormal"/>
      </w:pPr>
      <w:r>
        <w:t>De acuerdo con la doctrina constitucional expuesta, y dada la función instrumental que desempeña en relación a una obra de evidente competencia estatal, hemos de concluir que la certificación objeto del conflicto resulta amparada por la competencia sustantiva estatal de la que es ejercicio el proyecto examinado y que, en consecuencia, no supone una invasión de la competencia exclusiva que corresponde a la Comunidad Autónoma de Aragón sobre los espacios naturales protegidos que se encuentran en su territorio, procediendo por todo ello desestimar este conflicto positivo de competencia.</w:t>
      </w:r>
    </w:p>
    <w:p w:rsidR="0026452D" w:rsidRDefault="0026452D" w:rsidP="0026452D">
      <w:pPr>
        <w:pStyle w:val="TextoNormal"/>
      </w:pPr>
    </w:p>
    <w:p w:rsidR="0026452D" w:rsidRDefault="0026452D" w:rsidP="0026452D">
      <w:pPr>
        <w:pStyle w:val="TextoNormalCentrado"/>
        <w:keepNext/>
      </w:pPr>
      <w:r>
        <w:lastRenderedPageBreak/>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conflicto positivo de competencia.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63" w:name="SENTENCIA_2013_60"/>
      <w:r>
        <w:lastRenderedPageBreak/>
        <w:t>SENTENCIA 60/2013, de 13 de marzo de 2013</w:t>
      </w:r>
    </w:p>
    <w:bookmarkEnd w:id="63"/>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ECLI:ES:TC:2013:60</w:t>
      </w:r>
    </w:p>
    <w:p w:rsidR="0026452D" w:rsidRDefault="0026452D" w:rsidP="0026452D">
      <w:pPr>
        <w:pStyle w:val="SntesisDescriptiva"/>
      </w:pPr>
    </w:p>
    <w:p w:rsidR="0026452D" w:rsidRDefault="0026452D" w:rsidP="0026452D">
      <w:pPr>
        <w:pStyle w:val="SntesisDescriptiva"/>
      </w:pPr>
      <w:r>
        <w:t>Cuestión de inconstitucionalidad 8952-2010 . Planteada por la Sala de lo Contencioso-Administrativo del Tribunal Superior de Justicia de Castilla-La Mancha en relación con diversos preceptos de la Ley de las Cortes de Castilla-La Mancha 16/2005, de 29 de diciembre, del impuesto sobre determinadas actividades que inciden en el medio ambiente y del tipo autonómico del impuesto sobre las ventas minoristas de determinados hidrocarburos.</w:t>
      </w:r>
    </w:p>
    <w:p w:rsidR="0026452D" w:rsidRDefault="0026452D" w:rsidP="0026452D">
      <w:pPr>
        <w:pStyle w:val="SntesisDescriptiva"/>
      </w:pPr>
    </w:p>
    <w:p w:rsidR="0026452D" w:rsidRDefault="0026452D" w:rsidP="0026452D">
      <w:pPr>
        <w:pStyle w:val="SntesisAnaltica"/>
      </w:pPr>
      <w:r>
        <w:t>Límites de la potestad tributaria de las Comunidades Autónomas, prohibición de doble imposición: nulidad de la ley autonómica en cuanto grava la producción termonuclear de energía eléctrica y el almacenamiento de residuos radiactivos (STC 196/2012).</w:t>
      </w:r>
    </w:p>
    <w:p w:rsidR="0026452D" w:rsidRDefault="0026452D" w:rsidP="0026452D">
      <w:pPr>
        <w:pStyle w:val="SntesisAnaltica"/>
      </w:pPr>
    </w:p>
    <w:p w:rsidR="0026452D" w:rsidRDefault="0026452D" w:rsidP="0026452D">
      <w:pPr>
        <w:pStyle w:val="Extracto"/>
      </w:pPr>
      <w:r>
        <w:t>1.</w:t>
      </w:r>
      <w:r>
        <w:tab/>
        <w:t>La comparación entre la modalidad de gravamen sobre las actividades cuyas instalaciones emiten a la atmósfera compuestos oxigenados del azufre o del nitrógeno y el impuesto especial sobre la electricidad, permite afirmar que estamos en presencia de tributos con hechos imponibles diferentes –emisión de gases, en un caso, y producción de energía eléctrica, en otro– por lo que debe rechazarse que la modalidad impositiva cuestionada incurra en la prohibición prevista en el art. 6.2 LOFCA [FFJJ 4, 7].</w:t>
      </w:r>
    </w:p>
    <w:p w:rsidR="0026452D" w:rsidRDefault="0026452D" w:rsidP="0026452D">
      <w:pPr>
        <w:pStyle w:val="Extracto"/>
      </w:pPr>
    </w:p>
    <w:p w:rsidR="0026452D" w:rsidRDefault="0026452D" w:rsidP="0026452D">
      <w:pPr>
        <w:pStyle w:val="Extracto"/>
      </w:pPr>
      <w:r>
        <w:t>2.</w:t>
      </w:r>
      <w:r>
        <w:tab/>
        <w:t>La comparación entre la modalidad de gravamen sobre las actividades cuyas instalaciones emiten a la atmósfera compuestos oxigenados del azufre o del nitrógeno y el impuesto sobre actividades económicas no permite apreciar solapamiento alguno, pues el primero somete a tributación el número de toneladas de gases emitidos a la atmósfera, mientras que el segundo grava el mero de ejercicio de actividades económicas sin establecer gravamen alguno por la emisión de gases a la atmósfera, por lo que dicho gravamen no es contrario al orden constitucional de competencias ni incide en los límites previstos en los apartados 2 y 3 del art. 6 LOFCA [FFJJ 4, 7].</w:t>
      </w:r>
    </w:p>
    <w:p w:rsidR="0026452D" w:rsidRDefault="0026452D" w:rsidP="0026452D">
      <w:pPr>
        <w:pStyle w:val="Extracto"/>
      </w:pPr>
    </w:p>
    <w:p w:rsidR="0026452D" w:rsidRDefault="0026452D" w:rsidP="0026452D">
      <w:pPr>
        <w:pStyle w:val="Extracto"/>
      </w:pPr>
      <w:r>
        <w:t>3.</w:t>
      </w:r>
      <w:r>
        <w:tab/>
        <w:t>La modalidad del impuesto castellano-manchego relativa a la producción termonuclear de energía eléctrica ni se dirige a disuadir el incumplimiento de ninguna obligación, ni busca estimular actuaciones protectoras del medio ambiente, configurándose como un tributo que somete a tributación el mero ejercicio de la actividad de producción termonuclear de energía eléctrica, lo que impide entender que el gravamen se haya configurado sobre una materia imponible diferente a la que es objeto del impuesto sobre actividades económicas, por lo que debe declararse inconstitucional por violación del art. 6.3 LOFCA (SSTC 179/2006, 196/2012) [FFJJ 5, 7].</w:t>
      </w:r>
    </w:p>
    <w:p w:rsidR="0026452D" w:rsidRDefault="0026452D" w:rsidP="0026452D">
      <w:pPr>
        <w:pStyle w:val="Extracto"/>
      </w:pPr>
    </w:p>
    <w:p w:rsidR="0026452D" w:rsidRDefault="0026452D" w:rsidP="0026452D">
      <w:pPr>
        <w:pStyle w:val="Extracto"/>
      </w:pPr>
      <w:r>
        <w:t>4.</w:t>
      </w:r>
      <w:r>
        <w:tab/>
        <w:t xml:space="preserve">La modalidad del impuesto castellano-manchego relativa al almacenamiento de residuos radiactivos y la del impuesto municipal sobre actividades económicas son </w:t>
      </w:r>
      <w:r>
        <w:lastRenderedPageBreak/>
        <w:t xml:space="preserve">coincidentes, sin que exista dato alguno en la configuración del primero que permita apreciar una pretendida finalidad extrafiscal o </w:t>
      </w:r>
      <w:r w:rsidRPr="0026452D">
        <w:rPr>
          <w:i/>
        </w:rPr>
        <w:t>intentio legis</w:t>
      </w:r>
      <w:r>
        <w:t xml:space="preserve"> de gravar la actividad contaminante y los riesgos para el medio ambiente, por lo que debe declararse inconstitucional al incurrir en la prohibición prevista en el art. 6.3 LOFCA (STC 196/2012) [FFJJ 6, 7].</w:t>
      </w:r>
    </w:p>
    <w:p w:rsidR="0026452D" w:rsidRDefault="0026452D" w:rsidP="0026452D">
      <w:pPr>
        <w:pStyle w:val="Extracto"/>
      </w:pPr>
    </w:p>
    <w:p w:rsidR="0026452D" w:rsidRDefault="0026452D" w:rsidP="0026452D">
      <w:pPr>
        <w:pStyle w:val="Extracto"/>
      </w:pPr>
      <w:r>
        <w:t>5.</w:t>
      </w:r>
      <w:r>
        <w:tab/>
        <w:t xml:space="preserve">La Comunidad Autónoma de Castilla-La Mancha tiene competencia material para dictar, en el marco de la legislación básica del Estado, normas de desarrollo legislativo y ejecución en materia de protección del medio ambiente y de régimen energético, </w:t>
      </w:r>
      <w:r w:rsidRPr="0026452D">
        <w:rPr>
          <w:i/>
        </w:rPr>
        <w:t>ex</w:t>
      </w:r>
      <w:r>
        <w:t xml:space="preserve"> art. 32.7 y 8 EACM, pero también la competencia financiera para adoptar esas medidas en forma de tributos dentro del marco y límites establecidos por la LOFCA, por lo que el establecimiento de un impuesto sobre determinadas actividades que inciden en el medio ambiente no puede declararse contrario al orden constitucional de competencias (STC 168/2004)  [FJ 2].</w:t>
      </w:r>
    </w:p>
    <w:p w:rsidR="0026452D" w:rsidRDefault="0026452D" w:rsidP="0026452D">
      <w:pPr>
        <w:pStyle w:val="Extracto"/>
      </w:pPr>
    </w:p>
    <w:p w:rsidR="0026452D" w:rsidRDefault="0026452D" w:rsidP="0026452D">
      <w:pPr>
        <w:pStyle w:val="Extracto"/>
      </w:pPr>
      <w:r>
        <w:t>6.</w:t>
      </w:r>
      <w:r>
        <w:tab/>
        <w:t>Las Comunidades Autónomas son titulares de determinadas competencias financieras, entre las que se encuentra la potestad de establecer tributos, bien como fuente de ingresos, bien como instrumento al servicio de políticas sectoriales distintas de la puramente recaudatoria, competencias financieras que no sólo deben ser ejercidas dentro del marco y límites establecidos por el Estado en el ejercicio de su potestad, sino también dentro del marco de competencias asumidas (SSTC 37/1987, 122/2012)  [FJ 2].</w:t>
      </w:r>
    </w:p>
    <w:p w:rsidR="0026452D" w:rsidRDefault="0026452D" w:rsidP="0026452D">
      <w:pPr>
        <w:pStyle w:val="Extracto"/>
      </w:pPr>
    </w:p>
    <w:p w:rsidR="0026452D" w:rsidRDefault="0026452D" w:rsidP="0026452D">
      <w:pPr>
        <w:pStyle w:val="Extracto"/>
      </w:pPr>
      <w:r>
        <w:t>7.</w:t>
      </w:r>
      <w:r>
        <w:tab/>
        <w:t>El Estado tiene competencia exclusiva para la legislación básica sobre protección del medio ambiente, sin perjuicio de las facultades de las Comunidades Autónomas de establecer normas adicionales de protección, lo que no excluye que las Comunidades puedan desarrollar la legislación estatal, cuando sus Estatutos les hayan atribuido esta competencia, ni que todas las competencias que se ejerzan sobre esa materia hayan de corresponder al Estado y, en particular, cuando de lo que se trata es de regular su régimen económico-financiero (SSTC 227/1988, 149/1991)  [FJ 2].</w:t>
      </w:r>
    </w:p>
    <w:p w:rsidR="0026452D" w:rsidRDefault="0026452D" w:rsidP="0026452D">
      <w:pPr>
        <w:pStyle w:val="Extracto"/>
      </w:pPr>
    </w:p>
    <w:p w:rsidR="0026452D" w:rsidRDefault="0026452D" w:rsidP="0026452D">
      <w:pPr>
        <w:pStyle w:val="Extracto"/>
      </w:pPr>
      <w:r>
        <w:t>8.</w:t>
      </w:r>
      <w:r>
        <w:tab/>
        <w:t>El examen de la Ley del sector eléctrico pone de manifiesto que el legislador básico estatal asume con absoluta normalidad la existencia de tributos locales y autonómicos que recaigan sobre las energías eléctrica y gasista, de modo que al hallarnos en un ámbito de competencia compartida entre el Estado y las Comunidades Autónomas ha de existir una margen de desarrollo por éstas de actuaciones y políticas propias en materia de calidad de suministro eléctrico (STC 168/2004, 148/2011)  [FJ 2].</w:t>
      </w:r>
    </w:p>
    <w:p w:rsidR="0026452D" w:rsidRDefault="0026452D" w:rsidP="0026452D">
      <w:pPr>
        <w:pStyle w:val="Extracto"/>
      </w:pPr>
    </w:p>
    <w:p w:rsidR="0026452D" w:rsidRDefault="0026452D" w:rsidP="0026452D">
      <w:pPr>
        <w:pStyle w:val="Extracto"/>
      </w:pPr>
      <w:r>
        <w:t>9.</w:t>
      </w:r>
      <w:r>
        <w:tab/>
        <w:t>Doctrina sobre los límites a los que están sujetos los tributos autonómicos en el ejercicio de la competencia, que en materia tributaria, deriva de los arts. 133.2 y 157.1 CE (SSTC 289/2000, 196/2012)  [FJ 3].</w:t>
      </w:r>
    </w:p>
    <w:p w:rsidR="0026452D" w:rsidRDefault="0026452D" w:rsidP="0026452D">
      <w:pPr>
        <w:pStyle w:val="Extracto"/>
      </w:pPr>
    </w:p>
    <w:p w:rsidR="0026452D" w:rsidRDefault="0026452D" w:rsidP="0026452D">
      <w:pPr>
        <w:pStyle w:val="Extracto"/>
      </w:pPr>
      <w:r>
        <w:t>10.</w:t>
      </w:r>
      <w:r>
        <w:tab/>
        <w:t>Doctrina sobre los conceptos de ‘hecho imponible’ y ‘materia imponible’ (SSTC 37/1987, 122/2012) [FJ 3].</w:t>
      </w:r>
    </w:p>
    <w:p w:rsidR="0026452D" w:rsidRDefault="0026452D" w:rsidP="0026452D">
      <w:pPr>
        <w:pStyle w:val="Extracto"/>
      </w:pPr>
    </w:p>
    <w:p w:rsidR="0026452D" w:rsidRDefault="0026452D" w:rsidP="0026452D">
      <w:pPr>
        <w:pStyle w:val="Extracto"/>
      </w:pPr>
      <w:r>
        <w:lastRenderedPageBreak/>
        <w:t>11.</w:t>
      </w:r>
      <w:r>
        <w:tab/>
        <w:t>Para analizar si una Comunidad Autónoma ha sobrepasado en el ejercicio de sus competencias en materia tributaria los límites que le impone el art. 6 LOFCA y, por tanto, para determinar si ha incurrido en una doble imposición, el examen de los tributos que se reputan coincidentes no puede ceñirse a la mera comparación de la definición legal de sus hechos imponibles, debiendo abarcar también los restantes elementos del tributo que se encuentran conectados con el hecho imponible, así como la posible concurrencia de una finalidad extrafiscal (SSTC 122/2012, 210/2012) [FJ 3].</w:t>
      </w:r>
    </w:p>
    <w:p w:rsidR="0026452D" w:rsidRDefault="0026452D" w:rsidP="0026452D">
      <w:pPr>
        <w:pStyle w:val="Extracto"/>
      </w:pPr>
    </w:p>
    <w:p w:rsidR="0026452D" w:rsidRDefault="0026452D" w:rsidP="0026452D">
      <w:pPr>
        <w:pStyle w:val="Extracto"/>
      </w:pPr>
      <w:r>
        <w:t>12.</w:t>
      </w:r>
      <w:r>
        <w:tab/>
        <w:t>El canon de constitucionalidad aplicable a las normas de las Comunidades Autónomas es el que se contiene en sus respectivos Estatutos de Autonomía y en las leyes estatales que se hubieran dictado para delimitar las competencias entre el Estado y las Comunidades Autónomas, así como en las reglas y principios aplicables a todos los poderes públicos y, específicamente, a las Comunidades Autónomas (SSTC 7/2010, 196/2012) [FJ 1 a)].</w:t>
      </w:r>
    </w:p>
    <w:p w:rsidR="0026452D" w:rsidRDefault="0026452D" w:rsidP="0026452D">
      <w:pPr>
        <w:pStyle w:val="Extracto"/>
      </w:pPr>
    </w:p>
    <w:p w:rsidR="0026452D" w:rsidRDefault="0026452D" w:rsidP="0026452D">
      <w:pPr>
        <w:pStyle w:val="Extracto"/>
      </w:pPr>
      <w:r>
        <w:t>13.</w:t>
      </w:r>
      <w:r>
        <w:tab/>
        <w:t xml:space="preserve">El juicio de relevancia constituye uno de los requisitos esenciales de toda cuestión de inconstitucionalidad por cuanto a su través se garantiza el control concreto de la constitucionalidad de la ley, correspondiendo a los Jueces y Tribunales ordinarios que las plantean comprobar y exteriorizar, </w:t>
      </w:r>
      <w:r w:rsidRPr="0026452D">
        <w:rPr>
          <w:i/>
        </w:rPr>
        <w:t>prima facie</w:t>
      </w:r>
      <w:r>
        <w:t>, dicho juicio de relevancia, pudiendo el Tribunal Constitucional rectificar el criterio de los órganos judiciales proponentes tan solo cuando, de manera notoria, advierta que la argumentación judicial resulta falta de consistencia (SSTC 84/2012, 146/2012)  [FJ 1 b)].</w:t>
      </w:r>
    </w:p>
    <w:p w:rsidR="0026452D" w:rsidRDefault="0026452D" w:rsidP="0026452D">
      <w:pPr>
        <w:pStyle w:val="Extracto"/>
      </w:pPr>
    </w:p>
    <w:p w:rsidR="0026452D" w:rsidRDefault="0026452D" w:rsidP="0026452D">
      <w:pPr>
        <w:pStyle w:val="Extracto"/>
      </w:pPr>
      <w:r>
        <w:t>14.</w:t>
      </w:r>
      <w:r>
        <w:tab/>
        <w:t>El control del juicio de relevancia que corresponde efectuar a este Tribunal no puede extenderse al examen del proceso mismo en que la cuestión se plantea ni al de los presupuestos procesales que le sirven de base, pues, por esa vía indirecta, se estaría resolviendo un problema de legalidad ordinaria para lo que este Tribunal carece de jurisdicción y de competencia (STC 27/2012) [FJ 1 c)].</w:t>
      </w:r>
    </w:p>
    <w:p w:rsidR="0026452D" w:rsidRDefault="0026452D" w:rsidP="0026452D">
      <w:pPr>
        <w:pStyle w:val="Extracto"/>
      </w:pPr>
    </w:p>
    <w:p w:rsidR="0026452D" w:rsidRDefault="0026452D" w:rsidP="0026452D">
      <w:pPr>
        <w:pStyle w:val="Extracto"/>
      </w:pPr>
      <w:r>
        <w:t>15.</w:t>
      </w:r>
      <w:r>
        <w:tab/>
        <w:t>Cuando está en juego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la carga no se atiende, existe una falta de diligencia procesalmente exigible (SSTC 233/1999, 100/2012) [FJ 2].</w:t>
      </w:r>
    </w:p>
    <w:p w:rsidR="0026452D" w:rsidRDefault="0026452D" w:rsidP="0026452D">
      <w:pPr>
        <w:pStyle w:val="Extracto"/>
      </w:pPr>
    </w:p>
    <w:p w:rsidR="0026452D" w:rsidRDefault="0026452D" w:rsidP="0026452D">
      <w:pPr>
        <w:pStyle w:val="Extracto"/>
      </w:pPr>
      <w:r>
        <w:t>16.</w:t>
      </w:r>
      <w:r>
        <w:tab/>
        <w:t>Por exigencia del principio de seguridad jurídica únicamente han de considerarse situaciones susceptibles de ser revisadas con fundamento en esta Sentencia aquellas que, a la fecha de publicación de la misma, no hayan adquirido firmeza por haber sido impugnadas en tiempo y forma y no haber recaído todavía en ellos una resolución administrativa o judicial firme (SSTC 289/2000, 196/2012) [FJ 7].</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 xml:space="preserve">El Pleno del Tribunal Constitucional, compuesto don Ramón Rodríguez Arribas, Presidente, don Manuel Aragón Reyes, don Pablo Pérez Tremps, don Francisco José Hernando </w:t>
      </w:r>
      <w:r>
        <w:lastRenderedPageBreak/>
        <w:t>Santiago, doña Adela Asua Batarrita,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la cuestión de inconstitucionalidad núm. 8952-2010 planteada por la Sección Segunda de la Sala de lo Contencioso-Administrativo del Tribunal Superior de Justicia de Castilla-La Mancha —sede de Albacete—, sobre los arts. 1 a 15 de la Ley de las Cortes de Castilla-La Mancha 16/2005, de 29 de diciembre, del impuesto sobre determinadas actividades que inciden en el medio ambiente y del tipo autonómico del impuesto sobre las ventas minoristas de determinados hidrocarburos. Han comparecido y formulado alegaciones el Letrado de las Cortes de Castilla-La Mancha, en representación de esta Asamblea Legislativa; el Letrado de la Junta de Comunidades de Castilla-La Mancha, en representación del Consejo de Gobierno; el Abogado del Estado en la representación que ostenta y el Fiscal General del Estado.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día 29 de diciembre de 2010 tuvo entrada en el Registro General de este Tribunal Constitucional un escrito de la Sección Segunda de la Sala de lo Contencioso-Administrativo del Tribunal Superior de Justicia de Castilla-La Mancha —sede de Albacete—, al que se acompaña, junto al testimonio del correspondiente procedimiento, el Auto de la referida Sala núm. 524/2010, de 20 de diciembre, por el que se acuerda elevar a este Tribunal cuestión de inconstitucionalidad en relación con los arts. 1 a 15 de la Ley de las Cortes de Castilla-La Mancha 16/2005, de 29 de diciembre, del impuesto sobre determinadas actividades que inciden en el medio ambiente y del tipo autonómico del impuesto sobre las ventas minoristas de determinados hidrocarburos, por posible vulneración de los arts. 133.2, 149.1.13, 149.1.23, 149.1.25 y 157.3, todos ellos de la Constitución, y del art. 6.2 y 3 de la Ley Orgánica de financiación de las Comunidades Autónomas (LOFCA).</w:t>
      </w:r>
    </w:p>
    <w:p w:rsidR="0026452D" w:rsidRDefault="0026452D" w:rsidP="0026452D">
      <w:pPr>
        <w:pStyle w:val="TextoNormal"/>
      </w:pPr>
    </w:p>
    <w:p w:rsidR="0026452D" w:rsidRDefault="0026452D" w:rsidP="0026452D">
      <w:pPr>
        <w:pStyle w:val="TextoNormal"/>
      </w:pPr>
      <w:r w:rsidRPr="0026452D">
        <w:rPr>
          <w:rStyle w:val="NumeroAFNegritaCaracter"/>
        </w:rPr>
        <w:t>2</w:t>
      </w:r>
      <w:r>
        <w:t>. Los antecedentes de hecho del planteamiento de la presente cuestión de inconstitucionalidad son los siguientes:</w:t>
      </w:r>
    </w:p>
    <w:p w:rsidR="0026452D" w:rsidRDefault="0026452D" w:rsidP="0026452D">
      <w:pPr>
        <w:pStyle w:val="TextoNormal"/>
      </w:pPr>
    </w:p>
    <w:p w:rsidR="0026452D" w:rsidRDefault="0026452D" w:rsidP="0026452D">
      <w:pPr>
        <w:pStyle w:val="TextoNormal"/>
      </w:pPr>
      <w:r>
        <w:t xml:space="preserve">a) Con fecha de 24 de marzo de 2006 se publicó en el “Diario Oficial de Castilla-La Mancha” núm. 63, la Orden de 15 de marzo de 2006, de la Consejería de Economía y Hacienda, por la que se aprueban los modelos 701 y 702 de autoliquidación del impuesto sobre determinadas actividades que inciden en el medio ambiente y se dictan normas para su presentación, contra la que la entidad mercantil Asociación Española de la Industria Eléctrica (UNESA) interpuso un recurso contencioso-administrativo ante la Sala del mismo orden </w:t>
      </w:r>
      <w:r>
        <w:lastRenderedPageBreak/>
        <w:t>jurisdiccional del Tribunal Superior de Justicia de Castilla-La Mancha, con sede en Albacete (recurso núm. 463-2006), en el que, una vez conclusas las actuaciones, por providencia con fecha de 10 de septiembre de 2010 se señaló para votación y fallo el día 16 de septiembre de 2010.</w:t>
      </w:r>
    </w:p>
    <w:p w:rsidR="0026452D" w:rsidRDefault="0026452D" w:rsidP="0026452D">
      <w:pPr>
        <w:pStyle w:val="TextoNormal"/>
      </w:pPr>
    </w:p>
    <w:p w:rsidR="0026452D" w:rsidRDefault="0026452D" w:rsidP="0026452D">
      <w:pPr>
        <w:pStyle w:val="TextoNormal"/>
      </w:pPr>
      <w:r>
        <w:t>b) Por providencia de la Sección Segunda de la Sala de lo Contencioso-Administrativo del Tribunal Superior de Justicia de Castilla-La Mancha —sede de Albacete— con fecha de 4 de octubre de 2010 se acordó, de conformidad con el art. 35 de la Ley Orgánica del Tribunal Constitucional (LOTC) y con anterioridad a dictar Sentencia, dar audiencia a las partes personadas y al Ministerio Fiscal, para que en el plazo improrrogable de diez días alegasen lo que estimasen oportuno sobre la pertinencia de plantear una cuestión de inconstitucionalidad respecto de los arts. 1 a 15 de la Ley de las Cortes de Castilla-La Mancha 16/2005, de 29 de diciembre, del impuesto sobre determinadas actividades que inciden en el medio ambiente y del tipo autonómico del impuesto sobre las ventas minoristas de determinados hidrocarburos, por dos motivos: de un lado, por una posible afectación de las competencias del Estado previstas en los apartados 13, 23 y 25 del art. 149.1 CE, al no cumplir el tributo citado los requisitos que legitiman la imposición extrafiscal autonómica; y, de otro, por una posible vulneración del art. 6.2 y 3 de la Ley Orgánica 8/1980, de 22 de septiembre, de financiación de las Comunidades Autónomas.</w:t>
      </w:r>
    </w:p>
    <w:p w:rsidR="0026452D" w:rsidRDefault="0026452D" w:rsidP="0026452D">
      <w:pPr>
        <w:pStyle w:val="TextoNormal"/>
      </w:pPr>
    </w:p>
    <w:p w:rsidR="0026452D" w:rsidRDefault="0026452D" w:rsidP="0026452D">
      <w:pPr>
        <w:pStyle w:val="TextoNormal"/>
      </w:pPr>
      <w:r>
        <w:t>c) El Fiscal interpuso con fecha de 11 de octubre de 2010 un recurso de súplica contra la anterior providencia, al no concretarse si las dudas de constitucionalidad se limitaban al art. 2 de la Ley 16/2005, de 29 de diciembre [como sucedía con la cuestión promovida por la misma Sala en el recurso contencioso-administrativo núm. 281-2005 contra el art. 2.1 b) y c) de la Ley 11/2000, de 26 de diciembre, de la Comunidad de Castilla-La Mancha, del impuesto sobre actividades que inciden en el medio ambiente], o se referían a todos los preceptos del capítulo I (arts. 1 a 15). Este recurso fue desestimado por Auto núm. 471/2010, de 23 de noviembre, al considerar el órgano judicial que habían quedado perfectamente identificados los preceptos sobre los que se planteaban las dudas de constitucionalidad y que habrían de ser, en su caso, objeto del control de constitucionalidad.</w:t>
      </w:r>
    </w:p>
    <w:p w:rsidR="0026452D" w:rsidRDefault="0026452D" w:rsidP="0026452D">
      <w:pPr>
        <w:pStyle w:val="TextoNormal"/>
      </w:pPr>
    </w:p>
    <w:p w:rsidR="0026452D" w:rsidRDefault="0026452D" w:rsidP="0026452D">
      <w:pPr>
        <w:pStyle w:val="TextoNormal"/>
      </w:pPr>
      <w:r>
        <w:t>d) En cumplimiento del trámite de alegaciones conferido, la parte actora presentó su escrito de alegaciones fechado el 19 de octubre de 2010, suplicando el planteamiento de la cuestión de inconstitucionalidad. Por su parte, el Letrado de la Junta de Comunidades de Castilla-La Mancha, mediante escrito registrado el día 26 de octubre de 2010, solicitó que no se accediese a plantear la cuestión de inconstitucionalidad. Finalmente, el Ministerio Fiscal, por escrito registrado en la Sala el día 30 de noviembre de 2010, interesó también el planteamiento de la cuestión.</w:t>
      </w:r>
    </w:p>
    <w:p w:rsidR="0026452D" w:rsidRDefault="0026452D" w:rsidP="0026452D">
      <w:pPr>
        <w:pStyle w:val="TextoNormal"/>
      </w:pPr>
    </w:p>
    <w:p w:rsidR="0026452D" w:rsidRDefault="0026452D" w:rsidP="0026452D">
      <w:pPr>
        <w:pStyle w:val="TextoNormal"/>
      </w:pPr>
      <w:r w:rsidRPr="0026452D">
        <w:rPr>
          <w:rStyle w:val="NumeroAFNegritaCaracter"/>
        </w:rPr>
        <w:t>3</w:t>
      </w:r>
      <w:r>
        <w:t>. En la fundamentación jurídica del Auto de promoción de la cuestión se razona, en esencia, en los siguientes términos:</w:t>
      </w:r>
    </w:p>
    <w:p w:rsidR="0026452D" w:rsidRDefault="0026452D" w:rsidP="0026452D">
      <w:pPr>
        <w:pStyle w:val="TextoNormal"/>
      </w:pPr>
    </w:p>
    <w:p w:rsidR="0026452D" w:rsidRDefault="0026452D" w:rsidP="0026452D">
      <w:pPr>
        <w:pStyle w:val="TextoNormal"/>
      </w:pPr>
      <w:r>
        <w:t>a) Precisa el órgano judicial que plantea la cuestión, antes de nada, que sus dudas son, de un lado, una cuestión competencial que, en realidad afectaría a la totalidad de la Ley, y de otro, la misma cuestión planteada por la Sala frente a la Ley 11/2000, de 26 de diciembre, de la Comunidad de Castilla-La Mancha, del impuesto sobre actividades que inciden en el medio ambiente.</w:t>
      </w:r>
    </w:p>
    <w:p w:rsidR="0026452D" w:rsidRDefault="0026452D" w:rsidP="0026452D">
      <w:pPr>
        <w:pStyle w:val="TextoNormal"/>
      </w:pPr>
    </w:p>
    <w:p w:rsidR="0026452D" w:rsidRDefault="0026452D" w:rsidP="0026452D">
      <w:pPr>
        <w:pStyle w:val="TextoNormal"/>
      </w:pPr>
      <w:r>
        <w:lastRenderedPageBreak/>
        <w:t>b) Con relación al problema competencial, considera el órgano judicial que la Ley de las Cortes de Castilla-La Mancha 16/2005, de 29 de diciembre, puede incurrir en inconstitucionalidad por la posible violación de las competencias reconocidas al Estado por los apartados 13 (bases y coordinación de la planificación general de la actividad económica), 23 (legislación básica sobre protección del medio ambiente) y 25 (bases del régimen energético), del art. 149.1 CE, al no cumplir las condiciones impuestas por la jurisprudencia del Tribunal Constitucional para aceptar la legitimidad de los tributos extrafiscales. Según el órgano judicial, para verificar la legitimidad del impuesto sobre determinadas actividades que inciden sobre el medio ambiente de la Comunidad de Castilla-La Mancha debe analizarse, en primer lugar, si la potestad tributaria autonómica de carácter extrafiscal está vinculada a la existencia de una competencia sobre la materia. Y a este respecto señala que aunque el impuesto autonómico incide sobre el título competencial relativo al “medio ambiente” respecto del que la Comunidad Autónoma de Castilla-La Mancha tiene competencias (art. 32.7 del Estatuto de Autonomía), lo cierto es que tiene dudas sobre si debe prevalecer la competencia estatal que garantice la unidad de mercado en el ámbito de la producción de energía eléctrica (art. 149.1.23 y 25 CE). Y las dudas le surgen por tres motivos: en primer lugar, porque la emisión de gases a la atmósfera está indisolublemente unida a la producción de energía eléctrica, por lo que el tributo se convierte en un gravamen directo sobre la misma, siendo las bases del régimen energético una competencia exclusiva del Estado (art. 149.1.13 CE). En segundo lugar, porque el régimen retributivo de la producción de energía eléctrica tiene un ámbito estatal y no autonómico. Y, en tercer lugar, porque las competencias estatales se reconocen en la normativa medioambiental (por ejemplo, en el Real Decreto 430/2004, de 12 de marzo, que tiene carácter básico).</w:t>
      </w:r>
    </w:p>
    <w:p w:rsidR="0026452D" w:rsidRDefault="0026452D" w:rsidP="0026452D">
      <w:pPr>
        <w:pStyle w:val="TextoNormal"/>
      </w:pPr>
    </w:p>
    <w:p w:rsidR="0026452D" w:rsidRDefault="0026452D" w:rsidP="0026452D">
      <w:pPr>
        <w:pStyle w:val="TextoNormal"/>
      </w:pPr>
      <w:r>
        <w:t>En segundo lugar, para determinar la legitimidad del tributo extrafiscal hay que tener en cuenta la conexión del mismo con la protección del medio ambiente, y en el caso controvertido el impuesto está desconectado de las disposiciones generales de protección del medio ambiente, lo que hace dudar de que tenga efectos disuasorios sobre las emisiones de gases a la atmósfera o sobre la producción termonuclear, pudiendo quedar su finalidad reducida a la mera recaudatoria por tres motivos: porque no existe mejora técnica disponible para producir energía eléctrica con menores emisiones de gases a la atmósfera; por no cumplir los fines de interés general que lo legitiman; y por ser imposible reducir unilateralmente la producción y conseguir de este modo reducir sus emisiones a la atmósfera.</w:t>
      </w:r>
    </w:p>
    <w:p w:rsidR="0026452D" w:rsidRDefault="0026452D" w:rsidP="0026452D">
      <w:pPr>
        <w:pStyle w:val="TextoNormal"/>
      </w:pPr>
    </w:p>
    <w:p w:rsidR="0026452D" w:rsidRDefault="0026452D" w:rsidP="0026452D">
      <w:pPr>
        <w:pStyle w:val="TextoNormal"/>
      </w:pPr>
      <w:r>
        <w:t xml:space="preserve">c) Pasa a continuación el órgano judicial a analizar la constitucionalidad de los hechos imponibles y, a tal fin, recuerda su Auto 281/2005, de 21 de octubre, por el que acordaba elevar a este Tribunal otra cuestión de inconstitucionalidad, la tramitada con el núm. 8556-2005, en relación con los hechos imponibles de la producción termonuclear de energía eléctrica y el almacenamiento de residuos radiactivos [art. 2.1, apartados b) y c), de la Ley de las Cortes de Castilla-La Mancha 11/2000, de 26 de diciembre, del impuesto sobre determinadas actividades que inciden en el medio ambiente], por posible vulneración de los arts. 133.2 y 157.3, ambos de la Constitución, y 6.3 LOFCA. Dicho esto, señala a continuación que la Ley de las Cortes de Castilla-La Mancha 16/2005 establece un impuesto sobre determinadas actividades que inciden en el medio ambiente que se define como un tributo que grava directamente la contaminación y los riesgos que sobre el medio ambiente ocasiona la realización de determinadas actividades, con el fin de contribuir a compensar a la sociedad el coste que soporta y a frenar el deterioro ambiental (art. 1), y que delimita como hecho imponible “la contaminación y los riesgos que en el medio ambiente son ocasionados por la </w:t>
      </w:r>
      <w:r>
        <w:lastRenderedPageBreak/>
        <w:t>realización en el territorio de Castilla-La Mancha de cualquiera de las actividades siguientes: a) Actividades cuyas instalaciones emiten a la atmósfera dióxido de azufre, dióxido de nitrógeno o cualquier otro compuesto oxigenado del azufre o del nitrógeno; b) Producción termonuclear; c) Almacenamiento de residuos radioactivos” (art. 2).</w:t>
      </w:r>
    </w:p>
    <w:p w:rsidR="0026452D" w:rsidRDefault="0026452D" w:rsidP="0026452D">
      <w:pPr>
        <w:pStyle w:val="TextoNormal"/>
      </w:pPr>
    </w:p>
    <w:p w:rsidR="0026452D" w:rsidRDefault="0026452D" w:rsidP="0026452D">
      <w:pPr>
        <w:pStyle w:val="TextoNormal"/>
      </w:pPr>
      <w:r>
        <w:t>Para el órgano judicial, las dudas de constitucionalidad surgen avaladas por la doctrina del Tribunal Constitucional, concretamente, en su STC 289/2000, de 20 de noviembre, por la que se declara inconstitucional otro impuesto autonómico (el impuesto balear sobre instalaciones que inciden en el medio ambiente, que gravaba las instalaciones y estructuras destinadas a las actividades de producción, almacenaje, transformación y transporte de energía eléctrica, de carburantes, de combustibles sólidos, líquidos y gaseosos, así como los de comunicaciones telefónicas y telemáticas) y que sirve de referencia para analizar el impuesto ahora cuestionado, razón por la cual, procede a examinar el verdadero objeto del impuesto autonómico y a analizar su hecho imponible, sujeto pasivo y base imponible.</w:t>
      </w:r>
    </w:p>
    <w:p w:rsidR="0026452D" w:rsidRDefault="0026452D" w:rsidP="0026452D">
      <w:pPr>
        <w:pStyle w:val="TextoNormal"/>
      </w:pPr>
    </w:p>
    <w:p w:rsidR="0026452D" w:rsidRDefault="0026452D" w:rsidP="0026452D">
      <w:pPr>
        <w:pStyle w:val="TextoNormal"/>
      </w:pPr>
      <w:r>
        <w:t>d) La primera modalidad del impuesto castellano-manchego cuestionado, contenida en el art. 2.1 a) de la Ley 16/2005, se dirige a gravar las emisiones de determinados gases. Sin embargo, la actividad de emisión de gases no tiene entidad propia sino que está vinculada a la actividad de producción de energía eléctrica en centrales térmicas, de modo que no se puede hablar de la producción por centrales térmicas sin emisión de gases y viceversa. No existen instalaciones de emisiones de gases, sino instalaciones para la producción de energía eléctrica y como tales podrían tener su producción gravada por un tributo, el impuesto especial sobre la electricidad. Pues bien, aun cuando pudiera entenderse que no existe una duplicidad de “hechos imponibles” (entre el impuesto autonómico y el estatal), sin embargo, podría vulnerarse el art. 6.3 LOFCA por cuanto la materia imponible entendida como fuente de riqueza ya estaría gravada por el impuesto sobre actividades económicas, con el concepto de “producción de energía termoeléctrica”.</w:t>
      </w:r>
    </w:p>
    <w:p w:rsidR="0026452D" w:rsidRDefault="0026452D" w:rsidP="0026452D">
      <w:pPr>
        <w:pStyle w:val="TextoNormal"/>
      </w:pPr>
    </w:p>
    <w:p w:rsidR="0026452D" w:rsidRDefault="0026452D" w:rsidP="0026452D">
      <w:pPr>
        <w:pStyle w:val="TextoNormal"/>
      </w:pPr>
      <w:r>
        <w:t>e) La segunda modalidad del impuesto castellano-manchego cuestionado, contenida en el art. 2.1 b) de la Ley 16/2005, somete a tributación la producción termonuclear de energía eléctrica, gravando, en consecuencia, la actividad económica consistente en crear energía eléctrica mediante una central nuclear. El sujeto pasivo es, según el art. 4.1 del mismo texto legal, la persona que realice la actividad económica de producción de energía eléctrica. La base imponible, de conformidad con el art. 5 b) de la misma Ley, se concreta en la producción bruta de electricidad en el período impositivo, expresada en kilovatios/hora. De esta manera, el impuesto se aplica en proporción a la cantidad de energía eléctrica producida. Por su parte, el impuesto sobre actividades económicas grava el mero de ejercicio de actividades económicas (art. 78 del Real Decreto Legislativo 3/2004, de 5 de marzo) y, concretamente, la actividad de “producción de energía electronuclear”, es decir, la producción de energía eléctrica mediante una central nuclear, estableciéndose una cuota por cada kilovatio de potencia (epígrafe 151.3 de la Sección 1 del anexo del Real Decreto Legislativo 1175/1990, de 28 de septiembre). La comparación de uno y otro impuesto y de los elementos que los definen lleva a la Sala a entender que pudieran afectar a una misma materia imponible, toda vez que ambos gravan la producción de energía eléctrica a través de una central nuclear, siendo el sujeto pasivo la persona que realiza la actividad y la base imponible la cantidad de energía eléctrica producida, mediante una cuota sobre el kilovatio producido.</w:t>
      </w:r>
    </w:p>
    <w:p w:rsidR="0026452D" w:rsidRDefault="0026452D" w:rsidP="0026452D">
      <w:pPr>
        <w:pStyle w:val="TextoNormal"/>
      </w:pPr>
    </w:p>
    <w:p w:rsidR="0026452D" w:rsidRDefault="0026452D" w:rsidP="0026452D">
      <w:pPr>
        <w:pStyle w:val="TextoNormal"/>
      </w:pPr>
      <w:r>
        <w:lastRenderedPageBreak/>
        <w:t>f) La tercera modalidad del impuesto autonómico cuestionado, recogida en el art. 2.1 c) de la Ley 16/2005, grava la realización de la actividad empresarial de “almacenamiento de residuos radiactivos”, siendo el sujeto pasivo quien realiza esta actividad y determinándose la base imponible por la “capacidad de los depósitos a la fecha del devengo del impuesto expresada en metros cúbicos de residuos almacenados” [art. 5.1 c)]. Por su parte, en la sección 1 del anexo del Real Decreto Legislativo 1175/1990 (en la redacción dada por la Ley 39/1992) se fija como hecho imponible la realización de la actividad de “almacenamiento de residuos radiactivos”, siendo el sujeto pasivo quien realiza la actividad y calculándose la deuda tributaria mediante una cuota única (que no se determina en proporción al espacio destinado a almacenamiento).</w:t>
      </w:r>
    </w:p>
    <w:p w:rsidR="0026452D" w:rsidRDefault="0026452D" w:rsidP="0026452D">
      <w:pPr>
        <w:pStyle w:val="TextoNormal"/>
      </w:pPr>
    </w:p>
    <w:p w:rsidR="0026452D" w:rsidRDefault="0026452D" w:rsidP="0026452D">
      <w:pPr>
        <w:pStyle w:val="TextoNormal"/>
      </w:pPr>
      <w:r>
        <w:t>g) Considera la Sala que entre los impuestos comparados puede haber una coincidencia en el gravamen de la materia imponible, incurriéndose en la prohibición prevista en el apartado 3 del art. 6 LOFCA. Coincidencia que no se justificaría —como pretende la Junta de Comunidades de Castilla-La Mancha— en una pretendida naturaleza extrafiscal del impuesto dirigida a gravar la actividad contaminante (como afirma la exposición de motivos y el art. 1 de la Ley 16/2005), pues como señaló la STC 289/2000, el tributo cuestionado no se dirige, en sentido negativo, a disuadir el incumplimiento de ninguna obligación, pero tampoco busca, en sentido positivo, estimular actuaciones protectoras del medio ambiente, desvinculándose así de la verdadera aptitud de cada sujeto para incidir en el medio en el que se desenvuelve. No cabe considerar que el impuesto referido grave efectivamente la actividad contaminante pues desconoce el impacto ambiental en que incurren los sujetos llamados a soportarlo, o lo que es lo mismo, la medida concreta en la que cada uno afecta al medio ambiente.</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15 de febrero de 2011, el Pleno de este Tribunal, a propuesta de la Sección Primera, acordó admitir a trámite la cuestión planteada; reservar para sí el conocimiento de la cuestión de conformidad con lo previsto en el art. 10.1 c) LOTC; dar traslado de las actuaciones recibidas, conforme establece el art. 37.2 LOTC, al Congreso de los Diputados y al Senado, por conducto de sus Presidentes, al Gobierno, por conducto del Ministro de Justicia, al Fiscal General del Estado, así como a la Junta de Comunidades de Castilla-La Mancha y a las Cortes de Castilla-La Mancha, por conducto de sus Presidentes, al objeto de que, en el improrrogable plazo de quince días, pudieran personarse en el proceso y formular las alegaciones que estimaran convenientes; comunicar a la Sección Segunda de la Sala de lo Contencioso-Administrativo del Tribunal Superior de Justicia de Castilla-La Mancha —sede de Albacete— la presente resolución a fin de que, de conformidad con lo dipuesto en el art. 35.3 LOTC, permaneciese suspendido el proceso hasta que este Tribunal resolviese defnitivamente sobre la presente cuestión; publicar la incoación de la cuestión en el “Boletín Oficial del Estado” y en el “Diario Oficial de Castilla-La Mancha” (lo que tuvo lugar en el “BOE” núm. 49, de 26 de febrero, y en el “Diario Oficial de Castilla-La Mancha” núm. 45, de 7 de marzo).</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Por escrito registrado en este Tribunal el día 2 de marzo de 2011, el Presidente del Senado solicitó a este Tribunal que se tuviera a dicha Cámara por personada en el procedimiento y por ofrecida su colaboración a los efectos del art. 88.1 LOTC. Posteriormente, por escrito registrado el día 11 de marzo siguiente se recibió otra comunicación del Presidente del Congreso de los Diputados conforme a la cual se ponía en conocimiento de este Tribunal la personación de dicha Cámara y su ofrecimiento de colaboración a los efectos del art. 88.1 </w:t>
      </w:r>
      <w:r>
        <w:lastRenderedPageBreak/>
        <w:t>LOTC, con remisión a la dirección de estudios, análisis y publicaciones, y a la asesoría jurídica de la Secretaría General.</w:t>
      </w:r>
    </w:p>
    <w:p w:rsidR="0026452D" w:rsidRDefault="0026452D" w:rsidP="0026452D">
      <w:pPr>
        <w:pStyle w:val="TextoNormal"/>
      </w:pPr>
    </w:p>
    <w:p w:rsidR="0026452D" w:rsidRDefault="0026452D" w:rsidP="0026452D">
      <w:pPr>
        <w:pStyle w:val="TextoNormal"/>
      </w:pPr>
      <w:r w:rsidRPr="0026452D">
        <w:rPr>
          <w:rStyle w:val="NumeroAFNegritaCaracter"/>
        </w:rPr>
        <w:t>6</w:t>
      </w:r>
      <w:r>
        <w:t>. El Abogado del Estado presentó un escrito registrado en este Tribunal el día 9 de marzo de 2011 en el que suplicaba que se dictase Sentencia por la que se declarasen inconstitucionales los arts. 2.1 b) y c), 2.2 y 3, 5 b) y c), 8 b) y c), y las palabras “y de almacenamiento de residuos radiactivos” del párrafo segundo del art. 11.2, de la Ley de las Cortes de Castilla-La Mancha 16/2005, de 29 de diciembre.</w:t>
      </w:r>
    </w:p>
    <w:p w:rsidR="0026452D" w:rsidRDefault="0026452D" w:rsidP="0026452D">
      <w:pPr>
        <w:pStyle w:val="TextoNormal"/>
      </w:pPr>
    </w:p>
    <w:p w:rsidR="0026452D" w:rsidRDefault="0026452D" w:rsidP="0026452D">
      <w:pPr>
        <w:pStyle w:val="TextoNormal"/>
      </w:pPr>
      <w:r>
        <w:t>Señala el Abogado del Estado, antes que nada, que aun cuando la Sección proponente plantea, en primer lugar, la posible violación por los preceptos cuestionados de las competencias reconocidas al Estado en las materias 13 (planificación general de la actividad económica), 23 (legislación básica sobre protección del medio ambiente) y 25 (bases del régimen energético) del art. 149.1 CE, y, en segundo lugar, la violación de la prohibición de doble imposición de los apartados 2 y 3 del art. 6 LOFCA, en relación con los arts. 133.2 y 157.3 CE, sin embargo, el peso del razonamiento lo hace recaer en la infracción del art. 6.3 LOFCA, hasta el punto que difícilmente puede afirmarse que el Tribunal proponente haya levantado la carga alegatoria que le incumbe respecto a la pretendida infracción del art. 6.2 LOFCA.</w:t>
      </w:r>
    </w:p>
    <w:p w:rsidR="0026452D" w:rsidRDefault="0026452D" w:rsidP="0026452D">
      <w:pPr>
        <w:pStyle w:val="TextoNormal"/>
      </w:pPr>
    </w:p>
    <w:p w:rsidR="0026452D" w:rsidRDefault="0026452D" w:rsidP="0026452D">
      <w:pPr>
        <w:pStyle w:val="TextoNormal"/>
      </w:pPr>
      <w:r>
        <w:t>Dicho lo que antecede, pasa el Abogado del Estado a analizar si los preceptos cuestionados violan las competencias exclusivas reservadas al Estado sobre las materias de los apartados 13, 23 y 25, del art. 149.1 CE. A tal fin, precisa que según la exposición de motivos de la Ley 16/2005, el impuesto sobre determinadas actividades que inciden en el medio ambiente es un tributo con finalidad extrafiscal que está al servicio de “las políticas de protección del medio ambiente” mediante el que ciertas externalidades negativas (daño ambiental) derivadas de las actividades que describe su art. 2.1 se internalizan como coste tributario. De esta manera, con este tributo, según subraya la citada exposición de motivos, no se persigue una finalidad primordialmente recaudatoria, sino introducir un elemento disuasorio con el que contribuir a frenar el deterioro del medio ambiente al hacer más onerosa la práctica de actividades contaminantes y a obtener los recursos necesarios para compensar a los ciudadanos de una parte de los costes que soportan como consecuencia de dichas actividades, atendiéndose, de esta manera, a la realización de los principios y fines contenidos en la Constitución, concretamente, los proclamados en su art. 45.</w:t>
      </w:r>
    </w:p>
    <w:p w:rsidR="0026452D" w:rsidRDefault="0026452D" w:rsidP="0026452D">
      <w:pPr>
        <w:pStyle w:val="TextoNormal"/>
      </w:pPr>
    </w:p>
    <w:p w:rsidR="0026452D" w:rsidRDefault="0026452D" w:rsidP="0026452D">
      <w:pPr>
        <w:pStyle w:val="TextoNormal"/>
      </w:pPr>
      <w:r>
        <w:t xml:space="preserve">Para el Abogado del Estado, ninguna de las razones que contiene el Auto de planteamiento persuade de que el citado tributo viole las competencias exclusivas del Estado sobre ordenación general de la economía, legislación básica sobre protección ambiental o bases del régimen energético. De hecho, tal y como señaló la STC 168/2004, FJ 11, las leyes estatales que establecen las bases del sector energético aceptan la existencia de tributos autonómicos y locales cuya cuota se obtuviera mediante reglas no uniformes para el conjunto del territorio nacional. Aunque la Sección proponente afirme que el régimen retributivo de la producción de energía eléctrica tiene un ámbito estatal y no autonómico, como ha señalado la STC 18/2011, de 3 marzo, aunque “la regulación de un régimen económico único para el todo el territorio nacional” en el sistema eléctrico tiene “naturaleza básica, al ser necesaria esa regulación uniforme para calcular la retribución de los distintos operadores que realizan las diferentes actividades destinadas al suministro eléctrico y para repercutir los costes sobre los consumidores” [FJ 21 a)], esto no significa que la regulación de toda </w:t>
      </w:r>
      <w:r>
        <w:lastRenderedPageBreak/>
        <w:t>partida de costes de cualquier actividad encuadrada en el sector eléctrico haya de ser monopolizada por las instituciones centrales del Estado. Así, para que pudiera hablarse de una violación de las competencias estatales de las materias 13 y 25 del art. 149.1 CE sería preciso que el legislador básico hubiera establecido expresamente una prohibición de gravar las actividades de producción de energía eléctrica mediante tributos autonómicos con finalidad extrafiscal de protección medioambiental, cosa que no ha sucedido, sino al contrario, el legislador básico acepta la existencia e incidencia de tributos autonómicos y locales cuya cuota se obtuviera mediante reglas no uniformes para el conjunto del territorio nacional sobre actividades encuadradas en los sectores de la electricidad y los hidrocarburos.</w:t>
      </w:r>
    </w:p>
    <w:p w:rsidR="0026452D" w:rsidRDefault="0026452D" w:rsidP="0026452D">
      <w:pPr>
        <w:pStyle w:val="TextoNormal"/>
      </w:pPr>
    </w:p>
    <w:p w:rsidR="0026452D" w:rsidRDefault="0026452D" w:rsidP="0026452D">
      <w:pPr>
        <w:pStyle w:val="TextoNormal"/>
      </w:pPr>
      <w:r>
        <w:t>Según el Abogado del Estado, por la finalidad a la que sirve el tributo autonómico puede considerarse como una medida adicional de protección medioambiental amparada en el art. 32.7 del Estatuto de Autonomía de Castilla-La Mancha, algo expresamente admitido por el art. 149.1.23 CE. En efecto, la ordenación básica ambiental establecida por el Estado es de carácter mínimo y, por tanto, los niveles de protección que establece pueden ser ampliados o mejorados por la normativa autonómica, razón por la cual, no se aprecia de qué manera una medida autonómica de protección ambiental puede infringir la competencia estatal sobre ordenación general de la economía, tanto más cuando la actividad de “emisión de gases” a la que se imputa la violación competencial, aunque pueda tener efectos más allá de la Comunidad Autónoma que establece la imposición, esta circunstancia no contradice que el lugar de realización de la actividad esté ubicado dentro del territorio de la Comunidad, sobre el que la ésta puede ejercer sus competencias tanto de protección ambiental como de hacienda autonómica (art. 39.1 del Estatuto). Es más, el Real Decreto 430/2004, de 12 de marzo, establece un régimen básico y mínimo de protección ambiental respecto a las emisiones de óxidos de azufre y nitrógeno (arts. 1, 5, 6, y concordantes) que, por su carácter básico, no impide que las Comunidades Autónomas puedan adoptar medidas adicionales de protección ambiental en forma de tributos extrafiscales.</w:t>
      </w:r>
    </w:p>
    <w:p w:rsidR="0026452D" w:rsidRDefault="0026452D" w:rsidP="0026452D">
      <w:pPr>
        <w:pStyle w:val="TextoNormal"/>
      </w:pPr>
    </w:p>
    <w:p w:rsidR="0026452D" w:rsidRDefault="0026452D" w:rsidP="0026452D">
      <w:pPr>
        <w:pStyle w:val="TextoNormal"/>
      </w:pPr>
      <w:r>
        <w:t>Pues bien, para el Abogado del Estado, dado que no se aprecia que los preceptos cuestionados violen el orden constitucional de competencias, va a centrarse en la eventual vulneración por los primeros quince preceptos de la Ley 16/2005 de los apartados 2 y 3 del art. 6 LOFCA, para lo cual va analizar por separado los tres hechos imponibles mencionados en el art. 2.1 de aquella norma legal.</w:t>
      </w:r>
    </w:p>
    <w:p w:rsidR="0026452D" w:rsidRDefault="0026452D" w:rsidP="0026452D">
      <w:pPr>
        <w:pStyle w:val="TextoNormal"/>
      </w:pPr>
    </w:p>
    <w:p w:rsidR="0026452D" w:rsidRDefault="0026452D" w:rsidP="0026452D">
      <w:pPr>
        <w:pStyle w:val="TextoNormal"/>
      </w:pPr>
      <w:r>
        <w:t>a) El primer gravamen afecta a las actividades cuyas instalaciones emiten a la atmósfera dióxido de azufre, dióxido de nitrógeno o cualquier otro compuesto oxigenado del azufre o del nitrógeno [art. 2.1 a)], el cual se hace recaer sobre quienes realizan las actividades que dan lugar a las emisiones (art. 4.1), siendo la base imponible las cantidades contaminantes emitidas durante el periodo impositivo expresadas en toneladas métricas equivalentes de dióxido de azufre y dióxido de nitrógeno, ponderadas respectivamente con los coeficientes 1 y 1,5 [arts. 5 a) y 7.1], y calculándose la cuota mediante la aplicación de un tipo que oscila entre 0 (para bases inferiores a 500 tm/año) y 100 €/tm para emisiones superiores a 15.000 tm/año [art. 8 a)]. Los tipos crecen escalonadamente con las cantidades de contaminantes emitidos por año [art. 8 a)] y se establece una serie de deducciones en la cuota para estimular el mejor rendimiento de los analizadores automáticos de las emisiones (art. 9.1) o el paso de la estimación objetiva a la directa (art. 9.2). El periodo impositivo es el año natural (art. 10.1).</w:t>
      </w:r>
    </w:p>
    <w:p w:rsidR="0026452D" w:rsidRDefault="0026452D" w:rsidP="0026452D">
      <w:pPr>
        <w:pStyle w:val="TextoNormal"/>
      </w:pPr>
    </w:p>
    <w:p w:rsidR="0026452D" w:rsidRDefault="0026452D" w:rsidP="0026452D">
      <w:pPr>
        <w:pStyle w:val="TextoNormal"/>
      </w:pPr>
      <w:r>
        <w:lastRenderedPageBreak/>
        <w:t>De acuerdo con la doctrina constitucional, representada por las SSTC 289/2000, 168/2004 y 179/2006, así como por el ATC 457/2007, no hay razones bastantes para entender que esta modalidad impositiva viola el art. 6.3 LOFCA, pues el impuesto sobre actividades económicas es un tributo local que grava “el mero ejercicio … de actividades empresariales, profesionales o artísticas” (art. 78.1 del Real Decreto Legislativo 2/2004, de 5 de marzo), en función de su beneficio medio presunto, por lo que difícilmente puede gravar la actividad de emisión de gases contaminante. Por su parte, el impuesto autonómico no está construido por referencia a ninguna actividad económica, sino un tipo de resultado contaminante perjudicial para el medio ambiente, a saber, la emisión de dióxido de azufre, dióxido de nitrógeno y otros compuestos oxigenados del nitrógeno y del azufre. Aun siendo cierto que el impuesto autonómico grava a grandes contaminantes, puesto que prevé tipo y cuota cero para bases imponibles resultantes de emisiones inferiores a 500 tm/año, no es menor cierto que lo que se grava no es el beneficio presunto originado en el ejercicio de una actividad económica, sino la capacidad contaminante, para gravar más a las más contaminantes y menos o nada a las que contaminan menos. En consecuencia, la vertiente retributiva prima sobre la contributiva, pues resulta indiscutible la finalidad de estimular la disminución de emisiones contaminantes en las instalaciones existentes y la mejora de sus instrumentos de medición, por lo que no puede sostenerse que, mediante el art. 2.1 a) de la Ley 16/2005, se esté gravando la producción de energía termoeléctrica, sino cualquier actividad que genere dióxido de azufre, dióxido de nitrógeno y otros óxidos de nitrógeno y de azufre. En consecuencia, el citado precepto legal no viola el art. 6.3 LOFCA.</w:t>
      </w:r>
    </w:p>
    <w:p w:rsidR="0026452D" w:rsidRDefault="0026452D" w:rsidP="0026452D">
      <w:pPr>
        <w:pStyle w:val="TextoNormal"/>
      </w:pPr>
    </w:p>
    <w:p w:rsidR="0026452D" w:rsidRDefault="0026452D" w:rsidP="0026452D">
      <w:pPr>
        <w:pStyle w:val="TextoNormal"/>
      </w:pPr>
      <w:r>
        <w:t>Por otra parte, y esta vez con relación a la pretendida infracción del apartado 2 del art. 6 LOFCA, sobre la base de una eventual colisión con Impuesto sobre la Electricidad, señala el Abogado del Estado que este impuesto estatal es un impuesto especial de fabricación cuyo ámbito objetivo “está constituido por la energía eléctrica” (art. 64 de la Ley 38/1992), mientras que el impuesto autonómico grava —como ya se ha visto— las actividades generadoras de compuestos oxigenados del azufre y del nitrógeno en función de su potencialidad contaminante, entre las cuales pueden contarse determinadas modalidades de producción de energía eléctrica. En consecuencia, nada tiene que ver un gravamen sobre la capacidad contaminante que hace abstracción del tipo de actividad en que se genera con un impuesto sobre consumos específicos de electricidad. Tampoco viola el art. 2.1 a) de la Ley 16/2005, en consecuencia, la prohibición contenida en el art. 6.2 LOFCA.</w:t>
      </w:r>
    </w:p>
    <w:p w:rsidR="0026452D" w:rsidRDefault="0026452D" w:rsidP="0026452D">
      <w:pPr>
        <w:pStyle w:val="TextoNormal"/>
      </w:pPr>
    </w:p>
    <w:p w:rsidR="0026452D" w:rsidRDefault="0026452D" w:rsidP="0026452D">
      <w:pPr>
        <w:pStyle w:val="TextoNormal"/>
      </w:pPr>
      <w:r>
        <w:t>b) La segunda modalidad del gravamen autonómico incide sobre sobre la producción termonuclear de energía eléctrica, respecto de la cual la situación es diferente, en la medida que se grava simplemente la producción termonuclear de energía eléctrica [art. 2.1 b)], siendo los sujetos pasivos quienes realicen esta actividad productiva (art. 4), calculándose la base imponible sobre la producción bruta de electricidad medida en megavatios hora [art. 5 b)] y obteniéndose la cuota multiplicando la producción del periodo impositivo en megavatios hora por 1,50 €/megavatio hora [art. 8 b)]. Por su parte, el art. 85.4 A) del Real Decreto Legislativo 2/2004, de 5 de marzo, sujeta al impuesto sobre actividades económicas “la actividad de producción de energía eléctrica en centrales nucleares” (epígrafe 151.3 de las tarifas aprobadas por el Real Decreto Legislativo 1175/1990, de 28 de septiembre), a razón de 0,51 euros aproximadamente por kilovatio de potencia en generadores.</w:t>
      </w:r>
    </w:p>
    <w:p w:rsidR="0026452D" w:rsidRDefault="0026452D" w:rsidP="0026452D">
      <w:pPr>
        <w:pStyle w:val="TextoNormal"/>
      </w:pPr>
    </w:p>
    <w:p w:rsidR="0026452D" w:rsidRDefault="0026452D" w:rsidP="0026452D">
      <w:pPr>
        <w:pStyle w:val="TextoNormal"/>
      </w:pPr>
      <w:r>
        <w:t xml:space="preserve">Para el Abogado del Estado, aunque el legislador regional haya considerado que la producción termonuclear de energía eléctrica es, </w:t>
      </w:r>
      <w:r w:rsidRPr="0026452D">
        <w:rPr>
          <w:i/>
        </w:rPr>
        <w:t>per se</w:t>
      </w:r>
      <w:r>
        <w:t xml:space="preserve">, una actividad generadora de riesgo </w:t>
      </w:r>
      <w:r>
        <w:lastRenderedPageBreak/>
        <w:t>medioambiental, sin embargo, es claro que la modalidad impositiva del art. 2.1 b) grava el mero ejercicio —en territorio de la Comunidad Autónoma— de la actividad de producción de electricidad como tal y no su especial incidencia ambiental desfavorable, sin que se atempere “el gravamen a la conducta de los sujetos contaminantes” ni se busque “en sentido positivo, estimular actuaciones protectoras del medio ambiente” (STC 179/2006, FJ 7). Como es evidente, el riesgo ambiental de la producción termonuclear de energía eléctrica no está en función de la producción bruta de electricidad, que más bien apunta al nivel de ingresos brutos. A igual producción de núcleo-electricidad, pueden existir grandes diferencias de riesgo ambiental en función de las tecnologías y sistemas de seguridad que se utilicen en la central nuclear, siendo notoria la mejora tecnológica registrada en los últimos dos decenios. Las SSTC 289/2000, de 30 de noviembre y 179/2006, de 13 de junio, niegan enfáticamente que la capacidad de contaminar dependa de la “cuantía de los ingresos brutos” o de la “facturación” o del “número de instalaciones”. De esta manera, el impuesto regional opera más bien como un impuesto a la producción que como un impuesto a la contaminación.</w:t>
      </w:r>
    </w:p>
    <w:p w:rsidR="0026452D" w:rsidRDefault="0026452D" w:rsidP="0026452D">
      <w:pPr>
        <w:pStyle w:val="TextoNormal"/>
      </w:pPr>
    </w:p>
    <w:p w:rsidR="0026452D" w:rsidRDefault="0026452D" w:rsidP="0026452D">
      <w:pPr>
        <w:pStyle w:val="TextoNormal"/>
      </w:pPr>
      <w:r>
        <w:t>Aunque el Abogado del Estado reconoce que los rendimientos del gravamen sobre la producción termonuclear de electricidad quedan afectos a genéricos “gastos de conservación y mejora del medio ambiente” (art. 1.2 de la Ley 16/2005), sin embargo, señala a renglón seguido que esa previsión no garantiza que los rendimientos se afecten precisamente a “combatir o reparar el daño provocado al medio ambiente” por quienes emiten los nocivos óxidos, generan nucleoelectricidad o almacenan residuos nucleares, tanto más cuando, como señaló la STC 179/2006, “la afectación del gravamen a la finalidad que se dice perseguida no es más que uno de los varios indicios -y no precisamente el más importante- a tener en cuenta a la hora de calificar la verdadera naturaleza del tributo, esto es, de determinar si en el tributo autonómico prima el carácter contributivo o una finalidad extrafiscal” (FJ 10).</w:t>
      </w:r>
    </w:p>
    <w:p w:rsidR="0026452D" w:rsidRDefault="0026452D" w:rsidP="0026452D">
      <w:pPr>
        <w:pStyle w:val="TextoNormal"/>
      </w:pPr>
    </w:p>
    <w:p w:rsidR="0026452D" w:rsidRDefault="0026452D" w:rsidP="0026452D">
      <w:pPr>
        <w:pStyle w:val="TextoNormal"/>
      </w:pPr>
      <w:r>
        <w:t>En suma, la letra b) del art. 2.1 de la Ley 16/2005 resulta inconstitucional por violar el art. 6.3 LOFCA, en relación con los arts. 133.2 y 157.3 CE, razón por la cual es innecesario examinar si también viola el apartado 2 del art. 6 LOFCA, punto en que el auto de planteamiento carece de argumentación.</w:t>
      </w:r>
    </w:p>
    <w:p w:rsidR="0026452D" w:rsidRDefault="0026452D" w:rsidP="0026452D">
      <w:pPr>
        <w:pStyle w:val="TextoNormal"/>
      </w:pPr>
    </w:p>
    <w:p w:rsidR="0026452D" w:rsidRDefault="0026452D" w:rsidP="0026452D">
      <w:pPr>
        <w:pStyle w:val="TextoNormal"/>
      </w:pPr>
      <w:r>
        <w:t>c) La tercera modalidad del gravamen autonómico, que recae sobre el almacenamiento de residuos radioactivos [art. 2.1 c)], tributa también en el impuesto sobre actividades económicas (epígrafe 143.3 de las tarifas) en función de una cuota fija que no está en proporción a los kilogramos o metros cúbicos almacenados. Por su parte, el impuesto regional del art. 2.1 c) de la Ley 16/2005 grava el almacenamiento a proporción de la cantidad de residuos almacenados, expresada en kilogramos (si son residuos de alta actividad) y en metros cúbicos (si son de media y baja actividad) [art. 5 c)], con una cuota de 5 euros por kilogramo o 1.000 euros por metro cúbico, según se esté en uno u otro caso [art. 8 c)]. Y el sujeto pasivo del impuesto en uno y otro impuesto es el mismo: quien realice la actividad de almacenamiento.</w:t>
      </w:r>
    </w:p>
    <w:p w:rsidR="0026452D" w:rsidRDefault="0026452D" w:rsidP="0026452D">
      <w:pPr>
        <w:pStyle w:val="TextoNormal"/>
      </w:pPr>
    </w:p>
    <w:p w:rsidR="0026452D" w:rsidRDefault="0026452D" w:rsidP="0026452D">
      <w:pPr>
        <w:pStyle w:val="TextoNormal"/>
      </w:pPr>
      <w:r>
        <w:t xml:space="preserve">Pues bien, para el Abogado del Estado, aunque el ATC 456/2007 inadmitió la cuestión de inconstitucionalidad planteada sobre el impuesto andaluz sobre depósitos de residuos radiactivos, entre otras razones, por no violar los preceptos cuestionados el art. 6.3 LOFCA, lo hizo sobre la base, de un lado, de la afectación del rendimiento del impuesto regional a la financiación de actuaciones de protección medioambiental y conservación de recursos </w:t>
      </w:r>
      <w:r>
        <w:lastRenderedPageBreak/>
        <w:t>naturales, y, de otro, del hecho de que el gravamen no resultaba ser el ejercicio de la actividad de almacenamiento, ni tampoco los obligados al pago coincidían, por lo que primaba su vertiente retributiva sobre la contributiva. La doctrina del ATC 456/2007 no puede trasladarse, sin embargo, al caso ahora analizado, pues se produce una identidad de hecho imponible y de sujeto pasivo entre el impuesto sobre actividades económicas y el tributo autonómico cuestionado. En efecto, sólo varía el método de cálculo de la cuota en uno y otro impuesto, pues si en el impuesto municipal es fija, en el regional se configura en atención a la alta o media-baja radioactividad. Ahora bien, esta diferencia no permite negar que la modalidad del tributo autonómico prevista en el art. 2.1 c) invade la materia imponible del tributo local.</w:t>
      </w:r>
    </w:p>
    <w:p w:rsidR="0026452D" w:rsidRDefault="0026452D" w:rsidP="0026452D">
      <w:pPr>
        <w:pStyle w:val="TextoNormal"/>
      </w:pPr>
    </w:p>
    <w:p w:rsidR="0026452D" w:rsidRDefault="0026452D" w:rsidP="0026452D">
      <w:pPr>
        <w:pStyle w:val="TextoNormal"/>
      </w:pPr>
      <w:r>
        <w:t>En suma, concluye el Abogado del Estado, los gravámenes de las letras b) y c) del art. 2.1 de la Ley 16/2005, no gravan el efecto contaminante de la producción de energía eléctrica mediante centrales nucleares o del almacenamiento de residuos radioactivos, sino las actividades como tales, con independencia de que las centrales nucleares o los almacenes de residuos radioactivos contaminen más o menos, empleen unas u otras tecnologías con mayor o menor impacto ambiental, o inviertan poco o mucho en reducir el efecto nocivo de su actividad sobre el medio ambiente. Por esta razón, debe, a su juicio, estimarse la cuestión y declararse la inconstitucionalidad y nulidad de las letras b) y c) del art. 2.1 de la Ley 16/2005, de 29 de diciembre. Además, esta declaración de inconstitucionalidad debe alcanzar también —por obvia conexión— a los apartados 2 y 3 del mismo art. 2; a las letras b) y c) del art. 5; a las letras b) y c) del art. 8, y a las palabras “y de almacenamiento de residuos radiactivos” del párrafo segundo del apartado 2 del art. 11 de la misma norma legal.</w:t>
      </w:r>
    </w:p>
    <w:p w:rsidR="0026452D" w:rsidRDefault="0026452D" w:rsidP="0026452D">
      <w:pPr>
        <w:pStyle w:val="TextoNormal"/>
      </w:pPr>
    </w:p>
    <w:p w:rsidR="0026452D" w:rsidRDefault="0026452D" w:rsidP="0026452D">
      <w:pPr>
        <w:pStyle w:val="TextoNormal"/>
      </w:pPr>
      <w:r>
        <w:t>Por medio de otrosí, el Abogado del Estado solicitó la acumulación de la presente cuestión y de las registradas con los números 8556-2005, 8557-2005 y 1041-2006, dada la identidad de objeto y fundamento.</w:t>
      </w:r>
    </w:p>
    <w:p w:rsidR="0026452D" w:rsidRDefault="0026452D" w:rsidP="0026452D">
      <w:pPr>
        <w:pStyle w:val="TextoNormal"/>
      </w:pPr>
    </w:p>
    <w:p w:rsidR="0026452D" w:rsidRDefault="0026452D" w:rsidP="0026452D">
      <w:pPr>
        <w:pStyle w:val="TextoNormal"/>
      </w:pPr>
      <w:r w:rsidRPr="0026452D">
        <w:rPr>
          <w:rStyle w:val="NumeroAFNegritaCaracter"/>
        </w:rPr>
        <w:t>7</w:t>
      </w:r>
      <w:r>
        <w:t>. El Letrado de las Cortes de Castilla-La Mancha presentó un escrito en este Tribunal el día 10 de marzo de 2011, suplicando que se le tuviera por personado en el procedimiento y que se dictase Sentencia declarando conformes con la Constitución los arts. 1 a 15 de la Ley de Castilla-La Mancha 16/2005, de 29 de diciembre. Tras precisar los motivos por los que el auto de planteamiento considera que los preceptos cuestionados son inconstitucionales, efectúa una serie de consideraciones generales. En este sentido, señala, en primer lugar, que la LOFCA limita la capacidad de imponer tributos propios por parte de las Comunidades Autónomas a que estos no recaigan sobre “hechos imponibles” ya gravados por los tributos estatales (art. 6.2) y que no graven “materias imponibles” reservadas a las corporaciones locales (art. 6.3). Sin embargo, añade, según tiene afirmado el Tribunal Constitucional, el apartado 2 del art. 6 LOFCA no tiene por objeto impedir a las Comunidades Autónomas que establezcan tributos propios sobre objetos materiales o fuentes impositivas ya gravadas por el Estado, sino que lo que prohíbe es la duplicidad de hechos imponibles estrictamente (STC 37/1987). Si el art. 6.2 LOFCA prohíbe la duplicidad de hechos imponibles, admitir lo contrario con relación al art. 6.3 LOFCA haría imposible encontrar una “materia imponible” atribuida a las corporaciones locales que permitiese la tributación propia de las Comunidades Autónomas, pues es imposible imaginar cómo construir un hecho imponible que recaiga sobre una actividad económica no gravada por el impuesto sobre actividades económicas.</w:t>
      </w:r>
    </w:p>
    <w:p w:rsidR="0026452D" w:rsidRDefault="0026452D" w:rsidP="0026452D">
      <w:pPr>
        <w:pStyle w:val="TextoNormal"/>
      </w:pPr>
    </w:p>
    <w:p w:rsidR="0026452D" w:rsidRDefault="0026452D" w:rsidP="0026452D">
      <w:pPr>
        <w:pStyle w:val="TextoNormal"/>
      </w:pPr>
      <w:r>
        <w:lastRenderedPageBreak/>
        <w:t>Según apunta el Letrado de las Cortes de Castilla-La Mancha, para la Sala proponente de la cuestión, los hechos imponibles regulados por la ley autonómica coinciden con los previstos en el art. 78 del Real Decreto Legislativo 2/2004, por el que se aprueba el texto refundido de la Ley reguladora de las haciendas locales, que define el hecho imponible como “el mero ejercicio, en territorio nacional, de actividades empresariales, profesionales o artísticas”. Sin embargo, los hechos imponibles previstos por esa Ley 16/2005 están configurados de modo diverso por cuanto el impuesto autonómico grava claramente la contaminación y los riesgos ambientales.</w:t>
      </w:r>
    </w:p>
    <w:p w:rsidR="0026452D" w:rsidRDefault="0026452D" w:rsidP="0026452D">
      <w:pPr>
        <w:pStyle w:val="TextoNormal"/>
      </w:pPr>
    </w:p>
    <w:p w:rsidR="0026452D" w:rsidRDefault="0026452D" w:rsidP="0026452D">
      <w:pPr>
        <w:pStyle w:val="TextoNormal"/>
      </w:pPr>
      <w:r>
        <w:t>En efecto, por lo que respecta a la modalidad del impuesto contenida en el art. 2.1 b), “producción termonuclear de energía eléctrica”, si bien el impuesto sobre actividades económicas grava “el ejercicio de actividades potencialmente generadoras de ingresos económicos para quienes las realizan, ingresos que se miden en función del beneficio medio presunto” (STC 164/2004, FJ 8), el impuesto autonómico no grava la total energía que puedan producir las máquinas instaladas, que es precisamente el objeto de gravamen por el impuesto sobre actividades económicas, sino la concreta actividad contaminante, dado que su hecho imponible viene constituido, no por la potencia de las instalaciones productoras de energía de las centrales termonucleares, sino por la energía que realmente produzcan, que es lo que contamina y genera riesgo para el medio ambiente. En consecuencia, la base imponible del impuesto se calcula no sobre la total potencia instalada, que es lo que grava el impuesto municipal, sino sobre la producción bruta durante el periodo impositivo. Y la cuota del tributo autonómico se mide, no por kilovatio instalado, sino por kilovatio producido, por lo que, a menor producción, y, consiguientemente, a menor riesgo de contaminación, menor es la cuota a satisfacer. Por ello, la modalidad del gravamen autonómico analizada tiene carácter extrafiscal con una marcada finalidad medioambiental, pues grava la contaminación y los riesgos que para el medio ambiente originan las actividades que constituyen su objeto, sin que pueda apreciarse, pues, una coincidencia entre el hecho imponible fijado por este y el gravado por el impuesto de actividades económicas. Para el Letrado de la Cortes de Castilla-La Mancha no es de aplicación, por tanto, la doctrina de la STC 289/2000, invocada por el Auto de planteamiento, sino la de la STC 168/2004, pues de la regulación legal del gravamen se infiere su inmediata vinculación a la realización de una política pública sectorial, aquí la prevención de grandes riesgos, así como su afección a la financiación de un fin concreto, puesto que el producto íntegro del gravamen se destina a la constitución de un fondo de seguridad —en el caso de la Ley de Castilla-La-Mancha se afecta a los gastos de conservación y mejora del medio ambiente— que tiene por objeto la financiación de actividades de previsión, prevención, planificación, información y formación, etc. Consecuentemente, cabe afirmar que el legislador autonómico no ha creado una fuente de ingresos públicos con fines genéricamente fiscales, sino un tributo finalista encaminado a corresponsabilizar a los creadores de riesgos medioambientales.</w:t>
      </w:r>
    </w:p>
    <w:p w:rsidR="0026452D" w:rsidRDefault="0026452D" w:rsidP="0026452D">
      <w:pPr>
        <w:pStyle w:val="TextoNormal"/>
      </w:pPr>
    </w:p>
    <w:p w:rsidR="0026452D" w:rsidRDefault="0026452D" w:rsidP="0026452D">
      <w:pPr>
        <w:pStyle w:val="TextoNormal"/>
      </w:pPr>
      <w:r>
        <w:t>En conclusión, para el representante de las Cortes de Castilla-La Mancha, el gravamen cuestionado no es un tributo de carácter contributivo, sino que prima su vertiente retributiva, pues su exacción no depende del valor del bien o de la renta que potencialmente produzca, sino del riesgo que encierra, de su peligrosidad, medidos en términos de protección medioambiental, razón por la cual, la previsión contenida en el art. 2.1 b) de la Ley 16/2005 no resulta contraria al art. 6.3 LOFCA frente a lo afirmado en el auto de la Sala por la que se plantea la cuestión de constitucionalidad.</w:t>
      </w:r>
    </w:p>
    <w:p w:rsidR="0026452D" w:rsidRDefault="0026452D" w:rsidP="0026452D">
      <w:pPr>
        <w:pStyle w:val="TextoNormal"/>
      </w:pPr>
    </w:p>
    <w:p w:rsidR="0026452D" w:rsidRDefault="0026452D" w:rsidP="0026452D">
      <w:pPr>
        <w:pStyle w:val="TextoNormal"/>
      </w:pPr>
      <w:r>
        <w:lastRenderedPageBreak/>
        <w:t>Y las razones aducidas anteriormente, a juicio de ese Letrado, resultan igualmente aplicables a la modalidad del impuesto contenida en el art. 2.1 c), “almacenamiento de residuos radiactivos”. Las diferencias entre el impuesto sobre actividades económicas y la modalidad autonómica son claras dado que en el municipal lo gravado es la mera actividad industrial de almacenaje, estableciéndose una cuota fija que es independiente de la cantidad de residuos almacenados, aunque estos fueran cero, mientras que en el tributo autonómico se grava el riesgo y la posibilidad contaminante para el medio ambiente de los residuos, de manera que la cuota se determina “por la cantidad de residuos almacenados a la fecha de devengo del impuesto, expresada en kilogramos de uranio total que contienen si se trata de residuos de alta actividad, o en metros cúbicos de residuos almacenados si se trata de residuos de media y baja actividad” [art. 5 c) de la Ley]. Resulta evidente, pues, que en el impuesto autonómico lo gravado es el riesgo generado por el almacenamiento de residuos radiactivos ya que a mayor almacenamiento mayor riesgo y, en consecuencia, mayor será la base imponible del impuesto y así, a diferencia del impuesto municipal, aun existiendo almacén de residuos radiactivos, si éste se halla vacío no se tributará por el impuesto autonómico.</w:t>
      </w:r>
    </w:p>
    <w:p w:rsidR="0026452D" w:rsidRDefault="0026452D" w:rsidP="0026452D">
      <w:pPr>
        <w:pStyle w:val="TextoNormal"/>
      </w:pPr>
    </w:p>
    <w:p w:rsidR="0026452D" w:rsidRDefault="0026452D" w:rsidP="0026452D">
      <w:pPr>
        <w:pStyle w:val="TextoNormal"/>
      </w:pPr>
      <w:r>
        <w:t>Por todo ello, concluye el Letrado de las Cortes de Castilla-La Mancha, puede entenderse también aplicable a la previsión del art. 2.1 c) de la Ley 16/2005, de 29 de diciembre, del impuesto sobre determinadas actividades que inciden en el medio ambiente y del tipo autonómico del impuesto sobre las ventas minoristas de determinados hidrocarburos, la doctrina establecida por el Tribunal Constitucional en la precitada Sentencia 168/2004, y en consecuencia considerar que el precepto de la ley autonómica es conforme a la Constitución y al bloque de constitucionalidad.</w:t>
      </w:r>
    </w:p>
    <w:p w:rsidR="0026452D" w:rsidRDefault="0026452D" w:rsidP="0026452D">
      <w:pPr>
        <w:pStyle w:val="TextoNormal"/>
      </w:pPr>
    </w:p>
    <w:p w:rsidR="0026452D" w:rsidRDefault="0026452D" w:rsidP="0026452D">
      <w:pPr>
        <w:pStyle w:val="TextoNormal"/>
      </w:pPr>
      <w:r w:rsidRPr="0026452D">
        <w:rPr>
          <w:rStyle w:val="NumeroAFNegritaCaracter"/>
        </w:rPr>
        <w:t>8</w:t>
      </w:r>
      <w:r>
        <w:t>. El Letrado de la Junta de Comunidades de Castilla-La Mancha evacuó el trámite de alegaciones conferido mediante escrito registrado en este Tribunal el día 14 de marzo de 2011, interesando la desestimación de la cuestión de inconstitucionalidad planteada. Tras concretar la normativa aplicable, precisa que el órgano judicial ha realizado el juicio de relevancia de forma abstracta, mediante un mero contraste entre la ley cuestionada y los preceptos constitucionales invocados (señalando únicamente que la orden impugnada es desarrollo de la ley cuestionada, por lo que la eventual declaración de inconstitucionalidad del precepto del precepto legal concernido conllevará necesariamente la nulidad de la orden impugnada en el proceso contencioso-administrativo), razón por la cual, la cuestión debe ser inadmitida. Además, añade el Letrado citado, para realizar el juicio de relevancia resultaba imprescindible un pronunciamiento de la Sala de instancia sobre la causa de inadmisibilidad que invocó en el recurso contencioso-administrativo al amparo del art. 69 b) de la Ley reguladora de la jurisdicción contencioso-administrativa, en relación con el art. 45.2 d) de la misma Ley (relativa a la necesidad de justificar, por parte de la demandante, que la decisión de litigar fue adoptada por el órgano que según sus propias normas estatutarias tuviese atribuida la competencia para ello). Omitido palmariamente el citado requisito de acceso a la jurisdicción, la Sentencia finalizadora del proceso habrá de ser por fuerza de inadmisión por lo que la eventual tacha de inconstitucionalidad de la ley aplicable al caso carecería de toda relevancia.</w:t>
      </w:r>
    </w:p>
    <w:p w:rsidR="0026452D" w:rsidRDefault="0026452D" w:rsidP="0026452D">
      <w:pPr>
        <w:pStyle w:val="TextoNormal"/>
      </w:pPr>
    </w:p>
    <w:p w:rsidR="0026452D" w:rsidRDefault="0026452D" w:rsidP="0026452D">
      <w:pPr>
        <w:pStyle w:val="TextoNormal"/>
      </w:pPr>
      <w:r>
        <w:t xml:space="preserve">Subsidiariamente a lo anterior, entra el Letrado de la Junta de Comunidades de Castilla-La Mancha a analizar la presunta inconstitucionalidad de la Ley por afectar a la competencia del Estado definida en los apartados 13 (bases y coordinación de la planificación general de la actividad económica), 23 (legislación básica sobre protección del medio ambiente) y 25 </w:t>
      </w:r>
      <w:r>
        <w:lastRenderedPageBreak/>
        <w:t xml:space="preserve">(bases del régimen energético), todos ellos del art. 149.1 CE. La afección a la competencia medioambiental se justifica por la Sala de instancia en el carácter básico del Real Decreto 430/2004, de 12 de marzo, por el que se establecen nuevas normas sobre la limitación de emisiones a la atmósfera de determinados agentes contaminantes procedentes de grandes instalaciones de combustión, y se fijan ciertas condiciones para el control de las emisiones a la atmósfera de las refinerías de petróleo. Siendo esto así, la ley regional cuestionada no acomete ninguna invasión en la competencia estatal, toda vez que no sólo no contradice los límites derivados de la norma básica estatal, sino que, además, la Junta de Comunidades tiene asumida la competencia de desarrollo legislativo de las bases dictadas por el Estado en materia de protección del medio ambiente </w:t>
      </w:r>
      <w:r w:rsidRPr="0026452D">
        <w:rPr>
          <w:i/>
        </w:rPr>
        <w:t>ex</w:t>
      </w:r>
      <w:r>
        <w:t xml:space="preserve"> art. 32.7 de su Estatuto de Autonomía, incluyendo el dictado de normas adicionales de protección que prevé el propio art. 149.1.23 CE.</w:t>
      </w:r>
    </w:p>
    <w:p w:rsidR="0026452D" w:rsidRDefault="0026452D" w:rsidP="0026452D">
      <w:pPr>
        <w:pStyle w:val="TextoNormal"/>
      </w:pPr>
    </w:p>
    <w:p w:rsidR="0026452D" w:rsidRDefault="0026452D" w:rsidP="0026452D">
      <w:pPr>
        <w:pStyle w:val="TextoNormal"/>
      </w:pPr>
      <w:r>
        <w:t>La Ley 16/2005 tiene como fin, según el Letrado de la Junta, “frenar el deterioro del entorno natural”, al establecer una exacción que grava la contaminación y el riesgo que para el medio ambiente producen las actividades sujetas a la misma. De esa manera el impuesto, en su vertiente retributiva, contribuye a la consecución de los objetivos definidos por la legislación básica estatal en la materia, señaladamente por la Ley 34/2007, de 15 de noviembre, de calidad del aire y protección de la atmósfera. De esta manera, los efectos transfronterizos de la contaminación atmosférica a los que hace referencia la Sala proponente no justifican la prevalencia constitucional de las competencias del Estado en la materia sino, antes al contrario, que se encuentren compartidas entre todas las Administraciones territoriales implicadas.</w:t>
      </w:r>
    </w:p>
    <w:p w:rsidR="0026452D" w:rsidRDefault="0026452D" w:rsidP="0026452D">
      <w:pPr>
        <w:pStyle w:val="TextoNormal"/>
      </w:pPr>
    </w:p>
    <w:p w:rsidR="0026452D" w:rsidRDefault="0026452D" w:rsidP="0026452D">
      <w:pPr>
        <w:pStyle w:val="TextoNormal"/>
      </w:pPr>
      <w:r>
        <w:t>La Ley regional cuestionada, añade el Letrado de la Junta de Comunidades, sólo grava la contaminación generada por las actividades reseñadas en el art. 2.1 a) en focos emisores de las instalaciones cuya ubicación se encuentre en el territorio de Castilla-La Mancha, por el principio básico de que es la población más cercana a dichos focos de emisión de sustancias contaminantes la que soporta el mayor coste. Esto por lo que se refiere a la contaminación atmosférica, puesto que dicho efecto transfronterizo no cabe predicarlo de la contaminación y los riesgos generados en el medio ambiente que suponen las actividades de producción termonuclear de energía eléctrica [art. 2.1 b)] y del almacenamiento de residuos radiactivos [art. 2.1 c)], ya que dichas actividades afectan al medio ambiente en el territorio donde se encuentran ubicadas, que es donde contaminan y generan los riesgos mayores e inmediatos.</w:t>
      </w:r>
    </w:p>
    <w:p w:rsidR="0026452D" w:rsidRDefault="0026452D" w:rsidP="0026452D">
      <w:pPr>
        <w:pStyle w:val="TextoNormal"/>
      </w:pPr>
    </w:p>
    <w:p w:rsidR="0026452D" w:rsidRDefault="0026452D" w:rsidP="0026452D">
      <w:pPr>
        <w:pStyle w:val="TextoNormal"/>
      </w:pPr>
      <w:r>
        <w:t xml:space="preserve">Y en cuanto a la afección a las competencias reservadas al Estado por los subapartados 13 y 25 del art. 149.1 CE, destaca el Letrado de la Junta de Comunidades que el órgano judicial sólo razona sobre la competencia de las bases del régimen energético (subapartado 25), pero no sobre la materia de planificación económica. Por tanto, centrando el debate en torno a la competencia del subapartado 25, tampoco resulta invadida por el legislador autonómico habida cuenta de que el impuesto cuestionado ni organiza, ni dirige, ni ordena, ni incide directamente en el proceso de producción termonuclear de energía eléctrica o de almacenamiento de residuos radiactivos, sino tan sólo grava la repercusión contaminante de dichas actividades (en sentido parecido se pronunció la STC 168/2004, de 6 de octubre, cuyos fundamentos sirven para desmontar el reproche de inconstitucionalidad que nos ocupa). En contra de lo argumentado por la Sala, la emisión de gases a la atmósfera no se </w:t>
      </w:r>
      <w:r>
        <w:lastRenderedPageBreak/>
        <w:t>produce únicamente como consecuencia de la producción de energía eléctrica, ni se encuentra indisolublemente unida a ella, por lo que el gravamen autonómico sobre la emisión de gases no representa una indebida afección a la competencia estatal sobre las bases del régimen energético.</w:t>
      </w:r>
    </w:p>
    <w:p w:rsidR="0026452D" w:rsidRDefault="0026452D" w:rsidP="0026452D">
      <w:pPr>
        <w:pStyle w:val="TextoNormal"/>
      </w:pPr>
    </w:p>
    <w:p w:rsidR="0026452D" w:rsidRDefault="0026452D" w:rsidP="0026452D">
      <w:pPr>
        <w:pStyle w:val="TextoNormal"/>
      </w:pPr>
      <w:r>
        <w:t>Por otra parte, respecto de la presunta vulneración de lo dispuesto en los arts. 133.2 y 157.3 CE, y 6.2 y 3 LOFCA, comienza el Letrado de la Junta de Comunidades destacando que la Comunidad Autónoma de Castilla-La Mancha ostenta competencias de protección del medio ambiente y de los ecosistemas, en el marco de la legislación básica del Estado y, en su caso, en los términos que le atribuye el art. 32.7 del Estatuto de Autonomía. Y dentro de este marco, la Ley 16/2005 establece unos tributos extrafiscales con fines medioambientales (cuya posibilidad ha sido reconocida por las SSTC 37/1987, de 26 de marzo, y 186/1993, de 7 de junio), en los que el gravamen no es la mera titularidad de propiedades o de actividades empresariales, sino la realización de actividades que contaminan o generen riesgos contaminantes, vinculándose el rendimiento obtenido a gastos de conservación y mejora del medio ambiente (art. 1.2). Siendo, pues, su finalidad extrafiscal y protectora del medio ambiente, puede afirmarse que el impuesto autonómico grava efectivamente la actividad contaminante internalizando los costes que se derivan de actividades contaminantes o generadoras de riesgos para el entorno natural, al mismo tiempo que contribuye a frenar el deterioro medioambiental, por lo que es un impuesto respetuoso con el art. 6.3 LOFCA, que no se solapa ni con el impuesto especial sobre la electricidad, ni con el impuesto sobre actividades económicas.</w:t>
      </w:r>
    </w:p>
    <w:p w:rsidR="0026452D" w:rsidRDefault="0026452D" w:rsidP="0026452D">
      <w:pPr>
        <w:pStyle w:val="TextoNormal"/>
      </w:pPr>
    </w:p>
    <w:p w:rsidR="0026452D" w:rsidRDefault="0026452D" w:rsidP="0026452D">
      <w:pPr>
        <w:pStyle w:val="TextoNormal"/>
      </w:pPr>
      <w:r>
        <w:t>Comenzando por el impuesto sobre la electricidad, precisa el Letrado de la Junta de Comunidades que el órgano judicial proponente de la cuestión afirma que la actividad de emisión de gases gravada por la primera modalidad del impuesto no tiene entidad propia, sino que está vinculada a la actividad de producción de energía eléctrica en centrales térmicas. Sin embargo, señala a renglón seguido que ni la emisión de gases a la atmósfera se produce como consecuencia de la producción de energía eléctrica, ni se encuentra indisolublemente unida a ella. Es más, la propia Ley también grava afecciones al medio natural que provocan determinadas instalaciones que no son eléctricas, pues pueden ser objeto de gravamen cualquiera de las actividades potencialmente contaminantes incluidas en los grupos A o B del anexo del Real Decreto 100/2011,de 28 de enero, por el que se actualiza el catálogo de actividades potencialmente contaminadoras de la atmósfera; ello con independencia de que si su base imponible no supera los límites fijados en el primer tramo establecido para la aplicación de las cuotas y los tipos de gravamen del art. 8 a) de la Ley, les sea de aplicación el tipo de 0 euros por tonelada.</w:t>
      </w:r>
    </w:p>
    <w:p w:rsidR="0026452D" w:rsidRDefault="0026452D" w:rsidP="0026452D">
      <w:pPr>
        <w:pStyle w:val="TextoNormal"/>
      </w:pPr>
    </w:p>
    <w:p w:rsidR="0026452D" w:rsidRDefault="0026452D" w:rsidP="0026452D">
      <w:pPr>
        <w:pStyle w:val="TextoNormal"/>
      </w:pPr>
      <w:r>
        <w:t>Hecha la precisión que antecede, señala a continuación el Letrado de la Junta de Comunidades que en el impuesto especial sobre electricidad el hecho imponible se define inicialmente como la fabricación e importación de este producto dentro del ámbito territorial comunitario (art. 5 de la Ley 38/1992), tratándose de un impuesto cuya vocación es la de gravar de manera específica la cantidad de energía eléctrica suministrada, razón por la cual es imposible que la Ley 16/2005 cuestionada incurra en la doble imposición prohibida por el art. 6.3 LOFCA, tanto más cuando la Sala proponente de la cuestión si siquiera ha efectuado un análisis comparativo entre los elementos esenciales de ambos tributos para así poder concluirlo.</w:t>
      </w:r>
    </w:p>
    <w:p w:rsidR="0026452D" w:rsidRDefault="0026452D" w:rsidP="0026452D">
      <w:pPr>
        <w:pStyle w:val="TextoNormal"/>
      </w:pPr>
    </w:p>
    <w:p w:rsidR="0026452D" w:rsidRDefault="0026452D" w:rsidP="0026452D">
      <w:pPr>
        <w:pStyle w:val="TextoNormal"/>
      </w:pPr>
      <w:r>
        <w:lastRenderedPageBreak/>
        <w:t>Por otra parte, añade, los impuestos sobre bienes inmuebles y sobre actividades económicas gravan, respectivamente, la titularidad de derechos reales o concesionales sobre bienes inmuebles rústicos, urbanos o de características especiales (art. 61 del Real Decreto Legislativo 2/2001, de 5 de marzo), y el mero ejercicio, en territorio nacional, de actividades empresariales, profesionales o artísticas (art. 78). De esta manera, en palabras de la STC 168/2004, el objeto del impuesto sobre bienes inmuebles es la propiedad inmobiliaria, medida en función del valor catastral de los bienes, mientras que en el impuesto sobre actividades económicas lo es el ejercicio de actividades potencialmente generadoras de ingresos económicos para quienes las realizan, ingresos que se miden en función del beneficio medio presunto. Si la STC 289/2000 declaró inconstitucional el impuesto sobre instalaciones que inciden en el medio ambiente, creado por la Ley del Parlamento de las Islas Baleares 12/1991, de 20 de diciembre, lo fue porque dicho tributo no gravaba las actividades contaminantes sino la mera titularidad de elementos patrimoniales. En cambio, el impuesto medioambiental de la Ley 16/2005 de las Cortes de Castilla-La Mancha grava la actividad contaminante en las tres modalidades de su art. 2.1. Por decirlo con palabras del propio Tribunal Constitucional en la propia Sentencia antes citada (FJ 5), se vincula a la aptitud de cada sujeto para incidir en el medio ambiente. Prueba de ello es que la cuantía del tributo cuestionado se modula en función de la agresión al medio ambiente, al establecerse en atención a magnitudes directamente relacionadas con el impacto medioambiental, gravando, por ello, la actividad contaminante.</w:t>
      </w:r>
    </w:p>
    <w:p w:rsidR="0026452D" w:rsidRDefault="0026452D" w:rsidP="0026452D">
      <w:pPr>
        <w:pStyle w:val="TextoNormal"/>
      </w:pPr>
    </w:p>
    <w:p w:rsidR="0026452D" w:rsidRDefault="0026452D" w:rsidP="0026452D">
      <w:pPr>
        <w:pStyle w:val="TextoNormal"/>
      </w:pPr>
      <w:r>
        <w:t>A lo anterior cabe añadir, además, según el Letrado de la Junta de Comunidades, una circunstancia trascendental en el enjuiciamiento del tributo controvertido, cual es la nueva redacción del art. 6.3 LOFCA operada por la Ley Orgánica 3/2009, de 18 de diciembre, de manera que la diferencia entre materia imponible y hecho imponible reservado a los tributos locales hoy parece haber quedado superada.</w:t>
      </w:r>
    </w:p>
    <w:p w:rsidR="0026452D" w:rsidRDefault="0026452D" w:rsidP="0026452D">
      <w:pPr>
        <w:pStyle w:val="TextoNormal"/>
      </w:pPr>
    </w:p>
    <w:p w:rsidR="0026452D" w:rsidRDefault="0026452D" w:rsidP="0026452D">
      <w:pPr>
        <w:pStyle w:val="TextoNormal"/>
      </w:pPr>
      <w:r w:rsidRPr="0026452D">
        <w:rPr>
          <w:rStyle w:val="NumeroAFNegritaCaracter"/>
        </w:rPr>
        <w:t>9</w:t>
      </w:r>
      <w:r>
        <w:t>. El Fiscal General del Estado presentó su escrito de alegaciones en el Registro General de este Tribunal el día 18 de marzo de 2011 en el que, tras concretar los antecedentes en el planteamiento de la cuestión de inconstitucionalidad, fijar el contenido de la norma cuestionada y sintetizar los fundamentos del órgano judicial, entra a analizar tanto la naturaleza del impuesto sobre determinadas actividades que inciden en el medio ambiente regulado por la Ley 16/2005, de 29 de diciembre, como los pronunciamientos de este Tribunal Constitucional con relación a tributos autonómicos (concretamente los recogidos en la STC 37/1987, de 26 de marzo, con relación al impuesto andaluz sobre tierras infrautilizadas; en la STC 186/1993, de 7 de junio, respecto del impuesto extremeño sobre dehesas en deficiente aprovechamiento; en la STC 289/2000, de 30 de noviembre, con referencia al impuesto balear sobre instalaciones que afectan al medio ambiente; en la STC 168/2004, de 6 de octubre, relativo al impuesto catalán sobre protección civil; en el ATC 417/2005, de 22 de noviembre, en relación con el impuesto extremeño sobre suelo sin edificar y edificaciones ruinosas; en la STC 179/2006, de 13 de junio, respecto del impuesto extremeño sobre las instalaciones de producción y transporte de energía que incida en el medio ambiente; y en el ATC 456/2007, de 12 de diciembre, referente al impuesto andaluz sobre el depósito de residuos radiactivos).</w:t>
      </w:r>
    </w:p>
    <w:p w:rsidR="0026452D" w:rsidRDefault="0026452D" w:rsidP="0026452D">
      <w:pPr>
        <w:pStyle w:val="TextoNormal"/>
      </w:pPr>
    </w:p>
    <w:p w:rsidR="0026452D" w:rsidRDefault="0026452D" w:rsidP="0026452D">
      <w:pPr>
        <w:pStyle w:val="TextoNormal"/>
      </w:pPr>
      <w:r>
        <w:t>Una vez hechas las precisiones que anteceden, pasa el Fiscal General del Estado a considerar los motivos de inconstitucionalidad planteados por el órgano judicial:</w:t>
      </w:r>
    </w:p>
    <w:p w:rsidR="0026452D" w:rsidRDefault="0026452D" w:rsidP="0026452D">
      <w:pPr>
        <w:pStyle w:val="TextoNormal"/>
      </w:pPr>
    </w:p>
    <w:p w:rsidR="0026452D" w:rsidRDefault="0026452D" w:rsidP="0026452D">
      <w:pPr>
        <w:pStyle w:val="TextoNormal"/>
      </w:pPr>
      <w:r>
        <w:lastRenderedPageBreak/>
        <w:t>a) Con relación a la posible inconstitucionalidad de la Ley 16/2005 por afectar a las competencias estatales definidas en los arts. 149.1.23 CE (legislación básica sobre protección del medio ambiente), 149.1.25 (bases del régimen energético) y 149.1.13 (bases y coordinación de la planificación general de la actividad económica), considera el Fiscal General del Estado que la cuestión debe ser rechazada al no existir contradicción alguna entre la doctrina de la STC 168/2004 y la doctrina de las SSTC 289/2000 y 179/2006, en la medida que se trata de supuestos diferentes y que el órgano judicial no ha formulado consideración de ninguna clase acerca del problema competencial, salvo una mera alusión genérica a la posible afectación por la ley autonómica de las competencias estatales citadas, lo que debe conducir necesariamente a la desestimación de este primer motivo de inconstitucionalidad. Dicho esto, añade que, en cualquier caso, las Comunidades Autónomas, en virtud de su autonomía financiera para el desarrollo y ejecución de las competencias que, de acuerdo con la Constitución, les atribuyan las leyes y sus respectivos Estatutos, pueden establecer impuestos (arts. 157.1 CE, y 4 y 5 LOFCA) con carácter extrafiscal (STC 37/1987, de 26 de marzo, FJ 13), sobre materias sobre las que tengan competencias asumidas, como sucede con las competencias en materia de protección del medio ambiente (art. 37.2 de su Estatuto de Autonomía) y como así ha reconocido el Tribunal Constitucional (SSTC 289/2000, 168/2004 y 179/2006; y ATC 456/2007).</w:t>
      </w:r>
    </w:p>
    <w:p w:rsidR="0026452D" w:rsidRDefault="0026452D" w:rsidP="0026452D">
      <w:pPr>
        <w:pStyle w:val="TextoNormal"/>
      </w:pPr>
    </w:p>
    <w:p w:rsidR="0026452D" w:rsidRDefault="0026452D" w:rsidP="0026452D">
      <w:pPr>
        <w:pStyle w:val="TextoNormal"/>
      </w:pPr>
      <w:r>
        <w:t>b) Respecto de la naturaleza extrafiscal del tributo cuestionado, para verificar la legitimidad constitucional del tributo cuestionado considera el Fiscal General del Estado que debe analizarse tanto la vinculación de la potestad tributaria autonómica a la existencia de una competencia sobre la materia, como la vinculación del impuesto a una finalidad disuasoria respecto de la actividad sobre la que recae. Pues bien, respecto de la primera cuestión, aunque la Comunidad Autónoma de Castilla-La Mancha sólo tiene, conforme a su norma estatutaria, competencia de desarrollo legislativo y ejecución, debiendo prevalecer la competencia estatal tanto por el principio de unidad de mercado en el ámbito de producción de energía eléctrica (arts. 149.1.13 CE y 149.1.25 CE) como por los efectos transfronterizos y no limitados al ámbito autonómico de las emisiones de gases, sin embargo, la actuación de la Comunidad Autónoma se ampara en sus competencias de protección del medio ambiente (art. 37.2 del Estatuto de Autonomía) y en su autonomía financiera para establecer y exigir sus propios tributos (art. 42.1 del Estatuto de Autonomía), sin que una examen de la estructura del impuesto controvertido permita apreciar que se vulnera el límite previsto en el art. 157.2 CE, pues el impuesto se articula dentro del ámbito espacial de la potestad autonómica, al referirse objetiva y subjetivamente a las instalaciones sitas en la Comunidad Autónoma.</w:t>
      </w:r>
    </w:p>
    <w:p w:rsidR="0026452D" w:rsidRDefault="0026452D" w:rsidP="0026452D">
      <w:pPr>
        <w:pStyle w:val="TextoNormal"/>
      </w:pPr>
    </w:p>
    <w:p w:rsidR="0026452D" w:rsidRDefault="0026452D" w:rsidP="0026452D">
      <w:pPr>
        <w:pStyle w:val="TextoNormal"/>
      </w:pPr>
      <w:r>
        <w:t xml:space="preserve">Respecto de la segunda cuestión (la vinculación a una finalidad disuasoria respecto de la actividad sobre la que recae), considera el Fiscal General del Estado que un análisis de la estructura del impuesto controvertido permite llegar a la conclusión de que tiene una evidente finalidad medioambiental pues no sólo se pretende frenar el deterioro del entorno natural sino que se refuerza la finalidad medioambiental afectando la totalidad del rendimiento a la financiación de los gastos de conservación y mejora del medio ambiente. En efecto, se establecen exenciones para las actividades de almacenamiento de residuos radiactivos vinculados exclusivamente a actividades médicas o científicas y para las actividades de producción de energía eléctrica incluidas en el régimen especial regulado en la Ley 54/1997, de 27 de noviembre, del sector eléctrico, inscritas en el correspondiente registro administrativo; se favorece a las instalaciones que dispongan de sistemas de medida y registro en continuo de las sustancias de que se trata conectados con los centros de control </w:t>
      </w:r>
      <w:r>
        <w:lastRenderedPageBreak/>
        <w:t>gestionados por la Junta de Comunidades de Castilla-La Mancha; se gradúan los tipos de gravamen en función de la actividad contaminante; y, en fin, se establecen determinadas deducciones en función del rendimiento de los analizadores automáticos. De esta manera, aunque quizá la Ley no pueda, por sí sola, dar lugar a la producción de la misma energía eléctrica que se venía produciendo pero con menores emisiones de gases a la atmósfera por no existir mejora técnica disponible, sí puede favorecer mediante exenciones la producción de energía eléctrica en instalaciones destinadas a la generación de las denominadas energías alternativas, o favorecer a las instalaciones que dispongan de sistemas de medida y registro en continuo de las sustancias de que se trata conectados con los centros de control gestionados por la Junta de Comunidades de Castilla-La Mancha, o intervenir activamente en la conservación y mejora del medio ambiente con el rendimiento mismo del tributo.</w:t>
      </w:r>
    </w:p>
    <w:p w:rsidR="0026452D" w:rsidRDefault="0026452D" w:rsidP="0026452D">
      <w:pPr>
        <w:pStyle w:val="TextoNormal"/>
      </w:pPr>
    </w:p>
    <w:p w:rsidR="0026452D" w:rsidRDefault="0026452D" w:rsidP="0026452D">
      <w:pPr>
        <w:pStyle w:val="TextoNormal"/>
      </w:pPr>
      <w:r>
        <w:t>c) Con relación a los hechos imponibles establecidos en la Ley autonómica 16/2005, señala el Fiscal General del Estado que, la primera modalidad del impuesto grava las emisiones de determinados gases producidas en centrales térmicas [art. 2.1 a)], no vulnera ni el art. 6.2 LOFCA (por su eventual solapamiento con el impuesto sobre la electricidad) ni el art. 6.3 LOFCA (por incidir en la misma materia imponible que la gravada por el impuesto sobre actividades económicas, por el concepto de “producción de energía termoeléctrica”). Y no vulnera el art. 6.2 LOFCA porque los hechos imponibles del tributo estatal y del autonómico son distintos: en el primero, la producción de energía eléctrica, con independencia de las emisiones que como consecuencia de esa producción se emitan; en el segundo, la emisión de gases contaminantes (de determinados gases contaminantes: sólo dióxido de azufre, dióxido de nitrógeno o cualquier otro compuesto oxigenado del azufre o del nitrógeno). Y tampoco vulnera el art. 6.3 LOFCA porque la materia imponible gravada por el impuesto local y el autonómico son diferentes: en el primero, la materia imponible es una fuente de riqueza, a saber, el ejercicio de actividades potencialmente generadoras de ingresos económicos para quienes las realizan, ingresos que se miden en función del beneficio medio presunto (STC 168/2004, de 6 de octubre, FJ 8), mientras que en el segundo lo es tanto la contaminación efectiva como la potencial, esto es, la contaminación y los riesgos que en el medio ambiente son ocasionados por la realización en el territorio de Castilla-La Mancha de cualquiera de las actividades contaminantes y, concretamente, la emisión a la atmósfera de dióxido de azufre o nitrógeno. En consecuencia, el carácter finalista del tributo autonómico se materializa en unos términos que pueden reputarse respetuosos con la prohibición de doble imposición establecida en el arto 6.3 LOFCA.</w:t>
      </w:r>
    </w:p>
    <w:p w:rsidR="0026452D" w:rsidRDefault="0026452D" w:rsidP="0026452D">
      <w:pPr>
        <w:pStyle w:val="TextoNormal"/>
      </w:pPr>
    </w:p>
    <w:p w:rsidR="0026452D" w:rsidRDefault="0026452D" w:rsidP="0026452D">
      <w:pPr>
        <w:pStyle w:val="TextoNormal"/>
      </w:pPr>
      <w:r>
        <w:t xml:space="preserve">La segunda modalidad del impuesto somete a tributación la producción termonuclear de energía eléctrica [art. 2.1 b)], o lo que es lo mismo, la actividad económica consistente en crear energía eléctrica mediante una central nuclear, gravándose la producción bruta expresada en megavatios/hora, mientras que el impuesto de actividades económicas grava el mero ejercicio de la actividad de producción de eléctrica mediante una central nuclear, estableciéndose una cuota por cada kilovatio de potencia. Pues bien, la comparación de la estructura de ambos impuestos y de los elementos que los definen permite afirmar, una vez más, que el tributo autonómico tiene un carácter finalista que le impide afectar a la prohibición de doble imposición establecida en el art. 6.3 LOFCA, en primer lugar, porque el objeto no coincide con el del impuesto municipal, puesto que el tributo autonómico no somete a tributación la capacidad económica derivada del ejercicio de una actividad económica sino el ejercicio de una actividad contaminante de indudable peligrosidad para el medio ambiente, gravándose la actividad no porque pueda generar rentas para quienes las realicen sino en </w:t>
      </w:r>
      <w:r>
        <w:lastRenderedPageBreak/>
        <w:t>tanto en cuanto representa un peligro para el medio ambiente. Y, en segundo lugar, porque el tributo autonómico está vinculado a la realización de una política pública sectorial como es la protección del medio ambiente, razón por la cual se destina a sufragar los gastos de conservación y mejora del medio ambiente.</w:t>
      </w:r>
    </w:p>
    <w:p w:rsidR="0026452D" w:rsidRDefault="0026452D" w:rsidP="0026452D">
      <w:pPr>
        <w:pStyle w:val="TextoNormal"/>
      </w:pPr>
    </w:p>
    <w:p w:rsidR="0026452D" w:rsidRDefault="0026452D" w:rsidP="0026452D">
      <w:pPr>
        <w:pStyle w:val="TextoNormal"/>
      </w:pPr>
      <w:r>
        <w:t>La tercera modalidad del impuesto, a saber, el almacenamiento de residuos radioactivos [art. 2.1 c)], grava la cantidad de los residuos almacenados, expresada en kilogramos de uranio que contienen si se trata de residuos de alta actividad, o en metros cúbicos de residuos almacenados si se trata de residuos de media y baja actividad. Sin embargo, el impuesto sobre actividades económicas grava el almacenamiento de residuos radioactivos a cuota única. Una vez más, el tributo autonómico no somete a tributación una simple fuente de riqueza al tener una verdadera finalidad medioambiental. No es, pues, un tributo de carácter contributivo, al primar su vertiente retributiva en la medida que su exacción depende del riesgo que encierra el depósito para el medio ambiente. Por tanto, tampoco en este supuesto se ha producido la vulneración de la prohibición de doble imposición contenida en el arto 6.3 LOFCA.</w:t>
      </w:r>
    </w:p>
    <w:p w:rsidR="0026452D" w:rsidRDefault="0026452D" w:rsidP="0026452D">
      <w:pPr>
        <w:pStyle w:val="TextoNormal"/>
      </w:pPr>
    </w:p>
    <w:p w:rsidR="0026452D" w:rsidRDefault="0026452D" w:rsidP="0026452D">
      <w:pPr>
        <w:pStyle w:val="TextoNormal"/>
      </w:pPr>
      <w:r w:rsidRPr="0026452D">
        <w:rPr>
          <w:rStyle w:val="NumeroAFNegritaCaracter"/>
        </w:rPr>
        <w:t>10</w:t>
      </w:r>
      <w:r>
        <w:t>. Con fecha de 21 de noviembre de 2012, doña María Concepción Villaescusa Sanz, Procuradora de los Tribunales, actuando en nombre de la Asociación Española de la Industria Eléctrica, presentó un escrito en el Registro General de este Tribunal suplicando se la tuviese por personada en tiempo y forma en nombre y representación de la citada asociación.</w:t>
      </w:r>
    </w:p>
    <w:p w:rsidR="0026452D" w:rsidRDefault="0026452D" w:rsidP="0026452D">
      <w:pPr>
        <w:pStyle w:val="TextoNormal"/>
      </w:pPr>
    </w:p>
    <w:p w:rsidR="0026452D" w:rsidRDefault="0026452D" w:rsidP="0026452D">
      <w:pPr>
        <w:pStyle w:val="TextoNormal"/>
      </w:pPr>
      <w:r w:rsidRPr="0026452D">
        <w:rPr>
          <w:rStyle w:val="NumeroAFNegritaCaracter"/>
        </w:rPr>
        <w:t>11</w:t>
      </w:r>
      <w:r>
        <w:t xml:space="preserve">. Por medio de escrito con fecha de 22 de noviembre de 2012, don Pascual Sala Sánchez, Presidente del Tribunal Constitucional, comunicaba al Pleno del Tribunal su intención de abstenerse de intervenir en el presente proceso constitucional, de conformidad con el art. 219.2 LOPJ, por existir parentesco de consanguinidad con la dirección letrada de una de las partes en el proceso </w:t>
      </w:r>
      <w:r w:rsidRPr="0026452D">
        <w:rPr>
          <w:i/>
        </w:rPr>
        <w:t>a quo</w:t>
      </w:r>
      <w:r>
        <w:t>.</w:t>
      </w:r>
    </w:p>
    <w:p w:rsidR="0026452D" w:rsidRDefault="0026452D" w:rsidP="0026452D">
      <w:pPr>
        <w:pStyle w:val="TextoNormal"/>
      </w:pPr>
    </w:p>
    <w:p w:rsidR="0026452D" w:rsidRDefault="0026452D" w:rsidP="0026452D">
      <w:pPr>
        <w:pStyle w:val="TextoNormal"/>
      </w:pPr>
      <w:r w:rsidRPr="0026452D">
        <w:rPr>
          <w:rStyle w:val="NumeroAFNegritaCaracter"/>
        </w:rPr>
        <w:t>12</w:t>
      </w:r>
      <w:r>
        <w:t>. Por ATC 263/2012, de 11 de diciembre, el Pleno del Tribunal acuerda estimar la causa de abstención formulada por don Pascual Sala Sánchez en la presente cuestión de inconstitucionalidad, apartándole definitivamente de conocimiento de la misma. Y por providencia con la misma fecha, el Pleno del Tribunal acuerda unir a las actuaciones el escrito presentado el día 21 de diciembre de 2012 por doña María Concepción Villaescusa Sanz, Procuradora de los Tribunales, actuando en nombre de la Asociación Española de la Industria Eléctrica, no teniéndola por personada en el presente procedimiento al haber transcurrido en exceso el plazo de quince días desde la publicación en el “BOE” (de 26 de febrero de 2011) de la admisión a trámite de la presente cuestión de inconstitucionalidad (art. 37.2 LOTC).</w:t>
      </w:r>
    </w:p>
    <w:p w:rsidR="0026452D" w:rsidRDefault="0026452D" w:rsidP="0026452D">
      <w:pPr>
        <w:pStyle w:val="TextoNormal"/>
      </w:pPr>
    </w:p>
    <w:p w:rsidR="0026452D" w:rsidRDefault="0026452D" w:rsidP="0026452D">
      <w:pPr>
        <w:pStyle w:val="TextoNormal"/>
      </w:pPr>
      <w:r w:rsidRPr="0026452D">
        <w:rPr>
          <w:rStyle w:val="NumeroAFNegritaCaracter"/>
        </w:rPr>
        <w:t>13</w:t>
      </w:r>
      <w:r>
        <w:t>. Por providencia de 12 de marzo de 2013 se señaló para deliberación y fallo de la presente Sentencia el día 13 de marzo de 2013.</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La Sección Segunda de la Sala de lo Contencioso-Administrativo del Tribunal Superior de Justicia de Castilla-La Mancha —sede de Albacete— plantea cuestión de inconstitucionalidad respecto de los arts. 1 a 15 de la Ley de las Cortes de Castilla-La Mancha 16/2005, de 29 de diciembre, del impuesto sobre determinadas actividades que inciden en el medio ambiente y del tipo autonómico del impuesto sobre las ventas minoristas de determinados hidrocarburos, por posible vulneración de los arts. 133.2, 149.1.13, 23 y 25, y 157.3, todos ellos de la Constitución, y 6.2 y 3 de la Ley Orgánica 8/1980, de 22 de septiembre, de financiación de las Comunidades Autónomas (en lo sucesivo, LOFCA).</w:t>
      </w:r>
    </w:p>
    <w:p w:rsidR="0026452D" w:rsidRDefault="0026452D" w:rsidP="0026452D">
      <w:pPr>
        <w:pStyle w:val="TextoNormal"/>
      </w:pPr>
    </w:p>
    <w:p w:rsidR="0026452D" w:rsidRDefault="0026452D" w:rsidP="0026452D">
      <w:pPr>
        <w:pStyle w:val="TextoNormal"/>
      </w:pPr>
      <w:r>
        <w:t>Antes de entrar a analizar la cuestión de fondo planteada es necesario realizar una serie de precisiones.</w:t>
      </w:r>
    </w:p>
    <w:p w:rsidR="0026452D" w:rsidRDefault="0026452D" w:rsidP="0026452D">
      <w:pPr>
        <w:pStyle w:val="TextoNormal"/>
      </w:pPr>
    </w:p>
    <w:p w:rsidR="0026452D" w:rsidRDefault="0026452D" w:rsidP="0026452D">
      <w:pPr>
        <w:pStyle w:val="TextoNormal"/>
      </w:pPr>
      <w:r>
        <w:t xml:space="preserve">a) Lo primero que debe señalarse es que el canon de constitucionalidad aplicable a las normas de las Comunidades Autónomas es “el que se contiene en sus respectivos Estatutos de Autonomía y en las leyes estatales que, dentro del marco constitucional, se hubieran dictado para delimitar las competencias entre el Estado y las Comunidades Autónomas y, por supuesto, en las reglas y principios constitucionales aplicables a todos los poderes públicos que conforman el Estado en sentido amplio y, evidentemente, en las reglas y principios constitucionales específicamente dirigidos a las Comunidades Autónomas” [SSTC 7/2010, de 27 de abril, FJ 4; 74/2011, de 19 de mayo, FJ 3; y 196/2012, de 31 de octubre, FJ 1 c)]. Y entre esas leyes delimitadoras de las competencias entre el Estado y las Comunidades Autónomas se encuentra la LOFCA [STC 181/1988, de 13 de octubre, FJ 7], cuyo art. 6, junto con determinados preceptos constitucionales, constituye en el presente caso el canon de constitucionalidad del impuesto cuestionado [SSTC 289/2000, de 30 de noviembre, FJ 2; 179/2006, de 13 de junio, FJ 2; y 196/2012, de 31 de octubre, FJ 1 c); y ATC 456/2007, de 12 de diciembre, FJ 4]. La circunstancia de que ese art. 6 LOFCA haya sido modificado por la Ley Orgánica 3/2009, de 18 de diciembre, no afecta al juicio de constitucionalidad que hemos de efectuar sobre los preceptos impugnados, pues se conectan con su aplicación a un concreto proceso en el que el órgano judicial proponente de la cuestión ha de resolver sobre la pretensión ejercitada a la luz de la normativa vigente y aplicable en el concreto momento en el que se suscitó el proceso </w:t>
      </w:r>
      <w:r w:rsidRPr="0026452D">
        <w:rPr>
          <w:i/>
        </w:rPr>
        <w:t>a quo</w:t>
      </w:r>
      <w:r>
        <w:t>, razón por la cual, la reforma introducida por esa Ley Orgánica 3/2009 no puede ser de aplicación a situaciones anteriores a su entrada en vigor [STC 196/2012, de 31 de octubre, FJ 1 c)].</w:t>
      </w:r>
    </w:p>
    <w:p w:rsidR="0026452D" w:rsidRDefault="0026452D" w:rsidP="0026452D">
      <w:pPr>
        <w:pStyle w:val="TextoNormal"/>
      </w:pPr>
    </w:p>
    <w:p w:rsidR="0026452D" w:rsidRDefault="0026452D" w:rsidP="0026452D">
      <w:pPr>
        <w:pStyle w:val="TextoNormal"/>
      </w:pPr>
      <w:r>
        <w:t>b) El Letrado de la Junta de Comunidades de Castilla-La Mancha cuestiona el juicio de relevancia realizado por el órgano judicial, al considerar que se ha hecho de forma abstracta, mediante un mero contraste entre la ley cuestionada y los preceptos constitucionales invocados, razón por la cual, a su juicio, la cuestión debería ser inadmitida. Para dar respuesta a este óbice de procedibilidad debemos recordar que el juicio de relevancia, entendido como el esquema argumental dirigido a probar que el fallo del proceso judicial depende de la validez de la norma cuestionada, constituye uno de los requisitos esenciales de toda cuestión de inconstitucionalidad, por cuanto a su través se garantiza el control concreto de la constitucionalidad de la ley, impidiendo que el órgano judicial convierta dicho control en abstracto, al carecer de legitimación para ello (SSTC 84/2012, de 18 de abril, FJ 2; y 146/2012, de 5 de julio, FJ 3).</w:t>
      </w:r>
    </w:p>
    <w:p w:rsidR="0026452D" w:rsidRDefault="0026452D" w:rsidP="0026452D">
      <w:pPr>
        <w:pStyle w:val="TextoNormal"/>
      </w:pPr>
    </w:p>
    <w:p w:rsidR="0026452D" w:rsidRDefault="0026452D" w:rsidP="0026452D">
      <w:pPr>
        <w:pStyle w:val="TextoNormal"/>
      </w:pPr>
      <w:r>
        <w:lastRenderedPageBreak/>
        <w:t xml:space="preserve">Es a los Jueces y Tribunales ordinarios que plantean las cuestiones de inconstitucionalidad a los que corresponde comprobar y exteriorizar, </w:t>
      </w:r>
      <w:r w:rsidRPr="0026452D">
        <w:rPr>
          <w:i/>
        </w:rPr>
        <w:t>prima facie</w:t>
      </w:r>
      <w:r>
        <w:t>,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(SSTC 87/2012, de 18 de abril, FJ 2; y 146/2012, de 54 de julio, FJ 3).</w:t>
      </w:r>
    </w:p>
    <w:p w:rsidR="0026452D" w:rsidRDefault="0026452D" w:rsidP="0026452D">
      <w:pPr>
        <w:pStyle w:val="TextoNormal"/>
      </w:pPr>
    </w:p>
    <w:p w:rsidR="0026452D" w:rsidRDefault="0026452D" w:rsidP="0026452D">
      <w:pPr>
        <w:pStyle w:val="TextoNormal"/>
      </w:pPr>
      <w:r>
        <w:t xml:space="preserve">Pues bien, aunque no le falta razón al Letrado de la Junta de Comunidades de Castilla-La Mancha sobre la deficiente exteriorización del juicio de relevancia que se hace depender exclusivamente del juicio de constitucionalidad, lo cierto es que el objeto del proceso contencioso-administrativo en el seno del cual se plantea la presente cuestión de inconstitucionalidad es la Orden de 15 de marzo de 2006, de la Consejería de Economía y Hacienda, por la que se aprueban los modelos 701 y 702 de autoliquidación del impuesto sobre determinadas actividades que inciden en el medio ambiente y se dictan normas para su presentación, orden que, como señala el órgano proponente, se dicta en desarrollo de la Ley 16/2005, de 29 de diciembre (concretamente, al amparo de lo previsto en su art. 11.5). Esta orden es recurrida tanto por vicios de tramitación como por ser el desarrollo de una norma legal que se considera inconstitucional (por falta de competencia para dictarla y por incidir en los límites previstos en la LOFCA), por lo que no es difícil advertir la relevancia del juicio de constitucionalidad solicitado para el fallo al que se llegue en el proceso judicial </w:t>
      </w:r>
      <w:r w:rsidRPr="0026452D">
        <w:rPr>
          <w:i/>
        </w:rPr>
        <w:t>a quo</w:t>
      </w:r>
      <w:r>
        <w:t xml:space="preserve">. Dicho de otra manera, existe una clara interdependencia entre pretensión procesal, proceso y resolución judicial (SSTC 174/1998, de 23 de julio, FJ 2; y 146/2012, de 5 de julio, FJ 4), resultando notorio, en consecuencia, el nexo causal entre la validez de la norma legal cuestionada y la decisión a adoptar (SSTC 96/2008, de 24 de julio, FJ 2; y 100/2012, de 8 de mayo, FJ 2), al existir “una relación lógica entre la eventual anulación de la disposición legal cuestionada y la satisfacción de la pretensión ejercitada en el proceso </w:t>
      </w:r>
      <w:r w:rsidRPr="0026452D">
        <w:rPr>
          <w:i/>
        </w:rPr>
        <w:t>a quo</w:t>
      </w:r>
      <w:r>
        <w:t>” (SSTC 3/2012, de 13 de enero, FJ 3; y 4/2012, de 13 de enero, FJ 3). Debe rechazarse, en consecuencia, el óbice opuesto por el Letrado de la Junta de Comunidades de Castilla-La Mancha.</w:t>
      </w:r>
    </w:p>
    <w:p w:rsidR="0026452D" w:rsidRDefault="0026452D" w:rsidP="0026452D">
      <w:pPr>
        <w:pStyle w:val="TextoNormal"/>
      </w:pPr>
    </w:p>
    <w:p w:rsidR="0026452D" w:rsidRDefault="0026452D" w:rsidP="0026452D">
      <w:pPr>
        <w:pStyle w:val="TextoNormal"/>
      </w:pPr>
      <w:r>
        <w:t>c) También plantea el Letrado de la Junta de Comunidades de Castilla-La Mancha que para realizar el juicio de relevancia resultaba imprescindible un pronunciamiento de la Sala de instancia sobre la causa de inadmisibilidad invocada en el recurso contencioso-administrativo al amparo del art. 69 b) de la Ley 29/1998, de 13 de julio, de reguladora de la jurisdicción contencioso-administrativa, en relación con el art. 45.2 d) de la misma Ley (relativa a la necesidad de justificar, por parte de la demandante, que la decisión de litigar fue adoptada por el órgano que según sus propias normas estatutarias tenía atribuida la competencia para ello). Sin embargo, la Sala de instancia ha omitido el cumplimiento del citado requisito, por lo que, a juicio del Letrado de la Junta de Comunidades, la Sentencia que se dicte en el proceso judicial habrá de ser por fuerza de inadmisión, de manera que la eventual tacha de inconstitucionalidad de la ley aplicable al caso carecería de toda relevancia.</w:t>
      </w:r>
    </w:p>
    <w:p w:rsidR="0026452D" w:rsidRDefault="0026452D" w:rsidP="0026452D">
      <w:pPr>
        <w:pStyle w:val="TextoNormal"/>
      </w:pPr>
    </w:p>
    <w:p w:rsidR="0026452D" w:rsidRDefault="0026452D" w:rsidP="0026452D">
      <w:pPr>
        <w:pStyle w:val="TextoNormal"/>
      </w:pPr>
      <w:r>
        <w:t xml:space="preserve">Tampoco esta causa puede prosperar. Baste decir a estos efectos que, como hemos señalado en diversas ocasiones, el control del juicio de relevancia que corresponde efectuar a </w:t>
      </w:r>
      <w:r>
        <w:lastRenderedPageBreak/>
        <w:t>este Tribunal no puede extenderse al examen del proceso mismo en que la cuestión se plantea ni al de los presupuestos procesales que le sirven de base, pues, por esa vía indirecta, se estaría resolviendo un problema de legalidad ordinaria —en este caso, la admisión o inadmisión a trámite del recurso contencioso-administrativo en cuyo seno se plantea la cuestión— para lo que este Tribunal carece de jurisdicción y de competencia [por todas STC 27/2012, de 1 de marzo, FJ 2 b)].</w:t>
      </w:r>
    </w:p>
    <w:p w:rsidR="0026452D" w:rsidRDefault="0026452D" w:rsidP="0026452D">
      <w:pPr>
        <w:pStyle w:val="TextoNormal"/>
      </w:pPr>
    </w:p>
    <w:p w:rsidR="0026452D" w:rsidRDefault="0026452D" w:rsidP="0026452D">
      <w:pPr>
        <w:pStyle w:val="TextoNormal"/>
      </w:pPr>
      <w:r w:rsidRPr="0026452D">
        <w:rPr>
          <w:rStyle w:val="NumeroAFNegritaCaracter"/>
        </w:rPr>
        <w:t>2</w:t>
      </w:r>
      <w:r>
        <w:t>. La Ley de las Cortes de Castilla-La Mancha 16/2005, de 29 de diciembre, del impuesto sobre determinadas actividades que inciden en el medio ambiente y del tipo autonómico del impuesto sobre las ventas minoristas de determinados hidrocarburos, sustituye y deroga a la Ley de las Cortes de Castilla-La Mancha 11/2000, de 26 de diciembre, del impuesto sobre determinadas actividades que inciden en el medio ambiente, habiendo sido declarados inconstitucionales algunos de los preceptos de esta última norma legal en la STC 196/2012, de 31 de octubre, en los términos a los que más adelante se hará referencia. Una y otra disposición legal establecen tres gravámenes, según se señala en el art. 2 de ambas normas, sobre la contaminación y los riesgos que ocasiona en el medio ambiente la realización de tres tipos de actividades: a) las actividades cuyas instalaciones emiten a la atmósfera dióxido de azufre, dióxido de nitrógeno o cualquier otro compuesto oxigenado del azufre o del nitrógeno; b) las actividades de producción termonuclear de energía eléctrica y c) las actividades de almacenamiento de residuos radiactivos.</w:t>
      </w:r>
    </w:p>
    <w:p w:rsidR="0026452D" w:rsidRDefault="0026452D" w:rsidP="0026452D">
      <w:pPr>
        <w:pStyle w:val="TextoNormal"/>
      </w:pPr>
    </w:p>
    <w:p w:rsidR="0026452D" w:rsidRDefault="0026452D" w:rsidP="0026452D">
      <w:pPr>
        <w:pStyle w:val="TextoNormal"/>
      </w:pPr>
      <w:r>
        <w:t>Imputa la Sección Segunda de la Sala de lo Contencioso-Administrativo del Tribunal Superior de Justicia de Castilla-La Mancha al citado impuesto autonómico, en primer lugar, la vulneración de las competencias del Estado previstas en los apartados 13 (bases y coordinación de la planificación general de la actividad económica), 23 (legislación básica sobre protección del medio ambiente) y 25 (bases del régimen energético) del art. 149.1 CE, por considerar que no cumple con las condiciones impuestas por la jurisprudencia del Tribunal Constitucional para aceptar la legitimidad de los tributos extrafiscales, pues aun cuando el impuesto autonómico incida sobre el título competencial de la Comunidad Autónoma relativo al “medio ambiente” (art. 15 del Estatuto de Autonomía), debe prevalecer la competencia estatal que garantice la unidad de mercado en el ámbito de la producción de energía eléctrica (art. 149.1.13, 23 y 25 CE), tanto más cuando el impuesto autonómico no tiene una verdadera finalidad extrafiscal sino meramente recaudatoria.</w:t>
      </w:r>
    </w:p>
    <w:p w:rsidR="0026452D" w:rsidRDefault="0026452D" w:rsidP="0026452D">
      <w:pPr>
        <w:pStyle w:val="TextoNormal"/>
      </w:pPr>
    </w:p>
    <w:p w:rsidR="0026452D" w:rsidRDefault="0026452D" w:rsidP="0026452D">
      <w:pPr>
        <w:pStyle w:val="TextoNormal"/>
      </w:pPr>
      <w:r>
        <w:t xml:space="preserve">No comparten esa opinión el Abogado del Estado, el Letrado de la Junta de Comunidades de Castilla-La Mancha, ni el Fiscal General del Estado, para quienes no sólo no se aprecia que los preceptos cuestionados violen el orden constitucional de competencias, pues no existe impedimento alguno del legislador básico para gravar las actividades de producción de energía eléctrica con fines de protección medioambiental, sino que la Junta de Comunidades tiene asumida la competencia de desarrollo legislativo de las bases dictadas por el Estado en materia de protección del medio ambiente </w:t>
      </w:r>
      <w:r w:rsidRPr="0026452D">
        <w:rPr>
          <w:i/>
        </w:rPr>
        <w:t>ex</w:t>
      </w:r>
      <w:r>
        <w:t xml:space="preserve"> art. 32.7 de su Estatuto de Autonomía.</w:t>
      </w:r>
    </w:p>
    <w:p w:rsidR="0026452D" w:rsidRDefault="0026452D" w:rsidP="0026452D">
      <w:pPr>
        <w:pStyle w:val="TextoNormal"/>
      </w:pPr>
    </w:p>
    <w:p w:rsidR="0026452D" w:rsidRDefault="0026452D" w:rsidP="0026452D">
      <w:pPr>
        <w:pStyle w:val="TextoNormal"/>
      </w:pPr>
      <w:r>
        <w:t xml:space="preserve">Debe precisarse, en primer lugar, que a los efectos que ahora nos ocupan no es relevante entrar a concretar si el impuesto controvertido tiene o no la finalidad protectora del medio ambiente que la norma cuestionada le atribuye, sino únicamente si la Comunidad Autónoma tiene o no competencia para establecer impuestos en materia medioambiental y energética. Y debe descartarse ya, en segundo lugar, la vulneración por la norma autonómica del art. </w:t>
      </w:r>
      <w:r>
        <w:lastRenderedPageBreak/>
        <w:t>149.1.13 CE, porque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la carga no se atiende, existe una falta de diligencia procesalmente exigible (SSTC 233/1999, de 16 de diciembre, FJ 2; 245/2004, de 16 de diciembre, FJ 3; y 100/2012, de 8 de mayo, FJ 2). En el presente supuesto, la Sección Segunda de la Sala de lo Contencioso-Administrativo del Tribunal Superior de Justicia de Castilla-La Mancha ha incumplido la carga de argumentar su duda, poniendo a disposición de este Tribunal las eventuales razones por las que consideraba que la norma legal cuestionada invadía la competencia estatal prevista en el art. 149.1.13 CE. Debe rechazarse, en consecuencia, la vulneración del art. 149.1.13 CE por la Ley 16/2005, de 29 de diciembre.</w:t>
      </w:r>
    </w:p>
    <w:p w:rsidR="0026452D" w:rsidRDefault="0026452D" w:rsidP="0026452D">
      <w:pPr>
        <w:pStyle w:val="TextoNormal"/>
      </w:pPr>
    </w:p>
    <w:p w:rsidR="0026452D" w:rsidRDefault="0026452D" w:rsidP="0026452D">
      <w:pPr>
        <w:pStyle w:val="TextoNormal"/>
      </w:pPr>
      <w:r>
        <w:t>Dicho lo que antecede conviene recordar que la Constitución reconoce a las Comunidades Autónomas “autonomía financiera para el desarrollo y ejecución de sus competencias” (art. 156.1 CE), competencias “que, de acuerdo con la Constitución, les atribuyan las Leyes y sus respetivos Estatutos” (art. 1.1 LOFCA). Y para garantizar esa “autonomía financiera” la Norma Fundamental les asigna una serie de recursos financieros que están constituidos, entre otros, por sus “propios impuestos, tasas y contribuciones especiales” [art. 157.1 b) CE], y les habilita para “establecer y exigir tributos de acuerdo con la Constitución y las leyes” (art. 133.2 CE). Por su parte, el art. 44 de la Ley Orgánica 9/1982, de 10 de agosto, del Estatuto de Autonomía de Castilla-La Mancha (en lo sucesivo, EACM), dispone que la hacienda de la Comunidad se constituye con “[l]os rendimientos de sus propios impuestos” (apartado 1).</w:t>
      </w:r>
    </w:p>
    <w:p w:rsidR="0026452D" w:rsidRDefault="0026452D" w:rsidP="0026452D">
      <w:pPr>
        <w:pStyle w:val="TextoNormal"/>
      </w:pPr>
    </w:p>
    <w:p w:rsidR="0026452D" w:rsidRDefault="0026452D" w:rsidP="0026452D">
      <w:pPr>
        <w:pStyle w:val="TextoNormal"/>
      </w:pPr>
      <w:r>
        <w:t xml:space="preserve">Lo anterior supone que las Comunidades Autónomas, en virtud de su autonomía financiera constitucionalmente garantizada (art. 156.1 CE), son titulares de determinadas competencias financieras (STC 13/2007, de 18 de enero, FJ 7), entre las que se encuentra la potestad de establecer tributos, bien como una fuente de ingresos, esto es, como una manera de allegarles medios económicos para satisfacer sus necesidades financieras, fin fiscal; bien como instrumento al servicio de políticas sectoriales distintas de la puramente recaudatoria, fin extrafiscal (SSTC 37/1987, de 26 de marzo, FJ 13; 197/1992, de 19 de noviembre, FJ 6; 186/1993, de 7 de junio, FJ 4; 194/2000, de 19 de julio, FJ 7; 276/2000, de 16 de noviembre, FJ 4; 179/2006, de 13 de junio, FJ 3; y 122/2012, de 5 de junio, FJ 4). Competencias financieras que no sólo deben ser ejercidas dentro del marco y límites establecidos por el Estado en el ejercicio de su potestad originaria </w:t>
      </w:r>
      <w:r w:rsidRPr="0026452D">
        <w:rPr>
          <w:i/>
        </w:rPr>
        <w:t>ex</w:t>
      </w:r>
      <w:r>
        <w:t xml:space="preserve"> arts. 133.1, 149.1.14 y 157.3 CE [SSTC 13/2007, de 18 de enero, FJ 7; 31/2010, de 28 de junio, FJ 130; 19/2012, de 15 de febrero, FJ 3 b); 32/2012, de 15 de marzo, FJ 6; y 100/2012, de 8 de mayo, FJ 7], sino también “dentro del marco de competencias asumidas” (SSTC 37/1987, de 26 de marzo, FJ 13; 164/1995, de 13 de noviembre, FJ 4; y 179/2006, de 13 de junio, FJ 3).</w:t>
      </w:r>
    </w:p>
    <w:p w:rsidR="0026452D" w:rsidRDefault="0026452D" w:rsidP="0026452D">
      <w:pPr>
        <w:pStyle w:val="TextoNormal"/>
      </w:pPr>
    </w:p>
    <w:p w:rsidR="0026452D" w:rsidRDefault="0026452D" w:rsidP="0026452D">
      <w:pPr>
        <w:pStyle w:val="TextoNormal"/>
      </w:pPr>
      <w:r>
        <w:t xml:space="preserve">Desde un punto de vista general, el art. 45 CE establece el deber de “todos” de conservar el medio ambiente (apartado 1), obligando a los poderes públicos a “defender y restaurar el medio ambiente” (apartado 2). Más concretamente, el art. 149.1 CE atribuye al Estado, como competencia exclusiva, tanto la “legislación básica sobre protección del medio ambiente, sin perjuicio de las facultades de las Comunidades Autónomas de establecer normas adicionales de protección” (23), como las bases del régimen energético (25). Por su parte, el art. 32 EACM atribuye a la Junta de Comunidades “[e]n el marco de la legislación básica </w:t>
      </w:r>
      <w:r>
        <w:lastRenderedPageBreak/>
        <w:t>del Estado y, en su caso, en los términos que la misma establezca” la competencia para “el desarrollo legislativo y la ejecución” de “[n]ormas adicionales de protección” del medio ambiente (apartado 7) y de “régimen energético” (apartado 8).</w:t>
      </w:r>
    </w:p>
    <w:p w:rsidR="0026452D" w:rsidRDefault="0026452D" w:rsidP="0026452D">
      <w:pPr>
        <w:pStyle w:val="TextoNormal"/>
      </w:pPr>
    </w:p>
    <w:p w:rsidR="0026452D" w:rsidRDefault="0026452D" w:rsidP="0026452D">
      <w:pPr>
        <w:pStyle w:val="TextoNormal"/>
      </w:pPr>
      <w:r>
        <w:t>Cuando la Constitución precisa que el Estado tiene competencia exclusiva para la legislación básica sobre protección del medio ambiente “sin perjuicio de las facultades de las Comunidades Autónomas de establecer normas adicionales de protección”, con ello no está excluyendo “la posibilidad de que las Comunidades Autónomas puedan desarrollar también, mediante normas legales o reglamentarias, la legislación estatal, cuando específicamente sus Estatutos les hayan atribuido esta competencia” (STC 149/1991, de 4 de julio, FJ 1). Por otra parte, el hecho de que la protección del medio ambiente sea una materia de titularidad estatal no significa que todas las competencias que se ejerzan sobre esa materia hayan de corresponder también al Estado y, en particular, cuando de lo que se trata es de regular su régimen económico-financiero, en cuyo caso “resulta decisivo atender a lo que establecen las normas reguladoras de la financiación autonómica” (STC 227/1988, de 29 de noviembre, FJ 28, en relación con el dominio público hidráulico).</w:t>
      </w:r>
    </w:p>
    <w:p w:rsidR="0026452D" w:rsidRDefault="0026452D" w:rsidP="0026452D">
      <w:pPr>
        <w:pStyle w:val="TextoNormal"/>
      </w:pPr>
    </w:p>
    <w:p w:rsidR="0026452D" w:rsidRDefault="0026452D" w:rsidP="0026452D">
      <w:pPr>
        <w:pStyle w:val="TextoNormal"/>
      </w:pPr>
      <w:r>
        <w:t>A lo anterior hay que añadir con relación al régimen enérgico —pero sin que ello impida que pueda extenderse al régimen de protección adicional de medio ambiente— que la Ley 54/1997, de 27 de noviembre, del sector eléctrico (norma básica), no ha establecido prohibición o limitación alguna al establecimiento de tributos autonómicos que tomen como materia imponible la protección del medio ambiente o el régimen energético. Antes al contrario, la citada norma legal prevé su eventual existencia como sucede con los arts. 17.4 y 18.5 (tanto en la redacción dada por la Ley 17/2007, de 4 de julio, como en la modificación operada por el Real Decreto-ley 20/2012, de 13 de julio), que recogen expresamente la posibilidad de establecer suplementos territoriales para el caso de las actividades o instalaciones eléctricas fueran gravadas “con tributos de carácter autonómico o local”. A este respecto hay que subrayar que, como hemos señalado en la STC 168/2004, de 6 de octubre (en recurso de inconstitucionalidad sobre la Ley del Parlamento de Cataluña 4/1997, de 20 de mayo, de protección civil de Cataluña), el examen de los anteriores preceptos “pone de manifiesto que el legislador básico estatal asume con absoluta normalidad la existencia de tributos locales y autonómicos que, siempre desde el respeto a los principios proclamados en los arts. 6.2 y 3 LOFCA, recaigan sobre las energías eléctrica y gasista” (FJ 11). Y como hemos tenido la oportunidad de señalar en la STC 148/2011, de 28 de septiembre (en recurso de inconstitucionalidad contra la Ley de Castilla-La Mancha 6/1999, de 15 de abril, de protección de la calidad del suministro eléctrico), con relación al régimen económico del sector eléctrico y, concretamente, respecto de la posibilidad de incluir un suplemento territorial en el peaje de acceso a las redes para el caso de que “las actividades eléctricas fueran gravadas con tributos de carácter autonómico o local”, no se puede desconocer “la realidad de un Estado descentralizado territorialmente en el que, por imperativo de lo dispuesto en la Constitución y en los Estatutos de Autonomía, las Comunidades Autónomas han asumido competencias en esta materia”, de manera que, puesto “que nos hallamos aquí en un ámbito de competencia compartida entre el Estado y las Comunidades Autónomas”, ello implica “que ha de existir un margen para el desarrollo por éstas de actuaciones y políticas propias en materia de calidad del suministro eléctrico, margen propio que viene, además, expresamente reconocido en la Ley del sector eléctrico” (FJ 5).</w:t>
      </w:r>
    </w:p>
    <w:p w:rsidR="0026452D" w:rsidRDefault="0026452D" w:rsidP="0026452D">
      <w:pPr>
        <w:pStyle w:val="TextoNormal"/>
      </w:pPr>
    </w:p>
    <w:p w:rsidR="0026452D" w:rsidRDefault="0026452D" w:rsidP="0026452D">
      <w:pPr>
        <w:pStyle w:val="TextoNormal"/>
      </w:pPr>
      <w:r>
        <w:lastRenderedPageBreak/>
        <w:t>Resulta, entonces, que de las normas que integran el bloque de la constitucionalidad se aprecia que la Comunidad Autónoma de Castilla-La Mancha no sólo tiene la competencia material para dictar, en el marco de la legislación básica del Estado, normas de desarrollo legislativo y ejecución en materia de protección del medio ambiente y de régimen energético, sino que tiene también la competencia financiera para adoptar esas medidas en forma de tributos (fiscales o extrafiscales), dentro del marco y límites establecidos por la normativa del Estado y, concretamente, por la LOFCA. Por tanto, si la Constitución atribuye a las Comunidades Autónomas las posibilidad de establecer tributos propios [arts. 133.2 y 157.1 b) CE y 44 EACM], “desde el respeto a los principios proclamados en los arts. 6.2 y 3 LOFCA” (STC 168/2004, de 6 de octubre, FJ 11) y dentro del marco de sus competencias (arts. 156.1 CE y 1.1 LOFCA), y resulta que la Comunidad Autónoma de Castilla-La Mancha ha asumido, en virtud de su norma estatutaria, competencias en materia de protección del medio ambiente y de régimen energético (art. 32.7 y 8 EACM), el establecimiento de un impuesto sobre determinadas actividades que inciden en el medio ambiente no puede declararse contrario al orden constitucional de competencias. Debe rechazarse, en consecuencia, esta primera duda de inconstitucionalidad planteada por el órgano judicial.</w:t>
      </w:r>
    </w:p>
    <w:p w:rsidR="0026452D" w:rsidRDefault="0026452D" w:rsidP="0026452D">
      <w:pPr>
        <w:pStyle w:val="TextoNormal"/>
      </w:pPr>
    </w:p>
    <w:p w:rsidR="0026452D" w:rsidRDefault="0026452D" w:rsidP="0026452D">
      <w:pPr>
        <w:pStyle w:val="TextoNormal"/>
      </w:pPr>
      <w:r w:rsidRPr="0026452D">
        <w:rPr>
          <w:rStyle w:val="NumeroAFNegritaCaracter"/>
        </w:rPr>
        <w:t>3</w:t>
      </w:r>
      <w:r>
        <w:t>. Una vez descartado que el impuesto sobre determinadas actividades que inciden en el medio ambiente contradiga el orden constitucional de competencias, corresponde entrar a analizar si, como señala el órgano judicial, incide en algunas de las prohibiciones previstas en el art. 6 LOFCA. A tal fin, conviene subrayar que la Constitución, al establecer el sistema de recursos al que pueden acceder las Comunidades Autónomas cita, entre otros, “sus propios impuestos, tasas y contribuciones especiales” [art. 157.1 b) CE], debiendo regularse mediante ley orgánica el ejercicio de esas competencias financieras (art. 157.3 CE). Fruto de esta habilitación, la LOFCA, en su art. 6, en la redacción vigente al momento de aprobarse la norma cuestionada, ha condicionado el ejercicio de la potestad tributaria de las Comunidades Autónomas en materia de tributos propios a dos límites ineludibles, los cuales inciden de forma importante en su capacidad para establecer un sistema de tributos propio como consecuencia de la ocupación de la riqueza gravable tanto por los tributos estatales como por los locales (SSTC 289/2000, de 30 de noviembre, FJ 4; y 196/2012, de 31 de octubre, FJ 2). Concretamente, los tributos que establezcan las Comunidades Autónomas en el ejercicio de la competencia que, en materia tributaria, deriva del juego de los arts. 133.2 y 157.1 CE, no podrán ni “recaer sobre hechos imponibles gravados por el Estado” (art. 6.2 LOFCA), ni “establecer y gestionar tributos sobre las materias que la legislación de régimen local reserv[ase] a las corporaciones locales”, salvo “en los supuestos” en que dicha legislación lo previese y “en los términos” que la misma estableciera (art. 6.3 LOFCA).</w:t>
      </w:r>
    </w:p>
    <w:p w:rsidR="0026452D" w:rsidRDefault="0026452D" w:rsidP="0026452D">
      <w:pPr>
        <w:pStyle w:val="TextoNormal"/>
      </w:pPr>
    </w:p>
    <w:p w:rsidR="0026452D" w:rsidRDefault="0026452D" w:rsidP="0026452D">
      <w:pPr>
        <w:pStyle w:val="TextoNormal"/>
      </w:pPr>
      <w:r>
        <w:t xml:space="preserve">De acuerdo con lo antecede, hemos de recordar que “el hecho imponible es un concepto estrictamente jurídico que, en atención a determinadas circunstancias, la Ley fija en cada caso para configurar cada tributo y cuya realización origina el nacimiento de la obligación tributaria” (SSTC 37/1987, de 26 de marzo, FJ 14; 186/1993, de 7 de junio, FJ 4; 289/2000, de 30 de noviembre, FJ 4; y 122/2012, de 5 de junio, FJ 3). Por el contrario, la expresión “materia reservada” la hemos interpretado como sinónimo de “materia imponible u objeto del tributo” (SSTC 37/1987, de 26 de marzo, FJ 14, 289/2000, de 30 de noviembre, FJ 4; y 168/2004, de 5 de octubre, FJ 6), debiendo entenderse como toda fuente de riqueza, renta o cualquier otro elemento de la actividad económica que el legislador decida someter a imposición, de manera que en relación con una misma materia impositiva el legislador puede </w:t>
      </w:r>
      <w:r>
        <w:lastRenderedPageBreak/>
        <w:t>seleccionar distintas circunstancias que den lugar a otros tantos hechos imponibles, determinantes a su vez de figuras tributarias diferentes (STC 289/2000, de 30 de noviembre, FJ 4; y en el mismo sentido, SSTC 168/2004, de 5 de octubre, FJ 6; 179/2006, de 13 de junio, FJ 4; y 122/2012, de 5 de junio, FJ 3).</w:t>
      </w:r>
    </w:p>
    <w:p w:rsidR="0026452D" w:rsidRDefault="0026452D" w:rsidP="0026452D">
      <w:pPr>
        <w:pStyle w:val="TextoNormal"/>
      </w:pPr>
    </w:p>
    <w:p w:rsidR="0026452D" w:rsidRDefault="0026452D" w:rsidP="0026452D">
      <w:pPr>
        <w:pStyle w:val="TextoNormal"/>
      </w:pPr>
      <w:r>
        <w:t>Pues bien, el límite previsto en el art. 6.2 LOFCA “no tiene por objeto impedir a las Comunidades Autónomas que establezcan tributos propios sobre objetos materiales o fuentes impositivas ya gravadas por el Estado, porque, habida cuenta de que la realidad económica en sus diferentes manifestaciones está toda ella virtualmente cubierta por tributos estatales, ello conduciría … a negar en la práctica la posibilidad de que se creen, al menos, por el momento, nuevos impuestos autonómicos” [SSTC 37/1987, de 26 de marzo, FJ 14], de manera que “la prohibición de doble imposición en él contenida atiende al presupuesto adoptado como hecho imponible y no a la realidad o materia imponible que le sirve de base” (STC 289/2000, de 30 de noviembre, FJ 4; 179/2006, de 13 de junio, FJ 4; 122/2012, de 5 de junio, FJ 3; y 197/2012, de 6 de noviembre, FJ 7), prohibiendo “la duplicidad de hechos imponibles, estrictamente” [SSTC 37/1987, de 26 de marzo, FJ 14; 186/1993, de 7 de junio, FJ 4.c); 289/2000, de 30 de noviembre, FJ 4; 179/2006, de 13 de junio, FJ 4; y 210/2012, de 14 de noviembre, FJ 4].</w:t>
      </w:r>
    </w:p>
    <w:p w:rsidR="0026452D" w:rsidRDefault="0026452D" w:rsidP="0026452D">
      <w:pPr>
        <w:pStyle w:val="TextoNormal"/>
      </w:pPr>
    </w:p>
    <w:p w:rsidR="0026452D" w:rsidRDefault="0026452D" w:rsidP="0026452D">
      <w:pPr>
        <w:pStyle w:val="TextoNormal"/>
      </w:pPr>
      <w:r>
        <w:t>Por el contrario, el límite previsto en el art. 6.3 LOFCA “reconduce la prohibición de duplicidad impositiva a la materia imponible efectivamente gravada por el tributo en cuestión, con independencia del modo en que se articule por el legislador el hecho imponible” (SSTC 289/2000, de 30 de noviembre, FJ 4; 179/2006, de 13 de junio, FJ 4; 122/2012, de 5 de junio, FJ 3; y 197/2012, de 6 de noviembre, FJ 7), por lo que “resulta vedado cualquier solapamiento, sin habilitación legal previa, entre la fuente de riqueza gravada por un tributo local y por un nuevo tributo autonómico” (SSTC 289/2000, de 30 de noviembre, FJ 4; 164/2004, de 6 de octubre, FJ 6; y 179/2006, de 13 de junio, FJ 4).</w:t>
      </w:r>
    </w:p>
    <w:p w:rsidR="0026452D" w:rsidRDefault="0026452D" w:rsidP="0026452D">
      <w:pPr>
        <w:pStyle w:val="TextoNormal"/>
      </w:pPr>
    </w:p>
    <w:p w:rsidR="0026452D" w:rsidRDefault="0026452D" w:rsidP="0026452D">
      <w:pPr>
        <w:pStyle w:val="TextoNormal"/>
      </w:pPr>
      <w:r>
        <w:t>Ahora bien, para analizar si una Comunidad Autónoma ha sobrepasado en el ejercicio de sus competencias en materia tributaria los límites que le impone el art. 6 LOFCA y, por tanto, para determinar si ha incurrido en una doble imposición contraria a dicho precepto orgánico, ya lo sea con relación a los hechos imponibles gravados por el Estado, ya lo sea respecto de las materias imponibles reservadas a las corporaciones locales, el examen de los tributos que se reputan coincidentes no puede ceñirse a la mera comparación de la definición legal de sus hechos imponibles, debiendo abarcar también los restantes elementos del tributo que se encuentran conectados con el hecho imponible, tales como los supuestos de no sujeción o exención, los sujetos pasivos, la base imponible, los elementos de determinación de la deuda tributaria y, en fin, la posible concurrencia de una finalidad extrafiscal reflejada, no en el preámbulo de la norma reguladora, sino en la propia estructura del impuesto (SSTC 122/2012, de 5 de junio, FJ 4; y 210/2012, de 14 de noviembre, FJ 4).</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Hechas las precisiones que anteceden, ya estamos en disposición de señalar que la Ley de las Cortes de Castilla-La Mancha 16/2005, de 29 de diciembre, del impuesto sobre determinadas actividades que inciden en el medio ambiente, según señala su exposición de motivos, establece y regula un impuesto con el que se pretende “por una parte, introducir un elemento disuasorio con el que contribuir a frenar el deterioro del medio ambiente al hacer más onerosa la práctica de actividades contaminantes, y por otra, obtener los recursos necesarios para compensar a los ciudadanos de una parte de los costes que soportan como </w:t>
      </w:r>
      <w:r>
        <w:lastRenderedPageBreak/>
        <w:t>consecuencia de dichas actividades” (párrafo segundo). Para ello configura como objeto y finalidad del tributo el gravamen de “la contaminación y los riesgos que sobre el medio ambiente ocasiona la realización de determinadas actividades, con el fin de contribuir a compensar a la sociedad el coste que soportar y a frenar el deterioro del entorno natural” (art. 1.1), afectando el rendimiento derivado del mismo “a gastos de conservación y mejora del medio ambiente en la forma que establezca la Ley de Presupuestos Generales” (art. 1.2). De esta manera, el hecho imponible del impuesto lo constituye “la contaminación y los riesgos que en el medio ambiente” ocasiona la realización de cualquiera de la siguientes actividades: “[a]ctividades cuyas instalaciones emiten a la atmósfera dióxido de azufre, dióxido de nitrógeno o cualquier otro compuesto oxigenado del azufre o del nitrógeno” [art. 2.1 a)]; “[p]roducción termonuclear de energía eléctrica” [art. 2.1 b)]; y el “[a]lmacenamiento de residuos radiactivos” [art. 2.1 c)].</w:t>
      </w:r>
    </w:p>
    <w:p w:rsidR="0026452D" w:rsidRDefault="0026452D" w:rsidP="0026452D">
      <w:pPr>
        <w:pStyle w:val="TextoNormal"/>
      </w:pPr>
    </w:p>
    <w:p w:rsidR="0026452D" w:rsidRDefault="0026452D" w:rsidP="0026452D">
      <w:pPr>
        <w:pStyle w:val="TextoNormal"/>
      </w:pPr>
      <w:r>
        <w:t>Considera a este respecto la Sección Segunda de la Sala de lo Contencioso-Administrativo del Tribunal Superior de Justicia de Castilla-La Mancha que la primera modalidad, a saber, la regulada en la letra a) del art. 2.1 de la Ley 16/2005 relativa al gravamen de las “[a]ctividades cuyas instalaciones emiten a la atmósfera dióxido de azufre, dióxido de nitrógeno o cualquier otro compuesto oxigenado del azufre o del nitrógeno”, lejos de gravar las emisiones de determinados gases producidas en centrales térmicas lo que verdaderamente está sometiendo a tributación es la producción de energía eléctrica, incurriendo, bien en una duplicidad de hechos imponibles con el impuesto sobre la electricidad contraria al art. 6.2 LOFCA, bien en el gravamen de la materia imponible del impuesto sobre actividades económicas con violación del art. 6.3 LOFCA. No comparten esta opinión el Abogado del Estado, ni el Fiscal General del Estado, ni, en fin, el Letrado de la Junta de Comunidades de Castilla-La Mancha, para quienes el tributo autonómico grava la realización de actividades que contaminan mediante la emisión de gases, vinculándose el rendimiento obtenido a gastos de conservación y mejora del medio ambiente (art. 1.2 de la Ley 16/2005, de 29 de diciembre), pero sin colisionar ni con impuesto sobre la electricidad, que somete a tributación la producción de energía eléctrica (art. 64 de la Ley 38/1992, de 28 de diciembre), ni con el impuesto sobre actividades económicas, que grava el mero ejercicio de actividades empresariales, en función de su beneficio medio presunto (art. 78.1 del Real Decreto Legislativo 2/2004, de 5 de marzo).</w:t>
      </w:r>
    </w:p>
    <w:p w:rsidR="0026452D" w:rsidRDefault="0026452D" w:rsidP="0026452D">
      <w:pPr>
        <w:pStyle w:val="TextoNormal"/>
      </w:pPr>
    </w:p>
    <w:p w:rsidR="0026452D" w:rsidRDefault="0026452D" w:rsidP="0026452D">
      <w:pPr>
        <w:pStyle w:val="TextoNormal"/>
      </w:pPr>
      <w:r>
        <w:t>El impuesto sobre determinadas actividades que inciden en el medio ambiente, en su modalidad de gravamen sobre las “[a]ctividades cuyas instalaciones emiten a la atmósfera dióxido de azufre, dióxido de nitrógeno o cualquier otro compuesto oxigenado del azufre o del nitrógeno” [art. 2.1 a)], somete a tributación el número de toneladas de “compuestos oxigenados del azufre o del nitrógeno” emitidos a la atmósfera [art. 5 a)], en la persona que realiza la actividad emisora (art. 4.1), a razón de un tipo por tonelada [art. 8 a)], cuyo resultado es luego minorado entre un 2 y un 7 por 100 en función del rendimiento de los analizadores automáticos (art. 9). Por su parte, el impuesto especial sobre la electricidad, regulado por la Ley 38/1992, de 28 de diciembre, de impuesto especiales, se califica como un impuesto especial de fabricación (art. 2.4), que tiene por hecho imponible tanto “la fabricación e importación” (art. 5.1) como la “adquisición intracomunitaria” (art. 64.Sexies) del producto objeto de dicho impuesto, a saber, “la energía eléctrica clasificada en el código NC 2716” (art. 64).</w:t>
      </w:r>
    </w:p>
    <w:p w:rsidR="0026452D" w:rsidRDefault="0026452D" w:rsidP="0026452D">
      <w:pPr>
        <w:pStyle w:val="TextoNormal"/>
      </w:pPr>
    </w:p>
    <w:p w:rsidR="0026452D" w:rsidRDefault="0026452D" w:rsidP="0026452D">
      <w:pPr>
        <w:pStyle w:val="TextoNormal"/>
      </w:pPr>
      <w:r>
        <w:lastRenderedPageBreak/>
        <w:t>La comparación de una y otra modalidad impositiva permite afirmar que estamos en presencia de tributos con hechos imponibles diferentes, sin el que el hecho de concurrir a gravar determinadas circunstancias de una misma actividad les haga incidir en la prohibición prevista en el art. 6.2 LOFCA, pues si el primero grava la emisión a la atmósfera de gases contaminantes, ajustando la tributación al volumen de esa emisión, el segundo somete a tributación la producción, adquisición intracomunitaria o importación de energía eléctrica, y lo hace en función de la energía suministrada. De esta manera, si el presupuesto adoptado como hecho imponible en un impuesto es la “fabricación, adquisición intracomunitaria o importación” de energía eléctrica, en el otro es la “emisión” de gases a la atmósfera como consecuencia del ejercicio de determinadas actividades, aunque entre éstas se encuentren las de fabricación de energía eléctrica. Y no desdice esta conclusión el hecho de que la emisión de gases sometida a tributación se produzca principalmente como consecuencia de las actividades de producción de energía eléctrica, pues ello no implica en modo alguno una concurrencia en el hecho imponible u objeto del tributo sino, única y exclusivamente, el gravamen de una misma actividad desde perspectivas diferentes en función de los diferentes hechos o circunstancias concurrentes, o de las distintas consecuencias que de su ejercicio derivan. No hay que olvidar que “en relación con una misma materia impositiva, el legislador pueda seleccionar distintas circunstancias que den lugar a otros tantos hechos imponibles, determinantes a su vez de figuras tributarias diferentes” (SSTC 37/1987, de 26 de marzo, FJ 14; 289/2000, de 30 de noviembre, FJ 4; 179/2006, de 13 de junio, FJ 4; y 122/2012, de 5 de junio, FJ 3). Por tanto, sin necesidad de entrar a analizar si se trata o no de un impuesto verdaderamente extrafiscal, estimulando conductas protectoras del medio ambiente o desincentivando las nocivas del mismo, debe rechazarse que la modalidad impositiva cuestionada incurra en la prohibición prevista en el apartado 2 del art. 6 LOFCA.</w:t>
      </w:r>
    </w:p>
    <w:p w:rsidR="0026452D" w:rsidRDefault="0026452D" w:rsidP="0026452D">
      <w:pPr>
        <w:pStyle w:val="TextoNormal"/>
      </w:pPr>
    </w:p>
    <w:p w:rsidR="0026452D" w:rsidRDefault="0026452D" w:rsidP="0026452D">
      <w:pPr>
        <w:pStyle w:val="TextoNormal"/>
      </w:pPr>
      <w:r>
        <w:t xml:space="preserve">Tampoco en su contraste con el impuesto sobre actividades económicas se puede apreciar solapamiento alguno, pues el impuesto sobre determinadas actividades que inciden en el medio ambiente, en la modalidad analizada, somete a tributación, como se ha dicho, el número de toneladas de gases (dióxido de azufre, dióxido de nitrógeno o cualquier otro compuesto oxigenado del azufre o del nitrógeno) emitidos a la atmósfera. Sin embargo, el impuesto sobre actividades económicas grava el mero de ejercicio de actividades económicas [art. 78.1 del Real Decreto Legislativo 2/2004, de 5 de marzo, por el que se aprueba el texto refundido de la Ley reguladora de las haciendas locales (en adelante, LHL)], sin que exista en el anexo del Real Decreto Legislativo 1175/1990, de 28 de septiembre, por el que se aprueban las tarifas e instrucciones del citado impuesto, gravamen alguno de la emisión de gases a la atmósfera. No obstante, imputa el órgano judicial la duplicidad prohibida al hecho de que la actividad de emisión de gases no tiene entidad propia sino que está vinculada a la actividad de producción de energía eléctrica en centrales térmicas, de modo que no existe producción de energía en centrales térmicas sin emisión de gases, ni emisión de gases sin producción de energía en centrales térmicas. Este argumento no puede prosperar pues, como ya hemos señalado, una misma actividad económica es susceptible de ser sometida a tributación por gravámenes distintos desde perspectivas diferentes (la obtención de renta, el consumo, la titularidad de un patrimonio, la circulación de bienes, la solicitud de servicios o actividades administrativas, el uso del dominio público, la afectación del medio ambiente, etc.), sin que ello suponga necesariamente una doble imposición, permitida o prohibida, por las normas que integran el bloque de la constitucionalidad. En consecuencia, con independencia de que la actividad que tenga mayor potencialidad generadora de gases de dióxido </w:t>
      </w:r>
      <w:r>
        <w:lastRenderedPageBreak/>
        <w:t>de azufre, dióxido de nitrógeno o cualquier otro compuesto oxigenado del azufre o del nitrógeno, pueda ser, en algunos supuestos, la de producción de energía eléctrica, el hecho de que el impuesto local grave la actividad de fabricación de energía eléctrica y el impuesto autonómico la emisión de gases a la atmósfera, no les hace coincidir, en modo alguno, en el gravamen de la misma “materia imponible”. Antes al contrario, se aprecia con claridad que las materias que constituyen el objeto de tributo son totalmente diferentes: de un lado, el mero hecho de desarrollar una actividad económica de fabricación de energía eléctrica concretándose el gravamen en función del beneficio medio presunto de la actividad; de otro, el volumen de gases contaminantes emitidos a la atmósfera con el ejercicio de esa —u otras— actividades concretándose el gravamen función del número de toneladas emitidas. Debe rechazarse también, por tanto, que la modalidad impositiva cuestionada incurra en la prohibición prevista en el apartado 3 del art. 6 LOFCA, sin necesidad, como se ha dicho antes, de entrar a analizar si se trata o no de un impuesto verdaderamente extrafiscal.</w:t>
      </w:r>
    </w:p>
    <w:p w:rsidR="0026452D" w:rsidRDefault="0026452D" w:rsidP="0026452D">
      <w:pPr>
        <w:pStyle w:val="TextoNormal"/>
      </w:pPr>
    </w:p>
    <w:p w:rsidR="0026452D" w:rsidRDefault="0026452D" w:rsidP="0026452D">
      <w:pPr>
        <w:pStyle w:val="TextoNormal"/>
      </w:pPr>
      <w:r w:rsidRPr="0026452D">
        <w:rPr>
          <w:rStyle w:val="NumeroAFNegritaCaracter"/>
        </w:rPr>
        <w:t>5</w:t>
      </w:r>
      <w:r>
        <w:t>. La segunda modalidad del impuesto castellano-manchego cuestionado, contenida en el art. 2.1 b) de la Ley 16/2005, de 29 de diciembre, define el hecho imponible como la “[p]roducción termonuclear de energía eléctrica”, gravando, en consecuencia, la actividad económica consistente en crear energía eléctrica mediante una central nuclear. El sujeto pasivo es la persona que realiza la actividad económica de producción de energía eléctrica (art. 4.1) y la base imponible se determina en función de la producción bruta de electricidad en el período impositivo, expresada en megavatios/hora [art. 5 b)], aplicándose el impuesto en proporción a la cantidad de energía eléctrica producida. Por su parte, el impuesto sobre actividades económicas grava el mero de ejercicio de actividades económicas (art. 78.1 LHL) y, concretamente, la actividad de “producción de energía electronuclear”, es decir, la producción de energía eléctrica mediante una central nuclear, siendo el sujeto pasivo la persona o entidad que realice la actividad (art. 83 LHL) y estableciéndose una cuota por cada kilovatio de potencia en generadores de 0,510860 € (epígrafe 151.3 de la Sección 1 del anexo del Real Decreto Legislativo 1175/1990, de 28 de septiembre, por el que se aprueban las tarifas e instrucciones).</w:t>
      </w:r>
    </w:p>
    <w:p w:rsidR="0026452D" w:rsidRDefault="0026452D" w:rsidP="0026452D">
      <w:pPr>
        <w:pStyle w:val="TextoNormal"/>
      </w:pPr>
    </w:p>
    <w:p w:rsidR="0026452D" w:rsidRDefault="0026452D" w:rsidP="0026452D">
      <w:pPr>
        <w:pStyle w:val="TextoNormal"/>
      </w:pPr>
      <w:r>
        <w:t>La comparación de uno y otro impuesto y de los elementos que los definen lleva a la Sala a entender que pudieran afectar a una misma materia imponible, toda vez que ambos gravan la producción de energía eléctrica a través de una central nuclear, siendo el sujeto pasivo la persona que realiza la actividad y la base imponible la cantidad de energía eléctrica producida, con violación del art. 6.3 LOFCA. De la misma opinión es el Abogado del Estado para quien, aun cuando el impuesto regional pueda operar sobre una actividad generadora de riesgo medioambiental, sin embargo, grava el mero ejercicio de la actividad de producción de electricidad, funcionando como un impuesto a la producción energía eléctrica y no como un impuesto a la contaminación. No son de esta opinión, sin embargo, el Letrado de las Cortes de Castilla-La Mancha, el Letrado de la Junta de Comunidades de Castilla-La Mancha, ni el Fiscal General del Estado, quienes defienden que esta modalidad impositiva no grava la producción de energía eléctrica sino la concreta actividad contaminante calculada en función de la energía producida, teniendo una marcada finalidad medioambiental y, por tanto, extrafiscal, haciéndose depender la tributación no del valor de bien o de la renta que genera, sino de su peligrosidad para el medio ambiente.</w:t>
      </w:r>
    </w:p>
    <w:p w:rsidR="0026452D" w:rsidRDefault="0026452D" w:rsidP="0026452D">
      <w:pPr>
        <w:pStyle w:val="TextoNormal"/>
      </w:pPr>
    </w:p>
    <w:p w:rsidR="0026452D" w:rsidRDefault="0026452D" w:rsidP="0026452D">
      <w:pPr>
        <w:pStyle w:val="TextoNormal"/>
      </w:pPr>
      <w:r>
        <w:t xml:space="preserve">Antes de entrar a analizar la inconstitucionalidad que el órgano judicial imputa a esta otra modalidad impositiva de la Ley 16/2005, de 29 de diciembre, ha llegado el momento de </w:t>
      </w:r>
      <w:r>
        <w:lastRenderedPageBreak/>
        <w:t>precisar que en la reciente STC 196/2012, de 31 de octubre, este Tribunal ha estimado otra cuestión de inconstitucionalidad promovida por la Sección Segunda de la Sala de lo Contencioso-Administrativo del Tribunal Superior de Justicia de Castilla-La Mancha —sede de Albacete— con relación a la Ley de las Cortes de Castilla-La Mancha 11/2000, de 26 de diciembre, del impuesto sobre determinadas actividades que inciden en el medio ambiente, y, concretamente, respecto de la modalidad del gravamen sobre la “[p]roducción de energía termonuclear” [art. 2.1 b)], declarando su inconstitucionalidad y nulidad por incurrir en la prohibición prevista en el apartado 3 del art. 6 LOFCA (en la redacción anterior a la modificación operada por la Ley Orgánica 3/2009). Pues bien, si la Ley de las Cortes de Castilla-La Mancha 11/2000, de 26 de diciembre, del impuesto sobre determinadas actividades que inciden en el medio ambiente, recogía, como se ha dicho, un gravamen sobre la actividad de “[p]roducción termonuclear de energía eléctrica” [art. 2.1 b)], la posterior Ley 16/2005, de 29 de diciembre, también del impuesto sobre determinadas actividades que inciden en el medio ambiente, que deroga y sustituye a aquélla (según su disposición derogatoria), tipifica nuevamente como hecho imponible del tributo autonómico la realización de la actividad de “[p]roducción termonuclear de energía eléctrica” [art. 2.1 b)], cuya única diferencia se halla en el aumento del tipo de gravamen que se aplica ahora en función los “megavatios hora” producidos y no respecto de los “kilovatios hora” generados como sucedía con anterioridad.</w:t>
      </w:r>
    </w:p>
    <w:p w:rsidR="0026452D" w:rsidRDefault="0026452D" w:rsidP="0026452D">
      <w:pPr>
        <w:pStyle w:val="TextoNormal"/>
      </w:pPr>
    </w:p>
    <w:p w:rsidR="0026452D" w:rsidRDefault="0026452D" w:rsidP="0026452D">
      <w:pPr>
        <w:pStyle w:val="TextoNormal"/>
      </w:pPr>
      <w:r>
        <w:t>En efecto, si la letra b) del art. 2.1 de la Ley 11/2000 concretaba como hecho imponible del impuesto la realización de la actividad de “[p]roducción termonuclear de energía eléctrica” [letra b)], siendo el sujeto pasivo quien realizaba esta actividad productora de energía (art. 4.1) y determinándose la base imponible en función de “la producción bruta de electricidad en el período impositivo, expresada en kilovatios hora” [art. 5.1 b)], que se gravaba a razón de 0,0012 € por kilovatio/hora producido [art. 6 b)], la letra b) del art. 2.1 de la Ley 16/2005 fija como hecho imponible del impuesto la actividad de “[p]roducción termonuclear de energía eléctrica”, siendo el sujeto pasivo quien realiza esta actividad productora de energía (art. 4.1), y cuantificando la base imponible en función de “la producción bruta de electricidad en el período impositivo, expresada en megavatios hora” [art. 5.1 b)], que se grava a razón de 1,5 € por megavatio/hora producido [art. 8 b)].</w:t>
      </w:r>
    </w:p>
    <w:p w:rsidR="0026452D" w:rsidRDefault="0026452D" w:rsidP="0026452D">
      <w:pPr>
        <w:pStyle w:val="TextoNormal"/>
      </w:pPr>
    </w:p>
    <w:p w:rsidR="0026452D" w:rsidRDefault="0026452D" w:rsidP="0026452D">
      <w:pPr>
        <w:pStyle w:val="TextoNormal"/>
      </w:pPr>
      <w:r>
        <w:t xml:space="preserve">Como hemos dicho en la reciente STC 196/2012, de 31 de octubre, tanto el impuesto sobre determinadas actividades que inciden en el medio ambiente como el impuesto sobre actividades económicas, gravan el mero ejercicio de una actividad económica, concretamente, la de producción de energía eléctrica a través de centrales nucleares, en la persona del titular de la actividad de producción eléctrica, de manera que la estructura de la modalidad controvertida del impuesto castellano-manchego es coincidente con la del impuesto sobre actividades económicas, sin que exista circunstancia alguna en su configuración que permita apreciar que el tributo tiene una verdadera finalidad extrafiscal o </w:t>
      </w:r>
      <w:r w:rsidRPr="0026452D">
        <w:rPr>
          <w:i/>
        </w:rPr>
        <w:t>intentio legis</w:t>
      </w:r>
      <w:r>
        <w:t xml:space="preserve"> de gravar la actividad contaminante y los riesgos para el medio ambiente. Y ello porque “el tributo cuestionado ni se dirige, en sentido negativo, a disuadir el incumplimiento de ninguna obligación, ni busca, en sentido positivo, estimular actuaciones protectoras del medio ambiente, en cumplimiento del art. 45.1 CE, desvinculándose así de la verdadera aptitud de cada sujeto para incidir en el medio en el que se desenvuelve, configurándose como un tributo que somete a tributación el mero ejercicio de la actividad de producción termonuclear de energía eléctrica” (FJ 3).</w:t>
      </w:r>
    </w:p>
    <w:p w:rsidR="0026452D" w:rsidRDefault="0026452D" w:rsidP="0026452D">
      <w:pPr>
        <w:pStyle w:val="TextoNormal"/>
      </w:pPr>
    </w:p>
    <w:p w:rsidR="0026452D" w:rsidRDefault="0026452D" w:rsidP="0026452D">
      <w:pPr>
        <w:pStyle w:val="TextoNormal"/>
      </w:pPr>
      <w:r>
        <w:lastRenderedPageBreak/>
        <w:t>Por otra parte, la coincidencia en el gravamen de la misma materia imponible o fuente de riqueza no se salva por la circunstancia de que el rendimiento obtenido con el impuesto se halle afectado en la Ley 16/2005 a políticas medioambientales, porque, en primer lugar, como ya hemos tenido la oportunidad de afirmar, “la afectación del gravamen a la finalidad que se dice perseguida no es más que uno de los varios indicios —y no precisamente el más importante— a tener en cuenta a la hora de calificar la verdadera naturaleza del tributo, esto es, de determinar si en el tributo autonómico prima el carácter contributivo o una finalidad extrafiscal” (STC 179/2006, de 13 de junio, FJ 10).</w:t>
      </w:r>
    </w:p>
    <w:p w:rsidR="0026452D" w:rsidRDefault="0026452D" w:rsidP="0026452D">
      <w:pPr>
        <w:pStyle w:val="TextoNormal"/>
      </w:pPr>
    </w:p>
    <w:p w:rsidR="0026452D" w:rsidRDefault="0026452D" w:rsidP="0026452D">
      <w:pPr>
        <w:pStyle w:val="TextoNormal"/>
      </w:pPr>
      <w:r>
        <w:t>Pero es que, en segundo lugar, como señala el Abogado del Estado, la previsión legal por sí misma no garantiza que los rendimientos se afecten a “combatir o reparar el daño provocado al medio ambiente”. En efecto, la Ley 11/2000, de 26 de diciembre, del impuesto sobre determinadas actividades que inciden en el medio ambiente, no contenía previsión alguna en tal sentido, siendo la Ley 16/2005, de 29 de diciembre, la que afecta el rendimiento del impuesto a “gastos de conservación y mejora del medio ambiente en la forma que establezca la Ley de Presupuestos Generales” (art. 1.2), de modo que es a partir de su entrada en vigor (el día 1 de enero de 2006 según su disposición final segunda) cuando las leyes de presupuestos generales de la Comunidad Autónoma deben incluir una previsión sobre tal particular. Y así ha venido sucediendo desde entonces al señalarse: “El rendimiento previsto en el estado de ingresos de los Presupuestos Generales de Castilla-La Mancha para el ejercicio 2006, en el concepto referente al impuesto sobre determinadas actividades que inciden en el medio ambiente, se destinará a la financiación de gastos de actuación en materia de calidad ambiental, ordenación, conservación y mejora del medio natural” (art. 50.1 de la Ley 13/2005, de 29 de diciembre de presupuestos generales de la Junta de Comunidades de Castilla La Mancha para 2006). La anterior previsión se ha venido reproduciendo luego, en términos idénticos, en el art. 49.1 de la Ley 6/2006, de 20 de diciembre, de presupuestos generales de la Junta de Comunidades de Castilla-La Mancha para el año 2007; en el art. 49.1 de la Ley 15/2007, de 20 de diciembre, de presupuestos generales de la Junta de Comunidades de Castilla-La Mancha para el año 2008; en el art. 50.1 de la Ley 10/2008, de 19 de diciembre, de presupuestos generales de la Junta de Comunidades de Castilla-La Mancha para el año 2009; en el art. 50.1 de la Ley 5/2009, de 17 de diciembre, de presupuestos generales de la Junta de Comunidades de Castilla-La Mancha para 2010; en el art. 51.1 de la Ley 16/2010, de 22 de diciembre, de presupuestos generales de la Junta de Comunidades de Castilla-La Mancha para el año 2011; en la disposición adicional duodécima, apartado 1, de la Ley 5/2012, de 12 de julio, de presupuestos generales de la Junta de Comunidades de Castilla-La Mancha para 2012; y en el art. 51 de la Ley 10/2012, de 20 de diciembre, de presupuestos generales de la Junta de Comunidades de Castilla-La Mancha para 2013.</w:t>
      </w:r>
    </w:p>
    <w:p w:rsidR="0026452D" w:rsidRDefault="0026452D" w:rsidP="0026452D">
      <w:pPr>
        <w:pStyle w:val="TextoNormal"/>
      </w:pPr>
    </w:p>
    <w:p w:rsidR="0026452D" w:rsidRDefault="0026452D" w:rsidP="0026452D">
      <w:pPr>
        <w:pStyle w:val="TextoNormal"/>
      </w:pPr>
      <w:r>
        <w:t xml:space="preserve">Pues bien, de las regulaciones legales citadas puede concluirse que las sucesivas Leyes de presupuestos generales de la Junta de Comunidades de Castilla-La Mancha no hacen sino reproducir genéricamente el mandato de afectación previsto en el art. 1.2 de la Ley 16/2005, pero sin concretar la forma ni la manera en la que dicho rendimiento debe afectarse necesariamente a la financiación de proyectos de conservación y mejora del medio ambiente, lo que impide constatar, siquiera desde esta circunstancia, la verdadera </w:t>
      </w:r>
      <w:r w:rsidRPr="0026452D">
        <w:rPr>
          <w:i/>
        </w:rPr>
        <w:t>intentio legis</w:t>
      </w:r>
      <w:r>
        <w:t xml:space="preserve"> de utilizar el impuesto autonómico como un instrumento al servicio de políticas medioambientales.</w:t>
      </w:r>
    </w:p>
    <w:p w:rsidR="0026452D" w:rsidRDefault="0026452D" w:rsidP="0026452D">
      <w:pPr>
        <w:pStyle w:val="TextoNormal"/>
      </w:pPr>
    </w:p>
    <w:p w:rsidR="0026452D" w:rsidRDefault="0026452D" w:rsidP="0026452D">
      <w:pPr>
        <w:pStyle w:val="TextoNormal"/>
      </w:pPr>
      <w:r>
        <w:lastRenderedPageBreak/>
        <w:t>En consecuencia, el examen de los preceptos que definen los elementos esenciales de esta modalidad impositiva pone de manifiesto que estamos en presencia de un tributo netamente fiscal o contributivo, que no grava directamente la actividad contaminante sino el mero ejercicio de una actividad económica consistente en la producción de energía eléctrica a través de centrales nucleares y en función de la energía producida, que ni se dirige, en sentido negativo, a disuadir el incumplimiento de ninguna obligación, ni busca, en sentido positivo, estimular actuaciones protectoras del medio ambiente, desvinculándose así de la verdadera aptitud de cada sujeto para incidir en el medio en el que se desenvuelve. Esto impide entender que la actividad económica se haya sometido a tributación desde una perspectiva diferente y, por tanto, que el gravamen se haya configurado sobre una materia imponible diferente a la que es objeto del impuesto sobre actividades económicas.</w:t>
      </w:r>
    </w:p>
    <w:p w:rsidR="0026452D" w:rsidRDefault="0026452D" w:rsidP="0026452D">
      <w:pPr>
        <w:pStyle w:val="TextoNormal"/>
      </w:pPr>
    </w:p>
    <w:p w:rsidR="0026452D" w:rsidRDefault="0026452D" w:rsidP="0026452D">
      <w:pPr>
        <w:pStyle w:val="TextoNormal"/>
      </w:pPr>
      <w:r w:rsidRPr="0026452D">
        <w:rPr>
          <w:rStyle w:val="NumeroAFNegritaCaracter"/>
        </w:rPr>
        <w:t>6</w:t>
      </w:r>
      <w:r>
        <w:t>. La tercera modalidad del impuesto castellano-manchego cuestionado, contenida en el art. 2.1 c) de la Ley 16/2005, define el hecho imponible como el “[a]lmacenamiento de residuos radiactivos”. El sujeto pasivo es la persona que realiza la actividad económica de almacenamiento (art. 4.1) y la base imponible se determina por la “cantidad de los residuos almacenados a la fecha del devengo del impuesto expresada en kilogramos de uranio total que contiene” [art. 5 c)], aplicándose un tipo de 5 euros por cada kilogramo de residuo radiactivo de alta actividad, o 1.000 euros por cada metro cúbico de residuo radiactivo de media y baja actividad. Por su parte, el impuesto sobre actividades económicas grava, como se ha dicho, el mero de ejercicio de actividades económicas (art. 78.1 LHL) y, concretamente, la actividad de “almacenamiento de residuos radiactivos”, en la persona o entidad que realiza la citada actividad de almacenamiento (art. 83 LHL), estableciéndose una cuota fija de 31.102,38 € (epígrafe 143.3 de la Sección 1 del anexo del Real Decreto Legislativo 1175/1990, de 28 de septiembre, por el que se aprueban las tarifas e instrucciones).</w:t>
      </w:r>
    </w:p>
    <w:p w:rsidR="0026452D" w:rsidRDefault="0026452D" w:rsidP="0026452D">
      <w:pPr>
        <w:pStyle w:val="TextoNormal"/>
      </w:pPr>
    </w:p>
    <w:p w:rsidR="0026452D" w:rsidRDefault="0026452D" w:rsidP="0026452D">
      <w:pPr>
        <w:pStyle w:val="TextoNormal"/>
      </w:pPr>
      <w:r>
        <w:t>Una vez más la comparación de uno y otro impuesto y de los elementos que los definen lleva a la Sala a entender que lo que está sometiendo a tributación por el impuesto cuestionado es la realización de la actividad empresarial de “almacenamiento de residuos radiactivos”, coincidiendo con la materia imponible gravada por el impuesto sobre actividades económicas, lo que le hace incurrir también en la prohibición prevista. También el Abogado del Estado considera que se produce la denunciada duplicidad impositiva, al existir una identidad material entre ambos impuestos. Por su parte, para los Letrados de las Cortes y de la Junta de Comunidades de Castilla-La Mancha, así como para el Fiscal General del Estado, esta última modalidad impositiva no grava la mera actividad de almacenaje de residuos radiactivos, sino el riesgo contaminante para el medio ambiente de los residuos almacenados, haciéndose depender la tributación, no del valor de bien o de la renta que genera, sino de la peligrosidad del depósito para el medio ambiente.</w:t>
      </w:r>
    </w:p>
    <w:p w:rsidR="0026452D" w:rsidRDefault="0026452D" w:rsidP="0026452D">
      <w:pPr>
        <w:pStyle w:val="TextoNormal"/>
      </w:pPr>
    </w:p>
    <w:p w:rsidR="0026452D" w:rsidRDefault="0026452D" w:rsidP="0026452D">
      <w:pPr>
        <w:pStyle w:val="TextoNormal"/>
      </w:pPr>
      <w:r>
        <w:t xml:space="preserve">Al igual que ha sucedido con la modalidad impositiva del art. 2.1 b) de la Ley de las Cortes de Castilla-La Mancha 11/2000, de 26 de diciembre, la STC 196/2012, de 31 de octubre, ha declarado inconstitucional el art. 2.1 c) de la misma norma legal, a saber, el impuesto sobre determinadas actividades que inciden en el medio ambiente, en su modalidad del gravamen sobre el “[a]lmacenamiento de residuos radiactivos” por incurrir también en la prohibición prevista en el apartado 3 del art. 6 LOFCA (en la redacción anterior a la modificación operada por la Ley Orgánica 3/2009). En este sentido, si la Ley de las Cortes de Castilla-La Mancha 11/2000, de 26 de diciembre, del impuesto sobre determinadas actividades que inciden en el medio ambiente, recogía un gravamen sobre la actividad de </w:t>
      </w:r>
      <w:r>
        <w:lastRenderedPageBreak/>
        <w:t>“[a]lmacenamiento de residuos radiactivos” [art. 2.1 c)], la Ley 16/2005, de 29 de diciembre, tipifica nuevamente como hecho imponible del tributo autonómico la realización de la actividad de “[a]lmacenamiento de residuos radiactivos” [art. 2.1 c)], cuya única diferencia se halla en que en esta última modalidad se ha diferenciado entre un almacenamiento de residuos radiactivos de alta actividad y un almacenamiento de residuos radiactivos de media y baja actividad, a los únicos efectos de distinguir el tipo aplicable. En efecto, si la letra c) del art. 2.1 de la Ley 11/2000 concretaba como hecho imponible del impuesto la realización de la actividad de “[a]lmacenamiento de residuos radiactivos”, siendo el sujeto pasivo quien realizaba esta actividad de almacenamiento (art. 4.1), y determinándose la base imponible en función de la “capacidad de los depósitos a la fecha del devengo del impuesto expresada en metros cúbicos de residuos almacenados” [art. 5.1 c)], que se sometía a un gravamen de 601,01 € por metro cúbico de residuo almacenado [art. 6 c)], la letra c) del art. 2.1 de la Ley 16/2005 fija como hecho imponible del impuesto la actividad de “[a]lmacenamiento de residuos radiactivos”, siendo el sujeto pasivo quien realiza esta actividad de almacenamiento (art. 4.1), y determinándose la base imponible en función de “la cantidad de los residuos almacenados … expresada en kilogramos de uranio total que contienen si se trata de alta actividad, o en metros cúbicos de residuos almacenados si se trata de residuos de media y baja actividad” [art. 5.1 b)], que se grava a razón de 5 € por kilogramo de residuo almacenado de alta actividad y de 1.000 € por metro cúbico de residuo almacenado de media y baja actividad [art. 8 b)].</w:t>
      </w:r>
    </w:p>
    <w:p w:rsidR="0026452D" w:rsidRDefault="0026452D" w:rsidP="0026452D">
      <w:pPr>
        <w:pStyle w:val="TextoNormal"/>
      </w:pPr>
    </w:p>
    <w:p w:rsidR="0026452D" w:rsidRDefault="0026452D" w:rsidP="0026452D">
      <w:pPr>
        <w:pStyle w:val="TextoNormal"/>
      </w:pPr>
      <w:r>
        <w:t xml:space="preserve">Como también hemos dicho en la reciente STC 196/2012, de 31 de octubre, tanto esta modalidad el impuesto sobre determinadas actividades que inciden en el medio ambiente como el impuesto sobre actividades económicas gravan el mero ejercicio de una actividad económica, concretamente, esta vez, la de almacenamiento de residuos radiactivos, en la persona del titular de la actividad de almacenamiento de residuos nucleares, de manera que la estructura del impuesto autonómico y la del municipal son coincidentes, sin que exista dato alguno en su configuración que permita apreciar la pretendida finalidad extrafiscal o </w:t>
      </w:r>
      <w:r w:rsidRPr="0026452D">
        <w:rPr>
          <w:i/>
        </w:rPr>
        <w:t>intentio legis</w:t>
      </w:r>
      <w:r>
        <w:t xml:space="preserve"> de gravar la actividad contaminante y los riesgos para el medio ambiente. En efecto, “[u]na vez más, el examen de los preceptos que definen los elementos esenciales de esta modalidad impositiva pone de manifiesto que estamos en presencia de otro tributo netamente fiscal o contributivo, que no grava directamente la actividad contaminante sino el mero ejercicio de una actividad económica consistente en el almacenamiento de residuos radiactivos, que ni se dirige, en sentido negativo, a disuadir el incumplimiento de ninguna obligación, ni busca, en sentido positivo, estimular actuaciones protectoras del medio ambiente, desvinculándose así de la verdadera aptitud de cada sujeto para incidir en el medio en el que se desenvuelve” (FJ 4). Ello impide entender, de nuevo, que la actividad económica se haya sometido a tributación desde una perspectiva diferente y, por tanto, que el gravamen se haya configurado sobre una materia imponible diferente a la que es objeto del impuesto sobre actividades económicas. Coincidencia en el gravamen de la misma materia imponible o fuente de riqueza que tampoco se salva en este caso por la circunstancia de que el rendimiento obtenido con el impuesto se halle afectado en la Ley 16/2005 a políticas medioambientales, por las razones que se han expuesto en el fundamento jurídico anterior.</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En consecuencia, según lo que antecede, debe declararse que el impuesto sobre determinadas actividades que inciden en el medio ambiente regulado por la Ley 16/2005, de 29 de diciembre, en su modalidad de gravamen sobre las “[a]ctividades cuyas instalaciones emiten a la atmósfera dióxido de azufre, dióxido de nitrógeno o cualquier otro compuesto </w:t>
      </w:r>
      <w:r>
        <w:lastRenderedPageBreak/>
        <w:t>oxigenado del azufre o del nitrógeno” [art. 2.1 a)], no es contrario al orden constitucional de competencias y, concretamente, a los arts. 133.2, 149.1.13, 23 y 25, y 157.1 b), todos ellos de la Constitución, ni incide en los límites previstos en los apartados 2 y 3 del art. 6 LOFCA.</w:t>
      </w:r>
    </w:p>
    <w:p w:rsidR="0026452D" w:rsidRDefault="0026452D" w:rsidP="0026452D">
      <w:pPr>
        <w:pStyle w:val="TextoNormal"/>
      </w:pPr>
    </w:p>
    <w:p w:rsidR="0026452D" w:rsidRDefault="0026452D" w:rsidP="0026452D">
      <w:pPr>
        <w:pStyle w:val="TextoNormal"/>
      </w:pPr>
      <w:r>
        <w:t>Sin embargo, el impuesto sobre determinadas actividades que inciden en el medio ambiente regulado por la Ley 16/2005, de 29 de diciembre, en sus modalidades de “[p]roducción termonuclear de energía eléctrica” [art. 2.1 b)] y “[a]lmacenamiento de residuos radiactivos” [art. 2.1 c)], incurre en la prohibición prevista en el apartado 3 del art. 6 LOFCA (en la redacción anterior a la modificación operada por la Ley Orgánica 3/2009), por su solapamiento con la materia imponible del impuesto sobre actividades económicas, razón por la cual deben declararse inconstitucionales y nulas las letras b) y c) del apartado 1 del art. 2 (hecho imponible), los apartados 2 y 3 del art. 2 (definición de la actividad de almacenamiento de residuos radiactivos y supuesto de no sujeción con relación al almacenamiento de residuos radioactivos), la letras b) y c) del art. 5 (base imponible), las letras b) y c) del art. 8 (cuota íntegra y tipos de gravamen), el apartado 4 del art. 10 (período impositivo y devengo) sólo en cuanto se refiere a la actividad de almacenamiento de residuos radiactivos, y el apartado 2 del art. 11 (liquidación y pago del impuesto) sólo en cuanto se refiere a la actividad de almacenamiento de residuos radiactivos, todos ellos de la Ley de las Cortes de Castilla-La Mancha 16/2005, de 29 de diciembre, del impuesto sobre determinadas actividades que inciden en el medio ambiente y del tipo autonómico del impuesto sobre las ventas minoristas de determinados hidrocarburos.</w:t>
      </w:r>
    </w:p>
    <w:p w:rsidR="0026452D" w:rsidRDefault="0026452D" w:rsidP="0026452D">
      <w:pPr>
        <w:pStyle w:val="TextoNormal"/>
      </w:pPr>
    </w:p>
    <w:p w:rsidR="0026452D" w:rsidRDefault="0026452D" w:rsidP="0026452D">
      <w:pPr>
        <w:pStyle w:val="TextoNormal"/>
      </w:pPr>
      <w:r>
        <w:t>Llegados al fin de nuestro enjuiciamiento, antes de pronunciar el fallo sólo nos resta precisar cuál es el alcance concreto que debe atribuirse a la declaración de inconstitucionalidad y nulidad que le integra. Pues bien, por exigencia del principio de seguridad jurídica (art. 9.3 CE), y al igual que hemos hecho en las SSTC 289/2000, de 30 de noviembre, con relación al impuesto balear sobre instalaciones que afectan al medio ambiente (FJ 7), 179/2006, de 13 de junio, respecto del impuesto extremeño sobre instalaciones que inciden en el medio ambiente (FJ 11), y 196/2012, de 31 de octubre, con referencia al impuesto castellano-manchego sobre determinadas actividades que inciden en el medio ambiente (FJ 5), únicamente han de considerarse situaciones susceptibles de ser revisadas con fundamento en esta Sentencia aquellas que, a la fecha de publicación de la misma, no hayan adquirido firmeza por haber sido impugnadas en tiempo y forma y no haber recaído todavía en ellos una resolución administrativa o judicial firme.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parcialmente la cuestión de inconstitucionalidad núm. 8952-2010 y, en consecuencia:</w:t>
      </w:r>
    </w:p>
    <w:p w:rsidR="0026452D" w:rsidRDefault="0026452D" w:rsidP="0026452D">
      <w:pPr>
        <w:pStyle w:val="TextoNormal"/>
      </w:pPr>
    </w:p>
    <w:p w:rsidR="0026452D" w:rsidRDefault="0026452D" w:rsidP="0026452D">
      <w:pPr>
        <w:pStyle w:val="TextoNormal"/>
      </w:pPr>
      <w:r>
        <w:lastRenderedPageBreak/>
        <w:t>1º Declarar inconstitucionales y nulos, con los efectos previstos en el fundamento jurídico 7 de esta Sentencia, los arts. 2.1 b) y c), 2.2 y 3, 5 b) y c), 8 b y c), así como la expresión “y de almacenamiento de residuos radiactivos” de los arts. 10.4 y 11.2, de la Ley de las Cortes de Castilla-La Mancha 16/2005, de 29 de diciembre, del impuesto sobre determinadas actividades que inciden en el medio ambiente y del tipo autonómico del impuesto sobre las ventas minoristas de determinados hidrocarburos.</w:t>
      </w:r>
    </w:p>
    <w:p w:rsidR="0026452D" w:rsidRDefault="0026452D" w:rsidP="0026452D">
      <w:pPr>
        <w:pStyle w:val="TextoNormal"/>
      </w:pPr>
    </w:p>
    <w:p w:rsidR="0026452D" w:rsidRDefault="0026452D" w:rsidP="0026452D">
      <w:pPr>
        <w:pStyle w:val="TextoNormal"/>
      </w:pPr>
      <w:r>
        <w:t>2º Desestimar la cuestión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64" w:name="SENTENCIA_2013_61"/>
      <w:r>
        <w:lastRenderedPageBreak/>
        <w:t>SENTENCIA 61/2013, de 14 de marzo de 2013</w:t>
      </w:r>
    </w:p>
    <w:bookmarkEnd w:id="64"/>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ECLI:ES:TC:2013:61</w:t>
      </w:r>
    </w:p>
    <w:p w:rsidR="0026452D" w:rsidRDefault="0026452D" w:rsidP="0026452D">
      <w:pPr>
        <w:pStyle w:val="SntesisDescriptiva"/>
      </w:pPr>
    </w:p>
    <w:p w:rsidR="0026452D" w:rsidRDefault="0026452D" w:rsidP="0026452D">
      <w:pPr>
        <w:pStyle w:val="SntesisDescriptiva"/>
      </w:pPr>
      <w:r>
        <w:t>Cuestión de inconstitucionalidad 5862-2003. Planteada por la Sala de lo Social del Tribunal Superior de Justicia de Galicia en relación con la disposición adicional séptima del texto refundido de la Ley General de la Seguridad Social, aprobado por Real Decreto Legislativo 1/1994, de 20 de junio.</w:t>
      </w:r>
    </w:p>
    <w:p w:rsidR="0026452D" w:rsidRDefault="0026452D" w:rsidP="0026452D">
      <w:pPr>
        <w:pStyle w:val="SntesisDescriptiva"/>
      </w:pPr>
    </w:p>
    <w:p w:rsidR="0026452D" w:rsidRDefault="0026452D" w:rsidP="0026452D">
      <w:pPr>
        <w:pStyle w:val="SntesisAnaltica"/>
      </w:pPr>
      <w:r>
        <w:t>Derechos a la igualdad en la ley y a no sufrir discriminación por razón del sexo: determinación de los períodos de cotización de las prestaciones de Seguridad Social computando exclusivamente las horas trabajadas, en perjuicio de las trabajadoras a tiempo parcial (STC 253/2004).</w:t>
      </w:r>
    </w:p>
    <w:p w:rsidR="0026452D" w:rsidRDefault="0026452D" w:rsidP="0026452D">
      <w:pPr>
        <w:pStyle w:val="SntesisAnaltica"/>
      </w:pPr>
    </w:p>
    <w:p w:rsidR="0026452D" w:rsidRDefault="0026452D" w:rsidP="0026452D">
      <w:pPr>
        <w:pStyle w:val="Extracto"/>
      </w:pPr>
      <w:r>
        <w:t>1.</w:t>
      </w:r>
      <w:r>
        <w:tab/>
        <w:t xml:space="preserve">Las diferencias de trato en el cómputo de los períodos de carencia que experimentan los trabajadores a tiempo parcial respecto a los trabajadores a jornada completa se encuentran desprovistas de una justificación razonable que guarde la debida proporcionalidad entre la medida adoptada, el resultado producido y la finalidad pretendida, por lo que hemos de declarar que la norma cuestionada vulnera el art. 14 CE, tanto por lesionar el derecho a la igualdad, como también, a la vista de su predominante incidencia sobre el empleo femenino, por provocar una discriminación indirecta por razón de sexo (STJUE asunto </w:t>
      </w:r>
      <w:r w:rsidRPr="0026452D">
        <w:rPr>
          <w:i/>
        </w:rPr>
        <w:t>Elbal Moreno</w:t>
      </w:r>
      <w:r>
        <w:t>, de 22 de noviembre de 2012; STC 253/2004) [FFJJ 3, 5, 6].</w:t>
      </w:r>
    </w:p>
    <w:p w:rsidR="0026452D" w:rsidRDefault="0026452D" w:rsidP="0026452D">
      <w:pPr>
        <w:pStyle w:val="Extracto"/>
      </w:pPr>
    </w:p>
    <w:p w:rsidR="0026452D" w:rsidRDefault="0026452D" w:rsidP="0026452D">
      <w:pPr>
        <w:pStyle w:val="Extracto"/>
      </w:pPr>
      <w:r>
        <w:t>2.</w:t>
      </w:r>
      <w:r>
        <w:tab/>
        <w:t>Las reglas que acompañan a la previsión cuestionada en relación con el cómputo de los períodos de cotización en los contratos a tiempo parcial para causar derecho a una prestación de jubilación no permiten superar los parámetros de justificación y proporcionalidad exigidos por el art. 14 CE, dado que las medidas de corrección en su momento introducidas no consiguen evitar los resultados especialmente gravosos y desmesurados a que la norma puede conducir [FJ 6].</w:t>
      </w:r>
    </w:p>
    <w:p w:rsidR="0026452D" w:rsidRDefault="0026452D" w:rsidP="0026452D">
      <w:pPr>
        <w:pStyle w:val="Extracto"/>
      </w:pPr>
    </w:p>
    <w:p w:rsidR="0026452D" w:rsidRDefault="0026452D" w:rsidP="0026452D">
      <w:pPr>
        <w:pStyle w:val="Extracto"/>
      </w:pPr>
      <w:r>
        <w:t>3.</w:t>
      </w:r>
      <w:r>
        <w:tab/>
        <w:t>La norma cuestionada, que computa los días trabajados conforme a una fórmula de horas trabajadas, mantiene una diferencia de trato en el cómputo de los períodos cotizados entre los trabajadores a tiempo completo y los trabajadores a tiempo parcial, basada en la aplicación de un criterio de proporcionalidad, referido no sólo a la cuantía de las bases reguladoras sino también al cálculo de los períodos de carencia, no justificado por las exigencias de contributividad del sistema (STC 253/2004) [FJ 6 a)].</w:t>
      </w:r>
    </w:p>
    <w:p w:rsidR="0026452D" w:rsidRDefault="0026452D" w:rsidP="0026452D">
      <w:pPr>
        <w:pStyle w:val="Extracto"/>
      </w:pPr>
    </w:p>
    <w:p w:rsidR="0026452D" w:rsidRDefault="0026452D" w:rsidP="0026452D">
      <w:pPr>
        <w:pStyle w:val="Extracto"/>
      </w:pPr>
      <w:r>
        <w:t>4.</w:t>
      </w:r>
      <w:r>
        <w:tab/>
        <w:t xml:space="preserve">El principio de contributividad justifica que el legislador establezca que las bases reguladoras de las prestaciones de la Seguridad social se calculen en función de lo cotizado, de donde resultará una prestación de cuantía inferior para los trabajadores a tiempo parcial por comparación con los trabajadores a jornada completa, pero la diferencia de trato en cuanto al cumplimiento del requisito de carencia para el acceso a las prestaciones contributivas no aparece justificada, tratándose </w:t>
      </w:r>
      <w:r>
        <w:lastRenderedPageBreak/>
        <w:t>de un diferenciación arbitraria que además conduce a un resultado desproporcionado al dificultar el acceso a la protección de la Seguridad Social de los trabajadores contratados a tiempo parcial (STC 253/2004) [FJ 6 b)].</w:t>
      </w:r>
    </w:p>
    <w:p w:rsidR="0026452D" w:rsidRDefault="0026452D" w:rsidP="0026452D">
      <w:pPr>
        <w:pStyle w:val="Extracto"/>
      </w:pPr>
    </w:p>
    <w:p w:rsidR="0026452D" w:rsidRDefault="0026452D" w:rsidP="0026452D">
      <w:pPr>
        <w:pStyle w:val="Extracto"/>
      </w:pPr>
      <w:r>
        <w:t>5.</w:t>
      </w:r>
      <w:r>
        <w:tab/>
        <w:t>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63/2011, 117/2011) [FJ 4 a)].</w:t>
      </w:r>
    </w:p>
    <w:p w:rsidR="0026452D" w:rsidRDefault="0026452D" w:rsidP="0026452D">
      <w:pPr>
        <w:pStyle w:val="Extracto"/>
      </w:pPr>
    </w:p>
    <w:p w:rsidR="0026452D" w:rsidRDefault="0026452D" w:rsidP="0026452D">
      <w:pPr>
        <w:pStyle w:val="Extracto"/>
      </w:pPr>
      <w:r>
        <w:t>6.</w:t>
      </w:r>
      <w:r>
        <w:tab/>
        <w:t xml:space="preserve">Una norma puede dar lugar a discriminación indirecta por razón de sexo a menos que esté justificada objetivamente y sea proporcionada al objetivo perseguido, considerando además que, para estar justificada, la medida de que se trate tiene que ser adecuada para garantizar la realización del objetivo legítimo que persigue y no exceder de lo que es necesario para alcanzarlo (SSTJUE, asunto </w:t>
      </w:r>
      <w:r w:rsidRPr="0026452D">
        <w:rPr>
          <w:i/>
        </w:rPr>
        <w:t>Bressol</w:t>
      </w:r>
      <w:r>
        <w:t xml:space="preserve"> y otros, de 13 de abril de 2010, asunto </w:t>
      </w:r>
      <w:r w:rsidRPr="0026452D">
        <w:rPr>
          <w:i/>
        </w:rPr>
        <w:t>Brachner</w:t>
      </w:r>
      <w:r>
        <w:t>, de 20 de octubre de 2011; SSTC 198/1996, 3/2007) [FJ 4 b)].</w:t>
      </w:r>
    </w:p>
    <w:p w:rsidR="0026452D" w:rsidRDefault="0026452D" w:rsidP="0026452D">
      <w:pPr>
        <w:pStyle w:val="Extracto"/>
      </w:pPr>
    </w:p>
    <w:p w:rsidR="0026452D" w:rsidRDefault="0026452D" w:rsidP="0026452D">
      <w:pPr>
        <w:pStyle w:val="Extracto"/>
      </w:pPr>
      <w:r>
        <w:t>7.</w:t>
      </w:r>
      <w:r>
        <w:tab/>
        <w:t>Doctrina sobre el valor de los tratados internacionales y el Derecho comunitario derivado como criterios hermenéuticos del sentido y alcance de los derechos y libertades que la Constitución reconoce (SSTC 28/1991, 41/2013) [FJ 5].</w:t>
      </w:r>
    </w:p>
    <w:p w:rsidR="0026452D" w:rsidRDefault="0026452D" w:rsidP="0026452D">
      <w:pPr>
        <w:pStyle w:val="Extracto"/>
      </w:pPr>
    </w:p>
    <w:p w:rsidR="0026452D" w:rsidRDefault="0026452D" w:rsidP="0026452D">
      <w:pPr>
        <w:pStyle w:val="Extracto"/>
      </w:pPr>
      <w:r>
        <w:t>8.</w:t>
      </w:r>
      <w:r>
        <w:tab/>
        <w:t>No existe ningún óbice para hacer un pronunciamiento de inadmisión de una cuestión de inconstitucionalidad en la fase de resolución de la misma, esto es, mediante Sentencia, dado que la tramitación del art. 37.1 LOTC no tiene carácter preclusivo (AATC 42/1998, 206/2005; SSTC 133/2004, 224/2006) [FJ 2].</w:t>
      </w:r>
    </w:p>
    <w:p w:rsidR="0026452D" w:rsidRDefault="0026452D" w:rsidP="0026452D">
      <w:pPr>
        <w:pStyle w:val="Extracto"/>
      </w:pPr>
    </w:p>
    <w:p w:rsidR="0026452D" w:rsidRDefault="0026452D" w:rsidP="0026452D">
      <w:pPr>
        <w:pStyle w:val="Extracto"/>
      </w:pPr>
      <w:r>
        <w:t>9.</w:t>
      </w:r>
      <w:r>
        <w:tab/>
        <w:t>La audiencia previa al planteamiento de la cuestión de inconstitucionalidad tiene el doble objetivo de garantizar la audiencia de las partes y del Ministerio Fiscal y poner a disposición del Juez un medio que le permita conocer la opinión de los sujetos interesados con el fin de facilitar su reflexión sobre la conveniencia o no de proceder a la apertura de dicho proceso de inconstitucionalidad, por lo que resulta exigible que la providencia que otorga la audiencia concrete los preceptos legales cuestionados y las normas constitucionales que el Juez estima de posible vulneración por aquéllos (AATC 108/1993, 121/1998; SSTC 166/1986, 139/2008)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la cuestión de inconstitucionalidad núm. 5862-2003, planteada por la Sala de lo Social del Tribunal Superior de Justicia de Galicia sobre el inciso inicial de la letra a) de la regla segunda del apartado 1 de la disposición adicional séptima de la Ley general de la Seguridad Social, texto refundido aprobado por Real Decreto Legislativo 1/1994, de 20 de junio, por posible vulneración del art. 14 de la Constitución. Han intervenido el Abogado del Estado, en la representación que ostenta, y el Fiscal General del Estado. Ha sido Ponente el Magistrado don Francisco Pérez de los Cobos Orihuel,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día 30 de septiembre de 2003 tuvo entrada en el Registro General de este Tribunal Constitucional un escrito de la Sala de lo Social del Tribunal Superior de Justicia de Galicia al que se acompañaba, junto con el testimonio de las actuaciones correspondientes al recurso de suplicación 5169-00, sobre jubilación, el Auto de 13 de septiembre de 2003 por el que se acuerda plantear cuestión de inconstitucionalidad en relación con el inciso inicial de la letra a) de la regla segunda del apartado 1 de la disposición adicional séptima de la Ley general de la Seguridad Social, texto refundido aprobado por Real Decreto Legislativo 1/1994, de 20 de junio (en adelante, LGSS), por posible vulneración del art. 14 de la Constitución.</w:t>
      </w:r>
    </w:p>
    <w:p w:rsidR="0026452D" w:rsidRDefault="0026452D" w:rsidP="0026452D">
      <w:pPr>
        <w:pStyle w:val="TextoNormal"/>
      </w:pPr>
    </w:p>
    <w:p w:rsidR="0026452D" w:rsidRDefault="0026452D" w:rsidP="0026452D">
      <w:pPr>
        <w:pStyle w:val="TextoNormal"/>
      </w:pPr>
      <w:r w:rsidRPr="0026452D">
        <w:rPr>
          <w:rStyle w:val="NumeroAFNegritaCaracter"/>
        </w:rPr>
        <w:t>2</w:t>
      </w:r>
      <w:r>
        <w:t>. Los antecedentes de hecho del planteamiento de la presente cuestión de inconstitucionalidad son, en síntesis, los siguientes:</w:t>
      </w:r>
    </w:p>
    <w:p w:rsidR="0026452D" w:rsidRDefault="0026452D" w:rsidP="0026452D">
      <w:pPr>
        <w:pStyle w:val="TextoNormal"/>
      </w:pPr>
    </w:p>
    <w:p w:rsidR="0026452D" w:rsidRDefault="0026452D" w:rsidP="0026452D">
      <w:pPr>
        <w:pStyle w:val="TextoNormal"/>
      </w:pPr>
      <w:r>
        <w:t>a) Doña María Soneira Fraga, nacida el 21 de octubre de 1931, solicitó pensión de jubilación el 5 de noviembre de 1999, solicitud que le fue denegada por resolución del Instituto Nacional de la Seguridad Social (INSS) de 11 de noviembre de 1999, confirmada por resolución de 29 de marzo de 2000, que desestimó la reclamación previa, por no reunir el período mínimo de cotización de quince años exigido para causar derecho a la pensión de jubilación, conforme a lo dispuesto en el art. 161.1 b) LGSS.</w:t>
      </w:r>
    </w:p>
    <w:p w:rsidR="0026452D" w:rsidRDefault="0026452D" w:rsidP="0026452D">
      <w:pPr>
        <w:pStyle w:val="TextoNormal"/>
      </w:pPr>
    </w:p>
    <w:p w:rsidR="0026452D" w:rsidRDefault="0026452D" w:rsidP="0026452D">
      <w:pPr>
        <w:pStyle w:val="TextoNormal"/>
      </w:pPr>
      <w:r>
        <w:t xml:space="preserve">b) Contra esta resolución interpuso demanda la señora Soneira Fraga, demanda que fue desestimada por Sentencia de 5 de octubre de 2000 del Juzgado de lo Social núm. 2 de La Coruña. En la Sentencia, tras declararse como hechos probados los períodos de cotización acreditados por la actora (en total, desde el 1 de mayo de 1981 hasta el 31 de octubre de 1999), y, asimismo, la parte de dicho período total que trabajó y cotizó a tiempo parcial (desde el 1 de noviembre de 1988 hasta el 31 de octubre de 1999, con una jornada del 18,4 por 100 de la jornada habitual de la empresa), se señala que, de conformidad con la normativa aplicable a la fecha del hecho causante (Real Decreto 2319/1993, Real Decreto-ley 15/1998 y Real Decreto 144/1999), debía ratificarse la resolución denegatoria del INSS, por cuanto la demandante acreditaba un total de 3.850 días de cotización efectiva, teniendo en cuenta que durante el período de trabajo a tiempo parcial habían de computarse exclusivamente las horas efectivamente trabajadas, a los que habían de sumarse los días correspondientes a las pagas extras, lo que arrojaba un total de 4.422 días cotizados, inferiores a los </w:t>
      </w:r>
      <w:r>
        <w:lastRenderedPageBreak/>
        <w:t>correspondientes al período mínimo de cotización de quince años, sin que los cálculos efectuados por la actora en su demanda, que los calcula por días enteros, sea la interpretación correcta.</w:t>
      </w:r>
    </w:p>
    <w:p w:rsidR="0026452D" w:rsidRDefault="0026452D" w:rsidP="0026452D">
      <w:pPr>
        <w:pStyle w:val="TextoNormal"/>
      </w:pPr>
    </w:p>
    <w:p w:rsidR="0026452D" w:rsidRDefault="0026452D" w:rsidP="0026452D">
      <w:pPr>
        <w:pStyle w:val="TextoNormal"/>
      </w:pPr>
      <w:r>
        <w:t>c) Contra dicha Sentencia interpuso la señora Soneira Fraga recurso de suplicación, fundado en un único motivo, al amparo del art. 191 c) de la Ley de procedimiento laboral, argumentando que el período de trabajo a tiempo parcial transcurrido desde el 1 de mayo de 1981 hasta el 31 de diciembre de 1993 debía regirse por las normas anteriores al Real Decreto-ley 18/1993, de 3 de diciembre, que entró en vigor el 1 de enero de 1994, de modo que ese período fuera computado, a efectos de la carencia exigible para causar derecho a la pensión, tomando en consideración cada día trabajado como un día cotizado, con independencia del número de horas efectivamente trabajadas.</w:t>
      </w:r>
    </w:p>
    <w:p w:rsidR="0026452D" w:rsidRDefault="0026452D" w:rsidP="0026452D">
      <w:pPr>
        <w:pStyle w:val="TextoNormal"/>
      </w:pPr>
    </w:p>
    <w:p w:rsidR="0026452D" w:rsidRDefault="0026452D" w:rsidP="0026452D">
      <w:pPr>
        <w:pStyle w:val="TextoNormal"/>
      </w:pPr>
      <w:r>
        <w:t>d) Elevados los autos a la Sala de lo Social del Tribunal Superior de Justicia de Galicia, ésta dictó providencia de 4 de julio de 2003 acordando dar traslado a las partes personadas y al Ministerio Fiscal por plazo de diez días para que, de conformidad con lo dispuesto en el art. 35.2 de la Ley Orgánica del Tribunal Constitucional (LOTC), pudieran formular alegaciones sobre el planteamiento de la cuestión de inconstitucionalidad por posible vulneración del principio de igualdad y de la prohibición de discriminación por razón de sexo, en su vertiente de discriminación indirecta, art. 14 CE, respecto de la letra a) de la regla segunda del apartado 1 de la disposición adicional séptima LGSS, donde se establece que para acreditar los períodos de cotización necesarios para causar derecho a las prestaciones de jubilación, incapacidad permanente, muerte y supervivencia, incapacidad temporal y maternidad, se computarán exclusivamente las cotizaciones efectuadas en función de las horas trabajadas, tanto ordinarias como complementarias, calculando su equivalencia en días teóricos de cotización.</w:t>
      </w:r>
    </w:p>
    <w:p w:rsidR="0026452D" w:rsidRDefault="0026452D" w:rsidP="0026452D">
      <w:pPr>
        <w:pStyle w:val="TextoNormal"/>
      </w:pPr>
    </w:p>
    <w:p w:rsidR="0026452D" w:rsidRDefault="0026452D" w:rsidP="0026452D">
      <w:pPr>
        <w:pStyle w:val="TextoNormal"/>
      </w:pPr>
      <w:r>
        <w:t>e) Mediante escrito presentado el 21 de julio de 2003, el Ministerio Fiscal expuso su parecer contrario al planteamiento de la cuestión de inconstitucionalidad. Señalaba el Fiscal en el mismo que del proveído anterior parecía deducirse que el órgano judicial entendía que el precepto cuestionado vulneraba el art. 14 CE por dos motivos: el primero, por la ruptura del principio de igualdad en relación con los trabajadores a tiempo completo; y el segundo, por su efecto discriminatorio sexista. En cuanto a lo primero, aducía el Fiscal que la norma cuestionada no exige al trabajador a tiempo parcial más tiempo real de trabajo realizado para cubrir la carencia que el de un trabajador a tiempo completo, sino que establece un sistema de cómputo temporal distinto según el tipo de contrato, justificado en circunstancias objetivas de acuerdo con el principio de equilibrio económico del sistema de Seguridad Social, que es uno de los factores que puede tener en cuenta el legislador a la hora de establecer el nivel y condiciones de las prestaciones de dicho sistema. En cuanto a lo segundo, sostenía el Fiscal que el precepto cuestionado tiene un carácter neutro, aplicándose tanto a hombres como a mujeres, sin que deba olvidarse que el trabajo a tiempo parcial, como medida de fomento del empleo, ha permitido adaptar los sistemas de organización del trabajo de las empresas a las necesidades productivas, así como a las circunstancias personales o familiares del trabajador, por lo que el distinto sistema de cómputo del período de carencia establecido para los contratos a tiempo parcial está justificado por los factores objetivos antes señalados y es ajeno a cualquier discriminación por razón de sexo.</w:t>
      </w:r>
    </w:p>
    <w:p w:rsidR="0026452D" w:rsidRDefault="0026452D" w:rsidP="0026452D">
      <w:pPr>
        <w:pStyle w:val="TextoNormal"/>
      </w:pPr>
    </w:p>
    <w:p w:rsidR="0026452D" w:rsidRDefault="0026452D" w:rsidP="0026452D">
      <w:pPr>
        <w:pStyle w:val="TextoNormal"/>
      </w:pPr>
      <w:r>
        <w:lastRenderedPageBreak/>
        <w:t>f) La Letrada de la Administración de la Seguridad Social formuló sus alegaciones con fecha 22 de julio de 2003, rechazando que el precepto legal cuestionado vulnerara la prohibición de discriminación por razón de sexo, en su vertiente de discriminación indirecta, porque la aplicación de la norma no se lleva a cabo en función del sexo de la demandante, sino en su condición de posible beneficiaria de una prestación de la Seguridad Social, establecida con carácter general y con independencia del sexo del solicitante. Asimismo, en relación con el principio de igualdad recordaba que, conforme a la doctrina del Tribunal Constitucional (SSTC 88/1991, de 25 de abril; 39/1992, de 10 de febrero; 77/1995, de 22 de mayo y 119/2002, de 20 de mayo), el legislador goza de un amplio margen en la regulación del sistema de Seguridad Social y que el principio de igualdad no exige que todas las situaciones, con independencia del tiempo en que se originaron o se produjeron sus efectos, reciban un trato igual, a lo que añadía que, de acuerdo con la STC 116/1991, de 23 de mayo, al existir en el sistema de Seguridad Social prestaciones no contributivas, la situación de necesidad no queda desprotegida.</w:t>
      </w:r>
    </w:p>
    <w:p w:rsidR="0026452D" w:rsidRDefault="0026452D" w:rsidP="0026452D">
      <w:pPr>
        <w:pStyle w:val="TextoNormal"/>
      </w:pPr>
    </w:p>
    <w:p w:rsidR="0026452D" w:rsidRDefault="0026452D" w:rsidP="0026452D">
      <w:pPr>
        <w:pStyle w:val="TextoNormal"/>
      </w:pPr>
      <w:r>
        <w:t>g) El Letrado representante de doña María Soneira Fraga presentó su escrito de alegaciones el día 24 de julio de 2003, manifestando que la aplicación del precepto cuestionado daba lugar a la vulneración del principio de igualdad consagrado en el art. 14 CE en el caso de todas aquellas personas que habían suscrito un contrato a tiempo parcial antes del 1 de enero de 1994 y que solicitaran una pensión de jubilación con posterioridad a dicha fecha, en que entraron en vigor el Real Decreto-ley 18/1993, de 3 de diciembre, y el Real Decreto 2319/1993, de 29 de diciembre, que lo desarrolla. Ello es así por cuanto que a las personas con contratos a tiempo parcial que accedieron a la prestación de jubilación antes de dicha fecha se les computaron las horas cotizadas correspondientes a la jornada reducida como días completos de cotización a efectos del período de carencia exigido para causar derecho a la pensión, mientras que a quienes no pudieron acceder a las prestaciones antes del 1 de enero de 1994, a pesar de haber suscrito contrato a tiempo parcial bajo la misma legislación vigente, se les computaban las horas cotizadas de forma diferente a esos mismos efectos.</w:t>
      </w:r>
    </w:p>
    <w:p w:rsidR="0026452D" w:rsidRDefault="0026452D" w:rsidP="0026452D">
      <w:pPr>
        <w:pStyle w:val="TextoNormal"/>
      </w:pPr>
    </w:p>
    <w:p w:rsidR="0026452D" w:rsidRDefault="0026452D" w:rsidP="0026452D">
      <w:pPr>
        <w:pStyle w:val="TextoNormal"/>
      </w:pPr>
      <w:r>
        <w:t>h) Por Auto de 13 de septiembre de 2003 la Sala de lo Social del Tribunal Superior de Justicia de Galicia acordó plantear cuestión de inconstitucionalidad “para determinar si el inciso inicial de la letra a) de la regla 2 del apartado 1 de la Disposición Adicional 7ª de la Ley General de la Seguridad Social es contrario a lo dispuesto en el artículo 14 de la Constitución”.</w:t>
      </w:r>
    </w:p>
    <w:p w:rsidR="0026452D" w:rsidRDefault="0026452D" w:rsidP="0026452D">
      <w:pPr>
        <w:pStyle w:val="TextoNormal"/>
      </w:pPr>
    </w:p>
    <w:p w:rsidR="0026452D" w:rsidRDefault="0026452D" w:rsidP="0026452D">
      <w:pPr>
        <w:pStyle w:val="TextoNormal"/>
      </w:pPr>
      <w:r w:rsidRPr="0026452D">
        <w:rPr>
          <w:rStyle w:val="NumeroAFNegritaCaracter"/>
        </w:rPr>
        <w:t>3</w:t>
      </w:r>
      <w:r>
        <w:t>. El Auto de 13 de septiembre de 2003 de la Sala de lo Social del Tribunal Superior de Justicia de Galicia fundamenta el planteamiento de la cuestión de inconstitucionalidad en las consideraciones que seguidamente se resumen.</w:t>
      </w:r>
    </w:p>
    <w:p w:rsidR="0026452D" w:rsidRDefault="0026452D" w:rsidP="0026452D">
      <w:pPr>
        <w:pStyle w:val="TextoNormal"/>
      </w:pPr>
    </w:p>
    <w:p w:rsidR="0026452D" w:rsidRDefault="0026452D" w:rsidP="0026452D">
      <w:pPr>
        <w:pStyle w:val="TextoNormal"/>
      </w:pPr>
      <w:r>
        <w:t xml:space="preserve">Señala en primer lugar la Sala que su fallo depende de la validez de la norma cuestionada, porque entiende que, en aplicación del inciso inicial de la letra a) de la regla segunda del apartado 1 de la disposición adicional séptima LGSS —disposición introducida mediante el Real Decreto-ley 15/1998, de 27 de noviembre, de medidas urgentes para la mejora del mercado de trabajo en relación con el trabajo a tiempo parcial y el fomento de su estabilidad— el recurso de suplicación debería ser desestimado, confirmando la Sentencia de instancia, pues, dado que el cálculo de los períodos de cotización computables realizado por el INSS es correcto, la demandante en el proceso </w:t>
      </w:r>
      <w:r w:rsidRPr="0026452D">
        <w:rPr>
          <w:i/>
        </w:rPr>
        <w:t>a quo</w:t>
      </w:r>
      <w:r>
        <w:t xml:space="preserve"> no alcanzaría el período de carencia exigible para causar derecho a la pensión de jubilación contributiva —aun con la aplicación </w:t>
      </w:r>
      <w:r>
        <w:lastRenderedPageBreak/>
        <w:t>del coeficiente corrector establecido en la letra b) de la regla segunda del apartado 1 de la propia disposición adicional séptima LGSS. En cambio, si se atendiera a los períodos de tiempo con contrato vigente, tal y como se hace cuando se trata de trabajadores a tiempo completo, la demanda debería ser estimada.</w:t>
      </w:r>
    </w:p>
    <w:p w:rsidR="0026452D" w:rsidRDefault="0026452D" w:rsidP="0026452D">
      <w:pPr>
        <w:pStyle w:val="TextoNormal"/>
      </w:pPr>
    </w:p>
    <w:p w:rsidR="0026452D" w:rsidRDefault="0026452D" w:rsidP="0026452D">
      <w:pPr>
        <w:pStyle w:val="TextoNormal"/>
      </w:pPr>
      <w:r>
        <w:t>A juicio de la Sala, la norma cuestionada podría ser contraria al art. 14 CE por dos motivos:</w:t>
      </w:r>
    </w:p>
    <w:p w:rsidR="0026452D" w:rsidRDefault="0026452D" w:rsidP="0026452D">
      <w:pPr>
        <w:pStyle w:val="TextoNormal"/>
      </w:pPr>
    </w:p>
    <w:p w:rsidR="0026452D" w:rsidRDefault="0026452D" w:rsidP="0026452D">
      <w:pPr>
        <w:pStyle w:val="TextoNormal"/>
      </w:pPr>
      <w:r>
        <w:t>En primer lugar, por ruptura del principio de proporcionalidad, que es uno de los aspectos de la igualdad (STC 177/1993, de 31 de mayo). Argumenta la Sala, en tal sentido, que el principio de proporcionalidad justifica que la base reguladora de las pensiones de los trabajadores a tiempo parcial sea inferior a la de los trabajadores a tiempo completo, toda vez que la reducción de jornada de aquéllos determina una menor retribución. Pero si, además, influyese en el cálculo de las carencias, se produciría una “doble penalización”, pues un trabajador a tiempo parcial necesitaría trabajar más tiempo que un trabajador a tiempo completo para cubrir la carencia exigida, y, cuando la cumpliese, la base reguladora de su pensión sería inferior que la del trabajador a tiempo completo, en la misma actividad y categoría profesional.</w:t>
      </w:r>
    </w:p>
    <w:p w:rsidR="0026452D" w:rsidRDefault="0026452D" w:rsidP="0026452D">
      <w:pPr>
        <w:pStyle w:val="TextoNormal"/>
      </w:pPr>
    </w:p>
    <w:p w:rsidR="0026452D" w:rsidRDefault="0026452D" w:rsidP="0026452D">
      <w:pPr>
        <w:pStyle w:val="TextoNormal"/>
      </w:pPr>
      <w:r>
        <w:t>En segundo lugar, el precepto también se cuestiona por su efecto de discriminación sexista indirecta, según la define la doctrina del Tribunal Constitucional (SSTC 145/1991, de 1 de julio; 22/1994, de 27 de enero; y 240/1999, de 20 de diciembre) y la normativa comunitaria (art. 2.2 de la Directiva 97/80/CE, de 15 de diciembre de 1997, y art. 2.2 de la Directiva 2002/73/CE, de 23 de septiembre de 2002), apoyada en una consolidada doctrina del Tribunal de Justicia de las Comunidades Europeas, a lo que cabe añadir la prohibición de discriminación por razón del trabajo a tiempo parcial que inspira la regulación de la Directiva 97/81/CE, de 15 de diciembre de 1997, aunque, ciertamente, no contempla los aspectos de Seguridad Social. Argumenta desde esta perspectiva la Sala que los datos estadísticos extraídos de la encuesta de población activa correspondiente al año 2002 en cuanto a varones y mujeres asalariados a tiempo parcial (datos que el Auto reproduce) evidencian que los trabajadores a tiempo parcial son mayoritariamente del sexo femenino, lo que permite argumentar la existencia de un “impacto adverso” que, de no aparecer justificado en circunstancias objetivas no relacionadas con el sexo o de no ser los medios empleados para satisfacer esos fines adecuados o necesarios, nos llevaría a considerar la existencia de discriminación sexista indirecta.</w:t>
      </w:r>
    </w:p>
    <w:p w:rsidR="0026452D" w:rsidRDefault="0026452D" w:rsidP="0026452D">
      <w:pPr>
        <w:pStyle w:val="TextoNormal"/>
      </w:pPr>
    </w:p>
    <w:p w:rsidR="0026452D" w:rsidRDefault="0026452D" w:rsidP="0026452D">
      <w:pPr>
        <w:pStyle w:val="TextoNormal"/>
      </w:pPr>
      <w:r>
        <w:t>A la postre —concluye la Sala—, la cuestión es dilucidar si la finalidad de exigir una carencia como medio de comprobar la vinculación del solicitante de prestaciones sociales al mercado de trabajo queda o no cumplida, cuando se trate de trabajadores a tiempo parcial, exigiendo, como ocurre en el caso de los trabajadores a tiempo completo, el tiempo que se especifique para cada prestación, o, por el contrario, el mayor que derive del cómputo por horas, como resulta de la norma cuestionada.</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Por providencia de 11 de noviembre de 2003, la Sección Segunda de este Tribunal acordó admitir a trámite la cuestión, así como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w:t>
      </w:r>
      <w:r>
        <w:lastRenderedPageBreak/>
        <w:t>personarse en el proceso y formular las alegaciones que estimasen convenientes, y publicar la incoación de la cuestión en el “Boletín Oficial del Estado” (lo que se cumplimentó en el “BOE” núm. 283, de 26 de noviembre de 2003).</w:t>
      </w:r>
    </w:p>
    <w:p w:rsidR="0026452D" w:rsidRDefault="0026452D" w:rsidP="0026452D">
      <w:pPr>
        <w:pStyle w:val="TextoNormal"/>
      </w:pPr>
    </w:p>
    <w:p w:rsidR="0026452D" w:rsidRDefault="0026452D" w:rsidP="0026452D">
      <w:pPr>
        <w:pStyle w:val="TextoNormal"/>
      </w:pPr>
      <w:r w:rsidRPr="0026452D">
        <w:rPr>
          <w:rStyle w:val="NumeroAFNegritaCaracter"/>
        </w:rPr>
        <w:t>5</w:t>
      </w:r>
      <w:r>
        <w:t>. Por escrito registrado el 27 de noviembre de 2003, la Presidenta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Igualmente, y por escrito registrado en el mismo día 27 de noviembre de 2003, se recibió comunicación del Presidente del Senado en el sentido de que se tuviera a dicha Cámara por personada en el procedimiento y por ofrecida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6</w:t>
      </w:r>
      <w:r>
        <w:t>. El Abogado del Estado formuló sus alegaciones mediante escrito registrado el 5 de diciembre de 2003, realizando las siguientes consideraciones.</w:t>
      </w:r>
    </w:p>
    <w:p w:rsidR="0026452D" w:rsidRDefault="0026452D" w:rsidP="0026452D">
      <w:pPr>
        <w:pStyle w:val="TextoNormal"/>
      </w:pPr>
    </w:p>
    <w:p w:rsidR="0026452D" w:rsidRDefault="0026452D" w:rsidP="0026452D">
      <w:pPr>
        <w:pStyle w:val="TextoNormal"/>
      </w:pPr>
      <w:r>
        <w:t xml:space="preserve">a) Comienza sus alegaciones el Abogado del Estado cuestionando la observancia por la Sala proponente del requisito de sumisión previa a las partes del proceso </w:t>
      </w:r>
      <w:r w:rsidRPr="0026452D">
        <w:rPr>
          <w:i/>
        </w:rPr>
        <w:t>a quo</w:t>
      </w:r>
      <w:r>
        <w:t xml:space="preserve"> previsto en el art. 35.2 LOTC, toda vez que, a su juicio, la escueta providencia de 4 de julio de 2003 no satisface las exigencias mínimas de dicho precepto y de la doctrina de este Tribunal Constitucional, que ha destacado como finalidad del precepto la de permitir una efectiva colaboración de las partes en el proceso. Si bien puede estimarse suficiente la indicación contenida en la citada providencia relativa a la discriminación indirecta por razón de sexo, no ocurre lo mismo en relación con la referencia general e indeterminada al principio de igualdad, pues éste exige el establecimiento de un término de comparación para cualquier enjuiciamiento práctico. Esta referencia genérica, que después se concreta en el Auto de planteamiento de la cuestión como manifestación de una ruptura del principio de proporcionalidad, ha impedido a las partes —con excepción del Ministerio Fiscal— delimitar por sí mismos los géneros considerados luego en el Auto —los trabajadores a tiempo parcial y a tiempo completo—; así, en el escrito de alegaciones de la recurrente se entendió la comparación como referida sólo a los trabajadores a tiempo parcial, en función de la fecha de sus contratos, mientras que las alegaciones del INSS se limitaron al único aspecto que en la providencia ofrecía una cierta claridad: la discriminación por razón de sexo. Concluye, por ello, el Abogado del Estado que el primer motivo de inconstitucionalidad, relativo a la proporcionalidad, no debe quedar comprendido en la cuestión, por plantearse al margen del procedimiento.</w:t>
      </w:r>
    </w:p>
    <w:p w:rsidR="0026452D" w:rsidRDefault="0026452D" w:rsidP="0026452D">
      <w:pPr>
        <w:pStyle w:val="TextoNormal"/>
      </w:pPr>
    </w:p>
    <w:p w:rsidR="0026452D" w:rsidRDefault="0026452D" w:rsidP="0026452D">
      <w:pPr>
        <w:pStyle w:val="TextoNormal"/>
      </w:pPr>
      <w:r>
        <w:t xml:space="preserve">Con carácter subsidiario a la anterior alegación, rechaza también el Abogado del Estado que el precepto cuestionado vulnere el principio de igualdad desde la perspectiva del juicio de proporcionalidad. Entiende que el caso planteado carece de la menor afinidad con el resuelto por la STC 177/1993, de 31 de mayo, en la que dice inspirarse el órgano judicial proponente. Pero, además de ello, considera que en dicho, citado pero inexacto, precedente están reconocidas como legítimas las categorías diferenciales de que se ha servido el precepto cuestionado, puesto que las diferencias acusadas son visiblemente cuantitativas, basadas en la muy distinta cantidad de trabajo por unidad de tiempo entre los trabajadores a tiempo completo y los trabajadores a tiempo parcial. La indicada diferencia repercute sobre las retribuciones, éstas sobre las bases de cotización y, consiguientemente, sobre las prestaciones. La norma cuestionada se limita a totalizar las horas de trabajo procediendo mediante </w:t>
      </w:r>
      <w:r>
        <w:lastRenderedPageBreak/>
        <w:t>la oportuna operación aritmética a convertir las unidades horarias en unidades de días teóricos. Habría lesión si esta conversión fuera de alguna manera caprichosa o incorrecta, pero la Sala no parece cuestionar las correspondencias entre los tiempos de trabajo y de cotización entre los trabajadores a tiempo completo o a tiempo parcial. Lo que ésta parece cuestionar es la justificación de la diferencia entre una y otra clase de trabajadores, al proponer una medida única para el cálculo de la pensión de todos ellos, cifrada en lo que el Auto llama “períodos de tiempo con contrato vigente”. Según esta pauta, habría de atenderse a la duración total de la relación, al margen de su contenido, del trabajo realizado y de las cotizaciones efectuadas. Con ello, sin embargo, lo que se propugna es una indiferenciación que sería patentemente lesiva para aquellos trabajadores que han realizado un mayor volumen de horas de trabajo y soportado mayores cotizaciones en beneficio de aquellos en los que la magnitud de unidades de trabajo es menor, aunque el período de vigencia del contrato sea mayor.</w:t>
      </w:r>
    </w:p>
    <w:p w:rsidR="0026452D" w:rsidRDefault="0026452D" w:rsidP="0026452D">
      <w:pPr>
        <w:pStyle w:val="TextoNormal"/>
      </w:pPr>
    </w:p>
    <w:p w:rsidR="0026452D" w:rsidRDefault="0026452D" w:rsidP="0026452D">
      <w:pPr>
        <w:pStyle w:val="TextoNormal"/>
      </w:pPr>
      <w:r>
        <w:t>Por otra parte, añade el escrito, las bases reguladoras de los trabajadores a tiempo parcial se determinan con arreglo a las normas establecidas con carácter general; si son menores a las aplicables a los trabajadores a tiempo completo, será por efecto de la menor retribución. No es pues una penalización de fuente distinta a la menor cantidad de trabajo por unidad de tiempo, sino que responde a esa misma causa.</w:t>
      </w:r>
    </w:p>
    <w:p w:rsidR="0026452D" w:rsidRDefault="0026452D" w:rsidP="0026452D">
      <w:pPr>
        <w:pStyle w:val="TextoNormal"/>
      </w:pPr>
    </w:p>
    <w:p w:rsidR="0026452D" w:rsidRDefault="0026452D" w:rsidP="0026452D">
      <w:pPr>
        <w:pStyle w:val="TextoNormal"/>
      </w:pPr>
      <w:r>
        <w:t>Asimismo, indica que la Seguridad Social no puede ser totalmente ajena a los mecanismos de cobertura propios del seguro; por ello, ni sería justo ni, probablemente, posible económicamente lo que viene a proponer a fin de cuentas la Sala en su planteamiento: atender no al trabajo efectivamente realizado por los trabajadores a tiempo parcial sino a la duración de la vigencia de su contrato, lo que constituiría una ficción, al tomar como pauta no la comúnmente aplicable a todos los trabajadores, atendiendo a lo que se ha trabajado y cotizado efectivamente, sino el dato inexpresivo del período de trabajo. La norma cuestionada no lesiona la proporcionalidad porque lo que pretende es, precisamente, ajustar a sus verdaderas proporciones reales el trabajo y las cotizaciones de los trabajadores a tiempo parcial, para aplicarles la norma general.</w:t>
      </w:r>
    </w:p>
    <w:p w:rsidR="0026452D" w:rsidRDefault="0026452D" w:rsidP="0026452D">
      <w:pPr>
        <w:pStyle w:val="TextoNormal"/>
      </w:pPr>
    </w:p>
    <w:p w:rsidR="0026452D" w:rsidRDefault="0026452D" w:rsidP="0026452D">
      <w:pPr>
        <w:pStyle w:val="TextoNormal"/>
      </w:pPr>
      <w:r>
        <w:t>b) No aprecia tampoco el Abogado del Estado la concurrencia de la segunda de las lesiones en que se funda el Auto de la Sala de lo Social, relativa a la existencia de discriminación indirecta. Al respecto indica que para que exista discriminación debe existir, como primera condición, una diferencia de trato, aunque la comparación haya de establecerse entre grupos de personas. Y esa diferencia de trato no es reconocible en un campo donde rige como esquema o principio básico un sistema de cobertura cifrado en la correspondencia entre cotizaciones y prestaciones. Lo excepcional, dice, son las quiebras de esa correspondencia, y esa excepcionalidad es la que se postula como adecuada en el Auto. Parece sugerirse por el órgano judicial proponente que lo que fundamenta el pago de las prestaciones sociales no es sino una vaga e imprecisa “vinculación” de la persona al mercado de trabajo, sin que fuera de esta genérica vinculación importe ni el trabajo realizado, ni las cotizaciones soportadas. Por tanto, no existe discriminación, es decir, diferencia entre dos grupos de trabajadores, porque desde el plano que importa a la institución considerada —el trabajo efectivo y las cotizaciones— ambos son tratados con absoluta igualdad, en cuanto se atiende al trabajo realizado y a las cotizaciones, teniendo precisamente el precepto cuestionado esta finalidad igualadora.</w:t>
      </w:r>
    </w:p>
    <w:p w:rsidR="0026452D" w:rsidRDefault="0026452D" w:rsidP="0026452D">
      <w:pPr>
        <w:pStyle w:val="TextoNormal"/>
      </w:pPr>
    </w:p>
    <w:p w:rsidR="0026452D" w:rsidRDefault="0026452D" w:rsidP="0026452D">
      <w:pPr>
        <w:pStyle w:val="TextoNormal"/>
      </w:pPr>
      <w:r>
        <w:lastRenderedPageBreak/>
        <w:t>Por lo demás, considera el Abogado del Estado que están también mal traídas a colación las referencias a la jurisprudencia constitucional a través de las cuales el Auto basa la discriminación indirecta que postula, pues no puede bastar con el dato de que en los presupuestos de hecho de una norma concurran diferencias estadísticas entre los dos sexos para que pueda objetarse una lesión por discriminación sexista. La discriminación indirecta, como cualquier otra lesión del art. 14 CE, ha de contener una diferencia injustificada de trato perjudicial para un determinado género. La diferencia entre trabajadores a tiempo parcial y a tiempo completo no puede decirse que beneficie o perjudique a ninguno de los dos géneros que directamente resultan de la propia distinción, ni a los que estadísticamente los compongan o representen. Las ventajas o inconvenientes de cada una de estas modalidades de prestación del trabajo son las que, en su conjunto, aprecien y libremente elijan los contratantes, figurando entre los componentes de cada situación los mecanismos determinativos de las pensiones, que guardan relación con el conjunto, sin que parezca admisible que determinados efectos legales se sustraigan del propio contexto normativo donde se generan, sustituyéndolos por los que rigen en otras modalidades de trabajo con las que nada tiene que ver.</w:t>
      </w:r>
    </w:p>
    <w:p w:rsidR="0026452D" w:rsidRDefault="0026452D" w:rsidP="0026452D">
      <w:pPr>
        <w:pStyle w:val="TextoNormal"/>
      </w:pPr>
    </w:p>
    <w:p w:rsidR="0026452D" w:rsidRDefault="0026452D" w:rsidP="0026452D">
      <w:pPr>
        <w:pStyle w:val="TextoNormal"/>
      </w:pPr>
      <w:r w:rsidRPr="0026452D">
        <w:rPr>
          <w:rStyle w:val="NumeroAFNegritaCaracter"/>
        </w:rPr>
        <w:t>7</w:t>
      </w:r>
      <w:r>
        <w:t>. El Fiscal General del Estado evacuó el trámite conferido mediante escrito registrado el 5 de diciembre de 2003, en el que manifestó su criterio de que el precepto cuestionado no es contrario al art. 14 CE.</w:t>
      </w:r>
    </w:p>
    <w:p w:rsidR="0026452D" w:rsidRDefault="0026452D" w:rsidP="0026452D">
      <w:pPr>
        <w:pStyle w:val="TextoNormal"/>
      </w:pPr>
    </w:p>
    <w:p w:rsidR="0026452D" w:rsidRDefault="0026452D" w:rsidP="0026452D">
      <w:pPr>
        <w:pStyle w:val="TextoNormal"/>
      </w:pPr>
      <w:r>
        <w:t>Tras recordar los antecedentes de la cuestión, así como los razonamientos jurídicos contenidos en el Auto de planteamiento de la misma, y analizar el precepto cuestionado, poniéndolo en relación con sus antecedentes normativos y, en general, con la evolución de la figura jurídica del contrato de trabajo a tiempo parcial, señala el Fiscal General del Estado que resulta fácil colegir de todo ello que este contrato y las consecuencias anudadas al mismo, entre las que se encuentra el particular sistema de protección que dispensa la Seguridad Social, poseen una especial justificación, pudiendo afirmarse que en esta concreta modalidad contractual simplemente se instaura un diferente sistema de cómputo temporal, que aparece sustentando en circunstancias objetivas, en modo alguno relacionadas con la pertenencia a uno u otro sexo. Esta modalidad contractual nace con el único propósito de fomentar el empleo, constituyendo una útil herramienta en la lucha contra el paro y dirigida a muy diversos colectivos —jóvenes, mujeres, desempleados de larga duración, etc.—, buscándose obtener por esta vía un reparto del trabajo disponible de carácter estrictamente voluntario. Es, por tanto, una fórmula contractual que permite la integración progresiva de estos colectivos en el trabajo, como medio, entre otros, para que los jóvenes encuentren la posibilidad de una etapa de adaptación al trabajo a la salida del sistema educativo, creándose puestos de trabajo que les permitan familiarizarse con la vida laboral y completar su formación a través del trabajo. Asimismo, considera que existen razones objetivas para establecer un trato diferente para los trabajadores a tiempo parcial en el ámbito de las prestaciones de Seguridad Social, en cuanto que, al tratarse de una pensión de carácter contributivo, resulta imprescindible para el mantenimiento del sistema la previa cotización por tiempo suficiente para devengar el derecho, tratándose de un requisito exigible de manera análoga a los trabajadores a tiempo completo, pues no alcanzando la totalidad del período de carencia —15 años—, tampoco podrían obtenerlo.</w:t>
      </w:r>
    </w:p>
    <w:p w:rsidR="0026452D" w:rsidRDefault="0026452D" w:rsidP="0026452D">
      <w:pPr>
        <w:pStyle w:val="TextoNormal"/>
      </w:pPr>
    </w:p>
    <w:p w:rsidR="0026452D" w:rsidRDefault="0026452D" w:rsidP="0026452D">
      <w:pPr>
        <w:pStyle w:val="TextoNormal"/>
      </w:pPr>
      <w:r>
        <w:t xml:space="preserve">Como quiera que el art. 14 CE no prohíbe al legislador cualquier desigualdad de trato, sino sólo aquellas desigualdades que resulten artificiosas o injustificadas por no venir fundadas en criterios objetivos suficientemente razonables, entiende el Fiscal General que en </w:t>
      </w:r>
      <w:r>
        <w:lastRenderedPageBreak/>
        <w:t>el presente caso debe afirmarse que la finalidad perseguida no es otra que el equilibrio económico del sistema de la Seguridad Social, esto es, su viabilidad, estableciendo requisitos adaptados a las peculiares características de las respectivas modalidades contractuales e instaurando reglas proporcionales que atiendan al tiempo efectivamente trabajado en cada supuesto, para completar el período mínimo de carencia exigido en todo caso.</w:t>
      </w:r>
    </w:p>
    <w:p w:rsidR="0026452D" w:rsidRDefault="0026452D" w:rsidP="0026452D">
      <w:pPr>
        <w:pStyle w:val="TextoNormal"/>
      </w:pPr>
    </w:p>
    <w:p w:rsidR="0026452D" w:rsidRDefault="0026452D" w:rsidP="0026452D">
      <w:pPr>
        <w:pStyle w:val="TextoNormal"/>
      </w:pPr>
      <w:r>
        <w:t>Ciertamente, añade el Ministerio Fiscal, el art. 41 CE convierte a la Seguridad Social en un sistema público en el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21 de mayo). Los arts. 41 y 50 CE no constriñen al establecimiento de un único sistema prestacional fundado en principios idénticos, ni a la regulación de unos mismos requisitos o la previsión de iguales circunstancias determinantes del nacimiento del derecho (STC 114/1987, de 6 de junio).</w:t>
      </w:r>
    </w:p>
    <w:p w:rsidR="0026452D" w:rsidRDefault="0026452D" w:rsidP="0026452D">
      <w:pPr>
        <w:pStyle w:val="TextoNormal"/>
      </w:pPr>
    </w:p>
    <w:p w:rsidR="0026452D" w:rsidRDefault="0026452D" w:rsidP="0026452D">
      <w:pPr>
        <w:pStyle w:val="TextoNormal"/>
      </w:pPr>
      <w:r>
        <w:t>Por otra parte, recuerda el Ministerio Fiscal, el Tribunal Constitucional ha afirmado que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aquel (STC 65/1987, FJ 17, entre otras). Este amplio margen de libertad reconocido al legislador por el Tribunal Constitucional en el ámbito de prestaciones sociales que tienen fundamento constitucional en el art. 41 CE descansa, en efecto, en el hecho de tratarse de recursos económicos necesariamente escasos en conexión con las circunstancias económicas, las disponibilidades del momento y las necesidades y deberes de los grupos sociales (SSTC 65/1987, FJ 17; 134/1987, de 21 de julio, FJ 5; 97/1990, de 24 de mayo, FJ 3; 184/1990, de 15 de noviembre, FJ 3; y 361/1993, de 3 de diciembre, FJ 2, por todas).</w:t>
      </w:r>
    </w:p>
    <w:p w:rsidR="0026452D" w:rsidRDefault="0026452D" w:rsidP="0026452D">
      <w:pPr>
        <w:pStyle w:val="TextoNormal"/>
      </w:pPr>
    </w:p>
    <w:p w:rsidR="0026452D" w:rsidRDefault="0026452D" w:rsidP="0026452D">
      <w:pPr>
        <w:pStyle w:val="TextoNormal"/>
      </w:pPr>
      <w:r>
        <w:t>Todo ello obliga a concluir, a juicio del Fiscal General, que, al establecerse un particular modo de cómputo del período de carencia, que se explica en razón de las peculiaridades de la modalidad de contratación en la que tiene su origen y que se basa en la aplicación de una regla de carácter proporcional que atiende al tiempo efectivamente trabajado, no es posible adivinar otro objetivo en la voluntad del legislador que no sea el de procurar la viabilidad y subsistencia del sistema de Seguridad Social, circunstancia ésta de no desdeñable trascendencia que se constituye, así, en el fundamento racional y objetivo de un diferente tratamiento otorgado a dos distintas formas contractuales, que, recuérdese, sólo acaece de forma parcial, en cuanto la desigualdad se sitúa exclusivamente en la apreciación del mero transcurso natural del tiempo (más de 15 años), pero no en la estimación del total de horas efectivamente trabajadas, en el resultado de cuya suma, se sanciona una absoluta identidad de ambos supuestos.</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doce de marzo de dos mil trece se señaló para deliberación y votación de la presente Sentencia el día catorce del mismo mes y año.</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objeto de la presente cuestión de inconstitucionalidad, planteada por la Sala de lo Social del Tribunal Superior de Justicia de Galicia, es determinar si el inciso inicial de la letra a) de la regla segunda del apartado 1 de la disposición adicional séptima de la Ley general de la Seguridad Social, texto refundido aprobado por Real Decreto Legislativo 1/1994, de 20 de junio, en la redacción dada por el Real Decreto-ley 15/1998, de 27 de noviembre, vulnera el art. 14 de la Constitución.</w:t>
      </w:r>
    </w:p>
    <w:p w:rsidR="0026452D" w:rsidRDefault="0026452D" w:rsidP="0026452D">
      <w:pPr>
        <w:pStyle w:val="TextoNormal"/>
      </w:pPr>
    </w:p>
    <w:p w:rsidR="0026452D" w:rsidRDefault="0026452D" w:rsidP="0026452D">
      <w:pPr>
        <w:pStyle w:val="TextoNormal"/>
      </w:pPr>
      <w:r>
        <w:t>La disposición adicional séptima de la Ley general de la Seguridad Social (LGSS) contiene reglas específicas en materia de cotización y acción protectora aplicables a los trabajadores contratados a tiempo parcial. Dentro de la regla 2 de su apartado 1, referida a la forma de cálculo de los períodos de cotización exigidos para causar derecho a las diferentes prestaciones del sistema, el inciso inicial de su letra a), al que se circunscribe la duda de inconstitucionalidad planteada por el órgano judicial, establece textualmente lo siguiente, conforme al tenor introducido por el citado Real Decreto-ley 15/1998:</w:t>
      </w:r>
    </w:p>
    <w:p w:rsidR="0026452D" w:rsidRDefault="0026452D" w:rsidP="0026452D">
      <w:pPr>
        <w:pStyle w:val="TextoNormal"/>
      </w:pPr>
    </w:p>
    <w:p w:rsidR="0026452D" w:rsidRDefault="0026452D" w:rsidP="0026452D">
      <w:pPr>
        <w:pStyle w:val="TextoNormal"/>
      </w:pPr>
      <w:r>
        <w:t>“a) Para acreditar los períodos de cotización necesarios para causar derecho a las prestaciones de jubilación, incapacidad permanente, muerte y supervivencia, incapacidad temporal y maternidad, se computarán exclusivamente las cotizaciones efectuadas en función de las horas trabajadas, tanto ordinarias como complementarias, calculando su equivalencia en días teóricos de cotización.”</w:t>
      </w:r>
    </w:p>
    <w:p w:rsidR="0026452D" w:rsidRDefault="0026452D" w:rsidP="0026452D">
      <w:pPr>
        <w:pStyle w:val="TextoNormal"/>
      </w:pPr>
    </w:p>
    <w:p w:rsidR="0026452D" w:rsidRDefault="0026452D" w:rsidP="0026452D">
      <w:pPr>
        <w:pStyle w:val="TextoNormal"/>
      </w:pPr>
      <w:r>
        <w:t>A continuación, el segundo inciso de esta misma letra a) añade lo siguiente:</w:t>
      </w:r>
    </w:p>
    <w:p w:rsidR="0026452D" w:rsidRDefault="0026452D" w:rsidP="0026452D">
      <w:pPr>
        <w:pStyle w:val="TextoNormal"/>
      </w:pPr>
    </w:p>
    <w:p w:rsidR="0026452D" w:rsidRDefault="0026452D" w:rsidP="0026452D">
      <w:pPr>
        <w:pStyle w:val="TextoNormal"/>
      </w:pPr>
      <w:r>
        <w:t>“A tal fin, el número de horas efectivamente trabajadas se dividirá por cinco, equivalente diario del cómputo de mil ochocientas veintiséis horas anuales.”</w:t>
      </w:r>
    </w:p>
    <w:p w:rsidR="0026452D" w:rsidRDefault="0026452D" w:rsidP="0026452D">
      <w:pPr>
        <w:pStyle w:val="TextoNormal"/>
      </w:pPr>
    </w:p>
    <w:p w:rsidR="0026452D" w:rsidRDefault="0026452D" w:rsidP="0026452D">
      <w:pPr>
        <w:pStyle w:val="TextoNormal"/>
      </w:pPr>
      <w:r>
        <w:t>Finalmente, la letra b) de esta regla 2 establece lo siguiente:</w:t>
      </w:r>
    </w:p>
    <w:p w:rsidR="0026452D" w:rsidRDefault="0026452D" w:rsidP="0026452D">
      <w:pPr>
        <w:pStyle w:val="TextoNormal"/>
      </w:pPr>
    </w:p>
    <w:p w:rsidR="0026452D" w:rsidRDefault="0026452D" w:rsidP="0026452D">
      <w:pPr>
        <w:pStyle w:val="TextoNormal"/>
      </w:pPr>
      <w:r>
        <w:t>“Para causar derecho a las pensiones de jubilación e incapacidad permanente, al número de días teóricos de cotización obtenidos conforme a lo dispuesto en la letra a) de esta regla se le aplicará el coeficiente multiplicador de 1,5, resultando de ello el número de días que se considerarán acreditados para la determinación de los períodos mínimos de cotización. En ningún caso podrá computarse un número de días cotizados superior al que correspondería de haberse realizado la prestación de servicios a tiempo completo.”</w:t>
      </w:r>
    </w:p>
    <w:p w:rsidR="0026452D" w:rsidRDefault="0026452D" w:rsidP="0026452D">
      <w:pPr>
        <w:pStyle w:val="TextoNormal"/>
      </w:pPr>
    </w:p>
    <w:p w:rsidR="0026452D" w:rsidRDefault="0026452D" w:rsidP="0026452D">
      <w:pPr>
        <w:pStyle w:val="TextoNormal"/>
      </w:pPr>
      <w:r>
        <w:t>A juicio del órgano que, en el curso de un proceso sobre pensión de jubilación, propone el presente procedimiento, el precepto cuestionado, al computar para el cálculo de los períodos de carencia exigidos para el acceso a las prestaciones de la Seguridad Social, en el caso de los trabajadores a tiempo parcial, únicamente las horas efectivamente trabajadas, en lugar de computar cada día trabajado como un día completo, según se hace en el caso de los trabajadores a tiempo completo, podría vulnerar el art. 14 CE, desde una doble perspectiva: por un lado, por la ruptura del principio de proporcionalidad como aspecto del derecho de igualdad, pues en virtud de dicho precepto un trabajador a tiempo parcial necesitaría trabajar más tiempo que un trabajador a tiempo completo para cubrir la misma carencia exigida; y, por otro lado, por discriminación indirecta por razón de sexo, al evidenciarse estadística</w:t>
      </w:r>
      <w:r>
        <w:lastRenderedPageBreak/>
        <w:t>mente que los trabajadores a tiempo parcial son mayoritariamente del sexo femenino, ocasionándoles la norma cuestionada un “impacto adverso” que, de no estar objetivamente justificado o no ser los medios empleados adecuados o necesarios, resultaría discriminatorio.</w:t>
      </w:r>
    </w:p>
    <w:p w:rsidR="0026452D" w:rsidRDefault="0026452D" w:rsidP="0026452D">
      <w:pPr>
        <w:pStyle w:val="TextoNormal"/>
      </w:pPr>
    </w:p>
    <w:p w:rsidR="0026452D" w:rsidRDefault="0026452D" w:rsidP="0026452D">
      <w:pPr>
        <w:pStyle w:val="TextoNormal"/>
      </w:pPr>
      <w:r>
        <w:t>Tanto el Abogado del Estado, en la representación que ostenta, como el Fiscal General del Estado interesan la desestimación de la cuestión de inconstitucionalidad, por entender que el precepto cuestionado no es contrario al precepto constitucional invocado. El Abogado del Estado, además, considera que la cuestión es parcialmente inadmisible, por defecto en el cumplimiento por el órgano judicial del requisito de audiencia previa a las partes del art. 35.2 de la Ley Orgánica del Tribunal Constitucional (LOTC).</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Antes de abordar los aspectos materiales planteados en la presente cuestión hemos de analizar si la misma cumple las condiciones procesales exigidas por los arts. 163 CE y 35 LOTC. En particular, hemos de examinar la objeción procesal expresada por el Abogado del Estado, quien alega un defecto en la manera en que la Sala proponente ha observado el requisito de sumisión previa de la duda de constitucionalidad a las partes del proceso </w:t>
      </w:r>
      <w:r w:rsidRPr="0026452D">
        <w:rPr>
          <w:i/>
        </w:rPr>
        <w:t>a quo</w:t>
      </w:r>
      <w:r>
        <w:t>, previsto en el art. 35.2 LOTC, al considerar que, en lo referido a la posible lesión del principio de igualdad, la escueta providencia de 4 de julio de 2003 no satisface, a su juicio, las exigencias mínimas de dicho precepto y de la doctrina de este Tribunal Constitucional, por no ofrecer un término de comparación adecuado en el que basar el enjuiciamiento de la cuestión.</w:t>
      </w:r>
    </w:p>
    <w:p w:rsidR="0026452D" w:rsidRDefault="0026452D" w:rsidP="0026452D">
      <w:pPr>
        <w:pStyle w:val="TextoNormal"/>
      </w:pPr>
    </w:p>
    <w:p w:rsidR="0026452D" w:rsidRDefault="0026452D" w:rsidP="0026452D">
      <w:pPr>
        <w:pStyle w:val="TextoNormal"/>
      </w:pPr>
      <w:r>
        <w:t>A tal efecto hemos de recordar una vez más que, aun cuando el art. 37.1 LOTC abre la posibilidad de rechazar en trámite de admisión las cuestiones de inconstitucionalidad planteadas por los órganos judiciales cuando faltaren las condiciones procesales (entre otros muchos, AATC 42/1998, de 18 de febrero, FJ 1; 21/2001, de 30 de enero, FJ 1; 25/2003, de 28 de enero, FJ 3; 188/2003, de 3 de junio, FJ 1; y 206/2005, de 10 de mayo, FJ 2), no existe ningún óbice para hacer un pronunciamiento de la misma naturaleza en la fase de resolución de las mismas,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SSTC 133/2004, de 22 de julio, FJ 1; 255/2004, de 22 de diciembre, FJ 2; y 224/2006, de 6 de julio, FJ 4).</w:t>
      </w:r>
    </w:p>
    <w:p w:rsidR="0026452D" w:rsidRDefault="0026452D" w:rsidP="0026452D">
      <w:pPr>
        <w:pStyle w:val="TextoNormal"/>
      </w:pPr>
    </w:p>
    <w:p w:rsidR="0026452D" w:rsidRDefault="0026452D" w:rsidP="0026452D">
      <w:pPr>
        <w:pStyle w:val="TextoNormal"/>
      </w:pPr>
      <w:r>
        <w:t xml:space="preserve">Sentado lo anterior, es preciso comenzar recordando que el art. 35.2 LOTC exige del órgano judicial proponente que, antes de adoptar mediante Auto su decisión definitiva sobre el planteamiento de la cuestión, oiga a las partes y al Ministerio Fiscal para que “puedan alegar lo que deseen sobre la pertinencia de plantear la cuestión de inconstitucionalidad, o sobre el fondo de ésta”. Este trámite de audiencia tiene, según ha declarado este Tribunal,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(STC 166/1986, de 19 de diciembre, FJ 4; ATC 121/1998, de 21 de mayo, FJ 3), posibilitando, al mismo tiempo, que las alegaciones de las partes, incorporadas, cuando existan, a la documentación remitida al Tribunal Constitucional, puedan ser tenidas en cuenta por éste a fin de examinar tanto la viabilidad de la cuestión misma como el alcance del problema constitucional en ella planteado (ATC 108/1993, de 30 de marzo, </w:t>
      </w:r>
      <w:r>
        <w:lastRenderedPageBreak/>
        <w:t>FJ 2). Para todo ello resulta exigible que la providencia que otorga la audiencia concrete los preceptos legales cuestionados y las normas constitucionales que el Juez estima de posible vulneración por aquéllos (SSTC 166/1986, de 19 de diciembre, FJ 4; y 139/2008, de 28 de octubre, FJ 4; y ATC 121/1998, de 21 de mayo, FJ 4).</w:t>
      </w:r>
    </w:p>
    <w:p w:rsidR="0026452D" w:rsidRDefault="0026452D" w:rsidP="0026452D">
      <w:pPr>
        <w:pStyle w:val="TextoNormal"/>
      </w:pPr>
    </w:p>
    <w:p w:rsidR="0026452D" w:rsidRDefault="0026452D" w:rsidP="0026452D">
      <w:pPr>
        <w:pStyle w:val="TextoNormal"/>
      </w:pPr>
      <w:r>
        <w:t>Pues bien, a la vista del contenido de la providencia de 4 de julio de 2003 hemos de concluir que la misma cumple los requisitos exigidos, al especificar tanto el precepto de cuya constitucionalidad se duda como la norma constitucional de posible vulneración por aquél, precisando, incluso, la doble vertiente del art. 14 CE —principio de igualdad y prohibición de discriminación por razón de sexo— que fundamenta la duda del órgano judicial. La relativa indeterminación derivada del hecho de no haberse concretado, en relación con el principio de igualdad, el término de comparación en virtud del cual debería efectuarse el enjuiciamiento de la cuestión carece de suficiente entidad para ser elevada a causa de inadmisibilidad cerrando el paso al examen por este Tribunal del problema de fondo cuestionado, al no haber impedido a las partes y el Ministerio Fiscal conocer el planteamiento de inconstitucionalidad realizado por el órgano judicial y, atendidas las circunstancias del caso, situarlo en sus exactos términos constitucionales y oponerse a él (SSTC 42/1990, de 15 de marzo, FJ 1; y 120/2000, de 10 de mayo, FJ 2). No es óbice para ello el hecho de que, en su análisis, el Ministerio Fiscal se haya fijado en la comparación entre los trabajadores a tiempo parcial y los trabajadores a tiempo completo, mientras que las partes del proceso, teniendo en cuenta los términos del previo debate procesal, se hayan centrado fundamentalmente en la perspectiva de la comparación entre los trabajadores a tiempo parcial que hubieran causado su derecho a pensión en diferentes momentos temporales —antes o después de la entrada en vigor de la disposición legal cuestionada—, dualidad de enfoques que, en todo caso, ha permitido al órgano judicial una delimitación más precisa del objeto de la cuestión en el Auto de planteamiento de la misma (ATC 875/1985, de 5 de diciembre, FJ 1).</w:t>
      </w:r>
    </w:p>
    <w:p w:rsidR="0026452D" w:rsidRDefault="0026452D" w:rsidP="0026452D">
      <w:pPr>
        <w:pStyle w:val="TextoNormal"/>
      </w:pPr>
    </w:p>
    <w:p w:rsidR="0026452D" w:rsidRDefault="0026452D" w:rsidP="0026452D">
      <w:pPr>
        <w:pStyle w:val="TextoNormal"/>
      </w:pPr>
      <w:r w:rsidRPr="0026452D">
        <w:rPr>
          <w:rStyle w:val="NumeroAFNegritaCaracter"/>
        </w:rPr>
        <w:t>3</w:t>
      </w:r>
      <w:r>
        <w:t>. Resueltos los aspectos procesales, y a efectos de adentrarnos en el fondo, procede inicialmente efectuar algunas consideraciones previas, dirigidas a delimitar el contenido de la presente cuestión de inconstitucionalidad, las cuales, a su vez, permitirán subrayar los aspectos novedosos, aunque próximos, que la actual cuestión presenta respecto a la resuelta en la STC 253/2004, de 22 de diciembre —seguida y aplicada por las SSTC 49/2005 y 50/2005, de 14 de marzo.</w:t>
      </w:r>
    </w:p>
    <w:p w:rsidR="0026452D" w:rsidRDefault="0026452D" w:rsidP="0026452D">
      <w:pPr>
        <w:pStyle w:val="TextoNormal"/>
      </w:pPr>
    </w:p>
    <w:p w:rsidR="0026452D" w:rsidRDefault="0026452D" w:rsidP="0026452D">
      <w:pPr>
        <w:pStyle w:val="TextoNormal"/>
      </w:pPr>
      <w:r>
        <w:t>a) A tal fin, hemos de comenzar recordando que, en la referida STC 253/2004, este Tribunal se pronunció sobre la constitucionalidad del precedente normativo de la previsión ahora cuestionada; esto es, sobre su antecesor, el art. 12.4 de la Ley del estatuto de los trabajadores (LET), cuando en relación con la regulación del contrato a tiempo parcial disponía que para determinar los períodos de cotización y de cálculo de la base reguladora de las prestaciones de Seguridad Social se computarían exclusivamente las horas trabajadas.</w:t>
      </w:r>
    </w:p>
    <w:p w:rsidR="0026452D" w:rsidRDefault="0026452D" w:rsidP="0026452D">
      <w:pPr>
        <w:pStyle w:val="TextoNormal"/>
      </w:pPr>
    </w:p>
    <w:p w:rsidR="0026452D" w:rsidRDefault="0026452D" w:rsidP="0026452D">
      <w:pPr>
        <w:pStyle w:val="TextoNormal"/>
      </w:pPr>
      <w:r>
        <w:t xml:space="preserve">Con ocasión de este precepto, ya entonces se planteó la posible vulneración del art. 14 CE por parte de una regulación legal que, como aquélla, establecía para los trabajadores a tiempo parcial un sistema de cómputo de los períodos de cotización exigidos para causar derecho a las prestaciones del sistema que únicamente tenía en cuenta las horas trabajadas, en vez de considerar, como en el caso de los trabajadores a tiempo completo, cada día trabajado como un día cotizado. Pues bien, en la ya citada STC 253/2004, de 22 de diciembre, este Tribunal declaró “inconstitucional y nulo el párrafo segundo del art. 12 4 de la Ley del </w:t>
      </w:r>
      <w:r>
        <w:lastRenderedPageBreak/>
        <w:t>Estatuto de los trabajadores, según la redacción del texto refundido aprobado por el Real Decreto Legislativo 1/1995, de 24 de marzo, en cuanto establece que para determinar los periodos de cotización de las prestaciones de Seguridad Social, incluida la de protección por desempleo, se computarán exclusivamente las horas trabajadas”. Las razones que llevaron a esta conclusión fueron, en síntesis, las siguientes.</w:t>
      </w:r>
    </w:p>
    <w:p w:rsidR="0026452D" w:rsidRDefault="0026452D" w:rsidP="0026452D">
      <w:pPr>
        <w:pStyle w:val="TextoNormal"/>
      </w:pPr>
    </w:p>
    <w:p w:rsidR="0026452D" w:rsidRDefault="0026452D" w:rsidP="0026452D">
      <w:pPr>
        <w:pStyle w:val="TextoNormal"/>
      </w:pPr>
      <w:r>
        <w:t>De una parte, tras recordar nuestra doctrina sobre el principio de igualdad y la exigencia de que las diferencias de trato superen el juicio de proporcionalidad, el Tribunal apreció que la norma entonces cuestionada, en los términos estrictos establecidos en la misma para determinar los períodos de cotización exigibles para causar derecho a las prestaciones cuando existen periodos trabajados a tiempo parcial, conducía “a un resultado desproporcionado desde la perspectiva del derecho de igualdad, cuando menos en relación con aquellas prestaciones contributivas que exigen amplios periodos de cotización (como es el caso de las pensiones de jubilación e invalidez permanente), pudiendo generar incluso supuestos de desprotección ante situaciones reales de necesidad que afectan a trabajadores a tiempo parcial” (STC 253/2004, FJ 6). Desde esta perspectiva, el Tribunal señalaba que, en aras al principio contributivo, no resulta contrario al art. 14 CE que el trabajo a tiempo parcial conlleve una pensión de cuantía proporcionalmente inferior a la de un trabajador a tiempo completo: en tal sentido afirmaba que, en la medida en que el contrato a tiempo parcial supone un esfuerzo contributivo menor (como consecuencia del inferior salario percibido) que en el caso del contrato a jornada completa, 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la cuantía de la prestación de la aplicación de un determinado porcentaje sobre la base reguladora. En cambio, entendía el Tribunal, la aplicación del criterio de proporcionalidad estricta a los contratos a tiempo parcial a efectos del cómputo de los períodos de carencia necesarios para causar derecho a las prestaciones conducía a un resultado claramente desproporcionado, pues dificultaba injustificadamente el acceso de los trabajadores a tiempo parcial a la protección social, al exigir a estos trabajadores unos períodos de actividad más extensos para reunir el requisito de carencia, lo que, decía la Sentencia, resulta especialmente gravoso o desmedido en el caso de trabajadores con amplios lapsos de vida laboral en situación de contrato a tiempo parcial y en relación con las prestaciones que exigen períodos de cotización elevados.</w:t>
      </w:r>
    </w:p>
    <w:p w:rsidR="0026452D" w:rsidRDefault="0026452D" w:rsidP="0026452D">
      <w:pPr>
        <w:pStyle w:val="TextoNormal"/>
      </w:pPr>
    </w:p>
    <w:p w:rsidR="0026452D" w:rsidRDefault="0026452D" w:rsidP="0026452D">
      <w:pPr>
        <w:pStyle w:val="TextoNormal"/>
      </w:pPr>
      <w:r>
        <w:t xml:space="preserve">De otra parte, este Tribunal estimó asimismo que la regulación cuestionada vulneraba el art. 14 CE desde la perspectiva del derecho a la no discriminación, al generar una discriminación indirecta por razón de sexo. Tras analizar el concepto de discriminación indirecta acuñado por la jurisprudencia del Tribunal de Justicia de las Comunidades Europeas y recogido por el Derecho comunitario y la legislación interna, así como su propia doctrina al respecto, la STC 253/2004, de 22 de diciembre, rechazó la alegación, formulada por el Abogado del Estado y el Ministerio Fiscal, de que la regulación cuestionada se encontraba justificada en circunstancias objetivas, ajenas a cualquier discriminación por razón de sexo, por tratarse de una medida de activación del empleo que debía contemplarse desde la premisa del principio de contributividad que preside el sistema de Seguridad Social y que, a fin de garantizar el equilibrio financiero de dicho sistema, justificaba un tratamiento diferente en función del tiempo trabajado y, por ende, cotizado. Por el contrario, sin perjuicio de reiterar la adecuación de que las bases reguladoras de las prestaciones se calculen en función </w:t>
      </w:r>
      <w:r>
        <w:lastRenderedPageBreak/>
        <w:t>de lo efectivamente cotizado, el Tribunal declaró que lo que no aparece justificado es que se establezca una diferencia de trato entre trabajadores a tiempo completo y trabajadores a tiempo parcial respecto al cumplimiento del requisito de carencia para el acceso a las prestaciones contributivas de Seguridad Social, diferenciación que se consideró arbitraria y conducente a un resultado desproporcionado, al dificultar el acceso a la protección de la Seguridad Social de los trabajadores contratados a tiempo parcial, situación ésta que, conforme a los datos estadísticos, la Sentencia declaró que afectaba predominantemente a las mujeres trabajadoras, por lo que también desde esta perspectiva se concluyó que el párrafo segundo del art. 12.4 LET lesionaba el art. 14 CE, al provocar una discriminación indirecta por razón de sexo (STC 253/2004, FJ 8).</w:t>
      </w:r>
    </w:p>
    <w:p w:rsidR="0026452D" w:rsidRDefault="0026452D" w:rsidP="0026452D">
      <w:pPr>
        <w:pStyle w:val="TextoNormal"/>
      </w:pPr>
    </w:p>
    <w:p w:rsidR="0026452D" w:rsidRDefault="0026452D" w:rsidP="0026452D">
      <w:pPr>
        <w:pStyle w:val="TextoNormal"/>
      </w:pPr>
      <w:r>
        <w:t>b) En el momento en que, por las razones indicadas, la STC 253/2004 procedió a declarar la inconstitucionalidad del referido párrafo segundo del art. 12.4 LET, esta previsión había sido ya sustituida por la nueva regulación introducida por el Real Decreto-ley 15/1998, de 27 de noviembre. A través de esta norma, y con fines de corrección sistemática, se dio nueva redacción al art. 12 LET, limitando principalmente su contenido a aspectos laborales del contrato a tiempo parcial, y dejando ubicados en la LGSS los criterios básicos de protección social relativos a esta modalidad contractual, que también fueron sometidos a revisión normativa, con objeto, según su exposición de motivos, de “hacer compatibles el principio de contributividad propio del sistema de Seguridad Social con los de igualdad de trato y proporcionalidad en el trabajo a tiempo parcial”. A estos efectos, y en lo que ahora interesa, el citado Real Decreto-ley 15/1998 procedió a dar un nuevo tenor a la disposición adicional séptima LGSS, dedicada a regular las “normas aplicables a los trabajadores contratados a tiempo parcial”, y que, en la regla segunda de su apartado primero, se encargó de revisar los criterios de cómputo de los períodos de cotización necesarios para causar derecho a las prestaciones.</w:t>
      </w:r>
    </w:p>
    <w:p w:rsidR="0026452D" w:rsidRDefault="0026452D" w:rsidP="0026452D">
      <w:pPr>
        <w:pStyle w:val="TextoNormal"/>
      </w:pPr>
    </w:p>
    <w:p w:rsidR="0026452D" w:rsidRDefault="0026452D" w:rsidP="0026452D">
      <w:pPr>
        <w:pStyle w:val="TextoNormal"/>
      </w:pPr>
      <w:r>
        <w:t>En concreto, en el primer inciso de la letra a) de dicha regla segunda, el legislador mantuvo, en principio, el criterio de proporcionalidad respecto al cómputo de los períodos de carencia, indicando que, a efectos de determinar los períodos de cotización necesarios para causar derecho a las prestaciones de jubilación, incapacidad permanente, muerte y supervivencia, incapacidad temporal y maternidad, se computarán exclusivamente las cotizaciones efectuadas en función de las horas trabajadas —ordinarias o complementarias—, calculando su equivalencia en días teóricos de cotización. Ahora bien, como novedad, la norma atenuó la aplicación de este criterio mediante la introducción de dos reglas correctoras: de una parte, en el segundo inciso de la citada letra a), pasó a definir el concepto de “día teórico de cotización”, utilizado como base de cálculo, y que resulta de dividir el número de horas trabajadas entre cinco, equivalente diario del cómputo de mil ochocientas veintiséis horas anuales (obtenido, a su vez, del cálculo en cómputo anual de la jornada máxima legal de cuarenta horas semanales de trabajo efectivo); en segundo lugar, en la letra b) de la misma regla segunda se estableció que, para el reconocimiento del derecho a las pensiones de jubilación e incapacidad permanente, al número de días teóricos de cotización obtenido conforme a lo dispuesto en la regla anterior se le aplicará el coeficiente multiplicador de 1,5, resultando de ello el número de días que se considerarán acreditados para la determinación de los períodos mínimos de cotización, y sin que en ningún caso pueda computarse un número de días cotizados superior al que correspondería de haberse realizado la prestación de servicios a tiempo completo.</w:t>
      </w:r>
    </w:p>
    <w:p w:rsidR="0026452D" w:rsidRDefault="0026452D" w:rsidP="0026452D">
      <w:pPr>
        <w:pStyle w:val="TextoNormal"/>
      </w:pPr>
    </w:p>
    <w:p w:rsidR="0026452D" w:rsidRDefault="0026452D" w:rsidP="0026452D">
      <w:pPr>
        <w:pStyle w:val="TextoNormal"/>
      </w:pPr>
      <w:r>
        <w:lastRenderedPageBreak/>
        <w:t xml:space="preserve">Respecto a estos nuevos criterios de cómputo de los períodos de carencia, la STC 253/2004 se limitó a dar cuenta de ellos y a destacar que la regulación incorporada se encontraba “inspirada en el mantenimiento del criterio de proporcionalidad, pero atenuada mediante diversas reglas correctoras, en aras a facilitar el acceso de los trabajadores a tiempo parcial a las prestaciones de la Seguridad Social”. No obstante, la citada Sentencia no se pronunció sobre la constitucionalidad de esta nueva normativa, pues, en atención a la fecha del hecho causante del proceso </w:t>
      </w:r>
      <w:r w:rsidRPr="0026452D">
        <w:rPr>
          <w:i/>
        </w:rPr>
        <w:t>a quo</w:t>
      </w:r>
      <w:r>
        <w:t>, las previsiones aplicables al caso eran las contenidas en la norma precedente en la materia, esto es, el ya referido art. 12.4 LET, a cuyo contenido quedaron restringidas las consideraciones del Tribunal, ceñidas, por tanto, a valorar la adecuación constitucional del estricto criterio de proporcionalidad en el cómputo de los períodos de cotización, sin aplicación de reglas correctoras.</w:t>
      </w:r>
    </w:p>
    <w:p w:rsidR="0026452D" w:rsidRDefault="0026452D" w:rsidP="0026452D">
      <w:pPr>
        <w:pStyle w:val="TextoNormal"/>
      </w:pPr>
    </w:p>
    <w:p w:rsidR="0026452D" w:rsidRDefault="0026452D" w:rsidP="0026452D">
      <w:pPr>
        <w:pStyle w:val="TextoNormal"/>
      </w:pPr>
      <w:r>
        <w:t xml:space="preserve">Esta nueva normativa introducida por el Real Decreto-ley 15/1998 sí es, en cambio, aplicable al litigio </w:t>
      </w:r>
      <w:r w:rsidRPr="0026452D">
        <w:rPr>
          <w:i/>
        </w:rPr>
        <w:t>a quo</w:t>
      </w:r>
      <w:r>
        <w:t xml:space="preserve"> que da lugar a la presente cuestión de inconstitucionalidad, en la que, como ya se ha dicho, con ocasión de un proceso sobre derecho a la pensión de jubilación, el órgano promotor plantea sus dudas de constitucionalidad respecto al mencionado “inciso inicial de la letra a) de la regla 2 del apartado 1 de la Disposición Adicional 7ª de la Ley General de la Seguridad Social”. No obstante, antes de entrar en su análisis, resultan necesarias algunas otras precisiones en cuanto al objeto de la cuestión. </w:t>
      </w:r>
    </w:p>
    <w:p w:rsidR="0026452D" w:rsidRDefault="0026452D" w:rsidP="0026452D">
      <w:pPr>
        <w:pStyle w:val="TextoNormal"/>
      </w:pPr>
    </w:p>
    <w:p w:rsidR="0026452D" w:rsidRDefault="0026452D" w:rsidP="0026452D">
      <w:pPr>
        <w:pStyle w:val="TextoNormal"/>
      </w:pPr>
      <w:r>
        <w:t>c) De un lado, parece oportuno advertir que, con posterioridad a la elevación de la presente cuestión de inconstitucionalidad, el inciso primero de la citada letra a) ha sido objeto de modificación por la Ley Orgánica 3/2007, de 22 de marzo, para la igualdad efectiva de mujeres y hombres, si bien sólo a fin de extender su aplicación a la prestación de paternidad, y además con efectos desde su entrada en vigor —24 de marzo de 2007. En consecuencia, y de acuerdo con nuestra reiterada doctrina constitucional (por todas, STC 183/2012, de 17 de octubre, FJ 2), hemos de concluir que la novedad normativa sobrevenida carece de incidencia sobre el mantenimiento del objeto de la presente cuestión, dado que, al margen de no afectar al contenido que hace surgir la duda de constitucionalidad, la previsión cuestionada, en la redacción expuesta en el Auto de planteamiento, sigue siendo la aplicable y relevante en la resolución del proces</w:t>
      </w:r>
      <w:r w:rsidRPr="0026452D">
        <w:rPr>
          <w:i/>
        </w:rPr>
        <w:t>o a q</w:t>
      </w:r>
      <w:r>
        <w:t>uo.</w:t>
      </w:r>
    </w:p>
    <w:p w:rsidR="0026452D" w:rsidRDefault="0026452D" w:rsidP="0026452D">
      <w:pPr>
        <w:pStyle w:val="TextoNormal"/>
      </w:pPr>
    </w:p>
    <w:p w:rsidR="0026452D" w:rsidRDefault="0026452D" w:rsidP="0026452D">
      <w:pPr>
        <w:pStyle w:val="TextoNormal"/>
      </w:pPr>
      <w:r>
        <w:t xml:space="preserve">d) En relación con esa previsión cuestionada, de otro lado ha de advertirse que, aun cuando el Auto plantea la cuestión respecto a todo el “inciso inicial de la letra a) de la regla 2 del apartado 1 de la Disposición Adicional 7ª de la Ley General de la Seguridad Social” —aplicable, según se expresa en el mismo, a diversas prestaciones de Seguridad Social—, lo cierto es que, en atención al objeto del proceso </w:t>
      </w:r>
      <w:r w:rsidRPr="0026452D">
        <w:rPr>
          <w:i/>
        </w:rPr>
        <w:t>a quo</w:t>
      </w:r>
      <w:r>
        <w:t xml:space="preserve"> y a las propias características de las cuestiones de inconstitucionalidad, la duda de constitucionalidad a examinar debe ceñirse a la aplicación de esta norma sobre la pensión de jubilación, por ser este el aspecto relevante para la resolución del litigio de origen (SSTC 235/2007, de 7 de noviembre, FJ 2; 130/2009, de 1 de junio, FJ 2). Tal precisión se efectúa, sin perjuicio de que, en virtud del art. 39.1 LOTC, una eventual declaración de inconstitucionalidad hubiera de extenderse, por conexión o consecuencia, a otras prestaciones del precepto cuestionado (SSTC 176/1993, de 27 de mayo, FJ 1; y 121/2011, de 7 de julio, FJ 2).</w:t>
      </w:r>
    </w:p>
    <w:p w:rsidR="0026452D" w:rsidRDefault="0026452D" w:rsidP="0026452D">
      <w:pPr>
        <w:pStyle w:val="TextoNormal"/>
      </w:pPr>
    </w:p>
    <w:p w:rsidR="0026452D" w:rsidRDefault="0026452D" w:rsidP="0026452D">
      <w:pPr>
        <w:pStyle w:val="TextoNormal"/>
      </w:pPr>
      <w:r>
        <w:t xml:space="preserve">e) Finalmente, para acabar de delimitar el objeto de análisis, hemos de valorar el hecho de que el Auto de planteamiento de la actual cuestión centre exclusivamente su duda de constitucionalidad en el contenido del referido inciso inicial de la letra a) de la regla segunda </w:t>
      </w:r>
      <w:r>
        <w:lastRenderedPageBreak/>
        <w:t>del apartado 1 de la disposición adicional séptima LGSS, que, según lo indicado, se limita a declarar que el cómputo de los períodos de carencia de determinadas prestaciones se realizará en atención exclusiva a las cotizaciones efectuadas en función de las horas trabajadas, calculando su equivalencia en días teóricos de cotización. En puridad, pues, el órgano promotor no se refiere a las dos reglas correctoras ya mencionadas, contenidas en el segundo inciso de la letra a) y en la letra b) de dicha regla segunda. No obstante, su vinculación y su carácter complementario respecto a la previsión cuestionada hacen que su consideración resulte inexcusable en la presente Sentencia, al tratarse precisamente de las correcciones a aplicar al estricto criterio de proporcionalidad declarado inconstitucional por la STC 253/2004, de 22 de diciembre. En los fundamentos que siguen, por tanto, lo que habremos de determinar es si las reiteradas reglas correctoras introducidas por el legislador permiten superar el inicial reproche de inconstitucionalidad efectuado en su momento por este Tribunal, con la posibilidad, también aquí, de hacer uso, en su caso, de la facultad de extensión reconocida en el art. 39.1 LOTC.</w:t>
      </w:r>
    </w:p>
    <w:p w:rsidR="0026452D" w:rsidRDefault="0026452D" w:rsidP="0026452D">
      <w:pPr>
        <w:pStyle w:val="TextoNormal"/>
      </w:pPr>
    </w:p>
    <w:p w:rsidR="0026452D" w:rsidRDefault="0026452D" w:rsidP="0026452D">
      <w:pPr>
        <w:pStyle w:val="TextoNormal"/>
      </w:pPr>
      <w:r w:rsidRPr="0026452D">
        <w:rPr>
          <w:rStyle w:val="NumeroAFNegritaCaracter"/>
        </w:rPr>
        <w:t>4</w:t>
      </w:r>
      <w:r>
        <w:t>. Una vez efectuadas las anteriores aclaraciones, procede ya entrar en el examen de fondo de las dudas de constitucionalidad planteadas respecto a la regulación del cálculo de los períodos de cotización necesarios para causar derecho a la prestación de jubilación en el contrato a tiempo parcial y que se contienen en la regla segunda del apartado 1 de la disposición adicional séptima LGSS, en los términos que ya han quedado expuestos. El órgano promotor cuestiona la constitucionalidad de esta regulación por posible vulneración del art. 14 CE, tanto en relación con el principio de igualdad —por ruptura del principio de proporcionalidad—, como respecto al derecho a la no discriminación —por generarse una discriminación indirecta por razón de sexo. Sin perjuicio, pues, de que el contenido de la previsión cuestionada presente diferencias, lo cierto es que las objeciones del órgano promotor coinciden con las analizadas en la STC 253/2004, de ahí que, igual que en ésta, hayamos de tomar, como canon de enjuiciamiento, la doctrina sentada por este Tribunal en relación con el art. 14 CE, en las dos vertientes cuestionadas.</w:t>
      </w:r>
    </w:p>
    <w:p w:rsidR="0026452D" w:rsidRDefault="0026452D" w:rsidP="0026452D">
      <w:pPr>
        <w:pStyle w:val="TextoNormal"/>
      </w:pPr>
    </w:p>
    <w:p w:rsidR="0026452D" w:rsidRDefault="0026452D" w:rsidP="0026452D">
      <w:pPr>
        <w:pStyle w:val="TextoNormal"/>
      </w:pPr>
      <w:r>
        <w:t>a) A los efectos que aquí interesan, desde la primera óptica baste con recordar que, conforme hemos declarado en numerosos pronunciamientos,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asimismo, “[t]ambién es necesario, para que sea constitucionalmente lícita la diferencia de trato, que las consecuencias jurídicas que se deriven de tal distinción sean proporcionadas a la finalidad perseguida, de suerte que se eviten resultados excesivamente gravosos o desmedidos”; en consecuencia, hemos concluido que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(STC 63/2011, de 16 de mayo, FJ 3; o SSTC 117/2011, de 4 de julio, FJ 4 y 79/2011, de 6 de junio, FJ 3).</w:t>
      </w:r>
    </w:p>
    <w:p w:rsidR="0026452D" w:rsidRDefault="0026452D" w:rsidP="0026452D">
      <w:pPr>
        <w:pStyle w:val="TextoNormal"/>
      </w:pPr>
    </w:p>
    <w:p w:rsidR="0026452D" w:rsidRDefault="0026452D" w:rsidP="0026452D">
      <w:pPr>
        <w:pStyle w:val="TextoNormal"/>
      </w:pPr>
      <w:r>
        <w:t>En definitiva, a efectos de valorar si la regla segunda del apartado 1 de la disposición adicional séptima LGSS resulta o no ajustada al principio de igualdad en lo que a la pensión de jubilación se refiere, habremos de decidir si el cálculo de los períodos de cotización de los trabajadores a tiempo parcial en atención exclusiva a las horas trabajadas, pero con aplicación ahora de las reglas correctoras incorporadas, sigue o no careciendo de justificación razonable y produciendo resultados desproporcionados en el acceso a las prestaciones de Seguridad Social.</w:t>
      </w:r>
    </w:p>
    <w:p w:rsidR="0026452D" w:rsidRDefault="0026452D" w:rsidP="0026452D">
      <w:pPr>
        <w:pStyle w:val="TextoNormal"/>
      </w:pPr>
    </w:p>
    <w:p w:rsidR="0026452D" w:rsidRDefault="0026452D" w:rsidP="0026452D">
      <w:pPr>
        <w:pStyle w:val="TextoNormal"/>
      </w:pPr>
      <w:r>
        <w:t>b) El mismo parámetro habremos de utilizar para enjuiciar si la norma cuestionada origina una discriminación indirecta por razón de sexo.</w:t>
      </w:r>
    </w:p>
    <w:p w:rsidR="0026452D" w:rsidRDefault="0026452D" w:rsidP="0026452D">
      <w:pPr>
        <w:pStyle w:val="TextoNormal"/>
      </w:pPr>
    </w:p>
    <w:p w:rsidR="0026452D" w:rsidRDefault="0026452D" w:rsidP="0026452D">
      <w:pPr>
        <w:pStyle w:val="TextoNormal"/>
      </w:pPr>
      <w:r>
        <w:t>Conforme a la doctrina de este Tribunal, elaborada con apoyo en la jurisprudencia comunitaria —precisamente desarrollada, de manera especial, en relación con los contratos a tiempo parcial—, la referida discriminación indirecta se define como “aquel tratamiento formalmente neutro o no discriminatorio del que se deriva, por las diversas condiciones fácticas que se dan entre trabajadores de uno y otro sexo, un impacto adverso sobre los miembros de un determinado sexo” (por todas, STC 240/1999, de 20 de diciembre, FJ 6; o STC 3/2007, de 15 de enero, FJ 3). Pues bien, en el caso que ahora nos ocupa es posible apreciar estos dos presupuestos. Por un lado, la disposición cuestionada constituye una norma neutra, aplicable con independencia del sexo de los trabajadores. Por otro, los datos estadísticos consultados permiten constatar que el contrato a tiempo parcial es una institución que afecta predominantemente al sexo femenino, con el consiguiente mayor impacto que la aplicación de la norma cuestionada puede tener sobre las trabajadoras: así, tal y como se refleja en el Auto de planteamiento, los datos derivados de la encuesta de población activa, publicados por el Instituto Nacional de Estadística, muestran que, en el año 2002 —anterior a la elevación de la presente cuestión—, los varones asalariados a tiempo parcial eran 198.100, mientras las mujeres alcanzaban la cifra de 879.200, lo que supone un porcentaje superior al 81 por 100; asimismo, las estadísticas elaboradas por el Instituto de la Mujer a partir de datos de la encuesta de población activa, ponen de relieve que del total de trabajadores asalariados a tiempo parcial en el año 2003, las mujeres representaban el 82,2 por 100, porcentaje mayoritario que, con ligeras variaciones, en el primer trimestre de 2012 se ha situado en el 78,7 por 100.</w:t>
      </w:r>
    </w:p>
    <w:p w:rsidR="0026452D" w:rsidRDefault="0026452D" w:rsidP="0026452D">
      <w:pPr>
        <w:pStyle w:val="TextoNormal"/>
      </w:pPr>
    </w:p>
    <w:p w:rsidR="0026452D" w:rsidRDefault="0026452D" w:rsidP="0026452D">
      <w:pPr>
        <w:pStyle w:val="TextoNormal"/>
      </w:pPr>
      <w:r>
        <w:t xml:space="preserve">Ahora bien, tanto desde la jurisprudencia comunitaria como desde la propia jurisprudencia constitucional, se ha puesto de relieve que para apreciar la existencia de discriminación indirecta es necesario que concurra un tercer elemento: así, bajo diferentes fórmulas se requiere “que los poderes públicos no puedan probar que la medida responde a una medida de política social” que actúe como justificación suficiente (STC 240/1999, de 20 de diciembre, FJ 6 y STJUE de 20 de octubre de 2011, </w:t>
      </w:r>
      <w:r w:rsidRPr="0026452D">
        <w:rPr>
          <w:i/>
        </w:rPr>
        <w:t>asunto Brachner</w:t>
      </w:r>
      <w:r>
        <w:t xml:space="preserve">), o que se constate que “la medida que produce el efecto adverso carece de justificación al no fundarse en una exigencia objetiva e indispensable para la consecución de un objetivo legítimo o no resultar idónea para el logro de tal objetivo” (STC 69/2007, de 16 de abril, FJ 3; o STC 198/1996, de 3 de diciembre, FJ 2); en otras palabras, dándose los presupuestos antes vistos, se ha apreciado que una norma puede dar lugar a discriminación indirecta “a menos que esté justificada objetivamente y sea proporcionada al objetivo perseguido”, considerando que “[a]demás, para estar justificada, la medida de que se trate tiene que ser adecuada para garantizar la </w:t>
      </w:r>
      <w:r>
        <w:lastRenderedPageBreak/>
        <w:t xml:space="preserve">realización del objetivo legítimo que persigue y no exceder de lo que es necesario para alcanzarlo” (STJUE de 13 de abril de 2010, </w:t>
      </w:r>
      <w:r w:rsidRPr="0026452D">
        <w:rPr>
          <w:i/>
        </w:rPr>
        <w:t>asunto Bressol y otros</w:t>
      </w:r>
      <w:r>
        <w:t>). En consecuencia, en relación con la duda suscitada en el presente procedimiento respecto a la posible existencia de discriminación indirecta por razón de sexo, la valoración de si la previsión cuestionada resulta justificada y proporcionada aparece de nuevo como criterio determinante de la solución a adoptar.</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Destacado ya el elemento clave de la decisión en la doble proyección de la duda de constitucionalidad planteada respecto al art. 14 CE, otro presupuesto adicional a tener en cuenta en nuestra resolución es el valor que debemos conceder a la Sentencia del Tribunal de Justicia de la Unión Europea de 22 de noviembre de 2012, </w:t>
      </w:r>
      <w:r w:rsidRPr="0026452D">
        <w:rPr>
          <w:i/>
        </w:rPr>
        <w:t>asunto Elbal Moreno</w:t>
      </w:r>
      <w:r>
        <w:t>, dictada en relación con la prohibición de discriminación indirecta por razón de sexo derivada del art. 4 de la Directiva 79/7/CEE del Consejo —sobre aplicación progresiva del principio de igualdad de trato entre hombres y mujeres en materia de seguridad social—, y mediante la que el Tribunal de Justicia de la Unión Europea resuelve una petición de decisión prejudicial planteada por el Juzgado de lo Social núm. 33 de Barcelona, mediante Auto de 4 de julio de 2011, relativa precisamente a la misma previsión normativa que ahora es objeto de la presente cuestión de inconstitucionalidad, esto es, la regla segunda del apartado 1 de la disposición adicional séptima LGSS.</w:t>
      </w:r>
    </w:p>
    <w:p w:rsidR="0026452D" w:rsidRDefault="0026452D" w:rsidP="0026452D">
      <w:pPr>
        <w:pStyle w:val="TextoNormal"/>
      </w:pPr>
    </w:p>
    <w:p w:rsidR="0026452D" w:rsidRDefault="0026452D" w:rsidP="0026452D">
      <w:pPr>
        <w:pStyle w:val="TextoNormal"/>
      </w:pPr>
      <w:r>
        <w:t xml:space="preserve">Nuestra jurisprudencia “ha venido reconociendo pacíficamente la primacía del Derecho comunitario europeo sobre el interno en el ámbito de las ‘competencias derivadas de la Constitución’, cuyo ejercicio España ha atribuido a las instituciones comunitarias con fundamento … en el art. 93 CE” (por todas, Declaración 1/2004, de 13 de diciembre, FJ 4; o STC 145/2012, de 2 de julio, FJ 5). Ahora bien, también hemos declarado que el Derecho de la Unión Europea “no integra en sí mismo el canon de constitucionalidad bajo el que hayan de examinarse las leyes del Estado español, ni siquiera en el caso de que la supuesta contradicción sirviera para fundamentar la pretensión de inconstitucionalidad de una ley por oposición a un derecho fundamental, atendiendo a lo dispuesto en el art. 10.2 CE … pues en tal supuesto la medida de la constitucionalidad de la ley enjuiciada seguiría estando integrada por el precepto constitucional definidor del derecho o libertad, si bien interpretado, en cuanto a los perfiles exactos de su contenido, de conformidad con los tratados o acuerdos internacionales de que se trate … incluidos, en su caso, los Tratados de la Unión Europea y la Carta de derechos fundamentales de la Unión Europea” (STC 41/2013, de 14 de febrero, FJ 2; o SSTC 28/1991, de 14 de febrero, FJ 5; 64/1991, de 22 de marzo, FJ 4). En relación con este último aspecto, y según ha señalado asimismo este Tribunal (SSTC 292/2000, de 30 de noviembre, FJ 3; 136/2011, de 13 de septiembre, FJ 12), tanto los tratados y acuerdos internacionales, como el Derecho comunitario derivado pueden constituir “valiosos criterios hermenéuticos del sentido y alcance de los derechos y libertades que la Constitución reconoce”, valor que se atribuye con fundamento en el art. 10.2 CE, a cuyo tenor, y según hemos destacado en otros pronunciamientos, “las normas relativas a los derechos fundamentales y libertades públicas contenidas en la Constitución deben interpretarse de conformidad con los tratados y acuerdos internacionales sobre las mismas materias ratificados por España (art. 10.2 CE); interpretación que no puede prescindir de la que, a su vez, llevan a cabo los órganos de garantía establecidos por esos mismos tratados y acuerdos internacionales” (STC 116/2006, de 24 de abril, FJ 5; o STC 198/2012, de 6 de noviembre, FJ 9). Dentro, pues, de estos parámetros, es indudable la relevancia que adquiere el criterio seguido en la ya referida STJUE de 22 de noviembre de 2012, </w:t>
      </w:r>
      <w:r w:rsidRPr="0026452D">
        <w:rPr>
          <w:i/>
        </w:rPr>
        <w:t>asunto Elbal Moreno</w:t>
      </w:r>
      <w:r>
        <w:t xml:space="preserve">, relativa, como se ha dicho, a los </w:t>
      </w:r>
      <w:r>
        <w:lastRenderedPageBreak/>
        <w:t>mismos elementos normativos que son objeto de consideración en la cuestión de inconstitucionalidad que ahora nos ocupa.</w:t>
      </w:r>
    </w:p>
    <w:p w:rsidR="0026452D" w:rsidRDefault="0026452D" w:rsidP="0026452D">
      <w:pPr>
        <w:pStyle w:val="TextoNormal"/>
      </w:pPr>
    </w:p>
    <w:p w:rsidR="0026452D" w:rsidRDefault="0026452D" w:rsidP="0026452D">
      <w:pPr>
        <w:pStyle w:val="TextoNormal"/>
      </w:pPr>
      <w:r>
        <w:t xml:space="preserve">En el planteamiento de la decisión prejudicial resuelta por esta Sentencia, el Juzgado de lo Social había puesto de relieve que, en las circunstancias del litigio principal —trabajadora que durante dieciocho años presta servicios con una jornada parcial de cuatro horas a la semana—, la doble aplicación del principio </w:t>
      </w:r>
      <w:r w:rsidRPr="0026452D">
        <w:rPr>
          <w:i/>
        </w:rPr>
        <w:t>pro rata temporis</w:t>
      </w:r>
      <w:r>
        <w:t xml:space="preserve"> en el acceso a la prestación y en su cuantía comportaría, aun aplicando las reglas correctoras previstas en dicha disposición, que la demandante tendría que trabajar cien años para acreditar la carencia mínima necesaria de quince años que le diera acceso a una pensión de jubilación de 112,93 euros al mes. A la vista de esta exposición, el Tribunal de Justicia de la Unión Europea afirma que “según se desprende del auto de remisión y, en particular, de las explicaciones del Juzgado remitente … una normativa como la controvertida en el litigio principal perjudica a los trabajadores a tiempo parcial tales como la demandante en el litigio principal, que durante mucho tiempo han efectuado un trabajo a tiempo parcial reducido, puesto que, a causa del método empleado para calcular el período de cotización exigido para acceder a una pensión de jubilación, dicha normativa priva en la práctica a estos trabajadores de toda posibilidad de obtener tal pensión” (apartado 30).</w:t>
      </w:r>
    </w:p>
    <w:p w:rsidR="0026452D" w:rsidRDefault="0026452D" w:rsidP="0026452D">
      <w:pPr>
        <w:pStyle w:val="TextoNormal"/>
      </w:pPr>
    </w:p>
    <w:p w:rsidR="0026452D" w:rsidRDefault="0026452D" w:rsidP="0026452D">
      <w:pPr>
        <w:pStyle w:val="TextoNormal"/>
      </w:pPr>
      <w:r>
        <w:t>Asimismo, frente a la alegación del Instituto Nacional de la Seguridad Social (INSS) y del Gobierno español de que la previsión normativa queda justificada en un sistema de Seguridad Social de tipo contributivo por resultar esencial para garantizar el equilibrio financiero del sistema, la Sentencia del Tribunal de Justicia de la Unión Europea empieza señalando que los trabajadores a tiempo parcial han pagado cotizaciones dirigidas a financiar el sistema de pensiones y que, en caso de recibir una pensión, su importe se reduciría proporcionalmente en función del tiempo de trabajo y de las cotizaciones pagadas, presupuestos a partir de los cuales asevera que “ningún documento obrante en autos permite concluir que, en estas circunstancias, la exclusión de los trabajadores a tiempo parcial como la demandante en el litigio principal de toda posibilidad de obtener una pensión de jubilación constituya una medida efectivamente necesaria para alcanzar el objetivo de salvaguardar el sistema de seguridad social de tipo contributivo … y que ninguna otra medida menos gravosa para esos mismos trabajadores permita alcanzar ese objetivo” (apartado 35). Además, pronunciándose de manera específica sobre los criterios de corrección aplicables en el cómputo de los períodos de cotización, el Tribunal añade que “[e]sta interpretación no queda desvirtuada por la alegación del INSS y del Gobierno español según la cual las dos medidas correctoras mencionadas…tienen por objeto facilitar el acceso a la pensión de jubilación de los trabajadores a tiempo parcial. En efecto, no consta que esas dos medidas correctoras tengan el menor efecto positivo en la situación de los trabajadores a tiempo parcial como la demandante en el litigio principal” (apartado 36).</w:t>
      </w:r>
    </w:p>
    <w:p w:rsidR="0026452D" w:rsidRDefault="0026452D" w:rsidP="0026452D">
      <w:pPr>
        <w:pStyle w:val="TextoNormal"/>
      </w:pPr>
    </w:p>
    <w:p w:rsidR="0026452D" w:rsidRDefault="0026452D" w:rsidP="0026452D">
      <w:pPr>
        <w:pStyle w:val="TextoNormal"/>
      </w:pPr>
      <w:r>
        <w:t xml:space="preserve">En definitiva, constatado el perjuicio de la norma cuestionada sobre los trabajadores a tiempo parcial —con incidencia mayoritaria sobre el empleo femenino— y no apreciando justificación objetiva que permita descartar la existencia de discriminación indirecta por razón de sexo, la STJUE de 22 de noviembre de 2012 alcanza la conclusión de que “el artículo 4 de la Directiva 79/7 debe interpretarse en el sentido de que se opone, en circunstancias como las del litigio principal, a una normativa de un Estado miembro que exige a los trabajadores a tiempo parcial, en su inmensa mayoría mujeres, en comparación con los trabajadores a tiempo completo, un período de cotización proporcionalmente mayor para </w:t>
      </w:r>
      <w:r>
        <w:lastRenderedPageBreak/>
        <w:t>acceder, en su caso, a una pensión de jubilación contributiva en cuantía proporcionalmente reducida a la parcialidad de su jornada” (apartado 38).</w:t>
      </w:r>
    </w:p>
    <w:p w:rsidR="0026452D" w:rsidRDefault="0026452D" w:rsidP="0026452D">
      <w:pPr>
        <w:pStyle w:val="TextoNormal"/>
      </w:pPr>
    </w:p>
    <w:p w:rsidR="0026452D" w:rsidRDefault="0026452D" w:rsidP="0026452D">
      <w:pPr>
        <w:pStyle w:val="TextoNormal"/>
      </w:pPr>
      <w:r w:rsidRPr="0026452D">
        <w:rPr>
          <w:rStyle w:val="NumeroAFNegritaCaracter"/>
        </w:rPr>
        <w:t>6</w:t>
      </w:r>
      <w:r>
        <w:t>. En la presente cuestión de inconstitucionalidad, y una vez sentadas las anteriores premisas, también este Tribunal considera que las reglas que acompañan a la previsión cuestionada en relación con el cómputo de los períodos de cotización en los contratos a tiempo parcial para causar derecho a una prestación de jubilación no permiten superar los parámetros de justificación y proporcionalidad exigidos por el art. 14 CE, dado que las medidas de corrección en su momento introducidas no consiguen evitar los resultados especialmente gravosos y desmesurados a que la norma puede conducir.</w:t>
      </w:r>
    </w:p>
    <w:p w:rsidR="0026452D" w:rsidRDefault="0026452D" w:rsidP="0026452D">
      <w:pPr>
        <w:pStyle w:val="TextoNormal"/>
      </w:pPr>
    </w:p>
    <w:p w:rsidR="0026452D" w:rsidRDefault="0026452D" w:rsidP="0026452D">
      <w:pPr>
        <w:pStyle w:val="TextoNormal"/>
      </w:pPr>
      <w:r>
        <w:t>a) Respecto a la primera de dichas reglas —atender a los días teóricos de cotización, obtenidos mediante la operación de dividir el número de horas trabajadas entre cinco— cabe señalar que más que tratarse, propiamente, de una corrección del principio de proporcionalidad estricta, nos encontramos ante un procedimiento de cálculo más preciso técnicamente para la aplicación de dicho principio. En todo caso, el resultado de su aplicación será que los trabajadores a tiempo completo acreditarán como cotizados el total de días naturales del período trabajado, mientras que los trabajadores a tiempo parcial acreditarán un número de días inferior, determinado por el número de horas trabajadas. Por tanto, la norma sigue manteniendo una diferencia de trato en el cómputo de los períodos cotizados entre los trabajadores a tiempo completo y los trabajadores a tiempo parcial, basada en la aplicación de un criterio de proporcionalidad, referido no sólo a la cuantía de las bases reguladoras, sino también al cálculo de los períodos de carencia, criterio que este Tribunal, en su STC 253/2004, de 22 de diciembre, no consideró justificado por las exigencias de contributividad del sistema.</w:t>
      </w:r>
    </w:p>
    <w:p w:rsidR="0026452D" w:rsidRDefault="0026452D" w:rsidP="0026452D">
      <w:pPr>
        <w:pStyle w:val="TextoNormal"/>
      </w:pPr>
    </w:p>
    <w:p w:rsidR="0026452D" w:rsidRDefault="0026452D" w:rsidP="0026452D">
      <w:pPr>
        <w:pStyle w:val="TextoNormal"/>
      </w:pPr>
      <w:r>
        <w:t>Es más, la aplicación de esta primera regla puede incluso resultar potencialmente más perjudicial para los trabajadores a tiempo parcial que el criterio establecido en la regulación precedente. En la normativa ahora cuestionada, el legislador adopta el criterio de dividir el número de horas trabajadas por estos trabajadores por cinco, como equivalente diario del cómputo de mil ochocientas veintiséis horas anuales, cifra esta que corresponde a la jornada completa máxima anual autorizada por la ley (art. 34.1 LET). En la normativa previa, en cambio, los días teóricos de cotización resultaban de calcular la proporción entre la jornada real del trabajador a tiempo parcial y la jornada habitual en la actividad de que se tratara, que, obviamente, podía ser inferior al máximo legal (art. 12.4 LET —analizado en la STC 253/2004—, disposición adicional 9 Real Decreto 2319/1993, o art. 4 Real Decreto 489/1998). De este modo, el hecho de que el divisor fijado en la norma ahora examinada sea más alto de lo que podía serlo con anterioridad determina que el número de días teóricos a computar pueda resultar inferior al obtenido en la etapa previa.</w:t>
      </w:r>
    </w:p>
    <w:p w:rsidR="0026452D" w:rsidRDefault="0026452D" w:rsidP="0026452D">
      <w:pPr>
        <w:pStyle w:val="TextoNormal"/>
      </w:pPr>
    </w:p>
    <w:p w:rsidR="0026452D" w:rsidRDefault="0026452D" w:rsidP="0026452D">
      <w:pPr>
        <w:pStyle w:val="TextoNormal"/>
      </w:pPr>
      <w:r>
        <w:t xml:space="preserve">A su vez, esta decisión de tomar como referencia la jornada máxima legal origina una desigualdad en el cómputo de los períodos cotizados de los trabajadores a tiempo parcial que va más allá de la estricta proporcionalidad, toda vez que existen muchos trabajadores a tiempo completo que realizan una jornada inferior. En virtud, pues, de esta primera regla, la comparación entre un trabajador a tiempo completo cuya jornada convencional o contractual sea inferior a la máxima legal y un trabajador a tiempo parcial de su misma empresa o sector de actividad permitirá apreciar una diferencia de trato, que actúa en perjuicio de este </w:t>
      </w:r>
      <w:r>
        <w:lastRenderedPageBreak/>
        <w:t>último, y que ni siquiera es consecuencia estricta de la aplicación de un criterio de proporcionalidad en la comparación entre ambos trabajadores en razón a las horas efectivamente trabajadas.</w:t>
      </w:r>
    </w:p>
    <w:p w:rsidR="0026452D" w:rsidRDefault="0026452D" w:rsidP="0026452D">
      <w:pPr>
        <w:pStyle w:val="TextoNormal"/>
      </w:pPr>
    </w:p>
    <w:p w:rsidR="0026452D" w:rsidRDefault="0026452D" w:rsidP="0026452D">
      <w:pPr>
        <w:pStyle w:val="TextoNormal"/>
      </w:pPr>
      <w:r>
        <w:t>b) En todo caso, la regla propiamente correctora de la aplicación estricta del criterio de proporcionalidad es la segunda de las enunciadas, que establece la aplicación de un coeficiente multiplicador de 1,5 al número de días teóricos de cotización obtenidos conforme a la regla anterior para determinar el período total de ocupación cotizado, medida que se aplica, exclusivamente, respecto a las pensiones de jubilación e incapacidad permanente. Esta regla correctora supone, en definitiva, reconocer a los trabajadores contratados a tiempo parcial un plus de medio día cotizado por cada día teórico de cotización calculado conforme al criterio de proporcionalidad ya analizado, previéndose la aplicación de este plus con carácter uniforme para todos los trabajadores a tiempo parcial, con independencia de la duración mayor o menor de la jornada de trabajo realizada o del período más o menos amplio de tiempo acreditado a tiempo parcial dentro de la vida laboral de cada trabajador.</w:t>
      </w:r>
    </w:p>
    <w:p w:rsidR="0026452D" w:rsidRDefault="0026452D" w:rsidP="0026452D">
      <w:pPr>
        <w:pStyle w:val="TextoNormal"/>
      </w:pPr>
    </w:p>
    <w:p w:rsidR="0026452D" w:rsidRDefault="0026452D" w:rsidP="0026452D">
      <w:pPr>
        <w:pStyle w:val="TextoNormal"/>
      </w:pPr>
      <w:r>
        <w:t xml:space="preserve">Sin duda, esta segunda regla atenúa los efectos derivados de una estricta proporcionalidad, favoreciendo que los trabajadores a tiempo parcial puedan alcanzar los períodos de cotización exigidos para causar la prestación de jubilación —que es la discutida en el proceso </w:t>
      </w:r>
      <w:r w:rsidRPr="0026452D">
        <w:rPr>
          <w:i/>
        </w:rPr>
        <w:t>a quo</w:t>
      </w:r>
      <w:r>
        <w:t>—. No obstante, su virtualidad como elemento de corrección es limitada, y ni siquiera en el ámbito de esta prestación se consigue evitar los efectos desproporcionados que su aplicación conlleva en términos de desprotección social. Como a continuación se explica, con la nueva regla ahora examinada, únicamente serán menos los trabajadores perjudicados por su aplicación, pero, respecto de ellos, la regulación cuestionada habrá de merecer similares reproches a la anterior, al resultar insuficiente su eficacia correctora.</w:t>
      </w:r>
    </w:p>
    <w:p w:rsidR="0026452D" w:rsidRDefault="0026452D" w:rsidP="0026452D">
      <w:pPr>
        <w:pStyle w:val="TextoNormal"/>
      </w:pPr>
    </w:p>
    <w:p w:rsidR="0026452D" w:rsidRDefault="0026452D" w:rsidP="0026452D">
      <w:pPr>
        <w:pStyle w:val="TextoNormal"/>
      </w:pPr>
      <w:r>
        <w:t xml:space="preserve">En efecto, reconocer un plus de medio día adicional cotizado por cada día teórico de cotización obtenido mediante la aplicación de la regla legal, en función exclusivamente de las horas trabajadas, facilitará, sin duda, el acceso a la protección de aquellos trabajadores a tiempo parcial con jornadas de trabajo de duración más elevada, así como el de aquellos en cuya vida laboral los períodos de trabajo a tiempo parcial representen una pequeña proporción respecto del conjunto. Sin embargo, cuando el trabajo a tiempo parcial no sea un episodio más o menos excepcional en la vida laboral del trabajador y cuando la jornada habitual del mismo no resulte muy elevada, la aplicación del criterio de proporcionalidad seguirá, a pesar de la regla correctora, constituyendo un obstáculo desproporcionado para su acceso a la pensión de jubilación. En tal sentido, resulta ilustrativo el caso del litigio </w:t>
      </w:r>
      <w:r w:rsidRPr="0026452D">
        <w:rPr>
          <w:i/>
        </w:rPr>
        <w:t>a quo</w:t>
      </w:r>
      <w:r>
        <w:t xml:space="preserve"> que ha dado lugar al planteamiento de la presente cuestión y que, conforme a los hechos probados de la Sentencia de instancia, versa sobre una trabajadora que ha desarrollado una actividad laboral por cuenta ajena durante más de dieciocho años de su vida y a la que se deniega la pensión de jubilación, pese a reunir los restantes requisitos legales, por el hecho de que una parte sustancial –once años– de esa actividad laboral se ha desarrollado mediante contratos a tiempo parcial de jornada reducida —equivalente al 18,4  de la jornada habitual en la empresa—, sin que la aplicación del coeficiente multiplicador de 1,5 a los días teóricos de cotización acreditados resulte suficiente para alcanzar el período mínimo de carencia exigido de quince años de cotización. En consecuencia, la aplicación del coeficiente corrector al criterio de proporcionalidad no impide que, en casos como el analizado, se produzcan resultados desproporcionados pues, igual que ya dijimos en la STC 253/2004, de 22 de diciembre, “se dificulta el acceso mismo a la prestación, al exigir un mayor número de días </w:t>
      </w:r>
      <w:r>
        <w:lastRenderedPageBreak/>
        <w:t>trabajados para acreditar el periodo de carencia requerido en cada caso, lo que resulta especialmente gravoso o desmedido en el caso de trabajadores con extensos lapsos de vida laboral en situación de contrato a tiempo parcial y en relación con las prestaciones que exigen períodos de cotización elevados” (FJ 6).</w:t>
      </w:r>
    </w:p>
    <w:p w:rsidR="0026452D" w:rsidRDefault="0026452D" w:rsidP="0026452D">
      <w:pPr>
        <w:pStyle w:val="TextoNormal"/>
      </w:pPr>
    </w:p>
    <w:p w:rsidR="0026452D" w:rsidRDefault="0026452D" w:rsidP="0026452D">
      <w:pPr>
        <w:pStyle w:val="TextoNormal"/>
      </w:pPr>
      <w:r>
        <w:t>Además, tampoco la corrección introducida aporta a la diferencia de trato la justificación de la que carecía en la regulación precedente, debiendo rechazarse las alegaciones del Abogado del Estado y del Fiscal General del Estado, quienes fundamentan el carácter justificado de la norma cuestionada en que su contenido resulta acorde con la lógica de un sistema de cobertura fundado en la correspondencia entre cotizaciones y prestaciones y en que su fin es el equilibrio económico y la viabilidad del sistema de la Seguridad Social. En relación a estas objeciones —similares a las que asimismo fueron desestimadas por la ya referida Sentencia del Tribunal de Justicia de la Unión Europea, de 22 de noviembre de 2012—, ha de tenerse en cuenta que, si bien es cierto que reiteradamente hemos proclamado la libertad del legislador para modular la acción protectora del sistema de Seguridad Social en atención a circunstancias económicas y sociales que son imperativas para la propia viabilidad y eficacia de aquél (SSTC 128/2009, de 1 de junio, FJ 4; 205/2011, de 15 de diciembre, FJ 7), es evidente que tal libertad queda sometida al necesario respeto a los principios constitucionales y, por ende, a las exigencias del principio de igualdad y no discriminación. Por ello, procede recordar que, como asimismo dijimos en la STC 253/2004, las anteriores alegaciones se responden “poniendo de manifiesto que el principio de contributividad que informa a nuestro sistema de Seguridad Social justifica sin duda que el legislador establezca … que las bases reguladoras de las prestaciones de Seguridad Social se calculen en función de lo efectivamente cotizado, de donde resultará, lógicamente, una prestación de cuantía inferior para los trabajadores contratados a tiempo parcial, por comparación con los trabajadores que desempeñen ese mismo trabajo a jornada completa. Pero lo que no aparece justificado es que se establezca una diferencia de trato entre trabajadores a tiempo completo y trabajadores a tiempo parcial en cuanto al cumplimiento del requisito de carencia para el acceso a las prestaciones contributivas de Seguridad Social, diferenciación, por tanto, arbitraria y que además conduce a un resultado desproporcionado, al dificultar el acceso a la protección de la Seguridad Social de los trabajadores contratados a tiempo parcial” (FJ 8).</w:t>
      </w:r>
    </w:p>
    <w:p w:rsidR="0026452D" w:rsidRDefault="0026452D" w:rsidP="0026452D">
      <w:pPr>
        <w:pStyle w:val="TextoNormal"/>
      </w:pPr>
    </w:p>
    <w:p w:rsidR="0026452D" w:rsidRDefault="0026452D" w:rsidP="0026452D">
      <w:pPr>
        <w:pStyle w:val="TextoNormal"/>
      </w:pPr>
      <w:r>
        <w:t>Pues bien, si en la regulación previa no aceptamos las anteriores alegaciones como criterio justificativo, tampoco ahora pueden servir para admitir que la diferencia de trato se mantenga en relación con aquellos trabajadores a tiempo parcial con una jornada laboral reducida o con mayores períodos de ocupación a tiempo parcial en el conjunto de su vida laboral. También respecto a ellos, el principio de contributividad permitirá explicar que las cotizaciones ingresadas determinen la cuantía de su prestación contributiva de jubilación, pero, en cambio, no justifica que, previamente, el criterio seguido en el cómputo de los períodos de carencia necesarios para acceder a dicha prestación resulte diferente al establecido para los trabajadores a tiempo completo, sin que, como ya se ha dicho, la regla correctora introducida evite que a estos trabajadores a tiempo parcial se les exijan períodos cotizados de actividad más amplios, con los efectos gravosos y desproporcionados a que la norma cuestionada puede dar lugar.</w:t>
      </w:r>
    </w:p>
    <w:p w:rsidR="0026452D" w:rsidRDefault="0026452D" w:rsidP="0026452D">
      <w:pPr>
        <w:pStyle w:val="TextoNormal"/>
      </w:pPr>
    </w:p>
    <w:p w:rsidR="0026452D" w:rsidRDefault="0026452D" w:rsidP="0026452D">
      <w:pPr>
        <w:pStyle w:val="TextoNormal"/>
      </w:pPr>
      <w:r>
        <w:t xml:space="preserve">c) En definitiva, a la vista de estas consideraciones cabe concluir que las diferencias de trato en cuanto al cómputo de los períodos de carencia que siguen experimentando los trabajadores a tiempo parcial respecto a los trabajadores a jornada completa se encuentran </w:t>
      </w:r>
      <w:r>
        <w:lastRenderedPageBreak/>
        <w:t>desprovistas de una justificación razonable que guarde la debida proporcionalidad entre la medida adoptada, el resultado producido y la finalidad pretendida. Por ello, conforme al canon de enjuiciamiento expuesto en el fundamento jurídico 4, hemos de declarar que la norma cuestionada vulnera el art. 14 CE, tanto por lesionar el derecho a la igualdad, como también, a la vista de su predominante incidencia sobre el empleo femenino, por provocar una discriminación indirecta por razón de sexo.</w:t>
      </w:r>
    </w:p>
    <w:p w:rsidR="0026452D" w:rsidRDefault="0026452D" w:rsidP="0026452D">
      <w:pPr>
        <w:pStyle w:val="TextoNormal"/>
      </w:pPr>
    </w:p>
    <w:p w:rsidR="0026452D" w:rsidRDefault="0026452D" w:rsidP="0026452D">
      <w:pPr>
        <w:pStyle w:val="TextoNormal"/>
      </w:pPr>
      <w:r>
        <w:t xml:space="preserve">Llegados a este punto, debemos además concretar el alcance de esta decisión. Inicialmente, hemos advertido que, en virtud del objeto del proceso </w:t>
      </w:r>
      <w:r w:rsidRPr="0026452D">
        <w:rPr>
          <w:i/>
        </w:rPr>
        <w:t>a quo</w:t>
      </w:r>
      <w:r>
        <w:t xml:space="preserve"> que ha dado lugar a la presente cuestión de inconstitucionalidad, nuestro enjuiciamiento debía centrarse en la referencia de la previsión cuestionada a la prestación de jubilación (FJ 3). No obstante, en atención a lo ya declarado en la STC 253/2004, de 22 de diciembre, y dado que los razonamientos ahora realizados son trasladables a las demás prestaciones a las que respectivamente son aplicables las reglas analizadas, consideramos conveniente, en virtud del art. 39.1 LOTC, extender nuestra declaración de inconstitucionalidad y nulidad a todo el inciso inicial de la letra a) de la regla segunda del apartado 1 de la disposición adicional séptima LGSS, introducido por el Real Decreto-ley 15/1998, respecto al que el órgano promotor planteó la cuestión. Asimismo, teniendo en cuenta la íntima conexión existente entre el citado inciso y las reglas correctoras analizadas, cuya existencia no se explica de forma autónoma, sino sólo por su vinculación con aquél, debemos proceder asimismo </w:t>
      </w:r>
      <w:r w:rsidRPr="0026452D">
        <w:rPr>
          <w:i/>
        </w:rPr>
        <w:t>ex</w:t>
      </w:r>
      <w:r>
        <w:t xml:space="preserve"> art. 39.1 LOTC a declarar inconstitucionales y nulos tanto el segundo inciso de la letra a), como la letra b) de la misma regla indicada. Ello, en definitiva, supone declarar la inconstitucionalidad y nulidad de toda la regla segunda del apartado 1 de la disposición adicional séptima LGSS, en su redacción dada por el Real Decreto-ley 15/1998.</w:t>
      </w:r>
    </w:p>
    <w:p w:rsidR="0026452D" w:rsidRDefault="0026452D" w:rsidP="0026452D">
      <w:pPr>
        <w:pStyle w:val="TextoNormal"/>
      </w:pPr>
    </w:p>
    <w:p w:rsidR="0026452D" w:rsidRDefault="0026452D" w:rsidP="0026452D">
      <w:pPr>
        <w:pStyle w:val="TextoNormal"/>
      </w:pPr>
      <w:r w:rsidRPr="0026452D">
        <w:rPr>
          <w:rStyle w:val="NumeroAFNegritaCaracter"/>
        </w:rPr>
        <w:t>7</w:t>
      </w:r>
      <w:r>
        <w:t>. Todo lo expuesto conduce a la estimación de la presente cuestión de inconstitucionalidad, con el alcance indicado en el fundamento jurídico anterior. Como ya hicimos en la STC 253/2004, de 22 de diciembre, resta únicamente por precisar que no es a este Tribunal, sino a los órganos judiciales, a quienes corresponde integrar, por los medios que el ordenamiento jurídico pone a su disposición, la eventual laguna que la anulación de la previsión cuestionada pudiera producir en orden al cómputo de los períodos de carencia para causar derecho a las prestaciones de Seguridad Social referidas en la norma en el caso de los trabajadores a tiempo parcial.</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la presente cuestión de inconstitucionalidad y, en su virtud, declarar inconstitucional y nula la regla segunda del apartado 1 de la disposición adicional séptima de la Ley general de la Seguridad Social, texto refundido aprobado por Real Decreto Legislativo 1/1994, de 20 de junio, en la redacción dada por el Real Decreto-ley 15/1998, de 27 de noviembre.</w:t>
      </w:r>
    </w:p>
    <w:p w:rsidR="0026452D" w:rsidRDefault="0026452D" w:rsidP="0026452D">
      <w:pPr>
        <w:pStyle w:val="TextoNormal"/>
      </w:pPr>
    </w:p>
    <w:p w:rsidR="0026452D" w:rsidRDefault="0026452D" w:rsidP="0026452D">
      <w:pPr>
        <w:pStyle w:val="TextoNormal"/>
      </w:pPr>
      <w:r>
        <w:lastRenderedPageBreak/>
        <w:t>Publíquese esta Sentencia en el “Boletín Oficial del Estado”.</w:t>
      </w:r>
    </w:p>
    <w:p w:rsidR="0026452D" w:rsidRDefault="0026452D" w:rsidP="0026452D">
      <w:pPr>
        <w:pStyle w:val="TextoNormal"/>
      </w:pPr>
      <w:r>
        <w:t>Dada en Madrid, a catorce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65" w:name="SENTENCIA_2013_62"/>
      <w:r>
        <w:lastRenderedPageBreak/>
        <w:t>SENTENCIA 62/2013, de 14 de marzo de 2013</w:t>
      </w:r>
    </w:p>
    <w:bookmarkEnd w:id="65"/>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ECLI:ES:TC:2013:62</w:t>
      </w:r>
    </w:p>
    <w:p w:rsidR="0026452D" w:rsidRDefault="0026452D" w:rsidP="0026452D">
      <w:pPr>
        <w:pStyle w:val="SntesisDescriptiva"/>
      </w:pPr>
    </w:p>
    <w:p w:rsidR="0026452D" w:rsidRDefault="0026452D" w:rsidP="0026452D">
      <w:pPr>
        <w:pStyle w:val="SntesisDescriptiva"/>
      </w:pPr>
      <w:r>
        <w:t>Conflicto positivo de competencia 198-2004 . Planteado por el Gobierno de Aragón en relación con el Real Decreto 1046/2003, de 1 de agosto, por el que se regula el subsistema de formación profesional continua.</w:t>
      </w:r>
    </w:p>
    <w:p w:rsidR="0026452D" w:rsidRDefault="0026452D" w:rsidP="0026452D">
      <w:pPr>
        <w:pStyle w:val="SntesisDescriptiva"/>
      </w:pPr>
    </w:p>
    <w:p w:rsidR="0026452D" w:rsidRDefault="0026452D" w:rsidP="0026452D">
      <w:pPr>
        <w:pStyle w:val="SntesisAnaltica"/>
      </w:pPr>
      <w:r>
        <w:t>Competencias en materia laboral: interpretación conforme de varios preceptos reglamentarios relativos  a la Fundación Estatal para la Formación en el Empleo (STC 244/2012).</w:t>
      </w:r>
    </w:p>
    <w:p w:rsidR="0026452D" w:rsidRDefault="0026452D" w:rsidP="0026452D">
      <w:pPr>
        <w:pStyle w:val="SntesisAnaltica"/>
      </w:pPr>
    </w:p>
    <w:p w:rsidR="0026452D" w:rsidRDefault="0026452D" w:rsidP="0026452D">
      <w:pPr>
        <w:pStyle w:val="Extracto"/>
      </w:pPr>
      <w:r>
        <w:t>1.</w:t>
      </w:r>
      <w:r>
        <w:tab/>
        <w:t>Aplica la doctrina sobre la distribución de competencias en relación a la regulación del subsistema de formación profesional continua de la STC 244/2012 [FFJJ 2 a 5].</w:t>
      </w:r>
    </w:p>
    <w:p w:rsidR="0026452D" w:rsidRDefault="0026452D" w:rsidP="0026452D">
      <w:pPr>
        <w:pStyle w:val="Extracto"/>
      </w:pPr>
    </w:p>
    <w:p w:rsidR="0026452D" w:rsidRDefault="0026452D" w:rsidP="0026452D">
      <w:pPr>
        <w:pStyle w:val="Extracto"/>
      </w:pPr>
      <w:r>
        <w:t>2.</w:t>
      </w:r>
      <w:r>
        <w:tab/>
        <w:t xml:space="preserve">Aplica la doctrina sobre el encuadramiento competencial de las acciones formativas de los trabajadores ocupados así como su financiación en la materia ‘legislación laboral’, </w:t>
      </w:r>
      <w:r w:rsidRPr="0026452D">
        <w:rPr>
          <w:i/>
        </w:rPr>
        <w:t>ex</w:t>
      </w:r>
      <w:r>
        <w:t xml:space="preserve"> art. 149.1.7 CE, de la STC 244/2012 [FJ 3].</w:t>
      </w:r>
    </w:p>
    <w:p w:rsidR="0026452D" w:rsidRDefault="0026452D" w:rsidP="0026452D">
      <w:pPr>
        <w:pStyle w:val="Extracto"/>
      </w:pPr>
    </w:p>
    <w:p w:rsidR="0026452D" w:rsidRDefault="0026452D" w:rsidP="0026452D">
      <w:pPr>
        <w:pStyle w:val="Extracto"/>
      </w:pPr>
      <w:r>
        <w:t>3.</w:t>
      </w:r>
      <w:r>
        <w:tab/>
        <w:t>La existencia de un título competencial estatal de carácter específico, el ámbito estatal de los destinatarios de las ayudas dirigidas a acciones formativas y el contenido y naturaleza de dichas acciones son circunstancias que ponen de relieve su ámbito supraterritorial, determinando que haya de ser el Estado el que asuma las funciones de gestión y tramitación, excluyéndose la posibilidad de una gestión descentralizada (SSTC 13/1992, 244/2012)  [FJ 4].</w:t>
      </w:r>
    </w:p>
    <w:p w:rsidR="0026452D" w:rsidRDefault="0026452D" w:rsidP="0026452D">
      <w:pPr>
        <w:pStyle w:val="Extracto"/>
      </w:pPr>
    </w:p>
    <w:p w:rsidR="0026452D" w:rsidRDefault="0026452D" w:rsidP="0026452D">
      <w:pPr>
        <w:pStyle w:val="Extracto"/>
      </w:pPr>
      <w:r>
        <w:t>4.</w:t>
      </w:r>
      <w:r>
        <w:tab/>
        <w:t>La mera previsión de una estructura organizativa y de participación entre el Estado, las Comunidades Autónomas y los agentes sociales implicados en el ámbito de la formación continua, en cuanto traslación de los principios de cooperación y colaboración, tiene por objeto favorecer el ejercicio de las respectivas competencias, y en esta medida, tales previsiones no alteran el esquema de reparto competencial, ni impiden a la Comunidad Autónoma, en ejercicio de su potestad de autoorganización, la creación de los servicios o unidades propios que estime convenientes en orden al ejercicio de las competencias de ejecución que le han sido constitucionalmente atribuidas (STC 244/2012)  [FJ 5].</w:t>
      </w:r>
    </w:p>
    <w:p w:rsidR="0026452D" w:rsidRDefault="0026452D" w:rsidP="0026452D">
      <w:pPr>
        <w:pStyle w:val="Extracto"/>
      </w:pPr>
    </w:p>
    <w:p w:rsidR="0026452D" w:rsidRDefault="0026452D" w:rsidP="0026452D">
      <w:pPr>
        <w:pStyle w:val="Extracto"/>
      </w:pPr>
      <w:r>
        <w:t>5.</w:t>
      </w:r>
      <w:r>
        <w:tab/>
        <w:t>La función de velar por el cumplimiento de la normativa reguladora en materia de formación continua y de su eficacia en relación con los objetivos generales del sistema, atribuida a la Comisión Estatal de Formación Continua, no puede entenderse como invasora de las competencias ejecutivas de la Comunidad Autónoma, pues si bien es cierto que las Comunidades Autónomas ostentan competencias para la aplicación de la normativa estatal, ello no impide que el Estado esté habilitado para velar por el cumplimiento de su propia normativa (STC 244/2012)  [FJ 5].</w:t>
      </w:r>
    </w:p>
    <w:p w:rsidR="0026452D" w:rsidRDefault="0026452D" w:rsidP="0026452D">
      <w:pPr>
        <w:pStyle w:val="Extracto"/>
      </w:pPr>
    </w:p>
    <w:p w:rsidR="0026452D" w:rsidRDefault="0026452D" w:rsidP="0026452D">
      <w:pPr>
        <w:pStyle w:val="Extracto"/>
      </w:pPr>
      <w:r>
        <w:lastRenderedPageBreak/>
        <w:t>6.</w:t>
      </w:r>
      <w:r>
        <w:tab/>
        <w:t>La intervención previa de las comisiones paritarias sectoriales y territoriales se constituye como un ejercicio de función mediadora en relación a discrepancias sobre el contenido de las acciones formativas que no desplaza la competencia atribuida a la Administración competente en caso de subsistencia del desacuerdo, por lo que dicha función no interfiere o menoscaba el ejercicio de las competencias que corresponden a la Comunidad Autónoma (STC 244/2012)  [FJ 5].</w:t>
      </w:r>
    </w:p>
    <w:p w:rsidR="0026452D" w:rsidRDefault="0026452D" w:rsidP="0026452D">
      <w:pPr>
        <w:pStyle w:val="Extracto"/>
      </w:pPr>
    </w:p>
    <w:p w:rsidR="0026452D" w:rsidRDefault="0026452D" w:rsidP="0026452D">
      <w:pPr>
        <w:pStyle w:val="Extracto"/>
      </w:pPr>
      <w:r>
        <w:t>7.</w:t>
      </w:r>
      <w:r>
        <w:tab/>
        <w:t>Doctrina sobre la eventual apreciación de la pérdida de objeto, derivada de modificaciones normativas, en procesos constitucionales de naturaleza competencial, según perviva, o no, la controversia competencial (STC 242/2012)  [FJ 2].</w:t>
      </w:r>
    </w:p>
    <w:p w:rsidR="0026452D" w:rsidRDefault="0026452D" w:rsidP="0026452D">
      <w:pPr>
        <w:pStyle w:val="Extracto"/>
      </w:pPr>
    </w:p>
    <w:p w:rsidR="0026452D" w:rsidRDefault="0026452D" w:rsidP="0026452D">
      <w:pPr>
        <w:pStyle w:val="Extracto"/>
      </w:pPr>
      <w:r>
        <w:t>8.</w:t>
      </w:r>
      <w:r>
        <w:tab/>
        <w:t xml:space="preserve">Doctrina sobre el </w:t>
      </w:r>
      <w:r w:rsidRPr="0026452D">
        <w:rPr>
          <w:i/>
        </w:rPr>
        <w:t>ius superveniens</w:t>
      </w:r>
      <w:r>
        <w:t xml:space="preserve"> conforme a la cual el control de las normas que incurren en un posible exceso competencial debe hacerse de acuerdo a las normas del bloque de la constitucionalidad vigentes al momento de dictar Sentencia (STC 1/2011)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198-2004 promovido por el Gobierno de Aragón en relación con el Real Decreto 1046/2003, de 1 de agosto, por el que se regula el subsistema de formación profesional continua. Ha comparecido y formulado alegaciones el Abogado del Estado. Ha sido Ponente la Magistrada doña Encarnación Roca Trías,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día 12 de enero de 2004 tuvo entrada en el Registro General de este Tribunal Constitucional, escrito del Letrado de la Comunidad Autónoma de Aragón, por el que, en la representación que legalmente ostenta, interpone conflicto positivo de competencia, tramitado con el número 198-2004, en relación con los artículos 12, 14, 18, 19, 20 y 21 del Real Decreto 1046/2003, de 1 de agosto, por el que se regula el subsistema de formación profesional continua.</w:t>
      </w:r>
    </w:p>
    <w:p w:rsidR="0026452D" w:rsidRDefault="0026452D" w:rsidP="0026452D">
      <w:pPr>
        <w:pStyle w:val="TextoNormal"/>
      </w:pPr>
    </w:p>
    <w:p w:rsidR="0026452D" w:rsidRDefault="0026452D" w:rsidP="0026452D">
      <w:pPr>
        <w:pStyle w:val="TextoNormal"/>
      </w:pPr>
      <w:r>
        <w:lastRenderedPageBreak/>
        <w:t>Tras dar cuenta de los términos en que se dio cumplimiento al trámite del requerimiento previo de incompetencia, el Letrado del Gobierno de Aragón fundamenta la presente impugnación en la vulneración de las competencias autonómicas previstas en el art. 39.1.2 del Estatuto de Autonomía en materia de ejecución de la legislación laboral, de conformidad con lo establecido en el art. 149.1.7 CE, así como la doctrina de este Tribunal contenida en las Sentencias 95/2002, de 25 de abril y 190/2002, de 17 de octubre.</w:t>
      </w:r>
    </w:p>
    <w:p w:rsidR="0026452D" w:rsidRDefault="0026452D" w:rsidP="0026452D">
      <w:pPr>
        <w:pStyle w:val="TextoNormal"/>
      </w:pPr>
    </w:p>
    <w:p w:rsidR="0026452D" w:rsidRDefault="0026452D" w:rsidP="0026452D">
      <w:pPr>
        <w:pStyle w:val="TextoNormal"/>
      </w:pPr>
      <w:r>
        <w:t>Considera el representante autonómico que el título que ampara la competencia ejercida por el Estado a través del presente Real Decreto, es el previsto en el art. 149.1.7 CE, en materia de legislación laboral, debiendo descartarse la aplicación al presente supuesto de los títulos contemplados en los apartados 13 y 17 del mencionado precepto, a los que se alude en la disposición final primera del Real Decreto.</w:t>
      </w:r>
    </w:p>
    <w:p w:rsidR="0026452D" w:rsidRDefault="0026452D" w:rsidP="0026452D">
      <w:pPr>
        <w:pStyle w:val="TextoNormal"/>
      </w:pPr>
    </w:p>
    <w:p w:rsidR="0026452D" w:rsidRDefault="0026452D" w:rsidP="0026452D">
      <w:pPr>
        <w:pStyle w:val="TextoNormal"/>
      </w:pPr>
      <w:r>
        <w:t>A juicio del Letrado del Gobierno de Aragón, la normativa contenida en el Real Decreto 1046/2003, con olvido total y absoluto de las competencias de ejecución que constitucional y estatutariamente corresponden a la Comunidad Autónoma, prevé y regula únicamente intervenciones de órganos y entidades estatales en materia de formación continua, por lo que sólo posibilita la aplicación de la norma a través de los citados órganos estatales, excluyendo la intervención de las Comunidades Autónomas.</w:t>
      </w:r>
    </w:p>
    <w:p w:rsidR="0026452D" w:rsidRDefault="0026452D" w:rsidP="0026452D">
      <w:pPr>
        <w:pStyle w:val="TextoNormal"/>
      </w:pPr>
    </w:p>
    <w:p w:rsidR="0026452D" w:rsidRDefault="0026452D" w:rsidP="0026452D">
      <w:pPr>
        <w:pStyle w:val="TextoNormal"/>
      </w:pPr>
      <w:r>
        <w:t>El art. 12 contempla la ejecución de las acciones formativas en las empresas, y, a juicio de la representación autonómica, regula con todo detalle las obligaciones de comunicación de información que todas las empresas que realicen acciones de formación continua acogidas al Real Decreto deben realizar a la Fundación Estatal para la Formación en el Empleo, posibilitando también que ésta pueda requerir información complementaria, pero se omite la existencia de ninguna obligación de proporcionar dicha información a la “Administración competente” para el control y seguimiento de dicha actividad, que no es otra que la Administración autonómica. Ello implica que las empresas que desarrollen acciones formativas sólo vienen obligadas a comunicarlo a la citada fundación, pero no se les impone ninguna obligación de comunicación a la Administración autonómica, lo que vulnera las competencias autonómicas de ejecución en materia laboral, pues la obligación de informar de la realización de acciones formativas debe dirigirse a la Administración competente para realizar el control de las mismas y no a otra Administración distinta. Se añade que, si bien cabe entender que la Administración del Estado quiera recibir información sobre esta materia a efectos de desarrollar las funciones de alta inspección que le correspondan, lo lógico es que la Administración del Estado recabe tal información de las Administraciones competentes para la ejecución en la materia, siendo así que lo que no puede hacer, so pena de desconocer las competencias ejecutivas de la Comunidad Autónoma, es imponer la obligación de remisión de información sólo a la Fundación Estatal para la Formación en el Empleo, y no a favor de la Administración autonómica.</w:t>
      </w:r>
    </w:p>
    <w:p w:rsidR="0026452D" w:rsidRDefault="0026452D" w:rsidP="0026452D">
      <w:pPr>
        <w:pStyle w:val="TextoNormal"/>
      </w:pPr>
    </w:p>
    <w:p w:rsidR="0026452D" w:rsidRDefault="0026452D" w:rsidP="0026452D">
      <w:pPr>
        <w:pStyle w:val="TextoNormal"/>
      </w:pPr>
      <w:r>
        <w:t xml:space="preserve">En el art. 14 se contempla otra modalidad de acción formativa, los denominados “contratos programas para la formación de trabajadores”, que se suscriben con las organizaciones empresariales o sindicales, con las federaciones de cooperativas o sociedades laborales o con las asociaciones de trabajadores autónomos, estableciendo el plan de formación y previendo determinadas ayudas. A juicio de la representación autonómica, la vulneración competencial se sustenta en que los únicos contratos programas previstos y regulados por la norma son los que puede suscribir el Instituto Nacional de Empleo (INEM), sin que exista </w:t>
      </w:r>
      <w:r>
        <w:lastRenderedPageBreak/>
        <w:t>la más mínima mención a la posibilidad de suscripción de los mismos por parte de la Administración autonómica, que en principio es la competente para la ejecución de las acciones formativas, lo que supone, en consecuencia, un desconocimiento de las competencia que en materia de ejecución de la legislación laboral corresponde a la Comunidad Autónoma. A ello se añade que los fondos previstos en los Presupuestos Generales del Estado para estas ayudas que se instrumentan a través de los contratos programa, deben ser objeto de territorialización, correspondiendo su gestión a las Comunidades Autónomas, dado que no existe ningún obstáculo para su fraccionamiento, de tal manera que sea en el ámbito territorial de cada Comunidad Autónoma donde hayan de gestionarse las ayudas y suscribirse los contratos programa.</w:t>
      </w:r>
    </w:p>
    <w:p w:rsidR="0026452D" w:rsidRDefault="0026452D" w:rsidP="0026452D">
      <w:pPr>
        <w:pStyle w:val="TextoNormal"/>
      </w:pPr>
    </w:p>
    <w:p w:rsidR="0026452D" w:rsidRDefault="0026452D" w:rsidP="0026452D">
      <w:pPr>
        <w:pStyle w:val="TextoNormal"/>
      </w:pPr>
      <w:r>
        <w:t>Los arts. 18, 19, 20 y 21 regulan la “estructura organizativa y de participación” en materia de formación continua, constituida por la Comisión Estatal de Formación Continua, las comisiones paritarias sectoriales o territoriales y la Fundación Estatal para la Formación en el Empleo. Afirma al respecto el representante autonómico que si bien cabe que el Estado prevea en su estructura órganos para el ejercicio de las facultades que le pueden corresponder en esta materia, lo que no cabe es que atribuya a estos órganos funciones que desborden las que constitucionalmente puedan corresponderle, invadiendo las competencias ejecutivas de la Comunidad Autónoma de Aragón.</w:t>
      </w:r>
    </w:p>
    <w:p w:rsidR="0026452D" w:rsidRDefault="0026452D" w:rsidP="0026452D">
      <w:pPr>
        <w:pStyle w:val="TextoNormal"/>
      </w:pPr>
    </w:p>
    <w:p w:rsidR="0026452D" w:rsidRDefault="0026452D" w:rsidP="0026452D">
      <w:pPr>
        <w:pStyle w:val="TextoNormal"/>
      </w:pPr>
      <w:r>
        <w:t>En relación con la Comisión Estatal de Formación Continua, se afirma que exceden las competencias que corresponden al Estado, las funciones atribuidas a la misma en los apartados a), b), c), d) y e) del art. 18.1 y, especialmente, la de aprobación del mapa sectorial [apartado f)], y la de determinar los criterios y condiciones que deben cumplir las comisiones paritarias y sectoriales a efectos de su financiación [apartado g)]. Análogas consideraciones se efectúan respecto de la configuración de las comisiones paritarias sectoriales y territoriales (arts. 19 y 20), integradas por las organizaciones sindicales y empresariales, en cuanto no se da intervención a la Comunidad Autónoma en la configuración de las mismas, y se les atribuyen funciones relativas al seguimiento de la formación continua [arts. 19.2 b) y 20.2 b)] y la solución de discrepancias [arts. 19.2 a) y 20.2 a)] con un nítido perfil ejecutivo.</w:t>
      </w:r>
    </w:p>
    <w:p w:rsidR="0026452D" w:rsidRDefault="0026452D" w:rsidP="0026452D">
      <w:pPr>
        <w:pStyle w:val="TextoNormal"/>
      </w:pPr>
    </w:p>
    <w:p w:rsidR="0026452D" w:rsidRDefault="0026452D" w:rsidP="0026452D">
      <w:pPr>
        <w:pStyle w:val="TextoNormal"/>
      </w:pPr>
      <w:r>
        <w:t>A juicio de la Comunidad Autónoma, el art. 21 atribuye a la Fundación Estatal para la Formación en el Empleo determinadas competencias que igualmente invaden las que, en el ámbito de la ejecución, corresponden a la Comunidad Autónoma de Aragón. Entre ellas se citan las relativas a “seguimiento y control de las acciones formativas” [art. 21.1 g)], o las de “ejecución de las funciones de gestión y apoyo y asistencia técnica que le correspondan” [art. 21.1 f)]. Para la representación autonómica no cabe atribuir a una entidad estatal competencias que tienen un carácter marcadamente ejecutivo, aunque se afirme que es “sin perjuicio” de las competencias de la Comunidad Autónoma.</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Este Tribunal, mediante providencia de la Sección Primera de 10 de febrero de 2004, admitió a trámite el conflicto positivo de competencia promovido por el Gobierno de Aragón, acordando dar traslado de las actuaciones al Gobierno de la Nación, por conducto de su Presidente, al objeto de que en el plazo de veinte días, y por medio de la representación procesal que señala el art. 82.2 de la Ley Orgánica del Tribunal Constitucional (LOTC) pudiera personarse en los autos y aportar cuantos documentos y alegaciones considerase </w:t>
      </w:r>
      <w:r>
        <w:lastRenderedPageBreak/>
        <w:t>convenientes. Se acordó asimismo comunicar la incoación del conflicto a la Sala de lo Contencioso-Administrativo del Tribunal Supremo por si ante la misma estuviera impugnado o se impugnara el referido real decreto, en cuyo caso se suspendería el curso del proceso hasta la decisión del conflicto, así como publicar la incoación del conflicto en el “Boletín Oficial del Estado” y en el “Boletín Oficial de Aragón”.</w:t>
      </w:r>
    </w:p>
    <w:p w:rsidR="0026452D" w:rsidRDefault="0026452D" w:rsidP="0026452D">
      <w:pPr>
        <w:pStyle w:val="TextoNormal"/>
      </w:pPr>
    </w:p>
    <w:p w:rsidR="0026452D" w:rsidRDefault="0026452D" w:rsidP="0026452D">
      <w:pPr>
        <w:pStyle w:val="TextoNormal"/>
      </w:pPr>
      <w:r w:rsidRPr="0026452D">
        <w:rPr>
          <w:rStyle w:val="NumeroAFNegritaCaracter"/>
        </w:rPr>
        <w:t>3</w:t>
      </w:r>
      <w:r>
        <w:t>. Mediante escrito que tuvo entrada en este Tribunal el 18 de febrero de 2004, el Abogado del Estado solicitó, dada la acumulación de asuntos pendientes ante ese servicio jurídico, una prórroga hasta el máximo legal, del plazo concedido para alegaciones. La Sección Primera, mediante providencia de 24 de febrero, acordó incorporar a las actuaciones el escrito del Abogado del Estado y atender su solicitud, ampliando en diez días el plazo originalmente concedido.</w:t>
      </w:r>
    </w:p>
    <w:p w:rsidR="0026452D" w:rsidRDefault="0026452D" w:rsidP="0026452D">
      <w:pPr>
        <w:pStyle w:val="TextoNormal"/>
      </w:pPr>
    </w:p>
    <w:p w:rsidR="0026452D" w:rsidRDefault="0026452D" w:rsidP="0026452D">
      <w:pPr>
        <w:pStyle w:val="TextoNormal"/>
      </w:pPr>
      <w:r w:rsidRPr="0026452D">
        <w:rPr>
          <w:rStyle w:val="NumeroAFNegritaCaracter"/>
        </w:rPr>
        <w:t>4</w:t>
      </w:r>
      <w:r>
        <w:t>. El 5 de marzo de 2004 tuvo entrada en este Tribunal escrito de alegaciones del Abogado del Estado en el que solicita se tenga por evacuado el trámite conferido y, en su día, se dicte sentencia desestimatoria de la demanda en todos sus extremos, declarando los preceptos impugnados ajustados a la Constitución.</w:t>
      </w:r>
    </w:p>
    <w:p w:rsidR="0026452D" w:rsidRDefault="0026452D" w:rsidP="0026452D">
      <w:pPr>
        <w:pStyle w:val="TextoNormal"/>
      </w:pPr>
    </w:p>
    <w:p w:rsidR="0026452D" w:rsidRDefault="0026452D" w:rsidP="0026452D">
      <w:pPr>
        <w:pStyle w:val="TextoNormal"/>
      </w:pPr>
      <w:r>
        <w:t>Considera el Abogado del Estado que, de conformidad con las SSTC 95/2002, de 25 abril y 190/2002, de 17 de octubre, la formación continua de los trabajadores ocupados se incardina en la materia laboral, al constituir un derecho concreto de los trabajadores en el seno de la relación laboral, con correlativos derechos y obligaciones para las dos partes. El precepto constitucional que ampara la competencia del Estado para legislar sobre esta actividad es el art. 149.1.7 CE.</w:t>
      </w:r>
    </w:p>
    <w:p w:rsidR="0026452D" w:rsidRDefault="0026452D" w:rsidP="0026452D">
      <w:pPr>
        <w:pStyle w:val="TextoNormal"/>
      </w:pPr>
    </w:p>
    <w:p w:rsidR="0026452D" w:rsidRDefault="0026452D" w:rsidP="0026452D">
      <w:pPr>
        <w:pStyle w:val="TextoNormal"/>
      </w:pPr>
      <w:r>
        <w:t>La mencionada competencia habilita al Estado para establecer un régimen jurídico unitario en materia de formación continua de trabajadores ocupados y permite a éste optar entre un modelo de financiación de las acciones de formación continua en las empresas que se rija por el sistema de subvenciones públicas, o uno de bonificaciones en las cuotas que las empresas ingresan en la Seguridad Social en concepto de formación profesional, o por un modelo mixto, como la norma que nos ocupa.</w:t>
      </w:r>
    </w:p>
    <w:p w:rsidR="0026452D" w:rsidRDefault="0026452D" w:rsidP="0026452D">
      <w:pPr>
        <w:pStyle w:val="TextoNormal"/>
      </w:pPr>
    </w:p>
    <w:p w:rsidR="0026452D" w:rsidRDefault="0026452D" w:rsidP="0026452D">
      <w:pPr>
        <w:pStyle w:val="TextoNormal"/>
      </w:pPr>
      <w:r>
        <w:t>La novedad principal que introduce el Real Decreto 1046/2003 radica en que las acciones de formación continua en las empresas responden a un criterio muy distinto del que guiaba el modelo anterior, pues la gestión de dicha formación no pivota sobre los poderes públicos o los interlocutores sociales, sino sobre las propias empresas, que son las que elaboran y ponen en práctica las acciones, y son éstas las que gestionan su financiación a través de bonificaciones en sus cotizaciones a la Seguridad Social (art. 7.1). Se trata de un sistema más sencillo y menos burocratizado, que no menoscaba las competencias ejecutivas de las Comunidades Autónomas porque la intervención pública que está prevista en las acciones de formación continua en las empresas, queda en manos de la “Administración competente”.</w:t>
      </w:r>
    </w:p>
    <w:p w:rsidR="0026452D" w:rsidRDefault="0026452D" w:rsidP="0026452D">
      <w:pPr>
        <w:pStyle w:val="TextoNormal"/>
      </w:pPr>
    </w:p>
    <w:p w:rsidR="0026452D" w:rsidRDefault="0026452D" w:rsidP="0026452D">
      <w:pPr>
        <w:pStyle w:val="TextoNormal"/>
      </w:pPr>
      <w:r>
        <w:t xml:space="preserve">Respecto de la alegación de inconstitucionalidad que se dirige contra el art. 12, considera el Abogado del Estado que el promotor del conflicto ofrece una interpretación absolutamente equivocada del precepto, pues el tenor del art. 12.2 deja fuera de toda duda el respeto a la competencia autonómica, en cuanto prevé que las empresas comuniquen a la Fundación la información que se detalla “sin perjuicio de las competencias que en este ámbito correspondan a las Comunidades Autónomas”, afirmación que permite entender, como se puso de </w:t>
      </w:r>
      <w:r>
        <w:lastRenderedPageBreak/>
        <w:t>manifiesto en la contestación al requerimiento efectuada por el Gobierno de la Nación, que la Administración de la Comunidad Autónoma, como “Administración competente”, podrá realizar funciones de control sobre las acciones formativas, y las empresas deberán tener a su disposición la documentación justificativa de las acciones formativas realizadas. En este sentido, la falta de previsión normativa que se denuncia no constituye vulneración competencial alguna ni supone un obstáculo para el ejercicio de las competencias ejecutivas de las Comunidades Autónomas, pues éstas pueden recabar toda la información que precisen de las empresas, a través de los órganos que creen al efecto.</w:t>
      </w:r>
    </w:p>
    <w:p w:rsidR="0026452D" w:rsidRDefault="0026452D" w:rsidP="0026452D">
      <w:pPr>
        <w:pStyle w:val="TextoNormal"/>
      </w:pPr>
    </w:p>
    <w:p w:rsidR="0026452D" w:rsidRDefault="0026452D" w:rsidP="0026452D">
      <w:pPr>
        <w:pStyle w:val="TextoNormal"/>
      </w:pPr>
      <w:r>
        <w:t>Continúa señalando el Abogado del Estado que el Estado precisa de una comunicación previa de la formación a realizar por las empresas, a los efectos de comprobación de que la bonificación practicada en la cuota se corresponde con la formación realizada, sin que, por razones de eficacia, dicho procedimiento pueda ser llevado a cabo por las diecisiete Comunidades Autónomas, siendo la Fundación estatal, como institución de apoyo técnico a las Administraciones competentes, la más adecuada para proporcionar dicha información, a fin de que ambas Administraciones, estatal y autonómica, puedan desarrollar las competencias que les corresponden. Las circunstancias propias del dinamismo inherente a la actividad empresarial legitiman la necesidad de que exista una información unitaria y homogénea relativa a la formación continua que se desarrolla en una determinada empresa, cualquiera que sea el territorio donde se ubique o donde cuente con centros de trabajo, y dicha información estará disponible por igual para las distintas Administraciones, siendo precisamente éste el objetivo que persigue la remisión de la información que las empresas han de hacer a favor de la Fundación estatal, con base en el art. 12.2 del Real Decreto.</w:t>
      </w:r>
    </w:p>
    <w:p w:rsidR="0026452D" w:rsidRDefault="0026452D" w:rsidP="0026452D">
      <w:pPr>
        <w:pStyle w:val="TextoNormal"/>
      </w:pPr>
    </w:p>
    <w:p w:rsidR="0026452D" w:rsidRDefault="0026452D" w:rsidP="0026452D">
      <w:pPr>
        <w:pStyle w:val="TextoNormal"/>
      </w:pPr>
      <w:r>
        <w:t>En cuanto al reproche de inconstitucionalidad por vulneración competencial dirigido al art. 14 del Real Decreto, considera el representante estatal que el Estado tiene competencia para establecer las modalidades organizativas y de gestión de los contratos-programa de formación y de las acciones complementarias y de acompañamiento, que por su dimensión supraterritorial, no sean susceptibles de gestión o ejecución por las Comunidades Autónomas. Recuerda al respecto que la Sentencia 95/2002 vino a reconocer que incumbe al Estado la ordenación de la actividad y, por ello, delimitar los supuestos en que, por exceder de la competencia autonómica, la gestión y ejecución de las acciones formativas no corresponde a las Comunidades Autónomas, por lo que no resulta admisible que la Comunidad Autónoma promotora del conflicto, estime vulneradas sus competencias de gestión y ejecución respecto a las acciones formativas a que se ha hecho referencia, pues los criterios de la norma para deslindar encuentran cobertura en la jurisprudencia constitucional, cuando el ejercicio de la actividad no corresponde a las Comunidades Autónomas, en tanto que afectan a supuestos de supraterritorialidad.</w:t>
      </w:r>
    </w:p>
    <w:p w:rsidR="0026452D" w:rsidRDefault="0026452D" w:rsidP="0026452D">
      <w:pPr>
        <w:pStyle w:val="TextoNormal"/>
      </w:pPr>
    </w:p>
    <w:p w:rsidR="0026452D" w:rsidRDefault="0026452D" w:rsidP="0026452D">
      <w:pPr>
        <w:pStyle w:val="TextoNormal"/>
      </w:pPr>
      <w:r>
        <w:t>Se afirma que carece de fundamento alguno la denuncia de exclusiva habilitación al INEM para la suscripción de los contratos-programa, pues el apartado 5 del artículo 14 presupone indudablemente que cuando las ayudas o subvenciones financien acciones de formación de ámbito territorial exclusivo de una Comunidad Autónoma, el ente suscriptor de los respectivos contratos programas o acciones complementarias y de acompañamiento será el órgano autonómico que como tal se prescriba.</w:t>
      </w:r>
    </w:p>
    <w:p w:rsidR="0026452D" w:rsidRDefault="0026452D" w:rsidP="0026452D">
      <w:pPr>
        <w:pStyle w:val="TextoNormal"/>
      </w:pPr>
    </w:p>
    <w:p w:rsidR="0026452D" w:rsidRDefault="0026452D" w:rsidP="0026452D">
      <w:pPr>
        <w:pStyle w:val="TextoNormal"/>
      </w:pPr>
      <w:r>
        <w:lastRenderedPageBreak/>
        <w:t>Afirma el Abogado del Estado que la estructura organizativa contemplada en los arts. 18, 19, 20 y 21 respeta las competencias autonómicas para autoorganizarse y responde a criterios de cooperación, pues el hecho de que el Real Decreto prevea determinadas entidades u órganos de ámbito estatal, no invade las competencias propias de las Comunidades Autónomas, en tanto que las funciones que se les atribuyen son únicamente las derivadas de las competencias que les son propias, y el Real Decreto no se ocupa de la estructura organizativa de las Comunidades Autónomas, por tratarse de una materia que compete exclusivamente a éstas.</w:t>
      </w:r>
    </w:p>
    <w:p w:rsidR="0026452D" w:rsidRDefault="0026452D" w:rsidP="0026452D">
      <w:pPr>
        <w:pStyle w:val="TextoNormal"/>
      </w:pPr>
    </w:p>
    <w:p w:rsidR="0026452D" w:rsidRDefault="0026452D" w:rsidP="0026452D">
      <w:pPr>
        <w:pStyle w:val="TextoNormal"/>
      </w:pPr>
      <w:r>
        <w:t>A juicio de la representación estatal, tanto la Comisión Estatal de Formación Continua como la Fundación Estatal para la Formación en el Empleo, responden a la necesidad de articular la colaboración entre el Estado, las Comunidades Autónomas y los agentes sociales; son órganos técnicos al servicio de todas las Administraciones, en los que está formalmente prevista la presencia de las Comunidades Autónomas, que están representadas al mismo nivel de decisión que la Administración del Estado, y no impiden que cada Comunidad Autónoma pueda organizar la prestación del servicio que le corresponda según su propio criterio.</w:t>
      </w:r>
    </w:p>
    <w:p w:rsidR="0026452D" w:rsidRDefault="0026452D" w:rsidP="0026452D">
      <w:pPr>
        <w:pStyle w:val="TextoNormal"/>
      </w:pPr>
    </w:p>
    <w:p w:rsidR="0026452D" w:rsidRDefault="0026452D" w:rsidP="0026452D">
      <w:pPr>
        <w:pStyle w:val="TextoNormal"/>
      </w:pPr>
      <w:r>
        <w:t>En este contexto, considera el Abogado del Estado que no invaden las competencias autonómicas las funciones atribuidas a la Comisión estatal en los apartados a), b), c), d) y e) del art. 18.1, en cuanto se trata de funciones de naturaleza no ejecutiva. En el mismo sentido la función atribuida a la Fundación estatal en el apartado g) del art. 21, relativa al seguimiento y control de las acciones formativas, incumbe sin duda a la Administración del Estado en orden al correcto ejercicio de las competencias de control que le corresponden.</w:t>
      </w:r>
    </w:p>
    <w:p w:rsidR="0026452D" w:rsidRDefault="0026452D" w:rsidP="0026452D">
      <w:pPr>
        <w:pStyle w:val="TextoNormal"/>
      </w:pPr>
    </w:p>
    <w:p w:rsidR="0026452D" w:rsidRDefault="0026452D" w:rsidP="0026452D">
      <w:pPr>
        <w:pStyle w:val="TextoNormal"/>
      </w:pPr>
      <w:r>
        <w:t>Las comisiones paritarias sectoriales y territoriales (arts. 19 y 20) no son órganos administrativos sino órganos de participación de los agentes sociales y económicos, fruto incluso de la libre negociación colectiva y su constitución es de carácter facultativo, razones por las que no pueden ejercer potestades administrativas, sino de mera participación que no menoscaban, por ello, competencia alguna, pues incluso cuando en su seno no sea posible resolver las discrepancias entre la representación legal de los trabajadores y las empresas sobre las acciones formativas (art. 10.5), corresponde a la Administración competente resolver dichas discrepancias. Tales comisiones están creadas al amparo de los convenios colectivos sectoriales de ámbito estatal o acuerdos específicos, y su necesaria intervención en el subsistema de formación continua se fundamenta en su condición de instrumentos que posibilitan la participación activa de los sujetos que representan (empresarios y trabajadores) en el diseño e implantación de la formación continua, sin que dicha participación merme las competencias que la Administración competente tenga atribuidas.</w:t>
      </w:r>
    </w:p>
    <w:p w:rsidR="0026452D" w:rsidRDefault="0026452D" w:rsidP="0026452D">
      <w:pPr>
        <w:pStyle w:val="TextoNormal"/>
      </w:pPr>
    </w:p>
    <w:p w:rsidR="0026452D" w:rsidRDefault="0026452D" w:rsidP="0026452D">
      <w:pPr>
        <w:pStyle w:val="TextoNormal"/>
      </w:pPr>
      <w:r w:rsidRPr="0026452D">
        <w:rPr>
          <w:rStyle w:val="NumeroAFNegritaCaracter"/>
        </w:rPr>
        <w:t>5</w:t>
      </w:r>
      <w:r>
        <w:t>. En fecha 10 de mayo de 2007 tuvo entrada en el Registro General del Tribunal oficio procedente del Juzgado de lo Contencioso-Administrativo núm. 6 de Madrid, en el que, a efectos del procedimiento ordinario 2/2006 seguido ante el mismo, solicitaba información sobre el estado de los conflictos positivos de competencia seguidos en relación con el Real Decreto 1046/2003, de 1 de agosto y la Orden TAS/2783/2004, de 30 de julio, así como testimonio de las resoluciones que hubiesen recaído. Dicha comunicación fue contestada por escrito del Pleno en el que se informaba de los conflictos planteados en relación con las citadas disposiciones, todos ellos pendientes de resolución definitiva.</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6</w:t>
      </w:r>
      <w:r>
        <w:t>. Por providencia de 12 de marzo de 2013, se acordó señalar para deliberación y votación de la presente Sentencia el día 14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 planteado por el Gobierno de Aragón en relación con los artículos 12, 14, 18, 19, 20 y 21 del Real Decreto 1046/2003, de 1 de agosto, por el que se regula el subsistema de formación profesional continua.</w:t>
      </w:r>
    </w:p>
    <w:p w:rsidR="0026452D" w:rsidRDefault="0026452D" w:rsidP="0026452D">
      <w:pPr>
        <w:pStyle w:val="TextoNormal"/>
      </w:pPr>
    </w:p>
    <w:p w:rsidR="0026452D" w:rsidRDefault="0026452D" w:rsidP="0026452D">
      <w:pPr>
        <w:pStyle w:val="TextoNormal"/>
      </w:pPr>
      <w:r>
        <w:t>El Letrado del Gobierno de Aragón considera que la formación continua de los trabajadores ocupados se encuadra en el ámbito laboral, por lo que la regulación efectuada por el Real Decreto encuentra amparo en lo dispuesto por el art. 149.1.7 CE, debiendo descartarse la aplicación de los títulos competenciales previstos en los apartados 13 y 17 CE, que se alegan también como fundamento de la competencia estatal en la disposición final primera del Real Decreto. La impugnación se fundamenta en que los artículos que son objeto del conflicto exceden de las competencias que en materia de legislación laboral atribuye al Estado el art. 149.1.7 CE, vulnerando las competencias de ejecución que en dicha materia corresponden a la Comunidad Autónoma en virtud de lo dispuesto en el art. 39.1.2 de su Estatuto de Autonomía.</w:t>
      </w:r>
    </w:p>
    <w:p w:rsidR="0026452D" w:rsidRDefault="0026452D" w:rsidP="0026452D">
      <w:pPr>
        <w:pStyle w:val="TextoNormal"/>
      </w:pPr>
    </w:p>
    <w:p w:rsidR="0026452D" w:rsidRDefault="0026452D" w:rsidP="0026452D">
      <w:pPr>
        <w:pStyle w:val="TextoNormal"/>
      </w:pPr>
      <w:r>
        <w:t>El Abogado del Estado sostiene, por el contrario, que la regulación impugnada se encuentra plenamente respaldada por los títulos competenciales del Estado, en especial por lo establecido en el mencionado art. 149.1.7 CE, competencia que le habilita para establecer un régimen jurídico unitario en materia de formación continua de trabajadores ocupados, así como para la adopción del modelo de financiación y organización de la misma que considere más eficaz, por lo que solicita la íntegra desestimación del recurso y la declaración de que la disposición impugnada es ajustada a la Constitución.</w:t>
      </w:r>
    </w:p>
    <w:p w:rsidR="0026452D" w:rsidRDefault="0026452D" w:rsidP="0026452D">
      <w:pPr>
        <w:pStyle w:val="TextoNormal"/>
      </w:pPr>
    </w:p>
    <w:p w:rsidR="0026452D" w:rsidRDefault="0026452D" w:rsidP="0026452D">
      <w:pPr>
        <w:pStyle w:val="TextoNormal"/>
      </w:pPr>
      <w:r w:rsidRPr="0026452D">
        <w:rPr>
          <w:rStyle w:val="NumeroAFNegritaCaracter"/>
        </w:rPr>
        <w:t>2</w:t>
      </w:r>
      <w:r>
        <w:t>. Una vez expuestas sintéticamente las posiciones de las partes que se enfrentan en este proceso, resulta conveniente realizar algunas precisiones de orden procesal, antes de proceder al examen de la cuestión de fondo.</w:t>
      </w:r>
    </w:p>
    <w:p w:rsidR="0026452D" w:rsidRDefault="0026452D" w:rsidP="0026452D">
      <w:pPr>
        <w:pStyle w:val="TextoNormal"/>
      </w:pPr>
    </w:p>
    <w:p w:rsidR="0026452D" w:rsidRDefault="0026452D" w:rsidP="0026452D">
      <w:pPr>
        <w:pStyle w:val="TextoNormal"/>
      </w:pPr>
      <w:r>
        <w:t>Ha de tenerse en cuenta, en primer lugar, que el presente conflicto presenta una fundamental coincidencia con el tramitado bajo el número 7264-2003, que fue formulado por la Generalitat de Cataluña en relación con este mismo Real Decreto, y que ha dado lugar a las SSTC 244/2012, de 18 de diciembre; 16/2013, de 31 de enero, y 35/2013, de 14 de febrero, cuya doctrina resulta de directa aplicación a la presente controversia, sin perjuicio del específico examen de aquellos preceptos que no fueron controvertidos ni, en consecuencia, examinados en aquellos supuestos.</w:t>
      </w:r>
    </w:p>
    <w:p w:rsidR="0026452D" w:rsidRDefault="0026452D" w:rsidP="0026452D">
      <w:pPr>
        <w:pStyle w:val="TextoNormal"/>
      </w:pPr>
    </w:p>
    <w:p w:rsidR="0026452D" w:rsidRDefault="0026452D" w:rsidP="0026452D">
      <w:pPr>
        <w:pStyle w:val="TextoNormal"/>
      </w:pPr>
      <w:r>
        <w:t xml:space="preserve">Hemos de analizar, también, el efecto que pueda tener sobre la subsistencia de la presente controversia la expresa derogación del Real Decreto 1046/2003, efectuada por la disposición derogatoria única 2 a) del Real Decreto 395/2007, de 23 de marzo, por el que se regula el subsistema de formación profesional para el empleo. En relación con ello, hemos señalado en la STC 244/2012, de 18 de diciembre, FJ 2 b), que la derogación de la disposición impugnada no ha originado la desaparición del objeto del presente conflicto, dado que el </w:t>
      </w:r>
      <w:r>
        <w:lastRenderedPageBreak/>
        <w:t>Real Decreto 395/2007 plantea, en esencia los mismos problemas competenciales que motivan el conflicto promovido contra el Real Decreto 1046/2003, por lo que la disputa sobre la titularidad competencial sigue viva entre las partes y, en consecuencia, persiste el interés en la determinación de la titularidad de competencia controvertida.</w:t>
      </w:r>
    </w:p>
    <w:p w:rsidR="0026452D" w:rsidRDefault="0026452D" w:rsidP="0026452D">
      <w:pPr>
        <w:pStyle w:val="TextoNormal"/>
      </w:pPr>
    </w:p>
    <w:p w:rsidR="0026452D" w:rsidRDefault="0026452D" w:rsidP="0026452D">
      <w:pPr>
        <w:pStyle w:val="TextoNormal"/>
      </w:pPr>
      <w:r>
        <w:t xml:space="preserve">Con posterioridad a la interposición del presente conflicto, se ha producido la reforma del Estatuto de Autonomía de Aragón llevada a cabo por la Ley Orgánica 5/2007, de 20 de abril, norma estatutaria que constituye parámetro de control del presente conflicto, en aplicación de nuestra doctrina sobre el </w:t>
      </w:r>
      <w:r w:rsidRPr="0026452D">
        <w:rPr>
          <w:i/>
        </w:rPr>
        <w:t>ius superveniens</w:t>
      </w:r>
      <w:r>
        <w:t>, conforme a la cual “el control de las normas que incurren en un posible exceso competencial debe hacerse de acuerdo a las normas del bloque de la constitucionalidad vigentes al momento de dictar Sentencia” (STC 1/2011, de 14 de febrero, FJ 2 y doctrina allí citada), lo que determina que el análisis de la presente controversia haya de hacerse a la luz de la delimitación competencial que deriva de lo dispuesto en el art. 77.2 de la mencionada Ley Orgánica.</w:t>
      </w:r>
    </w:p>
    <w:p w:rsidR="0026452D" w:rsidRDefault="0026452D" w:rsidP="0026452D">
      <w:pPr>
        <w:pStyle w:val="TextoNormal"/>
      </w:pPr>
    </w:p>
    <w:p w:rsidR="0026452D" w:rsidRDefault="0026452D" w:rsidP="0026452D">
      <w:pPr>
        <w:pStyle w:val="TextoNormal"/>
      </w:pPr>
      <w:r w:rsidRPr="0026452D">
        <w:rPr>
          <w:rStyle w:val="NumeroAFNegritaCaracter"/>
        </w:rPr>
        <w:t>3</w:t>
      </w:r>
      <w:r>
        <w:t>. Entrando en el enjuiciamiento de fondo de la cuestión controvertida, ambas partes coinciden en considerar que la norma se inserta en el ámbito de las competencias exclusivas que, en materia de “legislación laboral” atribuye al Estado el art. 149.1.7 CE.</w:t>
      </w:r>
    </w:p>
    <w:p w:rsidR="0026452D" w:rsidRDefault="0026452D" w:rsidP="0026452D">
      <w:pPr>
        <w:pStyle w:val="TextoNormal"/>
      </w:pPr>
    </w:p>
    <w:p w:rsidR="0026452D" w:rsidRDefault="0026452D" w:rsidP="0026452D">
      <w:pPr>
        <w:pStyle w:val="TextoNormal"/>
      </w:pPr>
      <w:r>
        <w:t>Como hemos reiterado en un buen número de Sentencias, y como recordamos en el fundamento jurídico 4 de la que constituye punto de referencia de la presente resolución, las acciones formativas de los trabajadores ocupados y la financiación correspondiente, tienen una incardinación genérica en la materia “legislación laboral”, en la medida en que conciernen a la regulación de un concreto derecho de los trabajadores en el seno de la relación laboral —con claro reflejo en los arts. 4.2 y 23 del texto refundido de la Ley del estatuto de los trabajadores—, con la consiguiente atribución de correlativos deberes al empresario. Y ya señalamos en la STC 95/2002, de 25 de abril, FJ 4, con cita de la STC 35/1982, de 14 de junio, que en la referencia a “legislación laboral”, al adjetivo laboral se le asigna “un sentido concreto y restringido, coincidente por lo demás con el uso habitual, como referido solo al trabajo por cuenta ajena, entendiendo por consiguiente como legislación laboral aquella que regula directamente la relación laboral, es decir …. la relación que media entre los trabajadores que presten servicios retribuidos por cuenta ajena y los empresarios”.</w:t>
      </w:r>
    </w:p>
    <w:p w:rsidR="0026452D" w:rsidRDefault="0026452D" w:rsidP="0026452D">
      <w:pPr>
        <w:pStyle w:val="TextoNormal"/>
      </w:pPr>
    </w:p>
    <w:p w:rsidR="0026452D" w:rsidRDefault="0026452D" w:rsidP="0026452D">
      <w:pPr>
        <w:pStyle w:val="TextoNormal"/>
      </w:pPr>
      <w:r>
        <w:t xml:space="preserve">Precisamente por esta estricta delimitación del ámbito atraído a la materia “legislación laboral”, si bien se puede afirmar que la formación continua de trabajadores ocupados tiene una incardinación “genérica” en la materia “legislación laboral” del art. 149.1.7 CE, es igualmente cierto que puede haber supuestos en los que, atendido el tipo de actividad al que se orienta la acción formativa, quede vinculada a otro título competencial, con las consiguientes consecuencias para la delimitación del alcance de la competencia del Estado. En el supuesto que nos ocupa, el Real Decreto 1046/2003 establece, en su art. 3, que los beneficiarios de la formación continua no son exclusivamente trabajadores asalariados que prestan sus servicios en empresas privadas o entidades públicas empresariales y cotizan a la Seguridad Social en concepto de formación profesional, sino también otros trabajadores incluidos en el régimen especial agrario, autónomos, del mar y otros de la Seguridad Social “que no coticen por la contingencia de formación profesional” a través de los contratos programa que la propia norma regula. Prevé asimismo, dependiendo de los planes específicos que se promuevan con las Administraciones, la eventual participación en las acciones formativas </w:t>
      </w:r>
      <w:r>
        <w:lastRenderedPageBreak/>
        <w:t>del personal al servicio de las Administraciones públicas. Las acciones formativas que pueden desarrollarse al amparo de esta norma, por tanto, cualificadas como formación profesional continua, no se proyectan exclusivamente sobre el marco de la relación laboral sujeta a la legislación laboral en los términos del art. 149.1.7 CE.</w:t>
      </w:r>
    </w:p>
    <w:p w:rsidR="0026452D" w:rsidRDefault="0026452D" w:rsidP="0026452D">
      <w:pPr>
        <w:pStyle w:val="TextoNormal"/>
      </w:pPr>
    </w:p>
    <w:p w:rsidR="0026452D" w:rsidRDefault="0026452D" w:rsidP="0026452D">
      <w:pPr>
        <w:pStyle w:val="TextoNormal"/>
      </w:pPr>
      <w:r>
        <w:t>La disposición final primera del Real Decreto 1046/2003, dispone que el mismo se dicta al amparo de lo previsto en el art. 149.1.7, 13 y 17 de la Constitución, y si bien la incardinación de esta regulación en la materia legislación laboral no plantea problemas, otra cosa sucede con la invocación de los títulos competenciales asociados al art. 149.1.13 y 17 CE.</w:t>
      </w:r>
    </w:p>
    <w:p w:rsidR="0026452D" w:rsidRDefault="0026452D" w:rsidP="0026452D">
      <w:pPr>
        <w:pStyle w:val="TextoNormal"/>
      </w:pPr>
    </w:p>
    <w:p w:rsidR="0026452D" w:rsidRDefault="0026452D" w:rsidP="0026452D">
      <w:pPr>
        <w:pStyle w:val="TextoNormal"/>
      </w:pPr>
      <w:r>
        <w:t>En nuestra Sentencia 111/2012, de 24 de mayo, FJ 7, ya señalamos que “sin perjuicio de que haya aspectos de la formación profesional vinculados al fomento del empleo que podrían encontrar cobertura en el art. 149.1.13 CE (STC 95/2002, FJ 11), hemos descartado, en términos generales, la inclusión de esta materia en el citado título estatal, pues sólo tangencialmente puede verificarse su repercusión económica”. No es correcto, al menos como consideración general, tomar la formación profesional continua como un aspecto de la política de empleo orientada a incidir en el mercado de trabajo desde criterios de política económica incentivadores del acceso al empleo, en los términos del art. 40.1 de la Constitución. Y no se puede pasar por alto que, a la vista de los beneficiarios de las acciones formativas ofertadas bajo la cobertura del Real Decreto 1046/2003, la finalidad de la norma, más allá de lo indicado en su art. 2.1, es también la de proporcionar a algunos colectivos (siempre trabajadores, según se precisa) una formación que facilite su mejor capacitación profesional para la permanencia en el empleo o la mejor inserción en el mercado de trabajo. Sin excluir, por tanto, que el Estado pueda apelar al título del art. 149.1.13 CE para la decisión de expandir el círculo de los beneficiarios de la actividad prevista como formación continua, hasta alcanzar a colectivos que no son propiamente trabajadores ocupados ni asalariados, el núcleo de la regulación, según la finalidad declarada por la norma, sigue siendo la formación profesional continua de los ocupados y asalariados, que tiene la consideración de “legislación laboral” al amparo del art. 149.1.7 de la Constitución y cuya ejecución corresponde a las Comunidades Autónomas.</w:t>
      </w:r>
    </w:p>
    <w:p w:rsidR="0026452D" w:rsidRDefault="0026452D" w:rsidP="0026452D">
      <w:pPr>
        <w:pStyle w:val="TextoNormal"/>
      </w:pPr>
    </w:p>
    <w:p w:rsidR="0026452D" w:rsidRDefault="0026452D" w:rsidP="0026452D">
      <w:pPr>
        <w:pStyle w:val="TextoNormal"/>
      </w:pPr>
      <w:r>
        <w:t>Hemos rechazado, por el contrario, la inserción de la materia regulada en el ámbito del art. 149.1.17 CE, pues la formación profesional no forma parte del sistema de Seguridad Social, ni las cuotas abonadas en tal concepto son recursos de la Seguridad Social integrados en su caja única, tal como se señaló en la STC 124/1989, de 7 de julio, FJ 8. En el supuesto que se examina, el hecho de que los créditos destinados a formación tengan su origen en cotizaciones que se recaudan por la Tesorería General de la Seguridad Social, no implica necesariamente que formen parte de la caja única de la Seguridad Social, ni, en consecuencia, que resulte de aplicación al presente supuesto la competencia prevista en el art. 149.1.17 CE.</w:t>
      </w:r>
    </w:p>
    <w:p w:rsidR="0026452D" w:rsidRDefault="0026452D" w:rsidP="0026452D">
      <w:pPr>
        <w:pStyle w:val="TextoNormal"/>
      </w:pPr>
    </w:p>
    <w:p w:rsidR="0026452D" w:rsidRDefault="0026452D" w:rsidP="0026452D">
      <w:pPr>
        <w:pStyle w:val="TextoNormal"/>
      </w:pPr>
      <w:r>
        <w:t xml:space="preserve">Determinada, pues, la inclusión del Real Decreto en el ámbito competencial relativo a la “legislación laboral”, el reparto competencial en esta materia viene dado por lo dispuesto en el ya citado art. 149.1.7 CE y por el art. 77.2 de la Ley Orgánica 5/2007, de 20 de abril, de reforma del Estatuto de Autonomía de Aragón. El primero de dichos preceptos atribuye al Estado competencia exclusiva sobre legislación laboral “sin perjuicio de su ejecución por los órganos de las Comunidades Autónomas”, y el segundo atribuye a la Comunidad Autónoma de Aragón, “en ámbito de las competencias ejecutivas y en orden a la aplicación de </w:t>
      </w:r>
      <w:r>
        <w:lastRenderedPageBreak/>
        <w:t>la legislación estatal”, la competencia “para dictar reglamentos para la regulación de su propia competencia funcional y la organización de los servicios necesarios para ello, y en general podrá ejercer todas aquellas funciones y actividades que el ordenamiento jurídico atribuye a la Administración pública” en materia de “trabajo y relaciones laborales, incluyendo las políticas activas de ocupación, la intermediación laboral, así como la prevención de riesgos laborales y la seguridad y salud en el trabajo”.</w:t>
      </w:r>
    </w:p>
    <w:p w:rsidR="0026452D" w:rsidRDefault="0026452D" w:rsidP="0026452D">
      <w:pPr>
        <w:pStyle w:val="TextoNormal"/>
      </w:pPr>
    </w:p>
    <w:p w:rsidR="0026452D" w:rsidRDefault="0026452D" w:rsidP="0026452D">
      <w:pPr>
        <w:pStyle w:val="TextoNormal"/>
      </w:pPr>
      <w:r>
        <w:t>El deslinde competencial en esta materia ha sido precisado por este Tribunal desde la STC 33/1981, de 5 de noviembre, FJ 2, señalando que “la Constitución Española atribuye al Estado la ordenación general de la materia laboral”, sin que ningún espacio de regulación externa les quede a las Comunidades Autónomas, las cuales únicamente pueden disponer de una competencia de mera ejecución de la normativa estatal (SSTC 195/1996, de 28 de noviembre, FJ 11; 51/ 2006, de 16 de febrero, FJ 4, y 111/2012, de 24 de mayo, FJ 7), que incluye los reglamentos internos de organización de los servicios necesarios (SSTC 249/1988, de 20 de diciembre, FJ 2, y 158/2004, de 21 de septiembre, FJ 5) y de regulación de la propia competencia funcional de ejecución (STC 51/2006, de 16 de febrero, FJ 4) y, en general, “el desarrollo del conjunto de actuaciones preciso para la puesta en práctica de la normativa reguladora del conjunto del sistema de relaciones laborales” (STC 194/1994, de 23 de junio, FJ 3), así como la potestad sancionadora en la materia (SSTC 87/1985, de 16 de julio, FFJJ 1 y 2; 195/1996, de 28 de noviembre, FFJJ 8 y 9; y 81/2005, de 6 de abril, FJ 11).</w:t>
      </w:r>
    </w:p>
    <w:p w:rsidR="0026452D" w:rsidRDefault="0026452D" w:rsidP="0026452D">
      <w:pPr>
        <w:pStyle w:val="TextoNormal"/>
      </w:pPr>
    </w:p>
    <w:p w:rsidR="0026452D" w:rsidRDefault="0026452D" w:rsidP="0026452D">
      <w:pPr>
        <w:pStyle w:val="TextoNormal"/>
      </w:pPr>
      <w:r>
        <w:t xml:space="preserve">De acuerdo con ello, cabe afirmar que desde sus competencias en materia de legislación laboral </w:t>
      </w:r>
      <w:r w:rsidRPr="0026452D">
        <w:rPr>
          <w:i/>
        </w:rPr>
        <w:t>ex</w:t>
      </w:r>
      <w:r>
        <w:t xml:space="preserve"> art 149.1.7 CE, el Estado está facultado para abordar la regulación que aquí se impugna, aunque sin ignorar que la competencia para su ejecución corresponde a las Comunidades Autónomas. Esta es la perspectiva desde la que debe procederse al examen de los distintos preceptos que son objeto de la presente impugnación, siguiendo los criterios establecidos en la mencionada STC 244/2012, de 18 de diciembre.</w:t>
      </w:r>
    </w:p>
    <w:p w:rsidR="0026452D" w:rsidRDefault="0026452D" w:rsidP="0026452D">
      <w:pPr>
        <w:pStyle w:val="TextoNormal"/>
      </w:pPr>
    </w:p>
    <w:p w:rsidR="0026452D" w:rsidRDefault="0026452D" w:rsidP="0026452D">
      <w:pPr>
        <w:pStyle w:val="TextoNormal"/>
      </w:pPr>
      <w:r w:rsidRPr="0026452D">
        <w:rPr>
          <w:rStyle w:val="NumeroAFNegritaCaracter"/>
        </w:rPr>
        <w:t>4</w:t>
      </w:r>
      <w:r>
        <w:t>. El art. 14, apartados 1, 2, 3 y 4, contempla diversos supuestos de contratos programa a suscribir por el INEM, orientados a conceder ayudas dirigidas a acciones formativas que afecten a más de una Comunidad Autónoma o se realicen en un ámbito superior al de una Comunidad Autónoma. A juicio de la promotora del conflicto, corresponde a la propia Administración autonómica, en su ámbito territorial, la suscripción de estos contratos programa y la gestión de los fondos correspondientes.</w:t>
      </w:r>
    </w:p>
    <w:p w:rsidR="0026452D" w:rsidRDefault="0026452D" w:rsidP="0026452D">
      <w:pPr>
        <w:pStyle w:val="TextoNormal"/>
      </w:pPr>
    </w:p>
    <w:p w:rsidR="0026452D" w:rsidRDefault="0026452D" w:rsidP="0026452D">
      <w:pPr>
        <w:pStyle w:val="TextoNormal"/>
      </w:pPr>
      <w:r>
        <w:t>Como hemos señalado, el precepto regula la concesión de ayudas públicas en el supuesto de contratos programa dirigidos al desarrollo de acciones formativas de ámbito superior al de una Comunidad Autónoma, por lo que su suscripción corresponde a la Administración estatal, sin que ello excluya la competencia de las Comunidades Autónomas para la suscripción de este tipo de contratos programa en su ámbito territorial respectivo, posibilidad que expresamente se contempla en la normativa de desarrollo del Real Decreto (Orden TAS/2783/2004, de 30 de julio).</w:t>
      </w:r>
    </w:p>
    <w:p w:rsidR="0026452D" w:rsidRDefault="0026452D" w:rsidP="0026452D">
      <w:pPr>
        <w:pStyle w:val="TextoNormal"/>
      </w:pPr>
    </w:p>
    <w:p w:rsidR="0026452D" w:rsidRDefault="0026452D" w:rsidP="0026452D">
      <w:pPr>
        <w:pStyle w:val="TextoNormal"/>
      </w:pPr>
      <w:r>
        <w:t xml:space="preserve">La gestión y tramitación de las ayudas previstas en este precepto fue objeto de un pormenorizado examen en la STC 244/2012, de 18 de diciembre, FJ 7, que se remite en este punto a la doctrina recogida en el fundamento jurídico 8 d) de la STC 13/1992 de fecha 6 </w:t>
      </w:r>
      <w:r>
        <w:lastRenderedPageBreak/>
        <w:t>de febrero, relativo a aquellos supuestos en que, no obstante tener las Comunidades Autónomas competencias, incluso exclusivas, sobre la materia en que recaen las subvenciones, éstas pueden ser gestionadas, excepcionalmente, por un órgano de la Administración del Estado u organismo de ésta dependiente.</w:t>
      </w:r>
    </w:p>
    <w:p w:rsidR="0026452D" w:rsidRDefault="0026452D" w:rsidP="0026452D">
      <w:pPr>
        <w:pStyle w:val="TextoNormal"/>
      </w:pPr>
    </w:p>
    <w:p w:rsidR="0026452D" w:rsidRDefault="0026452D" w:rsidP="0026452D">
      <w:pPr>
        <w:pStyle w:val="TextoNormal"/>
      </w:pPr>
      <w:r>
        <w:t>Señalamos entonces que “en el supuesto que se examina, afirmada ya la existencia de un título competencial estatal de carácter específico, el análisis de la naturaleza y contenido de las ayudas contempladas en los apartados 1 a 4 del art. 14, permite afirmar también la concurrencia de los demás requisitos recogidos en el citado fundamento jurídico de la STC 13/1992, de 6 de febrero, que justifican que haya de excluirse la posibilidad de una gestión descentralizada. En concreto, el ámbito estatal de los destinatarios de las ayudas (confederaciones empresariales y/o sindicales más representativas en el nivel estatal, planes amparados en la negociación colectiva sectorial de ámbito estatal; federaciones y confederaciones de cooperativas, sociedades laborales y asociaciones de trabajadores autónomos con implantación en el ámbito estatal) y, muy especialmente, el contenido y la naturaleza de las acciones formativas financiadas (formación de carácter intersectorial; atención a necesidades formativas en aspectos transversales u horizontales en varios sectores de actividad económica; formación a empresas de diferentes sectores productivos y situadas en diferentes Comunidades Autónomas, etc.) son todas ellas circunstancias que ponen de relieve el ámbito supraterritorial de desenvolvimiento de las acciones formativas y, con ello, la exigencia ineludible de una coordinación homogénea, desarrollada por un único titular, como único medio para integrar los diversos componentes multisectoriales e interterritoriales implicados en la gestión y tramitación de estas ayudas, que hacen imposible su fraccionamiento y determinan que haya de ser el Estado, a través del INEM el que asuma las funciones de gestión y tramitación, en los términos contemplados en el precepto que se analiza”.</w:t>
      </w:r>
    </w:p>
    <w:p w:rsidR="0026452D" w:rsidRDefault="0026452D" w:rsidP="0026452D">
      <w:pPr>
        <w:pStyle w:val="TextoNormal"/>
      </w:pPr>
    </w:p>
    <w:p w:rsidR="0026452D" w:rsidRDefault="0026452D" w:rsidP="0026452D">
      <w:pPr>
        <w:pStyle w:val="TextoNormal"/>
      </w:pPr>
      <w:r>
        <w:t>Por las razones expuestas, procede rechazar la impugnación dirigida contra este precepto.</w:t>
      </w:r>
    </w:p>
    <w:p w:rsidR="0026452D" w:rsidRDefault="0026452D" w:rsidP="0026452D">
      <w:pPr>
        <w:pStyle w:val="TextoNormal"/>
      </w:pPr>
    </w:p>
    <w:p w:rsidR="0026452D" w:rsidRDefault="0026452D" w:rsidP="0026452D">
      <w:pPr>
        <w:pStyle w:val="TextoNormal"/>
      </w:pPr>
      <w:r w:rsidRPr="0026452D">
        <w:rPr>
          <w:rStyle w:val="NumeroAFNegritaCaracter"/>
        </w:rPr>
        <w:t>5</w:t>
      </w:r>
      <w:r>
        <w:t>. El Gobierno de Aragón dirige asimismo el conflicto contra la totalidad del capítulo V del Real Decreto 1046/2003, integrado por los artículos 18 a 21, en los que se regula la “estructura organizativa y de participación” en materia de formación continua, integrada por la Comisión Estatal de Formación Continua (art. 18); las comisiones paritarias sectoriales (art. 19), las comisiones paritarias territoriales (art. 20) y la Fundación Estatal para la Formación en el Empleo (art. 21); se incluyen asimismo las funciones atribuidas a la Fundación en el art. 12. La representación autonómica no discute la existencia de los citados organismos, limitando su impugnación al hecho de que se les atribuyan funciones ejecutivas que, a su juicio, corresponden a las Comunidades Autónomas.</w:t>
      </w:r>
    </w:p>
    <w:p w:rsidR="0026452D" w:rsidRDefault="0026452D" w:rsidP="0026452D">
      <w:pPr>
        <w:pStyle w:val="TextoNormal"/>
      </w:pPr>
    </w:p>
    <w:p w:rsidR="0026452D" w:rsidRDefault="0026452D" w:rsidP="0026452D">
      <w:pPr>
        <w:pStyle w:val="TextoNormal"/>
      </w:pPr>
      <w:r>
        <w:t xml:space="preserve">La competencia del Estado para la regulación de la estructura organizativa y de participación en materia de formación continua, que se contempla en los arts. 18 a 21 del Real Decreto, fue objeto de un examen pormenorizado en el fundamento jurídico 8 de la STC 244/2012, de fecha 18 de diciembre, por lo que los pronunciamientos allí contenidos deben aplicarse al supuesto que ahora se examina. Y como allí señalamos, la mera previsión de una estructura organizativa y de participación entre el Estado, las Comunidades Autónomas y los agentes sociales implicados en el ámbito de la formación continua, en cuanto traslación de los principios generales de cooperación y colaboración, tiene por objeto favorecer la adecuada articulación del ejercicio de las respectivas competencias, y en esta medida, tales </w:t>
      </w:r>
      <w:r>
        <w:lastRenderedPageBreak/>
        <w:t>previsiones no alteran el esquema de reparto competencial, ni impiden a la Comunidad Autónoma, en ejercicio de su potestad de autoorganización, la creación de los servicios o unidades propios que estime convenientes en orden al adecuado ejercicio de las competencias de ejecución que le han sido constitucionalmente atribuidas.</w:t>
      </w:r>
    </w:p>
    <w:p w:rsidR="0026452D" w:rsidRDefault="0026452D" w:rsidP="0026452D">
      <w:pPr>
        <w:pStyle w:val="TextoNormal"/>
      </w:pPr>
    </w:p>
    <w:p w:rsidR="0026452D" w:rsidRDefault="0026452D" w:rsidP="0026452D">
      <w:pPr>
        <w:pStyle w:val="TextoNormal"/>
      </w:pPr>
      <w:r>
        <w:t>En lo que respecta a las funciones atribuidas a la Comisión Estatal de Formación Continua en el art. 18 del Real Decreto, afirmamos que “la letra a) del art. 18.1 atribuye a la Comisión la función de velar por el cumplimiento de la normativa reguladora en materia de formación continua y de su eficacia en relación con los objetivos generales del sistema, previsión que no puede entenderse como invasora de las competencias ejecutivas de la Generalitat de Cataluña, pues si bien es cierto que las Comunidades Autónomas ostentan competencia para la aplicación de la normativa estatal, ello no impide que el Estado esté habilitado para velar por el cumplimiento de su propia normativa. En las letras b), c), d), e) y h) se atribuyen a este órgano funciones de naturaleza consultiva, no ejecutiva, consistentes en la emisión o toma de conocimiento de informes en materias relativas a la asignación o reparto de las cantidades destinadas a la financiación de las distintas iniciativas de formación, funciones que no interfieren ni menoscaban las competencias autonómicas. La aprobación del mapa sectorial de las comisiones paritarias (apartado f) y la determinación de las condiciones que deben cumplir las comisiones sectoriales y territoriales a efectos de su financiación (apartado g) son funciones de carácter organizativo, ligadas a la creación de la estructura orgánica prevista en la norma y, en cuanto tales, ajenas también a las competencias ejecutivas de las Comunidades Autónomas. El apartado i) efectúa una atribución de carácter general, de cualesquiera otras funciones “que se acuerden” (en el seno pues, del propio órgano paritario) para el “seguimiento y análisis de la planificación, ejecución y evaluación de las iniciativas de formación continua”; se configura aquí una función dirigida al examen y análisis global de funcionamiento de las diferentes iniciativas que, por su propia naturaleza, tiene una dimensión supraterritorial, ha de ser avalada por el propio órgano y va dirigida al conocimiento de los datos globales de funcionamiento del sistema, por lo que no vulnera las competencias de ejecución que corresponden a las Comunidades Autónomas.” [STC 244/2012, de fecha 18 de diciembre, FJ 8 a)].</w:t>
      </w:r>
    </w:p>
    <w:p w:rsidR="0026452D" w:rsidRDefault="0026452D" w:rsidP="0026452D">
      <w:pPr>
        <w:pStyle w:val="TextoNormal"/>
      </w:pPr>
    </w:p>
    <w:p w:rsidR="0026452D" w:rsidRDefault="0026452D" w:rsidP="0026452D">
      <w:pPr>
        <w:pStyle w:val="TextoNormal"/>
      </w:pPr>
      <w:r>
        <w:t>En relación con las funciones atribuidas a las comisiones paritarias sectoriales (art. 19) y territoriales (art. 20), señalamos que “el apartado a) de los arts. 19.2 y 20.2 atribuye a estos órganos la facultad de intervenir en las discrepancias que puedan surgir entre la empresa y la representación legal de los trabajadores o los propios trabajadores afectados, en relación con el contenido o el plan de acciones formativas propuestas por la empresa, en los términos previstos en el apartado 5 del art. 10 del Real Decreto. Se contempla en estos preceptos una función de mediación en la resolución de las posibles discrepancias sobre el contenido de las acciones formativas propuestas por la empresa que se atribuye a un órgano, las comisiones paritarias, integrado precisamente por las organizaciones sindicales y empresariales, lo que resulta acorde con la naturaleza ‘privada’ del conflicto y que, en caso de mantenerse el desacuerdo, se remite para su posterior resolución a la Administración competente. En estos términos, la intervención previa de las comisiones paritarias se constituye como un ejercicio de función mediadora por quien ostenta la representación de las partes, que no desplaza la competencia atribuida a la Administración competente en caso de subsistencia del desacuerdo, por lo que dicha función no interfiere o menoscaba el ejercicio de las competencias que corresponden a la Generalitat de Cataluña”.</w:t>
      </w:r>
    </w:p>
    <w:p w:rsidR="0026452D" w:rsidRDefault="0026452D" w:rsidP="0026452D">
      <w:pPr>
        <w:pStyle w:val="TextoNormal"/>
      </w:pPr>
    </w:p>
    <w:p w:rsidR="0026452D" w:rsidRDefault="0026452D" w:rsidP="0026452D">
      <w:pPr>
        <w:pStyle w:val="TextoNormal"/>
      </w:pPr>
      <w:r>
        <w:lastRenderedPageBreak/>
        <w:t>“El apartado b) de los anteriores preceptos atribuye a estas comisiones funciones de ‘seguimiento’ de la formación continua, en relación con las cuales, cabe remitirse a lo señalado con anterioridad, a lo que puede añadirse que dichas funciones encuentran además una específica justificación en la conveniencia de lograr una correcta adecuación de los planes de formación a las necesidades del ámbito o sector al que se dirigen, lo que pone de relieve el importante papel que desempeñan estas entidades para detectar tales necesidades, por su inmediato contacto con la realidad laboral y empresarial. Tampoco suscitan objeciones competenciales las funciones atribuidas a las comisiones paritarias sectoriales en los apartados c), d), e) y f) del art. 19, y las atribuidas a las comisiones paritarias territoriales en los apartados c), d), e) y f) del art. 20, pues en ambos casos se contraen al establecimiento o propuesta de criterios orientativos, y a funciones de toma de conocimiento, elaboración de una memoria anual o actuaciones de colaboración e información que no afectan al ámbito propio de la ejecución del subsistema de formación continua.” [FJ 8 b)].</w:t>
      </w:r>
    </w:p>
    <w:p w:rsidR="0026452D" w:rsidRDefault="0026452D" w:rsidP="0026452D">
      <w:pPr>
        <w:pStyle w:val="TextoNormal"/>
      </w:pPr>
    </w:p>
    <w:p w:rsidR="0026452D" w:rsidRDefault="0026452D" w:rsidP="0026452D">
      <w:pPr>
        <w:pStyle w:val="TextoNormal"/>
      </w:pPr>
      <w:r>
        <w:t>Y en lo que respecta a las funciones atribuidas a la Fundación Estatal para la Formación en el Empleo en el art. 21 del Real Decreto, dijimos entonces que “nada hay que objetar a las funciones atribuidas a la misma en los apartados a), b), c), d) y e) del art. 21.1 que se concretan en actuaciones de impulso, coordinación, propuesta e informe”.</w:t>
      </w:r>
    </w:p>
    <w:p w:rsidR="0026452D" w:rsidRDefault="0026452D" w:rsidP="0026452D">
      <w:pPr>
        <w:pStyle w:val="TextoNormal"/>
      </w:pPr>
    </w:p>
    <w:p w:rsidR="0026452D" w:rsidRDefault="0026452D" w:rsidP="0026452D">
      <w:pPr>
        <w:pStyle w:val="TextoNormal"/>
      </w:pPr>
      <w:r>
        <w:t>“En el apartado f) del art. 21.1 se atribuye a la Fundación la ‘ejecución de las funciones de gestión, apoyo y asistencia técnica que le correspondan’ y en el apartado g) se contempla el ejercicio de funciones de ‘seguimiento y control de las acciones formativas’. Las funciones de naturaleza ejecutiva a las que se hace referencia en estos apartados han de ponerse necesariamente en conexión con las ya previstas en el mencionado art. 14 en orden a la tramitación, gestión y coordinación de las acciones formativas de ámbito supraautonómico. Circunscritas en los términos señalados y habida cuenta de la expresa salvaguarda que en el apartado 1 del precepto se contiene en cuanto a la preservación de las funciones que correspondan respectivamente al INEM y a las Comunidades Autónomas, estos apartados no vulneran las competencias ejecutivas de las Comunidades Autónomas.” [FJ 8 c)].</w:t>
      </w:r>
    </w:p>
    <w:p w:rsidR="0026452D" w:rsidRDefault="0026452D" w:rsidP="0026452D">
      <w:pPr>
        <w:pStyle w:val="TextoNormal"/>
      </w:pPr>
    </w:p>
    <w:p w:rsidR="0026452D" w:rsidRDefault="0026452D" w:rsidP="0026452D">
      <w:pPr>
        <w:pStyle w:val="TextoNormal"/>
      </w:pPr>
      <w:r>
        <w:t>Por último, y en relación a la impugnación dirigida contra el art. 12, que en el texto de la demanda se concreta al apartado 2 del precepto, hemos afirmado también (STC 16/2013, 31 de enero, FJ 9) que “en lo que respecta a las funciones de seguimiento y control de las acciones formativas, que se contemplan en el art. 12.2, resultan trasladables los argumentos recogidos en nuestra anterior doctrina, en relación con lo dispuesto en los apartados f) y g) del art. 21.1, en el sentido de que las funciones de naturaleza ejecutiva a las que se hace referencia en estos apartados, han de ponerse necesariamente en conexión con las ya previstas en el mencionado art. 14, en orden a la tramitación, gestión y coordinación de las acciones formativas de ámbito supraautonómico. Circunscritas en los términos señalados, y habida cuenta de la expresa salvaguarda que se efectúa en cuanto a la preservación de las funciones que corresponden a las Comunidades Autónomas, estos apartados no vulneran las competencias autonómicas de ejecución (STC 244/2012, FJ 8)”.</w:t>
      </w:r>
    </w:p>
    <w:p w:rsidR="0026452D" w:rsidRDefault="0026452D" w:rsidP="0026452D">
      <w:pPr>
        <w:pStyle w:val="TextoNormal"/>
      </w:pPr>
    </w:p>
    <w:p w:rsidR="0026452D" w:rsidRDefault="0026452D" w:rsidP="0026452D">
      <w:pPr>
        <w:pStyle w:val="TextoNormal"/>
      </w:pPr>
      <w:r>
        <w:t>En definitiva, en aplicación de la doctrina establecida en la STC 244/2012, de 28 de diciembre, que resuelve el conflicto de competencias planteado contra la misma norma reglamentaria aquí impugnada, debemos concluir que no se han vulnerado las competencias de la Comunidad Autónoma recurrente.</w:t>
      </w:r>
    </w:p>
    <w:p w:rsidR="0026452D" w:rsidRDefault="0026452D" w:rsidP="0026452D">
      <w:pPr>
        <w:pStyle w:val="TextoNormal"/>
      </w:pPr>
    </w:p>
    <w:p w:rsidR="0026452D" w:rsidRDefault="0026452D" w:rsidP="0026452D">
      <w:pPr>
        <w:pStyle w:val="TextoNormalCentrado"/>
        <w:keepNext/>
      </w:pPr>
      <w:r>
        <w:lastRenderedPageBreak/>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Declarar que los arts. 12.2 y 21, apartados f) y g) no vulneran las competencias de la Comunidad Autónoma de Aragón, interpretados en el sentido expuesto en el fundamento jurídico 5.</w:t>
      </w:r>
    </w:p>
    <w:p w:rsidR="0026452D" w:rsidRDefault="0026452D" w:rsidP="0026452D">
      <w:pPr>
        <w:pStyle w:val="TextoNormal"/>
      </w:pPr>
    </w:p>
    <w:p w:rsidR="0026452D" w:rsidRDefault="0026452D" w:rsidP="0026452D">
      <w:pPr>
        <w:pStyle w:val="TextoNormal"/>
      </w:pPr>
      <w:r>
        <w:t>2º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66" w:name="SENTENCIA_2013_63"/>
      <w:r>
        <w:lastRenderedPageBreak/>
        <w:t>SENTENCIA 63/2013, de 14 de marzo de 2013</w:t>
      </w:r>
    </w:p>
    <w:bookmarkEnd w:id="66"/>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ECLI:ES:TC:2013:63</w:t>
      </w:r>
    </w:p>
    <w:p w:rsidR="0026452D" w:rsidRDefault="0026452D" w:rsidP="0026452D">
      <w:pPr>
        <w:pStyle w:val="SntesisDescriptiva"/>
      </w:pPr>
    </w:p>
    <w:p w:rsidR="0026452D" w:rsidRDefault="0026452D" w:rsidP="0026452D">
      <w:pPr>
        <w:pStyle w:val="SntesisDescriptiva"/>
      </w:pPr>
      <w:r>
        <w:t>Recurso de inconstitucionalidad 1022-2004 . Interpuesto por el Presidente del Gobierno en relación con el artículo 4 de la Ley del Parlamento de Andalucía 10/2003, de 6 de noviembre, reguladora de los colegios profesionales de Andalucía.</w:t>
      </w:r>
    </w:p>
    <w:p w:rsidR="0026452D" w:rsidRDefault="0026452D" w:rsidP="0026452D">
      <w:pPr>
        <w:pStyle w:val="SntesisDescriptiva"/>
      </w:pPr>
    </w:p>
    <w:p w:rsidR="0026452D" w:rsidRDefault="0026452D" w:rsidP="0026452D">
      <w:pPr>
        <w:pStyle w:val="SntesisAnaltica"/>
      </w:pPr>
      <w:r>
        <w:t>Competencias sobre colegios profesionales: STC 3/2013 (nulidad del precepto legal que establece los supuestos de colegiación obligatoria de los funcionarios públicos autonómicos).</w:t>
      </w:r>
    </w:p>
    <w:p w:rsidR="0026452D" w:rsidRDefault="0026452D" w:rsidP="0026452D">
      <w:pPr>
        <w:pStyle w:val="SntesisAnaltica"/>
      </w:pPr>
    </w:p>
    <w:p w:rsidR="0026452D" w:rsidRDefault="0026452D" w:rsidP="0026452D">
      <w:pPr>
        <w:pStyle w:val="Extracto"/>
      </w:pPr>
      <w:r>
        <w:t>1.</w:t>
      </w:r>
      <w:r>
        <w:tab/>
        <w:t>El precepto autonómico impugnado, al eximir de la colegiación obligatoria a los empleados públicos cuando ejercen la profesión por cuenta de la Administración, establece una excepción no contemplada en la Ley estatal de colegios profesionales, lo que vulnera las competencias estatales, al ser competencia del Estado tanto el establecimiento de la colegiación obligatoria, como el establecimiento de las excepciones que afectan a los empleados públicos a la vista de los concretos intereses generales que puedan verse afectados  [FJ 3].</w:t>
      </w:r>
    </w:p>
    <w:p w:rsidR="0026452D" w:rsidRDefault="0026452D" w:rsidP="0026452D">
      <w:pPr>
        <w:pStyle w:val="Extracto"/>
      </w:pPr>
    </w:p>
    <w:p w:rsidR="0026452D" w:rsidRDefault="0026452D" w:rsidP="0026452D">
      <w:pPr>
        <w:pStyle w:val="Extracto"/>
      </w:pPr>
      <w:r>
        <w:t>2.</w:t>
      </w:r>
      <w:r>
        <w:tab/>
        <w:t>La Ley de colegios profesionales, no contiene una excepción a la regla de la colegiación forzosa para los profesionales que ejercen su actividad al servicio de la Administración pública, cuando ésta resulte exigible, pues no distingue entre el ejercicio libre de la profesión y el ejercicio por cuenta ajena, por lo que el inciso impugnado que establece dicha excepción vulnera lo establecido en la citada Ley (STC 3/2013) [FJ 2 b)].</w:t>
      </w:r>
    </w:p>
    <w:p w:rsidR="0026452D" w:rsidRDefault="0026452D" w:rsidP="0026452D">
      <w:pPr>
        <w:pStyle w:val="Extracto"/>
      </w:pPr>
    </w:p>
    <w:p w:rsidR="0026452D" w:rsidRDefault="0026452D" w:rsidP="0026452D">
      <w:pPr>
        <w:pStyle w:val="Extracto"/>
      </w:pPr>
      <w:r>
        <w:t>3.</w:t>
      </w:r>
      <w:r>
        <w:tab/>
        <w:t>Forma parte de la competencia estatal del art. 149.1.18 CE la definición, a partir del tipo de colegiación, de los modelos posibles de colegios profesionales, pero también la determinación de las condiciones en que las Comunidades Autónomas pueden crear entidades corporativas de uno u otro tipo, pues el régimen forzoso o voluntario es una condición esencial de la conformación de cada colegio profesional (STC 3/2013) [FJ 2 c)].</w:t>
      </w:r>
    </w:p>
    <w:p w:rsidR="0026452D" w:rsidRDefault="0026452D" w:rsidP="0026452D">
      <w:pPr>
        <w:pStyle w:val="Extracto"/>
      </w:pPr>
    </w:p>
    <w:p w:rsidR="0026452D" w:rsidRDefault="0026452D" w:rsidP="0026452D">
      <w:pPr>
        <w:pStyle w:val="Extracto"/>
      </w:pPr>
      <w:r>
        <w:t>4.</w:t>
      </w:r>
      <w:r>
        <w:tab/>
        <w:t>Forma parte de la competencia estatal del art. 149.1.18 CE la definición, a partir del tipo de colegiación, de los modelos posibles de colegios profesionales, pero también la determinación de las condiciones en que las Comunidades Autónomas pueden crear entidades corporativas de uno u otro tipo, pues el régimen forzoso o voluntario es una condición esencial de la conformación de cada colegio profesional (STC 3/2013) [FJ 2 c)].</w:t>
      </w:r>
    </w:p>
    <w:p w:rsidR="0026452D" w:rsidRDefault="0026452D" w:rsidP="0026452D">
      <w:pPr>
        <w:pStyle w:val="Extracto"/>
      </w:pPr>
    </w:p>
    <w:p w:rsidR="0026452D" w:rsidRDefault="0026452D" w:rsidP="0026452D">
      <w:pPr>
        <w:pStyle w:val="Extracto"/>
      </w:pPr>
      <w:r>
        <w:t>5.</w:t>
      </w:r>
      <w:r>
        <w:tab/>
        <w:t xml:space="preserve">La exigencia de la colegiación obligatoria para el ejercicio de una determinada profesión así como sus excepciones constituye una condición básica que garantiza la igualdad en el ejercicio de los derechos y deberes constitucionales, </w:t>
      </w:r>
      <w:r w:rsidRPr="0026452D">
        <w:rPr>
          <w:i/>
        </w:rPr>
        <w:t>ex</w:t>
      </w:r>
      <w:r>
        <w:t xml:space="preserve"> art. 149.1.1 CE, que guarda una relación directa con el derecho reconocido en el art. 35.1 CE </w:t>
      </w:r>
      <w:r>
        <w:lastRenderedPageBreak/>
        <w:t xml:space="preserve">y constituye una excepción, </w:t>
      </w:r>
      <w:r w:rsidRPr="0026452D">
        <w:rPr>
          <w:i/>
        </w:rPr>
        <w:t>ex</w:t>
      </w:r>
      <w:r>
        <w:t xml:space="preserve"> art. 36 CE, a la libertad de asociación para aquellos profesionales que se ven obligados a colegiarse (STC 3/2013)  [FJ 2 d)].</w:t>
      </w:r>
    </w:p>
    <w:p w:rsidR="0026452D" w:rsidRDefault="0026452D" w:rsidP="0026452D">
      <w:pPr>
        <w:pStyle w:val="Extracto"/>
      </w:pPr>
    </w:p>
    <w:p w:rsidR="0026452D" w:rsidRDefault="0026452D" w:rsidP="0026452D">
      <w:pPr>
        <w:pStyle w:val="Extracto"/>
      </w:pPr>
      <w:r>
        <w:t>6.</w:t>
      </w:r>
      <w:r>
        <w:tab/>
        <w:t>El Presidente del Gobierno promueve recurso de inconstitucionalidad, presentado el 20 de febrero de 2004, contra el inciso “o para la realización de actividades propias de su profesión por cuenta de aquellas”, del primer párrafo del art. 4 de la Ley del Parlamento de Andalucía 10/2003, de 6 de noviembre, reguladora de los colegios profesionales de Andalucía. [FFJJ 2, 3].</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núm.1022-2004 promovido por el Presidente del Gobierno contra el inciso “o para la realización de actividades propias de su profesión por cuenta de aquellas” del primer párrafo del art. 4 de la Ley del Parlamento de Andalucía 10/2003, de 6 de noviembre, reguladora de los colegios profesionales de Andalucía. Han sido parte el Parlamento de Andalucía y el Consejo de Gobierno de la Comunidad Autónoma de Andalucía y Ponente el Presidente, don Pascual Sala Sánchez,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Con fecha 20 de febrero de 2004 tuvo entrada en este Tribunal el recurso de inconstitucionalidad promovido por el Presidente del Gobierno contra el inciso “o para la realización de actividades propias de su profesión por cuenta de aquellas”, del primer párrafo del art. 4 de la Ley del Parlamento de Andalucía 10/2003, de 6 de noviembre, reguladora de los colegios profesionales de Andalucía, con base en las alegaciones que a continuación se exponen.</w:t>
      </w:r>
    </w:p>
    <w:p w:rsidR="0026452D" w:rsidRDefault="0026452D" w:rsidP="0026452D">
      <w:pPr>
        <w:pStyle w:val="TextoNormal"/>
      </w:pPr>
    </w:p>
    <w:p w:rsidR="0026452D" w:rsidRDefault="0026452D" w:rsidP="0026452D">
      <w:pPr>
        <w:pStyle w:val="TextoNormal"/>
      </w:pPr>
      <w:r>
        <w:t xml:space="preserve">Tras recordar la relación existente entre este recurso y los planteados contra una serie de leyes autonómicas, entre otras la Ley 15/2001 del Parlamento de Andalucía, que eximen a los empleados públicos de la colegiación en términos similares al precepto objeto del presente recurso, expone la Abogacía del Estado que el art. 4 de la Ley 10/2003, de 6 de noviembre, contiene dos excepciones a la regla general de adscripción forzosa. La primera </w:t>
      </w:r>
      <w:r>
        <w:lastRenderedPageBreak/>
        <w:t>afecta al ejercicio de actividades cuando el empleado público no actúa en el ámbito del ejercicio de una profesión sino en el desempeño de las funciones del cuerpo. La segunda se refiere al ejercicio de una profesión por cuenta de la Administración cuando los destinatarios finales son los ciudadanos. Ambas excepciones, a su modo de ver, inciden en el régimen regulador de la obligatoriedad de la colegiación y, por tanto, en el ámbito de colegios profesionales.</w:t>
      </w:r>
    </w:p>
    <w:p w:rsidR="0026452D" w:rsidRDefault="0026452D" w:rsidP="0026452D">
      <w:pPr>
        <w:pStyle w:val="TextoNormal"/>
      </w:pPr>
    </w:p>
    <w:p w:rsidR="0026452D" w:rsidRDefault="0026452D" w:rsidP="0026452D">
      <w:pPr>
        <w:pStyle w:val="TextoNormal"/>
      </w:pPr>
      <w:r>
        <w:t xml:space="preserve">La competencia sobre la materia le viene dada al Estado por el art. 149.1.18 CE, de acuerdo con lo establecido en las SSTC 76/1983, 20/1988 y 87/1989, en las que se afirma que los colegios profesionales son corporaciones de naturaleza mixta que aunque “no pueden ser considerados propiamente como Administraciones públicas ostentan una personalidad jurídico pública que les permite el ejercicio de funciones de carácter público”. Establecida la competencia estatal para dictar las bases </w:t>
      </w:r>
      <w:r w:rsidRPr="0026452D">
        <w:rPr>
          <w:i/>
        </w:rPr>
        <w:t>ex</w:t>
      </w:r>
      <w:r>
        <w:t xml:space="preserve"> art. 140.1.18 CE, concluye que es el legislador estatal el que tiene que determinar tanto los supuestos de colegiación obligatoria como sus exenciones, con cita de la STC 330/1994. Invoca, además, el art. 149.1.1 CE pues la regulación recurrida incide directamente en el derecho a elegir y ejercer una actividad profesional, de manera que de denegarse la competencia que asiste al Estado a partir de este título competencial podría ocurrir que la posición básica de los profesionales fuera distinta en cada una de las Comunidades Autónomas, conculcando el principio previsto en el art. 9.2 CE. Considera, además, que los derechos de los ciudadanos pueden verse afectados en la medida en que la colegiación supone una garantía en el ejercicio de las profesiones que inciden sobre bienes jurídicos de la máxima relevancia.</w:t>
      </w:r>
    </w:p>
    <w:p w:rsidR="0026452D" w:rsidRDefault="0026452D" w:rsidP="0026452D">
      <w:pPr>
        <w:pStyle w:val="TextoNormal"/>
      </w:pPr>
    </w:p>
    <w:p w:rsidR="0026452D" w:rsidRDefault="0026452D" w:rsidP="0026452D">
      <w:pPr>
        <w:pStyle w:val="TextoNormal"/>
      </w:pPr>
      <w:r>
        <w:t>Como la regla general de colegiación obligatoria, y la excepción referida al ejercicio de funciones administrativas, coinciden con la regulación estatal, el recurso se restringe únicamente al inciso antes citado. El art. 3.2 de la Ley 2/1974, argumenta la demanda, establece la regla general de la colegiación obligatoria que se corresponde con el art. 3.3 de la Ley 10/2003, de colegios profesionales de Andalucía. Pero esta regla general encuentra su excepción en el art. 1.3 de la Ley estatal 2/1974 que afirma que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Este precepto exime de la colegiación forzosa al funcionario que actúa dentro del ámbito de su función pública y bajo el régimen de organización y control administrativo pero no ampara la excepción de colegiación prevista en la Ley andaluza que exime de colegiación a los empleados públicos cuando su actividad sale del ámbito propio de la Administración y se proyecta sobre otras personas físicas o jurídicas. Por este motivo, concluye, en cuanto que en muchos casos estas personas son titulares de derechos y bienes especialmente protegidos, el inciso recurrido afecta a los principios y finalidades propios de la colegiación, pues deja fuera de su ámbito un sector importante del ejercicio profesional sin un régimen alternativo de protección, todo ello sin perjuicio de que, en determinados sectores, pueda el Estado excluir la necesidad de colegiación, aun cuando la actividad profesional afecte a terceros, lo que en todo caso debe llevarse a cabo mediante regulación por ley estatal.</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Por providencia de la Sección Cuarta, de 23 de marzo de 2004, se acordó admitir a trámite el recurso de inconstitucionalidad interpuesto por la representación del Presidente del Gobierno contra el inciso “o para la realización de actividades propias de su profesión por cuenta de aquéllas” del primer párrafo del art. 4 de la Ley 10/2003; dar traslado de la </w:t>
      </w:r>
      <w:r>
        <w:lastRenderedPageBreak/>
        <w:t>demanda al Congreso de los Diputados y al Senado, al Parlamento y al Consejo de Gobierno de la Junta de Andalucía; y tener por invocado el art. 161.2 CE.</w:t>
      </w:r>
    </w:p>
    <w:p w:rsidR="0026452D" w:rsidRDefault="0026452D" w:rsidP="0026452D">
      <w:pPr>
        <w:pStyle w:val="TextoNormal"/>
      </w:pPr>
    </w:p>
    <w:p w:rsidR="0026452D" w:rsidRDefault="0026452D" w:rsidP="0026452D">
      <w:pPr>
        <w:pStyle w:val="TextoNormal"/>
      </w:pPr>
      <w:r w:rsidRPr="0026452D">
        <w:rPr>
          <w:rStyle w:val="NumeroAFNegritaCaracter"/>
        </w:rPr>
        <w:t>3</w:t>
      </w:r>
      <w:r>
        <w:t>. Por escrito con entrada en el Registro General del Tribunal Constitucional el 5 de abril de 2004, la Presidenta del Congreso de los Diputados comunica que este órgano no se personará en el procedimiento ni formulará alegaciones.</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escrito que tuvo entrada en el Registro General del Tribunal Constitucional el 13 de abril de 2004, la Letrada de la Junta de Andalucía solicitó el levantamiento de la suspensión antes del transcurso del plazo de cinco meses.</w:t>
      </w:r>
    </w:p>
    <w:p w:rsidR="0026452D" w:rsidRDefault="0026452D" w:rsidP="0026452D">
      <w:pPr>
        <w:pStyle w:val="TextoNormal"/>
      </w:pPr>
    </w:p>
    <w:p w:rsidR="0026452D" w:rsidRDefault="0026452D" w:rsidP="0026452D">
      <w:pPr>
        <w:pStyle w:val="TextoNormal"/>
      </w:pPr>
      <w:r w:rsidRPr="0026452D">
        <w:rPr>
          <w:rStyle w:val="NumeroAFNegritaCaracter"/>
        </w:rPr>
        <w:t>5</w:t>
      </w:r>
      <w:r>
        <w:t>. El 15 de abril de 2004 tuvo entrada en el Tribunal Constitucional el escrito del Parlamento de Andalucía en el que se solicita la prórroga del plazo para efectuar alegaciones. Por providencia de la Sección Cuarta del mismo día, se le tiene por personado y por acordada la prórroga solicitada.</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El 20 de abril de 2004 tuvo entrada en el Tribunal Constitucional el escrito de alegaciones de la Letrada de la Junta de Andalucía que son, sucintamente, las siguientes: </w:t>
      </w:r>
      <w:r>
        <w:tab/>
      </w:r>
    </w:p>
    <w:p w:rsidR="0026452D" w:rsidRDefault="0026452D" w:rsidP="0026452D">
      <w:pPr>
        <w:pStyle w:val="TextoNormal"/>
      </w:pPr>
      <w:r>
        <w:t>La Letrada de la Junta comienza oponiendo el reparo de orden procesal consistente en que el recurso carece de objeto por haber realizado la representación del Estado una interpretación errónea de la norma en la que se enmarca el inciso impugnado. Frente a la interpretación de la Abogacía del Estado, según la cual el art. 4, apartado primero de la Ley 10/2003, contiene dos excepciones a la regla de la colegiación, la primera para el ejercicio de funciones públicas propias de su cargo que estaría amparada por el art. 1.3 de la Ley estatal 2/1974, la segunda, que se reputa inconstitucional, para el ejercicio de su actividad profesional que afecta a terceros, razona la representante de la Junta que la excepción es única, esto es, que la exención cubre todas las labores y actividades que realicen los empleados públicos, habiéndose utilizado el término funciones sólo para los funcionarios y personal estatutario, mientras que el término “actividades por cuenta de” se habría reservado para los contratados laborales. Entiende, en consecuencia, que de interpretarse correctamente, el inciso recurrido sería constitucional por simple aplicación de los argumentos expuestos por la representación del Estado.</w:t>
      </w:r>
    </w:p>
    <w:p w:rsidR="0026452D" w:rsidRDefault="0026452D" w:rsidP="0026452D">
      <w:pPr>
        <w:pStyle w:val="TextoNormal"/>
      </w:pPr>
    </w:p>
    <w:p w:rsidR="0026452D" w:rsidRDefault="0026452D" w:rsidP="0026452D">
      <w:pPr>
        <w:pStyle w:val="TextoNormal"/>
      </w:pPr>
      <w:r>
        <w:t xml:space="preserve">Continúa argumentando sobre lo ficticio de la distinción, invocada de contrario, acerca de si el personal de la función pública presta sus servicios de forma directa o indirecta a los ciudadanos, concluyendo que lo relevante es que, en ambos casos, los empleados públicos están ejerciendo las funciones propias de su puesto y por tanto, bajo el régimen de organización, control y disciplina administrativa, invocando en favor esta conclusión, la doctrina constitucional (SSTC 131/1989 y 237/2002). Además, la competencia del Estado para fijar las bases de los colegios profesionales </w:t>
      </w:r>
      <w:r w:rsidRPr="0026452D">
        <w:rPr>
          <w:i/>
        </w:rPr>
        <w:t>ex</w:t>
      </w:r>
      <w:r>
        <w:t xml:space="preserve"> art. 149.1.18 CE, solo justifica, en opinión de la Letrada, aquella regulación que garantice que los principios democráticos se asientan en una corporación que asume funciones públicas, lo que excluye que tenga cabida en las citadas bases la determinación del régimen de colegiación “que nada tiene que ver con dichos principios”.</w:t>
      </w:r>
    </w:p>
    <w:p w:rsidR="0026452D" w:rsidRDefault="0026452D" w:rsidP="0026452D">
      <w:pPr>
        <w:pStyle w:val="TextoNormal"/>
      </w:pPr>
    </w:p>
    <w:p w:rsidR="0026452D" w:rsidRDefault="0026452D" w:rsidP="0026452D">
      <w:pPr>
        <w:pStyle w:val="TextoNormal"/>
      </w:pPr>
      <w:r>
        <w:lastRenderedPageBreak/>
        <w:t>Ya en concreto sobre la exención de colegiación de los empleados públicos operada por la Ley autonómica, afirma que la competencia en esta materia se enmarca en el título competencial de función pública, invocando la STC 87/1989. Finaliza rechazando la competencia del Estado para fijar el régimen de colegiación de los empleados públicos y su exención, a partir del art. 149.1.1 CE. A este respecto, tras recordar la doctrina constitucional sobre el art. 149.1.1 CE, indica que el Estado ha tenido oportunidad de regular las condiciones básicas del ejercicio del derecho del art. 35.1 CE para las profesiones sanitarias y cita, a tales efectos, la Ley 30/1999, sobre selección y provisión de plazas de personal estatutario del Sistema Nacional de Salud que excluyó la colegiación como requisito necesario para obtener el nombramiento como personal estatutario fijo, lo que ha reiterado el estatuto marco de personal estatutario de los servicios de salud. Entiende, además, que no puede invocarse este título competencial cuando el Estado ha excluido de la exigencia de colegiación, aun siendo empleados públicos, al colectivo de médicos militares.</w:t>
      </w:r>
    </w:p>
    <w:p w:rsidR="0026452D" w:rsidRDefault="0026452D" w:rsidP="0026452D">
      <w:pPr>
        <w:pStyle w:val="TextoNormal"/>
      </w:pPr>
    </w:p>
    <w:p w:rsidR="0026452D" w:rsidRDefault="0026452D" w:rsidP="0026452D">
      <w:pPr>
        <w:pStyle w:val="TextoNormal"/>
      </w:pPr>
      <w:r w:rsidRPr="0026452D">
        <w:rPr>
          <w:rStyle w:val="NumeroAFNegritaCaracter"/>
        </w:rPr>
        <w:t>7</w:t>
      </w:r>
      <w:r>
        <w:t>. Por providencia de la Sección Cuarta, de 20 de abril de 2004, se acordó oír al Abogado del Estado y a la representación procesal del Parlamento de Andalucía para que expusieran lo que estimasen procedente sobre el levantamiento de la suspensión solicitado por la Junta de Andalucía. Mediante escrito que tuvo entrada en el Tribunal Constitucional el 28 de abril de 2004, el Abogado del Estado comunicó su intención de no realizar alegaciones. Por su parte, el Parlamento presentó sus alegaciones mediante escrito registrado en este Tribunal el 30 de abril de 2004.</w:t>
      </w:r>
    </w:p>
    <w:p w:rsidR="0026452D" w:rsidRDefault="0026452D" w:rsidP="0026452D">
      <w:pPr>
        <w:pStyle w:val="TextoNormal"/>
      </w:pPr>
    </w:p>
    <w:p w:rsidR="0026452D" w:rsidRDefault="0026452D" w:rsidP="0026452D">
      <w:pPr>
        <w:pStyle w:val="TextoNormal"/>
      </w:pPr>
      <w:r w:rsidRPr="0026452D">
        <w:rPr>
          <w:rStyle w:val="NumeroAFNegritaCaracter"/>
        </w:rPr>
        <w:t>8</w:t>
      </w:r>
      <w:r>
        <w:t>. El 7 de mayo de 2004, tuvo entrada en el Tribunal el escrito de alegaciones que formula la Letrada del Parlamento, dentro del plazo otorgado al efecto por el acuerdo de la Sección Cuarta de 15 de abril de ese año. Considera el Parlamento de Andalucía que no hay base alguna para distinguir en el art. 1.3 de la Ley 2/1974, entre actividad interna y actividad profesional, tal como pretende la Abogacía del Estado. Invoca a estos efectos el art. 103 CE y el carácter vicarial de la Administración que actúa mediante personas que se integran en su organización, por lo que su actividad, con carácter general, tiene por beneficiarios a los ciudadanos, por lo que habrá que entender que si el legislador estatal hubiera querido distinguir ambos supuestos lo habría hecho.</w:t>
      </w:r>
    </w:p>
    <w:p w:rsidR="0026452D" w:rsidRDefault="0026452D" w:rsidP="0026452D">
      <w:pPr>
        <w:pStyle w:val="TextoNormal"/>
      </w:pPr>
    </w:p>
    <w:p w:rsidR="0026452D" w:rsidRDefault="0026452D" w:rsidP="0026452D">
      <w:pPr>
        <w:pStyle w:val="TextoNormal"/>
      </w:pPr>
      <w:r>
        <w:t>Trae también a colación la doctrina constitucional que se habría mostrado contraria a la colegiación del personal al servicio de las Administraciones públicas, como también lo habría hecho el Consejo de Estado al informar sobre los proyectos de reales decretos por los que se aprueban los estatutos generales de los colegios profesionales. En concreto, se refiere a la STC 131/1989 y a los AATC 239/2002 y 243/2002 que inadmiten a trámite sendas cuestiones de inconstitucionalidad que se habían planteado contra el art. 16.2 de la Ley de Castilla y León 8/1997, de colegios profesionales, lo que, a su parecer, confirma la competencia de las Comunidades Autónomas para exceptuar del requisito de la colegiación obligatoria a todo el personal a su servicio.</w:t>
      </w:r>
    </w:p>
    <w:p w:rsidR="0026452D" w:rsidRDefault="0026452D" w:rsidP="0026452D">
      <w:pPr>
        <w:pStyle w:val="TextoNormal"/>
      </w:pPr>
    </w:p>
    <w:p w:rsidR="0026452D" w:rsidRDefault="0026452D" w:rsidP="0026452D">
      <w:pPr>
        <w:pStyle w:val="TextoNormal"/>
      </w:pPr>
      <w:r>
        <w:t xml:space="preserve">En cuanto a los títulos competenciales, la Letrada del Parlamento comienza por señalar que la colegiación obligatoria no es un elemento esencial de los colegios profesionales. Seguidamente, tras exponer que el art. 36 CE no impone la colegiación obligatoria y tampoco puede considerarse un precepto atributivo de competencias al legislador estatal, precisa que los preceptos 3.3 y 4 de la Ley del Parlamento de Andalucía 10/2003, se enmarcan en el </w:t>
      </w:r>
      <w:r>
        <w:lastRenderedPageBreak/>
        <w:t xml:space="preserve">ámbito de la normación de las profesiones tituladas. Señala que el Estado no tiene competencia, </w:t>
      </w:r>
      <w:r w:rsidRPr="0026452D">
        <w:rPr>
          <w:i/>
        </w:rPr>
        <w:t>ex</w:t>
      </w:r>
      <w:r>
        <w:t xml:space="preserve"> art. 149.1 CE, ni en materia de colegios profesionales ni en materia de ejercicio de profesiones tituladas, sin que resulte de aplicación la competencia que le atribuye el art. 149.1.30 CE, de donde concluye que las competencias estatales en materia de colegios profesionales son muy limitadas e inexistentes en relación con el ejercicio de las profesiones colegiadas, de modo que solo quedan reforzadas cuando, sobre una concreta actividad profesional, recae también una competencia específica de carácter sectorial reservada por la Constitución al Estado. Considera que, en los demás casos, la competencia del Estado se reduce a fijar los mecanismos a través de los cuales se transfieren funciones públicas, las facultades de control que debe conservar la Administración y, finalmente, sus fines y funciones características. A este respecto, rechaza que la determinación del carácter básico del art. 3.2 de la Ley 2/1974, que realizó la Ley 7/1997, se refiera a la obligatoriedad de la adscripción, conclusión a la que llega tras analizar las sucesivas modificaciones legislativas que ha sufrido el precepto legal mencionado.</w:t>
      </w:r>
    </w:p>
    <w:p w:rsidR="0026452D" w:rsidRDefault="0026452D" w:rsidP="0026452D">
      <w:pPr>
        <w:pStyle w:val="TextoNormal"/>
      </w:pPr>
    </w:p>
    <w:p w:rsidR="0026452D" w:rsidRDefault="0026452D" w:rsidP="0026452D">
      <w:pPr>
        <w:pStyle w:val="TextoNormal"/>
      </w:pPr>
      <w:r>
        <w:t>Establecida la premisa de que el principio de colegiación obligatoria no ha sido declarado básico por el Estado, razona la representación del Parlamento que la determinación de cuándo es obligatoria la adscripción a un colegio profesional es una competencia de la Comunidad Autónoma, decisión que corresponde a la libertad de configuración del legislador autonómico, que sólo se ve limitado por la doctrina constitucional y los límites que ésta ha impuesto a la colegiación obligatoria. En otras palabras, puesto que la Comunidad Autónoma tiene competencia exclusiva en materia de colegios profesionales y ejercicio de profesiones tituladas, a ella le corresponde determinar cómo se va a llevar a cabo el control de las respectivas profesiones, competencia que, a su parecer, se ve reforzada cuando la profesión incide o afecta a sectores de la realidad social sobre los que la Comunidad Autónoma ostenta competencias, como ocurre con las profesiones sanitarias en las que la competencia de la Comunidad Autónoma abarca el desarrollo legislativo y la ejecución en materia sanitaria. Como prueba de lo hasta aquí afirmado, trae a colación los ejemplos de derecho positivo en los que tanto el Estado como las Comunidades Autónomas han creado colegios voluntarios.</w:t>
      </w:r>
    </w:p>
    <w:p w:rsidR="0026452D" w:rsidRDefault="0026452D" w:rsidP="0026452D">
      <w:pPr>
        <w:pStyle w:val="TextoNormal"/>
      </w:pPr>
    </w:p>
    <w:p w:rsidR="0026452D" w:rsidRDefault="0026452D" w:rsidP="0026452D">
      <w:pPr>
        <w:pStyle w:val="TextoNormal"/>
      </w:pPr>
      <w:r>
        <w:t>Termina la representación del Parlamento sus alegaciones rechazando la aplicación del título competencial del art. 149.1.1 CE por varias razones. En primer lugar considera que los arts. 35 y 36 CE no garantizan ningún derecho que pueda verse afectado por la regulación de la adscripción forzosa pues el art. 35 CE reconoce el derecho a elegir y desarrollar libremente la profesión pero dentro de los límites que la ley marque. Y en segundo lugar porque tampoco garantiza el principio de igualdad entre los destinatarios de los servicios profesionales, que dependerá del uso que hagan las Comunidades Autónomas de su competencia, siendo así que, aunque los respectivos profesionales estuvieran sometidos al mismo régimen de adscripción, la igualdad dependerá de las regulaciones autonómicas en materia de colegios profesionales.</w:t>
      </w:r>
    </w:p>
    <w:p w:rsidR="0026452D" w:rsidRDefault="0026452D" w:rsidP="0026452D">
      <w:pPr>
        <w:pStyle w:val="TextoNormal"/>
      </w:pPr>
    </w:p>
    <w:p w:rsidR="0026452D" w:rsidRDefault="0026452D" w:rsidP="0026452D">
      <w:pPr>
        <w:pStyle w:val="TextoNormal"/>
      </w:pPr>
      <w:r w:rsidRPr="0026452D">
        <w:rPr>
          <w:rStyle w:val="NumeroAFNegritaCaracter"/>
        </w:rPr>
        <w:t>9</w:t>
      </w:r>
      <w:r>
        <w:t>. El ATC 176/2004, de 11 de mayo, acordó levantar la suspensión del inciso impugnado.</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12 de marzo de 2013 se señaló para deliberación y votación de la presente Sentencia el día 14 del mismo mes y año.</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interpone por el Presidente del Gobierno contra el inciso “o para la realización de actividades propias de su profesión por cuenta de aquellas”, del primer párrafo del art. 4 de la Ley del Parlamento de Andalucía 10/2003, de 6 de noviembre, reguladora de los colegios profesionales de Andalucía.</w:t>
      </w:r>
    </w:p>
    <w:p w:rsidR="0026452D" w:rsidRDefault="0026452D" w:rsidP="0026452D">
      <w:pPr>
        <w:pStyle w:val="TextoNormal"/>
      </w:pPr>
    </w:p>
    <w:p w:rsidR="0026452D" w:rsidRDefault="0026452D" w:rsidP="0026452D">
      <w:pPr>
        <w:pStyle w:val="TextoNormal"/>
      </w:pPr>
      <w:r>
        <w:t>Como se expuso en los antecedentes, el Abogado del Estado considera que en la medida en que este inciso exime de la colegiación forzosa a los empleados públicos que realizan actividades propias de una profesión colegiada por cuenta de las Administraciones públicas andaluzas, cuando sus destinatarios son ciudadanos o terceros, se vulnera la competencia estatal para determinar los supuestos de colegiación obligatoria y sus excepciones. El Parlamento y la Junta de Andalucía rechazan la existencia de infracción constitucional.</w:t>
      </w:r>
    </w:p>
    <w:p w:rsidR="0026452D" w:rsidRDefault="0026452D" w:rsidP="0026452D">
      <w:pPr>
        <w:pStyle w:val="TextoNormal"/>
      </w:pPr>
    </w:p>
    <w:p w:rsidR="0026452D" w:rsidRDefault="0026452D" w:rsidP="0026452D">
      <w:pPr>
        <w:pStyle w:val="TextoNormal"/>
      </w:pPr>
      <w:r w:rsidRPr="0026452D">
        <w:rPr>
          <w:rStyle w:val="NumeroAFNegritaCaracter"/>
        </w:rPr>
        <w:t>2</w:t>
      </w:r>
      <w:r>
        <w:t>. El presente recurso guarda clara conexión con el recurso de inconstitucionalidad núm. 1893-2002. En él se impugnó por el Abogado del Estado el inciso “o para la realización de actividades propias de su profesión por cuenta de aquéllas” incluido en el art. 30.2 de la Ley 15/2001, de 26 de diciembre, del Parlamento de Andalucía, que el art. 4 de la Ley del Parlamento de Andalucía 10/2003, aquí impugnado, reproduce en iguales términos. En consecuencia, puesto que en ambos procesos constitucionales se plantea la misma controversia competencial, debemos remitirnos a la STC 3/2013, de 17 de enero, cuyas apreciaciones y conclusiones resumimos a continuación:</w:t>
      </w:r>
    </w:p>
    <w:p w:rsidR="0026452D" w:rsidRDefault="0026452D" w:rsidP="0026452D">
      <w:pPr>
        <w:pStyle w:val="TextoNormal"/>
      </w:pPr>
    </w:p>
    <w:p w:rsidR="0026452D" w:rsidRDefault="0026452D" w:rsidP="0026452D">
      <w:pPr>
        <w:pStyle w:val="TextoNormal"/>
      </w:pPr>
      <w:r>
        <w:t>a) El inciso impugnado contiene una excepción a la regla de la colegiación forzosa que sirve como elemento definitorio de la institución colegial a la que se pertenece en razón de la actividad profesional que se realiza. Por ello, debe quedar encuadrado en el título competencial de colegios profesionales, siendo el de función pública meramente incidental al no tratarse de colegios profesionales integrados exclusivamente por funcionarios públicos. La Comunidad Autónoma de Andalucía tiene competencia exclusiva, en lo no afectado por el art. 149.1.18 CE, en materia de colegios profesionales y ejercicio de las profesiones tituladas de acuerdo con el art. 36 de la Constitución y con la legislación del Estado [art. 79.3 b) del Estatuto de Autonomía para Andalucía]. Por su parte, la competencia del Estado para regular los colegios profesionales le viene dada por el art. 149.1.18 CE, que le permite fijar los principios y reglas básicas de este tipo de entidades corporativas (FJ 5).</w:t>
      </w:r>
    </w:p>
    <w:p w:rsidR="0026452D" w:rsidRDefault="0026452D" w:rsidP="0026452D">
      <w:pPr>
        <w:pStyle w:val="TextoNormal"/>
      </w:pPr>
    </w:p>
    <w:p w:rsidR="0026452D" w:rsidRDefault="0026452D" w:rsidP="0026452D">
      <w:pPr>
        <w:pStyle w:val="TextoNormal"/>
      </w:pPr>
      <w:r>
        <w:t>b) El art. 1.3 de la Ley 2/1974, de 13 de febrero, de colegios profesionales, no contiene una excepción a la regla de la colegiación forzosa para los profesionales que ejercen su actividad al servicio de la Administración pública cuando ésta resulte exigible. Ello no se desprende del tenor literal del precepto, ni obedece al concepto de colegio profesional que acogió la Ley 2/1974 y hoy se mantiene para los de colegiación obligatoria, un modelo basado en la encomienda a los profesionales, por su experiencia y pericia, de las funciones públicas sobre la profesión, sin distinguir entre el ejercicio libre de la profesión y el ejercicio por cuenta ajena. En consecuencia, el inciso impugnado vulnera lo establecido en el art. 3.2 de la Ley 2/1974, de 13 de febrero, que exige la colegiación forzosa para el ejercicio de las profesiones que determine una ley del Estado (FJ 6).</w:t>
      </w:r>
    </w:p>
    <w:p w:rsidR="0026452D" w:rsidRDefault="0026452D" w:rsidP="0026452D">
      <w:pPr>
        <w:pStyle w:val="TextoNormal"/>
      </w:pPr>
    </w:p>
    <w:p w:rsidR="0026452D" w:rsidRDefault="0026452D" w:rsidP="0026452D">
      <w:pPr>
        <w:pStyle w:val="TextoNormal"/>
      </w:pPr>
      <w:r>
        <w:lastRenderedPageBreak/>
        <w:t>c) Forma parte de la competencia estatal del art. 149.1.18 CE la definición, a partir del tipo de colegiación, de los modelos posibles de colegios profesionales pero, también, la determinación de las condiciones en que las Comunidades Autónomas pueden crear entidades corporativas de uno u otro tipo, pues el régimen forzoso o voluntario es una condición esencial de la conformación de cada colegio profesional (FJ 7).</w:t>
      </w:r>
    </w:p>
    <w:p w:rsidR="0026452D" w:rsidRDefault="0026452D" w:rsidP="0026452D">
      <w:pPr>
        <w:pStyle w:val="TextoNormal"/>
      </w:pPr>
    </w:p>
    <w:p w:rsidR="0026452D" w:rsidRDefault="0026452D" w:rsidP="0026452D">
      <w:pPr>
        <w:pStyle w:val="TextoNormal"/>
      </w:pPr>
      <w:r>
        <w:t xml:space="preserve">d) La exigencia de la colegiación obligatoria para el ejercicio de una determinada profesión y, en consecuencia, sus excepciones, constituyen, además, una condición básica que garantiza la igualdad en el ejercicio de los derechos y deberes constitucionales </w:t>
      </w:r>
      <w:r w:rsidRPr="0026452D">
        <w:rPr>
          <w:i/>
        </w:rPr>
        <w:t>ex</w:t>
      </w:r>
      <w:r>
        <w:t xml:space="preserve"> art. 149.1.1 CE. Guarda una relación directa, inmediata y estrecha con el derecho reconocido en el art. 35.1 CE en el que incide de forma directa y profunda, y constituye una excepción, amparada en el art. 36 CE, a la libertad de asociación para aquellos profesionales que, para poder hacer efectivo el derecho a la libertad de elección y ejercicio profesional, se ven obligados a colegiarse y, por tanto, a formar parte de una entidad corporativa asumiendo los derechos y deberes que se imponen a su miembros y a no abandonarla en tanto en cuanto sigan ejerciendo la profesión (FJ 8).</w:t>
      </w:r>
    </w:p>
    <w:p w:rsidR="0026452D" w:rsidRDefault="0026452D" w:rsidP="0026452D">
      <w:pPr>
        <w:pStyle w:val="TextoNormal"/>
      </w:pPr>
    </w:p>
    <w:p w:rsidR="0026452D" w:rsidRDefault="0026452D" w:rsidP="0026452D">
      <w:pPr>
        <w:pStyle w:val="TextoNormal"/>
      </w:pPr>
      <w:r w:rsidRPr="0026452D">
        <w:rPr>
          <w:rStyle w:val="NumeroAFNegritaCaracter"/>
        </w:rPr>
        <w:t>3</w:t>
      </w:r>
      <w:r>
        <w:t>. En conclusión, el inciso impugnado, al eximir de la colegiación obligatoria a los empleados públicos cuando ejercen la profesión por cuenta de la Administración, establece una excepción no contemplada en la ley estatal de colegios profesionales. Siendo competente el Estado para establecer la colegiación obligatoria, lo es también para establecer las excepciones que afectan a los empleados públicos a la vista de los concretos intereses generales que puedan verse afectados, motivo por el cual debemos declarar que el inciso impugnado ha vulnerado las competencias estatales y, por tanto, resulta inconstitucional.</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Declarar la inconstitucionalidad y nulidad del inciso “o para la realización de actividades propias de su profesión por cuenta de aquéllas” del párrafo primero del artículo 4 de la Ley del Parlamento de Andalucía 10/2003, de 6 de noviembre, reguladora de los colegios profesionales de Andalucía.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67" w:name="SENTENCIA_2013_64"/>
      <w:r>
        <w:lastRenderedPageBreak/>
        <w:t>SENTENCIA 64/2013, de 14 de marzo de 2013</w:t>
      </w:r>
    </w:p>
    <w:bookmarkEnd w:id="67"/>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ECLI:ES:TC:2013:64</w:t>
      </w:r>
    </w:p>
    <w:p w:rsidR="0026452D" w:rsidRDefault="0026452D" w:rsidP="0026452D">
      <w:pPr>
        <w:pStyle w:val="SntesisDescriptiva"/>
      </w:pPr>
    </w:p>
    <w:p w:rsidR="0026452D" w:rsidRDefault="0026452D" w:rsidP="0026452D">
      <w:pPr>
        <w:pStyle w:val="SntesisDescriptiva"/>
      </w:pPr>
      <w:r>
        <w:t>Recurso de inconstitucionalidad 5598-2004. Interpuesto por cincuenta Senadores del Grupo Popular del Senado en relación con el Real Decreto-ley 2/2004, de 18 de junio, por el que se modifica la Ley 10/2001, de 5 de julio, del plan hidrológico nacional.</w:t>
      </w:r>
    </w:p>
    <w:p w:rsidR="0026452D" w:rsidRDefault="0026452D" w:rsidP="0026452D">
      <w:pPr>
        <w:pStyle w:val="SntesisDescriptiva"/>
      </w:pPr>
    </w:p>
    <w:p w:rsidR="0026452D" w:rsidRDefault="0026452D" w:rsidP="0026452D">
      <w:pPr>
        <w:pStyle w:val="SntesisAnaltica"/>
      </w:pPr>
      <w:r>
        <w:t>Límites a los decretos leyes: STC 237/2012 (constitucionalidad del decreto ley que deroga las previsiones de la Ley del plan hidrológico nacional relativas al trasvase de aguas del Ebro).</w:t>
      </w:r>
    </w:p>
    <w:p w:rsidR="0026452D" w:rsidRDefault="0026452D" w:rsidP="0026452D">
      <w:pPr>
        <w:pStyle w:val="SntesisAnaltica"/>
      </w:pPr>
    </w:p>
    <w:p w:rsidR="0026452D" w:rsidRDefault="0026452D" w:rsidP="0026452D">
      <w:pPr>
        <w:pStyle w:val="Extracto"/>
      </w:pPr>
      <w:r>
        <w:t>1.</w:t>
      </w:r>
      <w:r>
        <w:tab/>
        <w:t>Puede apreciarse razonablemente la concurrencia de la extraordinaria y urgente necesidad tanto en la derogación de los preceptos de la Ley del plan hidrológico nacional como en las declaraciones de interés general incluidas en el Real Decreto-ley impugnado, ya que, sin entrar a valorar la bondad técnica de dichas medidas ni su oportunidad e idoneidad para paliar las deficiencias hídricas que han aquejado secularmente a las cuencas mediterráneas, podemos afirmar que ni una ni otra representan un uso abusivo del decreto-ley (SSTC 75/1983, 237/2012) [FJ 2].</w:t>
      </w:r>
    </w:p>
    <w:p w:rsidR="0026452D" w:rsidRDefault="0026452D" w:rsidP="0026452D">
      <w:pPr>
        <w:pStyle w:val="Extracto"/>
      </w:pPr>
    </w:p>
    <w:p w:rsidR="0026452D" w:rsidRDefault="0026452D" w:rsidP="0026452D">
      <w:pPr>
        <w:pStyle w:val="Extracto"/>
      </w:pPr>
      <w:r>
        <w:t>2.</w:t>
      </w:r>
      <w:r>
        <w:tab/>
        <w:t xml:space="preserve">El decreto-ley impugnado, que modifica el plan hidrológico nacional y deroga los preceptos relativos al trasvase de aguas del Ebro, satisface el requisito de conexión de sentido, ya que en tanto no se derogasen formalmente dichos preceptos el Gobierno debía llevar a cabo las actuaciones materiales necesarias para cumplimentarlo y destinar a tal fin los fondos precisos, al exigirlo así los principios de legalidad, seguridad jurídica y pleno sometimiento de la acción administrativa a la ley y al Derecho, </w:t>
      </w:r>
      <w:r w:rsidRPr="0026452D">
        <w:rPr>
          <w:i/>
        </w:rPr>
        <w:t>ex</w:t>
      </w:r>
      <w:r>
        <w:t xml:space="preserve"> arts. 9.3 y 103.1 CE, no siendo una alternativa en nuestro ordenamiento constitucional la inaplicación de la ley (STC 237/2012) [FJ 2].</w:t>
      </w:r>
    </w:p>
    <w:p w:rsidR="0026452D" w:rsidRDefault="0026452D" w:rsidP="0026452D">
      <w:pPr>
        <w:pStyle w:val="Extracto"/>
      </w:pPr>
    </w:p>
    <w:p w:rsidR="0026452D" w:rsidRDefault="0026452D" w:rsidP="0026452D">
      <w:pPr>
        <w:pStyle w:val="Extracto"/>
      </w:pPr>
      <w:r>
        <w:t>3.</w:t>
      </w:r>
      <w:r>
        <w:tab/>
        <w:t>El Real Decreto-ley impugnado no ha transgredido los límites materiales de los decretos-leyes puesto que el equilibrio territorial es un objetivo de la política hidráulica establecido por el legislador ordinario carente de todo componente orgánico, por lo que no puede concluirse que la alteración de las determinaciones legislativas cuando concurra el presupuesto habilitante afecte en modo alguno a una institución basilar del Estado constitucional en los términos del art. 86.1 CE (STC 237/2012)  [FJ 3].</w:t>
      </w:r>
    </w:p>
    <w:p w:rsidR="0026452D" w:rsidRDefault="0026452D" w:rsidP="0026452D">
      <w:pPr>
        <w:pStyle w:val="Extracto"/>
      </w:pPr>
    </w:p>
    <w:p w:rsidR="0026452D" w:rsidRDefault="0026452D" w:rsidP="0026452D">
      <w:pPr>
        <w:pStyle w:val="Extracto"/>
      </w:pPr>
      <w:r>
        <w:t>4.</w:t>
      </w:r>
      <w:r>
        <w:tab/>
        <w:t>Ha sido el propio legislador, que no el constituyente, quien ha dispuesto que el plan hidrológico nacional se apruebe mediante ley –art. 45.1 LA– y quien ha contemplado igualmente la participación de las Comunidades Autónomas en el procedimiento de elaboración de los planes hidrológicos estatales como instrumento general de colaboración y coordinación de la planificación hidrológica con otras medidas de planeamiento concurrentes, de donde se concluye que el art. 131 CE no puede erigirse en canon de validez del Real Decreto-ley impugnado (SSTC 227/1988, 237/2012)  [FJ 3].</w:t>
      </w:r>
    </w:p>
    <w:p w:rsidR="0026452D" w:rsidRDefault="0026452D" w:rsidP="0026452D">
      <w:pPr>
        <w:pStyle w:val="Extracto"/>
      </w:pPr>
    </w:p>
    <w:p w:rsidR="0026452D" w:rsidRDefault="0026452D" w:rsidP="0026452D">
      <w:pPr>
        <w:pStyle w:val="Extracto"/>
      </w:pPr>
      <w:r>
        <w:t>5.</w:t>
      </w:r>
      <w:r>
        <w:tab/>
        <w:t xml:space="preserve">La regulación y funciones del Consejo Nacional del Agua que se contiene en el texto refundido de la Ley de aguas no puede llevarnos a concluir que el legislador infraconstitucional haya podido trascenderse a sí mismo e introducir en el art. 86 CE una limitación procedimental </w:t>
      </w:r>
      <w:r w:rsidRPr="0026452D">
        <w:rPr>
          <w:i/>
        </w:rPr>
        <w:t>ratione materiae</w:t>
      </w:r>
      <w:r>
        <w:t xml:space="preserve"> para la utilización del decreto-ley cuando concurra el presupuesto habilitante (STC 237/2012) [FJ 4].</w:t>
      </w:r>
    </w:p>
    <w:p w:rsidR="0026452D" w:rsidRDefault="0026452D" w:rsidP="0026452D">
      <w:pPr>
        <w:pStyle w:val="Extracto"/>
      </w:pPr>
    </w:p>
    <w:p w:rsidR="0026452D" w:rsidRDefault="0026452D" w:rsidP="0026452D">
      <w:pPr>
        <w:pStyle w:val="Extracto"/>
      </w:pPr>
      <w:r>
        <w:t>6.</w:t>
      </w:r>
      <w:r>
        <w:tab/>
        <w:t>A este Tribunal no le corresponde controlar la adecuación de la actividad de los poderes públicos nacionales al Derecho comunitario europeo, pues este control compete a los órganos de la jurisdicción ordinaria, en cuanto aplicadores que son del ordenamiento comunitario y, en su caso, al Tribunal de Justicia de la Unión Europea (SSTC 135/2012, 237/2012) [FJ 4].</w:t>
      </w:r>
    </w:p>
    <w:p w:rsidR="0026452D" w:rsidRDefault="0026452D" w:rsidP="0026452D">
      <w:pPr>
        <w:pStyle w:val="Extracto"/>
      </w:pPr>
    </w:p>
    <w:p w:rsidR="0026452D" w:rsidRDefault="0026452D" w:rsidP="0026452D">
      <w:pPr>
        <w:pStyle w:val="Extracto"/>
      </w:pPr>
      <w:r>
        <w:t>7.</w:t>
      </w:r>
      <w:r>
        <w:tab/>
        <w:t xml:space="preserve">Cuando se enjuicia una norma legal desde la perspectiva de la interdicción de arbitrariedad, </w:t>
      </w:r>
      <w:r w:rsidRPr="0026452D">
        <w:rPr>
          <w:i/>
        </w:rPr>
        <w:t>ex</w:t>
      </w:r>
      <w:r>
        <w:t xml:space="preserve"> art. 9.3 CE, el análisis se ha de centrar en verificar si tal norma establece una discriminación, pues la discriminación entraña siempre arbitrariedad, o bien, si aun no estableciéndola, carece de toda justificación, lo que también supondría una arbitrariedad, sin que sea pertinente un análisis a fondo de todas las motivaciones posibles de la norma y de todas sus eventuales consecuencias (SSTC 104/2000, 237/2012)  [FJ 5].</w:t>
      </w:r>
    </w:p>
    <w:p w:rsidR="0026452D" w:rsidRDefault="0026452D" w:rsidP="0026452D">
      <w:pPr>
        <w:pStyle w:val="Extracto"/>
      </w:pPr>
    </w:p>
    <w:p w:rsidR="0026452D" w:rsidRDefault="0026452D" w:rsidP="0026452D">
      <w:pPr>
        <w:pStyle w:val="Extracto"/>
      </w:pPr>
      <w:r>
        <w:t>8.</w:t>
      </w:r>
      <w:r>
        <w:tab/>
        <w:t>Compete al Estado, en tanto que garante de la realización efectiva del principio de solidaridad interterritorial, llevar a cabo una asignación de los recursos hidráulicos que tenga presentes las distintas variables a considerar, sin que le corresponda a este Tribunal sustituir al legislador estatal, aquí al legislador de urgencia, en el desempeño de esta tarea (SSTC 96/1990, 237/2012)  [FJ 6].</w:t>
      </w:r>
    </w:p>
    <w:p w:rsidR="0026452D" w:rsidRDefault="0026452D" w:rsidP="0026452D">
      <w:pPr>
        <w:pStyle w:val="Extracto"/>
      </w:pPr>
    </w:p>
    <w:p w:rsidR="0026452D" w:rsidRDefault="0026452D" w:rsidP="0026452D">
      <w:pPr>
        <w:pStyle w:val="Extracto"/>
      </w:pPr>
      <w:r>
        <w:t>9.</w:t>
      </w:r>
      <w:r>
        <w:tab/>
        <w:t>Reitera la STC 237/2012  [FFJJ 1 a 6].</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inconstitucionalidad núm. 5598-2004, interpuesto por cincuenta Senadores del Grupo Popular del Senado en relación con el Real Decreto-ley 2/2004, de 18 de junio, por el que se modifica la Ley 10/2001, de 5 de julio, del plan hidrológico nacional. </w:t>
      </w:r>
      <w:r>
        <w:lastRenderedPageBreak/>
        <w:t>Ha comparecido y formulado alegaciones el Abogado del Estado. Ha sido ponente el Magistrado don Pablo Pérez Tremps,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Constitucional el 16 de septiembre de 2004, doña María Rosa Vindel López, actuando en condición de comisionada de otros cuarenta y nueve Senadores del Grupo Popular del Senado, interpuso recurso de inconstitucionalidad frente al Real Decreto-ley 2/2004, de 18 de junio, por el que se modifica la Ley 10/2001, de 5 de julio, del plan hidrológico nacional.</w:t>
      </w:r>
    </w:p>
    <w:p w:rsidR="0026452D" w:rsidRDefault="0026452D" w:rsidP="0026452D">
      <w:pPr>
        <w:pStyle w:val="TextoNormal"/>
      </w:pPr>
    </w:p>
    <w:p w:rsidR="0026452D" w:rsidRDefault="0026452D" w:rsidP="0026452D">
      <w:pPr>
        <w:pStyle w:val="TextoNormal"/>
      </w:pPr>
      <w:r>
        <w:t>El recurso de inconstitucionalidad se fundamenta en los argumentos que a continuación se sintetizan.</w:t>
      </w:r>
    </w:p>
    <w:p w:rsidR="0026452D" w:rsidRDefault="0026452D" w:rsidP="0026452D">
      <w:pPr>
        <w:pStyle w:val="TextoNormal"/>
      </w:pPr>
    </w:p>
    <w:p w:rsidR="0026452D" w:rsidRDefault="0026452D" w:rsidP="0026452D">
      <w:pPr>
        <w:pStyle w:val="TextoNormal"/>
      </w:pPr>
      <w:r>
        <w:t xml:space="preserve">El escrito rector de este proceso constitucional arranca con una pormenorizada exposición de los “precedentes y elaboración del plan hidrológico nacional”, donde se presta especial atención a la tramitación parlamentaria de la Ley que lo aprobó, y se aborda un examen comparado del “contenido del plan hidrológico nacional: medidas complementarias y contenido del Real Decreto-ley”. Entrando ya en los fundamentos jurídico-materiales del recurso, se realizan unas “consideraciones previas” relativas a la “naturaleza jurídica del Plan Hidrológico Nacional”, que concluye con la afirmación de que este “no es sólo un ‘plan de planes’, sino una auténtica </w:t>
      </w:r>
      <w:r w:rsidRPr="0026452D">
        <w:rPr>
          <w:i/>
        </w:rPr>
        <w:t>norma normarum</w:t>
      </w:r>
      <w:r>
        <w:t xml:space="preserve"> en el ordenamiento hidrológico, una norma estructurante de dicho ordenamiento y no una mera suma de medidas sujetas a aprobación por ley formal”; a la “elaboración y contenido del Real Decreto-ley impugnado”, que crea una apariencia de nuevos proyectos “totalmente falsa”, lo que evidenciaría, a juicio de los recurrentes, que las actuaciones no justifican el decreto-ley; y al “alcance del control de constitucionalidad de los reales decretos-leyes”, donde se sistematizan algunos pronunciamientos al respecto de este Tribunal.</w:t>
      </w:r>
    </w:p>
    <w:p w:rsidR="0026452D" w:rsidRDefault="0026452D" w:rsidP="0026452D">
      <w:pPr>
        <w:pStyle w:val="TextoNormal"/>
      </w:pPr>
    </w:p>
    <w:p w:rsidR="0026452D" w:rsidRDefault="0026452D" w:rsidP="0026452D">
      <w:pPr>
        <w:pStyle w:val="TextoNormal"/>
      </w:pPr>
      <w:r>
        <w:t xml:space="preserve">Como primer motivo del recurso se aduce la “inexistencia de la extraordinaria y urgente necesidad imprescindible en todo decreto-ley”, pues no había una situación que reclamara una acción legislativa inmediata ni una circunstancia objetiva que impidiese acudir al procedimiento legislativo ordinario. En opinión de los Senadores recurrentes, “ni a través del Decreto-ley, ni de su exposición de motivos, ni del debate parlamentario de la convalidación o del expediente de elaboración, se encuentra justificación alguna de la extraordinaria y urgente necesidad.” Los recurrentes rechazan, en particular, las críticas que se contienen en el preámbulo del Real Decreto-ley 2/2004 respecto de las repercusiones ambientales del trasvase de aguas de la cuenca del Ebro a otras cuencas deficitarias y controvierten, igualmente, las consideraciones vertidas en esa misma parte expositiva de la norma de urgencia respecto de los “aspectos técnicos” del trasvase. Para los Senadores recurrentes, no era urgente la derogación del trasvase porque el plan hidrológico nacional lo había configurado como simple autorización para actuar, sin obligación de hacerlo, ni plazo para ello; no había urgencia económica porque podía acudirse al desistimiento o suspensión de los contratos administrativos adjudicados; la urgencia no puede ampararse, tampoco, en un “plan alternativo” que ya estaba previsto en la Ley 10/2001, de 5 de julio, aprobatoria del plan hidrológico nacional, ni en la pretendida mejor utilización del recurso hídrico que garantizaría el </w:t>
      </w:r>
      <w:r>
        <w:lastRenderedPageBreak/>
        <w:t>Decreto-ley, extremo que, en todo caso, discuten. Denuncian, igualmente, que falta la necesaria conexión de sentido o relación de adecuación entre la situación de urgencia que se afirma que existe y las medidas ideadas para hacerle frente.</w:t>
      </w:r>
    </w:p>
    <w:p w:rsidR="0026452D" w:rsidRDefault="0026452D" w:rsidP="0026452D">
      <w:pPr>
        <w:pStyle w:val="TextoNormal"/>
      </w:pPr>
    </w:p>
    <w:p w:rsidR="0026452D" w:rsidRDefault="0026452D" w:rsidP="0026452D">
      <w:pPr>
        <w:pStyle w:val="TextoNormal"/>
      </w:pPr>
      <w:r>
        <w:t>En segundo lugar denuncian los Senadores la “inconstitucionalidad del Real Decreto-ley impugnado por falta de idoneidad constitucional de su contenido para ser incorporado a un decreto-ley”. Este motivo parte de una referencia al “carácter estructurante del plan hidrológico nacional”, norma que “no se limita a contener una previsión de un conjunto de obras sino que supone la vertebración del sistema formativo en materia hidrológica y la ordenación del equilibrio territorial entre las regiones y comunidades afectadas”. Es por ello que su modificación afecta a “instituciones básicas del Estado” al incidir sobre el equilibrio territorial hidráulico, “cauce de solidaridad interterritorial”. Se destaca, igualmente, que, pese a incidir sobre el ámbito competencial de varias Comunidades Autónomas, no ha intervenido el Senado, Cámara de representación territorial (art. 69.1 CE) que está llamada a participar en las grandes cuestiones de vertebración territorial. También se apunta la incidencia sobre la planificación económica general del art. 131 CE, citándose al respecto la STC 76/1983, de 5 de agosto, y el art. 14 de la Directiva 2000/60/CE del Parlamento Europeo y del Consejo, de 23 de octubre, que se ha venido en conocer como “Directiva marco del agua”; el precepto hace referencia a la información y consultas públicas en la elaboración de los planes hidrológicos de cuenca.</w:t>
      </w:r>
    </w:p>
    <w:p w:rsidR="0026452D" w:rsidRDefault="0026452D" w:rsidP="0026452D">
      <w:pPr>
        <w:pStyle w:val="TextoNormal"/>
      </w:pPr>
    </w:p>
    <w:p w:rsidR="0026452D" w:rsidRDefault="0026452D" w:rsidP="0026452D">
      <w:pPr>
        <w:pStyle w:val="TextoNormal"/>
      </w:pPr>
      <w:r>
        <w:t>Se alega, a continuación, “inconstitucionalidad del Real Decreto-ley por defectos esenciales en su elaboración, constitucionalmente relevantes”. En este punto se denuncia la omisión del informe preceptivo del Consejo Nacional del Agua, contraviniendo lo dispuesto en el art. 20 del texto refundido de la Ley de aguas. Hablan, también, los Senadores recurrentes de “violación del principio de coordinación, junto con los principios de lealtad institucional y buena fe”, que se concreta en la infracción de diversos preceptos del texto refundido de la Ley de aguas y de la Directiva marco del agua. Finalmente, reprochan al decreto-ley controvertido la vulneración de los derechos de información y participación ciudadana, en los términos previstos en las dos normas ahora citadas, lo que da como resultado una arbitrariedad proscrita por el art. 9.3 CE.</w:t>
      </w:r>
    </w:p>
    <w:p w:rsidR="0026452D" w:rsidRDefault="0026452D" w:rsidP="0026452D">
      <w:pPr>
        <w:pStyle w:val="TextoNormal"/>
      </w:pPr>
    </w:p>
    <w:p w:rsidR="0026452D" w:rsidRDefault="0026452D" w:rsidP="0026452D">
      <w:pPr>
        <w:pStyle w:val="TextoNormal"/>
      </w:pPr>
      <w:r>
        <w:t>La infracción del principio constitucional de interdicción de la arbitrariedad, proclamado en el art. 9.3 CE, constituye, por otro lado, un motivo autónomo del recurso. Tras sintetizar la doctrina constitucional que los recurrentes entienden de aplicación al caso, exponen las razones por las que consideran que la derogación de la Ley del plan hidrológico nacional en lo relativo al régimen de transferencias vulnera el principio de confianza legítima, toda vez que no resultaba racionalmente previsible una modificación normativa como ésta. Sostienen que la aprobación del plan hidrológico nacional por la Ley 10/2001 generó una confianza legítima en que éste era el medio para lograr la resolución de los desequilibrios hídricos entre territorios “al contemplar, desde una perspectiva global, su uso armónico y coordinado, capaz de satisfacer de forma equilibrada las demandas existentes, así como un reparto equitativo de un bien escaso”. La derogación ha generado incertidumbre acerca del suministro de agua a los núcleos de población e impide cumplir los objetivos de la Directiva marco del agua.</w:t>
      </w:r>
    </w:p>
    <w:p w:rsidR="0026452D" w:rsidRDefault="0026452D" w:rsidP="0026452D">
      <w:pPr>
        <w:pStyle w:val="TextoNormal"/>
      </w:pPr>
    </w:p>
    <w:p w:rsidR="0026452D" w:rsidRDefault="0026452D" w:rsidP="0026452D">
      <w:pPr>
        <w:pStyle w:val="TextoNormal"/>
      </w:pPr>
      <w:r>
        <w:t xml:space="preserve">Denuncian, por último, los Senadores recurrentes que el Real Decreto-ley 2/2004 habría infringido el principio constitucional de solidaridad. Citan en este punto los arts. 2, 9.2, 40.1, </w:t>
      </w:r>
      <w:r>
        <w:lastRenderedPageBreak/>
        <w:t>45.2, 128.1 y 138.1 CE y la doctrina sentada en las SSTC 25/1981, de 14 de julio, y 64/1990, de 5 de abril, de las que se reproducen varios pasajes.</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5 de octubre de 2004, la Sección Segunda de este Tribunal hubo de conceder a la comisionada parlamentaria un plazo de diez días para que acreditase documentalmente que los Senadores promotores del recurso formalizaron su voluntad de recurrir el Real Decreto-ley 2/2004 dentro del plazo de los tres meses fijado a tal fin en el art. 33 de la Ley Orgánica del Tribunal Constitucional (LOTC). A este requerimiento se dio completo cumplimiento el 28 de octubre de 2004.</w:t>
      </w:r>
    </w:p>
    <w:p w:rsidR="0026452D" w:rsidRDefault="0026452D" w:rsidP="0026452D">
      <w:pPr>
        <w:pStyle w:val="TextoNormal"/>
      </w:pPr>
    </w:p>
    <w:p w:rsidR="0026452D" w:rsidRDefault="0026452D" w:rsidP="0026452D">
      <w:pPr>
        <w:pStyle w:val="TextoNormal"/>
      </w:pPr>
      <w:r w:rsidRPr="0026452D">
        <w:rPr>
          <w:rStyle w:val="NumeroAFNegritaCaracter"/>
        </w:rPr>
        <w:t>3</w:t>
      </w:r>
      <w:r>
        <w:t>. Mediante nueva providencia de 16 de noviembre de 2004, la Sección Segunda acordó admitir a trámite el presente recurso de inconstitucionalidad, así como dar traslado de la demanda y documentos presentados, de conformidad con el art. 34 LOTC, al Congreso de los Diputados y al Senado, por conducto de sus Presidentes, y al Gobierno, a través del Ministro de Justicia, al objeto de que en el plazo de quince días pudiesen personarse en el proceso y formular las alegaciones que estimaran convenientes; y publicar la incoación del recurso en el “Boletín Oficial del Estado”, lo que se llevó a efecto el día 8 de diciembre de 2004.</w:t>
      </w:r>
    </w:p>
    <w:p w:rsidR="0026452D" w:rsidRDefault="0026452D" w:rsidP="0026452D">
      <w:pPr>
        <w:pStyle w:val="TextoNormal"/>
      </w:pPr>
    </w:p>
    <w:p w:rsidR="0026452D" w:rsidRDefault="0026452D" w:rsidP="0026452D">
      <w:pPr>
        <w:pStyle w:val="TextoNormal"/>
      </w:pPr>
      <w:r w:rsidRPr="0026452D">
        <w:rPr>
          <w:rStyle w:val="NumeroAFNegritaCaracter"/>
        </w:rPr>
        <w:t>4</w:t>
      </w:r>
      <w:r>
        <w:t>. Por escrito registrado en este Tribunal el día 10 de diciembre de 2004, el Presidente del Congreso de los Diputados comunicó que la Mesa de la Cámara había acordado no personarse ni formular alegaciones en el presente proceso constitucional, poniendo a disposición del Tribunal las actuaciones de la Cámara que pudiera precisar. El 14 de diciembre de 2004 el Presidente del Senado comunicó que dicha Cámara se personaba en este proceso constitucional y ofrecía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5</w:t>
      </w:r>
      <w:r>
        <w:t>. En escrito registrado en este Tribunal el 16 de diciembre de 2004, el Abogado del Estado solicitó la desestimación del recurso por las razones que seguidamente se sintetizan.</w:t>
      </w:r>
    </w:p>
    <w:p w:rsidR="0026452D" w:rsidRDefault="0026452D" w:rsidP="0026452D">
      <w:pPr>
        <w:pStyle w:val="TextoNormal"/>
      </w:pPr>
    </w:p>
    <w:p w:rsidR="0026452D" w:rsidRDefault="0026452D" w:rsidP="0026452D">
      <w:pPr>
        <w:pStyle w:val="TextoNormal"/>
      </w:pPr>
      <w:r>
        <w:t>En el escrito, que se inicia con unas “consideraciones previas” en las que la Abogacía del Estado da respuesta a las alegaciones efectuadas por los recurrentes respecto de la naturaleza del plan hidrológico nacional, la génesis del Real Decreto-ley 2/2004 y el alcance del control de constitucionalidad de los decretos leyes, se defiende la concurrencia del presupuesto habilitante de la extraordinaria y urgente necesidad para la aprobación del Decreto-ley controvertido en este proceso. A este respecto, además de recordar la explicación contenida en el preámbulo del Decreto-ley y de mencionar hasta 18 decretos-leyes en materia de aguas, se indica que, frente a lo sostenido en la demanda, no cabe siquiera plantearse la suspensión o paralización de las obras encaminadas a la realización del trasvase de aguas desde la cuenca del Ebro a otras cuencas deficitarias. Defiende igualmente la Abogacía del Estado que concurre la necesaria conexión de sentido entre la situación urgente identificada en el Decreto-ley y las medidas dispuestas para hacerle frente, rechazando en particular los argumentos empleados para sustentar el carácter potestativo o discrecional del contenido del plan hidrológico nacional, del que los demandantes infieren la no necesidad de aprobar un decreto-ley a fin de articular una alternativa para el suministro de agua a las zonas deficitarias.</w:t>
      </w:r>
    </w:p>
    <w:p w:rsidR="0026452D" w:rsidRDefault="0026452D" w:rsidP="0026452D">
      <w:pPr>
        <w:pStyle w:val="TextoNormal"/>
      </w:pPr>
    </w:p>
    <w:p w:rsidR="0026452D" w:rsidRDefault="0026452D" w:rsidP="0026452D">
      <w:pPr>
        <w:pStyle w:val="TextoNormal"/>
      </w:pPr>
      <w:r>
        <w:lastRenderedPageBreak/>
        <w:t>Siguiendo la sistemática empleada en el escrito rector de este proceso constitucional, la Abogacía del Estado niega, a continuación, que concurra el vicio consistente en la “falta de idoneidad constitucional” del contenido del Real Decreto-ley 2/2004, pues los argumentos empleados al efecto por los recurrentes adolecen de un exceso de abstracción e ignoran, además, que no es necesaria la intervención del Senado en la convalidación de los decretos-leyes o que el aquí controvertido no “afecta” al régimen de las Comunidades Autónomas puesto que no procede a una delimitación directa y positiva de las competencias autonómicas. Por lo demás, con cita de las SSTC 227/1988 y 60/1986, rechaza la caracterización de la planificación hidrológica como institución básica del Estado.</w:t>
      </w:r>
    </w:p>
    <w:p w:rsidR="0026452D" w:rsidRDefault="0026452D" w:rsidP="0026452D">
      <w:pPr>
        <w:pStyle w:val="TextoNormal"/>
      </w:pPr>
    </w:p>
    <w:p w:rsidR="0026452D" w:rsidRDefault="0026452D" w:rsidP="0026452D">
      <w:pPr>
        <w:pStyle w:val="TextoNormal"/>
      </w:pPr>
      <w:r>
        <w:t>Con respecto a los defectos procedimentales que habrían existido durante la elaboración del Real Decreto-ley 2/2004, comienza recordando la Abogacía del Estado que el objeto de la impugnación es un real decreto-ley “que en un plano procedimental no sería exagerado presentar como una excepción al trámite normal y general previsto por la Constitución para la producción de las normas de rango legal: el trámite parlamentario”. Por ello, aun en la hipótesis de que se hubiera omitido algún trámite de audiencia a la Comunidad Autónoma recurrente, dicha omisión hallaría dispensa en el art. 86 CE, que no incluye entre los límites al decreto-ley este derecho de audiencia o de participación. Ha de entenderse que cuando la Constitución autoriza a prescindir de la tramitación parlamentaria en situaciones de urgente necesidad, con mayor razón está excluyendo la realización de aquellos otros trámites que eventualmente estuvieran previstos para la elaboración de planes, proyectos e incluso textos jurídicos y que no sean compatibles con la urgencia que legitima la aprobación de esta clase de normas. De otro modo, el decreto-ley sería un instrumento inútil para hacer frente a situaciones urgentes. Dicho esto, apunta que el art. 20 del texto refundido de la Ley de aguas, que regula el trámite de audiencia al Consejo Nacional del Agua en el procedimiento de elaboración del plan hidrológico nacional, no contiene una garantía institucional que pueda servir de canon de validez de las normas con rango de ley; sostiene que la demanda hace un uso abusivo del principio de lealtad institucional, citando de manera inadecuada las SSTC 35/1984 y 137/2003, y que resulta inoportuna la referencia a la Directiva marco del agua.</w:t>
      </w:r>
    </w:p>
    <w:p w:rsidR="0026452D" w:rsidRDefault="0026452D" w:rsidP="0026452D">
      <w:pPr>
        <w:pStyle w:val="TextoNormal"/>
      </w:pPr>
    </w:p>
    <w:p w:rsidR="0026452D" w:rsidRDefault="0026452D" w:rsidP="0026452D">
      <w:pPr>
        <w:pStyle w:val="TextoNormal"/>
      </w:pPr>
      <w:r>
        <w:t>Niega el Abogado del Estado que se hayan vulnerado los principios de interdicción de la arbitrariedad, en conexión con el principio de seguridad jurídica, y de solidaridad. Con respecto al primero, amén de rechazar la tacha de arbitrariedad alzada frente al Real Decreto-ley 2/2004, indica el Abogado del Estado que resulta incomprensible cómo la alternativa propuesta, una simple suspensión de la Ley del plan hidrológico nacional, podría garantizar un nivel de seguridad jurídica mayor que la derogación y sustitución de los preceptos sobre el trasvase del Ebro. En cuanto al principio de solidaridad, señala el Abogado del Estado que el motivo queda “prácticamente reducido a una exposición doctrinal nutrida de unas consideraciones generales y abstractas no cuestionables en sí mismas, pero sin que de sus premisas se infieran claras conclusiones impugnatorias”. En particular, el desarrollo de este motivo no proporciona criterios jurídicos definidos a partir de los cuales pueda el Tribunal Constitucional resolver la discrepancia existente sobre la validez del Real Decreto-ley 2/2004.</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12 de marzo de 2013 se señaló para deliberación y votación de la presente Sentencia el día 14 del mismo mes y año.</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Al igual que sucediera en el recurso de inconstitucionalidad 5049-2004, del que fuera promotor el Consejo de Gobierno de la Región de Murcia y que ha sido resuelto en la reciente STC 51/2013, de 28 de febrero, el presente recurso de inconstitucionalidad coincide en objeto y fundamentación con el tramitado con el número 4786-2004, en el que se dictó la STC 237/2012, de 13 de diciembre. También aquí se impugna el Real Decreto-ley 2/2004, de 18 de junio, por el que se modifica la Ley 10/2001, de 5 de julio, del plan hidrológico nacional, y esa impugnación se sustenta en unos motivos que ya fueron examinados y respondidos en la citada STC 237/2012. Por ello, en aras de la brevedad y por mor de la coherencia, nos remitiremos ahora a aquellos pasajes de dicha Sentencia en los que se da respuesta a los cinco motivos aducidos por los Senadores que interpusieron el presente recurso de inconstitucionalidad para fundamentar su pretensión anulatoria de esta norma con rango de ley; a saber: vulneración del art. 86.1 CE por inexistencia del presupuesto habilitante legitimador de la aprobación del Real Decreto-ley 2/2004, falta de idoneidad del contenido de la norma para ser incorporado a un decreto-ley, existencia de defectos invalidantes en el procedimiento de elaboración, arbitrariedad contraria al art. 9.3 CE y quiebra del principio de solidaridad.</w:t>
      </w:r>
    </w:p>
    <w:p w:rsidR="0026452D" w:rsidRDefault="0026452D" w:rsidP="0026452D">
      <w:pPr>
        <w:pStyle w:val="TextoNormal"/>
      </w:pPr>
    </w:p>
    <w:p w:rsidR="0026452D" w:rsidRDefault="0026452D" w:rsidP="0026452D">
      <w:pPr>
        <w:pStyle w:val="TextoNormal"/>
      </w:pPr>
      <w:r w:rsidRPr="0026452D">
        <w:rPr>
          <w:rStyle w:val="NumeroAFNegritaCaracter"/>
        </w:rPr>
        <w:t>2</w:t>
      </w:r>
      <w:r>
        <w:t>. Con respecto al primero de los motivos esgrimidos por los Senadores recurrentes, hay que recordar que la concurrencia del requisito de la “extraordinaria y urgente necesidad” enunciado por el art. 86.1 CE, presupuesto habilitante de la aprobación del Real Decreto-ley 2/2004, fue objeto de detenido examen en los fundamentos jurídicos 3 a 6 de la STC 237/2012. Ya entonces, nuestro análisis nos condujo a constatar que “puede apreciarse razonablemente la concurrencia de la extraordinaria y urgente necesidad tanto en la derogación de los preceptos de la Ley del plan hidrológico nacional como en las declaraciones de interés general por el Real Decreto-ley 2/2004. Sin entrar a valorar la bondad técnica de dichas medidas, ni su oportunidad e idoneidad para paliar las deficiencias hídricas que han aquejado secularmente a las cuencas mediterráneas, juicios que no compete formular a este Tribunal Constitucional (en similares términos, SSTC 75/1983, de 3 de agosto; 142/1993, de 22 de abril, FJ 9, y 182/1997, de 28 de octubre, FJ 4, relativas todas ellas a medidas de carácter económico), bien podemos afirmar que ni una ni otra representan un uso abusivo del decreto-ley.” (FJ 6).</w:t>
      </w:r>
    </w:p>
    <w:p w:rsidR="0026452D" w:rsidRDefault="0026452D" w:rsidP="0026452D">
      <w:pPr>
        <w:pStyle w:val="TextoNormal"/>
      </w:pPr>
    </w:p>
    <w:p w:rsidR="0026452D" w:rsidRDefault="0026452D" w:rsidP="0026452D">
      <w:pPr>
        <w:pStyle w:val="TextoNormal"/>
      </w:pPr>
      <w:r>
        <w:t xml:space="preserve">Por lo que hace al requisito de la conexión de sentido o relación de adecuación entre la situación de urgencia y las medidas arbitradas para hacerle frente, dijimos entonces, que “tampoco merece favorable acogida la denuncia de que el Real Decreto-ley no satisface el requisito de la conexión de sentido pues hubiera bastado con paralizar las obras de realización de las infraestructuras necesarias para la realización del trasvase del Ebro, sin necesidad de derogar los preceptos de la Ley del plan hidrológico nacional relativos al mismo, pues está al alcance de un Gobierno decidir libremente la realización o no de unas de unas obras expresamente declaradas de interés general por el legislador. Antes bien, se trata de una obligación normativa que está llamado a cumplir, de modo que en tanto esté vigente la ley, en este caso la Ley del plan hidrológico nacional, no tiene libertad alguna de elección y debe ejecutar las previsiones legales al exigirlo así de consuno los principios de legalidad, seguridad jurídica y pleno sometimiento de la acción administrativa a la ley y al Derecho (arts. 9.3 y 103.1 CE). Por lo mismo que la Ley del plan hidrológico nacional no se limitó a </w:t>
      </w:r>
      <w:r>
        <w:lastRenderedPageBreak/>
        <w:t>autorizar una serie de actuaciones, dejando su suerte en manos del Gobierno, no puede sostenerse que éste pueda desentenderse de la realización de aquéllas. La inaplicación de la ley no es una alternativa en nuestro ordenamiento constitucional y por ello mismo en tanto no se derogasen formalmente los preceptos de la Ley del plan hidrológico nacional que contenían el régimen jurídico del trasvase de aguas de la cuenca baja del Ebro era necesario llevar a cabo las actuaciones materiales necesarias para cumplimentarlo y destinar a tal fin los fondos precisos.” (FJ 6). En este mismo fundamento jurídico desestimamos igualmente el alegato relativo a la falta de aplicación completa e inmediata del decreto-ley como criterio determinante de su inconstitucionalidad pues “no debe confundirse eficacia inmediata de la norma provisional con la ejecución instantánea de la misma” dado que “sólo aquélla es un requisito ínsito en la definición constitucional del decreto-ley establecida en el art. 86.1 CE.” (FJ 8).</w:t>
      </w:r>
    </w:p>
    <w:p w:rsidR="0026452D" w:rsidRDefault="0026452D" w:rsidP="0026452D">
      <w:pPr>
        <w:pStyle w:val="TextoNormal"/>
      </w:pPr>
    </w:p>
    <w:p w:rsidR="0026452D" w:rsidRDefault="0026452D" w:rsidP="0026452D">
      <w:pPr>
        <w:pStyle w:val="TextoNormal"/>
      </w:pPr>
      <w:r w:rsidRPr="0026452D">
        <w:rPr>
          <w:rStyle w:val="NumeroAFNegritaCaracter"/>
        </w:rPr>
        <w:t>3</w:t>
      </w:r>
      <w:r>
        <w:t>. En lo que atañe a la pretendida transgresión de los límites materiales de los decretos-leyes en que habría incurrido el Real Decreto-ley 2/2004, dijimos en el fundamento jurídico 7 de la STC 237/2012 que, sin que ello suponga minusvaloración alguna de su importancia, lo cierto es que el equilibrio territorial al que hacen referencia los Senadores en su recurso “es un objetivo de la política hidráulica —establecido por el legislador ordinario— carente de todo componente orgánico, por lo que no puede concluirse que la alteración de las determinaciones legislativas cuando concurra el presupuesto habilitante afecte en modo alguno a una institución basilar del Estado constitucional” en los términos del art. 86.1 CE. En cuanto a la falta de intervención del Senado en la elaboración y aprobación del Real Decreto-ley 2/2004, advertimos entonces que era una “consecuencia lógica de la regulación constitucional de la figura del decreto-ley. No estará de más insistir, al respecto, en que el recurso al decreto-ley conlleva la sustitución del Parlamento por el Gobierno en la aprobación de normas con valor de ley y vigencia provisional (STC 182/1997, FJ 3), como tampoco recordar que nuestro sistema parlamentario se caracteriza por un ‘notorio bicameralismo imperfecto’ (STC 155/2005, de 9 de junio, FJ 9), una de cuyas manifestaciones radica, precisamente, en la reserva exclusiva al Congreso de los Diputados de la competencia para convalidar los decretos-leyes, sin intervención del Senado.” [FJ 7 a)].</w:t>
      </w:r>
    </w:p>
    <w:p w:rsidR="0026452D" w:rsidRDefault="0026452D" w:rsidP="0026452D">
      <w:pPr>
        <w:pStyle w:val="TextoNormal"/>
      </w:pPr>
    </w:p>
    <w:p w:rsidR="0026452D" w:rsidRDefault="0026452D" w:rsidP="0026452D">
      <w:pPr>
        <w:pStyle w:val="TextoNormal"/>
      </w:pPr>
      <w:r>
        <w:t xml:space="preserve">En cuanto a la observancia de las previsiones procedimentales del art. 131 CE, señalábamos en la STC 237/2012, con cita expresa de la STC 227/1988, de 29 de noviembre, que “ha sido el propio legislador, que no el constituyente, quien ha dispuesto que un instrumento de planificación sectorial como es el plan hidrológico nacional se apruebe mediante ley (art. 45.1 del vigente texto refundido de la Ley de aguas, aprobado por el Real Decreto Legislativo 1/2001, de 20 de julio) y quien ha contemplado igualmente la participación de las Comunidades Autónomas en el procedimiento de elaboración de los planes hidrológicos estatales como ‘instrumento general de colaboración y coordinación de la planificación hidrológica con otras medidas de planeamiento concurrentes’ [FJ 20 a) </w:t>
      </w:r>
      <w:r w:rsidRPr="0026452D">
        <w:rPr>
          <w:i/>
        </w:rPr>
        <w:t>in fine</w:t>
      </w:r>
      <w:r>
        <w:t>]. De donde se concluye que el art. 131 CE no puede erigirse en canon de validez del Real Decreto-ley 2/2004.”</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 El reproche relativo a la falta de intervención del Consejo Nacional del Agua en el procedimiento de elaboración de este decreto-ley fue igualmente objeto de consideración en la STC 237/2012, en la que advertimos que la lectura de la regulación y funciones de este órgano colegiado que se contiene en el texto refundido de la Ley de aguas no puede llevarnos a “concluir que el legislador infraconstitucional haya podido trascenderse a sí mismo e </w:t>
      </w:r>
      <w:r>
        <w:lastRenderedPageBreak/>
        <w:t xml:space="preserve">introducir en el art. 86 CE una limitación procedimental </w:t>
      </w:r>
      <w:r w:rsidRPr="0026452D">
        <w:rPr>
          <w:i/>
        </w:rPr>
        <w:t>ratione materiae</w:t>
      </w:r>
      <w:r>
        <w:t xml:space="preserve"> para la utilización del decreto-ley cuando concurra el presupuesto habilitante” (FJ 8). También dimos entonces respuesta a la queja referida a la eventual inobservancia de la Directiva 2000/60/CE del Parlamento Europeo y del Consejo, de 23 de octubre de 2000, por la que se establece un marco de actuación en el ámbito de la política de aguas, también denominada Directiva marco del agua. A este respecto debemos insistir ahora en que “en la medida en que … examinar la efectiva existencia de infracción de las Directivas citadas es presupuesto inexcusable para el análisis del motivo esgrimido para postular la nulidad del Real Decreto-ley 2/2004, cumple recordar, una vez más, que ‘a este Tribunal no le corresponde controlar la adecuación de la actividad de los poderes públicos nacionales al Derecho comunitario europeo, pues este control compete a los órganos de la jurisdicción ordinaria, en cuanto aplicadores que son del ordenamiento comunitario, y, en su caso, al Tribunal de Justicia de la Unión Europea’ (STC 135/2012, de 19 de junio, FJ 2).” (FJ 8).</w:t>
      </w:r>
    </w:p>
    <w:p w:rsidR="0026452D" w:rsidRDefault="0026452D" w:rsidP="0026452D">
      <w:pPr>
        <w:pStyle w:val="TextoNormal"/>
      </w:pPr>
    </w:p>
    <w:p w:rsidR="0026452D" w:rsidRDefault="0026452D" w:rsidP="0026452D">
      <w:pPr>
        <w:pStyle w:val="TextoNormal"/>
      </w:pPr>
      <w:r w:rsidRPr="0026452D">
        <w:rPr>
          <w:rStyle w:val="NumeroAFNegritaCaracter"/>
        </w:rPr>
        <w:t>5</w:t>
      </w:r>
      <w:r>
        <w:t>. La tacha de arbitrariedad dirigida contra el Real Decreto-ley 2/2004 debe ser asimismo rechazada por los motivos ya expuestos en el fundamento jurídico 9 de la STC 237/2012. Según advertimos entonces —y hemos reiterado en la reciente STC 19/2013, FJ 2 b)— “este Tribunal viene afirmando que cuando del enjuiciamiento de una norma legal desde la perspectiva que proporciona la interdicción de arbitrariedad consagrada por el art. 9.3 CE se trata,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(entre otras muchas, SSTC 104/2000, de 13 de abril, FJ 8 y 148/2012, de 5 de julio, FJ 15). La modificación parcial de la Ley responde a unas razones expuestas con detalle en el preámbulo del Real Decreto-ley 2/2004 y que han sido ya objeto de examen específico en esta misma Sentencia para descartar que dicha modificación legal llevada a cabo mediante el uso de una norma con valor de ley provisional y urgente representara un uso abusivo o arbitrario de la figura del decreto-ley. Cuestión distinta, y sobre la que no procede que este Tribunal formule pronunciamiento alguno, es la eficacia persuasiva que esas mismas razones hayan podido tener ... Pero la legítima discrepancia con la norma no es de suyo razón de inconstitucionalidad”, añadiendo que “los informes, estudios e intervenciones previos a la elaboración de la Ley del plan hidrológico nacional no agotaron su función con la aprobación de este texto legal sino que seguían estando a disposición del Gobierno de la Nación, quien habría hecho uso de algunos de ellos, así como de otros informes elevados con posterioridad a la promulgación de la Ley y que se mencionan específicamente en el preámbulo del Real Decreto-ley 2/2004. Así se advierte en la lectura del debate de convalidación, en el que distintas intervenciones hicieron mención expresa al contenido y sentido de esos mismos informes.” (STC 237/2012, FJ 9).</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Finalmente, el motivo referido a la desatención del principio de solidaridad fue objeto de estudio en los fundamentos jurídicos 11 y 12 de la STC 237/2012, a los que ahora hemos de remitirnos, sin perjuicio de reiterar las consideraciones entonces efectuadas respecto de que los términos empleados por los recurrentes para fundamentar este motivo impugnatorio, en este caso reiterados, “no permiten entrar a examinar el fondo del problema planteado pues la parte actora no ha satisfecho la carga de argumentar, en términos de estricta normatividad constitucional, la efectividad del vicio cuya concurrencia denuncia. No puede, en efecto, entenderse cumplida esa carga cuando las razones aportadas son expresivas tan sólo </w:t>
      </w:r>
      <w:r>
        <w:lastRenderedPageBreak/>
        <w:t>de la legítima discrepancia política que la actora mantiene con la norma controvertida. Compete al Estado, en tanto que garante de la realización efectiva del principio de solidaridad interterritorial (STC 96/1990, de 24 de mayo), llevar a cabo una asignación de los recursos hidráulicos que tenga presentes las distintas variables —sociales, ambientales, de carácter técnico, entre otras— a considerar, sin que le corresponda a este Tribunal sustituir al legislador estatal, aquí al legislador de urgencia, en el desempeño de esta tarea.” (FJ 12). Concluíamos entonces, y volvemos a hacerlo ahora, haciendo hincapié en que “los cánones a los que hemos de atenernos en el ejercicio de nuestra función jurisdiccional no son tan laxos como para permitir una valoración en términos de oportunidad política o de bondad técnica de las decisiones sometidas a nuestro juicio. Antes bien, estamos obligados a atenernos a un control de esas decisiones que no conlleve la suplantación de funciones atribuidas a otras instancias y que garantice, al mismo tiempo, el adecuado equilibrio de poderes. En el caso que nos ocupa el servicio a esa función exige que nos atengamos a un ‘control externo’ de la racionalidad de las medidas que se controvierten y no a un control estricto de calidad, acaso de perfección, ni a una comparación entre alternativas cuando todas ellas tienen cabida, como aquí sucede, en el texto constitucional.” (FJ 12).</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68" w:name="SENTENCIA_2013_65"/>
      <w:r>
        <w:lastRenderedPageBreak/>
        <w:t>SENTENCIA 65/2013, de 14 de marzo de 2013</w:t>
      </w:r>
    </w:p>
    <w:bookmarkEnd w:id="68"/>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ECLI:ES:TC:2013:65</w:t>
      </w:r>
    </w:p>
    <w:p w:rsidR="0026452D" w:rsidRDefault="0026452D" w:rsidP="0026452D">
      <w:pPr>
        <w:pStyle w:val="SntesisDescriptiva"/>
      </w:pPr>
    </w:p>
    <w:p w:rsidR="0026452D" w:rsidRDefault="0026452D" w:rsidP="0026452D">
      <w:pPr>
        <w:pStyle w:val="SntesisDescriptiva"/>
      </w:pPr>
      <w:r>
        <w:t>Conflicto positivo de competencia 7931-2004. Planteado por el Consejo de Gobierno de la Generalitat Valenciana en relación con las Órdenes TAS/2782/2004, de 30 de julio, por la que se establecen las bases reguladoras para la concesión de subvenciones públicas destinadas a la realización de las acciones complementarias y de acompañamiento a la formación, en desarrollo del Real Decreto 1046/2003, de 1 de agosto, por el que se regula el subsistema de formación profesional continua y TAS/2783/2004, de 30 de julio, por la que se establecen las bases reguladoras para la concesión de subvenciones públicas, mediante contratos programa para la formación de trabajadores, en desarrollo del Real Decreto 1046/2003, de 1 de agosto, por el que se regula el subsistema de formación profesional continua.</w:t>
      </w:r>
    </w:p>
    <w:p w:rsidR="0026452D" w:rsidRDefault="0026452D" w:rsidP="0026452D">
      <w:pPr>
        <w:pStyle w:val="SntesisDescriptiva"/>
      </w:pPr>
    </w:p>
    <w:p w:rsidR="0026452D" w:rsidRDefault="0026452D" w:rsidP="0026452D">
      <w:pPr>
        <w:pStyle w:val="SntesisAnaltica"/>
      </w:pPr>
      <w:r>
        <w:t>Competencias en materia laboral: pérdida parcial de objeto del conflicto positivo de competencia, adecuado ejercicio de las competencias estatales (STC 244/2012).</w:t>
      </w:r>
    </w:p>
    <w:p w:rsidR="0026452D" w:rsidRDefault="0026452D" w:rsidP="0026452D">
      <w:pPr>
        <w:pStyle w:val="SntesisAnaltica"/>
      </w:pPr>
    </w:p>
    <w:p w:rsidR="0026452D" w:rsidRDefault="0026452D" w:rsidP="0026452D">
      <w:pPr>
        <w:pStyle w:val="Extracto"/>
      </w:pPr>
      <w:r>
        <w:t>1.</w:t>
      </w:r>
      <w:r>
        <w:tab/>
        <w:t>Las previsiones contempladas en los preceptos impugnados no son susceptibles de reproche competencial, pues vienen a regular condiciones generales de las ayudas en materia de formación, fijando criterios uniformes en todo el territorio para su articulación, otorgamiento y destino, por lo que se inscriben en el ámbito de la ‘normación’ que corresponde en exclusiva al Estado y no en el de la gestión de los fondos (SSTC 244/2012, 37/2013)  [FFJJ 4, 5].</w:t>
      </w:r>
    </w:p>
    <w:p w:rsidR="0026452D" w:rsidRDefault="0026452D" w:rsidP="0026452D">
      <w:pPr>
        <w:pStyle w:val="Extracto"/>
      </w:pPr>
    </w:p>
    <w:p w:rsidR="0026452D" w:rsidRDefault="0026452D" w:rsidP="0026452D">
      <w:pPr>
        <w:pStyle w:val="Extracto"/>
      </w:pPr>
      <w:r>
        <w:t>2.</w:t>
      </w:r>
      <w:r>
        <w:tab/>
        <w:t>La elaboración por la Fundación estatal para la Formación en el Empleo de informes, estudios o propuestas con un alcance supraautonómico no vulnera las competencias de ejecución que corresponden a las Comunidades Autónomas, pues responde a los principios generales de colaboración y cooperación entre el Estado y las Comunidades Autónomas y, en cuanto tienen por objeto el conocimiento global del funcionamiento del sistema, no impide aquellos que puedan realizar las Administraciones autonómicas en su ámbito territorial (STC 244/2012)  [FJ 5].</w:t>
      </w:r>
    </w:p>
    <w:p w:rsidR="0026452D" w:rsidRDefault="0026452D" w:rsidP="0026452D">
      <w:pPr>
        <w:pStyle w:val="Extracto"/>
      </w:pPr>
    </w:p>
    <w:p w:rsidR="0026452D" w:rsidRDefault="0026452D" w:rsidP="0026452D">
      <w:pPr>
        <w:pStyle w:val="Extracto"/>
      </w:pPr>
      <w:r>
        <w:t>3.</w:t>
      </w:r>
      <w:r>
        <w:tab/>
        <w:t>Aplica la doctrina sobre la delimitación de competencias en materia de subvenciones destinadas a la formación continua de las SSTC 244/2012 y 37/2013  [FJ 2 a)].</w:t>
      </w:r>
    </w:p>
    <w:p w:rsidR="0026452D" w:rsidRDefault="0026452D" w:rsidP="0026452D">
      <w:pPr>
        <w:pStyle w:val="Extracto"/>
      </w:pPr>
    </w:p>
    <w:p w:rsidR="0026452D" w:rsidRDefault="0026452D" w:rsidP="0026452D">
      <w:pPr>
        <w:pStyle w:val="Extracto"/>
      </w:pPr>
      <w:r>
        <w:t>4.</w:t>
      </w:r>
      <w:r>
        <w:tab/>
        <w:t>La delimitación de competencias en materia de formación continua deriva de lo dispuesto en el art. 149.1.7 CE, que atribuye al Estado competencia exclusiva en materia de legislación laboral, sin perjuicio de su ejecución por los órganos de las Comunidades Autónomas, y en el art. 51.1.1 EACV, por el que corresponde a la Generalitat la ejecución de la legislación del Estado, sin perjuicio de la alta inspección de éste y el fomento activo de la ocupación (STC 244/2012)  [FJ 3].</w:t>
      </w:r>
    </w:p>
    <w:p w:rsidR="0026452D" w:rsidRDefault="0026452D" w:rsidP="0026452D">
      <w:pPr>
        <w:pStyle w:val="Extracto"/>
      </w:pPr>
    </w:p>
    <w:p w:rsidR="0026452D" w:rsidRDefault="0026452D" w:rsidP="0026452D">
      <w:pPr>
        <w:pStyle w:val="Extracto"/>
      </w:pPr>
      <w:r>
        <w:t>5.</w:t>
      </w:r>
      <w:r>
        <w:tab/>
        <w:t xml:space="preserve">Doctrina sobre la eventual apreciación de la pérdida de objeto, derivada de modificaciones normativas, en procesos constitucionales de naturaleza competencial, </w:t>
      </w:r>
      <w:r>
        <w:lastRenderedPageBreak/>
        <w:t>según perviva, o no, la controversia competencial (SSTC 47/2008, 37/2013) [FJ 2 b)].</w:t>
      </w:r>
    </w:p>
    <w:p w:rsidR="0026452D" w:rsidRDefault="0026452D" w:rsidP="0026452D">
      <w:pPr>
        <w:pStyle w:val="Extracto"/>
      </w:pPr>
    </w:p>
    <w:p w:rsidR="0026452D" w:rsidRDefault="0026452D" w:rsidP="0026452D">
      <w:pPr>
        <w:pStyle w:val="Extracto"/>
      </w:pPr>
      <w:r>
        <w:t>6.</w:t>
      </w:r>
      <w:r>
        <w:tab/>
        <w:t xml:space="preserve">Doctrina sobre el </w:t>
      </w:r>
      <w:r w:rsidRPr="0026452D">
        <w:rPr>
          <w:i/>
        </w:rPr>
        <w:t>ius superveniens</w:t>
      </w:r>
      <w:r>
        <w:t xml:space="preserve"> conforme a la cual el control de las normas que incurren en un posible exceso competencial debe hacerse de acuerdo a las normas del bloque de la constitucionalidad vigentes al momento de dictar Sentencia (STC 1/2011) [FJ 2 c)].</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7931-2004 promovido por el Consejo de Gobierno de la Generalitat Valenciana en relación con la Orden TAS/2782/2004, de 30 de julio, por la que se establecen las bases reguladoras para la concesión de subvenciones públicas destinadas a la realización de las acciones complementarias y de acompañamiento a la formación, en desarrollo del Real Decreto 1046/2003, de 1 de agosto, por el que se regula el subsistema de formación profesional continua; y asimismo en relación con la Orden TAS/2783/2004, de 30 de julio, por la que se establecen las bases reguladoras para la concesión de subvenciones públicas, mediante contratos programa para la formación de trabajadores, en desarrollo del Real Decreto 1046/2003, de 1 de agosto, por el que se regula el subsistema de formación profesional continua. Ha comparecido y formulado alegaciones el Abogado del Estado.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El día 30 de diciembre de 2004 tuvo entrada en el Registro General de este Tribunal Constitucional, escrito del Letrado del Gabinete Jurídico de la Generalitat Valenciana, por el que, en la representación que legalmente ostenta, interpone conflicto positivo de competencia, tramitado con el número 7931-2004, en relación con la Orden TAS/2782/2004, de 30 de julio, por la que se establecen las bases reguladoras para la concesión de subvenciones públicas destinadas a la realización de las acciones complementarias y de acompañamiento a la formación, en desarrollo del Real Decreto 1046/2003, de 1 de agosto, por el que se </w:t>
      </w:r>
      <w:r>
        <w:lastRenderedPageBreak/>
        <w:t>regula el subsistema de formación profesional continua; y asimismo en relación con la Orden TAS/2783/2004, de 30 de julio, por la que se establecen las bases reguladoras para la concesión de subvenciones públicas mediante contratos programa para la formación de trabajadores, en desarrollo del Real Decreto 1046/2003, de 1 de agosto, por el que se regula el subsistema de formación profesional continua.</w:t>
      </w:r>
    </w:p>
    <w:p w:rsidR="0026452D" w:rsidRDefault="0026452D" w:rsidP="0026452D">
      <w:pPr>
        <w:pStyle w:val="TextoNormal"/>
      </w:pPr>
    </w:p>
    <w:p w:rsidR="0026452D" w:rsidRDefault="0026452D" w:rsidP="0026452D">
      <w:pPr>
        <w:pStyle w:val="TextoNormal"/>
      </w:pPr>
      <w:r>
        <w:t>El conflicto se dirige contra los apartados 3, 10 y 19 de la Orden TAS/2782/2004; y contra los apartados 2, 15, 16.2, 24.2, y 28 de la Orden TAS/2783/2004. Se fundamenta en que las citadas órdenes ministeriales vulneran el sistema de distribución de competencias en materia laboral, que deriva de lo dispuesto en los arts. 149.1.7 CE y 33.1 del Estatuto de Autonomía de la Comunidad Valenciana (EACV), en relación con lo dispuesto en las SSTC 95/2002, de 25 de abril; 190/2002, de 17 de octubre; 228/2003, de 18 de diciembre; y 230/2003, de 18 de diciembre.</w:t>
      </w:r>
    </w:p>
    <w:p w:rsidR="0026452D" w:rsidRDefault="0026452D" w:rsidP="0026452D">
      <w:pPr>
        <w:pStyle w:val="TextoNormal"/>
      </w:pPr>
    </w:p>
    <w:p w:rsidR="0026452D" w:rsidRDefault="0026452D" w:rsidP="0026452D">
      <w:pPr>
        <w:pStyle w:val="TextoNormal"/>
      </w:pPr>
      <w:r>
        <w:t>Tras dar cuenta de las actuaciones procedimentales seguidas en la fase previa de requerimiento de incompetencia, considera el representante de la Comunidad Autónoma que las órdenes impugnadas, que se configuran como normas de desarrollo de los arts. 14 y 17 del Real Decreto 1046/2003, exceden, sin embargo, la habilitación normativa otorgada por el mismo y vulneran las competencias autonómicas de ejecución de la legislación laboral. Los precitados artículos del Real Decreto regulan los contratos programa de ámbito estatal y las acciones complementarias y de acompañamiento a la formación, que afectan a un ámbito territorial superior al de una Comunidad Autónoma, mientras que las disposiciones impugnadas amplían su contenido normativo al ámbito territorial exclusivo de una Comunidad Autónoma, y atribuyen al Estado competencias ejecutivas y de gestión de ayudas públicas, que prescinden de las competencias que en materia de ejecución de la legislación laboral corresponden a las Comunidades Autónomas. El conflicto se concreta a los siguientes aspectos:</w:t>
      </w:r>
    </w:p>
    <w:p w:rsidR="0026452D" w:rsidRDefault="0026452D" w:rsidP="0026452D">
      <w:pPr>
        <w:pStyle w:val="TextoNormal"/>
      </w:pPr>
    </w:p>
    <w:p w:rsidR="0026452D" w:rsidRDefault="0026452D" w:rsidP="0026452D">
      <w:pPr>
        <w:pStyle w:val="TextoNormal"/>
      </w:pPr>
      <w:r>
        <w:t>a) El apartado 2 de la Orden TAS/2783/2004, que pretende ser desarrollo del art. 14 del Real Decreto 1046/2003, no limita sin embargo su aplicación a los contratos programa que afecten a más de una Comunidad Autónoma, tal y como contempla el Real Decreto, sino que efectúa una regulación abusiva, extralimitándose de ese ámbito estricto, al regular contratos programa tanto para el ámbito estatal como autonómico (apartado 2.1), vulnerando el ámbito competencial autonómico de ejecución. Se argumenta, además, que el apartado 2.1 b) establece una restricción en relación con la posibilidad de que las Comunidades Autónomas puedan suscribir contratos programa para la ejecución de planes de formación continua sectoriales, supeditándola a la negociación colectiva estatal y a la concurrencia de los dos supuestos que contempla; y con tal redacción se impide la participación de la Comunidad Valenciana en la suscripción de contratos programa referidos a sectores productivos dentro de su territorio que, por no estar contemplados en la negociación colectiva estatal, no pueden ser suscritos.</w:t>
      </w:r>
    </w:p>
    <w:p w:rsidR="0026452D" w:rsidRDefault="0026452D" w:rsidP="0026452D">
      <w:pPr>
        <w:pStyle w:val="TextoNormal"/>
      </w:pPr>
    </w:p>
    <w:p w:rsidR="0026452D" w:rsidRDefault="0026452D" w:rsidP="0026452D">
      <w:pPr>
        <w:pStyle w:val="TextoNormal"/>
      </w:pPr>
      <w:r>
        <w:t xml:space="preserve">b) El apartado 3 de la Orden TAS/2782/2004, al regular la tipología de las acciones complementarias y de acompañamiento a la formación, no las acota, como hace el Real Decreto 1046/2003, a las que afecten a un ámbito territorial superior al de una Comunidad Autónoma, y, además, establece una tipología de acciones inexistente en el Real Decreto, acordando limitar las acciones complementarias sólo a las que tipifica, de tal forma que usurpa a la Comunidad Autónoma cualquier posibilidad de ejercer sus propias competencias. Tanto </w:t>
      </w:r>
      <w:r>
        <w:lastRenderedPageBreak/>
        <w:t>esta disposición como la anterior pretenden la total regulación de la materia, excediendo lo contemplado en el Real Decreto habilitante y sin un reconocimiento claro del alcance de la competencia autonómica en este campo.</w:t>
      </w:r>
    </w:p>
    <w:p w:rsidR="0026452D" w:rsidRDefault="0026452D" w:rsidP="0026452D">
      <w:pPr>
        <w:pStyle w:val="TextoNormal"/>
      </w:pPr>
    </w:p>
    <w:p w:rsidR="0026452D" w:rsidRDefault="0026452D" w:rsidP="0026452D">
      <w:pPr>
        <w:pStyle w:val="TextoNormal"/>
      </w:pPr>
      <w:r>
        <w:t>c) El apartado 16.2, último párrafo, de la Orden TAS 2783/2004, concreta de forma vinculante los criterios que ha de tener en cuenta la Comunidad Autónoma para determinar la cuantía de la subvención. También por este motivo resultarían inconstitucionales el apartado 15 de la Orden TAS/2783/2004 y el apartado 10 de la Orden TAS/2782/2004, en cuanto no limitan su contenido al ámbito de la Administración General del Estado, sino que contiene una regulación vinculante para las Comunidades Autónomas, con clara usurpación de sus competencias de gestión y ejecución.</w:t>
      </w:r>
    </w:p>
    <w:p w:rsidR="0026452D" w:rsidRDefault="0026452D" w:rsidP="0026452D">
      <w:pPr>
        <w:pStyle w:val="TextoNormal"/>
      </w:pPr>
    </w:p>
    <w:p w:rsidR="0026452D" w:rsidRDefault="0026452D" w:rsidP="0026452D">
      <w:pPr>
        <w:pStyle w:val="TextoNormal"/>
      </w:pPr>
      <w:r>
        <w:t>d) En relación con el apartado 24.2 de la Orden TAS/2783/2004, se considera que vulneran las competencias ejecutivas de la Comunidad Autónoma, las funciones que en el mismo se atribuyen a la Fundación Estatal para la Formación en el Empleo.</w:t>
      </w:r>
    </w:p>
    <w:p w:rsidR="0026452D" w:rsidRDefault="0026452D" w:rsidP="0026452D">
      <w:pPr>
        <w:pStyle w:val="TextoNormal"/>
      </w:pPr>
    </w:p>
    <w:p w:rsidR="0026452D" w:rsidRDefault="0026452D" w:rsidP="0026452D">
      <w:pPr>
        <w:pStyle w:val="TextoNormal"/>
      </w:pPr>
      <w:r>
        <w:t>e) El apartado 28 de la Orden TAS/2783/2004 y el apartado 19 de la Orden TAS/2782/2004 establecen que el seguimiento y control de la formación continua y de las acciones complementarias se realizarán por los órganos a que se refiere el art. 23.2 del Real Decreto 1046/2003, precepto que prescribe que la formación queda sujeta, entre otros, al control financiero que realice la intervención general de la Administración del Estado. Considera la representación autonómica que, de conformidad con la STC 230/2003, el control financiero que a esta última corresponde solo alcanza a las subvenciones que corresponda controlar al Estado, y, en consecuencia, no puede extenderse a los fondos cuya gestión corresponde a las Comunidades Autónomas, como se deduce de los mencionados apartados.</w:t>
      </w:r>
    </w:p>
    <w:p w:rsidR="0026452D" w:rsidRDefault="0026452D" w:rsidP="0026452D">
      <w:pPr>
        <w:pStyle w:val="TextoNormal"/>
      </w:pPr>
    </w:p>
    <w:p w:rsidR="0026452D" w:rsidRDefault="0026452D" w:rsidP="0026452D">
      <w:pPr>
        <w:pStyle w:val="TextoNormal"/>
      </w:pPr>
      <w:r w:rsidRPr="0026452D">
        <w:rPr>
          <w:rStyle w:val="NumeroAFNegritaCaracter"/>
        </w:rPr>
        <w:t>2</w:t>
      </w:r>
      <w:r>
        <w:t>. Este Tribunal, mediante providencia de la Sección Primera de 2 de febrero de 2005, admitió a trámite el conflicto positivo de competencia promovido por la Generalitat Valenciana, acordando dar traslado de las actuaciones al Gobierno de la Nación, por conducto de su Presidente, al objeto de que en el plazo de veinte días, y por medio de la representación procesal que señala el art. 82.2 de la Ley Orgánica del Tribunal Constitucional (LOTC) pudiera personarse en los autos y aportar cuantos documentos y alegaciones considerase convenientes. Se acordó asimismo comunicar la incoación del conflicto a la Sala de lo Contencioso-Administrativo de la Audiencia Nacional por si ante la misma estuviera impugnado o se impugnaran las referidas órdenes, en cuyo caso se suspendería el curso del proceso hasta la decisión del conflicto, así como publicar la incoación del conflicto en el “Boletín Oficial del Estado” y en el “Diari Oficial de la Generalitat Valenciana”.</w:t>
      </w:r>
    </w:p>
    <w:p w:rsidR="0026452D" w:rsidRDefault="0026452D" w:rsidP="0026452D">
      <w:pPr>
        <w:pStyle w:val="TextoNormal"/>
      </w:pPr>
    </w:p>
    <w:p w:rsidR="0026452D" w:rsidRDefault="0026452D" w:rsidP="0026452D">
      <w:pPr>
        <w:pStyle w:val="TextoNormal"/>
      </w:pPr>
      <w:r w:rsidRPr="0026452D">
        <w:rPr>
          <w:rStyle w:val="NumeroAFNegritaCaracter"/>
        </w:rPr>
        <w:t>3</w:t>
      </w:r>
      <w:r>
        <w:t>. El 9 de marzo de 2005 tuvo entrada en este Tribunal escrito de alegaciones del Abogado del Estado en el que solicita se tenga por evacuado el trámite conferido y, en su día, se dicte Sentencia desestimatoria de la demanda, declarando la titularidad estatal de las competencias controvertidas.</w:t>
      </w:r>
    </w:p>
    <w:p w:rsidR="0026452D" w:rsidRDefault="0026452D" w:rsidP="0026452D">
      <w:pPr>
        <w:pStyle w:val="TextoNormal"/>
      </w:pPr>
    </w:p>
    <w:p w:rsidR="0026452D" w:rsidRDefault="0026452D" w:rsidP="0026452D">
      <w:pPr>
        <w:pStyle w:val="TextoNormal"/>
      </w:pPr>
      <w:r>
        <w:t xml:space="preserve">A juicio del Abogado del Estado, las órdenes en conflicto reconocen las funciones ejecutivas que corresponden a las Comunidades Autónomas en virtud de su competencia de ejecución de la legislación del Estado en materia de legislación laboral, para desarrollar el régimen jurídico de la formación continua establecido en el Real Decreto 1046/2003, de 1 de agosto, en lo relativo a los “contratos programa para la formación de trabajadores” y en </w:t>
      </w:r>
      <w:r>
        <w:lastRenderedPageBreak/>
        <w:t>lo relativo a las “acciones complementarias y de acompañamiento de la formación”, cuya característica esencial es que su gestión no pivota sobre los poderes públicos, sino sobre las organizaciones empresariales y sindicales, cooperativas y sociedades anónimas laborales.</w:t>
      </w:r>
    </w:p>
    <w:p w:rsidR="0026452D" w:rsidRDefault="0026452D" w:rsidP="0026452D">
      <w:pPr>
        <w:pStyle w:val="TextoNormal"/>
      </w:pPr>
    </w:p>
    <w:p w:rsidR="0026452D" w:rsidRDefault="0026452D" w:rsidP="0026452D">
      <w:pPr>
        <w:pStyle w:val="TextoNormal"/>
      </w:pPr>
      <w:r>
        <w:t>Considera la Abogacía del Estado que la competencia estatal se asienta tanto en el art. 149.1.1 CE, en relación con los arts. 40.1 y 138.1 CE, como en el art. 149.1.7 y 13 CE. Si bien afirma a continuación que la disposición en conflicto debe ser constitucionalmente medida con las normas constitucionales y estatutarias en materia laboral (art. 149.1.7 CE y art. 33.1 EACV), recordando que el Tribunal Constitucional en sus Sentencias 95/2002 y 190/2002, a la hora de establecer el título competencial con el que debería identificarse la formación continua de los trabajadores ocupados optó por incardinarla en la materia laboral, al constituir un derecho concreto de los trabajadores en el seno de la relación laboral, de suerte que el precepto constitucional que ampara la competencia para legislar sobre la actividad es el art. 149.1.7 CE.</w:t>
      </w:r>
    </w:p>
    <w:p w:rsidR="0026452D" w:rsidRDefault="0026452D" w:rsidP="0026452D">
      <w:pPr>
        <w:pStyle w:val="TextoNormal"/>
      </w:pPr>
    </w:p>
    <w:p w:rsidR="0026452D" w:rsidRDefault="0026452D" w:rsidP="0026452D">
      <w:pPr>
        <w:pStyle w:val="TextoNormal"/>
      </w:pPr>
      <w:r>
        <w:t>El contenido de las órdenes en conflicto constituye un supuesto de potestad subvencional en materia laboral, al que resulta de aplicación la doctrina constitucional recapitulada en la STC 13/1992, siendo de aplicación el tercero de los supuestos contemplados en el fundamento jurídico 8 de aquella resolución. Sobre estas premisas, la competencia estatal para establecer las bases reguladoras para la concesión de subvenciones públicas mediante contratos programa para la formación de trabajadores y para la realización de acciones complementarias y de acompañamiento a la formación resulta correcta y oportunamente ejercitada en orden a asegurar la plena efectividad de la medida de política de empleo y garantizar las mismas posibilidades de obtención y disfrute de las ayudas por parte de sus destinatarios potenciales en todo el territorio nacional.</w:t>
      </w:r>
    </w:p>
    <w:p w:rsidR="0026452D" w:rsidRDefault="0026452D" w:rsidP="0026452D">
      <w:pPr>
        <w:pStyle w:val="TextoNormal"/>
      </w:pPr>
    </w:p>
    <w:p w:rsidR="0026452D" w:rsidRDefault="0026452D" w:rsidP="0026452D">
      <w:pPr>
        <w:pStyle w:val="TextoNormal"/>
      </w:pPr>
      <w:r>
        <w:t>En relación a las concretas tachas de inconstitucionalidad esgrimidas en la demanda, considera el Abogado del Estado que el verdadero significado de lo que constituye un plan de formación no es la mera suma de cursos que físicamente se imparten en un territorio circunscrito a una determinada Comunidad Autónoma, sino una unidad de formación homogénea, diseñada de forma unitaria respondiendo a unas necesidades muy determinadas, lo que pone de relieve la evidente conexión entre la negociación colectiva plasmada en los diferentes convenios colectivos sectoriales y la formación continua. Tales convenios se encargan de regular aspectos relativos a la formación continua, tomando para ello en consideración las necesidades y peculiaridades del sector de que se trate, necesidades que, por diversas razones, adquieren una dimensión que solo puede ser correctamente atendida a través de la negociación colectiva estatal, cuyo previo acuerdo a la suscripción de estos contratos programa facilitará que aquéllas se vean satisfechas pese a tratarse de un plan circunscrito a una determinada Comunidad Autónoma o de una suma de planes de ámbito autonómico. Por ello las exigencias previstas en el apartado 2.1 b) de la Orden TAS/2783/2004 han sido establecidas por el Estado en ejercicio de su competencia exclusiva sobre legislación laboral, tratando de trasladar las peculiaridades y necesidades entendidas como propias de un sector determinado, a todos los planes de formación sectoriales de carácter autonómico diseñados por las organizaciones empresariales y sindicales más representativas a dicho nivel. En todo caso, carece de sentido imputar al Estado una invasión de competencias ejecutivas cuando ni siquiera interviene en la negociación colectiva estatal, siendo a los agentes sociales a quienes incumbe participar en dicha negociación.</w:t>
      </w:r>
    </w:p>
    <w:p w:rsidR="0026452D" w:rsidRDefault="0026452D" w:rsidP="0026452D">
      <w:pPr>
        <w:pStyle w:val="TextoNormal"/>
      </w:pPr>
    </w:p>
    <w:p w:rsidR="0026452D" w:rsidRDefault="0026452D" w:rsidP="0026452D">
      <w:pPr>
        <w:pStyle w:val="TextoNormal"/>
      </w:pPr>
      <w:r>
        <w:lastRenderedPageBreak/>
        <w:t>En lo que respecta a los apartados 10 de la Orden TAS/2782/2004 y 15 y 16 de la Orden TAS/2783/2004, se señala que los mismos tienen un contenido normativo que no es sino resultado del legítimo ejercicio por el Estado de su competencia sobre legislación laboral; la mención expresa que se hace al establecimiento por la respectiva Comunidad Autónoma de la metodología para determinar la cuantía de la subvención, así como la atribución al órgano de instrucción competente de la valoración misma de los planes de formación y la de los proyectos de acciones complementarias y de acompañamiento a la formación, al que también corresponden la metodología a emplear en dichas valoraciones y la ponderación de cada uno de los criterios de valoración, ponen de manifiesto el absoluto respeto del legislador estatal hacia las competencias de gestión y ejecutivas autonómicas, que no sufren menoscabo alguno.</w:t>
      </w:r>
    </w:p>
    <w:p w:rsidR="0026452D" w:rsidRDefault="0026452D" w:rsidP="0026452D">
      <w:pPr>
        <w:pStyle w:val="TextoNormal"/>
      </w:pPr>
    </w:p>
    <w:p w:rsidR="0026452D" w:rsidRDefault="0026452D" w:rsidP="0026452D">
      <w:pPr>
        <w:pStyle w:val="TextoNormal"/>
      </w:pPr>
      <w:r>
        <w:t>En relación con lo previsto en el apartado 24.2 de la Orden TAS/2783/2004 se señala que las funciones de evaluación que se atribuyen a la Fundación Estatal para la Formación en el Empleo, se realizarán sin perjuicio de las que realicen las Administraciones competentes, por lo que no se produce una vulneración de las competencias autonómicas, dado que la evaluación a realizar por la citada Fundación abarca todo el territorio nacional, por lo que no se puede llevar cabo por ninguna Comunidad Autónoma.</w:t>
      </w:r>
    </w:p>
    <w:p w:rsidR="0026452D" w:rsidRDefault="0026452D" w:rsidP="0026452D">
      <w:pPr>
        <w:pStyle w:val="TextoNormal"/>
      </w:pPr>
    </w:p>
    <w:p w:rsidR="0026452D" w:rsidRDefault="0026452D" w:rsidP="0026452D">
      <w:pPr>
        <w:pStyle w:val="TextoNormal"/>
      </w:pPr>
      <w:r>
        <w:t>En relación con el apartado 28 de la Orden TAS/2783/2004, se afirma que el control que el apartado reconoce a la Intervención General del Estado ha de hacerse de acuerdo con lo establecido en el texto refundido de la Ley general presupuestaria, lo que implica que afecta únicamente a los aspectos relativos a la gestión estatal de los fondos, de acuerdo con el art. 140.2 de dicha Ley. Asimismo se recuerda que, conforme al art. 45 de la Ley general de subvenciones, en las ayudas financiadas total o parcialmente con cargo a fondos comunitarios, como así ocurre en las subvenciones de formación continua, la Intervención General de la Administración del Estado será el órgano competente para establecer, de acuerdo con la normativa comunitaria y nacional vigente, la necesaria coordinación de controles.</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27 de septiembre de 2005, la Sección Primera acuerda, de conformidad con lo dispuesto en el art. 84 LOTC, oír a las partes personadas por término de diez días, para que aleguen sobre la pérdida de objeto del presente conflicto positivo de competencia a la vista de las órdenes TAS/2094/2005, de 17 de junio, y TAS/2562/2005, de 28 de julio, por las que se modifica la Orden TAS/2783/2004, de 30 de julio, de la que trae causa el presente conflicto.</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En fecha 14 de octubre de 2005 tuvo entrada en este Tribunal el escrito de alegaciones evacuado por el Letrado de la Generalitat Valenciana, de acuerdo con la anterior providencia, en el que se señala que, en relación con la Orden TAS/2782/2004 pervive el conflicto en su integridad, dado que no ha sido objeto de modificación alguna por las citadas órdenes. Y en relación con la Orden TAS/2783/2004 señala que las modificaciones introducidas no han producido una pérdida sobrevenida del objeto del conflicto, pues la modificación del apartado 2.1 b) sigue manteniendo una restricción en relación con la posibilidad de que las Comunidades Autónomas puedan suscribir contratos programa para la ejecución de planes de formación continua sectoriales, supeditándolos a que estén amparados en la negociación colectiva sectorial de ámbito estatal, impidiendo de este modo la participación de la Comunidad Autónoma en la suscripción de los referidos a sectores productivos de su territorio, por no estar contemplados en la negociación colectiva estatal. Respecto de los apartados </w:t>
      </w:r>
      <w:r>
        <w:lastRenderedPageBreak/>
        <w:t>24.2 y 28.1 de la Orden TAS 2783/2004, la representación autonómica se limita a reiterar los argumentos en su momento esgrimidos para la impugnación de los mismos.</w:t>
      </w:r>
    </w:p>
    <w:p w:rsidR="0026452D" w:rsidRDefault="0026452D" w:rsidP="0026452D">
      <w:pPr>
        <w:pStyle w:val="TextoNormal"/>
      </w:pPr>
    </w:p>
    <w:p w:rsidR="0026452D" w:rsidRDefault="0026452D" w:rsidP="0026452D">
      <w:pPr>
        <w:pStyle w:val="TextoNormal"/>
      </w:pPr>
      <w:r w:rsidRPr="0026452D">
        <w:rPr>
          <w:rStyle w:val="NumeroAFNegritaCaracter"/>
        </w:rPr>
        <w:t>6</w:t>
      </w:r>
      <w:r>
        <w:t>. En fecha 17 de octubre de 2005 tuvo entrada el escrito de alegaciones del Abogado del Estado, en el que se señala que las modificaciones introducidas en la Orden TAS/2783/2004, por las órdenes TAS/2094/2005 y TAS/2562/2005, no inciden en los términos en que fue planteado el conflicto competencial por la Generalitat Valenciana, por lo que estima conveniente mantener el conflicto, salvo en lo que respecta al apartado 2.1 b) de la Orden TAS/2783/2004, pues, una vez que la Orden TAS/2562/2005 ha eliminado el requisito relativo al previo acuerdo de la negociación colectiva sectorial estatal, ha desaparecido la disputa competencial. Considera asimismo que procede el mantenimiento del conflicto planteado contra la Orden TAS/2782/2004, dado que la misma no ha sido modificada por las Órdenes TAS 2094/2005 y 2562/2005.</w:t>
      </w:r>
    </w:p>
    <w:p w:rsidR="0026452D" w:rsidRDefault="0026452D" w:rsidP="0026452D">
      <w:pPr>
        <w:pStyle w:val="TextoNormal"/>
      </w:pPr>
    </w:p>
    <w:p w:rsidR="0026452D" w:rsidRDefault="0026452D" w:rsidP="0026452D">
      <w:pPr>
        <w:pStyle w:val="TextoNormal"/>
      </w:pPr>
      <w:r w:rsidRPr="0026452D">
        <w:rPr>
          <w:rStyle w:val="NumeroAFNegritaCaracter"/>
        </w:rPr>
        <w:t>7</w:t>
      </w:r>
      <w:r>
        <w:t>. Por providencia de 12 de marzo de 2013 se acordó señalar para deliberación y votación de la presente Sentencia el día 14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 planteado por el Consejo de Gobierno de la Generalitat Valenciana, en relación con diversos preceptos de la Orden TAS/2782/2004, de 30 de julio, por la que se establecen las bases reguladoras para la concesión de subvenciones públicas destinadas a la realización de acciones complementarias y de acompañamiento a la formación, en desarrollo del Real Decreto 1046/2003, de 1 de agosto, por el que se regula el subsistema de formación profesional continua; y contra la Orden TAS/2783/2004, de 30 de julio, por la que se establecen las bases reguladoras para la concesión de subvenciones públicas, mediante contratos programa para la formación de trabajadores, en desarrollo del Real Decreto 1046/2003, de 1 de agosto, por el que se regula el subsistema de formación profesional continua.</w:t>
      </w:r>
    </w:p>
    <w:p w:rsidR="0026452D" w:rsidRDefault="0026452D" w:rsidP="0026452D">
      <w:pPr>
        <w:pStyle w:val="TextoNormal"/>
      </w:pPr>
    </w:p>
    <w:p w:rsidR="0026452D" w:rsidRDefault="0026452D" w:rsidP="0026452D">
      <w:pPr>
        <w:pStyle w:val="TextoNormal"/>
      </w:pPr>
      <w:r>
        <w:t>El Letrado de la Comunidad Valenciana fundamenta el conflicto contra las dos órdenes, en la vulneración de las competencias autonómicas de ejecución de la legislación laboral contempladas en el art. 33.1 del Estatuto de Autonomía de la Comunidad Valenciana (EACV), considerando que ambas disposiciones han excedido la habilitación normativa contenida en el Real Decreto 1046/2003, de 1 de agosto, en cuanto, más allá de regular las acciones de formación que se desenvuelven en el ámbito estatal, se adentran en la regulación de aquéllas que se desarrollan en el ámbito territorial exclusivo de una Comunidad Autónoma, prescindiendo de las competencias de ejecución y gestión que corresponden a las Comunidades Autónomas.</w:t>
      </w:r>
    </w:p>
    <w:p w:rsidR="0026452D" w:rsidRDefault="0026452D" w:rsidP="0026452D">
      <w:pPr>
        <w:pStyle w:val="TextoNormal"/>
      </w:pPr>
    </w:p>
    <w:p w:rsidR="0026452D" w:rsidRDefault="0026452D" w:rsidP="0026452D">
      <w:pPr>
        <w:pStyle w:val="TextoNormal"/>
      </w:pPr>
      <w:r>
        <w:t>El Abogado del Estado sostiene que la regulación impugnada encuentra respaldo en las competencias atribuidas al Estado en el art. 149.1.1 CE en relación con los arts. 40 y 138 CE, así como en el art. 149.1.7 y 13 CE, siendo en especial la competencia estatal en materia de legislación laboral, contemplada en el art. 149.1.7 CE, la que habilita al Estado para establecer un régimen jurídico unitario en materia de formación continua, que justifica y ampara la regulación efectuada en aquellos apartados de las órdenes que son objeto del presente conflicto.</w:t>
      </w:r>
    </w:p>
    <w:p w:rsidR="0026452D" w:rsidRDefault="0026452D" w:rsidP="0026452D">
      <w:pPr>
        <w:pStyle w:val="TextoNormal"/>
      </w:pPr>
    </w:p>
    <w:p w:rsidR="0026452D" w:rsidRDefault="0026452D" w:rsidP="0026452D">
      <w:pPr>
        <w:pStyle w:val="TextoNormal"/>
      </w:pPr>
      <w:r w:rsidRPr="0026452D">
        <w:rPr>
          <w:rStyle w:val="NumeroAFNegritaCaracter"/>
        </w:rPr>
        <w:t>2</w:t>
      </w:r>
      <w:r>
        <w:t>. Una vez expuestas sintéticamente las posiciones de las partes que se enfrentan en este proceso, resulta conveniente realizar algunas precisiones de orden procesal, antes de proceder al examen de la cuestión de fondo.</w:t>
      </w:r>
    </w:p>
    <w:p w:rsidR="0026452D" w:rsidRDefault="0026452D" w:rsidP="0026452D">
      <w:pPr>
        <w:pStyle w:val="TextoNormal"/>
      </w:pPr>
    </w:p>
    <w:p w:rsidR="0026452D" w:rsidRDefault="0026452D" w:rsidP="0026452D">
      <w:pPr>
        <w:pStyle w:val="TextoNormal"/>
      </w:pPr>
      <w:r>
        <w:t>a) En primer término debe señalarse que en la resolución de la presente controversia competencial habrá de tenerse en cuenta la doctrina de este Tribunal contenida en la STC 244/2012, de 18 de diciembre, que vino a resolver el conflicto positivo de competencia formulado en relación con el Real Decreto 1046/2003, de 1 de agosto, del que las presentes órdenes se configuran como normas de desarrollo, así como el pronunciamiento efectuado en la STC 37/2013, de 14 de febrero, en relación con el conflicto positivo de competencias formulado contra la Orden TAS/2783/2004, de 30 de julio, objeto igualmente del presente conflicto.</w:t>
      </w:r>
    </w:p>
    <w:p w:rsidR="0026452D" w:rsidRDefault="0026452D" w:rsidP="0026452D">
      <w:pPr>
        <w:pStyle w:val="TextoNormal"/>
      </w:pPr>
    </w:p>
    <w:p w:rsidR="0026452D" w:rsidRDefault="0026452D" w:rsidP="0026452D">
      <w:pPr>
        <w:pStyle w:val="TextoNormal"/>
      </w:pPr>
      <w:r>
        <w:t>b) En segundo lugar, es preciso determinar la vigencia de la controversia competencial en los términos en que ha sido planteada, a la vista de las modificaciones operadas en las órdenes que son objeto del presente conflicto. La cuestión ha de ser examinada a la luz de lo que este Tribunal ha afirmado reiteradamente, en relación con los procesos de naturaleza competencial, pues hemos dicho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149/2012, de 5 de julio, FJ 2 b)]. De modo que si la normativa en torno a la cual se trabó el conflicto resulta parcialmente modificada por otra que viene a plantear los mismos problemas competenciales la consecuencia será la no desaparición del objeto del conflicto (por todas, STC 133/2012, de 19 de junio, FJ 2).</w:t>
      </w:r>
    </w:p>
    <w:p w:rsidR="0026452D" w:rsidRDefault="0026452D" w:rsidP="0026452D">
      <w:pPr>
        <w:pStyle w:val="TextoNormal"/>
      </w:pPr>
    </w:p>
    <w:p w:rsidR="0026452D" w:rsidRDefault="0026452D" w:rsidP="0026452D">
      <w:pPr>
        <w:pStyle w:val="TextoNormal"/>
      </w:pPr>
      <w:r>
        <w:t>La Orden TAS/2782/2004 fue modificada por la Orden TAS/2124/2005, de 17 de junio, sin que esta modificación haya sido sometida a la consideración de las partes. La reforma afecta, entre otros, al apartado 19, impugnado en este conflicto, y se concreta en la introducción de una expresa cláusula de salvaguarda, conforme a la cual las acciones complementarias y de acompañamiento de la formación estarán sujetas al control que realicen los órganos a que se refiere el art. 23.2, último párrafo, del Real Decreto 1046/2003, de 1 de agosto, “que en cada caso proceda”. La impugnación dirigida contra este apartado se venía a fundamentar por la Comunidad Autónoma en que la función de control financiero que el art. 23.2 del Real Decreto atribuye a la Intervención General de la Administración del Estado vulnera las competencias autonómicas en cuanto se extiende a las subvenciones cuya gestión corresponde a las Comunidades Autónomas.</w:t>
      </w:r>
    </w:p>
    <w:p w:rsidR="0026452D" w:rsidRDefault="0026452D" w:rsidP="0026452D">
      <w:pPr>
        <w:pStyle w:val="TextoNormal"/>
      </w:pPr>
    </w:p>
    <w:p w:rsidR="0026452D" w:rsidRDefault="0026452D" w:rsidP="0026452D">
      <w:pPr>
        <w:pStyle w:val="TextoNormal"/>
      </w:pPr>
      <w:r>
        <w:t>La introducción de una cláusula expresa de sometimiento de dicho control a los supuestos en que el mismo resulte procedente (unido al hecho de que el propio art. 23.2 del Real Decreto afirma que dicho control se efectúa “de acuerdo con lo establecido en el Texto Refundido de la Ley General Presupuestaria”), permite descartar cualquier duda acerca de que las funciones de control financiero atribuidas a la Intervención General de la Adminis</w:t>
      </w:r>
      <w:r>
        <w:lastRenderedPageBreak/>
        <w:t>tración del Estado habrán de ser ejercidas cuando resulten procedentes en virtud de lo dispuesto en su legislación reguladora y, por tanto, excluye que por esta vía vaya a producirse una ampliación indebida de tales funciones ni, en consecuencia, un menoscabo o interferencia de las competencias que corresponden a la Comunidad Autónoma. En este caso, pues, la ponderación que exige la valoración sobre la pérdida de objeto del proceso lleva a considerar que el cambio normativo efectuado avala la conclusión de que ha de estimarse producida la desaparición sobrevenida del conflicto formulado contra el apartado 19 de la Orden TAS/2782/2004.</w:t>
      </w:r>
    </w:p>
    <w:p w:rsidR="0026452D" w:rsidRDefault="0026452D" w:rsidP="0026452D">
      <w:pPr>
        <w:pStyle w:val="TextoNormal"/>
      </w:pPr>
    </w:p>
    <w:p w:rsidR="0026452D" w:rsidRDefault="0026452D" w:rsidP="0026452D">
      <w:pPr>
        <w:pStyle w:val="TextoNormal"/>
      </w:pPr>
      <w:r>
        <w:t>Asimismo hay que tener en cuenta que, tras la derogación del Real Decreto 1046/2003, de 1 de agosto, por el Real Decreto 395/2007, de 23 de marzo, por el que se regula el subsistema de formación profesional para el empleo, se dictó en desarrollo de este Real Decreto la Orden TIN/2805/2008, de 26 de septiembre, en materia de acciones de apoyo y acompañamiento a la formación y por la que se establecen las bases reguladoras para la concesión de subvenciones públicas destinadas a su financiación, orden que viene a sustituir a la regulación contenida en la Orden TAS/2782/2004. No obstante, el examen de la Orden TIN/2805/2008 evidencia que la misma plantea en esencia los mismos problemas competenciales que motivan el conflicto promovido contra la Orden TAS/2782/2004, por lo que, conforme a nuestra doctrina, la sustitución de esta orden ministerial por la Orden TIN/2805/2008 no determina la desaparición del objeto del presente proceso constitucional, que queda ceñido así, en lo que se refiere a la Orden TAS/2782/2004, al conflicto suscitado en relación con sus apartados 3 y 10.</w:t>
      </w:r>
    </w:p>
    <w:p w:rsidR="0026452D" w:rsidRDefault="0026452D" w:rsidP="0026452D">
      <w:pPr>
        <w:pStyle w:val="TextoNormal"/>
      </w:pPr>
    </w:p>
    <w:p w:rsidR="0026452D" w:rsidRDefault="0026452D" w:rsidP="0026452D">
      <w:pPr>
        <w:pStyle w:val="TextoNormal"/>
      </w:pPr>
      <w:r>
        <w:t>En relación con las modificaciones introducidas en la Orden TAS/2783/2004 por las Órdenes TAS/2094/2005, de 17 de junio y TAS/2562/2005, de 28 de julio, y según resulta del examen de los antecedentes, ambas partes han considerado, en el trámite del art. 84 de la Ley Orgánica del Tribunal Constitucional, que la primera de estas disposiciones no afecta a la pervivencia del debate competencial planteado; respecto de la segunda, la representación autonómica mantiene en sus propios términos la reivindicación competencial, y el Abogado del Estado considera producida la desaparición del objeto del conflicto dirigido contra el apartado 2.1 b) de la Orden TAS/2783/2004. A la vista de la anterior discrepancia, y tomando en consideración la previa existencia de un pronunciamiento específico de este Tribunal sobre la desaparición sobrevenida del objeto del conflicto en este punto (STC 37/2013, FJ 3), hemos de considerar trasladables al presente supuesto las consideraciones efectuadas en la STC 47/2008, de 11 de marzo, FJ 2, en el sentido de que, en orden a la subsistencia de la controversia, “no constituye impedimento alguno … el dato de que la parte actora, habiendo sido expresamente requerida para ello, no haya apreciado tal desaparición del objeto, pues es evidente que la valoración acerca de la concurrencia de tal circunstancia no depende del criterio que manifiesten las partes sino de la decisión que al respecto … adopte este Tribunal Constitucional”.</w:t>
      </w:r>
    </w:p>
    <w:p w:rsidR="0026452D" w:rsidRDefault="0026452D" w:rsidP="0026452D">
      <w:pPr>
        <w:pStyle w:val="TextoNormal"/>
      </w:pPr>
    </w:p>
    <w:p w:rsidR="0026452D" w:rsidRDefault="0026452D" w:rsidP="0026452D">
      <w:pPr>
        <w:pStyle w:val="TextoNormal"/>
      </w:pPr>
      <w:r>
        <w:t xml:space="preserve">La Orden TAS/2562/2005, en su artículo único, modifica el apartado 2.1 b) de la Orden TAS/2783/2004; dicho apartado, en su redacción inicial, condicionaba la suscripción, en el ámbito autonómico, de contratos programa para la ejecución de planes de formación continua sectoriales, a que se contase con el previo acuerdo de la negociación colectiva sectorial estatal y a la concurrencia de alguno de los siguientes supuestos: “el sector tenga en el respectivo territorio un peso preponderante respecto del que tiene a nivel estatal”, o “la formación se presente como instrumento para la solución o cobertura de problemas o necesidades </w:t>
      </w:r>
      <w:r>
        <w:lastRenderedPageBreak/>
        <w:t>excepcionales y de crisis de un determinado sector”. La modificación introducida viene a eliminar la exigencia de contar necesariamente con el previo acuerdo de la negociación colectiva sectorial estatal y suprime la referencia a los dos supuestos que, adicionalmente, habían de concurrir.</w:t>
      </w:r>
    </w:p>
    <w:p w:rsidR="0026452D" w:rsidRDefault="0026452D" w:rsidP="0026452D">
      <w:pPr>
        <w:pStyle w:val="TextoNormal"/>
      </w:pPr>
    </w:p>
    <w:p w:rsidR="0026452D" w:rsidRDefault="0026452D" w:rsidP="0026452D">
      <w:pPr>
        <w:pStyle w:val="TextoNormal"/>
      </w:pPr>
      <w:r>
        <w:t>Este Tribunal ha tenido ocasión de pronunciarse específicamente sobre el alcance de dicha modificación en la citada STC 37/2013, FJ 3, en la que se consideró que la misma determinaba la desaparición del conflicto respecto del apartado 2.1 b) de la Orden TAS/2783/2004, señalando que “la modificación introducida viene a eliminar la exigencia de que haya de contarse necesariamente con el acuerdo de la negociación colectiva sectorial estatal y suprime la referencia a los dos supuestos que, adicionalmente, habían de concurrir. En la nueva redacción dada al precepto, el respeto a la negociación colectiva sectorial estatal, en los ámbitos estatal y autonómico, se acota a ‘lo previsto en el art. 19.2 c) del Real Decreto 1046/2003, de 1 de agosto, por el que se regula el subsistema de formación profesional continua’. El mencionado artículo atribuye a las comisiones paritarias sectoriales, integradas por las organizaciones empresariales y sindicales más representativas en el sector, la función de ‘establecer los criterios orientativos para el acceso de los trabajadores a la formación’; y la constitucionalidad de este precepto fue expresamente reconocida por la STC 244/2012, de 18 de diciembre, FJ 8, en donde se vino a afirmar que la función atribuida por este precepto a las Comisiones paritarias sectoriales no suscita objeciones en cuanto ‘se contraen al establecimiento o propuesta de criterios orientativos … que no afectan al ámbito propio de la ejecución del subsistema de formación continua’.” (STC 37/2013, FJ 3). Por las razones expuestas, se acordó entonces, y procede también ahora, declarar la desaparición del objeto del conflicto en relación con el apartado 2.1 b) de la Orden TAS/2783/2004.</w:t>
      </w:r>
    </w:p>
    <w:p w:rsidR="0026452D" w:rsidRDefault="0026452D" w:rsidP="0026452D">
      <w:pPr>
        <w:pStyle w:val="TextoNormal"/>
      </w:pPr>
    </w:p>
    <w:p w:rsidR="0026452D" w:rsidRDefault="0026452D" w:rsidP="0026452D">
      <w:pPr>
        <w:pStyle w:val="TextoNormal"/>
      </w:pPr>
      <w:r>
        <w:t>En lo que respecta a las modificaciones introducidas por la Orden TAS/2094/2005, si bien en la STC 37/2013, FJ 3, se descartó su incidencia en el conflicto planteado, en cuanto “se refieren a aspectos o cuestiones ajenas a las que han dado lugar a esta controversia competencial”, en el presente supuesto debe llegarse a una solución distinta, habida cuenta de que la modificación afecta específicamente a uno de los apartados que son objeto de la presente impugnación. En concreto, el apartado 8 de la Orden TAS/2094/2005, de 17 de junio, modifica el apartado 28.1 de la Orden TAS/2783/2004, en relación con el alcance de las funciones de control que corresponden a la Intervención General de la Administración del Estado; dicha modificación es literalmente idéntica a la que acaba de analizarse en relación con la Orden TAS/2782/2004, por lo que procede hacer extensivos los argumentos señalados y, en consecuencia, declarar la desaparición del objeto del conflicto en relación con dicho apartado.</w:t>
      </w:r>
    </w:p>
    <w:p w:rsidR="0026452D" w:rsidRDefault="0026452D" w:rsidP="0026452D">
      <w:pPr>
        <w:pStyle w:val="TextoNormal"/>
      </w:pPr>
    </w:p>
    <w:p w:rsidR="0026452D" w:rsidRDefault="0026452D" w:rsidP="0026452D">
      <w:pPr>
        <w:pStyle w:val="TextoNormal"/>
      </w:pPr>
      <w:r>
        <w:t>En resumen, el presente conflicto ha perdido su objeto en relación con el apartado 19 de la Orden TAS/2782/2004, y con los apartados 2.1 b) y 28.1 de la Orden TAS/2783/2004, subsistiendo en lo restante la controversia competencial suscitada, lo que significa que habremos de pronunciarnos sobre las impugnaciones que se plantean en el presente conflicto respecto de los apartados 3 y 10 de la Orden TAS/2782/2004, y respecto de los apartados 2 [excepto su inciso 1 b)], 15, 16.2, 24.2, y 28 (excepto su inciso 1) de la Orden TAS/2783/2004.</w:t>
      </w:r>
    </w:p>
    <w:p w:rsidR="0026452D" w:rsidRDefault="0026452D" w:rsidP="0026452D">
      <w:pPr>
        <w:pStyle w:val="TextoNormal"/>
      </w:pPr>
    </w:p>
    <w:p w:rsidR="0026452D" w:rsidRDefault="0026452D" w:rsidP="0026452D">
      <w:pPr>
        <w:pStyle w:val="TextoNormal"/>
      </w:pPr>
      <w:r>
        <w:t xml:space="preserve">c) Por último cabe señalar que, con posterioridad a la interposición del presente conflicto, se ha producido la reforma del Estatuto de Autonomía de la Comunidad Valenciana, llevada </w:t>
      </w:r>
      <w:r>
        <w:lastRenderedPageBreak/>
        <w:t xml:space="preserve">a cabo por la Ley Orgánica 1/2006, de 10 de abril, norma estatutaria que constituye parámetro de control del presente conflicto, en aplicación de nuestra doctrina sobre el </w:t>
      </w:r>
      <w:r w:rsidRPr="0026452D">
        <w:rPr>
          <w:i/>
        </w:rPr>
        <w:t>ius superveniens</w:t>
      </w:r>
      <w:r>
        <w:t>, conforme a la cual “el control de las normas que incurren en un posible exceso competencial debe hacerse de acuerdo a las normas del bloque de la constitucionalidad vigentes al momento de dictar Sentencia” (STC 1/2011, de 14 de febrero, FJ 2 y doctrina allí citada), lo que determina que el análisis de la presente controversia haya de hacerse a la luz de la delimitación competencial que deriva de la mencionada reforma del Estatuto de Autonomía.</w:t>
      </w:r>
    </w:p>
    <w:p w:rsidR="0026452D" w:rsidRDefault="0026452D" w:rsidP="0026452D">
      <w:pPr>
        <w:pStyle w:val="TextoNormal"/>
      </w:pPr>
    </w:p>
    <w:p w:rsidR="0026452D" w:rsidRDefault="0026452D" w:rsidP="0026452D">
      <w:pPr>
        <w:pStyle w:val="TextoNormal"/>
      </w:pPr>
      <w:r w:rsidRPr="0026452D">
        <w:rPr>
          <w:rStyle w:val="NumeroAFNegritaCaracter"/>
        </w:rPr>
        <w:t>3</w:t>
      </w:r>
      <w:r>
        <w:t>. Las órdenes que son objeto del presente conflicto se configuran como normas de desarrollo de los arts. 14 y 17 del Real Decreto 1046/2003, en los que se regulan las ayudas públicas mediante contratos programa para la formación de trabajadores (art. 14), y las subvenciones destinadas a acciones complementarias y de acompañamiento de la formación (art. 17).</w:t>
      </w:r>
    </w:p>
    <w:p w:rsidR="0026452D" w:rsidRDefault="0026452D" w:rsidP="0026452D">
      <w:pPr>
        <w:pStyle w:val="TextoNormal"/>
      </w:pPr>
    </w:p>
    <w:p w:rsidR="0026452D" w:rsidRDefault="0026452D" w:rsidP="0026452D">
      <w:pPr>
        <w:pStyle w:val="TextoNormal"/>
      </w:pPr>
      <w:r>
        <w:t>En la resolución de las controversias que se suscitan respecto a la regulación y aplicación de las ayudas y subvenciones que puedan establecerse en las distintas áreas o segmentos de la acción pública, hemos de partir de la distribución de competencias existente en la materia constitucional en la que proceda encuadrar las subvenciones de que se trate (por todas, STC 38/2012, de 26 de marzo, FJ 3), por ello, la resolución del presente conflicto exige comenzar por el encuadramiento competencial de las ayudas reguladas, a fin de determinar, si a la vista de las competencias del Estado y de la Comunidad Valenciana, se ha producido o no la vulneración competencial denunciada, tomando como parámetro sustantivo la doctrina constitucional, especialmente la recogida en la STC 13/1992, de 6 de febrero.</w:t>
      </w:r>
    </w:p>
    <w:p w:rsidR="0026452D" w:rsidRDefault="0026452D" w:rsidP="0026452D">
      <w:pPr>
        <w:pStyle w:val="TextoNormal"/>
      </w:pPr>
    </w:p>
    <w:p w:rsidR="0026452D" w:rsidRDefault="0026452D" w:rsidP="0026452D">
      <w:pPr>
        <w:pStyle w:val="TextoNormal"/>
      </w:pPr>
      <w:r>
        <w:t>Ambas partes coinciden en afirmar que el título competencial prevalente, en el que se incardinan las presentes ayudas, es el que deriva de lo dispuesto en el art. 149.1.7 CE, afirmación que resulta también coincidente con la recogida en el fundamento jurídico 4 de la STC 244/2012, donde afirmamos que “sin excluir que el Estado pueda apelar al título del art. 149.1.3 CE para la decisión de expandir el círculo de los beneficiarios de la actividad prevista como formación continua, hasta alcanzar a colectivos de trabajadores que no son propiamente trabajadores ocupados ni asalariados, el núcleo de la regulación, según la finalidad declarada por la norma, sigue siendo la formación profesional continua de trabajadores ocupados y asalariados, que tiene la consideración de ‘legislación laboral’ al amparo del art. 149.1.7 de la Constitución y cuya ejecución corresponde a las Comunidades Autónomas”.</w:t>
      </w:r>
    </w:p>
    <w:p w:rsidR="0026452D" w:rsidRDefault="0026452D" w:rsidP="0026452D">
      <w:pPr>
        <w:pStyle w:val="TextoNormal"/>
      </w:pPr>
    </w:p>
    <w:p w:rsidR="0026452D" w:rsidRDefault="0026452D" w:rsidP="0026452D">
      <w:pPr>
        <w:pStyle w:val="TextoNormal"/>
      </w:pPr>
      <w:r>
        <w:t>La delimitación de competencias en la materia deriva pues de lo dispuesto en el citado art. 149.1.7 CE, que atribuye al Estado competencia exclusiva en materia de legislación laboral sin perjuicio de su ejecución por los órganos de las Comunidades Autónomas, y en el art. 51.1.1 EACV, en el que se dispone que corresponde a la Generalitat la ejecución de la legislación del Estado en materia laboral, asumiendo las facultades, competencias y servicios que en este ámbito y a nivel de ejecución ostenta el Estado con respecto a las relaciones laborales, sin perjuicio de la alta inspección de éste y el fomento activo de la ocupación.</w:t>
      </w:r>
    </w:p>
    <w:p w:rsidR="0026452D" w:rsidRDefault="0026452D" w:rsidP="0026452D">
      <w:pPr>
        <w:pStyle w:val="TextoNormal"/>
      </w:pPr>
    </w:p>
    <w:p w:rsidR="0026452D" w:rsidRDefault="0026452D" w:rsidP="0026452D">
      <w:pPr>
        <w:pStyle w:val="TextoNormal"/>
      </w:pPr>
      <w:r>
        <w:t>Partiendo de lo anterior y en lo que respecta al examen de las disposiciones recurridas, resulta conveniente, por razones sistemáticas y de claridad expositiva, proceder a un análisis separado de las dos órdenes ministeriales que son objeto del presente conflicto.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4</w:t>
      </w:r>
      <w:r>
        <w:t>. La Orden TAS/2782/2004 tiene por objeto el desarrollo de lo dispuesto en los arts. 16 y 17 del Real Decreto 1046/2003, mediante el establecimiento de las bases reguladoras de la concesión de subvenciones públicas para la realización de las acciones complementarias y de acompañamiento a la formación.</w:t>
      </w:r>
    </w:p>
    <w:p w:rsidR="0026452D" w:rsidRDefault="0026452D" w:rsidP="0026452D">
      <w:pPr>
        <w:pStyle w:val="TextoNormal"/>
      </w:pPr>
    </w:p>
    <w:p w:rsidR="0026452D" w:rsidRDefault="0026452D" w:rsidP="0026452D">
      <w:pPr>
        <w:pStyle w:val="TextoNormal"/>
      </w:pPr>
      <w:r>
        <w:t>La Comunidad Autónoma dirige el conflicto contra los apartados 3 y 10 de la Orden TAS/2782/2004. En el apartado Tercero se establece la “tipología de las acciones”, esto es, los objetivos o características generales de las acciones formativas susceptibles de financiación (acciones de estudio o investigación; acciones destinadas a la elaboración, experimentación de productos, técnicas y/o herramientas de carácter innovador para mejorar los sistemas pedagógicos u organizativos de la formación profesional continua; acciones de evaluación y acciones de promoción y difusión). Y en el apartado décimo se determinan los criterios a tener en cuenta por el órgano de instrucción competente para la valoración técnica de los proyectos (adecuación del proyecto a las exigencia técnicas de los distintos tipos de acciones subvencionables; capacidad acreditada para desarrollar el proyecto presentado y presupuesto del proyecto) y se dispone que la selección de solicitudes se realizará teniendo en cuenta la puntuación obtenida tras la valoración técnica y económica del proyecto, según la ponderación que para cada uno de los criterios de valoración establezca la convocatoria.</w:t>
      </w:r>
    </w:p>
    <w:p w:rsidR="0026452D" w:rsidRDefault="0026452D" w:rsidP="0026452D">
      <w:pPr>
        <w:pStyle w:val="TextoNormal"/>
      </w:pPr>
    </w:p>
    <w:p w:rsidR="0026452D" w:rsidRDefault="0026452D" w:rsidP="0026452D">
      <w:pPr>
        <w:pStyle w:val="TextoNormal"/>
      </w:pPr>
      <w:r>
        <w:t>A juicio de la Generalitat Valenciana, ambos apartados, en cuanto no limitan su aplicación a las acciones complementarias y de acompañamiento que afecten a un ámbito territorial superior al de una Comunidad Autónoma, y contienen una regulación vinculante para las Comunidades Autónomas, vulneran sus competencias de ejecución, y exceden de las previsiones contenidas en el Real Decreto habilitante.</w:t>
      </w:r>
    </w:p>
    <w:p w:rsidR="0026452D" w:rsidRDefault="0026452D" w:rsidP="0026452D">
      <w:pPr>
        <w:pStyle w:val="TextoNormal"/>
      </w:pPr>
    </w:p>
    <w:p w:rsidR="0026452D" w:rsidRDefault="0026452D" w:rsidP="0026452D">
      <w:pPr>
        <w:pStyle w:val="TextoNormal"/>
      </w:pPr>
      <w:r>
        <w:t>Las ayudas previstas en estos preceptos se insertan en el ámbito de lo dispuesto en el fundamento jurídico 8 c) de la STC 13/1992, de 14 de febrero, en donde se contempla específicamente el supuesto de que el Estado tenga atribuida competencia sobre la legislación relativa a una materia, estando atribuida a la Comunidad Autónoma la competencia de ejecución. En estos casos, la gestión de los fondos corresponde a las Comunidades Autónomas de manera que, por regla general, no pueden consignarse a favor de un órgano de la Administración del Estado u organismo intermediario de éste, aunque el Estado puede extenderse “en la regulación de detalle respecto del destino, condiciones y tramitación de las subvenciones, dejando a salvo la potestad autonómica de autoorganización de los servicios”.</w:t>
      </w:r>
    </w:p>
    <w:p w:rsidR="0026452D" w:rsidRDefault="0026452D" w:rsidP="0026452D">
      <w:pPr>
        <w:pStyle w:val="TextoNormal"/>
      </w:pPr>
    </w:p>
    <w:p w:rsidR="0026452D" w:rsidRDefault="0026452D" w:rsidP="0026452D">
      <w:pPr>
        <w:pStyle w:val="TextoNormal"/>
      </w:pPr>
      <w:r>
        <w:t>De conformidad con la citada doctrina, las previsiones contempladas en los apartados 3 y 10 de la Orden TAS/2782/2004 no son susceptibles de reproche competencial, pues vienen a regular condiciones generales de las ayudas, fijando criterios uniformes en todo el territorio para su articulación, otorgamiento y destino, por lo que se inscriben en el ámbito de la “normación” que corresponde en exclusiva al Estado y no en el de la gestión de los fondos, razón por la cual —como señalamos en la citada STC 37/2013, FJ 5, en un supuesto análogo, como es la determinación de los beneficiarios— tales medidas solo pueden ser adoptadas por el Estado “incluso respecto de las ayudas de ámbito autonómico, en la medida en que este aspecto se inserta en la función normativa de estas ayudas que corresponde íntegramente al Estado”. Afirmación que no contradice lo dispuesto en la norma habilitante, el Real Decreto 1046/2003, ni lo señalado en la STC 244/2012, FJ 7, que vino a declarar la inconstitucionalidad del art. 17.1 de dicho Real Decreto, en cuanto “parte del supuesto de una gestión centralizada de las ayudas”.</w:t>
      </w:r>
    </w:p>
    <w:p w:rsidR="0026452D" w:rsidRDefault="0026452D" w:rsidP="0026452D">
      <w:pPr>
        <w:pStyle w:val="TextoNormal"/>
      </w:pPr>
    </w:p>
    <w:p w:rsidR="0026452D" w:rsidRDefault="0026452D" w:rsidP="0026452D">
      <w:pPr>
        <w:pStyle w:val="TextoNormal"/>
      </w:pPr>
      <w:r w:rsidRPr="0026452D">
        <w:rPr>
          <w:rStyle w:val="NumeroAFNegritaCaracter"/>
        </w:rPr>
        <w:t>5</w:t>
      </w:r>
      <w:r>
        <w:t>. Por su parte, la Orden TAS/2783/2004, establece las bases reguladoras para la concesión de subvenciones públicas mediante contratos programa para la formación de trabajadores, en desarrollo de lo previsto en el art. 14 del Real Decreto 1046/2003.</w:t>
      </w:r>
    </w:p>
    <w:p w:rsidR="0026452D" w:rsidRDefault="0026452D" w:rsidP="0026452D">
      <w:pPr>
        <w:pStyle w:val="TextoNormal"/>
      </w:pPr>
    </w:p>
    <w:p w:rsidR="0026452D" w:rsidRDefault="0026452D" w:rsidP="0026452D">
      <w:pPr>
        <w:pStyle w:val="TextoNormal"/>
      </w:pPr>
      <w:r>
        <w:t xml:space="preserve">La impugnación formulada por la Comunidad Autónoma se dirige, en primer término, contra el apartado 2 [con exclusión del inciso 1 b), por desaparición sobrevenida de objeto, como ya se dijo] de la Orden TAS/2783/2004, en el que se establece la tipología y duración de los contratos programa, y contra el apartado 15 de la misma orden, en el que se establecen los criterios a tener en cuenta por el órgano de instrucción para la valoración de los planes de formación, así como frente al apartado 16.2 de la propia orden, en cuanto concreta, de forma vinculante, los criterios que ha de tener en cuenta la Comunidad Autónoma para determinar la cuantía de la subvención. El contenido de los preceptos y la argumentación que sustenta la </w:t>
      </w:r>
      <w:r w:rsidRPr="0026452D">
        <w:rPr>
          <w:i/>
        </w:rPr>
        <w:t>vindicatio potestatis</w:t>
      </w:r>
      <w:r>
        <w:t xml:space="preserve"> ejercida por la Comunidad Autónoma son coincidentes con los expresados en el fundamento jurídico anterior, por lo que no procede sino reiterar lo ya señalado para rechazar la impugnación formulada contra estos preceptos, pues también en este supuesto el Estado ejerce su competencia de normación o regulación de las condiciones de otorgamiento de las ayudas.</w:t>
      </w:r>
    </w:p>
    <w:p w:rsidR="0026452D" w:rsidRDefault="0026452D" w:rsidP="0026452D">
      <w:pPr>
        <w:pStyle w:val="TextoNormal"/>
      </w:pPr>
    </w:p>
    <w:p w:rsidR="0026452D" w:rsidRDefault="0026452D" w:rsidP="0026452D">
      <w:pPr>
        <w:pStyle w:val="TextoNormal"/>
      </w:pPr>
      <w:r>
        <w:t>En segundo término, la impugnación se dirige contra el apartado 24.2 de la Orden TAS/2783/2004, conforme al cual “de conformidad con lo establecido en el art. 21.1, letra c) del Real Decreto 1046/2003, de 1 de agosto, y en concordancia con los estudios de evaluación previstos en el artículo 22.4 del mismo, la Fundación Estatal para la Formación en el Empleo realizará estudios para valorar la calidad de la formación impartida y la adecuación de los recursos técnicos, estructurales y humanos utilizados en el desarrollo de las acciones de formación continua, atendiendo para ello a su encuadramiento en las distintas familias profesionales.”</w:t>
      </w:r>
    </w:p>
    <w:p w:rsidR="0026452D" w:rsidRDefault="0026452D" w:rsidP="0026452D">
      <w:pPr>
        <w:pStyle w:val="TextoNormal"/>
      </w:pPr>
    </w:p>
    <w:p w:rsidR="0026452D" w:rsidRDefault="0026452D" w:rsidP="0026452D">
      <w:pPr>
        <w:pStyle w:val="TextoNormal"/>
      </w:pPr>
      <w:r>
        <w:t>El art. 21.1 c) del Real Decreto 1046/2003 enuncia entre las funciones de la Fundación estatal, la de “elaboración y propuesta de estudios e informes técnico-jurídicos sobre el subsistema de formación profesional continua”, previsión ésta que la STC 244/2012, FJ 8, consideró que no vulneraba las competencias autonómicas.</w:t>
      </w:r>
    </w:p>
    <w:p w:rsidR="0026452D" w:rsidRDefault="0026452D" w:rsidP="0026452D">
      <w:pPr>
        <w:pStyle w:val="TextoNormal"/>
      </w:pPr>
    </w:p>
    <w:p w:rsidR="0026452D" w:rsidRDefault="0026452D" w:rsidP="0026452D">
      <w:pPr>
        <w:pStyle w:val="TextoNormal"/>
      </w:pPr>
      <w:r>
        <w:t xml:space="preserve">La elaboración por la Fundación estatal de informes, estudios o propuestas que tienen un alcance supraautonómico responde a los principios generales de colaboración y cooperación entre el Estado y las Comunidades Autónomas, y tiene por objeto favorecer la adecuada articulación en el ejercicio de las respectivas competencias, sin que tales funciones sean susceptibles de alterar el marco competencial, permitiendo por el contrario, la coordinación entre las Administraciones implicadas en aras a un más eficiente funcionamiento del sistema, y así se trasluce en los dos últimos incisos del precepto que se examina, conforme a los cuales “el objetivo de la investigación será obtener información contrastada sobre los recursos utilizados y las necesidades y prioridades de formación, con el fin de definir criterios para la mejora de la calidad de la formación. Los resultados de los estudios serán difundidos entre las empresas y los responsables de la organización de la formación, así como entre las Administraciones responsables de la ordenación de la formación profesional”. Los citados informes, en cuanto tienen por objeto el conocimiento global del funcionamiento del sistema, y no impiden aquellos que puedan realizar las Administraciones autonómicas </w:t>
      </w:r>
      <w:r>
        <w:lastRenderedPageBreak/>
        <w:t>en su ámbito territorial, no vulneran las competencias de ejecución que corresponden a las Comunidades Autónomas.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Declarar extinguido, por desaparición sobrevenida de su objeto, el conflicto positivo de competencias interpuesto por el Consejo de Gobierno de la Generalitat Valenciana contra el apartado 19 de la Orden TAS/2782/2004, de 30 de julio, y contra los apartados 2.1 b) y 28.1 de la Orden TAS 2783/2004, de 30 de julio.</w:t>
      </w:r>
    </w:p>
    <w:p w:rsidR="0026452D" w:rsidRDefault="0026452D" w:rsidP="0026452D">
      <w:pPr>
        <w:pStyle w:val="TextoNormal"/>
      </w:pPr>
    </w:p>
    <w:p w:rsidR="0026452D" w:rsidRDefault="0026452D" w:rsidP="0026452D">
      <w:pPr>
        <w:pStyle w:val="TextoNormal"/>
      </w:pPr>
      <w:r>
        <w:t>2º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69" w:name="SENTENCIA_2013_66"/>
      <w:r>
        <w:lastRenderedPageBreak/>
        <w:t>SENTENCIA 66/2013, de 14 de marzo de 2013</w:t>
      </w:r>
    </w:p>
    <w:bookmarkEnd w:id="69"/>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ECLI:ES:TC:2013:66</w:t>
      </w:r>
    </w:p>
    <w:p w:rsidR="0026452D" w:rsidRDefault="0026452D" w:rsidP="0026452D">
      <w:pPr>
        <w:pStyle w:val="SntesisDescriptiva"/>
      </w:pPr>
    </w:p>
    <w:p w:rsidR="0026452D" w:rsidRDefault="0026452D" w:rsidP="0026452D">
      <w:pPr>
        <w:pStyle w:val="SntesisDescriptiva"/>
      </w:pPr>
      <w:r>
        <w:t>Recurso de inconstitucionalidad 6444-2005. Interpuesto por el Presidente del Gobierno en relación con el artículo 7.4 de la Ley de las Cortes Valencianas 3/2005, de 15 de junio, de archivos.</w:t>
      </w:r>
    </w:p>
    <w:p w:rsidR="0026452D" w:rsidRDefault="0026452D" w:rsidP="0026452D">
      <w:pPr>
        <w:pStyle w:val="SntesisDescriptiva"/>
      </w:pPr>
    </w:p>
    <w:p w:rsidR="0026452D" w:rsidRDefault="0026452D" w:rsidP="0026452D">
      <w:pPr>
        <w:pStyle w:val="SntesisAnaltica"/>
      </w:pPr>
      <w:r>
        <w:t>Competencias sobre archivos: constitucionalidad del precepto legal que integra algunos archivos de titularidad estatal en el sistema archivístico valenciano (SSTC 103/1988 y 14/2013).</w:t>
      </w:r>
    </w:p>
    <w:p w:rsidR="0026452D" w:rsidRDefault="0026452D" w:rsidP="0026452D">
      <w:pPr>
        <w:pStyle w:val="SntesisAnaltica"/>
      </w:pPr>
    </w:p>
    <w:p w:rsidR="0026452D" w:rsidRDefault="0026452D" w:rsidP="0026452D">
      <w:pPr>
        <w:pStyle w:val="Extracto"/>
      </w:pPr>
      <w:r>
        <w:t>1.</w:t>
      </w:r>
      <w:r>
        <w:tab/>
        <w:t>La norma impugnada establece una calificación constitucionalmente aceptable de los elementos del sistema archivístico valenciano, sin asignarle efectos que puedan menoscabar la competencia exclusiva del Estado sobre sus propios archivos, al excluir el régimen jurídico de los archivos de titularidad estatal de su ámbito de aplicación [FJ 4].</w:t>
      </w:r>
    </w:p>
    <w:p w:rsidR="0026452D" w:rsidRDefault="0026452D" w:rsidP="0026452D">
      <w:pPr>
        <w:pStyle w:val="Extracto"/>
      </w:pPr>
    </w:p>
    <w:p w:rsidR="0026452D" w:rsidRDefault="0026452D" w:rsidP="0026452D">
      <w:pPr>
        <w:pStyle w:val="Extracto"/>
      </w:pPr>
      <w:r>
        <w:t>2.</w:t>
      </w:r>
      <w:r>
        <w:tab/>
        <w:t>Corresponde a la Comunidad Autónoma, en relación a los archivos históricos provinciales cuya gestión haya transferido el Estado, la ejecución de la normativa aprobada por el Estado, conforme al correspondiente convenio de traspaso de competencias, careciendo la Comunidad Autónoma de una potestad reglamentaria de alcance general, estando limitada a la emanación de reglamentos de organización interna y de ordenación funcional de la competencia ejecutiva autonómica (SSTC 31/2010, 14/2013) [FJ 3].</w:t>
      </w:r>
    </w:p>
    <w:p w:rsidR="0026452D" w:rsidRDefault="0026452D" w:rsidP="0026452D">
      <w:pPr>
        <w:pStyle w:val="Extracto"/>
      </w:pPr>
    </w:p>
    <w:p w:rsidR="0026452D" w:rsidRDefault="0026452D" w:rsidP="0026452D">
      <w:pPr>
        <w:pStyle w:val="Extracto"/>
      </w:pPr>
      <w:r>
        <w:t>3.</w:t>
      </w:r>
      <w:r>
        <w:tab/>
        <w:t>La transferencia de la gestión sobre archivos de titularidad estatal no conlleva la atribución de la potestad reglamentaria, pues lo que establece el art. 149.1.28 CE es la posibilidad de transferir la gestión de dichos establecimientos a las Comunidades Autónomas, y que, una vez hecho, a la Comunidad Autónoma corresponde la ejecución de la legislación del Estado, esto es, sujetando su gestión a las normas reglamentarias que en desarrollo de su legislación dicte el Estado (STC 17/1991) [FJ 3].</w:t>
      </w:r>
    </w:p>
    <w:p w:rsidR="0026452D" w:rsidRDefault="0026452D" w:rsidP="0026452D">
      <w:pPr>
        <w:pStyle w:val="Extracto"/>
      </w:pPr>
    </w:p>
    <w:p w:rsidR="0026452D" w:rsidRDefault="0026452D" w:rsidP="0026452D">
      <w:pPr>
        <w:pStyle w:val="Extracto"/>
      </w:pPr>
      <w:r>
        <w:t>4.</w:t>
      </w:r>
      <w:r>
        <w:tab/>
        <w:t>No contradice el art. 149.1.28 CE, en relación con el art. 149.2 CE, que los fondos ubicados en archivos de titularidad estatal se integren en sistemas archivísticos de las Comunidades Autónomas, en cuanto ello implique una calificación que sólo añada una sobreprotección a dichos fondos, pero sin incidencia en la regulación, disposición o gestión de los fondos documentales ni de los archivos en que se ubican (SSTC 31/2010, 48/2010) [FJ 3].</w:t>
      </w:r>
    </w:p>
    <w:p w:rsidR="0026452D" w:rsidRDefault="0026452D" w:rsidP="0026452D">
      <w:pPr>
        <w:pStyle w:val="Extracto"/>
      </w:pPr>
    </w:p>
    <w:p w:rsidR="0026452D" w:rsidRDefault="0026452D" w:rsidP="0026452D">
      <w:pPr>
        <w:pStyle w:val="Extracto"/>
      </w:pPr>
      <w:r>
        <w:t>5.</w:t>
      </w:r>
      <w:r>
        <w:tab/>
        <w:t>Ha de distinguirse la competencia para definir e integrar los elementos que componen el patrimonio documental y la competencia sobre los archivos que contienen dichos documentos, ya que la calificación de documentos y la ordenación de archivos son intervenciones legislativas diferentes (STC 103/1988) [FJ 3].</w:t>
      </w:r>
    </w:p>
    <w:p w:rsidR="0026452D" w:rsidRDefault="0026452D" w:rsidP="0026452D">
      <w:pPr>
        <w:pStyle w:val="Extracto"/>
      </w:pPr>
    </w:p>
    <w:p w:rsidR="0026452D" w:rsidRDefault="0026452D" w:rsidP="0026452D">
      <w:pPr>
        <w:pStyle w:val="Extracto"/>
      </w:pPr>
      <w:r>
        <w:t>6.</w:t>
      </w:r>
      <w:r>
        <w:tab/>
        <w:t>Las competencias autonómicas sobre patrimonio histórico incluyen la capacidad para definir los elementos integrantes del mismo, aun en el caso de que los documentos de interés se integren en archivos de titularidad estatal, siendo la Comunidad Autónoma la que puede establecer la definición y los elementos integrantes de su patrimonio documental con independencia de la titularidad de los documentos y del archivo en que se hallen ubicados (STC 103/1988) [FJ 3].</w:t>
      </w:r>
    </w:p>
    <w:p w:rsidR="0026452D" w:rsidRDefault="0026452D" w:rsidP="0026452D">
      <w:pPr>
        <w:pStyle w:val="Extracto"/>
      </w:pPr>
    </w:p>
    <w:p w:rsidR="0026452D" w:rsidRDefault="0026452D" w:rsidP="0026452D">
      <w:pPr>
        <w:pStyle w:val="Extracto"/>
      </w:pPr>
      <w:r>
        <w:t>7.</w:t>
      </w:r>
      <w:r>
        <w:tab/>
        <w:t>Como la duda de constitucionalidad se basa en un problema de delimitación competencial y el juicio de constitucionalidad ha de producirse por el contraste no sólo con la Constitución, sino con el bloque de la constitucionalidad, este Tribunal habrá de considerar las leyes vigentes y las bases materiales establecidas en el momento de formularse el juicio y dictarse la Sentencia (SSTC 87/1985, 120/2012)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6444-2005, interpuesto por el Presidente del Gobierno de la Nación, representado por el Abogado del Estado, contra el apartado a) del art. 7.4 de la Ley de la Comunidad Valenciana 3/2005, de 15 de junio, de archivos. Han comparecido y formulado alegaciones la Generalitat y las Cortes Valencianas. Ha sido Ponente el Magistrado don Andrés Ollero Tassara,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registrado en este Tribunal el 16 de septiembre de 2005, el Abogado del Estado, actuando en representación del Presidente del Gobierno de la Nación, interpuso recurso de inconstitucionalidad contra el apartado a) del art. 7.4 de la Ley de la Comunidad Valenciana 3/2005, de 15 de junio, de archivos, que identifica como archivos del “sistema archivístico valenciano” los siguientes: “El Archivo de la Corona de Aragón, en cuyo Patronato tendrá que participar la Generalitat, de acuerdo con las disposiciones adicionales del Estatuto de Autonomía de la Comunitat Valenciana, el Archivo del Reino de Valencia, el </w:t>
      </w:r>
      <w:r>
        <w:lastRenderedPageBreak/>
        <w:t>Archivo Histórico Provincial de Castellón, el Archivo Histórico Provincial de Alicante y el Archivo Histórico de Orihuela.”</w:t>
      </w:r>
    </w:p>
    <w:p w:rsidR="0026452D" w:rsidRDefault="0026452D" w:rsidP="0026452D">
      <w:pPr>
        <w:pStyle w:val="TextoNormal"/>
      </w:pPr>
    </w:p>
    <w:p w:rsidR="0026452D" w:rsidRDefault="0026452D" w:rsidP="0026452D">
      <w:pPr>
        <w:pStyle w:val="TextoNormal"/>
      </w:pPr>
      <w:r>
        <w:t>El Abogado de Estado señalando que la Constitución prevé la competencia estatal exclusiva sobre “los museos, bibliotecas y archivos de titularidad estatal, sin perjuicio de su gestión por parte de las Comunidades Autónomas” (art. 149.1.28 CE) y configura la cultura como “deber y atribución esencial” del Estado (art. 149.2 CE). Corresponde pues al Estado todo lo relacionado con los archivos de su titularidad, incluyendo tanto la legislación como su desarrollo y ejecución, sin perjuicio de que en el ejercicio de esa competencia normativa pueda atribuir a las Comunidades Autónomas, en los términos que considere oportunos, las funciones de gestión. Lo confirma el Estatuto de Autonomía de la Comunidad Valenciana de 1982, al atribuir a la Generalidad la “competencia exclusiva” en materia de “archivos, bibliotecas, museos, hemerotecas y demás centros de depósito cultural que no sean de titularidad estatal” (art. 31.6), así como la competencia de ejecución de la legislación estatal sobre “museos, archivos y bibliotecas de titularidad estatal, cuya ejecución no se reserve el Estado” (art. 33.6). El Abogado de Estado concluye, con cita de las SSTC 109/1996 y 103/1988, que la determinación del régimen jurídico aplicable a los archivos de titularidad estatal corresponde al Estado y que cualquier regulación autonómica sobre esa materia supone una invasión competencial inconstitucional.</w:t>
      </w:r>
    </w:p>
    <w:p w:rsidR="0026452D" w:rsidRDefault="0026452D" w:rsidP="0026452D">
      <w:pPr>
        <w:pStyle w:val="TextoNormal"/>
      </w:pPr>
    </w:p>
    <w:p w:rsidR="0026452D" w:rsidRDefault="0026452D" w:rsidP="0026452D">
      <w:pPr>
        <w:pStyle w:val="TextoNormal"/>
      </w:pPr>
      <w:r>
        <w:t>Tras esta descripción del régimen constitucional de distribución de competencias en materia de archivos de titularidad estatal, el Abogado del Estado examina el precepto recurrido.</w:t>
      </w:r>
    </w:p>
    <w:p w:rsidR="0026452D" w:rsidRDefault="0026452D" w:rsidP="0026452D">
      <w:pPr>
        <w:pStyle w:val="TextoNormal"/>
      </w:pPr>
    </w:p>
    <w:p w:rsidR="0026452D" w:rsidRDefault="0026452D" w:rsidP="0026452D">
      <w:pPr>
        <w:pStyle w:val="TextoNormal"/>
      </w:pPr>
      <w:r>
        <w:t>a) Se refiere, en primer lugar, a la inclusión del Archivo de la Corona de Aragón dentro del sistema archivístico valenciano. Destaca que este archivo, por su excepcional importancia histórica y la variedad de territorios a que afecta, constituye un patrimonio documental del máximo interés general para España, que requiere de un tratamiento único con la correspondiente colaboración de las Comunidades Autónomas afectadas. Ello justifica que el archivo sea de titularidad estatal y que los Estatutos de Autonomía de las Comunidades Autónomas interesadas contengan una previsión sobre la colaboración que han de prestar al Estado en los términos que él disponga (disposición adicional segunda del Estatuto de Autonomía de Cataluña de 1979; disposición adicional segunda del Estatuto de Autonomía de la Comunidad Valenciana de 1982; disposición adicional primera del Estatuto de Autonomía de Aragón de 1982; y disposición adicional primera del Estatuto de Autonomía de Islas Baleares de 1983).</w:t>
      </w:r>
    </w:p>
    <w:p w:rsidR="0026452D" w:rsidRDefault="0026452D" w:rsidP="0026452D">
      <w:pPr>
        <w:pStyle w:val="TextoNormal"/>
      </w:pPr>
    </w:p>
    <w:p w:rsidR="0026452D" w:rsidRDefault="0026452D" w:rsidP="0026452D">
      <w:pPr>
        <w:pStyle w:val="TextoNormal"/>
      </w:pPr>
      <w:r>
        <w:t>Resulta en consecuencia inconstitucional que el art. 7.4 a) de la Ley 3/2005 de la Comunidad Valenciana incluya dentro del sistema archivístico de Valencia el Archivo de la Corona de Aragón. Supone, en primer lugar, una invasión de la competencia normativa exclusiva del Estado; sólo a él le corresponde legislar sobre los archivos de su titularidad. Implica, en segundo lugar, una invasión material de la competencia del Estado porque, mientras no se disponga otra cosa en desarrollo de las disposiciones estatutarias indicadas, el Archivo de la Corona de Aragón está sujeto al régimen y gestión del Estado y no es posible constitucionalmente su sometimiento a las consecuencias derivadas de su pretendida pertenencia al sistema archivístico de Valencia.</w:t>
      </w:r>
    </w:p>
    <w:p w:rsidR="0026452D" w:rsidRDefault="0026452D" w:rsidP="0026452D">
      <w:pPr>
        <w:pStyle w:val="TextoNormal"/>
      </w:pPr>
    </w:p>
    <w:p w:rsidR="0026452D" w:rsidRDefault="0026452D" w:rsidP="0026452D">
      <w:pPr>
        <w:pStyle w:val="TextoNormal"/>
      </w:pPr>
      <w:r>
        <w:t xml:space="preserve">Añade que el art. 2.3 de la Ley recurrida no altera esta conclusión, al disponer que “los restantes archivos de titularidad estatal incluidos en el Sistema Archivístico Valenciano, se </w:t>
      </w:r>
      <w:r>
        <w:lastRenderedPageBreak/>
        <w:t>regirán por la legislación estatal”. Este precepto debe leerse conjuntamente con el art. 2.1, que establece taxativamente que “se regirán por las disposiciones de la presente ley todos los archivos valencianos que forman parte del Sistema Archivístico Valenciano”; sistema que incluye el Archivo de la Corona de Aragón. De la conjunta consideración de estas previsiones se deduce sin esfuerzo que los archivos de titularidad estatal se rigen por la ley impugnada (así resulta de la referencia a “todos” los archivos del art. 2.1) y, además, por la legislación estatal (art. 2.3). En todo caso, afirma el Abogado del Estado, aunque la inclusión del archivo en el sistema valenciano careciera de consecuencias prácticas, subsistiría la vulneración competencial, pues la Comunidad Autónoma no tiene competencias normativas sobre los archivos de titularidad estatal. Corresponde al Estado decidir sobre la calificación e integración del Archivo de la Corona de Aragón en un determinado sistema; y lo ha hecho considerándolo como perteneciente al sistema estatal de archivos. No resulta aceptable que la pluralidad de Comunidades Autónomas que puedan tener interés en ese archivo tenga la capacidad de corregir tal calificación e integración, incluyéndolo en sus respectivos sistemas archivísticos, por más que la medida pueda resultar pretendidamente inocua. Cuando una Comunidad Autónoma integra un archivo estatal en su sistema archivístico está arrogándose competencias —aunque sea la simple calificación— y está afirmando una cierta titularidad.</w:t>
      </w:r>
    </w:p>
    <w:p w:rsidR="0026452D" w:rsidRDefault="0026452D" w:rsidP="0026452D">
      <w:pPr>
        <w:pStyle w:val="TextoNormal"/>
      </w:pPr>
    </w:p>
    <w:p w:rsidR="0026452D" w:rsidRDefault="0026452D" w:rsidP="0026452D">
      <w:pPr>
        <w:pStyle w:val="TextoNormal"/>
      </w:pPr>
      <w:r>
        <w:t>b) En segundo lugar, el Abogado del Estado se refiere al Archivo del Reino de Valencia, a los históricos provinciales de Castellón y Alicante y al histórico de Orihuela, que el art. 7.4 a) también incluye en el sistema archivístico valenciano. Tales archivos son de titularidad estatal, habiéndose transferido la gestión a la Comunidad Valenciana mediante el Real Decreto 3066/1983, de 13 de octubre, en los términos fijados en el convenio suscrito al efecto. A su juicio, la totalidad de las competencias normativas sobre estos archivos, incluida la definición de su régimen jurídico y organización, sigue correspondiendo al Estado. El legislador autonómico no puede modificar unilateralmente el régimen de gestión, que sólo podría alterarse mediante el correspondiente convenio. Consecuentemente, el art. 7.4 a) es también inconstitucional respecto de los cuatro archivos indicados, por incidir en su régimen jurídico al margen de la normativa estatal y de un convenio entre ambas Administraciones públicas.</w:t>
      </w:r>
    </w:p>
    <w:p w:rsidR="0026452D" w:rsidRDefault="0026452D" w:rsidP="0026452D">
      <w:pPr>
        <w:pStyle w:val="TextoNormal"/>
      </w:pPr>
    </w:p>
    <w:p w:rsidR="0026452D" w:rsidRDefault="0026452D" w:rsidP="0026452D">
      <w:pPr>
        <w:pStyle w:val="TextoNormal"/>
      </w:pPr>
      <w:r>
        <w:t>Tampoco en este caso el art. 2.2 de la Ley podría justificar la regulación examinada, al disponer que “los archivos de titularidad estatal cuya gestión ha sido transferida a la Generalitat se regirán por la normativa estatal y por los convenios de gestión que, en relación con los citados archivos, se suscriban entre el Estado y la Generalitat”. Tal apartado debe ponerse en relación también en este caso con el art. 2.1, que somete todos los archivos valencianos que formen parte del sistema archivístico valenciano a las disposiciones de la Ley. También pues el art. 7.4 a), aunque careciera de efectos prácticos, seguiría vulnerando la competencia estatal para decidir en torno a la calificación e integración de estos cuatro archivos.</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La Sección Cuarta de este Tribunal Constitucional, por providencia de 11 de octubre de 2005, acordó: admitir a trámite el recurso de inconstitucionalidad; dar traslado, conforme al art. 34 de la Ley Orgánica del Tribunal Constitucional (LOTC), de la demanda y de los documentos presentados, al Congreso de los Diputados y al Senado, así como al Gobierno de la Generalitat Valenciana y a las Cortes Valencianas, al objeto de que en el plazo de </w:t>
      </w:r>
      <w:r>
        <w:lastRenderedPageBreak/>
        <w:t>quince días pudieran personarse en el procedimiento y formular alegaciones; tener por invocado por el Presidente del Gobierno el art. 161.2 CE, lo que, a su tenor, produjo la suspensión de la vigencia y aplicación del precepto impugnado; así como, finalmente, ordenar la publicación de la incoación del recurso de inconstitucionalidad y de la suspensión acordada en el “Boletín Oficial del Estado” y en el “Diario Oficial de la Generalidad Valenciana”; publicación que se produjo en los núms. 255, de 25 de octubre de 2005 y 5.122, de 26 del mismo mes y año, respectivamente.</w:t>
      </w:r>
    </w:p>
    <w:p w:rsidR="0026452D" w:rsidRDefault="0026452D" w:rsidP="0026452D">
      <w:pPr>
        <w:pStyle w:val="TextoNormal"/>
      </w:pPr>
    </w:p>
    <w:p w:rsidR="0026452D" w:rsidRDefault="0026452D" w:rsidP="0026452D">
      <w:pPr>
        <w:pStyle w:val="TextoNormal"/>
      </w:pPr>
      <w:r w:rsidRPr="0026452D">
        <w:rPr>
          <w:rStyle w:val="NumeroAFNegritaCaracter"/>
        </w:rPr>
        <w:t>3</w:t>
      </w:r>
      <w:r>
        <w:t>. El Presidente del Senado, por escrito registrado el 28 de octubre de 2005, comunicó el acuerdo de la Mesa de la Cámara de personarse en el procedimiento y de ofrecer su colaboración a los efectos del art. 88.1 LOTC. Mediante escrito registrado el 2 de noviembre del mismo año, el Presidente del Congreso de los Diputados comunicó la decisión de la Cámara de no personarse en el procedimiento ni formular alegaciones.</w:t>
      </w:r>
    </w:p>
    <w:p w:rsidR="0026452D" w:rsidRDefault="0026452D" w:rsidP="0026452D">
      <w:pPr>
        <w:pStyle w:val="TextoNormal"/>
      </w:pPr>
    </w:p>
    <w:p w:rsidR="0026452D" w:rsidRDefault="0026452D" w:rsidP="0026452D">
      <w:pPr>
        <w:pStyle w:val="TextoNormal"/>
      </w:pPr>
      <w:r w:rsidRPr="0026452D">
        <w:rPr>
          <w:rStyle w:val="NumeroAFNegritaCaracter"/>
        </w:rPr>
        <w:t>4</w:t>
      </w:r>
      <w:r>
        <w:t>. El Letrado de la Generalitat Valenciana, por escrito registrado el 8 de noviembre de 2005, solicitó la desestimación del recurso con expreso reconocimiento de la constitucionalidad del precepto impugnado. Empieza aclarando que está fuera de discusión la titularidad estatal de los todos los archivos mencionados en la previsión impugnada, así como que la gestión de todos ellos, salvo el del Archivo de la Corona de Aragón, ha sido traspasada a la Generalitat. El problema planteado radica pues exclusivamente en la interpretación del significado del precepto impugnado, que debe hacerse teniendo en cuenta el contexto normativo de la Ley 3/2005 y la doctrina constitucional.</w:t>
      </w:r>
    </w:p>
    <w:p w:rsidR="0026452D" w:rsidRDefault="0026452D" w:rsidP="0026452D">
      <w:pPr>
        <w:pStyle w:val="TextoNormal"/>
      </w:pPr>
    </w:p>
    <w:p w:rsidR="0026452D" w:rsidRDefault="0026452D" w:rsidP="0026452D">
      <w:pPr>
        <w:pStyle w:val="TextoNormal"/>
      </w:pPr>
      <w:r>
        <w:t>El Letrado autonómico razona que el recurrente no ha calibrado el verdadero alcance de la STC 103/1988, de 8 de junio, que aborda un asunto similar: la inclusión dentro del patrimonio documental andaluz de los documentos de titularidad estatal existentes en Andalucía. Conforme a esta Sentencia, la Comunidad Autónoma puede calificar documentos que no son de su titularidad como pertenecientes al patrimonio histórico autonómico, sin reproche constitucional alguno. Sólo si la Ley pretendiera, además, sustraer la regulación de tales documentos de la competencia estatal o alterar los términos en que deban gestionarse conforme al correspondiente convenio, podría producirse una vulneración del orden constitucional de distribución competencial, lo que no ocurrió en el caso entonces examinado ni tampoco ahora en la Ley de la Comunidad Valenciana 3/2005.</w:t>
      </w:r>
    </w:p>
    <w:p w:rsidR="0026452D" w:rsidRDefault="0026452D" w:rsidP="0026452D">
      <w:pPr>
        <w:pStyle w:val="TextoNormal"/>
      </w:pPr>
    </w:p>
    <w:p w:rsidR="0026452D" w:rsidRDefault="0026452D" w:rsidP="0026452D">
      <w:pPr>
        <w:pStyle w:val="TextoNormal"/>
      </w:pPr>
      <w:r>
        <w:t>Esta Ley circunscribe expresamente su ámbito de aplicación a los “archivos valencianos” que forman parte del sistema archivístico valenciano (art. 2.1); excluye, también de manera explícita, su aplicación a los de titularidad estatal que forman parte de ese sistema, tanto si su gestión ha sido transferida a la Generalitat (art. 2.2) como si no (art. 2.3). Tal planteamiento se desarrolla en su art. 13, que, al definir el concepto de archivos públicos, hace referencia a todos los integrados en el sistema archivístico valenciano conforme al art. 7.4, salvo precisamente los de titularidad estatal, lo que debe interpretarse como una voluntad autonómica inequívoca de no interferir en el ejercicio de competencias ajenas.</w:t>
      </w:r>
    </w:p>
    <w:p w:rsidR="0026452D" w:rsidRDefault="0026452D" w:rsidP="0026452D">
      <w:pPr>
        <w:pStyle w:val="TextoNormal"/>
      </w:pPr>
    </w:p>
    <w:p w:rsidR="0026452D" w:rsidRDefault="0026452D" w:rsidP="0026452D">
      <w:pPr>
        <w:pStyle w:val="TextoNormal"/>
      </w:pPr>
      <w:r>
        <w:t xml:space="preserve">El Letrado autonómico concluye aportando otros tres argumentos favorables a la constitucionalidad del precepto impugnado. El primero es que la mera posibilidad de una interpretación alternativa, como la propuesta por el recurrente, no es razón suficiente para declarar la inconstitucionalidad de un precepto legal, apoyándose al efecto en la doctrina sentada en la STC 58/1982, de 27 de julio. El segundo es no haberse impugnado ante el Tribunal </w:t>
      </w:r>
      <w:r>
        <w:lastRenderedPageBreak/>
        <w:t>Constitucional preceptos similares incluidos en leyes de la Comunidad Valenciana. Así, los que integran dentro del patrimonio cultural valenciano los bienes especialmente representativos de la historia y la cultura valenciana que se hallen fuera del territorio de la Comunidad (art. 1.1 de la Ley 7/2004); los que insertan en el sistema valenciano de museos algunos de titularidad estatal (art. 70.1 de la Ley 7/2004); o los que incluyen en el sistema bibliotecario valenciano algunas bibliotecas de titularidad estatal (art. 3 de la Ley 10/1986). El Letrado admite que la ausencia de cuestionamiento constitucional de estas previsiones nada dice, en principio, sobre su conformidad o no a la Constitución, pero entiende que refuerza la razonabilidad de su propuesta de una interpretación conforme. El tercer argumento es la ausencia de impugnación de leyes de otras Comunidades Autónomas análogas a la enjuiciada, como la Ley de la Asamblea Regional de Murcia 6/1990, Ley del Parlamento de Galicia 8/1996, Ley del Parlamento de La Rioja 4/1994 de Ley de la Asamblea de Cantabria 3/2002.</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en este Tribunal el 10 de noviembre de 2005, el Presidente de las Cortes Valencianas, en la representación que legalmente ostenta, cumplimentó el trámite de alegaciones, solicitando la desestimación del recurso y el levantamiento anticipado de la suspensión del precepto legal recurrido.</w:t>
      </w:r>
    </w:p>
    <w:p w:rsidR="0026452D" w:rsidRDefault="0026452D" w:rsidP="0026452D">
      <w:pPr>
        <w:pStyle w:val="TextoNormal"/>
      </w:pPr>
    </w:p>
    <w:p w:rsidR="0026452D" w:rsidRDefault="0026452D" w:rsidP="0026452D">
      <w:pPr>
        <w:pStyle w:val="TextoNormal"/>
      </w:pPr>
      <w:r>
        <w:t>Destaca que, según el preámbulo de la Ley, la inclusión en el sistema archivístico valenciano de archivos de titularidad estatal pone de manifiesto la importancia de los archivos, preservando el derecho de todos a acceder a ellos, como instrumento al servicio tanto de las Administraciones públicas como de la garantía de conservación del patrimonio documental valenciano. Al referirse a los archivos de titularidad estatal, el legislador valenciano persigue, específicamente, incluirlos entre los destinatarios de las medidas de fomento, conservación y protección que establece, sin invadir competencias ajenas. Se trata de que la documentación estatal pueda, si se estima oportuno, acceder a los efectos benéficos que la inclusión en el sistema valenciano implica. Establece, por ejemplo, que todos los archivos integrados en él podrán, por un lado, acceder a los servicios que presta el órgano directivo de ese sistema o a los programas anuales o plurianuales de soporte técnico y, por otro, recibir en depósito documentos de otras Administraciones o entidades públicas. Tales medidas en modo alguno vulneran las competencias del Estado sobre los archivos de su titularidad; brindan sólo la posibilidad de que el Estado pueda acogerse a ellas. Lo reconoce explícitamente el propio preámbulo de la Ley y resulta claramente de su ámbito de aplicación (art. 2). No existe, pues, una regulación autonómica de los archivos de titularidad estatal ni estos deben someterse a los requisitos técnicos previstos en la Ley de archivos de la Comunidad Valenciana. En consecuencia, el art. 7.4 a) de la Ley debe considerarse constitucional.</w:t>
      </w:r>
    </w:p>
    <w:p w:rsidR="0026452D" w:rsidRDefault="0026452D" w:rsidP="0026452D">
      <w:pPr>
        <w:pStyle w:val="TextoNormal"/>
      </w:pPr>
    </w:p>
    <w:p w:rsidR="0026452D" w:rsidRDefault="0026452D" w:rsidP="0026452D">
      <w:pPr>
        <w:pStyle w:val="TextoNormal"/>
      </w:pPr>
      <w:r>
        <w:t xml:space="preserve">El Presidente de las Cortes Valencianas señala que la jurisprudencia constitucional ha resuelto una “situación idéntica” a la de la Ley de la Comunidad Valenciana 3/2005, permitiendo en ese caso al legislador autonómico incluir en su sistema documental elementos que no son de su titularidad. Conforme a esa doctrina, si se entendiese que hay preceptos de la Ley de los que pudiera inferirse una voluntad autonómica de sustraer los archivos de titularidad estatal de las competencias del Estado, “desde una visión sistemática del texto impugnado, tal interpretación no es la más adecuada ni desde luego, la única posible”. Por el contrario, “la expresa exclusión de los archivos de titularidad estatal de la competencia de la Comunidad Autónoma” y la remisión a la legislación que le es aplicable “conducen a una comprensión de los preceptos de la Ley que contiene regulaciones sustantivas de los archivos como referidos únicamente a aquellos que efectivamente estén bajo la dependencia de </w:t>
      </w:r>
      <w:r>
        <w:lastRenderedPageBreak/>
        <w:t>la Comunidad Autónoma, quedando fuera del ámbito de la Ley los de titularidad estatal” (STC 103/1988, de 8 de junio).</w:t>
      </w:r>
    </w:p>
    <w:p w:rsidR="0026452D" w:rsidRDefault="0026452D" w:rsidP="0026452D">
      <w:pPr>
        <w:pStyle w:val="TextoNormal"/>
      </w:pPr>
    </w:p>
    <w:p w:rsidR="0026452D" w:rsidRDefault="0026452D" w:rsidP="0026452D">
      <w:pPr>
        <w:pStyle w:val="TextoNormal"/>
      </w:pPr>
      <w:r>
        <w:t>No puede olvidarse, por otra parte, que la competencia exclusiva del Estado sobre los archivos de titularidad estatal, lo es “sin perjuicio de su gestión por parte de las Comunidades Autónomas” (art. 149.1.28 CE). Con arreglo a este inciso, no puede en modo alguno impedirse que la Comunidad Valenciana, atendiendo al principio de autoorganización, regule la gestión de los archivos de titularidad estatal, cuando tal gestión le ha sido cedida. Conforme a la doctrina constitucional, corresponde a todas las Administraciones públicas conservar y enriquecer el patrimonio histórico cultural y artístico de los pueblos de España (STC 17/1991, de 31 de enero), sin que la competencia estatal sobre cultura pueda convertirse en título universal (STC 109/1996, de 13 de junio).</w:t>
      </w:r>
    </w:p>
    <w:p w:rsidR="0026452D" w:rsidRDefault="0026452D" w:rsidP="0026452D">
      <w:pPr>
        <w:pStyle w:val="TextoNormal"/>
      </w:pPr>
    </w:p>
    <w:p w:rsidR="0026452D" w:rsidRDefault="0026452D" w:rsidP="0026452D">
      <w:pPr>
        <w:pStyle w:val="TextoNormal"/>
      </w:pPr>
      <w:r>
        <w:t>A su vez, respecto del Archivo de la Corona de Aragón, el precepto impugnado reconoce inequívocamente las competencias estatales, al disponer que en su “Patronato tendrá que participar la Generalitat, de acuerdo con las disposiciones adicionales del Estatuto de Autonomía de la Comunidad Valenciana”. Este Estatuto asume el interés compartido por varias Comunidades Autónomas en este Archivo y, en consecuencia, reconoce la competencia normativa del Estado (como instancia de ámbito territorial superior) y la necesaria paridad de la representación de todas las Comunidades Autónomas participantes. Ello es destacable si se tiene en cuenta que otros Estatutos pretenden asegurar una participación “preeminente” de la Comunidad Autónoma (Cataluña, Aragón e Islas Baleares). Parece así más bien que sólo el Estatuto de Autonomía de la Comunidad de Valencia respetaría la titularidad estatal del Archivo de la Corona de Aragón. Además, su inclusión en el sistema archivístico valenciano es una previsión similar al art. 20.1 a) de la Ley catalana 10/2001, de 13 de junio, de archivos y documentos, cuya suspensión cautelar por el Tribunal Constitucional había sido ya levantada por ATC 175/2002, de 1 de octubre.</w:t>
      </w:r>
    </w:p>
    <w:p w:rsidR="0026452D" w:rsidRDefault="0026452D" w:rsidP="0026452D">
      <w:pPr>
        <w:pStyle w:val="TextoNormal"/>
      </w:pPr>
    </w:p>
    <w:p w:rsidR="0026452D" w:rsidRDefault="0026452D" w:rsidP="0026452D">
      <w:pPr>
        <w:pStyle w:val="TextoNormal"/>
      </w:pPr>
      <w:r>
        <w:t>El escrito concluye suplicando la desestimación del recurso así como el levantamiento de la suspensión de la disposición impugnada, teniendo en cuenta que su mantenimiento comportaría perjuicios para el interés general, al impedir la colaboración establecida en la Ley de la Comunidad Valenciana 3/2005.</w:t>
      </w:r>
    </w:p>
    <w:p w:rsidR="0026452D" w:rsidRDefault="0026452D" w:rsidP="0026452D">
      <w:pPr>
        <w:pStyle w:val="TextoNormal"/>
      </w:pPr>
    </w:p>
    <w:p w:rsidR="0026452D" w:rsidRDefault="0026452D" w:rsidP="0026452D">
      <w:pPr>
        <w:pStyle w:val="TextoNormal"/>
      </w:pPr>
      <w:r w:rsidRPr="0026452D">
        <w:rPr>
          <w:rStyle w:val="NumeroAFNegritaCaracter"/>
        </w:rPr>
        <w:t>6</w:t>
      </w:r>
      <w:r>
        <w:t>. Mediante providencia de 11 de noviembre de 2005, la Sección cuarta del Tribunal Constitucional acordó incorporar a los autos los escritos de alegaciones del Letrado de la Generalitat Valenciana y del Presidente de las Cortes Valencianas y, en cuanto a la solicitud de este último sobre el levantamiento de la suspensión, oír a la representación del Gobierno de la Generalitat Valenciana y al Abogado del Estado para que, en el plazo de cinco días, expusieran lo que estimasen procedente. Recibidas las alegaciones de ambos, el 18 y 21 de noviembre de 2005 respectivamente, el Pleno del Tribunal Constitucional dictó el Auto 12/2006, de 17 de enero de 2006, acordando el levantamiento de la suspensión del art. 7.4 a) de la Ley de la Comunidad Valenciana 3/2005, de 15 de junio, de archivos.</w:t>
      </w:r>
    </w:p>
    <w:p w:rsidR="0026452D" w:rsidRDefault="0026452D" w:rsidP="0026452D">
      <w:pPr>
        <w:pStyle w:val="TextoNormal"/>
      </w:pPr>
    </w:p>
    <w:p w:rsidR="0026452D" w:rsidRDefault="0026452D" w:rsidP="0026452D">
      <w:pPr>
        <w:pStyle w:val="TextoNormal"/>
      </w:pPr>
      <w:r w:rsidRPr="0026452D">
        <w:rPr>
          <w:rStyle w:val="NumeroAFNegritaCaracter"/>
        </w:rPr>
        <w:t>7</w:t>
      </w:r>
      <w:r>
        <w:t>. Mediante providencia de 12 de marzo de 2013 se señaló para deliberación y votación de la presente Sentencia el día 14 del mismo mes y año.</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ha sido interpuesto por el Abogado del Estado, en nombre del Presidente del Gobierno de la Nación, contra el apartado a) del art. 7.4 de la Ley de la Comunidad Valenciana 3/2005, de 15 de junio, de archivos, que integra en el Sistema Archivístico Valenciano determinados archivos de titularidad estatal.</w:t>
      </w:r>
    </w:p>
    <w:p w:rsidR="0026452D" w:rsidRDefault="0026452D" w:rsidP="0026452D">
      <w:pPr>
        <w:pStyle w:val="TextoNormal"/>
      </w:pPr>
    </w:p>
    <w:p w:rsidR="0026452D" w:rsidRDefault="0026452D" w:rsidP="0026452D">
      <w:pPr>
        <w:pStyle w:val="TextoNormal"/>
      </w:pPr>
      <w:r>
        <w:t>Conviene realizar unas consideraciones preliminares a los efectos de delimitar adecuadamente el alcance de la controversia. Conforme al artículo 7.4 de la Ley 3/2005, los archivos y subsistemas de archivos que forman parte del sistema archivístico valenciano son, no sólo los de las instituciones de la Generalitat [letras b) y c)], sino también otros de titularidad del Estado situados en el territorio autonómico [letra a)], de los entes locales [letra d)], de las universidades públicas y privadas [letras e) y h)], de determinadas academias o corporaciones representativas de intereses económicos y profesionales [letra f)], de la Iglesia católica y otras confesiones religiosas [letra i)] y de los particulares, cuando se integren en el sistema por resolución de la Consellería correspondiente [letra j)]. El recurso de inconstitucionalidad se dirige exclusivamente contra el apartado a) del art. 7.4 de la Ley, por incluir dentro del sistema archivístico valenciano determinados archivos de titularidad estatal: “El Archivo de la Corona de Aragón, en cuyo Patronato tendrá que participar la Generalitat, de acuerdo con las disposiciones adicionales del Estatuto de Autonomía de la Comunitat Valenciana, el Archivo del Reino de Valencia, el Archivo Histórico Provincial de Castellón, el Archivo Histórico Provincial de Alicante y el Archivo Histórico de Orihuela.”</w:t>
      </w:r>
    </w:p>
    <w:p w:rsidR="0026452D" w:rsidRDefault="0026452D" w:rsidP="0026452D">
      <w:pPr>
        <w:pStyle w:val="TextoNormal"/>
      </w:pPr>
    </w:p>
    <w:p w:rsidR="0026452D" w:rsidRDefault="0026452D" w:rsidP="0026452D">
      <w:pPr>
        <w:pStyle w:val="TextoNormal"/>
      </w:pPr>
      <w:r>
        <w:t>Todos los archivos mencionados en el apartado a) del art. 7.4 de la Ley son, en efecto, de titularidad estatal y forman parte, bajo la calificación de archivos históricos, del sistema de archivos de la Administración General del Estado que, a su vez, se integra en el denominado sistema español de archivos, constituido y regulado por el Real Decreto 1708/2011, de 18 de noviembre; éste comprende los archivos de la Administración General del Estado y el resto de los archivos públicos y privados que se vinculen al sistema mediante los correspondientes instrumentos de cooperación. En cuanto al Archivo de la Corona de Aragón, en particular, el Estado se ha reservado la gestión, aunque al efecto ha constituido por Real Decreto 1267/2006, de 8 de noviembre, un patronato como órgano rector adscrito al Ministerio de Cultura en el que tienen participación las Comunidades Autónomas catalana, valenciana, aragonesa y balear. El resto de los mencionados, esto es, el del Reino de Valencia, los históricos provinciales de Castellón y Alicante y el histórico de Orihuela, son archivos de titularidad estatal y gestión autonómica en virtud del Real Decreto 3066/1983 y del convenio suscrito entre el Ministerio de Cultura y la Comunidad Autónoma Valenciana publicado en el “BOE” de 18 de enero de 1985.</w:t>
      </w:r>
    </w:p>
    <w:p w:rsidR="0026452D" w:rsidRDefault="0026452D" w:rsidP="0026452D">
      <w:pPr>
        <w:pStyle w:val="TextoNormal"/>
      </w:pPr>
    </w:p>
    <w:p w:rsidR="0026452D" w:rsidRDefault="0026452D" w:rsidP="0026452D">
      <w:pPr>
        <w:pStyle w:val="TextoNormal"/>
      </w:pPr>
      <w:r>
        <w:t xml:space="preserve">Conviene advertir que está fuera de discusión la titularidad y régimen de gestión de los archivos del art. 7.4 a) de la Ley de la Comunidad Valenciana 3/2005. Todas las partes admiten que tanto la titularidad como la gestión del Archivo de la Corona de Aragón corresponden al Estado. Están conformes también en que los demás archivos indicados en la previsión impugnada son de titularidad estatal, habiéndose traspasado su gestión a la Generalitat valenciana. Lo que se discute es pues, exclusivamente, si el art. 7.4 a) de la Ley 3/2005 incurre o no en inconstitucionalidad por integrar archivos de titularidad estatal en el sistema archivístico valenciano. El Abogado de Estado, en la representación que legalmente ostenta, ha interpuesto el recurso por considerar que el legislador autonómico ha incurrido </w:t>
      </w:r>
      <w:r>
        <w:lastRenderedPageBreak/>
        <w:t>en una extralimitación competencial, dado que el art. 149.1.28 en relación con el art. 149.2, ambos de la Constitución, atribuye al Estado la competencia exclusiva sobre los archivos de su titularidad. Esta incluye la legislación, su desarrollo y ejecución, sin perjuicio de que en el ejercicio de esa competencia pueda el Estado atribuir funciones de gestión a las Comunidades Autónomas en los términos que considere oportunos. Por el contrario, tanto el Gobierno como las Cortes de la Comunidad Valenciana, sin negar la titularidad estatal de los referidos archivos ni las competencias que sobre ellos confieren al Estado los arts. 149.1.28 y 149.2 CE, entienden que los preceptos impugnados en modo alguno alteran el régimen de distribución competencial en esta materia por lo que solicitan la desestimación del recurso.</w:t>
      </w:r>
    </w:p>
    <w:p w:rsidR="0026452D" w:rsidRDefault="0026452D" w:rsidP="0026452D">
      <w:pPr>
        <w:pStyle w:val="TextoNormal"/>
      </w:pPr>
    </w:p>
    <w:p w:rsidR="0026452D" w:rsidRDefault="0026452D" w:rsidP="0026452D">
      <w:pPr>
        <w:pStyle w:val="TextoNormal"/>
      </w:pPr>
      <w:r w:rsidRPr="0026452D">
        <w:rPr>
          <w:rStyle w:val="NumeroAFNegritaCaracter"/>
        </w:rPr>
        <w:t>2</w:t>
      </w:r>
      <w:r>
        <w:t>. Identificados el objeto del recurso y la posición de las partes, antes de abordar el examen de la constitucionalidad del precepto impugnado, es preciso delimitar el parámetro de constitucionalidad del que hemos de servirnos para llevar a cabo nuestro pronunciamiento.</w:t>
      </w:r>
    </w:p>
    <w:p w:rsidR="0026452D" w:rsidRDefault="0026452D" w:rsidP="0026452D">
      <w:pPr>
        <w:pStyle w:val="TextoNormal"/>
      </w:pPr>
    </w:p>
    <w:p w:rsidR="0026452D" w:rsidRDefault="0026452D" w:rsidP="0026452D">
      <w:pPr>
        <w:pStyle w:val="TextoNormal"/>
      </w:pPr>
      <w:r>
        <w:t>Viene dado, de una parte, por los arts. 149.1.28 CE y 149.2 CE. Conforme al primero de ellos, el Estado tiene competencia exclusiva sobre “museos, bibliotecas y archivos de titularidad estatal, sin perjuicio de su gestión por parte de las Comunidades Autónomas”. Añade el art. 149.2 CE que, “sin perjuicio de las competencias que podrán asumir las Comunidades Autónomas, el Estado considerará el servicio de la cultura como deber y atribución esencial y facilitará la comunicación cultural entre las Comunidades Autónomas, de acuerdo con ellas”.</w:t>
      </w:r>
    </w:p>
    <w:p w:rsidR="0026452D" w:rsidRDefault="0026452D" w:rsidP="0026452D">
      <w:pPr>
        <w:pStyle w:val="TextoNormal"/>
      </w:pPr>
    </w:p>
    <w:p w:rsidR="0026452D" w:rsidRDefault="0026452D" w:rsidP="0026452D">
      <w:pPr>
        <w:pStyle w:val="TextoNormal"/>
      </w:pPr>
      <w:r>
        <w:t>En segundo lugar, ha de tomarse en consideración el Estatuto de Autonomía de la Comunidad Valenciana, aprobado por la Ley Orgánica 5/1982, de 1 de julio. Con posterioridad a la admisión a trámite del presente recurso de inconstitucionalidad, tal Estatuto ha sido reformado por la Ley Orgánica 1/2006, de 10 de abril. De acuerdo con nuestra doctrina, la cuestión controvertida se decidirá teniendo en cuenta las prescripciones de esta redacción actualmente vigente del Estatuto de Autonomía. Como la duda de constitucionalidad se basa en un problema de delimitación competencial y el juicio de constitucionalidad ha de producirse por el contraste no sólo con la Constitución, sino con el llamado bloque de la constitucionalidad (art. 28.1 de la Ley Orgánica del Tribunal Constitucional), este Tribunal habrá de considerar las leyes vigentes y las bases materiales establecidas en el momento de formularse el juicio y dictarse la Sentencia [SSTC 87/1985, de 16 de julio, FJ 8; 179/1998, de 16 de septiembre, FJ 2; 134/2011, de 20 de julio, FJ 2 d); y 120/2012, de 4 de junio, FJ 2 c), entre muchas].</w:t>
      </w:r>
    </w:p>
    <w:p w:rsidR="0026452D" w:rsidRDefault="0026452D" w:rsidP="0026452D">
      <w:pPr>
        <w:pStyle w:val="TextoNormal"/>
      </w:pPr>
    </w:p>
    <w:p w:rsidR="0026452D" w:rsidRDefault="0026452D" w:rsidP="0026452D">
      <w:pPr>
        <w:pStyle w:val="TextoNormal"/>
      </w:pPr>
      <w:r>
        <w:t xml:space="preserve">Según su Estatuto de Autonomía, la Comunidad Valenciana tiene competencia exclusiva sobre “cultura” (art. 49.1.4), en materia de “patrimonio histórico, artístico, monumental, arquitectónico, arqueológico y científico, sin perjuicio de lo que dispone el número 28 del apartado 1 del artículo 149 de la Constitución española” (art. 49.1.5); igualmente en relación con los “archivos, bibliotecas, museos, hemerotecas y demás centros de depósito que no sean de titularidad estatal” (art. 49.1.6). Le corresponde, además, “la ejecución de la legislación del Estado” en materia de “museos, archivos y bibliotecas de titularidad estatal, cuya ejecución no quede reservada al Estado” (art. 51.5). La disposición adicional tercera se refiere específicamente al Archivo de la Corona de Aragón, definiéndolo como “patrimonio histórico del Pueblo Valenciano, compartido con otros pueblos de España” y disponiendo, por un lado, que la correspondiente norma del Estado creará y regulará la composición y </w:t>
      </w:r>
      <w:r>
        <w:lastRenderedPageBreak/>
        <w:t>funciones de su Patronato, asegurando la “participación preeminente de la Comunitat Valenciana y otras comunidades autónomas”. Debe consignarse la existencia de previsiones sobre el Archivo de la Corona de Aragón en los Estatutos de Autonomía de Cataluña (disposición adicional decimotercera), Aragón (disposición adicional primera) e Illes Balears (disposición adicional primera).</w:t>
      </w:r>
    </w:p>
    <w:p w:rsidR="0026452D" w:rsidRDefault="0026452D" w:rsidP="0026452D">
      <w:pPr>
        <w:pStyle w:val="TextoNormal"/>
      </w:pPr>
    </w:p>
    <w:p w:rsidR="0026452D" w:rsidRDefault="0026452D" w:rsidP="0026452D">
      <w:pPr>
        <w:pStyle w:val="TextoNormal"/>
      </w:pPr>
      <w:r w:rsidRPr="0026452D">
        <w:rPr>
          <w:rStyle w:val="NumeroAFNegritaCaracter"/>
        </w:rPr>
        <w:t>3</w:t>
      </w:r>
      <w:r>
        <w:t>. La doctrina de este Tribunal ha perfilado, a partir del régimen constitucional, un canon claro para abordar controversias competenciales de este tipo. La STC 103/1988, de 8 de junio, a propósito de la impugnación de la Ley del Parlamento de Andalucía 3/1984, de 9 de enero, valoró como intervenciones legislativas diferentes la calificación de documentos y la ordenación de archivos. Conforme a este criterio, han de distinguirse dos competencias: la de definir e integrar los elementos que componen el patrimonio documental y la competencia sobre los archivos que contienen dichos documentos. Por lo que se refiere a la primera, las competencias autonómicas sobre patrimonio histórico incluyen la capacidad para definir los elementos integrantes del mismo, aun en el caso de que los documentos de interés se integren en archivos de titularidad estatal, siendo la Comunidad Autónoma la que puede establecer la definición y los elementos integrantes de su patrimonio documental con independencia de la titularidad de los documentos y del archivo en que se hallen ubicados (FJ 3). Si la legislación autonómica contuviera referencias a los archivos de titularidad estatal, en el sentido de llevar a cabo regulaciones reservadas a la competencia legislativa del Estado, se rebasarían los límites competenciales que derivan del art. 149.1.28 CE y, eventualmente, del Estatuto de Autonomía; si, por el contrario, las disposiciones de la Ley se refieren únicamente a los archivos de competencia de la Comunidad Autónoma, no se habría traspasado, evidentemente, tal límite competencial (FJ 4).</w:t>
      </w:r>
    </w:p>
    <w:p w:rsidR="0026452D" w:rsidRDefault="0026452D" w:rsidP="0026452D">
      <w:pPr>
        <w:pStyle w:val="TextoNormal"/>
      </w:pPr>
    </w:p>
    <w:p w:rsidR="0026452D" w:rsidRDefault="0026452D" w:rsidP="0026452D">
      <w:pPr>
        <w:pStyle w:val="TextoNormal"/>
      </w:pPr>
      <w:r>
        <w:t>Posteriormente, la STC 17/1991, de 31 de enero, con motivo de que la Generalitat de Cataluña rechazara la competencia del Estado para dictar un reglamento de organización, funcionamiento y personal de los archivos, bibliotecas y museos de titularidad estatal, declaró que la transferencia de la gestión sobre estos archivos no conlleva la atribución de la potestad reglamentaria, pues lo que en su párrafo final establece el art. 149.1.28 CE es la posibilidad de transferir la gestión de los establecimientos citados a las Comunidades Autónomas, y que, una vez hecho, a la Comunidad Autónoma corresponde “la ejecución de la legislación del Estado”; lo que sujeta su gestión a las normas reglamentarias que en desarrollo de su legislación dicte el Estado (FJ 19).</w:t>
      </w:r>
    </w:p>
    <w:p w:rsidR="0026452D" w:rsidRDefault="0026452D" w:rsidP="0026452D">
      <w:pPr>
        <w:pStyle w:val="TextoNormal"/>
      </w:pPr>
    </w:p>
    <w:p w:rsidR="0026452D" w:rsidRDefault="0026452D" w:rsidP="0026452D">
      <w:pPr>
        <w:pStyle w:val="TextoNormal"/>
      </w:pPr>
      <w:r>
        <w:t>Singular importancia ofrecen los pronunciamientos de la STC 31/2010, de 28 de junio, en relación con la constitucionalidad del art. 127.2 (FJ 73) y de la disposición adicional decimotercera del actual Estatuto de Autonomía de Cataluña (FJ 74). Concluyen que no contradice el art. 149.1.28 CE, en relación con el art. 149.2 CE, que los fondos ubicados en archivos de titularidad estatal se integren en sistemas archivísticos de las Comunidades Autónomas, si esto implica una calificación que sólo añade una sobreprotección a dichos fondos, pero sin incidir en la regulación, disposición o gestión de los fondos documentales ni de los archivos en que se ubican. Esta apreciación fue reiterada en las Sentencias que resolvieron los recursos de inconstitucionalidad promovidos contra la misma disposición adicional decimotercera por el Consejo de Gobierno de la Diputación General de Aragón (STC 46/2010, de 8 de septiembre), el Consejo de Gobierno de la Comunidad Autónoma de les Illes Balears (STC 47/2010, de 8 de septiembre) y la Generalitat de la Comunidad Valenciana (STC 48/2010, de 9 de septiembre).</w:t>
      </w:r>
    </w:p>
    <w:p w:rsidR="0026452D" w:rsidRDefault="0026452D" w:rsidP="0026452D">
      <w:pPr>
        <w:pStyle w:val="TextoNormal"/>
      </w:pPr>
    </w:p>
    <w:p w:rsidR="0026452D" w:rsidRDefault="0026452D" w:rsidP="0026452D">
      <w:pPr>
        <w:pStyle w:val="TextoNormal"/>
      </w:pPr>
      <w:r>
        <w:t>A su vez, en la reciente STC 14/2013, de 31 de enero, nos hemos pronunciado sobre la constitucionalidad de la inclusión por la Ley del Parlamento catalán 10/2001, de 13 de julio, de ciertos archivos de titularidad estatal en el sistema archivístico de Cataluña. Hemos insistido en que, rigiéndose los archivos de titularidad estatal exclusivamente por la legislación del Estado, la inclusión de sus fondos en un sistema de archivos autonómico no tiene otro posible efecto que el admitido en la STC 31/2010, de 28 de junio; esto es, “introducir una calificación que sólo puede añadir una sobreprotección a dichos fondos” (FJ 74). En cuanto al Archivo de la Corona de Aragón, al ser de titularidad y gestión estatal, hemos concluido en particular que su inclusión en el sistema archivístico de Cataluña es constitucional, pero que la Comunidad Autónoma de Cataluña carece de competencias sobre el mismo, sin perjuicio de su participación en el patronato constituido por el Real Decreto 1267/2006, de 8 de noviembre. En lo tocante a los archivos históricos provinciales cuya gestión se ha transferido a dicha Comunidad Autónoma, hemos declarado que corresponde a ésta la ejecución de la normativa —legal y reglamentaria— aprobada por el Estado, de acuerdo al correspondiente convenio de traspaso de competencias. Carece pues la Comunidad Autónoma en este ámbito de una potestad reglamentaria de alcance general, estando limitada a la emanación de reglamentos de organización interna y de ordenación funcional de la competencia ejecutiva autonómica, de acuerdo con lo dicho en el fundamento jurídico 61 de la misma STC 31/2010.</w:t>
      </w:r>
    </w:p>
    <w:p w:rsidR="0026452D" w:rsidRDefault="0026452D" w:rsidP="0026452D">
      <w:pPr>
        <w:pStyle w:val="TextoNormal"/>
      </w:pPr>
    </w:p>
    <w:p w:rsidR="0026452D" w:rsidRDefault="0026452D" w:rsidP="0026452D">
      <w:pPr>
        <w:pStyle w:val="TextoNormal"/>
      </w:pPr>
      <w:r>
        <w:t>Por último, hemos sintetizado y aplicado el canon de enjuiciamiento de los preceptos de leyes autonómicas que integran archivos estatales en el sistema archivístico de la Comunidad Autónoma en la reciente STC 38/2013, de 14 de febrero, FJ 5: “si la legislación autonómica llevara a cabo regulaciones reservadas a la competencia legislativa del Estado, se rebasarían los límites competenciales que derivan del art. 149.1.28 CE y, eventualmente, del Estatuto de Autonomía; mientras que si las disposiciones de la ley se refieren o pueden entenderse referidas únicamente a los archivos de competencia de la Comunidad Autónoma, no se habría traspasado ese límite competencial”. En esta ocasión, los archivos estatales calificados como parte del sistema archivístico de la Comunidad, no habían resultado expresamente excluidos del ámbito de aplicación de la Ley castellano-leonesa de archivos y patrimonio documental, sino que se sometían claramente a sus previsiones, al menos en todo lo no expresamente exceptuado en cada caso, lo cual “está en contradicción con el orden constitucional de distribución de competencias en la materia”. Por eso el canon condujo a que se declarase la inconstitucionalidad y nulidad del art. 47 de la Ley, en la redacción dada por el artículo único de la Ley 7/2004, de 22 de diciembre.</w:t>
      </w:r>
    </w:p>
    <w:p w:rsidR="0026452D" w:rsidRDefault="0026452D" w:rsidP="0026452D">
      <w:pPr>
        <w:pStyle w:val="TextoNormal"/>
      </w:pPr>
    </w:p>
    <w:p w:rsidR="0026452D" w:rsidRDefault="0026452D" w:rsidP="0026452D">
      <w:pPr>
        <w:pStyle w:val="TextoNormal"/>
      </w:pPr>
      <w:r w:rsidRPr="0026452D">
        <w:rPr>
          <w:rStyle w:val="NumeroAFNegritaCaracter"/>
        </w:rPr>
        <w:t>4</w:t>
      </w:r>
      <w:r>
        <w:t>. Conforme a la doctrina reseñada, hay que analizar la Ley de la Comunidad Valenciana 3/2005, de 15 de junio, de archivos, y determinar si, al establecer el contenido del sistema archivístico valenciano, está simplemente propiciando que los archivos de titularidad estatal mencionados en el art. 7.4 a) puedan, en su caso, recibir mayor protección, lo que es constitucionalmente aceptable, o los somete, en cambio, a sus prescripciones, afectando en consecuencia a su régimen jurídico o gestión en contra del sistema de distribución competencial.</w:t>
      </w:r>
    </w:p>
    <w:p w:rsidR="0026452D" w:rsidRDefault="0026452D" w:rsidP="0026452D">
      <w:pPr>
        <w:pStyle w:val="TextoNormal"/>
      </w:pPr>
    </w:p>
    <w:p w:rsidR="0026452D" w:rsidRDefault="0026452D" w:rsidP="0026452D">
      <w:pPr>
        <w:pStyle w:val="TextoNormal"/>
      </w:pPr>
      <w:r>
        <w:t xml:space="preserve">El punto de partida ha de ser el objeto y el ámbito de aplicación que la propia Ley delimita en su título preliminar. De acuerdo con el art. 1, la Ley tiene por objeto “regular el Sistema Archivístico Valenciano y establecer los derechos y obligaciones relativos al patrimonio </w:t>
      </w:r>
      <w:r>
        <w:lastRenderedPageBreak/>
        <w:t>documental, tanto de los ciudadanos como de los titulares de los archivos que formen parte del Sistema Archivístico Valenciano o los que, sin estar integrados, puedan ser afectados por esta Ley”. El sistema se define como “el conjunto de órganos, archivos y servicios encargados de la protección, organización y difusión del patrimonio documental valenciano, el cual se organizará de acuerdo con la presente Ley y sus disposiciones de desarrollo” [art. 3 a)]. El art. 2, bajo el rótulo de “ámbito de aplicación”, establece que la Ley se aplica a “todos los archivos valencianos que formen parte del Sistema Archivístico Valenciano” (apartado 1), precisando que “los archivos de titularidad estatal cuya gestión ha sido transferida a la Generalitat se regirán por la normativa estatal y por los convenios de gestión que, en relación con los citados archivos, se suscriban entre el Estado y la Generalitat” (apartado 2) y que “los restantes archivos de titularidad estatal incluidos en el Sistema Archivístico Valenciano, se regirán por la legislación estatal” (apartado 3).</w:t>
      </w:r>
    </w:p>
    <w:p w:rsidR="0026452D" w:rsidRDefault="0026452D" w:rsidP="0026452D">
      <w:pPr>
        <w:pStyle w:val="TextoNormal"/>
      </w:pPr>
    </w:p>
    <w:p w:rsidR="0026452D" w:rsidRDefault="0026452D" w:rsidP="0026452D">
      <w:pPr>
        <w:pStyle w:val="TextoNormal"/>
      </w:pPr>
      <w:r>
        <w:t>La redacción del art. 2 de la Ley no es excesivamente precisa, pero respeta escrupulosamente el orden de distribución competencial. El adjetivo “valencianos” (referido a los archivos que, formando parte del sistema archivístico valenciano, se someten a lo dispuesto en la Ley) apunta a archivos de titularidad autonómica (o, en cualquier caso, no estatal) por contraste con los “archivos de titularidad estatal” que, aunque también formen parte de ese sistema, se rigen claramente por la legislación del Estado y, en su caso, por los convenios de gestión que éste haya suscrito con la Generalitat. Por tanto, la Ley excluye de su ámbito de aplicación el régimen jurídico de los archivos de titularidad estatal.</w:t>
      </w:r>
    </w:p>
    <w:p w:rsidR="0026452D" w:rsidRDefault="0026452D" w:rsidP="0026452D">
      <w:pPr>
        <w:pStyle w:val="TextoNormal"/>
      </w:pPr>
    </w:p>
    <w:p w:rsidR="0026452D" w:rsidRDefault="0026452D" w:rsidP="0026452D">
      <w:pPr>
        <w:pStyle w:val="TextoNormal"/>
      </w:pPr>
      <w:r>
        <w:t>Puede parecer contradictorio que la Ley 3/2005 en el art. 2 excluya los archivos de titularidad estatal de su ámbito de aplicación y que después califique algunos de ellos en el art. 7.4 a) como parte del sistema archivístico valenciano. No obstante, el propio art. 2, aunque de manera imprecisa, da a entender que el ámbito de aplicación de la Ley se extiende a los archivos estatales sólo en cuanto a su calificación como elementos del sistema archivístico autonómico. Así, al distinguir entre “archivos valencianos” y “archivos de titularidad estatal” y referirse a ambos como archivos que “forman parte” o están “incluidos” en el sistema archivístico valenciano. Comoquiera que, de acuerdo con el art. 1, la definición de los elementos que integran ese sistema constituye parte del contenido de la Ley, es claro que algunos archivos estatales entran dentro de su ámbito de aplicación en lo tocante a esa integración. Ahora bien, resulta igualmente claro que, conforme al art. 2, esa extensión del ámbito de aplicación afecta exclusivamente a la calificación de archivos estatales como parte del sistema, no a su régimen jurídico ni gestión. El precepto lo dispone expresamente: “los archivos de titularidad estatal incluidos en el Sistema Archivístico Valenciano, se regirán por la legislación estatal” y, cuando el Estado haya trasferido su gestión, se someterán, además, a “los convenios de gestión que, en relación con los citados archivos, se suscriban entre el Estado y la Generalitat” (art. 2, apartados 2 y 3). Por tanto, el art. 2 viene a señalar que los archivos estatales forman parte del ámbito de aplicación de la Ley, pero sólo en cuanto a su calificación como pertenecientes al sistema archivístico autonómico, en ningún caso respecto de su regulación o gestión. En consonancia con esta delimitación, el título II (“De los Archivos del Sistema Archivístico Valenciano”) regula todos los archivos públicos del art. 7.4 salvo, precisamente, los de titularidad estatal, como subraya el Letrado de la Generalitat.</w:t>
      </w:r>
    </w:p>
    <w:p w:rsidR="0026452D" w:rsidRDefault="0026452D" w:rsidP="0026452D">
      <w:pPr>
        <w:pStyle w:val="TextoNormal"/>
      </w:pPr>
    </w:p>
    <w:p w:rsidR="0026452D" w:rsidRDefault="0026452D" w:rsidP="0026452D">
      <w:pPr>
        <w:pStyle w:val="TextoNormal"/>
      </w:pPr>
      <w:r>
        <w:t xml:space="preserve">Cualquiera que sea el juicio que merezca, desde la perspectiva de la técnica legislativa, que una Ley califique como elementos del sistema autonómico archivos que no quiere ni </w:t>
      </w:r>
      <w:r>
        <w:lastRenderedPageBreak/>
        <w:t>puede regular, este Tribunal, como juez de constitucionalidad de las leyes, debe limitarse a valorar si tal calificación y sus consecuencias legales son conformes a la Constitución. De acuerdo con el canon de constitucionalidad expuesto, la respuesta ha de ser necesariamente positiva porque, al estar excluido el régimen jurídico de los archivos de titularidad estatal del ámbito de aplicación de la Ley, es claro que el apartado a) del art. 7.4 se limita a establecer una calificación constitucionalmente aceptable, sin asignarle efectos que puedan menoscabar la competencia exclusiva del Estado sobre sus propios archivos.</w:t>
      </w:r>
    </w:p>
    <w:p w:rsidR="0026452D" w:rsidRDefault="0026452D" w:rsidP="0026452D">
      <w:pPr>
        <w:pStyle w:val="TextoNormal"/>
      </w:pPr>
    </w:p>
    <w:p w:rsidR="0026452D" w:rsidRDefault="0026452D" w:rsidP="0026452D">
      <w:pPr>
        <w:pStyle w:val="TextoNormal"/>
      </w:pPr>
      <w:r>
        <w:t>Ciertamente, fuera de su título preliminar, la Ley 3/2005 incluye preceptos [como el art. 8.1 o el art. 9, letras a), b) y e)] que, leídos exclusivamente en conexión con el art. 7.4 a), podrían incidir sobre el régimen jurídico de los archivos de titularidad estatal, cuyo establecimiento es competencia exclusiva del Estado. No obstante, como afirmamos ante un problema semejante en la STC 103/1988, de 8 de junio, FJ 4, “la expresa exclusión de los archivos de titularidad estatal de la competencia de la Comunidad Autónoma” permite descartar esa interpretación y concluir que todo el régimen jurídico de esos archivos queda efectivamente fuera del ámbito de aplicación de la Ley. Como hemos declarado recientemente, al pronunciarnos sobre la integración de archivos estatales (entre ellos, como en este caso, el Archivo de la Corona de Aragón) en el sistema de archivos de Cataluña: “La antinomia que pudiera resultar de que la propia Ley que integra archivos de titularidad estatal en el sistema de archivos de Cataluña los excluya de su ámbito de aplicación, debe ser resuelta, como hicimos en la STC 103/1988, de 8 de junio, mediante una comprensión de los preceptos de la Ley que permite concluir que, efectivamente, quedan fuera del ámbito de la Ley impugnada los archivos de titularidad estatal, incluso aunque éstos custodien fondos que la legislación autonómica declare ahora o en el futuro como pertenecientes al patrimonio documental autonómico. De este modo, la inclusión de los archivos de titularidad estatal en el sistema de archivos de Cataluña debe entenderse vinculada a la protección añadida que la Comunidad Autónoma pueda dispensar a fondos documentales obrantes en tales archivos, al ser el de la protección de los fondos documentales uno de los fines que la Ley asigna al sistema de archivos de Cataluña (art. 16.1)” (STC 14/2013, de 31 de enero, FJ 6). Téngase en cuenta que la circunstancia de que la Ley castellano-leonesa 6/1991 no excluyera explícitamente de su ámbito de aplicación la serie de archivos estatales integrada en el sistema archivístico de la Comunidad fue lo que nos obligó a anular el precepto que establecía esa integración: los archivos estatales, al no estar expresamente excluidos, se sometían claramente a las previsiones de la Ley, al menos en todo lo no exceptuado en cada caso, lo que era contrario al orden constitucional (STC 38/2013, de 14 de febrero, FJ 5). Sin embargo, en el presente supuesto, la delimitación que la propia Ley de archivos de la Comunidad Valenciana hace de su ámbito de aplicación permite conjurar esta interpretación.</w:t>
      </w:r>
    </w:p>
    <w:p w:rsidR="0026452D" w:rsidRDefault="0026452D" w:rsidP="0026452D">
      <w:pPr>
        <w:pStyle w:val="TextoNormal"/>
      </w:pPr>
    </w:p>
    <w:p w:rsidR="0026452D" w:rsidRDefault="0026452D" w:rsidP="0026452D">
      <w:pPr>
        <w:pStyle w:val="TextoNormal"/>
      </w:pPr>
      <w:r>
        <w:t xml:space="preserve">Así las cosas, los archivos de titularidad estatal indicados en el precepto impugnado, aunque se rigen exclusivamente por la legislación del Estado y, en su caso, por los convenios de gestión suscritos por éste con la Comunidad Valenciana, pueden formar parte del sistema autonómico de archivos, sin que esto tenga otro posible efecto que el admitido en la STC 31/2010, de 28 de junio, FJ 74; esto es, la adición de una “sobreprotección a dichos fondos”. En relación con el Archivo de la Corona de Aragón, en cuanto archivo cuya gestión tiene reservada el Estado, la Comunidad Valenciana carece de competencias ejecutivas, sin perjuicio de su participación en el patronato constituido por el Real Decreto 1267/2006, de 8 de noviembre. Respecto del Archivo del Reino de Valencia, los históricos provinciales de Castellón y Alicante y el histórico de Orihuela, al haber transferido el Estado su gestión, </w:t>
      </w:r>
      <w:r>
        <w:lastRenderedPageBreak/>
        <w:t>corresponde a la Comunidad Valenciana la ejecución de la normativa aprobada por el Estado en los términos del correspondiente Convenio de traspaso de competencias. Debe tenerse en cuenta que la transferencia de la gestión no conlleva la atribución de la potestad reglamentaria, pues lo que en su párrafo final establece el art. 149.1.28 CE es la posibilidad del traspaso. Una vez efectuado, corresponde a las Comunidades Autónomas “la ejecución de la legislación del Estado”, pero ésta puede incluir normativa de rango tanto legal como reglamentario (STC 17/1991, de 31 de enero, FJ 19). El concepto constitucional de “gestión” que figura como límite de la competencia autonómica en art. 149.1.28 CE puede incluir la emanación de reglamentos de organización interna y ordenación funcional, pero no dar pie al ejercicio de una potestad reglamentaria de alcance general por parte de la Comunidad Autónoma, según hemos precisado al hilo del examen del art. 127.2 del vigente Estatuto de Autonomía de Cataluña (STC 31/2010, FJ 61).</w:t>
      </w:r>
    </w:p>
    <w:p w:rsidR="0026452D" w:rsidRDefault="0026452D" w:rsidP="0026452D">
      <w:pPr>
        <w:pStyle w:val="TextoNormal"/>
      </w:pPr>
    </w:p>
    <w:p w:rsidR="0026452D" w:rsidRDefault="0026452D" w:rsidP="0026452D">
      <w:pPr>
        <w:pStyle w:val="TextoNormal"/>
      </w:pPr>
      <w:r>
        <w:t>Los razonamientos expuestos conducen pues a considerar que la interpretación del precepto impugnado, atendiendo a su texto, al conjunto normativo en que se integra y a la doctrina consolidada de este Tribunal, no transgrede los límites competenciales establecidos en el art. 149.1.28 en relación con el art. 149.2 de la Constitución.</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70" w:name="SENTENCIA_2013_67"/>
      <w:r>
        <w:lastRenderedPageBreak/>
        <w:t>SENTENCIA 67/2013, de 14 de marzo de 2013</w:t>
      </w:r>
    </w:p>
    <w:bookmarkEnd w:id="70"/>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ECLI:ES:TC:2013:67</w:t>
      </w:r>
    </w:p>
    <w:p w:rsidR="0026452D" w:rsidRDefault="0026452D" w:rsidP="0026452D">
      <w:pPr>
        <w:pStyle w:val="SntesisDescriptiva"/>
      </w:pPr>
    </w:p>
    <w:p w:rsidR="0026452D" w:rsidRDefault="0026452D" w:rsidP="0026452D">
      <w:pPr>
        <w:pStyle w:val="SntesisDescriptiva"/>
      </w:pPr>
      <w:r>
        <w:t>Recurso de inconstitucionalidad 1278-2006. Interpuesto por más de cincuenta Senadores del Grupo Parlamentario Popular del Senado en relación con diversos preceptos de la Ley 21/2005, de restitución a la Generalidad de Cataluña de los documentos incautados con motivo de la guerra civil custodiados en el Archivo General de la Guerra Civil Española y de creación del Centro Documental de la Memoria Histórica.</w:t>
      </w:r>
    </w:p>
    <w:p w:rsidR="0026452D" w:rsidRDefault="0026452D" w:rsidP="0026452D">
      <w:pPr>
        <w:pStyle w:val="SntesisDescriptiva"/>
      </w:pPr>
    </w:p>
    <w:p w:rsidR="0026452D" w:rsidRDefault="0026452D" w:rsidP="0026452D">
      <w:pPr>
        <w:pStyle w:val="SntesisAnaltica"/>
      </w:pPr>
      <w:r>
        <w:t>Principios de interdicción de la arbitrariedad y protección del patrimonio cultural; competencias en materia de archivos: STC 20/2013 (constitucionalidad de los preceptos legales estatales que establecen un régimen especial para Cataluña de devolución de documentos).</w:t>
      </w:r>
    </w:p>
    <w:p w:rsidR="0026452D" w:rsidRDefault="0026452D" w:rsidP="0026452D">
      <w:pPr>
        <w:pStyle w:val="SntesisAnaltica"/>
      </w:pPr>
    </w:p>
    <w:p w:rsidR="0026452D" w:rsidRDefault="0026452D" w:rsidP="0026452D">
      <w:pPr>
        <w:pStyle w:val="Extracto"/>
      </w:pPr>
      <w:r>
        <w:t>1.</w:t>
      </w:r>
      <w:r>
        <w:tab/>
        <w:t>La decisión del legislador democráticamente elegido de dar satisfacción a instituciones o ciudadanos que sufrieron las consecuencias de la guerra civil, mediante la restitución de los efectos y documentos incautados con fines represivos y que forman parte del Archivo General de la Guerra Civil Española, no constituye una decisión arbitraria o irracional, descartándose que nos encontremos ante un supuesto de expoliación, teniendo la protección del interés de los propietarios originarios o de sus sucesores de recuperar lo incautado una finalidad constitucionalmente legítima que el legislador, de acuerdo con el margen de apreciación que le corresponde, puede considerar preeminente frente a otros concurrentes (SSTC 17/1991, 20/2013) [FJ 2].</w:t>
      </w:r>
    </w:p>
    <w:p w:rsidR="0026452D" w:rsidRDefault="0026452D" w:rsidP="0026452D">
      <w:pPr>
        <w:pStyle w:val="Extracto"/>
      </w:pPr>
    </w:p>
    <w:p w:rsidR="0026452D" w:rsidRDefault="0026452D" w:rsidP="0026452D">
      <w:pPr>
        <w:pStyle w:val="Extracto"/>
      </w:pPr>
      <w:r>
        <w:t>2.</w:t>
      </w:r>
      <w:r>
        <w:tab/>
        <w:t>Debemos descartar que nos encontremos ante una privación arbitraria o irracional de la finalidad que cumple el Archivo General de la Guerra Civil, pues dicha  finalidad –de reunir, conservar y disponer sus fondos documentales para investigación, cultura e información– parece salvaguardarse tanto con la conservación del contenido documental mediante la realización de copias como con el establecimiento de obligaciones de protección y accesibilidad que se establecen para los documentos que se restituyan a sus propietarios originarios (STC 20/2013) [FJ 2].</w:t>
      </w:r>
    </w:p>
    <w:p w:rsidR="0026452D" w:rsidRDefault="0026452D" w:rsidP="0026452D">
      <w:pPr>
        <w:pStyle w:val="Extracto"/>
      </w:pPr>
    </w:p>
    <w:p w:rsidR="0026452D" w:rsidRDefault="0026452D" w:rsidP="0026452D">
      <w:pPr>
        <w:pStyle w:val="Extracto"/>
      </w:pPr>
      <w:r>
        <w:t>3.</w:t>
      </w:r>
      <w:r>
        <w:tab/>
        <w:t>La decisión estatal de solicitar la colaboración de la Comunidad Autónoma y encomendar a la Generalitat, que es también Estado, la gestión de la restitución de aquellos documentos incautados en Cataluña, y depositados en el Archivo General de la Guerra Civil Española, es conforme con la distribución constitucional de competencias, que reconoce a Cataluña la competencia ejecutiva sobre los archivos de titularidad estatal cuya gestión no se reserve expresamente el Estado, siendo la transferencia de la documentación la consecuencia lógica de la atribución de la gestión de la restitución (STC 20/2013) [FJ 2].</w:t>
      </w:r>
    </w:p>
    <w:p w:rsidR="0026452D" w:rsidRDefault="0026452D" w:rsidP="0026452D">
      <w:pPr>
        <w:pStyle w:val="Extracto"/>
      </w:pPr>
    </w:p>
    <w:p w:rsidR="0026452D" w:rsidRDefault="0026452D" w:rsidP="0026452D">
      <w:pPr>
        <w:pStyle w:val="Extracto"/>
      </w:pPr>
      <w:r>
        <w:t>4.</w:t>
      </w:r>
      <w:r>
        <w:tab/>
        <w:t>La cuestión relativa a la propiedad de los documentos transferidos a la Generalitat que no puedan ser restituidos ya ha sido resuelta en la STC 20/2013 [FJ 2].</w:t>
      </w:r>
    </w:p>
    <w:p w:rsidR="0026452D" w:rsidRDefault="0026452D" w:rsidP="0026452D">
      <w:pPr>
        <w:pStyle w:val="Extracto"/>
      </w:pPr>
    </w:p>
    <w:p w:rsidR="0026452D" w:rsidRDefault="0026452D" w:rsidP="0026452D">
      <w:pPr>
        <w:pStyle w:val="Extracto"/>
      </w:pPr>
      <w:r>
        <w:lastRenderedPageBreak/>
        <w:t>5.</w:t>
      </w:r>
      <w:r>
        <w:tab/>
        <w:t>El régimen de protección de los documentos restituidos –depositados hasta ahora en el Archivo General de la Guerra Civil Española– es el establecido en las normas del Estado y de las Comunidades Autónomas sobre patrimonio histórico, siendo indudable que los intereses públicos se encuentran suficientemente protegidos por los poderes públicos como garantía del derecho que a su conservación y disfrute ostenta la comunidad, no exigiendo el art. 46 CE que tenga que ser la ley que determina la restitución de la documentación incautada la que tenga que prever su régimen de protección (STC 20/2013) [FJ 9].</w:t>
      </w:r>
    </w:p>
    <w:p w:rsidR="0026452D" w:rsidRDefault="0026452D" w:rsidP="0026452D">
      <w:pPr>
        <w:pStyle w:val="Extracto"/>
      </w:pPr>
    </w:p>
    <w:p w:rsidR="0026452D" w:rsidRDefault="0026452D" w:rsidP="0026452D">
      <w:pPr>
        <w:pStyle w:val="Extracto"/>
      </w:pPr>
      <w:r>
        <w:t>6.</w:t>
      </w:r>
      <w:r>
        <w:tab/>
        <w:t>La diferencia que introduce la Ley 21/2005 en lo que se refiere a la gestión de la devolución de los documentos en su día incautados, no es una opción del legislador que carezca de toda justificación razonable, pues el especial régimen de devolución de documentos previsto para Cataluña se puede justificar en la existencia de una reivindicación sostenida a lo largo del tiempo por parte de sus instituciones, así como por el reconocimiento de un régimen de autonomía para Cataluña en el momento mismo de la incautación de los documentos, teniendo la Generalitat, ahora y en el momento de la incautación, competencias en materia de archivos (STC 20/2013)  [FJ 2].</w:t>
      </w:r>
    </w:p>
    <w:p w:rsidR="0026452D" w:rsidRDefault="0026452D" w:rsidP="0026452D">
      <w:pPr>
        <w:pStyle w:val="Extracto"/>
      </w:pPr>
    </w:p>
    <w:p w:rsidR="0026452D" w:rsidRDefault="0026452D" w:rsidP="0026452D">
      <w:pPr>
        <w:pStyle w:val="Extracto"/>
      </w:pPr>
      <w:r>
        <w:t>7.</w:t>
      </w:r>
      <w:r>
        <w:tab/>
        <w:t>Los entes públicos no pueden ser considerados como titulares del derecho fundamental a la no discriminación amparado por el art. 14 CE, que se refiere a los españoles y no es de aplicación a las personas jurídico-públicas en cuanto tales (STC 20/2013)  [FJ 2].</w:t>
      </w:r>
    </w:p>
    <w:p w:rsidR="0026452D" w:rsidRDefault="0026452D" w:rsidP="0026452D">
      <w:pPr>
        <w:pStyle w:val="Extracto"/>
      </w:pPr>
    </w:p>
    <w:p w:rsidR="0026452D" w:rsidRDefault="0026452D" w:rsidP="0026452D">
      <w:pPr>
        <w:pStyle w:val="Extracto"/>
      </w:pPr>
      <w:r>
        <w:t>8.</w:t>
      </w:r>
      <w:r>
        <w:tab/>
        <w:t>No puede tacharse de arbitraria una norma que persigue una finalidad razonable y que no se muestra desprovista de todo fundamento, aunque pueda legítimamente discreparse de la concreta solución adoptada, pues entrar en un enjuiciamiento de cuál sería su medida justa supone discutir una opción tomada por el legislador que, aun cuando pueda ser discutible, no resulta arbitraria ni irracional, tanto más cuando el reparo que se le opone no deja de ser otra cosa que una objeción de oportunidad, sin relevancia, por tanto, desde el punto de vista constitucional (SSTC 149/2006, 20/2013)  [FJ 2].</w:t>
      </w:r>
    </w:p>
    <w:p w:rsidR="0026452D" w:rsidRDefault="0026452D" w:rsidP="0026452D">
      <w:pPr>
        <w:pStyle w:val="Extracto"/>
      </w:pPr>
    </w:p>
    <w:p w:rsidR="0026452D" w:rsidRDefault="0026452D" w:rsidP="0026452D">
      <w:pPr>
        <w:pStyle w:val="Extracto"/>
      </w:pPr>
      <w:r>
        <w:t>9.</w:t>
      </w:r>
      <w:r>
        <w:tab/>
        <w:t>La cuestión planteada sobre el encargo a la Generalitat, y no a otras personas jurídicas, de la restitución de los documentos a sus propietarios originarios ya ha sido resuelta en la STC 20/2013  [FJ 2].</w:t>
      </w:r>
    </w:p>
    <w:p w:rsidR="0026452D" w:rsidRDefault="0026452D" w:rsidP="0026452D">
      <w:pPr>
        <w:pStyle w:val="Extracto"/>
      </w:pPr>
    </w:p>
    <w:p w:rsidR="0026452D" w:rsidRDefault="0026452D" w:rsidP="0026452D">
      <w:pPr>
        <w:pStyle w:val="Extracto"/>
      </w:pPr>
      <w:r>
        <w:t>10.</w:t>
      </w:r>
      <w:r>
        <w:tab/>
        <w:t>La decisión del legislador estatal de restituir los efectos y documentos en su día incautados y que hoy forman parte de un concreto archivo estatal, el Archivo General de la Guerra Civil Española, no altera la imagen que hace reconocible a tal archivo en concreto, pues no es posible deducir del art. 149.1.28 CE la existencia de una garantía de la integridad del mismo, ya que nos encontramos ante un precepto atributivo de competencias en el que no es posible reconocer una garantía institucional tal y como ha sido definida por nuestra doctrina (STC 20/2013)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lastRenderedPageBreak/>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1278-2006 interpuesto por más de cincuenta Senadores del Grupo Parlamentario Popular del Senado contra los artículos 1, 2.2, 3.1 y 3, 4.1, 5.2 y las disposiciones adicionales primera y segunda de la Ley 21/2005, de 17 de noviembre, de restitución a la Generalidad de Cataluña de los documentos incautados con motivo de la guerra civil custodiados en el Archivo General de la Guerra Civil Española y de creación del Centro Documental de la Memoria Histórica. Ha intervenido y formulado alegaciones el Abogado del Estado. Ha sido Ponente el Presidente don Pascual Sala Sánchez,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Con fecha 9 de febrero de 2006 tuvo entrada en el Registro de este Tribunal un escrito de doña María Rosa Vindel, Comisionada por más de cincuenta Senadores del Grupo Parlamentario Popular, mediante el cual promovió recurso de inconstitucionalidad contra los artículos 1, 2.2, 3.1 y 3, 4.1, 5.2 y las disposiciones adicionales primera y segunda de la Ley 21/2005, de 17 de noviembre, de restitución a la Generalidad de Cataluña de los documentos incautados con motivo de la guerra civil custodiados en el Archivo General de la Guerra Civil Española y de creación del Centro Documental de la Memoria Histórica. La fundamentación que sustenta la impugnación se resume a continuación.</w:t>
      </w:r>
    </w:p>
    <w:p w:rsidR="0026452D" w:rsidRDefault="0026452D" w:rsidP="0026452D">
      <w:pPr>
        <w:pStyle w:val="TextoNormal"/>
      </w:pPr>
    </w:p>
    <w:p w:rsidR="0026452D" w:rsidRDefault="0026452D" w:rsidP="0026452D">
      <w:pPr>
        <w:pStyle w:val="TextoNormal"/>
      </w:pPr>
      <w:r>
        <w:t>a) Comienza el escrito de recurso examinando los antecedentes históricos del denominado Archivo General de la Guerra Civil Española algunos de cuyos hitos más relevantes son los siguientes.</w:t>
      </w:r>
    </w:p>
    <w:p w:rsidR="0026452D" w:rsidRDefault="0026452D" w:rsidP="0026452D">
      <w:pPr>
        <w:pStyle w:val="TextoNormal"/>
      </w:pPr>
    </w:p>
    <w:p w:rsidR="0026452D" w:rsidRDefault="0026452D" w:rsidP="0026452D">
      <w:pPr>
        <w:pStyle w:val="TextoNormal"/>
      </w:pPr>
      <w:r>
        <w:t>En plena guerra civil (1937) se crearon la oficina de investigación y propaganda anticomunista y la delegación nacional de asuntos especiales, precedentes de lo que poco después (1938) sería la delegación del Estado para la recuperación de documentos, con sede en Salamanca, que tenía como objetivo “recuperar, clasificar y custodiar” la documentación procedente de entidades y personas para “facilitar al Estado información referente a la actuación de sus enemigos”.</w:t>
      </w:r>
    </w:p>
    <w:p w:rsidR="0026452D" w:rsidRDefault="0026452D" w:rsidP="0026452D">
      <w:pPr>
        <w:pStyle w:val="TextoNormal"/>
      </w:pPr>
    </w:p>
    <w:p w:rsidR="0026452D" w:rsidRDefault="0026452D" w:rsidP="0026452D">
      <w:pPr>
        <w:pStyle w:val="TextoNormal"/>
      </w:pPr>
      <w:r>
        <w:lastRenderedPageBreak/>
        <w:t xml:space="preserve">La delegación del Estado para la recuperación de documentos, fusionada con otros organismos, daría lugar en 1944 a la delegación nacional de servicios documentales de la Presidencia del Gobierno hasta que por Decreto 276/1977 fue suprimida, pasando su archivo y personal al Ministerio de Cultura. Según indica el escrito del recurso, en ese momento se agotó la etapa de acopio, elaboración y utilización para los fines de la represión política de una documentación que, a partir de este momento, empezó, se afirma, una nueva vida como </w:t>
      </w:r>
      <w:r w:rsidRPr="0026452D">
        <w:rPr>
          <w:i/>
        </w:rPr>
        <w:t>corpus</w:t>
      </w:r>
      <w:r>
        <w:t xml:space="preserve"> cultural e histórico, como soporte de la memoria colectiva.</w:t>
      </w:r>
    </w:p>
    <w:p w:rsidR="0026452D" w:rsidRDefault="0026452D" w:rsidP="0026452D">
      <w:pPr>
        <w:pStyle w:val="TextoNormal"/>
      </w:pPr>
    </w:p>
    <w:p w:rsidR="0026452D" w:rsidRDefault="0026452D" w:rsidP="0026452D">
      <w:pPr>
        <w:pStyle w:val="TextoNormal"/>
      </w:pPr>
      <w:r>
        <w:t>En 1979 la documentación, la incautada y la elaborada por los organismos represores a partir de la incautada, pasó a formar parte de la sección guerra civil del Archivo Histórico Nacional con sede en Salamanca, beneficiándose de la protección que el ordenamiento jurídico dispensa a éste y a los demás archivos estatales.</w:t>
      </w:r>
    </w:p>
    <w:p w:rsidR="0026452D" w:rsidRDefault="0026452D" w:rsidP="0026452D">
      <w:pPr>
        <w:pStyle w:val="TextoNormal"/>
      </w:pPr>
    </w:p>
    <w:p w:rsidR="0026452D" w:rsidRDefault="0026452D" w:rsidP="0026452D">
      <w:pPr>
        <w:pStyle w:val="TextoNormal"/>
      </w:pPr>
      <w:r>
        <w:t>En 1986 se procedió a la microfilmación de una serie de documentos, entre los que estaban muchos procedentes de la antigua Generalidad, que se conservaban en la sección guerra civil del Archivo Histórico Nacional. El material microfilmado fue entregado al Archivo General de Cataluña.</w:t>
      </w:r>
    </w:p>
    <w:p w:rsidR="0026452D" w:rsidRDefault="0026452D" w:rsidP="0026452D">
      <w:pPr>
        <w:pStyle w:val="TextoNormal"/>
      </w:pPr>
    </w:p>
    <w:p w:rsidR="0026452D" w:rsidRDefault="0026452D" w:rsidP="0026452D">
      <w:pPr>
        <w:pStyle w:val="TextoNormal"/>
      </w:pPr>
      <w:r>
        <w:t>En 1999 se crea el Archivo General de la Guerra Civil Española por Real Decreto 426/1999 cuyo núcleo documental fue el acervo de la sección guerra civil del Archivo Histórico Nacional.</w:t>
      </w:r>
    </w:p>
    <w:p w:rsidR="0026452D" w:rsidRDefault="0026452D" w:rsidP="0026452D">
      <w:pPr>
        <w:pStyle w:val="TextoNormal"/>
      </w:pPr>
    </w:p>
    <w:p w:rsidR="0026452D" w:rsidRDefault="0026452D" w:rsidP="0026452D">
      <w:pPr>
        <w:pStyle w:val="TextoNormal"/>
      </w:pPr>
      <w:r>
        <w:t>Para tratar de dar ejecución a una propuesta formulada unos años antes, en noviembre de 1996, por la Junta Superior de Archivos y cumplir con la voluntad expresada por el Congreso de los Diputados en mayo de 1996 se constituyó en el año 2000 una comisión de expertos cuyo cometido era realizar una propuesta acerca de la documentación del recién creado Archivo General de la Guerra Civil Española que podría depositarse en Cataluña. Los expertos no consiguieron ponerse de acuerdo y el patronato del archivo no adoptó ninguna iniciativa relativa a la posible salida de documentos del archivo.</w:t>
      </w:r>
    </w:p>
    <w:p w:rsidR="0026452D" w:rsidRDefault="0026452D" w:rsidP="0026452D">
      <w:pPr>
        <w:pStyle w:val="TextoNormal"/>
      </w:pPr>
    </w:p>
    <w:p w:rsidR="0026452D" w:rsidRDefault="0026452D" w:rsidP="0026452D">
      <w:pPr>
        <w:pStyle w:val="TextoNormal"/>
      </w:pPr>
      <w:r>
        <w:t>Tras el cambio de mayoría parlamentaria en 2004 se aprobó en el Congreso una nueva proposición no de ley instando al Gobierno a iniciar un proceso de diálogo con el Gobierno de la Generalitat “que permita resolver el contencioso planteado en relación con la documentación incautada que en la actualidad se halla recogida en el Archivo General de la Guerra Civil”.</w:t>
      </w:r>
    </w:p>
    <w:p w:rsidR="0026452D" w:rsidRDefault="0026452D" w:rsidP="0026452D">
      <w:pPr>
        <w:pStyle w:val="TextoNormal"/>
      </w:pPr>
    </w:p>
    <w:p w:rsidR="0026452D" w:rsidRDefault="0026452D" w:rsidP="0026452D">
      <w:pPr>
        <w:pStyle w:val="TextoNormal"/>
      </w:pPr>
      <w:r>
        <w:t>Finalmente se aprobó por las Cortes Generales la Ley 21/2005, de 17 de noviembre, de restitución a la Generalidad de Cataluña de los documentos incautados con motivo de la guerra civil custodiados en el Archivo General de la Guerra Civil Española y de creación del Centro Documental de la Memoria Histórica que aquí se impugna.</w:t>
      </w:r>
    </w:p>
    <w:p w:rsidR="0026452D" w:rsidRDefault="0026452D" w:rsidP="0026452D">
      <w:pPr>
        <w:pStyle w:val="TextoNormal"/>
      </w:pPr>
    </w:p>
    <w:p w:rsidR="0026452D" w:rsidRDefault="0026452D" w:rsidP="0026452D">
      <w:pPr>
        <w:pStyle w:val="TextoNormal"/>
      </w:pPr>
      <w:r>
        <w:t>b) Se impugnan en primer lugar los artículos 1 y 2.2, así como la disposición adicional primera de la Ley 21/2005, de 17 de noviembre por infringir lo dispuesto en el artículo 149.1.28 CE.</w:t>
      </w:r>
    </w:p>
    <w:p w:rsidR="0026452D" w:rsidRDefault="0026452D" w:rsidP="0026452D">
      <w:pPr>
        <w:pStyle w:val="TextoNormal"/>
      </w:pPr>
    </w:p>
    <w:p w:rsidR="0026452D" w:rsidRDefault="0026452D" w:rsidP="0026452D">
      <w:pPr>
        <w:pStyle w:val="TextoNormal"/>
      </w:pPr>
      <w:r>
        <w:t xml:space="preserve">Señala el escrito de interposición del recurso que el artículo 149.1.28 CE atribuye al Estado la competencia en materia de “defensa del patrimonio cultural, artístico y monumental español contra la exportación y la expoliación” y también sobre todo lo concerniente a </w:t>
      </w:r>
      <w:r>
        <w:lastRenderedPageBreak/>
        <w:t>los “museos, bibliotecas y archivos de titularidad estatal, sin perjuicio de su gestión por parte de las Comunidades Autónomas”. Para la demanda ambas rúbricas del art. 149.1.28 CE habrían sido infringidas por la Ley recurrida.</w:t>
      </w:r>
    </w:p>
    <w:p w:rsidR="0026452D" w:rsidRDefault="0026452D" w:rsidP="0026452D">
      <w:pPr>
        <w:pStyle w:val="TextoNormal"/>
      </w:pPr>
    </w:p>
    <w:p w:rsidR="0026452D" w:rsidRDefault="0026452D" w:rsidP="0026452D">
      <w:pPr>
        <w:pStyle w:val="TextoNormal"/>
      </w:pPr>
      <w:r>
        <w:t>De acuerdo con la demanda el alcance del concepto defensa del patrimonio contra la expoliación quedó precisado por la STC 17/1991, FJ 7, que admitió que la Ley del patrimonio histórico definiese la expoliación del patrimonio también como aquella perturbación del cumplimiento de su función social que no sería sino “la privación del destino y utilidad general que es propio de cada uno de los bienes, aunque materialmente el bien mismo permanezca”.</w:t>
      </w:r>
    </w:p>
    <w:p w:rsidR="0026452D" w:rsidRDefault="0026452D" w:rsidP="0026452D">
      <w:pPr>
        <w:pStyle w:val="TextoNormal"/>
      </w:pPr>
    </w:p>
    <w:p w:rsidR="0026452D" w:rsidRDefault="0026452D" w:rsidP="0026452D">
      <w:pPr>
        <w:pStyle w:val="TextoNormal"/>
      </w:pPr>
      <w:r>
        <w:t>Según la demanda para que estemos en presencia de una expoliación basta que se le prive al bien del destino y utilidad que le corresponda y que se perturbe, en consecuencia, el cumplimiento de la función social a la que ese bien está afecto. De acuerdo con el recurso, la Constitución en su artículo 149.1.28 obliga al Estado a adoptar las medidas precisas para hacer frente a una situación de expoliación. Si no lo hace estaría infringiendo la norma constitucional que le atribuye en exclusiva esa función, así como el art. 46 CE que obliga a todos los poderes públicos a garantizar la conservación del patrimonio histórico y cultural y de los bienes que lo integran.</w:t>
      </w:r>
    </w:p>
    <w:p w:rsidR="0026452D" w:rsidRDefault="0026452D" w:rsidP="0026452D">
      <w:pPr>
        <w:pStyle w:val="TextoNormal"/>
      </w:pPr>
    </w:p>
    <w:p w:rsidR="0026452D" w:rsidRDefault="0026452D" w:rsidP="0026452D">
      <w:pPr>
        <w:pStyle w:val="TextoNormal"/>
      </w:pPr>
      <w:r>
        <w:t>Para la demanda la ley impugnada pone en peligro de pérdida o destrucción los valores vinculados a los fondos documentales que se conservan en un archivo de titularidad estatal perturbando gravemente el cumplimiento de su función social, lo que constituye un supuesto típico de expoliación tal como es definido en la Ley del patrimonio histórico español, definición considerada plenamente constitucional en la STC 17/1991 y que constituye una referencia obligada a la hora de valorar las conductas contrarias al art. 149.1.28 CE.</w:t>
      </w:r>
    </w:p>
    <w:p w:rsidR="0026452D" w:rsidRDefault="0026452D" w:rsidP="0026452D">
      <w:pPr>
        <w:pStyle w:val="TextoNormal"/>
      </w:pPr>
    </w:p>
    <w:p w:rsidR="0026452D" w:rsidRDefault="0026452D" w:rsidP="0026452D">
      <w:pPr>
        <w:pStyle w:val="TextoNormal"/>
      </w:pPr>
      <w:r>
        <w:t>El escrito de planteamiento del recurso de inconstitucionalidad denuncia que el artículo 1 de la Ley impugnada al establecer que su objeto es “la restitución de los documentos y efectos incautados en Cataluña por la Delegación del Estado para la Recuperación de Documentos creada en virtud del Decreto de 26 de abril de 1938” supone la salida del Archivo General de la Guerra Civil Española no sólo de los documentos de Cataluña, esto es, los procedentes de, o producidos por, la Generalitat de Cataluña, sino también de cualesquiera otros, pertenecientes a, o procedentes de, otras personas o instituciones con tal de que fueran incautados en Cataluña, lo que amplía desmesuradamente el número de documentos a extraer del Archivo dado que la retirada del ejército de la República se hizo a través del territorio catalán.</w:t>
      </w:r>
    </w:p>
    <w:p w:rsidR="0026452D" w:rsidRDefault="0026452D" w:rsidP="0026452D">
      <w:pPr>
        <w:pStyle w:val="TextoNormal"/>
      </w:pPr>
    </w:p>
    <w:p w:rsidR="0026452D" w:rsidRDefault="0026452D" w:rsidP="0026452D">
      <w:pPr>
        <w:pStyle w:val="TextoNormal"/>
      </w:pPr>
      <w:r>
        <w:t>El artículo 2.2 de la Ley impugnada ordena la transferencia a la Generalitat de Cataluña de los documentos, fondos documentales y otros efectos, incautados por la delegación del Estado para la recuperación de documentos en Cataluña a personas naturales o jurídicas de carácter privado, con residencia, domicilio, delegación o secciones en Cataluña.</w:t>
      </w:r>
    </w:p>
    <w:p w:rsidR="0026452D" w:rsidRDefault="0026452D" w:rsidP="0026452D">
      <w:pPr>
        <w:pStyle w:val="TextoNormal"/>
      </w:pPr>
    </w:p>
    <w:p w:rsidR="0026452D" w:rsidRDefault="0026452D" w:rsidP="0026452D">
      <w:pPr>
        <w:pStyle w:val="TextoNormal"/>
      </w:pPr>
      <w:r>
        <w:t xml:space="preserve">Para el escrito de planteamiento del recurso de inconstitucionalidad el archivo hasta ahora general de la guerra civil, tras la restitución prevista en los artículos referidos se ve seriamente mutilado convirtiéndose, se afirma, en un archivo parcial o un almacén parcial de restos documentales. Esta mutilación se amplía, además, por la previsión de la disposición adicional primera de la ley impugnada que establece la posibilidad de restitución de </w:t>
      </w:r>
      <w:r>
        <w:lastRenderedPageBreak/>
        <w:t>los documentos, fondos documentales y efectos a las personas naturales o jurídicas de carácter privado si lo solicitan otras Comunidades Autónomas.</w:t>
      </w:r>
    </w:p>
    <w:p w:rsidR="0026452D" w:rsidRDefault="0026452D" w:rsidP="0026452D">
      <w:pPr>
        <w:pStyle w:val="TextoNormal"/>
      </w:pPr>
    </w:p>
    <w:p w:rsidR="0026452D" w:rsidRDefault="0026452D" w:rsidP="0026452D">
      <w:pPr>
        <w:pStyle w:val="TextoNormal"/>
      </w:pPr>
      <w:r>
        <w:t>De acuerdo con el escrito de planteamiento del recurso de inconstitucionalidad ello supone una expoliación al suponer una perturbación del cumplimiento de la función social que a los fondos documentales y al Archivo General de la Guerra Civil Española les corresponde a los que se priva y aparta del destino que les es propio en perjuicio del conjunto de los ciudadanos españoles de hoy y de las generaciones sucesivas. Esta perturbación trata de ser demostrada con la cuantificación de los fondos que se devolverían, prácticamente la mitad de los fondos actuales, realizada por un informe del Director del Archivo General de Castilla y León.</w:t>
      </w:r>
    </w:p>
    <w:p w:rsidR="0026452D" w:rsidRDefault="0026452D" w:rsidP="0026452D">
      <w:pPr>
        <w:pStyle w:val="TextoNormal"/>
      </w:pPr>
    </w:p>
    <w:p w:rsidR="0026452D" w:rsidRDefault="0026452D" w:rsidP="0026452D">
      <w:pPr>
        <w:pStyle w:val="TextoNormal"/>
      </w:pPr>
      <w:r>
        <w:t>Para el escrito de recurso la expoliación es indiscutible por lo que se solicita la declaración de inconstitucionalidad y nulidad de los artículos 1 y 2.2 y de la disposición adicional primera de la Ley impugnada.</w:t>
      </w:r>
    </w:p>
    <w:p w:rsidR="0026452D" w:rsidRDefault="0026452D" w:rsidP="0026452D">
      <w:pPr>
        <w:pStyle w:val="TextoNormal"/>
      </w:pPr>
    </w:p>
    <w:p w:rsidR="0026452D" w:rsidRDefault="0026452D" w:rsidP="0026452D">
      <w:pPr>
        <w:pStyle w:val="TextoNormal"/>
      </w:pPr>
      <w:r>
        <w:t>c) A la misma conclusión llega el escrito de planteamiento del recurso de inconstitucionalidad respecto de la confrontación de los arts. 1 y 2.2 y la disposición adicional primera de la Ley impugnada con la segunda de las rúbricas competenciales que el art. 149.1.28 CE contiene, la que reserva al Estado la competencia sobre “los museos, bibliotecas y archivos de titularidad estatal”.</w:t>
      </w:r>
    </w:p>
    <w:p w:rsidR="0026452D" w:rsidRDefault="0026452D" w:rsidP="0026452D">
      <w:pPr>
        <w:pStyle w:val="TextoNormal"/>
      </w:pPr>
    </w:p>
    <w:p w:rsidR="0026452D" w:rsidRDefault="0026452D" w:rsidP="0026452D">
      <w:pPr>
        <w:pStyle w:val="TextoNormal"/>
      </w:pPr>
      <w:r>
        <w:t>De acuerdo con el escrito de recurso, el art. 149.1.28 CE no es una norma abstracta, sino que hace referencia a instituciones determinadas, perfectamente identificables (Museo del Prado, Biblioteca Nacional, Archivo Histórico Nacional, el Archivo General de la Guerra Civil Española creado en 1999, etc.) cuya existencia y singularidad la norma fundamental quiere proteger. El Estado, titular de las mismas, no podrá, pues, disponer de ellas con entera libertad. Podrá variar sus contornos si las circunstancias así lo exigen, pero no podrá alterar la imagen que las hace reconocibles. La Ley recurrida, se alega, en la medida que desvirtúa y mutila el Archivo General de la Guerra Civil Española, un archivo creado como de titularidad estatal para conservar y custodiar todo el acervo documental concerniente a la represión política, sería inconstitucional y nula por contraria al art. 149.1.28 CE, que garantiza la integridad del archivo y su permanencia como tal en manos del Estado. De no entenderse contrarios a la Constitución los arts. 1 y 2.2 y la disposición adicional primera de la Ley impugnada, quedará abierta la vía para el vaciamiento de este precepto constitucional.</w:t>
      </w:r>
    </w:p>
    <w:p w:rsidR="0026452D" w:rsidRDefault="0026452D" w:rsidP="0026452D">
      <w:pPr>
        <w:pStyle w:val="TextoNormal"/>
      </w:pPr>
    </w:p>
    <w:p w:rsidR="0026452D" w:rsidRDefault="0026452D" w:rsidP="0026452D">
      <w:pPr>
        <w:pStyle w:val="TextoNormal"/>
      </w:pPr>
      <w:r>
        <w:t>d) La demanda considera como prueba de la desfiguración radical del Archivo General de la Guerra Civil Española el hecho de que, de acuerdo con la disposición adicional segunda de la Ley 21/2005, los fondos que en él puedan quedar tras la restitución pasarán a integrarse en el Centro Documental de la Memoria Histórica. El archivo que era lo principal pasa a ser lo accesorio y se pide que dicha disposición adicional segunda se declare igualmente inconstitucional y nula por conexión o consecuencia en la medida que contribuye a consumar la expoliación.</w:t>
      </w:r>
    </w:p>
    <w:p w:rsidR="0026452D" w:rsidRDefault="0026452D" w:rsidP="0026452D">
      <w:pPr>
        <w:pStyle w:val="TextoNormal"/>
      </w:pPr>
    </w:p>
    <w:p w:rsidR="0026452D" w:rsidRDefault="0026452D" w:rsidP="0026452D">
      <w:pPr>
        <w:pStyle w:val="TextoNormal"/>
      </w:pPr>
      <w:r>
        <w:t>e) A continuación, el escrito de recurso afirma que los artículos 1, 2.2, 3 y 5 de la Ley 21/2005 carecen de justificación objetiva y son, en consecuencia, arbitrarios, por lo que infringen el artículo 9.3 CE.</w:t>
      </w:r>
    </w:p>
    <w:p w:rsidR="0026452D" w:rsidRDefault="0026452D" w:rsidP="0026452D">
      <w:pPr>
        <w:pStyle w:val="TextoNormal"/>
      </w:pPr>
    </w:p>
    <w:p w:rsidR="0026452D" w:rsidRDefault="0026452D" w:rsidP="0026452D">
      <w:pPr>
        <w:pStyle w:val="TextoNormal"/>
      </w:pPr>
      <w:r>
        <w:lastRenderedPageBreak/>
        <w:t>El artículo 1 propone la restitución de los documentos incautados en Cataluña por la delegación del Estado para la recuperación de documentos, el art. 2.2 hace efectivo este propósito al transferir a la Generalitat los documentos, fondos documentales y otros efectos incautados en Cataluña a personas naturales o jurídicas de carácter privado con residencia, domicilio, delegación o secciones en Cataluña por la delegado del Estado para la recuperación de documentos, lo que ratifica a continuación el art. 3 de la Ley al afirmar que la Generalitat quedará subrogada en todos los derechos y obligaciones que hasta ahora correspondían al Estado sobre estos documentos y efectos. El artículo 5 recoge algunos de los principios y criterios que deben guiar la restitución de documentos a sus propietarios originarios o sus descendientes.</w:t>
      </w:r>
    </w:p>
    <w:p w:rsidR="0026452D" w:rsidRDefault="0026452D" w:rsidP="0026452D">
      <w:pPr>
        <w:pStyle w:val="TextoNormal"/>
      </w:pPr>
    </w:p>
    <w:p w:rsidR="0026452D" w:rsidRDefault="0026452D" w:rsidP="0026452D">
      <w:pPr>
        <w:pStyle w:val="TextoNormal"/>
      </w:pPr>
      <w:r>
        <w:t xml:space="preserve">Para el escrito de recurso la restitución que se pretende con la Ley va más allá de su propios términos pues no supone devolver una cosa a quién la tenía antes, pues la Generalitat, se afirma, nunca tuvo los fondos que el art. 2.2 le transfiere ya que dichos fondos pertenecían en el momento de la incautación a “personas naturales o jurídicas de carácter privado”. No puede hablarse por tanto de restitución sino de atribución </w:t>
      </w:r>
      <w:r w:rsidRPr="0026452D">
        <w:rPr>
          <w:i/>
        </w:rPr>
        <w:t>ex novo</w:t>
      </w:r>
      <w:r>
        <w:t>, de transferencia de titularidad, carente de causa, injustificada y puramente arbitraria, se afirma.</w:t>
      </w:r>
    </w:p>
    <w:p w:rsidR="0026452D" w:rsidRDefault="0026452D" w:rsidP="0026452D">
      <w:pPr>
        <w:pStyle w:val="TextoNormal"/>
      </w:pPr>
    </w:p>
    <w:p w:rsidR="0026452D" w:rsidRDefault="0026452D" w:rsidP="0026452D">
      <w:pPr>
        <w:pStyle w:val="TextoNormal"/>
      </w:pPr>
      <w:r>
        <w:t>Para el escrito de recurso tal transferencia no puede justificarse en que se hace para que la Generalitat se encargue de devolver dichos documentos y efectos a los sujetos privados que fueron sus dueños o a sus causahabientes, pues la Generalitat se quedará en propiedad con todos los documentos que no sean reclamados en plazo o que no sean reclamados en forma. Precisamente es la Generalitat la encargada de regular, de acuerdo con el art. 5.2 de la Ley 21/2005, el procedimiento de reclamación, convirtiéndose, se afirma en el escrito de recurso, en juez y parte, en “restituyente” y beneficiaria de lo que no pueda restituirse.</w:t>
      </w:r>
    </w:p>
    <w:p w:rsidR="0026452D" w:rsidRDefault="0026452D" w:rsidP="0026452D">
      <w:pPr>
        <w:pStyle w:val="TextoNormal"/>
      </w:pPr>
    </w:p>
    <w:p w:rsidR="0026452D" w:rsidRDefault="0026452D" w:rsidP="0026452D">
      <w:pPr>
        <w:pStyle w:val="TextoNormal"/>
      </w:pPr>
      <w:r>
        <w:t>La combinación de los arts. 2.2 y 5 de la Ley impugnada, afirma el escrito de recurso, otorga a la Generalitat la propiedad de todos los documentos y efectos privados que no puedan restituirse, atribución que no tiene ninguna justificación posible, pues el mero hecho de que la incautación se produjera en territorio catalán no hace de mejor condición a la Generalitat que a otras personas físicas o jurídicas, públicas o privadas, que pudieran invocar títulos semejantes como sería el caso de los ayuntamientos. Para el escrito de recurso el puro hecho geográfico no es una razón que pueda justificar la transmisión a la Generalitat de unos documentos y unos efectos que nunca le pertenecieron.</w:t>
      </w:r>
    </w:p>
    <w:p w:rsidR="0026452D" w:rsidRDefault="0026452D" w:rsidP="0026452D">
      <w:pPr>
        <w:pStyle w:val="TextoNormal"/>
      </w:pPr>
    </w:p>
    <w:p w:rsidR="0026452D" w:rsidRDefault="0026452D" w:rsidP="0026452D">
      <w:pPr>
        <w:pStyle w:val="TextoNormal"/>
      </w:pPr>
      <w:r>
        <w:t>De acuerdo con el escrito de recurso, la ausencia de una razón capaz de justificar la transmisión a la Generalitat de Cataluña de la documentación privada que por uno u otro motivo no llegue a restituirse supone que los arts. 1, 2.2 y 5 de la Ley 21/2005 no tienen otro soporte que la desnuda voluntad, la pura arbitrariedad y vulneran el art. 9.3 CE por lo que deben ser declarados inconstitucionales y nulos.</w:t>
      </w:r>
    </w:p>
    <w:p w:rsidR="0026452D" w:rsidRDefault="0026452D" w:rsidP="0026452D">
      <w:pPr>
        <w:pStyle w:val="TextoNormal"/>
      </w:pPr>
    </w:p>
    <w:p w:rsidR="0026452D" w:rsidRDefault="0026452D" w:rsidP="0026452D">
      <w:pPr>
        <w:pStyle w:val="TextoNormal"/>
      </w:pPr>
      <w:r>
        <w:t>f) El escrito de recurso sostiene, asimismo, que los arts. 2.2, 3 y 5.2 de la Ley 21/2005 son inconstitucionales y nulos por ser contrarios al art. 149.1.28 CE que atribuye al Estado la competencia exclusiva sobre los archivos de titularidad estatal, sin perjuicio de su gestión por parte de las Comunidades Autónomas.</w:t>
      </w:r>
    </w:p>
    <w:p w:rsidR="0026452D" w:rsidRDefault="0026452D" w:rsidP="0026452D">
      <w:pPr>
        <w:pStyle w:val="TextoNormal"/>
      </w:pPr>
    </w:p>
    <w:p w:rsidR="0026452D" w:rsidRDefault="0026452D" w:rsidP="0026452D">
      <w:pPr>
        <w:pStyle w:val="TextoNormal"/>
      </w:pPr>
      <w:r>
        <w:t xml:space="preserve">Para el escrito de recurso no es constitucionalmente posible la transferencia a una Comunidad Autónoma de la titularidad de una parte importante de los fondos documentales de </w:t>
      </w:r>
      <w:r>
        <w:lastRenderedPageBreak/>
        <w:t>uno de los archivos de su exclusiva competencia (art. 2.2 de la Ley 21/2005), ni lo es tampoco subrogarla en todos los derechos y obligaciones del Estado (art. 3 de la Ley 21/2005), ni, en fin, cederle la competencia para regular el procedimiento a través del cual se tramitarán y resolverán las solicitudes de devolución que puedan formular sus titulares (art. 5.2 de la Ley 21/2005). Para el escrito de recurso si el Estado quiere restituir los documentos a sus primitivos propietarios debe ser él quien lo haga y quien regule el procedimiento para llevarlo a cabo, pues es una competencia que la Constitución atribuye al Estado en su art. 149.1.28 CE y tiene que ser ejercida por quien la tenga atribuida como propia.</w:t>
      </w:r>
    </w:p>
    <w:p w:rsidR="0026452D" w:rsidRDefault="0026452D" w:rsidP="0026452D">
      <w:pPr>
        <w:pStyle w:val="TextoNormal"/>
      </w:pPr>
    </w:p>
    <w:p w:rsidR="0026452D" w:rsidRDefault="0026452D" w:rsidP="0026452D">
      <w:pPr>
        <w:pStyle w:val="TextoNormal"/>
      </w:pPr>
      <w:r>
        <w:t>El Estado puede delegar la gestión de un archivo de su titularidad a una Comunidad Autónoma pero no puede transferir la titularidad del archivo o una parte del mismo, ni subrogarla en todos sus derechos y obligaciones, ni cederle la potestad de regular el procedimiento. Es por ello por lo que se solicita la declaración de inconstitucionalidad y nulidad de los arts. 2.2, 3.1 y 5.2 de la Ley 21/2005.</w:t>
      </w:r>
    </w:p>
    <w:p w:rsidR="0026452D" w:rsidRDefault="0026452D" w:rsidP="0026452D">
      <w:pPr>
        <w:pStyle w:val="TextoNormal"/>
      </w:pPr>
    </w:p>
    <w:p w:rsidR="0026452D" w:rsidRDefault="0026452D" w:rsidP="0026452D">
      <w:pPr>
        <w:pStyle w:val="TextoNormal"/>
      </w:pPr>
      <w:r>
        <w:t>g) Igualmente se argumenta que tales artículos, junto con la disposición adicional primera de la Ley 21/2005, violan el artículo 46 de la Constitución, pues ninguno de los preceptos legales establece medidas de protección para garantizar la conservación de los documentos que en aplicación de los mismos salgan del archivo que hasta ahora los custodiaba.</w:t>
      </w:r>
    </w:p>
    <w:p w:rsidR="0026452D" w:rsidRDefault="0026452D" w:rsidP="0026452D">
      <w:pPr>
        <w:pStyle w:val="TextoNormal"/>
      </w:pPr>
    </w:p>
    <w:p w:rsidR="0026452D" w:rsidRDefault="0026452D" w:rsidP="0026452D">
      <w:pPr>
        <w:pStyle w:val="TextoNormal"/>
      </w:pPr>
      <w:r>
        <w:t>De acuerdo con el escrito de recurso, mientras los documentos se encuentran en el archivo estatal gozan de la protección que la Ley del patrimonio histórico español otorga a los bienes de interés cultural. Esta protección desaparece con su salida del archivo. Se denuncia que la Ley 21/2005 deja los documentos restituidos en situación de absoluta desprotección vulnerándose el artículo 46 de la Constitución que impone a todos los poderes públicos la obligación de garantizar la conservación del patrimonio histórico y cultural de los pueblos de España y de los bienes que lo integran, cualquiera que sea su régimen jurídico y su titularidad.</w:t>
      </w:r>
    </w:p>
    <w:p w:rsidR="0026452D" w:rsidRDefault="0026452D" w:rsidP="0026452D">
      <w:pPr>
        <w:pStyle w:val="TextoNormal"/>
      </w:pPr>
    </w:p>
    <w:p w:rsidR="0026452D" w:rsidRDefault="0026452D" w:rsidP="0026452D">
      <w:pPr>
        <w:pStyle w:val="TextoNormal"/>
      </w:pPr>
      <w:r>
        <w:t>La ausencia en la Ley 21/2005 de medidas dirigidas al cumplimiento de aquella obligación vulnera el art. 46 CE, por lo que se solicita la declaración de inconstitucionalidad y nulidad de los arts. 2.2 y 5 y la disposición adicional primera de la Ley impugnada.</w:t>
      </w:r>
    </w:p>
    <w:p w:rsidR="0026452D" w:rsidRDefault="0026452D" w:rsidP="0026452D">
      <w:pPr>
        <w:pStyle w:val="TextoNormal"/>
      </w:pPr>
    </w:p>
    <w:p w:rsidR="0026452D" w:rsidRDefault="0026452D" w:rsidP="0026452D">
      <w:pPr>
        <w:pStyle w:val="TextoNormal"/>
      </w:pPr>
      <w:r>
        <w:t>h) El escrito de recurso considera que los arts. 1, 2.2, 3, apartados 1 y 3, 4.1 y 5 de la Ley 21/2005 implican una discriminación a favor de la Generalitat de Cataluña y en contra de las demás Comunidades Autónomas careciendo absolutamente de justificación objetiva.</w:t>
      </w:r>
    </w:p>
    <w:p w:rsidR="0026452D" w:rsidRDefault="0026452D" w:rsidP="0026452D">
      <w:pPr>
        <w:pStyle w:val="TextoNormal"/>
      </w:pPr>
    </w:p>
    <w:p w:rsidR="0026452D" w:rsidRDefault="0026452D" w:rsidP="0026452D">
      <w:pPr>
        <w:pStyle w:val="TextoNormal"/>
      </w:pPr>
      <w:r>
        <w:t>El escrito de recurso acepta que se restituya a la Generalitat de Cataluña “la documentación del archivo institucional de sus órganos de gobierno, de su Administración de sus entidades dependientes, así como la correspondiente al Parlamento de Cataluña” que se conserva en el Archivo General de la Guerra Civil Española. La diferencia de trato denunciada no se refiere a este tipo de documentos ya que tal diferencia está plenamente justificada: se trata de documentos producidos por la propia Generalitat de Cataluña.</w:t>
      </w:r>
    </w:p>
    <w:p w:rsidR="0026452D" w:rsidRDefault="0026452D" w:rsidP="0026452D">
      <w:pPr>
        <w:pStyle w:val="TextoNormal"/>
      </w:pPr>
    </w:p>
    <w:p w:rsidR="0026452D" w:rsidRDefault="0026452D" w:rsidP="0026452D">
      <w:pPr>
        <w:pStyle w:val="TextoNormal"/>
      </w:pPr>
      <w:r>
        <w:t xml:space="preserve">La denuncia de discriminación se refiere a los documentos incautados en su día a particulares cuya titularidad no es transferida por la Ley al resto de Comunidades Autónomas, ni las declara subrogadas en lugar del Estado en todos sus derechos y obligaciones, ni les otorga competencia para regular el procedimiento de restitución. La Ley, se señala, no da </w:t>
      </w:r>
      <w:r>
        <w:lastRenderedPageBreak/>
        <w:t>explicación de tal diferencia por lo que no parece que exista razón alguna capaz de justificar la discriminación denunciada por lo que la decisión tiene que declararse inconstitucional y nula por arbitraria. Para el escrito de recurso, no es posible esgrimir que la Generalitat ya existía en el momento de la incautación, pues tal argumento sólo sería decisivo para justificar la restitución de documentos producidos por la propia Generalitat, pero no para justificar los documentos incautados a particulares.</w:t>
      </w:r>
    </w:p>
    <w:p w:rsidR="0026452D" w:rsidRDefault="0026452D" w:rsidP="0026452D">
      <w:pPr>
        <w:pStyle w:val="TextoNormal"/>
      </w:pPr>
    </w:p>
    <w:p w:rsidR="0026452D" w:rsidRDefault="0026452D" w:rsidP="0026452D">
      <w:pPr>
        <w:pStyle w:val="TextoNormal"/>
      </w:pPr>
      <w:r>
        <w:t>i) El escrito de recurso realiza una observación final sobre el artículo 4.2 de la Ley 21/2005 que dispone la entrega inmediata a la Generalitat de los documentos y efectos que ya hubieran sido identificados en cumplimento del convenio sobre microfilmación de 1982. Para el escrito de recurso se debe comprobar que lo entregado de inmediato son sólo documentos producidos en su día por la Generalitat y no los que tengan otros orígenes diferentes, lo que debe llevar a comprobar previamente a la entrega el contenido de las 507 cajas apartadas a raíz del convenio de 1982. La razón es que la Ley establece tratamientos claramente diferenciados para una y otra clase de documentos y esa es la única interpretación, afirma el escrito de recurso, que se ajustaría a lo querido por la norma y que no contribuiría a la expoliación denunciada.</w:t>
      </w:r>
    </w:p>
    <w:p w:rsidR="0026452D" w:rsidRDefault="0026452D" w:rsidP="0026452D">
      <w:pPr>
        <w:pStyle w:val="TextoNormal"/>
      </w:pPr>
    </w:p>
    <w:p w:rsidR="0026452D" w:rsidRDefault="0026452D" w:rsidP="0026452D">
      <w:pPr>
        <w:pStyle w:val="TextoNormal"/>
      </w:pPr>
      <w:r>
        <w:t>j) Finaliza el escrito de recurso solicitando del Tribunal que se declare la inconstitucionalidad y nulidad de los artículos antes indicados. Mediante otrosí, la demanda pone de manifiesto que la Sentencia que en su día se dicte puede resultar ineficaz a la vista de la brevedad de los plazos que la Ley recurrida prevé (art. 3.3) para que se haga efectivo el traslado a la Generalitat de Cataluña de la documentación prevista en el art. 2, lo que determina que se solicite del Tribunal la adopción de medidas provisionales consistentes en que se aplace hasta que se dicte la Sentencia que ponga fin a este recurso la salida del Archivo General de la Guerra Civil Española de cualesquiera documentos distintos de los contemplados en el art. 2.1 de la Ley 21/2005, de 17 de noviembre (que se refiere al archivo institucional de la Generalitat de Cataluña, de sus órganos de gobierno y administración y de su Parlamento) para lo cual con carácter previo a la entrega a la Generalitat de Cataluña de los documentos a que hace referencia el artículo 2.1 de la Ley, se proceda a la revisión del contenido de las 507 cajas en la que se conservan los documentos que fueron microfilmados en virtud del convenio de 1982 con el fin de retirar de ellas y excluir de la entrega la documentación que tenga una procedencia distinta de la contemplada en aquel artículo.</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la Sección Tercera de fecha 14 de marzo de 2006 se admitió a trámite el recurso de inconstitucionalidad y se acordó dar traslado de la demanda y documentos presentados, conforme dispone el art. 34 de la Ley Orgánica del Tribunal Constitucional (LOTC), al Congreso de los Diputados y al Senado, así como al Gobierno de la Nación, al objeto de que en el plazo de quince días puedan personarse en el proceso y formular alegaciones. También se acordó oír a las partes sobre la posible acumulación de este recurso con los registrados con el núm. 1682-2006 y 9007-2005, promovidos por más de cincuenta diputados del Grupo Parlamentario Popular en el Congreso y por la Junta de Castilla y León respectivamente. Respecto a las medidas provisionales solicitadas se decidió estar a lo acordado en el ATC 58/2006, de 15 de febrero, dictado en el recurso de inconstitucionalidad 9007-2005. Por último, se acordó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3</w:t>
      </w:r>
      <w:r>
        <w:t>. Con fecha 30 de marzo de 2006 se registra en el Tribunal un escrito del Presidente del Senado mediante el que se comunica que la Mesa de la Cámara ha adoptado el acuerdo de personarse en el proceso, poniéndose a disposición del Tribunal.</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escrito registrado en el Tribunal Constitucional el día 30 de marzo de 2006 el Abogado del Estado en la representación que legalmente ostenta, formula sus alegaciones, que resumidamente se exponen.</w:t>
      </w:r>
    </w:p>
    <w:p w:rsidR="0026452D" w:rsidRDefault="0026452D" w:rsidP="0026452D">
      <w:pPr>
        <w:pStyle w:val="TextoNormal"/>
      </w:pPr>
    </w:p>
    <w:p w:rsidR="0026452D" w:rsidRDefault="0026452D" w:rsidP="0026452D">
      <w:pPr>
        <w:pStyle w:val="TextoNormal"/>
      </w:pPr>
      <w:r>
        <w:t>a) Comienza el escrito del Abogado del Estado señalando que el presente recurso es sustancialmente idéntico al tramitado con el núm. 9007-2005 e interpuesto en su día por la Junta de Castilla y León. La absoluta identidad de ambos procesos le hace reproducir las alegaciones que entonces hizo. El escrito analiza, en primer lugar, el objeto del recurso y destaca cómo la demanda únicamente discute la constitucionalidad de la restitución prevista en la Ley a favor de las personas físicas o jurídico privadas, ya residan en Cataluña o en otras Comunidades Autónomas, aceptando, sin embargo, la plena conformidad a la Constitución de la restitución a la Generalitat prevista en el art. 2.1, pues así se establece en el escrito de recurso cuando se afirma que “no hemos pretendido nunca, ni pretendemos ahora evitar la devolución a la Generalidad de Cataluña de la documentación por ella generada entre 1932 y 1939”. Considera el Abogado del Estado que ello es incongruente, pues el fundamento de la restitución es el mismo: el Estado considera que la causa de la adquisición de la propiedad de tales bienes fue ilegítima y procede reparar la injusticia devolviendo a los que la padecieron los documentos que les fueron incautados. No se entiende que desde la protección de la unidad del archivo se acepte la restitución de los documentos públicos, que de acuerdo con la Ley 16/1985 del patrimonio histórico español tendrían un mayor valor histórico por entrar a formar parte del patrimonio documental desde su generación (art. 49.2), y no la de los privados, los cuales no se incorporan al patrimonio documental hasta transcurridos cien años (art. 49.4).</w:t>
      </w:r>
    </w:p>
    <w:p w:rsidR="0026452D" w:rsidRDefault="0026452D" w:rsidP="0026452D">
      <w:pPr>
        <w:pStyle w:val="TextoNormal"/>
      </w:pPr>
    </w:p>
    <w:p w:rsidR="0026452D" w:rsidRDefault="0026452D" w:rsidP="0026452D">
      <w:pPr>
        <w:pStyle w:val="TextoNormal"/>
      </w:pPr>
      <w:r>
        <w:t>Para el Abogado del Estado el legislador estatal puede, desde un punto de vista constitucional, ponderar los intereses en conflicto y privilegiar la protección del interés de los legítimos propietarios de recuperar lo que injustamente les fue incautado, frente a una defensa a ultranza del patrimonio documental. Debe tenerse en cuenta, además, que la Ley impugnada adopta todas las medidas necesarias para garantizar la plena protección de ese patrimonio documental.</w:t>
      </w:r>
    </w:p>
    <w:p w:rsidR="0026452D" w:rsidRDefault="0026452D" w:rsidP="0026452D">
      <w:pPr>
        <w:pStyle w:val="TextoNormal"/>
      </w:pPr>
    </w:p>
    <w:p w:rsidR="0026452D" w:rsidRDefault="0026452D" w:rsidP="0026452D">
      <w:pPr>
        <w:pStyle w:val="TextoNormal"/>
      </w:pPr>
      <w:r>
        <w:t>b) A continuación realiza el Abogado del Estado una serie de precisiones fácticas entre las que destacan la relativa a que únicamente han salido del archivo documentos que se ha comprobado que pertenecían a la Generalitat, o la que se refiere a que la creación del Archivo General de la Guerra Civil Española en 1999 no supuso aumento de los medios personales ni materiales frente a lo que ocurrirá con la entrada en vigor de la Ley 21/2005, aquí impugnada, que prevé la creación del Centro Documental de la Memoria Histórica para lo cual el Ministerio de Cultura ha comprometido 12 millones de euros, duplicar la plantilla y la expropiación del Palacio de Orellana para dar cabida a los nuevos fondos con los que se pretende dotar al archivo. Para el escrito del Abogado del Estado el incremento de medios materiales y personales no parece congruente con la intención expoliadora que la demanda atribuye a la Ley.</w:t>
      </w:r>
    </w:p>
    <w:p w:rsidR="0026452D" w:rsidRDefault="0026452D" w:rsidP="0026452D">
      <w:pPr>
        <w:pStyle w:val="TextoNormal"/>
      </w:pPr>
    </w:p>
    <w:p w:rsidR="0026452D" w:rsidRDefault="0026452D" w:rsidP="0026452D">
      <w:pPr>
        <w:pStyle w:val="TextoNormal"/>
      </w:pPr>
      <w:r>
        <w:lastRenderedPageBreak/>
        <w:t>c) El Abogado del Estado comienza entonces a rebatir los argumentos del recurso agrupando su contestación en dos grandes motivos. El primero es la infracción del artículo 149.1.28, en relación con el artículo 46, ambos de la Constitución, dado que según la demanda las Cortes Generales habrían perpetrado una expoliación del patrimonio documental español; se habría vulnerado la garantía institucional establecida en aquel artículo; el Estado estaría incumpliendo su obligación de conservar sus competencias sobre los archivos de su titularidad, y no se estaría garantizando además la conservación del fondo documental que se restituye. El segundo es la vulneración del art. 9.3 CE, en lo que se refiere a la interdicción de la arbitrariedad, dado que las medidas carecerían de justificación objetiva e introducirían una discriminación a favor de la Generalitat.</w:t>
      </w:r>
    </w:p>
    <w:p w:rsidR="0026452D" w:rsidRDefault="0026452D" w:rsidP="0026452D">
      <w:pPr>
        <w:pStyle w:val="TextoNormal"/>
      </w:pPr>
    </w:p>
    <w:p w:rsidR="0026452D" w:rsidRDefault="0026452D" w:rsidP="0026452D">
      <w:pPr>
        <w:pStyle w:val="TextoNormal"/>
      </w:pPr>
      <w:r>
        <w:t>d) Por lo que se refiere al primer motivo considera el escrito del Abogado del Estado que la Ley no provoca una expoliación en el sentido del art. 4 de la Ley del patrimonio histórico español que, en todo caso, no podría servir de canon para enjuiciar la constitucionalidad de una ley igualmente estatal.</w:t>
      </w:r>
    </w:p>
    <w:p w:rsidR="0026452D" w:rsidRDefault="0026452D" w:rsidP="0026452D">
      <w:pPr>
        <w:pStyle w:val="TextoNormal"/>
      </w:pPr>
    </w:p>
    <w:p w:rsidR="0026452D" w:rsidRDefault="0026452D" w:rsidP="0026452D">
      <w:pPr>
        <w:pStyle w:val="TextoNormal"/>
      </w:pPr>
      <w:r>
        <w:t>El Archivo General de la Guerra Civil Española está formado por tres tipos de documentos, los generados por los organismos represivos, los incautados para llevar a cabo la represión y los incorporados al archivo en los últimos años. En el archivo van a permanecer los primeros y los terceros. Los primeros constituyen el auténtico testimonio de la represión.</w:t>
      </w:r>
    </w:p>
    <w:p w:rsidR="0026452D" w:rsidRDefault="0026452D" w:rsidP="0026452D">
      <w:pPr>
        <w:pStyle w:val="TextoNormal"/>
      </w:pPr>
    </w:p>
    <w:p w:rsidR="0026452D" w:rsidRDefault="0026452D" w:rsidP="0026452D">
      <w:pPr>
        <w:pStyle w:val="TextoNormal"/>
      </w:pPr>
      <w:r>
        <w:t>Señala el Abogado del Estado que los documentos a restituir no tienen un valor artístico, sino únicamente una importancia histórica como testimonio del pasado, fuente de investigación para los historiadores. Destacando que el documento original no incorpora un valor científico superior al de la copia autenticada, dado que su única función es servir a la investigación, que evidentemente puede desarrollarse igual sobre el original o sobre la copia. Recogiendo lo dicho por la comisión de expertos creada en 2004, el Abogado del Estado afirma que el mantenimiento de la función social del archivo no depende tanto de su localización física como de las condiciones de uso de la información en ellos contenidos. La función social del archivo, consistente en permitir la consulta e investigación de sus fondos, va a mantenerse al conservarse copia digitalizada, con el carácter de auténtica, de todos los documentos que se restituyan.</w:t>
      </w:r>
    </w:p>
    <w:p w:rsidR="0026452D" w:rsidRDefault="0026452D" w:rsidP="0026452D">
      <w:pPr>
        <w:pStyle w:val="TextoNormal"/>
      </w:pPr>
    </w:p>
    <w:p w:rsidR="0026452D" w:rsidRDefault="0026452D" w:rsidP="0026452D">
      <w:pPr>
        <w:pStyle w:val="TextoNormal"/>
      </w:pPr>
      <w:r>
        <w:t>Igualmente afirma el escrito de la Abogacía del Estado que desde una perspectiva archivística el principio fundamental es el de la procedencia más que el de unidad. Y a aquel principio responde la Ley impugnada.</w:t>
      </w:r>
    </w:p>
    <w:p w:rsidR="0026452D" w:rsidRDefault="0026452D" w:rsidP="0026452D">
      <w:pPr>
        <w:pStyle w:val="TextoNormal"/>
      </w:pPr>
    </w:p>
    <w:p w:rsidR="0026452D" w:rsidRDefault="0026452D" w:rsidP="0026452D">
      <w:pPr>
        <w:pStyle w:val="TextoNormal"/>
      </w:pPr>
      <w:r>
        <w:t>Frente a la afirmación de que el Archivo General de la Guerra Civil Española con la aplicación de la Ley pasará a ser un archivo parcial del conflicto o un simple almacén parcial de restos documentales alega el Abogado del Estado que el Archivo General de la Guerra Civil Española siempre ha sido, en realidad, un archivo parcial de la represión posterior a la guerra, es, precisamente, la Ley impugnada la que pretende fomentar su carácter de archivo general con un ambicioso plan de inversiones.</w:t>
      </w:r>
    </w:p>
    <w:p w:rsidR="0026452D" w:rsidRDefault="0026452D" w:rsidP="0026452D">
      <w:pPr>
        <w:pStyle w:val="TextoNormal"/>
      </w:pPr>
    </w:p>
    <w:p w:rsidR="0026452D" w:rsidRDefault="0026452D" w:rsidP="0026452D">
      <w:pPr>
        <w:pStyle w:val="TextoNormal"/>
      </w:pPr>
      <w:r>
        <w:t>Igualmente se rechaza en el escrito del Abogado del Estado que el art. 149.1.28 CE incorpore una garantía institucional sobre los archivos existentes que la Ley habría quebrantado. El precepto constitucional referido se limitaría a designar el ente competente para in</w:t>
      </w:r>
      <w:r>
        <w:lastRenderedPageBreak/>
        <w:t>cidir sobre una materia, sin predeterminar un contenido concreto de la actuación y sin pretender un contenido inalterable como sostiene la demanda. Pretensión que sería tan absurda como sostener que la atribución de la competencia sobre administración de justicia impide alterar los órganos jurisdiccionales existentes.</w:t>
      </w:r>
    </w:p>
    <w:p w:rsidR="0026452D" w:rsidRDefault="0026452D" w:rsidP="0026452D">
      <w:pPr>
        <w:pStyle w:val="TextoNormal"/>
      </w:pPr>
    </w:p>
    <w:p w:rsidR="0026452D" w:rsidRDefault="0026452D" w:rsidP="0026452D">
      <w:pPr>
        <w:pStyle w:val="TextoNormal"/>
      </w:pPr>
      <w:r>
        <w:t>El art. 46 CE, y no el 149.1.28 CE, es el que establece los principios que deben inspirar la actuación material de los titulares de la competencia sobre patrimonio histórico: garantizar la conservación y promover su enriquecimiento. Estos principios deben conciliarse con otros como puede ser la realización del superior valor de justicia del art. 1.2 CE que es precisamente lo que ha tratado de hacer la Ley impugnada reparando una incautación ilegítima y garantizando la conservación de la plena funcionalidad del archivo.</w:t>
      </w:r>
    </w:p>
    <w:p w:rsidR="0026452D" w:rsidRDefault="0026452D" w:rsidP="0026452D">
      <w:pPr>
        <w:pStyle w:val="TextoNormal"/>
      </w:pPr>
    </w:p>
    <w:p w:rsidR="0026452D" w:rsidRDefault="0026452D" w:rsidP="0026452D">
      <w:pPr>
        <w:pStyle w:val="TextoNormal"/>
      </w:pPr>
      <w:r>
        <w:t>Señala el Abogado del Estado que, incluso aceptando, a efectos puramente dialécticos, la tesis de la garantía institucional, la modificación del contenido de un archivo no alteraría la imagen que tiene de los archivos en su conjunto la conciencia social de cada momento.</w:t>
      </w:r>
    </w:p>
    <w:p w:rsidR="0026452D" w:rsidRDefault="0026452D" w:rsidP="0026452D">
      <w:pPr>
        <w:pStyle w:val="TextoNormal"/>
      </w:pPr>
    </w:p>
    <w:p w:rsidR="0026452D" w:rsidRDefault="0026452D" w:rsidP="0026452D">
      <w:pPr>
        <w:pStyle w:val="TextoNormal"/>
      </w:pPr>
      <w:r>
        <w:t>A continuación rechaza el escrito del Abogado del Estado los argumentos relativos a que deba ser el Estado quien restituya los documentos a sus primitivos propietarios, y que deba ser él quien regule el procedimiento para llevarlo a cabo. Para el representante del Estado, éste puede transferir fondos documentales a una Comunidad Autónoma, fondos que, una vez transferidos, pueden ser gestionados por ella.</w:t>
      </w:r>
    </w:p>
    <w:p w:rsidR="0026452D" w:rsidRDefault="0026452D" w:rsidP="0026452D">
      <w:pPr>
        <w:pStyle w:val="TextoNormal"/>
      </w:pPr>
    </w:p>
    <w:p w:rsidR="0026452D" w:rsidRDefault="0026452D" w:rsidP="0026452D">
      <w:pPr>
        <w:pStyle w:val="TextoNormal"/>
      </w:pPr>
      <w:r>
        <w:t>En relación con la alegación de que la Ley impugnada viola el artículo 46 de la Constitución en la medida en que no establece medidas de protección para garantizar la conservación de los documentos que en aplicación de la misma salgan del Archivo, el escrito del Abogado del Estado argumenta que los documentos restituidos recibirán la protección que establezca la Ley del patrimonio histórico español (LPHE).</w:t>
      </w:r>
    </w:p>
    <w:p w:rsidR="0026452D" w:rsidRDefault="0026452D" w:rsidP="0026452D">
      <w:pPr>
        <w:pStyle w:val="TextoNormal"/>
      </w:pPr>
    </w:p>
    <w:p w:rsidR="0026452D" w:rsidRDefault="0026452D" w:rsidP="0026452D">
      <w:pPr>
        <w:pStyle w:val="TextoNormal"/>
      </w:pPr>
      <w:r>
        <w:t>Los documentos privados susceptibles de restitución pueden pertenecer a dos categorías: a) los que, por reunir las cualidades del art. 49 LPHE, integren el patrimonio histórico [para que un documento privado integre el patrimonio histórico español es preciso que tenga una antigüedad superior a cien años, que se haya generado por las entidades previstas en el art. 49.3 LPHE y tenga una antigüedad de más de cuarenta años, o que sea objeto de una específica declaración de bien de interés cultural (art. 49.5 LPHE)], en cuyo caso tendrán el carácter de bienes de interés cultura mientras se custodien en el Archivo General de la Guerra Civil Española; y b) los que, por no reunir esos caracteres, no integren el patrimonio documental, estén o no custodiados en un archivo estatal.</w:t>
      </w:r>
    </w:p>
    <w:p w:rsidR="0026452D" w:rsidRDefault="0026452D" w:rsidP="0026452D">
      <w:pPr>
        <w:pStyle w:val="TextoNormal"/>
      </w:pPr>
    </w:p>
    <w:p w:rsidR="0026452D" w:rsidRDefault="0026452D" w:rsidP="0026452D">
      <w:pPr>
        <w:pStyle w:val="TextoNormal"/>
      </w:pPr>
      <w:r>
        <w:t>Señala el Abogado del Estado que la protección que otorga la Ley del patrimonio histórico español es independiente de la titularidad de los bienes a que se refiere. Las obligaciones de facilitar el acceso, la de conservación, o las limitaciones a su venta se imponen con independencia de su titularidad. Específicamente en relación con el patrimonio documental el art. 52 LPHE impone a todos los poseedores diversas obligaciones: la de conservarlos, protegerlos y destinarlos a un uso que no impida su conservación y mantenerlos en lugares adecuados (el incumplimiento de tal obligación puede ser causa de expropiación); y la de facilitar la inspección y el estudio para los investigadores. Igualmente el art. 56 LPHE impone limitaciones a los actos de disposición, exportación e importación.</w:t>
      </w:r>
    </w:p>
    <w:p w:rsidR="0026452D" w:rsidRDefault="0026452D" w:rsidP="0026452D">
      <w:pPr>
        <w:pStyle w:val="TextoNormal"/>
      </w:pPr>
    </w:p>
    <w:p w:rsidR="0026452D" w:rsidRDefault="0026452D" w:rsidP="0026452D">
      <w:pPr>
        <w:pStyle w:val="TextoNormal"/>
      </w:pPr>
      <w:r>
        <w:lastRenderedPageBreak/>
        <w:t>Recuerda el Abogado del Estado que las Comunidades Autónomas de destino de los documentos también cuentan con legislación protectora del patrimonio documental. La catalana concretamente impone a los propietarios de documentos privados obligaciones que van más allá de las impuestas en la legislación estatal.</w:t>
      </w:r>
    </w:p>
    <w:p w:rsidR="0026452D" w:rsidRDefault="0026452D" w:rsidP="0026452D">
      <w:pPr>
        <w:pStyle w:val="TextoNormal"/>
      </w:pPr>
    </w:p>
    <w:p w:rsidR="0026452D" w:rsidRDefault="0026452D" w:rsidP="0026452D">
      <w:pPr>
        <w:pStyle w:val="TextoNormal"/>
      </w:pPr>
      <w:r>
        <w:t>En definitiva, la Ley impugnada no necesita establecer medidas adicionales de protección de los documentos que se restituyen pues la Ley del patrimonio histórico español ya contiene suficientes normas protectoras y además otorga a la Administración y al Gobierno la facultad de someter individualizadamente a los documentos que lo merezcan al mayor grado de protección previsto en nuestra legislación.</w:t>
      </w:r>
    </w:p>
    <w:p w:rsidR="0026452D" w:rsidRDefault="0026452D" w:rsidP="0026452D">
      <w:pPr>
        <w:pStyle w:val="TextoNormal"/>
      </w:pPr>
    </w:p>
    <w:p w:rsidR="0026452D" w:rsidRDefault="0026452D" w:rsidP="0026452D">
      <w:pPr>
        <w:pStyle w:val="TextoNormal"/>
      </w:pPr>
      <w:r>
        <w:t>e) A continuación contesta el Abogado del Estado al segundo gran motivo de impugnación, la vulneración del art. 9.3 CE, en lo que se refiere a la interdicción de la arbitrariedad, dado que las medidas, según el recurrente, carecerían de justificación objetiva e introducirían una discriminación a favor de la Generalitat.</w:t>
      </w:r>
    </w:p>
    <w:p w:rsidR="0026452D" w:rsidRDefault="0026452D" w:rsidP="0026452D">
      <w:pPr>
        <w:pStyle w:val="TextoNormal"/>
      </w:pPr>
    </w:p>
    <w:p w:rsidR="0026452D" w:rsidRDefault="0026452D" w:rsidP="0026452D">
      <w:pPr>
        <w:pStyle w:val="TextoNormal"/>
      </w:pPr>
      <w:r>
        <w:t>El Abogado del Estado recuerda la jurisprudencia del Tribunal Constitucional en relación con la arbitrariedad como motivo de inconstitucionalidad de una ley, de la que se deriva que ese control de constitucionalidad de las leyes debe ejercerse de forma que no imponga constricciones indebidas al poder legislativo y respete sus opciones políticas.</w:t>
      </w:r>
    </w:p>
    <w:p w:rsidR="0026452D" w:rsidRDefault="0026452D" w:rsidP="0026452D">
      <w:pPr>
        <w:pStyle w:val="TextoNormal"/>
      </w:pPr>
    </w:p>
    <w:p w:rsidR="0026452D" w:rsidRDefault="0026452D" w:rsidP="0026452D">
      <w:pPr>
        <w:pStyle w:val="TextoNormal"/>
      </w:pPr>
      <w:r>
        <w:t>En lo que se refiere a la impugnación que realiza el recurrente de que la transmisión a la Generalitat de la documentación privada incautada es arbitraria, pues supone que aquella documentación, que por un motivo u otro, no llegue a restituirse a sus legítimos propietarios o causahabientes quedará en manos de la Generalitat, contesta el Abogado del Estado afirmando que la Ley diferencia entre la documentación incautada a la Generalidad de entonces, que según el art. 2 de la Ley se restituirá, y la documentación incautada a los particulares, que según la Ley se transferirá a la actual Generalidad a los solos efectos de su restitución a sus legítimos titulares. El Abogado del Estado interpreta que si la transferencia se hace sólo a los efectos de restitución, transcurrido el plazo del año de caducidad para la reclamación por los particulares a que se refiere el art. 5, los documentos privados que no se hubieran restituido habrían de retornar al archivo estatal.</w:t>
      </w:r>
    </w:p>
    <w:p w:rsidR="0026452D" w:rsidRDefault="0026452D" w:rsidP="0026452D">
      <w:pPr>
        <w:pStyle w:val="TextoNormal"/>
      </w:pPr>
    </w:p>
    <w:p w:rsidR="0026452D" w:rsidRDefault="0026452D" w:rsidP="0026452D">
      <w:pPr>
        <w:pStyle w:val="TextoNormal"/>
      </w:pPr>
      <w:r>
        <w:t>Incluso, si se interpretase que los documentos que no se restituyan a sus legítimos propietarios quedan en manos de la Generalidad no habría inconstitucionalidad, pues la Ley del patrimonio histórico español permite la transferencia de bienes del patrimonio histórico a otras Administraciones, sin necesidad de acudir a una norma con rango de ley, pues la Ley del patrimonio histórico español considera que la conservación del patrimonio está igualmente garantizada por cualquier Administración pública.</w:t>
      </w:r>
    </w:p>
    <w:p w:rsidR="0026452D" w:rsidRDefault="0026452D" w:rsidP="0026452D">
      <w:pPr>
        <w:pStyle w:val="TextoNormal"/>
      </w:pPr>
    </w:p>
    <w:p w:rsidR="0026452D" w:rsidRDefault="0026452D" w:rsidP="0026452D">
      <w:pPr>
        <w:pStyle w:val="TextoNormal"/>
      </w:pPr>
      <w:r>
        <w:t>Considera el Abogado del Estado que la finalidad de la Ley es la restitución de los documentos incautados a sus legítimos titulares. Aceptada tal finalidad la Ley ha optado por un procedimiento de entre los diversos constitucionalmente posibles, un procedimiento que encaja en nuestro modelo territorial, dadas las amplias competencias en materia de cultura y protección del patrimonio histórico que tienen las Comunidades Autónomas.</w:t>
      </w:r>
    </w:p>
    <w:p w:rsidR="0026452D" w:rsidRDefault="0026452D" w:rsidP="0026452D">
      <w:pPr>
        <w:pStyle w:val="TextoNormal"/>
      </w:pPr>
    </w:p>
    <w:p w:rsidR="0026452D" w:rsidRDefault="0026452D" w:rsidP="0026452D">
      <w:pPr>
        <w:pStyle w:val="TextoNormal"/>
      </w:pPr>
      <w:r>
        <w:t xml:space="preserve">En cuanto a la alegación de que la Administración restituyente sería a la vez juez y parte a la hora de articular la devolución, destaca el Abogado del Estado que la imparcialidad de </w:t>
      </w:r>
      <w:r>
        <w:lastRenderedPageBreak/>
        <w:t>la Administración en el proceso de restitución viene garantizada por los principios rectores de su actuación establecidos en el art. 103 CE.</w:t>
      </w:r>
    </w:p>
    <w:p w:rsidR="0026452D" w:rsidRDefault="0026452D" w:rsidP="0026452D">
      <w:pPr>
        <w:pStyle w:val="TextoNormal"/>
      </w:pPr>
    </w:p>
    <w:p w:rsidR="0026452D" w:rsidRDefault="0026452D" w:rsidP="0026452D">
      <w:pPr>
        <w:pStyle w:val="TextoNormal"/>
      </w:pPr>
      <w:r>
        <w:t>En lo que se refiere a la denuncia de arbitrariedad por trato desigual derivado del diferente régimen de restitución previsto en la Ley impugnada, para Cataluña y para el resto de Comunidades Autónomas, destaca el Abogado del Estado que la Ley es congruente con el objeto limitado de la misma, la restitución de los documentos incautados en Cataluña con motivo de la guerra civil y custodiados en el Archivo General de la Guerra Civil Española. Es cierto que mientras que para la restitución de los documentos incautados en Cataluña la Ley contiene una regulación completa, para el resto de Comunidades Autónomas, la disposición adicional primera, simplemente prevé la extensión de la posibilidad de restitución, sin contener un régimen jurídico completo, pues se produce una remisión a una norma del Gobierno. Pero, de acuerdo con el escrito del Abogado del Estado, nada impide que la norma del Gobierno que desarrolle la disposición adicional lo haga en parecidos términos a como se ha regulado la restitución para el caso de Cataluña. Las diferencias de trato que se alegan en la demanda serían, en su caso, imputables a la norma reglamentaria pero no a la Ley impugnada.</w:t>
      </w:r>
    </w:p>
    <w:p w:rsidR="0026452D" w:rsidRDefault="0026452D" w:rsidP="0026452D">
      <w:pPr>
        <w:pStyle w:val="TextoNormal"/>
      </w:pPr>
    </w:p>
    <w:p w:rsidR="0026452D" w:rsidRDefault="0026452D" w:rsidP="0026452D">
      <w:pPr>
        <w:pStyle w:val="TextoNormal"/>
      </w:pPr>
      <w:r>
        <w:t>Pero es que, según el escrito del Abogado del Estado, los entes jurídicos públicos no son titulares del derecho fundamental a la no discriminación amparado en el art. 14 CE que se refiere a los españoles. Y precisamente la Ley prevé la restitución a todos los particulares que acrediten su derecho, con independencia de su residencia o lugar de incautación, y sometiéndoles a los mismos requisitos del art. 5. Por tanto, en ningún caso puede considerarse que la Ley incurra en trato desigual, en relación con el único término de comparación válido: los ciudadanos.</w:t>
      </w:r>
    </w:p>
    <w:p w:rsidR="0026452D" w:rsidRDefault="0026452D" w:rsidP="0026452D">
      <w:pPr>
        <w:pStyle w:val="TextoNormal"/>
      </w:pPr>
    </w:p>
    <w:p w:rsidR="0026452D" w:rsidRDefault="0026452D" w:rsidP="0026452D">
      <w:pPr>
        <w:pStyle w:val="TextoNormal"/>
      </w:pPr>
      <w:r>
        <w:t>Finaliza el Abogado del Estado solicitando la desestimación del recurso de inconstitucionalidad y pidiendo la acumulación del presente recurso al recurso núm. 9007-2005.</w:t>
      </w:r>
    </w:p>
    <w:p w:rsidR="0026452D" w:rsidRDefault="0026452D" w:rsidP="0026452D">
      <w:pPr>
        <w:pStyle w:val="TextoNormal"/>
      </w:pPr>
    </w:p>
    <w:p w:rsidR="0026452D" w:rsidRDefault="0026452D" w:rsidP="0026452D">
      <w:pPr>
        <w:pStyle w:val="TextoNormal"/>
      </w:pPr>
      <w:r w:rsidRPr="0026452D">
        <w:rPr>
          <w:rStyle w:val="NumeroAFNegritaCaracter"/>
        </w:rPr>
        <w:t>5</w:t>
      </w:r>
      <w:r>
        <w:t>. Con fecha 31 de marzo de 2006 se registra en el Tribunal un escrito del Presidente del Congreso de los Diputados mediante el que se comunica que la Mesa de la Cámara ha adoptado el acuerdo de no personarse en el proceso ni hacer alegaciones, poniéndose a disposición del Tribunal.</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12 de marzo de 2013 señaló para deliberación y fallo de esta Sentencia el día 14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tiene por objeto resolver la impugnación hecha por más de cincuenta Senadores del Grupo Parlamentario Popular del Senado de los artículos 1, 2.2, 3.1 y 3, 4.1, 5.2 y las disposiciones adicionales primera y segunda de la Ley 21/2005, de 17 de noviembre, de restitución a la Generalidad de Cataluña de los documentos incautados con motivo de la guerra civil custodiados en el Archivo General de la Guerra Civil Española y de creación del Centro Documental de la Memoria Histórica. Los recurrentes consideran que los preceptos impugnados vulneran los artículos 149.1.28, 9.3 y 46 de la Constitución.</w:t>
      </w:r>
    </w:p>
    <w:p w:rsidR="0026452D" w:rsidRDefault="0026452D" w:rsidP="0026452D">
      <w:pPr>
        <w:pStyle w:val="TextoNormal"/>
      </w:pPr>
    </w:p>
    <w:p w:rsidR="0026452D" w:rsidRDefault="0026452D" w:rsidP="0026452D">
      <w:pPr>
        <w:pStyle w:val="TextoNormal"/>
      </w:pPr>
      <w:r w:rsidRPr="0026452D">
        <w:rPr>
          <w:rStyle w:val="NumeroAFNegritaCaracter"/>
        </w:rPr>
        <w:t>2</w:t>
      </w:r>
      <w:r>
        <w:t>. Las cuestiones planteadas en el presente proceso han sido ya resueltas por este Tribunal en la reciente STC 20/2013, de 31 de enero, que resolvió un recurso prácticamente idéntico, planteado por la Junta de Castilla y León contra los mismos preceptos de la Ley 21/2005. Al texto de esta Sentencia nos hemos de remitir ahora.</w:t>
      </w:r>
    </w:p>
    <w:p w:rsidR="0026452D" w:rsidRDefault="0026452D" w:rsidP="0026452D">
      <w:pPr>
        <w:pStyle w:val="TextoNormal"/>
      </w:pPr>
    </w:p>
    <w:p w:rsidR="0026452D" w:rsidRDefault="0026452D" w:rsidP="0026452D">
      <w:pPr>
        <w:pStyle w:val="TextoNormal"/>
      </w:pPr>
      <w:r>
        <w:t>a) Se impugnan, en primer lugar, los arts. 1 y 2.2, así como la disposición adicional primera de la Ley 21/2005, de 17 de noviembre, por vulnerar el art. 149.1.28 CE en cuanto establece que el Estado tiene competencia exclusiva sobre la “defensa del patrimonio cultural, artístico y monumental español contra la exportación y la expoliación”. Para resolver la cuestión planteada debemos remitirnos al fundamento jurídico 3 de la referida STC 20/2013, de 31 de enero, en la que se desestimó la impugnación con fundamento en las siguientes apreciaciones y conclusiones:</w:t>
      </w:r>
    </w:p>
    <w:p w:rsidR="0026452D" w:rsidRDefault="0026452D" w:rsidP="0026452D">
      <w:pPr>
        <w:pStyle w:val="TextoNormal"/>
      </w:pPr>
    </w:p>
    <w:p w:rsidR="0026452D" w:rsidRDefault="0026452D" w:rsidP="0026452D">
      <w:pPr>
        <w:pStyle w:val="TextoNormal"/>
      </w:pPr>
      <w:r>
        <w:t>La adopción, por parte del legislador democráticamente elegido, de la decisión de contribuir a dar satisfacción a instituciones o ciudadanos que sufrieron, directamente o en la persona de sus familiares, las consecuencias de la guerra civil, no constituye una decisión arbitraria o irracional y, en este sentido, no nos encontramos ante un supuesto de expoliación tal y como lo definimos en la STC 17/1991, de 31 de enero, FJ 7. En efecto, la protección del interés de los propietarios originarios o de sus sucesores de recuperar lo que en su día les fue incautado, que se promueve con la restitución legalmente prevista, tiene una finalidad constitucionalmente legítima y el legislador, de acuerdo con el margen de apreciación que le corresponde, puede considerar tal interés preeminente, en su caso, frente a otros concurrentes.</w:t>
      </w:r>
    </w:p>
    <w:p w:rsidR="0026452D" w:rsidRDefault="0026452D" w:rsidP="0026452D">
      <w:pPr>
        <w:pStyle w:val="TextoNormal"/>
      </w:pPr>
    </w:p>
    <w:p w:rsidR="0026452D" w:rsidRDefault="0026452D" w:rsidP="0026452D">
      <w:pPr>
        <w:pStyle w:val="TextoNormal"/>
      </w:pPr>
      <w:r>
        <w:t>Descartamos además que nos encontráramos ante una privación arbitraria o irracional de la finalidad o función que cumple el archivo, no sólo porque la decisión de restitución no resulta arbitraria o irrazonable, sino, además, por no haberse acreditado por la recurrente que se produzca tal frustración de la función del archivo, pues si ésta consiste fundamentalmente en reunir, conservar y disponer sus fondos documentales para investigación, cultura e información, tal función parece salvaguardarse, salvo prueba en contrario, tanto con la conservación del contenido documental mediante la realización de copias, como con el establecimiento de obligaciones de protección y accesibilidad que se establecen para los documentos que se restituyan a sus propietarios originarios.</w:t>
      </w:r>
    </w:p>
    <w:p w:rsidR="0026452D" w:rsidRDefault="0026452D" w:rsidP="0026452D">
      <w:pPr>
        <w:pStyle w:val="TextoNormal"/>
      </w:pPr>
    </w:p>
    <w:p w:rsidR="0026452D" w:rsidRDefault="0026452D" w:rsidP="0026452D">
      <w:pPr>
        <w:pStyle w:val="TextoNormal"/>
      </w:pPr>
      <w:r>
        <w:t>Excluido, por tanto, que los arts. 1 y 2.2, así como la disposición adicional primera de la Ley 21/2005, operen una expoliación, rechazamos igualmente la petición de declarar inconstitucional por conexión o consecuencia la disposición adicional segunda, que prevé la creación del Centro Documental de la Memoria Histórica, pues dicha petición tenía como presupuesto la existencia de expoliación.</w:t>
      </w:r>
    </w:p>
    <w:p w:rsidR="0026452D" w:rsidRDefault="0026452D" w:rsidP="0026452D">
      <w:pPr>
        <w:pStyle w:val="TextoNormal"/>
      </w:pPr>
    </w:p>
    <w:p w:rsidR="0026452D" w:rsidRDefault="0026452D" w:rsidP="0026452D">
      <w:pPr>
        <w:pStyle w:val="TextoNormal"/>
      </w:pPr>
      <w:r>
        <w:t>b) Se impugnan, en segundo lugar, los mismos arts. 1 y 2.2, así como la disposición adicional primera de la Ley 21/2005, de 17 de noviembre, por vulnerar la garantía institucional que, de acuerdo con la demanda, se encontraría recogida en el art. 149.1.28 CE. De nuevo, para resolver la cuestión planteada, bastará con remitirnos al fundamento jurídico 4 de la STC 20/2013, de 31 de enero, en la que se desestimó esta misma impugnación con fundamento en las siguientes apreciaciones y conclusiones:</w:t>
      </w:r>
    </w:p>
    <w:p w:rsidR="0026452D" w:rsidRDefault="0026452D" w:rsidP="0026452D">
      <w:pPr>
        <w:pStyle w:val="TextoNormal"/>
      </w:pPr>
    </w:p>
    <w:p w:rsidR="0026452D" w:rsidRDefault="0026452D" w:rsidP="0026452D">
      <w:pPr>
        <w:pStyle w:val="TextoNormal"/>
      </w:pPr>
      <w:r>
        <w:lastRenderedPageBreak/>
        <w:t>La decisión del legislador estatal de restituir los efectos y documentos en su día incautados y que hoy forman parte de un concreto archivo estatal —el Archivo General de la Guerra Civil Española— no altera la imagen que hace reconocible a tal archivo en concreto, pues no es posible deducir del art. 149.1.28 CE la existencia de una garantía de la integridad del Archivo General de la Guerra Civil Española como pretenden los recurrentes, ya que nos encontramos ante un precepto atributivo de competencias en el que no es posible reconocer una garantía institucional tal y como ha sido definida por nuestra doctrina.</w:t>
      </w:r>
    </w:p>
    <w:p w:rsidR="0026452D" w:rsidRDefault="0026452D" w:rsidP="0026452D">
      <w:pPr>
        <w:pStyle w:val="TextoNormal"/>
      </w:pPr>
    </w:p>
    <w:p w:rsidR="0026452D" w:rsidRDefault="0026452D" w:rsidP="0026452D">
      <w:pPr>
        <w:pStyle w:val="TextoNormal"/>
      </w:pPr>
      <w:r>
        <w:t>c) Se impugnan, en tercer lugar, los artículos 2.2, 3 y 5.2 de la Ley 21/2005 por vulnerar la distribución competencial establecida en el art. 149.1.28 CE. En el fundamento jurídico 5 de la ya referida STC 20/2013, de 31 de enero, también desestimamos esta impugnación con base en las siguientes apreciaciones y conclusiones:</w:t>
      </w:r>
    </w:p>
    <w:p w:rsidR="0026452D" w:rsidRDefault="0026452D" w:rsidP="0026452D">
      <w:pPr>
        <w:pStyle w:val="TextoNormal"/>
      </w:pPr>
    </w:p>
    <w:p w:rsidR="0026452D" w:rsidRDefault="0026452D" w:rsidP="0026452D">
      <w:pPr>
        <w:pStyle w:val="TextoNormal"/>
      </w:pPr>
      <w:r>
        <w:t>Admitida la capacidad del Estado para decidir tanto la restitución de la documentación del archivo institucional de los órganos de gobierno, de la Administración y de las entidades dependientes de la Generalitat, como la restitución de los documentos incautados en Cataluña a personas naturales o jurídicas, a sus propietarios originarios o a sus sucesores, corresponde a aquél determinar la forma en que ésta última restitución se debe producir. En el presente supuesto, el Estado ha decidido solicitar la colaboración de la Comunidad Autónoma y encomendar la gestión de la restitución de aquellos documentos incautados en Cataluña y hasta ahora depositados en el Archivo General de la Guerra Civil Española, a la Generalitat, que es también Estado, siendo ello perfectamente conforme con la distribución de competencias constitucionalmente establecida, que reconoce a Cataluña la competencia ejecutiva sobre los archivos de titularidad estatal situados en Cataluña cuya gestión no se reserve expresamente el Estado. La transferencia de la documentación a restituir a la Generalitat no es sino la consecuencia lógica de la atribución de la gestión de la restitución a aquella.</w:t>
      </w:r>
    </w:p>
    <w:p w:rsidR="0026452D" w:rsidRDefault="0026452D" w:rsidP="0026452D">
      <w:pPr>
        <w:pStyle w:val="TextoNormal"/>
      </w:pPr>
    </w:p>
    <w:p w:rsidR="0026452D" w:rsidRDefault="0026452D" w:rsidP="0026452D">
      <w:pPr>
        <w:pStyle w:val="TextoNormal"/>
      </w:pPr>
      <w:r>
        <w:t>d) Se impugnan, asimismo, los arts. 1 y 2.2, así como los arts. 3.1 y 5 de la Ley 21/2005, de 17 de noviembre, por vulnerar el art. 9.3 CE en lo que se refiere a la interdicción de la arbitrariedad. En los fundamentos jurídicos 6 y 7 de la STC 20/2013, de 31 de enero, desestimamos esta impugnación con fundamento en las siguientes apreciaciones y conclusiones:</w:t>
      </w:r>
    </w:p>
    <w:p w:rsidR="0026452D" w:rsidRDefault="0026452D" w:rsidP="0026452D">
      <w:pPr>
        <w:pStyle w:val="TextoNormal"/>
      </w:pPr>
    </w:p>
    <w:p w:rsidR="0026452D" w:rsidRDefault="0026452D" w:rsidP="0026452D">
      <w:pPr>
        <w:pStyle w:val="TextoNormal"/>
      </w:pPr>
      <w:r>
        <w:t>A la hora de abordar el examen de la cuestión planteada, la vulneración de la interdicción de la arbitrariedad, diferenciamos en la STC 20/2013, de 31 de enero, entre dos alegaciones. La alegación que pone en cuestión la constitucionalidad de que se otorgue a la Generalitat la propiedad de todos los documentos transferidos, que, según señala la recurrente, quedarían en manos de aquella si no son finalmente restituidos, y la alegación que pone en cuestión la constitucionalidad misma de que tenga que ser la Generalitat la que restituya los documentos a sus propietarios originarios.</w:t>
      </w:r>
    </w:p>
    <w:p w:rsidR="0026452D" w:rsidRDefault="0026452D" w:rsidP="0026452D">
      <w:pPr>
        <w:pStyle w:val="TextoNormal"/>
      </w:pPr>
    </w:p>
    <w:p w:rsidR="0026452D" w:rsidRDefault="0026452D" w:rsidP="0026452D">
      <w:pPr>
        <w:pStyle w:val="TextoNormal"/>
      </w:pPr>
      <w:r>
        <w:t>En lo que se refiere a la alegación que pone en cuestión la constitucionalidad de que se otorgue a la Generalitat la propiedad definitiva de todos los documentos y efectos privados transferidos que no puedan ser restituidos, la impugnación realizada fue desestimada, pues rechazamos que tal fuese la consecuencia necesaria que se deriva de la lectura de la Ley 21/2005 ya que la Ley no prevé la transferencia incondicionada de fondos documentales a la Generalitat, sino que la transferencia se realiza con el objeto de su restitución.</w:t>
      </w:r>
    </w:p>
    <w:p w:rsidR="0026452D" w:rsidRDefault="0026452D" w:rsidP="0026452D">
      <w:pPr>
        <w:pStyle w:val="TextoNormal"/>
      </w:pPr>
    </w:p>
    <w:p w:rsidR="0026452D" w:rsidRDefault="0026452D" w:rsidP="0026452D">
      <w:pPr>
        <w:pStyle w:val="TextoNormal"/>
      </w:pPr>
      <w:r>
        <w:t>En lo que se refiere a la alegación que pone en cuestión la constitucionalidad de que tenga que ser la Generalitat y no otras personas jurídicas, públicas o privadas, la que restituya los documentos a sus propietarios originarios, sostuvimos que no es posible afirmar que la vía establecida por la Ley para proceder a la restitución de los documentos sea irrazonable, por lo que es aquí donde se agota el enjuiciamiento de su posible arbitrariedad, que la norma supera cumplidamente. En consecuencia, “no puede tacharse de arbitraria una norma que persigue una finalidad razonable y que no se muestra desprovista de todo fundamento, aunque pueda legítimamente discreparse de la concreta solución adoptada, pues “entrar en un enjuiciamiento de cuál sería su medida justa supone discutir una opción tomada por el legislador que, aun cuando pueda ser discutible, no resulta arbitraria ni irracional” (por todas, STC 149/2006, de 11 de mayo, FJ 6; y en un sentido parecido, STC 128/2009, de 1 de junio, FJ 3), tanto más cuando el reparo que se le opone no deja de ser otra cosa que una objeción de oportunidad, sin relevancia, por tanto, desde el punto de vista constitucional” (STC 102/2012, de 8 de mayo, FJ 4).</w:t>
      </w:r>
    </w:p>
    <w:p w:rsidR="0026452D" w:rsidRDefault="0026452D" w:rsidP="0026452D">
      <w:pPr>
        <w:pStyle w:val="TextoNormal"/>
      </w:pPr>
    </w:p>
    <w:p w:rsidR="0026452D" w:rsidRDefault="0026452D" w:rsidP="0026452D">
      <w:pPr>
        <w:pStyle w:val="TextoNormal"/>
      </w:pPr>
      <w:r>
        <w:t>e) Se impugnan igualmente los arts. 2.2 y 5.2 y la disposición adicional primera de la Ley 21/2005, por vulneración del art. 46 CE. Para resolver la cuestión planteada bastará con remitirnos al fundamento jurídico 9 de la tantas veces citada STC 20/2013, de 31 de enero, en la que se desestimó esta misma impugnación con fundamento en las siguientes apreciaciones y conclusiones:</w:t>
      </w:r>
    </w:p>
    <w:p w:rsidR="0026452D" w:rsidRDefault="0026452D" w:rsidP="0026452D">
      <w:pPr>
        <w:pStyle w:val="TextoNormal"/>
      </w:pPr>
    </w:p>
    <w:p w:rsidR="0026452D" w:rsidRDefault="0026452D" w:rsidP="0026452D">
      <w:pPr>
        <w:pStyle w:val="TextoNormal"/>
      </w:pPr>
      <w:r>
        <w:t>El régimen de protección de los documentos restituidos será el régimen propio establecido en las normas del Estado y de las Comunidades Autónomas sobre patrimonio histórico. Tras analizar tal régimen consideramos que era indudable que los intereses públicos se encuentran suficientemente protegidos por los poderes públicos como garantía del derecho que a la conservación y disfrute de los documentos restituidos ostenta la Comunidad en tanto que se trata de bienes portadores de valores significativos que los hacen merecedores de un especial reconocimiento por parte del ordenamiento jurídico. Por lo demás, del art. 46 CE no se deriva la exigencia de que sea la misma ley que determina la restitución de la documentación en su día incautada la que contenga el régimen de protección de los documentos restituidos.</w:t>
      </w:r>
    </w:p>
    <w:p w:rsidR="0026452D" w:rsidRDefault="0026452D" w:rsidP="0026452D">
      <w:pPr>
        <w:pStyle w:val="TextoNormal"/>
      </w:pPr>
    </w:p>
    <w:p w:rsidR="0026452D" w:rsidRDefault="0026452D" w:rsidP="0026452D">
      <w:pPr>
        <w:pStyle w:val="TextoNormal"/>
      </w:pPr>
      <w:r>
        <w:t xml:space="preserve">f) Se impugnan, finalmente, los arts. 1, 2.2, 3, apartados 1 y 3, 4.1 y 5, por implicar —se afirma, sin cita de precepto constitucional alguno— una discriminación a favor de Cataluña, a la que se transfieren </w:t>
      </w:r>
      <w:r w:rsidRPr="0026452D">
        <w:rPr>
          <w:i/>
        </w:rPr>
        <w:t>ope legis</w:t>
      </w:r>
      <w:r>
        <w:t xml:space="preserve"> los documentos incautados en su territorio, y en contra de las demás Comunidades Autónomas. Nuevamente, debemos remitirnos para resolver la cuestión planteada al fundamento jurídico 10 de la referida STC 20/2013, de 31 de enero, en la que se desestimó la impugnación con fundamento en las siguientes apreciaciones y conclusiones:</w:t>
      </w:r>
    </w:p>
    <w:p w:rsidR="0026452D" w:rsidRDefault="0026452D" w:rsidP="0026452D">
      <w:pPr>
        <w:pStyle w:val="TextoNormal"/>
      </w:pPr>
    </w:p>
    <w:p w:rsidR="0026452D" w:rsidRDefault="0026452D" w:rsidP="0026452D">
      <w:pPr>
        <w:pStyle w:val="TextoNormal"/>
      </w:pPr>
      <w:r>
        <w:t xml:space="preserve">Tras recordar que los entes públicos “no pueden ser considerados como titulares del derecho fundamental a la no discriminación amparado por el art. 14 CE, que se refiere a los españoles y no es de aplicación a las personas jurídico-públicas en cuanto tales”, indicamos que la diferencia que introduce la Ley 21/2005 en lo que se refiere a la gestión de la devolución de los documentos en su día incautados, no es una opción del legislador que carezca de toda justificación razonable. En efecto, el especial régimen de devolución de documentos previsto para Cataluña se puede justificar en la existencia de una reivindicación sostenida a </w:t>
      </w:r>
      <w:r>
        <w:lastRenderedPageBreak/>
        <w:t>lo largo del tiempo por parte de sus instituciones, así como por el reconocimiento de un régimen de autonomía para Cataluña en el momento mismo de la incautación de los documentos, autonomía que suponía la atribución a la Generalitat de competencias en materia de archivos (artículo 7 del Estatuto de Autonomía de 1932). La Generalitat fue restablecida por Real Decreto Ley 41/1977, y tiene ahora, como tenía en el momento de la incautación, competencias en materia de archivos, por lo que es aquí donde se agota el enjuiciamiento de su posible arbitrariedad.</w:t>
      </w:r>
    </w:p>
    <w:p w:rsidR="0026452D" w:rsidRDefault="0026452D" w:rsidP="0026452D">
      <w:pPr>
        <w:pStyle w:val="TextoNormal"/>
      </w:pPr>
    </w:p>
    <w:p w:rsidR="0026452D" w:rsidRDefault="0026452D" w:rsidP="0026452D">
      <w:pPr>
        <w:pStyle w:val="TextoNormal"/>
      </w:pPr>
      <w:r>
        <w:t>Procede, por tanto, la desestimación del recurso planteado.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 interpuesto por más de cincuenta Senadores del Grupo Parlamentario Popular del Senado contra determinados preceptos de la Ley 21/2005, de 17 de noviembre, de restitución a la Generalidad de Cataluña de los documentos incautados con motivo de la guerra civil custodiados en el Archivo General de la Guerra Civil Española y de creación del Centro Documental de la Memoria Histórica.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71" w:name="SENTENCIA_2013_68"/>
      <w:r>
        <w:lastRenderedPageBreak/>
        <w:t>SENTENCIA 68/2013, de 14 de marzo de 2013</w:t>
      </w:r>
    </w:p>
    <w:bookmarkEnd w:id="71"/>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ECLI:ES:TC:2013:68</w:t>
      </w:r>
    </w:p>
    <w:p w:rsidR="0026452D" w:rsidRDefault="0026452D" w:rsidP="0026452D">
      <w:pPr>
        <w:pStyle w:val="SntesisDescriptiva"/>
      </w:pPr>
    </w:p>
    <w:p w:rsidR="0026452D" w:rsidRDefault="0026452D" w:rsidP="0026452D">
      <w:pPr>
        <w:pStyle w:val="SntesisDescriptiva"/>
      </w:pPr>
      <w:r>
        <w:t>Recurso de inconstitucionalidad 1682-2006. Interpuesto por más de cincuenta Diputados del Grupo Parlamentario Popular del Congreso de los Diputados en relación con la Ley 21/2005, de 17 de noviembre, de restitución a la Generalitat de Cataluña de los documentos incautados con motivo de la Guerra Civil custodiados en el Archivo General de la Guerra Civil Española y de creación del Centro Documental de la Memoria Histórica.</w:t>
      </w:r>
    </w:p>
    <w:p w:rsidR="0026452D" w:rsidRDefault="0026452D" w:rsidP="0026452D">
      <w:pPr>
        <w:pStyle w:val="SntesisDescriptiva"/>
      </w:pPr>
    </w:p>
    <w:p w:rsidR="0026452D" w:rsidRDefault="0026452D" w:rsidP="0026452D">
      <w:pPr>
        <w:pStyle w:val="SntesisAnaltica"/>
      </w:pPr>
      <w:r>
        <w:t>Principios de interdicción de la arbitrariedad y protección del patrimonio cultural; competencias en materia de archivos: STC 20/2013 (constitucionalidad de los preceptos legales estatales que establecen un régimen especial para Cataluña de devolución de documentos).</w:t>
      </w:r>
    </w:p>
    <w:p w:rsidR="0026452D" w:rsidRDefault="0026452D" w:rsidP="0026452D">
      <w:pPr>
        <w:pStyle w:val="SntesisAnaltica"/>
      </w:pPr>
    </w:p>
    <w:p w:rsidR="0026452D" w:rsidRDefault="0026452D" w:rsidP="0026452D">
      <w:pPr>
        <w:pStyle w:val="Extracto"/>
      </w:pPr>
      <w:r>
        <w:t>1.</w:t>
      </w:r>
      <w:r>
        <w:tab/>
        <w:t>La decisión del legislador democráticamente elegido de dar satisfacción a instituciones o ciudadanos que sufrieron las consecuencias de la guerra civil, mediante la restitución de los efectos y documentos incautados con fines represivos y que forman parte del Archivo General de la Guerra Civil Española, no constituye una decisión arbitraria o irracional, descartándose que nos encontremos ante un supuesto de expoliación, teniendo la protección del interés de los propietarios originarios o de sus sucesores de recuperar lo incautado una finalidad constitucionalmente legítima que el legislador, de acuerdo con el margen de apreciación que le corresponde, puede considerar preeminente frente a otros concurrentes (SSTC 17/1991, 20/2013) [FJ 4].</w:t>
      </w:r>
    </w:p>
    <w:p w:rsidR="0026452D" w:rsidRDefault="0026452D" w:rsidP="0026452D">
      <w:pPr>
        <w:pStyle w:val="Extracto"/>
      </w:pPr>
    </w:p>
    <w:p w:rsidR="0026452D" w:rsidRDefault="0026452D" w:rsidP="0026452D">
      <w:pPr>
        <w:pStyle w:val="Extracto"/>
      </w:pPr>
      <w:r>
        <w:t>2.</w:t>
      </w:r>
      <w:r>
        <w:tab/>
        <w:t>Debemos descartar que nos encontremos ante una privación arbitraria o irracional de la finalidad que cumple el Archivo General de la Guerra Civil, pues dicha  finalidad –de reunir, conservar y disponer sus fondos documentales para investigación, cultura e información– parece salvaguardarse tanto con la conservación del contenido documental mediante la realización de copias como con el establecimiento de obligaciones de protección y accesibilidad que se establecen para los documentos que se restituyan a sus propietarios originarios (STC 20/2013) [FJ 4].</w:t>
      </w:r>
    </w:p>
    <w:p w:rsidR="0026452D" w:rsidRDefault="0026452D" w:rsidP="0026452D">
      <w:pPr>
        <w:pStyle w:val="Extracto"/>
      </w:pPr>
    </w:p>
    <w:p w:rsidR="0026452D" w:rsidRDefault="0026452D" w:rsidP="0026452D">
      <w:pPr>
        <w:pStyle w:val="Extracto"/>
      </w:pPr>
      <w:r>
        <w:t>3.</w:t>
      </w:r>
      <w:r>
        <w:tab/>
        <w:t>La decisión estatal de solicitar la colaboración de la Comunidad Autónoma y encomendar a la Generalitat, que es también Estado, la gestión de la restitución de aquellos documentos incautados en Cataluña, y depositados en el Archivo General de la Guerra Civil Española, es conforme con la distribución constitucional de competencias, que reconoce a Cataluña la competencia ejecutiva sobre los archivos de titularidad estatal cuya gestión no se reserve expresamente el Estado, siendo la transferencia de la documentación la consecuencia lógica de la atribución de la gestión de la restitución (STC 20/2013) [FJ 4].</w:t>
      </w:r>
    </w:p>
    <w:p w:rsidR="0026452D" w:rsidRDefault="0026452D" w:rsidP="0026452D">
      <w:pPr>
        <w:pStyle w:val="Extracto"/>
      </w:pPr>
    </w:p>
    <w:p w:rsidR="0026452D" w:rsidRDefault="0026452D" w:rsidP="0026452D">
      <w:pPr>
        <w:pStyle w:val="Extracto"/>
      </w:pPr>
      <w:r>
        <w:t>4.</w:t>
      </w:r>
      <w:r>
        <w:tab/>
        <w:t>La cuestión relativa a la propiedad de los documentos transferidos a la Generalitat que no puedan ser restituidos ya ha sido resuelta en la STC 20/2013 [FJ 4].</w:t>
      </w:r>
    </w:p>
    <w:p w:rsidR="0026452D" w:rsidRDefault="0026452D" w:rsidP="0026452D">
      <w:pPr>
        <w:pStyle w:val="Extracto"/>
      </w:pPr>
    </w:p>
    <w:p w:rsidR="0026452D" w:rsidRDefault="0026452D" w:rsidP="0026452D">
      <w:pPr>
        <w:pStyle w:val="Extracto"/>
      </w:pPr>
      <w:r>
        <w:lastRenderedPageBreak/>
        <w:t>5.</w:t>
      </w:r>
      <w:r>
        <w:tab/>
        <w:t>El régimen de protección de los documentos restituidos –depositados hasta ahora en el Archivo General de la Guerra Civil Española– es el establecido en las normas del Estado y de las Comunidades Autónomas sobre patrimonio histórico, siendo indudable que los intereses públicos se encuentran suficientemente protegidos por los poderes públicos como garantía del derecho que a su conservación y disfrute ostenta la comunidad, no exigiendo el art. 46 CE que tenga que ser la ley que determina la restitución de la documentación incautada la que tenga que prever su régimen de protección (STC 20/2013) [FJ 9].</w:t>
      </w:r>
    </w:p>
    <w:p w:rsidR="0026452D" w:rsidRDefault="0026452D" w:rsidP="0026452D">
      <w:pPr>
        <w:pStyle w:val="Extracto"/>
      </w:pPr>
    </w:p>
    <w:p w:rsidR="0026452D" w:rsidRDefault="0026452D" w:rsidP="0026452D">
      <w:pPr>
        <w:pStyle w:val="Extracto"/>
      </w:pPr>
      <w:r>
        <w:t>6.</w:t>
      </w:r>
      <w:r>
        <w:tab/>
        <w:t>La diferencia que introduce la ley impugnada en lo que se refiere a la gestión de la devolución de los documentos en su día incautados, no es una opción del legislador que carezca de toda justificación razonable, pues el especial régimen de devolución de documentos previsto para Cataluña se puede justificar en la existencia de una reivindicación sostenida a lo largo del tiempo por parte de sus instituciones, así como por el reconocimiento de un régimen de autonomía para Cataluña en el momento mismo de la incautación de los documentos, teniendo la Generalitat, ahora y en el momento de la incautación, competencias en materia de archivos (STC 20/2013) [FJ 4].</w:t>
      </w:r>
    </w:p>
    <w:p w:rsidR="0026452D" w:rsidRDefault="0026452D" w:rsidP="0026452D">
      <w:pPr>
        <w:pStyle w:val="Extracto"/>
      </w:pPr>
    </w:p>
    <w:p w:rsidR="0026452D" w:rsidRDefault="0026452D" w:rsidP="0026452D">
      <w:pPr>
        <w:pStyle w:val="Extracto"/>
      </w:pPr>
      <w:r>
        <w:t>7.</w:t>
      </w:r>
      <w:r>
        <w:tab/>
        <w:t>Los entes públicos no pueden ser considerados como titulares del derecho fundamental a la no discriminación amparado por el art. 14 CE, que se refiere a los españoles y no es de aplicación a las personas jurídico-públicas en cuanto tales (STC 20/2013) [FJ 4].</w:t>
      </w:r>
    </w:p>
    <w:p w:rsidR="0026452D" w:rsidRDefault="0026452D" w:rsidP="0026452D">
      <w:pPr>
        <w:pStyle w:val="Extracto"/>
      </w:pPr>
    </w:p>
    <w:p w:rsidR="0026452D" w:rsidRDefault="0026452D" w:rsidP="0026452D">
      <w:pPr>
        <w:pStyle w:val="Extracto"/>
      </w:pPr>
      <w:r>
        <w:t>8.</w:t>
      </w:r>
      <w:r>
        <w:tab/>
        <w:t>No puede tacharse de arbitraria una norma que persigue una finalidad razonable y que no se muestra desprovista de todo fundamento, aunque pueda legítimamente discreparse de la concreta solución adoptada, pues entrar en un enjuiciamiento de cuál sería su medida justa supone discutir una opción tomada por el legislador que, aun cuando pueda ser discutible, no resulta arbitraria ni irracional, tanto más cuando el reparo que se le opone no deja de ser otra cosa que una objeción de oportunidad, sin relevancia, por tanto, desde el punto de vista constitucional (SSTC 149/2006, 20/2013) [FJ 4].</w:t>
      </w:r>
    </w:p>
    <w:p w:rsidR="0026452D" w:rsidRDefault="0026452D" w:rsidP="0026452D">
      <w:pPr>
        <w:pStyle w:val="Extracto"/>
      </w:pPr>
    </w:p>
    <w:p w:rsidR="0026452D" w:rsidRDefault="0026452D" w:rsidP="0026452D">
      <w:pPr>
        <w:pStyle w:val="Extracto"/>
      </w:pPr>
      <w:r>
        <w:t>9.</w:t>
      </w:r>
      <w:r>
        <w:tab/>
        <w:t>La cuestión planteada sobre el encargo a la Generalitat, y no a otras personas jurídicas, de la restitución de los documentos a sus propietarios originarios ya ha sido resuelta en la STC 20/2013 [FJ 4].</w:t>
      </w:r>
    </w:p>
    <w:p w:rsidR="0026452D" w:rsidRDefault="0026452D" w:rsidP="0026452D">
      <w:pPr>
        <w:pStyle w:val="Extracto"/>
      </w:pPr>
    </w:p>
    <w:p w:rsidR="0026452D" w:rsidRDefault="0026452D" w:rsidP="0026452D">
      <w:pPr>
        <w:pStyle w:val="Extracto"/>
      </w:pPr>
      <w:r>
        <w:t>10.</w:t>
      </w:r>
      <w:r>
        <w:tab/>
        <w:t>La decisión del legislador estatal de restituir los efectos y documentos en su día incautados y que hoy forman parte de un concreto archivo estatal, el Archivo General de la Guerra Civil Española, no altera la imagen que hace reconocible a tal archivo en concreto, pues no es posible deducir del art. 149.1.28 CE la existencia de una garantía de la integridad del mismo, ya que nos encontramos ante un precepto atributivo de competencias en el que no es posible reconocer una garantía institucional tal y como ha sido definida por nuestra doctrina (STC 20/2013) [FJ 4].</w:t>
      </w:r>
    </w:p>
    <w:p w:rsidR="0026452D" w:rsidRDefault="0026452D" w:rsidP="0026452D">
      <w:pPr>
        <w:pStyle w:val="Extracto"/>
      </w:pPr>
    </w:p>
    <w:p w:rsidR="0026452D" w:rsidRDefault="0026452D" w:rsidP="0026452D">
      <w:pPr>
        <w:pStyle w:val="Extracto"/>
      </w:pPr>
      <w:r>
        <w:t>11.</w:t>
      </w:r>
      <w:r>
        <w:tab/>
        <w:t xml:space="preserve">La ausencia de los informes de la Junta Superior de Archivos y del patronato del Archivo General de la Guerra Civil Española en la tramitación parlamentaria de </w:t>
      </w:r>
      <w:r>
        <w:lastRenderedPageBreak/>
        <w:t xml:space="preserve">la Ley impugnada no supone una vulneración del procedimiento legislativo, </w:t>
      </w:r>
      <w:r w:rsidRPr="0026452D">
        <w:rPr>
          <w:i/>
        </w:rPr>
        <w:t>ex</w:t>
      </w:r>
      <w:r>
        <w:t xml:space="preserve"> art. 88 CE, dado su carácter no preceptivo, dado que la ausencia de un determinado antecedente sólo tendrá trascendencia si se hubiere privado a las Cámaras de un elemento de juicio necesario para su decisión (SSTC 35/1984, 108/1986) [FFJ 2, 3].</w:t>
      </w:r>
    </w:p>
    <w:p w:rsidR="0026452D" w:rsidRDefault="0026452D" w:rsidP="0026452D">
      <w:pPr>
        <w:pStyle w:val="Extracto"/>
      </w:pPr>
    </w:p>
    <w:p w:rsidR="0026452D" w:rsidRDefault="0026452D" w:rsidP="0026452D">
      <w:pPr>
        <w:pStyle w:val="Extracto"/>
      </w:pPr>
      <w:r>
        <w:t>12.</w:t>
      </w:r>
      <w:r>
        <w:tab/>
        <w:t>La infracción de la legalidad parlamentaria puede producir una vulneración del derecho fundamental previsto en el art. 23.2 CE cuando el acto o disposición impugnado repercuta de modo tal sobre los derechos que integran el estatuto del representante que vacíen de contenido el ejercicio de su función, afectando indirectamente el derecho de los ciudadanos a verse representados (ATC 35/2001, STC 208/2003) [FJ 2].</w:t>
      </w:r>
    </w:p>
    <w:p w:rsidR="0026452D" w:rsidRDefault="0026452D" w:rsidP="0026452D">
      <w:pPr>
        <w:pStyle w:val="Extracto"/>
      </w:pPr>
    </w:p>
    <w:p w:rsidR="0026452D" w:rsidRDefault="0026452D" w:rsidP="0026452D">
      <w:pPr>
        <w:pStyle w:val="Extracto"/>
      </w:pPr>
      <w:r>
        <w:t>13.</w:t>
      </w:r>
      <w:r>
        <w:tab/>
        <w:t>Para determinar si se ha producido una vulneración del procedimiento legislativo, la doctrina de este Tribunal establece la necesidad de examinar, ante todo, si se ha producido o no vulneración de la normativa reguladora de la elaboración de las leyes para, sólo después, y en su caso, valorar si aquella vulneración pudo tener relevancia para la formación de la voluntad legisladora (STC 238/2012)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1682-2006 interpuesto por más de cincuenta Diputados del Grupo Parlamentario Popular del Congreso de los Diputados contra la totalidad de la Ley 21/2005, de 17 de noviembre, de restitución a la Generalidad de Cataluña de los documentos incautados con motivo de la guerra civil custodiados en el Archivo General de la Guerra Civil Española y de creación del Centro Documental de la Memoria Histórica, y subsidiariamente contra los artículos 1, 2.2, 3, 4.1, 5 y las disposiciones adicionales primera y segunda de la misma. Han intervenido el Abogado del Estado, en la representación que ostenta, y el Letrado de las Cortes Generales en representación del Congreso de los Diputados. Ha sido Ponente el Magistrado don Fernando Valdés Dal-Ré, quien expresa el parecer del Tribunal.</w:t>
      </w:r>
    </w:p>
    <w:p w:rsidR="0026452D" w:rsidRDefault="0026452D" w:rsidP="0026452D">
      <w:pPr>
        <w:pStyle w:val="TextoNormal"/>
      </w:pPr>
    </w:p>
    <w:p w:rsidR="0026452D" w:rsidRDefault="0026452D" w:rsidP="0026452D">
      <w:pPr>
        <w:pStyle w:val="TextoNormalNegritaCentrado"/>
        <w:keepNext/>
      </w:pPr>
      <w:r>
        <w:lastRenderedPageBreak/>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Con fecha 17 de febrero de 2006 tuvo entrada en el Registro General de este Tribunal un escrito de don Ignacio Astarloa Huarte-Mendicoa, Comisionado por más de cincuenta Diputados del Grupo Parlamentario Popular en el Congreso de los Diputados, mediante el cual promovió recurso de inconstitucionalidad contra la totalidad de la Ley 21/2005, de 17 de noviembre, de restitución a la Generalidad de Cataluña de los documentos incautados con motivo de la guerra civil custodiados en el Archivo General de la Guerra Civil Española y de creación del Centro Documental de la Memoria Histórica, y subsidiariamente contra los artículos 1, 2.2, 3, 4.1, 5 y las disposiciones adicionales primera y segunda de la misma. La fundamentación que sustenta la impugnación se resume a continuación.</w:t>
      </w:r>
    </w:p>
    <w:p w:rsidR="0026452D" w:rsidRDefault="0026452D" w:rsidP="0026452D">
      <w:pPr>
        <w:pStyle w:val="TextoNormal"/>
      </w:pPr>
    </w:p>
    <w:p w:rsidR="0026452D" w:rsidRDefault="0026452D" w:rsidP="0026452D">
      <w:pPr>
        <w:pStyle w:val="TextoNormal"/>
      </w:pPr>
      <w:r>
        <w:t>a) Comienza el escrito de recurso examinando los antecedentes históricos del denominado Archivo General de la Guerra Civil Española algunos de cuyos hitos más relevantes son los siguientes.</w:t>
      </w:r>
    </w:p>
    <w:p w:rsidR="0026452D" w:rsidRDefault="0026452D" w:rsidP="0026452D">
      <w:pPr>
        <w:pStyle w:val="TextoNormal"/>
      </w:pPr>
    </w:p>
    <w:p w:rsidR="0026452D" w:rsidRDefault="0026452D" w:rsidP="0026452D">
      <w:pPr>
        <w:pStyle w:val="TextoNormal"/>
      </w:pPr>
      <w:r>
        <w:t>En plena guerra civil (1937) se crearon la oficina de investigación y propaganda anticomunista y la delegación nacional de asuntos especiales, precedentes de lo que poco después (1938) sería la delegación del Estado para la recuperación de documentos, con sede en Salamanca, que tenía como objetivo “recuperar, clasificar y custodiar” la documentación procedente de entidades y personas para “facilitar al Estado información referente a la actuación de sus enemigos”.</w:t>
      </w:r>
    </w:p>
    <w:p w:rsidR="0026452D" w:rsidRDefault="0026452D" w:rsidP="0026452D">
      <w:pPr>
        <w:pStyle w:val="TextoNormal"/>
      </w:pPr>
    </w:p>
    <w:p w:rsidR="0026452D" w:rsidRDefault="0026452D" w:rsidP="0026452D">
      <w:pPr>
        <w:pStyle w:val="TextoNormal"/>
      </w:pPr>
      <w:r>
        <w:t>La delegación del Estado para la recuperación de documentos fusionada con otros organismos, daría lugar en 1944 a la delegación nacional de servicios documentales de la Presidencia del Gobierno hasta que por Decreto 276/1977 fue suprimida, pasando su archivo y personal al Ministerio de Cultura. De acuerdo con el recurso planteado en ese momento se agotó la etapa de acopio, elaboración y utilización para los fines de la represión política de una documentación que, a partir de este momento, empezó, se afirma, una nueva vida como “corpus” cultural e histórico, como soporte de la memoria colectiva.</w:t>
      </w:r>
    </w:p>
    <w:p w:rsidR="0026452D" w:rsidRDefault="0026452D" w:rsidP="0026452D">
      <w:pPr>
        <w:pStyle w:val="TextoNormal"/>
      </w:pPr>
    </w:p>
    <w:p w:rsidR="0026452D" w:rsidRDefault="0026452D" w:rsidP="0026452D">
      <w:pPr>
        <w:pStyle w:val="TextoNormal"/>
      </w:pPr>
      <w:r>
        <w:t>En 1979 la documentación, la incautada y la elaborada por los organismos represores a partir de la incautada, pasó a formar parte de la sección guerra civil del Archivo Histórico Nacional con sede en Salamanca, beneficiándose de la protección que el ordenamiento jurídico dispensa a éste y a los demás archivos estatales.</w:t>
      </w:r>
    </w:p>
    <w:p w:rsidR="0026452D" w:rsidRDefault="0026452D" w:rsidP="0026452D">
      <w:pPr>
        <w:pStyle w:val="TextoNormal"/>
      </w:pPr>
    </w:p>
    <w:p w:rsidR="0026452D" w:rsidRDefault="0026452D" w:rsidP="0026452D">
      <w:pPr>
        <w:pStyle w:val="TextoNormal"/>
      </w:pPr>
      <w:r>
        <w:t>En 1986 se procedió a la microfilmación de una serie de documentos, entre los que estaban muchos procedentes de la antigua Generalitat, que se conservaban en la sección guerra civil del Archivo Histórico Nacional. El material microfilmado fue entregado al Archivo General de Cataluña.</w:t>
      </w:r>
    </w:p>
    <w:p w:rsidR="0026452D" w:rsidRDefault="0026452D" w:rsidP="0026452D">
      <w:pPr>
        <w:pStyle w:val="TextoNormal"/>
      </w:pPr>
    </w:p>
    <w:p w:rsidR="0026452D" w:rsidRDefault="0026452D" w:rsidP="0026452D">
      <w:pPr>
        <w:pStyle w:val="TextoNormal"/>
      </w:pPr>
      <w:r>
        <w:t>En 1999 se crea el Archivo General de la Guerra Civil Española por Real Decreto 426/1999 cuyo núcleo documental fue el acervo de la sección guerra civil del Archivo Histórico Nacional.</w:t>
      </w:r>
    </w:p>
    <w:p w:rsidR="0026452D" w:rsidRDefault="0026452D" w:rsidP="0026452D">
      <w:pPr>
        <w:pStyle w:val="TextoNormal"/>
      </w:pPr>
    </w:p>
    <w:p w:rsidR="0026452D" w:rsidRDefault="0026452D" w:rsidP="0026452D">
      <w:pPr>
        <w:pStyle w:val="TextoNormal"/>
      </w:pPr>
      <w:r>
        <w:t xml:space="preserve">Para tratar de dar ejecución a una propuesta formulada unos años antes, en noviembre de 1996, por la Junta Superior de Archivos y cumplir con la voluntad expresada por el Congreso de los Diputados en mayo de 1996, se constituyó en el año 2000 una comisión de </w:t>
      </w:r>
      <w:r>
        <w:lastRenderedPageBreak/>
        <w:t>expertos cuyo cometido era realizar una propuesta acerca de la documentación del recién creado Archivo General de la Guerra Civil Española que podría depositarse en Cataluña. Los expertos no consiguieron ponerse de acuerdo y el patronato del archivo no adoptó ninguna iniciativa relativa a la posible salida de documentos del archivo.</w:t>
      </w:r>
    </w:p>
    <w:p w:rsidR="0026452D" w:rsidRDefault="0026452D" w:rsidP="0026452D">
      <w:pPr>
        <w:pStyle w:val="TextoNormal"/>
      </w:pPr>
    </w:p>
    <w:p w:rsidR="0026452D" w:rsidRDefault="0026452D" w:rsidP="0026452D">
      <w:pPr>
        <w:pStyle w:val="TextoNormal"/>
      </w:pPr>
      <w:r>
        <w:t>Tras el cambio de mayoría parlamentaria en 2004, se aprobó en el Congreso una nueva proposición no de ley instando al Gobierno a iniciar un proceso de diálogo con el Gobierno de la Generalitat “que permita resolver el contencioso planteado en relación con la documentación incautada que en la actualidad se halla recogida en el Archivo General de la Guerra Civil”.</w:t>
      </w:r>
    </w:p>
    <w:p w:rsidR="0026452D" w:rsidRDefault="0026452D" w:rsidP="0026452D">
      <w:pPr>
        <w:pStyle w:val="TextoNormal"/>
      </w:pPr>
    </w:p>
    <w:p w:rsidR="0026452D" w:rsidRDefault="0026452D" w:rsidP="0026452D">
      <w:pPr>
        <w:pStyle w:val="TextoNormal"/>
      </w:pPr>
      <w:r>
        <w:t>Finalmente se aprobó por las Cortes Generales la Ley 21/2005, de 17 de noviembre, de restitución a la Generalidad de Cataluña de los documentos incautados con motivo de la guerra civil custodiados en el Archivo General de la Guerra Civil Española y de creación del Centro Documental de la Memoria Histórica que aquí se impugna.</w:t>
      </w:r>
    </w:p>
    <w:p w:rsidR="0026452D" w:rsidRDefault="0026452D" w:rsidP="0026452D">
      <w:pPr>
        <w:pStyle w:val="TextoNormal"/>
      </w:pPr>
    </w:p>
    <w:p w:rsidR="0026452D" w:rsidRDefault="0026452D" w:rsidP="0026452D">
      <w:pPr>
        <w:pStyle w:val="TextoNormal"/>
      </w:pPr>
      <w:r>
        <w:t>Se centran los recurrentes a continuación en el examen de la tramitación parlamentaria de la Ley que cuestionan, subrayando, incluso, que, durante el procedimiento gubernamental de elaboración del proyecto de ley, se obviaron trámites esenciales ordenados por disposiciones legales. Más concretamente afirman los recurrentes que se obvió tanto el informe que la Junta Superior de Archivos que, de acuerdo con la Orden de 25 de noviembre de 1996, debió elevar aquella al titular del departamento ministerial respecto de las propuestas que considere convenientes para la mejor investigación, conservación, enriquecimiento, protección y difusión de los bienes integrantes del patrimonio documental, como el que preceptivamente, por mandato expreso del Real Decreto 426/1999, de 12 de marzo, de creación del Archivo General de la Guerra Civil Española, debió emitir el pleno del patronato en su condición de órgano rector del archivo, acerca de cualquier salida de los fondos confiados a su custodia. Los dos informes referidos debían haber integrado los antecedentes remitidos al Parlamento junto con el proyecto de ley.</w:t>
      </w:r>
    </w:p>
    <w:p w:rsidR="0026452D" w:rsidRDefault="0026452D" w:rsidP="0026452D">
      <w:pPr>
        <w:pStyle w:val="TextoNormal"/>
      </w:pPr>
    </w:p>
    <w:p w:rsidR="0026452D" w:rsidRDefault="0026452D" w:rsidP="0026452D">
      <w:pPr>
        <w:pStyle w:val="TextoNormal"/>
      </w:pPr>
      <w:r>
        <w:t>Por ello y una vez decidida la admisión a trámite del proyecto de ley por la Mesa del Congreso, el Grupo Parlamentario Popular presentó un escrito solicitando a la Mesa que instase al Gobierno para que cumpliera el art. 88 CE y remitiese los informes preceptivos y necesarios referidos. Desestimada la petición por la Mesa, el Grupo Parlamentario presentó un escrito de reconsideración que fue rechazado. El Grupo Parlamentario Popular entendió que la decisión de la Mesa vulneraba el derecho fundamental a acceder a funciones y cargos públicos e interpuso un recurso de amparo frente a los citados acuerdos de la Mesa.</w:t>
      </w:r>
    </w:p>
    <w:p w:rsidR="0026452D" w:rsidRDefault="0026452D" w:rsidP="0026452D">
      <w:pPr>
        <w:pStyle w:val="TextoNormal"/>
      </w:pPr>
    </w:p>
    <w:p w:rsidR="0026452D" w:rsidRDefault="0026452D" w:rsidP="0026452D">
      <w:pPr>
        <w:pStyle w:val="TextoNormal"/>
      </w:pPr>
      <w:r>
        <w:t>Una vez establecidos los antecedentes de la cuestión proceden los recurrentes a desarrollar las impugnaciones que realizan.</w:t>
      </w:r>
    </w:p>
    <w:p w:rsidR="0026452D" w:rsidRDefault="0026452D" w:rsidP="0026452D">
      <w:pPr>
        <w:pStyle w:val="TextoNormal"/>
      </w:pPr>
    </w:p>
    <w:p w:rsidR="0026452D" w:rsidRDefault="0026452D" w:rsidP="0026452D">
      <w:pPr>
        <w:pStyle w:val="TextoNormal"/>
      </w:pPr>
      <w:r>
        <w:t xml:space="preserve">b) Se afirma, en primer lugar, que la tramitación de la Ley 21/2005, de 17 de noviembre, ha vulnerado el derecho fundamental consagrado en el art. 23.2 CE, en relación con el artículo 88 CE. Al desconocerse el mandato establecido en el artículo 88 CE de que los proyectos de ley sean acompañados de los antecedentes necesarios para pronunciarse sobre ellos —por no haberse acompañado ni del informe de la Junta Superior de Archivos ni del informe del pleno del patronato del Archivo General de la Guerra Civil Española referidos en los antecedentes del escrito de los recurrentes— se ha impedido que los parlamentarios </w:t>
      </w:r>
      <w:r>
        <w:lastRenderedPageBreak/>
        <w:t>pudieran ejercer adecuadamente su función legislativa, vulnerándose el derecho fundamental a acceder en condiciones de igualdad a las funciones y cargos públicos recogido en el art. 23.2 CE.</w:t>
      </w:r>
    </w:p>
    <w:p w:rsidR="0026452D" w:rsidRDefault="0026452D" w:rsidP="0026452D">
      <w:pPr>
        <w:pStyle w:val="TextoNormal"/>
      </w:pPr>
    </w:p>
    <w:p w:rsidR="0026452D" w:rsidRDefault="0026452D" w:rsidP="0026452D">
      <w:pPr>
        <w:pStyle w:val="TextoNormal"/>
      </w:pPr>
      <w:r>
        <w:t>c) Se impugnan, asimismo, preceptos concretos, comenzando por los arts. 1 y 2.2, así como la disposición adicional primera de la Ley 21/2005, de 17 de noviembre, por infringir lo dispuesto en el artículo 149.1.28 CE.</w:t>
      </w:r>
    </w:p>
    <w:p w:rsidR="0026452D" w:rsidRDefault="0026452D" w:rsidP="0026452D">
      <w:pPr>
        <w:pStyle w:val="TextoNormal"/>
      </w:pPr>
    </w:p>
    <w:p w:rsidR="0026452D" w:rsidRDefault="0026452D" w:rsidP="0026452D">
      <w:pPr>
        <w:pStyle w:val="TextoNormal"/>
      </w:pPr>
      <w:r>
        <w:t>Señala el escrito de interposición del recurso que el art. 149.1.28 CE atribuye al Estado la competencia en materia de “defensa del patrimonio cultural, artístico y monumental español contra la exportación y la expoliación” y también sobre todo lo concerniente a los “museos, bibliotecas y archivos de titularidad estatal, sin perjuicio de su gestión por parte de las Comunidades Autónomas”. Para la demanda, ambas rúbricas del art. 149.1.28 CE habrían sido infringidas por la ley recurrida.</w:t>
      </w:r>
    </w:p>
    <w:p w:rsidR="0026452D" w:rsidRDefault="0026452D" w:rsidP="0026452D">
      <w:pPr>
        <w:pStyle w:val="TextoNormal"/>
      </w:pPr>
    </w:p>
    <w:p w:rsidR="0026452D" w:rsidRDefault="0026452D" w:rsidP="0026452D">
      <w:pPr>
        <w:pStyle w:val="TextoNormal"/>
      </w:pPr>
      <w:r>
        <w:t>De acuerdo con la demanda, el alcance del concepto defensa del patrimonio contra la expoliación quedó precisado por la STC 17/1991, FJ 7, que admitió que la Ley del patrimonio histórico español definiese la expoliación del patrimonio también como aquella perturbación del cumplimiento de su función social, que no sería sino “la privación del destino y utilidad general que es propio de cada uno de los bienes, aunque materialmente el bien mismo permanezca”.</w:t>
      </w:r>
    </w:p>
    <w:p w:rsidR="0026452D" w:rsidRDefault="0026452D" w:rsidP="0026452D">
      <w:pPr>
        <w:pStyle w:val="TextoNormal"/>
      </w:pPr>
    </w:p>
    <w:p w:rsidR="0026452D" w:rsidRDefault="0026452D" w:rsidP="0026452D">
      <w:pPr>
        <w:pStyle w:val="TextoNormal"/>
      </w:pPr>
      <w:r>
        <w:t>Según la demanda para que estemos en presencia de una expoliación basta que se le prive al bien del destino y utilidad que le corresponda y que se perturbe, en consecuencia, el cumplimiento de la función social, a la que ese bien está afecto. De acuerdo con el recurso, la Constitución, en su artículo 149.1.28, obliga al Estado a adoptar las medidas precisas para hacer frente a una situación de expoliación. Si no lo hace, estaría infringiendo la norma constitucional que le atribuye en exclusiva esa función, así como el art. 46 CE que obliga a todos los poderes públicos a garantizar la conservación del patrimonio histórico y cultural y de los bienes que lo integran.</w:t>
      </w:r>
    </w:p>
    <w:p w:rsidR="0026452D" w:rsidRDefault="0026452D" w:rsidP="0026452D">
      <w:pPr>
        <w:pStyle w:val="TextoNormal"/>
      </w:pPr>
    </w:p>
    <w:p w:rsidR="0026452D" w:rsidRDefault="0026452D" w:rsidP="0026452D">
      <w:pPr>
        <w:pStyle w:val="TextoNormal"/>
      </w:pPr>
      <w:r>
        <w:t>Para la demanda, la Ley impugnada pone en peligro de pérdida o destrucción los valores vinculados a los fondos documentales que se conservan en un archivo de titularidad estatal perturbando gravemente el cumplimiento de su función social, lo que constituye un supuesto típico de expoliación, tal como es definido en la Ley del patrimonio histórico español, definición considerada plenamente constitucional en la STC 17/1991 y que es una referencia obligada a la hora de valorar las conductas contrarias al art. 149.1.28 CE.</w:t>
      </w:r>
    </w:p>
    <w:p w:rsidR="0026452D" w:rsidRDefault="0026452D" w:rsidP="0026452D">
      <w:pPr>
        <w:pStyle w:val="TextoNormal"/>
      </w:pPr>
    </w:p>
    <w:p w:rsidR="0026452D" w:rsidRDefault="0026452D" w:rsidP="0026452D">
      <w:pPr>
        <w:pStyle w:val="TextoNormal"/>
      </w:pPr>
      <w:r>
        <w:t>El escrito de planteamiento del recurso de inconstitucionalidad denuncia que el art. 1 de la Ley impugnada, al establecer que su objeto es “la restitución de los documentos y efectos incautados en Cataluña por la Delegación del Estado para la Recuperación de Documentos creada en virtud del Decreto de 26 de abril de 1938”, supone la salida del Archivo General de la Guerra Civil Española no sólo de los documentos de Cataluña, esto es, los procedentes de, o producidos por, la Generalitat de Cataluña, sino también de cualesquiera otros, pertenecientes a, o procedentes de, otras personas o instituciones con tal de que fueran incautados en Cataluña, lo que amplía desmesuradamente el número de documentos a extraer del archivo dado que la retirada del ejército de la República se hizo a través del territorio catalán.</w:t>
      </w:r>
    </w:p>
    <w:p w:rsidR="0026452D" w:rsidRDefault="0026452D" w:rsidP="0026452D">
      <w:pPr>
        <w:pStyle w:val="TextoNormal"/>
      </w:pPr>
    </w:p>
    <w:p w:rsidR="0026452D" w:rsidRDefault="0026452D" w:rsidP="0026452D">
      <w:pPr>
        <w:pStyle w:val="TextoNormal"/>
      </w:pPr>
      <w:r>
        <w:lastRenderedPageBreak/>
        <w:t>El art. 2.2 de la Ley impugnada ordena la transferencia a la Generalitat de Cataluña de los documentos, fondos documentales y otros efectos, incautados por la delegación del Estado para la recuperación de documentos en Cataluña a personas naturales o jurídicas de carácter privado, con residencia, domicilio, delegación o secciones en Cataluña.</w:t>
      </w:r>
    </w:p>
    <w:p w:rsidR="0026452D" w:rsidRDefault="0026452D" w:rsidP="0026452D">
      <w:pPr>
        <w:pStyle w:val="TextoNormal"/>
      </w:pPr>
    </w:p>
    <w:p w:rsidR="0026452D" w:rsidRDefault="0026452D" w:rsidP="0026452D">
      <w:pPr>
        <w:pStyle w:val="TextoNormal"/>
      </w:pPr>
      <w:r>
        <w:t>Para el escrito de planteamiento del recurso de inconstitucionalidad, el archivo hasta ahora general de la guerra civil, tras la restitución prevista en los artículos referidos, se ve seriamente mutilado convirtiéndose, se afirma, en un archivo parcial o un almacén parcial de restos documentales. Esta mutilación se amplía, además, por la previsión de la disposición adicional primera de la Ley impugnada que establece la posibilidad de restitución de los documentos, fondos documentales y efectos a las personas naturales o jurídicas de carácter privado si lo solicitan otras Comunidades Autónomas.</w:t>
      </w:r>
    </w:p>
    <w:p w:rsidR="0026452D" w:rsidRDefault="0026452D" w:rsidP="0026452D">
      <w:pPr>
        <w:pStyle w:val="TextoNormal"/>
      </w:pPr>
    </w:p>
    <w:p w:rsidR="0026452D" w:rsidRDefault="0026452D" w:rsidP="0026452D">
      <w:pPr>
        <w:pStyle w:val="TextoNormal"/>
      </w:pPr>
      <w:r>
        <w:t>De acuerdo con el escrito de planteamiento del recurso de inconstitucionalidad, ello supone una expoliación al suponer una perturbación del cumplimiento de la función social que a los fondos documentales y al Archivo General de la Guerra Civil Española les corresponde a los que se priva y aparta del destino que les es propio en perjuicio del conjunto de los ciudadanos españoles de hoy y de las generaciones sucesivas. Esta perturbación trata de ser demostrada con la cuantificación de los fondos que se devolverían, prácticamente la mitad de los fondos actuales, realizada por un informe del director del Archivo General de Castilla y León.</w:t>
      </w:r>
    </w:p>
    <w:p w:rsidR="0026452D" w:rsidRDefault="0026452D" w:rsidP="0026452D">
      <w:pPr>
        <w:pStyle w:val="TextoNormal"/>
      </w:pPr>
    </w:p>
    <w:p w:rsidR="0026452D" w:rsidRDefault="0026452D" w:rsidP="0026452D">
      <w:pPr>
        <w:pStyle w:val="TextoNormal"/>
      </w:pPr>
      <w:r>
        <w:t>Para el escrito de recurso la expoliación es indiscutible, por lo que se solicita la declaración de inconstitucionalidad y nulidad de los arts. 1 y 2.2 y de la disposición adicional primera de la Ley impugnada.</w:t>
      </w:r>
    </w:p>
    <w:p w:rsidR="0026452D" w:rsidRDefault="0026452D" w:rsidP="0026452D">
      <w:pPr>
        <w:pStyle w:val="TextoNormal"/>
      </w:pPr>
    </w:p>
    <w:p w:rsidR="0026452D" w:rsidRDefault="0026452D" w:rsidP="0026452D">
      <w:pPr>
        <w:pStyle w:val="TextoNormal"/>
      </w:pPr>
      <w:r>
        <w:t>d) A la misma conclusión llega el escrito de planteamiento del recurso de inconstitucionalidad respecto de la confrontación de los arts. 1 y 2.2 y la disposición adicional primera de la Ley impugnada con la segunda de las rúbricas competenciales que el art. 149.1.28 CE contiene, la que reserva al Estado la competencia sobre “los museos, bibliotecas y archivos de titularidad estatal”.</w:t>
      </w:r>
    </w:p>
    <w:p w:rsidR="0026452D" w:rsidRDefault="0026452D" w:rsidP="0026452D">
      <w:pPr>
        <w:pStyle w:val="TextoNormal"/>
      </w:pPr>
    </w:p>
    <w:p w:rsidR="0026452D" w:rsidRDefault="0026452D" w:rsidP="0026452D">
      <w:pPr>
        <w:pStyle w:val="TextoNormal"/>
      </w:pPr>
      <w:r>
        <w:t>De acuerdo con el escrito de recurso, el art. 149.1.28 CE no es una norma abstracta, sino que hace referencia a instituciones determinadas, perfectamente identificables (Museo del Prado, Biblioteca Nacional, Archivo Histórico Nacional, el Archivo General de la Guerra Civil Española creado en 1999, etc.) cuya existencia y singularidad la norma fundamental quiere proteger. El Estado, titular de las mismas, no podrá, pues, disponer de ellas con entera libertad. Podrá variar sus contornos si las circunstancias así lo exigen, pero no podrá alterar la imagen que las hace reconocibles. La ley recurrida, se alega, en la medida que desvirtúa y mutila el Archivo General de la Guerra Civil Española, un archivo creado como de titularidad estatal para conservar y custodiar todo el acervo documental concerniente a la represión política, sería inconstitucional y nula por contraria al art. 149.1.28 CE, que garantiza la integridad del archivo y su permanencia como tal en manos del Estado. De no entenderse contrarios a la Constitución los arts. 1 y 2.2 y la disposición adicional primera de la Ley impugnada, quedará abierta la vía para el vaciamiento de este precepto constitucional.</w:t>
      </w:r>
    </w:p>
    <w:p w:rsidR="0026452D" w:rsidRDefault="0026452D" w:rsidP="0026452D">
      <w:pPr>
        <w:pStyle w:val="TextoNormal"/>
      </w:pPr>
    </w:p>
    <w:p w:rsidR="0026452D" w:rsidRDefault="0026452D" w:rsidP="0026452D">
      <w:pPr>
        <w:pStyle w:val="TextoNormal"/>
      </w:pPr>
      <w:r>
        <w:lastRenderedPageBreak/>
        <w:t>e) La demanda considera como prueba de la desfiguración radical del Archivo General de la Guerra Civil Española el hecho de que, de acuerdo con la disposición adicional segunda de la Ley 21/2005, los fondos que en él puedan quedar tras la restitución pasarán a integrarse en el Centro Documental de la Memoria Histórica. El archivo, que era la parte principal, pasa a ser lo accesorio, solicitando que dicha disposición adicional segunda se declare igualmente inconstitucional y nula por conexión o consecuencia en la medida que contribuye a consumar la expoliación.</w:t>
      </w:r>
    </w:p>
    <w:p w:rsidR="0026452D" w:rsidRDefault="0026452D" w:rsidP="0026452D">
      <w:pPr>
        <w:pStyle w:val="TextoNormal"/>
      </w:pPr>
    </w:p>
    <w:p w:rsidR="0026452D" w:rsidRDefault="0026452D" w:rsidP="0026452D">
      <w:pPr>
        <w:pStyle w:val="TextoNormal"/>
      </w:pPr>
      <w:r>
        <w:t>f) A continuación, el escrito de recurso afirma que los arts. 1, 2.2, 3 y 5 de la Ley 21/2005 carecen de justificación objetiva y son, en consecuencia, arbitrarios, por lo que infringen el art. 9.3 CE.</w:t>
      </w:r>
    </w:p>
    <w:p w:rsidR="0026452D" w:rsidRDefault="0026452D" w:rsidP="0026452D">
      <w:pPr>
        <w:pStyle w:val="TextoNormal"/>
      </w:pPr>
    </w:p>
    <w:p w:rsidR="0026452D" w:rsidRDefault="0026452D" w:rsidP="0026452D">
      <w:pPr>
        <w:pStyle w:val="TextoNormal"/>
      </w:pPr>
      <w:r>
        <w:t>El art. 1 propone la restitución de los documentos incautados en Cataluña por la delegación del Estado para la recuperación de documentos, el art. 2.2 hace efectivo este propósito al transferir a la Generalitat los documentos, fondos documentales y otros efectos incautados en Cataluña a personas naturales o jurídicas de carácter privado con residencia, domicilio, delegación o secciones en Cataluña por la delegación del Estado para la recuperación de documentos, lo que ratifica a continuación el art. 3 de la Ley al afirmar que la Generalitat quedará subrogada en todos los derechos y obligaciones que hasta ahora correspondían al Estado sobre estos documentos y efectos. El art. 5 recoge algunos de los principios y criterios que deben guiar la restitución de documentos a sus propietarios originarios o sus descendientes.</w:t>
      </w:r>
    </w:p>
    <w:p w:rsidR="0026452D" w:rsidRDefault="0026452D" w:rsidP="0026452D">
      <w:pPr>
        <w:pStyle w:val="TextoNormal"/>
      </w:pPr>
    </w:p>
    <w:p w:rsidR="0026452D" w:rsidRDefault="0026452D" w:rsidP="0026452D">
      <w:pPr>
        <w:pStyle w:val="TextoNormal"/>
      </w:pPr>
      <w:r>
        <w:t xml:space="preserve">Para el escrito de recurso, la restitución que se pretende con la Ley va más allá de su propios términos pues no supone devolver una cosa a quién la tenía antes, ya que la Generalitat, se afirma, nunca tuvo los fondos que el art. 2.2 le transfiere, al pertenecer dichos fondos, en el momento de la incautación, a “personas naturales o jurídicas de carácter privado”. No puede hablarse por tanto de restitución sino de atribución </w:t>
      </w:r>
      <w:r w:rsidRPr="0026452D">
        <w:rPr>
          <w:i/>
        </w:rPr>
        <w:t>ex novo</w:t>
      </w:r>
      <w:r>
        <w:t>, de transferencia de titularidad, carente de causa, injustificada y puramente arbitraria.</w:t>
      </w:r>
    </w:p>
    <w:p w:rsidR="0026452D" w:rsidRDefault="0026452D" w:rsidP="0026452D">
      <w:pPr>
        <w:pStyle w:val="TextoNormal"/>
      </w:pPr>
    </w:p>
    <w:p w:rsidR="0026452D" w:rsidRDefault="0026452D" w:rsidP="0026452D">
      <w:pPr>
        <w:pStyle w:val="TextoNormal"/>
      </w:pPr>
      <w:r>
        <w:t>Para el escrito de recurso, tal transferencia no puede justificarse en que se hace para que la Generalitat se encargue de devolver dichos documentos y efectos a los sujetos privados que fueron sus dueños o a sus causahabientes, pues la Generalitat se quedará en propiedad con todos los documentos que no sean reclamados en plazo o que no sean reclamados en forma. Precisamente, es la Generalitat la encargada de regular, de acuerdo con el art. 5.2 de la Ley 21/2005, el procedimiento de reclamación, convirtiéndose, se afirma en el escrito de recurso, en juez y parte, en “restituyente” y beneficiaria de lo que no pueda restituirse.</w:t>
      </w:r>
    </w:p>
    <w:p w:rsidR="0026452D" w:rsidRDefault="0026452D" w:rsidP="0026452D">
      <w:pPr>
        <w:pStyle w:val="TextoNormal"/>
      </w:pPr>
    </w:p>
    <w:p w:rsidR="0026452D" w:rsidRDefault="0026452D" w:rsidP="0026452D">
      <w:pPr>
        <w:pStyle w:val="TextoNormal"/>
      </w:pPr>
      <w:r>
        <w:t>La combinación de los arts. 2.2 y 5 de la Ley impugnada, afirma el escrito de recurso, otorga a la Generalitat la propiedad de todos los documentos y efectos privados que no puedan restituirse, atribución que no tiene ninguna justificación posible, pues el mero hecho de que la incautación se produjera en territorio catalán no hace de mejor condición a la Generalitat que a otras personas físicas o jurídicas, públicas o privadas, que pudieran invocar títulos semejantes como sería el caso de los ayuntamientos. Para el escrito de recurso el puro hecho geográfico no es una razón que pueda justificar la transmisión a la Generalitat de unos documentos y unos efectos que nunca le pertenecieron.</w:t>
      </w:r>
    </w:p>
    <w:p w:rsidR="0026452D" w:rsidRDefault="0026452D" w:rsidP="0026452D">
      <w:pPr>
        <w:pStyle w:val="TextoNormal"/>
      </w:pPr>
    </w:p>
    <w:p w:rsidR="0026452D" w:rsidRDefault="0026452D" w:rsidP="0026452D">
      <w:pPr>
        <w:pStyle w:val="TextoNormal"/>
      </w:pPr>
      <w:r>
        <w:lastRenderedPageBreak/>
        <w:t>La ausencia de una razón capaz de justificar la transmisión a la Generalitat de Cataluña de la documentación privada que, por uno u otro motivo, no llegue a restituirse supone que los arts. 1, 2.2 y 5 de la Ley 21/2005 no tienen otro soporte que la desnuda voluntad, la pura arbitrariedad y vulneran el art. 9.3 CE por lo que deben ser declarados inconstitucionales y nulos.</w:t>
      </w:r>
    </w:p>
    <w:p w:rsidR="0026452D" w:rsidRDefault="0026452D" w:rsidP="0026452D">
      <w:pPr>
        <w:pStyle w:val="TextoNormal"/>
      </w:pPr>
    </w:p>
    <w:p w:rsidR="0026452D" w:rsidRDefault="0026452D" w:rsidP="0026452D">
      <w:pPr>
        <w:pStyle w:val="TextoNormal"/>
      </w:pPr>
      <w:r>
        <w:t>g) El escrito de recurso sostiene, asimismo, que los arts. 2.2, 3 y 5.2 de la Ley 21/2005 son inconstitucionales y nulos por ser contrarios al art. 149.1.28 CE que atribuye al Estado la competencia exclusiva sobre los archivos de titularidad estatal, sin perjuicio de su gestión por parte de las Comunidades Autónomas.</w:t>
      </w:r>
    </w:p>
    <w:p w:rsidR="0026452D" w:rsidRDefault="0026452D" w:rsidP="0026452D">
      <w:pPr>
        <w:pStyle w:val="TextoNormal"/>
      </w:pPr>
    </w:p>
    <w:p w:rsidR="0026452D" w:rsidRDefault="0026452D" w:rsidP="0026452D">
      <w:pPr>
        <w:pStyle w:val="TextoNormal"/>
      </w:pPr>
      <w:r>
        <w:t>Para el escrito de recurso no es constitucionalmente posible la transferencia a una Comunidad Autónoma de la titularidad de una parte importante de los fondos documentales de uno de los archivos de su exclusiva competencia (art. 2.2 de la Ley 21/2005), ni lo es tampoco subrogarla en todos los derechos y obligaciones del Estado (art. 3 de la Ley 21/2005), ni, en fin, cederle la competencia para regular el procedimiento a través del cual se tramitarán y resolverán las solicitudes de devolución que puedan formular sus titulares (art. 5.2 de la Ley 21/2005). Para el escrito de recurso si el Estado quiere restituir los documentos a sus primitivos propietarios debe ser él quien lo haga y quien regule el procedimiento para llevarlo a cabo, pues es una competencia que la Constitución atribuye al Estado en su art. 149.1.28 CE y tiene que ser ejercida por quien la tenga atribuida como propia.</w:t>
      </w:r>
    </w:p>
    <w:p w:rsidR="0026452D" w:rsidRDefault="0026452D" w:rsidP="0026452D">
      <w:pPr>
        <w:pStyle w:val="TextoNormal"/>
      </w:pPr>
    </w:p>
    <w:p w:rsidR="0026452D" w:rsidRDefault="0026452D" w:rsidP="0026452D">
      <w:pPr>
        <w:pStyle w:val="TextoNormal"/>
      </w:pPr>
      <w:r>
        <w:t>El Estado puede delegar la gestión de un archivo de su titularidad a una Comunidad Autónoma pero no puede transferir la titularidad del archivo o una parte del mismo, ni subrogarla en todos sus derechos y obligaciones, ni cederle la potestad de regular el procedimiento. Es por ello por lo que se solicita la declaración de inconstitucionalidad y nulidad de los artículos 2.2, 3.1 y 5.2 de la Ley 21/2005.</w:t>
      </w:r>
    </w:p>
    <w:p w:rsidR="0026452D" w:rsidRDefault="0026452D" w:rsidP="0026452D">
      <w:pPr>
        <w:pStyle w:val="TextoNormal"/>
      </w:pPr>
    </w:p>
    <w:p w:rsidR="0026452D" w:rsidRDefault="0026452D" w:rsidP="0026452D">
      <w:pPr>
        <w:pStyle w:val="TextoNormal"/>
      </w:pPr>
      <w:r>
        <w:t>h) Igualmente se argumenta que tales artículos, junto con la disposición adicional primera de la Ley 21/2005, violan el artículo 46 de la Constitución, pues ninguno de los preceptos legales establece medidas de protección para garantizar la conservación de los documentos que en aplicación de los mismos salgan del Archivo que hasta ahora los custodiaba.</w:t>
      </w:r>
    </w:p>
    <w:p w:rsidR="0026452D" w:rsidRDefault="0026452D" w:rsidP="0026452D">
      <w:pPr>
        <w:pStyle w:val="TextoNormal"/>
      </w:pPr>
    </w:p>
    <w:p w:rsidR="0026452D" w:rsidRDefault="0026452D" w:rsidP="0026452D">
      <w:pPr>
        <w:pStyle w:val="TextoNormal"/>
      </w:pPr>
      <w:r>
        <w:t>De acuerdo con el escrito de recurso, mientras los documentos se encuentran en el archivo estatal gozan de la protección que la Ley del patrimonio histórico español otorga a los bienes de interés cultural. Esta protección desaparece con su salida del archivo. Se denuncia que la Ley 21/2005 deja los documentos restituidos en situación de absoluta desprotección vulnerándose el artículo 46 de la Constitución que impone a todos los poderes públicos la obligación de garantizar la conservación del patrimonio histórico y cultural de los pueblos de España y de los bienes que lo integran, cualquiera que sea su régimen jurídico y su titularidad.</w:t>
      </w:r>
    </w:p>
    <w:p w:rsidR="0026452D" w:rsidRDefault="0026452D" w:rsidP="0026452D">
      <w:pPr>
        <w:pStyle w:val="TextoNormal"/>
      </w:pPr>
    </w:p>
    <w:p w:rsidR="0026452D" w:rsidRDefault="0026452D" w:rsidP="0026452D">
      <w:pPr>
        <w:pStyle w:val="TextoNormal"/>
      </w:pPr>
      <w:r>
        <w:t>La ausencia en la Ley 21/2005 de medidas dirigidas al cumplimiento de aquella obligación vulnera el art. 46 CE, por lo que se solicita la declaración de inconstitucionalidad y nulidad de los arts. 2.2 y 5 y la disposición adicional primera de la Ley impugnada.</w:t>
      </w:r>
    </w:p>
    <w:p w:rsidR="0026452D" w:rsidRDefault="0026452D" w:rsidP="0026452D">
      <w:pPr>
        <w:pStyle w:val="TextoNormal"/>
      </w:pPr>
    </w:p>
    <w:p w:rsidR="0026452D" w:rsidRDefault="0026452D" w:rsidP="0026452D">
      <w:pPr>
        <w:pStyle w:val="TextoNormal"/>
      </w:pPr>
      <w:r>
        <w:lastRenderedPageBreak/>
        <w:t>i) El escrito de recurso considera que los arts. 1, 2.2, 3, apartados 1 y 3, 4.1 y 5 de la Ley 21/2005 implican una discriminación a favor de la Generalitat de Cataluña y en contra de las demás Comunidades Autónomas careciendo absolutamente de justificación objetiva.</w:t>
      </w:r>
    </w:p>
    <w:p w:rsidR="0026452D" w:rsidRDefault="0026452D" w:rsidP="0026452D">
      <w:pPr>
        <w:pStyle w:val="TextoNormal"/>
      </w:pPr>
    </w:p>
    <w:p w:rsidR="0026452D" w:rsidRDefault="0026452D" w:rsidP="0026452D">
      <w:pPr>
        <w:pStyle w:val="TextoNormal"/>
      </w:pPr>
      <w:r>
        <w:t>El escrito de recurso acepta que se restituya a la Generalitat de Cataluña “la documentación del archivo institucional de sus órganos de gobierno, de su Administración de sus entidades dependientes, así como la correspondiente al Parlamento de Cataluña” que se conserva en el Archivo General de la Guerra Civil Española. La diferencia de trato denunciada no se refiere a este tipo de documentos, ya que tal diferencia está plenamente justificada; se trata de documentos producidos por la propia Generalitat de Cataluña.</w:t>
      </w:r>
    </w:p>
    <w:p w:rsidR="0026452D" w:rsidRDefault="0026452D" w:rsidP="0026452D">
      <w:pPr>
        <w:pStyle w:val="TextoNormal"/>
      </w:pPr>
    </w:p>
    <w:p w:rsidR="0026452D" w:rsidRDefault="0026452D" w:rsidP="0026452D">
      <w:pPr>
        <w:pStyle w:val="TextoNormal"/>
      </w:pPr>
      <w:r>
        <w:t>La denuncia de discriminación se refiere a los documentos incautados en su día a particulares cuya titularidad no es transferida por la Ley al resto de Comunidades Autónomas, ni las declara subrogadas en lugar del Estado en todos sus derechos y obligaciones, ni les otorga competencia para regular el procedimiento de restitución. La Ley, se señala, no da explicación de tal diferencia, por lo que no parece que exista razón alguna capaz justificativa de la discriminación denunciada. Por ello, la decisión tiene que declararse inconstitucional y nula por arbitraria, no siendo posible esgrimir que la Generalitat ya existía en el momento de la incautación, pues tal argumento sólo sería decisivo para justificar la restitución de documentos producidos por la propia Generalitat, pero no para justificar los documentos incautados a particulares.</w:t>
      </w:r>
    </w:p>
    <w:p w:rsidR="0026452D" w:rsidRDefault="0026452D" w:rsidP="0026452D">
      <w:pPr>
        <w:pStyle w:val="TextoNormal"/>
      </w:pPr>
    </w:p>
    <w:p w:rsidR="0026452D" w:rsidRDefault="0026452D" w:rsidP="0026452D">
      <w:pPr>
        <w:pStyle w:val="TextoNormal"/>
      </w:pPr>
      <w:r>
        <w:t>j) El escrito de recurso realiza una observación final sobre el art. 4.2 de la Ley 21/2005 que dispone la entrega inmediata a la Generalitat de los documentos y efectos que ya hubieran sido identificados en cumplimento del convenio sobre microfilmación de 1982. Para el escrito de recurso, se debe comprobar que lo entregado de inmediato son sólo documentos producidos en su día por la Generalitat y no los que tengan otros orígenes diferentes, lo que debe llevar a comprobar previamente a la entrega el contenido de las 507 cajas apartadas a raíz del convenio de 1982. La razón es que la Ley establece tratamientos claramente diferenciados para una y otra clase de documentos y esa es la única interpretación, afirma el escrito de recurso, que se ajustaría a lo querido por la norma y que no contribuiría a la expoliación denunciada.</w:t>
      </w:r>
    </w:p>
    <w:p w:rsidR="0026452D" w:rsidRDefault="0026452D" w:rsidP="0026452D">
      <w:pPr>
        <w:pStyle w:val="TextoNormal"/>
      </w:pPr>
    </w:p>
    <w:p w:rsidR="0026452D" w:rsidRDefault="0026452D" w:rsidP="0026452D">
      <w:pPr>
        <w:pStyle w:val="TextoNormal"/>
      </w:pPr>
      <w:r>
        <w:t xml:space="preserve">k) Finaliza el escrito de recurso solicitando del Tribunal que se declare la inconstitucionalidad y nulidad de la Ley y subsidiariamente de los artículos antes indicados. Mediante otrosí, la demanda pone de manifiesto que la Sentencia que en su día se dicte puede resultar ineficaz a la vista de la brevedad de los plazos que la Ley recurrida prevé (art. 3.3) para que se haga efectivo el traslado a la Generalitat de Cataluña de la documentación prevista en el art. 2, lo que determina que se solicite del Tribunal la adopción de medidas provisionales consistentes en que se aplace hasta que se dicte la Sentencia que ponga fin a este recurso la salida del Archivo General de la Guerra Civil Española de cualesquiera documentos distintos de los contemplados en el art. 2.1 de la Ley 21/2005, de 17 de noviembre (que se refiere al archivo institucional de la Generalitat de Cataluña, de sus órganos de gobierno y administración y de su Parlamento) para lo cual con carácter previo a la entrega a la Generalitat de Cataluña de los documentos a que hace referencia el art. 2.1 de la Ley, se proceda a la revisión del contenido de las 507 cajas en la que se conservan los documentos que fueron microfilmados en virtud del convenio de 1982 con el fin de retirar de ellas y excluir de la </w:t>
      </w:r>
      <w:r>
        <w:lastRenderedPageBreak/>
        <w:t>entrega la documentación que tenga una procedencia distinta de la contemplada en aquel artículo.</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la Sección Tercera de fecha 14 de marzo de 2006 se admitió a trámite el recurso de inconstitucionalidad y se acordó dar traslado de la demanda y documentos presentados, conforme dispone el art. 34 LOTC, al Congreso de los Diputados y al Senado, así como al Gobierno de la Nación, al objeto de que en el plazo de quince días puedan personarse en el proceso y formular alegaciones. También se acordó oír a las partes sobre la posible acumulación de este recurso con los registrados con el núm. 1682-2006 y 9007-2005, promovidos por más de cincuenta diputados del Grupo Parlamentario Popular en el Congreso y por la Junta de Castilla y León respectivamente. Respecto a las medidas provisionales solicitadas, se decidió estar a lo acordado en Auto el ATC 58/2006, de 15 de febrero, dictado en el recurso de inconstitucionalidad 9007-2005. Por último, se acordó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Con fecha 28 de marzo de 2006, se registra en el Tribunal un escrito del Presidente del Congreso de los Diputados mediante el que se comunica que la Mesa de la Cámara ha adoptado el acuerdo de personarse a los solos efectos de hacer alegaciones en relación con los vicios de procedimiento legislativo que se denuncian en la demanda, en lo que afecta al Congreso de los Diputados.</w:t>
      </w:r>
    </w:p>
    <w:p w:rsidR="0026452D" w:rsidRDefault="0026452D" w:rsidP="0026452D">
      <w:pPr>
        <w:pStyle w:val="TextoNormal"/>
      </w:pPr>
    </w:p>
    <w:p w:rsidR="0026452D" w:rsidRDefault="0026452D" w:rsidP="0026452D">
      <w:pPr>
        <w:pStyle w:val="TextoNormal"/>
      </w:pPr>
      <w:r w:rsidRPr="0026452D">
        <w:rPr>
          <w:rStyle w:val="NumeroAFNegritaCaracter"/>
        </w:rPr>
        <w:t>4</w:t>
      </w:r>
      <w:r>
        <w:t>. Con fecha 30 de marzo de 2006, se registra en el Tribunal un escrito del Presidente del Senado mediante el que se comunica que la Mesa de la Cámara ha adoptado el acuerdo de personarse en el proceso, poniéndose a disposición del Tribunal.</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en el Tribunal Constitucional el día 30 de marzo de 2006 el Abogado del Estado, en la representación que legalmente ostenta, formula sus alegaciones, que resumidamente se exponen.</w:t>
      </w:r>
    </w:p>
    <w:p w:rsidR="0026452D" w:rsidRDefault="0026452D" w:rsidP="0026452D">
      <w:pPr>
        <w:pStyle w:val="TextoNormal"/>
      </w:pPr>
    </w:p>
    <w:p w:rsidR="0026452D" w:rsidRDefault="0026452D" w:rsidP="0026452D">
      <w:pPr>
        <w:pStyle w:val="TextoNormal"/>
      </w:pPr>
      <w:r>
        <w:t>a) Comienza el escrito del Abogado del Estado señalando que el presente recurso es sustancialmente idéntico al tramitado con el núm. 9007-2005 e interpuesto en su día por la Junta de Castilla y León. La única variación relevante es que en el presente proceso se añade un nuevo antecedente y un nuevo primer fundamento jurídico, en los que se invoca la vulneración del derecho fundamental del art. 23.2 CE en la tramitación parlamentaria de la Ley. La casi absoluta identidad de ambos procesos le hace reproducir las alegaciones que entonces hizo.</w:t>
      </w:r>
    </w:p>
    <w:p w:rsidR="0026452D" w:rsidRDefault="0026452D" w:rsidP="0026452D">
      <w:pPr>
        <w:pStyle w:val="TextoNormal"/>
      </w:pPr>
    </w:p>
    <w:p w:rsidR="0026452D" w:rsidRDefault="0026452D" w:rsidP="0026452D">
      <w:pPr>
        <w:pStyle w:val="TextoNormal"/>
      </w:pPr>
      <w:r>
        <w:t xml:space="preserve">El escrito analiza, en primer lugar, el objeto del recurso y, tras destacar que se reprocha de inconstitucionalidad a toda la Ley por vicios en su tramitación parlamentaria, señala que en cuanto al fondo la demanda únicamente discute la constitucionalidad de la restitución prevista en la Ley a favor de las personas físicas o jurídico privadas, ya residan en Cataluña o en otras Comunidades Autónomas, aceptando, sin embargo, la plena conformidad a la Constitución de la restitución a la Generalitat prevista en el art. 2.1, pues así se establece en el escrito de recurso cuando se afirma que “no hemos pretendido nunca, ni pretendemos ahora evitar la devolución a la Generalidad de Cataluña de la documentación por ella generada entre 1932 y 1939”. Considera el Abogado del Estado que ello es incongruente, pues </w:t>
      </w:r>
      <w:r>
        <w:lastRenderedPageBreak/>
        <w:t>el fundamento de la restitución es el mismo: el Estado considera que la causa de la adquisición de la propiedad de tales bienes fue ilegítima y procede reparar la injusticia devolviendo a los que la padecieron los documentos que les fueron incautados. No se entiende que desde la protección de la unidad del Archivo se acepte la restitución de los documentos públicos, que de acuerdo con la Ley 16/85 del patrimonio histórico español (LPHE) tendrían una mayor valor histórico por entrar a formar parte del patrimonio documental desde su generación (art. 49.2 LPHE), y no la de los privados, los cuales no se incorporan al patrimonio documental hasta transcurridos cien años (art. 49.4 LPHE).</w:t>
      </w:r>
    </w:p>
    <w:p w:rsidR="0026452D" w:rsidRDefault="0026452D" w:rsidP="0026452D">
      <w:pPr>
        <w:pStyle w:val="TextoNormal"/>
      </w:pPr>
    </w:p>
    <w:p w:rsidR="0026452D" w:rsidRDefault="0026452D" w:rsidP="0026452D">
      <w:pPr>
        <w:pStyle w:val="TextoNormal"/>
      </w:pPr>
      <w:r>
        <w:t>Para el Abogado del Estado el legislador estatal puede, desde un punto de vista constitucional, ponderar los intereses en conflicto y privilegiar la protección del interés de los legítimos propietarios de recuperar lo que injustamente les fue incautado, frente a una defensa a ultranza del patrimonio documental. Debe tenerse en cuenta, además, que la Ley impugnada adopta todas las medidas necesarias para garantizar la plena protección de ese patrimonio documental.</w:t>
      </w:r>
    </w:p>
    <w:p w:rsidR="0026452D" w:rsidRDefault="0026452D" w:rsidP="0026452D">
      <w:pPr>
        <w:pStyle w:val="TextoNormal"/>
      </w:pPr>
    </w:p>
    <w:p w:rsidR="0026452D" w:rsidRDefault="0026452D" w:rsidP="0026452D">
      <w:pPr>
        <w:pStyle w:val="TextoNormal"/>
      </w:pPr>
      <w:r>
        <w:t>b) A continuación realiza el Abogado del Estado una serie de precisiones fácticas entre las que destacan la relativa a que únicamente han salido del archivo documentos que se ha comprobado que pertenecían a la Generalitat, o que la creación del Archivo General de la Guerra Civil Española en 1999 no supuso aumento de los medios personales ni materiales frente a lo que ocurrirá con la entrada en vigor de la Ley 21/2005, aquí impugnada, que prevé la implantación del Centro Documental de la Memoria Histórica para lo cual el Ministerio de Cultura ha comprometido 12 millones de euros, duplicar la plantilla y la expropiación del Palacio de Orellana para dar cabida a los nuevos fondos con los que se pretende dotar al archivo. Para el Abogado del Estado, el incremento de medios materiales y personales no parece congruente con la intención expoliadora que la demanda atribuye a la Ley.</w:t>
      </w:r>
    </w:p>
    <w:p w:rsidR="0026452D" w:rsidRDefault="0026452D" w:rsidP="0026452D">
      <w:pPr>
        <w:pStyle w:val="TextoNormal"/>
      </w:pPr>
    </w:p>
    <w:p w:rsidR="0026452D" w:rsidRDefault="0026452D" w:rsidP="0026452D">
      <w:pPr>
        <w:pStyle w:val="TextoNormal"/>
      </w:pPr>
      <w:r>
        <w:t>c) El Abogado del Estado entra a rebatir los argumentos del recurso, agrupando su contestación en tres grandes motivos. El primero se refiere a la vulneración del art. 23.2 CE en relación con el art. 88 CE durante la tramitación parlamentaria de la Ley, por no haberse incorporado a los antecedentes parlamentarios los informes de la Junta Superior de Archivos y del patronato del Archivo General de la Guerra Civil Española. El segundo se refiere a la infracción del artículo 149.1.28, en relación con el artículo 46, ambos de la Constitución, dado que según la demanda las Cortes Generales habrían perpetrado una expoliación del patrimonio documental español; se habría vulnerado la garantía institucional establecida en aquel artículo; el Estado estaría incumpliendo su obligación de conservar sus competencias sobre los archivos de su titularidad, y no se estaría garantizando además la conservación del fondo documental que se restituye. El tercero se relaciona con la vulneración del art. 9.3 CE, en lo que se refiere a la interdicción de la arbitrariedad, dado que las medidas carecerían de justificación objetiva e introducirían una discriminación a favor de la Generalitat.</w:t>
      </w:r>
    </w:p>
    <w:p w:rsidR="0026452D" w:rsidRDefault="0026452D" w:rsidP="0026452D">
      <w:pPr>
        <w:pStyle w:val="TextoNormal"/>
      </w:pPr>
    </w:p>
    <w:p w:rsidR="0026452D" w:rsidRDefault="0026452D" w:rsidP="0026452D">
      <w:pPr>
        <w:pStyle w:val="TextoNormal"/>
      </w:pPr>
      <w:r>
        <w:t xml:space="preserve">d) Por lo que se refiere al primer motivo, considera el Abogado del Estado que es necesario examinar la doctrina del Tribunal Constitucional sobre los vicios en el procedimiento legislativo, pues para que pueda apreciarse la inconstitucionalidad de una ley por vicios en la tramitación parlamentaria no basta con una vulneración de la norma adjetiva, sino que es preciso que la infracción haya alterado de modo sustancial el proceso de formación de la voluntad de las Cámaras. En todo caso, en el presente supuesto no habría existido, de acuerdo con el escrito del Abogado del Estado, ningún vicio procedimental dado que sí se </w:t>
      </w:r>
      <w:r>
        <w:lastRenderedPageBreak/>
        <w:t>incorporaron los antecedentes necesarios para pronunciarse sobre el proyecto de ley en cuestión, tal y como exige el art. 88 CE.</w:t>
      </w:r>
    </w:p>
    <w:p w:rsidR="0026452D" w:rsidRDefault="0026452D" w:rsidP="0026452D">
      <w:pPr>
        <w:pStyle w:val="TextoNormal"/>
      </w:pPr>
    </w:p>
    <w:p w:rsidR="0026452D" w:rsidRDefault="0026452D" w:rsidP="0026452D">
      <w:pPr>
        <w:pStyle w:val="TextoNormal"/>
      </w:pPr>
      <w:r>
        <w:t>A continuación los dos informes que se consideran omitidos. El primero, el de la Junta Superior de Archivos, no sería un informe preceptivo, pues de acuerdo con el apartado 2 a) de la Orden de 25 de noviembre de 1996, que es el que citan los recurrentes, son funciones de tal Junta Superior de Archivos “elevar al titular del Departamento las propuestas que considere convenientes para la mejor investigación, conservación, enriquecimiento, protección y difusión de los bienes integrantes del Patrimonio Documental”. La Junta se configura como un órgano consultivo del Ministro de Cultura y todos sus informes, al no establecerse nada, son facultativos y no vinculantes. De acuerdo con el Abogado del Estado, el titular del Departamento no consideró necesario recabar el referido informe, dado que solicitó un específico dictamen a una comisión de expertos creada por el patronato del Archivo General de la Guerra Civil Española.</w:t>
      </w:r>
    </w:p>
    <w:p w:rsidR="0026452D" w:rsidRDefault="0026452D" w:rsidP="0026452D">
      <w:pPr>
        <w:pStyle w:val="TextoNormal"/>
      </w:pPr>
    </w:p>
    <w:p w:rsidR="0026452D" w:rsidRDefault="0026452D" w:rsidP="0026452D">
      <w:pPr>
        <w:pStyle w:val="TextoNormal"/>
      </w:pPr>
      <w:r>
        <w:t>En relación con el segundo informe, el del patronato del Archivo General de la Guerra Civil Española, señala el Abogado del Estado que el artículo 4 del Real Decreto 426/1999 dispone que son funciones del pleno del patronato “emitir preceptivamente informe sobre cualquier propuesta de salida de fondos del archivo”; y fue precisamente el patronato el que decidió la creación de la comisión de expertos que emitió el informe que sirvió de base para la elaboración de la Ley, patronato que asumió tal informe como propio. Por tanto, no cabe afirmar que no se contó con el parecer del patronato; simplemente, este consideró recabar la opinión de cualificados expertos.</w:t>
      </w:r>
    </w:p>
    <w:p w:rsidR="0026452D" w:rsidRDefault="0026452D" w:rsidP="0026452D">
      <w:pPr>
        <w:pStyle w:val="TextoNormal"/>
      </w:pPr>
    </w:p>
    <w:p w:rsidR="0026452D" w:rsidRDefault="0026452D" w:rsidP="0026452D">
      <w:pPr>
        <w:pStyle w:val="TextoNormal"/>
      </w:pPr>
      <w:r>
        <w:t>En todo caso, el informe del patronato no sería tampoco preceptivo para la aprobación de un proyecto de ley, pues el art. 4 referido exige su informe únicamente para llevar a cabo concretos actos administrativos que supongan la salida de documentos. Cosa que ocurrió una vez aprobada la Ley y antes de que se produjese la salida de la documentación.</w:t>
      </w:r>
    </w:p>
    <w:p w:rsidR="0026452D" w:rsidRDefault="0026452D" w:rsidP="0026452D">
      <w:pPr>
        <w:pStyle w:val="TextoNormal"/>
      </w:pPr>
    </w:p>
    <w:p w:rsidR="0026452D" w:rsidRDefault="0026452D" w:rsidP="0026452D">
      <w:pPr>
        <w:pStyle w:val="TextoNormal"/>
      </w:pPr>
      <w:r>
        <w:t>e) Por lo que se refiere al segundo motivo, considera el Abogado del Estado que la Ley no provoca una expoliación en el sentido del art. 4 LPHE que, en todo caso, no podría servir de canon para enjuiciar la constitucionalidad de una Ley igualmente estatal.</w:t>
      </w:r>
    </w:p>
    <w:p w:rsidR="0026452D" w:rsidRDefault="0026452D" w:rsidP="0026452D">
      <w:pPr>
        <w:pStyle w:val="TextoNormal"/>
      </w:pPr>
    </w:p>
    <w:p w:rsidR="0026452D" w:rsidRDefault="0026452D" w:rsidP="0026452D">
      <w:pPr>
        <w:pStyle w:val="TextoNormal"/>
      </w:pPr>
      <w:r>
        <w:t>El Archivo General de la Guerra Civil Española está formado por tres tipos de documentos, los generados por los organismos represivos, los incautados para llevar a cabo la represión y los incorporados al archivo en los últimos años. En el archivo van a permanecer los primeros y los terceros. Los primeros constituyen el auténtico testimonio de la represión.</w:t>
      </w:r>
    </w:p>
    <w:p w:rsidR="0026452D" w:rsidRDefault="0026452D" w:rsidP="0026452D">
      <w:pPr>
        <w:pStyle w:val="TextoNormal"/>
      </w:pPr>
    </w:p>
    <w:p w:rsidR="0026452D" w:rsidRDefault="0026452D" w:rsidP="0026452D">
      <w:pPr>
        <w:pStyle w:val="TextoNormal"/>
      </w:pPr>
      <w:r>
        <w:t xml:space="preserve">Señala el Abogado del Estado que los documentos a restituir no tienen un valor artístico, sino únicamente una importancia histórica como testimonio del pasado, fuente de investigación para los historiadores, destacando que el documento original no incorpora un valor científico superior al de la copia autenticada, dado que su única función es servir a la investigación, que evidentemente puede desarrollarse igual sobre el original o sobre la copia. Recogiendo lo dicho por la comisión de expertos creada en 2004, el Abogado del Estado afirma que el mantenimiento de la función social del archivo no depende tanto de su localización física como de las condiciones de uso de la información en ellos contenidos. La función social del archivo, consistente en permitir la consulta e investigación de sus fondos, </w:t>
      </w:r>
      <w:r>
        <w:lastRenderedPageBreak/>
        <w:t>va a mantenerse al conservarse copia digitalizada, con el carácter de auténtica, de todos los documentos que se restituyan.</w:t>
      </w:r>
    </w:p>
    <w:p w:rsidR="0026452D" w:rsidRDefault="0026452D" w:rsidP="0026452D">
      <w:pPr>
        <w:pStyle w:val="TextoNormal"/>
      </w:pPr>
    </w:p>
    <w:p w:rsidR="0026452D" w:rsidRDefault="0026452D" w:rsidP="0026452D">
      <w:pPr>
        <w:pStyle w:val="TextoNormal"/>
      </w:pPr>
      <w:r>
        <w:t>Igualmente afirma el escrito de la Abogacía del Estado que desde una perspectiva archivística el principio fundamental es el de la procedencia más que el de unidad. Y a aquel principio responde la Ley impugnada.</w:t>
      </w:r>
    </w:p>
    <w:p w:rsidR="0026452D" w:rsidRDefault="0026452D" w:rsidP="0026452D">
      <w:pPr>
        <w:pStyle w:val="TextoNormal"/>
      </w:pPr>
    </w:p>
    <w:p w:rsidR="0026452D" w:rsidRDefault="0026452D" w:rsidP="0026452D">
      <w:pPr>
        <w:pStyle w:val="TextoNormal"/>
      </w:pPr>
      <w:r>
        <w:t>Frente a la afirmación de que el Archivo General de la Guerra Civil Española con la aplicación de la Ley pasará a ser un archivo parcial del conflicto o un simple almacén parcial de restos documentales, se alega que aquel archivo siempre ha sido, en realidad, un archivo parcial de la represión posterior a la guerra, siendo, precisamente, la Ley impugnada la que pretende fomentar su carácter de archivo general con un ambicioso plan de inversiones.</w:t>
      </w:r>
    </w:p>
    <w:p w:rsidR="0026452D" w:rsidRDefault="0026452D" w:rsidP="0026452D">
      <w:pPr>
        <w:pStyle w:val="TextoNormal"/>
      </w:pPr>
    </w:p>
    <w:p w:rsidR="0026452D" w:rsidRDefault="0026452D" w:rsidP="0026452D">
      <w:pPr>
        <w:pStyle w:val="TextoNormal"/>
      </w:pPr>
      <w:r>
        <w:t>Igualmente se rechaza que el art. 149.1.28 CE incorpore una garantía institucional sobre los archivos existentes que la Ley habría quebrantado. El precepto constitucional referido se limitaría a designar el ente competente para incidir sobre una materia, sin predeterminar un contenido concreto de la actuación y sin pretender un contenido inalterable como sostiene la demanda. Esta pretensión sería tan absurda como sostener que la atribución de la competencia sobre administración de justicia impide alterar los órganos jurisdiccionales existentes.</w:t>
      </w:r>
    </w:p>
    <w:p w:rsidR="0026452D" w:rsidRDefault="0026452D" w:rsidP="0026452D">
      <w:pPr>
        <w:pStyle w:val="TextoNormal"/>
      </w:pPr>
    </w:p>
    <w:p w:rsidR="0026452D" w:rsidRDefault="0026452D" w:rsidP="0026452D">
      <w:pPr>
        <w:pStyle w:val="TextoNormal"/>
      </w:pPr>
      <w:r>
        <w:t>El art. 46 CE, y no el 149.1.28 CE, es el que establece los principios que deben inspirar la actuación material de los titulares de la competencia sobre patrimonio histórico: garantizar la conservación y promover su enriquecimiento. Estos principios deben conciliarse con otros, como puede ser la realización del superior valor de justicia del art. 1.2 CE que es precisamente lo que ha tratado de hacer la Ley impugnada reparando una incautación ilegítima y garantizando la conservación de la plena funcionalidad del archivo.</w:t>
      </w:r>
    </w:p>
    <w:p w:rsidR="0026452D" w:rsidRDefault="0026452D" w:rsidP="0026452D">
      <w:pPr>
        <w:pStyle w:val="TextoNormal"/>
      </w:pPr>
    </w:p>
    <w:p w:rsidR="0026452D" w:rsidRDefault="0026452D" w:rsidP="0026452D">
      <w:pPr>
        <w:pStyle w:val="TextoNormal"/>
      </w:pPr>
      <w:r>
        <w:t>Señala el Abogado del Estado que, incluso aceptando, a efectos puramente dialécticos, la tesis de la garantía institucional, la modificación del contenido de un archivo no alteraría la imagen que tiene de los archivos en su conjunto la conciencia social de cada momento.</w:t>
      </w:r>
    </w:p>
    <w:p w:rsidR="0026452D" w:rsidRDefault="0026452D" w:rsidP="0026452D">
      <w:pPr>
        <w:pStyle w:val="TextoNormal"/>
      </w:pPr>
    </w:p>
    <w:p w:rsidR="0026452D" w:rsidRDefault="0026452D" w:rsidP="0026452D">
      <w:pPr>
        <w:pStyle w:val="TextoNormal"/>
      </w:pPr>
      <w:r>
        <w:t>A continuación se rechazan los argumentos relativos a que deba ser el Estado quien restituya los documentos a sus primitivos propietarios, y que deba ser él quien regule el procedimiento para llevarlo a cabo. Para el representante del Estado, éste puede transferir fondos documentales a una Comunidad Autónoma, fondos que, una vez transferidos, pueden ser gestionados por ella.</w:t>
      </w:r>
    </w:p>
    <w:p w:rsidR="0026452D" w:rsidRDefault="0026452D" w:rsidP="0026452D">
      <w:pPr>
        <w:pStyle w:val="TextoNormal"/>
      </w:pPr>
    </w:p>
    <w:p w:rsidR="0026452D" w:rsidRDefault="0026452D" w:rsidP="0026452D">
      <w:pPr>
        <w:pStyle w:val="TextoNormal"/>
      </w:pPr>
      <w:r>
        <w:t>En relación con la alegación de que la Ley impugnada viola el artículo 46 de la Constitución en la medida en que no establece medidas de protección para garantizar la conservación de los documentos que en aplicación de la misma salgan del archivo, se argumenta que los documentos restituidos recibirán la protección que establezca la Ley del patrimonio histórico español.</w:t>
      </w:r>
    </w:p>
    <w:p w:rsidR="0026452D" w:rsidRDefault="0026452D" w:rsidP="0026452D">
      <w:pPr>
        <w:pStyle w:val="TextoNormal"/>
      </w:pPr>
    </w:p>
    <w:p w:rsidR="0026452D" w:rsidRDefault="0026452D" w:rsidP="0026452D">
      <w:pPr>
        <w:pStyle w:val="TextoNormal"/>
      </w:pPr>
      <w:r>
        <w:t xml:space="preserve">Los documentos privados susceptibles de restitución pueden pertenecer a dos categorías: a) los que, por reunir las cualidades del art. 49 LPHE, integren el patrimonio histórico [para que un documento privado integre el patrimonio histórico español es preciso que tenga una antigüedad superior a cien años, que se haya generado por las entidades previstas en el art. </w:t>
      </w:r>
      <w:r>
        <w:lastRenderedPageBreak/>
        <w:t>49.3 LPHE y tenga una antigüedad de más de cuarente años, o que sea objeto de una específica declaración de bien de interés cultural (art. 49.5 LPHE)], en cuyo caso tendrán el carácter de bienes de interés cultural mientras se custodien en el Archivo General de la Guerra Civil Española; y b) los que, por no reunir esos caracteres, no integren el patrimonio documental, estén o no custodiados en un archivo estatal.</w:t>
      </w:r>
    </w:p>
    <w:p w:rsidR="0026452D" w:rsidRDefault="0026452D" w:rsidP="0026452D">
      <w:pPr>
        <w:pStyle w:val="TextoNormal"/>
      </w:pPr>
    </w:p>
    <w:p w:rsidR="0026452D" w:rsidRDefault="0026452D" w:rsidP="0026452D">
      <w:pPr>
        <w:pStyle w:val="TextoNormal"/>
      </w:pPr>
      <w:r>
        <w:t>Señala el Abogado del Estado que la protección que otorga la Ley del patrimonio histórico español es independiente de la titularidad de los bienes a que se refiere. Las obligaciones de facilitar el acceso, la de conservación o las limitaciones a su venta se imponen con independencia de su titularidad. Específicamente en relación con el patrimonio documental, el art. 52 LPHE instituye a cargo de todos los poseedores diversas obligaciones: la de conservarlos, protegerlos y destinarlos a un uso que no impida su conservación y mantenerlos en lugares adecuados (el incumplimiento de tal obligación puede ser causa de expropiación) así como la de facilitar la inspección y el estudio para los investigadores. Igualmente el art. 56 LPHE impone limitaciones a los actos de disposición, exportación e importación.</w:t>
      </w:r>
    </w:p>
    <w:p w:rsidR="0026452D" w:rsidRDefault="0026452D" w:rsidP="0026452D">
      <w:pPr>
        <w:pStyle w:val="TextoNormal"/>
      </w:pPr>
    </w:p>
    <w:p w:rsidR="0026452D" w:rsidRDefault="0026452D" w:rsidP="0026452D">
      <w:pPr>
        <w:pStyle w:val="TextoNormal"/>
      </w:pPr>
      <w:r>
        <w:t>Recuerda el Abogado del Estado que las Comunidades Autónomas de destino de los documentos también cuentan con legislación protectora del patrimonio documental. La catalana concretamente impone a los propietarios de documentos privados obligaciones que van más allá de las impuestas en la legislación estatal.</w:t>
      </w:r>
    </w:p>
    <w:p w:rsidR="0026452D" w:rsidRDefault="0026452D" w:rsidP="0026452D">
      <w:pPr>
        <w:pStyle w:val="TextoNormal"/>
      </w:pPr>
    </w:p>
    <w:p w:rsidR="0026452D" w:rsidRDefault="0026452D" w:rsidP="0026452D">
      <w:pPr>
        <w:pStyle w:val="TextoNormal"/>
      </w:pPr>
      <w:r>
        <w:t>En definitiva, la Ley impugnada no necesita establecer medidas adicionales de protección de los documentos que se restituyen, pues la Ley del patrimonio histórico español ya contiene suficientes normas protectoras y además otorga a la Administración y al Gobierno la facultad de someter individualizadamente a los documentos que lo merezcan al mayor grado de protección previsto en nuestra legislación.</w:t>
      </w:r>
    </w:p>
    <w:p w:rsidR="0026452D" w:rsidRDefault="0026452D" w:rsidP="0026452D">
      <w:pPr>
        <w:pStyle w:val="TextoNormal"/>
      </w:pPr>
    </w:p>
    <w:p w:rsidR="0026452D" w:rsidRDefault="0026452D" w:rsidP="0026452D">
      <w:pPr>
        <w:pStyle w:val="TextoNormal"/>
      </w:pPr>
      <w:r>
        <w:t>f) A continuación contesta el Abogado del Estado al tercer gran motivo de impugnación, la vulneración del art. 9.3 CE, en lo que se refiere a la interdicción de la arbitrariedad, dado que las medidas, según el recurrente, carecerían de justificación objetiva e introducirían una discriminación a favor de la Generalitat.</w:t>
      </w:r>
    </w:p>
    <w:p w:rsidR="0026452D" w:rsidRDefault="0026452D" w:rsidP="0026452D">
      <w:pPr>
        <w:pStyle w:val="TextoNormal"/>
      </w:pPr>
    </w:p>
    <w:p w:rsidR="0026452D" w:rsidRDefault="0026452D" w:rsidP="0026452D">
      <w:pPr>
        <w:pStyle w:val="TextoNormal"/>
      </w:pPr>
      <w:r>
        <w:t>El Abogado del Estado recuerda la jurisprudencia del Tribunal Constitucional en relación con la arbitrariedad como motivo de inconstitucionalidad de una ley, de la que se deriva que ese control de constitucionalidad de las leyes debe ejercerse de forma que no imponga constricciones indebidas al poder legislativo y respete sus opciones políticas.</w:t>
      </w:r>
    </w:p>
    <w:p w:rsidR="0026452D" w:rsidRDefault="0026452D" w:rsidP="0026452D">
      <w:pPr>
        <w:pStyle w:val="TextoNormal"/>
      </w:pPr>
    </w:p>
    <w:p w:rsidR="0026452D" w:rsidRDefault="0026452D" w:rsidP="0026452D">
      <w:pPr>
        <w:pStyle w:val="TextoNormal"/>
      </w:pPr>
      <w:r>
        <w:t>En lo que se refiere a la impugnación que realiza el recurrente de que la transmisión a la Generalitat de la documentación privada incautada es arbitraria, pues supone que aquella documentación, que por un motivo u otro, no llegue a restituirse a sus legítimos propietarios o causahabientes quedará en manos de la Generalitat, contesta el Abogado del Estado afirmando que la Ley diferencia entre la documentación incautada a la Generalitat de entonces, que según el art. 2 de la Ley se restituirá, y la documentación incautada a los particulares, que según la Ley se transferirá a la actual Generalitat a los solos efectos de su restitución a sus legítimos titulares. El Abogado del Estado interpreta que, si la transferencia se hace sólo a los efectos de restitución, transcurrido el plazo del año de caducidad para la reclamación por los particulares a que se refiere el art. 5, los documentos privados que no se hubieran restituido habrían de retornar al archivo estatal.</w:t>
      </w:r>
    </w:p>
    <w:p w:rsidR="0026452D" w:rsidRDefault="0026452D" w:rsidP="0026452D">
      <w:pPr>
        <w:pStyle w:val="TextoNormal"/>
      </w:pPr>
    </w:p>
    <w:p w:rsidR="0026452D" w:rsidRDefault="0026452D" w:rsidP="0026452D">
      <w:pPr>
        <w:pStyle w:val="TextoNormal"/>
      </w:pPr>
      <w:r>
        <w:t>Incluso, si se interpretase que los documentos que no se restituyan a sus legítimos propietarios quedan en manos de la Generalitat no habría inconstitucionalidad, pues la Ley del patrimonio histórico español permite la transferencia de bienes del patrimonio histórico a otras Administraciones, sin necesidad de acudir a una norma con rango de ley, pues la Ley del patrimonio histórico español considera que la conservación del patrimonio está igualmente garantizada por cualquier Administración pública.</w:t>
      </w:r>
    </w:p>
    <w:p w:rsidR="0026452D" w:rsidRDefault="0026452D" w:rsidP="0026452D">
      <w:pPr>
        <w:pStyle w:val="TextoNormal"/>
      </w:pPr>
    </w:p>
    <w:p w:rsidR="0026452D" w:rsidRDefault="0026452D" w:rsidP="0026452D">
      <w:pPr>
        <w:pStyle w:val="TextoNormal"/>
      </w:pPr>
      <w:r>
        <w:t>Considera el Abogado del Estado que la finalidad de la Ley es la restitución de los documentos incautados a sus legítimos titulares. Aceptada tal finalidad la Ley ha optado por un procedimiento de entre los diversos constitucionalmente posibles, un procedimiento que encaja en nuestro modelo territorial, dadas las amplias competencias en materia de cultura y protección del patrimonio histórico que tienen las Comunidades Autónomas.</w:t>
      </w:r>
    </w:p>
    <w:p w:rsidR="0026452D" w:rsidRDefault="0026452D" w:rsidP="0026452D">
      <w:pPr>
        <w:pStyle w:val="TextoNormal"/>
      </w:pPr>
    </w:p>
    <w:p w:rsidR="0026452D" w:rsidRDefault="0026452D" w:rsidP="0026452D">
      <w:pPr>
        <w:pStyle w:val="TextoNormal"/>
      </w:pPr>
      <w:r>
        <w:t>En cuanto a la alegación de que la Administración restituyente sería a la vez juez y parte a la hora de articular la devolución, se destaca que la imparcialidad de la Administración en el proceso de restitución viene garantizada por los principios rectores de su actuación establecidos en el art. 103 CE.</w:t>
      </w:r>
    </w:p>
    <w:p w:rsidR="0026452D" w:rsidRDefault="0026452D" w:rsidP="0026452D">
      <w:pPr>
        <w:pStyle w:val="TextoNormal"/>
      </w:pPr>
    </w:p>
    <w:p w:rsidR="0026452D" w:rsidRDefault="0026452D" w:rsidP="0026452D">
      <w:pPr>
        <w:pStyle w:val="TextoNormal"/>
      </w:pPr>
      <w:r>
        <w:t>En lo que se refiere a la denuncia de arbitrariedad por trato desigual derivado del diferente régimen de restitución previsto en la Ley impugnada, para Cataluña y para el resto de Comunidades Autónomas, se argumenta que la Ley es congruente con el objeto limitado de la misma, la restitución de los documentos incautados en Cataluña con motivo de la guerra civil y custodiados en el Archivo General de la Guerra Civil Española. Es cierto que, mientras que para la restitución de los documentos incautados en Cataluña la Ley contiene una regulación completa, para el resto de Comunidades Autónomas, la disposición adicional primera, simplemente, prevé la extensión de la posibilidad de restitución, sin contener un régimen jurídico completo, pues se produce una remisión a una norma del Gobierno. Pero, nada impide que la norma del Gobierno que desarrolle la disposición adicional lo haga en parecidos términos a como se ha regulado la restitución para el caso de Cataluña. Las diferencias de trato que se alegan en la demanda serían, en su caso, imputables a la norma reglamentaria pero no a la Ley impugnada.</w:t>
      </w:r>
    </w:p>
    <w:p w:rsidR="0026452D" w:rsidRDefault="0026452D" w:rsidP="0026452D">
      <w:pPr>
        <w:pStyle w:val="TextoNormal"/>
      </w:pPr>
    </w:p>
    <w:p w:rsidR="0026452D" w:rsidRDefault="0026452D" w:rsidP="0026452D">
      <w:pPr>
        <w:pStyle w:val="TextoNormal"/>
      </w:pPr>
      <w:r>
        <w:t>Pero es que, según el escrito del Abogado del Estado, los entes jurídicos públicos no son titulares del derecho fundamental a la no discriminación amparado en el art. 14 CE que se refiere a los españoles. Y precisamente la Ley prevé la restitución a todos los particulares que acrediten su derecho, con independencia de su residencia o lugar de incautación, y sometiéndoles a los mismos requisitos del art. 5. Por tanto, en ningún caso puede considerarse que la Ley incurra en trato desigual, en relación con el único término de comparación válido: los ciudadanos.</w:t>
      </w:r>
    </w:p>
    <w:p w:rsidR="0026452D" w:rsidRDefault="0026452D" w:rsidP="0026452D">
      <w:pPr>
        <w:pStyle w:val="TextoNormal"/>
      </w:pPr>
    </w:p>
    <w:p w:rsidR="0026452D" w:rsidRDefault="0026452D" w:rsidP="0026452D">
      <w:pPr>
        <w:pStyle w:val="TextoNormal"/>
      </w:pPr>
      <w:r>
        <w:t>Finaliza el Abogado del Estado solicitando la desestimación del recurso de inconstitucionalidad y pidiendo la acumulación del presente recurso al recurso núm. 9007-2005.</w:t>
      </w:r>
    </w:p>
    <w:p w:rsidR="0026452D" w:rsidRDefault="0026452D" w:rsidP="0026452D">
      <w:pPr>
        <w:pStyle w:val="TextoNormal"/>
      </w:pPr>
    </w:p>
    <w:p w:rsidR="0026452D" w:rsidRDefault="0026452D" w:rsidP="0026452D">
      <w:pPr>
        <w:pStyle w:val="TextoNormal"/>
      </w:pPr>
      <w:r w:rsidRPr="0026452D">
        <w:rPr>
          <w:rStyle w:val="NumeroAFNegritaCaracter"/>
        </w:rPr>
        <w:t>6</w:t>
      </w:r>
      <w:r>
        <w:t>. Mediante escrito registrado en el Tribunal Constitucional el día 10 de abril de 2006, el Letrado de las Cortes Generales, actuando en representación y defensa del Congreso de los Diputados, formula las alegaciones que resumidamente se exponen.</w:t>
      </w:r>
    </w:p>
    <w:p w:rsidR="0026452D" w:rsidRDefault="0026452D" w:rsidP="0026452D">
      <w:pPr>
        <w:pStyle w:val="TextoNormal"/>
      </w:pPr>
    </w:p>
    <w:p w:rsidR="0026452D" w:rsidRDefault="0026452D" w:rsidP="0026452D">
      <w:pPr>
        <w:pStyle w:val="TextoNormal"/>
      </w:pPr>
      <w:r>
        <w:lastRenderedPageBreak/>
        <w:t>El escrito del Letrado de las Cortes Generales se ciñe, de acuerdo con lo ordenado por la Mesa de la Cámara, a formular alegaciones en relación con los vicios de procedimiento legislativo que se denuncian en la demanda y no se extiende al resto de alegaciones del recurso de inconstitucionalidad.</w:t>
      </w:r>
    </w:p>
    <w:p w:rsidR="0026452D" w:rsidRDefault="0026452D" w:rsidP="0026452D">
      <w:pPr>
        <w:pStyle w:val="TextoNormal"/>
      </w:pPr>
    </w:p>
    <w:p w:rsidR="0026452D" w:rsidRDefault="0026452D" w:rsidP="0026452D">
      <w:pPr>
        <w:pStyle w:val="TextoNormal"/>
      </w:pPr>
      <w:r>
        <w:t>Tras sintetizar las alegaciones de los recurrentes, entra el escrito del Letrado de las Cortes Generales a oponer sus argumentos. Para la representación de la Cámara, el art. 88 CE en relación con el art. 23.2 CE, y en relación también con el art. 109 del Reglamento del Congreso y el art. 22 de la Ley 50/1997 del Gobierno, no atribuyen a los diputados el derecho a decidir subjetivamente cuales son los antecedentes que deben acompañar a los proyectos de ley. Salvo algunos casos especiales (Ley de presupuestos), las leyes no prescriben cuales son los documentos concretos que han de remitirse a las Cortes junto a los proyectos de ley. De acuerdo con la doctrina del Tribunal Constitucional (STC 108/1986), la necesidad de unos antecedentes concretos habrá de apreciarse respecto de cada proyecto de ley, para lo cual deberá tenerse en cuenta, según el escrito del Letrado de las Cortes, si la ausencia de un antecedente conlleva la privación a la Cámara de un elemento de juicio necesario para su decisión. Para poder determinar si nos encontramos ante un antecedente objetivamente necesario a los efectos del art. 88 CE el escrito del Letrado de las Cortes Generales se refiere a una serie de criterios tales como que se trate de informes que se exijan por la propia Constitución (por ejemplo el previsto en la disposición adicional tercera) o de audiencias requeridas en las normas integrantes del bloque de la constitucionalidad (en los Estatutos de Autonomía por ejemplo). En el caso de informes exigidos por leyes ordinarias, será necesario ponderar los distintos elementos del supuesto concreto.</w:t>
      </w:r>
    </w:p>
    <w:p w:rsidR="0026452D" w:rsidRDefault="0026452D" w:rsidP="0026452D">
      <w:pPr>
        <w:pStyle w:val="TextoNormal"/>
      </w:pPr>
    </w:p>
    <w:p w:rsidR="0026452D" w:rsidRDefault="0026452D" w:rsidP="0026452D">
      <w:pPr>
        <w:pStyle w:val="TextoNormal"/>
      </w:pPr>
      <w:r>
        <w:t>Para el Letrado, la mera reclamación por un grupo parlamentario no convierte el antecedente solicitado en necesario, de remisión inexcusable. Será la Mesa la que deberá valorar la relevancia del antecedente solicitado. Se refiere a continuación el escrito del Letrado a la STC 35/1984 que estableció, en relación con los efectos invalidantes de un informe, tres criterios: a) el rango de la norma en que se establece la exigencia del informe, b) el rango y el carácter del órgano llamado a evacuarlo y c) el alcance y trascendencia de la materia objeto de la disposición.</w:t>
      </w:r>
    </w:p>
    <w:p w:rsidR="0026452D" w:rsidRDefault="0026452D" w:rsidP="0026452D">
      <w:pPr>
        <w:pStyle w:val="TextoNormal"/>
      </w:pPr>
    </w:p>
    <w:p w:rsidR="0026452D" w:rsidRDefault="0026452D" w:rsidP="0026452D">
      <w:pPr>
        <w:pStyle w:val="TextoNormal"/>
      </w:pPr>
      <w:r>
        <w:t>A continuación afirma que los informes solicitados no tienen carácter preceptivo para la elaboración de un anteproyecto de ley ni para la tramitación parlamentaria del proyecto de ley. Asimismo sostiene que los órganos de los que proceden los informes no están regulados por normas de rango suficiente para modular el procedimiento legislativo e igualmente señala que no es cierto que no se les haya dado la oportunidad de participar en la elaboración del anteproyecto de ley.</w:t>
      </w:r>
    </w:p>
    <w:p w:rsidR="0026452D" w:rsidRDefault="0026452D" w:rsidP="0026452D">
      <w:pPr>
        <w:pStyle w:val="TextoNormal"/>
      </w:pPr>
    </w:p>
    <w:p w:rsidR="0026452D" w:rsidRDefault="0026452D" w:rsidP="0026452D">
      <w:pPr>
        <w:pStyle w:val="TextoNormal"/>
      </w:pPr>
      <w:r>
        <w:t>Subraya el Letrado que la Ley 30/1992, en su art. 82.1, establece una reserva de ley para exigir la emisión de informes preceptivos en el ámbito del procedimiento administrativo común reserva de ley que es, con más razón, exigible para el ámbito de elaboración de los anteproyectos de ley.</w:t>
      </w:r>
    </w:p>
    <w:p w:rsidR="0026452D" w:rsidRDefault="0026452D" w:rsidP="0026452D">
      <w:pPr>
        <w:pStyle w:val="TextoNormal"/>
      </w:pPr>
    </w:p>
    <w:p w:rsidR="0026452D" w:rsidRDefault="0026452D" w:rsidP="0026452D">
      <w:pPr>
        <w:pStyle w:val="TextoNormal"/>
      </w:pPr>
      <w:r>
        <w:t xml:space="preserve">A continuación señala que el informe de la Junta Superior de Archivos no sería un informe preceptivo sino facultativo. En relación con el informe del patronato del Archivo General de la Guerra Civil Española, señala que se trataría de un informe técnico sobre las condiciones en las que pueden salir fondos de un archivo y no político-legislativo de regular </w:t>
      </w:r>
      <w:r>
        <w:lastRenderedPageBreak/>
        <w:t>un archivo en el contexto nacional. Asimismo considera que los organismos referidos tuvieron ocasión de participar en la discusión del anteproyecto de ley a través del comité de expertos que se creó. Finalmente argumenta que la Mesa, al denegar los informes solicitados, expuso el sustento jurídico de su decisión y termina solicitando la desestimación del recurso planteado en lo referido al supuesto vicio de procedimiento alegado en la demanda.</w:t>
      </w:r>
    </w:p>
    <w:p w:rsidR="0026452D" w:rsidRDefault="0026452D" w:rsidP="0026452D">
      <w:pPr>
        <w:pStyle w:val="TextoNormal"/>
      </w:pPr>
    </w:p>
    <w:p w:rsidR="0026452D" w:rsidRDefault="0026452D" w:rsidP="0026452D">
      <w:pPr>
        <w:pStyle w:val="TextoNormal"/>
      </w:pPr>
      <w:r w:rsidRPr="0026452D">
        <w:rPr>
          <w:rStyle w:val="NumeroAFNegritaCaracter"/>
        </w:rPr>
        <w:t>7</w:t>
      </w:r>
      <w:r>
        <w:t>. Por providencia de 12 de marzo de 2013 se señaló para deliberación y fallo de esta Sentencia el día 14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tiene por objeto resolver la impugnación hecha por más de cincuenta Diputados del Grupo Parlamentario Popular del Congreso de los Diputados contra la totalidad de la Ley 21/2005, de 17 de noviembre, de restitución a la Generalidad de Cataluña de los documentos incautados con motivo de la guerra civil custodiados en el Archivo General de la Guerra Civil Española y de creación del Centro Documental de la Memoria Histórica, y subsidiariamente contra los artículos 1, 2.2, 3, 4.1, 5 y las disposiciones adicionales primera y segunda de la misma.</w:t>
      </w:r>
    </w:p>
    <w:p w:rsidR="0026452D" w:rsidRDefault="0026452D" w:rsidP="0026452D">
      <w:pPr>
        <w:pStyle w:val="TextoNormal"/>
      </w:pPr>
    </w:p>
    <w:p w:rsidR="0026452D" w:rsidRDefault="0026452D" w:rsidP="0026452D">
      <w:pPr>
        <w:pStyle w:val="TextoNormal"/>
      </w:pPr>
      <w:r>
        <w:t>Los recurrentes consideran que se ha vulnerado en la tramitación parlamentaria de la Ley el derecho consagrado en el art. 23.2 CE, en relación con el art. 88 CE, así como que los concretos preceptos impugnados vulneran los artículos 149.1.28, 9.3 y 46 de la Constitución. La razón de que exista una demanda subsidiaria tiene que ver con los motivos impugnatorios. Si se solicita la declaración de inconstitucionalidad de la totalidad de la Ley es porque se imputan vicios de forma al procedimiento legislativo que concluyó con su aprobación, que, en caso de ser apreciados por este Tribunal, invalidarían la totalidad de la disposición normativa. Teniendo esto en cuenta, el Tribunal responderá, en primer lugar, a la alegación de inconstitucionalidad formal por vulneración de las normas del procedimiento legislativo ordinario, que según los recurrentes se habría producido en el trámite y aprobación parlamentaria de la Ley.</w:t>
      </w:r>
    </w:p>
    <w:p w:rsidR="0026452D" w:rsidRDefault="0026452D" w:rsidP="0026452D">
      <w:pPr>
        <w:pStyle w:val="TextoNormal"/>
      </w:pPr>
    </w:p>
    <w:p w:rsidR="0026452D" w:rsidRDefault="0026452D" w:rsidP="0026452D">
      <w:pPr>
        <w:pStyle w:val="TextoNormal"/>
      </w:pPr>
      <w:r w:rsidRPr="0026452D">
        <w:rPr>
          <w:rStyle w:val="NumeroAFNegritaCaracter"/>
        </w:rPr>
        <w:t>2</w:t>
      </w:r>
      <w:r>
        <w:t>. Para los recurrentes, en la tramitación parlamentaria de la Ley impugnada se habría vulnerado el derecho consagrado en el art. 23.2 CE, en relación con el art. 88 CE, en cuanto éste último precepto dispone que “los proyectos de Ley serán aprobados en Consejo de Ministros, que los someterá al Congreso, acompañados de una exposición de motivos y de los antecedentes necesarios para pronunciarse sobre ellos”. Entre estos antecedentes debían haberse contado, según los recurrentes, sendos informes de la Junta Superior de Archivos y del patronato del Archivo General de la Guerra Civil Española, por lo que su ausencia infringe, de acuerdo con el escrito de recurso, dicho art. 88, y provoca la inconstitucionalidad de la totalidad de la Ley. Tanto el Abogado del Estado como el Letrado de las Cortes consideran, sin embargo, que no se han vulnerado los preceptos impugnados, pues los informes referidos no eran preceptivos para la aprobación de un proyecto de ley y, en todo caso, la Cámara tuvo oportunidad de conocer la posición del patronato del Archivo General de la Guerra Civil Española al haber sido éste el que aprobó en su día el nombramiento de una comisión de expertos que elaboró el informe que sirvió de base a la Ley impugnada.</w:t>
      </w:r>
    </w:p>
    <w:p w:rsidR="0026452D" w:rsidRDefault="0026452D" w:rsidP="0026452D">
      <w:pPr>
        <w:pStyle w:val="TextoNormal"/>
      </w:pPr>
    </w:p>
    <w:p w:rsidR="0026452D" w:rsidRDefault="0026452D" w:rsidP="0026452D">
      <w:pPr>
        <w:pStyle w:val="TextoNormal"/>
      </w:pPr>
      <w:r>
        <w:lastRenderedPageBreak/>
        <w:t>A la hora de resolver la impugnación realizada, debemos recordar que el defecto concreto que los recurrentes achacan a la tramitación parlamentaria de la Ley objeto de impugnación en el presente proceso ya fue denunciado ante la misma Cámara así como que el Grupo Parlamentario Popular en el Congreso de los Diputados planteó en su día recurso de amparo ante este Tribunal por vulneración de los mismos preceptos constitucionales que se refieren en el presente recurso de inconstitucionalidad, el derecho a acceder y permanecer en condiciones de igualdad en las funciones y cargos públicos, garantizado por el art. 23.2 CE, en relación con el art. 88 CE. En aquella ocasión la vulneración se imputaba a los acuerdos de la Mesa del Congreso que acordaron admitir a trámite el proyecto de ley aquí impugnado, denegando la solicitud de que se suspendiese dicha tramitación y se instase al Gobierno a que remitiera con la mayor brevedad los dos informes previos referidos. Tal recurso de amparo fue inadmitido por este Tribunal por el ATC 342/2006, de 4 de octubre, por lo que la controversia suscitada en el presente recurso de inconstitucionalidad debe ser resuelta de conformidad con los argumentos recogidos en aquella decisión en la que consideramos que no se produjo la vulneración denunciada.</w:t>
      </w:r>
    </w:p>
    <w:p w:rsidR="0026452D" w:rsidRDefault="0026452D" w:rsidP="0026452D">
      <w:pPr>
        <w:pStyle w:val="TextoNormal"/>
      </w:pPr>
    </w:p>
    <w:p w:rsidR="0026452D" w:rsidRDefault="0026452D" w:rsidP="0026452D">
      <w:pPr>
        <w:pStyle w:val="TextoNormal"/>
      </w:pPr>
      <w:r>
        <w:t>En relación con el artículo 23.2 CE, este Tribunal ha insistido en “que la infracción de la legalidad parlamentaria puede producir una vulneración del derecho fundamental previsto en el art. 23.2 de la Constitución cuando el acto o disposición impugnado repercuta de modo tal sobre los derechos que integran el estatuto del representante que vacíen de contenido el ejercicio de su función, afectando indirectamente el derecho de los ciudadanos a verse representados (por todos, ATC 35/2001). Los referidos derechos hay que encontrarlos, según nuestra reiterada jurisprudencia, en la Constitución y los reglamentos parlamentarios correspondientes, a los que compete fijar y ordenar los derechos y atribuciones de los parlamentarios (entre otras muchas, STC 208/2003)” [ATC 342/2006, de 4 de octubre, FJ 1].</w:t>
      </w:r>
    </w:p>
    <w:p w:rsidR="0026452D" w:rsidRDefault="0026452D" w:rsidP="0026452D">
      <w:pPr>
        <w:pStyle w:val="TextoNormal"/>
      </w:pPr>
    </w:p>
    <w:p w:rsidR="0026452D" w:rsidRDefault="0026452D" w:rsidP="0026452D">
      <w:pPr>
        <w:pStyle w:val="TextoNormal"/>
      </w:pPr>
      <w:r>
        <w:t>En relación con las alegaciones de vulneración del procedimiento legislativo, la doctrina de este Tribunal establece la necesidad de “examinar, ante todo, si se ha producido o no vulneración de la normativa reguladora de la elaboración de las leyes para, sólo después, y en su caso, valorar si aquella vulneración pudo tener relevancia para la formación de la voluntad legisladora” [STC 238/2012, de 13 de diciembre, FJ 2 a)], pues como, igualmente, hemos sostenido en relación con el artículo 88 CE, “la ausencia de un determinado antecedente sólo tendrá trascendencia si se hubiere privado a las Cámaras de un elemento de juicio necesario para su decisión” (STC 108/1986, de 28 de julio, FJ 3). Para determinar si esto último se ha producido, será relevante tener en cuenta aspectos tales como el relativo a sí un determinado informe tiene carácter facultativo o preceptivo, aspecto que fue subrayado en la STC 108/1986, de 28 de julio, FJ 3, o el rango de la norma que lo prevea, extremo que fue determinante para considerar inconstitucional en la STC 35/1984, de 13 de marzo, FJ 6, la adopción de un Decreto-ley que omitió un trámite de informe previsto en la disposición adicional tercera de la Constitución.</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Establecido lo anterior, procede ahora entrar a examinar si se ha producido o no una vulneración de la normativa reguladora de la elaboración de las leyes, para lo cual debemos en primer lugar constatar que los informes referidos, previstos en sendas normas de rango infralegal, no se encontrarían propiamente insertos dentro del procedimiento legislativo, sino, en su caso, dentro del procedimiento prelegislativo, y su ausencia sólo podría suponer un vicio de constitucionalidad formal de la ley si los fallos en la conformación de una eventual voluntad gubernamental implicasen que el Congreso de los Diputados careciese de los </w:t>
      </w:r>
      <w:r>
        <w:lastRenderedPageBreak/>
        <w:t>elementos necesarios para pronunciarse sobre el proyecto presentado [STC 238/2012, de 13 de diciembre, FJ 3 b)]. Algo que debemos descartar que se haya producido, con fundamento en la argumentación que realizamos en el ya referido ATC 342/2006, de 4 de octubre, que inadmitió el recurso de amparo del Grupo Parlamentario Popular, en el que se había planteado, al igual que en el presente proceso, la posible vulneración del art. 23.2 CE en relación con el art. 88 CE.</w:t>
      </w:r>
    </w:p>
    <w:p w:rsidR="0026452D" w:rsidRDefault="0026452D" w:rsidP="0026452D">
      <w:pPr>
        <w:pStyle w:val="TextoNormal"/>
      </w:pPr>
    </w:p>
    <w:p w:rsidR="0026452D" w:rsidRDefault="0026452D" w:rsidP="0026452D">
      <w:pPr>
        <w:pStyle w:val="TextoNormal"/>
      </w:pPr>
      <w:r>
        <w:t xml:space="preserve">Entonces consideramos en relación con el primer informe, que “ni de la Ley 16/1985 de Patrimonio Histórico Español, ni de la Orden de 25 de noviembre de 1996 que configura la Junta Superior de Archivos se desprende </w:t>
      </w:r>
      <w:r w:rsidRPr="0026452D">
        <w:rPr>
          <w:i/>
        </w:rPr>
        <w:t>prima facie</w:t>
      </w:r>
      <w:r>
        <w:t xml:space="preserve"> la obligatoriedad de informe alguno previo a la adopción de normas legislativas como la presente” (ATC 342/2006, de 4 de octubre, FJ 2). Se trataría, por tanto, de un informe facultativo, como se desprende de la lectura del apartado 2 a) de la Orden de 25 de noviembre de 1996, que afirma que son funciones de tal Junta Superior de Archivos “elevar al titular del Departamento las propuestas que considere convenientes para la mejor investigación, conservación, enriquecimiento, protección y difusión de los bienes integrantes del Patrimonio Documental”. Tal carácter determina que no nos encontremos ante un defecto en la conformación de la voluntad gubernamental y por tanto no se haya privado a las Cámaras de un elemento de juicio necesario para su decisión.</w:t>
      </w:r>
    </w:p>
    <w:p w:rsidR="0026452D" w:rsidRDefault="0026452D" w:rsidP="0026452D">
      <w:pPr>
        <w:pStyle w:val="TextoNormal"/>
      </w:pPr>
    </w:p>
    <w:p w:rsidR="0026452D" w:rsidRDefault="0026452D" w:rsidP="0026452D">
      <w:pPr>
        <w:pStyle w:val="TextoNormal"/>
      </w:pPr>
      <w:r>
        <w:t>Igualmente consideró este Tribunal, en el Auto de inadmisión referido, que “por su parte, el art. 4.2 e) del Real Decreto 426/1999 de creación del Archivo General de la Guerra Civil Española establece entre las funciones del pleno de su patronato la de emitir preceptivamente informe sobre cualquier propuesta de salida de fondos del archivo. La Mesa de la Cámara interpretó este precepto en el sentido de que se refiere a las propuestas de salida de fondos del archivo de carácter temporal o puntual, propias de la gestión ordinaria pero no al ejercicio de la iniciativa legislativa. Se trata de una interpretación que, por más que se discrepe o no de ella, resulta jurídicamente posible, sin alterar las reglas del razonamiento lógico de tal manera que pudiera tildársela de arbitraria” (ATC 342/2006, de 4 de octubre, FJ 2). El informe del Patronato tampoco sería, por tanto, un elemento de juicio necesario para la decisión de la Cámara, sin que se pueda afirmar, por otro lado, que el patronato del Archivo General de la Guerra Civil Española no haya participado en la elaboración de la norma impugnada, pues es el propio patronato el que aprobó en su día el nombramiento de una comisión de expertos que elaboró un informe que sirvió de base a la Ley impugnada. Desestimada la impugnación de la totalidad de la Ley por vicios en la tramitación parlamentaria de la misma, procede ahora entrar a examinar las impugnaciones de fondo que realizan los recurrentes.</w:t>
      </w:r>
    </w:p>
    <w:p w:rsidR="0026452D" w:rsidRDefault="0026452D" w:rsidP="0026452D">
      <w:pPr>
        <w:pStyle w:val="TextoNormal"/>
      </w:pPr>
    </w:p>
    <w:p w:rsidR="0026452D" w:rsidRDefault="0026452D" w:rsidP="0026452D">
      <w:pPr>
        <w:pStyle w:val="TextoNormal"/>
      </w:pPr>
      <w:r w:rsidRPr="0026452D">
        <w:rPr>
          <w:rStyle w:val="NumeroAFNegritaCaracter"/>
        </w:rPr>
        <w:t>4</w:t>
      </w:r>
      <w:r>
        <w:t>. Las cuestiones de fondo planteadas en el presente proceso han sido ya zanjadas por este Tribunal en la reciente STC 20/2013, de 31 de enero, que resolvió un recurso prácticamente idéntico planteado por la Junta de Castilla y León contra los mismos preceptos de la Ley 21/2005. Al texto de aquella sentencia nos hemos de remitir ahora.</w:t>
      </w:r>
    </w:p>
    <w:p w:rsidR="0026452D" w:rsidRDefault="0026452D" w:rsidP="0026452D">
      <w:pPr>
        <w:pStyle w:val="TextoNormal"/>
      </w:pPr>
    </w:p>
    <w:p w:rsidR="0026452D" w:rsidRDefault="0026452D" w:rsidP="0026452D">
      <w:pPr>
        <w:pStyle w:val="TextoNormal"/>
      </w:pPr>
      <w:r>
        <w:t xml:space="preserve">a) Se impugnan, en primer lugar, los arts. 1 y 2.2, así como la disposición adicional primera de la Ley 21/2005, de 17 de noviembre, por vulnerar el art. 149.1.28 CE en cuanto establece que el Estado tiene competencia exclusiva sobre la “defensa del patrimonio cultural, artístico y monumental español contra la exportación y la expoliación”. Para resolver la cuestión planteada debemos remitirnos al fundamento jurídico 3 de la referida STC </w:t>
      </w:r>
      <w:r>
        <w:lastRenderedPageBreak/>
        <w:t>20/2013, de 31 de enero, en la que se desestimó la impugnación con fundamento en las siguientes apreciaciones y conclusiones:</w:t>
      </w:r>
    </w:p>
    <w:p w:rsidR="0026452D" w:rsidRDefault="0026452D" w:rsidP="0026452D">
      <w:pPr>
        <w:pStyle w:val="TextoNormal"/>
      </w:pPr>
    </w:p>
    <w:p w:rsidR="0026452D" w:rsidRDefault="0026452D" w:rsidP="0026452D">
      <w:pPr>
        <w:pStyle w:val="TextoNormal"/>
      </w:pPr>
      <w:r>
        <w:t>La adopción, por parte del legislador democráticamente elegido, de la decisión de contribuir a dar satisfacción a instituciones o ciudadanos que sufrieron, directamente o en la persona de sus familiares, las consecuencias de la guerra civil no puede constituir, en ningún caso, una decisión arbitraria o irracional, por lo que no nos encontramos ante un supuesto de expoliación tal y como lo definimos en la STC 17/1991, de 31 de enero, FJ 7.</w:t>
      </w:r>
    </w:p>
    <w:p w:rsidR="0026452D" w:rsidRDefault="0026452D" w:rsidP="0026452D">
      <w:pPr>
        <w:pStyle w:val="TextoNormal"/>
      </w:pPr>
    </w:p>
    <w:p w:rsidR="0026452D" w:rsidRDefault="0026452D" w:rsidP="0026452D">
      <w:pPr>
        <w:pStyle w:val="TextoNormal"/>
      </w:pPr>
      <w:r>
        <w:t>Descartado que nos encontremos ante una privación arbitraria o irracional de la finalidad que cumple el Archivo General de la Guerra Civil Española, afirmamos, además, que tampoco puede hablarse de expoliación por no haberse acreditado por la recurrente que se produzca una privación de la finalidad que aquél cumple, pues la finalidad y función fundamental del archivo referido —la de reunir, conservar y disponer sus fondos documentales para investigación, cultura e información— parece salvaguardarse, salvo prueba en contrario, tanto con la conservación del contenido documental mediante la realización de copias como con el establecimiento de obligaciones de protección y accesibilidad que se establecen para los documentos que se restituyan a sus propietarios originarios.</w:t>
      </w:r>
    </w:p>
    <w:p w:rsidR="0026452D" w:rsidRDefault="0026452D" w:rsidP="0026452D">
      <w:pPr>
        <w:pStyle w:val="TextoNormal"/>
      </w:pPr>
    </w:p>
    <w:p w:rsidR="0026452D" w:rsidRDefault="0026452D" w:rsidP="0026452D">
      <w:pPr>
        <w:pStyle w:val="TextoNormal"/>
      </w:pPr>
      <w:r>
        <w:t>Una vez rechazado que los arts. 1 y 2.2, así como la disposición adicional primera de la Ley 21/2005 supongan una expoliación igualmente, rechazamos la petición de que se declare inconstitucional por conexión o consecuencia la disposición adicional segunda, por la que se prevé la creación del Centro Documental de la Memoria Histórica, pues dicha petición tenía como presupuesto que estuviésemos ante un supuesto de expoliación.</w:t>
      </w:r>
    </w:p>
    <w:p w:rsidR="0026452D" w:rsidRDefault="0026452D" w:rsidP="0026452D">
      <w:pPr>
        <w:pStyle w:val="TextoNormal"/>
      </w:pPr>
    </w:p>
    <w:p w:rsidR="0026452D" w:rsidRDefault="0026452D" w:rsidP="0026452D">
      <w:pPr>
        <w:pStyle w:val="TextoNormal"/>
      </w:pPr>
      <w:r>
        <w:t>b) Se impugnan, en segundo lugar, los mismos arts. 1 y 2.2, así como la disposición adicional primera de la Ley 21/2005, de 17 de noviembre, por vulnerar la garantía institucional que, de acuerdo con la demanda, se encontraría recogida en el art. 149.1.28 CE. De nuevo, para resolver la cuestión planteada, bastará con remitirnos al fundamento jurídico 4 de la STC 20/2013, de 31 de enero, en la que se desestimó la impugnación con base en las siguientes consideraciones:</w:t>
      </w:r>
    </w:p>
    <w:p w:rsidR="0026452D" w:rsidRDefault="0026452D" w:rsidP="0026452D">
      <w:pPr>
        <w:pStyle w:val="TextoNormal"/>
      </w:pPr>
    </w:p>
    <w:p w:rsidR="0026452D" w:rsidRDefault="0026452D" w:rsidP="0026452D">
      <w:pPr>
        <w:pStyle w:val="TextoNormal"/>
      </w:pPr>
      <w:r>
        <w:t>La decisión del legislador estatal de restituir los efectos y documentos en su día incautados y que forma hoy parte de un concreto archivo estatal, el Archivo General de la Guerra Civil Española, no altera la imagen que hace reconocible a tal archivo en concreto, pues no es posible deducir del artículo 149.1.28 CE la existencia de una garantía de la integridad del Archivo General de la Guerra Civil Española como pretende la recurrente, pues nos encontramos ante un precepto atributivo de competencias en el que no es posible reconocer una garantía institucional tal y como ha sido definida por nuestra doctrina.</w:t>
      </w:r>
    </w:p>
    <w:p w:rsidR="0026452D" w:rsidRDefault="0026452D" w:rsidP="0026452D">
      <w:pPr>
        <w:pStyle w:val="TextoNormal"/>
      </w:pPr>
    </w:p>
    <w:p w:rsidR="0026452D" w:rsidRDefault="0026452D" w:rsidP="0026452D">
      <w:pPr>
        <w:pStyle w:val="TextoNormal"/>
      </w:pPr>
      <w:r>
        <w:t>c) Se impugnan, en tercer lugar, los arts. 2.2, 3 y 5.2 de la Ley 21/2005 por vulnerar la distribución competencial establecida en el art. 149.1.28 CE. En el fundamento jurídico 5 de la ya referida STC 20/2013, de 31 de enero, desestimamos la impugnación en atención a las siguientes argumentaciones:</w:t>
      </w:r>
    </w:p>
    <w:p w:rsidR="0026452D" w:rsidRDefault="0026452D" w:rsidP="0026452D">
      <w:pPr>
        <w:pStyle w:val="TextoNormal"/>
      </w:pPr>
    </w:p>
    <w:p w:rsidR="0026452D" w:rsidRDefault="0026452D" w:rsidP="0026452D">
      <w:pPr>
        <w:pStyle w:val="TextoNormal"/>
      </w:pPr>
      <w:r>
        <w:t xml:space="preserve">Admitida la capacidad del Estado para decidir tanto la restitución de la documentación del archivo institucional de los órganos de gobierno, de la Administración y de las entidades </w:t>
      </w:r>
      <w:r>
        <w:lastRenderedPageBreak/>
        <w:t>dependientes de la Generalitat, como la restitución de los documentos incautados en Cataluña a personas naturales o jurídicas a sus propietarios originarios o a sus sucesores, corresponde a aquél determinar la forma en que ésta última restitución se debe producir. En el presente supuesto, el Estado ha decidido solicitar la colaboración de la Comunidad Autónoma y encomendar la gestión de la restitución de aquellos documentos incautados en Cataluña, y hasta ahora depositados en el Archivo General de la Guerra Civil Española, a la Generalitat, que es también Estado, siendo ello perfectamente conforme con la distribución de competencias constitucionalmente establecida que reconoce a Cataluña la competencia ejecutiva sobre los archivos de titularidad estatal situados en Cataluña cuya gestión no se reserve expresamente el Estado. La transferencia de la documentación a restituir a la Generalitat no es sino la consecuencia lógica de la atribución de la gestión de la restitución a aquella.</w:t>
      </w:r>
    </w:p>
    <w:p w:rsidR="0026452D" w:rsidRDefault="0026452D" w:rsidP="0026452D">
      <w:pPr>
        <w:pStyle w:val="TextoNormal"/>
      </w:pPr>
    </w:p>
    <w:p w:rsidR="0026452D" w:rsidRDefault="0026452D" w:rsidP="0026452D">
      <w:pPr>
        <w:pStyle w:val="TextoNormal"/>
      </w:pPr>
      <w:r>
        <w:t>d) Se impugnan, asimismo, los arts. 1 y 2.2, así como los arts. 3.1 y 5 de la Ley 21/2005, de 17 de noviembre, por vulnerar el art. 9.3 CE en lo que se refiere a la interdicción de la arbitrariedad. En los fundamentos jurídicos 6 y 7 de la ya referida STC 20/2013, de 31 de enero, desestimamos la impugnación en razón de las siguientes reflexiones:</w:t>
      </w:r>
    </w:p>
    <w:p w:rsidR="0026452D" w:rsidRDefault="0026452D" w:rsidP="0026452D">
      <w:pPr>
        <w:pStyle w:val="TextoNormal"/>
      </w:pPr>
    </w:p>
    <w:p w:rsidR="0026452D" w:rsidRDefault="0026452D" w:rsidP="0026452D">
      <w:pPr>
        <w:pStyle w:val="TextoNormal"/>
      </w:pPr>
      <w:r>
        <w:t>A la hora de abordar el examen de la cuestión planteada, la vulneración de la interdicción de la arbitrariedad, diferenciamos en la STC 20/2013, de 31 de enero, entre dos alegaciones. La alegación que pone en cuestión la constitucionalidad de que se otorgue a la Generalitat la propiedad de todos los documentos transferidos, que, según señala la recurrente, quedarían en manos de aquella si no son finalmente restituidos, y la alegación que pone en cuestión la constitucionalidad misma de que tenga que ser la Generalitat la que restituya los documentos a sus propietarios originarios.</w:t>
      </w:r>
    </w:p>
    <w:p w:rsidR="0026452D" w:rsidRDefault="0026452D" w:rsidP="0026452D">
      <w:pPr>
        <w:pStyle w:val="TextoNormal"/>
      </w:pPr>
    </w:p>
    <w:p w:rsidR="0026452D" w:rsidRDefault="0026452D" w:rsidP="0026452D">
      <w:pPr>
        <w:pStyle w:val="TextoNormal"/>
      </w:pPr>
      <w:r>
        <w:t>En lo que se refiere a la alegación que pone en cuestión la constitucionalidad de que se otorgue a la Generalitat la propiedad definitiva de todos los documentos y efectos privados transferidos que no puedan ser restituidos, la impugnación realizada fue desestimada, pues rechazamos que tal fuese la consecuencia necesaria que se deriva de la lectura de la Ley 21/2005, pues la Ley no prevé la transferencia incondicionada de fondos documentales a la Generalitat, sino que aquella se realiza con un objetivo determinado: su restitución.</w:t>
      </w:r>
    </w:p>
    <w:p w:rsidR="0026452D" w:rsidRDefault="0026452D" w:rsidP="0026452D">
      <w:pPr>
        <w:pStyle w:val="TextoNormal"/>
      </w:pPr>
    </w:p>
    <w:p w:rsidR="0026452D" w:rsidRDefault="0026452D" w:rsidP="0026452D">
      <w:pPr>
        <w:pStyle w:val="TextoNormal"/>
      </w:pPr>
      <w:r>
        <w:t>En lo que se refiere a la alegación que pone en cuestión la constitucionalidad de que tenga que ser la Generalitat y no otras personas jurídicas, públicas o privadas, la que restituya los documentos a sus propietarios originarios, sostuvimos que no es posible afirmar que la vía establecida por la ley para proceder a la restitución de los documentos sea irrazonable, por lo que es aquí donde se agota el enjuiciamiento de su posible arbitrariedad, que la norma supera cumplidamente. En consecuencia, “no puede tacharse de arbitraria una norma que persigue una finalidad razonable y que no se muestra desprovista de todo fundamento, aunque pueda legítimamente discreparse de la concreta solución adoptada, pues ‘entrar en un enjuiciamiento de cuál sería su medida justa supone discutir una opción tomada por el legislador que, aun cuando pueda ser discutible, no resulta arbitraria ni irracional’ (por todas, STC 149/2006, de 11 de mayo, FJ 6; y en un sentido parecido, STC 128/2009, de 1 de junio, FJ 3), tanto más cuando el reparo que se le opone no deja de ser otra cosa que una objeción de oportunidad, sin relevancia, por tanto, desde el punto de vista constitucional.” (STC 102/2012, de 8 de mayo, FJ 4).</w:t>
      </w:r>
    </w:p>
    <w:p w:rsidR="0026452D" w:rsidRDefault="0026452D" w:rsidP="0026452D">
      <w:pPr>
        <w:pStyle w:val="TextoNormal"/>
      </w:pPr>
    </w:p>
    <w:p w:rsidR="0026452D" w:rsidRDefault="0026452D" w:rsidP="0026452D">
      <w:pPr>
        <w:pStyle w:val="TextoNormal"/>
      </w:pPr>
      <w:r>
        <w:lastRenderedPageBreak/>
        <w:t>e) Se impugnan igualmente los arts. 2.2 y 5.2, y la disposición adicional primera, de la Ley 21/2005, por vulneración del art. 46 CE. Para resolver la cuestión planteada bastará con remitirnos al fundamento jurídico 9 de las tantas veces referida STC 20/2013, de 31 de enero. El régimen de protección de los documentos restituidos —razonamos en esta resolución— será el régimen propio establecido en las normas del Estado y de las Comunidades Autónomas sobre patrimonio histórico. Tras analizar tal régimen entendemos que era indudable que los intereses públicos se encuentran suficientemente protegidos por los poderes públicos como garantía del derecho que a la conservación y disfrute de los documentos restituidos ostenta la comunidad en tanto que se trata de bienes portadores de valores significativos que los hacen merecedores de un especial reconocimiento por parte del ordenamiento jurídico. El art. 46 CE no establece la exigencia de que tenga que ser en la Ley que determina la restitución de la documentación en su día incautada la que tenga que prever el régimen de protección de los documentos restituidos.</w:t>
      </w:r>
    </w:p>
    <w:p w:rsidR="0026452D" w:rsidRDefault="0026452D" w:rsidP="0026452D">
      <w:pPr>
        <w:pStyle w:val="TextoNormal"/>
      </w:pPr>
    </w:p>
    <w:p w:rsidR="0026452D" w:rsidRDefault="0026452D" w:rsidP="0026452D">
      <w:pPr>
        <w:pStyle w:val="TextoNormal"/>
      </w:pPr>
      <w:r>
        <w:t xml:space="preserve">f) Se impugnan, finalmente, los arts. 1, 2.2, 3, apartados 1 y 3, 4.1 y 5, por implicar, se afirma sin cita de precepto constitucional alguno, una discriminación a favor de Cataluña, a la que se transfieren </w:t>
      </w:r>
      <w:r w:rsidRPr="0026452D">
        <w:rPr>
          <w:i/>
        </w:rPr>
        <w:t>ope legis</w:t>
      </w:r>
      <w:r>
        <w:t xml:space="preserve"> los documentos incautados en su territorio, y en contra de las demás Comunidades Autónomas. Nuevamente para resolver la cuestión planteada debemos remitirnos al fundamento jurídico 10 de la referida STC 20/2013, de 31 de enero. Tras recordar que los entes públicos “no pueden ser considerados como titulares del derecho fundamental a la no discriminación amparado por el art. 14 CE, que se refiere a los españoles y no es de aplicación a las personas jurídico-públicas en cuanto tales”, en aquel pronunciamiento consideramos que la diferencia que realiza la Ley 21/2005, en lo que se refiere a la gestión de la devolución de los documentos en su día incautados, no es una opción del legislador que carezca de toda justificación razonable. En efecto, el especial régimen de devolución de documentos previsto para Cataluña se puede justificar en la existencia de una reivindicación sostenida a lo largo del tiempo por parte de sus instituciones, así como por el reconocimiento de un régimen de autonomía para Cataluña en el momento mismo de la incautación de los documentos, autonomía que suponía la atribución a la Generalitat de competencias en materia de archivos (artículo 7 del Estatuto de Autonomía de 1932). La Generalitat fue restablecida por Real Decreto-ley 41/1977, y tiene ahora, como tenía en el momento de la incautación, competencias en materia de archivos, por lo que es aquí donde se agota el enjuiciamiento de su posible arbitrariedad.</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 interpuesto por más de cincuenta Diputados del Grupo Parlamentario Popular del Congreso de los Diputados contra la Ley 21/2005, de 17 de noviembre, de restitución a la Generalidad de Cataluña de los documentos incautados con motivo de la guerra civil custodiados en el Archivo General de la Guerra Civil Española y de creación del Centro Documental de la Memoria Histórica.</w:t>
      </w:r>
    </w:p>
    <w:p w:rsidR="0026452D" w:rsidRDefault="0026452D" w:rsidP="0026452D">
      <w:pPr>
        <w:pStyle w:val="TextoNormal"/>
      </w:pPr>
    </w:p>
    <w:p w:rsidR="0026452D" w:rsidRDefault="0026452D" w:rsidP="0026452D">
      <w:pPr>
        <w:pStyle w:val="TextoNormal"/>
      </w:pPr>
      <w:r>
        <w:lastRenderedPageBreak/>
        <w:t>Publíquese esta Sentencia en el “Boletín Oficial del Estado”.</w:t>
      </w:r>
    </w:p>
    <w:p w:rsidR="0026452D" w:rsidRDefault="0026452D" w:rsidP="0026452D">
      <w:pPr>
        <w:pStyle w:val="TextoNormal"/>
      </w:pPr>
      <w:r>
        <w:t>Dada en Madrid, a catorce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72" w:name="SENTENCIA_2013_69"/>
      <w:r>
        <w:lastRenderedPageBreak/>
        <w:t>SENTENCIA 69/2013, de 14 de marzo de 2013</w:t>
      </w:r>
    </w:p>
    <w:bookmarkEnd w:id="72"/>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ECLI:ES:TC:2013:69</w:t>
      </w:r>
    </w:p>
    <w:p w:rsidR="0026452D" w:rsidRDefault="0026452D" w:rsidP="0026452D">
      <w:pPr>
        <w:pStyle w:val="SntesisDescriptiva"/>
      </w:pPr>
    </w:p>
    <w:p w:rsidR="0026452D" w:rsidRDefault="0026452D" w:rsidP="0026452D">
      <w:pPr>
        <w:pStyle w:val="SntesisDescriptiva"/>
      </w:pPr>
      <w:r>
        <w:t>Recurso de inconstitucionalidad 2124-2008. Interpuesto por el Consejo de Gobierno de la Junta de Castilla y León en relación con diversos preceptos de la Ley 42/2007, de 13 de diciembre, del patrimonio natural y la biodiversidad.</w:t>
      </w:r>
    </w:p>
    <w:p w:rsidR="0026452D" w:rsidRDefault="0026452D" w:rsidP="0026452D">
      <w:pPr>
        <w:pStyle w:val="SntesisDescriptiva"/>
      </w:pPr>
    </w:p>
    <w:p w:rsidR="0026452D" w:rsidRDefault="0026452D" w:rsidP="0026452D">
      <w:pPr>
        <w:pStyle w:val="SntesisAnaltica"/>
      </w:pPr>
      <w:r>
        <w:t>Competencias sobre medio ambiente: interpretación conforme del precepto legal que atribuye funciones de coordinación al Comité MaB español (SSTC 102/1995 y 101/2005).</w:t>
      </w:r>
    </w:p>
    <w:p w:rsidR="0026452D" w:rsidRDefault="0026452D" w:rsidP="0026452D">
      <w:pPr>
        <w:pStyle w:val="SntesisAnaltica"/>
      </w:pPr>
    </w:p>
    <w:p w:rsidR="0026452D" w:rsidRDefault="0026452D" w:rsidP="0026452D">
      <w:pPr>
        <w:pStyle w:val="Extracto"/>
      </w:pPr>
      <w:r>
        <w:t>1.</w:t>
      </w:r>
      <w:r>
        <w:tab/>
        <w:t>El precepto impugnado determina los efectos de la inclusión de un hábitat en el catálogo limitándose así a un mandato genérico, justificado por la función tuitiva a la que responde, abriendo para ello un amplísimo abanico de opciones, pues no se predetermina ni la figura de protección o el instrumento de gestión a utilizar, ni las medidas concretas a adoptar para frenar la recesión o eliminar el riesgo de desaparición del hábitat así protegido, lo que permite a la Comunidad Autónoma ejercer en plenitud sus competencias [FJ 5].</w:t>
      </w:r>
    </w:p>
    <w:p w:rsidR="0026452D" w:rsidRDefault="0026452D" w:rsidP="0026452D">
      <w:pPr>
        <w:pStyle w:val="Extracto"/>
      </w:pPr>
    </w:p>
    <w:p w:rsidR="0026452D" w:rsidRDefault="0026452D" w:rsidP="0026452D">
      <w:pPr>
        <w:pStyle w:val="Extracto"/>
      </w:pPr>
      <w:r>
        <w:t>2.</w:t>
      </w:r>
      <w:r>
        <w:tab/>
        <w:t>La preservación de especies que por sus singulares características quedan excluidas de la actividad cinegética o de la pesca responde a una correcta articulación de la competencia estatal para dictar la normativa básica sobre protección del medio ambiente con la competencia autonómica en materia de caza y pesca, pues se trata de una prohibición de alcance conservacionista que se incardina sin dificultad en la competencia estatal de salvaguardia del entorno natural (SSTC 102/1995, 101/2005) [FJ 6].</w:t>
      </w:r>
    </w:p>
    <w:p w:rsidR="0026452D" w:rsidRDefault="0026452D" w:rsidP="0026452D">
      <w:pPr>
        <w:pStyle w:val="Extracto"/>
      </w:pPr>
    </w:p>
    <w:p w:rsidR="0026452D" w:rsidRDefault="0026452D" w:rsidP="0026452D">
      <w:pPr>
        <w:pStyle w:val="Extracto"/>
      </w:pPr>
      <w:r>
        <w:t>3.</w:t>
      </w:r>
      <w:r>
        <w:tab/>
        <w:t>La afectación transversal de la normativa básica de protección del medio ambiente se pueda traducir en la imposición de límites a las actividades sectoriales, como la caza o la pesca, en razón a la apreciable repercusión negativa que ésta pueda tener sobre la finalidad tuitiva [FJ 6].</w:t>
      </w:r>
    </w:p>
    <w:p w:rsidR="0026452D" w:rsidRDefault="0026452D" w:rsidP="0026452D">
      <w:pPr>
        <w:pStyle w:val="Extracto"/>
      </w:pPr>
    </w:p>
    <w:p w:rsidR="0026452D" w:rsidRDefault="0026452D" w:rsidP="0026452D">
      <w:pPr>
        <w:pStyle w:val="Extracto"/>
      </w:pPr>
      <w:r>
        <w:t>4.</w:t>
      </w:r>
      <w:r>
        <w:tab/>
        <w:t>En el marco de la red española de reservas de la biosfera y el programa ‘MaB’ –</w:t>
      </w:r>
      <w:r w:rsidRPr="0026452D">
        <w:rPr>
          <w:i/>
        </w:rPr>
        <w:t>Man and Biosphere</w:t>
      </w:r>
      <w:r>
        <w:t>– de la UNESCO, el Comité MaB español tiene la naturaleza de mecanismo de cooperación y coordinación de las Administraciones competentes para favorecer el ejercicio de las competencias sectoriales implicadas por la afectación transversal que es consustancial a la legislación básica de protección del medio ambiente  [FJ 7].</w:t>
      </w:r>
    </w:p>
    <w:p w:rsidR="0026452D" w:rsidRDefault="0026452D" w:rsidP="0026452D">
      <w:pPr>
        <w:pStyle w:val="Extracto"/>
      </w:pPr>
    </w:p>
    <w:p w:rsidR="0026452D" w:rsidRDefault="0026452D" w:rsidP="0026452D">
      <w:pPr>
        <w:pStyle w:val="Extracto"/>
      </w:pPr>
      <w:r>
        <w:t>5.</w:t>
      </w:r>
      <w:r>
        <w:tab/>
        <w:t xml:space="preserve">El modelo diseñado para realizar las evaluaciones de impacto ambiental en el seno del Comité MaB se justifica en la facultad de coordinación que corresponde al Estado, que pone a disposición de los órganos responsables de la gestión de reservas de la biosfera, en cuya designación intervienen las Comunidades Autónomas, tanto la estructura organizativa como los medios necesarios para que la evaluación se realice asegurando un adecuado equilibrio entre el respeto de las autonomías </w:t>
      </w:r>
      <w:r>
        <w:lastRenderedPageBreak/>
        <w:t>territoriales y la necesidad de evitar que éstas conduzcan a separaciones o compartimentaciones que desconozcan la propia unidad del sistema  [FJ 7].</w:t>
      </w:r>
    </w:p>
    <w:p w:rsidR="0026452D" w:rsidRDefault="0026452D" w:rsidP="0026452D">
      <w:pPr>
        <w:pStyle w:val="Extracto"/>
      </w:pPr>
    </w:p>
    <w:p w:rsidR="0026452D" w:rsidRDefault="0026452D" w:rsidP="0026452D">
      <w:pPr>
        <w:pStyle w:val="Extracto"/>
      </w:pPr>
      <w:r>
        <w:t>6.</w:t>
      </w:r>
      <w:r>
        <w:tab/>
        <w:t>No existe contraste entre los preceptos impugnados de la Ley del patrimonio natural y la biodiversidad con la legislación autonómica, pues es la segunda la que debe acomodarse a la primera, siempre que ésta reúna la doble exigencia material y formal con que nuestra jurisprudencia ha caracterizado la legislación básica [FJ 3].</w:t>
      </w:r>
    </w:p>
    <w:p w:rsidR="0026452D" w:rsidRDefault="0026452D" w:rsidP="0026452D">
      <w:pPr>
        <w:pStyle w:val="Extracto"/>
      </w:pPr>
    </w:p>
    <w:p w:rsidR="0026452D" w:rsidRDefault="0026452D" w:rsidP="0026452D">
      <w:pPr>
        <w:pStyle w:val="Extracto"/>
      </w:pPr>
      <w:r>
        <w:t>7.</w:t>
      </w:r>
      <w:r>
        <w:tab/>
        <w:t>La anticipación de la normativa autonómica para regular el patrimonio natural y la biodiversidad,  no invalida el carácter básico de la normativa aprobada con posterioridad por el Estado pues no puede pretenderse que el ejercicio previo de una competencia autonómica en una materia produzca, por esa sola razón, una suerte de efecto preclusivo que impida al Estado el ejercicio de sus propias competencias (SSTC 158/2011, 99/2012) [FJ 3].</w:t>
      </w:r>
    </w:p>
    <w:p w:rsidR="0026452D" w:rsidRDefault="0026452D" w:rsidP="0026452D">
      <w:pPr>
        <w:pStyle w:val="Extracto"/>
      </w:pPr>
    </w:p>
    <w:p w:rsidR="0026452D" w:rsidRDefault="0026452D" w:rsidP="0026452D">
      <w:pPr>
        <w:pStyle w:val="Extracto"/>
      </w:pPr>
      <w:r>
        <w:t>8.</w:t>
      </w:r>
      <w:r>
        <w:tab/>
        <w:t>La legislación básica de medio ambiente puede afectar no sólo a las normas de desarrollo legislativo en la propia materia, sino también a competencias sectoriales de las Comunidades Autónomas, como la caza o la pesca fluvial, aún si han sido estatutariamente asumidas como exclusivas, sin que el obligado respeto de la legislación medioambiental del Estado impida el diseño y ejecución de una política autonómica propia en materia de caza y de protección de aquellos ecosistemas vinculados directamente a su ejercicio (STC 14/1998) [FJ 3].</w:t>
      </w:r>
    </w:p>
    <w:p w:rsidR="0026452D" w:rsidRDefault="0026452D" w:rsidP="0026452D">
      <w:pPr>
        <w:pStyle w:val="Extracto"/>
      </w:pPr>
    </w:p>
    <w:p w:rsidR="0026452D" w:rsidRDefault="0026452D" w:rsidP="0026452D">
      <w:pPr>
        <w:pStyle w:val="Extracto"/>
      </w:pPr>
      <w:r>
        <w:t>9.</w:t>
      </w:r>
      <w:r>
        <w:tab/>
        <w:t xml:space="preserve">No puede considerarse como objetivo primordial y excluyente la explotación al máximo de los recursos naturales o el aumento de la producción a toda costa, sino que se ha de armonizar la ‘utilización racional’ de esos recursos con la protección de la naturaleza, todo ello, </w:t>
      </w:r>
      <w:r w:rsidRPr="0026452D">
        <w:rPr>
          <w:i/>
        </w:rPr>
        <w:t>ex</w:t>
      </w:r>
      <w:r>
        <w:t xml:space="preserve"> art. 45 CE, para el mejor desarrollo de la persona y para asegurar una mejor calidad de la vida (STC 6/1982) [FJ 2].</w:t>
      </w:r>
    </w:p>
    <w:p w:rsidR="0026452D" w:rsidRDefault="0026452D" w:rsidP="0026452D">
      <w:pPr>
        <w:pStyle w:val="Extracto"/>
      </w:pPr>
    </w:p>
    <w:p w:rsidR="0026452D" w:rsidRDefault="0026452D" w:rsidP="0026452D">
      <w:pPr>
        <w:pStyle w:val="Extracto"/>
      </w:pPr>
      <w:r>
        <w:t>10.</w:t>
      </w:r>
      <w:r>
        <w:tab/>
        <w:t>El ‘medio ambiente’ es un concepto nacido para reconducir a la unidad los diversos componentes de una realidad en peligro y por ello, su protección resulta una actividad beligerante que pretende conjurar el peligro y, en su caso, restaurar el daño sufrido e incluso perfeccionar las características del entorno, para garantizar su disfrute por todos (STC 102/1995) [FJ 2].</w:t>
      </w:r>
    </w:p>
    <w:p w:rsidR="0026452D" w:rsidRDefault="0026452D" w:rsidP="0026452D">
      <w:pPr>
        <w:pStyle w:val="Extracto"/>
      </w:pPr>
    </w:p>
    <w:p w:rsidR="0026452D" w:rsidRDefault="0026452D" w:rsidP="0026452D">
      <w:pPr>
        <w:pStyle w:val="Extracto"/>
      </w:pPr>
      <w:r>
        <w:t>11.</w:t>
      </w:r>
      <w:r>
        <w:tab/>
        <w:t xml:space="preserve">Entre las diversas interpretaciones posibles de las reglas de distribución de competencias en materia de medio ambiente, este Tribunal sólo puede respaldar aquellas que razonablemente permitan cumplir, </w:t>
      </w:r>
      <w:r w:rsidRPr="0026452D">
        <w:rPr>
          <w:i/>
        </w:rPr>
        <w:t>ex</w:t>
      </w:r>
      <w:r>
        <w:t xml:space="preserve"> art. 45.2 CE, el mandato constitucional que obliga a todos los poderes públicos a velar por la utilización racional de todos los recursos naturales y alcanzar los objetivos de protección y mejora de la calidad de vida y defensa y restauración del medio ambiente a los que aquél está inseparablemente vinculado (STC 227/1988) [FJ 2].</w:t>
      </w:r>
    </w:p>
    <w:p w:rsidR="0026452D" w:rsidRDefault="0026452D" w:rsidP="0026452D">
      <w:pPr>
        <w:pStyle w:val="Extracto"/>
      </w:pPr>
    </w:p>
    <w:p w:rsidR="0026452D" w:rsidRDefault="0026452D" w:rsidP="0026452D">
      <w:pPr>
        <w:pStyle w:val="Extracto"/>
      </w:pPr>
      <w:r>
        <w:t>12.</w:t>
      </w:r>
      <w:r>
        <w:tab/>
        <w:t xml:space="preserve">La competencia que al Estado atribuye el art. 149.1.23 CE para dictar la legislación básica de protección del medio ambiente implica la necesidad de que el Estado fije las normas que impongan un encuadramiento de una política global en materia de medio ambiente, dado el alcance internacional que tiene la regulación de </w:t>
      </w:r>
      <w:r>
        <w:lastRenderedPageBreak/>
        <w:t>esta materia así como la exigencia de la indispensable solidaridad colectiva a que se refiere el art. 45.2 CE (STC 64/1982) [FJ 2].</w:t>
      </w:r>
    </w:p>
    <w:p w:rsidR="0026452D" w:rsidRDefault="0026452D" w:rsidP="0026452D">
      <w:pPr>
        <w:pStyle w:val="Extracto"/>
      </w:pPr>
    </w:p>
    <w:p w:rsidR="0026452D" w:rsidRDefault="0026452D" w:rsidP="0026452D">
      <w:pPr>
        <w:pStyle w:val="Extracto"/>
      </w:pPr>
      <w:r>
        <w:t>13.</w:t>
      </w:r>
      <w:r>
        <w:tab/>
        <w:t>En materia de medio ambiente el deber estatal de dejar un margen al desarrollo de la legislación básica por la normativa autonómica, aun siendo menor que en otros ámbitos, no puede llegar a tal grado de detalle que no permita desarrollo legislativo alguno de las Comunidades Autónomas con competencias en la materia, vaciándolas así de contenido (SSTC 102/1995, 101/2005) [FJ 1].</w:t>
      </w:r>
    </w:p>
    <w:p w:rsidR="0026452D" w:rsidRDefault="0026452D" w:rsidP="0026452D">
      <w:pPr>
        <w:pStyle w:val="Extracto"/>
      </w:pPr>
    </w:p>
    <w:p w:rsidR="0026452D" w:rsidRDefault="0026452D" w:rsidP="0026452D">
      <w:pPr>
        <w:pStyle w:val="Extracto"/>
      </w:pPr>
      <w:r>
        <w:t>14.</w:t>
      </w:r>
      <w:r>
        <w:tab/>
        <w:t>Lo básico, como propio de la competencia estatal en materia de medio ambiente, cumple una función de ordenación mediante mínimos que han de respetarse en todo caso, pero que pueden permitir que las Comunidades Autónomas con competencias en la materia establezcan niveles de protección más altos (SSTC 170/1989, 102/1995, 101/2005) [FJ 1].</w:t>
      </w:r>
    </w:p>
    <w:p w:rsidR="0026452D" w:rsidRDefault="0026452D" w:rsidP="0026452D">
      <w:pPr>
        <w:pStyle w:val="Extracto"/>
      </w:pPr>
    </w:p>
    <w:p w:rsidR="0026452D" w:rsidRDefault="0026452D" w:rsidP="0026452D">
      <w:pPr>
        <w:pStyle w:val="Extracto"/>
      </w:pPr>
      <w:r>
        <w:t>15.</w:t>
      </w:r>
      <w:r>
        <w:tab/>
        <w:t xml:space="preserve">La afectación transversal del título competencial del Estado, que se ciñe al ámbito de lo básico </w:t>
      </w:r>
      <w:r w:rsidRPr="0026452D">
        <w:rPr>
          <w:i/>
        </w:rPr>
        <w:t>ex</w:t>
      </w:r>
      <w:r>
        <w:t xml:space="preserve">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(STC 101/2005) [FJ 1].</w:t>
      </w:r>
    </w:p>
    <w:p w:rsidR="0026452D" w:rsidRDefault="0026452D" w:rsidP="0026452D">
      <w:pPr>
        <w:pStyle w:val="Extracto"/>
      </w:pPr>
    </w:p>
    <w:p w:rsidR="0026452D" w:rsidRDefault="0026452D" w:rsidP="0026452D">
      <w:pPr>
        <w:pStyle w:val="Extracto"/>
      </w:pPr>
      <w:r>
        <w:t>16.</w:t>
      </w:r>
      <w:r>
        <w:tab/>
        <w:t>La afectación transversal de las competencias sectoriales de las Comunidades Autónomas resultará vulneradora del orden competencial cuando la normativa estatal comporte, más que el establecimiento de limitaciones específicas o puntuales de las actividades sectoriales, una regulación de mayor alcance, incluso aunque dicha regulación presente una finalidad de protección ambiental (STC 101/2005) [FJ 1].</w:t>
      </w:r>
    </w:p>
    <w:p w:rsidR="0026452D" w:rsidRDefault="0026452D" w:rsidP="0026452D">
      <w:pPr>
        <w:pStyle w:val="Extracto"/>
      </w:pPr>
    </w:p>
    <w:p w:rsidR="0026452D" w:rsidRDefault="0026452D" w:rsidP="0026452D">
      <w:pPr>
        <w:pStyle w:val="Extracto"/>
      </w:pPr>
      <w:r>
        <w:t>17.</w:t>
      </w:r>
      <w:r>
        <w:tab/>
        <w:t>Reitera la doctrina sobre los criterios específicos de la legislación básica de protección del medio ambiente, de la STC 101/2005 [FJ 1].</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inconstitucionalidad núm. 2124-2008, interpuesto por el Consejo de Gobierno de la Junta de Castilla y León contra los arts. 25; 45.1; 53; 58; 62.3 a), g) y j), y 66.2 de la Ley 42/2007, de 13 de diciembre, del patrimonio natural y la biodiversidad. Ha comparecido y formulado alegaciones el Abogado del Estado. Ha sido Ponente el Magistrado don Fernando Valdés Dal-Ré,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el día 14 de marzo de 2008, la representación procesal del Consejo de Gobierno de la Junta de Castilla y León promueve recurso de inconstitucionalidad contra los arts. 25; 45.1; 53; 58; 62.3 a), g) y j), y 66.2 de la Ley 42/2007, de 13 de diciembre, del patrimonio natural y la biodiversidad.</w:t>
      </w:r>
    </w:p>
    <w:p w:rsidR="0026452D" w:rsidRDefault="0026452D" w:rsidP="0026452D">
      <w:pPr>
        <w:pStyle w:val="TextoNormal"/>
      </w:pPr>
    </w:p>
    <w:p w:rsidR="0026452D" w:rsidRDefault="0026452D" w:rsidP="0026452D">
      <w:pPr>
        <w:pStyle w:val="TextoNormal"/>
      </w:pPr>
      <w:r>
        <w:t>Se resumen a continuación los motivos de inconstitucionalidad alegados en el escrito de demanda.</w:t>
      </w:r>
    </w:p>
    <w:p w:rsidR="0026452D" w:rsidRDefault="0026452D" w:rsidP="0026452D">
      <w:pPr>
        <w:pStyle w:val="TextoNormal"/>
      </w:pPr>
    </w:p>
    <w:p w:rsidR="0026452D" w:rsidRDefault="0026452D" w:rsidP="0026452D">
      <w:pPr>
        <w:pStyle w:val="TextoNormal"/>
      </w:pPr>
      <w:r>
        <w:t xml:space="preserve">a) Tras exponer la doctrina de este Tribunal sobre la competencia estatal para dictar la legislación básica sobre protección del medio ambiente, sin perjuicio de las facultades de las Comunidades Autónomas de establecer normas adicionales de protección, </w:t>
      </w:r>
      <w:r w:rsidRPr="0026452D">
        <w:rPr>
          <w:i/>
        </w:rPr>
        <w:t>ex</w:t>
      </w:r>
      <w:r>
        <w:t xml:space="preserve"> art. 149.1.23 CE, con cita de las SSTC 64/1982, de 4 de noviembre, 170/1989, de 19 de octubre, 149/1991, de 4 de julio, 102/1995, de 26 de junio, y 101/2005, de 20 de abril, considera que una regulación tan exhaustiva y detallada como la de la Ley recurrida excede del concepto constitucional de legislación básica, quedando muy mermadas las posibilidades de desarrollo legislativo de la Comunidad Autónoma, reconocidas en los apartados 7 y 8 del art. 71.1 del Estatuto de Autonomía de Castilla y León (EACL). La Ley del patrimonio natural y la biodiversidad se caracteriza por ser una ley densa, pero al mismo tiempo abstracta en muchas de sus normas, lo que determina en muchos casos invasiones en el ámbito competencial propio de las Comunidades Autónomas, y en concreto en el de Castilla y León.</w:t>
      </w:r>
    </w:p>
    <w:p w:rsidR="0026452D" w:rsidRDefault="0026452D" w:rsidP="0026452D">
      <w:pPr>
        <w:pStyle w:val="TextoNormal"/>
      </w:pPr>
    </w:p>
    <w:p w:rsidR="0026452D" w:rsidRDefault="0026452D" w:rsidP="0026452D">
      <w:pPr>
        <w:pStyle w:val="TextoNormal"/>
      </w:pPr>
      <w:r>
        <w:t>b) El art. 25 determina los efectos de la inclusión de un hábitat en el catálogo español de hábitats en peligro de desaparición, obligando a la adopción de un instrumento de gestión (plan de gestión), lo que afecta directamente a la competencia de la Comunidad Autónoma para declarar espacios protegidos y para aprobar la planificación y las medidas concretas de gestión de los mismos, recogida expresamente en la Ley 8/1991, de 10 de mayo, de espacios naturales de la Comunidad de Castilla y León. El artículo recurrido condiciona el desarrollo de los arts. 44.2, 50 y 51 de la misma Ley autonómica, entrando a determinar las decisiones autonómicas, particularmente en el caso de que el hábitat que se pretenda declarar en peligro de desaparición tuviera, exclusivamente, un ámbito territorial ubicado en su totalidad en dicha Comunidad.</w:t>
      </w:r>
    </w:p>
    <w:p w:rsidR="0026452D" w:rsidRDefault="0026452D" w:rsidP="0026452D">
      <w:pPr>
        <w:pStyle w:val="TextoNormal"/>
      </w:pPr>
    </w:p>
    <w:p w:rsidR="0026452D" w:rsidRDefault="0026452D" w:rsidP="0026452D">
      <w:pPr>
        <w:pStyle w:val="TextoNormal"/>
      </w:pPr>
      <w:r>
        <w:t>El precepto recurrido resulta contrario a lo determinado por la STC 101/2005, de 20 de abril, FJ 10 a), en relación con la zonificación de los parques nacionales.</w:t>
      </w:r>
    </w:p>
    <w:p w:rsidR="0026452D" w:rsidRDefault="0026452D" w:rsidP="0026452D">
      <w:pPr>
        <w:pStyle w:val="TextoNormal"/>
      </w:pPr>
    </w:p>
    <w:p w:rsidR="0026452D" w:rsidRDefault="0026452D" w:rsidP="0026452D">
      <w:pPr>
        <w:pStyle w:val="TextoNormal"/>
      </w:pPr>
      <w:r>
        <w:t xml:space="preserve">c) Respecto de las zonas especiales de conservación y las zonas de especial protección para las aves, el art. 45.1 obliga a las Comunidades Autónomas a adoptar determinadas </w:t>
      </w:r>
      <w:r>
        <w:lastRenderedPageBreak/>
        <w:t>medidas de protección, vulnerando la competencia autonómica para determinar los instrumentos y mecanismos de protección de tales zonas. Además, ocurre que la Ley difiere de la Directiva 92/43/CEE, del Consejo, relativa a la conservación de los hábitats naturales y de la flora y fauna silvestres, que se refiere a las medidas de conservación necesarias que implicarán, en su caso, adecuados planes de gestión y las apropiadas medidas reglamentarias, administrativas o contractuales.</w:t>
      </w:r>
    </w:p>
    <w:p w:rsidR="0026452D" w:rsidRDefault="0026452D" w:rsidP="0026452D">
      <w:pPr>
        <w:pStyle w:val="TextoNormal"/>
      </w:pPr>
    </w:p>
    <w:p w:rsidR="0026452D" w:rsidRDefault="0026452D" w:rsidP="0026452D">
      <w:pPr>
        <w:pStyle w:val="TextoNormal"/>
      </w:pPr>
      <w:r>
        <w:t>Teniendo en cuenta la clara competencia de gestión de la Comunidad Autónoma sobre estos espacios protegidos, es evidente que a ella corresponde la adopción de las medidas de conservación que estime adecuadas, siempre respetando las directrices de conservación de la Red Natura 2000 que elaborará el Ministerio de Medio Ambiente como parte del plan estratégico estatal del patrimonio natural y de la biodiversidad (art. 41.3 de la Ley del patrimonio natural y la biodiversidad).</w:t>
      </w:r>
    </w:p>
    <w:p w:rsidR="0026452D" w:rsidRDefault="0026452D" w:rsidP="0026452D">
      <w:pPr>
        <w:pStyle w:val="TextoNormal"/>
      </w:pPr>
    </w:p>
    <w:p w:rsidR="0026452D" w:rsidRDefault="0026452D" w:rsidP="0026452D">
      <w:pPr>
        <w:pStyle w:val="TextoNormal"/>
      </w:pPr>
      <w:r>
        <w:t>d) El art. 53, que regula el listado de especies silvestres en régimen de protección especial, en relación con el art. 58, que establece determinadas excepciones a las limitaciones de caza, que no resultan aplicables a las especies incluidas en dicho listado, vacía de contenido la competencia exclusiva autonómica para determinar las especies cazables, de acuerdo con lo dispuesto en el título II de la Ley 4/1996, de 12 de julio, de caza de Castilla y León.</w:t>
      </w:r>
    </w:p>
    <w:p w:rsidR="0026452D" w:rsidRDefault="0026452D" w:rsidP="0026452D">
      <w:pPr>
        <w:pStyle w:val="TextoNormal"/>
      </w:pPr>
    </w:p>
    <w:p w:rsidR="0026452D" w:rsidRDefault="0026452D" w:rsidP="0026452D">
      <w:pPr>
        <w:pStyle w:val="TextoNormal"/>
      </w:pPr>
      <w:r>
        <w:t>e) El art. 62.3 a) establece prohibiciones y limitaciones relacionadas con la actividad cinegética y piscícola con tal grado de detalle que impide el ejercicio de la competencia exclusiva autonómica en materia de caza y pesca (art. 70.1.17 EACL).</w:t>
      </w:r>
    </w:p>
    <w:p w:rsidR="0026452D" w:rsidRDefault="0026452D" w:rsidP="0026452D">
      <w:pPr>
        <w:pStyle w:val="TextoNormal"/>
      </w:pPr>
    </w:p>
    <w:p w:rsidR="0026452D" w:rsidRDefault="0026452D" w:rsidP="0026452D">
      <w:pPr>
        <w:pStyle w:val="TextoNormal"/>
      </w:pPr>
      <w:r>
        <w:t>Si bien es cierto que la prohibición de determinados procedimientos de captura o muerte de animales tiene su origen en la normativa comunitaria (Directiva 92/43/CEE, del Consejo, citada, y Directiva 79/409/CEE, del Consejo, relativa a la conservación de aves silvestres), el Tribunal Constitucional ya estableció en relación a una previsión similar contenida en el Real Decreto 1095/1989, de 8 de septiembre, que dicha prohibición carecía de carácter básico, puesto que su contenido reglamentario se salía del marco de protección de la fauna para invadir el campo de la caza.</w:t>
      </w:r>
    </w:p>
    <w:p w:rsidR="0026452D" w:rsidRDefault="0026452D" w:rsidP="0026452D">
      <w:pPr>
        <w:pStyle w:val="TextoNormal"/>
      </w:pPr>
    </w:p>
    <w:p w:rsidR="0026452D" w:rsidRDefault="0026452D" w:rsidP="0026452D">
      <w:pPr>
        <w:pStyle w:val="TextoNormal"/>
      </w:pPr>
      <w:r>
        <w:t>La competencia estatal debería entenderse como la facultad para elaborar una normativa trasversal “de mínimos”, pero sin entrar en excesivos detalles que pudieran disminuir el margen de la Comunidad para regular esta materia, citando al efecto la STC 102/1995, de 26 de junio, FJ 26.</w:t>
      </w:r>
    </w:p>
    <w:p w:rsidR="0026452D" w:rsidRDefault="0026452D" w:rsidP="0026452D">
      <w:pPr>
        <w:pStyle w:val="TextoNormal"/>
      </w:pPr>
    </w:p>
    <w:p w:rsidR="0026452D" w:rsidRDefault="0026452D" w:rsidP="0026452D">
      <w:pPr>
        <w:pStyle w:val="TextoNormal"/>
      </w:pPr>
      <w:r>
        <w:t>A lo anterior se añade la falta de coincidencia absoluta entre los listados contenidos en la Ley del patrimonio natural y la biodiversidad y en las referidas directivas comunitarias.</w:t>
      </w:r>
    </w:p>
    <w:p w:rsidR="0026452D" w:rsidRDefault="0026452D" w:rsidP="0026452D">
      <w:pPr>
        <w:pStyle w:val="TextoNormal"/>
      </w:pPr>
    </w:p>
    <w:p w:rsidR="0026452D" w:rsidRDefault="0026452D" w:rsidP="0026452D">
      <w:pPr>
        <w:pStyle w:val="TextoNormal"/>
      </w:pPr>
      <w:r>
        <w:t>f) El art. 62.3 g) resulta inconstitucional por imponer a la Comunidad Autónoma la homologación de los métodos de captura de predadores, incidiendo una vez más en la competencia exclusiva autonómica en materia de caza (Ley 4/1996, de 12 de julio), si bien ésta se halla vinculada a los criterios que tanto a nivel internacional como comunitario afecten a la regulación de dichos métodos de captura.</w:t>
      </w:r>
    </w:p>
    <w:p w:rsidR="0026452D" w:rsidRDefault="0026452D" w:rsidP="0026452D">
      <w:pPr>
        <w:pStyle w:val="TextoNormal"/>
      </w:pPr>
    </w:p>
    <w:p w:rsidR="0026452D" w:rsidRDefault="0026452D" w:rsidP="0026452D">
      <w:pPr>
        <w:pStyle w:val="TextoNormal"/>
      </w:pPr>
      <w:r>
        <w:t xml:space="preserve">g) Respecto del art. 62.3 j), que prohíbe la tenencia y el uso de munición que contenga plomo durante el ejercicio de la caza y el tiro deportivo, cuando estas actividades se ejerzan </w:t>
      </w:r>
      <w:r>
        <w:lastRenderedPageBreak/>
        <w:t>en zonas húmedas incluidas en la lista del Convenio relativo a humedales de importancia internacional, en las de la Red Natura 2000 y en las incluidas en espacios naturales protegidos, excede sin lugar a dudas del ámbito de lo básico, afectando a las competencias que ostenta la Comunidad Autónoma en la materia (Ley 8/1991, de 10 de mayo y Ley 4/1996, de 12 de julio), y estableciendo una regulación tajante que no permite a la Comunidad Autónoma una aplicación progresiva, ni la fijación de condiciones o excepciones a la norma general.</w:t>
      </w:r>
    </w:p>
    <w:p w:rsidR="0026452D" w:rsidRDefault="0026452D" w:rsidP="0026452D">
      <w:pPr>
        <w:pStyle w:val="TextoNormal"/>
      </w:pPr>
    </w:p>
    <w:p w:rsidR="0026452D" w:rsidRDefault="0026452D" w:rsidP="0026452D">
      <w:pPr>
        <w:pStyle w:val="TextoNormal"/>
      </w:pPr>
      <w:r>
        <w:t xml:space="preserve">h) En referencia a la ordenación de las reservas de la biosfera, regidas por el Marco Estatutario aprobado por la Conferencia General de la UNESCO (programa </w:t>
      </w:r>
      <w:r w:rsidRPr="0026452D">
        <w:rPr>
          <w:i/>
        </w:rPr>
        <w:t>Man and Biosphere</w:t>
      </w:r>
      <w:r>
        <w:t>, MaB), el art. 66.2 atribuye al Comité Español del Programa MaB la evaluación preceptiva de cada una de dichas reservas, pese a tratarse de un acto de ejecución, competencia que quizás podría calificarse de básica si se ejerciera en relación con la red, como es el caso del art. 5.1 b) de la Ley 5/2007, de 3 de abril, de la red de parques nacionales.</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15 de abril de 2008, el Pleno acordó admitir a trámite el recurso y, de conformidad con lo establecido en el art. 34 Ley Orgánica del Tribunal Constitucional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El día 23 de abril de 2008, el Abogado del Estado se personó en el proceso en nombre del Gobierno, solicitando una prórroga en el plazo concedido para formular alegaciones, que le fue concedida por providencia del Pleno de 24 de abril de 2008.</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escrito presentado el día 30 de abril de 2008, el Presidente del Senado comunicó el acuerdo de la Mesa de la Cámara de personarse en el proceso, ofreciendo su colaboración a los efectos del art. 88.1 LOTC. El día 8 de mayo de 2008 se registró escrito del Presidente del Congreso de los Diputados comunicando el acuerdo de la Mesa de la Cámara en el mismo sentido.</w:t>
      </w:r>
    </w:p>
    <w:p w:rsidR="0026452D" w:rsidRDefault="0026452D" w:rsidP="0026452D">
      <w:pPr>
        <w:pStyle w:val="TextoNormal"/>
      </w:pPr>
    </w:p>
    <w:p w:rsidR="0026452D" w:rsidRDefault="0026452D" w:rsidP="0026452D">
      <w:pPr>
        <w:pStyle w:val="TextoNormal"/>
      </w:pPr>
      <w:r w:rsidRPr="0026452D">
        <w:rPr>
          <w:rStyle w:val="NumeroAFNegritaCaracter"/>
        </w:rPr>
        <w:t>5</w:t>
      </w:r>
      <w:r>
        <w:t>. La Abogada del Estado, en la representación que legalmente ostenta, presentó su escrito de alegaciones el día 28 de mayo de 2008, instando la desestimación del recurso en atención a la argumentación que se sintetiza seguidamente:</w:t>
      </w:r>
    </w:p>
    <w:p w:rsidR="0026452D" w:rsidRDefault="0026452D" w:rsidP="0026452D">
      <w:pPr>
        <w:pStyle w:val="TextoNormal"/>
      </w:pPr>
    </w:p>
    <w:p w:rsidR="0026452D" w:rsidRDefault="0026452D" w:rsidP="0026452D">
      <w:pPr>
        <w:pStyle w:val="TextoNormal"/>
      </w:pPr>
      <w:r>
        <w:t>a) La misma doctrina constitucional aducida en el escrito de demanda para tratar de fundamentar la inconstitucionalidad de los preceptos impugnados sirve, paradójicamente, para razonar su absoluta conformidad con el orden competencial constitucional y estatutariamente establecido. Las disposiciones objeto de este procedimiento satisfacen las exigencias de orden formal y material que este Tribunal viene imponiendo a la normativa básica, de acuerdo con su reiterada doctrina, que aparece sintetizada en la STC 109/2003, de 5 de junio, FJ 4.</w:t>
      </w:r>
    </w:p>
    <w:p w:rsidR="0026452D" w:rsidRDefault="0026452D" w:rsidP="0026452D">
      <w:pPr>
        <w:pStyle w:val="TextoNormal"/>
      </w:pPr>
    </w:p>
    <w:p w:rsidR="0026452D" w:rsidRDefault="0026452D" w:rsidP="0026452D">
      <w:pPr>
        <w:pStyle w:val="TextoNormal"/>
      </w:pPr>
      <w:r>
        <w:t xml:space="preserve">La Comunidad Autónoma recurrente no pone en tela de juicio el cumplimiento de las garantías formales, y en cuanto a las garantías materiales, de acuerdo con la STC 102/1995 y la STC 306/2000, de 12 de diciembre, FJ 6, habrá que atender a cuál sea la verdadera intensidad de la finalidad protectora de la norma básica, para averiguar si realmente se trata </w:t>
      </w:r>
      <w:r>
        <w:lastRenderedPageBreak/>
        <w:t>de un caso de afectación transversal que legitima la correspondiente actuación estatal, y que permita afirmar que determinada medida encaja en el ámbito de la legislación básica del art. 149.1.23 CE.</w:t>
      </w:r>
    </w:p>
    <w:p w:rsidR="0026452D" w:rsidRDefault="0026452D" w:rsidP="0026452D">
      <w:pPr>
        <w:pStyle w:val="TextoNormal"/>
      </w:pPr>
    </w:p>
    <w:p w:rsidR="0026452D" w:rsidRDefault="0026452D" w:rsidP="0026452D">
      <w:pPr>
        <w:pStyle w:val="TextoNormal"/>
      </w:pPr>
      <w:r>
        <w:t>b) Tanto en su elaboración como en sus efectos jurídicos, la regulación del art. 25, relativo al catálogo español de hábitats en peligro de desaparición, sigue el modelo del catálogo nacional de especies amenazadas, cuya creación y regulación fueron declaradas básicas en la STC 102/1995, FJ 25, como destaca la exposición de motivos de la Ley del patrimonio natural y la biodiversidad, y al que se refiere también el dictamen del Consejo de Estado núm. 913/2007, relativo al anteproyecto de ley.</w:t>
      </w:r>
    </w:p>
    <w:p w:rsidR="0026452D" w:rsidRDefault="0026452D" w:rsidP="0026452D">
      <w:pPr>
        <w:pStyle w:val="TextoNormal"/>
      </w:pPr>
    </w:p>
    <w:p w:rsidR="0026452D" w:rsidRDefault="0026452D" w:rsidP="0026452D">
      <w:pPr>
        <w:pStyle w:val="TextoNormal"/>
      </w:pPr>
      <w:r>
        <w:t>Atendiendo a su tenor literal, nada puede oponerse al art. 25, pues los efectos tienen ámbito nacional o interautonómico y no interfieren ninguna esfera autonómica de competencia, al no determinar ni la creación ni, mucho menos, el contenido de un concreto plan de gestión. Además, la afectación transversal a las competencias autonómicas que pudiera llegar a apreciarse en el art. 25 resultaría, en todo caso, constitucionalmente admisible, pues se produce mediante límites mínimos, muy puntuales —específicas medidas de prevención y conservación— en orden a evitar la desaparición de hábitats en peligro.</w:t>
      </w:r>
    </w:p>
    <w:p w:rsidR="0026452D" w:rsidRDefault="0026452D" w:rsidP="0026452D">
      <w:pPr>
        <w:pStyle w:val="TextoNormal"/>
      </w:pPr>
    </w:p>
    <w:p w:rsidR="0026452D" w:rsidRDefault="0026452D" w:rsidP="0026452D">
      <w:pPr>
        <w:pStyle w:val="TextoNormal"/>
      </w:pPr>
      <w:r>
        <w:t>Procede en consecuencia rechazar la denunciada vulneración de los arts. 50 y 51 de la Ley autonómica de espacios naturales, en tanto que los efectos básicos que prevé el art. 25 en nada se inmiscuyen en la forma normativa que han de adoptar los planes de recuperación o de conservación autonómicos, y resultan asimismo ajenos a la manera en que se ha de llevar a cabo la inclusión de tales planes en el inventario autonómico. Las Comunidades Autónomas pueden continuar regulando sus propios catálogos con los efectos que estimen oportunos, pues las referencias que contiene el art. 25 son tan amplias y genéricas, que resultan fácilmente comprensivas del concepto de “plan de recuperación o de conservación”, así como del contenido (ámbito territorial, definición del estado de conservación, etc.) que para los mismos prevé el art. 51 supuestamente infringido.</w:t>
      </w:r>
    </w:p>
    <w:p w:rsidR="0026452D" w:rsidRDefault="0026452D" w:rsidP="0026452D">
      <w:pPr>
        <w:pStyle w:val="TextoNormal"/>
      </w:pPr>
    </w:p>
    <w:p w:rsidR="0026452D" w:rsidRDefault="0026452D" w:rsidP="0026452D">
      <w:pPr>
        <w:pStyle w:val="TextoNormal"/>
      </w:pPr>
      <w:r>
        <w:t>Tampoco resulta admisible el reproche de invasión competencial que la Comunidad Autónoma recurrente imputa a la proyección territorial que se deriva de la aplicación del art. 25, pues este Tribunal ha admitido expresamente cierta proyección territorial o física a la regulación de la protección del medio ambiente (STC 102/1995, FJ 3).</w:t>
      </w:r>
    </w:p>
    <w:p w:rsidR="0026452D" w:rsidRDefault="0026452D" w:rsidP="0026452D">
      <w:pPr>
        <w:pStyle w:val="TextoNormal"/>
      </w:pPr>
    </w:p>
    <w:p w:rsidR="0026452D" w:rsidRDefault="0026452D" w:rsidP="0026452D">
      <w:pPr>
        <w:pStyle w:val="TextoNormal"/>
      </w:pPr>
      <w:r>
        <w:t>c) El fundamento jurídico 13 de la STC 102/1995, de 26 de junio, permite defender el carácter básico del art. 45.1, máxime si se tiene en cuenta lo establecido en el art. 41.2 de la Ley del patrimonio natural y la biodiversidad, que atribuye expresamente a la legislación y planificación autonómicas la definición del alcance y de las limitaciones de los lugares y zonas que componen el espacio protegido Red Natura 2000. Añade que la referencia que el art. 45.1 contiene es sensiblemente más reducida que lo que venía preceptuado para los planes de ordenación de los recursos naturales en los arts. 4 a 8 de la Ley 4/1989, de 27 de marzo, de conservación de los espacios naturales y de la flora y fauna silvestres.</w:t>
      </w:r>
    </w:p>
    <w:p w:rsidR="0026452D" w:rsidRDefault="0026452D" w:rsidP="0026452D">
      <w:pPr>
        <w:pStyle w:val="TextoNormal"/>
      </w:pPr>
    </w:p>
    <w:p w:rsidR="0026452D" w:rsidRDefault="0026452D" w:rsidP="0026452D">
      <w:pPr>
        <w:pStyle w:val="TextoNormal"/>
      </w:pPr>
      <w:r>
        <w:t xml:space="preserve">Por su formulación abstracta, el art. 45.1 no desborda los límites de lo básico cuando contempla la necesidad de las medidas de conservación, a fijar por las Comunidades Autónomas. Las previsiones mínimas que deben recoger las medidas de conservación autonómicas son muy genéricas, y su señalamiento no rebasa la esfera de lo básico. Nada impide que </w:t>
      </w:r>
      <w:r>
        <w:lastRenderedPageBreak/>
        <w:t>el legislador autonómico concrete las muy generales previsiones que se relacionan en el art. 45.1, pormenorice el contenido mínimo que define la letra a) para los planes o instrumentos de gestión, o agregue a los mismos nuevas determinaciones de contenido imperativas para su Comunidad Autónoma. El precepto recurrido permite, en suma, muy variadas opciones al legislador autónomo competente, limitándose a definir los rasgos esenciales de las medidas de conservación de la Red Natura 2000, para que las mismas tengan un mínimo de homogeneidad en toda España.</w:t>
      </w:r>
    </w:p>
    <w:p w:rsidR="0026452D" w:rsidRDefault="0026452D" w:rsidP="0026452D">
      <w:pPr>
        <w:pStyle w:val="TextoNormal"/>
      </w:pPr>
    </w:p>
    <w:p w:rsidR="0026452D" w:rsidRDefault="0026452D" w:rsidP="0026452D">
      <w:pPr>
        <w:pStyle w:val="TextoNormal"/>
      </w:pPr>
      <w:r>
        <w:t>La obligación de recoger las previsiones mínimas que establece el art. 45.1 trae causa de la Directiva 92/43/CEE. El reproche de falta de coincidencia exacta entre la norma impugnada y la comunitaria, además de no encontrar aquí su sede apropiada, carece de consistencia, pues la traslación de la normativa comunitaria derivada al Derecho interno ha de seguir necesariamente los criterios constitucionales y estatutarios de reparto de competencias (SSTC 252/1988, de 20 de diciembre; 64/1991, de 22 de marzo; 76/1991, de 11 de abril; 236/1991, de 12 de diciembre, y 79/1992, de 28 de mayo) y, en el presente supuesto, no cabe dudar de que es al Estado, como titular de la competencia sobre legislación básica en materia medioambiental, al que corresponde concretar el contenido mínimo de las medidas de conservación, habiendo optado por incluir las previsiones que al efecto relaciona el art. 6 de la Directiva 92/43/CEE.</w:t>
      </w:r>
    </w:p>
    <w:p w:rsidR="0026452D" w:rsidRDefault="0026452D" w:rsidP="0026452D">
      <w:pPr>
        <w:pStyle w:val="TextoNormal"/>
      </w:pPr>
    </w:p>
    <w:p w:rsidR="0026452D" w:rsidRDefault="0026452D" w:rsidP="0026452D">
      <w:pPr>
        <w:pStyle w:val="TextoNormal"/>
      </w:pPr>
      <w:r>
        <w:t>d) La impugnación del art. 53 carece de toda base tras haberse declarado expresamente el carácter básico del catálogo nacional de especies amenazadas por la STC 102/1995. El recurso, además, adolece de cierto carácter preventivo que impide su consideración por el Tribunal, en tanto que el art. 53 se limita a la creación del listado, sin provocar necesariamente el establecimiento de regímenes específicos de protección por las Comunidades Autónomas, sino que remite a un posterior desarrollo reglamentario con participación autonómica. El vicio denunciado se asienta en una mera hipótesis vinculada a una determinada interpretación de la aplicación del precepto que, por esa misma razón, difícilmente puede conducir a la declaración de inconstitucionalidad pretendida, ya que este Tribunal debe pronunciarse no sobre eventuales e hipotéticas interpretaciones de los preceptos objeto de recurso de inconstitucionalidad, sino sobre si se oponen a los mandatos constitucionales.</w:t>
      </w:r>
    </w:p>
    <w:p w:rsidR="0026452D" w:rsidRDefault="0026452D" w:rsidP="0026452D">
      <w:pPr>
        <w:pStyle w:val="TextoNormal"/>
      </w:pPr>
    </w:p>
    <w:p w:rsidR="0026452D" w:rsidRDefault="0026452D" w:rsidP="0026452D">
      <w:pPr>
        <w:pStyle w:val="TextoNormal"/>
      </w:pPr>
      <w:r>
        <w:t>En todo caso, el listado que se crea guarda una estrecha relación con la protección y conservación de especies, subespecies y poblaciones en peligro de extinción y consideradas de especial interés, por lo que presenta una innegable utilidad preventiva y profiláctica para la conservación de esos animales, sin que su implantación se inmiscuya en el ámbito reservado constitucionalmente a las Comunidades Autónomas.</w:t>
      </w:r>
    </w:p>
    <w:p w:rsidR="0026452D" w:rsidRDefault="0026452D" w:rsidP="0026452D">
      <w:pPr>
        <w:pStyle w:val="TextoNormal"/>
      </w:pPr>
    </w:p>
    <w:p w:rsidR="0026452D" w:rsidRDefault="0026452D" w:rsidP="0026452D">
      <w:pPr>
        <w:pStyle w:val="TextoNormal"/>
      </w:pPr>
      <w:r>
        <w:t>En cuanto al art. 58, ha sido recurrido sin examen particular del artículo ni razonamientos especiales, incumpliéndose la carga que recae sobre el recurrente de argumentar el vicio que le imputa a dicho precepto, impidiendo ejercer correctamente el derecho de defensa.</w:t>
      </w:r>
    </w:p>
    <w:p w:rsidR="0026452D" w:rsidRDefault="0026452D" w:rsidP="0026452D">
      <w:pPr>
        <w:pStyle w:val="TextoNormal"/>
      </w:pPr>
    </w:p>
    <w:p w:rsidR="0026452D" w:rsidRDefault="0026452D" w:rsidP="0026452D">
      <w:pPr>
        <w:pStyle w:val="TextoNormal"/>
      </w:pPr>
      <w:r>
        <w:t>La constitucionalidad del establecimiento de prohibiciones y limitaciones básicas que incidan en las competencias exclusivas de las Comunidades Autónomas, tales como la caza, fue admitida por la STC 101/2005, FJ 9, y, siendo básica la prohibición, el art. 58 es asimismo básico en virtud de que la excepción a una regla general básica ha de entenderse igualmente básica [STC 227/1988, de 29 de noviembre, FJ 23 e)].</w:t>
      </w:r>
    </w:p>
    <w:p w:rsidR="0026452D" w:rsidRDefault="0026452D" w:rsidP="0026452D">
      <w:pPr>
        <w:pStyle w:val="TextoNormal"/>
      </w:pPr>
    </w:p>
    <w:p w:rsidR="0026452D" w:rsidRDefault="0026452D" w:rsidP="0026452D">
      <w:pPr>
        <w:pStyle w:val="TextoNormal"/>
      </w:pPr>
      <w:r>
        <w:lastRenderedPageBreak/>
        <w:t>Si bien la impugnación del artículo 58 no se circunscribe a ninguno de sus cuatro apartados, el reproche se entiende dirigido contra la letra e) de su apartado 1, de cuya finalidad protectora no cabe dudar, ciñéndose a establecer una específica limitación —que no se hallen incluidas las especies en el listado— a determinada excepción aplicable a las prohibiciones, todas las cuales deberán ser a su vez previamente autorizadas por la Comunidad Autónoma que corresponda. En definitiva, el régimen de excepciones contenido en el art. 58 entraña unos límites al ejercicio de la competencia autonómica que no pueden considerarse irrazonables y que no vacían su contenido.</w:t>
      </w:r>
    </w:p>
    <w:p w:rsidR="0026452D" w:rsidRDefault="0026452D" w:rsidP="0026452D">
      <w:pPr>
        <w:pStyle w:val="TextoNormal"/>
      </w:pPr>
    </w:p>
    <w:p w:rsidR="0026452D" w:rsidRDefault="0026452D" w:rsidP="0026452D">
      <w:pPr>
        <w:pStyle w:val="TextoNormal"/>
      </w:pPr>
      <w:r>
        <w:t>e) Respecto de los apartados a), g) y j) del art. 62.3, la prohibición de cazar determinadas especies fue considerada constitucional por la STC 102/1995, FJ 26. El art. 62.3 puede acogerse al carácter de norma de protección del medio ambiente de carácter transversal pues recoge puntuales prohibiciones y limitaciones relacionadas con la actividad cinegética y acuícola en aguas continentales, convirtiéndose en límite válido de las competencias autonómicas, aún exclusivas.</w:t>
      </w:r>
    </w:p>
    <w:p w:rsidR="0026452D" w:rsidRDefault="0026452D" w:rsidP="0026452D">
      <w:pPr>
        <w:pStyle w:val="TextoNormal"/>
      </w:pPr>
    </w:p>
    <w:p w:rsidR="0026452D" w:rsidRDefault="0026452D" w:rsidP="0026452D">
      <w:pPr>
        <w:pStyle w:val="TextoNormal"/>
      </w:pPr>
      <w:r>
        <w:t>El apartado a) no impide a las Comunidades Autónomas prohibir otros procedimientos (medidas adicionales de protección), además de permitir su no aplicación en determinadas circunstancias. El apartado g) entraña una limitación para las autorizaciones autonómicas sobre métodos de captura de predadores, exigiendo su previa homologación en base a los criterios de selectividad y bienestar animal fijados por los acuerdos internacionales, que cabe sin duda justificar con arreglo al art. 149.1.23 CE, pues se trata de una limitación puntual y concreta, orientada a la protección de las especies en cuanto trata de evitar la repercusión negativa que sobre aquéllas pueda derivarse de la ausencia de control sobre los métodos utilizados para su captura. Por último, el apartado j) establece una prohibición de tenencia y uso de munición con plomo limitada al ejercicio de la caza y al tiro deportivo en determinadas zonas de especial protección, y si este Tribunal admite el establecimiento de prohibiciones en atención a la repercusión negativa de la actividad en un espacio protegido y, en consecuencia, procede prohibir con carácter general la caza en un espacio protegido, puede sin duda calificarse como básica una prohibición de menor alcance, cual es la restringida a aquellos espacios de relevante valor ornitológico: humedales Ramsar y espacios de la Red Natura 2000 que tengan dicha calificación (entre las que se incluyen las zonas de especial protección para las aves).</w:t>
      </w:r>
    </w:p>
    <w:p w:rsidR="0026452D" w:rsidRDefault="0026452D" w:rsidP="0026452D">
      <w:pPr>
        <w:pStyle w:val="TextoNormal"/>
      </w:pPr>
    </w:p>
    <w:p w:rsidR="0026452D" w:rsidRDefault="0026452D" w:rsidP="0026452D">
      <w:pPr>
        <w:pStyle w:val="TextoNormal"/>
      </w:pPr>
      <w:r>
        <w:t>Todas las letras impugnadas del art. 62.3 se caracterizan por su manifiesta finalidad protectora de la fauna silvestre y por ser compatibles con variadas opciones autonómicas. Dejan, en efecto, espacioso campo a la normación de las Comunidades Autónomas, sin desbordar lo básico, pues representan lo que el legislador estatal ha considerado determinaciones esenciales para la “actividad cinegética y acuícola”, con la vista puesta en la protección de la fauna silvestre.</w:t>
      </w:r>
    </w:p>
    <w:p w:rsidR="0026452D" w:rsidRDefault="0026452D" w:rsidP="0026452D">
      <w:pPr>
        <w:pStyle w:val="TextoNormal"/>
      </w:pPr>
    </w:p>
    <w:p w:rsidR="0026452D" w:rsidRDefault="0026452D" w:rsidP="0026452D">
      <w:pPr>
        <w:pStyle w:val="TextoNormal"/>
      </w:pPr>
      <w:r>
        <w:t xml:space="preserve">Y si bien, como recuerda la Comunidad Autónoma demandante, la STC 102/1995 declaró la inconstitucionalidad del anexo 3 del Real Decreto 1095/1989, que contenía el listado de métodos de captura no selectivos y modos de transporte prohibidos, la inclusión de dicho anexo en la Ley del patrimonio natural y la biodiversidad se realiza con una diferencia fundamental, ya que su finalidad es incorporar el listado de los métodos y modos de transporte enumerados en los correspondientes anexos de las directivas de aves y hábitats, para que, </w:t>
      </w:r>
      <w:r>
        <w:lastRenderedPageBreak/>
        <w:t>en cumplimiento de la prohibición genérica —y básica— de dichos métodos, las Comunidades Autónomas, en ejercicio de su competencia específica en materia de caza, establezcan prohibiciones específicas sobre cada uno de los métodos del listado.</w:t>
      </w:r>
    </w:p>
    <w:p w:rsidR="0026452D" w:rsidRDefault="0026452D" w:rsidP="0026452D">
      <w:pPr>
        <w:pStyle w:val="TextoNormal"/>
      </w:pPr>
    </w:p>
    <w:p w:rsidR="0026452D" w:rsidRDefault="0026452D" w:rsidP="0026452D">
      <w:pPr>
        <w:pStyle w:val="TextoNormal"/>
      </w:pPr>
      <w:r>
        <w:t>f) Respecto del art. 66.2, el ejercicio por el Comité MaB de las evaluaciones preceptivas de las reservas de la biosfera, en la forma concreta que prevé el precepto, puede interpretarse de manera acorde con el sistema constitucional de distribución de competencias, como referidas a aquéllas que resulten necesarias para el correcto ejercicio de las funciones del Comité MaB, descritas en el Real Decreto 342/2007, de 9 de marzo, que lo regula. Dichas funciones, sustancialmente de coordinación, propuesta y enlace, están estrechamente vinculadas a la proyección internacional de la red de reservas de la biosfera.</w:t>
      </w:r>
    </w:p>
    <w:p w:rsidR="0026452D" w:rsidRDefault="0026452D" w:rsidP="0026452D">
      <w:pPr>
        <w:pStyle w:val="TextoNormal"/>
      </w:pPr>
    </w:p>
    <w:p w:rsidR="0026452D" w:rsidRDefault="0026452D" w:rsidP="0026452D">
      <w:pPr>
        <w:pStyle w:val="TextoNormal"/>
      </w:pPr>
      <w:r>
        <w:t>En todo caso, este Tribunal no apreció infracción del orden constitucional de competencias en la atribución al organismo autónomo “Parques Nacionales” de la función de evaluación y seguimiento del plan director de la red de parques nacionales, estimando vinculada dicha función al ejercicio de la competencia sustantiva (STC 101/2005, FJ 13), sin olvidar que la evaluación preceptiva que realice el Comité Mab de cada reserva deberá basarse en la que realice cada Comunidad Autónoma, y llevarse a cabo a través de los mecanismos de colaboración o coordinación necesarios para la salvaguarda de las competencias autonómicas.</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12 de marzo de 2013 se señaló para deliberación y votación del presente recurso el día 14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interpone por el Consejo de Gobierno de la Junta de Castilla y León contra los arts. 25; 45.1; 53; 58; 62.3 a), g) y j), y 66.2 de la Ley 42/2007, de 13 de diciembre, del patrimonio natural y la biodiversidad.</w:t>
      </w:r>
    </w:p>
    <w:p w:rsidR="0026452D" w:rsidRDefault="0026452D" w:rsidP="0026452D">
      <w:pPr>
        <w:pStyle w:val="TextoNormal"/>
      </w:pPr>
    </w:p>
    <w:p w:rsidR="0026452D" w:rsidRDefault="0026452D" w:rsidP="0026452D">
      <w:pPr>
        <w:pStyle w:val="TextoNormal"/>
      </w:pPr>
      <w:r>
        <w:t>La controversia competencial que se somete a nuestra consideración debe ser analizada, como proponen las partes, a la luz de lo dispuesto por el art. 149.1.23 CE, que atribuye al Estado la competencia para dictar la legislación básica sobre protección del medio ambiente, sin perjuicio de las facultades de las Comunidades Autónomas de establecer normas adicionales de protección, y por los arts. 71.1, 7 y 8, y 70.1.17 del Estatuto de Autonomía de Castilla y León (EACL), en cuya virtud corresponden a la Comunidad Autónoma de Castilla y León, respectivamente, la competencia de desarrollo normativo y de ejecución de la legislación del Estado en materia de protección del medio ambiente y de los ecosistemas y espacios naturales protegidos, y la competencia exclusiva sobre pesca fluvial y lacustre, acuicultura, caza y explotaciones cinegéticas, así como la protección de los ecosistemas en que se desarrollen dichas actividades.</w:t>
      </w:r>
    </w:p>
    <w:p w:rsidR="0026452D" w:rsidRDefault="0026452D" w:rsidP="0026452D">
      <w:pPr>
        <w:pStyle w:val="TextoNormal"/>
      </w:pPr>
    </w:p>
    <w:p w:rsidR="0026452D" w:rsidRDefault="0026452D" w:rsidP="0026452D">
      <w:pPr>
        <w:pStyle w:val="TextoNormal"/>
      </w:pPr>
      <w:r>
        <w:t xml:space="preserve">Es sobradamente conocida la doctrina de este Tribunal en lo que concierne a la legislación básica, que se traduce en la necesaria concurrencia de ciertos requisitos de orden formal y de orden material. De acuerdo con nuestra doctrina, no cabe duda de que la Ley del patrimonio natural y la biodiversidad cumple los requisitos de orden formal, al proclamar en su </w:t>
      </w:r>
      <w:r>
        <w:lastRenderedPageBreak/>
        <w:t>disposición final segunda su carácter de legislación básica de protección del medio ambiente, de conformidad con el art. 149.1.23 CE.</w:t>
      </w:r>
    </w:p>
    <w:p w:rsidR="0026452D" w:rsidRDefault="0026452D" w:rsidP="0026452D">
      <w:pPr>
        <w:pStyle w:val="TextoNormal"/>
      </w:pPr>
    </w:p>
    <w:p w:rsidR="0026452D" w:rsidRDefault="0026452D" w:rsidP="0026452D">
      <w:pPr>
        <w:pStyle w:val="TextoNormal"/>
      </w:pPr>
      <w:r>
        <w:t>En cuanto a los criterios específicos que este Tribunal ha destacado como característicos de la legislación básica en este ámbito material, reproducimos ahora en sus elementos esenciales la STC 101/2005, de 20 de abril, FJ 5, por resultar plenamente aplicables al presente proceso constitucional:</w:t>
      </w:r>
    </w:p>
    <w:p w:rsidR="0026452D" w:rsidRDefault="0026452D" w:rsidP="0026452D">
      <w:pPr>
        <w:pStyle w:val="TextoNormal"/>
      </w:pPr>
    </w:p>
    <w:p w:rsidR="0026452D" w:rsidRDefault="0026452D" w:rsidP="0026452D">
      <w:pPr>
        <w:pStyle w:val="TextoNormal"/>
      </w:pPr>
      <w:r>
        <w:t xml:space="preserve">“El primero de estos criterios se concreta en que ‘en materia de medio ambiente el deber estatal de dejar un margen al desarrollo de la legislación básica por la normativa autonómica, aun siendo menor que en otros ámbitos, no puede llegar, frente a lo afirmado en la STC 149/1991 [FJ 1 D) </w:t>
      </w:r>
      <w:r w:rsidRPr="0026452D">
        <w:rPr>
          <w:i/>
        </w:rPr>
        <w:t>in fine</w:t>
      </w:r>
      <w:r>
        <w:t xml:space="preserve">] de la cual hemos de apartarnos en este punto, a tal grado de detalle que no permita desarrollo legislativo alguno de las Comunidades Autónomas con competencias en materia de medio ambiente, vaciándolas así de contenido’ (STC 102/1995, FJ 8). </w:t>
      </w:r>
    </w:p>
    <w:p w:rsidR="0026452D" w:rsidRDefault="0026452D" w:rsidP="0026452D">
      <w:pPr>
        <w:pStyle w:val="TextoNormal"/>
      </w:pPr>
    </w:p>
    <w:p w:rsidR="0026452D" w:rsidRDefault="0026452D" w:rsidP="0026452D">
      <w:pPr>
        <w:pStyle w:val="TextoNormal"/>
      </w:pPr>
      <w:r>
        <w:t xml:space="preserve">El segundo criterio consiste en ‘que lo básico, como propio de la competencia estatal en esta materia, cumple más bien una función de ordenación mediante mínimos que han de respetarse en todo caso, pero que pueden permitir que las Comunidades Autónomas con competencias en la materia establezcan niveles de protección más altos, como ya se dijo en la STC 170/1989. No son, por tanto, lo genérico o lo detallado, lo abstracto o lo concreto de cada norma, las piedras de toque para calificarla como básica, o no, sino su propia condición de tal a la luz de lo ya dicho’ (STC 102/1995, FJ 9). </w:t>
      </w:r>
    </w:p>
    <w:p w:rsidR="0026452D" w:rsidRDefault="0026452D" w:rsidP="0026452D">
      <w:pPr>
        <w:pStyle w:val="TextoNormal"/>
      </w:pPr>
    </w:p>
    <w:p w:rsidR="0026452D" w:rsidRDefault="0026452D" w:rsidP="0026452D">
      <w:pPr>
        <w:pStyle w:val="TextoNormal"/>
      </w:pPr>
      <w:r>
        <w:t xml:space="preserve">El tercer criterio a tener en cuenta … es el relativo al alcance de la ‘afectación transversal’ que las directrices básicas medioambientales pueden tener, no ya sobre las normas de desarrollo legislativo y la ejecución en la propia materia de medio ambiente, sino sobre las competencias sectoriales de las Comunidades Autónomas con las que se entrecruzan y que están directamente implicadas (ordenación del territorio, caza, pesca fluvial y lacustre, pesca en aguas interiores, marisqueo, turismo, ocio y tiempo libre, desarrollo comunitario e investigación, entre otras). </w:t>
      </w:r>
    </w:p>
    <w:p w:rsidR="0026452D" w:rsidRDefault="0026452D" w:rsidP="0026452D">
      <w:pPr>
        <w:pStyle w:val="TextoNormal"/>
      </w:pPr>
    </w:p>
    <w:p w:rsidR="0026452D" w:rsidRDefault="0026452D" w:rsidP="0026452D">
      <w:pPr>
        <w:pStyle w:val="TextoNormal"/>
      </w:pPr>
      <w:r>
        <w:t xml:space="preserve">Conviene que nos detengamos en este punto y fijemos que la afectación transversal del título competencial del Estado, que se ciñe al ámbito de lo básico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 Cuando así ocurra, los límites impuestos podrán calificarse de normas básicas </w:t>
      </w:r>
      <w:r w:rsidRPr="0026452D">
        <w:rPr>
          <w:i/>
        </w:rPr>
        <w:t>ex</w:t>
      </w:r>
      <w:r>
        <w:t xml:space="preserve"> art. 149.1.23 CE. </w:t>
      </w:r>
    </w:p>
    <w:p w:rsidR="0026452D" w:rsidRDefault="0026452D" w:rsidP="0026452D">
      <w:pPr>
        <w:pStyle w:val="TextoNormal"/>
      </w:pPr>
    </w:p>
    <w:p w:rsidR="0026452D" w:rsidRDefault="0026452D" w:rsidP="0026452D">
      <w:pPr>
        <w:pStyle w:val="TextoNormal"/>
      </w:pPr>
      <w:r>
        <w:t>Por el contrario la afectación transversal de las competencias sectoriales de las Comunidades Autónomas resultará vulneradora del orden competencial cuando la normativa estatal comporte, más que el establecimiento de limitaciones específicas o puntuales de las actividades sectoriales, una regulación de mayor alcance, incluso aunque dicha regulación presente una finalidad de protección ambiental … no puede ignorarse, y debe ser reiterado una vez más, que para que la afectación transversal de las competencias sectoriales implicadas favorezca el ejercicio de todas ellas son convenientes mecanismos de cooperación y coordinación de las Administraciones competentes (STC 194/2004 FFJJ 8 y 9).”</w:t>
      </w:r>
    </w:p>
    <w:p w:rsidR="0026452D" w:rsidRDefault="0026452D" w:rsidP="0026452D">
      <w:pPr>
        <w:pStyle w:val="TextoNormal"/>
      </w:pPr>
    </w:p>
    <w:p w:rsidR="0026452D" w:rsidRDefault="0026452D" w:rsidP="0026452D">
      <w:pPr>
        <w:pStyle w:val="TextoNormal"/>
      </w:pPr>
      <w:r w:rsidRPr="0026452D">
        <w:rPr>
          <w:rStyle w:val="NumeroAFNegritaCaracter"/>
        </w:rPr>
        <w:t>2</w:t>
      </w:r>
      <w:r>
        <w:t>. El análisis material de la Ley recurrida requiere aún algunas reflexiones adicionales preliminares, con el fin de profundizar en su objeto, sus principios inspiradores, las finalidades que persigue y los instrumentos diseñados para su consecución.</w:t>
      </w:r>
    </w:p>
    <w:p w:rsidR="0026452D" w:rsidRDefault="0026452D" w:rsidP="0026452D">
      <w:pPr>
        <w:pStyle w:val="TextoNormal"/>
      </w:pPr>
    </w:p>
    <w:p w:rsidR="0026452D" w:rsidRDefault="0026452D" w:rsidP="0026452D">
      <w:pPr>
        <w:pStyle w:val="TextoNormal"/>
      </w:pPr>
      <w:r>
        <w:t>a) Conforme a su art. 1, el objeto de la Ley del patrimonio natural y la biodiversidad es el establecimiento del régimen jurídico básico de la conservación, uso sostenible, mejora y restauración del patrimonio natural y de la biodiversidad, como parte del deber de conservar y del derecho a disfrutar de un medio ambiente adecuado para el desarrollo de la persona, vinculándose así explícitamente con el art. 45 CE.</w:t>
      </w:r>
    </w:p>
    <w:p w:rsidR="0026452D" w:rsidRDefault="0026452D" w:rsidP="0026452D">
      <w:pPr>
        <w:pStyle w:val="TextoNormal"/>
      </w:pPr>
    </w:p>
    <w:p w:rsidR="0026452D" w:rsidRDefault="0026452D" w:rsidP="0026452D">
      <w:pPr>
        <w:pStyle w:val="TextoNormal"/>
      </w:pPr>
      <w:r>
        <w:t>En palabras de la temprana STC 6/1982, de 4 de noviembre, este precepto constitucional “recoge la preocupación ecológica surgida en las últimas décadas en amplios sectores de opinión que ha plasmado también en numerosos documentos internacionales. En su virtud no puede considerarse como objetivo primordial y excluyente la explotación al máximo de los recursos naturales, el aumento de la producción a toda costa, sino que se ha de armonizar la ‘utilización racional’ de esos recursos con la protección de la naturaleza, todo ello para el mejor desarrollo de la persona y para asegurar una mejor calidad de la vida” (FJ 3). Dicha preocupación ecológica está asimismo presente en el preámbulo de la Ley del patrimonio natural y la biodiversidad, que refiere cómo se ha incrementado en la sociedad actual, específicamente en relación con los problemas relativos a la conservación del patrimonio natural y de la biodiversidad. Como causas de este incremento, identifica “la globalización de los problemas ambientales y la creciente percepción de los efectos del cambio climático; el progresivo agotamiento de algunos recursos naturales; la desaparición, en ocasiones irreversible, de gran cantidad de especies de la flora y la fauna silvestres, y la degradación de espacios naturales de interés”, que “se han convertido en motivo de seria preocupación para los ciudadanos, que reivindican su derecho a un medio ambiente de calidad que asegure su salud y su bienestar”, reivindicación que la Ley  estima acorde con el art. 45 CE.</w:t>
      </w:r>
    </w:p>
    <w:p w:rsidR="0026452D" w:rsidRDefault="0026452D" w:rsidP="0026452D">
      <w:pPr>
        <w:pStyle w:val="TextoNormal"/>
      </w:pPr>
    </w:p>
    <w:p w:rsidR="0026452D" w:rsidRDefault="0026452D" w:rsidP="0026452D">
      <w:pPr>
        <w:pStyle w:val="TextoNormal"/>
      </w:pPr>
      <w:r>
        <w:t>b) La Ley  del patrimonio natural y la biodiversidad se presenta como un avance del proceso iniciado con la Ley 4/1989, de 27 de marzo, de conservación de los espacios naturales y de la flora y fauna silvestres, que “introdujo en España desde una perspectiva integral, el Derecho de conservación de la naturaleza internacionalmente homologable, consolidando el proceso iniciado a principios de los años ochenta del siglo pasado mediante la ratificación de convenios multilaterales”.</w:t>
      </w:r>
    </w:p>
    <w:p w:rsidR="0026452D" w:rsidRDefault="0026452D" w:rsidP="0026452D">
      <w:pPr>
        <w:pStyle w:val="TextoNormal"/>
      </w:pPr>
    </w:p>
    <w:p w:rsidR="0026452D" w:rsidRDefault="0026452D" w:rsidP="0026452D">
      <w:pPr>
        <w:pStyle w:val="TextoNormal"/>
      </w:pPr>
      <w:r>
        <w:t>Precisamente al examinar la Ley 4/1989, ya destacamos en la STC 102/1995 que el “medio ambiente … es un concepto nacido para reconducir a la unidad los diversos componentes de una realidad en peligro. Si éste no se hubiera presentado resultaría inimaginable su aparición por meras razones teóricas, científicas o filosóficas, ni por tanto jurídicas. Los factores desencadenantes han sido la erosión del suelo, su deforestación y desertización, la contaminación de las aguas marítimas, fluviales y subálveas, así como de la atmósfera por el efecto pernicioso de humos, emanaciones, vertidos y residuos, la extinción de especies enteras o la degeneración de otras y la degradación de la riqueza agrícola, forestal, pecuaria o piscícola, la contaminación acústica y tantas otras manifestaciones que van desde lo simplemente incómodo a lo letal, con una incidencia negativa sobre la salubridad de la población en la inescindible unidad psicosomática de los individuos” (FJ 7).</w:t>
      </w:r>
    </w:p>
    <w:p w:rsidR="0026452D" w:rsidRDefault="0026452D" w:rsidP="0026452D">
      <w:pPr>
        <w:pStyle w:val="TextoNormal"/>
      </w:pPr>
    </w:p>
    <w:p w:rsidR="0026452D" w:rsidRDefault="0026452D" w:rsidP="0026452D">
      <w:pPr>
        <w:pStyle w:val="TextoNormal"/>
      </w:pPr>
      <w:r>
        <w:lastRenderedPageBreak/>
        <w:t>Por ello, su protección “resulta así una actividad beligerante que pretende conjurar el peligro y, en su caso, restaurar el daño sufrido e incluso perfeccionar las características del entorno, para garantizar su disfrute por todos” (FJ 7).</w:t>
      </w:r>
    </w:p>
    <w:p w:rsidR="0026452D" w:rsidRDefault="0026452D" w:rsidP="0026452D">
      <w:pPr>
        <w:pStyle w:val="TextoNormal"/>
      </w:pPr>
    </w:p>
    <w:p w:rsidR="0026452D" w:rsidRDefault="0026452D" w:rsidP="0026452D">
      <w:pPr>
        <w:pStyle w:val="TextoNormal"/>
      </w:pPr>
      <w:r>
        <w:t>c) Conviene fijar la atención, como hicimos entonces, en recientes documentos comunitarios e internacionales que, más allá de las obligaciones jurídicas contraídas por España, en cuanto Estado miembro de la Unión Europea o Estado parte en diversos tratados y convenios internacionales, sirven como marco de referencia conceptual.</w:t>
      </w:r>
    </w:p>
    <w:p w:rsidR="0026452D" w:rsidRDefault="0026452D" w:rsidP="0026452D">
      <w:pPr>
        <w:pStyle w:val="TextoNormal"/>
      </w:pPr>
    </w:p>
    <w:p w:rsidR="0026452D" w:rsidRDefault="0026452D" w:rsidP="0026452D">
      <w:pPr>
        <w:pStyle w:val="TextoNormal"/>
      </w:pPr>
      <w:r>
        <w:t>En materia de biodiversidad es referencia inexcusable el Convenio sobre la diversidad biológica, adoptado en Río de Janeiro en 1992 y ratificado por España el 16 de noviembre de 1993. Proclama este Convenio que la conservación de la diversidad biológica es interés común de toda la humanidad, por su importancia para la evolución y para el mantenimiento de los sistemas necesarios para la vida de la biosfera. El mandato del Convenio para prevenir y atacar en su fuente las causas de pérdida de la diversidad biológica está contenido en el plan estratégico para la diversidad biológica 2011-2020, aprobado en 2010 por la X Conferencia de las Partes. En dicho plan se señala que “las proyecciones científicas coinciden en que, de persistir las tendencias actuales, la pérdida de hábitats y las altas tasas de extinción continuarán a lo largo del siglo, con el consiguiente riesgo de consecuencias drásticas para las sociedades humanas a medida que se vayan superando varios umbrales o ‘puntos de inflexión’.” Recomienda por ello la adopción de medidas enérgicas tendentes a valorar y proteger la biodiversidad, con medidas en múltiples frentes, agrupadas en cinco objetivos, entre los que cabe destacar el de salvaguardar los ecosistemas, las especies y la diversidad genética.</w:t>
      </w:r>
    </w:p>
    <w:p w:rsidR="0026452D" w:rsidRDefault="0026452D" w:rsidP="0026452D">
      <w:pPr>
        <w:pStyle w:val="TextoNormal"/>
      </w:pPr>
    </w:p>
    <w:p w:rsidR="0026452D" w:rsidRDefault="0026452D" w:rsidP="0026452D">
      <w:pPr>
        <w:pStyle w:val="TextoNormal"/>
      </w:pPr>
      <w:r>
        <w:t>En nuestro entorno más cercano, la “Estrategia de la Unión Europea sobre la biodiversidad hasta 2020” [COM (2011) 244], señala que “la pérdida de la biodiversidad se convierte en la mayor amenaza medioambiental planetaria, junto con el cambio climático, estando ambos inextricablemente unidos”. Constata el acelerado proceso de pérdida de biodiversidad, fijando objetivos y acciones para atajar este proceso y acelerar la transición de la Unión Europea hacia una economía ecológica capaz de utilizar eficientemente sus recursos.</w:t>
      </w:r>
    </w:p>
    <w:p w:rsidR="0026452D" w:rsidRDefault="0026452D" w:rsidP="0026452D">
      <w:pPr>
        <w:pStyle w:val="TextoNormal"/>
      </w:pPr>
    </w:p>
    <w:p w:rsidR="0026452D" w:rsidRDefault="0026452D" w:rsidP="0026452D">
      <w:pPr>
        <w:pStyle w:val="TextoNormal"/>
      </w:pPr>
      <w:r>
        <w:t>De todo ello se desprende la prioritaria atención que merece la protección del medio ambiente, en su dimensión específica de protección del patrimonio natural y de la biodiversidad, cuya creciente fragilidad queda de manifiesto en las cifras y tendencias, contrastadas científicamente, proporcionadas por las estrategias de las que hemos dado somera referencia.</w:t>
      </w:r>
    </w:p>
    <w:p w:rsidR="0026452D" w:rsidRDefault="0026452D" w:rsidP="0026452D">
      <w:pPr>
        <w:pStyle w:val="TextoNormal"/>
      </w:pPr>
    </w:p>
    <w:p w:rsidR="0026452D" w:rsidRDefault="0026452D" w:rsidP="0026452D">
      <w:pPr>
        <w:pStyle w:val="TextoNormal"/>
      </w:pPr>
      <w:r>
        <w:t xml:space="preserve">d) Es patente la íntima conexión existente entre la Ley del patrimonio natural y la biodiversidad y los compromisos, diagnósticos, objetivos y estrategias de referencia en el escenario europeo e internacional. No sólo por la extensa cita de las normas y recomendaciones internacionales recogida en su preámbulo, sino porque se inspira, según el mismo, “en el mantenimiento de los procesos ecológicos esenciales y de los sistemas vitales básicos, en la preservación de la diversidad biológica, genética, de poblaciones y de especies, y en la preservación de la variedad, singularidad y belleza de los ecosistemas naturales, de la diversidad geológica y del paisaje”, recordando que el patrimonio natural y la biodiversidad desempeñan “una función social relevante por su estrecha vinculación con la salud y el bienestar </w:t>
      </w:r>
      <w:r>
        <w:lastRenderedPageBreak/>
        <w:t>de las personas, y por su aportación al desarrollo social y económico”, tanto de las generaciones presentes como de las futuras.</w:t>
      </w:r>
    </w:p>
    <w:p w:rsidR="0026452D" w:rsidRDefault="0026452D" w:rsidP="0026452D">
      <w:pPr>
        <w:pStyle w:val="TextoNormal"/>
      </w:pPr>
    </w:p>
    <w:p w:rsidR="0026452D" w:rsidRDefault="0026452D" w:rsidP="0026452D">
      <w:pPr>
        <w:pStyle w:val="TextoNormal"/>
      </w:pPr>
      <w:r>
        <w:t xml:space="preserve">El art. 2 concreta los principios que informan la Ley, que son claro eco de los objetivos globales, y que pueden resumirse en los de proteger el patrimonio natural y frenar el proceso de pérdida de la biodiversidad, que se erigen en </w:t>
      </w:r>
      <w:r w:rsidRPr="0026452D">
        <w:rPr>
          <w:i/>
        </w:rPr>
        <w:t>ratio</w:t>
      </w:r>
      <w:r>
        <w:t xml:space="preserve"> de la propia Ley.</w:t>
      </w:r>
    </w:p>
    <w:p w:rsidR="0026452D" w:rsidRDefault="0026452D" w:rsidP="0026452D">
      <w:pPr>
        <w:pStyle w:val="TextoNormal"/>
      </w:pPr>
    </w:p>
    <w:p w:rsidR="0026452D" w:rsidRDefault="0026452D" w:rsidP="0026452D">
      <w:pPr>
        <w:pStyle w:val="TextoNormal"/>
      </w:pPr>
      <w:r>
        <w:t>e) Desde la perspectiva constitucional, las anteriores consideraciones cobran significado en diversas vertientes.</w:t>
      </w:r>
    </w:p>
    <w:p w:rsidR="0026452D" w:rsidRDefault="0026452D" w:rsidP="0026452D">
      <w:pPr>
        <w:pStyle w:val="TextoNormal"/>
      </w:pPr>
    </w:p>
    <w:p w:rsidR="0026452D" w:rsidRDefault="0026452D" w:rsidP="0026452D">
      <w:pPr>
        <w:pStyle w:val="TextoNormal"/>
      </w:pPr>
      <w:r>
        <w:t>Por una parte, en esta controversia de naturaleza competencial, constituye parámetro interpretativo el mandato dirigido a todos los poderes públicos de velar por la utilización racional de todos los recursos naturales, con el fin de proteger y mejorar la calidad de la vida y defender y restaurar el medio ambiente, apoyándose en la indispensable solidaridad colectiva (art. 45.2 CE). Como afirmamos en la STC 227/1988, de 29 de noviembre, “en el desempeño de la tarea interpretativa de las normas competenciales establecidas en la Constitución y en los Estatutos de Autonomía, y por imperativo del criterio de unidad de la Constitución, que exige dotar de la mayor fuerza normativa a cada uno de sus preceptos, este Tribunal ha de tener en cuenta también el conjunto de los principios constitucionales de orden material que atañen, directa o indirectamente, a la ordenación y gestión de recursos naturales … principios que, a modo de síntesis, se condensan en el mandato constitucional que obliga a todos los poderes públicos a velar por la ‘utilización racional de todos los recursos naturales’ (art. 45.2 de la Constitución). Por ello, entre las diversas interpretaciones posibles de las reglas de distribución de competencias, este Tribunal sólo puede respaldar aquellas que razonablemente permitan cumplir dicho mandato y alcanzar los objetivos de protección y mejora de la calidad de vida y defensa y restauración del medio ambiente a los que aquél está inseparablemente vinculado” (FJ 13).</w:t>
      </w:r>
    </w:p>
    <w:p w:rsidR="0026452D" w:rsidRDefault="0026452D" w:rsidP="0026452D">
      <w:pPr>
        <w:pStyle w:val="TextoNormal"/>
      </w:pPr>
    </w:p>
    <w:p w:rsidR="0026452D" w:rsidRDefault="0026452D" w:rsidP="0026452D">
      <w:pPr>
        <w:pStyle w:val="TextoNormal"/>
      </w:pPr>
      <w:r>
        <w:t xml:space="preserve">Por otra parte, el art. 4.1 de la Ley refleja la evolucionada consideración del patrimonio natural y de la biodiversidad como bienes de interés público, categoría que, según la doctrina científica, acoge a aquéllos cuyo régimen jurídico, con independencia de su titularidad pública o privada, o incluso de su naturaleza de </w:t>
      </w:r>
      <w:r w:rsidRPr="0026452D">
        <w:rPr>
          <w:i/>
        </w:rPr>
        <w:t>res nullius</w:t>
      </w:r>
      <w:r>
        <w:t>, queda vinculado al interés general, con la finalidad de garantizar su restauración y conservación, y el derecho de todos a disfrutarlos. Por tanto, al proclamar que los mismos “desempeñan una función social relevante por su estrecha vinculación con el desarrollo, la salud y el bienestar de las personas y por su aportación al desarrollo social y económico”, el citado precepto conecta con el art. 128.1 CE, que subordina toda la riqueza del país en sus distintas formas, y sea cual fuere su titularidad, al interés general.</w:t>
      </w:r>
    </w:p>
    <w:p w:rsidR="0026452D" w:rsidRDefault="0026452D" w:rsidP="0026452D">
      <w:pPr>
        <w:pStyle w:val="TextoNormal"/>
      </w:pPr>
    </w:p>
    <w:p w:rsidR="0026452D" w:rsidRDefault="0026452D" w:rsidP="0026452D">
      <w:pPr>
        <w:pStyle w:val="TextoNormal"/>
      </w:pPr>
      <w:r>
        <w:t>Por último, la competencia que al Estado atribuye el art. 149.1.23 CE para dictar la legislación básica de protección del medio ambiente implica, “de acuerdo con la tendencia general actual, la necesidad de que el Estado fije las normas que impongan un encuadramiento de una política global en materia de medio ambiente, dado el alcance no ya nacional, sino internacional que tiene la regulación de esta materia así como la exigencia de la ‘indispensable solidaridad colectiva’ a que se refiere el art. 45.2” (STC 64/1982, de 4 de noviembre, FJ 4).</w:t>
      </w:r>
    </w:p>
    <w:p w:rsidR="0026452D" w:rsidRDefault="0026452D" w:rsidP="0026452D">
      <w:pPr>
        <w:pStyle w:val="TextoNormal"/>
      </w:pPr>
    </w:p>
    <w:p w:rsidR="0026452D" w:rsidRDefault="0026452D" w:rsidP="0026452D">
      <w:pPr>
        <w:pStyle w:val="TextoNormal"/>
      </w:pPr>
      <w:r>
        <w:lastRenderedPageBreak/>
        <w:t>Estos parámetros delimitan un ámbito de intervención estatal que puede ser singularmente intensa, en la medida en que la legislación básica, que “posee la característica técnica de normas mínimas de protección” (STC 170/1989, FJ 2), venga justificada por la necesidad de dar respuesta a la situación que ha quedado descrita, que sin incurrir en exageración puede calificarse de riesgo actual para el propio bienestar de la sociedad global.</w:t>
      </w:r>
    </w:p>
    <w:p w:rsidR="0026452D" w:rsidRDefault="0026452D" w:rsidP="0026452D">
      <w:pPr>
        <w:pStyle w:val="TextoNormal"/>
      </w:pPr>
    </w:p>
    <w:p w:rsidR="0026452D" w:rsidRDefault="0026452D" w:rsidP="0026452D">
      <w:pPr>
        <w:pStyle w:val="TextoNormal"/>
      </w:pPr>
      <w:r w:rsidRPr="0026452D">
        <w:rPr>
          <w:rStyle w:val="NumeroAFNegritaCaracter"/>
        </w:rPr>
        <w:t>3</w:t>
      </w:r>
      <w:r>
        <w:t>. Establecido el canon de enjuiciamiento en los fundamentos jurídicos precedentes, y antes de abordar de manera individualizada los preceptos impugnados, es preciso reparar en que el escrito de demanda basa buena parte de su argumentación en el contraste de los preceptos impugnados de la Ley del patrimonio natural y la biodiversidad con la legislación autonómica, deduciendo la inconstitucionalidad de aquéllos de las diferencias que halla entre su contenido y lo previamente regulado por la Comunidad Autónoma.</w:t>
      </w:r>
    </w:p>
    <w:p w:rsidR="0026452D" w:rsidRDefault="0026452D" w:rsidP="0026452D">
      <w:pPr>
        <w:pStyle w:val="TextoNormal"/>
      </w:pPr>
    </w:p>
    <w:p w:rsidR="0026452D" w:rsidRDefault="0026452D" w:rsidP="0026452D">
      <w:pPr>
        <w:pStyle w:val="TextoNormal"/>
      </w:pPr>
      <w:r>
        <w:t>Tal línea argumental debe ser descartada con carácter general, pues resulta evidente que con ella se invierte la relación existente entre la legislación básica y la legislación autonómica de desarrollo. Es la segunda la que debe acomodarse a la primera, siempre que ésta reúna la doble exigencia material y formal con que nuestra jurisprudencia ha caracterizado la legislación básica, y a ese marco básico, que está sujeto a variaciones y modificaciones, queda sometida en todo momento la competencia autonómica de desarrollo legislativo. Como hemos señalado recientemente en cuanto a la variabilidad de las bases estatales, la anticipación de la normativa autonómica no invalida el carácter básico de la normativa aprobada con posterioridad por el Estado, “con las consecuencias correspondientes para las normas de todas las Comunidades Autónomas en cuanto a su necesaria adaptación a la nueva legislación básica” (STC 158/2011, de 19 de octubre, FJ 8), pues “no puede pretenderse que el ejercicio previo de una competencia autonómica en una materia … produzca, por esa sola razón, una suerte de efecto preclusivo que impida al Estado el ejercicio de sus propias competencias … De este modo, si se reconoce que el Estado tiene la competencia para desarrollar las bases en una determinada materia, esa competencia integra la capacidad para modificar la regulación básica, de modo tal que el ejercicio de la competencia autonómica de desarrollo no puede bloquear esa capacidad de revisión por parte del Estado, bajo el argumento de que la nueva normativa básica va contra los dictados de las disposiciones autonómicas previas” [STC 99/2012, de 8 de mayo, FJ 2 b)].</w:t>
      </w:r>
    </w:p>
    <w:p w:rsidR="0026452D" w:rsidRDefault="0026452D" w:rsidP="0026452D">
      <w:pPr>
        <w:pStyle w:val="TextoNormal"/>
      </w:pPr>
    </w:p>
    <w:p w:rsidR="0026452D" w:rsidRDefault="0026452D" w:rsidP="0026452D">
      <w:pPr>
        <w:pStyle w:val="TextoNormal"/>
      </w:pPr>
      <w:r>
        <w:t xml:space="preserve">No es distinta la solución cuando se trata de las competencias que la Comunidad Autónoma ha asumido como exclusivas en su Estatuto de Autonomía. Como hemos determinado en la STC 31/2010, de 28 de junio, “nada permite abonar la conclusión de que el Estatuto parte indefectiblemente del principio de que las competencias exclusivas se proyectan en todo caso sobre materias y no sobre sectores de una materia en la que puedan también incidir competencias exclusivas estatales. Del art. 149.1 CE resulta la obviedad de que las potestades normativas sobre una misma materia pueden atribuirse a distintos titulares, de manera que la exclusividad de una competencia no es siempre coextensa con una materia, predicándose en ocasiones de la concreta potestad o función que sobre la totalidad o parte de una materia se atribuye a un titular determinado”, por lo que la asunción de una competencia como exclusiva no excluye “la eventualidad —prevista constitucionalmente y, por ello, legislativamente indisponible— de una exclusividad competencial referida únicamente a las potestades normativas que cabe ejercer sobre un sector de la realidad en el que también concurren potestades exclusivas del Estado”. La asunción estatutaria de una competencia como exclusiva, por tanto, “no impide el ejercicio de las competencias exclusivas del Estado </w:t>
      </w:r>
      <w:r>
        <w:lastRenderedPageBreak/>
        <w:t>ex art. 149.1 CE, sea cuando éstas concurren con las autonómicas sobre el mismo espacio físico u objeto jurídico, sea cuando se trate de materias de competencia compartida” (FJ 59).</w:t>
      </w:r>
    </w:p>
    <w:p w:rsidR="0026452D" w:rsidRDefault="0026452D" w:rsidP="0026452D">
      <w:pPr>
        <w:pStyle w:val="TextoNormal"/>
      </w:pPr>
    </w:p>
    <w:p w:rsidR="0026452D" w:rsidRDefault="0026452D" w:rsidP="0026452D">
      <w:pPr>
        <w:pStyle w:val="TextoNormal"/>
      </w:pPr>
      <w:r>
        <w:t>Específicamente, en el ámbito material de la protección del medio ambiente, como ya ha quedado expuesto, este Tribunal ha admitido expresamente que la legislación básica puede afectar no sólo a las normas de desarrollo legislativo en la propia materia, sino también a las competencias sectoriales de las Comunidades Autónomas, como la caza o la pesca fluvial, aún si han sido estatutariamente asumidas como exclusivas, sin que el obligado respeto de la legislación medioambiental del Estado impida el diseño y ejecución de una política autonómica propia en materia de caza y de protección de aquellos ecosistemas vinculados directamente a su ejercicio (STC 14/1998, de 22 de enero, FJ 2).</w:t>
      </w:r>
    </w:p>
    <w:p w:rsidR="0026452D" w:rsidRDefault="0026452D" w:rsidP="0026452D">
      <w:pPr>
        <w:pStyle w:val="TextoNormal"/>
      </w:pPr>
    </w:p>
    <w:p w:rsidR="0026452D" w:rsidRDefault="0026452D" w:rsidP="0026452D">
      <w:pPr>
        <w:pStyle w:val="TextoNormal"/>
      </w:pPr>
      <w:r>
        <w:t xml:space="preserve">En consecuencia, una vez que ha quedado comprobado el cumplimiento de las exigencias formales por parte de la Ley del patrimonio natural y la biodiversidad, el análisis del articulado que iniciamos a continuación quedará ceñida determinar si los preceptos impugnados responden, desde la perspectiva material, a los criterios fijados por este Tribunal en relación con la legislación básica de protección del medio ambiente, quedando excluido </w:t>
      </w:r>
      <w:r w:rsidRPr="0026452D">
        <w:rPr>
          <w:i/>
        </w:rPr>
        <w:t>a limine</w:t>
      </w:r>
      <w:r>
        <w:t xml:space="preserve"> del marco de nuestro enjuiciamiento lo que pudiera resultar de ese contraste que se nos propone por la Comunidad Autónoma recurrente, que resulta a todas luces improcedente a la hora de dilucidar la constitucionalidad de una ley estatal básica.</w:t>
      </w:r>
    </w:p>
    <w:p w:rsidR="0026452D" w:rsidRDefault="0026452D" w:rsidP="0026452D">
      <w:pPr>
        <w:pStyle w:val="TextoNormal"/>
      </w:pPr>
    </w:p>
    <w:p w:rsidR="0026452D" w:rsidRDefault="0026452D" w:rsidP="0026452D">
      <w:pPr>
        <w:pStyle w:val="TextoNormal"/>
      </w:pPr>
      <w:r w:rsidRPr="0026452D">
        <w:rPr>
          <w:rStyle w:val="NumeroAFNegritaCaracter"/>
        </w:rPr>
        <w:t>4</w:t>
      </w:r>
      <w:r>
        <w:t>. El art. 25 regula los efectos de la inclusión de un hábitat en el catálogo español de hábitats en peligro de desaparición. Tales efectos son, en primer lugar, la inclusión de una superficie adecuada “en algún instrumento de gestión o figura de protección de espacios naturales, nueva o ya existente” y, en segundo lugar, la definición y adopción por las Comunidades Autónomas de “las medidas necesarias para frenar la recesión y eliminar el riesgo de desaparición de estos hábitats en los instrumentos de planificación y de otro tipo adecuados a estos fines”.</w:t>
      </w:r>
    </w:p>
    <w:p w:rsidR="0026452D" w:rsidRDefault="0026452D" w:rsidP="0026452D">
      <w:pPr>
        <w:pStyle w:val="TextoNormal"/>
      </w:pPr>
    </w:p>
    <w:p w:rsidR="0026452D" w:rsidRDefault="0026452D" w:rsidP="0026452D">
      <w:pPr>
        <w:pStyle w:val="TextoNormal"/>
      </w:pPr>
      <w:r>
        <w:t>Conforme al art. 71.1.8 EACL, la Comunidad Autónoma recurrente ha asumido competencia de desarrollo legislativo y ejecución en materia de espacios naturales protegidos, sometida por tanto de modo explícito a la legislación básica del Estado, si bien conviene recordar que, incluso en los supuestos en que dicha competencia ha sido asumida como exclusiva, hemos determinado que “las Comunidades Autónomas que la tengan atribuida podrán dictar normas de protección y conservación de estos espacios y realizar la actividad de ejecución que estimen pertinente, siempre que respeten la legislación básica del Estado sobre protección del medio ambiente” (STC 102/1995, FJ 3).</w:t>
      </w:r>
    </w:p>
    <w:p w:rsidR="0026452D" w:rsidRDefault="0026452D" w:rsidP="0026452D">
      <w:pPr>
        <w:pStyle w:val="TextoNormal"/>
      </w:pPr>
    </w:p>
    <w:p w:rsidR="0026452D" w:rsidRDefault="0026452D" w:rsidP="0026452D">
      <w:pPr>
        <w:pStyle w:val="TextoNormal"/>
      </w:pPr>
      <w:r>
        <w:t xml:space="preserve">Desde la perspectiva material, el precepto no desborda en modo alguno el ámbito de lo básico, pues, como dijimos en la misma STC 102/1995, en el ámbito de la protección del medio ambiente “no se requiere excesiva argumentación para comprender que la necesidad de que existan ciertos registros o catálogos, la configuración de su contenido (datos inscribibles) y la determinación de su eficacia pueden ser tenidos sin dificultad por básicos” (FJ 25). Tal afirmación, que hicimos entonces respecto de las especies amenazadas, resulta predicable asimismo de los hábitats aquí concernidos, que según el art. 24, no impugnado, se incluyen en el catálogo por estar en peligro de desaparición al hallarse, al menos, en alguna de las siguientes circunstancias: “1. Tener su área de distribución muy reducida y en disminución; 2. Haber sido destruidos en la mayor parte de su área de distribución natural; 3. </w:t>
      </w:r>
      <w:r>
        <w:lastRenderedPageBreak/>
        <w:t>Haber sufrido un drástico deterioro de su composición, estructura o funciones ecológicas en la mayor parte de su área de distribución natural; 4. Encontrarse en alto riesgo de transformación irreversible a corto o medio plazo en una parte significativa de su área de distribución.”</w:t>
      </w:r>
    </w:p>
    <w:p w:rsidR="0026452D" w:rsidRDefault="0026452D" w:rsidP="0026452D">
      <w:pPr>
        <w:pStyle w:val="TextoNormal"/>
      </w:pPr>
    </w:p>
    <w:p w:rsidR="0026452D" w:rsidRDefault="0026452D" w:rsidP="0026452D">
      <w:pPr>
        <w:pStyle w:val="TextoNormal"/>
      </w:pPr>
      <w:r>
        <w:t>El precepto impugnado determina los efectos de la inclusión de un hábitat en el catálogo limitándose así a un mandato genérico, que está justificado por la función tuitiva a la que responde, y que permite a la Comunidad Autónoma recurrente ejercer en plenitud sus competencias, abriendo para ello un amplísimo abanico de opciones, pues no se predetermina ni la figura de protección o el instrumento de gestión a utilizar, ni las medidas concretas a adoptar para frenar la recesión o eliminar el riesgo de desaparición del hábitat así protegido.</w:t>
      </w:r>
    </w:p>
    <w:p w:rsidR="0026452D" w:rsidRDefault="0026452D" w:rsidP="0026452D">
      <w:pPr>
        <w:pStyle w:val="TextoNormal"/>
      </w:pPr>
    </w:p>
    <w:p w:rsidR="0026452D" w:rsidRDefault="0026452D" w:rsidP="0026452D">
      <w:pPr>
        <w:pStyle w:val="TextoNormal"/>
      </w:pPr>
      <w:r>
        <w:t>Cabe añadir que, aunque no existe coincidencia entre la identificación y catalogación de un hábitat en peligro de desaparición con la zonificación de los parques nacionales analizada en la STC 101/2005, que se cita en la demanda, tampoco en este caso se impone una determinada proyección territorial, en cuanto a su dimensión o localización, pues corresponde a las Comunidades Autónomas determinar la “superficie adecuada” del hábitat así protegido.</w:t>
      </w:r>
    </w:p>
    <w:p w:rsidR="0026452D" w:rsidRDefault="0026452D" w:rsidP="0026452D">
      <w:pPr>
        <w:pStyle w:val="TextoNormal"/>
      </w:pPr>
    </w:p>
    <w:p w:rsidR="0026452D" w:rsidRDefault="0026452D" w:rsidP="0026452D">
      <w:pPr>
        <w:pStyle w:val="TextoNormal"/>
      </w:pPr>
      <w:r>
        <w:t>En consecuencia, se desestima la impugnación del art. 25.</w:t>
      </w:r>
    </w:p>
    <w:p w:rsidR="0026452D" w:rsidRDefault="0026452D" w:rsidP="0026452D">
      <w:pPr>
        <w:pStyle w:val="TextoNormal"/>
      </w:pPr>
    </w:p>
    <w:p w:rsidR="0026452D" w:rsidRDefault="0026452D" w:rsidP="0026452D">
      <w:pPr>
        <w:pStyle w:val="TextoNormal"/>
      </w:pPr>
      <w:r w:rsidRPr="0026452D">
        <w:rPr>
          <w:rStyle w:val="NumeroAFNegritaCaracter"/>
        </w:rPr>
        <w:t>5</w:t>
      </w:r>
      <w:r>
        <w:t>. El artículo 45.1 ha sido modificado en su apartado a) por la Ley 11//2012, de 19 de diciembre, de medidas urgentes en materia de medio ambiente, si bien dicha modificación no afecta al objeto del recurso. Según dispone el precepto, serán las Comunidades Autónomas las que fijarán las medidas de conservación necesarias de las zonas especiales de conservación y las zonas de especial protección para las aves que conforman la Red Natura 2000.</w:t>
      </w:r>
    </w:p>
    <w:p w:rsidR="0026452D" w:rsidRDefault="0026452D" w:rsidP="0026452D">
      <w:pPr>
        <w:pStyle w:val="TextoNormal"/>
      </w:pPr>
    </w:p>
    <w:p w:rsidR="0026452D" w:rsidRDefault="0026452D" w:rsidP="0026452D">
      <w:pPr>
        <w:pStyle w:val="TextoNormal"/>
      </w:pPr>
      <w:r>
        <w:t>El precepto resulta plenamente respetuoso con la competencia autonómica, al estar formulado en términos absolutamente genéricos y de formulación abstracta, tanto en la finalidad de las medidas a adoptar, “que responderán a las exigencias ecológicas de los tipos de hábitats naturales”, como en su concreción. Tales medidas, según establecen literalmente los apartados a) y b) del art. 45.1, consistirán en “adecuados planes o instrumentos de gestión, específicos a los lugares o integrados en otros planes de desarrollo que incluyan, al menos, los objetivos de conservación del lugar y las medidas apropiadas para mantener los espacios en un estado de conservación favorable”, y en “apropiadas medidas reglamentarias, administrativas o contractuales”.</w:t>
      </w:r>
    </w:p>
    <w:p w:rsidR="0026452D" w:rsidRDefault="0026452D" w:rsidP="0026452D">
      <w:pPr>
        <w:pStyle w:val="TextoNormal"/>
      </w:pPr>
    </w:p>
    <w:p w:rsidR="0026452D" w:rsidRDefault="0026452D" w:rsidP="0026452D">
      <w:pPr>
        <w:pStyle w:val="TextoNormal"/>
      </w:pPr>
      <w:r>
        <w:t xml:space="preserve">Como dijimos en la STC 102/1995, “el mandato de planificar … se acomoda sin esfuerzo alguno al concepto de lo básico y en su ámbito encuentra su sede propia la determinación de los objetivos así como del contenido mínimo de los Planes de Ordenación de los Recursos Naturales. Aun cuando a la lista, enumeración o catálogo se le haya achacado un excesivo casuismo, tal reproche no resulta, sin embargo, aceptable. Ante todo es preciso recordar, como ya se ha hecho anteriormente que en materia de medio ambiente el deber estatal de dejar un margen de desarrollo de la legislación básica por la normativa autonómica es menor que en otros ámbitos. La obligación de concretar en el Plan las actividades, obras o instalaciones públicas o privadas, merecedoras de evaluar su impacto ambiental no es ocurrencia de esta Ley, que la recoge, sino de otras disposiciones, tanto de la Comunidad Europea como internas, que la han establecido y, lo que es más importante en este momento, tiene una </w:t>
      </w:r>
      <w:r>
        <w:lastRenderedPageBreak/>
        <w:t>relación estrecha con la protección del medio ambiente como instrumento preventivo” (FJ 13).</w:t>
      </w:r>
    </w:p>
    <w:p w:rsidR="0026452D" w:rsidRDefault="0026452D" w:rsidP="0026452D">
      <w:pPr>
        <w:pStyle w:val="TextoNormal"/>
      </w:pPr>
    </w:p>
    <w:p w:rsidR="0026452D" w:rsidRDefault="0026452D" w:rsidP="0026452D">
      <w:pPr>
        <w:pStyle w:val="TextoNormal"/>
      </w:pPr>
      <w:r>
        <w:t>No cabe hallar en la abierta y flexible redacción del precepto recurrido aspecto alguno que se aparte de esta doctrina y contravenga la noción material de legislación básica de protección del medio ambiente, o impida o condicione indebidamente la competencia autonómica. Antes bien, resulta difícil entender el reproche que se dirige a este precepto, cuando de sus propios términos se deduce con naturalidad que el legislador básico estatal prácticamente ha reenviado a la legislación autonómica de desarrollo la íntegra definición de las medidas de conservación a adoptar en las zonas especiales de conservación y las zonas de especial protección para las aves que conforman la Red Natura 2000, cuya declaración, por otra parte, corresponde a las propias Comunidades Autónomas (art. 44 de la Ley del patrimonio natural y la biodiversidad), y cuya consideración como espacios protegidos tendrá el “alcance y las limitaciones que las Comunidades Autónomas establezcan en su legislación y en los correspondientes instrumentos de planificación” (art. 41.2 de la Ley).</w:t>
      </w:r>
    </w:p>
    <w:p w:rsidR="0026452D" w:rsidRDefault="0026452D" w:rsidP="0026452D">
      <w:pPr>
        <w:pStyle w:val="TextoNormal"/>
      </w:pPr>
    </w:p>
    <w:p w:rsidR="0026452D" w:rsidRDefault="0026452D" w:rsidP="0026452D">
      <w:pPr>
        <w:pStyle w:val="TextoNormal"/>
      </w:pPr>
      <w:r>
        <w:t>No existe pues extralimitación competencial por parte del legislador estatal, ni es relevante a los efectos de este proceso constitucional la hipotética diferencia que pueda existir entre lo dispuesto en el art. 45.1 de la Ley y el texto de la ya citada Directiva 92/43/CEE. Como ya hemos tenido ocasión de afirmar en tantas ocasiones, “el presente recurso no versa sobre la recta aplicación del Derecho de la Unión Europea por los poderes públicos nacionales, que como ya hemos declarado anteriormente es en principio una cuestión que, procesalmente, no tiene rango constitucional (por todas STC 58/2004, de 19 de abril, FJ 10), sino sobre la recta aplicación de la Constitución, por un órgano constitucional, en el desarrollo normativo del Derecho de la Unión Europea. Como afirmamos en la STC 13/1998, de 22 de enero, FJ 3), cuando los procesos constitucionales ‘tienen por objeto disputas competenciales que tengan su origen en la trasposición al Derecho interno de una Directiva comunitaria, como en el caso enjuiciado, no corresponde a este Tribunal decidir si la Directiva ha sido o no correctamente incorporada al ordenamiento interno ni, en su caso, si está siendo correctamente aplicada (SSTC 64/1991, fundamento jurídico 4, y 147/1996, fundamento jurídico 3)’.” (STC 1/2012, de 13 de enero, FJ 9).</w:t>
      </w:r>
    </w:p>
    <w:p w:rsidR="0026452D" w:rsidRDefault="0026452D" w:rsidP="0026452D">
      <w:pPr>
        <w:pStyle w:val="TextoNormal"/>
      </w:pPr>
    </w:p>
    <w:p w:rsidR="0026452D" w:rsidRDefault="0026452D" w:rsidP="0026452D">
      <w:pPr>
        <w:pStyle w:val="TextoNormal"/>
      </w:pPr>
      <w:r>
        <w:t>Procede pues la desestimación de la impugnación dirigida contra el art. 45.1.</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A los arts. 53, 58 y 62.3, en sus apartados a), g) y j), se dirige el reproche común de invasión de la competencia exclusiva de la Comunidad Autónoma en materia de caza y pesca, </w:t>
      </w:r>
      <w:r w:rsidRPr="0026452D">
        <w:rPr>
          <w:i/>
        </w:rPr>
        <w:t>ex</w:t>
      </w:r>
      <w:r>
        <w:t xml:space="preserve"> art. 70.1.17 EACL.</w:t>
      </w:r>
    </w:p>
    <w:p w:rsidR="0026452D" w:rsidRDefault="0026452D" w:rsidP="0026452D">
      <w:pPr>
        <w:pStyle w:val="TextoNormal"/>
      </w:pPr>
    </w:p>
    <w:p w:rsidR="0026452D" w:rsidRDefault="0026452D" w:rsidP="0026452D">
      <w:pPr>
        <w:pStyle w:val="TextoNormal"/>
      </w:pPr>
      <w:r>
        <w:t>a) Aunque el recurso se dirige contra la totalidad de los arts. 53 y 58, del escrito de alegaciones se deduce que el objeto de su impugnación se contrae al art. 53.1 en relación con el art. 58.1 e), en cuanto este último no permite que las autorizaciones de captura, retención o cualquier otra explotación prudente de determinadas especies se extienda a las incluidas en el listado de especies silvestres en régimen de protección especial creado en el art. 53.1, que incluirá las especies, subespecies y poblaciones merecedoras de una atención y protección particular en función de su valor científico, ecológico, cultural, por su singularidad, rareza, o grado de amenaza, así como aquellas que figuren como protegidas en los anexos de las Directivas y los convenios internacionales ratificados por España.</w:t>
      </w:r>
    </w:p>
    <w:p w:rsidR="0026452D" w:rsidRDefault="0026452D" w:rsidP="0026452D">
      <w:pPr>
        <w:pStyle w:val="TextoNormal"/>
      </w:pPr>
    </w:p>
    <w:p w:rsidR="0026452D" w:rsidRDefault="0026452D" w:rsidP="0026452D">
      <w:pPr>
        <w:pStyle w:val="TextoNormal"/>
      </w:pPr>
      <w:r>
        <w:lastRenderedPageBreak/>
        <w:t>Ningún reproche cabe formular a esta medida de preservación de especies que por sus singulares características quedan excluidas de la actividad cinegética o de la pesca, pues responde, como ya manifestamos en la STC 102/1995, FFJJ 23, 25 y 26, en relación con la prohibición de captura de especies catalogadas, a una correcta articulación de la competencia estatal para dictar la normativa básica sobre protección del medio ambiente con la mencionada competencia autonómica. Se trata de una “prohibición de alcance conservacionista que se incardina sin dificultad en la competencia estatal de salvaguardia del entorno natural” (STC 101/2005, FJ 9).</w:t>
      </w:r>
    </w:p>
    <w:p w:rsidR="0026452D" w:rsidRDefault="0026452D" w:rsidP="0026452D">
      <w:pPr>
        <w:pStyle w:val="TextoNormal"/>
      </w:pPr>
    </w:p>
    <w:p w:rsidR="0026452D" w:rsidRDefault="0026452D" w:rsidP="0026452D">
      <w:pPr>
        <w:pStyle w:val="TextoNormal"/>
      </w:pPr>
      <w:r>
        <w:t>Se desestima por ello la impugnación de los arts. 53 y 58.</w:t>
      </w:r>
    </w:p>
    <w:p w:rsidR="0026452D" w:rsidRDefault="0026452D" w:rsidP="0026452D">
      <w:pPr>
        <w:pStyle w:val="TextoNormal"/>
      </w:pPr>
    </w:p>
    <w:p w:rsidR="0026452D" w:rsidRDefault="0026452D" w:rsidP="0026452D">
      <w:pPr>
        <w:pStyle w:val="TextoNormal"/>
      </w:pPr>
      <w:r>
        <w:t>b) El art. 62.3 a) prohíbe la tenencia, utilización y comercialización de todos los procedimientos masivos o no selectivos para la captura o muerte de animales, así como aquellos que puedan causar localmente la desaparición, o turbar gravemente la tranquilidad de las poblaciones de una especie. Se remite la especificación de esta prohibición al anexo VII de la Ley, que incluye los procedimientos para la captura o muerte de animales y modos de transporte prohibidos por la Unión Europea. El precepto regula asimismo determinados supuestos en los que dicha prohibición podrá no ser de aplicación.</w:t>
      </w:r>
    </w:p>
    <w:p w:rsidR="0026452D" w:rsidRDefault="0026452D" w:rsidP="0026452D">
      <w:pPr>
        <w:pStyle w:val="TextoNormal"/>
      </w:pPr>
    </w:p>
    <w:p w:rsidR="0026452D" w:rsidRDefault="0026452D" w:rsidP="0026452D">
      <w:pPr>
        <w:pStyle w:val="TextoNormal"/>
      </w:pPr>
      <w:r>
        <w:t>En la STC 102/1995, FJ 26, nos pronunciamos sobre una prohibición similar, contenida en el art. 34 a) de la Ley 4/1989, determinando que no ofrece duda alguna su función protectora de la fauna silvestre, como elemento del medio ambiente.</w:t>
      </w:r>
    </w:p>
    <w:p w:rsidR="0026452D" w:rsidRDefault="0026452D" w:rsidP="0026452D">
      <w:pPr>
        <w:pStyle w:val="TextoNormal"/>
      </w:pPr>
    </w:p>
    <w:p w:rsidR="0026452D" w:rsidRDefault="0026452D" w:rsidP="0026452D">
      <w:pPr>
        <w:pStyle w:val="TextoNormal"/>
      </w:pPr>
      <w:r>
        <w:t>Ahora bien, la remisión al anexo VII, en el que se especifican los procedimientos para la captura o muerte de animales y modos de transporte que quedan prohibidos, guarda estrecha relación con el art. 3.1 y el anexo III del Real Decreto 1095/1989, de 8 de septiembre, por el que se declaran las especies objeto de caza y pesca y se establecen normas para su protección. La STC 102/1995 descartó la consideración de éstos como norma básica, afirmando que la relación de tales procedimientos tiene una finalidad tuitiva evidente, y que “no cabe negar tampoco que la protección del medio ambiente, incidiendo transversalmente en la caza y la pesca resulta prevalente en principio”, si bien entendió que “lo realmente básico materialmente, por su contenido genérico y mínimo, es tan sólo el precepto legal, preciso y esquemático, no el reglamentario, que por su casuismo se sale del marco de la protección de la fauna para invadir el campo de la caza” (FJ 30).</w:t>
      </w:r>
    </w:p>
    <w:p w:rsidR="0026452D" w:rsidRDefault="0026452D" w:rsidP="0026452D">
      <w:pPr>
        <w:pStyle w:val="TextoNormal"/>
      </w:pPr>
    </w:p>
    <w:p w:rsidR="0026452D" w:rsidRDefault="0026452D" w:rsidP="0026452D">
      <w:pPr>
        <w:pStyle w:val="TextoNormal"/>
      </w:pPr>
      <w:r>
        <w:t xml:space="preserve">En este punto hemos de apartarnos del precedente citado. Las prohibiciones contenidas en el anexo VII de la Ley del patrimonio natural y la biodiversidad revisten las características propias de la legislación básica de protección del medio ambiente, estando el Estado constitucionalmente habilitado para imponerlas, </w:t>
      </w:r>
      <w:r w:rsidRPr="0026452D">
        <w:rPr>
          <w:i/>
        </w:rPr>
        <w:t>ex</w:t>
      </w:r>
      <w:r>
        <w:t xml:space="preserve"> art. 149.1.23 CE. Según ha quedado expuesto en el fundamento jurídico 1 al determinar nuestro canon de enjuiciamiento, la doctrina de este Tribunal ha considerado que lo básico cumple, en el ámbito de la protección del medio ambiente, una función de ordenación mediante mínimos, que pueden permitir a las Comunidades Autónomas establecer niveles de protección más altos, pero nunca reducirlos (SSTC 170/1989, FJ 2; 196/1996, de 28 de noviembre, FJ 2, y 7/2012, de 18 de enero, FJ 5). Hemos entendido también que no es lo genérico o lo detallado, lo abstracto o lo concreto de cada norma, el criterio decisivo para calificar como básica una norma de protección del medio ambiente, o no, sino su propia finalidad tuitiva (STC 102/1995, FJ 9). Y hemos admitido asimismo que la afectación transversal de la normativa básica de protección del </w:t>
      </w:r>
      <w:r>
        <w:lastRenderedPageBreak/>
        <w:t>medio ambiente se pueda traducir en la imposición de límites a las actividades sectoriales, como la caza o la pesca, en razón a la apreciable repercusión negativa que ésta pueda tener sobre la finalidad tuitiva [STC 101/2005, FJ 5 c)].</w:t>
      </w:r>
    </w:p>
    <w:p w:rsidR="0026452D" w:rsidRDefault="0026452D" w:rsidP="0026452D">
      <w:pPr>
        <w:pStyle w:val="TextoNormal"/>
      </w:pPr>
    </w:p>
    <w:p w:rsidR="0026452D" w:rsidRDefault="0026452D" w:rsidP="0026452D">
      <w:pPr>
        <w:pStyle w:val="TextoNormal"/>
      </w:pPr>
      <w:r>
        <w:t>El anexo VII de la Ley, al que se remite el precepto impugnado, responde a esta triple consideración. Sin duda, contiene prohibiciones que delimitan negativamente la competencia exclusiva autonómica en materia de caza y pesca, pero que están justificadas por la repercusión negativa que la utilización de ciertos métodos de captura masivos o no selectivos pueden tener en la protección de la fauna silvestre. No vacía de contenido la competencia de la Comunidad Autónoma, cuya regulación puede incidir sobre los restantes métodos de captura, bien admitiéndolos en ejercicio de su competencia en materia de caza y pesca, bien estableciendo nuevas prohibiciones o limitaciones para reforzar la acción protectora de la norma básica estatal, que en este caso opera como norma de mínimos. Y, no siendo lo detallado o concreto el elemento primero y esencial para calificar esta regulación como básica, sino su finalidad tuitiva, ésta queda patente si se tiene en cuenta que la utilización de tales métodos masivos o no selectivos puede provocar la desaparición de la especie susceptible de aprehensión a nivel local, contrariando el principio de conservación recogido en el art. 62.2 de la Ley o, incluso, por su propia naturaleza no selectiva, puede afectar a las especies protegidas cuya caza está tajantemente prohibida [arts. 54.1 b) y 62.1 de la Ley], siendo por ello también manifestación del principio de precaución en las intervenciones que puedan afectar a las especies silvestres [art. 2 g)].</w:t>
      </w:r>
    </w:p>
    <w:p w:rsidR="0026452D" w:rsidRDefault="0026452D" w:rsidP="0026452D">
      <w:pPr>
        <w:pStyle w:val="TextoNormal"/>
      </w:pPr>
    </w:p>
    <w:p w:rsidR="0026452D" w:rsidRDefault="0026452D" w:rsidP="0026452D">
      <w:pPr>
        <w:pStyle w:val="TextoNormal"/>
      </w:pPr>
      <w:r>
        <w:t>Cabe añadir que este encuadramiento se corresponde con la interpretación que de la prohibición de utilización de métodos de captura masivos o no selectivos han hecho tanto el Tribunal de Justicia de la Unión Europea (asuntos 262/85, C-79/03, entre otros) como el Tribunal Supremo, en Sentencia de 22 de junio de 2005, cuyo fundamento jurídico 8 invoca el “principio de precaución en materia ambiental … para preservar, como exige el artículo 45 de la Constitución, el medio ambiente”.</w:t>
      </w:r>
    </w:p>
    <w:p w:rsidR="0026452D" w:rsidRDefault="0026452D" w:rsidP="0026452D">
      <w:pPr>
        <w:pStyle w:val="TextoNormal"/>
      </w:pPr>
    </w:p>
    <w:p w:rsidR="0026452D" w:rsidRDefault="0026452D" w:rsidP="0026452D">
      <w:pPr>
        <w:pStyle w:val="TextoNormal"/>
      </w:pPr>
      <w:r>
        <w:t xml:space="preserve">Como parámetro interpretativo, tampoco resulta irrelevante el régimen comunitario de tales prohibiciones y, sobre todo, su finalidad, del todo afín a la legislación básica de protección del medio ambiente para cuya aprobación está habilitado el Estado </w:t>
      </w:r>
      <w:r w:rsidRPr="0026452D">
        <w:rPr>
          <w:i/>
        </w:rPr>
        <w:t>ex</w:t>
      </w:r>
      <w:r>
        <w:t xml:space="preserve"> art. 149.1.23 CE. En efecto, hemos recordado en la STC 1/2012, de 13 de enero, la doctrina reiterada de este Tribunal, a cuyo tenor “la traslación al ordenamiento interno de este Derecho supranacional no afecta a los criterios constitucionales de reparto competencial, que no resultan alterados ni por el ingreso de España en la Comunidad Europea ni por la promulgación de normas comunitarias” (FJ 9). Ahora bien, en la misma Sentencia hemos afirmado también que “nuestro análisis debe partir del siguiente postulado: las normas internas adoptadas para la incorporación de las directivas al ordenamiento español deben respetar tanto los condicionantes jurídicos del Derecho de la Unión como los del propio marco constitucional. Las exigencias derivadas del Derecho de la Unión no pueden ser irrelevantes a la hora de establecer los márgenes constitucionalmente admisibles de libertad de apreciación política de que gozan los órganos constitucionales … En la incorporación de las directivas al ordenamiento interno como, en general, en la ejecución del Derecho de la Unión por los poderes públicos españoles se deben conciliar, en la mayor medida posible, el orden interno de distribución de poderes, por un lado, y el cumplimiento pleno y tempestivo de las obligaciones del Estado en el seno de la Unión, por otro” (FJ 9).</w:t>
      </w:r>
    </w:p>
    <w:p w:rsidR="0026452D" w:rsidRDefault="0026452D" w:rsidP="0026452D">
      <w:pPr>
        <w:pStyle w:val="TextoNormal"/>
      </w:pPr>
    </w:p>
    <w:p w:rsidR="0026452D" w:rsidRDefault="0026452D" w:rsidP="0026452D">
      <w:pPr>
        <w:pStyle w:val="TextoNormal"/>
      </w:pPr>
      <w:r>
        <w:lastRenderedPageBreak/>
        <w:t>Desde esta óptica, y atendiendo a la finalidad perseguida, el encuadramiento material de estas prohibiciones en la materia de protección del medio ambiente coincide con la directamente deducible de la Directiva 2009/147CE, del Parlamento Europeo y del Consejo, de 30 de noviembre de 2009, relativa a la conservación de las aves silvestres, de codificación de la Directiva 79/409/CEE del Consejo, de 2 de abril de 1979, y sus sucesivas modificaciones. Su objeto es “la conservación de todas las especies de aves que viven normalmente en estado salvaje en el territorio europeo de los Estados miembros en los que es aplicable el Tratado” (art. 1), explicando en su preámbulo que “una gran cantidad de especies de aves que viven normalmente en estado salvaje padecen de una regresión en su población, muy rápida en algunos casos, y dicha regresión constituye un grave peligro para la conservación del medio natural, en particular debido a la amenaza que supone para el equilibrio biológico. Las especies de aves que viven normalmente en estado salvaje en el territorio europeo de los Estados miembros son en gran parte especies migratorias. Dichas especies constituyen un patrimonio común y la protección eficaz de las aves constituye un problema medioambiental típicamente trasfronterizo que implica unas responsabilidades comunes”. Para atender a estos objetivos de conservación, entre otras medidas, “los medios, instalaciones o métodos de captura o muerte masiva, o no selectiva, así como la persecución desde determinados medios de transporte deben prohibirse en razón de la excesiva presión que ejercen o pueden ejercer sobre el nivel de población de las especies afectadas”, concretándose las prohibiciones comunitarias en el art. 8 y el anexo IV, a las que se añaden las recogidas en el anexo VI de la Directiva 92/43/CEE del Consejo, de 21 de mayo de 1992, relativa a la conservación de los hábitats y de la fauna y flora silvestres, normas ambas presididas por una inequívoca vocación proteccionista, que constituyen la piedra angular de la política comunitaria de protección de la biodiversidad.</w:t>
      </w:r>
    </w:p>
    <w:p w:rsidR="0026452D" w:rsidRDefault="0026452D" w:rsidP="0026452D">
      <w:pPr>
        <w:pStyle w:val="TextoNormal"/>
      </w:pPr>
    </w:p>
    <w:p w:rsidR="0026452D" w:rsidRDefault="0026452D" w:rsidP="0026452D">
      <w:pPr>
        <w:pStyle w:val="TextoNormal"/>
      </w:pPr>
      <w:r>
        <w:t>En suma, las medidas de protección de la fauna silvestre, aunque adopten distinto grado de intensidad según se trate de especies comunes o protegidas, son una clara manifestación de la protección del medio ambiente, al estar orientadas a la salvaguarda del interés ecológico, que es manifestación del “interés general y público en la preservación de la riqueza biológica, escasa y fácilmente extinguible” (ATC 56/2010, de 19 de mayo, FJ 4). Por este motivo, deben prevalecer sobre la regulación de la caza y la pesca, actividades que resultan legítimas sólo en la medida en que se desenvuelvan con pleno respeto a las exigencias medioambientales, sin comprometer o poner en riesgo las medidas de conservación de la fauna silvestre, pues “las exigencias de la caza comprenden no sólo el cumplimiento de los requisitos establecidos para el ejercicio de esta actividad, sino también al de su protección, dentro de la que se refiere al medio ambiente y, en particular, a la riqueza venatoria que existe en las fincas” [SSTC 14/1998, de 22 de enero, FJ 9 C), y 109/2003, de 5 de junio, FJ 10].</w:t>
      </w:r>
    </w:p>
    <w:p w:rsidR="0026452D" w:rsidRDefault="0026452D" w:rsidP="0026452D">
      <w:pPr>
        <w:pStyle w:val="TextoNormal"/>
      </w:pPr>
    </w:p>
    <w:p w:rsidR="0026452D" w:rsidRDefault="0026452D" w:rsidP="0026452D">
      <w:pPr>
        <w:pStyle w:val="TextoNormal"/>
      </w:pPr>
      <w:r>
        <w:t>En consecuencia, se desestima la impugnación del art. 62.3 a).</w:t>
      </w:r>
    </w:p>
    <w:p w:rsidR="0026452D" w:rsidRDefault="0026452D" w:rsidP="0026452D">
      <w:pPr>
        <w:pStyle w:val="TextoNormal"/>
      </w:pPr>
    </w:p>
    <w:p w:rsidR="0026452D" w:rsidRDefault="0026452D" w:rsidP="0026452D">
      <w:pPr>
        <w:pStyle w:val="TextoNormal"/>
      </w:pPr>
      <w:r>
        <w:t>c) El art. 62.3 g) dispone que los métodos de captura de predadores autorizados por las Comunidades Autónomas deberán haber sido homologados con base en los criterios de selectividad y bienestar animal fijados por los acuerdos internacionales, añadiendo que la utilización de estos métodos sólo podrá ser autorizada, mediante una acreditación individual otorgada por la Comunidad Autónoma.</w:t>
      </w:r>
    </w:p>
    <w:p w:rsidR="0026452D" w:rsidRDefault="0026452D" w:rsidP="0026452D">
      <w:pPr>
        <w:pStyle w:val="TextoNormal"/>
      </w:pPr>
    </w:p>
    <w:p w:rsidR="0026452D" w:rsidRDefault="0026452D" w:rsidP="0026452D">
      <w:pPr>
        <w:pStyle w:val="TextoNormal"/>
      </w:pPr>
      <w:r>
        <w:lastRenderedPageBreak/>
        <w:t>Las alegaciones de la Comunidad Autónoma recurrente no contienen argumento alguno que permita alcanzar la conclusión de que esta exigencia de homologación no respeta íntegramente la competencia autonómica, limitándose a afirmar que este aspecto excede de lo básico y que la Comunidad Autónoma se halla lógicamente vinculada a los criterios tanto internacionales como comunitarios que afecten a la regulación de dichos métodos de captura, Se obvia con ello que esta vinculación resulta igualmente predicable de la legislación básica estatal en materia de protección del medio ambiente.</w:t>
      </w:r>
    </w:p>
    <w:p w:rsidR="0026452D" w:rsidRDefault="0026452D" w:rsidP="0026452D">
      <w:pPr>
        <w:pStyle w:val="TextoNormal"/>
      </w:pPr>
    </w:p>
    <w:p w:rsidR="0026452D" w:rsidRDefault="0026452D" w:rsidP="0026452D">
      <w:pPr>
        <w:pStyle w:val="TextoNormal"/>
      </w:pPr>
      <w:r>
        <w:t>En todo caso, tanto la exigencia de homologación como la de acreditación individual encajan en la tipología de exigencias de carácter básico que ya admitimos en la STC 102/1995, FJ 28, por estar vinculadas a la función tuitiva de las especies susceptibles de aprehensión.</w:t>
      </w:r>
    </w:p>
    <w:p w:rsidR="0026452D" w:rsidRDefault="0026452D" w:rsidP="0026452D">
      <w:pPr>
        <w:pStyle w:val="TextoNormal"/>
      </w:pPr>
    </w:p>
    <w:p w:rsidR="0026452D" w:rsidRDefault="0026452D" w:rsidP="0026452D">
      <w:pPr>
        <w:pStyle w:val="TextoNormal"/>
      </w:pPr>
      <w:r>
        <w:t>Por otra parte, en cuanto el precepto excluye de la consideración de predador a las especies incluidas en el listado de especies silvestres en régimen de protección especial, no hace sino reiterar la prohibición de cualquier actuación hecha con el propósito de dar muerte, capturar, perseguir o molestar a los ejemplares de las especies incluidas en el Listado, incluidas sus larvas, crías, o huevos, así como la destrucción o deterioro de sus nidos, vivares y áreas de reproducción, invernada o reposo [arts. 54.1 b) y 62.1 de la Ley]. Se trata, como dice el art. 53.1, de especies merecedoras de una atención y protección particular en función de su valor científico, ecológico, cultural, por su singularidad, rareza, o grado de amenaza, lo que justifica su exclusión de la actividad cinegética, como ya determinamos en la STC 102/1995, FFJJ 23, 25 y 26.</w:t>
      </w:r>
    </w:p>
    <w:p w:rsidR="0026452D" w:rsidRDefault="0026452D" w:rsidP="0026452D">
      <w:pPr>
        <w:pStyle w:val="TextoNormal"/>
      </w:pPr>
    </w:p>
    <w:p w:rsidR="0026452D" w:rsidRDefault="0026452D" w:rsidP="0026452D">
      <w:pPr>
        <w:pStyle w:val="TextoNormal"/>
      </w:pPr>
      <w:r>
        <w:t>En consecuencia, se desestima la impugnación del art. 62.3 g).</w:t>
      </w:r>
    </w:p>
    <w:p w:rsidR="0026452D" w:rsidRDefault="0026452D" w:rsidP="0026452D">
      <w:pPr>
        <w:pStyle w:val="TextoNormal"/>
      </w:pPr>
    </w:p>
    <w:p w:rsidR="0026452D" w:rsidRDefault="0026452D" w:rsidP="0026452D">
      <w:pPr>
        <w:pStyle w:val="TextoNormal"/>
      </w:pPr>
      <w:r>
        <w:t>d) El art. 62.3 j) prohíbe la tenencia y el uso de munición que contenga plomo, durante el ejercicio de la caza y el tiro deportivo, en las zonas húmedas ubicadas en espacios naturales protegidos o incluidas en la lista del Convenio relativo a humedales de importancia internacional o en la Red Natura 2000.</w:t>
      </w:r>
    </w:p>
    <w:p w:rsidR="0026452D" w:rsidRDefault="0026452D" w:rsidP="0026452D">
      <w:pPr>
        <w:pStyle w:val="TextoNormal"/>
      </w:pPr>
    </w:p>
    <w:p w:rsidR="0026452D" w:rsidRDefault="0026452D" w:rsidP="0026452D">
      <w:pPr>
        <w:pStyle w:val="TextoNormal"/>
      </w:pPr>
      <w:r>
        <w:t>Tal prohibición reviste las mismas características que nos han llevado a considerar constitucionalmente legítimas las anteriormente examinadas. En efecto, de acuerdo con la Convención relativa a los humedales de importancia internacional, especialmente como hábitat de aves acuáticas (Convención de Ramsar, 1971), los humedales se incluyen en la citada lista en atención a sus funciones ecológicas fundamentales, como reguladores de los regímenes hidrológicos y como hábitat de una flora y fauna características, singularmente de las aves acuáticas, que, por sus hábitos migratorios, tienen la consideración de recurso internacional. La finalidad protectora de estas aves, que justifica la consideración del art. 62.3 j) como norma básica de protección del medio ambiente, se desprende con toda claridad del preámbulo del Real Decreto 581/2001, de 1 de junio, antecedente directo del precepto legal aquí examinado, según el cual “la intoxicación por plomo es responsable de una creciente mortalidad de aves acuáticas, debido a la ingestión por éstas de perdigones procedentes de las actividades de la caza y el tiro deportivo” siendo su impacto “especialmente acusado en las zonas húmedas de nuestro territorio, estimándose que cada año se produce una elevada mortandad de ejemplares por dicha causa, que es especialmente grave en el caso de algunas de las especies afectadas por estar incluidas en el Catálogo Nacional de Especies Amenazadas”.</w:t>
      </w:r>
    </w:p>
    <w:p w:rsidR="0026452D" w:rsidRDefault="0026452D" w:rsidP="0026452D">
      <w:pPr>
        <w:pStyle w:val="TextoNormal"/>
      </w:pPr>
    </w:p>
    <w:p w:rsidR="0026452D" w:rsidRDefault="0026452D" w:rsidP="0026452D">
      <w:pPr>
        <w:pStyle w:val="TextoNormal"/>
      </w:pPr>
      <w:r>
        <w:t>No ofrece dudas por tanto la constitucionalidad del precepto, cuya impugnación queda desestimada.</w:t>
      </w:r>
    </w:p>
    <w:p w:rsidR="0026452D" w:rsidRDefault="0026452D" w:rsidP="0026452D">
      <w:pPr>
        <w:pStyle w:val="TextoNormal"/>
      </w:pPr>
    </w:p>
    <w:p w:rsidR="0026452D" w:rsidRDefault="0026452D" w:rsidP="0026452D">
      <w:pPr>
        <w:pStyle w:val="TextoNormal"/>
      </w:pPr>
      <w:r w:rsidRPr="0026452D">
        <w:rPr>
          <w:rStyle w:val="NumeroAFNegritaCaracter"/>
        </w:rPr>
        <w:t>7</w:t>
      </w:r>
      <w:r>
        <w:t>. Dentro del capítulo que regula la red española de reservas de la biosfera y el programa persona y biosfera (programa MaB [</w:t>
      </w:r>
      <w:r w:rsidRPr="0026452D">
        <w:rPr>
          <w:i/>
        </w:rPr>
        <w:t>Man and Biosphere</w:t>
      </w:r>
      <w:r>
        <w:t>] de la UNESCO), el art. 66.2 atribuye al Comité MaB español la realización de las evaluaciones preceptivas de cada reserva de la biosfera, valorando su adecuación a los objetivos y exigencias establecidas y, en su caso, proponiendo la corrección de los aspectos contradictorios.</w:t>
      </w:r>
    </w:p>
    <w:p w:rsidR="0026452D" w:rsidRDefault="0026452D" w:rsidP="0026452D">
      <w:pPr>
        <w:pStyle w:val="TextoNormal"/>
      </w:pPr>
    </w:p>
    <w:p w:rsidR="0026452D" w:rsidRDefault="0026452D" w:rsidP="0026452D">
      <w:pPr>
        <w:pStyle w:val="TextoNormal"/>
      </w:pPr>
      <w:r>
        <w:t>Este órgano tiene carácter asesor y científico, y cuenta, entre otros vocales, con un representante de cada una de las Comunidades Autónomas en cuyo territorio estén declaradas por la UNESCO reservas de la biosfera [art. 4 c) 2 del Real Decreto 342/2007, de 9 de marzo, por el que se regula el desarrollo de las funciones del programa MaB, así como el comité español del citado programa, en el organismo autónomo Parques Nacionales]. El Comité MaB español participa así de la naturaleza de mecanismo de cooperación y coordinación de las Administraciones competentes que, como ya dijimos en la STC 101/2005, resulta conveniente para favorecer el ejercicio de las competencias sectoriales implicadas por la afectación transversal que es consustancial a la legislación básica de protección del medio ambiente.</w:t>
      </w:r>
    </w:p>
    <w:p w:rsidR="0026452D" w:rsidRDefault="0026452D" w:rsidP="0026452D">
      <w:pPr>
        <w:pStyle w:val="TextoNormal"/>
      </w:pPr>
    </w:p>
    <w:p w:rsidR="0026452D" w:rsidRDefault="0026452D" w:rsidP="0026452D">
      <w:pPr>
        <w:pStyle w:val="TextoNormal"/>
      </w:pPr>
      <w:r>
        <w:t>El mismo Real Decreto precisa que las evaluaciones controvertidas se llevan a cabo por el consejo científico del Comité MaB, órgano científico de asesoramiento (art. 7.1 b), a partir de los criterios de evaluación propuestos por el consejo de gestores de reservas de la biosfera, órgano técnico de asesoramiento compuesto por representantes designados por los órganos responsables de la gestión de cada una de dichas reservas (art. 6, apartados 1 a) y d).</w:t>
      </w:r>
    </w:p>
    <w:p w:rsidR="0026452D" w:rsidRDefault="0026452D" w:rsidP="0026452D">
      <w:pPr>
        <w:pStyle w:val="TextoNormal"/>
      </w:pPr>
    </w:p>
    <w:p w:rsidR="0026452D" w:rsidRDefault="0026452D" w:rsidP="0026452D">
      <w:pPr>
        <w:pStyle w:val="TextoNormal"/>
      </w:pPr>
      <w:r>
        <w:t xml:space="preserve">De lo anterior se desprende que la evaluación a la que alude el precepto impugnado constituye, sustancialmente, un mecanismo de “revisión por pares” (o </w:t>
      </w:r>
      <w:r w:rsidRPr="0026452D">
        <w:rPr>
          <w:i/>
        </w:rPr>
        <w:t>peer review</w:t>
      </w:r>
      <w:r>
        <w:t>), característico de la existencia de la red de reservas de la biosfera españolas, que a su vez constituye un subconjunto de la red mundial (art. 65 de la Ley). El modelo diseñado para realizar las evaluaciones en el seno del Comité MaB se justifica, por tanto, en la facultad de coordinación que corresponde al Estado, que pone a disposición de los citados órganos, en cuya designación intervienen las Comunidades Autónomas, tanto la estructura organizativa como los medios necesarios para que la evaluación se realice con las garantías de rigor técnico, objetividad y comparabilidad que faciliten el cumplimiento de los estándares del programa, definidos por la UNESCO, “asegurando un adecuado equilibrio entre el respeto de las autonomías territoriales y la necesidad de evitar que éstas conduzcan a separaciones o compartimentaciones que desconozcan la propia unidad del sistema” (STC 329/1993, de 12 de noviembre, FJ 4). Dicha función de coordinación no es excluyente de las funciones que corresponden al propio órgano de gestión de cada reserva de la biosfera, que como dispone el art. 67 c) de la misma ley, es “responsable del desarrollo de las estrategias, líneas de acción y programas”, lo cual implica necesariamente “valorar el grado de cumplimiento de los objetivos del Programa MaB” [art. 67 b)].</w:t>
      </w:r>
    </w:p>
    <w:p w:rsidR="0026452D" w:rsidRDefault="0026452D" w:rsidP="0026452D">
      <w:pPr>
        <w:pStyle w:val="TextoNormal"/>
      </w:pPr>
    </w:p>
    <w:p w:rsidR="0026452D" w:rsidRDefault="0026452D" w:rsidP="0026452D">
      <w:pPr>
        <w:pStyle w:val="TextoNormal"/>
      </w:pPr>
      <w:r>
        <w:t xml:space="preserve">Así interpretado, el precepto examinado no resulta inconstitucional, si bien procede advertir que tal interpretación de conformidad se llevará al fallo, por cuanto la misma deriva </w:t>
      </w:r>
      <w:r>
        <w:lastRenderedPageBreak/>
        <w:t>en buena medida del desarrollo contenido en la disposición reglamentaria a la que se ha hecho referencia.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 y declarar que el art. 66.2 de la Ley 42/2007, de 13 de diciembre, del Patrimonio Natural y la Biodiversidad, no es inconstitucional, siempre que se entienda en los términos establecidos en el fundamento jurídico 7.</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73" w:name="SENTENCIA_2013_70"/>
      <w:r>
        <w:lastRenderedPageBreak/>
        <w:t>SENTENCIA 70/2013, de 14 de marzo de 2013</w:t>
      </w:r>
    </w:p>
    <w:bookmarkEnd w:id="73"/>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86, de 10 de abril de 2013)</w:t>
      </w:r>
    </w:p>
    <w:p w:rsidR="0026452D" w:rsidRDefault="0026452D" w:rsidP="0026452D">
      <w:pPr>
        <w:pStyle w:val="TtuloBOE"/>
      </w:pPr>
    </w:p>
    <w:p w:rsidR="0026452D" w:rsidRDefault="0026452D" w:rsidP="0026452D">
      <w:pPr>
        <w:pStyle w:val="SntesisDescriptiva"/>
      </w:pPr>
      <w:r>
        <w:t>ECLI:ES:TC:2013:70</w:t>
      </w:r>
    </w:p>
    <w:p w:rsidR="0026452D" w:rsidRDefault="0026452D" w:rsidP="0026452D">
      <w:pPr>
        <w:pStyle w:val="SntesisDescriptiva"/>
      </w:pPr>
    </w:p>
    <w:p w:rsidR="0026452D" w:rsidRDefault="0026452D" w:rsidP="0026452D">
      <w:pPr>
        <w:pStyle w:val="SntesisDescriptiva"/>
      </w:pPr>
      <w:r>
        <w:t>Conflicto positivo de competencia 5582-2012 . Planteado por el Gobierno de la Generalitat de Cataluña respecto de la Orden SIS/1199/2012, de 4 de junio, por la que se establecen las bases reguladoras y se convoca la concesión de subvenciones para la realización de programas de cooperación y voluntariado sociales con cargo a la asignación tributaria del impuesto sobre la renta de las personas físicas.</w:t>
      </w:r>
    </w:p>
    <w:p w:rsidR="0026452D" w:rsidRDefault="0026452D" w:rsidP="0026452D">
      <w:pPr>
        <w:pStyle w:val="SntesisDescriptiva"/>
      </w:pPr>
    </w:p>
    <w:p w:rsidR="0026452D" w:rsidRDefault="0026452D" w:rsidP="0026452D">
      <w:pPr>
        <w:pStyle w:val="SntesisAnaltica"/>
      </w:pPr>
      <w:r>
        <w:t>Competencias sobre condiciones básicas de igualdad y asistencia social: preceptos reglamentarios estatales que vulneran las competencias autonómicas de gestión de las subvenciones (STC 21/2013).</w:t>
      </w:r>
    </w:p>
    <w:p w:rsidR="0026452D" w:rsidRDefault="0026452D" w:rsidP="0026452D">
      <w:pPr>
        <w:pStyle w:val="SntesisAnaltica"/>
      </w:pPr>
    </w:p>
    <w:p w:rsidR="0026452D" w:rsidRDefault="0026452D" w:rsidP="0026452D">
      <w:pPr>
        <w:pStyle w:val="Extracto"/>
      </w:pPr>
      <w:r>
        <w:t>1.</w:t>
      </w:r>
      <w:r>
        <w:tab/>
        <w:t>El contenido de la orden objeto del presente conflicto de competencia es coincidente, al tratarse de la misma convocatoria de subvenciones en materia de asistencia social en un ejercicio posterior, con el de la orden que enjuiciamos en la STC 21/2013 [FJ 2].</w:t>
      </w:r>
    </w:p>
    <w:p w:rsidR="0026452D" w:rsidRDefault="0026452D" w:rsidP="0026452D">
      <w:pPr>
        <w:pStyle w:val="Extracto"/>
      </w:pPr>
    </w:p>
    <w:p w:rsidR="0026452D" w:rsidRDefault="0026452D" w:rsidP="0026452D">
      <w:pPr>
        <w:pStyle w:val="Extracto"/>
      </w:pPr>
      <w:r>
        <w:t>2.</w:t>
      </w:r>
      <w:r>
        <w:tab/>
        <w:t xml:space="preserve">Las subvenciones controvertidas, dirigidas a la realización de programas de cooperación y voluntariado sociales con cargo a la asignación tributaria del impuesto sobre la renta de las personas físicas, se deben encuadrar en materia de asistencia social, </w:t>
      </w:r>
      <w:r w:rsidRPr="0026452D">
        <w:rPr>
          <w:i/>
        </w:rPr>
        <w:t>ex</w:t>
      </w:r>
      <w:r>
        <w:t xml:space="preserve"> art. 148.1.20 CE, correspondiendo a la Comunidad Autónoma la competencia exclusiva en la materia (SSTC 36/2012, 21/2013) [FJ 3].</w:t>
      </w:r>
    </w:p>
    <w:p w:rsidR="0026452D" w:rsidRDefault="0026452D" w:rsidP="0026452D">
      <w:pPr>
        <w:pStyle w:val="Extracto"/>
      </w:pPr>
    </w:p>
    <w:p w:rsidR="0026452D" w:rsidRDefault="0026452D" w:rsidP="0026452D">
      <w:pPr>
        <w:pStyle w:val="Extracto"/>
      </w:pPr>
      <w:r>
        <w:t>3.</w:t>
      </w:r>
      <w:r>
        <w:tab/>
        <w:t>Debemos rechazar que las ayudas controvertidas, para el desarrollo de programas de cooperación y voluntariado sociales, puedan tener su fundamento en el título recogido en el art. 149.1.1 CE, pues ni por su objeto ni por su contenido cabe apreciar una conexión directa con la regulación de las condiciones básicas que garanticen la igualdad de todos los españoles en el ejercicio de los derechos y en el cumplimiento de los deberes constitucionales, sin que pueda operar dicho precepto como una especie de título horizontal, capaz de introducirse en cualquier materia o sector del ordenamiento (SSTC 239/2002, 40/2013) [FJ 4 a)].</w:t>
      </w:r>
    </w:p>
    <w:p w:rsidR="0026452D" w:rsidRDefault="0026452D" w:rsidP="0026452D">
      <w:pPr>
        <w:pStyle w:val="Extracto"/>
      </w:pPr>
    </w:p>
    <w:p w:rsidR="0026452D" w:rsidRDefault="0026452D" w:rsidP="0026452D">
      <w:pPr>
        <w:pStyle w:val="Extracto"/>
      </w:pPr>
      <w:r>
        <w:t>4.</w:t>
      </w:r>
      <w:r>
        <w:tab/>
        <w:t xml:space="preserve">Debemos descartar que las ayudas objeto de conflicto, para el desarrollo de programas de cooperación y voluntariado sociales, se puedan fundamentar en la competencia sobre las bases y coordinación de la planificación general de la actividad económica, </w:t>
      </w:r>
      <w:r w:rsidRPr="0026452D">
        <w:rPr>
          <w:i/>
        </w:rPr>
        <w:t>ex</w:t>
      </w:r>
      <w:r>
        <w:t xml:space="preserve"> art. 149.1.13 CE, pues dichas medidas no tienen una incidencia directa y significativa sobre la actividad económica general, debiendo el Estado, si estima que lo requiere el interés general, desenvolver su actividad respetando las competencias de las Comunidades Autónomas (STC 243/2012) [FJ 5].</w:t>
      </w:r>
    </w:p>
    <w:p w:rsidR="0026452D" w:rsidRDefault="0026452D" w:rsidP="0026452D">
      <w:pPr>
        <w:pStyle w:val="Extracto"/>
      </w:pPr>
    </w:p>
    <w:p w:rsidR="0026452D" w:rsidRDefault="0026452D" w:rsidP="0026452D">
      <w:pPr>
        <w:pStyle w:val="Extracto"/>
      </w:pPr>
      <w:r>
        <w:t>5.</w:t>
      </w:r>
      <w:r>
        <w:tab/>
        <w:t>Doctrina sobre el alcance del título competencial ‘bases y coordinación de la planificación general de la actividad económica’ del art. 149.1.13 CE (SSTC 21/1999, 243/2012) [FJ 4 b)].</w:t>
      </w:r>
    </w:p>
    <w:p w:rsidR="0026452D" w:rsidRDefault="0026452D" w:rsidP="0026452D">
      <w:pPr>
        <w:pStyle w:val="Extracto"/>
      </w:pPr>
    </w:p>
    <w:p w:rsidR="0026452D" w:rsidRDefault="0026452D" w:rsidP="0026452D">
      <w:pPr>
        <w:pStyle w:val="Extracto"/>
      </w:pPr>
      <w:r>
        <w:t>6.</w:t>
      </w:r>
      <w:r>
        <w:tab/>
        <w:t>Puesto que la Comunidad Autónoma ostenta competencia exclusiva sobre asistencia social y el Estado no ha invocado título competencial suficiente –genérico o específico– sobre la misma, la intervención estatal debe limitarse a asignar parte de sus fondos presupuestarios a esta materia de manera genérica o global, integrando estos fondos como un recurso que nutre la Hacienda autonómica, de manera que su asignación quede territorializada, a ser posible, en los mismos Presupuestos Generales del Estado (STC 13/1992) [FJ 6].</w:t>
      </w:r>
    </w:p>
    <w:p w:rsidR="0026452D" w:rsidRDefault="0026452D" w:rsidP="0026452D">
      <w:pPr>
        <w:pStyle w:val="Extracto"/>
      </w:pPr>
    </w:p>
    <w:p w:rsidR="0026452D" w:rsidRDefault="0026452D" w:rsidP="0026452D">
      <w:pPr>
        <w:pStyle w:val="Extracto"/>
      </w:pPr>
      <w:r>
        <w:t>7.</w:t>
      </w:r>
      <w:r>
        <w:tab/>
        <w:t>Tratándose de ayudas en materia de asistencia social, al Estado le corresponde la regulación de los aspectos centrales del régimen subvencional –objeto y finalidad, modalidad técnica, beneficiarios y requisitos generales de acceso–, mientras que a las Comunidades Autónomas les corresponde lo atinente a su gestión –tramitación, resolución y pago, así como la regulación del procedimiento correspondiente a estos aspectos– (SSTC 178/2011, 40/2013) [FJ 6].</w:t>
      </w:r>
    </w:p>
    <w:p w:rsidR="0026452D" w:rsidRDefault="0026452D" w:rsidP="0026452D">
      <w:pPr>
        <w:pStyle w:val="Extracto"/>
      </w:pPr>
    </w:p>
    <w:p w:rsidR="0026452D" w:rsidRDefault="0026452D" w:rsidP="0026452D">
      <w:pPr>
        <w:pStyle w:val="Extracto"/>
      </w:pPr>
      <w:r>
        <w:t>8.</w:t>
      </w:r>
      <w:r>
        <w:tab/>
        <w:t>Atendiendo a las pautas de algunos instrumentos internacionales, como la Carta social europea, la asistencia social, en sentido abstracto, abarca a una técnica de protección situada extramuros del sistema de la Seguridad Social, con caracteres propios, tratándose de un mecanismo protector de situaciones de necesidad específicas, sentidas por grupos de población a los que no alcanza el sistema de Seguridad Social y que opera mediante técnicas distintas de las propias de ésta (SSTC 36/2012, 21/2013) [FJ 3].</w:t>
      </w:r>
    </w:p>
    <w:p w:rsidR="0026452D" w:rsidRDefault="0026452D" w:rsidP="0026452D">
      <w:pPr>
        <w:pStyle w:val="Extracto"/>
      </w:pPr>
    </w:p>
    <w:p w:rsidR="0026452D" w:rsidRDefault="0026452D" w:rsidP="0026452D">
      <w:pPr>
        <w:pStyle w:val="Extracto"/>
      </w:pPr>
      <w:r>
        <w:t>9.</w:t>
      </w:r>
      <w:r>
        <w:tab/>
        <w:t>El Estado tiene la capacidad para poner su poder de gasto al servicio de una política de asistencia social, en el ejercicio soberano de la función legislativa presupuestaria, sin perjuicio de que corresponda a la Comunidad Autónoma la competencia exclusiva en materia de asistencia social (STC 13/1992) [FJ 5].</w:t>
      </w:r>
    </w:p>
    <w:p w:rsidR="0026452D" w:rsidRDefault="0026452D" w:rsidP="0026452D">
      <w:pPr>
        <w:pStyle w:val="Extracto"/>
      </w:pPr>
    </w:p>
    <w:p w:rsidR="0026452D" w:rsidRDefault="0026452D" w:rsidP="0026452D">
      <w:pPr>
        <w:pStyle w:val="Extracto"/>
      </w:pPr>
      <w:r>
        <w:t>10.</w:t>
      </w:r>
      <w:r>
        <w:tab/>
        <w:t>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(STC 138/2009) [FJ 2].</w:t>
      </w:r>
    </w:p>
    <w:p w:rsidR="0026452D" w:rsidRDefault="0026452D" w:rsidP="0026452D">
      <w:pPr>
        <w:pStyle w:val="Extracto"/>
      </w:pPr>
    </w:p>
    <w:p w:rsidR="0026452D" w:rsidRDefault="0026452D" w:rsidP="0026452D">
      <w:pPr>
        <w:pStyle w:val="Extracto"/>
      </w:pPr>
      <w:r>
        <w:t>11.</w:t>
      </w:r>
      <w:r>
        <w:tab/>
        <w:t>El enunciado de la competencia autonómica como exclusiva no enerva las diferentes competencias del Estado que puedan estar implicadas, sea cuando éstas concurran con las autonómicas sobre el mismo espacio físico o sea sobre el mismo objeto jurídico, no siendo precisa una expresa salvaguarda de las competencias constitucionalmente reservadas al Estado por el art. 149.1 CE, puesto que constituyen límites infranqueables a los enunciados estatutarios (STC 31/2010) [FJ 3].</w:t>
      </w:r>
    </w:p>
    <w:p w:rsidR="0026452D" w:rsidRDefault="0026452D" w:rsidP="0026452D">
      <w:pPr>
        <w:pStyle w:val="Extracto"/>
      </w:pPr>
    </w:p>
    <w:p w:rsidR="0026452D" w:rsidRDefault="0026452D" w:rsidP="0026452D">
      <w:pPr>
        <w:pStyle w:val="Extracto"/>
      </w:pPr>
      <w:r>
        <w:t>12.</w:t>
      </w:r>
      <w:r>
        <w:tab/>
        <w:t xml:space="preserve">La necesidad de conservar la eficacia jurídica de aquellos actos cuya lesión puede afectar a legítimos derechos de terceros generados en su día por la presunción de legalidad de los mismos conduce, en este caso, </w:t>
      </w:r>
      <w:r w:rsidRPr="0026452D">
        <w:rPr>
          <w:i/>
        </w:rPr>
        <w:t>ex</w:t>
      </w:r>
      <w:r>
        <w:t xml:space="preserve"> art. 66 LOTC, a que la declaración de infracción competencial no implique la de aquellas resoluciones que han concedido o denegado las ayudas cuestionadas ya dictadas y notificadas (STC 173/2012) [FJ 8].</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5582-2012 promovido por el Letrado de la Generalitat de Cataluña, en representación de su Gobierno, contra la Orden SSI/1199/2012, de 4 de junio, por la que se establecen las bases reguladoras y se convoca la concesión de subvenciones para la realización de programas de cooperación y voluntariado sociales con cargo a la asignación tributaria del impuesto sobre la renta de las personas físicas. Ha intervenido y formulado alegaciones el Abogado del Estado en la representación que legalmente ostenta. Ha sido Ponente el Magistrado don Fernando Valdés Dal-Ré,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con fecha 4 de octubre de 2012 el Letrado de la Generalitat de Cataluña, en representación de su Gobierno, formalizó ante el Tribunal conflicto positivo de competencia contra la Orden SSI/1199/2012, de 4 de junio, por la que se establecen las bases reguladoras y se convoca la concesión de subvenciones para la realización de programas de cooperación y voluntariado sociales con cargo a la asignación tributaria del impuesto sobre la renta de las personas físicas. Los términos del conflicto, según resulta del escrito de interposición y de la documentación adjunta, se exponen a continuación.</w:t>
      </w:r>
    </w:p>
    <w:p w:rsidR="0026452D" w:rsidRDefault="0026452D" w:rsidP="0026452D">
      <w:pPr>
        <w:pStyle w:val="TextoNormal"/>
      </w:pPr>
    </w:p>
    <w:p w:rsidR="0026452D" w:rsidRDefault="0026452D" w:rsidP="0026452D">
      <w:pPr>
        <w:pStyle w:val="TextoNormal"/>
      </w:pPr>
      <w:r>
        <w:t>a) Comienza la representación de la Generalitat aludiendo al requerimiento de incompetencia que el Consejo Ejecutivo de la Generalitat dirigió al Gobierno de la Nación en relación con la orden impugnada en el que se solicitaba su derogación por invasión de la competencia exclusiva autonómica en materia de asistencia social, o subsidiariamente, la modificación de su redacción. Requerimiento que fue rechazado por acuerdo del Consejo de Ministros de 31 de agosto de 2012.</w:t>
      </w:r>
    </w:p>
    <w:p w:rsidR="0026452D" w:rsidRDefault="0026452D" w:rsidP="0026452D">
      <w:pPr>
        <w:pStyle w:val="TextoNormal"/>
      </w:pPr>
    </w:p>
    <w:p w:rsidR="0026452D" w:rsidRDefault="0026452D" w:rsidP="0026452D">
      <w:pPr>
        <w:pStyle w:val="TextoNormal"/>
      </w:pPr>
      <w:r>
        <w:t xml:space="preserve">A continuación, prosigue el escrito de la representación de la Generalitat señalando que su Gobierno ha planteado otros conflictos positivos de competencias en materia de subvenciones para fines de asistencia social, el último hace ya tres años que se planteó contra una </w:t>
      </w:r>
      <w:r>
        <w:lastRenderedPageBreak/>
        <w:t>orden, la Orden SAS/1352/2009, de 4 de junio, cuyo contenido es prácticamente el mismo que el de la orden impugnada en el presente conflicto.</w:t>
      </w:r>
    </w:p>
    <w:p w:rsidR="0026452D" w:rsidRDefault="0026452D" w:rsidP="0026452D">
      <w:pPr>
        <w:pStyle w:val="TextoNormal"/>
      </w:pPr>
    </w:p>
    <w:p w:rsidR="0026452D" w:rsidRDefault="0026452D" w:rsidP="0026452D">
      <w:pPr>
        <w:pStyle w:val="TextoNormal"/>
      </w:pPr>
      <w:r>
        <w:t>Destaca a continuación el escrito de planteamiento del conflicto que el contenido del mismo coincide con aquel e igualmente subraya que el Tribunal Constitucional ha resuelto recientemente diversos conflictos relativos a controversias en gran parte coincidentes con la que se plantea en el presente conflicto, más concretamente se refiere a las SSTC 178/2011, de 8 de noviembre y 36/2012, de 15 de marzo.</w:t>
      </w:r>
    </w:p>
    <w:p w:rsidR="0026452D" w:rsidRDefault="0026452D" w:rsidP="0026452D">
      <w:pPr>
        <w:pStyle w:val="TextoNormal"/>
      </w:pPr>
    </w:p>
    <w:p w:rsidR="0026452D" w:rsidRDefault="0026452D" w:rsidP="0026452D">
      <w:pPr>
        <w:pStyle w:val="TextoNormal"/>
      </w:pPr>
      <w:r>
        <w:t>Tras reproducir la doctrina establecida en aquellas sentencias denuncia que la misma no se ha respetado, y tan sólo seis meses después de dictada la STC 178/2011, el Estado ha vuelto a incurrir con la orden objeto del presente conflicto en la misma vulneración del orden competencial.</w:t>
      </w:r>
    </w:p>
    <w:p w:rsidR="0026452D" w:rsidRDefault="0026452D" w:rsidP="0026452D">
      <w:pPr>
        <w:pStyle w:val="TextoNormal"/>
      </w:pPr>
    </w:p>
    <w:p w:rsidR="0026452D" w:rsidRDefault="0026452D" w:rsidP="0026452D">
      <w:pPr>
        <w:pStyle w:val="TextoNormal"/>
      </w:pPr>
      <w:r>
        <w:t>b) Señalado lo anterior, examina el escrito de la representante de la Generalitat el marco competencial del conflicto planteado. Tras referirse a las competencias de la Generalitat sobre servicios sociales, y referirse al encuadramiento competencial que se hizo por el Tribunal Constitucional en la STC 178/2011, considera que la discrepancia no está en la materia competencial, sino en el alcance del título estatutario sobre servicios sociales y en la eventual aplicación del título contenido en el art. 149.1.1 CE como habilitante de la gestión de las subvenciones por la Administración del Estado.</w:t>
      </w:r>
    </w:p>
    <w:p w:rsidR="0026452D" w:rsidRDefault="0026452D" w:rsidP="0026452D">
      <w:pPr>
        <w:pStyle w:val="TextoNormal"/>
      </w:pPr>
    </w:p>
    <w:p w:rsidR="0026452D" w:rsidRDefault="0026452D" w:rsidP="0026452D">
      <w:pPr>
        <w:pStyle w:val="TextoNormal"/>
      </w:pPr>
      <w:r>
        <w:t>c) A continuación procede el representante del Gobierno de la Generalitat a analizar el amparo constitucional que el Gobierno de la Nación pretende para la Orden SSI/1199/2012, de 4 de junio.</w:t>
      </w:r>
    </w:p>
    <w:p w:rsidR="0026452D" w:rsidRDefault="0026452D" w:rsidP="0026452D">
      <w:pPr>
        <w:pStyle w:val="TextoNormal"/>
      </w:pPr>
    </w:p>
    <w:p w:rsidR="0026452D" w:rsidRDefault="0026452D" w:rsidP="0026452D">
      <w:pPr>
        <w:pStyle w:val="TextoNormal"/>
      </w:pPr>
      <w:r>
        <w:t>Para ello, examina la propia Orden SSI/1199/2012, de 4 de junio, cuyo preámbulo, tras invocar el art. 149.1.1 CE, afirma que la finalidad perseguida por la Administración General del Estado con las subvenciones reguladas en la orden es la consecución de la igualdad de los ciudadanos en las políticas sociales, promoviendo las condiciones y removiendo los obstáculos, tal y como indican los artículos 1.1 y 9.2 de la Constitución Española, para que dicha igualdad sea efectiva. El preámbulo se refiere al carácter imprescindible de una gestión centralizada de las ayudas por el Estado aduciendo una serie de motivos como el encontrarse el Estado en mejor disposición, por las competencias que tiene constitucionalmente atribuidas, como garante de la igualdad en el ámbito de las políticas sociales o el de la necesidad de garantizar la igualdad de los posibles destinatarios en todo el territorio nacional; asimismo se aduce que las actuaciones reguladas en la orden se encuentran relacionadas con la consecución del interés general de la Nación y con la consecución de intereses de carácter supracomunitario que queda confiada a los órganos generales del Estado.</w:t>
      </w:r>
    </w:p>
    <w:p w:rsidR="0026452D" w:rsidRDefault="0026452D" w:rsidP="0026452D">
      <w:pPr>
        <w:pStyle w:val="TextoNormal"/>
      </w:pPr>
    </w:p>
    <w:p w:rsidR="0026452D" w:rsidRDefault="0026452D" w:rsidP="0026452D">
      <w:pPr>
        <w:pStyle w:val="TextoNormal"/>
      </w:pPr>
      <w:r>
        <w:t xml:space="preserve">d) Para la representación de la Generalitat ninguna de las justificaciones aducidas en la orden objeto de conflicto puede amparar, sin embargo, la actuación estatal invasiva de las competencias de la Generalitat. Se destaca en primer lugar la improcedencia de utilizar el art. 149.1.1 CE como cobertura de la orden objeto de conflicto. Se cita la STC 61/1997 que estableció que la regulación estatal de los derechos constitucionales sólo puede afectar al contenido primario del derecho entendido como la posición jurídica fundamental de los ciudadanos y ha de ser la imprescindible o necesaria para garantizar esa igualdad en lo esencial, </w:t>
      </w:r>
      <w:r>
        <w:lastRenderedPageBreak/>
        <w:t>que no puede consistir en una igualdad formal absoluta. Además, se destaca que la regulación a que se refiere el art. 149.1.1 CE no puede recaer sobre cualquier tipo de materia.</w:t>
      </w:r>
    </w:p>
    <w:p w:rsidR="0026452D" w:rsidRDefault="0026452D" w:rsidP="0026452D">
      <w:pPr>
        <w:pStyle w:val="TextoNormal"/>
      </w:pPr>
    </w:p>
    <w:p w:rsidR="0026452D" w:rsidRDefault="0026452D" w:rsidP="0026452D">
      <w:pPr>
        <w:pStyle w:val="TextoNormal"/>
      </w:pPr>
      <w:r>
        <w:t>Para el representante del Gobierno de la Generalitat, en el caso de la orden objeto de conflicto, los sujetos beneficiarios no son directamente los ciudadanos sino las organizaciones gubernamentales sin fines de lucro que soliciten las ayudas en régimen de concurrencia competitiva entre ellas. De acuerdo con el escrito del representante del Gobierno de la Generalitat, la actuación estatal que garantiza la igualdad de todos los españoles en materia de derechos sociales se debe vehicular a través del sistema público de Seguridad Social para todos los ciudadanos, así como del sistema para la autonomía y atención a la dependencia. Argumenta, igualmente, que el título del art. 149.1.1 CE se refiere a la regulación de las condiciones básicas y “regular” tiene un carácter eminentemente normativo y no ejecutivo.</w:t>
      </w:r>
    </w:p>
    <w:p w:rsidR="0026452D" w:rsidRDefault="0026452D" w:rsidP="0026452D">
      <w:pPr>
        <w:pStyle w:val="TextoNormal"/>
      </w:pPr>
    </w:p>
    <w:p w:rsidR="0026452D" w:rsidRDefault="0026452D" w:rsidP="0026452D">
      <w:pPr>
        <w:pStyle w:val="TextoNormal"/>
      </w:pPr>
      <w:r>
        <w:t>Prosigue el escrito de la representación de la Generalitat de Cataluña rechazando que la supraterritorialidad sea un título competencial y reproduce la doctrina establecida en la STC 178/2011, así como en otras citadas, que reiteran que el carácter supraterritorial de una actuación no significa su atribución competencial a favor del Estado. En consecuencia el ámbito estatal de las actuaciones no puede servir para sustraer a las Comunidades Autónomas una competencia que constitucionalmente les corresponde. En este caso, cabe perfectamente proceder, según el escrito de la representación de la Generalitat, al fraccionamiento de las ayudas y a establecer los oportunos mecanismos de coordinación.</w:t>
      </w:r>
    </w:p>
    <w:p w:rsidR="0026452D" w:rsidRDefault="0026452D" w:rsidP="0026452D">
      <w:pPr>
        <w:pStyle w:val="TextoNormal"/>
      </w:pPr>
    </w:p>
    <w:p w:rsidR="0026452D" w:rsidRDefault="0026452D" w:rsidP="0026452D">
      <w:pPr>
        <w:pStyle w:val="TextoNormal"/>
      </w:pPr>
      <w:r>
        <w:t>Continua el escrito de la representación de la Generalitat rechazando que el interés general sea un título competencial, pues el Tribunal ha entendido reiteradamente que el interés general ha de servirse “a través de” y no “a pesar del” sistema de reparto competencial, y destacando que la cita de la STC 46/2007 que se realiza en el preámbulo de la orden impugnada resulta improcedente.</w:t>
      </w:r>
    </w:p>
    <w:p w:rsidR="0026452D" w:rsidRDefault="0026452D" w:rsidP="0026452D">
      <w:pPr>
        <w:pStyle w:val="TextoNormal"/>
      </w:pPr>
    </w:p>
    <w:p w:rsidR="0026452D" w:rsidRDefault="0026452D" w:rsidP="0026452D">
      <w:pPr>
        <w:pStyle w:val="TextoNormal"/>
      </w:pPr>
      <w:r>
        <w:t>e) A continuación se refiere el escrito de la representación de la Generalitat a la jurisprudencia constitucional en materia de servicios sociales recogida en las SSTC 178/2011 y 36/2012, que reconducen la intervención del Estado en la misma al sistema del primer supuesto previsto en la STC 13/1992, FJ 8 a). Igualmente reproduce la doctrina relativa a la excepcional centralización de la gestión administrativa de las ayudas que como regla general ha de corresponder a las Comunidades Autónomas, recogida en el fundamento jurídico 7 de la STC 89/2012, y que supone la necesidad de acudir a mecanismos de colaboración en los casos en que exista un alcance territorial superior al autonómico. En definitiva, la representación de la Generalitat considera que la aplicación de los criterios jurisprudenciales enunciados en su escrito debe conducir nuevamente a declarar la inadecuación al orden competencial de la disposición objeto de conflicto.</w:t>
      </w:r>
    </w:p>
    <w:p w:rsidR="0026452D" w:rsidRDefault="0026452D" w:rsidP="0026452D">
      <w:pPr>
        <w:pStyle w:val="TextoNormal"/>
      </w:pPr>
    </w:p>
    <w:p w:rsidR="0026452D" w:rsidRDefault="0026452D" w:rsidP="0026452D">
      <w:pPr>
        <w:pStyle w:val="TextoNormal"/>
      </w:pPr>
      <w:r>
        <w:t>f) Realiza finalmente el escrito de la representación de la Generalitat una consideración singular sobre los preceptos contenidos en la orden objeto de conflicto.</w:t>
      </w:r>
    </w:p>
    <w:p w:rsidR="0026452D" w:rsidRDefault="0026452D" w:rsidP="0026452D">
      <w:pPr>
        <w:pStyle w:val="TextoNormal"/>
      </w:pPr>
    </w:p>
    <w:p w:rsidR="0026452D" w:rsidRDefault="0026452D" w:rsidP="0026452D">
      <w:pPr>
        <w:pStyle w:val="TextoNormal"/>
      </w:pPr>
      <w:r>
        <w:t xml:space="preserve">Se impugna el art. 1 —precepto, relativo al ámbito de aplicación y objeto, y que anuncia que en la orden se establecen las bases reguladoras de las subvenciones y, además, convoca la concesión de subvenciones en régimen de concurrencia competitiva para el año 2012— en cuanto que la convocatoria de las subvenciones es una competencia de carácter ejecutivo </w:t>
      </w:r>
      <w:r>
        <w:lastRenderedPageBreak/>
        <w:t>y, por consiguiente, debe incluirse en las facultades de ejecución que pertenecen a la Generalitat en materia de servicios sociales (art. 166 del Estatuto de Autonomía de Cataluña). Su realización por el Ministerio, por tanto, vulnera el orden competencial.</w:t>
      </w:r>
    </w:p>
    <w:p w:rsidR="0026452D" w:rsidRDefault="0026452D" w:rsidP="0026452D">
      <w:pPr>
        <w:pStyle w:val="TextoNormal"/>
      </w:pPr>
    </w:p>
    <w:p w:rsidR="0026452D" w:rsidRDefault="0026452D" w:rsidP="0026452D">
      <w:pPr>
        <w:pStyle w:val="TextoNormal"/>
      </w:pPr>
      <w:r>
        <w:t>Nada se objeta al apartado 2 en cuanto recoge de manera genérica las finalidades de las ayudas. Tampoco es objeto de impugnación el que las ayudas deban otorgarse en régimen de concurrencia competitiva, al constituir éste un criterio básico de general aplicación a las subvenciones.</w:t>
      </w:r>
    </w:p>
    <w:p w:rsidR="0026452D" w:rsidRDefault="0026452D" w:rsidP="0026452D">
      <w:pPr>
        <w:pStyle w:val="TextoNormal"/>
      </w:pPr>
    </w:p>
    <w:p w:rsidR="0026452D" w:rsidRDefault="0026452D" w:rsidP="0026452D">
      <w:pPr>
        <w:pStyle w:val="TextoNormal"/>
      </w:pPr>
      <w:r>
        <w:t>Se impugna el art. 2 que, al formular una lista exhaustiva de los programas para la atención de necesidades sociales de interés general que se consideran de carácter prioritario, concreta de manera vinculante los objetivos de la convocatoria, cosa que hace sin prever ni dejar margen a la actuación autonómica. Ello se hace más evidente, si cabe, en el anexo A al que se remite, donde se definen con mayor detalle los programas y requisitos exigibles. De ese modo, de acuerdo con el escrito de la representación de la Generalitat, tanto el art. 2 como el anexo A, vulneran el orden competencial e invaden la competencia de la Generalitat.</w:t>
      </w:r>
    </w:p>
    <w:p w:rsidR="0026452D" w:rsidRDefault="0026452D" w:rsidP="0026452D">
      <w:pPr>
        <w:pStyle w:val="TextoNormal"/>
      </w:pPr>
    </w:p>
    <w:p w:rsidR="0026452D" w:rsidRDefault="0026452D" w:rsidP="0026452D">
      <w:pPr>
        <w:pStyle w:val="TextoNormal"/>
      </w:pPr>
      <w:r>
        <w:t>Se impugna el art. 3, pues aunque este precepto, relativo a las entidades y organizaciones solicitantes, puede considerarse que establece un aspecto nuclear de las ayudas en cuanto a los requisitos generales del apartado 1, sin embargo resulta demasiado detallado al mencionar a la Cruz Roja Española como beneficiaria de las subvenciones y al detallar en exceso en los apartados 2 al 5. De ese modo, de acuerdo con el escrito de la representación de la Generalitat, invade las competencias autonómicas.</w:t>
      </w:r>
    </w:p>
    <w:p w:rsidR="0026452D" w:rsidRDefault="0026452D" w:rsidP="0026452D">
      <w:pPr>
        <w:pStyle w:val="TextoNormal"/>
      </w:pPr>
    </w:p>
    <w:p w:rsidR="0026452D" w:rsidRDefault="0026452D" w:rsidP="0026452D">
      <w:pPr>
        <w:pStyle w:val="TextoNormal"/>
      </w:pPr>
      <w:r>
        <w:t>Se impugna el art. 4, que se refiere a las actividades elegibles que, por el hecho de constituir programas de interés general letra d), pueden ser objeto de subvención, y define las circunstancias que permiten calificarlos así. Las letras a), b) y c) se refieren a programas que pretenden tener una dimensión supraterritorial. De acuerdo con el escrito de la representación de la Generalitat, la supraterritorialidad no es título competencial que permita al Estado asumir funciones que están atribuidas a las Comunidades Autónomas, por lo que en tales supuestos su labor eventualmente coordinadora no puede suplantarlas. Asimismo, el interés general tampoco es título competencial, de manera que carece de soporte constitucional que el Estado pretenda asumir la gestión de forma centralizada en los casos en que la actividad se califique como de interés general por la Comunidad Autónoma en cuyo exclusivo territorio vaya a realizarse.</w:t>
      </w:r>
    </w:p>
    <w:p w:rsidR="0026452D" w:rsidRDefault="0026452D" w:rsidP="0026452D">
      <w:pPr>
        <w:pStyle w:val="TextoNormal"/>
      </w:pPr>
    </w:p>
    <w:p w:rsidR="0026452D" w:rsidRDefault="0026452D" w:rsidP="0026452D">
      <w:pPr>
        <w:pStyle w:val="TextoNormal"/>
      </w:pPr>
      <w:r>
        <w:t>El escrito de la representación de la Generalitat realiza una especial consideración del supuesto de la letra e) del art. 4, relativo no a los programas o actuaciones en sí mismos considerados, sino a que “sus efectos directos o indirectos se extiendan al territorio de distintas Comunidades Autónomas”, detallado en tres subapartados con una vocación claramente omnicomprensiva, de manera que, con gran facilidad, de cualquier programa se podrá predicar que, en sí mismo o en sus efectos, directos o indirectos, cumple con alguno de los requisitos mencionados para su gestión estatal. De ese modo, de acuerdo con el escrito de la representación de la Generalitat, invade las competencias autonómicas.</w:t>
      </w:r>
    </w:p>
    <w:p w:rsidR="0026452D" w:rsidRDefault="0026452D" w:rsidP="0026452D">
      <w:pPr>
        <w:pStyle w:val="TextoNormal"/>
      </w:pPr>
    </w:p>
    <w:p w:rsidR="0026452D" w:rsidRDefault="0026452D" w:rsidP="0026452D">
      <w:pPr>
        <w:pStyle w:val="TextoNormal"/>
      </w:pPr>
      <w:r>
        <w:lastRenderedPageBreak/>
        <w:t>Se impugna el art. 5 en cuanto que asigna a órganos estatales facultades de posterior modificación y redistribución de los créditos y de sus ampliaciones, a la vista de los programas presentados. Con ello se impide la actuación de los órganos autonómicos, al tiempo que se dificulta la inicial territorialización de los créditos al dejar su primer reparto en una situación provisional, pendiente de eventuales ulteriores variaciones.</w:t>
      </w:r>
    </w:p>
    <w:p w:rsidR="0026452D" w:rsidRDefault="0026452D" w:rsidP="0026452D">
      <w:pPr>
        <w:pStyle w:val="TextoNormal"/>
      </w:pPr>
    </w:p>
    <w:p w:rsidR="0026452D" w:rsidRDefault="0026452D" w:rsidP="0026452D">
      <w:pPr>
        <w:pStyle w:val="TextoNormal"/>
      </w:pPr>
      <w:r>
        <w:t>Se impugna los arts. 6 al 21 por regular una serie de aspectos que configuran la gestión de las subvenciones, esto es, el procedimiento administrativo para su tramitación desde el inicio, con la presentación de las solicitudes, hasta la resolución relativa a su concesión y pago, así como las actuaciones posteriores de control. Se trata, por tanto, de un conjunto de previsiones instrumentales de carácter ejecutivo que en este caso, al ostentar la Generalitat la competencia exclusiva en materia de servicios sociales, su establecimiento corresponde a la Generalitat.</w:t>
      </w:r>
    </w:p>
    <w:p w:rsidR="0026452D" w:rsidRDefault="0026452D" w:rsidP="0026452D">
      <w:pPr>
        <w:pStyle w:val="TextoNormal"/>
      </w:pPr>
    </w:p>
    <w:p w:rsidR="0026452D" w:rsidRDefault="0026452D" w:rsidP="0026452D">
      <w:pPr>
        <w:pStyle w:val="TextoNormal"/>
      </w:pPr>
      <w:r>
        <w:t>Realiza el escrito de la representación de la Generalitat una precisión adicional específica en cuanto al art. 9, “Criterios objetivos de valoración”, precepto en apariencia equivalente, al art. 7 de la Orden TAS/893/2005, relativo a los “Criterios generales de valoración”, que fue declarado conforme al orden competencial en la citada STC 178/2011. Hace notar el escrito de planteamiento del presente conflicto que dicha conclusión no resulta trasladable, ya que el contenido de ambos preceptos presenta diferencias substanciales. El art. 9 de la Orden SSI/1199/2012, que aquí se impugna, presenta un contenido mucho más amplio e integrado en la propia convocatoria, que incluye tanto a las entidades como a los programas, estableciendo la puntuación máxima que cabe otorgar a dichos criterios de valoración. En consecuencia, se trata de unas previsiones mucho más detalladas referentes al procedimiento de gestión de la subvención, en lo relativo a la evaluación de las solicitudes presentadas por las entidades participantes. Por esta razón, al ser su tenor mucho más concreto y detallado que el de aquel art. 7, se vulnera el orden competencial.</w:t>
      </w:r>
    </w:p>
    <w:p w:rsidR="0026452D" w:rsidRDefault="0026452D" w:rsidP="0026452D">
      <w:pPr>
        <w:pStyle w:val="TextoNormal"/>
      </w:pPr>
    </w:p>
    <w:p w:rsidR="0026452D" w:rsidRDefault="0026452D" w:rsidP="0026452D">
      <w:pPr>
        <w:pStyle w:val="TextoNormal"/>
      </w:pPr>
      <w:r>
        <w:t>Tras reiterar conclusivamente que el presente conflicto se formula contra la Orden SSI/1199/2012, a causa de su planteamiento general centralizado en cuanto a la regulación y la gestión de las subvenciones en materia de servicios sociales a que se refiere, que impide el ejercicio de las competencias de la Generalitat de Cataluña, finaliza el escrito solicitando que se declare que la competencia controvertida corresponde a la Generalitat y que debe procederse a la distribución territorial de la correspondiente consignación presupuestaria, transfiriendo las cuantías resultantes a fin de que sean las Comunidades Autónomas las que procedan a la gestión descentralizada de las ayudas.</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30 de octubre de 2012 el Tribunal Constitucional acordó admitir a trámite el presente conflicto; dar traslado de la demanda y documentos presentados al Gobierno de la Nación, al objeto de presentar alegaciones en el plazo de veinte días; comunicar la incoación del conflicto a la Sala de lo Contencioso-Administrativo de la Audiencia Nacional, por si ante la misma estuviera impugnado o se impugnare la Orden SSI/1199/2012, de 4 de junio, por la que se establecen las bases reguladoras y se convoca la concesión de subvenciones para la realización de programas de cooperación y voluntariado sociales con cargo a la asignación tributaria del impuesto sobre la renta de las personas físicas, en cuyo caso deberá suspenderse el curso del proceso hasta la decisión del conflicto, según dispone el art. 61.2 LOTC; y publicar la incoación del conflicto en el “Boletín Oficial del Estado” y en el “Diari Oficial de la Generalitat de Cataluña”.</w:t>
      </w:r>
    </w:p>
    <w:p w:rsidR="0026452D" w:rsidRDefault="0026452D" w:rsidP="0026452D">
      <w:pPr>
        <w:pStyle w:val="TextoNormal"/>
      </w:pPr>
    </w:p>
    <w:p w:rsidR="0026452D" w:rsidRDefault="0026452D" w:rsidP="0026452D">
      <w:pPr>
        <w:pStyle w:val="TextoNormal"/>
      </w:pPr>
      <w:r w:rsidRPr="0026452D">
        <w:rPr>
          <w:rStyle w:val="NumeroAFNegritaCaracter"/>
        </w:rPr>
        <w:t>3</w:t>
      </w:r>
      <w:r>
        <w:t>. Por escrito registrado ante este Tribunal el 7 de noviembre de 2012, el Abogado del Estado se personó en el proceso solicitando una prórroga del plazo concedido para formular alegaciones, prórroga que le fue concedida mediante providencia de 12 de noviembre de 2012. El escrito de alegaciones del Abogado del Estado se registró en este Tribunal el día 23 de noviembre de 2012. En dicho escrito se opone a la demanda por las razones que se recogen a continuación.</w:t>
      </w:r>
    </w:p>
    <w:p w:rsidR="0026452D" w:rsidRDefault="0026452D" w:rsidP="0026452D">
      <w:pPr>
        <w:pStyle w:val="TextoNormal"/>
      </w:pPr>
    </w:p>
    <w:p w:rsidR="0026452D" w:rsidRDefault="0026452D" w:rsidP="0026452D">
      <w:pPr>
        <w:pStyle w:val="TextoNormal"/>
      </w:pPr>
      <w:r>
        <w:t>Comienza el Abogado del Estado concretando el objeto y alcance del conflicto positivo de competencia planteado por la Generalitat de Cataluña contra la Orden SSI/1199/2012, de 4 de junio, por la que se establecen las bases reguladoras y se convoca la concesión de subvenciones para la realización de programas de cooperación y voluntariado sociales con cargo a la asignación tributaria del impuesto sobre la renta de las personas físicas. Tras sintetizar el contenido de la orden y los argumentos de la Generalitat para impugnarla, señala el Abogado del Estado que, tal como puso de manifiesto el Gobierno de la Nación en su contestación al previo requerimiento, el presente conflicto parte de un presupuesto que no se corresponde con la realidad, cual es el de que resulta enteramente trasladable al presente supuesto la doctrina contenida en la STC 178/2011. Para el Abogado del Estado, en este proceso constitucional se constata la concurrencia de las exigencias de la jurisprudencia constitucional para apreciar la producción efectiva del cuarto de los supuestos descritos en la STC 13/1992, FJ 8, que permite la gestión centralizada de las ayudas previstas en la orden objeto de conflicto.</w:t>
      </w:r>
    </w:p>
    <w:p w:rsidR="0026452D" w:rsidRDefault="0026452D" w:rsidP="0026452D">
      <w:pPr>
        <w:pStyle w:val="TextoNormal"/>
      </w:pPr>
    </w:p>
    <w:p w:rsidR="0026452D" w:rsidRDefault="0026452D" w:rsidP="0026452D">
      <w:pPr>
        <w:pStyle w:val="TextoNormal"/>
      </w:pPr>
      <w:r>
        <w:t>a) Considera el Abogado del Estado que, atendiendo a lo dispuesto en el preámbulo y en el articulado de la orden objeto de conflicto, la materia sobre la que de forma prevalente incide la orden es la asistencia social. A continuación examina la jurisprudencia del Tribunal Constitucional en materia de subvenciones recogida en la STC 13/1992, de 6 de febrero y los cuatro supuestos allí establecidos.</w:t>
      </w:r>
    </w:p>
    <w:p w:rsidR="0026452D" w:rsidRDefault="0026452D" w:rsidP="0026452D">
      <w:pPr>
        <w:pStyle w:val="TextoNormal"/>
      </w:pPr>
    </w:p>
    <w:p w:rsidR="0026452D" w:rsidRDefault="0026452D" w:rsidP="0026452D">
      <w:pPr>
        <w:pStyle w:val="TextoNormal"/>
      </w:pPr>
      <w:r>
        <w:t>Prosigue el escrito recordando que el art. 149.1.1 CE es el título competencial que ampara la orden objeto de conflicto. Considera el Abogado del Estado que constituida España como un Estado social y democrático de derecho (art. 1.1 CE) y existiendo una conexión entre esta declaración y el mandato contenido en el artículo 9.2 CE no es imaginable un Estado absolutamente ajeno a los mandatos que en materia de asistencia y servicios sociales se contempla en el capítulo III del título I que recoge los principios rectores de la política social y económica, tal y como se ha admitido implícitamente en las SSTC 313/1994, 126/2002 o 239/2002 y con mayor claridad en la propia STC 13/1992. Parece claro, por tanto, que desde la perspectiva del art. 149.1.1 CE, sí puede incidirse en los principios rectores de la política social y económica. Para el Abogado del Estado, hoy ha adquirido tal importancia la asistencia social que resultaría de todo punto insoportable la idea de un Estado en el que unos mínimos homogéneos no estuvieran garantizados.</w:t>
      </w:r>
    </w:p>
    <w:p w:rsidR="0026452D" w:rsidRDefault="0026452D" w:rsidP="0026452D">
      <w:pPr>
        <w:pStyle w:val="TextoNormal"/>
      </w:pPr>
    </w:p>
    <w:p w:rsidR="0026452D" w:rsidRDefault="0026452D" w:rsidP="0026452D">
      <w:pPr>
        <w:pStyle w:val="TextoNormal"/>
      </w:pPr>
      <w:r>
        <w:t xml:space="preserve">Nos encontramos, de acuerdo con el escrito del Abogado del Estado, ante unas subvenciones que, por su propia naturaleza, han de ser de alcance estatal al referirse a programas de cooperación y voluntariado sociales enmarcados dentro de planes nacionales, en los que se justifica sobradamente la actuación estatal ante la necesidad de garantizar la igualdad en la obtención y disfrute de las ayudas por sus receptores finales. Asimismo se destaca que la </w:t>
      </w:r>
      <w:r>
        <w:lastRenderedPageBreak/>
        <w:t>territorialización de los programas supondría una menor atribución de fondos a las Comunidades Autónomas con menor capacidad recaudatoria, en las que precisamente pueden darse mayores necesidades de actuación derivadas de programas sociales.</w:t>
      </w:r>
    </w:p>
    <w:p w:rsidR="0026452D" w:rsidRDefault="0026452D" w:rsidP="0026452D">
      <w:pPr>
        <w:pStyle w:val="TextoNormal"/>
      </w:pPr>
    </w:p>
    <w:p w:rsidR="0026452D" w:rsidRDefault="0026452D" w:rsidP="0026452D">
      <w:pPr>
        <w:pStyle w:val="TextoNormal"/>
      </w:pPr>
      <w:r>
        <w:t xml:space="preserve">El Abogado del Estado recuerda la doctrina del Tribunal Constitucional que establece que “las subvenciones estatales pueden tender a asegurar las condiciones básicas de igualdad cuya regulación reserva al Estado el art. 149.1.1 CE, poniéndose de este modo el </w:t>
      </w:r>
      <w:r w:rsidRPr="0026452D">
        <w:rPr>
          <w:i/>
        </w:rPr>
        <w:t>spending power</w:t>
      </w:r>
      <w:r>
        <w:t xml:space="preserve"> estatal al servicio de una política de equilibrio social en sectores que lo necesiten, en ejecución de mandatos o cláusulas constitucionales genéricas (art. 1.1 o art. 9.2 CE) que, aunque obligan a todos los Poderes Públicos, corresponde prioritariamente realizar a quien mayor capacidad de gasto tiene” (STC 13/1992, FJ 7).</w:t>
      </w:r>
    </w:p>
    <w:p w:rsidR="0026452D" w:rsidRDefault="0026452D" w:rsidP="0026452D">
      <w:pPr>
        <w:pStyle w:val="TextoNormal"/>
      </w:pPr>
    </w:p>
    <w:p w:rsidR="0026452D" w:rsidRDefault="0026452D" w:rsidP="0026452D">
      <w:pPr>
        <w:pStyle w:val="TextoNormal"/>
      </w:pPr>
      <w:r>
        <w:t>b) A continuación se refiere el Abogado del Estado a la relevancia del título competencial contenido en el art. 149.1.13 CE que, en una época de grave crisis económica, legitimaría al Estado para intervenir en el sector de los servicios sociales adoptando medidas de fomento, pues se debe tener en cuenta la incidencia final de tales medidas en los mercados de bienes y servicios. Resulta así que la política de apoyo a los programas de cooperación y voluntariado sociales, junto a su dimensión estrictamente social, presenta un marcado carácter económico. El principio de unidad económica que la Constitución establece presentaría relevancia a la hora de resolver el presente conflicto.</w:t>
      </w:r>
    </w:p>
    <w:p w:rsidR="0026452D" w:rsidRDefault="0026452D" w:rsidP="0026452D">
      <w:pPr>
        <w:pStyle w:val="TextoNormal"/>
      </w:pPr>
    </w:p>
    <w:p w:rsidR="0026452D" w:rsidRDefault="0026452D" w:rsidP="0026452D">
      <w:pPr>
        <w:pStyle w:val="TextoNormal"/>
      </w:pPr>
      <w:r>
        <w:t>Los títulos competenciales constitucionalmente reservados al Estado por los números 1 y 13 del art. 149.1 CE suponen para el Abogado del Estado, por tanto, una importante matización a la exclusividad de la competencia autonómica en materia de asistencia social. De acuerdo con su escrito, la asunción por las Comunidades Autónomas de la competencia exclusiva sobre asistencia social no implica que el Estado no pueda realizar actuaciones en esta materia en las que se aprecie una singular dimensión nacional. A continuación, se cita la STC 146/1986 en la que el Tribunal Constitucional reconoció la posibilidad de intervención del Estado en materia de asistencia social, pues se fundamentó la competencia estatal en el hecho de que se trataba de planes de acción social de ámbito supracomunitario y además se aceptó, de manera excepcional, la gestión estatal de las ayudas.</w:t>
      </w:r>
    </w:p>
    <w:p w:rsidR="0026452D" w:rsidRDefault="0026452D" w:rsidP="0026452D">
      <w:pPr>
        <w:pStyle w:val="TextoNormal"/>
      </w:pPr>
    </w:p>
    <w:p w:rsidR="0026452D" w:rsidRDefault="0026452D" w:rsidP="0026452D">
      <w:pPr>
        <w:pStyle w:val="TextoNormal"/>
      </w:pPr>
      <w:r>
        <w:t>Para el Abogado del Estado en la actualidad no puede negarse que corresponda al Estado, con un inevitable planteamiento global, intervenir en materia de asistencia social para dar respuesta a la creciente necesidad de cobertura social de las situaciones de vulnerabilidad y exclusión a que se refieren los programas a subvencionar. Tal intervención estatal vendría avalada por el ejercicio de los títulos recogidos en los números 1 y 13 del art. 149.1 CE.</w:t>
      </w:r>
    </w:p>
    <w:p w:rsidR="0026452D" w:rsidRDefault="0026452D" w:rsidP="0026452D">
      <w:pPr>
        <w:pStyle w:val="TextoNormal"/>
      </w:pPr>
    </w:p>
    <w:p w:rsidR="0026452D" w:rsidRDefault="0026452D" w:rsidP="0026452D">
      <w:pPr>
        <w:pStyle w:val="TextoNormal"/>
      </w:pPr>
      <w:r>
        <w:t>c) Expuesto el marco competencial, el escrito del Abogado del Estado analiza las razones que justifican la concurrencia de la excepción que determina la posibilidad de asunción de competencias de gestión por el Estado prevista en el fundamento jurídico 8 d) de la STC 13/1992, pues nos encontraríamos en un caso en el que la potestad de fomento estatal se hace patente en un ámbito material en que ostenta competencias básicas.</w:t>
      </w:r>
    </w:p>
    <w:p w:rsidR="0026452D" w:rsidRDefault="0026452D" w:rsidP="0026452D">
      <w:pPr>
        <w:pStyle w:val="TextoNormal"/>
      </w:pPr>
    </w:p>
    <w:p w:rsidR="0026452D" w:rsidRDefault="0026452D" w:rsidP="0026452D">
      <w:pPr>
        <w:pStyle w:val="TextoNormal"/>
      </w:pPr>
      <w:r>
        <w:t xml:space="preserve">Señala el Abogado del Estado que de acuerdo con la orden objeto de conflicto, la realización de los programas cuya realización se pretende financiar exige una política social que sólo tiene sentido referida al país en su conjunto, pues se persigue garantizar una cierta </w:t>
      </w:r>
      <w:r>
        <w:lastRenderedPageBreak/>
        <w:t>igualdad en su obtención y disfrute por los beneficiarios últimos en todo el territorio nacional. Señala, asimismo que la política social que refleja la orden impugnada coadyuva al desarrollo de planes nacionales.</w:t>
      </w:r>
    </w:p>
    <w:p w:rsidR="0026452D" w:rsidRDefault="0026452D" w:rsidP="0026452D">
      <w:pPr>
        <w:pStyle w:val="TextoNormal"/>
      </w:pPr>
    </w:p>
    <w:p w:rsidR="0026452D" w:rsidRDefault="0026452D" w:rsidP="0026452D">
      <w:pPr>
        <w:pStyle w:val="TextoNormal"/>
      </w:pPr>
      <w:r>
        <w:t>Para el Abogado del Estado la doctrina del Tribunal Constitucional, si bien ha considerado que la supraterritorialidad no representa, por sí sola, un criterio atributivo de competencias, ha legitimado, sin embargo, el ejercicio estatal de competencias ejecutivas en supuestos de supraterritorialidad cuando la actividad pública concernida no sea susceptible de fraccionamiento. Y aún en este caso, cuando dicha actuación no pueda llevarse a cabo mediante mecanismos de cooperación o coordinación por requerir un grado de homogeneidad que sólo puede asegurarse mediante atribución de un único titular, que forzosamente ha de ser el Estado. Para el Abogado del Estado, el art. 4 de la orden, al referirse a las actividades elegibles pone de manifiesto su innegable incidencia estatal, de modo que las mismas no quedarían debidamente cubiertas por las competencias autonómicas, si se quiere realmente garantizar a nivel nacional la igualdad en la percepción de las ayudas.</w:t>
      </w:r>
    </w:p>
    <w:p w:rsidR="0026452D" w:rsidRDefault="0026452D" w:rsidP="0026452D">
      <w:pPr>
        <w:pStyle w:val="TextoNormal"/>
      </w:pPr>
    </w:p>
    <w:p w:rsidR="0026452D" w:rsidRDefault="0026452D" w:rsidP="0026452D">
      <w:pPr>
        <w:pStyle w:val="TextoNormal"/>
      </w:pPr>
      <w:r>
        <w:t>Señala el Abogado del Estado que la orden objetada introduce una mayor participación autonómica, previendo a lo largo de su articulado la intervención de las Comunidades Autónomas en cuyos territorios se desarrollen las actividades subvencionadas. Asimismo, y para justificar la legitimidad de la intervención del Estado al amparo del supuesto cuarto del fundamento jurídico 8 de la STC 13/1992, se refiere el escrito del Abogado del Estado a la necesidad de evitar la existencia de duplicidades innecesarias en la ejecución de programas sociales en tanto resultarían contrarias a los criterios de eficiencia y economía enunciados en el art. 31.2 CE.</w:t>
      </w:r>
    </w:p>
    <w:p w:rsidR="0026452D" w:rsidRDefault="0026452D" w:rsidP="0026452D">
      <w:pPr>
        <w:pStyle w:val="TextoNormal"/>
      </w:pPr>
    </w:p>
    <w:p w:rsidR="0026452D" w:rsidRDefault="0026452D" w:rsidP="0026452D">
      <w:pPr>
        <w:pStyle w:val="TextoNormal"/>
      </w:pPr>
      <w:r>
        <w:t>Por las razones reproducidas el Abogado del Estado solicita que se dicte Sentencia desestimatoria de la demanda.</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12 de marzo de 2013 se señaló para deliberación y votación de la presente Sentencia el día 14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 planteado por el Gobierno de la Generalitat de Cataluña contra la Orden SSI/1199/2012, de 4 de junio, por la que se establecen las bases reguladoras y se convoca la concesión de subvenciones para la realización de programas de cooperación y voluntariado sociales con cargo a la asignación tributaria del impuesto sobre la renta de las personas físicas.</w:t>
      </w:r>
    </w:p>
    <w:p w:rsidR="0026452D" w:rsidRDefault="0026452D" w:rsidP="0026452D">
      <w:pPr>
        <w:pStyle w:val="TextoNormal"/>
      </w:pPr>
    </w:p>
    <w:p w:rsidR="0026452D" w:rsidRDefault="0026452D" w:rsidP="0026452D">
      <w:pPr>
        <w:pStyle w:val="TextoNormal"/>
      </w:pPr>
      <w:r>
        <w:t xml:space="preserve">Para el Gobierno de la Generalitat de Cataluña, la citada orden no respeta la distribución de competencias en materia de servicios sociales derivada del bloque de constitucionalidad en cuanto que dicha disposición centraliza en los órganos estatales la regulación, tramitación y resolución de las ayudas referidas, ignorando de este modo la doctrina constitucional recaída en relación con las subvenciones. Por su parte, la Abogado del Estado sostiene la conformidad de la centralización de la regulación, tramitación y resolución de las ayudas </w:t>
      </w:r>
      <w:r>
        <w:lastRenderedPageBreak/>
        <w:t>con la doctrina constitucional al tratarse de uno de los supuestos excepcionales en que puede producirse aquella.</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entrar en el fondo del asunto, conviene señalar que el contenido de la orden objeto del presente conflicto de competencia es en buena medida coincidente con el de las órdenes que enjuiciamos en los recientes conflictos de competencia núm. 7625/2006 y 6893/2007 mediante las SSTC 21/2013, de 31 de enero y 40/2013, de 14 de febrero, al tratarse de la misma convocatoria de ayudas en un ejercicio siguiente.</w:t>
      </w:r>
    </w:p>
    <w:p w:rsidR="0026452D" w:rsidRDefault="0026452D" w:rsidP="0026452D">
      <w:pPr>
        <w:pStyle w:val="TextoNormal"/>
      </w:pPr>
    </w:p>
    <w:p w:rsidR="0026452D" w:rsidRDefault="0026452D" w:rsidP="0026452D">
      <w:pPr>
        <w:pStyle w:val="TextoNormal"/>
      </w:pPr>
      <w:r>
        <w:t>Tal y como hicimos en los asuntos referidos, debemos comenzar en este recordando que, de acuerdo con nuestra doctrina (por todas, la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debemos examinar, en primer lugar, el contenido concreto de las disposiciones objeto de conflicto.</w:t>
      </w:r>
    </w:p>
    <w:p w:rsidR="0026452D" w:rsidRDefault="0026452D" w:rsidP="0026452D">
      <w:pPr>
        <w:pStyle w:val="TextoNormal"/>
      </w:pPr>
    </w:p>
    <w:p w:rsidR="0026452D" w:rsidRDefault="0026452D" w:rsidP="0026452D">
      <w:pPr>
        <w:pStyle w:val="TextoNormal"/>
      </w:pPr>
      <w:r>
        <w:t>La Orden SSI/1199/2012, de 4 de junio, tiene por objeto, tal como recoge su art. 1, la convocatoria de la concesión de subvenciones, en régimen de concurrencia competitiva, para “la realización de programas de cooperación y voluntariado sociales, de interés general, encaminados a atender situaciones de necesidad y/o marginación” de concretas personas. El art. 2 determina los programas para la atención de necesidades sociales de interés general que se consideran de carácter prioritario. El art. 3 establece los requisitos que deberán cumplir las entidades y organizaciones solicitantes. El art. 4 se refiere a las actividades elegibles. El art. 5 dispone la distribución de créditos por programas de acuerdo con lo que dispone el anexo B de la propia orden. Ésta, tras establecer en el art. 6 los órganos competentes para la ordenación, instrucción y resolución del procedimiento, se completa con la regulación de los siguientes aspectos: forma de presentación de solicitudes [solicitud, memorias, documentación y subsanación de errores (art. 7)], financiación de los programas presentados (art. 8), criterios objetivos de valoración (art. 9), informes (art. 10), resolución (art. 11), situaciones de emergencia social (art. 12), los convenios-programa (art. 13), el abono de la subvención (art. 14), modificaciones de la resolución de concesión y del convenio-programa (art. 15); obligaciones de los beneficiarios (art. 16), control, seguimiento y evaluación (art. 17), gastos subvencionables (art. 18); justificación de los gastos (art. 19); responsabilidad y régimen sancionador (art. 20), y reintegros (art. 21). El contenido se completa con una disposición derogatoria que deroga la Orden SPI/1191/2011, de 6 de mayo, por la que se establecen las bases reguladoras y se convoca la concesión de subvenciones para la realización de programas de cooperación y voluntariado sociales con cargo a la asignación tributaria del impuesto sobre la renta de las personas físicas, y tres disposiciones finales referidas al título competencial, al régimen jurídico de aplicación supletoria y a la entrada en vigor respectivamente. La orden igualmente recoge una serie de anexos con la relación de programas, prioridades y requisitos de la convocatoria del año 2012; la distribución del crédito, el logotipo, la solicitud, la memoria explicativa de la entidad, la memoria explicativa del programa y la memoria explicativa del proyecto.</w:t>
      </w:r>
    </w:p>
    <w:p w:rsidR="0026452D" w:rsidRDefault="0026452D" w:rsidP="0026452D">
      <w:pPr>
        <w:pStyle w:val="TextoNormal"/>
      </w:pPr>
    </w:p>
    <w:p w:rsidR="0026452D" w:rsidRDefault="0026452D" w:rsidP="0026452D">
      <w:pPr>
        <w:pStyle w:val="TextoNormal"/>
      </w:pPr>
      <w:r w:rsidRPr="0026452D">
        <w:rPr>
          <w:rStyle w:val="NumeroAFNegritaCaracter"/>
        </w:rPr>
        <w:t>3</w:t>
      </w:r>
      <w:r>
        <w:t>. A la vista del contenido de la orden objeto del presente conflicto, y tal y como coinciden las partes de este proceso, estamos ante subvenciones dirigidas a financiar programas en materia de asistencia social.</w:t>
      </w:r>
    </w:p>
    <w:p w:rsidR="0026452D" w:rsidRDefault="0026452D" w:rsidP="0026452D">
      <w:pPr>
        <w:pStyle w:val="TextoNormal"/>
      </w:pPr>
    </w:p>
    <w:p w:rsidR="0026452D" w:rsidRDefault="0026452D" w:rsidP="0026452D">
      <w:pPr>
        <w:pStyle w:val="TextoNormal"/>
      </w:pPr>
      <w:r>
        <w:t>Este Tribunal ya ha tenido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(SSTC 36/2012, de 15 de marzo, FJ 4, y 21/2013, de 31 de enero, FJ 4). Bajo esta caracterización, se deben encuadrar las subvenciones recogidas en la orden impugnada que tienen como objeto, precisamente y tal como se anuncia en su art. 1, “la realización de programas de cooperación y voluntariado sociales, de interés general, encaminados a atender situaciones de necesidad y/o marginación de personas mayores de sesenta y cinco años, personas con discapacidad, mujeres, familia, infancia y juventud, personas afectadas por problemas de drogodependencia, pueblo gitano, población reclusa y ex reclusa, refugiados y asilados, migrantes, víctimas del terrorismo, personas afectadas por el VIH/SIDA, así como actuaciones integrales contra la exclusión social y para la erradicación de la pobreza y demás actuaciones de solidaridad social para cubrir necesidades de interés general.”</w:t>
      </w:r>
    </w:p>
    <w:p w:rsidR="0026452D" w:rsidRDefault="0026452D" w:rsidP="0026452D">
      <w:pPr>
        <w:pStyle w:val="TextoNormal"/>
      </w:pPr>
    </w:p>
    <w:p w:rsidR="0026452D" w:rsidRDefault="0026452D" w:rsidP="0026452D">
      <w:pPr>
        <w:pStyle w:val="TextoNormal"/>
      </w:pPr>
      <w:r>
        <w:t>Una vez identificada como asistencia social la materia a la que se refiere la disposición objeto de conflicto, debemos examinar la distribución de competencias sobre la misma que se deriva de lo dispuesto en la Constitución y en el Estatuto de Autonomía de Cataluña.</w:t>
      </w:r>
    </w:p>
    <w:p w:rsidR="0026452D" w:rsidRDefault="0026452D" w:rsidP="0026452D">
      <w:pPr>
        <w:pStyle w:val="TextoNormal"/>
      </w:pPr>
    </w:p>
    <w:p w:rsidR="0026452D" w:rsidRDefault="0026452D" w:rsidP="0026452D">
      <w:pPr>
        <w:pStyle w:val="TextoNormal"/>
      </w:pPr>
      <w:r>
        <w:t xml:space="preserve">La Constitución se refiere a la asistencia social en el art. 148.1.20 CE como una materia sobre la que las Comunidades Autónomas pueden asumir la competencia. Así lo ha hecho Cataluña en el artículo 166 de su Estatuto de Autonomía. El art. 166 del Estatuto de Autonomía caracteriza las competencias de la Comunidad Autónoma en materia de asistencia social como exclusivas; no obstante, como hemos tenido la oportunidad de reiterar, la competencia de la Comunidad Autónoma “no impide el ejercicio de las competencias del Estado </w:t>
      </w:r>
      <w:r w:rsidRPr="0026452D">
        <w:rPr>
          <w:i/>
        </w:rPr>
        <w:t>ex</w:t>
      </w:r>
      <w:r>
        <w:t xml:space="preserve"> art. 149.1 CE, sea cuando éstas concurran con las autonómicas sobre el mismo espacio físico o sea sobre el mismo objeto jurídico” (STC 31/2010, de 28 de junio, FJ 104). Al respecto, debemos insistir una vez más que las competencias autonómicas sobre materias no incluidas en el art. 149.1 CE, aunque se enuncien como “competencias exclusivas”, no cierran el paso a las competencias estatales previstas en aquel precepto constitucional. Por tanto, y como ya tuvimos ocasión de afirmar en relación, precisamente, con el artículo 166 del vigente Estatuto de Autonomía de Cataluña, “el enunciado de la competencia autonómica como exclusiva no enerva las diferentes competencias del Estado que puedan estar implicadas (art. 149.1.6, 7 y 17 CE, entre otras), debiendo insistir, no obstante, en que de ningún modo se precisa una expresa salvaguarda de las competencias constitucionalmente reservadas al Estado por el art. 149.1 CE, puesto que constituyen límites infranqueables a los enunciados estatutarios” (STC 31/2010, FJ 104).</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4</w:t>
      </w:r>
      <w:r>
        <w:t>. En el presente conflicto, el Abogado del Estado ha defendido, precisamente, tras reconocer que la materia sobre la que de forma prevalente incide la orden es la asistencia social, que el Estado puede justificar, no obstante, las ayudas controvertidas en el ejercicio de las competencias reconocidas en los arts. 149.1.1 CE y 149.1.13 CE.</w:t>
      </w:r>
    </w:p>
    <w:p w:rsidR="0026452D" w:rsidRDefault="0026452D" w:rsidP="0026452D">
      <w:pPr>
        <w:pStyle w:val="TextoNormal"/>
      </w:pPr>
    </w:p>
    <w:p w:rsidR="0026452D" w:rsidRDefault="0026452D" w:rsidP="0026452D">
      <w:pPr>
        <w:pStyle w:val="TextoNormal"/>
      </w:pPr>
      <w:r>
        <w:t>a) Sin embargo, debemos descartar, en primer lugar, que las ayudas impugnadas se puedan fundamentar en el título sobre la regulación de las condiciones básicas que garanticen la igualdad de todos los españoles en el ejercicio de los derechos y en el cumplimiento de los deberes constitucionales recogido en el artículo 149.1.1 CE, a cuyo efecto es obligado recordar nuestra doctrina sobre este precepto, de acuerdo con la cual “no puede operar como una especie de título horizontal, capaz de introducirse en cualquier materia o sector del ordenamiento” (entre otras, SSTC 239/2002, de 11 de diciembre, FJ 10; 228/2003, de 18 de diciembre, FJ 10; y 150/2012, de 5 de julio, FJ 4).</w:t>
      </w:r>
    </w:p>
    <w:p w:rsidR="0026452D" w:rsidRDefault="0026452D" w:rsidP="0026452D">
      <w:pPr>
        <w:pStyle w:val="TextoNormal"/>
      </w:pPr>
    </w:p>
    <w:p w:rsidR="0026452D" w:rsidRDefault="0026452D" w:rsidP="0026452D">
      <w:pPr>
        <w:pStyle w:val="TextoNormal"/>
      </w:pPr>
      <w:r>
        <w:t xml:space="preserve">Esta doctrina nos ha llevado recientemente a rechazar [SSTC 173/2012, de 15 de octubre, FJ 5 a); 177/2012, de 15 de octubre, FJ 5 a), 21/2013, de 31 de enero, FJ 5; o 40/2013, de 14 de febrero, FJ 5], que el art. 149.1.1 CE fuese un título competencial suficiente para justificar determinadas ayudas en materia de asistencia social. Precisamente en el caso de las SSTC 21/2013, de 31 de enero y 40/2013, de 14 de febrero, se examinaba la conformidad con el sistema de distribución de competencias constitucionalmente establecido de sendas órdenes que tenían prácticamente el mismo objeto y contenido que la Orden SSI/1199/2012, de 4 de junio, que estamos examinando en el presente conflicto. Por tanto, con base en los argumentos realizados entonces, debemos rechazar igualmente ahora que la Orden SSI/1199/2012, de 4 de junio, pueda tener su fundamento en el título recogido en el art. 149.1.1 CE, pues ni por su objeto ni por su contenido cabe apreciar una conexión directa de las ayudas controvertidas con “la regulación de las condiciones básicas que garanticen la igualdad de todos los españoles en el ejercicio de los derechos y en el cumplimiento de los deberes constitucionales”. En efecto, de una parte, los beneficiarios de las ayudas previstas son organizaciones no gubernamentales y entidades sociales que reúnen determinados requisitos; de otra, el objeto de las ayudas previstas es la realización de programas de cooperación y voluntariado sociales de interés general, así como actuaciones integrales contra la exclusión social para la erradicación de la pobreza y demás actuaciones de solidaridad social, resultando así clara la desvinculación de la orden controvertida con respecto al título competencial estatal </w:t>
      </w:r>
      <w:r w:rsidRPr="0026452D">
        <w:rPr>
          <w:i/>
        </w:rPr>
        <w:t>ex</w:t>
      </w:r>
      <w:r>
        <w:t xml:space="preserve"> art. 149.1.1 CE.</w:t>
      </w:r>
    </w:p>
    <w:p w:rsidR="0026452D" w:rsidRDefault="0026452D" w:rsidP="0026452D">
      <w:pPr>
        <w:pStyle w:val="TextoNormal"/>
      </w:pPr>
    </w:p>
    <w:p w:rsidR="0026452D" w:rsidRDefault="0026452D" w:rsidP="0026452D">
      <w:pPr>
        <w:pStyle w:val="TextoNormal"/>
      </w:pPr>
      <w:r>
        <w:t xml:space="preserve">b) Asimismo, debemos descartar, en segundo lugar, que las ayudas objeto de conflicto se puedan fundamentar en el título recogido en el artículo 149.1.13 CE. Conforme a la doctrina de este Tribunal —recogida, por ejemplo, en la STC 243/2012, de 18 de diciembre, en donde descartamos que este título competencial pudiese justificar unas ayudas en materia de asistencia social— “corresponden al Estado las facultades de dirección general de la economía … encontrando cobijo bajo esas facultades ‘tanto las normas estatales que fijen las líneas directrices y los criterios globales de ordenación de un sector concreto como las previsiones de acciones o medidas singulares que sean necesarias para alcanzar los fines propuestos dentro de la ordenación de cada sector’ (STC 21/1999, de 25 de febrero, FJ 5). No obstante, hemos precisado también que el art. 149.1.13 CE debe ser interpretado de forma estricta cuando concurre con una materia o un título competencial más específico (STC 164/2001, de 11 de julio, FJ 9), y que no toda norma o medida con incidencia económica </w:t>
      </w:r>
      <w:r>
        <w:lastRenderedPageBreak/>
        <w:t>puede encontrar cobertura en dicho precepto constitucional, si no posee una incidencia directa y significativa sobre la actividad económica general (entre otras, SSTC 21/1999, de 25 de febrero, FJ 5; 235/1999, de 20 de diciembre, FJ 3; y 95/2001, de 5 de abril, FJ 3), pues, en otro caso, se vaciarían de contenido una materia y un título competencial más específicos (SSTC 95/2002, de 25 de abril, FJ 7, y 77/2004, de 29 de abril, FJ 4), ‘sin que de la invocación del interés general que representa el Estado pueda resultar otra cosa, por cuanto, según hemos dicho, el mismo se ha de materializar a través del orden competencial establecido, excluyéndose así la extensión de los ámbitos competenciales en atención a consideraciones meramente finalísticas’ (STC 124/2003, de 19 de junio, FJ 6).” [STC 243/2012, de 17 de diciembre, FJ 2].</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En aplicación de la doctrina reproducida, rechazamos entonces, y debemos rechazar ahora, que la orden cuestionada pueda tener encaje en la competencia que invoca el Estado sobre las bases y coordinación de la planificación general de la actividad económica </w:t>
      </w:r>
      <w:r w:rsidRPr="0026452D">
        <w:rPr>
          <w:i/>
        </w:rPr>
        <w:t>ex</w:t>
      </w:r>
      <w:r>
        <w:t xml:space="preserve"> art. 149.1.13 CE; pues la orden objeto de conflicto no tiene, por si misma, una incidencia directa y significativa sobre la actividad económica general. Asimismo, ni la incidencia de las medidas de fomento previstas en la orden en los mercados de bienes y servicios, ni la dimensión económica que tendrían aquellas medidas en el ámbito de las entidades que se dedican a desarrollar programas de cooperación y voluntariado sociales, autorizan al Estado para invadir competencias ajenas, sino que, aun si estima que lo requiere el interés general, deberá desenvolver su actividad respetando en todo caso las competencias que la Constitución ha reservado a las Comunidades Autónomas. Como hemos tenido ocasión de afirmar “dado que, en principio, toda medida subvencional puede tener alguna incidencia, por leve que sea, sobre el sistema económico, la utilización de la finalidad del fortalecimiento del tercer sector de acción social como criterio para atribuir la competencia al Estado llevaría a otorgar una expansión ilimitada a la competencia estatal sobre la base de la ordenación general de la economía” (STC 243/2012, de 17 de diciembre, FJ 2).</w:t>
      </w:r>
    </w:p>
    <w:p w:rsidR="0026452D" w:rsidRDefault="0026452D" w:rsidP="0026452D">
      <w:pPr>
        <w:pStyle w:val="TextoNormal"/>
      </w:pPr>
    </w:p>
    <w:p w:rsidR="0026452D" w:rsidRDefault="0026452D" w:rsidP="0026452D">
      <w:pPr>
        <w:pStyle w:val="TextoNormal"/>
      </w:pPr>
      <w:r>
        <w:t>Descartado que concurran en el presente supuesto las competencias alegadas por la Abogado del Estado sobre la regulación de las condiciones básicas que garantizan la igualdad de todos los españoles en el ejercicio de los derechos del art. 149.1.1 CE y sobre bases y coordinación de la planificación general de la actividad económica del art. 149.1.13 CE, ello no supone, no obstante, la imposibilidad para el Estado de financiar acciones de fomento en materias atribuidas a la competencia exclusiva de las Comunidades Autónomas, pues hemos afirmado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(STC 13/1992, de 6 de febrero, FJ 7). El Estado tiene, por tanto, la capacidad para poner su poder de gasto al servicio de una política de asistencia social, en el ejercicio soberano de la función legislativa presupuestaria, sin perjuicio de que corresponda a la Comunidad Autónoma la competencia exclusiva en materia de asistencia social.</w:t>
      </w:r>
    </w:p>
    <w:p w:rsidR="0026452D" w:rsidRDefault="0026452D" w:rsidP="0026452D">
      <w:pPr>
        <w:pStyle w:val="TextoNormal"/>
      </w:pPr>
    </w:p>
    <w:p w:rsidR="0026452D" w:rsidRDefault="0026452D" w:rsidP="0026452D">
      <w:pPr>
        <w:pStyle w:val="TextoNormal"/>
      </w:pPr>
      <w:r>
        <w:t xml:space="preserve">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 Dichos </w:t>
      </w:r>
      <w:r>
        <w:lastRenderedPageBreak/>
        <w:t>supuestos generales tratan, precisamente, de conciliar la distribución competencial existente en cada materia entre el Estado y las Comunidades Autónomas, por un lado, con la reconocida potestad subvencional de gasto público que ostenta el Estado, por otro.</w:t>
      </w:r>
    </w:p>
    <w:p w:rsidR="0026452D" w:rsidRDefault="0026452D" w:rsidP="0026452D">
      <w:pPr>
        <w:pStyle w:val="TextoNormal"/>
      </w:pPr>
    </w:p>
    <w:p w:rsidR="0026452D" w:rsidRDefault="0026452D" w:rsidP="0026452D">
      <w:pPr>
        <w:pStyle w:val="TextoNormal"/>
      </w:pPr>
      <w:r w:rsidRPr="0026452D">
        <w:rPr>
          <w:rStyle w:val="NumeroAFNegritaCaracter"/>
        </w:rPr>
        <w:t>6</w:t>
      </w:r>
      <w:r>
        <w:t>. Así, una vez expuesto el marco competencial, de los términos del debate procesal trabado entre las partes podemos apreciar que la controversia entre las mismas versa, en realidad, en torno a la aplicación al caso concreto de la consolidada doctrina de este Tribunal en materia de subvenciones y ayudas públicas, en particular la contenida en aquella STC 13/1992. Así, lo discutido resulta ser la concurrencia de las circunstancias excepcionales previstas en la doctrina constitucional para que resulte justificada la regulación completa de las subvenciones y la centralización de la gestión que se contienen en la Orden objeto de conflicto. De hecho, el debate trabado entre las partes, una vez encuadradas las ayudas controvertidas en la materia asistencia social, es reconducible a la determinación del supuesto que, de los cuatro que hemos contemplado en nuestra doctrina (en concreto, en el fundamento jurídico 8 de la STC 13/1992, de 6 de febrero), resulta de aplicación a las ayudas referidas.</w:t>
      </w:r>
    </w:p>
    <w:p w:rsidR="0026452D" w:rsidRDefault="0026452D" w:rsidP="0026452D">
      <w:pPr>
        <w:pStyle w:val="TextoNormal"/>
      </w:pPr>
    </w:p>
    <w:p w:rsidR="0026452D" w:rsidRDefault="0026452D" w:rsidP="0026452D">
      <w:pPr>
        <w:pStyle w:val="TextoNormal"/>
      </w:pPr>
      <w:r>
        <w:t>Al respecto, la representación procesal del Gobierno de la Generalitat, con cita en la STC 178/2011, entiende que nos encontramos en el denominado primer supuesto, recogido en el fundamento jurídico 8 a) de la STC 13/1992. Por su parte, el Abogado del Estado considera que, puesto que se justifica la acción del Estado en el ejercicio de las competencias previstas en el artículo 149.1.1 CE y en el artículo 149.1.13 CE, resulta procedente la aplicación a las ayudas previstas del de denominado cuarto supuesto, recogido en el fundamento jurídico 8 d) de la misma Sentencia 13/1992, que faculta no sólo para la regulación completa de las ayudas sino también para su gestión centralizada por el Estado.</w:t>
      </w:r>
    </w:p>
    <w:p w:rsidR="0026452D" w:rsidRDefault="0026452D" w:rsidP="0026452D">
      <w:pPr>
        <w:pStyle w:val="TextoNormal"/>
      </w:pPr>
    </w:p>
    <w:p w:rsidR="0026452D" w:rsidRDefault="0026452D" w:rsidP="0026452D">
      <w:pPr>
        <w:pStyle w:val="TextoNormal"/>
      </w:pPr>
      <w:r>
        <w:t>Debemos pronunciarnos ahora sobre cuál de estos dos supuestos —a) o d)— le es de aplicación a la orden objeto de conflicto en razón a sus características. Y precisamente en razón de éstas, confirmamos que las subvenciones contenidas en la Orden SSI/1199/2012, de 4 de junio, se incluyen en el primer supuesto recogido en el fundamento jurídico 8 a) de la STC 13/1992. En efecto, al no poder justificarse aquellas en título competencial estatal alguno, ni genérico ni específico, tal como hemos argumentado en el fundamento jurídico 5 de la presente Sentencia, no se cumple la premisa exigida por el cuarto supuesto de la STC 13/1992, FJ 8 d), para justificar la gestión centralizada —que el Estado ostente algún título competencial, genérico o específico, sobre la materia—, por lo que no es necesario entrar a examinar si se dan las otras circunstancias excepcionales que exige aquel supuesto.</w:t>
      </w:r>
    </w:p>
    <w:p w:rsidR="0026452D" w:rsidRDefault="0026452D" w:rsidP="0026452D">
      <w:pPr>
        <w:pStyle w:val="TextoNormal"/>
      </w:pPr>
    </w:p>
    <w:p w:rsidR="0026452D" w:rsidRDefault="0026452D" w:rsidP="0026452D">
      <w:pPr>
        <w:pStyle w:val="TextoNormal"/>
      </w:pPr>
      <w:r>
        <w:t>Por tanto, puesto que la Comunidad Autónoma ostenta una competencia exclusiva sobre asistencia social y el Estado no ha invocado título competencial suficiente —genérico o específico— sobre la misma, las ayudas quedan ubicadas en el referido primer supuesto [STC 13/1992, FJ 8 a)], que excluye la posibilidad de gestión centralizada.</w:t>
      </w:r>
    </w:p>
    <w:p w:rsidR="0026452D" w:rsidRDefault="0026452D" w:rsidP="0026452D">
      <w:pPr>
        <w:pStyle w:val="TextoNormal"/>
      </w:pPr>
    </w:p>
    <w:p w:rsidR="0026452D" w:rsidRDefault="0026452D" w:rsidP="0026452D">
      <w:pPr>
        <w:pStyle w:val="TextoNormal"/>
      </w:pPr>
      <w:r>
        <w:t xml:space="preserve">Así, la regla general sobre el ejercicio de la potestad subvencional de gasto público del Estado en aquellas materias en las que las Comunidades Autónomas tienen competencia exclusiva y el Estado carece de título competencial alguno, tanto genérico como especifico, indica que la intervención estatal debe limitarse a “decidir asignar parte de sus fondos presupuestarios a esas materias o sectores … de manera genérica o global, por sectores o subsectores enteros de actividad”, y que “esos fondos han de integrarse como un recurso que </w:t>
      </w:r>
      <w:r>
        <w:lastRenderedPageBreak/>
        <w:t>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 [STC 13/1992, FJ 8 a)].</w:t>
      </w:r>
    </w:p>
    <w:p w:rsidR="0026452D" w:rsidRDefault="0026452D" w:rsidP="0026452D">
      <w:pPr>
        <w:pStyle w:val="TextoNormal"/>
      </w:pPr>
    </w:p>
    <w:p w:rsidR="0026452D" w:rsidRDefault="0026452D" w:rsidP="0026452D">
      <w:pPr>
        <w:pStyle w:val="TextoNormal"/>
      </w:pPr>
      <w:r>
        <w:t>No obstante, en materia de asistencia social debemos tener presente además nuestra reciente, y ya reiterada, doctrina sobre el alcance de la potestad subvencional estatal en ese campo, según la cual, aun tratándose de una materia incluida en el primero de los cuatro supuestos sistematizados en el fundamento jurídico 8 de la STC 13/1992, hemos afirmado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(SSTC 178/2011, de 8 de noviembre, FJ 7; y 36/2012, de 15 de marzo, FJ 8; doctrina aplicada posteriormente en las SSTC 72/2012, de 16 de abril, FJ 4; 73/2012, de 16 de abril, FJ 4; 77/2012, de 16 de abril, FJ 4; 173/2012, de 15 de octubre, FJ 7; 177/2012, de 15 de octubre, FJ 7; 226/2012, de 29 de noviembre, FJ 3; 227/2012 de 29 de noviembre, FJ 5; 21/2013, de 31 de enero, FJ 6; y 40/2013, de 14 de febrero, FJ 6).</w:t>
      </w:r>
    </w:p>
    <w:p w:rsidR="0026452D" w:rsidRDefault="0026452D" w:rsidP="0026452D">
      <w:pPr>
        <w:pStyle w:val="TextoNormal"/>
      </w:pPr>
    </w:p>
    <w:p w:rsidR="0026452D" w:rsidRDefault="0026452D" w:rsidP="0026452D">
      <w:pPr>
        <w:pStyle w:val="TextoNormal"/>
      </w:pPr>
      <w:r w:rsidRPr="0026452D">
        <w:rPr>
          <w:rStyle w:val="NumeroAFNegritaCaracter"/>
        </w:rPr>
        <w:t>7</w:t>
      </w:r>
      <w:r>
        <w:t>. Sobre la base precedente, debemos proceder al examen de los distintos preceptos de la Orden objeto de conflicto.</w:t>
      </w:r>
    </w:p>
    <w:p w:rsidR="0026452D" w:rsidRDefault="0026452D" w:rsidP="0026452D">
      <w:pPr>
        <w:pStyle w:val="TextoNormal"/>
      </w:pPr>
    </w:p>
    <w:p w:rsidR="0026452D" w:rsidRDefault="0026452D" w:rsidP="0026452D">
      <w:pPr>
        <w:pStyle w:val="TextoNormal"/>
      </w:pPr>
      <w:r>
        <w:t>a) El art. 1 vulnera la convocatoria de la concesión de las subvenciones, siendo constitucional en cuanto establece el objeto de dichas subvenciones.</w:t>
      </w:r>
    </w:p>
    <w:p w:rsidR="0026452D" w:rsidRDefault="0026452D" w:rsidP="0026452D">
      <w:pPr>
        <w:pStyle w:val="TextoNormal"/>
      </w:pPr>
    </w:p>
    <w:p w:rsidR="0026452D" w:rsidRDefault="0026452D" w:rsidP="0026452D">
      <w:pPr>
        <w:pStyle w:val="TextoNormal"/>
      </w:pPr>
      <w:r>
        <w:t>b) El art. 2 no lesiona las competencias autonómicas en cuanto define los programas de carácter prioritario que es uno de los aspectos centrales del régimen subvencional.</w:t>
      </w:r>
    </w:p>
    <w:p w:rsidR="0026452D" w:rsidRDefault="0026452D" w:rsidP="0026452D">
      <w:pPr>
        <w:pStyle w:val="TextoNormal"/>
      </w:pPr>
    </w:p>
    <w:p w:rsidR="0026452D" w:rsidRDefault="0026452D" w:rsidP="0026452D">
      <w:pPr>
        <w:pStyle w:val="TextoNormal"/>
      </w:pPr>
      <w:r>
        <w:t>c) Los arts. 3 y 4 no infringen las competencias autonómicas puesto que se ciñen a establecer los requisitos esenciales de los solicitantes y las actividades elegibles, aspectos que pueden considerarse igualmente centrales en la regulación de las subvenciones previstas.</w:t>
      </w:r>
    </w:p>
    <w:p w:rsidR="0026452D" w:rsidRDefault="0026452D" w:rsidP="0026452D">
      <w:pPr>
        <w:pStyle w:val="TextoNormal"/>
      </w:pPr>
    </w:p>
    <w:p w:rsidR="0026452D" w:rsidRDefault="0026452D" w:rsidP="0026452D">
      <w:pPr>
        <w:pStyle w:val="TextoNormal"/>
      </w:pPr>
      <w:r>
        <w:t>d) El art. 5, que distribuye los créditos asignados por programas, tampoco vulnera las competencias autonómicas. La posibilidad de que los órganos estatales modifiquen o redistribuyan los créditos y sus ampliaciones a la vista de los programas presentados es un aspecto central de la regulación de las subvenciones previstas.</w:t>
      </w:r>
    </w:p>
    <w:p w:rsidR="0026452D" w:rsidRDefault="0026452D" w:rsidP="0026452D">
      <w:pPr>
        <w:pStyle w:val="TextoNormal"/>
      </w:pPr>
    </w:p>
    <w:p w:rsidR="0026452D" w:rsidRDefault="0026452D" w:rsidP="0026452D">
      <w:pPr>
        <w:pStyle w:val="TextoNormal"/>
      </w:pPr>
      <w:r>
        <w:t>e) Los arts. 6, 7 y 8 conculcan las competencias autonómicas al referirse, respectivamente, a los órganos estatales competentes para realizar la tramitación de las ayudas (art. 6) y a cuestiones adjetivas de la tramitación administrativa: solicitudes, documentación a presentar y forma de financiación de los programas (arts. 7 y 8), que son aspectos propios de la gestión de las subvenciones.</w:t>
      </w:r>
    </w:p>
    <w:p w:rsidR="0026452D" w:rsidRDefault="0026452D" w:rsidP="0026452D">
      <w:pPr>
        <w:pStyle w:val="TextoNormal"/>
      </w:pPr>
    </w:p>
    <w:p w:rsidR="0026452D" w:rsidRDefault="0026452D" w:rsidP="0026452D">
      <w:pPr>
        <w:pStyle w:val="TextoNormal"/>
      </w:pPr>
      <w:r>
        <w:t xml:space="preserve">f) El art. 9 contiene no sólo los criterios que han de ser valorados para la adjudicación de las ayudas, sino también el baremo correspondiente a aplicar a cada uno de ellos, por lo que esta última concreción infringe las competencias autonómicas en la medida en que rebasa lo que conforme a nuestra doctrina constituyen aspectos centrales del régimen subvencional </w:t>
      </w:r>
      <w:r>
        <w:lastRenderedPageBreak/>
        <w:t>(STC 227/2012, de 29 de noviembre, FJ 7) y, por ello, cercena el margen necesario para que la Generalitat pueda desarrollar la regulación de las condiciones de otorgamiento.</w:t>
      </w:r>
    </w:p>
    <w:p w:rsidR="0026452D" w:rsidRDefault="0026452D" w:rsidP="0026452D">
      <w:pPr>
        <w:pStyle w:val="TextoNormal"/>
      </w:pPr>
    </w:p>
    <w:p w:rsidR="0026452D" w:rsidRDefault="0026452D" w:rsidP="0026452D">
      <w:pPr>
        <w:pStyle w:val="TextoNormal"/>
      </w:pPr>
      <w:r>
        <w:t>g) Los arts. 10, 11, 12, 13, 14, 15, 16, 17, 18, 19, 20 y 21 regulan todos ellos aspectos exclusivamente atinentes a la tramitación, resolución, pago, control, responsabilidad y reintegros de las ayudas, que son de competencia autonómica y, por ello, vulneran las competencias de la Comunidad Autónoma de Cataluña, todo ello sin perjuicio del carácter básico que puedan tener determinados preceptos de la Ley general de subvenciones que en ellos se citan. La vulneración de las competencias de la Comunidad Autónoma de Cataluña se extiende también al anexo C y a los anexos I, II, III y IV de la orden impugnada, por cuanto regulan cuestiones que exceden de los aspectos centrales del régimen subvencional. Sin embargo, los anexos A y B, que enuncian los programas prioritarios y la distribución del crédito por colectivos o programas, no vulneran las competencias autonómicas, no obstante requerir tal distribución su territorialización.</w:t>
      </w:r>
    </w:p>
    <w:p w:rsidR="0026452D" w:rsidRDefault="0026452D" w:rsidP="0026452D">
      <w:pPr>
        <w:pStyle w:val="TextoNormal"/>
      </w:pPr>
    </w:p>
    <w:p w:rsidR="0026452D" w:rsidRDefault="0026452D" w:rsidP="0026452D">
      <w:pPr>
        <w:pStyle w:val="TextoNormal"/>
      </w:pPr>
      <w:r w:rsidRPr="0026452D">
        <w:rPr>
          <w:rStyle w:val="NumeroAFNegritaCaracter"/>
        </w:rPr>
        <w:t>8</w:t>
      </w:r>
      <w:r>
        <w:t>. Antes de pronunciar el fallo, debemos de efectuar unas precisiones sobre los efectos de la vulneración de competencias en que incurre la orden objeto de conflicto. Al respecto, conviene señalar que la disposición recurrida, además de convocar las ayudas correspondientes al año 2012, establece el marco de referencia a partir del cual y en desarrollo del mismo han de realizarse las siguientes convocatorias anuales. Dictada pues con cierta vocación de permanencia, la norma controvertida no ha agotado sus efectos, resultando obligado entonces declarar que al Gobierno de la Generalidad de Cataluña corresponderá la titularidad y el ejercicio de las competencias reconocidas en los preceptos que, siendo susceptibles de ser aplicados los sucesivos ejercicios, hemos calificado contrarios al orden constitucional.</w:t>
      </w:r>
    </w:p>
    <w:p w:rsidR="0026452D" w:rsidRDefault="0026452D" w:rsidP="0026452D">
      <w:pPr>
        <w:pStyle w:val="TextoNormal"/>
      </w:pPr>
    </w:p>
    <w:p w:rsidR="0026452D" w:rsidRDefault="0026452D" w:rsidP="0026452D">
      <w:pPr>
        <w:pStyle w:val="TextoNormal"/>
      </w:pPr>
      <w:r>
        <w:t>Por último, debemos plantearnos la eventual extensión de la declaración de infracción del orden competencial de aquellas resoluciones adoptadas al amparo de la orden objeto de este proceso. La necesidad siempre presente de procurar conservar la eficacia jurídica de aquellos actos cuya lesión puede afectar a legítimos derechos de terceros generados en su día por la presunción de legalidad de los mismos conduce, en este caso —tal y como afirmamos en la STC 173/2012, de 15 de octubre, FJ 8— y en aplicación del art. 66 LOTC, a que la declaración de infracción competencial no implique la de aquellas resoluciones que han concedido o denegado las ayudas cuestionadas ya dictadas y notificadas.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 xml:space="preserve">1º Estimar parcialmente el conflicto positivo de competencia núm. 5582-2012 interpuesto por el Gobierno de la Generalitat de Cataluña contra la Orden SSI/1199/2012, de 4 de junio, por la que se establecen las bases reguladoras y se convoca la concesión de subvenciones para la realización de programas de cooperación y voluntariado sociales con cargo a la asignación tributaria del impuesto sobre la renta de las personas físicas, y en </w:t>
      </w:r>
      <w:r>
        <w:lastRenderedPageBreak/>
        <w:t>consecuencia declarar, con los efectos previstos en el fundamento jurídico 8 de la presente Sentencia, que vulneran las competencias de la Generalitat de Cataluña los arts. 1, salvo en lo que se refiere al objeto de la convocatoria; 6, 7, 8, 9, en cuanto al establecimiento del baremo aplicable, 10, 11, 12, 13, 14, 15, 16, 17, 18, 19, 20 y 21, así como los anexos C y I, II, III y IV de la orden referida.</w:t>
      </w:r>
    </w:p>
    <w:p w:rsidR="0026452D" w:rsidRDefault="0026452D" w:rsidP="0026452D">
      <w:pPr>
        <w:pStyle w:val="TextoNormal"/>
      </w:pPr>
    </w:p>
    <w:p w:rsidR="0026452D" w:rsidRDefault="0026452D" w:rsidP="0026452D">
      <w:pPr>
        <w:pStyle w:val="TextoNormal"/>
      </w:pPr>
      <w:r>
        <w:t>2º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catorce de marzo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74" w:name="SENTENCIA_2013_71"/>
      <w:r>
        <w:lastRenderedPageBreak/>
        <w:t>SENTENCIA 71/2013, de 8 de abril de 2013</w:t>
      </w:r>
    </w:p>
    <w:bookmarkEnd w:id="74"/>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ECLI:ES:TC:2013:71</w:t>
      </w:r>
    </w:p>
    <w:p w:rsidR="0026452D" w:rsidRDefault="0026452D" w:rsidP="0026452D">
      <w:pPr>
        <w:pStyle w:val="SntesisDescriptiva"/>
      </w:pPr>
    </w:p>
    <w:p w:rsidR="0026452D" w:rsidRDefault="0026452D" w:rsidP="0026452D">
      <w:pPr>
        <w:pStyle w:val="SntesisDescriptiva"/>
      </w:pPr>
      <w:r>
        <w:t>Recurso de amparo 5560-2007. Promovido por doña María Ángeles Villota Barrio en relación con las Sentencias de las Salas de lo Social del Tribunal Superior de Justicia de Cataluña y del Tribunal Supremo que desestimaron su demanda de pensión de incapacidad permanente absoluta por enfermedad común.</w:t>
      </w:r>
    </w:p>
    <w:p w:rsidR="0026452D" w:rsidRDefault="0026452D" w:rsidP="0026452D">
      <w:pPr>
        <w:pStyle w:val="SntesisDescriptiva"/>
      </w:pPr>
    </w:p>
    <w:p w:rsidR="0026452D" w:rsidRDefault="0026452D" w:rsidP="0026452D">
      <w:pPr>
        <w:pStyle w:val="SntesisAnaltica"/>
      </w:pPr>
      <w:r>
        <w:t>Vulneración de los derechos a la igualdad en la ley y a no sufrir discriminación por razón de sexo: STC 61/2013 (determinación de los períodos de cotización de las prestaciones de Seguridad Social computando exclusivamente las horas trabajadas, en perjuicio de las trabajadoras a tiempo parcial).</w:t>
      </w:r>
    </w:p>
    <w:p w:rsidR="0026452D" w:rsidRDefault="0026452D" w:rsidP="0026452D">
      <w:pPr>
        <w:pStyle w:val="SntesisAnaltica"/>
      </w:pPr>
    </w:p>
    <w:p w:rsidR="0026452D" w:rsidRDefault="0026452D" w:rsidP="0026452D">
      <w:pPr>
        <w:pStyle w:val="Extracto"/>
      </w:pPr>
      <w:r>
        <w:t>1.</w:t>
      </w:r>
      <w:r>
        <w:tab/>
        <w:t>Aplica la STC 61/2013 que declaró la inconstitucionalidad de la regla de cálculo de los periodos de cotización necesarios para causar derecho a las prestaciones de Seguridad Social aplicable a los trabajadores contratados a tiempo parcial [FJ 3].</w:t>
      </w:r>
    </w:p>
    <w:p w:rsidR="0026452D" w:rsidRDefault="0026452D" w:rsidP="0026452D">
      <w:pPr>
        <w:pStyle w:val="Extracto"/>
      </w:pPr>
    </w:p>
    <w:p w:rsidR="0026452D" w:rsidRDefault="0026452D" w:rsidP="0026452D">
      <w:pPr>
        <w:pStyle w:val="Extracto"/>
      </w:pPr>
      <w:r>
        <w:t>2.</w:t>
      </w:r>
      <w:r>
        <w:tab/>
        <w:t xml:space="preserve">Las diferencias de trato en el cómputo de los períodos de carencia que experimentan los trabajadores a tiempo parcial respecto a los trabajadores a jornada completa se encuentran desprovistas de una justificación razonable que guarde la debida proporcionalidad entre la medida adoptada, el resultado producido y la finalidad pretendida, por lo que hemos de declarar que la norma cuestionada vulnera el art. 14 CE, tanto por lesionar el derecho a la igualdad, como también, a la vista de su predominante incidencia sobre el empleo femenino, por provocar una discriminación indirecta por razón de sexo (STJUE asunto </w:t>
      </w:r>
      <w:r w:rsidRPr="0026452D">
        <w:rPr>
          <w:i/>
        </w:rPr>
        <w:t>Elbal Moreno</w:t>
      </w:r>
      <w:r>
        <w:t>, de 22 de noviembre de 2012; SSTC 253/2004, 61/2013) [FJ 3].</w:t>
      </w:r>
    </w:p>
    <w:p w:rsidR="0026452D" w:rsidRDefault="0026452D" w:rsidP="0026452D">
      <w:pPr>
        <w:pStyle w:val="Extracto"/>
      </w:pPr>
    </w:p>
    <w:p w:rsidR="0026452D" w:rsidRDefault="0026452D" w:rsidP="0026452D">
      <w:pPr>
        <w:pStyle w:val="Extracto"/>
      </w:pPr>
      <w:r>
        <w:t>3.</w:t>
      </w:r>
      <w:r>
        <w:tab/>
        <w:t>Las reglas que acompañan a la previsión cuestionada en relación con el cómputo de los períodos de cotización en los contratos a tiempo parcial para causar derecho a una prestación de jubilación no permiten superar los parámetros de justificación y proporcionalidad exigidos por el art. 14 CE, dado que las medidas de corrección en su momento introducidas no consiguen evitar los resultados especialmente gravosos y desmesurados a que la norma puede conducir (STC 61/2013) [FJ 3].</w:t>
      </w:r>
    </w:p>
    <w:p w:rsidR="0026452D" w:rsidRDefault="0026452D" w:rsidP="0026452D">
      <w:pPr>
        <w:pStyle w:val="Extracto"/>
      </w:pPr>
    </w:p>
    <w:p w:rsidR="0026452D" w:rsidRDefault="0026452D" w:rsidP="0026452D">
      <w:pPr>
        <w:pStyle w:val="Extracto"/>
      </w:pPr>
      <w:r>
        <w:t>4.</w:t>
      </w:r>
      <w:r>
        <w:tab/>
        <w:t>La norma cuestionada, que computa los días trabajados conforme a una fórmula de horas trabajadas, mantiene una diferencia de trato en el cómputo de los períodos cotizados entre los trabajadores a tiempo completo y los trabajadores a tiempo parcial, basada en la aplicación de un criterio de proporcionalidad, referido no sólo a la cuantía de las bases reguladoras sino también al cálculo de los períodos de carencia, no justificado por las exigencias de contributividad del sistema (SSTC 253/2004, 61/2013) [FJ 3].</w:t>
      </w:r>
    </w:p>
    <w:p w:rsidR="0026452D" w:rsidRDefault="0026452D" w:rsidP="0026452D">
      <w:pPr>
        <w:pStyle w:val="Extracto"/>
      </w:pPr>
    </w:p>
    <w:p w:rsidR="0026452D" w:rsidRDefault="0026452D" w:rsidP="0026452D">
      <w:pPr>
        <w:pStyle w:val="Extracto"/>
      </w:pPr>
      <w:r>
        <w:t>5.</w:t>
      </w:r>
      <w:r>
        <w:tab/>
        <w:t xml:space="preserve">La diferencia de trato entre trabajadores a tiempo completo y trabajadores a tiempo parcial en cuanto al cumplimiento del requisito de carencia para el acceso </w:t>
      </w:r>
      <w:r>
        <w:lastRenderedPageBreak/>
        <w:t>a las prestaciones contributivas de Seguridad Social no aparece justificada, tratándose de un diferenciación arbitraria que además conduce a un resultado desproporcionado al dificultar el acceso a la protección de la Seguridad Social de los trabajadores contratados a tiempo parcial (SSTC 253/2004, 61/2013) [FJ 3].</w:t>
      </w:r>
    </w:p>
    <w:p w:rsidR="0026452D" w:rsidRDefault="0026452D" w:rsidP="0026452D">
      <w:pPr>
        <w:pStyle w:val="Extracto"/>
      </w:pPr>
    </w:p>
    <w:p w:rsidR="0026452D" w:rsidRDefault="0026452D" w:rsidP="0026452D">
      <w:pPr>
        <w:pStyle w:val="Extracto"/>
      </w:pPr>
      <w:r>
        <w:t>6.</w:t>
      </w:r>
      <w:r>
        <w:tab/>
        <w:t>Procede restablecer a la recurrente en su derecho, para lo cual resulta suficiente con anular las Sentencias impugnadas en amparo y declarar la firmeza de la Sentencia del Juzgado de lo Social, ya que esta última resolución estimó la demanda de la recurrente en amparo y no incurrió, por tanto, en la vulneración del derecho fundamental que ahora declaramos (SSTC 49/2005, 50/2005) [FJ 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5560-2007, promovido por doña María Ángeles Villota Barrio, representada por el Procurador de los Tribunales don Manuel Sánchez-Puelles González-Carvajal y asistido por el Abogado don Mateu Valls Riera, contra la Sentencia de la Sala de lo Social del Tribunal Superior de Justicia de Cataluña de 23 de marzo de 2006 dictada en el recurso de suplicación núm. 4718-2005 y contra la Sentencia de 16 de mayo de 2007 de la Sala de lo Social del Tribunal Supremo, que desestima el recurso de casación para la unificación de doctrina núm. 2314-2006 interpuesto frente a la anterior. Han intervenido el Ministerio Fiscal y el Letrado de la Administración de la Seguridad Social.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19 de junio de 2007, el Procurador de los Tribunales don Manuel Sánchez-Puelles González-Carvajal, en nombre y representación de doña María Ángeles Villota Barrio y bajo la dirección del Abogado don Mateu Valls Riera, interpuso recurso de amparo contra las resoluciones judiciales referidas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que se fundamenta la demanda de amparo son, sucintamente expuestos, los siguientes:</w:t>
      </w:r>
    </w:p>
    <w:p w:rsidR="0026452D" w:rsidRDefault="0026452D" w:rsidP="0026452D">
      <w:pPr>
        <w:pStyle w:val="TextoNormal"/>
      </w:pPr>
    </w:p>
    <w:p w:rsidR="0026452D" w:rsidRDefault="0026452D" w:rsidP="0026452D">
      <w:pPr>
        <w:pStyle w:val="TextoNormal"/>
      </w:pPr>
      <w:r>
        <w:lastRenderedPageBreak/>
        <w:t>a) La recurrente solicitó a la Dirección Provincial del Instituto Nacional de la Seguridad Social (INSS) de Girona la pensión de incapacidad permanente absoluta por enfermedad común, que le fue denegada por resolución de 17 de noviembre de 2004, por no alcanzar el período de cotización exigido por el art. 138.2 del texto refundido de la Ley general de la Seguridad Social de 1994 (LGSS), teniendo en cuenta que las cotizaciones efectuadas por sus contratos a tiempo parcial fueron computadas en función de las horas trabajadas, de acuerdo con lo establecido en la regla segunda del apartado 1 de la disposición adicional séptima de la LGSS y el Real Decreto 1131/2002, de 31 de octubre. Interpuesta reclamación previa contra dicha resolución, fue desestimada por resolución de 20 de enero de 2005, por los mismos fundamentos.</w:t>
      </w:r>
    </w:p>
    <w:p w:rsidR="0026452D" w:rsidRDefault="0026452D" w:rsidP="0026452D">
      <w:pPr>
        <w:pStyle w:val="TextoNormal"/>
      </w:pPr>
    </w:p>
    <w:p w:rsidR="0026452D" w:rsidRDefault="0026452D" w:rsidP="0026452D">
      <w:pPr>
        <w:pStyle w:val="TextoNormal"/>
      </w:pPr>
      <w:r>
        <w:t>b) Por Sentencia de 22 de abril de 2005 del Juzgado de lo Social núm. 2 de Girona (autos núm. 148-2005) se estimó la demanda formulada por la recurrente contra la anterior resolución administrativa, declarándola en situación de incapacidad permanente absoluta derivada de enfermedad común y condenando al INSS a abonarle la pensión correspondiente.</w:t>
      </w:r>
    </w:p>
    <w:p w:rsidR="0026452D" w:rsidRDefault="0026452D" w:rsidP="0026452D">
      <w:pPr>
        <w:pStyle w:val="TextoNormal"/>
      </w:pPr>
    </w:p>
    <w:p w:rsidR="0026452D" w:rsidRDefault="0026452D" w:rsidP="0026452D">
      <w:pPr>
        <w:pStyle w:val="TextoNormal"/>
      </w:pPr>
      <w:r>
        <w:t>Se razona en la Sentencia que, no existiendo duda en cuanto a que la gravedad de las secuelas derivadas de la enfermedad que padece la demandante son definitivas y la incapacitan para todo tipo de trabajo, la controversia se ciñe al problema del cumplimiento del período mínimo de cotización exigido para tener derecho a la pensión de incapacidad permanente absoluta por enfermedad común, y que ha de resolverse —concluye el Juzgado— estimando cumplido dicho requisito, por cuanto debe entenderse, de acuerdo con la doctrina sentada por el Pleno del Tribunal Constitucional en la STC 253/2004, de 22 de diciembre (reiterada en las SSTC 49/2005 y 50/2005, ambas de 14 de marzo), que la aplicación del criterio de proporcionalidad estricta a los contratos a tiempo parcial a efectos del cómputo de los periodos de carencia necesarios para causar derecho a las prestaciones de invalidez (que supone computar las cotizaciones en función de las horas efectivamente trabajadas) conduce a un resultado desproporcionado, pues dificulta injustificadamente el acceso de los trabajadores a tiempo parcial a estas prestaciones, lo que constituye una desigualdad de trato lesiva del principio de igualdad ante la ley (art. 14 CE) y asimismo supone una discriminación indirecta por razón de sexo, en la medida en que el contrato a tiempo parcial es una institución que afecta de hecho predominantemente al sexo femenino.</w:t>
      </w:r>
    </w:p>
    <w:p w:rsidR="0026452D" w:rsidRDefault="0026452D" w:rsidP="0026452D">
      <w:pPr>
        <w:pStyle w:val="TextoNormal"/>
      </w:pPr>
    </w:p>
    <w:p w:rsidR="0026452D" w:rsidRDefault="0026452D" w:rsidP="0026452D">
      <w:pPr>
        <w:pStyle w:val="TextoNormal"/>
      </w:pPr>
      <w:r>
        <w:t xml:space="preserve">c) Contra la anterior Sentencia interpuso el INSS recurso de suplicación, que fue estimado por Sentencia de la Sala de lo Social del Tribunal Superior de Justicia de Cataluña de 23 de marzo de 2006 (recurso núm. 4718-2005), revocando el pronunciamiento de instancia y desestimando la demanda de la ahora recurrente en amparo. Se razona por el Tribunal Superior de Justicia de Cataluña que la decisión de la Sentencia de instancia se apoya únicamente en la STC 253/2004, que declaró inconstitucional y nulo el art. 12.4 del texto refundido de la Ley del estatuto de los trabajadores (en su redacción originaria dada por el Real Decreto Legislativo 1/1995, de 24 de marzo), sin tener en cuenta que esa doctrina constitucional se refiere a la regulación del trabajo a tiempo a parcial a efectos de seguridad social anterior a la disposición adicional séptima LGSS (en la redacción del Real Decreto-ley 15/1998, de 27 de noviembre) y el Real Decreto 1131/2002, de 31 de octubre, normativa esta (a la que se alude por el propio Tribunal Constitucional en la STC 253/2004) cuya constitucionalidad no se ha debatido y que es la que resulta aplicable a la prestación solicitada por la demandante y en la que se establecen diversas reglas correctoras que atenúan </w:t>
      </w:r>
      <w:r>
        <w:lastRenderedPageBreak/>
        <w:t>notablemente el criterio de proporcionalidad de la regulación anterior declarada inconstitucional por la citada STC 253/2004, como prueba del reconocimiento por parte del propio legislador de la desproporción del resultado a que conducía la normativa precedente.</w:t>
      </w:r>
    </w:p>
    <w:p w:rsidR="0026452D" w:rsidRDefault="0026452D" w:rsidP="0026452D">
      <w:pPr>
        <w:pStyle w:val="TextoNormal"/>
      </w:pPr>
    </w:p>
    <w:p w:rsidR="0026452D" w:rsidRDefault="0026452D" w:rsidP="0026452D">
      <w:pPr>
        <w:pStyle w:val="TextoNormal"/>
      </w:pPr>
      <w:r>
        <w:t>d) Interpuesto por la demandante de amparo recurso de casación para la unificación de doctrina contra la anterior Sentencia, el recurso fue desestimado por Sentencia de la Sala de lo Social del Tribunal Supremo de 16 de mayo de 2007, por falta de contradicción entre la Sentencia recurrida y la Sentencia invocada como contraste, dado que la legislación aplicable a uno y otro supuesto es distinta, por cuanto en el supuesto de la Sentencia de contraste, que estimó la pretensión de la trabajadora a tiempo parcial, la normativa aplicable era la misma sobre cuya constitucionalidad se pronunció la STC 253/2004, mientras que en el supuesto de la Sentencia recurrida la normativa aplicable es el Real Decreto 1131/2002 (que desarrolla la disposición adicional séptima LGSS), que atenúa el criterio de proporcionalidad de la regulación anterior.</w:t>
      </w:r>
    </w:p>
    <w:p w:rsidR="0026452D" w:rsidRDefault="0026452D" w:rsidP="0026452D">
      <w:pPr>
        <w:pStyle w:val="TextoNormal"/>
      </w:pPr>
    </w:p>
    <w:p w:rsidR="0026452D" w:rsidRDefault="0026452D" w:rsidP="0026452D">
      <w:pPr>
        <w:pStyle w:val="TextoNormal"/>
      </w:pPr>
      <w:r w:rsidRPr="0026452D">
        <w:rPr>
          <w:rStyle w:val="NumeroAFNegritaCaracter"/>
        </w:rPr>
        <w:t>3</w:t>
      </w:r>
      <w:r>
        <w:t>. La demandante de amparo sostiene que las Sentencias impugnadas han vulnerado su derecho a la igualdad ante la ley y a no sufrir discriminación por razón de sexo (art. 14 CE), lesión que tiene su origen en el Real Decreto 1131/2002 (que desarrolla la disposición adicional séptima de la Ley general de la Seguridad Social), en la medida en que esta regulación sigue dispensando, como sucedía en la normativa precedente declarada inconstitucional y nula por la STC 253/2004, un trato desigual y discriminatorio a los trabajadores a tiempo parcial en el cómputo del periodo de cotización exigido para causar derecho a las prestaciones de seguridad social, en relación con los trabajadores a tiempo completo. A juicio de la recurrente, aunque es cierto que esta nueva normativa ha introducido diversas reglas correctoras que atenúan el criterio de proporcionalidad de la regulación precedente declarada inconstitucional por la STC 253/2004 (cuya doctrina se reiterada en las SSTC 49/2005 y 50/2005), no lo es menos que la nueva regulación sigue produciendo el mismo resultado desproporcionado a que conducía la normativa precedente, lo que determina que su aplicación suponga una desigualdad de trato lesiva del principio de igualdad ante la ley y asimismo una discriminación indirecta por razón de sexo.</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11 de diciembre de 2008 la Sección Segunda de este Tribunal acordó la admisión a trámite de la demanda de amparo y, a tenor de lo dispuesto en el art. 51 de la Ley Orgánica del Tribunal Constitucional (LOTC), requerir atentamente a los órganos judiciales para que en el plazo de diez días remitieran testimonio de las actuaciones respectivas, interesándose al propio tiempo el emplazamiento de quienes fueron parte en el procedimiento, a excepción de la recurrente, ya personada, para que pudieran comparecer en el plazo de diez días en este proceso constitucional, con traslado a dichos efectos de copia de la demanda de amparo presentada.</w:t>
      </w:r>
    </w:p>
    <w:p w:rsidR="0026452D" w:rsidRDefault="0026452D" w:rsidP="0026452D">
      <w:pPr>
        <w:pStyle w:val="TextoNormal"/>
      </w:pPr>
    </w:p>
    <w:p w:rsidR="0026452D" w:rsidRDefault="0026452D" w:rsidP="0026452D">
      <w:pPr>
        <w:pStyle w:val="TextoNormal"/>
      </w:pPr>
      <w:r w:rsidRPr="0026452D">
        <w:rPr>
          <w:rStyle w:val="NumeroAFNegritaCaracter"/>
        </w:rPr>
        <w:t>5</w:t>
      </w:r>
      <w:r>
        <w:t>. Por escrito registrado en este Tribunal con fecha 23 de enero de 2009 el Letrado de la Administración de la Seguridad Social se personó en el presente recurso de amparo, en la representación del INSS que legalmente ostenta.</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Mediante diligencia de ordenación del Secretario de Justicia de la Sala Primera de 11 de febrero de 2009 se tuvieron por recibidos los testimonios de las actuaciones remitidos por los órganos judiciales y por personado al Letrado de la Administración de la Seguridad </w:t>
      </w:r>
      <w:r>
        <w:lastRenderedPageBreak/>
        <w:t>Social, procediéndose asimismo, conforme a lo establecido en el art. 52.1 LOTC, a dar vista de las actuaciones por plazo común de veinte días al Ministerio Fiscal, al Letrado de la Administración de la Seguridad Social y a la representación procesal de la recurrente para presentar las alegaciones que estimasen pertinentes.</w:t>
      </w:r>
    </w:p>
    <w:p w:rsidR="0026452D" w:rsidRDefault="0026452D" w:rsidP="0026452D">
      <w:pPr>
        <w:pStyle w:val="TextoNormal"/>
      </w:pPr>
    </w:p>
    <w:p w:rsidR="0026452D" w:rsidRDefault="0026452D" w:rsidP="0026452D">
      <w:pPr>
        <w:pStyle w:val="TextoNormal"/>
      </w:pPr>
      <w:r w:rsidRPr="0026452D">
        <w:rPr>
          <w:rStyle w:val="NumeroAFNegritaCaracter"/>
        </w:rPr>
        <w:t>7</w:t>
      </w:r>
      <w:r>
        <w:t>. El Letrado de la Administración de la Seguridad Social presentó su escrito de alegaciones en este Tribunal el 18 de marzo de 2009. Sostiene que las quejas formuladas en la demanda de amparo carecen de fundamento, pues las reglas correctoras introducidas por la regla segunda del apartado 1 de la disposición adicional séptima LGSS, desarrollada por el Real Decreto 1131/2002 atenúan el criterio de proporcionalidad de la normativa anterior declarada inconstitucional y nula por la STC 253/2004, de forma que la nueva regulación no incurre en las tachas de desigualdad y discriminación indirecta por razón de sexo (art. 14 CE) que invoca la recurrente. Se trata de una regulación que es consecuencia del principio contributivo que informa el sistema español de Seguridad Social y que no puede considerarse lesiva del art. 14 CE, como lo ha venido a confirmar el Tribunal Constitucional en un asunto similar (ATC 200/2007, de 27 de marzo), referido al cómputo del periodo de trabajo a tiempo parcial de quien se acoge al derecho de reducción de jornada por cuidado de hijo menor de seis años o familiar a cargo [art. 37.5 del texto refundido de la Ley del estatuto de los trabajadores (LET)], con la consiguiente reducción proporcional de salario y cotizaciones.</w:t>
      </w:r>
    </w:p>
    <w:p w:rsidR="0026452D" w:rsidRDefault="0026452D" w:rsidP="0026452D">
      <w:pPr>
        <w:pStyle w:val="TextoNormal"/>
      </w:pPr>
    </w:p>
    <w:p w:rsidR="0026452D" w:rsidRDefault="0026452D" w:rsidP="0026452D">
      <w:pPr>
        <w:pStyle w:val="TextoNormal"/>
      </w:pPr>
      <w:r w:rsidRPr="0026452D">
        <w:rPr>
          <w:rStyle w:val="NumeroAFNegritaCaracter"/>
        </w:rPr>
        <w:t>8</w:t>
      </w:r>
      <w:r>
        <w:t>. El Ministerio Fiscal presentó en este Tribunal su escrito de alegaciones el 5 de marzo de 2009, interesando la denegación del amparo. Tras recordar la doctrina sentada por este Tribunal en la STC 253/2004 (reiterada en las SSTC 49/2005 y 50/2005), recaída en cuestión de inconstitucionalidad referida al art. 12.4 LET (en su redacción originaria dada por el Real Decreto Legislativo 1/1995), considera el Fiscal que la normativa posterior, aplicable al supuesto enjuiciado (regla segunda del apartado 1 de la disposición adicional séptima LGSS, en la redacción dada a la misma por el Real Decreto-ley 15/1998, y desarrollada por el Real Decreto 1131/2002), ha introducido una corrección específica para las prestaciones de jubilación e incapacidad permanente, consistente en un coeficiente multiplicador del 1,5 sobre los días teóricos de cotización, que facilita el acceso a la protección, en sintonía con lo apreciado en la referida doctrina constitucional, lo que conduce a excluir el pretendido efecto lesivo del derecho a la igualdad ante la ley y a no sufrir discriminación por razón de sexo (art. 14 CE) que aduce la recurrente.</w:t>
      </w:r>
    </w:p>
    <w:p w:rsidR="0026452D" w:rsidRDefault="0026452D" w:rsidP="0026452D">
      <w:pPr>
        <w:pStyle w:val="TextoNormal"/>
      </w:pPr>
    </w:p>
    <w:p w:rsidR="0026452D" w:rsidRDefault="0026452D" w:rsidP="0026452D">
      <w:pPr>
        <w:pStyle w:val="TextoNormal"/>
      </w:pPr>
      <w:r>
        <w:t>Según el Ministerio Fiscal, las Sentencias impugnadas en amparo han aplicado correctamente esta nueva normativa, pudiendo afirmarse que la finalidad perseguida con el diferente trato entre trabajo a tiempo completo y trabajo a tiempo parcial, atenuando la proporcionalidad estricta de la normativa precedente, no es otra que el equilibrio económico del sistema de la Seguridad Social, esto es, su viabilidad, estableciendo requisitos adaptados a las peculiares características de las respectivas modalidades contractuales e instaurando reglas proporcionales que atienden al tiempo efectivamente trabajado en cada supuesto, para completar el período mínimo de carencia exigido en todo caso. Se trata, en suma, de una normativa que supera los defectos de inconstitucionalidad apreciados en la normativa precedente y responde a la finalidad constitucionalmente legítima de asegurar el principio de contributividad que informa el sistema de Seguridad Social español (ATC 200/2007).</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9</w:t>
      </w:r>
      <w:r>
        <w:t>. La representación procesal de la recurrente no presentó alegaciones.</w:t>
      </w:r>
    </w:p>
    <w:p w:rsidR="0026452D" w:rsidRDefault="0026452D" w:rsidP="0026452D">
      <w:pPr>
        <w:pStyle w:val="TextoNormal"/>
      </w:pPr>
    </w:p>
    <w:p w:rsidR="0026452D" w:rsidRDefault="0026452D" w:rsidP="0026452D">
      <w:pPr>
        <w:pStyle w:val="TextoNormal"/>
      </w:pPr>
      <w:r w:rsidRPr="0026452D">
        <w:rPr>
          <w:rStyle w:val="NumeroAFNegritaCaracter"/>
        </w:rPr>
        <w:t>10</w:t>
      </w:r>
      <w:r>
        <w:t>. Mediante providencia de 20 de abril de 2009 la Sala Primera de este Tribunal acordó dejar pendiente de resolución el presente recurso de amparo en tanto no se resuelvan las cuestiones de inconstitucionalidad admitidas a trámite y pendientes de Sentencia (cuestiones núms. 5862-2003, 9157-2006, 763-2007 y 9020-2007), habida cuenta de que la queja en que se fundamenta este recurso —la incompatibilidad con el art. 14 CE de la regla segunda del apartado 1 de la disposición adicional séptima LGSS, norma de la que emana el Real Decreto 1131/2002— ha sido ya planteada ante este Tribunal en las referidas cuestiones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11</w:t>
      </w:r>
      <w:r>
        <w:t>. Por providencia de 5 de abril de 2013 se acordó señalar para deliberación y votación de la presente Sentencia el día 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objeto del presente recurso de amparo consiste en determinar si la aplicación realizada por el Instituto Nacional de la Seguridad Social, confirmada por las Sentencias recurridas, de lo establecido en la regla segunda del apartado 1 de la disposición adicional séptima de la Ley general de la Seguridad Social (en la redacción dada a la misma por el Real Decreto-ley 15/1998, de 27 de noviembre) y el Real Decreto 1131/2002, de 31 de octubre, a efectos de cómputo del período de cotización exigido para acceder a la pensión de incapacidad permanente absoluta derivada de enfermedad común, ha lesionado el derecho de la demandante a la igualdad en la ley y a no sufrir discriminación por razón de sexo (art. 14 CE), por el trato dispensado en su condición de trabajadora a tiempo parcial.</w:t>
      </w:r>
    </w:p>
    <w:p w:rsidR="0026452D" w:rsidRDefault="0026452D" w:rsidP="0026452D">
      <w:pPr>
        <w:pStyle w:val="TextoNormal"/>
      </w:pPr>
    </w:p>
    <w:p w:rsidR="0026452D" w:rsidRDefault="0026452D" w:rsidP="0026452D">
      <w:pPr>
        <w:pStyle w:val="TextoNormal"/>
      </w:pPr>
      <w:r>
        <w:t>En efecto, la demandante de amparo aduce que, aun cuando es cierto que la nueva regulación corrige en parte la rigidez de la normativa precedente —que fue declarada inconstitucional y nula por la STC 253/2004, de 22 de diciembre— al atenuar la regla de la proporcionalidad estricta mediante la aplicación del coeficiente multiplicador del 1,5, tal corrección no es completa, y sigue dando lugar a situaciones de desprotección, como ocurre precisamente en su caso, por lo que considera que la doctrina establecida en la STC 253/2004 resulta igualmente aplicable a la nueva regulación.</w:t>
      </w:r>
    </w:p>
    <w:p w:rsidR="0026452D" w:rsidRDefault="0026452D" w:rsidP="0026452D">
      <w:pPr>
        <w:pStyle w:val="TextoNormal"/>
      </w:pPr>
    </w:p>
    <w:p w:rsidR="0026452D" w:rsidRDefault="0026452D" w:rsidP="0026452D">
      <w:pPr>
        <w:pStyle w:val="TextoNormal"/>
      </w:pPr>
      <w:r>
        <w:t>Tanto el Letrado de la Administración de la Seguridad Social como el Ministerio Fiscal se oponen al otorgamiento del amparo, por entender que no concurre la alegada vulneración del art. 14 CE, toda vez que las resoluciones impugnadas han aplicado correctamente al caso el nuevo sistema de cómputo del período de cotización de los trabajadores a tiempo parcial para causar derecho a las pensiones de jubilación e invalidez permanente establecido en la regla segunda del apartado 1 de la disposición adicional séptima de la Ley general de la Seguridad Social (en la redacción dada a la misma por el Real Decreto-ley 15/1998) y el Real Decreto 1131/2002, regulación que supera los defectos de inconstitucionalidad apreciados por la citada STC 253/2004 en la normativa precedente y responde a la finalidad constitucionalmente legítima de asegurar el principio de contributividad que informa el sistema de Seguridad Social español.</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2</w:t>
      </w:r>
      <w:r>
        <w:t>. Como ha quedado expuesto en los antecedentes de la presente Sentencia, la queja en que se fundamenta este recurso de amparo (la incompatibilidad con el art. 14 CE de la regulación contenida en la regla segunda del apartado 1 de la disposición adicional séptima de la Ley general de la Seguridad Social y desarrollada por el Real Decreto 1131/2002, normativa cuya aplicación por las resoluciones impugnadas en amparo ha determinado la denegación a la demandante de la pensión de incapacidad permanente absoluta que solicitaba) había sido ya planteada ante este Tribunal en la cuestión de inconstitucionalidad núm. 5862-2003, así como en las posteriores cuestiones núms. 9157-2006, y 763-2007, todas ellas admitidas a trámite y pendientes de Sentencia a la fecha en que se presentó el presente recurso de amparo (y a las que se añadió la posterior cuestión núm. 9020-2007), lo que determinó que se dejase este pendiente de resolución en tanto no se resolviesen las referidas cuestiones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3</w:t>
      </w:r>
      <w:r>
        <w:t>. Resolviendo la cuestión de inconstitucionalidad núm. 5862-2003 a la que se acaba de hacer referencia, este Tribunal ha decidido en la reciente STC 61/2013, de 14 de marzo, declarar inconstitucional y nula la regla segunda del apartado 1 de la disposición adicional séptima de la Ley general de la Seguridad Social, en la redacción dada por el Real Decreto-ley 15/1998, en cuanto establece que para determinar los períodos de cotización necesarios para causar derecho a las prestaciones de Seguridad Social que señala, incluidas las de incapacidad permanente, se computarán exclusivamente las cotizaciones efectuadas en función de las horas trabajadas, calculando su equivalencia en días teóricos de cotización, obtenidos mediante la operación de dividir el número de horas trabajadas entre cinco, si bien en el caso de las pensiones de jubilación e incapacidad permanente se aplicará el coeficiente multiplicador del 1,5.</w:t>
      </w:r>
    </w:p>
    <w:p w:rsidR="0026452D" w:rsidRDefault="0026452D" w:rsidP="0026452D">
      <w:pPr>
        <w:pStyle w:val="TextoNormal"/>
      </w:pPr>
    </w:p>
    <w:p w:rsidR="0026452D" w:rsidRDefault="0026452D" w:rsidP="0026452D">
      <w:pPr>
        <w:pStyle w:val="TextoNormal"/>
      </w:pPr>
      <w:r>
        <w:t xml:space="preserve">Tras recordar la doctrina sentada por la STC 253/2004 sobre la normativa precedente y referirse asimismo a la Sentencia del Tribunal de Justicia de la Unión Europea de 22 de noviembre de 2012, asunto </w:t>
      </w:r>
      <w:r w:rsidRPr="0026452D">
        <w:rPr>
          <w:i/>
        </w:rPr>
        <w:t>Elbal Moreno c. España</w:t>
      </w:r>
      <w:r>
        <w:t>, dictada en relación con la prohibición de discriminación indirecta por razón de sexo derivada del art. 4 de la Directiva 79/7/CEE del Consejo —sobre aplicación progresiva del principio de igualdad de trato entre hombres y mujeres en materia de seguridad social—, y mediante la que se resuelve una cuestión prejudicial, relativa también a la regla segunda del apartado 1 de la disposición adicional séptima de la Ley general de la Seguridad Social, la STC 61/2013, FJ 6, considera “que las reglas que acompañan a la previsión cuestionada en relación con el cómputo de los períodos de cotización en los contratos a tiempo parcial para causar derecho a una prestación de jubilación no permiten superar los parámetros de justificación y proporcionalidad exigidos por el art. 14 CE, dado que las medidas de corrección en su momento introducidas no consiguen evitar los resultados especialmente gravosos y desmesurados a que la norma puede conducir”.</w:t>
      </w:r>
    </w:p>
    <w:p w:rsidR="0026452D" w:rsidRDefault="0026452D" w:rsidP="0026452D">
      <w:pPr>
        <w:pStyle w:val="TextoNormal"/>
      </w:pPr>
    </w:p>
    <w:p w:rsidR="0026452D" w:rsidRDefault="0026452D" w:rsidP="0026452D">
      <w:pPr>
        <w:pStyle w:val="TextoNormal"/>
      </w:pPr>
      <w:r>
        <w:t>En efecto, de acuerdo con nuestra STC 61/2013, FJ 6, “(r)especto a la primera de dichas reglas —atender a los días teóricos de cotización, obtenidos mediante la operación de dividir el número de horas trabajadas entre cinco— cabe señalar que más que tratarse, propiamente, de una corrección del principio de proporcionalidad estricta, nos encontramos ante un procedimiento de cálculo más preciso técnicamente para la aplicación de dicho principio. En todo caso, el resultado de su aplicación será que los trabajadores a tiempo completo acreditarán como cotizados el total de días naturales del período trabajado, mientras que los tra</w:t>
      </w:r>
      <w:r>
        <w:lastRenderedPageBreak/>
        <w:t>bajadores a tiempo parcial acreditarán un número de días inferior, determinado por el número de horas trabajadas. Por tanto, la norma sigue manteniendo una diferencia de trato en el cómputo de los períodos cotizados entre los trabajadores a tiempo completo y los trabajadores a tiempo parcial, basada en la aplicación de un criterio de proporcionalidad, referido no sólo a la cuantía de las bases reguladoras, sino también al cálculo de los períodos de carencia, criterio que este Tribunal, en su STC 253/2004, no consideró justificado por las exigencias de contributividad del sistema”.</w:t>
      </w:r>
    </w:p>
    <w:p w:rsidR="0026452D" w:rsidRDefault="0026452D" w:rsidP="0026452D">
      <w:pPr>
        <w:pStyle w:val="TextoNormal"/>
      </w:pPr>
    </w:p>
    <w:p w:rsidR="0026452D" w:rsidRDefault="0026452D" w:rsidP="0026452D">
      <w:pPr>
        <w:pStyle w:val="TextoNormal"/>
      </w:pPr>
      <w:r>
        <w:t>Continuando con la transcripción del fundamento jurídico 6 de esta Sentencia, en cuanto a la segunda regla, “que establece la aplicación de un coeficiente multiplicador de 1,5 al número de días teóricos de cotización obtenidos conforme a la regla anterior para determinar el período total de ocupación cotizado”, que es la “propiamente correctora de la aplicación estricta del criterio de proporcionalidad” (y que se aplica, exclusivamente, a las pensiones de jubilación e incapacidad permanente), en cuanto “supone, en definitiva, reconocer a los trabajadores contratados a tiempo parcial un plus de medio día cotizado por cada día teórico de cotización calculado conforme al criterio de proporcionalidad ya analizado, previéndose la aplicación de este plus con carácter uniforme para todos los trabajadores a tiempo parcial, con independencia de la duración mayor o menor de la jornada de trabajo realizada o del período más o menos amplio de tiempo acreditado a tiempo parcial dentro de la vida laboral de cada trabajador”, ya que “sin duda, esta segunda regla atenúa los efectos derivados de una estricta proporcionalidad, favoreciendo que los trabajadores a tiempo parcial puedan alcanzar los períodos de cotización exigidos para causar la prestación de jubilación … No obstante, su virtualidad como elemento de corrección es limitada, y ni siquiera en el ámbito de esta prestación se consiguen evitar los efectos desproporcionados que su aplicación conlleva en términos de desprotección social”.</w:t>
      </w:r>
    </w:p>
    <w:p w:rsidR="0026452D" w:rsidRDefault="0026452D" w:rsidP="0026452D">
      <w:pPr>
        <w:pStyle w:val="TextoNormal"/>
      </w:pPr>
    </w:p>
    <w:p w:rsidR="0026452D" w:rsidRDefault="0026452D" w:rsidP="0026452D">
      <w:pPr>
        <w:pStyle w:val="TextoNormal"/>
      </w:pPr>
      <w:r>
        <w:t>En efecto, esta regla correctora “facilitará, sin duda, el acceso a la protección de aquellos trabajadores a tiempo parcial con jornadas de trabajo de duración más elevada, así como el de aquellos en cuya vida laboral los períodos de trabajo a tiempo parcial representen una pequeña proporción respecto del conjunto. Sin embargo, cuando el trabajo a tiempo parcial no sea un episodio más o menos excepcional en la vida laboral del trabajador y cuando la jornada habitual del mismo no resulte muy elevada, la aplicación del criterio de proporcionalidad seguirá, a pesar de la regla correctora, constituyendo un obstáculo desproporcionado para su acceso a la pensión”, de modo que la aplicación del coeficiente multiplicador al criterio de proporcionalidad no impide que, en tales casos “se produzcan resultados desproporcionados pues, igual que ya dijimos en la STC 253/2004, ‘se dificulta el acceso mismo a la prestación, al exigir un mayor número de días trabajados para acreditar el periodo de carencia requerido en cada caso, lo que resulta especialmente gravoso o desmedido en el caso de trabajadores con extensos lapsos de vida laboral en situación de contrato a tiempo parcial y en relación con las prestaciones que exigen períodos de cotización elevados’ (FJ 6)” (STC 61/2013, FJ 6).</w:t>
      </w:r>
    </w:p>
    <w:p w:rsidR="0026452D" w:rsidRDefault="0026452D" w:rsidP="0026452D">
      <w:pPr>
        <w:pStyle w:val="TextoNormal"/>
      </w:pPr>
    </w:p>
    <w:p w:rsidR="0026452D" w:rsidRDefault="0026452D" w:rsidP="0026452D">
      <w:pPr>
        <w:pStyle w:val="TextoNormal"/>
      </w:pPr>
      <w:r>
        <w:t xml:space="preserve">Además, con cita de nuevo en este punto de la Sentencia del Tribunal de Justicia de la Unión Europea de 22 de noviembre de 2012, la STC 61/2013, FJ 6, constata que la corrección introducida por la regla segunda del apartado 1 de la disposición adicional séptima de la Ley general de la Seguridad Social tampoco aporta a la diferencia de trato entre trabajadores a tiempo completo y trabajadores a tiempo parcial (en cuanto al cumplimiento del requisito de carencia para el acceso a las prestaciones contributivas de Seguridad Social) la </w:t>
      </w:r>
      <w:r>
        <w:lastRenderedPageBreak/>
        <w:t>justificación de la que carecía en la regulación precedente, “diferenciación, por tanto, arbitraria y que además conduce a un resultado desproporcionado, al dificultar el acceso a la protección de la Seguridad Social de los trabajadores contratados a tiempo parcial”, conforme declaró la STC 253/2004, FJ 8.</w:t>
      </w:r>
    </w:p>
    <w:p w:rsidR="0026452D" w:rsidRDefault="0026452D" w:rsidP="0026452D">
      <w:pPr>
        <w:pStyle w:val="TextoNormal"/>
      </w:pPr>
    </w:p>
    <w:p w:rsidR="0026452D" w:rsidRDefault="0026452D" w:rsidP="0026452D">
      <w:pPr>
        <w:pStyle w:val="TextoNormal"/>
      </w:pPr>
      <w:r>
        <w:t>En definitiva, la STC 61/2013, FJ 6, concluye “que las diferencias de trato en cuanto al cómputo de los períodos de carencia que siguen experimentando los trabajadores a tiempo parcial respecto a los trabajadores a jornada completa se encuentran desprovistas de una justificación razonable que guarde la debida proporcionalidad entre la medida adoptada, el resultado producido y la finalidad pretendida”, lo que conduce a declarar que la regla segunda del apartado 1 de la disposición adicional séptima de la LGSS (en la redacción dada por el Real Decreto-ley 15/1998) vulnera el art. 14 CE, “tanto por lesionar el derecho a la igualdad, como también, a la vista de su predominante incidencia sobre el empleo femenino, por provocar una discriminación indirecta por razón de sexo”.</w:t>
      </w:r>
    </w:p>
    <w:p w:rsidR="0026452D" w:rsidRDefault="0026452D" w:rsidP="0026452D">
      <w:pPr>
        <w:pStyle w:val="TextoNormal"/>
      </w:pPr>
    </w:p>
    <w:p w:rsidR="0026452D" w:rsidRDefault="0026452D" w:rsidP="0026452D">
      <w:pPr>
        <w:pStyle w:val="TextoNormal"/>
      </w:pPr>
      <w:r w:rsidRPr="0026452D">
        <w:rPr>
          <w:rStyle w:val="NumeroAFNegritaCaracter"/>
        </w:rPr>
        <w:t>4</w:t>
      </w:r>
      <w:r>
        <w:t>. Por tanto, en la medida en que la concreta previsión contenida en la regla segunda del apartado 1 de la disposición adicional séptima de la Ley general de la Seguridad Social (en la redacción dada por el Real Decreto-ley 15/1998) ya ha sido declarada inconstitucional y nula por este Tribunal en la citada STC 61/2013 por vulnerar el art. 14 CE y que dicha previsión normativa es la que ha determinado la denegación de la pretensión de la recurrente debe concluirse, sin necesidad de mayores argumentos, que en el presente caso ha de otorgarse el amparo solicitado, por vulneración del derecho a la igualdad ante la ley y a no sufrir discriminación por razón de sexo (art. 14 CE), y restablecer a la recurrente en su derecho, para lo cual resulta suficiente, como hemos hecho en ocasiones semejantes (por todas, SSTC 49/2005 y 50/2005, ambas de 14 de marzo), con anular las Sentencias impugnadas en amparo y declarar la firmeza de la Sentencia del Juzgado de lo Social, ya que esta última resolución estimó la demanda de la recurrente en amparo y no incurrió, por tanto, en la vulneración del derecho fundamental que ahora declaramos.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a doña María Ángeles Villota Barrio el amparo solicitado y, en consecuencia:</w:t>
      </w:r>
    </w:p>
    <w:p w:rsidR="0026452D" w:rsidRDefault="0026452D" w:rsidP="0026452D">
      <w:pPr>
        <w:pStyle w:val="TextoNormal"/>
      </w:pPr>
    </w:p>
    <w:p w:rsidR="0026452D" w:rsidRDefault="0026452D" w:rsidP="0026452D">
      <w:pPr>
        <w:pStyle w:val="TextoNormal"/>
      </w:pPr>
      <w:r>
        <w:t>1º Reconocer su derecho fundamental a la igualdad ante la ley y a no sufrir discriminación por razón de sexo (art. 14 CE).</w:t>
      </w:r>
    </w:p>
    <w:p w:rsidR="0026452D" w:rsidRDefault="0026452D" w:rsidP="0026452D">
      <w:pPr>
        <w:pStyle w:val="TextoNormal"/>
      </w:pPr>
    </w:p>
    <w:p w:rsidR="0026452D" w:rsidRDefault="0026452D" w:rsidP="0026452D">
      <w:pPr>
        <w:pStyle w:val="TextoNormal"/>
      </w:pPr>
      <w:r>
        <w:t>2º Anular la Sentencia de la Sala de lo Social del Tribunal Supremo de 16 de mayo de 2007, dictada en el recurso de casación para la unificación de doctrina núm. 2314-2006, así como la Sentencia de la Sala de lo Social del Tribunal Superior de Justicia de Cataluña de 23 de marzo de 2006, dictada en el recurso de suplicación núm. 4718-2005, y declarar la firmeza de la Sentencia de 22 de abril de 2005 del Juzgado de lo Social núm. 2 de Girona dictada en los autos núm. 148-2005.</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ocho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75" w:name="SENTENCIA_2013_72"/>
      <w:r>
        <w:lastRenderedPageBreak/>
        <w:t>SENTENCIA 72/2013, de 8 de abril de 2013</w:t>
      </w:r>
    </w:p>
    <w:bookmarkEnd w:id="75"/>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ECLI:ES:TC:2013:72</w:t>
      </w:r>
    </w:p>
    <w:p w:rsidR="0026452D" w:rsidRDefault="0026452D" w:rsidP="0026452D">
      <w:pPr>
        <w:pStyle w:val="SntesisDescriptiva"/>
      </w:pPr>
    </w:p>
    <w:p w:rsidR="0026452D" w:rsidRDefault="0026452D" w:rsidP="0026452D">
      <w:pPr>
        <w:pStyle w:val="SntesisDescriptiva"/>
      </w:pPr>
      <w:r>
        <w:t>Recurso de amparo 154-2008. Promovido por doña Dolores Moreno del Arco en relación con las resoluciones de un Juzgado de lo Social de Jaén, del Tribunal Superior de Justicia de Andalucía, sede de Granada, y del Tribunal Supremo, que desestimaron su demanda de jubilación.</w:t>
      </w:r>
    </w:p>
    <w:p w:rsidR="0026452D" w:rsidRDefault="0026452D" w:rsidP="0026452D">
      <w:pPr>
        <w:pStyle w:val="SntesisDescriptiva"/>
      </w:pPr>
    </w:p>
    <w:p w:rsidR="0026452D" w:rsidRDefault="0026452D" w:rsidP="0026452D">
      <w:pPr>
        <w:pStyle w:val="SntesisAnaltica"/>
      </w:pPr>
      <w:r>
        <w:t>Vulneración de los derechos a la igualdad en la ley y a no sufrir discriminación por razón de sexo: STC 61/2013 (determinación de los períodos de cotización de las prestaciones de Seguridad Social computando exclusivamente las horas trabajadas, en perjuicio de las trabajadoras a tiempo parcial).</w:t>
      </w:r>
    </w:p>
    <w:p w:rsidR="0026452D" w:rsidRDefault="0026452D" w:rsidP="0026452D">
      <w:pPr>
        <w:pStyle w:val="SntesisAnaltica"/>
      </w:pPr>
    </w:p>
    <w:p w:rsidR="0026452D" w:rsidRDefault="0026452D" w:rsidP="0026452D">
      <w:pPr>
        <w:pStyle w:val="Extracto"/>
      </w:pPr>
      <w:r>
        <w:t>1.</w:t>
      </w:r>
      <w:r>
        <w:tab/>
        <w:t>Aplica la doctrina sobre inconstitucionalidad de la regla de cálculo de los periodos de cotización necesarios para causar derecho a las prestaciones de Seguridad Social en el caso de trabajadores a tiempo parcial de la STC 61/2013 [FJ 2].</w:t>
      </w:r>
    </w:p>
    <w:p w:rsidR="0026452D" w:rsidRDefault="0026452D" w:rsidP="0026452D">
      <w:pPr>
        <w:pStyle w:val="Extracto"/>
      </w:pPr>
    </w:p>
    <w:p w:rsidR="0026452D" w:rsidRDefault="0026452D" w:rsidP="0026452D">
      <w:pPr>
        <w:pStyle w:val="Extracto"/>
      </w:pPr>
      <w:r>
        <w:t>2.</w:t>
      </w:r>
      <w:r>
        <w:tab/>
        <w:t>Las reglas que acompañan a la previsión cuestionada en relación con el cómputo de los períodos de cotización en los contratos a tiempo parcial para causar derecho a una prestación de jubilación no permiten superar los parámetros de justificación y proporcionalidad exigidos por el art. 14 CE, dado que las medidas de corrección en su momento introducidas no consiguen evitar los resultados especialmente gravosos y desmesurados a que la norma puede conducir (STC 61/2013) [FJ 2].</w:t>
      </w:r>
    </w:p>
    <w:p w:rsidR="0026452D" w:rsidRDefault="0026452D" w:rsidP="0026452D">
      <w:pPr>
        <w:pStyle w:val="Extracto"/>
      </w:pPr>
    </w:p>
    <w:p w:rsidR="0026452D" w:rsidRDefault="0026452D" w:rsidP="0026452D">
      <w:pPr>
        <w:pStyle w:val="Extracto"/>
      </w:pPr>
      <w:r>
        <w:t>3.</w:t>
      </w:r>
      <w:r>
        <w:tab/>
        <w:t>Las diferencias de trato en el cómputo de los períodos de carencia que experimentan los trabajadores a tiempo parcial respecto a los trabajadores a jornada completa se encuentran desprovistas de una justificación razonable que guarde la debida proporcionalidad entre la medida adoptada, el resultado producido y la finalidad pretendida, por lo que hemos de declarar que la norma cuestionada vulnera el art. 14 CE, tanto por lesionar el derecho a la igualdad, como también, a la vista de su predominante incidencia sobre el empleo femenino, por provocar una discriminación indirecta por razón de sexo (STC 61/2013)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amparo núm. 154-2008, promovido por doña Dolores Moreno del Arco, representada por la Procuradora de los Tribunales doña Carmen Tello Borrell y asistida por el Abogado don Alberto Manzaneda Ávila, contra las Sentencias del Juzgado de lo Social núm. 1 de Jaén, de 9 de enero de 2006, dictada en autos núm. 504-2005 sobre prestaciones de Seguridad Social; de la Sala de lo Social del Tribunal Superior de Justicia de Andalucía, sede de Granada, de 5 de diciembre de 2006, que confirmó la anterior resolución al desestimar el recurso de suplicación formalizado por la demandante de amparo, y el Auto de 10 de octubre de 2007 de la Sala de lo Social del Tribunal Supremo, que inadmitió el sucesivo recurso de casación para la unificación de doctrina. Ha sido parte el Instituto Nacional de la Seguridad Social (INSS), asistido y representado por la Letrada de la Administración de la Seguridad Social. Ha intervenido el Ministerio Fiscal. Ha sido Ponente el Magistrado don Fernando Valdés Dal-Ré,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Por escrito presentado en el Registro General de este Tribunal el día 8 de enero de 2008, doña Carmen Tello Borrell, en nombre y representación de doña Dolores Moreno del Arco, presentó recurso de amparo contra las resoluciones judiciales citadas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de los que trae causa la demanda de amparo, relevantes para la resolución del recurso, son los siguientes:</w:t>
      </w:r>
    </w:p>
    <w:p w:rsidR="0026452D" w:rsidRDefault="0026452D" w:rsidP="0026452D">
      <w:pPr>
        <w:pStyle w:val="TextoNormal"/>
      </w:pPr>
    </w:p>
    <w:p w:rsidR="0026452D" w:rsidRDefault="0026452D" w:rsidP="0026452D">
      <w:pPr>
        <w:pStyle w:val="TextoNormal"/>
      </w:pPr>
      <w:r>
        <w:t>a) La demandante de amparo, señora Moreno del Arco, afiliada al régimen general de la Seguridad Social, solicitó pensión de jubilación en fecha 7 de junio de 2005. La petición fue denegada por resolución de la Dirección provincial de Jaén del INSS, de 16 de junio de 2005, que razonaba que la solicitante no reunía el período mínimo de cotización de quince años de carencia genérica prescrito en el art. 161.1 b) de la Ley general de la Seguridad Social (LGSS), aprobada por Real Decreto Legislativo 1/1994, de 20 de junio, en la redacción dada por el apartado uno del art. 4 de la Ley 24/1997, de 15 de julio, “ya que solo son computables 2.070 días incluida la parte proporcional de pagas extraordinarias (cotizaciones efectuadas tiempo parcial)” siendo necesario reunir 5.465 días.</w:t>
      </w:r>
    </w:p>
    <w:p w:rsidR="0026452D" w:rsidRDefault="0026452D" w:rsidP="0026452D">
      <w:pPr>
        <w:pStyle w:val="TextoNormal"/>
      </w:pPr>
    </w:p>
    <w:p w:rsidR="0026452D" w:rsidRDefault="0026452D" w:rsidP="0026452D">
      <w:pPr>
        <w:pStyle w:val="TextoNormal"/>
      </w:pPr>
      <w:r>
        <w:t>Según los hechos probados, la demandante tiene acreditados como periodos de cotización a tiempo parcial los comprendidos entre el 1 de marzo de 1990 y el 17 de septiembre de 2002, y entre el 18 de septiembre de 2002 y 31 de mayo de 2005.</w:t>
      </w:r>
    </w:p>
    <w:p w:rsidR="0026452D" w:rsidRDefault="0026452D" w:rsidP="0026452D">
      <w:pPr>
        <w:pStyle w:val="TextoNormal"/>
      </w:pPr>
    </w:p>
    <w:p w:rsidR="0026452D" w:rsidRDefault="0026452D" w:rsidP="0026452D">
      <w:pPr>
        <w:pStyle w:val="TextoNormal"/>
      </w:pPr>
      <w:r>
        <w:t xml:space="preserve">b) Una vez agotada la vía previa, la actora interpuso demanda contra la denegación del INSS, que fue desestimada por Sentencia de 9 de enero de 2006 del Juzgado de lo Social núm. 1 de Jaén. Razona la Sentencia que resulta de aplicación la disposición adicional séptima LGSS, que fija las normas aplicables a los trabajadores contratados a tiempo parcial, así como el art. 3 del Real Decreto 1131/2002, de 31 de octubre, por el que se regula la seguridad social de los trabajadores contratados a tiempo parcial, normas que estima acordes con lo establecido en el art. 12.4 d) del texto refundido de la Ley del estatuto de los trabajadores (LET) y con el principio de igualdad y no discriminación del art. 14 CE, toda vez que </w:t>
      </w:r>
      <w:r>
        <w:lastRenderedPageBreak/>
        <w:t>tratan de asegurar la protección social de los trabajadores a tiempo parcial, lo que sin embargo no implica una igualdad absoluta entre el cómputo de las cotizaciones efectuadas por un trabajador que realiza jornada completa y uno con jornada parcial, pues las situaciones que se comparan no son idénticas, sino diferentes, existiendo una base objetiva razonable para que el cálculo de sus cotizaciones se produzca de forma distinta.</w:t>
      </w:r>
    </w:p>
    <w:p w:rsidR="0026452D" w:rsidRDefault="0026452D" w:rsidP="0026452D">
      <w:pPr>
        <w:pStyle w:val="TextoNormal"/>
      </w:pPr>
    </w:p>
    <w:p w:rsidR="0026452D" w:rsidRDefault="0026452D" w:rsidP="0026452D">
      <w:pPr>
        <w:pStyle w:val="TextoNormal"/>
      </w:pPr>
      <w:r>
        <w:t>En consecuencia, declara que la resolución impugnada realizó correctamente el cómputo de días de cotización para calcular el periodo de carencia, derivándose que la solicitante no reunía el periodo mínimo de cotización de quince años que reclama el artículo 161.1 b) LGSS.</w:t>
      </w:r>
    </w:p>
    <w:p w:rsidR="0026452D" w:rsidRDefault="0026452D" w:rsidP="0026452D">
      <w:pPr>
        <w:pStyle w:val="TextoNormal"/>
      </w:pPr>
    </w:p>
    <w:p w:rsidR="0026452D" w:rsidRDefault="0026452D" w:rsidP="0026452D">
      <w:pPr>
        <w:pStyle w:val="TextoNormal"/>
      </w:pPr>
      <w:r>
        <w:t xml:space="preserve">c) Contra la citada Sentencia interpuso recurso de suplicación la demandante de amparo, que fue desestimado por Sentencia de la Sala de lo Social del Tribunal Superior de Justicia de Andalucía, sede de Granada, de 5 de diciembre de 2006. La Sentencia reitera el criterio formulado por el juzgador </w:t>
      </w:r>
      <w:r w:rsidRPr="0026452D">
        <w:rPr>
          <w:i/>
        </w:rPr>
        <w:t>a quo</w:t>
      </w:r>
      <w:r>
        <w:t xml:space="preserve"> en orden a la justificación de la diferencia normativa en las cotizaciones del contrato de trabajo a tiempo completo y a tiempo parcial; regulación que no resulta a criterio de la Sala contraria al principio de igualdad y no discriminación proclamado por la Constitución. Razona que las normas aplicables establecen unas reglas especiales de cómputo de las cotizaciones para los trabajadores a tiempo parcial, plasmadas en el art. 3 del Real Decreto 1131/2002, fundamentalmente en el apartado 2 del mismo, que prevé la aplicación de un coeficiente multiplicador de 1,5 al número de días teóricos de cotización obtenidos, conforme a lo dispuesto en su apartado 1, con lo que se trata de asegurar la protección social de los trabajadores a tiempo parcial, sin que el hecho de no imponer una igualdad absoluta entre el cómputo de las cotizaciones efectuadas por un trabajador que realiza jornada completa y uno que realiza jornada parcial suponga trato discriminatorio alguno. Por consiguiente, prosigue, no se daría en la regulación actual la situación que censuró el Tribunal Constitucional en la STC 253/2004, de 22 de diciembre, que declaró inconstitucional y nulo el párrafo segundo del art. 12.4 LET, en cuanto que establecía que para determinar los períodos de cotización de las prestaciones de Seguridad Social, incluida la de protección por desempleo, se computaban exclusivamente las horas trabajadas. La actual regulación, en cambio, dice la Sala, adecúa al principio de proporcionalidad las situaciones de cotización de los trabajadores a tiempo parcial y a jornada completa, situaciones desiguales que justifican la regulación atenuada con criterios o coeficientes correctores.</w:t>
      </w:r>
    </w:p>
    <w:p w:rsidR="0026452D" w:rsidRDefault="0026452D" w:rsidP="0026452D">
      <w:pPr>
        <w:pStyle w:val="TextoNormal"/>
      </w:pPr>
    </w:p>
    <w:p w:rsidR="0026452D" w:rsidRDefault="0026452D" w:rsidP="0026452D">
      <w:pPr>
        <w:pStyle w:val="TextoNormal"/>
      </w:pPr>
      <w:r>
        <w:t>d) Interpuesto por la ahora demandante en amparo recurso de casación para la unificación de doctrina contra la anterior Sentencia, fue inadmitido por Auto de la Sala de lo Social del Tribunal Supremo, de 10 de octubre de 2007, por falta de contradicción entre las Sentencias a contraste, toda vez que en ellas se aplicaban previsiones normativas no coincidentes.</w:t>
      </w:r>
    </w:p>
    <w:p w:rsidR="0026452D" w:rsidRDefault="0026452D" w:rsidP="0026452D">
      <w:pPr>
        <w:pStyle w:val="TextoNormal"/>
      </w:pPr>
    </w:p>
    <w:p w:rsidR="0026452D" w:rsidRDefault="0026452D" w:rsidP="0026452D">
      <w:pPr>
        <w:pStyle w:val="TextoNormal"/>
      </w:pPr>
      <w:r w:rsidRPr="0026452D">
        <w:rPr>
          <w:rStyle w:val="NumeroAFNegritaCaracter"/>
        </w:rPr>
        <w:t>3</w:t>
      </w:r>
      <w:r>
        <w:t>. La demandante de amparo denuncia la infracción del art. 14 CE, al haberse desatendido la doctrina constitucional de las SSTC 253/2004, de 22 de diciembre, y 50/2005, de 14 de marzo. A su criterio, la regulación que le ha sido aplicada (disposición adicional séptima LGSS y desarrollo reglamentario) intentó atemperar el cálculo del período de cotización en el trabajo a tiempo parcial, pero no logra el fin perseguido, como acredita el caso de la recurrente en el que con quince años y dos meses de cotización a tiempo parcial ha obtenido sólo la acreditación real de 2.070 días, por lo que para alcanzar los 5.465 días requeridos precisaría de más de treinta años de cotización. Se produce, por tanto, una absoluta falta de proporcionalidad y una injustificada dificultad de acceso a la prestación.</w:t>
      </w:r>
    </w:p>
    <w:p w:rsidR="0026452D" w:rsidRDefault="0026452D" w:rsidP="0026452D">
      <w:pPr>
        <w:pStyle w:val="TextoNormal"/>
      </w:pPr>
    </w:p>
    <w:p w:rsidR="0026452D" w:rsidRDefault="0026452D" w:rsidP="0026452D">
      <w:pPr>
        <w:pStyle w:val="TextoNormal"/>
      </w:pPr>
      <w:r>
        <w:t>La nueva regulación legal, en suma, no elimina los vicios de inconstitucionalidad contenidos en la que fue anulada en su día por el Tribunal Constitucional, sino que incide en ellos, disponiendo para las mujeres trabajadoras a tiempo parcial un sistema de acceso a la prestación contributiva por jubilación desproporcionado, de injustificada dificultad para ser acreedor del derecho y, por darse especialmente en el empleo femenino, discriminatorio indirectamente por razón del sexo.</w:t>
      </w:r>
    </w:p>
    <w:p w:rsidR="0026452D" w:rsidRDefault="0026452D" w:rsidP="0026452D">
      <w:pPr>
        <w:pStyle w:val="TextoNormal"/>
      </w:pPr>
    </w:p>
    <w:p w:rsidR="0026452D" w:rsidRDefault="0026452D" w:rsidP="0026452D">
      <w:pPr>
        <w:pStyle w:val="TextoNormal"/>
      </w:pPr>
      <w:r w:rsidRPr="0026452D">
        <w:rPr>
          <w:rStyle w:val="NumeroAFNegritaCaracter"/>
        </w:rPr>
        <w:t>4</w:t>
      </w:r>
      <w:r>
        <w:t>. En virtud de providencia de la Sala Primera, de 26 de julio de 2010, se acordó la admisión a trámite de la demanda de amparo, solicitándose la certificación o fotocopia adverada de las actuaciones a los órganos judiciales que intervinieron en los diferentes grados jurisdiccionales, antes citados, así como la práctica de los emplazamientos correspondientes.</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en este Tribunal el 3 de septiembre de 2010, el Letrado de la Administración de la Seguridad Social, actuando en nombre y representación del INSS, solicitó se le tuviera por personado y parte en el procedimiento.</w:t>
      </w:r>
    </w:p>
    <w:p w:rsidR="0026452D" w:rsidRDefault="0026452D" w:rsidP="0026452D">
      <w:pPr>
        <w:pStyle w:val="TextoNormal"/>
      </w:pPr>
    </w:p>
    <w:p w:rsidR="0026452D" w:rsidRDefault="0026452D" w:rsidP="0026452D">
      <w:pPr>
        <w:pStyle w:val="TextoNormal"/>
      </w:pPr>
      <w:r w:rsidRPr="0026452D">
        <w:rPr>
          <w:rStyle w:val="NumeroAFNegritaCaracter"/>
        </w:rPr>
        <w:t>6</w:t>
      </w:r>
      <w:r>
        <w:t>. Por diligencia de ordenación de la Secretaría de Justicia de la Sección Segunda de este Tribunal, de 30 de marzo de 2011, se tuvieron por recibidos los testimonios de las actuaciones y el escrito del Letrado de la Administración de la Seguridad Social, a quien se tuvo por personado y parte en la representación que ostenta, acordándose abrir el plazo común de veinte días al Ministerio Fiscal y a las partes personadas, de conformidad con el art. 52 de la Ley Orgánica del Tribunal Constitucional, para que pudieran presentar las alegaciones que a su derecho conviniere.</w:t>
      </w:r>
    </w:p>
    <w:p w:rsidR="0026452D" w:rsidRDefault="0026452D" w:rsidP="0026452D">
      <w:pPr>
        <w:pStyle w:val="TextoNormal"/>
      </w:pPr>
    </w:p>
    <w:p w:rsidR="0026452D" w:rsidRDefault="0026452D" w:rsidP="0026452D">
      <w:pPr>
        <w:pStyle w:val="TextoNormal"/>
      </w:pPr>
      <w:r w:rsidRPr="0026452D">
        <w:rPr>
          <w:rStyle w:val="NumeroAFNegritaCaracter"/>
        </w:rPr>
        <w:t>7</w:t>
      </w:r>
      <w:r>
        <w:t>. Mediante escrito registrado en este Tribunal el 5 de mayo de 2011, la representación procesal de la parte recurrente en amparo cumplimentó el trámite de alegaciones reiterando su escrito de demanda.</w:t>
      </w:r>
    </w:p>
    <w:p w:rsidR="0026452D" w:rsidRDefault="0026452D" w:rsidP="0026452D">
      <w:pPr>
        <w:pStyle w:val="TextoNormal"/>
      </w:pPr>
    </w:p>
    <w:p w:rsidR="0026452D" w:rsidRDefault="0026452D" w:rsidP="0026452D">
      <w:pPr>
        <w:pStyle w:val="TextoNormal"/>
      </w:pPr>
      <w:r w:rsidRPr="0026452D">
        <w:rPr>
          <w:rStyle w:val="NumeroAFNegritaCaracter"/>
        </w:rPr>
        <w:t>8</w:t>
      </w:r>
      <w:r>
        <w:t>. La representación del INSS presentó sus alegaciones con fecha 5 de mayo de 2011, solicitando la desestimación del recurso. En lo que atañe estrictamente a las quejas formuladas, destaca que los parámetros de la legislación aplicada atienden, con criterios de proporcionalidad, al esfuerzo y desgaste del trabajador a tiempo parcial, inferior al propio de quien trabaja a tiempo completo, así como a la contribución económica al sistema, diferencias sustanciales éstas que justifican la distinta regulación normativa de sus situaciones, ya que lo contrario sería discriminatorio para los trabajadores a tiempo completo.</w:t>
      </w:r>
    </w:p>
    <w:p w:rsidR="0026452D" w:rsidRDefault="0026452D" w:rsidP="0026452D">
      <w:pPr>
        <w:pStyle w:val="TextoNormal"/>
      </w:pPr>
    </w:p>
    <w:p w:rsidR="0026452D" w:rsidRDefault="0026452D" w:rsidP="0026452D">
      <w:pPr>
        <w:pStyle w:val="TextoNormal"/>
      </w:pPr>
      <w:r w:rsidRPr="0026452D">
        <w:rPr>
          <w:rStyle w:val="NumeroAFNegritaCaracter"/>
        </w:rPr>
        <w:t>9</w:t>
      </w:r>
      <w:r>
        <w:t>. El Fiscal ante el Tribunal Constitucional presentó sus alegaciones mediante escrito registrado el día 9 de mayo de 2011, interesando la denegación del amparo solicitado.</w:t>
      </w:r>
    </w:p>
    <w:p w:rsidR="0026452D" w:rsidRDefault="0026452D" w:rsidP="0026452D">
      <w:pPr>
        <w:pStyle w:val="TextoNormal"/>
      </w:pPr>
    </w:p>
    <w:p w:rsidR="0026452D" w:rsidRDefault="0026452D" w:rsidP="0026452D">
      <w:pPr>
        <w:pStyle w:val="TextoNormal"/>
      </w:pPr>
      <w:r>
        <w:t xml:space="preserve">Recuerda el Ministerio público que la prestación a la que se refiere la demanda de amparo es una prestación contributiva, y por ello dependiente de las cotizaciones del sujeto protegido, y sostiene que la finalidad perseguida con el diferente trato normativo no es otra que el equilibrio económico del sistema de la Seguridad Social, esto es, su viabilidad, estableciendo requisitos adaptados a las peculiares características de las respectivas modalidades </w:t>
      </w:r>
      <w:r>
        <w:lastRenderedPageBreak/>
        <w:t>contractuales e instaurando reglas proporcionales que atienden al tiempo efectivamente trabajado en cada supuesto, para completar el período mínimo de carencia exigido en todo caso. No puede excluirse que el legislador, apreciando la importancia relativa de las situaciones de necesidad a satisfacer, regule, en atención a las circunstancias indicadas, el nivel y condiciones de las prestaciones o las modifique para adaptarlas a las necesidades del momento, máxime cuando los arts. 41 y 50 CE no constriñen al establecimiento de un único sistema prestacional fundado en principios idénticos, ni a la regulación de unos mismos requisitos o la previsión de iguales circunstancias determinantes del nacimiento del derecho.</w:t>
      </w:r>
    </w:p>
    <w:p w:rsidR="0026452D" w:rsidRDefault="0026452D" w:rsidP="0026452D">
      <w:pPr>
        <w:pStyle w:val="TextoNormal"/>
      </w:pPr>
    </w:p>
    <w:p w:rsidR="0026452D" w:rsidRDefault="0026452D" w:rsidP="0026452D">
      <w:pPr>
        <w:pStyle w:val="TextoNormal"/>
      </w:pPr>
      <w:r>
        <w:t>En atención a tales argumentos, concluye que no se ha producido la lesión del art. 14 CE, ya que los órganos judiciales han resuelto teniendo en cuenta una causa justificadora del diferente trato otorgado a la situación de la demandante de amparo y la correspondiente a los trabajadores a tiempo completo, que no es otra que la contributividad del sistema aunque sin llegar a la exigencia de una proporcionalidad estricta.</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5 de abril de 2013 se señaló para la deliberación y votación de la presente Sentencia el día 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Como ha quedado expuesto en los antecedentes, la recurrente en amparo, afiliada al régimen general de la Seguridad Social, solicitó pensión de jubilación en fecha 7 de junio de 2005, que le fue denegada por resolución de la Dirección provincial de Jaén del Instituto Nacional de la Seguridad Social (INSS), de 16 de junio de 2005, porque no reunía el período mínimo de cotización de quince años de carencia prescrito en el art. 161.1 b) de la Ley general de la Seguridad Social (LGSS). La resolución fue confirmada por la Sentencia de 9 de enero de 2006 del Juzgado de lo Social núm. 1 de Jaén y, posteriormente, por la de la Sala de lo Social del Tribunal Superior de Justicia de Andalucía, sede de Granada, de 5 de diciembre de 2006, que estimaron que la disposición adicional séptima LGSS, en la redacción dada por el Real Decreto-ley 15/1998, de 27 de noviembre, aplicada al caso, respeta el art. 14 CE, en contra de lo que aducía la recurrente. A juicio de ésta, en efecto, dicha regulación no elimina los vicios de inconstitucionalidad contenidos en la que anuló en su día este Tribunal (STC 253/2004, de 22 de diciembre), sino que reincide en los mismos, estableciendo para las mujeres trabajadoras a tiempo parcial un sistema de acceso a la prestación contributiva por jubilación desproporcionado, de injustificada dificultad para ser acreedor del derecho y, por darse especialmente en el empleo femenino, discriminatorio indirectamente por razón del sexo.</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Planteado el presente amparo </w:t>
      </w:r>
      <w:r w:rsidRPr="0026452D">
        <w:rPr>
          <w:i/>
        </w:rPr>
        <w:t>ex</w:t>
      </w:r>
      <w:r>
        <w:t xml:space="preserve"> art. 43 de la Ley Orgánica del Tribunal Constitucional en los términos expuestos, la respuesta ha de ser forzosamente concisa e inequívoca a la luz de nuestra reciente STC 61/2013, de 14 de marzo, por la que el Pleno de este Tribunal ha declarado inconstitucional y nula la regla segunda del apartado 1 de la disposición adicional séptima de la Ley general de la Seguridad Social, texto refundido aprobado por Real Decreto Legislativo 1/1994, de 20 de junio, en la redacción dada por el Real Decreto-ley 15/1998, de 27 de noviembre. En ese pronunciamiento hemos establecido que las reglas que acompañan a la previsión cuestionada en relación con el cómputo de los períodos de cotización </w:t>
      </w:r>
      <w:r>
        <w:lastRenderedPageBreak/>
        <w:t>en los contratos a tiempo parcial para causar derecho a una prestación de jubilación no permiten superar los parámetros de justificación y proporcionalidad exigidos por el art. 14 CE, dado que las medidas de corrección en su momento introducidas no consiguen evitar los resultados especialmente gravosos y desmesurados a que la norma puede conducir. Las diferencias de trato en cuanto al cómputo de los períodos de carencia que siguen experimentando los trabajadores a tiempo parcial respecto a los trabajadores a jornada completa se encuentran desprovistas de una justificación razonable que guarde la debida proporcionalidad entre la medida adoptada, el resultado producido y la finalidad pretendida. Razón por la que declaramos que la norma cuestionada vulnera el art. 14 CE, tanto por lesionar el derecho a la igualdad, como también, a la vista de su predominante incidencia sobre el empleo femenino, por provocar una discriminación indirecta por razón de sexo.</w:t>
      </w:r>
    </w:p>
    <w:p w:rsidR="0026452D" w:rsidRDefault="0026452D" w:rsidP="0026452D">
      <w:pPr>
        <w:pStyle w:val="TextoNormal"/>
      </w:pPr>
    </w:p>
    <w:p w:rsidR="0026452D" w:rsidRDefault="0026452D" w:rsidP="0026452D">
      <w:pPr>
        <w:pStyle w:val="TextoNormal"/>
      </w:pPr>
      <w:r>
        <w:t>Por tanto, en la medida en que esta concreta previsión ya ha sido declarada inconstitucional por este Tribunal por vulnerar el art. 14 CE, y que es la que ha determinado la denegación de la pretensión de la recurrente, deberá concluirse, sin necesidad de razonamientos adicionales, que en el presente caso ha de otorgarse el amparo solicitado.</w:t>
      </w:r>
    </w:p>
    <w:p w:rsidR="0026452D" w:rsidRDefault="0026452D" w:rsidP="0026452D">
      <w:pPr>
        <w:pStyle w:val="TextoNormal"/>
      </w:pPr>
    </w:p>
    <w:p w:rsidR="0026452D" w:rsidRDefault="0026452D" w:rsidP="0026452D">
      <w:pPr>
        <w:pStyle w:val="TextoNormal"/>
      </w:pPr>
      <w:r w:rsidRPr="0026452D">
        <w:rPr>
          <w:rStyle w:val="NumeroAFNegritaCaracter"/>
        </w:rPr>
        <w:t>3</w:t>
      </w:r>
      <w:r>
        <w:t>. La determinación de los efectos del otorgamiento del amparo y el alcance del restablecimiento de la recurrente en la integridad de su derecho exigen tomar en consideración los siguientes extremos. En primer lugar, el Auto de la Sala de lo Social del Tribunal Supremo impugnado, en su labor de unificación de doctrina, se ha limitado a apreciar el incumplimiento de un requisito de acceso al recurso, sin que en sí mismo implique vulneración alguna. Ello no impide, sin embargo, como ya se ha afirmado en otras ocasiones por este Tribunal (por todas, STC 49/2005, de 14 de marzo, FJ 4), que deba ser anulado en la medida en que confirma y declara firme la Sentencia dictada en suplicación, que sí es contraria al art. 14 CE, al igual que ocurre con la dictada en instancia por el Juzgado de lo Social núm.1 de Jaén.</w:t>
      </w:r>
    </w:p>
    <w:p w:rsidR="0026452D" w:rsidRDefault="0026452D" w:rsidP="0026452D">
      <w:pPr>
        <w:pStyle w:val="TextoNormal"/>
      </w:pPr>
    </w:p>
    <w:p w:rsidR="0026452D" w:rsidRDefault="0026452D" w:rsidP="0026452D">
      <w:pPr>
        <w:pStyle w:val="TextoNormal"/>
      </w:pPr>
      <w:r>
        <w:t>En segundo lugar, en el presente caso resultará necesaria la retroacción de actuaciones. En relación con ella, pese a dirigirse formalmente la demanda de amparo contra las Sentencias y el Auto recaídos en el proceso laboral, debe advertirse que el recurso se opone en última instancia a la resolución del INSS que aquellas resoluciones judiciales han venido a confirmar. Teniendo en cuenta, por una parte, que no corresponde a este Tribunal seleccionar e interpretar la norma aplicable en el ámbito de la legalidad ordinaria una vez declarada la inconstitucionalidad de la norma aplicada a la demandante y, por otra, que ninguna de las resoluciones judiciales que conocieron de la cuestión sustantiva se ajusta a las exigencias del art. 14 CE, será procedente restablecer el derecho vulnerado retrotrayendo las actuaciones al momento inmediatamente anterior al del dictado de la resolución administrativa, que fue ratificada en el proceso, a fin de que se dicte una nueva respetuosa con el derecho fundamental vulnerado.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lastRenderedPageBreak/>
        <w:t>Ha decidido</w:t>
      </w:r>
    </w:p>
    <w:p w:rsidR="0026452D" w:rsidRDefault="0026452D" w:rsidP="0026452D">
      <w:pPr>
        <w:pStyle w:val="TextoNormalCentrado"/>
        <w:keepNext/>
      </w:pPr>
    </w:p>
    <w:p w:rsidR="0026452D" w:rsidRDefault="0026452D" w:rsidP="0026452D">
      <w:pPr>
        <w:pStyle w:val="TextoNormal"/>
      </w:pPr>
      <w:r>
        <w:t>Otorgar el amparo solicitado por doña Dolores Moreno del Arco y, en consecuencia:</w:t>
      </w:r>
    </w:p>
    <w:p w:rsidR="0026452D" w:rsidRDefault="0026452D" w:rsidP="0026452D">
      <w:pPr>
        <w:pStyle w:val="TextoNormal"/>
      </w:pPr>
    </w:p>
    <w:p w:rsidR="0026452D" w:rsidRDefault="0026452D" w:rsidP="0026452D">
      <w:pPr>
        <w:pStyle w:val="TextoNormal"/>
      </w:pPr>
      <w:r>
        <w:t>1º Reconocer su derecho a la igualdad ante la ley y a la no discriminación por razón de sexo (art. 14 CE).</w:t>
      </w:r>
    </w:p>
    <w:p w:rsidR="0026452D" w:rsidRDefault="0026452D" w:rsidP="0026452D">
      <w:pPr>
        <w:pStyle w:val="TextoNormal"/>
      </w:pPr>
    </w:p>
    <w:p w:rsidR="0026452D" w:rsidRDefault="0026452D" w:rsidP="0026452D">
      <w:pPr>
        <w:pStyle w:val="TextoNormal"/>
      </w:pPr>
      <w:r>
        <w:t>2º Anular las Sentencias del Juzgado de lo Social núm.1 de Jaén, de 9 de enero de 2006, dictada en autos núm. 504-2005; de la Sala de lo Social del Tribunal Superior de Justicia de Andalucía, sede de Granada, de 5 de diciembre de 2006, y del Auto de 10 de octubre de 2007 de la Sala de lo Social del Tribunal Supremo, así como la resolución de la Dirección provincial de Jaén del Instituto Nacional de la Seguridad Social, de 16 de junio de 2005.</w:t>
      </w:r>
    </w:p>
    <w:p w:rsidR="0026452D" w:rsidRDefault="0026452D" w:rsidP="0026452D">
      <w:pPr>
        <w:pStyle w:val="TextoNormal"/>
      </w:pPr>
    </w:p>
    <w:p w:rsidR="0026452D" w:rsidRDefault="0026452D" w:rsidP="0026452D">
      <w:pPr>
        <w:pStyle w:val="TextoNormal"/>
      </w:pPr>
      <w:r>
        <w:t>3º Retrotraer las actuaciones al momento inmediatamente anterior al del dictado de la citada resolución administrativa a fin de que se dicte una nueva respetuosa con el art. 14 CE.</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ocho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76" w:name="SENTENCIA_2013_73"/>
      <w:r>
        <w:lastRenderedPageBreak/>
        <w:t>SENTENCIA 73/2013, de 8 de abril de 2013</w:t>
      </w:r>
    </w:p>
    <w:bookmarkEnd w:id="76"/>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ECLI:ES:TC:2013:73</w:t>
      </w:r>
    </w:p>
    <w:p w:rsidR="0026452D" w:rsidRDefault="0026452D" w:rsidP="0026452D">
      <w:pPr>
        <w:pStyle w:val="SntesisDescriptiva"/>
      </w:pPr>
    </w:p>
    <w:p w:rsidR="0026452D" w:rsidRDefault="0026452D" w:rsidP="0026452D">
      <w:pPr>
        <w:pStyle w:val="SntesisDescriptiva"/>
      </w:pPr>
      <w:r>
        <w:t>Recurso de amparo 401-2011. Promovido por la entidad Inversiones y Consultoría Soria, S.L., respecto de las resoluciones de la Audiencia Provincial de Granada, que inadmitieron su recurso de apelación al no haber constituido en plazo el depósito para recurrir.</w:t>
      </w:r>
    </w:p>
    <w:p w:rsidR="0026452D" w:rsidRDefault="0026452D" w:rsidP="0026452D">
      <w:pPr>
        <w:pStyle w:val="SntesisDescriptiva"/>
      </w:pPr>
    </w:p>
    <w:p w:rsidR="0026452D" w:rsidRDefault="0026452D" w:rsidP="0026452D">
      <w:pPr>
        <w:pStyle w:val="SntesisAnaltica"/>
      </w:pPr>
      <w:r>
        <w:t>Vulneración del derecho a la tutela judicial efectiva (acceso al recurso): subsanabilidad de la omisión de constitución del depósito para recurrir (SSTC 129/2012 y 130/2012).</w:t>
      </w:r>
    </w:p>
    <w:p w:rsidR="0026452D" w:rsidRDefault="0026452D" w:rsidP="0026452D">
      <w:pPr>
        <w:pStyle w:val="SntesisAnaltica"/>
      </w:pPr>
    </w:p>
    <w:p w:rsidR="0026452D" w:rsidRDefault="0026452D" w:rsidP="0026452D">
      <w:pPr>
        <w:pStyle w:val="Extracto"/>
      </w:pPr>
      <w:r>
        <w:t>1.</w:t>
      </w:r>
      <w:r>
        <w:tab/>
        <w:t>Aplica la doctrina sobre la subsanabilidad de la falta de depósito para recurrir en el orden civil desde la perspectiva del derecho al recurso (SSTC 197/2005, 203/2012) [FJ 2].</w:t>
      </w:r>
    </w:p>
    <w:p w:rsidR="0026452D" w:rsidRDefault="0026452D" w:rsidP="0026452D">
      <w:pPr>
        <w:pStyle w:val="Extracto"/>
      </w:pPr>
    </w:p>
    <w:p w:rsidR="0026452D" w:rsidRDefault="0026452D" w:rsidP="0026452D">
      <w:pPr>
        <w:pStyle w:val="Extracto"/>
      </w:pPr>
      <w:r>
        <w:t>2.</w:t>
      </w:r>
      <w:r>
        <w:tab/>
        <w:t>Es contrario al derecho fundamental a la tutela judicial efectiva, art. 24.1 CE, el no permitir la subsanación de la falta de constitución de los depósitos para recurrir resoluciones civiles, excepto que la norma legal que lo contempla excluya expresamente dicha posibilidad (SSTC 197/2005, 217/2002) [FJ 2].</w:t>
      </w:r>
    </w:p>
    <w:p w:rsidR="0026452D" w:rsidRDefault="0026452D" w:rsidP="0026452D">
      <w:pPr>
        <w:pStyle w:val="Extracto"/>
      </w:pPr>
    </w:p>
    <w:p w:rsidR="0026452D" w:rsidRDefault="0026452D" w:rsidP="0026452D">
      <w:pPr>
        <w:pStyle w:val="Extracto"/>
      </w:pPr>
      <w:r>
        <w:t>3.</w:t>
      </w:r>
      <w:r>
        <w:tab/>
        <w:t>La Ley no pretende que la exigencia del depósito para recurrir acabe erigiéndose en un obstáculo excesivo al ejercicio del derecho a la tutela jurisdiccional y por ello obliga al órgano judicial que ha dictado una resolución impugnable a advertir a las partes de la necesidad de constitución de depósito así como la forma de efectuarlo, dictando Auto que ponga fin al trámite del recurso sólo en caso de que la parte incumpla dicho requerimiento (STC 203/2012) [FJ 2].</w:t>
      </w:r>
    </w:p>
    <w:p w:rsidR="0026452D" w:rsidRDefault="0026452D" w:rsidP="0026452D">
      <w:pPr>
        <w:pStyle w:val="Extracto"/>
      </w:pPr>
    </w:p>
    <w:p w:rsidR="0026452D" w:rsidRDefault="0026452D" w:rsidP="0026452D">
      <w:pPr>
        <w:pStyle w:val="Extracto"/>
      </w:pPr>
      <w:r>
        <w:t>4.</w:t>
      </w:r>
      <w:r>
        <w:tab/>
        <w:t>Al decir el precepto que cabe la subsanación del ‘defecto’ en el depósito para recurrir ha de entenderse que la palabra ‘defecto’ se emplea con un alcance general, y se refiere a las tres manifestaciones de incumplimiento posibles –defecto, omisión o error–, para todas las cuales cabe la subsanación de acuerdo con lo establecido en la propia norma (SSTC 129/2012, 130/2012)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amparo núm. 401-2.011, promovido por la entidad Inversiones y Consultoría Soria, S.L., representado por la Procuradora de los Tribunales doña Ana Leal Labrador y asistida por el Abogado don Gustavo Galán Abad, contra la Sentencia de la Sección Quinta de la Audiencia Provincial de Granada, de 30 de julio de 2010, que declaró no haber lugar a la admisión a trámite del recurso de apelación interpuesto, así como contra la providencia de la misma Sección, de 25 de noviembre de 2010, inadmitiendo a trámite el incidente de nulidad de actuaciones promovido contra aquella Sentencia. Ha intervenido el Ministerio Fiscal.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21 de enero de 2011, la Procuradora de los Tribunales doña Ana Leal Labrador, interpuso demanda de amparo contra las resoluciones a las que se ha hecho referencia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con relevancia para la resolución del presente recurso de amparo y a los que se refiere la demanda presentada, son los siguientes:</w:t>
      </w:r>
    </w:p>
    <w:p w:rsidR="0026452D" w:rsidRDefault="0026452D" w:rsidP="0026452D">
      <w:pPr>
        <w:pStyle w:val="TextoNormal"/>
      </w:pPr>
    </w:p>
    <w:p w:rsidR="0026452D" w:rsidRDefault="0026452D" w:rsidP="0026452D">
      <w:pPr>
        <w:pStyle w:val="TextoNormal"/>
      </w:pPr>
      <w:r>
        <w:t>a) El Juzgado de Primera Instancia núm. 12 de Granada dictó Sentencia el 3 de diciembre de 2009 en estimación de la demanda interpuesta por la mercantil Orozcosanz 2 2003, S.L., contra la entidad aquí recurrente en amparo, en litigio sobre contrato de compraventa de bienes inmuebles (procedimiento ordinario 2097-2008), condenando a esta última a abonar la cantidad de 104.653 euros como parte del precio pendiente, más intereses legales y la obligación de otorgar a la parte actora la escritura pública correspondiente, con entrega de los inmuebles objeto del pacto.</w:t>
      </w:r>
    </w:p>
    <w:p w:rsidR="0026452D" w:rsidRDefault="0026452D" w:rsidP="0026452D">
      <w:pPr>
        <w:pStyle w:val="TextoNormal"/>
      </w:pPr>
    </w:p>
    <w:p w:rsidR="0026452D" w:rsidRDefault="0026452D" w:rsidP="0026452D">
      <w:pPr>
        <w:pStyle w:val="TextoNormal"/>
      </w:pPr>
      <w:r>
        <w:t>Tras el fallo y como pie de recurso, se advierte a las partes que contra dicha Sentencia cabe apelación ante la Audiencia Provincial, en cuyo caso: “Para la admisión a trámite del recurso previamente deberá efectuarse constitución de depósito en cuantía de 50 euros, debiendo ingresarlo en la cuenta de este Juzgado … indicando en las Observaciones del documento de ingreso que se trata de un recurso de apelación seguido del Código ‘02’ de conformidad con lo establecido en la Disposición adicional Decimoquinta de la L.O. 6/1985 del Poder Judicial, salvo concurrencia de los supuestos de exclusión previstos en la misma (Ministerio Fiscal, Estado, Comunidades Autónomas, Entidades Locales y organismos autónomos dependientes de todos ellos) o beneficiarios de asistencia jurídica gratuita.”</w:t>
      </w:r>
    </w:p>
    <w:p w:rsidR="0026452D" w:rsidRDefault="0026452D" w:rsidP="0026452D">
      <w:pPr>
        <w:pStyle w:val="TextoNormal"/>
      </w:pPr>
    </w:p>
    <w:p w:rsidR="0026452D" w:rsidRDefault="0026452D" w:rsidP="0026452D">
      <w:pPr>
        <w:pStyle w:val="TextoNormal"/>
      </w:pPr>
      <w:r>
        <w:t>b) La mercantil demandada presentó escrito de preparación de recurso de apelación contra la Sentencia, sin efectuar el depósito de cincuenta euros exigido por la citada disposición adicional decimoquinta, 3 b), de la Ley Orgánica del Poder Judicial (LOPJ).</w:t>
      </w:r>
    </w:p>
    <w:p w:rsidR="0026452D" w:rsidRDefault="0026452D" w:rsidP="0026452D">
      <w:pPr>
        <w:pStyle w:val="TextoNormal"/>
      </w:pPr>
    </w:p>
    <w:p w:rsidR="0026452D" w:rsidRDefault="0026452D" w:rsidP="0026452D">
      <w:pPr>
        <w:pStyle w:val="TextoNormal"/>
      </w:pPr>
      <w:r>
        <w:t xml:space="preserve">c) El 25 de enero de 2010 la Secretaría del Juzgado dictó diligencia de ordenación haciendo constar: “Presentado por la parte demandada recurso de apelación contra la resolución dictada en fecha 309 sin que acredite la constitución del depósito exigido por la D.A. </w:t>
      </w:r>
      <w:r>
        <w:lastRenderedPageBreak/>
        <w:t>decimoquinta de la LOPJ, se le requiere por plazo de dos días para la subsanación del defecto, con aportación de la documentación acreditativa y bajo apercibimiento de que de no efectuarlo se dictará auto que ponga fin al trámite del recurso, quedando firme la resolución impugnada”. Dicha diligencia le fue notificada a la representación procesal de la parte, el 1 de febrero de 2010.</w:t>
      </w:r>
    </w:p>
    <w:p w:rsidR="0026452D" w:rsidRDefault="0026452D" w:rsidP="0026452D">
      <w:pPr>
        <w:pStyle w:val="TextoNormal"/>
      </w:pPr>
    </w:p>
    <w:p w:rsidR="0026452D" w:rsidRDefault="0026452D" w:rsidP="0026452D">
      <w:pPr>
        <w:pStyle w:val="TextoNormal"/>
      </w:pPr>
      <w:r>
        <w:t>d) Por escrito de 3 de febrero de 2010, la parte recurrente cumplimentó el requerimiento antedicho aportando resguardo de ingreso bancario de la misma fecha.</w:t>
      </w:r>
    </w:p>
    <w:p w:rsidR="0026452D" w:rsidRDefault="0026452D" w:rsidP="0026452D">
      <w:pPr>
        <w:pStyle w:val="TextoNormal"/>
      </w:pPr>
    </w:p>
    <w:p w:rsidR="0026452D" w:rsidRDefault="0026452D" w:rsidP="0026452D">
      <w:pPr>
        <w:pStyle w:val="TextoNormal"/>
      </w:pPr>
      <w:r>
        <w:t>La Secretaría del Juzgado dejó constancia en diligencia de 4 de febrero de 2010, de que el día anterior se había producido el ingreso mencionado en la cuenta de depósitos y consignaciones de dicho órgano judicial.</w:t>
      </w:r>
    </w:p>
    <w:p w:rsidR="0026452D" w:rsidRDefault="0026452D" w:rsidP="0026452D">
      <w:pPr>
        <w:pStyle w:val="TextoNormal"/>
      </w:pPr>
    </w:p>
    <w:p w:rsidR="0026452D" w:rsidRDefault="0026452D" w:rsidP="0026452D">
      <w:pPr>
        <w:pStyle w:val="TextoNormal"/>
      </w:pPr>
      <w:r>
        <w:t>e) El 5 de febrero de 2010 el Juzgado dictó providencia teniendo por preparado el recurso, ordenando la prosecución del procedimiento con apertura del plazo de veinte días a la parte recurrente para su interposición.</w:t>
      </w:r>
    </w:p>
    <w:p w:rsidR="0026452D" w:rsidRDefault="0026452D" w:rsidP="0026452D">
      <w:pPr>
        <w:pStyle w:val="TextoNormal"/>
      </w:pPr>
    </w:p>
    <w:p w:rsidR="0026452D" w:rsidRDefault="0026452D" w:rsidP="0026452D">
      <w:pPr>
        <w:pStyle w:val="TextoNormal"/>
      </w:pPr>
      <w:r>
        <w:t>Verificado este último trámite por la entidad apelante, se dictó nueva providencia por el Juzgado el 12 de abril de 2010, dando traslado a la parte apelada por plazo de diez días para que presentase escrito de oposición al recurso o, en su caso, de impugnación de la resolución apelada. Esta última formuló escrito de oposición, el 30 de abril de 2010.</w:t>
      </w:r>
    </w:p>
    <w:p w:rsidR="0026452D" w:rsidRDefault="0026452D" w:rsidP="0026452D">
      <w:pPr>
        <w:pStyle w:val="TextoNormal"/>
      </w:pPr>
    </w:p>
    <w:p w:rsidR="0026452D" w:rsidRDefault="0026452D" w:rsidP="0026452D">
      <w:pPr>
        <w:pStyle w:val="TextoNormal"/>
      </w:pPr>
      <w:r>
        <w:t>f) Elevadas las actuaciones por el Juzgado (providencia de 5 de mayo de 2010) a la Sección Quinta de la Audiencia Provincial de Granada, competente para conocer del recurso (rollo de apelación núm. 271-2010), continuó el procedimiento hasta que con fecha 30 de julio de 2010 la Sección dictó Sentencia declarando que “no ha lugar la admisión a trámite del recurso. Se declara firme la resolución judicial contra la que se intenta el mismo”. Sin entrar en el fondo del recurso, la Sentencia aprecia como óbice procesal la falta de constitución en plazo del depósito para recurrir, previsto en la disposición adicional decimoquinta LOPJ.</w:t>
      </w:r>
    </w:p>
    <w:p w:rsidR="0026452D" w:rsidRDefault="0026452D" w:rsidP="0026452D">
      <w:pPr>
        <w:pStyle w:val="TextoNormal"/>
      </w:pPr>
    </w:p>
    <w:p w:rsidR="0026452D" w:rsidRDefault="0026452D" w:rsidP="0026452D">
      <w:pPr>
        <w:pStyle w:val="TextoNormal"/>
      </w:pPr>
      <w:r>
        <w:t>Para fundamentar su decisión, la Audiencia transcribe los apartados 6 y 7 de la indicada disposición adicional, así como el dispositivo cuarto y quinto de la Instrucción 8/2009 del Ministerio de Justicia dictada en desarrollo de aquellos preceptos, razonando lo que sigue:</w:t>
      </w:r>
    </w:p>
    <w:p w:rsidR="0026452D" w:rsidRDefault="0026452D" w:rsidP="0026452D">
      <w:pPr>
        <w:pStyle w:val="TextoNormal"/>
      </w:pPr>
    </w:p>
    <w:p w:rsidR="0026452D" w:rsidRDefault="0026452D" w:rsidP="0026452D">
      <w:pPr>
        <w:pStyle w:val="TextoNormal"/>
      </w:pPr>
      <w:r>
        <w:t>“Por tanto, la deficiencia tiene que haberse producido en la constitución del depósito, siendo este presupuesto de hecho de la posible deficiencia subsanable, por lo que la absoluta omisión del legislador, es acorde con la Jurisprudencia del Tribunal Constitucional en cuanto al requisito de consignación de rentas e indemnizaciones para recurrir en materia de arrendamientos y tráfico (hoy art. 449, LEC), distinguiendo entre el hecho de la consignación que debe efectuarse en el momento procesal oportuno y que es insubsanable y, el de su acreditación, que admite puede efectuarse con posterioridad, requisito formal que puede subsanarse, para poder fundar la resolución de inadmisión del recurso previa la concesión de un plazo para la subsanación (Auto T. Constitucional, Sala 2ª, de 25.11.1991, STC de 2-7-1990, STC de 13-4-1993, SSTC 344/93, 346/93 y 100/95). Concluyendo: es subsanable la falta de acreditación de la consignación efectuada del depósito para recurrir. No lo es la constitución del depósito que debió efectuarse al tiempo de intentarse el recurso.”</w:t>
      </w:r>
    </w:p>
    <w:p w:rsidR="0026452D" w:rsidRDefault="0026452D" w:rsidP="0026452D">
      <w:pPr>
        <w:pStyle w:val="TextoNormal"/>
      </w:pPr>
    </w:p>
    <w:p w:rsidR="0026452D" w:rsidRDefault="0026452D" w:rsidP="0026452D">
      <w:pPr>
        <w:pStyle w:val="TextoNormal"/>
      </w:pPr>
      <w:r>
        <w:lastRenderedPageBreak/>
        <w:t>g) Por Auto de 19 de octubre de 2010, la Sección aclaró la Sentencia a solicitud de la parte apelada, añadiendo al fallo la condena en costas del recurso a la entidad apelante.</w:t>
      </w:r>
    </w:p>
    <w:p w:rsidR="0026452D" w:rsidRDefault="0026452D" w:rsidP="0026452D">
      <w:pPr>
        <w:pStyle w:val="TextoNormal"/>
      </w:pPr>
    </w:p>
    <w:p w:rsidR="0026452D" w:rsidRDefault="0026452D" w:rsidP="0026452D">
      <w:pPr>
        <w:pStyle w:val="TextoNormal"/>
      </w:pPr>
      <w:r>
        <w:t>h) La aquí recurrente en amparo promovió incidente de nulidad de actuaciones contra la indicada Sentencia, mediante escrito presentado el 23 de noviembre de 2011 en el que alegó la vulneración del derecho fundamental a la tutela judicial efectiva (art. 24.1 CE) en su vertiente de acceso a los recursos.</w:t>
      </w:r>
    </w:p>
    <w:p w:rsidR="0026452D" w:rsidRDefault="0026452D" w:rsidP="0026452D">
      <w:pPr>
        <w:pStyle w:val="TextoNormal"/>
      </w:pPr>
    </w:p>
    <w:p w:rsidR="0026452D" w:rsidRDefault="0026452D" w:rsidP="0026452D">
      <w:pPr>
        <w:pStyle w:val="TextoNormal"/>
      </w:pPr>
      <w:r>
        <w:t xml:space="preserve">La Sección lo inadmitió mediante providencia de 25 de noviembre de 2010, afirmando en primer término su competencia para declarar de oficio el óbice mencionado, al tratarse de normas imperativas, incluso en Sentencia. Prosigue diciendo que el principio </w:t>
      </w:r>
      <w:r w:rsidRPr="0026452D">
        <w:rPr>
          <w:i/>
        </w:rPr>
        <w:t>pro actione</w:t>
      </w:r>
      <w:r>
        <w:t xml:space="preserve"> no opera con igual intensidad cuando se trata del derecho de acceso al recurso y que este derecho puede satisfacerse también con un pronunciamiento de inadmisibilidad, según viene proclamando la doctrina constitucional de la que hace cita. Por último, señala que lo pretendido por la recurrente es únicamente discrepar de la interpretación que ha hecho la Sala de la norma procesal aplicable, por lo que en realidad plantea cuestiones distintas a las que son propias de este incidente según el art. 228.1, párrafo 1 de la Ley de enjuiciamiento civil.</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La demanda de amparo alega la vulneración del derecho a la tutela judicial efectiva (art. 24.1 CE), en su vertiente de derecho de acceso a los recursos legalmente establecidos, al haberse estimado como óbice procesal la constitución extemporánea del depósito previsto en la disposición adicional decimoquinta LOPJ, producto de lo que la recurrente califica como una interpretación arbitraria y excesivamente formalista del apartado 7 de la mencionada disposición, adoptada en contra del principio </w:t>
      </w:r>
      <w:r w:rsidRPr="0026452D">
        <w:rPr>
          <w:i/>
        </w:rPr>
        <w:t>pro actione</w:t>
      </w:r>
      <w:r>
        <w:t xml:space="preserve"> y con clara desproporción entre los fines que con tal requisito procesal persigue la Ley y los intereses que se sacrifican con la decisión de inadmitir el recurso.</w:t>
      </w:r>
    </w:p>
    <w:p w:rsidR="0026452D" w:rsidRDefault="0026452D" w:rsidP="0026452D">
      <w:pPr>
        <w:pStyle w:val="TextoNormal"/>
      </w:pPr>
    </w:p>
    <w:p w:rsidR="0026452D" w:rsidRDefault="0026452D" w:rsidP="0026452D">
      <w:pPr>
        <w:pStyle w:val="TextoNormal"/>
      </w:pPr>
      <w:r>
        <w:t>Destaca en este sentido la demanda que los términos del apartado 7 de la disposición adicional no dejan lugar a dudas respecto a que dentro del plazo de dos días que ha de concederse al recurrente, éste no sólo puede subsanar el defecto o error en la constitución del depósito, sino también la omisión de esa constitución. Lo que ha hecho por tanto la Audiencia es una interpretación contraria al tenor literal de la norma, que resulta además arbitraria, vulnerando con ello el art. 24.1 CE. Añade luego que en el depósito de las rentas para recurrir Sentencias dictadas en materia de arrendamientos urbanos, la Ley 29/1994 también introdujo el trámite de subsanación de la falta de depósito, como puso de manifiesto la STC 217/2002, de 25 de noviembre, así como las posteriores SSTC 58/2003, de 24 de marzo, y 197/2005, de 18 de julio.</w:t>
      </w:r>
    </w:p>
    <w:p w:rsidR="0026452D" w:rsidRDefault="0026452D" w:rsidP="0026452D">
      <w:pPr>
        <w:pStyle w:val="TextoNormal"/>
      </w:pPr>
    </w:p>
    <w:p w:rsidR="0026452D" w:rsidRDefault="0026452D" w:rsidP="0026452D">
      <w:pPr>
        <w:pStyle w:val="TextoNormal"/>
      </w:pPr>
      <w:r>
        <w:t>Igualmente la demanda de amparo invoca doctrina constitucional que prohíbe formalismos enervantes en el acceso a los recursos (en concreto, STC 29/1985, de 28 de febrero y otras posteriores); la necesidad de interpretar restrictivamente las causas de inadmisión de los recursos, favoreciendo el ejercicio del derecho y evitando las interpretaciones formalistas o basadas en rigorismos desproporcionados (STC 226/1999, de 13 de diciembre); debiendo también atenderse al principio de proporcionalidad en la ponderación de los defectos padecidos en los actos procesales de las partes (SSTC 331/2000, de 18 de diciembre, y 77/2002, de 8 de abril).</w:t>
      </w:r>
    </w:p>
    <w:p w:rsidR="0026452D" w:rsidRDefault="0026452D" w:rsidP="0026452D">
      <w:pPr>
        <w:pStyle w:val="TextoNormal"/>
      </w:pPr>
    </w:p>
    <w:p w:rsidR="0026452D" w:rsidRDefault="0026452D" w:rsidP="0026452D">
      <w:pPr>
        <w:pStyle w:val="TextoNormal"/>
      </w:pPr>
      <w:r>
        <w:lastRenderedPageBreak/>
        <w:t>Finalmente, se alega por la demanda de amparo que la apreciación intempestiva y en Sentencia del indicado óbice procesal, impeditivo de una resolución del fondo de su recurso, le ha causado indefensión.</w:t>
      </w:r>
    </w:p>
    <w:p w:rsidR="0026452D" w:rsidRDefault="0026452D" w:rsidP="0026452D">
      <w:pPr>
        <w:pStyle w:val="TextoNormal"/>
      </w:pPr>
    </w:p>
    <w:p w:rsidR="0026452D" w:rsidRDefault="0026452D" w:rsidP="0026452D">
      <w:pPr>
        <w:pStyle w:val="TextoNormal"/>
      </w:pPr>
      <w:r w:rsidRPr="0026452D">
        <w:rPr>
          <w:rStyle w:val="NumeroAFNegritaCaracter"/>
        </w:rPr>
        <w:t>4</w:t>
      </w:r>
      <w:r>
        <w:t>. Por diligencia de ordenación de la Secretaría de Justicia de la Sección Segunda de este Tribunal, de 14 de marzo de 2011, se acordó dirigir atenta comunicación al Juzgado de Primera Instancia número 12 de Granada, a fin de que en el plazo de diez días remitiera testimonio de todas las actuaciones practicadas en relación al recurso de apelación formulado por la entidad demandante de amparo. Requerimiento que fue cumplimentado por medio de oficio de remisión de actuaciones de la Secretaría del Juzgado, el 24 de marzo de 2011.</w:t>
      </w:r>
    </w:p>
    <w:p w:rsidR="0026452D" w:rsidRDefault="0026452D" w:rsidP="0026452D">
      <w:pPr>
        <w:pStyle w:val="TextoNormal"/>
      </w:pPr>
    </w:p>
    <w:p w:rsidR="0026452D" w:rsidRDefault="0026452D" w:rsidP="0026452D">
      <w:pPr>
        <w:pStyle w:val="TextoNormal"/>
      </w:pPr>
      <w:r w:rsidRPr="0026452D">
        <w:rPr>
          <w:rStyle w:val="NumeroAFNegritaCaracter"/>
        </w:rPr>
        <w:t>5</w:t>
      </w:r>
      <w:r>
        <w:t>. El 29 de octubre de 2012 la Sala Primera de este Tribunal dictó providencia admitiendo a trámite la demanda de amparo, ordenando dirigir atenta comunicación a la Sección Quinta de la Audiencia Provincial de Granada, para que en plazo no superior a diez días remitiera certificación o fotocopia adverada de las actuaciones correspondientes al rollo número 271-2010; así como también al Juzgado de Primera Instancia núm. 12 de Granada para que hiciera lo propio con los autos del juicio ordinario núm. 2097-2008, debiendo dicho Juzgado emplazar a quienes fueron parte en el proceso, por si desean personarse como parte ante este Tribunal en el plazo de diez días, excepto la entidad recurrente en amparo.</w:t>
      </w:r>
    </w:p>
    <w:p w:rsidR="0026452D" w:rsidRDefault="0026452D" w:rsidP="0026452D">
      <w:pPr>
        <w:pStyle w:val="TextoNormal"/>
      </w:pPr>
    </w:p>
    <w:p w:rsidR="0026452D" w:rsidRDefault="0026452D" w:rsidP="0026452D">
      <w:pPr>
        <w:pStyle w:val="TextoNormal"/>
      </w:pPr>
      <w:r w:rsidRPr="0026452D">
        <w:rPr>
          <w:rStyle w:val="NumeroAFNegritaCaracter"/>
        </w:rPr>
        <w:t>6</w:t>
      </w:r>
      <w:r>
        <w:t>. No habiendo atendido nadie al llamamiento efectuado, la Secretaría de Justicia de la Sala Primera de este Tribunal dictó diligencia de ordenación el 4 de diciembre de 2012, acordando conceder plazo común de veinte días al Ministerio Fiscal y a la parte personada (recurrente), para poder formular alegaciones a los efectos del art. 52 de nuestra Ley Orgánica.</w:t>
      </w:r>
    </w:p>
    <w:p w:rsidR="0026452D" w:rsidRDefault="0026452D" w:rsidP="0026452D">
      <w:pPr>
        <w:pStyle w:val="TextoNormal"/>
      </w:pPr>
    </w:p>
    <w:p w:rsidR="0026452D" w:rsidRDefault="0026452D" w:rsidP="0026452D">
      <w:pPr>
        <w:pStyle w:val="TextoNormal"/>
      </w:pPr>
      <w:r w:rsidRPr="0026452D">
        <w:rPr>
          <w:rStyle w:val="NumeroAFNegritaCaracter"/>
        </w:rPr>
        <w:t>7</w:t>
      </w:r>
      <w:r>
        <w:t>. El Ministerio Fiscal presentó escrito de alegaciones el 11 de enero de 2013, interesando la estimación del recurso de amparo. Tras hacer resumen de los antecedentes procesales del caso y el contenido de la demanda, se señala que “en el momento de redactar el presente escrito de alegaciones la cuestión objeto de análisis ha sido ya abordada en las SSTC 129/2012; 130/2012; 154/2012; 190/2012 y 203/2012, desde la óptica del derecho de acceso a los recursos”.</w:t>
      </w:r>
    </w:p>
    <w:p w:rsidR="0026452D" w:rsidRDefault="0026452D" w:rsidP="0026452D">
      <w:pPr>
        <w:pStyle w:val="TextoNormal"/>
      </w:pPr>
    </w:p>
    <w:p w:rsidR="0026452D" w:rsidRDefault="0026452D" w:rsidP="0026452D">
      <w:pPr>
        <w:pStyle w:val="TextoNormal"/>
      </w:pPr>
      <w:r>
        <w:t xml:space="preserve">Con base en dicha doctrina sostiene la Fiscalía que el amparo debe ser estimado, teniendo en cuenta que el supuesto planteado coincide sustancialmente con el examinado en la STC 203/2012, que otorgó el amparo “contra una resolución dictada, también, por la Sección 5ª de la Audiencia Provincial de Granada”. Refiere que si bien es cierto que la apelante incumplió con la consignación del mentado depósito de 50 euros al tiempo de deducir escrito de preparación de su recurso, no lo es menos que el Juzgado </w:t>
      </w:r>
      <w:r w:rsidRPr="0026452D">
        <w:rPr>
          <w:i/>
        </w:rPr>
        <w:t>a quo</w:t>
      </w:r>
      <w:r>
        <w:t xml:space="preserve"> le otorgó plazo de dos días para que subsanara dicha omisión, lo que la mercantil llevó a cabo diligentemente. Pese a ello, y “[e]n contra de la doctrina constitucional expuesta, la Sala acordó la inadmisión del recurso sobre la base de una interpretación legal marcadamente restrictiva y rigorista”, al excluir de la posibilidad de subsanación el supuesto de la “omisión” en la propia constitución del depósito, lesionando con ello “el derecho a la tutela judicial efectiva (art. 24.1 CE), en su modalidad de derecho de acceso a la apelación”. Añade que la consignación del depósito en el plazo que le otorgó el Juzgado, permitió a la apelante cumplir “perfectamente </w:t>
      </w:r>
      <w:r>
        <w:lastRenderedPageBreak/>
        <w:t>la finalidad” para la que aquél ha sido creado, generando una expectativa razonable en el recurrente sobre el cumplimiento efectivo del requisito, sin que pueda atribuirse aquella omisión inicial a una actitud de “resistencia, oposición o de obstrucción por parte del recurrente, o a un ánimo dilatorio en la tramitación del recurso”, como lo demuestra el hecho precisamente de haber consignado la cantidad exigible cuando se le requirió.</w:t>
      </w:r>
    </w:p>
    <w:p w:rsidR="0026452D" w:rsidRDefault="0026452D" w:rsidP="0026452D">
      <w:pPr>
        <w:pStyle w:val="TextoNormal"/>
      </w:pPr>
    </w:p>
    <w:p w:rsidR="0026452D" w:rsidRDefault="0026452D" w:rsidP="0026452D">
      <w:pPr>
        <w:pStyle w:val="TextoNormal"/>
      </w:pPr>
      <w:r>
        <w:t>Finalmente, el escrito de la Fiscalía precisa que la vulneración del derecho al recurso por la Sentencia de segunda instancia, se extiende también a la providencia de 25 de noviembre de 2010 que inadmite el incidente de nulidad intentado contra aquélla, pues la Sala “debió admitir el incidente y acordar la nulidad de la sentencia de 30 de julio de 2010”, en vez de acordar lo contrario y perpetuar así la lesión que se pedía fuese reparada. Por todo lo expuesto el Ministerio Fiscal solicita el otorgamiento del amparo, con nulidad de las dos resoluciones recurridas y la retroacción de actuaciones al momento inmediatamente anterior a recaer Sentencia de apelación, para que por la Sección competente de la Audiencia se proceda a dictar otra que resulte respetuosa del derecho fundamental reconocido.</w:t>
      </w:r>
    </w:p>
    <w:p w:rsidR="0026452D" w:rsidRDefault="0026452D" w:rsidP="0026452D">
      <w:pPr>
        <w:pStyle w:val="TextoNormal"/>
      </w:pPr>
    </w:p>
    <w:p w:rsidR="0026452D" w:rsidRDefault="0026452D" w:rsidP="0026452D">
      <w:pPr>
        <w:pStyle w:val="TextoNormal"/>
      </w:pPr>
      <w:r w:rsidRPr="0026452D">
        <w:rPr>
          <w:rStyle w:val="NumeroAFNegritaCaracter"/>
        </w:rPr>
        <w:t>8</w:t>
      </w:r>
      <w:r>
        <w:t>. Por escrito de 16 de enero de 2013 la representación procesal de la entidad recurrente en amparo formuló sus alegaciones, ratificándose en la demanda presentada y dejando constancia de que con posterioridad a su presentación ha tenido conocimiento de varias Sentencias dictadas por este Tribunal en la materia (cita las SSTC 129/2012 y 130/2012, de 18 de junio; 154/2012, de 16 de julio; 180/2012, de 15 de octubre y 204/2012, de 12 de noviembre), destacando de entre todas, por su similitud con su caso, la STC 154/2012.</w:t>
      </w:r>
    </w:p>
    <w:p w:rsidR="0026452D" w:rsidRDefault="0026452D" w:rsidP="0026452D">
      <w:pPr>
        <w:pStyle w:val="TextoNormal"/>
      </w:pPr>
    </w:p>
    <w:p w:rsidR="0026452D" w:rsidRDefault="0026452D" w:rsidP="0026452D">
      <w:pPr>
        <w:pStyle w:val="TextoNormal"/>
      </w:pPr>
      <w:r w:rsidRPr="0026452D">
        <w:rPr>
          <w:rStyle w:val="NumeroAFNegritaCaracter"/>
        </w:rPr>
        <w:t>9</w:t>
      </w:r>
      <w:r>
        <w:t>. Mediante providencia de fecha 5 de abril de 2013, se señaló para deliberación y fallo de la Sentencia el día 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Se interpone el presente recurso de amparo contra la Sentencia dictada por la Sección Quinta de la Audiencia Provincial de Granada que inadmite a trámite el recurso de apelación interpuesto por la entidad aquí demandante de amparo, dejando con ello imprejuzgada la cuestión de fondo, por no haber constituido el depósito de 50 euros exigido por la disposición adicional decimoquinta de la Ley Orgánica del Poder Judicial (LOPJ), con carácter previo a presentar el escrito de preparación del recurso. La Audiencia niega valor a la subsanación posteriormente efectuada por la parte dentro del plazo de dos días que le había concedido el Juzgado </w:t>
      </w:r>
      <w:r w:rsidRPr="0026452D">
        <w:rPr>
          <w:i/>
        </w:rPr>
        <w:t>a quo</w:t>
      </w:r>
      <w:r>
        <w:t xml:space="preserve"> al verificar que no se había cumplido con el mencionado requisito, sosteniendo por el contrario la aludida Sección que únicamente es posible subsanar la falta de acreditación documental del depósito (en el entendido de que éste sí se ha realizado antes de la preparación), no su falta de constitución. El derecho fundamental que se invoca como lesionado es el de tutela judicial efectiva (art. 24.1 CE), en su vertiente de acceso al recurso legalmente previsto.</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Ha de resultar de aplicación al supuesto que aquí se nos somete a examen, la doctrina que hemos fijado en las Sentencias 129/2012 y 130/2012, ambas de 18 de junio, en relación precisamente al problema planteado, el de la posibilidad de subsanación de la falta de constitución del depósito para recurrir regulado en la disposición adicional decimoquinta LOPJ, </w:t>
      </w:r>
      <w:r>
        <w:lastRenderedPageBreak/>
        <w:t>precepto éste introducido por el artículo 1, apartado 19, de la Ley Orgánica 1/2009, de 3 de noviembre, complementaria de la Ley de reforma de la legislación procesal para la implantación de la nueva oficina judicial. Dentro de la serie de Sentencias que se han dictado con posterioridad a las dos que se indican, cabe destacar la STC 203/2012, de 12 de noviembre, la que como bien acota el Ministerio Fiscal se refiere a una resolución dictada por la misma Sección de apelación responsable de la que aquí se impugna, empleando para ello idéntica fundamentación jurídica.</w:t>
      </w:r>
    </w:p>
    <w:p w:rsidR="0026452D" w:rsidRDefault="0026452D" w:rsidP="0026452D">
      <w:pPr>
        <w:pStyle w:val="TextoNormal"/>
      </w:pPr>
    </w:p>
    <w:p w:rsidR="0026452D" w:rsidRDefault="0026452D" w:rsidP="0026452D">
      <w:pPr>
        <w:pStyle w:val="TextoNormal"/>
      </w:pPr>
      <w:r>
        <w:t xml:space="preserve">En el fundamento jurídico 3 de la citada STC 203/2012 aparece vertida la doctrina de referencia, en la que luego de recordar que hemos venido considerando como contrario al derecho fundamental a la tutela judicial efectiva (art. 24.1 CE), el no permitir la subsanación de la falta de constitución de los depósitos para recurrir resoluciones civiles, excepto que la norma legal que lo contempla excluya expresamente dicha posibilidad (SSTC 217/2002, de 25 de noviembre, FJ 4 y 197/2005, de 18 de julio, FJ 3), afirmamos que ese mismo criterio ha de seguirse también con respecto al depósito de la disposición adicional decimoquinta LOPJ, que se configura como “un requisito de inexcusable cumplimiento, sin el cual la parte no tendrá derecho a que el procedimiento impugnatorio se sustancie en todas sus fases y, en todo caso, a que se resuelva en el fondo”. De este modo, la consecuencia de no efectuar su consignación “será la no admisión a trámite del recurso, según indica el párrafo primero del apartado 7 de dicha disposición adicional. Ahora bien, establecido lo anterior, es claro que la ley no pretende que la exigencia de este depósito acabe erigiéndose en un obstáculo excesivo al ejercicio del derecho a la tutela jurisdiccional (art. 24.1 CE). De modo que obliga al órgano judicial que ha dictado la resolución susceptible de ser impugnada a advertir a las partes de ‘la necesidad de constitución de depósito para recurrir así como la forma de efectuarlo’ (apartado 6, párrafo primero, </w:t>
      </w:r>
      <w:r w:rsidRPr="0026452D">
        <w:rPr>
          <w:i/>
        </w:rPr>
        <w:t>in fine</w:t>
      </w:r>
      <w:r>
        <w:t>, de la disposición adicional decimoquinta LOPJ). Y antes de decretar la inadmisión a trámite del recurso, se garantiza a la parte recurrente ‘que hubiere incurrido en defecto, omisión o error en la constitución del depósito’ a la apertura de un plazo de dos días, añade la norma, ‘para la subsanación del defecto, con aportación en su caso de documentación acreditativa’ (apartado 7, párrafo segundo). Sólo en caso de que la parte incumpla ese requerimiento, precisa la norma, ‘se dictará auto que ponga fin al trámite del recurso’ (apartado 7, último párrafo, de la disposición adicional decimoquinta LOPJ)”.</w:t>
      </w:r>
    </w:p>
    <w:p w:rsidR="0026452D" w:rsidRDefault="0026452D" w:rsidP="0026452D">
      <w:pPr>
        <w:pStyle w:val="TextoNormal"/>
      </w:pPr>
    </w:p>
    <w:p w:rsidR="0026452D" w:rsidRDefault="0026452D" w:rsidP="0026452D">
      <w:pPr>
        <w:pStyle w:val="TextoNormal"/>
      </w:pPr>
      <w:r>
        <w:t>Por último, hemos precisado que al decir el precepto que cabe la subsanación del “defecto” en el depósito, se quiere con ello abarcar los tres supuestos de incumplimiento del requisito que el propio apartado de la disposición previamente identifica, incluyendo el de su omisión —total o parcial—, pues de no entenderse así y circunscribirse la subsanación al mero defecto, quedaría fuera de cobertura “no sólo la hipótesis de la falta de constitución, sino también la del error material, una exclusión que tampoco resultaría razonable. Ha de entenderse por lo tanto que la palabra ‘defecto’ se emplea con un alcance general, y se refiere a las tres manifestaciones de incumplimiento posibles, para todas las cuales cabe la subsanación de acuerdo con lo establecido en la propia norma” (SSTC 129/2012, FJ 3; 130/2012, FJ 3 y 203/2012, FJ 3).</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La aplicación de la doctrina que antecede ha de conducir al otorgamiento del amparo solicitado. Según se ha puesto de manifiesto en los antecedentes, la Sentencia dictada por el Juzgado </w:t>
      </w:r>
      <w:r w:rsidRPr="0026452D">
        <w:rPr>
          <w:i/>
        </w:rPr>
        <w:t>a quo</w:t>
      </w:r>
      <w:r>
        <w:t xml:space="preserve"> advertía al pie de recurso de la necesidad de constituir el depósito de la </w:t>
      </w:r>
      <w:r>
        <w:lastRenderedPageBreak/>
        <w:t xml:space="preserve">referida disposición adicional decimoquinta LOPJ para poder recurrirla en apelación, cumpliendo así con el deber que le impone a dicho órgano judicial la norma en examen. La entidad demandada dedujo entonces escrito de preparación del recurso pero sin constituir el depósito —de 50 euros— y una vez verificada esta omisión por el Juzgado, actuando correctamente, no denegó la preparación sino que dictó providencia otorgando plazo de dos días a la apelante para que pudiera subsanar el requisito, lo que ésta llevó a cabo efectivamente. Cumplida entonces la finalidad legal que se atribuye a este depósito y sin que ello causare interrupción del procedimiento o perjuicio a las demás partes, la ulterior decisión de la Sección </w:t>
      </w:r>
      <w:r w:rsidRPr="0026452D">
        <w:rPr>
          <w:i/>
        </w:rPr>
        <w:t>ad quem</w:t>
      </w:r>
      <w:r>
        <w:t xml:space="preserve"> de privar de efectos al acto de subsanación llevado a cabo, trayendo consigo la inadmisión del recurso interpuesto, deviene irrazonable y comporta por ello la vulneración del derecho a la tutela judicial efectiva (art. 24.1 CE), en su vertiente de acceso al recurso.</w:t>
      </w:r>
    </w:p>
    <w:p w:rsidR="0026452D" w:rsidRDefault="0026452D" w:rsidP="0026452D">
      <w:pPr>
        <w:pStyle w:val="TextoNormal"/>
      </w:pPr>
    </w:p>
    <w:p w:rsidR="0026452D" w:rsidRDefault="0026452D" w:rsidP="0026452D">
      <w:pPr>
        <w:pStyle w:val="TextoNormal"/>
      </w:pPr>
      <w:r>
        <w:t>En consecuencia ha de acordarse la estimación de la demanda presentada, declarando la nulidad de las dos resoluciones judiciales recurridas, con retroacción de las actuaciones al momento inmediatamente anterior a la Sentencia de apelación, para que la Sección juzgadora dicte nueva resolución que resulte respetuosa con el derecho fundamental reconocido.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la entidad Inversiones y Consultoría Soria, S.L., y, en consecuencia:</w:t>
      </w:r>
    </w:p>
    <w:p w:rsidR="0026452D" w:rsidRDefault="0026452D" w:rsidP="0026452D">
      <w:pPr>
        <w:pStyle w:val="TextoNormal"/>
      </w:pPr>
    </w:p>
    <w:p w:rsidR="0026452D" w:rsidRDefault="0026452D" w:rsidP="0026452D">
      <w:pPr>
        <w:pStyle w:val="TextoNormal"/>
      </w:pPr>
      <w:r>
        <w:t>1º Reconocer su derecho fundamental a la tutela judicial efectiva (art. 24.1 CE).</w:t>
      </w:r>
    </w:p>
    <w:p w:rsidR="0026452D" w:rsidRDefault="0026452D" w:rsidP="0026452D">
      <w:pPr>
        <w:pStyle w:val="TextoNormal"/>
      </w:pPr>
    </w:p>
    <w:p w:rsidR="0026452D" w:rsidRDefault="0026452D" w:rsidP="0026452D">
      <w:pPr>
        <w:pStyle w:val="TextoNormal"/>
      </w:pPr>
      <w:r>
        <w:t>2º Declarar la nulidad de la Sentencia dictada por la Sección Quinta de la Audiencia Provincial de Granada, el 30 de julio de 2010 (rollo de apelación núm. 271-2010), así como la posterior providencia de 25 de noviembre de 2010, que inadmitió el incidente de nulidad promovido contra aquélla.</w:t>
      </w:r>
    </w:p>
    <w:p w:rsidR="0026452D" w:rsidRDefault="0026452D" w:rsidP="0026452D">
      <w:pPr>
        <w:pStyle w:val="TextoNormal"/>
      </w:pPr>
    </w:p>
    <w:p w:rsidR="0026452D" w:rsidRDefault="0026452D" w:rsidP="0026452D">
      <w:pPr>
        <w:pStyle w:val="TextoNormal"/>
      </w:pPr>
      <w:r>
        <w:t>3º Retrotraer las actuaciones al momento inmediatamente anterior al de recaer la Sentencia de apelación, para que por la Sección Quinta de la Audiencia Provincial de Granada se dicte nueva resolución respetuosa con el derecho fundamental reconocido.</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ocho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77" w:name="SENTENCIA_2013_74"/>
      <w:r>
        <w:lastRenderedPageBreak/>
        <w:t>SENTENCIA 74/2013, de 8 de abril de 2013</w:t>
      </w:r>
    </w:p>
    <w:bookmarkEnd w:id="77"/>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ECLI:ES:TC:2013:74</w:t>
      </w:r>
    </w:p>
    <w:p w:rsidR="0026452D" w:rsidRDefault="0026452D" w:rsidP="0026452D">
      <w:pPr>
        <w:pStyle w:val="SntesisDescriptiva"/>
      </w:pPr>
    </w:p>
    <w:p w:rsidR="0026452D" w:rsidRDefault="0026452D" w:rsidP="0026452D">
      <w:pPr>
        <w:pStyle w:val="SntesisDescriptiva"/>
      </w:pPr>
      <w:r>
        <w:t>Recurso de amparo 1770-2011. Promovido don Luis Alberto Peláez Bosmorand respecto de las resoluciones de un Juzgado de Primera Instancia de Vigo y de la Audiencia Provincial de Pontevedra que inadmitieron su recurso de apelación al no haber constituido en plazo el depósito para recurrir.</w:t>
      </w:r>
    </w:p>
    <w:p w:rsidR="0026452D" w:rsidRDefault="0026452D" w:rsidP="0026452D">
      <w:pPr>
        <w:pStyle w:val="SntesisDescriptiva"/>
      </w:pPr>
    </w:p>
    <w:p w:rsidR="0026452D" w:rsidRDefault="0026452D" w:rsidP="0026452D">
      <w:pPr>
        <w:pStyle w:val="SntesisAnaltica"/>
      </w:pPr>
      <w:r>
        <w:t>Vulneración del derecho a la tutela judicial efectiva (acceso al recurso): subsanabilidad de la omisión de constitución del depósito para recurrir (SSTC 129/2012 y 130/2012).</w:t>
      </w:r>
    </w:p>
    <w:p w:rsidR="0026452D" w:rsidRDefault="0026452D" w:rsidP="0026452D">
      <w:pPr>
        <w:pStyle w:val="SntesisAnaltica"/>
      </w:pPr>
    </w:p>
    <w:p w:rsidR="0026452D" w:rsidRDefault="0026452D" w:rsidP="0026452D">
      <w:pPr>
        <w:pStyle w:val="Extracto"/>
      </w:pPr>
      <w:r>
        <w:t>1.</w:t>
      </w:r>
      <w:r>
        <w:tab/>
        <w:t xml:space="preserve">Cumplida la finalidad legal que determina la exigencia del depósito referido antes inclusive de que el órgano judicial pusiera de manifiesto tal omisión y le concediera plazo para subsanarla y no verificada dilación alguna del procedimiento por esta causa, ha de considerarse irrazonable la posición de los tribunales aquí actuantes al negar efectos jurídicos a la consignación realizada, impidiendo con ello que la apelación se sustanciase en todas sus fases, vulnerando el derecho al recurso legalmente previsto </w:t>
      </w:r>
      <w:r w:rsidRPr="0026452D">
        <w:rPr>
          <w:i/>
        </w:rPr>
        <w:t>ex</w:t>
      </w:r>
      <w:r>
        <w:t xml:space="preserve"> art. 24.1 CE (SSTC 130/2012, 154/2014) [FFJJ 2, 3].</w:t>
      </w:r>
    </w:p>
    <w:p w:rsidR="0026452D" w:rsidRDefault="0026452D" w:rsidP="0026452D">
      <w:pPr>
        <w:pStyle w:val="Extracto"/>
      </w:pPr>
    </w:p>
    <w:p w:rsidR="0026452D" w:rsidRDefault="0026452D" w:rsidP="0026452D">
      <w:pPr>
        <w:pStyle w:val="Extracto"/>
      </w:pPr>
      <w:r>
        <w:t>2.</w:t>
      </w:r>
      <w:r>
        <w:tab/>
        <w:t>Para que el precepto que regula el depósito para recurrir tenga sentido en su conjunto y su interpretación no sea irrazonable, arbitraria o desfavorecedora del derecho al recurso, ha de entenderse que la palabra “defecto”, referido al objeto de la subsanación, se emplea con alcance general y se refiere a las tres posibles manifestaciones de incumplimiento del acto de depósito –defecto, omisión o error–, para las que cabe subsanación de acuerdo con lo establecido en la propia norma [FJ 2].</w:t>
      </w:r>
    </w:p>
    <w:p w:rsidR="0026452D" w:rsidRDefault="0026452D" w:rsidP="0026452D">
      <w:pPr>
        <w:pStyle w:val="Extracto"/>
      </w:pPr>
    </w:p>
    <w:p w:rsidR="0026452D" w:rsidRDefault="0026452D" w:rsidP="0026452D">
      <w:pPr>
        <w:pStyle w:val="Extracto"/>
      </w:pPr>
      <w:r>
        <w:t>3.</w:t>
      </w:r>
      <w:r>
        <w:tab/>
        <w:t>Doctrina sobre la constitucionalidad del depósito para recurrir en el ámbito civil desde la perspectiva del derecho de acceso a los recursos (SSTC 129/2012, 130/2012)  [FJ 2].</w:t>
      </w:r>
    </w:p>
    <w:p w:rsidR="0026452D" w:rsidRDefault="0026452D" w:rsidP="0026452D">
      <w:pPr>
        <w:pStyle w:val="Extracto"/>
      </w:pPr>
    </w:p>
    <w:p w:rsidR="0026452D" w:rsidRDefault="0026452D" w:rsidP="0026452D">
      <w:pPr>
        <w:pStyle w:val="Extracto"/>
      </w:pPr>
      <w:r>
        <w:t>4.</w:t>
      </w:r>
      <w:r>
        <w:tab/>
        <w:t>La interposición del recurso de queja contra la decisión del Juzgado de denegar la preparación de la apelación por no conceder eficacia al depósito realizado, cerraba la vía judicial y daba la oportunidad a los Tribunales ordinarios de reparar la lesión denunciada, deviniendo con ello innecesario el tener que acudir después al incidente de nulidad para reiterar otra vez la misma queja, por lo que ha de descartarse un posible defecto de agotamiento de la vía judicial previa [FJ 1].</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ha pronunciado</w:t>
      </w:r>
    </w:p>
    <w:p w:rsidR="0026452D" w:rsidRDefault="0026452D" w:rsidP="0026452D">
      <w:pPr>
        <w:pStyle w:val="TextoNormal"/>
      </w:pPr>
    </w:p>
    <w:p w:rsidR="0026452D" w:rsidRDefault="0026452D" w:rsidP="0026452D">
      <w:pPr>
        <w:pStyle w:val="TextoNormalCentrado"/>
        <w:keepNext/>
      </w:pPr>
      <w:r>
        <w:lastRenderedPageBreak/>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1770-2011, promovido don Luis Alberto Peláez Bosmorand, representado por la Procuradora de los Tribunales doña María Asunción Sánchez González y asistido por el Abogado don José Luis San Román Manso, contra el Auto del Juzgado de Primera Instancia núm. 12 de Vigo, de 25 de enero de 2010, que tuvo por no preparado recurso de apelación por falta de constitución de depósito para recurrir; confirmado en reposición por Auto de 27 de mayo de 2010 del mismo Juzgado; así como también contra el Auto de la Sección Sexta de la Audiencia Provincial de Pontevedra, de 29 de octubre de 2010, desestimatorio de recurso de queja y finalmente contra la providencia de la misma Sección, de 3 de febrero de 2011, inadmitiendo a trámite incidente de nulidad de actuaciones promovido contra el indicado Auto. Ha intervenido el Ministerio Fiscal. Ha sido Ponente la Magistrada doña Encarnación Roca Trías,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24 de marzo de 2011 se interpuso demanda de amparo contra las resoluciones a las que se ha hecho referencia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con relevancia para la resolución del presente recurso de amparo y a los que se refiere la demanda presentada, son los siguientes:</w:t>
      </w:r>
    </w:p>
    <w:p w:rsidR="0026452D" w:rsidRDefault="0026452D" w:rsidP="0026452D">
      <w:pPr>
        <w:pStyle w:val="TextoNormal"/>
      </w:pPr>
    </w:p>
    <w:p w:rsidR="0026452D" w:rsidRDefault="0026452D" w:rsidP="0026452D">
      <w:pPr>
        <w:pStyle w:val="TextoNormal"/>
      </w:pPr>
      <w:r>
        <w:t>a) El Juzgado de Primera Instancia núm. 12 de Vigo dictó Sentencia el 25 de enero de 2010 en proceso de modificación de medidas definitivas matrimoniales (núm. 646-2009), estimando parcialmente la demanda presentada por el aquí recurrente en amparo. Tras el fallo y como pie de recurso se dispuso: “Notifíquese esta sentencia a las partes, haciéndoles saber que contra la misma cabe recurso de apelación, que, en su caso, deberá prepararse ante este Juzgado dentro de los cincos días siguientes al que se notifique esta resolución, y de todo ello previo depósito en la cuenta de consignaciones de este Juzgado del importe a que se refiere la disposición adicional decimoquinta de la Ley Orgánica 6/1985, de 1 de julio, del Poder Judicial.”</w:t>
      </w:r>
    </w:p>
    <w:p w:rsidR="0026452D" w:rsidRDefault="0026452D" w:rsidP="0026452D">
      <w:pPr>
        <w:pStyle w:val="TextoNormal"/>
      </w:pPr>
    </w:p>
    <w:p w:rsidR="0026452D" w:rsidRDefault="0026452D" w:rsidP="0026452D">
      <w:pPr>
        <w:pStyle w:val="TextoNormal"/>
      </w:pPr>
      <w:r>
        <w:t>b) El aquí demandante de amparo preparó recurso de apelación mediante escrito de 23 de febrero de 2010, no habiendo efectuado en ese momento el depósito para recurrir previsto en la indicada disposición adicional decimoquinta de la Ley Orgánica del Poder Judicial (LOPJ).</w:t>
      </w:r>
    </w:p>
    <w:p w:rsidR="0026452D" w:rsidRDefault="0026452D" w:rsidP="0026452D">
      <w:pPr>
        <w:pStyle w:val="TextoNormal"/>
      </w:pPr>
    </w:p>
    <w:p w:rsidR="0026452D" w:rsidRDefault="0026452D" w:rsidP="0026452D">
      <w:pPr>
        <w:pStyle w:val="TextoNormal"/>
      </w:pPr>
      <w:r>
        <w:t>c) Sin mediar requerimiento del Juzgado y estando pendiente de proveerse por éste sobre la preparación, el apelante llevó a cabo la consignación del depósito en fecha 3 de marzo de 2010.</w:t>
      </w:r>
    </w:p>
    <w:p w:rsidR="0026452D" w:rsidRDefault="0026452D" w:rsidP="0026452D">
      <w:pPr>
        <w:pStyle w:val="TextoNormal"/>
      </w:pPr>
    </w:p>
    <w:p w:rsidR="0026452D" w:rsidRDefault="0026452D" w:rsidP="0026452D">
      <w:pPr>
        <w:pStyle w:val="TextoNormal"/>
      </w:pPr>
      <w:r>
        <w:t>d) El 15 de abril de 2010, el Juzgado dictó Auto teniendo por no preparado dicho recurso. Tras aludir a la disposición adicional decimoquinta LOPJ, el Juzgado razona lo siguiente: “En el presente caso, el depósito necesario para recurrir fue efectuado con posterioridad a la finalización del plazo para anunciar el recurso de apelación, por ello procede declarar no haber lugar a tener por preparado el recurso de apelación”.</w:t>
      </w:r>
    </w:p>
    <w:p w:rsidR="0026452D" w:rsidRDefault="0026452D" w:rsidP="0026452D">
      <w:pPr>
        <w:pStyle w:val="TextoNormal"/>
      </w:pPr>
    </w:p>
    <w:p w:rsidR="0026452D" w:rsidRDefault="0026452D" w:rsidP="0026452D">
      <w:pPr>
        <w:pStyle w:val="TextoNormal"/>
      </w:pPr>
      <w:r>
        <w:t>e) Promovida reposición contra dicha resolución judicial, se desestimó por nuevo Auto del Juzgado de 27 de mayo de 2010, invocando la interpretación de la “Ilma. Audiencia de Pontevedra, en Sentencia de fecha 21 de abril de 2010 y siguiendo el criterio interpretativo de los Acuerdos de la Junta General de magistrados de las Secciones Civiles de la Audiencia Provincial de Pontevedra de 12 de diciembre de 2005, en relación al art. 449 de la LEC, interpreta ese apartado 7º de la Disposición Adicional mencionada, en el sentido de que ‘no cabe entender que la subsanación de la omisión a que el precepto se refiere supone la posibilidad de constituir el depósito con posterioridad a la preparación en los casos en que no estuviera ya constituido en ese momento, como la Ley quiere. Este párrafo segundo del apartado 7 debe interpretarse en su relación con el anterior. Por consiguiente, no se admitirá a trámite ningún recurso cuyo depósito no está constituido’. Acorde con dicha interpretación, no procede acceder a la reposición pretendida por el recurrente toda vez que la constitución del depósito, aunque antes de ser requerido para la subsanación, fue realizada una vez vencido el plazo de preparación.”</w:t>
      </w:r>
    </w:p>
    <w:p w:rsidR="0026452D" w:rsidRDefault="0026452D" w:rsidP="0026452D">
      <w:pPr>
        <w:pStyle w:val="TextoNormal"/>
      </w:pPr>
    </w:p>
    <w:p w:rsidR="0026452D" w:rsidRDefault="0026452D" w:rsidP="0026452D">
      <w:pPr>
        <w:pStyle w:val="TextoNormal"/>
      </w:pPr>
      <w:r>
        <w:t>f) Instado recurso de queja, la Sección Sexta de la Audiencia Provincial de Pontevedra dictó Auto el 29 de octubre de 2010 (rollo núm. 4171-2010), desestimatorio de este último, confirmando la no preparación de la apelación.</w:t>
      </w:r>
    </w:p>
    <w:p w:rsidR="0026452D" w:rsidRDefault="0026452D" w:rsidP="0026452D">
      <w:pPr>
        <w:pStyle w:val="TextoNormal"/>
      </w:pPr>
    </w:p>
    <w:p w:rsidR="0026452D" w:rsidRDefault="0026452D" w:rsidP="0026452D">
      <w:pPr>
        <w:pStyle w:val="TextoNormal"/>
      </w:pPr>
      <w:r>
        <w:t xml:space="preserve">La Audiencia sostuvo al respecto, que no cabe permitir la constitución del depósito de la disposición adicional decimoquinta LOPJ cuando ya se ha presentado el escrito de preparación “primero, porque la presentación de escrito de preparación constituye el momento preclusivo de la constitución del depósito (‘la admisión del recurso precisará —dice la norma— que al prepararse el recurso, se haya consignado en la oportuna entidad de crédito…’); segundo, por cuanto así se infiere de la propia redacción de la norma que, para subsanar, establece la obligación de aportar ‘la documentación acreditativa’, que como es obvio, no puede ser otra que la que justifica la previa constitución del depósito y tercero, toda vez que tal es la doctrina del Tribunal Constitucional (que aunque referida a materia específica de procesos arrendaticios, resulta perfectamente aplicable al supuesto de </w:t>
      </w:r>
      <w:r w:rsidRPr="0026452D">
        <w:rPr>
          <w:i/>
        </w:rPr>
        <w:t>litis</w:t>
      </w:r>
      <w:r>
        <w:t>), recogida en la Sentencia del Tribunal Supremo de 19 de julio de 2001”.</w:t>
      </w:r>
    </w:p>
    <w:p w:rsidR="0026452D" w:rsidRDefault="0026452D" w:rsidP="0026452D">
      <w:pPr>
        <w:pStyle w:val="TextoNormal"/>
      </w:pPr>
    </w:p>
    <w:p w:rsidR="0026452D" w:rsidRDefault="0026452D" w:rsidP="0026452D">
      <w:pPr>
        <w:pStyle w:val="TextoNormal"/>
      </w:pPr>
      <w:r>
        <w:t>g) El aquí recurrente promovió incidente de nulidad de actuaciones contra el Auto desestimatorio de la queja, por escrito de 23 de noviembre de 2010, alegando la vulneración del derecho al recurso (art. 24.1 CE) y del derecho a la igualdad en aplicación de la ley (art. 14 CE).</w:t>
      </w:r>
    </w:p>
    <w:p w:rsidR="0026452D" w:rsidRDefault="0026452D" w:rsidP="0026452D">
      <w:pPr>
        <w:pStyle w:val="TextoNormal"/>
      </w:pPr>
    </w:p>
    <w:p w:rsidR="0026452D" w:rsidRDefault="0026452D" w:rsidP="0026452D">
      <w:pPr>
        <w:pStyle w:val="TextoNormal"/>
      </w:pPr>
      <w:r>
        <w:t>Dicho incidente se inadmitió a trámite por Auto de 3 de febrero de 2011 en el que la Sección juzgadora entra a resolver el fondo de la doble queja invocada, diciendo:</w:t>
      </w:r>
    </w:p>
    <w:p w:rsidR="0026452D" w:rsidRDefault="0026452D" w:rsidP="0026452D">
      <w:pPr>
        <w:pStyle w:val="TextoNormal"/>
      </w:pPr>
    </w:p>
    <w:p w:rsidR="0026452D" w:rsidRDefault="0026452D" w:rsidP="0026452D">
      <w:pPr>
        <w:pStyle w:val="TextoNormal"/>
      </w:pPr>
      <w:r>
        <w:t xml:space="preserve">“[D]ebemos inadmitir a trámite el incidente que aquí se trata por cuanto no existe la pretendida indefensión, pues es doctrina constitucional consolidada la que establece que, </w:t>
      </w:r>
      <w:r>
        <w:lastRenderedPageBreak/>
        <w:t>salvo en materia penal, los recursos no responden a exigencia constitucional alguna, sino que, a diferencia del acceso al proceso, son creación del legislador que, en consecuencia, es libre para su configuración, tanto para determinar los casos en que se considere procedente establecerlos; cuanto en lo relativo a los plazos y demás requisitos procesales para su interposición. Precisamente con base en esta distinción entre acceso a la justicia y acceso a los recursos el TC viene declarando que el acceso a los recursos y el cumplimiento de los requisitos procesales para su interposición, son cuestiones de legalidad ordinaria que corresponde resolver a los órganos judiciales, de ahí que tampoco apreciemos la pretendida vulneración del principio de igualdad…”</w:t>
      </w:r>
    </w:p>
    <w:p w:rsidR="0026452D" w:rsidRDefault="0026452D" w:rsidP="0026452D">
      <w:pPr>
        <w:pStyle w:val="TextoNormal"/>
      </w:pPr>
    </w:p>
    <w:p w:rsidR="0026452D" w:rsidRDefault="0026452D" w:rsidP="0026452D">
      <w:pPr>
        <w:pStyle w:val="TextoNormal"/>
      </w:pPr>
      <w:r w:rsidRPr="0026452D">
        <w:rPr>
          <w:rStyle w:val="NumeroAFNegritaCaracter"/>
        </w:rPr>
        <w:t>3</w:t>
      </w:r>
      <w:r>
        <w:t>. La demanda de amparo alega dos motivos de fondo. El primero por vulneración del derecho a la tutela judicial efectiva (art. 24.1 CE), en su vertiente de acceso al recurso. Se defiende que conforme al apartado 7 de la disposición adicional decimoquinta LOPJ, ha de permitirse la subsanación del defecto, omisión o error en la constitución del depósito que dicha norma regula, debiendo concederse a la parte dos días con este fin. Que la subsanación se refiere a esos tres supuestos o modalidades de incumplimiento del requisito, incluyendo su omisión, parece “claro y entendible”, más aun poniéndolo en relación con el párrafo 3 del mismo apartado 7; sin perjuicio del cauce más general de subsanación de los arts. 231 LEC y 11.3 LOPJ. Añade que las resoluciones aquí recurridas en amparo han optado por la interpretación más rigorista del precepto, cuando dada la voluntad del legislador, la respuesta debió ser la de optar por la interpretación que mejor se concilie con el derecho a la tutela judicial efectiva, lo que implica la posibilidad de subsanar la omisión en la prestación (constitución) del depósito. Por ello, las resoluciones impugnadas vulneran el derecho fundamental del art. 24.1 CE, en la faceta identificada.</w:t>
      </w:r>
    </w:p>
    <w:p w:rsidR="0026452D" w:rsidRDefault="0026452D" w:rsidP="0026452D">
      <w:pPr>
        <w:pStyle w:val="TextoNormal"/>
      </w:pPr>
    </w:p>
    <w:p w:rsidR="0026452D" w:rsidRDefault="0026452D" w:rsidP="0026452D">
      <w:pPr>
        <w:pStyle w:val="TextoNormal"/>
      </w:pPr>
      <w:r>
        <w:t>El segundo motivo de la demanda de amparo aduce la lesión del derecho a la igualdad en aplicación judicial de la ley (art. 14 CE). Se invoca como término de comparación un Auto dictado por la propia Sección Sexta de la Audiencia Provincial de Pontevedra del 29 de noviembre de 2010 y que se acompaña como documento 6 de la demanda de amparo, en el que, con estimación del incidente de nulidad ahí interpuesto, la Audiencia acuerda cambiar el criterio que venía aplicando hasta entonces —incluyendo el Auto desestimatorio de la queja del aquí recurrente—, permitiendo la subsanación de la falta de depósito. Observa la demanda de amparo que ese cambio de criterio se vuelve sin embargo a abandonar, al dictarse el Auto que deniega el incidente de nulidad contra el resolutorio de su queja; de modo que ante supuestos idénticos, la misma Sección juzgadora ha dado un tratamiento distinto, incurriendo en el trato desigual en la aplicación judicial de la ley que se denuncia.</w:t>
      </w:r>
    </w:p>
    <w:p w:rsidR="0026452D" w:rsidRDefault="0026452D" w:rsidP="0026452D">
      <w:pPr>
        <w:pStyle w:val="TextoNormal"/>
      </w:pPr>
    </w:p>
    <w:p w:rsidR="0026452D" w:rsidRDefault="0026452D" w:rsidP="0026452D">
      <w:pPr>
        <w:pStyle w:val="TextoNormal"/>
      </w:pPr>
      <w:r>
        <w:t>El recurrente solicita, por tanto, la estimación de su recurso, con nulidad de las resoluciones impugnadas y que se acuerde la retroacción de actuaciones al objeto de que se tenga por preparado el recurso de apelación interpuesto.</w:t>
      </w:r>
    </w:p>
    <w:p w:rsidR="0026452D" w:rsidRDefault="0026452D" w:rsidP="0026452D">
      <w:pPr>
        <w:pStyle w:val="TextoNormal"/>
      </w:pPr>
    </w:p>
    <w:p w:rsidR="0026452D" w:rsidRDefault="0026452D" w:rsidP="0026452D">
      <w:pPr>
        <w:pStyle w:val="TextoNormal"/>
      </w:pPr>
      <w:r w:rsidRPr="0026452D">
        <w:rPr>
          <w:rStyle w:val="NumeroAFNegritaCaracter"/>
        </w:rPr>
        <w:t>4</w:t>
      </w:r>
      <w:r>
        <w:t>. El 19 de abril de 2012, la Sala Segunda de este Tribunal dictó providencia admitiendo a trámite la demanda de amparo, acordando dirigir atenta comunicación a la Sección Sexta de la Audiencia Provincial de Pontevedra a fin de que, en un plazo no superior a diez días, remitiese certificación o fotocopia adverada de las actuaciones del rollo núm. 4171-2010; así como al Juzgado de Primera Instancia núm. 12 de Vigo para que, en igual plazo, hiciera lo propio respecto del procedimiento de modificación de medidas definitivas núm. 646-</w:t>
      </w:r>
      <w:r>
        <w:lastRenderedPageBreak/>
        <w:t>2009; con emplazamiento por este último a quienes hubieran sido parte en el proceso, excepto al recurrente en amparo, por si desean comparecer y personarse en el plazo de diez días ante este Tribunal. Finalmente la misma providencia requiere a la Procuradora del recurrente para la aportación en plazo de diez días, del original del poder que acredita su representación, condicionando el archivo del recurso en caso de no hacerlo.</w:t>
      </w:r>
    </w:p>
    <w:p w:rsidR="0026452D" w:rsidRDefault="0026452D" w:rsidP="0026452D">
      <w:pPr>
        <w:pStyle w:val="TextoNormal"/>
      </w:pPr>
    </w:p>
    <w:p w:rsidR="0026452D" w:rsidRDefault="0026452D" w:rsidP="0026452D">
      <w:pPr>
        <w:pStyle w:val="TextoNormal"/>
      </w:pPr>
      <w:r w:rsidRPr="0026452D">
        <w:rPr>
          <w:rStyle w:val="NumeroAFNegritaCaracter"/>
        </w:rPr>
        <w:t>5</w:t>
      </w:r>
      <w:r>
        <w:t>. No habiendo atendido nadie al llamamiento de personación formulado, la Sala Segunda de este Tribunal dictó diligencia de ordenación el 4 de junio de 2012, acordando dar plazo de veinte días a la parte recurrente y al Ministerio Fiscal para que pudiesen presentar alegaciones conforme determina el art. 52.1 de la Ley Orgánica de este Tribunal; teniendo por cumplido el requerimiento del poder efectuado.</w:t>
      </w:r>
    </w:p>
    <w:p w:rsidR="0026452D" w:rsidRDefault="0026452D" w:rsidP="0026452D">
      <w:pPr>
        <w:pStyle w:val="TextoNormal"/>
      </w:pPr>
    </w:p>
    <w:p w:rsidR="0026452D" w:rsidRDefault="0026452D" w:rsidP="0026452D">
      <w:pPr>
        <w:pStyle w:val="TextoNormal"/>
      </w:pPr>
      <w:r w:rsidRPr="0026452D">
        <w:rPr>
          <w:rStyle w:val="NumeroAFNegritaCaracter"/>
        </w:rPr>
        <w:t>6</w:t>
      </w:r>
      <w:r>
        <w:t>. Por escrito de la Procuradora del recurrente, de 6 de julio de 2012, dicha parte se ratificó en la solicitud de otorgamiento del amparo conforme a su demanda.</w:t>
      </w:r>
    </w:p>
    <w:p w:rsidR="0026452D" w:rsidRDefault="0026452D" w:rsidP="0026452D">
      <w:pPr>
        <w:pStyle w:val="TextoNormal"/>
      </w:pPr>
    </w:p>
    <w:p w:rsidR="0026452D" w:rsidRDefault="0026452D" w:rsidP="0026452D">
      <w:pPr>
        <w:pStyle w:val="TextoNormal"/>
      </w:pPr>
      <w:r w:rsidRPr="0026452D">
        <w:rPr>
          <w:rStyle w:val="NumeroAFNegritaCaracter"/>
        </w:rPr>
        <w:t>7</w:t>
      </w:r>
      <w:r>
        <w:t>. El Ministerio Fiscal presentó su escrito de alegaciones en el Registro de este Tribunal el 5 de diciembre de 2012, constando previamente la notificación a la Fiscalía de la diligencia de ordenación última mencionada, con fecha 19 de noviembre de 2012.</w:t>
      </w:r>
    </w:p>
    <w:p w:rsidR="0026452D" w:rsidRDefault="0026452D" w:rsidP="0026452D">
      <w:pPr>
        <w:pStyle w:val="TextoNormal"/>
      </w:pPr>
    </w:p>
    <w:p w:rsidR="0026452D" w:rsidRDefault="0026452D" w:rsidP="0026452D">
      <w:pPr>
        <w:pStyle w:val="TextoNormal"/>
      </w:pPr>
      <w:r>
        <w:t>Tras hacer resumen de los antecedentes procesales del caso y del contenido de la demanda, el Fiscal informante plantea, como cuestión previa, la posibilidad de concurrencia del óbice de extemporaneidad de la demanda por interposición de medio de impugnación manifiestamente improcedente, en este caso el incidente de nulidad promovido contra el Auto desestimatorio de la queja. Sostiene el Fiscal respecto de la primera queja de la demanda de amparo, fundada en lesión del derecho al recurso (art. 24.1 CE), que si bien los Autos del Juzgado no sitúan el problema en clave constitucional sino de legalidad ordinaria, sí que lo hace el Auto de la Audiencia al resolver la queja, por lo que ésta ya habría tenido ocasión de pronunciarse sobre la lesión del derecho fundamental y no haría falta el incidente.</w:t>
      </w:r>
    </w:p>
    <w:p w:rsidR="0026452D" w:rsidRDefault="0026452D" w:rsidP="0026452D">
      <w:pPr>
        <w:pStyle w:val="TextoNormal"/>
      </w:pPr>
    </w:p>
    <w:p w:rsidR="0026452D" w:rsidRDefault="0026452D" w:rsidP="0026452D">
      <w:pPr>
        <w:pStyle w:val="TextoNormal"/>
      </w:pPr>
      <w:r>
        <w:t>Cuestión distinta ocurre con la segunda queja de la demanda de amparo, lesión del derecho a la igualdad en aplicación de la ley, pues al atribuirse ésta por el recurrente al Auto desestimatorio de la queja, sí resultaba procedente el incidente de nulidad.</w:t>
      </w:r>
    </w:p>
    <w:p w:rsidR="0026452D" w:rsidRDefault="0026452D" w:rsidP="0026452D">
      <w:pPr>
        <w:pStyle w:val="TextoNormal"/>
      </w:pPr>
    </w:p>
    <w:p w:rsidR="0026452D" w:rsidRDefault="0026452D" w:rsidP="0026452D">
      <w:pPr>
        <w:pStyle w:val="TextoNormal"/>
      </w:pPr>
      <w:r>
        <w:t xml:space="preserve">Pasando luego al examen de los dos motivos de fondo, el Fiscal se refiere, en primer lugar, a la lesión del derecho al recurso. Precisa ante todo que “[e]n el momento de redactar el presente escrito de alegaciones la cuestión objeto de análisis ha sido ya abordada por este Tribunal en diferentes sentencias (SSTC 129/2012, 130/2012, 154/2012 y 190/2012) desde la óptica del derecho de acceso a los recursos (art. 24.1 CE)”. Con base en esa doctrina sostiene el Fiscal la estimación del amparo, pues aunque el recurrente no consignó el depósito de 50 euros al presentar el escrito de preparación, sí lo hizo el 3 de marzo de 2010, con carácter previo a ser requerido por el Juzgado. Las resoluciones impugnadas en el recurso, sin embargo, excluyendo la posibilidad de subsanación de la omisión del depósito y contradicen la doctrina de referencia que, en interpretación del precepto, permite subsanar la falta de su constitución. Añade que al haber consignado en la fecha indicada, se cumplió con su finalidad legal, sin que se haya detectado una actitud de resistencia, oposición u obstrucción del recurrente o un ánimo dilatorio en la tramitación del recurso. Por ello considera que tales </w:t>
      </w:r>
      <w:r>
        <w:lastRenderedPageBreak/>
        <w:t>resoluciones vulneran el derecho a la tutela judicial efectiva (art. 24.1 CE), en la vertiente de derecho al recurso.</w:t>
      </w:r>
    </w:p>
    <w:p w:rsidR="0026452D" w:rsidRDefault="0026452D" w:rsidP="0026452D">
      <w:pPr>
        <w:pStyle w:val="TextoNormal"/>
      </w:pPr>
    </w:p>
    <w:p w:rsidR="0026452D" w:rsidRDefault="0026452D" w:rsidP="0026452D">
      <w:pPr>
        <w:pStyle w:val="TextoNormal"/>
      </w:pPr>
      <w:r>
        <w:t xml:space="preserve">En segundo lugar, sobre la queja por ruptura de la igualdad en aplicación judicial de la ley (art. 14. CE), considera también el Fiscal que procede estimar el amparo por este motivo, al concurrir los requisitos exigidos por reiterada doctrina de este Tribunal (existencia de un </w:t>
      </w:r>
      <w:r w:rsidRPr="0026452D">
        <w:rPr>
          <w:i/>
        </w:rPr>
        <w:t>tertium comparationis</w:t>
      </w:r>
      <w:r>
        <w:t xml:space="preserve"> válido, identidad del órgano judicial, alteridad y ausencia de toda justificación en el cambio de criterio sobre la posibilidad de subsanación del requisito). Destaca que la providencia que rechazó este motivo del escrito de nulidad de actuaciones, se dictó con posterioridad a la fecha en que ya se había recaído el Auto que se ofrece aquí como término de comparación, por lo que la Sección debió de tenerlo en cuenta y no apartarse de él.</w:t>
      </w:r>
    </w:p>
    <w:p w:rsidR="0026452D" w:rsidRDefault="0026452D" w:rsidP="0026452D">
      <w:pPr>
        <w:pStyle w:val="TextoNormal"/>
      </w:pPr>
    </w:p>
    <w:p w:rsidR="0026452D" w:rsidRDefault="0026452D" w:rsidP="0026452D">
      <w:pPr>
        <w:pStyle w:val="TextoNormal"/>
      </w:pPr>
      <w:r>
        <w:t>El escrito del Ministerio Fiscal solicita el otorgamiento del amparo, debiéndose declarar la vulneración de los derechos fundamentales denunciados, con nulidad de los Autos recurridos y que se retrotraigan las actuaciones judiciales al momento inmediatamente anterior al pronunciamiento “del primero de los referidos autos, a fin de que se proceda por el órgano judicial a dictar una nueva resolución respetuosa con el derecho fundamental reconocido”.</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fecha 4 de abril de 2013, se señaló para la deliberación y votación de la presente Sentencia el día 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Se interpone el presente recurso de amparo contra los Autos del Juzgado de Primera Instancia núm. 12 de Vigo que denegaron la preparación del recurso de apelación promovido por el aquí demandante de amparo contra Sentencia dictada en proceso de medidas definitivas matrimoniales; así como contra el Auto de desestimación del recurso de queja dictado por la Sección Sexta de la Audiencia Provincial de Pontevedra y el Auto, también de ésta, de inadmisión del incidente de nulidad interpuesto contra aquel que rechaza la queja.</w:t>
      </w:r>
    </w:p>
    <w:p w:rsidR="0026452D" w:rsidRDefault="0026452D" w:rsidP="0026452D">
      <w:pPr>
        <w:pStyle w:val="TextoNormal"/>
      </w:pPr>
    </w:p>
    <w:p w:rsidR="0026452D" w:rsidRDefault="0026452D" w:rsidP="0026452D">
      <w:pPr>
        <w:pStyle w:val="TextoNormal"/>
      </w:pPr>
      <w:r>
        <w:t xml:space="preserve">El motivo de negar la preparación del recurso es la falta de constitución por el apelante del depósito para recurrir, en este caso de 50 euros, regulado en la disposición adicional decimoquinta de la Ley Orgánica del Poder Judicial (LOPJ) al tiempo de deducir el indicado escrito de preparación del recurso, no concediendo ambos Tribunales efectos de subsanación al depósito efectuado días después y con carácter previo a ser requerido de ello por el Juzgado. Tanto éste como la Sección </w:t>
      </w:r>
      <w:r w:rsidRPr="0026452D">
        <w:rPr>
          <w:i/>
        </w:rPr>
        <w:t>ad quem</w:t>
      </w:r>
      <w:r>
        <w:t xml:space="preserve"> de la Audiencia Provincial, sostienen que el acto de presentación del escrito de preparación marcaba el momento preclusivo para efectuar el depósito y que lo único que la norma reguladora permite subsanar es la acreditación documental de la consignación realizada en plazo, no la omisión del depósito en sí.</w:t>
      </w:r>
    </w:p>
    <w:p w:rsidR="0026452D" w:rsidRDefault="0026452D" w:rsidP="0026452D">
      <w:pPr>
        <w:pStyle w:val="TextoNormal"/>
      </w:pPr>
    </w:p>
    <w:p w:rsidR="0026452D" w:rsidRDefault="0026452D" w:rsidP="0026452D">
      <w:pPr>
        <w:pStyle w:val="TextoNormal"/>
      </w:pPr>
      <w:r>
        <w:t xml:space="preserve">La demanda de amparo, apoyada por el Ministerio Fiscal, considera que dichas resoluciones vulneran el derecho a la tutela judicial efectiva (art. 24.1 CE) del recurrente en su vertiente de acceso al recurso legalmente establecido, así como también su derecho a la igualdad en aplicación judicial de la ley (art. 14. CE), toda vez que la propia Sección Juzgadora en fecha anterior a dictar el Auto denegatorio del incidente de nulidad, había optado </w:t>
      </w:r>
      <w:r>
        <w:lastRenderedPageBreak/>
        <w:t>por el criterio favorable a la subsanación, a cuyos efectos aporta con la demanda de amparo copia de tal Auto, de 29 de noviembre de 2010.</w:t>
      </w:r>
    </w:p>
    <w:p w:rsidR="0026452D" w:rsidRDefault="0026452D" w:rsidP="0026452D">
      <w:pPr>
        <w:pStyle w:val="TextoNormal"/>
      </w:pPr>
    </w:p>
    <w:p w:rsidR="0026452D" w:rsidRDefault="0026452D" w:rsidP="0026452D">
      <w:pPr>
        <w:pStyle w:val="TextoNormal"/>
      </w:pPr>
      <w:r>
        <w:t>Así expuesto y antes de entrar en el estudio del fondo del recurso, han de despejarse previamente las dudas planteadas por el Ministerio Fiscal en su escrito de alegaciones, acerca de un posible defecto de agotamiento de la vía judicial previa por parte del recurrente lo que, de apreciarse, traería consigo una Sentencia de inadmisibilidad teniendo en cuenta que este Tribunal tiene potestad para el control de los presupuestos procesales del amparo en cualquier fase del mismo, sin que constituya obstáculo para su ejercicio el carácter tasado de los pronunciamientos previstos en el art. 53 Ley Orgánica del Tribunal Constitucional (entre otras, SSTC 56/2006, de 27 de febrero, FJ único, y 221/2012, de 26 de noviembre, FJ 2, además de las que en ellas se citan).</w:t>
      </w:r>
    </w:p>
    <w:p w:rsidR="0026452D" w:rsidRDefault="0026452D" w:rsidP="0026452D">
      <w:pPr>
        <w:pStyle w:val="TextoNormal"/>
      </w:pPr>
    </w:p>
    <w:p w:rsidR="0026452D" w:rsidRDefault="0026452D" w:rsidP="0026452D">
      <w:pPr>
        <w:pStyle w:val="TextoNormal"/>
      </w:pPr>
      <w:r>
        <w:t>Las dudas planteadas han de ser descartadas. En cuanto a la queja por lesión del derecho al recurso (art. 24.1 CE), es claro que ésta, de existir se produce ya con el primer Auto dictado por el Juzgado al denegar la preparación de la apelación, por no conceder eficacia al depósito realizado, con independencia de que dicha resolución no dé cuenta de la proyección constitucional del problema, lo que en sí mismo no es condicionante para dejar de reconocer que la lesión ya se ha producido. Por tanto, la interposición del recurso de queja contra esa decisión del Juzgado, confirmada por cierto antes en reposición, cerraba la vía judicial y daba la oportunidad a los Tribunales ordinarios de reparar la lesión denunciada, deviniendo con ello innecesario el tener que acudir después al incidente de nulidad para reiterar otra vez la misma queja. Ahora bien, dicho todo esto, no puede desconocerse una circunstancia y es que el Auto que deniega el incidente de nulidad, también en lo que atañe a esta alegada lesión del derecho al recurso, no inadmite por improcedente la vía, sino que entra a contestar en el fondo la queja. Al haberlo hecho así, resulta obligado atender a la doctrina de este Tribunal que no considera improcedente la utilización de un medio de impugnación determinado, con la consecuencia de cerrar el acceso al amparo, cuando la parte obtiene del órgano judicial una respuesta de fondo a su pretensión, aunque ésta lo sea en sentido desestimatorio. En tal hipótesis, como aquí sucede, dicha parte ha conseguido colmar la tutela judicial que se proponía, como si el medio de que se trate hubiera resultado procedente en su interposición (últimamente, SSTC 76/2009, de 23 de marzo, FJ 2 y 113/2012, de 24 de mayo, FJ 2).</w:t>
      </w:r>
    </w:p>
    <w:p w:rsidR="0026452D" w:rsidRDefault="0026452D" w:rsidP="0026452D">
      <w:pPr>
        <w:pStyle w:val="TextoNormal"/>
      </w:pPr>
    </w:p>
    <w:p w:rsidR="0026452D" w:rsidRDefault="0026452D" w:rsidP="0026452D">
      <w:pPr>
        <w:pStyle w:val="TextoNormal"/>
      </w:pPr>
      <w:r>
        <w:t xml:space="preserve">Por lo demás, ninguna duda de agotamiento defectuoso genera la segunda queja de la demanda de amparo, pues como bien señala el Ministerio Fiscal en su escrito de alegaciones, al proyectarse la lesión del derecho a la igualdad en aplicación de la ley (art. 14 CE) directamente sobre el Auto denegatorio de la queja dictado por la Sección </w:t>
      </w:r>
      <w:r w:rsidRPr="0026452D">
        <w:rPr>
          <w:i/>
        </w:rPr>
        <w:t>ad quem</w:t>
      </w:r>
      <w:r>
        <w:t>, devenía preceptivo intentar el incidente de nulidad para dar una oportunidad a la Audiencia de reparar la falta, tal como se hizo.</w:t>
      </w:r>
    </w:p>
    <w:p w:rsidR="0026452D" w:rsidRDefault="0026452D" w:rsidP="0026452D">
      <w:pPr>
        <w:pStyle w:val="TextoNormal"/>
      </w:pPr>
    </w:p>
    <w:p w:rsidR="0026452D" w:rsidRDefault="0026452D" w:rsidP="0026452D">
      <w:pPr>
        <w:pStyle w:val="TextoNormal"/>
      </w:pPr>
      <w:r>
        <w:t>Desechados los óbices de admisibilidad procede por todo lo expuesto, entrar en el análisis de fondo del recurso.</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Siguiendo el orden de la demanda de amparo, empezaremos por la queja de vulneración del derecho al recurso (art. 24.1 CE). Al respecto este Tribunal tiene asentada doctrina, a partir de las SSTC 129/2012 y 130/2012, ambas de 18 de junio, en torno al problema de la subsanación de la falta de constitución del depósito para recurrir previsto en la disposición </w:t>
      </w:r>
      <w:r>
        <w:lastRenderedPageBreak/>
        <w:t>adicional decimoquinta LOPJ. Entre las Sentencias posteriores en aplicación de dicha doctrina, se encuentra la STC 154/2012, de 16 de julio, dictada en relación a un pronunciamiento similar de la propia Sección Sexta de la Audiencia Provincial de Pontevedra. En esa ocasión, otorgamos el amparo al entender vulnerado el derecho fundamental al recurso.</w:t>
      </w:r>
    </w:p>
    <w:p w:rsidR="0026452D" w:rsidRDefault="0026452D" w:rsidP="0026452D">
      <w:pPr>
        <w:pStyle w:val="TextoNormal"/>
      </w:pPr>
    </w:p>
    <w:p w:rsidR="0026452D" w:rsidRDefault="0026452D" w:rsidP="0026452D">
      <w:pPr>
        <w:pStyle w:val="TextoNormal"/>
      </w:pPr>
      <w:r>
        <w:t xml:space="preserve">En efecto, como razonamos en las citadas SSTC 129/2012 y 130/12, ambas en su fundamento jurídico 3: </w:t>
      </w:r>
    </w:p>
    <w:p w:rsidR="0026452D" w:rsidRDefault="0026452D" w:rsidP="0026452D">
      <w:pPr>
        <w:pStyle w:val="TextoNormal"/>
      </w:pPr>
    </w:p>
    <w:p w:rsidR="0026452D" w:rsidRDefault="0026452D" w:rsidP="0026452D">
      <w:pPr>
        <w:pStyle w:val="TextoNormal"/>
      </w:pPr>
      <w:r>
        <w:t>“La disposición adicional decimoquinta LOPJ, introducida por el art. 1, apartado diecinueve, de la Ley Orgánica 1/2009, de 3 de noviembre, complementaria de la Ley de reforma de la legislación procesal para la implantación de la nueva oficina judicial, y que modifica la Ley Orgánica 6/1985, de 1 de julio, del Poder Judicial, configura un nuevo depósito para el ejercicio de acciones impugnatorias contra Sentencias y Autos (recursos ordinarios y extraordinarios ‘que deban tramitarse por escrito’, así como demandas de revisión de Sentencia firme o de audiencia al condenado en rebeldía). La finalidad de este depósito, según se dice en el preámbulo de la ley, ‘es disuadir a quienes recurran sin fundamento jurídico alguno, para que no prolonguen indebidamente el tiempo de resolución del proceso en perjuicio del derecho a la tutela judicial efectiva de las otras partes personadas en el proceso’. Se trata sin duda de un requisito de inexcusable cumplimiento, sin el cual la parte no tendrá derecho a que el procedimiento impugnatorio se sustancie en todas sus fases y, en todo caso, a que se resuelva en el fondo. En la apelación civil, a tenor de lo establecido en el segundo inciso del apartado 6 de la disposición adicional decimoquinta, el depósito debe formalizarse antes de presentarse el escrito de preparación del recurso, de modo que la parte recurrente deberá aportar con éste, copia del resguardo del depósito ya efectuado en la cuenta de depósitos y consignaciones del órgano judicial correspondiente. La consecuencia de no constituir el depósito será la no admisión a trámite del recurso, según indica el párrafo primero del apartado 7 de dicha disposición adicional.</w:t>
      </w:r>
    </w:p>
    <w:p w:rsidR="0026452D" w:rsidRDefault="0026452D" w:rsidP="0026452D">
      <w:pPr>
        <w:pStyle w:val="TextoNormal"/>
      </w:pPr>
    </w:p>
    <w:p w:rsidR="0026452D" w:rsidRDefault="0026452D" w:rsidP="0026452D">
      <w:pPr>
        <w:pStyle w:val="TextoNormal"/>
      </w:pPr>
      <w:r>
        <w:t xml:space="preserve">Ahora bien, establecido lo anterior, es claro que la ley no pretende que la exigencia de este depósito acabe erigiéndose en un obstáculo excesivo al ejercicio del derecho a la tutela jurisdiccional (art. 24.1 CE). De modo que obliga al órgano judicial que ha dictado la resolución susceptible de ser impugnada, a advertir a las partes de ‘la necesidad de constitución de depósito para recurrir así como la forma de efectuarlo’ (apartado 6, párrafo primero </w:t>
      </w:r>
      <w:r w:rsidRPr="0026452D">
        <w:rPr>
          <w:i/>
        </w:rPr>
        <w:t>in fine</w:t>
      </w:r>
      <w:r>
        <w:t>, de la disposición adicional decimoquinta LOPJ). Y antes de decretar la inadmisión a trámite del recurso, se garantiza a la parte recurrente ‘que hubiere incurrido en defecto, omisión o error en la constitución del depósito’ la apertura de un plazo de dos días, añade la norma, ‘para la subsanación del defecto, con aportación en su caso de documentación acreditativa’ (apartado 7, párrafo segundo). Sólo en caso de que la parte incumpla ese requerimiento, precisa la norma, ‘se dictará auto que ponga fin al trámite del recurso’ (apartado 7, último párrafo, de la disposición adicional decimoquinta LOPJ).</w:t>
      </w:r>
    </w:p>
    <w:p w:rsidR="0026452D" w:rsidRDefault="0026452D" w:rsidP="0026452D">
      <w:pPr>
        <w:pStyle w:val="TextoNormal"/>
      </w:pPr>
    </w:p>
    <w:p w:rsidR="0026452D" w:rsidRDefault="0026452D" w:rsidP="0026452D">
      <w:pPr>
        <w:pStyle w:val="TextoNormal"/>
      </w:pPr>
      <w:r>
        <w:t xml:space="preserve">Podría suscitar alguna duda la interpretación del término ‘defecto’, que se emplea dos veces en el mismo párrafo (primero, como una de las tres modalidades de incumplimiento del acto de depósito y después, para referirse al objeto de la subsanación). Sin embargo, para que el precepto en su conjunto tenga sentido y, consecuentemente, su interpretación no pueda ser tachada de irrazonable, arbitraria o no favorecedora de la efectividad del derecho fundamental —el derecho al recurso legalmente previsto (art. 24.1 CE)—, que son los parámetros a que ha de atenerse este Tribunal para examinar la viabilidad constitucional del </w:t>
      </w:r>
      <w:r>
        <w:lastRenderedPageBreak/>
        <w:t>fallo cuestionado, lo lógico es considerar que el ‘defecto’ es corregible en los tres supuestos indicados, por tanto, también en el caso de falta de constitución total o parcial del depósito (‘omisión’). Si hubiera pretendido otra cosa, al legislador le hubiera bastado con indicar el único supuesto subsanable, sin referirse a otros. Ha de entenderse por lo tanto que la palabra ‘defecto’ se emplea con un alcance general, y se refiere a las tres manifestaciones de incumplimiento posibles, para todas las cuales cabe la subsanación de acuerdo con lo establecido en la propia norma.”</w:t>
      </w:r>
    </w:p>
    <w:p w:rsidR="0026452D" w:rsidRDefault="0026452D" w:rsidP="0026452D">
      <w:pPr>
        <w:pStyle w:val="TextoNormal"/>
      </w:pPr>
    </w:p>
    <w:p w:rsidR="0026452D" w:rsidRDefault="0026452D" w:rsidP="0026452D">
      <w:pPr>
        <w:pStyle w:val="TextoNormal"/>
      </w:pPr>
      <w:r w:rsidRPr="0026452D">
        <w:rPr>
          <w:rStyle w:val="NumeroAFNegritaCaracter"/>
        </w:rPr>
        <w:t>3</w:t>
      </w:r>
      <w:r>
        <w:t>. La aplicación de la doctrina transcrita, ha de conducir a la estimación del primer motivo de la demanda de amparo: la Sentencia cumplió con el mandato legal de advertir a las partes acerca de la carga de efectuar el depósito previsto en la disposición adicional decimoquinta LOPJ para el caso de querer recurrir contra ella; lo que no fue atendido por la parte actora quien dedujo escrito de preparación del recurso de apelación sin satisfacer dicho depósito. Sin embargo, antes inclusive de que el órgano judicial pusiera de manifiesto tal omisión y le concediera plazo de dos días para subsanar, aquél consignó la cantidad exigible.</w:t>
      </w:r>
    </w:p>
    <w:p w:rsidR="0026452D" w:rsidRDefault="0026452D" w:rsidP="0026452D">
      <w:pPr>
        <w:pStyle w:val="TextoNormal"/>
      </w:pPr>
    </w:p>
    <w:p w:rsidR="0026452D" w:rsidRDefault="0026452D" w:rsidP="0026452D">
      <w:pPr>
        <w:pStyle w:val="TextoNormal"/>
      </w:pPr>
      <w:r>
        <w:t xml:space="preserve">Así, cumplida la finalidad legal que determina la exigencia del depósito referido y no verificada dilación alguna del procedimiento por esta causa, ha de considerarse irrazonable la posición de los tribunales aquí actuantes al negar efectos jurídicos a la consignación realizada, sosteniendo que la disposición adicional decimoquinta LOPJ no contempla la subsanación de la falta de depósito, trayendo consigo el archivo </w:t>
      </w:r>
      <w:r w:rsidRPr="0026452D">
        <w:rPr>
          <w:i/>
        </w:rPr>
        <w:t>a limine</w:t>
      </w:r>
      <w:r>
        <w:t xml:space="preserve"> del recurso sin pasar de la fase de preparación, impidiendo con ello que la apelación se sustanciase en todas sus fases y pueda dictarse una resolución de fondo que se pronuncie sobre las cuestiones que la parte tiene intención de plantear, en legítima impugnación de la Sentencia del Juzgado que le ha sido desfavorable.</w:t>
      </w:r>
    </w:p>
    <w:p w:rsidR="0026452D" w:rsidRDefault="0026452D" w:rsidP="0026452D">
      <w:pPr>
        <w:pStyle w:val="TextoNormal"/>
      </w:pPr>
    </w:p>
    <w:p w:rsidR="0026452D" w:rsidRDefault="0026452D" w:rsidP="0026452D">
      <w:pPr>
        <w:pStyle w:val="TextoNormal"/>
      </w:pPr>
      <w:r w:rsidRPr="0026452D">
        <w:rPr>
          <w:rStyle w:val="NumeroAFNegritaCaracter"/>
        </w:rPr>
        <w:t>4</w:t>
      </w:r>
      <w:r>
        <w:t>. Procede por tanto la estimación del recurso por este primer motivo de la demanda de amparo, lo que releva de tener que entrar en el análisis del segundo que se deduce, por presunta vulneración del derecho a la igualdad en aplicación judicial de la ley (art. 14 CE).</w:t>
      </w:r>
    </w:p>
    <w:p w:rsidR="0026452D" w:rsidRDefault="0026452D" w:rsidP="0026452D">
      <w:pPr>
        <w:pStyle w:val="TextoNormal"/>
      </w:pPr>
    </w:p>
    <w:p w:rsidR="0026452D" w:rsidRDefault="0026452D" w:rsidP="0026452D">
      <w:pPr>
        <w:pStyle w:val="TextoNormal"/>
      </w:pPr>
      <w:r>
        <w:t xml:space="preserve">Dicha estimación ha de determinar la nulidad de todos los Autos recurridos, tanto los dictados por el Juzgado de Primera Instancia (denegación inicial de la preparación y reposición), como los de la Sección competente de la Audiencia Provincial (queja e incidente de nulidad), debiendo retrotraerse las actuaciones al momento inmediatamente anterior a proveerse por el Juzgado </w:t>
      </w:r>
      <w:r w:rsidRPr="0026452D">
        <w:rPr>
          <w:i/>
        </w:rPr>
        <w:t>a quo</w:t>
      </w:r>
      <w:r>
        <w:t xml:space="preserve"> sobre el trámite de preparación del recurso presentado por el apelante y aquí recurrente en amparo, con el fin de que se dicte otra resolución que resulte respetuosa con el derecho fundamental reconocido.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el recurso de amparo interpuesto por don Luis Alberto Peláez Bosmorand y, en su virtud</w:t>
      </w:r>
    </w:p>
    <w:p w:rsidR="0026452D" w:rsidRDefault="0026452D" w:rsidP="0026452D">
      <w:pPr>
        <w:pStyle w:val="TextoNormal"/>
      </w:pPr>
    </w:p>
    <w:p w:rsidR="0026452D" w:rsidRDefault="0026452D" w:rsidP="0026452D">
      <w:pPr>
        <w:pStyle w:val="TextoNormal"/>
      </w:pPr>
      <w:r>
        <w:t>1º Reconocer su derecho fundamental a la tutela judicial efectiva (art. 24.1 CE).</w:t>
      </w:r>
    </w:p>
    <w:p w:rsidR="0026452D" w:rsidRDefault="0026452D" w:rsidP="0026452D">
      <w:pPr>
        <w:pStyle w:val="TextoNormal"/>
      </w:pPr>
    </w:p>
    <w:p w:rsidR="0026452D" w:rsidRDefault="0026452D" w:rsidP="0026452D">
      <w:pPr>
        <w:pStyle w:val="TextoNormal"/>
      </w:pPr>
      <w:r>
        <w:t>2º Declarar la nulidad de los Autos dictados por el Juzgado de Primera Instancia núm. 12 de Vigo, en fecha 25 de enero de 2010 y 27 de mayo de 2010; así como la nulidad de los Autos dictados por la Sección Sexta de la Audiencia Provincial de Pontevedra, de fecha 29 de octubre de 2010 y 3 de febrero de 2011.</w:t>
      </w:r>
    </w:p>
    <w:p w:rsidR="0026452D" w:rsidRDefault="0026452D" w:rsidP="0026452D">
      <w:pPr>
        <w:pStyle w:val="TextoNormal"/>
      </w:pPr>
    </w:p>
    <w:p w:rsidR="0026452D" w:rsidRDefault="0026452D" w:rsidP="0026452D">
      <w:pPr>
        <w:pStyle w:val="TextoNormal"/>
      </w:pPr>
      <w:r>
        <w:t>3º Retrotraer las actuaciones al momento inmediatamente anterior al de dictarse el Auto del Juzgado de 25 de enero de 2010 que tuvo por no preparado el recurso, debiendo dictarse nueva resolución que resulte respetuosa con el derecho fundamental reconocido.</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ocho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78" w:name="SENTENCIA_2013_75"/>
      <w:r>
        <w:lastRenderedPageBreak/>
        <w:t>SENTENCIA 75/2013, de 8 de abril de 2013</w:t>
      </w:r>
    </w:p>
    <w:bookmarkEnd w:id="78"/>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ECLI:ES:TC:2013:75</w:t>
      </w:r>
    </w:p>
    <w:p w:rsidR="0026452D" w:rsidRDefault="0026452D" w:rsidP="0026452D">
      <w:pPr>
        <w:pStyle w:val="SntesisDescriptiva"/>
      </w:pPr>
    </w:p>
    <w:p w:rsidR="0026452D" w:rsidRDefault="0026452D" w:rsidP="0026452D">
      <w:pPr>
        <w:pStyle w:val="SntesisDescriptiva"/>
      </w:pPr>
      <w:r>
        <w:t>Recurso de amparo 1771-2011. Promovido por don Aritz Labiano Zezeaga y don Haritz Gartxotenea Iruretagoiena en relación con la Sentencia de la Sección Segunda Sala de lo Penal de la Audiencia Nacional que les condenó por un delito de enaltecimiento del terrorismo.</w:t>
      </w:r>
    </w:p>
    <w:p w:rsidR="0026452D" w:rsidRDefault="0026452D" w:rsidP="0026452D">
      <w:pPr>
        <w:pStyle w:val="SntesisDescriptiva"/>
      </w:pPr>
    </w:p>
    <w:p w:rsidR="0026452D" w:rsidRDefault="0026452D" w:rsidP="0026452D">
      <w:pPr>
        <w:pStyle w:val="SntesisAnaltica"/>
      </w:pPr>
      <w:r>
        <w:t>Vulneración de los derechos a un proceso con todas las garantías y a la presunción de inocencia: condena fundada únicamente en un testimonio anónimo cuya fiabilidad no tuvieron oportunidad de contrastar los acusados (STC 174/2011).</w:t>
      </w:r>
    </w:p>
    <w:p w:rsidR="0026452D" w:rsidRDefault="0026452D" w:rsidP="0026452D">
      <w:pPr>
        <w:pStyle w:val="SntesisAnaltica"/>
      </w:pPr>
    </w:p>
    <w:p w:rsidR="0026452D" w:rsidRDefault="0026452D" w:rsidP="0026452D">
      <w:pPr>
        <w:pStyle w:val="Extracto"/>
      </w:pPr>
      <w:r>
        <w:t>1.</w:t>
      </w:r>
      <w:r>
        <w:tab/>
        <w:t xml:space="preserve">Para que la declaración de un testigo anónimo pueda erigirse en prueba de cargo se requiere que el anonimato haya sido acordado por el órgano judicial en una decisión motivada en la que se hayan ponderado razonablemente los intereses en conflicto, que los déficits de defensa que genera el anonimato hayan sido compensados con medidas alternativas que permitan al acusado evaluar y combatir la fiabilidad y credibilidad del testigo y de su testimonio, y que la declaración del testigo anónimo concurra acompañada de otros elementos probatorios, no pudiendo, por sí sola, enervar la presunción de inocencia (STC 64/1994, SSTEDH casos </w:t>
      </w:r>
      <w:r w:rsidRPr="0026452D">
        <w:rPr>
          <w:i/>
        </w:rPr>
        <w:t>Kostovski c. Holanda</w:t>
      </w:r>
      <w:r>
        <w:t xml:space="preserve">, de 20 de noviembre de 1989 y </w:t>
      </w:r>
      <w:r w:rsidRPr="0026452D">
        <w:rPr>
          <w:i/>
        </w:rPr>
        <w:t>Pesukic c. Suiza</w:t>
      </w:r>
      <w:r>
        <w:t>, de 6 de diciembre de 2012) [FJ 5].</w:t>
      </w:r>
    </w:p>
    <w:p w:rsidR="0026452D" w:rsidRDefault="0026452D" w:rsidP="0026452D">
      <w:pPr>
        <w:pStyle w:val="Extracto"/>
      </w:pPr>
    </w:p>
    <w:p w:rsidR="0026452D" w:rsidRDefault="0026452D" w:rsidP="0026452D">
      <w:pPr>
        <w:pStyle w:val="Extracto"/>
      </w:pPr>
      <w:r>
        <w:t>2.</w:t>
      </w:r>
      <w:r>
        <w:tab/>
        <w:t xml:space="preserve">Ante testigos que presenten especiales necesidades de protección, la necesidad de ponderar el derecho a un proceso con todas las garantías con otros intereses y derechos permite introducir determinadas excepciones a las reglas generales que rigen la práctica de los medios de prueba en el seno del juicio oral, siempre que se dé al acusado una ocasión adecuada y suficiente de contestar el testimonio de cargo e interrogar a su autor (SSTC 31/1981, 174/2011; SSTEDH casos </w:t>
      </w:r>
      <w:r w:rsidRPr="0026452D">
        <w:rPr>
          <w:i/>
        </w:rPr>
        <w:t>Kostovski c. Holanda</w:t>
      </w:r>
      <w:r>
        <w:t xml:space="preserve">, de 20 de noviembre de 1989 y </w:t>
      </w:r>
      <w:r w:rsidRPr="0026452D">
        <w:rPr>
          <w:i/>
        </w:rPr>
        <w:t>Gani c. España</w:t>
      </w:r>
      <w:r>
        <w:t>, de19 de febrero de 2013) [FJ 4].</w:t>
      </w:r>
    </w:p>
    <w:p w:rsidR="0026452D" w:rsidRDefault="0026452D" w:rsidP="0026452D">
      <w:pPr>
        <w:pStyle w:val="Extracto"/>
      </w:pPr>
    </w:p>
    <w:p w:rsidR="0026452D" w:rsidRDefault="0026452D" w:rsidP="0026452D">
      <w:pPr>
        <w:pStyle w:val="Extracto"/>
      </w:pPr>
      <w:r>
        <w:t>3.</w:t>
      </w:r>
      <w:r>
        <w:tab/>
        <w:t>En los casos de testimonio ‘oculto’ –declaración prestada por testigo de cargo sin ser visto por el acusado–, en los que la posibilidad de contradicción y el conocimiento de la identidad del testigo resulten respetados, han de entenderse cumplidas las exigencias derivadas de los arts. 6.3 d) CEDH y 24.2 CE, debiendo, por contra, considerarse contrario al citado precepto del Convenio la condena de un acusado sobre la base de testimonios ‘anónimos’ –declaraciones de personas cuya identidad es desconocida por el Tribunal, por la defensa, o por ambos–, pues ello conduce a una restricción de los derechos de defensa al imposibilitar la contradicción ante el órgano judicial (STC 64/1994; AATC 270/1994, 522/2005) [FJ 3].</w:t>
      </w:r>
    </w:p>
    <w:p w:rsidR="0026452D" w:rsidRDefault="0026452D" w:rsidP="0026452D">
      <w:pPr>
        <w:pStyle w:val="Extracto"/>
      </w:pPr>
    </w:p>
    <w:p w:rsidR="0026452D" w:rsidRDefault="0026452D" w:rsidP="0026452D">
      <w:pPr>
        <w:pStyle w:val="Extracto"/>
      </w:pPr>
      <w:r>
        <w:t>4.</w:t>
      </w:r>
      <w:r>
        <w:tab/>
        <w:t xml:space="preserve">Como contenido propio del principio acusatorio, el análisis del respeto a la garantía del deber de congruencia entre la acusación y fallo por parte de una resolución </w:t>
      </w:r>
      <w:r>
        <w:lastRenderedPageBreak/>
        <w:t>judicial, debe venir dado por la comprobación de que el condenado ha tenido la oportunidad de debatir los elementos de la acusación contradictoriamente, y de que se ha respetado la distribución de funciones entre los diferentes participantes en el proceso penal (SSTC 4/2002, 155/2009) [FJ 2].</w:t>
      </w:r>
    </w:p>
    <w:p w:rsidR="0026452D" w:rsidRDefault="0026452D" w:rsidP="0026452D">
      <w:pPr>
        <w:pStyle w:val="Extracto"/>
      </w:pPr>
    </w:p>
    <w:p w:rsidR="0026452D" w:rsidRDefault="0026452D" w:rsidP="0026452D">
      <w:pPr>
        <w:pStyle w:val="Extracto"/>
      </w:pPr>
      <w:r>
        <w:t>5.</w:t>
      </w:r>
      <w:r>
        <w:tab/>
        <w:t xml:space="preserve">La relevancia constitucional de la figura del testigo protegido, en lo que atañe a las posibilidades del acusado de contrastar la fiabilidad de su testimonio y, con ello, a su virtualidad como medio de prueba para enervar la presunción de inocencia, </w:t>
      </w:r>
      <w:r w:rsidRPr="0026452D">
        <w:rPr>
          <w:i/>
        </w:rPr>
        <w:t>ex</w:t>
      </w:r>
      <w:r>
        <w:t xml:space="preserve"> art. 24.2 CE, apenas ha sido objeto de desarrollo jurisprudencial por este Tribunal, lo que permite afirmar su especial trascendencia constitucional (STC 155/2009) [FJ 2].</w:t>
      </w:r>
    </w:p>
    <w:p w:rsidR="0026452D" w:rsidRDefault="0026452D" w:rsidP="0026452D">
      <w:pPr>
        <w:pStyle w:val="Extracto"/>
      </w:pPr>
    </w:p>
    <w:p w:rsidR="0026452D" w:rsidRDefault="0026452D" w:rsidP="0026452D">
      <w:pPr>
        <w:pStyle w:val="Extracto"/>
      </w:pPr>
      <w:r>
        <w:t>6.</w:t>
      </w:r>
      <w:r>
        <w:tab/>
        <w:t xml:space="preserve">Procede otorgar el amparo dado que las legítimas necesidades de protección del testigo ‘anónimo’ han mermado la defensa del acusado de modo incompatible con el derecho a un proceso con todas las garantías, ya que la información sobre la identidad del testigo se proporcionó a los defensores, pero no a los acusados, debiendo aquéllos guardar reserva al respecto, lo que no constituye un remedio suficiente para soslayar el déficit de defensa, y que el referido testimonio constituyó la prueba decisiva en que se ha fundado la condena, lo que vulnera el derecho a la presunción de inocencia, </w:t>
      </w:r>
      <w:r w:rsidRPr="0026452D">
        <w:rPr>
          <w:i/>
        </w:rPr>
        <w:t>ex</w:t>
      </w:r>
      <w:r>
        <w:t xml:space="preserve"> art. 24.2 CE, que proscribe que la condena se sustente en una actividad probatoria carente de las debidas garantías (SSTC 189/1998, 126/2011) [FJ 6].</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1771-2011, promovido por don Aritz Labiano Zezeaga y don Haritz Gartxotenea Iruretagoiena, representados por el Procurador de los Tribunales don José Javier Cuevas Rivas y asistidos por la Letrado don Mikel Elorza Solís, contra la Sentencia de la Sección Segunda de la Sala de lo Penal de la Audiencia Nacional de 27 de julio de 2010, dictada en procedimiento abreviado núm. 7-2010 procedente de diligencias previas núm. 269-2009 del Juzgado Central de Instrucción núm. 6, que condena a los recurrentes por delito de enaltecimiento del terrorismo, y contra el Auto dictado por la Sala de lo Penal del Tribunal Supremo de 22 de diciembre de 2010 en el recurso de casación núm. 2084-2010, que inadmite el recurso interpuesto y confirma la condena. Ha intervenido el Ministerio Fiscal. Ha sido Ponente la Magistrada doña Adela Asua Batarrita,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con fecha de 23 de marzo de 2011, don José Javier Cuevas Rivas, Procurador de los Tribunales, en representación de don Aritz Labiano Zezeaga y don Haritz Gartxotenea Iruretagoiena, interpuso recurso de amparo contra las resoluciones judiciales que se citan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de los que trae causa la demanda de amparo, relevantes para la resolución del caso son, en síntesis, los siguientes:</w:t>
      </w:r>
    </w:p>
    <w:p w:rsidR="0026452D" w:rsidRDefault="0026452D" w:rsidP="0026452D">
      <w:pPr>
        <w:pStyle w:val="TextoNormal"/>
      </w:pPr>
    </w:p>
    <w:p w:rsidR="0026452D" w:rsidRDefault="0026452D" w:rsidP="0026452D">
      <w:pPr>
        <w:pStyle w:val="TextoNormal"/>
      </w:pPr>
      <w:r>
        <w:t>a) La Sentencia de la Audiencia Nacional de 27 de julio de 2010 condenó a los recurrentes como autores de un delito de enaltecimiento del terrorismo a la pena de un año de prisión y a inhabilitación absoluta por tiempo de siete años. Los hechos declarados probados relatan que durante una manifestación autorizada desarrollada en una localidad de Guipúzcoa, los acusados, con evidente difusión pública, profirieron gritos ensalzando a la banda terrorista ETA, pudiendo ser oídos por cualquier participante en la manifestación y por cualquier peatón ajeno al acto.</w:t>
      </w:r>
    </w:p>
    <w:p w:rsidR="0026452D" w:rsidRDefault="0026452D" w:rsidP="0026452D">
      <w:pPr>
        <w:pStyle w:val="TextoNormal"/>
      </w:pPr>
    </w:p>
    <w:p w:rsidR="0026452D" w:rsidRDefault="0026452D" w:rsidP="0026452D">
      <w:pPr>
        <w:pStyle w:val="TextoNormal"/>
      </w:pPr>
      <w:r>
        <w:t>La condena se fundó en las declaraciones de dos testigos a quienes, mediante Auto de 12 de enero de 2010 dictado por el Juzgado Central de Instrucción núm. 6, se les atribuyó la condición de protegidos en aplicación de la Ley Orgánica 19/1994, de 23 de diciembre, de protección a testigos y peritos en causas criminales. Se manifiesta en la Sentencia que los hechos “quedaron acreditados por la declaración de los testigos protegidos nº 50875 y 50874. … El primero de esos testigos, policía local encargado de custodiar la manifestación, declaró que efectivamente oyó, provenientes de dos o tres personas por lo menos en dos ocasiones a lo largo de la manifestación, proferir gritos con expresiones tales como ‘Gora ETA militara’ … El segundo de los testigos, que a su vez denunció los hechos ante la Policía Autonómica, refiere que escuchó los gritos con el contenido ya referenciado, y que igual que lo que escuchó él mismo, lo habría podido escuchar cualquiera; además, declara que vio proferir personalmente tales gritos a los acusados, reconociéndolos como los autores de tales expresiones”. Por lo que respecta a la concreta participación de los acusados, argumenta el Tribunal sentenciador que “el testigo n. 50874 así lo declara, convirtiéndose en prueba de cargo, junto con la declaración del otro testigo; ambos coinciden en el hecho de que efectivamente se vertieron tales expresiones, y el primero de los mismos los identifica plenamente al conocerlos; en este sentido, resulta patente la contradicción en la que incurren entre sí los acusados y los testigos, puesto que todos declaran que en sus respectivas zonas de la manifestación no se profirió grito alguno, lo cual no se concilia con las declaraciones de los testigos protegidos. Los gritos proferidos deberían haberse forzosamente oído en alguna de las zonas de la manifestación. Por ello se entiende plenamente acreditada la participación de los acusados en los hechos denunciados, y así mismo ser los autores de tales expresiones.”</w:t>
      </w:r>
    </w:p>
    <w:p w:rsidR="0026452D" w:rsidRDefault="0026452D" w:rsidP="0026452D">
      <w:pPr>
        <w:pStyle w:val="TextoNormal"/>
      </w:pPr>
    </w:p>
    <w:p w:rsidR="0026452D" w:rsidRDefault="0026452D" w:rsidP="0026452D">
      <w:pPr>
        <w:pStyle w:val="TextoNormal"/>
      </w:pPr>
      <w:r>
        <w:t xml:space="preserve">b) En una comparecencia inmediatamente previa a la celebración del juicio oral y ante el temor manifestado por uno de los testigos —quien tenía asignado el núm. 50.874— a sufrir represalias, el Tribunal sentenciador, tras oír a las partes, acordó que su identidad solo fuera puesta en conocimiento de los Letrados defensores, debiendo estos guardar secreto sobre la </w:t>
      </w:r>
      <w:r>
        <w:lastRenderedPageBreak/>
        <w:t>misma. Además, se acordó que declarara con un mecanismo distorsionador de la voz, y que no fuera visto por las defensas ni los acusados. En la transcripción del acta del juicio oral se recoge con los siguientes términos:</w:t>
      </w:r>
    </w:p>
    <w:p w:rsidR="0026452D" w:rsidRDefault="0026452D" w:rsidP="0026452D">
      <w:pPr>
        <w:pStyle w:val="TextoNormal"/>
      </w:pPr>
    </w:p>
    <w:p w:rsidR="0026452D" w:rsidRDefault="0026452D" w:rsidP="0026452D">
      <w:pPr>
        <w:pStyle w:val="TextoNormal"/>
      </w:pPr>
      <w:r>
        <w:t>“El Ilmo. Presidente comunica que el siguiente testigo ha hecho comparecencia en Secretaría, manifiesta los temores que tiene a lo que pueda suceder consecuencia de amenazas recibidas en el pasado y que pueda recibir en el futuro en caso de que su identidad sea revelada. Salvo la Sala y el M. Fiscal, no se conoce esta persona, ni el nombre, ni de quien se trata, la Sala está en la idea de que la declaración sea en calidad de testigo anónimo, entiende hay base suficiente. Se entiende se ha producido un salto cualitativo de gran importancia…</w:t>
      </w:r>
    </w:p>
    <w:p w:rsidR="0026452D" w:rsidRDefault="0026452D" w:rsidP="0026452D">
      <w:pPr>
        <w:pStyle w:val="TextoNormal"/>
      </w:pPr>
    </w:p>
    <w:p w:rsidR="0026452D" w:rsidRDefault="0026452D" w:rsidP="0026452D">
      <w:pPr>
        <w:pStyle w:val="TextoNormal"/>
      </w:pPr>
      <w:r>
        <w:t>La defensa de H. Garatxotenea indica que su interrogatorio queda limitado. Muy diferente es aun cuando no conozca quien es el testigo en un momento determinado se puede saber la identidad a los efectos de enemistad, muchos datos limitan el derecho de defensa. Se opone.</w:t>
      </w:r>
    </w:p>
    <w:p w:rsidR="0026452D" w:rsidRDefault="0026452D" w:rsidP="0026452D">
      <w:pPr>
        <w:pStyle w:val="TextoNormal"/>
      </w:pPr>
    </w:p>
    <w:p w:rsidR="0026452D" w:rsidRDefault="0026452D" w:rsidP="0026452D">
      <w:pPr>
        <w:pStyle w:val="TextoNormal"/>
      </w:pPr>
      <w:r>
        <w:t>La defensa de A. Labiano comparte lo manifestado por su compañera, entiende afecta a la credibilidad subjetiva del testigo y limita el derecho de defensa…</w:t>
      </w:r>
    </w:p>
    <w:p w:rsidR="0026452D" w:rsidRDefault="0026452D" w:rsidP="0026452D">
      <w:pPr>
        <w:pStyle w:val="TextoNormal"/>
      </w:pPr>
    </w:p>
    <w:p w:rsidR="0026452D" w:rsidRDefault="0026452D" w:rsidP="0026452D">
      <w:pPr>
        <w:pStyle w:val="TextoNormal"/>
      </w:pPr>
      <w:r>
        <w:t>La Sala toma la siguiente resolución: se ha extraído la documentación donde se identifica el nombre de la persona a declarar, es pieza reservada y secreta, se pone en conocimiento de las Defensas con el correspondiente deber de secreto que lleva aparejado. Entiende es la manera de compatibilizar el derecho de defensa y que las Defensas conozcan al testigo.</w:t>
      </w:r>
    </w:p>
    <w:p w:rsidR="0026452D" w:rsidRDefault="0026452D" w:rsidP="0026452D">
      <w:pPr>
        <w:pStyle w:val="TextoNormal"/>
      </w:pPr>
    </w:p>
    <w:p w:rsidR="0026452D" w:rsidRDefault="0026452D" w:rsidP="0026452D">
      <w:pPr>
        <w:pStyle w:val="TextoNormal"/>
      </w:pPr>
      <w:r>
        <w:t>Se muestra la pieza a las defensas.</w:t>
      </w:r>
    </w:p>
    <w:p w:rsidR="0026452D" w:rsidRDefault="0026452D" w:rsidP="0026452D">
      <w:pPr>
        <w:pStyle w:val="TextoNormal"/>
      </w:pPr>
    </w:p>
    <w:p w:rsidR="0026452D" w:rsidRDefault="0026452D" w:rsidP="0026452D">
      <w:pPr>
        <w:pStyle w:val="TextoNormal"/>
      </w:pPr>
      <w:r>
        <w:t>Se informe se hace uso de un distorsionador de voz y su imagen no es vista. Se pasa de condición de testigo anónimo a oculto.”</w:t>
      </w:r>
    </w:p>
    <w:p w:rsidR="0026452D" w:rsidRDefault="0026452D" w:rsidP="0026452D">
      <w:pPr>
        <w:pStyle w:val="TextoNormal"/>
      </w:pPr>
    </w:p>
    <w:p w:rsidR="0026452D" w:rsidRDefault="0026452D" w:rsidP="0026452D">
      <w:pPr>
        <w:pStyle w:val="TextoNormal"/>
      </w:pPr>
      <w:r>
        <w:t xml:space="preserve">c) Con relación al testigo protegido núm. 50.874, argumenta la Sentencia de la Audiencia Nacional lo siguiente: “En el caso de autos nos encontramos ante un tipo de testigo cuyo testimonio se encuentra a caballo entre estas dos categorías, de tal suerte que si bien comparte con las notas del testigo anónimo, que no es conocido por los acusados, se puede considerar oculto, en tanto en cuanto su identidad sí era conocida por los abogados; es cierto que éstos no tienen por qué conocer al testigo, y cuáles son sus posibles tachas de objetividad, su relación con los acusados, si puede existir animadversión o cualquier tipo de hostilidad con los mismos: Por ello no pueden en principio valorar su relación con el objeto del procedimiento, y ello limita el derecho de defensa; ahora bien, en primer lugar nos encontramos con que la restricción de derechos fundamentales dentro del marco del derecho a un proceso público con todas las garantías, del derecho de defensa y del derecho a la presunción de inocencia, ha sido determinado con una decisión motivada y explicada en el acto del juicio oral, hasta el punto de que por una de las defensas, se reconoce que existen razones para el anonimato del testigo, y que el testimonio ha sido introducido de forma correcta en el acto del juicio oral, si bien, aun así, denuncia la limitación de su derecho de defensa. En segundo lugar, por parte de la Sala se ha producido una previa ponderación de los bienes jurídicos constitucionalmente protegidos, de los derechos fundamentales en conflicto y de las circunstancias concurrentes en el testigo en relación con el proceso penal. La Sala pudo </w:t>
      </w:r>
      <w:r>
        <w:lastRenderedPageBreak/>
        <w:t>comprobar personalmente el estado de desazón y de miedo del testigo, así como el riesgo objetivo que corría, y no tanto por las represalias de los acusados, sino por las que puedan proceder del entorno violento que genera la propia existencia de la Banda Terrorista ETA, y aquellos que la apoyan directa o directamente. Se trata de un testigo que no sólo acude a un acto de un juicio oral a declarar sobre quienes fueron los que profirieron los gritos de apoyo a ETA, sino que, además, fue quien se atrevió a denunciar estos hechos ante la Policía Autónoma Vasca; es objetivo y real el riesgo que asume. Por otro lado, no cabe duda de que su testimonio es una prueba de cargo importante, que ante la categoría de un testigo anónimo la convertiría en ineficaz; pero en este caso, el hecho de revelar la identidad del testigo a los abogados defensores, si bien no repone la totalidad del derecho de defensa, lo sitúa en un lugar compatible con mantener el necesario anonimato del testigo para los acusados y el público asistente al acto del juicio oral; por ello, el Tribunal, aun entendiendo que no está ante una tema de exenta dificultad, cree que se ha compatibilizado la tutela de los bienes jurídicos personales del testigo que se ponen riesgo con el derecho de defensa de los imputados, y en concreto con las garantías procesales que imponen los principios de inmediación y contradicción en la práctica de la prueba testifical, así como la valoración de la prueba desde la perspectiva de la fiabilidad y credibilidad del testimonio.”</w:t>
      </w:r>
    </w:p>
    <w:p w:rsidR="0026452D" w:rsidRDefault="0026452D" w:rsidP="0026452D">
      <w:pPr>
        <w:pStyle w:val="TextoNormal"/>
      </w:pPr>
    </w:p>
    <w:p w:rsidR="0026452D" w:rsidRDefault="0026452D" w:rsidP="0026452D">
      <w:pPr>
        <w:pStyle w:val="TextoNormal"/>
      </w:pPr>
      <w:r>
        <w:t>d) El recurso de casación formulado por los demandantes de amparo, fundado en motivos de impugnación ahora reiterados en amparo, fue desestimado por Auto de la Sala de lo Penal del Tribunal Supremo de 22 de diciembre de 2010.</w:t>
      </w:r>
    </w:p>
    <w:p w:rsidR="0026452D" w:rsidRDefault="0026452D" w:rsidP="0026452D">
      <w:pPr>
        <w:pStyle w:val="TextoNormal"/>
      </w:pPr>
    </w:p>
    <w:p w:rsidR="0026452D" w:rsidRDefault="0026452D" w:rsidP="0026452D">
      <w:pPr>
        <w:pStyle w:val="TextoNormal"/>
      </w:pPr>
      <w:r w:rsidRPr="0026452D">
        <w:rPr>
          <w:rStyle w:val="NumeroAFNegritaCaracter"/>
        </w:rPr>
        <w:t>3</w:t>
      </w:r>
      <w:r>
        <w:t>. La demanda de amparo se funda en los siguientes motivos. En primer lugar, estiman los recurrentes vulnerado el derecho a la tutela judicial efectiva (art. 24.1 CE) y a ser informados de la acusación (art. 24.2 CE), en que habría incurrido la Audiencia Nacional por haber fundado la condena en hechos distintos a aquellos por los que se había incoado la causa penal y de los que partió todo el desarrollo de la investigación de los hechos. Así, mientras todas las diligencias judiciales practicadas en la fase de instrucción y, en particular, el Auto de transformación de las diligencias previas en procedimiento abreviado, venían referidos a hechos cometidos el día 27 de septiembre de 2009, sin embargo el Ministerio fiscal introdujo sorpresivamente en su escrito de acusación un relato de hechos acontecidos el día 26 de septiembre de 2009, condenando finalmente la Sentencia impugnada por hechos datados en dicha fecha.</w:t>
      </w:r>
    </w:p>
    <w:p w:rsidR="0026452D" w:rsidRDefault="0026452D" w:rsidP="0026452D">
      <w:pPr>
        <w:pStyle w:val="TextoNormal"/>
      </w:pPr>
    </w:p>
    <w:p w:rsidR="0026452D" w:rsidRDefault="0026452D" w:rsidP="0026452D">
      <w:pPr>
        <w:pStyle w:val="TextoNormal"/>
      </w:pPr>
      <w:r>
        <w:t>El segundo motivo de amparo se sostiene sobre la alegada vulneración de los derechos a la tutela judicial efectiva (art. 24.1 CE) y a un proceso con todas las garantías (art. 24.2 CE), por haberse fundado la condena sobre la declaración de un testigo anónimo. Manifiestan los demandantes que no se han cumplido las exigencias impuestas por la jurisprudencia del Tribunal Europeo de Derechos Humanos, por cuanto al no proporcionar el Tribunal la identidad del declarante —testigo con núm. 50.874— ha impedido examinar la fiabilidad de su testimonio, estando además ante una declaración que ha resultado decisiva para la condena. Concretamente, la Sentencia basa la condena en la declaración de un testigo cuya filiación fue facilitada únicamente a la defensa de los recurrentes en el último momento, información que no puede servir para garantizar las posibilidades de defensa y contradicción. A ello añaden que la ocultación de la identidad del testigo hurta a los acusados el ejercicio de su derecho a la última palabra, al no poder poner en cuestión la fiabilidad o credibilidad del testimonio, debiendo tenerse en cuenta, además, que su declaración se llevó a cabo sin que la defensa pudiera verlo ni oír debidamente su voz, pues había sido distorsionada.</w:t>
      </w:r>
    </w:p>
    <w:p w:rsidR="0026452D" w:rsidRDefault="0026452D" w:rsidP="0026452D">
      <w:pPr>
        <w:pStyle w:val="TextoNormal"/>
      </w:pPr>
    </w:p>
    <w:p w:rsidR="0026452D" w:rsidRDefault="0026452D" w:rsidP="0026452D">
      <w:pPr>
        <w:pStyle w:val="TextoNormal"/>
      </w:pPr>
      <w:r>
        <w:t>A partir de lo denunciado en el motivo anterior, la tercera queja en que se sustenta la demanda denuncia la vulneración del derecho a la presunción de inocencia (art. 24.2 CE), al haberse fundado la condena por delito de enaltecimiento del terrorismo exclusivamente sobre la base de la declaración de un testigo anónimo.</w:t>
      </w:r>
    </w:p>
    <w:p w:rsidR="0026452D" w:rsidRDefault="0026452D" w:rsidP="0026452D">
      <w:pPr>
        <w:pStyle w:val="TextoNormal"/>
      </w:pPr>
    </w:p>
    <w:p w:rsidR="0026452D" w:rsidRDefault="0026452D" w:rsidP="0026452D">
      <w:pPr>
        <w:pStyle w:val="TextoNormal"/>
      </w:pPr>
      <w:r w:rsidRPr="0026452D">
        <w:rPr>
          <w:rStyle w:val="NumeroAFNegritaCaracter"/>
        </w:rPr>
        <w:t>4</w:t>
      </w:r>
      <w:r>
        <w:t>. La Sala Primera de este Tribunal, por providencia de 16 de abril de 2012, acordó admitir a trámite la demanda de amparo y, en aplicación de lo dispuesto en el art. 51 de la Ley Orgánica del Tribunal Constitucional (LOTC), constando ya las actuaciones correspondientes, acordó el emplazamiento de quienes hubieran sido parte en el procedimiento, a excepción del demandante de amparo, para que, si lo desearen, pudiesen comparecer en el plazo de diez días en el presente proceso de amparo.</w:t>
      </w:r>
    </w:p>
    <w:p w:rsidR="0026452D" w:rsidRDefault="0026452D" w:rsidP="0026452D">
      <w:pPr>
        <w:pStyle w:val="TextoNormal"/>
      </w:pPr>
    </w:p>
    <w:p w:rsidR="0026452D" w:rsidRDefault="0026452D" w:rsidP="0026452D">
      <w:pPr>
        <w:pStyle w:val="TextoNormal"/>
      </w:pPr>
      <w:r>
        <w:t>Igualmente se acordó formar la correspondiente pieza separada de suspensión, en la que, tras los trámites oportunos, se dictó por la Sala Primera de este Tribunal el Auto 102/2012, de 21 de mayo, acordando denegar la suspensión solicitada.</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diligencia de ordenación de 31 de julio de 2012 se otorgó, conforme al art. 52.1 LOTC, un plazo común de veinte días a las partes para que alegaran lo que estimaran oportuno.</w:t>
      </w:r>
    </w:p>
    <w:p w:rsidR="0026452D" w:rsidRDefault="0026452D" w:rsidP="0026452D">
      <w:pPr>
        <w:pStyle w:val="TextoNormal"/>
      </w:pPr>
    </w:p>
    <w:p w:rsidR="0026452D" w:rsidRDefault="0026452D" w:rsidP="0026452D">
      <w:pPr>
        <w:pStyle w:val="TextoNormal"/>
      </w:pPr>
      <w:r w:rsidRPr="0026452D">
        <w:rPr>
          <w:rStyle w:val="NumeroAFNegritaCaracter"/>
        </w:rPr>
        <w:t>6</w:t>
      </w:r>
      <w:r>
        <w:t>. La representación procesal del demandante de amparo presentó su escrito de alegaciones el 3 de octubre de 2012 reiterando en términos resumidos las alegaciones en que basaba su demanda de amparo, solicitando su estimación.</w:t>
      </w:r>
    </w:p>
    <w:p w:rsidR="0026452D" w:rsidRDefault="0026452D" w:rsidP="0026452D">
      <w:pPr>
        <w:pStyle w:val="TextoNormal"/>
      </w:pPr>
    </w:p>
    <w:p w:rsidR="0026452D" w:rsidRDefault="0026452D" w:rsidP="0026452D">
      <w:pPr>
        <w:pStyle w:val="TextoNormal"/>
      </w:pPr>
      <w:r w:rsidRPr="0026452D">
        <w:rPr>
          <w:rStyle w:val="NumeroAFNegritaCaracter"/>
        </w:rPr>
        <w:t>7</w:t>
      </w:r>
      <w:r>
        <w:t>. El Ministerio Fiscal, en escrito registrado el 16 de octubre de 2012, interesó el otorgamiento del amparo. Por lo que respecta al primer motivo de amparo, sostenido sobre el principio acusatorio, considera, de una parte, que no cumple con el requisito procesal de admisibilidad recogido en el art. 44.1 c) LOTC, al no haber invocado la vulneración que ahora se plantea en el primer momento procesal oportuno, ante el órgano judicial de primera instancia al comienzo del juicio oral y como cuestión previa. De otra parte, considera en cualquier caso que la queja carece de fundamento y debe ser, por ello, desestimada, pues la doctrina constitucional sitúa la fijación de los hechos, a efectos de su congruencia con el fallo, en las conclusiones definitivas, y en el presente caso el escrito de conclusiones del Ministerio Fiscal, ya en las provisionales presentadas con anterioridad a la apertura del juicio, concretaban la acusación en los hechos realizados el día 26 de septiembre de 2009; constituyendo, por lo demás, la modificación de la fecha en escritos previos del órgano judicial un mero error sin mayor trascendencia.</w:t>
      </w:r>
    </w:p>
    <w:p w:rsidR="0026452D" w:rsidRDefault="0026452D" w:rsidP="0026452D">
      <w:pPr>
        <w:pStyle w:val="TextoNormal"/>
      </w:pPr>
    </w:p>
    <w:p w:rsidR="0026452D" w:rsidRDefault="0026452D" w:rsidP="0026452D">
      <w:pPr>
        <w:pStyle w:val="TextoNormal"/>
      </w:pPr>
      <w:r>
        <w:t xml:space="preserve">Los dos restantes motivos de amparo deberían ser, a juicio del Ministerio Fiscal, atendidos por este Tribunal, acordando la estimación del recurso por vulneración del derecho a un proceso con todas las garantías y a la presunción de inocencia. En esencia, considera que la condena se ha sostenido en la declaración de un testigo frente a la que, por su anonimato, no han podido defenderse los recurrentes, al no haber podido confrontar su fiabilidad. Tras recoger con amplitud la jurisprudencia del Tribunal Europeo de Derechos Humanos y señalar como antecedente próximo la STC 64/1994, de 28 de febrero, argumenta que si bien la protección asignada al testigo con número 50.874 —que declaró oculto a las partes y al </w:t>
      </w:r>
      <w:r>
        <w:lastRenderedPageBreak/>
        <w:t>tribunal y con la voz distorsionada, y sin que se conociera por los acusados la identidad— estaba justificada, no se garantizó en modo suficiente las posibilidades de ejercicio de la defensa, pues al no desvelar la identidad del testigo a los acusados, se les impidió someter a la debida contradicción la fiabilidad de lo declarado a partir de las relaciones personales que pudieran existir entre estos y aquel. Manifiesta, en este sentido, que los ahora recurrentes carecieron de la información que les hubiera permitido articular una contraprueba sobre las relaciones del testigo con los acusados. Frente a las consideraciones del órgano judicial, entiende que la comunicación de la identidad del testigo únicamente a los Abogados de los acusados y en el momento inmediatamente previo al inicio del juicio oral no constituye una medida suficiente para asegurar las posibilidades de defensa de los demandantes de amparo, calificando el Ministerio Fiscal tal proceder como un “subterfugio” para aparentemente salvar las exigencias impuestas por la doctrina constitucional y la jurisprudencia del Tribunal de Estrasburgo. Concluye por ello que nos hallamos ante un testigo anónimo para los acusados, no pudiendo, según la jurisprudencia del Tribunal Europeo de Derechos Humanos, fundarse una condena con su testimonio. Por tal razón, y estando ante una prueba decisiva, considera también vulnerado el derecho a la presunción de inocencia.</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5 de abril de 2013, se señaló para deliberación y votación de la Sentencia el día 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Se dirige el presente recurso de amparo contra la Sentencia de la Sección Segunda de la Sala de lo Penal de la Audiencia Nacional de 27 de julio de 2010, que condenó a los demandantes como autores de un delito de enaltecimiento del terrorismo, y contra el Auto de la Sala de lo Penal del Tribunal Supremo de 22 de diciembre de 2010, que confirmó la condena. En la demanda se consideran vulneradas las garantías asociadas al principio acusatorio (art. 24.2 CE) por no ser congruente el fallo con los términos de la acusación, así como los derechos a un proceso con todas las garantías y a la presunción de inocencia (art. 24.2 CE), al haberse fundado la condena en la declaración de un testigo protegido cuya identidad no fue proporcionada a los acusados por el órgano judicial, mermándose con ello sus posibilidades de contrastar la fiabilidad del testimonio. El Ministerio Fiscal apoya esta última pretensión, solicitando el otorgamiento del amparo por vulneración de los citados derechos fundamentales.</w:t>
      </w:r>
    </w:p>
    <w:p w:rsidR="0026452D" w:rsidRDefault="0026452D" w:rsidP="0026452D">
      <w:pPr>
        <w:pStyle w:val="TextoNormal"/>
      </w:pPr>
    </w:p>
    <w:p w:rsidR="0026452D" w:rsidRDefault="0026452D" w:rsidP="0026452D">
      <w:pPr>
        <w:pStyle w:val="TextoNormal"/>
      </w:pPr>
      <w:r w:rsidRPr="0026452D">
        <w:rPr>
          <w:rStyle w:val="NumeroAFNegritaCaracter"/>
        </w:rPr>
        <w:t>2</w:t>
      </w:r>
      <w:r>
        <w:t>. La demanda de amparo sometida a nuestro enjuiciamiento plantea, como cuestión nuclear, la relevancia constitucional de la figura del testigo protegido, en lo que atañe a las posibilidades del acusado de contrastar la fiabilidad de su testimonio y, con ello, a su virtualidad como medio de prueba para enervar la presunción de inocencia (art. 24.2 CE). Tal cuestión y, en particular, la variante del testigo anónimo —que, como después expondremos, es la que se plantea en el presente caso— apenas ha sido objeto de desarrollo jurisprudencial por este Tribunal, lo que permite afirmar su especial trascendencia constitucional (STC 155/2009, de 25 de junio, FJ 2).</w:t>
      </w:r>
    </w:p>
    <w:p w:rsidR="0026452D" w:rsidRDefault="0026452D" w:rsidP="0026452D">
      <w:pPr>
        <w:pStyle w:val="TextoNormal"/>
      </w:pPr>
    </w:p>
    <w:p w:rsidR="0026452D" w:rsidRDefault="0026452D" w:rsidP="0026452D">
      <w:pPr>
        <w:pStyle w:val="TextoNormal"/>
      </w:pPr>
      <w:r>
        <w:t xml:space="preserve">Antes de ocuparnos de dicha pretensión impugnatoria, procederemos no obstante a dar respuesta al primer motivo de amparo; respuesta que, cabe anticiparlo ya, ha de ser desestimatoria. Tal como hemos reiterado, “la vinculación entre la pretensión punitiva de las partes </w:t>
      </w:r>
      <w:r>
        <w:lastRenderedPageBreak/>
        <w:t>acusadoras y el fallo de la Sentencia judicial, como contenido propio del principio acusatorio, implica que el órgano de enjuiciamiento debe dictar una resolución congruente con dicha pretensión, lo que responde a la necesidad, no sólo de garantizar las posibilidades de contradicción y defensa, sino también de respetar la distribución de funciones entre los diferentes participantes en el proceso penal, y, más concretamente, entre el órgano de enjuiciamiento y el Ministerio Fiscal, en los términos señalados en los arts. 117 y 124 CE. De este modo, el análisis del respeto a la garantía del deber de congruencia entre la acusación y fallo por parte de una resolución judicial debe venir dado, no sólo por la comprobación de que el condenado ha tenido la oportunidad de debatir los elementos de la acusación contradictoriamente, sino también por la comprobación de que el órgano de enjuiciamiento no ha comprometido su imparcialidad asumiendo funciones acusatorias que constitucionalmente no le corresponden” (SSTC 123/2005, de 12 de mayo, FJ 4 y 155/2009, de 25 de junio, FJ 4). El derecho fundamental pretende, así, garantizar que la Sentencia finalmente dictada no se haya fundado en hechos y preceptos frente a los que el condenado no hubiera podido ejercer su defensa contradictoria; en este sentido, la íntima relación existente entre el principio acusatorio y el derecho a la defensa ha sido asimismo señalada por este Tribunal al insistir en que del citado principio se desprende la exigencia de que el imputado tenga posibilidad de rechazar la acusación que contra él ha sido formulada tras la celebración del necesario debate contradictorio en el que haya tenido oportunidad de conocer y rebatir los argumentos de la otra parte y presentar ante el Juez los propios, tanto los de carácter fáctico como los de naturaleza jurídica (SSTC 4/2002, de 14 de enero, FJ 3 y 35/2004, de 8 de marzo, FJ 2). Es esta la razón por la que el Tribunal ha venido reiterando que el instrumento procesal esencial para la fijación de los términos de la acusación en el proceso es el escrito de conclusiones definitivas (SSTC 174/2001, de 26 de julio, FJ 5 y 183/2005, de 4 de julio, FJ 4), dado que estas habrán de ser producto de lo debatido en el acto del juicio oral.</w:t>
      </w:r>
    </w:p>
    <w:p w:rsidR="0026452D" w:rsidRDefault="0026452D" w:rsidP="0026452D">
      <w:pPr>
        <w:pStyle w:val="TextoNormal"/>
      </w:pPr>
    </w:p>
    <w:p w:rsidR="0026452D" w:rsidRDefault="0026452D" w:rsidP="0026452D">
      <w:pPr>
        <w:pStyle w:val="TextoNormal"/>
      </w:pPr>
      <w:r>
        <w:t>La sucinta exposición de nuestra doctrina sobre el principio acusatorio constituye base suficiente para, de una parte, descartar la propuesta del Ministerio Fiscal de inadmitir de la presente queja por su falta de invocación temprana [art. 44.1 c) de la Ley Orgánica del Tribunal Constitucional]; y, de otra, para rechazar que en el presente caso se haya producido la vulneración denunciada. Procede descartar la concurrencia del citado óbice procesal porque, con independencia de que los demandantes pretendan fundamentar la lesión del derecho en la incorrecta datación de los hechos efectuada en el Auto de transformación en procedimiento abreviado, si lo que se aspira a garantizar es la congruencia entre la acusación y el fallo solo podrá afirmarse la vulneración del derecho fundamental una vez recaída Sentencia condenatoria, siendo, en consecuencia, el primer momento procesal adecuado para su invocación el recurso contra la misma. Y procede, en todo caso, desestimar este primer motivo de amparo porque, más allá de la absoluta irrelevancia constitucional del citado error —siendo indubitado desde las primeras actuaciones procesales que los hechos se referían al día en que tuvo lugar la manifestación donde se profirieron los gritos a favor de ETA—, la fecha establecida tanto en las conclusiones provisionales como definitivas del Ministerio Fiscal es plenamente coincidente con la que finalmente reflejaron los hechos probados en la Sentencia condenatoria.</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Estamos ya en disposición de abordar los motivos de amparo que constituyen el núcleo central de la demanda, atinente, como se ha anticipado, a la figura del testigo protegido y a los requisitos que debe revestir su utilización en el proceso penal para asegurar el derecho del acusado a un proceso equitativo y para erigirse en prueba de cargo susceptible de enervar </w:t>
      </w:r>
      <w:r>
        <w:lastRenderedPageBreak/>
        <w:t>la presunción de inocencia. Como paso previo de nuestro análisis, será procedente recordar los hechos en que los demandantes apoyan su pretensión impugnatoria. Tal como se ha expuesto con mayor detalle en los antecedentes de hecho, el Juzgado Central de Instrucción estableció la condición de testigos protegidos a dos personas que después declararon en el juicio oral, asignándoles los números de identificación 50.874 y 50.875. Con posterioridad, ya en acto de la vista oral, ante el temor a represalias manifestado por el primero de los testigos citados —sobre cuya declaración se proyectan las dudas desde las garantías constitucionales— la Sala acordó, por una parte, que su identidad únicamente se proporcionara a los Letrados defensores, pero no a los acusados, y, de otra, que dicho testigo declarara de manera oculta tanto para los Letrados como para los acusados, y que su voz fuera distorsionada para evitar su reconocimiento.</w:t>
      </w:r>
    </w:p>
    <w:p w:rsidR="0026452D" w:rsidRDefault="0026452D" w:rsidP="0026452D">
      <w:pPr>
        <w:pStyle w:val="TextoNormal"/>
      </w:pPr>
    </w:p>
    <w:p w:rsidR="0026452D" w:rsidRDefault="0026452D" w:rsidP="0026452D">
      <w:pPr>
        <w:pStyle w:val="TextoNormal"/>
      </w:pPr>
      <w:r>
        <w:t>Importa destacar además, a los efectos de delimitar el objeto de nuestro análisis, que la queja formulada por los demandantes de amparo no pone en cuestión la corrección intrínseca de la decisión de asignar tales medidas de protección a los testigos, sino que se circunscribe al hecho de que con el alcance de la protección otorgada al testigo con núm. 50.874 se ha imposibilitado el ejercicio de la defensa. Concretamente, denuncian que el anonimato del testigo ha impedido evaluar la fiabilidad de su testimonio, al desconocer si pudieran concurrir relaciones personales, u otras circunstancias, que revelaran la posible existencia de animadversión o enemistad hacia ellos, o si, en definitiva, existieran razones para dudar de la veracidad de lo declarado. El Ministerio Fiscal apoya tal pretensión, por considerar que la fórmula adoptada por el órgano judicial para contrarrestar las limitaciones en el ejercicio de la defensa, consistente en proporcionar los datos personales del testigo únicamente a los letrados defensores, resulta insuficiente a tal fin.</w:t>
      </w:r>
    </w:p>
    <w:p w:rsidR="0026452D" w:rsidRDefault="0026452D" w:rsidP="0026452D">
      <w:pPr>
        <w:pStyle w:val="TextoNormal"/>
      </w:pPr>
    </w:p>
    <w:p w:rsidR="0026452D" w:rsidRDefault="0026452D" w:rsidP="0026452D">
      <w:pPr>
        <w:pStyle w:val="TextoNormal"/>
      </w:pPr>
      <w:r>
        <w:t xml:space="preserve">En el acervo doctrinal de este Tribunal, la figura del testigo protegido ha sido objeto de análisis únicamente en la STC 64/1994, de 28 de febrero, cuyas conclusiones fueron después recogidas por los AATC 270/1994, de 17 de octubre, y 522/2005, de 20 de diciembre. En dicha Sentencia nos ocupamos de un supuesto de testigo “oculto” —esto es, testigo de cargo que presta su declaración sin ser visto por el acusado—, ponderando su compatibilidad con las garantías de contradicción y de ejercicio real de la defensa en el proceso, derivadas del derecho a un proceso con todas las garantías (art. 24.2 CE). Acogiendo la jurisprudencia del Tribunal Europeo de Derechos Humanos —sobre la que a continuación habremos de referirnos más detenidamente—, manifestamos entonces que en los casos en que “el testimonio no pueda calificarse de anónimo sino, en todo caso, de ‘oculto’ (entendiendo por tal aquél que se presta sin ser visto por el acusado), pero, en los que la posibilidad de contradicción y el conocimiento de la identidad de los testigos —tanto para la defensa como para el Juez o Tribunal llamado a decidir sobre la culpabilidad o inocencia del acusado— resulten respetados, han de entenderse cumplidas las exigencias derivadas del art. 6.3 d) del Convenio y, en consecuencia, también las garantías que consagra el art. 24.2 de nuestra Constitución” (FJ 3). Junto a ello, advertimos además, con carácter de </w:t>
      </w:r>
      <w:r w:rsidRPr="0026452D">
        <w:rPr>
          <w:i/>
        </w:rPr>
        <w:t>obiter dictum</w:t>
      </w:r>
      <w:r>
        <w:t>, que con arreglo al Tribunal de Estrasburgo debe considerarse contrario al citado precepto del Convenio “la condena de un acusado sobre la base de testimonios anónimos, entendiendo por tales las declaraciones de personas cuya identidad es desconocida por el Tribunal, por la defensa, o por ambos, pues ello conduce a una restricción de los derechos de defensa al imposibilitar la contradicción ante el órgano judicial encargado de decidir sobre la inocencia o culpabilidad” (FJ 3).</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4</w:t>
      </w:r>
      <w:r>
        <w:t>. Tal como el mismo órgano judicial pone de relieve en la resolución impugnada, la protección dispensada al testigo núm. 50.874, sobre cuyo testimonio se proyecta la controversia planteada, contiene elementos tanto de la figura del testigo oculto —como se desprende del acta del juicio oral, declaró sin ser visto por los recurrentes y con la voz distorsionada— como del testigo anónimo, en la medida en que su identidad únicamente fue revelada a los letrados defensores, pero no a los acusados, debiendo aquéllos guardar reserva al respecto. Debemos, en consecuencia, profundizar en los requisitos necesarios para cohonestar la protección de testigos con el derecho a un proceso con todas las garantías (art. 24.2 CE) del acusado en el proceso penal, fijando nuestra atención en la legitimidad y límites de la figura del testigo anónimo.</w:t>
      </w:r>
    </w:p>
    <w:p w:rsidR="0026452D" w:rsidRDefault="0026452D" w:rsidP="0026452D">
      <w:pPr>
        <w:pStyle w:val="TextoNormal"/>
      </w:pPr>
    </w:p>
    <w:p w:rsidR="0026452D" w:rsidRDefault="0026452D" w:rsidP="0026452D">
      <w:pPr>
        <w:pStyle w:val="TextoNormal"/>
      </w:pPr>
      <w:r>
        <w:t>A este respecto, hemos de partir de que, si bien el derecho a un proceso con todas las garantías exige, como regla general, que los medios de prueba se practiquen en el seno del juicio oral con plenitud de garantías de publicidad, oralidad, contradicción e inmediación (por todas, SSTC 31/1981, de 28 de julio, FJ 3; 206/2003, de 1 de diciembre, FJ 2; 134/2010, de 3 de diciembre, FJ 3, o 174/2011, de 7 de noviembre, FJ 3), la necesidad de ponderar el citado derecho fundamental con otros intereses y derechos dignos de protección permite modular los términos de esa regla e introducir determinados supuestos de excepción, siempre que se hallen debidamente justificados en atención a esos fines legítimos y, en todo caso, que permitan el debido ejercicio de la defensa contradictoria por parte de quien se encuentra sometido al enjuiciamiento penal. Como recuerda la STC 174/2011, de 7 de noviembre, “dichas modulaciones y excepciones atienden a la presencia en juego de otros principios e intereses constitucionalmente relevantes que pueden concurrir con los del acusado. En tales casos excepcionales es posible modular la forma de prestar declaración e incluso dar valor probatorio al contenido incriminatorio de manifestaciones prestadas fuera del juicio oral siempre que se garantice suficientemente el derecho de defensa del acusado” (FJ 3).</w:t>
      </w:r>
    </w:p>
    <w:p w:rsidR="0026452D" w:rsidRDefault="0026452D" w:rsidP="0026452D">
      <w:pPr>
        <w:pStyle w:val="TextoNormal"/>
      </w:pPr>
    </w:p>
    <w:p w:rsidR="0026452D" w:rsidRDefault="0026452D" w:rsidP="0026452D">
      <w:pPr>
        <w:pStyle w:val="TextoNormal"/>
      </w:pPr>
      <w:r>
        <w:t xml:space="preserve">Así, hemos venido admitiendo, desde la STC 80/1986, de 17 de junio, la posibilidad de integrar en la valoración probatoria el resultado de diligencias sumariales de investigación, tales como, en particular, declaraciones testificales, mientras, entre otros requisitos, al acusado se le haya dado la posibilidad de someter tal testimonio a contradicción (entre otras, SSTC 345/2006, de 11 de diciembre, FJ 3 y 68/2010, de 18 de octubre, FJ 5). En línea semejante, el Tribunal Europeo de Derechos Humanos ha reiterado que la incorporación al proceso de declaraciones que han tenido lugar en fase de instrucción no lesiona por sí misma los derechos reconocidos en los párrafos 3 d) y 1 del art. 6 del Convenio europeo para la protección de los derechos humanos y de las libertades fundamentales siempre que exista una causa legítima que impida la declaración en el juicio oral y que se hayan respetado los derechos de defensa del acusado; esto es, siempre que se dé al acusado una ocasión adecuada y suficiente de contestar el testimonio de cargo e interrogar a su autor bien cuando se presta, bien con posterioridad (SSTEDH de 20 de noviembre de 1989, caso </w:t>
      </w:r>
      <w:r w:rsidRPr="0026452D">
        <w:rPr>
          <w:i/>
        </w:rPr>
        <w:t>Kostovski c. Holanda</w:t>
      </w:r>
      <w:r>
        <w:t xml:space="preserve">, § 41; 23 de abril de 1997, caso </w:t>
      </w:r>
      <w:r w:rsidRPr="0026452D">
        <w:rPr>
          <w:i/>
        </w:rPr>
        <w:t>Van Mechelen y otros c. Holanda</w:t>
      </w:r>
      <w:r>
        <w:t xml:space="preserve">, § 51 y 19 de julio de 2012, caso </w:t>
      </w:r>
      <w:r w:rsidRPr="0026452D">
        <w:rPr>
          <w:i/>
        </w:rPr>
        <w:t>Hümmer c. Alemania</w:t>
      </w:r>
      <w:r>
        <w:t xml:space="preserve">, § 38); advirtiendo en todo caso que “los derechos de defensa se restringen de forma incompatible con las garantías del art. 6 cuando una condena se funda exclusivamente o de forma decisiva en declaraciones hechas por una persona que el acusado no ha podido interrogar o hacer interrogar ni en la fase de instrucción ni durante el plenario” (SSTEDH de 27 de febrero de 2001, caso </w:t>
      </w:r>
      <w:r w:rsidRPr="0026452D">
        <w:rPr>
          <w:i/>
        </w:rPr>
        <w:t>Lucà c. Italia</w:t>
      </w:r>
      <w:r>
        <w:t xml:space="preserve">, § 40; 15 de diciembre de 2011, caso </w:t>
      </w:r>
      <w:r w:rsidRPr="0026452D">
        <w:rPr>
          <w:i/>
        </w:rPr>
        <w:t>Al-Khawaja y Tahery c. Reino Unido</w:t>
      </w:r>
      <w:r>
        <w:t xml:space="preserve">, § 118; y 19 de febrero de 2013, caso </w:t>
      </w:r>
      <w:r w:rsidRPr="0026452D">
        <w:rPr>
          <w:i/>
        </w:rPr>
        <w:t>Gani c. España</w:t>
      </w:r>
      <w:r>
        <w:t>, § 38).</w:t>
      </w:r>
    </w:p>
    <w:p w:rsidR="0026452D" w:rsidRDefault="0026452D" w:rsidP="0026452D">
      <w:pPr>
        <w:pStyle w:val="TextoNormal"/>
      </w:pPr>
    </w:p>
    <w:p w:rsidR="0026452D" w:rsidRDefault="0026452D" w:rsidP="0026452D">
      <w:pPr>
        <w:pStyle w:val="TextoNormal"/>
      </w:pPr>
      <w:r>
        <w:t xml:space="preserve">En un ámbito más cercano a la órbita de problemas que presenta el supuesto actual, hemos considerado legítimo igualmente excepcionar la citada regla general ante testigos que presenten especiales necesidades de protección debido a su minoría de edad, especialmente cuando han podido ser víctimas de un delito violento o contra su indemnidad sexual; casos en los que a la finalidad de asegurar el desarrollo del proceso penal se añadiría la necesidad de velar por los intereses del menor. En este sentido, acogiendo una consolidada jurisprudencia del Tribunal de Estrasburgo (entre otras, SSTEDH de 20 de diciembre de 2001, caso </w:t>
      </w:r>
      <w:r w:rsidRPr="0026452D">
        <w:rPr>
          <w:i/>
        </w:rPr>
        <w:t>P.S. c. Alemania</w:t>
      </w:r>
      <w:r>
        <w:t xml:space="preserve">; 2 de julio de 2002, caso </w:t>
      </w:r>
      <w:r w:rsidRPr="0026452D">
        <w:rPr>
          <w:i/>
        </w:rPr>
        <w:t>S.N. c. Suecia</w:t>
      </w:r>
      <w:r>
        <w:t xml:space="preserve">; o de 28 de septiembre de 2010, caso </w:t>
      </w:r>
      <w:r w:rsidRPr="0026452D">
        <w:rPr>
          <w:i/>
        </w:rPr>
        <w:t>A.S. c. Finlandia</w:t>
      </w:r>
      <w:r>
        <w:t xml:space="preserve">), manifestamos en la STC 174/2011, de 7 de noviembre, que en tales casos “la causa legítima que justifica la pretensión de impedir, limitar o modular su presencia en el juicio oral para someterse al interrogatorio personal de la acusación y la defensa, tiene que ver tanto con la naturaleza del delito investigado (que puede reclamar una mayor garantía de su intimidad) como con la necesidad de preservar su estabilidad emocional y normal desarrollo personal” (FJ 3), que podría verse gravemente alterada con la inserción del menor en entorno de un procedimiento penal y, en particular, con el sometimiento al debate contradictorio entre las partes inherente a la dinámica del juicio oral. En tales supuestos, las manifestaciones verbales de los menores podrían llegar a erigirse en prueba de cargo decisiva para fundar la condena, si bien únicamente cuando se hubiera dado al acusado la posibilidad “de ejercer adecuadamente su derecho de defensa, a cuyo fin los órganos judiciales están obligados, simultáneamente, a tomar otras precauciones que contrapesen o reequilibren los déficits de defensa que derivan de la imposibilidad de interrogar personalmente al testigo de cargo en el juicio oral” (FJ 3), y que pasarían por ofrecer “una oportunidad de observar dicha exploración, bien en el momento en que se produce o después, a través de su grabación audiovisual”, y por “tener la posibilidad de dirigir preguntas al menor, de forma directa o indirecta, bien durante el desarrollo de la primera exploración o en una ocasión posterior” (STC 174/2011, citando el caso </w:t>
      </w:r>
      <w:r w:rsidRPr="0026452D">
        <w:rPr>
          <w:i/>
        </w:rPr>
        <w:t>A.S. c. Finlandia</w:t>
      </w:r>
      <w:r>
        <w:t>, § 56).</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Semejantes presupuestos son los que habrán de presidir la ponderación entre las necesidades de protección de determinados testigos y las garantías inherentes a un proceso equitativo. En el seno del proceso penal, la colaboración con la Administración de justicia desempeñada por testigos y peritos puede en ocasiones verse menoscabada por la amenaza de represalias para su vida, integridad física o libertad, por lo que resulta indispensable introducir diversas medidas legales de protección, tanto en fases anteriores y posteriores del juicio oral como incluso en el marco de su desarrollo, que permitan al órgano judicial, tras un ponderación de los intereses en conflicto, aplicar las que resulten procedentes en cada caso (en sentido similar, SSTEDH de 26 de marzo de 1996, caso </w:t>
      </w:r>
      <w:r w:rsidRPr="0026452D">
        <w:rPr>
          <w:i/>
        </w:rPr>
        <w:t>Doorson c. Holanda</w:t>
      </w:r>
      <w:r>
        <w:t xml:space="preserve">, § 70; 23 de abril de 1997, caso </w:t>
      </w:r>
      <w:r w:rsidRPr="0026452D">
        <w:rPr>
          <w:i/>
        </w:rPr>
        <w:t>Van Mechelen y otros c. Holanda</w:t>
      </w:r>
      <w:r>
        <w:t xml:space="preserve">, § 53; 14 de febrero de 2002, caso </w:t>
      </w:r>
      <w:r w:rsidRPr="0026452D">
        <w:rPr>
          <w:i/>
        </w:rPr>
        <w:t>Visser c. Holanda</w:t>
      </w:r>
      <w:r>
        <w:t xml:space="preserve">, § 53 y de 6 de diciembre de 2012, caso </w:t>
      </w:r>
      <w:r w:rsidRPr="0026452D">
        <w:rPr>
          <w:i/>
        </w:rPr>
        <w:t>Pesukic c. Suiza</w:t>
      </w:r>
      <w:r>
        <w:t>, § 45). A esa finalidad responde la promulgación de la Ley Orgánica 19/1994, de 23 de diciembre, de protección a testigos y peritos en causas criminales, que en su exposición de motivos, recogiendo la necesidad de cohonestar tal protección con las garantías de defensa tantas veces reiterada por el Tribunal de Estrasburgo, manifiesta el afán de mantener “el necesario equilibrio entre el derecho a un proceso con todas las garantías y la tutela de derechos fundamentales inherentes a los testigos y peritos y a sus familiares”.</w:t>
      </w:r>
    </w:p>
    <w:p w:rsidR="0026452D" w:rsidRDefault="0026452D" w:rsidP="0026452D">
      <w:pPr>
        <w:pStyle w:val="TextoNormal"/>
      </w:pPr>
    </w:p>
    <w:p w:rsidR="0026452D" w:rsidRDefault="0026452D" w:rsidP="0026452D">
      <w:pPr>
        <w:pStyle w:val="TextoNormal"/>
      </w:pPr>
      <w:r>
        <w:lastRenderedPageBreak/>
        <w:t xml:space="preserve">Con relación al anonimato del testigo, como uno de tales instrumentos de protección, el Tribunal Europeo de Derechos Humanos ha entendido que el uso de declaraciones efectuadas por testigos anónimos para fundamentar una condena penal no siempre ha de entenderse contrario al Convenio, pero no debe soslayarse el hecho de que ante una acusación fundada en testimonios anónimos la defensa se ve enfrentada a dificultades que no deberían aceptarse en el procedimiento penal (SSTEDH de 26 de marzo de 1996, caso </w:t>
      </w:r>
      <w:r w:rsidRPr="0026452D">
        <w:rPr>
          <w:i/>
        </w:rPr>
        <w:t>Doorson c. Holanda</w:t>
      </w:r>
      <w:r>
        <w:t xml:space="preserve">, § 69; 23 de abril de 1997, caso </w:t>
      </w:r>
      <w:r w:rsidRPr="0026452D">
        <w:rPr>
          <w:i/>
        </w:rPr>
        <w:t>Van Mechelen y otros c. Holanda</w:t>
      </w:r>
      <w:r>
        <w:t xml:space="preserve">, § 52 y de 28 de marzo de 2002, caso </w:t>
      </w:r>
      <w:r w:rsidRPr="0026452D">
        <w:rPr>
          <w:i/>
        </w:rPr>
        <w:t>Birutis y otros c. Lituania</w:t>
      </w:r>
      <w:r>
        <w:t xml:space="preserve">, § 29). A este respecto, sostiene el Tribunal europeo que el derecho del acusado a tener una oportunidad efectiva de someter a contradicción las pruebas que se dirigen contra él requiere “que el acusado deba conocer la identidad de quien le acusa de modo que pueda cuestionar su fiabilidad y credibilidad” (SSTEDH de 15 de diciembre de 2011, caso </w:t>
      </w:r>
      <w:r w:rsidRPr="0026452D">
        <w:rPr>
          <w:i/>
        </w:rPr>
        <w:t>Al-Khawaja y Tahery c. Reino Unido</w:t>
      </w:r>
      <w:r>
        <w:t xml:space="preserve">, § 127 y de 19 de julio de 2012, caso </w:t>
      </w:r>
      <w:r w:rsidRPr="0026452D">
        <w:rPr>
          <w:i/>
        </w:rPr>
        <w:t>Hümmer c. Alemania</w:t>
      </w:r>
      <w:r>
        <w:t xml:space="preserve">, § 38). En ello radica, en efecto, el déficit de defensa inherente al testigo anónimo, puesto que “si la defensa desconoce la identidad de la persona a la que intenta interrogar, puede verse privada de datos que precisamente le permitan probar que es parcial, hostil o indigna de crédito. Un testimonio, o cualquier otra declaración contra un inculpado, pueden muy bien ser falsos o deberse a un mero error; y la defensa difícilmente podrá demostrarlo si no tiene la información que le permita fiscalizar la credibilidad del autor o ponerla en duda. Los peligros inherentes a tal situación son evidentes” (SSTEDH de 20 de noviembre de 1989, caso </w:t>
      </w:r>
      <w:r w:rsidRPr="0026452D">
        <w:rPr>
          <w:i/>
        </w:rPr>
        <w:t>Kostovski c. Holanda</w:t>
      </w:r>
      <w:r>
        <w:t xml:space="preserve">, § 42 y de 27 de septiembre de 1990, caso </w:t>
      </w:r>
      <w:r w:rsidRPr="0026452D">
        <w:rPr>
          <w:i/>
        </w:rPr>
        <w:t>Windisch c. Austria</w:t>
      </w:r>
      <w:r>
        <w:t>, § 28).</w:t>
      </w:r>
    </w:p>
    <w:p w:rsidR="0026452D" w:rsidRDefault="0026452D" w:rsidP="0026452D">
      <w:pPr>
        <w:pStyle w:val="TextoNormal"/>
      </w:pPr>
    </w:p>
    <w:p w:rsidR="0026452D" w:rsidRDefault="0026452D" w:rsidP="0026452D">
      <w:pPr>
        <w:pStyle w:val="TextoNormal"/>
      </w:pPr>
      <w:r>
        <w:t xml:space="preserve">Por tal razón, para que la declaración de un testigo anónimo pueda ser incorporada al acervo probatorio se requiere que los déficits de defensa a que se ve enfrentado el acusado sean compensados a través de la introducción de medidas alternativas que permitan la contradicción (SSTEDH de 26 de marzo de 1996, caso </w:t>
      </w:r>
      <w:r w:rsidRPr="0026452D">
        <w:rPr>
          <w:i/>
        </w:rPr>
        <w:t>Doorson c. Holanda</w:t>
      </w:r>
      <w:r>
        <w:t xml:space="preserve">, § 72; 23 de abril de 1997, caso </w:t>
      </w:r>
      <w:r w:rsidRPr="0026452D">
        <w:rPr>
          <w:i/>
        </w:rPr>
        <w:t>Van Mechelen y otros c. Holanda</w:t>
      </w:r>
      <w:r>
        <w:t xml:space="preserve">, § 54 y de 28 de marzo de 2002, caso </w:t>
      </w:r>
      <w:r w:rsidRPr="0026452D">
        <w:rPr>
          <w:i/>
        </w:rPr>
        <w:t>Birutis y otros c. Lituania</w:t>
      </w:r>
      <w:r>
        <w:t xml:space="preserve">, § 29. Con carácter general, SSTEDH de 15 de diciembre de 2011, caso </w:t>
      </w:r>
      <w:r w:rsidRPr="0026452D">
        <w:rPr>
          <w:i/>
        </w:rPr>
        <w:t>Al-Khawaja y Tahery c. Reino Unido</w:t>
      </w:r>
      <w:r>
        <w:t xml:space="preserve">, § 147; 6 de diciembre de 2012, caso </w:t>
      </w:r>
      <w:r w:rsidRPr="0026452D">
        <w:rPr>
          <w:i/>
        </w:rPr>
        <w:t>Pesukic c. Suiza</w:t>
      </w:r>
      <w:r>
        <w:t xml:space="preserve">, § 45 y de 19 de febrero de 2013, caso </w:t>
      </w:r>
      <w:r w:rsidRPr="0026452D">
        <w:rPr>
          <w:i/>
        </w:rPr>
        <w:t>Gani c. España</w:t>
      </w:r>
      <w:r>
        <w:t xml:space="preserve">, § 41). Además, y en todo caso, “incluso cuando se hayan adoptado mecanismos de ‘equilibrio’ adecuados para compensar en grado suficiente los déficits bajo los que actúa la defensa, una condena no ha de estar basada únicamente o de modo decisivo en testimonios anónimos” (SSTEDH de 26 de marzo de 1996, caso </w:t>
      </w:r>
      <w:r w:rsidRPr="0026452D">
        <w:rPr>
          <w:i/>
        </w:rPr>
        <w:t>Doorson c. Holanda</w:t>
      </w:r>
      <w:r>
        <w:t xml:space="preserve">, § 76; 14 de febrero de 2002, caso </w:t>
      </w:r>
      <w:r w:rsidRPr="0026452D">
        <w:rPr>
          <w:i/>
        </w:rPr>
        <w:t>Visser c. Holanda</w:t>
      </w:r>
      <w:r>
        <w:t xml:space="preserve">, § 55 y de 6 de diciembre de 2012, caso </w:t>
      </w:r>
      <w:r w:rsidRPr="0026452D">
        <w:rPr>
          <w:i/>
        </w:rPr>
        <w:t>Pesukic c. Suiza</w:t>
      </w:r>
      <w:r>
        <w:t>, § 45).</w:t>
      </w:r>
    </w:p>
    <w:p w:rsidR="0026452D" w:rsidRDefault="0026452D" w:rsidP="0026452D">
      <w:pPr>
        <w:pStyle w:val="TextoNormal"/>
      </w:pPr>
    </w:p>
    <w:p w:rsidR="0026452D" w:rsidRDefault="0026452D" w:rsidP="0026452D">
      <w:pPr>
        <w:pStyle w:val="TextoNormal"/>
      </w:pPr>
      <w:r>
        <w:t>En definitiva, de acuerdo con la jurisprudencia del Tribunal Europeo de Derechos Humanos, para poder erigirse en prueba de cargo, la declaración del testigo anónimo debe reunir tres concretos requisitos. El primero de ellos —no cuestionado en la presente demanda— que el anonimato haya sido acordado por el órgano judicial en una decisión motivada en la que se hayan ponderado razonablemente los intereses en conflicto; el segundo, que los déficits de defensa que genera el anonimato hayan sido compensados con medidas alternativas que permitan al acusado evaluar y, en su caso, combatir la fiabilidad y credibilidad del testigo y de su testimonio; y el tercero, que la declaración del testigo anónimo concurra acompañado de otros elementos probatorios, de manera que no podrá, por sí sola o con un peso probatorio decisivo, enervar la presunción de inocencia.</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6</w:t>
      </w:r>
      <w:r>
        <w:t>. Trasladados al supuesto que nos corresponde enjuiciar, la aplicación de tales criterios conduce al otorgamiento del amparo, por cuanto, de una parte, no se ofrecieron al acusado vías alternativas para, en modo suficiente, evaluar la fiabilidad del testimonio anónimo y, de otra, tal testimonio fue decisivo para fundar la condena de los demandantes.</w:t>
      </w:r>
    </w:p>
    <w:p w:rsidR="0026452D" w:rsidRDefault="0026452D" w:rsidP="0026452D">
      <w:pPr>
        <w:pStyle w:val="TextoNormal"/>
      </w:pPr>
    </w:p>
    <w:p w:rsidR="0026452D" w:rsidRDefault="0026452D" w:rsidP="0026452D">
      <w:pPr>
        <w:pStyle w:val="TextoNormal"/>
      </w:pPr>
      <w:r>
        <w:t>a) Frente a lo manifestado por el órgano judicial, proporcionar la información de la identidad del testigo a los Letrados defensores no constituye un remedio adecuado y suficiente para soslayar o reequilibrar el déficit de defensa de los acusados. Varias razones avalan esa conclusión. En primer lugar, el enjuiciamiento de su fiabilidad, referido a si el testimonio incriminatorio pudiera venir fundado en un error o en razones de animadversión personal, no depende tanto de las relaciones que el testigo hubiera de tener con los Letrados defensores como de las que mantenga con los propios acusados. Careciendo éstos de dicha información y no pudiendo facilitarla los Letrados ni, por ello, utilizarla en el debate contradictorio, ese levantamiento “parcial” del anonimato en nada compensa realmente la reducción de las posibilidades de defensa de los sometidos al proceso penal. En segundo lugar, la información sobre la identidad del testigo se proporcionó a los Letrados en el momento inmediatamente anterior al inicio del juicio oral, por lo que las escasas posibilidades que se hubieran abierto para el contraste de la fiabilidad del declarante quedan prácticamente anuladas, al carecer de margen temporal para efectuar las pesquisas pertinentes que pudieran haber facilitado la preparación de la defensa a partir de dicha información. A ello debe añadirse, en tercer lugar, que el testigo, tras la presentación de la denuncia ante la policía, no fue llamado a declarar ante el Juez de Instrucción, declaración que, siquiera parcialmente, habría podido compensar el déficit de defensa si se hubiera convocado a la misma a los acusados —aun ocultando visualmente al testigo—, pues habrían podido conocer con antelación los términos de su declaración incriminatoria y someterla a un primer debate contradictorio. En cuarto lugar, al anonimato del testigo se unió su ocultamiento tanto visual como auditivo, lo que sin duda contribuyó a reducir las posibilidades de defensa.</w:t>
      </w:r>
    </w:p>
    <w:p w:rsidR="0026452D" w:rsidRDefault="0026452D" w:rsidP="0026452D">
      <w:pPr>
        <w:pStyle w:val="TextoNormal"/>
      </w:pPr>
    </w:p>
    <w:p w:rsidR="0026452D" w:rsidRDefault="0026452D" w:rsidP="0026452D">
      <w:pPr>
        <w:pStyle w:val="TextoNormal"/>
      </w:pPr>
      <w:r>
        <w:t>Este Tribunal debe ahora establecer si las legítimas necesidades de protección del testigo han llegado a mermar el ejercicio de la defensa del acusado de modo incompatible con el derecho a un proceso con todas las garantías (art. 24.2 CE). A la luz de las circunstancias del presente caso, no podemos sino llegar a esa conclusión.</w:t>
      </w:r>
    </w:p>
    <w:p w:rsidR="0026452D" w:rsidRDefault="0026452D" w:rsidP="0026452D">
      <w:pPr>
        <w:pStyle w:val="TextoNormal"/>
      </w:pPr>
    </w:p>
    <w:p w:rsidR="0026452D" w:rsidRDefault="0026452D" w:rsidP="0026452D">
      <w:pPr>
        <w:pStyle w:val="TextoNormal"/>
      </w:pPr>
      <w:r>
        <w:t xml:space="preserve">b) Si la exigencia de introducir contrapesos suficientes a favor de la defensa del acusado se incardina en el derecho a un proceso con todas las garantías —derecho que resulta vulnerado cuando el acervo probatorio se conforma a partir de un testimonio anónimo sin atención a tales medidas—, el hecho de que el referido testimonio constituya la prueba única o decisiva en que se haya fundado la condena supondrá, además, la vulneración del derecho a la presunción de inocencia (art. 24.2 CE) puesto que, como hemos reiterado, el derecho a la presunción de inocencia proscribe, entre otros aspectos, que la condena se haya sustentado en una actividad probatoria carente de las debidas garantías (por todas, SSTC 189/1998, de 28 de septiembre, FJ 2 y 126/2011, de 18 de julio, FJ 21). En el presente caso, resulta indudable que la declaración del testigo protegido núm. 50.874 ha resultado decisiva para fundar la condena, puesto que sólo a partir de lo declarado por él ha podido atribuirse a los acusados los gritos a favor de la banda terrorista. En efecto, como se desprende de la fundamentación jurídica de la Sentencia impugnada, el otro testigo protegido (con núm. 50.875) declaró haber oído que se proferían expresiones de esa índole en diversos momentos de la manifestación, pero no imputó las mismas a los acusados, fundándose la autoría del </w:t>
      </w:r>
      <w:r>
        <w:lastRenderedPageBreak/>
        <w:t>delito exclusivamente en la declaración del primero de ellos. Procede, en consecuencia, declarar igualmente vulnerado el derecho a la presunción de inocencia (art. 24.2 CE), con la consiguiente anulación de las Sentencias recurridas.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don Aritz Labiano Zezeaga y don Haritz Gartxotenea Iruretagoiena, y, en consecuencia:</w:t>
      </w:r>
    </w:p>
    <w:p w:rsidR="0026452D" w:rsidRDefault="0026452D" w:rsidP="0026452D">
      <w:pPr>
        <w:pStyle w:val="TextoNormal"/>
      </w:pPr>
    </w:p>
    <w:p w:rsidR="0026452D" w:rsidRDefault="0026452D" w:rsidP="0026452D">
      <w:pPr>
        <w:pStyle w:val="TextoNormal"/>
      </w:pPr>
      <w:r>
        <w:t>1º Reconocer sus derechos fundamentales a un proceso con todas las garantías y a la presunción de inocencia (art. 24.2 CE).</w:t>
      </w:r>
    </w:p>
    <w:p w:rsidR="0026452D" w:rsidRDefault="0026452D" w:rsidP="0026452D">
      <w:pPr>
        <w:pStyle w:val="TextoNormal"/>
      </w:pPr>
    </w:p>
    <w:p w:rsidR="0026452D" w:rsidRDefault="0026452D" w:rsidP="0026452D">
      <w:pPr>
        <w:pStyle w:val="TextoNormal"/>
      </w:pPr>
      <w:r>
        <w:t>2º Declarar la nulidad de la Sentencia de la Sección Segunda de la Sala de lo Penal de la Audiencia Nacional de 27 de julio de 2010, dictada en el procedimiento abreviado núm. 7-2010, así como del Auto dictado por la Sala de lo Penal del Tribunal Supremo de 22 de diciembre de 2010, recaído en el recurso de casación núm. 2084-2010.</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ocho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79" w:name="SENTENCIA_2013_76"/>
      <w:r>
        <w:lastRenderedPageBreak/>
        <w:t>SENTENCIA 76/2013, de 8 de abril de 2013</w:t>
      </w:r>
    </w:p>
    <w:bookmarkEnd w:id="79"/>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ECLI:ES:TC:2013:76</w:t>
      </w:r>
    </w:p>
    <w:p w:rsidR="0026452D" w:rsidRDefault="0026452D" w:rsidP="0026452D">
      <w:pPr>
        <w:pStyle w:val="SntesisDescriptiva"/>
      </w:pPr>
    </w:p>
    <w:p w:rsidR="0026452D" w:rsidRDefault="0026452D" w:rsidP="0026452D">
      <w:pPr>
        <w:pStyle w:val="SntesisDescriptiva"/>
      </w:pPr>
      <w:r>
        <w:t>Recurso de amparo 3268-2011. Promovido por don Mansueto Sayols Vendrell en relación con las Sentencias de las Salas de lo Contencioso-Administrativo del Tribunal Superior de Justicia de Cataluña y del Tribunal Supremo que anularon parcialmente la revisión del plan general de ordenación urbana de Vidreres.</w:t>
      </w:r>
    </w:p>
    <w:p w:rsidR="0026452D" w:rsidRDefault="0026452D" w:rsidP="0026452D">
      <w:pPr>
        <w:pStyle w:val="SntesisDescriptiva"/>
      </w:pPr>
    </w:p>
    <w:p w:rsidR="0026452D" w:rsidRDefault="0026452D" w:rsidP="0026452D">
      <w:pPr>
        <w:pStyle w:val="SntesisAnaltica"/>
      </w:pPr>
      <w:r>
        <w:t>Vulneración del derecho a la tutela judicial sin indefensión: falta de emplazamiento de quien es titular de una estación de servicio ubicada en unos terrenos cuya clasificación urbanística fue alterada en la revisión del instrumento de planeamiento impugnada (STC 242/2012).</w:t>
      </w:r>
    </w:p>
    <w:p w:rsidR="0026452D" w:rsidRDefault="0026452D" w:rsidP="0026452D">
      <w:pPr>
        <w:pStyle w:val="SntesisAnaltica"/>
      </w:pPr>
    </w:p>
    <w:p w:rsidR="0026452D" w:rsidRDefault="0026452D" w:rsidP="0026452D">
      <w:pPr>
        <w:pStyle w:val="Extracto"/>
      </w:pPr>
      <w:r>
        <w:t>1.</w:t>
      </w:r>
      <w:r>
        <w:tab/>
        <w:t xml:space="preserve">La ausencia de emplazamiento personal del demandante de amparo conllevó la lesión de su derecho fundamental a la tutela judicial efectiva sin indefensión, </w:t>
      </w:r>
      <w:r w:rsidRPr="0026452D">
        <w:rPr>
          <w:i/>
        </w:rPr>
        <w:t>ex</w:t>
      </w:r>
      <w:r>
        <w:t xml:space="preserve"> art. 24.1 CE, originada tanto por la Administración, al no haber llevado a cabo los emplazamientos debidos, como por los órganos judiciales de instancia y casación, </w:t>
      </w:r>
      <w:r w:rsidRPr="0026452D">
        <w:rPr>
          <w:i/>
        </w:rPr>
        <w:t>ex</w:t>
      </w:r>
      <w:r>
        <w:t xml:space="preserve"> apartados 1 y 2 del art. 49 LJCA, ya que los defectos cometidos por la Administración al emplazar a los interesados en el proceso contencioso-administrativo son imputables al Tribunal que no advierte o no corrige tales anomalías (STC 242/2012) [FJ 4].</w:t>
      </w:r>
    </w:p>
    <w:p w:rsidR="0026452D" w:rsidRDefault="0026452D" w:rsidP="0026452D">
      <w:pPr>
        <w:pStyle w:val="Extracto"/>
      </w:pPr>
    </w:p>
    <w:p w:rsidR="0026452D" w:rsidRDefault="0026452D" w:rsidP="0026452D">
      <w:pPr>
        <w:pStyle w:val="Extracto"/>
      </w:pPr>
      <w:r>
        <w:t>2.</w:t>
      </w:r>
      <w:r>
        <w:tab/>
        <w:t>El deber de emplazamiento personal puede quedar excluido cuando el recurso contencioso-administrativo se dirija contra una disposición de carácter general, un acto general no normativo o un acto dirigido a una pluralidad indeterminada de sujetos, si esa indeterminación impide su emplazamiento personal, pero de existir interesados identificados o susceptibles de serlo, que tengan un singular posición con el objeto del proceso, lo procedente será su emplazamiento personal para permitir su personación a fin de sostener la conformidad a Derecho de la disposición impugnada (SSTC 61/1985, 242/2012) [FJ 3].</w:t>
      </w:r>
    </w:p>
    <w:p w:rsidR="0026452D" w:rsidRDefault="0026452D" w:rsidP="0026452D">
      <w:pPr>
        <w:pStyle w:val="Extracto"/>
      </w:pPr>
    </w:p>
    <w:p w:rsidR="0026452D" w:rsidRDefault="0026452D" w:rsidP="0026452D">
      <w:pPr>
        <w:pStyle w:val="Extracto"/>
      </w:pPr>
      <w:r>
        <w:t>3.</w:t>
      </w:r>
      <w:r>
        <w:tab/>
        <w:t xml:space="preserve">Para que la falta de emplazamiento en el proceso contencioso-administrativo tenga relevancia constitucional es necesario que el demandante de amparo sea titular de un derecho o de un interés legítimo y propio, que dicho demandante sea identificable por el órgano jurisdiccional y, por último, que al mismo se le haya causado una situación de indefensión material, sin que pueda apreciarse la misma cuando tuviera conocimiento extraprocesal del asunto (SSTC 325/1993, 242/2012; SSTEDH casos </w:t>
      </w:r>
      <w:r w:rsidRPr="0026452D">
        <w:rPr>
          <w:i/>
        </w:rPr>
        <w:t>Cañete de Goñi c. España</w:t>
      </w:r>
      <w:r>
        <w:t xml:space="preserve">, de 15 octubre 2002; </w:t>
      </w:r>
      <w:r w:rsidRPr="0026452D">
        <w:rPr>
          <w:i/>
        </w:rPr>
        <w:t>Agapito Maestre Sánchez c. España</w:t>
      </w:r>
      <w:r>
        <w:t>, de 4 mayo 2004) [FJ 3].</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lastRenderedPageBreak/>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3268-2011, promovido por don Mansueto Sayols Vendrell, representado por el Procurador de los Tribunales don Manuel Sánchez-Puelles y González-Carvajal y asistido por el Abogado don Josep Geli Vilallonga, contra la Sentencia de 6 de abril de 2011 de la Sección Quinta de la Sala de lo Contencioso-Administrativo del Tribunal Supremo, recaída en el recurso de casación núm. 1602-2007, y la Sentencia núm. 104/2007, de 2 de febrero, de la Sección Tercera de la Sala de lo Contencioso-Administrativo del Tribunal Superior de Justicia de Cataluña. Han comparecido y formulado alegaciones el Ministerio Fiscal y el Ayuntamiento de Vidreres, representado por el Procurador de los Tribunales don Argimiro Vázquez Guillén y asistido por el Abogado Jordi Iglesias Xifra. Ha sido Ponente el Magistrado don Andrés Ollero Tassara,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el 3 de junio de 2011, el Procurador de los Tribunales don Manuel Sánchez-Puelles y González-Carvajal, en nombre y representación de don Mansueto Sayols Vendrell, formula recurso de amparo contra las Sentencias citadas en el encabezamiento, que desestimaron sus recursos contencioso-administrativo y de casación.</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relevantes para la resolución de este recurso de amparo son, en síntesis, los siguientes:</w:t>
      </w:r>
    </w:p>
    <w:p w:rsidR="0026452D" w:rsidRDefault="0026452D" w:rsidP="0026452D">
      <w:pPr>
        <w:pStyle w:val="TextoNormal"/>
      </w:pPr>
    </w:p>
    <w:p w:rsidR="0026452D" w:rsidRDefault="0026452D" w:rsidP="0026452D">
      <w:pPr>
        <w:pStyle w:val="TextoNormal"/>
      </w:pPr>
      <w:r>
        <w:t>a) El plan parcial Aiguaviva Parc de 25 de enero de 1974 califica como zona verde la superficie paralela a la carretera GE-680, haciendo inviable su destino a gasolinera. La revisión del plan general de ordenación urbana de Vidreres, aprobado por acuerdo de la comisión de urbanismo de Gerona de 18 de febrero de 1982, suprime la consideración de zona de verde de esa superficie, clasificándola como suelo no urbanizable. Planteado recurso contencioso-administrativo contra el acuerdo, es estimado por Sentencia de la Audiencia Territorial de 23 de mayo de 1984 (confirmada por Sentencia del Tribunal Supremo de 28 de noviembre de 1986), que declara vigente el plan parcial de Aiguaviva Parc.</w:t>
      </w:r>
    </w:p>
    <w:p w:rsidR="0026452D" w:rsidRDefault="0026452D" w:rsidP="0026452D">
      <w:pPr>
        <w:pStyle w:val="TextoNormal"/>
      </w:pPr>
    </w:p>
    <w:p w:rsidR="0026452D" w:rsidRDefault="0026452D" w:rsidP="0026452D">
      <w:pPr>
        <w:pStyle w:val="TextoNormal"/>
      </w:pPr>
      <w:r>
        <w:t xml:space="preserve">b) Don Mansueto Sayols, propietario de terrenos en la superficie paralela a la carretera GE-680, suscribe con el Ayuntamiento de Vidreres unas bases para la urbanización. Conforme a ellas, habría de operarse una modificación puntual del plan general de Vidreres de </w:t>
      </w:r>
      <w:r>
        <w:lastRenderedPageBreak/>
        <w:t>1982 y la adaptación a éste del plan parcial de Aiguaviva Parc de 1974; reformas de las que resultaría la clasificación de no urbanizable de los terrenos de don Mansueto Sayols. La aprobación de los instrumentos de planeamiento es inicialmente rechazada por acuerdo de la comisión de urbanismo de Gerona de 16 de julio de 1985. No obstante, tal acuerdo resulta finalmente modificado —aprobándose definitivamente los instrumentos señalados— por varios acuerdos del Consejero de Política Territorial y Obras Públicas de la Generalitat de Cataluña resolutorios de recursos de alzada. Tales acuerdos autonómicos se publican en el “Diario Oficial de la Generalidad de Cataluña”. Por su parte, la comisión de urbanismo de Gerona ordena la publicación del acuerdo de 16 de julio de 1985, con las modificaciones introducidas por el Consejero de Política Territorial y Obras Públicas de la Generalitat, en 26 de febrero de 1997.</w:t>
      </w:r>
    </w:p>
    <w:p w:rsidR="0026452D" w:rsidRDefault="0026452D" w:rsidP="0026452D">
      <w:pPr>
        <w:pStyle w:val="TextoNormal"/>
      </w:pPr>
    </w:p>
    <w:p w:rsidR="0026452D" w:rsidRDefault="0026452D" w:rsidP="0026452D">
      <w:pPr>
        <w:pStyle w:val="TextoNormal"/>
      </w:pPr>
      <w:r>
        <w:t>c) Suprimida la clasificación como zona verde de los terrenos indicados, el Ayuntamiento de Vidreres otorga mediante acuerdo de 24 de noviembre de 1988 licencia a don Mansueto Sayols para la construcción de una estación de servicio en el kilómetro 5.420 de la carretera GE-680. Don Carlos Passarell Bacardit formula recurso de reposición contra este acuerdo y, ante la falta de respuesta, interpone recurso contencioso-administrativo, que es desestimado por la Sentencia del Tribunal Superior de Justicia de Cataluña de 24 de febrero de 1992. Apelada la Sentencia, la Sentencia del Tribunal Supremo de 23 de junio de 1998 anula la licencia bajo el entendimiento de que la calificación de los terrenos de don Mansueto Sayols como suelo no urbanizable no se tramitó correctamente y de que “ello comporta la nulidad de la desclasificación operada y, en consecuencia, la nulidad de una licencia de obras concedida sobre un terreno que mantiene la calificación de zona verde”. Por Auto de 18 de octubre de 2000, la Sección Segunda de la Sala de lo Contencioso-Administrativo del Tribunal Superior de Justicia de Cataluña ordena la demolición de la estación de servicio en incidente de ejecución de Sentencia. Frente a esta resolución judicial, don Mansueto Sayols interpone recurso de casación, que es desestimado por Sentencia del Tribunal Supremo de 23 de septiembre de 2003.</w:t>
      </w:r>
    </w:p>
    <w:p w:rsidR="0026452D" w:rsidRDefault="0026452D" w:rsidP="0026452D">
      <w:pPr>
        <w:pStyle w:val="TextoNormal"/>
      </w:pPr>
    </w:p>
    <w:p w:rsidR="0026452D" w:rsidRDefault="0026452D" w:rsidP="0026452D">
      <w:pPr>
        <w:pStyle w:val="TextoNormal"/>
      </w:pPr>
      <w:r>
        <w:t>d) Paralelamente, el acuerdo de la comisión de urbanismo de Gerona de 26 de febrero de 1997 (que ordena la publicación de los acuerdos precitados de modificación puntual y adaptación) es impugnado por don Manuel Valdivieso Barneto. La Sentencia del Tribunal Superior de Justicia de Cataluña de 27 de marzo de 2003 anula las modificaciones del plan general de ordenación urbana y del plan parcial en cuanto a las zonas verdes. Contra esta Sentencia, don Mansueto Sayols interpone recurso de casación, que es estimado por Sentencia del Tribunal Supremo de 29 de noviembre de 2006. La Sentencia considera que el recurso de primera instancia debió inadmitirse, porque los acuerdos por los que se aprueban los instrumentos indicados son firmes, sin que en consecuencia pueda estar vigente el plan parcial de 1974; y, además, porque el acuerdo de 26 de febrero de 1997 es una simple reiteración de otros anteriores, sin que pueda servir por tanto para reabrir el plazo de interposición del recurso.</w:t>
      </w:r>
    </w:p>
    <w:p w:rsidR="0026452D" w:rsidRDefault="0026452D" w:rsidP="0026452D">
      <w:pPr>
        <w:pStyle w:val="TextoNormal"/>
      </w:pPr>
    </w:p>
    <w:p w:rsidR="0026452D" w:rsidRDefault="0026452D" w:rsidP="0026452D">
      <w:pPr>
        <w:pStyle w:val="TextoNormal"/>
      </w:pPr>
      <w:r>
        <w:t>e) La comisión territorial de urbanismo de Gerona aprueba la revisión del plan general de ordenación urbana de Vidreres por acuerdo de 26 de febrero de 2003, que califica los terrenos en los que se ubica la gasolinera como suelo urbano de servicios clave 9. El Ayuntamiento concede de nuevo licencia de obras a don Mansueto Sayols el 13 de octubre de 2003.</w:t>
      </w:r>
    </w:p>
    <w:p w:rsidR="0026452D" w:rsidRDefault="0026452D" w:rsidP="0026452D">
      <w:pPr>
        <w:pStyle w:val="TextoNormal"/>
      </w:pPr>
    </w:p>
    <w:p w:rsidR="0026452D" w:rsidRDefault="0026452D" w:rsidP="0026452D">
      <w:pPr>
        <w:pStyle w:val="TextoNormal"/>
      </w:pPr>
      <w:r>
        <w:lastRenderedPageBreak/>
        <w:t>f) Frente al acuerdo de la comisión territorial de urbanismo de Gerona de 26 de febrero de 2003 de revisión del plan general de ordenación urbana, don Carlos Passarell Bacardit interpone recurso de alzada y, ante la falta de respuesta, recurso contencioso-administrativo, que es parcialmente estimado por Sentencia de 2 de febrero de 2007 de la Sala de lo Contencioso-administrativo del Tribunal Superior de Justicia de Cataluña por ausencia de motivación del “cambio de la calificación urbanística de la zona verde situada en el margen derecho de la carretera GI-680, con dos zonas residuales en sus extremos con la clave C1, que pasa a la clave 9 ‘serveis’.”</w:t>
      </w:r>
    </w:p>
    <w:p w:rsidR="0026452D" w:rsidRDefault="0026452D" w:rsidP="0026452D">
      <w:pPr>
        <w:pStyle w:val="TextoNormal"/>
      </w:pPr>
    </w:p>
    <w:p w:rsidR="0026452D" w:rsidRDefault="0026452D" w:rsidP="0026452D">
      <w:pPr>
        <w:pStyle w:val="TextoNormal"/>
      </w:pPr>
      <w:r>
        <w:t>g) Don Mansueto Sayols tiene conocimiento de esta Sentencia y denuncia ante el Tribunal de instancia la falta de emplazamiento con infracción del art. 49.3 de la Ley 29/1998, de 13 de julio, reguladora de la jurisdicción contencioso-administrativa (LJCA). Su representación procesal solicita, en particular, que se le notifique la Sentencia y, si procede, que se le emplace “para proteger los derechos y acciones de mi representado, contra lo ordenado en la sentencia que, al parecer, supone un grave perjuicio sin haber sido oído ni emplazado”. El Tribunal Superior de Justicia de Cataluña dicta providencia el 14 de junio de 2007 ordenando la entrega al procurador de copia de la Sentencia de 2 de febrero de 2007.</w:t>
      </w:r>
    </w:p>
    <w:p w:rsidR="0026452D" w:rsidRDefault="0026452D" w:rsidP="0026452D">
      <w:pPr>
        <w:pStyle w:val="TextoNormal"/>
      </w:pPr>
    </w:p>
    <w:p w:rsidR="0026452D" w:rsidRDefault="0026452D" w:rsidP="0026452D">
      <w:pPr>
        <w:pStyle w:val="TextoNormal"/>
      </w:pPr>
      <w:r>
        <w:t>h) Don Mansueto Sayols Vendrell, el Ayuntamiento de Vidreres y la Generalitat de Cataluña formulan recurso de casación contra la Sentencia del Tribunal Superior de Justicia de Cataluña de 2 de febrero de 2007. La Sentencia del Tribunal Supremo de 6 de abril de 2011 desestima el recurso.</w:t>
      </w:r>
    </w:p>
    <w:p w:rsidR="0026452D" w:rsidRDefault="0026452D" w:rsidP="0026452D">
      <w:pPr>
        <w:pStyle w:val="TextoNormal"/>
      </w:pPr>
    </w:p>
    <w:p w:rsidR="0026452D" w:rsidRDefault="0026452D" w:rsidP="0026452D">
      <w:pPr>
        <w:pStyle w:val="TextoNormal"/>
      </w:pPr>
      <w:r w:rsidRPr="0026452D">
        <w:rPr>
          <w:rStyle w:val="NumeroAFNegritaCaracter"/>
        </w:rPr>
        <w:t>3</w:t>
      </w:r>
      <w:r>
        <w:t>. La demanda de amparo aduce que las resoluciones judiciales impugnadas vulneran al recurrente su derecho fundamental a la tutela judicial efectiva sin indefensión (24.1 CE) y a la utilización de los medios de prueba pertinentes (art. 24.2 CE), en relación con el art. 9.3 CE. La lesión del art. 24.1 CE se habría producido, en primer lugar, por falta de emplazamiento en la instancia. Considera que debió emplazársele en el proceso sustanciado ante el Tribunal Superior de Justicia de Cataluña por tener la condición de interesado directo, ya que la impugnación se refería a un aspecto de la planificación urbana que le afectaba de forma singular. Recuerda en este sentido que, según jurisprudencia constitucional que cita profusamente, hay obligación de acudir a los medios racionalmente disponibles para localizar a los interesados a efectos de emplazamiento. Aduce también que en cuanto tuvo conocimiento de la Sentencia, presentó escrito ante el Tribunal de instancia solicitando que se le notificara para el ejercicio de acciones de defensa y denunciando que no se le había emplazado. Finalmente alega que la Sentencia de casación disculpa indebidamente la falta de emplazamiento, al razonar que no es necesario cuando se trata de la impugnación directa de una disposición general. El Tribunal Supremo —afirma el actor— no ha valorado el grado de diligencia desplegado para averiguar el lugar al que dirigir la notificación de emplazamiento y para cumplir con la responsabilidad que el art. 49.3 LJCA atribuye a los órganos judiciales. Concluye, pues, que ambas Sentencias han vulnerado su derecho a la tutela judicial efectiva en esta vertiente.</w:t>
      </w:r>
    </w:p>
    <w:p w:rsidR="0026452D" w:rsidRDefault="0026452D" w:rsidP="0026452D">
      <w:pPr>
        <w:pStyle w:val="TextoNormal"/>
      </w:pPr>
    </w:p>
    <w:p w:rsidR="0026452D" w:rsidRDefault="0026452D" w:rsidP="0026452D">
      <w:pPr>
        <w:pStyle w:val="TextoNormal"/>
      </w:pPr>
      <w:r>
        <w:t xml:space="preserve">La demanda de amparo aduce, además, la vulneración del art. 24.1 CE en relación con el 9.3 CE y la incongruencia del fallo de la Sentencia de instancia, que ha quedado firme por mandato de la Sentencia de casación recurrida. Alega que la pretensión formulada se refería a la anulación de “la totalidad de los contenidos de los acuerdos recurridos… por ser arbitrario e inmotivado el tratamiento dado a la temática fundamental de las zonas (libres) y </w:t>
      </w:r>
      <w:r>
        <w:lastRenderedPageBreak/>
        <w:t xml:space="preserve">espacios verdes” y subsidiariamente “anule dichos actos concretando que la anulación se limita a la exigencia de que se continué manteniendo la calificación de zona verde de la finca sobre la que se asienta la gasolinera de don Mansueto Sayols Vendrell”. Por el contrario, la Sentencia de instancia decide “estimar parcialmente el recurso interpuesto contra el acuerdo de 28 de febrero de 2003 de la CTU de Girona, que aprueba la Revisión del PGOU de Vidreres, que se anula en el particular referido al cambio de la calificación urbanística de la zona verde situada en el margen derecho de la carretera GI-680”, comprendiendo esta zona terrenos distintos a aquellos en los que se ubica la gasolinera. Se produce así, según el actor, una incongruencia </w:t>
      </w:r>
      <w:r w:rsidRPr="0026452D">
        <w:rPr>
          <w:i/>
        </w:rPr>
        <w:t>extra petita</w:t>
      </w:r>
      <w:r>
        <w:t xml:space="preserve"> que no fue debidamente estimada por la Sentencia de casación. Es más, el Tribunal de instancia, si consideraba que existían aspectos conexos que habían de ser resueltos, debió conceder plazo de alegaciones, por lo que el proceso se habría realizado </w:t>
      </w:r>
      <w:r w:rsidRPr="0026452D">
        <w:rPr>
          <w:i/>
        </w:rPr>
        <w:t>inaudita parte</w:t>
      </w:r>
      <w:r>
        <w:t>.</w:t>
      </w:r>
    </w:p>
    <w:p w:rsidR="0026452D" w:rsidRDefault="0026452D" w:rsidP="0026452D">
      <w:pPr>
        <w:pStyle w:val="TextoNormal"/>
      </w:pPr>
    </w:p>
    <w:p w:rsidR="0026452D" w:rsidRDefault="0026452D" w:rsidP="0026452D">
      <w:pPr>
        <w:pStyle w:val="TextoNormal"/>
      </w:pPr>
      <w:r>
        <w:t xml:space="preserve">En tercer lugar, la vulneración del art. 24.1 CE se produce, según la demanda de amparo, por la </w:t>
      </w:r>
      <w:r w:rsidRPr="0026452D">
        <w:rPr>
          <w:i/>
        </w:rPr>
        <w:t>ratio decidendi</w:t>
      </w:r>
      <w:r>
        <w:t xml:space="preserve"> de la Sentencia del Tribunal Superior de Justicia Cataluña de 2 de febrero de 2007 impugnada, que se reputa errónea, manifiestamente irrazonable y provocadora de indefensión. La Sentencia no habría tomado en consideración la Sentencia del Tribunal Supremo de 29 de noviembre de 2006, que declaró que el plan parcial de 1974 carecía de vigencia, quedando sin efecto la calificación del terreno como zona verde, debiendo estarse a la modificación del plan general de 1985 y 1986. El demandante de amparo aduce que esta Sentencia de 2006 resolvió su situación con el carácter de cosa juzgada material haciendo inviable el pronunciamiento de la Sentencia del Tribunal Superior de Justicia de Cataluña de 2 de febrero de 2007 ahora impugnado. Frente a ello, la Sentencia de casación declara que de la de primera instancia no se deduce la pérdida de eficacia del plan parcial de 1974 de forma que el terreno ya no sea zona verde. El Tribunal Supremo afirma que efectivamente la Sentencia del Tribunal Superior de Justicia de Cataluña de 2 de febrero de 2007 no toma en consideración la Sentencia del Tribunal de 29 de noviembre de 2006, pero destaca que, dada la proximidad temporal de ambas resoluciones, ello se debía con toda seguridad al desconocimiento de su existencia, ya que para la votación y fallo del recurso de instancia se fijó el día 31 de enero de 2007; esta conclusión se vería respaldada porque ninguna de las partes alegó dicha Sentencia. El actor considera que esta justificación no es atendible, porque es deber del Tribunal de instancia conocer las Sentencias del Tribunal Supremo y su doctrina. En todo caso, el episodio demostraría una vez más la relevancia de que el proceso se haya celebrado </w:t>
      </w:r>
      <w:r w:rsidRPr="0026452D">
        <w:rPr>
          <w:i/>
        </w:rPr>
        <w:t>inaudita parte</w:t>
      </w:r>
      <w:r>
        <w:t>, ya que él hubiera sido el máximo interesado en aportar la Sentencia en cuestión. Se trataría pues de una interpretación arbitraria y errónea del Tribunal Supremo, que afectaría gravemente a la seguridad jurídica.</w:t>
      </w:r>
    </w:p>
    <w:p w:rsidR="0026452D" w:rsidRDefault="0026452D" w:rsidP="0026452D">
      <w:pPr>
        <w:pStyle w:val="TextoNormal"/>
      </w:pPr>
    </w:p>
    <w:p w:rsidR="0026452D" w:rsidRDefault="0026452D" w:rsidP="0026452D">
      <w:pPr>
        <w:pStyle w:val="TextoNormal"/>
      </w:pPr>
      <w:r>
        <w:t>En cuarto lugar, el recurrente en amparo aduce la lesión de su derecho fundamental a la tutela judicial efectiva sin indefensión, pues la interpretación incongruente y arbitraria que realiza la Sentencia del Tribunal Supremo impugnada generaría indefensión. El actor considera errónea y arbitraria la interpretación de la Sentencia de casación, conforme a la cual a un recurso contencioso-administrativo ordinario puede acumularse la acción especial prevista en el art. 103.4 LJCA; entiende que esta interpretación vulnera la seguridad jurídica y entraña una incongruencia en la motivación (art. 120.3 CE).</w:t>
      </w:r>
    </w:p>
    <w:p w:rsidR="0026452D" w:rsidRDefault="0026452D" w:rsidP="0026452D">
      <w:pPr>
        <w:pStyle w:val="TextoNormal"/>
      </w:pPr>
    </w:p>
    <w:p w:rsidR="0026452D" w:rsidRDefault="0026452D" w:rsidP="0026452D">
      <w:pPr>
        <w:pStyle w:val="TextoNormal"/>
      </w:pPr>
      <w:r>
        <w:t xml:space="preserve">En quinto lugar, la demanda de amparo razona la vulneración del art. 24.1 CE en relación con el art. 9.3 CE regulador del principio de legalidad, seguridad jurídica y jerarquía normativa, así como del cuerpo jurisprudencial que establece que las disposiciones generales </w:t>
      </w:r>
      <w:r>
        <w:lastRenderedPageBreak/>
        <w:t>son recurribles únicamente en vía jurisdiccional [art. 107.3 de la Ley de régimen jurídico de las administraciones públicas y del procedimiento administrativo común (LPC)]. El actor funda la queja en el hecho de que el Tribunal de instancia ha admitido la impugnación de una desestimación presunta de un recurso de alzada interpuesto contra la revisión del plan general cuando tal recurso no procede de acuerdo con el art. 107.3 LPC. Por tanto, el recurso interpuesto en vía contencioso-administrativa debió inadmitirse por extemporaneidad. Se vulnera, así, la legalidad (art. 107.3 LPC) y una reiterada doctrina jurisprudencial, sin que la Sentencia de casación haya resuelto correctamente la cuestión.</w:t>
      </w:r>
    </w:p>
    <w:p w:rsidR="0026452D" w:rsidRDefault="0026452D" w:rsidP="0026452D">
      <w:pPr>
        <w:pStyle w:val="TextoNormal"/>
      </w:pPr>
    </w:p>
    <w:p w:rsidR="0026452D" w:rsidRDefault="0026452D" w:rsidP="0026452D">
      <w:pPr>
        <w:pStyle w:val="TextoNormal"/>
      </w:pPr>
      <w:r>
        <w:t xml:space="preserve">El demandante alega también la lesión del derecho fundamental a utilizar los medios de prueba pertinentes para su defensa (art. 24.2 CE, conectado con la lesión del art. 24.1 CE), ya que, al haberse sustanciado el proceso </w:t>
      </w:r>
      <w:r w:rsidRPr="0026452D">
        <w:rPr>
          <w:i/>
        </w:rPr>
        <w:t>inaudita parte</w:t>
      </w:r>
      <w:r>
        <w:t>, perdió sus posibilidades de utilizar los medios probatorios pertinentes, de participar en las pruebas practicadas y de discutir sus resultados, sin que la casación haya corregido estas carencias. Destaca en este plano que la Sentencia del Tribunal Supremo se limita a afirmar que “la prueba pericial en la instancia no puede discutirse ahora una vez conocido su resultado”, que “en realidad de lo que se está discrepando es de las conclusiones probatorias alcanzadas en la citada sentencia de la instancia y a la vista de la prueba pericial” y que “estamos, pues, impedidos en esta sede casacional de proceder a la revisión del tema probatorio que se nos formula y que la propia recurrente no conecta con la existencia de indefensión alguna”. Considera que esta argumentación resulta de difícil comprensión en la medida en que ninguna de las objeciones que se le formulan podía tener virtualidad, ya que el recurrente “no pudo obtener la condición de parte del proceso y ejercer ninguno de los derechos intrínsecos a la prueba porque no tuvo oportunidad procesal”.</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16 de abril de 2012 la Sala Primera de este Tribunal acuerda, a tenor de lo dispuesto en el art. 11.2 de la Ley Orgánica del Tribunal Constitucional (LOTC), admitir a trámite y conocer del presente recurso de amparo; dirigir atenta comunicación de acuerdo con el art. 51 LOTC a las Salas de lo Contencioso-Administrativo del Tribunal Supremo (Sección Quinta) y del Tribunal Superior de Justicia de Cataluña (Sección Tercera) a fin de que, en plazo no superior a diez días, remitan certificación o fotocopia adverada de las actuaciones correspondientes al recurso de casación núm. 1602-2007 y al recurso núm. 189-2004, respectivamente, debiendo emplazar la segunda a quienes hubiesen sido parte en el procedimiento para que pudiesen comparecer en el plazo de diez días en el recurso de amparo; así como formar pieza separada de suspensión conforme a lo solicitado por el recurrente.</w:t>
      </w:r>
    </w:p>
    <w:p w:rsidR="0026452D" w:rsidRDefault="0026452D" w:rsidP="0026452D">
      <w:pPr>
        <w:pStyle w:val="TextoNormal"/>
      </w:pPr>
    </w:p>
    <w:p w:rsidR="0026452D" w:rsidRDefault="0026452D" w:rsidP="0026452D">
      <w:pPr>
        <w:pStyle w:val="TextoNormal"/>
      </w:pPr>
      <w:r w:rsidRPr="0026452D">
        <w:rPr>
          <w:rStyle w:val="NumeroAFNegritaCaracter"/>
        </w:rPr>
        <w:t>5</w:t>
      </w:r>
      <w:r>
        <w:t>. Por escrito presentado el 21 de mayo de 2012 en el Registro General de este Tribunal, don Argimiro Vázquez Guillén, Procurador de los Tribunales, se persona en representación del Ayuntamiento de Vidreres y solicita que se entiendan con él las sucesivas actuaciones del recurso de amparo.</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Por diligencia de ordenación de 19 de junio de 2012 la Secretaría de Justicia de la Sala Primera del Tribunal tiene por recibido los testimonios de las actuaciones remitidos por las Salas de lo Contencioso-Administrativo del Tribunal Supremo y del Tribunal Superior de Justicia de Cataluña, así como el escrito del Procurador don Argimiro Vázquez Guillen, a </w:t>
      </w:r>
      <w:r>
        <w:lastRenderedPageBreak/>
        <w:t>quien se tiene por personado y parte en nombre y representación del Ayuntamiento de Vidreres-Girona. A tenor de lo dispuesto en el art. 52 LOTC, se da vista de todas las actuaciones del presente recurso de amparo, en la Secretaría de esta Sala, por un plazo común de veinte días, al Ministerio Fiscal y a las partes personadas, para que dentro de dicho término puedan presentar las alegaciones que a su derecho convengan.</w:t>
      </w:r>
    </w:p>
    <w:p w:rsidR="0026452D" w:rsidRDefault="0026452D" w:rsidP="0026452D">
      <w:pPr>
        <w:pStyle w:val="TextoNormal"/>
      </w:pPr>
    </w:p>
    <w:p w:rsidR="0026452D" w:rsidRDefault="0026452D" w:rsidP="0026452D">
      <w:pPr>
        <w:pStyle w:val="TextoNormal"/>
      </w:pPr>
      <w:r w:rsidRPr="0026452D">
        <w:rPr>
          <w:rStyle w:val="NumeroAFNegritaCaracter"/>
        </w:rPr>
        <w:t>7</w:t>
      </w:r>
      <w:r>
        <w:t>. Por escrito registrado el 23 de julio de 2012 en este Tribunal presenta alegaciones el Procurador don Argimiro Vázquez Guillen en nombre y representación del Ayuntamiento de Vidreres, interesando la estimación del recurso de amparo. Considera que la Sentencia de la Sección Quinta del Tribunal Supremo es de imposible cumplimiento por un doble motivo: a) contradice la Sentencia del Tribunal Supremo de 29 de noviembre de 2006, que rechazó la vigencia del plan parcial de Aiguaviva Parc aprobado en 1974 y confirmó la legalidad de la modificación del plan general de Vidreres y de la adaptación del plan parcial Aiguaviva Parc adoptadas por el acuerdo de la comisión de urbanismo de Gerona de 16 de julio de 1985, corregido por el Consejero de Política Territorial y Obras Públicas de la Generalitat de Cataluña; b) el planeamiento municipal vigente desde el año 1986 clasifica la zona controvertida como suelo no urbanizable y no como zona verde. De este modo, la Sentencia casacional impugnada vulneraría la doctrina constitucional sobre la cosa juzgada y, con ello, el derecho fundamental a la tutela judicial efectiva (SSTC 163/2003, de 29 de septiembre; 204/2003, de 1 de diciembre). Advierte que la Sentencia del Tribunal Supremo de 23 de junio de 1998 declaró la ilegalidad de la licencia para la construcción de una estación de servicio, concedida por acuerdo municipal de 24 de noviembre de 1988, pero no contiene ni puede contener pronunciamiento alguno ni efectos con relación al planeamiento y a la calificación como suelo no urbanizable de los terrenos. Es más, la posterior Sentencia del Tribunal Supremo de 29 de noviembre de 2006 “sienta y establece la doctrina correcta”, al rechazar la vigencia del plan parcial de 1974 y la consiguiente calificación de zona verde. Las Sentencias impugnadas en el presente proceso constitucional han desconocido este pronunciamiento. Por lo demás considera que la Sentencia del Tribunal Superior de Justicia de Cataluña debió ser casada, puesto que su contenido y fallo comportan la infracción de normas procesales esenciales, por falta de claridad y precisión de la Sentencia, falta de motivación e incongruencia omisiva. A su vez, el Sr. Sayols Vendrell aparece como interesado, no ya en el expediente sino en la propia demanda, sin que se le emplazara. La circunstancia de que se le notificara después la Sentencia no subsana la indefensión resultante.</w:t>
      </w:r>
    </w:p>
    <w:p w:rsidR="0026452D" w:rsidRDefault="0026452D" w:rsidP="0026452D">
      <w:pPr>
        <w:pStyle w:val="TextoNormal"/>
      </w:pPr>
    </w:p>
    <w:p w:rsidR="0026452D" w:rsidRDefault="0026452D" w:rsidP="0026452D">
      <w:pPr>
        <w:pStyle w:val="TextoNormal"/>
      </w:pPr>
      <w:r w:rsidRPr="0026452D">
        <w:rPr>
          <w:rStyle w:val="NumeroAFNegritaCaracter"/>
        </w:rPr>
        <w:t>8</w:t>
      </w:r>
      <w:r>
        <w:t>. Mediante escrito registrado el 24 de julio de 2012, el Procurador de los Tribunales don Manuel Sánchez-Puelles y González-Carvajal evacua en nombre y representación del recurrente el trámite de alegaciones, reiterando las quejas aducidas en la demanda de amparo.</w:t>
      </w:r>
    </w:p>
    <w:p w:rsidR="0026452D" w:rsidRDefault="0026452D" w:rsidP="0026452D">
      <w:pPr>
        <w:pStyle w:val="TextoNormal"/>
      </w:pPr>
    </w:p>
    <w:p w:rsidR="0026452D" w:rsidRDefault="0026452D" w:rsidP="0026452D">
      <w:pPr>
        <w:pStyle w:val="TextoNormal"/>
      </w:pPr>
      <w:r w:rsidRPr="0026452D">
        <w:rPr>
          <w:rStyle w:val="NumeroAFNegritaCaracter"/>
        </w:rPr>
        <w:t>9</w:t>
      </w:r>
      <w:r>
        <w:t xml:space="preserve">. Mediante escrito presentado en el Registro General del Tribunal el 6 de septiembre de 2012 formula alegaciones el Ministerio Fiscal, interesando el otorgamiento del amparo solicitado por lesión del derecho fundamental del recurrente a la tutela judicial efectiva sin indefensión (art. 24.1 CE), dada la falta de emplazamiento en el proceso judicial </w:t>
      </w:r>
      <w:r w:rsidRPr="0026452D">
        <w:rPr>
          <w:i/>
        </w:rPr>
        <w:t>a quo</w:t>
      </w:r>
      <w:r>
        <w:t xml:space="preserve">. Con cita de la doctrina constitucional en materia de emplazamiento (SSTC 231/2007, de 5 de noviembre, FJ 2; 79/2009, de 23 de marzo, FJ 2 y 93/2009, de 20 de abril, FJ 3), alega que el examen de las actuaciones revela que la afección de los intereses del recurrente en amparo se deducía de la demanda interpuesta que dio lugar al recurso 189-2004, del expediente </w:t>
      </w:r>
      <w:r>
        <w:lastRenderedPageBreak/>
        <w:t>administrativo e incluso de la numerosa prueba documental incorporada a la causa subyacente, entre la que se encontraban Sentencias judiciales que se referían personalmente al mismo. El recurrente en amparo tenía pues interés legítimo y directo en la causa, plenamente identificable e identificado; sin embargo, ni las Administraciones implicadas (Generalitat de Cataluña y Ayuntamiento de Vidreres), ni la autoridad judicial —que estaba particularmente obligada a ello— cumplieron su obligación de comprobar el debido emplazamiento ni se preocuparon de asegurarlo. De ello deduce el Ministerio Fiscal que el grado de diligencia observado por el órgano judicial competente (la Sección Tercera de la Sala de lo Contencioso-Administrativo del Tribunal Superior de Justicia de Cataluña) fue prácticamente nulo por inexistente, al no desplegar actividad alguna para asegurar la realidad del emplazamiento. No habría tampoco elementos que acrediten la existencia de pasividad o conocimiento extraprocesal por parte del recurrente en amparo durante la tramitación de la causa ante dicho órgano judicial, lo que avala la existencia de lesión del art. 24.1 CE según la doctrina constitucional citada. No obsta a la anterior conclusión que el recurrente, una vez conocida la Sentencia de instancia, reaccionara pidiendo la notificación formal de la Sentencia e interponiendo contra ella recurso de casación alegando la falta de emplazamiento producida. A juicio del Ministerio público, la particular naturaleza del recurso de casación, extraordinario y tasado en motivos susceptibles de interposición, implica una afección real de las posibilidades de actuación en las labores de defensa de las propias posiciones, que afecta por ejemplo a la proposición y práctica de la prueba. Por tal razón interesa la estimación del amparo solicitado, por falta de emplazamiento en la instancia que provocó indefensión (art. 24.1 CE), motivo en el que subsume la supuesta lesión del derecho fundamental a la utilización de los medios de prueba pertinentes para su defensa (art. 24.2 CE), por considerar que no constituye una lesión autónoma sino íntimamente vinculada a la falta de emplazamiento producida.</w:t>
      </w:r>
    </w:p>
    <w:p w:rsidR="0026452D" w:rsidRDefault="0026452D" w:rsidP="0026452D">
      <w:pPr>
        <w:pStyle w:val="TextoNormal"/>
      </w:pPr>
    </w:p>
    <w:p w:rsidR="0026452D" w:rsidRDefault="0026452D" w:rsidP="0026452D">
      <w:pPr>
        <w:pStyle w:val="TextoNormal"/>
      </w:pPr>
      <w:r>
        <w:t xml:space="preserve">El Ministerio Fiscal rechaza las demás quejas razonadas en la demanda de amparo. Niega, en particular, la supuesta lesión del derecho fundamental a la tutela judicial efectiva en conexión con el art. 9.3 CE y la incongruencia </w:t>
      </w:r>
      <w:r w:rsidRPr="0026452D">
        <w:rPr>
          <w:i/>
        </w:rPr>
        <w:t>extra petita</w:t>
      </w:r>
      <w:r>
        <w:t xml:space="preserve"> del fallo de la Sentencia de instancia. Según afirma, el fundamento de derecho sexto de la Sentencia del Tribunal Supremo impugnada respondió satisfactoriamente a esta queja. La acción anulatoria se dirigió en el caso subyacente contra la clasificación otorgada a toda la zona 9 (servicios), no únicamente contra la zona del terreno en la que se ubicaba la gasolinera en cuestión; se trataba incluso de una consecuencia necesaria e indisolublemente conectada a la pretensión formulada en los términos del debate, ya que la nueva clasificación, que con la revisión del planeamiento se introdujo, lo era para toda la zona reseñada en su conjunto y no exclusivamente para un lugar específico.</w:t>
      </w:r>
    </w:p>
    <w:p w:rsidR="0026452D" w:rsidRDefault="0026452D" w:rsidP="0026452D">
      <w:pPr>
        <w:pStyle w:val="TextoNormal"/>
      </w:pPr>
    </w:p>
    <w:p w:rsidR="0026452D" w:rsidRDefault="0026452D" w:rsidP="0026452D">
      <w:pPr>
        <w:pStyle w:val="TextoNormal"/>
      </w:pPr>
      <w:r>
        <w:t xml:space="preserve">El Ministerio Fiscal interesa también la inadmisión de la queja consistente en la vulneración del art. 24.1 CE por interpretación errónea y </w:t>
      </w:r>
      <w:r w:rsidRPr="0026452D">
        <w:rPr>
          <w:i/>
        </w:rPr>
        <w:t>ratio decidendi</w:t>
      </w:r>
      <w:r>
        <w:t xml:space="preserve"> manifiestamente irrazonable, así como por interpretación incongruente y arbitraria (concretamente, del entendimiento en la STS impugnada de que en el recurso contencioso-administrativo subyacente se ejercitaron conjuntamente una acción ordinaria y la acción especial de ejecución del art. 103.4 LJCA). Afirma en este sentido que tal queja no fue planteada ante el órgano judicial, sino que se formula en esta sede </w:t>
      </w:r>
      <w:r w:rsidRPr="0026452D">
        <w:rPr>
          <w:i/>
        </w:rPr>
        <w:t>per saltum</w:t>
      </w:r>
      <w:r>
        <w:t xml:space="preserve">, sin respetar la naturaleza subsidiaria del recurso de amparo. Para el supuesto de que el Tribunal no lo aprecie así, interesa su desestimación porque la Sentencia del Tribunal Supremo impugnada está motivada y fundada en derecho. </w:t>
      </w:r>
      <w:r>
        <w:lastRenderedPageBreak/>
        <w:t>Lo que plantea el recurrente es una discrepancia con la interpretación jurídico-procesal llevada a cabo por el órgano judicial sobre las posibilidades de ejercicio de las acciones referidas, cuestión de mera legalidad ordinaria.</w:t>
      </w:r>
    </w:p>
    <w:p w:rsidR="0026452D" w:rsidRDefault="0026452D" w:rsidP="0026452D">
      <w:pPr>
        <w:pStyle w:val="TextoNormal"/>
      </w:pPr>
    </w:p>
    <w:p w:rsidR="0026452D" w:rsidRDefault="0026452D" w:rsidP="0026452D">
      <w:pPr>
        <w:pStyle w:val="TextoNormal"/>
      </w:pPr>
      <w:r>
        <w:t>Finalmente, en cuanto a la supuesta lesión del art. 24.1 CE en relación con el art. 9 CE, principio de legalidad y jerarquía normativa, así como del cuerpo jurisprudencial que establece que las disposiciones generales son recurribles únicamente en vía jurisdiccional conforme al art. 107.3 LPC (concretamente producida por la no inadmisión del recurso contencioso-administrativo por extemporáneo ante el Tribunal Superior de Justicia de Cataluña, ya que el Sr. Passarell formuló recurso en vía administrativa cuando debió acudir directamente a la vía jurisdiccional dada la naturaleza de disposición de carácter general de todo plan urbanístico), el Ministerio Fiscal interesa, en primer lugar, su inadmisión, porque no fue aducida en el recurso de casación y por tanto no respeta el carácter subsidiario del recurso de amparo. En segundo lugar, interesa su desestimación por quedar extramuros del recurso de amparo los motivos de impugnación basados en la infracción del art. 9 CE, según la propia doctrina constitucional.</w:t>
      </w:r>
    </w:p>
    <w:p w:rsidR="0026452D" w:rsidRDefault="0026452D" w:rsidP="0026452D">
      <w:pPr>
        <w:pStyle w:val="TextoNormal"/>
      </w:pPr>
    </w:p>
    <w:p w:rsidR="0026452D" w:rsidRDefault="0026452D" w:rsidP="0026452D">
      <w:pPr>
        <w:pStyle w:val="TextoNormal"/>
      </w:pPr>
      <w:r w:rsidRPr="0026452D">
        <w:rPr>
          <w:rStyle w:val="NumeroAFNegritaCaracter"/>
        </w:rPr>
        <w:t>10</w:t>
      </w:r>
      <w:r>
        <w:t xml:space="preserve">. Por ATC 122/2012, de 18 de junio, la Sala Primera del Tribunal acuerda no acceder a la solicitada suspensión cautelar de las Sentencias impugnadas por falta de concurrencia de los requisitos que exige la doctrina constitucional para su otorgamiento </w:t>
      </w:r>
      <w:r w:rsidRPr="0026452D">
        <w:rPr>
          <w:i/>
        </w:rPr>
        <w:t>ex</w:t>
      </w:r>
      <w:r>
        <w:t xml:space="preserve"> art. 56.2 LOTC.</w:t>
      </w:r>
    </w:p>
    <w:p w:rsidR="0026452D" w:rsidRDefault="0026452D" w:rsidP="0026452D">
      <w:pPr>
        <w:pStyle w:val="TextoNormal"/>
      </w:pPr>
    </w:p>
    <w:p w:rsidR="0026452D" w:rsidRDefault="0026452D" w:rsidP="0026452D">
      <w:pPr>
        <w:pStyle w:val="TextoNormal"/>
      </w:pPr>
      <w:r w:rsidRPr="0026452D">
        <w:rPr>
          <w:rStyle w:val="NumeroAFNegritaCaracter"/>
        </w:rPr>
        <w:t>11</w:t>
      </w:r>
      <w:r>
        <w:t>. Por providencia de 5 de abril de 2013, se señaló para la deliberación y fallo de la presente Sentencia el día 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El objeto del presente recurso de amparo es determinar si las Sentencias impugnadas vulneraron el derecho fundamental del recurrente en amparo a la tutela judicial efectiva sin indefensión, en relación con la interdicción de la arbitrariedad de los poderes públicos (art. 24.1 CE, en relación con el art. 9.3 CE) así como el derecho fundamental a utilizar los medios de prueba pertinentes para su defensa (art. 24.1 CE, en conexión con el art. 24.2 CE). Como ha quedado expuesto ampliamente en los antecedentes, las lesiones aducidas se habrían producido por la falta de emplazamiento del recurrente en la instancia, a pesar de ser el titular de la estación de servicio localizada en los terrenos cuya recalificación urbanística aprobada por acuerdo de la comisión territorial de urbanismo de Gerona de 26 de febrero de 2003 de revisión del plan general de ordenación urbana se discutía; por incongruencia </w:t>
      </w:r>
      <w:r w:rsidRPr="0026452D">
        <w:rPr>
          <w:i/>
        </w:rPr>
        <w:t>extra petita</w:t>
      </w:r>
      <w:r>
        <w:t xml:space="preserve"> en el fallo de la Sentencia de instancia confirmada en casación; por contener la Sentencia de instancia una </w:t>
      </w:r>
      <w:r w:rsidRPr="0026452D">
        <w:rPr>
          <w:i/>
        </w:rPr>
        <w:t>ratio decidendi</w:t>
      </w:r>
      <w:r>
        <w:t xml:space="preserve"> errónea y manifiestamente irrazonable, que habría provocado indefensión al recurrente en amparo al no tomar en consideración la Sentencia del Tribunal Supremo de 29 de noviembre de 2006, que declaró el plan parcial de 1974 y la correspondiente calificación del terreno de referencia como zona verde carentes de vigencia; por la interpretación incongruente y arbitraria que realizó la Sentencia del Tribunal Supremo impugnada, al aceptar que a un recurso ordinario se acumule la acción especial prevista en el art. 103.4 de la Ley reguladora de la jurisdicción contencioso-administrativa (LJCA); finalmente porque, como consecuencia de la falta de emplazamiento en la </w:t>
      </w:r>
      <w:r>
        <w:lastRenderedPageBreak/>
        <w:t>instancia, el recurrente en amparo no pudo ni proponer prueba ni rebatir las aportadas por el actor en el recurso contencioso-administrativo.</w:t>
      </w:r>
    </w:p>
    <w:p w:rsidR="0026452D" w:rsidRDefault="0026452D" w:rsidP="0026452D">
      <w:pPr>
        <w:pStyle w:val="TextoNormal"/>
      </w:pPr>
    </w:p>
    <w:p w:rsidR="0026452D" w:rsidRDefault="0026452D" w:rsidP="0026452D">
      <w:pPr>
        <w:pStyle w:val="TextoNormal"/>
      </w:pPr>
      <w:r>
        <w:t>La representación del Ayuntamiento de Vidreres interesa la estimación del recurso de amparo. El Ministerio Fiscal también, pero limitada a lo relativo a la falta de emplazamiento del recurrente en la instancia, que habría provocado la lesión de su derecho fundamental a la tutela judicial efectiva sin indefensión (art. 24.1 CE); las demás quejas carecen, a su juicio, de contenido constitucional.</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De acuerdo con la doctrina de este Tribunal sobre el orden constitucional de enjuiciamiento de la quejas desde la lógica de la subsidiariedad del amparo, nuestro análisis debe comenzar por la primera de las aducidas, puesto que la vulneración del derecho fundamental a la tutela judicial efectiva sin indefensión por falta de emplazamiento en la instancia (proceso </w:t>
      </w:r>
      <w:r w:rsidRPr="0026452D">
        <w:rPr>
          <w:i/>
        </w:rPr>
        <w:t>inaudita parte</w:t>
      </w:r>
      <w:r>
        <w:t>) comportaría la nulidad de lo actuado y la retroacción de la causa, haciendo innecesario el pronunciamiento sobre las restantes quejas (por todas, SSTC 240/2005, de 10 de octubre, FJ 2; 116/2006, de 24 de abril, FJ 2; 25/2008, de 11 de febrero, FJ 2; 86/2008, 21 de julio, FJ 2; 65/2011, de 16 de mayo, FJ 2; y 27/2013, de 11 de febrero, FJ 3).</w:t>
      </w:r>
    </w:p>
    <w:p w:rsidR="0026452D" w:rsidRDefault="0026452D" w:rsidP="0026452D">
      <w:pPr>
        <w:pStyle w:val="TextoNormal"/>
      </w:pPr>
    </w:p>
    <w:p w:rsidR="0026452D" w:rsidRDefault="0026452D" w:rsidP="0026452D">
      <w:pPr>
        <w:pStyle w:val="TextoNormal"/>
      </w:pPr>
      <w:r>
        <w:t>El demandante de amparo aduce que debió emplazársele en el proceso sustanciado ante el Tribunal Superior de Justicia de Cataluña por tener la condición de interesado directo en el asunto. La Sección Tercera de la Sala de lo Contencioso-Administrativo del Tribunal Superior de Justicia de Cataluña conocía del recurso contencioso-administrativo formulado por don Carlos Passarell Bacardit contra la revisión del plan general de ordenación urbana de Vidreres, aprobado por acuerdo de 26 de febrero de 2003 de la comisión territorial de urbanismo de Gerona, que calificó los terrenos donde se ubicaba la gasolinera como suelo urbano de servicios clave 9. El proceso afectaba pues directamente a los intereses del recurrente en amparo, por lo que debió ser emplazado. La Sentencia del Tribunal Supremo desestimó el recurso de casación, entre otros motivos, por considerar que el emplazamiento personal no era necesario por tratarse de la impugnación de una disposición general, lo que no resultaría acorde, según el recurrente, con el respeto a su derecho fundamental reconocido en el art. 24.1 CE.</w:t>
      </w:r>
    </w:p>
    <w:p w:rsidR="0026452D" w:rsidRDefault="0026452D" w:rsidP="0026452D">
      <w:pPr>
        <w:pStyle w:val="TextoNormal"/>
      </w:pPr>
    </w:p>
    <w:p w:rsidR="0026452D" w:rsidRDefault="0026452D" w:rsidP="0026452D">
      <w:pPr>
        <w:pStyle w:val="TextoNormal"/>
      </w:pPr>
      <w:r w:rsidRPr="0026452D">
        <w:rPr>
          <w:rStyle w:val="NumeroAFNegritaCaracter"/>
        </w:rPr>
        <w:t>3</w:t>
      </w:r>
      <w:r>
        <w:t>. Respecto de la lesión del derecho fundamental a la tutela judicial efectiva sin indefensión (art. 24.1 CE) por falta de emplazamiento de los interesados como consecuencia del carácter normativo del instrumento urbanístico impugnado se pronunció con posterioridad a la admisión del presente recurso la reciente STC 242/2012, de 17 de diciembre. En ella la Sala Segunda de este Tribunal consideró de especial trascendencia constitucional [art. 50.1 b) de la Ley Orgánica del Tribunal Constitucional] reiterar, bajo la vigencia de la Ley reguladora de la jurisdicción contencioso-administrativa de 13 de julio de 1998, la doctrina constitucional derivada de la STC 125/2000, de 16 de mayo, en la que enjuició igualmente la ausencia de todo emplazamiento, personal o edictal, en un proceso contencioso-administrativo sometido a la Ley jurisdiccional de 1956 en relación con la impugnación de una modificación de un plan general de ordenación urbana.</w:t>
      </w:r>
    </w:p>
    <w:p w:rsidR="0026452D" w:rsidRDefault="0026452D" w:rsidP="0026452D">
      <w:pPr>
        <w:pStyle w:val="TextoNormal"/>
      </w:pPr>
    </w:p>
    <w:p w:rsidR="0026452D" w:rsidRDefault="0026452D" w:rsidP="0026452D">
      <w:pPr>
        <w:pStyle w:val="TextoNormal"/>
      </w:pPr>
      <w:r>
        <w:t xml:space="preserve">La citada STC 242/2012, en su fundamento jurídico 3, recuerda que para que la falta de emplazamiento tenga relevancia constitucional para otorgar el amparo solicitado tienen que </w:t>
      </w:r>
      <w:r>
        <w:lastRenderedPageBreak/>
        <w:t xml:space="preserve">concurrir tres requisitos, cuya exigibilidad fue aceptada por el Tribunal Europeo de Derechos Humanos (SSTEDH caso </w:t>
      </w:r>
      <w:r w:rsidRPr="0026452D">
        <w:rPr>
          <w:i/>
        </w:rPr>
        <w:t>Cañete de Goñi c. España</w:t>
      </w:r>
      <w:r>
        <w:t xml:space="preserve">, de 15 octubre 2002 y caso </w:t>
      </w:r>
      <w:r w:rsidRPr="0026452D">
        <w:rPr>
          <w:i/>
        </w:rPr>
        <w:t>Agapito Maestre Sánchez c. Espa</w:t>
      </w:r>
      <w:r>
        <w:t>ña, de 4 mayo 2004): “a) En primer lugar, es preciso que el demandante de amparo fuera titular de un derecho o de un interés legítimo y propio, susceptible de afección en el proceso contencioso-administrativo en cuestión, lo que determina su condición material de demandado o coadyuvante en aquel proceso. Tal situación de interés legítimo resulta identificable con cualquier ventaja o utilidad jurídica derivada de la reparación pretendida; y, en todo caso, la titularidad del derecho o interés legítimo debe darse al tiempo de la iniciación del proceso contencioso-administrativo (SSTC 65/1994, de 28 de febrero, FJ 3; y 122/1998, de 15 de junio, FJ 3). b) En segundo lugar, es necesario que el demandante de amparo fuese identificable por el órgano jurisdiccional; lo que dependerá esencialmente de la información contenida en el escrito de interposición del recurso, en el expediente administrativo o en la demanda (SSTC 325/1993, de 8 de noviembre, FJ 3; 229/1997, de 16 de diciembre, FJ 2; y 300/2000, de 11 de diciembre, FJ 2). c) Y, por último, debe haberse causado al recurrente una situación de indefensión material, sin que pueda apreciarse la misma cuando el interesado tenía conocimiento extraprocesal del asunto y, por su propia pasividad o falta de diligencia, no se personó en el proceso pudiendo hacerlo (SSTC 152/1999, de 14 de septiembre, FJ 4; 62/2000, de 13 de marzo, FJ 3; 125/2000, de 16 de mayo, FJ 3; y 44/2003, de 3 de marzo, FJ 3).”</w:t>
      </w:r>
    </w:p>
    <w:p w:rsidR="0026452D" w:rsidRDefault="0026452D" w:rsidP="0026452D">
      <w:pPr>
        <w:pStyle w:val="TextoNormal"/>
      </w:pPr>
    </w:p>
    <w:p w:rsidR="0026452D" w:rsidRDefault="0026452D" w:rsidP="0026452D">
      <w:pPr>
        <w:pStyle w:val="TextoNormal"/>
      </w:pPr>
      <w:r>
        <w:t>Además de estos requisitos debemos tener en cuenta que en el caso de autos se impugna una modificación del planeamiento urbanístico; es decir, una norma de carácter general. Respecto de este supuesto la STC 242/2012, de 17 de diciembre, FJ 5, declaró que “el deber de emplazamiento personal puede quedar excluido cuando el recurso contencioso-administrativo se dirija contra una disposición de carácter general (STC 61/1985, de 8 de mayo, FJ 3) o contra ‘un acto general no normativo’ o ‘un acto dirigido a una pluralidad indeterminada de sujetos’ (STC 82/1985, de 5 de julio, FJ 3) si esa misma indeterminación de los posibles afectados impide su emplazamiento personal (en el mismo sentido, STC 133/1986, de 29 de octubre, FJ 4; y ATC 875/1987, de 8 de julio, FJ único). Pero de existir interesados identificados o susceptibles de serlo, que tengan una singular posición con el objeto del proceso, lo procedente será, obviamente, el emplazamiento personal de los mismos, para permitir su personación a fin de sostener la conformidad a Derecho de la disposición impugnada”. Asimismo, la STC 125/2000, de 16 de mayo, en la que se enjuició la ausencia de todo emplazamiento, personal o edictal, en un proceso contencioso-administrativo derivado de la impugnación de una modificación de un plan general de ordenación urbana, el Tribunal declaró que lo esencial es si los interesados son identificables por la Administración o por el órgano judicial en función “de la información contenida en el escrito de interposición del recurso, en el expediente administrativo o en la demanda”.</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Aplicando la doctrina constitucional expuesta al caso de autos, apreciamos que concurren los tres requisitos citados. Por un lado, la anulación de la revisión del plan general de ordenación urbana de Vidreres afectaba directamente al recurrente, puesto que los terrenos donde se ubica la estación de servicio de su titularidad vuelven a tener la consideración de zona verde, lo que indudablemente perjudica al recurrente. Por otro lado, el demandante de amparo era identificable para el órgano judicial, entre otros motivos, porque en todos los escritos presentados por el representante legal del recurrente en la instancia —don Carlos Passarell Bacardit— se menciona la estación de servicio del recurrente en amparo o la Sentencia del Tribunal Supremo de 23 de septiembre de 2003 (que desestimó el recurso de </w:t>
      </w:r>
      <w:r>
        <w:lastRenderedPageBreak/>
        <w:t>casación formulado por el demandante de amparo contra el Auto de 18 de octubre de 2000 de la Sección Segunda de la Sala de lo Contencioso-Administrativo del Tribunal Superior de Justicia de Cataluña, que en incidente de ejecución de Sentencia ordenaba la demolición de la citada estación). Por último, no consta en las actuaciones que el demandante de amparo tuviese conocimiento extraprocesal del asunto, ni que dejase de personarse en el proceso pudiendo hacerlo.</w:t>
      </w:r>
    </w:p>
    <w:p w:rsidR="0026452D" w:rsidRDefault="0026452D" w:rsidP="0026452D">
      <w:pPr>
        <w:pStyle w:val="TextoNormal"/>
      </w:pPr>
    </w:p>
    <w:p w:rsidR="0026452D" w:rsidRDefault="0026452D" w:rsidP="0026452D">
      <w:pPr>
        <w:pStyle w:val="TextoNormal"/>
      </w:pPr>
      <w:r>
        <w:t>Constatada la concurrencia de los tres requisitos exigidos por la doctrina constitucional para otorgar el amparo por lesión del derecho fundamental a la tutela judicial efectiva en supuestos de falta de emplazamiento, debemos analizar la respuesta ofrecida por el órgano judicial en la resolución del recurso de casación frente a la falta de emplazamiento del recurrente. En su fundamento jurídico cuarto, la Sentencia del Tribunal Supremo recurrida declara que “la impugnación entonces realizada lo era de la Revisión de una norma reglamentaria (PGOU), siendo ordenado, en consecuencia, el emplazamiento a través del Boletín Oficial de la Generalitat de Cataluña. … En todo caso, lo relevante es que el propio recurrente, ausente sin duda en la instancia, no sólo no concreta cuáles fueran las alegaciones que no pudo realizar entonces, en dicha fase procesal, o cuáles fueran las pruebas que no pudo proponer y practicar, sino que, además, parece —si bien se observa— desear que el defecto esgrimido no sea realmente estimado por la Sala, con retroacción de actuaciones a la Sala de instancia, ‘dado que existen motivos que atacan el fondo y que, de prosperar, como estimamos, debe dar lugar a la pura y simple desestimación de la demanda, lo que procede en base al principio de economía procesal y seguridad jurídica’.”</w:t>
      </w:r>
    </w:p>
    <w:p w:rsidR="0026452D" w:rsidRDefault="0026452D" w:rsidP="0026452D">
      <w:pPr>
        <w:pStyle w:val="TextoNormal"/>
      </w:pPr>
    </w:p>
    <w:p w:rsidR="0026452D" w:rsidRDefault="0026452D" w:rsidP="0026452D">
      <w:pPr>
        <w:pStyle w:val="TextoNormal"/>
      </w:pPr>
      <w:r>
        <w:t>La respuesta ofrecida por el órgano judicial para rechazar la queja aducida por el recurrente se basa pues, por un lado, en la naturaleza de norma de carácter general de la modificación del planeamiento impugnada y, por otro, en que el recurrente no concreta cuáles son las alegaciones y pruebas que no pudo hacer, proponer ni rebatir. Pues bien, no podemos aceptar estos argumentos para rechazar la queja de la falta de emplazamiento del demandante de amparo y con ello la aducida infracción del art. 24.1 CE.</w:t>
      </w:r>
    </w:p>
    <w:p w:rsidR="0026452D" w:rsidRDefault="0026452D" w:rsidP="0026452D">
      <w:pPr>
        <w:pStyle w:val="TextoNormal"/>
      </w:pPr>
    </w:p>
    <w:p w:rsidR="0026452D" w:rsidRDefault="0026452D" w:rsidP="0026452D">
      <w:pPr>
        <w:pStyle w:val="TextoNormal"/>
      </w:pPr>
      <w:r>
        <w:t xml:space="preserve">La obligación de dar a conocer la formulación de un recurso contencioso-administrativo a quienes puedan ser interesados en el proceso, por quedar afectados sus derechos o intereses legítimos, viene impuesta por el art. 49.1 LJCA, que regula el emplazamiento personal, o bien por el art. 49.4 LJCA, que regula con carácter subsidiario el emplazamiento edictal. En el caso de autos la anulación de la revisión del plan general de ordenación urbana de Vidreres afectaba directamente al recurrente, tal como quedó expuesto, ya que el cambio de calificación de los terrenos donde se ubica la estación de servicio podía conducir a que, de acuerdo con los oportunos trámites, hubiese que procederse a la revocación de la licencia concedida. Pero, además, el demandante de amparo era perfectamente identificable, según hemos destacado ya. Sin embargo, de las actuaciones se deduce que no fue emplazado ni de forma personal ni por edictos. En efecto, por providencia de 7 de abril de 2004 la Sección Tercera de la Sala de lo Contencioso-Administrativo del Tribunal Superior de Justicia de Cataluña reclamó el expediente administrativo a la Generalitat de Cataluña así como que se emplazase a todos aquellos que apareciesen como interesados en el mismo. El órgano judicial ordenó, asimismo, la publicación en el “Boletín Oficial de la Generalidad de Cataluña” de la interposición del recurso contencioso-administrativo a efectos de emplazamiento de aquellos que no lo hubiesen sido personalmente. No obstante lo cual no consta en las actuaciones la publicación ordenada ni tampoco el emplazamiento personal del recurrente. Sí </w:t>
      </w:r>
      <w:r>
        <w:lastRenderedPageBreak/>
        <w:t>consta, por el contrario, que por providencia de 31 de enero de 2005, la Sección Tercera de la Sala de lo Contencioso-Administrativo del Tribunal Superior de Justicia de Cataluña ordenó el emplazamiento del Ayuntamiento de Vidreres para que pudiese comparecer en el proceso como codemandado. Fue el ahora recurrente, por escrito de 28 de marzo de 2007, el que solicitó, a través de su representante legal, la notificación de la Sentencia de 2 de febrero de 2007 de la Sala Tercera del Tribunal Superior de Justicia de Cataluña.</w:t>
      </w:r>
    </w:p>
    <w:p w:rsidR="0026452D" w:rsidRDefault="0026452D" w:rsidP="0026452D">
      <w:pPr>
        <w:pStyle w:val="TextoNormal"/>
      </w:pPr>
    </w:p>
    <w:p w:rsidR="0026452D" w:rsidRDefault="0026452D" w:rsidP="0026452D">
      <w:pPr>
        <w:pStyle w:val="TextoNormal"/>
      </w:pPr>
      <w:r>
        <w:t>En consecuencia, la falta de emplazamiento del demandante de amparo en la instancia, dada su condición de interesado en el proceso contencioso-administrativo fácilmente constatable de los documentos obrantes en las actuaciones, no podía ser respondida por la Sentencia que desestimó el recurso de casación con referencia al procedente emplazamiento edictal, en atención a la naturaleza normativa de la revisión del plan general de ordenación de urbanismo de Vidreres impugnado, ya que ni consta que se realizase el mismo, ni ello resulta acorde con el derecho fundamental a la tutela judicial efectiva sin indefensión (art. 24.1 CE) del demandante de amparo, dada su condición de interesado directo en el pleito, identificado e identificable en las actuaciones del proceso. Igualmente, dada la fase procedimental en que se plantea el recurso, centrado en la inexistencia de emplazamiento, no tiene mayor sentido la carencia de alegaciones sobre el fondo de la cuestión a que se alude en la Sentencia. Esta motivación no supera el canon de exigencia del derecho fundamental a la tutela judicial efectiva, que comprende el derecho a obtener de los jueces y tribunales una resolución motivada y fundada en derecho. Dadas las características del recurso de casación, no resulta razonable ni fundada en derecho tal exigencia.</w:t>
      </w:r>
    </w:p>
    <w:p w:rsidR="0026452D" w:rsidRDefault="0026452D" w:rsidP="0026452D">
      <w:pPr>
        <w:pStyle w:val="TextoNormal"/>
      </w:pPr>
    </w:p>
    <w:p w:rsidR="0026452D" w:rsidRDefault="0026452D" w:rsidP="0026452D">
      <w:pPr>
        <w:pStyle w:val="TextoNormal"/>
      </w:pPr>
      <w:r>
        <w:t xml:space="preserve">En conclusión, la ausencia de emplazamiento personal del demandante de amparo conllevó la lesión de su derecho fundamental a la tutela judicial efectiva sin indefensión (art. 24.1 CE) originada tanto por la Administración, al no haber llevado a cabo los emplazamientos debidos (art. 49.1 LJCA), como por los órganos judiciales de instancia y casación (art. 49.2 LJCA). En todo caso, los defectos cometidos por la Administración al emplazar a los interesados en el proceso contencioso-administrativo son imputables al Tribunal que no advierte o no corrige tales anomalías (STC 242/2012, de 17 de diciembre, FJ 5 </w:t>
      </w:r>
      <w:r w:rsidRPr="0026452D">
        <w:rPr>
          <w:i/>
        </w:rPr>
        <w:t>in fine</w:t>
      </w:r>
      <w:r>
        <w:t>, y las allí citadas).</w:t>
      </w:r>
    </w:p>
    <w:p w:rsidR="0026452D" w:rsidRDefault="0026452D" w:rsidP="0026452D">
      <w:pPr>
        <w:pStyle w:val="TextoNormal"/>
      </w:pPr>
    </w:p>
    <w:p w:rsidR="0026452D" w:rsidRDefault="0026452D" w:rsidP="0026452D">
      <w:pPr>
        <w:pStyle w:val="TextoNormal"/>
      </w:pPr>
      <w:r w:rsidRPr="0026452D">
        <w:rPr>
          <w:rStyle w:val="NumeroAFNegritaCaracter"/>
        </w:rPr>
        <w:t>5</w:t>
      </w:r>
      <w:r>
        <w:t>. De acuerdo con la doctrina constitucional anteriormente expuesta sobre el orden de enjuiciamiento de las quejas y el carácter subsidiario del recurso de amparo, la apreciación de esta vulneración constitucional, que conlleva la retroacción de las actuaciones hasta el momento procesal en el que el demandante de amparo debió ser emplazado, hace innecesario el enjuiciamiento de las otras quejas aducidas en la demanda de amparo.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don Mansueto Sayols Vendrell y en su virtud,</w:t>
      </w:r>
    </w:p>
    <w:p w:rsidR="0026452D" w:rsidRDefault="0026452D" w:rsidP="0026452D">
      <w:pPr>
        <w:pStyle w:val="TextoNormal"/>
      </w:pPr>
    </w:p>
    <w:p w:rsidR="0026452D" w:rsidRDefault="0026452D" w:rsidP="0026452D">
      <w:pPr>
        <w:pStyle w:val="TextoNormal"/>
      </w:pPr>
      <w:r>
        <w:lastRenderedPageBreak/>
        <w:t>1º Declarar vulnerado su derecho fundamental a la tutela judicial efectiva sin indefensión (art. 24.1 CE).</w:t>
      </w:r>
    </w:p>
    <w:p w:rsidR="0026452D" w:rsidRDefault="0026452D" w:rsidP="0026452D">
      <w:pPr>
        <w:pStyle w:val="TextoNormal"/>
      </w:pPr>
    </w:p>
    <w:p w:rsidR="0026452D" w:rsidRDefault="0026452D" w:rsidP="0026452D">
      <w:pPr>
        <w:pStyle w:val="TextoNormal"/>
      </w:pPr>
      <w:r>
        <w:t>2º Declarar la nulidad de la Sentencia de 6 de abril de 2011 de la Sección Quinta de la Sala de lo Contencioso-Administrativo del Tribunal Supremo recaída en el recurso de casación núm. 1602-2007, así como de la Sentencia de 2 de febrero de 2007 de la Sección Tercera de la Sala de lo Contencioso-Administrativo del Tribunal Superior de Justicia de Cataluña recaída en el recurso contencioso-administrativo núm. 189-2004.</w:t>
      </w:r>
    </w:p>
    <w:p w:rsidR="0026452D" w:rsidRDefault="0026452D" w:rsidP="0026452D">
      <w:pPr>
        <w:pStyle w:val="TextoNormal"/>
      </w:pPr>
    </w:p>
    <w:p w:rsidR="0026452D" w:rsidRDefault="0026452D" w:rsidP="0026452D">
      <w:pPr>
        <w:pStyle w:val="TextoNormal"/>
      </w:pPr>
      <w:r>
        <w:t>3º Restablecerlo en su derecho retrotrayendo las actuaciones al momento en que el demandante de amparo debió ser emplazado personalmente en el proceso para que se proceda a dicho emplazamiento.</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ocho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80" w:name="SENTENCIA_2013_77"/>
      <w:r>
        <w:lastRenderedPageBreak/>
        <w:t>SENTENCIA 77/2013, de 8 de abril de 2013</w:t>
      </w:r>
    </w:p>
    <w:bookmarkEnd w:id="80"/>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ECLI:ES:TC:2013:77</w:t>
      </w:r>
    </w:p>
    <w:p w:rsidR="0026452D" w:rsidRDefault="0026452D" w:rsidP="0026452D">
      <w:pPr>
        <w:pStyle w:val="SntesisDescriptiva"/>
      </w:pPr>
    </w:p>
    <w:p w:rsidR="0026452D" w:rsidRDefault="0026452D" w:rsidP="0026452D">
      <w:pPr>
        <w:pStyle w:val="SntesisDescriptiva"/>
      </w:pPr>
      <w:r>
        <w:t>Recurso de amparo 5030-2011. Promovido por doña Iris Cuenca Cuenca respecto de las resoluciones de las Salas de lo Social del Tribunal Superior de Justicia de Cataluña y del Tribunal Supremo que desestimaron su demanda sobre viudedad.</w:t>
      </w:r>
    </w:p>
    <w:p w:rsidR="0026452D" w:rsidRDefault="0026452D" w:rsidP="0026452D">
      <w:pPr>
        <w:pStyle w:val="SntesisDescriptiva"/>
      </w:pPr>
    </w:p>
    <w:p w:rsidR="0026452D" w:rsidRDefault="0026452D" w:rsidP="0026452D">
      <w:pPr>
        <w:pStyle w:val="SntesisAnaltica"/>
      </w:pPr>
      <w:r>
        <w:t>Vulneración del derecho a la igualdad ante la ley: STC 41/2013 (denegación de la pretensión ejercitada en el litigio social que trae causa de la aplicación de un precepto legal contrario al derecho a la igualdad ante la ley al supeditar el disfrute del derecho a la pensión de viudedad que en él se establece a que el causante y el beneficiario hubieran tenido hijos comunes).</w:t>
      </w:r>
    </w:p>
    <w:p w:rsidR="0026452D" w:rsidRDefault="0026452D" w:rsidP="0026452D">
      <w:pPr>
        <w:pStyle w:val="SntesisAnaltica"/>
      </w:pPr>
    </w:p>
    <w:p w:rsidR="0026452D" w:rsidRDefault="0026452D" w:rsidP="0026452D">
      <w:pPr>
        <w:pStyle w:val="Extracto"/>
      </w:pPr>
      <w:r>
        <w:t>1.</w:t>
      </w:r>
      <w:r>
        <w:tab/>
        <w:t>Aplica la doctrina sobre la vulneración del derecho a la igualdad ante la ley por el condicionamiento del derecho a la pensión de viudedad de las parejas de hecho a la exigencia de haber tenido hijos comunes, de la STC 41/2013  [FJ 3].</w:t>
      </w:r>
    </w:p>
    <w:p w:rsidR="0026452D" w:rsidRDefault="0026452D" w:rsidP="0026452D">
      <w:pPr>
        <w:pStyle w:val="Extracto"/>
      </w:pPr>
    </w:p>
    <w:p w:rsidR="0026452D" w:rsidRDefault="0026452D" w:rsidP="0026452D">
      <w:pPr>
        <w:pStyle w:val="Extracto"/>
      </w:pPr>
      <w:r>
        <w:t>2.</w:t>
      </w:r>
      <w:r>
        <w:tab/>
        <w:t>La diferencia de trato establecida entre parejas de hecho para el reconocimiento de la pensión de viudedad, en razón a que hubieran tenido o no hijos en común, constituye una directa vulneración del principio de igualdad ante la ley, ex art. 14 CE, pues no sólo no obedece a ninguna razón objetivamente justificada, relacionada con la propia esencia de la pensión de viudedad, sino que conduce a un resultado desproporcionado, al impedir injustificadamente a determinados supérstites el acceso a dicha pensión por ser de imposible cumplimiento, por razones biológicas o jurídicas, tal requisito (STC 41/2013)  [FJ 3].</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amparo núm. 5030-2011, promovido por doña Iris Cuenca Cuenca, representada por la Procuradora de los Tribunales doña María Rosa Vidal Gil y asistida por la Abogada doña Carme Moles i Gual, contra el Auto de la Sala de lo Social del Tribunal Supremo de 8 de junio de 2011, dictado en el recurso de casación para la unificación de </w:t>
      </w:r>
      <w:r>
        <w:lastRenderedPageBreak/>
        <w:t>doctrina núm. 3919-2010 interpuesto contra la Sentencia de la Sala de lo Social del Tribunal Superior de Justicia de Cataluña de 10 de septiembre de 2010, que desestimó el recurso de suplicación 3676-2009 interpuesto contra la Sentencia del Juzgado de lo Social núm. 31 de Barcelona de 29 de enero de 2009, en autos 515-2008, sobre viudedad. Ha intervenido el Ministerio Fiscal. Ha sido Ponente el Magistrado don Luis Ignacio Ortega Álvarez,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sellado en el Servicio de Correos el día 16 de septiembre de 2011 y registrado en este Tribunal Constitucional el siguiente día 19, doña Iris Cuenca Cuenca manifestó su intención de interponer recurso de amparo contra el Auto de la Sala de lo Social del Tribunal Supremo de 8 de junio de 2011, dictado en el recurso de casación para la unificación de doctrina núm. 3919-2010 interpuesto contra la Sentencia de la Sala de lo Social del Tribunal Superior de Justicia de Cataluña de 10 de septiembre de 2010, que desestimó el recurso de suplicación 3676-2009 interpuesto contra la Sentencia del Juzgado de lo Social núm. 31 de Barcelona de 29 de enero de 2009, en autos 515-2008, sobre viudedad, manifestando haber solicitado justicia gratuita para iniciar el procedimiento ante el Tribunal.</w:t>
      </w:r>
    </w:p>
    <w:p w:rsidR="0026452D" w:rsidRDefault="0026452D" w:rsidP="0026452D">
      <w:pPr>
        <w:pStyle w:val="TextoNormal"/>
      </w:pPr>
    </w:p>
    <w:p w:rsidR="0026452D" w:rsidRDefault="0026452D" w:rsidP="0026452D">
      <w:pPr>
        <w:pStyle w:val="TextoNormal"/>
      </w:pPr>
      <w:r>
        <w:t>Una vez efectuada la designación por el turno de justicia gratuita de la Procuradora de los Tribunales doña María Rosa Vidal Gil y acreditada la renuncia a la percepción de honorarios por la Letrada de libre designación doña Carme Moles i Gual, la indicada Procuradora, dentro del plazo que le fue concedido, interpuso el día 12 de enero de 2012 recurso de amparo contra las resoluciones citadas en el encabezamiento, alegando la vulneración por las mismas del art. 14 CE.</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de los que trae causa la demanda, relevantes para la resolución del recurso, son, en síntesis, los siguientes:</w:t>
      </w:r>
    </w:p>
    <w:p w:rsidR="0026452D" w:rsidRDefault="0026452D" w:rsidP="0026452D">
      <w:pPr>
        <w:pStyle w:val="TextoNormal"/>
      </w:pPr>
    </w:p>
    <w:p w:rsidR="0026452D" w:rsidRDefault="0026452D" w:rsidP="0026452D">
      <w:pPr>
        <w:pStyle w:val="TextoNormal"/>
      </w:pPr>
      <w:r>
        <w:t>a) La demandante de amparo es una persona transexual, cuyo cambio de sexo (rectificación de la inscripción de nacimiento y cambio de nombre) fue declarado por Sentencia del Juzgado de Primera Instancia núm. 2 de Martorell de 5 de junio de 1997. En fecha 12 de febrero de 2008 solicitó el reconocimiento de pensión de viudedad por el fallecimiento en diciembre de 2003 de su pareja estable. El Instituto Nacional de la Seguridad Social (INSS) le denegó la pensión por no haber tenido hijos comunes con el causante, tal y como exige para el caso de parejas de hecho fallecidas antes de la entrada en vigor de la Ley 40/2007, de 4 de diciembre, la disposición adicional tercera de dicha ley.</w:t>
      </w:r>
    </w:p>
    <w:p w:rsidR="0026452D" w:rsidRDefault="0026452D" w:rsidP="0026452D">
      <w:pPr>
        <w:pStyle w:val="TextoNormal"/>
      </w:pPr>
    </w:p>
    <w:p w:rsidR="0026452D" w:rsidRDefault="0026452D" w:rsidP="0026452D">
      <w:pPr>
        <w:pStyle w:val="TextoNormal"/>
      </w:pPr>
      <w:r>
        <w:t>b) Agotada la vía administrativa, la demandante presentó demanda ante el Juzgado de lo Social, aduciendo la inconstitucionalidad de la citada disposición. La demanda fue desestimada por Sentencia del Juzgado de lo Social núm. 31 de Barcelona de 29 de enero de 2009, con apoyo en la jurisprudencia del Tribunal Supremo y en la doctrina constitucional.</w:t>
      </w:r>
    </w:p>
    <w:p w:rsidR="0026452D" w:rsidRDefault="0026452D" w:rsidP="0026452D">
      <w:pPr>
        <w:pStyle w:val="TextoNormal"/>
      </w:pPr>
    </w:p>
    <w:p w:rsidR="0026452D" w:rsidRDefault="0026452D" w:rsidP="0026452D">
      <w:pPr>
        <w:pStyle w:val="TextoNormal"/>
      </w:pPr>
      <w:r>
        <w:t>c) Recurrida en suplicación la anterior Sentencia, el recurso fue desestimado por Sentencia de la Sala de lo Social del Tribunal Superior de Justicia de Cataluña de 10 de septiembre de 2010, con idénticos fundamentos que la de instancia.</w:t>
      </w:r>
    </w:p>
    <w:p w:rsidR="0026452D" w:rsidRDefault="0026452D" w:rsidP="0026452D">
      <w:pPr>
        <w:pStyle w:val="TextoNormal"/>
      </w:pPr>
    </w:p>
    <w:p w:rsidR="0026452D" w:rsidRDefault="0026452D" w:rsidP="0026452D">
      <w:pPr>
        <w:pStyle w:val="TextoNormal"/>
      </w:pPr>
      <w:r>
        <w:lastRenderedPageBreak/>
        <w:t>d) Finalmente, la demandante interpuso recurso de casación para la unificación de doctrina, que fue rechazado por Auto de la Sala de lo Social del Tribunal Supremo de 8 de junio de 2011.</w:t>
      </w:r>
    </w:p>
    <w:p w:rsidR="0026452D" w:rsidRDefault="0026452D" w:rsidP="0026452D">
      <w:pPr>
        <w:pStyle w:val="TextoNormal"/>
      </w:pPr>
    </w:p>
    <w:p w:rsidR="0026452D" w:rsidRDefault="0026452D" w:rsidP="0026452D">
      <w:pPr>
        <w:pStyle w:val="TextoNormal"/>
      </w:pPr>
      <w:r w:rsidRPr="0026452D">
        <w:rPr>
          <w:rStyle w:val="NumeroAFNegritaCaracter"/>
        </w:rPr>
        <w:t>3</w:t>
      </w:r>
      <w:r>
        <w:t>. En su demanda, la recurrente aduce que la aplicación por las resoluciones recurridas de la disposición adicional tercera, letra c), de la Ley 40/2007 ha vulnerado su derecho fundamental a la igualdad, al tratar de manera desigual a las personas transexuales.</w:t>
      </w:r>
    </w:p>
    <w:p w:rsidR="0026452D" w:rsidRDefault="0026452D" w:rsidP="0026452D">
      <w:pPr>
        <w:pStyle w:val="TextoNormal"/>
      </w:pPr>
    </w:p>
    <w:p w:rsidR="0026452D" w:rsidRDefault="0026452D" w:rsidP="0026452D">
      <w:pPr>
        <w:pStyle w:val="TextoNormal"/>
      </w:pPr>
      <w:r>
        <w:t>Señala que la Ley 40/2007, modificó la Ley general de la Seguridad Social para dar entrada a la protección al miembro superviviente de pareja de hecho, que acredite cinco años de convivencia y dependencia económica. La disposición adicional tercera, pese a no tener la Ley 40/2007 efectos retroactivos, reconoce excepcionalmente la posibilidad de solicitar la pensión de viudedad en aquellos supuestos en que el hecho causante se haya producido con anterioridad a la entrada en vigor de la Ley cuando se acredite una convivencia de seis años, que no se tenga reconocida otra pensión contributiva de la Seguridad Social y que el causante y el beneficiario hayan tenido hijos comunes.</w:t>
      </w:r>
    </w:p>
    <w:p w:rsidR="0026452D" w:rsidRDefault="0026452D" w:rsidP="0026452D">
      <w:pPr>
        <w:pStyle w:val="TextoNormal"/>
      </w:pPr>
    </w:p>
    <w:p w:rsidR="0026452D" w:rsidRDefault="0026452D" w:rsidP="0026452D">
      <w:pPr>
        <w:pStyle w:val="TextoNormal"/>
      </w:pPr>
      <w:r>
        <w:t>Añade que, si bien el Tribunal Constitucional ha declarado que no es discriminatoria la diferenciación basada en la sucesión legislativa, no tiene sentido que se pidan más requisitos a los establecidos con carácter general, y que en lugar de pedir dependencia económica se pidan hijos comunes, con lo cual se separa del objetivo general de la prestación, que es resarcir la pérdida de ingresos, y se introduce un requisito que excluye a las parejas que no hayan querido o podido tener hijos comunes, máxime en el caso de la demandante, cuyo síndrome de transexualidad hace de imposible cumplimiento el requisito, pues los transexuales masculinos no pueden biológicamente tener hijos, del mismo modo que se le había impedido antes el matrimonio y la adopción.</w:t>
      </w:r>
    </w:p>
    <w:p w:rsidR="0026452D" w:rsidRDefault="0026452D" w:rsidP="0026452D">
      <w:pPr>
        <w:pStyle w:val="TextoNormal"/>
      </w:pPr>
    </w:p>
    <w:p w:rsidR="0026452D" w:rsidRDefault="0026452D" w:rsidP="0026452D">
      <w:pPr>
        <w:pStyle w:val="TextoNormal"/>
      </w:pPr>
      <w:r>
        <w:t>Considera que la Ley 40/2007 no distingue, en su regulación general, entre parejas heterosexuales, homosexuales o transexuales, por lo que no puede luego, con la introducción del requisito de “hijos en común”, dar lugar a esta distinción, que choca frontalmente con el principio constitucional de igualdad. Entiende, por ello, que se debe apreciar la vulneración del art. 14 CE, elevando la cuestión al Pleno para que declare la inconstitucionalidad de la disposición adicional tercera, letra c), de la Ley 40/2007. Añade que esta misma declaración de inconstitucionalidad ha sido ya solicitada por el Juzgado de lo Social núm. 33 de Barcelona en la cuestión de inconstitucionalidad 8970-2008, con la que entiende que debería acumularse el presente proceso.</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24 de mayo de 2012 la Sala Segunda acordó conocer del presente recurso de amparo y admitir a trámite la demanda, y, en aplicación de lo dispuesto en el art. 51 Ley Orgánica del Tribunal Constitucional (LOTC), dirigir atenta comunicación a la Sala de lo Social del Tribunal Supremo, a la Sala de lo Social del Tribunal Superior de Justicia de Cataluña y al Juzgado de lo Social núm. 31 de Barcelona a fin de que, en plazo que no excediera de diez días, remitieran, respectivamente, certificación o fotocopia adverada de las actuaciones correspondientes al recurso de casación para la unificación de doctrina núm. 3919-2010, del recurso de suplicación núm. 3676-2009 y del procedimiento núm. 515-1998, interesándose al propio tiempo del Juzgado que se emplazara, para que el plazo de diez días pudieran comparecer, si lo desearan, en el recurso de amparo, a quienes hubieran sido parte en el procedimiento, excepto la parte recurrente en amparo.</w:t>
      </w:r>
    </w:p>
    <w:p w:rsidR="0026452D" w:rsidRDefault="0026452D" w:rsidP="0026452D">
      <w:pPr>
        <w:pStyle w:val="TextoNormal"/>
      </w:pPr>
    </w:p>
    <w:p w:rsidR="0026452D" w:rsidRDefault="0026452D" w:rsidP="0026452D">
      <w:pPr>
        <w:pStyle w:val="TextoNormal"/>
      </w:pPr>
      <w:r w:rsidRPr="0026452D">
        <w:rPr>
          <w:rStyle w:val="NumeroAFNegritaCaracter"/>
        </w:rPr>
        <w:t>5</w:t>
      </w:r>
      <w:r>
        <w:t>. Por diligencia de ordenación del Secretario de Justicia de la Sala Segunda de 14 de septiembre de 2012 se acordó dar vista de las actuaciones recibidas a la parte recurrente y al Ministerio Fiscal, por plazo común de veinte días, dentro de los cuales podrían presentar las alegaciones que estimaran pertinentes.</w:t>
      </w:r>
    </w:p>
    <w:p w:rsidR="0026452D" w:rsidRDefault="0026452D" w:rsidP="0026452D">
      <w:pPr>
        <w:pStyle w:val="TextoNormal"/>
      </w:pPr>
    </w:p>
    <w:p w:rsidR="0026452D" w:rsidRDefault="0026452D" w:rsidP="0026452D">
      <w:pPr>
        <w:pStyle w:val="TextoNormal"/>
      </w:pPr>
      <w:r w:rsidRPr="0026452D">
        <w:rPr>
          <w:rStyle w:val="NumeroAFNegritaCaracter"/>
        </w:rPr>
        <w:t>6</w:t>
      </w:r>
      <w:r>
        <w:t>. La representación procesal de la recurrente presentó sus alegaciones mediante escrito registrado el 27 de septiembre de 2012, en el que afirma reiterarse en todas las alegaciones expuestas en la demanda de amparo.</w:t>
      </w:r>
    </w:p>
    <w:p w:rsidR="0026452D" w:rsidRDefault="0026452D" w:rsidP="0026452D">
      <w:pPr>
        <w:pStyle w:val="TextoNormal"/>
      </w:pPr>
    </w:p>
    <w:p w:rsidR="0026452D" w:rsidRDefault="0026452D" w:rsidP="0026452D">
      <w:pPr>
        <w:pStyle w:val="TextoNormal"/>
      </w:pPr>
      <w:r w:rsidRPr="0026452D">
        <w:rPr>
          <w:rStyle w:val="NumeroAFNegritaCaracter"/>
        </w:rPr>
        <w:t>7</w:t>
      </w:r>
      <w:r>
        <w:t>. El Fiscal ante el Tribunal Constitucional presentó sus alegaciones mediante escrito registrado el día 5 de noviembre de 2012, en el que solicita que se declare la desestimación de la demanda de amparo por incumplimiento del requisito expresado en el último inciso del art. 49.1 LOTC, y, subsidiariamente, el otorgamiento del amparo, reconociendo a la actora su derecho fundamental a la igualdad del art. 14 CE.</w:t>
      </w:r>
    </w:p>
    <w:p w:rsidR="0026452D" w:rsidRDefault="0026452D" w:rsidP="0026452D">
      <w:pPr>
        <w:pStyle w:val="TextoNormal"/>
      </w:pPr>
    </w:p>
    <w:p w:rsidR="0026452D" w:rsidRDefault="0026452D" w:rsidP="0026452D">
      <w:pPr>
        <w:pStyle w:val="TextoNormal"/>
      </w:pPr>
      <w:r>
        <w:t>Comienza el Fiscal su escrito señalando, como cuestión previa al análisis de fondo, que estima que concurre la causa de inadmisión —ahora de desestimación— de la demanda de amparo del art. 50.1 a) y último inciso del art. 49.1 LOTC, en tanto la demanda ni justifica, ni contiene referencia alguna a la especial trascendencia constitucional del recurso.</w:t>
      </w:r>
    </w:p>
    <w:p w:rsidR="0026452D" w:rsidRDefault="0026452D" w:rsidP="0026452D">
      <w:pPr>
        <w:pStyle w:val="TextoNormal"/>
      </w:pPr>
    </w:p>
    <w:p w:rsidR="0026452D" w:rsidRDefault="0026452D" w:rsidP="0026452D">
      <w:pPr>
        <w:pStyle w:val="TextoNormal"/>
      </w:pPr>
      <w:r>
        <w:t xml:space="preserve">Con carácter subsidiario, señala el Ministerio Fiscal que la demandante plantea la supuesta lesión de su derecho a la igualdad </w:t>
      </w:r>
      <w:r w:rsidRPr="0026452D">
        <w:rPr>
          <w:i/>
        </w:rPr>
        <w:t>ex</w:t>
      </w:r>
      <w:r>
        <w:t xml:space="preserve"> art. 14 CE desde la perspectiva de invocar un supuesto de discriminación en relación con las uniones matrimoniales, al señalar que a las parejas casadas no se les exigen hijos para percibir la pensión de viudedad. Desde esa perspectiva, sin embargo, considera que la improcedencia de la demanda resultaría patente, teniendo en cuenta la consolidada doctrina del Tribunal en lo que se refiere a la genérica comparación entre el matrimonio y las uniones extramatrimoniales.</w:t>
      </w:r>
    </w:p>
    <w:p w:rsidR="0026452D" w:rsidRDefault="0026452D" w:rsidP="0026452D">
      <w:pPr>
        <w:pStyle w:val="TextoNormal"/>
      </w:pPr>
    </w:p>
    <w:p w:rsidR="0026452D" w:rsidRDefault="0026452D" w:rsidP="0026452D">
      <w:pPr>
        <w:pStyle w:val="TextoNormal"/>
      </w:pPr>
      <w:r>
        <w:t>No obstante, considera que algunos razonamientos de la demanda permiten entender que la actora residencia la queja sobre la afectación del derecho a la igualdad en la comparación de su situación con las uniones de hecho heterosexuales, en las que el cónyuge sobreviviente podría obtener la pensión de viudedad, si hubiera fallecido el causante antes de la entrada en vigor de la Ley 40/2007, si de la citada unión hubiera hijos comunes, estableciéndose así una diferencia de tratamiento para las uniones de hecho homosexuales, en tanto éstas, por razones obvias de carácter biológico, nunca podrían tener hijos comunes. Desde esta perspectiva, considera el Fiscal que la comparación sí que se efectúa entre dos casos homogéneos y perfectamente parangonables en orden a analizar el hipotético compromiso del derecho a la igualdad y no discriminación.</w:t>
      </w:r>
    </w:p>
    <w:p w:rsidR="0026452D" w:rsidRDefault="0026452D" w:rsidP="0026452D">
      <w:pPr>
        <w:pStyle w:val="TextoNormal"/>
      </w:pPr>
    </w:p>
    <w:p w:rsidR="0026452D" w:rsidRDefault="0026452D" w:rsidP="0026452D">
      <w:pPr>
        <w:pStyle w:val="TextoNormal"/>
      </w:pPr>
      <w:r>
        <w:t xml:space="preserve">Además, señala que la demanda matiza la disposición de la capacidad de tener hijos comunes, al contemplar no sólo la filiación por naturaleza —evidentemente imposible para las parejas homosexuales—, sino también la filiación por adopción, que sí que haría posible la tenencia de hijos comunes pero sólo desde el momento en que la Ley hubiera previsto dicha eventualidad, lo que en el caso del Derecho foral de Cataluña sucedería el día 10 de mayo de 2005, fecha de entrada en vigor de la Ley Catalana 3/2005. Por lo demás, la actora plantea la vulneración de su derecho a la igualdad, no sólo como un mero supuesto de tratamiento </w:t>
      </w:r>
      <w:r>
        <w:lastRenderedPageBreak/>
        <w:t>diferenciado de una idéntica situación, sino como hipótesis específica de discriminación por razón de sexo, en tanto causa contemplada expresamente en el art. 14 CE.</w:t>
      </w:r>
    </w:p>
    <w:p w:rsidR="0026452D" w:rsidRDefault="0026452D" w:rsidP="0026452D">
      <w:pPr>
        <w:pStyle w:val="TextoNormal"/>
      </w:pPr>
    </w:p>
    <w:p w:rsidR="0026452D" w:rsidRDefault="0026452D" w:rsidP="0026452D">
      <w:pPr>
        <w:pStyle w:val="TextoNormal"/>
      </w:pPr>
      <w:r>
        <w:t>Tras recordar la doctrina del Tribunal sobre el derecho a la igualdad, señala el Ministerio Fiscal que lo que la demanda plantea es la necesidad de una interpretación no discriminadora de la disposición adicional tercera de la Ley 40/2007, pues entiende que el elemento de diferenciación de supuestos que la norma introduce —la tenencia de hijos comunes— no resulta ser neutral, dado que en el caso de las parejas homosexuales tal requisito resulta de imposible realización, a diferencia de las parejas heterosexuales. Con ello entiende el Fiscal que se trae a colación la doctrina referida a la discriminación indirecta por razón de sexo como causa contemplada en el art. 14 CE. Partiendo de la constatación de la realidad del presupuesto que enuncia la actora, señala el Ministerio Fiscal que la cuestión a determinar es si dicha proposición de carácter neutro resulta adecuada o necesaria, o puede justificarse con criterios objetivos que no estén relacionados con la orientación sexual del colectivo afectado. Y, desde tal perspectiva, y a diferencia de lo analizado con anterioridad por el Tribunal en relación con la justificación del diferente tratamiento que la Ley otorgaba a los matrimonios y a las uniones de hecho, en el presente caso el término de contraste que se ofrece no es ya el de la contraposición entre una institución jurídica protegida constitucionalmente —el matrimonio— y una situación convivencial —la unión de hecho—, sino, meramente, el de la orientación sexual en el común ámbito de una unión de hecho.</w:t>
      </w:r>
    </w:p>
    <w:p w:rsidR="0026452D" w:rsidRDefault="0026452D" w:rsidP="0026452D">
      <w:pPr>
        <w:pStyle w:val="TextoNormal"/>
      </w:pPr>
    </w:p>
    <w:p w:rsidR="0026452D" w:rsidRDefault="0026452D" w:rsidP="0026452D">
      <w:pPr>
        <w:pStyle w:val="TextoNormal"/>
      </w:pPr>
      <w:r>
        <w:t xml:space="preserve">Tras analizar posibles razones justificadoras de la exigencia relativa a los hijos comunes contenida en la disposición adicional tercera de la Ley 40/2007, señala el Fiscal que lo que parece suscitar en realidad la demanda no es tanto la supuestamente errónea actuación judicial (objeto susceptible del recurso de amparo, a tenor del art. 44.1 LOTC), sino la imposibilidad legal de reconocer la pensión de viudedad que se pretende, lo que conduciría necesariamente al planteamiento de una cuestión interna de inconstitucionalidad, que la demandante postula pidiendo, además, su acumulación a otras cuestiones de inconstitucionalidad pendientes de resolución ante este Tribunal. En las citadas cuestiones de inconstitucionalidad el Ministerio Fiscal se ha pronunciado a favor de la constitucionalidad del precepto allí impugnado, lo que no le ha impedido, sin embargo, mostrarse favorable al otorgamiento del amparo en aquellos otros procesos en los que los demandantes han venido invocando, no ya la supuesta discriminación derivada de la disposición adicional tercera de la Ley 40/2007, sino la falta de aplicación analógica de la disposición adicional décima de la Ley 30/1981, de 7 de junio. En dichos procesos, se compararía la situación de los actores, no con las uniones de hecho en general, sino con aquellas uniones heterosexuales cuyos componentes no pudieron contraer matrimonio como consecuencia de lo establecido en la legislación anterior a la Ley 30/1981. En dicha tesis se concluiría que, al no permitirse la celebración del matrimonio homosexual hasta la promulgación de la Ley 13/2005, de 1 de julio, existiría entonces la misma razón que inspiró la redacción de la disposición adicional décima de la Ley 30/1981, con lo que resultaría lesivo del derecho a la igualdad la falta de aplicación analógica de la citada disposición. Pues bien, si el legislador ha reconocido con carácter retroactivo el derecho a una prestación de Seguridad Social en base a la existencia de una causa impeditiva del matrimonio (el ligamen o vínculo previo), el supuesto que la recurrente ahora ofrece resulta ser exactamente el mismo, ya que se trata también de una anterior causa impeditiva para contraer matrimonio que ahora ha desaparecido. Sólo desde este punto de vista cabría, a juicio del Fiscal, afirmar la lesión del derecho a la igualdad de la recurrente, lesión que no procedería entonces de una disposición legal, sino de la inaplicación por parte </w:t>
      </w:r>
      <w:r>
        <w:lastRenderedPageBreak/>
        <w:t xml:space="preserve">del Juzgado y de la Sala de lo Social del Tribunal Superior de Justicia —y en virtud del principio </w:t>
      </w:r>
      <w:r w:rsidRPr="0026452D">
        <w:rPr>
          <w:i/>
        </w:rPr>
        <w:t>iura novit curia</w:t>
      </w:r>
      <w:r>
        <w:t>— de otra norma, cual es la disposición adicional décima Ley 30/1981.</w:t>
      </w:r>
    </w:p>
    <w:p w:rsidR="0026452D" w:rsidRDefault="0026452D" w:rsidP="0026452D">
      <w:pPr>
        <w:pStyle w:val="TextoNormal"/>
      </w:pPr>
    </w:p>
    <w:p w:rsidR="0026452D" w:rsidRDefault="0026452D" w:rsidP="0026452D">
      <w:pPr>
        <w:pStyle w:val="TextoNormal"/>
      </w:pPr>
      <w:r>
        <w:t>Advierte, por último, el Ministerio Fiscal que, aunque la recurrente plantea idéntica queja frente a las tres resoluciones judiciales recurridas, en lo que se refiere al Auto que inadmite el recurso de casación para la unificación de doctrina sólo procedería en realidad su examen desde la perspectiva del derecho a la tutela judicial efectiva del art. 24.1 CE, siendo así que la exigencia de firmeza de la Sentencia de contraste para la admisión del mencionado recurso constituye un requisito razonable, resultando acorde tanto con la finalidad de dicho medio de impugnación como con los principios de seguridad jurídica y economía procesal.</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4 de abril de 2013 se señaló para la deliberación y votación de la presente Sentencia el día 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Es objeto del presente recurso de amparo determinar si las resoluciones judiciales recurridas han vulnerado el derecho a la igualdad y a la no discriminación del art. 14 CE al denegar a la recurrente en amparo la pensión de viudedad solicitada, por la aplicación de un requisito legal que considera contrario a dicho precepto constitucional. El requisito cuestionado es el contenido en la letra c) de la disposición adicional tercera de la Ley 40/2007, de 4 de diciembre, que exige, para el reconocimiento de la pensión de viudedad como pareja de hecho en el supuesto de hechos causantes acaecidos antes de la entrada en vigor de la Ley, la circunstancia de que el causante y el beneficiario hubieran tenido hijos comunes. A juicio de la demandante, tal requisito resulta contrario al derecho a la igualdad y a la no discriminación, al resultar de imposible complimiento para las personas transexuales, ya que biológicamente no pueden tener hijos.</w:t>
      </w:r>
    </w:p>
    <w:p w:rsidR="0026452D" w:rsidRDefault="0026452D" w:rsidP="0026452D">
      <w:pPr>
        <w:pStyle w:val="TextoNormal"/>
      </w:pPr>
    </w:p>
    <w:p w:rsidR="0026452D" w:rsidRDefault="0026452D" w:rsidP="0026452D">
      <w:pPr>
        <w:pStyle w:val="TextoNormal"/>
      </w:pPr>
      <w:r>
        <w:t>El Ministerio Fiscal, que entiende que el recurso de amparo debe ser desestimado por incumplir el requisito contenido en el último inciso del art. 49.1 Ley Orgánica del Tribunal Constitucional (LOTC), propone subsidiariamente el otorgamiento del amparo, no ya porque la exigencia de hijos comunes en el precepto legal cuestionado sea contraria al art. 14 CE, lo que rechaza, sino por la vulneración de dicho derecho fundamental como consecuencia de la inaplicación por las Sentencias de instancia y suplicación de otra norma, la disposición adicional décima de la Ley 30/1981, de 7 de junio, que, en su criterio, habría determinado el reconocimiento de la pensión.</w:t>
      </w:r>
    </w:p>
    <w:p w:rsidR="0026452D" w:rsidRDefault="0026452D" w:rsidP="0026452D">
      <w:pPr>
        <w:pStyle w:val="TextoNormal"/>
      </w:pPr>
    </w:p>
    <w:p w:rsidR="0026452D" w:rsidRDefault="0026452D" w:rsidP="0026452D">
      <w:pPr>
        <w:pStyle w:val="TextoNormal"/>
      </w:pPr>
      <w:r>
        <w:t>A fin de delimitar el objeto del presente recurso de amparo, conviene precisar que, tal y como señala el Ministerio Fiscal, aun cuando la demandante extiende su reproche de vulneración del art. 14 CE al Auto de la Sala de lo Social del Tribunal Supremo que inadmitió, por razones procesales, su recurso de casación para la unificación de doctrina, tal resolución sólo podría ser analizada, dado su alcance, desde la perspectiva del derecho de acceso a los recursos del art. 24.1 CE, sin que se contenga en la demanda de amparo ninguna consideración a este respecto, por lo que su contenido deberá quedar al margen de nuestro enjuicia</w:t>
      </w:r>
      <w:r>
        <w:lastRenderedPageBreak/>
        <w:t>miento, sin perjuicio de que, de estimarse el recurso de amparo, hubiera de acordarse también su nulidad, en la medida en que declaró la firmeza de la Sentencia de suplicación recurrida.</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al enjuiciamiento de la cuestión de fondo, debemos analizar en primer lugar el óbice procesal puesto de manifiesto por el Ministerio Fiscal, para quien el recurso de amparo resultaría inadmisible —lo que, en este momento procesal habría de conducir a su desestimación— por falta de cumplimiento del requisito previsto en el último inciso del art. 49.1 LOTC, toda vez que, según señala, la demanda, ni justifica, ni contiene referencia alguna a la especial trascendencia constitucional del recurso.</w:t>
      </w:r>
    </w:p>
    <w:p w:rsidR="0026452D" w:rsidRDefault="0026452D" w:rsidP="0026452D">
      <w:pPr>
        <w:pStyle w:val="TextoNormal"/>
      </w:pPr>
    </w:p>
    <w:p w:rsidR="0026452D" w:rsidRDefault="0026452D" w:rsidP="0026452D">
      <w:pPr>
        <w:pStyle w:val="TextoNormal"/>
      </w:pPr>
      <w:r>
        <w:t>La mera lectura de la demanda de amparo pone, sin embargo, de manifiesto la inexistencia de tal óbice procesal y el exacto cumplimiento por la demandante del requisito considerado. En efecto, en el último párrafo del fundamento jurídico séptimo de la demanda la recurrente señala expresamente que entiende “que la cuestión que se plantea en este recurso es de relevancia constitucional al amparo de la STC 155/2009, de 25 de junio, ya que la exigencia de la disposición adicional tercera letra c) de la Ley 40/2007 excluye al colectivo de transexuales de facto y por lo tanto rompe el principio de igualdad del artículo 14 de la Constitución por la imposibilidad física de tener hijos”. Con ello hace la recurrente referencia expresa a uno de los casos específicamente contemplados en el fundamento jurídico 2 de nuestra STC 155/2009, de 25 de junio, cual es aquel en el que “la vulneración del derecho fundamental que se denuncia provenga de la ley o de otra disposición de carácter general”.</w:t>
      </w:r>
    </w:p>
    <w:p w:rsidR="0026452D" w:rsidRDefault="0026452D" w:rsidP="0026452D">
      <w:pPr>
        <w:pStyle w:val="TextoNormal"/>
      </w:pPr>
    </w:p>
    <w:p w:rsidR="0026452D" w:rsidRDefault="0026452D" w:rsidP="0026452D">
      <w:pPr>
        <w:pStyle w:val="TextoNormal"/>
      </w:pPr>
      <w:r w:rsidRPr="0026452D">
        <w:rPr>
          <w:rStyle w:val="NumeroAFNegritaCaracter"/>
        </w:rPr>
        <w:t>3</w:t>
      </w:r>
      <w:r>
        <w:t>. Entrando en el fondo de la vulneración aducida, hemos de recordar que la demandante ha visto denegada su solicitud de pensión de viudedad planteada al amparo de la disposición adicional tercera de la Ley 40/2007, tanto en vía administrativa como en vía judicial, por la no concurrencia del requisito establecido en su letra c), que exige que “el causante y el beneficiario hubieran tenido hijos comunes”.</w:t>
      </w:r>
    </w:p>
    <w:p w:rsidR="0026452D" w:rsidRDefault="0026452D" w:rsidP="0026452D">
      <w:pPr>
        <w:pStyle w:val="TextoNormal"/>
      </w:pPr>
    </w:p>
    <w:p w:rsidR="0026452D" w:rsidRDefault="0026452D" w:rsidP="0026452D">
      <w:pPr>
        <w:pStyle w:val="TextoNormal"/>
      </w:pPr>
      <w:r>
        <w:t>Pues bien, nuestra reciente STC 41/2013, de 14 de febrero, ha declarado que la citada exigencia constituye una directa vulneración del principio de igualdad ante la ley consagrado por el art. 14 CE, pues la diferencia de trato que se establece por la norma cuestionada entre parejas de hecho, en razón a que hubieran tenido o no hijos en común, no sólo no obedece a ninguna razón objetivamente justificada, relacionada con la propia esencia, fundamento o finalidad de la pensión de viudedad especial regulada en la referida disposición, sino que conduce además a un resultado desproporcionado, al impedir injustificadamente a determinados supérstites de parejas de hecho el acceso a la protección dispensada mediante dicha pensión, por ser de imposible cumplimiento (por razones biológicas o jurídicas) la exigencia de haber tenido hijos comunes (FJ 9).</w:t>
      </w:r>
    </w:p>
    <w:p w:rsidR="0026452D" w:rsidRDefault="0026452D" w:rsidP="0026452D">
      <w:pPr>
        <w:pStyle w:val="TextoNormal"/>
      </w:pPr>
    </w:p>
    <w:p w:rsidR="0026452D" w:rsidRDefault="0026452D" w:rsidP="0026452D">
      <w:pPr>
        <w:pStyle w:val="TextoNormal"/>
      </w:pPr>
      <w:r>
        <w:t>Por tanto, en la medida en que es esta concreta previsión la que ha determinado la denegación de la pretensión de la recurrente y que la misma ha sido declarada inconstitucional y nula por este Tribunal por vulnerar el derecho a la igualdad ante la ley (art. 14 CE), debe concluirse, sin necesidad de mayores argumentos, que en el presente caso ha de otorgarse el amparo solicitado por vulneración de dicho derecho fundamental.</w:t>
      </w:r>
    </w:p>
    <w:p w:rsidR="0026452D" w:rsidRDefault="0026452D" w:rsidP="0026452D">
      <w:pPr>
        <w:pStyle w:val="TextoNormal"/>
      </w:pPr>
    </w:p>
    <w:p w:rsidR="0026452D" w:rsidRDefault="0026452D" w:rsidP="0026452D">
      <w:pPr>
        <w:pStyle w:val="TextoNormal"/>
      </w:pPr>
      <w:r>
        <w:t xml:space="preserve">Encontrándonos, en realidad, ante un amparo de los contemplados en el art. 43 LOTC, toda vez que la vulneración del derecho a la igualdad se habría causado por la aplicación en </w:t>
      </w:r>
      <w:r>
        <w:lastRenderedPageBreak/>
        <w:t>la inicial resolución administrativa de una previsión legal que ha sido declarada inconstitucional, el restablecimiento de la recurrente en la integridad de su derecho exige la anulación de dicha resolución administrativa, así como la de las resoluciones judiciales que la confirmaron, y la retroacción de las actuaciones al momento anterior al de dictarse la misma, a fin de que por el órgano administrativo se dicte nueva resolución respetuosa con el derecho fundamental reconocido.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doña Iris Cuenca Cuenca y, en consecuencia,</w:t>
      </w:r>
    </w:p>
    <w:p w:rsidR="0026452D" w:rsidRDefault="0026452D" w:rsidP="0026452D">
      <w:pPr>
        <w:pStyle w:val="TextoNormal"/>
      </w:pPr>
    </w:p>
    <w:p w:rsidR="0026452D" w:rsidRDefault="0026452D" w:rsidP="0026452D">
      <w:pPr>
        <w:pStyle w:val="TextoNormal"/>
      </w:pPr>
      <w:r>
        <w:t>1º Reconocer que se ha vulnerado su derecho a la igualdad ante la ley (art. 14 CE).</w:t>
      </w:r>
    </w:p>
    <w:p w:rsidR="0026452D" w:rsidRDefault="0026452D" w:rsidP="0026452D">
      <w:pPr>
        <w:pStyle w:val="TextoNormal"/>
      </w:pPr>
    </w:p>
    <w:p w:rsidR="0026452D" w:rsidRDefault="0026452D" w:rsidP="0026452D">
      <w:pPr>
        <w:pStyle w:val="TextoNormal"/>
      </w:pPr>
      <w:r>
        <w:t>2º Restablecerle en su derecho y, a tal fin, anular las resoluciones del Instituto Nacional de la Seguridad Social de 13 de febrero y 2 de mayo de 2008, la Sentencia del Juzgado de lo Social núm. 31 de Barcelona de 29 de enero de 2009, dictada en autos 515-2008, sobre viudedad, y la Sentencia de la Sala de lo Social del Tribunal Superior de Justicia de Cataluña de 10 de septiembre de 2010, que desestimó el recurso de suplicación 3676-2009 interpuesto contra la anterior, así como, en la medida en que declaró la firmeza de esta última Sentencia, la del Auto de la Sala de lo Social del Tribunal Supremo de 8 de junio de 2011, dictado en el recurso de casación para la unificación de doctrina núm. 3919-2010.</w:t>
      </w:r>
    </w:p>
    <w:p w:rsidR="0026452D" w:rsidRDefault="0026452D" w:rsidP="0026452D">
      <w:pPr>
        <w:pStyle w:val="TextoNormal"/>
      </w:pPr>
    </w:p>
    <w:p w:rsidR="0026452D" w:rsidRDefault="0026452D" w:rsidP="0026452D">
      <w:pPr>
        <w:pStyle w:val="TextoNormal"/>
      </w:pPr>
      <w:r>
        <w:t>3º Retrotraer las actuaciones al momento inmediatamente anterior al dictado de la primera de las resoluciones administrativas indicadas, a fin de que por el Instituto Nacional de la Seguridad Social se dicte nueva resolución respetuosa con el derecho fundamental vulnerado.</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ocho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81" w:name="SENTENCIA_2013_78"/>
      <w:r>
        <w:lastRenderedPageBreak/>
        <w:t>SENTENCIA 78/2013, de 8 de abril de 2013</w:t>
      </w:r>
    </w:p>
    <w:bookmarkEnd w:id="81"/>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ECLI:ES:TC:2013:78</w:t>
      </w:r>
    </w:p>
    <w:p w:rsidR="0026452D" w:rsidRDefault="0026452D" w:rsidP="0026452D">
      <w:pPr>
        <w:pStyle w:val="SntesisDescriptiva"/>
      </w:pPr>
    </w:p>
    <w:p w:rsidR="0026452D" w:rsidRDefault="0026452D" w:rsidP="0026452D">
      <w:pPr>
        <w:pStyle w:val="SntesisDescriptiva"/>
      </w:pPr>
      <w:r>
        <w:t>Recurso de amparo 6915-2011. Promovido por don Jose Luis Villagordo Crego con respecto a las Sentencias de un Juzgado de lo Penal de Madrid y de la Audiencia Provincial que lo condenaron por un delito de lesiones.</w:t>
      </w:r>
    </w:p>
    <w:p w:rsidR="0026452D" w:rsidRDefault="0026452D" w:rsidP="0026452D">
      <w:pPr>
        <w:pStyle w:val="SntesisDescriptiva"/>
      </w:pPr>
    </w:p>
    <w:p w:rsidR="0026452D" w:rsidRDefault="0026452D" w:rsidP="0026452D">
      <w:pPr>
        <w:pStyle w:val="SntesisAnaltica"/>
      </w:pPr>
      <w:r>
        <w:t>Supuesta vulneración de los derechos a la tutela judicial efectiva (resolución fundada en Derecho) y a la presunción de inocencia: condena fundada en la incriminación sumarial válidamente reproducida en el juicio oral; inaplicación de la atenuante muy cualificada de dilaciones indebidas por la pasividad procesal del acusado.</w:t>
      </w:r>
    </w:p>
    <w:p w:rsidR="0026452D" w:rsidRDefault="0026452D" w:rsidP="0026452D">
      <w:pPr>
        <w:pStyle w:val="SntesisAnaltica"/>
      </w:pPr>
    </w:p>
    <w:p w:rsidR="0026452D" w:rsidRDefault="0026452D" w:rsidP="0026452D">
      <w:pPr>
        <w:pStyle w:val="Extracto"/>
      </w:pPr>
      <w:r>
        <w:t>1.</w:t>
      </w:r>
      <w:r>
        <w:tab/>
        <w:t>La presunción de inocencia opera como el derecho del acusado a no sufrir una condena a menos que la culpabilidad haya quedado establecida más allá de toda duda razonable, de forma que como regla presuntiva supone que el acusado llega al juicio como inocente y sólo puede salir de él como culpable si su primitiva condición es desvirtuada plenamente a partir de las pruebas aportadas por las acusaciones (SSTC 124/2001, 145/2005) [FJ 2].</w:t>
      </w:r>
    </w:p>
    <w:p w:rsidR="0026452D" w:rsidRDefault="0026452D" w:rsidP="0026452D">
      <w:pPr>
        <w:pStyle w:val="Extracto"/>
      </w:pPr>
    </w:p>
    <w:p w:rsidR="0026452D" w:rsidRDefault="0026452D" w:rsidP="0026452D">
      <w:pPr>
        <w:pStyle w:val="Extracto"/>
      </w:pPr>
      <w:r>
        <w:t>2.</w:t>
      </w:r>
      <w:r>
        <w:tab/>
        <w:t>La función de supervisión del Tribunal Constitucional en cuanto al razonamiento fáctico de condena expresado en la motivación de la sentencia penal, se limita a constatar la capacidad de las pruebas practicadas para generar en los juzgadores, más allá de toda duda razonable, la convicción sobre la concurrencia de los elementos del delito [FJ 2].</w:t>
      </w:r>
    </w:p>
    <w:p w:rsidR="0026452D" w:rsidRDefault="0026452D" w:rsidP="0026452D">
      <w:pPr>
        <w:pStyle w:val="Extracto"/>
      </w:pPr>
    </w:p>
    <w:p w:rsidR="0026452D" w:rsidRDefault="0026452D" w:rsidP="0026452D">
      <w:pPr>
        <w:pStyle w:val="Extracto"/>
      </w:pPr>
      <w:r>
        <w:t>3.</w:t>
      </w:r>
      <w:r>
        <w:tab/>
        <w:t>Aunque la decisión legal de prever como circunstancia atenuante de la responsabilidad penal determinados casos de dilaciones indebidas encuentra su fundamento en principios y valores constitucionales, este Tribunal ha descartado que forme parte del contenido del derecho a un proceso sin dilaciones indebidas la exoneración o atenuación de la responsabilidad penal prevista por la comisión del delito objeto del proceso en el que la dilación se ha producido (SSTC 381/1993, 295/1994) [FJ 3].</w:t>
      </w:r>
    </w:p>
    <w:p w:rsidR="0026452D" w:rsidRDefault="0026452D" w:rsidP="0026452D">
      <w:pPr>
        <w:pStyle w:val="Extracto"/>
      </w:pPr>
    </w:p>
    <w:p w:rsidR="0026452D" w:rsidRDefault="0026452D" w:rsidP="0026452D">
      <w:pPr>
        <w:pStyle w:val="Extracto"/>
      </w:pPr>
      <w:r>
        <w:t>4.</w:t>
      </w:r>
      <w:r>
        <w:tab/>
        <w:t>Constatada judicialmente la comisión del hecho delictivo y declarada la consiguiente responsabilidad penal de su autor, el mayor o menor retraso en la conclusión del proceso no afecta a ninguno de los extremos en que la condena se ha fundamentado, ni perjudica la realidad de la comisión del delito y las circunstancias determinantes de la responsabilidad criminal, dada la manifiesta desconexión entre las dilaciones indebidas y la realidad del ilícito y la responsabilidad, por lo que no cabe derivar de aquellas una consecuencia sobre éstas ni, desde luego, hacer derivar de las dilaciones la inejecución de la sentencia condenatoria [FJ 3].</w:t>
      </w:r>
    </w:p>
    <w:p w:rsidR="0026452D" w:rsidRDefault="0026452D" w:rsidP="0026452D">
      <w:pPr>
        <w:pStyle w:val="Extracto"/>
      </w:pPr>
    </w:p>
    <w:p w:rsidR="0026452D" w:rsidRDefault="0026452D" w:rsidP="0026452D">
      <w:pPr>
        <w:pStyle w:val="Extracto"/>
      </w:pPr>
      <w:r>
        <w:lastRenderedPageBreak/>
        <w:t>5.</w:t>
      </w:r>
      <w:r>
        <w:tab/>
        <w:t>No existe lesión del derecho a la tutela judicial efectiva por falta de motivación en un caso como el presente en el que, sin referencia alguna a la atenuante de dilaciones indebidas alegada, la pena impuesta fue la mínima legalmente prevista para el delito por el que el demandante había sido condenado, al apreciar que la referencia a la atenuante carecería de toda virtualidad dada la citada aplicación de la pena mínima [FJ 3].</w:t>
      </w:r>
    </w:p>
    <w:p w:rsidR="0026452D" w:rsidRDefault="0026452D" w:rsidP="0026452D">
      <w:pPr>
        <w:pStyle w:val="Extracto"/>
      </w:pPr>
    </w:p>
    <w:p w:rsidR="0026452D" w:rsidRDefault="0026452D" w:rsidP="0026452D">
      <w:pPr>
        <w:pStyle w:val="Extracto"/>
      </w:pPr>
      <w:r>
        <w:t>6.</w:t>
      </w:r>
      <w:r>
        <w:tab/>
        <w:t>La apreciación o no de la concurrencia de circunstancias eximentes o atenuantes de la responsabilidad es una cuestión de estricta legalidad penal cuya resolución corresponde a los órganos judiciales competentes, y cuyo control en esta sede se limita a comprobar que la respuesta de éstos sea suficientemente motivada y no arbitraria, irrazonable o patentemente errónea [FJ 3].</w:t>
      </w:r>
    </w:p>
    <w:p w:rsidR="0026452D" w:rsidRDefault="0026452D" w:rsidP="0026452D">
      <w:pPr>
        <w:pStyle w:val="Extracto"/>
      </w:pPr>
    </w:p>
    <w:p w:rsidR="0026452D" w:rsidRDefault="0026452D" w:rsidP="0026452D">
      <w:pPr>
        <w:pStyle w:val="Extracto"/>
      </w:pPr>
      <w:r>
        <w:t>7.</w:t>
      </w:r>
      <w:r>
        <w:tab/>
        <w:t>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[FJ 4].</w:t>
      </w:r>
    </w:p>
    <w:p w:rsidR="0026452D" w:rsidRDefault="0026452D" w:rsidP="0026452D">
      <w:pPr>
        <w:pStyle w:val="Extracto"/>
      </w:pPr>
    </w:p>
    <w:p w:rsidR="0026452D" w:rsidRDefault="0026452D" w:rsidP="0026452D">
      <w:pPr>
        <w:pStyle w:val="Extracto"/>
      </w:pPr>
      <w:r>
        <w:t>8.</w:t>
      </w:r>
      <w:r>
        <w:tab/>
        <w:t>Habiendo sido definida la dilación indebida por el legislador con base en diversos parámetros, su consideración como atenuante muy cualificada debe ser determinada por la jurisdicción ordinaria, por lo que habiendo tomado el órgano judicial en consideración la conducta pasiva del recurrente para descartar la apreciación muy cualificada de la misma, no puede afirmarse que la decisión sea fruto de un simple voluntarismo judicial o pueda calificarse con una mera apariencia de aplicación de la legalidad [FJ 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amparo núm. 6915-2011, promovido por don Jose Luis Villagordo Crego, representado por la Procuradora de los Tribunales doña Estrella Moyano Cabrera y asistido por el Letrado don Marcial Polo Rodríguez, contra la Sentencia núm. 386/2011, de 16 de septiembre, dictada por la Sección Tercera de la Audiencia Provincial de Madrid (rollo núm. 286-2011), desestimatoria del recurso de apelación presentado contra la Sentencia núm. 229/2011, de 27 de mayo, del Juzgado de lo Penal núm. 19 de Madrid, (juicio oral </w:t>
      </w:r>
      <w:r>
        <w:lastRenderedPageBreak/>
        <w:t>núm. 26-2010), que condenó al recurrente como autor de un delito de lesiones. Ha intervenido el Ministerio Fiscal. Ha sido Ponente el Magistrado don Francisco Pérez de los Cobos Orihuel,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Por escrito recibido en el Registro General de este Tribunal el 2 de diciembre de 2011, doña Estrella Moyano Cabrera, Procuradora de los Tribunales, actuando en nombre y representación procesal de don Jose Luis Villagordo Crego, interpuso recurso de amparo contra las resoluciones judiciales que se citan en el encabezamiento que le condenaron como autor de un delito de lesiones a la pena de dos años de prisión, accesoria de inhabilitación especial para el derecho de sufragio pasivo durante el tiempo de condena y a pagar 400 euros a la víctima, en concepto de responsabilidad civil.</w:t>
      </w:r>
    </w:p>
    <w:p w:rsidR="0026452D" w:rsidRDefault="0026452D" w:rsidP="0026452D">
      <w:pPr>
        <w:pStyle w:val="TextoNormal"/>
      </w:pPr>
    </w:p>
    <w:p w:rsidR="0026452D" w:rsidRDefault="0026452D" w:rsidP="0026452D">
      <w:pPr>
        <w:pStyle w:val="TextoNormal"/>
      </w:pPr>
      <w:r w:rsidRPr="0026452D">
        <w:rPr>
          <w:rStyle w:val="NumeroAFNegritaCaracter"/>
        </w:rPr>
        <w:t>2</w:t>
      </w:r>
      <w:r>
        <w:t>. Sintéticamente expuestos, los hechos en los que tiene su origen el presente recurso son los siguientes:</w:t>
      </w:r>
    </w:p>
    <w:p w:rsidR="0026452D" w:rsidRDefault="0026452D" w:rsidP="0026452D">
      <w:pPr>
        <w:pStyle w:val="TextoNormal"/>
      </w:pPr>
    </w:p>
    <w:p w:rsidR="0026452D" w:rsidRDefault="0026452D" w:rsidP="0026452D">
      <w:pPr>
        <w:pStyle w:val="TextoNormal"/>
      </w:pPr>
      <w:r>
        <w:t>a) Las actuaciones se iniciaron por atestado policial incoado el 4 de mayo de 2009. En él se daba cuenta de la detención del demandante por su supuesta participación en una disputa iniciada en el interior de una tienda y desarrollada después en la vía pública. Como consecuencia del enfrentamiento habían resultado lesionados, al menos, el detenido y una mujer de nacionalidad china, que presentaba un golpe en la cabeza.</w:t>
      </w:r>
    </w:p>
    <w:p w:rsidR="0026452D" w:rsidRDefault="0026452D" w:rsidP="0026452D">
      <w:pPr>
        <w:pStyle w:val="TextoNormal"/>
      </w:pPr>
    </w:p>
    <w:p w:rsidR="0026452D" w:rsidRDefault="0026452D" w:rsidP="0026452D">
      <w:pPr>
        <w:pStyle w:val="TextoNormal"/>
      </w:pPr>
      <w:r>
        <w:t>b) Dos días después de la detención, en su declaración ante el Juez de Instrucción, el demandante negó su participación en los hechos, afirmando haber sido agredido por un grupo de personas de nacionalidad china. Por el contrario, la víctima manifestó ante el Juez que había sido agredida por el demandante, al que identificó con plena seguridad en una diligencia de reconocimiento en rueda practicada ese mismo día. El Letrado del demandante asistió a ambas declaraciones y participó también en la diligencia de reconocimiento. El 10 de diciembre de 2009, concluida la fase de investigación, se remitieron las actuaciones al Decanato de los Juzgados para su reparto, a fin de que se procediera al enjuiciamiento de los hechos.</w:t>
      </w:r>
    </w:p>
    <w:p w:rsidR="0026452D" w:rsidRDefault="0026452D" w:rsidP="0026452D">
      <w:pPr>
        <w:pStyle w:val="TextoNormal"/>
      </w:pPr>
    </w:p>
    <w:p w:rsidR="0026452D" w:rsidRDefault="0026452D" w:rsidP="0026452D">
      <w:pPr>
        <w:pStyle w:val="TextoNormal"/>
      </w:pPr>
      <w:r>
        <w:t>c) El juicio oral se desarrolló quince meses después: el 16 de marzo de 2011. En sus conclusiones definitivas la defensa solicitó la absolución y, subsidiariamente, la apreciación, como muy cualificada, de la circunstancia atenuante de dilaciones indebidas recogida en el art. 21.6 del Código penal.</w:t>
      </w:r>
    </w:p>
    <w:p w:rsidR="0026452D" w:rsidRDefault="0026452D" w:rsidP="0026452D">
      <w:pPr>
        <w:pStyle w:val="TextoNormal"/>
      </w:pPr>
    </w:p>
    <w:p w:rsidR="0026452D" w:rsidRDefault="0026452D" w:rsidP="0026452D">
      <w:pPr>
        <w:pStyle w:val="TextoNormal"/>
      </w:pPr>
      <w:r>
        <w:t>d) El relato de hechos probados de la Sentencia condenatoria declaró que sobre las 23:30 horas del 4 de mayo de 2009, en el establecimiento comercial de los padres de la denunciante, el Sr. Villagordo le golpeó en la cabeza con un palo de madera de dos metros de longitud, causándole una herida en cuero cabelludo, que requirió para su sanidad asistencia facultativa y puntos de sutura; la herida tardó siete días en curar, sin secuelas.</w:t>
      </w:r>
    </w:p>
    <w:p w:rsidR="0026452D" w:rsidRDefault="0026452D" w:rsidP="0026452D">
      <w:pPr>
        <w:pStyle w:val="TextoNormal"/>
      </w:pPr>
    </w:p>
    <w:p w:rsidR="0026452D" w:rsidRDefault="0026452D" w:rsidP="0026452D">
      <w:pPr>
        <w:pStyle w:val="TextoNormal"/>
      </w:pPr>
      <w:r>
        <w:t xml:space="preserve">e) Según exponen las Sentencias cuestionadas, la afirmación de hechos que dio lugar a la condena se basa en la lectura en el plenario de la declaración sumarial de la víctima, debido a que no pudo ser interrogada contradictoriamente en el juicio oral por hallarse en </w:t>
      </w:r>
      <w:r>
        <w:lastRenderedPageBreak/>
        <w:t>paradero desconocido. Dicha declaración, prestada en presencia del Letrado del demandante, en cuanto identificaba al demandante como autor de la agresión, se consideró ratificada por el resultado positivo de la diligencia sumarial de reconocimiento en rueda y avalada por la testifical de referencia de los agentes policiales que acudieron a mediar en la disputa y narraron que, en ese momento y lugar, la perjudicada identificó al detenido como autor de la agresión. A lo expuesto se suma el parte de asistencia médica, que da cuenta de las lesiones por las que la víctima fue atendida.</w:t>
      </w:r>
    </w:p>
    <w:p w:rsidR="0026452D" w:rsidRDefault="0026452D" w:rsidP="0026452D">
      <w:pPr>
        <w:pStyle w:val="TextoNormal"/>
      </w:pPr>
    </w:p>
    <w:p w:rsidR="0026452D" w:rsidRDefault="0026452D" w:rsidP="0026452D">
      <w:pPr>
        <w:pStyle w:val="TextoNormal"/>
      </w:pPr>
      <w:r>
        <w:t>La declaración sumarial (págs. 37 y 38) recoge, literalmente, lo siguiente: “Que se afirma y ratifica en la declaración que prestó el 5 de mayo del presente en la comisaría de la policía de Usera-Villaverde. A preguntas del Letrado de la defensa manifiesta que le agredió sólo una persona aunque iban otras personas con él. … que primero entró sólo esa persona a comprar cerveza, y al salir rompió la puerta del local, y había más gente en la plaza, y como le vio romper la puerta, salió para llamarle la atención, y le agredió con un palo en la cabeza. No sabe si la persona que le agredió, que está segura de que era la que la policía detuvo cuando llegó, era la misma que había entrado al local y rompió el cristal, porque en ese momento la dicente no está dentro del local, estaba su madre. Manifiesta que el color del pelo de la persona que le agredió era moreno con pelo muy corto. No se fijó si llevaba tatuaje, pero llevaba una camiseta sin mangas. No sabe si tenía tatuajes porque vino hacia ella muy rápido. También estaban allí los padres de la dicente que estaban discutiendo con la persona que había entrado a comprar cerveza. Preguntada si sus padres o amigos pegaron al agresor de la dicente manifiesta que no, que sólo para apartarles y defenderla a ella, y además para agarrarle y que no se fuera.”</w:t>
      </w:r>
    </w:p>
    <w:p w:rsidR="0026452D" w:rsidRDefault="0026452D" w:rsidP="0026452D">
      <w:pPr>
        <w:pStyle w:val="TextoNormal"/>
      </w:pPr>
    </w:p>
    <w:p w:rsidR="0026452D" w:rsidRDefault="0026452D" w:rsidP="0026452D">
      <w:pPr>
        <w:pStyle w:val="TextoNormal"/>
      </w:pPr>
      <w:r w:rsidRPr="0026452D">
        <w:rPr>
          <w:rStyle w:val="NumeroAFNegritaCaracter"/>
        </w:rPr>
        <w:t>3</w:t>
      </w:r>
      <w:r>
        <w:t>. En su demanda, el recurrente invoca como vulnerados los derechos fundamentales a la presunción de inocencia y a la tutela judicial efectiva sin indefensión (arts. 24.1 y 2 CE).</w:t>
      </w:r>
    </w:p>
    <w:p w:rsidR="0026452D" w:rsidRDefault="0026452D" w:rsidP="0026452D">
      <w:pPr>
        <w:pStyle w:val="TextoNormal"/>
      </w:pPr>
    </w:p>
    <w:p w:rsidR="0026452D" w:rsidRDefault="0026452D" w:rsidP="0026452D">
      <w:pPr>
        <w:pStyle w:val="TextoNormal"/>
      </w:pPr>
      <w:r>
        <w:t>a) La alegada vulneración del derecho a la presunción de inocencia se asocia a la supuesta inexistencia de prueba de cargo suficiente. Se considera que el contenido de la declaración sumarial de la que fue declarada víctima del hecho no permite extraer como conclusión la autoría del demandante dado que es contradictorio en sí mismo y lo es, también, con la primera manifestación de la misma que los agentes de policía recogieron en el atestado; a lo que se suma la imposibilidad jurídica de valorar como prueba de cargo la identificación sumarial en rueda de reconocimiento. Se alega también que el demandante ha negado siempre su participación en el hecho, y que su versión, según la cual fue agredido por varios ciudadanos chinos que le debieron confundir con otra persona, está avalada por el parte médico que recoge las lesiones que se le observaron durante la detención. Como consecuencia de esta pretensión solicita la nulidad de la Sentencia condenatoria y de la que la ratificó en apelación.</w:t>
      </w:r>
    </w:p>
    <w:p w:rsidR="0026452D" w:rsidRDefault="0026452D" w:rsidP="0026452D">
      <w:pPr>
        <w:pStyle w:val="TextoNormal"/>
      </w:pPr>
    </w:p>
    <w:p w:rsidR="0026452D" w:rsidRDefault="0026452D" w:rsidP="0026452D">
      <w:pPr>
        <w:pStyle w:val="TextoNormal"/>
      </w:pPr>
      <w:r>
        <w:t xml:space="preserve">b) Destaca el demandante que el proceso transcurrió sin demora durante la fase de instrucción y la fase intermedia, pero permaneció paralizado desde primeros de diciembre de 2009, fecha en que se acordó su remisión al Decanato para reparto, hasta febrero de 2011, fecha en la que el Juzgado de lo Penal núm. 19, competente para enjuiciar la causa, admitió las pruebas propuestas por acusación y defensa y señaló la vista oral de la causa. Incide en que no pudo denunciar la injustificada demora antes del juicio oral porque no había sido designado el Juzgado encargado del enjuiciamiento. Considera además que, para apreciar </w:t>
      </w:r>
      <w:r>
        <w:lastRenderedPageBreak/>
        <w:t>la concurrencia de una atenuante de dilaciones indebidas, no es necesario haberlas denunciado previamente ante el Juzgado responsable de las mismas, por lo que tal exigencia judicial es arbitraria por no estar prevista en el Código penal al definir la atenuante. Afirma que el órgano judicial confunde la doctrina fijada por el Tribunal Constitucional al determinar el contenido constitucional del derecho a no padecer dilaciones indebidas con los requisitos legales de la atenuante invocada. Tras considerar que en este aspecto la resolución condenatoria no es fundada en Derecho, sino arbitraria, solicita se declare la vulneración del derecho a la tutela judicial efectiva, a fin de que la Sala dicte una nueva resolución respetuosa con el derecho alegado.</w:t>
      </w:r>
    </w:p>
    <w:p w:rsidR="0026452D" w:rsidRDefault="0026452D" w:rsidP="0026452D">
      <w:pPr>
        <w:pStyle w:val="TextoNormal"/>
      </w:pPr>
    </w:p>
    <w:p w:rsidR="0026452D" w:rsidRDefault="0026452D" w:rsidP="0026452D">
      <w:pPr>
        <w:pStyle w:val="TextoNormal"/>
      </w:pPr>
      <w:r w:rsidRPr="0026452D">
        <w:rPr>
          <w:rStyle w:val="NumeroAFNegritaCaracter"/>
        </w:rPr>
        <w:t>4</w:t>
      </w:r>
      <w:r>
        <w:t>. En la propia demanda se solicitó la suspensión de la ejecución de las resoluciones recurridas, de conformidad con lo dispuesto en el art. 56 de la Ley Orgánica del Tribunal Constitucional (LOTC). Concluida la tramitación de la pieza separada correspondiente, por ATC 203/2012, de 29 de octubre, la Sala acordó suspender la ejecución de la pena privativa de libertad impuesta.</w:t>
      </w:r>
    </w:p>
    <w:p w:rsidR="0026452D" w:rsidRDefault="0026452D" w:rsidP="0026452D">
      <w:pPr>
        <w:pStyle w:val="TextoNormal"/>
      </w:pPr>
    </w:p>
    <w:p w:rsidR="0026452D" w:rsidRDefault="0026452D" w:rsidP="0026452D">
      <w:pPr>
        <w:pStyle w:val="TextoNormal"/>
      </w:pPr>
      <w:r>
        <w:t>Antes, mediante providencia de 16 de julio de 2012, la Sala Segunda había acordado la admisión a trámite de la demanda así como, a tenor de lo establecido en el art. 51 LOTC, requerir a la Audiencia Provincial de Madrid (Sección Tercera) para que remitiera testimonio de las actuaciones correspondientes al rollo de Sala núm. 286-2011. En el mismo sentido se ofició al Juzgado de lo Penal núm. 19 de Madrid (juicio oral núm. 26-2011), interesando al mismo tiempo que se emplazara a quienes fueron parte en el procedimiento, a excepción del demandante de amparo, para que en el plazo de diez días pudiesen comparecer en el proceso de amparo.</w:t>
      </w:r>
    </w:p>
    <w:p w:rsidR="0026452D" w:rsidRDefault="0026452D" w:rsidP="0026452D">
      <w:pPr>
        <w:pStyle w:val="TextoNormal"/>
      </w:pPr>
    </w:p>
    <w:p w:rsidR="0026452D" w:rsidRDefault="0026452D" w:rsidP="0026452D">
      <w:pPr>
        <w:pStyle w:val="TextoNormal"/>
      </w:pPr>
      <w:r w:rsidRPr="0026452D">
        <w:rPr>
          <w:rStyle w:val="NumeroAFNegritaCaracter"/>
        </w:rPr>
        <w:t>5</w:t>
      </w:r>
      <w:r>
        <w:t>. Por diligencia de ordenación de 8 de noviembre de 2012, la Secretaría de Justicia acordó dar vista de las actuaciones recibidas al recurrente y al Ministerio Fiscal, por plazo común de veinte días, a fin de que pudieran presentar las alegaciones que estimaran pertinentes, de conformidad con lo dispuesto en el art. 52.1 LOTC.</w:t>
      </w:r>
    </w:p>
    <w:p w:rsidR="0026452D" w:rsidRDefault="0026452D" w:rsidP="0026452D">
      <w:pPr>
        <w:pStyle w:val="TextoNormal"/>
      </w:pPr>
    </w:p>
    <w:p w:rsidR="0026452D" w:rsidRDefault="0026452D" w:rsidP="0026452D">
      <w:pPr>
        <w:pStyle w:val="TextoNormal"/>
      </w:pPr>
      <w:r w:rsidRPr="0026452D">
        <w:rPr>
          <w:rStyle w:val="NumeroAFNegritaCaracter"/>
        </w:rPr>
        <w:t>6</w:t>
      </w:r>
      <w:r>
        <w:t>. El 27 de noviembre siguiente presentó el recurrente sus alegaciones. En ellas ratificó íntegramente el contenido de la demanda.</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El Ministerio Fiscal formuló sus alegaciones mediante escrito registrado el día 17 de diciembre de 2012. En él solicita la estimación de la solicitud de amparo que denuncia la vulneración del derecho a la presunción de inocencia. Entiende que, dado el tenor literal de la transcripción documentada de las manifestaciones sumariales de la víctima (que es la prueba tomada en consideración para justificar la condena), no podían inferirse de modo razonable los hechos que se han tenido por acreditados, por lo que, en este aspecto, es insuficiente la motivación fáctica de la decisión de condena. En su opinión, ni de la declaración en fase sumarial en la que ratifica lo expuesto ante la policía, ni del resto de la prueba practicada, puede extraerse un relato coherente sobre lo acaecido, dadas las erráticas declaraciones de la denunciante que hizo un relato de los hechos que, a continuación, desmintió parcialmente, sin que la juzgadora haya motivado en forma alguna por qué las manifestaciones incriminatorias deben tenerse por veraces y no aquellas otras que, a renglón seguido, desmienten en parte lo narrado. En tal medida se considera insuficiente el razonamiento que conduce de la prueba al hecho probado. Dicho déficit tampoco habría sido subsanado por la </w:t>
      </w:r>
      <w:r>
        <w:lastRenderedPageBreak/>
        <w:t>Audiencia Provincial al resolver el recurso de apelación pues, de nuevo, omite toda referencia a las contradicciones en que habría incurrido la víctima, y sus apreciaciones sobre los testimonios de los agentes policiales no recogen tampoco las contradicciones existentes entre las versiones que, sobre su participación en la detención, ofrecieron en el juicio oral.</w:t>
      </w:r>
    </w:p>
    <w:p w:rsidR="0026452D" w:rsidRDefault="0026452D" w:rsidP="0026452D">
      <w:pPr>
        <w:pStyle w:val="TextoNormal"/>
      </w:pPr>
    </w:p>
    <w:p w:rsidR="0026452D" w:rsidRDefault="0026452D" w:rsidP="0026452D">
      <w:pPr>
        <w:pStyle w:val="TextoNormal"/>
      </w:pPr>
      <w:r>
        <w:t>Considera, por el contrario, que no se ha vulnerado el derecho a la tutela judicial efectiva en relación con la alegada concurrencia, como muy cualificada, de la atenuante de dilaciones indebidas (art. 21.6 del Código penal). Destaca en sus alegaciones que, en el recurso de apelación, el demandante se limitó a señalar que habían transcurrido dos años desde que sucedieron los hechos hasta que se dictó Sentencia en primera instancia y a denunciar que, en dicha resolución, no se hizo pronunciamiento alguno sobre la atenuante cuya apreciación había sido solicitada durante el juicio oral, afirmando que si se le había condenado a la pena de dos años de prisión sin tener en cuenta la atenuante, al apreciar la misma debería sustituirse la pena impuesta por otra de un año de duración. A la vista del suplico del recurso de apelación, la Sala de apelación entendió que en él se solicitaba la apreciación de la atenuante como muy cualificada, pues únicamente la estimación de dicha pretensión permitiría rebajar un grado la pena impuesta, tal y como se solicitaba. Dicha solicitud, así entendida, fue desestimada. Sólo la posterior solicitud de nulidad de actuaciones presentada contra la Sentencia de apelación permitiría entender cabalmente el sentido de este razonamiento impugnatorio que, debido a su parquedad, llevó a la Sala a considerar que la petición de apelación pretendía que se apreciara la atenuante como muy cualificada: la solicitud de nulidad del demandante se había apoyado en la idea equivocada de que la pena imponible al demandante por el hecho por el que había sido condenado era la de prisión de seis meses a tres años (art. 147.1 del Código penal), en vez de la correspondiente al subtipo agravado realmente apreciado, de dos a cinco años de prisión (art. 148.1 del Código penal); razón ésta por la que el recurrente reclamaba la imposición en su mitad inferior (de seis a veintiún meses) de la pena que entendía prevista para el hecho por el que fue condenado.</w:t>
      </w:r>
    </w:p>
    <w:p w:rsidR="0026452D" w:rsidRDefault="0026452D" w:rsidP="0026452D">
      <w:pPr>
        <w:pStyle w:val="TextoNormal"/>
      </w:pPr>
    </w:p>
    <w:p w:rsidR="0026452D" w:rsidRDefault="0026452D" w:rsidP="0026452D">
      <w:pPr>
        <w:pStyle w:val="TextoNormal"/>
      </w:pPr>
      <w:r>
        <w:t>Para el Ministerio Fiscal la respuesta negativa que el demandante recibió en apelación sobre la concurrencia, como muy cualificada, de la atenuante de dilaciones indebidas no vulnera su derecho a la tutela judicial efectiva por tres razones: para justificar su impugnación incluyó las demoras acaecidas en la fase de instrucción pese a que, durante la misma, estuvo algún tiempo en paradero desconocido; el órgano judicial se atuvo a la doctrina del Tribunal Constitucional y del Tribunal Supremo sobre la circunstancia de que se trataba y por último, si su pretensión era que, en la individualización de la pena, la dilación se apreciara como atenuante simple, la misma carecía de toda practicidad debido a que había sido condenado en la instancia a la pena mínima imponible por el hecho imputado.</w:t>
      </w:r>
    </w:p>
    <w:p w:rsidR="0026452D" w:rsidRDefault="0026452D" w:rsidP="0026452D">
      <w:pPr>
        <w:pStyle w:val="TextoNormal"/>
      </w:pPr>
    </w:p>
    <w:p w:rsidR="0026452D" w:rsidRDefault="0026452D" w:rsidP="0026452D">
      <w:pPr>
        <w:pStyle w:val="TextoNormal"/>
      </w:pPr>
      <w:r>
        <w:t>Por todo lo expuesto, solicita el otorgamiento del amparo exclusivamente por vulneración del derecho a la presunción de inocencia y, como consecuencia, la nulidad de las Sentencias condenatorias.</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fecha 4 de abril de 2013 se señaló para deliberación y votación de la presente Sentencia el día 8 del mismo mes y año.</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La solicitud de amparo se dirige contra la Sentencia dictada por el Juzgado de lo Penal núm. 19 de Madrid, ratificada en apelación por la Sección Tercera de la Audiencia Provincial, por la que, tras ser declarado autor de un delito de lesiones (arts. 147.1 y 148.1 del Código penal), se condenó al demandante de amparo a la pena de dos años de prisión, con la accesoria de inhabilitación especial para el derecho de sufragio pasivo durante el tiempo de condena y al pago de 400 euros a la víctima, en concepto de responsabilidad civil.</w:t>
      </w:r>
    </w:p>
    <w:p w:rsidR="0026452D" w:rsidRDefault="0026452D" w:rsidP="0026452D">
      <w:pPr>
        <w:pStyle w:val="TextoNormal"/>
      </w:pPr>
    </w:p>
    <w:p w:rsidR="0026452D" w:rsidRDefault="0026452D" w:rsidP="0026452D">
      <w:pPr>
        <w:pStyle w:val="TextoNormal"/>
      </w:pPr>
      <w:r>
        <w:t>Tal y como más extensamente se ha expuesto en los antecedentes de esta resolución, se denuncia en la demanda que la condena impuesta vulnera los derechos fundamentales a la presunción de inocencia, por inexistencia de prueba de cargo, y a la tutela judicial efectiva en cuanto garantiza como respuesta judicial una resolución fundada en Derecho (arts. 24.1 y 2 CE). Esta segunda queja se refiere sólo a la Sentencia de apelación, a la que se imputa haber desestimado con un razonamiento arbitrario la apreciación de la circunstancia atenuante de dilaciones indebidas recogida en el art. 21.6 del Código penal.</w:t>
      </w:r>
    </w:p>
    <w:p w:rsidR="0026452D" w:rsidRDefault="0026452D" w:rsidP="0026452D">
      <w:pPr>
        <w:pStyle w:val="TextoNormal"/>
      </w:pPr>
    </w:p>
    <w:p w:rsidR="0026452D" w:rsidRDefault="0026452D" w:rsidP="0026452D">
      <w:pPr>
        <w:pStyle w:val="TextoNormal"/>
      </w:pPr>
      <w:r w:rsidRPr="0026452D">
        <w:rPr>
          <w:rStyle w:val="NumeroAFNegritaCaracter"/>
        </w:rPr>
        <w:t>2</w:t>
      </w:r>
      <w:r>
        <w:t>. Iniciaremos nuestro análisis por el juicio fáctico que ha dado lugar a la condena del demandante, según el cual agredió en una disputa a una mujer, con un palo de dos metros de longitud, causándole una lesión que tardó siete días en curar sin dejar secuelas. El demandante, con el apoyo del Ministerio Fiscal, considera que dicha imputación de hechos vulnera su presunción de inocencia como regla de juicio porque, debido a las contradicciones que aparecen en su transcripción documentada, no puede ser considerado de cargo el contenido incriminatorio de la declaración de la víctima prestada en fase sumarial, que accedió al juicio oral a través de su lectura dado que la misma no pudo ser convocada al plenario porque se hallaba en paradero desconocido.</w:t>
      </w:r>
    </w:p>
    <w:p w:rsidR="0026452D" w:rsidRDefault="0026452D" w:rsidP="0026452D">
      <w:pPr>
        <w:pStyle w:val="TextoNormal"/>
      </w:pPr>
    </w:p>
    <w:p w:rsidR="0026452D" w:rsidRDefault="0026452D" w:rsidP="0026452D">
      <w:pPr>
        <w:pStyle w:val="TextoNormal"/>
      </w:pPr>
      <w:r>
        <w:t>La queja expuesta no se refiere a la carga de la prueba, ni al modo de practicarse la misma, sino a la supuesta falta de racionalidad de su valoración (que se califica como ilógica) y a su plasmación en la motivación de la condena (que se denuncia como insuficiente porque no explica las contradicciones detectadas en la declaración sumarial de la víctima).</w:t>
      </w:r>
    </w:p>
    <w:p w:rsidR="0026452D" w:rsidRDefault="0026452D" w:rsidP="0026452D">
      <w:pPr>
        <w:pStyle w:val="TextoNormal"/>
      </w:pPr>
    </w:p>
    <w:p w:rsidR="0026452D" w:rsidRDefault="0026452D" w:rsidP="0026452D">
      <w:pPr>
        <w:pStyle w:val="TextoNormal"/>
      </w:pPr>
      <w:r>
        <w:t>El examen de la motivación de la decisión de condena y su contraste con el contenido directamente incriminatorio de la declaración sumarial de la víctima que, en efecto, fue decisiva en su justificación, permite señalar que la queja no pueda ser estimada pues, no siendo relevantes para la formación de la convicción judicial las contradicciones que se denuncian, se reclama de este Tribunal la realización de un juicio sobre la credibilidad del testimonio incriminatorio de la víctima que excede de los límites de la jurisdicción de amparo [SSTC 145/2005, de 6 de junio, FJ 5 y 57/2013, de 11 de marzo, FJ 6 a)].</w:t>
      </w:r>
    </w:p>
    <w:p w:rsidR="0026452D" w:rsidRDefault="0026452D" w:rsidP="0026452D">
      <w:pPr>
        <w:pStyle w:val="TextoNormal"/>
      </w:pPr>
    </w:p>
    <w:p w:rsidR="0026452D" w:rsidRDefault="0026452D" w:rsidP="0026452D">
      <w:pPr>
        <w:pStyle w:val="TextoNormal"/>
      </w:pPr>
      <w:r>
        <w:t xml:space="preserve">Desde sus primeras resoluciones este Tribunal ha delimitado y distinguido el contenido del derecho a la presunción de inocencia y los límites a los que la jurisdicción de amparo se encuentra sometida cuando ejerce su función de protección del derecho supervisando que la actividad judicial que desemboca en la condena de un acusado se haya llevado a cabo con respeto a las reglas que la integran (STC 124/2001, de 4 de junio, FJ 9). En cuanto a su contenido como regla de juicio hemos reiterado, así, que “la presunción de inocencia ... opera, en el ámbito de la jurisdicción ordinaria, como el derecho del acusado a no sufrir una </w:t>
      </w:r>
      <w:r>
        <w:lastRenderedPageBreak/>
        <w:t>condena a menos que la culpabilidad haya quedado establecida más allá de toda duda razonable” (STC 81/1998, de 2 de abril, FJ 2), de forma que como regla presuntiva supone que “el acusado llega al juicio como inocente y sólo puede salir de él como culpable si su primitiva condición es desvirtuada plenamente a partir de las pruebas aportadas por las acusaciones” (SSTC 124/2001, de 4 de junio, FJ 9 y 145/2005, FJ 5).</w:t>
      </w:r>
    </w:p>
    <w:p w:rsidR="0026452D" w:rsidRDefault="0026452D" w:rsidP="0026452D">
      <w:pPr>
        <w:pStyle w:val="TextoNormal"/>
      </w:pPr>
    </w:p>
    <w:p w:rsidR="0026452D" w:rsidRDefault="0026452D" w:rsidP="0026452D">
      <w:pPr>
        <w:pStyle w:val="TextoNormal"/>
      </w:pPr>
      <w:r>
        <w:t>Pero también hemos destacado en numerosas ocasiones los citados límites señalando que “esta jurisdicción carece de competencia para la valoración de la actividad probatoria practicada en un proceso penal y para la evaluación de dicha valoración conforme a criterios de calidad o de oportunidad” pues “ni la Constitución nos atribuye tales tareas ... ni el proceso constitucional permite el conocimiento preciso y completo de la actividad probatoria, ni prevé las garantías necesarias de publicidad, oralidad, inmediación y contradicción que deben rodear dicho conocimiento para la adecuada valoración de las pruebas” (STC 189/1998, de 28 de septiembre, FJ 2). En palabras de la STC 268/2000, de 27 de noviembre, nuestra función de supervisión externa del razonamiento fáctico de condena expresado en la motivación se limita a constatar “la capacidad de las pruebas practicadas para generar en los juzgadores, más allá de toda duda razonable, la convicción sobre la concurrencia de los elementos del delito” (FJ 9), descartando así las inferencias probatorias que se apartan de las reglas de la lógica, la ciencia y la experiencia (SSTC 245/2007, de 10 de diciembre, FJ 5 y 12/2011, de 28 de febrero, FJ 6).</w:t>
      </w:r>
    </w:p>
    <w:p w:rsidR="0026452D" w:rsidRDefault="0026452D" w:rsidP="0026452D">
      <w:pPr>
        <w:pStyle w:val="TextoNormal"/>
      </w:pPr>
    </w:p>
    <w:p w:rsidR="0026452D" w:rsidRDefault="0026452D" w:rsidP="0026452D">
      <w:pPr>
        <w:pStyle w:val="TextoNormal"/>
      </w:pPr>
      <w:r>
        <w:t>La aplicación de estos criterios y límites a las decisiones de condena permite constatar que, en su declaración sumarial, válidamente reproducida en el juicio oral, la victima incriminó directamente al demandante como autor del hecho, al precisar que una sola persona, a la que acompañaban otras, le agredió con un palo en la cabeza cuando le llamó la atención por un anterior incidente que había ocurrido en la tienda de sus padres. Y añadió que estaba segura de que la persona que le agredió era la misma que la policía detuvo cuando llegó al lugar. El carácter directo de dicha incriminación no puede ser razonablemente cuestionado si se toma en consideración que, instantes después, en presencia judicial y del Letrado del demandante, confirmó su identificación en una diligencia de reconocimiento en rueda.</w:t>
      </w:r>
    </w:p>
    <w:p w:rsidR="0026452D" w:rsidRDefault="0026452D" w:rsidP="0026452D">
      <w:pPr>
        <w:pStyle w:val="TextoNormal"/>
      </w:pPr>
    </w:p>
    <w:p w:rsidR="0026452D" w:rsidRDefault="0026452D" w:rsidP="0026452D">
      <w:pPr>
        <w:pStyle w:val="TextoNormal"/>
      </w:pPr>
      <w:r>
        <w:t xml:space="preserve">Es cierto que la lectura aislada de algunos pasajes de la transcripción de la declaración —recogida íntegramente en el antecedente 2, letra e) de esta resolución— permite constatar la aparente contradicción a que se refiere el demandante y el Ministerio Fiscal, pues en un primer momento se transcribe que la declarante manifiesta que vio al demandante entrar en la tienda de sus padres y romper el cristal de la puerta, razón ésta por la que le llamó la atención momentos antes de ser agredida. Sin embargo, más adelante, a preguntas del Letrado del demandante, aclara lo expuesto manifestando que no sabe si el autor de la agresión es el mismo que rompió el cristal porque no estaba en el interior del local cuando sucedieron los hechos; pero distingue nítidamente entre la persona que rompió el cristal, con la que sus padres discutían en la calle, y la que le agredió, de la que detalla su aspecto físico y vestimenta. Y añade que sus familiares y amigos retuvieron al agresor para que no huyera. Dicha manifestación, complementada por la posterior diligencia de reconocimiento en rueda que refuerza la identificación del demandante como agresor, constituye suficiente prueba de cargo válidamente obtenida que permite dar por desvirtuada la presunción de inocencia pues, como ya se anticipó, no solo es directa y expresamente incriminatoria sino que la contradicción denunciada no se refiere a la identificación del agresor, sino al momento precedente, es decir, a la cuestión sobre si fue o no el agresor quien al salir del local rompió la </w:t>
      </w:r>
      <w:r>
        <w:lastRenderedPageBreak/>
        <w:t>puerta de la tienda, hecho éste posteriormente aclarado, que es materialmente irrelevante para justificar y decidir sobre su autoría.</w:t>
      </w:r>
    </w:p>
    <w:p w:rsidR="0026452D" w:rsidRDefault="0026452D" w:rsidP="0026452D">
      <w:pPr>
        <w:pStyle w:val="TextoNormal"/>
      </w:pPr>
    </w:p>
    <w:p w:rsidR="0026452D" w:rsidRDefault="0026452D" w:rsidP="0026452D">
      <w:pPr>
        <w:pStyle w:val="TextoNormal"/>
      </w:pPr>
      <w:r>
        <w:t>Todo lo cual permite apreciar que la condena se apoya en pruebas de cargo que permiten dar por desvirtuada la presunción de inocencia.</w:t>
      </w:r>
    </w:p>
    <w:p w:rsidR="0026452D" w:rsidRDefault="0026452D" w:rsidP="0026452D">
      <w:pPr>
        <w:pStyle w:val="TextoNormal"/>
      </w:pPr>
    </w:p>
    <w:p w:rsidR="0026452D" w:rsidRDefault="0026452D" w:rsidP="0026452D">
      <w:pPr>
        <w:pStyle w:val="TextoNormal"/>
      </w:pPr>
      <w:r w:rsidRPr="0026452D">
        <w:rPr>
          <w:rStyle w:val="NumeroAFNegritaCaracter"/>
        </w:rPr>
        <w:t>3</w:t>
      </w:r>
      <w:r>
        <w:t>. Denuncia también el demandante que las resoluciones judiciales por las que ha sido condenado vulneran su derecho a la tutela judicial efectiva. Considera que la respuesta recibida de los órganos judiciales no es fundada en Derecho dado que, con un razonamiento arbitrario, no apreció en su caso la concurrencia de la atenuante de dilaciones indebidas, introducida en el Código penal (art. 21.6) en la reforma operada por la Ley Orgánica 5/2010, de 22 de junio, ya en vigor cuando los hechos fueron enjuiciados. Según se establece en el precepto citado, es circunstancia atenuante: “La dilación extraordinaria e indebida en la tramitación del procedimiento, siempre que no sea atribuible al propio inculpado y que no guarde proporción con la complejidad de la causa.”</w:t>
      </w:r>
    </w:p>
    <w:p w:rsidR="0026452D" w:rsidRDefault="0026452D" w:rsidP="0026452D">
      <w:pPr>
        <w:pStyle w:val="TextoNormal"/>
      </w:pPr>
    </w:p>
    <w:p w:rsidR="0026452D" w:rsidRDefault="0026452D" w:rsidP="0026452D">
      <w:pPr>
        <w:pStyle w:val="TextoNormal"/>
      </w:pPr>
      <w:r>
        <w:t>La Sentencia de instancia no apreció la circunstancia atenuante, pese a lo cual impuso la pena prevista para el delito en su cuantía mínima (dos años de prisión). La Sentencia de apelación descartó que concurriese como muy cualificada dada la pasiva actitud procesal del demandante que nunca antes denunció ante los órganos judiciales la paralización de la causa. En la demanda se afirma que la no apreciación en apelación de la alegada atenuante se apoya en una confusión que ha dado lugar a una arbitrariedad en la aplicación judicial de la ley, porque se ha justificado en el incumplimiento de los requisitos que, de forma más rigurosa, se exigen en la doctrina de este Tribunal para poder apreciar en un proceso de amparo la vulneración del derecho fundamental a no padecer dilaciones indebidas. En su opinión, con tal razonamiento se habría desatendido la decisión legislativa que, a través de la atenuante, amplia y desarrolla este principio general en favor del acusado.</w:t>
      </w:r>
    </w:p>
    <w:p w:rsidR="0026452D" w:rsidRDefault="0026452D" w:rsidP="0026452D">
      <w:pPr>
        <w:pStyle w:val="TextoNormal"/>
      </w:pPr>
    </w:p>
    <w:p w:rsidR="0026452D" w:rsidRDefault="0026452D" w:rsidP="0026452D">
      <w:pPr>
        <w:pStyle w:val="TextoNormal"/>
      </w:pPr>
      <w:r>
        <w:t>El carácter novedoso de la atenuante (justificada en la exposición de motivos de la ley penal en la simple necesidad de recoger los elementos fundamentales de la jurisprudencia anterior del Tribunal Supremo, que había construido esta circunstancia como atenuante por analogía) y la supuesta relación, que el demandante da por existente, entre la decisión legislativa de admitir en algunos casos de dilación procesal la atenuación de la pena y el contenido del derecho fundamental a no padecer dilaciones indebidas, expresan la trascendencia constitucional de esta pretensión de amparo.</w:t>
      </w:r>
    </w:p>
    <w:p w:rsidR="0026452D" w:rsidRDefault="0026452D" w:rsidP="0026452D">
      <w:pPr>
        <w:pStyle w:val="TextoNormal"/>
      </w:pPr>
    </w:p>
    <w:p w:rsidR="0026452D" w:rsidRDefault="0026452D" w:rsidP="0026452D">
      <w:pPr>
        <w:pStyle w:val="TextoNormal"/>
      </w:pPr>
      <w:r>
        <w:t xml:space="preserve">Para delimitar el alcance del control que este Tribunal puede ejercer sobre la decisión judicial cuestionada resulta necesario realizar dos consideraciones previas. De una parte, aunque no parece dudoso que la decisión legal de prever como circunstancia atenuante de la responsabilidad penal determinados casos de dilaciones indebidas encuentra su fundamento en principios y valores constitucionales, este Tribunal ha descartado en su doctrina que forme parte del contenido del derecho a un proceso sin dilaciones indebidas la exoneración o atenuación de la responsabilidad penal prevista por la comisión del delito objeto del proceso en el que la dilación se ha producido (SSTC 381/1993, de 20 de diciembre; 8/1994, de 17 de enero; 35/1994, de 31 de enero; 148/1994, de 12 de mayo y 295/1994, de 7 de noviembre). Así, la STC 381/1993, FJ 4, señaló ya que “constatada judicialmente la comisión del hecho delictivo y declarada la consiguiente responsabilidad penal de su autor, el mayor o menor retraso en la conclusión del proceso no afecta... a ninguno de los extremos </w:t>
      </w:r>
      <w:r>
        <w:lastRenderedPageBreak/>
        <w:t>en que la condena se ha fundamentado, ni perjudica la realidad de la comisión del delito y las circunstancias determinantes de la responsabilidad criminal. Dada la manifiesta desconexión entre las dilaciones indebidas y la realidad del ilícito y la responsabilidad, no cabe pues derivar de aquellas una consecuencia sobre éstas ni, desde luego, hacer derivar de las dilaciones la inejecución de la sentencia condenatoria”. La decisión legal no es, por tanto, desarrollo constitucionalmente obligado del derecho.</w:t>
      </w:r>
    </w:p>
    <w:p w:rsidR="0026452D" w:rsidRDefault="0026452D" w:rsidP="0026452D">
      <w:pPr>
        <w:pStyle w:val="TextoNormal"/>
      </w:pPr>
    </w:p>
    <w:p w:rsidR="0026452D" w:rsidRDefault="0026452D" w:rsidP="0026452D">
      <w:pPr>
        <w:pStyle w:val="TextoNormal"/>
      </w:pPr>
      <w:r>
        <w:t>En segundo lugar, debemos resaltar también que, en anteriores resoluciones hemos señalado que la apreciación o no de la concurrencia de circunstancias eximentes o atenuantes de la responsabilidad es una cuestión de estricta legalidad penal cuya resolución corresponde a los órganos judiciales competentes, y cuyo control en esta sede se limita a comprobar que la respuesta de éstos sea suficientemente motivada y no arbitraria, irrazonable o patentemente errónea (SSTC 211/1992, de 30 de noviembre, FJ 5; 133/1994, de 9 de mayo, FJ 4; 63/2001, de 17 de marzo, FJ 11; 239/2006, de 17 de julio, FJ 5; 5/2010, de 7 de abril, FJ 5 y 142/2012, de 2 de julio, FJ 7). De la misma forma, en la STC 25/2011, de 14 de marzo (FJ 6), descartamos la existencia de lesión del derecho a la tutela judicial efectiva por falta de motivación en un caso como el presente en el que, sin referencia alguna a la atenuante de dilaciones indebidas alegada, la pena impuesta fue la mínima legalmente prevista para el delito por el que el demandante había sido condenado, al apreciar que la referencia a la atenuante “carecería de toda virtualidad dada la citada aplicación de la pena mínima”.</w:t>
      </w:r>
    </w:p>
    <w:p w:rsidR="0026452D" w:rsidRDefault="0026452D" w:rsidP="0026452D">
      <w:pPr>
        <w:pStyle w:val="TextoNormal"/>
      </w:pPr>
    </w:p>
    <w:p w:rsidR="0026452D" w:rsidRDefault="0026452D" w:rsidP="0026452D">
      <w:pPr>
        <w:pStyle w:val="TextoNormal"/>
      </w:pPr>
      <w:r w:rsidRPr="0026452D">
        <w:rPr>
          <w:rStyle w:val="NumeroAFNegritaCaracter"/>
        </w:rPr>
        <w:t>4</w:t>
      </w:r>
      <w:r>
        <w:t>. A la vista de estas consideraciones resta por analizar, únicamente, si el razonamiento de la decisión adoptada en apelación, que llevó a no calificar la atenuante como muy cualificada por no haber sido denunciado el retraso mientras se producía, se puede considerar arbitrario o manifiestamente irrazonable. Como ya hemos dicho, estamos en un supuesto en el que el derecho a la tutela judicial efectiva no actúa en relación con el contenido de ningún otro derecho fundamental sustantivo o procesal, por tanto, como precisamos en la STC 214/1999, de 29 de noviembre, FJ 4, “cuando lo que se debate es, como sucede en este caso,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Dicho de otro modo, en estos supuestos se vulnera el derecho a obtener una resolución fundada en Derecho cuando, por su contenido, la aplicación de la legalidad sería tan sólo una mera apariencia (SSTC 147/1999, de 4 de agosto, FJ 3; 25/2000, de 31 de enero, FJ 2; 87/2000,de 27 de marzo, FJ 3; 82/2001, de 26 de marzo, FJ 2; 221/2001, de 31 de octubre, FJ 6; 55/2003, de 24 de marzo, FJ 6; 223/2005, de 12 de septiembre, FJ 3; 276/2006, de 25 de septiembre, FJ 2, y 64/2010, de 18 de octubre, FJ 3, entre otras muchas).</w:t>
      </w:r>
    </w:p>
    <w:p w:rsidR="0026452D" w:rsidRDefault="0026452D" w:rsidP="0026452D">
      <w:pPr>
        <w:pStyle w:val="TextoNormal"/>
      </w:pPr>
    </w:p>
    <w:p w:rsidR="0026452D" w:rsidRDefault="0026452D" w:rsidP="0026452D">
      <w:pPr>
        <w:pStyle w:val="TextoNormal"/>
      </w:pPr>
      <w:r>
        <w:t xml:space="preserve">La aplicación de los anteriores criterios a la resolución judicial de apelación cuestionada conduce directamente a la desestimación de la queja. No se trata aquí de valorar si ha existido o no una dilación indebida, ni tampoco compete a la jurisdicción de amparo establecer cuál es la correcta interpretación que haya de darse al art. 21.6 del Código penal, ni a la regla de aplicación de la pena establecida en su art. 66.2, conforme a la cual la concurrencia de una o varias atenuantes muy cualificadas conllevará la aplicación de la pena inferior en uno o dos grados a la establecida por la Ley: las expuestas son cuestiones que forman parte </w:t>
      </w:r>
      <w:r>
        <w:lastRenderedPageBreak/>
        <w:t>del proceso aplicativo de la norma penal. Dado que este Tribunal no tiene atribuida funciones de casación penal no es posible —como se pretende— controlar a través de un recurso de amparo los preceptos penales desde la perspectiva de su oportunidad o conveniencia (SSTC 16/1981, de 18 de mayo, FJ 1; 89/1983, de 2 de noviembre, FJ 2; 105/1983, de 23 de noviembre, FJ 2; 190/1988, de 17 de octubre, FJ 4, o 254/1988, de 21 de diciembre, FJ 2). Una vez más hemos de reiterar que el derecho fundamental a la tutela judicial efectiva no incluye un pretendido derecho al acierto judicial en la selección, interpretación y aplicación de las disposiciones legales. Por ello no cabe entender que el razonamiento impugnado, cualquiera que sea su grado de acierto jurídico, sea arbitrario o manifiestamente irrazonable dado que, habiendo sido definida la atenuante por el legislador con base en diversos parámetros (la dilación indebida ha de existir, ha de ser extraordinaria, debe producirse en la tramitación del procedimiento, no puede ser atribuible al propio inculpado y debe no guardar proporción con la complejidad de la causa), su consideración como muy cualificada debe ser determinada por la jurisdicción ordinaria en atención a la especial intensidad de todos o alguno de los mismos. En este caso, el órgano judicial ha tomado en consideración la conducta pasiva del recurrente para descartar la apreciación muy cualificada de la misma. Tal pasividad puede objetivamente relacionarse con los requisitos legales antes descritos, por lo que no puede afirmarse que la decisión sea fruto de un simple voluntarismo judicial, o pueda calificarse con una mera apariencia de aplicación de la legalidad. Su evaluación en términos de acierto jurídico corresponde en exclusiva a la jurisdicción ordinaria. Todo lo cual justifica la desestimación de esta pretensión de amparo.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Denegar el amparo solicitado por don Jose Luis Villagordo Crego.</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ocho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82" w:name="SENTENCIA_2013_79"/>
      <w:r>
        <w:lastRenderedPageBreak/>
        <w:t>SENTENCIA 79/2013, de 8 de abril de 2013</w:t>
      </w:r>
    </w:p>
    <w:bookmarkEnd w:id="82"/>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ECLI:ES:TC:2013:79</w:t>
      </w:r>
    </w:p>
    <w:p w:rsidR="0026452D" w:rsidRDefault="0026452D" w:rsidP="0026452D">
      <w:pPr>
        <w:pStyle w:val="SntesisDescriptiva"/>
      </w:pPr>
    </w:p>
    <w:p w:rsidR="0026452D" w:rsidRDefault="0026452D" w:rsidP="0026452D">
      <w:pPr>
        <w:pStyle w:val="SntesisDescriptiva"/>
      </w:pPr>
      <w:r>
        <w:t>Recurso de amparo 6996-2011. Promovido por la entidad IG Llanerastur, S.L., en relación con el Auto de un Juzgado de Primera Instancia de Avilés que rechazó la nulidad de actuaciones de procedimiento de ejecución hipotecaria.</w:t>
      </w:r>
    </w:p>
    <w:p w:rsidR="0026452D" w:rsidRDefault="0026452D" w:rsidP="0026452D">
      <w:pPr>
        <w:pStyle w:val="SntesisDescriptiva"/>
      </w:pPr>
    </w:p>
    <w:p w:rsidR="0026452D" w:rsidRDefault="0026452D" w:rsidP="0026452D">
      <w:pPr>
        <w:pStyle w:val="SntesisAnaltica"/>
      </w:pPr>
      <w:r>
        <w:t>Vulneración del derecho a la tutela judicial sin indefensión: entidad mercantil que no fue emplazada personalmente al proceso pese a ser titular de un derecho de propiedad sobre el bien ejecutado inscrito en el registro de la propiedad.</w:t>
      </w:r>
    </w:p>
    <w:p w:rsidR="0026452D" w:rsidRDefault="0026452D" w:rsidP="0026452D">
      <w:pPr>
        <w:pStyle w:val="SntesisAnaltica"/>
      </w:pPr>
    </w:p>
    <w:p w:rsidR="0026452D" w:rsidRDefault="0026452D" w:rsidP="0026452D">
      <w:pPr>
        <w:pStyle w:val="Extracto"/>
      </w:pPr>
      <w:r>
        <w:t>1.</w:t>
      </w:r>
      <w:r>
        <w:tab/>
        <w:t>Se declara vulnerado el derecho a la tutela judicial efectiva sin indefensión de la recurrente al no haber sido llamada al proceso de ejecución hipotecaria, dado que constaba acreditado que era titular del dominio de la vivienda hipotecada, figuraba inscrito su derecho en el Registro de la Propiedad y estaba identificada en la certificación de cargas expedida con anterioridad a la interposición de la demanda ejecutiva, sin que resulte acreditado que tuviera conocimiento extraprocesal de la ejecución (SSTC 219/1999, 210/2007) [FJ 5].</w:t>
      </w:r>
    </w:p>
    <w:p w:rsidR="0026452D" w:rsidRDefault="0026452D" w:rsidP="0026452D">
      <w:pPr>
        <w:pStyle w:val="Extracto"/>
      </w:pPr>
    </w:p>
    <w:p w:rsidR="0026452D" w:rsidRDefault="0026452D" w:rsidP="0026452D">
      <w:pPr>
        <w:pStyle w:val="Extracto"/>
      </w:pPr>
      <w:r>
        <w:t>2.</w:t>
      </w:r>
      <w:r>
        <w:tab/>
        <w:t>El procedimiento de ejecución hipotecaria se caracteriza como un procedimiento de realización del valor de la finca hipotecada donde se limita extraordinariamente la contradicción procesal, y si bien ello no significa que se produzca indefensión por el carácter no definitivo del procedimiento, puesto que las cuestiones de fondo quedan intactas, no son admisibles lecturas restrictivas de la intervención de quienes son titulares de derechos e intereses legítimos (SSTC 41/1981, 158/1997; ATC 113/2011) [FJ 3].</w:t>
      </w:r>
    </w:p>
    <w:p w:rsidR="0026452D" w:rsidRDefault="0026452D" w:rsidP="0026452D">
      <w:pPr>
        <w:pStyle w:val="Extracto"/>
      </w:pPr>
    </w:p>
    <w:p w:rsidR="0026452D" w:rsidRDefault="0026452D" w:rsidP="0026452D">
      <w:pPr>
        <w:pStyle w:val="Extracto"/>
      </w:pPr>
      <w:r>
        <w:t>3.</w:t>
      </w:r>
      <w:r>
        <w:tab/>
        <w:t>El derecho a la tutela judicial efectiva habilita a quienes ostenten algún derecho o interés legítimo que pueda verse afectado por los actos de ejecución a comparecer y actuar en el procedimiento, aunque no hubieran sido parte en el proceso principal, y a este fin los arts. 270 LOPJ y 260.2 LEC exigen que las resoluciones judiciales se notifiquen no sólo a las partes procesales, sino también a las personas a quienes se refieran o puedan causar perjuicio (SSTC 229/2000, 43/2010) [FJ 2].</w:t>
      </w:r>
    </w:p>
    <w:p w:rsidR="0026452D" w:rsidRDefault="0026452D" w:rsidP="0026452D">
      <w:pPr>
        <w:pStyle w:val="Extracto"/>
      </w:pPr>
    </w:p>
    <w:p w:rsidR="0026452D" w:rsidRDefault="0026452D" w:rsidP="0026452D">
      <w:pPr>
        <w:pStyle w:val="Extracto"/>
      </w:pPr>
      <w:r>
        <w:t>4.</w:t>
      </w:r>
      <w:r>
        <w:tab/>
        <w:t>La interdicción de la indefensión consagrada en el art. 24.1 CE impone a los órganos judiciales el deber de velar por que quienes ostenten algún derecho o interés legítimo en un proceso de ejecución, aunque no hayan sido parte en el proceso principal, puedan comparecer y ser oídos en el mismo para garantizar su defensa (STC 43/2010) [FJ 2].</w:t>
      </w:r>
    </w:p>
    <w:p w:rsidR="0026452D" w:rsidRDefault="0026452D" w:rsidP="0026452D">
      <w:pPr>
        <w:pStyle w:val="Extracto"/>
      </w:pPr>
    </w:p>
    <w:p w:rsidR="0026452D" w:rsidRDefault="0026452D" w:rsidP="0026452D">
      <w:pPr>
        <w:pStyle w:val="Extracto"/>
      </w:pPr>
      <w:r>
        <w:t>5.</w:t>
      </w:r>
      <w:r>
        <w:tab/>
        <w:t xml:space="preserve">El asunto planteado dota a este recurso de especial trascendencia constitucional puesto que se trata de una cuestión de relevante y general repercusión social y, además, permite a este Tribunal Constitucional sentar doctrina sobre la proyección que, desde la perspectiva del derecho fundamental a la tutela judicial efectiva, </w:t>
      </w:r>
      <w:r>
        <w:lastRenderedPageBreak/>
        <w:t>tiene la inscripción registral y su publicidad en el procedimiento de ejecución hipotecaria, problema sobre el que no nos hemos pronunciado específicamente bajo la vigencia de la actual Ley de enjuiciamiento civil (SSTC 29/2003, 155/2009)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6996-2011, promovido por la entidad IG Llanerastur, S.L., representada por la Procuradora de los Tribunales doña Patricia Roch Iglesias y asistida por el Abogado don Constantino Vaquero Pastor, contra el Auto de 28 de octubre de 2011 del Juzgado de Primera Instancia número 2 de Avilés. Ha intervenido el Ministerio Fiscal. Ha comparecido el Banco de Sabadell, S.A., representado por la Procuradora de los Tribunales doña Blanca María Grande Pesquero y asistido por la Abogada doña Asunción Portabella. Ha sido Ponente el Magistrado don Juan José González Rivas,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que tuvo entrada en el Registro General de este Tribunal el día 21 de diciembre de 2011, la Procuradora de los Tribunales doña Patricia Roch Iglesias, en nombre y representación de la entidad IG Llanerastur, S.L., interpuso recurso de amparo contra la resolución judicial que se cita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de los que trae causa la demanda, relevantes para la resolución del recurso, son, en síntesis, los siguientes:</w:t>
      </w:r>
    </w:p>
    <w:p w:rsidR="0026452D" w:rsidRDefault="0026452D" w:rsidP="0026452D">
      <w:pPr>
        <w:pStyle w:val="TextoNormal"/>
      </w:pPr>
    </w:p>
    <w:p w:rsidR="0026452D" w:rsidRDefault="0026452D" w:rsidP="0026452D">
      <w:pPr>
        <w:pStyle w:val="TextoNormal"/>
      </w:pPr>
      <w:r>
        <w:t>a) A instancia de la entidad Banco Sabadell, el Juzgado de Primera Instancia núm. 2 de Avilés inició procedimiento de ejecución hipotecaria número 777-2009, en fecha 3 de septiembre de 2009, contra doña María del Carmen García González y don Ubaldo López Flores y contra la finca registral hipotecada núm. 4.240, inscrita en el Registro de la Propiedad núm. 1 de Avilés. El principal más los intereses del préstamo hipotecario ascendían en aquel momento a la cantidad de 15.774,81 €, estando la finca tasada en la escritura en 56.447,06 € para el caso de subasta.</w:t>
      </w:r>
    </w:p>
    <w:p w:rsidR="0026452D" w:rsidRDefault="0026452D" w:rsidP="0026452D">
      <w:pPr>
        <w:pStyle w:val="TextoNormal"/>
      </w:pPr>
    </w:p>
    <w:p w:rsidR="0026452D" w:rsidRDefault="0026452D" w:rsidP="0026452D">
      <w:pPr>
        <w:pStyle w:val="TextoNormal"/>
      </w:pPr>
      <w:r>
        <w:lastRenderedPageBreak/>
        <w:t>b) El banco acompañaba a su demanda la copia de la escritura del préstamo, una certificación expedida por el Registro de la Propiedad acreditativa del dominio de la finca y de la inscripción de la hipoteca, el acta de liquidación del saldo intervenida por Notario y los justificantes de haber intentado la notificación de vencimiento y requerimiento de pago a los demandados (burofaxes remitidos a los deudores en fecha de 22 de mayo de 2009 y que no pudieron ser entregados por resultar éstos desconocidos en el domicilio al que se le remitió).</w:t>
      </w:r>
    </w:p>
    <w:p w:rsidR="0026452D" w:rsidRDefault="0026452D" w:rsidP="0026452D">
      <w:pPr>
        <w:pStyle w:val="TextoNormal"/>
      </w:pPr>
    </w:p>
    <w:p w:rsidR="0026452D" w:rsidRDefault="0026452D" w:rsidP="0026452D">
      <w:pPr>
        <w:pStyle w:val="TextoNormal"/>
      </w:pPr>
      <w:r>
        <w:t>c) Tras diferentes gestiones conducentes a la averiguación del domicilio de los ejecutados, y habiéndolo finalmente hecho en el nuevo domicilio obtenido a doña María del Carmen García y por comunicación edictal al otro ejecutado, se siguieron todos los trámites legalmente previstos del procedimiento, que finalizaron con el Auto que aprobó el remate firme sin que frente a él hubiera lugar a recurso alguno.</w:t>
      </w:r>
    </w:p>
    <w:p w:rsidR="0026452D" w:rsidRDefault="0026452D" w:rsidP="0026452D">
      <w:pPr>
        <w:pStyle w:val="TextoNormal"/>
      </w:pPr>
    </w:p>
    <w:p w:rsidR="0026452D" w:rsidRDefault="0026452D" w:rsidP="0026452D">
      <w:pPr>
        <w:pStyle w:val="TextoNormal"/>
      </w:pPr>
      <w:r>
        <w:t>d) La entidad IG Llanerastur, S.L. —demandante en amparo—, que a la sazón era titular del dominio en virtud de subasta llevada a cabo por la Agencia Estatal de la Administración Tributaria, inscrito en el Registro de la Propiedad el 11 de marzo de 2008, en la que se identifica perfectamente, no fue notificada en ningún momento durante el proceso de ejecución hipotecaria y, según afirma, tomó conocimiento de su existencia cuando “en los primeros días del mes de junio de 2011 y con motivo de una gestión en la oficina de la seguridad social ... se le informa de que la vivienda ha sido objeto de ejecución hipotecaria, ha sido subastada y aparece inscrita a nombre de otra persona diferente, facilitándole los datos del procedimiento judicial”.</w:t>
      </w:r>
    </w:p>
    <w:p w:rsidR="0026452D" w:rsidRDefault="0026452D" w:rsidP="0026452D">
      <w:pPr>
        <w:pStyle w:val="TextoNormal"/>
      </w:pPr>
    </w:p>
    <w:p w:rsidR="0026452D" w:rsidRDefault="0026452D" w:rsidP="0026452D">
      <w:pPr>
        <w:pStyle w:val="TextoNormal"/>
      </w:pPr>
      <w:r>
        <w:t>e) Con fecha 10 de junio de 2011, la representación procesal de IG Llanerastur, S.L., se persona en debida forma en el procedimiento hipotecario 777-2009, obteniendo una copia del procedimiento en fecha 28 de junio de 2011 y, por providencia de 1 de julio siguiente, se reconoce su calidad de interesada en el proceso al ser la entidad recurrente propietaria de la finca subastada. Con fecha 6 de julio de 2011, dicha parte interpuso incidente de nulidad de actuaciones alegando el quebrantamiento de su derecho a la tutela judicial efectiva y a no padecer indefensión (art. 24.1 CE), en tanto que la omisión de las notificaciones le había privado de la posibilidad que la ley le otorga para poder, bien oponerse a la ejecución, bien pagar la cantidad reclamada y evitar la subasta del inmueble de su propiedad.</w:t>
      </w:r>
    </w:p>
    <w:p w:rsidR="0026452D" w:rsidRDefault="0026452D" w:rsidP="0026452D">
      <w:pPr>
        <w:pStyle w:val="TextoNormal"/>
      </w:pPr>
    </w:p>
    <w:p w:rsidR="0026452D" w:rsidRDefault="0026452D" w:rsidP="0026452D">
      <w:pPr>
        <w:pStyle w:val="TextoNormal"/>
      </w:pPr>
      <w:r>
        <w:t>f) En fecha 28 de octubre de 2011 el Juzgado dicta Auto desestimando el incidente y argumenta que “la parte solicitante carece de legitimación al promover dicha nulidad en cuanto que no es parte en el procedimiento, en sentido propio (se ha personado a los solos los efectos del incidente), ni tampoco de forma obligatoria tendría que haber sido parte —necesaria—, por cuanto que inicialmente no debió ser demandado, en cuanto no acredita —sólo afirma— que hubiera comunicado a la entidad acreedora su adquisición”.</w:t>
      </w:r>
    </w:p>
    <w:p w:rsidR="0026452D" w:rsidRDefault="0026452D" w:rsidP="0026452D">
      <w:pPr>
        <w:pStyle w:val="TextoNormal"/>
      </w:pPr>
    </w:p>
    <w:p w:rsidR="0026452D" w:rsidRDefault="0026452D" w:rsidP="0026452D">
      <w:pPr>
        <w:pStyle w:val="TextoNormal"/>
      </w:pPr>
      <w:r w:rsidRPr="0026452D">
        <w:rPr>
          <w:rStyle w:val="NumeroAFNegritaCaracter"/>
        </w:rPr>
        <w:t>3</w:t>
      </w:r>
      <w:r>
        <w:t>. En su demanda, la entidad demandante aduce que se ha vulnerado el derecho fundamental a la tutela judicial efectiva sin indefensión (art. 24.1 CE) y acceso a la jurisdicción. Sostiene que se ha subastado un bien que ya no estaba en el patrimonio del deudor ejecutado, sino que pertenecía a la demandante de amparo, titular registral del inmueble y con la condición de tercer hipotecario, como le constaba al Juzgado con la simple lectura del folio registral y la ausencia de notificación del Registrador en el momento de expedir la certificación de cargas.</w:t>
      </w:r>
    </w:p>
    <w:p w:rsidR="0026452D" w:rsidRDefault="0026452D" w:rsidP="0026452D">
      <w:pPr>
        <w:pStyle w:val="TextoNormal"/>
      </w:pPr>
    </w:p>
    <w:p w:rsidR="0026452D" w:rsidRDefault="0026452D" w:rsidP="0026452D">
      <w:pPr>
        <w:pStyle w:val="TextoNormal"/>
      </w:pPr>
      <w:r>
        <w:t>Pese a todo, el Juzgado no procedió a notificarle en ningún momento del proceso, ni tan siquiera de forma edictal, la existencia del juicio ejecutivo, produciéndose la subasta sin que conociera la existencia del procedimiento ni fuera parte del mismo, lo que le privó de su derecho a ser oído y le impidió el ejercicio del derecho de defensa de sus legítimos derechos e intereses sobre el citado inmueble, lo que es incomprensible a la vista del conocimiento que tenía el Juzgado.</w:t>
      </w:r>
    </w:p>
    <w:p w:rsidR="0026452D" w:rsidRDefault="0026452D" w:rsidP="0026452D">
      <w:pPr>
        <w:pStyle w:val="TextoNormal"/>
      </w:pPr>
    </w:p>
    <w:p w:rsidR="0026452D" w:rsidRDefault="0026452D" w:rsidP="0026452D">
      <w:pPr>
        <w:pStyle w:val="TextoNormal"/>
      </w:pPr>
      <w:r>
        <w:t>Esta parte se refiere a la STC 29/2003, de 13 de febrero, en la que se otorgó el amparo en un supuesto similar al presente, al acordarse el lanzamiento de la vivienda de un tercero adquirente extranjero y residente fuera de España, cuyo título estaba inscrito en el Registro de la Propiedad, sin oírle ni permitirle comparecer en el proceso.</w:t>
      </w:r>
    </w:p>
    <w:p w:rsidR="0026452D" w:rsidRDefault="0026452D" w:rsidP="0026452D">
      <w:pPr>
        <w:pStyle w:val="TextoNormal"/>
      </w:pPr>
    </w:p>
    <w:p w:rsidR="0026452D" w:rsidRDefault="0026452D" w:rsidP="0026452D">
      <w:pPr>
        <w:pStyle w:val="TextoNormal"/>
      </w:pPr>
      <w:r>
        <w:t>En la fundamentación de la demanda de amparo se alega que los argumentos empleados en el Auto que resuelve el incidente de nulidad de actuaciones resultan inadmisibles, pues no solamente son irrazonables cuando fundamentan que esta parte carece de legitimación para interponer el incidente, sino porque conculca su deber de garantizar su derecho a la tutela judicial efectiva en su vertiente de acceso a la jurisdicción, una vez constatado que era la titular registral del dominio sobre la finca ejecutada.</w:t>
      </w:r>
    </w:p>
    <w:p w:rsidR="0026452D" w:rsidRDefault="0026452D" w:rsidP="0026452D">
      <w:pPr>
        <w:pStyle w:val="TextoNormal"/>
      </w:pPr>
    </w:p>
    <w:p w:rsidR="0026452D" w:rsidRDefault="0026452D" w:rsidP="0026452D">
      <w:pPr>
        <w:pStyle w:val="TextoNormal"/>
      </w:pPr>
      <w:r>
        <w:t>Mediante otrosí en la propia demanda de amparo se solicitó que se dejara en suspenso la ejecución del Auto de 28 de octubre de 2011, recaído en el procedimiento ejecutivo núm. 777-2009, por el que se adjudica el inmueble a un tercero.</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29 de octubre de 2012 la Sala Primera acordó conocer del presente recurso de amparo y admitir a trámite la demanda y, a tenor de lo dispuesto en el art. 51 de la Ley Orgánica del Tribunal Constitucional (LOTC), requerir al Juzgado de Primera Instancia núm. 2 de Avilés, para que el plazo de diez días remitiera testimonio del juicio ejecutivo núm. 777-2009, interesándose al tiempo que se emplazara a quienes fueron parte en el procedimiento, a excepción de los recurrentes en amparo, para que en el plazo de diez días pudieran comparecer en este proceso constitucional.</w:t>
      </w:r>
    </w:p>
    <w:p w:rsidR="0026452D" w:rsidRDefault="0026452D" w:rsidP="0026452D">
      <w:pPr>
        <w:pStyle w:val="TextoNormal"/>
      </w:pPr>
    </w:p>
    <w:p w:rsidR="0026452D" w:rsidRDefault="0026452D" w:rsidP="0026452D">
      <w:pPr>
        <w:pStyle w:val="TextoNormal"/>
      </w:pPr>
      <w:r w:rsidRPr="0026452D">
        <w:rPr>
          <w:rStyle w:val="NumeroAFNegritaCaracter"/>
        </w:rPr>
        <w:t>5</w:t>
      </w:r>
      <w:r>
        <w:t>. Por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ATC 217/2012, de 26 de noviembre, la Sala Primera acordó acceder a la suspensión solicitada y ordenar la anotación preventiva de la demanda de amparo en el Registro de la Propiedad.</w:t>
      </w:r>
    </w:p>
    <w:p w:rsidR="0026452D" w:rsidRDefault="0026452D" w:rsidP="0026452D">
      <w:pPr>
        <w:pStyle w:val="TextoNormal"/>
      </w:pPr>
    </w:p>
    <w:p w:rsidR="0026452D" w:rsidRDefault="0026452D" w:rsidP="0026452D">
      <w:pPr>
        <w:pStyle w:val="TextoNormal"/>
      </w:pPr>
      <w:r w:rsidRPr="0026452D">
        <w:rPr>
          <w:rStyle w:val="NumeroAFNegritaCaracter"/>
        </w:rPr>
        <w:t>6</w:t>
      </w:r>
      <w:r>
        <w:t>. Por diligencia de ordenación del Secretario de Justicia de la Sala Primera de 16 de noviembre de 2012 se tuvo por personada y parte a la Procuradora doña Blanca María Grande Pesquero, en nombre y representación del Banco de Sabadell, S.A.</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Por diligencia de ordenación del Secretario de Justicia de la Sala Primera de 15 de enero de 2013 se tuvieron por recibidos los testimonios de las actuaciones remitidos por el Juzgado de Primera Instancia núm. 2 de Avilés, acordándose, a tenor de lo dispuesto en el </w:t>
      </w:r>
      <w:r>
        <w:lastRenderedPageBreak/>
        <w:t>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0026452D" w:rsidRDefault="0026452D" w:rsidP="0026452D">
      <w:pPr>
        <w:pStyle w:val="TextoNormal"/>
      </w:pPr>
    </w:p>
    <w:p w:rsidR="0026452D" w:rsidRDefault="0026452D" w:rsidP="0026452D">
      <w:pPr>
        <w:pStyle w:val="TextoNormal"/>
      </w:pPr>
      <w:r w:rsidRPr="0026452D">
        <w:rPr>
          <w:rStyle w:val="NumeroAFNegritaCaracter"/>
        </w:rPr>
        <w:t>8</w:t>
      </w:r>
      <w:r>
        <w:t>. La representación procesal de la entidad demandante de amparo formuló sus alegaciones mediante escrito que tuvo su entrada en el Registro General de este Tribunal el día 8 de febrero de 2013, en el que se afirma y ratifica en el escrito de la demanda.</w:t>
      </w:r>
    </w:p>
    <w:p w:rsidR="0026452D" w:rsidRDefault="0026452D" w:rsidP="0026452D">
      <w:pPr>
        <w:pStyle w:val="TextoNormal"/>
      </w:pPr>
    </w:p>
    <w:p w:rsidR="0026452D" w:rsidRDefault="0026452D" w:rsidP="0026452D">
      <w:pPr>
        <w:pStyle w:val="TextoNormal"/>
      </w:pPr>
      <w:r w:rsidRPr="0026452D">
        <w:rPr>
          <w:rStyle w:val="NumeroAFNegritaCaracter"/>
        </w:rPr>
        <w:t>9</w:t>
      </w:r>
      <w:r>
        <w:t>. El Fiscal ante el Tribunal Constitucional presentó sus alegaciones mediante escrito registrado el día 8 de febrero de 2013, interesando el otorgamiento del amparo.</w:t>
      </w:r>
    </w:p>
    <w:p w:rsidR="0026452D" w:rsidRDefault="0026452D" w:rsidP="0026452D">
      <w:pPr>
        <w:pStyle w:val="TextoNormal"/>
      </w:pPr>
    </w:p>
    <w:p w:rsidR="0026452D" w:rsidRDefault="0026452D" w:rsidP="0026452D">
      <w:pPr>
        <w:pStyle w:val="TextoNormal"/>
      </w:pPr>
      <w:r>
        <w:t>El Fiscal aduce que estamos ante la derivación más trascendente del derecho a la tutela judicial efectiva cual es el de “acceso al proceso”, que tiene su fuente en la Constitución a diferencia del derecho al recurso que nace de la ley y que por tanto, ha de ejercerse de acuerdo a los requisitos y formas legales previstos en las leyes procesales (por todas STC 37/1995). Esta perspectiva obliga a interpretar con un criterio expansivo, no restrictivo, las normas procesales que regulan el acceso al proceso, como entiende que hace el Auto recurrido en amparo.</w:t>
      </w:r>
    </w:p>
    <w:p w:rsidR="0026452D" w:rsidRDefault="0026452D" w:rsidP="0026452D">
      <w:pPr>
        <w:pStyle w:val="TextoNormal"/>
      </w:pPr>
    </w:p>
    <w:p w:rsidR="0026452D" w:rsidRDefault="0026452D" w:rsidP="0026452D">
      <w:pPr>
        <w:pStyle w:val="TextoNormal"/>
      </w:pPr>
      <w:r>
        <w:t>La falta de llamada a la demandante de amparo a un proceso de ejecución hipotecaria cuando era titular de un derecho de propiedad sobre el bien ejecutado, inscrito en el Registro de la Propiedad, contraría los preceptos de la Ley de enjuiciamiento civil (LEC) que permiten su presencia (arts. 685, 686 y 689), no sólo por la interpretación amplia que debe presidir la intervención en un proceso en que se está discutiendo sobre la titularidad de un bien propio, sino por una interpretación finalista, más conforme al derecho de acceso al proceso, cuando está cuestionada la condición de parte procesal.</w:t>
      </w:r>
    </w:p>
    <w:p w:rsidR="0026452D" w:rsidRDefault="0026452D" w:rsidP="0026452D">
      <w:pPr>
        <w:pStyle w:val="TextoNormal"/>
      </w:pPr>
    </w:p>
    <w:p w:rsidR="0026452D" w:rsidRDefault="0026452D" w:rsidP="0026452D">
      <w:pPr>
        <w:pStyle w:val="TextoNormal"/>
      </w:pPr>
      <w:r>
        <w:t>El art. 685 LEC, cuando habla de acreditación por el tercer poseedor al acreedor de la adquisición de dichos bienes, no solo debe incluir la notificación formal de tal adquisición sino los supuestos en los que el acreedor pueda creer con suficiente grado de certeza la existencia de un titular de los bienes, como es el caso del demandante de amparo que tenía inscrito su derecho desde el año 2008, es decir, más de un año anterior a la interposición de la demanda.</w:t>
      </w:r>
    </w:p>
    <w:p w:rsidR="0026452D" w:rsidRDefault="0026452D" w:rsidP="0026452D">
      <w:pPr>
        <w:pStyle w:val="TextoNormal"/>
      </w:pPr>
    </w:p>
    <w:p w:rsidR="0026452D" w:rsidRDefault="0026452D" w:rsidP="0026452D">
      <w:pPr>
        <w:pStyle w:val="TextoNormal"/>
      </w:pPr>
      <w:r>
        <w:t>A juicio del Fiscal, la exclusión del proceso a una parte constitucionalmente necesaria implica una lesión del derecho fundamental que se plasma en la supresión de todo tipo de requerimientos notariales y judiciales, anteriores o posteriores a la incoación del proceso, como se eluden asimismo las notificaciones de subastas, una suspendida y la otra celebrada o el traslado de la tasación de costas y, por supuesto el Auto de adjudicación de la finca a terceras personas.</w:t>
      </w:r>
    </w:p>
    <w:p w:rsidR="0026452D" w:rsidRDefault="0026452D" w:rsidP="0026452D">
      <w:pPr>
        <w:pStyle w:val="TextoNormal"/>
      </w:pPr>
    </w:p>
    <w:p w:rsidR="0026452D" w:rsidRDefault="0026452D" w:rsidP="0026452D">
      <w:pPr>
        <w:pStyle w:val="TextoNormal"/>
      </w:pPr>
      <w:r>
        <w:t>Al margen de esa primera comunicación al tercer poseedor de la existencia del proceso, la tramitación ulterior de la ejecución, nos lleva al acto de la subasta en donde la LEC (art. 689) vuelve a insistir en la llamada al proceso de personas que ostenten título de dominio según la certificación registral y que no hayan sido requeridas de pago, la cual no se llevó a cabo tampoco y con ello se impidió la presencia del demandante de amparo en el proceso, adjudicando su propiedad a terceras personas, sin oírle.</w:t>
      </w:r>
    </w:p>
    <w:p w:rsidR="0026452D" w:rsidRDefault="0026452D" w:rsidP="0026452D">
      <w:pPr>
        <w:pStyle w:val="TextoNormal"/>
      </w:pPr>
    </w:p>
    <w:p w:rsidR="0026452D" w:rsidRDefault="0026452D" w:rsidP="0026452D">
      <w:pPr>
        <w:pStyle w:val="TextoNormal"/>
      </w:pPr>
      <w:r>
        <w:t>Finalmente, según los razonamientos que contiene el dictamen emitido por el Ministerio Fiscal, el Auto resolutorio del incidente no satisface las exigencias derivadas de la trascendencia de tal trámite, que debería haberle llevado a profundizar más en las razones expuestas por la defensa del demandante, analizando la legislación, la citación obligada en momento anterior a la subasta, el sentido de la jurisprudencia en la interpretación de la norma del art. 685 LEC y la dimensión constitucional del art. 24.1 CE que le lleva a esa interpretación tan reduccionista de los actos de comunicación procesal.</w:t>
      </w:r>
    </w:p>
    <w:p w:rsidR="0026452D" w:rsidRDefault="0026452D" w:rsidP="0026452D">
      <w:pPr>
        <w:pStyle w:val="TextoNormal"/>
      </w:pPr>
    </w:p>
    <w:p w:rsidR="0026452D" w:rsidRDefault="0026452D" w:rsidP="0026452D">
      <w:pPr>
        <w:pStyle w:val="TextoNormal"/>
      </w:pPr>
      <w:r w:rsidRPr="0026452D">
        <w:rPr>
          <w:rStyle w:val="NumeroAFNegritaCaracter"/>
        </w:rPr>
        <w:t>10</w:t>
      </w:r>
      <w:r>
        <w:t>. La representación procesal de Banco de Sabadell, S.A., presentó su escrito de alegaciones en fecha 13 de febrero de 2013 en el que solicita que se deniegue el amparo.</w:t>
      </w:r>
    </w:p>
    <w:p w:rsidR="0026452D" w:rsidRDefault="0026452D" w:rsidP="0026452D">
      <w:pPr>
        <w:pStyle w:val="TextoNormal"/>
      </w:pPr>
    </w:p>
    <w:p w:rsidR="0026452D" w:rsidRDefault="0026452D" w:rsidP="0026452D">
      <w:pPr>
        <w:pStyle w:val="TextoNormal"/>
      </w:pPr>
      <w:r>
        <w:t>Alega que la demandante de amparo en ningún momento comunicó a la entidad bancaria la adquisición del inmueble, pese a que era conocedor de la existencia de la hipoteca, por lo que no debía ser parte en el proceso, según dispone el art. 685 LEC.</w:t>
      </w:r>
    </w:p>
    <w:p w:rsidR="0026452D" w:rsidRDefault="0026452D" w:rsidP="0026452D">
      <w:pPr>
        <w:pStyle w:val="TextoNormal"/>
      </w:pPr>
    </w:p>
    <w:p w:rsidR="0026452D" w:rsidRDefault="0026452D" w:rsidP="0026452D">
      <w:pPr>
        <w:pStyle w:val="TextoNormal"/>
      </w:pPr>
      <w:r>
        <w:t>Asimismo, esta representación aduce que la demandante de amparo fue notificada por el Registro de la Propiedad cuando libró la certificación de título y cargas en noviembre de 2009 y no acredita que tuviera conocimiento en las fechas que alega en la demanda de amparo (junio de 2011), por lo que el incidente de nulidad de actuaciones se interpuso extemporáneamente.</w:t>
      </w:r>
    </w:p>
    <w:p w:rsidR="0026452D" w:rsidRDefault="0026452D" w:rsidP="0026452D">
      <w:pPr>
        <w:pStyle w:val="TextoNormal"/>
      </w:pPr>
    </w:p>
    <w:p w:rsidR="0026452D" w:rsidRDefault="0026452D" w:rsidP="0026452D">
      <w:pPr>
        <w:pStyle w:val="TextoNormal"/>
      </w:pPr>
      <w:r>
        <w:t>Finalmente, alega que de haber actuado la parte demandante de amparo con una mínima diligencia ya en noviembre de 2009 hubiera podido comparecer en el procedimiento de ejecución, lo que no realizó, personándose de forma extemporánea y desatendió por completo el préstamo hipotecario, sin pagar una sola de las cuotas vencidas después de la adquisición.</w:t>
      </w:r>
    </w:p>
    <w:p w:rsidR="0026452D" w:rsidRDefault="0026452D" w:rsidP="0026452D">
      <w:pPr>
        <w:pStyle w:val="TextoNormal"/>
      </w:pPr>
    </w:p>
    <w:p w:rsidR="0026452D" w:rsidRDefault="0026452D" w:rsidP="0026452D">
      <w:pPr>
        <w:pStyle w:val="TextoNormal"/>
      </w:pPr>
      <w:r w:rsidRPr="0026452D">
        <w:rPr>
          <w:rStyle w:val="NumeroAFNegritaCaracter"/>
        </w:rPr>
        <w:t>11</w:t>
      </w:r>
      <w:r>
        <w:t>. Por providencia de 5 de abril de 2013 se señaló para la deliberación y votación de la presente Sentencia el día 8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amparo se dirige contra el Auto de 28 de octubre de 2011, dictado por el Juzgado de Primera Instancia núm. 2 de Avilés, que desestimó la petición de nulidad de actuaciones promovida por la sociedad demandante de amparo en el procedimiento de ejecución hipotecaria núm. 777-2009.</w:t>
      </w:r>
    </w:p>
    <w:p w:rsidR="0026452D" w:rsidRDefault="0026452D" w:rsidP="0026452D">
      <w:pPr>
        <w:pStyle w:val="TextoNormal"/>
      </w:pPr>
    </w:p>
    <w:p w:rsidR="0026452D" w:rsidRDefault="0026452D" w:rsidP="0026452D">
      <w:pPr>
        <w:pStyle w:val="TextoNormal"/>
      </w:pPr>
      <w:r>
        <w:t>En la demanda de amparo se imputa a la resolución recurrida la vulneración del derecho fundamental a la tutela judicial efectiva sin indefensión (art. 24.1 CE), al no declarar la nulidad de las actuaciones en el citado procedimiento, en el que se procedió a subastar y adjudicar una vivienda que figuraba inscrita a nombre de la parte recurrente en el Registro de la Propiedad con anterioridad al inicio del procedimiento, sin notificarle la existencia del procedimiento, ni permitirle comparecer en el mismo, lo que le privó de su derecho a ser oído y le impidió el ejercicio del derecho de defensa de sus legítimos derechos e intereses sobre el citado inmueble.</w:t>
      </w:r>
    </w:p>
    <w:p w:rsidR="0026452D" w:rsidRDefault="0026452D" w:rsidP="0026452D">
      <w:pPr>
        <w:pStyle w:val="TextoNormal"/>
      </w:pPr>
    </w:p>
    <w:p w:rsidR="0026452D" w:rsidRDefault="0026452D" w:rsidP="0026452D">
      <w:pPr>
        <w:pStyle w:val="TextoNormal"/>
      </w:pPr>
      <w:r>
        <w:lastRenderedPageBreak/>
        <w:t>El Ministerio Fiscal interesa la estimación del recurso por entender que concurre la vulneración denunciada, en tanto que la representación del Banco de Sabadell se opone al recurso de amparo.</w:t>
      </w:r>
    </w:p>
    <w:p w:rsidR="0026452D" w:rsidRDefault="0026452D" w:rsidP="0026452D">
      <w:pPr>
        <w:pStyle w:val="TextoNormal"/>
      </w:pPr>
    </w:p>
    <w:p w:rsidR="0026452D" w:rsidRDefault="0026452D" w:rsidP="0026452D">
      <w:pPr>
        <w:pStyle w:val="TextoNormal"/>
      </w:pPr>
      <w:r w:rsidRPr="0026452D">
        <w:rPr>
          <w:rStyle w:val="NumeroAFNegritaCaracter"/>
        </w:rPr>
        <w:t>2</w:t>
      </w:r>
      <w:r>
        <w:t>. Este recurso de amparo plantea la cuestión relativa a la constitución de la relación jurídico procesal en el procedimiento de ejecución hipotecaria de la vigente Ley 1/2000, de 7 de enero, de enjuiciamiento civil (LEC), en relación con el titular de la finca que ha inscrito su derecho en el Registro de la Propiedad, lo cual dota a este recurso de especial trascendencia constitucional puesto que no sólo se trata de una cuestión de relevante y general repercusión social [STC 155/2009, de 25 de junio, FJ 2 g)] sino que, además, permite a este Tribunal Constitucional sentar doctrina sobre la proyección que, desde la perspectiva del derecho fundamental a la tutela judicial efectiva (art. 24.1 CE), tiene la inscripción registral y su publicidad en dicho procedimiento especial de ejecución, problema sobre el que no nos hemos pronunciado específicamente bajo la vigencia del procedimiento hipotecario de la actual Ley de enjuiciamiento civil, puesto que nuestras Sentencias anteriores se refieren genéricamente a la intervención de terceros poseedores en el proceso de ejecución hipotecaria desde la perspectiva del interés legítimo (por todas, SSTC 29/2003, de 13 de febrero; 6/2008, de 21 de enero; y 43/2010, 26 de julio), lo que se corresponde con el supuesto del apartado a) del fundamento jurídico 2 de la invocada STC 155/2009.</w:t>
      </w:r>
    </w:p>
    <w:p w:rsidR="0026452D" w:rsidRDefault="0026452D" w:rsidP="0026452D">
      <w:pPr>
        <w:pStyle w:val="TextoNormal"/>
      </w:pPr>
    </w:p>
    <w:p w:rsidR="0026452D" w:rsidRDefault="0026452D" w:rsidP="0026452D">
      <w:pPr>
        <w:pStyle w:val="TextoNormal"/>
      </w:pPr>
      <w:r>
        <w:t>Este Tribunal ha declarado reiteradamente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w:t>
      </w:r>
    </w:p>
    <w:p w:rsidR="0026452D" w:rsidRDefault="0026452D" w:rsidP="0026452D">
      <w:pPr>
        <w:pStyle w:val="TextoNormal"/>
      </w:pPr>
    </w:p>
    <w:p w:rsidR="0026452D" w:rsidRDefault="0026452D" w:rsidP="0026452D">
      <w:pPr>
        <w:pStyle w:val="TextoNormal"/>
      </w:pPr>
      <w:r>
        <w:t>Esta necesidad de promover la defensa, en la medida de lo posible, mediante la debida contradicción, impone a los órganos judiciales un especial deber de diligencia que, en palabras de la STC 56/2001, de 26 de febrero, FJ 2, “tiene especial importancia en el proceso de ejecución”. En concreto, y por lo que respecta a la posibilidad de intervenir en un proceso de ejecución, hemos afirmado que el derecho a la tutela judicial efectiva habilita a quienes ostenten algún derecho o interés legítimo que pueda verse afectado por los actos de ejecución a comparecer y actuar en el procedimiento, aunque no hubieran sido parte en el proceso principal, y a este fin los arts. 270 de la Ley Orgánica del Poder Judicial y 260.2 LEC exigen que las resoluciones judiciales se notifiquen no sólo a las partes procesales, sino también a las personas a quienes se refieran o puedan causar el perjuicio (SSTC 229/2000, de 2 de octubre, FJ 3 y 56/2001, de 26 de febrero, FJ 2).</w:t>
      </w:r>
    </w:p>
    <w:p w:rsidR="0026452D" w:rsidRDefault="0026452D" w:rsidP="0026452D">
      <w:pPr>
        <w:pStyle w:val="TextoNormal"/>
      </w:pPr>
    </w:p>
    <w:p w:rsidR="0026452D" w:rsidRDefault="0026452D" w:rsidP="0026452D">
      <w:pPr>
        <w:pStyle w:val="TextoNormal"/>
      </w:pPr>
      <w:r>
        <w:t>Nuestra doctrina impone, con absoluta claridad, que la interdicción de la indefensión consagrada en el art. 24.1 CE implique a los órganos judiciales en el deber de velar por que quienes ostenten algún derecho o interés legítimo en un proceso de ejecución, aunque no hayan sido parte en el proceso principal, puedan comparecer y ser oídos en el mismo para garantizar su defensa, sin perjuicio del pronunciamiento que pueda recaer y de la posible existencia de otras acciones que puedan corresponder a los afectados (STC 43/2010, de 26 de julio, FJ 2).</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En relación con el proceso especial de ejecución hipotecaria, introducido por la Ley de 2 de diciembre de 1872 para el desaparecido Banco Hipotecario de España, S.A., y por </w:t>
      </w:r>
      <w:r>
        <w:lastRenderedPageBreak/>
        <w:t>la Ley hipotecaria de 1909, que ha perdurado en sus rasgos fundamentales hasta su sustitución por el régimen recogido en la vigente Ley 1/2000, de 7 de enero, de enjuiciamiento civil, la STC 41/1981, de 18 de diciembre, FJ 5, afirmaba que el procedimiento de ejecución hipotecaria se caracteriza como un procedimiento de realización del valor de la finca hipotecada, que carece de una fase de cognición y cuya estructura resulta lógica a partir de la naturaleza del título, donde se limita extraordinariamente la contradicción procesal, si bien ello no significa que se produzca indefensión por el carácter no definitivo del procedimiento, puesto que las cuestiones de fondo quedan intactas y pueden discutirse después con toda amplitud (en el mismo sentido, STC 158/1997, de 2 de octubre, FJ 6, y ATC 113/2011, de 19 de julio, FJ 4, en relación con el procedimiento especial de la Ley 1/2000, de enjuiciamiento civil).</w:t>
      </w:r>
    </w:p>
    <w:p w:rsidR="0026452D" w:rsidRDefault="0026452D" w:rsidP="0026452D">
      <w:pPr>
        <w:pStyle w:val="TextoNormal"/>
      </w:pPr>
    </w:p>
    <w:p w:rsidR="0026452D" w:rsidRDefault="0026452D" w:rsidP="0026452D">
      <w:pPr>
        <w:pStyle w:val="TextoNormal"/>
      </w:pPr>
      <w:r>
        <w:t>Sin embargo, la validez global de la estructura procedimental de la ejecución hipotecaria en modo alguno admite excepciones al derecho de defensa de los interesados, no siendo admisibles lecturas restrictivas de la intervención de quienes son titulares de derechos e intereses legítimos, entre los que figuran los denominados legalmente como “terceros poseedores” y el propietario de los bienes que no se ha subrogado en el contenido obligacional garantizado con la hipoteca.</w:t>
      </w:r>
    </w:p>
    <w:p w:rsidR="0026452D" w:rsidRDefault="0026452D" w:rsidP="0026452D">
      <w:pPr>
        <w:pStyle w:val="TextoNormal"/>
      </w:pPr>
    </w:p>
    <w:p w:rsidR="0026452D" w:rsidRDefault="0026452D" w:rsidP="0026452D">
      <w:pPr>
        <w:pStyle w:val="TextoNormal"/>
      </w:pPr>
      <w:r w:rsidRPr="0026452D">
        <w:rPr>
          <w:rStyle w:val="NumeroAFNegritaCaracter"/>
        </w:rPr>
        <w:t>4</w:t>
      </w:r>
      <w:r>
        <w:t>. En el caso examinado el Auto recurrido en amparo, dictado por el Juzgado de Primera Instancia de Avilés de 28 de octubre de 2011, declara no haber lugar al incidente de nulidad de actuaciones promovido por la parte recurrente en amparo, a quien niega legitimación por no ser “parte” en el procedimiento, máxime al no acreditar que hubiera comunicado a la entidad acreedora la adquisición de la finca adjudicada.</w:t>
      </w:r>
    </w:p>
    <w:p w:rsidR="0026452D" w:rsidRDefault="0026452D" w:rsidP="0026452D">
      <w:pPr>
        <w:pStyle w:val="TextoNormal"/>
      </w:pPr>
    </w:p>
    <w:p w:rsidR="0026452D" w:rsidRDefault="0026452D" w:rsidP="0026452D">
      <w:pPr>
        <w:pStyle w:val="TextoNormal"/>
      </w:pPr>
      <w:r>
        <w:t>Desde la estricta perspectiva constitucional, una línea constante y uniforme de este Tribunal en materia de acceso al proceso en general (art. 24.1 CE), y al procedimiento de ejecución hipotecaria en particular, ha promovido la defensa, dando la oportunidad de participar, contradictoriamente, en la fase de ejecución de este procedimiento especial, al existir una posición privilegiada del acreedor derivada de la fuerza ejecutiva del título.</w:t>
      </w:r>
    </w:p>
    <w:p w:rsidR="0026452D" w:rsidRDefault="0026452D" w:rsidP="0026452D">
      <w:pPr>
        <w:pStyle w:val="TextoNormal"/>
      </w:pPr>
    </w:p>
    <w:p w:rsidR="0026452D" w:rsidRDefault="0026452D" w:rsidP="0026452D">
      <w:pPr>
        <w:pStyle w:val="TextoNormal"/>
      </w:pPr>
      <w:r>
        <w:t>En este sentido, el art. 685 LEC establece que la demanda debe dirigirse frente al tercer poseedor de los bienes hipotecados “siempre que este último hubiese acreditado al acreedor la adquisición de dichos bienes”, precepto éste que entendido según el art. 24 CE nos lleva a la conclusión de que la situación de litisconsorcio necesario se produce en todo caso respecto de quien tiene inscrito su título adquisitivo, pues el procedimiento de ejecución hipotecaria no puede desarrollarse a espaldas del titular registral, como aquí ha sucedido, al serlo con anterioridad al inicio del proceso de ejecución hipotecaria.</w:t>
      </w:r>
    </w:p>
    <w:p w:rsidR="0026452D" w:rsidRDefault="0026452D" w:rsidP="0026452D">
      <w:pPr>
        <w:pStyle w:val="TextoNormal"/>
      </w:pPr>
    </w:p>
    <w:p w:rsidR="0026452D" w:rsidRDefault="0026452D" w:rsidP="0026452D">
      <w:pPr>
        <w:pStyle w:val="TextoNormal"/>
      </w:pPr>
      <w:r>
        <w:t xml:space="preserve">En efecto, en la cuestión planteada la inscripción en el Registro produce la protección del titular derivada de la publicidad registral, con efectos </w:t>
      </w:r>
      <w:r w:rsidRPr="0026452D">
        <w:rPr>
          <w:i/>
        </w:rPr>
        <w:t>erga omnes</w:t>
      </w:r>
      <w:r>
        <w:t xml:space="preserve">, por lo que debe entenderse acreditada ante el acreedor la adquisición desde el momento en que éste conoce el contenido de la titularidad publicada, que está amparada por la presunción de exactitud registral. Esta solución resulta reforzada por lo dispuesto en el art. 538.1.3 LEC, de aplicación al proceso especial de ejecución hipotecaria </w:t>
      </w:r>
      <w:r w:rsidRPr="0026452D">
        <w:rPr>
          <w:i/>
        </w:rPr>
        <w:t>ex</w:t>
      </w:r>
      <w:r>
        <w:t xml:space="preserve"> art. 681.1 LEC, donde se reconoce la condición de parte al titular de los bienes especialmente afectos al pago de la deuda, así como por lo dispuesto en el art. 132 de la Ley hipotecaria, que exige al Registrador, a la hora de realizar la calificación del título, que constate si se ha demandado y requerido de pago al </w:t>
      </w:r>
      <w:r>
        <w:lastRenderedPageBreak/>
        <w:t>deudor, hipotecante no deudor y “terceros poseedores que tengan inscritos su derecho en el Registro en el momento de expedirse certificación de cargas en el procedimiento”.</w:t>
      </w:r>
    </w:p>
    <w:p w:rsidR="0026452D" w:rsidRDefault="0026452D" w:rsidP="0026452D">
      <w:pPr>
        <w:pStyle w:val="TextoNormal"/>
      </w:pPr>
    </w:p>
    <w:p w:rsidR="0026452D" w:rsidRDefault="0026452D" w:rsidP="0026452D">
      <w:pPr>
        <w:pStyle w:val="TextoNormal"/>
      </w:pPr>
      <w:r>
        <w:t>También en relación a los terceros poseedores, que pueden exhibir su título ante el Juez, cuya eficacia sólo a efectos de la ejecución éste habrá de valorar, se impone dar la oportunidad a quien alega la existencia de un título, que evitaría la desposesión, de aducir la existencia de un derecho que, en apariencia, pueda subsistir, lo cual hemos extendido con mayor razón a quienes ostentan la posesión en concepto de dueños y además están protegidos por la fe pública registral (por todas, STC 29/2003, de 13 de febrero, FJ 8).</w:t>
      </w:r>
    </w:p>
    <w:p w:rsidR="0026452D" w:rsidRDefault="0026452D" w:rsidP="0026452D">
      <w:pPr>
        <w:pStyle w:val="TextoNormal"/>
      </w:pPr>
    </w:p>
    <w:p w:rsidR="0026452D" w:rsidRDefault="0026452D" w:rsidP="0026452D">
      <w:pPr>
        <w:pStyle w:val="TextoNormal"/>
      </w:pPr>
      <w:r w:rsidRPr="0026452D">
        <w:rPr>
          <w:rStyle w:val="NumeroAFNegritaCaracter"/>
        </w:rPr>
        <w:t>5</w:t>
      </w:r>
      <w:r>
        <w:t>. Las precedentes consideraciones permiten concluir reconociendo que se ha vulnerado el derecho a la tutela judicial efectiva sin indefensión de la entidad IG Llanerastur, S.L., al no haber sido llamada al proceso, puesto que consta acreditado que era titular del dominio de la vivienda hipotecada en virtud de subasta llevada a cabo por la Agencia Estatal de la Administración Tributaria, figura inscrito su derecho en el Registro de la Propiedad el 11 de marzo de 2008, y está identificada en la certificación de cargas expedida con anterioridad a la interposición de la demanda ejecutiva, sin que la sociedad demandante tuviera conocimiento efectivo del proceso de ejecución, con anterioridad a la fecha que indica la parte recurrente.</w:t>
      </w:r>
    </w:p>
    <w:p w:rsidR="0026452D" w:rsidRDefault="0026452D" w:rsidP="0026452D">
      <w:pPr>
        <w:pStyle w:val="TextoNormal"/>
      </w:pPr>
    </w:p>
    <w:p w:rsidR="0026452D" w:rsidRDefault="0026452D" w:rsidP="0026452D">
      <w:pPr>
        <w:pStyle w:val="TextoNormal"/>
      </w:pPr>
      <w:r>
        <w:t>No obstante haber alegado la representación procesal del Banco de Sabadell, S.A., que el demandante de amparo tenía conocimiento extraprocesal de la ejecución, tal conocimiento ha de estar acreditado fehacientemente en los autos, lo que no sucede en este caso, pues no puede basarse esta presunción a partir de meras conjeturas, “pues lo presumido es, justamente, el desconocimiento del proceso si así se alega”, en coherencia con la jurisprudencia de este Tribunal (por todas, SSTC 219/1999, de 29 de noviembre, FJ 2; 268/2000, de 13 de noviembre, FJ 4 y 210/2007, de 24 de septiembre, FJ 2).</w:t>
      </w:r>
    </w:p>
    <w:p w:rsidR="0026452D" w:rsidRDefault="0026452D" w:rsidP="0026452D">
      <w:pPr>
        <w:pStyle w:val="TextoNormal"/>
      </w:pPr>
    </w:p>
    <w:p w:rsidR="0026452D" w:rsidRDefault="0026452D" w:rsidP="0026452D">
      <w:pPr>
        <w:pStyle w:val="TextoNormal"/>
      </w:pPr>
      <w:r>
        <w:t>De conformidad con lo dispuesto en el art. 55.1 de la Ley Orgánica del Tribunal Constitucional, procede estimar el recurso de amparo y declarar la nulidad de todos los actos procesales desde la presentación de la demanda en el procedimiento de ejecución hipotecaria núm. 777-2009 seguido en el Juzgado de Primera Instancia núm. 2 de Avilés, retrotrayendo las actuaciones a dicho trámite para permitir al demandante de amparo su presencia en el referido proceso de ejecución hipotecaria, sin que proceda continuar la tramitación del incidente cautelar, al haberse producido la pérdida sobrevenida de su objeto.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la representación procesal de IG Llanerastur, S.L., y, en consecuencia:</w:t>
      </w:r>
    </w:p>
    <w:p w:rsidR="0026452D" w:rsidRDefault="0026452D" w:rsidP="0026452D">
      <w:pPr>
        <w:pStyle w:val="TextoNormal"/>
      </w:pPr>
    </w:p>
    <w:p w:rsidR="0026452D" w:rsidRDefault="0026452D" w:rsidP="0026452D">
      <w:pPr>
        <w:pStyle w:val="TextoNormal"/>
      </w:pPr>
      <w:r>
        <w:lastRenderedPageBreak/>
        <w:t>1º Reconocer el derecho de la parte recurrente a la tutela judicial efectiva sin indefensión (art. 24.1 CE).</w:t>
      </w:r>
    </w:p>
    <w:p w:rsidR="0026452D" w:rsidRDefault="0026452D" w:rsidP="0026452D">
      <w:pPr>
        <w:pStyle w:val="TextoNormal"/>
      </w:pPr>
    </w:p>
    <w:p w:rsidR="0026452D" w:rsidRDefault="0026452D" w:rsidP="0026452D">
      <w:pPr>
        <w:pStyle w:val="TextoNormal"/>
      </w:pPr>
      <w:r>
        <w:t>2º Declarar la nulidad del Auto de 28 de octubre de 2011, dictado por el Juzgado de Primera Instancia número 2 de Avilés, que desestimó la solicitud de nulidad de actuaciones promovida en el procedimiento de ejecución hipotecaria número 777-2009, así como de todas las resoluciones judiciales y actos procesales dictados en el citado procedimiento a partir del momento en que el órgano judicial acordó despachar ejecución en Auto de 4 de noviembre de 2009.</w:t>
      </w:r>
    </w:p>
    <w:p w:rsidR="0026452D" w:rsidRDefault="0026452D" w:rsidP="0026452D">
      <w:pPr>
        <w:pStyle w:val="TextoNormal"/>
      </w:pPr>
    </w:p>
    <w:p w:rsidR="0026452D" w:rsidRDefault="0026452D" w:rsidP="0026452D">
      <w:pPr>
        <w:pStyle w:val="TextoNormal"/>
      </w:pPr>
      <w:r>
        <w:t>3º Retrotraer las actuaciones al momento inmediatamente anterior a dictarse esta última resolución, a fin de que se notifique a la demandante la existencia del procedimiento ejecutivo y ésta pueda comparecer y ser oída en el mismo.</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ocho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83" w:name="SENTENCIA_2013_80"/>
      <w:r>
        <w:lastRenderedPageBreak/>
        <w:t>SENTENCIA 80/2013, de 11 de abril de 2013</w:t>
      </w:r>
    </w:p>
    <w:bookmarkEnd w:id="83"/>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ECLI:ES:TC:2013:80</w:t>
      </w:r>
    </w:p>
    <w:p w:rsidR="0026452D" w:rsidRDefault="0026452D" w:rsidP="0026452D">
      <w:pPr>
        <w:pStyle w:val="SntesisDescriptiva"/>
      </w:pPr>
    </w:p>
    <w:p w:rsidR="0026452D" w:rsidRDefault="0026452D" w:rsidP="0026452D">
      <w:pPr>
        <w:pStyle w:val="SntesisDescriptiva"/>
      </w:pPr>
      <w:r>
        <w:t>Conflicto positivo de competencia 5209-2003. Planteado por el Gobierno de la Junta de Comunidades de Castilla-La Mancha en relación con la expedición por el Ministerio de Medio Ambiente de diversos certificados sobre afección de proyectos a la Red Natura 2000.</w:t>
      </w:r>
    </w:p>
    <w:p w:rsidR="0026452D" w:rsidRDefault="0026452D" w:rsidP="0026452D">
      <w:pPr>
        <w:pStyle w:val="SntesisDescriptiva"/>
      </w:pPr>
    </w:p>
    <w:p w:rsidR="0026452D" w:rsidRDefault="0026452D" w:rsidP="0026452D">
      <w:pPr>
        <w:pStyle w:val="SntesisAnaltica"/>
      </w:pPr>
      <w:r>
        <w:t>Competencias sobre medio ambiente y espacios naturales protegidos: carácter instrumental de las certificaciones ambientales respecto de la obra de infraestructura de competencia estatal sobre la que versan (SSTC 13/1998 y 149/2012).</w:t>
      </w:r>
    </w:p>
    <w:p w:rsidR="0026452D" w:rsidRDefault="0026452D" w:rsidP="0026452D">
      <w:pPr>
        <w:pStyle w:val="SntesisAnaltica"/>
      </w:pPr>
    </w:p>
    <w:p w:rsidR="0026452D" w:rsidRDefault="0026452D" w:rsidP="0026452D">
      <w:pPr>
        <w:pStyle w:val="Extracto"/>
      </w:pPr>
      <w:r>
        <w:t>1.</w:t>
      </w:r>
      <w:r>
        <w:tab/>
        <w:t>Es acorde con la distribución constitucional de competencias que la legislación atribuya a la Administración del Estado la realización de la evaluación ambiental de las zonas especiales de conservación en aquellos casos en los que el plan o proyecto debe ser autorizado o aprobado por ella tras la realización de la correspondiente evaluación de impacto ambiental (SSTC 13/1998, 149/2012) [FJ 3].</w:t>
      </w:r>
    </w:p>
    <w:p w:rsidR="0026452D" w:rsidRDefault="0026452D" w:rsidP="0026452D">
      <w:pPr>
        <w:pStyle w:val="Extracto"/>
      </w:pPr>
    </w:p>
    <w:p w:rsidR="0026452D" w:rsidRDefault="0026452D" w:rsidP="0026452D">
      <w:pPr>
        <w:pStyle w:val="Extracto"/>
      </w:pPr>
      <w:r>
        <w:t>2.</w:t>
      </w:r>
      <w:r>
        <w:tab/>
        <w:t>La evaluación de impacto ambiental es una técnica transversal que condiciona la actuación estatal que se materializa físicamente repercutiendo en el territorio y en el medio ambiente de una o varias Comunidades Autónomas, siendo su finalidad que todas las Administraciones públicas valoren el medio ambiente cuando ejercen sus competencias sobre cualquiera de las obras, instalaciones u otras actividades de su competencia que están sometidas por la Constitución y los Estatutos de Autonomía a reglas específicas de reparto de competencias, que son títulos que atraen a la de medio ambiente (SSTC 13/1998, 149/2012) [FJ 3].</w:t>
      </w:r>
    </w:p>
    <w:p w:rsidR="0026452D" w:rsidRDefault="0026452D" w:rsidP="0026452D">
      <w:pPr>
        <w:pStyle w:val="Extracto"/>
      </w:pPr>
    </w:p>
    <w:p w:rsidR="0026452D" w:rsidRDefault="0026452D" w:rsidP="0026452D">
      <w:pPr>
        <w:pStyle w:val="Extracto"/>
      </w:pPr>
      <w:r>
        <w:t>3.</w:t>
      </w:r>
      <w:r>
        <w:tab/>
        <w:t>La evaluación ambiental de la zona especial de conservación —como técnica específica de evaluación— se integra, dada su naturaleza sectorial, en la más general de la evaluación de impacto ambiental, garantizándose, en todo caso, la consulta —por la vía del informe preceptivo— a las Comunidades Autónomas en cuyo territorio se ubique el proyecto en cuestión (STC 149/2012) [FJ 3].</w:t>
      </w:r>
    </w:p>
    <w:p w:rsidR="0026452D" w:rsidRDefault="0026452D" w:rsidP="0026452D">
      <w:pPr>
        <w:pStyle w:val="Extracto"/>
      </w:pPr>
    </w:p>
    <w:p w:rsidR="0026452D" w:rsidRDefault="0026452D" w:rsidP="0026452D">
      <w:pPr>
        <w:pStyle w:val="Extracto"/>
      </w:pPr>
      <w:r>
        <w:t>4.</w:t>
      </w:r>
      <w:r>
        <w:tab/>
        <w:t>Doctrina sobre atribución de competencias en la evaluación del impacto ambiental (SSTC 13/1998, 149/2012) [FJ 3].</w:t>
      </w:r>
    </w:p>
    <w:p w:rsidR="0026452D" w:rsidRDefault="0026452D" w:rsidP="0026452D">
      <w:pPr>
        <w:pStyle w:val="Extracto"/>
      </w:pPr>
    </w:p>
    <w:p w:rsidR="0026452D" w:rsidRDefault="0026452D" w:rsidP="0026452D">
      <w:pPr>
        <w:pStyle w:val="Extracto"/>
      </w:pPr>
      <w:r>
        <w:t>5.</w:t>
      </w:r>
      <w:r>
        <w:tab/>
        <w:t>Doctrina sobre la necesaria correlación entre el requerimiento previo y el conflicto positivo de competencias planteado (SSTC 116/1984, 209/1989) [FJ 2].</w:t>
      </w:r>
    </w:p>
    <w:p w:rsidR="0026452D" w:rsidRDefault="0026452D" w:rsidP="0026452D">
      <w:pPr>
        <w:pStyle w:val="Extracto"/>
      </w:pPr>
    </w:p>
    <w:p w:rsidR="0026452D" w:rsidRDefault="0026452D" w:rsidP="0026452D">
      <w:pPr>
        <w:pStyle w:val="Extracto"/>
      </w:pPr>
      <w:r>
        <w:t>6.</w:t>
      </w:r>
      <w:r>
        <w:tab/>
        <w:t>En los procesos de contenido competencial la pervivencia del objeto depende que haya cesado o no la controversia competencial, toda vez que poner fin a la misma a la luz del orden constitucional de reparto de competencias es el fin último al que sirven tales procesos (STC 149/2012) [FJ 2].</w:t>
      </w:r>
    </w:p>
    <w:p w:rsidR="0026452D" w:rsidRDefault="0026452D" w:rsidP="0026452D">
      <w:pPr>
        <w:pStyle w:val="Extracto"/>
      </w:pPr>
    </w:p>
    <w:p w:rsidR="0026452D" w:rsidRDefault="0026452D" w:rsidP="0026452D">
      <w:pPr>
        <w:pStyle w:val="Extracto"/>
      </w:pPr>
      <w:r>
        <w:lastRenderedPageBreak/>
        <w:t>7.</w:t>
      </w:r>
      <w:r>
        <w:tab/>
        <w:t>Procede desestimar el conflicto positivo de competencias dado que las certificaciones objeto del conflicto, resultan amparadas por la competencia sustantiva estatal de la que es ejercicio el proyecto de infraestructura y, en consecuencia, no suponen una invasión de la competencia ejecutiva que corresponde a la Junta de Comunidades de Castilla-La Mancha en materia de protección ambiental [FJ 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Rosa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5209-2003, interpuesto por el Gobierno de la Junta de Comunidades de Castilla-La Mancha contra la emisión por parte Dirección General de Conservación de la Naturaleza del Ministerio de Medio Ambiente de certificados sobre afección de proyectos a la Red Natura 2000 y en particular los emitidos sobre los siguientes proyectos: a) Modernización de regadíos zona regable de Castrejón M.I. obras primer establecimiento (Toledo); b) Construcción del centro de educación ambiental de Luciana (Ciudad Real); c) Acondicionamiento del río Jabalón y puente en Camino de la Ermita (Ciudad Real); d) Acondicionamiento arroyo Golizo. Término municipal de Riópar (Albacete) y e) Acondicionamiento del Barranco de la Villa. Término municipal de Yeste (Albacete). Ha comparecido y formulado alegaciones el Abogado del Estado. Ha sido Ponente el Magistrado don Luis Ignacio Ortega Álvarez,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el día 7 de agosto de 2003 el Letrado de la Junta de Comunidades de Castilla-La Mancha, en la representación que ostenta, promueve conflicto positivo de competencia “respecto de la emisión por parte de la Administración General del Estado (Dirección General de Conservación de la Naturaleza del Ministerio de Medio Ambiente) de certificados sobre afección de proyectos a la Red Natura 2000 y en particular los emitidos sobre los siguientes proyectos: a) Modernización de regadíos zona regable de Castrejón M.I. obras primer establecimiento (Toledo); b) Construcción del centro de educación ambiental de Luciana (Ciudad Real); c) Acondicionamiento del río Jabalón y puente en Camino de la Ermita (Ciudad Real): d) Acondicionamiento arroyo Golizo. Término municipal de Riópar (Albacete); e) Acondicionamiento del barranco de la Villa. Término municipal de Yeste (Albacete).”</w:t>
      </w:r>
    </w:p>
    <w:p w:rsidR="0026452D" w:rsidRDefault="0026452D" w:rsidP="0026452D">
      <w:pPr>
        <w:pStyle w:val="TextoNormal"/>
      </w:pPr>
    </w:p>
    <w:p w:rsidR="0026452D" w:rsidRDefault="0026452D" w:rsidP="0026452D">
      <w:pPr>
        <w:pStyle w:val="TextoNormal"/>
      </w:pPr>
      <w:r>
        <w:lastRenderedPageBreak/>
        <w:t>Comienza la demanda de conflicto describiendo el contexto normativo en que se integran dichos certificados. Alude a la Directiva 92/43/CEE, del Consejo, de 21 de mayo, sobre conservación de los hábitats naturales de la fauna y la flora silvestres, que el Real Decreto 1997/1995, de 7 de diciembre, por el que se establecen medidas para contribuir a garantizar la biodiversidad mediante la conservación de los hábitats naturales de la flora y la fauna silvestre, traspone parcialmente. Y precisa a continuación que este Real Decreto atribuye a las Comunidades Autónomas la totalidad de las competencias ejecutivas en materia de zonas especiales de conservación, la elaboración de listas de lugares que pueden ser declarados como tales y la fijación de las medidas de conservación, estableciendo el art. 6.3:</w:t>
      </w:r>
    </w:p>
    <w:p w:rsidR="0026452D" w:rsidRDefault="0026452D" w:rsidP="0026452D">
      <w:pPr>
        <w:pStyle w:val="TextoNormal"/>
      </w:pPr>
    </w:p>
    <w:p w:rsidR="0026452D" w:rsidRDefault="0026452D" w:rsidP="0026452D">
      <w:pPr>
        <w:pStyle w:val="TextoNormal"/>
      </w:pPr>
      <w:r>
        <w:t>“Cualquier plan o proyecto que, sin tener relación directa con la gestión del lugar o sin ser necesario para la misma, pueda afectar de forma apreciable a los citados lugares, ya sea individualmente o en combinación con otros planes o proyectos, se someterá a una adecuada evaluación de sus repercusiones en el lugar, que se realizará de acuerdo con las normas que sean de aplicación, de acuerdo con lo establecido en la legislación básica estatal y en las normas adicionales de protección dictadas por las Comunidades Autónomas, teniendo en cuenta los objetivos de conservación de dicho lugar. A la vista de las conclusiones de la evaluación de las repercusiones en el lugar y supeditado a lo dispuesto en el apartado 4 de este artículo, las Comunidades Autónomas correspondientes sólo manifestarán su conformidad con dicho plan o proyecto tras haberse asegurado de que no causará perjuicio a la integridad del lugar en cuestión y, si procede, tras haberlo sometido a información pública.”</w:t>
      </w:r>
    </w:p>
    <w:p w:rsidR="0026452D" w:rsidRDefault="0026452D" w:rsidP="0026452D">
      <w:pPr>
        <w:pStyle w:val="TextoNormal"/>
      </w:pPr>
    </w:p>
    <w:p w:rsidR="0026452D" w:rsidRDefault="0026452D" w:rsidP="0026452D">
      <w:pPr>
        <w:pStyle w:val="TextoNormal"/>
      </w:pPr>
      <w:r>
        <w:t>Acto seguido expone que los días 22 y 29 de abril de 2003 tuvieron entrada en la Consejería de Agricultura y Medio Ambiente de la Junta de Comunidades de Castilla-La Mancha los cinco certificados de afección a la Red Natura 2000 mencionados en el encabezamiento, acordándose por el Consejo de Gobierno de la Junta de Comunidades de Castilla-La Mancha requerir al Gobierno de España para que cese en la emisión de dicho tipo de certificados, con referencia particular a los recibidos en tales fechas, requerimiento que fue rechazado.</w:t>
      </w:r>
    </w:p>
    <w:p w:rsidR="0026452D" w:rsidRDefault="0026452D" w:rsidP="0026452D">
      <w:pPr>
        <w:pStyle w:val="TextoNormal"/>
      </w:pPr>
    </w:p>
    <w:p w:rsidR="0026452D" w:rsidRDefault="0026452D" w:rsidP="0026452D">
      <w:pPr>
        <w:pStyle w:val="TextoNormal"/>
      </w:pPr>
      <w:r>
        <w:t>El Letrado autonómico, una vez delimitados así los hechos relevantes, dedica un primer fundamento jurídico al marco competencial en materia de medio ambiente, que viene definido, por una parte, por el art. 148.1.9 CE, que permite a las Comunidades Autónomas asumir competencias de gestión en materia de protección del medio ambiente y, por otro lado, por el art. 149.1.23 CE, que reserva al Estado la competencia de legislación básica sobre protección del medio ambiente. Por su parte, el art. 32.2 del Estatuto de Autonomía de Castilla-La Mancha atribuye a la Comunidad Autónoma el desarrollo legislativo y la ejecución en materia de espacios naturales protegidos, en tanto que el art. 32.7 le confiere, en el marco de la legislación básica del Estado, las competencias de desarrollo legislativo y la ejecución en materia de protección del medio ambiente y de los ecosistemas, así como la facultad de dictar normas adicionales de protección.</w:t>
      </w:r>
    </w:p>
    <w:p w:rsidR="0026452D" w:rsidRDefault="0026452D" w:rsidP="0026452D">
      <w:pPr>
        <w:pStyle w:val="TextoNormal"/>
      </w:pPr>
    </w:p>
    <w:p w:rsidR="0026452D" w:rsidRDefault="0026452D" w:rsidP="0026452D">
      <w:pPr>
        <w:pStyle w:val="TextoNormal"/>
      </w:pPr>
      <w:r>
        <w:t xml:space="preserve">En el segundo fundamento jurídico, a partir del análisis de la regulación de ese tipo de certificados, sostiene que su realización se vincula a la existencia de zonas de especial conservación y a la repercusión que sobre ellas tiene una concreta actuación pública o privada, no teniendo que ver con que el plan o proyecto evaluado sea de un tipo u otro, ni tampoco con que se financie con fondos de la Unión Europea, ya que, en cuanto a esto último, su exigencia alcanza también a aquellos en lo que no intervenga ésta como ente cofinanciador, deduciendo de todo ello que esta actividad pública de control se encuadra en el ámbito de </w:t>
      </w:r>
      <w:r>
        <w:lastRenderedPageBreak/>
        <w:t>la gestión de la protección medioambiental y no en la competencia sustantiva que habilita para realizar la obra o proyecto. Afirma también este fundamento jurídico que, coherentemente con lo expuesto, el art. 6.3 del Real Decreto 1997/1995 atribuye a las Comunidades Autónomas la expedición de este tipo de certificados.</w:t>
      </w:r>
    </w:p>
    <w:p w:rsidR="0026452D" w:rsidRDefault="0026452D" w:rsidP="0026452D">
      <w:pPr>
        <w:pStyle w:val="TextoNormal"/>
      </w:pPr>
    </w:p>
    <w:p w:rsidR="0026452D" w:rsidRDefault="0026452D" w:rsidP="0026452D">
      <w:pPr>
        <w:pStyle w:val="TextoNormal"/>
      </w:pPr>
      <w:r>
        <w:t>Las últimas consideraciones del Letrado autonómico rechazan la identidad entre la técnica de evaluación de impacto ambiental y la de certificación de afección de obras y proyectos a la Red Natura 2000, identidad postulada por el Gobierno de la Nación en la contestación al requerimiento de incompetencia al efecto de mantener que es extensible a este caso la doctrina de la STC 13/1998, de 22 de enero, en la que se afirma que es conforme con el orden constitucional de competencias el que la evaluación de impacto ambiental se confíe, no a la Administración competente en materia ambiental, sino a la propia Administración que lo es para realizar o autorizar el proyecto u obra.</w:t>
      </w:r>
    </w:p>
    <w:p w:rsidR="0026452D" w:rsidRDefault="0026452D" w:rsidP="0026452D">
      <w:pPr>
        <w:pStyle w:val="TextoNormal"/>
      </w:pPr>
    </w:p>
    <w:p w:rsidR="0026452D" w:rsidRDefault="0026452D" w:rsidP="0026452D">
      <w:pPr>
        <w:pStyle w:val="TextoNormal"/>
      </w:pPr>
      <w:r>
        <w:t>No existe tal identidad, según el Letrado autonómico, pues “la normativa que regula la evaluación de impacto ambiental la contempla para supuestos específicos determinados en sus anexos, previendo un procedimiento particular y un esquema de distribución de competencias propio entre órgano sustantivo y ambiental que la individualizan y caracterizan, sin que sea posible aplicarla por analogía a otros supuestos conceptualmente distintos”. Además, sigue diciendo, “la Directiva 97/71/CE, del Consejo, de 3 de marzo, relativa a la evaluación del impacto de determinados proyectos públicos y privados sobre el medio ambiental …. dispone que la existencia de un criterio de localización relativo a las áreas de especial protección … no implica necesariamente que los proyectos situados en esas áreas tengan que ser automáticamente sometidos a una evaluación de repercusión con arreglo a la presente Directiva”, de donde deduce que ambas fórmulas de control medioambiental difieren porque no siempre proceden en los mismos casos.</w:t>
      </w:r>
    </w:p>
    <w:p w:rsidR="0026452D" w:rsidRDefault="0026452D" w:rsidP="0026452D">
      <w:pPr>
        <w:pStyle w:val="TextoNormal"/>
      </w:pPr>
    </w:p>
    <w:p w:rsidR="0026452D" w:rsidRDefault="0026452D" w:rsidP="0026452D">
      <w:pPr>
        <w:pStyle w:val="TextoNormal"/>
      </w:pPr>
      <w:r>
        <w:t>La demanda de conflicto concluye que “los razonamientos expuestos desvirtúan la identidad pretendida entre ambos instrumentos, sin que, por ende, pueda hacerse aplicación directa a la evaluación de repercusión, tal como se pretende de contrario, de la jurisprudencia constitucional dictada en relación a la evaluación de impacto ambiental”. Y, por tanto, con libertad de criterio, el Tribunal tiene que apreciar que, frente a lo afirmado por la Administración del Estado, “la evaluación que debe realizarse en planes y proyectos que afecten a zonas especiales de conservación no deriva del tipo de obra a realizar sino que se trata de una evaluación de incidencia en un espacio designado para el mantenimiento o restablecimiento de un estado de conservación favorable de los hábitats naturales y de las especies silvestres de la fauna y flora de interés comunitario. Se trata, pues, de una medida directamente dirigida a la protección de dichos espacios desde la perspectiva de los valores que dieron lugar a la mencionada declaración, valores apreciados, como recoge el Real Decreto 1997/1995, por las Comunidades Autónomas y que, como consecuencia de los títulos estatutarios a ellos corresponde proteger”.</w:t>
      </w:r>
    </w:p>
    <w:p w:rsidR="0026452D" w:rsidRDefault="0026452D" w:rsidP="0026452D">
      <w:pPr>
        <w:pStyle w:val="TextoNormal"/>
      </w:pPr>
    </w:p>
    <w:p w:rsidR="0026452D" w:rsidRDefault="0026452D" w:rsidP="0026452D">
      <w:pPr>
        <w:pStyle w:val="TextoNormal"/>
      </w:pPr>
      <w:r>
        <w:t>Todo ello le lleva a suplicar que “se … tenga por formulado en tiempo y forma conflicto positivo de competencia frente a la emisión, por parte del Estado, de los expresados certificados de afección de proyectos a la Red Natura 2000, y dicte en su día Sentencia por la que se declare que se ha vulnerado el orden constitucional de competencias y que dicha emisión corresponde a la Comunidad Autónoma de Castilla-La Mancha por así derivar de los arts. 32.2 y 32.7 de su Estatuto de Autonomía en conexión con el art. 148.1.9 CE.”</w:t>
      </w:r>
    </w:p>
    <w:p w:rsidR="0026452D" w:rsidRDefault="0026452D" w:rsidP="0026452D">
      <w:pPr>
        <w:pStyle w:val="TextoNormal"/>
      </w:pPr>
    </w:p>
    <w:p w:rsidR="0026452D" w:rsidRDefault="0026452D" w:rsidP="0026452D">
      <w:pPr>
        <w:pStyle w:val="TextoNormal"/>
      </w:pPr>
      <w:r w:rsidRPr="0026452D">
        <w:rPr>
          <w:rStyle w:val="NumeroAFNegritaCaracter"/>
        </w:rPr>
        <w:t>2</w:t>
      </w:r>
      <w:r>
        <w:t>. La Sección Segunda, por providencia de 16 de septiembre de 2003, acordó admitir a trámite el conflicto positivo de competencia promovido por el Gobierno de la Junta de Comunidades de Castilla-La Mancha, dar traslado de la demanda y documentos presentados al Gobierno de la Nación, por conducto de su Presidente, al objeto de que en plazo de veinte días alegue lo que estime oportuno, comunicar la incoación del conflicto al Decano de los Juzgados Centrales de lo Contencioso-Administrativo, por si ante los mismos estuviera impugnada o se impugnase la certificación objeto de conflicto, en cuyo caso se suspenderá el curso del proceso hasta la decisión del conflicto y publicar la incoación del conflicto en el “Boletín Oficial del Estado” y en el “Diario Oficial de Castilla-La Mancha”.</w:t>
      </w:r>
    </w:p>
    <w:p w:rsidR="0026452D" w:rsidRDefault="0026452D" w:rsidP="0026452D">
      <w:pPr>
        <w:pStyle w:val="TextoNormal"/>
      </w:pPr>
    </w:p>
    <w:p w:rsidR="0026452D" w:rsidRDefault="0026452D" w:rsidP="0026452D">
      <w:pPr>
        <w:pStyle w:val="TextoNormal"/>
      </w:pPr>
      <w:r w:rsidRPr="0026452D">
        <w:rPr>
          <w:rStyle w:val="NumeroAFNegritaCaracter"/>
        </w:rPr>
        <w:t>3</w:t>
      </w:r>
      <w:r>
        <w:t>. El Abogado del Estado, en escrito de alegaciones registrado en este Tribunal el día 25 de septiembre de 2003, se opone a la demanda y solicita que se dicte Sentencia declarando ajustada a la Constitución la certificación impugnada.</w:t>
      </w:r>
    </w:p>
    <w:p w:rsidR="0026452D" w:rsidRDefault="0026452D" w:rsidP="0026452D">
      <w:pPr>
        <w:pStyle w:val="TextoNormal"/>
      </w:pPr>
    </w:p>
    <w:p w:rsidR="0026452D" w:rsidRDefault="0026452D" w:rsidP="0026452D">
      <w:pPr>
        <w:pStyle w:val="TextoNormal"/>
      </w:pPr>
      <w:r>
        <w:t>Alude primero al reparto competencial entre Estado y Comunidades Autónomas para la protección del medio ambiente. Dice que la STC 102/1995, de 26 de junio, fija, entre otros criterios, que “los recursos naturales son soportes físicos de una pluralidad de actuaciones públicas y privadas en relación a los cuales la Constitución y los Estatutos han atribuido diversas competencias” y dado que “sobre una misma superficie o espacio natural pueden actuar distintas Administraciones públicas para diferentes funciones o competencias, ... resulta inevitable a continuación determinar, en cada caso, el título competencial predominante por su vinculación directa e inmediata, en virtud del principio de especificidad, operando así … mediante la calificación del contenido material de cada precepto y la averiguación de su finalidad”. Y concluye que “en el presente caso el título competencial predominante, tanto por la finalidad inmediata, obtención de financiación, como por la finalidad mediata, realización de una obra, es la competencia sustantiva en cuyo ejercicio consiste la realización del proyecto u obra a realizar, de forma que la emisión de una certificación de evaluación ambiental de la misma, no supone ejercicio de competencias en materia de gestión del medio ambiente, sino de la competencia que justifica el proyecto u obra a realizar”.</w:t>
      </w:r>
    </w:p>
    <w:p w:rsidR="0026452D" w:rsidRDefault="0026452D" w:rsidP="0026452D">
      <w:pPr>
        <w:pStyle w:val="TextoNormal"/>
      </w:pPr>
    </w:p>
    <w:p w:rsidR="0026452D" w:rsidRDefault="0026452D" w:rsidP="0026452D">
      <w:pPr>
        <w:pStyle w:val="TextoNormal"/>
      </w:pPr>
      <w:r>
        <w:t>Añade otra alegación en la que analiza el art. 6.3 del Real Decreto 1997/1995 y afirma que en su virtud la Dirección General de Conservación de la Naturaleza del Ministerio de Medio Ambiente expidió las certificaciones objeto del conflicto, que contienen una declaración que “se realizó en el ámbito de un procedimiento de solicitud de fondos de cohesión europeos cuya finalidad inmediata es la obtención de la financiación del proyecto y la mediata es la realización de la obra”. No cabe duda, sigue razonando, que “entre la evaluación de impacto ambiental ... y la evaluación de repercusión sobre las zonas protegidas integrantes de la Red ‘Natura 2000’, prevista en el 6.3 Real Decreto 1997/1995, se da una analogía que permite considerar, como tuvo oportunidad de señalar la citada Sentencia 13/1998, de 24 de febrero, que su finalidad es la de facilitar a las autoridades competentes información adecuada que les permita decidir sobre un determinado proyecto con pleno conocimiento de sus posibles impactos significativos en el medio ambiente”. Y a partir de esa consideración, y en aplicación de la doctrina constitucional de la STC 13/1998,  que cita, deduce que “tal declaración no supone ejercicio de competencias ni en materia de medio ambiente ni de espacios naturales protegidos sino de una competencia a la que están anudados el proyecto u obra pública concretos que se pretende ejecutar por la Administración que la tiene atribuida, competencia que no resulta discutida en la demanda de conflicto”.</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9 de abril de 2013 se señaló para deliberación y votación del presente recurso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 planteado por el Consejo de Gobierno de la Junta de Comunidades de Castilla-La Mancha contra la emisión por la Dirección General de Conservación de la Naturaleza del Ministerio de Medio Ambiente de los cinco certificados de afección de proyectos a la Red Natura 2000 indicados en los antecedentes de esta resolución.</w:t>
      </w:r>
    </w:p>
    <w:p w:rsidR="0026452D" w:rsidRDefault="0026452D" w:rsidP="0026452D">
      <w:pPr>
        <w:pStyle w:val="TextoNormal"/>
      </w:pPr>
    </w:p>
    <w:p w:rsidR="0026452D" w:rsidRDefault="0026452D" w:rsidP="0026452D">
      <w:pPr>
        <w:pStyle w:val="TextoNormal"/>
      </w:pPr>
      <w:r>
        <w:t>El Letrado autonómico pretende en el suplico que el Tribunal Constitucional “tenga por formulado en tiempo y forma conflicto positivo de competencia frente a la emisión, por parte del Estado, de los expresados certificados de afección de proyectos a la Red Natura 2000, y dicte en su día Sentencia por la que declare que se ha vulnerado el orden constitucional de competencias y que dicha emisión corresponde a la Comunidad Autónoma de Castilla-La Mancha por así derivar de los arts. 32.2 y 32.7 de su Estatuto de Autonomía en conexión con el art. 148.1.9 CE”. Según su argumentación, la evaluación que debe realizarse en planes y proyectos que afecten a zonas especiales de conservación no deriva del tipo de obra a realizar sino que se trata de una evaluación de incidencia en un espacio designado para el mantenimiento o restablecimiento de un estado de conservación favorable de los hábitats naturales y de las especies silvestres de la fauna y flora de interés comunitario. Se trata, por tanto, de una actuación de carácter eminentemente medioambiental, encuadrándose por ello en las facultades de ejecución en materia de espacios naturales protegidos (art. 32.2 del Estatuto de Autonomía de Castilla-La Mancha: EACM) y en materia de protección ambiental (art. 32.7 EACM) que corresponden a la Junta de Comunidades de Castilla-La Mancha. A su juicio, y coherentemente con lo expuesto, el art. 6.3 Real Decreto 1997/1995, de 7 de diciembre, atribuye a las Comunidades Autónomas la expedición de este tipo de certificados.</w:t>
      </w:r>
    </w:p>
    <w:p w:rsidR="0026452D" w:rsidRDefault="0026452D" w:rsidP="0026452D">
      <w:pPr>
        <w:pStyle w:val="TextoNormal"/>
      </w:pPr>
    </w:p>
    <w:p w:rsidR="0026452D" w:rsidRDefault="0026452D" w:rsidP="0026452D">
      <w:pPr>
        <w:pStyle w:val="TextoNormal"/>
      </w:pPr>
      <w:r>
        <w:t>Por el contrario, el Abogado del Estado defiende la constitucionalidad de la actuación impugnada, por los motivos que se resumen en los antecedentes de esta Sentencia, y rechaza que se vulneren los títulos competenciales alegados por el Letrado de la Junta de Comunidades de Castilla-La Mancha.</w:t>
      </w:r>
    </w:p>
    <w:p w:rsidR="0026452D" w:rsidRDefault="0026452D" w:rsidP="0026452D">
      <w:pPr>
        <w:pStyle w:val="TextoNormal"/>
      </w:pPr>
    </w:p>
    <w:p w:rsidR="0026452D" w:rsidRDefault="0026452D" w:rsidP="0026452D">
      <w:pPr>
        <w:pStyle w:val="TextoNormal"/>
      </w:pPr>
      <w:r w:rsidRPr="0026452D">
        <w:rPr>
          <w:rStyle w:val="NumeroAFNegritaCaracter"/>
        </w:rPr>
        <w:t>2</w:t>
      </w:r>
      <w:r>
        <w:t>. Referidos en su esencia los términos en que las partes plantean este proceso constitucional, y antes de adentrarnos en su resolución, hemos de realizar algunas consideraciones sobre su objeto y sobre la incidencia de las modificaciones normativas acaecidas durante su pendencia.</w:t>
      </w:r>
    </w:p>
    <w:p w:rsidR="0026452D" w:rsidRDefault="0026452D" w:rsidP="0026452D">
      <w:pPr>
        <w:pStyle w:val="TextoNormal"/>
      </w:pPr>
    </w:p>
    <w:p w:rsidR="0026452D" w:rsidRDefault="0026452D" w:rsidP="0026452D">
      <w:pPr>
        <w:pStyle w:val="TextoNormal"/>
      </w:pPr>
      <w:r>
        <w:t xml:space="preserve">a) El objeto de este proceso constitucional no es, ni tampoco requiere, interpretar el art. 6.3 del Real Decreto 1997/1995, que en lo que aquí interesa es legalidad ordinaria. Primero, porque el suplico dirige el conflicto, no contra ese precepto, sino contra las cinco certificaciones expedidas por la Dirección General de Conservación de la Naturaleza del Ministerio de Medio Ambiente. Segundo, porque la controversia, tal como la plantean las partes, no gira en torno a si la actividad de control en que consisten esas certificaciones queda dentro </w:t>
      </w:r>
      <w:r>
        <w:lastRenderedPageBreak/>
        <w:t>o fuera de las bases que el Estado puede establecer en la materia protección del medioambiente, entre las cuales eventualmente pudiera contarse el Real Decreto 1997/1995, sino a si la referida actuación se incardina en dicha materia competencial o, por el contrario, en la materia sustantiva que se ejercite con la obra o proyecto que se evalúa con la actuación controvertida.</w:t>
      </w:r>
    </w:p>
    <w:p w:rsidR="0026452D" w:rsidRDefault="0026452D" w:rsidP="0026452D">
      <w:pPr>
        <w:pStyle w:val="TextoNormal"/>
      </w:pPr>
    </w:p>
    <w:p w:rsidR="0026452D" w:rsidRDefault="0026452D" w:rsidP="0026452D">
      <w:pPr>
        <w:pStyle w:val="TextoNormal"/>
      </w:pPr>
      <w:r>
        <w:t>b) El requerimiento previo al conflicto, acordado por el Consejo de Gobierno de la Junta de Comunidades de Castilla-La Mancha el día 20 de mayo de 2003, no contenía ninguna mención sobre la invasión de la competencia autonómica que el art. 32.2 de su Estatuto de Autonomía le confiere sobre el desarrollo legislativo y la ejecución en materia de espacios naturales protegidos, vulneración a la que se alude por vez primera en el acuerdo del Consejo de Gobierno de la Junta de Comunidades de Castilla-La Mancha de 29 de julio de 2003 por el que se decide, ante el fracaso del requerimiento previo, interponer el conflicto positivo de competencia ante el Tribunal Constitucional.</w:t>
      </w:r>
    </w:p>
    <w:p w:rsidR="0026452D" w:rsidRDefault="0026452D" w:rsidP="0026452D">
      <w:pPr>
        <w:pStyle w:val="TextoNormal"/>
      </w:pPr>
    </w:p>
    <w:p w:rsidR="0026452D" w:rsidRDefault="0026452D" w:rsidP="0026452D">
      <w:pPr>
        <w:pStyle w:val="TextoNormal"/>
      </w:pPr>
      <w:r>
        <w:t>Sobre la necesaria correlación entre el requerimiento y el conflicto planteado se ha pronunciado este Tribunal en la STC 116/1984, de 4 de diciembre, según la que “los motivos de incompetencia alegados en el escrito de planteamiento deben coincidir, en sustancia, con los formulados en el requerimiento”, añadiendo que, en cambio, tienen menor importancia las divergencias respecto a los preceptos constitucionales o estatutarios invocados. Y la STC 209/1989, de 15 de diciembre, confirmó que “lo sustancial es, pues, el título competencial denunciado y no los preceptos en que el mismo se apoye, toda vez que, como señala la STC 96/1986, de 10 de julio, la finalidad del requerimiento es hacer posible una avenencia entre el órgano requirente y el requerido que evite el ulterior proceso constitucional”.</w:t>
      </w:r>
    </w:p>
    <w:p w:rsidR="0026452D" w:rsidRDefault="0026452D" w:rsidP="0026452D">
      <w:pPr>
        <w:pStyle w:val="TextoNormal"/>
      </w:pPr>
    </w:p>
    <w:p w:rsidR="0026452D" w:rsidRDefault="0026452D" w:rsidP="0026452D">
      <w:pPr>
        <w:pStyle w:val="TextoNormal"/>
      </w:pPr>
      <w:r>
        <w:t>Con arreglo a esta doctrina, no podemos entrar a valorar si ha sido invadida la competencia atribuida a la Junta de Comunidades de Castilla-La Mancha por el art. 32.2 de su Estatuto de Autonomía, pues el requerimiento previo solo se refería al desconocimiento de las competencias de desarrollo legislativo y ejecución en materia de protección del medio ambiente y de los ecosistemas, que es un título distinto, como se desprende de que está amparado en un apartado diferente de dicho art. 32 de su Estatuto de Autonomía. En otras palabras, la divergencia no se ciñe a la mención de un precepto nuevo relativo al mismo título competencial, sino que el apartado 2 del art. 32 de su Estatuto de Autonomía al que la Junta de Comunidades de Castilla-La Mancha no aludió en el requerimiento previo hace entrar en juego un título competencial sobre el que antes nada se había alegado.</w:t>
      </w:r>
    </w:p>
    <w:p w:rsidR="0026452D" w:rsidRDefault="0026452D" w:rsidP="0026452D">
      <w:pPr>
        <w:pStyle w:val="TextoNormal"/>
      </w:pPr>
    </w:p>
    <w:p w:rsidR="0026452D" w:rsidRDefault="0026452D" w:rsidP="0026452D">
      <w:pPr>
        <w:pStyle w:val="TextoNormal"/>
      </w:pPr>
      <w:r>
        <w:t>c) Es doctrina constitucional que en los procesos de contenido competencial la pervivencia del objeto depende que haya “cesado o no la controversia competencial, toda vez que poner fin a la misma a la luz del orden constitucional de reparto de competencias es el fin último al que sirven tales procesos” [por todas, STC 149/2012, de 5 de julio, FJ 2 b)].</w:t>
      </w:r>
    </w:p>
    <w:p w:rsidR="0026452D" w:rsidRDefault="0026452D" w:rsidP="0026452D">
      <w:pPr>
        <w:pStyle w:val="TextoNormal"/>
      </w:pPr>
    </w:p>
    <w:p w:rsidR="0026452D" w:rsidRDefault="0026452D" w:rsidP="0026452D">
      <w:pPr>
        <w:pStyle w:val="TextoNormal"/>
      </w:pPr>
      <w:r>
        <w:t xml:space="preserve">El suplico del escrito rector de este proceso deja claro, como resulta de la parte de él que ha quedado transcrita en el fundamento jurídico anterior, que el Gobierno autonómico recurrente impugna las cinco certificaciones emitidas por la Dirección General de Conservación de la Naturaleza del Ministerio de Medio Ambiente en la medida que es manifestación de la discrepancia sobre a quién compete expedir las certificaciones sobre afección de los proyectos públicos y privados a los lugares integrados en la Red Natura 2000. Por este motivo, hay que tener en cuenta las modificaciones normativas acaecidas durante la pendencia de </w:t>
      </w:r>
      <w:r>
        <w:lastRenderedPageBreak/>
        <w:t>este proceso en la regulación estatal de esta materia, pues, aun no imputándose a dicha normativa el exceso competencial, si hubieran introducido cambios sustanciales que evidenciaran que dichas certificaciones serán expedidas por el órgano autonómico competente la controversia competencial habría desaparecido, por lo que el proceso habría perdido su objeto.</w:t>
      </w:r>
    </w:p>
    <w:p w:rsidR="0026452D" w:rsidRDefault="0026452D" w:rsidP="0026452D">
      <w:pPr>
        <w:pStyle w:val="TextoNormal"/>
      </w:pPr>
    </w:p>
    <w:p w:rsidR="0026452D" w:rsidRDefault="0026452D" w:rsidP="0026452D">
      <w:pPr>
        <w:pStyle w:val="TextoNormal"/>
      </w:pPr>
      <w:r>
        <w:t>Las certificaciones a las que la parte recurrente reprocha la extralimitación competencial son aplicación del art. 6 del Real Decreto 1997/1995, de 7 de diciembre, que establece medidas para contribuir a garantizar la biodiversidad mediante la conservación de los hábitats naturales y de la fauna y flora silvestre. Este precepto fue parcialmente modificado por el Real Decreto 1421/2006, de 1 de diciembre, y también tiene incidencia en esta materia la disposición adicional cuarta del Real Decreto Legislativo 1/2008, de 11 de enero, por el que se aprueba el texto refundido de la Ley de evaluación de impacto ambiental de proyectos. En la STC 149/2012, de 5 de julio y en la STC 59/2013, de 13 de marzo, se analizaron detalladamente estas normas y su incidencia en las disputas competenciales allí planteadas, constatándose que la controversia competencial no ha desaparecido, conclusión que es plenamente aplicable a este caso porque, por lo que en este momento interesa, son análogos al promovido en este proceso constitucional por el Consejo de Gobierno de la Junta de Comunidades de Castilla-La Mancha.</w:t>
      </w:r>
    </w:p>
    <w:p w:rsidR="0026452D" w:rsidRDefault="0026452D" w:rsidP="0026452D">
      <w:pPr>
        <w:pStyle w:val="TextoNormal"/>
      </w:pPr>
    </w:p>
    <w:p w:rsidR="0026452D" w:rsidRDefault="0026452D" w:rsidP="0026452D">
      <w:pPr>
        <w:pStyle w:val="TextoNormal"/>
      </w:pPr>
      <w:r w:rsidRPr="0026452D">
        <w:rPr>
          <w:rStyle w:val="NumeroAFNegritaCaracter"/>
        </w:rPr>
        <w:t>3</w:t>
      </w:r>
      <w:r>
        <w:t>. Lo que en este proceso constitucional tenemos que decidir, por tanto, es si las certificaciones sobre afección de los proyectos públicos y privados a los lugares incluidos en la Red Natura 2000 que se encuentren en el territorio de la Junta de Comunidades de Castilla-La Mancha es una materia inscrita en la competencia sustantiva que se materializa con la obra o actividad cuya incidencia se evalúa o, por el contrario, se encuadra en las competencias en materia de protección ambiental que corresponden a dicha Comunidad Autónoma en virtud del art. 32.7 EACM. No es un problema, pues, de que sobre la materia controvertida concurran dos competencias completamente válidas, la competencia sustantiva del Estado y la autonómica sobre la gestión de la protección ambiental, sino de en cuál de ellas queda comprendida, dado su contenido material y finalidad, la materia disputada, que es concretamente la emisión de los certificados sobre afección de proyectos a la Red Natura 2000.</w:t>
      </w:r>
    </w:p>
    <w:p w:rsidR="0026452D" w:rsidRDefault="0026452D" w:rsidP="0026452D">
      <w:pPr>
        <w:pStyle w:val="TextoNormal"/>
      </w:pPr>
    </w:p>
    <w:p w:rsidR="0026452D" w:rsidRDefault="0026452D" w:rsidP="0026452D">
      <w:pPr>
        <w:pStyle w:val="TextoNormal"/>
      </w:pPr>
      <w:r>
        <w:t>La determinación del criterio que habremos de usar para resolver esa controversia ha de tener en cuenta la doctrina constitucional establecida en la STC 149/2012, de 5 de julio, que resuelve un conflicto en gran parte idéntico al que se plantea en este proceso constitucional. En aquella ocasión también se trataba del encuadramiento competencial de las certificaciones sobre afectación a los lugares incluidos en la Red Natura 2000 y la parte recurrente, como ocurre en este caso, oponía frente a la competencia sustantiva del Estado su competencia sobre la gestión de la protección ambiental, sosteniendo que la materia controvertida encontraba en esta última su mejor acomodo.</w:t>
      </w:r>
    </w:p>
    <w:p w:rsidR="0026452D" w:rsidRDefault="0026452D" w:rsidP="0026452D">
      <w:pPr>
        <w:pStyle w:val="TextoNormal"/>
      </w:pPr>
    </w:p>
    <w:p w:rsidR="0026452D" w:rsidRDefault="0026452D" w:rsidP="0026452D">
      <w:pPr>
        <w:pStyle w:val="TextoNormal"/>
      </w:pPr>
      <w:r>
        <w:t xml:space="preserve">Dijimos allí que “de acuerdo con la doctrina de este Tribunal, establecida en la STC 13/1998, de 22 de enero y reiterada en otras posteriores (SSTC 101/2006, de 30 de marzo; 1/2012, de 13 de enero; y 34/2012, de 15 de marzo), es conforme con el orden constitucional de competencias que la normativa confíe la evaluación de impacto ambiental a la propia Administración estatal que realiza o autoriza el proyecto de una obra, instalación o actividad que se encuentra sujeta a su competencia pues, en tales casos, ‘la Administración estatal </w:t>
      </w:r>
      <w:r>
        <w:lastRenderedPageBreak/>
        <w:t>ejerce sus propias competencias sustantivas sobre la obra, la instalación o la actividad proyectada, aun cuando preceptivamente deba considerar su impacto ambiental’ (STC 13/1998, FJ 8). Así lo pone de manifiesto el ‘que la declaración de impacto ambiental determine la conveniencia o no de realizar el proyecto’ y que, en caso afirmativo, fije las condiciones en que se debe realizar, estando el contenido de la declaración ‘llamado a integrarse en la autorización que concederá el órgano titular de la competencia sustantiva sobre el proyecto’ (STC 13/1998, FJ 7). En definitiva, el Tribunal ha considerado que la evaluación de impacto ambiental es una técnica transversal que condiciona la actuación estatal ‘que se materializa físicamente, produciendo las consiguientes repercusiones en el territorio y en el medio ambiente de una o varias Comunidades Autónomas’ y que no puede caracterizarse como ‘ejecución o gestión en materia de medio ambiente’ porque su finalidad es que todas las Administraciones públicas ‘valoren el medio ambiente cuando ejercen sus competencias sobre cualquiera de las obras, instalaciones u otras actividades de su competencia’; obras, instalaciones y actividades que forman parte de materias que están ‘sometidas por la Constitución y los Estatutos de Autonomía a reglas específicas de reparto de competencias, que son títulos que por su naturaleza y finalidad atraen a la de medio ambiente, cuyo carácter complejo y multidisciplinario afecta a los más variados sectores del ordenamiento’ (STC 13/1998, FJ 8)’.” (STC 149/2012, FJ 3).</w:t>
      </w:r>
    </w:p>
    <w:p w:rsidR="0026452D" w:rsidRDefault="0026452D" w:rsidP="0026452D">
      <w:pPr>
        <w:pStyle w:val="TextoNormal"/>
      </w:pPr>
    </w:p>
    <w:p w:rsidR="0026452D" w:rsidRDefault="0026452D" w:rsidP="0026452D">
      <w:pPr>
        <w:pStyle w:val="TextoNormal"/>
      </w:pPr>
      <w:r>
        <w:t xml:space="preserve">Más adelante, a la luz del contexto normativo de las certificaciones que nos ocupan, reconocimos que “[l]a evaluación ambiental de las zonas de especial conservación que prevén tanto la Directiva como la Ley 42/2007, 13 de diciembre, de patrimonio natural y biodiversidad, y el Real Decreto 1997/1995 es, por tanto, una técnica de evaluación diferenciada de la evaluación de impacto ambiental que tiene su propia metodología —aunque, en ocasiones, pueda inspirarse en la de esta última—, así como un objeto y una finalidad más específicos que consiste en el análisis de las repercusiones de planes y proyectos que puedan afectar de forma apreciable a las zonas de especial conservación para preservar su integridad y objetivos de conservación, así como, en general, para garantizar la coherencia de la Red Natura 2000”. Pero que, a pesar de esa diferencia, “la evaluación ambiental de las zonas especiales de conservación es una técnica muy similar a la evaluación de impacto ambiental, pues al igual que ésta tiene por finalidad que las Administraciones públicas valoren la afección al medio ambiente —aunque en este caso, la valoración se limite a la afección a un elemento específico del medio ambiente— cuando hayan de decidir acerca de la autorización o aprobación de un plan o proyecto que puedan afectar de forma apreciable a espacios de la Red Natura 2000. Es decir, se trata de un informe sectorial que determina la conveniencia o no de realizar determinadas obras o actividades desde la perspectiva de sus repercusiones sobre este tipo de espacios. Obras y actividades que —como hemos dicho en relación con la evaluación de impacto ambiental—, están sometidas por la Constitución y los Estatutos de Autonomía a sus propios títulos competenciales. Títulos competenciales que atraen al medioambiental (STC 13/1998, FJ 8) y, por tanto, también a la evaluación ambiental de los planes y proyectos que puedan afectar de forma apreciable a espacios de la Red Natura. Es, por tanto, acorde con la distribución constitucional de competencias que la legislación atribuya a la Administración del Estado la realización de la evaluación ambiental de las zonas especiales de conservación en aquellos casos en los que el plan o proyecto debe ser autorizado o aprobado por ella tras la realización de la correspondiente evaluación de impacto ambiental integrándose, en estos casos, dada su naturaleza sectorial, la evaluación ambiental de la zona especial de conservación —como técnica específica de evaluación— en la más general de la evaluación de impacto ambiental, garantizándose, en todo caso, la </w:t>
      </w:r>
      <w:r>
        <w:lastRenderedPageBreak/>
        <w:t>consulta —por la vía del informe preceptivo— a las Comunidades Autónomas en cuyo territorio se ubique el proyecto en cuestión.” (STC 149/2012, FJ 3).</w:t>
      </w:r>
    </w:p>
    <w:p w:rsidR="0026452D" w:rsidRDefault="0026452D" w:rsidP="0026452D">
      <w:pPr>
        <w:pStyle w:val="TextoNormal"/>
      </w:pPr>
    </w:p>
    <w:p w:rsidR="0026452D" w:rsidRDefault="0026452D" w:rsidP="0026452D">
      <w:pPr>
        <w:pStyle w:val="TextoNormal"/>
      </w:pPr>
      <w:r w:rsidRPr="0026452D">
        <w:rPr>
          <w:rStyle w:val="NumeroAFNegritaCaracter"/>
        </w:rPr>
        <w:t>4</w:t>
      </w:r>
      <w:r>
        <w:t>. Las cinco certificaciones objeto de conflicto fueron expedidas por la Dirección General de Conservación de la Naturaleza del Ministerio de Medio Ambiente en aplicación del citado art. 6.3 del Real Decreto 1997/1995, que es transcripción literal del art. 6.3 de la Directiva 92/43/CEE. Tienen por objeto valorar las repercusiones sobre cinco lugares de la Red Natura 2000 de sendos proyectos, declarando todas ellas que “no es probable que el proyecto tenga repercusiones significativas sobre lugares incluidos en la Red ‘Natura 2000’.” Dicha declaración se inscribe en el ámbito de un procedimiento de solicitud de fondos de cohesión europeos cuya finalidad inmediata es la obtención de la financiación del proyecto y la mediata es la realización de la obra.</w:t>
      </w:r>
    </w:p>
    <w:p w:rsidR="0026452D" w:rsidRDefault="0026452D" w:rsidP="0026452D">
      <w:pPr>
        <w:pStyle w:val="TextoNormal"/>
      </w:pPr>
    </w:p>
    <w:p w:rsidR="0026452D" w:rsidRDefault="0026452D" w:rsidP="0026452D">
      <w:pPr>
        <w:pStyle w:val="TextoNormal"/>
      </w:pPr>
      <w:r>
        <w:t>De esta descripción de las certificaciones objeto de este conflicto se desprende que el proyecto cuyas repercusiones se examina por la actividad certificadora no tiene como objeto inmediato actuar en la gestión de los lugares de la Red Natura 2000 sino asegurar que una obra de infraestructura, cuya competencia estatal para abordarla nadie ha discutido en este proceso constitucional, incorpore en su realización la consideración de sus efectos respecto de ese tipo de espacios naturales protegidos.</w:t>
      </w:r>
    </w:p>
    <w:p w:rsidR="0026452D" w:rsidRDefault="0026452D" w:rsidP="0026452D">
      <w:pPr>
        <w:pStyle w:val="TextoNormal"/>
      </w:pPr>
    </w:p>
    <w:p w:rsidR="0026452D" w:rsidRDefault="0026452D" w:rsidP="0026452D">
      <w:pPr>
        <w:pStyle w:val="TextoNormal"/>
      </w:pPr>
      <w:r>
        <w:t>De acuerdo con la doctrina constitucional expuesta, y dada la función instrumental que desempeñan en relación a obras de competencia estatal, hemos de concluir que las certificaciones objeto del conflicto resultan amparadas por la competencia sustantiva estatal de la que es ejercicio el proyecto de infraestructura examinado y, en consecuencia, no suponen una invasión de la competencia ejecutiva que corresponde a la Junta de Comunidades de Castilla-La Mancha en materia de protección ambiental, procediendo por todo ello desestimar este conflicto positivo de competencia.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conflicto positivo de competencia.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84" w:name="SENTENCIA_2013_81"/>
      <w:r>
        <w:lastRenderedPageBreak/>
        <w:t>SENTENCIA 81/2013, de 11 de abril de 2013</w:t>
      </w:r>
    </w:p>
    <w:bookmarkEnd w:id="84"/>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ECLI:ES:TC:2013:81</w:t>
      </w:r>
    </w:p>
    <w:p w:rsidR="0026452D" w:rsidRDefault="0026452D" w:rsidP="0026452D">
      <w:pPr>
        <w:pStyle w:val="SntesisDescriptiva"/>
      </w:pPr>
    </w:p>
    <w:p w:rsidR="0026452D" w:rsidRDefault="0026452D" w:rsidP="0026452D">
      <w:pPr>
        <w:pStyle w:val="SntesisDescriptiva"/>
      </w:pPr>
      <w:r>
        <w:t>Cuestión de inconstitucionalidad 6760-2003. Planteada por la Sala de lo Contencioso-Administrativo del Tribunal Superior de Justicia de Madrid en relación con diversos preceptos de la Ley de la Asamblea de Madrid 11/2001, de 19 de diciembre, de uniones de hecho.</w:t>
      </w:r>
    </w:p>
    <w:p w:rsidR="0026452D" w:rsidRDefault="0026452D" w:rsidP="0026452D">
      <w:pPr>
        <w:pStyle w:val="SntesisDescriptiva"/>
      </w:pPr>
    </w:p>
    <w:p w:rsidR="0026452D" w:rsidRDefault="0026452D" w:rsidP="0026452D">
      <w:pPr>
        <w:pStyle w:val="SntesisAnaltica"/>
      </w:pPr>
      <w:r>
        <w:t>Competencias sobre legislación civil y función pública: nulidad de los preceptos legales autonómicos relativos a los pactos que, para regular sus relaciones económicas y patrimoniales, pueden suscribir los integrantes de una unión de hecho (STC 28/2012); constitucionalidad de las disposiciones legales sobre efectos de la inscripción de las uniones de hecho en el registro autonómico y que extienden a estas uniones el disfrute de los derechos reconocidos a los matrimonios por la Comunidad de Madrid. Voto particular.</w:t>
      </w:r>
    </w:p>
    <w:p w:rsidR="0026452D" w:rsidRDefault="0026452D" w:rsidP="0026452D">
      <w:pPr>
        <w:pStyle w:val="SntesisAnaltica"/>
      </w:pPr>
    </w:p>
    <w:p w:rsidR="0026452D" w:rsidRDefault="0026452D" w:rsidP="0026452D">
      <w:pPr>
        <w:pStyle w:val="Extracto"/>
      </w:pPr>
      <w:r>
        <w:t>1.</w:t>
      </w:r>
      <w:r>
        <w:tab/>
        <w:t xml:space="preserve">Las relaciones </w:t>
      </w:r>
      <w:r w:rsidRPr="0026452D">
        <w:rPr>
          <w:i/>
        </w:rPr>
        <w:t>interprivatos</w:t>
      </w:r>
      <w:r>
        <w:t xml:space="preserve"> en las que se integran los pactos de contenido económico y patrimonial a los que se refieren los preceptos impugnados que regulan la convivencia de los miembros de las uniones de hecho, constituyen reglas de Derecho privado encuadrables en la materia de legislación civil, en la cual el Estado ostenta, conforme al art. 149.1.8 CE, la competencia exclusiva, sin perjuicio de la conservación, modificación o desarrollo por las Comunidades Autónomas de los derechos civiles, forales o especiales, allí donde existan (STC 28/2012) [FJ 4]. </w:t>
      </w:r>
    </w:p>
    <w:p w:rsidR="0026452D" w:rsidRDefault="0026452D" w:rsidP="0026452D">
      <w:pPr>
        <w:pStyle w:val="Extracto"/>
      </w:pPr>
    </w:p>
    <w:p w:rsidR="0026452D" w:rsidRDefault="0026452D" w:rsidP="0026452D">
      <w:pPr>
        <w:pStyle w:val="Extracto"/>
      </w:pPr>
      <w:r>
        <w:t>2.</w:t>
      </w:r>
      <w:r>
        <w:tab/>
        <w:t xml:space="preserve">Como quiera que la Comunidad de Madrid no ostenta competencias sobre Derecho civil foral o especial, la regulación de la convivencia de los miembros de las uniones de hecho se sitúa extramuros de sus facultades legislativas y vulnera las competencias del Estado, </w:t>
      </w:r>
      <w:r w:rsidRPr="0026452D">
        <w:rPr>
          <w:i/>
        </w:rPr>
        <w:t>ex</w:t>
      </w:r>
      <w:r>
        <w:t xml:space="preserve"> art. 149.1.8 CE, debiendo ser declarada, por ello, inconstitucional y nula [FJ 4]. </w:t>
      </w:r>
    </w:p>
    <w:p w:rsidR="0026452D" w:rsidRDefault="0026452D" w:rsidP="0026452D">
      <w:pPr>
        <w:pStyle w:val="Extracto"/>
      </w:pPr>
    </w:p>
    <w:p w:rsidR="0026452D" w:rsidRDefault="0026452D" w:rsidP="0026452D">
      <w:pPr>
        <w:pStyle w:val="Extracto"/>
      </w:pPr>
      <w:r>
        <w:t>3.</w:t>
      </w:r>
      <w:r>
        <w:tab/>
        <w:t xml:space="preserve">La inscripción en el registro de uniones de hecho de los pactos que consideren convenientes los miembros de la unión de hecho se halla íntimamente conectado con la regulación de su convivencia, tratándose de una norma meramente procedimental, razón por la cual, declarada la inconstitucionalidad de la regulación autonómica de la antedicha convivencia, procede declarar también la inconstitucionalidad y nulidad de la inscripción de los pactos suscritos por los miembros de las citadas uniones de hecho [FJ 4]. </w:t>
      </w:r>
    </w:p>
    <w:p w:rsidR="0026452D" w:rsidRDefault="0026452D" w:rsidP="0026452D">
      <w:pPr>
        <w:pStyle w:val="Extracto"/>
      </w:pPr>
    </w:p>
    <w:p w:rsidR="0026452D" w:rsidRDefault="0026452D" w:rsidP="0026452D">
      <w:pPr>
        <w:pStyle w:val="Extracto"/>
      </w:pPr>
      <w:r>
        <w:t>4.</w:t>
      </w:r>
      <w:r>
        <w:tab/>
        <w:t xml:space="preserve">El Registro de las Uniones de Hecho de la Comunidad de Madrid se limita a publicitar la existencia de la previa unión de hecho a fin de atribuirles determinada eficacia en ámbitos de su competencia y, por tanto, sin incidir en la legislación civil ni, por lo mismo, en la competencia estatal relativa a la ordenación de los registros del art. 149.1.8 CE, que se circunscribe a la ordenación de los registros públicos relativos a materias de derecho privado (SSTC 32/1983, 101/1999) [FJ 5]. </w:t>
      </w:r>
    </w:p>
    <w:p w:rsidR="0026452D" w:rsidRDefault="0026452D" w:rsidP="0026452D">
      <w:pPr>
        <w:pStyle w:val="Extracto"/>
      </w:pPr>
    </w:p>
    <w:p w:rsidR="0026452D" w:rsidRDefault="0026452D" w:rsidP="0026452D">
      <w:pPr>
        <w:pStyle w:val="Extracto"/>
      </w:pPr>
      <w:r>
        <w:lastRenderedPageBreak/>
        <w:t>5.</w:t>
      </w:r>
      <w:r>
        <w:tab/>
        <w:t xml:space="preserve">La mera previsión de extensión de la aplicación de la normativa autonómica en materia de personal al servicio de la Comunidad Autónoma a los integrantes de la unión de hecho, en el caso de que dicha normativa reconozca determinados beneficios a personas unidas por vínculo matrimonial, que es la finalidad perseguida por el precepto, no puede entenderse vulneradora de las competencias estatales [FJ 6]. </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la cuestión de constitucionalidad núm. 6760-2003 planteada por la Sala de lo Contencioso-Administrativo del Tribunal Superior de Justicia de Madrid respecto a los arts. 3, 4, 5, 8 y 9 de la Ley de la Asamblea de Madrid 11/2001, de 19 de diciembre, de uniones de hecho. Han comparecido y formulado alegaciones el Abogado del Estado, el Fiscal General del Estado y la Letrada de la Comunidad de Madrid. Ha sido Ponente el Magistrado don Luis Ignacio Ortega Álvarez,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día 13 de noviembre de 2003 tuvo entrada en el Registro General del Tribunal Constitucional un escrito de la Sección Octava de la Sala de lo Contencioso-Administrativo del Tribunal Superior de Justicia de Madrid al que se acompaña, junto al testimonio del correspondiente procedimiento, el Auto de 7 de noviembre de 2003, en el que se acuerda plantear cuestión de inconstitucionalidad en relación con los arts. 3, 4, 5, 8 y 9 de la Ley de la Asamblea de Madrid 11/2001, de 19 de diciembre, de uniones de hecho, por posible vulneración de los arts. 149.1.8 y 149.1.18 CE.</w:t>
      </w:r>
    </w:p>
    <w:p w:rsidR="0026452D" w:rsidRDefault="0026452D" w:rsidP="0026452D">
      <w:pPr>
        <w:pStyle w:val="TextoNormal"/>
      </w:pPr>
    </w:p>
    <w:p w:rsidR="0026452D" w:rsidRDefault="0026452D" w:rsidP="0026452D">
      <w:pPr>
        <w:pStyle w:val="TextoNormal"/>
      </w:pPr>
      <w:r w:rsidRPr="0026452D">
        <w:rPr>
          <w:rStyle w:val="NumeroAFNegritaCaracter"/>
        </w:rPr>
        <w:t>2</w:t>
      </w:r>
      <w:r>
        <w:t>. Los antecedentes de la presente cuestión de inconstitucionalidad son los siguientes:</w:t>
      </w:r>
    </w:p>
    <w:p w:rsidR="0026452D" w:rsidRDefault="0026452D" w:rsidP="0026452D">
      <w:pPr>
        <w:pStyle w:val="TextoNormal"/>
      </w:pPr>
    </w:p>
    <w:p w:rsidR="0026452D" w:rsidRDefault="0026452D" w:rsidP="0026452D">
      <w:pPr>
        <w:pStyle w:val="TextoNormal"/>
      </w:pPr>
      <w:r>
        <w:t>a) El partido político Familia y Vida presentó un recurso contencioso-administrativo contra el Decreto 134/2002, de 18 de julio, por el que se aprueba el registro de uniones de hecho de la Comunidad de Madrid, normativa dictada al amparo de la Ley de la Asamblea de Madrid 11/2001, de 19 de diciembre, de uniones de hecho.</w:t>
      </w:r>
    </w:p>
    <w:p w:rsidR="0026452D" w:rsidRDefault="0026452D" w:rsidP="0026452D">
      <w:pPr>
        <w:pStyle w:val="TextoNormal"/>
      </w:pPr>
    </w:p>
    <w:p w:rsidR="0026452D" w:rsidRDefault="0026452D" w:rsidP="0026452D">
      <w:pPr>
        <w:pStyle w:val="TextoNormal"/>
      </w:pPr>
      <w:r>
        <w:lastRenderedPageBreak/>
        <w:t>El partido político recurrente sostiene que ciertas disposiciones reglamentarias (arts. 5, 6 y 9) recogen contenidos propios del Derecho civil, por lo que su regulación está reservada al Estado, en virtud del art. 149.1.8 CE. A juicio del recurrente se trata de una forma de constituir unidades familiares, por lo que la Comunidad de Madrid no puede regular tal fenómeno. Por tal motivo la Ley 11/2001 debería ser considerada inconstitucional, al igual que el reglamento impugnado, por lo que se interesa del órgano judicial que acuerde el planteamiento de la cuestión de inconstitucionalidad con respecto de aquélla.</w:t>
      </w:r>
    </w:p>
    <w:p w:rsidR="0026452D" w:rsidRDefault="0026452D" w:rsidP="0026452D">
      <w:pPr>
        <w:pStyle w:val="TextoNormal"/>
      </w:pPr>
    </w:p>
    <w:p w:rsidR="0026452D" w:rsidRDefault="0026452D" w:rsidP="0026452D">
      <w:pPr>
        <w:pStyle w:val="TextoNormal"/>
      </w:pPr>
      <w:r>
        <w:t>b) Concluso el procedimiento y en trámite de dictar Sentencia, la Sala de lo Contencioso-Administrativo del Tribunal Superior de Justicia de Madrid acordó, por providencia de 3 de julio de 2003, someter a la consideración de las partes y del Ministerio Fiscal la pertinencia de plantear la cuestión de inconstitucionalidad sobre la Ley de la Asamblea de Madrid 11/2001, de 19 de diciembre, por contener la regulación de una institución, el registro de uniones de hecho de la Comunidad de Madrid, para la que el Estado tiene competencias exclusivas (art. 149.1 .8 CE), con efectos en ámbitos en los que el Estado ostenta también competencia exclusiva (art. 149.1.18 CE).</w:t>
      </w:r>
    </w:p>
    <w:p w:rsidR="0026452D" w:rsidRDefault="0026452D" w:rsidP="0026452D">
      <w:pPr>
        <w:pStyle w:val="TextoNormal"/>
      </w:pPr>
    </w:p>
    <w:p w:rsidR="0026452D" w:rsidRDefault="0026452D" w:rsidP="0026452D">
      <w:pPr>
        <w:pStyle w:val="TextoNormal"/>
      </w:pPr>
      <w:r>
        <w:t>El Letrado de la Comunidad de Madrid se opuso al planteamiento de la cuestión por entender que la normativa cuestionada ni desconoce el art. 149.1.8 CE (ya que tiene una naturaleza administrativa y anuda consecuencias jurídicas en el ámbito del personal al servicio de la Comunidad de Madrid y en la normativa autonómica de Derecho público) ni el art. 149.1 .18 CE. De un lado, porque lo básico no puede impedir que “cada Comunidad Autónoma introduzca en persecución de sus propios intereses las peculiaridades que estime pertinentes” (STC 37/2002, de 14 de febrero). De otro, porque el art. 8 de la Ley no reconoce beneficios o derechos de la función pública, sino que se limita a extender a los convivientes en unión de hecho los beneficios legalmente previstos para el supuesto de matrimonio.</w:t>
      </w:r>
    </w:p>
    <w:p w:rsidR="0026452D" w:rsidRDefault="0026452D" w:rsidP="0026452D">
      <w:pPr>
        <w:pStyle w:val="TextoNormal"/>
      </w:pPr>
    </w:p>
    <w:p w:rsidR="0026452D" w:rsidRDefault="0026452D" w:rsidP="0026452D">
      <w:pPr>
        <w:pStyle w:val="TextoNormal"/>
      </w:pPr>
      <w:r>
        <w:t>El partido político Familia y Vida comienza sus alegaciones haciendo notar que la providencia judicial no aclara si la cuestión de inconstitucionalidad se dirige contra algunos preceptos de la Ley de la Asamblea de Madrid 11/2001 o si, como tal partido estima más adecuado, contra el conjunto de la Ley, reiterando sus argumentos sobre la naturaleza civil del registro regulado y sobre la falta de cobertura competencia1 para aprobar una ley como la cuestionada. En otro escrito posterior hace valer que el Presidente del Gobierno habría interpuesto un recurso de inconstitucionalidad contra la Ley del Parlamento Vasco País Vasco 2/2003, de 7 de mayo, reguladora de las parejas de hecho, por regular la adopción en tales supuestos.</w:t>
      </w:r>
    </w:p>
    <w:p w:rsidR="0026452D" w:rsidRDefault="0026452D" w:rsidP="0026452D">
      <w:pPr>
        <w:pStyle w:val="TextoNormal"/>
      </w:pPr>
    </w:p>
    <w:p w:rsidR="0026452D" w:rsidRDefault="0026452D" w:rsidP="0026452D">
      <w:pPr>
        <w:pStyle w:val="TextoNormal"/>
      </w:pPr>
      <w:r>
        <w:t>El Fiscal no se opone al planteamiento de la cuestión de inconstitucionalidad, entendiendo que resulta razonable la duda sobre el respeto de la citada ley con el art. 149.1.8 CE, que se refuerza con la lectura de su preámbulo, que alude a la unidad familiar.</w:t>
      </w:r>
    </w:p>
    <w:p w:rsidR="0026452D" w:rsidRDefault="0026452D" w:rsidP="0026452D">
      <w:pPr>
        <w:pStyle w:val="TextoNormal"/>
      </w:pPr>
    </w:p>
    <w:p w:rsidR="0026452D" w:rsidRDefault="0026452D" w:rsidP="0026452D">
      <w:pPr>
        <w:pStyle w:val="TextoNormal"/>
      </w:pPr>
      <w:r w:rsidRPr="0026452D">
        <w:rPr>
          <w:rStyle w:val="NumeroAFNegritaCaracter"/>
        </w:rPr>
        <w:t>3</w:t>
      </w:r>
      <w:r>
        <w:t>. El Auto de 7 de noviembre de 2003 de la Sala de lo Contencioso-Administrativo del Tribunal Superior de Justicia de Madrid presenta la cuestión de inconstitucionalidad en los siguientes términos:</w:t>
      </w:r>
    </w:p>
    <w:p w:rsidR="0026452D" w:rsidRDefault="0026452D" w:rsidP="0026452D">
      <w:pPr>
        <w:pStyle w:val="TextoNormal"/>
      </w:pPr>
    </w:p>
    <w:p w:rsidR="0026452D" w:rsidRDefault="0026452D" w:rsidP="0026452D">
      <w:pPr>
        <w:pStyle w:val="TextoNormal"/>
      </w:pPr>
      <w:r>
        <w:t xml:space="preserve">a) El órgano judicial entiende que, en la medida en que el Reglamento impugnado —prescindiendo de las normas relativas a la organización y funcionamiento del registro— regula el procedimiento que posibilita la inscripción de las uniones de hecho y de los pactos </w:t>
      </w:r>
      <w:r>
        <w:lastRenderedPageBreak/>
        <w:t>que regulan sus relaciones económicas (arts. 1 y 6 del Decreto 34/2002), los efectos que a dichas uniones otorga la Ley 11/2001 se anudan a su inscripción en el registro (art. 3.1.3 de la Ley). Tales efectos tienen, por lo que aquí interesa, trascendencia tanto en la esfera económica de la pareja como en el ámbito de su estatuto funcionarial con la Comunidad de Madrid, y su validez viene condicionada por la constitucionalidad de la Ley 11/2001, reguladora de un modelo de convivencia familiar jurídicamente nuevo, no contemplado por la legislación estatal, y ello porque el Decreto recurrido es mero desarrollo de la tan citada Ley y que el motivo de su impugnación no es otro que la falta de competencias de la Comunidad de Madrid para legislar en materia de Derecho civil y de bases del estatuto de la función pública.</w:t>
      </w:r>
    </w:p>
    <w:p w:rsidR="0026452D" w:rsidRDefault="0026452D" w:rsidP="0026452D">
      <w:pPr>
        <w:pStyle w:val="TextoNormal"/>
      </w:pPr>
    </w:p>
    <w:p w:rsidR="0026452D" w:rsidRDefault="0026452D" w:rsidP="0026452D">
      <w:pPr>
        <w:pStyle w:val="TextoNormal"/>
      </w:pPr>
      <w:r>
        <w:t>b) El Decreto de la Comunidad de Madrid 36/1995, de 20 de abril, derogado por el impugnado, creó el registro de uniones de hecho de la Comunidad Autónoma de Madrid, pero no tenía otra finalidad ni otros efectos que publicitar un hecho: la convivencia entre dos personas. El reglamento ahora cuestionado regula un registro que, con independencia de la dicción literal empleada en el art. 9, tiene carácter constitutivo, en la medida en que la Ley supedita a dicha inscripción los efectos que reconoce a las parejas de hecho (art. 3.3) y donde la acreditación de la unión de hecho solo puede realizarse a través de la certificación del encargado del registro, y genera determinados efectos (que ni la Administración discute).</w:t>
      </w:r>
    </w:p>
    <w:p w:rsidR="0026452D" w:rsidRDefault="0026452D" w:rsidP="0026452D">
      <w:pPr>
        <w:pStyle w:val="TextoNormal"/>
      </w:pPr>
    </w:p>
    <w:p w:rsidR="0026452D" w:rsidRDefault="0026452D" w:rsidP="0026452D">
      <w:pPr>
        <w:pStyle w:val="TextoNormal"/>
      </w:pPr>
      <w:r>
        <w:t xml:space="preserve">La Ley contiene —con requisitos personales (art. 2)— la regulación económica de la convivencia mediante pactos sometidos a requisitos de validez para su acceso al registro (arts. 4 y 5), causas de extinción (art. 6) y efectos en el estatuto funcionarial de la relación de servicios con la Comunidad Autónoma de Madrid (la plena equiparación con las parejas que hayan contraído matrimonio </w:t>
      </w:r>
      <w:r w:rsidRPr="0026452D">
        <w:rPr>
          <w:i/>
        </w:rPr>
        <w:t>ex</w:t>
      </w:r>
      <w:r>
        <w:t xml:space="preserve"> art. 8) e idéntica equiparación en la aplicación de la normativa autonómica de Derecho público en materia presupuestaria, subvenciones y tributos cedidos (art. 9). Se consagra así una forma de convivencia familiar con unos efectos generales que, aunque limitados, inciden en el ámbito patrimonial de los convivientes, en su esfera funcionarial autonómica y en tres parcelas del Derecho público autonómico.</w:t>
      </w:r>
    </w:p>
    <w:p w:rsidR="0026452D" w:rsidRDefault="0026452D" w:rsidP="0026452D">
      <w:pPr>
        <w:pStyle w:val="TextoNormal"/>
      </w:pPr>
    </w:p>
    <w:p w:rsidR="0026452D" w:rsidRDefault="0026452D" w:rsidP="0026452D">
      <w:pPr>
        <w:pStyle w:val="TextoNormal"/>
      </w:pPr>
      <w:r>
        <w:t>El preámbulo da cuenta de estas intenciones, propiciando la emisión de la Ley mientras se produzca “la referida extensión de la legislación civil” y opta por cierta flexibilidad, “de modo que los preceptos de esta Ley puedan encajar en las diversas configuraciones legislativas que alternativamente adopte la ley civil estatal, ya sea en su configuración como unión personal civil, ya sea en su concepción afectiva o cuasiconyugal”. Se trata de reconocer esta forma de convivencia en el marco del Derecho común que evite cualquier tipo de discriminación para la persona.</w:t>
      </w:r>
    </w:p>
    <w:p w:rsidR="0026452D" w:rsidRDefault="0026452D" w:rsidP="0026452D">
      <w:pPr>
        <w:pStyle w:val="TextoNormal"/>
      </w:pPr>
    </w:p>
    <w:p w:rsidR="0026452D" w:rsidRDefault="0026452D" w:rsidP="0026452D">
      <w:pPr>
        <w:pStyle w:val="TextoNormal"/>
      </w:pPr>
      <w:r>
        <w:t xml:space="preserve">Por otra parte, la Ley se apoya en unos preceptos manifiestamente insuficientes (como son los arts. 7 del Estatuto de Autonomía, 14 y 9 CE y en la Resolución del Parlamento Europeo de 8 de febrero de 1994). Hasta el momento actual, las parejas de hecho son un hecho jurídico carente de regulación jurídica (aunque diversas normas les reconozca determinados efectos jurídicos: disposición adicional tercera de la Ley 21/1987, de 11 de noviembre, sobre adopción; arts. 101 y 320 del Código civil; Ley 29/1994, de 24 de noviembre, de arrendamientos urbanos; arts. 23, 153, 424 y 617.2 del Código penal de 1995; disposición adicional décima de la Ley 30/1981 y arts. 219 y 391.1 de la Ley Orgánica del Poder Judicial). Pero estamos igualmente en presencia, como reconoce el propio preámbulo </w:t>
      </w:r>
      <w:r>
        <w:lastRenderedPageBreak/>
        <w:t>de la Ley cuestionada, de una forma de convivencia que “genera relaciones diversas de carácter intersubjetivo, muchas de las cuales se ajustan a las esferas personal y patrimonial. Su regulación supondría una extensión del Código civil a uniones de hecho no formalizadas en sede matrimonial, especialmente en lo tocante a los convivientes”. Por tal motivo, parece que solo las Comunidades Autónomas que tengan atribuidas competencias en materia civil podrían afrontar tal tipo de regulación, ya que la Comunidad de Madrid ni posee competencia en tal ámbito ni Derecho civil foral o especial (art. 149.1.8 CE).</w:t>
      </w:r>
    </w:p>
    <w:p w:rsidR="0026452D" w:rsidRDefault="0026452D" w:rsidP="0026452D">
      <w:pPr>
        <w:pStyle w:val="TextoNormal"/>
      </w:pPr>
    </w:p>
    <w:p w:rsidR="0026452D" w:rsidRDefault="0026452D" w:rsidP="0026452D">
      <w:pPr>
        <w:pStyle w:val="TextoNormal"/>
      </w:pPr>
      <w:r>
        <w:t>El Auto recuerda que el Letrado de la Comunidad de Madrid ha negado la vulneración competencial, apoyándose en el dictamen del Consejo de Estado de 20 de junio de 2002, emitido en relación con el proyecto del Decreto impugnado. Sin embargo, señala también que en el mismo hay una constante referencia comparativa al Código civil, llegándose a afirmar que las uniones de hecho se equiparan a los matrimonios en los arts. 8 y 9 de la Ley.</w:t>
      </w:r>
    </w:p>
    <w:p w:rsidR="0026452D" w:rsidRDefault="0026452D" w:rsidP="0026452D">
      <w:pPr>
        <w:pStyle w:val="TextoNormal"/>
      </w:pPr>
    </w:p>
    <w:p w:rsidR="0026452D" w:rsidRDefault="0026452D" w:rsidP="0026452D">
      <w:pPr>
        <w:pStyle w:val="TextoNormal"/>
      </w:pPr>
      <w:r>
        <w:t>La Sala entiende, por otra parte, que el registro no tiene carácter administrativo (como expresamente se declaraba en el art. 1 del anterior Decreto), sino que genera efectos civiles, puesto que en el mismo son inscribibles los pactos reguladores del régimen económico de las parejas de hecho a los que se refiere el apartado tercero del art. 4 con un contenido muy similar al art. 1430 del Código civil (lo mismo ocurre respecto a los arts. 4.4 de la Ley y 1328 del Código civil y el apartado segundo del precepto regional retoma la doctrina jurisprudencial vertida sobre el matrimonio). Además, la inscripción tiene efectos constitutivos, ya que se configura la certificación de la inscripción como forma de acreditación de la existencia de la pareja de hecho (art. 3.3 de la Ley 11/2001). Aunque los beneficios que la Ley reconoce a las parejas de hecho quedan limitados al ámbito funcionarial autonómico y a tres parcelas del derecho público autonómico (arts. 8 y 9 de la Ley), desde el momento en que se sustentan sobre la regulación de un modelo de convivencia familiar para el que carece de competencias, el órgano judicial considera que los arts. 3, 4, 5, 8 y 9 de la Ley podrían contrariar los arts. 149.1.8 CE y 149.1.18 CE, que otorgan competencia exclusiva al Estado tanto en materia de legislación civil como para la ordenación de los registros e instrumentos públicos y competencia en materia de legislación básica del régimen estatutario de los funcionarios de todas las Administraciones públicas.</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la Sección Segunda de este Tribunal de 10 de febrero de 2004 se acordó admitir a trámite la presente cuestión de inconstitucionalidad así como dar traslado de las actuaciones recibidas, de conformidad con el art. 37.2 de la Ley Orgánica del Tribunal Constitucional, al Congreso de los Diputados y al Senado, por conducto de sus Presidentes, al Gobierno, por conducto del Ministerio de Justicia, y al Fiscal General del Estado, así como al Consejo de Gobierno y a la Asamblea de Madrid, al objeto de que en el plazo de quince días pudieran personarse en el proceso y formular las alegaciones que estimasen convenientes. Igualmente se acordó publicar la incoación de la cuestión en el “Boletín Oficial del Estado” y en el “Boletín Oficial de la Comunidad de Madrid”.</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que tuvo entrada en este Tribunal el 20 de febrero de 2004 el Vicepresidente Primero del Senado, actuando en calidad de Presidente en funciones, comunicó que la Cámara se personaba en el proceso ofreciendo su colaboración.</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6</w:t>
      </w:r>
      <w:r>
        <w:t>. El Presidente del Congreso de los Diputados comunicó a este Tribunal, mediante escrito registrado con fecha 23 de febrero de 2004, el acuerdo de la Mesa de la Diputación Permanente de la Cámara en el sentido de no personarse en el proceso ni formular alegaciones.</w:t>
      </w:r>
    </w:p>
    <w:p w:rsidR="0026452D" w:rsidRDefault="0026452D" w:rsidP="0026452D">
      <w:pPr>
        <w:pStyle w:val="TextoNormal"/>
      </w:pPr>
    </w:p>
    <w:p w:rsidR="0026452D" w:rsidRDefault="0026452D" w:rsidP="0026452D">
      <w:pPr>
        <w:pStyle w:val="TextoNormal"/>
      </w:pPr>
      <w:r w:rsidRPr="0026452D">
        <w:rPr>
          <w:rStyle w:val="NumeroAFNegritaCaracter"/>
        </w:rPr>
        <w:t>7</w:t>
      </w:r>
      <w:r>
        <w:t>. El Abogado del Estado formuló sus alegaciones mediante escrito registrado el 5 de marzo de 2004 en el que interesa la estimación de la cuestión por las razones que, resumidamente, se exponen.</w:t>
      </w:r>
    </w:p>
    <w:p w:rsidR="0026452D" w:rsidRDefault="0026452D" w:rsidP="0026452D">
      <w:pPr>
        <w:pStyle w:val="TextoNormal"/>
      </w:pPr>
    </w:p>
    <w:p w:rsidR="0026452D" w:rsidRDefault="0026452D" w:rsidP="0026452D">
      <w:pPr>
        <w:pStyle w:val="TextoNormal"/>
      </w:pPr>
      <w:r>
        <w:t>Alude en primer lugar al planteamiento del Auto promoviendo la cuestión, que, a su entender, descansa en que el registro de las uniones de hecho de la Comunidad de Madrid no tiene un carácter meramente administrativo, sino que produce efectos civiles. Tales efectos serían el denominador común de la invasión competencial que se denuncia respecto de los dos enunciados del art. 149.1.8 CE. Señala seguidamente que de la propia exposición de motivos de la Ley de la Asamblea de Madrid 11/2001 se desprende que el reconocimiento de cualquier efecto jurídico en el orden personal y patrimonial de los integrantes de una unión de hecho queda fuera de las competencias autonómicas. Reconoce el Abogado del Estado que el núcleo de la regulación está constituido por un registro de uniones de hecho que no penetra en los efectos civiles de tales uniones, sirviendo más bien como medio de prueba de la relación. No obstante, pese a las afirmaciones de la Ley de no entrar en la regulación de efectos civiles, no deja de hacerlo, como ocurre en el establecimiento de un régimen presunto de contribución a las cargas del art. 4.3 o la definición de determinados pactos como nulos del art. 4.4.</w:t>
      </w:r>
    </w:p>
    <w:p w:rsidR="0026452D" w:rsidRDefault="0026452D" w:rsidP="0026452D">
      <w:pPr>
        <w:pStyle w:val="TextoNormal"/>
      </w:pPr>
    </w:p>
    <w:p w:rsidR="0026452D" w:rsidRDefault="0026452D" w:rsidP="0026452D">
      <w:pPr>
        <w:pStyle w:val="TextoNormal"/>
      </w:pPr>
      <w:r>
        <w:t>Para el Abogado del Estado la cuestión se mueve en un difícil campo entre la diferenciación e identificación de las uniones estables y el matrimonio, lo que debería haber llevado a la norma autonómica a excluir su competencia para llevar a cabo asimilación alguna entre ambas figuras. Al no hacerlo así entiende el Abogado del Estado que se están vulnerando las competencias estatales, tanto en relación con el Derecho civil como en materia de ordenación de los registros.</w:t>
      </w:r>
    </w:p>
    <w:p w:rsidR="0026452D" w:rsidRDefault="0026452D" w:rsidP="0026452D">
      <w:pPr>
        <w:pStyle w:val="TextoNormal"/>
      </w:pPr>
    </w:p>
    <w:p w:rsidR="0026452D" w:rsidRDefault="0026452D" w:rsidP="0026452D">
      <w:pPr>
        <w:pStyle w:val="TextoNormal"/>
      </w:pPr>
      <w:r>
        <w:t>Finalmente considera que los arts. 8 y 9 de la Ley de la Asamblea de Madrid 11/2001 no pueden ser reconducidos a un ámbito de competencia exclusiva de la Comunidad de Madrid, por lo que también estarían afectando a competencias estatales.</w:t>
      </w:r>
    </w:p>
    <w:p w:rsidR="0026452D" w:rsidRDefault="0026452D" w:rsidP="0026452D">
      <w:pPr>
        <w:pStyle w:val="TextoNormal"/>
      </w:pPr>
    </w:p>
    <w:p w:rsidR="0026452D" w:rsidRDefault="0026452D" w:rsidP="0026452D">
      <w:pPr>
        <w:pStyle w:val="TextoNormal"/>
      </w:pPr>
      <w:r w:rsidRPr="0026452D">
        <w:rPr>
          <w:rStyle w:val="NumeroAFNegritaCaracter"/>
        </w:rPr>
        <w:t>8</w:t>
      </w:r>
      <w:r>
        <w:t>. El Fiscal General del Estado presentó escrito de alegaciones el 11 de abril de 2004, en el que solicitó la estimación parcial de la cuestión de constitucionalidad por los motivos siguientes.</w:t>
      </w:r>
    </w:p>
    <w:p w:rsidR="0026452D" w:rsidRDefault="0026452D" w:rsidP="0026452D">
      <w:pPr>
        <w:pStyle w:val="TextoNormal"/>
      </w:pPr>
    </w:p>
    <w:p w:rsidR="0026452D" w:rsidRDefault="0026452D" w:rsidP="0026452D">
      <w:pPr>
        <w:pStyle w:val="TextoNormal"/>
      </w:pPr>
      <w:r>
        <w:t>Tras aludir a los hechos de los que trae causa el planteamiento de la presente cuestión, reproduce el tenor literal de los preceptos cuestionados así como los argumentos del órgano judicial contenidos en el Auto de planteamiento de la cuestión de inconstitucionalidad, entendiendo que el cuestionamiento de algunos de los preceptos de la Ley de la Asamblea de Madrid 11/2001 ha de extenderse también a la disposición final primera que es la que habilita su desarrollo reglamentario por parte del Gobierno de la Comunidad de Madrid.</w:t>
      </w:r>
    </w:p>
    <w:p w:rsidR="0026452D" w:rsidRDefault="0026452D" w:rsidP="0026452D">
      <w:pPr>
        <w:pStyle w:val="TextoNormal"/>
      </w:pPr>
    </w:p>
    <w:p w:rsidR="0026452D" w:rsidRDefault="0026452D" w:rsidP="0026452D">
      <w:pPr>
        <w:pStyle w:val="TextoNormal"/>
      </w:pPr>
      <w:r>
        <w:lastRenderedPageBreak/>
        <w:t>Por otra parte, indica el Fiscal General del Estado que en realidad son tres las dudas de constitucionalidad que se plantean, las dos primeras relativas a una posible invasión de competencias exclusivas del Estado en el ámbito del Derecho civil que aludirían al establecimiento de una regulación jurídica con eficacia personal y patrimonial de una relación de convivencia de hecho que se equipara, a efectos limitados, a la del matrimonio, así como a la creación de un registro público al que se le dota de efectos constitutivos para generar consecuencias personales y patrimoniales a todas las uniones de hecho inscritas. El tercer problema de constitucionalidad planteado consiste en la contradicción de los arts. 8 y 9 con la competencia exclusiva del Estado en materia de regulación de las bases del estatuto de los funcionarios públicos.</w:t>
      </w:r>
    </w:p>
    <w:p w:rsidR="0026452D" w:rsidRDefault="0026452D" w:rsidP="0026452D">
      <w:pPr>
        <w:pStyle w:val="TextoNormal"/>
      </w:pPr>
    </w:p>
    <w:p w:rsidR="0026452D" w:rsidRDefault="0026452D" w:rsidP="0026452D">
      <w:pPr>
        <w:pStyle w:val="TextoNormal"/>
      </w:pPr>
      <w:r>
        <w:t>Analizando ya la primera de las dudas de constitucionalidad mencionadas, que afecta a los arts. 3, 4 y 5 de la Ley 11/2001, sostiene el Ministerio público que han de ponerse en relación con el resto de preceptos de la Ley, sobre todo los arts. 1 y 2, que regulan el ámbito de aplicación y los requisitos personales exigidos para erigirse, conforme a la norma, en pareja de hecho. Destaca el Fiscal General del Estado que la norma no contiene una regulación del marco de convivencia de las uniones de hecho, ya que no tiene vocación de generalidad en tanto que no alude a todas las situaciones de hecho que pueden producirse sino, solamente, a aquellas que cumplan determinados requisitos y se inscriban voluntariamente. Tampoco su pretensión es regular completa y exhaustivamente el contenido de las relaciones de la pareja y la de ésta con terceros, sino que parece limitar sus efectos a los puramente administrativos previstos en los arts. 8 y 9 de la Ley 11/2001. En segundo lugar, sostiene que su finalidad es acreditar la existencia de una previa situación de hecho que, de otro modo, sería difícilmente demostrable. Por ello entiende el Fiscal General del Estado que la Ley ni conceptúa con vocación de generalidad lo que haya de entenderse como una unión de hecho ni establece marco normativo destinado a regular en su totalidad las relaciones entre los integrantes de la pareja y la de éstos con terceros.</w:t>
      </w:r>
    </w:p>
    <w:p w:rsidR="0026452D" w:rsidRDefault="0026452D" w:rsidP="0026452D">
      <w:pPr>
        <w:pStyle w:val="TextoNormal"/>
      </w:pPr>
    </w:p>
    <w:p w:rsidR="0026452D" w:rsidRDefault="0026452D" w:rsidP="0026452D">
      <w:pPr>
        <w:pStyle w:val="TextoNormal"/>
      </w:pPr>
      <w:r>
        <w:t xml:space="preserve">Indica que, no obstante lo anterior, ha de darse la razón a la Sala cuestionante en lo que respecta al art. 4, pues se describen determinadas prescripciones que han de observar los pactos suscritos por los integrantes de la pareja de hecho así como de las consecuencias negativas que se derivarían de su incumplimiento, recordando en su semejanza a previsiones similares incluidas en el Código civil. Estima el Fiscal General del Estado que, aparte de la semejanza anterior, es cierto que este art. 4 establece una completa regulación del régimen económico de las parejas de hecho inscritas e incluso determina las mismas consecuencias jurídicas que establece la norma civil para los supuestos de inobservancia de las citadas reglas. De ello concluye el Ministerio público que la Ley de la Asamblea de Madrid 11/2001 contempla un régimen normativo generador de obligaciones económicas que se apartan de su propia finalidad, pues si lo que se pretende es establecer un marco de seguridad jurídica para dichas situaciones de hecho con el único fin de generar efectos en el ámbito administrativo y de Derecho público de la Comunidad de Madrid, este precepto rebasa dichos límites y extiende su eficacia a cuestiones propias del Derecho privado, concretamente las relacionadas con los derechos personales y patrimoniales que, en territorio de Derecho común, ha de tutelar el Código civil. Por dichas razones entiende el Fiscal General del Estado que el art. 4 de la Ley 11/2001 debe reputarse en su integridad contrario al art. 149.1.8 CE. Esta misma suerte debe correr el art. 5, que se halla íntimamente conectado al anterior, toda vez que faculta el acceso al registro de los anteriores pactos suscritos al amparo de dicha norma, </w:t>
      </w:r>
      <w:r>
        <w:lastRenderedPageBreak/>
        <w:t>de manera que se trata de una norma meramente procedimental de otra sustantiva reguladora de unos pactos que han de ser expulsados del ordenamiento jurídico.</w:t>
      </w:r>
    </w:p>
    <w:p w:rsidR="0026452D" w:rsidRDefault="0026452D" w:rsidP="0026452D">
      <w:pPr>
        <w:pStyle w:val="TextoNormal"/>
      </w:pPr>
    </w:p>
    <w:p w:rsidR="0026452D" w:rsidRDefault="0026452D" w:rsidP="0026452D">
      <w:pPr>
        <w:pStyle w:val="TextoNormal"/>
      </w:pPr>
      <w:r>
        <w:t>Se plantea ahora el Fiscal General del Estado la cuestión de la posible invasión de las competencias estatales relacionadas con la ordenación de los registros e instrumentos públicos, competencias referidas a los registros de Derecho privado y no a aquellos que puedan ser establecidos por la Administración para el efectivo desenvolvimiento de las propias competencias. A juicio del Ministerio público esto último es lo que ocurriría en este caso, en el que, con fundamento en el principio de seguridad jurídica, se ha establecido un registro de índole administrativa destinado a constatar la existencia de relaciones convivenciales para atribuirles determinada eficacia en el ámbito propio de las competencias de la Comunidad de Madrid. Así, la eventual declaración de inconstitucionalidad de los arts. 4 y 5 salvaría la de los restantes preceptos cuestionados, pues el registro contemplado en el art. 3 tendría como única finalidad la acreditación de los presupuestos necesarios para alcanzar los derechos o beneficios que la Ley prevé para estas situaciones que, en ningún caso, deberían afectar a facetas propias de las relaciones personales y patrimoniales de los integrantes de la pareja por tratarse de aspectos jurídico-privados sobre los que la Comunidad de Madrid carece de competencias legislativas. Por el contrario, los arts. 4 y 5, en la medida en que aportan un plus de regulación jurídico-privada, se hallarán también viciados de inconstitucionalidad en el aspecto formal y registral, pues en tal caso la posibilidad de tener acceso al registro permitiría la generación de una serie de derechos de distinta naturaleza a los puramente administrativos y que incidirían en la esfera privada de los particulares.</w:t>
      </w:r>
    </w:p>
    <w:p w:rsidR="0026452D" w:rsidRDefault="0026452D" w:rsidP="0026452D">
      <w:pPr>
        <w:pStyle w:val="TextoNormal"/>
      </w:pPr>
    </w:p>
    <w:p w:rsidR="0026452D" w:rsidRDefault="0026452D" w:rsidP="0026452D">
      <w:pPr>
        <w:pStyle w:val="TextoNormal"/>
      </w:pPr>
      <w:r>
        <w:t>En último lugar analiza el Fiscal General del Estado la tercera de las dudas que se predica de los arts. 8 y 9 de la Ley de la Comunidad de Madrid 11/2001, relacionada con la vulneración de las competencias estatales respecto a la regulación de las bases del estatuto funcionarial. Opina el Ministerio Fiscal que los términos tan genéricos en los que aparece redactado el art. 8 permiten salvar su constitucionalidad, en la medida en que la referencia a “los mismos beneficios” que figura en la norma no deban ser entendidos en su significado más absoluto y radical, sino solamente por relación a aquellos ámbitos en los que, por ostentar la correspondiente competencia, dispone la Comunidad Autónoma de potestad normativa suficiente, sin colisionar con el estatuto básico funcionarial, algo que también sucedería con el art. 9.</w:t>
      </w:r>
    </w:p>
    <w:p w:rsidR="0026452D" w:rsidRDefault="0026452D" w:rsidP="0026452D">
      <w:pPr>
        <w:pStyle w:val="TextoNormal"/>
      </w:pPr>
    </w:p>
    <w:p w:rsidR="0026452D" w:rsidRDefault="0026452D" w:rsidP="0026452D">
      <w:pPr>
        <w:pStyle w:val="TextoNormal"/>
      </w:pPr>
      <w:r>
        <w:t>Por todo lo expuesto, el Fiscal General del Estado concluye solicitando de este Tribunal Constitucional que declare la inconstitucionalidad de los arts. 4 y 5 de la Ley 11/2001 por ser contrarios al art. 149.1.8 CE.</w:t>
      </w:r>
    </w:p>
    <w:p w:rsidR="0026452D" w:rsidRDefault="0026452D" w:rsidP="0026452D">
      <w:pPr>
        <w:pStyle w:val="TextoNormal"/>
      </w:pPr>
    </w:p>
    <w:p w:rsidR="0026452D" w:rsidRDefault="0026452D" w:rsidP="0026452D">
      <w:pPr>
        <w:pStyle w:val="TextoNormal"/>
      </w:pPr>
      <w:r w:rsidRPr="0026452D">
        <w:rPr>
          <w:rStyle w:val="NumeroAFNegritaCaracter"/>
        </w:rPr>
        <w:t>9</w:t>
      </w:r>
      <w:r>
        <w:t>. La Letrada de la Comunidad de Madrid presentó sus alegaciones mediante escrito registrado el día 11 de marzo de 2004.</w:t>
      </w:r>
    </w:p>
    <w:p w:rsidR="0026452D" w:rsidRDefault="0026452D" w:rsidP="0026452D">
      <w:pPr>
        <w:pStyle w:val="TextoNormal"/>
      </w:pPr>
    </w:p>
    <w:p w:rsidR="0026452D" w:rsidRDefault="0026452D" w:rsidP="0026452D">
      <w:pPr>
        <w:pStyle w:val="TextoNormal"/>
      </w:pPr>
      <w:r>
        <w:t>En ellas indica que el objeto del procedimiento se centra en la competencia de la Asamblea de Madrid para aprobar una norma como la Ley de la Comunidad de Madrid 11/2001, fruto de la iniciativa de los grupos parlamentarios. En ese sentido señala que la tramitación parlamentaria permite deducir que el legislador ha sido consciente del alcance de las competencias autonómicas en la materia, sin que haya pretendido en ningún momento ni abarcar aspectos pertenecientes al derecho civil ni propiciar el reconocimiento de una nueva realidad familiar.</w:t>
      </w:r>
    </w:p>
    <w:p w:rsidR="0026452D" w:rsidRDefault="0026452D" w:rsidP="0026452D">
      <w:pPr>
        <w:pStyle w:val="TextoNormal"/>
      </w:pPr>
    </w:p>
    <w:p w:rsidR="0026452D" w:rsidRDefault="0026452D" w:rsidP="0026452D">
      <w:pPr>
        <w:pStyle w:val="TextoNormal"/>
      </w:pPr>
      <w:r>
        <w:t>Alude la Letrada de la Comunidad de Madrid a que las uniones de hecho no pueden equipararse al matrimonio ni a ninguna otra institución de Derecho civil. Por ello el examen de la Ley de la Asamblea de Madrid 11/2001 no puede hacerse desde la perspectiva de que el legislador autonómico ha pretendido regular una institución del Derecho civil, pues, por el contrario, solo regula determinados efectos que atribuye a una situación de hecho en determinados ámbitos sectoriales, básicamente de función pública y de normativa de Derecho público. De ello concluye que la Comunidad de Madrid se ha limitado a desplegar en el marco de sus competencias un régimen de garantías, con el fin de que ninguna persona pueda verse perjudicada por la situación fáctica que suponen las uniones de hecho.</w:t>
      </w:r>
    </w:p>
    <w:p w:rsidR="0026452D" w:rsidRDefault="0026452D" w:rsidP="0026452D">
      <w:pPr>
        <w:pStyle w:val="TextoNormal"/>
      </w:pPr>
    </w:p>
    <w:p w:rsidR="0026452D" w:rsidRDefault="0026452D" w:rsidP="0026452D">
      <w:pPr>
        <w:pStyle w:val="TextoNormal"/>
      </w:pPr>
      <w:r>
        <w:t>Menciona a continuación las competencias de la Comunidad de Madrid en relación con los ámbitos sectoriales que se contemplan en la Ley de la Asamblea de Madrid 11/2001, como son los relativos a la función pública autonómica del art. 8 y de normativa de Derecho público del art. 9, teniendo en cuenta que, para poder acreditar la circunstancia de hecho que da lugar a tales beneficios, es necesaria la previa inscripción. En ese sentido señala, en relación con el art. 8, que la Comunidad de Madrid ostenta competencias en materia de ordenación de su propio personal, sin perjuicio de la legislación básica en materia de función pública, legislación que no se ve afectada por la regulación de la Ley de la Asamblea de Madrid 11/2001, en cuanto que se refiere a aspectos no contemplados en dicha normativa básica, bien establecidos en normas autonómicas o derivados de la negociación sectorial. Por otra parte, entiende que la referencia del art. 9 a la “normativa madrileña de derecho público” se refiere al Derecho propio de la Comunidad de Madrid, constituido por las normas reguladoras de las materias de competencia plena de la misma, como serían las materias presupuestaria, de subvenciones y de tributos propios. Finalmente, por lo que hace a la competencia plena en materia de ordenación de registros propios, alude al carácter declarativo y no constitutivo de la inscripción en el registro, argumentando que no es posible interpretar el art. 149.1.8 CE en forma tal que se refiere a cualquier registro, sino solamente en cuanto a aquellos que se relacionan con el Derecho privado, lo que no sería el caso del registro regulado en la Ley 11/2001, al tratarse de un registro administrativo.</w:t>
      </w:r>
    </w:p>
    <w:p w:rsidR="0026452D" w:rsidRDefault="0026452D" w:rsidP="0026452D">
      <w:pPr>
        <w:pStyle w:val="TextoNormal"/>
      </w:pPr>
    </w:p>
    <w:p w:rsidR="0026452D" w:rsidRDefault="0026452D" w:rsidP="0026452D">
      <w:pPr>
        <w:pStyle w:val="TextoNormal"/>
      </w:pPr>
      <w:r w:rsidRPr="0026452D">
        <w:rPr>
          <w:rStyle w:val="NumeroAFNegritaCaracter"/>
        </w:rPr>
        <w:t>10</w:t>
      </w:r>
      <w:r>
        <w:t>. Por escrito registrado el día 5 de marzo de 2004 la Presidenta de la Asamblea de Madrid comunicó el acuerdo de la Mesa de la Cámara en el sentido de no personarse en el proceso ni formular alegaciones.</w:t>
      </w:r>
    </w:p>
    <w:p w:rsidR="0026452D" w:rsidRDefault="0026452D" w:rsidP="0026452D">
      <w:pPr>
        <w:pStyle w:val="TextoNormal"/>
      </w:pPr>
    </w:p>
    <w:p w:rsidR="0026452D" w:rsidRDefault="0026452D" w:rsidP="0026452D">
      <w:pPr>
        <w:pStyle w:val="TextoNormal"/>
      </w:pPr>
      <w:r w:rsidRPr="0026452D">
        <w:rPr>
          <w:rStyle w:val="NumeroAFNegritaCaracter"/>
        </w:rPr>
        <w:t>11</w:t>
      </w:r>
      <w:r>
        <w:t>. Mediante providencia de 9 de abril de 2013 se señaló para deliberación y votación del presente recurso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La Sección Octava de la Sala de lo Contencioso-Administrativo del Tribunal Superior de Justicia de Madrid plantea cuestión de inconstitucionalidad en relación con los arts. 3, 4, 5, 8 y 9 de la Ley de la Asamblea de Madrid 11/2001, de 19 de diciembre, de uniones de hecho, por posible vulneración de los arts. 149.1.8 y 149.1.18 CE.</w:t>
      </w:r>
    </w:p>
    <w:p w:rsidR="0026452D" w:rsidRDefault="0026452D" w:rsidP="0026452D">
      <w:pPr>
        <w:pStyle w:val="TextoNormal"/>
      </w:pPr>
    </w:p>
    <w:p w:rsidR="0026452D" w:rsidRDefault="0026452D" w:rsidP="0026452D">
      <w:pPr>
        <w:pStyle w:val="TextoNormal"/>
      </w:pPr>
      <w:r>
        <w:t xml:space="preserve">Como ha quedado expuesto en los antecedentes, el órgano judicial considera que la Comunidad Autónoma no estaría competencialmente habilitada para aprobar una regulación </w:t>
      </w:r>
      <w:r>
        <w:lastRenderedPageBreak/>
        <w:t>como la que contienen los preceptos cuestionados de la Ley de la Asamblea de Madrid 11/2001. Así, ha señalado, en primer lugar, que los arts. 3, 4 y 5 producen efectos jurídicos generales en la esfera patrimonial de los convivientes que los equiparan a las personas unidas por vínculo matrimonial y son los propios del Derecho civil, de lo que resulta que entienda vulnerado el primer inciso del art. 149.1.8 CE que atribuye al Estado competencia exclusiva en materia de Derecho civil “sin perjuicio de la conservación, modificación y desarrollo por las Comunidades Autónomas de los derechos civiles, forales o especiales, allí donde existan”. En segundo lugar y relacionado con lo anterior, el carácter constitutivo que atribuye a la inscripción de las uniones de hecho en el registro autonómico hace que considere vulnerada la competencia exclusiva del Estado en relación con la “ordenación de los registros e instrumentos públicos” del ya citado art. 149.1.8 CE. Finalmente, en tercer lugar, el órgano judicial argumenta que en la medida en que los arts. 8 y 9 equiparan la unión de hecho al matrimonio en relación a sus efectos en la función pública y en la normativa de Derecho público de la Comunidad de Madrid, vulneran el art. 149.1.18 CE.</w:t>
      </w:r>
    </w:p>
    <w:p w:rsidR="0026452D" w:rsidRDefault="0026452D" w:rsidP="0026452D">
      <w:pPr>
        <w:pStyle w:val="TextoNormal"/>
      </w:pPr>
    </w:p>
    <w:p w:rsidR="0026452D" w:rsidRDefault="0026452D" w:rsidP="0026452D">
      <w:pPr>
        <w:pStyle w:val="TextoNormal"/>
      </w:pPr>
      <w:r>
        <w:t>El Abogado del Estado interesa la estimación de la cuestión por entender que los preceptos cuestionados incurren en las vulneraciones competenciales apreciadas por el órgano judicial. Por su parte, el Fiscal General del Estado postula la estimación parcial de la cuestión de inconstitucionalidad, por cuanto entiende que los arts. 4 y 5 introducen una regulación propia del Derecho privado para lo que la Comunidad Autónoma carece de competencias, estimando, por el contrario, que los arts. 3, 8 y 9 pueden entenderse dictados al amparo de las competencias autonómicas. Por último, la Letrada de la Comunidad de Madrid ha defendido la constitucionalidad de los preceptos legales cuestionados, afirmando, sin hacer mención a los arts. 4 y 5, que persiguen establecer garantías para las uniones de hecho en el marco de las competencias autonómicas.</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al examen de fondo debemos hacer algunas puntualizaciones en aras a la delimitación del objeto de nuestro enjuiciamiento, pues el Fiscal General del Estado ha considerado que, entre las normas cuestionadas ha de incluirse la disposición final primera, que habilita al Gobierno de la Comunidad de Madrid para, en el plazo de un año contado a partir de la entrada en vigor de la Ley de la Asamblea de Madrid 11/2001, aprobar los reglamentos de desarrollo de la misma.</w:t>
      </w:r>
    </w:p>
    <w:p w:rsidR="0026452D" w:rsidRDefault="0026452D" w:rsidP="0026452D">
      <w:pPr>
        <w:pStyle w:val="TextoNormal"/>
      </w:pPr>
    </w:p>
    <w:p w:rsidR="0026452D" w:rsidRDefault="0026452D" w:rsidP="0026452D">
      <w:pPr>
        <w:pStyle w:val="TextoNormal"/>
      </w:pPr>
      <w:r>
        <w:t>La propuesta de extensión del objeto de la presente cuestión de inconstitucionalidad no puede ser acogida. En este caso no es posible revisar el juicio de aplicabilidad que ha formulado el órgano judicial, dado que no puede considerarse notoriamente inconsistente o equivocada la argumentación judicial sobre la aplicabilidad al caso de las normas cuestionadas, en cuanto que dicha habilitación en nada menoscaba o violenta las competencias estatales, vulneración que el órgano judicial residencia en los preceptos que regulan los posibles contenidos de la inscripción de la unión de hecho y sus efectos. No concurre entonces el supuesto en el que, conforme a nuestra doctrina (por todas, STC 151/2011, de 29 de septiembre, FJ 2), pueda este Tribunal corregir el juicio de aplicabilidad formulado por el órgano judicial.</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Para encuadrar adecuadamente la duda de constitucionalidad planteada resulta conveniente examinar, siquiera brevemente, la norma autonómica que ha sido parcialmente cuestionada. La exposición de motivos de la Ley de la Comunidad de Madrid 11/2001 afirma </w:t>
      </w:r>
      <w:r>
        <w:lastRenderedPageBreak/>
        <w:t>que “trata de dar una adecuada solución a la realidad sociológica del incremento en el número de uniones entre personas, difícilmente encuadrables en las categorías jurídicas existentes” encontrando “su justificación, además, en el artículo 7 del Estatuto de Autonomía de la Comunidad de Madrid, en el artículo 14 de la Constitución Española que garantiza la igualdad de los españoles ante la Ley sin que pueda prevalecer discriminación alguna por razones, entre otras, de sexo, opinión o cualquier condición o circunstancia personal o social, el artículo 9 de la Constitución Española relativo a la obligación de los poderes públicos de promover la igualdad evitando situaciones en que pueda producirse discriminación, así como en la Resolución de 8 de febrero de 1994 del Parlamento Europeo, sobre la igualdad de los derechos de los homosexuales y lesbianas en la Comunidad Europea, que reitera la convicción de que todos los ciudadanos tienen derecho a un trato idéntico con independencia de su orientación sexual”.</w:t>
      </w:r>
    </w:p>
    <w:p w:rsidR="0026452D" w:rsidRDefault="0026452D" w:rsidP="0026452D">
      <w:pPr>
        <w:pStyle w:val="TextoNormal"/>
      </w:pPr>
    </w:p>
    <w:p w:rsidR="0026452D" w:rsidRDefault="0026452D" w:rsidP="0026452D">
      <w:pPr>
        <w:pStyle w:val="TextoNormal"/>
      </w:pPr>
      <w:r>
        <w:t>Con la citada finalidad la norma regula los requisitos de la inscripción de las uniones de hecho en el registro constituido al efecto por la Comunidad de Madrid, así como los beneficios que esta inscripción puede llevar aparejada. Las uniones inscribibles son las de carácter afectivo entre dos personas (“parejas”), una de ellas al menos empadronada en la Comunidad Autónoma, que conviven por decisión libre, de forma pública y notoria, con una antigüedad mínima del vínculo de doce meses y no incurran en algunas de las excepciones del artículo 2. Se permite también, conforme al art. 5, la inscripción de pactos sobre relaciones económicas entre los miembros de la pareja previstos en el art. 4, pactos formalizados en escritura pública, que sólo tienen efectos entre ellos y con independencia de la inscripción. Los arts. 6 y 7 regulan las causas de extinción de la unión de hecho. Los arts. 8 y 9 equiparan tales uniones a los matrimonios en cuanto a los beneficios concedidos al personal al servicio de la Administración de la Comunidad de Madrid y a los derechos y obligaciones establecidos en la normativa madrileña de Derecho público, “en especial en materia presupuestaria, de subvenciones y de tributos propios”.</w:t>
      </w:r>
    </w:p>
    <w:p w:rsidR="0026452D" w:rsidRDefault="0026452D" w:rsidP="0026452D">
      <w:pPr>
        <w:pStyle w:val="TextoNormal"/>
      </w:pPr>
    </w:p>
    <w:p w:rsidR="0026452D" w:rsidRDefault="0026452D" w:rsidP="0026452D">
      <w:pPr>
        <w:pStyle w:val="TextoNormal"/>
      </w:pPr>
      <w:r>
        <w:t xml:space="preserve">De la regulación que someramente se ha expuesto el órgano judicial cuestiona los efectos que la norma anuda a la formalización de la denominada unión de hecho, pues entiende que tales efectos se producen vulnerando competencias estatales. De hecho, como acertadamente apunta el Fiscal General del Estado, tres son las concretas dudas de constitucionalidad que plantea el órgano judicial en relación con la Ley de la Asamblea de Madrid 11/2001. Las dos primeras se refieren a la posible invasión de las competencias estatales </w:t>
      </w:r>
      <w:r w:rsidRPr="0026452D">
        <w:rPr>
          <w:i/>
        </w:rPr>
        <w:t>ex</w:t>
      </w:r>
      <w:r>
        <w:t xml:space="preserve"> art. 149.1.8 CE. En concreto, se entiende vulnerada la competencia estatal en materia de legislación civil, vulneración que se residencia en los arts. 4 y 5 de la Ley 11/2001 relativos a los contenidos de los posibles pactos reguladores de la convivencia y su inscripción en el registro de uniones de hecho de la Comunidad de Madrid. Igualmente se considera infringida la competencia exclusiva estatal sobre la ordenación de los registros e instrumentos públicos, lo que se reprocha al art. 3, relativo a la inscripción de la propia unión de hecho en el mencionado registro, inscripción que, según ha argumentado el órgano judicial, tiene carácter constitutivo. Por último, el tercer problema de constitucionalidad planteado alude a la contravención de los arts. 8 y 9 con el art. 149.1.18 CE que habilita al Estado para dictar las bases del régimen estatutario de los funcionarios públicos.</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Centrado en tales términos el objeto del proceso, analizaremos ahora los preceptos legales cuestionados en función de las tres dudas de constitucionalidad que plantea el órgano </w:t>
      </w:r>
      <w:r>
        <w:lastRenderedPageBreak/>
        <w:t>judicial. Para ello comenzaremos por los arts. 4 y 5, los cuales disponen, respectivamente, lo siguiente:</w:t>
      </w:r>
    </w:p>
    <w:p w:rsidR="0026452D" w:rsidRDefault="0026452D" w:rsidP="0026452D">
      <w:pPr>
        <w:pStyle w:val="TextoNormal"/>
      </w:pPr>
    </w:p>
    <w:p w:rsidR="0026452D" w:rsidRDefault="0026452D" w:rsidP="0026452D">
      <w:pPr>
        <w:pStyle w:val="TextoNormal"/>
      </w:pPr>
      <w:r>
        <w:t>“Artículo 4. Regulación de la convivencia</w:t>
      </w:r>
    </w:p>
    <w:p w:rsidR="0026452D" w:rsidRDefault="0026452D" w:rsidP="0026452D">
      <w:pPr>
        <w:pStyle w:val="TextoNormal"/>
      </w:pPr>
    </w:p>
    <w:p w:rsidR="0026452D" w:rsidRDefault="0026452D" w:rsidP="0026452D">
      <w:pPr>
        <w:pStyle w:val="TextoNormal"/>
      </w:pPr>
      <w:r>
        <w:t>1. Los miembros de la unión de hecho podrán establecer válidamente en escritura pública los pactos que consideren convenientes para regir sus relaciones económicas durante la convivencia y para liquidarlas tras su cese.</w:t>
      </w:r>
    </w:p>
    <w:p w:rsidR="0026452D" w:rsidRDefault="0026452D" w:rsidP="0026452D">
      <w:pPr>
        <w:pStyle w:val="TextoNormal"/>
      </w:pPr>
    </w:p>
    <w:p w:rsidR="0026452D" w:rsidRDefault="0026452D" w:rsidP="0026452D">
      <w:pPr>
        <w:pStyle w:val="TextoNormal"/>
      </w:pPr>
      <w:r>
        <w:t>2. Los pactos a que se refiere el número anterior podrán establecer compensaciones económicas cuando, tras el cese de la convivencia se produzca un desequilibrio económico en uno de los convivientes con relación a la posición del otro que implique un empeoramiento respecto a la situación anterior. Tales compensaciones habrán de tomar en consideración las mismas circunstancias a que se refiere el artículo 97 del Código civil.</w:t>
      </w:r>
    </w:p>
    <w:p w:rsidR="0026452D" w:rsidRDefault="0026452D" w:rsidP="0026452D">
      <w:pPr>
        <w:pStyle w:val="TextoNormal"/>
      </w:pPr>
    </w:p>
    <w:p w:rsidR="0026452D" w:rsidRDefault="0026452D" w:rsidP="0026452D">
      <w:pPr>
        <w:pStyle w:val="TextoNormal"/>
      </w:pPr>
      <w:r>
        <w:t>3. A falta de pacto se presumirá, salvo prueba en contrario, que los miembros de la unión contribuyen equitativamente al sostenimiento de las cargas de ésta en proporción a sus recursos.</w:t>
      </w:r>
    </w:p>
    <w:p w:rsidR="0026452D" w:rsidRDefault="0026452D" w:rsidP="0026452D">
      <w:pPr>
        <w:pStyle w:val="TextoNormal"/>
      </w:pPr>
    </w:p>
    <w:p w:rsidR="0026452D" w:rsidRDefault="0026452D" w:rsidP="0026452D">
      <w:pPr>
        <w:pStyle w:val="TextoNormal"/>
      </w:pPr>
      <w:r>
        <w:t>4. Serán nulos y carecerán de validez los pactos contrarios a las leyes, limitativos de la igualdad de derechos que corresponde a cada conviviente o gravemente perjudiciales para uno de ellos. Asimismo serán nulos los pactos cuyo objeto sea exclusivamente personal o que afecten a la intimidad de los convivientes.</w:t>
      </w:r>
    </w:p>
    <w:p w:rsidR="0026452D" w:rsidRDefault="0026452D" w:rsidP="0026452D">
      <w:pPr>
        <w:pStyle w:val="TextoNormal"/>
      </w:pPr>
    </w:p>
    <w:p w:rsidR="0026452D" w:rsidRDefault="0026452D" w:rsidP="0026452D">
      <w:pPr>
        <w:pStyle w:val="TextoNormal"/>
      </w:pPr>
      <w:r>
        <w:t>5. En todo caso los pactos a que se refiere este artículo, estén o no inscritos en el Registro de Uniones de Hecho de la Comunidad de Madrid, sólo surtirán efectos entre las partes firmantes y nunca podrán perjudicar a terceros.”</w:t>
      </w:r>
    </w:p>
    <w:p w:rsidR="0026452D" w:rsidRDefault="0026452D" w:rsidP="0026452D">
      <w:pPr>
        <w:pStyle w:val="TextoNormal"/>
      </w:pPr>
    </w:p>
    <w:p w:rsidR="0026452D" w:rsidRDefault="0026452D" w:rsidP="0026452D">
      <w:pPr>
        <w:pStyle w:val="TextoNormal"/>
      </w:pPr>
      <w:r>
        <w:t>“Artículo 5. Inscripción</w:t>
      </w:r>
    </w:p>
    <w:p w:rsidR="0026452D" w:rsidRDefault="0026452D" w:rsidP="0026452D">
      <w:pPr>
        <w:pStyle w:val="TextoNormal"/>
      </w:pPr>
    </w:p>
    <w:p w:rsidR="0026452D" w:rsidRDefault="0026452D" w:rsidP="0026452D">
      <w:pPr>
        <w:pStyle w:val="TextoNormal"/>
      </w:pPr>
      <w:r>
        <w:t>1. Los pactos a que se refiere el artículo 4 podrán inscribirse en el Registro, siempre que en ellos concurran los requisitos de validez expresados en el mismo artículo.</w:t>
      </w:r>
    </w:p>
    <w:p w:rsidR="0026452D" w:rsidRDefault="0026452D" w:rsidP="0026452D">
      <w:pPr>
        <w:pStyle w:val="TextoNormal"/>
      </w:pPr>
    </w:p>
    <w:p w:rsidR="0026452D" w:rsidRDefault="0026452D" w:rsidP="0026452D">
      <w:pPr>
        <w:pStyle w:val="TextoNormal"/>
      </w:pPr>
      <w:r>
        <w:t>2. La inscripción podrá efectuarse a petición de ambos miembros de la unión conjuntamente.</w:t>
      </w:r>
    </w:p>
    <w:p w:rsidR="0026452D" w:rsidRDefault="0026452D" w:rsidP="0026452D">
      <w:pPr>
        <w:pStyle w:val="TextoNormal"/>
      </w:pPr>
    </w:p>
    <w:p w:rsidR="0026452D" w:rsidRDefault="0026452D" w:rsidP="0026452D">
      <w:pPr>
        <w:pStyle w:val="TextoNormal"/>
      </w:pPr>
      <w:r>
        <w:t>3. Contra la denegación de la inscripción, que se hará por resolución motivada, podrá interponerse el recurso administrativo que proceda.”</w:t>
      </w:r>
    </w:p>
    <w:p w:rsidR="0026452D" w:rsidRDefault="0026452D" w:rsidP="0026452D">
      <w:pPr>
        <w:pStyle w:val="TextoNormal"/>
      </w:pPr>
    </w:p>
    <w:p w:rsidR="0026452D" w:rsidRDefault="0026452D" w:rsidP="0026452D">
      <w:pPr>
        <w:pStyle w:val="TextoNormal"/>
      </w:pPr>
      <w:r>
        <w:t xml:space="preserve">Examinando ya lo dispuesto en el art. 4 es evidente que describe determinadas prescripciones que han de observar los pactos suscritos por los integrantes de la unión de hecho dirigidos a regir sus relaciones económicas y patrimoniales, tanto constante la convivencia como con ocasión de su cese. Alude así al posible contenido de los pactos, sus límites y efectos, la eventual fijación de una compensación económica y su necesaria sujeción a las circunstancias previstas en el art. 97 del Código civil, así como al sostenimiento de las cargas de la unión de hecho y las consecuencias negativas que, en su caso, pudieran derivarse de sus eventuales contenidos. Es claro, entonces que el precepto, aun cuando solamente sea para las parejas que se hayan inscrito voluntariamente en el registro (art. 1.1), contempla un </w:t>
      </w:r>
      <w:r>
        <w:lastRenderedPageBreak/>
        <w:t>régimen normativo generador de obligaciones económicas derivadas de dicha situación de hecho que pertenece al ámbito de las relaciones jurídico-privadas de los miembros de la unión de hecho. Así, la ley autonómica regula determinados efectos que atribuye a una situación de hecho, la convivencia en pareja entre dos personas unidas por vínculos de afectividad en los términos de los arts. 1 y 2 de la Ley de la Asamblea de Madrid 11/2001, efectos entre los que se encuentra la posibilidad de regular la convivencia mediante pacto expreso con las condiciones y contenidos previstos en la norma.</w:t>
      </w:r>
    </w:p>
    <w:p w:rsidR="0026452D" w:rsidRDefault="0026452D" w:rsidP="0026452D">
      <w:pPr>
        <w:pStyle w:val="TextoNormal"/>
      </w:pPr>
    </w:p>
    <w:p w:rsidR="0026452D" w:rsidRDefault="0026452D" w:rsidP="0026452D">
      <w:pPr>
        <w:pStyle w:val="TextoNormal"/>
      </w:pPr>
      <w:r>
        <w:t>El problema constitucional que la regulación descrita plantea es que —como no podía ser de otro modo, atendiendo a la finalidad que persigue— dicho efecto se inserta de lleno en el ámbito de las relaciones personales y patrimoniales de los integrantes de la unión de hecho, teniendo, por tanto, una naturaleza propia de la materia regulada por el Derecho civil. El aludido carácter civil de la regulación que examinamos se ratifica si se tienen en cuenta que determinadas previsiones de este precepto no son sino trasunto de reglas equivalentes contenidas en el Código civil. Así, el art. 4.2 remite expresamente a la regulación de la pensión compensatoria en casos de separación o divorcio establecida en el art. 97 del Código civil, mientras que la presunción del art. 4.3 recuerda en su semejanza al art. 1438 del Código civil, relativo al régimen económico matrimonial de separación de bienes. Por su parte, la necesidad de que los pactos consten en escritura pública del art. 4.1 o las limitaciones a los pactos del art. 4 no son sino traslación de lo dispuesto en los arts. 1327 y 1328 del Código civil.</w:t>
      </w:r>
    </w:p>
    <w:p w:rsidR="0026452D" w:rsidRDefault="0026452D" w:rsidP="0026452D">
      <w:pPr>
        <w:pStyle w:val="TextoNormal"/>
      </w:pPr>
    </w:p>
    <w:p w:rsidR="0026452D" w:rsidRDefault="0026452D" w:rsidP="0026452D">
      <w:pPr>
        <w:pStyle w:val="TextoNormal"/>
      </w:pPr>
      <w:r>
        <w:t xml:space="preserve">Las consecuencias del examen de esta regulación desde la perspectiva del orden constitucional de distribución de competencias son claras, pues ya tenemos declarado que las regulaciones relativas a las relaciones </w:t>
      </w:r>
      <w:r w:rsidRPr="0026452D">
        <w:rPr>
          <w:i/>
        </w:rPr>
        <w:t>interprivatos</w:t>
      </w:r>
      <w:r>
        <w:t xml:space="preserve"> constituyen reglas de Derecho privado encuadrables en la materia de legislación civil (STC 28/2012, de 1 de marzo, FJ 5), relaciones </w:t>
      </w:r>
      <w:r w:rsidRPr="0026452D">
        <w:rPr>
          <w:i/>
        </w:rPr>
        <w:t>interprivatos</w:t>
      </w:r>
      <w:r>
        <w:t xml:space="preserve"> en las que, indudablemente se integran los pactos de contenido económico y patrimonial a los que se refieren estos preceptos. En dicha materia el Estado ostenta, conforme al primer inciso del art. 149.1.8 CE, la competencia exclusiva sobre “legislación civil; sin perjuicio de la conservación, modificación o desarrollo por las Comunidades Autónomas de los derechos civiles, forales o especiales, allí donde existan”. Esta última circunstancia, la previa existencia de un Derecho civil foral o especial, no concurre en el caso de la Comunidad de Madrid, cuyo Estatuto de Autonomía no recoge mención alguna a competencias autonómicas en este ámbito.</w:t>
      </w:r>
    </w:p>
    <w:p w:rsidR="0026452D" w:rsidRDefault="0026452D" w:rsidP="0026452D">
      <w:pPr>
        <w:pStyle w:val="TextoNormal"/>
      </w:pPr>
    </w:p>
    <w:p w:rsidR="0026452D" w:rsidRDefault="0026452D" w:rsidP="0026452D">
      <w:pPr>
        <w:pStyle w:val="TextoNormal"/>
      </w:pPr>
      <w:r>
        <w:t>Por tanto, como quiera que la Comunidad de Madrid no ostenta competencias sobre Derecho civil foral o especial, la regulación del art. 4 de la Ley 11/2001 se sitúa extramuros de sus facultades legislativas y vulnera las competencias del Estado, tal como las mismas se establecen en el art. 149.1.8 CE, debiendo ser declarado, por ello, inconstitucional y nulo.</w:t>
      </w:r>
    </w:p>
    <w:p w:rsidR="0026452D" w:rsidRDefault="0026452D" w:rsidP="0026452D">
      <w:pPr>
        <w:pStyle w:val="TextoNormal"/>
      </w:pPr>
    </w:p>
    <w:p w:rsidR="0026452D" w:rsidRDefault="0026452D" w:rsidP="0026452D">
      <w:pPr>
        <w:pStyle w:val="TextoNormal"/>
      </w:pPr>
      <w:r>
        <w:t>Lo mismo sucede con el art. 5, que se halla íntimamente conectado con aquél, hasta el punto de que tiene su razón de ser en lo que dispone el precepto anterior, pues se trata de una norma meramente procedimental relativa a la inscripción en el registro de uniones de hecho de los pactos previstos en el art. 4. Razón por la cual el art. 5 ha de correr la misma suerte y procedente resulta declarar su inconstitucionalidad y nulidad.</w:t>
      </w:r>
    </w:p>
    <w:p w:rsidR="0026452D" w:rsidRDefault="0026452D" w:rsidP="0026452D">
      <w:pPr>
        <w:pStyle w:val="TextoNormal"/>
      </w:pPr>
    </w:p>
    <w:p w:rsidR="0026452D" w:rsidRDefault="0026452D" w:rsidP="0026452D">
      <w:pPr>
        <w:pStyle w:val="TextoNormal"/>
      </w:pPr>
      <w:r w:rsidRPr="0026452D">
        <w:rPr>
          <w:rStyle w:val="NumeroAFNegritaCaracter"/>
        </w:rPr>
        <w:t>5</w:t>
      </w:r>
      <w:r>
        <w:t>. Enjuiciaremos ahora el art. 3, que dispone lo siguiente:</w:t>
      </w:r>
    </w:p>
    <w:p w:rsidR="0026452D" w:rsidRDefault="0026452D" w:rsidP="0026452D">
      <w:pPr>
        <w:pStyle w:val="TextoNormal"/>
      </w:pPr>
    </w:p>
    <w:p w:rsidR="0026452D" w:rsidRDefault="0026452D" w:rsidP="0026452D">
      <w:pPr>
        <w:pStyle w:val="TextoNormal"/>
      </w:pPr>
      <w:r>
        <w:lastRenderedPageBreak/>
        <w:t>“Artículo 3. Acreditación</w:t>
      </w:r>
    </w:p>
    <w:p w:rsidR="0026452D" w:rsidRDefault="0026452D" w:rsidP="0026452D">
      <w:pPr>
        <w:pStyle w:val="TextoNormal"/>
      </w:pPr>
    </w:p>
    <w:p w:rsidR="0026452D" w:rsidRDefault="0026452D" w:rsidP="0026452D">
      <w:pPr>
        <w:pStyle w:val="TextoNormal"/>
      </w:pPr>
      <w:r>
        <w:t>1. Las uniones a que se refiere la presente Ley producirán sus efectos desde la fecha de la inscripción en el Registro de las Uniones de Hecho de la Comunidad de Madrid, previa acreditación de los requisitos a que se refiere el artículo 1 en expediente contradictorio ante el encargado del Registro.</w:t>
      </w:r>
    </w:p>
    <w:p w:rsidR="0026452D" w:rsidRDefault="0026452D" w:rsidP="0026452D">
      <w:pPr>
        <w:pStyle w:val="TextoNormal"/>
      </w:pPr>
    </w:p>
    <w:p w:rsidR="0026452D" w:rsidRDefault="0026452D" w:rsidP="0026452D">
      <w:pPr>
        <w:pStyle w:val="TextoNormal"/>
      </w:pPr>
      <w:r>
        <w:t>2. Reglamentariamente se regulará tal expediente contradictorio. En todo caso, la previa convivencia libre, pública, notoria e ininterrumpida en relación de afectividad, habrá de acreditarse mediante dos testigos mayores de edad en pleno ejercicio de sus derechos civiles.</w:t>
      </w:r>
    </w:p>
    <w:p w:rsidR="0026452D" w:rsidRDefault="0026452D" w:rsidP="0026452D">
      <w:pPr>
        <w:pStyle w:val="TextoNormal"/>
      </w:pPr>
    </w:p>
    <w:p w:rsidR="0026452D" w:rsidRDefault="0026452D" w:rsidP="0026452D">
      <w:pPr>
        <w:pStyle w:val="TextoNormal"/>
      </w:pPr>
      <w:r>
        <w:t>3. La existencia de la unión de hecho se acreditará mediante certificación del encargado del Registro.”</w:t>
      </w:r>
    </w:p>
    <w:p w:rsidR="0026452D" w:rsidRDefault="0026452D" w:rsidP="0026452D">
      <w:pPr>
        <w:pStyle w:val="TextoNormal"/>
      </w:pPr>
    </w:p>
    <w:p w:rsidR="0026452D" w:rsidRDefault="0026452D" w:rsidP="0026452D">
      <w:pPr>
        <w:pStyle w:val="TextoNormal"/>
      </w:pPr>
      <w:r>
        <w:t>A este precepto reprocha el órgano judicial que vulnera las competencias estatales relativas a la ordenación de los registros e instrumentos públicos, por lo que deberemos partir de lo afirmado por este Tribunal en torno a la delimitación de dicho título competencial estatal. Los criterios de nuestra doctrina (por todas STC 103/1999, de 3 de junio, FJ 3) respecto a la delimitación del título competencial estatal relativo a la “ordenación de los registros públicos” lo circunscriben a los relativos a materias de derecho privado, concluyendo que los registros a que dicha ordenación se refiere son, exclusivamente, los de carácter civil. Asimismo, la posibilidad de que las Comunidades Autónomas, en el ejercicio de sus competencias, creen registros administrativos y, por tanto, distintos de los anteriores, ha sido admitida con naturalidad por la doctrina constitucional desde las SSTC 32/1983, de 28 de abril y 87/1985, de 16 de julio.</w:t>
      </w:r>
    </w:p>
    <w:p w:rsidR="0026452D" w:rsidRDefault="0026452D" w:rsidP="0026452D">
      <w:pPr>
        <w:pStyle w:val="TextoNormal"/>
      </w:pPr>
    </w:p>
    <w:p w:rsidR="0026452D" w:rsidRDefault="0026452D" w:rsidP="0026452D">
      <w:pPr>
        <w:pStyle w:val="TextoNormal"/>
      </w:pPr>
      <w:r>
        <w:t>Descartado ya, de acuerdo con lo razonado en el fundamento jurídico precedente, que el registro despliegue su eficacia en el ámbito de las relaciones personales y patrimoniales de los integrantes de la unión de hecho, pues hemos dejado sentado que la Comunidad Autónoma carece de competencias para establecerlo así, resulta que el mismo se limita a publicitar un hecho, la existencia de la previa unión de hecho a fin de atribuirles determinada eficacia en ámbitos de competencia propia de la Comunidad de Madrid y, por tanto, sin incidir en la legislación civil ni, por lo mismo, en la competencia estatal relativa a la ordenación de los registros del art. 149.1.8 CE. A tal fin la inscripción en el registro que se contempla en el art. 3 tiene por única finalidad, al igual que su antecedente regulado por el Decreto 36/1995, de 20 de abril, la acreditación de una situación de hecho, de modo que resulte posible aplicar el régimen jurídico que, en el ámbito de competencias autonómico, el legislador territorial haya considerado oportuno establecer, sin afectar a facetas propias de las relaciones personales o patrimoniales de los integrantes de la unión de hecho.</w:t>
      </w:r>
    </w:p>
    <w:p w:rsidR="0026452D" w:rsidRDefault="0026452D" w:rsidP="0026452D">
      <w:pPr>
        <w:pStyle w:val="TextoNormal"/>
      </w:pPr>
    </w:p>
    <w:p w:rsidR="0026452D" w:rsidRDefault="0026452D" w:rsidP="0026452D">
      <w:pPr>
        <w:pStyle w:val="TextoNormal"/>
      </w:pPr>
      <w:r>
        <w:t>Por ello, delimitados en tales términos los efectos de la inscripción en el registro de uniones de hecho, no es posible apreciar la vulneración competencial que se denuncia, sin que tampoco, a estos efectos, resulte necesario pronunciarse acerca del carácter constitutivo, que sostiene el órgano judicial, o declarativo, como afirma el art. 9 del Decreto 134/2002, de 18 de julio, por el que se aprueba el registro de uniones de hecho de la Comunidad de Madrid.</w:t>
      </w:r>
    </w:p>
    <w:p w:rsidR="0026452D" w:rsidRDefault="0026452D" w:rsidP="0026452D">
      <w:pPr>
        <w:pStyle w:val="TextoNormal"/>
      </w:pPr>
    </w:p>
    <w:p w:rsidR="0026452D" w:rsidRDefault="0026452D" w:rsidP="0026452D">
      <w:pPr>
        <w:pStyle w:val="TextoNormal"/>
      </w:pPr>
      <w:r w:rsidRPr="0026452D">
        <w:rPr>
          <w:rStyle w:val="NumeroAFNegritaCaracter"/>
        </w:rPr>
        <w:t>6</w:t>
      </w:r>
      <w:r>
        <w:t>. Restan por examinar los arts. 8 y 9 de la Ley 11/2001, que integrantes del capítulo V, intitulado “Normas administrativas”, disponen, respectivamente, lo siguiente:</w:t>
      </w:r>
    </w:p>
    <w:p w:rsidR="0026452D" w:rsidRDefault="0026452D" w:rsidP="0026452D">
      <w:pPr>
        <w:pStyle w:val="TextoNormal"/>
      </w:pPr>
    </w:p>
    <w:p w:rsidR="0026452D" w:rsidRDefault="0026452D" w:rsidP="0026452D">
      <w:pPr>
        <w:pStyle w:val="TextoNormal"/>
      </w:pPr>
      <w:r>
        <w:t>“Artículo 8. Beneficios respecto de la Función Pública</w:t>
      </w:r>
    </w:p>
    <w:p w:rsidR="0026452D" w:rsidRDefault="0026452D" w:rsidP="0026452D">
      <w:pPr>
        <w:pStyle w:val="TextoNormal"/>
      </w:pPr>
    </w:p>
    <w:p w:rsidR="0026452D" w:rsidRDefault="0026452D" w:rsidP="0026452D">
      <w:pPr>
        <w:pStyle w:val="TextoNormal"/>
      </w:pPr>
      <w:r>
        <w:t>En relación con el personal al servicio de la Administración de la Comunidad de Madrid, los convivientes mantendrán los mismos beneficios reconocidos a las parejas que hayan contraído matrimonio.”</w:t>
      </w:r>
    </w:p>
    <w:p w:rsidR="0026452D" w:rsidRDefault="0026452D" w:rsidP="0026452D">
      <w:pPr>
        <w:pStyle w:val="TextoNormal"/>
      </w:pPr>
    </w:p>
    <w:p w:rsidR="0026452D" w:rsidRDefault="0026452D" w:rsidP="0026452D">
      <w:pPr>
        <w:pStyle w:val="TextoNormal"/>
      </w:pPr>
      <w:r>
        <w:t>“Artículo 9. Normativa de Derecho Público</w:t>
      </w:r>
    </w:p>
    <w:p w:rsidR="0026452D" w:rsidRDefault="0026452D" w:rsidP="0026452D">
      <w:pPr>
        <w:pStyle w:val="TextoNormal"/>
      </w:pPr>
    </w:p>
    <w:p w:rsidR="0026452D" w:rsidRDefault="0026452D" w:rsidP="0026452D">
      <w:pPr>
        <w:pStyle w:val="TextoNormal"/>
      </w:pPr>
      <w:r>
        <w:t>Los derechos y obligaciones establecidos en la normativa madrileña de Derecho Público para los miembros de parejas que hayan contraído matrimonio, serán de aplicación a los miembros de la unión de hecho, en especial en materia presupuestaria, de subvenciones y de tributos propios.”</w:t>
      </w:r>
    </w:p>
    <w:p w:rsidR="0026452D" w:rsidRDefault="0026452D" w:rsidP="0026452D">
      <w:pPr>
        <w:pStyle w:val="TextoNormal"/>
      </w:pPr>
    </w:p>
    <w:p w:rsidR="0026452D" w:rsidRDefault="0026452D" w:rsidP="0026452D">
      <w:pPr>
        <w:pStyle w:val="TextoNormal"/>
      </w:pPr>
      <w:r>
        <w:t>Los artículos 8 y 9, en cuanto que normas administrativas y no reguladoras de relación laboral alguna, resultan ser así los únicos que contemplan consecuencias jurídicas para las uniones inscritas, que consisten básicamente en la equiparación de tales uniones a los matrimonios en cuanto a los beneficios concedidos al personal al servicio de la Administración de la Comunidad de Madrid y a los derechos y obligaciones establecidos en la normativa madrileña de Derecho público, “en especial en materia presupuestaria, de subvenciones y de tributos propios”.</w:t>
      </w:r>
    </w:p>
    <w:p w:rsidR="0026452D" w:rsidRDefault="0026452D" w:rsidP="0026452D">
      <w:pPr>
        <w:pStyle w:val="TextoNormal"/>
      </w:pPr>
    </w:p>
    <w:p w:rsidR="0026452D" w:rsidRDefault="0026452D" w:rsidP="0026452D">
      <w:pPr>
        <w:pStyle w:val="TextoNormal"/>
      </w:pPr>
      <w:r>
        <w:t xml:space="preserve">En cuanto al art. 8, cabe señalar que, sin perjuicio de su mayor o menor acierto técnico, cuestión ajena al enjuiciamiento de este Tribunal, no es posible apreciar la tacha de inconstitucionalidad que se le dirige. La decisión de la Cámara autonómica, formulada con un elevado grado de generalidad, ha de considerarse adoptada en el ámbito de las competencias autonómicas, tal como la referencia al “personal al servicio de la Comunidad de Madrid” pone de manifiesto, estando el órgano legislativo autonómico capacitado para tomar en consideración, en el ámbito de sus competencias, la existencia en la sociedad actual de la convivencia </w:t>
      </w:r>
      <w:r w:rsidRPr="0026452D">
        <w:rPr>
          <w:i/>
        </w:rPr>
        <w:t>more uxorio</w:t>
      </w:r>
      <w:r>
        <w:t>. Como recuerda la STC 31/2010, de 28 de junio, FJ 82, con cita de otras, “el art. 149.1.18 CE reserva al Estado ‘las bases del régimen estatutario de los funcionarios públicos’, incluyéndose en ellas ‘en principio, la normación relativa a la adquisición y pérdida de la condición de funcionario, a las condiciones de promoción de la carrera administrativa y a las situaciones que en ésta puedan darse, a los derechos y deberes y responsabilidades de los funcionarios y a su régimen disciplinario, así como a la creación e integración, en su caso, de cuerpos y escalas funcionariales y al modo de provisión de puestos de trabajo al servicio de las Administraciones públicas.’ (STC 37/2002, de 14 de febrero, FJ 5 y las allí citadas)”. Por su parte a las Comunidades Autónomas les corresponde la competencia de desarrollo legislativo y de ejecución, de acuerdo con aquella legislación básica, en relación con el estatuto de la función pública autonómica y local (STC 37/2002, FJ 8).</w:t>
      </w:r>
    </w:p>
    <w:p w:rsidR="0026452D" w:rsidRDefault="0026452D" w:rsidP="0026452D">
      <w:pPr>
        <w:pStyle w:val="TextoNormal"/>
      </w:pPr>
    </w:p>
    <w:p w:rsidR="0026452D" w:rsidRDefault="0026452D" w:rsidP="0026452D">
      <w:pPr>
        <w:pStyle w:val="TextoNormal"/>
      </w:pPr>
      <w:r>
        <w:t xml:space="preserve">Siendo esta la delimitación competencial en la materia, resulta que puede entenderse con naturalidad que la previsión legal se vincula, tal como sostienen tanto el Fiscal General del Estado como la Letrada de la Comunidad de Madrid, con las decisiones respecto al personal al servicio de la Administración de la Comunidad de Madrid que pueden ser legítimamente adoptadas por la Comunidad Autónoma, en el marco de la legislación básica y en ejercicio de sus competencias en relación con el régimen estatutario de sus funcionarios públicos (art. </w:t>
      </w:r>
      <w:r>
        <w:lastRenderedPageBreak/>
        <w:t>27.2 del Estatuto de Autonomía de la Comunidad de Madrid) y de ejecución de la legislación laboral (art. 28.1.12). Por tanto, la mera previsión de extensión de la aplicación de la normativa autonómica en materia de personal al servicio de la Comunidad Autónoma a los integrantes de la unión de hecho, en el caso de que dicha normativa reconozca determinados beneficios a personas unidas por vínculo matrimonial, que es la finalidad perseguida por el precepto, no puede entenderse vulneradora de las competencias estatales, sin que, por otra parte, se hayan justificado por el órgano judicial los términos en los que tal vulneración hubiera de producirse, pues muy poco dice el órgano judicial sobre esta tacha de inconstitucionalidad, que apenas si está argumentada en el Auto.</w:t>
      </w:r>
    </w:p>
    <w:p w:rsidR="0026452D" w:rsidRDefault="0026452D" w:rsidP="0026452D">
      <w:pPr>
        <w:pStyle w:val="TextoNormal"/>
      </w:pPr>
    </w:p>
    <w:p w:rsidR="0026452D" w:rsidRDefault="0026452D" w:rsidP="0026452D">
      <w:pPr>
        <w:pStyle w:val="TextoNormal"/>
      </w:pPr>
      <w:r>
        <w:t>Algo similar sucede con el art. 9, sobre el que, por lo demás, tampoco el Auto de planteamiento expresa los aspectos determinantes de su eventual inconstitucionalidad, por cuanto la referencia expresa a la “normativa madrileña de Derecho público” y a tres ámbitos, como la “materia presupuestaria, de subvenciones y de tributos propios”, en los que la Comunidad Autónoma ostenta competencias permiten entender que dicha norma tampoco incurre en extralimitación competencial.</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Estimar parcialmente la presente cuestión de inconstitucionalidad y, en consecuencia, declarar inconstitucionales y nulos los arts. 4 y 5 de la Ley de la Asamblea de Madrid 11/2001, de 19 de diciembre, de uniones de hecho.</w:t>
      </w:r>
    </w:p>
    <w:p w:rsidR="0026452D" w:rsidRDefault="0026452D" w:rsidP="0026452D">
      <w:pPr>
        <w:pStyle w:val="TextoNormal"/>
      </w:pPr>
    </w:p>
    <w:p w:rsidR="0026452D" w:rsidRDefault="0026452D" w:rsidP="0026452D">
      <w:pPr>
        <w:pStyle w:val="TextoNormal"/>
      </w:pPr>
      <w:r>
        <w:t>2º. Desestimar la cuestión de inconstitucionalidad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abril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Manuel Aragón Reyes al que se adhiere el Magistrado don Andrés Ollero Tassara, respecto de la Sentencia dictada en la cuestión de inconstitucionalidad núm. 6760-2003.</w:t>
      </w:r>
    </w:p>
    <w:p w:rsidR="0026452D" w:rsidRDefault="0026452D" w:rsidP="0026452D">
      <w:pPr>
        <w:pStyle w:val="TextoNormalNegritaCentrado"/>
        <w:keepNext/>
      </w:pPr>
    </w:p>
    <w:p w:rsidR="0026452D" w:rsidRDefault="0026452D" w:rsidP="0026452D">
      <w:pPr>
        <w:pStyle w:val="TextoNormal"/>
      </w:pPr>
      <w:r>
        <w:t>En ejercicio de la facultad que me confiere el art. 90.2 de la Ley Orgánica del Tribunal Constitucional, y con pleno respeto a la opinión de la mayoría del Pleno, formulo el presente Voto particular, al discrepar en parte de la fundamentación jurídica y del fallo de la Sentencia que ha resuelto la cuestión de inconstitucionalidad planteada por la Sala de lo Contencioso-Administrativo del Tribunal Superior de Justicia de Madrid respecto a los arts. 3, 4, 5, 8 y 9 de la Ley de la Asamblea de Madrid 11/2001, de 19 de diciembre, de uniones de hecho, conforme a los argumentos que defendí en la deliberación del Pleno y que resumidamente expongo a continuación.</w:t>
      </w:r>
    </w:p>
    <w:p w:rsidR="0026452D" w:rsidRDefault="0026452D" w:rsidP="0026452D">
      <w:pPr>
        <w:pStyle w:val="TextoNormal"/>
      </w:pPr>
    </w:p>
    <w:p w:rsidR="0026452D" w:rsidRDefault="0026452D" w:rsidP="0026452D">
      <w:pPr>
        <w:pStyle w:val="TextoNormal"/>
      </w:pPr>
      <w:r>
        <w:lastRenderedPageBreak/>
        <w:t>1. Mi discrepancia se circunscribe, en primer lugar, al enjuiciamiento que se realiza en el fundamento jurídico 5 de la Sentencia del art. 3 de la Ley de la Asamblea de Madrid 11/2001, de 19 de diciembre, de uniones de hecho.</w:t>
      </w:r>
    </w:p>
    <w:p w:rsidR="0026452D" w:rsidRDefault="0026452D" w:rsidP="0026452D">
      <w:pPr>
        <w:pStyle w:val="TextoNormal"/>
      </w:pPr>
    </w:p>
    <w:p w:rsidR="0026452D" w:rsidRDefault="0026452D" w:rsidP="0026452D">
      <w:pPr>
        <w:pStyle w:val="TextoNormal"/>
      </w:pPr>
      <w:r>
        <w:t>Una vez declarada la inconstitucionalidad y nulidad de los arts. 4 y 5 de la Ley (en lo que estoy plenamente de acuerdo), la Sentencia considera que el art. 3 de la Ley (según el cual las uniones de hecho producirán efectos desde la fecha de su inscripción en el registro de uniones de hecho de la Comunidad de Madrid, y su existencia se acreditará mediante certificación del encargado del registro) no es inconstitucional porque no vulnera las competencias exclusivas estatales en materia de ordenación de los registros (art. 149.1.8 CE), pues, descartados los posibles efectos civiles con la anulación de los arts. 4 y 5, el registro tendría un mero carácter administrativo, destinado a acreditar la existencia de la unión de hecho a efectos de obtener otros posibles beneficios de naturaleza pública a los que también se refiere la Ley, en el ámbito de la competencia de la Comunidad de Madrid, sin incidir en la legislación civil.</w:t>
      </w:r>
    </w:p>
    <w:p w:rsidR="0026452D" w:rsidRDefault="0026452D" w:rsidP="0026452D">
      <w:pPr>
        <w:pStyle w:val="TextoNormal"/>
      </w:pPr>
    </w:p>
    <w:p w:rsidR="0026452D" w:rsidRDefault="0026452D" w:rsidP="0026452D">
      <w:pPr>
        <w:pStyle w:val="TextoNormal"/>
      </w:pPr>
      <w:r>
        <w:t>Conviene reparar, no obstante, que la inscripción de las uniones de hecho en el registro de uniones de hecho de la Comunidad de Madrid no sólo va a producir efectos en el ámbito de la competencia de la Comunidad de Madrid, como se afirma en la Sentencia, sino que también puede producirlos en ámbitos de competencia estatal; piénsese, por ejemplo, en la pensión de viudedad para supérstites de parejas de hecho: la existencia de la pareja de hecho se podrá acreditar, según el art. 174.3 de la Ley general de la Seguridad Social (precepto que también ha sido cuestionado ante este Tribunal Constitucional, estando pendiente de resolución), mediante “la inscripción en alguno de los registros específicos existentes en las Comunidades Autónomas”.</w:t>
      </w:r>
    </w:p>
    <w:p w:rsidR="0026452D" w:rsidRDefault="0026452D" w:rsidP="0026452D">
      <w:pPr>
        <w:pStyle w:val="TextoNormal"/>
      </w:pPr>
    </w:p>
    <w:p w:rsidR="0026452D" w:rsidRDefault="0026452D" w:rsidP="0026452D">
      <w:pPr>
        <w:pStyle w:val="TextoNormal"/>
      </w:pPr>
      <w:r>
        <w:t>La regulación controvertida del registro de uniones de hecho de la Comunidad de Madrid suscita fundadas dudas sobre su constitucionalidad desde el momento en que la unión de hecho deja de ser una cuestión fáctica, ajena al Derecho, para producir efectos jurídicos justamente mediante la inscripción de la unión de hecho en el registro referido, efectos jurídicos que trascienden del ámbito de competencias propias de la Comunidad de Madrid, como sucede con los beneficios en el ámbito del empleo público que reconoce el art. 8 de la Ley, a los que luego me referiré. No basta, por ello, con afirmar, como se hace en la Sentencia de la que discrepo en este punto, que la regulación establecida en el art. 3 de la Ley de la Asamblea de Madrid 11/2001, de 19 de diciembre, de uniones de hecho, no puede incidir en la legislación civil, sobre la que la Comunidad de Madrid carece de competencias, sino que debió haberse declarado también en la Sentencia, para salvar la constitucionalidad del precepto sin detrimento de las competencias estatales, que la inscripción de la unión de hecho en el registro de uniones de hecho de la Comunidad de Madrid sólo podrá producir efectos en el ámbito de las competencias de esta Comunidad Autónoma y tal interpretación llevarse al fallo.</w:t>
      </w:r>
    </w:p>
    <w:p w:rsidR="0026452D" w:rsidRDefault="0026452D" w:rsidP="0026452D">
      <w:pPr>
        <w:pStyle w:val="TextoNormal"/>
      </w:pPr>
    </w:p>
    <w:p w:rsidR="0026452D" w:rsidRDefault="0026452D" w:rsidP="0026452D">
      <w:pPr>
        <w:pStyle w:val="TextoNormal"/>
      </w:pPr>
      <w:r>
        <w:t>2. En segundo lugar, mi discrepancia —estrechamente conectada con la anterior— atañe al enjuiciamiento que se realiza en el fundamento jurídico 6 de la Sentencia del art. 8 de la Ley de la Asamblea de Madrid 11/2001, de 19 de diciembre, de uniones de hecho.</w:t>
      </w:r>
    </w:p>
    <w:p w:rsidR="0026452D" w:rsidRDefault="0026452D" w:rsidP="0026452D">
      <w:pPr>
        <w:pStyle w:val="TextoNormal"/>
      </w:pPr>
    </w:p>
    <w:p w:rsidR="0026452D" w:rsidRDefault="0026452D" w:rsidP="0026452D">
      <w:pPr>
        <w:pStyle w:val="TextoNormal"/>
      </w:pPr>
      <w:r>
        <w:t xml:space="preserve">Este precepto equipara a las uniones de hecho inscritas en el registro regulado en el art. 3 de la Ley 11/2001 con los matrimonios, en cuanto a los beneficios concedidos al personal </w:t>
      </w:r>
      <w:r>
        <w:lastRenderedPageBreak/>
        <w:t>al servicio de la Administración de la Comunidad de Madrid. Ahora bien, este personal puede ser tanto funcionario como laboral. Respecto del personal funcionario de la Comunidad de Madrid, esta Comunidad ostenta competencias legislativas en el marco de la legislación básica del Estado (art. 37.2 del Estatuto de Autonomía de la Comunidad de Madrid y art. 149.1.18 CE), por lo que nada cabe objetar a que el legislador madrileño otorgue efectos jurídicos de naturaleza administrativa a la inscripción de las uniones de hecho en el registro de uniones de hecho regulado en el art. 3 de la Ley 11/2001 en cuanto a los funcionarios al servicio de la Administración de la Asamblea de Madrid.</w:t>
      </w:r>
    </w:p>
    <w:p w:rsidR="0026452D" w:rsidRDefault="0026452D" w:rsidP="0026452D">
      <w:pPr>
        <w:pStyle w:val="TextoNormal"/>
      </w:pPr>
    </w:p>
    <w:p w:rsidR="0026452D" w:rsidRDefault="0026452D" w:rsidP="0026452D">
      <w:pPr>
        <w:pStyle w:val="TextoNormal"/>
      </w:pPr>
      <w:r>
        <w:t>Por el contrario, esta atribución de efectos jurídicos administrativos a la inscripción en dicho registro excede de las competencias autonómicas cuando se trata de personal laboral, pues en este caso el Estado, de conformidad con lo dispuesto en el art. 149.1.7 CE, ostenta una competencia normativa exclusiva y plena (STC 35/1982, de 14 de junio, FJ 2), sin perjuicio de su ejecución por las Comunidades Autónomas (en correspondencia con dicha previsión constitucional el art. 28.1.12 del Estatuto de Autonomía de la Comunidad de Madrid ha atribuido a la Comunidad de Madrid la ejecución de la legislación del Estado en materia laboral).</w:t>
      </w:r>
    </w:p>
    <w:p w:rsidR="0026452D" w:rsidRDefault="0026452D" w:rsidP="0026452D">
      <w:pPr>
        <w:pStyle w:val="TextoNormal"/>
      </w:pPr>
    </w:p>
    <w:p w:rsidR="0026452D" w:rsidRDefault="0026452D" w:rsidP="0026452D">
      <w:pPr>
        <w:pStyle w:val="TextoNormal"/>
      </w:pPr>
      <w:r>
        <w:t>Como ha señalado este Tribunal, la finalidad del art. 149.1.7 CE, que define la competencia exclusiva del Estado en materia laboral, es mantener la uniformidad en la ordenación jurídica de la materia laboral, lo que determina, en definitiva, que “ningún espacio de regulación externa les resta a las Comunidades Autónomas, las cuales únicamente pueden disponer de una competencia de mera ejecución de la normación estatal” (SSTC 195/1996, de 28 de noviembre, FJ 11; y 51/2006, de 16 de febrero, FJ 4).</w:t>
      </w:r>
    </w:p>
    <w:p w:rsidR="0026452D" w:rsidRDefault="0026452D" w:rsidP="0026452D">
      <w:pPr>
        <w:pStyle w:val="TextoNormal"/>
      </w:pPr>
    </w:p>
    <w:p w:rsidR="0026452D" w:rsidRDefault="0026452D" w:rsidP="0026452D">
      <w:pPr>
        <w:pStyle w:val="TextoNormal"/>
      </w:pPr>
      <w:r>
        <w:t>La Sentencia de la que discrepo en este punto intenta esquivar el problema afirmando que el art. 8 de la Ley de la Asamblea de Madrid 11/2001, de 19 de diciembre, de uniones de hecho, es una norma administrativa y “no reguladora de relación laboral alguna”. Sin embargo, la constitucionalidad del precepto no puede ser salvada, a mi juicio, mediante esta cautela a la que se acoge la Sentencia, pues se hace decir al precepto lo que no dice: el precepto incluye a todo el personal al servicio de la Administración de la Comunidad de Madrid, tanto funcionario como laboral, estableciendo al efecto consecuencias jurídicas para las uniones de hecho inscritas en el registro regulado en el art. 3 de la Ley 11/2001, que consisten básicamente en la equiparación de tales uniones a los matrimonios, como se ha dicho.</w:t>
      </w:r>
    </w:p>
    <w:p w:rsidR="0026452D" w:rsidRDefault="0026452D" w:rsidP="0026452D">
      <w:pPr>
        <w:pStyle w:val="TextoNormal"/>
      </w:pPr>
    </w:p>
    <w:p w:rsidR="0026452D" w:rsidRDefault="0026452D" w:rsidP="0026452D">
      <w:pPr>
        <w:pStyle w:val="TextoNormal"/>
      </w:pPr>
      <w:r>
        <w:t>El problema para el orden constitucional de distribución de competencias que suscita el precepto en cuestión reside en que una ley autonómica no puede condicionar el ejercicio de las competencias exclusivas estatales (por todas, SSTC 56/1986, de 13 de mayo, FJ 3; 149/1998, de 2 de julio, FJ 4; 204/2002, de 31 de octubre, FJ 7; 46/2007, de 1 de marzo, FJ 5 y 82/2012, de 18 de abril, FJ 3). Las Comunidades Autónomas no pueden, pues, legislar sobre la materia laboral, de competencia estatal exclusiva (art. 149.1.7 CE), por lo que, al legislar sobre uniones de hecho la Comunidad de Madrid no puede privar al Estado del ejercicio de sus propias competencias exclusivas en materia laboral, que es justamente lo que sucede con la previsión contenida en el art. 8 de la Ley de la Asamblea de Madrid 11/2001, en cuanto referida al personal laboral, y así debió declararlo la Sentencia, mediante una interpretación conforme de la que tendría que dejarse constancia en el propio fallo.</w:t>
      </w:r>
    </w:p>
    <w:p w:rsidR="0026452D" w:rsidRDefault="0026452D" w:rsidP="0026452D">
      <w:pPr>
        <w:pStyle w:val="TextoNormal"/>
      </w:pPr>
    </w:p>
    <w:p w:rsidR="0026452D" w:rsidRDefault="0026452D" w:rsidP="0026452D">
      <w:pPr>
        <w:pStyle w:val="TextoNormal"/>
      </w:pPr>
      <w:r>
        <w:lastRenderedPageBreak/>
        <w:t>Y en este sentido emito mi Voto particular.</w:t>
      </w:r>
    </w:p>
    <w:p w:rsidR="0026452D" w:rsidRDefault="0026452D" w:rsidP="0026452D">
      <w:pPr>
        <w:pStyle w:val="TextoNormal"/>
      </w:pPr>
    </w:p>
    <w:p w:rsidR="0026452D" w:rsidRDefault="0026452D" w:rsidP="0026452D">
      <w:pPr>
        <w:pStyle w:val="TextoNormal"/>
      </w:pPr>
      <w:r>
        <w:tab/>
        <w:t>Madrid, a once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85" w:name="SENTENCIA_2013_82"/>
      <w:r>
        <w:lastRenderedPageBreak/>
        <w:t>SENTENCIA 82/2013, de 11 de abril de 2013</w:t>
      </w:r>
    </w:p>
    <w:bookmarkEnd w:id="85"/>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ECLI:ES:TC:2013:82</w:t>
      </w:r>
    </w:p>
    <w:p w:rsidR="0026452D" w:rsidRDefault="0026452D" w:rsidP="0026452D">
      <w:pPr>
        <w:pStyle w:val="SntesisDescriptiva"/>
      </w:pPr>
    </w:p>
    <w:p w:rsidR="0026452D" w:rsidRDefault="0026452D" w:rsidP="0026452D">
      <w:pPr>
        <w:pStyle w:val="SntesisDescriptiva"/>
      </w:pPr>
      <w:r>
        <w:t>Recurso de inconstitucionalidad 2295-2004. Interpuesto por la Junta de Comunidades de Castilla-La Mancha respecto de la enumeración de preceptos de carácter básico contenida en el apartado segundo de la disposición final segunda de la Ley 24/2003, de 10 de julio, de la viña y del vino.</w:t>
      </w:r>
    </w:p>
    <w:p w:rsidR="0026452D" w:rsidRDefault="0026452D" w:rsidP="0026452D">
      <w:pPr>
        <w:pStyle w:val="SntesisDescriptiva"/>
      </w:pPr>
    </w:p>
    <w:p w:rsidR="0026452D" w:rsidRDefault="0026452D" w:rsidP="0026452D">
      <w:pPr>
        <w:pStyle w:val="SntesisAnaltica"/>
      </w:pPr>
      <w:r>
        <w:t>Competencias sobre ordenación general de la economía, agricultura y denominaciones de origen: interpretación conforme de diversos preceptos legales (STC 34/2013).</w:t>
      </w:r>
    </w:p>
    <w:p w:rsidR="0026452D" w:rsidRDefault="0026452D" w:rsidP="0026452D">
      <w:pPr>
        <w:pStyle w:val="SntesisAnaltica"/>
      </w:pPr>
    </w:p>
    <w:p w:rsidR="0026452D" w:rsidRDefault="0026452D" w:rsidP="0026452D">
      <w:pPr>
        <w:pStyle w:val="Extracto"/>
      </w:pPr>
      <w:r>
        <w:t>1.</w:t>
      </w:r>
      <w:r>
        <w:tab/>
        <w:t>Aplica la doctrina sobre la distribución de competencias en materia de denominaciones de origen de la STC 34/2013 [FFJJ 2 a 5].</w:t>
      </w:r>
    </w:p>
    <w:p w:rsidR="0026452D" w:rsidRDefault="0026452D" w:rsidP="0026452D">
      <w:pPr>
        <w:pStyle w:val="Extracto"/>
      </w:pPr>
    </w:p>
    <w:p w:rsidR="0026452D" w:rsidRDefault="0026452D" w:rsidP="0026452D">
      <w:pPr>
        <w:pStyle w:val="Extracto"/>
      </w:pPr>
      <w:r>
        <w:t>2.</w:t>
      </w:r>
      <w:r>
        <w:tab/>
        <w:t>La regulación de los vinos con denominación de origen, de los vinos con denominación de origen calificada y de los sistemas de gestión y control de los vinos de calidad producidos en regiones determinadas establecida en la Ley de la viña y del vino constituye una actuación estatal que condiciona el ejercicio de la competencia autonómica exclusiva sobre denominaciones de origen y que sólo puede hallar sustento en la competencia estatal para sentar las bases de la planificación general de la actividad económica (STC 34/2013) [FJ 4].</w:t>
      </w:r>
    </w:p>
    <w:p w:rsidR="0026452D" w:rsidRDefault="0026452D" w:rsidP="0026452D">
      <w:pPr>
        <w:pStyle w:val="Extracto"/>
      </w:pPr>
    </w:p>
    <w:p w:rsidR="0026452D" w:rsidRDefault="0026452D" w:rsidP="0026452D">
      <w:pPr>
        <w:pStyle w:val="Extracto"/>
      </w:pPr>
      <w:r>
        <w:t>3.</w:t>
      </w:r>
      <w:r>
        <w:tab/>
        <w:t>La regulación de los distintos niveles de protección de los vinos y las medidas para proceder a la clasificación de un vino en uno u otro nivel, establecida en la Ley de la viña y del vino, encuentra sustento en la previsión del art. 149.1.13 CE, en la medida en que sirven a los criterios generales de ordenación del sector del vino y no van más allá de lo requerido por los principios de protección de la calidad y de la competencia (STC 34/2013) [FJ 4 d)].</w:t>
      </w:r>
    </w:p>
    <w:p w:rsidR="0026452D" w:rsidRDefault="0026452D" w:rsidP="0026452D">
      <w:pPr>
        <w:pStyle w:val="Extracto"/>
      </w:pPr>
    </w:p>
    <w:p w:rsidR="0026452D" w:rsidRDefault="0026452D" w:rsidP="0026452D">
      <w:pPr>
        <w:pStyle w:val="Extracto"/>
      </w:pPr>
      <w:r>
        <w:t>4.</w:t>
      </w:r>
      <w:r>
        <w:tab/>
        <w:t>La regulación de los órganos de gestión de los vinos de calidad producidos en una región determinada son constitucionales porque la remisión que hacen a la Administración competente también comprende a la de las Comunidades Autónomas y no impiden al legislador autonómico el ejercicio legítimo de su competencia en materia de denominaciones de origen, dentro de los límites establecidos en la ley estatal (STC 34/2013) [FJ 4 e)].</w:t>
      </w:r>
    </w:p>
    <w:p w:rsidR="0026452D" w:rsidRDefault="0026452D" w:rsidP="0026452D">
      <w:pPr>
        <w:pStyle w:val="Extracto"/>
      </w:pPr>
    </w:p>
    <w:p w:rsidR="0026452D" w:rsidRDefault="0026452D" w:rsidP="0026452D">
      <w:pPr>
        <w:pStyle w:val="Extracto"/>
      </w:pPr>
      <w:r>
        <w:t>5.</w:t>
      </w:r>
      <w:r>
        <w:tab/>
        <w:t>La competencia autonómica exclusiva en materia denominaciones de origen se ve enmarcada de un lado por la previsión estatutaria de que se ejercitará en colaboración con el Estado, y de otro por la competencia estatal sobre las bases y coordinación de la planificación general de la actividad económica que reconoce al Estado el art. 149.1.13 CE (STC 34/2013) [ FJ 3].</w:t>
      </w:r>
    </w:p>
    <w:p w:rsidR="0026452D" w:rsidRDefault="0026452D" w:rsidP="0026452D">
      <w:pPr>
        <w:pStyle w:val="Extracto"/>
      </w:pPr>
    </w:p>
    <w:p w:rsidR="0026452D" w:rsidRDefault="0026452D" w:rsidP="0026452D">
      <w:pPr>
        <w:pStyle w:val="Extracto"/>
      </w:pPr>
      <w:r>
        <w:lastRenderedPageBreak/>
        <w:t>6.</w:t>
      </w:r>
      <w:r>
        <w:tab/>
        <w:t>La regulación de los fines y funciones de los órganos de gestión de los vinos de calidad producidos en una región determinada no vacían de contenido a la competencia autonómica, pues esta implica una ordenación de mínimos, pudiendo el legislador autonómico ampliarlas (STC 34/2013) [FJ 4 e)].</w:t>
      </w:r>
    </w:p>
    <w:p w:rsidR="0026452D" w:rsidRDefault="0026452D" w:rsidP="0026452D">
      <w:pPr>
        <w:pStyle w:val="Extracto"/>
      </w:pPr>
    </w:p>
    <w:p w:rsidR="0026452D" w:rsidRDefault="0026452D" w:rsidP="0026452D">
      <w:pPr>
        <w:pStyle w:val="Extracto"/>
      </w:pPr>
      <w:r>
        <w:t>7.</w:t>
      </w:r>
      <w:r>
        <w:tab/>
        <w:t xml:space="preserve">Teniendo el sector vitivinícola gran importancia para la economía española, el aseguramiento de la calidad y diversidad de los vinos y el establecimiento de condiciones de competencia leal entre los operadores, en la medida que, al menos en hipótesis, pueden incidir de un modo determinante en el adecuado funcionamiento del mercado, deben ser considerados objetivos de política sectorial que el legislador estatal puede fijar en ejercicio de la competencia para la ordenación general de la economía </w:t>
      </w:r>
      <w:r w:rsidRPr="0026452D">
        <w:rPr>
          <w:i/>
        </w:rPr>
        <w:t>ex</w:t>
      </w:r>
      <w:r>
        <w:t xml:space="preserve"> art. 149.1.13 CE (STC 34/2013) [FJ 4 a)].</w:t>
      </w:r>
    </w:p>
    <w:p w:rsidR="0026452D" w:rsidRDefault="0026452D" w:rsidP="0026452D">
      <w:pPr>
        <w:pStyle w:val="Extracto"/>
      </w:pPr>
    </w:p>
    <w:p w:rsidR="0026452D" w:rsidRDefault="0026452D" w:rsidP="0026452D">
      <w:pPr>
        <w:pStyle w:val="Extracto"/>
      </w:pPr>
      <w:r>
        <w:t>8.</w:t>
      </w:r>
      <w:r>
        <w:tab/>
        <w:t>El Estado puede dictar las normas relativas a la organización y funcionamiento de los órganos de gestión de los vinos de calidad producidos en región determinada al amparo de la competencia prevenida en el art. 149.1.13 CE, no invadiendo con ello la competencia autonómica de autoorganización (STC 34/2013) [FJ 5].</w:t>
      </w:r>
    </w:p>
    <w:p w:rsidR="0026452D" w:rsidRDefault="0026452D" w:rsidP="0026452D">
      <w:pPr>
        <w:pStyle w:val="Extracto"/>
      </w:pPr>
    </w:p>
    <w:p w:rsidR="0026452D" w:rsidRDefault="0026452D" w:rsidP="0026452D">
      <w:pPr>
        <w:pStyle w:val="Extracto"/>
      </w:pPr>
      <w:r>
        <w:t>9.</w:t>
      </w:r>
      <w:r>
        <w:tab/>
        <w:t xml:space="preserve">La competencia autonómica relativa a su organización puede encontrar un límite en el ejercicio legítimo de la competencia estatal para establecer las bases de la planificación económica general </w:t>
      </w:r>
      <w:r w:rsidRPr="0026452D">
        <w:rPr>
          <w:i/>
        </w:rPr>
        <w:t>ex</w:t>
      </w:r>
      <w:r>
        <w:t xml:space="preserve"> art. 149.1.13 CE (STC 34/2013) [FJ 5].</w:t>
      </w:r>
    </w:p>
    <w:p w:rsidR="0026452D" w:rsidRDefault="0026452D" w:rsidP="0026452D">
      <w:pPr>
        <w:pStyle w:val="Extracto"/>
      </w:pPr>
    </w:p>
    <w:p w:rsidR="0026452D" w:rsidRDefault="0026452D" w:rsidP="0026452D">
      <w:pPr>
        <w:pStyle w:val="Extracto"/>
      </w:pPr>
      <w:r>
        <w:t>10.</w:t>
      </w:r>
      <w:r>
        <w:tab/>
        <w:t>La competencia para establecer un régimen de infracciones y sanciones administrativas en una materia determinada corresponde a quien la tiene para regularla sustantivamente, de modo que, en la medida en que el Estado tiene capacidad para dictar normas básicas sustantivas en virtud del art. 149.1.13 CE sobre el sector vitivinícola, ello conduce a reconocer que el propio Estado pueda dictar normas básicas sancionadoras en esa materia (STC 34/2013) [FJ 6].</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inconstitucionalidad núm. 2295-2004, promovido por la Junta de Comunidades de Castilla-La Mancha contra el apartado 2 de la disposición final segunda de la Ley 24/2003, de 10 de julio, de la viña y del vino. Han comparecido el Congreso de los </w:t>
      </w:r>
      <w:r>
        <w:lastRenderedPageBreak/>
        <w:t>Diputados y el Senado y formulado alegaciones el Gobierno. Ha sido Ponente el Magistrado don Pablo Pérez Tremps,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7 de abril de 2004, el Letrado de la Junta de Comunidades de Castilla-La Mancha, previo acuerdo de 23 de marzo de 2004 del Consejo de Gobierno y cumplidos los requisitos exigidos para ello por el art. 33.2 de la Ley Orgánica del Tribunal Constitucional (LOTC), interpuso recurso de inconstitucionalidad contra el apartado 2 de la disposición final segunda de la Ley 24/2003, de 10 de julio, de la viña y del vino, publicada en el “Boletín Oficial del Estado” del día 11 de julio de 2003, en cuanto que declara legislación básica, dictada al amparo de lo dispuesto en el artículo 149.1.13 CE, una serie de preceptos, vulnerando el orden de competencias establecido en los arts. 148.1 apartados 1 y 7 CE y 31.1 apartados 1, 6 y 7 del Estatuto de Autonomía de Castilla-La Mancha (EACM).</w:t>
      </w:r>
    </w:p>
    <w:p w:rsidR="0026452D" w:rsidRDefault="0026452D" w:rsidP="0026452D">
      <w:pPr>
        <w:pStyle w:val="TextoNormal"/>
      </w:pPr>
    </w:p>
    <w:p w:rsidR="0026452D" w:rsidRDefault="0026452D" w:rsidP="0026452D">
      <w:pPr>
        <w:pStyle w:val="TextoNormal"/>
      </w:pPr>
      <w:r w:rsidRPr="0026452D">
        <w:rPr>
          <w:rStyle w:val="NumeroAFNegritaCaracter"/>
        </w:rPr>
        <w:t>2</w:t>
      </w:r>
      <w:r>
        <w:t>. El escrito de interposición del recurso, una vez abordados los fundamentos de Derecho jurídico-procesales, realiza unas consideraciones generales sobre la distribución de competencias en materia de denominaciones de origen, glosando para ello la STC 112/1995, de 6 de julio, de la que desprende el Letrado de la Junta de Comunidades de Castilla-La Mancha, que el Estado no dispone de ningún título competencial que le faculte para establecer válidamente legislación básica en materia de denominaciones de origen. Se afirma, además, que el art. 31.1.7 EACM, redactado con arreglo a la Ley Orgánica 3/1997, de 3 de julio, incluye la materia denominaciones de origen entre las competencias exclusivas de la Comunidad Autónoma.</w:t>
      </w:r>
    </w:p>
    <w:p w:rsidR="0026452D" w:rsidRDefault="0026452D" w:rsidP="0026452D">
      <w:pPr>
        <w:pStyle w:val="TextoNormal"/>
      </w:pPr>
    </w:p>
    <w:p w:rsidR="0026452D" w:rsidRDefault="0026452D" w:rsidP="0026452D">
      <w:pPr>
        <w:pStyle w:val="TextoNormal"/>
      </w:pPr>
      <w:r>
        <w:t>El escrito continúa afirmando que la justificación de la competencia estatal se basa en dos argumentos, que es preciso refutar. Por un lado se rompe la equivalencia, previamente reconocida como válida, entre el concepto de “denominación de origen”, y el de vinos de calidad producidos en una región determinada, pasando a ser la de vinos de calidad producidos en una región determinada una clasificación genérica en la que “denominación de origen” y “denominación de origen calificada” pasan a ser sendos subgrupos, junto a los que aparecen los “vinos de calidad con indicación geográfica” y los “vinos de pagos”, resultando que estos últimos, al no ser vinos con denominación de origen, no son objeto de la competencia autonómica. Por otro, se entiende que la competencia estatal para establecer la regulación básica sobre “denominaciones de origen” se basa en la idea de coordinación, obviando el legislador que la STC 112/1995, de 6 de julio, ya negaba la competencia estatal de coordinación de las competencias autonómicas en esta materia. Tal competencia de coordinación se basaría en una “necesidad imperiosa de homogeneización del concepto” de denominación de origen, necesidad inexistente dado que el mismo, habida cuenta de su equivalencia con el concepto de vinos de calidad producidos en una región determinada, se encuentra ya perfectamente armonizado a escala comunitaria europea (Reglamentos 1493/1999 del Consejo y 1607/2000 de la Comisión).</w:t>
      </w:r>
    </w:p>
    <w:p w:rsidR="0026452D" w:rsidRDefault="0026452D" w:rsidP="0026452D">
      <w:pPr>
        <w:pStyle w:val="TextoNormal"/>
      </w:pPr>
    </w:p>
    <w:p w:rsidR="0026452D" w:rsidRDefault="0026452D" w:rsidP="0026452D">
      <w:pPr>
        <w:pStyle w:val="TextoNormal"/>
      </w:pPr>
      <w:r>
        <w:t xml:space="preserve">De lo expuesto deduce el Letrado de la Junta de Comunidades de Castilla-La Mancha que, de todo el título II de la Ley 24/2003, sólo los arts. 20.3 y 32 pueden constituir legislación de aplicación en dicha Comunidad Autónoma y ello no en virtud del art. 149.1.13 CE, sino de las funciones comprendidas dentro de la locución “en colaboración con el Estado” </w:t>
      </w:r>
      <w:r>
        <w:lastRenderedPageBreak/>
        <w:t>que acompaña, en el art. 31.1.7 EACM, a la mención de la competencia exclusiva de la Junta de Comunidades sobre denominaciones de origen y otras indicaciones de procedencia relativas a productos de la región. Partiendo de las afirmaciones genéricas previas, el escrito de interposición del recurso de inconstitucionalidad desarrolla los siguientes argumentos impugnatorios:</w:t>
      </w:r>
    </w:p>
    <w:p w:rsidR="0026452D" w:rsidRDefault="0026452D" w:rsidP="0026452D">
      <w:pPr>
        <w:pStyle w:val="TextoNormal"/>
      </w:pPr>
    </w:p>
    <w:p w:rsidR="0026452D" w:rsidRDefault="0026452D" w:rsidP="0026452D">
      <w:pPr>
        <w:pStyle w:val="TextoNormal"/>
      </w:pPr>
      <w:r>
        <w:t>a) En primer lugar el Letrado de la Junta de Comunidades de Castilla-La Mancha se refiere a la inconstitucional demanialización de las denominaciones de origen, esto es a la inconstitucionalidad del párrafo primero del art. 17.1 de la Ley de la viña y del vino, que establece que los nombres geográficos protegidos y, en especial, las denominaciones de origen, son bienes de dominio público y no pueden ser objeto de apropiación, venta, enajenación o gravamen.</w:t>
      </w:r>
    </w:p>
    <w:p w:rsidR="0026452D" w:rsidRDefault="0026452D" w:rsidP="0026452D">
      <w:pPr>
        <w:pStyle w:val="TextoNormal"/>
      </w:pPr>
    </w:p>
    <w:p w:rsidR="0026452D" w:rsidRDefault="0026452D" w:rsidP="0026452D">
      <w:pPr>
        <w:pStyle w:val="TextoNormal"/>
      </w:pPr>
      <w:r>
        <w:t xml:space="preserve">Tras afirmar que con esa medida el legislador hubiera debido establecer una regulación general sobre la materia en la Ley de marcas, al amparo de la competencia estatal </w:t>
      </w:r>
      <w:r w:rsidRPr="0026452D">
        <w:rPr>
          <w:i/>
        </w:rPr>
        <w:t>ex</w:t>
      </w:r>
      <w:r>
        <w:t xml:space="preserve"> art. 149.1.9 CE para legislar sobre propiedad intelectual e industrial (con cita de la Sentencia de 20 de mayo de 2003 del Tribunal de Justicia de la Unión Europea, asunto </w:t>
      </w:r>
      <w:r w:rsidRPr="0026452D">
        <w:rPr>
          <w:i/>
        </w:rPr>
        <w:t>Ravil SARL c. Bellon import SAR</w:t>
      </w:r>
      <w:r>
        <w:t>L y de la STC 11/1986, de 28 de enero, FJ 3), se sostiene que el precepto es contrario a lo dispuesto en el art. 132 CE, pues las notas que se predican del régimen de los bienes de dominio público en dicho precepto sólo se pueden aplicar a categorías enteras de bienes que tienen peculiaridades físicas y funcionales que los separan de las restantes cosas; sólo pueden ser demaniales aquellos bienes que se encuentran en una situación de escasez (demanio natural) y aquellos que son especiales por la función que desempeñan (bienes de general uso y aprovechamiento o afectos al fomento de la riqueza nacional). Sostiene la parte recurrente que de los principios y derechos que la Constitución consagra cabe deducir que la facultad del legislador para definir el dominio público estatal es una facultad limitada, que no puede ser utilizada para situar fuera del comercio cualquier bien o género de bienes, si no es para servir de este modo a finalidades lícitas que no podrían ser atendidas eficazmente con otras medidas (con cita de la STC 149/1991, de 4 de julio), y que en este caso el legislador ha ido más allá de donde le estaba constitucionalmente permitido, obviando que la legislación sobre propiedad intelectual e industrial contiene medidas suficientemente eficaces para la protección de las indicaciones geográficas.</w:t>
      </w:r>
    </w:p>
    <w:p w:rsidR="0026452D" w:rsidRDefault="0026452D" w:rsidP="0026452D">
      <w:pPr>
        <w:pStyle w:val="TextoNormal"/>
      </w:pPr>
    </w:p>
    <w:p w:rsidR="0026452D" w:rsidRDefault="0026452D" w:rsidP="0026452D">
      <w:pPr>
        <w:pStyle w:val="TextoNormal"/>
      </w:pPr>
      <w:r>
        <w:t>b) En segundo lugar el escrito de interposición del recurso de inconstitucionalidad afirma que no existe en la Constitución Española ninguna garantía institucional que ampare la indefectibilidad de la existencia de los consejos reguladores, de modo que su instauración como obligatoria por la Ley 24/2003 atenta, bien contra las competencias de la Comunidad Autónoma en materia de autogobierno, bien contra la libertad fundamental de asociación. Centrando esta queja en el art. 25 de la Ley , que obliga a la instauración de los llamados “órganos de gestión” de los vinos de calidad producidos en una región determinada, que tendrán personalidad jurídica propia, de naturaleza pública o privada, la demanda critica, en primer término, el empleo del término órgano, para pasar seguidamente a exponer que la opción por la personalidad jurídica de derecho público a dicho órgano atentaría contra las competencias de la Comunidad Autónoma en materia de autogobierno, en la medida en que la Ley prevé, con el carácter de legislación básica, la necesidad de la existencia de dichos órganos de gestión y les confía, con el carácter de mínimos, determinados fines y funciones.</w:t>
      </w:r>
    </w:p>
    <w:p w:rsidR="0026452D" w:rsidRDefault="0026452D" w:rsidP="0026452D">
      <w:pPr>
        <w:pStyle w:val="TextoNormal"/>
      </w:pPr>
    </w:p>
    <w:p w:rsidR="0026452D" w:rsidRDefault="0026452D" w:rsidP="0026452D">
      <w:pPr>
        <w:pStyle w:val="TextoNormal"/>
      </w:pPr>
      <w:r>
        <w:lastRenderedPageBreak/>
        <w:t>Por su parte, la opción de configuración privada para los consejos reguladores, y dado que los órganos de gestión han de tener como principio básico el de funcionamiento sin ánimo de lucro (art. 24.7 de la Ley 24/2003, de la viña y del vino), llevaría a acudir a figuras asociativas o fundacionales, reguladas respectivamente en la Ley Orgánica 1/2002, de 22 de marzo, reguladora del derecho de asociación, y en la Ley 50/2002, de 26 de diciembre de fundaciones. La observación anterior conduce, según la representación procesal de la Junta de Comunidades de Castilla-La Mancha, a considerar la regulación del art. 25.5 de la Ley de la viña y del vino como inconstitucional por contradictoria con la libertad fundamental de asociación. Esta última, que comprende la libertad de asociarse o crear asociaciones, sin necesidad de autorización previa, y el derecho a no ser obligado a integrarse en una asociación, resultaría contraria a lo dispuesto en los arts. 21.3, 22.4, 23.2, 24.6 y 25.5 de la Ley de la viña y del vino. Asimismo la prohibición de que las Administraciones públicas adopten medidas preventivas o suspensivas que interfieren en la vida interna de las asociaciones, sería incompatible con la previsión del art. 25.4 de la Ley que contempla que algunos acuerdos podrán ser impugnados en vía administrativa.</w:t>
      </w:r>
    </w:p>
    <w:p w:rsidR="0026452D" w:rsidRDefault="0026452D" w:rsidP="0026452D">
      <w:pPr>
        <w:pStyle w:val="TextoNormal"/>
      </w:pPr>
    </w:p>
    <w:p w:rsidR="0026452D" w:rsidRDefault="0026452D" w:rsidP="0026452D">
      <w:pPr>
        <w:pStyle w:val="TextoNormal"/>
      </w:pPr>
      <w:r>
        <w:t>En resumen, la regulación de los órganos de gestión en la Ley 24/2003, de la viña y del vino resulta inconstitucional no sólo porque se invaden las competencias exclusivas de Castilla-La Mancha en materia de “denominaciones de origen”, sino también porque el legislador estatal, queriendo proteger a toda costa la existencia de los consejos reguladores, dotándoles de características propias de las corporaciones de Derecho público, y sin atreverse a darles por sí misma tal configuración, sitúa a las Comunidades Autónomas en la disyuntiva de atentar contra derechos fundamentales de los españoles o de ver disminuidas sus facultades de autogobierno.</w:t>
      </w:r>
    </w:p>
    <w:p w:rsidR="0026452D" w:rsidRDefault="0026452D" w:rsidP="0026452D">
      <w:pPr>
        <w:pStyle w:val="TextoNormal"/>
      </w:pPr>
    </w:p>
    <w:p w:rsidR="0026452D" w:rsidRDefault="0026452D" w:rsidP="0026452D">
      <w:pPr>
        <w:pStyle w:val="TextoNormal"/>
      </w:pPr>
      <w:r>
        <w:t>c) Finalmente se denuncia que el Estado carece de facultades para establecer, con el carácter de legislación básica, un completo régimen sancionador en materia de vitivinicultura. Así el régimen sancionador contenido en el título III de la Ley de la viña y del vino resulta inconstitucional en la medida que ha sido declarado legislación básica, lo que invade las competencias exclusivas de la Junta de Comunidades de Castilla-La Mancha en materia de agricultura, ganadería e industrias agroalimentarias (art. 31.1.6 EACM).</w:t>
      </w:r>
    </w:p>
    <w:p w:rsidR="0026452D" w:rsidRDefault="0026452D" w:rsidP="0026452D">
      <w:pPr>
        <w:pStyle w:val="TextoNormal"/>
      </w:pPr>
    </w:p>
    <w:p w:rsidR="0026452D" w:rsidRDefault="0026452D" w:rsidP="0026452D">
      <w:pPr>
        <w:pStyle w:val="TextoNormal"/>
      </w:pPr>
      <w:r>
        <w:t xml:space="preserve">Para sustentar su impugnación, el Letrado de la Junta de Comunidades de Castilla-La Mancha afirma que la doctrina constitucional establecida sobre la potestad sancionadora estriba en que la misma no constituye un título competencial autónomo, razón por la cual las Comunidades Autónomas pueden adoptar normas administrativas sancionadoras cuando, teniendo competencia sobre la materia sustantiva de que se trate, tales disposiciones se acomoden a lo dispuesto en el art. 25.1 CE y no introduzcan divergencias irrazonables y desproporcionadas al fin perseguido respecto del régimen aplicable en otras partes del territorio (art. 149.1.1 CE). Por su parte, en ámbitos en los que el Estado dispone de un título competencial que le habilita para establecer legislación básica, como puede ser la protección del medio ambiente, el Tribunal Constitucional ha indicado que el calificativo de “básico” debe ser entendido simultáneamente con el carácter de “mínimo”, de patrón común indispensable, reconociendo al Estado: a) capacidad para establecer con dicho carácter un catálogo mínimo de conductas —ampliable por el legislador autonómico— que en todo caso se deberán considerar infracciones administrativas; b) para que pueda determinar que algunas de esas conductas tendrán siempre la calificación de infracciones graves y c) para que pueda </w:t>
      </w:r>
      <w:r>
        <w:lastRenderedPageBreak/>
        <w:t>establecer los criterios generales para la determinación de la gravedad de las infracciones, así como una escala de sanciones con valores máximos y mínimos.</w:t>
      </w:r>
    </w:p>
    <w:p w:rsidR="0026452D" w:rsidRDefault="0026452D" w:rsidP="0026452D">
      <w:pPr>
        <w:pStyle w:val="TextoNormal"/>
      </w:pPr>
    </w:p>
    <w:p w:rsidR="0026452D" w:rsidRDefault="0026452D" w:rsidP="0026452D">
      <w:pPr>
        <w:pStyle w:val="TextoNormal"/>
      </w:pPr>
      <w:r>
        <w:t>La relación de preceptos del título III de la Ley 24/2003, de la viña y del vino que se declaran básicos (que incluye los dieciocho tipos de infracciones de carácter leve del apartado 1 del art. 38, los dieciocho tipos de carácter grave de los apartados 1 y 3 del art. 39, y los nueve tipos muy graves que suman los apartados 1, 3 y 4 del art. 40, más las previsiones de los arts. 41, 42, 44 y 45) va mucho más allá de lo que puede ser considerado como carácter mínimo regulatorio en un sector en el que el Estado carece de un título competencial sustantivo, ya que el art. 149.1.13 CE no le permite establecer con carácter básico un régimen sancionador sobre la vitivinicultura, pues no responde a una necesaria coherencia de la política económica general que haga preciso adoptar decisiones unitarias.</w:t>
      </w:r>
    </w:p>
    <w:p w:rsidR="0026452D" w:rsidRDefault="0026452D" w:rsidP="0026452D">
      <w:pPr>
        <w:pStyle w:val="TextoNormal"/>
      </w:pPr>
    </w:p>
    <w:p w:rsidR="0026452D" w:rsidRDefault="0026452D" w:rsidP="0026452D">
      <w:pPr>
        <w:pStyle w:val="TextoNormal"/>
      </w:pPr>
      <w:r w:rsidRPr="0026452D">
        <w:rPr>
          <w:rStyle w:val="NumeroAFNegritaCaracter"/>
        </w:rPr>
        <w:t>3</w:t>
      </w:r>
      <w:r>
        <w:t>. Mediante providencia de 27 de abril de 2004 se acordó admitir a trámite el recurso de inconstitucionalidad promovido por el Consejo de Gobierno de la Junta de Comunidades de Castilla-La Mancha y, conforme establece el art. 34 LOTC, dar traslado de la demanda al Congreso de los Diputados y al Senado, a través de sus Presidentes, y al Gobierno, a través del Ministro de Justicia, a fin de que, en el plazo de quince días, pudieran personarse en el proceso y formular las alegaciones que estimaren convenientes. En último término se acordó publicar la incoación del recurso en el “Boletín Oficial del Estado”, produciéndose dicha publicación en el “BOE” núm. 120, de 18 de mayo de 2004.</w:t>
      </w:r>
    </w:p>
    <w:p w:rsidR="0026452D" w:rsidRDefault="0026452D" w:rsidP="0026452D">
      <w:pPr>
        <w:pStyle w:val="TextoNormal"/>
      </w:pPr>
    </w:p>
    <w:p w:rsidR="0026452D" w:rsidRDefault="0026452D" w:rsidP="0026452D">
      <w:pPr>
        <w:pStyle w:val="TextoNormal"/>
      </w:pPr>
      <w:r w:rsidRPr="0026452D">
        <w:rPr>
          <w:rStyle w:val="NumeroAFNegritaCaracter"/>
        </w:rPr>
        <w:t>4</w:t>
      </w:r>
      <w:r>
        <w:t>. El 11 de mayo de 2004 el Presidente del Senado comunicó el acuerdo de la Mesa de la Cámara de personarse en el proceso sin formular alegaciones y de ofrecer su colaboración a los efectos del art. 88.1 de la Ley Orgánica del Tribunal Constitucional. En la misma fecha, el Presidente del Congreso de los Diputados comunicó el acuerdo de la Mesa de la Cámara de no personarse en el proceso ni formular alegaciones, poniéndose a disposición del Tribunal.</w:t>
      </w:r>
    </w:p>
    <w:p w:rsidR="0026452D" w:rsidRDefault="0026452D" w:rsidP="0026452D">
      <w:pPr>
        <w:pStyle w:val="TextoNormal"/>
      </w:pPr>
    </w:p>
    <w:p w:rsidR="0026452D" w:rsidRDefault="0026452D" w:rsidP="0026452D">
      <w:pPr>
        <w:pStyle w:val="TextoNormal"/>
      </w:pPr>
      <w:r w:rsidRPr="0026452D">
        <w:rPr>
          <w:rStyle w:val="NumeroAFNegritaCaracter"/>
        </w:rPr>
        <w:t>5</w:t>
      </w:r>
      <w:r>
        <w:t>. El Abogado del Estado se personó mediante escrito registrado en el Tribunal Constitucional el día 7 de mayo de 2004, solicitando prórroga por el máximo legal del plazo concedido para presentar alegaciones. Concedida prórroga de ocho días mediante providencia de 11 de mayo de 2004, el escrito de alegaciones fue registrado el 4 de junio de 2004. En el mismo se solicitaba la desestimación del recurso de inconstitucionalidad, amparándose en los argumentos que a continuación se resumen.</w:t>
      </w:r>
    </w:p>
    <w:p w:rsidR="0026452D" w:rsidRDefault="0026452D" w:rsidP="0026452D">
      <w:pPr>
        <w:pStyle w:val="TextoNormal"/>
      </w:pPr>
    </w:p>
    <w:p w:rsidR="0026452D" w:rsidRDefault="0026452D" w:rsidP="0026452D">
      <w:pPr>
        <w:pStyle w:val="TextoNormal"/>
      </w:pPr>
      <w:r>
        <w:t xml:space="preserve">a) En primer término el Abogado del Estado se refiere a la delimitación del objeto del recurso. A este respecto se recuerda que el escrito de interposición solicita la inconstitucionalidad y consiguiente nulidad de la totalidad del apartado 2 de la disposición final segunda de la Ley 24/2003, disposición en la que se relacionan los artículos de la ley que constituyen legislación básica dictada al amparo del art. 149.1.13 CE, pero que, sin embargo, el demandante no aporta, para cada uno de los preceptos cuyo carácter básico discute, argumentos con los que demostrar la no concurrencia del mismo, limitándose a analizar la presunta inconstitucionalidad de los artículos de la Ley referidos a las “denominaciones de origen”, a los “órganos de gestión”, al carácter demanial de los “nombres geográficos protegidos” y de las “denominaciones de origen”, y a los que contienen las normas básicas del régimen sancionador en materia de vitivinicultura. De lo anterior deduce el Abogado del Estado que, </w:t>
      </w:r>
      <w:r>
        <w:lastRenderedPageBreak/>
        <w:t>al no ofrecer la demanda ningún motivo de inconstitucionalidad sobre la mayor parte de los preceptos cuya declaración como básicos denuncia, cabe apreciar respecto de los mismos incumplimiento de la carga que pesa sobre el recurrente, entendiendo, por tanto, que el pronunciamiento del Tribunal ha de limitarse a la consideración como básicos de los preceptos de la Ley 24/2003, de la viña y del vino que se refieran a la materia incluida en la competencia de denominaciones de origen.</w:t>
      </w:r>
    </w:p>
    <w:p w:rsidR="0026452D" w:rsidRDefault="0026452D" w:rsidP="0026452D">
      <w:pPr>
        <w:pStyle w:val="TextoNormal"/>
      </w:pPr>
    </w:p>
    <w:p w:rsidR="0026452D" w:rsidRDefault="0026452D" w:rsidP="0026452D">
      <w:pPr>
        <w:pStyle w:val="TextoNormal"/>
      </w:pPr>
      <w:r>
        <w:t>b) A renglón seguido el escrito de alegaciones sostiene que el precepto impugnado no invade las competencias autonómicas en materia de denominación de origen y organización de las instituciones de autogobierno, sino que las enmarca, facilitando la existencia de un mercado nacional uniforme, y quedando el régimen normativo impugnado en el plano de lo que son las bases y coordinación de la planificación general de la actividad económica, por cuanto el objetivo primordial de la Ley de la viña y del vino es la creación de un mercado único de los vinos en todo el territorio del Estado, estableciendo unos niveles de clasificación que aseguren a los operadores una competencia leal. En esta línea de razonamiento, el título competencial esgrimido por el Estado en la propia norma para atribuir a aquellos preceptos la condición de legislación básica, es el previsto en el art. 149.1.13 CE, referido a las bases y coordinación de la planificación general de la actividad económica, en este caso del sector agrícola y dentro de éste, del régimen del viñedo.</w:t>
      </w:r>
    </w:p>
    <w:p w:rsidR="0026452D" w:rsidRDefault="0026452D" w:rsidP="0026452D">
      <w:pPr>
        <w:pStyle w:val="TextoNormal"/>
      </w:pPr>
    </w:p>
    <w:p w:rsidR="0026452D" w:rsidRDefault="0026452D" w:rsidP="0026452D">
      <w:pPr>
        <w:pStyle w:val="TextoNormal"/>
      </w:pPr>
      <w:r>
        <w:t>c) Por lo que hace al alcance de los títulos competenciales de aplicación al caso, la Abogacía del Estado responde al deslinde competencial entre el Estado y la Comunidad Autónoma realizado en el escrito de interposición del recurso, afirmando que tanto el art. 148.1.7 CE como el art. 31.1.6 EACM, que atribuyen a la Comunidad Autónoma de Castilla-La Mancha competencia exclusiva en materia de viticultura, dejan a salvo las facultades de ordenación de la economía reservadas con carácter general al Estado por el art. 149.1.13 CE. Así, la norma de atribución contenida en el art. 31.1.6 EACM requiere para su recta aplicación que, al proceder a la ordenación general de la economía, el Estado no desconozca la competencia sectorial de la Comunidad Autónoma en materia de agricultura.</w:t>
      </w:r>
    </w:p>
    <w:p w:rsidR="0026452D" w:rsidRDefault="0026452D" w:rsidP="0026452D">
      <w:pPr>
        <w:pStyle w:val="TextoNormal"/>
      </w:pPr>
    </w:p>
    <w:p w:rsidR="0026452D" w:rsidRDefault="0026452D" w:rsidP="0026452D">
      <w:pPr>
        <w:pStyle w:val="TextoNormal"/>
      </w:pPr>
      <w:r>
        <w:t>Por otro lado, y para referirse al alcance del art. 31.1.7 EACM, a cuyo tenor la comunidad castellano-manchega tiene competencia exclusiva en materia de “denominaciones de origen y otras indicaciones de procedencia relativas a productos de la Región, en colaboración con el Estado”, el escrito de alegaciones remite a lo dispuesto en la STC 11/1986, de 28 de enero, asegurando que el ejercicio de la citada competencia exige que las actuaciones a ella vinculadas sean realizadas bilateralmente en régimen de cooperación específica, siendo los medios y técnicas de colaboración diversos.</w:t>
      </w:r>
    </w:p>
    <w:p w:rsidR="0026452D" w:rsidRDefault="0026452D" w:rsidP="0026452D">
      <w:pPr>
        <w:pStyle w:val="TextoNormal"/>
      </w:pPr>
    </w:p>
    <w:p w:rsidR="0026452D" w:rsidRDefault="0026452D" w:rsidP="0026452D">
      <w:pPr>
        <w:pStyle w:val="TextoNormal"/>
      </w:pPr>
      <w:r>
        <w:t xml:space="preserve">Finalmente el Abogado del Estado se refiere a la competencia de auto-organización que la Junta de Comunidades de Castilla-La Mancha ostenta en virtud de lo establecido en los arts. 148.1.1 CE y 31.1.1 EACM, remitiendo para su interpretación a lo dispuesto en la STC 186/1988, de 17 de octubre. Para concluir su exposición en este punto, el escrito de alegaciones afirma que la regulación contenida en los preceptos impugnados se inserta en la materia de denominaciones de origen respecto de cuyas concretas reglas de distribución competencial se pronunció la STC 112/1995, de 6 de julio, dejando este pronunciamiento a salvo la competencia estatal para regular sobre la materia de las denominaciones de origen cuando lo justifiquen las exigencias de un tratamiento uniforme del mercado vitícola, asociado al </w:t>
      </w:r>
      <w:r>
        <w:lastRenderedPageBreak/>
        <w:t>principio de unidad económica que la Constitución establece para toda España. En este sentido, el Abogado del Estado afirma que los preceptos básicos de la Ley recurrida se sitúan en la ordenación general de la economía, límite expreso de las competencias autonómicas y con el alcance que la jurisprudencia viene atribuyendo a tal ordenación general, a la vista de la importancia y trascendencia del sector vitícola como actividad netamente económica. Este argumento es reforzado en el escrito de alegaciones recordando la amplitud del título competencial de ordenación general de la economía, que comprende no solo las medidas de política general, sino también las dirigidas a sectores económicos concretos, según ha reconocido la jurisprudencia constitucional. Además, el Tribunal ha diferenciado entre la competencia estatal para “dictar bases” y la de “coordinación”, competencia ésta que permite al Estado, más allá de lo que sea la ordenación general de la economía, establecer medios y sistemas de relación que hagan posible la información recíproca, la homogeneización técnica en determinados aspectos y la acción conjunta de las autoridades estatales y autonómicas en el ejercicio de sus respectivas competencias (SSTC 32/1983, de 28 de abril y 44/1985, de 22 de marzo).</w:t>
      </w:r>
    </w:p>
    <w:p w:rsidR="0026452D" w:rsidRDefault="0026452D" w:rsidP="0026452D">
      <w:pPr>
        <w:pStyle w:val="TextoNormal"/>
      </w:pPr>
    </w:p>
    <w:p w:rsidR="0026452D" w:rsidRDefault="0026452D" w:rsidP="0026452D">
      <w:pPr>
        <w:pStyle w:val="TextoNormal"/>
      </w:pPr>
      <w:r>
        <w:t>Trasladando sus argumentos al ámbito de la incidencia de la normativa comunitaria en este concreto aspecto competencial, el Abogado del Estado señala que ni el Estado ni las Comunidades Autónomas pueden considerar alterado su propio orden material de competencias por virtud de la conexión comunitaria europea, debiendo estar exclusivamente a las normas internas que regulan la distribución territorial del poder. A este respecto, y dentro del ámbito de los productos vinícolas, la regulación comunitaria en vigor no contempla la creación de títulos unitarios de protección de las denominaciones de origen, con iguales efectos e idéntica protección en el conjunto de la Unión Europea, sino que los reglamentos de la Unión relativos al sector vitivinícola se limitan a regular el empleo de indicaciones geográficas en la designación y presentación de algunos productos, de modo que la competencia para reconocer denominaciones de origen sigue estando reservada a los Estados miembros, que deberán ajustarse, en el ejercicio de sus propias competencias a las disposiciones que el derecho comunitario tiene establecidas. Esas disposiciones realizan una regulación exhaustiva del sector vitivinícola, dejando, según el Abogado del Estado, un reducido margen de maniobra a los Estados miembros para el ejercicio de su potestad normativa, lo que no impide la existencia de normativa básica estatal para la ordenación económica del sector vitivinícola que atienda al cumplimiento de los objetivos que predetermina la normativa comunitaria. La Ley 24/2003, de la viña y del vino, además de las materias necesitadas de precisión o desarrollo respecto de lo dispuesto en el acervo comunitario, regula los aspectos imprescindibles para garantizar la eficiencia del mercado único, la libre y leal competencia entre operadores en todas las zonas del territorio nacional y la protección de los derechos de los consumidores.</w:t>
      </w:r>
    </w:p>
    <w:p w:rsidR="0026452D" w:rsidRDefault="0026452D" w:rsidP="0026452D">
      <w:pPr>
        <w:pStyle w:val="TextoNormal"/>
      </w:pPr>
    </w:p>
    <w:p w:rsidR="0026452D" w:rsidRDefault="0026452D" w:rsidP="0026452D">
      <w:pPr>
        <w:pStyle w:val="TextoNormal"/>
      </w:pPr>
      <w:r>
        <w:t xml:space="preserve">d) En respuesta a las impugnaciones concretas relativas a las denominaciones de origen, el Abogado del Estado afirma que el art. 149.1.13 CE permite al Estado actuar en ámbitos reservados a las Comunidades Autónomas, cuando la actividad que se regula deba ser reconducida hacia unos parámetros homogéneos en todo el territorio nacional, para lo cual la Constitución permite acudir tanto a las bases de normación de la materia afectada, como a la coordinación de las actividades. De este modo, la incorporación de la noción de “denominación de origen” de los vinos a la Ley 24/2003, de la viña y del vino, integrándola en el nuevo sistema de protección de la calidad de los vinos españoles, así como la determinación de unas pautas mínimas comunes mediante las que reconocer jurídicamente aquella figura, </w:t>
      </w:r>
      <w:r>
        <w:lastRenderedPageBreak/>
        <w:t>implica el ejercicio de la competencia de coordinación atribuida al Estado en relación con la actividad económica general. Se trata de asegurar, mediante la definición de su concepto jurídico y del diseño de su contorno y contenidos esenciales, que una misma institución, la denominación de origen, que juega un papel central en el mercado vitivinícola, no pueda designar realidades diferentes e incluso contradictorias, en las distintas partes del Estado.</w:t>
      </w:r>
    </w:p>
    <w:p w:rsidR="0026452D" w:rsidRDefault="0026452D" w:rsidP="0026452D">
      <w:pPr>
        <w:pStyle w:val="TextoNormal"/>
      </w:pPr>
    </w:p>
    <w:p w:rsidR="0026452D" w:rsidRDefault="0026452D" w:rsidP="0026452D">
      <w:pPr>
        <w:pStyle w:val="TextoNormal"/>
      </w:pPr>
      <w:r>
        <w:t>Así, a través de la competencia estatal de coordinación de la planificación de la actividad económica se puede establecer una homogeneidad en el concepto de denominación de origen, que el Tribunal ha definido como “concepto jurídico pacífico” (STC 112/1995, de 6 de julio, FJ 2) y que debe entenderse como un concepto socialmente reconocido, antes incluso de la existencia del Estado de las autonomías. El establecimiento en los arts. 22 y 23 de la Ley 24/2003, de la viña y del vino, de los requisitos exigibles a los vinos con denominación de origen y con denominación de origen calificada debe incluirse en el espacio reservado al Estado en el ejercicio de su competencia estatal de coordinación por cuanto constituye una garantía de tratamiento uniforme en un mercado supraautonómico, una unificación de los criterios que han de ser tomados en consideración y una garantía del desarrollo armónico del mercado vinícola en todo el territorio nacional a través de la homogeneización técnica de dichos conceptos efectuada en ejercicio de la competencia estatal para la coordinación general de la actividad económica. Por último, y en respuesta a los argumentos relativos a la equivalencia conceptual entre vinos de calidad producidos en una región determinada y vino con denominación de origen, la Abogacía del Estado afirma que tal equivalencia es cierta en la medida en que todo vino con denominación de origen es un vino de calidad producido en una región determinada, pero no lo es en la medida en que no todo vino de calidad producido en una región determinada es un vino con denominación de origen.</w:t>
      </w:r>
    </w:p>
    <w:p w:rsidR="0026452D" w:rsidRDefault="0026452D" w:rsidP="0026452D">
      <w:pPr>
        <w:pStyle w:val="TextoNormal"/>
      </w:pPr>
    </w:p>
    <w:p w:rsidR="0026452D" w:rsidRDefault="0026452D" w:rsidP="0026452D">
      <w:pPr>
        <w:pStyle w:val="TextoNormal"/>
      </w:pPr>
      <w:r>
        <w:t xml:space="preserve">e) Respecto de la imposición por la Ley recurrida de la existencia de órganos de gestión, y de la impugnación relativa a que tal imposición atenta contra las competencias autonómicas y contra la libertad de asociación, afirma el Abogado del Estado que el ejercicio de la competencia de coordinación estatal ampara la definición y el establecimiento de las condiciones mínimas de organización y funcionamiento de los órganos de gestión de las denominaciones de origen, de modo que los arts. 25 y 26 de la Ley de la viña y del vino tratan de asegurar un mínimo de operatividad y eficacia en la gestión de los vinos de calidad producidos en una región determinada, para lo que resultan imprescindibles unas líneas de configuración institucional y unos parámetros de actuación de los órganos de gestión que sean mínimamente coherentes en todas las comunidades autónomas. El art. 25 de la Ley no predetermina ni impone un modelo concreto de organización, sino que ofrece un abanico de opciones, reenviando su concreción y desarrollo a la norma propia de cada comunidad autónoma. Con idéntico propósito el art. 26 se limita a efectuar una declaración general acerca de las finalidades de los órganos de gestión que, sin menoscabar el ámbito propio de regulación de las comunidades autónomas, diseña un modelo básicamente reconocible en todo el país. Afirma también la Abogacía del Estado que, de la previsión que contiene el art. 25.2 de la Ley sobre los órganos de gestión de los vinos de calidad producidos en una región determinada, señalando que tendrán personalidad jurídica propia, de naturaleza pública o privada, no puede deducirse que se esté atentado contra el derecho fundamental de asociación al exigirse obligatoriamente a los vitivinicultores su incorporación a organizaciones sociales personificadas, y a eso añade que algunas de las funciones que el art. 26 asigna a los órganos de gestión son de indudable naturaleza pública, y que es precisamente en la conexión “funciones públicas/persona jurídica” (organismo público o entidad privada con </w:t>
      </w:r>
      <w:r>
        <w:lastRenderedPageBreak/>
        <w:t>funciones delegadas) donde reside la justificación de la inclusión necesaria de la representación de los titulares de los viñedos y de las bodegas inscritas en los registros de los vinos de calidad producidos en una región determinada.</w:t>
      </w:r>
    </w:p>
    <w:p w:rsidR="0026452D" w:rsidRDefault="0026452D" w:rsidP="0026452D">
      <w:pPr>
        <w:pStyle w:val="TextoNormal"/>
      </w:pPr>
    </w:p>
    <w:p w:rsidR="0026452D" w:rsidRDefault="0026452D" w:rsidP="0026452D">
      <w:pPr>
        <w:pStyle w:val="TextoNormal"/>
      </w:pPr>
      <w:r>
        <w:t>En cuanto a los órganos de control, la Ley ha previsto igualmente en el art. 27 un sistema flexible, a elección de los interesados, que permite optar por distintos modelos organizativos, de manera que este precepto se ajusta a una regulación de mínimos que persigue la uniformidad y evitar disfuncionalidades en el sistema de protección de la calidad de los vinos que no merman facultad alguna de la Comunidad Autónoma castellano-manchega.</w:t>
      </w:r>
    </w:p>
    <w:p w:rsidR="0026452D" w:rsidRDefault="0026452D" w:rsidP="0026452D">
      <w:pPr>
        <w:pStyle w:val="TextoNormal"/>
      </w:pPr>
    </w:p>
    <w:p w:rsidR="0026452D" w:rsidRDefault="0026452D" w:rsidP="0026452D">
      <w:pPr>
        <w:pStyle w:val="TextoNormal"/>
      </w:pPr>
      <w:r>
        <w:t>f) En cuanto al cuestionamiento de la constitucionalidad de la declaración como bienes de dominio público de los nombres geográficos protegidos (art. 17.1 de la Ley), el Abogado del Estado sostiene que, aunque del art. 132.2 CE se desprende que la facultad de determinación de los bienes que integran el dominio público se otorga, en principio, sin limitación expresa alguna, la STC 149/1991, de 4 de julio, ha declarado que no puede ser utilizada para situar fuera del comercio cualquier bien o género de bienes si no es para servir a finalidades lícitas que no puedan ser atendidas eficazmente con otras medidas; según consolidada doctrina jurisprudencial (SSTC 102/1995 y 195/1998), para la validez de la declaración como tal categoría de bienes han de concurrir determinadas notas, que aparecen en este caso, pues merecen el calificativo de demanial aquellos bienes que son singulares por la función que desempeñan, como es el caso de los nombres geográficos protegidos, íntimamente vinculados al fomento de la riqueza nacional a través de la garantía de calidad que otorgan y del prestigio que les acompaña en los mercados. La Ley de la viña y del vino viene a reforzar la protección de estos intangibles del comercio, prohibiendo su apropiación individual, venta, enajenación o gravamen. La declaración que formula, respecto del carácter demanial de los nombres geográficos protegidos y de las denominaciones de origen no contradice el régimen legal específico sobre marcas contenido en normas internacionales y en la ley estatal sobre la materia.</w:t>
      </w:r>
    </w:p>
    <w:p w:rsidR="0026452D" w:rsidRDefault="0026452D" w:rsidP="0026452D">
      <w:pPr>
        <w:pStyle w:val="TextoNormal"/>
      </w:pPr>
    </w:p>
    <w:p w:rsidR="0026452D" w:rsidRDefault="0026452D" w:rsidP="0026452D">
      <w:pPr>
        <w:pStyle w:val="TextoNormal"/>
      </w:pPr>
      <w:r>
        <w:t>g) Resulta, en fin, perfectamente constitucional a juicio del Abogado del Estado que las medidas de coordinación económica estatales sean complementadas con las necesarias medidas sancionadoras, decisivas en este tipo de actuaciones, en tanto eficaces para garantizar los mínimos normativos que para la ordenación general de la economía el legislador estatal ha establecido previamente, medidas que pueden por ello beneficiarse de las mismas justificaciones que la coordinación en sí (con cita del fundamento jurídico 6 de la STC 186/1988, de 17 de octubre).</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9 de abril de 2013 se señaló para deliberación y fallo del presente recurso,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El Consejo de Gobierno de la Junta de Comunidades de Castilla-La Mancha impugna el apartado 2 de la disposición final segunda de la Ley 24/2003, de 10 de julio, de la viña y del vino, en la medida en que declara, como legislación básica, dictada al amparo de lo dispuesto en el art. 149.1.13 CE el título I completo, excepto el artículo 4; el capítulo I del título II —excepto los arts. 16, 25. 4 y 8 y 26.2 párrafos b), e) y g)—; el art. 31.1; el art. 32; </w:t>
      </w:r>
      <w:r>
        <w:lastRenderedPageBreak/>
        <w:t>y los arts. 37; 38.1; 39.1 y 3; 40.1, 2 párrafos a) y b), 3 y 4; 41; 42; 44 y 45, todos ellos del título III.</w:t>
      </w:r>
    </w:p>
    <w:p w:rsidR="0026452D" w:rsidRDefault="0026452D" w:rsidP="0026452D">
      <w:pPr>
        <w:pStyle w:val="TextoNormal"/>
      </w:pPr>
    </w:p>
    <w:p w:rsidR="0026452D" w:rsidRDefault="0026452D" w:rsidP="0026452D">
      <w:pPr>
        <w:pStyle w:val="TextoNormal"/>
      </w:pPr>
      <w:r w:rsidRPr="0026452D">
        <w:rPr>
          <w:rStyle w:val="NumeroAFNegritaCaracter"/>
        </w:rPr>
        <w:t>2</w:t>
      </w:r>
      <w:r>
        <w:t>. En primer término, y antes de entrar al fondo de las cuestiones planteadas en el presente recurso de inconstitucionalidad, es preciso dar respuesta a las objeciones planteadas por el Abogado del Estado en materia de delimitación del objeto del recurso, admitiendo que, efectivamente, aunque el recurso se plantea contra la totalidad del apartado 2 de la disposición final segunda de la Ley 24/2003, de 10 de julio, los argumentos que la parte recurrente desarrolla en el escrito de interposición del recurso no cumplen debidamente con la carga de fundamentar la inconstitucionalidad que se denuncia respecto de la totalidad del precepto que se impugna.</w:t>
      </w:r>
    </w:p>
    <w:p w:rsidR="0026452D" w:rsidRDefault="0026452D" w:rsidP="0026452D">
      <w:pPr>
        <w:pStyle w:val="TextoNormal"/>
      </w:pPr>
    </w:p>
    <w:p w:rsidR="0026452D" w:rsidRDefault="0026452D" w:rsidP="0026452D">
      <w:pPr>
        <w:pStyle w:val="TextoNormal"/>
      </w:pPr>
      <w:r>
        <w:t>Así la disposición impugnada establece lo siguiente</w:t>
      </w:r>
    </w:p>
    <w:p w:rsidR="0026452D" w:rsidRDefault="0026452D" w:rsidP="0026452D">
      <w:pPr>
        <w:pStyle w:val="TextoNormal"/>
      </w:pPr>
    </w:p>
    <w:p w:rsidR="0026452D" w:rsidRDefault="0026452D" w:rsidP="0026452D">
      <w:pPr>
        <w:pStyle w:val="TextoNormal"/>
      </w:pPr>
      <w:r>
        <w:t>“2. Constituyen legislación básica, dictada al amparo de lo dispuesto en el artículo 149.1.13 de la Constitución, las partes siguientes:</w:t>
      </w:r>
    </w:p>
    <w:p w:rsidR="0026452D" w:rsidRDefault="0026452D" w:rsidP="0026452D">
      <w:pPr>
        <w:pStyle w:val="TextoNormal"/>
      </w:pPr>
    </w:p>
    <w:p w:rsidR="0026452D" w:rsidRDefault="0026452D" w:rsidP="0026452D">
      <w:pPr>
        <w:pStyle w:val="TextoNormal"/>
      </w:pPr>
      <w:r>
        <w:t>a) Título I, completo, excepto el artículo 4.</w:t>
      </w:r>
    </w:p>
    <w:p w:rsidR="0026452D" w:rsidRDefault="0026452D" w:rsidP="0026452D">
      <w:pPr>
        <w:pStyle w:val="TextoNormal"/>
      </w:pPr>
    </w:p>
    <w:p w:rsidR="0026452D" w:rsidRDefault="0026452D" w:rsidP="0026452D">
      <w:pPr>
        <w:pStyle w:val="TextoNormal"/>
      </w:pPr>
      <w:r>
        <w:t>b) Del título II, los preceptos siguientes:</w:t>
      </w:r>
    </w:p>
    <w:p w:rsidR="0026452D" w:rsidRDefault="0026452D" w:rsidP="0026452D">
      <w:pPr>
        <w:pStyle w:val="TextoNormal"/>
      </w:pPr>
    </w:p>
    <w:p w:rsidR="0026452D" w:rsidRDefault="0026452D" w:rsidP="0026452D">
      <w:pPr>
        <w:pStyle w:val="TextoNormal"/>
      </w:pPr>
      <w:r>
        <w:t>1. El capítulo I completo, excepto el artículo 16, los apartados 4 y 8 del artículo 25 y los párrafos b, e y g del apartado 2 del artículo 26.</w:t>
      </w:r>
    </w:p>
    <w:p w:rsidR="0026452D" w:rsidRDefault="0026452D" w:rsidP="0026452D">
      <w:pPr>
        <w:pStyle w:val="TextoNormal"/>
      </w:pPr>
    </w:p>
    <w:p w:rsidR="0026452D" w:rsidRDefault="0026452D" w:rsidP="0026452D">
      <w:pPr>
        <w:pStyle w:val="TextoNormal"/>
      </w:pPr>
      <w:r>
        <w:t>2. El apartado 1 del artículo 31.</w:t>
      </w:r>
    </w:p>
    <w:p w:rsidR="0026452D" w:rsidRDefault="0026452D" w:rsidP="0026452D">
      <w:pPr>
        <w:pStyle w:val="TextoNormal"/>
      </w:pPr>
    </w:p>
    <w:p w:rsidR="0026452D" w:rsidRDefault="0026452D" w:rsidP="0026452D">
      <w:pPr>
        <w:pStyle w:val="TextoNormal"/>
      </w:pPr>
      <w:r>
        <w:t>3. El artículo 32.</w:t>
      </w:r>
    </w:p>
    <w:p w:rsidR="0026452D" w:rsidRDefault="0026452D" w:rsidP="0026452D">
      <w:pPr>
        <w:pStyle w:val="TextoNormal"/>
      </w:pPr>
    </w:p>
    <w:p w:rsidR="0026452D" w:rsidRDefault="0026452D" w:rsidP="0026452D">
      <w:pPr>
        <w:pStyle w:val="TextoNormal"/>
      </w:pPr>
      <w:r>
        <w:t>c) Del título III, los preceptos siguientes:</w:t>
      </w:r>
    </w:p>
    <w:p w:rsidR="0026452D" w:rsidRDefault="0026452D" w:rsidP="0026452D">
      <w:pPr>
        <w:pStyle w:val="TextoNormal"/>
      </w:pPr>
    </w:p>
    <w:p w:rsidR="0026452D" w:rsidRDefault="0026452D" w:rsidP="0026452D">
      <w:pPr>
        <w:pStyle w:val="TextoNormal"/>
      </w:pPr>
      <w:r>
        <w:t>1. El artículo 37.</w:t>
      </w:r>
    </w:p>
    <w:p w:rsidR="0026452D" w:rsidRDefault="0026452D" w:rsidP="0026452D">
      <w:pPr>
        <w:pStyle w:val="TextoNormal"/>
      </w:pPr>
    </w:p>
    <w:p w:rsidR="0026452D" w:rsidRDefault="0026452D" w:rsidP="0026452D">
      <w:pPr>
        <w:pStyle w:val="TextoNormal"/>
      </w:pPr>
      <w:r>
        <w:t>2. El apartado 1 del artículo 38.</w:t>
      </w:r>
    </w:p>
    <w:p w:rsidR="0026452D" w:rsidRDefault="0026452D" w:rsidP="0026452D">
      <w:pPr>
        <w:pStyle w:val="TextoNormal"/>
      </w:pPr>
    </w:p>
    <w:p w:rsidR="0026452D" w:rsidRDefault="0026452D" w:rsidP="0026452D">
      <w:pPr>
        <w:pStyle w:val="TextoNormal"/>
      </w:pPr>
      <w:r>
        <w:t>3. Los apartados 1 y 3 del artículo 39.</w:t>
      </w:r>
    </w:p>
    <w:p w:rsidR="0026452D" w:rsidRDefault="0026452D" w:rsidP="0026452D">
      <w:pPr>
        <w:pStyle w:val="TextoNormal"/>
      </w:pPr>
    </w:p>
    <w:p w:rsidR="0026452D" w:rsidRDefault="0026452D" w:rsidP="0026452D">
      <w:pPr>
        <w:pStyle w:val="TextoNormal"/>
      </w:pPr>
      <w:r>
        <w:t>4. Del artículo 40, los apartados 1, 3 y 4 íntegros; y del apartado 2, los párrafos a y b.</w:t>
      </w:r>
    </w:p>
    <w:p w:rsidR="0026452D" w:rsidRDefault="0026452D" w:rsidP="0026452D">
      <w:pPr>
        <w:pStyle w:val="TextoNormal"/>
      </w:pPr>
    </w:p>
    <w:p w:rsidR="0026452D" w:rsidRDefault="0026452D" w:rsidP="0026452D">
      <w:pPr>
        <w:pStyle w:val="TextoNormal"/>
      </w:pPr>
      <w:r>
        <w:t>5. Los artículos 41, 42, 44 y 45.”</w:t>
      </w:r>
    </w:p>
    <w:p w:rsidR="0026452D" w:rsidRDefault="0026452D" w:rsidP="0026452D">
      <w:pPr>
        <w:pStyle w:val="TextoNormal"/>
      </w:pPr>
    </w:p>
    <w:p w:rsidR="0026452D" w:rsidRDefault="0026452D" w:rsidP="0026452D">
      <w:pPr>
        <w:pStyle w:val="TextoNormal"/>
      </w:pPr>
      <w:r>
        <w:t xml:space="preserve">No obstante, los argumentos de la Junta de Comunidades de Castilla-La Mancha se limitan, en su planteamiento general, a rechazar la regulación que hace la Ley 24/2003 de las denominaciones de origen y a la consideración de tal regulación como básica. No se expone argumento alguno que permita deducir por qué razón se considera inconstitucional la definición como básico del título I (arts. 1 a 11) relativo al ámbito de aplicación de la ley y a aspectos generales de la vitivinicultura, ninguno de ellos relativos a las denominaciones de origen. Respecto del título II (arts. 12 a 32), que regula el sistema de protección del origen y la calidad de los vinos, y en el seno del cual la disposición impugnada considera básicos </w:t>
      </w:r>
      <w:r>
        <w:lastRenderedPageBreak/>
        <w:t>los arts. 12 a 15, 17 a 24, 25 (excepto los apartados 4 y 8), 26 [excepto los párrafos b), e) y g) del apartado 2], 27, 31.1 y 32, el escrito de interposición del recurso sólo se refiere, levantando argumentos contra la constitucionalidad de la regulación, en términos genéricos a lo dispuesto en el art. 13, que establece los niveles de protección del sistema, determinando en el apartado 1 b) que los “vinos de calidad producidos en una región determinada, en los que, a su vez, podrán establecerse los siguientes niveles: 1. Vinos de calidad con indicación geográfica. 2. Vinos con denominación de origen. 3. Vinos con denominación de origen calificada. 4. Vinos de pagos”, y a los arts. 20 a 24 que desarrollan la anterior clasificación, y en términos específicos a la regulación prevista en los arts. 17.1, 25 y 26. Por último, respecto del título III, siendo la argumentación sumamente genérica, puede entenderse que se considera impugnada la calificación como básicos de los arts. 37; 38.1; 39.1 y 3; 40.1, 2 párrafos a) y b), 3 y 4; 41; 42; 44 y 45 de la Ley de la viña y del vino.</w:t>
      </w:r>
    </w:p>
    <w:p w:rsidR="0026452D" w:rsidRDefault="0026452D" w:rsidP="0026452D">
      <w:pPr>
        <w:pStyle w:val="TextoNormal"/>
      </w:pPr>
    </w:p>
    <w:p w:rsidR="0026452D" w:rsidRDefault="0026452D" w:rsidP="0026452D">
      <w:pPr>
        <w:pStyle w:val="TextoNormal"/>
      </w:pPr>
      <w:r>
        <w:t>Como se ha dicho reiteradamente por este Tribunal, “no basta la mera invocación formal de los preceptos en la demanda ...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233/1999, de 16 de diciembre, FJ 2 y 48/2003, de 12 de marzo, FJ 3, entre otras). Por tanto, del carácter rogado de la jurisdicción constitucional, de la presunción de constitucionalidad de las leyes, de la concepción del recurso de inconstitucionalidad como una impugnación reservada a determinados sujetos legitimados y de lo establecido en los arts. 33.1 y 85.1 Ley Orgánica del Tribunal Constitucional (LOTC) se deduce con toda claridad que para poder alcanzar la declaración de inconstitucionalidad no basta con pedirla y con identificar las normas recurridas y los preceptos constitucionales; es precisa, además, una argumentación específica y razonada sobre la contradicción de aquéllas con la Constitución o con el llamado bloque de la constitucionalidad, argumentación que, por ser responsabilidad de la parte, no puede suplir este Tribunal, que, como es obvio, no puede ser juez y parte y que tampoco puede pronunciarse preventivamente sobre vulneraciones del orden constitucional de competencias no materializadas.</w:t>
      </w:r>
    </w:p>
    <w:p w:rsidR="0026452D" w:rsidRDefault="0026452D" w:rsidP="0026452D">
      <w:pPr>
        <w:pStyle w:val="TextoNormal"/>
      </w:pPr>
    </w:p>
    <w:p w:rsidR="0026452D" w:rsidRDefault="0026452D" w:rsidP="0026452D">
      <w:pPr>
        <w:pStyle w:val="TextoNormal"/>
      </w:pPr>
      <w:r>
        <w:t xml:space="preserve">Por último, y por lo que hace a la impugnación del carácter básico del art. 17.1 de la Ley de la viña y del vino, en la línea de lo decidido en otros casos (STC 34/2013, de 14 de febrero, por ejemplo), no tomaremos en consideración las alegaciones que la demanda dedica a la inconstitucionalidad del mismo, por considerarlo contrario al art. 132.2 CE, ni a la supuesta incompatibilidad del art. 25 de la Ley con el derecho de asociación y ello por dos razones. En primer lugar porque la súplica de la demanda de la única norma que pide la declaración de inconstitucionalidad es del apartado 2 de la disposición final segunda, y ello exclusivamente por violar el régimen constitucional de reparto de competencias. En segundo término porque el acuerdo del Consejo de Gobierno de la Junta de Comunidades de Castilla-La Mancha, de 23 de marzo de 2004, relativo a la interposición del recurso de inconstitucionalidad, se limita a la mencionada disposición final segunda, apartado 2, “en cuanto declara una serie de preceptos legislación básica dictada al amparo de lo dispuesto en el artículo 149.1.13 de la Constitución Española, vulnerando así el orden de competencias establecido en el artículo 148.1.1 y 7 de la Constitución Española y en el artículo 31.1.1, 6 y 7 del Estatuto de Autonomía de Castilla-La Mancha”. Según hemos dicho con anterioridad el ámbito del recurso de inconstitucionalidad para el que el art. 32.2 LOTC legitima a los órganos ejecutivos de las Comunidades Autónomas viene definido en el “acuerdo adoptado </w:t>
      </w:r>
      <w:r>
        <w:lastRenderedPageBreak/>
        <w:t>al efecto” que exige dicho precepto, sin que la potestad de impugnar pueda ser delegada ni transmitida a la representación procesal de aquéllos (STC 61/1997, de 20 de marzo, FJ 4), ni, mucho menos, asumida por ésta sin esa delegación.</w:t>
      </w:r>
    </w:p>
    <w:p w:rsidR="0026452D" w:rsidRDefault="0026452D" w:rsidP="0026452D">
      <w:pPr>
        <w:pStyle w:val="TextoNormal"/>
      </w:pPr>
    </w:p>
    <w:p w:rsidR="0026452D" w:rsidRDefault="0026452D" w:rsidP="0026452D">
      <w:pPr>
        <w:pStyle w:val="TextoNormal"/>
      </w:pPr>
      <w:r>
        <w:t>Teniendo en cuenta las consideraciones anteriores habremos de entender que el objeto del presente recurso de inconstitucionalidad queda limitado a determinar si es constitucional o no la atribución de carácter básico, por parte de la disposición final segunda, apartado 2, a los arts. 13; 20 a 24; 25 (excepto los apartados 4 y 8); 26 [excepto los párrafos b), e) y g) del apartado 2]; 37; 38.1; 39.1 y 3; 40.1, 2 párrafos a) y b), 3 y 4; 41; 42; 44 y 45 de la Ley de la viña y del vino.</w:t>
      </w:r>
    </w:p>
    <w:p w:rsidR="0026452D" w:rsidRDefault="0026452D" w:rsidP="0026452D">
      <w:pPr>
        <w:pStyle w:val="TextoNormal"/>
      </w:pPr>
    </w:p>
    <w:p w:rsidR="0026452D" w:rsidRDefault="0026452D" w:rsidP="0026452D">
      <w:pPr>
        <w:pStyle w:val="TextoNormal"/>
      </w:pPr>
      <w:r w:rsidRPr="0026452D">
        <w:rPr>
          <w:rStyle w:val="NumeroAFNegritaCaracter"/>
        </w:rPr>
        <w:t>3</w:t>
      </w:r>
      <w:r>
        <w:t>. Determinado el alcance del objeto del presente recurso de inconstitucionalidad es preciso recordar que el mismo coincide fundamentalmente con el del recurso de inconstitucionalidad núm. 5934-2003, promovido por el Parlamento de Cataluña contra la misma disposición final segunda de la Ley 24/2003, y que ha sido resuelto por la STC 34/2013, de 14 de febrero, la cual ha de servir de base a este pronunciamiento. Para ello hemos de partir del marco competencial que se traza en la misma y que, reconociendo como incontrovertido el hecho de que los preceptos impugnados se encuadran en la materia denominaciones de origen, que corresponde a las Comunidades Autónomas que la tengan atribuida en sus Estatutos (STC 34/2013, FJ 3), admite también que esta competencia autonómica exclusiva se ve enmarcada de un lado por la previsión estatutaria de que se ejercitará en colaboración con el Estado, y de otro por la competencia estatal sobre las bases y coordinación de la planificación general de la actividad económica que reconoce al Estado el art. 149.1.13 CE [STC 34/2013, FJ 3 b)]. El sentido y alcance de las competencias en conflicto es definido en el fundamento jurídico 4 de la Sentencia de referencia, a cuya lectura se hace completa remisión.</w:t>
      </w:r>
    </w:p>
    <w:p w:rsidR="0026452D" w:rsidRDefault="0026452D" w:rsidP="0026452D">
      <w:pPr>
        <w:pStyle w:val="TextoNormal"/>
      </w:pPr>
    </w:p>
    <w:p w:rsidR="0026452D" w:rsidRDefault="0026452D" w:rsidP="0026452D">
      <w:pPr>
        <w:pStyle w:val="TextoNormal"/>
      </w:pPr>
      <w:r w:rsidRPr="0026452D">
        <w:rPr>
          <w:rStyle w:val="NumeroAFNegritaCaracter"/>
        </w:rPr>
        <w:t>4</w:t>
      </w:r>
      <w:r>
        <w:t>. A partir de este planteamiento general y para determinar la constitucionalidad de la calificación como básicos de determinados preceptos del capítulo I, del título II de la Ley —referido a los aspectos generales del sistema de protección del origen y la calidad de los vinos—, el fundamento jurídico 5 de la STC 34/2013, de 14 de febrero, establece que “la Ley de la viña y del vino, apreciando la importancia que tiene en España el cultivo, la elaboración y la comercialización de vino, persigue establecer criterios generales de ordenación del entero sector vitícola orientados a evitar que la divergencia radical entre las distintas normativas autonómicas obstaculice gravemente la unidad de mercado o, introduciendo confusión, haga ineficaz la intervención pública en ese ámbito de la economía, y en este contexto se inscribe la regulación que hace de los vinos con denominación de origen (art. 22), de los vinos con denominación de origen calificada (art. 23) y de los sistemas de gestión y control de los vinos de calidad producidos en regiones determinadas (arts. 25, 26 y 27)”. Reconociendo esto, y admitiendo que una actuación estatal en tal sentido condiciona el ejercicio de la competencia autonómica exclusiva sobre denominaciones de origen, la misma sólo puede hallar sustento en la competencia estatal para sentar las bases de la planificación general de la actividad económica, tal y como se dispone en la STC 34/2013, FFJJ 6 a 8.</w:t>
      </w:r>
    </w:p>
    <w:p w:rsidR="0026452D" w:rsidRDefault="0026452D" w:rsidP="0026452D">
      <w:pPr>
        <w:pStyle w:val="TextoNormal"/>
      </w:pPr>
    </w:p>
    <w:p w:rsidR="0026452D" w:rsidRDefault="0026452D" w:rsidP="0026452D">
      <w:pPr>
        <w:pStyle w:val="TextoNormal"/>
      </w:pPr>
      <w:r>
        <w:t xml:space="preserve">Los arts. 13 y 20 a 24 impugnados, establecen que, según el nivel de requisitos que cumplan y, en su caso, de conformidad con la legislación autonómica, los vinos elaborados en España podrán acogerse a alguno de los siguientes niveles: vinos de mesa, que a su vez se </w:t>
      </w:r>
      <w:r>
        <w:lastRenderedPageBreak/>
        <w:t>clasifican en vinos de mesa propiamente y vinos de mesa con derecho a la mención tradicional vino de la tierra; y vinos de calidad producidos en una región determinada vinos de calidad producidos en una región determinada, en los que, a su vez, se incluyen los vinos de calidad con indicación geográfica, los vinos con denominación de origen, los vinos con denominación de origen calificada y los vinos de pagos. La mayor parte de objeciones de la recurrente tienen que ver con los vinos de calidad producidos en una región determinada, en la medida en que los mismos incluyen a los vinos con denominación de origen y con denominación de origen cualificada, y que las denominaciones de origen son una materia de competencia autonómica, pero dicho esto, también es cierto que la Junta de Comunidades de Castilla-La Mancha muestra un desacuerdo genérico con la nueva clasificación en niveles, al entender que, de la misma, se deriva la invasión competencial. Dicho esto, puede afirmarse que la STC 34/2013 da una respuesta clara a estas dudas de constitucionalidad, al establecer:</w:t>
      </w:r>
    </w:p>
    <w:p w:rsidR="0026452D" w:rsidRDefault="0026452D" w:rsidP="0026452D">
      <w:pPr>
        <w:pStyle w:val="TextoNormal"/>
      </w:pPr>
    </w:p>
    <w:p w:rsidR="0026452D" w:rsidRDefault="0026452D" w:rsidP="0026452D">
      <w:pPr>
        <w:pStyle w:val="TextoNormal"/>
      </w:pPr>
      <w:r>
        <w:t xml:space="preserve">a) Teniendo el sector vitivinícola gran importancia para la economía española, “el aseguramiento de la calidad y diversidad de los vinos y el establecimiento de condiciones de competencia leal entre los operadores, en la medida que, al menos en hipótesis, pueden incidir de un modo determinante en el adecuado funcionamiento del mercado, deben ser considerados objetivos de política sectorial que el legislador estatal puede fijar en ejercicio de la competencia para la ordenación general de la economía </w:t>
      </w:r>
      <w:r w:rsidRPr="0026452D">
        <w:rPr>
          <w:i/>
        </w:rPr>
        <w:t>ex</w:t>
      </w:r>
      <w:r>
        <w:t xml:space="preserve"> art. 149.1.13 CE.” (FJ 9).</w:t>
      </w:r>
    </w:p>
    <w:p w:rsidR="0026452D" w:rsidRDefault="0026452D" w:rsidP="0026452D">
      <w:pPr>
        <w:pStyle w:val="TextoNormal"/>
      </w:pPr>
    </w:p>
    <w:p w:rsidR="0026452D" w:rsidRDefault="0026452D" w:rsidP="0026452D">
      <w:pPr>
        <w:pStyle w:val="TextoNormal"/>
      </w:pPr>
      <w:r>
        <w:t>b) El legislador estatal, al referirse en el art. 12 de la Ley de la viña y del vino a los objetivos de aseguramiento de la calidad y diversidad de los vinos y de establecimiento de condiciones de competencia leal, establece “como líneas directrices del sector del vino ciertos objetivos de política sectorial ya admitidos por nuestra doctrina como legítimo ejercicio de la competencia que le atribuye el art. 149.1.13 CE, como es el fomento en el mercado nacional e internacional de caldos de calidad y el aumento la competitividad de la producción vitivinícola nacional (STC 186/1988, de 17 de octubre, FJ 7)” (FJ 9).</w:t>
      </w:r>
    </w:p>
    <w:p w:rsidR="0026452D" w:rsidRDefault="0026452D" w:rsidP="0026452D">
      <w:pPr>
        <w:pStyle w:val="TextoNormal"/>
      </w:pPr>
    </w:p>
    <w:p w:rsidR="0026452D" w:rsidRDefault="0026452D" w:rsidP="0026452D">
      <w:pPr>
        <w:pStyle w:val="TextoNormal"/>
      </w:pPr>
      <w:r>
        <w:t xml:space="preserve">c) Teniendo presente lo anterior, y para determinar si las bases estatales se exceden de los límites constitucionalmente establecidos, será preciso analizar si los preceptos impugnados contienen o no medidas directamente conectadas con el logro efectivo de esos criterios de ordenación general del sector del vino. Dicho de otro modo, un análisis de este tipo nos permitirá determinar si “la intervención en el ámbito de las denominaciones de origen que suponen dichas normas está o no amparada por la competencia del Estado para dictar las bases de la planificación general de la economía” </w:t>
      </w:r>
      <w:r w:rsidRPr="0026452D">
        <w:rPr>
          <w:i/>
        </w:rPr>
        <w:t>ex</w:t>
      </w:r>
      <w:r>
        <w:t xml:space="preserve"> art. 149.1.13 CE (FJ 10).</w:t>
      </w:r>
    </w:p>
    <w:p w:rsidR="0026452D" w:rsidRDefault="0026452D" w:rsidP="0026452D">
      <w:pPr>
        <w:pStyle w:val="TextoNormal"/>
      </w:pPr>
    </w:p>
    <w:p w:rsidR="0026452D" w:rsidRDefault="0026452D" w:rsidP="0026452D">
      <w:pPr>
        <w:pStyle w:val="TextoNormal"/>
      </w:pPr>
      <w:r>
        <w:t>d) Aplicando tal análisis a los preceptos impugnados la respuesta no puede ser otra que la consideración de que las bases estatales que recogen tales preceptos encuentran sustento en la previsión del art. 149.1.13 CE, en la medida en que la clasificación que proponen (art. 13 de la Ley de la viña y del vino) y las medidas que prevén para proceder a la clasificación de un vino en uno u otro nivel o categoría (arts. 20 a 24 de la Ley ), sirven a los criterios generales de ordenación del sector del vino y no van más allá de lo requerido por los principios de protección de la calidad y de la competencia (por aplicación de lo dispuesto en los fundamentos jurídicos 10 a 12).</w:t>
      </w:r>
    </w:p>
    <w:p w:rsidR="0026452D" w:rsidRDefault="0026452D" w:rsidP="0026452D">
      <w:pPr>
        <w:pStyle w:val="TextoNormal"/>
      </w:pPr>
    </w:p>
    <w:p w:rsidR="0026452D" w:rsidRDefault="0026452D" w:rsidP="0026452D">
      <w:pPr>
        <w:pStyle w:val="TextoNormal"/>
      </w:pPr>
      <w:r>
        <w:t xml:space="preserve">e) Por último, y para lo que hace, en particular, a las impugnaciones relativas a los apartados del art. 25 y del art. 26 de la Ley de la viña y del vino, la STC 34/2013,  establece que, </w:t>
      </w:r>
      <w:r>
        <w:lastRenderedPageBreak/>
        <w:t>“en especial, los apartados 5, 7 y 9 del art. 25 de la Ley son constitucionales porque la remisión que hacen a la Administración competente también comprende a la de las Comunidades Autónomas y no impiden al legislador autonómico el ejercicio legítimo de su competencia en materia de denominaciones de origen, dentro de los límites establecidos en la ley estatal objeto de nuestro examen” (FJ 12), y en el mismo sentido, se entiende que la competencia autonómica no queda vacía de contenido por la regulación realizada en el art. 26.2 de la Ley de la viña y del vino, porque esta implica “una ordenación de mínimos, pudiendo el legislador autonómico ampliarla(s)”.</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También en relación con los arts. 25 (excepto los apartados 4 y 8) y 26 [excepto los párrafos b), e) y g) del apartado 2] de la Ley de la viña y del vino, se plantea que la regulación contenida en los mismos invade la competencia de autoorganización de la Comunidad Autónoma de Castilla-La Mancha. Esta cuestión también fue abordada en la STC 34/2013, concretamente en sus fundamentos jurídicos 15 a 18, llegándose a la conclusión, tras un pormenorizado análisis a cuya lectura remitimos, de que “la competencia autonómica relativa a su organización también puede encontrar un límite en el ejercicio legítimo de la competencia estatal para establecer las bases de la planificación económica general </w:t>
      </w:r>
      <w:r w:rsidRPr="0026452D">
        <w:rPr>
          <w:i/>
        </w:rPr>
        <w:t>ex</w:t>
      </w:r>
      <w:r>
        <w:t xml:space="preserve"> art. 149.1.13 CE” (FJ 16).</w:t>
      </w:r>
    </w:p>
    <w:p w:rsidR="0026452D" w:rsidRDefault="0026452D" w:rsidP="0026452D">
      <w:pPr>
        <w:pStyle w:val="TextoNormal"/>
      </w:pPr>
    </w:p>
    <w:p w:rsidR="0026452D" w:rsidRDefault="0026452D" w:rsidP="0026452D">
      <w:pPr>
        <w:pStyle w:val="TextoNormal"/>
      </w:pPr>
      <w:r>
        <w:t>En el caso que nos ocupa, se parte de que los órganos de gestión de las denominaciones de origen y de las denominaciones de origen calificadas integran una materia eminentemente autonómica, de lo que deriva que “realizan funciones públicas que tienen atribuidas las Comunidades Autónomas y éstas, de acuerdo a la doctrina constitucional citada, disponen de un amplio margen para organizar cómo ejercitar las actividades que le son propias, sin olvidar tampoco que estas actividades públicas encomendadas a los consejos reguladores, al vincular la actuación de los titulares de viñedos y bodegas de ese ámbito, tienen una mayor incidencia externa, por lo que mayor relevancia podrá tener la intervención estatal en materia de bases del régimen jurídico de las Administraciones públicas” (FJ 17).</w:t>
      </w:r>
    </w:p>
    <w:p w:rsidR="0026452D" w:rsidRDefault="0026452D" w:rsidP="0026452D">
      <w:pPr>
        <w:pStyle w:val="TextoNormal"/>
      </w:pPr>
    </w:p>
    <w:p w:rsidR="0026452D" w:rsidRDefault="0026452D" w:rsidP="0026452D">
      <w:pPr>
        <w:pStyle w:val="TextoNormal"/>
      </w:pPr>
      <w:r>
        <w:t>Ahora bien, dicho lo anterior se afirma también en la STC 34/2013, FJ 17, que “los apartados impugnados de los arts. 25 y 26 de la Ley de la viña y del vino condicionan la organización y funcionamiento de los órganos de gestión de los vinos de calidad producidos en región determinada en tres únicos sentidos: a) imponen que el órgano de gestión esté integrado por los titulares de los intereses económicos y profesionales implicados en cada vino de calidad producido en regiones determinadas; b) prevén que dicho órgano tenga personalidad jurídica propia y c) designan las funciones que como mínimo tendrán atribuidas, las cuales, como ya se apuntó en el lugar correspondiente de esta resolución, son inherentes al modelo de gestión configurado en el art. 25 de la Ley. En lo demás, en los términos ya señalados al examinar dichos preceptos en los fundamentos jurídicos 12 y 13, se deja amplio margen de actuación al legislador autonómico”. A partir de tal análisis, se infiere que “los únicos aspectos organizativos y de funcionamiento del órgano de gestión derivados de los apartados impugnados de los arts. 25 y 26 que limitan la competencia autonómica de autoorganización están estrechamente relacionados con la consecución de los fines previstos en el art. 12 que contiene las líneas directrices de la ordenación general del sector vitivinícola”, razón que lleva a concluir que “el Estado puede dictar estas normas al amparo de la competencia prevenida en el art. 149.1.13 CE, no invadiendo con ello la competencia de autoorganización que hace valer la Cámara recurrente, lo que nos conduce a desestimar también esta segunda impugnación”.</w:t>
      </w:r>
    </w:p>
    <w:p w:rsidR="0026452D" w:rsidRDefault="0026452D" w:rsidP="0026452D">
      <w:pPr>
        <w:pStyle w:val="TextoNormal"/>
      </w:pPr>
    </w:p>
    <w:p w:rsidR="0026452D" w:rsidRDefault="0026452D" w:rsidP="0026452D">
      <w:pPr>
        <w:pStyle w:val="TextoNormal"/>
      </w:pPr>
      <w:r w:rsidRPr="0026452D">
        <w:rPr>
          <w:rStyle w:val="NumeroAFNegritaCaracter"/>
        </w:rPr>
        <w:t>6</w:t>
      </w:r>
      <w:r>
        <w:t>. El último bloque de impugnaciones se dirige contra la disposición final segunda, párrafo 2, de la Ley de la viña y el vino en cuanto que declara como legislación básica determinados preceptos de carácter sancionador, particularmente los arts. 37; 38.1; 39.1 y 3; 40.1, 2 párrafos a) y b), 3 y 4; 41; 42; 44 y 45 de la Ley de la viña y del vino. A este respecto la Junta de Comunidades de Castilla-La Mancha esgrime la invasión de la competencia exclusiva de Castilla-La Mancha sobre agricultura, ganadería e industrias agroalimentarias, de acuerdo con la ordenación general de la economía (art. 31.1.6 EACM)</w:t>
      </w:r>
    </w:p>
    <w:p w:rsidR="0026452D" w:rsidRDefault="0026452D" w:rsidP="0026452D">
      <w:pPr>
        <w:pStyle w:val="TextoNormal"/>
      </w:pPr>
    </w:p>
    <w:p w:rsidR="0026452D" w:rsidRDefault="0026452D" w:rsidP="0026452D">
      <w:pPr>
        <w:pStyle w:val="TextoNormal"/>
      </w:pPr>
      <w:r>
        <w:t>También esta cuestión es resuelta en lo fundamental por la STC 34/2013, particularmente en sus FFJJ 19 a 21. Allí decíamos, reiterando jurisprudencia previa y consolidada que, como regla general, la competencia para establecer un régimen de infracciones y sanciones administrativas en una materia determinada corresponde a quien la tiene para regularla sustantivamente, de modo que, en la medida en que los fundamentos jurídicos previos hemos reconocido la capacidad del Estado para dictar normas básicas sustantivas en virtud del art. 149.1.13 CE sobre el sector vitivinícola, ello conduce a reconocer que el propio Estado pueda dictar normas básicas sancionadoras en esa materia. Así, en el terreno sancionador es posible declarar básicos preceptos que tipifiquen concretas infracciones y les asignen las correspondientes sanciones, de modo que sean directamente aplicables por el órgano al que corresponda la ejecución, como se hace en algunos de los artículos del título III de la Ley de la viña y del vino (STC 186/1988, de 17 de octubre), y, en la medida en que en el recurso que nos ocupa, el demandante, aun negando el carácter materialmente básico de la norma estatal, no aporta argumentos suficientes que sustenten su impugnación, sin los cuales no podemos ponderar y en definitiva apreciar la razón que acompaña a esa censura de una determinación legislativa dotada de la presunción de constitucionalidad, es preciso concluir con la desestimación de la impugnación realizada. Sostener, como se sostiene en la demanda, sin mayor argumentación, que el art. 149.1.13 CE no permite que el Estado establezca con carácter básico un régimen sancionador sobre la vitivinicultura no puede tener más respuesta que la reiteración de la afirmación de la legitimidad de la intervención del Estado en dicha materia en el plano sustantivo y, consiguientemente, en el sancionador, sin que del tenor de las disposiciones básicas pueda deducirse que se impide el ejercicio legítimo de la competencia autonómica invocada.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Declarar que los apartados 5, 7 y 9 del artículo 25 de la Ley, a los que la disposición final segunda, apartado 2 de la Ley 24/2003 declara básicos, no son inconstitucionales siempre que se interpreten en los términos fijados en el fundamento jurídico 4 e).</w:t>
      </w:r>
    </w:p>
    <w:p w:rsidR="0026452D" w:rsidRDefault="0026452D" w:rsidP="0026452D">
      <w:pPr>
        <w:pStyle w:val="TextoNormal"/>
      </w:pPr>
    </w:p>
    <w:p w:rsidR="0026452D" w:rsidRDefault="0026452D" w:rsidP="0026452D">
      <w:pPr>
        <w:pStyle w:val="TextoNormal"/>
      </w:pPr>
      <w:r>
        <w:t>2º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lastRenderedPageBreak/>
        <w:t>Dada en Madrid, a once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86" w:name="SENTENCIA_2013_83"/>
      <w:r>
        <w:lastRenderedPageBreak/>
        <w:t>SENTENCIA 83/2013, de 11 de abril de 2013</w:t>
      </w:r>
    </w:p>
    <w:bookmarkEnd w:id="86"/>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ECLI:ES:TC:2013:83</w:t>
      </w:r>
    </w:p>
    <w:p w:rsidR="0026452D" w:rsidRDefault="0026452D" w:rsidP="0026452D">
      <w:pPr>
        <w:pStyle w:val="SntesisDescriptiva"/>
      </w:pPr>
    </w:p>
    <w:p w:rsidR="0026452D" w:rsidRDefault="0026452D" w:rsidP="0026452D">
      <w:pPr>
        <w:pStyle w:val="SntesisDescriptiva"/>
      </w:pPr>
      <w:r>
        <w:t>Conflicto positivo de competencia 3157-2005. Planteado por la Junta de Andalucía en relación con diversos preceptos de los Reales Decretos 2387/2004, de 30 de diciembre, que aprueba el Reglamento ferroviario; 2395/2004, de 30 de diciembre, que aprueba el estatuto de la entidad pública empresarial Administrador de Infraestructuras Ferroviarias y 2396/2004, de 30 de diciembre, por el que se aprueba el estatuto de la entidad pública empresarial Renfe-Operadora.</w:t>
      </w:r>
    </w:p>
    <w:p w:rsidR="0026452D" w:rsidRDefault="0026452D" w:rsidP="0026452D">
      <w:pPr>
        <w:pStyle w:val="SntesisDescriptiva"/>
      </w:pPr>
    </w:p>
    <w:p w:rsidR="0026452D" w:rsidRDefault="0026452D" w:rsidP="0026452D">
      <w:pPr>
        <w:pStyle w:val="SntesisAnaltica"/>
      </w:pPr>
      <w:r>
        <w:t>Competencias sobre ferrocarriles: interpretación conforme de diversos preceptos reglamentarios (STC 245/2012).</w:t>
      </w:r>
    </w:p>
    <w:p w:rsidR="0026452D" w:rsidRDefault="0026452D" w:rsidP="0026452D">
      <w:pPr>
        <w:pStyle w:val="SntesisAnaltica"/>
      </w:pPr>
    </w:p>
    <w:p w:rsidR="0026452D" w:rsidRDefault="0026452D" w:rsidP="0026452D">
      <w:pPr>
        <w:pStyle w:val="Extracto"/>
      </w:pPr>
      <w:r>
        <w:t>1.</w:t>
      </w:r>
      <w:r>
        <w:tab/>
        <w:t>Aplica la doctrina sobre distribución de competencias en materia de transportes e infraestructuras en el sector ferroviario de la STC 245/2012  [FJ 3].</w:t>
      </w:r>
    </w:p>
    <w:p w:rsidR="0026452D" w:rsidRDefault="0026452D" w:rsidP="0026452D">
      <w:pPr>
        <w:pStyle w:val="Extracto"/>
      </w:pPr>
    </w:p>
    <w:p w:rsidR="0026452D" w:rsidRDefault="0026452D" w:rsidP="0026452D">
      <w:pPr>
        <w:pStyle w:val="Extracto"/>
      </w:pPr>
      <w:r>
        <w:t>2.</w:t>
      </w:r>
      <w:r>
        <w:tab/>
        <w:t>Es constitucional el precepto que encomienda a un órgano estatal la inclusión en la Red Ferroviaria de Interés General de nuevas infraestructuras ferroviarias cuando razones de interés general así lo justifiquen, siempre que se interprete que para la incorporación –a dicha red– de infraestructuras que discurran íntegramente por una Comunidad Autónoma será necesario el consentimiento de ésta cuando no estén conectadas físicamente a la citada red aunque tengan con ella una conexión funcional (STC 245/2012) [FJ 4].</w:t>
      </w:r>
    </w:p>
    <w:p w:rsidR="0026452D" w:rsidRDefault="0026452D" w:rsidP="0026452D">
      <w:pPr>
        <w:pStyle w:val="Extracto"/>
      </w:pPr>
    </w:p>
    <w:p w:rsidR="0026452D" w:rsidRDefault="0026452D" w:rsidP="0026452D">
      <w:pPr>
        <w:pStyle w:val="Extracto"/>
      </w:pPr>
      <w:r>
        <w:t>3.</w:t>
      </w:r>
      <w:r>
        <w:tab/>
        <w:t>El precepto que contempla que, previo el preceptivo ofrecimiento, podrá acordarse el traspaso a las Comunidades Autónomas de las líneas incluidas en la Red Ferroviaria de Interés General que se pretendan clausurar cuando el resultado económico de su explotación sea altamente deficitario, no vulnera las competencias autonómicas siempre que se interprete que la financiación y el mantenimiento del servicio traspasado no permite mantener su gestión estatal y que solo en el caso de que las Comunidades no acepten el traspaso se podrá acordar su clausura (STC 245/2012) [FJ 4].</w:t>
      </w:r>
    </w:p>
    <w:p w:rsidR="0026452D" w:rsidRDefault="0026452D" w:rsidP="0026452D">
      <w:pPr>
        <w:pStyle w:val="Extracto"/>
      </w:pPr>
    </w:p>
    <w:p w:rsidR="0026452D" w:rsidRDefault="0026452D" w:rsidP="0026452D">
      <w:pPr>
        <w:pStyle w:val="Extracto"/>
      </w:pPr>
      <w:r>
        <w:t>4.</w:t>
      </w:r>
      <w:r>
        <w:tab/>
        <w:t>La asignación de capacidad, como facultad propia del administrador de la infraestructura que permite distribuir el tráfico de vehículos sobre la misma, corresponde al Estado en lo que afecta a la red ferroviaria de interés general, sin perjuicio de que las Comunidades Autónomas puedan a su vez adjudicarla a empresas ferroviarias cuando se trate de servicios de transporte intracomunitarios que se sirven –como soporte– de la red ferroviaria de interés general o cuando se trate de infraestructuras ferroviarias de titularidad autonómica no incluidas en la red ferroviaria de interés general [FJ 5].</w:t>
      </w:r>
    </w:p>
    <w:p w:rsidR="0026452D" w:rsidRDefault="0026452D" w:rsidP="0026452D">
      <w:pPr>
        <w:pStyle w:val="Extracto"/>
      </w:pPr>
    </w:p>
    <w:p w:rsidR="0026452D" w:rsidRDefault="0026452D" w:rsidP="0026452D">
      <w:pPr>
        <w:pStyle w:val="Extracto"/>
      </w:pPr>
      <w:r>
        <w:lastRenderedPageBreak/>
        <w:t>5.</w:t>
      </w:r>
      <w:r>
        <w:tab/>
        <w:t>La atribución al Estado de la facultad de declarar de interés público la prestación de determinados servicios de interés ferroviario, su adjudicación a una determinada empresa ferroviaria o la imposición a una determinada empresa de prestar el servicio público de transporte ferroviario, son constitucionales si se circunscriben a servicios que discurran por más de una Comunidad Autónoma y, por el contrario, si discurren íntegramente por una Comunidad Autónoma, la entera ordenación de los transportes ferroviarios corresponderá a ésta (STC 245/2012) [FJ 5].</w:t>
      </w:r>
    </w:p>
    <w:p w:rsidR="0026452D" w:rsidRDefault="0026452D" w:rsidP="0026452D">
      <w:pPr>
        <w:pStyle w:val="Extracto"/>
      </w:pPr>
    </w:p>
    <w:p w:rsidR="0026452D" w:rsidRDefault="0026452D" w:rsidP="0026452D">
      <w:pPr>
        <w:pStyle w:val="Extracto"/>
      </w:pPr>
      <w:r>
        <w:t>6.</w:t>
      </w:r>
      <w:r>
        <w:tab/>
        <w:t>No vulnera las competencias de la Comunidad Autónoma, la atribución al Estado de la competencia para otorgar la licencia única de empresa ferroviaria, que se exige con carácter único para la red ferroviaria de interés general, siempre que se interprete que solo se refiere a los transportes ferroviarios que sean competencia del Estado (STC 245/2012) [FJ 5].</w:t>
      </w:r>
    </w:p>
    <w:p w:rsidR="0026452D" w:rsidRDefault="0026452D" w:rsidP="0026452D">
      <w:pPr>
        <w:pStyle w:val="Extracto"/>
      </w:pPr>
    </w:p>
    <w:p w:rsidR="0026452D" w:rsidRDefault="0026452D" w:rsidP="0026452D">
      <w:pPr>
        <w:pStyle w:val="Extracto"/>
      </w:pPr>
      <w:r>
        <w:t>7.</w:t>
      </w:r>
      <w:r>
        <w:tab/>
        <w:t>Nada hay en los preceptos impugnados que permita concluir que las funciones del Comité de Regulación Ferroviaria se extiendan a los servicios de transportes ferroviarios de titularidad autonómica por lo que, en la medida en que las competencias de dicho órgano colegiado aparecen limitadas a transportes ferroviarios de competencia del Estado, no cabe apreciar vulneración de competencias autonómicas (STC 245/2012) [FJ 5].</w:t>
      </w:r>
    </w:p>
    <w:p w:rsidR="0026452D" w:rsidRDefault="0026452D" w:rsidP="0026452D">
      <w:pPr>
        <w:pStyle w:val="Extracto"/>
      </w:pPr>
    </w:p>
    <w:p w:rsidR="0026452D" w:rsidRDefault="0026452D" w:rsidP="0026452D">
      <w:pPr>
        <w:pStyle w:val="Extracto"/>
      </w:pPr>
      <w:r>
        <w:t>8.</w:t>
      </w:r>
      <w:r>
        <w:tab/>
        <w:t>La regulación del régimen provisional aplicable a la reserva a RENFE Operadora de los servicios de transporte de viajeros que se presten sobre la red ferroviaria de interés general, en cuanto no se oponga a lo establecido en la Ley del sector ferroviario, no vulnera las competencias de la Comunidad Autónoma siempre que se interprete que dicha reserva de la explotación de los servicios de transporte de viajeros solo afecta a los que son de competencia del Estado (STC 245/2012) [FJ 6].</w:t>
      </w:r>
    </w:p>
    <w:p w:rsidR="0026452D" w:rsidRDefault="0026452D" w:rsidP="0026452D">
      <w:pPr>
        <w:pStyle w:val="Extracto"/>
      </w:pPr>
    </w:p>
    <w:p w:rsidR="0026452D" w:rsidRDefault="0026452D" w:rsidP="0026452D">
      <w:pPr>
        <w:pStyle w:val="Extracto"/>
      </w:pPr>
      <w:r>
        <w:t>9.</w:t>
      </w:r>
      <w:r>
        <w:tab/>
        <w:t>La disposición que establece que toda la red que, con arreglo a la Ley del Sector Ferroviario, sea de titularidad del Estado y que en el momento de su entrada en vigor esté siendo administrada por Red Nacional de los Ferrocarriles Españoles, queda encomendada, para su administración, a la entidad pública empresarial ADIF, no vulnera las competencias autonómicas en tanto en cuanto se interprete que se trata de una situación transitoria hasta que se proceda a determinar las infraestructuras que, por su interés general, deben incorporarse a la red ferroviaria de interés general [FJ 7].</w:t>
      </w:r>
    </w:p>
    <w:p w:rsidR="0026452D" w:rsidRDefault="0026452D" w:rsidP="0026452D">
      <w:pPr>
        <w:pStyle w:val="Extracto"/>
      </w:pPr>
    </w:p>
    <w:p w:rsidR="0026452D" w:rsidRDefault="0026452D" w:rsidP="0026452D">
      <w:pPr>
        <w:pStyle w:val="Extracto"/>
      </w:pPr>
      <w:r>
        <w:t>10.</w:t>
      </w:r>
      <w:r>
        <w:tab/>
        <w:t xml:space="preserve">La atribución de competencias autonómicas exclusivas, no impide el ejercicio de las exclusivas del Estado </w:t>
      </w:r>
      <w:r w:rsidRPr="0026452D">
        <w:rPr>
          <w:i/>
        </w:rPr>
        <w:t>ex</w:t>
      </w:r>
      <w:r>
        <w:t xml:space="preserve"> art. 149.1 CE, sea cuando éstas concurren con las autonómicas sobre el mismo espacio físico u objeto jurídico, sea cuando se trate de materias de competencia compartida (STC 31/2010)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 xml:space="preserve">El Pleno del Tribunal Constitucional, compuesto por don Pascual Sala Sánchez, Presidente, don Ramón Rodríguez Arribas, don Pablo Pérez Tremps, doña Adela Asua Batarrita, </w:t>
      </w:r>
      <w:r>
        <w:lastRenderedPageBreak/>
        <w:t>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3157-2005, interpuesto por la Junta de Andalucía contra los arts. 4.2, 5.1, 6, 47.4, 48, 57, 71 a 77, 95, 147, 148, 152, 153, 154, 157, 160 y disposición transitoria cuarta del Real Decreto 2387/2004, de 30 de diciembre, que aprueba el Reglamento ferroviario; contra la disposición adicional cuarta del Real Decreto 2395/2004, de 30 de diciembre, que aprueba el estatuto de la entidad pública empresarial Administrador de Infraestructuras Ferroviarias y el art. 3 g) de los estatutos que éste aprueba; y la disposición transitoria segunda del Real Decreto 2396/2004, de 30 de diciembre, por el que se aprueba el estatuto de la entidad pública empresarial Red Nacional de los Ferrocarriles Españoles-Operadora. Ha formulado alegaciones el Abogado del Estado. Ha sido Ponente la Magistrada doña Encarnación Roca Trías,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Con fecha 3 de mayo de 2005, tuvo entrada en el Registro del Tribunal Constitucional escrito de la Letrada de la Junta de Andalucía, actuando en representación de esta última, promoviendo conflicto positivo de competencia contra los preceptos citados en el encabezamiento del Real Decreto 2387/2004, de 30 de diciembre, que aprueba el Reglamento ferroviario; del Real Decreto 2395/2004, de 30 de diciembre, que aprueba el estatuto de la entidad pública empresarial Administrador de Infraestructuras Ferroviarias, y del Real Decreto 2396/2004, de 30 de diciembre, que aprueba el estatuto de la entidad pública empresarial Red Nacional de los Ferrocarriles Españoles-Operadora (RENFE Operadora).</w:t>
      </w:r>
    </w:p>
    <w:p w:rsidR="0026452D" w:rsidRDefault="0026452D" w:rsidP="0026452D">
      <w:pPr>
        <w:pStyle w:val="TextoNormal"/>
      </w:pPr>
    </w:p>
    <w:p w:rsidR="0026452D" w:rsidRDefault="0026452D" w:rsidP="0026452D">
      <w:pPr>
        <w:pStyle w:val="TextoNormal"/>
      </w:pPr>
      <w:r>
        <w:t xml:space="preserve">Comienza la demanda recordando que el Estado reconoció, en el acuerdo de la Comisión Bilateral de Cooperación Administración General del Estado-Comunidad Autónoma de Andalucía, de 29 de julio de 2004, que la Ley 39/2003, de 17 de noviembre, del sector ferroviario, había vulnerado las competencias de la Junta de Andalucía, y se comprometió a adoptar las normas necesarias para permitir a la Comunidad Autónoma el ejercicio de sus competencias en la materia, razón por la cual la Junta de Andalucía no interpuso entonces recurso de inconstitucionalidad contra la Ley. Sin embargo, con la aprobación posterior de los tres reglamentos impugnados, se han reiterado las vulneraciones competenciales que el Estado reconoció se habían producido, lo que explica la interposición del presente conflicto positivo de competencia. En los Antecedentes, la demanda se refiere al acuerdo del Consejo de Gobierno de 22 de febrero de 2005, por el que se requiere de incompetencia al Gobierno del Estado, al acuerdo de 11 de abril de 2005, del Consejo de Ministros por el que se da </w:t>
      </w:r>
      <w:r>
        <w:lastRenderedPageBreak/>
        <w:t>contestación al requerimiento previamente efectuado, y a los acuerdos del Consejo de Gobierno de la Junta de Andalucía de 22 de febrero y 3 de mayo de 2005, autorizando el planteamiento del conflicto.</w:t>
      </w:r>
    </w:p>
    <w:p w:rsidR="0026452D" w:rsidRDefault="0026452D" w:rsidP="0026452D">
      <w:pPr>
        <w:pStyle w:val="TextoNormal"/>
      </w:pPr>
    </w:p>
    <w:p w:rsidR="0026452D" w:rsidRDefault="0026452D" w:rsidP="0026452D">
      <w:pPr>
        <w:pStyle w:val="TextoNormal"/>
      </w:pPr>
      <w:r>
        <w:t>En cuanto a los argumentos en los que basa el conflicto, la demanda explica el nuevo eje vertebrador de la ordenación del sistema ferroviario, condicionado por el derecho europeo, consistente en la separación de las actividades de administración de la infraestructura, que se encomienda a la entidad pública empresarial Administrador de Infraestructuras ferroviarias (en adelante ADIF) y la explotación de los servicios que se encomienda a otra entidad pública empresarial, RENFE Operadora.</w:t>
      </w:r>
    </w:p>
    <w:p w:rsidR="0026452D" w:rsidRDefault="0026452D" w:rsidP="0026452D">
      <w:pPr>
        <w:pStyle w:val="TextoNormal"/>
      </w:pPr>
    </w:p>
    <w:p w:rsidR="0026452D" w:rsidRDefault="0026452D" w:rsidP="0026452D">
      <w:pPr>
        <w:pStyle w:val="TextoNormal"/>
      </w:pPr>
      <w:r>
        <w:t xml:space="preserve">Tras rechazar que el derecho europeo sea un título atributivo de competencias al Estado (STC 141/1993, de 22 de abril), expone la representación de la Junta que, a pesar de que el art. 149.1.21 CE no diferencia entre infraestructuras y ordenación del transporte, ambas funciones deben analizarse separadamente (STC 65/1998, de 16 de marzo, FJ 7). Corresponde al Estado, </w:t>
      </w:r>
      <w:r w:rsidRPr="0026452D">
        <w:rPr>
          <w:i/>
        </w:rPr>
        <w:t>ex</w:t>
      </w:r>
      <w:r>
        <w:t xml:space="preserve"> art. 149.1.21 CE, cuando se trata de infraestructuras, la competencia legislativa y ejecutiva para administrar vías ferroviarias que transcurran por el territorio de más de una Comunidad Autónoma. Y respecto a los transportes, el Estado tiene competencia legislativa sobre los servicios de transporte por ferrocarril, cuando el itinerario no se desarrolle íntegramente por el territorio de una Comunidad Autónoma. Corresponde a la Comunidad Autónoma de Andalucía, en materia de infraestructuras ferroviarias, la competencia exclusiva sobre las que transcurren íntegramente por su territorio. Cuando se trata de transporte, le corresponde además la competencia exclusiva sobre los servicios de transporte cuyo itinerario se desarrolla íntegramente por su territorio, y las competencias ejecutivas sobre los transportes ferroviarios que tienen inicio y destino en la Comunidad Autónoma, aun cuando se lleven a cabo sobre la infraestructura estatal (arts. 13.10 y 17.8 de su Estatuto de Autonomía, en adelante EAAnd).</w:t>
      </w:r>
    </w:p>
    <w:p w:rsidR="0026452D" w:rsidRDefault="0026452D" w:rsidP="0026452D">
      <w:pPr>
        <w:pStyle w:val="TextoNormal"/>
      </w:pPr>
    </w:p>
    <w:p w:rsidR="0026452D" w:rsidRDefault="0026452D" w:rsidP="0026452D">
      <w:pPr>
        <w:pStyle w:val="TextoNormal"/>
      </w:pPr>
      <w:r>
        <w:t>Continúa la demanda afirmando que se han obviado los principios de territorialidad y de exclusividad que presiden el reparto competencial, pues aparecen sustituidos por el principio de titularidad de la estructura e interés general. Descarta la Letrada de la Junta la aplicación del título competencial del art. 149.1.1 CE, —pues las condiciones básicas se predican únicamente de los derechos y deberes constitucionales pero no de los sectores materiales en los que estos se insertan— y recuerda la limitación del título contemplado en el art.149.1.13 CE, que no permite eliminar las competencias autonómicas. Por último, en relación con la competencia del Estado sobre obras públicas de interés general (art. 149.1.24 CE), considera que no puede operar como un título trasversal que anule el exclusivo de la Comunidad Autónoma sobre transportes.</w:t>
      </w:r>
    </w:p>
    <w:p w:rsidR="0026452D" w:rsidRDefault="0026452D" w:rsidP="0026452D">
      <w:pPr>
        <w:pStyle w:val="TextoNormal"/>
      </w:pPr>
    </w:p>
    <w:p w:rsidR="0026452D" w:rsidRDefault="0026452D" w:rsidP="0026452D">
      <w:pPr>
        <w:pStyle w:val="TextoNormal"/>
      </w:pPr>
      <w:r>
        <w:t xml:space="preserve">Entra a continuación en el análisis de los concretos preceptos impugnados. En cuanto a los arts. 4.2, 5.1 y 6 del Reglamento ferroviario, entiende que la inconstitucionalidad se produce por invasión de las competencias en materia de ferrocarriles intracomunitarios y obras públicas de interés autonómico. El art. 4, después de definir en su primer apartado la red ferroviaria de interés general, refiere en su apartado segundo la integración de las infraestructuras existentes en dicha red con base en un criterio circunstancial y con desconocimiento de la justificación material recogida en el primer apartado. La misma norma contiene dos criterios, uno para el futuro y otro para el presente, cuando resulta claro que, si el interés general se justifica por los condicionantes establecidos en el apartado primero, los supuestos </w:t>
      </w:r>
      <w:r>
        <w:lastRenderedPageBreak/>
        <w:t>del apartado segundo no integran el interés general así definido. No cabe a la vez una cosa y su contraria. Pero, además, ello resulta contradictorio con la circunstancia de que existen líneas en Andalucía que no han sido cerradas al tráfico —que se integrarían en la red ferroviaria de interés general— que se han sostenido y conservado por la Comunidad Autónoma, en ejecución de convenios firmados con RENFE, porque se trataba de líneas intracomunitarias que han permanecido abiertas por y para el ejercicio de competencias autonómicas.</w:t>
      </w:r>
    </w:p>
    <w:p w:rsidR="0026452D" w:rsidRDefault="0026452D" w:rsidP="0026452D">
      <w:pPr>
        <w:pStyle w:val="TextoNormal"/>
      </w:pPr>
    </w:p>
    <w:p w:rsidR="0026452D" w:rsidRDefault="0026452D" w:rsidP="0026452D">
      <w:pPr>
        <w:pStyle w:val="TextoNormal"/>
      </w:pPr>
      <w:r>
        <w:t>En cuanto al art. 5.1, que regula la inclusión en la red ferroviaria de interés general de nuevas infraestructuras ferroviarias, considera que se introduce una justificación de interés general de alcance indeterminado que contradice el antes mencionado art. 4.1, sin distinguir tampoco entre el carácter intra o extracomunitario de la línea ni exigir, en todo caso, el consentimiento de la Comunidad Autónoma cuando la infraestructura discurre íntegramente por su territorio, pues ello solo está previsto para el supuesto en que la infraestructura no tenga conexión con la red, lo que contradice los preceptos constitucionales atributivos de competencias y lo establecido en el Estatuto de Autonomía de Andalucía (STC 118/1996, de 27 de junio, FJ 44) .</w:t>
      </w:r>
    </w:p>
    <w:p w:rsidR="0026452D" w:rsidRDefault="0026452D" w:rsidP="0026452D">
      <w:pPr>
        <w:pStyle w:val="TextoNormal"/>
      </w:pPr>
    </w:p>
    <w:p w:rsidR="0026452D" w:rsidRDefault="0026452D" w:rsidP="0026452D">
      <w:pPr>
        <w:pStyle w:val="TextoNormal"/>
      </w:pPr>
      <w:r>
        <w:t>En lo relativo al art. 6, considera la demanda que la integración o permanencia de una infraestructura ferroviaria en la red de interés general se asienta en criterios de pura rentabilidad económica y no en atención a la funcionalidad para la propia red, esto es, la garantía de un sistema común de transporte en todo el territorio del Estado. Si las infraestructuras no cumplen los requisitos del art. 4.1 no serán de interés general y se excluirán de la red ferroviaria de interés general pero nada tiene que ver el interés general con criterios de mera rentabilidad.</w:t>
      </w:r>
    </w:p>
    <w:p w:rsidR="0026452D" w:rsidRDefault="0026452D" w:rsidP="0026452D">
      <w:pPr>
        <w:pStyle w:val="TextoNormal"/>
      </w:pPr>
    </w:p>
    <w:p w:rsidR="0026452D" w:rsidRDefault="0026452D" w:rsidP="0026452D">
      <w:pPr>
        <w:pStyle w:val="TextoNormal"/>
      </w:pPr>
      <w:r>
        <w:t>En un segundo bloque, se impugnan los arts. 47.4, 48, 57, 71 a 77, 95, 147, 148, 152, 153, 154, 157 y 160 del Reglamento ferroviario.</w:t>
      </w:r>
    </w:p>
    <w:p w:rsidR="0026452D" w:rsidRDefault="0026452D" w:rsidP="0026452D">
      <w:pPr>
        <w:pStyle w:val="TextoNormal"/>
      </w:pPr>
    </w:p>
    <w:p w:rsidR="0026452D" w:rsidRDefault="0026452D" w:rsidP="0026452D">
      <w:pPr>
        <w:pStyle w:val="TextoNormal"/>
      </w:pPr>
      <w:r>
        <w:t>El art. 47.4 se limita a reconocer a las Comunidades Autónomas, equiparándolas con cualquier operador de transporte, la posibilidad de ser adjudicatarias de capacidad de infraestructura, pero no así de conceder capacidad de infraestructura. Con ello se les impide la ordenación del servicio de transporte que discurre sobre su territorio para lo que tiene competencia exclusiva sea estatal o autonómica la infraestructura por la que discurre.</w:t>
      </w:r>
    </w:p>
    <w:p w:rsidR="0026452D" w:rsidRDefault="0026452D" w:rsidP="0026452D">
      <w:pPr>
        <w:pStyle w:val="TextoNormal"/>
      </w:pPr>
    </w:p>
    <w:p w:rsidR="0026452D" w:rsidRDefault="0026452D" w:rsidP="0026452D">
      <w:pPr>
        <w:pStyle w:val="TextoNormal"/>
      </w:pPr>
      <w:r>
        <w:t xml:space="preserve">El art. 95 regula la declaración de servicios de transporte ferroviario de interés público sobre las líneas o tramos que integran la red ferroviaria de interés general, permitiendo que servicios de transporte ferroviario que transcurran íntegramente por Andalucía sean declarados de interés público por el Consejo de Ministros, incluso en supuestos en que la declaración lo es a instancias de la Comunidad Autónoma. En estos casos, la Comunidad Autónoma quedaría desposeída de las facultades naturales de ordenación del transporte que le corresponde por razón del territorio en el que se desarrollan y el interés autonómico que le lleva a solicitar dicha declaración, impidiéndosele la concesión de la autorización y las restantes potestades de ordenación del transporte que garanticen la suficiencia, continuidad, regularidad del servicio que se pretende conseguir y el régimen que lleva aparejado. Con ello se incumple el Reglamento CEE 1893/91, en lo relativo a las garantías de prestación de servicios públicos, mediante la celebración de contratos de servicios públicos con empresas de transportes por las autoridades públicas competentes dada la conexión que guarda con este precepto, se impugna también, el art. 48 que contempla la posibilidad de establecer </w:t>
      </w:r>
      <w:r>
        <w:lastRenderedPageBreak/>
        <w:t>reservas de capacidad de infraestructura sobre dicha red para la prestación de servicios ferroviarios de interés público, con exclusión de la competencia autonómica.</w:t>
      </w:r>
    </w:p>
    <w:p w:rsidR="0026452D" w:rsidRDefault="0026452D" w:rsidP="0026452D">
      <w:pPr>
        <w:pStyle w:val="TextoNormal"/>
      </w:pPr>
    </w:p>
    <w:p w:rsidR="0026452D" w:rsidRDefault="0026452D" w:rsidP="0026452D">
      <w:pPr>
        <w:pStyle w:val="TextoNormal"/>
      </w:pPr>
      <w:r>
        <w:t>Los arts. 57.4, 59 y 71 a 77 del Reglamento ferroviario limitan la prestación de servicios ferroviarios a las entidades empresariales que cuenten con una licencia, atribuyen al Estado el otorgamiento de la licencia de empresa ferroviaria que será única para toda la red ferroviaria de interés general y regulan las incidencias relativas al régimen de licencias. La atribución de esta competencia ejecutiva al Estado imposibilita la existencia de licencias autonómicas, por lo que elimina la competencia autonómica para la ordenación del transporte que transcurra íntegramente por su territorio, o aquel que tiene sus puntos de origen y destino en la propia Comunidad. No justifica esta competencia estatal que el art. 17.8 EAAnd permita al Estado reservarse la competencia ejecutiva, pues ésta debe ser concreta, expresa y motivada, especificando los trayectos a los que afecta, lo que no ocurre en este caso. Tampoco el derecho europeo puede en este caso actuar como título atributivo de competencias, pues la validez de las licencias a que se refiere el derecho europeo no contradice la existencia de títulos autonómicos referidos a servicios de transporte regionales sobre la red ferroviaria de interés general, ni justifica la reserva al Estado de esta competencia.</w:t>
      </w:r>
    </w:p>
    <w:p w:rsidR="0026452D" w:rsidRDefault="0026452D" w:rsidP="0026452D">
      <w:pPr>
        <w:pStyle w:val="TextoNormal"/>
      </w:pPr>
    </w:p>
    <w:p w:rsidR="0026452D" w:rsidRDefault="0026452D" w:rsidP="0026452D">
      <w:pPr>
        <w:pStyle w:val="TextoNormal"/>
      </w:pPr>
      <w:r>
        <w:t>Los arts. 147, 148, 152, 153, 154, 157 y 160 del Reglamento ferroviario regulan el comité de regulación ferroviaria, órgano colegiado integrado en la Secretaría de Estado de Infraestructuras y Planificación del Ministerio de Fomento, sus fines, delimitación de sus funciones, competencia para resolver las reclamaciones de las empresas ferroviarias respecto a cualquier queja de trato discriminatorio en el acceso al mercado de los servicios del transporte, la resolución de conflictos entre el administrador de infraestructuras y las empresas ferroviarias, sus funciones en relación con los títulos habilitantes para la prestación de los servicios y en relación con los órganos de defensa de la competencia y, por último, la posible adopción de medidas cautelares en el seno del procedimiento. La vulneración invocada se produce porque sus funciones se extienden también a los servicios de transporte ferroviario competencia de las Comunidades Autónomas.</w:t>
      </w:r>
    </w:p>
    <w:p w:rsidR="0026452D" w:rsidRDefault="0026452D" w:rsidP="0026452D">
      <w:pPr>
        <w:pStyle w:val="TextoNormal"/>
      </w:pPr>
    </w:p>
    <w:p w:rsidR="0026452D" w:rsidRDefault="0026452D" w:rsidP="0026452D">
      <w:pPr>
        <w:pStyle w:val="TextoNormal"/>
      </w:pPr>
      <w:r>
        <w:t>Se impugna, en tercer lugar, la disposición transitoria cuarta del Reglamento ferroviario en cuanto que insiste en la exclusividad de RENFE para la prestación del transporte sobre la red ferroviaria de interés general. En concreto, se señala que los capítulos II y III del título IV de la Ley del sector ferroviario (LSF), no serán de aplicación al transporte de viajeros, en tanto la Unión Europea no establezca el régimen de apertura al mercado. Hasta entonces RENFE Operadora tendrá derecho a explotar los servicios de transporte de viajeros sobre la red ferroviaria de interés general, lo que impide el ejercicio de las competencias autonómicas sobre transportes intracomunitarios aunque se desarrollen sobre la infraestructura estatal.</w:t>
      </w:r>
    </w:p>
    <w:p w:rsidR="0026452D" w:rsidRDefault="0026452D" w:rsidP="0026452D">
      <w:pPr>
        <w:pStyle w:val="TextoNormal"/>
      </w:pPr>
    </w:p>
    <w:p w:rsidR="0026452D" w:rsidRDefault="0026452D" w:rsidP="0026452D">
      <w:pPr>
        <w:pStyle w:val="TextoNormal"/>
      </w:pPr>
      <w:r>
        <w:t>En cuarto lugar se impugna la disposición adicional cuarta del estatuto de la entidad pública empresarial Administrador de Infraestructuras Ferroviarias, y el apartado g) del art. 3 de los estatutos contenidos en este Reglamento, pues vulneran las competencias autonómicas en materia de ferrocarriles intracomunitarios, tanto desde el punto de vista de la infraestructura como del servicio, y en materia de obras públicas de interés autonómico. La atribución al Administrador de Infraestructuras ferroviarias de la administración de toda la red que, con arreglo a la Ley del sector ferroviario, sea de titularidad estatal y que, en el mo</w:t>
      </w:r>
      <w:r>
        <w:lastRenderedPageBreak/>
        <w:t>mento de su entrada en vigor, esté siendo administrada por RENFE, supone atribuir al Estado una competencia por meros criterios circunstanciales, careciendo de virtualidad la referencia que se hace a esta Ley a los efectos de exonerar al Estado del cumplimiento de las normas de reparto competencial, habida cuenta de su imprecisión, pues la referencia lo puede ser tanto al párrafo 1 del art. 4, como al párrafo 2 del mismo artículo. Si es esta última la opción elegida, es evidente la inconstitucionalidad, pues también contiene criterios puramente circunstanciales. El apartado 3 g) impide cualquier disposición de la capacidad de infraestructura para la prestación de los servicios por la Comunidad Autónoma, lo que vulnera la competencia autonómica en materia de servicios de transporte.</w:t>
      </w:r>
    </w:p>
    <w:p w:rsidR="0026452D" w:rsidRDefault="0026452D" w:rsidP="0026452D">
      <w:pPr>
        <w:pStyle w:val="TextoNormal"/>
      </w:pPr>
    </w:p>
    <w:p w:rsidR="0026452D" w:rsidRDefault="0026452D" w:rsidP="0026452D">
      <w:pPr>
        <w:pStyle w:val="TextoNormal"/>
      </w:pPr>
      <w:r>
        <w:t>Se impugna, finalmente, la disposición transitoria segunda del RENFE Operadora. Esta disposición contempla que RENFE Operadora, hasta que finalice la transitoriedad prevista en la Ley, tendrá derecho a explotar los servicios de transporte de viajeros que se presten en el momento de entrada en vigor de la Ley. Nuevamente se recurre a un criterio puramente circunstancial como título atributivo de competencias al Estado, con abandono de los criterios de distribución competencial.</w:t>
      </w:r>
    </w:p>
    <w:p w:rsidR="0026452D" w:rsidRDefault="0026452D" w:rsidP="0026452D">
      <w:pPr>
        <w:pStyle w:val="TextoNormal"/>
      </w:pPr>
    </w:p>
    <w:p w:rsidR="0026452D" w:rsidRDefault="0026452D" w:rsidP="0026452D">
      <w:pPr>
        <w:pStyle w:val="TextoNormal"/>
      </w:pPr>
      <w:r>
        <w:t>En consecuencia, solicita la Letrada de la Junta que se declare que las competencias controvertidas corresponden a la Comunidad Autónoma de Andalucía y se anulen los preceptos impugnados.</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la Sección Primera, de 24 de mayo de 2005, se acordó admitir a trámite el conflicto positivo de competencia promovido por la Junta de Andalucía contra los preceptos mencionados en el encabezamiento; dar traslado de la demanda y documentos presentados al Gobierno de la Nación para la realización de alegaciones; comunicar la incoación del conflicto a la Sala de lo Contencioso-Administrativo del Tribunal Supremo, y, finalmente, publicar el conflicto en el “Boletín Oficial del Estado” y en el “Boletín Oficial de la Junta de Andalucía”.</w:t>
      </w:r>
    </w:p>
    <w:p w:rsidR="0026452D" w:rsidRDefault="0026452D" w:rsidP="0026452D">
      <w:pPr>
        <w:pStyle w:val="TextoNormal"/>
      </w:pPr>
    </w:p>
    <w:p w:rsidR="0026452D" w:rsidRDefault="0026452D" w:rsidP="0026452D">
      <w:pPr>
        <w:pStyle w:val="TextoNormal"/>
      </w:pPr>
      <w:r w:rsidRPr="0026452D">
        <w:rPr>
          <w:rStyle w:val="NumeroAFNegritaCaracter"/>
        </w:rPr>
        <w:t>3</w:t>
      </w:r>
      <w:r>
        <w:t>. Por escrito que tuvo entrada en el Tribunal Constitucional el 27 de junio de 2005, el Abogado en la representación que ostenta, presentó alegaciones con el siguiente contenido.</w:t>
      </w:r>
    </w:p>
    <w:p w:rsidR="0026452D" w:rsidRDefault="0026452D" w:rsidP="0026452D">
      <w:pPr>
        <w:pStyle w:val="TextoNormal"/>
      </w:pPr>
    </w:p>
    <w:p w:rsidR="0026452D" w:rsidRDefault="0026452D" w:rsidP="0026452D">
      <w:pPr>
        <w:pStyle w:val="TextoNormal"/>
      </w:pPr>
      <w:r>
        <w:t>Tras rechazar que en el acuerdo de la Comisión Bilateral de Cooperación de 29 de julio de 2004, se reconocieran vulneradas las competencias autonómicas por la Ley y concluir que, en todo caso, este conflicto solo puede fallarse teniendo en cuenta las normas del bloque de la constitucionalidad, recuerda que la determinación de los títulos competenciales de la disposición final tercera del Reglamento ferroviario, no impugnada, no impide la aplicación de otros títulos competenciales no citados en la misma, si así lo estimara el Tribunal Constitucional.</w:t>
      </w:r>
    </w:p>
    <w:p w:rsidR="0026452D" w:rsidRDefault="0026452D" w:rsidP="0026452D">
      <w:pPr>
        <w:pStyle w:val="TextoNormal"/>
      </w:pPr>
    </w:p>
    <w:p w:rsidR="0026452D" w:rsidRDefault="0026452D" w:rsidP="0026452D">
      <w:pPr>
        <w:pStyle w:val="TextoNormal"/>
      </w:pPr>
      <w:r>
        <w:t xml:space="preserve">Destaca el papel central que ocupa la red ferroviaria de interés general en la economía ferroviaria y que la administración de las infraestructuras ferroviarias se limita a la red ferroviaria de interés general, sin desconocer que existen redes de titularidad autonómica y sin que sea necesario introducir innecesarias cláusulas de salvaguardia de las competencias autonómicas al dictar normas en la esfera de las estatales. Pone de manifiesto, además, que ni el art. 3 ni el 4.1 del Reglamento ferroviario han sido impugnados cuando, siendo traslación del art. 4.1 LSF, éste precepto ha sido uno de los más discutidos en los recursos contra la Ley. Su constitucionalidad resulta de la concurrencia de los dos títulos contemplados en </w:t>
      </w:r>
      <w:r>
        <w:lastRenderedPageBreak/>
        <w:t>los apartados 21 y 24 del art. 149.1 CE que permiten flexibilizar el criterio de la territorialidad tomando en consideración el del interés general. La rígida aplicación del principio de territorialidad puede generar disfunciones en el logro de una política adecuada de infraestructuras presidida por la idea de red, que denota la interconexión y reducción a la unidad sistemática de las infraestructuras estatales, y en la consecución del correcto funcionamiento del sistema de transporte ferroviario (SSTC 65/1998, de 18 de marzo, FJ 11; 118/1996, de 27 de junio, FFJJ 34 y 44 y 132/1998, de 18 de junio, FJ 3).</w:t>
      </w:r>
    </w:p>
    <w:p w:rsidR="0026452D" w:rsidRDefault="0026452D" w:rsidP="0026452D">
      <w:pPr>
        <w:pStyle w:val="TextoNormal"/>
      </w:pPr>
    </w:p>
    <w:p w:rsidR="0026452D" w:rsidRDefault="0026452D" w:rsidP="0026452D">
      <w:pPr>
        <w:pStyle w:val="TextoNormal"/>
      </w:pPr>
      <w:r>
        <w:t>Partiendo de estas premisas, pasa a analizar los títulos autonómicos competenciales: obras públicas (art. 13.9 EAAnd), ferrocarriles (art. 13.10 EAAnd), y ordenación del transporte (art. 17.8 EAAnd). El título de obras públicas solo opera cuando se trata de obras públicas que no afecten a otra Comunidad Autónoma y no ostenten la calificación legal de interés general. La red ferroviaria de interés general es obra pública de interés general y de competencia exclusiva del Estado. El título de ferrocarriles es traslación del art. 148.1.5 CE, por ello los ferrocarriles autonómicos son los de la red ferroviaria de la que es titular la Junta de Andalucía, esto es, ferrocarriles no integrados en la red ferroviaria de interés general, y el transporte es el desarrollado en los mismos términos, es decir, el efectuado en la red autonómica, no en la red ferroviaria de interés general. En cuanto al título de ordenación del transporte, confiere una competencia de ejecución de la legislación del Estado, debiendo tenerse en cuenta que el propio art. 17.8 EAAnd atribuye la ejecución a la Comunidad Autónoma si el origen y destino del transporte quedan dentro de la Comunidad Autónoma, salvo que el Estado decida reservarse la ejecución directa.</w:t>
      </w:r>
    </w:p>
    <w:p w:rsidR="0026452D" w:rsidRDefault="0026452D" w:rsidP="0026452D">
      <w:pPr>
        <w:pStyle w:val="TextoNormal"/>
      </w:pPr>
    </w:p>
    <w:p w:rsidR="0026452D" w:rsidRDefault="0026452D" w:rsidP="0026452D">
      <w:pPr>
        <w:pStyle w:val="TextoNormal"/>
      </w:pPr>
      <w:r>
        <w:t>Realizadas las anteriores precisiones, se analizan las concretas vulneraciones invocadas. El art. 4.2 del Reglamento ferroviario es reiteración de la disposición adicional novena LSF. Esta disposición establece la composición inicial de la red ferroviaria de interés general y determina las infraestructuras que se entenderán integradas en el momento de entrada en vigor de la Ley. Ahora bien, la propia disposición adicional novena, consciente de que la inicial determinación de la red ferroviaria de interés general puede comprender líneas en las que no concurran razones de interés general, dispone que el Ministerio de Fomento podrá realizar la determinación concreta de qué líneas han de estimarse integradas con arreglo al art. 4.2, de dónde resultará, a sensu contrario, las que han de ser excluidas. La constitución inicial de la red ferroviaria de interés general no puede ser objetada pues todas las infraestructuras mencionadas están actualmente administradas por la administración estatal. La atribución al Ministerio de Fomento de la competencia para rectificar esa integración en bloque, aunque no se diga, podrá ser solicitada por las Comunidades Autónomas, tanto para que se incluyan como para que se excluyan de la red ferroviaria de interés general, siendo esta la única solución posible para evitar las perturbaciones de la continuidad del servicio, siendo así que la Junta de Andalucía solo podría solicitar que se declare nula la inclusión inicial en la red ferroviaria de interés general de líneas ferroviarias que no pueden ser subsumidas en el art. 4.1 LSF.</w:t>
      </w:r>
    </w:p>
    <w:p w:rsidR="0026452D" w:rsidRDefault="0026452D" w:rsidP="0026452D">
      <w:pPr>
        <w:pStyle w:val="TextoNormal"/>
      </w:pPr>
    </w:p>
    <w:p w:rsidR="0026452D" w:rsidRDefault="0026452D" w:rsidP="0026452D">
      <w:pPr>
        <w:pStyle w:val="TextoNormal"/>
      </w:pPr>
      <w:r>
        <w:t xml:space="preserve">El art. 5.1 del Reglamento ferroviario es el correlato del art. 4.2 LSF. La expresión “razones de interés general que así lo justifiquen” no puede interpretarse como vehículo de una discrecionalidad conferida al Ministerio de Fomento, habiéndose escogido esta expresión por la denominación dada a la red ferroviaria de interés general y por algunos pasajes del fundamento jurídico 12 de la STC 65/1998, de 18 de marzo. Aunque la expresión “y sin conexión con el resto de la red” plantea algún problema, pues el propio art. 4.4 LSF manda </w:t>
      </w:r>
      <w:r>
        <w:lastRenderedPageBreak/>
        <w:t>favorecer la interconexión entre la red estatal y las autonómicas, debe entenderse que no es necesario el consentimiento autonómico cuando la infraestructura que discurre íntegramente por el territorio de una Comunidad Autónoma resulte esencial desde el punto de vista de toda la red ferroviaria de interés general.</w:t>
      </w:r>
    </w:p>
    <w:p w:rsidR="0026452D" w:rsidRDefault="0026452D" w:rsidP="0026452D">
      <w:pPr>
        <w:pStyle w:val="TextoNormal"/>
      </w:pPr>
    </w:p>
    <w:p w:rsidR="0026452D" w:rsidRDefault="0026452D" w:rsidP="0026452D">
      <w:pPr>
        <w:pStyle w:val="TextoNormal"/>
      </w:pPr>
      <w:r>
        <w:t>Con la impugnación del art. 6 del Reglamento ferroviario se ataca realmente el art. 11 LSF. La administración de infraestructuras ferroviarias es un servicio de interés general y esencial y ha de fijar sus cánones atendiendo a los criterios de los apartados 3, 4 y 5 del art. 73. El Derecho europeo exige que se incentive a los administradores para que reduzcan costes y consigan una gestión eficaz; de ahí que el carácter deficitario de la línea es un signo evidente de que ésta no sirve al interés general, sin que exista un traspaso automático a la Comunidad Autónoma.</w:t>
      </w:r>
    </w:p>
    <w:p w:rsidR="0026452D" w:rsidRDefault="0026452D" w:rsidP="0026452D">
      <w:pPr>
        <w:pStyle w:val="TextoNormal"/>
      </w:pPr>
    </w:p>
    <w:p w:rsidR="0026452D" w:rsidRDefault="0026452D" w:rsidP="0026452D">
      <w:pPr>
        <w:pStyle w:val="TextoNormal"/>
      </w:pPr>
      <w:r>
        <w:t xml:space="preserve">La impugnación del art. 47.4 del Reglamento ferroviario reposa en un mal entendido. La adjudicación de la capacidad se refiere a la red ferroviaria de interés general, como resulta de los arts. 19.1 y 30 LSF, 46 del Reglamento ferroviario y la Orden FOM/897/2005, de 7 de abril, que se refiere a la adjudicación de capacidad de infraestructura ferroviaria de competencia estatal, sin que afecte a la adjudicación de la capacidad en las infraestructuras autonómicas salvo por aplicación supletoria. La solución elegida por el precepto impugnado ha sido legitimar a las Administraciones con atribuciones en materia de prestación de servicios de transporte y que estuvieran interesadas en la prestación de determinados servicios para solicitar la adjudicación de capacidad. Por ello, desde el punto de vista de las funciones de adjudicación de capacidad desarrolladas por ADIF, la Administración andaluza es un demandante más de capacidad, aunque especial pues formula una solicitud de capacidad de infraestructura de naturaleza agregada, aunque limitada exclusivamente a los tráficos cuyo origen y destino están en la propia Comunidad Autónoma, que luego redistribuirá entre las empresas que vayan a llevar a cabo los transportes </w:t>
      </w:r>
      <w:r w:rsidRPr="0026452D">
        <w:rPr>
          <w:i/>
        </w:rPr>
        <w:t>intra</w:t>
      </w:r>
      <w:r>
        <w:t xml:space="preserve"> autonómicos, por el momento de mercancías. No hay razón ninguna para privilegiar esos tráficos autonómicos sobre los internacionales o nacionales </w:t>
      </w:r>
      <w:r w:rsidRPr="0026452D">
        <w:rPr>
          <w:i/>
        </w:rPr>
        <w:t>inter</w:t>
      </w:r>
      <w:r>
        <w:t xml:space="preserve"> autonómicos, siendo posible, por otra parte, los acuerdos marco.</w:t>
      </w:r>
    </w:p>
    <w:p w:rsidR="0026452D" w:rsidRDefault="0026452D" w:rsidP="0026452D">
      <w:pPr>
        <w:pStyle w:val="TextoNormal"/>
      </w:pPr>
    </w:p>
    <w:p w:rsidR="0026452D" w:rsidRDefault="0026452D" w:rsidP="0026452D">
      <w:pPr>
        <w:pStyle w:val="TextoNormal"/>
      </w:pPr>
      <w:r>
        <w:t xml:space="preserve">Los arts. 48 y 95 del Reglamento ferroviario se impugnan conjuntamente. En concreto, la impugnación versa sobre la competencia otorgada al Consejo de Ministros por el art. 95.1 del Reglamento ferroviario para declarar de interés público la prestación de servicios de transporte ferroviario sobre líneas o tramos de la red ferroviaria de interés general, aunque llama la atención que no se haya impugnado la obtención de la autorización prevista en el art. 95.2 del Reglamento ferroviario. En todo caso, si se plantea conflicto sobre lo primero, habrá que extenderlo a lo segundo. Sin embargo, no existe la conexión pretendida entre el art. 95 y el 48, pues la competencia de ADIF relativa a la reserva de capacidad para prestación de servicios ferroviarios de interés público es independiente de cuál sea el ejecutivo que haga la declaración. Pues bien, el Estado se ha reservado la potestad de ejecución relativa la declaración de interés público de un determinado servicio de transporte y la selección, mediante autorización, de las empresas que hayan de prestarlo, reserva que es perfectamente posible al admitirlo el art. 17.8 EAAnd y está plenamente justificada en cuanto su objetivo es garantizar la comunicación entre diversas localidades del territorio español, y el sometimiento de autorización conlleva exclusividad en la prestación del servicio y puede dar lugar a la percepción de fondos públicos. No cabe alegar infracción del Reglamento europeo, pues </w:t>
      </w:r>
      <w:r>
        <w:lastRenderedPageBreak/>
        <w:t>ello no es canon de constitucionalidad y se trata de una cuestión ajena a la jurisdicción de este Tribunal.</w:t>
      </w:r>
    </w:p>
    <w:p w:rsidR="0026452D" w:rsidRDefault="0026452D" w:rsidP="0026452D">
      <w:pPr>
        <w:pStyle w:val="TextoNormal"/>
      </w:pPr>
    </w:p>
    <w:p w:rsidR="0026452D" w:rsidRDefault="0026452D" w:rsidP="0026452D">
      <w:pPr>
        <w:pStyle w:val="TextoNormal"/>
      </w:pPr>
      <w:r>
        <w:t>Los arts. 57.4 y 71 a 77 del Reglamento ferroviario se impugnan por atribuir al Ministerio de Fomento el otorgamiento de las licencias de empresas ferroviarias, por lo que se imposibilita la existencia de licencias autonómicas para los servicios de transportes intracomunitarios. La licencia de empresa ferroviaria es única para la red ferroviaria de interés general y es válida en toda la Unión Europea, no siendo las Comunidades Autónomas competentes para otorgar licencias de estas características. La pretensión de la recurrente de que queden excluidos los transporte intracomunitarios de la licencia única, está reñida con la idea misma de red de interés general. Las finalidades a las que sirve la licencia única son claras; el legislador nacional atribuye el máximo valor a la promoción del desarrollo de la actividad de transporte y la eficiente ordenación y explotación de la red ferroviaria de interés general, habiendo un alto riesgo de ineficiencia en que diversas administraciones, cuya competencia se distribuye en razón del alcance territorial de los tráficos, puedan llegar a apreciar de manera divergente la capacidad financiera o la competencia profesional, centrada en la seguridad de las empresas ferroviarias. No obstante, si se entendiera que la regulación citada no respeta la competencia autonómica, no cabría anular la licencia única —limitada a los transportes autonómicos e internacionales— sino exigir, además, las correspondientes licencias autonómicas para los transportes intracomunitarios.</w:t>
      </w:r>
    </w:p>
    <w:p w:rsidR="0026452D" w:rsidRDefault="0026452D" w:rsidP="0026452D">
      <w:pPr>
        <w:pStyle w:val="TextoNormal"/>
      </w:pPr>
    </w:p>
    <w:p w:rsidR="0026452D" w:rsidRDefault="0026452D" w:rsidP="0026452D">
      <w:pPr>
        <w:pStyle w:val="TextoNormal"/>
      </w:pPr>
      <w:r>
        <w:t>Se impugnan los arts. 147, 148, 152, 153, 154, 157 y 169 del Reglamento ferroviario, que regulan los fines y funciones del comité de regulación ferroviaria, por entender que afectan a todo el sector ferroviario y por tanto también a los servicios de transporte que sean competencia de las Comunidades Autónomas. Esta aseveración carece de cualquier argumentación que levante la carga que le incumbe de alegar las razones por las que considera que se ha producido la vulneración denunciada. Todo ello sin perjuicio de que el art. 148.1 del Reglamento ferroviario diga que las funciones de este órgano se realizarán sin menoscabo de las competencias que corresponden a las Comunidades Autónomas.</w:t>
      </w:r>
    </w:p>
    <w:p w:rsidR="0026452D" w:rsidRDefault="0026452D" w:rsidP="0026452D">
      <w:pPr>
        <w:pStyle w:val="TextoNormal"/>
      </w:pPr>
    </w:p>
    <w:p w:rsidR="0026452D" w:rsidRDefault="0026452D" w:rsidP="0026452D">
      <w:pPr>
        <w:pStyle w:val="TextoNormal"/>
      </w:pPr>
      <w:r>
        <w:t>La impugnación de la disposición transitoria cuarta del Reglamento ferroviario, que es el trasunto de la disposición transitoria tercera LSF, se ciñe a la reserva a RENFE Operadora del transporte de viajeros de la red ferroviaria de interés general, hasta la que la Unión Europea no liberalice este servicio. Nuevamente señala el Abogado del Estado que la demandante no ha cumplido con la carga de alegar, pues se limita a señalar que impide el ejercicio de sus competencias, pero no añade razón alguna, ello sin perjuicio de que el propio Estado se ha reservado para su ejecución los transportes de viajeros sobre infraestructuras ferroviarias estatales, sin que ello impida la cooperación por vía convencional con las Comunidades Autónomas. No tiene sentido que la continuidad de RENFE Operadora en la prestación de servicios en los términos en que venía haciéndolo, quede subordinada a una justificación dada por el legislador a partir de la importancia de cada itinerario. Antes al contrario, lo que habría debido justificarse, en su caso, habría sido, precisamente, el levantamiento de la reserva.</w:t>
      </w:r>
    </w:p>
    <w:p w:rsidR="0026452D" w:rsidRDefault="0026452D" w:rsidP="0026452D">
      <w:pPr>
        <w:pStyle w:val="TextoNormal"/>
      </w:pPr>
    </w:p>
    <w:p w:rsidR="0026452D" w:rsidRDefault="0026452D" w:rsidP="0026452D">
      <w:pPr>
        <w:pStyle w:val="TextoNormal"/>
      </w:pPr>
      <w:r>
        <w:t xml:space="preserve">Se impugna el art. 3 g) y la disposición adicional cuarta del estatuto de la entidad pública empresarial ADIF. Esta última disposición encomienda a ADIF la administración de la red ferroviaria de titularidad estatal, que en el momento de la entrada en vigor de la Ley del sector ferroviario esté administrada por RENFE, por lo que no afecta a las infraestructuras </w:t>
      </w:r>
      <w:r>
        <w:lastRenderedPageBreak/>
        <w:t>ferroviarias autonómicas. Por su parte, en cuanto a la cuestión planteada por el art. 3 g) del estatuto de la entidad pública empresarial ADIF, cuyo tenor no es el reproducido en la demanda, el Abogado del Estado se remite a los argumentos expuestos con motivo de la impugnación del art. 47.4 del Reglamento ferroviario.</w:t>
      </w:r>
    </w:p>
    <w:p w:rsidR="0026452D" w:rsidRDefault="0026452D" w:rsidP="0026452D">
      <w:pPr>
        <w:pStyle w:val="TextoNormal"/>
      </w:pPr>
    </w:p>
    <w:p w:rsidR="0026452D" w:rsidRDefault="0026452D" w:rsidP="0026452D">
      <w:pPr>
        <w:pStyle w:val="TextoNormal"/>
      </w:pPr>
      <w:r>
        <w:t>Finalmente, la disposición transitoria segunda el RENFE Operadora, también impugnada, es reiteración de la transitoria cuarta del Reglamento ferroviario, desarrollo a su vez de la transitoria tercera LSF, remitiéndose el Abogado del Estado a los argumentos expuestos con motivo de la impugnación de la disposición transitoria cuarta del Reglamento ferroviario.</w:t>
      </w:r>
    </w:p>
    <w:p w:rsidR="0026452D" w:rsidRDefault="0026452D" w:rsidP="0026452D">
      <w:pPr>
        <w:pStyle w:val="TextoNormal"/>
      </w:pPr>
    </w:p>
    <w:p w:rsidR="0026452D" w:rsidRDefault="0026452D" w:rsidP="0026452D">
      <w:pPr>
        <w:pStyle w:val="TextoNormal"/>
      </w:pPr>
      <w:r>
        <w:t>Como consecuencia de lo expuesto, el Abogado del Estado suplica la desestimación total del conflicto planteado, con declaración de que las competencias controvertidas corresponden al Estado. Asimismo solicita la tramitación del conflicto en la forma prevenida para los recursos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20 de diciembre de 2005, el Pleno del Tribunal Constitucional acordó tramitar el presente conflicto, al amparo de lo dispuesto en el art. 67 de la Ley Orgánica del Tribunal Constitucional (LOTC), en la forma prevista para el recurso de inconstitucionalidad, dando traslado al Congreso de los Diputados y al Senado, por conducto de sus Presidentes, para personación y formulación de alegaciones.</w:t>
      </w:r>
    </w:p>
    <w:p w:rsidR="0026452D" w:rsidRDefault="0026452D" w:rsidP="0026452D">
      <w:pPr>
        <w:pStyle w:val="TextoNormal"/>
      </w:pPr>
    </w:p>
    <w:p w:rsidR="0026452D" w:rsidRDefault="0026452D" w:rsidP="0026452D">
      <w:pPr>
        <w:pStyle w:val="TextoNormal"/>
      </w:pPr>
      <w:r w:rsidRPr="0026452D">
        <w:rPr>
          <w:rStyle w:val="NumeroAFNegritaCaracter"/>
        </w:rPr>
        <w:t>5</w:t>
      </w:r>
      <w:r>
        <w:t>. La Mesa del Senado acordó, el 17 de enero de 2006, con entrada en el Registro General de este Tribunal el 19 de enero de 2006, dar por personada a esta Cámara y por ofrecida su colaboración. La Mesa del Congreso de los Diputados adoptó el acuerdo, el 24 de enero de 2006, de no personarse en el procedimiento, lo que puso en conocimiento de este Tribunal, mediante escrito registrado el día 31 de enero de 2006.</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9 de abril de 2013, se acordó señalar para deliberación y votación de la presente Sentencia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La Junta de Andalucía impugna en el presente conflicto positivo de competencia los arts. 4.2, 5.1, 6, 47.4, 48, 57, 71 a 77, 95, 147, 148, 152, 153, 154, 157, 160 y disposición transitoria cuarta del Real Decreto 2387/2004, de 30 de diciembre, que aprueba el Reglamento ferroviario; la disposición adicional cuarta del Real Decreto 2395/2004, de 30 de diciembre, que aprueba el estatuto de la entidad pública empresarial Administrador de Infraestructuras Ferroviarias (ADIF) y el art. 3 g) de los estatutos que éste aprueba; y la disposición transitoria segunda del Real Decreto 2396/2004, de 30 de diciembre, por el que se aprueba el estatuto de la entidad pública empresarial RENFE Operadora.</w:t>
      </w:r>
    </w:p>
    <w:p w:rsidR="0026452D" w:rsidRDefault="0026452D" w:rsidP="0026452D">
      <w:pPr>
        <w:pStyle w:val="TextoNormal"/>
      </w:pPr>
    </w:p>
    <w:p w:rsidR="0026452D" w:rsidRDefault="0026452D" w:rsidP="0026452D">
      <w:pPr>
        <w:pStyle w:val="TextoNormal"/>
      </w:pPr>
      <w:r>
        <w:t xml:space="preserve">Considera la Comunidad recurrente que se han vulnerado las competencias que, sobre ferrocarriles cuyo itinerario se desarrolla íntegramente por territorio andaluz y sobre ordenación del transporte, le atribuyen los arts. 13.10 y 17.8, ambos del Estatuto de Autonomía de Andalucía (EAAnd), aprobado por Ley Orgánica 6/1981, de 30 de diciembre. Por el </w:t>
      </w:r>
      <w:r>
        <w:lastRenderedPageBreak/>
        <w:t>contrario, el Abogado del Estado considera que los preceptos impugnados encuentran plena cobertura en los títulos competenciales que otorgan al Estado los apartados 13, 14, 21 y 24 del art. 149.1 CE, por lo que solicita la desestimación íntegra del conflicto planteado.</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Tras la interposición de este conflicto positivo de competencia, ha sido aprobada la Ley Orgánica 2/2007, de 19 de marzo, de reforma del Estatuto de Autonomía para Andalucía, que habremos de tener en cuenta para resolver este conflicto, de acuerdo con nuestra doctrina del </w:t>
      </w:r>
      <w:r w:rsidRPr="0026452D">
        <w:rPr>
          <w:i/>
        </w:rPr>
        <w:t>ius superveniens</w:t>
      </w:r>
      <w:r>
        <w:t xml:space="preserve"> (STC 83/2012, de 18 de abril, FJ 2 y doctrina en ella citada).</w:t>
      </w:r>
    </w:p>
    <w:p w:rsidR="0026452D" w:rsidRDefault="0026452D" w:rsidP="0026452D">
      <w:pPr>
        <w:pStyle w:val="TextoNormal"/>
      </w:pPr>
    </w:p>
    <w:p w:rsidR="0026452D" w:rsidRDefault="0026452D" w:rsidP="0026452D">
      <w:pPr>
        <w:pStyle w:val="TextoNormal"/>
      </w:pPr>
      <w:r>
        <w:t xml:space="preserve">El art. 64 EAAnd se refiere a los transportes y comunicaciones, atribuyendo a la Comunidad Autónoma, entre otras, las competencias que se señalan a continuación. En primer lugar, la Comunidad Autónoma ostenta competencias exclusivas sobre la “red viaria de Andalucía, integrada por ferrocarriles, carreteras y caminos, y cualquier otra vía cuyo itinerario se desarrolle íntegramente en territorio andaluz” (ap. 1.1) y en materia de “transportes terrestres de personas y mercancías por carretera, ferrocarril, cable o cualquier otro medio cuyo itinerario se desarrolle íntegramente en territorio andaluz, con independencia de la titularidad de la infraestructura sobre la que se desarrolle” (ap. 1.3), sin perjuicio de recordar aquí que, según afirmamos en la STC 31/2010, de 28 de junio, FJ 59, la atribución de competencias autonómicas exclusivas, no impide el ejercicio de las exclusivas del Estado </w:t>
      </w:r>
      <w:r w:rsidRPr="0026452D">
        <w:rPr>
          <w:i/>
        </w:rPr>
        <w:t>ex</w:t>
      </w:r>
      <w:r>
        <w:t xml:space="preserve"> art. 149.1 CE, sea cuando éstas concurren con las autonómicas sobre el mismo espacio físico u objeto jurídico, sea cuando se trate de materias de competencia compartida.</w:t>
      </w:r>
    </w:p>
    <w:p w:rsidR="0026452D" w:rsidRDefault="0026452D" w:rsidP="0026452D">
      <w:pPr>
        <w:pStyle w:val="TextoNormal"/>
      </w:pPr>
    </w:p>
    <w:p w:rsidR="0026452D" w:rsidRDefault="0026452D" w:rsidP="0026452D">
      <w:pPr>
        <w:pStyle w:val="TextoNormal"/>
      </w:pPr>
      <w:r>
        <w:t>La Comunidad Autónoma de Andalucía ostenta, además, la competencia de ejecución de “ordenación del transporte de mercancías y personas que tengan su origen y destino dentro del territorio de la Comunidad Autónoma, cualquiera que sea el titular de la infraestructura” (art. 62.2.2), en materia de red ferroviaria, la participación en la planificación y gestión de las infraestructuras de titularidad estatal situadas en Andalucía en los términos previstos en la legislación del Estado (art. 64.2.3), la participación en los organismos de ámbito supra autonómico que ejercen funciones sobre las infraestructuras de transporte situadas en Andalucía que son de titularidad estatal, en los términos previstos en la legislación del Estado (art. 64.2.4 de transporte situada en Andalucía en cuya gestión podrá participar, o asumirla, de acuerdo con lo previsto en las leyes; aunque cuando se trate de una infraestructura de titularidad de la Comunidad Autónoma, se requerirá informe previo de ésta, y se ejecutará mediante convenio de colaboración (art. 64.2.5); la emisión de informe previo para la integración de líneas o servicios de transporte que transcurran íntegramente por Andalucía en líneas o servicios de ámbito supramunicipal (art. 64.2.7); y la participación en el establecimiento de los servicios ferroviarios que garanticen la comunicación con otras Comunidades Autónomas o con el tránsito internacional de acuerdo con lo previsto en el título IX (art. 64.2.8).</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El presente proceso constitucional guarda una estrecha relación con el analizado en la STC 245/2012, de 18 de diciembre, que resolvió los cinco recursos de inconstitucionalidad acumulados interpuestos contra la Ley 39/2003, de 17 de noviembre, del sector ferroviario (LSF), a cuya doctrina nos remitiremos en aquello que resulte de aplicación a este proceso constitucional. Pues bien, señalamos entonces que el art. 149.1.21 CE, así como los preceptos de los Estatutos de Autonomía que han atribuido competencias en términos similares al vigente Estatuto de Autonomía para Andalucía, recogen el criterio territorial como elemento esencial del sistema de distribución de competencias en materia de ferrocarriles, pues toman </w:t>
      </w:r>
      <w:r>
        <w:lastRenderedPageBreak/>
        <w:t>como punto de referencia si los itinerarios discurren o no íntegramente en el territorio de las Comunidades Autónomas. No obstante, este criterio debe ser completado o modulado con el del interés general o autonómico que subyace en la noción de obra pública, en los términos establecidos en la STC 65/1998, de 22 de abril (STC 245/2012 FJ 4). Señalamos, en segundo lugar, que resulta necesario diferenciar entre la infraestructura y la actividad de transporte que se realiza sobre ella (STC 245/2012 FJ 5). Y concluimos, también, que el adverbio “íntegramente” no debe interpretarse en sentido literal, pues ello conduciría a limitar las competencias de las Comunidades Autónomas a las infraestructuras ferroviarias que, por tener sus puntos de origen y destino en la Comunidad Autónoma, carecieran de conexión con las de otra Comunidad, de modo que la simple circunstancia de que el itinerario de una línea férrea atraviese más de una Comunidad Autónoma no debe determinar, por si sola, la incorporación de dicha línea a la red estatal. En definitiva, el objeto de las competencias autonómicas sobre ferrocarriles debe ser acotado por la concurrencia de la doble condición de que se trate de tramos o partes de las vías férreas que, aunque nazcan o mueran fuera de la Comunidad Autónoma en su itinerario total, discurren dentro de la Comunidad Autónoma, condición positiva, siempre que el tramo en cuestión no forme parte de una infraestructura considerada de interés general por el Estado, condición negativa (STC 245/2012 FJ 5).</w:t>
      </w:r>
    </w:p>
    <w:p w:rsidR="0026452D" w:rsidRDefault="0026452D" w:rsidP="0026452D">
      <w:pPr>
        <w:pStyle w:val="TextoNormal"/>
      </w:pPr>
    </w:p>
    <w:p w:rsidR="0026452D" w:rsidRDefault="0026452D" w:rsidP="0026452D">
      <w:pPr>
        <w:pStyle w:val="TextoNormal"/>
      </w:pPr>
      <w:r>
        <w:t>En cuanto a las competencias en materia de transportes ferroviarios, en la STC 245/2012, FJ 16, afirmamos: (i) que como consecuencia del criterio territorial, el Estado no puede incidir sobre la ordenación de los transportes intracomunitarios, excepto cuando se halle habilitado para hacerlo por títulos distintos; (ii) que el Estado tiene competencia exclusiva sobre las actividades de transporte que actúen integradas en una red de alcance nacional; independientemente del lugar de carga y descarga, siempre que se trate de recorridos discrecionales pues la competencia no puede atribuirse con base en recorridos concretos que se ignoran, sino conforme al carácter supracomunitario de la red; (iii) que el Estado tiene competencia exclusiva sobre los servicios parciales comprendidos en líneas regulares de viajeros cuyo itinerario discurra por el territorio de más de una Comunidad Autónoma, y, (iv) que aunque el criterio territorial debe aplicarse con rigor cuando se trata de competencias normativas, las competencias de ejecución de la legislación estatal quedan, en cierto modo, desconectadas de dicho criterio, para permitir su efectiva titularidad autonómica, aun cuando el transporte no discurra íntegramente por el territorio de la Comunidad Autónoma, bastando con que tenga origen y término en el territorio de ésta.</w:t>
      </w:r>
    </w:p>
    <w:p w:rsidR="0026452D" w:rsidRDefault="0026452D" w:rsidP="0026452D">
      <w:pPr>
        <w:pStyle w:val="TextoNormal"/>
      </w:pPr>
    </w:p>
    <w:p w:rsidR="0026452D" w:rsidRDefault="0026452D" w:rsidP="0026452D">
      <w:pPr>
        <w:pStyle w:val="TextoNormal"/>
      </w:pPr>
      <w:r>
        <w:t>Para concluir con este título competencial, debemos recordar que la atribución competencial que, en materia de transporte ferroviario, contiene el vigente Estatuto de Autonomía para Andalucía, parte del criterio territorial, esto es, la Comunidad Autónoma asume competencias sobre los transportes intracomunitarios, con independencia de la titularidad de la infraestructura sobre la que se llevan a cabo, habiendo desaparecido la reserva de la competencia ejecutiva que el anterior Estatuto de Autonomía reconocía al Estado.</w:t>
      </w:r>
    </w:p>
    <w:p w:rsidR="0026452D" w:rsidRDefault="0026452D" w:rsidP="0026452D">
      <w:pPr>
        <w:pStyle w:val="TextoNormal"/>
      </w:pPr>
    </w:p>
    <w:p w:rsidR="0026452D" w:rsidRDefault="0026452D" w:rsidP="0026452D">
      <w:pPr>
        <w:pStyle w:val="TextoNormal"/>
      </w:pPr>
      <w:r w:rsidRPr="0026452D">
        <w:rPr>
          <w:rStyle w:val="NumeroAFNegritaCaracter"/>
        </w:rPr>
        <w:t>4</w:t>
      </w:r>
      <w:r>
        <w:t>. Expuestos los títulos competenciales que asisten a las partes en materia de ferrocarriles, estamos en condiciones de abordar las concretas vulneraciones que se invocan en la demanda. Se impugnan, en primer lugar, los arts. 4.2, 5.1 y 6 del Reglamento ferroviario, por invasión de las competencias autonómicas en materia de infraestructuras ferroviarias.</w:t>
      </w:r>
    </w:p>
    <w:p w:rsidR="0026452D" w:rsidRDefault="0026452D" w:rsidP="0026452D">
      <w:pPr>
        <w:pStyle w:val="TextoNormal"/>
      </w:pPr>
    </w:p>
    <w:p w:rsidR="0026452D" w:rsidRDefault="0026452D" w:rsidP="0026452D">
      <w:pPr>
        <w:pStyle w:val="TextoNormal"/>
      </w:pPr>
      <w:r>
        <w:t>El art. 4.2 del Reglamento ferroviario reza así:</w:t>
      </w:r>
    </w:p>
    <w:p w:rsidR="0026452D" w:rsidRDefault="0026452D" w:rsidP="0026452D">
      <w:pPr>
        <w:pStyle w:val="TextoNormal"/>
      </w:pPr>
    </w:p>
    <w:p w:rsidR="0026452D" w:rsidRDefault="0026452D" w:rsidP="0026452D">
      <w:pPr>
        <w:pStyle w:val="TextoNormal"/>
      </w:pPr>
      <w:r>
        <w:t>“La Red Ferroviaria de Interés General se compondrá, en el momento de entrada en vigor de la Ley del Sector Ferroviario, de todas las infraestructuras ferroviarias que en esa fecha estén siendo administradas por RENFE o cuya administración haya sido encomendada al Gestor de Infraestructuras Ferroviarias o ejerza la Autoridad Portuaria correspondiente en los puertos de interés general. Igualmente y con arreglo a lo previsto en la disposición adicional novena de la citada Ley, la Red de ancho métrico de titularidad del Estado y administrada por FEVE, integrará la Red Ferroviaria de Interés General.”</w:t>
      </w:r>
    </w:p>
    <w:p w:rsidR="0026452D" w:rsidRDefault="0026452D" w:rsidP="0026452D">
      <w:pPr>
        <w:pStyle w:val="TextoNormal"/>
      </w:pPr>
    </w:p>
    <w:p w:rsidR="0026452D" w:rsidRDefault="0026452D" w:rsidP="0026452D">
      <w:pPr>
        <w:pStyle w:val="TextoNormal"/>
      </w:pPr>
      <w:r>
        <w:t>Este precepto es prácticamente una reiteración del apartado primero de la disposición adicional novena LSF que declaramos inconstitucional en la STC 245/2012, de 18 de diciembre, pues consideramos que, una vez determinados los criterios conforme a los cuales debían integrarse las infraestructuras ferroviarias en la red ferroviaria de interés general, no resultaba constitucional que la definición de interés general se singularizara, simplemente, por remisión a las infraestructuras que, en el momento de entrada en vigor de la Ley, venían siendo gestionadas por el Estado (FJ 10).</w:t>
      </w:r>
    </w:p>
    <w:p w:rsidR="0026452D" w:rsidRDefault="0026452D" w:rsidP="0026452D">
      <w:pPr>
        <w:pStyle w:val="TextoNormal"/>
      </w:pPr>
    </w:p>
    <w:p w:rsidR="0026452D" w:rsidRDefault="0026452D" w:rsidP="0026452D">
      <w:pPr>
        <w:pStyle w:val="TextoNormal"/>
      </w:pPr>
      <w:r>
        <w:t>El art. 37.1 del Real Decreto-ley 4/2013, de 22 de febrero, ha dado una nueva redacción al precepto legal anulado, encomendando al Ministerio de Fomento la realización del catálogo de líneas y tramos de la red ferroviaria de interés general conforme a los criterios establecidos en el art. 4 LSF, por lo que el precepto reglamentario impugnado, contrario a lo ahora establecido en la disposición adicional novena LSF, ha quedado derogado en aplicación de la disposición derogatoria única del Real Decreto-ley citado. Debemos concluir, por tanto, que el conflicto ha perdido objeto en lo que se refiere al art. 4.2 del Reglamento ferroviario.</w:t>
      </w:r>
    </w:p>
    <w:p w:rsidR="0026452D" w:rsidRDefault="0026452D" w:rsidP="0026452D">
      <w:pPr>
        <w:pStyle w:val="TextoNormal"/>
      </w:pPr>
    </w:p>
    <w:p w:rsidR="0026452D" w:rsidRDefault="0026452D" w:rsidP="0026452D">
      <w:pPr>
        <w:pStyle w:val="TextoNormal"/>
      </w:pPr>
      <w:r>
        <w:t>Se impugna el art 5.1 del Reglamento ferroviario a cuyo tenor:</w:t>
      </w:r>
    </w:p>
    <w:p w:rsidR="0026452D" w:rsidRDefault="0026452D" w:rsidP="0026452D">
      <w:pPr>
        <w:pStyle w:val="TextoNormal"/>
      </w:pPr>
    </w:p>
    <w:p w:rsidR="0026452D" w:rsidRDefault="0026452D" w:rsidP="0026452D">
      <w:pPr>
        <w:pStyle w:val="TextoNormal"/>
      </w:pPr>
      <w:r>
        <w:t>“Corresponde al Ministro de Fomento acordar, en cada momento, la inclusión, en la Red Ferroviaria de Interés General, de nuevas infraestructuras ferroviarias cuando razones de interés general así lo justifiquen, previo informe de las comunidades autónomas afectadas. El acto formal de aprobación del estudio informativo por el Ministerio de Fomento, realizado conforme a lo previsto en el artículo 5 de la Ley del Sector Ferroviario y en el artículo 10 de este Reglamento y previo cumplimiento de lo previsto en este artículo, determinará, en todo caso, la inclusión de la línea o del tramo de la red correspondiente en la Red Ferroviaria de Interés General. El informe de las comunidades autónomas afectadas deberá ser evacuado en un plazo de un mes. Transcurrido dicho plazo sin haberse emitido el informe solicitado, se entenderá producida la conformidad de la comunidad autónoma con la inclusión de las infraestructuras ferroviarias de que se trate en la Red Ferroviaria de Interés General. Si la infraestructura ferroviaria que se pretenda incluir en la Red Ferroviaria de Interés General discurriera, íntegramente, por el territorio de una sola comunidad autónoma y sin conexión con el resto de la Red o fuera de titularidad de ella, será necesario para tal inclusión su previo consentimiento.”</w:t>
      </w:r>
    </w:p>
    <w:p w:rsidR="0026452D" w:rsidRDefault="0026452D" w:rsidP="0026452D">
      <w:pPr>
        <w:pStyle w:val="TextoNormal"/>
      </w:pPr>
    </w:p>
    <w:p w:rsidR="0026452D" w:rsidRDefault="0026452D" w:rsidP="0026452D">
      <w:pPr>
        <w:pStyle w:val="TextoNormal"/>
      </w:pPr>
      <w:r>
        <w:t xml:space="preserve">Los reparos que opone la recurrente, relativos a la indeterminación del concepto de interés público, y la falta de consentimiento de las Comunidades Autónomas cuando son infraestructuras ferroviarias autonómicas las que se incorporan a la red ferroviaria de interés general, fueron rechazados por este Tribunal, al pronunciarse sobre la constitucionalidad </w:t>
      </w:r>
      <w:r>
        <w:lastRenderedPageBreak/>
        <w:t xml:space="preserve">del art. 4.2 LSF (STC 245/2012, de 18 de diciembre, FJ 10). Así pues, siguiendo la doctrina entonces establecida debemos señalar, en primer lugar, que no le corresponde a este Tribunal determinar </w:t>
      </w:r>
      <w:r w:rsidRPr="0026452D">
        <w:rPr>
          <w:i/>
        </w:rPr>
        <w:t>a priori</w:t>
      </w:r>
      <w:r>
        <w:t xml:space="preserve"> cuáles puedan ser esas razones de interés general a las que se refiere el precepto impugnado, sin perjuicio de que ese control podrá llevarse a cabo con motivo de la integración de una concreta infraestructura en la red ferroviaria de interés general. Y, en segundo lugar, que el precepto impugnado es constitucional, siempre que se interprete que cuando concurran razones de interés general que justifiquen la incorporación a la red ferroviaria de interés general de infraestructuras que discurran íntegramente por la Comunidad Autónoma, será necesario, en todo caso, consentimiento de la Comunidad Autónoma cuando no estén conectadas físicamente a la red aunque tengan con ella una conexión funcional.</w:t>
      </w:r>
    </w:p>
    <w:p w:rsidR="0026452D" w:rsidRDefault="0026452D" w:rsidP="0026452D">
      <w:pPr>
        <w:pStyle w:val="TextoNormal"/>
      </w:pPr>
    </w:p>
    <w:p w:rsidR="0026452D" w:rsidRDefault="0026452D" w:rsidP="0026452D">
      <w:pPr>
        <w:pStyle w:val="TextoNormal"/>
      </w:pPr>
      <w:r>
        <w:t>El art. 6 del Reglamento ferroviario que se transcribe a continuación es desarrollo de los apartados 1 y 2 del art. 11 LSF:</w:t>
      </w:r>
    </w:p>
    <w:p w:rsidR="0026452D" w:rsidRDefault="0026452D" w:rsidP="0026452D">
      <w:pPr>
        <w:pStyle w:val="TextoNormal"/>
      </w:pPr>
    </w:p>
    <w:p w:rsidR="0026452D" w:rsidRDefault="0026452D" w:rsidP="0026452D">
      <w:pPr>
        <w:pStyle w:val="TextoNormal"/>
      </w:pPr>
      <w:r>
        <w:t xml:space="preserve">“1. Cuando el resultado económico de la explotación de una línea ferroviaria sea altamente deficitario, el Consejo de Ministros, a propuesta del Ministro de Fomento, podrá acordar su clausura. </w:t>
      </w:r>
    </w:p>
    <w:p w:rsidR="0026452D" w:rsidRDefault="0026452D" w:rsidP="0026452D">
      <w:pPr>
        <w:pStyle w:val="TextoNormal"/>
      </w:pPr>
    </w:p>
    <w:p w:rsidR="0026452D" w:rsidRDefault="0026452D" w:rsidP="0026452D">
      <w:pPr>
        <w:pStyle w:val="TextoNormal"/>
      </w:pPr>
      <w:r>
        <w:t xml:space="preserve">2. En todo caso, con carácter previo a la adopción del acuerdo de clausura de la línea ferroviaria o de un tramo de línea, en los términos previstos en el artículo 11 de la Ley del Sector Ferroviario, el Ministerio de Fomento habrá de acordar su exclusión de la Red Ferroviaria de Interés General conforme a lo previsto en el artículo anterior. Asimismo, deberá ponerlo en conocimiento de las Comunidades Autónomas o entidades locales que pudieran resultar afectadas y ofrecerá el traspaso de la línea ferroviaria o del tramo objeto de clausura a las comunidades autónomas por cuyo territorio transcurran, siempre que éstas asuman la financiación necesaria para su administración y se comprometan a mantener la prestación del servicio ferroviario en dicha la línea o tramo de la misma durante los cinco años siguientes a la fecha en que se efectúe el traspaso. </w:t>
      </w:r>
    </w:p>
    <w:p w:rsidR="0026452D" w:rsidRDefault="0026452D" w:rsidP="0026452D">
      <w:pPr>
        <w:pStyle w:val="TextoNormal"/>
      </w:pPr>
    </w:p>
    <w:p w:rsidR="0026452D" w:rsidRDefault="0026452D" w:rsidP="0026452D">
      <w:pPr>
        <w:pStyle w:val="TextoNormal"/>
      </w:pPr>
      <w:r>
        <w:t xml:space="preserve">3. Si las comunidades autónomas o entidades locales asumieran la financiación para la administración de la línea ferroviaria o del tramo de línea, comprometiéndose a mantener la prestación del servicio ferroviario durante el plazo establecido en el apartado anterior, podrá, en su caso, acordarse su traspaso a la comunidad autónoma correspondiente conforme a lo previsto en el artículo 5.3 de este Reglamento. </w:t>
      </w:r>
    </w:p>
    <w:p w:rsidR="0026452D" w:rsidRDefault="0026452D" w:rsidP="0026452D">
      <w:pPr>
        <w:pStyle w:val="TextoNormal"/>
      </w:pPr>
    </w:p>
    <w:p w:rsidR="0026452D" w:rsidRDefault="0026452D" w:rsidP="0026452D">
      <w:pPr>
        <w:pStyle w:val="TextoNormal"/>
      </w:pPr>
      <w:r>
        <w:t>4. Si, en el plazo de dos meses, las comunidades autónomas o entidades locales no asumieran la financiación para la administración de la línea ferroviaria o del tramo de línea o no manifestaran su voluntad de mantener la línea en servicio, el Consejo de Ministros acordará su clausura.”</w:t>
      </w:r>
    </w:p>
    <w:p w:rsidR="0026452D" w:rsidRDefault="0026452D" w:rsidP="0026452D">
      <w:pPr>
        <w:pStyle w:val="TextoNormal"/>
      </w:pPr>
    </w:p>
    <w:p w:rsidR="0026452D" w:rsidRDefault="0026452D" w:rsidP="0026452D">
      <w:pPr>
        <w:pStyle w:val="TextoNormal"/>
      </w:pPr>
      <w:r>
        <w:t xml:space="preserve">En la STC 245/2012, de 18 de diciembre, FJ 13, hicimos una interpretación conforme del art. 11 LSF, que ha sido respetada por el precepto impugnado. Afirmamos entonces que (i) el resultado económico deficitario permite considerar que han desaparecido los motivos de interés general, que justifican la inclusión en la red ferroviaria de interés general; (ii) que, constatada la desaparición de este interés general dicha infraestructura podía ser traspasada a la Comunidad Autónoma; (iii) que la opción autonómica de financiarlos no excluye el derecho a recibir el traspaso de la infraestructura una vez excluida de la red ferroviaria de </w:t>
      </w:r>
      <w:r>
        <w:lastRenderedPageBreak/>
        <w:t>interés general y, finalmente, (iv) que la clausura de elementos distintos de las líneas y tramos solo podrá realizarse una vez la Comunidad Autónoma haya rechazado la oferta de traspaso de tales elementos.</w:t>
      </w:r>
    </w:p>
    <w:p w:rsidR="0026452D" w:rsidRDefault="0026452D" w:rsidP="0026452D">
      <w:pPr>
        <w:pStyle w:val="TextoNormal"/>
      </w:pPr>
    </w:p>
    <w:p w:rsidR="0026452D" w:rsidRDefault="0026452D" w:rsidP="0026452D">
      <w:pPr>
        <w:pStyle w:val="TextoNormal"/>
      </w:pPr>
      <w:r>
        <w:t>El precepto impugnado contempla que la clausura de la línea, motivada por el resultado económico de su explotación, debe ir precedida de su exclusión de la red ferroviaria de interés general y el preceptivo ofrecimiento de traspaso a las Comunidades Autónomas, que se realizará con la doble condición de que asuman su financiación y se comprometan a mantener el servicio durante un plazo determinado. En caso de que las Comunidades Autónomas acepten estas condiciones, señala el apartado tercero, “podrá” acordarse el traspaso, expresión que debe interpretarse en el sentido señalado en la STC 245/2012, esto es, que la financiación autonómica no permite mantener la gestión estatal de las líneas así financiadas y excluir el derecho al traspaso de estas líneas a las Comunidades Autónomas. Finalmente solo en el caso de que las Comunidades Autónomas no acepten el traspaso se podrá acordar su clausura. Así interpretado, debemos rechazar que el art. 6 vulnere las competencias de la Comunidad Autónoma recurrente.</w:t>
      </w:r>
    </w:p>
    <w:p w:rsidR="0026452D" w:rsidRDefault="0026452D" w:rsidP="0026452D">
      <w:pPr>
        <w:pStyle w:val="TextoNormal"/>
      </w:pPr>
    </w:p>
    <w:p w:rsidR="0026452D" w:rsidRDefault="0026452D" w:rsidP="0026452D">
      <w:pPr>
        <w:pStyle w:val="TextoNormal"/>
      </w:pPr>
      <w:r w:rsidRPr="0026452D">
        <w:rPr>
          <w:rStyle w:val="NumeroAFNegritaCaracter"/>
        </w:rPr>
        <w:t>5</w:t>
      </w:r>
      <w:r>
        <w:t>. Han sido también impugnados los arts. 47.4, 48, 57, 71 a 77, 95, 147, 148, 152, 153, 154, 157 y 160 del Reglamento ferroviario, en este caso por vulneración de las competencias autonómicas en materia de transportes ferroviarios.</w:t>
      </w:r>
    </w:p>
    <w:p w:rsidR="0026452D" w:rsidRDefault="0026452D" w:rsidP="0026452D">
      <w:pPr>
        <w:pStyle w:val="TextoNormal"/>
      </w:pPr>
    </w:p>
    <w:p w:rsidR="0026452D" w:rsidRDefault="0026452D" w:rsidP="0026452D">
      <w:pPr>
        <w:pStyle w:val="TextoNormal"/>
      </w:pPr>
      <w:r>
        <w:t>El art. 47.4 establece:</w:t>
      </w:r>
    </w:p>
    <w:p w:rsidR="0026452D" w:rsidRDefault="0026452D" w:rsidP="0026452D">
      <w:pPr>
        <w:pStyle w:val="TextoNormal"/>
      </w:pPr>
    </w:p>
    <w:p w:rsidR="0026452D" w:rsidRDefault="0026452D" w:rsidP="0026452D">
      <w:pPr>
        <w:pStyle w:val="TextoNormal"/>
      </w:pPr>
      <w:r>
        <w:t>“Las empresas ferroviarias, los agentes de transportes, cargadores y operadores de transporte combinado habilitados y las Administraciones Públicas con atribuciones en materia de prestación de servicios de transporte y que estuvieren interesadas en la prestación de determinados servicios de transporte ferroviario tendrán derecho a solicitar la adjudicación de capacidad de infraestructura, según el procedimiento que establezca la correspondiente Orden del Ministro de Fomento. Asimismo, podrán, ocasionalmente, solicitar, en la forma establecida en dicha Orden, la adjudicación de aquella capacidad que no hubiera sido adjudicada con arreglo al procedimiento ordinario o que, habiéndolo sido, no fuese efectivamente utilizada.”</w:t>
      </w:r>
    </w:p>
    <w:p w:rsidR="0026452D" w:rsidRDefault="0026452D" w:rsidP="0026452D">
      <w:pPr>
        <w:pStyle w:val="TextoNormal"/>
      </w:pPr>
    </w:p>
    <w:p w:rsidR="0026452D" w:rsidRDefault="0026452D" w:rsidP="0026452D">
      <w:pPr>
        <w:pStyle w:val="TextoNormal"/>
      </w:pPr>
      <w:r>
        <w:t xml:space="preserve">Entiende la recurrente que la Comunidad Autónoma se ve impedida para ordenar el transporte que discurre por su territorio, ello con independencia de quien sea el titular de la infraestructura, pues en lugar de poder adjudicar capacidad de infraestructura, es solicitante de la misma como si fuera una empresa de transporte más. Pues bien, el art. 30 LSF define la adjudicación de capacidad de infraestructura como la asignación de franjas horarias, definidas en la declaración sobre la red, a los correspondientes candidatos con el fin de que un tren pueda circular, entre dos puntos, durante un período de tiempo determinado. Aunque la recurrente entiende que la asignación de capacidad forma parte de la competencia en materia de transportes ferroviarios, debemos distinguir entre la infraestructura y el servicio de transporte que sobre ella se desarrolla. La asignación de capacidad es una facultad propia del administrador de la infraestructura que permite distribuir el tráfico de vehículos sobre la misma. Se trata, pues, de una facultad que corresponde a su titular, al Estado en lo que afecta a la red ferroviaria de interés general. Todo ello, sin perjuicio de que, como señala el Abogado del Estado, las Comunidades Autónomas, como adjudicatarias de capacidad de transporte, puedan a su vez adjudicarla a empresas ferroviarias cuando se trata de servicios de </w:t>
      </w:r>
      <w:r>
        <w:lastRenderedPageBreak/>
        <w:t>transporte intracomunitarios que se sirven como soporte de la red ferroviaria de interés general, y sin que este precepto impida a las Comunidades Autónomas que adjudiquen la capacidad de la infraestructura cuando se trata de infraestructuras ferroviarias de titularidad autonómica no incluidas en la red ferroviaria de interés general.</w:t>
      </w:r>
    </w:p>
    <w:p w:rsidR="0026452D" w:rsidRDefault="0026452D" w:rsidP="0026452D">
      <w:pPr>
        <w:pStyle w:val="TextoNormal"/>
      </w:pPr>
    </w:p>
    <w:p w:rsidR="0026452D" w:rsidRDefault="0026452D" w:rsidP="0026452D">
      <w:pPr>
        <w:pStyle w:val="TextoNormal"/>
      </w:pPr>
      <w:r>
        <w:t>Se impugnan conjuntamente los arts. 95 y 48 del Reglamento ferroviario, cuyo tenor literal es el siguiente:</w:t>
      </w:r>
    </w:p>
    <w:p w:rsidR="0026452D" w:rsidRDefault="0026452D" w:rsidP="0026452D">
      <w:pPr>
        <w:pStyle w:val="TextoNormal"/>
      </w:pPr>
    </w:p>
    <w:p w:rsidR="0026452D" w:rsidRDefault="0026452D" w:rsidP="0026452D">
      <w:pPr>
        <w:pStyle w:val="TextoNormal"/>
      </w:pPr>
      <w:r>
        <w:t xml:space="preserve">“Art. 95 Servicios de transporte ferroviario de interés público </w:t>
      </w:r>
    </w:p>
    <w:p w:rsidR="0026452D" w:rsidRDefault="0026452D" w:rsidP="0026452D">
      <w:pPr>
        <w:pStyle w:val="TextoNormal"/>
      </w:pPr>
    </w:p>
    <w:p w:rsidR="0026452D" w:rsidRDefault="0026452D" w:rsidP="0026452D">
      <w:pPr>
        <w:pStyle w:val="TextoNormal"/>
      </w:pPr>
      <w:r>
        <w:t xml:space="preserve">1. Mediante acuerdo de Consejo de Ministros podrá declararse de interés público la prestación de determinados servicios de transporte ferroviario sobre las líneas o los tramos que integran la Red Ferroviaria de Interés General, cuando su prestación resulte deficitaria o no se realice en las condiciones adecuadas de frecuencia y calidad y sea necesaria para garantizar la comunicación entre distintas localidades del territorio español. Esta declaración podrá realizarse de oficio o a instancia de las comunidades autónomas o de las entidades locales interesadas. </w:t>
      </w:r>
    </w:p>
    <w:p w:rsidR="0026452D" w:rsidRDefault="0026452D" w:rsidP="0026452D">
      <w:pPr>
        <w:pStyle w:val="TextoNormal"/>
      </w:pPr>
    </w:p>
    <w:p w:rsidR="0026452D" w:rsidRDefault="0026452D" w:rsidP="0026452D">
      <w:pPr>
        <w:pStyle w:val="TextoNormal"/>
      </w:pPr>
      <w:r>
        <w:t xml:space="preserve">2. Declarada de interés público la prestación de un determinado servicio de transporte ferroviario, las empresas ferroviarias únicamente podrán prestarlo previa la obtención de la correspondiente autorización. </w:t>
      </w:r>
    </w:p>
    <w:p w:rsidR="0026452D" w:rsidRDefault="0026452D" w:rsidP="0026452D">
      <w:pPr>
        <w:pStyle w:val="TextoNormal"/>
      </w:pPr>
    </w:p>
    <w:p w:rsidR="0026452D" w:rsidRDefault="0026452D" w:rsidP="0026452D">
      <w:pPr>
        <w:pStyle w:val="TextoNormal"/>
      </w:pPr>
      <w:r>
        <w:t>3. Conforme a lo previsto en el art. 53.5 de la Ley del Sector Ferroviario, por Orden del Ministro de Fomento se establecerá el régimen de las autorizaciones para prestar servicios de transporte ferroviario de interés público.”</w:t>
      </w:r>
    </w:p>
    <w:p w:rsidR="0026452D" w:rsidRDefault="0026452D" w:rsidP="0026452D">
      <w:pPr>
        <w:pStyle w:val="TextoNormal"/>
      </w:pPr>
    </w:p>
    <w:p w:rsidR="0026452D" w:rsidRDefault="0026452D" w:rsidP="0026452D">
      <w:pPr>
        <w:pStyle w:val="TextoNormal"/>
      </w:pPr>
      <w:r>
        <w:t>“Art. 48 Reservas de capacidad</w:t>
      </w:r>
    </w:p>
    <w:p w:rsidR="0026452D" w:rsidRDefault="0026452D" w:rsidP="0026452D">
      <w:pPr>
        <w:pStyle w:val="TextoNormal"/>
      </w:pPr>
    </w:p>
    <w:p w:rsidR="0026452D" w:rsidRDefault="0026452D" w:rsidP="0026452D">
      <w:pPr>
        <w:pStyle w:val="TextoNormal"/>
      </w:pPr>
      <w:r>
        <w:t xml:space="preserve">1. El administrador de infraestructuras ferroviarias podrá establecer, en la forma que determine la Orden ministerial a la que se refiere el artículo anterior, reservas de capacidad para la realización de operaciones de mantenimiento o ampliación de la red, para resolver los eventuales problemas de infraestructura congestionada o para la prestación de servicios ferroviarios de interés público. </w:t>
      </w:r>
    </w:p>
    <w:p w:rsidR="0026452D" w:rsidRDefault="0026452D" w:rsidP="0026452D">
      <w:pPr>
        <w:pStyle w:val="TextoNormal"/>
      </w:pPr>
    </w:p>
    <w:p w:rsidR="0026452D" w:rsidRDefault="0026452D" w:rsidP="0026452D">
      <w:pPr>
        <w:pStyle w:val="TextoNormal"/>
      </w:pPr>
      <w:r>
        <w:t>2. Las reservas de capacidad deberán incluirse en la declaración sobre la red.”</w:t>
      </w:r>
    </w:p>
    <w:p w:rsidR="0026452D" w:rsidRDefault="0026452D" w:rsidP="0026452D">
      <w:pPr>
        <w:pStyle w:val="TextoNormal"/>
      </w:pPr>
    </w:p>
    <w:p w:rsidR="0026452D" w:rsidRDefault="0026452D" w:rsidP="0026452D">
      <w:pPr>
        <w:pStyle w:val="TextoNormal"/>
      </w:pPr>
      <w:r>
        <w:t xml:space="preserve">Considera la recurrente que cuando se declaran de servicio público servicios de transporte que transcurren íntegramente por la Comunidad Autónoma, aun cuando sea a instancias de la propia Comunidad Autónoma, se le está desposeyendo de las facultades de ordenación del transporte que ostenta por razón del territorio en que se desarrollan y el interés autonómico que le lleva a solicitar dicha declaración. Esta impugnación está directamente relacionada con la del art. 53 LSF sobre el que nos pronunciamos en nuestra STS 245/2012, de 18 de diciembre, FJ 18, cuya doctrina resulta de aplicación. En ella afirmamos que los arts. 53 y 54 LSF son constitucionales si la declaración de interés público de servicios de interés ferroviario, su adjudicación a una determinada empresa ferroviaria o la imposición a una determinada empresa de prestar el servicio público de transporte ferroviario, se circunscriben a servicios que discurran por más de una Comunidad Autónoma. Por el contrario, si discurren íntegramente por la Comunidad Autónoma, la entera ordenación de los </w:t>
      </w:r>
      <w:r>
        <w:lastRenderedPageBreak/>
        <w:t>transportes ferroviarios corresponde a la Comunidad Autónoma que tendrá plena libertad para organizar la gestión y financiación de los citados servicios de interés público. Así pues, interpretados de esta forma, los preceptos citados no vulneran las competencias de la Comunidad Autónoma de Andalucía.</w:t>
      </w:r>
    </w:p>
    <w:p w:rsidR="0026452D" w:rsidRDefault="0026452D" w:rsidP="0026452D">
      <w:pPr>
        <w:pStyle w:val="TextoNormal"/>
      </w:pPr>
    </w:p>
    <w:p w:rsidR="0026452D" w:rsidRDefault="0026452D" w:rsidP="0026452D">
      <w:pPr>
        <w:pStyle w:val="TextoNormal"/>
      </w:pPr>
      <w:r>
        <w:t>Se impugnan los arts. 57.4, 59 y 71 a 77 del Reglamento ferroviario en cuanto limitan las prestaciones de servicios ferroviarios que circulen por la red ferroviaria de interés general, atribuyen al Estado la competencia para otorgar la licencia única de empresa ferroviaria para la Real Decreto y regulan las incidencias del régimen de licencias para resolver esta impugnación y una vez más debemos recurrir, a lo afirmado en la STC 245/2012, de 18 de diciembre, FJ 17. En ella señalamos que siempre que se interprete que la licencia de empresa ferroviaria, que se exige con carácter único para la red ferroviaria de interés general, solo se refiere a los transportes ferroviarios que sean competencia del Estado —los que discurren por más de una Comunidad Autónoma y los servicios parciales que constituyen fragmentos de una línea regular de transporte supracomunitario—, la regulación de la licencia única no vulnera las competencias de la Comunidad Autónoma de Andalucía. Interpretados de esta forma los preceptos reglamentarios impugnados, debemos rechazar que se hayan vulnerado las competencias de la Comunidad Autónoma recurrente.</w:t>
      </w:r>
    </w:p>
    <w:p w:rsidR="0026452D" w:rsidRDefault="0026452D" w:rsidP="0026452D">
      <w:pPr>
        <w:pStyle w:val="TextoNormal"/>
      </w:pPr>
    </w:p>
    <w:p w:rsidR="0026452D" w:rsidRDefault="0026452D" w:rsidP="0026452D">
      <w:pPr>
        <w:pStyle w:val="TextoNormal"/>
      </w:pPr>
      <w:r>
        <w:t>Los arts. 147, 148, 152, 153, 154, 157 y 160 del Reglamento ferroviario ordenan el comité de regulación ferroviaria en desarrollo de lo establecido en los arts. 82 y ss. LSF, que han sido modificados por el apartado quinto de la disposición final vigésimo tercera de la Ley 2/2011, de 4 de marzo, de economía sostenible, aunque sin repercusión alguna sobre el conflicto aquí planteado. La recurrente considera que, como las funciones del órgano citado se extienden a los servicios de transporte de ámbito autonómico, los preceptos que lo regulan vulneran sus competencias en esta materia. No obstante, nada hay en los preceptos impugnados que permita concluir que las funciones del citado comité se extienden a los servicios de transportes ferroviarios de titularidad autonómica, pues el art. 148 del Reglamento ferroviario señala expresamente que las competencias que corresponden a este órgano colegiado de la Administración del Estado se ejercerán “sin menoscabo de las competencias que corresponden a las Comunidades Autónomas”. Así pues, en la medida en que las competencias de este órgano aparecen limitadas a los transportes ferroviarios de competencia del Estado no cabe apreciar vulneración de las competencias autonómicas.</w:t>
      </w:r>
    </w:p>
    <w:p w:rsidR="0026452D" w:rsidRDefault="0026452D" w:rsidP="0026452D">
      <w:pPr>
        <w:pStyle w:val="TextoNormal"/>
      </w:pPr>
    </w:p>
    <w:p w:rsidR="0026452D" w:rsidRDefault="0026452D" w:rsidP="0026452D">
      <w:pPr>
        <w:pStyle w:val="TextoNormal"/>
      </w:pPr>
      <w:r w:rsidRPr="0026452D">
        <w:rPr>
          <w:rStyle w:val="NumeroAFNegritaCaracter"/>
        </w:rPr>
        <w:t>6</w:t>
      </w:r>
      <w:r>
        <w:t>. Se impugna, finalmente la disposición transitoria cuarta del Reglamento ferroviario que, en desarrollo de la disposición transitoria tercera LSF, regula el régimen provisional aplicable a RENFE Operadora, aunque dicha impugnación, como señala acertadamente el Abogado del Estado, se ciñe a la reserva a RENFE Operadora de los servicios de transporte de viajeros que se presten sobre la red ferroviaria de interés general, en cuanto no se oponga al resto de lo establecido en la Ley del sector ferroviario. Por conexión, se impugna también la disposición transitoria segunda del estatuto de RENFE Operadora, que reitera lo establecido en la disposición transitoria cuarta del Reglamento ferroviario.</w:t>
      </w:r>
    </w:p>
    <w:p w:rsidR="0026452D" w:rsidRDefault="0026452D" w:rsidP="0026452D">
      <w:pPr>
        <w:pStyle w:val="TextoNormal"/>
      </w:pPr>
    </w:p>
    <w:p w:rsidR="0026452D" w:rsidRDefault="0026452D" w:rsidP="0026452D">
      <w:pPr>
        <w:pStyle w:val="TextoNormal"/>
      </w:pPr>
      <w:r>
        <w:t xml:space="preserve">Cabe deducir de las alegaciones de la Comunidad Autónoma recurrente que la reserva a RENFE Operadora de los servicios de transporte que se realicen sobre la red ferroviaria de interés general, sin excluir los servicios de transporte de competencia autonómica, vulnera la competencia autonómica sobre transportes que discurren por su territorio. Por el contrario, entiende el Abogado del Estado que no tiene sentido que la continuidad de RENFE </w:t>
      </w:r>
      <w:r>
        <w:lastRenderedPageBreak/>
        <w:t>Operadora en la prestación de los servicios en los términos en que venía haciéndolo, quede subordinada a una justificación dada por el legislador a partir de la importancia de cada itinerario. Pues bien, debemos rechazar que el criterio puramente circunstancial de la situación existente antes de la aprobación de la Ley, permita justificar que el Estado asuma una competencia sobre servicios de transportes intracomunitarios, aun cuando se presten sobre infraestructuras de titularidad estatal, que corresponde, como se señaló en el fundamento jurídico anterior, a la Comunidad Autónoma recurrente. Es por ello que debemos concluir que los preceptos impugnados no vulneran las competencias de la Comunidad Autónoma recurrente, siempre que se interprete que la reserva a RENFE Operadora de la explotación de los servicios de transporte de viajeros solo afecta a los que son de competencia del Estado, es decir, los que discurren por más de una Comunidad Autónoma y los servicios parciales que constituyen fragmentos de una línea regular de transporte supracomunitario (STC 245/2012, 18 de diciembre, FJ 17).</w:t>
      </w:r>
    </w:p>
    <w:p w:rsidR="0026452D" w:rsidRDefault="0026452D" w:rsidP="0026452D">
      <w:pPr>
        <w:pStyle w:val="TextoNormal"/>
      </w:pPr>
    </w:p>
    <w:p w:rsidR="0026452D" w:rsidRDefault="0026452D" w:rsidP="0026452D">
      <w:pPr>
        <w:pStyle w:val="TextoNormal"/>
      </w:pPr>
      <w:r w:rsidRPr="0026452D">
        <w:rPr>
          <w:rStyle w:val="NumeroAFNegritaCaracter"/>
        </w:rPr>
        <w:t>7</w:t>
      </w:r>
      <w:r>
        <w:t>. La Comunidad Autónoma recurrente impugna también la disposición adicional cuarta del estatuto de la entidad pública empresarial ADIF y el art. 3 g) de los estatutos que este aprueba. En efecto, la disposición adicional cuarta señala que “toda la red que, con arreglo a la Ley del Sector Ferroviario, sea de titularidad del Estado y que, en el momento de su entrada en vigor, esté siendo administrada por Red Nacional de los Ferrocarriles Españoles (RENFE) queda encomendada, para su administración, al ADIF”, mientras que el art. 3 g) le atribuye, entre sus funciones, “la adjudicación de capacidad de infraestructura a las empresas ferroviarias que lo soliciten y la celebración de acuerdos marco con aquéllas”.</w:t>
      </w:r>
    </w:p>
    <w:p w:rsidR="0026452D" w:rsidRDefault="0026452D" w:rsidP="0026452D">
      <w:pPr>
        <w:pStyle w:val="TextoNormal"/>
      </w:pPr>
    </w:p>
    <w:p w:rsidR="0026452D" w:rsidRDefault="0026452D" w:rsidP="0026452D">
      <w:pPr>
        <w:pStyle w:val="TextoNormal"/>
      </w:pPr>
      <w:r>
        <w:t>Modificada la disposición adicional novena LSF y derogado el art. 4.2 del Reglamento ferroviario tal y como se razonó anteriormente, y teniendo en cuenta que es función del ADIF la gestión de la infraestructura ferroviaria que compone la red ferroviaria de interés general, debemos concluir que la disposición adicional cuarta estatuto de la entidad pública empresarial ADIF no vulnera las competencias autonómicas en tanto en cuanto se interprete que se trata de una situación transitoria hasta que se proceda a determinar las infraestructuras que por su interés general deben incorporarse a la red ferroviaria de interés general. Por su parte, por las razones expuestas en el fundamento jurídico 5, en relación con la impugnación del art. 47.4, debemos declarar que el art. 3 g) no vulnera las competencias autonómicas en materia de transportes ferroviarios.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Declarar que el conflicto ha perdido objeto en relación al art. 4.2 del Real Decreto 2387/2004, de 30 de diciembre, que aprueba el Reglamento ferroviario.</w:t>
      </w:r>
    </w:p>
    <w:p w:rsidR="0026452D" w:rsidRDefault="0026452D" w:rsidP="0026452D">
      <w:pPr>
        <w:pStyle w:val="TextoNormal"/>
      </w:pPr>
    </w:p>
    <w:p w:rsidR="0026452D" w:rsidRDefault="0026452D" w:rsidP="0026452D">
      <w:pPr>
        <w:pStyle w:val="TextoNormal"/>
      </w:pPr>
      <w:r>
        <w:lastRenderedPageBreak/>
        <w:t>2º Declarar que el art. 5.1, y 6 del Real Decreto 2387/2004, de 30 de diciembre, que aprueba el Reglamento ferroviario, no vulnera las competencias de la Comunidad Autónoma de Andalucía siempre que se interprete conforme a lo establecido en el fundamento jurídico 4.</w:t>
      </w:r>
    </w:p>
    <w:p w:rsidR="0026452D" w:rsidRDefault="0026452D" w:rsidP="0026452D">
      <w:pPr>
        <w:pStyle w:val="TextoNormal"/>
      </w:pPr>
    </w:p>
    <w:p w:rsidR="0026452D" w:rsidRDefault="0026452D" w:rsidP="0026452D">
      <w:pPr>
        <w:pStyle w:val="TextoNormal"/>
      </w:pPr>
      <w:r>
        <w:t>3º Declarar que los arts. 48, 57.4, 59, y 71 a 77, 95 del Real Decreto 2387/2004, de 30 de diciembre, que aprueba el Reglamento ferroviario, no vulneran las competencias de la Comunidad Autónoma de Andalucía siempre que se interpreten conforme a lo establecido en el fundamento jurídico 5.</w:t>
      </w:r>
    </w:p>
    <w:p w:rsidR="0026452D" w:rsidRDefault="0026452D" w:rsidP="0026452D">
      <w:pPr>
        <w:pStyle w:val="TextoNormal"/>
      </w:pPr>
    </w:p>
    <w:p w:rsidR="0026452D" w:rsidRDefault="0026452D" w:rsidP="0026452D">
      <w:pPr>
        <w:pStyle w:val="TextoNormal"/>
      </w:pPr>
      <w:r>
        <w:t>4º Declarar que la disposición transitoria cuarta del Real Decreto 2387/2004, de 30 de diciembre, que aprueba el Reglamento ferroviario, y la disposición transitoria segunda del Real Decreto 2396/2004, de 30 de diciembre, que aprueba el Estatuto de la entidad pública empresarial RENFE Operadora no vulneran las competencias de la Comunidad Autónoma de Andalucía siempre que se interpreten conforme a lo establecido en el fundamento jurídico 6.</w:t>
      </w:r>
    </w:p>
    <w:p w:rsidR="0026452D" w:rsidRDefault="0026452D" w:rsidP="0026452D">
      <w:pPr>
        <w:pStyle w:val="TextoNormal"/>
      </w:pPr>
    </w:p>
    <w:p w:rsidR="0026452D" w:rsidRDefault="0026452D" w:rsidP="0026452D">
      <w:pPr>
        <w:pStyle w:val="TextoNormal"/>
      </w:pPr>
      <w:r>
        <w:t>5º Declarar que la disposición adicional cuarta del Real Decreto 2395/2004, de 30 de diciembre, que aprueba el estatuto de la entidad pública empresarial Administrador de Infraestructuras Ferroviarias, no vulnera las competencias de la Comunidad Autónoma de Andalucía siempre que se interprete conforme a lo establecido en el fundamento jurídico 7.</w:t>
      </w:r>
    </w:p>
    <w:p w:rsidR="0026452D" w:rsidRDefault="0026452D" w:rsidP="0026452D">
      <w:pPr>
        <w:pStyle w:val="TextoNormal"/>
      </w:pPr>
    </w:p>
    <w:p w:rsidR="0026452D" w:rsidRDefault="0026452D" w:rsidP="0026452D">
      <w:pPr>
        <w:pStyle w:val="TextoNormal"/>
      </w:pPr>
      <w:r>
        <w:t>6º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87" w:name="SENTENCIA_2013_84"/>
      <w:r>
        <w:lastRenderedPageBreak/>
        <w:t>SENTENCIA 84/2013, de 11 de abril de 2013</w:t>
      </w:r>
    </w:p>
    <w:bookmarkEnd w:id="87"/>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ECLI:ES:TC:2013:84</w:t>
      </w:r>
    </w:p>
    <w:p w:rsidR="0026452D" w:rsidRDefault="0026452D" w:rsidP="0026452D">
      <w:pPr>
        <w:pStyle w:val="SntesisDescriptiva"/>
      </w:pPr>
    </w:p>
    <w:p w:rsidR="0026452D" w:rsidRDefault="0026452D" w:rsidP="0026452D">
      <w:pPr>
        <w:pStyle w:val="SntesisDescriptiva"/>
      </w:pPr>
      <w:r>
        <w:t>Recurso de inconstitucionalidad 7837-2006. Interpuesto por el Consejo de Gobierno de La Rioja en relación con los artículos 50.1 y 54 bis de la Ley 43/2003, de 21 de noviembre, de montes, en la redacción dada por la Ley 10/2006, de 28 de abril.</w:t>
      </w:r>
    </w:p>
    <w:p w:rsidR="0026452D" w:rsidRDefault="0026452D" w:rsidP="0026452D">
      <w:pPr>
        <w:pStyle w:val="SntesisDescriptiva"/>
      </w:pPr>
    </w:p>
    <w:p w:rsidR="0026452D" w:rsidRDefault="0026452D" w:rsidP="0026452D">
      <w:pPr>
        <w:pStyle w:val="SntesisAnaltica"/>
      </w:pPr>
      <w:r>
        <w:t>Competencias sobre montes, ordenación del territorio, urbanismo y medio ambiente; libertad de circulación: constitucionalidad de los preceptos legales que prohíben el cambio de uso forestal de los terrenos incendiados durante un período mínimo de treinta años y limitan la circulación con vehículos a motor por pistas forestales.</w:t>
      </w:r>
    </w:p>
    <w:p w:rsidR="0026452D" w:rsidRDefault="0026452D" w:rsidP="0026452D">
      <w:pPr>
        <w:pStyle w:val="SntesisAnaltica"/>
      </w:pPr>
    </w:p>
    <w:p w:rsidR="0026452D" w:rsidRDefault="0026452D" w:rsidP="0026452D">
      <w:pPr>
        <w:pStyle w:val="Extracto"/>
      </w:pPr>
      <w:r>
        <w:t>1.</w:t>
      </w:r>
      <w:r>
        <w:tab/>
        <w:t>Delimitar los diversos usos a que puede destinarse el suelo constituye uno de los aspectos básicos del urbanismo y, en términos más generales, de la ordenación del territorio, pero ello no puede significar que cualquier norma que incida sobre el territorio tenga que quedar subsumida en la competencia autonómica sobre ordenación del territorio, puesto que ello supondría atribuirle un alcance tan amplio que desconocería el contenido específico de otros muchos títulos competenciales, máxime si tenemos en cuenta que la mayor parte de las políticas sectoriales tienen una dimensión espacial (STC 61/1997) [FJ 4].</w:t>
      </w:r>
    </w:p>
    <w:p w:rsidR="0026452D" w:rsidRDefault="0026452D" w:rsidP="0026452D">
      <w:pPr>
        <w:pStyle w:val="Extracto"/>
      </w:pPr>
    </w:p>
    <w:p w:rsidR="0026452D" w:rsidRDefault="0026452D" w:rsidP="0026452D">
      <w:pPr>
        <w:pStyle w:val="Extracto"/>
      </w:pPr>
      <w:r>
        <w:t>2.</w:t>
      </w:r>
      <w:r>
        <w:tab/>
        <w:t>El precepto que prohíbe el cambio de uso forestal de los terrenos incendiados durante un período mínimo de treinta años se circunscribe a un régimen específico de protección, aplicable únicamente a los terrenos incendiados, con la finalidad de garantizar a largo plazo su regeneración y, en definitiva, su conservación, por lo que, en virtud del art. 149.1.23 CE, los efectos prohibitivos y su prevalencia sobre los usos constructivos del suelo se acomodan sin esfuerzo alguno al concepto de lo básico, calificación que por otra parte no supone atribuirle al Estado competencia específica en materia de urbanismo (STC 61/1997) [FJ 4].</w:t>
      </w:r>
    </w:p>
    <w:p w:rsidR="0026452D" w:rsidRDefault="0026452D" w:rsidP="0026452D">
      <w:pPr>
        <w:pStyle w:val="Extracto"/>
      </w:pPr>
    </w:p>
    <w:p w:rsidR="0026452D" w:rsidRDefault="0026452D" w:rsidP="0026452D">
      <w:pPr>
        <w:pStyle w:val="Extracto"/>
      </w:pPr>
      <w:r>
        <w:t>3.</w:t>
      </w:r>
      <w:r>
        <w:tab/>
        <w:t>El precepto que prohíbe el cambio de uso forestal de los terrenos no desemboca en un vaciamiento de la competencia autonómica para la protección del patrimonio forestal, pues el plazo de treinta años opera como un mínimo y la prohibición no es taxativa o absoluta, al dejar un margen de decisión a las Comunidades Autónomas para acordar el régimen de excepciones cuando existan circunstancias objetivas que acrediten que el cambio de uso del terreno forestal afectado estaba previsto con anterioridad al incendio [FJ 4].</w:t>
      </w:r>
    </w:p>
    <w:p w:rsidR="0026452D" w:rsidRDefault="0026452D" w:rsidP="0026452D">
      <w:pPr>
        <w:pStyle w:val="Extracto"/>
      </w:pPr>
    </w:p>
    <w:p w:rsidR="0026452D" w:rsidRDefault="0026452D" w:rsidP="0026452D">
      <w:pPr>
        <w:pStyle w:val="Extracto"/>
      </w:pPr>
      <w:r>
        <w:t>4.</w:t>
      </w:r>
      <w:r>
        <w:tab/>
        <w:t xml:space="preserve">La afectación transversal del título competencial del Estado, que se ciñe al ámbito de la básico </w:t>
      </w:r>
      <w:r w:rsidRPr="0026452D">
        <w:rPr>
          <w:i/>
        </w:rPr>
        <w:t>ex</w:t>
      </w:r>
      <w:r>
        <w:t xml:space="preserve">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w:t>
      </w:r>
      <w:r>
        <w:lastRenderedPageBreak/>
        <w:t>ejercicio ordinario de la actividad sectorial de que se trate pueda tener (STC 101/2005) [FJ 5].</w:t>
      </w:r>
    </w:p>
    <w:p w:rsidR="0026452D" w:rsidRDefault="0026452D" w:rsidP="0026452D">
      <w:pPr>
        <w:pStyle w:val="Extracto"/>
      </w:pPr>
    </w:p>
    <w:p w:rsidR="0026452D" w:rsidRDefault="0026452D" w:rsidP="0026452D">
      <w:pPr>
        <w:pStyle w:val="Extracto"/>
      </w:pPr>
      <w:r>
        <w:t>5.</w:t>
      </w:r>
      <w:r>
        <w:tab/>
        <w:t xml:space="preserve">Las limitaciones a la circulación motorizada por pistas forestales situadas fuera de la red de carreteras responden a la finalidad de conservar los montes preservándolos de usos que, en determinadas circunstancias pueden implicar un riesgo de incendio forestal, por lo que revisten carácter básico en el ámbito de la competencia estatal </w:t>
      </w:r>
      <w:r w:rsidRPr="0026452D">
        <w:rPr>
          <w:i/>
        </w:rPr>
        <w:t>ex</w:t>
      </w:r>
      <w:r>
        <w:t xml:space="preserve"> art. 149.1.23 CE, dejando el precepto que las regula margen de decisión a las Comunidades Autónomas para autorizar el tránsito abierto motorizado en determinadas circunstancias, modulando así la limitación establecida con carácter básico de modo adecuado al orden constitucional de distribución de competencias [FFJJ 5, 6].</w:t>
      </w:r>
    </w:p>
    <w:p w:rsidR="0026452D" w:rsidRDefault="0026452D" w:rsidP="0026452D">
      <w:pPr>
        <w:pStyle w:val="Extracto"/>
      </w:pPr>
    </w:p>
    <w:p w:rsidR="0026452D" w:rsidRDefault="0026452D" w:rsidP="0026452D">
      <w:pPr>
        <w:pStyle w:val="Extracto"/>
      </w:pPr>
      <w:r>
        <w:t>6.</w:t>
      </w:r>
      <w:r>
        <w:tab/>
        <w:t>El precepto impugnado supera sin dificultades el juicio de proporcionalidad sobre la relación existente entre la medida adoptada, el resultado producido y la finalidad pretendida, según exige nuestra doctrina, pues su objeto no es entorpecer de forma constitucionalmente ilegítima la libertad de circulación de las personas, sino limitar el uso de vehículos a motor en itinerarios que no están acondicionados para este tipo de tránsito, con la finalidad de proteger el patrimonio forestal [FJ 6].</w:t>
      </w:r>
    </w:p>
    <w:p w:rsidR="0026452D" w:rsidRDefault="0026452D" w:rsidP="0026452D">
      <w:pPr>
        <w:pStyle w:val="Extracto"/>
      </w:pPr>
    </w:p>
    <w:p w:rsidR="0026452D" w:rsidRDefault="0026452D" w:rsidP="0026452D">
      <w:pPr>
        <w:pStyle w:val="Extracto"/>
      </w:pPr>
      <w:r>
        <w:t>7.</w:t>
      </w:r>
      <w:r>
        <w:tab/>
        <w:t>En materias como la ordenación del territorio, el urbanismo, el medio ambiente y la ordenación de los recursos forestales existen profundas interacciones, por lo que para determinar cuál es la materia y, por tanto, el título competencial de referencia es necesario atender tanto a la finalidad como al contenido de la norma, es decir, a las técnicas legislativas utilizadas para alcanzar dicha finalidad (SSTC 28/1997, 49/2013) [FJ 2].</w:t>
      </w:r>
    </w:p>
    <w:p w:rsidR="0026452D" w:rsidRDefault="0026452D" w:rsidP="0026452D">
      <w:pPr>
        <w:pStyle w:val="Extracto"/>
      </w:pPr>
    </w:p>
    <w:p w:rsidR="0026452D" w:rsidRDefault="0026452D" w:rsidP="0026452D">
      <w:pPr>
        <w:pStyle w:val="Extracto"/>
      </w:pPr>
      <w:r>
        <w:t>8.</w:t>
      </w:r>
      <w:r>
        <w:tab/>
        <w:t>Doctrina constitucional sobre la necesidad de que el recurso contenga una argumentación específica que fundamente la presunta contradicción de los preceptos impugnados con la Norma fundamental (SSTC 98/1989, 195/2012) [FJ 3].</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inconstitucionalidad núm. 7837-2006, interpuesto por el Consejo de Gobierno de La Rioja contra los arts. 50.1 y 54 bis de la Ley 43/2003, de 21 de noviembre, </w:t>
      </w:r>
      <w:r>
        <w:lastRenderedPageBreak/>
        <w:t>de montes, en la redacción dada por el art. único, apartados 32 y 33, de la Ley 10/2006, de 28 de abril. Ha comparecido y formulado alegaciones el Abogado del Estado. Ha sido ponente el Magistrado don Fernando Valdés Dal-Ré,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el día 25 de julio de 2006, el Letrado de la Comunidad Autónoma de La Rioja, en la representación que legalmente ostenta, promueve recurso de inconstitucionalidad contra los arts. 50.1 y 54 bis de la Ley 43/2003, de 21 de noviembre, de montes, en la redacción dada por el art. único, apartados 32 y 33, de la Ley 10/2006, de 28 de abril. La impugnación se fundamenta en los motivos que, resumidamente, se exponen a continuación:</w:t>
      </w:r>
    </w:p>
    <w:p w:rsidR="0026452D" w:rsidRDefault="0026452D" w:rsidP="0026452D">
      <w:pPr>
        <w:pStyle w:val="TextoNormal"/>
      </w:pPr>
    </w:p>
    <w:p w:rsidR="0026452D" w:rsidRDefault="0026452D" w:rsidP="0026452D">
      <w:pPr>
        <w:pStyle w:val="TextoNormal"/>
      </w:pPr>
      <w:r>
        <w:t>a) Al prohibir durante treinta años el cambio de uso de los terrenos incendiados, el art. 50.1 no deja, realmente, margen alguno a la normativa autonómica, más allá de unas aparentes excepciones, y de la posibilidad de aumentar el plazo de prohibición. La capacidad de desarrollo de las Comunidades Autónomas es prácticamente nula, en la medida en que los aspectos verdaderamente importantes de la norma son inmodificables. Así, no puede variarse el plazo, salvo para aumentarlo, lo cual deja pocas posibilidades de cambio, dado el periodo de treinta años de prohibición. En cuanto a este aspecto temporal, la norma, que teóricamente podría pasar por un mínimo susceptible de ampliación, es en realidad un máximo que no deja fisuras.</w:t>
      </w:r>
    </w:p>
    <w:p w:rsidR="0026452D" w:rsidRDefault="0026452D" w:rsidP="0026452D">
      <w:pPr>
        <w:pStyle w:val="TextoNormal"/>
      </w:pPr>
    </w:p>
    <w:p w:rsidR="0026452D" w:rsidRDefault="0026452D" w:rsidP="0026452D">
      <w:pPr>
        <w:pStyle w:val="TextoNormal"/>
      </w:pPr>
      <w:r>
        <w:t>Además de las aparentes excepciones que recoge, la norma no permite al legislador autonómico excepcionar, matizar o moderar la intensidad de la prohibición por razón de circunstancias sobrevenidas, que en ocasiones pueden responder a acusadas características ligadas al interés general (por ejemplo, determinadas obras públicas).</w:t>
      </w:r>
    </w:p>
    <w:p w:rsidR="0026452D" w:rsidRDefault="0026452D" w:rsidP="0026452D">
      <w:pPr>
        <w:pStyle w:val="TextoNormal"/>
      </w:pPr>
    </w:p>
    <w:p w:rsidR="0026452D" w:rsidRDefault="0026452D" w:rsidP="0026452D">
      <w:pPr>
        <w:pStyle w:val="TextoNormal"/>
      </w:pPr>
      <w:r>
        <w:t>La nueva redacción del art. 50.1, y sin perjuicio de las excepciones que el mismo abre, impone un mínimo a todas las Comunidades Autónomas, lo que entra en colisión con las competencias de la Comunidad Autónoma de La Rioja, exclusivas en lo referente a la ordenación del territorio y urbanismo, (art. 8.1.16 del Estatuto de Autonomía para La Rioja: EAR) y de desarrollo y ejecución de la legislación básica del Estado en materia de protección del patrimonio forestal (art. 9.1 y 11 EAR).</w:t>
      </w:r>
    </w:p>
    <w:p w:rsidR="0026452D" w:rsidRDefault="0026452D" w:rsidP="0026452D">
      <w:pPr>
        <w:pStyle w:val="TextoNormal"/>
      </w:pPr>
    </w:p>
    <w:p w:rsidR="0026452D" w:rsidRDefault="0026452D" w:rsidP="0026452D">
      <w:pPr>
        <w:pStyle w:val="TextoNormal"/>
      </w:pPr>
      <w:r>
        <w:t>La competencia autonómica exclusiva sobre ordenación del territorio y urbanismo ha de integrarse sistemáticamente con aquellas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Pero compete a las Comunidades Autónomas emanar normas que afecten a la ordenación urbanística, en las que se entienden comprendidas las facultades inherentes a la clasificación y tipos de suelo, entre ellos el forestal, y a su correspondiente protección.</w:t>
      </w:r>
    </w:p>
    <w:p w:rsidR="0026452D" w:rsidRDefault="0026452D" w:rsidP="0026452D">
      <w:pPr>
        <w:pStyle w:val="TextoNormal"/>
      </w:pPr>
    </w:p>
    <w:p w:rsidR="0026452D" w:rsidRDefault="0026452D" w:rsidP="0026452D">
      <w:pPr>
        <w:pStyle w:val="TextoNormal"/>
      </w:pPr>
      <w:r>
        <w:t xml:space="preserve">Al imponer un mínimo —la prohibición del cambio de uso del suelo forestal incendiado durante al menos treinta años—, puede entenderse que se está limitando o invadiendo, de </w:t>
      </w:r>
      <w:r>
        <w:lastRenderedPageBreak/>
        <w:t>un lado, la competencia exclusiva de la Comunidad sobre la ordenación del territorio y urbanismo y, de otro, la competencia de desarrollo y ejecución de legislación básica del Estado, porque la minuciosidad con que se desenvuelve tal base desemboca en un vaciamiento de las competencias autonómicas para la protección del patrimonio forestal. Esta regulación estatal deja un margen dentro del cual las Comunidades Autónomas pueden ejercer sus competencias, e incluso excepcionar dicha prohibición general de treinta años, que actúa como norma mínima, si bien puede entenderse que tal mínimo, dentro del concepto de lo básico, entra en colisión con los títulos de la Comunidad Autónoma de La Rioja contenidos en los arts. 8.1.16 y 9.1 y 11 EAR.</w:t>
      </w:r>
    </w:p>
    <w:p w:rsidR="0026452D" w:rsidRDefault="0026452D" w:rsidP="0026452D">
      <w:pPr>
        <w:pStyle w:val="TextoNormal"/>
      </w:pPr>
    </w:p>
    <w:p w:rsidR="0026452D" w:rsidRDefault="0026452D" w:rsidP="0026452D">
      <w:pPr>
        <w:pStyle w:val="TextoNormal"/>
      </w:pPr>
      <w:r>
        <w:t>b) El art. 54 bis, que regula el uso de las pistas forestales y el acceso público al monte, tiene como antecedente el art. 13 del Real Decreto-ley 11/2005, de 22 de julio, por el que se aprueban medidas urgentes en materia de incendios forestales, que estuvo en vigor por un período de tiempo limitado. Confrontando ambos preceptos, puede decirse que el art. 54 bis es, en cierto modo, una suerte de reformulación del primero, si bien con la importante y esencial diferencia de la vigencia indefinida, que acentúa la desproporción de la prohibición.</w:t>
      </w:r>
    </w:p>
    <w:p w:rsidR="0026452D" w:rsidRDefault="0026452D" w:rsidP="0026452D">
      <w:pPr>
        <w:pStyle w:val="TextoNormal"/>
      </w:pPr>
    </w:p>
    <w:p w:rsidR="0026452D" w:rsidRDefault="0026452D" w:rsidP="0026452D">
      <w:pPr>
        <w:pStyle w:val="TextoNormal"/>
      </w:pPr>
      <w:r>
        <w:t>Confluyen aquí otros títulos estatutarios de la Comunidad Autónoma de La Rioja, tales como, entre otros, los que le atribuyen competencia exclusiva en materia de promoción y ordenación del turismo en su ámbito territorial (art. 8.1.9), cultura (art. 8.1.23) o promoción del deporte y de la adecuada utilización del ocio (art. 8.1.27), que deben concurrir, en todo caso, con las competencias estatales, que pueden imponerles límites puntuales. El nuevo art. 54 bis de la Ley 43/2003 establece una prohibición prácticamente absoluta de circulación motorizada, matizada por ciertas y contadas excepciones. La norma básica se produce con un grado tal de radicalidad y rigor que no puede predicarse su condición de tal, al impedir a la Comunidad Autónoma de La Rioja disponer de un mínimo margen de actuación que le permita, mediante el ejercicio de su competencia de desarrollo legislativo y ejecución, establecer las medidas complementarias que satisfagan sus peculiares intereses; e, igualmente, ejercer sus competencias sectoriales de carácter exclusivo.</w:t>
      </w:r>
    </w:p>
    <w:p w:rsidR="0026452D" w:rsidRDefault="0026452D" w:rsidP="0026452D">
      <w:pPr>
        <w:pStyle w:val="TextoNormal"/>
      </w:pPr>
    </w:p>
    <w:p w:rsidR="0026452D" w:rsidRDefault="0026452D" w:rsidP="0026452D">
      <w:pPr>
        <w:pStyle w:val="TextoNormal"/>
      </w:pPr>
      <w:r>
        <w:t>Cabría sostener, en principio, que el nuevo art. 54 bis no es disconforme con el orden constitucional de distribución de competencias, argumentado que la norma únicamente establece una limitación específica, con excepciones, referida a la circulación con vehículos a motor por pistas forestales situadas fuera de la red de carreteras, calificable como medida sustancialmente medioambiental, en cuanto dirigida a preservar el monte y prevenir los incendios forestales; y que las excepciones dejan margen para el desarrollo normativo autonómico. Sin embargo, debe analizarse si la medida contenida en la norma cuestionada resulta conforme con el criterio de proporcionalidad como parámetro de constitucionalidad de aquélla (requerida por el canon de admisibilidad de afectación transversal recogido en la STC 101/2005, de 20 de abril). Desde esta perspectiva, es notoriamente desproporcionado establecer una prohibición absoluta sin posibilidad de modulación o graduación en atención a aspectos como el tipo de vehículo, la naturaleza del monte, la Comunidad Autónoma en que se halle radicado, la época del año y hora del día en que se circule o cualquier otra circunstancia que pueda tener incidencia en el riesgo de incendio forestal. En la medida en que el riesgo de incendio forestal se incrementa o decrece en función de factores como los indicados u otros similares, es indudable que hubo de haberse previsto la ponderación de los mismos al objeto de graduar la prohibición que establece la norma cuestionada, para que resultara proporcionada a la consecución del fin perseguido.</w:t>
      </w:r>
    </w:p>
    <w:p w:rsidR="0026452D" w:rsidRDefault="0026452D" w:rsidP="0026452D">
      <w:pPr>
        <w:pStyle w:val="TextoNormal"/>
      </w:pPr>
    </w:p>
    <w:p w:rsidR="0026452D" w:rsidRDefault="0026452D" w:rsidP="0026452D">
      <w:pPr>
        <w:pStyle w:val="TextoNormal"/>
      </w:pPr>
      <w:r>
        <w:t>Esa falta de proporcionalidad permite afirmar que la afectación transversal del título competencial del Estado, que se ciñe al ámbito de lo básico (art. 149.1.23 CE), en su condicionamiento de las competencias sectoriales de la Comunidad Autónoma, no es conforme con el orden constitucional de distribución de competencias, al impedir o, por lo menos, dificultar el ejercicio sobre los montes de las competencias sectoriales que tiene estatutariamente atribuidas la Comunidad Autónoma.</w:t>
      </w:r>
    </w:p>
    <w:p w:rsidR="0026452D" w:rsidRDefault="0026452D" w:rsidP="0026452D">
      <w:pPr>
        <w:pStyle w:val="TextoNormal"/>
      </w:pPr>
    </w:p>
    <w:p w:rsidR="0026452D" w:rsidRDefault="0026452D" w:rsidP="0026452D">
      <w:pPr>
        <w:pStyle w:val="TextoNormal"/>
      </w:pPr>
      <w:r>
        <w:t>Por otra parte, al imposibilitar la graduación o modulación de la rigurosa limitación en aspectos como los señalados, se cercenan de raíz las competencias de desarrollo normativo y de ejecución de la Comunidad Autónoma, lo que no ocurriría con otra solución normativa más respetuosa con el principio de proporcionalidad, evidenciando así la vulneración de las competencias que corresponden a la Comunidad Autónoma de La Rioja, conforme al art. 9.1 y 11 EAR.</w:t>
      </w:r>
    </w:p>
    <w:p w:rsidR="0026452D" w:rsidRDefault="0026452D" w:rsidP="0026452D">
      <w:pPr>
        <w:pStyle w:val="TextoNormal"/>
      </w:pPr>
    </w:p>
    <w:p w:rsidR="0026452D" w:rsidRDefault="0026452D" w:rsidP="0026452D">
      <w:pPr>
        <w:pStyle w:val="TextoNormal"/>
      </w:pPr>
      <w:r>
        <w:t>c) El art. 54 bis contraviene la Constitución desde otra perspectiva, al afectar a la esfera de la libertad de la persona, incidiendo en el derecho a circular libremente por el territorio nacional, contemplado, con diferente alcance, en los arts. 19 y 139.2 CE, así como en el derecho a disfrutar del medio ambiente, singularmente del monte, conforme al art. 45 CE, en la medida en que esa prohibición supone, en la práctica, la imposibilidad de disfrutar del monte, o de su mayor parte, para la inmensa mayoría de los ciudadanos.</w:t>
      </w:r>
    </w:p>
    <w:p w:rsidR="0026452D" w:rsidRDefault="0026452D" w:rsidP="0026452D">
      <w:pPr>
        <w:pStyle w:val="TextoNormal"/>
      </w:pPr>
    </w:p>
    <w:p w:rsidR="0026452D" w:rsidRDefault="0026452D" w:rsidP="0026452D">
      <w:pPr>
        <w:pStyle w:val="TextoNormal"/>
      </w:pPr>
      <w:r>
        <w:t>El Tribunal Constitucional tiene señalado que la Constitución no impide al Estado proteger bienes jurídicos constitucionalmente reconocidos a costa del sacrificio de otros bienes igualmente reconocidos, ya se trate de derechos fundamentales, ya de otros bienes o valores que gozan de la protección constitucional (SSTC 196/1987, de 11 de diciembre; 55/1996, de 28 de marzo, y 49/1999, de 5 de abril). Pero tales restricciones son tolerables siempre y cuando sean proporcionadas, de modo que contribuyan a la consecución del fin constitucionalmente legítimo al que propendan y hayan de ser inevitablemente preferidas a otras que pudieran suponer un sacrificio menor para la esfera de libertad protegida (STC 66/1991, de 22 de marzo).</w:t>
      </w:r>
    </w:p>
    <w:p w:rsidR="0026452D" w:rsidRDefault="0026452D" w:rsidP="0026452D">
      <w:pPr>
        <w:pStyle w:val="TextoNormal"/>
      </w:pPr>
    </w:p>
    <w:p w:rsidR="0026452D" w:rsidRDefault="0026452D" w:rsidP="0026452D">
      <w:pPr>
        <w:pStyle w:val="TextoNormal"/>
      </w:pPr>
      <w:r>
        <w:t>No es el caso del art. 54 bis, que impone una prohibición absoluta de acceso motorizado, claramente desmesurada con el fin que pretende, que se pudo lograr con medidas mucho menos radicales y restrictivas de los derechos reconocidos en la Constitución, graduando las limitaciones necesarias a la circulación motorizada mediante la toma en consideración de factores como los que antes se indicaron, u otros análogos.</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26 de septiembre de 2006, la Sección Tercera acordó admitir a trámite el recurso y, de conformidad con lo establecido en el art. 34 de la Ley Orgánica del Tribunal Constitucional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3</w:t>
      </w:r>
      <w:r>
        <w:t>. El día 29 de septiembre de 2006, la Abogada del Estado se personó en el proceso en nombre del Gobierno, solicitando una prórroga en el plazo concedido para formular alegaciones, prórroga de ocho días en el plazo ordinario, que le fue concedida por providencia de la Sección Tercera de 4 de octubre de 2006.</w:t>
      </w:r>
    </w:p>
    <w:p w:rsidR="0026452D" w:rsidRDefault="0026452D" w:rsidP="0026452D">
      <w:pPr>
        <w:pStyle w:val="TextoNormal"/>
      </w:pPr>
    </w:p>
    <w:p w:rsidR="0026452D" w:rsidRDefault="0026452D" w:rsidP="0026452D">
      <w:pPr>
        <w:pStyle w:val="TextoNormal"/>
      </w:pPr>
      <w:r w:rsidRPr="0026452D">
        <w:rPr>
          <w:rStyle w:val="NumeroAFNegritaCaracter"/>
        </w:rPr>
        <w:t>4</w:t>
      </w:r>
      <w:r>
        <w:t>. Con fecha 6 de octubre de 2006, el Presidente del Congreso de los Diputados comunicó el acuerdo de la Mesa de la Cámara en el sentido de no personarse en el proceso ni formular alegaciones.</w:t>
      </w:r>
    </w:p>
    <w:p w:rsidR="0026452D" w:rsidRDefault="0026452D" w:rsidP="0026452D">
      <w:pPr>
        <w:pStyle w:val="TextoNormal"/>
      </w:pPr>
    </w:p>
    <w:p w:rsidR="0026452D" w:rsidRDefault="0026452D" w:rsidP="0026452D">
      <w:pPr>
        <w:pStyle w:val="TextoNormal"/>
      </w:pPr>
      <w:r w:rsidRPr="0026452D">
        <w:rPr>
          <w:rStyle w:val="NumeroAFNegritaCaracter"/>
        </w:rPr>
        <w:t>5</w:t>
      </w:r>
      <w:r>
        <w:t>. El 11 de octubre de 2006, el Presidente del Senado comunicó que la Cámara se personaba en el proceso, ofreciendo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6</w:t>
      </w:r>
      <w:r>
        <w:t>. La Abogada del Estado, en la representación que legalmente ostenta, presentó su escrito de alegaciones el día 27 de octubre de 2006, instando la desestimación del recurso en atención a la argumentación que se sintetiza seguidamente:</w:t>
      </w:r>
    </w:p>
    <w:p w:rsidR="0026452D" w:rsidRDefault="0026452D" w:rsidP="0026452D">
      <w:pPr>
        <w:pStyle w:val="TextoNormal"/>
      </w:pPr>
    </w:p>
    <w:p w:rsidR="0026452D" w:rsidRDefault="0026452D" w:rsidP="0026452D">
      <w:pPr>
        <w:pStyle w:val="TextoNormal"/>
      </w:pPr>
      <w:r>
        <w:t>a) En la impugnación del art. 50.1, no se alega nada respecto del apartado 1.1 del precepto, ni del apartado 1.1 b). En cuanto al art. 54 bis, las alegaciones se concentran en su apartado 2, sin mencionar siquiera los apartados 1 y 3. La falta de alegaciones sobre estos extremos debe traer como consecuencia su exclusión del recurso de inconstitucionalidad, como expresa la doctrina constitucional (SSTC 96/2002, de 25 de abril, FJ 4; 16/2003, de 30 de enero, FJ 9; y 48/2003, de 12 de marzo, FJ 3), según la cual compete a la recurrente la carga de fundamentar debidamente su impugnación respecto de todos y cada uno de los preceptos legales recurridos.</w:t>
      </w:r>
    </w:p>
    <w:p w:rsidR="0026452D" w:rsidRDefault="0026452D" w:rsidP="0026452D">
      <w:pPr>
        <w:pStyle w:val="TextoNormal"/>
      </w:pPr>
    </w:p>
    <w:p w:rsidR="0026452D" w:rsidRDefault="0026452D" w:rsidP="0026452D">
      <w:pPr>
        <w:pStyle w:val="TextoNormal"/>
      </w:pPr>
      <w:r>
        <w:t>b) El art. 50.1 contiene mandatos inequívocamente básicos. La prohibición de la letra b) constituye una medida en garantía de la recuperación de los terrenos forestales incendiados, que reconoce un amplio margen de desarrollo normativo a las Comunidades Autónomas, a las que corresponde determinar las características de la actividad incompatible con la regeneración de la cubierta vegetal, y el plazo de duración de la prohibición.</w:t>
      </w:r>
    </w:p>
    <w:p w:rsidR="0026452D" w:rsidRDefault="0026452D" w:rsidP="0026452D">
      <w:pPr>
        <w:pStyle w:val="TextoNormal"/>
      </w:pPr>
    </w:p>
    <w:p w:rsidR="0026452D" w:rsidRDefault="0026452D" w:rsidP="0026452D">
      <w:pPr>
        <w:pStyle w:val="TextoNormal"/>
      </w:pPr>
      <w:r>
        <w:t xml:space="preserve">La prohibición del cambio de uso forestal al menos durante treinta años, establecida en la letra a) del apartado 1, y las excepciones previstas a continuación, se encuentran extensamente justificadas en la exposición de motivos de la Ley 10/2006, habiendo considerado necesario el legislador estatal, en ejercicio de su competencia sobre montes, </w:t>
      </w:r>
      <w:r w:rsidRPr="0026452D">
        <w:rPr>
          <w:i/>
        </w:rPr>
        <w:t>ex</w:t>
      </w:r>
      <w:r>
        <w:t xml:space="preserve"> art. 149.1.23 CE, adoptar medidas disuasorias más intensas para evitar la producción de incendios, estableciendo dicha prohibición con el fin de eliminar cualquier expectativa que pudiera incentivar la provocación de incendios con la finalidad de obtener un beneficio económico de dicho cambio de uso. Por otra parte, la medida persigue posibilitar físicamente la recuperación del terreno forestal a su estado anterior a la producción del incendio. Es, por lo tanto, una medida protectora del terreno forestal, característica que justifica la amplitud del plazo, que no es por ello arbitrario sino exigido por la naturaleza de las cosas, ni pretende en modo alguno cercenar las competencias autonómicas.</w:t>
      </w:r>
    </w:p>
    <w:p w:rsidR="0026452D" w:rsidRDefault="0026452D" w:rsidP="0026452D">
      <w:pPr>
        <w:pStyle w:val="TextoNormal"/>
      </w:pPr>
    </w:p>
    <w:p w:rsidR="0026452D" w:rsidRDefault="0026452D" w:rsidP="0026452D">
      <w:pPr>
        <w:pStyle w:val="TextoNormal"/>
      </w:pPr>
      <w:r>
        <w:t xml:space="preserve">Resulta aplicable la doctrina constitucional (SSTC 101/2005, de 20 de abril; 102/1995, de 26 de junio; 170/1989, de 19 de octubre y 21/1999, de 25 de febrero), que admite que, en determinados supuestos, la legislación básica puede, por razones de protección directa </w:t>
      </w:r>
      <w:r>
        <w:lastRenderedPageBreak/>
        <w:t>del medio ambiente, contener medidas de especial intensidad si ello es necesario para garantizar dicha protección. Es por ello perfectamente constitucional que la legislación básica estatal incorpore prohibiciones o medidas singulares, fundamentadas en la finalidad de protección de los montes y de sus aprovechamientos forestales, cuando se considere que son necesarias para alcanzar los objetivos derivados de dicha finalidad.</w:t>
      </w:r>
    </w:p>
    <w:p w:rsidR="0026452D" w:rsidRDefault="0026452D" w:rsidP="0026452D">
      <w:pPr>
        <w:pStyle w:val="TextoNormal"/>
      </w:pPr>
    </w:p>
    <w:p w:rsidR="0026452D" w:rsidRDefault="0026452D" w:rsidP="0026452D">
      <w:pPr>
        <w:pStyle w:val="TextoNormal"/>
      </w:pPr>
      <w:r>
        <w:t>No es correcta la invocación del título competencial autonómico sobre ordenación del territorio y urbanismo, porque el precepto no tiene esa finalidad, ni trata de ordenar usos del suelo ni planificar el territorio, sino la claramente medioambiental, para la protección del patrimonio forestal. Aunque es innegable que la medida tiene una repercusión final sobre el territorio, prima su vinculación a la protección de los montes, pues la misma pretende exclusivamente salvaguardar el terreno forestal para evitar su incendio y, en caso de producirse, facilitar su regeneración. De acuerdo con la jurisprudencia constitucional sobre el efecto “transversal” de la competencia medioambiental (en este supuesto sobre montes y aprovechamientos forestales), como consecuencia de esta decisión de carácter ambiental, se produce un condicionamiento mínimo, pero constitucionalmente legítimo, de la política de ordenación del territorio.</w:t>
      </w:r>
    </w:p>
    <w:p w:rsidR="0026452D" w:rsidRDefault="0026452D" w:rsidP="0026452D">
      <w:pPr>
        <w:pStyle w:val="TextoNormal"/>
      </w:pPr>
    </w:p>
    <w:p w:rsidR="0026452D" w:rsidRDefault="0026452D" w:rsidP="0026452D">
      <w:pPr>
        <w:pStyle w:val="TextoNormal"/>
      </w:pPr>
      <w:r>
        <w:t>Por otra parte, no puede olvidarse la doctrina constitucional sobre la concurrencia de distintas competencias sobre el mismo territorio. Las competencias autonómicas que se proyectan sobre el territorio no pueden anular el ejercicio de las competencias estatales [STC 61/1997, de 20 de marzo, FFJJ 6 b) y 22].</w:t>
      </w:r>
    </w:p>
    <w:p w:rsidR="0026452D" w:rsidRDefault="0026452D" w:rsidP="0026452D">
      <w:pPr>
        <w:pStyle w:val="TextoNormal"/>
      </w:pPr>
    </w:p>
    <w:p w:rsidR="0026452D" w:rsidRDefault="0026452D" w:rsidP="0026452D">
      <w:pPr>
        <w:pStyle w:val="TextoNormal"/>
      </w:pPr>
      <w:r>
        <w:t>En los mismos términos, tampoco pueden encuadrarse las excepciones a las antedichas prohibiciones, establecidas en los tres últimos párrafos del art. 50.1, en la materia de ordenación del territorio, por el hecho de que se mencionen instrumentos de planeamiento. La utilización del concepto planeamiento de una manera completamente genérica no obedece a una finalidad de ordenación del uso del suelo, ni determina consecuencias sobre ella. Se amparan excepciones cuando la planificación, previa al incendio, asegure, de una parte, que no ha podido ser el cambio de uso la finalidad perseguida por el incendio (en el caso en que éste hubiera sido provocado) y, de otra, que no es preciso establecer un plazo de regeneración, puesto que el instrumento de planeamiento preveía el cambio de uso antes del incendio. El requisito de que el planeamiento esté previamente aprobado es una condición lógica para su eficacia (número 1), y, para el caso de los instrumentos de planeamiento pendientes de aprobación, el requisito de que hubiera sido ya objeto de evaluación ambiental favorable o de información pública se ciñe estrictamente a la finalidad perseguida: la previa y notoria existencia de un instrumento de planeamiento con vocación de cambiar el uso forestal, en el que las perspectivas medioambiental y forestal han sido ya tenidas en cuenta.</w:t>
      </w:r>
    </w:p>
    <w:p w:rsidR="0026452D" w:rsidRDefault="0026452D" w:rsidP="0026452D">
      <w:pPr>
        <w:pStyle w:val="TextoNormal"/>
      </w:pPr>
    </w:p>
    <w:p w:rsidR="0026452D" w:rsidRDefault="0026452D" w:rsidP="0026452D">
      <w:pPr>
        <w:pStyle w:val="TextoNormal"/>
      </w:pPr>
      <w:r>
        <w:t>En cuanto a la alegada vulneración de la competencia autonómica de desarrollo normativo, admitiendo que la prohibición es más densa que la contenida en la redacción original de 2003, ello no puede considerarse en sí mismo inconstitucional, sino que entra dentro del margen de decisión del legislador.</w:t>
      </w:r>
    </w:p>
    <w:p w:rsidR="0026452D" w:rsidRDefault="0026452D" w:rsidP="0026452D">
      <w:pPr>
        <w:pStyle w:val="TextoNormal"/>
      </w:pPr>
    </w:p>
    <w:p w:rsidR="0026452D" w:rsidRDefault="0026452D" w:rsidP="0026452D">
      <w:pPr>
        <w:pStyle w:val="TextoNormal"/>
      </w:pPr>
      <w:r>
        <w:t xml:space="preserve">Por otra parte, aun asumiendo la intensidad de la medida prohibitiva básica, no puede decirse que se elimine absolutamente cualquier desarrollo normativo autonómico. La remisión a la competencia autonómica, para “garantizar las condiciones para la restauración de </w:t>
      </w:r>
      <w:r>
        <w:lastRenderedPageBreak/>
        <w:t>los terrenos forestales incendiados”, reconoce indudablemente un amplio espacio de actuación normativa autonómica, que no queda enervado por la previsión de la letra a), que permite margen de desarrollo, en la medida en que se constituye como un mínimo. No puede obviarse tampoco que el apartado b) remite la prohibición relativa a la realización de actividades incompatibles con la regeneración de la cubierta vegetal al período que determine la legislación autonómica.</w:t>
      </w:r>
    </w:p>
    <w:p w:rsidR="0026452D" w:rsidRDefault="0026452D" w:rsidP="0026452D">
      <w:pPr>
        <w:pStyle w:val="TextoNormal"/>
      </w:pPr>
    </w:p>
    <w:p w:rsidR="0026452D" w:rsidRDefault="0026452D" w:rsidP="0026452D">
      <w:pPr>
        <w:pStyle w:val="TextoNormal"/>
      </w:pPr>
      <w:r>
        <w:t>c) El art. 54 bis no tiene como finalidad establecer una regulación sobre el monte como lugar donde se practican actividades como el ocio, el turismo o el deporte. Como el resto de la Ley, la perspectiva desde la que se considera el monte y los aprovechamientos forestales es la propia de este título competencial y no otra.</w:t>
      </w:r>
    </w:p>
    <w:p w:rsidR="0026452D" w:rsidRDefault="0026452D" w:rsidP="0026452D">
      <w:pPr>
        <w:pStyle w:val="TextoNormal"/>
      </w:pPr>
    </w:p>
    <w:p w:rsidR="0026452D" w:rsidRDefault="0026452D" w:rsidP="0026452D">
      <w:pPr>
        <w:pStyle w:val="TextoNormal"/>
      </w:pPr>
      <w:r>
        <w:t>El apartado 1 es un precepto evidentemente básico, que reconoce el más amplio margen de desarrollo normativo a las Comunidades Autónomas, en el que pueden subsumirse las hipotéticas regulaciones autonómicas sobre el acceso a los montes desde la perspectiva del turismo, deporte u ocio.</w:t>
      </w:r>
    </w:p>
    <w:p w:rsidR="0026452D" w:rsidRDefault="0026452D" w:rsidP="0026452D">
      <w:pPr>
        <w:pStyle w:val="TextoNormal"/>
      </w:pPr>
    </w:p>
    <w:p w:rsidR="0026452D" w:rsidRDefault="0026452D" w:rsidP="0026452D">
      <w:pPr>
        <w:pStyle w:val="TextoNormal"/>
      </w:pPr>
      <w:r>
        <w:t>Los apartados 2 y 3 figuraban, bien que con vigencia temporal limitada para el año 2005, en el Real Decreto-ley 11/2005, de 22 de julio, en cuya exposición de motivos se comprueba su relación directa con la prevención de actividades que pudieran entrañar algún riesgo para la producción de incendios. Ambos apartados deben encuadrarse competencialmente en el ámbito de la legislación básica del Estado sobre montes y aprovechamientos forestales, en la medida en que persiguen su adecuada protección, especialmente para la prevención de incendios. Aquí reside la diferencia con el precedente de la STC 101/2005, FJ 5, que analizaba previsiones no vinculadas a la protección medioambiental, sino “regulaciones positivas de las actividades correspondientes a las materias de promoción del turismo y de la cultura, el desarrollo comunitario y el ocio”.</w:t>
      </w:r>
    </w:p>
    <w:p w:rsidR="0026452D" w:rsidRDefault="0026452D" w:rsidP="0026452D">
      <w:pPr>
        <w:pStyle w:val="TextoNormal"/>
      </w:pPr>
    </w:p>
    <w:p w:rsidR="0026452D" w:rsidRDefault="0026452D" w:rsidP="0026452D">
      <w:pPr>
        <w:pStyle w:val="TextoNormal"/>
      </w:pPr>
      <w:r>
        <w:t>El precepto se justifica en la lucha contra los incendios, en esta ocasión con una medida de carácter preventivo. Se trata de evitar que la libre circulación por pistas forestales de vehículos a motor pueda dar lugar a la producción de incendios como consecuencia de su funcionamiento incorrecto y, por otra parte, de evitar que su presencia entorpezca la extinción de incendios, si colapsan la circulación de los vehículos en los que se transportan los medios para su extinción.</w:t>
      </w:r>
    </w:p>
    <w:p w:rsidR="0026452D" w:rsidRDefault="0026452D" w:rsidP="0026452D">
      <w:pPr>
        <w:pStyle w:val="TextoNormal"/>
      </w:pPr>
    </w:p>
    <w:p w:rsidR="0026452D" w:rsidRDefault="0026452D" w:rsidP="0026452D">
      <w:pPr>
        <w:pStyle w:val="TextoNormal"/>
      </w:pPr>
      <w:r>
        <w:t>Además, en la medida en que la prohibición de circulación de vehículos a motor afecta a la libertad de circulación prevista en el art. 19 CE, puede considerarse como una condición básica que delimita su ejercicio, que como tal corresponde establecer con carácter general al Estado de acuerdo con lo previsto en el art. 149.1.1 CE.</w:t>
      </w:r>
    </w:p>
    <w:p w:rsidR="0026452D" w:rsidRDefault="0026452D" w:rsidP="0026452D">
      <w:pPr>
        <w:pStyle w:val="TextoNormal"/>
      </w:pPr>
    </w:p>
    <w:p w:rsidR="0026452D" w:rsidRDefault="0026452D" w:rsidP="0026452D">
      <w:pPr>
        <w:pStyle w:val="TextoNormal"/>
      </w:pPr>
      <w:r>
        <w:t>Por otra parte, el precepto reconoce expresamente margen para el desarrollo normativo autonómico, que puede modular la prohibición de circulación en atención a una serie de criterios (adecuación del vial, señalización, aceptación por los titulares, mantenimiento y responsabilidad civil).</w:t>
      </w:r>
    </w:p>
    <w:p w:rsidR="0026452D" w:rsidRDefault="0026452D" w:rsidP="0026452D">
      <w:pPr>
        <w:pStyle w:val="TextoNormal"/>
      </w:pPr>
    </w:p>
    <w:p w:rsidR="0026452D" w:rsidRDefault="0026452D" w:rsidP="0026452D">
      <w:pPr>
        <w:pStyle w:val="TextoNormal"/>
      </w:pPr>
      <w:r>
        <w:t xml:space="preserve">d) En relación con la alegada vulneración de los arts. 19, 45 y 139.2 CE que se imputa al art. 54 bis, no se entiende la alusión al art. 139.2 CE, que se refiere a la prohibición de adoptar medidas que obstaculicen directamente la libertad de circulación y establecimiento </w:t>
      </w:r>
      <w:r>
        <w:lastRenderedPageBreak/>
        <w:t>de personas, ni cómo el precepto impugnado puede afectarlo, teniendo en cuenta que dicho precepto constitucional se refiere a la unicidad del orden económico nacional, como expresan las SSTC 88/1986, de 1 de julio, o 64/1990, de 5 de abril.</w:t>
      </w:r>
    </w:p>
    <w:p w:rsidR="0026452D" w:rsidRDefault="0026452D" w:rsidP="0026452D">
      <w:pPr>
        <w:pStyle w:val="TextoNormal"/>
      </w:pPr>
    </w:p>
    <w:p w:rsidR="0026452D" w:rsidRDefault="0026452D" w:rsidP="0026452D">
      <w:pPr>
        <w:pStyle w:val="TextoNormal"/>
      </w:pPr>
      <w:r>
        <w:t>Al amparo de la misma jurisprudencia constitucional citada en la demanda, no puede decirse que el sacrificio que pueda suponer para el disfrute del medio ambiente el hecho de no poder transitar libremente en vehículos a motor por pistas forestales sea en absoluto desproporcionado, hasta el punto de llegar a ser inconstitucional, cuando el principio de prohibición general está justificado precisamente en la conservación de los montes frente a agresiones voluntarias, negligentes o simplemente fortuitas. El interés que está en juego, y al que pretende atender la disposición legal, es la conservación del medio ambiente, presupuesto necesario para su disfrute. Parecidos argumentos pueden esgrimirse en relación con la vulneración del derecho a la libertad de circulación. El sacrificio que puede imponerse a este derecho se encuentra justificado por un motivo razonable, sin que la limitación impuesta afecte en modo alguno a su núcleo sustancial.</w:t>
      </w:r>
    </w:p>
    <w:p w:rsidR="0026452D" w:rsidRDefault="0026452D" w:rsidP="0026452D">
      <w:pPr>
        <w:pStyle w:val="TextoNormal"/>
      </w:pPr>
    </w:p>
    <w:p w:rsidR="0026452D" w:rsidRDefault="0026452D" w:rsidP="0026452D">
      <w:pPr>
        <w:pStyle w:val="TextoNormal"/>
      </w:pPr>
      <w:r>
        <w:t>En cuanto al art. 54 bis.3, no puede olvidarse que la Ley establece el mandato en términos de habilitación u opción que las Comunidades Autónomas pueden o no concretar “cuando el riesgo de incendio así lo aconseje”, por lo que no cabe duda del amplio margen de desarrollo normativo que reconoce este precepto a la competencia autonómica.</w:t>
      </w:r>
    </w:p>
    <w:p w:rsidR="0026452D" w:rsidRDefault="0026452D" w:rsidP="0026452D">
      <w:pPr>
        <w:pStyle w:val="TextoNormal"/>
      </w:pPr>
    </w:p>
    <w:p w:rsidR="0026452D" w:rsidRDefault="0026452D" w:rsidP="0026452D">
      <w:pPr>
        <w:pStyle w:val="TextoNormal"/>
      </w:pPr>
      <w:r>
        <w:t>e) Finalmente, se opone al contenido del suplico de la demanda, en el que se solicita la anulación de todos los actos de aplicación concreta de los preceptos impugnados, pues tal pretensión es contraria a lo dispuesto en el art. 40.1 LOTC. Resultaría aplicable la doctrina expresada en las SSTC 195/1998, de 1 de octubre, FJ 5, o 194/2004, de 4 de noviembre, FJ 24, sobre los efectos de las Sentencias de inconstitucionalidad en materia medioambiental cuando la ejecución inmediata del fallo pueda perjudicar al conjunto de bienes jurídicos protegidos por la legislación estatal.</w:t>
      </w:r>
    </w:p>
    <w:p w:rsidR="0026452D" w:rsidRDefault="0026452D" w:rsidP="0026452D">
      <w:pPr>
        <w:pStyle w:val="TextoNormal"/>
      </w:pPr>
    </w:p>
    <w:p w:rsidR="0026452D" w:rsidRDefault="0026452D" w:rsidP="0026452D">
      <w:pPr>
        <w:pStyle w:val="TextoNormal"/>
      </w:pPr>
      <w:r w:rsidRPr="0026452D">
        <w:rPr>
          <w:rStyle w:val="NumeroAFNegritaCaracter"/>
        </w:rPr>
        <w:t>7</w:t>
      </w:r>
      <w:r>
        <w:t>. Por providencia de 9 de abril de 2013 se señaló para deliberación y votación del presente recurso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interpone por el Consejo de Gobierno de La Rioja contra los arts. 50.1 y 54 bis de la Ley 43/2003, de 21 de noviembre, de montes, en la redacción dada por el art. único, apartados 32 y 33, de la Ley 10/2006, de 28 de abril.</w:t>
      </w:r>
    </w:p>
    <w:p w:rsidR="0026452D" w:rsidRDefault="0026452D" w:rsidP="0026452D">
      <w:pPr>
        <w:pStyle w:val="TextoNormal"/>
      </w:pPr>
    </w:p>
    <w:p w:rsidR="0026452D" w:rsidRDefault="0026452D" w:rsidP="0026452D">
      <w:pPr>
        <w:pStyle w:val="TextoNormal"/>
      </w:pPr>
      <w:r>
        <w:t xml:space="preserve">Como ha quedado expuesto con detalle en los antecedentes, el Consejo de Gobierno de La Rioja considera que el art. 50.1 entra en colisión con los arts. 8.1.16 del Estatuto de Autonomía para La Rioja (EAR), que atribuye a la Comunidad Autónoma la competencia exclusiva en materia de ordenación del territorio y urbanismo— y 9.1 y 11 EAR —que atribuyen a la Comunidad Autónoma la competencia de desarrollo legislativo y ejecución, en el marco de la legislación básica del Estado y, en su caso, en los términos que la misma establezca, en las materias de protección del medio ambiente, normas adicionales de protección del medio ambiente y del paisaje, espacios naturales protegidos y protección de los ecosistemas (apartado 1) y montes, aprovechamientos y servicios forestales, vías pecuarias </w:t>
      </w:r>
      <w:r>
        <w:lastRenderedPageBreak/>
        <w:t>y pastos (apartado 11)—. Por su parte, el art. 54 bis se reputa contrario a los citados apartados 1 y 11 del art. 9 EAR, afectando asimismo a las competencias exclusivas asumidas por la Comunidad Autónoma en las materias de promoción y ordenación del turismo, cultura, y promoción del deporte y de la adecuada utilización del ocio (art. 8.1, apartados 9, 23 y 27 EAR, respectivamente). Además, por motivos no competenciales, el art. 54 bis se impugna por vulneración de los arts. 19, 45 y 139.2 CE.</w:t>
      </w:r>
    </w:p>
    <w:p w:rsidR="0026452D" w:rsidRDefault="0026452D" w:rsidP="0026452D">
      <w:pPr>
        <w:pStyle w:val="TextoNormal"/>
      </w:pPr>
    </w:p>
    <w:p w:rsidR="0026452D" w:rsidRDefault="0026452D" w:rsidP="0026452D">
      <w:pPr>
        <w:pStyle w:val="TextoNormal"/>
      </w:pPr>
      <w:r>
        <w:t>La Abogada del Estado sostiene que ambos preceptos son manifestación de la competencia atribuida al Estado en materia de montes por el art. 149.1.23 CE, mencionando asimismo otras competencias conexas como, señaladamente, la legislación básica sobre protección del medio ambiente. En lo que se refiere al art. 54 bis, descarta la alegada vulneración de los arts. 19, 45 y 139.2 CE, por considerar proporcionada la prohibición contenida en el mismo, al estar justificada por la finalidad de conservación de los montes.</w:t>
      </w:r>
    </w:p>
    <w:p w:rsidR="0026452D" w:rsidRDefault="0026452D" w:rsidP="0026452D">
      <w:pPr>
        <w:pStyle w:val="TextoNormal"/>
      </w:pPr>
    </w:p>
    <w:p w:rsidR="0026452D" w:rsidRDefault="0026452D" w:rsidP="0026452D">
      <w:pPr>
        <w:pStyle w:val="TextoNormal"/>
      </w:pPr>
      <w:r w:rsidRPr="0026452D">
        <w:rPr>
          <w:rStyle w:val="NumeroAFNegritaCaracter"/>
        </w:rPr>
        <w:t>2</w:t>
      </w:r>
      <w:r>
        <w:t>. El art. 149.1.23 CE atribuye al Estado la competencia exclusiva sobre dos ámbitos diferenciados: de una parte, la legislación básica sobre protección del medio ambiente, sin perjuicio de las facultades de las Comunidades Autónomas de establecer normas adicionales de protección; de otra, la legislación básica sobre montes, aprovechamientos forestales y vías pecuarias. Ambos han sido invocados en las alegaciones de las partes, y ambos tienen reflejo en la ley de la que forman parte los preceptos objeto de impugnación. En efecto, si la disposición final segunda, apartado 1, de la Ley 10/2006, de 28 de abril, por la que se modifica la Ley 43/2003, de 21 de noviembre, de montes, hace referencia genérica al art. 149.1.23 CE, sin precisar su encuadramiento en uno u otro ámbito, el apartado 1 de la disposición final segunda de la Ley 43/2003, en la que los preceptos impugnados han quedado integrados, menciona expresamente ambos títulos competenciales, al proclamar que la misma “se dicta al amparo de lo dispuesto en el artículo 149.1.23 de la Constitución y tiene, por tanto, carácter básico (legislación básica sobre montes, aprovechamientos forestales y protección del medio ambiente)”, sin perjuicio de otros títulos competenciales que amparan determinados preceptos de la Ley, que no afectan al presente recurso.</w:t>
      </w:r>
    </w:p>
    <w:p w:rsidR="0026452D" w:rsidRDefault="0026452D" w:rsidP="0026452D">
      <w:pPr>
        <w:pStyle w:val="TextoNormal"/>
      </w:pPr>
    </w:p>
    <w:p w:rsidR="0026452D" w:rsidRDefault="0026452D" w:rsidP="0026452D">
      <w:pPr>
        <w:pStyle w:val="TextoNormal"/>
      </w:pPr>
      <w:r>
        <w:t xml:space="preserve">Como hemos señalado en la reciente STC 49/2013, de 28 de febrero, recaída en el recurso de inconstitucionalidad núm. 988-2004, interpuesto contra la misma Ley 43/2003, “en materias como la ordenación del territorio, el urbanismo, el medio ambiente y la ordenación de los recursos forestales existen profundas interacciones. Para determinar cuál es la materia y, por tanto, el título competencial de referencia es necesario atender tanto a la finalidad como al contenido de la norma o, dicho de otra forma, a las técnicas legislativas utilizadas para alcanzar dicha finalidad (STC 28/1997, de 13 de febrero, FJ 4). En aplicación de esta doctrina, el título competencial preferente y más específico desde el que ha de juzgarse la ley impugnada, cuyo objeto es la regulación del régimen jurídico de los montes públicos y privados, es el referido a la competencia exclusiva del Estado en materia de legislación básica sobre montes y aprovechamientos forestales (art. 149.1.23 </w:t>
      </w:r>
      <w:r w:rsidRPr="0026452D">
        <w:rPr>
          <w:i/>
        </w:rPr>
        <w:t>in fine</w:t>
      </w:r>
      <w:r>
        <w:t xml:space="preserve"> CE), ello sin perjuicio de que exista una vertiente ambiental integrada en este título competencial sectorial y de que, incluso, algunos preceptos de la Ley, que en su momento analizaremos, pudieran encontrar su justificación constitucional en otros títulos competenciales” (FJ 5).</w:t>
      </w:r>
    </w:p>
    <w:p w:rsidR="0026452D" w:rsidRDefault="0026452D" w:rsidP="0026452D">
      <w:pPr>
        <w:pStyle w:val="TextoNormal"/>
      </w:pPr>
    </w:p>
    <w:p w:rsidR="0026452D" w:rsidRDefault="0026452D" w:rsidP="0026452D">
      <w:pPr>
        <w:pStyle w:val="TextoNormal"/>
      </w:pPr>
      <w:r>
        <w:t xml:space="preserve">La interacción entre los citados títulos competenciales y, específicamente, la vertiente ambiental integrada a la que hemos hecho referencia, aparece reflejada tanto en la exposición de motivos de la Ley 43/2003 como en su objeto y principios inspiradores (arts. 1 y 3) </w:t>
      </w:r>
      <w:r>
        <w:lastRenderedPageBreak/>
        <w:t>y, particularmente, en su art. 4, que establece la función social de los montes en los siguientes términos: “Los montes, independientemente de su titularidad, desempeñan una función social relevante, tanto como fuente de recursos naturales como por ser proveedores de múltiples servicios ambientales, entre ellos, de protección del suelo y del ciclo hidrológico; de fijación del carbono atmosférico; de depósito de la diversidad biológica y como elementos fundamentales del paisaje. El reconocimiento de estos recursos y externalidades, de los que toda la sociedad se beneficia, obliga a las Administraciones públicas a velar en todos los casos por su conservación, protección, restauración, mejora y ordenado aprovechamiento.”</w:t>
      </w:r>
    </w:p>
    <w:p w:rsidR="0026452D" w:rsidRDefault="0026452D" w:rsidP="0026452D">
      <w:pPr>
        <w:pStyle w:val="TextoNormal"/>
      </w:pPr>
    </w:p>
    <w:p w:rsidR="0026452D" w:rsidRDefault="0026452D" w:rsidP="0026452D">
      <w:pPr>
        <w:pStyle w:val="TextoNormal"/>
      </w:pPr>
      <w:r>
        <w:t>Por otra parte, en la misma Sentencia, al analizar determinadas impugnaciones relativas a la regulación sobre los incendios forestales, que guardan estrecha relación con el objeto del presente proceso constitucional, hemos reconocido que “la tarea de deslindar las distintas materias implicadas, de acuerdo con la finalidad predominante de la norma, a los efectos de delimitar los títulos competenciales aplicables, contiene, a veces, elevadas proporciones de convención y artificio. En este caso, la finalidad de las normas impugnadas es tanto la de prevención y superación de una situación de grave riesgo o catástrofe, como la de protección del monte cuya misma existencia se pone en riesgo por el incendio.” (FJ 12).</w:t>
      </w:r>
    </w:p>
    <w:p w:rsidR="0026452D" w:rsidRDefault="0026452D" w:rsidP="0026452D">
      <w:pPr>
        <w:pStyle w:val="TextoNormal"/>
      </w:pPr>
    </w:p>
    <w:p w:rsidR="0026452D" w:rsidRDefault="0026452D" w:rsidP="0026452D">
      <w:pPr>
        <w:pStyle w:val="TextoNormal"/>
      </w:pPr>
      <w:r>
        <w:t xml:space="preserve">Encuadrada en estos mismos términos la controversia competencial que se somete ahora a nuestro examen, resulta título competencial más específico y, por ello, prevalente, el que atribuye al Estado la competencia exclusiva en materia de legislación básica sobre montes y aprovechamientos forestales (art. 149.1.23 </w:t>
      </w:r>
      <w:r w:rsidRPr="0026452D">
        <w:rPr>
          <w:i/>
        </w:rPr>
        <w:t>in fine</w:t>
      </w:r>
      <w:r>
        <w:t xml:space="preserve"> CE), título que integra una vertiente de protección del medio ambiente, que habremos de tomar en consideración en atención a la finalidad perseguida por las normas impugnadas.</w:t>
      </w:r>
    </w:p>
    <w:p w:rsidR="0026452D" w:rsidRDefault="0026452D" w:rsidP="0026452D">
      <w:pPr>
        <w:pStyle w:val="TextoNormal"/>
      </w:pPr>
    </w:p>
    <w:p w:rsidR="0026452D" w:rsidRDefault="0026452D" w:rsidP="0026452D">
      <w:pPr>
        <w:pStyle w:val="TextoNormal"/>
      </w:pPr>
      <w:r w:rsidRPr="0026452D">
        <w:rPr>
          <w:rStyle w:val="NumeroAFNegritaCaracter"/>
        </w:rPr>
        <w:t>3</w:t>
      </w:r>
      <w:r>
        <w:t>. Antes de adentrarnos en el análisis individualizado de los preceptos impugnados, procede considerar el óbice procesal planteado por la Abogada del Estado, relativo a la falta de alegaciones de la Comunidad recurrente sobre determinados apartados de los preceptos impugnados.</w:t>
      </w:r>
    </w:p>
    <w:p w:rsidR="0026452D" w:rsidRDefault="0026452D" w:rsidP="0026452D">
      <w:pPr>
        <w:pStyle w:val="TextoNormal"/>
      </w:pPr>
    </w:p>
    <w:p w:rsidR="0026452D" w:rsidRDefault="0026452D" w:rsidP="0026452D">
      <w:pPr>
        <w:pStyle w:val="TextoNormal"/>
      </w:pPr>
      <w:r>
        <w:t>Como hemos recordado en la STC 195/2012, de 31 de octubre, “resulta de aplicación la doctrina recopilada en la STC 158/2011, de 19 de octubre, según la cual ‘no basta la mera invocación formal de los preceptos en la demanda (STC 98/1989, FJ 5)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 Efectivamente, hemos de recordar aquí una vez más que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FJ 2; y 118/1998, FJ 4).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 (FJ 4).</w:t>
      </w:r>
    </w:p>
    <w:p w:rsidR="0026452D" w:rsidRDefault="0026452D" w:rsidP="0026452D">
      <w:pPr>
        <w:pStyle w:val="TextoNormal"/>
      </w:pPr>
    </w:p>
    <w:p w:rsidR="0026452D" w:rsidRDefault="0026452D" w:rsidP="0026452D">
      <w:pPr>
        <w:pStyle w:val="TextoNormal"/>
      </w:pPr>
      <w:r>
        <w:lastRenderedPageBreak/>
        <w:t>En consecuencia, quedan excluidos del objeto del presente proceso el art. 50.1, párrafo primero, apartado b), y el art. 54 bis, apartados 1 y 3, respecto de los que la representación procesal del Consejo de Gobierno de La Rioja no ha levantado la carga argumental que le incumbe.</w:t>
      </w:r>
    </w:p>
    <w:p w:rsidR="0026452D" w:rsidRDefault="0026452D" w:rsidP="0026452D">
      <w:pPr>
        <w:pStyle w:val="TextoNormal"/>
      </w:pPr>
    </w:p>
    <w:p w:rsidR="0026452D" w:rsidRDefault="0026452D" w:rsidP="0026452D">
      <w:pPr>
        <w:pStyle w:val="TextoNormal"/>
      </w:pPr>
      <w:r w:rsidRPr="0026452D">
        <w:rPr>
          <w:rStyle w:val="NumeroAFNegritaCaracter"/>
        </w:rPr>
        <w:t>4</w:t>
      </w:r>
      <w:r>
        <w:t>. El art. 50.1 a) prohíbe el cambio de uso forestal de los terrenos incendiados durante un período mínimo de treinta años, si bien el párrafo segundo del precepto abre la posibilidad de que las Comunidades Autónomas acuerden excepciones con carácter singular. Para ello, exige que el cambio de uso estuviera previsto, con anterioridad al incendio forestal, en: “1. Un instrumento de planeamiento previamente aprobado. 2. Un instrumento de planeamiento pendiente de aprobación, si ya hubiera sido objeto de evaluación ambiental favorable o, de no ser esta exigible, si ya hubiera sido sometido al trámite de información pública. 3. Una directriz de política agroforestal que contemple el uso agrario o ganadero extensivo de montes no arbolados con especies autóctonas incultos o en estado de abandono.”</w:t>
      </w:r>
    </w:p>
    <w:p w:rsidR="0026452D" w:rsidRDefault="0026452D" w:rsidP="0026452D">
      <w:pPr>
        <w:pStyle w:val="TextoNormal"/>
      </w:pPr>
    </w:p>
    <w:p w:rsidR="0026452D" w:rsidRDefault="0026452D" w:rsidP="0026452D">
      <w:pPr>
        <w:pStyle w:val="TextoNormal"/>
      </w:pPr>
      <w:r>
        <w:t>Explica el preámbulo de la Ley 10/2006 los motivos que llevan al legislador a optar por esta prohibición en los siguientes términos: “Bien es sabido que el cambio de uso de los terrenos forestales incendiados para transformarlos en otros de carácter agrícola, pascícola, industrial o urbanizable se ha tratado de justificar en la pérdida de valor de dichos terrenos, al carecer de vegetación arbórea como consecuencia del desastre ecológico ocasionado por el incendio. En muchas ocasiones, el cambio de uso no se promovía de forma inmediata tras el siniestro, sino sólo tras repetidos incendios de ese terreno forestal, que quedaba, de esta manera, en una situación de casi total degradación vegetal que dificultaba la posibilidad de rechazar justificada y motivadamente las peticiones de cambio de uso forestal. Y ello en la medida en que estos terrenos, en un corto plazo, ya no podrían alcanzar el potencial forestal arbolado que poseían antes del incendio. Los incendios forestales tienen como causa, en una pequeña parte de casos, los fenómenos naturales y, desgraciadamente, en una inmensa mayoría de supuestos, acciones humanas, ya sean negligentes o dolosas.”</w:t>
      </w:r>
    </w:p>
    <w:p w:rsidR="0026452D" w:rsidRDefault="0026452D" w:rsidP="0026452D">
      <w:pPr>
        <w:pStyle w:val="TextoNormal"/>
      </w:pPr>
    </w:p>
    <w:p w:rsidR="0026452D" w:rsidRDefault="0026452D" w:rsidP="0026452D">
      <w:pPr>
        <w:pStyle w:val="TextoNormal"/>
      </w:pPr>
      <w:r>
        <w:t>Para atajar este fenómeno, continúa señalando el preámbulo que, en línea con la decisión adoptada por otros países mediterráneos y algunas Comunidades Autónomas, se prohíbe el cambio de uso durante treinta años, plazo que se justifica por ser “el lapso de tiempo mínimo que en la mayoría de los casos puede permitir la regeneración de la vegetación forestal y, por extensión, evitar expectativas de recalificación futura de suelos no urbanizables, en particular la de los terrenos forestales, contrarias a los propósitos de regeneración del monte que demandan los principios de la gestión forestal sostenible.”</w:t>
      </w:r>
    </w:p>
    <w:p w:rsidR="0026452D" w:rsidRDefault="0026452D" w:rsidP="0026452D">
      <w:pPr>
        <w:pStyle w:val="TextoNormal"/>
      </w:pPr>
    </w:p>
    <w:p w:rsidR="0026452D" w:rsidRDefault="0026452D" w:rsidP="0026452D">
      <w:pPr>
        <w:pStyle w:val="TextoNormal"/>
      </w:pPr>
      <w:r>
        <w:t xml:space="preserve">Resulta pues clara la finalidad disuasoria de la medida adoptada, que tiene como objetivo la prevención de los incendios forestales y, en última instancia, la protección de la masa forestal. Teniendo en cuenta la estrecha conexión existente entre los dos títulos competenciales recogidos en el art. 149.1.23 CE, como ya hemos razonado en el precedente fundamento jurídico 2, en razón de dicha finalidad tuitiva, el precepto encaja sin dificultad en el ámbito de la competencia estatal para establecer la legislación básica en materia de montes y aprovechamientos forestales, resultando extensible la doctrina recogida en la STC 101/2005, de 20 de abril, FJ 5 c), a cuyo tenor el Estado, en ejercicio de la competencia exclusiva que le atribuye el art. 149.1.23 CE, puede condicionar las competencias sectoriales de las Comunidades Autónomas, cuando dicha afectación se traduzca en la imposición de límites a las actividades sectoriales, en razón a la apreciable repercusión negativa que el </w:t>
      </w:r>
      <w:r>
        <w:lastRenderedPageBreak/>
        <w:t>ejercicio ordinario de la actividad sectorial de que se trate pueda tener para la preservación de los recursos naturales.</w:t>
      </w:r>
    </w:p>
    <w:p w:rsidR="0026452D" w:rsidRDefault="0026452D" w:rsidP="0026452D">
      <w:pPr>
        <w:pStyle w:val="TextoNormal"/>
      </w:pPr>
    </w:p>
    <w:p w:rsidR="0026452D" w:rsidRDefault="0026452D" w:rsidP="0026452D">
      <w:pPr>
        <w:pStyle w:val="TextoNormal"/>
      </w:pPr>
      <w:r>
        <w:t>No se invade con ello la competencia autonómica en materia de urbanismo y ordenación del territorio, como alega la Comunidad recurrente. Como dijimos en la STC 61/1997, de 20 de marzo, el precepto no tiene como finalidad “establecer directamente determinaciones de carácter material ni positivo en esa clase de suelo, es decir, … la delimitación de los diversos usos a que pueda destinarse el suelo o espacio físico territorial, ni ejercer la competencia de ordenación del territorio (art. 148.1.3 CE), si bien es cierto que inciden en su configuración, señaladamente por vía negativa o de prohibición … Es claro que delimitar los diversos usos a que puede destinarse el suelo o espacio físico constituye uno de los aspectos básicos del urbanismo y, en términos más generales, de la ordenación del territorio, pero ello no puede significar, en el plano competencial, que cualquier norma que incida sobre el territorio, siquiera sea de forma mediata o negativa, tenga que quedar subsumida en la competencia autonómica sobre ordenación del territorio, puesto que ello supondría atribuirle un alcance tan amplio que desconocería el contenido específico de otros muchos títulos competenciales, no sólo del Estado, máxime si tenemos en cuenta que la mayor parte de las políticas sectoriales tienen una incidencia o dimensión espacial.” (FJ 16).</w:t>
      </w:r>
    </w:p>
    <w:p w:rsidR="0026452D" w:rsidRDefault="0026452D" w:rsidP="0026452D">
      <w:pPr>
        <w:pStyle w:val="TextoNormal"/>
      </w:pPr>
    </w:p>
    <w:p w:rsidR="0026452D" w:rsidRDefault="0026452D" w:rsidP="0026452D">
      <w:pPr>
        <w:pStyle w:val="TextoNormal"/>
      </w:pPr>
      <w:r>
        <w:t>La prohibición que se examina no pretende, en efecto, regular los usos ni fijar las prohibiciones del conjunto de los terrenos forestales, sino que se circunscribe a un régimen específico de protección, aplicable únicamente a los terrenos incendiados, con la finalidad de garantizar a largo plazo su regeneración y, en definitiva, su conservación. En la misma STC 61/1997 dejamos sentado que, en virtud del art. 149.1.23 CE, “los efectos prohibitivos y su prevalencia sobre los usos constructivos del suelo se acomodan sin esfuerzo alguno al concepto de lo básico, calificación que por otra parte no supone atribuirle al Estado competencia específica en materia de urbanismo”, añadiendo que, desde la perspectiva del art. 149.1.1 CE, “guarda también relación con las condiciones básicas de ejercicio de la propiedad del suelo en la medida en que fija un límite general consistente en prohibir todo ejercicio del derecho contrario a lo que el área pretende precisamente preservar” [FJ 16 c)].</w:t>
      </w:r>
    </w:p>
    <w:p w:rsidR="0026452D" w:rsidRDefault="0026452D" w:rsidP="0026452D">
      <w:pPr>
        <w:pStyle w:val="TextoNormal"/>
      </w:pPr>
    </w:p>
    <w:p w:rsidR="0026452D" w:rsidRDefault="0026452D" w:rsidP="0026452D">
      <w:pPr>
        <w:pStyle w:val="TextoNormal"/>
      </w:pPr>
      <w:r>
        <w:t>Hay que añadir que el precepto tampoco desemboca en un vaciamiento de la competencia autonómica para la protección del patrimonio forestal, pues —como admite el propio escrito de demanda— el plazo de treinta años opera como un mínimo y la prohibición no es taxativa o absoluta, al dejar un margen de decisión a las Comunidades Autónomas para acordar el régimen de excepciones “cuando existan circunstancias objetivas que acrediten que el cambio de uso del terreno forestal afectado estaba previsto con anterioridad al incendio”, en términos del preámbulo de la Ley 10/2006.</w:t>
      </w:r>
    </w:p>
    <w:p w:rsidR="0026452D" w:rsidRDefault="0026452D" w:rsidP="0026452D">
      <w:pPr>
        <w:pStyle w:val="TextoNormal"/>
      </w:pPr>
    </w:p>
    <w:p w:rsidR="0026452D" w:rsidRDefault="0026452D" w:rsidP="0026452D">
      <w:pPr>
        <w:pStyle w:val="TextoNormal"/>
      </w:pPr>
      <w:r>
        <w:t>En consecuencia, se desestima la impugnación del art. 50.1.</w:t>
      </w:r>
    </w:p>
    <w:p w:rsidR="0026452D" w:rsidRDefault="0026452D" w:rsidP="0026452D">
      <w:pPr>
        <w:pStyle w:val="TextoNormal"/>
      </w:pPr>
    </w:p>
    <w:p w:rsidR="0026452D" w:rsidRDefault="0026452D" w:rsidP="0026452D">
      <w:pPr>
        <w:pStyle w:val="TextoNormal"/>
      </w:pPr>
      <w:r w:rsidRPr="0026452D">
        <w:rPr>
          <w:rStyle w:val="NumeroAFNegritaCaracter"/>
        </w:rPr>
        <w:t>5</w:t>
      </w:r>
      <w:r>
        <w:t>. El art. 54 bis.2 dispone que la circulación con vehículos a motor por pistas forestales situadas fuera de la red de carreteras quedará limitada a las servidumbres de paso que hubiera lugar, la gestión agroforestal y las labores de vigilancia y extinción de las Administraciones públicas competentes. Añade el precepto que, excepcionalmente, podrá autorizarse por la Administración forestal el tránsito abierto motorizado cuando se compruebe la adecuación del vial, la correcta señalización del acceso, la aceptación por los titulares, la asunción del mantenimiento y de la responsabilidad civil.</w:t>
      </w:r>
    </w:p>
    <w:p w:rsidR="0026452D" w:rsidRDefault="0026452D" w:rsidP="0026452D">
      <w:pPr>
        <w:pStyle w:val="TextoNormal"/>
      </w:pPr>
    </w:p>
    <w:p w:rsidR="0026452D" w:rsidRDefault="0026452D" w:rsidP="0026452D">
      <w:pPr>
        <w:pStyle w:val="TextoNormal"/>
      </w:pPr>
      <w:r>
        <w:t>Como refieren las partes, esta limitación fue ya recogida con una formulación parcialmente diferente en el Real Decreto-ley 11/2005, de 22 de julio, por el que se aprueban medidas urgentes en materia de incendios forestales, con vigencia temporal limitada a una situación caracterizada por un riesgo de incendios que se calificó de extraordinariamente alto. Ahora bien, la vigencia temporal o indefinida de la medida no resulta relevante a la hora de determinar su carácter básico, pues esta dimensión temporal de la norma forma parte del margen de apreciación del legislador estatal, en función de consideraciones técnicas o de oportunidad que no corresponde juzgar a este Tribunal.</w:t>
      </w:r>
    </w:p>
    <w:p w:rsidR="0026452D" w:rsidRDefault="0026452D" w:rsidP="0026452D">
      <w:pPr>
        <w:pStyle w:val="TextoNormal"/>
      </w:pPr>
    </w:p>
    <w:p w:rsidR="0026452D" w:rsidRDefault="0026452D" w:rsidP="0026452D">
      <w:pPr>
        <w:pStyle w:val="TextoNormal"/>
      </w:pPr>
      <w:r>
        <w:t>Dicho esto, no cabe acoger la denunciada invasión de las competencias autonómicas en las materias de turismo, cultura o deporte, que habrán de ejercerse dentro del ámbito delimitado por el legislador básico estatal, que en ejercicio de su competencia puede imponer límites al despliegue de aquéllas, como por otra parte se reconoce en el propio escrito de demanda. Según determinamos en la STC 101/2005, antes citada, “la afectación transversal del título competencial del Estado, que se ciñe al ámbito de lo básico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 Por el contrario la afectación transversal de las competencias sectoriales de las Comunidades Autónomas resultará vulneradora del orden competencial cuando la normativa estatal comporte, más que el establecimiento de limitaciones específicas o puntuales de las actividades sectoriales, una regulación de mayor alcance, incluso aunque dicha regulación presente una finalidad de protección ambiental.” [FJ 5 c)]. Resulta claro que, a diferencia del supuesto examinado en dicha Sentencia, en esta ocasión no estamos ante “regulaciones positivas de las actividades correspondientes a las materias de la promoción del turismo y de la cultura, el desarrollo comunitario y el ocio” [FJ 9 b)], de competencia autonómica, sino de meros límites impuestos a su ejercicio, que responden a la finalidad de garantizar la conservación y protección de los montes, frente al riesgo de incendios forestales.</w:t>
      </w:r>
    </w:p>
    <w:p w:rsidR="0026452D" w:rsidRDefault="0026452D" w:rsidP="0026452D">
      <w:pPr>
        <w:pStyle w:val="TextoNormal"/>
      </w:pPr>
    </w:p>
    <w:p w:rsidR="0026452D" w:rsidRDefault="0026452D" w:rsidP="0026452D">
      <w:pPr>
        <w:pStyle w:val="TextoNormal"/>
      </w:pPr>
      <w:r>
        <w:t xml:space="preserve">Por tanto, las limitaciones a la circulación motorizada que recoge el precepto revisten carácter básico en el ámbito de la competencia estatal </w:t>
      </w:r>
      <w:r w:rsidRPr="0026452D">
        <w:rPr>
          <w:i/>
        </w:rPr>
        <w:t>ex</w:t>
      </w:r>
      <w:r>
        <w:t xml:space="preserve"> art. 149.1.23 CE, sin que, de otra parte, la lectura del precepto deje dudas sobre el margen de decisión que se abre a las Comunidades Autónomas para autorizar el tránsito abierto motorizado en determinadas circunstancias, modulando así la limitación establecida con carácter básico de modo adecuado al orden constitucional de distribución de competencias.</w:t>
      </w:r>
    </w:p>
    <w:p w:rsidR="0026452D" w:rsidRDefault="0026452D" w:rsidP="0026452D">
      <w:pPr>
        <w:pStyle w:val="TextoNormal"/>
      </w:pPr>
    </w:p>
    <w:p w:rsidR="0026452D" w:rsidRDefault="0026452D" w:rsidP="0026452D">
      <w:pPr>
        <w:pStyle w:val="TextoNormal"/>
      </w:pPr>
      <w:r>
        <w:t>En atención a lo expuesto, debemos concluir que el art. 54 bis.2 no invade las competencias de la Comunidad Autónoma de La Rioja.</w:t>
      </w:r>
    </w:p>
    <w:p w:rsidR="0026452D" w:rsidRDefault="0026452D" w:rsidP="0026452D">
      <w:pPr>
        <w:pStyle w:val="TextoNormal"/>
      </w:pPr>
    </w:p>
    <w:p w:rsidR="0026452D" w:rsidRDefault="0026452D" w:rsidP="0026452D">
      <w:pPr>
        <w:pStyle w:val="TextoNormal"/>
      </w:pPr>
      <w:r w:rsidRPr="0026452D">
        <w:rPr>
          <w:rStyle w:val="NumeroAFNegritaCaracter"/>
        </w:rPr>
        <w:t>6</w:t>
      </w:r>
      <w:r>
        <w:t>. Resta por examinar el reproche de inconstitucionalidad material que se dirige al art. 54 bis.2, por infracción de lo dispuesto en los arts. 19, 45 y 139.2 CE.</w:t>
      </w:r>
    </w:p>
    <w:p w:rsidR="0026452D" w:rsidRDefault="0026452D" w:rsidP="0026452D">
      <w:pPr>
        <w:pStyle w:val="TextoNormal"/>
      </w:pPr>
    </w:p>
    <w:p w:rsidR="0026452D" w:rsidRDefault="0026452D" w:rsidP="0026452D">
      <w:pPr>
        <w:pStyle w:val="TextoNormal"/>
      </w:pPr>
      <w:r>
        <w:t>Comenzando por la alegada vulneración de los arts. 19 y 139.2 CE, procede en primer lugar constatar que la limitación a la libre circulación que supone lo establecido en el precepto impugnado cumple con la reserva de ley que deriva del art. 53.1 CE, afirmada expre</w:t>
      </w:r>
      <w:r>
        <w:lastRenderedPageBreak/>
        <w:t>samente por este Tribunal respecto de un amplio elenco de derechos fundamentales y libertades públicas [entre otras, SSTC 169/2001, de 16 de julio, FJ 6; y 184/2003, de 23 de octubre, FJ 6 a)].</w:t>
      </w:r>
    </w:p>
    <w:p w:rsidR="0026452D" w:rsidRDefault="0026452D" w:rsidP="0026452D">
      <w:pPr>
        <w:pStyle w:val="TextoNormal"/>
      </w:pPr>
    </w:p>
    <w:p w:rsidR="0026452D" w:rsidRDefault="0026452D" w:rsidP="0026452D">
      <w:pPr>
        <w:pStyle w:val="TextoNormal"/>
      </w:pPr>
      <w:r>
        <w:t>En lo que se refiere a su contenido material, en la STC 146/2006, de 8 de mayo, afirmamos que, como en los demás supuestos de limitación de derechos fundamentales, “constituye doctrina de este Tribunal la de que una medida de ese tipo debe sujetarse a parámetros de proporcionalidad en relación con la preservación de otros derechos o bienes constitucionales. Ha de tratarse así de una medida útil y necesaria para la protección de un bien constitucionalmente importante.” [FJ 2 b)].</w:t>
      </w:r>
    </w:p>
    <w:p w:rsidR="0026452D" w:rsidRDefault="0026452D" w:rsidP="0026452D">
      <w:pPr>
        <w:pStyle w:val="TextoNormal"/>
      </w:pPr>
    </w:p>
    <w:p w:rsidR="0026452D" w:rsidRDefault="0026452D" w:rsidP="0026452D">
      <w:pPr>
        <w:pStyle w:val="TextoNormal"/>
      </w:pPr>
      <w:r>
        <w:t>En cuanto al art. 139.2 CE, es doctrina consolidada de este Tribunal que “no toda medida que incida en la libre circulación de bienes —y personas— por el territorio nacional es necesariamente contraria al art. 139.2 CE, sino que únicamente lo será cuando persiga de forma intencionada la finalidad de obstaculizar la libre circulación o genere consecuencias objetivas que impliquen el surgimiento de obstáculos que no guarden relación y sean desproporcionados respecto del fin constitucionalmente lícito que pretenda la medida adoptada (STC 37/1981, fundamento jurídico 2)” (STC 66/1991, de 22 de marzo, FJ 2).</w:t>
      </w:r>
    </w:p>
    <w:p w:rsidR="0026452D" w:rsidRDefault="0026452D" w:rsidP="0026452D">
      <w:pPr>
        <w:pStyle w:val="TextoNormal"/>
      </w:pPr>
    </w:p>
    <w:p w:rsidR="0026452D" w:rsidRDefault="0026452D" w:rsidP="0026452D">
      <w:pPr>
        <w:pStyle w:val="TextoNormal"/>
      </w:pPr>
      <w:r>
        <w:t>Desde esta perspectiva, el precepto impugnado supera sin dificultades el juicio de proporcionalidad sobre la relación existente entre la medida adoptada, el resultado producido y la finalidad pretendida, según exige nuestra doctrina. Su objeto no es entorpecer de forma constitucionalmente ilegítima la libertad de circulación de las personas, sino limitar el uso de vehículos a motor en itinerarios que no están acondicionados para este tipo de tránsito, con la finalidad de proteger el patrimonio forestal. Por otra parte, tal limitación no está formulada en términos absolutos, sino que admite excepciones en función de diversas circunstancias, entre otras, la adecuación del vial, en cuya ponderación por la Administración autonómica cabe perfectamente incluir aspectos como el tipo de vehículo, la ubicación y características del monte, la estacionalidad, u otros factores que influyan en el riesgo de incendio forestal, lo que permite ajustar la aplicación en cada caso de la medida, bajo criterios de proporcionalidad.</w:t>
      </w:r>
    </w:p>
    <w:p w:rsidR="0026452D" w:rsidRDefault="0026452D" w:rsidP="0026452D">
      <w:pPr>
        <w:pStyle w:val="TextoNormal"/>
      </w:pPr>
    </w:p>
    <w:p w:rsidR="0026452D" w:rsidRDefault="0026452D" w:rsidP="0026452D">
      <w:pPr>
        <w:pStyle w:val="TextoNormal"/>
      </w:pPr>
      <w:r>
        <w:t>Por tanto, lo establecido en el art. 54 bis.2 no puede considerarse desproporcionado en un país que, como hemos recordado en la reciente STC 49/2013, de 28 de febrero, es “uno de los de la Unión Europea con más masa forestal y que más incendios sufre anualmente” (FJ 12). La medida resulta ser así proporcionada a la finalidad perseguida, “en atención al bien jurídicamente protegido, dada la relevancia que la Constitución atribuye al medio ambiente al configurar en su art. 45 ‘un derecho de todos a disfrutarlo y un deber de conservación que pesa sobre todos, más un mandato de los poderes públicos para la protección’ (STC 102/1995, de 26 de junio, FJ 4)” (STC 73/2000, de 14 de marzo, FJ 12).</w:t>
      </w:r>
    </w:p>
    <w:p w:rsidR="0026452D" w:rsidRDefault="0026452D" w:rsidP="0026452D">
      <w:pPr>
        <w:pStyle w:val="TextoNormal"/>
      </w:pPr>
    </w:p>
    <w:p w:rsidR="0026452D" w:rsidRDefault="0026452D" w:rsidP="0026452D">
      <w:pPr>
        <w:pStyle w:val="TextoNormal"/>
      </w:pPr>
      <w:r>
        <w:t xml:space="preserve">Tampoco cabe apreciar en el art. 54 bis.2 infracción del art. 45.1 CE, que enuncia un principio rector, no un derecho fundamental (STC 199/1996, de 3 de diciembre, FJ 3), si se repara en que este precepto constitucional, junto al derecho a disfrutar de un medio ambiente adecuado para el desarrollo de la persona, proclama el deber de todos de conservarlo. Su apartado 2, además, impone a los poderes públicos la obligación positiva de velar por la utilización racional de todos los recursos naturales, correspondiendo al legislador la elección de las técnicas apropiadas para llevar a cabo la plasmación de ese principio rector en el que </w:t>
      </w:r>
      <w:r>
        <w:lastRenderedPageBreak/>
        <w:t>la protección del medio ambiente consiste (SSTC 247/2007, de 12 de diciembre, FJ 20; y 149/2011, de 28 de septiembre, FJ 3).</w:t>
      </w:r>
    </w:p>
    <w:p w:rsidR="0026452D" w:rsidRDefault="0026452D" w:rsidP="0026452D">
      <w:pPr>
        <w:pStyle w:val="TextoNormal"/>
      </w:pPr>
    </w:p>
    <w:p w:rsidR="0026452D" w:rsidRDefault="0026452D" w:rsidP="0026452D">
      <w:pPr>
        <w:pStyle w:val="TextoNormal"/>
      </w:pPr>
      <w:r>
        <w:t>Las limitaciones a la circulación con vehículos a motor por pistas forestales situadas fuera de la red de carreteras responden, como venimos razonando, a la finalidad de conservar los montes preservándolos de usos que, en determinadas circunstancias —que habrán de ser apreciadas en cada caso—, pueden implicar un riesgo de incendio forestal, y encajan por tanto sin dificultad en el marco del derecho-deber así configurado en la Constitución. Porque difícilmente podría concebirse el efectivo ejercicio del derecho a disfrutar del medio ambiente —en este caso, de los montes cuya función social proclama el art. 4 de la Ley 43/2003— si los poderes públicos no adoptaran las medidas necesarias para preservarlos de la devastación que conllevan los incendios forestales, incluyendo la pérdida de vidas humanas, como recuerda la exposición de motivos de la Ley 10/2006.</w:t>
      </w:r>
    </w:p>
    <w:p w:rsidR="0026452D" w:rsidRDefault="0026452D" w:rsidP="0026452D">
      <w:pPr>
        <w:pStyle w:val="TextoNormal"/>
      </w:pPr>
    </w:p>
    <w:p w:rsidR="0026452D" w:rsidRDefault="0026452D" w:rsidP="0026452D">
      <w:pPr>
        <w:pStyle w:val="TextoNormal"/>
      </w:pPr>
      <w:r>
        <w:t>En consecuencia, se desestima la impugnación del art. 54 bis.2.</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88" w:name="SENTENCIA_2013_85"/>
      <w:r>
        <w:lastRenderedPageBreak/>
        <w:t>SENTENCIA 85/2013, de 11 de abril de 2013</w:t>
      </w:r>
    </w:p>
    <w:bookmarkEnd w:id="88"/>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ECLI:ES:TC:2013:85</w:t>
      </w:r>
    </w:p>
    <w:p w:rsidR="0026452D" w:rsidRDefault="0026452D" w:rsidP="0026452D">
      <w:pPr>
        <w:pStyle w:val="SntesisDescriptiva"/>
      </w:pPr>
    </w:p>
    <w:p w:rsidR="0026452D" w:rsidRDefault="0026452D" w:rsidP="0026452D">
      <w:pPr>
        <w:pStyle w:val="SntesisDescriptiva"/>
      </w:pPr>
      <w:r>
        <w:t>Recurso de inconstitucionalidad 9451-2006. Interpuesto por más de cincuenta Diputados del Grupo Parlamentario Popular del Congreso, en relación con diversos preceptos de la Ley del Parlamento Vasco 1/2006, de 23 de junio, de aguas.</w:t>
      </w:r>
    </w:p>
    <w:p w:rsidR="0026452D" w:rsidRDefault="0026452D" w:rsidP="0026452D">
      <w:pPr>
        <w:pStyle w:val="SntesisDescriptiva"/>
      </w:pPr>
    </w:p>
    <w:p w:rsidR="0026452D" w:rsidRDefault="0026452D" w:rsidP="0026452D">
      <w:pPr>
        <w:pStyle w:val="SntesisAnaltica"/>
      </w:pPr>
      <w:r>
        <w:t>Límites de la potestad tributaria de las Comunidades Autónomas: constitucionalidad del canon autonómico del agua, nulidad del precepto legal que atribuye al Gobierno Vasco la determinación de los conceptos que deban incluirse en la tarificación del uso del agua, interpretación conforme del precepto relativo a los ingresos de la Agencia Vasca del Agua. Voto particular.</w:t>
      </w:r>
    </w:p>
    <w:p w:rsidR="0026452D" w:rsidRDefault="0026452D" w:rsidP="0026452D">
      <w:pPr>
        <w:pStyle w:val="SntesisAnaltica"/>
      </w:pPr>
    </w:p>
    <w:p w:rsidR="0026452D" w:rsidRDefault="0026452D" w:rsidP="0026452D">
      <w:pPr>
        <w:pStyle w:val="Extracto"/>
      </w:pPr>
      <w:r>
        <w:t>1.</w:t>
      </w:r>
      <w:r>
        <w:tab/>
        <w:t>El precepto impugnado, que atribuye al Gobierno Vasco la aprobación de los conceptos que deben incluirse en la tarificación del uso del agua, trasciende el ámbito de sus competencias en relación con las potestades tributarias de los entes locales, resultando un desapoderamiento de los territorios históricos no conforme con el Estatuto de Autonomía, que atribuye el ejercicio de las potestades de coordinación, armonización fiscal y colaboración de manera exclusiva al Parlamento, ni acorde con las normas dictadas para armonizar el ejercicio de las potestades tributarias por los distintos sujetos titulares de las mismas  [FJ 5 c)].</w:t>
      </w:r>
    </w:p>
    <w:p w:rsidR="0026452D" w:rsidRDefault="0026452D" w:rsidP="0026452D">
      <w:pPr>
        <w:pStyle w:val="Extracto"/>
      </w:pPr>
    </w:p>
    <w:p w:rsidR="0026452D" w:rsidRDefault="0026452D" w:rsidP="0026452D">
      <w:pPr>
        <w:pStyle w:val="Extracto"/>
      </w:pPr>
      <w:r>
        <w:t>2.</w:t>
      </w:r>
      <w:r>
        <w:tab/>
        <w:t>El precepto impugnado, que establece que la Agencia Vasca del Agua contará para el cumplimiento de sus fines, entre otros medios, con los ingresos procedentes de la recaudación de los tributos en materia de aguas, es susceptible de una lectura conforme con la Constitución, en la medida en que se interprete que se refiere a los tributos cuya gestión corresponda a dicha Agencia, pero sin comprender los tributos en materia de aguas de los que sean sujetos activos los entes locales [FJ 5 b)].</w:t>
      </w:r>
    </w:p>
    <w:p w:rsidR="0026452D" w:rsidRDefault="0026452D" w:rsidP="0026452D">
      <w:pPr>
        <w:pStyle w:val="Extracto"/>
      </w:pPr>
    </w:p>
    <w:p w:rsidR="0026452D" w:rsidRDefault="0026452D" w:rsidP="0026452D">
      <w:pPr>
        <w:pStyle w:val="Extracto"/>
      </w:pPr>
      <w:r>
        <w:t>3.</w:t>
      </w:r>
      <w:r>
        <w:tab/>
        <w:t>El canon del agua creado por la Ley de aguas del País Vasco es un impuesto ambiental de naturaleza extrafiscal con el que se persigue incentivar el uso eficiente del agua en el que, a diferencia de la tasa municipal por distribución de agua, no media actividad administrativa de carácter prestacional, no existiendo la coincidencia de hechos imponibles prohibida en el art. 6.3 LOFCA [FFJJ 4, 6 a)].</w:t>
      </w:r>
    </w:p>
    <w:p w:rsidR="0026452D" w:rsidRDefault="0026452D" w:rsidP="0026452D">
      <w:pPr>
        <w:pStyle w:val="Extracto"/>
      </w:pPr>
    </w:p>
    <w:p w:rsidR="0026452D" w:rsidRDefault="0026452D" w:rsidP="0026452D">
      <w:pPr>
        <w:pStyle w:val="Extracto"/>
      </w:pPr>
      <w:r>
        <w:t>4.</w:t>
      </w:r>
      <w:r>
        <w:tab/>
        <w:t>Al impedir a las Comunidades Autónomas establecer tributos equivalentes a los ya establecidos por el Estado y las entidades locales lo que se pretende evitar es que se produzcan dobles imposiciones no coordinadas, garantizando de esta manera que el ejercicio de poder tributario por los distintos niveles territoriales sea compatible con la existencia de un sistema tributario en los términos exigidos por el art. 31.1 CE (SSTC 19/1987, 120/2012) [FJ 3].</w:t>
      </w:r>
    </w:p>
    <w:p w:rsidR="0026452D" w:rsidRDefault="0026452D" w:rsidP="0026452D">
      <w:pPr>
        <w:pStyle w:val="Extracto"/>
      </w:pPr>
    </w:p>
    <w:p w:rsidR="0026452D" w:rsidRDefault="0026452D" w:rsidP="0026452D">
      <w:pPr>
        <w:pStyle w:val="Extracto"/>
      </w:pPr>
      <w:r>
        <w:lastRenderedPageBreak/>
        <w:t>5.</w:t>
      </w:r>
      <w:r>
        <w:tab/>
        <w:t>Para apreciar la coincidencia o no entre hechos imponibles, que es lo prohibido en el art. 6 LOFCA, se hace preciso atender a los elementos esenciales de los tributos que se comparan, al objeto de determinar no sólo la riqueza gravada o materia imponible, que es el punto de partida de toda norma tributaria, sino la manera en que dicha riqueza o fuente de capacidad económica es sometida a gravamen en la estructura del tributo (SSTC 289/2000, 210/2012) [FJ 3].</w:t>
      </w:r>
    </w:p>
    <w:p w:rsidR="0026452D" w:rsidRDefault="0026452D" w:rsidP="0026452D">
      <w:pPr>
        <w:pStyle w:val="Extracto"/>
      </w:pPr>
    </w:p>
    <w:p w:rsidR="0026452D" w:rsidRDefault="0026452D" w:rsidP="0026452D">
      <w:pPr>
        <w:pStyle w:val="Extracto"/>
      </w:pPr>
      <w:r>
        <w:t>6.</w:t>
      </w:r>
      <w:r>
        <w:tab/>
        <w:t>Doctrina sobre los límites al poder tributario de las Comunidades Autónomas contenidos en los apartados 2 y 3 del art. 6 LOFCA (SSTC 19/1987, 210/2012) [FJ 3].</w:t>
      </w:r>
    </w:p>
    <w:p w:rsidR="0026452D" w:rsidRDefault="0026452D" w:rsidP="0026452D">
      <w:pPr>
        <w:pStyle w:val="Extracto"/>
      </w:pPr>
    </w:p>
    <w:p w:rsidR="0026452D" w:rsidRDefault="0026452D" w:rsidP="0026452D">
      <w:pPr>
        <w:pStyle w:val="Extracto"/>
      </w:pPr>
      <w:r>
        <w:t>7.</w:t>
      </w:r>
      <w:r>
        <w:tab/>
        <w:t>La creación del canon del agua no ha supuesto una vulneración de la autonomía local de los municipios del País Vasco ni una limitación indebida de las potestades tributarias de los territorios históricos, ya que ley que aquí se controvierte no tiene por objeto la regulación de la prestación de un servicio por los entes locales ni incide de manera directa sobre el principio de suficiencia financiera de los mismos, sino que establece una serie de deberes de colaboración de los entes locales en la consecución de objetivos ambientales  [FJ 5 a)].</w:t>
      </w:r>
    </w:p>
    <w:p w:rsidR="0026452D" w:rsidRDefault="0026452D" w:rsidP="0026452D">
      <w:pPr>
        <w:pStyle w:val="Extracto"/>
      </w:pPr>
    </w:p>
    <w:p w:rsidR="0026452D" w:rsidRDefault="0026452D" w:rsidP="0026452D">
      <w:pPr>
        <w:pStyle w:val="Extracto"/>
      </w:pPr>
      <w:r>
        <w:t>8.</w:t>
      </w:r>
      <w:r>
        <w:tab/>
        <w:t>La autonomía local reconocida en los arts. 137 y 140 CE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(SSTC 32/1981, 252/2005) [FJ 5 a)].</w:t>
      </w:r>
    </w:p>
    <w:p w:rsidR="0026452D" w:rsidRDefault="0026452D" w:rsidP="0026452D">
      <w:pPr>
        <w:pStyle w:val="Extracto"/>
      </w:pPr>
    </w:p>
    <w:p w:rsidR="0026452D" w:rsidRDefault="0026452D" w:rsidP="0026452D">
      <w:pPr>
        <w:pStyle w:val="Extracto"/>
      </w:pPr>
      <w:r>
        <w:t>9.</w:t>
      </w:r>
      <w:r>
        <w:tab/>
        <w:t>La autonomía local es un concepto jurídico de contenido legal que permite configuraciones legales diversas, válidas en cuanto respeten aquella garantía institucional y no rompan con la imagen comúnmente aceptada de la institución, que viene determinada por las normas que en cada momento la regulan y la aplicación que de las mismas se hace (SSTC 32/1981, 170/1989) [FJ 5 a)].</w:t>
      </w:r>
    </w:p>
    <w:p w:rsidR="0026452D" w:rsidRDefault="0026452D" w:rsidP="0026452D">
      <w:pPr>
        <w:pStyle w:val="Extracto"/>
      </w:pPr>
    </w:p>
    <w:p w:rsidR="0026452D" w:rsidRDefault="0026452D" w:rsidP="0026452D">
      <w:pPr>
        <w:pStyle w:val="Extracto"/>
      </w:pPr>
      <w:r>
        <w:t>10.</w:t>
      </w:r>
      <w:r>
        <w:tab/>
        <w:t>La garantía constitucional de la existencia de un régimen foral, que dimana de la disposición adicional primera CE, supone que el contenido de la foralidad debe preservar tanto en sus rasgos organizativos como en su propio ámbito de poder la imagen identificable del régimen foral tradicional, siendo al proceso de actualización, en el que el Estatuto de Autonomía es el elemento más decisivo, al que corresponde precisar cuál es su contenido concreto (SSTC 27/1983, 76/1988) [FJ 5 a)].</w:t>
      </w:r>
    </w:p>
    <w:p w:rsidR="0026452D" w:rsidRDefault="0026452D" w:rsidP="0026452D">
      <w:pPr>
        <w:pStyle w:val="Extracto"/>
      </w:pPr>
    </w:p>
    <w:p w:rsidR="0026452D" w:rsidRDefault="0026452D" w:rsidP="0026452D">
      <w:pPr>
        <w:pStyle w:val="Extracto"/>
      </w:pPr>
      <w:r>
        <w:t>11.</w:t>
      </w:r>
      <w:r>
        <w:tab/>
        <w:t>No puede reputarse contrario a la reserva constitucional de ley en materia tributaria un precepto legal que no se limita a remitir al reglamento la regulación de las bonificaciones aplicables al canon del agua sino que condiciona el ejercicio de la potestad reglamentaria al identificar los requisitos que deban cumplirse para que quepa la previsión normativa de bonificaciones y el reconocimiento singularizado del derecho a obtenerlas [FJ 6 b)].</w:t>
      </w:r>
    </w:p>
    <w:p w:rsidR="0026452D" w:rsidRDefault="0026452D" w:rsidP="0026452D">
      <w:pPr>
        <w:pStyle w:val="Extracto"/>
      </w:pPr>
    </w:p>
    <w:p w:rsidR="0026452D" w:rsidRDefault="0026452D" w:rsidP="0026452D">
      <w:pPr>
        <w:pStyle w:val="Extracto"/>
      </w:pPr>
      <w:r>
        <w:lastRenderedPageBreak/>
        <w:t>12.</w:t>
      </w:r>
      <w:r>
        <w:tab/>
        <w:t>La reserva de ley en materia tributaria no afecta por igual a todos los elementos integrantes del tributo, sino que el grado de concreción exigible a la ley es máximo cuando regula el hecho imponible y es menor cuando se trata de regular otros elementos, como el tipo de gravamen, la base imponible o las bonificaciones (SSTC 221/1992, 121/2005) [FJ 6 b)].</w:t>
      </w:r>
    </w:p>
    <w:p w:rsidR="0026452D" w:rsidRDefault="0026452D" w:rsidP="0026452D">
      <w:pPr>
        <w:pStyle w:val="Extracto"/>
      </w:pPr>
    </w:p>
    <w:p w:rsidR="0026452D" w:rsidRDefault="0026452D" w:rsidP="0026452D">
      <w:pPr>
        <w:pStyle w:val="Extracto"/>
      </w:pPr>
      <w:r>
        <w:t>13.</w:t>
      </w:r>
      <w:r>
        <w:tab/>
        <w:t>Cuando se solicita la declaración de inconstitucionalidad de un precepto legal pesa sobre los recurrentes la carga de identificar la norma cuya anulación se postula y de ofrecer los motivos en los que funda esa pretensión, pues sólo así será factible el ejercicio del derecho de defensa por quien sostenga la constitucionalidad de la norma y permitirá a este Tribunal conocer las razones por las que los recurrentes entienden que transgrede el orden constitucional (SSTC 118/1996, 158/2011)  [FJ 2 a)].</w:t>
      </w:r>
    </w:p>
    <w:p w:rsidR="0026452D" w:rsidRDefault="0026452D" w:rsidP="0026452D">
      <w:pPr>
        <w:pStyle w:val="Extracto"/>
      </w:pPr>
    </w:p>
    <w:p w:rsidR="0026452D" w:rsidRDefault="0026452D" w:rsidP="0026452D">
      <w:pPr>
        <w:pStyle w:val="Extracto"/>
      </w:pPr>
      <w:r>
        <w:t>14.</w:t>
      </w:r>
      <w:r>
        <w:tab/>
        <w:t>El control de las disposiciones normativas a las que se reprocha infracción del orden constitucional de distribución de competencias debe efectuarse de acuerdo con las normas del bloque de la constitucionalidad vigentes en el momento de dictar Sentencia (SSTC 35/2012, 215/2012)  [FJ 2 b)].</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9451-2006, interpuesto por más de cincuenta Diputados del Grupo Parlamentario Popular del Congreso, en relación con diversos preceptos de la Ley del Parlamento Vasco 1/2006, de 23 de junio, de aguas. Han comparecido y formulado alegaciones el Parlamento Vasco y el Gobierno Vasco. Ha sido Ponente el Magistrado don Francisco José Hernando Santiago,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presentado en el Registro General de este Tribunal Constitucional el 18 de junio de 2006, don Ignacio Astarloa Huarte-Mendicoa, en representación de más de cincuenta Diputados del Grupo Parlamentario Popular del Congreso, interpuso recurso de inconstitucionalidad respecto de los arts. 1 c); 9 e); 41 a 52; 55 n), o) y q) y 56.3 y las </w:t>
      </w:r>
      <w:r>
        <w:lastRenderedPageBreak/>
        <w:t>disposiciones adicional sexta y transitoria tercera de la Ley del Parlamento Vasco 1/2006, de 23 de junio, de aguas. A todos estos preceptos se les imputa vulneración de los arts. 9.3; 31.1 y 3; 45, 133.1, 2 y 3; 140; 142; 157.1 b), 2 y 3; y 149.1.13, 18, 22 y 25, y la disposición adicional primera de la Constitución, por las razones que seguidamente se resumen.</w:t>
      </w:r>
    </w:p>
    <w:p w:rsidR="0026452D" w:rsidRDefault="0026452D" w:rsidP="0026452D">
      <w:pPr>
        <w:pStyle w:val="TextoNormal"/>
      </w:pPr>
    </w:p>
    <w:p w:rsidR="0026452D" w:rsidRDefault="0026452D" w:rsidP="0026452D">
      <w:pPr>
        <w:pStyle w:val="TextoNormal"/>
      </w:pPr>
      <w:r>
        <w:t>a) El escrito se inicia con la constatación de que la ley controvertida se dicta con el objeto de regular el régimen del agua, su protección, utilización, régimen sancionador, planificación, régimen tributario y obras hidráulicas, así como para proceder a la creación de una Agencia Vasca del Agua al amparo de la Directiva 2000/60/CE, del Parlamento Europeo y del Consejo, de 23 de octubre, por la que se establece un marco comunitario de actuación en el ámbito de la política de aguas, conocida como “Directiva marco del agua”. Se deja constancia igualmente de que la Ley no cita ninguna fuente competencial ni apela a habilitación legal alguna, excepción hecha de la propia norma europea. De entre los contenidos de la Ley, los recurrentes llaman la atención acerca de la regulación del canon del agua que figura en sus arts. 42 y ss.</w:t>
      </w:r>
    </w:p>
    <w:p w:rsidR="0026452D" w:rsidRDefault="0026452D" w:rsidP="0026452D">
      <w:pPr>
        <w:pStyle w:val="TextoNormal"/>
      </w:pPr>
    </w:p>
    <w:p w:rsidR="0026452D" w:rsidRDefault="0026452D" w:rsidP="0026452D">
      <w:pPr>
        <w:pStyle w:val="TextoNormal"/>
      </w:pPr>
      <w:r>
        <w:t>b) Como primer motivo del recurso se invoca el quebrantamiento del principio de prohibición de doble imposición, proclamado en el art. 6 de la Ley Orgánica de financiación de las Comunidades Autónomas. Pese a que, al decir de los recurrentes, este principio excluye que los tributos autonómicos puedan recaer sobre hechos o materias imponibles ya gravadas, lo cierto es que el nuevo tributo autonómico vasco tiene como hecho imponible el consumo real o potencial de agua (art. 45), que coincide exactamente con las tasas municipales que regulan el suministro y saneamiento de aguas. A título de ejemplo se cita la Ordenanza del servicio de abastecimiento y depuración de agua de la ciudad de Vitoria-Gasteiz de 7 de septiembre de 2001, que regula el servicio público de captación, depuración y distribución de agua potable, así como la depuración de aguas residuales a través de una empresa municipal que presta servicios no sólo en el término municipal vitoriano sino también en otras localidades, de modo que más del 90 por 100 de los alaveses están sujetos a esta ordenanza. También se menciona el caso del Consorcio de aguas Bilbao Bizkaia, que comprende más del 80 por 100 de la población vizcaína y cuya Ordenanza fiscal reguladora de las tasas por la prestación a los usuarios de los servicios de abastecimiento y saneamiento en el ámbito del Consorcio de aguas Bilbao Bizkaia recoge los elementos de la tasa de abastecimiento de agua, la tasa de saneamiento, la tasa de ejecución de acometidas de abastecimiento y la tasa de contadores de abastecimiento. Además, el Ayuntamiento de Bilbao cuenta con una ordenanza fiscal reguladora de la tasa por prestación del servicio de alcantarillado. De acuerdo con la primera de estas normas locales, el hecho imponible de la tasa de abastecimiento de agua está constituido por “la disponibilidad de las redes de abastecimiento y consumo de agua desde las mismas, bien directamente desde la red primaria, o desde las secundarias”.</w:t>
      </w:r>
    </w:p>
    <w:p w:rsidR="0026452D" w:rsidRDefault="0026452D" w:rsidP="0026452D">
      <w:pPr>
        <w:pStyle w:val="TextoNormal"/>
      </w:pPr>
    </w:p>
    <w:p w:rsidR="0026452D" w:rsidRDefault="0026452D" w:rsidP="0026452D">
      <w:pPr>
        <w:pStyle w:val="TextoNormal"/>
      </w:pPr>
      <w:r>
        <w:t>Cierran los recurrentes el recordatorio de esta regulación local con la afirmación de que “en el caso que nos ocupa existe plena coincidencia en el hecho imponible” del nuevo canon del agua y el gravado por las tasas de abastecimiento de agua, lo que, siempre en su opinión, supondría una vulneración del art. 6 de la Ley Orgánica de financiación de las Comunidades Autónomas (LOFCA) que impide que las Comunidades Autónomas establezcan tributos sobre hechos imponibles ya gravados al prohibirse la doble imposición. Avanzando un paso más en su razonamiento, declaran los parlamentarios recurrentes que, en esta ocasión, se vulneran los apartados segundo y tercero del citado precepto de la Ley Orgánica.</w:t>
      </w:r>
    </w:p>
    <w:p w:rsidR="0026452D" w:rsidRDefault="0026452D" w:rsidP="0026452D">
      <w:pPr>
        <w:pStyle w:val="TextoNormal"/>
      </w:pPr>
    </w:p>
    <w:p w:rsidR="0026452D" w:rsidRDefault="0026452D" w:rsidP="0026452D">
      <w:pPr>
        <w:pStyle w:val="TextoNormal"/>
      </w:pPr>
      <w:r>
        <w:lastRenderedPageBreak/>
        <w:t>Al exponer las razones por las que entienden que los preceptos legales controvertidos vulneran el art. 6.3 LOFCA, los recurrentes reproducen diversos pasajes de los fundamentos jurídicos 4 y 5 de la STC 289/2000, de 30 de noviembre, en los que, con ocasión del análisis del contenido y sentido de ese artículo de la Ley Orgánica de financiación de las Comunidades Autónomas, este Tribunal advirtió acerca de la necesidad de no confundir los conceptos de hecho imponible y materia imponible. Pues bien, en este caso, sostienen los recurrentes, el nuevo tributo autonómico, pese a sus declarados objetivos ambientales, no grava actividad contaminante alguna sino “el consumo real o potencial del agua” (art. 45.1 de la Ley del Parlamento Vasco 1/2006). A mayor abundamiento, la propia Ley incluye “dentro del hecho imponible el agua suministrada al usuario por terceras personas, la procedente de captaciones realizadas por las propias personas usuarias y el uso indirecto procedentes de aguas pluviales o escorrentías, estén asociadas o no a un uso productivo.” (art. 45.2), con lo que se grava fiscalmente el consumo de agua, incluso el de aguas pluviales y no una actividad potencialmente contaminante, como pudiera ser el consumo abusivo.</w:t>
      </w:r>
    </w:p>
    <w:p w:rsidR="0026452D" w:rsidRDefault="0026452D" w:rsidP="0026452D">
      <w:pPr>
        <w:pStyle w:val="TextoNormal"/>
      </w:pPr>
    </w:p>
    <w:p w:rsidR="0026452D" w:rsidRDefault="0026452D" w:rsidP="0026452D">
      <w:pPr>
        <w:pStyle w:val="TextoNormal"/>
      </w:pPr>
      <w:r>
        <w:t>Para los Diputados recurrentes, al igual que sucediera en el caso resuelto en la STC 289/2000 el tributo ahora cuestionado no se dirige, en sentido negativo, a disuadir el incumplimiento de ninguna obligación pero tampoco se busca, en sentido positivo, estimular actuaciones protectoras del medio ambiente, en cumplimiento del art. 45 CE, desvinculándose así de la verdadera aptitud de cada sujeto para incidir en el medio en que se desenvuelve”. No cabe considerar, a su juicio, que el canon grave ninguna actividad contaminante cuando desconoce el impacto ambiental que ocasionan las acciones desarrolladas por los sujetos obligados al pago y cuando únicamente se prevén bonificaciones para usos agrícolas e industriales, actividades de suyo más contaminantes que el consumo humano.</w:t>
      </w:r>
    </w:p>
    <w:p w:rsidR="0026452D" w:rsidRDefault="0026452D" w:rsidP="0026452D">
      <w:pPr>
        <w:pStyle w:val="TextoNormal"/>
      </w:pPr>
    </w:p>
    <w:p w:rsidR="0026452D" w:rsidRDefault="0026452D" w:rsidP="0026452D">
      <w:pPr>
        <w:pStyle w:val="TextoNormal"/>
      </w:pPr>
      <w:r>
        <w:t>En opinión de los Diputados recurrentes el nuevo canon grava el consumo de agua, materia imponible que ya se encuentra gravada por las ordenanzas fiscales municipales a partir de la competencia reconocida a los entes locales por los arts. 26.1 a) de la Ley de bases del régimen local y 20.3 k) y 20.4 r) y t) del texto refundido de la Ley de haciendas locales. El art. 49 de la Ley autonómica, impugnado en este proceso, señala que la base imponible es el volumen del agua consumida, al igual que en los tributos locales, poniéndose con ello de relieve que no se grava una actividad contaminante, ya que ésta no depende ni de la cuantía de los ingresos ni de la capacidad de gasto, “en suma, el nuevo canon se configura como un impuesto sobre el consumo del agua que incide en la misma materia imponible que las tasas municipales de suministro de agua, por lo que incurre en la prohibición del art. 6.3 LOFCA.” Recuerdan, a este respecto que en la STC 168/2004, de 6 de octubre, FJ 6, se precisó que “resulta vedado cualquier solapamiento, sin habilitación legal previa, entre la fuente de riqueza gravada por un tributo local y por un nuevo tributo autonómico”; habilitación legal que en este caso no existe pues en la disposición adicional primera del texto refundido de la Ley de haciendas locales únicamente se contempla esa dualidad impositiva para los impuestos sobre vehículos de tracción mecánica y municipal de gastos suntuarios, como igualmente ocioso es buscarla en la Norma Foral 9/2005, reguladora de las haciendas vizcaínas ni en las otras dos normas que regulan esta misma materia en los territorios históricos de Álava y Guipúzcoa.</w:t>
      </w:r>
    </w:p>
    <w:p w:rsidR="0026452D" w:rsidRDefault="0026452D" w:rsidP="0026452D">
      <w:pPr>
        <w:pStyle w:val="TextoNormal"/>
      </w:pPr>
    </w:p>
    <w:p w:rsidR="0026452D" w:rsidRDefault="0026452D" w:rsidP="0026452D">
      <w:pPr>
        <w:pStyle w:val="TextoNormal"/>
      </w:pPr>
      <w:r>
        <w:t xml:space="preserve">Para los Diputados recurrentes el canon del agua vulnera igualmente el art. 6.2 LOFCA al recaer sobre un hecho imponible ya gravado por la Ordenanza reguladora del Consorcio de aguas de Bilbao-Bizkaia y las tarifas primera y segunda aprobadas por el Ayuntamiento </w:t>
      </w:r>
      <w:r>
        <w:lastRenderedPageBreak/>
        <w:t>de Vitoria-Gasteiz, anteriormente reseñadas. Se contraviene así la prohibición de doble imposición y, con ella, los arts. 142 y 157 CE.</w:t>
      </w:r>
    </w:p>
    <w:p w:rsidR="0026452D" w:rsidRDefault="0026452D" w:rsidP="0026452D">
      <w:pPr>
        <w:pStyle w:val="TextoNormal"/>
      </w:pPr>
    </w:p>
    <w:p w:rsidR="0026452D" w:rsidRDefault="0026452D" w:rsidP="0026452D">
      <w:pPr>
        <w:pStyle w:val="TextoNormal"/>
      </w:pPr>
      <w:r>
        <w:t>c) En el epígrafe que lleva por rúbrica “Invasión competencial”, apuntan los recurrentes que los preceptos legales impugnados también vulnerarían los arts. 140, 142 y la disposición adicional primera de la Constitución “porque en materia fiscal y financiera en la Comunidad Vasca rige la legislación especial contemplada en la Ley 12/2002, de 23 de mayo, por la que se aprueba el Concierto Económico con la Comunidad Autónoma del país Vasco, que en su Sección XV, Haciendas Locales, en el artículo 42, establece la competencia de los Territorios Históricos para establecer cualquier tributo propio de las Entidades locales, atendiendo a la estructura general del régimen común y sin repercusión fuera del territorio del País Vasco.” De acuerdo con la disposición adicional primera de la Constitución, la potestad tributaria en materia de haciendas locales corresponde a los territorios históricos, que sustituyen al Estado, y deben actuar de acuerdo con el principio de coordinación y atendiendo a la estructura impositiva del régimen común.</w:t>
      </w:r>
    </w:p>
    <w:p w:rsidR="0026452D" w:rsidRDefault="0026452D" w:rsidP="0026452D">
      <w:pPr>
        <w:pStyle w:val="TextoNormal"/>
      </w:pPr>
    </w:p>
    <w:p w:rsidR="0026452D" w:rsidRDefault="0026452D" w:rsidP="0026452D">
      <w:pPr>
        <w:pStyle w:val="TextoNormal"/>
      </w:pPr>
      <w:r>
        <w:t>Recuerdan los actores que si bien el art. 6.3 LOFCA contempla la posibilidad de que las Comunidades Autónomas establezcan tributos sobre materias de competencia local, dicha posibilidad está supeditada a lo que disponga en cada caso el legislador, siendo así que los arts. 25.2 l) y 26.1 a) de la Ley de bases de régimen local han configurado el suministro de agua como competencia municipal obligatoria. A su vez, el art. 57 del texto refundido de la Ley de haciendas locales prevé que los Ayuntamientos establezcan tasas por la prestación de servicios, lo que se complementa con las previsiones de los arts. 20.3 k) y 20.4 r) y t) del mismo texto legal, donde se definen como hechos imponibles de esas tasas las conducciones de agua y los servicios de alcantarillado, tratamiento y depuración de aguas residuales, distribución de agua, incluidos derechos de enganche y utilización de contadores, exceptuándose únicamente el suministro en fuentes públicas [art. 21.1 a)].</w:t>
      </w:r>
    </w:p>
    <w:p w:rsidR="0026452D" w:rsidRDefault="0026452D" w:rsidP="0026452D">
      <w:pPr>
        <w:pStyle w:val="TextoNormal"/>
      </w:pPr>
    </w:p>
    <w:p w:rsidR="0026452D" w:rsidRDefault="0026452D" w:rsidP="0026452D">
      <w:pPr>
        <w:pStyle w:val="TextoNormal"/>
      </w:pPr>
      <w:r>
        <w:t>En la disposición adicional octava de la Ley de haciendas locales se señala que los territorios históricos del País Vasco conservarán su régimen especial en materia municipal, lo que no puede significar, en opinión de los diputados recurrentes, un nivel de autonomía local inferior al reconocido a las entidades de régimen común. En desarrollo de esta previsión los diferentes territorios históricos han aprobado sus correspondientes normas forales reguladoras de las haciendas locales, sustancialmente coincidentes —en lo que aquí estrictamente interesa— con la Ley de haciendas locales. En Álava rige la Norma Foral 41/1989, de 19 de julio, en Guipúzcoa la Norma Foral 11/1989, de 5 de julio y en Vizcaya la Norma Foral 9/2005, de 16 de diciembre, que en su art. 21.4 r) y t) regula el hecho imponible de las tasas exactamente igual que la Ley de haciendas locales.</w:t>
      </w:r>
    </w:p>
    <w:p w:rsidR="0026452D" w:rsidRDefault="0026452D" w:rsidP="0026452D">
      <w:pPr>
        <w:pStyle w:val="TextoNormal"/>
      </w:pPr>
    </w:p>
    <w:p w:rsidR="0026452D" w:rsidRDefault="0026452D" w:rsidP="0026452D">
      <w:pPr>
        <w:pStyle w:val="TextoNormal"/>
      </w:pPr>
      <w:r>
        <w:t xml:space="preserve">Defienden los Diputados recurrentes que estamos en presencia de una competencia local, referida a la prestación de un servicio, cuya financiación corresponde a las propias entidades locales. Sin embargo, la Ley aporta como recurso de la Agencia Vasca del Agua “los ingresos procedentes de la recaudación de los tributos en materia de aguas” [art. 9 e)], sin excepcionar los tributos locales; el art. 41 impone a los Ayuntamientos la forma como han de regular sus tasas; el art. 49.2 a) regula los contadores de agua, regulación que ya figura en la normativa local; la disposición adicional sexta establece qué principios deben regir y el plazo para la necesaria adaptación; el art. 52 obliga a las entidades suministradoras de agua (Ayuntamientos o sus sustitutos) a cobrar el nuevo canon por cuenta de la nueva agencia; el </w:t>
      </w:r>
      <w:r>
        <w:lastRenderedPageBreak/>
        <w:t>art. 48.3 les obliga a responder solidariamente del nuevo canon, trasladando con ello el coste a los Ayuntamientos, sin que medie contraprestación alguna; y el art. 56.3 tipifica como infracción muy grave el incumplimiento de esa obligación.</w:t>
      </w:r>
    </w:p>
    <w:p w:rsidR="0026452D" w:rsidRDefault="0026452D" w:rsidP="0026452D">
      <w:pPr>
        <w:pStyle w:val="TextoNormal"/>
      </w:pPr>
    </w:p>
    <w:p w:rsidR="0026452D" w:rsidRDefault="0026452D" w:rsidP="0026452D">
      <w:pPr>
        <w:pStyle w:val="TextoNormal"/>
      </w:pPr>
      <w:r>
        <w:t>Se ignora con ello, en opinión de los recurrentes, el marco competencial en materia de suministro de aguas y, en particular, lo dispuesto en el art. 111 bis.1 del texto refundido de la Ley de aguas, aprobado por Real Decreto Legislativo 1/2001, de 20 de julio, que asienta como principio general “evitar la duplicidad en la recuperación de costes de los servicios relacionados con el agua”, añadiéndose en el segundo apartado que a este fin “la Administración con competencias en materia de suministro de agua establecerá las estructuras tarifarias por tramos de consumo, con la finalidad de atender las necesidades básicas a un precio asequible y desincentivar los consumos excesivos.” Ambos mandatos se habrían incumplido por el legislador autonómico, quien, además, ignoró que la competencia para fijar los principios y figuras de la tributación local corresponde al Estado y a los territorios históricos y no a la Comunidad Autónoma Vasca.</w:t>
      </w:r>
    </w:p>
    <w:p w:rsidR="0026452D" w:rsidRDefault="0026452D" w:rsidP="0026452D">
      <w:pPr>
        <w:pStyle w:val="TextoNormal"/>
      </w:pPr>
    </w:p>
    <w:p w:rsidR="0026452D" w:rsidRDefault="0026452D" w:rsidP="0026452D">
      <w:pPr>
        <w:pStyle w:val="TextoNormal"/>
      </w:pPr>
      <w:r>
        <w:t>Concluyen este epígrafe los recurrentes afirmando que “también se vulnera el art. 157.2 CE, que prohíbe a las Comunidades Autónomas adoptar medidas tributarias sobre bienes situados fuera de su territorio; si la ley impugnada considera que el agua es el bien gravado, gran parte de la utilizada por el Consorcio de Aguas de Bilbao-Bizkaia proviene del embalse de Ordunte, sito al norte de la Provincia de Burgos. Ni que decir tiene que el Gobierno Vasco carece de competencias o de gestión de ningún tipo, incluso medioambientales, sobre dicha fuente suministradora de agua.”</w:t>
      </w:r>
    </w:p>
    <w:p w:rsidR="0026452D" w:rsidRDefault="0026452D" w:rsidP="0026452D">
      <w:pPr>
        <w:pStyle w:val="TextoNormal"/>
      </w:pPr>
    </w:p>
    <w:p w:rsidR="0026452D" w:rsidRDefault="0026452D" w:rsidP="0026452D">
      <w:pPr>
        <w:pStyle w:val="TextoNormal"/>
      </w:pPr>
      <w:r>
        <w:t>d) Se reprocha igualmente a los preceptos legales autonómicos controvertidos el haber incurrido en “vulneración del principio de capacidad económica y de la Directiva marco del agua”.</w:t>
      </w:r>
    </w:p>
    <w:p w:rsidR="0026452D" w:rsidRDefault="0026452D" w:rsidP="0026452D">
      <w:pPr>
        <w:pStyle w:val="TextoNormal"/>
      </w:pPr>
    </w:p>
    <w:p w:rsidR="0026452D" w:rsidRDefault="0026452D" w:rsidP="0026452D">
      <w:pPr>
        <w:pStyle w:val="TextoNormal"/>
      </w:pPr>
      <w:r>
        <w:t>Para los recurrentes, el nuevo tributo pugna con los componentes del principio de capacidad económica: generalidad, igualdad, no confiscatoriedad, legalidad y progresividad, que aquí se concreta en que quien contamina paga y quien más lo hace más debiera pagar. En su opinión, “el hecho de que se grave el consumo del agua … necesario para la subsistencia de todo ser vivo —entre los que se encuentran los vascos—, por entender que contamina, nos coloca en la antesala de gravar con un tributo la actividad de respirar ya que consume oxígeno y contamina el medio ambiente”. El hecho y la base imponible “gravan por segunda vez el consumo del agua” y, además, el canon carece de progresividad pues no existen tramos y el tipo único es de 6 céntimos de euro por metro cúbico, lo que es contrario a la Directiva marco del agua que, en su art. 9.1 establece que el principio “quien contamina paga”, siendo así que en este caso no paga más quien más contamina sino quien más consume, con independencia del número de habitantes de la vivienda, lo que redunda en perjuicio de las familias numerosas.</w:t>
      </w:r>
    </w:p>
    <w:p w:rsidR="0026452D" w:rsidRDefault="0026452D" w:rsidP="0026452D">
      <w:pPr>
        <w:pStyle w:val="TextoNormal"/>
      </w:pPr>
    </w:p>
    <w:p w:rsidR="0026452D" w:rsidRDefault="0026452D" w:rsidP="0026452D">
      <w:pPr>
        <w:pStyle w:val="TextoNormal"/>
      </w:pPr>
      <w:r>
        <w:t>Además, señalan los Diputados impugnantes que la ley impugnada no incentiva el uso eficiente del agua, gravando la disponibilidad o consumo potencial y el mero consumo. No paga quien contamina, paga quien consume o puede hacerlo, sin que se diferencien los tipos de consumo (agrícola, industrial, etc.); al contrario, “la tarifa es lineal para todos los consumidores sean personas físicas o jurídicas”.</w:t>
      </w:r>
    </w:p>
    <w:p w:rsidR="0026452D" w:rsidRDefault="0026452D" w:rsidP="0026452D">
      <w:pPr>
        <w:pStyle w:val="TextoNormal"/>
      </w:pPr>
    </w:p>
    <w:p w:rsidR="0026452D" w:rsidRDefault="0026452D" w:rsidP="0026452D">
      <w:pPr>
        <w:pStyle w:val="TextoNormal"/>
      </w:pPr>
      <w:r>
        <w:lastRenderedPageBreak/>
        <w:t>Que la ley controvertida responde a un propósito recaudatorio lo demuestra, a juicio de los recurrentes, lo dispuesto en su art. 47, que contempla la posibilidad de bonificar hasta el 95 por 100 del suministro de agua en fuentes públicas, siendo así que la Ley de haciendas locales y las normas forales fiscales expresamente califican como supuesto de no sujeción el abastecimiento de aguas en fuentes públicas. No deja de ser curioso, sostienen los parlamentarios promotores de este proceso constitucional, “que a los municipios les esté vedado gravar el abastecimiento en fuentes públicas por ser considerado un servicio público y, sin embargo, la Comunidad Autónoma Vasca grave dicho suministro en su afán recaudatorio”. De hecho, la ley impugnada desmiente cualquier finalidad distinta de la recaudatoria, en particular la ambiental, al establecer como principio ordenador que los entes locales han de establecer sus tarifas conforme a la Directiva 2000/60/CE, recuperando todos los costes relacionados con el servicio, especialmente los de inversión, amortización, mantenimiento y explotación, incluidos los ambientales y los relativos a los recursos (art. 41.2). Si ello es así, “sobra el canon”.</w:t>
      </w:r>
    </w:p>
    <w:p w:rsidR="0026452D" w:rsidRDefault="0026452D" w:rsidP="0026452D">
      <w:pPr>
        <w:pStyle w:val="TextoNormal"/>
      </w:pPr>
    </w:p>
    <w:p w:rsidR="0026452D" w:rsidRDefault="0026452D" w:rsidP="0026452D">
      <w:pPr>
        <w:pStyle w:val="TextoNormal"/>
      </w:pPr>
      <w:r>
        <w:t>e) Finalmente, denuncian los parlamentarios recurrentes la vulneración del principio de legalidad. Este reproche se dirige, en particular, contra el art. 47 de la Ley, en el que se advertiría plena discrecionalidad a la hora de fijar las bonificaciones de hasta el 95 por 100, discrecionalidad que alcanza incluso a la decisión sobre si la bonificación se efectuará sobre la cuota o sobre la base imponible del tributo; además, no se aclara en qué debe concretarse la contribución al ahorro de agua, o a la mejora de la calidad del recurso, para acceder a la bonificación, no se explicitan las mejores técnicas disponibles para uso agrícola o industrial ni a quién corresponde otorgar este calificativo y nada se dice, en su letra c), sobre cómo se puede conseguir beneficiarse de la bonificación por el uso de aguas pluviales o de escorrentía. Se trata de aspectos verdaderamente capitales, como demuestra la posibilidad de abonar la totalidad del impuesto o tan solo un 5 por 100 del mismo, que es tanto como quedar exento.</w:t>
      </w:r>
    </w:p>
    <w:p w:rsidR="0026452D" w:rsidRDefault="0026452D" w:rsidP="0026452D">
      <w:pPr>
        <w:pStyle w:val="TextoNormal"/>
      </w:pPr>
    </w:p>
    <w:p w:rsidR="0026452D" w:rsidRDefault="0026452D" w:rsidP="0026452D">
      <w:pPr>
        <w:pStyle w:val="TextoNormal"/>
      </w:pPr>
      <w:r>
        <w:t>Con cita de las SSTC 233/1999 y 194/2000 denuncian los Diputados recurrentes que el precepto en cuestión desconoce la reserva de ley al permitir que la Administración cuantifique, sin límite alguno, un elemento esencial del tributo. En este caso se llega al extremo de que la Administración autonómica puede decidir si la bonificación opera sobre la cuota o sobre la base imponible, quiénes disfrutarán de ella, y en qué porcentaje. En opinión de los actores, ello choca frontalmente con las exigencias de los arts. 31.3 y 133.3 CE y quebranta la proscripción de arbitrariedad del art. 9.3 CE.</w:t>
      </w:r>
    </w:p>
    <w:p w:rsidR="0026452D" w:rsidRDefault="0026452D" w:rsidP="0026452D">
      <w:pPr>
        <w:pStyle w:val="TextoNormal"/>
      </w:pPr>
    </w:p>
    <w:p w:rsidR="0026452D" w:rsidRDefault="0026452D" w:rsidP="0026452D">
      <w:pPr>
        <w:pStyle w:val="TextoNormal"/>
      </w:pPr>
      <w:r>
        <w:t>El escrito del recurso se cierra con la solicitud de que se dicte Sentencia que, con estimación íntegra de la impugnación, declare inconstitucionales y nulos los preceptos controvertidos de la Ley del Parlamento Vasco 1/2006, de 23 de junio, de aguas.</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Mediante providencia de 8 de noviembre de 2006, la Sección Cuarta de este Tribunal acordó admitir a trámite el presente recurso de inconstitucionalidad, así como dar traslado de la demanda y documentos presentados, de conformidad con el art. 34 de la Ley Orgánica del Tribunal Constitucional (LOTC), al Congreso de los Diputados y al Senado por conducto de sus Presidentes, al Gobierno a través del Ministro de Justicia, así como al Gobierno y al Parlamento Vasco por conducto de sus respectivos Presidentes, al objeto de que en el </w:t>
      </w:r>
      <w:r>
        <w:lastRenderedPageBreak/>
        <w:t>plazo de quince días pudiesen personarse en el proceso y formular las alegaciones que estimaran convenientes; y publicar la incoación del recurso en el “Boletín Oficial del Estado” y en el “Boletín Oficial del País Vasco”.</w:t>
      </w:r>
    </w:p>
    <w:p w:rsidR="0026452D" w:rsidRDefault="0026452D" w:rsidP="0026452D">
      <w:pPr>
        <w:pStyle w:val="TextoNormal"/>
      </w:pPr>
    </w:p>
    <w:p w:rsidR="0026452D" w:rsidRDefault="0026452D" w:rsidP="0026452D">
      <w:pPr>
        <w:pStyle w:val="TextoNormal"/>
      </w:pPr>
      <w:r>
        <w:t>La publicación de los edictos se llevó a efecto en el “Boletín Oficial del Estado” núm. 277, de 20 de noviembre de 2006, y en el “Boletín Oficial del País Vasco” núm. 232, de 5 de diciembre de 2006.</w:t>
      </w:r>
    </w:p>
    <w:p w:rsidR="0026452D" w:rsidRDefault="0026452D" w:rsidP="0026452D">
      <w:pPr>
        <w:pStyle w:val="TextoNormal"/>
      </w:pPr>
    </w:p>
    <w:p w:rsidR="0026452D" w:rsidRDefault="0026452D" w:rsidP="0026452D">
      <w:pPr>
        <w:pStyle w:val="TextoNormal"/>
      </w:pPr>
      <w:r w:rsidRPr="0026452D">
        <w:rPr>
          <w:rStyle w:val="NumeroAFNegritaCaracter"/>
        </w:rPr>
        <w:t>3</w:t>
      </w:r>
      <w:r>
        <w:t>. El día 22 de noviembre de 2006 se registró en este Tribunal escrito del Presidente del Senado dando por personada a la Cámara en el presente proceso constitucional y por ofrecida su colaboración a los efectos del art. 88.1 LOTC. A su vez, el 27 de noviembre de 2006 se registró escrito del Presidente del Congreso de los Diputados de contenido sustancialmente idéntico.</w:t>
      </w:r>
    </w:p>
    <w:p w:rsidR="0026452D" w:rsidRDefault="0026452D" w:rsidP="0026452D">
      <w:pPr>
        <w:pStyle w:val="TextoNormal"/>
      </w:pPr>
    </w:p>
    <w:p w:rsidR="0026452D" w:rsidRDefault="0026452D" w:rsidP="0026452D">
      <w:pPr>
        <w:pStyle w:val="TextoNormal"/>
      </w:pPr>
      <w:r w:rsidRPr="0026452D">
        <w:rPr>
          <w:rStyle w:val="NumeroAFNegritaCaracter"/>
        </w:rPr>
        <w:t>4</w:t>
      </w:r>
      <w:r>
        <w:t>. Por escrito presentado en el Registro General de este Tribunal Constitucional el 29 de noviembre de 2006 las Letradas de los servicios jurídicos centrales de la Administración de la Comunidad Autónoma Vasca, actuando en nombre del Gobierno Vasco, solicitaron que se les tuviera por personadas, en la representación que ostentan, en este proceso, y que se les concediera una ampliación del plazo otorgado para formular alegaciones.</w:t>
      </w:r>
    </w:p>
    <w:p w:rsidR="0026452D" w:rsidRDefault="0026452D" w:rsidP="0026452D">
      <w:pPr>
        <w:pStyle w:val="TextoNormal"/>
      </w:pPr>
    </w:p>
    <w:p w:rsidR="0026452D" w:rsidRDefault="0026452D" w:rsidP="0026452D">
      <w:pPr>
        <w:pStyle w:val="TextoNormal"/>
      </w:pPr>
      <w:r>
        <w:t>El 1 de diciembre de 2006 el Letrado del Parlamento Vasco interesó, igualmente, que se le tuviera por personado en representación de la Cámara autonómica y que se le concediera una ampliación del plazo otorgado para formular alegaciones.</w:t>
      </w:r>
    </w:p>
    <w:p w:rsidR="0026452D" w:rsidRDefault="0026452D" w:rsidP="0026452D">
      <w:pPr>
        <w:pStyle w:val="TextoNormal"/>
      </w:pPr>
    </w:p>
    <w:p w:rsidR="0026452D" w:rsidRDefault="0026452D" w:rsidP="0026452D">
      <w:pPr>
        <w:pStyle w:val="TextoNormal"/>
      </w:pPr>
      <w:r w:rsidRPr="0026452D">
        <w:rPr>
          <w:rStyle w:val="NumeroAFNegritaCaracter"/>
        </w:rPr>
        <w:t>5</w:t>
      </w:r>
      <w:r>
        <w:t>. El 4 de diciembre de 2006 el Abogado del Estado comunicó que no formularía alegaciones en este proceso, en el que se personaba únicamente a fin de que, en su día, se le notifiquen las resoluciones que en él se dicten.</w:t>
      </w:r>
    </w:p>
    <w:p w:rsidR="0026452D" w:rsidRDefault="0026452D" w:rsidP="0026452D">
      <w:pPr>
        <w:pStyle w:val="TextoNormal"/>
      </w:pPr>
    </w:p>
    <w:p w:rsidR="0026452D" w:rsidRDefault="0026452D" w:rsidP="0026452D">
      <w:pPr>
        <w:pStyle w:val="TextoNormal"/>
      </w:pPr>
      <w:r w:rsidRPr="0026452D">
        <w:rPr>
          <w:rStyle w:val="NumeroAFNegritaCaracter"/>
        </w:rPr>
        <w:t>6</w:t>
      </w:r>
      <w:r>
        <w:t>. Por nuevo proveído de 11 de diciembre de 2006, la Sección Cuarta accedió a lo solicitado por las representaciones procesales del Gobierno Vasco y del Parlamento Vasco, prorrogando en ocho días más el plazo concedido por providencia de 8 de noviembre de 2006.</w:t>
      </w:r>
    </w:p>
    <w:p w:rsidR="0026452D" w:rsidRDefault="0026452D" w:rsidP="0026452D">
      <w:pPr>
        <w:pStyle w:val="TextoNormal"/>
      </w:pPr>
    </w:p>
    <w:p w:rsidR="0026452D" w:rsidRDefault="0026452D" w:rsidP="0026452D">
      <w:pPr>
        <w:pStyle w:val="TextoNormal"/>
      </w:pPr>
      <w:r w:rsidRPr="0026452D">
        <w:rPr>
          <w:rStyle w:val="NumeroAFNegritaCaracter"/>
        </w:rPr>
        <w:t>7</w:t>
      </w:r>
      <w:r>
        <w:t>. El escrito de alegaciones del Parlamento Vasco se presentó en el Registro General de este Tribunal el día 20 de diciembre de 2006. En él se solicita la íntegra desestimación del recurso de inconstitucionalidad promovido frente a la Ley 1/2006, de 23 de junio, de aguas, por las razones que seguidamente se resumen.</w:t>
      </w:r>
    </w:p>
    <w:p w:rsidR="0026452D" w:rsidRDefault="0026452D" w:rsidP="0026452D">
      <w:pPr>
        <w:pStyle w:val="TextoNormal"/>
      </w:pPr>
    </w:p>
    <w:p w:rsidR="0026452D" w:rsidRDefault="0026452D" w:rsidP="0026452D">
      <w:pPr>
        <w:pStyle w:val="TextoNormal"/>
      </w:pPr>
      <w:r>
        <w:t>a) Tras dar sucinta cuenta de los antecedentes de este proceso constitucional, la parte argumentativa del escrito se inicia con un epígrafe rubricado “Consideraciones generales (examen del ámbito competencial)”. En él se sostiene que la ley impugnada se incardina en el ámbito del art. 45 CE pues representa un instrumento a través del cual las instituciones comunes del País Vasco dan cumplimiento al mandato constitucional de protección del medio ambiente, articulando el reconocimiento y desarrollo del principio rector con relación a un recurso natural capital, como es el agua.</w:t>
      </w:r>
    </w:p>
    <w:p w:rsidR="0026452D" w:rsidRDefault="0026452D" w:rsidP="0026452D">
      <w:pPr>
        <w:pStyle w:val="TextoNormal"/>
      </w:pPr>
    </w:p>
    <w:p w:rsidR="0026452D" w:rsidRDefault="0026452D" w:rsidP="0026452D">
      <w:pPr>
        <w:pStyle w:val="TextoNormal"/>
      </w:pPr>
      <w:r>
        <w:t xml:space="preserve">Que la Comunidad Autónoma del País Vasco es competente para legislar en la materia resulta de lo dispuesto en los siguientes preceptos del Estatuto de Autonomía del País Vasco: </w:t>
      </w:r>
      <w:r>
        <w:lastRenderedPageBreak/>
        <w:t>arts. 10.2 (competencia exclusiva sobre organización, régimen y funcionamiento de sus instituciones de autogobierno), 10.4 (régimen local), 10.11 (aprovechamiento hidráulicos, canales y regadíos, cuando las aguas discurran íntegramente dentro del País Vasco, aguas minerales, termales y subterráneas), 10.31 (ordenación del territorio y del litoral, urbanismo), 10.33 (obras públicas que no tengan la calificación legal de interés general o cuya realización no afecte a otros territorios); los apartados a), relativo al medio ambiente y ecología, y b), que hace mención de la expropiación forzosa, contratos y concesiones y sistema de responsabilidad de la Administración del País Vasco, del art. 11; el art. 12.10 (vertidos industriales y contaminantes en las aguas territoriales del Estado correspondientes al litoral vasco); y los arts. 18 (sanidad), 40 y 42 (hacienda general del País Vasco). Todo ello a la luz de las SSTC 227/1988, de 29 de noviembre, FJ 18, y 102/1995, de 26 de julio, FFJJ 3 y 9.</w:t>
      </w:r>
    </w:p>
    <w:p w:rsidR="0026452D" w:rsidRDefault="0026452D" w:rsidP="0026452D">
      <w:pPr>
        <w:pStyle w:val="TextoNormal"/>
      </w:pPr>
    </w:p>
    <w:p w:rsidR="0026452D" w:rsidRDefault="0026452D" w:rsidP="0026452D">
      <w:pPr>
        <w:pStyle w:val="TextoNormal"/>
      </w:pPr>
      <w:r>
        <w:t>b) Seguidamente defiende la representación del Parlamento Vasco que los preceptos legales impugnados no vulneran la prohibición de doble imposición. A este respecto indica que la autonomía financiera de las Comunidades Autónomas, en cuya relevancia se hace hincapié, “no se agota en la titularidad y el ejercicio de competencias sobre el gasto público sino que, también, ha de comprender las potestades públicas necesarias relativas a los ingresos”. De modo que las haciendas autonómicas han de disponer de las competencias de regulación y gestión de sus ingresos y ordenarlos y aplicarlos conforme a una orientación política propia.</w:t>
      </w:r>
    </w:p>
    <w:p w:rsidR="0026452D" w:rsidRDefault="0026452D" w:rsidP="0026452D">
      <w:pPr>
        <w:pStyle w:val="TextoNormal"/>
      </w:pPr>
    </w:p>
    <w:p w:rsidR="0026452D" w:rsidRDefault="0026452D" w:rsidP="0026452D">
      <w:pPr>
        <w:pStyle w:val="TextoNormal"/>
      </w:pPr>
      <w:r>
        <w:t>El Parlamento Vasco deja sentado que, como poder limitado que es, la autonomía financiera se ha de ejercer, como establece el art. 156 CE, con arreglo a los principios de coordinación con la hacienda estatal y de solidaridad entre todos los españoles, lo que presupone, entre otras cosas, la existencia de un límite constitucional en cuya virtud el ejercicio de las competencias financieras autonómicas no puede dar lugar, en particular, a la creación de diferencias que impliquen privilegios económicos o fiscales (art. 138.2 CE).</w:t>
      </w:r>
    </w:p>
    <w:p w:rsidR="0026452D" w:rsidRDefault="0026452D" w:rsidP="0026452D">
      <w:pPr>
        <w:pStyle w:val="TextoNormal"/>
      </w:pPr>
    </w:p>
    <w:p w:rsidR="0026452D" w:rsidRDefault="0026452D" w:rsidP="0026452D">
      <w:pPr>
        <w:pStyle w:val="TextoNormal"/>
      </w:pPr>
      <w:r>
        <w:t>En el caso del País Vasco, el art. 40 de su Estatuto de Autonomía contempla la existencia de una hacienda autonómica, entre cuyas fuentes de ingresos menciona el art. 42 del mismo texto estatutario “los rendimientos de los impuestos propios de la Comunidad Autónoma que establezca el Parlamento Vasco, de acuerdo con lo establecido en el artículo 157 de la Constitución y en la Ley Orgánica sobre financiación de las Comunidades Autónomas”. En este mismo sentido se mencionan, igualmente, los arts. 17.1 de la Ley del Parlamento Vasco 27/1983, de 25 de noviembre, de relaciones entre las instituciones comunes de la Comunidad Autónoma y los órganos forales de sus territorios históricos, y 34.1 de la Ley de principios ordenadores de la hacienda general del País Vasco, texto refundido aprobado por Decreto Legislativo 1/1997, de 11 de noviembre.</w:t>
      </w:r>
    </w:p>
    <w:p w:rsidR="0026452D" w:rsidRDefault="0026452D" w:rsidP="0026452D">
      <w:pPr>
        <w:pStyle w:val="TextoNormal"/>
      </w:pPr>
    </w:p>
    <w:p w:rsidR="0026452D" w:rsidRDefault="0026452D" w:rsidP="0026452D">
      <w:pPr>
        <w:pStyle w:val="TextoNormal"/>
      </w:pPr>
      <w:r>
        <w:t>Avanzando un paso más en su argumentación, el Parlamento Vasco señala que la Comunidad Autónoma del País Vasco puede crear impuestos siempre que no estén comprendidos o previstos en el concierto económico, sin perjuicio de la competencia de armonización fiscal que el propio Estatuto de Autonomía reconoce a las instituciones de la Comunidad Autónoma respecto de los tributos concertados. El canon del agua es un impuesto con fines ecológicos, cuya finalidad se explicita en el art. 42 de la ley controvertida, es decir, “es un impuesto novedoso que no figura en la relación de impuestos concertados en la Ley 12/2002, de 23 de mayo, por la que se aprueba el Concierto Económico.”</w:t>
      </w:r>
    </w:p>
    <w:p w:rsidR="0026452D" w:rsidRDefault="0026452D" w:rsidP="0026452D">
      <w:pPr>
        <w:pStyle w:val="TextoNormal"/>
      </w:pPr>
    </w:p>
    <w:p w:rsidR="0026452D" w:rsidRDefault="0026452D" w:rsidP="0026452D">
      <w:pPr>
        <w:pStyle w:val="TextoNormal"/>
      </w:pPr>
      <w:r>
        <w:t>Rechaza la representación del Parlamento Vasco que las normas objeto de este proceso constitucional contradigan el art. 6.2 LOFCA pues el hecho imponible de la ley autonómica no coincide, en absoluto, con las figuras tributarias definidas por la Ley de aguas (texto refundido aprobado por Real Decreto Legislativo 1/2001).</w:t>
      </w:r>
    </w:p>
    <w:p w:rsidR="0026452D" w:rsidRDefault="0026452D" w:rsidP="0026452D">
      <w:pPr>
        <w:pStyle w:val="TextoNormal"/>
      </w:pPr>
    </w:p>
    <w:p w:rsidR="0026452D" w:rsidRDefault="0026452D" w:rsidP="0026452D">
      <w:pPr>
        <w:pStyle w:val="TextoNormal"/>
      </w:pPr>
      <w:r>
        <w:t>Entrando en el análisis de la cuestión desde la perspectiva que ofrece el art. 6.3 LOFCA, se apunta, en primer lugar, que el suministro de agua en baja es, de acuerdo con lo establecido en la Ley reguladora de las bases de régimen local, una competencia municipal, del mismo modo que el abastecimiento de agua potable, el alcantarillado y el tratamiento de aguas, son servicios de prestación obligatoria por los municipios. La financiación de estos servicios corre a cargo de las figuras tributarias previstas en el texto refundido de la Ley de haciendas locales y en las normas correspondientes de los diferentes territorios históricos. Sostiene la representación del Parlamento Vasco que, frente a lo afirmado por los recurrentes, el hecho imponible del canon aquí discutido no coincide con los contenidos en las normas reguladoras de las haciendas locales.</w:t>
      </w:r>
    </w:p>
    <w:p w:rsidR="0026452D" w:rsidRDefault="0026452D" w:rsidP="0026452D">
      <w:pPr>
        <w:pStyle w:val="TextoNormal"/>
      </w:pPr>
    </w:p>
    <w:p w:rsidR="0026452D" w:rsidRDefault="0026452D" w:rsidP="0026452D">
      <w:pPr>
        <w:pStyle w:val="TextoNormal"/>
      </w:pPr>
      <w:r>
        <w:t>La finalidad ecológica del tributo cuestionado no sólo aparece mencionada en la exposición de motivos de la Ley sino que, en opinión de la representación del Parlamento Vasco, también “se destaca en el análisis de la estructura del nuevo impuesto y en especial del artículo 41 (principios ordenadores) y en el artículo 43 (destino del tributo)”, de modo que la afección al medio hídrico y a los acuíferos representa la “materia tributaria” del canon del agua, no existiendo ningún otro impuesto local que grave esta misma materia. Por lo que hace a la comparación entre la tasa y el canon de aguas, indica que “aunque ambos se calculen en función del consumo de agua, recaen sobre distintas materias”.</w:t>
      </w:r>
    </w:p>
    <w:p w:rsidR="0026452D" w:rsidRDefault="0026452D" w:rsidP="0026452D">
      <w:pPr>
        <w:pStyle w:val="TextoNormal"/>
      </w:pPr>
    </w:p>
    <w:p w:rsidR="0026452D" w:rsidRDefault="0026452D" w:rsidP="0026452D">
      <w:pPr>
        <w:pStyle w:val="TextoNormal"/>
      </w:pPr>
      <w:r>
        <w:t>Las tasas municipales gravan la utilización del servicio por el usuario, a fin de sufragar los costes que ocasiona su prestación. Son, por su propia naturaleza de tasas, contraprestaciones por el uso de un servicio público, ajenas por entera a la lógica de un tributo ecológico y que no toma en consideración la capacidad económica del contribuyente. Por el contrario, el canon de aguas que aquí se discute tiene como finalidad estimular el consumo responsable de un bien escaso, considerando la capacidad del sujeto para incidir en el medio en el que se desenvuelve, que es correlato del principio de capacidad económica del art. 31.1 CE; se grava la afección que la utilización del agua produce en el medio ambiente. Por otro lado, tiene carácter finalista porque su producto se destina íntegramente a la consecución de los objetivos de la planificación hidrológica expresados en el art. 43 de la Ley. Consecuentemente, puede afirmarse, de acuerdo con la doctrina recogida en la STC 168/2004, que no se trata de una nueva fuente de ingresos públicos con fines genéricamente fiscales sino de un tributo finalista encaminado a corresponsabilizar a los ciudadanos residentes en el País Vasco en el uso responsable de un medio escaso sobre el que inciden. En palabras de la representación del Parlamento Vasco, “el canon se crea, en sentido negativo, para disuadir un consumo excesivo de un recurso escaso, y en sentido positivo, como una forma de contribuir al sostenimiento del gasto público que genera la indebida, o incluso debida, utilización del medio ambiente (manifestación concreta del principio ‘quien contamina, paga’).” Añade, igualmente, que pese a que el único elemento cuantificable del canon sea el consumo real o potencial de agua no conlleva que se esté gravando la misma materia que en las tasas, porque la circunstancia que lo cualifica es que exterioriza una medida de la afección que presuntamente produce en el medio ambiente su utilización.</w:t>
      </w:r>
    </w:p>
    <w:p w:rsidR="0026452D" w:rsidRDefault="0026452D" w:rsidP="0026452D">
      <w:pPr>
        <w:pStyle w:val="TextoNormal"/>
      </w:pPr>
    </w:p>
    <w:p w:rsidR="0026452D" w:rsidRDefault="0026452D" w:rsidP="0026452D">
      <w:pPr>
        <w:pStyle w:val="TextoNormal"/>
      </w:pPr>
      <w:r>
        <w:t>c) Se niega, a continuación, que la Ley del Parlamento Vasco 1/2006, de 23 de junio, de aguas, invada competencias municipales o forales.</w:t>
      </w:r>
    </w:p>
    <w:p w:rsidR="0026452D" w:rsidRDefault="0026452D" w:rsidP="0026452D">
      <w:pPr>
        <w:pStyle w:val="TextoNormal"/>
      </w:pPr>
    </w:p>
    <w:p w:rsidR="0026452D" w:rsidRDefault="0026452D" w:rsidP="0026452D">
      <w:pPr>
        <w:pStyle w:val="TextoNormal"/>
      </w:pPr>
      <w:r>
        <w:t>Especial atención se dedica a los perfiles de la foralidad, que si bien actúa como límite de las competencias autonómicas, conforme a lo dispuesto en el art. 10.4 del Estatuto de Autonomía del País Vasco, queda igualmente afectada por la delimitación de la autonomía local (art. 140 CE) que, en ejercicio de dichas competencias, lleve a cabo la Comunidad Autónoma. Tras poner de manifiesto la relevancia que reviste la doctrina sentada en la STC 76/1988, la representación del Parlamento Vasco pone en conocimiento de este Tribunal que la supuesta invasión de competencias ha sido objeto de una decisión de la Comisión Arbitral prevista en el art. 39 del Estatuto de Autonomía del País Vasco (resolución de fecha 8 de febrero de 2005, adoptada por el Pleno de la Comisión Arbitral en las cuestiones de competencia suscitadas por las Juntas Generales de Álava y la Diputación Foral en relación con el proyecto de Ley de aguas, publicada en el “Boletín Oficial del País Vasco” núm. 40, de 28 de febrero de 2005), a la que se atuvo el legislador autonómico en la aprobación final de la Ley de aguas.</w:t>
      </w:r>
    </w:p>
    <w:p w:rsidR="0026452D" w:rsidRDefault="0026452D" w:rsidP="0026452D">
      <w:pPr>
        <w:pStyle w:val="TextoNormal"/>
      </w:pPr>
    </w:p>
    <w:p w:rsidR="0026452D" w:rsidRDefault="0026452D" w:rsidP="0026452D">
      <w:pPr>
        <w:pStyle w:val="TextoNormal"/>
      </w:pPr>
      <w:r>
        <w:t xml:space="preserve">La Ley de aguas del País Vasco es una norma de carácter sectorial dictada en ejercicio de las competencias asumidas por la Comunidad Autónoma, que le facultan para regular servicios municipales como los de abastecimiento, saneamiento y depuración de aguas (arts. 33 a 35, no impugnados en esta </w:t>
      </w:r>
      <w:r w:rsidRPr="0026452D">
        <w:rPr>
          <w:i/>
        </w:rPr>
        <w:t>litis</w:t>
      </w:r>
      <w:r>
        <w:t>) y definir un régimen económico-financiero como el establecido en la Ley, que no invade ninguna competencia local.</w:t>
      </w:r>
    </w:p>
    <w:p w:rsidR="0026452D" w:rsidRDefault="0026452D" w:rsidP="0026452D">
      <w:pPr>
        <w:pStyle w:val="TextoNormal"/>
      </w:pPr>
    </w:p>
    <w:p w:rsidR="0026452D" w:rsidRDefault="0026452D" w:rsidP="0026452D">
      <w:pPr>
        <w:pStyle w:val="TextoNormal"/>
      </w:pPr>
      <w:r>
        <w:t>En cuanto a los territorios históricos, es cierto que la Ley 12/2002, de 23 de mayo, por la que se aprueba el concierto económico con la Comunidad Autónoma del País Vasco, les reconoce la competencia para mantener, establecer y regular, dentro del su territorio, el régimen de los tributos propios de las entidades locales. Pero se recuerda que también se deben tomar en cuenta las previsiones del art. 41.2 a) del Estatuto de Autonomía del País Vasco, que supedita el ejercicio de dichas competencias a las normas que para la coordinación, armonización fiscal y colaboración dicte el Parlamento Vasco (entre otras, la Ley 3/1989, de 30 de mayo, de armonización, coordinación y colaboración fiscal; modificada por la Ley 4/1998, de 6 de marzo); e igualmente, que debe tenerse en cuenta la Ley 27/1983, de 25 de noviembre, de relaciones entre las instituciones comunes de la Comunidad Autónoma y los órganos forales de sus territorios históricos, cuyo art. 7 contempla expresamente la posibilidad de armonizar la normativa relativa a los tributos locales.</w:t>
      </w:r>
    </w:p>
    <w:p w:rsidR="0026452D" w:rsidRDefault="0026452D" w:rsidP="0026452D">
      <w:pPr>
        <w:pStyle w:val="TextoNormal"/>
      </w:pPr>
    </w:p>
    <w:p w:rsidR="0026452D" w:rsidRDefault="0026452D" w:rsidP="0026452D">
      <w:pPr>
        <w:pStyle w:val="TextoNormal"/>
      </w:pPr>
      <w:r>
        <w:t>Amén de que, siempre en opinión de la representación del Parlamento Vasco, la ley controvertida se encuadraría dentro de la función normalizadora reseñada, se hace hincapié en que el canon “no es un tributo que grava el suministro del agua, como erróneamente se afirma en el recurso, sino … un impuesto ecológico que grava la afección al medio ambiente” y que no impone ninguna obligación a los entes locales.</w:t>
      </w:r>
    </w:p>
    <w:p w:rsidR="0026452D" w:rsidRDefault="0026452D" w:rsidP="0026452D">
      <w:pPr>
        <w:pStyle w:val="TextoNormal"/>
      </w:pPr>
    </w:p>
    <w:p w:rsidR="0026452D" w:rsidRDefault="0026452D" w:rsidP="0026452D">
      <w:pPr>
        <w:pStyle w:val="TextoNormal"/>
      </w:pPr>
      <w:r>
        <w:t xml:space="preserve">d) Para el Parlamento autonómico, la Ley de aguas del País Vasco no vulnera el principio de capacidad económica ni es contraria a la Directiva marco del agua. Según su parecer, el tributo extrafiscal introducido, al añadir un coste adicional consumo, incentiva el uso eficiente del agua, contribuyendo así a lograr los objetivos de la Directiva. Toda vez que su producto se afecta a fines ambientales, facilita la realización de obras e infraestructuras que </w:t>
      </w:r>
      <w:r>
        <w:lastRenderedPageBreak/>
        <w:t>mejoren la calidad ambiental de las aguas. Además, las exenciones previstas en el art. 46 incentivan el uso racional del recurso. En consecuencia, “el canon del agua es un gravamen de finalidad extrafiscal reconocida en su regulación, por la propia configuración de sus elementos determinantes (artículos 42 y 49) y de carácter finalista, como se recoge en su artículo 43. Que establece medidas disuasorias como es patente en su artículo 46 que recoge conductas y situaciones que dan lugar a la exención, o en su caso a la bonificación (artículo 47)”. Por lo que se refiere a la infracción de la Directiva marco del agua, se destaca que no es canon de enjuiciamiento y que no se ha especificado qué norma de Derecho interno se ha infringido.</w:t>
      </w:r>
    </w:p>
    <w:p w:rsidR="0026452D" w:rsidRDefault="0026452D" w:rsidP="0026452D">
      <w:pPr>
        <w:pStyle w:val="TextoNormal"/>
      </w:pPr>
    </w:p>
    <w:p w:rsidR="0026452D" w:rsidRDefault="0026452D" w:rsidP="0026452D">
      <w:pPr>
        <w:pStyle w:val="TextoNormal"/>
      </w:pPr>
      <w:r>
        <w:t>e) Concluye su escrito la representación del Parlamento Vasco sosteniendo que no existe vulneración del principio de legalidad porque la literalidad del art. 47 de la Ley de aguas del País Vasco contempla todos los elementos esenciales configuradores de la bonificación, “no existe margen de arbitrariedad alguno para la Administración, ni se hurta a la ley ningún elemento esencial del tributo, ni genera situación de inseguridad a los ciudadanos y es respetuoso con los preceptos constitucionales alegados de contrario.”</w:t>
      </w:r>
    </w:p>
    <w:p w:rsidR="0026452D" w:rsidRDefault="0026452D" w:rsidP="0026452D">
      <w:pPr>
        <w:pStyle w:val="TextoNormal"/>
      </w:pPr>
    </w:p>
    <w:p w:rsidR="0026452D" w:rsidRDefault="0026452D" w:rsidP="0026452D">
      <w:pPr>
        <w:pStyle w:val="TextoNormal"/>
      </w:pPr>
      <w:r w:rsidRPr="0026452D">
        <w:rPr>
          <w:rStyle w:val="NumeroAFNegritaCaracter"/>
        </w:rPr>
        <w:t>8</w:t>
      </w:r>
      <w:r>
        <w:t>. El escrito de alegaciones del Gobierno Vasco se presentó en el Registro General del Tribunal el 26 de diciembre de 2006 y en él se defiende la constitucionalidad de los preceptos legales controvertidos en este proceso con fundamento en las razones que ahora se resumen y que se abren con una referencia al objeto del recurso de inconstitucionalidad. En ella se destaca el hecho de que el escrito rector de este proceso se refiere genéricamente a los preceptos legales cuya constitucionalidad se discute, sin concretar la concurrencia de los vicios de constitucionalidad en cada uno de los preceptos legales impugnados.</w:t>
      </w:r>
    </w:p>
    <w:p w:rsidR="0026452D" w:rsidRDefault="0026452D" w:rsidP="0026452D">
      <w:pPr>
        <w:pStyle w:val="TextoNormal"/>
      </w:pPr>
    </w:p>
    <w:p w:rsidR="0026452D" w:rsidRDefault="0026452D" w:rsidP="0026452D">
      <w:pPr>
        <w:pStyle w:val="TextoNormal"/>
      </w:pPr>
      <w:r>
        <w:t>a) Rechaza en primer lugar la representación del Gobierno Vasco que la Ley de aguas del País Vasco vulnere los apartados 2 y 3 del art. 6 LOFCA, relativos a la doble imposición. El art. 6.2 LOFCA excluye la duplicidad respecto de hechos impositivos ya gravados por el Estado, y no puede ser interpretado de modo tal que llegue a equipararse la materia estatal con la local, por más que hayan sido las Cortes Generales quienes hayan aprobado las leyes de bases de régimen local y de haciendas locales. No existe ningún impuesto estatal que tenga el mismo hecho imponible que el canon del agua pues no hay ningún tributo estatal que grave el consumo del agua, por lo que no puede hablarse de infracción del art. 6.2 LOFCA.</w:t>
      </w:r>
    </w:p>
    <w:p w:rsidR="0026452D" w:rsidRDefault="0026452D" w:rsidP="0026452D">
      <w:pPr>
        <w:pStyle w:val="TextoNormal"/>
      </w:pPr>
    </w:p>
    <w:p w:rsidR="0026452D" w:rsidRDefault="0026452D" w:rsidP="0026452D">
      <w:pPr>
        <w:pStyle w:val="TextoNormal"/>
      </w:pPr>
      <w:r>
        <w:t>Por lo que se refiere al art. 6.3 LOFCA, la representación del Gobierno Vasco niega que el canon del agua coincida con la tasa por la prestación del servicio de agua que regulan las entidades locales mediante sus correspondientes ordenanzas. El hecho imponible de estas tasas consiste en el suministro de agua, vinculándose a una actividad o servicio prestado por la Administración pública y por eso se fija atendiendo fundamentalmente al coste del servicio. Por el contrario, el canon del agua es un tributo ambiental con un destacado componente finalista, al que se dedican los arts. 42 y 43 de la ley autonómica impugnada, y cuyo hecho imponible está constituido por el consumo real o potencial de agua (art. 45 de la Ley de aguas del País Vasco), “se trata, pues, conforme a la propia definición de su hecho imponible, de un impuesto que grava directamente la actividad contaminante”.</w:t>
      </w:r>
    </w:p>
    <w:p w:rsidR="0026452D" w:rsidRDefault="0026452D" w:rsidP="0026452D">
      <w:pPr>
        <w:pStyle w:val="TextoNormal"/>
      </w:pPr>
    </w:p>
    <w:p w:rsidR="0026452D" w:rsidRDefault="0026452D" w:rsidP="0026452D">
      <w:pPr>
        <w:pStyle w:val="TextoNormal"/>
      </w:pPr>
      <w:r>
        <w:t xml:space="preserve">El canon del agua no es un tributo de carácter contributivo sino extrafiscal porque con su creación se persigue, por una parte, la reducción o mantenimiento del consumo de agua </w:t>
      </w:r>
      <w:r>
        <w:lastRenderedPageBreak/>
        <w:t>dentro de ciertos límites, incentivando el uso eficiente de este recurso natural al añadir un coste adicional al consumo, lo que contribuye a lograr los objetivos de la Directiva 2000/60/CE, estimulando de este modo las actuaciones protectoras del medio ambiente en cumplimiento de lo dispuesto en el art. 45.1 CE y, por otra, una compensación, en términos económicos, destinada a financiar las medidas de contención o reparación del daño que ese consumo causa en el medio ambiente hídrico. Se persigue disuadir el consumo excesivo, fijándose el consumo ideal en el umbral de los 130 litros por persona y día (el art. 46 de la Ley declara exentos los consumos inferiores) y se atempera el gravamen a la conducta de los sujetos contaminantes. Consecuentemente, para el Gobierno Vasco “cabe afirmar que la Ley no ha creado una nueva fuente de ingresos públicos con fines fiscales, sino un tributo finalista encaminado a corresponsabilizar a los generadores de la contaminación derivada del consumo del agua en la prevención y eliminación de la misma.” De modo que el gravamen guarda relación con la incidencia real en el medio ambiente de la conducta seguida por los sujetos pasivos del canon, modulándose en función del consumo del recurso natural. Que el único elemento cuantificable del tributo sea el consumo real o potencial no puede merecer censura porque con ello se exterioriza la afección que realmente produce en el medio ambiente la utilización del recurso.</w:t>
      </w:r>
    </w:p>
    <w:p w:rsidR="0026452D" w:rsidRDefault="0026452D" w:rsidP="0026452D">
      <w:pPr>
        <w:pStyle w:val="TextoNormal"/>
      </w:pPr>
    </w:p>
    <w:p w:rsidR="0026452D" w:rsidRDefault="0026452D" w:rsidP="0026452D">
      <w:pPr>
        <w:pStyle w:val="TextoNormal"/>
      </w:pPr>
      <w:r>
        <w:t>Tras sostener que la sola lectura de los arts. 42 y 43 de la Ley de aguas del País Vasco permite concluir el carácter extrafiscal del canon, cuyo producto se destina a la financiación de actividades tendentes a combatir o reparar el daño provocado en el medio ambiente, la representación del Gobierno Vasco concluye este epígrafe afirmando que “aun cuando el canon del agua articula su gravamen sobre el consumo de agua, se configura como un impuesto que grava distinta materia imponible que las tasas municipales sobre suministro de agua, con la clara finalidad de conseguir determinadas conductas de los ciudadanos, estimulando un consumo racional del agua, gravando los consumos excesivos o abusivos, por lo que no incurre en la prohibición prevista en el art. 6.3 LOFCA.”</w:t>
      </w:r>
    </w:p>
    <w:p w:rsidR="0026452D" w:rsidRDefault="0026452D" w:rsidP="0026452D">
      <w:pPr>
        <w:pStyle w:val="TextoNormal"/>
      </w:pPr>
    </w:p>
    <w:p w:rsidR="0026452D" w:rsidRDefault="0026452D" w:rsidP="0026452D">
      <w:pPr>
        <w:pStyle w:val="TextoNormal"/>
      </w:pPr>
      <w:r>
        <w:t>b) Defiende seguidamente la representación del Gobierno Vasco que la Ley de aguas del País Vasco no invade competencias municipales ni forales. Recuerda, a este respecto, que el canon del agua controvertido no coincide con ningún tributo local y, por lo que atañe al ámbito tributario foral, califica como “indicio altamente revelador de la nula incidencia” en el mismo del canon del agua la decisión del Pleno de la Comisión Arbitral relativo a las cuestiones de competencia planteadas por las Juntas Generales de Álava y la Diputación Foral en relación con el proyecto de ley de aguas (“Boletín Oficial del País Vasco” núm. 40, de 28 de febrero de 2005).</w:t>
      </w:r>
    </w:p>
    <w:p w:rsidR="0026452D" w:rsidRDefault="0026452D" w:rsidP="0026452D">
      <w:pPr>
        <w:pStyle w:val="TextoNormal"/>
      </w:pPr>
    </w:p>
    <w:p w:rsidR="0026452D" w:rsidRDefault="0026452D" w:rsidP="0026452D">
      <w:pPr>
        <w:pStyle w:val="TextoNormal"/>
      </w:pPr>
      <w:r>
        <w:t>Señala el Gobierno Vasco que el régimen del concierto económico actualmente vigente, articulado en la Ley 12/2002, de 23 de mayo, reconoce la competencia de los territorios históricos para mantener, establecer y regular, dentro de su territorio, el régimen de los tributos propios de los entes locales, para lo que han de atender a la estructura general establecida para el sistema tributario local de régimen común y a los principios que la inspiran. El canon del agua no figura entre los impuestos concertados sino que se crea al margen del concierto económico, en virtud del principio de autonomía financiera de las Comunidades Autónomas proclamado en los arts. 156.1 CE y 1 LOFCA.</w:t>
      </w:r>
    </w:p>
    <w:p w:rsidR="0026452D" w:rsidRDefault="0026452D" w:rsidP="0026452D">
      <w:pPr>
        <w:pStyle w:val="TextoNormal"/>
      </w:pPr>
    </w:p>
    <w:p w:rsidR="0026452D" w:rsidRDefault="0026452D" w:rsidP="0026452D">
      <w:pPr>
        <w:pStyle w:val="TextoNormal"/>
      </w:pPr>
      <w:r>
        <w:t xml:space="preserve">Uno de los instrumentos adecuados para alcanzar esa autonomía financiera es la potestad que las Comunidades Autónomas tienen de establecer y exigir “sus propios impuestos, tasas </w:t>
      </w:r>
      <w:r>
        <w:lastRenderedPageBreak/>
        <w:t>y contribuciones especiales” (arts. 157.1 CE, 4 y 5 LOFCA), potestad limitada por la prohibición de doble imposición del art. 6 LOFCA. En el caso del País Vasco, el art. 42 b) de su Estatuto de Autonomía hace referencia a la potestad de creación de nuevos tributos. Por otra parte, el art. 17.1 A) de la Ley de relaciones entre las instituciones comunes de la Comunidad Autónoma y los órganos forales de sus territorios históricos incluye, entre los ingresos ordinarios de la hacienda general del País Vasco, “los rendimientos de los impuestos propios de la Comunidad Autónoma, que establezca el Parlamento Vasco, así como los recargos que ésta pudiera implantar”. A lo que se añade que el art. 34.1 a) del texto refundido de la Ley de principios ordenadores de la hacienda general del País Vasco menciona como tributos propios de la Comunidad Autónoma los impuestos que “no estando comprendidos o previstos en el Concierto Económico y no recayendo sobre hechos imponibles gravados por el Estado pueda establecer, en su caso, de acuerdo con lo dispuesto en el apartado b) del artículo 42 del Estatuto de Autonomía”. Todos los límites y condiciones previstos en las normas mencionadas se cumplen, en opinión del Gobierno Vasco, en el caso del canon del agua, por lo que este motivo impugnatorio no puede prosperar.</w:t>
      </w:r>
    </w:p>
    <w:p w:rsidR="0026452D" w:rsidRDefault="0026452D" w:rsidP="0026452D">
      <w:pPr>
        <w:pStyle w:val="TextoNormal"/>
      </w:pPr>
    </w:p>
    <w:p w:rsidR="0026452D" w:rsidRDefault="0026452D" w:rsidP="0026452D">
      <w:pPr>
        <w:pStyle w:val="TextoNormal"/>
      </w:pPr>
      <w:r>
        <w:t>c) Para la representación del Gobierno Vasco, la Ley del agua del País Vasco no vulnera la Directiva marco del agua ni el principio de capacidad económica. Con respecto al primer reproche, se recuerda que, conforme a la doctrina sentada por este Tribunal, la normativa de Derecho europeo no es canon de contraste en el examen de constitucionalidad.</w:t>
      </w:r>
    </w:p>
    <w:p w:rsidR="0026452D" w:rsidRDefault="0026452D" w:rsidP="0026452D">
      <w:pPr>
        <w:pStyle w:val="TextoNormal"/>
      </w:pPr>
    </w:p>
    <w:p w:rsidR="0026452D" w:rsidRDefault="0026452D" w:rsidP="0026452D">
      <w:pPr>
        <w:pStyle w:val="TextoNormal"/>
      </w:pPr>
      <w:r>
        <w:t>Por lo que hace al principio de capacidad económica, señala el Gobierno Vaso que el canon tiene una evidente naturaleza extrafiscal, con finalidad medio ambiental de conformidad con el art. 45.1 CE, y recuerda que la STC 221/1992, de 11 de diciembre ya aceptó la naturaleza extrafiscal de los tributos como excepción al principio de capacidad económica (se cita también, en apoyo de esta tesis, la STC 186/1993, de 7 de junio). En este caso, el Gobierno Vasco defiende que resulta constitucionalmente admisible atender al consumo real o potencial de agua para establecer un canon de carácter finalista pues ese consumo es un factor objetivo que permite medir la incidencia en el recurso natural a cuya preservación y protección se encauza el canon. Y es que cuando se trata de establecer impuestos extrafiscales el principio de capacidad contributiva debe ser analizado e interpretado en el marco de la finalidad y estructura legal del concreto tributo sobre el que se pretende proyectar este principio. Este límite y la consecuente prohibición de gravar “riquezas o rentas potenciales inexistentes o ficticias” (STC 221/1992), se traduce, en los tributos extrafiscales, en la obligación de objetivar adecuadamente los criterios tomados en consideración por el legislador para delimitar los elementos esenciales del impuesto. En el caso, ese límite se respeta al atender al consumo real o potencial de agua, índice objetivo de “capacidad” revelador de la afección ambiental negativa que el consumo ocasiona.</w:t>
      </w:r>
    </w:p>
    <w:p w:rsidR="0026452D" w:rsidRDefault="0026452D" w:rsidP="0026452D">
      <w:pPr>
        <w:pStyle w:val="TextoNormal"/>
      </w:pPr>
    </w:p>
    <w:p w:rsidR="0026452D" w:rsidRDefault="0026452D" w:rsidP="0026452D">
      <w:pPr>
        <w:pStyle w:val="TextoNormal"/>
      </w:pPr>
      <w:r>
        <w:t xml:space="preserve">d) En relación con el principio de legalidad tributaria, la representación del Gobierno Vasco recuerda que la doctrina constitucional ha precisado que la reserva de ley en materia tributaria no tiene la misma proyección sobre todos los elementos del tributo. El grado de concreción es máximo respecto de la regulación del hecho imponible y la reserva de ley también cubre el establecimiento de beneficios fiscales que afecten a los tributos del Estado (art. 133.3 CE), pero el alcance de esa reserva es inferior cuando se trata de regular otros elementos de los tributos. Concretamente, a la vista de la doctrina sentada en la STC 150/2003, la representación del Gobierno Vasco concluye que “resulta evidente que el art. 47 de la Ley 1/2006, de 23 de junio, no vulnera el principio de legalidad tributaria y, por </w:t>
      </w:r>
      <w:r>
        <w:lastRenderedPageBreak/>
        <w:t>ende, en modo alguno incurre en la interdicción de la arbitrariedad de los poderes públicos que consagra el art. 9.3 CE.”</w:t>
      </w:r>
    </w:p>
    <w:p w:rsidR="0026452D" w:rsidRDefault="0026452D" w:rsidP="0026452D">
      <w:pPr>
        <w:pStyle w:val="TextoNormal"/>
      </w:pPr>
    </w:p>
    <w:p w:rsidR="0026452D" w:rsidRDefault="0026452D" w:rsidP="0026452D">
      <w:pPr>
        <w:pStyle w:val="TextoNormal"/>
      </w:pPr>
      <w:r w:rsidRPr="0026452D">
        <w:rPr>
          <w:rStyle w:val="NumeroAFNegritaCaracter"/>
        </w:rPr>
        <w:t>9</w:t>
      </w:r>
      <w:r>
        <w:t>. Por providencia de 9 de abril de 2013 se señaló para deliberación y votación de la presente Sentencia el día 11 del mismo mes y año, trámite que ha finalizado en el día de hoy.</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Según se ha expuesto con mayor detalle en los antecedentes de esta resolución, los Diputados promotores del recurso de inconstitucionalidad postulan la anulación de los siguientes preceptos de la Ley del Parlamento Vasco 1/2006, de 23 de junio, de aguas: arts. 1 c), en el que se incluye entre los objetos de la Ley el establecimiento de “los regímenes de planificación y tributario de aguas y obras hidráulicas”; 9 e), conforme al cual, entre los recursos económicos de la Agencia Vasca del Agua se encuentran “los ingresos procedentes de la recaudación de los tributos en materia de aguas”; 41 a 52, que integran la práctica totalidad del capítulo VIII de la Ley, dedicado al “régimen económico financiero”; 55 n), o) y q), donde se tipifican diferentes infracciones leves y 56.3, donde se especifican los supuestos en los cuales “la falta de inclusión del canon del agua en el documento de la factura por parte de las entidades suministradoras de agua” tendrá la consideración de infracción grave o muy grave, así como las disposiciones adicional sexta (“de conformidad con lo establecido en el artículo 41, las entidades suministradoras deberán imputar, en sus tarifas, como mínimo los costes de inversión, mantenimiento y explotación de su red de abastecimiento y saneamiento en alta a más tardar el 31 de diciembre de 2007”) y transitoria tercera (“en el plazo de un año, a contar desde la entrada en vigor de la presente ley, las personas o entidades usuarias deberán poner en funcionamiento los sistemas de medición directa del consumo previstos en ella, momento a partir del cual será de aplicación lo previsto en el artículo 55.n de esta ley”). Sostienen los actores que estos preceptos legales transgreden los límites a las potestades tributarias de las Comunidades Autónomas que figuran en los apartados 2 y 3 del art. 6 de la Ley Orgánica de financiación de las Comunidades Autónomas (en adelante, LOFCA); invaden las competencias forales y locales, infringiendo con ello los arts. 140, 142 y la disposición adicional primera de la Constitución y desconocen el principio de capacidad económica. A ello se añade un reproche específico exclusivamente dirigido contra el art. 47 de la Ley, relativo a las posibles bonificaciones del canon, cual es el de haber contravenido el principio de legalidad en materia tributaria. Las representaciones del Gobierno Vasco y del Parlamento Vasco han defendido la plena constitucionalidad de los preceptos legales autonómicos controvertidos, interesando, en su consecuencia, la íntegra desestimación del recurso.</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entrar a examinar el fondo de las distintas cuestiones planteadas en este proceso constitucional hemos de efectuar algunas precisiones acerca de su objeto y las normas integrantes del canon de enjuiciamiento.</w:t>
      </w:r>
    </w:p>
    <w:p w:rsidR="0026452D" w:rsidRDefault="0026452D" w:rsidP="0026452D">
      <w:pPr>
        <w:pStyle w:val="TextoNormal"/>
      </w:pPr>
    </w:p>
    <w:p w:rsidR="0026452D" w:rsidRDefault="0026452D" w:rsidP="0026452D">
      <w:pPr>
        <w:pStyle w:val="TextoNormal"/>
      </w:pPr>
      <w:r>
        <w:t xml:space="preserve">a) En cuanto a lo primero, la representación del Gobierno Vasco ha apuntado que el escrito rector de este proceso adolece de una cierta imprecisión al limitarse a hacer una referencia genérica a los preceptos de la Ley de aguas del País Vasco cuya validez se controvierte, pero sin llegar a precisar qué concretos vicios de constitucionalidad aquejan a cada </w:t>
      </w:r>
      <w:r>
        <w:lastRenderedPageBreak/>
        <w:t>uno de esos preceptos legales. Ciertamente, la representación procesal del Ejecutivo autonómico se limita a dejar constancia de este hecho y no llega a derivar de este alegato una pretensión autónoma de inadmisión, siquiera parcial, del recurso. Pero es igualmente cierto que de la conducta observada por una de las partes personadas en el proceso constitucional no puede erigirse en obstáculo para que este Tribunal despeje las dudas que pudieran existir en torno a la concurrencia de los requisitos procesales habilitantes del ejercicio de su pretensión. En particular, debemos recordar que pesa sobre quien solicita la declaración de inconstitucionalidad de un precepto legal la carga no sólo de identificar la norma o normas con valor de ley cuya anulación se postula, sino también de ofrecer los motivos en los que funda esa pretensión. Esta carga no se satisface, como hemos tenido ocasión de señalar en la STC 158/2011, de 19 de octubre, FJ 4, con la mera identificación formal de los preceptos en la demanda, ni tan siquiera con la expresa solicitud de su declaración de inconstitucionalidad, siendo preciso, además, que el escrito del recurso “contenga la argumentación específica o razonamientos que fundamenten la presunta contradicción de éstos con la Norma fundamental”. Se trata de una exigencia consustancial a la esencia misma del proceso pues sólo si la impugnación de las normas viene acompañada de la que hemos denominado, en las diversas resoluciones de las que se hace eco la STC 158/2011, “preceptiva fundamentación y precisión” será factible el ejercicio del “derecho de defensa” por quien sostenga la constitucionalidad de la norma legal impugnada (aquí, las representaciones del Gobierno y el Parlamento Vasco) y permitirá a este Tribunal “conocer las razones por las que los recurrentes entienden que las disposiciones impugnadas transgreden el orden constitucional (SSTC 118/1996, FJ 2; y 118/1998, FJ 4).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w:t>
      </w:r>
    </w:p>
    <w:p w:rsidR="0026452D" w:rsidRDefault="0026452D" w:rsidP="0026452D">
      <w:pPr>
        <w:pStyle w:val="TextoNormal"/>
      </w:pPr>
    </w:p>
    <w:p w:rsidR="0026452D" w:rsidRDefault="0026452D" w:rsidP="0026452D">
      <w:pPr>
        <w:pStyle w:val="TextoNormal"/>
      </w:pPr>
      <w:r>
        <w:t xml:space="preserve">Esto sentado, podemos entender satisfecha esa carga procesal en relación con los diferentes preceptos de la Ley del Parlamento Vasco 1/2006, de 23 de junio, de aguas, en los que se contiene la regulación del canon del agua. Es el caso, en particular, de los arts. 42 a 52, donde se contiene el régimen jurídico del nuevo tributo (los diferentes preceptos llevan por rúbrica “canon del agua”, “destino del tributo”, “devengo”, “hecho imponible”, “exenciones”, “bonificaciones”, “sujetos del tributo”, “base imponible”, “tipo de gravamen y cuota”, “gestión”, “facturación y cobro”, respectivamente), pero también de los igualmente impugnados arts. 55 n), o) y q) y 56.3, en los que se tipifican diferentes infracciones administrativas relacionadas con dicho tributo y de la disposición transitoria tercera de la ley autonómica cuyo examen nos ocupa, habida cuenta de que esa disposición transitoria marca el </w:t>
      </w:r>
      <w:r w:rsidRPr="0026452D">
        <w:rPr>
          <w:i/>
        </w:rPr>
        <w:t>dies a quo</w:t>
      </w:r>
      <w:r>
        <w:t xml:space="preserve"> de la reprochabilidad de la conducta tipificada en el art. 55 n). En la medida en que se controvierte la creación misma del denominado “canon del agua”, las dudas de constitucionalidad alcanzan a todos y cada uno de estos preceptos, en los que se plasma esa innovación tributaria. Los recurrentes han cumplido igualmente con la carga de argumentar la impugnación del art. 41 —y, en conexión con él, de la disposición adicional sexta de la Ley—, al esgrimir como motivo del presente recurso de inconstitucionalidad la invasión de competencias forales y locales. Por su estrecha conexión con los preceptos legales antes citados pueden entenderse incluidos en el objeto de este proceso constitucional los arts. 1 c) y 9 e) de la Ley de aguas del País Vasco. Éstos tienen un contenido eminentemente descriptivo y en ellos el legislador autonómico se limita a señalar que la Ley tiene por objeto “establecer los regímenes de planificación y tributario en materia de aguas y obras hidráulicas” </w:t>
      </w:r>
      <w:r>
        <w:lastRenderedPageBreak/>
        <w:t>y que entre los medios económicos con los que cuenta la Agencia Vasca del Agua para el cumplimiento de sus fines figuran “los ingresos procedentes de la recaudación de tributos en materia de aguas”. No es obstáculo el empleo del plural “tributos” que figura en este último precepto mencionado, pues aun siendo cierto que el mismo procede de la redacción originaria del proyecto de ley —que contemplaba la creación, además del canon del agua, de un canon de regulación y una tarifa de utilización del agua—, no lo es menos que la eventual declaración de inconstitucionalidad del canon del agua conllevaría la anulación de las disposiciones de la Ley de aguas del País Vasco relativas al régimen tributario en la materia.</w:t>
      </w:r>
    </w:p>
    <w:p w:rsidR="0026452D" w:rsidRDefault="0026452D" w:rsidP="0026452D">
      <w:pPr>
        <w:pStyle w:val="TextoNormal"/>
      </w:pPr>
    </w:p>
    <w:p w:rsidR="0026452D" w:rsidRDefault="0026452D" w:rsidP="0026452D">
      <w:pPr>
        <w:pStyle w:val="TextoNormal"/>
      </w:pPr>
      <w:r>
        <w:t>b) Debemos precisar, por otro lado, el canon de enjuiciamiento del presente recurso, habida cuenta de que examinada la estructura del denominado “canon del agua” se comprueba que en su hecho imponible no aparece ningún servicio administrativo u ocupación del dominio público con carácter principal sino que lo que se grava, primordialmente, es la capacidad económica puesta de manifiesto por el uso del agua junto al daño ambiental. Tratándose, como es el caso, de un impuesto, forman parte del canon de nuestro enjuiciamiento los apartados 2 y 3 del art. 6 de la LOFCA, cuya redacción se ha visto modificada por la Ley Orgánica 3/2009, de 18 de diciembre. Es esta nueva redacción la que habrá de servirnos de parámetro de control pues, como hemos declarado reiteradamente, el control de las disposiciones normativas a las que se reprocha infracción del orden constitucional de distribución de competencias debe efectuarse de acuerdo con las normas del bloque de la constitucionalidad vigentes en el momento de dictar Sentencia [por todas, SSTC 35/2012, de 15 de marzo, FJ 2 c); y 215/2012, de 14 de noviembre, FJ 1 a)].</w:t>
      </w:r>
    </w:p>
    <w:p w:rsidR="0026452D" w:rsidRDefault="0026452D" w:rsidP="0026452D">
      <w:pPr>
        <w:pStyle w:val="TextoNormal"/>
      </w:pPr>
    </w:p>
    <w:p w:rsidR="0026452D" w:rsidRDefault="0026452D" w:rsidP="0026452D">
      <w:pPr>
        <w:pStyle w:val="TextoNormal"/>
      </w:pPr>
      <w:r>
        <w:t>Conviene, por ello, recordar, como ya hiciéramos en la reciente STC 210/2012, de 14 de noviembre, FJ 2 c), que en el momento de interposición del presente recurso de inconstitucionalidad el art. 6.2 LOFCA se limitaba a prever que “los tributos que establezcan las Comunidades Autónomas no podrán recaer sobre hechos imponibles gravados por el Estado”, estableciendo el apartado 4 del mismo art. 6 LOFCA que “cuando el Estado, en el ejercicio de su potestad tributaria originaria establezca tributos sobre hechos imponibles gravados por las Comunidades Autónomas, que supongan a éstas una disminución de ingresos, instrumentará las medidas de compensación o coordinación adecuadas en favor de las mismas”. Tras la modificación de la Ley Orgánica de financiación de las Comunidades Autónomas llevada a cabo por la Ley Orgánica 3/2009, el antiguo apartado 4 se ha incorporado al apartado 2, de modo que, en la actualidad, el art. 6.2 LOFCA dispone que “los tributos que establezcan las Comunidades Autónomas no podrán recaer sobre hechos imponibles gravados por el Estado. Cuando el Estado, en el ejercicio de su potestad tributaria originaria establezca tributos sobre hechos imponibles gravados por las Comunidades Autónomas, que supongan a éstas una disminución de ingresos, instrumentará las medidas de compensación o coordinación adecuadas en favor de las mismas.”</w:t>
      </w:r>
    </w:p>
    <w:p w:rsidR="0026452D" w:rsidRDefault="0026452D" w:rsidP="0026452D">
      <w:pPr>
        <w:pStyle w:val="TextoNormal"/>
      </w:pPr>
    </w:p>
    <w:p w:rsidR="0026452D" w:rsidRDefault="0026452D" w:rsidP="0026452D">
      <w:pPr>
        <w:pStyle w:val="TextoNormal"/>
      </w:pPr>
      <w:r>
        <w:t>A su vez, el art. 6.3 LOFCA, en la redacción anterior a la reforma operada por la Ley Orgánica 3/2009, disponía que “las Comunidades Autónomas podrán establecer y gestionar tributos sobre las materias que la legislación de Régimen Local reserve a las Corporaciones Locales, en los supuestos en que dicha legislación lo prevea y en los términos que la misma contemple. En todo caso, deberán establecerse las medidas de compensación o coordinación adecuadas en favor de aquellas Corporaciones, de modo, que los ingresos de tales Corpora</w:t>
      </w:r>
      <w:r>
        <w:lastRenderedPageBreak/>
        <w:t>ciones Locales no se vean mermados ni reducidos tampoco en sus posibilidades de crecimiento futuro”. En la actualidad, este apartado de la Ley Orgánica de financiación de las Comunidades Autónomas establece que “los tributos que establezcan las Comunidades Autónomas no podrán recaer sobre hechos imponibles gravados por los tributos locales. Las Comunidades Autónomas podrán establecer y gestionar tributos sobre las materias que la legislación de Régimen Local reserve a las Corporaciones locales. En todo caso, deberán establecerse las medidas de compensación o coordinación adecuadas a favor de aquellas Corporaciones, de modo que los ingresos de tales Corporaciones Locales no se vean mermados ni reducidos tampoco en sus posibilidades de crecimiento futuro”.</w:t>
      </w:r>
    </w:p>
    <w:p w:rsidR="0026452D" w:rsidRDefault="0026452D" w:rsidP="0026452D">
      <w:pPr>
        <w:pStyle w:val="TextoNormal"/>
      </w:pPr>
    </w:p>
    <w:p w:rsidR="0026452D" w:rsidRDefault="0026452D" w:rsidP="0026452D">
      <w:pPr>
        <w:pStyle w:val="TextoNormal"/>
      </w:pPr>
      <w:r w:rsidRPr="0026452D">
        <w:rPr>
          <w:rStyle w:val="NumeroAFNegritaCaracter"/>
        </w:rPr>
        <w:t>3</w:t>
      </w:r>
      <w:r>
        <w:t>. Siguiendo la sistemática empleada en el escrito rector de este proceso, iniciaremos nuestro análisis de motivos de fondo en los que se sustenta la impugnación del canon del agua creado por la Ley del Parlamento Vasco 1/2006, de 23 de junio, de aguas, con el relativo a la infracción de los apartados 2 y 3 del art. 6 LOFCA. Conforme a lo expuesto en el fundamento jurídico anterior, efectuaremos dicho examen mediante el contraste de las disposiciones de la Ley autonómica con el texto del precepto de la Ley Orgánica de financiación de las Comunidades Autónomas actualmente vigente.</w:t>
      </w:r>
    </w:p>
    <w:p w:rsidR="0026452D" w:rsidRDefault="0026452D" w:rsidP="0026452D">
      <w:pPr>
        <w:pStyle w:val="TextoNormal"/>
      </w:pPr>
    </w:p>
    <w:p w:rsidR="0026452D" w:rsidRDefault="0026452D" w:rsidP="0026452D">
      <w:pPr>
        <w:pStyle w:val="TextoNormal"/>
      </w:pPr>
      <w:r>
        <w:t>Al respecto hemos de comenzar recordando someramente nuestra doctrina en relación con los límites al poder tributario de las Comunidades Autónomas resultantes de lo dispuesto en el art. 6.2 y 3 LOFCA. Tanto más cuanto que, como señalamos en la STC 122/2012, de 5 de junio, FJ 3, tras la reforma llevada a cabo por la Ley Orgánica 3/2009 dichos límites tienen una dicción común, lo que determina que su interpretación deba ser asimismo idéntica.</w:t>
      </w:r>
    </w:p>
    <w:p w:rsidR="0026452D" w:rsidRDefault="0026452D" w:rsidP="0026452D">
      <w:pPr>
        <w:pStyle w:val="TextoNormal"/>
      </w:pPr>
    </w:p>
    <w:p w:rsidR="0026452D" w:rsidRDefault="0026452D" w:rsidP="0026452D">
      <w:pPr>
        <w:pStyle w:val="TextoNormal"/>
      </w:pPr>
      <w:r>
        <w:t xml:space="preserve">Como hemos tenido ocasión de indicar en la ya mencionada STC 210/2012, “el reconocimiento a las Comunidades Autónomas de la competencia para establecer tributos o ‘poder tributario’ se contiene en la letra b) del apartado primero del art. 157 CE, precepto que en su apartado tercero expresamente remite a los límites contenidos en una ley orgánica” (FJ 4) y, para la Comunidad Autónoma del País Vasco, en el art. 42 b) de su Estatuto de Autonomía, que menciona entre los ingresos de la hacienda general del País Vasco “los rendimientos de los impuestos propios de la Comunidad Autónoma que establezca el Parlamento Vasco, de acuerdo con lo establecido en el artículo 157 de la Constitución y en la Ley Orgánica sobre Financiación de las Comunidades Autónomas.” En esa misma resolución hicimos hincapié en que, conforme a nuestra doctrina, por mor de lo dispuesto en la propia Ley Orgánica de financiación de las Comunidades Autónomas, la potestad autonómica para establecer tributos </w:t>
      </w:r>
      <w:r w:rsidRPr="0026452D">
        <w:rPr>
          <w:i/>
        </w:rPr>
        <w:t>ex novo</w:t>
      </w:r>
      <w:r>
        <w:t xml:space="preserve"> “se encuentra sujeta a los límites establecidos en las leyes del Estado a las que se refieren los arts. 133.2 y 157.3 CE (por todas, STC 49/1995, de 16 de febrero, FJ 4)”; de modo que “el poder tributario de las Comunidades Autónomas puede … ser delimitado por el Estado, salvaguardando en todo caso su propia existencia de manera que no se produzca un vaciamiento de la competencia, pues como afirmamos tempranamente ‘ninguno de los límites constitucionales que condicionan dicho poder tributario puede ser interpretado de tal manera que haga inviable el ejercicio de aquella potestad tributaria’ (SSTC 150/1990, de 4 de octubre, FJ 3; y 289/2000, de 30 de noviembre, FJ 3).” (FJ 4).</w:t>
      </w:r>
    </w:p>
    <w:p w:rsidR="0026452D" w:rsidRDefault="0026452D" w:rsidP="0026452D">
      <w:pPr>
        <w:pStyle w:val="TextoNormal"/>
      </w:pPr>
    </w:p>
    <w:p w:rsidR="0026452D" w:rsidRDefault="0026452D" w:rsidP="0026452D">
      <w:pPr>
        <w:pStyle w:val="TextoNormal"/>
      </w:pPr>
      <w:r>
        <w:t xml:space="preserve">Avanzando un paso más, en la STC 210/2012, de 14 de noviembre (FJ 4) señalamos que “teniendo en cuenta que no sólo el Estado, sino también las entidades locales, habilitadas </w:t>
      </w:r>
      <w:r>
        <w:lastRenderedPageBreak/>
        <w:t>mediante una ley del Estado (STC 233/1999, de 16 de diciembre, FFJJ 9 y 10), han establecido tributos sobre las principales manifestaciones de capacidad económica (renta, consumo y patrimonio), es preciso llevar a cabo una interpretación sistemática de las prohibiciones de equivalencia contenidas en los apartados 2 y 3 del art. 6 LOFCA, en consonancia con el propio reconocimiento de poder tributario que se contiene también en el apartado primero del mismo art. 6.” Interpretación sistemática que nos condujo a la constatación de que la finalidad última que se persigue con la fijación de estos límites no es otra que “la coordinación del ejercicio de las competencias tributarias de las Comunidades Autónomas, dentro de la función que hemos reiterado que cumple la Ley Orgánica de financiación de las Comunidades Autónomas en el bloque de la constitucionalidad, como norma estatal que delimita las competencias financieras autonómicas (SSTC 72/2003, de 10 de abril, FJ 5; 31/2010, de 28 de junio, FJ 130; y 32/2012, de 15 de marzo, FJ 6).” En conclusión, “al impedir a las Comunidades Autónomas establecer tributos equivalentes a los ya establecidos por el Estado y las entidades locales lo que se pretende evitar es, en suma, que se produzcan dobles imposiciones no coordinadas, garantizando de esta manera que el ejercicio de poder tributario por los distintos niveles territoriales sea compatible con la existencia de ‘un sistema’ tributario en los términos exigidos por el art. 31.1 CE [SSTC 19/1987, de 17 de febrero, FJ 4; y 19/2012, de 15 de febrero, FJ 3 b)].” (STC 120/2012, FJ 4).</w:t>
      </w:r>
    </w:p>
    <w:p w:rsidR="0026452D" w:rsidRDefault="0026452D" w:rsidP="0026452D">
      <w:pPr>
        <w:pStyle w:val="TextoNormal"/>
      </w:pPr>
    </w:p>
    <w:p w:rsidR="0026452D" w:rsidRDefault="0026452D" w:rsidP="0026452D">
      <w:pPr>
        <w:pStyle w:val="TextoNormal"/>
      </w:pPr>
      <w:r>
        <w:t>El correlato funcional de esta conclusión quedó expuesto, en esa misma STC 210/2012, FJ 4, en los siguientes términos:</w:t>
      </w:r>
    </w:p>
    <w:p w:rsidR="0026452D" w:rsidRDefault="0026452D" w:rsidP="0026452D">
      <w:pPr>
        <w:pStyle w:val="TextoNormal"/>
      </w:pPr>
    </w:p>
    <w:p w:rsidR="0026452D" w:rsidRDefault="0026452D" w:rsidP="0026452D">
      <w:pPr>
        <w:pStyle w:val="TextoNormal"/>
      </w:pPr>
      <w:r>
        <w:t xml:space="preserve">“En consecuencia, y como hemos afirmado en nuestra reciente STC 122/2012, anteriormente citada, en relación con el apartado 3 del art. 6 LOFCA, doctrina que ahora debemos trasladar también al apartado 2, para determinar si se han vulnerado las prohibiciones de doble imposición contenidas en dicho precepto, el examen de los tributos que se reputan coincidentes no puede ceñirse a la mera comparación de la definición legal de sus hechos imponibles, de manera que ‘no es posible afirmar si existe una coincidencia de hechos imponibles de dos impuestos tan sólo porque su definición sea o no gramaticalmente idéntica, ya que será preciso atender a las circunstancias que ha seleccionado el legislador para dar lugar a los hechos imponibles de ambos impuestos’ (STC 122/2012, FJ 4). Por tanto, el método de comparación deberá tomar el examen del hecho imponible como punto de partida, pero abarcando también ‘los restantes elementos del tributo que se encuentran conectados con el hecho imponible, es decir, los sujetos pasivos, que constituyen el aspecto subjetivo del tributo, la base imponible, que representa la cuantificación del hecho imponible, la capacidad económica gravada ... o los supuestos de no sujeción y exención’, extendiéndose lógicamente también a los elementos de cuantificación del hecho imponible (STC 122/2012, FJ 7). Entre los elementos a comparar se encuentra lógicamente la posible concurrencia de fines extrafiscales en el tributo o, en alguno de sus elementos, (STC 122/2012, FJ 4), si bien teniendo en cuenta, como también hemos reiterado, que para que la finalidad extrafiscal tenga consecuencias en la comparación no bastará con que el correspondiente preámbulo de la norma declare dicho objetivo, sino que es preciso que dicha finalidad encuentre reflejo en los elementos centrales de la estructura del tributo (por todas, STC 289/2000, de 30 de noviembre, FJ 5). En definitiva, para apreciar la coincidencia o no entre hechos imponibles, que es lo prohibido en el art. 6 LOFCA, se hace preciso atender a los elementos esenciales de los tributos que se comparan, al objeto de determinar no sólo la riqueza gravada o materia imponible, que es el punto de partida de toda norma tributaria, </w:t>
      </w:r>
      <w:r>
        <w:lastRenderedPageBreak/>
        <w:t>sino la manera en que dicha riqueza o fuente de capacidad económica es sometida a gravamen en la estructura del tributo.”</w:t>
      </w:r>
    </w:p>
    <w:p w:rsidR="0026452D" w:rsidRDefault="0026452D" w:rsidP="0026452D">
      <w:pPr>
        <w:pStyle w:val="TextoNormal"/>
      </w:pPr>
    </w:p>
    <w:p w:rsidR="0026452D" w:rsidRDefault="0026452D" w:rsidP="0026452D">
      <w:pPr>
        <w:pStyle w:val="TextoNormal"/>
      </w:pPr>
      <w:r>
        <w:t>Procederemos, seguidamente, a contrastar, mediante la aplicación del método de comparación en los términos ahora expuestos, el canon del agua creado por la Ley del Parlamento Vasco 1/2006, de 23 de junio, de aguas, con las figuras tributarias a las que aluden los Diputados recurrentes en su escrito de demanda.</w:t>
      </w:r>
    </w:p>
    <w:p w:rsidR="0026452D" w:rsidRDefault="0026452D" w:rsidP="0026452D">
      <w:pPr>
        <w:pStyle w:val="TextoNormal"/>
      </w:pPr>
    </w:p>
    <w:p w:rsidR="0026452D" w:rsidRDefault="0026452D" w:rsidP="0026452D">
      <w:pPr>
        <w:pStyle w:val="TextoNormal"/>
      </w:pPr>
      <w:r w:rsidRPr="0026452D">
        <w:rPr>
          <w:rStyle w:val="NumeroAFNegritaCaracter"/>
        </w:rPr>
        <w:t>4</w:t>
      </w:r>
      <w:r>
        <w:t>. Para los Diputados que han promovido el presente recurso de inconstitucionalidad, el canon del agua creado por la Ley del Parlamento Vasco 1/2006 incurre en inconstitucionalidad mediata, por contravención de los apartados 2 y 3 del art. 6 LOFCA, al gravar una actividad —el consumo de agua— coincidente con el hecho imponible de las tasas municipales por prestación del servicio de agua.</w:t>
      </w:r>
    </w:p>
    <w:p w:rsidR="0026452D" w:rsidRDefault="0026452D" w:rsidP="0026452D">
      <w:pPr>
        <w:pStyle w:val="TextoNormal"/>
      </w:pPr>
    </w:p>
    <w:p w:rsidR="0026452D" w:rsidRDefault="0026452D" w:rsidP="0026452D">
      <w:pPr>
        <w:pStyle w:val="TextoNormal"/>
      </w:pPr>
      <w:r>
        <w:t>Al hacer referencia este motivo impugnatorio al sistema tributario de los municipios del País Vasco es preciso tomar en consideración las normas fiscales aprobadas al respecto en los distintos territorios históricos, al ser éstos los entes competentes para regular los tributos locales conforme a lo dispuesto en el art. 42 del concierto económico con la Comunidad Autónoma del País Vasco aprobado por la Ley 12/2002, de 23 de mayo, y en la disposición adicional octava del texto refundido de la Ley de Haciendas Locales, aprobado por el Real Decreto Legislativo 2/2004, de 5 de marzo. Concretamente, los arts. 20.3 t) de la Norma Foral de las Juntas Generales de Guipuzkoa 11/1989, de 5 de julio, de haciendas locales; 20.3 t) de la Norma Foral de las Juntas Generales de Álava 41/1989, de 19 de julio, de Haciendas Locales; y 21.4 t) de la Norma Foral 9/2005, de 16 de diciembre, de las Juntas Generales de Bizkaia, “replican” —expresión empleada en la STC 208/2012, de 14 de noviembre, FJ 5, para describir el sistema tributario foral navarro— lo dispuesto en el art. 20.4 t) del texto refundido de la Ley de haciendas locales y contemplan la posibilidad de que los entes locales radicados en los diferentes territorios históricos establezcan tasas por la prestación del servicio de “distribución de agua”. Ésta es la tasa cuyo hecho imponible viene, en opinión de los Diputados recurrentes, a coincidir con la actividad gravada por el canon del agua controvertido.</w:t>
      </w:r>
    </w:p>
    <w:p w:rsidR="0026452D" w:rsidRDefault="0026452D" w:rsidP="0026452D">
      <w:pPr>
        <w:pStyle w:val="TextoNormal"/>
      </w:pPr>
    </w:p>
    <w:p w:rsidR="0026452D" w:rsidRDefault="0026452D" w:rsidP="0026452D">
      <w:pPr>
        <w:pStyle w:val="TextoNormal"/>
      </w:pPr>
      <w:r>
        <w:t xml:space="preserve">A la vista de los términos en que se plantea este motivo impugnatorio debemos descartar, desde luego, que concurra infracción alguna del art. 6.2 LOFCA habida cuenta de que los recurrentes no se refieren a ningún tributo estatal que grave el mismo hecho imponible sobre el que recae el canon del agua creado por la Ley del Parlamento Vasco 1/2006. A decir verdad, la invocación del art. 6.2 LOFCA únicamente sirve, en el escrito rector de este proceso constitucional, como argumento </w:t>
      </w:r>
      <w:r w:rsidRPr="0026452D">
        <w:rPr>
          <w:i/>
        </w:rPr>
        <w:t>ex abundantia</w:t>
      </w:r>
      <w:r>
        <w:t xml:space="preserve"> en apoyo de la denuncia de doble imposición prohibida en el bloque de la constitucionalidad. De modo que nuestro análisis ha de ceñirse al contraste entre la tasa local y la figura tributaria creada por el legislador autonómico a fin de averiguar si ha sufrido algún quebranto el límite del poder tributario de las Comunidades Autónomas establecido en el art. 6.3 LOFCA.</w:t>
      </w:r>
    </w:p>
    <w:p w:rsidR="0026452D" w:rsidRDefault="0026452D" w:rsidP="0026452D">
      <w:pPr>
        <w:pStyle w:val="TextoNormal"/>
      </w:pPr>
    </w:p>
    <w:p w:rsidR="0026452D" w:rsidRDefault="0026452D" w:rsidP="0026452D">
      <w:pPr>
        <w:pStyle w:val="TextoNormal"/>
      </w:pPr>
      <w:r>
        <w:t xml:space="preserve">La tasa que los entes locales radicados en el País Vasco están habilitados —por las normas forales anteriormente mencionadas— para establecer en relación con la “distribución de agua” es un tributo cuyo hecho imponible consiste en la prestación del servicio de suministro de agua; servicio de competencia municipal conforme a lo establecido en los arts. 25.2 l) y 26.1 a) de la Ley 7/1985, de 2 de abril, de bases de régimen local. Por el contrario, </w:t>
      </w:r>
      <w:r>
        <w:lastRenderedPageBreak/>
        <w:t>como ya hemos advertido, examinada la estructura del denominado “canon del agua”, se comprueba que en su hecho imponible no aparece ningún servicio administrativo u ocupación del dominio público con carácter principal, sino que lo que se grava, primordialmente, es la capacidad económica puesta de manifiesto por el uso del agua, junto al daño ambiental. Se trata, como ya hemos advertido, de un impuesto ambiental de naturaleza extrafiscal con el que se persigue incentivar el uso eficiente del agua. A diferencia de la tasa municipal ofrecida como contraste, en el canon del agua no media actividad administrativa de carácter prestacional, en este caso habría de realizar la Agencia Vasca del Agua, entidad a la que corresponde la gestión del tributo de acuerdo con lo establecido en el art. 51.1 de la Ley de aguas del País Vasco, sino que se grava la afección que el uso consuntivo del agua ocasiona en el medio ambiente. Así, de acuerdo con el art. 45.1 de esta ley, constituye el hecho imponible del impuesto “el consumo real o potencial del agua en el conjunto de la Comunidad Autónoma del País Vasco, en los términos establecidos en la presente ley, por la afección al medio que su utilización pudiera producir”.</w:t>
      </w:r>
    </w:p>
    <w:p w:rsidR="0026452D" w:rsidRDefault="0026452D" w:rsidP="0026452D">
      <w:pPr>
        <w:pStyle w:val="TextoNormal"/>
      </w:pPr>
    </w:p>
    <w:p w:rsidR="0026452D" w:rsidRDefault="0026452D" w:rsidP="0026452D">
      <w:pPr>
        <w:pStyle w:val="TextoNormal"/>
      </w:pPr>
      <w:r>
        <w:t>A la naturaleza extrafiscal de este tributo se refiere específicamente la exposición de motivos de la Ley de aguas del País Vasco, donde tras consignarse que “la regulación de un nuevo canon del agua, que cierra el régimen tributario sobre este bien, constituye una de las innovaciones más destacables” de la ley, se añade que “la contribución a un uso sostenible de los servicios públicos del agua y la contribución a la recuperación de los costes en que se haya incurrido, comprendidos dentro de éstos los costes financieros, ambientales, de infraestructuras y los costes de recursos, son los principios ordenadores de la regulación. Las cantidades recaudadas se dedicarán a la prevención de la contaminación, la financiación de gastos de inversión, así como para la consecución de un buen estado ecológico de la masa de agua, conforme a lo establecido en la Directiva Marco 2000/60/CE, mediante inversiones propias o mediante concesión de ayudas para financiar el cumplimiento de la planificación hidrológica.” Se alude así al doble propósito al que debe servir el nuevo impuesto, con el que se pretende incentivar el uso eficiente del agua y allegar recursos con los que preservar, proteger, mejorar y restaurar el medio hídrico [en los términos del art. 43.1 a) de la Ley]. En este mismo sentido, el art. 42 de la Ley de aguas del País Vasco dispone que el canon del agua está “destinado a la protección, restauración y mejora del medio acuático, a la colaboración con las administraciones competentes para el logro de unos servicios eficientes de suministro y saneamiento y a la obtención de la solidaridad interterritorial, que será gestionado por la Agencia Vasca del Agua”.</w:t>
      </w:r>
    </w:p>
    <w:p w:rsidR="0026452D" w:rsidRDefault="0026452D" w:rsidP="0026452D">
      <w:pPr>
        <w:pStyle w:val="TextoNormal"/>
      </w:pPr>
    </w:p>
    <w:p w:rsidR="0026452D" w:rsidRDefault="0026452D" w:rsidP="0026452D">
      <w:pPr>
        <w:pStyle w:val="TextoNormal"/>
      </w:pPr>
      <w:r>
        <w:t xml:space="preserve">El primero de estos propósitos, la incentivación de un uso eficiente del agua, se concreta, prioritariamente, en la regulación de las exenciones y bonificaciones. En cuanto a lo primero, se declaran exentos del pago del impuesto, entre otros, los consumos para uso doméstico que no superen los 130 litros por persona y día [art. 46 a)], cantidad en la que sitúa el legislador autonómico el umbral máximo del uso racional del recurso; “la captación de agua marina en sustitución del uso de agua dulce” [art. 46 e)]; o, en fin, “la reutilización del agua y la utilización no consuntiva para obtención de energía u otros usos industriales, siempre que no suponga una alteración de la cantidad y calidad del agua” [art. 46 f)]. Con respecto a lo segundo, se incentiva el uso de “las mejores técnicas disponibles” para el uso agropecuario o industrial del agua, así como el aprovechamiento de las aguas pluviales o de escorrentía [art. 47 b) y c)] al contemplarse la posibilidad de otorgarles una bonificación de hasta el 95 por 100 “en función de su contribución al uso sostenible y al ahorro del agua, a la racionalización en el uso del recurso mediante la asignación de diferentes usos en función </w:t>
      </w:r>
      <w:r>
        <w:lastRenderedPageBreak/>
        <w:t>de la calidad requerida para ellos, o de su contribución a la mejora de la calidad de las aguas y, en general, de su contribución a los objetivos de la planificación hidrológica”.</w:t>
      </w:r>
    </w:p>
    <w:p w:rsidR="0026452D" w:rsidRDefault="0026452D" w:rsidP="0026452D">
      <w:pPr>
        <w:pStyle w:val="TextoNormal"/>
      </w:pPr>
    </w:p>
    <w:p w:rsidR="0026452D" w:rsidRDefault="0026452D" w:rsidP="0026452D">
      <w:pPr>
        <w:pStyle w:val="TextoNormal"/>
      </w:pPr>
      <w:r>
        <w:t>Al segundo de los propósitos atiende en especial el art. 43 de la Ley, rubricado “destino del tributo” y en cuyo primer apartado se dispone que el impuesto “queda afectado a la consecución de los objetivos de la planificación hidrológica en los siguientes ámbitos: a) La prevención en origen de la contaminación y la preservación, protección, mejora y restauración del medio hídrico y de los ecosistemas vinculados a él, incluyendo el mantenimiento de los caudales ecológicos. b) La consecución de un buen estado ecológico de las masas de agua, según lo establecido en la Directiva Marco 2000/60/CE. c) Las infraestructuras declaradas de interés general en la planificación hidrológica. d) La atribución de ayudas o recursos económicos a las corporaciones locales, a otras entidades y a particulares para el cumplimiento de los objetivos de la planificación hidrológica, e inversiones destinadas a ahorrar agua, con especial incidencia en la minimización de las pérdidas en las redes de distribución.”</w:t>
      </w:r>
    </w:p>
    <w:p w:rsidR="0026452D" w:rsidRDefault="0026452D" w:rsidP="0026452D">
      <w:pPr>
        <w:pStyle w:val="TextoNormal"/>
      </w:pPr>
    </w:p>
    <w:p w:rsidR="0026452D" w:rsidRDefault="0026452D" w:rsidP="0026452D">
      <w:pPr>
        <w:pStyle w:val="TextoNormal"/>
      </w:pPr>
      <w:r>
        <w:t>Lo expuesto permite concluir que no existe la alegada identidad entre la tasa municipal por distribución de agua y el impuesto autonómico creado por la Ley del Parlamento Vasco 1/2006, de 23 de junio, de aguas, pues entre una y otro existen diferencias en punto a su naturaleza tributaria y al hecho imponible que gravan. Además, el denominado canon del agua no grava cualquier consumo de este recurso sino solamente aquel que no satisfaga los criterios de sostenibilidad definidos por el legislador autonómico [en el caso del uso doméstico, el consumo que supere los 130 litros por persona y día, quedando exentos los consumos inferiores por disponerlo así el art. 46 a) de la Ley de aguas del País Vasco]. Esos criterios de sostenibilidad se proyectan, por otro lado, en la regulación legal de las bonificaciones pues, de nuevo frente a lo aducido por los Diputados promotores de este recurso de inconstitucionalidad, no son susceptibles de bonificaciones cualesquiera usos agropecuarios e industriales sino sólo aquellos en los que se utilicen “las mejores técnicas disponibles” y que contribuyan al “uso sostenible y al ahorro del agua, a la racionalización en el uso del recurso” o bien “a la mejora de la calidad de las aguas y, en general, de su contribución a los objetivos de la planificación hidrológica” (art. 47).</w:t>
      </w:r>
    </w:p>
    <w:p w:rsidR="0026452D" w:rsidRDefault="0026452D" w:rsidP="0026452D">
      <w:pPr>
        <w:pStyle w:val="TextoNormal"/>
      </w:pPr>
    </w:p>
    <w:p w:rsidR="0026452D" w:rsidRDefault="0026452D" w:rsidP="0026452D">
      <w:pPr>
        <w:pStyle w:val="TextoNormal"/>
      </w:pPr>
      <w:r>
        <w:t>Todo lo expuesto conduce a la desestimación de este primer motivo del recurso.</w:t>
      </w:r>
    </w:p>
    <w:p w:rsidR="0026452D" w:rsidRDefault="0026452D" w:rsidP="0026452D">
      <w:pPr>
        <w:pStyle w:val="TextoNormal"/>
      </w:pPr>
    </w:p>
    <w:p w:rsidR="0026452D" w:rsidRDefault="0026452D" w:rsidP="0026452D">
      <w:pPr>
        <w:pStyle w:val="TextoNormal"/>
      </w:pPr>
      <w:r w:rsidRPr="0026452D">
        <w:rPr>
          <w:rStyle w:val="NumeroAFNegritaCaracter"/>
        </w:rPr>
        <w:t>5</w:t>
      </w:r>
      <w:r>
        <w:t>. Se aduce, como segundo motivo del recurso, la invasión por la Ley de aguas del País Vasco de competencias municipales y forales. La fundamentación de este motivo se despliega en una doble línea argumental. Por una parte denuncian los Diputados recurrentes que la ley autonómica versa sobre una materia de competencia municipal, como es la distribución de agua, cuya financiación por vía impositiva corresponde regular a los territorios históricos conforme a lo dispuesto en el art. 42 del concierto económico aprobado por la Ley 12/2002, de 23 de mayo. Por otra, dirigen una serie de reproches específicos a los arts. 9 e), 41, 48.3, 49.2 a), 52 y 56.3 de la Ley del Parlamento Vasco 1/2006, de aguas. Las representaciones del Parlamento y el Gobierno Vasco rebaten la argumentación empleada al efecto por los actores y defienden la plena conformidad de los preceptos legales controvertidos con el orden constitucional y estatutario de distribución de competencias.</w:t>
      </w:r>
    </w:p>
    <w:p w:rsidR="0026452D" w:rsidRDefault="0026452D" w:rsidP="0026452D">
      <w:pPr>
        <w:pStyle w:val="TextoNormal"/>
      </w:pPr>
    </w:p>
    <w:p w:rsidR="0026452D" w:rsidRDefault="0026452D" w:rsidP="0026452D">
      <w:pPr>
        <w:pStyle w:val="TextoNormal"/>
      </w:pPr>
      <w:r>
        <w:t xml:space="preserve">a) En la primera vertiente de este motivo impugnatorio se ha denunciado tanto la infracción de la autonomía local de la que constitucionalmente gozan los municipios del País </w:t>
      </w:r>
      <w:r>
        <w:lastRenderedPageBreak/>
        <w:t>Vasco, cuanto la indebida limitación de las potestades normativas de los territorios históricos en materia tributaria. Al respecto debemos comenzar recordando que, como ya afirmó este Tribunal en la STC 252/2005, de 11 de octubre, FJ 4, entonces con ocasión del enjuiciamiento de diversos preceptos de la Ley del Parlamento Vasco 2/1993, de 19 de febrero, de cuerpos docentes, la autonomía local reconocida en los arts. 137 y 140 de la Constitución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(STC 32/1981, FJ 4).” Sin embargo, la Constitución no asegura a los entes locales un determinado ámbito competencial, sino que “más allá del contenido mínimo consistente en un derecho de intervención en los asuntos de su competencia, ‘la autonomía local es un concepto jurídico de contenido legal, que permite, por tanto, configuraciones legales diversas, válidas en cuanto respeten aquella garantía institucional’ (STC 170/1989, de 19 de octubre, FJ 9), correspondiendo a la ley la determinación concreta del contenido de la autonomía local, respetando el núcleo esencial de la garantía institucional de dicha autonomía (SSTC 259/1988, de 22 de diciembre; 214/1989, de 21 de diciembre; y 46/1992, de 2 de abril) y sin romper con la ‘imagen comúnmente aceptada de la institución que, en cuanto formación jurídica, viene determinada en buena parte por las normas que en cada momento la regulan y la aplicación que de las mismas se hace’ (STC 32/1981, FJ 3).”</w:t>
      </w:r>
    </w:p>
    <w:p w:rsidR="0026452D" w:rsidRDefault="0026452D" w:rsidP="0026452D">
      <w:pPr>
        <w:pStyle w:val="TextoNormal"/>
      </w:pPr>
    </w:p>
    <w:p w:rsidR="0026452D" w:rsidRDefault="0026452D" w:rsidP="0026452D">
      <w:pPr>
        <w:pStyle w:val="TextoNormal"/>
      </w:pPr>
      <w:r>
        <w:t>Con respecto a la relevancia constitucional de los territorios históricos del País Vasco, en la STC 76/1988, de 26 de abril, al hilo del examen de la Ley del Parlamento Vasco 27/1983, de 25 de noviembre, de relaciones entre las instituciones comunes de la Comunidad Autónoma y los órganos forales de sus territorios históricos, este Tribunal hizo hincapié en que la garantía constitucional de la existencia de un régimen foral que dimana de la disposición adicional primera CE “supone que el contenido de la foralidad debe preservar tanto en sus rasgos organizativos como en su propio ámbito de poder la imagen identificable [del] régimen foral tradicional” (FJ 4). En esa misma resolución y fundamento jurídico se añade que “es al proceso de actualización previsto en la Disposición adicional primera CE al que corresponde precisar cuál es el contenido concreto que, en el nuevo marco constitucional y estatutario, se da al régimen foral de cada uno de los territorios históricos, garantizado por la CE”, para poner posteriormente de relieve que “es el Estatuto de Autonomía el elemento más decisivo de actualización en lo que a los regímenes forales de los tres territorios históricos integrados en la Comunidad Autónoma del País Vasco se refiere.” (FJ 5).</w:t>
      </w:r>
    </w:p>
    <w:p w:rsidR="0026452D" w:rsidRDefault="0026452D" w:rsidP="0026452D">
      <w:pPr>
        <w:pStyle w:val="TextoNormal"/>
      </w:pPr>
    </w:p>
    <w:p w:rsidR="0026452D" w:rsidRDefault="0026452D" w:rsidP="0026452D">
      <w:pPr>
        <w:pStyle w:val="TextoNormal"/>
      </w:pPr>
      <w:r>
        <w:t xml:space="preserve">Pues bien, la lectura de las disposiciones estatutarias relativas al régimen financiero pone de manifiesto, en primer lugar, que no son los territorios históricos las únicas instancias públicas a las que se reconoce potestad tributaria en el ámbito de la Comunidad Autónoma del País Vasco. A este respecto ya hemos indicado con anterioridad que el art. 42 b) del texto estatutario incluye entre los ingresos de la hacienda general del País Vasco los rendimientos de los “impuestos propios de la Comunidad Autónoma que establezca el Parlamento Vasco, de acuerdo con lo establecido en el artículo 157 de la Constitución y en la Ley Orgánica sobre Financiación de las Comunidades Autónomas”. Y, en segundo lugar, que las instituciones comunes del País Vasco también han sido estatutariamente habilitadas para intervenir en las materias relacionadas con la potestad tributaria de los territorios históricos, tan estrechamente vinculada con la foralidad histórica (sobre este mismo hecho </w:t>
      </w:r>
      <w:r>
        <w:lastRenderedPageBreak/>
        <w:t>llama la atención la STC 76/1988, FJ 5). En este sentido, el art. 41.2 a) del Estatuto de Autonomía del País Vasco menciona, entre las bases o principios a los que debe acomodarse el régimen de concierto la atención por las instituciones competentes de los territorios históricos “de las normas que para la coordinación, armonización fiscal y colaboración … dicte el Parlamento Vasco”. Esta previsión estatutaria ha sido objeto de desarrollo, entre otros, en el art. 14.3 de la ya mencionada Ley del Parlamento Vasco 27/1983, de 25 de noviembre, de territorios históricos, y en la Ley, asimismo del Parlamento Vasco, 3/1989, de 30 de mayo, de armonización, coordinación y colaboración fiscal.</w:t>
      </w:r>
    </w:p>
    <w:p w:rsidR="0026452D" w:rsidRDefault="0026452D" w:rsidP="0026452D">
      <w:pPr>
        <w:pStyle w:val="TextoNormal"/>
      </w:pPr>
    </w:p>
    <w:p w:rsidR="0026452D" w:rsidRDefault="0026452D" w:rsidP="0026452D">
      <w:pPr>
        <w:pStyle w:val="TextoNormal"/>
      </w:pPr>
      <w:r>
        <w:t>De modo que el Estatuto de Autonomía del País Vasco no contempla la existencia de las instituciones comunes de la Comunidad Autónoma y de los territorios históricos que la integran como dos compartimentos estancos sino como dos ámbitos institucionales en permanente relación. En lo que ahora estrictamente interesa, esto se traduce en que el legislador autonómico puede hacer uso de la potestad tributaria tanto para la creación de nuevas figuras impositivas, cuanto para la “coordinación, armonización fiscal y colaboración” de los tributos cuya regulación corresponde privativamente a los territorios históricos. La Ley de aguas del País Vasco actúa en ambos sentidos, al establecer un nuevo impuesto ambiental —denominado canon del agua— y definir los “principios ordenadores” del régimen económico-financiero del agua en su art. 41.</w:t>
      </w:r>
    </w:p>
    <w:p w:rsidR="0026452D" w:rsidRDefault="0026452D" w:rsidP="0026452D">
      <w:pPr>
        <w:pStyle w:val="TextoNormal"/>
      </w:pPr>
    </w:p>
    <w:p w:rsidR="0026452D" w:rsidRDefault="0026452D" w:rsidP="0026452D">
      <w:pPr>
        <w:pStyle w:val="TextoNormal"/>
      </w:pPr>
      <w:r>
        <w:t>Ciñéndonos ahora a la primera de esas funciones desarrolladas por el legislador autonómico del País Vasco debemos poner de relieve que la ley que aquí se controvierte no tiene por objeto la regulación de la prestación de un servicio por los entes locales ni, en su consecuencia, incide de manera directa sobre el principio de suficiencia financiera de los mismos. Antes bien, como fácilmente se colige de la lectura de su exposición de motivos y del art. 1, la Ley del Parlamento Vasco 1/2006 procede a una regulación de las aguas desde una perspectiva eminentemente ambiental, en ejercicio —por mencionar exclusivamente los títulos competenciales que revisten relevancia a los efectos de dilucidar la presente controversia— de las competencias sobre “aprovechamientos hidráulicos, canales y regadíos, cuando las aguas discurran íntegramente dentro del País Vasco” (art. 10.11 del Estatuto de Autonomía); de desarrollo legislativo en materia de “medio ambiente y ecología” [art. 11.1 a)]; así como de la reseñada potestad para la creación de nuevos tributos conferida por el art. 42 b).</w:t>
      </w:r>
    </w:p>
    <w:p w:rsidR="0026452D" w:rsidRDefault="0026452D" w:rsidP="0026452D">
      <w:pPr>
        <w:pStyle w:val="TextoNormal"/>
      </w:pPr>
    </w:p>
    <w:p w:rsidR="0026452D" w:rsidRDefault="0026452D" w:rsidP="0026452D">
      <w:pPr>
        <w:pStyle w:val="TextoNormal"/>
      </w:pPr>
      <w:r>
        <w:t xml:space="preserve">Cierto es que esa regulación incide sobre el ejercicio de algunas competencias locales, como la relativa al abastecimiento de aguas, pero resulta igualmente cierto que esa incidencia no es motivo de por sí suficiente para tachar la norma legal de inconstitucional por invasión de la autonomía local. El Parlamento Vasco, como legislador materialmente competente en materia de desarrollo de la legislación básica de protección ambiental dictada por el legislador nacional (art. 149.1.23 CE), ha llevado a cabo una ponderación de los intereses locales —en especial, los que atañen al ciclo urbano del agua— y los intereses supralocales, estableciendo una serie de deberes de colaboración de los entes locales en la consecución de los objetivos ambientales establecidos por la Ley. Pero al hacerlo en modo alguno ha desapoderado a los municipios radicados en el País Vasco de las competencias atribuidas a todos los municipios españoles por los arts. 25.2 l) y 26.1 a) de la Ley 7/1985, de 2 de abril, de bases de régimen local, ni les ha privado de las fuentes de financiación de los servicios correspondientes establecidas en las Normas Forales 11/1989, de 5 de julio, aprobada por </w:t>
      </w:r>
      <w:r>
        <w:lastRenderedPageBreak/>
        <w:t>las Juntas Generales de Guipuzkoa; 41/1989, de 19 de julio, emanada de las Juntas Generales de Álava y 9/2005, de 16 de diciembre, acordada por las Juntas Generales de Bizkaia. Procede, en consecuencia, la desestimación de este motivo de inconstitucionalidad puesto que la creación del canon del agua no ha supuesto una vulneración de la autonomía local de los municipios del País Vasco ni una limitación indebida de las potestades tributarias de los territorios históricos.</w:t>
      </w:r>
    </w:p>
    <w:p w:rsidR="0026452D" w:rsidRDefault="0026452D" w:rsidP="0026452D">
      <w:pPr>
        <w:pStyle w:val="TextoNormal"/>
      </w:pPr>
    </w:p>
    <w:p w:rsidR="0026452D" w:rsidRDefault="0026452D" w:rsidP="0026452D">
      <w:pPr>
        <w:pStyle w:val="TextoNormal"/>
      </w:pPr>
      <w:r>
        <w:t>b) El primero de los preceptos legales a los que se dirige un reproche específico por vulneración de la autonomía local es el art. 9 e) de la Ley de aguas del País Vasco, conforme al cual la Agencia Vasca del Agua contará, para el cumplimiento de sus fines, entre otros medios, con “los ingresos procedentes de la recaudación de los tributos en materia de aguas”. Para los Diputados recurrentes, el precepto incluye una clara extralimitación competencial al no excepcionar del ámbito subjetivo comprendido en esta previsión los tributos locales. Debemos convenir con los recurrentes en que la literalidad de esta disposición legal no salvaguarda suficientemente la autonomía financiera de los entes locales. Sin embargo, de ello no se deriva de manera insoslayable que hayamos de proceder a la declaración de su inconstitucionalidad y consiguiente nulidad, toda vez que el precepto es susceptible de una lectura conforme con la Constitución, en la medida en que se interprete que el producto de los tributos a los que se refiere el art. 9 e) de la Ley de aguas del País Vasco es exclusivamente el de aquellos cuya gestión corresponda a la Agencia Vasca del Agua, porque así lo disponga la legislación aprobada por la Comunidad Autónoma en ejercicio de sus competencias (caso del canon de aguas) o porque resulte de lo dispuesto en la normativa estatal de aguas (cánones de utilización del dominio público hidráulico y de control de vertidos), pero sin comprender aquellos tributos en materia de aguas de los que sean sujetos activos los entes locales. Así interpretado, el precepto impugnado es conforme con la Constitución, lo que se reflejará en el fallo de la presente resolución.</w:t>
      </w:r>
    </w:p>
    <w:p w:rsidR="0026452D" w:rsidRDefault="0026452D" w:rsidP="0026452D">
      <w:pPr>
        <w:pStyle w:val="TextoNormal"/>
      </w:pPr>
    </w:p>
    <w:p w:rsidR="0026452D" w:rsidRDefault="0026452D" w:rsidP="0026452D">
      <w:pPr>
        <w:pStyle w:val="TextoNormal"/>
      </w:pPr>
      <w:r>
        <w:t xml:space="preserve">c) Al art. 41 de la Ley le reprochan los recurrentes el imponer a los municipios el modo como han de regular sus tasas en materia de aguas. El motivo no puede prosperar en relación con ninguno de los tres primeros apartados de este precepto legal pues en ellos el legislador autonómico no hace sino reiterar una serie de principios de protección ambiental que deben informar el régimen tributario del agua que, con independencia de su enunciación por la Ley autonómica, vinculan a los entes locales del País Vasco al haber sido incorporados al Derecho europeo de aguas (en particular, porque figuran en la Directiva 2000/60/CE del Parlamento Europeo y del Consejo, de 23 de octubre de 2000, conocida como Directiva marco del agua, como el propio art. 42.2 de la Ley de aguas del País Vasco reconoce explícitamente). Así sucede con los principios de sostenibilidad, recuperación de costes y contaminador-pagador, siendo el principio de progresividad (art. 41.3 </w:t>
      </w:r>
      <w:r w:rsidRPr="0026452D">
        <w:rPr>
          <w:i/>
        </w:rPr>
        <w:t>in fine</w:t>
      </w:r>
      <w:r>
        <w:t>), una concreción de los dos primeros.</w:t>
      </w:r>
    </w:p>
    <w:p w:rsidR="0026452D" w:rsidRDefault="0026452D" w:rsidP="0026452D">
      <w:pPr>
        <w:pStyle w:val="TextoNormal"/>
      </w:pPr>
    </w:p>
    <w:p w:rsidR="0026452D" w:rsidRDefault="0026452D" w:rsidP="0026452D">
      <w:pPr>
        <w:pStyle w:val="TextoNormal"/>
      </w:pPr>
      <w:r>
        <w:t>Distinto es el caso del art. 41.4, en virtud del cual “el Gobierno aprobará mediante decreto, previo informe de la Agencia Vasca del Agua, los conceptos que deben incluirse en la tarificación del uso del agua”. A la vista de los términos en que está redactado el precepto, parece inconcuso que se hace referencia a una regulación genérica de esos conceptos que han de incluirse en la tarificación del uso del agua y que no se contempla un acto individual de aprobación de cada uno de los actos (ordenanzas locales en el caso de los municipios) que acuerden la exacción de esas mismas tarifas.</w:t>
      </w:r>
    </w:p>
    <w:p w:rsidR="0026452D" w:rsidRDefault="0026452D" w:rsidP="0026452D">
      <w:pPr>
        <w:pStyle w:val="TextoNormal"/>
      </w:pPr>
    </w:p>
    <w:p w:rsidR="0026452D" w:rsidRDefault="0026452D" w:rsidP="0026452D">
      <w:pPr>
        <w:pStyle w:val="TextoNormal"/>
      </w:pPr>
      <w:r>
        <w:lastRenderedPageBreak/>
        <w:t>Pues bien, en relación justamente con las tarifas y tasas que puedan establecer los entes locales, este precepto legal confiere al Gobierno Vasco una función que trasciende con creces el ámbito de competencias que el Ejecutivo autonómico ostenta en relación con las potestades tributarias de los entes locales, desplazando indebidamente a los territorios históricos, a quienes corresponde la regulación de los tributos locales distintos de los impuestos sobre bienes inmuebles, sobre actividades económicas y sobre vehículos de tracción mecánica (art. 42 del concierto económico aprobado por la Ley 12/2002, de 23 de mayo).</w:t>
      </w:r>
    </w:p>
    <w:p w:rsidR="0026452D" w:rsidRDefault="0026452D" w:rsidP="0026452D">
      <w:pPr>
        <w:pStyle w:val="TextoNormal"/>
      </w:pPr>
    </w:p>
    <w:p w:rsidR="0026452D" w:rsidRDefault="0026452D" w:rsidP="0026452D">
      <w:pPr>
        <w:pStyle w:val="TextoNormal"/>
      </w:pPr>
      <w:r>
        <w:t>El desapoderamiento de los territorios históricos no resulta, en este caso, conforme con las previsiones estatutarias ni puede reputarse acorde con las normas dictadas para armonizar el ejercicio de las potestades tributarias por los distintos sujetos titulares de las mismas. En cuanto a lo primero, ha de recordarse que el art. 41.2 a) del Estatuto de Autonomía del País Vasco atribuye el ejercicio de las potestades de coordinación, armonización fiscal y colaboración de manera exclusiva al Parlamento Vasco. Esta reserva estatutaria de ley queda desatendida en un precepto como el que nos ocupa, que, mediante una simple remisión en blanco al ejercicio de la potestad reglamentaria del Ejecutivo, deslegaliza la materia. Es cierto —y aquí entramos en el segundo de los aspectos antes reseñados— que, de acuerdo con lo establecido en la Ley 3/1989, de 30 de mayo, de armonización, coordinación y colaboración fiscal, uno de los “elementos sustanciales” de los tributos locales susceptibles de armonización es el “tipo de gravamen o cuota de tarifa” [art. 7 a) 5]. Pero no es menos cierto que no podemos entender acreditada la equivalencia plena de los términos empleados por las leyes de 1989 y 2006 (“tipo de gravamen o cuota de tarifa” y “conceptos”, respectivamente); como tampoco resulta lícito olvidar que, en la arquitectura de la Ley 3/1989, quien está llamado a completar la labor armonizadora es el propio Parlamento Vasco y no el Ejecutivo autonómico. Así resulta de lo dispuesto en su art. 1 a), donde se fija que la Ley tiene por objeto “establecer [de conformidad con lo dispuesto en el artículo 41.2 a) del Estatuto de Autonomía] el marco de armonización del régimen tributario de los Territorios Históricos de la Comunidad Autónoma de Euskadi, para su ulterior desarrollo en futuras leyes del Parlamento Vasco.”</w:t>
      </w:r>
    </w:p>
    <w:p w:rsidR="0026452D" w:rsidRDefault="0026452D" w:rsidP="0026452D">
      <w:pPr>
        <w:pStyle w:val="TextoNormal"/>
      </w:pPr>
    </w:p>
    <w:p w:rsidR="0026452D" w:rsidRDefault="0026452D" w:rsidP="0026452D">
      <w:pPr>
        <w:pStyle w:val="TextoNormal"/>
      </w:pPr>
      <w:r>
        <w:t>En la medida en que el art. 41.4 confiere al Gobierno Vasco, previo informe de la Agencia Vasca del Agua, el ejercicio de una función armonizadora, debemos concluir que rebasa los límites de las competencias que ostenta el Ejecutivo autonómico y resulta, por ello, inconstitucional y nulo. Esta conclusión no puede desvirtuarse aduciendo que la competencia residenciada en el Ejecutivo autonómico hace referencia exclusivamente a los tributos que, en materia de aguas, establezcan las instituciones comunes de la Comunidad Autónoma, pues en tal caso será la propia ley reguladora de cada uno de esos tributos la que deba identificar los “conceptos” objeto de tributación. Sin embargo, la estimación parcial —en cuanto se refiere exclusivamente al apartado 4 del art. 41— de este motivo del recurso no puede ampliarse a la disposición adicional sexta, precepto en el cual el Parlamento Vasco ha ejercido una función armonizadora al establecer que “las entidades suministradoras deberán imputar, en sus tarifas, como mínimo los costes de inversión, mantenimiento y explotación de su red de abastecimiento y saneamiento en alta a más tardar el 31 de diciembre de 2007”.</w:t>
      </w:r>
    </w:p>
    <w:p w:rsidR="0026452D" w:rsidRDefault="0026452D" w:rsidP="0026452D">
      <w:pPr>
        <w:pStyle w:val="TextoNormal"/>
      </w:pPr>
    </w:p>
    <w:p w:rsidR="0026452D" w:rsidRDefault="0026452D" w:rsidP="0026452D">
      <w:pPr>
        <w:pStyle w:val="TextoNormal"/>
      </w:pPr>
      <w:r>
        <w:t xml:space="preserve">d) Se impugna el art. 48.3 de la Ley porque se obliga a las entidades suministradoras de agua, entre ellas los Ayuntamientos, a cobrar el canon por cuenta de la Agencia Vasca del Agua. Se trata, sin embargo, de un típico instrumento de colaboración en la gestión tributaria </w:t>
      </w:r>
      <w:r>
        <w:lastRenderedPageBreak/>
        <w:t>que no merece, de suyo, tacha alguna de inconstitucionalidad. Por lo mismo, debemos desestimar la impugnación de los arts. 52, que concreta esa colaboración en cuanto a la facturación y cobro del nuevo impuesto, y 56.3, que tipifica como infracción grave o muy grave el incumplimiento de los deberes que el establecimiento de esta fórmula de cooperación hace recaer sobre las entidades suministradoras de agua.</w:t>
      </w:r>
    </w:p>
    <w:p w:rsidR="0026452D" w:rsidRDefault="0026452D" w:rsidP="0026452D">
      <w:pPr>
        <w:pStyle w:val="TextoNormal"/>
      </w:pPr>
    </w:p>
    <w:p w:rsidR="0026452D" w:rsidRDefault="0026452D" w:rsidP="0026452D">
      <w:pPr>
        <w:pStyle w:val="TextoNormal"/>
      </w:pPr>
      <w:r>
        <w:t>Para concluir, debemos desestimar igualmente la impugnación del art. 49.2 a), pues el hecho de que la regulación de los contadores de consumo de agua pueda figurar en la normativa local no puede ser reputado motivo suficiente para desapoderar al Parlamento Vasco del ejercicio de su competencia legislativa en la materia. Tanto menos cuanto que en este precepto el legislador autonómico se ha limitado a disponer que, cuando la base imponible del canon del agua se determine por el sistema de estimación directa, esta operación se llevará a cabo “a través de la medición del consumo por medio de contadores homologados. A estos efectos, las contribuyentes y los contribuyentes quedan obligados a instalar y mantener, a su cargo, un mecanismo de medición directa del agua efectivamente consumida”. La obligación de instalación y mantenimiento de los contadores es instrumental, tanto respecto a la tasa por el consumo de agua correspondiente del Ayuntamiento respectivo, como en relación con un impuesto propio de la Comunidad Autónoma del País Vasco, de modo que no quedan afectadas las competencias locales en materia de aguas.</w:t>
      </w:r>
    </w:p>
    <w:p w:rsidR="0026452D" w:rsidRDefault="0026452D" w:rsidP="0026452D">
      <w:pPr>
        <w:pStyle w:val="TextoNormal"/>
      </w:pPr>
    </w:p>
    <w:p w:rsidR="0026452D" w:rsidRDefault="0026452D" w:rsidP="0026452D">
      <w:pPr>
        <w:pStyle w:val="TextoNormal"/>
      </w:pPr>
      <w:r w:rsidRPr="0026452D">
        <w:rPr>
          <w:rStyle w:val="NumeroAFNegritaCaracter"/>
        </w:rPr>
        <w:t>6</w:t>
      </w:r>
      <w:r>
        <w:t>. Procede tratar conjuntamente los dos últimos motivos del recurso en los que se denuncia la vulneración del principio de capacidad económica y de la reserva de ley en materia tributaria.</w:t>
      </w:r>
    </w:p>
    <w:p w:rsidR="0026452D" w:rsidRDefault="0026452D" w:rsidP="0026452D">
      <w:pPr>
        <w:pStyle w:val="TextoNormal"/>
      </w:pPr>
    </w:p>
    <w:p w:rsidR="0026452D" w:rsidRDefault="0026452D" w:rsidP="0026452D">
      <w:pPr>
        <w:pStyle w:val="TextoNormal"/>
      </w:pPr>
      <w:r>
        <w:t>a) La queja relativa a la eventual vulneración del principio de capacidad económica se formula en conjunción con la infracción de la Directiva marco del agua. Los recurrentes únicamente identifican una hipotética vulneración del art. 9.1 de esta norma de Derecho europeo, al afirmar que el canon contradice el principio contaminador-pagador puesto que no paga más quien más contamina sino quien más consume. Abstracción hecha de que no precisan los recurrentes en qué medida esa posible infracción de una norma de Derecho europeo derivado tiene su correlato en las disposiciones integrantes del bloque de constitucionalidad a las que debemos atender al enjuiciar la validez de las disposiciones con rango de ley sometidas a nuestro análisis, debemos poner de relieve que el principio “quien contamina paga” no es el único que informa las normas relativas al régimen tributario integrante del Derecho ambiental de aguas de la Unión Europea, existiendo otros principios, como el de sostenibilidad y eficiencia de uso, a los que están llamados a atender los legisladores nacionales al actuar en este sector del ordenamiento jurídico.</w:t>
      </w:r>
    </w:p>
    <w:p w:rsidR="0026452D" w:rsidRDefault="0026452D" w:rsidP="0026452D">
      <w:pPr>
        <w:pStyle w:val="TextoNormal"/>
      </w:pPr>
    </w:p>
    <w:p w:rsidR="0026452D" w:rsidRDefault="0026452D" w:rsidP="0026452D">
      <w:pPr>
        <w:pStyle w:val="TextoNormal"/>
      </w:pPr>
      <w:r>
        <w:t>Por otro lado, este motivo parte del presupuesto de que el canon del agua es un tributo equivalente, en cuanto al hecho imponible y otros elementos esenciales, a la tasa municipal por suministro de agua. Toda vez que esta premisa ha sido descartada en el fundamento jurídico 4 de la presente resolución, no procede que examinemos ahora las consecuencias que derivan los actores de la aceptación de dicha premisa.</w:t>
      </w:r>
    </w:p>
    <w:p w:rsidR="0026452D" w:rsidRDefault="0026452D" w:rsidP="0026452D">
      <w:pPr>
        <w:pStyle w:val="TextoNormal"/>
      </w:pPr>
    </w:p>
    <w:p w:rsidR="0026452D" w:rsidRDefault="0026452D" w:rsidP="0026452D">
      <w:pPr>
        <w:pStyle w:val="TextoNormal"/>
      </w:pPr>
      <w:r>
        <w:t xml:space="preserve">Una tercera expresión de este motivo impugnatorio atañe específicamente al hecho de que el art. 47 contemple la posibilidad de bonificar hasta el 95 por 100 el suministro de aguas en fuentes públicas, siendo así que el texto refundido de la Ley de haciendas locales como las normas forales sobre haciendas locales aprobadas por las Juntas Generales de los </w:t>
      </w:r>
      <w:r>
        <w:lastRenderedPageBreak/>
        <w:t>tres territorios históricos del País Vasco configuran expresamente como un supuesto de no sujeción el abastecimiento de agua en fuentes públicas, lo que, en opinión de los Diputados recurrentes, se pondría con ello de manifiesto la finalidad recaudatoria del canon del agua. Habida cuenta de que el canon del agua no es un tributo local, esta manifestación del motivo del recurso de inconstitucionalidad no puede considerarse sino expresión de una legítima crítica a la norma aprobada por el Parlamento Vasco. El canon del agua no representa contrapartida alguna a la prestación de un servicio por la Administración local sino un impuesto autonómico que sirve de instrumento tributario para la consecución de un uso eficiente y sostenible del agua. El suministro a través de fuentes públicas es otra forma de uso consuntivo del recurso, por lo que no puede considerarse contrario a las normas integrantes del bloque de constitucionalidad que se sujete al canon creado por la Ley del Parlamento Vasco 1/2006, ni que esta misma ley prevea la aplicación de bonificaciones cuando a través de esa forma de suministro se cumplan los requisitos previstos en el art. 47.</w:t>
      </w:r>
    </w:p>
    <w:p w:rsidR="0026452D" w:rsidRDefault="0026452D" w:rsidP="0026452D">
      <w:pPr>
        <w:pStyle w:val="TextoNormal"/>
      </w:pPr>
    </w:p>
    <w:p w:rsidR="0026452D" w:rsidRDefault="0026452D" w:rsidP="0026452D">
      <w:pPr>
        <w:pStyle w:val="TextoNormal"/>
      </w:pPr>
      <w:r>
        <w:t>b) Denuncian finalmente los recurrentes que el art. 47 de la Ley remita al reglamento la concreción de un elemento esencial del impuesto, como es el régimen de bonificaciones. En su opinión, este precepto no respeta las exigencias del principio de legalidad tributaria (arts. 31.3 y 133.3 CE) y desconoce la proscripción de interdicción del art. 9.3 CE.</w:t>
      </w:r>
    </w:p>
    <w:p w:rsidR="0026452D" w:rsidRDefault="0026452D" w:rsidP="0026452D">
      <w:pPr>
        <w:pStyle w:val="TextoNormal"/>
      </w:pPr>
    </w:p>
    <w:p w:rsidR="0026452D" w:rsidRDefault="0026452D" w:rsidP="0026452D">
      <w:pPr>
        <w:pStyle w:val="TextoNormal"/>
      </w:pPr>
      <w:r>
        <w:t>Este último motivo del recurso tampoco puede prosperar. De acuerdo con la doctrina recogida en la STC 121/2005, de 10 de mayo, la reserva de ley tributaria no opera con igual intensidad en relación con cada uno de los elementos esenciales del tributo (SSTC 233/1999, de 16 de diciembre, FJ 9; y 150/2003, de 15 de julio, FJ 3). Como se recuerda en la mencionada Sentencia, “hemos señalado que ‘la reserva de ley en materia tributaria no afecta por igual a todos los elementos integrantes del tributo’, sino que ‘[e]l grado de concreción exigible a la ley es máximo cuando regula el hecho imponible’ y es menor ‘cuando se trata de regular otros elementos’, como el tipo de gravamen y la base imponible (STC 221/1992, de 11 de diciembre, FJ 7).” (FJ 5). Esa menor intensidad es igualmente predicable de un elemento, como las bonificaciones, que se aplica sobre la cuota líquida del tributo. De modo que no puede reputarse contrario a la reserva constitucional de ley en materia tributaria un precepto legal que no se limita a remitir al reglamento la regulación de las bonificaciones aplicables al canon del agua sino que condiciona el ejercicio de la potestad reglamentaria al identificar los requisitos que deban cumplirse para que quepa la previsión normativa de bonificaciones y el reconocimiento singularizado del derecho a obtenerlas. Por otro lado, la remisión al reglamento se justifica en este caso por el carácter marcadamente técnico de la regulación de que se trata.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 xml:space="preserve">1º Estimar parcialmente el presente recurso de inconstitucionalidad y declarar, en su consecuencia; A) que el art. 41.4 de la Ley del Parlamento Vasco 1/2006, de 23 de junio, de </w:t>
      </w:r>
      <w:r>
        <w:lastRenderedPageBreak/>
        <w:t>aguas, es inconstitucional y nulo; y B) que el art. 9 e) no es inconstitucional interpretado en los términos fijados en el fundamento jurídico 5 b).</w:t>
      </w:r>
    </w:p>
    <w:p w:rsidR="0026452D" w:rsidRDefault="0026452D" w:rsidP="0026452D">
      <w:pPr>
        <w:pStyle w:val="TextoNormal"/>
      </w:pPr>
    </w:p>
    <w:p w:rsidR="0026452D" w:rsidRDefault="0026452D" w:rsidP="0026452D">
      <w:pPr>
        <w:pStyle w:val="TextoNormal"/>
      </w:pPr>
      <w:r>
        <w:t>2º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abril de dos mil trece.</w:t>
      </w:r>
    </w:p>
    <w:p w:rsidR="0026452D" w:rsidRDefault="0026452D" w:rsidP="0026452D">
      <w:pPr>
        <w:pStyle w:val="ParrafoNormal"/>
      </w:pPr>
    </w:p>
    <w:p w:rsidR="0026452D" w:rsidRDefault="0026452D" w:rsidP="0026452D">
      <w:pPr>
        <w:pStyle w:val="TextoNormalNegritaCentrado"/>
        <w:keepNext/>
      </w:pPr>
      <w:r>
        <w:t>Voto particular que formula la Magistrada doña Adela Asua Batarrita a la Sentencia dictada en el recurso de inconstitucionalidad 9451-2006.</w:t>
      </w:r>
    </w:p>
    <w:p w:rsidR="0026452D" w:rsidRDefault="0026452D" w:rsidP="0026452D">
      <w:pPr>
        <w:pStyle w:val="TextoNormalNegritaCentrado"/>
        <w:keepNext/>
      </w:pPr>
    </w:p>
    <w:p w:rsidR="0026452D" w:rsidRDefault="0026452D" w:rsidP="0026452D">
      <w:pPr>
        <w:pStyle w:val="TextoNormal"/>
      </w:pPr>
      <w:r>
        <w:t>Con el máximo respeto a la posición de la opinión mayoritaria del Pleno, formulo voto particular a la Sentencia citada en el encabezamiento.</w:t>
      </w:r>
    </w:p>
    <w:p w:rsidR="0026452D" w:rsidRDefault="0026452D" w:rsidP="0026452D">
      <w:pPr>
        <w:pStyle w:val="TextoNormal"/>
      </w:pPr>
    </w:p>
    <w:p w:rsidR="0026452D" w:rsidRDefault="0026452D" w:rsidP="0026452D">
      <w:pPr>
        <w:pStyle w:val="TextoNormal"/>
      </w:pPr>
      <w:r>
        <w:t>En primer lugar quiero dejar constancia de mi plena conformidad con la fundamentación y el fallo de la Sentencia en relación con la constitucionalidad del canon del agua que regula la Ley 1/2006, de 23 de junio, de aguas, del Parlamento Vasco.</w:t>
      </w:r>
    </w:p>
    <w:p w:rsidR="0026452D" w:rsidRDefault="0026452D" w:rsidP="0026452D">
      <w:pPr>
        <w:pStyle w:val="TextoNormal"/>
      </w:pPr>
    </w:p>
    <w:p w:rsidR="0026452D" w:rsidRDefault="0026452D" w:rsidP="0026452D">
      <w:pPr>
        <w:pStyle w:val="TextoNormal"/>
      </w:pPr>
      <w:r>
        <w:t>Mi único punto de discrepancia se ciñe a la declaración de inconstitucionalidad del apartado 4 del art. 41 de la Ley impugnada, del siguiente tenor: “El Gobierno aprobará mediante decreto, previo informe de la Agencia Vasca del Agua, los conceptos que deben incluirse en la tarificación del uso del agua”. Declaración que la Sentencia fundamenta en que no se respeta la reserva de ley establecida en el art. 41.2 a) del Estatuto de Autonomía del País Vasco para la armonización fiscal dentro de la Comunidad Autónoma, ni las normas de armonización del ejercicio de las potestades tributarias de los territorios históricos. De estos dos argumentos únicamente puede atenderse el referido a la vulneración de la norma estatutaria, porque el otro, la disconformidad con la normativa de armonización de potestades tributarias, no puede fundamentar la inconstitucionalidad de una Ley; la Ley 3/1989 del Parlamento Vasco, de 30 de mayo, de armonización, coordinación y colaboración fiscal a la que se hace referencia al efecto, evidentemente no puede operar como canon de constitucionalidad de la Ley vasca de aguas objeto del presente recurso.</w:t>
      </w:r>
    </w:p>
    <w:p w:rsidR="0026452D" w:rsidRDefault="0026452D" w:rsidP="0026452D">
      <w:pPr>
        <w:pStyle w:val="TextoNormal"/>
      </w:pPr>
    </w:p>
    <w:p w:rsidR="0026452D" w:rsidRDefault="0026452D" w:rsidP="0026452D">
      <w:pPr>
        <w:pStyle w:val="TextoNormal"/>
      </w:pPr>
      <w:r>
        <w:t>Como expresé en el debate en el Pleno mi posición contraria a la declaración de inconstitucionalidad y nulidad del art. 41.4 se basa en tres órdenes de consideraciones:</w:t>
      </w:r>
    </w:p>
    <w:p w:rsidR="0026452D" w:rsidRDefault="0026452D" w:rsidP="0026452D">
      <w:pPr>
        <w:pStyle w:val="TextoNormal"/>
      </w:pPr>
    </w:p>
    <w:p w:rsidR="0026452D" w:rsidRDefault="0026452D" w:rsidP="0026452D">
      <w:pPr>
        <w:pStyle w:val="TextoNormal"/>
      </w:pPr>
      <w:r>
        <w:t xml:space="preserve">1. Mi primer argumento es de orden procesal, porque, a mi juicio, la declaración de inconstitucionalidad que se sienta va más allá de las alegaciones de los recurrentes. El recurso de inconstitucionalidad interpuesto contra la Ley vasca de aguas se dirige básicamente contra el canon del agua previsto en dicha Ley, única perspectiva desde la que impugnan los recurrentes una larga serie de preceptos, entre otros, los arts. 41 a 52. Sobre el art. 41, en particular, los recurrentes se limitan a señalar en su escrito de interposición del recurso que “su art. 41 les dice a los Ayuntamientos como (sic) deben regular sus tasas” (pág. 19); más tarde, afirman que “la competencia para fijar los principios y los tributos locales corresponde al Estado y a los Territorios Históricos, en ningún caso a la Comunidad Autónoma Vasca” (pág. 20). Nada se alega sobre la vulneración de la reserva legal instituida en el art. 41 del Estatuto de Autonomía, que es justamente, en la presente Sentencia, la </w:t>
      </w:r>
      <w:r w:rsidRPr="0026452D">
        <w:rPr>
          <w:i/>
        </w:rPr>
        <w:t>ratio decidendi</w:t>
      </w:r>
      <w:r>
        <w:t xml:space="preserve"> de la declaración de inconstitucionalidad del art. 41.4. Tal escueta referencia en las alegaciones resulta claramente insuficiente para levantar la carga procesal que recae sobre los </w:t>
      </w:r>
      <w:r>
        <w:lastRenderedPageBreak/>
        <w:t>recurrentes en cuanto a la exigencia de una suficiente argumentación de los motivos de inconstitucionalidad de los preceptos impugnados, pues, como regla general, sólo cumplida dicha carga se abre la vía para que el Tribunal pueda pronunciarse.</w:t>
      </w:r>
    </w:p>
    <w:p w:rsidR="0026452D" w:rsidRDefault="0026452D" w:rsidP="0026452D">
      <w:pPr>
        <w:pStyle w:val="TextoNormal"/>
      </w:pPr>
    </w:p>
    <w:p w:rsidR="0026452D" w:rsidRDefault="0026452D" w:rsidP="0026452D">
      <w:pPr>
        <w:pStyle w:val="TextoNormal"/>
      </w:pPr>
      <w:r>
        <w:t>2. Mi segundo argumento es de orden sustantivo. No comparto el presupuesto de partida de la Sentencia para declarar la vulneración de la reserva legal estatutaria, ni tampoco el análisis que se realiza a partir de tal premisa. La Sentencia da por supuesto, sin razonamiento al efecto, que el precepto impugnado versa sobre armonización fiscal y que atribuye al Gobierno Vasco “el ejercicio de una función armonizadora” a este respecto [FJ 5 c)]. Sin embargo, ni la finalidad de la Ley ni el contexto sistemático de la norma, ni el contenido literal del precepto avalan dicho presupuesto.</w:t>
      </w:r>
    </w:p>
    <w:p w:rsidR="0026452D" w:rsidRDefault="0026452D" w:rsidP="0026452D">
      <w:pPr>
        <w:pStyle w:val="TextoNormal"/>
      </w:pPr>
    </w:p>
    <w:p w:rsidR="0026452D" w:rsidRDefault="0026452D" w:rsidP="0026452D">
      <w:pPr>
        <w:pStyle w:val="TextoNormal"/>
      </w:pPr>
      <w:r>
        <w:t>a) La Ley 1/2006, de 23 de junio, de aguas, del Parlamento Vasco, señala en su exposición de motivos que una de sus dos finalidades es “establecer los mecanismos necesarios para la ejecución de la política europea” (la otra es “dotar a esta materia de un marco normativo adecuado para la intervención de las diferentes administraciones implicadas”) y que su punto de partida es la “Directiva marco del agua” (Directiva 2000/60/CE), cuya terminología y definiciones se recogen ampliamente en el art. 2 de la Ley. Para ello, la Ley de aguas modifica expresamente el reparto competencial entre las instituciones comunes de la Comunidad Autónoma del País Vasco y los órganos forales de los territorios históricos, en aspectos relacionados con la política de aguas: sintéticamente, obras públicas, desarrollo agrario y policía de aguas (disposición final primera de la Ley impugnada). Además, se crea un nuevo organismo, la Agencia Vasca del Agua, que es clave en el nuevo modelo o política del agua. Esa Agencia, adscrita al departamento de medio ambiente del Gobierno Vasco, planifica y realiza obras públicas, autoriza vertidos, se ocupa del canon del agua, etc. (art. 7).</w:t>
      </w:r>
    </w:p>
    <w:p w:rsidR="0026452D" w:rsidRDefault="0026452D" w:rsidP="0026452D">
      <w:pPr>
        <w:pStyle w:val="TextoNormal"/>
      </w:pPr>
    </w:p>
    <w:p w:rsidR="0026452D" w:rsidRDefault="0026452D" w:rsidP="0026452D">
      <w:pPr>
        <w:pStyle w:val="TextoNormal"/>
      </w:pPr>
      <w:r>
        <w:t>b) El precepto impugnado no atribuye al Gobierno Vasco el ejercicio de una función de armonización fiscal. Para constatar esta afirmación puede acudirse como norma de contraste a lo establecido en la Ley 3/1989, de 30 de mayo, de armonización, coordinación y colaboración fiscal, que es una especie de Ley marco del Parlamento Vasco para ordenar la actividad legislativa en ese ámbito. El art. 7 a).5 de esa Ley contempla expresamente que, de entre los “elementos sustanciales” de los tributos locales susceptibles de armonización, se puede armonizar el “tipo de gravamen o cuota de tarifa”. El precepto impugnado, que la Sentencia declara inconstitucional, no se refiere en ningún momento al “tipo de gravamen o cuota de tarifa”. La propia Sentencia reconoce que “no podemos entender acreditada la equivalencia plena” [FJ 5 c)] entre los “conceptos” a los que se refiere el precepto impugnado, por una parte, y el “tipo de gravamen o cuota de tarifa” de los que habla el art. 7 a).5 de la Ley 3/1989, por otra. Pues bien, si no existe equivalencia plena, como se reconoce expresamente, es sorprendente que, inmediatamente después, sin aportar argumento alguno, la Sentencia concluya rotundamente que el art. 41.4 atribuye al Gobierno Vasco el ejercicio de una función de armonización fiscal.</w:t>
      </w:r>
    </w:p>
    <w:p w:rsidR="0026452D" w:rsidRDefault="0026452D" w:rsidP="0026452D">
      <w:pPr>
        <w:pStyle w:val="TextoNormal"/>
      </w:pPr>
    </w:p>
    <w:p w:rsidR="0026452D" w:rsidRDefault="0026452D" w:rsidP="0026452D">
      <w:pPr>
        <w:pStyle w:val="TextoNormal"/>
      </w:pPr>
      <w:r>
        <w:t xml:space="preserve">En mi opinión, la clave para entender la función que se le asigna al Gobierno Vasco en este precepto se encuentra, en primer lugar, en el carácter preceptivo del informe de la Agencia Vasca del Agua que la norma establece y, segundo, en el propio contexto normativo del precepto. La norma no atribuye al Gobierno Vasco una competencia de armonización fiscal en sentido estricto. Debemos recordar que, en virtud de sus competencias en materia de </w:t>
      </w:r>
      <w:r>
        <w:lastRenderedPageBreak/>
        <w:t>aguas, el Gobierno Vasco tiene competencia para planificar, ejecutar y gestionar las obras hidráulicas de interés general para la Comunidad Autónoma del País Vasco. Por ello es el único ente con capacidad material para establecer el elenco de “conceptos” que intervienen en el ciclo completo del agua (las llamadas “externalidades”) desde la perspectiva de sus competencias sobre obras hidráulicas y sobre medio ambiente que deben tenerse en cuenta a la hora de establecer el coste de los servicios relacionados con el agua (el coste total de la inversión, de la amortización y de su mantenimiento y explotación; el saneamiento; la degradación medioambiental producida por el uso del agua). En cuanto a los ayuntamientos, su visión del ciclo del agua es normalmente limitada, ya que se centra en la contabilización del coste del abastecimiento, alcantarillado y contadores. Por esta razón, el Gobierno Vasco, para poder aprobar el decreto de los conceptos de tarificación, ha de recabar el informe de la Agencia Vasca del Agua, y no por ejemplo el del Órgano de Coordinación Tributaria de Euskadi (creado en el marco de la Ley 3/1989, de 30 de mayo, de armonización, coordinación y colaboración fiscal).</w:t>
      </w:r>
    </w:p>
    <w:p w:rsidR="0026452D" w:rsidRDefault="0026452D" w:rsidP="0026452D">
      <w:pPr>
        <w:pStyle w:val="TextoNormal"/>
      </w:pPr>
    </w:p>
    <w:p w:rsidR="0026452D" w:rsidRDefault="0026452D" w:rsidP="0026452D">
      <w:pPr>
        <w:pStyle w:val="TextoNormal"/>
      </w:pPr>
      <w:r>
        <w:t>En conclusión, la determinación de “los conceptos que deben incluirse en la tarificación del uso del agua” no es ejercicio de la competencia de las instituciones comunes en materia de armonización fiscal, sino de sus competencias para la ordenación de los servicios relacionados con el agua, competencias prevalentes sobre las que se asienta la norma legal. Se trata de determinaciones normativas, a tener en cuenta por quienes tienen la competencia tributaria de regulación de los tributos locales (los órganos forales). La finalidad de armonización fiscal es ajena a la Ley de aguas y al concreto precepto que se declara inconstitucional. La regulación contenida en la Ley de aguas se establece para cumplir con las obligaciones derivadas de la Directiva marco del agua, cuyo encuadramiento material es claramente el medio ambiente, no la tributación o la armonización fiscal.</w:t>
      </w:r>
    </w:p>
    <w:p w:rsidR="0026452D" w:rsidRDefault="0026452D" w:rsidP="0026452D">
      <w:pPr>
        <w:pStyle w:val="TextoNormal"/>
      </w:pPr>
    </w:p>
    <w:p w:rsidR="0026452D" w:rsidRDefault="0026452D" w:rsidP="0026452D">
      <w:pPr>
        <w:pStyle w:val="TextoNormal"/>
      </w:pPr>
      <w:r>
        <w:t>Además, el contexto del apartado declarado inconstitucional es revelador para concluir que la preocupación y la razón del legislador se fundan en la política del agua, no al establecimiento de armonización fiscal de los tributos locales sobre abastecimiento de agua. Al contexto del apartado impugnado me refiero en el siguiente punto.</w:t>
      </w:r>
    </w:p>
    <w:p w:rsidR="0026452D" w:rsidRDefault="0026452D" w:rsidP="0026452D">
      <w:pPr>
        <w:pStyle w:val="TextoNormal"/>
      </w:pPr>
    </w:p>
    <w:p w:rsidR="0026452D" w:rsidRDefault="0026452D" w:rsidP="0026452D">
      <w:pPr>
        <w:pStyle w:val="TextoNormal"/>
      </w:pPr>
      <w:r>
        <w:t>c) Incluso si se aceptara como hipótesis que el apartado declarado inconstitucional realiza de forma específica o puntual alguna clase de armonización fiscal, no puedo compartir la tesis de la Sentencia de que el apartado impugnado contiene una “simple remisión en blanco” al reglamento y que “deslegaliza la materia”. A mi juicio, el apartado 4 del art. 41 de la Ley vasca de aguas no puede leerse aisladamente sino conjuntamente con el resto de los apartados del mismo precepto. En particular el apartado 2 del citado precepto legal establece diversos criterios sustantivos (principio de recuperación de los costes de los servicios relacionados con el agua, en especial el coste total de la inversión, de la amortización y de su mantenimiento y explotación, incluidos los costes medioambientales y los relativos a los recursos, así como el principio de que quien contamina paga) y se remite expresamente al art. 9 de la Directiva marco del agua: dichas disposiciones, junto al anexo III de la Directiva, establecen el marco en el que se tiene que mover el Gobierno Vasco cuando apruebe los conceptos que deben incluirse en la tarificación del agua. Por tanto, el apartado declarado inconstitucional no contiene una remisión “en blanco”, sino que abre paso a una regulación reglamentaria subordinada y dependiente del marco legal y europeo indicado.</w:t>
      </w:r>
    </w:p>
    <w:p w:rsidR="0026452D" w:rsidRDefault="0026452D" w:rsidP="0026452D">
      <w:pPr>
        <w:pStyle w:val="TextoNormal"/>
      </w:pPr>
    </w:p>
    <w:p w:rsidR="0026452D" w:rsidRDefault="0026452D" w:rsidP="0026452D">
      <w:pPr>
        <w:pStyle w:val="TextoNormal"/>
      </w:pPr>
      <w:r>
        <w:lastRenderedPageBreak/>
        <w:t>En definitiva, siguiendo uno u otro camino se llega, a mi juicio, a la misma conclusión: no debería haberse declarado inconstitucional el apartado 4 del art. 41.</w:t>
      </w:r>
    </w:p>
    <w:p w:rsidR="0026452D" w:rsidRDefault="0026452D" w:rsidP="0026452D">
      <w:pPr>
        <w:pStyle w:val="TextoNormal"/>
      </w:pPr>
    </w:p>
    <w:p w:rsidR="0026452D" w:rsidRDefault="0026452D" w:rsidP="0026452D">
      <w:pPr>
        <w:pStyle w:val="TextoNormal"/>
      </w:pPr>
      <w:r>
        <w:t xml:space="preserve">3. Una última consideración, de orden institucional, que asimismo fue expuesta en mi intervención en el Pleno. La presente Ley 1/2006, en su fase de elaboración fue objeto de examen por la Comisión Arbitral del País Vasco, respecto a su conformidad con la distribución interna de competencias en la Comunidad Autónoma del País Vasco. La Comisión Arbitral, como institución estatutaria contemplada en el art. 39 del Estatuto de Autonomía del País Vasco, tiene atribuida la decisión de “los conflictos de competencia que se puedan suscitar entre las instituciones de la Comunidad Autónoma y las de cada una de sus Territorios Históricos”; en su composición está formada por “un número igual de representantes designados libremente por el Gobierno Vasco y por la Diputación Foral del Territorio interesado y presidida por el Presidente del Tribunal Superior de Justicia del País Vasco”. Según la doctrina más autorizada, la Comisión Arbitral es un órgano </w:t>
      </w:r>
      <w:r w:rsidRPr="0026452D">
        <w:rPr>
          <w:i/>
        </w:rPr>
        <w:t>supra partes</w:t>
      </w:r>
      <w:r>
        <w:t>, independiente y sujeto exclusivamente a la Ley, que actúa a solicitud de parte y que, sin ser órgano judicial, tiene funciones, formas y garantías de actuación materialmente jurisdiccionales. Pues bien, la presente impugnación es la primera vez que hace llegar a este Tribunal una norma que previamente ha sido ya analizada en dicha Comisión Arbitral, lo cual lógicamente no puede prejuzgar nuestra decisión, pero es un dato que tampoco puede ignorarse.</w:t>
      </w:r>
    </w:p>
    <w:p w:rsidR="0026452D" w:rsidRDefault="0026452D" w:rsidP="0026452D">
      <w:pPr>
        <w:pStyle w:val="TextoNormal"/>
      </w:pPr>
    </w:p>
    <w:p w:rsidR="0026452D" w:rsidRDefault="0026452D" w:rsidP="0026452D">
      <w:pPr>
        <w:pStyle w:val="TextoNormal"/>
      </w:pPr>
      <w:r>
        <w:t>A instancia de la Diputación y de las Juntas Generales del Territorio Histórico de Álava, la Comisión Arbitral adoptó la Decisión de 8 de febrero de 2005 (“BOPV” de 28 de febrero de 2005), que obligó a ampliar y a precisar los aspectos de la Ley de territorios históricos (Ley 27/1983, de 25 de noviembre, de relaciones entre las instituciones comunes de la Comunidad Autónoma y los órganos forales de sus territorios históricos) que modificaba el proyecto de ley. Así se hizo en la disposición final primera de la Ley de aguas finalmente aprobada, que modifica tres apartados (relativos a los tres títulos competenciales antes mencionados: obras públicas, desarrollo agrario y policía de aguas) de la Ley de territorios históricos. En definitiva, la Ley de aguas modifica expresamente (pues así lo exige la Comisión Arbitral) la Ley de territorios históricos en todo lo que tiene que ver con la política de aguas.</w:t>
      </w:r>
    </w:p>
    <w:p w:rsidR="0026452D" w:rsidRDefault="0026452D" w:rsidP="0026452D">
      <w:pPr>
        <w:pStyle w:val="TextoNormal"/>
      </w:pPr>
    </w:p>
    <w:p w:rsidR="0026452D" w:rsidRDefault="0026452D" w:rsidP="0026452D">
      <w:pPr>
        <w:pStyle w:val="TextoNormal"/>
      </w:pPr>
      <w:r>
        <w:t>Cabe resaltar que en ningún momento las instituciones de los territorios históricos plantearon ante la Comisión Arbitral que el proyecto de ley de aguas incidiera en materia de armonización fiscal ni que habilitara al Gobierno Vasco a ejercer una función armonizadora. Aunque este Tribunal Constitucional no está vinculado ni condicionado en su labor jurisdiccional por la actividad o pasividad de las instituciones concernidas en defensa de sus competencias, la circunstancia de que una norma sobre cuya constitucionalidad debe pronunciarse este Tribunal haya sido sometida previamente al examen de la Comisión Arbitral y de que, sin embargo, ningún órgano foral —habitualmente celosos en la defensa de sus competencias tributarias— haya invocado ante ella el motivo de inconstitucionalidad que ahora estima nuestra Sentencia debería haber aconsejado cierta cautela a la hora de elaborar nuestros argumentos y extraer nuestras conclusiones y, sobre todo, antes de proclamar categóricamente el “desapoderamiento de los territorios históricos” [FJ 5 c)] como hace la Sentencia de la que discrepo en este punto.</w:t>
      </w:r>
    </w:p>
    <w:p w:rsidR="0026452D" w:rsidRDefault="0026452D" w:rsidP="0026452D">
      <w:pPr>
        <w:pStyle w:val="TextoNormal"/>
      </w:pPr>
    </w:p>
    <w:p w:rsidR="0026452D" w:rsidRDefault="0026452D" w:rsidP="0026452D">
      <w:pPr>
        <w:pStyle w:val="TextoNormal"/>
      </w:pPr>
      <w:r>
        <w:t>Madrid, a once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89" w:name="SENTENCIA_2013_86"/>
      <w:r>
        <w:lastRenderedPageBreak/>
        <w:t>SENTENCIA 86/2013, de 11 de abril de 2013</w:t>
      </w:r>
    </w:p>
    <w:bookmarkEnd w:id="89"/>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ECLI:ES:TC:2013:86</w:t>
      </w:r>
    </w:p>
    <w:p w:rsidR="0026452D" w:rsidRDefault="0026452D" w:rsidP="0026452D">
      <w:pPr>
        <w:pStyle w:val="SntesisDescriptiva"/>
      </w:pPr>
    </w:p>
    <w:p w:rsidR="0026452D" w:rsidRDefault="0026452D" w:rsidP="0026452D">
      <w:pPr>
        <w:pStyle w:val="SntesisDescriptiva"/>
      </w:pPr>
      <w:r>
        <w:t>Recurso de inconstitucionalidad 2394-2008. Interpuesto por el Defensor del Pueblo en relación con la disposición adicional undécima de la Ley de las Cortes Valencianas 15/2007, de 27 de diciembre, de presupuestos para el ejercicio 2008.</w:t>
      </w:r>
    </w:p>
    <w:p w:rsidR="0026452D" w:rsidRDefault="0026452D" w:rsidP="0026452D">
      <w:pPr>
        <w:pStyle w:val="SntesisDescriptiva"/>
      </w:pPr>
    </w:p>
    <w:p w:rsidR="0026452D" w:rsidRDefault="0026452D" w:rsidP="0026452D">
      <w:pPr>
        <w:pStyle w:val="SntesisAnaltica"/>
      </w:pPr>
      <w:r>
        <w:t>Límites materiales de las leyes de presupuestos: nulidad del precepto legal autonómico que establece los efectos del silencio administrativo en los procedimientos para el reconocimiento de la situación de dependencia y del derecho a las prestaciones del sistema valenciano para las personas dependientes (STC 7/2010).</w:t>
      </w:r>
    </w:p>
    <w:p w:rsidR="0026452D" w:rsidRDefault="0026452D" w:rsidP="0026452D">
      <w:pPr>
        <w:pStyle w:val="SntesisAnaltica"/>
      </w:pPr>
    </w:p>
    <w:p w:rsidR="0026452D" w:rsidRDefault="0026452D" w:rsidP="0026452D">
      <w:pPr>
        <w:pStyle w:val="Extracto"/>
      </w:pPr>
      <w:r>
        <w:t>1.</w:t>
      </w:r>
      <w:r>
        <w:tab/>
        <w:t>La regulación de un supuesto de silencio administrativo negativo aplicable en los procedimientos para el reconocimiento de la situación de dependencia y del derecho a las prestaciones correspondientes, no supone complemento necesario para la más eficaz ejecución del Presupuesto y de la política económica del Gobierno, por lo que se encuentra fuera del contenido constitucionalmente admisible de una ley de presupuestos (SSTC 76/1992, 9/2013) [FJ 5].</w:t>
      </w:r>
    </w:p>
    <w:p w:rsidR="0026452D" w:rsidRDefault="0026452D" w:rsidP="0026452D">
      <w:pPr>
        <w:pStyle w:val="Extracto"/>
      </w:pPr>
    </w:p>
    <w:p w:rsidR="0026452D" w:rsidRDefault="0026452D" w:rsidP="0026452D">
      <w:pPr>
        <w:pStyle w:val="Extracto"/>
      </w:pPr>
      <w:r>
        <w:t>2.</w:t>
      </w:r>
      <w:r>
        <w:tab/>
        <w:t>Las medidas de procedimiento que carecen de incidencia directa sobre el Presupuesto, al no afectar a la estimación de ingresos ni habilitar gastos o aclarar los estados cifrados, no forman parte del ‘contenido mínimo’ de las leyes de presupuestos [FJ 5].</w:t>
      </w:r>
    </w:p>
    <w:p w:rsidR="0026452D" w:rsidRDefault="0026452D" w:rsidP="0026452D">
      <w:pPr>
        <w:pStyle w:val="Extracto"/>
      </w:pPr>
    </w:p>
    <w:p w:rsidR="0026452D" w:rsidRDefault="0026452D" w:rsidP="0026452D">
      <w:pPr>
        <w:pStyle w:val="Extracto"/>
      </w:pPr>
      <w:r>
        <w:t>3.</w:t>
      </w:r>
      <w:r>
        <w:tab/>
        <w:t>El hecho de que se trate de una medida que, al menos potencialmente, puede generar algún ahorro de gasto público para la Comunidad Autónoma, no basta para entender que concurre la suficiente conexión con el Presupuesto como para que forme parte de su ‘contenido eventual’ [FJ 5].</w:t>
      </w:r>
    </w:p>
    <w:p w:rsidR="0026452D" w:rsidRDefault="0026452D" w:rsidP="0026452D">
      <w:pPr>
        <w:pStyle w:val="Extracto"/>
      </w:pPr>
    </w:p>
    <w:p w:rsidR="0026452D" w:rsidRDefault="0026452D" w:rsidP="0026452D">
      <w:pPr>
        <w:pStyle w:val="Extracto"/>
      </w:pPr>
      <w:r>
        <w:t>4.</w:t>
      </w:r>
      <w:r>
        <w:tab/>
        <w:t>La función de la norma presupuestaria exige la debida conexión ente la materia presupuestaria y el contenido de la misma, lo que justifica la aplicación, a las leyes de presupuestos de las Comunidades Autónomas de los mismos límites materiales que se derivan del art. 134 CE para las del Estado, pues ambos tipos de leyes se encuentran reservadas a un contenido y dicho contenido está reservado a ellas (SSTC 130/1999, 74/2011) [FJ 4].</w:t>
      </w:r>
    </w:p>
    <w:p w:rsidR="0026452D" w:rsidRDefault="0026452D" w:rsidP="0026452D">
      <w:pPr>
        <w:pStyle w:val="Extracto"/>
      </w:pPr>
    </w:p>
    <w:p w:rsidR="0026452D" w:rsidRDefault="0026452D" w:rsidP="0026452D">
      <w:pPr>
        <w:pStyle w:val="Extracto"/>
      </w:pPr>
      <w:r>
        <w:t>5.</w:t>
      </w:r>
      <w:r>
        <w:tab/>
        <w:t>El canon de constitucionalidad aplicable a las fuentes normativas de las Comunidades Autónomas es el que se contiene en sus respectivos Estatutos de Autonomía, en las leyes estatales que delimitan las competencias entre el Estado y las Comunidades Autónomas y en las reglas y principios constitucionales aplicables a todos los poderes públicos que conforman el Estado (SSTC 7/2010, 74/2011) [FJ 3].</w:t>
      </w:r>
    </w:p>
    <w:p w:rsidR="0026452D" w:rsidRDefault="0026452D" w:rsidP="0026452D">
      <w:pPr>
        <w:pStyle w:val="Extracto"/>
      </w:pPr>
    </w:p>
    <w:p w:rsidR="0026452D" w:rsidRDefault="0026452D" w:rsidP="0026452D">
      <w:pPr>
        <w:pStyle w:val="Extracto"/>
      </w:pPr>
      <w:r>
        <w:t>6.</w:t>
      </w:r>
      <w:r>
        <w:tab/>
        <w:t xml:space="preserve">Doctrina sobre los límites materiales y formales de las leyes de presupuestos estatales y autonómicos (SSTC 32/2000, 9/2013)  [FFJJ 3, 4]. </w:t>
      </w:r>
    </w:p>
    <w:p w:rsidR="0026452D" w:rsidRDefault="0026452D" w:rsidP="0026452D">
      <w:pPr>
        <w:pStyle w:val="Extracto"/>
      </w:pPr>
    </w:p>
    <w:p w:rsidR="0026452D" w:rsidRDefault="0026452D" w:rsidP="0026452D">
      <w:pPr>
        <w:pStyle w:val="Extracto"/>
      </w:pPr>
      <w:r>
        <w:t>7.</w:t>
      </w:r>
      <w:r>
        <w:tab/>
        <w:t>Doctrina sobre la pervivencia del objeto en los procesos de inconstitucionalidad pese a la derogación de la norma, cuando se trata de realizar un control sobre los vicios de validez que pudieran haber incidido sobre la propia aprobación de una norma, ya que en tal caso subsiste el interés constitucional de velar por el recto ejercicio de la potestad legislativa (STC 136/2011) [FJ 2].</w:t>
      </w:r>
    </w:p>
    <w:p w:rsidR="0026452D" w:rsidRDefault="0026452D" w:rsidP="0026452D">
      <w:pPr>
        <w:pStyle w:val="Extracto"/>
      </w:pPr>
    </w:p>
    <w:p w:rsidR="0026452D" w:rsidRDefault="0026452D" w:rsidP="0026452D">
      <w:pPr>
        <w:pStyle w:val="Extracto"/>
      </w:pPr>
      <w:r>
        <w:t>8.</w:t>
      </w:r>
      <w:r>
        <w:tab/>
        <w:t>Precede declarar la inconstitucionalidad y nulidad de la norma impugnada por sobrepasar los límites materiales a las leyes de presupuestos pero, en salvaguardia del principio de seguridad jurídica, nuestra declaración no deberá afectar a las situaciones jurídicas consolidadas, es decir, no sólo las decididas con fuerza de cosa juzgada, sino también las situaciones administrativas firmes (SSTC 9/2013, 27/2012) [FJ 5].</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2394-2008, promovido por don Enrique Múgica Herzog, en su condición de Defensor del Pueblo, contra la disposición adicional undécima de la Ley de las Cortes Valencianas 15/2007, de 27 de diciembre, de presupuestos para el ejercicio 2008, que se reputa contraria a los arts. 9.3 y 134 de la Constitución Española, el art. 21.1 de la Ley Orgánica 8/1980, de 22 de septiembre, de financiación de las Comunidades Autónomas, y el art. 76 del Estatuto de Autonomía para la Comunidad Valenciana. Han intervenido y formulado alegaciones las Cortes Valencianas y el Gobierno de la Generalitat Valenciana. Se ha personado sin formular alegaciones el Abogado del Estado. Ha sido Ponente el Magistrado don Fernando Valdés Dal-Ré, que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registrado en el Tribunal con fecha 27 de marzo de 2008, don Enrique Múgica Herzog, en su condición de Defensor del Pueblo, interpuso recurso de inconstitucionalidad contra la disposición adicional undécima de la Ley 15/2007, de 27 de diciembre, de la Generalitat Valenciana, de presupuestos para el ejercicio 2008 (“BOE” núm. 24, de 28 de enero de 2008), que se reputa contraria a los arts. 9.3 (seguridad jurídica) y 134 </w:t>
      </w:r>
      <w:r>
        <w:lastRenderedPageBreak/>
        <w:t>(contenido de la Ley de presupuestos), ambos de la Constitución española, al art. 21.1 de la Ley Orgánica 8/1980, de 22 de septiembre, de financiación de las Comunidades Autónomas (LOFCA) y al art. 76 del Estatuto de Autonomía para la Comunidad Valenciana (EAV), aprobado por la Ley Orgánica 5/1982, de 1 de julio, y reformado por la Ley Orgánica 1/2006, de 10 de abril.</w:t>
      </w:r>
    </w:p>
    <w:p w:rsidR="0026452D" w:rsidRDefault="0026452D" w:rsidP="0026452D">
      <w:pPr>
        <w:pStyle w:val="TextoNormal"/>
      </w:pPr>
    </w:p>
    <w:p w:rsidR="0026452D" w:rsidRDefault="0026452D" w:rsidP="0026452D">
      <w:pPr>
        <w:pStyle w:val="TextoNormal"/>
      </w:pPr>
      <w:r>
        <w:t>Comienza la demanda describiendo el objeto de la norma recurrida, que establece un supuesto nuevo de silencio administrativo en el “procedimiento para el reconocimiento de la situación de dependencia y del derecho a las prestaciones del sistema valenciano para las personas dependientes”. La norma dispone así que el vencimiento del plazo máximo, sin haberse dictado y notificado resolución expresa, determinará la desestimación de la solicitud formulada. Se trataría por tanto de una norma de carácter procedimental sin conexión con la previsión de ingresos o habilitación de los gastos anuales de la Generalitat Valenciana, o con los criterios de su política económica. Por ello, debe declararse inconstitucional, en aplicación de la doctrina general del Tribunal Constitucional sobre el contenido material de las leyes de presupuestos [por todas, STC 76/1992, de 14 de mayo, FJ 4 a), con cita de anteriores] sobre los límites de las leyes de presupuestos.</w:t>
      </w:r>
    </w:p>
    <w:p w:rsidR="0026452D" w:rsidRDefault="0026452D" w:rsidP="0026452D">
      <w:pPr>
        <w:pStyle w:val="TextoNormal"/>
      </w:pPr>
    </w:p>
    <w:p w:rsidR="0026452D" w:rsidRDefault="0026452D" w:rsidP="0026452D">
      <w:pPr>
        <w:pStyle w:val="TextoNormal"/>
      </w:pPr>
      <w:r>
        <w:t>Es cierto que, en principio, los límites a las leyes de presupuestos del Estado no son de aplicación automática a las homólogas leyes autonómicas, ya que “de los preceptos constitucionales que regulan instituciones del Estado no pueden inferirse, sin más, reglas y principios de aplicación, por vía analógica, a las instituciones autonómicas homólogas” (STC 116/1994, de 18 de abril, FJ 5, en relación con el límite del art. 134.7 CE). Ahora bien, una vez constatada la similitud tanto entre el régimen jurídico aplicable a las leyes de presupuestos de la Generalitat Valenciana y a las del Estado (arts. 76 EAV y 134 CE, en conexión con el art. 21.1 LOFCA), como entre los reglamentos parlamentarios (del Congreso de los Diputados y de las Cortes Valencianas) que, respectivamente, contienen las mismas limitaciones al debate parlamentario, puede concluirse la inconstitucionalidad del precepto impugnado, en aplicación de la doctrina contenida en la STC 274/2000, de 15 de noviembre, FJ 7, y anteriores allí citadas.</w:t>
      </w:r>
    </w:p>
    <w:p w:rsidR="0026452D" w:rsidRDefault="0026452D" w:rsidP="0026452D">
      <w:pPr>
        <w:pStyle w:val="TextoNormal"/>
      </w:pPr>
    </w:p>
    <w:p w:rsidR="0026452D" w:rsidRDefault="0026452D" w:rsidP="0026452D">
      <w:pPr>
        <w:pStyle w:val="TextoNormal"/>
      </w:pPr>
      <w:r>
        <w:t>En conexión con lo anterior, la norma se reputa además contraria al art. 9.3 CE (seguridad jurídica), ya que establece una nueva forma de terminación del procedimiento administrativo citado sin que el legislador haya puesto los medios adecuados para que los solicitantes de dicho reconocimiento puedan estar al tanto de la nueva regulación, que se encuentra así “camuflada” en una norma de contenido heterogéneo.</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17 de abril de 2008, el Pleno del Tribunal acordó admitir a trámite el recurso de inconstitucionalidad, dar traslado de la demanda y documentos presentados, conforme al art. 34 de la Ley Orgánica del Tribunal Constitucional (LOTC), al Congreso de los Diputados y al Senado, por conducto de sus Presidentes, y al Gobierno, a través del Ministro de Justicia, así como al Gobierno y a las Cortes de la Comunidad Valenciana, por conducto de sus Presidentes, al objeto de que en el plazo de quince días pudieran personarse en el proceso y formular las alegaciones que estimen convenientes, así como publicar la incoación del proceso en el “Boletín Oficial del Estado”, lo que se llevó a efecto en el de 25 de abril de 2008 (núm. 100).</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3</w:t>
      </w:r>
      <w:r>
        <w:t>. El 30 de abril de 2008 tuvo entrada en el Registro General de este Tribunal un escrito del Presidente del Senado por el que se comunicó el acuerdo adoptado por la Mesa de la Cámara de personarse en el procedimiento, ofreciendo su colaboración a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4</w:t>
      </w:r>
      <w:r>
        <w:t>. El 7 de mayo de 2008 se registró el escrito del Abogado del Estado comunicando al Tribunal que no formularía alegaciones, siendo su personación en el procedimiento a los solos efectos de que se le notifiquen las resoluciones que se dicten.</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presentado en el Registro General de este Tribunal con fecha de 8 de mayo de 2008, el Presidente del Congreso de los Diputados comunicó el acuerdo de la Mesa de la Cámara de dar por personada a la misma en el procedimiento, ofreciendo su colaboración a los efectos del art. 88.1 LOTC. Asimismo, acordó su remisión a la Dirección de estudios, análisis y publicaciones y a la asesoría jurídica de la Secretaría General.</w:t>
      </w:r>
    </w:p>
    <w:p w:rsidR="0026452D" w:rsidRDefault="0026452D" w:rsidP="0026452D">
      <w:pPr>
        <w:pStyle w:val="TextoNormal"/>
      </w:pPr>
    </w:p>
    <w:p w:rsidR="0026452D" w:rsidRDefault="0026452D" w:rsidP="0026452D">
      <w:pPr>
        <w:pStyle w:val="TextoNormal"/>
      </w:pPr>
      <w:r w:rsidRPr="0026452D">
        <w:rPr>
          <w:rStyle w:val="NumeroAFNegritaCaracter"/>
        </w:rPr>
        <w:t>6</w:t>
      </w:r>
      <w:r>
        <w:t>. El 13 de mayo de 2008 se registra el escrito del Letrado de la Generalitat Valenciana en el que suplica se tenga por personado al Gobierno Valenciano y prorrogado el plazo para presentar alegaciones por el máximo legal posible.</w:t>
      </w:r>
    </w:p>
    <w:p w:rsidR="0026452D" w:rsidRDefault="0026452D" w:rsidP="0026452D">
      <w:pPr>
        <w:pStyle w:val="TextoNormal"/>
      </w:pPr>
    </w:p>
    <w:p w:rsidR="0026452D" w:rsidRDefault="0026452D" w:rsidP="0026452D">
      <w:pPr>
        <w:pStyle w:val="TextoNormal"/>
      </w:pPr>
      <w:r w:rsidRPr="0026452D">
        <w:rPr>
          <w:rStyle w:val="NumeroAFNegritaCaracter"/>
        </w:rPr>
        <w:t>7</w:t>
      </w:r>
      <w:r>
        <w:t>. Mediante providencia de 14 de mayo de 2008, el Pleno del Tribunal acuerda conceder la prórroga solicitada por el Letrado de la Generalitat, estableciendo en ocho días más el plazo concedido.</w:t>
      </w:r>
    </w:p>
    <w:p w:rsidR="0026452D" w:rsidRDefault="0026452D" w:rsidP="0026452D">
      <w:pPr>
        <w:pStyle w:val="TextoNormal"/>
      </w:pPr>
    </w:p>
    <w:p w:rsidR="0026452D" w:rsidRDefault="0026452D" w:rsidP="0026452D">
      <w:pPr>
        <w:pStyle w:val="TextoNormal"/>
      </w:pPr>
      <w:r w:rsidRPr="0026452D">
        <w:rPr>
          <w:rStyle w:val="NumeroAFNegritaCaracter"/>
        </w:rPr>
        <w:t>8</w:t>
      </w:r>
      <w:r>
        <w:t>. El 16 de mayo de 2008 tiene entrada en el Registro General del Tribunal el escrito de alegaciones de las Cortes Valencianas, debidamente representadas por sus servicios jurídicos, en el que se solicita la desestimación del recurso con los argumentos que resumidamente se recogen a continuación:</w:t>
      </w:r>
    </w:p>
    <w:p w:rsidR="0026452D" w:rsidRDefault="0026452D" w:rsidP="0026452D">
      <w:pPr>
        <w:pStyle w:val="TextoNormal"/>
      </w:pPr>
    </w:p>
    <w:p w:rsidR="0026452D" w:rsidRDefault="0026452D" w:rsidP="0026452D">
      <w:pPr>
        <w:pStyle w:val="TextoNormal"/>
      </w:pPr>
      <w:r>
        <w:t>Comienza el escrito resumiendo la doctrina del Tribunal Constitucional sobre los límites materiales de las leyes de presupuestos contenidos en el art. 134 CE (con cita, entre otras, de la STC 202/2003, de 17 de noviembre). Esta doctrina, se recuerda, no es aplicable a las leyes de presupuestos de las Comunidades Autónomas de forma automática, sino que es preciso verificar si los correspondientes Estatutos de Autonomía contienen una norma similar a la del art. 134 CE (se citan en ese sentido, entre otras, las SSTC 116/1994, de 18 de abril y 174/1998, de 23 de julio), haciendo también constar que en las SSTC 3/2003, de 16 de enero y 202/2003, de 17 de noviembre, se avanzó en dicha doctrina en el sentido de considerar que, en cualquier caso, existe “una serie de reglas y principios constitucionales que son predicables de toda institución presupuestaria, estatal o autonómica” (FJ 6 de la primera).</w:t>
      </w:r>
    </w:p>
    <w:p w:rsidR="0026452D" w:rsidRDefault="0026452D" w:rsidP="0026452D">
      <w:pPr>
        <w:pStyle w:val="TextoNormal"/>
      </w:pPr>
    </w:p>
    <w:p w:rsidR="0026452D" w:rsidRDefault="0026452D" w:rsidP="0026452D">
      <w:pPr>
        <w:pStyle w:val="TextoNormal"/>
      </w:pPr>
      <w:r>
        <w:t xml:space="preserve">a) A partir de lo anterior, se examina en el escrito el Estatuto de Autonomía para la Comunidad Valenciana, cuyos artículos 22, 66.3 y 76 se refieren a la materia presupuestaria, y que no establecen expresamente que el presupuesto de la Generalitat deba ser aprobado mediante ley, lo que sucede también con el propio art. 21.1 LOFCA, en contraste con el tenor literal del citado art. 134 CE, que sin embargo sí se refiere expresamente a una “Ley” de presupuestos. A partir de ahí, se destacan en el escrito la diferencia entre aprobar leyes y </w:t>
      </w:r>
      <w:r>
        <w:lastRenderedPageBreak/>
        <w:t>aprobar presupuestos, por parte de las Cortes Valencianas, lo que se confirma con el examen de la propia tramitación parlamentaria de la reforma del Estatuto de Autonomía para la Comunidad Valenciana, en la que no prosperaron las enmiendas dirigidas a que la redacción del Estatuto fuera similar a la constitucional en lo que al presupuesto se refiere. En fin, se afirma que la única reserva de ley se establece en el art. 6 del Decreto Legislativo de 26 de julio (</w:t>
      </w:r>
      <w:r w:rsidRPr="0026452D">
        <w:rPr>
          <w:i/>
        </w:rPr>
        <w:t>sic</w:t>
      </w:r>
      <w:r>
        <w:t>, junio) de 1991, que aprueba el texto refundido de la Ley de hacienda pública de la Generalitat Valenciana. Esto permite concluir que carece de fundamento la imputación de inconstitucionalidad pues si ni siquiera los presupuestos deben ser aprobados mediante ley, aún menos cuando son así regulados pueden sujetarse a los citados límites materiales.</w:t>
      </w:r>
    </w:p>
    <w:p w:rsidR="0026452D" w:rsidRDefault="0026452D" w:rsidP="0026452D">
      <w:pPr>
        <w:pStyle w:val="TextoNormal"/>
      </w:pPr>
    </w:p>
    <w:p w:rsidR="0026452D" w:rsidRDefault="0026452D" w:rsidP="0026452D">
      <w:pPr>
        <w:pStyle w:val="TextoNormal"/>
      </w:pPr>
      <w:r>
        <w:t>Sin perjuicio de lo anterior, y para desvirtuar el principal argumento de inconstitucionalidad, consistente en la falta de conexión con la materia presupuestaria, se describe el contenido de la disposición impugnada. El precepto está vinculado con la Ley 39/2006, de 14 de diciembre, de promoción de la autonomía personal y atención a las personas en situación de dependencia, que arbitra un sistema de protección y asistencia que requiere para su implantación de una multitud de actuaciones. El procedimiento de reconocimiento de la situación de dependencia y del derecho de acceso a las prestaciones del sistema implica una serie de obligaciones para las Administración públicas, incluyendo compromisos de gasto que recaen fundamentalmente sobre las Comunidades Autónomas. Pues bien, la norma impugnada tan solo prevé un supuesto de silencio negativo, que no implica, como se afirma en la demanda, que se esté imposibilitando la desestimación inmotivada de las solicitudes, sino que tiene los solos efectos de permitir a los interesados la interposición del recurso pertinente. La norma es así similar a la adoptada por otras Comunidades Autónomas cuyas disposiciones se citan también en el escrito. Además, la norma está directamente vinculada con la ejecución del presupuesto de la Generalitat, pues establece el momento determinante del acceso de cada persona al sistema de ayudas por dependencia, lo que pone en marcha los correspondientes compromisos de gasto. Se inserta, por tanto en el denominado contenido eventual o disponible de las leyes de presupuestos, pues incide directamente sobre la política de ingresos y gastos del sector público de la Generalitat, por las mismas razones contenidas en las SSTC 65/1990, de 5 de abril; 32/2000, de 3 de febrero; 34/2005, de 17 de febrero, o 82/2005, de 6 de abril, Sentencias en las que se declaraba la constitucionalidad, por entender conexión suficiente con la materia presupuestaria, de medidas que afectaban directamente al gasto público.</w:t>
      </w:r>
    </w:p>
    <w:p w:rsidR="0026452D" w:rsidRDefault="0026452D" w:rsidP="0026452D">
      <w:pPr>
        <w:pStyle w:val="TextoNormal"/>
      </w:pPr>
    </w:p>
    <w:p w:rsidR="0026452D" w:rsidRDefault="0026452D" w:rsidP="0026452D">
      <w:pPr>
        <w:pStyle w:val="TextoNormal"/>
      </w:pPr>
      <w:r>
        <w:t>b) En cuanto a la tacha de inconstitucionalidad que se refiere al art. 9.3 CE, tampoco la disposición impugnada es contraria al principio de anualidad de la ley de presupuestos, al contener un precepto de duración indefinida, algo perfectamente posible en este tipo de normas según ha corroborado el Tribunal Constitucional (se citan, entre otras, la STC 109/2001, de 26 de abril). Además, no se ha producido una restricción ilegítima de las competencias del poder legislativo de las Cortes Valencianas pues, como se desprende del examen del propio procedimiento parlamentario desarrollado para la elaboración de la ley de presupuestos que aquí importa, no se dejaron de debatir las enmiendas presentadas. Por otro lado, las restricciones a la presentación de enmiendas al articulado son similares, de acuerdo con el reglamento de Les Corts, a las del resto de procedimientos legislativos.</w:t>
      </w:r>
    </w:p>
    <w:p w:rsidR="0026452D" w:rsidRDefault="0026452D" w:rsidP="0026452D">
      <w:pPr>
        <w:pStyle w:val="TextoNormal"/>
      </w:pPr>
    </w:p>
    <w:p w:rsidR="0026452D" w:rsidRDefault="0026452D" w:rsidP="0026452D">
      <w:pPr>
        <w:pStyle w:val="TextoNormal"/>
      </w:pPr>
      <w:r w:rsidRPr="0026452D">
        <w:rPr>
          <w:rStyle w:val="NumeroAFNegritaCaracter"/>
        </w:rPr>
        <w:t>9</w:t>
      </w:r>
      <w:r>
        <w:t>. Con fecha 4 de junio de 2008 se registró el escrito del Letrado de la Generalitat Valenciana, interesando la desestimación del recurso a partir de las siguientes consideraciones:</w:t>
      </w:r>
    </w:p>
    <w:p w:rsidR="0026452D" w:rsidRDefault="0026452D" w:rsidP="0026452D">
      <w:pPr>
        <w:pStyle w:val="TextoNormal"/>
      </w:pPr>
    </w:p>
    <w:p w:rsidR="0026452D" w:rsidRDefault="0026452D" w:rsidP="0026452D">
      <w:pPr>
        <w:pStyle w:val="TextoNormal"/>
      </w:pPr>
      <w:r>
        <w:lastRenderedPageBreak/>
        <w:t>Con carácter preliminar, se describe el contenido de la citada Ley 39/2006, de promoción de la autonomía personal y atención a las personas en situación de dependencia, haciendo hincapié en que la propia ley establece una secuencia plurianual para la efectividad de las prestaciones del sistema, lo que incide directamente sobre las obligaciones y los compromisos de gasto que han de prever las distintas Administraciones públicas. A renglón seguido, se cita extensamente la doctrina del Tribunal Constitucional acerca de los límites materiales a las leyes de presupuestos (con cita, entre otras, de las SSTC 76/1992, de 14 de mayo, y 3/2003, de 16 de enero), así como el contenido de las normas estatutarias pertinentes (arts. 22 y 76 EAV). A partir de aquí, se concluye, que la doctrina del Tribunal Constitucional permite la regulación de materias distintas al núcleo esencial, constituido por la previsión de ingresos y la habilitación de gastos, y que, de todas formas, el Estatuto de Autonomía para la Comunidad Valenciana no contiene ninguna prohibición o exclusión de materias que impida la inclusión de la disposición adicional undécima que se impugna.</w:t>
      </w:r>
    </w:p>
    <w:p w:rsidR="0026452D" w:rsidRDefault="0026452D" w:rsidP="0026452D">
      <w:pPr>
        <w:pStyle w:val="TextoNormal"/>
      </w:pPr>
    </w:p>
    <w:p w:rsidR="0026452D" w:rsidRDefault="0026452D" w:rsidP="0026452D">
      <w:pPr>
        <w:pStyle w:val="TextoNormal"/>
      </w:pPr>
      <w:r>
        <w:t>A continuación se exponen el contenido y las consecuencias de la disposición que se impugna, conectándola con las dotaciones presupuestarias que la Generalitat Valenciana ha establecido para financiar el sistema valenciano para la autonomía y atención a la dependencia. Puesto que la inclusión de las ayudas a la dependencia es un crédito de reconocimiento preceptivo para la Generalitat, si se dan las condiciones para la concesión, esto es, el reconocimiento como dependiente, surge de inmediato la obligación de dicha Administración autonómica de aportar cuantas cantidades sean necesarias para sufragar dichas prestaciones. Ahora bien, dichos créditos no pueden ser destinados a financiar ayudas para personas que no cumplan los requisitos exigidos en la normativa vigente, de forma que la norma impugnada sólo pretende garantizar que los créditos para gastos derivados de la dependencia sean incrementados únicamente cuando efectivamente haya un número de personas que cumplen los requisitos citados. En definitiva, se regula una materia que tiene relación directa con los gastos del presupuesto, y que por tanto es de necesaria inclusión en el mismo para dirigir la ejecución presupuestaria durante el ejercicio, lo que se ve refrendado por el hecho de que se trata de una materia subvencional.</w:t>
      </w:r>
    </w:p>
    <w:p w:rsidR="0026452D" w:rsidRDefault="0026452D" w:rsidP="0026452D">
      <w:pPr>
        <w:pStyle w:val="TextoNormal"/>
      </w:pPr>
    </w:p>
    <w:p w:rsidR="0026452D" w:rsidRDefault="0026452D" w:rsidP="0026452D">
      <w:pPr>
        <w:pStyle w:val="TextoNormal"/>
      </w:pPr>
      <w:r>
        <w:t>Además, siguiendo la línea argumental de las SSTC 34/2005, de 17 de febrero y 82/2005, de 6 de abril, la disposición adicional undécima de la ley impugnada contiene una norma destinada a proteger los derechos económicos de la hacienda pública de la Generalitat, teniendo un efecto claro sobre la dimensión del gasto público, pues representa una medida tendente a su reducción, de manera que está específicamente vinculada al equilibrio de las previsiones presupuestarias para los ejercicios correspondientes.</w:t>
      </w:r>
    </w:p>
    <w:p w:rsidR="0026452D" w:rsidRDefault="0026452D" w:rsidP="0026452D">
      <w:pPr>
        <w:pStyle w:val="TextoNormal"/>
      </w:pPr>
    </w:p>
    <w:p w:rsidR="0026452D" w:rsidRDefault="0026452D" w:rsidP="0026452D">
      <w:pPr>
        <w:pStyle w:val="TextoNormal"/>
      </w:pPr>
      <w:r>
        <w:t>Por último, se afirma que no se han restringido ilegítimamente las competencias del poder legislativo, ni tampoco se ha seguido un procedimiento inadecuado en vulneración del art. 9.3 CE. En primer lugar porque hubo posibilidad de debatir plenamente el contenido de dicha disposición y, en segundo, porque no es inconstitucional la inclusión de preceptos de duración indefinida en la Ley de presupuestos.</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9 de abril de 2013 se señaló para deliberación y votación del presente recurso el día 11 del mismo mes y año.</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Conforme se ha expuesto en los antecedentes de esta Sentencia, el presente recurso de inconstitucionalidad ha sido promovido por don Enrique Múgica Herzog, en su condición de Defensor del Pueblo, contra la disposición adicional undécima de la Ley de las Cortes Valencianas 15/2007, de 27 de diciembre, de presupuestos para el ejercicio 2008, que se califica como contraria a los arts. 9.3 (seguridad jurídica) y 134 (contenido de la Ley de presupuestos), de la Constitución española, al art. 21.1 de la Ley Orgánica 8/1980, de 22 de septiembre, de financiación de las Comunidades Autónomas (LOFCA) y al art. 76 del Estatuto de Autonomía para la Comunidad Valenciana (EAV), aprobado por Ley Orgánica 5/1982, de 1 de julio, y reformado por Ley Orgánica 1/2006, de 10 de abril.</w:t>
      </w:r>
    </w:p>
    <w:p w:rsidR="0026452D" w:rsidRDefault="0026452D" w:rsidP="0026452D">
      <w:pPr>
        <w:pStyle w:val="TextoNormal"/>
      </w:pPr>
    </w:p>
    <w:p w:rsidR="0026452D" w:rsidRDefault="0026452D" w:rsidP="0026452D">
      <w:pPr>
        <w:pStyle w:val="TextoNormal"/>
      </w:pPr>
      <w:r>
        <w:t>Por su parte, las Cortes y la Generalitat Valenciana, debidamente representadas, interesan la desestimación del recurso en los términos y con los argumentos que, respectivamente, constan en los antecedentes ocho y nueve.</w:t>
      </w:r>
    </w:p>
    <w:p w:rsidR="0026452D" w:rsidRDefault="0026452D" w:rsidP="0026452D">
      <w:pPr>
        <w:pStyle w:val="TextoNormal"/>
      </w:pPr>
    </w:p>
    <w:p w:rsidR="0026452D" w:rsidRDefault="0026452D" w:rsidP="0026452D">
      <w:pPr>
        <w:pStyle w:val="TextoNormal"/>
      </w:pPr>
      <w:r>
        <w:t>La disposición adicional recurrida tiene el siguiente tenor:</w:t>
      </w:r>
    </w:p>
    <w:p w:rsidR="0026452D" w:rsidRDefault="0026452D" w:rsidP="0026452D">
      <w:pPr>
        <w:pStyle w:val="TextoNormal"/>
      </w:pPr>
    </w:p>
    <w:p w:rsidR="0026452D" w:rsidRDefault="0026452D" w:rsidP="0026452D">
      <w:pPr>
        <w:pStyle w:val="TextoNormal"/>
      </w:pPr>
      <w:r>
        <w:t>“Disposición adicional once. Del régimen del silencio administrativo en los procedimientos para el reconocimiento de la situación de dependencia y del derecho a las prestaciones del sistema valenciano para las personas dependientes</w:t>
      </w:r>
    </w:p>
    <w:p w:rsidR="0026452D" w:rsidRDefault="0026452D" w:rsidP="0026452D">
      <w:pPr>
        <w:pStyle w:val="TextoNormal"/>
      </w:pPr>
    </w:p>
    <w:p w:rsidR="0026452D" w:rsidRDefault="0026452D" w:rsidP="0026452D">
      <w:pPr>
        <w:pStyle w:val="TextoNormal"/>
      </w:pPr>
      <w:r>
        <w:t>1. En los procedimientos para el reconocimiento de la situación de dependencia y del derecho a las prestaciones del sistema valenciano para las personas dependientes, el vencimiento del plazo máximo sin haberse dictado y notificado resolución expresa determinará la desestimación de la solicitud formulada por silencio administrativo.</w:t>
      </w:r>
    </w:p>
    <w:p w:rsidR="0026452D" w:rsidRDefault="0026452D" w:rsidP="0026452D">
      <w:pPr>
        <w:pStyle w:val="TextoNormal"/>
      </w:pPr>
    </w:p>
    <w:p w:rsidR="0026452D" w:rsidRDefault="0026452D" w:rsidP="0026452D">
      <w:pPr>
        <w:pStyle w:val="TextoNormal"/>
      </w:pPr>
      <w:r>
        <w:t>2. A los procedimientos para el reconocimiento de la situación de dependencia y del derecho a las prestaciones del sistema valenciano para las personas dependientes, iniciados con anterioridad a la entrada en vigor de la presente ley, no se les aplicará el régimen de silencio administrativo previsto en la misma, rigiéndose por la normativa anterior.”</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examinar el fondo, debemos determinar si pervive el objeto de este a pesar de que la norma impugnada fue derogada mediante la disposición derogatoria segunda de la Ley de las Cortes Valencianas 16/2008, de 22 de diciembre, de medidas fiscales, de gestión administrativa y financiera, y de organización de la Generalitat, cuyo art. 79 regula el régimen jurídico del silencio administrativo en términos parecidos.</w:t>
      </w:r>
    </w:p>
    <w:p w:rsidR="0026452D" w:rsidRDefault="0026452D" w:rsidP="0026452D">
      <w:pPr>
        <w:pStyle w:val="TextoNormal"/>
      </w:pPr>
    </w:p>
    <w:p w:rsidR="0026452D" w:rsidRDefault="0026452D" w:rsidP="0026452D">
      <w:pPr>
        <w:pStyle w:val="TextoNormal"/>
      </w:pPr>
      <w:r>
        <w:t xml:space="preserve">Hemos reiterado que en los procesos de inconstitucionalidad, cuya finalidad última es la depuración del ordenamiento jurídico, la derogación de la norma que se recurre puede producir la extinción del proceso (por todas, SSTC 19/2012, de 15 de febrero, FJ 2; 216/2012, de 14 de noviembre, FJ 2; y STC 9/2013, de 28 de enero, FJ 2). Ahora bien, esta regla tiene algunas excepciones. En concreto, y por lo que ahora interesa, hemos declarado que, cuando se trata de realizar un control sobre los vicios de validez que pudieran haber incidido sobre la propia aprobación de una norma, el objeto del proceso no se puede ver afectado sin más por la eventual derogación o modificación de las normas adoptadas, ya que en tal caso subsiste el interés constitucional de velar por el recto ejercicio de la potestad legislativa (STC </w:t>
      </w:r>
      <w:r>
        <w:lastRenderedPageBreak/>
        <w:t>136/2011, de 13 de septiembre, FJ 2). A partir de esta doctrina, persiste el objeto del proceso si la impugnación se basa precisamente en una posible vulneración del proceso legislativo que habría tenido lugar, en su caso, cuando a una ley de presupuestos se incorporan materias que exceden de su contenido mínimo o, incluso, eventual; esto es, cuando lo que se controvierta sea precisamente la inclusión de una norma en una ley de presupuestos, y no el concreto contenido del precepto.</w:t>
      </w:r>
    </w:p>
    <w:p w:rsidR="0026452D" w:rsidRDefault="0026452D" w:rsidP="0026452D">
      <w:pPr>
        <w:pStyle w:val="TextoNormal"/>
      </w:pPr>
    </w:p>
    <w:p w:rsidR="0026452D" w:rsidRDefault="0026452D" w:rsidP="0026452D">
      <w:pPr>
        <w:pStyle w:val="TextoNormal"/>
      </w:pPr>
      <w:r>
        <w:t>Así sucede en este proceso, que no tiene por objeto el régimen jurídico del silencio administrativo en los procedimientos de concesión de ayudas a la dependencia, sino su inclusión en una ley de presupuestos autonómica. En consecuencia, la pérdida de vigencia del precepto, tras su modificación, en nada afecta a la pervivencia del objeto del proceso, por lo que debemos enjuiciar el fondo del asunto, y pronunciarnos sobre la eventual vulneración del sistema de fuentes que se alega en la demanda.</w:t>
      </w:r>
    </w:p>
    <w:p w:rsidR="0026452D" w:rsidRDefault="0026452D" w:rsidP="0026452D">
      <w:pPr>
        <w:pStyle w:val="TextoNormal"/>
      </w:pPr>
    </w:p>
    <w:p w:rsidR="0026452D" w:rsidRDefault="0026452D" w:rsidP="0026452D">
      <w:pPr>
        <w:pStyle w:val="TextoNormal"/>
      </w:pPr>
      <w:r w:rsidRPr="0026452D">
        <w:rPr>
          <w:rStyle w:val="NumeroAFNegritaCaracter"/>
        </w:rPr>
        <w:t>3</w:t>
      </w:r>
      <w:r>
        <w:t>. Efectuadas las precisiones que anteceden, debemos examinar las infracciones constitucionales alegadas, comenzando por la principal, que imputa a la disposición impugnada contrariar a los límites materiales de las leyes de presupuestos (arts. 134 CE, 76 EAV y 21 LOFCA), siendo la segunda tacha alegada (art. 9.3 CE) una consecuencia de la anterior.</w:t>
      </w:r>
    </w:p>
    <w:p w:rsidR="0026452D" w:rsidRDefault="0026452D" w:rsidP="0026452D">
      <w:pPr>
        <w:pStyle w:val="TextoNormal"/>
      </w:pPr>
    </w:p>
    <w:p w:rsidR="0026452D" w:rsidRDefault="0026452D" w:rsidP="0026452D">
      <w:pPr>
        <w:pStyle w:val="TextoNormal"/>
      </w:pPr>
      <w:r>
        <w:t>Existe una doctrina consolidada sobre dichos límites materiales, así como su aplicación a las homónimas leyes presupuestarias autonómicas, doctrina que es además conocida por las partes en este proceso, según se ha hecho constar en los antecedentes, lo que permite que nos limitemos a dar resumida cuenta de la misma, y únicamente en lo que a este pleito atañe.</w:t>
      </w:r>
    </w:p>
    <w:p w:rsidR="0026452D" w:rsidRDefault="0026452D" w:rsidP="0026452D">
      <w:pPr>
        <w:pStyle w:val="TextoNormal"/>
      </w:pPr>
    </w:p>
    <w:p w:rsidR="0026452D" w:rsidRDefault="0026452D" w:rsidP="0026452D">
      <w:pPr>
        <w:pStyle w:val="TextoNormal"/>
      </w:pPr>
      <w:r>
        <w:t>En general sobre los límites al contenido de la ley de presupuestos, recientemente recordamos que la Constitución establece una reserva de un contenido de ley de presupuestos, lo que significa que la norma debe ceñirse a ese contenido y también que ese contenido se encuentra reservado a ella (STC 9/2013, de 28 de enero, FJ 3, con cita de otras muchas). Esta limitación de contenido es “una exigencia del principio de seguridad jurídica constitucionalmente garantizado (art. 9.3 CE) esto es, de la certeza del Derecho que exige que una Ley de contenido constitucionalmente definido, como es la Ley de Presupuestos Generales del Estado, no contenga más disposiciones que las que guardan correspondencia con su función constitucional (arts. 66.2 y 134.2 CE), debido a la incertidumbre que una regulación de este tipo indudablemente origina” (por todas, STC 32/2000, de 3 de febrero, FJ 5). Es la propia función constitucional de la norma, con las consecuentes restricciones al debate parlamentario, la que fundamenta la limitación del contenido de estas leyes, que se justifica en que representan un papel central en un Estado democrático de Derecho, porque permiten a sus ciudadanos tener una visión de conjunto del plan económico del Gobierno, de ahí la exigencia de que en ellas se incluyan “la totalidad de los gastos e ingresos del sector público estatal”, como dispone el art. 134.2 CE (por todas, SSTC 3/2003, de 16 de enero, FJ 4 y 9/2013, FJ 3).</w:t>
      </w:r>
    </w:p>
    <w:p w:rsidR="0026452D" w:rsidRDefault="0026452D" w:rsidP="0026452D">
      <w:pPr>
        <w:pStyle w:val="TextoNormal"/>
      </w:pPr>
    </w:p>
    <w:p w:rsidR="0026452D" w:rsidRDefault="0026452D" w:rsidP="0026452D">
      <w:pPr>
        <w:pStyle w:val="TextoNormal"/>
      </w:pPr>
      <w:r>
        <w:t>A partir de ahí, hemos reiterado que las leyes de presupuestos tienen un contenido mínimo, indisponible, y otro eventual, por conexión, que se refiere a todas aquellas disposiciones que guarden relación directa con las previsiones de ingreso y las habilitaciones de gasto de los presupuestos o con los criterios de política económica general o, en fin, que sean un complemento necesario para la mejor inteligencia y más eficaz ejecución del pre</w:t>
      </w:r>
      <w:r>
        <w:lastRenderedPageBreak/>
        <w:t>supuesto. Por eso, quedan en principio excluidas de estas leyes las normas típicas del Derecho codificado u otras previsiones de carácter general en las que no concurra dicha vinculación (entre otras, SSTC 74/2011, de 19 de mayo, FJ 3; 9/2013, FJ 3; y 248/2007, de 13 de diciembre, FJ 4).</w:t>
      </w:r>
    </w:p>
    <w:p w:rsidR="0026452D" w:rsidRDefault="0026452D" w:rsidP="0026452D">
      <w:pPr>
        <w:pStyle w:val="TextoNormal"/>
      </w:pPr>
    </w:p>
    <w:p w:rsidR="0026452D" w:rsidRDefault="0026452D" w:rsidP="0026452D">
      <w:pPr>
        <w:pStyle w:val="TextoNormal"/>
      </w:pPr>
      <w:r>
        <w:t>Esta doctrina no es aplicable sin más a las leyes presupuestarias de las Comunidades Autónomas, pues, como también hemos reiterado, las normas contenidas en el art. 134 CE se refieren a una institución estatal, en concreto de una fuente normativa del Estado como es su ley anual de presupuestos generales (STC 7/2010, de 27 de abril, FJ 3, con cita de anteriores). Por eso, con carácter general, “el canon de constitucionalidad aplicable a las fuentes normativas de las Comunidades Autónomas es el que se contiene en sus respectivos Estatutos de Autonomía, en las leyes estatales que, dentro del marco constitucional, se hubieran dictado para delimitar las competencias entre el Estado y las Comunidades Autónomas y, por supuesto, en las reglas y principios constitucionales aplicables a todos los poderes públicos que conforman el Estado en sentido amplio y, evidentemente, en las reglas y principios constitucionales específicamente dirigidos a las Comunidades Autónomas” (STC 74/2011, de 19 de mayo, FJ 3).</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A partir de la anterior doctrina, procede por tanto examinar la propia regulación estatutaria que, comenzando por la función del Parlamento, establece en su art. 22 a) que corresponde a las Cortes Valencianas “[a]probar los presupuestos de la Generalitat y las emisiones de Deuda Pública”. En cuanto al contenido de la Ley de presupuestos, el art. 76 EAV regula la institución presupuestaria en términos también similares, comenzando por la propia iniciativa, que al igual que dispone el art. 134.1 CE para el Estado, es exclusiva del Ejecutivo (“[c]orresponde al Consell la elaboración del Presupuesto de la Generalitat, que debe ser sometido a Les Corts para su aprobación”; art. 76.1), lo que conlleva a su vez una limitación de las enmiendas en función de su impacto cuantitativo similar a la contenida en el art. 134.6 CE (“Toda proposición o enmienda que suponga un aumento de los créditos o disminución de los ingresos presupuestarios requerirá la conformidad del Consell para su tramitación”; art. 76.1). Además, se dispone en el art. 76.2 que “[e]l presupuesto de la Generalitat será único y se elaborará con criterios homogéneos con los del Estado” y “tiene carácter anual”, debiendo incluir “la totalidad de los ingresos y gastos de los organismos y, en su caso, los beneficios fiscales que afecten a los tributos propios establecidos por Les Corts” (76.3), al igual que dispone el art. 134.2 CE para los presupuestos estatales. En fin, el presupuesto podrá ser prorrogado si no fuera aprobado el primer día del ejercicio (art. 76.4), al igual que sucede con los estatales (art. 134.4 CE). La definición del contenido de la ley de presupuestos de la Comunidad Autónoma es coincidente con la recogida en el art. 21.1 LOFCA, a tenor del cual los presupuestos de las Comunidades Autónomas “incluirán la totalidad de los gastos e ingresos de los Organismos y Entidades integrantes de la misma y en ellos se consignará el importe de los beneficios fiscales que afecten a tributos atribuidos a las referidas Comunidades”. Por su parte, las especialidades del proceso legislativo son también evidentes tras la lectura de los arts. 130 a 132 del reglamento de Les Corts Valencianes, aprobado por el Pleno de Les Corts el 18 de diciembre de 2006, ubicados en el título V (“Del Procedimiento legislativo”), capítulo III (“De las especialidades en el procedimiento legislativo”), sección segunda (“Del proyecto de ley de presupuestos de la Generalitat”). Por último, la identidad de función y estructura del presupuesto autonómico y estatal se ve también confirmada por el Decreto Legislativo del Consell de la Generalitat Valenciana de 26 junio de 1991, por el que se aprueba el texto refundido de la Ley de hacienda </w:t>
      </w:r>
      <w:r>
        <w:lastRenderedPageBreak/>
        <w:t>pública de la Generalitat Valenciana, norma que dedica sus arts. 20 a 48 a las fases de elaboración, aprobación y ejecución del presupuesto, definiendo el presupuesto de la Generalitat Valenciana como “la expresión cifrada, conjunta y sistemática de las obligaciones que, como máximo, pueden contraer la Generalitat Valenciana y las entidades autónomas, y de los derechos que se prevén liquidar durante el correspondiente ejercicio” (art. 20.1), debiendo éste contener “la totalidad de los gastos e ingresos de la Generalitat Valenciana, así como de las entidades autónomas y empresas públicas” (art. 22.1).</w:t>
      </w:r>
    </w:p>
    <w:p w:rsidR="0026452D" w:rsidRDefault="0026452D" w:rsidP="0026452D">
      <w:pPr>
        <w:pStyle w:val="TextoNormal"/>
      </w:pPr>
    </w:p>
    <w:p w:rsidR="0026452D" w:rsidRDefault="0026452D" w:rsidP="0026452D">
      <w:pPr>
        <w:pStyle w:val="TextoNormal"/>
      </w:pPr>
      <w:r>
        <w:t>La norma estatutaria refleja que el presupuesto autonómico cumple la misma función que el del Estado, como también constatamos, en relación con la misma Comunidad Autónoma, en la citada STC 7/2010 (FJ 4), alcanzando así la misma conclusión que con respecto de otras leyes presupuestarias autonómicas (Aragón en la STC 174/1998, de 23 de julio; Cantabria en la STC 130/1999, de 1 de julio; La Rioja en la STC 180/2000, de 29 de junio; Canarias en la STC 274/2000, de 15 de noviembre; o Castilla-La Mancha en la STC 74/2011, de 19 de mayo). Así, y en la medida en que, como se viene de constatar, las leyes de presupuestos de la Comunidad Autónoma Valenciana cumplen la misma función, quedan sometidas a los mismos límites materiales y temporales que las del Estado, límites que están relacionados, precisamente, con la propia función o razón de ser del presupuesto como institución en un Estado democrático. Por eso, la limitación al contenido posible de este tipo de normas es también una garantía para el poder legislativo, que podrá centrar su función de aprobación y control en el objeto de la norma, que no es otro que el presupuesto en sí mismo. De ahí que la doctrina constitucional sobre los límites materiales de las leyes de presupuestos no sea sino la plasmación de “una serie de principios que ... son consustanciales a la institución presupuestaria y al sistema parlamentario (arts. 66 y 152.1, ambos de la Constitución), coincidentes por lo demás con los de las democracias con las que ha entroncado nuestro país” (STC 3/2003, FJ 6), de lo que se deduce “la existencia de un principio general de que el contenido de la ley de presupuestos autonómica se adecue a la función institucional que le es propia, sin que puedan incluirse en ella normas que no guarden relación directa con el programa de ingresos y gastos o con los criterios de política económica en que se sustentan, o que no sean un complemento necesario para la mayor inteligencia y para la mejor y más eficaz ejecución del presupuesto” (STC 7/2010, FJ 5, con cita de las SSTC 174/1998, de 23 de julio, FJ 6; 130/1999, de 1 de julio, FJ 5; y 202/2003, de 17 de noviembre, FJ 10). Es, en definitiva, la propia función de la norma presupuestaria, tal y como se define en el Estatuto de Autonomía para la Comunidad Valenciana, la que exige la debida conexión ente la materia presupuestaria y el contenido de la misma, lo que justifica la aplicación, a las leyes de presupuestos de la Generalitat Valenciana, de los mismos límites materiales que, de acuerdo con nuestra doctrina, se derivan del art. 134 CE para las del Estado, pues ambos tipos de leyes se encuentran reservadas a un contenido, y dicho contenido está reservado a ellas.</w:t>
      </w:r>
    </w:p>
    <w:p w:rsidR="0026452D" w:rsidRDefault="0026452D" w:rsidP="0026452D">
      <w:pPr>
        <w:pStyle w:val="TextoNormal"/>
      </w:pPr>
    </w:p>
    <w:p w:rsidR="0026452D" w:rsidRDefault="0026452D" w:rsidP="0026452D">
      <w:pPr>
        <w:pStyle w:val="TextoNormal"/>
      </w:pPr>
      <w:r w:rsidRPr="0026452D">
        <w:rPr>
          <w:rStyle w:val="NumeroAFNegritaCaracter"/>
        </w:rPr>
        <w:t>5</w:t>
      </w:r>
      <w:r>
        <w:t>. A partir de lo anterior, procede examinar ahora la disposición adicional undécima de la ley impugnada. Como ha quedado expuesto en el fundamento primero, la norma regula un supuesto de silencio administrativo negativo, aplicable en los procedimientos para el reconocimiento de la situación de dependencia y del derecho a las prestaciones del sistema valenciano para las personas dependientes, disponiendo que el vencimiento del plazo máximo, sin haberse dictado y notificado resolución expresa, determinará la desestimación de la solicitud formulada.</w:t>
      </w:r>
    </w:p>
    <w:p w:rsidR="0026452D" w:rsidRDefault="0026452D" w:rsidP="0026452D">
      <w:pPr>
        <w:pStyle w:val="TextoNormal"/>
      </w:pPr>
    </w:p>
    <w:p w:rsidR="0026452D" w:rsidRDefault="0026452D" w:rsidP="0026452D">
      <w:pPr>
        <w:pStyle w:val="TextoNormal"/>
      </w:pPr>
      <w:r>
        <w:lastRenderedPageBreak/>
        <w:t>Se trata de una medida de procedimiento, que carece de incidencia directa sobre el presupuesto, ya que no afecta a la estimación de ingresos, ni habilita gastos o aclara los estados cifrados. No forma así parte del contenido mínimo de estas leyes. La constitucionalidad de la norma impugnada depende, en consecuencia, de si ésta encuentra acomodo en el citado contenido “eventual” del presupuesto, en los términos ya expuestos.</w:t>
      </w:r>
    </w:p>
    <w:p w:rsidR="0026452D" w:rsidRDefault="0026452D" w:rsidP="0026452D">
      <w:pPr>
        <w:pStyle w:val="TextoNormal"/>
      </w:pPr>
    </w:p>
    <w:p w:rsidR="0026452D" w:rsidRDefault="0026452D" w:rsidP="0026452D">
      <w:pPr>
        <w:pStyle w:val="TextoNormal"/>
      </w:pPr>
      <w:r>
        <w:t>La respuesta es negativa. De acuerdo con nuestra reiterada doctrina, para que una materia no estrictamente presupuestaria pueda ser regulada en este tipo de normas, se requiere como condición previa que guarde la debida conexión con el presupuesto, formando así parte de dicho contenido eventual (STC 74/2011, FJ 3). Esta condición no se cumple en el caso de la disposición adicional undécima de la norma recurrida. Las alegaciones de las Cortes y de la Generalitat Valencianas sostienen que la medida allí contenida puede tener un impacto sobre el gasto público ya que, tratándose de un sistema de prestación social, el procedimiento para su concesión o, para ser más exactos, para su denegación por silencio administrativo, puede arrojar esta consecuencia de ahorro. Sin perjuicio de que resulta discutible tal resultado, pues el eventual ahorro se produciría únicamente cuando la denegación fuera firme, no bastando para ello su desestimación inicial, el argumento es irrelevante a los efectos de este proceso. Como ya hemos reiterado en ocasiones anteriores, son muchas las medidas normativas susceptibles de tener alguna incidencia en los ingresos o los gastos públicos, de manera que si esto fuera suficiente, “los límites materiales que afectan a las leyes de presupuestos quedarían desnaturalizados; se diluirían hasta devenir prácticamente inoperantes” (por todas STC 9/2013, FJ 4). Dicho de otro modo, el hecho de que se trate de una medida que, al menos potencialmente puede generar algún ahorro de gasto público para la Comunidad Autónoma, no basta para entender que concurre la suficiente conexión.</w:t>
      </w:r>
    </w:p>
    <w:p w:rsidR="0026452D" w:rsidRDefault="0026452D" w:rsidP="0026452D">
      <w:pPr>
        <w:pStyle w:val="TextoNormal"/>
      </w:pPr>
    </w:p>
    <w:p w:rsidR="0026452D" w:rsidRDefault="0026452D" w:rsidP="0026452D">
      <w:pPr>
        <w:pStyle w:val="TextoNormal"/>
      </w:pPr>
      <w:r>
        <w:t>No desvirtúa lo anterior la alegación de que la norma impugnada pretende proteger los derechos económicos de la hacienda pública de la Generalitat, teniendo un efecto claro sobre la dimensión del gasto público, pues representaría una medida tendente a su reducción. En ese sentido, debe además precisarse que las SSTC 34/2005, de 17 de febrero y 82/2005, de 6 de abril que se citan en apoyo de esta tesis, abordaban sendas cuestiones de inconstitucionalidad, relativas a una norma contenida en la Ley 46/1985, de 27 de diciembre, de presupuestos generales del Estado para 1986, que sin embargo sí constatamos que tenía vinculación directa con los ingresos públicos, en concreto con los tributarios. Y tampoco, por último, enerva nuestra conclusión el argumento, reiterado igualmente en ambos escritos de alegaciones, de que el sistema de dependencia genera una serie de obligaciones para las Administración públicas, incluyendo compromisos de gasto que recaen fundamentalmente sobre las Comunidades Autónomas, pues ello es tanto como pretender que una posible insuficiencia de recursos, en este caso de los disponibles para atender la dependencia, podría justificar, sin más, el incumplimiento de los límites constitucionales y estatutarios en relación con las leyes de presupuestos.</w:t>
      </w:r>
    </w:p>
    <w:p w:rsidR="0026452D" w:rsidRDefault="0026452D" w:rsidP="0026452D">
      <w:pPr>
        <w:pStyle w:val="TextoNormal"/>
      </w:pPr>
    </w:p>
    <w:p w:rsidR="0026452D" w:rsidRDefault="0026452D" w:rsidP="0026452D">
      <w:pPr>
        <w:pStyle w:val="TextoNormal"/>
      </w:pPr>
      <w:r>
        <w:t xml:space="preserve">En conclusión, no nos encontramos ante una norma que suponga “un complemento necesario para la mayor inteligencia y para la mejor y más eficaz ejecución del Presupuesto y, en general, de la política económica del Gobierno” [SSTC 76/1992, FJ 4 a) y 9/2013, FJ 4] por lo que debemos concluir que la disposición adicional undécima de la Ley de las Cortes Valencianas 15/2007, de 27 de diciembre, de presupuestos para el ejercicio 2008, se encuentra fuera del contenido constitucionalmente admisible de una ley de presupuestos autonómica, lo que determina su inconstitucionalidad y nulidad en aplicación de nuestra doctrina </w:t>
      </w:r>
      <w:r>
        <w:lastRenderedPageBreak/>
        <w:t>sobre los límites materiales a las leyes de presupuestos. Ahora bien, en salvaguarda del principio de seguridad jurídica, nuestra declaración de inconstitucionalidad y nulidad no deberá afectar a las situaciones jurídicas consolidadas, es decir, no sólo las decididas con fuerza de cosa juzgada, sino también las situaciones administrativas firmes, según hemos decidido en casos similares (por todas, SSTC 9/2013, FJ 4; y 27/2012, de 1 de marzo, FJ 10, con cita de anteriores).</w:t>
      </w:r>
    </w:p>
    <w:p w:rsidR="0026452D" w:rsidRDefault="0026452D" w:rsidP="0026452D">
      <w:pPr>
        <w:pStyle w:val="TextoNormal"/>
      </w:pPr>
    </w:p>
    <w:p w:rsidR="0026452D" w:rsidRDefault="0026452D" w:rsidP="0026452D">
      <w:pPr>
        <w:pStyle w:val="TextoNormal"/>
      </w:pPr>
      <w:r w:rsidRPr="0026452D">
        <w:rPr>
          <w:rStyle w:val="NumeroAFNegritaCaracter"/>
        </w:rPr>
        <w:t>6</w:t>
      </w:r>
      <w:r>
        <w:t>. Apreciada la inconstitucionalidad de la disposición adicional impugnada por el motivo antes enjuiciado, no resulta necesario dar una respuesta al otro vicio de inconstitucionalidad alegado, el relativo a la vulneración del art. 9.3 CE.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el presente recurso de inconstitucionalidad y, en consecuencia, declarar la inconstitucionalidad y nulidad de la disposición adicional undécima de la Ley de las Cortes Valencianas 15/2007, de 27 de diciembre, de presupuestos para el ejercicio 2008, con los efectos establecidos en el fundamento jurídico 5.</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90" w:name="SENTENCIA_2013_87"/>
      <w:r>
        <w:lastRenderedPageBreak/>
        <w:t>SENTENCIA 87/2013, de 11 de abril de 2013</w:t>
      </w:r>
    </w:p>
    <w:bookmarkEnd w:id="90"/>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ECLI:ES:TC:2013:87</w:t>
      </w:r>
    </w:p>
    <w:p w:rsidR="0026452D" w:rsidRDefault="0026452D" w:rsidP="0026452D">
      <w:pPr>
        <w:pStyle w:val="SntesisDescriptiva"/>
      </w:pPr>
    </w:p>
    <w:p w:rsidR="0026452D" w:rsidRDefault="0026452D" w:rsidP="0026452D">
      <w:pPr>
        <w:pStyle w:val="SntesisDescriptiva"/>
      </w:pPr>
      <w:r>
        <w:t>Recurso de inconstitucionalidad 6868-2008. Interpuesto por el Gobierno de Canarias en relación con el artículo 36.1 de la Ley 42/2007, de 13 de diciembre, del patrimonio natural y de la biodiversidad.</w:t>
      </w:r>
    </w:p>
    <w:p w:rsidR="0026452D" w:rsidRDefault="0026452D" w:rsidP="0026452D">
      <w:pPr>
        <w:pStyle w:val="SntesisDescriptiva"/>
      </w:pPr>
    </w:p>
    <w:p w:rsidR="0026452D" w:rsidRDefault="0026452D" w:rsidP="0026452D">
      <w:pPr>
        <w:pStyle w:val="SntesisAnaltica"/>
      </w:pPr>
      <w:r>
        <w:t>Competencias sobre medio ambiente y espacios naturales: constitucionalidad del precepto legal relativo a la declaración y gestión de espacios naturales protegidos marinos (SSTC 38/2002 y 8/2013).</w:t>
      </w:r>
    </w:p>
    <w:p w:rsidR="0026452D" w:rsidRDefault="0026452D" w:rsidP="0026452D">
      <w:pPr>
        <w:pStyle w:val="SntesisAnaltica"/>
      </w:pPr>
    </w:p>
    <w:p w:rsidR="0026452D" w:rsidRDefault="0026452D" w:rsidP="0026452D">
      <w:pPr>
        <w:pStyle w:val="Extracto"/>
      </w:pPr>
      <w:r>
        <w:t>1.</w:t>
      </w:r>
      <w:r>
        <w:tab/>
        <w:t>Aunque el mar territorial no forme parte del territorio de las Comunidades Autónomas y la competencia de protección de espacios naturales no lleva implícita, con carácter general, su proyección sobre el mar territorial, son razones de protección ecológica, desde una perspectiva medioambiental, las que pueden determinar, a la luz de las características y circunstancias singulares de cada espacio natural, la necesidad de que los espacios naturales que cuentan con una zona terrestre y marina requieran un régimen de protección común o unitario  [FJ 6].</w:t>
      </w:r>
    </w:p>
    <w:p w:rsidR="0026452D" w:rsidRDefault="0026452D" w:rsidP="0026452D">
      <w:pPr>
        <w:pStyle w:val="Extracto"/>
      </w:pPr>
    </w:p>
    <w:p w:rsidR="0026452D" w:rsidRDefault="0026452D" w:rsidP="0026452D">
      <w:pPr>
        <w:pStyle w:val="Extracto"/>
      </w:pPr>
      <w:r>
        <w:t>2.</w:t>
      </w:r>
      <w:r>
        <w:tab/>
        <w:t>El artículo impugnado no restringe la competencia autonómica a los supuestos en los que la zona marina y la zona terrestre están conectados, sino que establece una regla más abierta –la de la ‘continuidad ecológica’– que permite incluir supuestos en los que las características y circunstancias singulares demandan una gestión unitaria por la Comunidad Autónoma, como ocurre en los casos de interrelación o identidad de su flora y fauna, lo que no vulnera la doctrina establecida en la STC 38/2002 [FJ 6].</w:t>
      </w:r>
    </w:p>
    <w:p w:rsidR="0026452D" w:rsidRDefault="0026452D" w:rsidP="0026452D">
      <w:pPr>
        <w:pStyle w:val="Extracto"/>
      </w:pPr>
    </w:p>
    <w:p w:rsidR="0026452D" w:rsidRDefault="0026452D" w:rsidP="0026452D">
      <w:pPr>
        <w:pStyle w:val="Extracto"/>
      </w:pPr>
      <w:r>
        <w:t>3.</w:t>
      </w:r>
      <w:r>
        <w:tab/>
        <w:t>Reitera la doctrina sobre el orden constitucional de competencias en materia de espacios naturales protegidos ubicados en el mar territorial, de la STC 38/2002 [FJ 6].</w:t>
      </w:r>
    </w:p>
    <w:p w:rsidR="0026452D" w:rsidRDefault="0026452D" w:rsidP="0026452D">
      <w:pPr>
        <w:pStyle w:val="Extracto"/>
      </w:pPr>
    </w:p>
    <w:p w:rsidR="0026452D" w:rsidRDefault="0026452D" w:rsidP="0026452D">
      <w:pPr>
        <w:pStyle w:val="Extracto"/>
      </w:pPr>
      <w:r>
        <w:t>4.</w:t>
      </w:r>
      <w:r>
        <w:tab/>
        <w:t>De acuerdo con el art. 2 EACan, el territorio de la Comunidad Autónoma, límite natural de las competencias autonómicas, está integrado por los territorios insulares a los que expresamente se refiere el art. 143 CE, esto es, las siete islas que en él se relacionan y se extiende a la zona marítimo-terrestre que forma parte del mismo, no incluyendo por tanto el mar territorial adyacente (SSTC 38/2002, 8/2013) [FJ 5].</w:t>
      </w:r>
    </w:p>
    <w:p w:rsidR="0026452D" w:rsidRDefault="0026452D" w:rsidP="0026452D">
      <w:pPr>
        <w:pStyle w:val="Extracto"/>
      </w:pPr>
    </w:p>
    <w:p w:rsidR="0026452D" w:rsidRDefault="0026452D" w:rsidP="0026452D">
      <w:pPr>
        <w:pStyle w:val="Extracto"/>
      </w:pPr>
      <w:r>
        <w:t>5.</w:t>
      </w:r>
      <w:r>
        <w:tab/>
        <w:t>Doctrina sobre la no inclusión del mar territorial en el territorio de las Comunidades Autónomas (SSTC 149/1991, 8/2013) [FJ 5].</w:t>
      </w:r>
    </w:p>
    <w:p w:rsidR="0026452D" w:rsidRDefault="0026452D" w:rsidP="0026452D">
      <w:pPr>
        <w:pStyle w:val="Extracto"/>
      </w:pPr>
    </w:p>
    <w:p w:rsidR="0026452D" w:rsidRDefault="0026452D" w:rsidP="0026452D">
      <w:pPr>
        <w:pStyle w:val="Extracto"/>
      </w:pPr>
      <w:r>
        <w:t>6.</w:t>
      </w:r>
      <w:r>
        <w:tab/>
        <w:t xml:space="preserve">Una ley ordinaria del Estado no tiene capacidad para modificar la regulación de un Estatuto de Autonomía, ni tampoco para definir el territorio de una Comunidad Autónoma o determinar el alcance de sus competencias, funciones éstas que </w:t>
      </w:r>
      <w:r>
        <w:lastRenderedPageBreak/>
        <w:t>nuestra Constitución atribuye a los Estatutos de Autonomía, así como tampoco puede establecer cuál ha de ser la interpretación de un precepto de un Estatuto de Autonomía, pues la determinación de esa interpretación corresponde a los Jueces y Tribunales y, en último término, al Tribunal Constitucional como intérprete supremo del bloque de constitucionalidad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doña Adela Asúa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6868-2008 interpuesto por la Letrada del Gobierno de Canarias, en representación y defensa de la misma, contra el art. 36.1 de la Ley 42/2007, de 13 de diciembre, del patrimonio natural y de la biodiversidad. Ha formulado alegaciones el Abogado del Estado. Ha sido Ponente el Magistrado don Francisco Pérez de los Cobos Orihuel,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Constitucional el día 15 de septiembre de 2008, la Letrada de la Comunidad de Canarias, en nombre del Gobierno de Canarias, interpuso recurso de inconstitucionalidad contra el art. 36.1 de la Ley 42/2007, de 13 de septiembre, del patrimonio natural y de la biodiversidad.</w:t>
      </w:r>
    </w:p>
    <w:p w:rsidR="0026452D" w:rsidRDefault="0026452D" w:rsidP="0026452D">
      <w:pPr>
        <w:pStyle w:val="TextoNormal"/>
      </w:pPr>
    </w:p>
    <w:p w:rsidR="0026452D" w:rsidRDefault="0026452D" w:rsidP="0026452D">
      <w:pPr>
        <w:pStyle w:val="TextoNormal"/>
      </w:pPr>
      <w:r>
        <w:t>Los motivos del recurso de inconstitucionalidad son los que, sucintamente, se recogen a continuación:</w:t>
      </w:r>
    </w:p>
    <w:p w:rsidR="0026452D" w:rsidRDefault="0026452D" w:rsidP="0026452D">
      <w:pPr>
        <w:pStyle w:val="TextoNormal"/>
      </w:pPr>
    </w:p>
    <w:p w:rsidR="0026452D" w:rsidRDefault="0026452D" w:rsidP="0026452D">
      <w:pPr>
        <w:pStyle w:val="TextoNormal"/>
      </w:pPr>
      <w:r>
        <w:t>a) Con carácter previo, en la demanda se expone que el 11 de marzo de 2008, la Comisión Bilateral de Cooperación Administración General del Estado-Comunidad Autónoma de Canarias acordó iniciar negociaciones para resolver las discrepancias manifestadas sobre los arts. 24.2, 25 a) y 36.1 de la Ley 42/2007, a los efectos previstos en el art. 33.2 de la Ley Orgánica del Tribunal Constitucional (LOTC), y que ese acuerdo fue comunicado al Tribunal Constitucional el día 14 de marzo. Las negociaciones permitieron un acercamiento de la posición de las dos Administraciones en relación con el alcance de los arts. 24.2 y 24 a) de la Ley, sin que ocurriera lo mismo respecto al art. 36.1. Al subsistir, en este punto, la discrepancia, se interpone el presente recurso de inconstitucionalidad.</w:t>
      </w:r>
    </w:p>
    <w:p w:rsidR="0026452D" w:rsidRDefault="0026452D" w:rsidP="0026452D">
      <w:pPr>
        <w:pStyle w:val="TextoNormal"/>
      </w:pPr>
    </w:p>
    <w:p w:rsidR="0026452D" w:rsidRDefault="0026452D" w:rsidP="0026452D">
      <w:pPr>
        <w:pStyle w:val="TextoNormal"/>
      </w:pPr>
      <w:r>
        <w:lastRenderedPageBreak/>
        <w:t>b) Tras esta exposición de los antecedentes, la demanda se adentra ya en la exposición del fundamento único en el que se apoya recordando, en primer término, que conforme al art. 36.1 de la Ley 42/2007 “corresponde a las Comunidades Autónomas la declaración y la determinación de la fórmula de gestión de los espacios naturales protegidos en su ámbito territorial y en las aguas marinas cuando, para estas últimas, en cada caso, exista continuidad ecológica del ecosistema marino con el espacio natural terrestre objeto de protección, avalada por la mejor evidencia científica existente”.</w:t>
      </w:r>
    </w:p>
    <w:p w:rsidR="0026452D" w:rsidRDefault="0026452D" w:rsidP="0026452D">
      <w:pPr>
        <w:pStyle w:val="TextoNormal"/>
      </w:pPr>
    </w:p>
    <w:p w:rsidR="0026452D" w:rsidRDefault="0026452D" w:rsidP="0026452D">
      <w:pPr>
        <w:pStyle w:val="TextoNormal"/>
      </w:pPr>
      <w:r>
        <w:t xml:space="preserve">La Letrada del Gobierno de Canarias sostiene que “la declaración y la determinación de la forma de gestión de los espacios naturales protegidos ubicados en su territorio es una actividad de ejecución que se encuadra en la competencia exclusiva en materia de Espacios Naturales Protegidos que ostenta la Comunidad Autónoma de Canarias </w:t>
      </w:r>
      <w:r w:rsidRPr="0026452D">
        <w:rPr>
          <w:i/>
        </w:rPr>
        <w:t>ex</w:t>
      </w:r>
      <w:r>
        <w:t xml:space="preserve"> art. 30.16 de su Estatuto de Autonomía”, y que, en consecuencia, “la limitación del alcance de la competencia autonómica sobre los espacios naturales protegidos marinos que establece el artículo 36.1 restringiéndola a los casos en que exista continuidad ecológica entre el ecosistema marino y el espacio natural terrestre, no respeta la distribución constitucional de competencias, vulnerando las competencias exclusivas de la Comunidad Autónoma de Canarias en materia de espacios naturales protegidos”. Y ello porque, dirá, ni la declaración ni la determinación de la forma de gestión de un espacio natural protegido puede considerarse comprendida en las “bases sobre la protección del medio ambiente”, debiendo entenderse encuadrada en la competencia exclusiva de las Comunidades Autónomas en materia de espacios naturales protegidos.</w:t>
      </w:r>
    </w:p>
    <w:p w:rsidR="0026452D" w:rsidRDefault="0026452D" w:rsidP="0026452D">
      <w:pPr>
        <w:pStyle w:val="TextoNormal"/>
      </w:pPr>
    </w:p>
    <w:p w:rsidR="0026452D" w:rsidRDefault="0026452D" w:rsidP="0026452D">
      <w:pPr>
        <w:pStyle w:val="TextoNormal"/>
      </w:pPr>
      <w:r>
        <w:t>c) Para la Letrada del Gobierno de Canarias la delimitación de competencias en materia de espacios naturales protegidos es clara y no existe fundamento alguno para que el Estado se reserve en exclusiva la declaración y la determinación de la forma de gestión de los espacios naturales protegidos sobre aguas marinas en los que concurran las características previstas en el precepto controvertido, “introduciendo un criterio de delimitación competencial, como es el de la continuidad ecológica, que no tiene cobertura en el sistema constitucional de distribución de competencias”.</w:t>
      </w:r>
    </w:p>
    <w:p w:rsidR="0026452D" w:rsidRDefault="0026452D" w:rsidP="0026452D">
      <w:pPr>
        <w:pStyle w:val="TextoNormal"/>
      </w:pPr>
    </w:p>
    <w:p w:rsidR="0026452D" w:rsidRDefault="0026452D" w:rsidP="0026452D">
      <w:pPr>
        <w:pStyle w:val="TextoNormal"/>
      </w:pPr>
      <w:r>
        <w:t>La Ley 42/2007 viene a reproducir, dirá, una regulación que el Tribunal Constitucional ya ha considerado contraria a la Constitución cuando anuló, en su STC 102/1992 (FJ 20), el art. 21.3 de la Ley 4/1989 que reservaba al Estado la declaración y gestión de los espacios naturales protegidos que tuvieran por objeto la protección de los bienes incluidos en el art. 3 de la Ley 22/1988, de costas.</w:t>
      </w:r>
    </w:p>
    <w:p w:rsidR="0026452D" w:rsidRDefault="0026452D" w:rsidP="0026452D">
      <w:pPr>
        <w:pStyle w:val="TextoNormal"/>
      </w:pPr>
    </w:p>
    <w:p w:rsidR="0026452D" w:rsidRDefault="0026452D" w:rsidP="0026452D">
      <w:pPr>
        <w:pStyle w:val="TextoNormal"/>
      </w:pPr>
      <w:r>
        <w:t xml:space="preserve">d) Sostiene la Letrada del Gobierno de Canarias que no es aquí aplicable la doctrina de la STC 38/2002 conforme a la cual el mar territorial no forma parte del territorio de las Comunidades Autónomas y éstas sólo pueden ejercer sus competencias sobre el mismo de forma excepcional en función de la continuidad y unidad del espacio físico. Y no lo es, añadirá, por cuatro razones, que se desarrollan más adelante en el escrito: 1) porque esta concepción restrictiva del territorio no puede aplicarse a la Comunidad Autónoma de Canarias, 2) porque no puede compartirse la tesis de que el ejercicio de competencias autonómicas sobre el mar territorial haya de tener un carácter excepcional, 3) porque tampoco pueden compartirse los argumentos para excluir, de forma absoluta y sin matización, las competencias autonómicas de gestión de los parques nacionales marinos y 4) porque de la STC 38/2002 no se deduce que el único supuesto en que las Comunidades Autónomas pueden </w:t>
      </w:r>
      <w:r>
        <w:lastRenderedPageBreak/>
        <w:t>ejercer sus competencias sobre espacios naturales marinos sea el de la conexión entre la parte terrestre y marítima del ecosistema a proteger.</w:t>
      </w:r>
    </w:p>
    <w:p w:rsidR="0026452D" w:rsidRDefault="0026452D" w:rsidP="0026452D">
      <w:pPr>
        <w:pStyle w:val="TextoNormal"/>
      </w:pPr>
    </w:p>
    <w:p w:rsidR="0026452D" w:rsidRDefault="0026452D" w:rsidP="0026452D">
      <w:pPr>
        <w:pStyle w:val="TextoNormal"/>
      </w:pPr>
      <w:r>
        <w:t>e) Continúa la demanda desarrollando el primer punto acerca de la concepción del territorio de las Comunidades Autónomas en general y del alcance del territorio canario en particular. Según la Letrada del Gobierno de Canarias, aunque existen diversos pronunciamientos del Tribunal Constitucional sobre la proyección de las competencias autonómicas sobre los espacios marítimos, lo cierto es que este Tribunal aún no ha abordado de forma directa y en profundidad la cuestión del alcance de la delimitación del territorio de las Comunidades Autónomas y su extensión al mar territorial. Considera que se trata de doctrina elaborada para resolver controversias sobre materias concretas y que ha ido evolucionando a medida que surgían nuevos y particulares supuestos de hecho. No obstante, afirma que, aunque de esa doctrina se deriva que el Tribunal opta por una concepción estricta y limitada del territorio autonómico como limitado al espacio terrestre con exclusión de los espacios marítimos [SSTC 149/1991, FJ 7 A j), 195/1998, 9/2001, 38/2002 y 97/2002], y también se deduce que no se ha resuelto la cuestión de si el territorio de las Comunidades Autónomas comprende o no el mar adyacente.</w:t>
      </w:r>
    </w:p>
    <w:p w:rsidR="0026452D" w:rsidRDefault="0026452D" w:rsidP="0026452D">
      <w:pPr>
        <w:pStyle w:val="TextoNormal"/>
      </w:pPr>
    </w:p>
    <w:p w:rsidR="0026452D" w:rsidRDefault="0026452D" w:rsidP="0026452D">
      <w:pPr>
        <w:pStyle w:val="TextoNormal"/>
      </w:pPr>
      <w:r>
        <w:t>La Letrada del Gobierno de Canarias sostiene, a continuación, que en todo caso y pese a esos pronunciamientos del Tribunal, “las aguas de jurisdicción española que rodean el Archipiélago forman parte de su territorio, en cualquiera de sus distintas acepciones, y, por tanto, el ejercicio efectivo de las potestades y funciones públicas sobre esas aguas ha de respetar la distribución de competencias entre los distintos entes públicos territoriales que resulta de los art. 148 y 149 CE y del Estatuto de Autonomía de Canarias”. Por ello, afirma, este recurso de inconstitucionalidad “constituye una buena oportunidad” para que el Tribunal Constitucional “analice la aplicabilidad de la doctrina expuesta a la Comunidad Autónoma de Canarias”.</w:t>
      </w:r>
    </w:p>
    <w:p w:rsidR="0026452D" w:rsidRDefault="0026452D" w:rsidP="0026452D">
      <w:pPr>
        <w:pStyle w:val="TextoNormal"/>
      </w:pPr>
    </w:p>
    <w:p w:rsidR="0026452D" w:rsidRDefault="0026452D" w:rsidP="0026452D">
      <w:pPr>
        <w:pStyle w:val="TextoNormal"/>
      </w:pPr>
      <w:r>
        <w:t>A esos efectos, la Letrada señala que debe tenerse en cuenta que, a diferencia de lo que sucede con otros Estatutos de Autonomía en los que la delimitación del territorio de la Comunidad Autónoma se hace por referencia al de las provincias y municipios que la integran, el Estatuto de Canarias define el ámbito territorial de esta Comunidad como “el comprendido por el archipiélago canario” y ello es, sin duda, relevante. En primer lugar, porque la expresión “archipiélago canario” no excluye la porción marítima del territorio, sino al contrario, ya que el propio concepto de archipiélago incluye las aguas que lo rodean. Conclusión que se refuerza, dirá, si tenemos en cuenta las diferencias entre la redacción originaria y la resultante de la modificación llevada a cabo por la Ley Orgánica 4/1996, de 30 de diciembre, pues si bien la primera se refería a los “territorios insulares”, la segunda sustituye este término por el de “archipiélago canario” y esta sustitución se hizo con la pretensión de incluir en el territorio autonómico el archipiélago entendido como un todo comprensivo de las islas y el mar que las une.</w:t>
      </w:r>
    </w:p>
    <w:p w:rsidR="0026452D" w:rsidRDefault="0026452D" w:rsidP="0026452D">
      <w:pPr>
        <w:pStyle w:val="TextoNormal"/>
      </w:pPr>
    </w:p>
    <w:p w:rsidR="0026452D" w:rsidRDefault="0026452D" w:rsidP="0026452D">
      <w:pPr>
        <w:pStyle w:val="TextoNormal"/>
      </w:pPr>
      <w:r>
        <w:t xml:space="preserve">La Letrada del Gobierno de Canarias destaca la importancia de los trabajos parlamentarios para llevar a cabo una adecuada interpretación de los textos legales y recoge, a continuación, los debates que tuvieron lugar en torno a este punto en la tramitación parlamentaria y que, dirá, ponen de relieve que si bien se modificó la propuesta inicial que recogía expresamente el ejercicio de las competencias autonómicas sobre aguas de la jurisdicción española que circundan el archipiélago, ello no se debió a que se las quisiera excluir del ámbito </w:t>
      </w:r>
      <w:r>
        <w:lastRenderedPageBreak/>
        <w:t>territorial de la Comunidad Autónoma, sino a que tal referencia se consideró innecesaria al estar ya implícita en el concepto de archipiélago, es decir, a que se consideró redundante. Por tanto, concluye la Letrada del Gobierno de Canarias, el Estatuto de Autonomía configura Canarias como una Comunidad Autónoma archipielágica con la consecuencia de que no está sólo compuesta de tierra, de las islas, sino también de mar, de las aguas que la circundan. Este es el significado, dirá, del término “archipiélago” tanto en el lenguaje común (la Real Academia de la Lengua define el archipiélago como “conjunto, generalmente numeroso, de islas agrupadas en una superficie más o menos extensa de mar”) como en el jurídico, pues el artículo 46 b) de la Convención de las Naciones Unidas sobre Derecho del mar de 1982 define el archipiélago como “un grupo de islas, incluidas partes de islas, las aguas que las conectan y otros elementos naturales, que están tan estrechamente relacionados entre sí que tales islas, aguas y elementos naturales formen una entidad geográfica, económica y política intrínseca o que históricamente hayan sido considerados como tal”. Además, señala que el art. 40.1 del Estatuto supone también una admisión implícita de que el ámbito territorial de la Comunidad Autónoma incluye un elemento marítimo interinsular por la remisión que efectúa al art. 2 y por la cautela que introduce sobre las aguas de competencia estatal, que, en caso contrario, sería ociosa. La Letrada del Gobierno de Canarias afirma que la “la cláusula ‘sin perjuicio’ del artículo 40.1 supone que, ante la declaración previa de que las aguas marítimas canarias forman parte del territorio de la Comunidad Autónoma de Canarias (declaración implícita en la definición como archipiélago), y en previsión de posibles conflictos competenciales sobre las mismas, se consideró necesaria una salvaguarda expresa de la competencia exclusiva que ostenta el Estado para delimitarlas y definir su régimen jurídico, imponiendo que el ejercicio de las competencias autonómicas no puede obstaculizar el ejercicio de dicha competencia estatal”.</w:t>
      </w:r>
    </w:p>
    <w:p w:rsidR="0026452D" w:rsidRDefault="0026452D" w:rsidP="0026452D">
      <w:pPr>
        <w:pStyle w:val="TextoNormal"/>
      </w:pPr>
    </w:p>
    <w:p w:rsidR="0026452D" w:rsidRDefault="0026452D" w:rsidP="0026452D">
      <w:pPr>
        <w:pStyle w:val="TextoNormal"/>
      </w:pPr>
      <w:r>
        <w:t>f) La Letrada del Gobierno de Canarias señala que, tanto en la Constitución como en los Estatutos de Autonomía, se encuentran referencias a competencias autonómicas sobre el mar como las competencias en aguas interiores, marisqueo, acuicultura, ordenación del litoral, transporte marítimo, etc., y que, además, el Tribunal Constitucional también ha admitido el ejercicio de competencias autonómicas sobre el mar territorial cuando así lo exige la naturaleza de la competencia [no sólo en pesca o marisqueo, sino también en medio ambiente (STC 102/1995, 118/1996, 195/1998) y espacios naturales protegidos (SSTC 32/1994, 102/1995, 195/1998, 38/2002)] e incluso que las competencias de acuicultura y marisqueo pueden ejercerse más allá de las aguas interiores en el mar territorial, la plataforma continental y la zona económica exclusiva (SSTC 103/1989, 9/2001) reconociendo que las competencias autonómicas pueden tener un alcance extraterritorial.</w:t>
      </w:r>
    </w:p>
    <w:p w:rsidR="0026452D" w:rsidRDefault="0026452D" w:rsidP="0026452D">
      <w:pPr>
        <w:pStyle w:val="TextoNormal"/>
      </w:pPr>
    </w:p>
    <w:p w:rsidR="0026452D" w:rsidRDefault="0026452D" w:rsidP="0026452D">
      <w:pPr>
        <w:pStyle w:val="TextoNormal"/>
      </w:pPr>
      <w:r>
        <w:t>Continúa la Letrada del Gobierno de Canarias argumentando que, dentro del espacio al que se extiende la soberanía del Estado, la determinación de si el ejercicio de una competencia corresponde al Estado o a las Comunidades Autónomas ha de realizarse en función de la distribución competencial existente en la Constitución y en los Estatutos de Autonomía, y ello porque, dirá, “la satisfacción de los intereses generales ha de materializarse ‘a través de’ y no ‘a pesar’ de dicha distribución (SSTC 146/1986, FJ 4; 152/1988, FJ 2; 75/1989, FJ 2 y 103/1989, FJ 2, entre otras muchas)”.</w:t>
      </w:r>
    </w:p>
    <w:p w:rsidR="0026452D" w:rsidRDefault="0026452D" w:rsidP="0026452D">
      <w:pPr>
        <w:pStyle w:val="TextoNormal"/>
      </w:pPr>
    </w:p>
    <w:p w:rsidR="0026452D" w:rsidRDefault="0026452D" w:rsidP="0026452D">
      <w:pPr>
        <w:pStyle w:val="TextoNormal"/>
      </w:pPr>
      <w:r>
        <w:t xml:space="preserve">Reconoce la Letrada del Gobierno de Canarias que la Constitución atribuye a las Comunidades Autónomas autonomía política, no soberanía, pero considera que ello “no excluye </w:t>
      </w:r>
      <w:r>
        <w:lastRenderedPageBreak/>
        <w:t>la titularidad de competencias autonómicas puesto que, evidentemente, el Estado tiene también soberanía sobre el espacio terrestre de España sin que ello impida a las Comunidades Autónomas disponer de competencias exclusivas en su territorio terrestre” y de la misma forma hay que entender que “en la medida en que el Estado se organiza territorialmente en Comunidades Autónomas (art. 137 CE), éstas ejercen sus competencias, necesariamente y salvo excepciones, sobre territorio estatal, y si la delimitación del territorio estatal a partir de sus fronteras comprende espacios marítimos, no cabe fundar en la soberanía estatal la exclusión de esos espacios del territorio autonómico entendido como el ámbito físico sobre el que las Comunidades Autónomas ejercen sus competencias”. Así lo ha entendido, dirá la Letrada del Gobierno de Canarias, el Tribunal Supremo en sus Sentencias sobre el impuesto especial de combustibles derivados del petróleo, aprobado por Ley de la Comunidad Autónoma de Canarias 5/1986, de 28 de julio, en la que estima que los buques que realizan el tráfico interinsular del archipiélago canario están sujetos al tributo los abastecimientos y consumos derivados del petróleo por tratarse de consumo interior producido en los espacios marítimos que integran el ámbito territorial de la Comunidad Autónoma [Sentencias de la Sala de lo Contencioso-Administrativo del Tribunal Supremo de 18 de junio de 1992, 1 de diciembre de 1992, 2 de noviembre de 1994, 22 de noviembre de 1994, 29 de noviembre de 1994, 20 de septiembre de 1995, 23 de octubre de 1995, 5 de junio de 1996, 20 de enero de 1997, 7 de febrero de 1997 y 10 de febrero de 1997].</w:t>
      </w:r>
    </w:p>
    <w:p w:rsidR="0026452D" w:rsidRDefault="0026452D" w:rsidP="0026452D">
      <w:pPr>
        <w:pStyle w:val="TextoNormal"/>
      </w:pPr>
    </w:p>
    <w:p w:rsidR="0026452D" w:rsidRDefault="0026452D" w:rsidP="0026452D">
      <w:pPr>
        <w:pStyle w:val="TextoNormal"/>
      </w:pPr>
      <w:r>
        <w:t>g) Argumenta la Letrada del Gobierno de Canarias a continuación que el Tribunal Constitucional podría revisar, con ocasión de este recurso, la doctrina sentada en su Sentencia 38/2002 pues ni el carácter móvil de las aguas, ni la prevalencia de las competencias estatales en materia de pesca marítima son razones suficientes, en su opinión, para fundamentar la exclusión absoluta de las competencias de las Comunidades Autónomas para la declaración y determinación de la forma de gestión de los espacios naturales protegidos en los términos en los que lo hace el precepto impugnado. El carácter móvil de las aguas del mar, dirá la Letrada, no impide que las mismas queden adscritas al Estado, por lo que tampoco tiene por qué impedir que queden adscritas a la Comunidad Autónoma de Canarias a efectos de que ésta ejerza su competencias: “como objeto de las competencias previstas en la Constitución, el aire o las aguas adyacentes a las Comunidades Autónomas son siempre el mismo elemento”. Por otra parte, añadirá la Letrada, tampoco la competencia estatal en materia de pesca marítima puede justificar la negación de la competencia autonómica, ya que “la concurrencia de competencias estatales y autonómicas sobre un mismo espacio físico no puede resolverse en términos de exclusión absoluta de una de ellas, sino que debe acudirse en primer término a mecanismos de colaboración y coordinación”. El precepto impugnado no cumple con esta exigencia, pues excluye el ejercicio de las competencias autonómicas sin más, sin prever ningún mecanismo o cauce de colaboración con las Comunidades Autónomas, cuando son éstas las titulares de las competencias de gestión de los espacios naturales protegidos.</w:t>
      </w:r>
    </w:p>
    <w:p w:rsidR="0026452D" w:rsidRDefault="0026452D" w:rsidP="0026452D">
      <w:pPr>
        <w:pStyle w:val="TextoNormal"/>
      </w:pPr>
    </w:p>
    <w:p w:rsidR="0026452D" w:rsidRDefault="0026452D" w:rsidP="0026452D">
      <w:pPr>
        <w:pStyle w:val="TextoNormal"/>
      </w:pPr>
      <w:r>
        <w:t xml:space="preserve">Entiende, por todo lo anterior, la Letrada del Gobierno de Canarias que la doctrina contenida en la STC 38/2002 “puede ser revisada a la luz de las consideraciones anteriormente expuestas, lo que nos lleva a la conclusión de que la competencia de protección de espacios naturales es claramente una de esas competencias que, por su propia naturaleza, puede ser ejercitada allí donde se encuentren los valores necesitados de protección, incluido el mar”, de tal forma que “el ejercicio de esa competencia puede ser condicionado por la concurrencia de otros títulos competenciales estatales, igual que sucede cuando pretende ejercerse </w:t>
      </w:r>
      <w:r>
        <w:lastRenderedPageBreak/>
        <w:t>sobre la superficie terrestre, pero lo que, sin duda, no es posible, es la exclusión absoluta de la misma”.</w:t>
      </w:r>
    </w:p>
    <w:p w:rsidR="0026452D" w:rsidRDefault="0026452D" w:rsidP="0026452D">
      <w:pPr>
        <w:pStyle w:val="TextoNormal"/>
      </w:pPr>
    </w:p>
    <w:p w:rsidR="0026452D" w:rsidRDefault="0026452D" w:rsidP="0026452D">
      <w:pPr>
        <w:pStyle w:val="TextoNormal"/>
      </w:pPr>
      <w:r>
        <w:t>Considera, además, que de la afirmación que contiene la STC 38/2002 conforme a la cual corresponde a las Comunidades Autónomas ejercer en el mar territorial sus competencias en materia de espacios naturales protegidos cuando existe continuidad física entre el espacio terrestre y marítimo, no puede deducirse que cuando tal continuidad no existe, la competencia corresponda al Estado. La Sentencia, dirá, se limita a contemplar un supuesto concreto en el que se admite el ejercicio de la competencia autonómica, pero no excluye que puedan existir otros supuestos cuando “las circunstancias y características específicas del espacio a proteger” puedan demandarlo así. Los Votos particulares de las SSTC 35/2005 y 36/2005 recuerdan que esta es una cuestión que no ha sido debatida por el Pleno del Tribunal. Por tanto, considera la Letrada del Gobierno de Canarias, que de la STC 38/2002 no puede deducirse sin más que las facultades de declaración y determinación de las formas de gestión de los espacios naturales protegidos situados íntegramente en aguas exteriores correspondan siempre y sin ningún tipo de modulación al Estado.</w:t>
      </w:r>
    </w:p>
    <w:p w:rsidR="0026452D" w:rsidRDefault="0026452D" w:rsidP="0026452D">
      <w:pPr>
        <w:pStyle w:val="TextoNormal"/>
      </w:pPr>
    </w:p>
    <w:p w:rsidR="0026452D" w:rsidRDefault="0026452D" w:rsidP="0026452D">
      <w:pPr>
        <w:pStyle w:val="TextoNormal"/>
      </w:pPr>
      <w:r>
        <w:t>h) Termina la demanda afirmando que por todas las razones anteriormente expuestas, se puede concluir que “todas las facultades ejecutivas sobre los espacios naturales protegidos ubicados en el territorio de la Comunidad Autónoma de Canarias —entre las que se encuentran la declaración y la determinación de la forma de gestión— corresponden a ésta, por estar comprendida en su competencia exclusiva de protección de espacio natural protegido que le atribuye el artículo 30.16 de su Estatuto de Autonomía” y que “el mar territorial forma parte del territorio de la Comunidad Autónoma Canaria” siendo irrelevante que “tratándose de espacios marinos, el ecosistema a proteger tenga continuidad ecológica o no con el espacio terrestre, pues tanto en uno como en otro caso, nos hallamos ante Espacios Naturales Protegidos ubicados en el territorio de nuestra Comunidad Autónoma y, por tanto, corresponde a ésta la competencia de gestión de los mismos”.</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23 de septiembre de 2008, el Pleno, a propuesta de la Sección Segunda, acordó admitir a trámite el recurso de inconstitucionalidad promovido por el Gobierno de Canarias en relación con el art. 36.1 de la Ley 42/2007, de 13 de diciembre, del patrimonio natural y de la biodiversidad, así como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También acordó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Mediante escrito registrado en este Tribunal el 7 de octubre de 2008, se personó el Abogado del Estado, en nombre del Gobierno de la Nación, interesando la desestimación del recurso por las razones que sucintamente se exponen a continuación.</w:t>
      </w:r>
    </w:p>
    <w:p w:rsidR="0026452D" w:rsidRDefault="0026452D" w:rsidP="0026452D">
      <w:pPr>
        <w:pStyle w:val="TextoNormal"/>
      </w:pPr>
    </w:p>
    <w:p w:rsidR="0026452D" w:rsidRDefault="0026452D" w:rsidP="0026452D">
      <w:pPr>
        <w:pStyle w:val="TextoNormal"/>
      </w:pPr>
      <w:r>
        <w:t xml:space="preserve">a) Comienza el Abogado del Estado su contestación a la demanda, haciendo dos apuntes previos: 1) la identidad de las alegaciones de este recurso y del tramitado como 78-2008 promovido también por el Gobierno de Canarias pero contra el art. 16.2 y la disposición adicional cuarta de la Ley 5/2007, de 3 de abril, de la red de parques nacionales, por lo que afirma que procede a reiterar los argumentos ya esgrimidos en ese otro proceso, y 2) que la </w:t>
      </w:r>
      <w:r>
        <w:lastRenderedPageBreak/>
        <w:t>posición del legislador estatal sobre el tema es resultado del “informe sobre las competencias de las distintas Administraciones territoriales y órganos de la Administración General del Estado en materia de protección de hábitats y especies marinas y de declaración y gestión de áreas marinas protegidas” núm. 2/2005, de 19 de julio de 2006, de la Comisión de estudios del Consejo de Estado, en el que se apoyan también las alegaciones de la contestación a la demanda.</w:t>
      </w:r>
    </w:p>
    <w:p w:rsidR="0026452D" w:rsidRDefault="0026452D" w:rsidP="0026452D">
      <w:pPr>
        <w:pStyle w:val="TextoNormal"/>
      </w:pPr>
    </w:p>
    <w:p w:rsidR="0026452D" w:rsidRDefault="0026452D" w:rsidP="0026452D">
      <w:pPr>
        <w:pStyle w:val="TextoNormal"/>
      </w:pPr>
      <w:r>
        <w:t>b) A continuación, el Abogado del Estado hace referencia a la doctrina de este Tribunal sobre el alcance del territorio de las Comunidades Autónomas y el mar territorial y sobre medio ambiente y espacios marinos protegidos.</w:t>
      </w:r>
    </w:p>
    <w:p w:rsidR="0026452D" w:rsidRDefault="0026452D" w:rsidP="0026452D">
      <w:pPr>
        <w:pStyle w:val="TextoNormal"/>
      </w:pPr>
    </w:p>
    <w:p w:rsidR="0026452D" w:rsidRDefault="0026452D" w:rsidP="0026452D">
      <w:pPr>
        <w:pStyle w:val="TextoNormal"/>
      </w:pPr>
      <w:r>
        <w:t>Dice el Abogado del Estado que ya en su Sentencia 149/1991, de 4 de julio, sobre la Ley de costas, el Tribunal declaró que el mar territorial no forma parte del territorio de las Comunidades Autónomas [FJ 7 A h)] y que en su Sentencia 38/2002 (FJ 6) ha afirmado que el territorio nacional, y también el autonómico, está compuesto por los términos municipales incluyendo los puertos y la zona marítimo-terrestre, de lo que se deduce, como hace el Consejo de Estado en su informe 2-2005, que el territorio autonómico se extiende al ámbito de los municipios que integran la correspondiente Comunidad y éstos nunca se han extendido al mar territorial. Por ello, precisamente, el Tribunal ha declarado que la proyección de las competencias autonómicas sobre el mar territorial tiene un carácter extraordinario y que, concretamente, en materia de protección de espacios naturales sólo tiene lugar cuando así lo exijan las características del espacio protegido (STC 38/2002, FJ 7).</w:t>
      </w:r>
    </w:p>
    <w:p w:rsidR="0026452D" w:rsidRDefault="0026452D" w:rsidP="0026452D">
      <w:pPr>
        <w:pStyle w:val="TextoNormal"/>
      </w:pPr>
    </w:p>
    <w:p w:rsidR="0026452D" w:rsidRDefault="0026452D" w:rsidP="0026452D">
      <w:pPr>
        <w:pStyle w:val="TextoNormal"/>
      </w:pPr>
      <w:r>
        <w:t>Por otra parte, señala el Abogado del Estado que, de acuerdo con la doctrina constitucional sobre la distribución competencial en materia de medio ambiente, las competencias ejecutivas corresponden a las Comunidades Autónomas “no de forma absoluta pero sí de manera general”, regla que quiebra cuando excepcionalmente (STC 102/1995, de 26 de junio, FJ 8) está justificada la asunción de competencias ejecutivas por el Estado. No está justificada, recuerda el Abogado del Estado, la asunción de competencias ejecutivas por el Estado para la declaración y gestión de espacios naturales protegidos en el demanio marítimo-terrestre (SSTC 102/1995, FJ 20; 195/1998 y 97/2002, FJ 10), por lo que tal competencia corresponde a las Comunidades Autónomas, pero esta doctrina no es aplicable a los espacios del mar territorial, como aclaró la STC 38/2002, de 14 de febrero, sobre el parque natural y la reserva marina del cabo de Gata-Níjar que incluía una parte situada en la franja marítima de una milla de anchura situada en el límite este y sur de dicho parque, es decir, en aguas exteriores del mar territorial. La Sentencia parte de la idea de que “el mar territorial, como soporte topográfico del medio ambiente se integra en primer término por un elemento móvil —las aguas— que por obvias razones físicas no pueden adscribirse de modo permanente a un lugar determinado” y aclara que las competencias autonómicas pueden excepcionalmente llegar a ejercerse en este espacio en función “bien de un explícito reconocimiento estatutario ... bien de la naturaleza de la competencia tal como resulta de la interpretación del bloque de constitucionalidad”. Concretamente, en materia de protección de espacios naturales, la competencia autonómica “sólo se extenderá al mar territorial cuando, excepcionalmente, así lo exijan las características del espacio protegido” (STC 38/2002, FFJJ 6 y 7), esto es, cuando las circunstancias y características del espacio así lo demanden y “singularmente cuando así venga exigido por la continuidad y unidad de dicho espacio físico”.</w:t>
      </w:r>
    </w:p>
    <w:p w:rsidR="0026452D" w:rsidRDefault="0026452D" w:rsidP="0026452D">
      <w:pPr>
        <w:pStyle w:val="TextoNormal"/>
      </w:pPr>
    </w:p>
    <w:p w:rsidR="0026452D" w:rsidRDefault="0026452D" w:rsidP="0026452D">
      <w:pPr>
        <w:pStyle w:val="TextoNormal"/>
      </w:pPr>
      <w:r>
        <w:lastRenderedPageBreak/>
        <w:t xml:space="preserve">Concluye el Abogado del Estado que, de la doctrina citada, se deduce que las competencias ejecutivas de protección del medio ambiente sólo pueden excepcionalmente referirse a áreas marinas protegidas situadas en el mar territorial cuando exista una previsión estatuaria que en el presente caso no existe y cuando las circunstancias y características específicas del espacio a proteger así lo demanden, singularmente cuando venga exigido por la continuidad y unidad de dicho espacio físico. Cuando no concurran estas circunstancias, dirá, la competencia ejecutiva corresponderá al Estado </w:t>
      </w:r>
      <w:r w:rsidRPr="0026452D">
        <w:rPr>
          <w:i/>
        </w:rPr>
        <w:t>ex</w:t>
      </w:r>
      <w:r>
        <w:t xml:space="preserve"> art. 149.3 CE en relación con el art. 149.1.23 CE.</w:t>
      </w:r>
    </w:p>
    <w:p w:rsidR="0026452D" w:rsidRDefault="0026452D" w:rsidP="0026452D">
      <w:pPr>
        <w:pStyle w:val="TextoNormal"/>
      </w:pPr>
    </w:p>
    <w:p w:rsidR="0026452D" w:rsidRDefault="0026452D" w:rsidP="0026452D">
      <w:pPr>
        <w:pStyle w:val="TextoNormal"/>
      </w:pPr>
      <w:r>
        <w:t xml:space="preserve">c) Dicho esto, la demanda se adentra en el examen del concepto de mar territorial destacando la intensa influencia del Derecho internacional en todas las actividades que se desarrollan en el mismo y el hecho de que el mar territorial es una franja a la que se extiende la soberanía de los Estados de acuerdo con el Derecho internacional, más allá de su territorio, razón por la cual el territorio del Estado se ha dividido tradicionalmente en sus diversos municipios sin incluir el mar territorial. Este espacio está “sujeto a soberanía limitada por el Derecho Internacional”, lo que implica que “cualquier título competencial que pretenda invocarse en ese espacio físico está fuertemente condicionado por el </w:t>
      </w:r>
      <w:r w:rsidRPr="0026452D">
        <w:rPr>
          <w:i/>
        </w:rPr>
        <w:t>ius contrahendi</w:t>
      </w:r>
      <w:r>
        <w:t xml:space="preserve"> que el art. 149.1.3 CE atribuye en exclusiva al Estado”.</w:t>
      </w:r>
    </w:p>
    <w:p w:rsidR="0026452D" w:rsidRDefault="0026452D" w:rsidP="0026452D">
      <w:pPr>
        <w:pStyle w:val="TextoNormal"/>
      </w:pPr>
    </w:p>
    <w:p w:rsidR="0026452D" w:rsidRDefault="0026452D" w:rsidP="0026452D">
      <w:pPr>
        <w:pStyle w:val="TextoNormal"/>
      </w:pPr>
      <w:r>
        <w:t>d) Rechaza el Abogado del Estado la argumentación de la demanda conforme a la cual, por un lado, el Tribunal no ha afirmado claramente que el mar territorial no forma parte del territorio autonómico y, por otro lado, que, en todo caso, la doctrina del Tribunal Constitucional sobre la excepcionalidad del ejercicio de las competencias autonómicas sobre el mar territorial no es de aplicación a la Comunidad Autónoma de Canarias.</w:t>
      </w:r>
    </w:p>
    <w:p w:rsidR="0026452D" w:rsidRDefault="0026452D" w:rsidP="0026452D">
      <w:pPr>
        <w:pStyle w:val="TextoNormal"/>
      </w:pPr>
    </w:p>
    <w:p w:rsidR="0026452D" w:rsidRDefault="0026452D" w:rsidP="0026452D">
      <w:pPr>
        <w:pStyle w:val="TextoNormal"/>
      </w:pPr>
      <w:r>
        <w:t xml:space="preserve">El Abogado del Estado considera que el Tribunal sí ha afirmado en diversas Sentencias [SSTC 149/1991, FJ 7 A h) y 38/2002, FJ 6] que el territorio de las Comunidades Autónomas no incluye el mar adyacente. Por otra parte, entiende que el mar territorial no forma parte del territorio de la Comunidad Autónoma de Canarias oponiéndose a la interpretación que la demanda realiza de los arts. 2 y 40 del Estatuto de Autonomía de Canarias. En su opinión la sustitución, en la reforma estatutaria de 1996, del término inicial “territorios insulares” por el posterior de “archipiélago canario” carece de relevancia y no permite extraer la conclusión a la que llega la demanda. En primer lugar, porque es el propio art. 2 del Estatuto de Autonomía el que define lo que entiende a efectos estatutarios por archipiélago canario cuando especifica que está integrado “por las siete islas” exactamente igual que antes de la reforma, cuando el “territorio insular” comprendía también las siete islas. La delimitación del territorio canario, dirá, no ha cambiado antes y después de la reforma, pues “ya se denomine territorio insular o archipiélago, lo cierto es que sigue estando integrado exclusivamente por las siete islas que enumera el precepto, no por el mar territorial adyacente al que nunca se ha extendido el territorio autonómico, provincial, insular o municipal”. Tampoco del significado común de la palabra archipiélago, tal y como la define el Diccionario de la Real Academia de la Lengua, dice el Abogado del Estado, se deduce otra cosa, pues el archipiélago se define como conjunto de islas, sin que nada en la definición lleve a pensar que el territorio archipielágico incluya el mar adyacente. Por otra parte, la definición del concepto de archipiélago de la Convención de Naciones Unidas sobre Derecho del mar de 1982 lo es, señala el Abogado del Estado, a los efectos de esa Convención y del concepto de Estado archipielágico, sin que la Comunidad Autónoma de Canarias reúna esta condición. Y, finalmente, considera el Abogado del Estado que los debates parlamentarios no </w:t>
      </w:r>
      <w:r>
        <w:lastRenderedPageBreak/>
        <w:t>aportan datos que permitan contradecir el sentido literal de los preceptos. De hecho, destaca que el texto que finalmente se aprobó eliminó la redacción inicial en el que claramente se establecía que la Comunidad Autónoma de Canarias ejercería las competencias en las aguas de competencia española que rodean las islas. Y, además, el art. 40.1 del Estatuto resulta clarificador en este sentido pues incorpora una cláusula de salvaguarda de la competencia exclusiva del Estado sobre las aguas de jurisdicción española, es decir, sobre el mar territorial.</w:t>
      </w:r>
    </w:p>
    <w:p w:rsidR="0026452D" w:rsidRDefault="0026452D" w:rsidP="0026452D">
      <w:pPr>
        <w:pStyle w:val="TextoNormal"/>
      </w:pPr>
    </w:p>
    <w:p w:rsidR="0026452D" w:rsidRDefault="0026452D" w:rsidP="0026452D">
      <w:pPr>
        <w:pStyle w:val="TextoNormal"/>
      </w:pPr>
      <w:r>
        <w:t>e) Considera el Abogado del Estado que la doctrina de la STC 38/2002 sobre el carácter excepcional de las competencias autonómicas en el mar territorial es acertada y debe confirmarse, sin que proceda su revisión o cambio. Y ello por varios motivos. En primer lugar, porque, a diferencia de lo afirmado en la demanda, el Tribunal ha rechazado expresamente que el mar territorial forme parte del territorio autonómico y el Estatuto de Autonomía de Canarias tampoco lo incluye en el mismo. En segundo lugar, porque, aunque la demanda se esfuerza por argumentar que el carácter móvil de las aguas y la competencia estatal en materia de pesca no justifican la competencia estatal ejecutiva en materia de protección de espacios naturales marítimos, estos dos argumentos son secundarios en la STC 38/2002, siendo el argumento principal que el mar territorial queda fuera del territorio autonómico.</w:t>
      </w:r>
    </w:p>
    <w:p w:rsidR="0026452D" w:rsidRDefault="0026452D" w:rsidP="0026452D">
      <w:pPr>
        <w:pStyle w:val="TextoNormal"/>
      </w:pPr>
    </w:p>
    <w:p w:rsidR="0026452D" w:rsidRDefault="0026452D" w:rsidP="0026452D">
      <w:pPr>
        <w:pStyle w:val="TextoNormal"/>
      </w:pPr>
      <w:r>
        <w:t>Rechazadas estas argumentaciones, el Abogado del Estado afirma que el art. 36.1 de la Ley 42/2007 recoge la doctrina del Tribunal Constitucional sin incurrir, como se afirma en la demanda, en error alguno. El art. 36.1 de la Ley trata, según el Abogado del Estado, “de adaptarse al máximo a la doctrina del Tribunal Constitucional, empleando la misma expresión que ésta” cuando establece que la competencia autonómica de gestión sobre el mar territorial se refiere al caso en que “exista continuidad ecológica del ecosistema marino con el espacio natural terrestre objeto de protección, avalada por la mejor evidencia científica existente”. Reconoce, no obstante, el Abogado del Estado que el precepto no contempla la posibilidad de que existan otras circunstancias que justifiquen la asunción autonómica de la competencia, pero afirma que ello se debe a que “realmente resulta difícil encontrar otro supuesto de hecho que así lo demande”, pues “ni el Tribunal Constitucional, ni el propio demandante, ni el legislador estatal han sido capaces de imaginar otro supuesto en el que las circunstancias del espacio a proteger demanden la extensión de la competencia autonómica”. Señala el Abogado del Estado que “singularmente la demanda es incapaz de ofrecer un ejemplo práctico que, quedando amparado por la doctrina del Tribunal sobre la extensión excepcional de la competencia autonómica, sin embargo, no lo estuviera por el supuesto de hecho del precepto estatal de continua referencia”. El legislador estatal ha pretendido, en su opinión, “plasmar con la mayor fidelidad posible, la doctrina del Tribunal resultante de la STC 38/2002, sin que, por tanto, el precepto impugnado pueda merecer reproche alguno constitucional”.</w:t>
      </w:r>
    </w:p>
    <w:p w:rsidR="0026452D" w:rsidRDefault="0026452D" w:rsidP="0026452D">
      <w:pPr>
        <w:pStyle w:val="TextoNormal"/>
      </w:pPr>
    </w:p>
    <w:p w:rsidR="0026452D" w:rsidRDefault="0026452D" w:rsidP="0026452D">
      <w:pPr>
        <w:pStyle w:val="TextoNormal"/>
      </w:pPr>
      <w:r>
        <w:t>Por todo lo cual, termina suplicando que se dicte Sentencia que declare la constitucionalidad del art. 36.1 de la Ley 42/2007, de 13 de diciembre, del patrimonio natural y de la biodiversidad.</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escrito registrado en este Tribunal el 15 de octubre de 2008, el Presidente del Senado comunicó que la Cámara se personaba en el proceso ofreciendo su colaboración.</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5</w:t>
      </w:r>
      <w:r>
        <w:t>. Por escrito registrado en el Tribunal el 20 de octubre de 2008, el Presidente del Congreso de los Diputados comunicó el acuerdo de la Mesa de la Cámara de personarse en el proceso ofreciendo su colaboración.</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9 de abril de 2013 se señaló para deliberación y votación de la presente Sentencia el día 11 de dicho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interpone por el Gobierno de la Comunidad Autónoma de Canarias frente al art. 36.1 de la Ley 42/2007, de 13 de diciembre, del patrimonio natural y de la biodiversidad.</w:t>
      </w:r>
    </w:p>
    <w:p w:rsidR="0026452D" w:rsidRDefault="0026452D" w:rsidP="0026452D">
      <w:pPr>
        <w:pStyle w:val="TextoNormal"/>
      </w:pPr>
    </w:p>
    <w:p w:rsidR="0026452D" w:rsidRDefault="0026452D" w:rsidP="0026452D">
      <w:pPr>
        <w:pStyle w:val="TextoNormal"/>
      </w:pPr>
      <w:r>
        <w:t>Para la representación procesal del Gobierno de Canarias, el precepto impugnado vulnera las competencias autonómicas ejecutivas en materia de espacios naturales al limitar indebidamente sus competencias sobre los espacios naturales protegidos marinos a aquellos en los que exista continuidad del ecosistema marino con el espacio natural terrestre objeto de protección. Alega que las competencias ejecutivas en materia de protección de espacios naturales de la Comunidad Autónoma de Canarias se extienden a todo el territorio canario y que, puesto que esta Comunidad Autonómica, tal y como se establece en su Estatuto de Autonomía (art. 2 EACan), es un archipiélago y, en consecuencia, su territorio alcanza no sólo al espacio terrestre, sino también al mar territorial adyacente. El art. 36.1 infringe, además, según la representación procesal autonómica, la doctrina constitucional sobre el alcance de las competencias autonómicas de protección de espacios naturales establecidas en la STC 38/2002, de 14 de febrero. Por el contrario, el Abogado del Estado considera que el precepto recoge fielmente la doctrina establecida en esta Sentencia por el Tribunal Constitucional sobre la proyección de las competencias ejecutivas de las Comunidades Autónomas en el mar territorial para la protección de espacios naturales (STC 38/2002, de 14 de febrero) y rechaza que el territorio de la Comunidad Autónoma canaria incluya el mar territorial adyacente.</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entrar en el fondo de la impugnación planteada, resulta necesario señalar, como consideración preliminar, que el Estatuto de Autonomía de Canarias, aprobado por Ley Orgánica 10/1982, de 10 de agosto, desde la interposición del presente recurso, ha sido objeto de modificación por la Ley 26/2010, de 16 de julio. No obstante, esta modificación se refiere únicamente al apartado 1 de la disposición adicional segunda sobre tributos cedidos, por lo que no afecta a la cuestión competencial que se suscita en este recurso y a los términos en que se ha planteado el debate entre las partes.</w:t>
      </w:r>
    </w:p>
    <w:p w:rsidR="0026452D" w:rsidRDefault="0026452D" w:rsidP="0026452D">
      <w:pPr>
        <w:pStyle w:val="TextoNormal"/>
      </w:pPr>
    </w:p>
    <w:p w:rsidR="0026452D" w:rsidRDefault="0026452D" w:rsidP="0026452D">
      <w:pPr>
        <w:pStyle w:val="TextoNormal"/>
      </w:pPr>
      <w:r>
        <w:t xml:space="preserve">Por otra parte, con posterioridad a la interposición del presente recurso, se ha aprobado la Ley 44/2010, de 30 de diciembre, de aguas canarias (“BOE” de 31 de diciembre). En su exposición de motivos se afirma que “el artículo 147.2 b) de la Constitución establece como contenido necesario de los Estatutos de Autonomía la delimitación del territorio de la Comunidad Autónoma, ya que éste será límite a la eficacia de sus normas y al ejercicio de sus competencias” y que “en desarrollo de esas prescripciones constitucionales, el artículo 2 del Estatuto de Autonomía de Canarias, en la redacción dada por la Ley Orgánica 4/1996, de </w:t>
      </w:r>
      <w:r>
        <w:lastRenderedPageBreak/>
        <w:t>30 de diciembre, prescribe que ‘el ámbito territorial de la Comunidad Autónoma comprende el Archipiélago Canario, integrado por las siete islas de El Hierro, Fuerteventura, Gran Canaria, La Gomera, Lanzarote, La Palma y Tenerife, así como las islas de Alegranza, La Graciosa, Lobos, Montaña Clara, Roque del Este y Roque del Oeste’.” Añade, a continuación, el legislador que “ese ámbito territorial está incompleto sin la delimitación de las aguas incluidas en el concepto archipielágico que introduce el referido artículo 2 del Estatuto de Autonomía, que engloba los espacios terrestres y marítimos de Canarias”.</w:t>
      </w:r>
    </w:p>
    <w:p w:rsidR="0026452D" w:rsidRDefault="0026452D" w:rsidP="0026452D">
      <w:pPr>
        <w:pStyle w:val="TextoNormal"/>
      </w:pPr>
    </w:p>
    <w:p w:rsidR="0026452D" w:rsidRDefault="0026452D" w:rsidP="0026452D">
      <w:pPr>
        <w:pStyle w:val="TextoNormal"/>
      </w:pPr>
      <w:r>
        <w:t>No obstante, más allá de lo que dice la exposición de motivos, que carece de eficacia normativa, el artículo único de la Ley en su apartado 1 no dispone expresamente que se esté definiendo el territorio de la Comunidad Autónoma de Canarias, sino que se limita establecer lo que denomina “aguas canarias” afirmando que las mismas constituyen “el especial ámbito marítimo de la Comunidad Autónoma de Canarias”. Por otra parte, en el apartado 2 de este mismo artículo se dice, con claridad, que “el ejercicio de las competencias estatales o autonómicas sobre las aguas canarias y, en su caso, sobre los restantes espacios marítimos que rodean a Canarias sobre los que el Estado español ejerza soberanía o jurisdicción se realizará teniendo en cuenta la distribución material de competencias establecidas constitucional y estatutariamente tanto para dichos espacios como para los terrestres”.</w:t>
      </w:r>
    </w:p>
    <w:p w:rsidR="0026452D" w:rsidRDefault="0026452D" w:rsidP="0026452D">
      <w:pPr>
        <w:pStyle w:val="TextoNormal"/>
      </w:pPr>
    </w:p>
    <w:p w:rsidR="0026452D" w:rsidRDefault="0026452D" w:rsidP="0026452D">
      <w:pPr>
        <w:pStyle w:val="TextoNormal"/>
      </w:pPr>
      <w:r>
        <w:t>Pues bien, ante la existencia de esta regulación y sin perjuicio del alcance y significado que esta regulación tenga, cuestión sobre la que no versa este recurso y sobre la que, por tanto, no es necesario pronunciarse ahora, sí es preciso recordar que una ley ordinaria del Estado no tiene capacidad para modificar la regulación de un Estatuto de Autonomía, ni tampoco para definir el territorio de una Comunidad Autónoma o determinar el alcance de sus competencias, funciones éstas que nuestra Constitución atribuye a los Estatutos de Autonomía dentro del marco constitucional [art. 147. 2 b) y d) CE]. Tampoco compete al legislador estatal ordinario establecer cuál ha de ser la interpretación de un precepto de un Estatuto de Autonomía, pues la determinación de esa interpretación corresponde a los Jueces y Tribunales (art. 117.3 CE) y, en último término, a este Tribunal en cuanto intérprete supremo del bloque de constitucionalidad. Por tanto, incluso, si estas finalidades fueran las que se persiguieran por la Ley 44/2010, en nada alteraría o podría alterar los términos del debate planteado en el presente recurso.</w:t>
      </w:r>
    </w:p>
    <w:p w:rsidR="0026452D" w:rsidRDefault="0026452D" w:rsidP="0026452D">
      <w:pPr>
        <w:pStyle w:val="TextoNormal"/>
      </w:pPr>
    </w:p>
    <w:p w:rsidR="0026452D" w:rsidRDefault="0026452D" w:rsidP="0026452D">
      <w:pPr>
        <w:pStyle w:val="TextoNormal"/>
      </w:pPr>
      <w:r>
        <w:t>En consecuencia, la constitucionalidad o inconstitucionalidad del art. 36.1 de la Ley 42/2007 ha de determinarse exclusivamente a la luz de lo que derive del bloque de constitucionalidad, tal y como, en su caso, lo haya interpretado este Tribunal, que, por otra parte y como expondremos más extensamente en fundamentos jurídicos posteriores, ya ha tenido ocasión de pronunciarse en su reciente Sentencia 8/2013, de 17 de enero, sobre el alcance y significado del art. 2 EACan.</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Entrando ya en el fondo del asunto, las partes coinciden en la materia afectada por el precepto controvertido y en los títulos competenciales en juego que son, por un lado, el título competencial estatal </w:t>
      </w:r>
      <w:r w:rsidRPr="0026452D">
        <w:rPr>
          <w:i/>
        </w:rPr>
        <w:t>ex</w:t>
      </w:r>
      <w:r>
        <w:t xml:space="preserve"> art. 149.1.23 CE para establecer “la legislación básica sobre protección del medio ambiente” y, por otro, el título autonómico en materia de “espacios naturales protegidos” </w:t>
      </w:r>
      <w:r w:rsidRPr="0026452D">
        <w:rPr>
          <w:i/>
        </w:rPr>
        <w:t>ex</w:t>
      </w:r>
      <w:r>
        <w:t xml:space="preserve"> art. 30.16 EACan. La discrepancia entre las partes se centra en tres aspectos. En primer lugar, en el ámbito territorial de la Comunidad Autónoma de Canarias y, consiguientemente, el ámbito al que se extienden sus competencias. En segundo lugar, al propio alcance de las dos competencias en juego (“legislación básica sobre protección del </w:t>
      </w:r>
      <w:r>
        <w:lastRenderedPageBreak/>
        <w:t>medio ambiente” y “espacios naturales protegidos”) y, más concretamente, al alcance de las competencias estatales y autonómicas sobre espacios naturales protegidos marinos. Y, en tercer lugar, a la conformidad o no del contenido del art. 36.1 de la Ley 42/2007 a la doctrina constitucional establecida en la STC 38/2002, de 14 de febrero.</w:t>
      </w:r>
    </w:p>
    <w:p w:rsidR="0026452D" w:rsidRDefault="0026452D" w:rsidP="0026452D">
      <w:pPr>
        <w:pStyle w:val="TextoNormal"/>
      </w:pPr>
    </w:p>
    <w:p w:rsidR="0026452D" w:rsidRDefault="0026452D" w:rsidP="0026452D">
      <w:pPr>
        <w:pStyle w:val="TextoNormal"/>
      </w:pPr>
      <w:r w:rsidRPr="0026452D">
        <w:rPr>
          <w:rStyle w:val="NumeroAFNegritaCaracter"/>
        </w:rPr>
        <w:t>4</w:t>
      </w:r>
      <w:r>
        <w:t>. Enmarcada la materia, señalados los títulos competenciales del Estado y de la Comunidad Autónoma de Canarias en juego e indicados los puntos sobre los que gira la controversia competencial planteada, podemos abordar ya el análisis de constitucionalidad del art. 36.1 de la Ley 42/2007 que dispone que “corresponde a las Comunidades Autónomas la declaración y la determinación de la fórmula de gestión de los espacios naturales protegidos en su ámbito territorial y en las aguas marinas cuando, para estas últimas, en cada caso exista continuidad ecológica del ecosistema marino con el espacio natural terrestre objeto de protección, avalada por la mejor evidencia científica existente”.</w:t>
      </w:r>
    </w:p>
    <w:p w:rsidR="0026452D" w:rsidRDefault="0026452D" w:rsidP="0026452D">
      <w:pPr>
        <w:pStyle w:val="TextoNormal"/>
      </w:pPr>
    </w:p>
    <w:p w:rsidR="0026452D" w:rsidRDefault="0026452D" w:rsidP="0026452D">
      <w:pPr>
        <w:pStyle w:val="TextoNormal"/>
      </w:pPr>
      <w:r>
        <w:t>Tal y como se expuso más extensamente en los antecedentes de esta Sentencia, la representación procesal del Gobierno canario basa la impugnación del precepto en los siguientes argumentos: 1) no está claro que el mar territorial no forme parte del territorio de las Comunidades Autónomas porque el Tribunal Constitucional aún no se ha pronunciado de forma directa sobre esta cuestión, pero si se entendiera que la doctrina constitucional excluye esta franja del mar del espacio territorial de las Comunidades Autónomas, esta doctrina no sería, en todo caso, de aplicación a la Comunidad Autónoma de Canarias; 2) la Comunidad Autónoma de Canarias tiene un régimen singular derivado de su condición, consagrada estatutariamente (arts. 2 y 40 EACan), de archipiélago, lo que, tal y como se deduce de los debates que tuvieron lugar en la tramitación parlamentaria de la reforma del art. 2 por la Ley Orgánica 4/1996, de 30 de diciembre, y del propio concepto (común e internacional) de “archipiélago”, incluye el mar territorial adyacente en el territorio autonómico; 3) en contra de lo que se sostiene en la STC 38/2002, ni el carácter móvil de las aguas, ni la competencia del Estado en materia de pesca son razones suficientes para excluir la competencia autonómica sobre los espacios naturales protegidos marinos, por lo que debería revisarse la doctrina sentada en esta Sentencia; y 4) en cualquier caso, el precepto impugnado es contrario a la propia doctrina establecida en la STC 38/2002, pues esta resolución no limita las competencias autonómicas a los espacios naturales marinos que presentan una continuidad física con la parte terrestre del mismo, sino que admite otros supuestos en los que las características y circunstancias específicas del espacios natural pueden requerir una gestión autonómica del espacio natural.</w:t>
      </w:r>
    </w:p>
    <w:p w:rsidR="0026452D" w:rsidRDefault="0026452D" w:rsidP="0026452D">
      <w:pPr>
        <w:pStyle w:val="TextoNormal"/>
      </w:pPr>
    </w:p>
    <w:p w:rsidR="0026452D" w:rsidRDefault="0026452D" w:rsidP="0026452D">
      <w:pPr>
        <w:pStyle w:val="TextoNormal"/>
      </w:pPr>
      <w:r>
        <w:t>Por todo ello, la representación procesal del Gobierno de Canarias considera que el precepto impugnado vulnera las competencias que corresponden a esta Comunidad en materia de ejecución de espacios naturales protegidos.</w:t>
      </w:r>
    </w:p>
    <w:p w:rsidR="0026452D" w:rsidRDefault="0026452D" w:rsidP="0026452D">
      <w:pPr>
        <w:pStyle w:val="TextoNormal"/>
      </w:pPr>
    </w:p>
    <w:p w:rsidR="0026452D" w:rsidRDefault="0026452D" w:rsidP="0026452D">
      <w:pPr>
        <w:pStyle w:val="TextoNormal"/>
      </w:pPr>
      <w:r>
        <w:t xml:space="preserve">Por el contrario, el Abogado del Estado considera que el Tribunal Constitucional sí se ha pronunciado en diversas resoluciones [SSTC 149/1991, de 4 de julio, FJ 7 A h) y 38/2002, FJ 6] sobre la inclusión del mar territorial en el territorio de las Comunidades Autónomas rechazando que esa franja del mar forme parte del territorio autonómico. Reconoce que también ha declarado el Tribunal Constitucional (STC 102/1995, de 26 de junio, FJ 8) que, con carácter general, las competencias ejecutivas para la protección de espacios naturales corresponden a las Comunidades Autónomas, pero afirma que esta doctrina no se refiere a los espacios ubicados en el mar territorial, tal y como aclaró el Tribunal en su Sentencia </w:t>
      </w:r>
      <w:r>
        <w:lastRenderedPageBreak/>
        <w:t>38/2002 y entiende que esta doctrina es aplicable a la Comunidad Autónoma de Canarias. El Abogado del Estado considera que de la tramitación parlamentaria de la reforma del art. 2 por la Ley Orgánica 4/1996, de 30 de diciembre, no se deduce, en modo alguno, sino más bien lo contrario, que la condición de archipiélago de esta Comunidad se traduzca en la inclusión del mar territorial adyacente dentro de su territorio y que sus competencias se proyecten a este espacio. De hecho, señala que la cláusula de salvaguarda de la competencia exclusiva del Estado sobre las aguas de jurisdicción española —esto es, sobre el mar territorial— que contiene el art. 40.1 EACan lleva a la conclusión contraria.</w:t>
      </w:r>
    </w:p>
    <w:p w:rsidR="0026452D" w:rsidRDefault="0026452D" w:rsidP="0026452D">
      <w:pPr>
        <w:pStyle w:val="TextoNormal"/>
      </w:pPr>
    </w:p>
    <w:p w:rsidR="0026452D" w:rsidRDefault="0026452D" w:rsidP="0026452D">
      <w:pPr>
        <w:pStyle w:val="TextoNormal"/>
      </w:pPr>
      <w:r>
        <w:t>Es, por tanto, en su opinión, plenamente de aplicación a la Comunidad Autónoma de Canarias la doctrina establecida por el Tribunal Constitucional en su Sentencia 38/2002; doctrina que no procede revisar y que, por otra parte, no se apoya principalmente en las razones señaladas por la parte recurrente (carácter móvil de las aguas y competencia estatal en materia de pesca) sino en el argumento central de que el mar territorial no forma parte del territorio de las Comunidades Autónomas ni, por tanto, extienden estas, en principio, sus competencias a ese espacio. Por ello, afirma que el art. 36.1 de la Ley 42/2007, que recoge esta doctrina, es plenamente acorde con nuestro texto constitucional.</w:t>
      </w:r>
    </w:p>
    <w:p w:rsidR="0026452D" w:rsidRDefault="0026452D" w:rsidP="0026452D">
      <w:pPr>
        <w:pStyle w:val="TextoNormal"/>
      </w:pPr>
    </w:p>
    <w:p w:rsidR="0026452D" w:rsidRDefault="0026452D" w:rsidP="0026452D">
      <w:pPr>
        <w:pStyle w:val="TextoNormal"/>
      </w:pPr>
      <w:r>
        <w:t>Admite el Abogado del Estado que el precepto impugnado se limita a recoger la competencia autonómica para el supuesto de que exista continuidad ecológica entre la parte terrestre y la parte marina del espacio natural y que no contempla otras circunstancias específicas del espacio que pudieran justificar la asunción autonómica de la competencia, pero entiende que ello se debe a que “realmente resulta difícil encontrar otro supuesto de hecho que así lo demande” y destaca que “ni el Tribunal Constitucional, ni el propio demandante, ni el legislador han sido capaces de imaginar otro supuesto en el que las circunstancias del espacio a proteger demanden la extensión de la competencia autonómica”. Es más, afirma que “singularmente la demanda es incapaz de ofrecer un ejemplo práctico que quedando amparado por la doctrina del Tribunal sobre la extensión excepcional de la competencia autonómica, sin embargo, no lo estuviera por el supuesto de hecho del precepto estatal”. Concluye, por tanto, que el precepto ha tratado de plasmar con la mayor fidelidad posible la doctrina establecida en la STC 38/2002 sin que merezca reproche alguno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5</w:t>
      </w:r>
      <w:r>
        <w:t>. Los argumentos de la representación procesal de Canarias acerca del alcance del territorio de la Comunidad Autónoma de Canarias y de la extensión de sus competencias al mar territorial adyacente como consecuencia de la condición de archipiélago de la Comunidad Autónoma que se consagra en su Estatuto de Autonomía (art. 2 EACan) han sido ya analizados en nuestra reciente Sentencia 8/2013, de 17 de enero.</w:t>
      </w:r>
    </w:p>
    <w:p w:rsidR="0026452D" w:rsidRDefault="0026452D" w:rsidP="0026452D">
      <w:pPr>
        <w:pStyle w:val="TextoNormal"/>
      </w:pPr>
    </w:p>
    <w:p w:rsidR="0026452D" w:rsidRDefault="0026452D" w:rsidP="0026452D">
      <w:pPr>
        <w:pStyle w:val="TextoNormal"/>
      </w:pPr>
      <w:r>
        <w:t>En efecto, en esta Sentencia recordamos que este Tribunal ya se ha pronunciado en diversas resoluciones (SSTC 149/1991, de 4 de julio, FJ 1; 38/2002, de 14 de febrero; 31/2010, de 28 de junio, FJ 92 y 162/2012, de 20 de septiembre, FJ 7) acerca de la cuestión de si el mar territorial forma o no parte del territorio de las Comunidades Autónomas, negando que los territorios autonómicos incluyan esta franja adyacente del mar. La Comunidad Autónoma de Canarias no constituye una excepción.</w:t>
      </w:r>
    </w:p>
    <w:p w:rsidR="0026452D" w:rsidRDefault="0026452D" w:rsidP="0026452D">
      <w:pPr>
        <w:pStyle w:val="TextoNormal"/>
      </w:pPr>
    </w:p>
    <w:p w:rsidR="0026452D" w:rsidRDefault="0026452D" w:rsidP="0026452D">
      <w:pPr>
        <w:pStyle w:val="TextoNormal"/>
      </w:pPr>
      <w:r>
        <w:t xml:space="preserve">Como afirmamos en el fundamento jurídico 5 de esta Sentencia 8/2013, el art. 143 CE “configura el ejercicio del derecho de autonomía del art. 2 CE y, en consecuencia, el autogobierno de las Comunidades Autónomas sobre la base de los ‘territorios insulares’, las </w:t>
      </w:r>
      <w:r>
        <w:lastRenderedPageBreak/>
        <w:t>provincias y municipios” y aunque el texto fundamental hace referencia, en diversas ocasiones, a la singularidad del hecho insular “sin embargo, en lo que se refiere al ámbito territorial de las Comunidades Autónomas, la Constitución tiene en cuenta el hecho insular para remitirse a los ‘territorios insulares’ como sustrato territorial de las constituidas por las islas lo que se explica … por … el entendimiento común de que el territorio autonómico se extiende al ámbito de los municipios que integran la correspondiente Comunidad y que éstos nunca se han extendido ni tampoco hoy se extienden al mar territorial.”</w:t>
      </w:r>
    </w:p>
    <w:p w:rsidR="0026452D" w:rsidRDefault="0026452D" w:rsidP="0026452D">
      <w:pPr>
        <w:pStyle w:val="TextoNormal"/>
      </w:pPr>
    </w:p>
    <w:p w:rsidR="0026452D" w:rsidRDefault="0026452D" w:rsidP="0026452D">
      <w:pPr>
        <w:pStyle w:val="TextoNormal"/>
      </w:pPr>
      <w:r>
        <w:t>Además, en el fundamento jurídico 6 de esta misma Sentencia 8/2013, hemos sostenido que no cabe compartir la interpretación que hace el Gobierno de Canarias de los arts. 2 y 40 EACan. En primer lugar, porque, “aunque el término ‘territorios insulares’ ha desaparecido del Estatuto de Autonomía y ha sido sustituido por el término ‘archipiélago’, la definición del territorio autonómico viene dada, en ambas regulaciones, por las islas (‘el archipiélago canario integrado por las siete islas’), sin que se incluya una referencia explícita al mar que las rodea, ni ésta pueda deducirse del significado común del término archipiélago, que se limita a indicar que las islas deben estar agrupadas en el mar, más o menos próximas entre ellas” (STC 8/2013, FJ 6). En segundo lugar, porque, aunque en el texto del proyecto de reforma del Estatuto de Autonomía aprobado por el Parlamento de Canarias y remitido en dos ocasiones a las Cortes Generales para su tramitación parlamentaria se incluía una previsión (art. 39) de que las competencias de Canarias se ejercerían en las aguas de competencia española que rodean las islas, esta previsión “no sólo ha desaparecido del Estatuto vigente … sino que se ha introducido una cláusula de salvaguardia expresa de las exclusivas del Estado sobre las aguas jurisdiccionales” (STC 8/2013, FJ 6), sin que —como más extensamente se argumenta en los fundamentos jurídicos 7 y 8 de esta Sentencia a los que ahora procede remitir— ni de la inclusión del término “archipiélago”, ni de los debates parlamentarios, pueda llegarse a la conclusión de que el Estatuto incorpore al territorio de la Comunidad Autónoma de Canarias el mar territorial aledaño o una extensión del ejercicio de sus competencias sobre este espacio (STC 8/2013, FFJJ 7 y 8).</w:t>
      </w:r>
    </w:p>
    <w:p w:rsidR="0026452D" w:rsidRDefault="0026452D" w:rsidP="0026452D">
      <w:pPr>
        <w:pStyle w:val="TextoNormal"/>
      </w:pPr>
    </w:p>
    <w:p w:rsidR="0026452D" w:rsidRDefault="0026452D" w:rsidP="0026452D">
      <w:pPr>
        <w:pStyle w:val="TextoNormal"/>
      </w:pPr>
      <w:r>
        <w:t>Por todo lo anterior, concluimos que “de acuerdo con el art. 2 EACan, el territorio de la Comunidad Autónoma, límite natural de las competencias autonómicas (STC 38/2002, de 14 de febrero, FJ 6), está integrado por los territorios insulares a los que expresamente se refiere el art. 143 CE, esto es, las siete islas que en él se relacionan y se extiende a la zona marítimo-terrestre que forma parte del mismo” (STC 8/2013, FJ 9).</w:t>
      </w:r>
    </w:p>
    <w:p w:rsidR="0026452D" w:rsidRDefault="0026452D" w:rsidP="0026452D">
      <w:pPr>
        <w:pStyle w:val="TextoNormal"/>
      </w:pPr>
    </w:p>
    <w:p w:rsidR="0026452D" w:rsidRDefault="0026452D" w:rsidP="0026452D">
      <w:pPr>
        <w:pStyle w:val="TextoNormal"/>
      </w:pPr>
      <w:r w:rsidRPr="0026452D">
        <w:rPr>
          <w:rStyle w:val="NumeroAFNegritaCaracter"/>
        </w:rPr>
        <w:t>6</w:t>
      </w:r>
      <w:r>
        <w:t>. El territorio de la Comunidad Autónoma de Canarias no incluye, pues, el mar territorial adyacente, por lo que es plenamente aplicable a las competencias propias de esta Comunidad Autónoma la doctrina previa de este Tribunal conforme a la cual “precisamente porque el mar no forma parte del territorio de las Comunidades Autónomas … sólo excepcionalmente pueden llegar a ejercerse competencias autonómicas sobre el mar territorial” (STC 8/2013, FJ 5 y las allí citadas).</w:t>
      </w:r>
    </w:p>
    <w:p w:rsidR="0026452D" w:rsidRDefault="0026452D" w:rsidP="0026452D">
      <w:pPr>
        <w:pStyle w:val="TextoNormal"/>
      </w:pPr>
    </w:p>
    <w:p w:rsidR="0026452D" w:rsidRDefault="0026452D" w:rsidP="0026452D">
      <w:pPr>
        <w:pStyle w:val="TextoNormal"/>
      </w:pPr>
      <w:r>
        <w:t>Una doctrina que, en materia de “espacios naturales protegidos”, ha sido desarrollada por nuestra Sentencia 38/2002 cuyo contenido no consideramos pertinente modificar, sino, por el contrario, reiterar.</w:t>
      </w:r>
    </w:p>
    <w:p w:rsidR="0026452D" w:rsidRDefault="0026452D" w:rsidP="0026452D">
      <w:pPr>
        <w:pStyle w:val="TextoNormal"/>
      </w:pPr>
    </w:p>
    <w:p w:rsidR="0026452D" w:rsidRDefault="0026452D" w:rsidP="0026452D">
      <w:pPr>
        <w:pStyle w:val="TextoNormal"/>
      </w:pPr>
      <w:r>
        <w:t xml:space="preserve">En ella afirmamos que el territorio es “elemento definidor de las competencias de los poderes públicos territoriales” (STC 38/2002, FJ 6) y que, por ello, y este es el argumento </w:t>
      </w:r>
      <w:r>
        <w:lastRenderedPageBreak/>
        <w:t>central de la Sentencia, como señala el Abogado del Estado, las competencias autonómicas no se extienden, en principio, al mar territorial. Sólo excepcionalmente cabe que las competencias autonómicas se ejerzan sobre ese espacio, lo cual dependerá “bien de un explícito reconocimiento estatutario” o bien “de la naturaleza de la competencia tal como resulta de la interpretación del bloque de constitucionalidad” (STC 38/2002, FJ 6).</w:t>
      </w:r>
    </w:p>
    <w:p w:rsidR="0026452D" w:rsidRDefault="0026452D" w:rsidP="0026452D">
      <w:pPr>
        <w:pStyle w:val="TextoNormal"/>
      </w:pPr>
    </w:p>
    <w:p w:rsidR="0026452D" w:rsidRDefault="0026452D" w:rsidP="0026452D">
      <w:pPr>
        <w:pStyle w:val="TextoNormal"/>
      </w:pPr>
      <w:r>
        <w:t>La naturaleza de la competencia autonómica para la protección de espacios naturales, dijimos, hace problemática su extensión al mar territorial, de una parte, porque el mar “como soporte topográfico del medio ambiente se integra en un primer término por un elemento móvil —las aguas— que, por obvias razones físicas no pueden adscribirse de modo permanente a un lugar determinado y, de otra, en ellas se ejerce la competencia exclusiva del Estado sobre pesca marítima que recae sobre uno de los elementos del espacio natural —gran parte de la vida marina— que se halla más necesitada de protección” (STC 38/2002, FJ 6). Por ello, “la competencia autonómica para la protección de espacios naturales sólo se extenderá al mar territorial cuando, excepcionalmente, así lo exijan las características del espacio protegido” y, en todo caso, esta competencia se encontrará limitada por la competencia estatal sobre pesca marítima ya que, “al recaer sobre uno solo de los elementos que constituyen el objeto de protección, resulta más específica y, por ello, ha de prevalecer en caso de colisión” (STC 38/2002, FJ 6).</w:t>
      </w:r>
    </w:p>
    <w:p w:rsidR="0026452D" w:rsidRDefault="0026452D" w:rsidP="0026452D">
      <w:pPr>
        <w:pStyle w:val="TextoNormal"/>
      </w:pPr>
    </w:p>
    <w:p w:rsidR="0026452D" w:rsidRDefault="0026452D" w:rsidP="0026452D">
      <w:pPr>
        <w:pStyle w:val="TextoNormal"/>
      </w:pPr>
      <w:r>
        <w:t>En definitiva, hemos entendido que, si bien las competencias autonómicas sobre espacios naturales no alcanzan, por regla general, al mar territorial, cabe que “las circunstancias y características específicas del espacio a proteger” demanden “en ocasiones excepcionales”, que el ejercicio de esas competencias “se extienda en alguna medida sobre el mar territorial, singularmente cuando así venga exigido por la continuidad y unidad de dicho espacio físico” (STC 38/2002, FJ 7) y siempre que el ejercicio de esas competencias autonómicas pueda articularse con otras competencias estatales sectoriales que se proyecten también sobre el mismo ámbito a través de fórmulas de cooperación, pues en caso de que estas fórmulas resultaren insuficientes habrían de prevalecer las competencias exclusivas del Estado (STC 38/2002, FJ 7).</w:t>
      </w:r>
    </w:p>
    <w:p w:rsidR="0026452D" w:rsidRDefault="0026452D" w:rsidP="0026452D">
      <w:pPr>
        <w:pStyle w:val="TextoNormal"/>
      </w:pPr>
    </w:p>
    <w:p w:rsidR="0026452D" w:rsidRDefault="0026452D" w:rsidP="0026452D">
      <w:pPr>
        <w:pStyle w:val="TextoNormal"/>
      </w:pPr>
      <w:r>
        <w:t xml:space="preserve">De lo anteriormente expuesto se deduce que, de acuerdo con la doctrina establecida en la STC 38/2002, ni el carácter móvil de las aguas del mar territorial, ni la confluencia de otras competencias del Estado sobre el mismo espacio suponen una exclusión absoluta —como afirma la representación procesal autonómica— del posible ejercicio de las competencias autonómicas en materia de espacios naturales. No obstante, hemos afirmado que el ejercicio de la competencia autonómica sobre espacios naturales en el mar territorial es excepcional y sólo se encuentra justificado cuando las propias circunstancias o características del espacio natural demandan una gestión unitaria, porque —y este es el argumento central de la STC 38/2002, más allá de los argumentos secundarios sobre el carácter móvil de las aguas y la concurrencia de otras competencias estatales sobre el espacio— el mar territorial no forma parte del territorio de las Comunidades Autónomas y la competencia de protección de espacios naturales no lleva implícita, con carácter general, su proyección sobre el mar, a diferencia de lo que ocurre en otras materias, como la acuicultura (STC 103/1989, de 8 de junio), el marisqueo (STC 9/2001, de 18 de enero) o la ordenación del sector pesquero (STC 158/1986, de 11 de diciembre). Son, pues, razones de protección ecológica, esto es, de adecuada protección del espacio desde una perspectiva medioambiental, las que pueden determinar, a la luz de las características y circunstancias singulares de cada espacio natural, la </w:t>
      </w:r>
      <w:r>
        <w:lastRenderedPageBreak/>
        <w:t>necesidad de una gestión conjunta de la zona terrestre y marina y, por tanto, la proyección del ejercicio de las competencias autonómicas sobre espacios naturales ubicados en el mar. O dicho de otra manera, de la naturaleza de la competencia sobre espacios naturales protegidos se deduce una proyección parcial o limitada del ejercicio de las competencias autonómicas sobre el mar territorial que se circunscribe a los espacios naturales que cuentan con una zona terrestre y marina que, por razones medioambientales, requieren un régimen de protección común o unitario.</w:t>
      </w:r>
    </w:p>
    <w:p w:rsidR="0026452D" w:rsidRDefault="0026452D" w:rsidP="0026452D">
      <w:pPr>
        <w:pStyle w:val="TextoNormal"/>
      </w:pPr>
    </w:p>
    <w:p w:rsidR="0026452D" w:rsidRDefault="0026452D" w:rsidP="0026452D">
      <w:pPr>
        <w:pStyle w:val="TextoNormal"/>
      </w:pPr>
      <w:r>
        <w:t>Esas circunstancias y características singulares pueden consistir ciertamente en la continuidad física de la superficie terrestre y marina, como ya dijimos en la STC 38/2002, pero también, como igualmente señalamos en esta resolución, en otras circunstancias y características distintas que aconsejen un régimen de protección unitario, como puede serlo la interrelación del espacio terrestre y marino, esto es, la unidad ecológica del parque, sin necesidad de que exista una continuidad o unidad material o física entre ambos espacios.</w:t>
      </w:r>
    </w:p>
    <w:p w:rsidR="0026452D" w:rsidRDefault="0026452D" w:rsidP="0026452D">
      <w:pPr>
        <w:pStyle w:val="TextoNormal"/>
      </w:pPr>
    </w:p>
    <w:p w:rsidR="0026452D" w:rsidRDefault="0026452D" w:rsidP="0026452D">
      <w:pPr>
        <w:pStyle w:val="TextoNormal"/>
      </w:pPr>
      <w:r>
        <w:t>La representación procesal del Gobierno canario imputa al precepto impugnado la vulneración de la doctrina establecida en la STC 38/2002 porque considera que el mismo opera una restricción de las competencias autonómicas para la declaración y determinación de la gestión de los parques naturales con una parte marina al preverla únicamente en uno de los supuestos contemplados en la STC 38/2002, que es la continuidad y unidad del espacio físico, y silenciando que puede haber otros supuestos distintos a éste en los que “las circunstancias y características específicas del espacio a proteger” demanden una gestión conjunta y la asunción de la competencia sobre la parte marina del parque por la Comunidad Autónoma.</w:t>
      </w:r>
    </w:p>
    <w:p w:rsidR="0026452D" w:rsidRDefault="0026452D" w:rsidP="0026452D">
      <w:pPr>
        <w:pStyle w:val="TextoNormal"/>
      </w:pPr>
    </w:p>
    <w:p w:rsidR="0026452D" w:rsidRDefault="0026452D" w:rsidP="0026452D">
      <w:pPr>
        <w:pStyle w:val="TextoNormal"/>
      </w:pPr>
      <w:r>
        <w:t>Esta alegación no puede, sin embargo, acogerse, pues lo cierto es que el precepto no contempla la competencia autonómica para la declaración y determinación de la fórmula de gestión de los espacios naturales sólo para aquellos casos en los que existe una continuidad y unidad física del espacio terrestre y marino del parque; la contempla para los casos en los que existe “continuidad ecológica” del ecosistema marino con el espacio natural terrestre. En efecto, el art. 36.1 de la Ley 42/2007 dispone que “corresponde a las Comunidades Autónomas la declaración y la determinación de la fórmula de gestión de los espacios naturales protegidos en su ámbito territorial y en las aguas marinas cuando, para estas últimas, en cada caso exista continuidad ecológica del ecosistema marino con el espacio natural terrestre objeto de protección, avalada por la mejor evidencia científica existente”. El término “continuidad ecológica” no hace referencia a la continuidad y unidad física del espacio, pues puede haber continuidad ecológica, esto es, del ecosistema de ambas zonas, terrestre y marina, sin que exista continuidad o unidad física de las mismas (por ejemplo, por la estrecha interrelación o identidad de su flora y fauna). Por tanto, el art. 36.1 de la Ley 42/2007 no restringe la competencia autonómica a los supuestos en los que la zona marina y la zona terrestre están conectados o unidos materialmente, sino que establece una regla más abierta (la de la “continuidad ecológica”) que permite incluir otros supuestos en los que, sin existir conexión física entre el espacio marino y el terrestre, las características y circunstancias singulares del espacio demandan una gestión unitaria por la Comunidad Autónoma. Debemos, por tanto, rechazar también este último reproche dirigido al art. 36.1 y, consiguientemente, desestimar el recurso.</w:t>
      </w:r>
    </w:p>
    <w:p w:rsidR="0026452D" w:rsidRDefault="0026452D" w:rsidP="0026452D">
      <w:pPr>
        <w:pStyle w:val="TextoNormal"/>
      </w:pPr>
    </w:p>
    <w:p w:rsidR="0026452D" w:rsidRDefault="0026452D" w:rsidP="0026452D">
      <w:pPr>
        <w:pStyle w:val="TextoNormalCentrado"/>
        <w:keepNext/>
      </w:pPr>
      <w:r>
        <w:lastRenderedPageBreak/>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recurso interpuesto por el Gobierno de Canarias contra el art. 36.1 de la Ley 42/2007, de 13 de diciembre, del patrimonio natural y de la biodiversidad.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91" w:name="SENTENCIA_2013_88"/>
      <w:r>
        <w:lastRenderedPageBreak/>
        <w:t>SENTENCIA 88/2013, de 11 de abril de 2013</w:t>
      </w:r>
    </w:p>
    <w:bookmarkEnd w:id="91"/>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112, de 10 de mayo de 2013)</w:t>
      </w:r>
    </w:p>
    <w:p w:rsidR="0026452D" w:rsidRDefault="0026452D" w:rsidP="0026452D">
      <w:pPr>
        <w:pStyle w:val="TtuloBOE"/>
      </w:pPr>
    </w:p>
    <w:p w:rsidR="0026452D" w:rsidRDefault="0026452D" w:rsidP="0026452D">
      <w:pPr>
        <w:pStyle w:val="SntesisDescriptiva"/>
      </w:pPr>
      <w:r>
        <w:t>ECLI:ES:TC:2013:88</w:t>
      </w:r>
    </w:p>
    <w:p w:rsidR="0026452D" w:rsidRDefault="0026452D" w:rsidP="0026452D">
      <w:pPr>
        <w:pStyle w:val="SntesisDescriptiva"/>
      </w:pPr>
    </w:p>
    <w:p w:rsidR="0026452D" w:rsidRDefault="0026452D" w:rsidP="0026452D">
      <w:pPr>
        <w:pStyle w:val="SntesisDescriptiva"/>
      </w:pPr>
      <w:r>
        <w:t>Recurso de amparo 10713-2009. Promovido por don César Pastor Antón y doña Remedios Pastor Antón en relación con la Sentencia de la Audiencia Provincial de Barcelona que les condenó, en apelación, por un delito societario.</w:t>
      </w:r>
    </w:p>
    <w:p w:rsidR="0026452D" w:rsidRDefault="0026452D" w:rsidP="0026452D">
      <w:pPr>
        <w:pStyle w:val="SntesisDescriptiva"/>
      </w:pPr>
    </w:p>
    <w:p w:rsidR="0026452D" w:rsidRDefault="0026452D" w:rsidP="0026452D">
      <w:pPr>
        <w:pStyle w:val="SntesisAnaltica"/>
      </w:pPr>
      <w:r>
        <w:t>Vulneración de los derechos a un proceso con todas las garantías y a la presunción de inocencia: condena en segunda instancia basada en una actividad probatoria carente de garantías (STC 167/2002); lugar de presentación de los escritos de iniciación del recurso de amparo. Voto particular.</w:t>
      </w:r>
    </w:p>
    <w:p w:rsidR="0026452D" w:rsidRDefault="0026452D" w:rsidP="0026452D">
      <w:pPr>
        <w:pStyle w:val="SntesisAnaltica"/>
      </w:pPr>
    </w:p>
    <w:p w:rsidR="0026452D" w:rsidRDefault="0026452D" w:rsidP="0026452D">
      <w:pPr>
        <w:pStyle w:val="Extracto"/>
      </w:pPr>
      <w:r>
        <w:t>1.</w:t>
      </w:r>
      <w:r>
        <w:tab/>
        <w:t xml:space="preserve">Resulta contrario a un proceso con todas las garantías que un órgano judicial condene a quien había sido absuelto en la instancia como consecuencia de una nueva fijación de hechos probados con origen en la reconsideración de pruebas personales, que exigen su práctica en presencia del órgano judicial que las valora, sin haber celebrado una vista pública en la que se hayan respetado los principios de publicidad, inmediación y contradicción (STC 167/2002; SSTEDH casos </w:t>
      </w:r>
      <w:r w:rsidRPr="0026452D">
        <w:rPr>
          <w:i/>
        </w:rPr>
        <w:t>Ekbatani c. Suecia</w:t>
      </w:r>
      <w:r>
        <w:t xml:space="preserve">, de 26 de mayo de 1988 y </w:t>
      </w:r>
      <w:r w:rsidRPr="0026452D">
        <w:rPr>
          <w:i/>
        </w:rPr>
        <w:t>Constantinescu c. Rumania</w:t>
      </w:r>
      <w:r>
        <w:t>, de 27 de junio de 2000)  [FFJJ 7 a 9, 11].</w:t>
      </w:r>
    </w:p>
    <w:p w:rsidR="0026452D" w:rsidRDefault="0026452D" w:rsidP="0026452D">
      <w:pPr>
        <w:pStyle w:val="Extracto"/>
      </w:pPr>
    </w:p>
    <w:p w:rsidR="0026452D" w:rsidRDefault="0026452D" w:rsidP="0026452D">
      <w:pPr>
        <w:pStyle w:val="Extracto"/>
      </w:pPr>
      <w:r>
        <w:t>2.</w:t>
      </w:r>
      <w:r>
        <w:tab/>
        <w:t xml:space="preserve">Doctrina sobre la condena penal en segunda instancia y el derecho a un proceso con todas las garantías (SSTC 167/2002, 43/2013; SSTEDH casos </w:t>
      </w:r>
      <w:r w:rsidRPr="0026452D">
        <w:rPr>
          <w:i/>
        </w:rPr>
        <w:t>Igual Coll c. España</w:t>
      </w:r>
      <w:r>
        <w:t xml:space="preserve">, de 10 de marzo de 2009 y </w:t>
      </w:r>
      <w:r w:rsidRPr="0026452D">
        <w:rPr>
          <w:i/>
        </w:rPr>
        <w:t>Vilanova Goterris y Llop García c. España</w:t>
      </w:r>
      <w:r>
        <w:t>, de 27 de noviembre de 2012)  [FFJJ 7 a 9].</w:t>
      </w:r>
    </w:p>
    <w:p w:rsidR="0026452D" w:rsidRDefault="0026452D" w:rsidP="0026452D">
      <w:pPr>
        <w:pStyle w:val="Extracto"/>
      </w:pPr>
    </w:p>
    <w:p w:rsidR="0026452D" w:rsidRDefault="0026452D" w:rsidP="0026452D">
      <w:pPr>
        <w:pStyle w:val="Extracto"/>
      </w:pPr>
      <w:r>
        <w:t>3.</w:t>
      </w:r>
      <w:r>
        <w:tab/>
        <w:t>El testimonio judicial del acusado tiene el doble carácter de prueba personal, que exige de inmediación para ser valorada, y de derecho a dirigirse y ser oído personalmente por el órgano judicial que vaya a decidir sobre su culpabilidad, de modo que la exigencia de oír nuevamente al acusado absuelto en segunda instancia para poder dictar Sentencia revocatoria es una de las garantías del derecho a un proceso con todas las garantías (SSTC 167/2002, 126/2012) [FJ 9].</w:t>
      </w:r>
    </w:p>
    <w:p w:rsidR="0026452D" w:rsidRDefault="0026452D" w:rsidP="0026452D">
      <w:pPr>
        <w:pStyle w:val="Extracto"/>
      </w:pPr>
    </w:p>
    <w:p w:rsidR="0026452D" w:rsidRDefault="0026452D" w:rsidP="0026452D">
      <w:pPr>
        <w:pStyle w:val="Extracto"/>
      </w:pPr>
      <w:r>
        <w:t>4.</w:t>
      </w:r>
      <w:r>
        <w:tab/>
        <w:t>En los casos en que se verifique una valoración de pruebas personales sin la debida inmediación resultará también afectado el derecho a la presunción de inocencia cuando se ponga de manifiesto que dichas pruebas son las únicas o esenciales para llegar a la conclusión fáctica incriminatoria, supuestos que determinarían la anulación de la Sentencia condenatoria sin retroacción de actuaciones (SSTC 167/2002, 144/2012) [FJ 12].</w:t>
      </w:r>
    </w:p>
    <w:p w:rsidR="0026452D" w:rsidRDefault="0026452D" w:rsidP="0026452D">
      <w:pPr>
        <w:pStyle w:val="Extracto"/>
      </w:pPr>
    </w:p>
    <w:p w:rsidR="0026452D" w:rsidRDefault="0026452D" w:rsidP="0026452D">
      <w:pPr>
        <w:pStyle w:val="Extracto"/>
      </w:pPr>
      <w:r>
        <w:t>5.</w:t>
      </w:r>
      <w:r>
        <w:tab/>
        <w:t xml:space="preserve">El derecho a la presunción de inocencia se configura como el derecho a no ser condenado sin prueba de cargo válida, lo que significa que sólo cabe considerar vulnerado este derecho cuando los órganos judiciales hayan sustentado la condena </w:t>
      </w:r>
      <w:r>
        <w:lastRenderedPageBreak/>
        <w:t xml:space="preserve">valorando una actividad probatoria lesiva de otros derechos o carente de garantías, cuando no se motive el resultado de dicha valoración, o cuando por ilógico o insuficiente no sea razonable el </w:t>
      </w:r>
      <w:r w:rsidRPr="0026452D">
        <w:rPr>
          <w:i/>
        </w:rPr>
        <w:t>iter</w:t>
      </w:r>
      <w:r>
        <w:t xml:space="preserve"> discursivo que conduce de la prueba al hecho probado (SSTC 104/2011, 16/2012) [FJ 12].</w:t>
      </w:r>
    </w:p>
    <w:p w:rsidR="0026452D" w:rsidRDefault="0026452D" w:rsidP="0026452D">
      <w:pPr>
        <w:pStyle w:val="Extracto"/>
      </w:pPr>
    </w:p>
    <w:p w:rsidR="0026452D" w:rsidRDefault="0026452D" w:rsidP="0026452D">
      <w:pPr>
        <w:pStyle w:val="Extracto"/>
      </w:pPr>
      <w:r>
        <w:t>6.</w:t>
      </w:r>
      <w:r>
        <w:tab/>
        <w:t>Se ha vulnerado el  derecho a la presunción de inocencia toda vez que la parte esencial de la actividad probatoria en que se ha fundamentado la condena, al entender acreditada la concurrencia del elemento subjetivo del delito del ánimo de perjudicar al socio minoritario, aparecía referida a testimonios personales exculpatorios que no se han desarrollado con respeto a las necesarias garantías de publicidad, inmediación y contradicción en la segunda instancia (STC 126/2012) [FJ 13].</w:t>
      </w:r>
    </w:p>
    <w:p w:rsidR="0026452D" w:rsidRDefault="0026452D" w:rsidP="0026452D">
      <w:pPr>
        <w:pStyle w:val="Extracto"/>
      </w:pPr>
    </w:p>
    <w:p w:rsidR="0026452D" w:rsidRDefault="0026452D" w:rsidP="0026452D">
      <w:pPr>
        <w:pStyle w:val="Extracto"/>
      </w:pPr>
      <w:r>
        <w:t>7.</w:t>
      </w:r>
      <w:r>
        <w:tab/>
        <w:t>El art. 85.2 LOTC debe interpretarse en el sentido de que permite que la presentación de escritos de iniciación del recurso de amparo se realice, con plenos efectos interruptores del plazo de caducidad, tanto en el Registro del Tribunal Constitucional como en la oficina o servicio de registro central de los Tribunales civiles de cualquier localidad durante la integridad del plazo completo previsto legalmente para la presentación de dichos escritos, es decir hasta las 15:00 horas del día siguiente al del vencimiento del plazo de interposición [FFJJ 2 a 5].</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amparo avocado núm. 10713-2009, promovido por don César Pastor Antón y doña Remedios Pastor Antón, representados por la Procuradora de los Tribunales doña Natalia Martín de Vidales y bajo la dirección del Letrado don Marc Molins Raich, contra el Auto de la Sección Sexta de la Audiencia Provincial de Barcelona de 23 de marzo de 2009, aclarado por Auto de 29 de octubre de 2009, por el que se desestima el incidente de nulidad de actuaciones interpuesto contra la Sentencia de 27 de noviembre de 2008, dictada en el rollo de apelación núm. 29-2008, que estimó el recurso interpuesto contra la Sentencia del Juzgado de lo Penal núm. 6 de Barcelona de 10 de diciembre de 2007, dictada en el procedimiento abreviado núm. 243-2007. Ha comparecido don Roberto Serna Mundet, representado por la Procuradora de los Tribunales doña Cayetana de Zulueta Luchsinger, y </w:t>
      </w:r>
      <w:r>
        <w:lastRenderedPageBreak/>
        <w:t>bajo la dirección del Letrado don Enrique Cancelo Castro. Ha intervenido el Ministerio Fiscal. Ha sido Ponente el Magistrado don Pablo Pérez Tremps,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Decanato de los Juzgados de Madrid el 18 de diciembre de 2009 y registrado en este Tribunal el 28 de diciembre de 2009, la Procuradora de los Tribunales doña Natalia Martín de Vidales, en nombre y representación de don Cesar Pastor Antón y doña Remedios Pastor Antón, y bajo la dirección del Letrado don Marc Molins Raich, interpuso demanda de amparo contra las resoluciones que se menciona en el encabezamiento de esta Sentencia.</w:t>
      </w:r>
    </w:p>
    <w:p w:rsidR="0026452D" w:rsidRDefault="0026452D" w:rsidP="0026452D">
      <w:pPr>
        <w:pStyle w:val="TextoNormal"/>
      </w:pPr>
    </w:p>
    <w:p w:rsidR="0026452D" w:rsidRDefault="0026452D" w:rsidP="0026452D">
      <w:pPr>
        <w:pStyle w:val="TextoNormal"/>
      </w:pPr>
      <w:r w:rsidRPr="0026452D">
        <w:rPr>
          <w:rStyle w:val="NumeroAFNegritaCaracter"/>
        </w:rPr>
        <w:t>2</w:t>
      </w:r>
      <w:r>
        <w:t>. El recurso tiene su origen en los siguientes antecedentes:</w:t>
      </w:r>
    </w:p>
    <w:p w:rsidR="0026452D" w:rsidRDefault="0026452D" w:rsidP="0026452D">
      <w:pPr>
        <w:pStyle w:val="TextoNormal"/>
      </w:pPr>
    </w:p>
    <w:p w:rsidR="0026452D" w:rsidRDefault="0026452D" w:rsidP="0026452D">
      <w:pPr>
        <w:pStyle w:val="TextoNormal"/>
      </w:pPr>
      <w:r>
        <w:t>a) Los recurrentes fueron absueltos por Sentencia del Juzgado de lo Penal núm. 6 de Barcelona de 10 de diciembre de 2007, dictada en el procedimiento abreviado núm. 243-2007, del delito societario de que eran acusados. En la relación de hechos probados se hacía constar que los acusados y el denunciante habían constituido una sociedad, de la que eran administradores solidarios, con el objeto de explotar un restaurante llamado “Colibrí”, cuya denominación era titularidad de la sociedad. Tras diversas discrepancias, la junta general acordó el cese como administrador del denunciante, quien no impugnó dicho acuerdo y se mantuvo como socio, comenzándose el proceso de liquidación de la sociedad y el traspaso del restaurante, negociándose una eventual compra de la sociedad por el denunciante que no llegó a culminarse. Igualmente se declaró probado, por una parte, que el denunciante dejó de colaborar en la explotación del restaurante, abriendo uno propio, no impugnando ninguno de los acuerdos adoptados para la liquidación, y, por otro, que ante la imposibilidad de liquidación de la sociedad se traspasó el restaurante y los acusados abrieron otro nuevo también denominado “Colibrí”, al que se llevaron la bodega del anterior restaurante y la línea telefónica. Del mismo modo, se recoge en la relación de hechos probados que la junta general, a la que fue citado el denunciante por burofax, acordó la liquidación de la sociedad, sin que dicho acuerdo tampoco fuera impugnado por el denunciante.</w:t>
      </w:r>
    </w:p>
    <w:p w:rsidR="0026452D" w:rsidRDefault="0026452D" w:rsidP="0026452D">
      <w:pPr>
        <w:pStyle w:val="TextoNormal"/>
      </w:pPr>
    </w:p>
    <w:p w:rsidR="0026452D" w:rsidRDefault="0026452D" w:rsidP="0026452D">
      <w:pPr>
        <w:pStyle w:val="TextoNormal"/>
      </w:pPr>
      <w:r>
        <w:t xml:space="preserve">En la fundamentación jurídica se expone que no concurren los elementos del tipo del art. 291 del Código penal, ya que los acuerdos societarios adoptados no pueden calificarse de abusivos, pues estaba acreditado que ante las discrepancias surgidas entre los acusados y su socio querellante y el declive de la explotación, y una vez que el querellante, tras su destitución como administrador en diciembre de 2004, no impugnada, había empezado a colaborar en la explotación de un nuevo local en mayo de 2005, se le propuso la compra de sus participaciones, que no pudo llegarse a hacer efectiva, e, incluso, una vez que ya se había desentendido de cualquier gestión o actividad en el restaurante fue convocado mediante burofax, que no fue recogido, a una junta general para acordar la solicitud de liquidación y disolución de la sociedad a celebrar el 30 de junio de 2006. La Sentencia considera acreditados estos extremos por la repercusión social que tuvo la inauguración del nuevo local del querellante, “constando siempre el querellante pese a sus manifestaciones al respecto, como uno de los impulsores de la nueva actividad”, así como por las diferentes propuestas frustradas que se hicieron para la disolución de la sociedad, considerando que “estos hechos </w:t>
      </w:r>
      <w:r>
        <w:lastRenderedPageBreak/>
        <w:t>desvirtúan las alegaciones del querellante que no instó en su momento en defensa de las mismas las oportunas vías mercantiles al respecto”. Igualmente se destaca que tampoco concurre el necesario elemento subjetivo del tipo de perjudicar al denunciante, toda vez que compartía la decisión de cierre del negocio ya que había reconocido que vio el cartel de traspaso del local sin desarrollar ninguna acción legal hasta que mucho tiempo después formuló la querella que ha dado lugar al procedimiento (fundamento de Derecho primero).</w:t>
      </w:r>
    </w:p>
    <w:p w:rsidR="0026452D" w:rsidRDefault="0026452D" w:rsidP="0026452D">
      <w:pPr>
        <w:pStyle w:val="TextoNormal"/>
      </w:pPr>
    </w:p>
    <w:p w:rsidR="0026452D" w:rsidRDefault="0026452D" w:rsidP="0026452D">
      <w:pPr>
        <w:pStyle w:val="TextoNormal"/>
      </w:pPr>
      <w:r>
        <w:t>b) El denunciante interpuso recurso de apelación, que fue tramitado con el núm. de rollo 229-2008, alegando errónea valoración de las pruebas practicada en el juicio oral. La Sección Sexta de la Audiencia Provincial de Barcelona, sin celebración de vista, por Sentencia de 27 de noviembre de 2008, estimó el recurso de apelación con revocación de la Sentencia de instancia, condenando a los demandantes de amparo, como autores de un delito societario, a sendas penas de seis meses de prisión, accesorias y costas. La Sentencia de apelación confirmó la declaración de hechos probados de la Sentencia de instancia, que mantuvo sin modificar, argumentando que de los mismos y a partir de la sucesión de hechos se puede derivar tanto el carácter abusivo de los acuerdos societarios como el dolo de los recurrentes. Señala que, a los efectos de acreditar su carácter abusivo, es relevante que los acusados inscribieran el nombre “Colibrí” para la nueva sociedad que ellos habían creado, ya que supuso una descapitalización de la sociedad, que se consumó con el traslado de la bodega y de la línea telefónica al nuevo establecimiento. Del mismo modo, en relación con el dolo de la conducta, destaca la Sentencia de apelación que no se comparte el criterio de la resolución impugnada de que el dolo quedaba excluido por haber existido unas negociaciones previas para la disolución, ya que ello no permite concluir “que el acuerdo no llegó porque el querellante no quiso, ni permite excluir, precisamente lo contrario, que tal acuerdo no se consiguió por que los acusados no estuvieran de acuerdo, incluso, porque pretendían quedarse con los activos de la empresa” (fundamento de Derecho primero). Sin embargo, la Sentencia de apelación razona que el dolo de la conducta se puede derivar del hecho de que la descapitalización de la sociedad se produjo con anterioridad a los acuerdos de disolución que sólo se formalizaron extemporáneamente una vez que la sociedad ya no tenía valor alguno.</w:t>
      </w:r>
    </w:p>
    <w:p w:rsidR="0026452D" w:rsidRDefault="0026452D" w:rsidP="0026452D">
      <w:pPr>
        <w:pStyle w:val="TextoNormal"/>
      </w:pPr>
    </w:p>
    <w:p w:rsidR="0026452D" w:rsidRDefault="0026452D" w:rsidP="0026452D">
      <w:pPr>
        <w:pStyle w:val="TextoNormal"/>
      </w:pPr>
      <w:r>
        <w:t>c) Los recurrentes formularon un incidente de nulidad de actuaciones alegando, entre otros motivos, que se había vulnerado su derecho a la tutela judicial efectiva y a la presunción de inocencia al no haberse respetado la doctrina constitucional sobre la valoración de la prueba en la segunda instancia. Argumentan que, a pesar de que la Sentencia de apelación confirma los hechos probados, en su fundamentación jurídica se produce una mutación de los hechos determinantes para la condena que se basa en una distinta ponderación de pruebas personales no practicadas en presencia del órgano judicial de apelación en contradicción con la doctrina sentada por la STC 167/2002, de 18 de septiembre. El incidente fue desestimado por Auto de 23 de marzo de 2009, argumentado que no ha habido ninguna modificación de hechos probados, habiéndose aceptado la valoración probatoria realizada en la instancia. El Auto fue completado por otro de 29 de octubre de 2009, notificado a los recurrentes el 4 de noviembre de 2009.</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Los recurrentes aducen en la demanda de amparo que se han vulnerado sus derechos a un proceso con todas las garantías y a la defensa (art. 24.2 CE) por haber sido condenados en segunda instancia, tras una previa absolución, sin haber observado las garantías de inmediación y contradicción que deben presidir la valoración probatoria en la segunda instancia, tal como se ha establecido en la STC 167/2002, de 18 de diciembre, así como sin haber sido </w:t>
      </w:r>
      <w:r>
        <w:lastRenderedPageBreak/>
        <w:t>oídos por el órgano judicial de apelación, en los términos exigidos por la STC 184/2009, de 7 de septiembre. En atención a ello solicitan que se anulen la resolución impugnada con confirmación de la Sentencia de instancia para mantener “la plena vigencia de la presunción de inocencia de la que fueron indebidamente desposeídos”. Los recurrentes justifican la especial trascendencia constitucional del recurso argumentando la necesidad de consolidar la novedosa doctrina establecida en la citada STC 184/2009 que, por otra parte, es sistemáticamente desconocida y desoída por la jurisprudencia menor.</w:t>
      </w:r>
    </w:p>
    <w:p w:rsidR="0026452D" w:rsidRDefault="0026452D" w:rsidP="0026452D">
      <w:pPr>
        <w:pStyle w:val="TextoNormal"/>
      </w:pPr>
    </w:p>
    <w:p w:rsidR="0026452D" w:rsidRDefault="0026452D" w:rsidP="0026452D">
      <w:pPr>
        <w:pStyle w:val="TextoNormal"/>
      </w:pPr>
      <w:r w:rsidRPr="0026452D">
        <w:rPr>
          <w:rStyle w:val="NumeroAFNegritaCaracter"/>
        </w:rPr>
        <w:t>4</w:t>
      </w:r>
      <w:r>
        <w:t>. La Sala Primera de este Tribunal, por providencia de 15 de noviembre de 2010, acordó admitir a trámite la demanda de amparo y, en aplicación de lo dispuesto en el art. 51 de la Ley Orgánica del Tribunal Constitucional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207/2010, de 30 de diciembre, acordando denegar la suspensión de la ejecución.</w:t>
      </w:r>
    </w:p>
    <w:p w:rsidR="0026452D" w:rsidRDefault="0026452D" w:rsidP="0026452D">
      <w:pPr>
        <w:pStyle w:val="TextoNormal"/>
      </w:pPr>
    </w:p>
    <w:p w:rsidR="0026452D" w:rsidRDefault="0026452D" w:rsidP="0026452D">
      <w:pPr>
        <w:pStyle w:val="TextoNormal"/>
      </w:pPr>
      <w:r w:rsidRPr="0026452D">
        <w:rPr>
          <w:rStyle w:val="NumeroAFNegritaCaracter"/>
        </w:rPr>
        <w:t>5</w:t>
      </w:r>
      <w:r>
        <w:t>. La Secretaría de Justicia de la Sala Primera de este Tribunal, por diligencia de ordenación de 26 de enero de 2011, acordó tener por personada y parte a la Procuradora doña Cayetana de Zulueta Luchsinger, en nombre y representación de don Roberto Serna Mundet, y dar vista de las actuaciones al Ministerio Fiscal y a las partes personadas por plazo común de veinte días para presentar las alegaciones que estimasen pertinentes, de conformidad con el art. 52 LOTC.</w:t>
      </w:r>
    </w:p>
    <w:p w:rsidR="0026452D" w:rsidRDefault="0026452D" w:rsidP="0026452D">
      <w:pPr>
        <w:pStyle w:val="TextoNormal"/>
      </w:pPr>
    </w:p>
    <w:p w:rsidR="0026452D" w:rsidRDefault="0026452D" w:rsidP="0026452D">
      <w:pPr>
        <w:pStyle w:val="TextoNormal"/>
      </w:pPr>
      <w:r w:rsidRPr="0026452D">
        <w:rPr>
          <w:rStyle w:val="NumeroAFNegritaCaracter"/>
        </w:rPr>
        <w:t>6</w:t>
      </w:r>
      <w:r>
        <w:t>. La parte comparecida, en escrito registrado el 28 de febrero de 2011, presentó sus alegaciones, solicitando que fuera denegado el amparo, al entender que hay una coincidencia en los hechos probados de ambas Sentencias, habiéndose limitado la Sentencia de apelación a fundamentar la condena en una diferente valoración jurídica de dichos hechos, por lo que no se habría vulnerado el derecho a un proceso con todas las garantías.</w:t>
      </w:r>
    </w:p>
    <w:p w:rsidR="0026452D" w:rsidRDefault="0026452D" w:rsidP="0026452D">
      <w:pPr>
        <w:pStyle w:val="TextoNormal"/>
      </w:pPr>
    </w:p>
    <w:p w:rsidR="0026452D" w:rsidRDefault="0026452D" w:rsidP="0026452D">
      <w:pPr>
        <w:pStyle w:val="TextoNormal"/>
      </w:pPr>
      <w:r w:rsidRPr="0026452D">
        <w:rPr>
          <w:rStyle w:val="NumeroAFNegritaCaracter"/>
        </w:rPr>
        <w:t>7</w:t>
      </w:r>
      <w:r>
        <w:t>. El Ministerio Fiscal, en escrito registrado el 8 de marzo de 2011, interesa que se otorgue el amparo por la vulneración del derecho de defensa de los recurrentes (art. 24.2 CE), y que se anulen las resoluciones judiciales impugnadas con retroacción de las actuaciones para que los recurrentes tengan la posibilidad de ser oídos. El Ministerio Fiscal señala, en primer lugar, que la Audiencia Provincial no vulneró el derecho de los recurrentes a un proceso con todas las garantías (art. 24.2 CE), ya que no incumplió el deber de inmediación, pues su pronunciamiento condenatorio se fundamentó en los mismos hechos declarados probados por el órgano judicial de instancia. Sin embargo, el Ministerio Fiscal considera que, en atención a la doctrina establecida en la STC 184/2009, de 7 de septiembre, se ha vulnerado el derecho de los recurrentes a la defensa, ya que la Audiencia Provincial no se limitó en su labor revisora a realizar una interpretación en Derecho diferente de la efectuada en la instancia, sino que, excediéndose de una cuestión de Derecho, reexaminó el comportamiento y las intenciones de los recurrentes para adoptar una decisión sobre su culpabilidad, lo que hubiera exigido conceder a los acusados la posibilidad de ser oídos por el Tribunal que dictó el pronunciamiento condenatorio.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8</w:t>
      </w:r>
      <w:r>
        <w:t>. Los recurrentes no presentaron alegaciones.</w:t>
      </w:r>
    </w:p>
    <w:p w:rsidR="0026452D" w:rsidRDefault="0026452D" w:rsidP="0026452D">
      <w:pPr>
        <w:pStyle w:val="TextoNormal"/>
      </w:pPr>
    </w:p>
    <w:p w:rsidR="0026452D" w:rsidRDefault="0026452D" w:rsidP="0026452D">
      <w:pPr>
        <w:pStyle w:val="TextoNormal"/>
      </w:pPr>
      <w:r w:rsidRPr="0026452D">
        <w:rPr>
          <w:rStyle w:val="NumeroAFNegritaCaracter"/>
        </w:rPr>
        <w:t>9</w:t>
      </w:r>
      <w:r>
        <w:t>. El Pleno del Tribunal Constitucional, por providencia de 22 de mayo de 2013, de conformidad con lo que establece el art. 10.1 n) LOTC y a propuesta de la Sala Primera de este Tribunal, acordó recabar para sí el conocimiento del recurso de amparo.</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9 de abril de 2013, se señaló para deliberación y fallo de la Sentencia el día 11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Los recurrentes, bajo la invocación de los derechos a un proceso con todas las garantías, a la defensa y a la presunción de inocencia (art. 24.2 CE), plantean ante este Tribunal un supuesto de condena en segunda instancia, tras la revocación de una previa absolución, fundamentada en la valoración de pruebas no practicadas ante el órgano de apelación y en la circunstancia de no haber sido oído por el órgano judicial que le condenó.</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 analizar el fondo de la cuestión debatida es preciso pronunciarse sobre la eventual concurrencia de óbices procesales, para lo que, tal como ha sido reiterado en numerosas ocasiones, no es impedimento ni la inicial decisión de admisión ni la circunstancias de que no haya sido alegado por ninguna de las partes, ya que pueden ser apreciadas de oficio por este Tribunal (por todas, STC 126/2011, de 18 de julio, FJ 2).</w:t>
      </w:r>
    </w:p>
    <w:p w:rsidR="0026452D" w:rsidRDefault="0026452D" w:rsidP="0026452D">
      <w:pPr>
        <w:pStyle w:val="TextoNormal"/>
      </w:pPr>
    </w:p>
    <w:p w:rsidR="0026452D" w:rsidRDefault="0026452D" w:rsidP="0026452D">
      <w:pPr>
        <w:pStyle w:val="TextoNormal"/>
      </w:pPr>
      <w:r>
        <w:t>La cuestión que suscita la presente demanda es el cumplimiento del plazo de presentación de la demanda de amparo en el plazo de treinta días previsto en el art. 44.2 de la Ley Orgánica del Tribunal Constitucional (LOTC), puesto que, tal como queda acreditado en las actuaciones y se ha detallado en los antecedentes, la resolución que puso fin a la vía judicial fue notificada el 4 de noviembre de 2009, la demanda de amparo se presentó el 18 de diciembre de 2009 —el trigésimo día— en el Decanato de los Juzgados del orden jurisdiccional civil de Madrid y dicha demanda tuvo entrada efectiva en el Registro General de este Tribunal el 28 de diciembre de 2009. Pues bien, teniendo en cuenta la doctrina constitucional expuesta en la STC 28/2011, de 14 de marzo, FJ 3, respecto de interpretación que debe darse al art. 85.2 LOTC en relación con la posibilidad de presentación de las demandas de amparo en las oficinas o servicios de registro central de los Tribunales civiles de cualquier localidad, el presente recurso de amparo debería ser inadmitido por extemporaneidad, al haber tenido entrada el recurso en el registro de este Tribunal una vez superado ampliamente el plazo de interposición.</w:t>
      </w:r>
    </w:p>
    <w:p w:rsidR="0026452D" w:rsidRDefault="0026452D" w:rsidP="0026452D">
      <w:pPr>
        <w:pStyle w:val="TextoNormal"/>
      </w:pPr>
    </w:p>
    <w:p w:rsidR="0026452D" w:rsidRDefault="0026452D" w:rsidP="0026452D">
      <w:pPr>
        <w:pStyle w:val="TextoNormal"/>
      </w:pPr>
      <w:r>
        <w:t xml:space="preserve">En efecto, tal como se señala en la ya citada STC 28/2011, la posibilidad prevista en el art. 85.2 LOTC de presentación de los escritos de iniciación de los recursos de amparo en lugar distinto al Registro General del Tribunal Constitucional queda limitada a aquellos casos en los que, conforme con el art. 135.1 LEC, se presentan hasta las quince horas del día posterior al del vencimiento del plazo. Siendo éste el único momento en el que cabe acogerse a la posibilidad de presentar los escritos en lugar distinto de la sede del propio Tribunal, se ha concluido que los presentados en otro lugar y en momento distinto al previsto en </w:t>
      </w:r>
      <w:r>
        <w:lastRenderedPageBreak/>
        <w:t>dicho precepto habrán de entenderse presentados en el momento en que tengan entrada efectiva en el Registro General de este Tribunal.</w:t>
      </w:r>
    </w:p>
    <w:p w:rsidR="0026452D" w:rsidRDefault="0026452D" w:rsidP="0026452D">
      <w:pPr>
        <w:pStyle w:val="TextoNormal"/>
      </w:pPr>
    </w:p>
    <w:p w:rsidR="0026452D" w:rsidRDefault="0026452D" w:rsidP="0026452D">
      <w:pPr>
        <w:pStyle w:val="TextoNormal"/>
      </w:pPr>
      <w:r w:rsidRPr="0026452D">
        <w:rPr>
          <w:rStyle w:val="NumeroAFNegritaCaracter"/>
        </w:rPr>
        <w:t>3</w:t>
      </w:r>
      <w:r>
        <w:t>. El Pleno de este Tribunal, sin embargo, ha decidido recabar para sí el conocimiento del presente recurso de amparo, de conformidad con lo previsto en el art. 10.1 n) LOTC, para reconsiderar la doctrina constitucional expuesta sobre este particular en la citada STC 28/2011.</w:t>
      </w:r>
    </w:p>
    <w:p w:rsidR="0026452D" w:rsidRDefault="0026452D" w:rsidP="0026452D">
      <w:pPr>
        <w:pStyle w:val="TextoNormal"/>
      </w:pPr>
    </w:p>
    <w:p w:rsidR="0026452D" w:rsidRDefault="0026452D" w:rsidP="0026452D">
      <w:pPr>
        <w:pStyle w:val="TextoNormal"/>
      </w:pPr>
      <w:r>
        <w:t>El argumento en que se sustentó la STC 28/2011 para concluir la interpretación del art. 85.2 LOTC fue el propio tenor literal del precepto, en la redacción dada al mismo por la Ley Orgánica 6/2007, de 24 de mayo, partiendo de que “según doctrina reiterada de este Tribunal ‘la presentación de escritos fuera del Tribunal es excepcional y debe interpretarse restrictivamente por exigirlo así el Derecho procesal general y la buena marcha de los procesos’ (ATC 236/1984, de 11 de abril. En la misma línea, AATC 204/1999, de 28 de julio, y 138/2001, de 1 de junio)” (FJ 2).</w:t>
      </w:r>
    </w:p>
    <w:p w:rsidR="0026452D" w:rsidRDefault="0026452D" w:rsidP="0026452D">
      <w:pPr>
        <w:pStyle w:val="TextoNormal"/>
      </w:pPr>
    </w:p>
    <w:p w:rsidR="0026452D" w:rsidRDefault="0026452D" w:rsidP="0026452D">
      <w:pPr>
        <w:pStyle w:val="TextoNormal"/>
      </w:pPr>
      <w:r>
        <w:t>El art. 85.2. LOTC, en la redacción dada por la citada Ley Orgánica 6/2007, que es la vigente en el momento en se interpuso el presente recurso de amparo, establece que “los escritos de iniciación del proceso se presentarán en la sede del Tribunal Constitucional dentro del plazo legalmente establecido. Los recursos de amparo podrán también presentarse hasta las 15 horas del día hábil siguiente al del vencimiento del plazo de interposición, ante el registro del Tribunal Constitucional, o en la oficina o servicio de registro central de los tribunales civiles de cualquier localidad, de conformidad con lo establecido en el art. 135.1 de la Ley 1/2000, de 7 de enero, de Enjuiciamiento Civil.”</w:t>
      </w:r>
    </w:p>
    <w:p w:rsidR="0026452D" w:rsidRDefault="0026452D" w:rsidP="0026452D">
      <w:pPr>
        <w:pStyle w:val="TextoNormal"/>
      </w:pPr>
    </w:p>
    <w:p w:rsidR="0026452D" w:rsidRDefault="0026452D" w:rsidP="0026452D">
      <w:pPr>
        <w:pStyle w:val="TextoNormal"/>
      </w:pPr>
      <w:r>
        <w:t>Ciertamente, en los términos en que se señaló en la STC 28/2011, la lectura del precepto podría interpretarse en el sentido de que, en su primer inciso, se establece la regla general de que el lugar de presentación de los escritos de iniciación del proceso es la sede del Tribunal Constitucional y que debe hacerse dentro del plazo legalmente establecido para cada procedimiento. De ese modo, el inciso final se limitaría a regular la situación excepcional de extender el plazo de presentación de los escritos de iniciación exclusivamente de los procesos de amparo hasta las 15:00 horas del día siguiente hábil al del vencimiento y, sólo para esos casos —recurso de amparo y escritos de término—, posibilitar que su entrega se verifique tanto en el Registro General del Tribunal como en la oficina o servicio de registro central de los Tribunales civiles de cualquier localidad.</w:t>
      </w:r>
    </w:p>
    <w:p w:rsidR="0026452D" w:rsidRDefault="0026452D" w:rsidP="0026452D">
      <w:pPr>
        <w:pStyle w:val="TextoNormal"/>
      </w:pPr>
    </w:p>
    <w:p w:rsidR="0026452D" w:rsidRDefault="0026452D" w:rsidP="0026452D">
      <w:pPr>
        <w:pStyle w:val="TextoNormal"/>
      </w:pPr>
      <w:r>
        <w:t>Ahora bien, el tenor literal de este precepto también permite interpretar que mientras el primer inciso supone una regulación general del tiempo y lugar en que han de presentarse los escritos de iniciación de cualquier proceso constitucional; sin embargo, el inciso final supone una regulación completa específica para los recursos de amparo en que no sólo se excepciona temporalmente el momento de presentación de los escritos de iniciación del recurso de amparo, para extenderlo hasta las 15:00 horas del día siguiente hábil al del vencimiento, sino también el lugar en que puede hacerse presentación de los mismos, para extenderlo a las oficinas o servicios de registro central de los Tribunales civiles de cualquier localidad, con independencia del momento en que tal presentación se verifique.</w:t>
      </w:r>
    </w:p>
    <w:p w:rsidR="0026452D" w:rsidRDefault="0026452D" w:rsidP="0026452D">
      <w:pPr>
        <w:pStyle w:val="TextoNormal"/>
      </w:pPr>
    </w:p>
    <w:p w:rsidR="0026452D" w:rsidRDefault="0026452D" w:rsidP="0026452D">
      <w:pPr>
        <w:pStyle w:val="TextoNormal"/>
      </w:pPr>
      <w:r>
        <w:t xml:space="preserve">En favor de esta segunda interpretación redunda la circunstancia de que en este último inciso del art. 85.2 LOTC se establezca expresamente que el escrito de término del recurso </w:t>
      </w:r>
      <w:r>
        <w:lastRenderedPageBreak/>
        <w:t>de amparo puede presentarse “ante el registro del Tribunal Constitucional, o en la oficina o servicio de registro central de los Tribunales civiles de cualquier localidad”. De entenderse que el inciso del art. 85.2 LOTC se limita a establecer una regla excepcional para los supuestos de escrito de término del recurso de amparo, en el sentido de ampliar temporalmente el momento y lugar de su interposición, no hubiera sido necesario volver a insistir en este inciso final en algo que ya estaba afirmado en la regla general del inciso primero: la posibilidad de presentarlo en el Registro del Tribunal Constitucional. Así, cabe concluir que si el último inciso del art. 85.2 LOTC incluye expresamente la mención al Registro del Tribunal Constitucional, es porque objetivamente establece una regulación completa y excepcional para los recursos de amparo tanto en lo referente a la temporalidad como al lugar de la presentación.</w:t>
      </w:r>
    </w:p>
    <w:p w:rsidR="0026452D" w:rsidRDefault="0026452D" w:rsidP="0026452D">
      <w:pPr>
        <w:pStyle w:val="TextoNormal"/>
      </w:pPr>
    </w:p>
    <w:p w:rsidR="0026452D" w:rsidRDefault="0026452D" w:rsidP="0026452D">
      <w:pPr>
        <w:pStyle w:val="TextoNormal"/>
      </w:pPr>
      <w:r>
        <w:t>Por tanto, debe entenderse que no hay ninguna objeción desde la perspectiva del tenor literal de este precepto para interpretarlo en el sentido de que habilita temporalmente a que la presentación de escritos de iniciación del recurso de amparo se realice hasta las 15:00 horas del día siguiente al del vencimiento del plazo de interposición y, en cuanto al lugar de presentación, a que pueda utilizarse de manera indistinta tanto el registro del Tribunal Constitucional como la oficina o servicio de registro central de los Tribunales civiles de cualquier localidad durante la integridad del plazo completo previsto legalmente para la presentación de dichos escritos de iniciación.</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Esta interpretación, además, es la más respetuosa con el principio </w:t>
      </w:r>
      <w:r w:rsidRPr="0026452D">
        <w:rPr>
          <w:i/>
        </w:rPr>
        <w:t>pro actione</w:t>
      </w:r>
      <w:r>
        <w:t>. Tal como ha reiterado este Tribunal, el derecho de acceso a la jurisdicción, como garantía esencial del derecho a la tutela judicial efectiva (art. 24.1 CE), si bien no exige necesariamente seleccionar la interpretación más favorable a la admisión de un procedimiento entre todas las que resulten posibles, sí impone que los óbices procesales se interpreten de manera proporcionada ponderando adecuadamente los fines que preserva ese óbice y los intereses que se sacrifican (por todas, STC 44/2013, de 25 de febrero, FJ 4), en especial en un proceso de defensa de derechos fundamentales como es el recurso de amparo. Pues bien, una interpretación del art. 85.2 LOTC como la expuesta, en la que se favorece la posibilidad de presentación de los escritos de iniciación de los procedimientos de amparo en las oficinas o servicios de registro central de los Tribunales civiles de cualquier localidad en cualquier momento dentro del plazo previsto legalmente para la interposición del recurso, es la que más adecuadamente responde, por un lado, a la lógica de favorecer la igualdad de acceso a esta jurisdicción de amparo para los ciudadanos que no residan en la sede de este Tribunal, en un contexto en que no todos los escritos de iniciación de un recurso de amparo se formalizan necesariamente a través de un Procurador y, por otro, a razones de seguridad jurídica.</w:t>
      </w:r>
    </w:p>
    <w:p w:rsidR="0026452D" w:rsidRDefault="0026452D" w:rsidP="0026452D">
      <w:pPr>
        <w:pStyle w:val="TextoNormal"/>
      </w:pPr>
    </w:p>
    <w:p w:rsidR="0026452D" w:rsidRDefault="0026452D" w:rsidP="0026452D">
      <w:pPr>
        <w:pStyle w:val="TextoNormal"/>
      </w:pPr>
      <w:r>
        <w:t xml:space="preserve">Con carácter general, el art. 49.1 LOTC establece que el recurso de amparo se inicia mediante una demanda. Esta previsión, puesta en relación con las exigencias de postulación establecidas en el art. 81.1 LOTC, respecto de la necesidad de conferir representación a un Procurador y actuar bajo la representación de un Letrado —excepto para las personas que tengan título de Licenciado en Derecho que pueden comparecer por sí mismas—, determina que, en principio, se garantice una actuación profesional en la elaboración y presentación del escrito de iniciación de un proceso de amparo. Ahora bien, esta regla general de iniciación de los procesos de amparo encuentra una importante excepción en los supuestos de ejercicio del derecho a la asistencia jurídica gratuita. Así, en el acuerdo de 18 de junio de 1996, del Pleno del Tribunal Constitucional, sobre asistencia jurídica gratuita (“BOE” núm. </w:t>
      </w:r>
      <w:r>
        <w:lastRenderedPageBreak/>
        <w:t>174, de 19 de julio de 1996), se prevén diferentes supuestos en los que, aun no estando garantizada la intervención de profesionales, sin embargo, se establece la aplicación de las previsiones legales sobre la interposición en plazo de los escritos de iniciación del proceso de amparo (por todos, AATC 242/1994, de 15 de septiembre, FJ 4; 36/1995, de 30 de enero, FJ 2; o 172/2005, de 22 de abril, FJ 3) y, por tanto, las previsiones del art. 85.2 LOTC.</w:t>
      </w:r>
    </w:p>
    <w:p w:rsidR="0026452D" w:rsidRDefault="0026452D" w:rsidP="0026452D">
      <w:pPr>
        <w:pStyle w:val="TextoNormal"/>
      </w:pPr>
    </w:p>
    <w:p w:rsidR="0026452D" w:rsidRDefault="0026452D" w:rsidP="0026452D">
      <w:pPr>
        <w:pStyle w:val="TextoNormal"/>
      </w:pPr>
      <w:r>
        <w:t xml:space="preserve">En efecto, y sólo por referirse a los recursos de amparo previstos en los arts. 43 y 44 LOTC, en el mencionado acuerdo se establece que cuando una resolución que agote la vía judicial previa haya sido dictada por un órgano judicial que no tenga su sede en Madrid, quienes pretendan promover un recurso de amparo y ya tengan reconocido el derecho a la asistencia jurídica gratuita en dicha vía jurisdiccional deberán dirigirse por escrito al Tribunal Constitucional dentro de los plazos legalmente previstos para la interposición del recurso de amparo correspondiente haciendo constar expresamente la intención de interponer recurso de amparo y solicitando que se les designe Abogado y Procurador del turno de oficio (art. 4.1 y 2 del acuerdo de 18 de junio de 1996), haciéndose constar expresamente que este Tribunal podrá denegar dicha solicitud “cuando el escrito del interesado se haya presentado fuera del plazo previsto en los artículos 43 y 44 de la LOTC” (art. 4.4 del acuerdo de 18 de junio de 1996). Del mismo modo, para los casos de insuficiencia económica sobrevenida, también se prevé que quien pretenda la interposición de un recurso de amparo deberá dirigir un escrito a este Tribunal, manifestando expresamente dicha intención, dentro del plazo previsto en los arts. 43 y 44 LOTC (art. 8.1 del acuerdo de 18 de junio de 1996). Igualmente, también se prevé que quienes pretendan interponer recurso de amparo contra las resoluciones judiciales desestimatorias del reconocimiento del derecho a la asistencia jurídica gratuita deberán dirigirse por escrito al Tribunal dentro del plazo previsto en el art. 44 LOTC, haciendo constar su intención de interponer recurso de amparo y la designación de Abogado y Procurador del turno de oficio (disposición adicional primera del acuerdo de 18 de junio de 1996); lo anterior se hace extensivo a quienes, alegando insuficiencia económica, pretendan interponer recurso contra resoluciones desestimatorias de solicitudes formuladas en virtud de la Ley Orgánica 6/1984, de 24 de mayo, de </w:t>
      </w:r>
      <w:r w:rsidRPr="0026452D">
        <w:rPr>
          <w:i/>
        </w:rPr>
        <w:t>habeas corpus</w:t>
      </w:r>
      <w:r>
        <w:t>, o a quienes teniendo reconocido el derecho a la asistencia jurídica gratuita pretendan interponer recurso de amparo respecto de resoluciones judiciales dictadas en procedimientos en que no sea legalmente exigible la intervención de Abogado o Procurador (disposiciones adicionales segunda y tercera del acuerdo de 18 de junio de 1996).</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En este contexto normativo, una interpretación del art. 85.2 LOTC que sólo dotara de plenos efectos de interrupción del plazo de caducidad la presentación de este tipo de escritos en las oficinas o servicios de registro central de los Tribunales civiles de cualquier localidad el día siguiente al del vencimiento del plazo de interposición hasta las 15:00 horas, pero no los presentados en cualquier otro momento anterior, implicaría, por su rigorismo, consagrar para ciudadanos que carecen de la necesaria asistencia profesional una situación de desigualdad en el acceso a esta jurisdicción de amparo, en función del territorio de residencia, que resulta desproporcionada. Los residentes en localidades más o menos cercanas o que por cualquier razón tuvieran más fácil acceso a la sede del Registro del Tribunal Constitucional podrían utilizar la integridad del plazo para presentar el escrito de iniciación del proceso de amparo en dicho Registro con una certeza absoluta de que ello supone la interrupción del plazo de caducidad. Por el contrario, para quienes el desplazamiento hasta la sede del Tribunal Constitucional pudiera resultar más gravoso, la única certeza absoluta respecto de la interrupción del plazo de caducidad se produciría si se utiliza el registro de la oficinas </w:t>
      </w:r>
      <w:r>
        <w:lastRenderedPageBreak/>
        <w:t>o servicios de registro central de los Tribunales civiles de cualquier localidad el día siguiente al del vencimiento del plazo de interposición antes de las 15:00 horas. La presentación con anterioridad a ese momento, a pesar de que resulte fehaciente mediante el sello de entrada en dichas oficinas o servicios, e incluso aunque, paradójicamente, se hubiera mostrado una absoluta diligencia de presentar el escrito de iniciación con mucha anticipación a la preclusión del plazo de interposición, nunca permitiría al recurrente tener la certeza jurídica de su interposición en plazo. La circunstancia de que finalmente el escrito se hubiera presentado en plazo siempre dependerá de una eventualidad, la posterior recepción de ese escrito en el Registro del Tribunal Constitucional, que están fuera del control del demandante, como sería la mayor o menor diligencia de la oficina de registro en la remisión de los escritos al Tribunal Constitucional, el medio elegido para verificar dicha remisión o, incluso, la mayor o menor cercanía de dicha oficina con la sede territorial de este Tribunal, lo que es susceptible de generar una innecesaria inseguridad jurídica.</w:t>
      </w:r>
    </w:p>
    <w:p w:rsidR="0026452D" w:rsidRDefault="0026452D" w:rsidP="0026452D">
      <w:pPr>
        <w:pStyle w:val="TextoNormal"/>
      </w:pPr>
    </w:p>
    <w:p w:rsidR="0026452D" w:rsidRDefault="0026452D" w:rsidP="0026452D">
      <w:pPr>
        <w:pStyle w:val="TextoNormal"/>
      </w:pPr>
      <w:r>
        <w:t>En conclusión, el art. 85.2 LOTC debe interpretarse en el sentido de que permite que la presentación de escritos de iniciación del recurso de amparo se realice, con plenos efectos interruptores del plazo de caducidad, tanto en el Registro del Tribunal Constitucional como en la oficina o servicio de registro central de los Tribunales civiles de cualquier localidad durante la integridad del plazo completo previsto legalmente para la presentación de dichos escritos de iniciación.</w:t>
      </w:r>
    </w:p>
    <w:p w:rsidR="0026452D" w:rsidRDefault="0026452D" w:rsidP="0026452D">
      <w:pPr>
        <w:pStyle w:val="TextoNormal"/>
      </w:pPr>
    </w:p>
    <w:p w:rsidR="0026452D" w:rsidRDefault="0026452D" w:rsidP="0026452D">
      <w:pPr>
        <w:pStyle w:val="TextoNormal"/>
      </w:pPr>
      <w:r>
        <w:t>En aplicación de esta doctrina, y tomando en consideración que, tal como ya se ha expuesto, la demanda de amparo se presentó en el Decanato de los Juzgados del orden jurisdiccional civil de Madrid el 18 de diciembre de 2009 y, por tanto, dentro del plazo de treinta días desde la notificación de la resolución judicial que ponía fin a la vía judicial previa, debe concluirse que, con independencia del momento en que tuvo entrada efectiva en el Registro General de este Tribunal, el recurso fue presentado en plazo.</w:t>
      </w:r>
    </w:p>
    <w:p w:rsidR="0026452D" w:rsidRDefault="0026452D" w:rsidP="0026452D">
      <w:pPr>
        <w:pStyle w:val="TextoNormal"/>
      </w:pPr>
    </w:p>
    <w:p w:rsidR="0026452D" w:rsidRDefault="0026452D" w:rsidP="0026452D">
      <w:pPr>
        <w:pStyle w:val="TextoNormal"/>
      </w:pPr>
      <w:r w:rsidRPr="0026452D">
        <w:rPr>
          <w:rStyle w:val="NumeroAFNegritaCaracter"/>
        </w:rPr>
        <w:t>6</w:t>
      </w:r>
      <w:r>
        <w:t>. Una vez despejado el posible óbice de admisibilidad, debe entrarse en el análisis de la cuestión de fondo planteada en la demanda de amparo.</w:t>
      </w:r>
    </w:p>
    <w:p w:rsidR="0026452D" w:rsidRDefault="0026452D" w:rsidP="0026452D">
      <w:pPr>
        <w:pStyle w:val="TextoNormal"/>
      </w:pPr>
    </w:p>
    <w:p w:rsidR="0026452D" w:rsidRDefault="0026452D" w:rsidP="0026452D">
      <w:pPr>
        <w:pStyle w:val="TextoNormal"/>
      </w:pPr>
      <w:r>
        <w:t>Los recurrentes, tal como ha sido expuesto más detalladamente en los antecedentes, fueron absueltos en primera instancia del delito societario de que eran acusados. La razón en que se sustentaron las absoluciones es que no concurrían los elementos del delito del art. 291 del Código penal, ya que, a la luz de los hechos considerados probados, ni los acuerdos societarios adoptados podían calificarse como abusivos ni quedaba acreditado el elemento subjetivo del delito del ánimo de perjudicar al denunciante. Tras el recurso de apelación interpuesto por la acusación particular, los ahora recurrentes en amparo fueron condenados en segunda instancia sin previa celebración de vista. La Sentencia de apelación, si bien confirmó la declaración de hechos probados de la Sentencia de instancia, que mantuvo sin modificar, argumentó que, a partir de la sucesión de hechos probados, se podía derivar tanto el carácter abusivo de los acuerdos societarios como el dolo de los recurrentes, rectificando con ello las inferencias efectuadas por el órgano judicial de instancia respecto de la concurrencia de ambos elementos del delito.</w:t>
      </w:r>
    </w:p>
    <w:p w:rsidR="0026452D" w:rsidRDefault="0026452D" w:rsidP="0026452D">
      <w:pPr>
        <w:pStyle w:val="TextoNormal"/>
      </w:pPr>
    </w:p>
    <w:p w:rsidR="0026452D" w:rsidRDefault="0026452D" w:rsidP="0026452D">
      <w:pPr>
        <w:pStyle w:val="TextoNormal"/>
      </w:pPr>
      <w:r>
        <w:t xml:space="preserve">En relación con ello, los recurrentes han invocado los derechos a un proceso con todas las garantías, a la defensa y a la presunción de inocencia (art. 24.2 CE) por haber sido condenados en segunda instancia, tras una previa absolución, sin haber observado las garantías </w:t>
      </w:r>
      <w:r>
        <w:lastRenderedPageBreak/>
        <w:t>de inmediación y contradicción que deben presidir la valoración probatoria en la segunda instancia, infringiendo con ello la doctrina constitucional establecida en la STC 167/2002, de 18 de diciembre, y sin haber sido oídos por el órgano judicial de apelación, en contradicción con lo establecido en la STC 184/2009, de 7 de septiembre.</w:t>
      </w:r>
    </w:p>
    <w:p w:rsidR="0026452D" w:rsidRDefault="0026452D" w:rsidP="0026452D">
      <w:pPr>
        <w:pStyle w:val="TextoNormal"/>
      </w:pPr>
    </w:p>
    <w:p w:rsidR="0026452D" w:rsidRDefault="0026452D" w:rsidP="0026452D">
      <w:pPr>
        <w:pStyle w:val="TextoNormal"/>
      </w:pPr>
      <w:r>
        <w:t>De ese modo, la concreta cuestión de fondo que se plantea en este recurso ante este Tribunal es, una vez más, el alcance de las garantías procesales en la segunda instancia penal, si bien centrada en los supuestos en los que la revocación trae causa no de una modificación de los hechos declarados probados, sino de discrepancias sobre las inferencias realizadas a partir de dichos hechos para considerar concurrentes los elementos objetivos y subjetivos del delito.</w:t>
      </w:r>
    </w:p>
    <w:p w:rsidR="0026452D" w:rsidRDefault="0026452D" w:rsidP="0026452D">
      <w:pPr>
        <w:pStyle w:val="TextoNormal"/>
      </w:pPr>
    </w:p>
    <w:p w:rsidR="0026452D" w:rsidRDefault="0026452D" w:rsidP="0026452D">
      <w:pPr>
        <w:pStyle w:val="TextoNormal"/>
      </w:pPr>
      <w:r>
        <w:t>Para abordar esta cuestión desde la doble perspectiva planteada por los recurrentes de las doctrinas jurisprudenciales establecidas en las citadas SSTC 167/2002 y 184/2009 resulta preciso hacer un somero análisis de los criterios sentados en ambos pronunciamientos y su evolución posterior.</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El alcance de las garantías constitucionales para quien resulta condenado en la segunda instancia, tras revisar una previa absolución, fue objeto de un detenido análisis, inspirado en la doctrina del Tribunal Europeo de Derechos Humanos (entre otras, SSTEDH de 26 de mayo de 1988, caso </w:t>
      </w:r>
      <w:r w:rsidRPr="0026452D">
        <w:rPr>
          <w:i/>
        </w:rPr>
        <w:t>Ekbatani c. Suecia</w:t>
      </w:r>
      <w:r>
        <w:t xml:space="preserve">, o de 27 de junio de 2000, caso </w:t>
      </w:r>
      <w:r w:rsidRPr="0026452D">
        <w:rPr>
          <w:i/>
        </w:rPr>
        <w:t>Constantinescu c. Rumania</w:t>
      </w:r>
      <w:r>
        <w:t>), por el Pleno de este Tribunal Constitucional en la STC 167/2002, de 18 de diciembre, FFJJ 9 a 11, según la cual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w:t>
      </w:r>
    </w:p>
    <w:p w:rsidR="0026452D" w:rsidRDefault="0026452D" w:rsidP="0026452D">
      <w:pPr>
        <w:pStyle w:val="TextoNormal"/>
      </w:pPr>
    </w:p>
    <w:p w:rsidR="0026452D" w:rsidRDefault="0026452D" w:rsidP="0026452D">
      <w:pPr>
        <w:pStyle w:val="TextoNormal"/>
      </w:pPr>
      <w:r>
        <w:t>A partir de ello, se ha consolidado una doctrina constitucional, reiterada en numerosas resoluciones (entre las últimas, SSTC 126/2012, de 18 de junio, FJ 2; 22/2013, de 31 de enero, FJ 4; o 43/2013, de 25 de febrero, FJ 5), según la cual resulta contrario a un proceso con todas las garantías que un órgano judicial, conociendo a través de recurso, condene a quien había sido absuelto en la instancia o empeore su situación como consecuencia de una nueva fijación de los hechos probados que encuentre su origen en la reconsideración de pruebas cuya correcta y adecuada apreciación exija necesariamente que se practiquen en presencia del órgano judicial que las valora —como es el caso de las declaraciones de testigos, peritos y acusados (así, entre otras, SSTC 197/2002, de 28 de octubre, FJ 4, o 1/2010, de 11 de enero, FJ 3)—, sin haber celebrado una vista pública en que se haya desarrollado con todas las garantías dicha actividad probatoria.</w:t>
      </w:r>
    </w:p>
    <w:p w:rsidR="0026452D" w:rsidRDefault="0026452D" w:rsidP="0026452D">
      <w:pPr>
        <w:pStyle w:val="TextoNormal"/>
      </w:pPr>
    </w:p>
    <w:p w:rsidR="0026452D" w:rsidRDefault="0026452D" w:rsidP="0026452D">
      <w:pPr>
        <w:pStyle w:val="TextoNormal"/>
      </w:pPr>
      <w:r>
        <w:t xml:space="preserve">Por el contrario, en aplicación de esta doctrina constitucional, también se ha destacado que no cabrá efectuar ese reproche constitucional cuando la condena pronunciada en apelación o la agravación de la situación, a pesar de no haberse celebrado vista pública, tenga origen en una alteración fáctica que no resulta del análisis de medios probatorios que exijan presenciar su práctica para su valoración —como es el caso de pruebas documentales (así, STC 272/2005, de 24 de octubre, FJ 5 o 153/2011, de 17 de octubre, FJ 4), pruebas periciales documentadas (así, SSTC 143/2005, de 6 de junio, FJ 6; o 142/2011, de 26 de septiembre, </w:t>
      </w:r>
      <w:r>
        <w:lastRenderedPageBreak/>
        <w:t>FJ 3)—; o, también, cuando dicha alteración fáctica se derive de discrepancias con la valoración de pruebas indiciarias, de modo que el órgano judicial revisor se limite a rectificar la inferencia realizada por el de instancia, a partir de unos hechos que resultan acreditados en ésta, argumentando que este proceso deductivo, en la medida en que se basa en reglas de experiencia no dependientes de la inmediación, es plenamente fiscalizable por los órganos que conocen del recurso sin merma de garantías constitucionales (así, SSTC 43/2007, de 26 de febrero, FJ 6; o 91/2009, de 20 de abril, FJ 4). Por último, también se descarta una vulneración del derecho a un proceso con todas las garantías cuando la condena o agravación en vía de recurso, aun no habiéndose celebrado vista pública, no derive de una alteración del sustrato fáctico sobre el que se asienta la Sentencia de instancia sino sobre cuestiones estrictamente jurídicas (así, SSTC 143/2005, de 6 de junio, FJ 6 o 2/2013, de 14 de enero, FJ 6).</w:t>
      </w:r>
    </w:p>
    <w:p w:rsidR="0026452D" w:rsidRDefault="0026452D" w:rsidP="0026452D">
      <w:pPr>
        <w:pStyle w:val="TextoNormal"/>
      </w:pPr>
    </w:p>
    <w:p w:rsidR="0026452D" w:rsidRDefault="0026452D" w:rsidP="0026452D">
      <w:pPr>
        <w:pStyle w:val="TextoNormal"/>
      </w:pPr>
      <w:r>
        <w:t>Más en concreto, y centrándose en la cuestión de la acreditación de los elementos subjetivos del delito, se ha venido considerando, también en proyección de la doctrina de la STC 167/2002, que, desde la perspectiva de la exigencia de inmediación, el elemento determinante para concluir la eventual vulneración del derecho a un proceso con todas las garantías era verificar si el razonamiento judicial sobre la concurrencia de ese elemento subjetivo por el órgano judicial de segunda instancia se fundamentaba en elementos de prueba que exigieran inmediación (por todas, entre las últimas, SSTC 127/2010, de 29 de noviembre, FFJJ 3 y 4; o 126/2012, de 18 de junio, FJ 3); o, por el contrario, se vinculaba con pruebas que no tuvieran carácter personal (así, STC 137/2007, de 4 de junio, FJ 3) o sobre la base de un control de la razonabilidad de la inferencia llevada a cabo en instancia, a partir de unos hechos base que se dan por acreditados, argumentando que, en este último caso, se trata de una cuestión de estricta valoración jurídica que no exige la reproducción del debate público y la inmediación (por todas, SSTC 328/2006, de 20 de noviembre FJ 3; o 184/2009, de 7 de septiembre, FJ 2).</w:t>
      </w:r>
    </w:p>
    <w:p w:rsidR="0026452D" w:rsidRDefault="0026452D" w:rsidP="0026452D">
      <w:pPr>
        <w:pStyle w:val="TextoNormal"/>
      </w:pPr>
    </w:p>
    <w:p w:rsidR="0026452D" w:rsidRDefault="0026452D" w:rsidP="0026452D">
      <w:pPr>
        <w:pStyle w:val="TextoNormal"/>
      </w:pPr>
      <w:r w:rsidRPr="0026452D">
        <w:rPr>
          <w:rStyle w:val="NumeroAFNegritaCaracter"/>
        </w:rPr>
        <w:t>8</w:t>
      </w:r>
      <w:r>
        <w:t>. Este Tribunal ha realizado una lectura para complementar las garantías del acusado en la segunda instancia en la STC 184/2009, de 7 de septiembre, FJ 3, señalando que, también de conformidad con la misma doctrina del Tribunal Europeo de Derechos Humanos recogida en la STC 167/2002, en aquellos casos en los que se condena en segunda instancia, revocando una previa absolución, o se agravan sus consecuencias, debe igualmente atenderse a la eventual exigencia de la audiencia personal del acusado como garantía específica vinculada al derecho de defensa (art. 24.2 CE).</w:t>
      </w:r>
    </w:p>
    <w:p w:rsidR="0026452D" w:rsidRDefault="0026452D" w:rsidP="0026452D">
      <w:pPr>
        <w:pStyle w:val="TextoNormal"/>
      </w:pPr>
    </w:p>
    <w:p w:rsidR="0026452D" w:rsidRDefault="0026452D" w:rsidP="0026452D">
      <w:pPr>
        <w:pStyle w:val="TextoNormal"/>
      </w:pPr>
      <w:r>
        <w:t xml:space="preserve">A partir de ello, este Tribunal ha concretado que la exigencia de presencia del acusado en el juicio de segunda instancia se produce en los supuestos en que se debaten cuestiones de hecho que afectan a su declaración de inocencia o culpabilidad, habida cuenta de que su objeto es posibilitar que quien ha sido absuelto en primera instancia pueda exponer, ante el Tribunal llamado a revisar la decisión impugnada, su versión personal sobre su participación en los hechos que se le imputan. Por tanto, sólo si el debate planteado en segunda instancia versa exclusivamente sobre estrictas cuestiones jurídicas no resulta necesario oír personalmente al acusado en un juicio público, pues dicha audiencia ninguna incidencia podría tener en la decisión que pudiera adoptarse, y en la medida en que el debate sea estrictamente jurídico, la posición de la parte puede entenderse debidamente garantizada por la presencia de su abogado, que haría efectivo el derecho de defensa frente a los argumentos esgrimidos </w:t>
      </w:r>
      <w:r>
        <w:lastRenderedPageBreak/>
        <w:t>por la otra parte (así, SSTC 45/2011, de 11 de abril, FJ 3; o 153/2011, de 17 de octubre, FJ 6).</w:t>
      </w:r>
    </w:p>
    <w:p w:rsidR="0026452D" w:rsidRDefault="0026452D" w:rsidP="0026452D">
      <w:pPr>
        <w:pStyle w:val="TextoNormal"/>
      </w:pPr>
    </w:p>
    <w:p w:rsidR="0026452D" w:rsidRDefault="0026452D" w:rsidP="0026452D">
      <w:pPr>
        <w:pStyle w:val="TextoNormal"/>
      </w:pPr>
      <w:r>
        <w:t xml:space="preserve">A este respecto, cabe destacar que la STC 201/2012, de 12 de noviembre, FJ 5, ha vinculado esta ampliación de las garantías del acusado en la segunda instancia con la más reciente jurisprudencia del Tribunal Europeo de Derechos Humanos, en la que se pone de relieve la necesidad de esta ampliación, insistiendo en que cuando el Tribunal de segunda instancia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por lo que será indispensable contar con una audiencia pública cuando el Tribunal de apelación no se ha limitado a efectuar una interpretación diferente en derecho a la del juez </w:t>
      </w:r>
      <w:r w:rsidRPr="0026452D">
        <w:rPr>
          <w:i/>
        </w:rPr>
        <w:t>a quo</w:t>
      </w:r>
      <w:r>
        <w:t xml:space="preserve"> en cuanto a un conjunto de elementos objetivos, sino que ha efectuado una nueva apreciación de los hechos estimados probados en primera instancia y los ha reconsiderado, cuestión que se extiende más allá de las consideraciones estrictamente jurídicas (así, SSTEDH de 10 de marzo de 2009, caso </w:t>
      </w:r>
      <w:r w:rsidRPr="0026452D">
        <w:rPr>
          <w:i/>
        </w:rPr>
        <w:t>Igual Coll c. España</w:t>
      </w:r>
      <w:r>
        <w:t xml:space="preserve">, § 27; 21 de septiembre de 2010, caso </w:t>
      </w:r>
      <w:r w:rsidRPr="0026452D">
        <w:rPr>
          <w:i/>
        </w:rPr>
        <w:t>Marcos Barrios c. España</w:t>
      </w:r>
      <w:r>
        <w:t xml:space="preserve">, § 32; 16 de noviembre de 2010, caso </w:t>
      </w:r>
      <w:r w:rsidRPr="0026452D">
        <w:rPr>
          <w:i/>
        </w:rPr>
        <w:t>García Hernández c. España</w:t>
      </w:r>
      <w:r>
        <w:t xml:space="preserve">, § 25; 25 de octubre de 2011, caso </w:t>
      </w:r>
      <w:r w:rsidRPr="0026452D">
        <w:rPr>
          <w:i/>
        </w:rPr>
        <w:t>Almenara Álvarez c. España</w:t>
      </w:r>
      <w:r>
        <w:t xml:space="preserve">, §39; 22 de noviembre de 2011, caso </w:t>
      </w:r>
      <w:r w:rsidRPr="0026452D">
        <w:rPr>
          <w:i/>
        </w:rPr>
        <w:t>Lacadena Calero c. España</w:t>
      </w:r>
      <w:r>
        <w:t xml:space="preserve">, § 38; 13 de diciembre de 2011, caso </w:t>
      </w:r>
      <w:r w:rsidRPr="0026452D">
        <w:rPr>
          <w:i/>
        </w:rPr>
        <w:t>Valbuena Redondo c. España</w:t>
      </w:r>
      <w:r>
        <w:t xml:space="preserve">, § 29; 20 de marzo de 2012, caso </w:t>
      </w:r>
      <w:r w:rsidRPr="0026452D">
        <w:rPr>
          <w:i/>
        </w:rPr>
        <w:t>Serrano Contreras c. España</w:t>
      </w:r>
      <w:r>
        <w:t xml:space="preserve">, § 31; y, con posterioridad, STEDH de 27 de noviembre de 2012, caso </w:t>
      </w:r>
      <w:r w:rsidRPr="0026452D">
        <w:rPr>
          <w:i/>
        </w:rPr>
        <w:t>Vilanova Goterris y Llop García c. España</w:t>
      </w:r>
      <w:r>
        <w:t>).</w:t>
      </w:r>
    </w:p>
    <w:p w:rsidR="0026452D" w:rsidRDefault="0026452D" w:rsidP="0026452D">
      <w:pPr>
        <w:pStyle w:val="TextoNormal"/>
      </w:pPr>
    </w:p>
    <w:p w:rsidR="0026452D" w:rsidRDefault="0026452D" w:rsidP="0026452D">
      <w:pPr>
        <w:pStyle w:val="TextoNormal"/>
      </w:pPr>
      <w:r>
        <w:t xml:space="preserve">Más en concreto, y por lo que se refiere a la acreditación de los elementos subjetivos del delito, este Tribunal, perfilando el criterio de la STC 184/2009, ha recordado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w:t>
      </w:r>
      <w:r w:rsidRPr="0026452D">
        <w:rPr>
          <w:i/>
        </w:rPr>
        <w:t>a quo</w:t>
      </w:r>
      <w:r>
        <w:t xml:space="preserve">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(STC 126/2012, de 18 de junio, FJ 4).</w:t>
      </w:r>
    </w:p>
    <w:p w:rsidR="0026452D" w:rsidRDefault="0026452D" w:rsidP="0026452D">
      <w:pPr>
        <w:pStyle w:val="TextoNormal"/>
      </w:pPr>
    </w:p>
    <w:p w:rsidR="0026452D" w:rsidRDefault="0026452D" w:rsidP="0026452D">
      <w:pPr>
        <w:pStyle w:val="TextoNormal"/>
      </w:pPr>
      <w:r w:rsidRPr="0026452D">
        <w:rPr>
          <w:rStyle w:val="NumeroAFNegritaCaracter"/>
        </w:rPr>
        <w:t>9</w:t>
      </w:r>
      <w:r>
        <w:t>. La duplicidad de derechos fundamentales que se consideran concernidos en proyección de las doctrinas establecidas en las SSTC 167/2002 y 184/2009 ha llevado a que este Tribunal haya realizado un análisis independiente de ambas cuestiones en algunos pronunciamientos (así, SSTC 184/2009; 142/2011, de 26 de septiembre; o 153/2011, de 17 de octubre). Ahora bien, atendiendo al desarrollo, fundamentación y evolución de las doctrinas jurisprudenciales derivadas de las SSTC 167/2002 y 184/2009, se pone de manifiesto no sólo la íntima interconexión de los criterios sentados con dichos pronunciamientos, sino también que tienen un fundamento común, al englobarse de manera inescindible la exigencia de inmediación probatoria y el derecho del acusado absuelto a ser oído, que no es sino una concreta manifestación del principio de contradicción, en el más genérico derecho a un proceso con todas las garantías (art. 24.2 CE). De ahí que este Tribunal también haya optado en otros pronunciamientos por hacer un análisis integrado y conjunto de ambos aspectos (así, SSTC 135/2011, de 12 de septiembre, FJ 3; y 126/2012, de 18 de junio, FJ 4).</w:t>
      </w:r>
    </w:p>
    <w:p w:rsidR="0026452D" w:rsidRDefault="0026452D" w:rsidP="0026452D">
      <w:pPr>
        <w:pStyle w:val="TextoNormal"/>
      </w:pPr>
    </w:p>
    <w:p w:rsidR="0026452D" w:rsidRDefault="0026452D" w:rsidP="0026452D">
      <w:pPr>
        <w:pStyle w:val="TextoNormal"/>
      </w:pPr>
      <w:r>
        <w:t>En efecto, tal como ya se ha señalado, los criterios jurisprudenciales sentados en las SSTC 167/2002 y 184/2009 tienen su origen común en la doctrina establecida por el Tribunal Europeo de Derechos Humanos sobre el respeto de las reglas de un procedimiento justo y equitativo (art. 6.1 del Convenio europeo para la protección de los derechos humanos y de las libertades fundamentales) en la segunda instancia. De ese modo, la doctrina jurisprudencial establecida en la STC 184/2009 lo que viene es a complementar la recepción de la doctrina del Tribunal Europeo de Derechos Humanos sobre el particular —que se había concentrado en las exigencias de inmediación y contradicción en la valoración de pruebas personales a partir de la STC 167/2002—, incidiendo en la necesidad de respetar también en la segunda instancia la exigencia, derivada del principio de contradicción, de que se diera al acusado absuelto la oportunidad de ofrecer su testimonio personal sobre los hechos enjuiciados en los supuestos en los que sostiene que no ha cometido el hecho delictivo que se le imputa o que no cabe interpretar su conducta con la intención o ánimo de cometer el hecho delictivo.</w:t>
      </w:r>
    </w:p>
    <w:p w:rsidR="0026452D" w:rsidRDefault="0026452D" w:rsidP="0026452D">
      <w:pPr>
        <w:pStyle w:val="TextoNormal"/>
      </w:pPr>
    </w:p>
    <w:p w:rsidR="0026452D" w:rsidRDefault="0026452D" w:rsidP="0026452D">
      <w:pPr>
        <w:pStyle w:val="TextoNormal"/>
      </w:pPr>
      <w:r>
        <w:t>Igualmente, en favor de considerar un fundamento conjunto de ambos aspectos bajo un mismo derecho fundamental, redunda el hecho de que el testimonio judicial del acusado tiene el doble carácter de prueba personal, que exige de inmediación para ser valorada, y de derecho a dirigirse y ser oído personalmente por el órgano judicial que vaya a decidir sobre su culpabilidad, lo que, lógicamente, también se concreta en su presencia ante el órgano judicial para poder someter a contradicción con su testimonio la comisión del hecho que se le imputa. Así, antes incluso de que este Tribunal pusiera de manifiesto en la STC 184/2009 esta concreta dimensión del derecho de acusado a ser oído en la segunda instancia como una manifestación del derecho de defensa, en la STC 285/2005, de 7 de noviembre, ya se afirmó que “cuando la Sentencia 167/2002, de 18 de septiembre, establece la exigencia de oír nuevamente al acusado absuelto en segunda instancia, para poder dictar Sentencia revocatoria, no lo concibe como un medio de prueba más, sino como una garantía del acusado, que tiene derecho a volver a ser oído —ya sea para convencer al Tribunal de su inocencia, o para poder controvertir los argumentos de la acusación” (FJ 3). A su vez, en la más cercana STC 142/2011, FJ 4, igualmente se destaca, desde la perspectiva del derecho de defensa (art. 24.2 CE), que la oportunidad del acusado de ser oído tiene también como objeto permitir que el órgano judicial forme adecuadamente su convicción, apreciando de forma directa sus explicaciones y, por tanto, haciendo evidente la naturaleza de prueba personal de dicho testimonio.</w:t>
      </w:r>
    </w:p>
    <w:p w:rsidR="0026452D" w:rsidRDefault="0026452D" w:rsidP="0026452D">
      <w:pPr>
        <w:pStyle w:val="TextoNormal"/>
      </w:pPr>
    </w:p>
    <w:p w:rsidR="0026452D" w:rsidRDefault="0026452D" w:rsidP="0026452D">
      <w:pPr>
        <w:pStyle w:val="TextoNormal"/>
      </w:pPr>
      <w:r>
        <w:t xml:space="preserve">En este contexto, si bien hay supuestos en los que resulta posible diferenciar más claramente los aspectos de inmediación de la valoración probatoria y del derecho del acusado a ofrecer al órgano judicial su testimonio personal, y proyectar un análisis independiente de ambos, resulta más adecuado que queden conjuntamente englobados como manifestaciones concretas dentro del derecho a un proceso con todas las garantías (art. 24.2 CE), en su proyección a la segunda instancia. Es de destacar que este Tribunal ya puso de relieve esta visión conjunta en la STC 135/2011, de 12 de septiembre, al afirmar que “[e]n definitiva, la presencia del acusado en el juicio de apelación, cuando en el mismo se debaten cuestiones de hecho que afectan a su declaración de inocencia o culpabilidad, es una concreción del derecho a un proceso con todas las garantías y del derecho de defensa que tiene por objeto posibilitar que quien ha sido absuelto en primera instancia pueda exponer, ante el Tribunal llamado a revisar la decisión impugnada, su versión personal sobre su participación en los </w:t>
      </w:r>
      <w:r>
        <w:lastRenderedPageBreak/>
        <w:t>hechos que se le imputan. Es precisamente el carácter personalísimo de dicha manifestación lo que impone su citación para ser oído” (FJ 2), llevando al fallo únicamente la vulneración del derecho a un proceso con todas las garantías y no la del derecho de defensa.</w:t>
      </w:r>
    </w:p>
    <w:p w:rsidR="0026452D" w:rsidRDefault="0026452D" w:rsidP="0026452D">
      <w:pPr>
        <w:pStyle w:val="TextoNormal"/>
      </w:pPr>
    </w:p>
    <w:p w:rsidR="0026452D" w:rsidRDefault="0026452D" w:rsidP="0026452D">
      <w:pPr>
        <w:pStyle w:val="TextoNormal"/>
      </w:pPr>
      <w:r>
        <w:t>En conclusión,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w:t>
      </w:r>
    </w:p>
    <w:p w:rsidR="0026452D" w:rsidRDefault="0026452D" w:rsidP="0026452D">
      <w:pPr>
        <w:pStyle w:val="TextoNormal"/>
      </w:pPr>
    </w:p>
    <w:p w:rsidR="0026452D" w:rsidRDefault="0026452D" w:rsidP="0026452D">
      <w:pPr>
        <w:pStyle w:val="TextoNormal"/>
      </w:pPr>
      <w:r w:rsidRPr="0026452D">
        <w:rPr>
          <w:rStyle w:val="NumeroAFNegritaCaracter"/>
        </w:rPr>
        <w:t>10</w:t>
      </w:r>
      <w:r>
        <w:t>. En el presente caso, como ya se ha expuesto anteriormente, ha quedado acreditado, en primer lugar, que la absolución en la primera instancia del delito societario del que eran acusados los recurrentes se fundamentó en que no quedaba acreditado el carácter abusivo de los acuerdos societarios adoptados para la disolución de la sociedad ni la intención de perjudicar al querellante. Para llegar a estas conclusiones se argumentó que, frente a las alegaciones en sentido contrario del querellante, se ponía de manifiesto, por un lado, que no había impugnado su destitución como administrador, que comenzó a colaborar en la explotación de un nuevo local antes de la disolución, y que no pudo hacerse efectiva la compra de sus participaciones a pesar de la propuesta en ese sentido de los acusados; y, por otro, que conocía y compartía la decisión de cierre del local, ya que reconoció que vio el cartel de traspaso.</w:t>
      </w:r>
    </w:p>
    <w:p w:rsidR="0026452D" w:rsidRDefault="0026452D" w:rsidP="0026452D">
      <w:pPr>
        <w:pStyle w:val="TextoNormal"/>
      </w:pPr>
    </w:p>
    <w:p w:rsidR="0026452D" w:rsidRDefault="0026452D" w:rsidP="0026452D">
      <w:pPr>
        <w:pStyle w:val="TextoNormal"/>
      </w:pPr>
      <w:r>
        <w:t>Igualmente, también queda acreditado que en apelación, si bien se confirmó la declaración de hechos probados de la Sentencia de instancia, que se mantuvo sin modificar, se condenó a los recurrentes, sin celebración de vista pública, argumentando que, a partir de la sucesión de hechos probados, se podía derivar tanto el carácter abusivo de los acuerdos societarios como el dolo de los recurrentes. Así, se destacan como aspectos relevantes determinadas conductas que ponían de manifiesto una descapitalización de la sociedad y que no se comparte el criterio de la resolución impugnada de que el dolo quedaba excluido por haber existido unas negociaciones previas para la disolución, ya que ello no permite concluir que el acuerdo no llegó porque el querellante no quiso, ni permite excluir, precisamente lo contrario, derivando el dolo del hecho de que la descapitalización de la sociedad se produjo con anterioridad a los acuerdos de disolución.</w:t>
      </w:r>
    </w:p>
    <w:p w:rsidR="0026452D" w:rsidRDefault="0026452D" w:rsidP="0026452D">
      <w:pPr>
        <w:pStyle w:val="TextoNormal"/>
      </w:pPr>
    </w:p>
    <w:p w:rsidR="0026452D" w:rsidRDefault="0026452D" w:rsidP="0026452D">
      <w:pPr>
        <w:pStyle w:val="TextoNormal"/>
      </w:pPr>
      <w:r w:rsidRPr="0026452D">
        <w:rPr>
          <w:rStyle w:val="NumeroAFNegritaCaracter"/>
        </w:rPr>
        <w:t>11</w:t>
      </w:r>
      <w:r>
        <w:t>. En atención a lo expuesto, y tal como también ha solicitado el Ministerio Fiscal, debe concluirse que se ha vulnerado el derecho de los recurrentes a un proceso con todas las garantías (art. 24.2 CE), toda vez que han sido condenado en segunda instancia sin que se les hubiera dado la posibilidad efectiva de dirigirse personalmente ante el órgano judicial de apelación para exponer su versión personal sobre su participación en los hechos que se les imputaban y en virtud de una actividad probatoria en cuyo acervo concurrían pruebas personales —las propias testificales de los recurrentes y la del acusador particular— que no han sido practicadas ante el órgano judicial de apelación con respeto a las garantías de publicidad, inmediación y contradicción.</w:t>
      </w:r>
    </w:p>
    <w:p w:rsidR="0026452D" w:rsidRDefault="0026452D" w:rsidP="0026452D">
      <w:pPr>
        <w:pStyle w:val="TextoNormal"/>
      </w:pPr>
    </w:p>
    <w:p w:rsidR="0026452D" w:rsidRDefault="0026452D" w:rsidP="0026452D">
      <w:pPr>
        <w:pStyle w:val="TextoNormal"/>
      </w:pPr>
      <w:r>
        <w:lastRenderedPageBreak/>
        <w:t>En efecto, la condena en la segunda instancia, a pesar de que se mantuvo inmodificado el relato de hechos probados de la Sentencia revocada, se fundamenta en una reconsideración de esos hechos probados para derivar de ello tanto el elemento normativo de delito, referido al carácter abusivo de los acuerdos adoptados, como el elemento subjetivo, referido al ánimo de perjudicar al querellante. Esto es, la divergencia se produce no por una controversia jurídica respecto de la amplitud que pudiera darse a la interpretación de determinados elementos del delito, sino en relación con una controversia fáctica respecto de las inferencias recaídas sobre los hechos declarados probados para entender acreditados dichos elementos. Además, esa reconsideración se realiza valorando aspectos concernientes tanto a las declaraciones de los recurrentes como del querellante que no fueron practicadas a su presencia, como se pone de manifiesto en la argumentación de la Sentencia de apelación al considerar concurrente el elemento subjetivo, discrepando sobre la credibilidad que se había dado por el órgano judicial de instancia a las declaración de los acusados sobre quién era el responsable de que no hubiera podido llegarse a un acuerdo para la compra de las participaciones del querellante.</w:t>
      </w:r>
    </w:p>
    <w:p w:rsidR="0026452D" w:rsidRDefault="0026452D" w:rsidP="0026452D">
      <w:pPr>
        <w:pStyle w:val="TextoNormal"/>
      </w:pPr>
    </w:p>
    <w:p w:rsidR="0026452D" w:rsidRDefault="0026452D" w:rsidP="0026452D">
      <w:pPr>
        <w:pStyle w:val="TextoNormal"/>
      </w:pPr>
      <w:r>
        <w:t>Por tanto, no puede afirmarse que la controversia versara sobre una cuestión estrictamente de interpretación jurídica que, por su naturaleza desligada del debate sobre la concurrencia de aspectos fácticos del delito, pudiera resolverse sin la celebración de una vista pública, lo que determina que se deba considerar vulnerado el derecho a un proceso con todas las garantías (art. 24.2 CE).</w:t>
      </w:r>
    </w:p>
    <w:p w:rsidR="0026452D" w:rsidRDefault="0026452D" w:rsidP="0026452D">
      <w:pPr>
        <w:pStyle w:val="TextoNormal"/>
      </w:pPr>
    </w:p>
    <w:p w:rsidR="0026452D" w:rsidRDefault="0026452D" w:rsidP="0026452D">
      <w:pPr>
        <w:pStyle w:val="TextoNormal"/>
      </w:pPr>
      <w:r w:rsidRPr="0026452D">
        <w:rPr>
          <w:rStyle w:val="NumeroAFNegritaCaracter"/>
        </w:rPr>
        <w:t>12</w:t>
      </w:r>
      <w:r>
        <w:t>. Los recurrentes, además, han alegado que su condena en estas circunstancias ha supuesto una vulneración de su derecho a la presunción de inocencia (art. 24.2 CE).</w:t>
      </w:r>
    </w:p>
    <w:p w:rsidR="0026452D" w:rsidRDefault="0026452D" w:rsidP="0026452D">
      <w:pPr>
        <w:pStyle w:val="TextoNormal"/>
      </w:pPr>
    </w:p>
    <w:p w:rsidR="0026452D" w:rsidRDefault="0026452D" w:rsidP="0026452D">
      <w:pPr>
        <w:pStyle w:val="TextoNormal"/>
      </w:pPr>
      <w:r>
        <w:t xml:space="preserve">Este Tribunal ha reiterado, en relación con el derecho a la presunción de inocencia, que se configura como el derecho a no ser condenado sin prueba de cargo válida, lo que determina que sólo quepa considerar vulnerado este derecho cuando los órganos judiciales hayan sustentado la condena valorando una actividad probatoria lesiva de otros derechos fundamentales o carente de garantías, o cuando no se motive el resultado de dicha valoración, o cuando por ilógico o insuficiente no sea razonable el </w:t>
      </w:r>
      <w:r w:rsidRPr="0026452D">
        <w:rPr>
          <w:i/>
        </w:rPr>
        <w:t>iter</w:t>
      </w:r>
      <w:r>
        <w:t xml:space="preserve"> discursivo que conduce de la prueba al hecho probado (por todas, STC 16/2012, de 13 de febrero, FJ 3). Igualmente también se ha puesto de manifiesto que el control que le corresponde realizar a este Tribunal sobre la eventual vulneración de este derecho se extiende a verificar si se ha dejado de someter a valoración la versión o la prueba de descargo aportada, exigiéndose ponderar los distintos elementos probatorios (así, STC 104/2011, de 20 de junio, FJ 2).</w:t>
      </w:r>
    </w:p>
    <w:p w:rsidR="0026452D" w:rsidRDefault="0026452D" w:rsidP="0026452D">
      <w:pPr>
        <w:pStyle w:val="TextoNormal"/>
      </w:pPr>
    </w:p>
    <w:p w:rsidR="0026452D" w:rsidRDefault="0026452D" w:rsidP="0026452D">
      <w:pPr>
        <w:pStyle w:val="TextoNormal"/>
      </w:pPr>
      <w:r>
        <w:t>En atención al contenido de este derecho, este Tribunal, sobre la base de la doctrina establecida en la STC 167/2002, ha reiterado que en los casos en que se verifique una valoración de pruebas personales sin la debida inmediación, en la medida en que se trata de la valoración de pruebas practicadas sin las debidas garantías, resultará también afectado el derecho a la presunción de inocencia cuando se ponga de manifiesto que dichas pruebas son las únicas tomadas en cuenta por la resolución impugnada o cuando, a partir de su propia motivación, se constate que eran esenciales para llegar a la conclusión fáctica incriminatoria, de modo que con su exclusión la inferencia de dicha conclusión se convierta en ilógica o no concluyente a partir de los presupuestos de la propia Sentencia (así, SSTC 30/2010, de 17 de mayo, FJ 5; 135/2011, de 12 de septiembre, FJ 4 y 144/2012, de 2 de julio, FJ 6).</w:t>
      </w:r>
    </w:p>
    <w:p w:rsidR="0026452D" w:rsidRDefault="0026452D" w:rsidP="0026452D">
      <w:pPr>
        <w:pStyle w:val="TextoNormal"/>
      </w:pPr>
    </w:p>
    <w:p w:rsidR="0026452D" w:rsidRDefault="0026452D" w:rsidP="0026452D">
      <w:pPr>
        <w:pStyle w:val="TextoNormal"/>
      </w:pPr>
      <w:r>
        <w:lastRenderedPageBreak/>
        <w:t>Por su parte, en cuanto a los efectos de la vulneración del derecho de defensa (art. 24.2 CE) sobre la base de la doctrina establecida en la STC 184/2009, en un principio este Tribunal, habida cuenta de que la garantía afectada era el derecho a ser oído, consideró procedente la retroacción de actuaciones para que se otorgara al recurrente la posibilidad efectiva de dirigirse al órgano judicial de segunda instancia (así, SSTC 184/2009 y 142/2011, de 26 de septiembre). En todo caso, también cabe apreciar pronunciamientos en los que, a pesar de entenderse vulnerado el derecho de defensa por no haberse oído al acusado en la segunda instancia, se concluyó la vulneración del derecho a la presunción de inocencia (art. 24.2 CE), al constatar que la concurrencia de este elemento intencional del delito era consecuencia de una nueva valoración de pruebas personales —declaraciones del acusado, denunciante y testigos— sin la debida inmediación (así, STC 126/2012, de 18 de junio, FJ 5).</w:t>
      </w:r>
    </w:p>
    <w:p w:rsidR="0026452D" w:rsidRDefault="0026452D" w:rsidP="0026452D">
      <w:pPr>
        <w:pStyle w:val="TextoNormal"/>
      </w:pPr>
    </w:p>
    <w:p w:rsidR="0026452D" w:rsidRDefault="0026452D" w:rsidP="0026452D">
      <w:pPr>
        <w:pStyle w:val="TextoNormal"/>
      </w:pPr>
      <w:r>
        <w:t>Por tanto, tomando en consideración el contenido del derecho a la presunción de inocencia y la proyección que sobre el mismo puede tener la previa lesión del derecho a un proceso con todas las garantías por una condena en segunda instancia, debe concluirse, que, con carácter general, la lesión del derecho a un proceso con todas las garantías —esté vinculado con la valoración de pruebas practicadas sin las debidas garantías o con no haberse dado al acusado la posibilidad de ser oído—, no necesariamente tiene una repercusión inmediata en la vulneración del derecho a la presunción de inocencia. De ese modo, la vulneración del derecho a un proceso con todas las garantías determina la anulación de la Sentencia condenatoria y la retroacción de actuaciones para que el órgano judicial dicte una nueva resolución respetuosa con dicho derecho.</w:t>
      </w:r>
    </w:p>
    <w:p w:rsidR="0026452D" w:rsidRDefault="0026452D" w:rsidP="0026452D">
      <w:pPr>
        <w:pStyle w:val="TextoNormal"/>
      </w:pPr>
    </w:p>
    <w:p w:rsidR="0026452D" w:rsidRDefault="0026452D" w:rsidP="0026452D">
      <w:pPr>
        <w:pStyle w:val="TextoNormal"/>
      </w:pPr>
      <w:r>
        <w:t>Ahora bien, cuando quede plenamente acreditado con la lectura de las resoluciones judiciales que la condena se ha basado de manera exclusiva o esencial en la valoración o reconsideración de pruebas practicadas sin las debidas garantías también deberá estimarse vulnerado el derecho a la presunción de inocencia, ya que en tales casos el efecto de exclusión de la valoración judicial de dichas pruebas pondría ya de manifiesto que la inferencia sobre la conclusión condenatoria sería ilógica o no concluyente, consumando de esa manera la lesión del derecho a la presunción de inocencia. De ese modo, en tales casos la vulneración consecutiva de los derechos a un proceso con todas las garantías y a la presunción de inocencia determinaría la anulación de la Sentencia condenatoria sin retroacción de actuaciones.</w:t>
      </w:r>
    </w:p>
    <w:p w:rsidR="0026452D" w:rsidRDefault="0026452D" w:rsidP="0026452D">
      <w:pPr>
        <w:pStyle w:val="TextoNormal"/>
      </w:pPr>
    </w:p>
    <w:p w:rsidR="0026452D" w:rsidRDefault="0026452D" w:rsidP="0026452D">
      <w:pPr>
        <w:pStyle w:val="TextoNormal"/>
      </w:pPr>
      <w:r w:rsidRPr="0026452D">
        <w:rPr>
          <w:rStyle w:val="NumeroAFNegritaCaracter"/>
        </w:rPr>
        <w:t>13</w:t>
      </w:r>
      <w:r>
        <w:t>. Pues bien, en este caso, una vez argumentado que se ha producido una vulneración del derecho de los recurrentes a un proceso con todas las garantías (art. 24.2 CE), también debe concluirse que se ha vulnerado su derecho a la presunción de inocencia (art. 24.2 CE), toda vez que, al igual que sucedía en la citada STC 126/2012, la parte esencial de la actividad probatoria en que se ha fundamentado la condena, al entender acreditada la concurrencia del elemento subjetivo del delito del ánimo de perjudicar al socio minoritario, aparecía referida a testimonios personales exculpatorios que no se han desarrollado con respeto a las necesarias garantías de publicidad, inmediación y contradicción en la segunda instancia.</w:t>
      </w:r>
    </w:p>
    <w:p w:rsidR="0026452D" w:rsidRDefault="0026452D" w:rsidP="0026452D">
      <w:pPr>
        <w:pStyle w:val="TextoNormal"/>
      </w:pPr>
    </w:p>
    <w:p w:rsidR="0026452D" w:rsidRDefault="0026452D" w:rsidP="0026452D">
      <w:pPr>
        <w:pStyle w:val="TextoNormal"/>
      </w:pPr>
      <w:r>
        <w:t xml:space="preserve">En efecto, como ya se ha señalado, la declaración de culpabilidad de los acusados en la segunda instancia, frente a su absolución en la primera instancia, se ha fundamentado principalmente en la existencia del elemento subjetivo del delito societario del ánimo de perjudicar al socio minoritario. La concurrencia de este elemento fue negada por la Sentencia de instancia ponderando, entre otra actividad probatoria practicada a su presencia con respeto a las garantías de publicidad, inmediación y contradicción, el testimonio personal de los </w:t>
      </w:r>
      <w:r>
        <w:lastRenderedPageBreak/>
        <w:t>recurrentes, que habían negado en todo momento el ánimo de perjudicar al denunciante, y el testimonio de éste, que afirmaba dicho ánimo. Por el contrario, la concurrencia de dicho elemento subjetivo la ha inferido el órgano judicial de segunda instancia discrepando con la ponderación del órgano judicial de instancia sobre la credibilidad que había dado el órgano judicial de instancia a dichos testimonios. Ahora bien, al no celebrarse vista pública en la segunda instancia, el órgano judicial de revisión ni tuvo la oportunidad de escuchar el testimonio del socio minoritario ni tampoco, lo que es más significativo, la versión exculpatoria de los acusados respecto de su forma de proceder con la sociedad mercantil.</w:t>
      </w:r>
    </w:p>
    <w:p w:rsidR="0026452D" w:rsidRDefault="0026452D" w:rsidP="0026452D">
      <w:pPr>
        <w:pStyle w:val="TextoNormal"/>
      </w:pPr>
    </w:p>
    <w:p w:rsidR="0026452D" w:rsidRDefault="0026452D" w:rsidP="0026452D">
      <w:pPr>
        <w:pStyle w:val="TextoNormal"/>
      </w:pPr>
      <w:r>
        <w:t>De ese modo, hay que concluir, en primer lugar, que la declaración de culpabilidad de los acusados en la segunda instancia ha tomado en consideración pruebas inválidas, como eran diversos testimonios personales, en tanto que no estaban practicadas con las debidas garantías de publicidad, inmediación y contradicción en esa segunda instancia. Y, en segundo lugar, que en la valoración conjunta de la actividad probatoria para considerar acreditada la concurrencia de ese concreto elemento subjetivo del delito societario por parte del órgano judicial de segunda instancia, la ponderación de dichos testimonios era absolutamente esencial para poder inferir de manera concluyente la culpabilidad de los acusados y, muy especialmente, la de su testimonio exculpatorio, habida cuenta de la ya señalada obligación derivada del derecho a la presunción de inocencia de someter a valoración la versión o la prueba de descargo aportada por los acusados.</w:t>
      </w:r>
    </w:p>
    <w:p w:rsidR="0026452D" w:rsidRDefault="0026452D" w:rsidP="0026452D">
      <w:pPr>
        <w:pStyle w:val="TextoNormal"/>
      </w:pPr>
    </w:p>
    <w:p w:rsidR="0026452D" w:rsidRDefault="0026452D" w:rsidP="0026452D">
      <w:pPr>
        <w:pStyle w:val="TextoNormal"/>
      </w:pPr>
      <w:r>
        <w:t>Por tanto, la condena en segunda instancia, en la medida en que se ha basado esencialmente en una actividad probatoria carente de garantías y se ha dejado de someter a valoración el testimonio exculpatorio de los acusados, practicado a presencia del órgano judicial que condenó, ha vulnerado también el derecho a la presunción de inocencia (art. 24.2 CE).</w:t>
      </w:r>
    </w:p>
    <w:p w:rsidR="0026452D" w:rsidRDefault="0026452D" w:rsidP="0026452D">
      <w:pPr>
        <w:pStyle w:val="TextoNormal"/>
      </w:pPr>
    </w:p>
    <w:p w:rsidR="0026452D" w:rsidRDefault="0026452D" w:rsidP="0026452D">
      <w:pPr>
        <w:pStyle w:val="TextoNormal"/>
      </w:pPr>
      <w:r w:rsidRPr="0026452D">
        <w:rPr>
          <w:rStyle w:val="NumeroAFNegritaCaracter"/>
        </w:rPr>
        <w:t>14</w:t>
      </w:r>
      <w:r>
        <w:t>. La declaración de que se ha vulnerado a los recurrentes su derechos a un proceso con todas las garantías (art. 24.2 CE) y a la presunción de inocencia (art. 24.2 CE) determina la anulación de la resolución judicial impugnada y la del Auto desestimatorio del incidente de nulidad de actuaciones en tanto que no reparó dichas vulneraciones.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el recurso de amparo interpuesto por don Cesar Pastor Antón y doña Remedios Pastor Antón y, en consecuencia:</w:t>
      </w:r>
    </w:p>
    <w:p w:rsidR="0026452D" w:rsidRDefault="0026452D" w:rsidP="0026452D">
      <w:pPr>
        <w:pStyle w:val="TextoNormal"/>
      </w:pPr>
    </w:p>
    <w:p w:rsidR="0026452D" w:rsidRDefault="0026452D" w:rsidP="0026452D">
      <w:pPr>
        <w:pStyle w:val="TextoNormal"/>
      </w:pPr>
      <w:r>
        <w:t>1º Declarar que han sido vulnerados sus derechos a un proceso con todas las garantías (art. 24.2 CE), y a la presunción de inocencia (art. 24.2 CE).</w:t>
      </w:r>
    </w:p>
    <w:p w:rsidR="0026452D" w:rsidRDefault="0026452D" w:rsidP="0026452D">
      <w:pPr>
        <w:pStyle w:val="TextoNormal"/>
      </w:pPr>
    </w:p>
    <w:p w:rsidR="0026452D" w:rsidRDefault="0026452D" w:rsidP="0026452D">
      <w:pPr>
        <w:pStyle w:val="TextoNormal"/>
      </w:pPr>
      <w:r>
        <w:t xml:space="preserve">2º Restablecerlos en su derecho y, a tal fin, declarar la nulidad de la Sentencia de la Sección Sexta de la Audiencia Provincial de Barcelona, de 27 de noviembre de 2008, y del </w:t>
      </w:r>
      <w:r>
        <w:lastRenderedPageBreak/>
        <w:t>Auto de 23 de marzo de 2009, aclarado por Auto de 29 de octubre de 2009, dictados en el rollo de apelación núm. 29-2008</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once de abril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Manuel Aragón Reyes, respecto de la Sentencia, otorgando el amparo solicitado, dictada por el Pleno en el recurso de amparo avocado núm. 10713-2009.</w:t>
      </w:r>
    </w:p>
    <w:p w:rsidR="0026452D" w:rsidRDefault="0026452D" w:rsidP="0026452D">
      <w:pPr>
        <w:pStyle w:val="TextoNormalNegritaCentrado"/>
        <w:keepNext/>
      </w:pPr>
    </w:p>
    <w:p w:rsidR="0026452D" w:rsidRDefault="0026452D" w:rsidP="0026452D">
      <w:pPr>
        <w:pStyle w:val="TextoNormal"/>
      </w:pPr>
      <w:r>
        <w:t>1. Con el mayor respeto a la opinión de los Magistrados que han apoyado la tesis mayoritaria reflejada en la Sentencia, debo, no obstante, haciendo uso de la facultad establecida en el art. 90.2 de la Ley Orgánica del Tribunal Constitucional (LOTC), expresar mi criterio discrepante del fallo estimatorio del recurso de amparo a que se ha llegado en esta Sentencia.</w:t>
      </w:r>
    </w:p>
    <w:p w:rsidR="0026452D" w:rsidRDefault="0026452D" w:rsidP="0026452D">
      <w:pPr>
        <w:pStyle w:val="TextoNormal"/>
      </w:pPr>
    </w:p>
    <w:p w:rsidR="0026452D" w:rsidRDefault="0026452D" w:rsidP="0026452D">
      <w:pPr>
        <w:pStyle w:val="TextoNormal"/>
      </w:pPr>
      <w:r>
        <w:t>A mi entender, en virtud de los argumentos que defendí en la deliberación del Pleno y que, resumidamente, expongo a continuación, debiera haberse dictado una Sentencia inadmitiendo el recurso de amparo, por haber sido interpuesto fuera de plazo.</w:t>
      </w:r>
    </w:p>
    <w:p w:rsidR="0026452D" w:rsidRDefault="0026452D" w:rsidP="0026452D">
      <w:pPr>
        <w:pStyle w:val="TextoNormal"/>
      </w:pPr>
    </w:p>
    <w:p w:rsidR="0026452D" w:rsidRDefault="0026452D" w:rsidP="0026452D">
      <w:pPr>
        <w:pStyle w:val="TextoNormal"/>
      </w:pPr>
      <w:r>
        <w:t>2. Tal como se indica en el fundamento jurídico 3 de la Sentencia, el Pleno de este Tribunal decidió recabar para sí el conocimiento del presente recurso de amparo, de conformidad con lo previsto en el art. 10.1 n) LOTC, para reconsiderar la doctrina constitucional establecida en la STC 28/2011, de 14 de marzo, FJ 3, respecto de la interpretación que debe darse al art. 85.2 LOTC en relación con la posibilidad de presentación de las demandas de amparo en las oficinas o servicios de registro central de los Tribunales civiles de cualquier localidad, teniendo en cuenta que, de aplicarse esa doctrina al presente recurso de amparo, este debería ser inadmitido por extemporaneidad.</w:t>
      </w:r>
    </w:p>
    <w:p w:rsidR="0026452D" w:rsidRDefault="0026452D" w:rsidP="0026452D">
      <w:pPr>
        <w:pStyle w:val="TextoNormal"/>
      </w:pPr>
    </w:p>
    <w:p w:rsidR="0026452D" w:rsidRDefault="0026452D" w:rsidP="0026452D">
      <w:pPr>
        <w:pStyle w:val="TextoNormal"/>
      </w:pPr>
      <w:r>
        <w:t>En efecto, conforme a la doctrina sentada en la STC 28/2011, la posibilidad prevista en el art. 85.2 LOTC, en la redacción dada por la Ley Orgánica 6/2007, de presentación del escrito de iniciación del recurso de amparo en lugar distinto al Registro General del Tribunal Constitucional queda limitada a aquéllos casos en los que, conforme con el art. 135.1 de la Ley de enjuiciamiento civil, el recurso de amparo se presentan hasta las 15:00 horas del día hábil siguiente al del vencimiento del plazo de interposición. Razonaba en tal sentido la STC 28/2011, FJ 3, lo siguiente:</w:t>
      </w:r>
    </w:p>
    <w:p w:rsidR="0026452D" w:rsidRDefault="0026452D" w:rsidP="0026452D">
      <w:pPr>
        <w:pStyle w:val="TextoNormal"/>
      </w:pPr>
    </w:p>
    <w:p w:rsidR="0026452D" w:rsidRDefault="0026452D" w:rsidP="0026452D">
      <w:pPr>
        <w:pStyle w:val="TextoNormal"/>
      </w:pPr>
      <w:r>
        <w:t xml:space="preserve">“Es necesario partir de la base de que la presentación de los recursos de amparo en lugar distinto al Registro General del Tribunal Constitucional únicamente está prevista para aquellos recursos que se presenten hasta las quince horas del día posterior al del vencimiento del plazo, en cuyo caso sí podrán hacerlo en la oficina o servicio de Registro Central de los Tribunales civiles de cualquier localidad (art. 85.2 LOTC). Sobre este particular hay que recordar que, según doctrina reiterada de este Tribunal, ‘la presentación de escritos fuera del Tribunal es excepcional y debe interpretarse restrictivamente por exigirlo así el Derecho Procesal General y la buena marcha de los procesos’ (ATC 236/1984, de 11 de abril. En la misma línea, AATC 204/1999, de 28 de julio, y 138/2001, de 1 de junio). Por esa razón, antes de la reforma de la LOTC operada por la Ley Orgánica 6/2007, de 24 de mayo, este Tribunal sólo admitía, como excepción a la regla general, que la presentación del recurso </w:t>
      </w:r>
      <w:r>
        <w:lastRenderedPageBreak/>
        <w:t>de amparo pudiera efectuarse en el Juzgado de guardia de Madrid, siempre y cuando se tratara del último día del plazo (ATC 138/2001), postura que se encuentra ligada a la excepcionalidad de la presentación de escritos en lugar distinto a la sede del propio Tribunal, y que sólo se permitía para dar satisfacción al derecho de los recurrentes a disponer del plazo en su totalidad. Por esa razón advertimos que quien presentara su escrito antes del último día del plazo en el Juzgado de guardia, asumía el riesgo de que aquél no tuviera entrada en el registro del órgano judicial destinatario dentro del plazo legal, provocando la extemporaneidad en la evacuación del trámite y la consiguiente frustración en el uso del remedio procesal de que se tratara; consecuencia en la que no se puede ver una infracción del derecho a la tutela judicial efectiva, puesto que este derecho no autoriza a convertir una regla excepcional, establecida en garantía de la plenitud de los plazos de que disponen las partes para el cumplimiento de los trámites procesales, en un criterio de alternatividad acerca del lugar de realización de dichos trámites (SSTC 260/2000, de 30 de octubre, FJ 5, y 54/2001, de 26 de febrero, FJ 2).</w:t>
      </w:r>
    </w:p>
    <w:p w:rsidR="0026452D" w:rsidRDefault="0026452D" w:rsidP="0026452D">
      <w:pPr>
        <w:pStyle w:val="TextoNormal"/>
      </w:pPr>
    </w:p>
    <w:p w:rsidR="0026452D" w:rsidRDefault="0026452D" w:rsidP="0026452D">
      <w:pPr>
        <w:pStyle w:val="TextoNormal"/>
      </w:pPr>
      <w:r>
        <w:t>La anterior doctrina resulta aplicable sin problemas a la nueva regulación implantada por la Ley Orgánica 6/2007, habida cuenta de los precisos términos empleados por el art. 85.2 LOTC para establecer, por una parte, el lugar normal de presentación de escritos dirigidos a este Tribunal, y, por otra, el único momento en el que cabe acogerse a la posibilidad de presentar los escritos de término en lugar distinto de la sede del propio Tribunal, de suerte que los presentados en otro lugar y en momento distinto al previsto en dicho precepto habrán de entenderse presentados en el momento en que tengan entrada en el Registro General de este Tribunal.”</w:t>
      </w:r>
    </w:p>
    <w:p w:rsidR="0026452D" w:rsidRDefault="0026452D" w:rsidP="0026452D">
      <w:pPr>
        <w:pStyle w:val="TextoNormal"/>
      </w:pPr>
    </w:p>
    <w:p w:rsidR="0026452D" w:rsidRDefault="0026452D" w:rsidP="0026452D">
      <w:pPr>
        <w:pStyle w:val="TextoNormal"/>
      </w:pPr>
      <w:r>
        <w:t>A mi juicio, por los razonamientos que defendí en la deliberación del Pleno y que seguidamente paso a resumir, la doctrina sentada en la citada STC 28/2011 es correcta y ajustada a la finalidad del art. 85.2 LOTC, pues no hace otra cosa que aplicar en sus propios términos este precepto, sin quitar ni añadir nada, por lo que el Pleno de este Tribunal debería haberla ratificado.</w:t>
      </w:r>
    </w:p>
    <w:p w:rsidR="0026452D" w:rsidRDefault="0026452D" w:rsidP="0026452D">
      <w:pPr>
        <w:pStyle w:val="TextoNormal"/>
      </w:pPr>
    </w:p>
    <w:p w:rsidR="0026452D" w:rsidRDefault="0026452D" w:rsidP="0026452D">
      <w:pPr>
        <w:pStyle w:val="TextoNormal"/>
      </w:pPr>
      <w:r>
        <w:t xml:space="preserve">3. La Sentencia de la que discrepo abandona la doctrina sentada en la citada STC 28/2011 que, como digo, se limita a aplicar lo dispuesto art. 85.2 LOTC, realizando ahora una interpretación no sólo forzada sino incluso </w:t>
      </w:r>
      <w:r w:rsidRPr="0026452D">
        <w:rPr>
          <w:i/>
        </w:rPr>
        <w:t>contra legem</w:t>
      </w:r>
      <w:r>
        <w:t xml:space="preserve"> de lo dispuesto en el primer párrafo de este precepto en la redacción dada por la Ley Orgánica 6/2007.</w:t>
      </w:r>
    </w:p>
    <w:p w:rsidR="0026452D" w:rsidRDefault="0026452D" w:rsidP="0026452D">
      <w:pPr>
        <w:pStyle w:val="TextoNormal"/>
      </w:pPr>
    </w:p>
    <w:p w:rsidR="0026452D" w:rsidRDefault="0026452D" w:rsidP="0026452D">
      <w:pPr>
        <w:pStyle w:val="TextoNormal"/>
      </w:pPr>
      <w:r>
        <w:t xml:space="preserve">Del enunciado de este precepto resulta que el legislador orgánico ha establecido en su primer inciso una regla general, conforme a la cual el lugar de presentación de los escritos de iniciación del proceso es la sede del Tribunal Constitucional y que debe hacerse dentro del plazo legalmente establecido para cada procedimiento; la claridad del precepto no deja dudas al respecto: “Los escritos de iniciación del proceso se presentarán </w:t>
      </w:r>
      <w:r w:rsidRPr="0026452D">
        <w:rPr>
          <w:i/>
        </w:rPr>
        <w:t>en la sede del Tribunal Constitucional</w:t>
      </w:r>
      <w:r>
        <w:t xml:space="preserve"> dentro del plazo legalmente establecido”. Aquí “proceso” se refiere, pues, a “todos los procesos constitucionales”.</w:t>
      </w:r>
    </w:p>
    <w:p w:rsidR="0026452D" w:rsidRDefault="0026452D" w:rsidP="0026452D">
      <w:pPr>
        <w:pStyle w:val="TextoNormal"/>
      </w:pPr>
    </w:p>
    <w:p w:rsidR="0026452D" w:rsidRDefault="0026452D" w:rsidP="0026452D">
      <w:pPr>
        <w:pStyle w:val="TextoNormal"/>
      </w:pPr>
      <w:r>
        <w:t xml:space="preserve">E, inmediatamente, el precepto añade en su segundo inciso la excepción (parcial) a dicha regla, en relación con el recurso de amparo: “Los recursos de amparo podrán también presentarse hasta las 15 horas del día hábil siguiente al del vencimiento del plazo de interposición, ante el registro del Tribunal Constitucional, o en la oficina o servicio de registro central de los tribunales civiles de cualquier localidad, de conformidad con lo establecido en el art. </w:t>
      </w:r>
      <w:r>
        <w:lastRenderedPageBreak/>
        <w:t>135.1 de la Ley 1/2000, de 7 de enero, de Enjuiciamiento Civil”. También esta excepción es clara, como la entendió la STC 28/2011: el legislador ha querido permitir que los escritos de iniciación de los recursos de amparo que no se hubieran presentado dentro de plazo (pues si lo hubiesen sido, el tenor claro del párrafo primero del art. 85.2 LOTC es que esa presentación del escrito ha de serlo en el Registro General del Tribunal Constitucional) puedan también presentarse hasta las 15:00 horas del día siguiente hábil al del vencimiento en la oficina o servicio de registro central de los tribunales civiles de cualquier localidad.</w:t>
      </w:r>
    </w:p>
    <w:p w:rsidR="0026452D" w:rsidRDefault="0026452D" w:rsidP="0026452D">
      <w:pPr>
        <w:pStyle w:val="TextoNormal"/>
      </w:pPr>
    </w:p>
    <w:p w:rsidR="0026452D" w:rsidRDefault="0026452D" w:rsidP="0026452D">
      <w:pPr>
        <w:pStyle w:val="TextoNormal"/>
      </w:pPr>
      <w:r>
        <w:t>La interpretación del segundo párrafo del art. 85.2 LOTC a la que se acoge la Sentencia de la que discrepo desnaturaliza la literalidad y finalidad del precepto, pues, en definitiva, considera que los demandantes pueden presentar el escrito de iniciación del recurso de amparo en cualquier momento del plazo de los arts. 43.2 y 44.2 LOTC (incluida la prórroga hasta las 15:00 horas del día hábil siguiente al del vencimiento del plazo de interposición, conforme al art. 135.1 de la Ley de enjuiciamiento civil), tanto en el Registro General del Tribunal Constitucional como en la oficina o servicio de registro central de los tribunales civiles de cualquier localidad. Ciertamente, el legislador podría haberse decantado por establecer una regulación sobre el plazo y lugar de presentación de los escritos de iniciación de los recursos de amparo como la que se defiende en la Sentencia, pero no lo ha hecho, y a este Tribunal no le corresponde actuar como si se tratase de un legislador positivo. Como antes se dijo, la regla general para la presentación de los escritos interponiendo cualquier recurso ante este Tribunal, incluidos los de amparo, es la establecida en el primer párrafo del art. 85.2 LOTC. El párrafo segundo del art. 85.2 LOTC contiene sólo una excepción, no para la presentación de recursos de amparo dentro de plazo, sino exclusivamente para presentar esos recursos, fuera de plazo, pero dentro de las 15 horas del día hábil siguiente al del vencimiento del plazo de interposición.</w:t>
      </w:r>
    </w:p>
    <w:p w:rsidR="0026452D" w:rsidRDefault="0026452D" w:rsidP="0026452D">
      <w:pPr>
        <w:pStyle w:val="TextoNormal"/>
      </w:pPr>
    </w:p>
    <w:p w:rsidR="0026452D" w:rsidRDefault="0026452D" w:rsidP="0026452D">
      <w:pPr>
        <w:pStyle w:val="TextoNormal"/>
      </w:pPr>
      <w:r>
        <w:t xml:space="preserve">Por lo demás, tampoco me parecen convincentes las razones que se ofrecen en la Sentencia para apuntalar la interpretación </w:t>
      </w:r>
      <w:r w:rsidRPr="0026452D">
        <w:rPr>
          <w:i/>
        </w:rPr>
        <w:t>contra legem</w:t>
      </w:r>
      <w:r>
        <w:t xml:space="preserve"> que se sostiene del primer párrafo del art. 85.2 LOTC, en el sentido de que “es más respetuosa con el principio </w:t>
      </w:r>
      <w:r w:rsidRPr="0026452D">
        <w:rPr>
          <w:i/>
        </w:rPr>
        <w:t>pro actione</w:t>
      </w:r>
      <w:r>
        <w:t>, al ser la que mejor responde a la lógica de favorecer la igualdad de acceso a esta jurisdicción de amparo para los ciudadanos que no residan en la sede de este Tribunal y a razones de seguridad jurídica” (fundamento jurídico 5). Que el acceso al Registro General del Tribunal Constitucional sea más o menos gravoso en función del lugar de residencia del demandante de amparo no es razón para hacer decir al art. 85.2 LOTC lo que este precepto no dice, máxime cuando tampoco se puede obviar que el párrafo segundo del art. 85.2 LOTC establece que “el Tribunal determinará reglamentariamente las condiciones de empleo, a los efectos anteriores, de cualesquiera medios técnicos, electrónicos, informáticos o telemáticos”, lo que permite facilitar la presentación de escritos de inicio de los procedimientos jurisdiccionales ante el propio Tribunal Constitucional, evitando los inconvenientes para la seguridad jurídica, a los que se refiere la Sentencia de la que discrepo, derivados de la mayor o menor diligencia de las oficinas de registro de los tribunales civiles en la remisión a este Tribunal de los escritos de iniciación de los recursos de amparo.</w:t>
      </w:r>
    </w:p>
    <w:p w:rsidR="0026452D" w:rsidRDefault="0026452D" w:rsidP="0026452D">
      <w:pPr>
        <w:pStyle w:val="TextoNormal"/>
      </w:pPr>
    </w:p>
    <w:p w:rsidR="0026452D" w:rsidRDefault="0026452D" w:rsidP="0026452D">
      <w:pPr>
        <w:pStyle w:val="TextoNormal"/>
      </w:pPr>
      <w:r>
        <w:t xml:space="preserve">4. En definitiva, la Sentencia de la que discrepo ha incurrido, en mi opinión, en un claro exceso de jurisdicción. Si la mayoría del Pleno de este Tribunal consideraba (no es mi caso) que lo dispuesto en el primer párrafo del art. 85.2 LOTC, en cuanto al plazo y lugar de presentación de los escritos de iniciación de los recursos de amparo de término, es inconstitucional por lesionar el principio de seguridad jurídica (art. 9.3 CE) y el derecho a la tutela </w:t>
      </w:r>
      <w:r>
        <w:lastRenderedPageBreak/>
        <w:t>judicial efectiva (art. 24.1 CE) —como se viene a insinuar en la Sentencia de la que discrepo (fundamentos jurídicos 4 y 5)— lo procedente, de acuerdo con la jurisdicción de este Tribunal, hubiera sido actuar conforme a lo previsto en el art. 55.2 LOTC, suspendiendo el plazo para dictar Sentencia en el recurso de amparo avocado, hasta tanto que el Pleno, conforme a lo dispuesto en los arts. 35 y ss. LOTC, se pronunciase sobre la constitucionalidad o inconstitucionalidad del art. 85.2 LOTC, pues la vinculación del Tribunal Constitucional a su propia Ley Orgánica (art. 1.1 LOTC) condiciona su control sobre dicha Ley y sus reformas, pero no puede impedir que el mismo se lleve a cabo, conforme hemos tenido ocasión de señalar en nuestra STC 49/2008, de 9 de abril, FFJJ 2, 3 y 4.</w:t>
      </w:r>
    </w:p>
    <w:p w:rsidR="0026452D" w:rsidRDefault="0026452D" w:rsidP="0026452D">
      <w:pPr>
        <w:pStyle w:val="TextoNormal"/>
      </w:pPr>
    </w:p>
    <w:p w:rsidR="0026452D" w:rsidRDefault="0026452D" w:rsidP="0026452D">
      <w:pPr>
        <w:pStyle w:val="TextoNormal"/>
      </w:pPr>
      <w:r>
        <w:t>Pero lo que no puede hacer este Tribunal —y es lo que hace Sentencia de la que discrepo— es enjuiciar en un recurso de amparo el primer párrafo del art. 85.2 LOTC, sentando una interpretación de conformidad con la Constitución de este precepto, pues tal enjuiciamiento resulta ajeno al control que en un recurso de amparo le corresponde ejercer a este Tribunal, referido a determinar si los derechos y libertades tutelables en amparo han sido vulnerados o no por las resoluciones judiciales, actos parlamentarios sin valor de ley, y actos u omisiones del poder ejecutivo impugnados por los legitimados [arts. 53.2, 161.1 b) y 162.1 b) CE, y arts. 2.1 b) y 41 y ss. LOTC].</w:t>
      </w:r>
    </w:p>
    <w:p w:rsidR="0026452D" w:rsidRDefault="0026452D" w:rsidP="0026452D">
      <w:pPr>
        <w:pStyle w:val="TextoNormal"/>
      </w:pPr>
    </w:p>
    <w:p w:rsidR="0026452D" w:rsidRDefault="0026452D" w:rsidP="0026452D">
      <w:pPr>
        <w:pStyle w:val="TextoNormal"/>
      </w:pPr>
      <w:r>
        <w:t>5. En resumen, por todo lo expuesto considero que, en aplicación de lo dispuesto en el primer párrafo del art. 85.2 LOTC, y ratificando la apreciación contenida al respecto en la citada STC 28/2011, FJ 3, el presente recurso de amparo debió ser inadmitido por extemporáneo, al haber tenido entrada en el Registro General de este Tribunal una vez superado ampliamente el plazo de interposición de treinta días previsto en el art. 44.2 LOTC, puesto que, tal como queda acreditado en las actuaciones y se detalla en los antecedentes de la Sentencia de la que discrepo, la resolución que puso fin a la vía judicial fue notificada el 4 de noviembre de 2009, la demanda de amparo se presentó el 18 de diciembre de 2009 —el trigésimo día— en el Decanato de los Juzgados del orden jurisdiccional civil de Madrid y dicha demanda tuvo entrada efectiva en el Registro General del Tribunal Constitucional el día 28 de diciembre de 2009.</w:t>
      </w:r>
    </w:p>
    <w:p w:rsidR="0026452D" w:rsidRDefault="0026452D" w:rsidP="0026452D">
      <w:pPr>
        <w:pStyle w:val="TextoNormal"/>
      </w:pPr>
    </w:p>
    <w:p w:rsidR="0026452D" w:rsidRDefault="0026452D" w:rsidP="0026452D">
      <w:pPr>
        <w:pStyle w:val="TextoNormal"/>
      </w:pPr>
      <w:r>
        <w:t>Y en tal sentido emito mi Voto particular.</w:t>
      </w:r>
    </w:p>
    <w:p w:rsidR="0026452D" w:rsidRDefault="0026452D" w:rsidP="0026452D">
      <w:pPr>
        <w:pStyle w:val="TextoNormal"/>
      </w:pPr>
    </w:p>
    <w:p w:rsidR="0026452D" w:rsidRDefault="0026452D" w:rsidP="0026452D">
      <w:pPr>
        <w:pStyle w:val="TextoNormal"/>
      </w:pPr>
      <w:r>
        <w:t>Madrid, a once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92" w:name="SENTENCIA_2013_89"/>
      <w:r>
        <w:lastRenderedPageBreak/>
        <w:t>SENTENCIA 89/2013, de 22 de abril de 2013</w:t>
      </w:r>
    </w:p>
    <w:bookmarkEnd w:id="92"/>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ECLI:ES:TC:2013:89</w:t>
      </w:r>
    </w:p>
    <w:p w:rsidR="0026452D" w:rsidRDefault="0026452D" w:rsidP="0026452D">
      <w:pPr>
        <w:pStyle w:val="SntesisDescriptiva"/>
      </w:pPr>
    </w:p>
    <w:p w:rsidR="0026452D" w:rsidRDefault="0026452D" w:rsidP="0026452D">
      <w:pPr>
        <w:pStyle w:val="SntesisDescriptiva"/>
      </w:pPr>
      <w:r>
        <w:t>Recurso de inconstitucionalidad 6851-2010. Interpuesto por el Gobierno de la Generalitat de Cataluña en relación con diversos preceptos de la Ley 25/2009, de 22 de diciembre, de modificación de diversas leyes para su adaptación a la Ley sobre el libre acceso a las actividades de servicios y su ejercicio.</w:t>
      </w:r>
    </w:p>
    <w:p w:rsidR="0026452D" w:rsidRDefault="0026452D" w:rsidP="0026452D">
      <w:pPr>
        <w:pStyle w:val="SntesisDescriptiva"/>
      </w:pPr>
    </w:p>
    <w:p w:rsidR="0026452D" w:rsidRDefault="0026452D" w:rsidP="0026452D">
      <w:pPr>
        <w:pStyle w:val="SntesisAnaltica"/>
      </w:pPr>
      <w:r>
        <w:t>Competencias sobre colegios profesionales: constitucionalidad de las disposiciones legales relativas a la obligación de colegiación para el ejercicio de determinadas profesiones (STC 3/2013).</w:t>
      </w:r>
    </w:p>
    <w:p w:rsidR="0026452D" w:rsidRDefault="0026452D" w:rsidP="0026452D">
      <w:pPr>
        <w:pStyle w:val="SntesisAnaltica"/>
      </w:pPr>
    </w:p>
    <w:p w:rsidR="0026452D" w:rsidRDefault="0026452D" w:rsidP="0026452D">
      <w:pPr>
        <w:pStyle w:val="Extracto"/>
      </w:pPr>
      <w:r>
        <w:t>1.</w:t>
      </w:r>
      <w:r>
        <w:tab/>
        <w:t>Aplica la doctrina sobre competencias en materia de colegios profesionales y régimen de colegiación de la STC 3/2013, posteriormente reiterada en las SSTC 46/2013, 50/2013 y 63/2013 [FJ 2].</w:t>
      </w:r>
    </w:p>
    <w:p w:rsidR="0026452D" w:rsidRDefault="0026452D" w:rsidP="0026452D">
      <w:pPr>
        <w:pStyle w:val="Extracto"/>
      </w:pPr>
    </w:p>
    <w:p w:rsidR="0026452D" w:rsidRDefault="0026452D" w:rsidP="0026452D">
      <w:pPr>
        <w:pStyle w:val="Extracto"/>
      </w:pPr>
      <w:r>
        <w:t>2.</w:t>
      </w:r>
      <w:r>
        <w:tab/>
        <w:t>La competencia del Estado para regular los colegios profesionales le viene dada por el art. 149.1.18 CE, que le permite fijar los principios y reglas básicas de este tipo de entidades corporativas ya que, aun cuando los colegios profesionales se constituyen para defender primordialmente los intereses privados de sus miembros, tienen también una dimensión pública que les equipara a las Administraciones Públicas de carácter territorial, aunque a los solos aspectos organizativos y competenciales en los que ésta se concreta y singulariza (SSTC 3/2013, 63/2013) [FJ 2 a)].</w:t>
      </w:r>
    </w:p>
    <w:p w:rsidR="0026452D" w:rsidRDefault="0026452D" w:rsidP="0026452D">
      <w:pPr>
        <w:pStyle w:val="Extracto"/>
      </w:pPr>
    </w:p>
    <w:p w:rsidR="0026452D" w:rsidRDefault="0026452D" w:rsidP="0026452D">
      <w:pPr>
        <w:pStyle w:val="Extracto"/>
      </w:pPr>
      <w:r>
        <w:t>3.</w:t>
      </w:r>
      <w:r>
        <w:tab/>
        <w:t>Forma parte de la competencia estatal del art. 149.1.18 CE la definición, a partir del tipo de colegiación, de los modelos posibles de colegios profesionales, pero también la determinación de las condiciones en que las Comunidades Autónomas pueden crear entidades corporativas de uno u otro tipo, pues el régimen forzoso o voluntario es una condición esencial de la conformación de cada colegio profesional (SSTC 3/2013, 63/2013)  [FJ 2 b)].</w:t>
      </w:r>
    </w:p>
    <w:p w:rsidR="0026452D" w:rsidRDefault="0026452D" w:rsidP="0026452D">
      <w:pPr>
        <w:pStyle w:val="Extracto"/>
      </w:pPr>
    </w:p>
    <w:p w:rsidR="0026452D" w:rsidRDefault="0026452D" w:rsidP="0026452D">
      <w:pPr>
        <w:pStyle w:val="Extracto"/>
      </w:pPr>
      <w:r>
        <w:t>4.</w:t>
      </w:r>
      <w:r>
        <w:tab/>
        <w:t>El carácter forzoso de la colegiación, como excepción a la libertad general de asociación, debe venir justificado por la relevancia del fin público que se persigue, así como por la dificultad de obtener ese fin sin recurrir a la adscripción forzosa al ente corporativo (SSTC 3/2013, 63/2013) [FJ 2 b)].</w:t>
      </w:r>
    </w:p>
    <w:p w:rsidR="0026452D" w:rsidRDefault="0026452D" w:rsidP="0026452D">
      <w:pPr>
        <w:pStyle w:val="Extracto"/>
      </w:pPr>
    </w:p>
    <w:p w:rsidR="0026452D" w:rsidRDefault="0026452D" w:rsidP="0026452D">
      <w:pPr>
        <w:pStyle w:val="Extracto"/>
      </w:pPr>
      <w:r>
        <w:t>5.</w:t>
      </w:r>
      <w:r>
        <w:tab/>
        <w:t xml:space="preserve">La competencia estatal para fijar las bases deriva de la configuración de los colegios profesionales como corporaciones de Derecho público y de la atribución a los mismos de funciones públicas de mayor o menor relevancia para la profesión, por lo que dado que el art. 36 CE no hace reserva de la institución colegial a las profesiones tituladas, la competencia del Estado para definir el modelo de colegio profesional para las profesiones reguladas no tituladas encuentra los mismos límites </w:t>
      </w:r>
      <w:r>
        <w:lastRenderedPageBreak/>
        <w:t>que cuando la ejerce para las profesiones tituladas (SSTC 330/1994, 3/2013)  [FJ 2 b)].</w:t>
      </w:r>
    </w:p>
    <w:p w:rsidR="0026452D" w:rsidRDefault="0026452D" w:rsidP="0026452D">
      <w:pPr>
        <w:pStyle w:val="Extracto"/>
      </w:pPr>
    </w:p>
    <w:p w:rsidR="0026452D" w:rsidRDefault="0026452D" w:rsidP="0026452D">
      <w:pPr>
        <w:pStyle w:val="Extracto"/>
      </w:pPr>
      <w:r>
        <w:t>6.</w:t>
      </w:r>
      <w:r>
        <w:tab/>
        <w:t>El requisito de la colegiación obligatoria constituye una barrera de entrada al ejercicio de la profesión y, por tanto, debe quedar limitado a aquellos casos en que se afecta, de manera grave y directa, a materias de especial interés público, como la protección de la salud y de la integridad física o de la seguridad personal o jurídica de las personas físicas, y la colegiación demuestre ser un instrumento eficiente de control del ejercicio profesional para la mejor defensa de los destinatarios de los servicios (STC 3/20013) [FJ 2 c)].</w:t>
      </w:r>
    </w:p>
    <w:p w:rsidR="0026452D" w:rsidRDefault="0026452D" w:rsidP="0026452D">
      <w:pPr>
        <w:pStyle w:val="Extracto"/>
      </w:pPr>
    </w:p>
    <w:p w:rsidR="0026452D" w:rsidRDefault="0026452D" w:rsidP="0026452D">
      <w:pPr>
        <w:pStyle w:val="Extracto"/>
      </w:pPr>
      <w:r>
        <w:t>7.</w:t>
      </w:r>
      <w:r>
        <w:tab/>
        <w:t xml:space="preserve">La exigencia de la colegiación obligatoria para el ejercicio de una determinada profesión constituye una condición básica que garantiza la igualdad en el ejercicio de los derechos y deberes constitucionales, </w:t>
      </w:r>
      <w:r w:rsidRPr="0026452D">
        <w:rPr>
          <w:i/>
        </w:rPr>
        <w:t>ex</w:t>
      </w:r>
      <w:r>
        <w:t xml:space="preserve"> art. 149.1.1 CE, que guarda una relación directa con el derecho reconocido en el art. 35.1 CE y constituye una excepción del derecho de asociación en su vertiente negativa (STC 3/2013) [FJ 2 d)].</w:t>
      </w:r>
    </w:p>
    <w:p w:rsidR="0026452D" w:rsidRDefault="0026452D" w:rsidP="0026452D">
      <w:pPr>
        <w:pStyle w:val="Extracto"/>
      </w:pPr>
    </w:p>
    <w:p w:rsidR="0026452D" w:rsidRDefault="0026452D" w:rsidP="0026452D">
      <w:pPr>
        <w:pStyle w:val="Extracto"/>
      </w:pPr>
      <w:r>
        <w:t>8.</w:t>
      </w:r>
      <w:r>
        <w:tab/>
        <w:t>La atribución a los colegios profesionales, a través de la colegiación obligatoria, del ejercicio de funciones propias de los poderes públicos, ligadas a la verificación del cumplimiento de los requisitos exigibles para el ejercicio profesional y a la autorización de dicho ejercicio, encuentra amparo en la competencia atribuida al Estado en el art. 149.1.30 CE, operando pues como título complementario del previsto en el art. 149.1.18 CE  [FJ 4].</w:t>
      </w:r>
    </w:p>
    <w:p w:rsidR="0026452D" w:rsidRDefault="0026452D" w:rsidP="0026452D">
      <w:pPr>
        <w:pStyle w:val="Extracto"/>
      </w:pPr>
    </w:p>
    <w:p w:rsidR="0026452D" w:rsidRDefault="0026452D" w:rsidP="0026452D">
      <w:pPr>
        <w:pStyle w:val="Extracto"/>
      </w:pPr>
      <w:r>
        <w:t>9.</w:t>
      </w:r>
      <w:r>
        <w:tab/>
        <w:t>La técnica seguida en ocasiones por el Estatuto de Autonomía de Cataluña de atribuir competencias materiales a la Generalitat que se proyectan ´en todo caso´ sobre las submaterias correspondientes, ha de entenderse en sentido meramente descriptivo o indicativo de que dichas submaterias forman parte del contenido de la realidad material de que se trate, pero sin que las competencias del Estado, tanto si son concurrentes como si son compartidas con las de la Comunidad Autónoma, resulten impedidas o limitadas en su ejercicio (STC 31/2010)  [FJ 3].</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compuesta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inconstitucionalidad núm. 6851-2010 interpuesto por el Gobierno de la Generalitat de Cataluña en relación con el apartado cinco del art. 5 —en cuanto da nueva </w:t>
      </w:r>
      <w:r>
        <w:lastRenderedPageBreak/>
        <w:t>redacción al art. 3.2 de la Ley 2/1974, de 13 de febrero, sobre colegios profesionales—, la disposición transitoria cuarta y la disposición final primera de la Ley 25/2009, de 22 de diciembre, de modificación de diversas leyes para su adaptación a la Ley sobre el libre acceso a las actividades de servicios y su ejercicio. Ha comparecido y formulado alegaciones el Abogado del Estado. Ha sido Ponente el Magistrado don Pablo Pérez Tremps,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22 de septiembre de 2010 tuvo entrada en el Registro General de este Tribunal Constitucional escrito del Abogado de la Generalitat de Cataluña por el que, en nombre y representación de la misma, interpone recurso de inconstitucionalidad contra el apartado cinco del art. 5 —en cuanto da nueva redacción al art. 3.2 de la Ley 2/1974, de 13 de febrero, sobre colegios profesionales—, la disposición transitoria cuarta y la disposición final primera de la Ley 25/2009, de 22 de diciembre, de modificación de diversas leyes para su adaptación a la Ley sobre el libre acceso a las actividades de servicios y su ejercicio.</w:t>
      </w:r>
    </w:p>
    <w:p w:rsidR="0026452D" w:rsidRDefault="0026452D" w:rsidP="0026452D">
      <w:pPr>
        <w:pStyle w:val="TextoNormal"/>
      </w:pPr>
    </w:p>
    <w:p w:rsidR="0026452D" w:rsidRDefault="0026452D" w:rsidP="0026452D">
      <w:pPr>
        <w:pStyle w:val="TextoNormal"/>
      </w:pPr>
      <w:r>
        <w:t>Considera el Letrado autonómico que, para delimitar el parámetro de constitucionalidad en materia de colegios profesionales, habrán de tenerse en cuenta las competencias atribuidas a la Comunidad Autónoma en el art. 125 del Estatuto de Autonomía de Cataluña (EAC), que han sido declaradas constitucionales por la STC 31/2010, de 28 de junio, y las prescripciones de los arts. 113 y 189.1 EAC, que reconocen la competencia autonómica para la ejecución del derecho comunitario.</w:t>
      </w:r>
    </w:p>
    <w:p w:rsidR="0026452D" w:rsidRDefault="0026452D" w:rsidP="0026452D">
      <w:pPr>
        <w:pStyle w:val="TextoNormal"/>
      </w:pPr>
    </w:p>
    <w:p w:rsidR="0026452D" w:rsidRDefault="0026452D" w:rsidP="0026452D">
      <w:pPr>
        <w:pStyle w:val="TextoNormal"/>
      </w:pPr>
      <w:r>
        <w:t>La ley recurrida se dicta en ejecución de lo dispuesto en la Directiva 2006/123/CE del Parlamento Europeo y del Consejo, de 12 de diciembre de 2006, relativa a los servicios en el mercado interior, parcialmente transpuesta al ordenamiento jurídico interno por la Ley 17/2009, de 23 de noviembre sobre el libre acceso a las actividades de servicios y su ejercicio; y tanto la jurisprudencia constitucional como de la jurisprudencia comunitaria europea han proclamado el necesario respeto a la distribución interna de competencias para determinar una correcta ejecución del Derecho comunitario.</w:t>
      </w:r>
    </w:p>
    <w:p w:rsidR="0026452D" w:rsidRDefault="0026452D" w:rsidP="0026452D">
      <w:pPr>
        <w:pStyle w:val="TextoNormal"/>
      </w:pPr>
    </w:p>
    <w:p w:rsidR="0026452D" w:rsidRDefault="0026452D" w:rsidP="0026452D">
      <w:pPr>
        <w:pStyle w:val="TextoNormal"/>
      </w:pPr>
      <w:r>
        <w:t xml:space="preserve">La competencia autonómica en materia de colegios profesionales se contempla en el art. 125 EAC, precepto estatutario que se refiere expresamente a los límites derivados de los arts. 36 y 139 CE. El art. 36 CE no atribuye competencia expresa al Estado sobre colegios profesionales, aunque, de acuerdo con una consolidada jurisprudencia constitucional, los colegios se asimilan parcialmente, a las Administraciones públicas en su dimensión de entes corporativos y, como consecuencia de ello, el Estado dispone de competencia para la fijación de las bases del régimen jurídico de las administraciones públicas (art. 149.1.18 CE), uno de los títulos en que la Ley 25/2009 pretende amparar la modificación parcial de la Ley 2/1974, de 13 de febrero, sobre colegios profesionales. Por su parte, el art. 139 CE tampoco es un precepto delimitador de competencias, sino que recoge un principio constitucional concebido para integrar el ordenamiento jurídico que configura la dualidad normativa que forma el bloque de la constitucionalidad: Constitución y Estatuto. El significado de este principio de integración constitucional es la prohibición de discriminación por motivos de carácter territorial que se deriva del principio de igualdad en los Estados compuestos e implica un límite al ejercicio de las competencias de los poderes públicos, que comporta la </w:t>
      </w:r>
      <w:r>
        <w:lastRenderedPageBreak/>
        <w:t>prohibición de interponer obstáculos a la libre circulación y el libre establecimiento de personas, así como a la libre circulación de bienes en todo el territorio del Estado.</w:t>
      </w:r>
    </w:p>
    <w:p w:rsidR="0026452D" w:rsidRDefault="0026452D" w:rsidP="0026452D">
      <w:pPr>
        <w:pStyle w:val="TextoNormal"/>
      </w:pPr>
    </w:p>
    <w:p w:rsidR="0026452D" w:rsidRDefault="0026452D" w:rsidP="0026452D">
      <w:pPr>
        <w:pStyle w:val="TextoNormal"/>
      </w:pPr>
      <w:r>
        <w:t>Los apartados 1 a 4 del art. 125 EAC contienen la cláusula “en todo caso” que describe las submaterias que concretan el contenido material de la competencia autonómica sobre colegios profesionales, incluyendo una referencia a los límites constitucionales derivados de los arts. 36 y 139 CE, lo que implica que en este ámbito material de competencia estatutaria, el Estado puede incidir a través de sus funciones normativas para limitar o modelar el alcance de esa competencia, al amparo de lo dispuesto en los citados preceptos.</w:t>
      </w:r>
    </w:p>
    <w:p w:rsidR="0026452D" w:rsidRDefault="0026452D" w:rsidP="0026452D">
      <w:pPr>
        <w:pStyle w:val="TextoNormal"/>
      </w:pPr>
    </w:p>
    <w:p w:rsidR="0026452D" w:rsidRDefault="0026452D" w:rsidP="0026452D">
      <w:pPr>
        <w:pStyle w:val="TextoNormal"/>
      </w:pPr>
      <w:r>
        <w:t>El apartado cinco del art. 5 de la Ley 25/2009 se refiere, con carácter genérico e indeterminado, a “el ejercicio de las profesiones”, sin especificar cuáles pueden quedar afectadas por el requisito de incorporación al colegio profesional correspondiente; y la disposición transitoria cuarta establece una reserva legislativa al Estado para determinar las profesiones para cuyo ejercicio es obligatoria la colegiación, sin que las especificaciones que en la misma se contienen respecto a la naturaleza de estas profesiones venga a resolver la cuestión competencial subyacente. Y ello porque, de acuerdo con ambos preceptos, es únicamente al Estado a quien corresponde decidir, mediante ley, cuáles son las profesiones que exigen para su ejercicio la preceptiva colegiación, lo que suprime la competencia de la Generalitat para determinar los requisitos y condiciones de ejercicio de aquellas profesiones que no requieran la previa colegiación para ser ejercidas. Considera el Letrado que el carácter expansivo de estos preceptos neutraliza las competencias asumidas por la Generalitat y, por tanto, vulnera el art. 125.4 a) EAC y, en la medida en que transpone la Directiva ignorando las competencias de la Generalitat, vulnera también lo prescrito en los arts. 113 y 189.1 del citado Estatuto de Autonomía.</w:t>
      </w:r>
    </w:p>
    <w:p w:rsidR="0026452D" w:rsidRDefault="0026452D" w:rsidP="0026452D">
      <w:pPr>
        <w:pStyle w:val="TextoNormal"/>
      </w:pPr>
    </w:p>
    <w:p w:rsidR="0026452D" w:rsidRDefault="0026452D" w:rsidP="0026452D">
      <w:pPr>
        <w:pStyle w:val="TextoNormal"/>
      </w:pPr>
      <w:r>
        <w:t>En segundo lugar, la afirmación de que será requisito indispensable para el ejercicio de las profesiones “estar incorporado al colegio profesional correspondiente”, vulnera el art. 125.1 EAC que atribuye a la Generalitat competencia exclusiva en materia de colegios profesionales, así como su competencia exclusiva para el ejercicio de las profesiones tituladas, respetando las normas generales sobre titulaciones académicas y profesionales. Además, el carácter preceptivo de la colegiación incide en el ejercicio de derechos constitucionales, en concreto, queda afectado el derecho de asociación en su vertiente negativa y el derecho a la libre elección de profesión y oficio, como manifestación de la libertad de trabajar. Y de conformidad con lo dispuesto en el art. 10 de la Directiva que se transpone, la intervención de los poderes públicos sobre el principio de libertad de prestación de servicios, solamente podrá verse limitada en virtud de razones de imperiosa necesidad y corresponderá a la autoridad que disponga de la competencia.</w:t>
      </w:r>
    </w:p>
    <w:p w:rsidR="0026452D" w:rsidRDefault="0026452D" w:rsidP="0026452D">
      <w:pPr>
        <w:pStyle w:val="TextoNormal"/>
      </w:pPr>
    </w:p>
    <w:p w:rsidR="0026452D" w:rsidRDefault="0026452D" w:rsidP="0026452D">
      <w:pPr>
        <w:pStyle w:val="TextoNormal"/>
      </w:pPr>
      <w:r>
        <w:t xml:space="preserve">Se afirma por el Letrado de la Generalitat que el Estado no puede invocar el art. 149.1.18 y 30 CE para amparar su competencia para la transposición de la Directiva en lo que se refiere a los colegios profesionales. Las referencias que el art. 125 EAC efectúa a los arts. 36 y 139 CE, constituyen un límite o modulación a la competencia de la Generalitat, pero no pueden legitimar una invocación a los títulos competenciales de los apartados 18 y 30 del art. 149.1 CE, como la que efectúa la disposición final primera de la Ley recurrida, pues si fuera así, la consecuencia sería la desnaturalización del significado de los arts. 36 y 139 CE. A ello se añade que no existe una jurisprudencia constitucional tan unívoca respecto a la determinación del alcance del título competencial del art. 149.1.18 CE, sobre todo si se </w:t>
      </w:r>
      <w:r>
        <w:lastRenderedPageBreak/>
        <w:t>considera que la ley a la que se refiere el art. 36 CE ha de versar sobre la organización y las competencias y no sobre el régimen general de los colegios profesionales.</w:t>
      </w:r>
    </w:p>
    <w:p w:rsidR="0026452D" w:rsidRDefault="0026452D" w:rsidP="0026452D">
      <w:pPr>
        <w:pStyle w:val="TextoNormal"/>
      </w:pPr>
    </w:p>
    <w:p w:rsidR="0026452D" w:rsidRDefault="0026452D" w:rsidP="0026452D">
      <w:pPr>
        <w:pStyle w:val="TextoNormal"/>
      </w:pPr>
      <w:r>
        <w:t>En tercer lugar, afirma el Letrado que la Ley 25/2009 no es una ley reguladora del régimen general de los colegios, sino que lo que hace es establecer las excepciones al principio general de libertad en la regulación del acceso a las actividades de servicios y su ejercicio, siendo ésta una decisión que debe corresponder a la autoridad que ostente la competencia, aunque la decisión que se tome afecte al ámbito de la libre prestación de servicios. Esto último incide sobre derechos constitucionales como la libertad de empresa, el derecho de asociación en el sentido especial que tiene en el contexto de los colegios profesionales y el derecho al trabajo en su vertiente de la libertad de elección de profesión o de oficio.</w:t>
      </w:r>
    </w:p>
    <w:p w:rsidR="0026452D" w:rsidRDefault="0026452D" w:rsidP="0026452D">
      <w:pPr>
        <w:pStyle w:val="TextoNormal"/>
      </w:pPr>
    </w:p>
    <w:p w:rsidR="0026452D" w:rsidRDefault="0026452D" w:rsidP="0026452D">
      <w:pPr>
        <w:pStyle w:val="TextoNormal"/>
      </w:pPr>
      <w:r>
        <w:t xml:space="preserve">Por último, se afirma que el Estado tampoco puede invocar el título competencial del art. 149.1.30 CE, que no se refiere al ejercicio de la profesión, mientras que el art. 125.4 a) EAC se refiere expresamente a la determinación de los requisitos y las condiciones de ejercicio de las profesiones tituladas, por lo que se está atribuyendo al título competencial estatal una </w:t>
      </w:r>
      <w:r w:rsidRPr="0026452D">
        <w:rPr>
          <w:i/>
        </w:rPr>
        <w:t>vis</w:t>
      </w:r>
      <w:r>
        <w:t xml:space="preserve"> expansiva que no se corresponde con el significado y el alcance de los arts. 36 y 139 CE.</w:t>
      </w:r>
    </w:p>
    <w:p w:rsidR="0026452D" w:rsidRDefault="0026452D" w:rsidP="0026452D">
      <w:pPr>
        <w:pStyle w:val="TextoNormal"/>
      </w:pPr>
    </w:p>
    <w:p w:rsidR="0026452D" w:rsidRDefault="0026452D" w:rsidP="0026452D">
      <w:pPr>
        <w:pStyle w:val="TextoNormal"/>
      </w:pPr>
      <w:r>
        <w:t>Concluye el Letrado autonómico señalando que la remisión a una futura ley estatal que contiene el apartado cinco del art. 5 de la Ley 25/2009 vulnera las competencias atribuidas a la Generalitat en los apartados 1 y 4 del art. 125 EAC y, en consecuencia, es inconstitucional. De dicha inconstitucionalidad deriva a su vez, la de la disposición transitoria cuarta de la Ley, que contiene un mandato al Gobierno estatal para que en el plazo de doce meses remita a las Cortes Generales un proyecto de ley que determine las profesiones para cuyo ejercicio es obligatoria la colegiación, y adolece también de inconstitucionalidad la disposición final primera, en cuanto ampara la regulación del art. 5 en las competencias estatales recogidas en las reglas 18 y 30 del art. 149 CE.</w:t>
      </w:r>
    </w:p>
    <w:p w:rsidR="0026452D" w:rsidRDefault="0026452D" w:rsidP="0026452D">
      <w:pPr>
        <w:pStyle w:val="TextoNormal"/>
      </w:pPr>
    </w:p>
    <w:p w:rsidR="0026452D" w:rsidRDefault="0026452D" w:rsidP="0026452D">
      <w:pPr>
        <w:pStyle w:val="TextoNormal"/>
      </w:pPr>
      <w:r w:rsidRPr="0026452D">
        <w:rPr>
          <w:rStyle w:val="NumeroAFNegritaCaracter"/>
        </w:rPr>
        <w:t>2</w:t>
      </w:r>
      <w:r>
        <w:t>. El Pleno, a propuesta de la Sección Cuarta acordó, en fecha 5 de octubre de 2010, admitir a trámite el recurso de inconstitucionalidad promovido por el Gobierno de la Generalitat de Cataluña; de conformidad con lo dispuesto en el art. 10.1 b) de la Ley Orgánica del Tribunal Constitucional (LOTC), en la redacción dada por la Ley Orgánica 6/2007, de 24 de mayo, atribuir a la Sala Segunda, a la que por turno objetivo ha correspondido, el conocimiento del presente recurso, señalando de aplicación la doctrina constitucional contenida en las SSTC 20/1988, de 18 de febrero y 31/2010, de 28 de junio; dar traslado de las actuaciones, conforme establece el art. 34 de la Ley Orgánica del Tribunal Constitucional, al Congreso de los Diputados y al Senado, por conducto de sus Presidentes, y al Gobierno a través del Ministerio de Justicia, al objeto de que en el plazo de quince días, pudieran personarse en el proceso y formular las alegaciones que estimaran pertinentes; y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El Senado, por escrito de su Presidente de 19 de octubre de 2010, acordó solicitar la personación de la Cámara y ofrecer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4</w:t>
      </w:r>
      <w:r>
        <w:t>. El Congreso de los Diputados, en escrito de su Presidente de 19 de octubre de 2010, acordó solicitar la personación de la Cámara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5</w:t>
      </w:r>
      <w:r>
        <w:t>. Mediante escrito que tuvo entrada en este Tribunal el 25 de octubre de 2010, el Abogado del Estado solicitó una prórroga hasta el máximo legal, del plazo concedido para alegaciones. La Sala Segunda, mediante providencia de la 26 de octubre, acordó incorporar a las actuaciones el escrito del Abogado del Estado y atender su solicitud, ampliando en diez días el plazo originalmente concedido.</w:t>
      </w:r>
    </w:p>
    <w:p w:rsidR="0026452D" w:rsidRDefault="0026452D" w:rsidP="0026452D">
      <w:pPr>
        <w:pStyle w:val="TextoNormal"/>
      </w:pPr>
    </w:p>
    <w:p w:rsidR="0026452D" w:rsidRDefault="0026452D" w:rsidP="0026452D">
      <w:pPr>
        <w:pStyle w:val="TextoNormal"/>
      </w:pPr>
      <w:r w:rsidRPr="0026452D">
        <w:rPr>
          <w:rStyle w:val="NumeroAFNegritaCaracter"/>
        </w:rPr>
        <w:t>6</w:t>
      </w:r>
      <w:r>
        <w:t>. En fecha 12 de noviembre de 2010 tuvo entrada en este Tribunal escrito de alegaciones del Abogado del Estado en el que solicita que se tenga por evacuado el trámite conferido y, en su día, se dicte Sentencia desestimatoria del presente recurso en todos sus extremos.</w:t>
      </w:r>
    </w:p>
    <w:p w:rsidR="0026452D" w:rsidRDefault="0026452D" w:rsidP="0026452D">
      <w:pPr>
        <w:pStyle w:val="TextoNormal"/>
      </w:pPr>
    </w:p>
    <w:p w:rsidR="0026452D" w:rsidRDefault="0026452D" w:rsidP="0026452D">
      <w:pPr>
        <w:pStyle w:val="TextoNormal"/>
      </w:pPr>
      <w:r>
        <w:t>Comienza el Abogado del Estado recordando que la Ley que es objeto del presente recurso de inconstitucionalidad se dicta como complemento necesario de la Ley 17/2009, de 23 de noviembre, sobre el libre acceso a las actividades de servicios y su ejercicio, para lograr la plena incorporación al Derecho español de la Directiva 2006/123/CE, del Parlamento y del Consejo, de 12 de diciembre de 2006, relativa los servicios en el mercado interior, y responde a la finalidad de incorporar de manera efectiva los objetivos de la Ley 17/2009 a la normativa sectorial concreta. Considera el representante estatal que la demanda únicamente reprocha a la Ley 25/2009 que reserve a la ley estatal la definición de aquellas profesiones y servicios de colegiación obligatoria, y su planteamiento puede resumirse en los siguientes puntos:</w:t>
      </w:r>
    </w:p>
    <w:p w:rsidR="0026452D" w:rsidRDefault="0026452D" w:rsidP="0026452D">
      <w:pPr>
        <w:pStyle w:val="TextoNormal"/>
      </w:pPr>
    </w:p>
    <w:p w:rsidR="0026452D" w:rsidRDefault="0026452D" w:rsidP="0026452D">
      <w:pPr>
        <w:pStyle w:val="TextoNormal"/>
      </w:pPr>
      <w:r>
        <w:t>a) El escrito rector parte de la doctrina del Tribunal según la cual no existe un título competencial en la Constitución sobre la incorporación del Derecho comunitario, y cita los arts. 113 y 189.1 EAC, en los que se atribuye a la Generalitat el desarrollo, la aplicación y ejecución del Derecho comunitario “en el ámbito de sus competencias”. En relación con este argumento, recuerda el Abogado del Estado la doctrina de este Tribunal sobre dicha materia, y especialmente la recogida en la STC 31/2010, de 28 de junio, FJ 123, en la interpretación del art. 189.2 y 3 EAC, en la que se afirma que el precepto parte del reconocimiento de la competencia del Estado para la adopción de medidas internas de ejecución del Derecho europeo cuando aquéllas tengan un alcance superior al del territorio de Cataluña y las Comunidades Autónomas competentes no las puedan adoptar en sus respectivos ámbitos territoriales a través de mecanismos de colaboración y cooperación. Afirma el Letrado que el Estado, consciente de esta doctrina, en ningún momento ha invocado como título una facultad universal de transposición del derecho comunitario; muy al contrario, en la disposición final primera se invocan concretas competencias materiales recogidas en el art. 149.1 CE, que otorgan cobertura a los preceptos impugnados. La normativa estatal responde a la necesidad de implantar un régimen mínimamente uniforme en materia de colegiación, y lo hace contemplando un mecanismo de colaboración de las Comunidades Autónomas, que habrán de ser preceptivamente consultadas por el Gobierno, antes de que éste remita a las Cortes Generales el proyecto de ley que determine las profesiones para cuyo ejercicio es obligatoria la colegiación (disposición transitoria cuarta).</w:t>
      </w:r>
    </w:p>
    <w:p w:rsidR="0026452D" w:rsidRDefault="0026452D" w:rsidP="0026452D">
      <w:pPr>
        <w:pStyle w:val="TextoNormal"/>
      </w:pPr>
    </w:p>
    <w:p w:rsidR="0026452D" w:rsidRDefault="0026452D" w:rsidP="0026452D">
      <w:pPr>
        <w:pStyle w:val="TextoNormal"/>
      </w:pPr>
      <w:r>
        <w:t>b) Afirma la Comunidad Autónoma que el título estatutario contemplado en el art. 125 EAC sólo limita la competencia autonómica a lo previsto en los arts. 35 y 139 CE, y no a las competencias estatales del art. 149.1 CE. Para el Abogado del Estado esta afirmación resulta totalmente contradicha por lo dispuesto en los fundamentos jurídicos 64 y 71 de la STC 31/2010, de donde se deriva que dicha competencia estatutaria, por mucho que se ca</w:t>
      </w:r>
      <w:r>
        <w:lastRenderedPageBreak/>
        <w:t>lifique de exclusiva, está sujeta a la Constitución y, en particular, a los títulos competenciales que en exclusiva reserva al Estado el art. 149.1, por lo que la competencia autonómica del art. 125 EAC ha de quedar sujeta, no sólo a los límites en ese precepto expresamente recogidos, sino también a las competencias estatales concurrentes reconocidas en el art. 149.1 CE, debiendo rechazarse, en consecuencia, la pretensión de que la competencia autonómica únicamente se encuentra limitada por los arts. 36 y 139 CE.</w:t>
      </w:r>
    </w:p>
    <w:p w:rsidR="0026452D" w:rsidRDefault="0026452D" w:rsidP="0026452D">
      <w:pPr>
        <w:pStyle w:val="TextoNormal"/>
      </w:pPr>
    </w:p>
    <w:p w:rsidR="0026452D" w:rsidRDefault="0026452D" w:rsidP="0026452D">
      <w:pPr>
        <w:pStyle w:val="TextoNormal"/>
      </w:pPr>
      <w:r>
        <w:t>Se recuerda asimismo la jurisprudencia constitucional en la que se ha afirmado que corresponde a la legislación estatal fijar los principios y reglas básicas a que han de ajustar su organización y competencias las corporaciones de Derecho público representativas de intereses profesionales (STC 76/1983, de 5 de agosto) y la ley a que se refiere el art. 36 CE ha de ser estatal, siendo así que el fundamento constitucional de esa legislación básica estatal no puede encontrarse sino en el art. 149.1.18 CE.</w:t>
      </w:r>
    </w:p>
    <w:p w:rsidR="0026452D" w:rsidRDefault="0026452D" w:rsidP="0026452D">
      <w:pPr>
        <w:pStyle w:val="TextoNormal"/>
      </w:pPr>
    </w:p>
    <w:p w:rsidR="0026452D" w:rsidRDefault="0026452D" w:rsidP="0026452D">
      <w:pPr>
        <w:pStyle w:val="TextoNormal"/>
      </w:pPr>
      <w:r>
        <w:t>c) Las competencias atribuidas al Estado en los apartados 18 y 30 del art. 149.1 CE, le habilitan para reservar al legislador estatal la determinación de las profesiones en la que la previa incorporación a un colegio profesional sea requisito indispensable para su ejercicio. La doctrina constitucional (SSTC 76/1983, FJ 26 y 20/1988, FJ 4) es unánime al incluir en la competencia estatal del art. 149.1.18 CE la fijación de las bases por las que han de regirse los aspectos organizativos y competenciales de los colegios profesionales.</w:t>
      </w:r>
    </w:p>
    <w:p w:rsidR="0026452D" w:rsidRDefault="0026452D" w:rsidP="0026452D">
      <w:pPr>
        <w:pStyle w:val="TextoNormal"/>
      </w:pPr>
    </w:p>
    <w:p w:rsidR="0026452D" w:rsidRDefault="0026452D" w:rsidP="0026452D">
      <w:pPr>
        <w:pStyle w:val="TextoNormal"/>
      </w:pPr>
      <w:r>
        <w:t xml:space="preserve">En la STC 330/1994, de 15 de diciembre, se vino a justificar el carácter básico de la determinación de las profesiones en que sea requisito imprescindible para su ejercicio la previa incorporación a un colegio profesional. De la citada doctrina cabe deducir que: i) la Constitución no configura un modelo de colegio profesional, más allá de la reserva de ley del art. 36 CE y de la exigencia de su estructura interna y funcionamiento democrático, por lo que el legislador puede optar, dentro de esos límites constitucionales, por diversas configuraciones; ii) dentro de esa diversidad de opciones legales, los colegios podrán tener una mayor o menor “dimensión pública” en función del grado de vinculación que sus fines profesionales tengan con un servicio público o con el interés público; cuanto mayor sea la dimensión pública de los colegios, mayor será el ámbito de lo básico </w:t>
      </w:r>
      <w:r w:rsidRPr="0026452D">
        <w:rPr>
          <w:i/>
        </w:rPr>
        <w:t>ex</w:t>
      </w:r>
      <w:r>
        <w:t xml:space="preserve"> art. 149.1.18 CE; pero lo básico siempre alcanzará, como mínimo común, a la definición de la obligatoriedad de la adscripción de los profesionales al colegio correspondiente, y iii) lo anteriormente expuesto resulta predicable del ejercicio de cualquier profesión, sea o no titulada; y respecto de la profesiones tituladas, la intensidad de la competencia estatal resulta reforzada por el art. 149.1.30 CE.</w:t>
      </w:r>
    </w:p>
    <w:p w:rsidR="0026452D" w:rsidRDefault="0026452D" w:rsidP="0026452D">
      <w:pPr>
        <w:pStyle w:val="TextoNormal"/>
      </w:pPr>
    </w:p>
    <w:p w:rsidR="0026452D" w:rsidRDefault="0026452D" w:rsidP="0026452D">
      <w:pPr>
        <w:pStyle w:val="TextoNormal"/>
      </w:pPr>
      <w:r>
        <w:t>En definitiva, a través de la colegiación obligatoria se está atribuyendo a los colegios profesionales la facultad típicamente pública de verificar el cumplimiento de los requisitos de ejercicio de una determinada profesión y, en su caso, autorizar dicho ejercicio; y nada hay más típicamente vinculado a la vertiente pública de los colegios profesionales que su función de sustituir a una Administración pública en la autorización para el ejercicio de una actividad concreta.</w:t>
      </w:r>
    </w:p>
    <w:p w:rsidR="0026452D" w:rsidRDefault="0026452D" w:rsidP="0026452D">
      <w:pPr>
        <w:pStyle w:val="TextoNormal"/>
      </w:pPr>
    </w:p>
    <w:p w:rsidR="0026452D" w:rsidRDefault="0026452D" w:rsidP="0026452D">
      <w:pPr>
        <w:pStyle w:val="TextoNormal"/>
      </w:pPr>
      <w:r>
        <w:t xml:space="preserve">d) La determinación de los supuestos de colegiación obligatoria para el ejercicio de una actividad reúne todos los elementos que la doctrina constitucional exige para que nos encontremos ante una condición básica que garantiza la igualdad de todos los españoles en el ejercicio de los derechos y en el cumplimiento de los deberes constitucionales, pues tiene </w:t>
      </w:r>
      <w:r>
        <w:lastRenderedPageBreak/>
        <w:t>una conexión directa e inmediata con una dimensión constitucionalmente protegida del derecho de asociación, esto es, con la libertad de no asociarse; no supone el establecimiento de un régimen general, sino que constituye una intervención mínima para garantizar la igualdad de todos los españoles en el ejercicio de tal derecho fundamental; y no responde a la clásica mecánica bases-desarrollo, sino que agota y demanda una igual aplicación en todo el territorio. En definitiva, hace referencia a una posición jurídica fundamental, en cuanto especifica los casos en los que un elemento nuclear de una libertad pública se elimina en atención a otros fines o intereses públicos, por lo que resulta evidente la relevancia del art. 149.1.1 CE, en cuanto que el Estado, a través de los preceptos impugnados únicamente se estaría reservando la competencia para fijar la condición básica para garantizar la igualdad en el ejercicio de una dimensión esencial del derecho de asociación.</w:t>
      </w:r>
    </w:p>
    <w:p w:rsidR="0026452D" w:rsidRDefault="0026452D" w:rsidP="0026452D">
      <w:pPr>
        <w:pStyle w:val="TextoNormal"/>
      </w:pPr>
    </w:p>
    <w:p w:rsidR="0026452D" w:rsidRDefault="0026452D" w:rsidP="0026452D">
      <w:pPr>
        <w:pStyle w:val="TextoNormal"/>
      </w:pPr>
      <w:r w:rsidRPr="0026452D">
        <w:rPr>
          <w:rStyle w:val="NumeroAFNegritaCaracter"/>
        </w:rPr>
        <w:t>7</w:t>
      </w:r>
      <w:r>
        <w:t>. Por providencia de 18 de abril de 2013 se acordó señalar para deliberación y votación de la presente Sentencia el día 22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interpone por la Generalitat de Cataluña contra el art. 5.5, disposición transitoria cuarta y disposición final primera de la Ley 25/2009, de 22 de diciembre, de modificación de diversas leyes para su adaptación a la Ley sobre el libre acceso a las actividades de servicios y su ejercicio, preceptos todos que atañen al régimen de los colegios profesionales establecido por la Ley 2/1974, de 13 de febrero, sobre colegios profesionales.</w:t>
      </w:r>
    </w:p>
    <w:p w:rsidR="0026452D" w:rsidRDefault="0026452D" w:rsidP="0026452D">
      <w:pPr>
        <w:pStyle w:val="TextoNormal"/>
      </w:pPr>
    </w:p>
    <w:p w:rsidR="0026452D" w:rsidRDefault="0026452D" w:rsidP="0026452D">
      <w:pPr>
        <w:pStyle w:val="TextoNormal"/>
      </w:pPr>
      <w:r w:rsidRPr="0026452D">
        <w:rPr>
          <w:rStyle w:val="NumeroAFNegritaCaracter"/>
        </w:rPr>
        <w:t>2</w:t>
      </w:r>
      <w:r>
        <w:t>. La cuestión planteada en el presente recurso de inconstitucionalidad guarda directa conexión con la que ha sido resuelta por este Tribunal en la Sentencia 3/2013, de 17 de enero (cuya doctrina ha sido posteriormente reiterada en las SSTC 46/2013 y 50/2013, de 28 de febrero y 63/2013, de 14 de marzo), por lo que procede remitirse a lo señalado en la misma, cuyas apreciaciones y conclusiones resumimos a continuación.</w:t>
      </w:r>
    </w:p>
    <w:p w:rsidR="0026452D" w:rsidRDefault="0026452D" w:rsidP="0026452D">
      <w:pPr>
        <w:pStyle w:val="TextoNormal"/>
      </w:pPr>
    </w:p>
    <w:p w:rsidR="0026452D" w:rsidRDefault="0026452D" w:rsidP="0026452D">
      <w:pPr>
        <w:pStyle w:val="TextoNormal"/>
      </w:pPr>
      <w:r>
        <w:t>a) El art. 149.1.18 CE habilita al Estado para dictar la legislación básica en materia de colegios profesionales: “La competencia del Estado para regular los colegios profesionales le viene dada por el art. 149.1.18 CE, que le permite fijar los principios y reglas básicas de este tipo de entidades corporativas … Aun cuando los colegios profesionales se constituyen para defender primordialmente los intereses privados de sus miembros, tienen también una dimensión pública que les equipara a las Administraciones Públicas de carácter territorial, aunque a los solos aspectos organizativos y competenciales en los que ésta se concreta y singulariza [SSTC 76/1983, de 5 de agosto, FJ 26; 20/1988, de 18 de febrero, FJ 4; y 87/1989, de 11 de mayo, FJ 3 b)]. En definitiva, corresponde al Estado fijar las reglas básicas a que los colegios profesionales han de ajustar su organización y competencias, aunque con menor extensión e intensidad que cuando se refiere a las Administraciones públicas en sentido estricto (STC 32/2010, de 28 de junio, FJ 71).” (FJ 5).</w:t>
      </w:r>
    </w:p>
    <w:p w:rsidR="0026452D" w:rsidRDefault="0026452D" w:rsidP="0026452D">
      <w:pPr>
        <w:pStyle w:val="TextoNormal"/>
      </w:pPr>
    </w:p>
    <w:p w:rsidR="0026452D" w:rsidRDefault="0026452D" w:rsidP="0026452D">
      <w:pPr>
        <w:pStyle w:val="TextoNormal"/>
      </w:pPr>
      <w:r>
        <w:t xml:space="preserve">b) La competencia estatal </w:t>
      </w:r>
      <w:r w:rsidRPr="0026452D">
        <w:rPr>
          <w:i/>
        </w:rPr>
        <w:t>ex</w:t>
      </w:r>
      <w:r>
        <w:t xml:space="preserve"> art. 149.1.18 CE incluye la definición, a partir del tipo de colegiación, de los modelos posibles de colegios profesionales y de las condiciones en que las Comunidades Autónomas pueden crear entidades corporativas de uno u otro tipo, pues la determinación del régimen de colegiación (forzoso o voluntario) tiene carácter básico:</w:t>
      </w:r>
    </w:p>
    <w:p w:rsidR="0026452D" w:rsidRDefault="0026452D" w:rsidP="0026452D">
      <w:pPr>
        <w:pStyle w:val="TextoNormal"/>
      </w:pPr>
    </w:p>
    <w:p w:rsidR="0026452D" w:rsidRDefault="0026452D" w:rsidP="0026452D">
      <w:pPr>
        <w:pStyle w:val="TextoNormal"/>
      </w:pPr>
      <w:r>
        <w:t xml:space="preserve">“Forma parte de la competencia estatal la definición, a partir del tipo de colegiación, de los modelos posibles de colegios profesionales pero, también la determinación de la condiciones en que las Comunidades Autónomas pueden crear entidades corporativas de uno u otro tipo … la Constitución no impone en su art. 36 CE un único modelo de colegio profesional. Bajo esta peculiar figura con rasgos asociativos y corporativos pueden englobarse por el legislador estatal, en ejercicio de su competencia para formalizar normas básicas de las Administraciones públicas </w:t>
      </w:r>
      <w:r w:rsidRPr="0026452D">
        <w:rPr>
          <w:i/>
        </w:rPr>
        <w:t>ex</w:t>
      </w:r>
      <w:r>
        <w:t xml:space="preserve"> art. 149.1.18 CE, situaciones bien distintas como son las que corresponden al ejercicio de funciones públicas en régimen de monopolio o de libre concurrencia en el mercado como profesión liberal, y con colegiación forzosa o libre. Del mismo modo, no tiene por qué erigirse, en los supuestos legales de colegiación voluntaria, en un requisito habilitante para el ejercicio profesional. Y es asimismo posible que los Colegios profesionales asuman la defensa de actividades que no configuren, en realidad profesiones tituladas. Todos estos extremos pueden ser regulados libremente por el legislador estatal, desarrollando el art. 36 y con cobertura competencial en el art. 149.1.18, ambos de la Constitución … La determinación del régimen de colegiación tiene carácter básico, pues es una condición esencial de la conformación de cada Colegio profesional: Ahora bien, dado que en la Ley se limita considerablemente la dimensión pública que tenían estos colegios, sustituyendo sus facultades de autorización y control por la que realicen los organismos competentes de la Administración pública, paralelamente el nivel de lo básico debe ser reducido y, por tanto, de la ordenación dispuesta en el art. 31 sólo han de considerarse básicos la denominación, la ausencia de obligatoriedad en su adscripción y la existencia de un Consejo General.” (FJ 7).</w:t>
      </w:r>
    </w:p>
    <w:p w:rsidR="0026452D" w:rsidRDefault="0026452D" w:rsidP="0026452D">
      <w:pPr>
        <w:pStyle w:val="TextoNormal"/>
      </w:pPr>
    </w:p>
    <w:p w:rsidR="0026452D" w:rsidRDefault="0026452D" w:rsidP="0026452D">
      <w:pPr>
        <w:pStyle w:val="TextoNormal"/>
      </w:pPr>
      <w:r>
        <w:t>Se afirma asimismo en el fundamento jurídico 7 que “el carácter forzoso de la colegiación, como excepción a la libertad general de asociación, debe venir justificado por la relevancia del fin público que se persigue, así como por la dificultad de obtener ese fin sin recurrir a la adscripción forzosa al ente corporativo”. En definitiva, se afirma que “la competencia estatal para fijar las bases deriva … de la configuración de los colegios profesionales como corporaciones de Derecho público y de la atribución a los mismos de funciones públicas de mayor o menor relevancia para la profesión, y dado que el art. 36 CE no hace reserva de la institución colegial a las profesiones tituladas, la competencia del Estado para definir el modelo de colegio profesional para las profesiones reguladas no tituladas encuentra los mismos límites que cuando la ejerce para las profesiones tituladas (STC 330/1994, FJ 9).”</w:t>
      </w:r>
    </w:p>
    <w:p w:rsidR="0026452D" w:rsidRDefault="0026452D" w:rsidP="0026452D">
      <w:pPr>
        <w:pStyle w:val="TextoNormal"/>
      </w:pPr>
    </w:p>
    <w:p w:rsidR="0026452D" w:rsidRDefault="0026452D" w:rsidP="0026452D">
      <w:pPr>
        <w:pStyle w:val="TextoNormal"/>
      </w:pPr>
      <w:r>
        <w:t>c) Corresponde pues al legislador estatal la determinación de las profesiones cuyo ejercicio se sujeta a colegiación obligatoria, y ello, en los términos previstos en la modificación introducida en el art. 3.2 de la Ley 2/1974 de colegios profesionales, por el art. 5.5 y disposición transitoria cuarta de la Ley 25/2009:</w:t>
      </w:r>
    </w:p>
    <w:p w:rsidR="0026452D" w:rsidRDefault="0026452D" w:rsidP="0026452D">
      <w:pPr>
        <w:pStyle w:val="TextoNormal"/>
      </w:pPr>
    </w:p>
    <w:p w:rsidR="0026452D" w:rsidRDefault="0026452D" w:rsidP="0026452D">
      <w:pPr>
        <w:pStyle w:val="TextoNormal"/>
      </w:pPr>
      <w:r>
        <w:t xml:space="preserve">“Antes de la reforma operada por la Ley 25/2009, de 22 de diciembre, … la Ley 2/1974, de 13 de febrero, consagraba un modelo único de colegio profesional, caracterizado por la colegiación obligatoria, pues los profesionales estaban obligados a colegiarse para ´el ejercicio de las profesiones colegiadas´. Tras su reforma, el legislador estatal ha configurado dos tipos de entidades corporativas, las voluntarias y las obligatorias. El requisito de la colegiación obligatoria constituye una barrera de entrada al ejercicio de la profesión y, por tanto, debe quedar limitado a aquellos casos en que se afecta, de manera grave y directa, a </w:t>
      </w:r>
      <w:r>
        <w:lastRenderedPageBreak/>
        <w:t>materias de especial interés público, como la protección de la salud y de la integridad física o de la seguridad personal o jurídica de las personas físicas, y la colegiación demuestre ser un instrumento eficiente de control del ejercicio profesional para la mejor defensa de los destinatarios de los servicios, tal y como se deduce de la disposición transitoria cuarta de esta misma norma. En definitiva, los colegios profesionales voluntarios son, a partir de la Ley 25/2009, de 22 de diciembre, el modelo común, correspondiendo al legislador estatal, conforme a lo establecido en el art. 3.2, determinar los casos en que la colegiación se exige para el ejercicio profesional y, en consecuencia, también las excepciones, pues éstas no hacen sino delimitar el alcance de la regla de la colegiación obligatoria, actuando como complemento necesario de la misma. La determinación de las profesiones para cuyo ejercicio la colegiación es obligatoria se remite a una ley estatal, previendo su disposición transitoria cuarta que, en el plazo de doce meses desde la entrada en vigor de la ley, plazo superado con creces, el Gobierno remitirá a las Cortes el correspondiente proyecto de ley y que, en tanto no se apruebe la ley prevista, la colegiación será obligatoria en los colegios profesionales cuya ley de creación así lo haya establecido.” (FJ 7)</w:t>
      </w:r>
    </w:p>
    <w:p w:rsidR="0026452D" w:rsidRDefault="0026452D" w:rsidP="0026452D">
      <w:pPr>
        <w:pStyle w:val="TextoNormal"/>
      </w:pPr>
    </w:p>
    <w:p w:rsidR="0026452D" w:rsidRDefault="0026452D" w:rsidP="0026452D">
      <w:pPr>
        <w:pStyle w:val="TextoNormal"/>
      </w:pPr>
      <w:r>
        <w:t xml:space="preserve">d) La exigencia de colegiación obligatoria para el ejercicio de determinadas profesiones constituye, además, una condición básica que garantiza la igualdad en el ejercicio de los derechos y deberes constitucionales </w:t>
      </w:r>
      <w:r w:rsidRPr="0026452D">
        <w:rPr>
          <w:i/>
        </w:rPr>
        <w:t>ex</w:t>
      </w:r>
      <w:r>
        <w:t xml:space="preserve"> art. 149.1.1 CE: “La colegiación obligatoria no es una exigencia del art. 36 CE, tal y como pusimos de manifiesto en nuestra STC 89/1989, FJ 8, sino una decisión del legislador al que este precepto remite. Pero en la medida en que éste decide imponerla para el ejercicio de determinadas profesiones, se constituye en requisito inexcusable para el ejercicio profesional y, en consecuencia, un límite que afecta al contenido primario del derecho reconocido en el art. 35.1 CE; … es también, como acabamos de señalar, un límite esencial en la medida en que su exigencia supone la excepción, para quienes eligen una determinada profesión, del derecho fundamental de asociación en su vertiente negativa y, finalmente, resulta imprescindible pues, no se garantizaría el ejercicio del derecho del art. 35.1 CE en condiciones de igualdad, si el resultado del juicio que necesariamente debe realizarse a la vista de los concretos intereses públicos que concurren en cada caso, en cada profesión, y la obligación de elegir la alternativa menos gravosa entre las permitidas en el art. 36 CE, fuera distinta dependiendo del lugar de establecimiento o de prestación.” (FJ 8).</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En definitiva, la doctrina contenida en la STC 3/2013, de 17 de enero, resuelve las cuestiones planteadas por la Generalitat de Cataluña en el presente recurso de inconstitucionalidad, en cuanto afirma la competencia del Estado </w:t>
      </w:r>
      <w:r w:rsidRPr="0026452D">
        <w:rPr>
          <w:i/>
        </w:rPr>
        <w:t>ex</w:t>
      </w:r>
      <w:r>
        <w:t xml:space="preserve"> art. 149.1.18 CE para reservar al legislador estatal la determinación con carácter básico de los supuestos de colegiación obligatoria, en los términos contemplados en los preceptos de la Ley 25/2009 que son objeto del presente recurso de inconstitucionalidad, y reconoce expresamente el carácter de esta Ley como parámetro básico de contraste de las competencias autonómicas en materia de colegios profesionales.</w:t>
      </w:r>
    </w:p>
    <w:p w:rsidR="0026452D" w:rsidRDefault="0026452D" w:rsidP="0026452D">
      <w:pPr>
        <w:pStyle w:val="TextoNormal"/>
      </w:pPr>
    </w:p>
    <w:p w:rsidR="0026452D" w:rsidRDefault="0026452D" w:rsidP="0026452D">
      <w:pPr>
        <w:pStyle w:val="TextoNormal"/>
      </w:pPr>
      <w:r>
        <w:t xml:space="preserve">La competencia estatutaria contemplada en el art. 125 del Estatuto de Autonomía de Cataluña (EAC), aun cuando se califique como exclusiva, está sujeta a la Constitución y, en concreto, a los títulos competenciales que reserva al Estado el art. 149.1 CE, y así lo señaló el fundamento jurídico 64 de la STC 31/2010, específicamente en relación con lo dispuesto en el art. 125.1 y 4 EAC, afirmando que “la técnica seguida en ocasiones por el Estatuto de atribuir competencias materiales a la Generalitat que se proyectan ´en todo caso´ sobre las </w:t>
      </w:r>
      <w:r>
        <w:lastRenderedPageBreak/>
        <w:t>submaterias correspondientes … ha de entenderse en sentido meramente descriptivo o indicativo de que dichas submaterias forman parte del contenido de la realidad material de que se trate, pero sin que las competencias del Estado, tanto si son concurrentes como si son compartidas con las de la Comunidad Autónoma, resulten impedidas o limitadas en su ejercicio por esa atribución estatutaria ´en todo caso´ de competencias específicas a la Generalitat. Este es el sentido en que habrá de ser entendida dicha expresión que figura en determinados preceptos impugnados” (entre ellos se cita expresamente el art. 125.1 y 4 EAC); y en el fundamento jurídico 71, tras remitirse a lo anteriormente señalado, se añade que “el encabezamiento del propio art. 125.1 somete las competencias autonómicas al art. 36 CE, lo que ha de significar necesariamente, a la ley estatal (STC 20/1988, FJ 3) de lo que se concluye que el art. 125.1 EAC no cierra el paso a las competencias legislativas estatales”.</w:t>
      </w:r>
    </w:p>
    <w:p w:rsidR="0026452D" w:rsidRDefault="0026452D" w:rsidP="0026452D">
      <w:pPr>
        <w:pStyle w:val="TextoNormal"/>
      </w:pPr>
    </w:p>
    <w:p w:rsidR="0026452D" w:rsidRDefault="0026452D" w:rsidP="0026452D">
      <w:pPr>
        <w:pStyle w:val="TextoNormal"/>
      </w:pPr>
      <w:r w:rsidRPr="0026452D">
        <w:rPr>
          <w:rStyle w:val="NumeroAFNegritaCaracter"/>
        </w:rPr>
        <w:t>4</w:t>
      </w:r>
      <w:r>
        <w:t>. Por último, y en relación a la referencia que efectúa la disposición final primera de la Ley 25/2009 al art. 149.1.30 CE, como título que ampara la competencia estatal en esta materia, cabe señalar que, a través de la colegiación obligatoria, se viene a atribuir a los colegios profesionales el ejercicio de funciones propias de los poderes públicos, ligadas a la verificación del cumplimiento de los requisitos exigibles para el ejercicio profesional y a la autorización de dicho ejercicio, por lo que dicha atribución encuentra amparo en la competencia atribuida al Estado en el art. 149.1.30 CE, en materia de “normas básicas para el desarrollo del art. 27 de la Constitución, a fin de garantizar el cumplimiento de las obligaciones de los poderes públicos en esta materia”, operando pues como título complementario del previsto en el art. 149.1.18 CE.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veintidós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93" w:name="SENTENCIA_2013_90"/>
      <w:r>
        <w:lastRenderedPageBreak/>
        <w:t>SENTENCIA 90/2013, de 22 de abril de 2013</w:t>
      </w:r>
    </w:p>
    <w:bookmarkEnd w:id="93"/>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ECLI:ES:TC:2013:90</w:t>
      </w:r>
    </w:p>
    <w:p w:rsidR="0026452D" w:rsidRDefault="0026452D" w:rsidP="0026452D">
      <w:pPr>
        <w:pStyle w:val="SntesisDescriptiva"/>
      </w:pPr>
    </w:p>
    <w:p w:rsidR="0026452D" w:rsidRDefault="0026452D" w:rsidP="0026452D">
      <w:pPr>
        <w:pStyle w:val="SntesisDescriptiva"/>
      </w:pPr>
      <w:r>
        <w:t>Recurso de amparo 2090-2011. Promovido por don Juan Esteban Castilla Borrallo y doña María Piedad Castilla Borrallo respecto de las resoluciones de la Audiencia Provincial de Huelva que declararon desierto un recurso de apelación en pleito civil.</w:t>
      </w:r>
    </w:p>
    <w:p w:rsidR="0026452D" w:rsidRDefault="0026452D" w:rsidP="0026452D">
      <w:pPr>
        <w:pStyle w:val="SntesisDescriptiva"/>
      </w:pPr>
    </w:p>
    <w:p w:rsidR="0026452D" w:rsidRDefault="0026452D" w:rsidP="0026452D">
      <w:pPr>
        <w:pStyle w:val="SntesisAnaltica"/>
      </w:pPr>
      <w:r>
        <w:t>Supuesta vulneración del derecho a la tutela judicial efectiva (acceso al recurso): inadmisión de un recurso de apelación interpuesto por procurador carente de representación (STC 125/2005).</w:t>
      </w:r>
    </w:p>
    <w:p w:rsidR="0026452D" w:rsidRDefault="0026452D" w:rsidP="0026452D">
      <w:pPr>
        <w:pStyle w:val="SntesisAnaltica"/>
      </w:pPr>
    </w:p>
    <w:p w:rsidR="0026452D" w:rsidRDefault="0026452D" w:rsidP="0026452D">
      <w:pPr>
        <w:pStyle w:val="Extracto"/>
      </w:pPr>
      <w:r>
        <w:t>1.</w:t>
      </w:r>
      <w:r>
        <w:tab/>
        <w:t xml:space="preserve">Nada hay que objetar a la resolución judicial que, en interpretación del art. 24 LEC, considera la personación no realizada en tiempo y forma cuando el primer escrito presentado no fue acompañado de poder causídico alguno, ni otorgado </w:t>
      </w:r>
      <w:r w:rsidRPr="0026452D">
        <w:rPr>
          <w:i/>
        </w:rPr>
        <w:t>apud acta</w:t>
      </w:r>
      <w:r>
        <w:t xml:space="preserve"> ni notarial, careciendo el Procurador absolutamente de la representación de los demandantes de amparo, carencia ésta cuyo tratamiento como insubsanable no ha sido reprobada por este Tribunal (SSTC 125/2005, 241/2007) [FJ 4].</w:t>
      </w:r>
    </w:p>
    <w:p w:rsidR="0026452D" w:rsidRDefault="0026452D" w:rsidP="0026452D">
      <w:pPr>
        <w:pStyle w:val="Extracto"/>
      </w:pPr>
    </w:p>
    <w:p w:rsidR="0026452D" w:rsidRDefault="0026452D" w:rsidP="0026452D">
      <w:pPr>
        <w:pStyle w:val="Extracto"/>
      </w:pPr>
      <w:r>
        <w:t>2.</w:t>
      </w:r>
      <w:r>
        <w:tab/>
        <w:t>La respuesta de fondo ofrecida por el Auto recurrido resulta acorde al canon del derecho a la tutela judicial efectiva en su vertiente de acceso al recurso, pues contenía un análisis, siquiera somero y desestimatorio, de las cuestiones suscitadas en el recurso de apelación, por lo que en todo caso no se habría producido una vulneración del derecho fundamental que sólo acaece cuando se deniega efectivamente una resolución fundada en Derecho sobre el fondo del recurso [FJ 5].</w:t>
      </w:r>
    </w:p>
    <w:p w:rsidR="0026452D" w:rsidRDefault="0026452D" w:rsidP="0026452D">
      <w:pPr>
        <w:pStyle w:val="Extracto"/>
      </w:pPr>
    </w:p>
    <w:p w:rsidR="0026452D" w:rsidRDefault="0026452D" w:rsidP="0026452D">
      <w:pPr>
        <w:pStyle w:val="Extracto"/>
      </w:pPr>
      <w:r>
        <w:t>3.</w:t>
      </w:r>
      <w:r>
        <w:tab/>
        <w:t>Para que el defecto de forma de la resolución judicial alcance relevancia constitucional es preciso que determine la merma, la limitación o la privación real o material del derecho de defensa del demandante (STC 15/2005) [FJ 5].</w:t>
      </w:r>
    </w:p>
    <w:p w:rsidR="0026452D" w:rsidRDefault="0026452D" w:rsidP="0026452D">
      <w:pPr>
        <w:pStyle w:val="Extracto"/>
      </w:pPr>
    </w:p>
    <w:p w:rsidR="0026452D" w:rsidRDefault="0026452D" w:rsidP="0026452D">
      <w:pPr>
        <w:pStyle w:val="Extracto"/>
      </w:pPr>
      <w:r>
        <w:t>4.</w:t>
      </w:r>
      <w:r>
        <w:tab/>
        <w:t>El derecho a la tutela judicial efectiva comprende el de obtener una resolución fundada en Derecho sobre el fondo de las cuestiones planteadas, sea o no favorable a las pretensiones formuladas, si concurren todos los requisitos para ello, de ahí que sea también respetuosa con este derecho fundamental una resolución judicial de inadmisión o de desestimación por algún motivo formal, cuando concurra alguna causa de inadmisibilidad y así lo acuerde el Juez o Tribunal en aplicación razonada de la misma (STC 221/2005) [FJ 3].</w:t>
      </w:r>
    </w:p>
    <w:p w:rsidR="0026452D" w:rsidRDefault="0026452D" w:rsidP="0026452D">
      <w:pPr>
        <w:pStyle w:val="Extracto"/>
      </w:pPr>
    </w:p>
    <w:p w:rsidR="0026452D" w:rsidRDefault="0026452D" w:rsidP="0026452D">
      <w:pPr>
        <w:pStyle w:val="Extracto"/>
      </w:pPr>
      <w:r>
        <w:t>5.</w:t>
      </w:r>
      <w:r>
        <w:tab/>
        <w:t>La decisión sobre la admisión de los recursos o no y la verificación de la concurrencia de los requisitos materiales y procesales a que están sujetos constituye una cuestión de mera legalidad ordinaria que corresponde exclusivamente a los Jueces y Tribunales, en el ejercicio de la potestad jurisdiccional que les atribuye el art. 117.3 CE (SSTC 230/2001, 71/2002) [FJ 3].</w:t>
      </w:r>
    </w:p>
    <w:p w:rsidR="0026452D" w:rsidRDefault="0026452D" w:rsidP="0026452D">
      <w:pPr>
        <w:pStyle w:val="Extracto"/>
      </w:pPr>
    </w:p>
    <w:p w:rsidR="0026452D" w:rsidRDefault="0026452D" w:rsidP="0026452D">
      <w:pPr>
        <w:pStyle w:val="Extracto"/>
      </w:pPr>
      <w:r>
        <w:lastRenderedPageBreak/>
        <w:t>6.</w:t>
      </w:r>
      <w:r>
        <w:tab/>
        <w:t>El control constitucional de las resoluciones judiciales, cuando se alega el derecho de acceso a los recursos, es meramente externo y debe limitarse a comprobar si tienen motivación y si han incurrido en error material patente, en arbitrariedad o en manifiesta irrazonabilidad lógica, evitando toda ponderación acerca de la corrección jurídica de las mismas (SSTC 253/2007, 33/2008) [FJ 3].</w:t>
      </w:r>
    </w:p>
    <w:p w:rsidR="0026452D" w:rsidRDefault="0026452D" w:rsidP="0026452D">
      <w:pPr>
        <w:pStyle w:val="Extracto"/>
      </w:pPr>
    </w:p>
    <w:p w:rsidR="0026452D" w:rsidRDefault="0026452D" w:rsidP="0026452D">
      <w:pPr>
        <w:pStyle w:val="Extracto"/>
      </w:pPr>
      <w:r>
        <w:t>7.</w:t>
      </w:r>
      <w:r>
        <w:tab/>
        <w:t>Doctrina sobre la subsanabilidad de la falta de acreditación o insuficiencia de la representación procesal (STC 287/2005)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por don Ramón Rodríguez Arribas, Presidente, don Pablo Pérez Tremps, don Francisco José Hernando Santiago, don Luis Ignacio Ortega Álvarez, don Francisco Pérez de los Cobos Orihuel y doña Encarnación Roca Trías,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2090-2011, promovido por don Juan Esteban Castilla Borrallo y doña María Piedad Castilla Borrallo, representados por el Procurador de los Tribunales don Luciano Rosch Nadal y asistido por la Abogada doña Antonia Cinta Díaz Delgado, contra el Decreto de 8 de noviembre de 2010 dictado por la Sección Segunda de la Audiencia Provincial de Huelva en el rollo de apelación núm. 201-2010 y contra el Auto de 15 de febrero de 2011 de la misma Sección y rollo, por el que se desestimó el recurso de revisión interpuesto contra aquél. Ha intervenido el Ministerio Fiscal y la entidad mercantil Sierra Alta de Huelva, S.L., representada por el Procurador don Víctor García Montes y dirigida por el Letrado don Eugenio Menacho Fuentes. Ha sido Ponente el Magistrado don Ramón Rodríguez Arribas,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el día 6 de abril de 2011, el Procurador de los Tribunales don Luciano Rosch Nadal, en nombre y representación de don Juan Esteban Castilla Borrallo y doña María Piedad Castilla Borrallo, interpuso recurso de amparo contra las resoluciones judiciales a las que se ha hecho mención en el encabezamiento de esta Sentencia.</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más relevantes de los que trae causa la demanda de amparo son los siguientes:</w:t>
      </w:r>
    </w:p>
    <w:p w:rsidR="0026452D" w:rsidRDefault="0026452D" w:rsidP="0026452D">
      <w:pPr>
        <w:pStyle w:val="TextoNormal"/>
      </w:pPr>
    </w:p>
    <w:p w:rsidR="0026452D" w:rsidRDefault="0026452D" w:rsidP="0026452D">
      <w:pPr>
        <w:pStyle w:val="TextoNormal"/>
      </w:pPr>
      <w:r>
        <w:lastRenderedPageBreak/>
        <w:t>a) Frente a los hoy recurrentes, en los autos de juicio ordinario núm. 218-2009, el Juzgado de Primera Instancia e Instrucción de Aracena dictó Sentencia por la que desestimó la demanda interpuesta por ellos contra la entidad mercantil Sierra Alta de Huelva, S.L., y estimó parcialmente la reconvención formulada por esta última contra los primeros.</w:t>
      </w:r>
    </w:p>
    <w:p w:rsidR="0026452D" w:rsidRDefault="0026452D" w:rsidP="0026452D">
      <w:pPr>
        <w:pStyle w:val="TextoNormal"/>
      </w:pPr>
    </w:p>
    <w:p w:rsidR="0026452D" w:rsidRDefault="0026452D" w:rsidP="0026452D">
      <w:pPr>
        <w:pStyle w:val="TextoNormal"/>
      </w:pPr>
      <w:r>
        <w:t>b) Los demandantes de amparo prepararon e interpusieron entonces contra la Sentencia recurso de apelación, siendo emplazados para comparecer ante la Audiencia Provincial de Huelva por diligencia de ordenación del Juzgado de 22 de julio de 2010, notificada a las partes en la misma fecha.</w:t>
      </w:r>
    </w:p>
    <w:p w:rsidR="0026452D" w:rsidRDefault="0026452D" w:rsidP="0026452D">
      <w:pPr>
        <w:pStyle w:val="TextoNormal"/>
      </w:pPr>
    </w:p>
    <w:p w:rsidR="0026452D" w:rsidRDefault="0026452D" w:rsidP="0026452D">
      <w:pPr>
        <w:pStyle w:val="TextoNormal"/>
      </w:pPr>
      <w:r>
        <w:t>c) Por escrito presentado el 29 de septiembre de 2010 en el rollo núm. 201-2010 de la Sección Segunda de dicho órgano, a la que había correspondido el conocimiento del anterior recurso, el Procurador don Fernando González Lancha manifestó personarse ante el Tribunal en nombre de los Sres. Castilla Borrallo, suplicando que, en consecuencia, se les tuviera por parte y comparecidos en el rollo de apelación y que se señalase día y hora a fin de que aquéllos pudieran conferir poder a su favor mediante comparecencia ante el Secretario Judicial conforme al art. 24 de la Ley de enjuiciamiento civil (LEC).</w:t>
      </w:r>
    </w:p>
    <w:p w:rsidR="0026452D" w:rsidRDefault="0026452D" w:rsidP="0026452D">
      <w:pPr>
        <w:pStyle w:val="TextoNormal"/>
      </w:pPr>
    </w:p>
    <w:p w:rsidR="0026452D" w:rsidRDefault="0026452D" w:rsidP="0026452D">
      <w:pPr>
        <w:pStyle w:val="TextoNormal"/>
      </w:pPr>
      <w:r>
        <w:t xml:space="preserve">d) En fecha de 8 de noviembre de 2010, el Secretario de la Sección Segunda de la Audiencia Provincial de Huelva dictó decreto teniendo por no comparecidos en plazo a los demandantes de amparo en el recurso de apelación y declarando desierto el mismo. En los razonamientos jurídicos de la resolución se transcribían como fundamento de la decisión los arts. 24 y 463 LEC. Según éstos (en la redacción vigente a la fecha de las resoluciones recurridas): “1. El poder en que la parte otorgue su representación al procurador habrá de estar autorizado por notario o ser conferido por comparecencia ante el Secretario judicial de cualquier Oficina judicial. 2. La escritura de poder se acompañará al primer escrito que el procurador presente o, en su caso, al realizar la primera actuación; y el otorgamiento </w:t>
      </w:r>
      <w:r w:rsidRPr="0026452D">
        <w:rPr>
          <w:i/>
        </w:rPr>
        <w:t>apud acta</w:t>
      </w:r>
      <w:r>
        <w:t xml:space="preserve"> deberá ser efectuado al mismo tiempo que la presentación del primer escrito o, en su caso, antes de la primera actuación, sin necesidad de que a dicho otorgamiento concurra el procurador.” (art. 24 LEC). “Si el apelante no compareciere dentro de plazo señalado, el Secretario judicial declarará desierto el recurso de apelación y quedará firme la resolución recurrida.” (art. 463 LEC).</w:t>
      </w:r>
    </w:p>
    <w:p w:rsidR="0026452D" w:rsidRDefault="0026452D" w:rsidP="0026452D">
      <w:pPr>
        <w:pStyle w:val="TextoNormal"/>
      </w:pPr>
    </w:p>
    <w:p w:rsidR="0026452D" w:rsidRDefault="0026452D" w:rsidP="0026452D">
      <w:pPr>
        <w:pStyle w:val="TextoNormal"/>
      </w:pPr>
      <w:r>
        <w:t xml:space="preserve">e) Los demandantes de amparo interpusieron recurso de revisión contra el Decreto de 8 de noviembre de 2010 aportando con él sendos poderes notariales a favor del procurador de 17 de noviembre de 2010. En él se alegaba que la resolución había infringido los arts. 24, 231 y 243 LEC así como el derecho a la tutela judicial efectiva del recurrente recogido en el art. 24 CE, dado que, primero, no existía defecto de representación procesal, puesto que la parte en el escrito de personación presentado expresaba su voluntad de conferir el apoderamiento </w:t>
      </w:r>
      <w:r w:rsidRPr="0026452D">
        <w:rPr>
          <w:i/>
        </w:rPr>
        <w:t>apud acta</w:t>
      </w:r>
      <w:r>
        <w:t>, solicitando día y hora para ello a fin de respetar las normas de organización del funcionamiento de la Sección al respecto. Segundo, que de haber concurrido tal defecto éste debía haber sido considerado subsanable con arreglo a reiterada doctrina de este Tribunal Constitucional que así lo imponía.</w:t>
      </w:r>
    </w:p>
    <w:p w:rsidR="0026452D" w:rsidRDefault="0026452D" w:rsidP="0026452D">
      <w:pPr>
        <w:pStyle w:val="TextoNormal"/>
      </w:pPr>
    </w:p>
    <w:p w:rsidR="0026452D" w:rsidRDefault="0026452D" w:rsidP="0026452D">
      <w:pPr>
        <w:pStyle w:val="TextoNormal"/>
      </w:pPr>
      <w:r>
        <w:t xml:space="preserve">f) El recurso fue desestimado por Auto de la Sección de 15 de febrero de 2011. En éste, después de recordar los términos ya transcritos del art. 24.2 LEC, el órgano judicial declaró que, de acuerdo con la STC 287/2005, de 7 de noviembre, la falta de acreditación de la representación procesal era subsanable sólo si el defecto se reducía a esta mera formalidad. </w:t>
      </w:r>
      <w:r>
        <w:lastRenderedPageBreak/>
        <w:t>En el caso de autos, la parte apelante aportó el poder notarial con posterioridad al período de emplazamiento y ello habría sido suficiente —según la Sección— si su otorgamiento hubiese sido anterior. Sin embargo, el poder no se otorgó ni ante notario ni ante el Secretario Judicial sino hasta dos meses después de la finalización del emplazamiento, a pesar de conocer los recurrentes la carga legalmente impuesta de conferirlo y de la posibilidad de hacerlo en cualquier Juzgado a partir de la reforma operada en la Ley de enjuiciamiento civil al respecto por la Ley 13/2009. El no haberlo hecho sólo podía estimarse negligencia inexcusable de los recurrentes, que había de perjudicarles de acuerdo con la STC 14/2008. Otra interpretación —añadía el Auto— significaría que “el término del emplazamiento quedaría a la voluntad de la parte mientras que en la citada reforma se ha querido atribuir a la falta de personación en forma dentro de plazo la consecuencia de declararse desierto el recurso. Como expone el Tribunal Supremo debe distinguirse entre la existencia del hecho y su acreditación, que puede hacerse posteriormente.” Tras este pronunciamiento, en el razonamiento jurídico tercero la Audiencia, a mayor abundamiento, explicitó los motivos por los que la pretensión hecha valer en el recurso de apelación no habría prosperado. Termina la resolución desestimando el recurso de revisión sin imposición de las costas procesales, dadas “las dudas de hecho y derecho que plantea doctrinal y jurisprudencialmente la posibilidad de subsanación del defecto”.</w:t>
      </w:r>
    </w:p>
    <w:p w:rsidR="0026452D" w:rsidRDefault="0026452D" w:rsidP="0026452D">
      <w:pPr>
        <w:pStyle w:val="TextoNormal"/>
      </w:pPr>
    </w:p>
    <w:p w:rsidR="0026452D" w:rsidRDefault="0026452D" w:rsidP="0026452D">
      <w:pPr>
        <w:pStyle w:val="TextoNormal"/>
      </w:pPr>
      <w:r w:rsidRPr="0026452D">
        <w:rPr>
          <w:rStyle w:val="NumeroAFNegritaCaracter"/>
        </w:rPr>
        <w:t>3</w:t>
      </w:r>
      <w:r>
        <w:t>. En la fundamentación jurídica de la demanda de amparo el recurrente sostiene que las resoluciones citadas de la Sección Segunda de la Audiencia Provincial de Huelva, el Decreto de 8 de noviembre de 2010 y el Auto de 15 de febrero de 2011, han vulnerado su derecho a la tutela judicial efectiva, que comprende el derecho de acceso al recurso legal. A su juicio, la interpretación realizada por la Audiencia del art. 24 LEC incurriría en un rigor formalista contrario al mencionado derecho fundamental: el escrito de personación se había presentado en el plazo conferido, con la firma de Abogado y Procurador, lo cual era índice de que el apoderamiento había sido previamente otorgado y aceptado por el profesional, faltando únicamente su nombramiento formal, para lo que se solicitaba día y hora a fin de realizarlo en la oficina ante el Secretario judicial. No obstante, la Sala consideró que el precepto legal imponía que dicho requisito había de cumplirse antes o simultáneamente a la presentación del primer escrito, no pudiendo subsanarse con posterioridad a dicho momento, contraviniendo con ello el art. 231 LEC y la reiterada doctrina del Tribunal Constitucional en la que se declara el carácter subsanable de los defectos de postulación y que cita (SSTC 217/2005, de 12 de septiembre; 14/2008, de 31 de enero; 135/2008, de 27 de octubre; 159/1995, de 6 de noviembre; 234/2002, de 9 de diciembre; 287/2005, de 7 de noviembre y 241/2007, de 10 de diciembre).</w:t>
      </w:r>
    </w:p>
    <w:p w:rsidR="0026452D" w:rsidRDefault="0026452D" w:rsidP="0026452D">
      <w:pPr>
        <w:pStyle w:val="TextoNormal"/>
      </w:pPr>
    </w:p>
    <w:p w:rsidR="0026452D" w:rsidRDefault="0026452D" w:rsidP="0026452D">
      <w:pPr>
        <w:pStyle w:val="TextoNormal"/>
      </w:pPr>
      <w:r>
        <w:t>Los recurrentes consideraron vulnerado además por el Auto de la Audiencia Provincial el derecho a la legalidad procesal —art. 1 LEC en relación con el art. 9.3 CE—, en la medida en que, excediendo el objeto del recurso de revisión interpuesto, se pronunció sobre el fondo del recurso de apelación al margen del trámite previsto para éste en la Ley procesal, con frustración, por tanto, de los derechos al recurso y a la tutela judicial efectiva de los demandantes de amparo.</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Por providencia de 20 de octubre de 2011, la Sala Segunda de este Tribunal Constitucional resolvió admitir a trámite la demanda presentada y, en aplicación de lo dispuesto en el art. 51 de la Ley Orgánica del Tribunal Constitucional (LOTC), acordó dirigir atenta comunicación a la Sección Segunda de la Audiencia Provincial de Huelva, a fin de que en </w:t>
      </w:r>
      <w:r>
        <w:lastRenderedPageBreak/>
        <w:t>plazo que no excediera de diez días remitiese certificación o fotocopia adverada de las actuaciones correspondientes al rollo núm. 201-2010, así como atenta comunicación al Juzgado de Primera Instancia e Instrucción núm. 1 de Aracena para la remisión de certificación o fotocopia adverada de las actuaciones correspondientes al procedimiento ordinario núm. 218-2009 y el emplazamiento de quienes hubieran sido parte en el procedimiento, a excepción del demandante de amparo, para que si lo deseaban pudiesen comparecer en el recurso en el mismo plazo.</w:t>
      </w:r>
    </w:p>
    <w:p w:rsidR="0026452D" w:rsidRDefault="0026452D" w:rsidP="0026452D">
      <w:pPr>
        <w:pStyle w:val="TextoNormal"/>
      </w:pPr>
    </w:p>
    <w:p w:rsidR="0026452D" w:rsidRDefault="0026452D" w:rsidP="0026452D">
      <w:pPr>
        <w:pStyle w:val="TextoNormal"/>
      </w:pPr>
      <w:r w:rsidRPr="0026452D">
        <w:rPr>
          <w:rStyle w:val="NumeroAFNegritaCaracter"/>
        </w:rPr>
        <w:t>5</w:t>
      </w:r>
      <w:r>
        <w:t>. Remitidas las actuaciones por los órganos citados y personada la entidad mercantil Sierra Alta de Huelva, S.L., mediante escrito con fecha de entrada de 29 de noviembre de 2011, por diligencia de ordenación de la Secretaría de la Sala Segunda de este Tribunal Constitucional, de 30 de noviembre de 2011, se tuvo por personado y parte en el procedimiento al Procurador don Víctor García Montes, en nombre y representación de la sociedad citada, y se acordó dar vista de las actuaciones recibidas a las partes personadas y al Ministerio Fiscal, por plazo común de veinte días, a fin de formular las alegaciones que tuvieran por conveniente, de conformidad con lo dispuesto en el art. 52.1 LOTC.</w:t>
      </w:r>
    </w:p>
    <w:p w:rsidR="0026452D" w:rsidRDefault="0026452D" w:rsidP="0026452D">
      <w:pPr>
        <w:pStyle w:val="TextoNormal"/>
      </w:pPr>
    </w:p>
    <w:p w:rsidR="0026452D" w:rsidRDefault="0026452D" w:rsidP="0026452D">
      <w:pPr>
        <w:pStyle w:val="TextoNormal"/>
      </w:pPr>
      <w:r w:rsidRPr="0026452D">
        <w:rPr>
          <w:rStyle w:val="NumeroAFNegritaCaracter"/>
        </w:rPr>
        <w:t>6</w:t>
      </w:r>
      <w:r>
        <w:t>. Los demandantes de amparo, don Juan Esteban Castilla Borrallo y doña María Piedad Castilla Borrallo, evacuaron el trámite de alegaciones conferido mediante escrito registrado en fecha de 3 de enero de 2012, en el que, en lo sustancial, reiteraron las efectuadas en la demanda de amparo. Solicitaban además, con arreglo al art. 56 LOTC, la suspensión del trámite en el que se encontraba el recurso de apelación núm. 201-2010 tramitado ante la Sección Segunda de la de la Audiencia Provincial de Huelva.</w:t>
      </w:r>
    </w:p>
    <w:p w:rsidR="0026452D" w:rsidRDefault="0026452D" w:rsidP="0026452D">
      <w:pPr>
        <w:pStyle w:val="TextoNormal"/>
      </w:pPr>
    </w:p>
    <w:p w:rsidR="0026452D" w:rsidRDefault="0026452D" w:rsidP="0026452D">
      <w:pPr>
        <w:pStyle w:val="TextoNormal"/>
      </w:pPr>
      <w:r>
        <w:t>Abierta la correspondiente pieza separada, tras ser tramitada en forma, la suspensión fue denegada por Auto de la Sala Segunda de este Tribunal 103/2012, de 21 de mayo.</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El Ministerio Fiscal evacuó el trámite de alegaciones conferido mediante escrito registrado en fecha de 17 de enero de 2012, en el que solicitó la desestimación de la demanda de amparo. Comienza el escrito afirmando que precisamente la </w:t>
      </w:r>
      <w:r w:rsidRPr="0026452D">
        <w:rPr>
          <w:i/>
        </w:rPr>
        <w:t>ratio legis</w:t>
      </w:r>
      <w:r>
        <w:t xml:space="preserve"> de la reforma operada por la Ley 13/2009 en los arts. 24 y 463 LEC, en materia de personación, fue la de acelerar el indicado trámite, imponiendo a los recurrentes aportar el poder con el primer escrito o en la primera actuación a fin de evitar que su otorgamiento interrumpiese, dificultase o suspendiese el curso de las actuaciones. En este sentido, el Ministerio público recuerda que la doctrina de este Tribunal en cuanto al derecho de acceso al recurso proscribe la arbitrariedad, la irrazonabilidad o el error patente en la aplicación de las normas procesales reguladoras de los requisitos de admisión de aquéllos y que ha considerado subsanable la falta de acreditación del poder, pero no la falta absoluta de éste. En consecuencia, las razones por las que la Audiencia Provincial de Huelva inadmitió el recurso de apelación interpuesto por los recurrentes no se consideran contrarias al derecho fundamental: de un lado, el art. 24.2 LEC exige de modo claro que el poder se presente con el primer escrito, momento en el que la parte no había conferido aún poder alguno; de otro lado, ésta había actuado ciertamente con negligencia, dado que con una mínima diligencia podía haber tomado conocimiento del curso de la apelación en la propia oficina judicial y habría sabido que aún podía presentar el poder, siendo de fácil obtención en cualquier Notaría o Juzgado.</w:t>
      </w:r>
    </w:p>
    <w:p w:rsidR="0026452D" w:rsidRDefault="0026452D" w:rsidP="0026452D">
      <w:pPr>
        <w:pStyle w:val="TextoNormal"/>
      </w:pPr>
    </w:p>
    <w:p w:rsidR="0026452D" w:rsidRDefault="0026452D" w:rsidP="0026452D">
      <w:pPr>
        <w:pStyle w:val="TextoNormal"/>
      </w:pPr>
      <w:r>
        <w:lastRenderedPageBreak/>
        <w:t>Por último, en cuanto a la queja relativa al pronunciamiento sobre el fondo de la apelación contenido en el Auto recurrido, el Ministerio Fiscal abogó por su desestimación, al no ser los artículos citados de la Constitución en fundamentación de la misma objeto posible del recurso de amparo (arts. 53.2 CE y 41.1 de la Ley Orgánica del Poder Judicial) y porque, en todo caso, al haberse producido esta lesión por vez primera en el Auto en cuestión, éste debió ser recurrido a través del incidente de nulidad de actuaciones.</w:t>
      </w:r>
    </w:p>
    <w:p w:rsidR="0026452D" w:rsidRDefault="0026452D" w:rsidP="0026452D">
      <w:pPr>
        <w:pStyle w:val="TextoNormal"/>
      </w:pPr>
    </w:p>
    <w:p w:rsidR="0026452D" w:rsidRDefault="0026452D" w:rsidP="0026452D">
      <w:pPr>
        <w:pStyle w:val="TextoNormal"/>
      </w:pPr>
      <w:r w:rsidRPr="0026452D">
        <w:rPr>
          <w:rStyle w:val="NumeroAFNegritaCaracter"/>
        </w:rPr>
        <w:t>8</w:t>
      </w:r>
      <w:r>
        <w:t>. La representación procesal de Sierra Alta, S.L., no presentó alegaciones en el plazo conferido al efecto.</w:t>
      </w:r>
    </w:p>
    <w:p w:rsidR="0026452D" w:rsidRDefault="0026452D" w:rsidP="0026452D">
      <w:pPr>
        <w:pStyle w:val="TextoNormal"/>
      </w:pPr>
    </w:p>
    <w:p w:rsidR="0026452D" w:rsidRDefault="0026452D" w:rsidP="0026452D">
      <w:pPr>
        <w:pStyle w:val="TextoNormal"/>
      </w:pPr>
      <w:r w:rsidRPr="0026452D">
        <w:rPr>
          <w:rStyle w:val="NumeroAFNegritaCaracter"/>
        </w:rPr>
        <w:t>9</w:t>
      </w:r>
      <w:r>
        <w:t>. Por providencia de 18 de abril de 2013 se señaló para la deliberación y votación de la presente Sentencia el día 22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El presente recurso de amparo se interpone contra el Decreto de 8 de noviembre de 2010 y el Auto de 15 de febrero de 2011 dictados por la Sección Segunda de la Audiencia Provincial de Huelva, a los que el demandante atribuye la vulneración del derecho a la tutela judicial efectiva en su concreta dimensión de derecho de acceso al recurso (art. 24.1 CE). Los demandantes aducen que ambas resoluciones judiciales declararon desierto el recurso de apelación previamente interpuesto, al extraer indebidamente del art. 24 de la Ley de enjuiciamiento civil (LEC) que el poder al Procurador debió ser presentado u otorgado con el primer escrito o actuación procesal ante el órgano, resultando insubsanable su falta con posterioridad a dicho momento, sin tener en cuenta que en el indicado escrito los recurrentes habían solicitado de la Audiencia Provincial el señalamiento de día y hora para su otorgamiento </w:t>
      </w:r>
      <w:r w:rsidRPr="0026452D">
        <w:rPr>
          <w:i/>
        </w:rPr>
        <w:t>apud acta</w:t>
      </w:r>
      <w:r>
        <w:t>.</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Centrada así la cuestión, debe destacarse que los concretos hechos sometidos a la decisión del Tribunal en el presente recurso fueron ya objeto de enjuiciamiento en la STC 287/2005, de 7 de noviembre. En aquel caso, el recurrente, demandado en juicio monitorio, se opuso al requerimiento judicial de pago a través de un escrito de análogo tenor literal al hoy analizado, escrito “presentado en plazo, firmado por Letrada y por Procuradora, en el que la Procuradora firmante … afirmaba expresamente en el encabezamiento del mismo que era la representante de la parte deudora y ‘cuya representación se otorgará </w:t>
      </w:r>
      <w:r w:rsidRPr="0026452D">
        <w:rPr>
          <w:i/>
        </w:rPr>
        <w:t>apud acta</w:t>
      </w:r>
      <w:r>
        <w:t xml:space="preserve"> en el Juzgado al que nos dirigimos’; por ello se solicitaba expresamente (en el primer otrosí digo) que ‘es interés de esta parte ser citado por el Juzgado a fin de otorgar poder </w:t>
      </w:r>
      <w:r w:rsidRPr="0026452D">
        <w:rPr>
          <w:i/>
        </w:rPr>
        <w:t>apud acta</w:t>
      </w:r>
      <w:r>
        <w:t xml:space="preserve"> a favor de Procurador y en su caso Letrado interviniente’, suplicando al Juzgado que ‘señale día y hora de acordar lo solicitado’”. El juzgador, en una interpretación similar a la analizada del art. 24.2 LEC, “y al margen de lo dispuesto en el art. 231 LEC, consideró, por el contrario, que la facultad de otorgar un poder </w:t>
      </w:r>
      <w:r w:rsidRPr="0026452D">
        <w:rPr>
          <w:i/>
        </w:rPr>
        <w:t>apud acta</w:t>
      </w:r>
      <w:r>
        <w:t xml:space="preserve"> debía ejercitarse antes o al mismo tiempo de la presentación del escrito en cuestión y, por consiguiente, que el defecto procesal cometido era insubsanable.”. En dicho caso estimamos el recurso de amparo basándonos, de un lado, en nuestra doctrina en torno al derecho de acceso al proceso, considerando desproporcionada la consecuencia anudada a la posible falta cometida por el recurrente, el despacho de la ejecución con base en la sola solicitud de juicio monitorio, sin posibilidad alguna de defensa. De otro lado, el Tribunal apoyó la decisión en su doctrina respecto a la falta de </w:t>
      </w:r>
      <w:r>
        <w:lastRenderedPageBreak/>
        <w:t xml:space="preserve">acreditación de la representación procesal, calificándola de “subsanable si el defecto se reduce a esta mera formalidad, y siempre que tal subsanación sea posible, de modo que en tales supuestos debe conferirse a las partes la posibilidad de subsanación antes de impedirles el acceso al proceso o al recurso legalmente previsto”. Aunque se añadió que “no resulta contraria al derecho a la tutela judicial efectiva la interpretación judicial de que no resulta subsanable, no ya la falta de acreditación o insuficiencia de la representación procesal, sino la carencia absoluta de la misma ante la inexistencia del apoderamiento mediante el que se confiere” (FJ 2), en el caso el defecto del escrito, presentado con las menciones citadas y con la solicitud de señalamiento para el otorgamiento </w:t>
      </w:r>
      <w:r w:rsidRPr="0026452D">
        <w:rPr>
          <w:i/>
        </w:rPr>
        <w:t>apud acta</w:t>
      </w:r>
      <w:r>
        <w:t xml:space="preserve"> del poder, prácticamente igual al del presente recurso, se consideró “a todas luces, subsanable” (STC 287/2005, de 7 de noviembre, FJ 3).</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Tanto el Auto de la Audiencia recurrido, como la demanda de amparo, hacen cita de la transcrita STC 287/2005, de 7 de noviembre, llegando sin embargo a conclusiones divergentes en cuanto a su interpretación, postulando la Audiencia que la presentación del escrito sin el simultáneo poder de representación adolecía de un defecto insubsanable, no menor por la solicitud de apoderamiento </w:t>
      </w:r>
      <w:r w:rsidRPr="0026452D">
        <w:rPr>
          <w:i/>
        </w:rPr>
        <w:t>apud acta</w:t>
      </w:r>
      <w:r>
        <w:t xml:space="preserve"> incluida en él, mientras que los aquí recurrentes defienden que, precisamente por incluir esta solicitud, la personación no adolecía de ningún defecto procesal y que, en caso de ser considerado como tal, debió reputarse subsanable.</w:t>
      </w:r>
    </w:p>
    <w:p w:rsidR="0026452D" w:rsidRDefault="0026452D" w:rsidP="0026452D">
      <w:pPr>
        <w:pStyle w:val="TextoNormal"/>
      </w:pPr>
    </w:p>
    <w:p w:rsidR="0026452D" w:rsidRDefault="0026452D" w:rsidP="0026452D">
      <w:pPr>
        <w:pStyle w:val="TextoNormal"/>
      </w:pPr>
      <w:r>
        <w:t>Así las cosas, debe aclararse que la doctrina que se contiene en dicha Sentencia se proyectaba sobre una vertiente del derecho fundamental a la tutela judicial efectiva, la del derecho de acceso a la jurisdicción, distinta de la que aquí se alega como vulnerada, el derecho de acceso al recurso, respecto del que es menos intenso el control constitucional. Es doctrina reiterada de este Tribunal que “el derecho a la tutela judicial efectiva comprende el de obtener una resolución fundada en Derecho sobre el fondo de las cuestiones planteadas, sea o no favorable a las pretensiones formuladas, si concurren todos los requisitos para ello. De ahí que sea también respetuosa con este derecho fundamental una resolución judicial de inadmisión o de desestimación por algún motivo formal, cuando concurra alguna causa de inadmisibilidad y así lo acuerde el Juez o Tribunal en aplicación razonada de la misma” (STC 221/2005, de 12 de septiembre, FJ 2 y las que en ella se citan).</w:t>
      </w:r>
    </w:p>
    <w:p w:rsidR="0026452D" w:rsidRDefault="0026452D" w:rsidP="0026452D">
      <w:pPr>
        <w:pStyle w:val="TextoNormal"/>
      </w:pPr>
    </w:p>
    <w:p w:rsidR="0026452D" w:rsidRDefault="0026452D" w:rsidP="0026452D">
      <w:pPr>
        <w:pStyle w:val="TextoNormal"/>
      </w:pPr>
      <w:r>
        <w:t xml:space="preserve">Si bien el derecho a obtener una resolución de fondo se extiende tanto al ámbito del acceso a la jurisdicción como al del acceso al recurso, el alcance de este derecho desde la STC 37/1995, de 7 de febrero, no es el mismo en la fase inicial del proceso que una vez conseguida una primera respuesta judicial a la pretensión, que es la sustancia medular de la tutela, que en las sucesivas fases de recursos que puedan interponerse contra esa decisión. Así en el acceso a la jurisdicción, se proscribe no sólo la arbitrariedad, irrazonabilidad o el error patente, sino también aquellas decisiones de inadmisión —o de no pronunciamiento sobre el fondo— que por su rigorismo, por su formalismo excesivo o por cualquier otra razón revelen una clara desproporción entre los fines que aquellas causas de inadmisión —o no pronunciamiento sobre el fondo— preservan y los intereses que sacrifican. En el acceso al recurso, por el contrario y salvo en materia penal, “operan en esta jurisdicción constitucional los tres primeros criterios, pero no el último: ‘La decisión sobre la admisión de los recursos o no y la verificación de la concurrencia de los requisitos materiales y procesales a que están sujetos ‘constituye una cuestión de mera legalidad ordinaria que corresponde exclusivamente a los Jueces y Tribunales, en el ejercicio de la potestad jurisdiccional que les atribuye el art. 117.3 CE’ (STC 71/2002, de 8 de abril, FJ 3). Son los Jueces y Tribunales, </w:t>
      </w:r>
      <w:r>
        <w:lastRenderedPageBreak/>
        <w:t>por lo tanto, a quienes corresponde determinar cuáles son los requisitos y presupuestos que la ley exige para el acceso a los recursos que establece, así como la verificación y control de su concurrencia en cada caso (STC 230/2001, de 26 de noviembre, FJ 2). En el mismo sentido, en la STC 258/2000, de 30 de octubre (FJ 2), con cita de innumerables decisiones anteriores, afirmamos que este Tribunal Constitucional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procesales ex art. 117 CE en lo que respecta al acceso a los recursos previstos en las leyes. Por ello,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(STC 253/2007, de 17 de diciembre, FJ 3).” (STC 33/2008, 25 de febrero, FJ 2).</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Los defectos citados —error patente, irrazonabilidad o arbitrariedad— no concurren en el presente caso, en que la literalidad del art. 24 LEC en la redacción aplicable temporalmente, conduce, sin ser forzada, a la solución adoptada por la Audiencia Provincial. Recuérdese que con arreglo al precepto controvertido, “la escritura de poder se acompañará al primer escrito que el procurador presente o, en su caso, al realizar la primera actuación; y el otorgamiento </w:t>
      </w:r>
      <w:r w:rsidRPr="0026452D">
        <w:rPr>
          <w:i/>
        </w:rPr>
        <w:t>apud acta</w:t>
      </w:r>
      <w:r>
        <w:t xml:space="preserve"> deberá ser efectuado al mismo tiempo que la presentación del primer escrito o, en su caso, antes de la primera actuación, sin necesidad de que a dicho otorgamiento concurra el procurador” (art. 24.2 LEC). Nada hay que objetar, por tanto, a la resolución judicial que, en interpretación de la citada norma, considera la personación no realizada en tiempo y forma cuando aquel primer escrito no fue acompañado de poder causídico alguno, ni otorgado </w:t>
      </w:r>
      <w:r w:rsidRPr="0026452D">
        <w:rPr>
          <w:i/>
        </w:rPr>
        <w:t>apud acta</w:t>
      </w:r>
      <w:r>
        <w:t xml:space="preserve"> ni notarial, pues el finalmente aportado por escritura era de fecha posterior al escrito y al plazo de personación conferido.</w:t>
      </w:r>
    </w:p>
    <w:p w:rsidR="0026452D" w:rsidRDefault="0026452D" w:rsidP="0026452D">
      <w:pPr>
        <w:pStyle w:val="TextoNormal"/>
      </w:pPr>
    </w:p>
    <w:p w:rsidR="0026452D" w:rsidRDefault="0026452D" w:rsidP="0026452D">
      <w:pPr>
        <w:pStyle w:val="TextoNormal"/>
      </w:pPr>
      <w:r>
        <w:t>De lo dicho se sigue, también razonablemente, que al momento de la presentación del escrito de personación el Procurador carecía absolutamente de la representación de los demandantes de amparo, carencia ésta cuyo tratamiento como insubsanable no ha sido reprobada por este Tribunal en numerosas Sentencias (respecto del derecho de acceso al recurso, por todas, SSTC 125/2005, de 23 de mayo y 241/2007, de 10 de diciembre).</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A mayor abundamiento, como los propios demandantes de amparo admiten, el Auto de la Audiencia Provincial contenía un análisis, siquiera somero y desestimatorio, de las cuestiones suscitadas en el recurso de apelación, por lo que en todo caso no se habría producido una vulneración del derecho fundamental que sólo acaece, según la doctrina transcrita en el fundamento anterior, cuando se deniega efectivamente una resolución fundada en Derecho sobre el fondo del recurso. A este respecto la queja de los demandantes de amparo contenida en la demanda atañe exclusivamente a la forma de la resolución dado que a su juicio ésta, precisamente por atañer al fondo de la apelación, debió realizarse por Sentencia y no por Auto. Pues bien, es doctrina reiterada que para que el defecto de forma de la resolución alcance relevancia constitucional es preciso que determine la merma, la limitación o la privación real o material del derecho de defensa del demandante (STC 15/2005, de 31 de enero, FJ 2), merma, limitación o indefensión que los hoy demandantes de amparo no concretan en modo alguno en la demanda de amparo en la que no se encuentra, además de la </w:t>
      </w:r>
      <w:r>
        <w:lastRenderedPageBreak/>
        <w:t>formal, ninguna otra queja anudada al citado pronunciamiento. En consecuencia, la respuesta de fondo ofrecida por la Audiencia Provincial en el Auto recurrido, aunque en la forma legalmente inadecuada, resulta acorde al canon del derecho a la tutela judicial efectiva en su vertiente de acceso al recurso.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Denegar el amparo solicitado por don Juan Esteban Castilla Borrallo y doña María Piedad Castilla Borrallo.</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veintidós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94" w:name="SENTENCIA_2013_91"/>
      <w:r>
        <w:lastRenderedPageBreak/>
        <w:t>SENTENCIA 91/2013, de 22 de abril de 2013</w:t>
      </w:r>
    </w:p>
    <w:bookmarkEnd w:id="94"/>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ECLI:ES:TC:2013:91</w:t>
      </w:r>
    </w:p>
    <w:p w:rsidR="0026452D" w:rsidRDefault="0026452D" w:rsidP="0026452D">
      <w:pPr>
        <w:pStyle w:val="SntesisDescriptiva"/>
      </w:pPr>
    </w:p>
    <w:p w:rsidR="0026452D" w:rsidRDefault="0026452D" w:rsidP="0026452D">
      <w:pPr>
        <w:pStyle w:val="SntesisDescriptiva"/>
      </w:pPr>
      <w:r>
        <w:t>Cuestión de inconstitucionalidad 3296-2011. Planteada por la Sección Segunda de la Sala de lo Contencioso-Administrativo del Tribunal Superior de Justicia de Galicia respecto del artículo 64.4 a) de la Ley 16/2007, de 26 de diciembre, de presupuestos generales de la Comunidad Autónoma de Galicia para el año 2008.</w:t>
      </w:r>
    </w:p>
    <w:p w:rsidR="0026452D" w:rsidRDefault="0026452D" w:rsidP="0026452D">
      <w:pPr>
        <w:pStyle w:val="SntesisDescriptiva"/>
      </w:pPr>
    </w:p>
    <w:p w:rsidR="0026452D" w:rsidRDefault="0026452D" w:rsidP="0026452D">
      <w:pPr>
        <w:pStyle w:val="SntesisAnaltica"/>
      </w:pPr>
      <w:r>
        <w:t>Competencias sobre condiciones básicas de igualdad y colegios profesionales: nulidad del precepto legal autonómico que limita, con criterios territoriales, la designación de profesionales colegiados como tercer perito en el procedimiento de tasación pericial contradictoria.</w:t>
      </w:r>
    </w:p>
    <w:p w:rsidR="0026452D" w:rsidRDefault="0026452D" w:rsidP="0026452D">
      <w:pPr>
        <w:pStyle w:val="SntesisAnaltica"/>
      </w:pPr>
    </w:p>
    <w:p w:rsidR="0026452D" w:rsidRDefault="0026452D" w:rsidP="0026452D">
      <w:pPr>
        <w:pStyle w:val="Extracto"/>
      </w:pPr>
      <w:r>
        <w:t>1.</w:t>
      </w:r>
      <w:r>
        <w:tab/>
        <w:t xml:space="preserve">El precepto impugnado, que introduce una limitación por razón del territorio para ser designado perito tercero en el procedimiento de tasación pericial contradictoria, supone una restricción a la de la libertad de colegiación, </w:t>
      </w:r>
      <w:r w:rsidRPr="0026452D">
        <w:rPr>
          <w:i/>
        </w:rPr>
        <w:t>ex</w:t>
      </w:r>
      <w:r>
        <w:t xml:space="preserve"> art. 36 CE, al obstaculizar de manera injustificada el ejercicio de profesiones colegiadas para aquellos colegiados que no tengan centralizada la gestión administrativa y la dirección de sus actividades en el ámbito territorial de la delegación de la Consellería de Economía y Hacienda correspondiente  [FJ 4].</w:t>
      </w:r>
    </w:p>
    <w:p w:rsidR="0026452D" w:rsidRDefault="0026452D" w:rsidP="0026452D">
      <w:pPr>
        <w:pStyle w:val="Extracto"/>
      </w:pPr>
    </w:p>
    <w:p w:rsidR="0026452D" w:rsidRDefault="0026452D" w:rsidP="0026452D">
      <w:pPr>
        <w:pStyle w:val="Extracto"/>
      </w:pPr>
      <w:r>
        <w:t>2.</w:t>
      </w:r>
      <w:r>
        <w:tab/>
        <w:t>La existencia de una restricción en el ejercicio de los derechos no determina en sí misma la inconstitucionalidad de la norma, pues para ello debemos examinar si existe una justificación adecuada para la adopción de esta medida –por ejemplo porque se oriente a la atención de otros derechos, bienes e intereses constitucionalmente protegidos– y, en caso afirmativo, si la medida guarda, además, la debida proporcionalidad entre dichos fines y la citada restricción (SSTC 133/2010, 17/2013) [FJ 4].</w:t>
      </w:r>
    </w:p>
    <w:p w:rsidR="0026452D" w:rsidRDefault="0026452D" w:rsidP="0026452D">
      <w:pPr>
        <w:pStyle w:val="Extracto"/>
      </w:pPr>
    </w:p>
    <w:p w:rsidR="0026452D" w:rsidRDefault="0026452D" w:rsidP="0026452D">
      <w:pPr>
        <w:pStyle w:val="Extracto"/>
      </w:pPr>
      <w:r>
        <w:t>3.</w:t>
      </w:r>
      <w:r>
        <w:tab/>
        <w:t>En los supuestos de inconstitucionalidad mediata o indirecta, por contradicción de las disposiciones impugnadas con preceptos básicos estatales, el éxito de la impugnación requerirá la constatación de que la norma estatal reúne la condición de básica, y que por tanto ha sido dictada al amparo de la distribución constitucional de competencias, y de que exista una verdadera y real contradicción que no pueda ser salvada con una interpretación conforme con la Constitución (SSTC 4/1981, 181/2012)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por don Ramón Rodríguez Arribas, Presidente, don Pablo Pérez Tremps, don Francisco José Hernando Santiago, don Luis Ignacio Ortega Álvarez, don Francisco Pérez de los Cobos Orihuel y doña Encarnación Roca Trías, ha pronunciado</w:t>
      </w:r>
    </w:p>
    <w:p w:rsidR="0026452D" w:rsidRDefault="0026452D" w:rsidP="0026452D">
      <w:pPr>
        <w:pStyle w:val="TextoNormal"/>
      </w:pPr>
    </w:p>
    <w:p w:rsidR="0026452D" w:rsidRDefault="0026452D" w:rsidP="0026452D">
      <w:pPr>
        <w:pStyle w:val="TextoNormalCentrado"/>
        <w:keepNext/>
      </w:pPr>
      <w:r>
        <w:lastRenderedPageBreak/>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la cuestión de inconstitucionalidad núm. 3296-2011, planteada por la Sección Segunda de la Sala de lo Contencioso-Administrativo del Tribunal Superior de Justicia de Galicia respecto del art. 64.4 a) de la Ley 16/2007, de 26 de diciembre, de presupuestos generales de la Comunidad Autónoma de Galicia para el año 2008, por posible vulneración de los arts. 36 y 149.1.1 y 18 de la Constitución. Han comparecido y formulado alegaciones el Ministerio Fiscal, el Abogado del Estado, así como la Xunta y el Parlamento de Galicia a través de sus representantes legales. Ha sido Ponente el Magistrado don Ramón Rodríguez Arribas,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día 7 de junio de 2011 tuvo entrada en el Registro General de este Tribunal escrito de la Sección Segunda de la Sala de lo Contencioso-Administrativo del Tribunal Superior de Justicia de Galicia al que se acompaña, junto con el testimonio del correspondiente procedimiento, el Auto de la referida Sección de 12 de mayo de 2011 por el que se acuerda plantear ante el Tribunal Constitucional cuestión de inconstitucionalidad respecto del art. 64.4 a) de la Ley 16/2007, de 26 de diciembre, de presupuestos generales de la Comunidad Autónoma de Galicia, por posible vulneración de los arts. 36 y 149.1.1 y 18 de la Constitución.</w:t>
      </w:r>
    </w:p>
    <w:p w:rsidR="0026452D" w:rsidRDefault="0026452D" w:rsidP="0026452D">
      <w:pPr>
        <w:pStyle w:val="TextoNormal"/>
      </w:pPr>
    </w:p>
    <w:p w:rsidR="0026452D" w:rsidRDefault="0026452D" w:rsidP="0026452D">
      <w:pPr>
        <w:pStyle w:val="TextoNormal"/>
      </w:pPr>
      <w:r w:rsidRPr="0026452D">
        <w:rPr>
          <w:rStyle w:val="NumeroAFNegritaCaracter"/>
        </w:rPr>
        <w:t>2</w:t>
      </w:r>
      <w:r>
        <w:t>. La cuestión trae causa del recurso de apelación formulado por el Colegio Oficial de Aparejadores y Arquitectos de Pontevedra, tramitado con el núm. 4649-2009, contra la Sentencia del Juzgado de lo Contencioso-Administrativo núm. 2 de Vigo por la que se desestima el recurso contencioso-administrativo interpuesto contra la resolución de 5 de mayo de 2008 de la Consellería de Economía y Hacienda que, a su vez, desestima el recurso de alzada interpuesto contra el acuerdo de 15 de febrero de 2008, de la delegación territorial de la Consellería de Economía y Hacienda en Vigo, en el que se excluyen de la lista de solicitantes en el sorteo público de colegiados para actuar como peritos terceros en expedientes de tasación pericial contradictoria a aquellos no domiciliados en los Ayuntamientos de Gondomar, Nigrán, Bayona y Vigo.</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Señalada fecha para la votación y fallo el órgano judicial dictó providencia de 4 de noviembre de 2010 por la que se acuerda oír a las partes y al Ministerio Fiscal a fin de que, en un plazo de diez días, alegasen lo que estimaren conveniente acerca del planteamiento de la cuestión de inconstitucionalidad, en aplicación del art. 35.2 de la Ley Orgánica del Tribunal Constitucional (LOTC), en relación con el art. 64.4 a) de la Ley 16/2007, de 26 de diciembre, de presupuestos generales de la Comunidad Autónoma de Galicia para el año 2008, en cuanto el mismo pudiera ser contrario a lo dispuesto en el art. 3.2 de la Ley 2/1974, de 13 de febrero, de colegios profesionales en relación con el art 11.4 y 5 de la Ley 11/2001, </w:t>
      </w:r>
      <w:r>
        <w:lastRenderedPageBreak/>
        <w:t>de 18 de septiembre, de colegios profesionales de Galicia, y con los arts. 36, 149.1.1 y 149.1.18 CE. La parte actora expresó su parecer favorable al planteamiento de la cuestión de inconstitucionalidad, el Letrado de la Xunta de Galicia se manifestó en contra y el Ministerio Fiscal no se opuso al planteamiento de la cuestión.</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Auto de 12 de mayo de 2011 la Sección Segunda de la Sala de lo Contencioso-Administrativo del Tribunal Superior de Justicia de Galicia acordó plantear ante este Tribunal cuestión de inconstitucionalidad respecto del art. 64.4 a) de la Ley 16/2007, de 26 de diciembre, de presupuestos generales de la Comunidad Autónoma de Galicia para el año 2008, por posible vulneración de los arts. 36 y 149.1.1 y 149.1.18 CE.</w:t>
      </w:r>
    </w:p>
    <w:p w:rsidR="0026452D" w:rsidRDefault="0026452D" w:rsidP="0026452D">
      <w:pPr>
        <w:pStyle w:val="TextoNormal"/>
      </w:pPr>
    </w:p>
    <w:p w:rsidR="0026452D" w:rsidRDefault="0026452D" w:rsidP="0026452D">
      <w:pPr>
        <w:pStyle w:val="TextoNormal"/>
      </w:pPr>
      <w:r>
        <w:t>En primer lugar expone que es determinante la aplicación del art. 64.4 a) de la Ley 16/2007 al fallo desestimatorio de la Sentencia apelada, ya que, de tratarse de un precepto reglamentario, el contenido del fallo hubiera sido distinto en aplicación del criterio sentado por esta misma Sección Segunda, que había revocado anterior y similar actuación autonómica basada en una disposición de rango reglamentario. En la fundamentación jurídica el Auto recoge lo dispuesto en el precepto legal que cuestiona destacando especialmente su apartado a) y, en particular, la referencia a “una lista de colegiados o asociados que tengan centralizada la gestión administrativa y la dirección de sus actividades en el ámbito territorial de la delegación de la Consellería de Economía y Hacienda correspondiente”.</w:t>
      </w:r>
    </w:p>
    <w:p w:rsidR="0026452D" w:rsidRDefault="0026452D" w:rsidP="0026452D">
      <w:pPr>
        <w:pStyle w:val="TextoNormal"/>
      </w:pPr>
    </w:p>
    <w:p w:rsidR="0026452D" w:rsidRDefault="0026452D" w:rsidP="0026452D">
      <w:pPr>
        <w:pStyle w:val="TextoNormal"/>
      </w:pPr>
      <w:r>
        <w:t xml:space="preserve">Señala seguidamente que el art. 3.2 de la Ley 2/1974, de 13 de febrero, de colegios profesionales, en la redacción dada al mismo por la Ley 7/1997 (en realidad recoge la redacción del art. 3.2 resultante de su modificación por el art. 39 del Real Decreto-ley 6/2000, de 23 de junio), establece con carácter básico conforme a los arts. 149.1.1 y 18 CE que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aquellas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 Cuando los Colegios estén organizados territorialmente atendiendo a la exigencia necesaria del deber de residencia para la prestación de los servicios, la colegiación habilitará solamente para ejercer en el ámbito territorial que corresponda.” Al respecto considera el órgano judicial que la reformada Ley de colegios profesionales no solamente suprimió la obligación de multicolegiación para el ejercicio de las profesiones liberales, entre las que se encuentra la de aparejador o arquitecto técnico, sino que implícitamente vino a establecer que la determinación territorializada del ejercicio profesional es competencia básica estatal o que una vez establecida la demarcación mínima por la ley autonómica que corresponda, en desarrollo de esa normativa estatal, dicha demarcación no puede ser objeto de nueva segmentación por otra disposición autonómica sectorial, ya que se estaría vaciando de contenido competencial a la legislación estatal en la materia y aún el propio ámbito de aplicación del principio de igualdad en la propia ley conforme al tenor del art. 36 y 149.1.1 CE. El Auto estima paradójico que la norma cuestionada </w:t>
      </w:r>
      <w:r>
        <w:lastRenderedPageBreak/>
        <w:t>se aparte incluso del tenor de los arts. 11.4 y 11.5 de la Ley 11/2001, de 18 de septiembre, de colegios profesionales de Galicia, que prevén que el ámbito territorial mínimo de los colegios de nueva creación será la provincia sin que pueda constituirse más de un colegio profesional de idéntica profesión dentro de un mismo ámbito territorial. Para el órgano judicial la determinación del correspondiente ejercicio de las profesiones liberales resulta ser competencia básica estatal presidida por el principio de igualdad constitucional en su ejercicio sin que, establecido su ámbito territorial provincial por la norma autonómica de desarrollo de la base estatal, pueda el mismo ser segmentado por el art. 64.4 a) de la Ley 16/2007, porque incurriría en vicio de inconstitucionalidad al respecto por infracción de los arts. 36 y 149.1.1 y 149.1.18 CE.</w:t>
      </w:r>
    </w:p>
    <w:p w:rsidR="0026452D" w:rsidRDefault="0026452D" w:rsidP="0026452D">
      <w:pPr>
        <w:pStyle w:val="TextoNormal"/>
      </w:pPr>
    </w:p>
    <w:p w:rsidR="0026452D" w:rsidRDefault="0026452D" w:rsidP="0026452D">
      <w:pPr>
        <w:pStyle w:val="TextoNormal"/>
      </w:pPr>
      <w:r>
        <w:t xml:space="preserve">Alude el Auto a continuación a la reforma del art. 3.2 de la Ley 2/1974, llevada a cabo por el art. 5.5 de la Ley 25/2009 de 22 de diciembre, de modificación de diversas leyes para su adaptación a la Ley sobre el libre acceso a las actividades de servicios y su ejercicio, de la que infiere que se refuerza el libre ejercicio de la profesión sin cortapisas con el único requisito de colegiación en un único colegio profesional. Por tanto, estima que el art. 64.4 de la Ley 16/2007, de 26 de diciembre, además de separarse de lo dispuesto en la normativa autonómica sobre colegios profesionales, introduce cortapisas y limita el ejercicio profesional en el territorio nacional de los arquitectos técnicos y aparejadores, inclusive los colegiados en el Colegio Oficial de Aparejadores y Arquitectos de Pontevedra, que no tengan su domicilio profesional coincidente con el más restringido ámbito territorial de competencia de la delegación territorial de Vigo de la Consellería de Economía y Hacienda de la Xunta de Galicia. Finalmente, tras recordar el contenido de los art. 35 y 36 LOTC el Auto concluye planteando cuestión de inconstitucionalidad respecto al art. 64.4 a) de la ley 16/2007 “en cuanto su validez o no resulta desde luego determinante a los efectos de ulterior fallo </w:t>
      </w:r>
      <w:r w:rsidRPr="0026452D">
        <w:rPr>
          <w:i/>
        </w:rPr>
        <w:t>ad quem</w:t>
      </w:r>
      <w:r>
        <w:t xml:space="preserve"> todavía pendiente de ser dictado en el presente recurso de apelación núm. 4649-09 de esta Sala de lo Contencioso-Administrativo del TSJ de Galicia y en cuanto dicho precepto legal autonómico resulta ser eventualmente contradictorio con los arts. 36 y 149.1.1 y 18 de la Constitución”, e igualmente en relación con el art. 3.2 de la Ley 2/1974 a partir de la modificación normativa establecida por el art. 5.3 y la disposición final segunda de la Ley 7/1997, de 14 de abril, de medidas liberalizadoras en materia de suelo y colegios profesionales.</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providencia de 5 de julio de 2011 el Pleno del Tribunal acordó admitir a trámite la mencionada cuestión y deferir a la Sala Segunda del Tribunal su conocimiento por aplicación del art. 10.1 c) LOTC en la redacción dada por la Ley Orgánica 6/2007, de 24 de mayo. Acordó además dar traslado de las actuaciones recibidas al Congreso de los Diputados, al Senado, al Gobierno de la Nación, al Ministerio Fiscal, a la Xunta y al Parlamento de Galicia, al objeto de poder personarse en el proceso y formular alegaciones. Por último, acordó comunicar la presente resolución a la Sección Segunda de la Sala de lo Contencioso-Administrativo del Tribunal Superior de Justicia de Galicia a fin de que, de conformidad con el art. 35.3 LOTC, permanezca suspendido el proceso hasta que el Tribunal resuelva la cuestión, así como publicar la incoación de la cuestión en el “Boletín Oficial del Estado” y en el “Diario Oficial de Galicia”.</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Con fecha 15 de julio de 2011 tuvo entrada en el Registro General de este Tribunal el acuerdo de la Mesa del Congreso de los Diputados de 13 de julio comunicando la decisión de la Cámara de personarse en el proceso y ofrecer su colaboración a los efectos del art. </w:t>
      </w:r>
      <w:r>
        <w:lastRenderedPageBreak/>
        <w:t>88.1 de la LOTC. Asimismo, acordó remitir la cuestión a la Dirección de estudios, análisis y publicaciones y a la asesoría jurídica de la Secretaría General.</w:t>
      </w:r>
    </w:p>
    <w:p w:rsidR="0026452D" w:rsidRDefault="0026452D" w:rsidP="0026452D">
      <w:pPr>
        <w:pStyle w:val="TextoNormal"/>
      </w:pPr>
    </w:p>
    <w:p w:rsidR="0026452D" w:rsidRDefault="0026452D" w:rsidP="0026452D">
      <w:pPr>
        <w:pStyle w:val="TextoNormal"/>
      </w:pPr>
      <w:r w:rsidRPr="0026452D">
        <w:rPr>
          <w:rStyle w:val="NumeroAFNegritaCaracter"/>
        </w:rPr>
        <w:t>7</w:t>
      </w:r>
      <w:r>
        <w:t>. Mediante escrito presentado en el Registro General de este Tribunal el 21 de julio de 2011 se personó el Abogado del Estado en nombre del Gobierno de la Nación y formuló alegaciones interesando la desestimación de la cuestión de inconstitucionalidad. En primer lugar, alega el Abogado del Estado, que nos encontramos de nuevo ante una cuestión que plantea la inconstitucionalidad mediata o indirecta de un precepto legal por contradecir una norma básica estatal. En estos casos, de acuerdo con la doctrina del Tribunal, resulta obligado comprobar si la norma básica lo es realmente y, seguidamente, si la contradicción entre ambas normas resulta insalvable por vía interpretativa (cita, entre otras muchas, la STC 18/2011, de 3 de marzo, FJ 17). La norma básica estatal que se supone quebrantada es el art. 3.2 de la Ley de colegios profesionales cuando se dictó el acto impugnado (actual art. 3.3 de la Ley). De ella sólo resulta relevante la regla de que “cuando una profesión se organice por Colegios Territoriales, bastará la incorporación a uno de ellos que será el del domicilio profesional único o principal para ejercer en todo el territorio del Estado”. Esta regla es formalmente básica pues aparece establecida en un precepto con rango formal de Ley. La disposición final segunda del Real Decreto-ley 6/2000 manifiesta que el art. 39.1 “tiene el carácter de legislación básica dictada al amparo del art. 149.1.13 y 18 de la Constitución”. Y, desde la perspectiva de las bases del régimen jurídico de los colegios profesionales (art. 149.1.18 CE y, por todas, SSTC 20/1988, de 18 de febrero, FJ 4, y 31/2010, de 28 de junio, FJ 71) no cabe negar que la regla citada ha de considerarse materialmente básica en cuanto disciplina el efecto capital de la incorporación a un Colegio profesional territorial y lo dota de alcance nacional. En suma, no puede negarse el carácter básico, material y formalmente, de la norma estatal con la que se supone incompatible la autonómica.</w:t>
      </w:r>
    </w:p>
    <w:p w:rsidR="0026452D" w:rsidRDefault="0026452D" w:rsidP="0026452D">
      <w:pPr>
        <w:pStyle w:val="TextoNormal"/>
      </w:pPr>
    </w:p>
    <w:p w:rsidR="0026452D" w:rsidRDefault="0026452D" w:rsidP="0026452D">
      <w:pPr>
        <w:pStyle w:val="TextoNormal"/>
      </w:pPr>
      <w:r>
        <w:t>Alcanzada esta conclusión resulta estéril indagar, según alega el Abogado del Estado, la supuesta infracción del art. 149.1.1 CE que faculta al Estado para dictar no normas básicas sino condiciones básicas. Y es que difícilmente puede ponerse en conexión el art. 149.1.1 CE con el art. 36 CE, precepto este último neutro desde el punto de vista del reparto de competencias, pues contiene en su inciso primero una simple reserva de ley (por todas, SSTC 42/1986, de l0 de abril, FJ 1 y 386/1993, de 23 de diciembre, FJ 3), cuya especificación competencial (esto es, la determinación del legislador competente para satisfacer la reserva) debe entenderse remitida al orden constitucional y estatutario.</w:t>
      </w:r>
    </w:p>
    <w:p w:rsidR="0026452D" w:rsidRDefault="0026452D" w:rsidP="0026452D">
      <w:pPr>
        <w:pStyle w:val="TextoNormal"/>
      </w:pPr>
    </w:p>
    <w:p w:rsidR="0026452D" w:rsidRDefault="0026452D" w:rsidP="0026452D">
      <w:pPr>
        <w:pStyle w:val="TextoNormal"/>
      </w:pPr>
      <w:r>
        <w:t xml:space="preserve">Una vez comprobado el carácter formal y material de norma básica del art. 3.2 de la Ley de colegios profesionales (actual art. 3.3), el Abogado del Estado alega que lo que no concurre es la contradicción insalvable entre ese precepto y el art. 64.4, a) cuestionado. Para el Abogado del Estado el pasaje cuestionado del art. 64.4, a) es una pieza más del régimen de un procedimiento tributario, determina cómo debe seleccionarse el perito tercero en una tasación pericial contradictoria o, más exactamente, delimita el conjunto de profesionales de entre los que puede ser seleccionado. Nadie ha cuestionado la competencia gallega para dictar el art. 64 como norma tributaria relativa a los “tributos gestionados por la Administración tributaria de la Comunidad Autónoma de Galicia” (art. 63.1 de la Ley gallega 16/2007). En efecto, esta potestad normativa autonómica podía apoyarse en el art. 19.1 de la Ley 21/2001, de 27 de diciembre, de financiación de las Comunidades Autónomas, vigente al dictarse la Ley gallega 16/2007, así como en los arts. 40.2 y 41.2 de la misma Ley </w:t>
      </w:r>
      <w:r>
        <w:lastRenderedPageBreak/>
        <w:t>estatal (ver en el mismo sentido arts. 27.1, 48.2 y 49.2 de la Ley 22/2009, de 28 de diciembre). La mencionada regla 4 a) claramente se relaciona con el art. 135.3 de la Ley general tributaria (LGT), al que, en lo que aquí interesa, desarrolla o precisa en dos aspectos: donde la Ley general tributaria dice “cada Administración tributaria competente”, la ley gallega precisa lícitamente “cada Delegado territorial de la Consellería de Economía y Hacienda”; y donde en aquella Ley se lee “colegiados o asociados dispuestos a actuar como peritos terceros”, el legislador gallego escribe “colegiados o asociados que tengan centralizada la gestión administrativa y la dirección de sus actividades en el ámbito territorial de la delegación de la Consellería de Economía y Hacienda correspondiente, y que estén dispuestos a actuar como peritos terceros”. Resulta notable que el auto de planteamiento no haga referencia al art. 135.3 LGT, dice el Abogado del Estado.</w:t>
      </w:r>
    </w:p>
    <w:p w:rsidR="0026452D" w:rsidRDefault="0026452D" w:rsidP="0026452D">
      <w:pPr>
        <w:pStyle w:val="TextoNormal"/>
      </w:pPr>
    </w:p>
    <w:p w:rsidR="0026452D" w:rsidRDefault="0026452D" w:rsidP="0026452D">
      <w:pPr>
        <w:pStyle w:val="TextoNormal"/>
      </w:pPr>
      <w:r>
        <w:t>El sistema de lista, sorteo y orden correlativo para la elección de perito tercero que figura en los arts. 135.3 LGT y 64.4, a) de la Ley gallega 16/2007 recuerda claramente el régimen para designar perito judicial que puede leerse en el art. 341.1 de la Ley de enjuiciamiento civil.</w:t>
      </w:r>
    </w:p>
    <w:p w:rsidR="0026452D" w:rsidRDefault="0026452D" w:rsidP="0026452D">
      <w:pPr>
        <w:pStyle w:val="TextoNormal"/>
      </w:pPr>
    </w:p>
    <w:p w:rsidR="0026452D" w:rsidRDefault="0026452D" w:rsidP="0026452D">
      <w:pPr>
        <w:pStyle w:val="TextoNormal"/>
      </w:pPr>
      <w:r>
        <w:t>El art. 3.2 de la Ley de colegios profesionales en la redacción pertinente enuncia simplemente el alcance nacional de la incorporación a un colegio profesional, en cuanto tal incorporación se configura como requisito legal habilitante para el ejercicio lícito de una profesión. Afecta por lo tanto a la relación de servicios entre profesional y cliente desde el punto de vista y los intereses del profesional: este puede lícitamente ejercer su profesión en todo el territorio nacional una vez incorporado al colegio de su domicilio profesional, sea cual sea el ámbito territorial de la corporación en la que se encuadra. En otras palabras, para el Abogado del Estado la colegiación otorga al profesional libertad de ejercicio en toda España desbordando los límites territoriales del colegio al que se adscribe. Con ello se vigoriza el mercado nacional de servicios profesionales, puesto que se eliminan las limitaciones territoriales al ejercicio profesional asociadas a la colegiación, aunque ciertamente los obstáculos derivados de la colegiación plural para el mercado nacional de servicios profesionales siempre fueron, por lo general, de poca entidad.</w:t>
      </w:r>
    </w:p>
    <w:p w:rsidR="0026452D" w:rsidRDefault="0026452D" w:rsidP="0026452D">
      <w:pPr>
        <w:pStyle w:val="TextoNormal"/>
      </w:pPr>
    </w:p>
    <w:p w:rsidR="0026452D" w:rsidRDefault="0026452D" w:rsidP="0026452D">
      <w:pPr>
        <w:pStyle w:val="TextoNormal"/>
      </w:pPr>
      <w:r>
        <w:t xml:space="preserve">Concluye el Abogado del Estado sus alegaciones señalando que la libertad de ejercer en todo el territorio nacional que adquiere el profesional una vez colegiado no entraña que el cliente quede vinculado a que sus pautas de selección de profesionales deban ser necesariamente nacionales. La cuestión no se plantea de la misma manera cuando se trata del ejercicio de potestades públicas como ocurre con el procedimiento tributario de comprobación de valores. Si se aceptaran las premisas del Auto de planteamiento, cualquier cliente público estaría obligado a recabar listas de profesionales de todos los colegios y asociaciones de España, carga totalmente desproporcionada e incompatible con la eficacia administrativa (art. 103.1 CE). La solución del legislador gallego que aquí se cuestiona entra dentro de lo razonable y no genera resultados desproporcionados. Limitar la posibilidad de actuar como de sus actividades en el territorio de la delegación de la consejería competente lleva aparejada (i) una mayor facilidad para las relaciones entre la Administración tributaria y el profesional; (ii) una probable reducción de tiempo en los desplazamientos del profesional al bien que se trata de valorar, inmuebles en un gran número de casos (lo que puede suponer abreviar el tiempo en la redacción del informe y tal vez los costes de la actuación profesional), y (iii) la adquisición de una mayor experiencia valorativa en los profesionales actuantes </w:t>
      </w:r>
      <w:r>
        <w:lastRenderedPageBreak/>
        <w:t>para beneficio del procedimiento. Por todo ello interesa el Abogado del Estado la desestimación de la cuestión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8</w:t>
      </w:r>
      <w:r>
        <w:t>. Por escrito presentado en el Registro General de este Tribunal el 29 de julio de 2011 se personó el Letrado de la Xunta de Galicia, en virtud del mandato establecido en acuerdo del Consello de la Xunta de Galicia de 28 de julio de 2011, y formuló alegaciones interesando la inadmisión o, en su caso, la desestimación de la cuestión de inconstitucionalidad. En primer lugar, el Letrado de la Xunta de Galicia concreta el objeto de la cuestión de inconstitucionalidad que se refiere sólo a la primera frase de la letra a) del apartado 4 del art. 64. Para el Letrado de la Xunta estamos en presencia de una concreta regla para la determinación de la lista de peritos terceros a efectos de la tasación pericial contradictoria en los impuestos de sucesiones y donaciones y el de transmisiones patrimoniales y actos jurídicos documentados, impuestos cedidos por el Estado a la Comunidad Autónoma de Galicia. La regla impugnada se limita a expresar que los peritos terceros deben ser del ámbito territorial de la delegación territorial de la Consellería, esto es, que en la lista que elaboran los colegios deben incluir a los que, queriendo ser peritos terceros, tengan centralizada la gestión administrativa y la dirección de sus actividades en el ámbito territorial de la delegación de la Consellería de Economía y Hacienda correspondiente, ámbito territorial de la Delegación de la Consellería que, recordamos, es provincial, menos en el caso de la provincia de Pontevedra, donde hay una delegación en Vigo y otra en Pontevedra. Para el Auto de planteamiento de la cuestión de inconstitucionalidad sólo parece existir una opción constitucionalmente válida, como es que en la confección de estas listas de peritos terceros se parta de la colegiación con efectos para todo el territorio nacional. Para el Letrado de la Xunta de Galicia la opción constitucionalmente válida para el órgano judicial, sin perjuicio de la dificultad burocrática —y competencial— de recabar listas de todos los colegios de España, y gestionarlas, entrañaría diversos efectos: en primer lugar, en ese requerimiento por parte de las delegaciones territoriales de la Xunta de Galicia a todos los  del territorio estatal podría haber un problema de extraterritorialidad, en cuanto que ejercicio de competencias por los poderes públicos gallegos fuera de su territorio autonómico.</w:t>
      </w:r>
    </w:p>
    <w:p w:rsidR="0026452D" w:rsidRDefault="0026452D" w:rsidP="0026452D">
      <w:pPr>
        <w:pStyle w:val="TextoNormal"/>
      </w:pPr>
    </w:p>
    <w:p w:rsidR="0026452D" w:rsidRDefault="0026452D" w:rsidP="0026452D">
      <w:pPr>
        <w:pStyle w:val="TextoNormal"/>
      </w:pPr>
      <w:r>
        <w:t>Adicionalmente, resulta evidente para el Letrado de la Xunta que el perito que desarrolla su ejercicio profesional en el ámbito del elemento a valorar es, presumiblemente, mejor conocedor de su valor real frente a uno alejado o muy alejado. Y, en tercer lugar, que ese desplazamiento del perito de cualquier parte del territorio del Estado español genera un mucho mayor coste de la pericial, en cuanto a los gastos de desplazamiento de tal perito que deben sufragarse seguramente por el contribuyente o, en su caso, por la Administración. Finalmente, llevada esa regla a su punto máximo también podría aparecer la problemática de porqué restringirlo sólo a los peritos del territorio español cuando formamos parte de la Unión Europea con libre circulación.</w:t>
      </w:r>
    </w:p>
    <w:p w:rsidR="0026452D" w:rsidRDefault="0026452D" w:rsidP="0026452D">
      <w:pPr>
        <w:pStyle w:val="TextoNormal"/>
      </w:pPr>
    </w:p>
    <w:p w:rsidR="0026452D" w:rsidRDefault="0026452D" w:rsidP="0026452D">
      <w:pPr>
        <w:pStyle w:val="TextoNormal"/>
      </w:pPr>
      <w:r>
        <w:t xml:space="preserve">En segundo lugar, el Letrado de la Xunta de Galicia alega que la regulación autonómica no vulnera ni el 36, ni el 149.1.1 ni el 149.1.18 CE. El art. 36 CE establece que una ley regulará las peculiaridades propias del régimen jurídico de los colegios profesionales y el ejercicio de las profesiones tituladas. Esta norma exige un rango normativo determinado para regular esas cuestiones que cumple el art. 64.4 de la Ley 16/2007 del Parlamento de Galicia, porque el art. 36 CE no es un artículo atributivo de competencias ni se está refiriendo expresamente a una ley estatal. Tampoco aprecia el Letrado de la Xunta incumplimiento del art. 149.1.1 CE ni de las condiciones básicas que garantiza porque, de acuerdo </w:t>
      </w:r>
      <w:r>
        <w:lastRenderedPageBreak/>
        <w:t>con la doctrina constitucional derivada de la STC 61/1997 (FFJJ 7 y 8) esas condiciones básicas no pueden dar como resultado un vaciamiento de las competencias autonómicas sectoriales sobre materias en las que algún derecho constitucional bascule. Además, alega el Letrado de la Xunta que no cabe utilizar este título si no cuando existe una relación directa e inmediata con los derechos constitucionales en sentido estricto, puesto que otra consideración llevaría a dar al Estado un título universal porque toda materia, al final, puede llegar a ser reconducida a estos derechos. Para el Letrado de la Xunta tampoco resulta vulnerado el art. 149.1.18 CE, porque aunque la doctrina constitucional ha reconocido competencia al Estado para intervenir en la materia de corporaciones de derecho público representativas de intereses económicos y profesionales regulando las bases estatales (por todas SSTC 76/1983 o 20/1998), la intervención estatal es limitada y en todo caso debe respetar los límites propios del marco atribuible a una normativa básica, esto es, la imposibilidad de que con la misma se impida a las Comunidades Autónomas dictar normativa propia que implemente políticas específicas.</w:t>
      </w:r>
    </w:p>
    <w:p w:rsidR="0026452D" w:rsidRDefault="0026452D" w:rsidP="0026452D">
      <w:pPr>
        <w:pStyle w:val="TextoNormal"/>
      </w:pPr>
    </w:p>
    <w:p w:rsidR="0026452D" w:rsidRDefault="0026452D" w:rsidP="0026452D">
      <w:pPr>
        <w:pStyle w:val="TextoNormal"/>
      </w:pPr>
      <w:r>
        <w:t>En tercer lugar, el Letrado de la Xunta de Galicia alega las competencias autonómicas en materias de colegios profesionales y de gestión de determinados impuestos para aprobar un precepto como el cuestionado. La Comunidad Autónoma de Galicia posee competencias en la materia de colegios profesionales en virtud de la transferencia operada por la Ley Orgánica 16/1995, de 27 de diciembre, donde, concretamente en su art. 3, transfiere a la Comunidad Autónoma de Galicia las competencias de desarrollo legislativo y de ejecución, en el marco de la legislación básica del Estado. Tal transferencia fue seguida del Real Decreto 1643/1996, de 5 de julio, de traspaso de funciones y servicios de la Administración del Estado en materia de colegios oficiales o profesionales.</w:t>
      </w:r>
    </w:p>
    <w:p w:rsidR="0026452D" w:rsidRDefault="0026452D" w:rsidP="0026452D">
      <w:pPr>
        <w:pStyle w:val="TextoNormal"/>
      </w:pPr>
    </w:p>
    <w:p w:rsidR="0026452D" w:rsidRDefault="0026452D" w:rsidP="0026452D">
      <w:pPr>
        <w:pStyle w:val="TextoNormal"/>
      </w:pPr>
      <w:r>
        <w:t>El Letrado de la Xunta de Galicia también alega que lo que se impugna es una norma que regula un concreto trámite de la gestión de determinados impuestos y analiza en sus alegaciones que la Comunidad Autónoma de Galicia tiene competencias para dictar un apartado como el cuestionado, en relación a ese trámite que nos ocupa de la tasación pericial contradictoria en los impuestos de sucesiones y donaciones y el de transmisiones patrimoniales y actos jurídicos documentados, que son impuestos cedidos por el Estado. La Ley 17/2010 de cesión de tributos del Estado a la Comunidad Autónoma de Galicia establece que el alcance y régimen de la cesión es el determinado en la Ley 22/2009, de 18 de diciembre, que regula el sistema de financiación de las Comunidades Autónomas. La regulación del impuesto de sucesiones y donaciones, así como del impuesto de transmisiones patrimoniales y actos jurídicos documentados reconocen que las Comunidades Autónomas podrán regular los aspectos de gestión y liquidación (arts. 48.2 y 49.2). Por otra parte, la regulación del precepto cuestionado no contradice la normativa básica. El art. 135 LGT sólo recoge que cada Administración tributaria, para la tasación pericial contradictoria, solicitará a los colegios el envío de la lista de colegiados dispuestos a actuar como peritos terceros. En este punto es de significar que el hecho de que la norma autonómica impugnada disponga que el perito tercero será de entre los colegiados o asociados que tengan centralizada la gestión administrativa y la dirección de sus actividades en el campo territorial de la delegación de la Consellería, está dentro de esas facultades de desarrollo normativo autonómico que además recogen las políticas propias.</w:t>
      </w:r>
    </w:p>
    <w:p w:rsidR="0026452D" w:rsidRDefault="0026452D" w:rsidP="0026452D">
      <w:pPr>
        <w:pStyle w:val="TextoNormal"/>
      </w:pPr>
    </w:p>
    <w:p w:rsidR="0026452D" w:rsidRDefault="0026452D" w:rsidP="0026452D">
      <w:pPr>
        <w:pStyle w:val="TextoNormal"/>
      </w:pPr>
      <w:r>
        <w:t xml:space="preserve">Por último, para finalizar sus alegaciones, recuerda el Letrado de la Xunta que como bien explica la resolución al recurso de alzada (traducido): “En este caso es conveniente señalar </w:t>
      </w:r>
      <w:r>
        <w:lastRenderedPageBreak/>
        <w:t>que la administración actúa amparada en la ley de presupuestos, no existiendo contradicción entre esta y la normativa de los colegios profesionales, ya que la primera regula el procedimiento administrativo de la tasación pericial contradictoria, mientras que la segunda establece los requisitos para actuar en distintas partes del territorio, exigiendo únicamente la colegiación en un sólo colegio profesional, lo que implica la posibilidad del colegiado de actuar en todo el territorio nacional, pero no el deber de la administración de llamar a todos los colegios de cualquier Estado comunitario como señala el recurrente lo que haría impracticable la elaboración de la lista”. Se trataría, por tanto, de ámbitos distintos no contradictorios.</w:t>
      </w:r>
    </w:p>
    <w:p w:rsidR="0026452D" w:rsidRDefault="0026452D" w:rsidP="0026452D">
      <w:pPr>
        <w:pStyle w:val="TextoNormal"/>
      </w:pPr>
    </w:p>
    <w:p w:rsidR="0026452D" w:rsidRDefault="0026452D" w:rsidP="0026452D">
      <w:pPr>
        <w:pStyle w:val="TextoNormal"/>
      </w:pPr>
      <w:r w:rsidRPr="0026452D">
        <w:rPr>
          <w:rStyle w:val="NumeroAFNegritaCaracter"/>
        </w:rPr>
        <w:t>9</w:t>
      </w:r>
      <w:r>
        <w:t xml:space="preserve">. Por escrito presentado en el Registro General de este Tribunal el 5 de septiembre de 2011 la Mesa del Parlamento de Galicia aportó la certificación del acuerdo de personación del Parlamento de Galicia en el presente procedimiento y adjuntó las alegaciones que se resumen a continuación en oposición a la estimación de la cuestión de inconstitucionalidad formulada. En primer lugar, en cuanto al contenido y finalidad del art. 64.4 de la Ley de presupuestos generales de Galicia para el 2008, alega el Letrado del Parlamento de Galicia que, de acuerdo a un criterio sistemático de interpretación </w:t>
      </w:r>
      <w:r w:rsidRPr="0026452D">
        <w:rPr>
          <w:i/>
        </w:rPr>
        <w:t>sedes materiae</w:t>
      </w:r>
      <w:r>
        <w:t>, el art. 64 forma parte de un conjunto de normas de carácter tributario y establece las reglas que deben seguirse en las tasaciones periciales contradictorias, regula un procedimiento de comprobación fiscal de valores incluido entre los procedimientos de gestión tributaria. Concretamente regula el procedimiento que puede tramitarse en el curso del procedimiento de gestión de los impuestos de trasmisiones patrimoniales y actos jurídicos documentados y de sucesiones y donaciones. Por tanto, la regla 4 a) del art. 64 contiene a su vez una serie de preceptos que, indiscutiblemente, tienen una estricta naturaleza fiscal procedimental ya que su finalidad es establecer el cauce por el que debe actuarse cuando el interesado no comparta la valoración fiscal efectuada por la Administración tributaria en relación con esos tributos y que podrá dar lugar a la designación de un perito tercero perteneciente a un colegio, asociación o corporación profesional. Esta observación es relevante puesto que la citada regla no regula una materia sustantiva como es el ejercicio profesional de los profesionales colegiados, sino un procedimiento de gestión tributaria en el que dichos profesionales pueden intervenir como peritos.</w:t>
      </w:r>
    </w:p>
    <w:p w:rsidR="0026452D" w:rsidRDefault="0026452D" w:rsidP="0026452D">
      <w:pPr>
        <w:pStyle w:val="TextoNormal"/>
      </w:pPr>
    </w:p>
    <w:p w:rsidR="0026452D" w:rsidRDefault="0026452D" w:rsidP="0026452D">
      <w:pPr>
        <w:pStyle w:val="TextoNormal"/>
      </w:pPr>
      <w:r>
        <w:t xml:space="preserve">El Letrado del Parlamento de Galicia alega que el objeto de la cuestión no está bien definido porque si bien se incluye la totalidad de la regla cuarta del art. 64 de la Ley de presupuestos generales de Galicia para el año 2008, de los fundamentos de derecho del auto se deduce que sólo afecta a una parte del texto de la regla cuarta. Pero, además, se alega que tampoco el auto de planteamiento de la cuestión concreta en qué extremos vulnera la citada regla cuarta del art. 64 los arts. 36, 149.1.1 y 149.1.18 CE. No obstante, el Letrado del Parlamento de Galicia sostiene en sus alegaciones que de ningún modo existe esa supuesta vulneración. Por un lado, por lo que respecta al art. 36 CE, el Letrado del Parlamento de Galicia recuerda que el precepto contiene dos exigencias: que su regulación sea mediante ley (STC 42/1986, de 10 de abril) y que su estructura interna y funcionamiento sean democráticos (STC 89/1989, 11 de mayo), pero que no es un título de atribución de competencias como ha señalado la doctrina constitucional (STC 20/1988, 18 de febrero, FJ 3). Haciendo precisamente uso de ese título competencial y conforme a las exigencias de la normativa comunitaria, el Estado modificó la Ley 2/1974, de 13 de febrero, de colegios profesionales que establece el marco básico en el que deben operar las Comunidades Autónomas con competencia sobre este sector normativo. Y al amparo de lo establecido en el art. 27 del </w:t>
      </w:r>
      <w:r>
        <w:lastRenderedPageBreak/>
        <w:t>Estatuto de Autonomía de Galicia, por la Ley Orgánica 16/1995, de 27 de diciembre, se transfiere a Galicia las competencias de desarrollo legislativo y ejecución, sobre corporaciones de derecho público representativas de intereses económicos y profesionales, completada por el Real Decreto 1643/1996, de 5 de julio, por el que se traspasan funciones y servicios de la Administración del Estado en materia de colegios profesionales. En ese marco normativo se dictó la Ley 11/2001, de 18 de septiembre, de colegios profesionales de Galicia que es de aplicación a los colegios profesionales que desarrollen su actividad exclusivamente en el ámbito territorial de la Comunidad Autónoma de Galicia, que se regirán, en el marco de la legislación básica estatal, por esa ley y sus normas de desarrollo, sus leyes de creación y sus estatutos y reglamentos de régimen interior (art. 1).</w:t>
      </w:r>
    </w:p>
    <w:p w:rsidR="0026452D" w:rsidRDefault="0026452D" w:rsidP="0026452D">
      <w:pPr>
        <w:pStyle w:val="TextoNormal"/>
      </w:pPr>
    </w:p>
    <w:p w:rsidR="0026452D" w:rsidRDefault="0026452D" w:rsidP="0026452D">
      <w:pPr>
        <w:pStyle w:val="TextoNormal"/>
      </w:pPr>
      <w:r>
        <w:t>De lo anterior concluye el Letrado del Parlamento de Galicia que no se ha producido infracción del art. 36 de la Constitución pues tanto el Estado, dictando la normativa básica, como la Comunidad Autónoma de Galicia, dictando la normativa de desarrollo de la básica, sobre un ámbito de la realidad bien definido como son los colegios profesionales y desde los títulos competenciales correspondientes, respetaron las dos exigencias del citado artículo. Además el artículo cuestionado, por tener naturaleza netamente tributaria, regula un sector normativo indiscutiblemente diferente al de los colegios profesionales como es el procedimiento de tasación pericial contradictoria, por lo que jurídicamente es imposible que hubiese transgredido el citado art. 36 CE.</w:t>
      </w:r>
    </w:p>
    <w:p w:rsidR="0026452D" w:rsidRDefault="0026452D" w:rsidP="0026452D">
      <w:pPr>
        <w:pStyle w:val="TextoNormal"/>
      </w:pPr>
    </w:p>
    <w:p w:rsidR="0026452D" w:rsidRDefault="0026452D" w:rsidP="0026452D">
      <w:pPr>
        <w:pStyle w:val="TextoNormal"/>
      </w:pPr>
      <w:r>
        <w:t>El Letrado del Parlamento de Galicia alega también que el art. 64.4 a) de la Ley de presupuestos generales de la Comunidad Autónoma de Galicia para el año 2008 tampoco vulnera el art. 149.1.1 CE. De acuerdo con la doctrina constitucional,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nacionalidad o región para decidir cuándo y cómo ejercer sus propias competencias en el marco de la Constitución y del Estatuto de Autonomía, y si, como es lógico, de dicho ejercicio derivan desigualdades en la posición jurídica de los ciudadanos residentes en cada una de las distintas comunidades autónomas, no por ello resulta necesariamente infringido el principio de igualdad (SSTC 37/1987, de 26 de marzo, 22/1988, de 18 de febrero, 150/1990, de 4 de octubre). En este sentido, la Ley 7/1997, de 14 de abril, de medidas liberalizadoras en materia de suelo y colegios profesionales modificó la Ley de colegios profesionales mediante la aplicación de dichos títulos competenciales (disposición final segunda). En virtud de esta modificación, el Estado y las Comunidades Autónomas, en el ámbito de sus respectivas competencias, habrán de garantizar el ejercicio de las profesiones colegiadas de conformidad con lo dispuesto en las leyes y se realizarán en régimen de libre competencia. Por tanto, esa ley estatal fijó las posiciones jurídicas fundamentales de los profesionales colegiados con la finalidad de poder ejercer su profesión en libre competencia. Ahora bien, el ejercicio libre en igualdad de condiciones de una profesión como la de arquitecto técnico y aparejador no significa que a esos profesionales se les haya reconocido normativamente un derecho a actuar a su libre arbitrio en cualquier asunto para el cual están técnicamente cualificados. Es necesario que se respeten las condiciones básicas del ejercicio determinadas por la normativa estatal sin que ello implique que todos esos profesionales tengan exactamente las mismas posibilidades de intervención en cualquier parte del territorio español.</w:t>
      </w:r>
    </w:p>
    <w:p w:rsidR="0026452D" w:rsidRDefault="0026452D" w:rsidP="0026452D">
      <w:pPr>
        <w:pStyle w:val="TextoNormal"/>
      </w:pPr>
    </w:p>
    <w:p w:rsidR="0026452D" w:rsidRDefault="0026452D" w:rsidP="0026452D">
      <w:pPr>
        <w:pStyle w:val="TextoNormal"/>
      </w:pPr>
      <w:r>
        <w:lastRenderedPageBreak/>
        <w:t>Asimismo, alega el Letrado del Parlamento de Galicia que el art. 64.4 a) de la Ley de presupuestos generales de la Comunidad Autónoma de Galicia para el año 2008 no vulnera el art. 149.1.18 de la Constitución. Conforme a la normativa básica estatal, la Comunidad Autónoma de Galicia legisló sobre los colegios profesionales que desarrollen su actividad en el ámbito territorial de esa Comunidad Autónoma. Y conforme a la potestad normativa que la misma tiene para gestionar los tributos estatales cuyo rendimiento le fue cedido reguló el procedimiento de tasación pericial contradictoria en los términos establecidos en el art. 64.4 a) de la Ley de presupuestos generales de la Comunidad Autónoma de Galicia. La regulación del procedimiento administrativo común viene establecida en la Ley 30/1992, de 30 de noviembre, cuyo objeto precisamente es establecer y regular las bases del régimen jurídico, el procedimiento administrativo común y el sistema de responsabilidad de las Administraciones públicas (art. 1). El procedimiento regulado en el art. 64.4 a) de la Ley de presupuestos generales de la Comunidad Autónoma de Galicia para el año 2008 en modo alguno vulnera la citada ley porque aunque regule un procedimiento administrativo, no es un procedimiento administrativo general o común sino un procedimiento tributario que establece los trámites que deben seguirse en las tasaciones periciales contradictorias en relación con la gestión de los impuestos de transmisiones patrimoniales y actos jurídicos documentados y el de sucesiones y donaciones.</w:t>
      </w:r>
    </w:p>
    <w:p w:rsidR="0026452D" w:rsidRDefault="0026452D" w:rsidP="0026452D">
      <w:pPr>
        <w:pStyle w:val="TextoNormal"/>
      </w:pPr>
    </w:p>
    <w:p w:rsidR="0026452D" w:rsidRDefault="0026452D" w:rsidP="0026452D">
      <w:pPr>
        <w:pStyle w:val="TextoNormal"/>
      </w:pPr>
      <w:r>
        <w:t>A continuación el Letrado del Parlamento de Galicia alega sobre la potestad normativa de la Comunidad Autónoma de Galicia para regular procedimientos de gestión tributaria conforme a los principios del sistema tributario español. En este sentido recuerda que en relación con los impuestos cuyo rendimiento fue cedido a la Comunidad Autónoma de Galicia ésta tiene competencias normativas con el alcance que establece la sección IV del título III de la Ley 22/2009, de 18 de diciembre, por la que se regula el sistema de financiación de las Comunidades Autónomas en régimen común y ciudades con Estatuto de Autonomía y se modifican determinadas normas tributarias.</w:t>
      </w:r>
    </w:p>
    <w:p w:rsidR="0026452D" w:rsidRDefault="0026452D" w:rsidP="0026452D">
      <w:pPr>
        <w:pStyle w:val="TextoNormal"/>
      </w:pPr>
    </w:p>
    <w:p w:rsidR="0026452D" w:rsidRDefault="0026452D" w:rsidP="0026452D">
      <w:pPr>
        <w:pStyle w:val="TextoNormal"/>
      </w:pPr>
      <w:r>
        <w:t>Singularmente, Galicia tiene competencia normativa para regular los aspectos de gestión y liquidación del impuesto de sucesiones y donaciones (art. 48.2) y  del impuesto de transmisiones patrimoniales y actos documentados (art. 49.2). De manera que la Ley 58/2003, de 17 de diciembre, general tributaria es una de las normas que la Comunidad Autónoma de Galicia ha de observar en lo relativo a la gestión de los tributos cedidos. El art. 135 de la misma regula las tasaciones periciales contradictorias.</w:t>
      </w:r>
    </w:p>
    <w:p w:rsidR="0026452D" w:rsidRDefault="0026452D" w:rsidP="0026452D">
      <w:pPr>
        <w:pStyle w:val="TextoNormal"/>
      </w:pPr>
    </w:p>
    <w:p w:rsidR="0026452D" w:rsidRDefault="0026452D" w:rsidP="0026452D">
      <w:pPr>
        <w:pStyle w:val="TextoNormal"/>
      </w:pPr>
      <w:r>
        <w:t xml:space="preserve">Conforme a esta regulación general y haciendo uso de sus competencias normativas sobre los tributos estatales cedidos, la Comunidad Autónoma de Galicia aprobó una Ley de desarrollo de la normativa básica estatal reguladora de este aspecto que es la cuestionada en este procedimiento constitucional. La finalidad de esa ley es de carácter jurídico y práctica. La razón jurídica radica en el principio constitucional de eficacia administrativa (art. 103.1 CE), que constituye el principal fundamento de esa regulación como se desprende de la exposición de motivos de la Ley de presupuestos generales de la Comunidad Autónoma de Galicia para 2008. Por otro lado, la razonabilidad de la norma está también justificada por motivos prácticos, como puso de manifiesto la resolución del recurso de alzada que el Colegio Oficial de Aparejadores y Arquitectos Técnicos de Pontevedra, no sólo porque resulta lógico relacionar la capacidad para el dictamen pericial sobre inmuebles con el ejercicio profesional en el mismo ámbito territorial donde se sitúa el inmueble a valorar, sino también porque el precepto impugnado regula un procedimiento de gestión tributaria, mientras que </w:t>
      </w:r>
      <w:r>
        <w:lastRenderedPageBreak/>
        <w:t>las normas sobre colegios profesionales establecen los requisitos para actuar en distintas partes del territorio, exigiendo únicamente la colegiación en un solo colegio profesional, lo que implica la posibilidad del colegiado de actuar en todo el territorio nacional, pero no obliga a la Administración a llamar a todos los colegios de cualquier Estado comunitario como había señalado el recurrente, lo que haría impracticable la elaboración de la lista de peritos.</w:t>
      </w:r>
    </w:p>
    <w:p w:rsidR="0026452D" w:rsidRDefault="0026452D" w:rsidP="0026452D">
      <w:pPr>
        <w:pStyle w:val="TextoNormal"/>
      </w:pPr>
    </w:p>
    <w:p w:rsidR="0026452D" w:rsidRDefault="0026452D" w:rsidP="0026452D">
      <w:pPr>
        <w:pStyle w:val="TextoNormal"/>
      </w:pPr>
      <w:r w:rsidRPr="0026452D">
        <w:rPr>
          <w:rStyle w:val="NumeroAFNegritaCaracter"/>
        </w:rPr>
        <w:t>10</w:t>
      </w:r>
      <w:r>
        <w:t>. Por escrito registrado en este Tribunal el 8 de septiembre de 2011 el Senado a través de su Presidente comunicó al Tribunal el acuerdo alcanzado respecto a la personación de la Cámara en el presente proceso constitucional y ofreció su colaboración a efectos del art. 88.1 de la LOTC.</w:t>
      </w:r>
    </w:p>
    <w:p w:rsidR="0026452D" w:rsidRDefault="0026452D" w:rsidP="0026452D">
      <w:pPr>
        <w:pStyle w:val="TextoNormal"/>
      </w:pPr>
    </w:p>
    <w:p w:rsidR="0026452D" w:rsidRDefault="0026452D" w:rsidP="0026452D">
      <w:pPr>
        <w:pStyle w:val="TextoNormal"/>
      </w:pPr>
      <w:r w:rsidRPr="0026452D">
        <w:rPr>
          <w:rStyle w:val="NumeroAFNegritaCaracter"/>
        </w:rPr>
        <w:t>11</w:t>
      </w:r>
      <w:r>
        <w:t>. Mediante escrito presentado en el Registro General del Tribunal el 23 de septiembre de 2011 formuló alegaciones el Fiscal General del Estado interesando la desestimación de la cuestión de inconstitucionalidad. En síntesis el Ministerio Fiscal alega que estamos ante un supuesto de los que han sido calificados por el Tribunal Constitucional (por todas, SSTC 151/1992, de 19 de octubre, FJ 1; 163/1995, de 8 de noviembre, FJ 4; 166/2002, de 18 de septiembre, FJ 3; y 87/2009, de 20 de abril, FJ 2) como de inconstitucionalidad de carácter mediato o indirecto, en cuanto que la infracción por la normativa autonómica del orden constitucional de distribución de competencias derivaría, en su caso, de su efectiva contradicción con la norma estatal básica. Para que dicha vulneración exista es necesario, de acuerdo con la doctrina constitucional citada, la concurrencia de dos circunstancias: i) que la norma estatal infringida por la Ley autonómica sea, en el doble sentido material y formal, una norma básica y, por tanto, dictada legítimamente al amparo del correspondiente título competencial que la Constitución haya reservado al Estado; y ii) que la contradicción entre ambas normas, estatal y autonómica, sea efectiva e insalvable por vía interpretativa, toda vez que el principio de conservación de la ley habilita al Tribunal Constitucional para concluir que, de una determinada manera interpretada, la norma cuestionada no sería contraria al orden constitucional de distribución de competencias (por todas, STC 8/2010, de 27 de abril, FJ 2).</w:t>
      </w:r>
    </w:p>
    <w:p w:rsidR="0026452D" w:rsidRDefault="0026452D" w:rsidP="0026452D">
      <w:pPr>
        <w:pStyle w:val="TextoNormal"/>
      </w:pPr>
    </w:p>
    <w:p w:rsidR="0026452D" w:rsidRDefault="0026452D" w:rsidP="0026452D">
      <w:pPr>
        <w:pStyle w:val="TextoNormal"/>
      </w:pPr>
      <w:r>
        <w:t xml:space="preserve">En el recurso contencioso-administrativo del que deriva la presente cuestión de inconstitucionalidad se impugna el acuerdo de la Delegación Provincial de Vigo de la Consellería de Economía y Hacienda de la Junta de Galicia de 15 de febrero de 2008, confirmado en alzada, por el que se excluyó del sorteo de peritos terceros en expedientes de tasación contradictoria a los colegiados que, de acuerdo con los datos incluidos en la lista remitida por el colegio demandante, no cumplían el requisito de tener centralizada la gestión administrativa y la dirección de sus actividades en los términos municipales de Gondomar, Nigrán, Baiona y Vigo. En el momento de producirse dicha resolución se hallaba vigente el art. 3.2 de la Ley 2/1974, de 13 de febrero, de colegios profesionales, según modificación establecida por el art. 39 del Real Decreto-ley 6/2000, de 23 de junio, de medidas urgentes de intensificación de la competencia en mercados de bienes y servicios. Lo que significa que el análisis de la cuestión planteada habrá de quedar circunscrito a la posible existencia o no de contradicción entre el precepto legal cuestionado y el precepto legal que en este caso ha de operar como canon de constitucionalidad. Concretamente el art. 3.2 de la Ley 2/1974, de 13 de febrero, de colegios profesionales, según redacción dada por el art. 39 del Real Decreto-ley 6/2000, de 23 de junio, de medidas urgentes de intensificación de la competencia en mercados de bienes y servicios, que tiene, conforme a lo establecido por la disposición </w:t>
      </w:r>
      <w:r>
        <w:lastRenderedPageBreak/>
        <w:t xml:space="preserve">final segunda de dicho Real Decreto-ley, el carácter de legislación básica del Estado dictada al amparo de los arts. 149.1.13 y 18 CE. El precepto citado tiene además carácter de norma básica en sentido material porque, alega el Ministerio público, que el Tribunal Constitucional ha reconocido al Estado la competencia para fijar los principios y reglas básicas a que ajustarán su organización y competencias las corporaciones de derecho público representativas de intereses profesionales (STC 76/1983, de 5 de agosto), así como que los colegios profesionales tienen la condición de Administraciones públicas de carácter corporativo, es decir, realizan, además de funciones representativas de intereses privados, funciones de carácter público bajo tutela de la Administración y en tal condición quedan sometidas a la competencia estatal de establecimiento de las bases del régimen jurídico correspondiente </w:t>
      </w:r>
      <w:r w:rsidRPr="0026452D">
        <w:rPr>
          <w:i/>
        </w:rPr>
        <w:t>ex</w:t>
      </w:r>
      <w:r>
        <w:t xml:space="preserve"> art. 149.1.18 CE (STC 31/2010, de 28 de junio, FJ 7). Una vez alcanzada la conclusión de que el precepto que sirve de canon de enjuiciamiento tiene carácter básico formal y materialmente, alega el Fiscal General del Estado que la Comunidad Autónoma de Galicia en ejercicio de sus competencias aprobó la Ley 11/2001, de 18 de septiembre, de colegios profesionales de la Comunidad Autónoma de Galicia, cuyo artículo 2.3 tiene una redacción igual que el art. 3.2 de la Ley 2/1974, según modificación introducida por el art. 39 del Real Decreto-ley 6/2000, de 23 de junio, de medidas urgentes de intensificación de la competencia en mercados de bienes y servicios. En consecuencia, no se aprecia ninguna contradicción entre ambas normas, la base estatal y la autonómica que la desarrolla.</w:t>
      </w:r>
    </w:p>
    <w:p w:rsidR="0026452D" w:rsidRDefault="0026452D" w:rsidP="0026452D">
      <w:pPr>
        <w:pStyle w:val="TextoNormal"/>
      </w:pPr>
    </w:p>
    <w:p w:rsidR="0026452D" w:rsidRDefault="0026452D" w:rsidP="0026452D">
      <w:pPr>
        <w:pStyle w:val="TextoNormal"/>
      </w:pPr>
      <w:r>
        <w:t>El Ministerio Fiscal rechaza los argumentos de la Sala del Tribunal Superior de Justicia de Galicia para cuestionar el art. 64.4, a) de la Ley 16/2007, de 26 de diciembre, de presupuestos generales de la Comunidad Autónoma de Galicia para 2008. La regla impugnada no crea ningún colegio profesional de ámbito territorial inferior a la provincia ni tampoco limita el ejercicio profesional en el territorio nacional de los arquitectos técnicos y aparejadores. Y ello es así porque el precepto cuestionado ha sido dictado no en desarrollo de las competencias de la Comunidad Autónoma de Galicia en materia de colegios profesionales, sino en desarrollo de las competencias de dicha Comunidad Autónoma en materia de tributos cedidos por el Estado, por lo que en ningún momento ha pretendido modificar la normativa autonómica existente en materia de colegios profesionales ni, menos aún, contradecir la normativa básica estatal en dicha materia.</w:t>
      </w:r>
    </w:p>
    <w:p w:rsidR="0026452D" w:rsidRDefault="0026452D" w:rsidP="0026452D">
      <w:pPr>
        <w:pStyle w:val="TextoNormal"/>
      </w:pPr>
    </w:p>
    <w:p w:rsidR="0026452D" w:rsidRDefault="0026452D" w:rsidP="0026452D">
      <w:pPr>
        <w:pStyle w:val="TextoNormal"/>
      </w:pPr>
      <w:r>
        <w:t>Situado el precepto cuestionado en el ámbito que le es propio, que para el Ministerio Fiscal no es otro que el tributario, se aprecia claramente que la intención del legislador autonómico es tanto la de dotar al expediente administrativo de carácter tributario de una mayor celeridad —porque, con arreglo a lo establecido en la norma cuestionada, la tasación pericial puede quedar hecha en unos pocos días—, como la de asegurar la mayor fiabilidad de la peritación —pues, con arreglo a lo establecido en dicha norma, la tasación es efectuada por profesionales que conocen mejor el mercado porque desarrollan su actividad profesional fundamentalmente en ese ámbito territorial—, como la de conseguir un ahorro de costes —evitando el incremento de éstos derivado de los desplazamientos de profesionales con ejercicio profesional habitual en lugares más remotos—, todo ello con el resultado, constitucionalmente lícito, de asegurar la mayor eficacia de la administración tributaria y de garantizar del mejor modo posible los intereses de los obligados tributarios.</w:t>
      </w:r>
    </w:p>
    <w:p w:rsidR="0026452D" w:rsidRDefault="0026452D" w:rsidP="0026452D">
      <w:pPr>
        <w:pStyle w:val="TextoNormal"/>
      </w:pPr>
    </w:p>
    <w:p w:rsidR="0026452D" w:rsidRDefault="0026452D" w:rsidP="0026452D">
      <w:pPr>
        <w:pStyle w:val="TextoNormal"/>
      </w:pPr>
      <w:r w:rsidRPr="0026452D">
        <w:rPr>
          <w:rStyle w:val="NumeroAFNegritaCaracter"/>
        </w:rPr>
        <w:t>12</w:t>
      </w:r>
      <w:r>
        <w:t>. Por providencia de 18 de abril de 2013 se señaló para deliberación y fallo de la presente Sentencia el día 22 del mismo mes y año.</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promovido por la Sección Segunda de la Sala de lo Contencioso-Administrativo del Tribunal Superior de Justicia de Galicia, tiene por objeto el art. 64.4 a) de la Ley 16/2007, de 26 de diciembre, de presupuestos generales de la Comunidad Autónoma de Galicia para el año 2008, concretamente el inciso “que tengan centralizada la gestión administrativa y la dirección de sus actividades en el ámbito territorial de la Delegación de la Consellería de Economía y Hacienda correspondiente”.</w:t>
      </w:r>
    </w:p>
    <w:p w:rsidR="0026452D" w:rsidRDefault="0026452D" w:rsidP="0026452D">
      <w:pPr>
        <w:pStyle w:val="TextoNormal"/>
      </w:pPr>
    </w:p>
    <w:p w:rsidR="0026452D" w:rsidRDefault="0026452D" w:rsidP="0026452D">
      <w:pPr>
        <w:pStyle w:val="TextoNormal"/>
      </w:pPr>
      <w:r>
        <w:t>Como se ha dejado constancia en los antecedentes, el debate de fondo planteado en el mismo es si la norma autonómica, al introducir como requisito para ser designado perito tercero en el procedimiento de tasación pericial contradictoria, que se tenga centralizada la gestión administrativa y la dirección de sus actividades en el ámbito territorial de la delegación de la Consellería de Economía y Hacienda correspondiente, vulnera los arts. 36 y 149.1.1 y 18 CE porque, según el Auto de planteamiento de la cuestión, el precepto cuestionado viene a establecer colegios territoriales de ámbito inferior al ámbito territorial mínimo constituido por la provincia, en contra de la norma básica estatal en materia de colegios profesionales y, además, limita el ejercicio profesional en el territorio nacional de los arquitectos técnicos y aparejadores que no tengan su domicilio profesional en el ámbito territorial de la delegación territorial de la Consellería de Economía y Hacienda correspondiente.</w:t>
      </w:r>
    </w:p>
    <w:p w:rsidR="0026452D" w:rsidRDefault="0026452D" w:rsidP="0026452D">
      <w:pPr>
        <w:pStyle w:val="TextoNormal"/>
      </w:pPr>
    </w:p>
    <w:p w:rsidR="0026452D" w:rsidRDefault="0026452D" w:rsidP="0026452D">
      <w:pPr>
        <w:pStyle w:val="TextoNormal"/>
      </w:pPr>
      <w:r>
        <w:t>Como ha quedado expuesto detalladamente en los antecedentes todos los que han comparecido y formulado alegaciones en el presente proceso constitucional interesan la desestimación de la cuestión de constitucionalidad.</w:t>
      </w:r>
    </w:p>
    <w:p w:rsidR="0026452D" w:rsidRDefault="0026452D" w:rsidP="0026452D">
      <w:pPr>
        <w:pStyle w:val="TextoNormal"/>
      </w:pPr>
    </w:p>
    <w:p w:rsidR="0026452D" w:rsidRDefault="0026452D" w:rsidP="0026452D">
      <w:pPr>
        <w:pStyle w:val="TextoNormal"/>
      </w:pPr>
      <w:r>
        <w:t xml:space="preserve">El art. 64 de la Ley 16/2007, de 26 de diciembre, fue derogado por la disposición derogatoria única, 1 h) del Decreto Legislativo 1/2011, de 28 de julio, que aprueba el texto refundido de las disposiciones legales de la Comunidad Autónoma de Galicia en materia de tributos cedidos por el Estado. En su lugar, el citado texto refundido regula el procedimiento de la tasación pericial contradictoria en el art. 29. La redacción de ambos preceptos es muy similar, y responde a una reorganización de la estructura de la Consellería de Hacienda. En consecuencia, dado que la norma cuestionada resulta todavía aplicable en el proceso </w:t>
      </w:r>
      <w:r w:rsidRPr="0026452D">
        <w:rPr>
          <w:i/>
        </w:rPr>
        <w:t>a quo</w:t>
      </w:r>
      <w:r>
        <w:t xml:space="preserve"> y que de su validez depende la decisión a adoptar en éste, la modificación legislativa no afecta a la subsistencia de la presente cuestión de inconstitucionalidad de acuerdo con la doctrina constitucional (entre otras, SSTC 385/1993, de 23 de diciembre, FJ 2; 274/2000, de 15 de noviembre, FJ 3; 63/2003, de 27 de marzo, FJ 3; y 101/2009, de 27 de abril, FJ 2).</w:t>
      </w:r>
    </w:p>
    <w:p w:rsidR="0026452D" w:rsidRDefault="0026452D" w:rsidP="0026452D">
      <w:pPr>
        <w:pStyle w:val="TextoNormal"/>
      </w:pPr>
    </w:p>
    <w:p w:rsidR="0026452D" w:rsidRDefault="0026452D" w:rsidP="0026452D">
      <w:pPr>
        <w:pStyle w:val="TextoNormal"/>
      </w:pPr>
      <w:r>
        <w:t xml:space="preserve">El art. 64.4 a) de la Ley 16/2007, de 26 de diciembre, dispone en cuanto a la designación de perito tercero: </w:t>
      </w:r>
    </w:p>
    <w:p w:rsidR="0026452D" w:rsidRDefault="0026452D" w:rsidP="0026452D">
      <w:pPr>
        <w:pStyle w:val="TextoNormal"/>
      </w:pPr>
    </w:p>
    <w:p w:rsidR="0026452D" w:rsidRDefault="0026452D" w:rsidP="0026452D">
      <w:pPr>
        <w:pStyle w:val="TextoNormal"/>
      </w:pPr>
      <w:r>
        <w:t xml:space="preserve">“Si la diferencia señalada en el apartado anterior [la diferencia entre el valor comprobado por la Administración y la tasación practicada por el perito designado por el obligado tributario] es superior, habrá de designarse a un perito tercero con arreglo al siguiente procedimiento: </w:t>
      </w:r>
    </w:p>
    <w:p w:rsidR="0026452D" w:rsidRDefault="0026452D" w:rsidP="0026452D">
      <w:pPr>
        <w:pStyle w:val="TextoNormal"/>
      </w:pPr>
    </w:p>
    <w:p w:rsidR="0026452D" w:rsidRDefault="0026452D" w:rsidP="0026452D">
      <w:pPr>
        <w:pStyle w:val="TextoNormal"/>
      </w:pPr>
      <w:r>
        <w:t>a) Cada delegado territorial de la Consellería de Economía y Hacienda solicitará en el mes de enero de cada año a los distintos colegios, asociaciones o corporaciones profesiona</w:t>
      </w:r>
      <w:r>
        <w:lastRenderedPageBreak/>
        <w:t>les legalmente reconocidos el envío de una lista de colegiados o asociados que tengan centralizada la gestión administrativa y la dirección de sus actividades en el ámbito territorial de la delegación de la Consellería de Economía y Hacienda correspondiente, y que estén dispuestos a actuar como peritos terceros, que se agruparán por orden alfabético en diferentes listas teniendo en cuenta la naturaleza de los bienes y derechos a valorar. Elegido por sorteo público uno de cada lista, las designaciones se efectuarán por orden correlativo. Cuando no exista colegio, asociación o corporación profesional competente por la naturaleza de los bienes o derechos a valorar o profesionales dispuestos a actuar como peritos terceros, podrá solicitarse al Banco de España la designación de una sociedad de tasación inscrita en el correspondiente registro oficial. Será necesaria la aceptación expresa por el perito elegido por sorteo, en un plazo de cinco días desde la comunicación de su propuesta de designación. La Administración tributaria competente podrá establecer honorarios estandarizados para los peritos terceros que hayan de ser designados. Dicha aceptación determinará, asimismo, la aceptación de los honorarios aprobados por la Administración.”</w:t>
      </w:r>
    </w:p>
    <w:p w:rsidR="0026452D" w:rsidRDefault="0026452D" w:rsidP="0026452D">
      <w:pPr>
        <w:pStyle w:val="TextoNormal"/>
      </w:pPr>
    </w:p>
    <w:p w:rsidR="0026452D" w:rsidRDefault="0026452D" w:rsidP="0026452D">
      <w:pPr>
        <w:pStyle w:val="TextoNormal"/>
      </w:pPr>
      <w:r w:rsidRPr="0026452D">
        <w:rPr>
          <w:rStyle w:val="NumeroAFNegritaCaracter"/>
        </w:rPr>
        <w:t>2</w:t>
      </w:r>
      <w:r>
        <w:t>. El órgano judicial proponente de la cuestión de inconstitucionalidad plantea, en primer lugar, un supuesto de inconstitucionalidad mediata o indirecta en el que se cuestiona el art. 64.4 a) de la Ley 16/2007, de 26 de diciembre, de presupuestos generales de la Comunidad Autónoma de Galicia para 2008, concretamente del inciso “que tengan centralizada la gestión administrativa y la dirección de sus actividades en el ámbito territorial de la delegación de la Consellería de Economía y Hacienda correspondiente”, por su supuesta contradicción con la norma básica estatal, el art. 3.2 de la Ley 2/1974, de 13 de febrero, de colegios profesionales, según la redacción dada por el Real Decreto-ley 6/2000, de 23 de junio, del que derivaría la vulneración de los arts. 36 y 149.1.1 y 18 CE. Para el órgano judicial que formula la cuestión de inconstitucionalidad la determinación del ejercicio de las profesiones liberales es competencia básica estatal y está presidida por el principio de igualdad constitucional sin que sea admisible, una vez establecido su ámbito territorial provincial por la norma autonómica de desarrollo de la base estatal, que el mismo pueda ser segmentado por el art. 64.4 a) de la Ley 16/2007, de presupuestos generales de Galicia para el año 2008, por incurrir en un vicio de inconstitucionalidad por infracción de los arts. 36 y 149.1.1 y 18 CE.</w:t>
      </w:r>
    </w:p>
    <w:p w:rsidR="0026452D" w:rsidRDefault="0026452D" w:rsidP="0026452D">
      <w:pPr>
        <w:pStyle w:val="TextoNormal"/>
      </w:pPr>
    </w:p>
    <w:p w:rsidR="0026452D" w:rsidRDefault="0026452D" w:rsidP="0026452D">
      <w:pPr>
        <w:pStyle w:val="TextoNormal"/>
      </w:pPr>
      <w:r>
        <w:t>En los supuestos de posible inconstitucionalidad mediata o indirecta por derivar la posible infracción constitucional, no de la incompatibilidad directa de las disposiciones impugnadas con la Constitución, sino de su eventual contradicción con preceptos básicos estatales, el Tribunal tiene declarado que “el éxito de la impugnación requerirá, de un lado, la constatación de que en efecto la norma estatal reúne la condición de básica y que, por lo tanto, ha sido dictada al amparo de la distribución constitucional de competencias. De otra parte, habrá de verificarse si existe una verdadera y real contradicción entre la norma impugnada y la norma estatal básica que no pueda ser salvada con una interpretación de la norma cuestionada conforme con la Constitución (STC 4/1981, de 2 de febrero), toda vez que el principio de conservación de la ley (SSTC 63/1982, de 20 de octubre, y 16/1998, de 26 de enero) habilita a este Tribunal para concluir que, de esa manera interpretada, la norma impugnada no sería contraria al orden constitucional de competencias” (SSTC 113/2010, de 24 de noviembre, FJ 2 y 181/2012, de 15 de octubre, FJ 3, entre otras).</w:t>
      </w:r>
    </w:p>
    <w:p w:rsidR="0026452D" w:rsidRDefault="0026452D" w:rsidP="0026452D">
      <w:pPr>
        <w:pStyle w:val="TextoNormal"/>
      </w:pPr>
    </w:p>
    <w:p w:rsidR="0026452D" w:rsidRDefault="0026452D" w:rsidP="0026452D">
      <w:pPr>
        <w:pStyle w:val="TextoNormal"/>
      </w:pPr>
      <w:r>
        <w:t xml:space="preserve">El art. 3.2 de la Ley 2/1974, de 13 de febrero, de colegios profesionales, que el órgano judicial identifica como norma básica estatal infringida por el precepto cuestionado ha tenido diversas redacciones. Aunque en el Auto de planteamiento de la cuestión se alude a la </w:t>
      </w:r>
      <w:r>
        <w:lastRenderedPageBreak/>
        <w:t>redacción dada por Ley 7/1997, de 14 de abril, lo cierto es que en el mismo se reproduce el precepto conforme a la redacción dada por el art. 39 del Real Decreto-ley 6/2000, de 23 de junio, de medidas urgentes de intensificación de la competencia en mercados de bienes y servicios, que estableció: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aquellas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 Cuando los colegios estén organizados territorialmente atendiendo a la exigencia necesaria del deber de residencia para la prestación de los servicios, la colegiación habilitará solamente para ejercer en el ámbito territorial que corresponda.”</w:t>
      </w:r>
    </w:p>
    <w:p w:rsidR="0026452D" w:rsidRDefault="0026452D" w:rsidP="0026452D">
      <w:pPr>
        <w:pStyle w:val="TextoNormal"/>
      </w:pPr>
    </w:p>
    <w:p w:rsidR="0026452D" w:rsidRDefault="0026452D" w:rsidP="0026452D">
      <w:pPr>
        <w:pStyle w:val="TextoNormal"/>
      </w:pPr>
      <w:r>
        <w:t>El precepto transcrito tiene carácter de norma básica en sentido formal y material. En sentido formal porque la disposición final segunda del Real Decreto-ley 6/2000, de 23 de junio, le atribuye el carácter de legislación básica del Estado dictada al amparo de los arts. 149.1.13 y 18 CE. Y en sentido material porque el art. 3.2 de la Ley de colegios profesionales impone como requisito indispensable para el ejercicio de las profesiones colegiadas la incorporación a un colegio profesional para ejercer en todo el territorio nacional, lo que responde a las competencias estatales para dictar las bases organizativas y competenciales (</w:t>
      </w:r>
      <w:r w:rsidRPr="0026452D">
        <w:rPr>
          <w:i/>
        </w:rPr>
        <w:t>ex</w:t>
      </w:r>
      <w:r>
        <w:t xml:space="preserve"> art. 149.1.18 CE) en materia de colegios profesionales en su condición de corporaciones públicas reconocidas por la doctrina constitucional (SSTC 76/1983, de 5 de agosto, FJ 26; 20/1988, de 18 de febrero, FJ 4 y 31/2010, de 28 de junio, FJ 71).</w:t>
      </w:r>
    </w:p>
    <w:p w:rsidR="0026452D" w:rsidRDefault="0026452D" w:rsidP="0026452D">
      <w:pPr>
        <w:pStyle w:val="TextoNormal"/>
      </w:pPr>
    </w:p>
    <w:p w:rsidR="0026452D" w:rsidRDefault="0026452D" w:rsidP="0026452D">
      <w:pPr>
        <w:pStyle w:val="TextoNormal"/>
      </w:pPr>
      <w:r w:rsidRPr="0026452D">
        <w:rPr>
          <w:rStyle w:val="NumeroAFNegritaCaracter"/>
        </w:rPr>
        <w:t>3</w:t>
      </w:r>
      <w:r>
        <w:t>. Una vez constatada la naturaleza de norma básica en sentido formal y material del art. 3.2 de la Ley 2/1974, de 13 de febrero, de colegios profesionales, debemos comprobar si existe una contradicción insalvable entre la citada norma básica y el precepto impugnado.</w:t>
      </w:r>
    </w:p>
    <w:p w:rsidR="0026452D" w:rsidRDefault="0026452D" w:rsidP="0026452D">
      <w:pPr>
        <w:pStyle w:val="TextoNormal"/>
      </w:pPr>
    </w:p>
    <w:p w:rsidR="0026452D" w:rsidRDefault="0026452D" w:rsidP="0026452D">
      <w:pPr>
        <w:pStyle w:val="TextoNormal"/>
      </w:pPr>
      <w:r>
        <w:t xml:space="preserve">El art. 3.2 de la Ley de colegios profesionales como norma básica estatal fue desarrollado por la Ley 11/2001, de 18 de septiembre, de colegios profesionales de Galicia, en virtud de la competencia asumida por el art. 27 del Estatuto de Autonomía de Galicia, aprobado por Ley Orgánica 1/1981, de 6 de abril, y de la Ley Orgánica 16/1995, de 27 de diciembre, de transferencia de competencias a la Comunidad Autónoma Gallega, cuyo art. 5 transfirió competencias de desarrollo legislativo y ejecución en el marco de la legislación básica del Estado en materia de corporaciones de derecho público representativas de intereses económicos y profesionales. La Ley 11/2001, de 18 de septiembre, de colegios profesionales de Galicia (Ley 11/2001 en lo que sigue) establece expresamente en el art. 2.3, primer inciso, que “es requisito para el ejercicio de las profesiones con obligación legal de colegiación estar inscrito en el colegio correspondiente”. El art. 2.4, primer párrafo, de la Ley 11/2001 establece que “cuando una profesión se organice por colegios territoriales, bastará la incorporación a uno solo de los mismos, que será el del domicilio profesional único o principal”. En cuanto a la constitución de los colegios profesionales dispone el legislador autonómico que “el ámbito territorial mínimo de los colegios de nueva creación será la provincia” </w:t>
      </w:r>
      <w:r>
        <w:lastRenderedPageBreak/>
        <w:t>(art.11.4) sin que pueda constituirse “más de un colegio profesional de idéntica profesión dentro de un mismo ámbito territorial” (art. 11.5). Es así coherente la norma básica estatal (art. 3.2 de la Ley 2/1974 de colegios profesionales) con las disposiciones autonómicas dictadas en desarrollo legislativo de la misma, como son los arts. 2, apartados 3 y 4, así como el art. 11, apartados 4 y 5 de la citada Ley 11/2001, que establecen como hemos visto no sólo el requisito de incorporación a un colegio profesional para el ejercicio de una profesión colegiada, sino también, en ejercicio de sus legítimas competencias de desarrollo legislativo, que el ámbito territorial mínimo de los colegios de nueva creación será la provincia.</w:t>
      </w:r>
    </w:p>
    <w:p w:rsidR="0026452D" w:rsidRDefault="0026452D" w:rsidP="0026452D">
      <w:pPr>
        <w:pStyle w:val="TextoNormal"/>
      </w:pPr>
    </w:p>
    <w:p w:rsidR="0026452D" w:rsidRDefault="0026452D" w:rsidP="0026452D">
      <w:pPr>
        <w:pStyle w:val="TextoNormal"/>
      </w:pPr>
      <w:r>
        <w:t>Así expuesta la norma básica estatal, y su desarrollo por la normativa autonómica, no se aprecia contradicción inmediata entre dicho marco básico y el art. 64.4 a) de la Ley 16/2007, de 26 de diciembre que se controvierte, pues no incide directamente sobre los requisitos sustantivos de la colegiación, ni por lo tanto introduce ninguna excepción a la misma de manera directa. En efecto, en sentido estricto, el art. 64.4 a) cuestionado no establece, de forma directa, una excepción al ámbito de colegiación, pues no modifica la norma autonómica (Ley de colegios profesionales de Galicia) ni segmenta el ámbito territorial de colegiación, que sigue siendo la provincia. En concreto, y como se ha expuesto, el art. 64.4 a) se encuadra en el contexto de las normas procedimentales tributarias, estableciendo los requisitos que deben cumplir aquellos que deseen actuar como peritos terceros en las tasaciones periciales contradictorias. En suma, la norma impugnada no contiene regulación sustantiva alguna que directamente afecte a la normativa que regula el ejercicio profesional de los profesionales colegiados, sino que se integra en la regulación del de gestión tributaria en el que dichos profesionales pueden intervenir como peritos.</w:t>
      </w:r>
    </w:p>
    <w:p w:rsidR="0026452D" w:rsidRDefault="0026452D" w:rsidP="0026452D">
      <w:pPr>
        <w:pStyle w:val="TextoNormal"/>
      </w:pPr>
    </w:p>
    <w:p w:rsidR="0026452D" w:rsidRDefault="0026452D" w:rsidP="0026452D">
      <w:pPr>
        <w:pStyle w:val="TextoNormal"/>
      </w:pPr>
      <w:r w:rsidRPr="0026452D">
        <w:rPr>
          <w:rStyle w:val="NumeroAFNegritaCaracter"/>
        </w:rPr>
        <w:t>4</w:t>
      </w:r>
      <w:r>
        <w:t>. Debemos entonces abordar la segunda tacha de inconstitucionalidad, y es si este precepto, que como se ha expuesto delimita la actividad profesional de los peritos, cuya colegiación no será ya requisito suficiente para poder actuar en los procedimientos tributarios, debiendo además tener “centralizada la gestión administrativa y la dirección de sus actividades en el ámbito territorial de la delegación de la Consellería de Economía y Hacienda correspondiente”, supone una restricción contraria al art. 36 CE toda vez que, de acuerdo con el art. 3.2 de la Ley 2/1974, de 13 de febrero, de colegios profesionales, “cuando una profesión se organice por colegios territoriales, bastará la incorporación a uno solo de ellos, que será el del domicilio profesional único o principal, para ejercer en todo el territorio español”. Por tanto, una limitación al ejercicio, aunque sea de forma indirecta, sería contraria a la finalidad del citado precepto, de no estar justificada.</w:t>
      </w:r>
    </w:p>
    <w:p w:rsidR="0026452D" w:rsidRDefault="0026452D" w:rsidP="0026452D">
      <w:pPr>
        <w:pStyle w:val="TextoNormal"/>
      </w:pPr>
    </w:p>
    <w:p w:rsidR="0026452D" w:rsidRDefault="0026452D" w:rsidP="0026452D">
      <w:pPr>
        <w:pStyle w:val="TextoNormal"/>
      </w:pPr>
      <w:r>
        <w:t xml:space="preserve">No se discute que suponga efectivamente una restricción a la actuación posible de los colegiados, algo en lo que coinciden todas las partes que han formulado alegaciones, pues la norma limita, por razón del territorio, una de las intervenciones profesionales o actividades posibles de los colegiados, cual es la de actuar como perito en los citados procedimientos de tasación pericial contradictoria. Esta restricción a la actividad profesional de los colegiados se produce con independencia de que las normas —impugnada y básica— operen en planos distintos, pues lo cierto es que la consecuencia de la norma impugnada es que los colegiados no pueden ya ejercer su labor en todo el territorio, pues una parte de su actividad, la consistente en intervenir como perito tercero en el procedimiento de tasación pericial contradictoria, se ve sujeta a un requisito que se adiciona a la exigencia de colegiación, concretamente que tengan centralizada la gestión administrativa y la dirección de sus actividades en el ámbito territorial de la delegación de la Consellería de Economía y Hacienda </w:t>
      </w:r>
      <w:r>
        <w:lastRenderedPageBreak/>
        <w:t>correspondiente. Esto tiene, como parece evidente, consecuencias inmediatas sobre el propio ejercicio de la actividad profesional, aunque ello se lleve a cabo de forma indirecta, limitando el haz de actuaciones o procedimientos en los que los colegiados pueden intervenir.</w:t>
      </w:r>
    </w:p>
    <w:p w:rsidR="0026452D" w:rsidRDefault="0026452D" w:rsidP="0026452D">
      <w:pPr>
        <w:pStyle w:val="TextoNormal"/>
      </w:pPr>
    </w:p>
    <w:p w:rsidR="0026452D" w:rsidRDefault="0026452D" w:rsidP="0026452D">
      <w:pPr>
        <w:pStyle w:val="TextoNormal"/>
      </w:pPr>
      <w:r>
        <w:t>La cuestión entonces a dilucidar es si esta restricción, que se proyecta como hemos visto únicamente sobre un determinado procedimiento tributario (la tasación pericial contradictoria) supone una limitación a la actividad profesional de los colegiados que resulta contraria al ejercicio de la profesión de colegiado recogido en el art. 36 CE y en los términos legalmente establecidos, ya expuestos. De acuerdo con nuestra doctrina, la existencia de una restricción no determina en sí misma la inconstitucionalidad de la norma, pues para ello debemos todavía examinar si existe una justificación adecuada para la adopción de esta medida, por ejemplo porque se oriente a la atención de otros derechos, bienes e intereses constitucionalmente protegidos (como hemos afirmado respecto de la limitación de derechos fundamentales; SSTC 133/2010, de 2 de diciembre, FJ 7 y 17/2013, de 31 de enero, FJ 4), y, en caso afirmativo, si la medida guarda, además, la debida proporcionalidad entre dichos fines y la citada restricción.</w:t>
      </w:r>
    </w:p>
    <w:p w:rsidR="0026452D" w:rsidRDefault="0026452D" w:rsidP="0026452D">
      <w:pPr>
        <w:pStyle w:val="TextoNormal"/>
      </w:pPr>
    </w:p>
    <w:p w:rsidR="0026452D" w:rsidRDefault="0026452D" w:rsidP="0026452D">
      <w:pPr>
        <w:pStyle w:val="TextoNormal"/>
      </w:pPr>
      <w:r>
        <w:t>Procede por tanto analizar, en primer lugar, si la medida está justificada.</w:t>
      </w:r>
    </w:p>
    <w:p w:rsidR="0026452D" w:rsidRDefault="0026452D" w:rsidP="0026452D">
      <w:pPr>
        <w:pStyle w:val="TextoNormal"/>
      </w:pPr>
    </w:p>
    <w:p w:rsidR="0026452D" w:rsidRDefault="0026452D" w:rsidP="0026452D">
      <w:pPr>
        <w:pStyle w:val="TextoNormal"/>
      </w:pPr>
      <w:r>
        <w:t>Como ha quedado expuesto en los antecedentes, para el Abogado del Estado, la norma se incardina en los procedimientos tributarios y forma parte de la competencia de la Comunidad Autónoma. Además, aunque la limitación territorial produce como resultado una minoración de las posibilidades de actuación de los colegiados cuando actúan como peritos, la misma se justifica en el propio principio de eficacia administrativa (art. 103.1 CE) ya que de no haberse introducido la limitación territorial, cualquier cliente público estaría obligado a recabar listas de profesionales de todos los colegios y asociaciones de España, lo que resultaría una carga desproporcionada. Por ello, la norma impugnada resultaría razonable y sus resultados no serían desproporcionados. La misma argumentación despliega el Letrado de la Xunta, para quien el requerimiento por parte de las delegaciones de la Xunta de Galicia a todos los colegios del territorio nacional podría entrañar un problema de extraterritorialidad y, además, que llegado a su punto máximo, se podría plantear no restringirlo a los peritos del territorio español sino abrirlo a todos los de la Unión Europea, lo que resultaría a su vez desproporcionado. Para el Letrado del Parlamento de Galicia la norma está justificada por motivos prácticos, porque relaciona la capacidad para el dictamen pericial sobre inmuebles con el ejercicio profesional en el mismo ámbito territorial donde se sitúa el inmueble a valorar. Finalmente, estima que las normas sobre colegiación no obligan a la Administración a llamar a todos los colegios de cualquier Estado comunitario, lo que haría impracticable la elaboración de la lista de peritos.</w:t>
      </w:r>
    </w:p>
    <w:p w:rsidR="0026452D" w:rsidRDefault="0026452D" w:rsidP="0026452D">
      <w:pPr>
        <w:pStyle w:val="TextoNormal"/>
      </w:pPr>
    </w:p>
    <w:p w:rsidR="0026452D" w:rsidRDefault="0026452D" w:rsidP="0026452D">
      <w:pPr>
        <w:pStyle w:val="TextoNormal"/>
      </w:pPr>
      <w:r>
        <w:t xml:space="preserve">La justificación expuesta es insuficiente para considerar legítima la restricción a la efectividad del derecho a la colegiación que la limitación por razón del territorio supone. En primer lugar, porque el hecho de que la limitación se ciña sólo a un concreto tipo de actuación posible de los colegiados, que además se contiene en una norma de contenido tributario, no es válido como argumento a favor de la justificación de la medida, ya que las restricciones al derecho a la colegiación, o cualquier otro derecho reconocido en la Constitución, pueden ser causadas por una norma distinta a la que de forma directa regula dicho derecho. En otras palabras, no sólo se limita al derecho a la colegiación mediante una norma que, </w:t>
      </w:r>
      <w:r>
        <w:lastRenderedPageBreak/>
        <w:t>directamente, tenga como finalidad su regulación, sino que es pensable que se limite a través de normas que tienen otra finalidad, como sucedería en este caso.</w:t>
      </w:r>
    </w:p>
    <w:p w:rsidR="0026452D" w:rsidRDefault="0026452D" w:rsidP="0026452D">
      <w:pPr>
        <w:pStyle w:val="TextoNormal"/>
      </w:pPr>
    </w:p>
    <w:p w:rsidR="0026452D" w:rsidRDefault="0026452D" w:rsidP="0026452D">
      <w:pPr>
        <w:pStyle w:val="TextoNormal"/>
      </w:pPr>
      <w:r>
        <w:t>En segundo lugar, también debe descartarse como argumento en favor de la justificación de la medida cuestionada en este pleito el hecho de que la norma haya sido dictada en el ejercicio de las potestades normativas en materia de tributos cedidos, competencia que tampoco ha sido cuestionada en ningún momento. Antes al contrario, como recordamos en la citada STC 161/2012, de 20 de septiembre, la normativa autonómica relativa a la comprobación de valores debe emplear los mismos criterios que el Estado (FJ 7), por lo que incluso el contraste entre la norma autonómica y el art. 135 de la Ley general tributaria (LGT), precepto que no prevé la posibilidad de establecer ninguna limitación de ámbito territorial a los peritos, enervaría esta causa de justificación.</w:t>
      </w:r>
    </w:p>
    <w:p w:rsidR="0026452D" w:rsidRDefault="0026452D" w:rsidP="0026452D">
      <w:pPr>
        <w:pStyle w:val="TextoNormal"/>
      </w:pPr>
    </w:p>
    <w:p w:rsidR="0026452D" w:rsidRDefault="0026452D" w:rsidP="0026452D">
      <w:pPr>
        <w:pStyle w:val="TextoNormal"/>
      </w:pPr>
      <w:r>
        <w:t>Pero sobre todo, en tercer lugar, debe expresamente descartarse que la restricción contenida en el precepto impugnado encuentre su justificación en la mejor eficacia administrativa (art. 103 CE). En efecto, la alegación de que, de no existir la citada limitación territorial, ello supondría la carga para las Administraciones tributarias de cursar una solicitud a todos los colegios no se desprende del propio tenor del art. 64.4 a), precepto que desplaza de hecho esta supuesta carga a los propios “colegios, asociaciones o corporaciones profesionales legalmente reconocidos”, que son quienes deberán enviar la lista de colegiados y asociados. El requisito de que esta lista deba incluir únicamente a aquellos colegiados o asociados “que tengan centralizada la gestión administrativa y la dirección de sus actividades en el ámbito territorial de la delegación de la Consellería de Economía y Hacienda correspondiente” se dirige por tanto primordialmente a ellos, sin que, de contrario, pueda entenderse que la ausencia de esta limitación territorial hubiera de suponer una carga adicional para la Administración tributaria actuante. En otras palabras, tanto la norma impugnada, como la que se utiliza como término de comparación en las alegaciones (art. 135 LGT) establecen en todo caso el mandato de que, desde la correspondiente Administración tributaria, se solicite a los todos colegios, asociaciones o corporaciones profesionales legalmente reconocidos el envío de una lista de colegiados o asociados. Es decir, en todo caso debe cursarse dicha solicitud a todos los colegios. A partir de ahí, la designación de perito tendrá lugar entre quienes “estén dispuestos a actuar como peritos terceros”, siendo además necesaria “la aceptación expresa por el perito elegido por sorteo, en un plazo de cinco días desde la comunicación de su propuesta de designación” y estableciendo, en fin, que sus honorarios podrán ser estandarizados. No es, en definitiva, razonable, que la falta de restricción del ámbito territorial deba resultar en una carga adicional, sino que en todo caso dicha carga recaería sobre los colegios, pues son éstos los que envían el listado de quienes estén dispuestos a actuar como peritos terceros. Y puesto que no se aprecia la carga que se pretendería aligerar con la norma, en pos del art. 103 CE, tampoco puede admitirse la citada causa de justificación a la restricción de la libertad de colegiación.</w:t>
      </w:r>
    </w:p>
    <w:p w:rsidR="0026452D" w:rsidRDefault="0026452D" w:rsidP="0026452D">
      <w:pPr>
        <w:pStyle w:val="TextoNormal"/>
      </w:pPr>
    </w:p>
    <w:p w:rsidR="0026452D" w:rsidRDefault="0026452D" w:rsidP="0026452D">
      <w:pPr>
        <w:pStyle w:val="TextoNormal"/>
      </w:pPr>
      <w:r>
        <w:t>A partir de lo anterior, debemos estimar la cuestión de inconstitucionalidad planteada, y concluir que el precepto impugnado obstaculiza de manera injustificada el ejercicio de las profesiones colegiadas para aquellos colegiados que no tengan centralizada la gestión administrativa y la dirección de sus actividades en el ámbito territorial de la delegación de la Consellería de Economía y Hacienda correspondiente. En consecuencia, debemos declarar inconstitucional y nulo el inciso “que tengan centralizada la gestión administrativa y la di</w:t>
      </w:r>
      <w:r>
        <w:lastRenderedPageBreak/>
        <w:t>rección de sus actividades en el ámbito territorial de la delegación de la Consellería de Economía y Hacienda correspondiente” del art. 64.4 a) de la Ley 16/2007, de presupuestos generales de Galicia para el año 2008, por vulnerar el art. 36 CE.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la presente cuestión de inconstitucionalidad y, por tanto, declarar inconstitucional y nulo el inciso “que tengan centralizada la gestión administrativa y la dirección de sus actividades en el ámbito territorial de la delegación de la Consellería de Economía y Hacienda correspondiente” del art. 64.4 a) de la Ley 16/2007, de presupuestos generales de Galicia para el año 2008.</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veintidós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95" w:name="SENTENCIA_2013_92"/>
      <w:r>
        <w:lastRenderedPageBreak/>
        <w:t>SENTENCIA 92/2013, de 22 de abril de 2013</w:t>
      </w:r>
    </w:p>
    <w:bookmarkEnd w:id="95"/>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ECLI:ES:TC:2013:92</w:t>
      </w:r>
    </w:p>
    <w:p w:rsidR="0026452D" w:rsidRDefault="0026452D" w:rsidP="0026452D">
      <w:pPr>
        <w:pStyle w:val="SntesisDescriptiva"/>
      </w:pPr>
    </w:p>
    <w:p w:rsidR="0026452D" w:rsidRDefault="0026452D" w:rsidP="0026452D">
      <w:pPr>
        <w:pStyle w:val="SntesisDescriptiva"/>
      </w:pPr>
      <w:r>
        <w:t>Cuestión de inconstitucionalidad 4596-2011.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 de Cantabria, en relación con los procedimientos de indemnización patrimonial en materia urbanística.</w:t>
      </w:r>
    </w:p>
    <w:p w:rsidR="0026452D" w:rsidRDefault="0026452D" w:rsidP="0026452D">
      <w:pPr>
        <w:pStyle w:val="SntesisDescriptiva"/>
      </w:pPr>
    </w:p>
    <w:p w:rsidR="0026452D" w:rsidRDefault="0026452D" w:rsidP="0026452D">
      <w:pPr>
        <w:pStyle w:val="SntesisAnaltica"/>
      </w:pPr>
      <w:r>
        <w:t>Competencias sobre legislación procesal y régimen jurídico de las Administraciones públicas: nulidad del precepto legal autonómico que supedita la ejecución de sentencias a la previa resolución de un expediente de responsabilidad patrimonial de la Administración.</w:t>
      </w:r>
    </w:p>
    <w:p w:rsidR="0026452D" w:rsidRDefault="0026452D" w:rsidP="0026452D">
      <w:pPr>
        <w:pStyle w:val="SntesisAnaltica"/>
      </w:pPr>
    </w:p>
    <w:p w:rsidR="0026452D" w:rsidRDefault="0026452D" w:rsidP="0026452D">
      <w:pPr>
        <w:pStyle w:val="Extracto"/>
      </w:pPr>
      <w:r>
        <w:t>1.</w:t>
      </w:r>
      <w:r>
        <w:tab/>
        <w:t xml:space="preserve">La norma cuestionada invade la competencia exclusiva del Estado en materia de legislación procesal, </w:t>
      </w:r>
      <w:r w:rsidRPr="0026452D">
        <w:rPr>
          <w:i/>
        </w:rPr>
        <w:t>ex</w:t>
      </w:r>
      <w:r>
        <w:t xml:space="preserve"> art. 149.1.6 CE, al introducir un trámite de determinación de la eventual responsabilidad patrimonial en que pudiera haber incurrido la Administración urbanística ajeno a la propia ejecución de la Sentencia, por lo que procede declarar su inconstitucionalidad y nulidad [FJ 6].</w:t>
      </w:r>
    </w:p>
    <w:p w:rsidR="0026452D" w:rsidRDefault="0026452D" w:rsidP="0026452D">
      <w:pPr>
        <w:pStyle w:val="Extracto"/>
      </w:pPr>
    </w:p>
    <w:p w:rsidR="0026452D" w:rsidRDefault="0026452D" w:rsidP="0026452D">
      <w:pPr>
        <w:pStyle w:val="Extracto"/>
      </w:pPr>
      <w:r>
        <w:t>2.</w:t>
      </w:r>
      <w:r>
        <w:tab/>
        <w:t xml:space="preserve">Es incompatible con la reserva estatal en materia de legislación procesal, </w:t>
      </w:r>
      <w:r w:rsidRPr="0026452D">
        <w:rPr>
          <w:i/>
        </w:rPr>
        <w:t>ex</w:t>
      </w:r>
      <w:r>
        <w:t xml:space="preserve"> art. 149.1.6 CE, que el legislador autonómico establezca una causa de suspensión o aplazamiento de la ejecución de las Sentencias que han de ejecutarse mediante el derribo de edificaciones, máxime cuando condiciona la efectividad de la demolición a la resolución del expediente de responsabilidad patrimonial y al pago de la indemnización, de suerte que la ejecución de la Sentencia termina por escapar del control judicial, único competente para hacer ejecutar lo juzgado, </w:t>
      </w:r>
      <w:r w:rsidRPr="0026452D">
        <w:rPr>
          <w:i/>
        </w:rPr>
        <w:t>ex</w:t>
      </w:r>
      <w:r>
        <w:t xml:space="preserve"> 117.3 CE [FJ 6].</w:t>
      </w:r>
    </w:p>
    <w:p w:rsidR="0026452D" w:rsidRDefault="0026452D" w:rsidP="0026452D">
      <w:pPr>
        <w:pStyle w:val="Extracto"/>
      </w:pPr>
    </w:p>
    <w:p w:rsidR="0026452D" w:rsidRDefault="0026452D" w:rsidP="0026452D">
      <w:pPr>
        <w:pStyle w:val="Extracto"/>
      </w:pPr>
      <w:r>
        <w:t>3.</w:t>
      </w:r>
      <w:r>
        <w:tab/>
        <w:t xml:space="preserve">Corresponde a los Juzgados y Tribunales, </w:t>
      </w:r>
      <w:r w:rsidRPr="0026452D">
        <w:rPr>
          <w:i/>
        </w:rPr>
        <w:t>ex</w:t>
      </w:r>
      <w:r>
        <w:t xml:space="preserve"> arts. 117.3 y 118 CE, la función de ejecutar lo juzgado, por lo que la Administración, cuando se encuentra dando cumplimiento a una resolución judicial, no está ejecutando un acto administrativo amparado en la autotutela administrativa sino que su actuación se justifica en la obligación de cumplir las resoluciones judiciales y de auxilio a los órganos judiciales para el ejercicio de dicha función (SSTC 67/1984, 160/1991) [FJ 5].</w:t>
      </w:r>
    </w:p>
    <w:p w:rsidR="0026452D" w:rsidRDefault="0026452D" w:rsidP="0026452D">
      <w:pPr>
        <w:pStyle w:val="Extracto"/>
      </w:pPr>
    </w:p>
    <w:p w:rsidR="0026452D" w:rsidRDefault="0026452D" w:rsidP="0026452D">
      <w:pPr>
        <w:pStyle w:val="Extracto"/>
      </w:pPr>
      <w:r>
        <w:t>4.</w:t>
      </w:r>
      <w:r>
        <w:tab/>
        <w:t xml:space="preserve">Doctrina sobre la distribución de competencias en materia de legislación procesal, </w:t>
      </w:r>
      <w:r w:rsidRPr="0026452D">
        <w:rPr>
          <w:i/>
        </w:rPr>
        <w:t>ex</w:t>
      </w:r>
      <w:r>
        <w:t xml:space="preserve"> art. 149.1.6 CE (SSTC 71/1982, 21/2012) [FJ 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por don Ramón Rodríguez Arribas, Presidente, don Pablo Pérez Tremps, don Francisco José Hernando Santiago, don Luis Ignacio Ortega Álvarez, don Francisco Pérez de los Cobos Orihuel y doña Encarnación Roca Trías,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la cuestión de inconstitucionalidad núm. 4596-2011, promovida por la Sala de lo Contencioso-Administrativo del Tribunal Superior de Justicia de Cantabria en relación con el art. 2 de la Ley de Cantabria 2/2011, de 4 de abril, por la que se modifica la Ley 2/2001, de 25 de junio, de ordenación territorial y del régimen urbanístico del suelo de Cantabria, a la que se añade una nueva disposición adicional sexta, por posible vulneración de los arts. 149.1.6 y 149.1.18 CE en relación con los arts. 9.3, 24.1, 106.1, 117 y 118 CE. Han comparecido y formulado alegaciones el Abogado del Estado, el Parlamento y el Gobierno de Cantabria, así como el Ministerio Fiscal. Ha sido Ponente el Magistrado don Francisco Pérez de los Cobos Orihuel,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 El día 2 de agosto de 2011 tuvo entrada en el Registro General de este Tribunal un escrito de la Sala de lo Contencioso-Administrativo del Tribunal Superior de Justicia de Cantabria al que se acompaña, junto con el testimonio del recurso contencioso-administrativo ordinario núm. 1997-1998, el Auto de 22 de julio de 2011 en el que se acuerda plantear cuestión de inconstitucionalidad en relación con la disposición adicional a que se ha hecho mención en el encabezamiento de esta Sentencia.</w:t>
      </w:r>
    </w:p>
    <w:p w:rsidR="0026452D" w:rsidRDefault="0026452D" w:rsidP="0026452D">
      <w:pPr>
        <w:pStyle w:val="TextoNormal"/>
      </w:pPr>
    </w:p>
    <w:p w:rsidR="0026452D" w:rsidRDefault="0026452D" w:rsidP="0026452D">
      <w:pPr>
        <w:pStyle w:val="TextoNormal"/>
      </w:pPr>
      <w:r w:rsidRPr="0026452D">
        <w:rPr>
          <w:rStyle w:val="NumeroAFNegritaCaracter"/>
        </w:rPr>
        <w:t>2</w:t>
      </w:r>
      <w:r>
        <w:t>. Los antecedentes de la cuestión son los siguientes:</w:t>
      </w:r>
    </w:p>
    <w:p w:rsidR="0026452D" w:rsidRDefault="0026452D" w:rsidP="0026452D">
      <w:pPr>
        <w:pStyle w:val="TextoNormal"/>
      </w:pPr>
    </w:p>
    <w:p w:rsidR="0026452D" w:rsidRDefault="0026452D" w:rsidP="0026452D">
      <w:pPr>
        <w:pStyle w:val="TextoNormal"/>
      </w:pPr>
      <w:r>
        <w:t>a) Por Sentencia de 24 de julio de 2000 la Sala de lo Contencioso-Administrativo del Tribunal Superior de Justicia de Cantabria estimó el recurso 1997-1998 interpuesto por la Asociación para la Defensa de los Recursos Naturales de Cantabria contra el acuerdo de la comisión de gobierno del Ayuntamiento de Argoños por el que se concedió licencia para la construcción de cinco viviendas unifamiliares aisladas en suelo urbano de ese municipio. La Sentencia anula la licencia por inexistencia del preceptivo estudio de detalle así como por la infracción del art. 138 del texto refundido de la Ley del suelo. Dicha Sentencia quedó firme al ser inadmitido por Auto del Tribunal Supremo de 4 de noviembre de 2002 el recurso de casación interpuesto contra la misma indicada Sentencia por el Ayuntamiento de Argoños.</w:t>
      </w:r>
    </w:p>
    <w:p w:rsidR="0026452D" w:rsidRDefault="0026452D" w:rsidP="0026452D">
      <w:pPr>
        <w:pStyle w:val="TextoNormal"/>
      </w:pPr>
    </w:p>
    <w:p w:rsidR="0026452D" w:rsidRDefault="0026452D" w:rsidP="0026452D">
      <w:pPr>
        <w:pStyle w:val="TextoNormal"/>
      </w:pPr>
      <w:r>
        <w:t xml:space="preserve">b) Instada la ejecución de la Sentencia por la recurrente se ordenó la misma con el consiguiente derribo de lo ilegalmente construido. Mediante Auto de la Sala sentenciadora de 1 de junio de 2004 (confirmado el 22 de diciembre de 2004) se requirió al Ayuntamiento de Argoños para la inmediata ejecución de la Sentencia. El 6 de junio de 2005 la representación procesal del citado Ayuntamiento formuló una propuesta conjunta respecto a los diversos </w:t>
      </w:r>
      <w:r>
        <w:lastRenderedPageBreak/>
        <w:t>procedimientos judiciales en los que se había acordado el derribo de un total de 151 viviendas en Argoños. Por Auto de 7 de febrero de 2006 se solicitó por la Sala una propuesta independiente y diferenciada para cada uno de los procesos, rechazando el plan de financiación propuesto por la dilación en su cumplimiento. Igualmente, mediante Auto de 6 de octubre de 2006 (confirmado el 7 de febrero de 2007) se rechazó la pretendida propuesta individualizada al establecerse una previsión de ejecución para el año 2018. Con fecha 28 de mayo de 2008 el Ayuntamiento de Argoños solicitó la suspensión temporal de la ejecución de la Sentencia a fin de que se requiriese al Gobierno de Cantabria el acuerdo de la Mesa del Parlamento de 17 de diciembre de 2007, relativo a la necesidad de elaborar un plan para solucionar los problemas de las personas afectadas por Sentencias de derribo en Cantabria, presentándose el 1 de septiembre de 2008 un informe de la Consejería de Obras Públicas, Ordenación del Territorio, Vivienda y Urbanismo en relación con las medidas adoptadas por el Gobierno de Cantabria para el cumplimiento del citado plan. Por Auto de 3 de marzo de 2009 (confirmado el 24 de abril de 2009) se otorga un plazo de seis meses para proceder al derribo de las cinco viviendas por parte del Ayuntamiento de Argoños. El referido Ayuntamiento solicitó el 28 de mayo de 2009 que se designase al Gobierno de Cantabria como responsable de la ejecución de la Sentencia, posibilidad rechazada por Auto de la Sala sentenciadora de 25 de junio de 2009. Tras rechazar sucesivos incidentes de inejecución de Sentencia interpuestos por el Ayuntamiento de Argoños, la Sala, por Auto de 19 de febrero de 2010 (confirmado por otro de 24 de junio), acordó la ejecución subsidiaria del derribo de las cinco viviendas objeto de la licencia anulada, designado a la empresa pública TRAGSA para llevar a cabo la demolición. Tras una nueva solicitud de inejecución formulada por el Ayuntamiento y denegada por Auto de 29 de abril de 2011, el Ayuntamiento presentó un escrito solicitando la paralización de las actuaciones encaminadas al derribo de las cinco viviendas señalando que, con la entrada en vigor de la disposición adicional sexta de la Ley de Cantabria 2/2011, de 4 de abril, por la que se modifica la Ley 2/2001, de 25 de junio, de ordenación territorial y del régimen urbanístico del suelo de Cantabria resultaba obligada tal paralización en tanto se procedía a resolver el expediente de responsabilidad patrimonial incoado de oficio por el Ayuntamiento y se ponía a disposición de los propietarios de las viviendas a derribar el importe de la indemnización que se reconozca.</w:t>
      </w:r>
    </w:p>
    <w:p w:rsidR="0026452D" w:rsidRDefault="0026452D" w:rsidP="0026452D">
      <w:pPr>
        <w:pStyle w:val="TextoNormal"/>
      </w:pPr>
    </w:p>
    <w:p w:rsidR="0026452D" w:rsidRDefault="0026452D" w:rsidP="0026452D">
      <w:pPr>
        <w:pStyle w:val="TextoNormal"/>
      </w:pPr>
      <w:r>
        <w:t>c) Por providencia de 4 de julio de 2011, la Sala, con suspensión del plazo para dictar resolución, acordó oír a las partes y al Ministerio Fiscal por el término común de diez días sobre la pertinencia de plantear cuestión de inconstitucionalidad respecto a la disposición adicional sexta de la Ley del Parlamento de Cantabria 2/2011, de 4 de abril, por la que se modifica la Ley 2/2001, de 25 de junio, de ordenación territorial y del régimen urbanístico del suelo de Cantabria, “por si pudiera adolecer dicha normativa de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Todo ello en relación con los arts. 24.1, 106.1, 117 y 118 del texto constitucional”.</w:t>
      </w:r>
    </w:p>
    <w:p w:rsidR="0026452D" w:rsidRDefault="0026452D" w:rsidP="0026452D">
      <w:pPr>
        <w:pStyle w:val="TextoNormal"/>
      </w:pPr>
    </w:p>
    <w:p w:rsidR="0026452D" w:rsidRDefault="0026452D" w:rsidP="0026452D">
      <w:pPr>
        <w:pStyle w:val="TextoNormal"/>
      </w:pPr>
      <w:r>
        <w:t xml:space="preserve">d) La representación procesal del Ayuntamiento de Argoños y el Ministerio Fiscal manifestaron su parecer favorable al planteamiento de la cuestión de inconstitucionalidad a lo que se opuso la parte demandante, si bien ésta, de forma subsidiaria para el caso de que la </w:t>
      </w:r>
      <w:r>
        <w:lastRenderedPageBreak/>
        <w:t>Sala considerase que la Ley 2/2011 era de aplicación al incidente de ejecución, consideró que la norma era contraria a los arts. 9.3, 24.1, 149.1.6 y 149.1.18 CE.</w:t>
      </w:r>
    </w:p>
    <w:p w:rsidR="0026452D" w:rsidRDefault="0026452D" w:rsidP="0026452D">
      <w:pPr>
        <w:pStyle w:val="TextoNormal"/>
      </w:pPr>
    </w:p>
    <w:p w:rsidR="0026452D" w:rsidRDefault="0026452D" w:rsidP="0026452D">
      <w:pPr>
        <w:pStyle w:val="TextoNormal"/>
      </w:pPr>
      <w:r>
        <w:t>e) El órgano judicial dictó el Auto de 22 de julio de 2011 planteando la cuestión de inconstitucionalidad en relación con, literalmente, “la disposición adicional sexta de la Ley de Cantabria 2/2011, de 4 de abril, por la que se modifica la Ley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Todo ello en relación con los arts. 24.1, 106.1, 117 y 118 del texto constitucional.”</w:t>
      </w:r>
    </w:p>
    <w:p w:rsidR="0026452D" w:rsidRDefault="0026452D" w:rsidP="0026452D">
      <w:pPr>
        <w:pStyle w:val="TextoNormal"/>
      </w:pPr>
    </w:p>
    <w:p w:rsidR="0026452D" w:rsidRDefault="0026452D" w:rsidP="0026452D">
      <w:pPr>
        <w:pStyle w:val="TextoNormal"/>
      </w:pPr>
      <w:r w:rsidRPr="0026452D">
        <w:rPr>
          <w:rStyle w:val="NumeroAFNegritaCaracter"/>
        </w:rPr>
        <w:t>3</w:t>
      </w:r>
      <w:r>
        <w:t>. Por providencia de 28 de septiembre de 2011, el Pleno del Tribunal acordó admitir a trámite la cuestión, así como, de conformidad con lo dispuesto en el art. 10.1 c) Ley Orgánica del Tribunal Constitucional (LOTC), en la redacción dada por la Ley Orgánica 6/2007, de 24 de mayo, deferir a la Sala Segunda de este Tribunal el conocimiento de la presente cuestión.</w:t>
      </w:r>
    </w:p>
    <w:p w:rsidR="0026452D" w:rsidRDefault="0026452D" w:rsidP="0026452D">
      <w:pPr>
        <w:pStyle w:val="TextoNormal"/>
      </w:pPr>
    </w:p>
    <w:p w:rsidR="0026452D" w:rsidRDefault="0026452D" w:rsidP="0026452D">
      <w:pPr>
        <w:pStyle w:val="TextoNormal"/>
      </w:pPr>
      <w:r>
        <w:t>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0026452D" w:rsidRDefault="0026452D" w:rsidP="0026452D">
      <w:pPr>
        <w:pStyle w:val="TextoNormal"/>
      </w:pPr>
    </w:p>
    <w:p w:rsidR="0026452D" w:rsidRDefault="0026452D" w:rsidP="0026452D">
      <w:pPr>
        <w:pStyle w:val="TextoNormal"/>
      </w:pPr>
      <w:r w:rsidRPr="0026452D">
        <w:rPr>
          <w:rStyle w:val="NumeroAFNegritaCaracter"/>
        </w:rPr>
        <w:t>4</w:t>
      </w:r>
      <w:r>
        <w:t>. El Abogado del Estado formuló alegaciones el día 18 de octubre de 2011, interesando la inadmisión de la cuestión de inconstitucionalidad respecto de los apartados 1, 2, y 3 y los párrafos tercero, cuarto y sexto del apartado 4 de la disposición adicional sexta de la Ley regional 2/2011, de 25 de junio, así como la estimación de la cuestión respecto de los párrafos primero, segundo y quinto de apartado 4 y el apartado 5 de la citada disposición adicional sexta.</w:t>
      </w:r>
    </w:p>
    <w:p w:rsidR="0026452D" w:rsidRDefault="0026452D" w:rsidP="0026452D">
      <w:pPr>
        <w:pStyle w:val="TextoNormal"/>
      </w:pPr>
    </w:p>
    <w:p w:rsidR="0026452D" w:rsidRDefault="0026452D" w:rsidP="0026452D">
      <w:pPr>
        <w:pStyle w:val="TextoNormal"/>
      </w:pPr>
      <w:r>
        <w:t>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contenidos respecto de los cuales luego solicita su declaración de inconstitucionalidad, en los que centra su argumentación.</w:t>
      </w:r>
    </w:p>
    <w:p w:rsidR="0026452D" w:rsidRDefault="0026452D" w:rsidP="0026452D">
      <w:pPr>
        <w:pStyle w:val="TextoNormal"/>
      </w:pPr>
    </w:p>
    <w:p w:rsidR="0026452D" w:rsidRDefault="0026452D" w:rsidP="0026452D">
      <w:pPr>
        <w:pStyle w:val="TextoNormal"/>
      </w:pPr>
      <w:r>
        <w:t xml:space="preserve">Comienza el Abogado del Estado por no cuestionar el juicio que sobre la aplicabilidad </w:t>
      </w:r>
      <w:r w:rsidRPr="0026452D">
        <w:rPr>
          <w:i/>
        </w:rPr>
        <w:t>ratione temporis</w:t>
      </w:r>
      <w:r>
        <w:t xml:space="preserve"> de la disposición adicional 6 realiza el órgano judicial, pues, en la medida en que resulta tan razonable como la tesis contraria, ha de ser respetado tanto por las partes como por el Tribunal Constitucional. Seguidamente afirma que el núcleo de la cuestión se encuentra en el párrafo quinto del apartado 4, en el que el legislador prohíbe la ejecución del pronunciamiento demolitorio contenido en una Sentencia “firme y definitiva” mientras </w:t>
      </w:r>
      <w:r>
        <w:lastRenderedPageBreak/>
        <w:t xml:space="preserve">no se haya establecido el importe de la indemnización en el procedimiento de responsabilidad patrimonial “y se haya puesto a disposición del perjudicado”. Tal precepto, además de estar en contradicción con lo dispuesto en los arts. 18.2 de la Ley Orgánica del Poder Judicial (LOPJ) y 105 de la Ley reguladora de la jurisdicción contencioso-administrativa (LJCA),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w:t>
      </w:r>
      <w:r w:rsidRPr="0026452D">
        <w:rPr>
          <w:i/>
        </w:rPr>
        <w:t>sine die</w:t>
      </w:r>
      <w:r>
        <w:t xml:space="preserv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0026452D" w:rsidRDefault="0026452D" w:rsidP="0026452D">
      <w:pPr>
        <w:pStyle w:val="TextoNormal"/>
      </w:pPr>
    </w:p>
    <w:p w:rsidR="0026452D" w:rsidRDefault="0026452D" w:rsidP="0026452D">
      <w:pPr>
        <w:pStyle w:val="TextoNormal"/>
      </w:pPr>
      <w: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básicas estatales. Pero este no es el caso de la norma regional cuestionada, puesto que el hecho generador de la responsabilidad está recogido en la norma estatal general y sectorial [arts. 142 de la Ley 30/1992, de 26 de noviembre, de régimen jurídico de las Administraciones públicas y del procedimiento administrativo común (LPC), 35 d) del texto refundido de la Ley del suelo y 44.2 de la Ley 6/1998, de 13 de abril, sobre régimen del suelo y valoraciones], sino que la inconstitucionalidad vendría como consecuencia de separarse el legislador autonómico de la regulación de uno de los elementos esenciales de la responsabilidad establecido en la norma estatal, cual es el requisito de que el daño sea efectivo. Al permitir que se indemnice antes de que se produzca la demolición efectiva se están indemnizando daños no actuales sino futuros, separándose así de la regla establecida en el art. 139.2 LPC con carácter básico al amparo de la competencia exclusiva del estado </w:t>
      </w:r>
      <w:r w:rsidRPr="0026452D">
        <w:rPr>
          <w:i/>
        </w:rPr>
        <w:t>ex</w:t>
      </w:r>
      <w:r>
        <w:t xml:space="preserve"> art. 149.1.18 CE.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presentado en el Registro General de este Tribunal el día 31 de octubre de 2011, el Letrado de los servicios jurídicos del Gobierno de Cantabria, formuló alegaciones interesando la desestimación de la cuestión de inconstitucionalidad. Tras recordar, sirviéndose de la reproducción parcial de la exposición de motivos de la ley impugnada, que la ley trata de resolver la afectación de terceros adquirentes por la ejecución de resoluciones judiciales y administrativas que lleven consigo la demolición de viviendas —problema social y jurídico que ha sido objeto de atención por las instituciones europeas—, aborda el análisis de los dos motivos de inconstitucionalidad suscitados en el auto de planteamiento de la cuestión de inconstitucionalidad.</w:t>
      </w:r>
    </w:p>
    <w:p w:rsidR="0026452D" w:rsidRDefault="0026452D" w:rsidP="0026452D">
      <w:pPr>
        <w:pStyle w:val="TextoNormal"/>
      </w:pPr>
    </w:p>
    <w:p w:rsidR="0026452D" w:rsidRDefault="0026452D" w:rsidP="0026452D">
      <w:pPr>
        <w:pStyle w:val="TextoNormal"/>
      </w:pPr>
      <w:r>
        <w:t xml:space="preserve">Rechaza en primer lugar que la norma impugnada suponga la invasión de la competencia estatal en materia de ejecución procesal </w:t>
      </w:r>
      <w:r w:rsidRPr="0026452D">
        <w:rPr>
          <w:i/>
        </w:rPr>
        <w:t>ex</w:t>
      </w:r>
      <w:r>
        <w:t xml:space="preserve">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6,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0026452D" w:rsidRDefault="0026452D" w:rsidP="0026452D">
      <w:pPr>
        <w:pStyle w:val="TextoNormal"/>
      </w:pPr>
    </w:p>
    <w:p w:rsidR="0026452D" w:rsidRDefault="0026452D" w:rsidP="0026452D">
      <w:pPr>
        <w:pStyle w:val="TextoNormal"/>
      </w:pPr>
      <w:r>
        <w:t>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especialmente, especialidades procedimentales derivadas de su organización propia que tienen cobertura en el art. 24, aparados 1, 3 y 22; así como en el art. 35, apartado 3, del Estatuto de Autonomía de Cantabria. El órgano judicial sigue manteniendo el control de la ejecución y a él compete la adopción de las medidas tendentes a la ejecución del fallo, sin que la obligación de tramitar el expediente de responsabilidad interfiera en las facultades de aquél, sino que se orienta a un rápido resarcimiento del perjudicado por la actuación administrativa declarada ilegal.</w:t>
      </w:r>
    </w:p>
    <w:p w:rsidR="0026452D" w:rsidRDefault="0026452D" w:rsidP="0026452D">
      <w:pPr>
        <w:pStyle w:val="TextoNormal"/>
      </w:pPr>
    </w:p>
    <w:p w:rsidR="0026452D" w:rsidRDefault="0026452D" w:rsidP="0026452D">
      <w:pPr>
        <w:pStyle w:val="TextoNormal"/>
      </w:pPr>
      <w:r>
        <w:t>Rebate también el Gobierno de Cantabria que la norma cuestionada vulnere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 En apoyo de su tesis establece un paralelismo con la doctrina constitucional en materia de expropiación forzosa (STC 37/1987, de 26 de marzo), materia en la cual el Tribunal Constitucional ha admitido la posibilidad de que las Comunidades Autónomas establezcan nuevos supuestos expropiatorios, y la STC 164/2001, de 11 de julio, en el que también se admite la regulación autonómica de nuevos supuestos indemnizatorios en materia de responsabilidad administrativa urbanística.</w:t>
      </w:r>
    </w:p>
    <w:p w:rsidR="0026452D" w:rsidRDefault="0026452D" w:rsidP="0026452D">
      <w:pPr>
        <w:pStyle w:val="TextoNormal"/>
      </w:pPr>
    </w:p>
    <w:p w:rsidR="0026452D" w:rsidRDefault="0026452D" w:rsidP="0026452D">
      <w:pPr>
        <w:pStyle w:val="TextoNormal"/>
      </w:pPr>
      <w:r>
        <w:t xml:space="preserve">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w:t>
      </w:r>
      <w:r>
        <w:lastRenderedPageBreak/>
        <w:t>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Mediante escrito presentado en el Registro General de este Tribunal el día 31 de octubre de 2011,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w:t>
      </w:r>
      <w:r w:rsidRPr="0026452D">
        <w:rPr>
          <w:i/>
        </w:rPr>
        <w:t>sine die</w:t>
      </w:r>
      <w:r>
        <w:t>, pues el procedimiento de responsabilidad tiene una duración máxima prevista de seis meses, sin que se incida por ello en la legislación procesal.</w:t>
      </w:r>
    </w:p>
    <w:p w:rsidR="0026452D" w:rsidRDefault="0026452D" w:rsidP="0026452D">
      <w:pPr>
        <w:pStyle w:val="TextoNormal"/>
      </w:pPr>
    </w:p>
    <w:p w:rsidR="0026452D" w:rsidRDefault="0026452D" w:rsidP="0026452D">
      <w:pPr>
        <w:pStyle w:val="TextoNormal"/>
      </w:pPr>
      <w:r>
        <w:t>Se aduce también que los reproches de inconstitucionalidad sólo pueden entenderse referidos al párrafo sexto del apartado 4 de la disposición adicional sexta, único al que se refiere la argumentación de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0026452D" w:rsidRDefault="0026452D" w:rsidP="0026452D">
      <w:pPr>
        <w:pStyle w:val="TextoNormal"/>
      </w:pPr>
    </w:p>
    <w:p w:rsidR="0026452D" w:rsidRDefault="0026452D" w:rsidP="0026452D">
      <w:pPr>
        <w:pStyle w:val="TextoNormal"/>
      </w:pPr>
      <w:r>
        <w:t>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de que tratamos en la ordenación de las consecuencias indemnizatorias previstas en el art. 122.2 CE para funcionamiento normal o anormal de los servicios públicos, en este caso aquellos que han dado origen a que una Sentencia declare la ilegalidad de una edificación y sea obligadas su demolición. Finalmente, también encuentra cobertura constitucional la norma impugnada en la potestad de establecer los procedimientos admirativos adecuados para el ejercicio de sus competencias, siempre que se respeten las reglas básicas establecidas por el Estado. En este caso la Ley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especialidades de la Comunidad Autónoma.</w:t>
      </w:r>
    </w:p>
    <w:p w:rsidR="0026452D" w:rsidRDefault="0026452D" w:rsidP="0026452D">
      <w:pPr>
        <w:pStyle w:val="TextoNormal"/>
      </w:pPr>
    </w:p>
    <w:p w:rsidR="0026452D" w:rsidRDefault="0026452D" w:rsidP="0026452D">
      <w:pPr>
        <w:pStyle w:val="TextoNormal"/>
      </w:pPr>
      <w:r>
        <w:t>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evaluable económicamente ya antes del derribo material de la edificación.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0026452D" w:rsidRDefault="0026452D" w:rsidP="0026452D">
      <w:pPr>
        <w:pStyle w:val="TextoNormal"/>
      </w:pPr>
    </w:p>
    <w:p w:rsidR="0026452D" w:rsidRDefault="0026452D" w:rsidP="0026452D">
      <w:pPr>
        <w:pStyle w:val="TextoNormal"/>
      </w:pPr>
      <w:r w:rsidRPr="0026452D">
        <w:rPr>
          <w:rStyle w:val="NumeroAFNegritaCaracter"/>
        </w:rPr>
        <w:t>7</w:t>
      </w:r>
      <w:r>
        <w:t>. El Fiscal General del Estado formuló alegaciones mediante escrito presentado el día 4 de noviembre de 2011. Tras detallar el curso del proceso del que esta cuestión de inconstitucionalidad dimana, recoge sucintamente los motivos en los que el órgano judicial funda la inconstitucionalidad de la norma legal, así como las alegaciones que en torno a esta cuestión se vertieron ante el órgano judicial proponente, y precisa que aunque la duda de constitucionalidad se dirige formalmente contra la totalidad de las disposición adicional sexta, en realidad la duda se centra en los apartados 4 y 5 de dicha disposición.</w:t>
      </w:r>
    </w:p>
    <w:p w:rsidR="0026452D" w:rsidRDefault="0026452D" w:rsidP="0026452D">
      <w:pPr>
        <w:pStyle w:val="TextoNormal"/>
      </w:pPr>
    </w:p>
    <w:p w:rsidR="0026452D" w:rsidRDefault="0026452D" w:rsidP="0026452D">
      <w:pPr>
        <w:pStyle w:val="TextoNormal"/>
      </w:pPr>
      <w:r>
        <w:t xml:space="preserve">Comienza el Fiscal por señalar que la duda se suscita con ocasión de tener que resolver el órgano judicial la solicitud de paralización de la ejecución de Sentencia en cuanto a la demolición de las obras ejecutadas al amparo de la licencia anulada en el proceso </w:t>
      </w:r>
      <w:r w:rsidRPr="0026452D">
        <w:rPr>
          <w:i/>
        </w:rPr>
        <w:t>a quo</w:t>
      </w:r>
      <w:r>
        <w:t>. De ahí que sólo el párrafo 5 del apartado 4 de la disposición adicional sexta pueda entenderse relevante para la decisión judicial a adoptar, sin que, por el contrario, lo sean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sino tan sólo sobre si resulta o no procedente la suspensión de la ejecución de la Sentencia en tanto se sustancia ante la Administración el aludido expediente de responsabilidad patrimonial. Propone por ello la inadmisión parcial de la cuestión en el sentido acabado de aludir.</w:t>
      </w:r>
    </w:p>
    <w:p w:rsidR="0026452D" w:rsidRDefault="0026452D" w:rsidP="0026452D">
      <w:pPr>
        <w:pStyle w:val="TextoNormal"/>
      </w:pPr>
    </w:p>
    <w:p w:rsidR="0026452D" w:rsidRDefault="0026452D" w:rsidP="0026452D">
      <w:pPr>
        <w:pStyle w:val="TextoNormal"/>
      </w:pPr>
      <w:r>
        <w:t>Enmarca seguidamente la cuestión suscitada en la problemática surgida como consecuencia de la edificación extensiva en la costa española, la cual ha dado lugar a diversas iniciativas europeas sobre la cuestión así como a una profusa jurisprudencia del Tribunal Supremo que niega que frente a las vulneraciones de la legalidad urbanística en la construcción de viviendas puedan sus adquirentes oponer su condición de tercero hipotecario en relación con la demolición de las viviendas. Es en este contexto en el que sitúa la norma autonómica cuestionada, pues su dictado respondió a la encomienda del Parlamento de Cantabria para que el Gobierno regional impulsase las modificaciones normativas necesarias para que quienes hubieran de soportar la demolición de sus viviendas en ejecución de resoluciones judiciales, percibieran previamente la indemnización que les correspondiese.</w:t>
      </w:r>
    </w:p>
    <w:p w:rsidR="0026452D" w:rsidRDefault="0026452D" w:rsidP="0026452D">
      <w:pPr>
        <w:pStyle w:val="TextoNormal"/>
      </w:pPr>
    </w:p>
    <w:p w:rsidR="0026452D" w:rsidRDefault="0026452D" w:rsidP="0026452D">
      <w:pPr>
        <w:pStyle w:val="TextoNormal"/>
      </w:pPr>
      <w:r>
        <w:t xml:space="preserve">Por lo que se refiere a las competencias autonómicas que sustentan la norma cuestionada, afirma el Fiscal que la indudable competencia exclusiva de la Comunidad Autónoma en </w:t>
      </w:r>
      <w:r>
        <w:lastRenderedPageBreak/>
        <w:t>materia de urbanismo no excluye la competencia estatal en materia de responsabilidad patrimonial de la Administración. Y tampoco las competencias sobre funcionamiento de sus instituciones de autogobierno y sobre el procedimiento administrativo derivado de las especialidades de la organización propia a que se refieren los apartados 1 y 32 del art. 2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0026452D" w:rsidRDefault="0026452D" w:rsidP="0026452D">
      <w:pPr>
        <w:pStyle w:val="TextoNormal"/>
      </w:pPr>
    </w:p>
    <w:p w:rsidR="0026452D" w:rsidRDefault="0026452D" w:rsidP="0026452D">
      <w:pPr>
        <w:pStyle w:val="TextoNormal"/>
      </w:pPr>
      <w:r>
        <w:t xml:space="preserve">Seguidamente recuerda el Ministerio Fiscal cuáles han sido los criterios seguidos por la doctrina constitucional para enjuiciar la competencia autonómica para establecer especialidades procesales </w:t>
      </w:r>
      <w:r w:rsidRPr="0026452D">
        <w:rPr>
          <w:i/>
        </w:rPr>
        <w:t>ex</w:t>
      </w:r>
      <w:r>
        <w:t xml:space="preserve">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de Autonomía como el de Cataluña o el de Galicia.</w:t>
      </w:r>
    </w:p>
    <w:p w:rsidR="0026452D" w:rsidRDefault="0026452D" w:rsidP="0026452D">
      <w:pPr>
        <w:pStyle w:val="TextoNormal"/>
      </w:pPr>
    </w:p>
    <w:p w:rsidR="0026452D" w:rsidRDefault="0026452D" w:rsidP="0026452D">
      <w:pPr>
        <w:pStyle w:val="TextoNormal"/>
      </w:pPr>
      <w: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se haya establecido, en su caso, el importe de la indemnización y se haya puesto a disposición del perjudicado, está disponiendo la paralización —probablemente </w:t>
      </w:r>
      <w:r w:rsidRPr="0026452D">
        <w:rPr>
          <w:i/>
        </w:rPr>
        <w:t>sine die</w:t>
      </w:r>
      <w:r>
        <w:t>—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18 de abril de 2013 se señaló para deliberación y votación de la presente Sentencia el día 22 de dicho mes y año.</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En este proceso constitucional ha de decidirse la duda de constitucionalidad suscitada por la Sala de lo Contencioso-administrativo del Tribunal Superior de Justicia de Cantabria en relación con la disposición adicional sexta de la Ley 2/2001, de 25 de junio, de ordenación territorial y del régimen urbanístico del suelo introducida por el art. 2 de la Ley de Cantabria 2/2011, de 4 de abril, que el referido órgano judicial considera contraria a los arts. 149.1.6 y 149.1.18 CE en relación con los arts. 9.3, 24.1, 106.1, 117 y 118 CE.</w:t>
      </w:r>
    </w:p>
    <w:p w:rsidR="0026452D" w:rsidRDefault="0026452D" w:rsidP="0026452D">
      <w:pPr>
        <w:pStyle w:val="TextoNormal"/>
      </w:pPr>
    </w:p>
    <w:p w:rsidR="0026452D" w:rsidRDefault="0026452D" w:rsidP="0026452D">
      <w:pPr>
        <w:pStyle w:val="TextoNormal"/>
      </w:pPr>
      <w:r>
        <w:t>El precepto legal cuestionado dice así:</w:t>
      </w:r>
    </w:p>
    <w:p w:rsidR="0026452D" w:rsidRDefault="0026452D" w:rsidP="0026452D">
      <w:pPr>
        <w:pStyle w:val="TextoNormal"/>
      </w:pPr>
    </w:p>
    <w:p w:rsidR="0026452D" w:rsidRDefault="0026452D" w:rsidP="0026452D">
      <w:pPr>
        <w:pStyle w:val="TextoNormal"/>
      </w:pPr>
      <w:r>
        <w:t>“Disposición adicional sexta. Tramitación de los expedientes en materia responsabilidad patrimonial derivada de actuaciones en materia urbanística</w:t>
      </w:r>
    </w:p>
    <w:p w:rsidR="0026452D" w:rsidRDefault="0026452D" w:rsidP="0026452D">
      <w:pPr>
        <w:pStyle w:val="TextoNormal"/>
      </w:pPr>
    </w:p>
    <w:p w:rsidR="0026452D" w:rsidRDefault="0026452D" w:rsidP="0026452D">
      <w:pPr>
        <w:pStyle w:val="TextoNormal"/>
      </w:pPr>
      <w:r>
        <w:t>1. En los términos de la legislación estatal, los particulares tendrán derecho a ser indemnizados por las Administraciones Públicas de la Comunidad Autónoma de Cantabria de toda lesión que sufran como consecuencia del funcionamiento normal o anormal de los servicios públicos en materia urbanística.</w:t>
      </w:r>
    </w:p>
    <w:p w:rsidR="0026452D" w:rsidRDefault="0026452D" w:rsidP="0026452D">
      <w:pPr>
        <w:pStyle w:val="TextoNormal"/>
      </w:pPr>
    </w:p>
    <w:p w:rsidR="0026452D" w:rsidRDefault="0026452D" w:rsidP="0026452D">
      <w:pPr>
        <w:pStyle w:val="TextoNormal"/>
      </w:pPr>
      <w:r>
        <w:t>2. En el supuesto de concurrencia de varias Administraciones Públicas en la producción del daño, se articularán mecanismos de coordinación a fin de procurar que por acuerdo entre las mismas se fije la cuantía y modalidades de la indemnización, así como el porcentaje de responsabilidad de cada una atendiendo al grado de participación en la actuación de la que se derive el daño.</w:t>
      </w:r>
    </w:p>
    <w:p w:rsidR="0026452D" w:rsidRDefault="0026452D" w:rsidP="0026452D">
      <w:pPr>
        <w:pStyle w:val="TextoNormal"/>
      </w:pPr>
    </w:p>
    <w:p w:rsidR="0026452D" w:rsidRDefault="0026452D" w:rsidP="0026452D">
      <w:pPr>
        <w:pStyle w:val="TextoNormal"/>
      </w:pPr>
      <w:r>
        <w:t>3. A los efectos de lo dispuesto en el apartado anterior, la Administración que tramite un expediente de responsabilidad patrimonial, tan pronto advierta que en la producción del daño pudiera estar implicada otra Administración, deberá comunicárselo a ésta, poniéndole el expediente de manifiesto con exposición razonada de los motivos en que se pudiera amparar su eventual responsabilidad. Esta decisión se comunicará igualmente a los interesados y podrá determinar la suspensión del plazo para resolver de conformidad con lo establecido en el artículo 42.5.e de la Ley 30/1992, de 26 de noviembre, de Régimen Jurídico de las Administraciones Públicas y del Procedimiento Administrativo Común.</w:t>
      </w:r>
    </w:p>
    <w:p w:rsidR="0026452D" w:rsidRDefault="0026452D" w:rsidP="0026452D">
      <w:pPr>
        <w:pStyle w:val="TextoNormal"/>
      </w:pPr>
    </w:p>
    <w:p w:rsidR="0026452D" w:rsidRDefault="0026452D" w:rsidP="0026452D">
      <w:pPr>
        <w:pStyle w:val="TextoNormal"/>
      </w:pPr>
      <w:r>
        <w:t>4. Cuando la lesión se produzca como consecuencia de actuaciones administrativas declaradas ilegales que determinen el derribo de edificaciones, se deberá iniciar el procedimiento, de oficio o a instancia de parte, desde el momento en que se tenga conocimiento fehaciente de la existencia de una resolución judicial o administrativa, firme y definitiva, que establezca la obligación de derribar.</w:t>
      </w:r>
    </w:p>
    <w:p w:rsidR="0026452D" w:rsidRDefault="0026452D" w:rsidP="0026452D">
      <w:pPr>
        <w:pStyle w:val="TextoNormal"/>
      </w:pPr>
    </w:p>
    <w:p w:rsidR="0026452D" w:rsidRDefault="0026452D" w:rsidP="0026452D">
      <w:pPr>
        <w:pStyle w:val="TextoNormal"/>
      </w:pPr>
      <w:r>
        <w:t>Se podrá establecer la cuantía aun antes de la efectiva demolición de los inmuebles, aunque en este caso la efectividad de la indemnización quedará condicionada a la puesta a disposición del inmueble a favor de la Administración obligada a materializar el derribo.</w:t>
      </w:r>
    </w:p>
    <w:p w:rsidR="0026452D" w:rsidRDefault="0026452D" w:rsidP="0026452D">
      <w:pPr>
        <w:pStyle w:val="TextoNormal"/>
      </w:pPr>
    </w:p>
    <w:p w:rsidR="0026452D" w:rsidRDefault="0026452D" w:rsidP="0026452D">
      <w:pPr>
        <w:pStyle w:val="TextoNormal"/>
      </w:pPr>
      <w:r>
        <w:t>El procedimiento para determinar la responsabilidad y su cuantía deberá finalizar y, en su caso, establecer el importe a indemnizar en el plazo de seis meses desde su inicio, en la forma que determina la normativa sobre responsabilidad patrimonial de la Administración.</w:t>
      </w:r>
    </w:p>
    <w:p w:rsidR="0026452D" w:rsidRDefault="0026452D" w:rsidP="0026452D">
      <w:pPr>
        <w:pStyle w:val="TextoNormal"/>
      </w:pPr>
    </w:p>
    <w:p w:rsidR="0026452D" w:rsidRDefault="0026452D" w:rsidP="0026452D">
      <w:pPr>
        <w:pStyle w:val="TextoNormal"/>
      </w:pPr>
      <w:r>
        <w:lastRenderedPageBreak/>
        <w:t>En el plazo de tres meses desde la finalización del procedimiento de determinación de la responsabilidad y de su cuantía, la Administración deberá poner a disposición del perjudicado la cantidad establecida.</w:t>
      </w:r>
    </w:p>
    <w:p w:rsidR="0026452D" w:rsidRDefault="0026452D" w:rsidP="0026452D">
      <w:pPr>
        <w:pStyle w:val="TextoNormal"/>
      </w:pPr>
    </w:p>
    <w:p w:rsidR="0026452D" w:rsidRDefault="0026452D" w:rsidP="0026452D">
      <w:pPr>
        <w:pStyle w:val="TextoNormal"/>
      </w:pPr>
      <w:r>
        <w:t>Sólo se podrá proceder a la demolición cuando haya finalizado el procedimiento de determinación de la responsabilidad patrimonial, se haya establecido en su caso el importe de indemnización y se haya puesto éste a disposición del perjudicado.</w:t>
      </w:r>
    </w:p>
    <w:p w:rsidR="0026452D" w:rsidRDefault="0026452D" w:rsidP="0026452D">
      <w:pPr>
        <w:pStyle w:val="TextoNormal"/>
      </w:pPr>
    </w:p>
    <w:p w:rsidR="0026452D" w:rsidRDefault="0026452D" w:rsidP="0026452D">
      <w:pPr>
        <w:pStyle w:val="TextoNormal"/>
      </w:pPr>
      <w:r>
        <w:t>En todo caso, el Gobierno de Cantabria adoptará todas las medidas precisas para impedir que, como consecuencia de una sentencia que ordene la demolición de una vivienda que constituya el domicilio habitual de un propietario de buena fe, se produzcan situaciones de desamparo, procurando los medios materiales para su realojo provisional inmediato y su traslado.</w:t>
      </w:r>
    </w:p>
    <w:p w:rsidR="0026452D" w:rsidRDefault="0026452D" w:rsidP="0026452D">
      <w:pPr>
        <w:pStyle w:val="TextoNormal"/>
      </w:pPr>
    </w:p>
    <w:p w:rsidR="0026452D" w:rsidRDefault="0026452D" w:rsidP="0026452D">
      <w:pPr>
        <w:pStyle w:val="TextoNormal"/>
      </w:pPr>
      <w:r>
        <w:t>5. La Administración que tramite un expediente de responsabilidad patrimonial que tenga por objeto una lesión producida como consecuencia de actuaciones administrativas declaradas ilegales que determinen el derribo de edificaciones, deberá comunicar el inicio de la sustanciación de dicho expediente al órgano judicial encargado de la ejecución de la sentencia.”</w:t>
      </w:r>
    </w:p>
    <w:p w:rsidR="0026452D" w:rsidRDefault="0026452D" w:rsidP="0026452D">
      <w:pPr>
        <w:pStyle w:val="TextoNormal"/>
      </w:pPr>
    </w:p>
    <w:p w:rsidR="0026452D" w:rsidRDefault="0026452D" w:rsidP="0026452D">
      <w:pPr>
        <w:pStyle w:val="TextoNormal"/>
      </w:pPr>
      <w:r>
        <w:t>Tanto el Parlamento de Cantabria como el Gobierno de dicha Comunidad Autónoma interesan la desestimación de la cuestión de inconstitucionalidad, mientras que el Abogado del Estado solicita la estimación y consiguiente declaración de inconstitucionalidad respecto de los párrafos primero, segundo y quinto de apartado 4 y el apartado 5 de la citada disposición adicional sexta, inadmitiendo la cuestión en relación con el resto de la disposición adicional objeto de este proceso constitucional. Por su parte el Ministerio Fiscal solicita la estimación parcial de la cuestión, considerando inconstitucional el párrafo 5 del apartado 4 de la referida disposición adicional sexta.</w:t>
      </w:r>
    </w:p>
    <w:p w:rsidR="0026452D" w:rsidRDefault="0026452D" w:rsidP="0026452D">
      <w:pPr>
        <w:pStyle w:val="TextoNormal"/>
      </w:pPr>
    </w:p>
    <w:p w:rsidR="0026452D" w:rsidRDefault="0026452D" w:rsidP="0026452D">
      <w:pPr>
        <w:pStyle w:val="TextoNormal"/>
      </w:pPr>
      <w:r w:rsidRPr="0026452D">
        <w:rPr>
          <w:rStyle w:val="NumeroAFNegritaCaracter"/>
        </w:rPr>
        <w:t>2</w:t>
      </w:r>
      <w:r>
        <w:t>. Para centrar correctamente el objeto de nuestro enjuiciamiento hemos de poner de manifiesto que, tal como con mayor extensión se ha reflejado en los antecedentes de esta Sentencia, la cuestión de inconstitucionalidad se suscita en el seno de la ejecución de una Sentencia por la que se había declarado la nulidad de la licencia concedida para la construcción de cinco viviendas unifamiliares aisladas en el término municipal de Argoños, proceso de ejecución en el que se acordó la demolición de las edificaciones. Tras los sucesivos requerimientos efectuados al Ayuntamiento desde el año 2004 para que demoliese las edificaciones y la designación de una empresa que por sustitución de la Administración demandada la llevase a efecto mediante Auto de 19 de febrero de 2010, el Ayuntamiento de Argoños solicitó la paralización de los derribos de las cinco viviendas en tanto que, en aplicación de la disposición adicional sexta cuya constitucionalidad se cuestiona, se resolviese el expediente de responsabilidad patrimonial incoado de oficio por el Ayuntamiento y se ponía a disposición de los propietarios de las viviendas el importe de la indemnización que se reconociese. Es en trance de resolver esta solicitud cuando se plantea la presente cuestión de inconstitucionalidad.</w:t>
      </w:r>
    </w:p>
    <w:p w:rsidR="0026452D" w:rsidRDefault="0026452D" w:rsidP="0026452D">
      <w:pPr>
        <w:pStyle w:val="TextoNormal"/>
      </w:pPr>
    </w:p>
    <w:p w:rsidR="0026452D" w:rsidRDefault="0026452D" w:rsidP="0026452D">
      <w:pPr>
        <w:pStyle w:val="TextoNormal"/>
      </w:pPr>
      <w:r>
        <w:t xml:space="preserve">En este contexto procesal, dos son los reproches de inconstitucionalidad que, sucintamente expuestos, formula el órgano judicial frente a la disposición adicional sexta cuestionada. En primer lugar, que en ella se introduce una causa de suspensión de la ejecución </w:t>
      </w:r>
      <w:r>
        <w:lastRenderedPageBreak/>
        <w:t>judicial de las Sentencias que llevan aparejada la demolición de obras declaradas ilegales, lo que vulneraría la competencia estatal exclusiva en materia de legislación procesal —art. 149.1.6 CE—; y, en segundo lugar, que la norma autonómica establece un supuesto de responsabilidad patrimonial en el que el daño indemnizable no es efectivo sino eventual, regulando así un elemento básico del sistema de responsabilidad patrimonial de las Administraciones públicas que le está constitucionalmente vedado por reservado al Estado a tenor de lo dispuesto en el art. 149.1.18 CE.</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Tanto el Abogado del Estado como el Ministerio Fiscal, únicas partes que apoyan la tesis de órgano judicial proponente, coinciden en que pese a que se cuestiona la totalidad de la disposición adicional sexta, en realidad la duda se ciñe a lo dispuesto en sus apartados 4 y 5. Ahora bien, así como el Abogado del Estado considera que se vulnera la competencia exclusiva estatal para la regulación de las bases del sistema de responsabilidad de las Administraciones públicas (art. 149.1.18 CE) al admitir que la generación de la responsabilidad patrimonial sea producida por una lesión no efectiva sino hipotética y futura (que sólo devendría efectiva cuando la demolición de las edificaciones se materializase), el Ministerio Fiscal rechaza que haya de abordarse si la norma cuestionada entra o no en contradicción con la norma estatal básica reguladora de la responsabilidad patrimonial administrativa, y, en consecuencia, si se vulnera o no la competencia estatal exclusiva que en esta materia se reserva al Estado en el art. 149.1.18 CE. Precisa el Ministerio Fiscal que el órgano judicial no ha de resolver en el proceso </w:t>
      </w:r>
      <w:r w:rsidRPr="0026452D">
        <w:rPr>
          <w:i/>
        </w:rPr>
        <w:t>a quo</w:t>
      </w:r>
      <w:r>
        <w:t xml:space="preserve"> cuestión alguna sobre la responsabilidad patrimonial, sino que, tal como acabamos de precisar, lo único que ha de resolver es si resulta procedente o no la suspensión de la ejecución de la Sentencia en cuanto a la demolición de las viviendas concernidas, y para tal decisión tan sólo resulta relevante y determinante el párrafo 5 del apartado 4 de las disposición adicional sexta de tan constante cita.</w:t>
      </w:r>
    </w:p>
    <w:p w:rsidR="0026452D" w:rsidRDefault="0026452D" w:rsidP="0026452D">
      <w:pPr>
        <w:pStyle w:val="TextoNormal"/>
      </w:pPr>
    </w:p>
    <w:p w:rsidR="0026452D" w:rsidRDefault="0026452D" w:rsidP="0026452D">
      <w:pPr>
        <w:pStyle w:val="TextoNormal"/>
      </w:pPr>
      <w:r>
        <w:t xml:space="preserve">Pues bien, asiste la razón al Ministerio Fiscal cuando propone que nuestro enjuiciamiento ha de ceñirse al párrafo 5 del apartado cuarto mencionados, pues, en efecto, la cuestión de inconstitucional se configura como un instrumento para hacer compatible la doble sujeción del Juez ordinario a la ley y a la Constitución en el marco de un proceso concreto y específico (últimamente, STC 27/2012, de 1 de marzo). Se ha aludido así al carácter concreto del enjuiciamiento constitucional que se realiza a través de la cuestión de inconstitucionalidad por la conexión de este con la norma legal que el Juez ha de aplicar para resolver el proceso </w:t>
      </w:r>
      <w:r w:rsidRPr="0026452D">
        <w:rPr>
          <w:i/>
        </w:rPr>
        <w:t>a quo</w:t>
      </w:r>
      <w:r>
        <w:t xml:space="preserve"> (STC 42/2013, de 14 de febrero). Bien entendido que una vez cumplida la exigencia de que la norma cuestionada sea aplicable al caso, relevante y determinante para su resolución, el juicio de contraste con la Constitución es tan abstracto como en el recurso de inconstitucionalidad (STC 224/2006, de 6 de julio, FJ 5). En el presente caso, a la Sala de lo Contencioso-Administrativo se le plantea la duda de constitucionalidad al tener que resolver sobre la solicitud de paralización de la demolición de viviendas acordada en la fase de ejecución de Sentencia, pero sin que para adoptar tal decisión tenga que pronunciarse sobre la procedencia de declarar la responsabilidad patrimonial de la Administración con una configuración de un elemento esencial de la misma pretendidamente disímil a como es regulado por la norma estatal básica. Consecuentemente, ningún pronunciamiento ha de realizar este Tribunal en relación con la parte del precepto legal autonómico al que se reprocha esta vulneración de la Constitución, so pena de desnaturalizar la conexión entre el proceso constitucional y el judicial que es propia de la cuestión de inconstitucionalidad. Si bien, atendido el carácter global con el que cuestiona la disposición adicional sexta, no resulta procedente </w:t>
      </w:r>
      <w:r>
        <w:lastRenderedPageBreak/>
        <w:t>tanto la inadmisión parcial de la cuestión de inconstitucionalidad como la precisión del objeto de nuestro enjuiciamiento: el párrafo 5 del apartado cuarto de la disposición adicional cuestionada, así como, por la conexión existente entre ambos, el apartado quinto.</w:t>
      </w:r>
    </w:p>
    <w:p w:rsidR="0026452D" w:rsidRDefault="0026452D" w:rsidP="0026452D">
      <w:pPr>
        <w:pStyle w:val="TextoNormal"/>
      </w:pPr>
    </w:p>
    <w:p w:rsidR="0026452D" w:rsidRDefault="0026452D" w:rsidP="0026452D">
      <w:pPr>
        <w:pStyle w:val="TextoNormal"/>
      </w:pPr>
      <w:r w:rsidRPr="0026452D">
        <w:rPr>
          <w:rStyle w:val="NumeroAFNegritaCaracter"/>
        </w:rPr>
        <w:t>4</w:t>
      </w:r>
      <w:r>
        <w:t>. Centrada la cuestión a resolver en la pretendida vulneración de la competencia estatal exclusiva sobre legislación procesal (art. 149.1.6 CE) por el párrafo 5 del apartado cuarto de la disposición adicional sexta cuestionada por el Tribunal Superior de Justicia  de Cantabria, bueno será recordar la doctrina constitucional sobre el reparto competencial en esta materia, últimamente recogida en la STC 21/2012, de 16 de febrero. En ella, sirviéndonos de la STC 47/2004, de 25 de marzo, la resumíamos en los siguientes términos: “en primer lugar, que la atribución al Estado de la competencia exclusiva sobre legislación procesal responde a la necesidad de salvaguardar la uniformidad de los instrumentos jurisdiccionales [SSTC 71/1982, de 30 de noviembre, FJ 20; 83/1986, de 26 de junio, FJ 2; 173/1998, de 23 de julio, FJ 16 c)]; en segundo lugar, que la competencia asumida por las Comunidades Autónomas al amparo de la salvedad recogida en el art.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 149.1.6 CE, sino que, como indica la expresión ‘necesarias especialidades’ del citado precepto constitucional, tan sólo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aquéllas que, por la conexión directa con las particularidades del Derecho sustantivo autonómico, vengan requeridas por éstas (SSTC 71/1982, de 30 de noviembre, FJ 20; 83/1986, de 26 de junio, FJ 2; 121/1992, de 28 de septiembre, FJ 4; 127/1999, de 1 de julio, FJ 5), correspondiendo al legislador autonómico o, en su defecto, a quienes asuman la defensa de la ley en su caso impugnada, ofrecer la suficiente justificación sobre la necesidad de alterar las reglas procesales comúnmente aplicables por venir requeridas por las particularidades del Derecho sustantivo autonómico, salvo que del propio examen de la Ley se puedan desprender o inferir esas ‘necesarias especialidades’ (STC 127/1999, de 1 de julio, FJ 5).” [STC 47/2004, de 25 de marzo, FJ 4; doctrina reiterada en las SSTC 243/2004, de 16 de diciembre, FJ 6, y 135/2006, de 27 de abril, FJ 2 e)].</w:t>
      </w:r>
    </w:p>
    <w:p w:rsidR="0026452D" w:rsidRDefault="0026452D" w:rsidP="0026452D">
      <w:pPr>
        <w:pStyle w:val="TextoNormal"/>
      </w:pPr>
    </w:p>
    <w:p w:rsidR="0026452D" w:rsidRDefault="0026452D" w:rsidP="0026452D">
      <w:pPr>
        <w:pStyle w:val="TextoNormal"/>
      </w:pPr>
      <w:r>
        <w:t xml:space="preserve">Igualmente, la referida STC 47/2004, en su fundamento jurídico 5, aporta las premisas en que ha de descansar el entendimiento de la salvedad competencial “necesarias especialidades”, señalando que la primera operación jurídica ha de ser la de determinar cuál es en este caso el Derecho sustantivo autonómico, “pues solamente a las particularidades que presente tal Derecho se les reconoce por el constituyente capacidad para justificar, en su caso, una normación autonómica específica en el orden procesal. El segundo estadio de nuestro análisis consistirá en señalar respecto de qué legislación procesal estatal, y por tanto general o común, se predican las eventuales especialidades de orden procesal incorporadas por el legislador… Finalmente, habremos de indagar si entre las peculiaridades del ordenamiento sustantivo … y las singularidades procesales incorporadas por el legislador … en la Ley impugnada, existe una conexión directa tal que justifique las especialidades procesales, es </w:t>
      </w:r>
      <w:r>
        <w:lastRenderedPageBreak/>
        <w:t>decir, que las legitime como ‘necesarias’ en los términos de la cláusula competencial del art. 149.1.6 CE, teniendo presente que la necesidad a que ésta se refiere no puede ser entendida como absoluta, pues tal intelección del precepto constitucional dejaría vacía de contenido y aplicación la habilitación competencial que éste reconoce en favor de las Comunidades Autónomas’.”</w:t>
      </w:r>
    </w:p>
    <w:p w:rsidR="0026452D" w:rsidRDefault="0026452D" w:rsidP="0026452D">
      <w:pPr>
        <w:pStyle w:val="TextoNormal"/>
      </w:pPr>
    </w:p>
    <w:p w:rsidR="0026452D" w:rsidRDefault="0026452D" w:rsidP="0026452D">
      <w:pPr>
        <w:pStyle w:val="TextoNormal"/>
      </w:pPr>
      <w:r w:rsidRPr="0026452D">
        <w:rPr>
          <w:rStyle w:val="NumeroAFNegritaCaracter"/>
        </w:rPr>
        <w:t>5</w:t>
      </w:r>
      <w:r>
        <w:t>. En el presente supuesto tanto el Parlamento como el Gobierno de Cantabria consideran que la constitucionalidad de la norma impugnada no deriva de que introduzca una especialidad material que justifique un régimen procesal singular, sino que sostienen que el legislador autonómico no ha hecho sino ordenar el procedimiento a seguir cuando en ejecución de Sentencias firmes o actos administrativos ha de demolerse una edificación, insertando en dicho procedimiento los trámites para la determinación de la responsabilidad patrimonial en que pudiera haber incurrido la Administración urbanística y su satisfacción. Se trataría por tanto de una norma que tendría cobertura constitucional en sus competencias en materia de organización administrativa, urbanismo, vivienda y asistencia y bienestar social, dejando intactas las potestades de ejecución del órgano judicial y, consecuentemente, sin constituir especialidad procesal alguna. Del mismo parecer, en cuanto a que en la disposición impugnada no se introduce especialidad material alguna, son el Abogado del Estado y el Ministerio Fiscal. El primero recuerda que el supuesto generador de la responsabilidad se encuentra ya recogido en los arts. 142 de la Ley 30/1992, de 26 de noviembre, de régimen jurídico de las Administraciones públicas y del procedimiento administrativo común; 35 d) del texto refundido de la Ley de suelo, aprobado por el Real Decreto Legislativo 2/2008, de 20 de junio, y 44.2 de la Ley 6/1998, de 13 de abril, de régimen del suelo y valoraciones; y el Ministerio Fiscal pone de relieve que, a tenor de lo dispuesto en el apartado 1 de la disposición adicional sexta, la responsabilidad patrimonial por el funcionamiento de los servicios públicos se reconoce “en los términos de la legislación estatal”.</w:t>
      </w:r>
    </w:p>
    <w:p w:rsidR="0026452D" w:rsidRDefault="0026452D" w:rsidP="0026452D">
      <w:pPr>
        <w:pStyle w:val="TextoNormal"/>
      </w:pPr>
    </w:p>
    <w:p w:rsidR="0026452D" w:rsidRDefault="0026452D" w:rsidP="0026452D">
      <w:pPr>
        <w:pStyle w:val="TextoNormal"/>
      </w:pPr>
      <w:r>
        <w:t xml:space="preserve">La respuesta que hemos de dar a la argumentación vertida para justificar la competencia autonómica para dictar la norma en cuestión ha de partir necesariamente de la constatación de que tal norma incide en la ejecución de las Sentencias que lleven aparejado el derribo de edificaciones condicionando la materialización del derribo acordado a que se tramite y resuelva el procedimiento de responsabilidad patrimonial, así como, en su caso, a que se pague la indemnización que se pudiera acordar en él. Muestra de ello es la solicitud de suspensión que ha formulado la Administración demandada en el proceso </w:t>
      </w:r>
      <w:r w:rsidRPr="0026452D">
        <w:rPr>
          <w:i/>
        </w:rPr>
        <w:t>a quo</w:t>
      </w:r>
      <w:r>
        <w:t xml:space="preserve"> y para cuya resolución se considera determinante la constitucionalidad de la norma que establece tal condicionamiento.</w:t>
      </w:r>
    </w:p>
    <w:p w:rsidR="0026452D" w:rsidRDefault="0026452D" w:rsidP="0026452D">
      <w:pPr>
        <w:pStyle w:val="TextoNormal"/>
      </w:pPr>
    </w:p>
    <w:p w:rsidR="0026452D" w:rsidRDefault="0026452D" w:rsidP="0026452D">
      <w:pPr>
        <w:pStyle w:val="TextoNormal"/>
      </w:pPr>
      <w:r>
        <w:t>Pues bien, la tesis sostenida por la Comunidad Autónoma parte de una concepción de las potestades que se encuentran en juego en la ejecución de las Sentencias judiciales que no se ajusta al modelo constitucional tal como ha sido interpretado por nuestra doctrina, pues viene a identificar la ejecución de las Sentencias como una función o potestad exclusivamente administrativa, desconociendo el sistema que se deriva de los arts. 117.3 y 118 CE, cuyo desarrollo normativo se encuentra, en lo que al orden contencioso-administrativo de la jurisdicción que ahora interesa, en los arts. 103 y ss. de la Ley 29/1998, de 13 de julio, reguladora de la jurisdicción contencioso-administrativa, y sobre el que este Tribunal ya se ha pronunciado en alguna ocasión por referencia al enfoque constitucional con el que había de ser interpretada la precedente Ley reguladora de esa jurisdicción, de 27 de diciembre de 1956.</w:t>
      </w:r>
    </w:p>
    <w:p w:rsidR="0026452D" w:rsidRDefault="0026452D" w:rsidP="0026452D">
      <w:pPr>
        <w:pStyle w:val="TextoNormal"/>
      </w:pPr>
    </w:p>
    <w:p w:rsidR="0026452D" w:rsidRDefault="0026452D" w:rsidP="0026452D">
      <w:pPr>
        <w:pStyle w:val="TextoNormal"/>
      </w:pPr>
      <w:r>
        <w:t>Así, en la temprana STC 67/1984, de 7 de junio, con ocasión de enjuiciar una denuncia de vulneración del derecho a la intangibilidad de las resoluciones judiciales firmes en el seno de una ejecución de Sentencia dictada en materia urbanística, tuvimos ocasión de pronunciarnos sobre la naturaleza de la actividad desenvuelta por la Administración al ejecutar una Sentencia del orden contencioso-administrativo. Afirmamos entonces en el fundamento jurídico 3 que una interpretación constitucionalmente conforme de la legalidad preconstitucional entonces vigente (Ley jurisdiccional de 1956) permite afirmar que “A) [E]s obligado para la Administración que hubiera dictado el acto o disposición objeto del recurso, la ejecución de la Sentencia recaída (art. 118 de la Constitución). B) [l]a ejecución de la Sentencia corresponde, en principio, al órgano que hubiere dictado el acto o disposición objeto del recurso (art. 103 de la LJCA), debiendo interpretarse esta competencia no como la atribución de una potestad, sino como la concreción del deber de cumplir lo decidido por las Sentencias y resoluciones firmes —que constituye en cada caso una obligación para la Administración—, y de prestar la colaboración requerida por los Jueces y Tribunales en sus resoluciones firmes dictadas en ejecución de Sentencias (art. 118 de la Constitución)”. Señalando más adelante en esta resolución que, cuando la Sentencia se incumpla por la Administración, el órgano judicial deberá adoptar las medidas que considere procedentes para el cumplimiento de lo mandado, precisamente porque “desde la perspectiva constitucional que ahora interesa debe señalarse que corresponde exclusivamente al mismo [al órgano judicial] hacer ‘ejecutar lo juzgado’ de acuerdo con las Leyes (art. 117.3 de la Constitución) y requerir las colaboraciones que estime precisas (art. 118 de la misma)”.</w:t>
      </w:r>
    </w:p>
    <w:p w:rsidR="0026452D" w:rsidRDefault="0026452D" w:rsidP="0026452D">
      <w:pPr>
        <w:pStyle w:val="TextoNormal"/>
      </w:pPr>
    </w:p>
    <w:p w:rsidR="0026452D" w:rsidRDefault="0026452D" w:rsidP="0026452D">
      <w:pPr>
        <w:pStyle w:val="TextoNormal"/>
      </w:pPr>
      <w:r>
        <w:t>La misma concepción jurisdiccional de la actividad desarrollada en la ejecución de Sentencias condujo a desestimar la aducida vulneración del derecho a la inviolabilidad del domicilio en la STC 160/1991, de 18 de julio. Rechazamos entonces que la demolición de ciertas edificaciones llevada a cabo por la Administración tras la desestimación de un recurso contencioso-administrativo sobre expropiación de viviendas para la construcción de un embalse, precisase autorización judicial específica. A tal efecto afirmábamos que “no estamos, por tanto, ante una actividad de la Administración de ejecución forzosa de sus propios actos amparada en el privilegio de la denominada autotutela administrativa, sino ante la ejecución de resoluciones judiciales firmes que autorizaron a la Administración a desalojar y derribar las viviendas expropiadas conforme a Derecho. Se trata, pues, de ejecución de Sentencias -y no de actos administrativos-, que en principio corresponde al órgano que hubiere dictado el acto o disposición objeto del recurso (art. 103 LJCA), debiendo interpretar esta competencia, tal y como hemos declarado, no como la atribución de una potestad, sino como la concreción del deber de cumplir lo decidido por la Sentencia (STC 67/1984).” Y lo mismo cabe apreciar en la STC 92/1989, de 27 de abril, en la cual justificamos la anulación de ciertas resoluciones administrativas no expresamente impugnadas porque se insertaban en el acto de ejecución de Sentencia objeto directo del recurso de amparo, “siendo aplicable al caso la doctrina de las SSTC 67/1984 y 160/1991, según la cual debe interpretarse esta competencia (de ejecución de sentencias) ‘no como la atribución de una potestad, sino como la concreción del deber de cumplir lo decidido por la Sentencia’”.</w:t>
      </w:r>
    </w:p>
    <w:p w:rsidR="0026452D" w:rsidRDefault="0026452D" w:rsidP="0026452D">
      <w:pPr>
        <w:pStyle w:val="TextoNormal"/>
      </w:pPr>
    </w:p>
    <w:p w:rsidR="0026452D" w:rsidRDefault="0026452D" w:rsidP="0026452D">
      <w:pPr>
        <w:pStyle w:val="TextoNormal"/>
      </w:pPr>
      <w:r>
        <w:t xml:space="preserve">De lo anterior se deduce que en el sistema constitucional que deriva de los arts. 117.3 y 118 CE, corresponde a los Juzgados y Tribunales, con carácter exclusivo, la función de ejecutar lo juzgado “en todo tipo de procesos”, esto es, también en los procesos contencioso-administrativos, rompiéndose así con situaciones precedentes en las que la Administración </w:t>
      </w:r>
      <w:r>
        <w:lastRenderedPageBreak/>
        <w:t>retenía la potestad de ejecución. De este modo, mientras que, cuando de la ejecución de un acto administrativo se trata, la Administración ejercita potestades propias de autotutela administrativa que le permiten llevar a efecto sus propias determinaciones, cuando se encuentra dando cumplimiento a una resolución judicial, su actuación se justifica en la obligación de cumplir las Sentencias y demás resoluciones judiciales (art. 118 CE), así como en el auxilio, debido y jurídicamente ordenado, a los órganos judiciales para el ejercicio de su potestad exclusiva de hacer ejecutar lo juzgado (art. 117.3 CE).</w:t>
      </w:r>
    </w:p>
    <w:p w:rsidR="0026452D" w:rsidRDefault="0026452D" w:rsidP="0026452D">
      <w:pPr>
        <w:pStyle w:val="TextoNormal"/>
      </w:pPr>
    </w:p>
    <w:p w:rsidR="0026452D" w:rsidRDefault="0026452D" w:rsidP="0026452D">
      <w:pPr>
        <w:pStyle w:val="TextoNormal"/>
      </w:pPr>
      <w:r w:rsidRPr="0026452D">
        <w:rPr>
          <w:rStyle w:val="NumeroAFNegritaCaracter"/>
        </w:rPr>
        <w:t>6</w:t>
      </w:r>
      <w:r>
        <w:t>. La conclusión de lo anteriormente expuesto es que la norma cuestionada incide en la regulación de la ejecución de Sentencias mediante la introducción de un trámite (el de determinación de la eventual responsabilidad patrimonial en que pudiera haber incurrido la Administración urbanística) ajeno a la propia ejecución de la Sentencia y que tiene el efecto de paralizar la misma mientras sustancia, decide y, en su caso, ejecuta mediante el pago. Tal regulación, como acabamos de ver, no tiene cobertura competencial en los títulos aducidos por los órganos de la Comunidad Autónoma, de modo que se invade la competencia exclusiva del Estado en materia de legislación procesal prevista en el art. 149.1 6 CE, sin que, tal como admiten todos los que han intervenido en este proceso constitucional, concurra especialidad alguna en el derecho sustantivo autonómico que lo justifique en términos constitucionalmente admisibles conforme al indicado precepto constitucional.</w:t>
      </w:r>
    </w:p>
    <w:p w:rsidR="0026452D" w:rsidRDefault="0026452D" w:rsidP="0026452D">
      <w:pPr>
        <w:pStyle w:val="TextoNormal"/>
      </w:pPr>
    </w:p>
    <w:p w:rsidR="0026452D" w:rsidRDefault="0026452D" w:rsidP="0026452D">
      <w:pPr>
        <w:pStyle w:val="TextoNormal"/>
      </w:pPr>
      <w:r>
        <w:t>Qué duda cabe de que los órganos judiciales deberán ponderar la totalidad de los intereses en conflicto a la hora de hacer ejecutar sus resoluciones y que no cabe descartar que tal ponderación pudiera llevar al órgano judicial a acomodar el ritmo de la ejecución material de las demoliciones que hayan de tener lugar a las circunstancias concretas de cada caso. Pero lo que resulta incompatible con la reserva estatal en materia de legislación procesal —art. 149.1.6 CE— es que el legislador autonómico establezca una causa de suspensión o aplazamiento de la ejecución de las Sentencias que han de ejecutarse mediante el derribo de edificaciones, máxime cuando el precepto legal no condiciona la efectividad de la demolición judicialmente acordada al transcurso de los plazos para resolver el expediente de responsabilidad patrimonial, sino a su efectiva resolución y al pago de la indemnización acordada, de suerte que la ejecución de la Sentencia termina por escapar del control judicial, único competente para hacer ejecutar lo juzgado a tenor de lo dispuesto en el art. 117.3 CE que resulta igualmente vulnerado.</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Resta por precisar el alcance de la declaración de inconstitucionalidad que hemos apreciado. Ya hemos señalado que nuestro enjuiciamiento se reduce, en razón del juicio de aplicabilidad de la norma cuestionada, al párrafo quinto del apartado 4, así como al apartado 5 de la disposición adicional sexta. Ahora bien, el condicionante de las demoliciones que en este precepto se establece, es aplicable tanto a las que han sido acordadas en un procedimiento administrativo como a las que han de materializarse en ejecución de una resolución judicial, siendo este último el caso al que se ciñe la tacha de inconstitucionalidad que apreciamos y sobre el que únicamente nos pronunciamos atendida la conexión con el proceso </w:t>
      </w:r>
      <w:r w:rsidRPr="0026452D">
        <w:rPr>
          <w:i/>
        </w:rPr>
        <w:t>a quo</w:t>
      </w:r>
      <w:r>
        <w:t xml:space="preserve"> que es propia de la cuestión de constitucionalidad. De ahí que la declaración de inconstitucionalidad del párrafo quinto del apartado 4 se limite a los supuestos de ejecución de resoluciones judiciales.</w:t>
      </w:r>
    </w:p>
    <w:p w:rsidR="0026452D" w:rsidRDefault="0026452D" w:rsidP="0026452D">
      <w:pPr>
        <w:pStyle w:val="TextoNormal"/>
      </w:pPr>
    </w:p>
    <w:p w:rsidR="0026452D" w:rsidRDefault="0026452D" w:rsidP="0026452D">
      <w:pPr>
        <w:pStyle w:val="TextoNormal"/>
      </w:pPr>
      <w:r>
        <w:t xml:space="preserve">Por lo que se refiere al apartado 5 de la disposición adicional cuestionada, es claro que el precepto resulta inocuo una vez declarada la inconstitucionalidad del apartado 4 en su </w:t>
      </w:r>
      <w:r>
        <w:lastRenderedPageBreak/>
        <w:t>párrafo quinto, pues en nada condiciona las potestades jurisdiccionales de ejecución de sus propias resoluciones el hecho de que la norma cuestionada obligue a la Administración a poner en conocimiento de los órganos judiciales la existencia y tramitación de un expediente de responsabilidad patrimonial que encuentre origen en la actividad administrativa enjuiciada en el proceso que se encuentra en fase de ejecución. Ahora bien, no es menos cierto que la obligación de comunicación al órgano judicial de la que ahora tratamos sólo tiene el sentido de garantizar el efecto paralizador de la ejecución que se desprende del apartado 4 en el aspecto que hemos apreciado inconstitucional, y, de otro lado, su supresión ni distorsiona las determinaciones del precepto legal que son constitucionalmente conformes, ni impide que los órganos administrativos pongan en conocimiento de los órganos judiciales la existencia de un procedimiento de responsabilidad patrimonial en trámite para su toma en consideración en la ejecución de Sentencia en los términos a que hemos hecho referencia en esta resolución. En consecuencia, la inconstitucionalidad del apartado 4, apartado quinto, lleva consigo la del apartado 5 atendida su relación de dependencia y la mayor claridad de la norma resultante del control de constitucionalidad que a este Tribunal incumbe.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parcialmente la presente cuestión de inconstitucionalidad y, en consecuencia, declarar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w:t>
      </w:r>
    </w:p>
    <w:p w:rsidR="0026452D" w:rsidRDefault="0026452D" w:rsidP="0026452D">
      <w:pPr>
        <w:pStyle w:val="TextoNormal"/>
      </w:pPr>
    </w:p>
    <w:p w:rsidR="0026452D" w:rsidRDefault="0026452D" w:rsidP="0026452D">
      <w:pPr>
        <w:pStyle w:val="TextoNormal"/>
      </w:pPr>
      <w:r>
        <w:t>a) Del párrafo quinto del apartado 4, tan sólo en cuanto se refiere a los procesos de ejecución de resoluciones judiciales.</w:t>
      </w:r>
    </w:p>
    <w:p w:rsidR="0026452D" w:rsidRDefault="0026452D" w:rsidP="0026452D">
      <w:pPr>
        <w:pStyle w:val="TextoNormal"/>
      </w:pPr>
    </w:p>
    <w:p w:rsidR="0026452D" w:rsidRDefault="0026452D" w:rsidP="0026452D">
      <w:pPr>
        <w:pStyle w:val="TextoNormal"/>
      </w:pPr>
      <w:r>
        <w:t>b) Del apartado 5 en su totalidad.</w:t>
      </w:r>
    </w:p>
    <w:p w:rsidR="0026452D" w:rsidRDefault="0026452D" w:rsidP="0026452D">
      <w:pPr>
        <w:pStyle w:val="TextoNormal"/>
      </w:pPr>
    </w:p>
    <w:p w:rsidR="0026452D" w:rsidRDefault="0026452D" w:rsidP="0026452D">
      <w:pPr>
        <w:pStyle w:val="TextoNormal"/>
      </w:pPr>
      <w:r>
        <w:t>2º Desestimar la cuestión de inconstitucionalidad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veintidós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96" w:name="SENTENCIA_2013_93"/>
      <w:r>
        <w:lastRenderedPageBreak/>
        <w:t>SENTENCIA 93/2013, de 23 de abril de 2013</w:t>
      </w:r>
    </w:p>
    <w:bookmarkEnd w:id="96"/>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ECLI:ES:TC:2013:93</w:t>
      </w:r>
    </w:p>
    <w:p w:rsidR="0026452D" w:rsidRDefault="0026452D" w:rsidP="0026452D">
      <w:pPr>
        <w:pStyle w:val="SntesisDescriptiva"/>
      </w:pPr>
    </w:p>
    <w:p w:rsidR="0026452D" w:rsidRDefault="0026452D" w:rsidP="0026452D">
      <w:pPr>
        <w:pStyle w:val="SntesisDescriptiva"/>
      </w:pPr>
      <w:r>
        <w:t>Recurso de inconstitucionalidad 5297-2000. Interpuesto por más de cincuenta Diputados del Grupo Parlamentario Popular del Congreso en relación con la Ley Foral 6/2000, de 3 de julio, para la igualdad jurídica de las parejas estables.</w:t>
      </w:r>
    </w:p>
    <w:p w:rsidR="0026452D" w:rsidRDefault="0026452D" w:rsidP="0026452D">
      <w:pPr>
        <w:pStyle w:val="SntesisDescriptiva"/>
      </w:pPr>
    </w:p>
    <w:p w:rsidR="0026452D" w:rsidRDefault="0026452D" w:rsidP="0026452D">
      <w:pPr>
        <w:pStyle w:val="SntesisAnaltica"/>
      </w:pPr>
      <w:r>
        <w:t>Competencias sobre legislación civil, principio de seguridad jurídica, derechos al libre desarrollo de la personalidad y a la intimidad personal y familiar, protección de la familia: nulidad de diversos preceptos legales autonómicos. Votos particulares.</w:t>
      </w:r>
    </w:p>
    <w:p w:rsidR="0026452D" w:rsidRDefault="0026452D" w:rsidP="0026452D">
      <w:pPr>
        <w:pStyle w:val="SntesisAnaltica"/>
      </w:pPr>
    </w:p>
    <w:p w:rsidR="0026452D" w:rsidRDefault="0026452D" w:rsidP="0026452D">
      <w:pPr>
        <w:pStyle w:val="Extracto"/>
      </w:pPr>
      <w:r>
        <w:t>1.</w:t>
      </w:r>
      <w:r>
        <w:tab/>
        <w:t>Las reglas contenidas en el articulado de la Ley Foral impugnada que se imponen a los integrantes de la pareja estable prescindiendo de su voluntad vulneran la libertad de decisión consagrada en el art. 10.1 CE, al responder básicamente a un modelo imperativo alejado del régimen dispositivo que resultaría acorde a las características de las uniones de hecho y a las exigencias del libre desarrollo de la personalidad [FFJJ 9, 10 b) y c), 11 b) a d), 13].</w:t>
      </w:r>
    </w:p>
    <w:p w:rsidR="0026452D" w:rsidRDefault="0026452D" w:rsidP="0026452D">
      <w:pPr>
        <w:pStyle w:val="Extracto"/>
      </w:pPr>
    </w:p>
    <w:p w:rsidR="0026452D" w:rsidRDefault="0026452D" w:rsidP="0026452D">
      <w:pPr>
        <w:pStyle w:val="Extracto"/>
      </w:pPr>
      <w:r>
        <w:t>2.</w:t>
      </w:r>
      <w:r>
        <w:tab/>
        <w:t>El precepto impugnado, que establece la aplicación de la Ley Foral 6/2000 al supuesto en que uno de los dos miembros de la pareja estable tenga vecindad civil navarra, invade las competencias que corresponden al Estado, ya que contiene una norma de solución de conflictos de leyes cuando dicha competencia se halla reservada al Estado con carácter exclusivo por el art. 149.1.8 CE [FJ 6].</w:t>
      </w:r>
    </w:p>
    <w:p w:rsidR="0026452D" w:rsidRDefault="0026452D" w:rsidP="0026452D">
      <w:pPr>
        <w:pStyle w:val="Extracto"/>
      </w:pPr>
    </w:p>
    <w:p w:rsidR="0026452D" w:rsidRDefault="0026452D" w:rsidP="0026452D">
      <w:pPr>
        <w:pStyle w:val="Extracto"/>
      </w:pPr>
      <w:r>
        <w:t>3.</w:t>
      </w:r>
      <w:r>
        <w:tab/>
        <w:t>Doctrina sobre la competencia exclusiva reservada al Estado por el art. 149.1.8 CE en cuanto a las normas para resolver los conflictos de leyes (SSTC 72/1983, 226/1993) [FJ 6].</w:t>
      </w:r>
    </w:p>
    <w:p w:rsidR="0026452D" w:rsidRDefault="0026452D" w:rsidP="0026452D">
      <w:pPr>
        <w:pStyle w:val="Extracto"/>
      </w:pPr>
    </w:p>
    <w:p w:rsidR="0026452D" w:rsidRDefault="0026452D" w:rsidP="0026452D">
      <w:pPr>
        <w:pStyle w:val="Extracto"/>
      </w:pPr>
      <w:r>
        <w:t>4.</w:t>
      </w:r>
      <w:r>
        <w:tab/>
        <w:t xml:space="preserve">No se produce invasión alguna de la competencia exclusiva estatal sobre las relaciones jurídico-civiles relativas a las formas de matrimonio, </w:t>
      </w:r>
      <w:r w:rsidRPr="0026452D">
        <w:rPr>
          <w:i/>
        </w:rPr>
        <w:t>ex</w:t>
      </w:r>
      <w:r>
        <w:t xml:space="preserve"> art. 149.1.8 CE, por el hecho de que la Comunidad Foral de Navarra haya decidido regular las parejas estables y atribuir determinas consecuencias jurídicas a las uniones de hecho, ya que las evidentes diferencias entre el matrimonio y la convivencia extramatrimonial impiden su equiparación conceptual [FFJJ 5, 11 a)].</w:t>
      </w:r>
    </w:p>
    <w:p w:rsidR="0026452D" w:rsidRDefault="0026452D" w:rsidP="0026452D">
      <w:pPr>
        <w:pStyle w:val="Extracto"/>
      </w:pPr>
    </w:p>
    <w:p w:rsidR="0026452D" w:rsidRDefault="0026452D" w:rsidP="0026452D">
      <w:pPr>
        <w:pStyle w:val="Extracto"/>
      </w:pPr>
      <w:r>
        <w:t>5.</w:t>
      </w:r>
      <w:r>
        <w:tab/>
        <w:t xml:space="preserve">El matrimonio y la convivencia extramatrimonial no son realidades equivalentes, ya que el matrimonio es una institución social garantizada por nuestra norma suprema y el derecho a contraerlo es un derecho constitucional, </w:t>
      </w:r>
      <w:r w:rsidRPr="0026452D">
        <w:rPr>
          <w:i/>
        </w:rPr>
        <w:t>ex</w:t>
      </w:r>
      <w:r>
        <w:t xml:space="preserve"> art. 32.1 CE, cuyo régimen jurídico corresponde a la ley por mandato constitucional, </w:t>
      </w:r>
      <w:r w:rsidRPr="0026452D">
        <w:rPr>
          <w:i/>
        </w:rPr>
        <w:t>ex</w:t>
      </w:r>
      <w:r>
        <w:t xml:space="preserve"> art. 32.2 CE, mientras que nada de ello ocurre con la unión de hecho </w:t>
      </w:r>
      <w:r w:rsidRPr="0026452D">
        <w:rPr>
          <w:i/>
        </w:rPr>
        <w:t>more uxorio</w:t>
      </w:r>
      <w:r>
        <w:t>, que ni es una institución jurídicamente garantizada ni hay un derecho constitucional expreso a su establecimiento (STC 184/1990) [FJ 5].</w:t>
      </w:r>
    </w:p>
    <w:p w:rsidR="0026452D" w:rsidRDefault="0026452D" w:rsidP="0026452D">
      <w:pPr>
        <w:pStyle w:val="Extracto"/>
      </w:pPr>
    </w:p>
    <w:p w:rsidR="0026452D" w:rsidRDefault="0026452D" w:rsidP="0026452D">
      <w:pPr>
        <w:pStyle w:val="Extracto"/>
      </w:pPr>
      <w:r>
        <w:lastRenderedPageBreak/>
        <w:t>6.</w:t>
      </w:r>
      <w:r>
        <w:tab/>
        <w:t>No siendo el matrimonio y la convivencia extramatrimonial situaciones jurídicamente equivalentes, el legislador, dentro de su libertad de decisión, puede deducir razonablemente consecuencias de la diferente situación de partida (SSTC 184/1990, 199/2004)  [FFJJ 5, FJ 11 a)].</w:t>
      </w:r>
    </w:p>
    <w:p w:rsidR="0026452D" w:rsidRDefault="0026452D" w:rsidP="0026452D">
      <w:pPr>
        <w:pStyle w:val="Extracto"/>
      </w:pPr>
    </w:p>
    <w:p w:rsidR="0026452D" w:rsidRDefault="0026452D" w:rsidP="0026452D">
      <w:pPr>
        <w:pStyle w:val="Extracto"/>
      </w:pPr>
      <w:r>
        <w:t>7.</w:t>
      </w:r>
      <w:r>
        <w:tab/>
        <w:t>La valoración de conjunto de la Ley impugnada permite rechazar su impugnación global por vulneración de la competencia del art. 149.1.8 CE, pues el legislador foral no está creando una forma de matrimonio distinta de las previstas por el legislador estatal y, por otra parte, puede regular determinados efectos jurídicos derivados de la relación entre los que conviven de hecho, en el ejercicio de las competencias de que dispone, atendiendo a las previsiones de la LORAFNA en materia de derecho civil, función pública o régimen tributario [FJ 5].</w:t>
      </w:r>
    </w:p>
    <w:p w:rsidR="0026452D" w:rsidRDefault="0026452D" w:rsidP="0026452D">
      <w:pPr>
        <w:pStyle w:val="Extracto"/>
      </w:pPr>
    </w:p>
    <w:p w:rsidR="0026452D" w:rsidRDefault="0026452D" w:rsidP="0026452D">
      <w:pPr>
        <w:pStyle w:val="Extracto"/>
      </w:pPr>
      <w:r>
        <w:t>8.</w:t>
      </w:r>
      <w:r>
        <w:tab/>
        <w:t>El derecho a contraer matrimonio, o a no contraerlo, se limita a asegurar la capacidad de elección pero no a asegurar los mismos efectos, pudiendo el legislador ordinario atribuir consecuencias a una y a otra manifestación, de manera que la primera se constituya en un auténtico derecho subjetivo, mientras que la segunda no sea más que una mera libertad jurídica, integrada en el mismo derecho fundamental, y cuyo contenido se ciñe a la posibilidad de optar o a la existencia de una alternativa de acción (STC 198/2012, ATC 204/2003) [FJ 7].</w:t>
      </w:r>
    </w:p>
    <w:p w:rsidR="0026452D" w:rsidRDefault="0026452D" w:rsidP="0026452D">
      <w:pPr>
        <w:pStyle w:val="Extracto"/>
      </w:pPr>
    </w:p>
    <w:p w:rsidR="0026452D" w:rsidRDefault="0026452D" w:rsidP="0026452D">
      <w:pPr>
        <w:pStyle w:val="Extracto"/>
      </w:pPr>
      <w:r>
        <w:t>9.</w:t>
      </w:r>
      <w:r>
        <w:tab/>
        <w:t xml:space="preserve">La Ley Foral impugnada define la pareja estable no sólo como unión libre sino también ‘pública’, lo que implica un consentimiento por parte de los integrantes de la misma en cuanto a permitir el conocimiento ajeno de una parte de su intimidad, por lo que no puede entenderse vulnerado el derecho a la intimidad personal, </w:t>
      </w:r>
      <w:r w:rsidRPr="0026452D">
        <w:rPr>
          <w:i/>
        </w:rPr>
        <w:t>ex</w:t>
      </w:r>
      <w:r>
        <w:t xml:space="preserve"> art. 18.1 CE [FJ 9].</w:t>
      </w:r>
    </w:p>
    <w:p w:rsidR="0026452D" w:rsidRDefault="0026452D" w:rsidP="0026452D">
      <w:pPr>
        <w:pStyle w:val="Extracto"/>
      </w:pPr>
    </w:p>
    <w:p w:rsidR="0026452D" w:rsidRDefault="0026452D" w:rsidP="0026452D">
      <w:pPr>
        <w:pStyle w:val="Extracto"/>
      </w:pPr>
      <w:r>
        <w:t>10.</w:t>
      </w:r>
      <w:r>
        <w:tab/>
        <w:t>Doctrina sobre la noción y efectos jurídicos de las uniones de hecho y su vinculación al libre desarrollo de la personalidad y al derecho a la intimidad personal (SSTC 45/1989, 198/2012) [FJ 8].</w:t>
      </w:r>
    </w:p>
    <w:p w:rsidR="0026452D" w:rsidRDefault="0026452D" w:rsidP="0026452D">
      <w:pPr>
        <w:pStyle w:val="Extracto"/>
      </w:pPr>
    </w:p>
    <w:p w:rsidR="0026452D" w:rsidRDefault="0026452D" w:rsidP="0026452D">
      <w:pPr>
        <w:pStyle w:val="Extracto"/>
      </w:pPr>
      <w:r>
        <w:t>11.</w:t>
      </w:r>
      <w:r>
        <w:tab/>
        <w:t xml:space="preserve">Doctrina sobre el contenido del derecho a la intimidad personal, </w:t>
      </w:r>
      <w:r w:rsidRPr="0026452D">
        <w:rPr>
          <w:i/>
        </w:rPr>
        <w:t>ex</w:t>
      </w:r>
      <w:r>
        <w:t xml:space="preserve"> art. 18.1 CE (SSTC 12/1994, 173/2011) [FJ 8].</w:t>
      </w:r>
    </w:p>
    <w:p w:rsidR="0026452D" w:rsidRDefault="0026452D" w:rsidP="0026452D">
      <w:pPr>
        <w:pStyle w:val="Extracto"/>
      </w:pPr>
    </w:p>
    <w:p w:rsidR="0026452D" w:rsidRDefault="0026452D" w:rsidP="0026452D">
      <w:pPr>
        <w:pStyle w:val="Extracto"/>
      </w:pPr>
      <w:r>
        <w:t>12.</w:t>
      </w:r>
      <w:r>
        <w:tab/>
        <w:t xml:space="preserve">El interés preponderante del menor sobre el de quienes pretendan adoptarlo ha de ser preservado en todo caso, tutelándose mediante el escrutinio al que se somete a los eventuales adoptantes, con independencia de su orientación sexual (STC 198/2012; STEDH </w:t>
      </w:r>
      <w:r w:rsidRPr="0026452D">
        <w:rPr>
          <w:i/>
        </w:rPr>
        <w:t>caso Frette c. Francia</w:t>
      </w:r>
      <w:r>
        <w:t>, de 26 de febrero de 2002)  [FJ 12].</w:t>
      </w:r>
    </w:p>
    <w:p w:rsidR="0026452D" w:rsidRDefault="0026452D" w:rsidP="0026452D">
      <w:pPr>
        <w:pStyle w:val="Extracto"/>
      </w:pPr>
    </w:p>
    <w:p w:rsidR="0026452D" w:rsidRDefault="0026452D" w:rsidP="0026452D">
      <w:pPr>
        <w:pStyle w:val="Extracto"/>
      </w:pPr>
      <w:r>
        <w:t>13.</w:t>
      </w:r>
      <w:r>
        <w:tab/>
        <w:t>El deber de protección integral de los hijos que se deriva del art. 39.2 CE no queda afectado por lo previsto en el precepto impugnado, que reconoce a los miembros de una pareja estable la posibilidad de adoptar de forma conjunta, pues la normativa del Código civil, a la que remite la legislación foral en lo no previsto en ella, determina que la resolución judicial que constituya la adopción tendrá siempre en cuenta el interés del adoptando y la idoneidad del adoptante o adoptantes para el ejercicio de la patria potestad, idoneidad que nada puede tener que ver con su orientación sexual (STC 198/2012) [FJ 12].</w:t>
      </w:r>
    </w:p>
    <w:p w:rsidR="0026452D" w:rsidRDefault="0026452D" w:rsidP="0026452D">
      <w:pPr>
        <w:pStyle w:val="Extracto"/>
      </w:pPr>
    </w:p>
    <w:p w:rsidR="0026452D" w:rsidRDefault="0026452D" w:rsidP="0026452D">
      <w:pPr>
        <w:pStyle w:val="Extracto"/>
      </w:pPr>
      <w:r>
        <w:lastRenderedPageBreak/>
        <w:t>14.</w:t>
      </w:r>
      <w:r>
        <w:tab/>
        <w:t>La aplicación a los miembros de las parejas estables de la normativa relativa al personal al servicio de las Administraciones públicas de Navarra sobre licencias, permisos, situaciones administrativas, provisión de puestos de trabajo, ayuda familiar y derechos pasivos, encuentra legítimo acomodo en la competencia establecida en el art. 49.1 b) LORAFNA, sin que con ello resulten afectados los derechos y obligaciones esenciales de los funcionarios públicos establecidos en la legislación básica del Estado [FJ 13].</w:t>
      </w:r>
    </w:p>
    <w:p w:rsidR="0026452D" w:rsidRDefault="0026452D" w:rsidP="0026452D">
      <w:pPr>
        <w:pStyle w:val="Extracto"/>
      </w:pPr>
    </w:p>
    <w:p w:rsidR="0026452D" w:rsidRDefault="0026452D" w:rsidP="0026452D">
      <w:pPr>
        <w:pStyle w:val="Extracto"/>
      </w:pPr>
      <w:r>
        <w:t>15.</w:t>
      </w:r>
      <w:r>
        <w:tab/>
        <w:t>Doctrina sobre la distribución de competencias en materia de función pública (SSTC 31/2010, 81/2013) [FJ 13].</w:t>
      </w:r>
    </w:p>
    <w:p w:rsidR="0026452D" w:rsidRDefault="0026452D" w:rsidP="0026452D">
      <w:pPr>
        <w:pStyle w:val="Extracto"/>
      </w:pPr>
    </w:p>
    <w:p w:rsidR="0026452D" w:rsidRDefault="0026452D" w:rsidP="0026452D">
      <w:pPr>
        <w:pStyle w:val="Extracto"/>
      </w:pPr>
      <w:r>
        <w:t>16.</w:t>
      </w:r>
      <w:r>
        <w:tab/>
        <w:t>Doctrina sobre el principio de seguridad jurídica previsto en el art. 9.3 CE (SSTC 15/1986, 136/2011) [FJ 10 b)].</w:t>
      </w:r>
    </w:p>
    <w:p w:rsidR="0026452D" w:rsidRDefault="0026452D" w:rsidP="0026452D">
      <w:pPr>
        <w:pStyle w:val="Extracto"/>
      </w:pPr>
    </w:p>
    <w:p w:rsidR="0026452D" w:rsidRDefault="0026452D" w:rsidP="0026452D">
      <w:pPr>
        <w:pStyle w:val="Extracto"/>
      </w:pPr>
      <w:r>
        <w:t>17.</w:t>
      </w:r>
      <w:r>
        <w:tab/>
        <w:t xml:space="preserve">El principio constitucional de seguridad jurídica, </w:t>
      </w:r>
      <w:r w:rsidRPr="0026452D">
        <w:rPr>
          <w:i/>
        </w:rPr>
        <w:t>ex</w:t>
      </w:r>
      <w:r>
        <w:t xml:space="preserve"> art. 9.3 CE, reclama que esta declaración de inconstitucionalidad sólo sea eficaz pro futuro, ya que dicho principio reclama la intangibilidad de las situaciones jurídicas consolidadas, y no sólo las decididas con fuerza de cosa juzgada, sino también las situaciones administrativas firmes (SSTC 54/2002, 161/2012) [FJ 14].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5297-2000, promovido por ochenta y tres Diputados pertenecientes al Grupo Parlamentario Popular del Congreso de los Diputados contra la Ley Foral 6/2000, de 3 de julio, para la igualdad jurídica de las parejas estables. Han comparecido el Abogado del Estado, el Parlamento de Navarra y el Gobierno de Navarra. Ha sido Ponente la Magistrada doña Adela Asua Batarrita,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registrado en este Tribunal el 6 de octubre de 2000 ochenta y tres Diputados del Grupo Popular del Congreso interpusieron recurso de inconstitucionalidad contra la Ley Foral 6/2000, de 3 de julio, para la igualdad jurídica de las parejas estables en </w:t>
      </w:r>
      <w:r>
        <w:lastRenderedPageBreak/>
        <w:t>la medida en que dicha disposición pudiera contravenir lo previsto en los arts. 9.3, 10.1, 14, 18.1, 32, 39 y 149.1, apartados 1 y 8, CE.</w:t>
      </w:r>
    </w:p>
    <w:p w:rsidR="0026452D" w:rsidRDefault="0026452D" w:rsidP="0026452D">
      <w:pPr>
        <w:pStyle w:val="TextoNormal"/>
      </w:pPr>
    </w:p>
    <w:p w:rsidR="0026452D" w:rsidRDefault="0026452D" w:rsidP="0026452D">
      <w:pPr>
        <w:pStyle w:val="TextoNormal"/>
      </w:pPr>
      <w:r>
        <w:t>Tras aludir a los fundamentos jurídico-procesales en los que se basa el recurso, comienzan su argumentación indicando que en la sesión celebrada por el Pleno del Parlamento de Navarra el 22 de junio de 2000 se aprobó una proposición de ley foral para la igualdad jurídica de las parejas estables. Dando cumplimiento a lo previsto en el art. 22 de la Ley Orgánica 13/1982, de 10 de agosto, de reintegración y amejoramiento del régimen foral de Navarra (en adelante, LORAFNA), el Presidente del Gobierno de Navarra procedió a la incorporación al Ordenamiento jurídico de la proposición de ley aprobada mediante la promulgación de la Ley Foral 6/2000, de 3 de julio, para la igualdad jurídica de las parejas estables.</w:t>
      </w:r>
    </w:p>
    <w:p w:rsidR="0026452D" w:rsidRDefault="0026452D" w:rsidP="0026452D">
      <w:pPr>
        <w:pStyle w:val="TextoNormal"/>
      </w:pPr>
    </w:p>
    <w:p w:rsidR="0026452D" w:rsidRDefault="0026452D" w:rsidP="0026452D">
      <w:pPr>
        <w:pStyle w:val="TextoNormal"/>
      </w:pPr>
      <w:r>
        <w:t>La exposición de motivos y el articulado de la referida ley foral ponen de manifiesto que esa relación de igualdad que la ley foral trata de implantar no es otra que la que la Constitución y las leyes civiles españolas denominan matrimonial. El preámbulo alude al art. 39 CE señalando la necesidad de acabar con las disposiciones legales que aún discriminan negativamente los modelos de familia distintos al tradicional basado en el matrimonio. Por su parte estiman que el articulado explicita claramente la pretensión central de la Ley Foral de establecer la más completa asimilación al matrimonio, pues atribuye a la situación que regula una serie de efectos en las diversas relaciones jurídico-civiles (en materias tales como convivencia, disolución de la relación establecida (art. 4), régimen económico (art. 5), responsabilidad conjunta frente a terceros (art. 7), régimen de pensiones y compensaciones derivadas del cese de la convivencia (arts. 5 y 6), y, muy especialmente, adopción (art. 8.1), tutela, curatela, incapacitación, declaración de ausencia, declaración de prodigalidad (art. 9) y sucesión hereditaria (art. 11), en las cuales opera una plena identificación con el matrimonio), fiscales, donde opera igualmente tal equiparación (art. 12) y en el ámbito de la función pública (art. 13).</w:t>
      </w:r>
    </w:p>
    <w:p w:rsidR="0026452D" w:rsidRDefault="0026452D" w:rsidP="0026452D">
      <w:pPr>
        <w:pStyle w:val="TextoNormal"/>
      </w:pPr>
    </w:p>
    <w:p w:rsidR="0026452D" w:rsidRDefault="0026452D" w:rsidP="0026452D">
      <w:pPr>
        <w:pStyle w:val="TextoNormal"/>
      </w:pPr>
      <w:r>
        <w:t>En cuanto al contenido del recurso, señala el escrito de interposición que se impugna, en primer lugar, la totalidad de la Ley Foral 6/2000, por las razones que, resumidamente se exponen a continuación.</w:t>
      </w:r>
    </w:p>
    <w:p w:rsidR="0026452D" w:rsidRDefault="0026452D" w:rsidP="0026452D">
      <w:pPr>
        <w:pStyle w:val="TextoNormal"/>
      </w:pPr>
    </w:p>
    <w:p w:rsidR="0026452D" w:rsidRDefault="0026452D" w:rsidP="0026452D">
      <w:pPr>
        <w:pStyle w:val="TextoNormal"/>
      </w:pPr>
      <w:r>
        <w:t xml:space="preserve">a) Se afirma, en primer término, que la Ley Foral incurre en un vicio </w:t>
      </w:r>
      <w:r w:rsidRPr="0026452D">
        <w:rPr>
          <w:i/>
        </w:rPr>
        <w:t>in procedendo</w:t>
      </w:r>
      <w:r>
        <w:t xml:space="preserve"> al no manifestar que es una Ley de mayoría absoluta, lo que desconoce el art. 20.2 LORAFNA. Dicha categoría de leyes requiere, para su general conocimiento a través de la publicidad (STC 179/1989), una exteriorización para que los operadores jurídicos sepan que se trata de una ley válida, al cumplir los requisitos formales y materiales que establece el referido art. 20.2. Dicha omisión, semejante a la existente en la legislación básica del Estado (con cita de la STC 69/1988, en relación con el carácter formal de las bases), vulnera el citado precepto en relación con el principio de seguridad jurídica (art. 9.3 CE) tal como ha sido entendido por la doctrina constitucional (con cita de las SSTC 140/1986 y 46/1990), porque una ley para ser válida y eficaz no puede dar lugar a que se generen tales dudas sobre si es o no Ley de mayoría absoluta, a expensas de que se expida certificación por el Parlamento de Navarra (SSTC 140/1986 y 46/1990). Tampoco distingue la ley la inclusión de materias no reservadas a la categoría de leyes de mayoría absoluta (como son las reguladas por los arts. 12 o 13). Se abunda, por ello, en la vulneración del art. 20.2 LORAFNA, en relación </w:t>
      </w:r>
      <w:r>
        <w:lastRenderedPageBreak/>
        <w:t>con el art. 48.2 del mismo cuerpo legal, dadas las exigencias inherentes a los principios de publicidad y seguridad jurídica reconocidos en el art. 9.3 CE.</w:t>
      </w:r>
    </w:p>
    <w:p w:rsidR="0026452D" w:rsidRDefault="0026452D" w:rsidP="0026452D">
      <w:pPr>
        <w:pStyle w:val="TextoNormal"/>
      </w:pPr>
    </w:p>
    <w:p w:rsidR="0026452D" w:rsidRDefault="0026452D" w:rsidP="0026452D">
      <w:pPr>
        <w:pStyle w:val="TextoNormal"/>
      </w:pPr>
      <w:r>
        <w:t>b) En segundo lugar se alega la lesión del art. 149.1.8 CE, que establece la competencia exclusiva del Estado sobre “las relaciones jurídico-civiles relativas a las formas de matrimonio”. Así, se sostiene que la Comunidad Foral carece de competencia para regular las formas de matrimonio con lo que la aprobación de la Ley Foral 6/2000 vulnera también el art. 2 LORAFNA, el cual dispone que la Comunidad Foral de Navarra ejercerá sus competencias (en este caso, la competencia exclusiva en materia de Derecho civil foral) sin afectar a las competencias del Estado inherentes a la unidad constitucional, entre las que se cuenta la potestad de regular las reglas relativas a las formas de matrimonio, tal y como establece el art. 149.1.8 CE.</w:t>
      </w:r>
    </w:p>
    <w:p w:rsidR="0026452D" w:rsidRDefault="0026452D" w:rsidP="0026452D">
      <w:pPr>
        <w:pStyle w:val="TextoNormal"/>
      </w:pPr>
    </w:p>
    <w:p w:rsidR="0026452D" w:rsidRDefault="0026452D" w:rsidP="0026452D">
      <w:pPr>
        <w:pStyle w:val="TextoNormal"/>
      </w:pPr>
      <w:r>
        <w:t xml:space="preserve">Los recurrentes señalan que es cierto que la Comunidad Foral de Navarra mantiene una competencia exclusiva en materia de Derecho civil foral, plasmado en el Fuero Nuevo de Navarra de 1972, que siempre puede modificar. Pero tal alteración debe respetar las competencias del Estado inherentes a la unidad constitucional, porque la regulación de la Ley Foral 6/2000 no es otra cosa que la introducción en el ordenamiento jurídico navarro de una nueva forma de matrimonio, y tal regulación solamente puede hacerla el Estado central (art. 149.1.8 CE). La Ley Foral elude la cuestión insistiendo, en su exposición de motivos, en el deber de protección de la familia (art. 39 CE), pero lo que hace es introducir un nuevo modelo de familia distinto del tradicional. Si el resultado final es que las parejas estables sean consideradas como si de un matrimonio se tratara parece claro que quien tenga la competencia para decidir qué es el matrimonio tendrá competencia para regular su régimen jurídico. Asumir una solución distinta de ésta supone incurrir en un nominalismo que vacía de contenido la competencia estatal, siendo lo relevante que la Ley Foral regula una relación basada en la </w:t>
      </w:r>
      <w:r w:rsidRPr="0026452D">
        <w:rPr>
          <w:i/>
        </w:rPr>
        <w:t>affectio maritalis</w:t>
      </w:r>
      <w:r>
        <w:t xml:space="preserve"> (esto es, una forma de matrimonio): una “relación de afectividad análoga a la conyugal” (art. 2.1), imponiendo el requisito de la convivencia marital (art. 2.2).</w:t>
      </w:r>
    </w:p>
    <w:p w:rsidR="0026452D" w:rsidRDefault="0026452D" w:rsidP="0026452D">
      <w:pPr>
        <w:pStyle w:val="TextoNormal"/>
      </w:pPr>
    </w:p>
    <w:p w:rsidR="0026452D" w:rsidRDefault="0026452D" w:rsidP="0026452D">
      <w:pPr>
        <w:pStyle w:val="TextoNormal"/>
      </w:pPr>
      <w:r>
        <w:t>Lo que la Ley contempla no es tanto un modelo de familia cuanto un modelo de relación conyugal distinto del matrimonio, aunque inspirado y definido en función del matrimonio mismo. Las diferencias entre uno y otro son meramente formales (el matrimonio es el que se celebre y contraiga como tal; la pareja estable será lo mismo, pero sin observancia alguna de forma). Es, pues, la propia Ley Foral la que se encarga de extremar las analogías entre el matrimonio y la pareja estable, hasta el punto de juzgar discriminatoria la subsistencia de efectos diferenciales entre ambas. Es lógico que, tras asimilar ambas realidades, se extraigan algunas consecuencias o efectos jurídicos, identificables como propios de la institución matrimonial (impedimentos de constitución, forma de acreditación, causas de disolución, contenido de los pactos celebrados en referencia a la relación establecida, efectos de ésta en las relaciones patrimoniales de los miembros, régimen sucesorio, fiscal y de función pública...).</w:t>
      </w:r>
    </w:p>
    <w:p w:rsidR="0026452D" w:rsidRDefault="0026452D" w:rsidP="0026452D">
      <w:pPr>
        <w:pStyle w:val="TextoNormal"/>
      </w:pPr>
    </w:p>
    <w:p w:rsidR="0026452D" w:rsidRDefault="0026452D" w:rsidP="0026452D">
      <w:pPr>
        <w:pStyle w:val="TextoNormal"/>
      </w:pPr>
      <w:r>
        <w:t xml:space="preserve">Pues bien, la reserva al Estado de la exclusividad de la regulación de las relaciones jurídico-civiles sobre las formas de matrimonio quedaría conculcada si hubiera de aceptarse un criterio puramente nominalista, que situara la materia diseñada fuera de su propia sede normativa según se utilizara o no para referirse a ella el término “matrimonio”. Las formas de matrimonio a las que alude la Constitución deben comprender, afirman los recurrentes, no </w:t>
      </w:r>
      <w:r>
        <w:lastRenderedPageBreak/>
        <w:t>sólo las formas actualmente reconocidas sino aquellas que el legislador estatal pudiera diseñar como tipo o modelo de relación conyugal, excluyéndose de la competencia autonómica o foral cualquier regulación paralela, complementaria o sustitutiva que recaiga sobre materia matrimonial. Y a esta conclusión no debe oponerse el hecho de que en la normativa foral sean identificables elementos regulativos sustancialmente ajenos a la relación matrimonial, porque éstos no llegan a desplazar la institución del ámbito en que se sitúa la ley impugnada, sino que acentúan la falta de sintonía entre las figuras que se contraponen a efectos del presente recurso.</w:t>
      </w:r>
    </w:p>
    <w:p w:rsidR="0026452D" w:rsidRDefault="0026452D" w:rsidP="0026452D">
      <w:pPr>
        <w:pStyle w:val="TextoNormal"/>
      </w:pPr>
    </w:p>
    <w:p w:rsidR="0026452D" w:rsidRDefault="0026452D" w:rsidP="0026452D">
      <w:pPr>
        <w:pStyle w:val="TextoNormal"/>
      </w:pPr>
      <w:r>
        <w:t>Al haberse salido del marco competencial del Amejoramiento del Fuero la invasión de las competencias estatales afecta al conjunto del articulado de la Ley Foral, por cuanto la regulación conyugal instituida en ella, presupuesto de sus efectos, representa en su misma configuración básica la lesión constitucional denunciada.</w:t>
      </w:r>
    </w:p>
    <w:p w:rsidR="0026452D" w:rsidRDefault="0026452D" w:rsidP="0026452D">
      <w:pPr>
        <w:pStyle w:val="TextoNormal"/>
      </w:pPr>
    </w:p>
    <w:p w:rsidR="0026452D" w:rsidRDefault="0026452D" w:rsidP="0026452D">
      <w:pPr>
        <w:pStyle w:val="TextoNormal"/>
      </w:pPr>
      <w:r>
        <w:t>Los recurrentes indican expresamente que las consideraciones anteriores lo son con independencia del juicio que merezca la posibilidad de que las parejas homosexuales puedan adoptar hijos (contemplada igualmente en la legislación holandesa, citada en el escrito de interposición), que podría contravenir el art. 39.2 CE, pues el interés del menor debería prevalecer sobre el derecho de los cónyuges homosexuales a adoptar, en la medida en que este modelo de familia se aleja del modelo dominante de naturaleza heterosexual sea o no matrimonial. El interés del menor adoptado exigiría, en el decir de los recurrentes, que su nueva familia de adopción no le provoque necesariamente un conflicto con otros niños ni configure un entorno vital claramente perjudicial para su desarrollo. Resulta entonces que el legislador navarro ha mostrado mayor preocupación por defender el interés de los adultos homosexuales que el de los menores, cuando la homosexualidad practicada mediante una unión estable basada en la afectividad supone cerrar la puerta a la posibilidad biológica de procrear inherente, en principio, a los matrimonios o uniones heterosexuales.</w:t>
      </w:r>
    </w:p>
    <w:p w:rsidR="0026452D" w:rsidRDefault="0026452D" w:rsidP="0026452D">
      <w:pPr>
        <w:pStyle w:val="TextoNormal"/>
      </w:pPr>
    </w:p>
    <w:p w:rsidR="0026452D" w:rsidRDefault="0026452D" w:rsidP="0026452D">
      <w:pPr>
        <w:pStyle w:val="TextoNormal"/>
      </w:pPr>
      <w:r>
        <w:t>Con independencia de este último razonamiento los recurrentes concluyen que la Ley Foral 6/2000, consagra una infracción de las reglas de reparto competencial establecidas en la LORAFNA, cuyo art. 2.2 atribuye al Estado las facultades y competencias inherentes a la unidad constitucional, entre las que se incluyen, sin lugar a dudas, la regulación de las relaciones jurídico-civiles de las formas de matrimonio establecida en el art. 149.1.8 CE.</w:t>
      </w:r>
    </w:p>
    <w:p w:rsidR="0026452D" w:rsidRDefault="0026452D" w:rsidP="0026452D">
      <w:pPr>
        <w:pStyle w:val="TextoNormal"/>
      </w:pPr>
    </w:p>
    <w:p w:rsidR="0026452D" w:rsidRDefault="0026452D" w:rsidP="0026452D">
      <w:pPr>
        <w:pStyle w:val="TextoNormal"/>
      </w:pPr>
      <w:r>
        <w:t xml:space="preserve">c) En tercer lugar, afirman los Diputados recurrentes que la Ley compromete los derechos al libre desarrollo de la personalidad (art. 10.1 CE), a la intimidad personal y familiar (art. 18.1 CE) y al de elección de no casarse (art. 32 CE). En el propósito de la Ley Foral está que quienes no contraigan matrimonio (formalmente) queden sometidos, materialmente, a sus efectos, al estimar que la sustancia de la relación que contempla es equiparable al matrimonio. Pero esto tiene también su reverso: quienes no quieren contraer matrimonio por sus efectos quedan sometidos a sus consecuencias en virtud de una prescripción imperativa que declara irrenunciables determinados derechos establecidos por la Ley. Esta conecta el concepto de “pareja estable” a una situación de puro hecho como la convivencia, bien durante un plazo (de un año), bien sin exigencia de plazo alguno (en la imprecisa e insegura expresión de “mera convivencia”) en los casos en que la pareja llegue a tener descendencia común (art. 2.2). Sólo en último lugar se menciona la voluntad de los miembros de la pareja expresada en documento público como causa de constitución de la pareja estable. Y únicamente en este último caso puede decaer el motivo de impugnación, por no imponerse a la </w:t>
      </w:r>
      <w:r>
        <w:lastRenderedPageBreak/>
        <w:t>voluntad individual ninguna relación coactiva. De esta manera el derecho negativo a no contraer matrimonio queda verdaderamente coartado en la Ley impugnada: quienes no han manifestado en ningún momento su voluntad de contraer matrimonio resultan sometidos a una regulación análoga o semejante a la del matrimonio mismo, sin posibilidad alguna de una acción de exclusión voluntaria de sus presupuestos o de sus efectos. Se prohíben expresamente los que supongan una fijación de una duración determinada de la pareja estable o la sometan a condición (art. 5.2). La misma libertad de pactos para los miembros de la pareja estable se ve coartada por la existencia de algunos contenidos mínimos y, por tanto, irrenunciables (art. 5.1). La Ley Foral instituye, así, una especie de vínculo conyugal forzoso, con efectos y consecuencias reconocidos en la Ley como similares a los que derivan de la propia celebración del matrimonio.</w:t>
      </w:r>
    </w:p>
    <w:p w:rsidR="0026452D" w:rsidRDefault="0026452D" w:rsidP="0026452D">
      <w:pPr>
        <w:pStyle w:val="TextoNormal"/>
      </w:pPr>
    </w:p>
    <w:p w:rsidR="0026452D" w:rsidRDefault="0026452D" w:rsidP="0026452D">
      <w:pPr>
        <w:pStyle w:val="TextoNormal"/>
      </w:pPr>
      <w:r>
        <w:t>La Ley Foral impugnada prima, en definitiva, la sustancia misma del matrimonio sobre los aspectos de forma concernientes a su celebración, pero de tal concepción queda descartado el consentimiento, y, con él, la libertad de decisión de los ciudadanos, quienes no tienen manera alguna de eludir las presunciones de que parte el esquema legal. La cuestión se agrava por los efectos retroactivos contenidos en la disposición transitoria de la Ley. La Ley impugnada convierte así una unión libre en una unión reglada sujeta a normas imperativas e irrenunciables.</w:t>
      </w:r>
    </w:p>
    <w:p w:rsidR="0026452D" w:rsidRDefault="0026452D" w:rsidP="0026452D">
      <w:pPr>
        <w:pStyle w:val="TextoNormal"/>
      </w:pPr>
    </w:p>
    <w:p w:rsidR="0026452D" w:rsidRDefault="0026452D" w:rsidP="0026452D">
      <w:pPr>
        <w:pStyle w:val="TextoNormal"/>
      </w:pPr>
      <w:r>
        <w:t>Las restricciones e imposiciones de la Ley impugnada constituyen un atentado a los derechos al libre desarrollo de la personalidad (art. 10.1 CE), a la intimidad personal y familiar (art. 18.1 CE) y a no contraer matrimonio (art. 32 CE), ya que el texto legal limita la libertad individual y se inspira en la irrelevancia de la decisión libre y conjunta de los interesados y en la coactividad de sus efectos.</w:t>
      </w:r>
    </w:p>
    <w:p w:rsidR="0026452D" w:rsidRDefault="0026452D" w:rsidP="0026452D">
      <w:pPr>
        <w:pStyle w:val="TextoNormal"/>
      </w:pPr>
    </w:p>
    <w:p w:rsidR="0026452D" w:rsidRDefault="0026452D" w:rsidP="0026452D">
      <w:pPr>
        <w:pStyle w:val="TextoNormal"/>
      </w:pPr>
      <w:r>
        <w:t>d) En cuarto lugar se alega que el Amejoramiento del Fuero reconoce la competencia estatal exclusiva para dictar reglas sobre la aplicación y eficacia de las normas jurídicas, por lo que el art. 2.3 de la Ley Foral infringe los arts. 2.2 y 43 LORAFNA, en conexión con el art. 149.1.8 CE, así como lo dispuesto en los arts. 14 y 149.1.1 CE.</w:t>
      </w:r>
    </w:p>
    <w:p w:rsidR="0026452D" w:rsidRDefault="0026452D" w:rsidP="0026452D">
      <w:pPr>
        <w:pStyle w:val="TextoNormal"/>
      </w:pPr>
    </w:p>
    <w:p w:rsidR="0026452D" w:rsidRDefault="0026452D" w:rsidP="0026452D">
      <w:pPr>
        <w:pStyle w:val="TextoNormal"/>
      </w:pPr>
      <w:r>
        <w:t xml:space="preserve">La competencia para dictar normas conflictuales sobre los puntos de conexión es inherente a la unidad constitucional, y, por tanto, corresponde al Estado </w:t>
      </w:r>
      <w:r w:rsidRPr="0026452D">
        <w:rPr>
          <w:i/>
        </w:rPr>
        <w:t>ex</w:t>
      </w:r>
      <w:r>
        <w:t xml:space="preserve"> art. 149.1.8 CE (con cita de la STC 226/1993, de 8 de julio). La inconstitucionalidad del art. 2.3 de la Ley Foral, que establece que las disposiciones de la misma se aplicarán a las parejas estables cuando, al menos, uno de sus miembros tenga la vecindad civil navarra, deriva de que contraviene lo previsto en el art. 43 LORAFNA, que solamente permite la eficacia personal o extraterritorial de las normas forales en los supuestos previstos en la legislación estatal.</w:t>
      </w:r>
    </w:p>
    <w:p w:rsidR="0026452D" w:rsidRDefault="0026452D" w:rsidP="0026452D">
      <w:pPr>
        <w:pStyle w:val="TextoNormal"/>
      </w:pPr>
    </w:p>
    <w:p w:rsidR="0026452D" w:rsidRDefault="0026452D" w:rsidP="0026452D">
      <w:pPr>
        <w:pStyle w:val="TextoNormal"/>
      </w:pPr>
      <w:r>
        <w:t xml:space="preserve">Los recurrentes consideran oportuno hacer notar que el Código civil (CC) no contiene ninguna norma conflictual específica sobre las parejas estables, pero, si tomando en consideración la referida al matrimonio (art. 9.2 CC), se aprecia la disparidad de criterios presente entre esta normativa estatal (que se remite a la ley personal común; a la personal de alguno de los cónyuges o la de la residencia elegida de común acuerdo; a falta de elección, a la ley de residencia habitual común; y, finalmente, a la del lugar de celebración). La ausencia de norma estatal de conflicto no autoriza sin embargo a la Comunidad Foral para invadir una materia reservada al Estado en virtud del propio régimen foral, como hace la norma navarra que se remite a la condición foral navarra de uno de los miembros de la pareja estable, en </w:t>
      </w:r>
      <w:r>
        <w:lastRenderedPageBreak/>
        <w:t>detrimento de la capacidad de elección del otro, pugnando así con los criterios del Código civil.</w:t>
      </w:r>
    </w:p>
    <w:p w:rsidR="0026452D" w:rsidRDefault="0026452D" w:rsidP="0026452D">
      <w:pPr>
        <w:pStyle w:val="TextoNormal"/>
      </w:pPr>
    </w:p>
    <w:p w:rsidR="0026452D" w:rsidRDefault="0026452D" w:rsidP="0026452D">
      <w:pPr>
        <w:pStyle w:val="TextoNormal"/>
      </w:pPr>
      <w:r>
        <w:t>Finalmente los recurrentes señalan que los argumentos que ya se han expuesto y que motivarían la nulidad del conjunto de la Ley pueden ser trasladados a su articulado.</w:t>
      </w:r>
    </w:p>
    <w:p w:rsidR="0026452D" w:rsidRDefault="0026452D" w:rsidP="0026452D">
      <w:pPr>
        <w:pStyle w:val="TextoNormal"/>
      </w:pPr>
    </w:p>
    <w:p w:rsidR="0026452D" w:rsidRDefault="0026452D" w:rsidP="0026452D">
      <w:pPr>
        <w:pStyle w:val="TextoNormal"/>
      </w:pPr>
      <w:r>
        <w:t>Así, el capítulo I vulnera el art. 149.1.8 CE, por los motivos ya reseñados, al regular una unión con efectos matrimoniales. La inconstitucionalidad de los distintos artículos de este capítulo se refuerza en el caso del art. 2.3 al albergar una norma de conflicto que invade la reserva material del Estado del art. 149.1.8 CE. En cuanto al art. 3 su inconstitucionalidad deriva, especialmente, de la laxitud con la que disciplina la acreditación de la convivencia, lo cual compromete el principio de seguridad jurídica (art. 9.3 CE) pues un régimen de derecho público no puede quedar al arbitrio de las partes sin constatar la inexistencia de vicios en la formación del consentimiento, facilitador de simulaciones y “uniones a la carta”, tendentes, por ejemplo, a eludir el impuesto de sucesiones, lo que genera confusión, incertidumbre y falta de claridad. El art. 4, al prever las causas de disolución de la pareja estable, limita la libertad de quienes deciden establecer una convivencia al margen de fórmulas estereotipadas reconocidas por el Estado, afectando así al principio de libre desarrollo de la personalidad del art. 10.1 CE.</w:t>
      </w:r>
    </w:p>
    <w:p w:rsidR="0026452D" w:rsidRDefault="0026452D" w:rsidP="0026452D">
      <w:pPr>
        <w:pStyle w:val="TextoNormal"/>
      </w:pPr>
    </w:p>
    <w:p w:rsidR="0026452D" w:rsidRDefault="0026452D" w:rsidP="0026452D">
      <w:pPr>
        <w:pStyle w:val="TextoNormal"/>
      </w:pPr>
      <w:r>
        <w:t xml:space="preserve">El capítulo II vulnera también por conexión con el art. 39.1 de la Ley Orgánica del Tribunal Constitucional, (LOTC) los arts. 10.1 y 149.1.8 CE, en los términos ya referenciados. La existencia de un régimen económico paralelo al matrimonio, previsto en el art. 5, totalmente disponible para los convivientes así como la creación </w:t>
      </w:r>
      <w:r w:rsidRPr="0026452D">
        <w:rPr>
          <w:i/>
        </w:rPr>
        <w:t>ex novo</w:t>
      </w:r>
      <w:r>
        <w:t xml:space="preserve"> de pensiones, consagra una discriminación respecto del matrimonio civil, siendo aplicable la doctrina de la STC 45/1989, de 20 de febrero. Las reglas sobre reclamación de pensión periódica, de compensación económica y de responsabilidad patrimonial (arts. 6 y 7) incurren en idénticas tachas de inconstitucionalidad, al prever consecuencias jurídicas desiguales para situaciones que no lo son, y comprometer, además, la protección de familia. Todo ello dota a esta regulación de un carácter arbitrario (en el sentido empleado en la STC 181/2000, de 29 de junio, FJ 13). Los arts. 9 y 10, que regulan la adopción y subrogación en los derechos de los cónyuges unidos por matrimonio, vulneran el art. 2 LORAFNA en relación con los arts. 32, 39, 149.1.1 y 149.1.8 CE.</w:t>
      </w:r>
    </w:p>
    <w:p w:rsidR="0026452D" w:rsidRDefault="0026452D" w:rsidP="0026452D">
      <w:pPr>
        <w:pStyle w:val="TextoNormal"/>
      </w:pPr>
    </w:p>
    <w:p w:rsidR="0026452D" w:rsidRDefault="0026452D" w:rsidP="0026452D">
      <w:pPr>
        <w:pStyle w:val="TextoNormal"/>
      </w:pPr>
      <w:r>
        <w:t xml:space="preserve">El capítulo III, en el que se prevé el régimen sucesorio, fiscal y de función pública, incurre en vicios formales y sustanciales. En los primeros porque la Ley no dice que ha sido aprobada por mayoría absoluta, necesaria para aprobar preceptos como el art. 11, incurriendo, de contrario, en un exceso al disciplinar materias que no la precisan, como las afrontadas en los arts. 12 y 13. En lo sustancial, por cuanto la subrogación de las posiciones de los cónyuges en el de pareja estable viene a poner de manifiesto que la Ley Foral impugnada ha pretendido regular una nueva forma de matrimonio (incurriendo en una aporía añadida, cual es el no diferenciar los supuestos de uniones </w:t>
      </w:r>
      <w:r w:rsidRPr="0026452D">
        <w:rPr>
          <w:i/>
        </w:rPr>
        <w:t>more uxorio</w:t>
      </w:r>
      <w:r>
        <w:t xml:space="preserve"> y los matrimonios homosexuales), sin tener competencia para ello, por lo que debe ser declarada inconstitucional.</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Por providencia de 31 de octubre de 2000 la Sección Cuarta admitió a trámite el presente recurso de inconstitucionalidad y, conforme al art. 34 LOTC, dio traslado de la demanda y documentos presentados al Congreso de los Diputados y al Senado, así como al Parlamento y al Gobierno de Navarra, por conducto de sus Presidentes, y al Gobierno de la </w:t>
      </w:r>
      <w:r>
        <w:lastRenderedPageBreak/>
        <w:t>Nación, a través del Ministerio de Justicia, al objeto de que, en el plazo de quince días, pudieran personarse en el proceso y formular las alegaciones que estimasen convenientes. Asimismo acordó la publicación de la incoación del recurso en los boletines oficiales del Estado y de Navarra.</w:t>
      </w:r>
    </w:p>
    <w:p w:rsidR="0026452D" w:rsidRDefault="0026452D" w:rsidP="0026452D">
      <w:pPr>
        <w:pStyle w:val="TextoNormal"/>
      </w:pPr>
    </w:p>
    <w:p w:rsidR="0026452D" w:rsidRDefault="0026452D" w:rsidP="0026452D">
      <w:pPr>
        <w:pStyle w:val="TextoNormal"/>
      </w:pPr>
      <w:r w:rsidRPr="0026452D">
        <w:rPr>
          <w:rStyle w:val="NumeroAFNegritaCaracter"/>
        </w:rPr>
        <w:t>3</w:t>
      </w:r>
      <w:r>
        <w:t>. La Presidenta del Congreso, mediante escrito de 13 de noviembre de 2000, manifestó que dicha Cámara no se personaba ni formularía alegaciones.</w:t>
      </w:r>
    </w:p>
    <w:p w:rsidR="0026452D" w:rsidRDefault="0026452D" w:rsidP="0026452D">
      <w:pPr>
        <w:pStyle w:val="TextoNormal"/>
      </w:pPr>
    </w:p>
    <w:p w:rsidR="0026452D" w:rsidRDefault="0026452D" w:rsidP="0026452D">
      <w:pPr>
        <w:pStyle w:val="TextoNormal"/>
      </w:pPr>
      <w:r w:rsidRPr="0026452D">
        <w:rPr>
          <w:rStyle w:val="NumeroAFNegritaCaracter"/>
        </w:rPr>
        <w:t>4</w:t>
      </w:r>
      <w:r>
        <w:t>. El Abogado del Estado se personó en el recurso de inconstitucionalidad con escrito de 24 de noviembre de 2000, realizando las siguientes alegaciones:</w:t>
      </w:r>
    </w:p>
    <w:p w:rsidR="0026452D" w:rsidRDefault="0026452D" w:rsidP="0026452D">
      <w:pPr>
        <w:pStyle w:val="TextoNormal"/>
      </w:pPr>
    </w:p>
    <w:p w:rsidR="0026452D" w:rsidRDefault="0026452D" w:rsidP="0026452D">
      <w:pPr>
        <w:pStyle w:val="TextoNormal"/>
      </w:pPr>
      <w:r>
        <w:t>a) Estima que la Ley Foral impugnada lesiona la competencia estatal contemplada en el art. 149.1.8 CE, que establece la exclusiva competencia del Estado sobre “las relaciones jurídico civiles relativas a las formas de matrimonio”, ya que se proyecta sobre un vínculo entre dos personas definido por “una relación de afectividad análoga a la conyugal”, diferenciado del matrimonial exclusivamente por el dato negativo de la ausencia de las formalidades de su celebración. No se pretende con la ley proteger a la familia, sino regular una relación conyugal, partiendo la Ley Foral de la identidad sustantiva de ambas relaciones como presupuesto de su propia regulación.</w:t>
      </w:r>
    </w:p>
    <w:p w:rsidR="0026452D" w:rsidRDefault="0026452D" w:rsidP="0026452D">
      <w:pPr>
        <w:pStyle w:val="TextoNormal"/>
      </w:pPr>
    </w:p>
    <w:p w:rsidR="0026452D" w:rsidRDefault="0026452D" w:rsidP="0026452D">
      <w:pPr>
        <w:pStyle w:val="TextoNormal"/>
      </w:pPr>
      <w:r>
        <w:t>La diferencia entre el matrimonio y las denominadas parejas de hecho o estables se cifra en el cumplimiento o no de una formalidad. Parece claro, a juicio del Abogado del Estado, que la expresión “formas del matrimonio” no sólo debe comprender las formas externas de celebración reconocidas por la legislación estatal sino otras cualesquiera a las que, como en la Ley Foral, se les reconozcan efectos más o menos próximos a la relación conyugal. Asimismo estima que lo que denomina “constitución forzosa de la pareja” conculca los derechos de libertad sin que pueda servir para ubicar la figura en un marco ajeno al título competencial del art. 149.1.8 CE.</w:t>
      </w:r>
    </w:p>
    <w:p w:rsidR="0026452D" w:rsidRDefault="0026452D" w:rsidP="0026452D">
      <w:pPr>
        <w:pStyle w:val="TextoNormal"/>
      </w:pPr>
    </w:p>
    <w:p w:rsidR="0026452D" w:rsidRDefault="0026452D" w:rsidP="0026452D">
      <w:pPr>
        <w:pStyle w:val="TextoNormal"/>
      </w:pPr>
      <w:r>
        <w:t>b) La Ley Foral consagra igualmente una invasión de la competencia estatal sobre las normas reguladores de los puntos de conexión (art. 149.1.8 CE) que conculca, por conexión, el art. 149.1.1 CE.</w:t>
      </w:r>
    </w:p>
    <w:p w:rsidR="0026452D" w:rsidRDefault="0026452D" w:rsidP="0026452D">
      <w:pPr>
        <w:pStyle w:val="TextoNormal"/>
      </w:pPr>
    </w:p>
    <w:p w:rsidR="0026452D" w:rsidRDefault="0026452D" w:rsidP="0026452D">
      <w:pPr>
        <w:pStyle w:val="TextoNormal"/>
      </w:pPr>
      <w:r w:rsidRPr="0026452D">
        <w:rPr>
          <w:rStyle w:val="NumeroAFNegritaCaracter"/>
        </w:rPr>
        <w:t>5</w:t>
      </w:r>
      <w:r>
        <w:t>. El Asesor Jurídico-Letrado de la Comunidad Foral de Navarra compareció en nombre del Gobierno de Navarra, a través de escrito registrado en este Tribunal el 29 de noviembre de 2000, realizando las siguientes alegaciones, advirtiendo expresamente que, de conformidad con el acuerdo del Gobierno de Navarra que adjunta, se hacen a los solos efectos de defender la competencia de la Comunidad Foral para regular las materias contenidas en la Ley Foral, con independencia de cuál haya sido el resultado concreto de esa competencia.</w:t>
      </w:r>
    </w:p>
    <w:p w:rsidR="0026452D" w:rsidRDefault="0026452D" w:rsidP="0026452D">
      <w:pPr>
        <w:pStyle w:val="TextoNormal"/>
      </w:pPr>
    </w:p>
    <w:p w:rsidR="0026452D" w:rsidRDefault="0026452D" w:rsidP="0026452D">
      <w:pPr>
        <w:pStyle w:val="TextoNormal"/>
      </w:pPr>
      <w:r>
        <w:t xml:space="preserve">Alude en primer lugar al contenido y significado de la Ley Foral señalando que el principio que informa la regulación recurrida es el de la equiparación de los derechos y deberes de los miembros de la pareja estable a las obligaciones y derechos de los cónyuges, a cuyo efecto se modifican las correspondientes leyes de la Compilación del Derecho civil foral de Navarra. Por ello la Ley Foral se dicta al amparo del art. 48 LORAFNA, que atribuye a Navarra competencia exclusiva en materia de Derecho civil. Indica además que, por el juego de los arts. 20.2 y 48.2 LORAFNA, se trata de una Ley Foral que requiere mayoría absoluta </w:t>
      </w:r>
      <w:r>
        <w:lastRenderedPageBreak/>
        <w:t>para su aprobación en una votación final sobre el conjunto del proyecto, como así aconteció sin que adolezca de vicio procedimental alguno. Es irrelevante que no se exprese explícitamente el carácter de ley foral de mayoría absoluta en ella, porque no hay distinción alguna entre las leyes forales, y tampoco puede establecerse paralelismo alguno entre las leyes orgánicas estatales y las leyes forales de mayoría absoluta, por lo que la doctrina referente a las primeras no es de aplicación a las segundas.</w:t>
      </w:r>
    </w:p>
    <w:p w:rsidR="0026452D" w:rsidRDefault="0026452D" w:rsidP="0026452D">
      <w:pPr>
        <w:pStyle w:val="TextoNormal"/>
      </w:pPr>
    </w:p>
    <w:p w:rsidR="0026452D" w:rsidRDefault="0026452D" w:rsidP="0026452D">
      <w:pPr>
        <w:pStyle w:val="TextoNormal"/>
      </w:pPr>
      <w:r>
        <w:t>Seguidamente se refiere a las competencia de la Comunidad Foral para legislar en materia de Derecho civil, indicando que el art. 48 LORAFNA atribuye a Navarra competencia exclusiva para la conservación, modificación y desarrollo de la compilación del Derecho civil foral o Fuero Nuevo de Navarra, y la Ley Foral es muestra de su desarrollo (que ha sido avalado, en términos generales, por las SSTC 88/1993, de 12 de marzo; 156/1993, de 6 mayo y —especialmente— 236/2000, de 16 de octubre). Lo que hace el legislador foral navarro es ejercer su libertad de configuración normativa dentro de la competencia que tiene reconocida y con el fin de garantizar la igualdad jurídica de las parejas estables. No cabe, por tanto, imputarle una inconstitucionalidad por incompetencia so pretexto de atribuirle la regulación de las formas de matrimonio. La normativa cuestionada no regula una nueva forma de matrimonio, sino que se limita a regular los efectos jurídicos, de carácter civil, fiscal o de función pública foral, de una realidad social (la de las parejas estables) en ámbitos en los que Navarra tiene competencia exclusiva.</w:t>
      </w:r>
    </w:p>
    <w:p w:rsidR="0026452D" w:rsidRDefault="0026452D" w:rsidP="0026452D">
      <w:pPr>
        <w:pStyle w:val="TextoNormal"/>
      </w:pPr>
    </w:p>
    <w:p w:rsidR="0026452D" w:rsidRDefault="0026452D" w:rsidP="0026452D">
      <w:pPr>
        <w:pStyle w:val="TextoNormal"/>
      </w:pPr>
      <w:r>
        <w:t>Finalmente señala que el art. 12 de la Ley se inscribe en el título “competencia en materia fiscal” (art. 45 LORAFNA) y el art. 13 es una manifestación de la competencia del legislador navarro en materia de función pública foral [art. 49.1 d) LORAFNA], que ha sido avalada por la STC 140/1990.</w:t>
      </w:r>
    </w:p>
    <w:p w:rsidR="0026452D" w:rsidRDefault="0026452D" w:rsidP="0026452D">
      <w:pPr>
        <w:pStyle w:val="TextoNormal"/>
      </w:pPr>
    </w:p>
    <w:p w:rsidR="0026452D" w:rsidRDefault="0026452D" w:rsidP="0026452D">
      <w:pPr>
        <w:pStyle w:val="TextoNormal"/>
      </w:pPr>
      <w:r w:rsidRPr="0026452D">
        <w:rPr>
          <w:rStyle w:val="NumeroAFNegritaCaracter"/>
        </w:rPr>
        <w:t>6</w:t>
      </w:r>
      <w:r>
        <w:t>. La Letrada del Parlamento de Navarra compareció y presentó su escrito de alegaciones el 1 de diciembre de 2000.</w:t>
      </w:r>
    </w:p>
    <w:p w:rsidR="0026452D" w:rsidRDefault="0026452D" w:rsidP="0026452D">
      <w:pPr>
        <w:pStyle w:val="TextoNormal"/>
      </w:pPr>
    </w:p>
    <w:p w:rsidR="0026452D" w:rsidRDefault="0026452D" w:rsidP="0026452D">
      <w:pPr>
        <w:pStyle w:val="TextoNormal"/>
      </w:pPr>
      <w:r>
        <w:t>Con carácter general afirma que la impugnación de la totalidad de la Ley Foral 6/2000 se justifica en argumentaciones de carácter genérico y, en algún caso, ideológico más que jurídico, argumentaciones que no se plasman suficientemente en lo que se refiere a la impugnación de los preceptos de los que se propugna la declaración de inconstitucionalidad.</w:t>
      </w:r>
    </w:p>
    <w:p w:rsidR="0026452D" w:rsidRDefault="0026452D" w:rsidP="0026452D">
      <w:pPr>
        <w:pStyle w:val="TextoNormal"/>
      </w:pPr>
    </w:p>
    <w:p w:rsidR="0026452D" w:rsidRDefault="0026452D" w:rsidP="0026452D">
      <w:pPr>
        <w:pStyle w:val="TextoNormal"/>
      </w:pPr>
      <w:r>
        <w:t xml:space="preserve">Niega seguidamente que constituya vicio </w:t>
      </w:r>
      <w:r w:rsidRPr="0026452D">
        <w:rPr>
          <w:i/>
        </w:rPr>
        <w:t>in procedendo</w:t>
      </w:r>
      <w:r>
        <w:t xml:space="preserve"> de la Ley Foral el dato de que no manifieste explícitamente que es una ley de mayoría absoluta, habiéndose aprobado por la referida mayoría, ya que el art. 20 LORAFNA no establece dentro del ordenamiento jurídico propio de Navarra distintas clases de leyes con distintas denominaciones, ni impone que las leyes de mayoría absoluta consignen este dato en su articulado. Por otra parte, la idea de que la Ley Foral habría congelado determinadas previsiones no reservadas a la mayoría absoluta (como son la fiscal o la referida a la función pública foral), ni se compadece con la realidad (puesto que pueden ser modificadas por cualquier ley foral), ni podría conllevar, en ningún caso, la declaración de nulidad de los arts. 12 y 13 de la Ley Foral, pudiendo dar lugar a una Sentencia interpretativa que dijera lo que ya se conoce: que su reforma no precisa una ley de mayoría absoluta. Este dato se deriva, por otra parte, del acuerdo de la Mesa del Parlamento de Navarra de 12 de junio de 2000, en el que se justifica procedente que la ley ahora recurrida deba aprobarse por mayoría absoluta en cuanto incide sobre </w:t>
      </w:r>
      <w:r>
        <w:lastRenderedPageBreak/>
        <w:t>el Derecho civil foral, por lo que es claro que solamente los preceptos que regulan cuestiones de tal naturaleza se ven afectados por dicha exigencia.</w:t>
      </w:r>
    </w:p>
    <w:p w:rsidR="0026452D" w:rsidRDefault="0026452D" w:rsidP="0026452D">
      <w:pPr>
        <w:pStyle w:val="TextoNormal"/>
      </w:pPr>
    </w:p>
    <w:p w:rsidR="0026452D" w:rsidRDefault="0026452D" w:rsidP="0026452D">
      <w:pPr>
        <w:pStyle w:val="TextoNormal"/>
      </w:pPr>
      <w:r>
        <w:t>En otro orden de cuestiones, afirma la Letrada del Parlamento de Navarra que la Ley Foral no regula una nueva forma de matrimonio, por lo que no compromete el art. 149.1.8 CE. Considera la representación procesal de la Cámara Foral que es oportuno hacer notar, de entrada, que los modelos de familia no los introduce el Derecho, sino que están y se desarrollan en la sociedad. Lo que la Ley Foral cuestionada hace, como las dictadas en otras Comunidades Autónomas (Aragón y Cataluña), es anudar consecuencias jurídicas a su existencia. Pero tales uniones no constituyen una suerte de matrimonio (matrimonio que, bueno parece recordarlo, es único en España, aunque admita diversas formas de celebración).</w:t>
      </w:r>
    </w:p>
    <w:p w:rsidR="0026452D" w:rsidRDefault="0026452D" w:rsidP="0026452D">
      <w:pPr>
        <w:pStyle w:val="TextoNormal"/>
      </w:pPr>
    </w:p>
    <w:p w:rsidR="0026452D" w:rsidRDefault="0026452D" w:rsidP="0026452D">
      <w:pPr>
        <w:pStyle w:val="TextoNormal"/>
      </w:pPr>
      <w:r>
        <w:t>Recuerda a continuación que el art. 48 LORAFNA atribuye competencia exclusiva a Navarra en materia de Derecho civil foral, y el Tribunal Constitucional ha interpretado tal atribución de forma favorable y expansiva (SSTC 88/1993, de 12 de marzo, 156/1993, de 6 de mayo), lo que explica que las Leyes 10/1998 de Cataluña y 6/1999 de Aragón no hayan sido objeto de un procedimiento constitucional de impugnación.</w:t>
      </w:r>
    </w:p>
    <w:p w:rsidR="0026452D" w:rsidRDefault="0026452D" w:rsidP="0026452D">
      <w:pPr>
        <w:pStyle w:val="TextoNormal"/>
      </w:pPr>
    </w:p>
    <w:p w:rsidR="0026452D" w:rsidRDefault="0026452D" w:rsidP="0026452D">
      <w:pPr>
        <w:pStyle w:val="TextoNormal"/>
      </w:pPr>
      <w:r>
        <w:t xml:space="preserve">Por lo que toca al Derecho civil foral hay que hacer referencia a la importancia y singularidad del Derecho de familia y sucesorio navarro, que se muestra en la tradicional capacidad para celebrar capitulaciones matrimoniales antenupciales, en el amplio reconocimiento de los pactos sucesorios entre diferentes personas, en la regulación de las situaciones permanentes de convivencia y colaboración entre personas y familias que contempla la ley 129, o en la posibilidad, que recoge la ley 199, de que otorguen testamento de hermandad personas no casadas. Incluso el Fuero Nuevo recoge una referencia expresa a las parejas estables o uniones de hecho: la Ley 262 establece como causa de privación del usufructo de fidelidad el hecho de que el viudo viva maritalmente con otra persona. Por otro lado, si se entendiera que la unión de hecho no puede ser considerada como una situación familiar (lo que resulta difícil de concebir, sobre todo si hay hijos), cabe alegar la amplitud con la que el Derecho civil navarro reconoce la libertad de pacto (leyes 7 y 8), una de cuyas manifestaciones más importantes es la libertad de disposición de los bienes que reconoce la ley 149, que incluye la libertad de disposición </w:t>
      </w:r>
      <w:r w:rsidRPr="0026452D">
        <w:rPr>
          <w:i/>
        </w:rPr>
        <w:t>mortis causa</w:t>
      </w:r>
      <w:r>
        <w:t>. Las amplias competencias con que cuenta la Comunidad Foral de Navarra (que han sido avaladas por la STC 236/2000, de 16 de octubre) justifican, pues, la regulación legal cuestionada.</w:t>
      </w:r>
    </w:p>
    <w:p w:rsidR="0026452D" w:rsidRDefault="0026452D" w:rsidP="0026452D">
      <w:pPr>
        <w:pStyle w:val="TextoNormal"/>
      </w:pPr>
    </w:p>
    <w:p w:rsidR="0026452D" w:rsidRDefault="0026452D" w:rsidP="0026452D">
      <w:pPr>
        <w:pStyle w:val="TextoNormal"/>
      </w:pPr>
      <w:r>
        <w:t xml:space="preserve">Es discutible, por otra parte, determinar cuáles son las materias que el art. 149.1.8 CE reserva al Estado central en lo relativo a las relaciones jurídico-civiles relativas a las formas de matrimonio, debiendo hacerse notar que algunos sectores doctrinales han afirmado que no alcanza a los regímenes económico-matrimoniales, limitándose a afectar a la constitución y extinción del matrimonio. Por ello los preceptos de la Ley Foral 6/2000 solamente podrían ser tachados de inconstitucionales si regulasen la constitución y extinción del matrimonio. Sin embargo, la norma no produce una equiparación civil de la regulación de las parejas estables con el matrimonio. En primer lugar no regula un sistema matrimonial, sino una situación social caracterizada porque quienes se encuentran en ella quieren deliberadamente mantenerse al margen del matrimonio. Que no es matrimonial lo evidencia el hecho de que sea aplicable a homosexuales. Se prevé así un régimen jurídico diferente, siendo distintos, por ejemplo, los requisitos de capacidad en una y otra situación. Todo ello permite a la </w:t>
      </w:r>
      <w:r>
        <w:lastRenderedPageBreak/>
        <w:t>Letrada del Parlamento de Navarra concluir que no se menoscaba en absoluto la competencia estatal para la regulación de las formas de matrimonio.</w:t>
      </w:r>
    </w:p>
    <w:p w:rsidR="0026452D" w:rsidRDefault="0026452D" w:rsidP="0026452D">
      <w:pPr>
        <w:pStyle w:val="TextoNormal"/>
      </w:pPr>
    </w:p>
    <w:p w:rsidR="0026452D" w:rsidRDefault="0026452D" w:rsidP="0026452D">
      <w:pPr>
        <w:pStyle w:val="TextoNormal"/>
      </w:pPr>
      <w:r>
        <w:t xml:space="preserve">Por otra parte la extensión a tales realidades de algunos beneficios en materia fiscal o en el ámbito de la función pública foral no puede reputarse ilegítima, a la vista de la jurisprudencia constitucional que ha obrado de similar forma respecto de las pensiones de viudedad o del derecho de subrogación arrendaticia. Y es que, si bien es cierto que la Constitución no impone una equiparación absoluta entre las uniones matrimoniales y las no matrimoniales, sí que impone asegurar, en ciertas circunstancias, una plena igualdad entre unas y otras. De la jurisprudencia constitucional se pueden extraer las siguientes notas: a) el matrimonio y la convivencia extramatrimonial no son realidades análogas, siendo posible un tratamiento jurídico diferenciado de ambas realidades; b) el legislador ordinario está constitucionalmente obligado a otorgar el mismo tratamiento a la pareja unida por vínculo matrimonial y a la pareja extramatrimonial, por imperativo del principio de protección de la familia y del derecho de igualdad, cuando no exista justificación para establecer tratos diferentes a tales parejas; c) es constitucional que el legislador en este tipo de medidas otorgue el mismo trato al matrimonio que a la convivencia </w:t>
      </w:r>
      <w:r w:rsidRPr="0026452D">
        <w:rPr>
          <w:i/>
        </w:rPr>
        <w:t>more uxorio</w:t>
      </w:r>
      <w:r>
        <w:t>; y d) no es posible que el legislador ordinario otorgue peor trato al matrimonio que a la convivencia extramatrimonial. El Tribunal Constitucional admite, pues, que el legislador competente por razón de la materia pueda (por ejemplo, en relación a las pensiones de viudedad) y, en algunos casos, deba (por ejemplo, respecto del derecho de subrogación en arrendamientos urbanos) contemplar como equiparables el matrimonio y la unión de hecho, porque tal equiparación cabe conforme al art. 14 CE o incluso resulta requerida por él.</w:t>
      </w:r>
    </w:p>
    <w:p w:rsidR="0026452D" w:rsidRDefault="0026452D" w:rsidP="0026452D">
      <w:pPr>
        <w:pStyle w:val="TextoNormal"/>
      </w:pPr>
    </w:p>
    <w:p w:rsidR="0026452D" w:rsidRDefault="0026452D" w:rsidP="0026452D">
      <w:pPr>
        <w:pStyle w:val="TextoNormal"/>
      </w:pPr>
      <w:r>
        <w:t>En otro plano la representación del Parlamento Foral sostiene que no es posible considerar que la regulación civil de las parejas estables lesione el art. 32 CE, ya que el Tribunal Constitucional se ha pronunciado en sentido contrario (SSTC 184/1990 y 222/1992), ni que genere un régimen idéntico al propio del matrimonio (son distintos los requisitos de capacidad para constituir una pareja estable y para contraer matrimonio; no se genera relación de parentesco por afinidad con la familia del conviviente; la extinción de la relación presenta causas distintas; no surge entre los convivientes la sociedad de conquistas, tal y como sucede entre los cónyuges navarros que no acuerdan otro régimen...), por lo que no compromete ninguno de los citados preceptos constitucionales, constituyendo una legislación que protege a la familia (STC 222/1992).</w:t>
      </w:r>
    </w:p>
    <w:p w:rsidR="0026452D" w:rsidRDefault="0026452D" w:rsidP="0026452D">
      <w:pPr>
        <w:pStyle w:val="TextoNormal"/>
      </w:pPr>
    </w:p>
    <w:p w:rsidR="0026452D" w:rsidRDefault="0026452D" w:rsidP="0026452D">
      <w:pPr>
        <w:pStyle w:val="TextoNormal"/>
      </w:pPr>
      <w:r>
        <w:t>La aseveración de que la adopción por parte de parejas estables de homosexuales es inconstitucional por contravenir lo dispuesto en el art. 39.2 CE se apoya en consideraciones morales, no jurídicas, y parte de una premisa que ha sido rechazada por el Parlamento Europeo (resolución sobre la igualdad de los derechos de los homosexuales y las lesbianas en la Comunidad Europea, publicada en el “Diario Oficial de la Comunidad Europea” C 61, de 28 de febrero de 1994).</w:t>
      </w:r>
    </w:p>
    <w:p w:rsidR="0026452D" w:rsidRDefault="0026452D" w:rsidP="0026452D">
      <w:pPr>
        <w:pStyle w:val="TextoNormal"/>
      </w:pPr>
    </w:p>
    <w:p w:rsidR="0026452D" w:rsidRDefault="0026452D" w:rsidP="0026452D">
      <w:pPr>
        <w:pStyle w:val="TextoNormal"/>
      </w:pPr>
      <w:r>
        <w:t xml:space="preserve">Es erróneo afirmar que la Ley Foral navarra comprometa el derecho al libre desarrollo de la personalidad (art. 10.1 CE), la intimidad personal y familiar (art. 18.1 CE) y el derecho a no casarse (art. 32 CE). Las mínimas previsiones de Derecho necesario que la Ley Foral contiene (referidas a la posibilidad de reclamar una pensión periódica o una compensación económica) han de ser incardinadas plenamente dentro de los supuestos de responsabilidad que deben asumir las personas como consecuencias necesarias e ineludibles de sus propios </w:t>
      </w:r>
      <w:r>
        <w:lastRenderedPageBreak/>
        <w:t>actos, libremente adoptados, y que también tiene que amparar el Derecho. No pueden invocarse los arts. 10.1, 18.1 y 32 CE para eludir o exonerar una responsabilidad que es consustancial al concepto mismo de libertad. La Ley Foral se limita así a establecer una mínima regulación de los aspectos más esenciales que se derivan de una relación de pareja, y que en cualquier sociedad desarrollada serían considerados como elemental consecuencia de una actuación personal responsable.</w:t>
      </w:r>
    </w:p>
    <w:p w:rsidR="0026452D" w:rsidRDefault="0026452D" w:rsidP="0026452D">
      <w:pPr>
        <w:pStyle w:val="TextoNormal"/>
      </w:pPr>
    </w:p>
    <w:p w:rsidR="0026452D" w:rsidRDefault="0026452D" w:rsidP="0026452D">
      <w:pPr>
        <w:pStyle w:val="TextoNormal"/>
      </w:pPr>
      <w:r>
        <w:t>El hecho de que la Ley Foral sea aplicable cuando, al menos, uno de los miembros de la pareja estable tenga la vecindad civil navarra (art. 2.3) no desconoce el art. 149.1.8 CE, en relación con los arts. 14 y 149.1.1 CE. Bastaría con recordar que tal previsión, idéntica a la contenida en el art. 1 de la Ley catalana 10/1998, de 15 de julio, no supone otra cosa que la aplicación de la norma a la pareja estable en la que uno de sus miembros posea la vecindad civil navarra, ateniéndose siempre a que dicha interpretación sea posible si lo permiten las normas estatales previstas para resolver los conflictos de leyes o, dicho de otro modo, cuando no vulneren lo previsto en estas últimas. Según esta interpretación el precepto impugnado sería una reiteración de lo previsto en la Ley 16 de la Compilación del Derecho civil foral de Navarra e incluso en el art. 43 LORAFNA. Por otra parte, como reconocen los Diputados recurrentes, el Código civil no contempla una regla conflictual para resolver cuestiones civiles que se susciten entre los distintos sistemas forales sobre las parejas estables, por lo difícilmente puede haber sido desconocida por el legislador foral. Cierto es que al Estado central le corresponde regular dicho extremo, pero es claro que su silencio no impide que las Comunidades Autónomas puedan legislar en el marco de sus competencias respecto del Derecho civil foral.</w:t>
      </w:r>
    </w:p>
    <w:p w:rsidR="0026452D" w:rsidRDefault="0026452D" w:rsidP="0026452D">
      <w:pPr>
        <w:pStyle w:val="TextoNormal"/>
      </w:pPr>
    </w:p>
    <w:p w:rsidR="0026452D" w:rsidRDefault="0026452D" w:rsidP="0026452D">
      <w:pPr>
        <w:pStyle w:val="TextoNormal"/>
      </w:pPr>
      <w:r>
        <w:t>Por otra parte, las previsiones referidas al Derecho fiscal y a la función pública foral se aplican de conformidad con lo previsto en el Convenio económico suscrito entre el Estado y Navarra y cuando se dé una relación funcionarial, respectivamente. La vecindad civil tan sólo es relevante a efectos de desencadenar los efectos civiles de la norma.</w:t>
      </w:r>
    </w:p>
    <w:p w:rsidR="0026452D" w:rsidRDefault="0026452D" w:rsidP="0026452D">
      <w:pPr>
        <w:pStyle w:val="TextoNormal"/>
      </w:pPr>
    </w:p>
    <w:p w:rsidR="0026452D" w:rsidRDefault="0026452D" w:rsidP="0026452D">
      <w:pPr>
        <w:pStyle w:val="TextoNormal"/>
      </w:pPr>
      <w:r>
        <w:t>En definitiva, la Letrada del Parlamento Foral concluye que ninguno de los preceptos de la Ley Foral impugnada merece reproche constitucional alguno, para lo que examina las concretas alegaciones de los recurrentes a concretos preceptos de la Ley Foral 6/2000. Así, cuestiona la impugnación del art. 1 que sería irreprochable en la medida en que establece como principio general la prohibición de discriminación en la interpretación y aplicación del ordenamiento jurídico de Navarra. Respecto a los arts. 5 al 10 niega que produzcan discriminación del matrimonio frente a las parejas de hecho. Tampoco los arts. 6 y 7 incurren en exceso competencial alguno ni lesionan el principio de igualdad de las personas unidas por vínculo matrimonial. Igualmente el art. 8 se incardina en las competencias de la Comunidad Foral en la materia, sin que nada se argumente respecto a su inconstitucionalidad, algo que también sucede en relación con los arts. 9 y 10 sobre los que únicamente se afirma que vulneran los arts. 149.1.1 y 149.1.8 así como 32 y 39 CE. Los arts. 12 y 13 no han incurrido en un exceso competencial, como evidencian los arts. 45 y 49 LORAFNA, que avalan la posibilidad de establecer la regulación contenida en los mismos en las materias tributaria y de función pública foral. Sobre las alegadas dificultades de prueba alude a que son, de hecho, muchos los preceptos que se han hecho eco de las parejas estables y el Parlamento Foral no ha sido ajeno a esta preocupación (como muestran las iniciativas que afectan a la legislación en materia de derechos pasivos —que previsiblemente hará referencia a la Ley Foral cuestionada— y al impuesto sobre la renta de las personas físicas).</w:t>
      </w:r>
    </w:p>
    <w:p w:rsidR="0026452D" w:rsidRDefault="0026452D" w:rsidP="0026452D">
      <w:pPr>
        <w:pStyle w:val="TextoNormal"/>
      </w:pPr>
    </w:p>
    <w:p w:rsidR="0026452D" w:rsidRDefault="0026452D" w:rsidP="0026452D">
      <w:pPr>
        <w:pStyle w:val="TextoNormal"/>
      </w:pPr>
      <w:r w:rsidRPr="0026452D">
        <w:rPr>
          <w:rStyle w:val="NumeroAFNegritaCaracter"/>
        </w:rPr>
        <w:t>7</w:t>
      </w:r>
      <w:r>
        <w:t>. Por ATC 189/2012, de 16 de octubre, el Pleno de este Tribunal estimó la causa de abstención planteada por el Magistrado don Andrés Ollero Tassara, apartándole definitivamente del conocimiento del presente recurso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23 de abril de 2013 se señaló el día 23 del mismo mes y año para la deliberación y votación de la presente Sentencia.</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recurso de inconstitucionalidad que nos ocupa ha sido promovido por ochenta y tres Diputados pertenecientes al Grupo Parlamentario Popular en el Congreso de los Diputados, en el que impugnan la Ley Foral de Navarra 6/2000, de 3 de julio, para la igualdad jurídica de las parejas estables. Los recurrentes fundamentan el recurso, en síntesis, en los siguientes motivos: a) La citada norma legal ha sido dictada en relación con una materia perteneciente al marco de las competencias que corresponden al Estado; concretamente, las referidas a la regulación de “las relaciones jurídico-civiles relativas a las formas de matrimonio” (art. 149.1.8 CE), razón por la que debe ser declarada inconstitucional en bloque. b) La Ley 6/2000 incurre en el vicio formal de no indicar que se trata de una ley foral de mayoría absoluta. c) La Ley compromete los derechos al libre desarrollo de la personalidad, a la intimidad personal y familiar y a no casarse (arts. 10.1, 18.1 y 32.1 CE), en la medida en que impone determinados efectos jurídicos a personas que no han expresado su deseo de casarse. d) Por último, argumentan que los distintos preceptos en los que se articula la Ley Foral incurren en diversos motivos de inconstitucionalidad; que en algunos casos son un mero reflejo de las alegaciones ya realizadas y en otros supuestos resultan de otras consideraciones suplementarias. Así, entre otros aspectos, estiman que el art. 2.3, que establece una norma conflictual, invade la competencia exclusiva del Estado central referida a las “normas para resolver los conflictos de leyes” (art. 149.1.8 CE); que el art. 8, en la medida en que permite la adopción a las parejas estables homosexuales, sería inconstitucional por vulnerar el art. 39.2 CE; o que los arts. 12 y 13, referidos a los efectos fiscales o a la materia “función pública”, deben ser declarados inconstitucionales por incluirse en una ley foral de mayoría absoluta.</w:t>
      </w:r>
    </w:p>
    <w:p w:rsidR="0026452D" w:rsidRDefault="0026452D" w:rsidP="0026452D">
      <w:pPr>
        <w:pStyle w:val="TextoNormal"/>
      </w:pPr>
    </w:p>
    <w:p w:rsidR="0026452D" w:rsidRDefault="0026452D" w:rsidP="0026452D">
      <w:pPr>
        <w:pStyle w:val="TextoNormal"/>
      </w:pPr>
      <w:r>
        <w:t>El Abogado del Estado comparte, en lo sustancial, la posición mantenida por los recurrentes al impugnar la totalidad de la Ley Foral 6/2000 pues entiende que vulnera el art. 149.1.8 CE por los motivos ya reseñados y que la constitución forzosa del matrimonio constriñe la libertad de sus integrantes.</w:t>
      </w:r>
    </w:p>
    <w:p w:rsidR="0026452D" w:rsidRDefault="0026452D" w:rsidP="0026452D">
      <w:pPr>
        <w:pStyle w:val="TextoNormal"/>
      </w:pPr>
    </w:p>
    <w:p w:rsidR="0026452D" w:rsidRDefault="0026452D" w:rsidP="0026452D">
      <w:pPr>
        <w:pStyle w:val="TextoNormal"/>
      </w:pPr>
      <w:r>
        <w:t xml:space="preserve">El Asesor Jurídico-Letrado de la Comunidad Foral y la Letrada del Parlamento autonómico han defendido la constitucionalidad de la Ley Foral cuestionada. Ambos mantienen que se ha dictado en el ejercicio de competencias propias de Navarra referidas al Derecho civil foral y a ámbitos fiscales y de función pública. Afirman que, en todo caso, la legislación controvertida no regula una forma de matrimonio, sino que se limita a atribuir consecuencias jurídicas al fenómeno social de las parejas estables. Por lo que se refiere a la extensión de beneficios fiscales o a las normas sobre función pública, sostienen que no solamente no pueden considerarse inconstitucionales, sino que se inscriben en el marco de las posibilidades que la jurisprudencia constitucional abre en el campo regulador de las consecuencias de </w:t>
      </w:r>
      <w:r>
        <w:lastRenderedPageBreak/>
        <w:t xml:space="preserve">la convivencia </w:t>
      </w:r>
      <w:r w:rsidRPr="0026452D">
        <w:rPr>
          <w:i/>
        </w:rPr>
        <w:t>more uxorio</w:t>
      </w:r>
      <w:r>
        <w:t>. En definitiva, afirman que el régimen de la Ley navarra no trata sino de proteger un nuevo tipo de familia de hecho, y no de regular un nuevo género de matrimonio.</w:t>
      </w:r>
    </w:p>
    <w:p w:rsidR="0026452D" w:rsidRDefault="0026452D" w:rsidP="0026452D">
      <w:pPr>
        <w:pStyle w:val="TextoNormal"/>
      </w:pPr>
    </w:p>
    <w:p w:rsidR="0026452D" w:rsidRDefault="0026452D" w:rsidP="0026452D">
      <w:pPr>
        <w:pStyle w:val="TextoNormal"/>
      </w:pPr>
      <w:r>
        <w:t>La Letrada del Parlamento de Navarra señala, además, que la Ley Foral no lesiona el derecho de los integrantes de las parejas estables a no casarse, ni incide sobre los derechos al libre desarrollo de la personalidad y a la intimidad personal y familiar al imponer una serie de obligaciones hacia el otro conviviente. Tales responsabilidades son consecuencia, a su entender, del propio ejercicio responsable de la libertad de los componentes de las parejas estables. La regla del art. 2.3 tampoco vulnera el art. 149.1.8 CE, ya que el Código civil no contempla una regla conflictual para resolver conflictos como los contemplados en el citado precepto legal. Asimismo, no cabe apreciar que se haya incurrido al promulgar la Ley Foral en vicios formales con trascendencia constitucional pues entiende que es irrelevante que la Ley Foral no explicite que se trata de una ley de mayoría absoluta, ya que se han cumplido los trámites precisos para su aprobación (siguiendo, en este punto, el acuerdo de la Mesa del Parlamento de 12 de junio de 2000, en el que se determinaban qué materias precisan de tal mayoría). Ello supone que la denuncia de que los arts. 12 y 13 de la Ley incurren en inconstitucionalidad porque no precisan de tal mayoría es inconsistente, y su admisión solamente permitiría aclarar que dichos preceptos pueden ser modificados por una ley foral que no precise de mayoría absoluta para su aprobación.</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entrar en el examen de las impugnaciones planteadas en el presente recurso de inconstitucionalidad hemos de reparar en que durante la pendencia del presente proceso constitucional algunos de los preceptos de la Ley Foral 6/2000 han sido derogados, lo que obliga ahora a analizar los cambios acaecidos a fin de determinar su incidencia sobre la pervivencia de la controversia planteada. Así, resulta que el art. 10, relativo al régimen de guarda y visitas de los hijos ha sido derogado por la Ley Foral 3/2011, de 17 de marzo, de custodia de los hijos en los casos de ruptura de la convivencia de los padres, si bien este precepto no fue objeto de impugnación en el presente recurso; por otro lado, el Decreto Foral Legislativo 250/2002, de 16 de diciembre, por el que se aprueba el texto refundido de las disposiciones del impuesto sobre sucesiones y donaciones, ha derogado el art. 12.2. Asimismo, el Decreto Foral Legislativo 4/2008, de 2 de junio, por el que se aprueba el texto refundido de la Ley Foral del impuesto sobre la renta de las personas físicas, ha derogado íntegramente la Ley Foral 22/1998, de 30 de diciembre, del impuesto sobre la renta de las personas físicas, por lo que ha de entenderse derogado también el art. 12.3 de la Ley Foral 6/2000, pese a su no mención expresa, ya que el contenido del mismo se ceñía a introducir diversas modificaciones en la citada Ley Foral 22/1998. Queda vigente, por consiguiente, el apartado 1 del art. 12, que fue impugnado en su totalidad. Finalmente, se ve afectado también por derogaciones el art. 13.3, ya que en el mismo se modificaba el art. 75 del texto refundido del estatuto del personal al servicio de las Administraciones públicas de Navarra, que fue derogado por la Ley Foral 10/2003, de 5 de marzo, sobre régimen transitorio de los derechos pasivos del personal funcionario de los montepíos de las Administraciones públicas de Navarra, de forma que sólo quedan vigentes, a los efectos de nuestro examen, los apartados 1 y 2 del art. 13 de la Ley Foral impugnada.</w:t>
      </w:r>
    </w:p>
    <w:p w:rsidR="0026452D" w:rsidRDefault="0026452D" w:rsidP="0026452D">
      <w:pPr>
        <w:pStyle w:val="TextoNormal"/>
      </w:pPr>
    </w:p>
    <w:p w:rsidR="0026452D" w:rsidRDefault="0026452D" w:rsidP="0026452D">
      <w:pPr>
        <w:pStyle w:val="TextoNormal"/>
      </w:pPr>
      <w:r>
        <w:t xml:space="preserve">Es evidente que tales cambios no afectan a la pervivencia del objeto del proceso, constituido, en los términos que se han expuesto, por la totalidad de la Ley Foral 6/2000, si bien no sucede lo mismo con las tachas de carácter no competencial formuladas respecto a los </w:t>
      </w:r>
      <w:r>
        <w:lastRenderedPageBreak/>
        <w:t xml:space="preserve">apartados citados del art. 12 y del art. 13, sobre las que ya no procede pronunciarse al haber perdido objeto por la referida derogación (así, SSTC 118/2011, de 5 de julio, FJ 10 </w:t>
      </w:r>
      <w:r w:rsidRPr="0026452D">
        <w:rPr>
          <w:i/>
        </w:rPr>
        <w:t>in fine</w:t>
      </w:r>
      <w:r>
        <w:t>; 329/2005, de 15 de diciembre, FJ 4; y 134/2004, de 22 de julio, FJ 3).</w:t>
      </w:r>
    </w:p>
    <w:p w:rsidR="0026452D" w:rsidRDefault="0026452D" w:rsidP="0026452D">
      <w:pPr>
        <w:pStyle w:val="TextoNormal"/>
      </w:pPr>
    </w:p>
    <w:p w:rsidR="0026452D" w:rsidRDefault="0026452D" w:rsidP="0026452D">
      <w:pPr>
        <w:pStyle w:val="TextoNormal"/>
      </w:pPr>
      <w:r>
        <w:t>Señalado lo anterior, aun cuando no se hayan visto afectados los preceptos concernidos en el presente proceso cumple también advertir que la Ley Orgánica 13/1982, de 10 de agosto, de reintegración y amejoramiento del régimen foral de Navarra (en adelante, LORAFNA) ha sido modificada en dos ocasiones por las Leyes Orgánicas 1/2001, de 26 de marzo, y 7/2010, de 27 de octubre, si bien tales modificaciones no han afectado a los preceptos relativos a las competencias de la Comunidad Foral que son los aquí concernidos.</w:t>
      </w:r>
    </w:p>
    <w:p w:rsidR="0026452D" w:rsidRDefault="0026452D" w:rsidP="0026452D">
      <w:pPr>
        <w:pStyle w:val="TextoNormal"/>
      </w:pPr>
    </w:p>
    <w:p w:rsidR="0026452D" w:rsidRDefault="0026452D" w:rsidP="0026452D">
      <w:pPr>
        <w:pStyle w:val="TextoNormal"/>
      </w:pPr>
      <w:r w:rsidRPr="0026452D">
        <w:rPr>
          <w:rStyle w:val="NumeroAFNegritaCaracter"/>
        </w:rPr>
        <w:t>3</w:t>
      </w:r>
      <w:r>
        <w:t>. A efectos de llevar a cabo el enjuiciamiento de la constitucionalidad de la Ley es conveniente un previo examen de su finalidad y de los rasgos básicos de su contenido.</w:t>
      </w:r>
    </w:p>
    <w:p w:rsidR="0026452D" w:rsidRDefault="0026452D" w:rsidP="0026452D">
      <w:pPr>
        <w:pStyle w:val="TextoNormal"/>
      </w:pPr>
    </w:p>
    <w:p w:rsidR="0026452D" w:rsidRDefault="0026452D" w:rsidP="0026452D">
      <w:pPr>
        <w:pStyle w:val="TextoNormal"/>
      </w:pPr>
      <w:r>
        <w:t>La finalidad de la Ley Foral 6/2000 queda explicitada en el último párrafo de su exposición de motivos, al afirmar que “pretende eliminar las discriminaciones que por razón de la condición o circunstancia personal o social de los componentes de la familia … perduran en la legislación, y perfeccionar el desarrollo normativo del principio constitucional de protección social, económica y jurídica de la familia, adecuando la normativa a la realidad social de este momento histórico”. Como punto de partida, alude la exposición de motivos a la obligación de los poderes públicos de asegurar la protección social, económica y jurídica de la familia, según postula el art. 39.1 CE, señalando que, como dicho precepto no contiene una referencia a un modelo de familia determinado o predominante, se hace necesario realizar una interpretación amplia de este término, consecuente con la realidad social y con el resto del articulado del texto constitucional, en especial con los arts. 9.2 y 14 CE. “Nuestro ordenamiento jurídico [se añade] ha recogido ya algunos casos en los que se reconoce a las parejas unidas de forma estable en una relación de afectividad análoga a la conyugal una situación equiparable a los matrimonios”; aunque todavía “permanecen en el ordenamiento distintas disposiciones legales que discriminan negativamente los modelos de familia distintos del tradicional, basado en el matrimonio” a pesar de que el art. 32 CE incluye el derecho a no contraerlo. Finalmente, se fundamenta la regulación en la competencia exclusiva en materia de Derecho civil foral que Navarra tiene, así como en la que ostenta sobre otras materias que afectan a la situación de las parejas estables.</w:t>
      </w:r>
    </w:p>
    <w:p w:rsidR="0026452D" w:rsidRDefault="0026452D" w:rsidP="0026452D">
      <w:pPr>
        <w:pStyle w:val="TextoNormal"/>
      </w:pPr>
    </w:p>
    <w:p w:rsidR="0026452D" w:rsidRDefault="0026452D" w:rsidP="0026452D">
      <w:pPr>
        <w:pStyle w:val="TextoNormal"/>
      </w:pPr>
      <w:r>
        <w:t>En cuanto a la estructura de la Ley y su contenido, el capítulo I contempla las “Disposiciones Generales” sobre su objeto y ámbito de aplicación, comenzando con una declaración de principios relativa a que “nadie puede ser discriminado por razón del grupo familiar del que forme parte” (art. 1). El régimen establecido se aplicará “a las parejas estables cuando, al menos, uno de sus miembros tenga la vecindad civil navarra” (art. 2.3), y se extiende incluso a las parejas estables constituidas con anterioridad a su entrada en vigor (disposición transitoria).</w:t>
      </w:r>
    </w:p>
    <w:p w:rsidR="0026452D" w:rsidRDefault="0026452D" w:rsidP="0026452D">
      <w:pPr>
        <w:pStyle w:val="TextoNormal"/>
      </w:pPr>
    </w:p>
    <w:p w:rsidR="0026452D" w:rsidRDefault="0026452D" w:rsidP="0026452D">
      <w:pPr>
        <w:pStyle w:val="TextoNormal"/>
      </w:pPr>
      <w:r>
        <w:t>El art. 2 de la Ley ofrece la definición de pareja estable fijando en el apartado 1 el concepto de pareja, y en el apartado 2 los criterios que permiten presumir la estabilidad de la misma. Concretamente, el tenor del apartado 1 es el siguiente:</w:t>
      </w:r>
    </w:p>
    <w:p w:rsidR="0026452D" w:rsidRDefault="0026452D" w:rsidP="0026452D">
      <w:pPr>
        <w:pStyle w:val="TextoNormal"/>
      </w:pPr>
    </w:p>
    <w:p w:rsidR="0026452D" w:rsidRDefault="0026452D" w:rsidP="0026452D">
      <w:pPr>
        <w:pStyle w:val="TextoNormal"/>
      </w:pPr>
      <w:r>
        <w:t xml:space="preserve">“A efectos de la aplicación de este ley Foral se considera pareja estable la unión libre y pública, en una relación de afectividad análoga a la conyugal, con independencia de su </w:t>
      </w:r>
      <w:r>
        <w:lastRenderedPageBreak/>
        <w:t>orientación sexual, de dos personas mayores de edad o menores emancipadas sin vínculo de parentesco por consanguinidad o adopción en línea recta o colateral hasta el segundo grado, siempre que ninguna de ellas esté unida por un vínculo matrimonial o forme pareja estable con otra persona.”</w:t>
      </w:r>
    </w:p>
    <w:p w:rsidR="0026452D" w:rsidRDefault="0026452D" w:rsidP="0026452D">
      <w:pPr>
        <w:pStyle w:val="TextoNormal"/>
      </w:pPr>
    </w:p>
    <w:p w:rsidR="0026452D" w:rsidRDefault="0026452D" w:rsidP="0026452D">
      <w:pPr>
        <w:pStyle w:val="TextoNormal"/>
      </w:pPr>
      <w:r>
        <w:t>En cuanto a la estabilidad, se contemplan tres criterios alternativos en el citado apartado 2 con el siguiente tenor:</w:t>
      </w:r>
    </w:p>
    <w:p w:rsidR="0026452D" w:rsidRDefault="0026452D" w:rsidP="0026452D">
      <w:pPr>
        <w:pStyle w:val="TextoNormal"/>
      </w:pPr>
    </w:p>
    <w:p w:rsidR="0026452D" w:rsidRDefault="0026452D" w:rsidP="0026452D">
      <w:pPr>
        <w:pStyle w:val="TextoNormal"/>
      </w:pPr>
      <w:r>
        <w:t>“Se entenderá que la unión es estable cuando los miembros de la pareja hayan convivido maritalmente como mínimo un período ininterrumpido de un año salvo que tuvieran descendencia común, en cuyo caso bastará la mera convivencia, o salvo que hayan expresado su voluntad de constituir una pareja estable en documento público.</w:t>
      </w:r>
    </w:p>
    <w:p w:rsidR="0026452D" w:rsidRDefault="0026452D" w:rsidP="0026452D">
      <w:pPr>
        <w:pStyle w:val="TextoNormal"/>
      </w:pPr>
    </w:p>
    <w:p w:rsidR="0026452D" w:rsidRDefault="0026452D" w:rsidP="0026452D">
      <w:pPr>
        <w:pStyle w:val="TextoNormal"/>
      </w:pPr>
      <w:r>
        <w:t>En el caso de que un miembro de la pareja o ambos estén ligados por vínculo matrimonial, el tiempo de convivencia transcurrido hasta el momento en que el último de ellos obtenga la disolución o, en su caso, la nulidad, se tendrá en cuenta en el cómputo del período indicado de un año.”</w:t>
      </w:r>
    </w:p>
    <w:p w:rsidR="0026452D" w:rsidRDefault="0026452D" w:rsidP="0026452D">
      <w:pPr>
        <w:pStyle w:val="TextoNormal"/>
      </w:pPr>
    </w:p>
    <w:p w:rsidR="0026452D" w:rsidRDefault="0026452D" w:rsidP="0026452D">
      <w:pPr>
        <w:pStyle w:val="TextoNormal"/>
      </w:pPr>
      <w:r>
        <w:t>La comprobación de la concurrencia de los requisitos o criterios referidos, según establece el art. 3, podrá acreditarse “a través de cualquier medio de prueba admitido en Derecho”. En la disposición adicional se establece, además, que “[e]l Gobierno de Navarra y los Ayuntamientos podrán crear Registros de Parejas Estables para facilitar a través de su inscripción voluntaria la prueba de su constitución”, y se afirma igualmente que, si “la legislación del Estado previera la inscripción en el Registro Civil de las uniones reguladas por la presente Ley Foral, los efectos que ésta les otorgara han de entenderse referidos a las parejas que se inscriban en el mismo”.</w:t>
      </w:r>
    </w:p>
    <w:p w:rsidR="0026452D" w:rsidRDefault="0026452D" w:rsidP="0026452D">
      <w:pPr>
        <w:pStyle w:val="TextoNormal"/>
      </w:pPr>
    </w:p>
    <w:p w:rsidR="0026452D" w:rsidRDefault="0026452D" w:rsidP="0026452D">
      <w:pPr>
        <w:pStyle w:val="TextoNormal"/>
      </w:pPr>
      <w:r>
        <w:t>Contempla también la Ley Foral las causas de disolución de la pareja estable, que podrá tener lugar, a tenor de lo previsto en su art. 4, por muerte, declaración de fallecimiento, matrimonio o voluntad unilateral de uno de sus integrantes, notificada fehacientemente al otro, o de mutuo acuerdo. Asimismo, se considerará disuelta en el caso de cese efectivo de la convivencia por un período superior a un año, o en los demás supuestos acordados por sus miembros en escritura pública. En todo caso los “miembros de una pareja estable no podrán establecer otra pareja estable con tercera persona mientras no se haya producido su disolución” (art. 4.3).</w:t>
      </w:r>
    </w:p>
    <w:p w:rsidR="0026452D" w:rsidRDefault="0026452D" w:rsidP="0026452D">
      <w:pPr>
        <w:pStyle w:val="TextoNormal"/>
      </w:pPr>
    </w:p>
    <w:p w:rsidR="0026452D" w:rsidRDefault="0026452D" w:rsidP="0026452D">
      <w:pPr>
        <w:pStyle w:val="TextoNormal"/>
      </w:pPr>
      <w:r>
        <w:t>El capítulo II de la Ley, referido al contenido de la relación de pareja, contiene, por un lado, normas que regulan aspectos de la convivencia mientras esta perdura, y, por otro, normas que establecen consecuencias del cese de la convivencia, si bien se admite pacto en contrario respecto a algunas de estas previsiones. Como regla general, las relaciones personales y patrimoniales derivadas de la convivencia pueden ser reguladas por los miembros de la pareja estable mediante documento público o privado. Cabe igualmente que se acuerden “compensaciones económicas ... para el caso de disolución de la pareja, respetando, en todo caso, los derechos mínimos contemplados en la presente Ley Foral, los cuales son irrenunciables hasta el momento en que son exigibles” (art. 5.1). Por otra parte, no admite la Ley “la constitución de una pareja estable con carácter temporal” o sometida a condición (art. 5.2). En cuanto a los gastos, el art. 5.3 establece lo siguiente:</w:t>
      </w:r>
    </w:p>
    <w:p w:rsidR="0026452D" w:rsidRDefault="0026452D" w:rsidP="0026452D">
      <w:pPr>
        <w:pStyle w:val="TextoNormal"/>
      </w:pPr>
    </w:p>
    <w:p w:rsidR="0026452D" w:rsidRDefault="0026452D" w:rsidP="0026452D">
      <w:pPr>
        <w:pStyle w:val="TextoNormal"/>
      </w:pPr>
      <w:r>
        <w:lastRenderedPageBreak/>
        <w:t>“En defecto de pacto los miembros de la pareja estable contribuirán, proporcionalmente a sus posibilidades, al mantenimiento de la vivienda y de los gastos comunes, mediante aportación económica o trabajo personal. Se considerará contribución a los gastos comunes el trabajo doméstico, la colaboración personal o profesional no retribuida o insuficientemente retribuida a la profesión o a la empresa del otro miembro, así como los recursos procedentes de su actividad o de sus bienes, en proporción a sus ingresos respectivos y, si éstos no fueran suficientes, en proporción a sus patrimonios.</w:t>
      </w:r>
    </w:p>
    <w:p w:rsidR="0026452D" w:rsidRDefault="0026452D" w:rsidP="0026452D">
      <w:pPr>
        <w:pStyle w:val="TextoNormal"/>
      </w:pPr>
    </w:p>
    <w:p w:rsidR="0026452D" w:rsidRDefault="0026452D" w:rsidP="0026452D">
      <w:pPr>
        <w:pStyle w:val="TextoNormal"/>
      </w:pPr>
      <w:r>
        <w:t>No tendrán la consideración de gastos comunes los derivados de la gestión y la defensa de los bienes propios de cada miembro, ni, en general, los que respondan al interés exclusivo de uno de los miembros de la pareja.”</w:t>
      </w:r>
    </w:p>
    <w:p w:rsidR="0026452D" w:rsidRDefault="0026452D" w:rsidP="0026452D">
      <w:pPr>
        <w:pStyle w:val="TextoNormal"/>
      </w:pPr>
    </w:p>
    <w:p w:rsidR="0026452D" w:rsidRDefault="0026452D" w:rsidP="0026452D">
      <w:pPr>
        <w:pStyle w:val="TextoNormal"/>
      </w:pPr>
      <w:r>
        <w:t>Igualmente, los miembros de la pareja estable conforme al art. 7 de la Ley son “responsables solidariamente frente a terceras personas de las obligaciones contraídas por los gastos necesarios para el mantenimiento de la casa y la atención de los hijos comunes”.</w:t>
      </w:r>
    </w:p>
    <w:p w:rsidR="0026452D" w:rsidRDefault="0026452D" w:rsidP="0026452D">
      <w:pPr>
        <w:pStyle w:val="TextoNormal"/>
      </w:pPr>
    </w:p>
    <w:p w:rsidR="0026452D" w:rsidRDefault="0026452D" w:rsidP="0026452D">
      <w:pPr>
        <w:pStyle w:val="TextoNormal"/>
      </w:pPr>
      <w:r>
        <w:t>En cuanto al cese de la relación de pareja estable, la Ley establece determinados efectos que se proyectan especialmente sobre la esfera patrimonial de los convivientes, ya que “cualquiera de los miembros” puede reclamar del otro una pensión periódica si la necesitara para atender adecuadamente a su sustento: si la convivencia restringió su capacidad de obtener ingresos, durante un periodo máximo de tres años, hasta que contraiga nuevo matrimonio o viva maritalmente con otra persona, o si se produce la concurrencia de una de las causas de extinción del derecho de alimentos; o, si el cuidado de los hijos comunes a su cargo le impidiera o dificultara para la realización de actividades laborales, hasta que la atención de éstos cese por cualquier motivo o alcancen la mayoría de edad o sean emancipados, salvo los supuestos de incapacidad. La pensión alimenticia periódica “será disminuida o extinguida en la medida en que el desequilibrio que compensa disminuya o desaparezca” (arts. 5.4 y 6.2 y 4). Igualmente se prevé que, en defecto de pacto, aquel de los convivientes que, sin retribución o con retribución insuficiente, haya trabajado para el hogar común o para el otro, pueda reclamar una compensación económica si por dicho motivo se hubiese generado una situación de desigualdad entre el patrimonio de ambos que implique un enriquecimiento injusto. La compensación deberá abonarse en el plazo máximo de tres años (arts. 5.5 y 6.3). Todas estas reclamaciones deben realizarse en el plazo de un año a contar desde el cese de la convivencia (art. 6.1).</w:t>
      </w:r>
    </w:p>
    <w:p w:rsidR="0026452D" w:rsidRDefault="0026452D" w:rsidP="0026452D">
      <w:pPr>
        <w:pStyle w:val="TextoNormal"/>
      </w:pPr>
    </w:p>
    <w:p w:rsidR="0026452D" w:rsidRDefault="0026452D" w:rsidP="0026452D">
      <w:pPr>
        <w:pStyle w:val="TextoNormal"/>
      </w:pPr>
      <w:r>
        <w:t>Asimismo, los miembros de una pareja estable se equiparan a los cónyuges unidos por matrimonio en lo que atañe a las disposiciones “relacionadas con la tutela, la curatela, la incapacitación, la declaración de ausencia y la declaración de prodigalidad” (art. 9) y se les reconoce, asimismo, la posibilidad de adoptar, previéndose la adecuación de la normativa foral sobre adopciones y acogimiento para contemplar el modelo de familia formado por parejas estables (art. 8).</w:t>
      </w:r>
    </w:p>
    <w:p w:rsidR="0026452D" w:rsidRDefault="0026452D" w:rsidP="0026452D">
      <w:pPr>
        <w:pStyle w:val="TextoNormal"/>
      </w:pPr>
    </w:p>
    <w:p w:rsidR="0026452D" w:rsidRDefault="0026452D" w:rsidP="0026452D">
      <w:pPr>
        <w:pStyle w:val="TextoNormal"/>
      </w:pPr>
      <w:r>
        <w:t xml:space="preserve">El capítulo III de la Ley regula el régimen sucesorio, fiscal y en materia de función pública aplicable a las parejas estables. En el campo sucesorio se modifican diversas leyes de la Compilación de Derecho civil foral de Navarra con el fin de equiparar la posición de miembro de una pareja estable con la que se asigna al cónyuge. Tal asimilación se establece </w:t>
      </w:r>
      <w:r>
        <w:lastRenderedPageBreak/>
        <w:t>igualmente en el plano fiscal (art. 12) y de función pública (art. 13), introduciéndose asimismo las correspondientes modificaciones en la normativa fiscal y de función pública de la Comunidad Foral de Navarra.</w:t>
      </w:r>
    </w:p>
    <w:p w:rsidR="0026452D" w:rsidRDefault="0026452D" w:rsidP="0026452D">
      <w:pPr>
        <w:pStyle w:val="TextoNormal"/>
      </w:pPr>
    </w:p>
    <w:p w:rsidR="0026452D" w:rsidRDefault="0026452D" w:rsidP="0026452D">
      <w:pPr>
        <w:pStyle w:val="TextoNormal"/>
      </w:pPr>
      <w:r w:rsidRPr="0026452D">
        <w:rPr>
          <w:rStyle w:val="NumeroAFNegritaCaracter"/>
        </w:rPr>
        <w:t>4</w:t>
      </w:r>
      <w:r>
        <w:t>. Como ha quedado expuesto anteriormente, los Diputados recurrentes justifican la inconstitucionalidad, en todo o en parte, de la Ley Foral 6/2000 con diversos motivos, unos de carácter formal y otros sustanciales. Abordaremos en primer lugar el examen de los motivos procedimentales y, a continuación, los de índole competencial y aquellos otros que, a juicio de los recurrentes, deben conducir, al igual que los primeros, a que este Tribunal declare la nulidad de la Ley Foral 6/2000 en su conjunto, para, en caso de resultar procedente, analizar posteriormente las tachas singulares que, respecto de cada grupo de motivos de impugnación, se plantean en el presente recurso de inconstitucionalidad en relación con concretos preceptos de la Ley Foral 6/2000.</w:t>
      </w:r>
    </w:p>
    <w:p w:rsidR="0026452D" w:rsidRDefault="0026452D" w:rsidP="0026452D">
      <w:pPr>
        <w:pStyle w:val="TextoNormal"/>
      </w:pPr>
    </w:p>
    <w:p w:rsidR="0026452D" w:rsidRDefault="0026452D" w:rsidP="0026452D">
      <w:pPr>
        <w:pStyle w:val="TextoNormal"/>
      </w:pPr>
      <w:r>
        <w:t>El primer motivo que podría justificar, a juicio de los recurrentes, la inconstitucionalidad del conjunto de la Ley Foral 6/2000 deriva de vicios procedimentales. Se alega, en este sentido, que la Ley Foral, que ha sido aprobada por mayoría absoluta en virtud de lo previsto en el art. 20.2 LORAFNA, no explicita este dato ni identifica los preceptos que se incluyen en ella que no precisaban de tal mayoría. Tales omisiones comprometerían, a juicio de los recurrentes, los principios de publicidad y de seguridad jurídica (art. 9.3 CE).</w:t>
      </w:r>
    </w:p>
    <w:p w:rsidR="0026452D" w:rsidRDefault="0026452D" w:rsidP="0026452D">
      <w:pPr>
        <w:pStyle w:val="TextoNormal"/>
      </w:pPr>
    </w:p>
    <w:p w:rsidR="0026452D" w:rsidRDefault="0026452D" w:rsidP="0026452D">
      <w:pPr>
        <w:pStyle w:val="TextoNormal"/>
      </w:pPr>
      <w:r>
        <w:t>No comparten este enfoque los Letrados del Gobierno y del Parlamento de Navarra. Ambos recuerdan, en primer lugar, que la Ley Foral cumple con las exigencias que, para su aprobación, imponen la LORAFNA y el Reglamento del Parlamento de Navarra. Hacen notar, por otra parte, que no hay dos tipos de leyes en el ordenamiento navarro ni paralelismo alguno entre la aprobación y promulgación de las leyes navarras y la aprobación y promulgación de las leyes orgánicas y las leyes ordinarias en el Estado. La Letrada del Parlamento navarro sostiene, en particular, que la necesidad de que la Ley Foral impugnada se apruebe por mayoría absoluta se contiene en el acuerdo de la Mesa del Parlamento de 12 de junio de 2000, por incidir en el Derecho civil foral, tal y como dispone expresamente el art. 20.2 LORAFNA, en relación con el art. 48.2 del mismo cuerpo normativo, por lo que es evidente que no se produce ningún tipo de “congelación” en las normas contenidas en la Ley Foral referibles a otros ámbitos competenciales, como son el fiscal o el que corresponde a materias propias de la función pública. En todo caso, la eventual estimación del recurso solamente podría dar lugar, a su juicio, al pronunciamiento de una sentencia interpretativa, en la que el Tribunal Constitucional aclarase que las normas que regulan las materias que se acaban de citar pueden ser modificadas por mayoría simple.</w:t>
      </w:r>
    </w:p>
    <w:p w:rsidR="0026452D" w:rsidRDefault="0026452D" w:rsidP="0026452D">
      <w:pPr>
        <w:pStyle w:val="TextoNormal"/>
      </w:pPr>
    </w:p>
    <w:p w:rsidR="0026452D" w:rsidRDefault="0026452D" w:rsidP="0026452D">
      <w:pPr>
        <w:pStyle w:val="TextoNormal"/>
      </w:pPr>
      <w:r>
        <w:t xml:space="preserve">Con independencia de las similitudes y diferencias que puedan establecerse entre los distintos instrumentos normativos que suponen las leyes orgánicas y las leyes forales de mayoría absoluta, si lo que se presume vulnerado son los principios de publicidad y seguridad jurídica (art. 9.3 CE) es obvio que tal denuncia no puede acogerse puesto que resulta claro que la Ley Foral 6/2000 ha cumplido con todos los trámites previstos en la LORAFNA y en el Reglamento de la Cámara para desplegar, válidamente, sus efectos jurídicos. Así, en el “Boletín Oficial del Parlamento Navarro” núm. 51 de la V Legislatura, de 21 de junio de 2000, se recoge el acuerdo de la Mesa del Parlamento de Navarra en el que se indica, expresamente, que la proposición de la ley foral para la igualdad jurídica de las parejas estables requiere mayoría absoluta para su aprobación porque “recoge la modificación expresa de </w:t>
      </w:r>
      <w:r>
        <w:lastRenderedPageBreak/>
        <w:t xml:space="preserve">determinados preceptos de la vigente Compilación civil foral de Navarra”. Desde el momento en que este dato aparece publicado en un “Boletín Oficial” no pueden oponerse, en contra de la validez de la norma, los principios citados en el art. 9.3 CE. Y, si bien es indudable que pudiera resultar conveniente que las leyes forales de mayoría absoluta que incluyen preceptos que no precisan de tal requisito los identificaran, lo cierto es que, como han apuntado las representaciones procesales de las instituciones forales, no existen en el ordenamiento navarro dos tipos de leyes forales en función de la mayoría necesaria para su aprobación, por lo que “al margen del juicio que merezca desde el punto de vista de la técnica legislativa, no incluido en el juicio de constitucionalidad (STC 109/1987, de 29 de junio)” [STC 124/2003, de 19 de junio, FJ 8 b)], del </w:t>
      </w:r>
      <w:r w:rsidRPr="0026452D">
        <w:rPr>
          <w:i/>
        </w:rPr>
        <w:t>modus operandi</w:t>
      </w:r>
      <w:r>
        <w:t xml:space="preserve"> seguido para su aprobación y promulgación no puede derivarse la inconstitucionalidad de la Ley Foral 6/2000.</w:t>
      </w:r>
    </w:p>
    <w:p w:rsidR="0026452D" w:rsidRDefault="0026452D" w:rsidP="0026452D">
      <w:pPr>
        <w:pStyle w:val="TextoNormal"/>
      </w:pPr>
    </w:p>
    <w:p w:rsidR="0026452D" w:rsidRDefault="0026452D" w:rsidP="0026452D">
      <w:pPr>
        <w:pStyle w:val="TextoNormal"/>
      </w:pPr>
      <w:r>
        <w:t>En suma, por lo expuesto, este primer motivo de inconstitucionalidad ha de ser desestimado.</w:t>
      </w:r>
    </w:p>
    <w:p w:rsidR="0026452D" w:rsidRDefault="0026452D" w:rsidP="0026452D">
      <w:pPr>
        <w:pStyle w:val="TextoNormal"/>
      </w:pPr>
    </w:p>
    <w:p w:rsidR="0026452D" w:rsidRDefault="0026452D" w:rsidP="0026452D">
      <w:pPr>
        <w:pStyle w:val="TextoNormal"/>
      </w:pPr>
      <w:r w:rsidRPr="0026452D">
        <w:rPr>
          <w:rStyle w:val="NumeroAFNegritaCaracter"/>
        </w:rPr>
        <w:t>5</w:t>
      </w:r>
      <w:r>
        <w:t>. El segundo motivo por el que se impugna el conjunto de la Ley Foral 6/2000 es el de que dicho texto normativo invadiría la competencia estatal referida a las “relaciones jurídico-civiles relativas a las formas de matrimonio” (art. 149.1.8 CE), argumentando los Diputados recurrentes, como fundamento exclusivo de su queja, que se produce tal vulneración de la competencia exclusiva del Estado porque la norma impugnada no hace otra cosa que introducir en el ordenamiento jurídico navarro una nueva forma de matrimonio, para lo que la Comunidad Foral de Navarra carece de competencias. Las representaciones procesales del Gobierno y del Parlamento de Navarra defienden la constitucionalidad de la normativa impugnada, que se inscribe, a su parecer, en el art. 48.1 LORAFNA, precepto en el que se dispone que “Navarra tiene competencia exclusiva en materia de Derecho civil foral”, sin que con la misma se pretenda regular una forma de matrimonio, ni, por tanto, vulnerar la competencia estatal.</w:t>
      </w:r>
    </w:p>
    <w:p w:rsidR="0026452D" w:rsidRDefault="0026452D" w:rsidP="0026452D">
      <w:pPr>
        <w:pStyle w:val="TextoNormal"/>
      </w:pPr>
    </w:p>
    <w:p w:rsidR="0026452D" w:rsidRDefault="0026452D" w:rsidP="0026452D">
      <w:pPr>
        <w:pStyle w:val="TextoNormal"/>
      </w:pPr>
      <w:r>
        <w:t xml:space="preserve">El exceso competencial que se imputa a la Ley impugnada se ciñe a la denuncia de la vulneración de la competencia estatal sobre las “relaciones jurídico-civiles relativas a las formas de matrimonio”, por lo que debemos comenzar precisando el significado de la reserva </w:t>
      </w:r>
      <w:r w:rsidRPr="0026452D">
        <w:rPr>
          <w:i/>
        </w:rPr>
        <w:t>ex</w:t>
      </w:r>
      <w:r>
        <w:t xml:space="preserve"> art. 149.1.8 CE “en todo caso” al Estado de determinadas regulaciones, entre ellas la referida a las relaciones jurídico-civiles relativas a las “formas de matrimonio”. Lo cual implica la exclusión de cualquier competencia autonómica, como ya señalamos en la STC 88/1993, de 12 de marzo, FJ 1, al afirmar: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ello sin perjuicio, claro está, de lo que en el último inciso del art. 149.1.8 se dispone en orden a la determinación de las fuentes del Derecho.”</w:t>
      </w:r>
    </w:p>
    <w:p w:rsidR="0026452D" w:rsidRDefault="0026452D" w:rsidP="0026452D">
      <w:pPr>
        <w:pStyle w:val="TextoNormal"/>
      </w:pPr>
    </w:p>
    <w:p w:rsidR="0026452D" w:rsidRDefault="0026452D" w:rsidP="0026452D">
      <w:pPr>
        <w:pStyle w:val="TextoNormal"/>
      </w:pPr>
      <w:r>
        <w:t xml:space="preserve">A los efectos que ahora interesan, la extensión de dicha competencia puede definirse por su relación con el art. 32.2 CE. Dicho precepto constitucional dispone que “la ley regulará las formas de matrimonio, la edad y capacidad para contraerlo, los derechos y deberes de los cónyuges, las causas de separación y disolución y sus efectos”. De esta suerte, hemos de considerar que, siquiera por relación con el citado precepto constitucional, la competencia estatal </w:t>
      </w:r>
      <w:r w:rsidRPr="0026452D">
        <w:rPr>
          <w:i/>
        </w:rPr>
        <w:t>ex</w:t>
      </w:r>
      <w:r>
        <w:t xml:space="preserve"> art. 149.1.8 CE se extiende al sistema matrimonial (requisitos materiales y formales y causas de extinción) y al contenido personal del matrimonio, esto es, el régimen de </w:t>
      </w:r>
      <w:r>
        <w:lastRenderedPageBreak/>
        <w:t>derechos y deberes de los cónyuges con exclusión del régimen económico matrimonial en los territorios con competencias propias en Derecho civil especial o foral, lo que, por otra parte, coincidiría con lo dispuesto en el art. 13.1 del Código civil.</w:t>
      </w:r>
    </w:p>
    <w:p w:rsidR="0026452D" w:rsidRDefault="0026452D" w:rsidP="0026452D">
      <w:pPr>
        <w:pStyle w:val="TextoNormal"/>
      </w:pPr>
    </w:p>
    <w:p w:rsidR="0026452D" w:rsidRDefault="0026452D" w:rsidP="0026452D">
      <w:pPr>
        <w:pStyle w:val="TextoNormal"/>
      </w:pPr>
      <w:r>
        <w:t>Por su parte, la competencia exclusiva de Navarra en materia de Derecho civil foral encuentra cobertura constitucional en el art. 149.1.8 CE, precepto en el que se alude a “la conservación, modificación y desarrollo por las Comunidades Autónomas de los derechos civiles, forales o especiales, allí donde existan”, lo que ha de interpretarse en los términos de nuestra reiterada doctrina (por todas, STC 156/1993, de 6 de mayo, FJ 1). En similares términos se pronuncia el art. 48 LORAFNA. Es indudable, a la vista de la expresión que acaba de verterse, que Navarra “goza de una amplia libertad de configuración legal” en el ejercicio de su competencia en materia de Derecho civil foral (STC 236/2000, de 16 de octubre, FJ 3).</w:t>
      </w:r>
    </w:p>
    <w:p w:rsidR="0026452D" w:rsidRDefault="0026452D" w:rsidP="0026452D">
      <w:pPr>
        <w:pStyle w:val="TextoNormal"/>
      </w:pPr>
    </w:p>
    <w:p w:rsidR="0026452D" w:rsidRDefault="0026452D" w:rsidP="0026452D">
      <w:pPr>
        <w:pStyle w:val="TextoNormal"/>
      </w:pPr>
      <w:r>
        <w:t xml:space="preserve">Ahora bien, el declarado objeto de la regulación del legislador foral no es el matrimonio sino la convivencia estable </w:t>
      </w:r>
      <w:r w:rsidRPr="0026452D">
        <w:rPr>
          <w:i/>
        </w:rPr>
        <w:t>more uxorio</w:t>
      </w:r>
      <w:r>
        <w:t xml:space="preserve"> desarrollada al margen del matrimonio, según la definición establecida en el art. 2.1 de la Ley Foral 6/2000. Importa en este momento destacar que, como afirmamos en la STC 184/1990, de 15 de noviembre, FJ 3, en la Constitución, el matrimonio y la convivencia extramatrimonial no son realidades equivalentes. El matrimonio es una institución social garantizada por nuestra norma suprema, y el derecho a contraerlo es un derecho constitucional (art. 32.1), cuyo régimen jurídico corresponde a la ley por mandato constitucional (art. 32.2) mientras que “nada de ello ocurre con la unión de hecho </w:t>
      </w:r>
      <w:r w:rsidRPr="0026452D">
        <w:rPr>
          <w:i/>
        </w:rPr>
        <w:t>more uxorio</w:t>
      </w:r>
      <w:r>
        <w:t>, que ni es una institución jurídicamente garantizada ni hay un derecho constitucional expreso a su establecimiento”.</w:t>
      </w:r>
    </w:p>
    <w:p w:rsidR="0026452D" w:rsidRDefault="0026452D" w:rsidP="0026452D">
      <w:pPr>
        <w:pStyle w:val="TextoNormal"/>
      </w:pPr>
    </w:p>
    <w:p w:rsidR="0026452D" w:rsidRDefault="0026452D" w:rsidP="0026452D">
      <w:pPr>
        <w:pStyle w:val="TextoNormal"/>
      </w:pPr>
      <w:r>
        <w:t xml:space="preserve">En el caso que ahora analizamos se aborda la regulación de una realidad social, la de las parejas estables unidas por una relación afectiva que se desarrolla al margen del matrimonio, cuya existencia puede reconocer el ordenamiento jurídico desde diversas perspectivas, pero sin que ello implique, </w:t>
      </w:r>
      <w:r w:rsidRPr="0026452D">
        <w:rPr>
          <w:i/>
        </w:rPr>
        <w:t>per se</w:t>
      </w:r>
      <w:r>
        <w:t xml:space="preserve">, una equiparación con el matrimonio constitucionalmente garantizado. </w:t>
      </w:r>
    </w:p>
    <w:p w:rsidR="0026452D" w:rsidRDefault="0026452D" w:rsidP="0026452D">
      <w:pPr>
        <w:pStyle w:val="TextoNormal"/>
      </w:pPr>
      <w:r>
        <w:t>En relación con la denunciada pretensión del legislador navarro de equiparar la unión estable que regula en la Ley Foral 6/2000 con el matrimonio, lo que lleva a los recurrentes a entender vulnerada la competencia estatal, procede advertir que equiparar, en cuanto supone tomar como modelo determinados aspectos de una realidad prexistente para aplicarla a un supuesto de hecho distinto y en un ámbito de competencia propia, es algo conceptualmente distinto a regular una institución, en este caso el matrimonio, y se conecta, por el contrario, con la atribución de ciertas consecuencias jurídicas a la existencia de la situación de hecho que constituiría el sustrato o fundamento de la pareja estable.</w:t>
      </w:r>
    </w:p>
    <w:p w:rsidR="0026452D" w:rsidRDefault="0026452D" w:rsidP="0026452D">
      <w:pPr>
        <w:pStyle w:val="TextoNormal"/>
      </w:pPr>
    </w:p>
    <w:p w:rsidR="0026452D" w:rsidRDefault="0026452D" w:rsidP="0026452D">
      <w:pPr>
        <w:pStyle w:val="TextoNormal"/>
      </w:pPr>
      <w:r>
        <w:t xml:space="preserve">En efecto, constatado que el matrimonio y la convivencia extramatrimonial no son situaciones jurídicamente equivalentes, el legislador, dentro de su libertad de decisión, puede deducir razonablemente consecuencias de la diferente situación de partida (SSTC 184/1990, de 15 de noviembre, FJ 3; 21/1991, de 14 de febrero, FJ 2; y 199/2004, de 15 de noviembre, FJ 4, entre otras). En el caso que examinamos, el supuesto de hecho regulado no es, evidentemente, el matrimonio, pues el vínculo matrimonial genera </w:t>
      </w:r>
      <w:r w:rsidRPr="0026452D">
        <w:rPr>
          <w:i/>
        </w:rPr>
        <w:t>ope legis</w:t>
      </w:r>
      <w:r>
        <w:t xml:space="preserve"> una pluralidad de derechos y deberes que no se produce de modo jurídicamente necesario entre quienes mantienen una unidad de convivencia estable no basada en el matrimonio (STC 184/1990, FJ 3). Así como la competencia estatal en relación con el art. 32.2 CE se refiere en todo caso </w:t>
      </w:r>
      <w:r>
        <w:lastRenderedPageBreak/>
        <w:t>al matrimonio, la Ley Foral 6/2000 disciplina una realidad social diferente, ceñida a las parejas de hecho que reúnan determinados requisitos. Y aun cuando pueda encontrarse cierta conexión o paralelismo entre ambas realidades, su regulación difiere, entre otros aspectos sustanciales, en el relativo a los requisitos y formalidades que, para la celebración del matrimonio exige la formalización solemne de la prestación del consentimiento al efecto ante funcionario o autoridad, o, en su caso, en la forma prevista por la correspondiente confesión religiosa (Acuerdo entre el Estado español y la Santa Sede sobre asuntos jurídicos, firmado el 3 de enero de 1979, y las Leyes 24/1992, 25/1992 y 26/1992, de 10 de noviembre), resultando insuficientes otros ritos étnicos o culturales no reconocidos por el Estado (STC 69/2007, de 16 de abril, FJ 4). Estas evidentes diferencias, que se ponen de relieve desde la esencia misma de una y otra realidades jurídicas, impiden su equiparación conceptual, por lo que no se produce invasión alguna de la competencia exclusiva estatal sobre las relaciones jurídico-civiles relativas a las formas de matrimonio por el hecho de que la Comunidad Foral de Navarra haya decidido regular las parejas estables y atribuir determinas consecuencias jurídicas a las uniones de hecho. Se trata, en definitiva, de situaciones que reciben un tratamiento específico y diferenciado, también a efectos competenciales que son los que, en este momento, interesan.</w:t>
      </w:r>
    </w:p>
    <w:p w:rsidR="0026452D" w:rsidRDefault="0026452D" w:rsidP="0026452D">
      <w:pPr>
        <w:pStyle w:val="TextoNormal"/>
      </w:pPr>
    </w:p>
    <w:p w:rsidR="0026452D" w:rsidRDefault="0026452D" w:rsidP="0026452D">
      <w:pPr>
        <w:pStyle w:val="TextoNormal"/>
      </w:pPr>
      <w:r>
        <w:t xml:space="preserve">Por otra parte, no altera esta conclusión el hecho de que la Ley Foral impugnada discipline un fenómeno social (la pareja estable), con el fin expresamente reconocido de eliminar las discriminaciones en función del grupo familiar del que se forme parte, con independencia de que tenga su origen en el matrimonio o en una unión afectiva análoga, pues, aparte de que se trata de una pretensión que se funda en el art. 39 y no en el art. 32 CE, tal pretensión se consigue articulando un régimen jurídico diferente y específico para las relaciones familiares establecidas a partir de las parejas estables, a las que, cumpliendo determinados requisitos, se otorga un concreto estatuto jurídico, compuesto de derechos y deberes, en ocasiones estatuidos </w:t>
      </w:r>
      <w:r w:rsidRPr="0026452D">
        <w:rPr>
          <w:i/>
        </w:rPr>
        <w:t>ex lege</w:t>
      </w:r>
      <w:r>
        <w:t>. Y, en este sentido, el Parlamento Foral de Navarra, que ciertamente no puede regular el matrimonio, sí se encuentra facultado para valorar el fenómeno que las parejas estables suponen en el marco de sus competencias, y para extraer, en el campo específico de la realidad correspondiente a las mismas, las consecuencias que estime procedentes dentro de su ámbito competencial. Pero ello no incide en la competencia exclusiva que corresponde al Estado para regular la institución matrimonial de acuerdo con el art. 149.1.8 CE.</w:t>
      </w:r>
    </w:p>
    <w:p w:rsidR="0026452D" w:rsidRDefault="0026452D" w:rsidP="0026452D">
      <w:pPr>
        <w:pStyle w:val="TextoNormal"/>
      </w:pPr>
    </w:p>
    <w:p w:rsidR="0026452D" w:rsidRDefault="0026452D" w:rsidP="0026452D">
      <w:pPr>
        <w:pStyle w:val="TextoNormal"/>
      </w:pPr>
      <w:r>
        <w:t>Resulta indudable, por consiguiente, que la valoración de conjunto de la Ley permite rechazar la impugnación global que los Diputados recurrentes dirigen contra la misma por vulneración de la competencia del art. 149.1.8 CE, pues resulta claro que el legislador foral no está creando una forma de matrimonio distinta de las previstas por el legislador estatal. Y, por otra parte, aquél puede regular determinados efectos jurídicos derivados de la relación entre los que conviven de hecho, en el ejercicio de las competencias de que dispone, atendiendo a las previsiones de la LORAFNA, en materia de derecho civil (art. 48), función pública [49.1 b)] o régimen tributario (art. 45.3).</w:t>
      </w:r>
    </w:p>
    <w:p w:rsidR="0026452D" w:rsidRDefault="0026452D" w:rsidP="0026452D">
      <w:pPr>
        <w:pStyle w:val="TextoNormal"/>
      </w:pPr>
    </w:p>
    <w:p w:rsidR="0026452D" w:rsidRDefault="0026452D" w:rsidP="0026452D">
      <w:pPr>
        <w:pStyle w:val="TextoNormal"/>
      </w:pPr>
      <w:r>
        <w:t>En suma, por todo lo expuesto, este motivo de impugnación de índole competencial ha de ser desestimado.</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También tiene naturaleza competencial la concreta queja que los recurrentes dirigen contra el art. 2.3, precepto al que dedican un apartado específico, por entender que incurre </w:t>
      </w:r>
      <w:r>
        <w:lastRenderedPageBreak/>
        <w:t>en una particular vulneración competencial. Dicho artículo dispone que la regulación establecida en la Ley Foral resultará de aplicación “a las parejas estables cuando, al menos, uno de sus miembros tenga la vecindad civil navarra”.</w:t>
      </w:r>
    </w:p>
    <w:p w:rsidR="0026452D" w:rsidRDefault="0026452D" w:rsidP="0026452D">
      <w:pPr>
        <w:pStyle w:val="TextoNormal"/>
      </w:pPr>
    </w:p>
    <w:p w:rsidR="0026452D" w:rsidRDefault="0026452D" w:rsidP="0026452D">
      <w:pPr>
        <w:pStyle w:val="TextoNormal"/>
      </w:pPr>
      <w:r>
        <w:t>Los recurrentes consideran que este precepto se ha dictado en el marco de una competencia netamente estatal, en concreto, la referida al establecimiento de reglas sobre la aplicación y eficacia de las normas jurídicas así como para resolver los conflictos de leyes, lo que desconocería, además del art. 149.1.8 CE, los arts. 14 y 149.1.1 CE. La Letrada del Parlamento de Navarra entiende que el precepto en ningún caso afectaría a las normas tributarias y de función pública así como que, ante la ausencia de norma estatal, es susceptible de ser interpretado de modo conforme con el orden constitucional de distribución de competencias por constituir una norma material de derecho navarro que resultaría de aplicación cuando así resultase de lo dispuesto en las normas estatales.</w:t>
      </w:r>
    </w:p>
    <w:p w:rsidR="0026452D" w:rsidRDefault="0026452D" w:rsidP="0026452D">
      <w:pPr>
        <w:pStyle w:val="TextoNormal"/>
      </w:pPr>
    </w:p>
    <w:p w:rsidR="0026452D" w:rsidRDefault="0026452D" w:rsidP="0026452D">
      <w:pPr>
        <w:pStyle w:val="TextoNormal"/>
      </w:pPr>
      <w:r>
        <w:t xml:space="preserve">A fin de responder a la cuestión planteada hemos de partir de nuestra consolidada doctrina, establecida ya en la STC 72/1983, de 29 de julio, FJ 6, la cual recoge, a su vez, lo dispuesto por la Constitución para los supuestos de conflictos de leyes y, en consecuencia, la competencia exclusiva reservada al Estado por el art. 149.1.8 CE en cuanto a las normas para resolver tales conflictos y, por tanto, la facultad de determinar cuál es la norma válida —estatal o autonómica aplicable en cada caso. De acuerdo con ello en las SSTC 156/1993, de 6 de mayo, y 226/1993, de 8 de julio, determinamos que la reserva competencial a favor del Estado para dictar “normas para resolver los conflictos de leyes” </w:t>
      </w:r>
      <w:r w:rsidRPr="0026452D">
        <w:rPr>
          <w:i/>
        </w:rPr>
        <w:t>ex</w:t>
      </w:r>
      <w:r>
        <w:t xml:space="preserve"> art. 149.1.8 CE implicaba que se integraba en todo caso en ella la adopción de las normas de conflicto y la definición de cada uno de sus elementos, entre los que se cuenta, y con la mayor relevancia, la determinación de los puntos de conexión que lleven a la aplicación, en supuestos de tráfico jurídico interregional, de uno de los ordenamientos civiles que coexisten en España. Así, en el fundamento jurídico 3 de la primera de las citadas destacamos que “[l]a Norma fundamental —siguiendo en esto el precedente del art. 15.1 de la Constitución republicana— optó, inequívocamente, por un sistema estatal y, por tanto, uniforme de Derecho civil interregional y excluyó, en la misma medida, que pudieran las Comunidades Autónomas establecer regímenes peculiares para la resolución de los conflictos de leyes, ya por la vía de articular puntos de conexión diversos a los dispuestos en la legislación general ya, en otra hipótesis, por medio de la redefinición, alteración o manipulación de tales puntos de conexión. Esta es, en definitiva, una materia enteramente sustraída por el art. 149.1.8 a la acción normativa de las Comunidades Autónomas y atribuida ‘en todo caso’ a la legislación del Estado”.</w:t>
      </w:r>
    </w:p>
    <w:p w:rsidR="0026452D" w:rsidRDefault="0026452D" w:rsidP="0026452D">
      <w:pPr>
        <w:pStyle w:val="TextoNormal"/>
      </w:pPr>
    </w:p>
    <w:p w:rsidR="0026452D" w:rsidRDefault="0026452D" w:rsidP="0026452D">
      <w:pPr>
        <w:pStyle w:val="TextoNormal"/>
      </w:pPr>
      <w:r>
        <w:t xml:space="preserve">De este modo, como recalcamos en la STC 226/1993, de 8 de julio, FJ 6, “es a las Cortes Generales a quien corresponde el establecimiento de las normas de conflicto para la resolución de supuestos de tráfico interregional y, antes aún, la definición y regulación, en general, de los puntos de conexión conforme a los cuales han de articularse aquellas reglas. Debe, por consiguiente, el Estado regular el modo de adquisición y régimen jurídico de la vecindad civil (que es criterio para la sujeción al Derecho civil común o al especial o foral y punto de conexión para la determinación de la ley personal: arts. 14.1 y 16.1.1 del Código) y disponer, también, cuál sea la ley aplicable a las relaciones y actos jurídicos en que intervengan sujetos con vecindad civil diversa. Es del todo claro, por ello, que las normas estatales de Derecho civil interregional delimitarán el ámbito de aplicación personal de los varios ordenamientos </w:t>
      </w:r>
      <w:r>
        <w:lastRenderedPageBreak/>
        <w:t>civiles que coexisten en España, delimitación para la cual no ofrece la Constitución, ciertamente, pauta o criterio positivo alguno”.</w:t>
      </w:r>
    </w:p>
    <w:p w:rsidR="0026452D" w:rsidRDefault="0026452D" w:rsidP="0026452D">
      <w:pPr>
        <w:pStyle w:val="TextoNormal"/>
      </w:pPr>
    </w:p>
    <w:p w:rsidR="0026452D" w:rsidRDefault="0026452D" w:rsidP="0026452D">
      <w:pPr>
        <w:pStyle w:val="TextoNormal"/>
      </w:pPr>
      <w:r>
        <w:t>Conforme a la doctrina expuesta, la adopción de normas unilaterales o de extensión delimitadoras de los respectivos ámbitos de aplicación espacial y personal de la norma en tanto que técnica de solución de conflictos de leyes, es, por tanto, una tarea que, en principio, resulta vedada a la actuación del legislador autonómico. Quiere ello decir que, en este caso, es al legislador foral a quien corresponde determinar el ámbito de aplicación de las normas que aprueba si bien tal labor no puede ser realizada al margen del principio de territorialidad que limita las normas autonómicas. El propio art. 43 LORAFNA expresa esta idea cuando afirma que “[t]odas las facultades y competencias correspondientes a Navarra se entienden referidas a su propio territorio, sin perjuicio de la eficacia personal que, en los supuestos previstos en los Convenios para materias fiscales entre Navarra y el Estado o en la legislación estatal, puedan tener las normas dictadas por las Instituciones Forales” pues enuncia un principio general —la eficacia territorial de todas las normas forales— y excepciona del mismo, restringiendo de ese modo las previsiones relativas a la eficacia personal de las normas forales, las decisiones relativas al ámbito fiscal derivado del régimen de Convenio económico con el Estado así como a lo específicamente dispuesto por el legislador estatal.</w:t>
      </w:r>
    </w:p>
    <w:p w:rsidR="0026452D" w:rsidRDefault="0026452D" w:rsidP="0026452D">
      <w:pPr>
        <w:pStyle w:val="TextoNormal"/>
      </w:pPr>
    </w:p>
    <w:p w:rsidR="0026452D" w:rsidRDefault="0026452D" w:rsidP="0026452D">
      <w:pPr>
        <w:pStyle w:val="TextoNormal"/>
      </w:pPr>
      <w:r>
        <w:t>Sin embargo, es patente que el art. 2.3 de la Ley Foral 6/2000 se aparta de esta doctrina, pues, al establecer su aplicación al supuesto en que uno de los dos miembros de la pareja estable tenga vecindad civil navarra, determina el ámbito personal de aplicación de una norma integrada en el ordenamiento navarro y dispone unilateralmente, por tanto, la eventual aplicación de la normativa de la Comunidad Foral al miembro de la pareja que no tenga la vecindad civil antes citada. Al definirse el ámbito de aplicación de la Ley Foral 6/2000 en función de la ley personal de uno de los miembros de la pareja estable se contiene así una norma de solución de conflicto con otras leyes (aplicación de la Ley Foral 6/2000 en función del criterio de la vecindad civil foral de uno de los miembros de la pareja estable) que expresa la preferencia por el propio ordenamiento foral, cuando la competencia de dictar normas para resolver los conflictos de leyes se halla reservada al Estado con carácter exclusivo por el art. 149.1.8 CE, según hemos ya señalado.</w:t>
      </w:r>
    </w:p>
    <w:p w:rsidR="0026452D" w:rsidRDefault="0026452D" w:rsidP="0026452D">
      <w:pPr>
        <w:pStyle w:val="TextoNormal"/>
      </w:pPr>
    </w:p>
    <w:p w:rsidR="0026452D" w:rsidRDefault="0026452D" w:rsidP="0026452D">
      <w:pPr>
        <w:pStyle w:val="TextoNormal"/>
      </w:pPr>
      <w:r>
        <w:t>En tal sentido, con la utilización del criterio de la vecindad civil y al constituir ésta el punto de conexión para la determinación del estatuto personal, es claro que se viene a incidir sobre las “normas para resolver los conflictos de leyes”. Determinar cuál es la ley personal aplicable en los conflictos interregionales derivados de la potencial concurrencia de legislaciones diversas en la regulación de una situación, es una materia que se sitúa extramuros de las competencias autonómicas en tanto que la Constitución ha optado por que sea al Estado al que corresponda, en su caso, el establecimiento de las normas de conflicto en estos supuestos.</w:t>
      </w:r>
    </w:p>
    <w:p w:rsidR="0026452D" w:rsidRDefault="0026452D" w:rsidP="0026452D">
      <w:pPr>
        <w:pStyle w:val="TextoNormal"/>
      </w:pPr>
    </w:p>
    <w:p w:rsidR="0026452D" w:rsidRDefault="0026452D" w:rsidP="0026452D">
      <w:pPr>
        <w:pStyle w:val="TextoNormal"/>
      </w:pPr>
      <w:r>
        <w:t xml:space="preserve">La anterior conclusión no puede ser alterada por los argumentos aducidos de contrario por la representante de la Cámara autonómica. Así, la interpretación que propone la Letrada del Parlamento Foral se basa en que la norma no supone otra cosa que la aplicación de la norma foral siempre que dicha aplicación sea posible si lo permiten las eventuales normas estatales previstas para resolver los conflictos de leyes o, dicho de otra manera, cuando no vulneren lo previsto en estas últimas. Sin embargo, dicha interpretación, de no fácil compatibilidad con los parámetros de certeza y seguridad jurídica reclamados por nuestra doctrina </w:t>
      </w:r>
      <w:r>
        <w:lastRenderedPageBreak/>
        <w:t>en esta materia (STC 156/1993, de 6 de mayo, FJ 2), es también contradicha por el imperativo e incondicionado tenor literal del precepto (“se aplicarán”). Tampoco la igualmente argumentada ausencia en la legislación estatal de regla específica al respecto autoriza al legislador foral para invadir una materia que, conforme a la Constitución y la propia LORAFNA, se halla reservada al Estado pues ello sería contrario al orden constitucional de distribución de competencias y al carácter indisponible de las mismas pues es evidente que las competencias no decaen por el hecho de no haber sido ejercitadas.</w:t>
      </w:r>
    </w:p>
    <w:p w:rsidR="0026452D" w:rsidRDefault="0026452D" w:rsidP="0026452D">
      <w:pPr>
        <w:pStyle w:val="TextoNormal"/>
      </w:pPr>
    </w:p>
    <w:p w:rsidR="0026452D" w:rsidRDefault="0026452D" w:rsidP="0026452D">
      <w:pPr>
        <w:pStyle w:val="TextoNormal"/>
      </w:pPr>
      <w:r>
        <w:t>Por todo ello el art. 2.3 de la Ley Foral 6/2000 ha de ser considerado inconstitucional y nulo por invadir las competencias que corresponden al Estado.</w:t>
      </w:r>
    </w:p>
    <w:p w:rsidR="0026452D" w:rsidRDefault="0026452D" w:rsidP="0026452D">
      <w:pPr>
        <w:pStyle w:val="TextoNormal"/>
      </w:pPr>
    </w:p>
    <w:p w:rsidR="0026452D" w:rsidRDefault="0026452D" w:rsidP="0026452D">
      <w:pPr>
        <w:pStyle w:val="TextoNormal"/>
      </w:pPr>
      <w:r w:rsidRPr="0026452D">
        <w:rPr>
          <w:rStyle w:val="NumeroAFNegritaCaracter"/>
        </w:rPr>
        <w:t>7</w:t>
      </w:r>
      <w:r>
        <w:t>. Examinaremos ahora el último de los reproches de inconstitucionalidad, que se dirige contra la totalidad de la Ley Foral 6/2000 y, subsidiariamente, contra la mayor parte de sus preceptos, referido a la lesión de los derechos de libre desarrollo de la personalidad (art. 10.1 CE), a la intimidad personal (art. 18.1 CE), y a la libertad de elección de no contraer matrimonio que deriva del art. 32 CE.</w:t>
      </w:r>
    </w:p>
    <w:p w:rsidR="0026452D" w:rsidRDefault="0026452D" w:rsidP="0026452D">
      <w:pPr>
        <w:pStyle w:val="TextoNormal"/>
      </w:pPr>
    </w:p>
    <w:p w:rsidR="0026452D" w:rsidRDefault="0026452D" w:rsidP="0026452D">
      <w:pPr>
        <w:pStyle w:val="TextoNormal"/>
      </w:pPr>
      <w:r>
        <w:t xml:space="preserve">Según afirman los recurrentes, tal vulneración se produce porque la norma establece una serie de condiciones objetivas cuya concurrencia produce </w:t>
      </w:r>
      <w:r w:rsidRPr="0026452D">
        <w:rPr>
          <w:i/>
        </w:rPr>
        <w:t>ex lege</w:t>
      </w:r>
      <w:r>
        <w:t>, no solo la identificación de lo que se considera “pareja estable”, sino también la asignación correspondiente de un estatuto jurídico compuesto de derechos y deberes que, en general, operan con independencia de la propia voluntad de los miembros de la pareja. La Letrada del Parlamento de Navarra niega las vulneraciones aducidas, considerando que la norma contiene unas mínimas previsiones de Derecho necesario en relación con los aspectos más básicos que se derivan de una relación de pareja, y que se encuentran plenamente justificados por tratarse de supuestos de responsabilidad que han de asumir las personas como consecuencias necesarias de sus propios actos.</w:t>
      </w:r>
    </w:p>
    <w:p w:rsidR="0026452D" w:rsidRDefault="0026452D" w:rsidP="0026452D">
      <w:pPr>
        <w:pStyle w:val="TextoNormal"/>
      </w:pPr>
    </w:p>
    <w:p w:rsidR="0026452D" w:rsidRDefault="0026452D" w:rsidP="0026452D">
      <w:pPr>
        <w:pStyle w:val="TextoNormal"/>
      </w:pPr>
      <w:r>
        <w:t>Comenzaremos por examinar la imputación relativa a la vulneración del art. 32.1 CE. Ciertamente este Tribunal ha reconocido que del derecho a contraer matrimonio consagrado en dicho precepto constitucional se puede extraer la libertad de no contraerlo. Así, en la STC 198/2012, de 6 de noviembre, FJ 10, afirmamos: “El derecho a contraer matrimonio, o a no contraerlo, ‘se limita a asegurar la capacidad de elección, a impedir el mandato o la imposibilidad absoluta, pero no a asegurar a quien la ejercita en un determinado sentido los mismos efectos que se atribuyen a quien lo hace en otro’, añadiendo que ‘pese a la identidad de los sujetos titulares de la libertad, el contenido de la libertad positiva y negativa no (tiene) por qué ser homogéneo, y que el legislador ordinario (puede) atribuir … consecuencias a una y a otra manifestación’, de manera ‘que la primera se constituya en un auténtico derecho subjetivo, mientras que la segunda no sea más que una mera libertad jurídica, integrada en el mismo derecho fundamental, y cuyo contenido se ciñe a la posibilidad de optar o a la existencia de una alternativa de acción’ (ATC 204/2003, de 16 de junio, FJ 3)”.</w:t>
      </w:r>
    </w:p>
    <w:p w:rsidR="0026452D" w:rsidRDefault="0026452D" w:rsidP="0026452D">
      <w:pPr>
        <w:pStyle w:val="TextoNormal"/>
      </w:pPr>
    </w:p>
    <w:p w:rsidR="0026452D" w:rsidRDefault="0026452D" w:rsidP="0026452D">
      <w:pPr>
        <w:pStyle w:val="TextoNormal"/>
      </w:pPr>
      <w:r>
        <w:t xml:space="preserve">Ahora bien, puesto que los recurrentes centran su alegato en que la aplicación de la Ley Foral supone la vulneración del derecho a no contraer matrimonio, debemos rechazar la argumentación de la demanda, ya que, según hemos señalado en el fundamento anterior, la Ley Foral no regula una forma de matrimonio, sino las consecuencias que el legislador foral ha querido atribuir a una situación de hecho que se diferencia claramente del matrimonio, por lo que en modo alguno puede verse comprometido el derecho consagrado en el art. 32.1 </w:t>
      </w:r>
      <w:r>
        <w:lastRenderedPageBreak/>
        <w:t xml:space="preserve">CE en su vertiente negativa. Por el contrario, el establecimiento de alguna regulación de una situación de hecho resulta incluso acorde con dicho precepto, porque, como indicamos en la citada STC 198/2012, de 6 de noviembre, la interpretación efectuada por este Tribunal del contenido esencial del art. 32 CE deja un amplio margen al legislador no sólo para configurar todo lo relativo al matrimonio, “sino también para establecer regímenes de convivencia </w:t>
      </w:r>
      <w:r w:rsidRPr="0026452D">
        <w:rPr>
          <w:i/>
        </w:rPr>
        <w:t>more uxorio</w:t>
      </w:r>
      <w:r>
        <w:t xml:space="preserve"> paralelos al régimen matrimonial, pero con un reconocimiento jurídico diferenciado, lo que ha sido realizado, hasta la fecha, por el legislador autonómico” (FJ 10).</w:t>
      </w:r>
    </w:p>
    <w:p w:rsidR="0026452D" w:rsidRDefault="0026452D" w:rsidP="0026452D">
      <w:pPr>
        <w:pStyle w:val="TextoNormal"/>
      </w:pPr>
    </w:p>
    <w:p w:rsidR="0026452D" w:rsidRDefault="0026452D" w:rsidP="0026452D">
      <w:pPr>
        <w:pStyle w:val="TextoNormal"/>
      </w:pPr>
      <w:r w:rsidRPr="0026452D">
        <w:rPr>
          <w:rStyle w:val="NumeroAFNegritaCaracter"/>
        </w:rPr>
        <w:t>8</w:t>
      </w:r>
      <w:r>
        <w:t>. En cuanto a la queja relativa a la vulneración del libre desarrollo de la personalidad y del derecho a la intimidad personal, resulta pertinente comenzar su examen con una aproximación a la noción de unión de hecho y a las notas esenciales que se derivan de la misma.</w:t>
      </w:r>
    </w:p>
    <w:p w:rsidR="0026452D" w:rsidRDefault="0026452D" w:rsidP="0026452D">
      <w:pPr>
        <w:pStyle w:val="TextoNormal"/>
      </w:pPr>
    </w:p>
    <w:p w:rsidR="0026452D" w:rsidRDefault="0026452D" w:rsidP="0026452D">
      <w:pPr>
        <w:pStyle w:val="TextoNormal"/>
      </w:pPr>
      <w:r>
        <w:t xml:space="preserve">Bajo el concepto de unión de hecho se agrupa una diversidad de supuestos de parejas estables que, no obstante su heterogeneidad, comparten ciertas notas comunes que permiten conformar una noción general unitaria. En efecto, la unión de hecho puede caracterizarse, en principio, como una relación estable de convivencia </w:t>
      </w:r>
      <w:r w:rsidRPr="0026452D">
        <w:rPr>
          <w:i/>
        </w:rPr>
        <w:t>more uxorio</w:t>
      </w:r>
      <w:r>
        <w:t>, cuyo elemento definitorio común queda cifrado en la voluntad libremente configurada de permanecer al margen del Derecho en cuanto a las consecuencias jurídicas inherentes a la institución matrimonial a que se refiere el art. 32 CE. Debe matizarse que, si bien, como regla general, esa exclusión viene dada por la libre y voluntaria decisión de los integrantes de la pareja de no acceder a la formalización del vínculo matrimonial conforme a las previsiones legales, es notorio que históricamente se han producido situaciones de parejas que, pese a su voluntad explícita de contraer matrimonio, se encontraban con impedimentos legales para llevarlo a cabo, situaciones a las que la jurisprudencia de este Tribunal ha tratado de dar respuesta en algunos casos. Tal es el supuesto de las uniones estables que tuvieron su causa en la imposibilidad de contraer matrimonio como consecuencia de la legislación anterior a la Ley 30/1981, de 7 de julio, en la que el divorcio no se admitía legalmente como causa de disolución del matrimonio. A ellas se refieren, entre otras, la STC 184/1990, de 15 de noviembre, sobre la denegación en tales supuestos de pensiones de viudedad, y la STC 155/1998, de 13 de julio, relativa a un supuesto de resolución de un arrendamiento por no haber mantenido la recurrente una relación matrimonial, sino una unión de hecho con la persona arrendataria de la vivienda. Y en la misma situación se encontraban las parejas estables de personas del mismo sexo, que hasta la modificación introducida en el Código civil en materia de derecho a contraer matrimonio por la Ley 13/2005, de 1 de julio (cuya constitucionalidad fue declarada por la STC 198/2012, de 6 de noviembre), no tenían la posibilidad legal de contraer matrimonio con los efectos anejos al mismo. No obstante, las citadas reformas han supuesto la eliminación de los impedimentos legales que podían afectar a esos determinados grupos de uniones de hecho estables.</w:t>
      </w:r>
    </w:p>
    <w:p w:rsidR="0026452D" w:rsidRDefault="0026452D" w:rsidP="0026452D">
      <w:pPr>
        <w:pStyle w:val="TextoNormal"/>
      </w:pPr>
    </w:p>
    <w:p w:rsidR="0026452D" w:rsidRDefault="0026452D" w:rsidP="0026452D">
      <w:pPr>
        <w:pStyle w:val="TextoNormal"/>
      </w:pPr>
      <w:r>
        <w:t xml:space="preserve">Elemento esencial de la constitución de la pareja de hecho es, por tanto, su conformación extramuros de la institución matrimonial por decisión propia de sus integrantes, adoptada en ejercicio de su libertad personal, y que “se vincula con sus convicciones y creencias más íntimas” (STC 47/1993, de 8 de febrero, FJ 4). Dado que la posibilidad de elegir una u otra opción —matrimonio o pareja de hecho— se encuentra íntimamente vinculada al libre desarrollo de la personalidad (art. 10.1 CE), el Estado no puede imponer una opción o limitar las posibilidades de elección salvo en virtud de los condicionamientos que pudieran resultar de las normas de orden público interno (SSTC 184/1990, de 15 de noviembre, FJ 3; y 51/2011, de 14 de abril, FJ 8). El libre desarrollo de la personalidad quedaría afectado tanto </w:t>
      </w:r>
      <w:r>
        <w:lastRenderedPageBreak/>
        <w:t xml:space="preserve">si los poderes públicos trataran de impedir o de reprimir la convivencia </w:t>
      </w:r>
      <w:r w:rsidRPr="0026452D">
        <w:rPr>
          <w:i/>
        </w:rPr>
        <w:t>more uxorio</w:t>
      </w:r>
      <w:r>
        <w:t>, como si trataran de imponer el establecimiento, contra la voluntad de los componentes de la pareja, de un determinado tipo de vínculo no asumido de consuno por éstos, “de manera que aquel tipo de convivencia no formalizada se viera expuesta a una gravosa y penosa suerte o a soportar sanciones legales de cualquier índole” (STC 184/1990, de 15 de noviembre, FJ 2). Y esa libertad, así como la paralela prohibición de interferencia en su lícito ejercicio por parte de los poderes públicos, no queda limitada a la dimensión interna, “sino que alcanza también la expresión de las propias libertades a tener una actuación coherente con ello y a no sufrir sanción o injerencia de los poderes públicos por su ejercicio” (STC 66/1994, de 28 de febrero, FJ 3; y ATC 204/2003, de 16 de junio, FJ 2).</w:t>
      </w:r>
    </w:p>
    <w:p w:rsidR="0026452D" w:rsidRDefault="0026452D" w:rsidP="0026452D">
      <w:pPr>
        <w:pStyle w:val="TextoNormal"/>
      </w:pPr>
    </w:p>
    <w:p w:rsidR="0026452D" w:rsidRDefault="0026452D" w:rsidP="0026452D">
      <w:pPr>
        <w:pStyle w:val="TextoNormal"/>
      </w:pPr>
      <w:r>
        <w:t>Consustancial a esa libertad de decisión, adoptada en el marco de la autonomía privada de los componentes de la pareja, es el poder de gobernarse libremente en la esfera jurídica de ese espacio propio, ordenando por sí mismos su ámbito privado, el conjunto de derechos, facultades y relaciones que ostenten, si bien dentro de ciertos límites impuestos por el orden social, ya que la autonomía privada no es una regla absoluta. Así, el art. 1255 del Código civil plasma el principio de autonomía de la voluntad en las relaciones contractuales privadas, y dispone que los contratantes pueden establecer todos los pactos, cláusulas y condiciones que tengan por conveniente, “siempre que no sean contrarios a las leyes, a la moral, ni al orden público”. Pues bien, este respeto a la autonomía privada de quienes han decidido conformar una unión de hecho se traduce en el reconocimiento de que, en aras a su libertad individual, pueden desarrollar sus relaciones —antes, durante y al extinguirse esa unión— conforme a los pactos que consideren oportunos, sin más límites que los impuestos por la moral y el orden público constitucional; y esta libertad debe ser respetada por el ordenamiento jurídico en todo caso, salvo que su ejercicio concreto pudiera entrar en conflicto con valores constitucionales superiores que justificaran su constricción.</w:t>
      </w:r>
    </w:p>
    <w:p w:rsidR="0026452D" w:rsidRDefault="0026452D" w:rsidP="0026452D">
      <w:pPr>
        <w:pStyle w:val="TextoNormal"/>
      </w:pPr>
    </w:p>
    <w:p w:rsidR="0026452D" w:rsidRDefault="0026452D" w:rsidP="0026452D">
      <w:pPr>
        <w:pStyle w:val="TextoNormal"/>
      </w:pPr>
      <w:r>
        <w:t xml:space="preserve">Por otra parte, la unión de hecho puede conducir, aunque no necesariamente, a la constitución de una familia, consecuencia que nuestra jurisprudencia ha vinculado en el caso de tales uniones a su materialización efectiva por la existencia de hijos o la existencia de una efectiva voluntad de crearla, a diferencia de lo que ocurre con la familia que se constituye jurídicamente en el momento de contraer matrimonio, sin perjuicio de afirmar que la protección que garantiza el art. 39.1 CE se extiende en su caso a ambas. En efecto, hemos dicho en relación con la noción de familia a la que se refiere este precepto constitucional que, si bien “no es discutible que tal concepto incluya sin duda la familia que se origina en el matrimonio, que es en todo caso la que especialmente toman en consideración tanto la Declaración Universal de Derechos Humanos … como los Tratados sobre derechos fundamentales suscritos por España” (STC 45/1989, de 20 de febrero, FJ 4), nuestra Constitución “no ha identificado la familia a la que manda proteger con la que tiene su origen en el matrimonio”, no sólo por la regulación diferenciada de ambas instituciones, sino también por el carácter tuitivo con el que la Constitución trata a la familia, “protección que responde a imperativos ligados al carácter ‘social’ de nuestro Estado (arts. 1.1 y 9.2) y a la atención, por consiguiente, de la realidad efectiva de los modos de convivencia que en la sociedad se expresen. El sentido de estas normas constitucionales no se concilia, por lo tanto, con la constricción del concepto de familia a la de origen matrimonial, por relevante que sea en nuestra cultura —en los valores y en la realidad de los comportamientos sociales— esa modalidad de vida familiar. Existen otras junto a ella, como corresponde a una sociedad </w:t>
      </w:r>
      <w:r>
        <w:lastRenderedPageBreak/>
        <w:t>plural” (STC 222/1992, de 11 de diciembre, FJ 5). Y esa familia, distinta a la que se constituye mediante el matrimonio, concebida como realidad social a la que se extiende la protección constitucional, ha sido entendida por este Tribunal como “la que se constituye voluntariamente mediante la unión de hecho, afectiva y estable, de una pareja” (STC 47/1993, de 8 fe febrero, FJ 3).</w:t>
      </w:r>
    </w:p>
    <w:p w:rsidR="0026452D" w:rsidRDefault="0026452D" w:rsidP="0026452D">
      <w:pPr>
        <w:pStyle w:val="TextoNormal"/>
      </w:pPr>
    </w:p>
    <w:p w:rsidR="0026452D" w:rsidRDefault="0026452D" w:rsidP="0026452D">
      <w:pPr>
        <w:pStyle w:val="TextoNormal"/>
      </w:pPr>
      <w:r>
        <w:t xml:space="preserve">La unión de hecho, en cuanto realidad social relevante, sí puede ser objeto de tratamiento y de consideración por el legislador respetando determinados límites, ya que supondría una </w:t>
      </w:r>
      <w:r w:rsidRPr="0026452D">
        <w:rPr>
          <w:i/>
        </w:rPr>
        <w:t>contradictio in terminis</w:t>
      </w:r>
      <w:r>
        <w:t xml:space="preserve">, convertir en “unión de derecho” una relación estable puramente fáctica integrada por dos personas que han excluido voluntariamente acogerse a la institución matrimonial, con su correspondiente contenido imperativo de derechos y obligaciones. No es irrelevante, en este sentido, como hemos señalado en anteriores resoluciones “el dato de que la relación </w:t>
      </w:r>
      <w:r w:rsidRPr="0026452D">
        <w:rPr>
          <w:i/>
        </w:rPr>
        <w:t>more uxorio</w:t>
      </w:r>
      <w:r>
        <w:t xml:space="preserve"> se basa, precisamente, en la decisión libre y, en principio, no jurídicamente formalizada de los convivientes de mantener una relación en común que, también en principio, no produce el nacimiento de ningún derecho u obligación específicos entre ellos (STC 184/1990, fundamento jurídico 3)” (STC 155/1998, de 13 de julio, FJ 3). El problema queda, por tanto, cifrado en los límites que la propia esencia de la unión de hecho impone al legislador cuando éste decide supeditar su reconocimiento a ciertas condiciones o atribuir determinadas consecuencias jurídicas a tal unión. Obviamente, el límite principal con el que se tropieza es la propia libertad de los integrantes de la pareja y su autonomía privada, por lo que una regulación detallada de los efectos, tanto personales como patrimoniales, que se pretendan atribuir a esa unión, puede colisionar con la citada libertad, si se impusieran a los integrantes de la pareja unos efectos que, precisamente, los sujetos quisieron excluir en virtud de su decisión libre y constitucionalmente amparada de no contraer matrimonio. Por ello, el régimen jurídico que el legislador puede establecer al efecto deberá ser eminentemente dispositivo y no imperativo, so pena de vulnerar la libertad consagrada en el art. 10.1 CE. De manera que únicamente podrán considerarse respetuosos de la libertad personal aquellos efectos jurídicos cuya operatividad se condiciona a su previa asunción por ambos miembros de la pareja.</w:t>
      </w:r>
    </w:p>
    <w:p w:rsidR="0026452D" w:rsidRDefault="0026452D" w:rsidP="0026452D">
      <w:pPr>
        <w:pStyle w:val="TextoNormal"/>
      </w:pPr>
    </w:p>
    <w:p w:rsidR="0026452D" w:rsidRDefault="0026452D" w:rsidP="0026452D">
      <w:pPr>
        <w:pStyle w:val="TextoNormal"/>
      </w:pPr>
      <w:r>
        <w:t>La restricción referida lógicamente no opera respecto a medidas legales que tutelen derechos fundamentales de los dos o de alguno de los componentes de la pareja de hecho, supuesto en el que se deberán tomar en cuenta los criterios generales sobre la necesidad, adecuación y proporcionalidad de las medidas atendiendo a los intereses en juego, de manera que el sacrificio del libre desarrollo de la personalidad sea el estrictamente indispensable.</w:t>
      </w:r>
    </w:p>
    <w:p w:rsidR="0026452D" w:rsidRDefault="0026452D" w:rsidP="0026452D">
      <w:pPr>
        <w:pStyle w:val="TextoNormal"/>
      </w:pPr>
    </w:p>
    <w:p w:rsidR="0026452D" w:rsidRDefault="0026452D" w:rsidP="0026452D">
      <w:pPr>
        <w:pStyle w:val="TextoNormal"/>
      </w:pPr>
      <w:r>
        <w:t xml:space="preserve">No cabe soslayar tampoco la incidencia que una regulación detallada de las uniones de hecho pueda tener sobre el derecho a la intimidad personal (art. 18.1 CE) de quienes las integran, en la medida en que éste “se configura como un derecho fundamental estrictamente vinculado a la propia personalidad y que deriva, sin ningún género de dudas, de la dignidad de la persona que el art. 10.1 CE reconoce” (STC 51/2011, de 14 de abril, FJ 8), y, por ello, es patente la conexión entre ese derecho y la esfera reservada para sí por el individuo, en los más básicos aspectos de su autodeterminación como persona (STC 143/1994, de 9 de mayo, FJ 6). Así, hemos señalado que el derecho a la intimidad, al igual que los derechos fundamentales a la integridad física y moral y a la inviolabilidad del domicilio, ha adquirido también “una dimensión positiva en relación con el libre desarrollo de la personalidad, orientada a la plena efectividad de estos derechos fundamentales. En efecto, habida cuenta </w:t>
      </w:r>
      <w:r>
        <w:lastRenderedPageBreak/>
        <w:t>de que nuestro texto constitucional no consagra derechos meramente teóricos o ilusorios, sino reales y efectivos (STC 12/1994, de 17 de enero, FJ 6), se hace imprescindible asegurar su protección no sólo frente a las injerencias ya mencionadas, sino también frente a los riesgos que puedan surgir en una sociedad tecnológicamente avanzada” (STC 119/2001, de 24 de mayo, FJ 5). Como ha venido manifestando este Tribunal, el objeto del derecho a la intimidad personal hace referencia a un ámbito de la vida de las personas excluido tanto del conocimiento ajeno como de las intromisiones de terceros, debiendo hacerse la delimitación de este ámbito en función del libre desarrollo de la personalidad (STC 119/2001, FJ 6). Y es que este derecho “implica la existencia de un ámbito propio y reservado frente a la acción y el conocimiento de los demás, necesario, según las pautas de nuestra cultura, para mantener una calidad mínima de la vida humana (SSTC 207/1996, de 16 de diciembre, FJ 3; 186/2000, de 10 de julio, FJ 5; 196/2004, de 15 de noviembre, FJ 2; 206/2007, de 24 de septiembre, FJ 4; y 159/2009, de 29 de junio, FJ 3). De forma que ‘lo que el art. 18.1 garantiza es un derecho al secreto, a ser desconocido, a que los demás no sepan qué somos o lo que hacemos, vedando que terceros, sean particulares o poderes públicos, decidan cuales sean los lindes de nuestra vida privada, pudiendo cada persona reservarse un espacio resguardado de la curiosidad ajena, sea cual sea lo contenido en ese espacio’ (SSTC 127/2003, de 30 de junio, FJ 7 y 89/2006, de 27 de marzo, FJ 5)” (STC 173/2011, de 7 de noviembre, FJ 2). Obviamente, ese derecho no es absoluto, pudiendo ceder y producirse una inmisión en el mismo, por una parte, en virtud del consentimiento eficaz del sujeto particular, en la medida en que corresponde a cada persona acotar el ámbito de intimidad personal y familiar que reserva al conocimiento ajeno (SSTC 83/2002, de 22 de abril, FJ 5 y 196/2006, de 3 de julio, FJ 5), y, por otra, cuando la injerencia se fundamenta en la necesidad de preservar el ámbito de protección de otros derechos fundamentales u otros bienes jurídicos constitucionalmente protegidos (STC 159/2009, de 29 de junio, FJ 3).</w:t>
      </w:r>
    </w:p>
    <w:p w:rsidR="0026452D" w:rsidRDefault="0026452D" w:rsidP="0026452D">
      <w:pPr>
        <w:pStyle w:val="TextoNormal"/>
      </w:pPr>
    </w:p>
    <w:p w:rsidR="0026452D" w:rsidRDefault="0026452D" w:rsidP="0026452D">
      <w:pPr>
        <w:pStyle w:val="TextoNormal"/>
      </w:pPr>
      <w:r w:rsidRPr="0026452D">
        <w:rPr>
          <w:rStyle w:val="NumeroAFNegritaCaracter"/>
        </w:rPr>
        <w:t>9</w:t>
      </w:r>
      <w:r>
        <w:t>. Partiendo de las anteriores premisas, podemos abordar ya el análisis de la última tacha de inconstitucionalidad que se dirige contra el conjunto de la Ley Foral 6/2000. Para resolver si, como afirman los recurrentes, dicha Ley vulnera los derechos consagrados en los arts. 10.1 y 18.1 CE, debemos determinar si el régimen que en la misma se establece es de aplicación imperativa a las parejas estables o si, por el contrario, éstas pueden optar voluntariamente por someterse o no a esa regulación. En este sentido, los recurrentes apoyan su argumento, en primer lugar, en las previsiones del art. 2, especialmente en el contenido de su apartado 2, para llegar a la conclusión de que se impone la regulación a las parejas estables que se encuentren en cualquiera de las dos primeras situaciones contempladas en dicho apartado, indicando que sólo en el caso de la tercera (expresión en documento público de la voluntad de constituir una pareja estable) se respetaría la voluntad de los integrantes de la pareja, único supuesto en el que podría decaer el motivo de impugnación. A ello añaden la mención de ciertos efectos imperativamente impuestos, como los establecidos en los arts. 5 y 7, lo que, en conjunto, convierte a la unión libre, a su juicio, en una unión reglada, sujeta a normas imperativas e irrenunciables, lo que constituiría un atentado frente al libre desarrollo de la personalidad así como al derecho a la intimidad personal y familiar.</w:t>
      </w:r>
    </w:p>
    <w:p w:rsidR="0026452D" w:rsidRDefault="0026452D" w:rsidP="0026452D">
      <w:pPr>
        <w:pStyle w:val="TextoNormal"/>
      </w:pPr>
    </w:p>
    <w:p w:rsidR="0026452D" w:rsidRDefault="0026452D" w:rsidP="0026452D">
      <w:pPr>
        <w:pStyle w:val="TextoNormal"/>
      </w:pPr>
      <w:r>
        <w:t xml:space="preserve">La clave para dar respuesta a esta impugnación global de la Ley Foral reside en determinar si los efectos en ella establecidos se imponen a los integrantes de la pareja estable prescindiendo de su voluntad de asumirlos, o si, por el contrario, se condicionan a su aceptación de forma voluntaria por ambos integrantes. Aunque es evidente que la propia existencia de la unión de hecho implica una voluntad de convivir, ésta no es suficiente para entender que </w:t>
      </w:r>
      <w:r>
        <w:lastRenderedPageBreak/>
        <w:t xml:space="preserve">se asumen los efectos jurídicos previstos por la Ley para las parejas estables. Ya hemos señalado anteriormente que la relación </w:t>
      </w:r>
      <w:r w:rsidRPr="0026452D">
        <w:rPr>
          <w:i/>
        </w:rPr>
        <w:t>more uxorio</w:t>
      </w:r>
      <w:r>
        <w:t xml:space="preserve"> se basa precisamente en una decisión libre de los convivientes de mantener una relación en común, no necesariamente formalizada jurídicamente, que, como regla de principio, excluye el estatus jurídico imperativo de derechos y obligaciones característicos de la institución matrimonial. Debemos analizar, por tanto, si las reglas contenidas en el articulado de la Ley Foral determinan que el régimen que en la misma se establece resulta imperativo para las parejas estables o, por el contrario, es de carácter meramente dispositivo, esto es, abierto a su asunción voluntaria por ambos integrantes de aquéllas.</w:t>
      </w:r>
    </w:p>
    <w:p w:rsidR="0026452D" w:rsidRDefault="0026452D" w:rsidP="0026452D">
      <w:pPr>
        <w:pStyle w:val="TextoNormal"/>
      </w:pPr>
    </w:p>
    <w:p w:rsidR="0026452D" w:rsidRDefault="0026452D" w:rsidP="0026452D">
      <w:pPr>
        <w:pStyle w:val="TextoNormal"/>
      </w:pPr>
      <w:r>
        <w:t xml:space="preserve">Para efectuar tal análisis hemos de acudir a las normas que establecen el ámbito subjetivo de aplicación de la Ley, contenidas esencialmente en su art. 2 donde, tras recoger una definición de pareja estable “a efectos de la aplicación de esta Ley Foral” (apartado 1), se ofrece en el párrafo primero del apartado 2 una especificación de dicha definición, señalando en qué supuestos asigna el legislador navarro a una pareja la condición de estable </w:t>
      </w:r>
      <w:r w:rsidRPr="0026452D">
        <w:rPr>
          <w:i/>
        </w:rPr>
        <w:t>ipso iure</w:t>
      </w:r>
      <w:r>
        <w:t xml:space="preserve">. Los dos primeros supuestos —un año de convivencia o hijos en común— conducen a la atribución </w:t>
      </w:r>
      <w:r w:rsidRPr="0026452D">
        <w:rPr>
          <w:i/>
        </w:rPr>
        <w:t>ex lege</w:t>
      </w:r>
      <w:r>
        <w:t xml:space="preserve"> de la condición de pareja estable por la mera concurrencia de alguna de tales circunstancias, dando lugar a una calificación jurídica de determinadas situaciones de hecho, a la que se asociará la aplicación del contenido de derechos y obligaciones incluido en la regulación legal, prescindiendo de la voluntad conjunta de los integrantes de la unión de hecho de someterse a las previsiones de la Ley Foral. Lo cual es claro que no resulta respetuoso del derecho fundamental consagrado en el art. 10.1 CE. Únicamente resultaría acorde con tal derecho y respetuoso de la libre voluntad de los integrantes de la pareja, una regulación de carácter dispositivo, como es la que se acoge en el tercero de los supuestos enunciados en párrafo primero del art. 2.2 de la Ley Foral, referido a las parejas que hayan expresado en documento público su voluntad de constituirse como pareja estable; supuesto que los propios recurrentes entienden que respeta la libre voluntad de los sujetos.</w:t>
      </w:r>
    </w:p>
    <w:p w:rsidR="0026452D" w:rsidRDefault="0026452D" w:rsidP="0026452D">
      <w:pPr>
        <w:pStyle w:val="TextoNormal"/>
      </w:pPr>
    </w:p>
    <w:p w:rsidR="0026452D" w:rsidRDefault="0026452D" w:rsidP="0026452D">
      <w:pPr>
        <w:pStyle w:val="TextoNormal"/>
      </w:pPr>
      <w:r>
        <w:t>Ahora bien, la Ley, evidentemente, no restringe su aplicación a las parejas estables que hubieran formalizado documentalmente su situación, porque también tienen la consideración de parejas estables aquéllas que reúnan los requisitos establecidos en la definición del art. 2.1, si bien, tal concurrencia deberá ser acreditada por sus integrantes a través de cualquier medio de prueba admitido en Derecho (art. 3). Entre estos medios de prueba adquiere especial relevancia la inscripción, en su caso, en los registros de parejas estables a que se refiere la disposición adicional de la Ley Foral, al disponer que el Gobierno de Navarra y los ayuntamientos podrán crear tales registros “para facilitar a través de su inscripción voluntaria la prueba de su constitución”. En tanto tales parejas se acojan libremente a la previsión de la Ley, nada puede objetarse. Conclusión que no empece que puedan declararse inconstitucionales los preceptos de la Ley que por su naturaleza imperativa prescinden de la exigencia de verificación de la asunción voluntaria de sus efectos por los miembros de la pareja.</w:t>
      </w:r>
    </w:p>
    <w:p w:rsidR="0026452D" w:rsidRDefault="0026452D" w:rsidP="0026452D">
      <w:pPr>
        <w:pStyle w:val="TextoNormal"/>
      </w:pPr>
    </w:p>
    <w:p w:rsidR="0026452D" w:rsidRDefault="0026452D" w:rsidP="0026452D">
      <w:pPr>
        <w:pStyle w:val="TextoNormal"/>
      </w:pPr>
      <w:r>
        <w:t>Y, en este sentido, como venimos señalando, el contenido del conjunto de la regulación de la Ley Foral presenta un marcado carácter imperativo, que se manifiesta ya en los dos primeros supuestos del art. 2.2 a los que acabamos de referirnos. Asimismo, el enunciado del apartado 3 del mismo art. 2 (que ya hemos declarado inconstitucional por motivos com</w:t>
      </w:r>
      <w:r>
        <w:lastRenderedPageBreak/>
        <w:t>petenciales), evidencia el modelo preceptivo de la Ley al contemplar su aplicación con independencia de si sus integrantes han manifestado o no de consuno su sometimiento a dicha regulación.</w:t>
      </w:r>
    </w:p>
    <w:p w:rsidR="0026452D" w:rsidRDefault="0026452D" w:rsidP="0026452D">
      <w:pPr>
        <w:pStyle w:val="TextoNormal"/>
      </w:pPr>
    </w:p>
    <w:p w:rsidR="0026452D" w:rsidRDefault="0026452D" w:rsidP="0026452D">
      <w:pPr>
        <w:pStyle w:val="TextoNormal"/>
      </w:pPr>
      <w:r>
        <w:t>Únicamente carecen de naturaleza preceptiva algunas previsiones concretas de la Ley, las cuales —a pesar de no contemplar expresamente la necesidad de la asunción previa de su contenido— sólo serán de aplicación, por su propia naturaleza, cuando los integrantes de la pareja estable expresamente lo soliciten [caso de las normas relativas a la posibilidad de adopción (art. 8) y al régimen de función pública (art. 13)], salvo estos supuestos, el resto de las reglas recogidas a lo largo del articulado de la Ley Foral prescinde de la asunción voluntaria por los dos integrantes de cada unión, del régimen de las parejas estables. Y, por ello, se puede adelantar ya que vulneran la libertad de decisión consagrada en el art. 10.1 CE.</w:t>
      </w:r>
    </w:p>
    <w:p w:rsidR="0026452D" w:rsidRDefault="0026452D" w:rsidP="0026452D">
      <w:pPr>
        <w:pStyle w:val="TextoNormal"/>
      </w:pPr>
    </w:p>
    <w:p w:rsidR="0026452D" w:rsidRDefault="0026452D" w:rsidP="0026452D">
      <w:pPr>
        <w:pStyle w:val="TextoNormal"/>
      </w:pPr>
      <w:r>
        <w:t>Así ocurre claramente respecto al art. 5 que, en su apartado 1, establece el carácter irrenunciable de los derechos mínimos contemplados en la Ley en cuanto a las compensaciones económicas para el caso de disolución, imponiéndose incluso a lo que puedan pactar los miembros de la pareja estable para regular sus relaciones personales y patrimoniales. Y el apartado 2 impone, en defecto de pacto, la obligación de contribuir, proporcionalmente a las respectivas posibilidades, al mantenimiento de la vivienda y de los gastos comunes. La misma naturaleza imperativa es patente en la disposición del art. 7 en cuanto a la responsabilidad patrimonial, en la prescripción del art. 11 sobre el régimen sucesorio, donde se equipara la pareja estable al matrimonio sin prever la posibilidad de que se pacte un régimen distinto; o, finalmente, en el art. 12.1, conforme al cual los miembros de la pareja estable “serán considerados como cónyuges a los efectos previstos en la legislación fiscal de Navarra a la hora de computar rendimientos y de aplicar deducciones o exenciones”, regla cuya aplicación tampoco depende de la voluntad de la pareja.</w:t>
      </w:r>
    </w:p>
    <w:p w:rsidR="0026452D" w:rsidRDefault="0026452D" w:rsidP="0026452D">
      <w:pPr>
        <w:pStyle w:val="TextoNormal"/>
      </w:pPr>
    </w:p>
    <w:p w:rsidR="0026452D" w:rsidRDefault="0026452D" w:rsidP="0026452D">
      <w:pPr>
        <w:pStyle w:val="TextoNormal"/>
      </w:pPr>
      <w:r>
        <w:t>En consecuencia, hemos de concluir que la regulación discutida responde básicamente a un modelo imperativo, bien alejado del régimen dispositivo que resultaría acorde a las características de las uniones de hecho, y a las exigencias del libre desarrollo de la personalidad recogido en el art. 10.1 CE. El carácter preceptivo implica que el régimen estatuido se impone obligatoriamente a las parejas estables que reúnan las condiciones previstas en los dos primeros supuestos del párrafo primero del art. 2.2, lo cual debe conducirnos, sin duda, a reiterar aquí la inconstitucionalidad de tales supuestos; asimismo debemos declarar la inconstitucionalidad del párrafo segundo de dicho art. 2.2, en cuanto que se refiere al cómputo del plazo de un año de convivencia previsto en el párrafo anterior.</w:t>
      </w:r>
    </w:p>
    <w:p w:rsidR="0026452D" w:rsidRDefault="0026452D" w:rsidP="0026452D">
      <w:pPr>
        <w:pStyle w:val="TextoNormal"/>
      </w:pPr>
    </w:p>
    <w:p w:rsidR="0026452D" w:rsidRDefault="0026452D" w:rsidP="0026452D">
      <w:pPr>
        <w:pStyle w:val="TextoNormal"/>
      </w:pPr>
      <w:r>
        <w:t xml:space="preserve">Sin embargo, esta conclusión, no conlleva, de manera necesaria, la declaración de inconstitucionalidad del conjunto de la Ley, pues los efectos que se contemplan en sus distintos preceptos para las parejas estables no tienen un carácter homogéneo. En efecto, si bien una buena parte del contenido legal se refiere a derechos y obligaciones privados, que se imponen imperativamente a los miembros de la pareja, otra parte se refiere a derechos de carácter público, reconocidos por el legislador en ámbitos propios de su competencia, que implican unos beneficios para uno o los dos miembros de la pareja estable, lo que apriorísticamente no conlleva tal vulneración, porque su aplicación requiere —como ya hemos señalado— la previa y voluntaria solicitud de los integrantes de la pareja. Por consiguiente, </w:t>
      </w:r>
      <w:r>
        <w:lastRenderedPageBreak/>
        <w:t>habrá que atender al contenido concreto de cada precepto para dilucidar si merece o no un pronunciamiento de inconstitucionalidad por la causa que aquí estamos examinando.</w:t>
      </w:r>
    </w:p>
    <w:p w:rsidR="0026452D" w:rsidRDefault="0026452D" w:rsidP="0026452D">
      <w:pPr>
        <w:pStyle w:val="TextoNormal"/>
      </w:pPr>
    </w:p>
    <w:p w:rsidR="0026452D" w:rsidRDefault="0026452D" w:rsidP="0026452D">
      <w:pPr>
        <w:pStyle w:val="TextoNormal"/>
      </w:pPr>
      <w:r>
        <w:t>Finalmente, se ha de descartar la queja relativa a la vulneración del derecho a la intimidad consagrado en el art. 18.1 CE, que los recurrentes argumentan afirmando que la materia regulada es, en sí misma, constitutiva de un ámbito ordinariamente reservado a la discreción y sustraído a lo público, penetrándose en lo más íntimo de la persona y favoreciendo la exposición pública de tales situaciones. Sin embargo, esa tesis no puede ser admitida. La Ley Foral ha sido respetuosa con la intimidad de quienes integran una unión de hecho, ya que, al definir la pareja estable a efectos de su aplicación, la ha caracterizado no sólo como unión libre, sino también “pública”, adjetivo que implica que quienes integran la pareja han realizado profesión públicamente de su condición de pareja estable, llevando a cabo actos externos demostrativos de la existencia entre ellos de una relación de afectividad análoga a la conyugal. No se puede entender, por tanto, vulnerado el derecho a la intimidad personal porque esa manifestación pública de la existencia de la pareja estable implica, de acuerdo con la doctrina que ya ha quedado expuesta en el fundamento anterior, un consentimiento por parte de éstos en cuanto a permitir el conocimiento ajeno de una parte de su intimidad, lo que excluye la vulneración del art. 18.1 CE por injerencias ilícitas en la misma.</w:t>
      </w:r>
    </w:p>
    <w:p w:rsidR="0026452D" w:rsidRDefault="0026452D" w:rsidP="0026452D">
      <w:pPr>
        <w:pStyle w:val="TextoNormal"/>
      </w:pPr>
    </w:p>
    <w:p w:rsidR="0026452D" w:rsidRDefault="0026452D" w:rsidP="0026452D">
      <w:pPr>
        <w:pStyle w:val="TextoNormal"/>
      </w:pPr>
      <w:r w:rsidRPr="0026452D">
        <w:rPr>
          <w:rStyle w:val="NumeroAFNegritaCaracter"/>
        </w:rPr>
        <w:t>10</w:t>
      </w:r>
      <w:r>
        <w:t>. Concluido el estudio de las anteriores impugnaciones, debemos examinar ahora las restantes alegaciones del recurso que se refieren a los distintos preceptos de la Ley.</w:t>
      </w:r>
    </w:p>
    <w:p w:rsidR="0026452D" w:rsidRDefault="0026452D" w:rsidP="0026452D">
      <w:pPr>
        <w:pStyle w:val="TextoNormal"/>
      </w:pPr>
    </w:p>
    <w:p w:rsidR="0026452D" w:rsidRDefault="0026452D" w:rsidP="0026452D">
      <w:pPr>
        <w:pStyle w:val="TextoNormal"/>
      </w:pPr>
      <w:r>
        <w:t>En cuanto a las impugnaciones que se proyectan sobre el capítulo I de la Ley Foral 6/2000 (arts. 1 a 4, definición de pareja estable, acreditación y disolución) es de señalar que guardan directa relación con la queja global relativa a la vulneración de la competencia estatal en materia de formas de matrimonio, queja que ha sido desestimada en los términos del fundamento jurídico 5. La única excepción a este planteamiento genérico se refiere —aparte del art. 2.3, ya examinado— a los arts. 3 y 4, sobre los que se desarrolla por los recurrentes una fundamentación específica de sus tachas de inconstitucionalidad.</w:t>
      </w:r>
    </w:p>
    <w:p w:rsidR="0026452D" w:rsidRDefault="0026452D" w:rsidP="0026452D">
      <w:pPr>
        <w:pStyle w:val="TextoNormal"/>
      </w:pPr>
    </w:p>
    <w:p w:rsidR="0026452D" w:rsidRDefault="0026452D" w:rsidP="0026452D">
      <w:pPr>
        <w:pStyle w:val="TextoNormal"/>
      </w:pPr>
      <w:r>
        <w:t>a) El art. 1 recoge un principio de no discriminación en la interpretación y aplicación del ordenamiento jurídico navarro por razón del grupo familiar del que se forme parte, regla que no es sino un trasunto de las establecidas en el art. 14 CE y en el art. 6 LORAFNA, en relación con el mandato que el art. 39.1 CE dirige a los poderes públicos en orden a la protección social, económica y jurídica de la familia. Por sí mismo no supone la regulación de un aspecto directamente atinente a las uniones estables, sino el recordatorio de un principio que debe inspirar todo el ordenamiento navarro, por lo que no se le puede achacar ningún exceso competencial.</w:t>
      </w:r>
    </w:p>
    <w:p w:rsidR="0026452D" w:rsidRDefault="0026452D" w:rsidP="0026452D">
      <w:pPr>
        <w:pStyle w:val="TextoNormal"/>
      </w:pPr>
    </w:p>
    <w:p w:rsidR="0026452D" w:rsidRDefault="0026452D" w:rsidP="0026452D">
      <w:pPr>
        <w:pStyle w:val="TextoNormal"/>
      </w:pPr>
      <w:r>
        <w:t xml:space="preserve">b) Al art. 3 se le reprocha que, al permitir que la existencia de la pareja estable pueda ser acreditada por cualquier medio de prueba admitido en derecho, vulnera, por su inconcreción, el principio de seguridad jurídica. Nuestra doctrina respecto a este principio la sintetiza la STC 136/2011, de 13 de septiembre, FJ 9, en los términos siguientes: “Hemos dicho, con relación al principio de seguridad jurídica previsto en el art. 9.3 CE que ha de entenderse como la certeza sobre el ordenamiento jurídico aplicable y los intereses jurídicamente tutelados (STC 15/1986, de 31 de enero, FJ 1), como la expectativa razonablemente fundada del ciudadano en cuál ha de ser la actuación del poder en la aplicación del Derecho (STC </w:t>
      </w:r>
      <w:r>
        <w:lastRenderedPageBreak/>
        <w:t>36/1991, de 14 de febrero, FJ 5), o como la claridad del legislador y no la confusión normativa (STC 46/1990, de 15 de marzo, FJ 4). De tal modo, que si en el Ordenamiento jurídico en que se insertan las normas,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212/1996, de 19 de diciembre, FJ 15; 104/2000, de 13 de abril, FJ 7; 96/2002, de 25 de abril, FJ 5; y 248/2007, de 13 de diciembre, FJ 5).”</w:t>
      </w:r>
    </w:p>
    <w:p w:rsidR="0026452D" w:rsidRDefault="0026452D" w:rsidP="0026452D">
      <w:pPr>
        <w:pStyle w:val="TextoNormal"/>
      </w:pPr>
    </w:p>
    <w:p w:rsidR="0026452D" w:rsidRDefault="0026452D" w:rsidP="0026452D">
      <w:pPr>
        <w:pStyle w:val="TextoNormal"/>
      </w:pPr>
      <w:r>
        <w:t>Conforme a dicha doctrina es claro que el reproche formulado no puede ser admitido, ya que la norma no genera incertidumbre de ninguna clase que contraríe el principio de seguridad jurídica previsto en el art. 9.3 CE, pues se trata de una previsión legal clara en sus términos que, por lo demás, no resulta desconocida en numerosos ámbitos de nuestro ordenamiento jurídico. En todo caso, parece que lo que preocupa a los recurrentes es el mal uso que se pueda hacer de esa norma y que pueda dar lugar a situaciones de fraude, argumento que en modo alguno puede justificar su inconstitucionalidad, correspondiendo a su aplicador, y, en último término, a los Tribunales de justicia, determinar si los medios de prueba de que intenten valerse los interesados resultan o no admisibles, y si de ellos se puede concluir la presencia efectiva de una unión estable.</w:t>
      </w:r>
    </w:p>
    <w:p w:rsidR="0026452D" w:rsidRDefault="0026452D" w:rsidP="0026452D">
      <w:pPr>
        <w:pStyle w:val="TextoNormal"/>
      </w:pPr>
    </w:p>
    <w:p w:rsidR="0026452D" w:rsidRDefault="0026452D" w:rsidP="0026452D">
      <w:pPr>
        <w:pStyle w:val="TextoNormal"/>
      </w:pPr>
      <w:r>
        <w:t>No obstante lo anterior, sí debemos declarar la inconstitucionalidad del inciso “y el transcurso del año de convivencia” del art. 3, ya que se trata de una regla ligada al criterio temporal de presunción de estabilidad fijado en el art. 2.2, cuya inconstitucionalidad ha quedado argumentada en el fundamento jurídico anterior. El resto del precepto, sin embargo, no resulta afectado por tacha alguna de inconstitucionalidad desde la perspectiva del art. 10.1 CE. Como ya hemos señalado anteriormente al realizar el examen del art. 2.2, el elenco de uniones estables, susceptibles de quedar sometidas a la aplicación de la Ley Foral, no puede entenderse limitado a aquellas parejas que se hubiesen constituido en documento público (pese a haber sido declarados inconstitucionales los otros dos supuestos del párrafo primero del art. 2.2). Hemos de entender que serán parejas estables todas aquellas que reúnan las condiciones del art. 2.1, cuya existencia, llegado el caso, deberá ser acreditada por sus integrantes. Pues bien, el art. 3 se limita a permitir dicha acreditación, estableciendo que podrá llevarse a cabo por cualquier medio de prueba admitido en Derecho, sin restringir esos medios de prueba, de modo que el aplicador de la norma pueda apreciar en cada supuesto su suficiencia. La propia Ley Foral ofrece en su disposición adicional un instrumento destinado a probar la existencia de la pareja estable, al contemplar la facultad de creación de registros de parejas estables que faciliten, a través de la inscripción voluntaria, la prueba de su constitución, previsión que se cohonesta claramente con lo establecido en el art. 3.</w:t>
      </w:r>
    </w:p>
    <w:p w:rsidR="0026452D" w:rsidRDefault="0026452D" w:rsidP="0026452D">
      <w:pPr>
        <w:pStyle w:val="TextoNormal"/>
      </w:pPr>
    </w:p>
    <w:p w:rsidR="0026452D" w:rsidRDefault="0026452D" w:rsidP="0026452D">
      <w:pPr>
        <w:pStyle w:val="TextoNormal"/>
      </w:pPr>
      <w:r>
        <w:t>c) Las quejas que se dirigen al art. 4 —relativas a la disolución de la pareja estable— son tanto de naturaleza competencial, por remisión a la queja general más atrás examinada sobre vulneración del art. 149.1.8 CE, como de naturaleza sustancial, referidas a la vulneración del art. 10.1 CE. Por lo que se refiere al primer aspecto, establecido que la presente Ley Foral no regula una nueva forma de matrimonio, no se puede considerar desatendido el primer precepto constitucional reseñado.</w:t>
      </w:r>
    </w:p>
    <w:p w:rsidR="0026452D" w:rsidRDefault="0026452D" w:rsidP="0026452D">
      <w:pPr>
        <w:pStyle w:val="TextoNormal"/>
      </w:pPr>
    </w:p>
    <w:p w:rsidR="0026452D" w:rsidRDefault="0026452D" w:rsidP="0026452D">
      <w:pPr>
        <w:pStyle w:val="TextoNormal"/>
      </w:pPr>
      <w:r>
        <w:lastRenderedPageBreak/>
        <w:t>En cuanto al otro aspecto, estiman los recurrentes que la libertad de opción personal queda mediatizada por una regulación de pareja estable que se impone a quien convive de hecho como tal, prescindiendo de su voluntad de someterse a tal regulación. Tal objeción no puede ser admitida en relación con el apartado 1, pues se limita a recoger los supuestos normales de disolución de la pareja estable, siempre a los efectos de la aplicación de la Ley, dejando a salvo lo que puedan acordar los integrantes de la pareja, tal y como se explicita en el párrafo f) de dicho apartado 1. Es decir, este apartado no presenta en sí mismo ninguna regulación sino que constituye un mero presupuesto para la aplicación, concretamente para la no aplicación, por cese de la pareja, de las reglas previstas en los posteriores capítulos de la Ley.</w:t>
      </w:r>
    </w:p>
    <w:p w:rsidR="0026452D" w:rsidRDefault="0026452D" w:rsidP="0026452D">
      <w:pPr>
        <w:pStyle w:val="TextoNormal"/>
      </w:pPr>
    </w:p>
    <w:p w:rsidR="0026452D" w:rsidRDefault="0026452D" w:rsidP="0026452D">
      <w:pPr>
        <w:pStyle w:val="TextoNormal"/>
      </w:pPr>
      <w:r>
        <w:t>A la misma conclusión debemos llegar en cuanto al apartado 2, que impone la obligación de dejar sin efecto el documento público que se hubiese otorgado, ya que si tal otorgamiento pudo servir para demostrar la existencia de la unión estable (art. 2.2) a los efectos de la aplicación del régimen de la Ley Foral, una vez extinguida la pareja es razonable exigir que sus integrantes hagan constar el cese de aquella situación a los propios efectos de la misma Ley.</w:t>
      </w:r>
    </w:p>
    <w:p w:rsidR="0026452D" w:rsidRDefault="0026452D" w:rsidP="0026452D">
      <w:pPr>
        <w:pStyle w:val="TextoNormal"/>
      </w:pPr>
    </w:p>
    <w:p w:rsidR="0026452D" w:rsidRDefault="0026452D" w:rsidP="0026452D">
      <w:pPr>
        <w:pStyle w:val="TextoNormal"/>
      </w:pPr>
      <w:r>
        <w:t>Asimismo, en cuanto al apartado 3, no puede decirse que resulte vulnerada la libertad personal por la delimitación que establece el legislador foral de los supuestos de constitución de una nueva pareja estable al condicionar su reconocimiento a la previa disolución de la unión de hecho anterior. Al establecer dicho apartado que: “no podrán establecer otra pareja estable con tercera persona mientras no se haya producido su disolución mediante alguno de los supuestos descritos en el primer apartado”, debe entenderse que la prohibición se proyecta “a los efectos de la ley” como impedimento para el reconocimiento de la nueva relación en cuanto a la posibilidad de acogerse a las consecuencias jurídicas que en ella se establecen. Por ello, esta previsión constituye propiamente un complemento de los requisitos fijados en el art. 2, apartados 1 y 2, donde se define el concepto de pareja estable “a efectos de la aplicación de esta Ley”, y en realidad no hace sino precisar aquel impedimento establecido en el art. 2.1 último inciso, referido a que uno de los miembros de la pareja “esté unido por un vínculo matrimonial o forme pareja estable con otra persona”.</w:t>
      </w:r>
    </w:p>
    <w:p w:rsidR="0026452D" w:rsidRDefault="0026452D" w:rsidP="0026452D">
      <w:pPr>
        <w:pStyle w:val="TextoNormal"/>
      </w:pPr>
    </w:p>
    <w:p w:rsidR="0026452D" w:rsidRDefault="0026452D" w:rsidP="0026452D">
      <w:pPr>
        <w:pStyle w:val="TextoNormal"/>
      </w:pPr>
      <w:r>
        <w:t>En cambio debe apreciarse la vulneración denunciada por los recurrentes en cuanto al apartado 4, en la medida en que se impone una consecuencia automática de revocación de los poderes que se hubieran otorgado los miembros de la pareja, lo cual colisiona frontalmente con la libertad consagrada en el art. 10.1 CE.</w:t>
      </w:r>
    </w:p>
    <w:p w:rsidR="0026452D" w:rsidRDefault="0026452D" w:rsidP="0026452D">
      <w:pPr>
        <w:pStyle w:val="TextoNormal"/>
      </w:pPr>
    </w:p>
    <w:p w:rsidR="0026452D" w:rsidRDefault="0026452D" w:rsidP="0026452D">
      <w:pPr>
        <w:pStyle w:val="TextoNormal"/>
      </w:pPr>
      <w:r w:rsidRPr="0026452D">
        <w:rPr>
          <w:rStyle w:val="NumeroAFNegritaCaracter"/>
        </w:rPr>
        <w:t>11</w:t>
      </w:r>
      <w:r>
        <w:t>. El capítulo II de la Ley Foral —que regula el contenido de la relación de pareja— es objeto de varias impugnaciones que analizaremos siguiendo el mismo orden en el que han sido planteadas.</w:t>
      </w:r>
    </w:p>
    <w:p w:rsidR="0026452D" w:rsidRDefault="0026452D" w:rsidP="0026452D">
      <w:pPr>
        <w:pStyle w:val="TextoNormal"/>
      </w:pPr>
    </w:p>
    <w:p w:rsidR="0026452D" w:rsidRDefault="0026452D" w:rsidP="0026452D">
      <w:pPr>
        <w:pStyle w:val="TextoNormal"/>
      </w:pPr>
      <w:r>
        <w:t xml:space="preserve">a) La primera de ellas se refiere de nuevo a la vulneración de la competencia estatal </w:t>
      </w:r>
      <w:r w:rsidRPr="0026452D">
        <w:rPr>
          <w:i/>
        </w:rPr>
        <w:t>ex</w:t>
      </w:r>
      <w:r>
        <w:t xml:space="preserve"> art. 149.1.8 CE en relación con las formas de matrimonio. Así, a los tres primeros apartados del art. 5, se les achaca que serían inconstitucionales por establecer un régimen económico paralelo al del matrimonio totalmente disponible para las partes, y a los apartados 4 y 5 la creación </w:t>
      </w:r>
      <w:r w:rsidRPr="0026452D">
        <w:rPr>
          <w:i/>
        </w:rPr>
        <w:t>ex novo</w:t>
      </w:r>
      <w:r>
        <w:t xml:space="preserve"> de pensiones que constituyen, a juicio de los recurrentes, un régimen discriminatorio frente al matrimonio civil regulado en el Código civil. Al respecto cabe señalar, en primer lugar, que conforme al propio art. 5, el capítulo II de la Ley Foral 6/2000 contiene </w:t>
      </w:r>
      <w:r>
        <w:lastRenderedPageBreak/>
        <w:t>en realidad dos tipos de normas. Unas, de contenido imperativo para los miembros de la pareja estable, y otras que admiten pacto entre los miembros de la pareja, siendo, por tanto, modalizables. Señalado lo anterior, es claro, como ya se ha adelantado, que la queja ahora planteada respecto a los distintos apartados del art. 5 se vincula a la que se ha formulado de modo principal respecto a toda la Ley Foral 6/2000, y que se ha analizado en el fundamento jurídico 5, razón por la cual la conclusión desestimatoria que ya hemos alcanzado ha de ser ahora reiterada. Excluida la identidad entre la unión de hecho y el matrimonio, tampoco es posible apreciar discriminación alguna con respecto al matrimonio civil, tal como han alegado los recurrentes.</w:t>
      </w:r>
    </w:p>
    <w:p w:rsidR="0026452D" w:rsidRDefault="0026452D" w:rsidP="0026452D">
      <w:pPr>
        <w:pStyle w:val="TextoNormal"/>
      </w:pPr>
    </w:p>
    <w:p w:rsidR="0026452D" w:rsidRDefault="0026452D" w:rsidP="0026452D">
      <w:pPr>
        <w:pStyle w:val="TextoNormal"/>
      </w:pPr>
      <w:r>
        <w:t>A igual conclusión debemos llegar en cuanto al art. 6, relativo a la reclamación de pensión periódica y de compensación económica, y al art. 7, regulador de la responsabilidad patrimonial de los miembros de la pareja estable, a los cuales se les reprocha que escapan de la competencia foral en materia de Derecho civil, por el mismo motivo que el art. 5, imputación que debe decaer igualmente por los motivos expuestos en el fundamento 5.</w:t>
      </w:r>
    </w:p>
    <w:p w:rsidR="0026452D" w:rsidRDefault="0026452D" w:rsidP="0026452D">
      <w:pPr>
        <w:pStyle w:val="TextoNormal"/>
      </w:pPr>
    </w:p>
    <w:p w:rsidR="0026452D" w:rsidRDefault="0026452D" w:rsidP="0026452D">
      <w:pPr>
        <w:pStyle w:val="TextoNormal"/>
      </w:pPr>
      <w:r>
        <w:t>Asimismo, se denuncia que estos dos últimos preceptos vulneran el art. 14 CE, al establecer ante situaciones no desiguales consecuencias jurídicas distintas, lo que dotaría a esta regulación de un carácter arbitrario. Tal queja se vincula por los recurrentes directamente con la relativa a la alegada identidad entre la institución matrimonial y las parejas estables que regula la Ley Foral. Rechazado ya anteriormente dicho planteamiento, la imputación ha de decaer, pues es claro que lo regulado en la Ley Foral 6/2000 es algo distinto a la institución matrimonial, y, por tal razón, el legislador no está obligado a otorgarles tratamientos iguales, pudiendo deducir razonablemente consecuencias de la diferente situación de partida tal y como ha afirmado este Tribunal (por todas, STC 184/1990, de 15 de noviembre, FJ 3). Lo mismo sucede con la tacha relativa al carácter arbitrario de estos preceptos, ya que, en este caso, nuestro enjuiciamiento ha de quedar limitado a examinar que una determinada norma legal posea una finalidad legítima y racional, y que el medio adoptado no sea discriminatorio (STC 139/2012, de 5 de junio, FJ 6, con cita de otras). Al respecto se constata que los preceptos cuestionados no se muestran desprovistos de fundamento “aunque pueda legítimamente discreparse de la concreta solución, entrar en un enjuiciamiento de cuál sería su medida justa supone discutir una opción tomada por el legislador que, aunque pueda ser discutible, no resulta arbitraria ni irracional (en sentido idéntico, STC 44/1988, de 22 de marzo, FJ 13)” (STC 104/2000, de 13 de abril, FJ 8).</w:t>
      </w:r>
    </w:p>
    <w:p w:rsidR="0026452D" w:rsidRDefault="0026452D" w:rsidP="0026452D">
      <w:pPr>
        <w:pStyle w:val="TextoNormal"/>
      </w:pPr>
    </w:p>
    <w:p w:rsidR="0026452D" w:rsidRDefault="0026452D" w:rsidP="0026452D">
      <w:pPr>
        <w:pStyle w:val="TextoNormal"/>
      </w:pPr>
      <w:r>
        <w:t>b) Queda por analizar la tacha referida a la vulneración de la libertad personal (art. 10.1 CE), que los recurrentes dirigen contra el conjunto del capítulo II de la Ley Foral, formulada ésta por remisión a los argumentos deducidos al articular la queja global contra el conjunto de la Ley.</w:t>
      </w:r>
    </w:p>
    <w:p w:rsidR="0026452D" w:rsidRDefault="0026452D" w:rsidP="0026452D">
      <w:pPr>
        <w:pStyle w:val="TextoNormal"/>
      </w:pPr>
    </w:p>
    <w:p w:rsidR="0026452D" w:rsidRDefault="0026452D" w:rsidP="0026452D">
      <w:pPr>
        <w:pStyle w:val="TextoNormal"/>
      </w:pPr>
      <w:r>
        <w:t xml:space="preserve">Concretamente, al desarrollar esa impugnación general se refieren a los dos primeros apartados del art. 5 como claramente vulneradores de dicha libertad, por el carácter imperativo de la regulación, que llega a establecer una prohibición en el apartado 2. En efecto, el apartado 1 parece asentarse inicialmente en el principio de libertad de pactos entre los integrantes de la pareja, pero, al referirse a las compensaciones económicas establecidas en los apartados 4 y 5 del propio art. 5 para el caso de disolución de la pareja, establece que habrán de respetarse, “en todo caso, los derechos mínimos contemplados en la propia Ley Foral, los cuales son irrenunciables hasta el momento en que son exigibles”. Esto es, los derechos </w:t>
      </w:r>
      <w:r>
        <w:lastRenderedPageBreak/>
        <w:t>mínimos que la Ley establece en este punto se imponen sobre los pactos que puedan alcanzar los integrantes de la unión de hecho y, por tanto, sobre la libre voluntad de éstos, por lo que se produce efectivamente la vulneración de la libertad consagrada en el art. 10.1 al imponerles unos efectos patrimoniales que no han asumido voluntariamente mediante el correspondiente pacto.</w:t>
      </w:r>
    </w:p>
    <w:p w:rsidR="0026452D" w:rsidRDefault="0026452D" w:rsidP="0026452D">
      <w:pPr>
        <w:pStyle w:val="TextoNormal"/>
      </w:pPr>
    </w:p>
    <w:p w:rsidR="0026452D" w:rsidRDefault="0026452D" w:rsidP="0026452D">
      <w:pPr>
        <w:pStyle w:val="TextoNormal"/>
      </w:pPr>
      <w:r>
        <w:t xml:space="preserve">En el caso del apartado 2, que impone una prohibición de pactar la constitución de la pareja sometiéndola a condición o a plazo, podría pensarse que dicha regla resulta lógica en la medida en que se refiere a una relación presidida por la </w:t>
      </w:r>
      <w:r w:rsidRPr="0026452D">
        <w:rPr>
          <w:i/>
        </w:rPr>
        <w:t>affectio</w:t>
      </w:r>
      <w:r>
        <w:t>, que difícilmente podría quedar sometida a semejantes cláusulas sin desvirtuar la propia naturaleza de la unión de hecho. No obstante, tampoco puede negarse que la concreta prohibición coarta la libertad de pactos de los miembros de la pareja, que en la medida en que no atenten a principios constitucionales no podrán excluirse en una relación de estas características. De suerte que debe reconocerse que dicho apartado vulnera la libertad consagrada en el art. 10.1 CE.</w:t>
      </w:r>
    </w:p>
    <w:p w:rsidR="0026452D" w:rsidRDefault="0026452D" w:rsidP="0026452D">
      <w:pPr>
        <w:pStyle w:val="TextoNormal"/>
      </w:pPr>
    </w:p>
    <w:p w:rsidR="0026452D" w:rsidRDefault="0026452D" w:rsidP="0026452D">
      <w:pPr>
        <w:pStyle w:val="TextoNormal"/>
      </w:pPr>
      <w:r>
        <w:t>Por su parte, el apartado 3 contempla la obligación de los miembros de la pareja estable de contribuir proporcionalmente a sus posibilidades al mantenimiento de la vivienda y de los gastos comunes, “en defecto de pacto”. A primera vista podría pensarse que la norma resulta respetuosa con la voluntad de los integrantes de la pareja estable, en la medida en que sólo se les aplicaría si no hubieran pactado al respecto. Sin embargo, esta primera apreciación decae si consideramos que, en el caso de que los miembros de la pareja no hubieran pactado nada sobre el particular, resulta imperativa la aplicación de la norma prescindiendo de exigencia alguna de constatación de su voluntad de aceptarla; voluntad que, por tal razón, se ve violentada, con la consiguiente infracción del art. 10.1 CE.</w:t>
      </w:r>
    </w:p>
    <w:p w:rsidR="0026452D" w:rsidRDefault="0026452D" w:rsidP="0026452D">
      <w:pPr>
        <w:pStyle w:val="TextoNormal"/>
      </w:pPr>
    </w:p>
    <w:p w:rsidR="0026452D" w:rsidRDefault="0026452D" w:rsidP="0026452D">
      <w:pPr>
        <w:pStyle w:val="TextoNormal"/>
      </w:pPr>
      <w:r>
        <w:t>Debemos examinar, a continuación, los apartados 4 y 5 del art. 5, en conexión con la queja que se formula respecto al art. 6, en la medida en que aquellos apartados regulan la pensión periódica y la compensación económica a cuya reclamación se refiere el art. 6, por lo que el análisis separado de la impugnación referida a unos y otro preceptos no sería sistemáticamente adecuado.</w:t>
      </w:r>
    </w:p>
    <w:p w:rsidR="0026452D" w:rsidRDefault="0026452D" w:rsidP="0026452D">
      <w:pPr>
        <w:pStyle w:val="TextoNormal"/>
      </w:pPr>
    </w:p>
    <w:p w:rsidR="0026452D" w:rsidRDefault="0026452D" w:rsidP="0026452D">
      <w:pPr>
        <w:pStyle w:val="TextoNormal"/>
      </w:pPr>
      <w:r>
        <w:t>El primero de ellos, el art. 5.4, contempla la posibilidad de reclamar una pensión periódica (que es calificada de alimenticia en el art. 6.4) si la convivencia hubiera disminuido la capacidad del solicitante de obtener ingresos o si el cuidado de los hijos e hijas comunes a su cargo le impidiera la realización de actividades laborales o las dificultara seriamente. El art. 5.5, en relación con el 6.3, regula la posible existencia de una compensación en caso de ruptura de la pareja estable.</w:t>
      </w:r>
    </w:p>
    <w:p w:rsidR="0026452D" w:rsidRDefault="0026452D" w:rsidP="0026452D">
      <w:pPr>
        <w:pStyle w:val="TextoNormal"/>
      </w:pPr>
    </w:p>
    <w:p w:rsidR="0026452D" w:rsidRDefault="0026452D" w:rsidP="0026452D">
      <w:pPr>
        <w:pStyle w:val="TextoNormal"/>
      </w:pPr>
      <w:r>
        <w:t xml:space="preserve">Hemos de precisar que, declarada la inconstitucionalidad del inciso del art. 5.1, que supone el otorgamiento de la condición de normas de carácter necesario a las previsiones de los apartados 4 y 5 del propio art. 5, debería desaparecer, en hipótesis, cualquier atisbo de vulneración del art. 10.1 CE por parte de éstos y, por extensión, del art. 6, cuyo contenido se encuentra estrechamente imbricado al de aquéllos. Ahora bien, el hecho de que dejen de constituir un Derecho mínimo irrenunciable, no otorga automáticamente a las previsiones de ambos apartados la consideración de normas dispositivas, pues una cosa es que tales previsiones no puedan ya imponerse a los integrantes de la pareja en el momento de regular sus relaciones patrimoniales como consecuencia de la declaración de inconstitucionalidad </w:t>
      </w:r>
      <w:r>
        <w:lastRenderedPageBreak/>
        <w:t>del señalado inciso del apartado 1, y otra bien distinta es que dichas normas dejen de aplicarse en ausencia de pacto sobre el particular. Además, debe distinguirse la operatividad temporal de ambas previsiones. El apartado 1 del art. 5 se refiere a la “regularización de la convivencia” mientras ésta permanece, y los apartados 4 y 5 al cese de la misma. En efecto, el apartado 4 resulta terminante al establecer que “[a]l cesar la convivencia, cualquier de los miembros de la pareja podrá reclamar del otro una pensión periódica si la necesitara para atender adecuadamente su sustento”. De tal redacción fácilmente se deduce que el referido apartado no sujeta su aplicación a la aceptación voluntaria de consuno por ambos integrantes de la pareja, sino que permite la exigencia de la pensión periódica a cualquiera de ellos aunque no hubieran acordado nada sobre el particular. Se trata, por consiguiente, de una norma que se impone a los miembros de la pareja, quebrantando por ello su libertad de decisión, y que por tal motivo resulta inconstitucional.</w:t>
      </w:r>
    </w:p>
    <w:p w:rsidR="0026452D" w:rsidRDefault="0026452D" w:rsidP="0026452D">
      <w:pPr>
        <w:pStyle w:val="TextoNormal"/>
      </w:pPr>
    </w:p>
    <w:p w:rsidR="0026452D" w:rsidRDefault="0026452D" w:rsidP="0026452D">
      <w:pPr>
        <w:pStyle w:val="TextoNormal"/>
      </w:pPr>
      <w:r>
        <w:t>También debe recaer la declaración de inconstitucionalidad sobre el art. 5.5, ya que reconoce el derecho a recibir una compensación económica, “en defecto de pacto”, en caso de que se hubiera generado una situación de desigualdad entre el patrimonio de los convivientes que implique un enriquecimiento injusto. Independientemente de que las reglas generales de responsabilidad por enriquecimiento injusto puedan tener su proyección en determinados supuestos, y de que los miembros de la pareja puedan libremente establecer los pactos que tengan por convenientes al respecto, lo que resulta inconstitucional es la imperatividad de la previsión en los términos referidos, al igual que sucedía con el apartado 3 del mismo art. 5.</w:t>
      </w:r>
    </w:p>
    <w:p w:rsidR="0026452D" w:rsidRDefault="0026452D" w:rsidP="0026452D">
      <w:pPr>
        <w:pStyle w:val="TextoNormal"/>
      </w:pPr>
    </w:p>
    <w:p w:rsidR="0026452D" w:rsidRDefault="0026452D" w:rsidP="0026452D">
      <w:pPr>
        <w:pStyle w:val="TextoNormal"/>
      </w:pPr>
      <w:r>
        <w:t>Como consecuencia de la declaración de inconstitucionalidad de los apartados 4 y 5, debe efectuarse igual pronunciamiento en cuanto al art. 6, en la medida en que se refiere a la reclamación y condiciones de pago y extinción de las pensión periódica y la compensación económica a que se refieren los citados apartados 4 y 5.</w:t>
      </w:r>
    </w:p>
    <w:p w:rsidR="0026452D" w:rsidRDefault="0026452D" w:rsidP="0026452D">
      <w:pPr>
        <w:pStyle w:val="TextoNormal"/>
      </w:pPr>
    </w:p>
    <w:p w:rsidR="0026452D" w:rsidRDefault="0026452D" w:rsidP="0026452D">
      <w:pPr>
        <w:pStyle w:val="TextoNormal"/>
      </w:pPr>
      <w:r>
        <w:t>c) En el caso de la regla de imputación de responsabilidad del art. 7, aunque pudiera considerarse como una consecuencia necesaria de la convivencia libre y voluntariamente asumida, evitando que la misma pudiera producir perjuicios a terceros, lo cierto es que merece igualmente la declaración de inconstitucionalidad, ya que se impone de manera absoluta a los integrantes de la pareja, sin permitirles siquiera el establecimiento voluntario de un régimen distinto, por lo que vulnera el art. 10.1 CE.</w:t>
      </w:r>
    </w:p>
    <w:p w:rsidR="0026452D" w:rsidRDefault="0026452D" w:rsidP="0026452D">
      <w:pPr>
        <w:pStyle w:val="TextoNormal"/>
      </w:pPr>
    </w:p>
    <w:p w:rsidR="0026452D" w:rsidRDefault="0026452D" w:rsidP="0026452D">
      <w:pPr>
        <w:pStyle w:val="TextoNormal"/>
      </w:pPr>
      <w:r>
        <w:t>d) Tampoco es compatible con la Constitución el art. 9, en la medida en que equipara a los miembros de la unión de hecho a los cónyuges en aspectos referidos a las acciones relacionadas con la tutela, la curatela, la incapacitación, la declaración de ausencia y la declaración de prodigalidad. Tales materias están reguladas en la ley 62 de la Compilación de Derecho civil foral de Navarra que, a su vez, se remite a lo establecido en el Código civil, y aunque lo que hace el legislador foral es extender un régimen jurídico preexistente al supuesto de hecho constituido por las uniones estables, sin embargo, realiza esa extensión sin contar con la voluntad de ambos integrantes de la pareja estable, que son quienes deben asumir esa extensión de régimen jurídico, de modo que también en este caso se contraría el art. 10.1 CE.</w:t>
      </w:r>
    </w:p>
    <w:p w:rsidR="0026452D" w:rsidRDefault="0026452D" w:rsidP="0026452D">
      <w:pPr>
        <w:pStyle w:val="TextoNormal"/>
      </w:pPr>
    </w:p>
    <w:p w:rsidR="0026452D" w:rsidRDefault="0026452D" w:rsidP="0026452D">
      <w:pPr>
        <w:pStyle w:val="TextoNormal"/>
      </w:pPr>
      <w:r w:rsidRPr="0026452D">
        <w:rPr>
          <w:rStyle w:val="NumeroAFNegritaCaracter"/>
        </w:rPr>
        <w:t>12</w:t>
      </w:r>
      <w:r>
        <w:t xml:space="preserve">. Mención especial y separada dentro del capítulo II, por su particular temática, merece el art. 8. Este precepto reconoce a los miembros de una pareja estable la posibilidad de </w:t>
      </w:r>
      <w:r>
        <w:lastRenderedPageBreak/>
        <w:t>adoptar de forma conjunta, para lo que se adecuará la normativa foral sobre adopciones y acogimiento. Los recurrentes, sin aludir expresamente a la orientación sexual de los adoptantes, plantean que dicho artículo hace posible la adopción conjunta de menores por parejas estables homosexuales, entendiendo que tal previsión resulta contraria al mandato de protección integral de los hijos (art. 39.2 CE), puesto que antepondría al interés del menor el de las parejas homosexuales en adoptar.</w:t>
      </w:r>
    </w:p>
    <w:p w:rsidR="0026452D" w:rsidRDefault="0026452D" w:rsidP="0026452D">
      <w:pPr>
        <w:pStyle w:val="TextoNormal"/>
      </w:pPr>
    </w:p>
    <w:p w:rsidR="0026452D" w:rsidRDefault="0026452D" w:rsidP="0026452D">
      <w:pPr>
        <w:pStyle w:val="TextoNormal"/>
      </w:pPr>
      <w:r>
        <w:t xml:space="preserve">Partiendo de que la Comunidad Foral ostenta competencias para regular la adopción (art. 48 LORAFNA y ley 73 de la Compilación de Derecho civil foral de Navarra), hay que señalar que esta cuestión ha quedado resuelta por este Tribunal, y de manera muy clara en la reciente STC 198/2012, de 6 de noviembre, FJ 12, en la que se ha hecho hincapié en el fundamental dato de la preponderancia del interés del menor sobre el de quienes pretendan adoptarlo, interés que ha de ser preservado en todo caso y que se tutela mediante el escrutinio al que se somete a los eventuales adoptantes con independencia de su orientación sexual. En este sentido, se citaba la doctrina sentada por el Tribunal Europeo de Derechos Humanos en su Sentencia de 26 de febrero de 2002 (asunto </w:t>
      </w:r>
      <w:r w:rsidRPr="0026452D">
        <w:rPr>
          <w:i/>
        </w:rPr>
        <w:t>Frette c. Francia</w:t>
      </w:r>
      <w:r>
        <w:t>), en la que se “recuerda que ‘La adopción es dar una familia a un niño, y no un niño a una familia y el Estado debe asegurarse de que las personas elegidas como adoptantes sean las que puedan ofrecerle, desde todos los puntos de vista, las condiciones de acogida más favorables’ (§ 42) y, a este respecto, no existe certeza que permita afirmar actualmente que esas condiciones no puedan ser proporcionadas por una pareja homosexual”. Y añadimos a continuación que “[e]l ordenamiento jurídico, que no reconoce un derecho fundamental a adoptar, prevé mecanismos suficientes en las disposiciones que regulan la adopción nacional (arts. 175 y ss. CC y disposiciones autonómicas equivalentes, y Ley Orgánica 1/1996, de 15 de enero, de protección jurídica del menor) e internacional (Ley 54/2007, de 28 de diciembre, de adopción internacional), como para garantizar la preservación del interés superior del menor en el proceso de adopción, garantía contemplada también en el art. 21 de la Convención de los derechos del niño de 20 de noviembre de 1989, ratificada por España el día 30 de noviembre de 1990, como fin primordial por el que deben velar los Estados. Nuestra propia jurisprudencia ya ha establecido que, en los procedimientos de adopción, ‘se configura como prevalente el interés superior del menor. Principio que con carácter general proclama la mencionada Convención, al disponer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(art. 3.1). Y que nuestra legislación en materia de menores define como rector e inspirador de todas las actuaciones de los poderes públicos relacionadas con el niño, tanto administrativas como judiciales (exposición de motivos, arts. 2, 11.2 de la Ley Orgánica 1/1996, de 15 de enero, de protección jurídica del menor, de modificación parcial del Código civil y de la Ley de enjuiciamiento civil; arts. 172.4, 173.3 y 4, y 173 bis CC; arts. 1826 y 1827 LEC).’ (STC 124/2002, de 20 de mayo, FJ 4)”.</w:t>
      </w:r>
    </w:p>
    <w:p w:rsidR="0026452D" w:rsidRDefault="0026452D" w:rsidP="0026452D">
      <w:pPr>
        <w:pStyle w:val="TextoNormal"/>
      </w:pPr>
    </w:p>
    <w:p w:rsidR="0026452D" w:rsidRDefault="0026452D" w:rsidP="0026452D">
      <w:pPr>
        <w:pStyle w:val="TextoNormal"/>
      </w:pPr>
      <w:r>
        <w:t xml:space="preserve">De acuerdo con ello podemos afirmar que el deber de protección integral de los hijos que se deriva del art. 39.2 CE no queda afectado por lo previsto en el art. 8 de la ley Foral 6/2000, pues “[l]a eventual lesión del art. 39.2 vendría dada si la legislación no garantizase que, en el procedimiento de adopción, el objetivo fundamental fuese la preservación del interés del menor” (STC 198/2012, FJ 12), circunstancia que no concurre en este caso, en el que la normativa del Código civil, a la que remite la legislación foral en lo no previsto en ella (leyes 73 y 74 de la Compilación), determina que la resolución judicial que constituya la </w:t>
      </w:r>
      <w:r>
        <w:lastRenderedPageBreak/>
        <w:t>adopción tendrá siempre en cuenta el interés del adoptando, y la idoneidad del adoptante o adoptantes para el ejercicio de la patria potestad, idoneidad que nada puede tener que ver con su orientación sexual (art. 176 del Código civil). Además, como se precisa en la misma Sentencia, con cita de la STC 124/2002, de 20 de mayo, “el juez que conoce del proceso de adopción tiene la facultad de denegarla cuando sea contraria al interés del menor, sea cual sea el motivo y después de su correcta valoración, que se realiza mediante el procedimiento reglado pertinente”.</w:t>
      </w:r>
    </w:p>
    <w:p w:rsidR="0026452D" w:rsidRDefault="0026452D" w:rsidP="0026452D">
      <w:pPr>
        <w:pStyle w:val="TextoNormal"/>
      </w:pPr>
    </w:p>
    <w:p w:rsidR="0026452D" w:rsidRDefault="0026452D" w:rsidP="0026452D">
      <w:pPr>
        <w:pStyle w:val="TextoNormal"/>
      </w:pPr>
      <w:r>
        <w:t>Desde otro punto de vista no ha de prosperar el alegato de los recurrentes, porque, si bien parte de la incontrovertible preponderancia del interés del menor sobre el de quienes pretendan adoptarlo, llega a unas conclusiones que no pueden ser demostradas (como la de que la crianza en el entorno de una pareja homosexual resulta, per se, perjudicial o nociva), pues ya dijimos en la STC 176/2008, de 22 de diciembre (FJ 7), “que lo que en modo alguno resulta constitucionalmente admisible es presumir la existencia de un riesgo de alteración efectiva de la personalidad del menor por el mero hecho de la orientación sexual de uno u otro de sus progenitores”, criterio reiterado en la STC 198/2012, FJ 12.</w:t>
      </w:r>
    </w:p>
    <w:p w:rsidR="0026452D" w:rsidRDefault="0026452D" w:rsidP="0026452D">
      <w:pPr>
        <w:pStyle w:val="TextoNormal"/>
      </w:pPr>
    </w:p>
    <w:p w:rsidR="0026452D" w:rsidRDefault="0026452D" w:rsidP="0026452D">
      <w:pPr>
        <w:pStyle w:val="TextoNormal"/>
      </w:pPr>
      <w:r w:rsidRPr="0026452D">
        <w:rPr>
          <w:rStyle w:val="NumeroAFNegritaCaracter"/>
        </w:rPr>
        <w:t>13</w:t>
      </w:r>
      <w:r>
        <w:t>. El capítulo III de la Ley Foral toma en consideración el fenómeno de las parejas estables en determinados ámbitos competenciales propios de la Comunidad Foral, como son los referidos al régimen sucesorio, al régimen fiscal y al régimen de función pública.</w:t>
      </w:r>
    </w:p>
    <w:p w:rsidR="0026452D" w:rsidRDefault="0026452D" w:rsidP="0026452D">
      <w:pPr>
        <w:pStyle w:val="TextoNormal"/>
      </w:pPr>
    </w:p>
    <w:p w:rsidR="0026452D" w:rsidRDefault="0026452D" w:rsidP="0026452D">
      <w:pPr>
        <w:pStyle w:val="TextoNormal"/>
      </w:pPr>
      <w:r>
        <w:t>La impugnación de los preceptos contenidos en dicho capítulo se basa, en primer lugar, en motivos formales —la no especificación del carácter de la Ley de mayoría absoluta—, que ya han sido desestimados en el fundamento jurídico 4. Por otra parte, se insiste en que estos preceptos son proyección de un nuevo tipo de matrimonio que no puede ser regulado por el Parlamento de Navarra. Ya hemos descartado esta vulneración y hemos advertido que el órgano legislativo autonómico sí está capacitado para tomar en consideración, en el ámbito de sus competencias, la realidad social de las uniones de hecho. Hemos de entender, por este motivo, que la actuación del Parlamento de Navarra, referida a los arts. 11, 12 y 13 de la Ley Foral, encuentra suficiente apoyo en los arts. 48.1, 45.3 y 49.1, párrafo b), LORAFNA.</w:t>
      </w:r>
    </w:p>
    <w:p w:rsidR="0026452D" w:rsidRDefault="0026452D" w:rsidP="0026452D">
      <w:pPr>
        <w:pStyle w:val="TextoNormal"/>
      </w:pPr>
    </w:p>
    <w:p w:rsidR="0026452D" w:rsidRDefault="0026452D" w:rsidP="0026452D">
      <w:pPr>
        <w:pStyle w:val="TextoNormal"/>
      </w:pPr>
      <w:r>
        <w:t>En particular, debemos reseñar que la previsión del art. 13, en cuanto referida al personal al servicio de las Administraciones públicas de Navarra, se adopta claramente dentro de las competencias propias de la Comunidad Foral, donde su Parlamento, en el marco de sus competencias, ha decidido atribuir ciertas consecuencias jurídicas a las uniones de hecho, atinentes, en este caso, al régimen del personal al servicio de las Administraciones públicas. Como hemos recordado en el fundamento jurídico 6 de la reciente STC 81/2013, de 11 de abril (con cita de la STC 31/2010, de 28 de junio, FJ 82), al examinar la constitucionalidad de una norma de similar tenor, contenida en la Ley de la Comunidad de Madrid 11/2001, de 19 de diciembre, de uniones de hecho, “El art. 149.1.18 CE reserva al Estado ‘las bases del régimen estatutario de los funcionarios públicos’, incluyéndose en ellas ‘en principio, la normación relativa a la adquisición y pérdida de la condición de funcionario, a las condiciones de promoción de la carrera administrativa y a las situaciones que en ésta puedan darse, a los derechos y deberes y responsabilidades de los funcionarios y a su régimen disciplinario, así como a la creación e integración, en su caso, de cuerpos y escalas funcionariales y al modo de provisión de puestos de trabajo al servicio de las Administraciones pú</w:t>
      </w:r>
      <w:r>
        <w:lastRenderedPageBreak/>
        <w:t>blicas.’ (STC 37/2002, de 14 de febrero, FJ 5 y las allí citadas).”. Por su parte a las Comunidades Autónomas les corresponde la competencia de desarrollo legislativo y de ejecución, de acuerdo con aquella legislación básica, en lo que se refiere a los funcionarios al servicio de la Comunidad Autónoma y al servicio de las corporaciones locales radicadas en su ámbito territorial (STC 37/2002, FJ 8).</w:t>
      </w:r>
    </w:p>
    <w:p w:rsidR="0026452D" w:rsidRDefault="0026452D" w:rsidP="0026452D">
      <w:pPr>
        <w:pStyle w:val="TextoNormal"/>
      </w:pPr>
    </w:p>
    <w:p w:rsidR="0026452D" w:rsidRDefault="0026452D" w:rsidP="0026452D">
      <w:pPr>
        <w:pStyle w:val="TextoNormal"/>
      </w:pPr>
      <w:r>
        <w:t>Peculiar es, sin embargo, la posición de la Comunidad Foral de Navarra en esta materia, merced a su consideración como una Comunidad Autónoma de régimen específico que accedió a su autonomía en virtud de la disposición adicional primera de la Constitución. Y esa peculiaridad ha sido reconocida, entre otras, en las SSTC 140/1990, de 20 de septiembre, FJ 3 y 148/2006, de 11 de mayo, FJ 6. Así, en la primera de ellas señalamos que “[l]a competencia atribuida por el art. 49.1 b) LORAFNA, incluirá, por tanto, las competencias que sobre el régimen estatuario de los funcionarios ejercía Navarra en el momento de la promulgación de la LORAFNA [art. 39.1 a)], teniendo, sin embargo, como límites, en primer lugar, el que las mismas no afecten a las competencias estatales inherentes a la unidad constitucional (arts. 2.2 y 3.1 LORAFNA) y, en segundo lugar, el respeto de ‘los derechos y obligaciones esenciales que la legislación básica del Estado reconozca a los funcionarios públicos’ [art. 49.1 b) LORAFNA]”. Por tal razón, la aplicación del estatuto básico del empleado público (Ley 7/2007, de 12 de abril) a la Comunidad Foral de Navarra, de acuerdo con su disposición adicional tercera, apartado 1, se realizará en los términos previstos en el art. 149.1.18 y disposición adicional primera CE, y en la LORAFNA.</w:t>
      </w:r>
    </w:p>
    <w:p w:rsidR="0026452D" w:rsidRDefault="0026452D" w:rsidP="0026452D">
      <w:pPr>
        <w:pStyle w:val="TextoNormal"/>
      </w:pPr>
    </w:p>
    <w:p w:rsidR="0026452D" w:rsidRDefault="0026452D" w:rsidP="0026452D">
      <w:pPr>
        <w:pStyle w:val="TextoNormal"/>
      </w:pPr>
      <w:r>
        <w:t>Pues bien, la previsión del art. 13 de la Ley Foral que supone la aplicación a los miembros de las parejas estables de la normativa relativa al personal al servicio de las Administraciones públicas de Navarra sobre licencias, permisos, situaciones administrativas, provisión de puestos de trabajo, ayuda familiar y derechos pasivos, encuentra legítimo acomodo en la competencia establecida en el art. 49.1 b) LORAFNA, sin que con ello resulten afectados los derechos y obligaciones esenciales de los funcionarios públicos establecidos en la legislación básica del Estado.</w:t>
      </w:r>
    </w:p>
    <w:p w:rsidR="0026452D" w:rsidRDefault="0026452D" w:rsidP="0026452D">
      <w:pPr>
        <w:pStyle w:val="TextoNormal"/>
      </w:pPr>
    </w:p>
    <w:p w:rsidR="0026452D" w:rsidRDefault="0026452D" w:rsidP="0026452D">
      <w:pPr>
        <w:pStyle w:val="TextoNormal"/>
      </w:pPr>
      <w:r>
        <w:t>Por lo demás, tampoco se produce la vulneración de los arts. 14 y 9.3 CE, a los que se remiten los recurrentes en su argumentación respecto al capítulo II, argumentación que ya ha sido rechazada en el fundamento jurídico 11 a), cuyos razonamientos debemos dar aquí por reproducidos.</w:t>
      </w:r>
    </w:p>
    <w:p w:rsidR="0026452D" w:rsidRDefault="0026452D" w:rsidP="0026452D">
      <w:pPr>
        <w:pStyle w:val="TextoNormal"/>
      </w:pPr>
    </w:p>
    <w:p w:rsidR="0026452D" w:rsidRDefault="0026452D" w:rsidP="0026452D">
      <w:pPr>
        <w:pStyle w:val="TextoNormal"/>
      </w:pPr>
      <w:r>
        <w:t>Nos queda por atender la impugnación por vulneración del art. 10.1 CE que, como ya se ha señalado, al ser dirigida por los recurrentes contra todo el contenido de la Ley, nos obliga a examinar ahora bajo ese prisma los preceptos del capítulo III.</w:t>
      </w:r>
    </w:p>
    <w:p w:rsidR="0026452D" w:rsidRDefault="0026452D" w:rsidP="0026452D">
      <w:pPr>
        <w:pStyle w:val="TextoNormal"/>
      </w:pPr>
    </w:p>
    <w:p w:rsidR="0026452D" w:rsidRDefault="0026452D" w:rsidP="0026452D">
      <w:pPr>
        <w:pStyle w:val="TextoNormal"/>
      </w:pPr>
      <w:r>
        <w:t xml:space="preserve">El art. 11 introduce ciertas modificaciones en tres Leyes de la Compilación del Derecho civil foral de Navarra, referidas al régimen sucesorio. El apartado 1 añade un párrafo a la ley 253 equiparando a la situación del cónyuge viudo al miembro sobreviviente de una pareja estable a efectos del usufructo de fidelidad sobre todos los bienes y derechos que pertenecían al fallecido en el momento de su muerte. Por su parte, el apartado 2 modifica la ley 304.5 incluyendo a la pareja estable junto con el cónyuge viudo en el orden de llamamientos de la sucesión legal en bienes no troncales. Finalmente, el apartado 3 modifica la ley 341, disponiendo que el miembro sobreviviente no puede ser contador-partidor, al igual que el </w:t>
      </w:r>
      <w:r>
        <w:lastRenderedPageBreak/>
        <w:t xml:space="preserve">heredero, el legatario de parte alícuota y el cónyuge viudo. Pues bien, las dos primeras modificaciones de leyes de la Compilación no se limitan a prever la posibilidad de que al miembro sobreviviente de la pareja estable se le reconozcan determinados derechos sucesorios, lo que hubiera dotado a la regulación de un carácter dispositivo, sino que establecen preceptivamente tales derechos, prescindiendo de la voluntad de los integrantes de la pareja, únicos legitimados para regular sus relaciones personales y patrimoniales y, en consecuencia, para acordar entre ellos los derechos que pueden corresponder a cada uno en la sucesión del otro. Si la constitución de una unión estable se encuentra fundada en la absoluta libertad de sus integrantes, que han decidido voluntariamente no someter su relación de convivencia a la regulación aparejada </w:t>
      </w:r>
      <w:r w:rsidRPr="0026452D">
        <w:rPr>
          <w:i/>
        </w:rPr>
        <w:t>ex lege</w:t>
      </w:r>
      <w:r>
        <w:t xml:space="preserve"> a la celebración del matrimonio, no resulta razonable que esa situación de hecho sea sometida a un régimen sucesorio imperativo, al margen de su concreta aceptación o no por los miembros de la pareja. Máxime cuando la Compilación de Derecho civil foral de Navarra ofrece una amplia regulación que permite instrumentar la sucesión de los integrantes de la pareja que, partiendo de la libertad de disposición declarada en la ley 149, cuentan con las opciones que les ofrecen las donaciones </w:t>
      </w:r>
      <w:r w:rsidRPr="0026452D">
        <w:rPr>
          <w:i/>
        </w:rPr>
        <w:t>mortis causa</w:t>
      </w:r>
      <w:r>
        <w:t xml:space="preserve"> (leyes 165 a 171), los pactos o contratos sucesorios regulados en el título IV del libro II o, finalmente, el testamento de hermandad a que se refieren las leyes 199 y siguientes.</w:t>
      </w:r>
    </w:p>
    <w:p w:rsidR="0026452D" w:rsidRDefault="0026452D" w:rsidP="0026452D">
      <w:pPr>
        <w:pStyle w:val="TextoNormal"/>
      </w:pPr>
    </w:p>
    <w:p w:rsidR="0026452D" w:rsidRDefault="0026452D" w:rsidP="0026452D">
      <w:pPr>
        <w:pStyle w:val="TextoNormal"/>
      </w:pPr>
      <w:r>
        <w:t>Por tal razón, los apartados 1 y 2 del art. 11, al desconocer la libertad de decisión de los componentes de la pareja estable, incurren en inconstitucionalidad por vulneración del art. 10.1 CE. Igual declaración ha de efectuarse en cuanto al apartado 3, por su directa conexión con aquéllos, ya que viene a establecer una consecuencia inherente a los derechos sucesorios reconocidos, que es la incapacidad para ser contador-partidor, debido al evidente conflicto de intereses existente.</w:t>
      </w:r>
    </w:p>
    <w:p w:rsidR="0026452D" w:rsidRDefault="0026452D" w:rsidP="0026452D">
      <w:pPr>
        <w:pStyle w:val="TextoNormal"/>
      </w:pPr>
    </w:p>
    <w:p w:rsidR="0026452D" w:rsidRDefault="0026452D" w:rsidP="0026452D">
      <w:pPr>
        <w:pStyle w:val="TextoNormal"/>
      </w:pPr>
      <w:r>
        <w:t>En el caso del art. 12, referido al régimen fiscal, debemos limitar nuestro examen al apartado 1, ya que, como señalamos en el fundamento jurídico 2, el apartado 2 fue derogado por el Decreto Foral Legislativo 250/2002, de 16 de diciembre, y el apartado 3 ha de considerarse derogado por el Decreto Foral Legislativo 4/2008, de 2 de junio.</w:t>
      </w:r>
    </w:p>
    <w:p w:rsidR="0026452D" w:rsidRDefault="0026452D" w:rsidP="0026452D">
      <w:pPr>
        <w:pStyle w:val="TextoNormal"/>
      </w:pPr>
    </w:p>
    <w:p w:rsidR="0026452D" w:rsidRDefault="0026452D" w:rsidP="0026452D">
      <w:pPr>
        <w:pStyle w:val="TextoNormal"/>
      </w:pPr>
      <w:r>
        <w:t>El apartado 1 establece de manera imperativa que los miembros de una pareja estable “serán considerados como cónyuges a los efectos previstos en la legislación fiscal de Navarra a la hora de computar rendimientos y de aplicar deducciones o exenciones”. No se concede, pues, a los miembros de las parejas estables la opción de suscribirse o no a dicho régimen, sino que se les impone con todas sus consecuencias, sean beneficiosas o perjudiciales. Lo cual supone, una vez más, que la Ley Foral ha prescindido de la libre voluntad de los integrantes de la pareja para decidir sobre un aspecto que afecta a su relación, produciendo nuevamente una infracción del art. 10.1 CE.</w:t>
      </w:r>
    </w:p>
    <w:p w:rsidR="0026452D" w:rsidRDefault="0026452D" w:rsidP="0026452D">
      <w:pPr>
        <w:pStyle w:val="TextoNormal"/>
      </w:pPr>
    </w:p>
    <w:p w:rsidR="0026452D" w:rsidRDefault="0026452D" w:rsidP="0026452D">
      <w:pPr>
        <w:pStyle w:val="TextoNormal"/>
      </w:pPr>
      <w:r>
        <w:t xml:space="preserve">Quedan por examinar, desde la perspectiva que ahora tratamos, los apartados 1 y 2 del art. 13 (ya que el apartado 3 ha de considerarse derogado), relativo al régimen de la función pública. El primero de ellos determina que los miembros de una pareja estable serán considerados como cónyuges a los efectos previstos en el estatuto del personal al servicio de las Administraciones públicas de Navarra en todo lo relativo a licencias, permisos, situaciones administrativas, provisión de puestos de trabajo, ayuda familiar y derechos pasivos. El apartado 2 modifica el art. 50.1 a) del citado estatuto de personal previendo que se pueda abonar una ayuda familiar a los funcionarios por la pareja estable que no perciba ingresos. Pues bien, en ninguno de los dos casos puede apreciarse vulneración del art. 10.1 CE, pues, a </w:t>
      </w:r>
      <w:r>
        <w:lastRenderedPageBreak/>
        <w:t>pesar de la formulación imperativa del tenor normativo, su aplicación requiere de la expresa solicitud del integrante de la pareja que esté sometido al régimen funcionarial navarro, de tal manera que su disfrute dependerá en todo caso de su voluntad de acogerse o no a la previsión legal.</w:t>
      </w:r>
    </w:p>
    <w:p w:rsidR="0026452D" w:rsidRDefault="0026452D" w:rsidP="0026452D">
      <w:pPr>
        <w:pStyle w:val="TextoNormal"/>
      </w:pPr>
    </w:p>
    <w:p w:rsidR="0026452D" w:rsidRDefault="0026452D" w:rsidP="0026452D">
      <w:pPr>
        <w:pStyle w:val="TextoNormal"/>
      </w:pPr>
      <w:r w:rsidRPr="0026452D">
        <w:rPr>
          <w:rStyle w:val="NumeroAFNegritaCaracter"/>
        </w:rPr>
        <w:t>14</w:t>
      </w:r>
      <w:r>
        <w:t xml:space="preserve">. Nos resta por determinar, finalmente, el alcance en el tiempo de nuestra declaración de inconstitucionalidad, a cuyo efecto no podemos soslayar la existencia de situaciones personales y patrimoniales de distinta índole consolidadas al amparo de la Ley Foral impugnada durante el tiempo transcurrido en la sustanciación del presente recurso de inconstitucionalidad. Dotar de eficacia </w:t>
      </w:r>
      <w:r w:rsidRPr="0026452D">
        <w:rPr>
          <w:i/>
        </w:rPr>
        <w:t>ex tunc</w:t>
      </w:r>
      <w:r>
        <w:t xml:space="preserve"> a nuestra declaración de inconstitucionalidad podría producir importantes perjuicios a las parejas estables cuya relación se haya desarrollado durante este tiempo de conformidad con las previsiones de dicha Ley, por lo que hemos de seguir la doctrina recogida, entre otras, en las SSTC 54/2002, de 27 de febrero, FJ 9, 365/2006, de 21 de diciembre, FJ 8, y 161/2012, de 20 de septiembre, FJ 7, en las que declaramos que, en supuestos como el que ahora nos ocupa, y atendiendo a la pluralidad de valores constitucionales que concurren, se ha de traer a colación el principio de seguridad jurídica (art. 9.3 CE), al que responde la previsión contenida en el art. 40.1 de la Ley Orgánica del Tribunal Constitucional (LOTC). Conforme a este precepto las sentencias declaratorias de la inconstitucionalidad de leyes “no permitirán revisar procesos fenecidos mediante sentencia con fuerza de cosa juzgada”, en los que se haya hecho aplicación de las leyes inconstitucionales. Ahora bien, como establecimos en la STC 365/2006, en su fundamento jurídico 8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sólo sea eficaz pro futuro, esto es, en relación con nuevos supuestos o con los procedimientos administrativos y procesos judiciales donde aún no haya recaído una resolución firme”, puesto que “el principio de seguridad jurídica (art. 9.3 CE) reclama la intangibilidad de las situaciones jurídicas consolidadas; no sólo las decididas con fuerza de cosa juzgada, sino también las situaciones administrativas firmes”.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Estimar parcialmente el presente recurso de inconstitucionalidad y, en su virtud:</w:t>
      </w:r>
    </w:p>
    <w:p w:rsidR="0026452D" w:rsidRDefault="0026452D" w:rsidP="0026452D">
      <w:pPr>
        <w:pStyle w:val="TextoNormal"/>
      </w:pPr>
    </w:p>
    <w:p w:rsidR="0026452D" w:rsidRDefault="0026452D" w:rsidP="0026452D">
      <w:pPr>
        <w:pStyle w:val="TextoNormal"/>
      </w:pPr>
      <w:r>
        <w:t xml:space="preserve">Declarar la inconstitucionalidad y consiguiente nulidad del art. 2, apartado 2, párrafo primero, inciso “hayan convivido maritalmente, como mínimo, un período ininterrumpido de un año, salvo que tuvieran descendencia común, en cuyo caso bastará la mera convivencia, o salvo que” y párrafo segundo, y apartado 3; del art. 3, inciso “y el transcurso del año de convivencia”; del art. 4, apartado 4; del art. 5, apartado 1, inciso “respetando, en todo caso, los derechos mínimos contemplados en la presente Ley Foral, los cuales son irrenunciables hasta el momento en que son exigibles”, y apartados 2, 3, 4 y 5; del art. 6; del art. 7; </w:t>
      </w:r>
      <w:r>
        <w:lastRenderedPageBreak/>
        <w:t>del art. 9; del art. 11; y del art. 12.1 de la Ley Foral 6/2000, de 3 de julio, para la igualdad jurídica de las parejas estables, con el alcance determinado en el fundamento jurídico 14.</w:t>
      </w:r>
    </w:p>
    <w:p w:rsidR="0026452D" w:rsidRDefault="0026452D" w:rsidP="0026452D">
      <w:pPr>
        <w:pStyle w:val="TextoNormal"/>
      </w:pPr>
    </w:p>
    <w:p w:rsidR="0026452D" w:rsidRDefault="0026452D" w:rsidP="0026452D">
      <w:pPr>
        <w:pStyle w:val="TextoNormal"/>
      </w:pPr>
      <w:r>
        <w:t>2º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veintitrés de abril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Manuel Aragón Reyes, al que se adhiere el Magistrado don Ramón Rodríguez Arribas, respecto de la Sentencia dictada por el Pleno en el recurso de inconstitucionalidad núm. 5297-2000.</w:t>
      </w:r>
    </w:p>
    <w:p w:rsidR="0026452D" w:rsidRDefault="0026452D" w:rsidP="0026452D">
      <w:pPr>
        <w:pStyle w:val="TextoNormalNegritaCentrado"/>
        <w:keepNext/>
      </w:pPr>
    </w:p>
    <w:p w:rsidR="0026452D" w:rsidRDefault="0026452D" w:rsidP="0026452D">
      <w:pPr>
        <w:pStyle w:val="TextoNormal"/>
      </w:pPr>
      <w:r>
        <w:t>En ejercicio de la facultad que me confiere el art. 90.2 de la Ley Orgánica del Tribunal Constitucional, y con pleno respeto a la opinión de la mayoría del Pleno, formulo el presente Voto particular, al discrepar del fallo y de la fundamentación jurídica de la Sentencia que ha estimado parcialmente el recurso de inconstitucionalidad interpuesto por ochenta y tres Diputados pertenecientes al Grupo Parlamentario Popular del Congreso de los Diputados contra la Ley Foral 6/2000, de 3 de julio, para la igualdad jurídica de las parejas estables.</w:t>
      </w:r>
    </w:p>
    <w:p w:rsidR="0026452D" w:rsidRDefault="0026452D" w:rsidP="0026452D">
      <w:pPr>
        <w:pStyle w:val="TextoNormal"/>
      </w:pPr>
    </w:p>
    <w:p w:rsidR="0026452D" w:rsidRDefault="0026452D" w:rsidP="0026452D">
      <w:pPr>
        <w:pStyle w:val="TextoNormal"/>
      </w:pPr>
      <w:r>
        <w:t>A mi entender, en virtud de los argumentos que defendí en la deliberación del Pleno y que resumidamente expongo a continuación, el recurso de inconstitucionalidad debió ser estimado en su integridad, declarando la inconstitucionalidad y nulidad de toda la Ley Foral impugnada, toda vez que la Comunidad Foral de Navarra carece de competencias para dictar esta Ley, lo que tornaría en innecesario (e improcedente) el enjuiciamiento sustantivo de dicha Ley, así como de los concretos preceptos de la misma a los que se ha extendido la Sentencia.</w:t>
      </w:r>
    </w:p>
    <w:p w:rsidR="0026452D" w:rsidRDefault="0026452D" w:rsidP="0026452D">
      <w:pPr>
        <w:pStyle w:val="TextoNormal"/>
      </w:pPr>
    </w:p>
    <w:p w:rsidR="0026452D" w:rsidRDefault="0026452D" w:rsidP="0026452D">
      <w:pPr>
        <w:pStyle w:val="TextoNormal"/>
      </w:pPr>
      <w:r>
        <w:t xml:space="preserve">1. Tal como afirman los parlamentarios recurrentes —y en ello coincide a su vez el Abogado del Estado— la Ley Foral 6/2000, de 3 de julio, para la igualdad jurídica de las parejas estables, vulnera la competencia estatal </w:t>
      </w:r>
      <w:r w:rsidRPr="0026452D">
        <w:rPr>
          <w:i/>
        </w:rPr>
        <w:t>ex</w:t>
      </w:r>
      <w:r>
        <w:t xml:space="preserve"> art. 149.1.8 CE, que establece la competencia exclusiva del Estado, “en todo caso”, sobre “las relaciones jurídico-civiles relativas a las formas de matrimonio”, ya que la regulación de la Ley Foral se proyecta sobre un vínculo entre dos personas definido (art. 2.1 de la Ley Foral) por “una relación de afectividad análoga a la conyugal”, con la pretensión de equiparar estas relaciones </w:t>
      </w:r>
      <w:r w:rsidRPr="0026452D">
        <w:rPr>
          <w:i/>
        </w:rPr>
        <w:t>more uxorio</w:t>
      </w:r>
      <w:r>
        <w:t xml:space="preserve"> con la institución matrimonial, para lo cual la Comunidad Foral de Navarra carece de competencia. Razón por la que la Ley Foral 6/2000 debe ser declarada inconstitucional y nula en su integridad.</w:t>
      </w:r>
    </w:p>
    <w:p w:rsidR="0026452D" w:rsidRDefault="0026452D" w:rsidP="0026452D">
      <w:pPr>
        <w:pStyle w:val="TextoNormal"/>
      </w:pPr>
    </w:p>
    <w:p w:rsidR="0026452D" w:rsidRDefault="0026452D" w:rsidP="0026452D">
      <w:pPr>
        <w:pStyle w:val="TextoNormal"/>
      </w:pPr>
      <w:r>
        <w:t xml:space="preserve">2. En efecto, sólo el legislador estatal ostenta competencia para regular las uniones de hecho estables como una institución jurídica análoga al matrimonio. Esta competencia exclusiva del Estado se fundamenta en el propio tenor de la expresión “formas de matrimonio” que emplea el art. 149.1.8 CE, para referirse a la competencia exclusiva del Estado “en todo caso”. Es notorio que la Constitución, en el momento de su aprobación en 1978, partía entonces de que el “matrimonio” era el único modo de dotar de efectos jurídicos a las uniones estables entre parejas; pero esa literalidad del art. 149.1.8 CE no impide entender que el término “matrimonio” que emplea el precepto constitucional ha de abarcar cualquier otra </w:t>
      </w:r>
      <w:r>
        <w:lastRenderedPageBreak/>
        <w:t xml:space="preserve">regulación jurídica de las parejas estables ligadas por una relación de afectividad análoga a la conyugal, aunque esa otra institución jurídica no lleve, claro está, el </w:t>
      </w:r>
      <w:r w:rsidRPr="0026452D">
        <w:rPr>
          <w:i/>
        </w:rPr>
        <w:t>nomen iuris</w:t>
      </w:r>
      <w:r>
        <w:t xml:space="preserve"> de matrimonio (pero cumpla la misma función social de la institución matrimonial). Tal entendimiento del art. 149.1.8 CE se impone a la luz de la finalidad del precepto constitucional, que al atribuir en exclusiva al Estado la competencia sobre “las relaciones jurídico-civiles relativas a las formas de matrimonio”, lo que persigue es que la regulación jurídica de las parejas estables (con la denominación de “matrimonio” u otra), sea igual para todos los españoles, lo que únicamente se consigue si el Estado es el competente para regular la institución de las parejas estables.</w:t>
      </w:r>
    </w:p>
    <w:p w:rsidR="0026452D" w:rsidRDefault="0026452D" w:rsidP="0026452D">
      <w:pPr>
        <w:pStyle w:val="TextoNormal"/>
      </w:pPr>
    </w:p>
    <w:p w:rsidR="0026452D" w:rsidRDefault="0026452D" w:rsidP="0026452D">
      <w:pPr>
        <w:pStyle w:val="TextoNormal"/>
      </w:pPr>
      <w:r>
        <w:t>Por ello, no cabe en ningún caso que las Comunidades Autónomas regulen las uniones de hecho estables de manera análoga a lo establecido para la institución matrimonial, como ha sucedido precisamente con la Ley Foral 6/2000, pues las Comunidades Autónomas, y más concretamente en este caso la Comunidad Foral de Navarra, carecen de competencia para adoptar una decisión semejante, que supone invadir la competencia estatal exclusiva para regular, “en todo caso”, las relaciones jurídicas civiles relativas a las “formas de matrimonio” (art. 149.1.8 CE).</w:t>
      </w:r>
    </w:p>
    <w:p w:rsidR="0026452D" w:rsidRDefault="0026452D" w:rsidP="0026452D">
      <w:pPr>
        <w:pStyle w:val="TextoNormal"/>
      </w:pPr>
    </w:p>
    <w:p w:rsidR="0026452D" w:rsidRDefault="0026452D" w:rsidP="0026452D">
      <w:pPr>
        <w:pStyle w:val="TextoNormal"/>
      </w:pPr>
      <w:r>
        <w:t xml:space="preserve">3. Lo anterior bastaría para declarar la inconstitucionalidad y nulidad de la Ley Foral impugnada en su integridad. Pero resulta que, en segundo lugar, concurre un motivo añadido para afirmar que la Ley Foral 6/2000 incurre en un exceso competencial que vulnera la competencia estatal exclusiva </w:t>
      </w:r>
      <w:r w:rsidRPr="0026452D">
        <w:rPr>
          <w:i/>
        </w:rPr>
        <w:t>ex</w:t>
      </w:r>
      <w:r>
        <w:t xml:space="preserve"> art. 149.1.8 CE, ahora en cuanto a la cláusula general de este precepto constitucional que atribuye al Estado competencia exclusiva en materia de “legislación civil, sin perjuicio de la conservación, modificación y desarrollo por las Comunidades Autónomas de los derechos civiles, forales o especiales, allí donde existan”. Este título competencial no ha sido invocado autónomamente por los parlamentarios recurrentes, aunque sí ha sido traído a colación al proceso constitucional por el Gobierno y el Parlamento de Navarro, y en todo caso nada impide a este Tribunal examinar la controversia sometida a su consideración a la luz, igualmente, de dicho título competencial, de conformidad con lo previsto en el art. 39.2 de la Ley Orgánica del Tribunal Constitucional (LOTC) y conforme tiene declarado reiteradamente nuestra doctrina, pues este Tribunal no se encuentra necesariamente vinculado por el encuadramiento competencial que realicen las partes en el proceso (por todas, STC 77/2012, de 16 de abril, FJ 3).</w:t>
      </w:r>
    </w:p>
    <w:p w:rsidR="0026452D" w:rsidRDefault="0026452D" w:rsidP="0026452D">
      <w:pPr>
        <w:pStyle w:val="TextoNormal"/>
      </w:pPr>
    </w:p>
    <w:p w:rsidR="0026452D" w:rsidRDefault="0026452D" w:rsidP="0026452D">
      <w:pPr>
        <w:pStyle w:val="TextoNormal"/>
      </w:pPr>
      <w:r>
        <w:t xml:space="preserve">Pues bien, conviene reparar en que la “amplia libertad de configuración legal” de que goza Navarra en el ejercicio de su competencia en materia de Derecho civil foral conforme a lo previsto en el art. 149.1.8 CE y el art. 48 de la Ley Orgánica de reintegración y amejoramiento del régimen foral de Navarra (LORAFNA) (STC 236/2000, de 16 de octubre, FJ 3), no puede entenderse en el sentido omnímodo que lo hace la Sentencia de la que discrepo (fundamento jurídico 5), sino que, por el contrario, es claro, a mi entender, que la Comunidad Foral de Navarra carece de competencia </w:t>
      </w:r>
      <w:r w:rsidRPr="0026452D">
        <w:rPr>
          <w:i/>
        </w:rPr>
        <w:t>ex</w:t>
      </w:r>
      <w:r>
        <w:t xml:space="preserve"> art. 149.1.8 CE y art. 48 LORAFNA para regular las uniones de hecho como una institución jurídica análoga al matrimonio, pues no existía en la Compilación del Derecho Civil Foral o Fuero Nuevo de Navarra a la entrada en vigor de la Constitución, como es obvio, la institución jurídica de las parejas de hecho estables, que Navarra ha regulado, en flagrante exceso competencial, en su Ley Foral 6/2000.</w:t>
      </w:r>
    </w:p>
    <w:p w:rsidR="0026452D" w:rsidRDefault="0026452D" w:rsidP="0026452D">
      <w:pPr>
        <w:pStyle w:val="TextoNormal"/>
      </w:pPr>
    </w:p>
    <w:p w:rsidR="0026452D" w:rsidRDefault="0026452D" w:rsidP="0026452D">
      <w:pPr>
        <w:pStyle w:val="TextoNormal"/>
      </w:pPr>
      <w:r>
        <w:lastRenderedPageBreak/>
        <w:t xml:space="preserve">Como tuvimos ocasión de recordar en nuestra STC 31/2010, de 28 de junio, FJ 76, “el art. 149.1.8 CE, además de atribuir al Estado una competencia exclusiva sobre la ‘legislación civil’, también ‘introduce una garantía de la foralidad civil a través de la autonomía política’ (STC 88/1993, de 12 de marzo, FJ 1) que no consiste en la ‘intangibilidad o supralegalidad de los Derechos civiles especiales o forales, sino en la previsión de que los Estatutos de las Comunidades Autónomas en cuyo territorio aquéllos rigieran a la entrada en vigor de la Constitución puedan atribuir a dichas Comunidades competencia para su </w:t>
      </w:r>
      <w:r w:rsidRPr="0026452D">
        <w:rPr>
          <w:i/>
        </w:rPr>
        <w:t>conservación, modificación y desarrollo</w:t>
      </w:r>
      <w:r>
        <w:t>’.” De suerte que la competencia exclusiva en materia de Derecho civil o foral a que se refieran los Estatutos de Autonomía de estas Comunidades Autónomas (en el presente caso el art. 48 LORAFNA), “ha de entenderse ceñida estrictamente a esas funciones de ‘conservación, modificación y desarrollo’ del Derecho civil o foral propio “que son ‘la medida y el límite primero de las competencias … atribuibles y ejercitables’ por las Comunidades Autónomas en virtud del art. 149.1.8 CE (STC 88/1993, FJ 1)”.</w:t>
      </w:r>
    </w:p>
    <w:p w:rsidR="0026452D" w:rsidRDefault="0026452D" w:rsidP="0026452D">
      <w:pPr>
        <w:pStyle w:val="TextoNormal"/>
      </w:pPr>
    </w:p>
    <w:p w:rsidR="0026452D" w:rsidRDefault="0026452D" w:rsidP="0026452D">
      <w:pPr>
        <w:pStyle w:val="TextoNormal"/>
      </w:pPr>
      <w:r>
        <w:t xml:space="preserve">Y en cuanto al concepto constitucional de “desarrollo del propio derecho civil, especial o foral”, se recuerda también en la STC 31/2010, que “debe ser identificado a partir de la </w:t>
      </w:r>
      <w:r w:rsidRPr="0026452D">
        <w:rPr>
          <w:i/>
        </w:rPr>
        <w:t>ratio</w:t>
      </w:r>
      <w:r>
        <w:t xml:space="preserve"> de la garantía autonómica de la foralidad civil establecida por el art. 149.1.8 CE, de manera que ‘la Constitución permite, así, que los Derechos civiles especiales o forales preexistentes puedan ser objeto no ya de 'conservación' y 'modificación', sino también de una acción legislativa que haga posible su crecimiento orgánico y reconoce, de este modo, no sólo la historicidad y la actual vigencia, sino también la vitalidad hacia el futuro, de tales ordenamientos preconstitucionales’ (STC 88/1993, FJ 3). Ahora bien, ‘ese crecimiento, con todo, no podrá impulsarse en cualquier dirección ni sobre cualesquiera objetos’. … ‘Cabe, pues, que las Comunidades Autónomas dotadas de Derecho civil foral o especial regulen instituciones conexas con las ya reguladas en la Compilación dentro de una actualización o innovación de los contenidos de ésta según los principios informadores peculiares del Derecho foral’ (STC 88/1993, FJ 3). En el bien entendido que ello ‘no significa, claro está, … una competencia legislativa civil ilimitada </w:t>
      </w:r>
      <w:r w:rsidRPr="0026452D">
        <w:rPr>
          <w:i/>
        </w:rPr>
        <w:t>ratione materiae</w:t>
      </w:r>
      <w:r>
        <w:t xml:space="preserve"> dejada a la disponibilidad de las Comunidades Autónomas, que pugnaría con lo dispuesto en el art. 149.1.8 CE, por lo mismo que no podría reconocer su fundamento en la singularidad civil que la Constitución ha querido, por vía competencial, garantizar’ (loc. cit.)” (STC 31/2010, FJ 76).</w:t>
      </w:r>
    </w:p>
    <w:p w:rsidR="0026452D" w:rsidRDefault="0026452D" w:rsidP="0026452D">
      <w:pPr>
        <w:pStyle w:val="TextoNormal"/>
      </w:pPr>
    </w:p>
    <w:p w:rsidR="0026452D" w:rsidRDefault="0026452D" w:rsidP="0026452D">
      <w:pPr>
        <w:pStyle w:val="TextoNormal"/>
      </w:pPr>
      <w:r>
        <w:t>La claridad de nuestra doctrina no deja lugar a dudas para concluir que la Comunidad Foral de Navarra carece de competencia para abordar una regulación como la contenida en la Ley Foral 6/2000, toda vez que, como ya se dijo, no existía en la Compilación del Derecho civil foral o Fuero Nuevo de Navarra que regía a la entrada en vigor de la Constitución ninguna institución foral que guardase la menor conexión con la institución de las parejas de hecho estables que regula la referida Ley Foral 6/2000.</w:t>
      </w:r>
    </w:p>
    <w:p w:rsidR="0026452D" w:rsidRDefault="0026452D" w:rsidP="0026452D">
      <w:pPr>
        <w:pStyle w:val="TextoNormal"/>
      </w:pPr>
    </w:p>
    <w:p w:rsidR="0026452D" w:rsidRDefault="0026452D" w:rsidP="0026452D">
      <w:pPr>
        <w:pStyle w:val="TextoNormal"/>
      </w:pPr>
      <w:r>
        <w:t>La regulación contenida en la Ley Foral 6/2000, para la igualdad jurídica de las parejas estables, no encuentra amparo, en suma, en la competencia de la Comunidad Foral de Navarra para la “conservación, modificación y desarrollo” del Derecho civil foral (art. 149.1.8 CE y art. 48 LORAFNA), por lo que ha de concluirse que ha sido dictada incurriendo en un claro exceso competencial, lo que, también por este motivo, determina la inconstitucionalidad y nulidad de la Ley Foral impugnada en su integridad.</w:t>
      </w:r>
    </w:p>
    <w:p w:rsidR="0026452D" w:rsidRDefault="0026452D" w:rsidP="0026452D">
      <w:pPr>
        <w:pStyle w:val="TextoNormal"/>
      </w:pPr>
    </w:p>
    <w:p w:rsidR="0026452D" w:rsidRDefault="0026452D" w:rsidP="0026452D">
      <w:pPr>
        <w:pStyle w:val="TextoNormal"/>
      </w:pPr>
      <w:r>
        <w:t>Y en este sentido emito mi Voto particular.</w:t>
      </w:r>
    </w:p>
    <w:p w:rsidR="0026452D" w:rsidRDefault="0026452D" w:rsidP="0026452D">
      <w:pPr>
        <w:pStyle w:val="TextoNormal"/>
      </w:pPr>
    </w:p>
    <w:p w:rsidR="0026452D" w:rsidRDefault="0026452D" w:rsidP="0026452D">
      <w:pPr>
        <w:pStyle w:val="TextoNormal"/>
      </w:pPr>
      <w:r>
        <w:t>Madrid, a veintitrés de abril de dos mil trece</w:t>
      </w:r>
    </w:p>
    <w:p w:rsidR="0026452D" w:rsidRDefault="0026452D" w:rsidP="0026452D">
      <w:pPr>
        <w:pStyle w:val="TextoNormal"/>
      </w:pPr>
    </w:p>
    <w:p w:rsidR="0026452D" w:rsidRDefault="0026452D" w:rsidP="0026452D">
      <w:pPr>
        <w:pStyle w:val="TextoNormalNegritaCentrado"/>
        <w:keepNext/>
      </w:pPr>
      <w:r>
        <w:t>Voto particular que formula el Magistrado don Juan José González Rivas respecto de la Sentencia de 23 de abril de 2013, dictada en el recurso de inconstitucionalidad núm. 5297-2000.</w:t>
      </w:r>
    </w:p>
    <w:p w:rsidR="0026452D" w:rsidRDefault="0026452D" w:rsidP="0026452D">
      <w:pPr>
        <w:pStyle w:val="TextoNormalNegritaCentrado"/>
        <w:keepNext/>
      </w:pPr>
    </w:p>
    <w:p w:rsidR="0026452D" w:rsidRDefault="0026452D" w:rsidP="0026452D">
      <w:pPr>
        <w:pStyle w:val="TextoNormal"/>
      </w:pPr>
      <w:r>
        <w:t>Al amparo del artículo 90.2 de la Ley Orgánica del Tribunal Constitucional y con profundo respeto a los criterios de la tesis mayoritaria explicitados en la sentencia, formulo mi discrepancia basándome en los siguientes razonamientos:</w:t>
      </w:r>
    </w:p>
    <w:p w:rsidR="0026452D" w:rsidRDefault="0026452D" w:rsidP="0026452D">
      <w:pPr>
        <w:pStyle w:val="TextoNormal"/>
      </w:pPr>
    </w:p>
    <w:p w:rsidR="0026452D" w:rsidRDefault="0026452D" w:rsidP="0026452D">
      <w:pPr>
        <w:pStyle w:val="TextoNormal"/>
      </w:pPr>
      <w:r>
        <w:t>La discrepancia que vengo a expresar se reduce a la argumentación que conduce a la declaración de constitucionalidad del art. 8 de la ley impugnada (fundamento jurídico 12), precepto que, al no distinguir según la orientación sexual de los partícipes en la pareja estable, hace posible la adopción conjunta de menores por parejas estables homosexuales.</w:t>
      </w:r>
    </w:p>
    <w:p w:rsidR="0026452D" w:rsidRDefault="0026452D" w:rsidP="0026452D">
      <w:pPr>
        <w:pStyle w:val="TextoNormal"/>
      </w:pPr>
    </w:p>
    <w:p w:rsidR="0026452D" w:rsidRDefault="0026452D" w:rsidP="0026452D">
      <w:pPr>
        <w:pStyle w:val="TextoNormal"/>
      </w:pPr>
      <w:r>
        <w:t xml:space="preserve">En efecto, frente a la mayoría, que considera que “esta cuestión ha quedado resuelta por este Tribunal, y de manera muy clara en la reciente STC 198/2012, de 6 de noviembre, FJ 12” (fundamento jurídico 12), he de recordar que manifesté en su momento mi discrepancia con la </w:t>
      </w:r>
      <w:r w:rsidRPr="0026452D">
        <w:rPr>
          <w:i/>
        </w:rPr>
        <w:t>ratio</w:t>
      </w:r>
      <w:r>
        <w:t xml:space="preserve"> esgrimida en el citado fundamento jurídico 12 de la STC 198/2012, lo que me lleva ahora, para mantener una posición coherente, a reiterar que, como ya indiqué en aquel Voto particular, “el legislador ordinario está vinculado por los parámetros constitucionales expresamente prefijados en los arts. 32 y 39 CE, de los que se infiere la imposibilidad de desarrollar una relación de filiación adoptiva por dos adoptantes del mismo sexo”, criterio que, como también desarrollé en aquel Voto, es concorde con la jurisprudencia que ha interpretado los arts. 8 y 14 del Convenio para la protección de los derechos humanos y de las libertades fundamentales (SSTEDH de 26 de febrero de 2002, asunto </w:t>
      </w:r>
      <w:r w:rsidRPr="0026452D">
        <w:rPr>
          <w:i/>
        </w:rPr>
        <w:t>Fretté c. Francia</w:t>
      </w:r>
      <w:r>
        <w:t xml:space="preserve">; de 24 de junio de 2010, asunto </w:t>
      </w:r>
      <w:r w:rsidRPr="0026452D">
        <w:rPr>
          <w:i/>
        </w:rPr>
        <w:t>Schalk y Kopf c. Austria</w:t>
      </w:r>
      <w:r>
        <w:t xml:space="preserve">; y de 30 de noviembre de 2010, </w:t>
      </w:r>
      <w:r w:rsidRPr="0026452D">
        <w:rPr>
          <w:i/>
        </w:rPr>
        <w:t>asunto P.V. c. España</w:t>
      </w:r>
      <w:r>
        <w:t>).</w:t>
      </w:r>
    </w:p>
    <w:p w:rsidR="0026452D" w:rsidRDefault="0026452D" w:rsidP="0026452D">
      <w:pPr>
        <w:pStyle w:val="TextoNormal"/>
      </w:pPr>
    </w:p>
    <w:p w:rsidR="0026452D" w:rsidRDefault="0026452D" w:rsidP="0026452D">
      <w:pPr>
        <w:pStyle w:val="TextoNormal"/>
      </w:pPr>
      <w:r>
        <w:t>Y en este sentido formulo este Voto.</w:t>
      </w:r>
    </w:p>
    <w:p w:rsidR="0026452D" w:rsidRDefault="0026452D" w:rsidP="0026452D">
      <w:pPr>
        <w:pStyle w:val="TextoNormal"/>
      </w:pPr>
    </w:p>
    <w:p w:rsidR="0026452D" w:rsidRDefault="0026452D" w:rsidP="0026452D">
      <w:pPr>
        <w:pStyle w:val="TextoNormal"/>
      </w:pPr>
      <w:r>
        <w:t>Madrid, a veintitrés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97" w:name="SENTENCIA_2013_94"/>
      <w:r>
        <w:lastRenderedPageBreak/>
        <w:t>SENTENCIA 94/2013, de 23 de abril de 2013</w:t>
      </w:r>
    </w:p>
    <w:bookmarkEnd w:id="97"/>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ECLI:ES:TC:2013:94</w:t>
      </w:r>
    </w:p>
    <w:p w:rsidR="0026452D" w:rsidRDefault="0026452D" w:rsidP="0026452D">
      <w:pPr>
        <w:pStyle w:val="SntesisDescriptiva"/>
      </w:pPr>
    </w:p>
    <w:p w:rsidR="0026452D" w:rsidRDefault="0026452D" w:rsidP="0026452D">
      <w:pPr>
        <w:pStyle w:val="SntesisDescriptiva"/>
      </w:pPr>
      <w:r>
        <w:t>Recurso de inconstitucionalidad 596-2004. Interpuesto por el Gobierno de Aragón en relación con diversos preceptos de la Ley 33/2003, de 3 de noviembre, del patrimonio de las Administraciones públicas.</w:t>
      </w:r>
    </w:p>
    <w:p w:rsidR="0026452D" w:rsidRDefault="0026452D" w:rsidP="0026452D">
      <w:pPr>
        <w:pStyle w:val="SntesisDescriptiva"/>
      </w:pPr>
    </w:p>
    <w:p w:rsidR="0026452D" w:rsidRDefault="0026452D" w:rsidP="0026452D">
      <w:pPr>
        <w:pStyle w:val="SntesisAnaltica"/>
      </w:pPr>
      <w:r>
        <w:t>Competencias sobre régimen jurídico de las Administraciones públicas, ordenación del territorio, urbanismo y vivienda; autonomía local: constitucionalidad de los preceptos legales estatales relativos a la creación y aportaciones públicas a las juntas de compensación, comunicación de actuaciones urbanísticas a la Administración titular de bienes inmuebles, régimen urbanístico de inmuebles desafectados y destino del patrimonio estatal de vivienda. Votos particulares.</w:t>
      </w:r>
    </w:p>
    <w:p w:rsidR="0026452D" w:rsidRDefault="0026452D" w:rsidP="0026452D">
      <w:pPr>
        <w:pStyle w:val="SntesisAnaltica"/>
      </w:pPr>
    </w:p>
    <w:p w:rsidR="0026452D" w:rsidRDefault="0026452D" w:rsidP="0026452D">
      <w:pPr>
        <w:pStyle w:val="Extracto"/>
      </w:pPr>
      <w:r>
        <w:t>1.</w:t>
      </w:r>
      <w:r>
        <w:tab/>
        <w:t>El precepto que prevé la inclusión de la Administración del Estado entre los propietarios susceptibles de incorporarse a la junta de compensación, con aportación de inmuebles patrimoniales o derechos sobre los mismos, es una norma de gestión del patrimonio del Estado que no incide en el planeamiento urbanístico ni en los sistemas de ejecución urbanística, ni recoge opción alguna por un determinado instrumento urbanístico, supuestos estos en los que no resultaría de aplicación al quedar desplazada la competencia exclusiva autonómica (STC 170/2012)  [FJ 5].</w:t>
      </w:r>
    </w:p>
    <w:p w:rsidR="0026452D" w:rsidRDefault="0026452D" w:rsidP="0026452D">
      <w:pPr>
        <w:pStyle w:val="Extracto"/>
      </w:pPr>
    </w:p>
    <w:p w:rsidR="0026452D" w:rsidRDefault="0026452D" w:rsidP="0026452D">
      <w:pPr>
        <w:pStyle w:val="Extracto"/>
      </w:pPr>
      <w:r>
        <w:t>2.</w:t>
      </w:r>
      <w:r>
        <w:tab/>
        <w:t xml:space="preserve">No vulnera las competencias autonómicas en materia de urbanismo la regulación de la actuación de la Administración del Estado, cuando inmuebles de su propiedad que tienen el carácter de bienes demaniales quedan incluidos en el ámbito de una junta de compensación resultando el uso previsto por el planeamiento incompatible con el que motivó su afectación, al limitarse a establecer una regla de gestión que produce efectos en el ámbito interno de la gestión patrimonial estatal, sin que ello conlleve una afectación </w:t>
      </w:r>
      <w:r w:rsidRPr="0026452D">
        <w:rPr>
          <w:i/>
        </w:rPr>
        <w:t>ad extra</w:t>
      </w:r>
      <w:r>
        <w:t xml:space="preserve"> sobre las normas urbanísticas que regulan el sistema de compensación  [FJ 5].</w:t>
      </w:r>
    </w:p>
    <w:p w:rsidR="0026452D" w:rsidRDefault="0026452D" w:rsidP="0026452D">
      <w:pPr>
        <w:pStyle w:val="Extracto"/>
      </w:pPr>
    </w:p>
    <w:p w:rsidR="0026452D" w:rsidRDefault="0026452D" w:rsidP="0026452D">
      <w:pPr>
        <w:pStyle w:val="Extracto"/>
      </w:pPr>
      <w:r>
        <w:t>3.</w:t>
      </w:r>
      <w:r>
        <w:tab/>
        <w:t xml:space="preserve">El precepto impugnado configura una norma interna de gestión del patrimonio del Estado y, en cuanto tal, ha de entenderse dictada al amparo de la potestad legislativa plena que para la regulación de su propio patrimonio corresponde al Estado </w:t>
      </w:r>
      <w:r w:rsidRPr="0026452D">
        <w:rPr>
          <w:i/>
        </w:rPr>
        <w:t>ex</w:t>
      </w:r>
      <w:r>
        <w:t xml:space="preserve"> art. 132.3 CE, no siendo pues una norma con carácter básico, </w:t>
      </w:r>
      <w:r w:rsidRPr="0026452D">
        <w:rPr>
          <w:i/>
        </w:rPr>
        <w:t>ex</w:t>
      </w:r>
      <w:r>
        <w:t xml:space="preserve"> art. 149.1.18 CE, sino un precepto de exclusiva aplicación al patrimonio del Estado, por lo que no cabe apreciar en este punto exceso competencial alguno (STC 58/1982)  [FJ 7].</w:t>
      </w:r>
    </w:p>
    <w:p w:rsidR="0026452D" w:rsidRDefault="0026452D" w:rsidP="0026452D">
      <w:pPr>
        <w:pStyle w:val="Extracto"/>
      </w:pPr>
    </w:p>
    <w:p w:rsidR="0026452D" w:rsidRDefault="0026452D" w:rsidP="0026452D">
      <w:pPr>
        <w:pStyle w:val="Extracto"/>
      </w:pPr>
      <w:r>
        <w:t>4.</w:t>
      </w:r>
      <w:r>
        <w:tab/>
        <w:t xml:space="preserve">La referencia del precepto impugnado a la ‘legislación urbanística vigente’ entraña un expreso sometimiento al marco competencial como eje para su interpretación y aplicación, lo que permite afirmar que estamos ante una norma de naturaleza puramente organizativa de gestión interna del patrimonio estatal que no implica el ejercicio de competencias sustantivas en materia de urbanismo ni, en </w:t>
      </w:r>
      <w:r>
        <w:lastRenderedPageBreak/>
        <w:t>consecuencia, vulnera las competencias que corresponden a la Comunidad Autónoma en esta materia  [FJ 7].</w:t>
      </w:r>
    </w:p>
    <w:p w:rsidR="0026452D" w:rsidRDefault="0026452D" w:rsidP="0026452D">
      <w:pPr>
        <w:pStyle w:val="Extracto"/>
      </w:pPr>
    </w:p>
    <w:p w:rsidR="0026452D" w:rsidRDefault="0026452D" w:rsidP="0026452D">
      <w:pPr>
        <w:pStyle w:val="Extracto"/>
      </w:pPr>
      <w:r>
        <w:t>5.</w:t>
      </w:r>
      <w:r>
        <w:tab/>
        <w:t>La traslación del principio general de justa distribución de beneficios y cargas al régimen jurídico patrimonial de los bienes que integran el patrimonio del Estado no puede vulnerar las competencias autonómicas ya que se trata de un mandato sustantivo que obliga a todos los poderes públicos (STC 61/1997) [FJ 7].</w:t>
      </w:r>
    </w:p>
    <w:p w:rsidR="0026452D" w:rsidRDefault="0026452D" w:rsidP="0026452D">
      <w:pPr>
        <w:pStyle w:val="Extracto"/>
      </w:pPr>
    </w:p>
    <w:p w:rsidR="0026452D" w:rsidRDefault="0026452D" w:rsidP="0026452D">
      <w:pPr>
        <w:pStyle w:val="Extracto"/>
      </w:pPr>
      <w:r>
        <w:t>6.</w:t>
      </w:r>
      <w:r>
        <w:tab/>
        <w:t>El destino al que están afectados los bienes del Estado, necesarios para la implantación de las obras y servicios de su competencia, se impone al planeamiento, de modo que éste deberá adaptar la calificación urbanística al uso que corresponde a dicha obra o servicio, exigencia que tiene su apoyo en una competencia exclusiva del Estado que no supone ablación de las competencias autonómicas sobre urbanismo y ordenación del territorio (STC 204/2002) [FJ 8].</w:t>
      </w:r>
    </w:p>
    <w:p w:rsidR="0026452D" w:rsidRDefault="0026452D" w:rsidP="0026452D">
      <w:pPr>
        <w:pStyle w:val="Extracto"/>
      </w:pPr>
    </w:p>
    <w:p w:rsidR="0026452D" w:rsidRDefault="0026452D" w:rsidP="0026452D">
      <w:pPr>
        <w:pStyle w:val="Extracto"/>
      </w:pPr>
      <w:r>
        <w:t>7.</w:t>
      </w:r>
      <w:r>
        <w:tab/>
        <w:t>El precepto impugnado se limita a efectuar una remisión expresa a la potestad que corresponde al planificador urbanístico para efectuar la nueva calificación de los terrenos sobre los que se ubican los edificios o instalaciones desafectados sin establecer limitación o condicionamiento alguno al ejercicio de la mencionada facultad ni obligar a su ejercicio en un determinado sentido, no existiendo por tanto una intromisión en la actuación del planificador urbanístico ni, en consecuencia, una vulneración de las competencias autonómicas [FJ 8].</w:t>
      </w:r>
    </w:p>
    <w:p w:rsidR="0026452D" w:rsidRDefault="0026452D" w:rsidP="0026452D">
      <w:pPr>
        <w:pStyle w:val="Extracto"/>
      </w:pPr>
    </w:p>
    <w:p w:rsidR="0026452D" w:rsidRDefault="0026452D" w:rsidP="0026452D">
      <w:pPr>
        <w:pStyle w:val="Extracto"/>
      </w:pPr>
      <w:r>
        <w:t>8.</w:t>
      </w:r>
      <w:r>
        <w:tab/>
        <w:t>La disposición impugnada establece determinadas prescripciones de índole estrictamente organizativa y de gestión aplicables al patrimonio estatal de vivienda y el derecho transitorio aplicable, articulando el reparto de facultades que corresponden, en el ámbito organizativo estatal, a distintas entidades para la gestión del patrimonio inmobiliario de titularidad de la Administración del Estado, por lo que carece de virtualidad para vulnerar las competencias autonómicas, ya que de la misma no se deriva atribución o habilitación alguna a los órganos estatales para el ejercicio de facultades o competencias en el sector de la vivienda que corresponden a las Comunidades Autónomas [FJ 9].</w:t>
      </w:r>
    </w:p>
    <w:p w:rsidR="0026452D" w:rsidRDefault="0026452D" w:rsidP="0026452D">
      <w:pPr>
        <w:pStyle w:val="Extracto"/>
      </w:pPr>
    </w:p>
    <w:p w:rsidR="0026452D" w:rsidRDefault="0026452D" w:rsidP="0026452D">
      <w:pPr>
        <w:pStyle w:val="Extracto"/>
      </w:pPr>
      <w:r>
        <w:t>9.</w:t>
      </w:r>
      <w:r>
        <w:tab/>
        <w:t>El precepto impugnado no hace otra cosa que plasmar lo que constituye una regla general del procedimiento administrativo, en virtud del cual la eficacia de los actos sujetos a notificación, se produce a partir de la fecha de ésta siendo, en consecuencia, la notificación la que inicia el cómputo del plazo para evacuar el trámite de alegaciones o interponer recursos, lo que no vulnera las competencias autonómicas, en cuanto que no establece ninguna regla procedimental específica en la materia]. [FJ 6].</w:t>
      </w:r>
    </w:p>
    <w:p w:rsidR="0026452D" w:rsidRDefault="0026452D" w:rsidP="0026452D">
      <w:pPr>
        <w:pStyle w:val="Extracto"/>
      </w:pPr>
    </w:p>
    <w:p w:rsidR="0026452D" w:rsidRDefault="0026452D" w:rsidP="0026452D">
      <w:pPr>
        <w:pStyle w:val="Extracto"/>
      </w:pPr>
      <w:r>
        <w:t>10.</w:t>
      </w:r>
      <w:r>
        <w:tab/>
        <w:t>La denominación atribuida por el legislador a una concreta regulación carece por sí misma de relevancia a efectos constitucionales, pues el análisis que a este Tribunal corresponde efectuar ha de atender con carácter exclusivo al contenido sustantivo de la regulación impugnada, dado que el argumento decisivo para llevar a cabo el análisis constitucional de una norma no puede hacerse depender de los términos que el legislador, a su discreción, haya utilizado (STC 122/2012) [FJ 6].</w:t>
      </w:r>
    </w:p>
    <w:p w:rsidR="0026452D" w:rsidRDefault="0026452D" w:rsidP="0026452D">
      <w:pPr>
        <w:pStyle w:val="Extracto"/>
      </w:pPr>
    </w:p>
    <w:p w:rsidR="0026452D" w:rsidRDefault="0026452D" w:rsidP="0026452D">
      <w:pPr>
        <w:pStyle w:val="Extracto"/>
      </w:pPr>
      <w:r>
        <w:lastRenderedPageBreak/>
        <w:t>11.</w:t>
      </w:r>
      <w:r>
        <w:tab/>
        <w:t>Doctrina constitucional sobre la competencia exclusiva atribuida al Estado en el art. 149.1.8 CE en materia de ordenación de los registros e instrumentos públicos (SSTC 44/1985, 14/2004) [FJ 7].</w:t>
      </w:r>
    </w:p>
    <w:p w:rsidR="0026452D" w:rsidRDefault="0026452D" w:rsidP="0026452D">
      <w:pPr>
        <w:pStyle w:val="Extracto"/>
      </w:pPr>
    </w:p>
    <w:p w:rsidR="0026452D" w:rsidRDefault="0026452D" w:rsidP="0026452D">
      <w:pPr>
        <w:pStyle w:val="Extracto"/>
      </w:pPr>
      <w:r>
        <w:t>12.</w:t>
      </w:r>
      <w:r>
        <w:tab/>
        <w:t xml:space="preserve">Doctrina constitucional sobre la garantía institucional de la autonomía municipal, </w:t>
      </w:r>
      <w:r w:rsidRPr="0026452D">
        <w:rPr>
          <w:i/>
        </w:rPr>
        <w:t>ex</w:t>
      </w:r>
      <w:r>
        <w:t xml:space="preserve"> arts. 137 y 140 CE [FJ 8].</w:t>
      </w:r>
    </w:p>
    <w:p w:rsidR="0026452D" w:rsidRDefault="0026452D" w:rsidP="0026452D">
      <w:pPr>
        <w:pStyle w:val="Extracto"/>
      </w:pPr>
    </w:p>
    <w:p w:rsidR="0026452D" w:rsidRDefault="0026452D" w:rsidP="0026452D">
      <w:pPr>
        <w:pStyle w:val="Extracto"/>
      </w:pPr>
      <w:r>
        <w:t>13.</w:t>
      </w:r>
      <w:r>
        <w:tab/>
        <w:t>La exclusiva competencia autonómica en materia de urbanismo no impide que el Estado pueda ejercer competencias propias que tengan una proyección sobre el ámbito urbanístico autonómico, por lo que la competencia autonómica en dicha materia ha de coexistir con aquéllas que el Estado ostenta en virtud del art. 149.1 CE, cuyo ejercicio puede condicionar la competencia de las Comunidades Autónomas sobre el mencionado sector material (SSTC 61/1997, 148/2012) [FJ 4].</w:t>
      </w:r>
    </w:p>
    <w:p w:rsidR="0026452D" w:rsidRDefault="0026452D" w:rsidP="0026452D">
      <w:pPr>
        <w:pStyle w:val="Extracto"/>
      </w:pPr>
    </w:p>
    <w:p w:rsidR="0026452D" w:rsidRDefault="0026452D" w:rsidP="0026452D">
      <w:pPr>
        <w:pStyle w:val="Extracto"/>
      </w:pPr>
      <w:r>
        <w:t>14.</w:t>
      </w:r>
      <w:r>
        <w:tab/>
        <w:t>Doctrina constitucional sobre el contenido material de las bases estatales y la posible incidencia de esa regulación básica en ámbitos materiales sectoriales de competencia autonómica y, en particular, en lo relativo al régimen patrimonial de los bienes públicos  (SSTC 1/1982, 223/2000, 170/2012) [FJ 4].</w:t>
      </w:r>
    </w:p>
    <w:p w:rsidR="0026452D" w:rsidRDefault="0026452D" w:rsidP="0026452D">
      <w:pPr>
        <w:pStyle w:val="Extracto"/>
      </w:pPr>
    </w:p>
    <w:p w:rsidR="0026452D" w:rsidRDefault="0026452D" w:rsidP="0026452D">
      <w:pPr>
        <w:pStyle w:val="Extracto"/>
      </w:pPr>
      <w:r>
        <w:t>15.</w:t>
      </w:r>
      <w:r>
        <w:tab/>
        <w:t>La ley impugnada respeta la doble dimensión, formal y material, que es consustancial a la noción de ‘bases’, ya que tiene rango de Ley, su carácter básico está expresamente proclamado, y la competencia del Estado para establecer las bases del régimen patrimonial de las Administraciones Públicas, a las que ha de ajustarse el desarrollo legislativo por parte de las Comunidades Autónomas al regular su patrimonio propio, se halla, en diversos títulos del art. 149.1 CE, que reservan esta materia a la competencia exclusiva del Estado (SSTC 58/1982, 223/2000) [FJ 3].</w:t>
      </w:r>
    </w:p>
    <w:p w:rsidR="0026452D" w:rsidRDefault="0026452D" w:rsidP="0026452D">
      <w:pPr>
        <w:pStyle w:val="Extracto"/>
      </w:pPr>
    </w:p>
    <w:p w:rsidR="0026452D" w:rsidRDefault="0026452D" w:rsidP="0026452D">
      <w:pPr>
        <w:pStyle w:val="Extracto"/>
      </w:pPr>
      <w:r>
        <w:t>16.</w:t>
      </w:r>
      <w:r>
        <w:tab/>
        <w:t xml:space="preserve">Doctrina constitucional sobre el </w:t>
      </w:r>
      <w:r w:rsidRPr="0026452D">
        <w:rPr>
          <w:i/>
        </w:rPr>
        <w:t>ius superveniens</w:t>
      </w:r>
      <w:r>
        <w:t xml:space="preserve"> (STC 148/2012)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inconstitucionalidad núm. 596-2004 interpuesto por el Gobierno de Aragón en relación con los arts. 139, 189, 190 y 191 y la disposición adicional decimonovena </w:t>
      </w:r>
      <w:r>
        <w:lastRenderedPageBreak/>
        <w:t>de la Ley 33/2003, de 3 de noviembre, del patrimonio de las Administraciones públicas. Ha comparecido y formulado alegaciones el Abogado del Estado.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día 4 de febrero de 2004 tuvo entrada en el Registro General de este Tribunal escrito del Letrado de la Comunidad Autónoma de Aragón por el que, en nombre y representación de la misma, interpone recurso de inconstitucionalidad contra los arts. 139, 189, 190 y 191 y la disposición adicional decimonovena de la Ley 33/2003, de 3 de noviembre, del patrimonio de las Administraciones públicas. Comienza su argumentación el Letrado señalando que la legitimación procesal del Gobierno de Aragón para la interposición del presente recurso deriva del hecho de que los preceptos impugnados afectan a su propio ámbito de autonomía, en concreto, a las competencias exclusivas que ostenta la Comunidad Autónoma, conforme al art. 35.1.7 de su Estatuto de Autonomía (EAAr), en materia de “ordenación del territorio, urbanismo y vivienda”, y en consecuencia, existe una conexión material entre la ley estatal y el ámbito competencial autonómico, en los términos exigidos por la jurisprudencia constitucional.</w:t>
      </w:r>
    </w:p>
    <w:p w:rsidR="0026452D" w:rsidRDefault="0026452D" w:rsidP="0026452D">
      <w:pPr>
        <w:pStyle w:val="TextoNormal"/>
      </w:pPr>
    </w:p>
    <w:p w:rsidR="0026452D" w:rsidRDefault="0026452D" w:rsidP="0026452D">
      <w:pPr>
        <w:pStyle w:val="TextoNormal"/>
      </w:pPr>
      <w:r>
        <w:t>El representante autonómico considera que, conforme a una temprana doctrina del Tribunal Constitucional, el Estado no goza de un título competencial específico que le permita regular el patrimonio del Estado, pues el art. 132.3 CE no es una norma atributiva de competencias, sino una reserva de ley (STC 58/1982, FJ 1) y tampoco el “dominio público” es, en sí mismo, un criterio de delimitación competencial, sin perjuicio de que corresponda al Estado la determinación de aquellas categorías de bienes que integran el dominio público natural, así como el establecimiento del régimen jurídico de los bienes que lo integran. Pero una regulación unitaria del patrimonio del Estado (comprendiendo tanto los bienes patrimoniales como los demaniales, tal y como hace la Ley 33/2003) ha de acometerse por el Estado desde la perspectiva de las bases del régimen jurídico de las Administraciones públicas (art. 149.1.18 CE) y así lo había señalado ya el Tribunal en la citada STC 58/1982.</w:t>
      </w:r>
    </w:p>
    <w:p w:rsidR="0026452D" w:rsidRDefault="0026452D" w:rsidP="0026452D">
      <w:pPr>
        <w:pStyle w:val="TextoNormal"/>
      </w:pPr>
    </w:p>
    <w:p w:rsidR="0026452D" w:rsidRDefault="0026452D" w:rsidP="0026452D">
      <w:pPr>
        <w:pStyle w:val="TextoNormal"/>
      </w:pPr>
      <w:r>
        <w:t>En virtud de esa competencia básica, el Estado puede establecer los elementos esenciales que garanticen un régimen jurídico unitario aplicable a todas las Administraciones públicas, si bien la intensidad y extensión que pueden tener las bases no es la misma en todos los ámbitos que integran ese régimen jurídico, siendo el objetivo fundamental, aunque no único, de las bases en esta materia el de garantizar “a los administrados un tratamiento común ante ellas”.</w:t>
      </w:r>
    </w:p>
    <w:p w:rsidR="0026452D" w:rsidRDefault="0026452D" w:rsidP="0026452D">
      <w:pPr>
        <w:pStyle w:val="TextoNormal"/>
      </w:pPr>
    </w:p>
    <w:p w:rsidR="0026452D" w:rsidRDefault="0026452D" w:rsidP="0026452D">
      <w:pPr>
        <w:pStyle w:val="TextoNormal"/>
      </w:pPr>
      <w:r>
        <w:t>A juicio del representante autonómico, los arts. 189, 190 y 191 de la Ley 33/2003 no quedan amparados por el citado título competencial, no sólo porque no establecen normas dirigidas a asegurar a los ciudadanos ese tratamiento común, sino porque ni siquiera pueden calificarse como normas reguladoras del “régimen jurídico de las Administraciones públicas”.</w:t>
      </w:r>
    </w:p>
    <w:p w:rsidR="0026452D" w:rsidRDefault="0026452D" w:rsidP="0026452D">
      <w:pPr>
        <w:pStyle w:val="TextoNormal"/>
      </w:pPr>
    </w:p>
    <w:p w:rsidR="0026452D" w:rsidRDefault="0026452D" w:rsidP="0026452D">
      <w:pPr>
        <w:pStyle w:val="TextoNormal"/>
      </w:pPr>
      <w:r>
        <w:t xml:space="preserve">Los precitados artículos conforman el capítulo III del título VII, que ostenta la rúbrica de “régimen urbanístico y gestión de los bienes públicos”, rúbrica que resulta significativa de la extralimitación en que incurre la regulación, pues la Comunidad Autónoma de Aragón </w:t>
      </w:r>
      <w:r>
        <w:lastRenderedPageBreak/>
        <w:t>ostenta competencia exclusiva en materia de urbanismo (art. 35.1.7 EAAr), por lo que es a ella a quien corresponde establecer el régimen urbanístico de los predios. Aunque el Tribunal Constitucional ha resuelto que es legítimo que el Estado pueda establecer condicionamientos o límites al ejercicio de esa competencia urbanística, amparado por títulos competenciales que específicamente le corresponden, en el presente caso no existe un título específico para establecer normas o imponer limitaciones que afecten al régimen urbanístico de los bienes, por el mero dato formal de que su titularidad corresponda a una Administración pública. La genérica competencia sobre las “bases del régimen jurídico de las Administraciones públicas”, permitiría la regulación con carácter básico de las facultades y prerrogativas que corresponden a las Administraciones públicas como titulares de esos bienes (investigación, deslinde, recuperación de oficio, etc.), pero difícilmente puede mantenerse que formen parte de la estructura de las titularidades públicas, normas sobre la constitución de las juntas de compensación o sobre la calificación urbanística de los inmuebles desafectados, pues se trata de normas que se encuadran naturalmente en la legislación urbanística que es competencia exclusiva de la Comunidad Autónoma, y en absoluto recaen sobre la estructura o configuración de las titularidades públicas. Sobre estos argumentos generales se asienta la concreta impugnación de los preceptos que a continuación se examinan.</w:t>
      </w:r>
    </w:p>
    <w:p w:rsidR="0026452D" w:rsidRDefault="0026452D" w:rsidP="0026452D">
      <w:pPr>
        <w:pStyle w:val="TextoNormal"/>
      </w:pPr>
    </w:p>
    <w:p w:rsidR="0026452D" w:rsidRDefault="0026452D" w:rsidP="0026452D">
      <w:pPr>
        <w:pStyle w:val="TextoNormal"/>
      </w:pPr>
      <w:r>
        <w:t>a) El art. 189 regula la “comunicación de actuaciones urbanísticas”. A juicio de la representación autonómica el precepto implica una desmedida injerencia en el procedimiento de aprobación de los instrumentos urbanísticos, que no tiene amparo en los títulos competenciales que corresponden al Estado. Si bien la STC 61/1997, FJ 26 a), declaró que el título competencial sobre las bases del régimen jurídico de las Administraciones públicas del art. 149.1.18 CE proporciona respaldo suficiente al legislador estatal para la imposición con carácter materialmente básico de un deber de información, que hallaría su amparo en el principio de coordinación inherente a la estructura del Estado autonómico y, por tanto, que la obligación de notificar es en sí misma plenamente respetuosa con el orden constitucional de competencias, también se afirmó que dicha competencia no incluye la fijación de reglas de procedimiento cuando el Estado carece de título competencial específico. Aplicando los anteriores postulados, se considera que excede de la competencia estatal exigir que se notifique la “aprobación inicial, la provisional y la definitiva” y dejar indefinidamente abiertos los plazos para que se puedan presentar alegaciones o interponer recursos, pues ello afecta de manera directa e inmediata a las competencias de la Comunidad Autónoma para regular el procedimiento de aprobación de los instrumentos de planeamiento, sin que tal afección pueda ampararse en un genérico deber de colaboración o cooperación. En la misma línea, y en relación al apartado 3 del precepto, se afirma que tampoco puede el Estado ampararse en ningún título competencial para establecer quién es el responsable municipal que ha de efectuar la notificación, dado, además, que existen instrumentos de planeamiento en la legislación urbanística aragonesa cuya tramitación y aprobación se atribuye a la Administración autonómica y no a la municipal, por lo que el precepto vulnera además la competencia autonómica en materia de régimen local (art. 35.1.2 EAAr).</w:t>
      </w:r>
    </w:p>
    <w:p w:rsidR="0026452D" w:rsidRDefault="0026452D" w:rsidP="0026452D">
      <w:pPr>
        <w:pStyle w:val="TextoNormal"/>
      </w:pPr>
    </w:p>
    <w:p w:rsidR="0026452D" w:rsidRDefault="0026452D" w:rsidP="0026452D">
      <w:pPr>
        <w:pStyle w:val="TextoNormal"/>
      </w:pPr>
      <w:r>
        <w:t xml:space="preserve">b) El art. 190 lleva por rúbrica “ejecución del planeamiento”, lo que de nuevo revela el evidente propósito de regular una materia inequívocamente urbanística. A juicio de la representación autonómica, el apartado 1 del precepto viene a establecer determinados requisitos y condiciones para proceder a la ejecución del planeamiento, sin disponer el Estado de título competencial que le habilite para ello, predeterminando incluso la utilización de técnicas urbanísticas concretas, siendo así que sólo a la Comunidad Autónoma le corresponde </w:t>
      </w:r>
      <w:r>
        <w:lastRenderedPageBreak/>
        <w:t>determinar cuáles son las condiciones para que se pueda constituir una entidad urbanística colaboradora, a través de la cual se vaya a ejecutar el planeamiento, y, como ya señaló la STC 61/1997, al Estado no le incumbe determinar el instrumento, el procedimiento o la forma en que ha de llevarse a cabo la ejecución del planeamiento, cuestiones éstas que corresponden a la competencia urbanística autonómica.</w:t>
      </w:r>
    </w:p>
    <w:p w:rsidR="0026452D" w:rsidRDefault="0026452D" w:rsidP="0026452D">
      <w:pPr>
        <w:pStyle w:val="TextoNormal"/>
      </w:pPr>
    </w:p>
    <w:p w:rsidR="0026452D" w:rsidRDefault="0026452D" w:rsidP="0026452D">
      <w:pPr>
        <w:pStyle w:val="TextoNormal"/>
      </w:pPr>
      <w:r>
        <w:t>El apartado 2 se refiere en exclusiva a cesiones y demás operaciones patrimoniales “sobre bienes y derechos del Patrimonio del Estado”, por lo que no puede ampararse esta regulación en el título competencial relativo al régimen jurídico de las Administraciones públicas. A juicio de la representación autonómica, la referencia que se efectúa a la aplicación del principio de equidistribución de beneficios y cargas, y a los órganos competentes para acordarlas, que serán “los previstos en esta Ley para la operación patrimonial de que se trate”, implica que las cesiones derivadas de la ejecución del planeamiento que afecten a bienes del patrimonio del Estado han de ser acordadas por los órganos de la Administración del Estado. A juicio de la Comunidad Autónoma, a los órganos competentes de la Administración del Estado corresponderá decidir la incorporación o no a la junta de compensación pero nada tienen que acordar sobre la cesión de los terrenos derivada de la ejecución del planeamiento, pues los terrenos de cesión obligatoria quedarán transmitidos a la Administración actuante en virtud de la aprobación del proyecto de reparcelación, sin que quepa “acordarla” a la Administración del Estado.</w:t>
      </w:r>
    </w:p>
    <w:p w:rsidR="0026452D" w:rsidRDefault="0026452D" w:rsidP="0026452D">
      <w:pPr>
        <w:pStyle w:val="TextoNormal"/>
      </w:pPr>
    </w:p>
    <w:p w:rsidR="0026452D" w:rsidRDefault="0026452D" w:rsidP="0026452D">
      <w:pPr>
        <w:pStyle w:val="TextoNormal"/>
      </w:pPr>
      <w:r>
        <w:t>c) El art. 191 ostenta la rúbrica “régimen urbanístico de los inmuebles desafectados” y se refiere únicamente a los bienes que forman parte del patrimonio del Estado, por lo que puede reproducirse lo señalado con anterioridad, en concreto, su difícil engarce en el “régimen jurídico de las Administraciones públicas”. Afirma el Letrado autonómico que los apartados 1, 2 y 4 del precepto son normas aplicables a los bienes desafectados del patrimonio del Estado, por lo que ninguna objeción cabe realizar a que el Estado regule su propio patrimonio de la forma que considere más adecuada para servir a los intereses públicos, pero no cabe configurar tales normas como “básicas” al amparo del art. 149.1.18 CE.</w:t>
      </w:r>
    </w:p>
    <w:p w:rsidR="0026452D" w:rsidRDefault="0026452D" w:rsidP="0026452D">
      <w:pPr>
        <w:pStyle w:val="TextoNormal"/>
      </w:pPr>
    </w:p>
    <w:p w:rsidR="0026452D" w:rsidRDefault="0026452D" w:rsidP="0026452D">
      <w:pPr>
        <w:pStyle w:val="TextoNormal"/>
      </w:pPr>
      <w:r>
        <w:t>En relación con el apartado 3, considera la representación autonómica que la previsión de comunicación a las autoridades urbanísticas a fin de que procedan a otorgar a los terrenos desafectados la nueva calificación urbanística que corresponda, unido a lo dispuesto en el apartado 5, parece dar a entender que la calificación urbanística de un inmueble del patrimonio del Estado solo es la que “corresponde” mientras la Administración del Estado lo decida así; si la Administración estatal decide alterar el uso del inmueble, el Ayuntamiento tendrá que cambiar la calificación urbanística, so pena de que tenga que cargar con su mantenimiento. Tal regulación se reputa inconstitucional, en cuanto altera todo el sistema de la legislación urbanística, invirtiendo sus términos, desconociendo la competencia autonómica y afectando a la autonomía local, al pretender imponer al Ayuntamiento un cambio de calificación, o a asumir, de lo contrario, el mantenimiento del inmueble. La inconstitucionalidad afecta también, según la representación autonómica, al apartado 6, que vuelve a insistir en la idea de la “nueva calificación”, invirtiendo la regla de la legislación urbanística, al hacer depender la calificación del uso y no a la inversa.</w:t>
      </w:r>
    </w:p>
    <w:p w:rsidR="0026452D" w:rsidRDefault="0026452D" w:rsidP="0026452D">
      <w:pPr>
        <w:pStyle w:val="TextoNormal"/>
      </w:pPr>
    </w:p>
    <w:p w:rsidR="0026452D" w:rsidRDefault="0026452D" w:rsidP="0026452D">
      <w:pPr>
        <w:pStyle w:val="TextoNormal"/>
      </w:pPr>
      <w:r>
        <w:t xml:space="preserve">d) En relación con el art. 139 afirma el Letrado de la Comunidad Autónoma que no se encuentra entre los de “aplicación general” ni entre los que constituyen “legislación básica” conforme a la disposición final segunda de la Ley, por lo que es un artículo de aplicación al </w:t>
      </w:r>
      <w:r>
        <w:lastRenderedPageBreak/>
        <w:t>patrimonio del Estado, no amparado en ningún título competencial específico, sino en la mera potestad de organización de los propios medios, por lo que bastará pues comprobar que se afecta al ámbito urbanístico para determinar la inconstitucionalidad del precepto.</w:t>
      </w:r>
    </w:p>
    <w:p w:rsidR="0026452D" w:rsidRDefault="0026452D" w:rsidP="0026452D">
      <w:pPr>
        <w:pStyle w:val="TextoNormal"/>
      </w:pPr>
    </w:p>
    <w:p w:rsidR="0026452D" w:rsidRDefault="0026452D" w:rsidP="0026452D">
      <w:pPr>
        <w:pStyle w:val="TextoNormal"/>
      </w:pPr>
      <w:r>
        <w:t>El apartado 1 dispone que la incorporación de la Administración General del Estado y sus organismos públicos a las juntas de compensación, “se regirá por la legislación urbanística vigente, previa adhesión expresa”, correspondiendo al órgano competente para la administración y gestión de los bienes la realización de los actos que requiera dicha participación. El precepto viene a incidir en las concretas técnicas urbanísticas, cuya regulación es competencia exclusiva de la Comunidad Autónoma. Es técnica urbanística normal la de constitución de entidades, tradicionalmente denominadas “juntas de compensación”, a las cuales los propietarios se adhieren de forma voluntaria y expresa (quedando sujetos, en otro caso, a la expropiación de sus terrenos). Pero con independencia de que puedan existir otras técnicas, el precepto está limitando la posibilidad de que la legislación urbanística imponga técnicas de agrupación forzosa de propietarios a los efectos de la ejecución del planeamiento, esto es, está predeterminando la forma en la que deben constituirse dichas juntas. Ello supone desconocer que es a la Comunidad Autónoma de Aragón a la que corresponde la regulación de la materia, sin que el Estado pueda invocar título competencial alguno para incidir sobre esta cuestión. El apartado 2 deja en manos de la Administración del Estado la posibilidad de paralizar la ejecución del planeamiento, al impedir el funcionamiento normal de la junta de compensación y la elaboración del correspondiente proyecto de reparcelación (que debe contemplar toda la superficie de la unidad de ejecución).</w:t>
      </w:r>
    </w:p>
    <w:p w:rsidR="0026452D" w:rsidRDefault="0026452D" w:rsidP="0026452D">
      <w:pPr>
        <w:pStyle w:val="TextoNormal"/>
      </w:pPr>
    </w:p>
    <w:p w:rsidR="0026452D" w:rsidRDefault="0026452D" w:rsidP="0026452D">
      <w:pPr>
        <w:pStyle w:val="TextoNormal"/>
      </w:pPr>
      <w:r>
        <w:t>e) En cuanto a la disposición adicional decimonovena, se afirma que desconoce la competencia autonómica exclusiva en materia de vivienda, en cuanto atribuye al Estado facultades de ejecución en esta materia, pues no sólo está previendo la gestión por órganos estatales de viviendas provenientes del Instituto de Promoción Pública de Viviendas, sino que expresamente está atribuyendo a la Administración del Estado la construcción actual de viviendas, en ejecución de los programas anuales de promoción pública de viviendas. El Estado carece de competencias para la construcción de nuevas viviendas de promoción pública y para la correspondiente gestión del parque de viviendas, y sus facultades en este ámbito habrían de limitarse a la territorialización de los fondos presupuestarios disponibles, a fin de que se proceda a su gestión por las Comunidades Autónomas.</w:t>
      </w:r>
    </w:p>
    <w:p w:rsidR="0026452D" w:rsidRDefault="0026452D" w:rsidP="0026452D">
      <w:pPr>
        <w:pStyle w:val="TextoNormal"/>
      </w:pPr>
    </w:p>
    <w:p w:rsidR="0026452D" w:rsidRDefault="0026452D" w:rsidP="0026452D">
      <w:pPr>
        <w:pStyle w:val="TextoNormal"/>
      </w:pPr>
      <w:r w:rsidRPr="0026452D">
        <w:rPr>
          <w:rStyle w:val="NumeroAFNegritaCaracter"/>
        </w:rPr>
        <w:t>2</w:t>
      </w:r>
      <w:r>
        <w:t>. Este Tribunal, mediante providencia de la Sección Primera de 24 de febrero de 2004, admitió a trámite el recurso de inconstitucionalidad promovido por el Gobierno de Aragón, acordando dar traslado de las actuaciones, conforme establece el art. 34 de la Ley Orgánica del Tribunal Constitucional, al Congreso de los Diputados y al Senado, por conducto de sus Presidentes, y al Gobierno a través del Ministerio de Justicia, al objeto de que en el plazo de quince días, pudieran personarse en el proceso y formular las alegaciones que estimaran pertinentes, así como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El Congreso de los Diputados, por escrito de su Presidenta de 5 de marzo de 2004, acordó no personarse en el proceso ni formular alegaciones.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4</w:t>
      </w:r>
      <w:r>
        <w:t>. En fecha 23 de marzo de 2004 tuvo entrada en este Tribunal escrito de alegaciones del Abogado del Estado en el que solicita se tenga por evacuado el trámite conferido y se dicte Sentencia desestimatoria del presente recurso en todos sus extremos.</w:t>
      </w:r>
    </w:p>
    <w:p w:rsidR="0026452D" w:rsidRDefault="0026452D" w:rsidP="0026452D">
      <w:pPr>
        <w:pStyle w:val="TextoNormal"/>
      </w:pPr>
    </w:p>
    <w:p w:rsidR="0026452D" w:rsidRDefault="0026452D" w:rsidP="0026452D">
      <w:pPr>
        <w:pStyle w:val="TextoNormal"/>
      </w:pPr>
      <w:r>
        <w:t>Comienza el Abogado del Estado efectuando unas consideraciones de carácter general en relación a la Ley 33/2003, del patrimonio de las Administraciones públicas, que a su juicio, y a diferencia de la antigua Ley de patrimonio del Estado, parte de una consideración conjunta de los bienes demaniales y patrimoniales, categorías que, en el ámbito estatal, pasan a ser los dos elementos integrantes del Patrimonio del Estado, y que encuentra su justificación, según la exposición de motivos de la propia Ley, en la acentuación de que los intereses generales deben impregnar, también, la gestión de los bienes patrimoniales, lo que justifica que la Ley haya reforzado los mecanismos de defensa de los mismos, aproximándolos a los aplicables a los bienes demaniales.</w:t>
      </w:r>
    </w:p>
    <w:p w:rsidR="0026452D" w:rsidRDefault="0026452D" w:rsidP="0026452D">
      <w:pPr>
        <w:pStyle w:val="TextoNormal"/>
      </w:pPr>
    </w:p>
    <w:p w:rsidR="0026452D" w:rsidRDefault="0026452D" w:rsidP="0026452D">
      <w:pPr>
        <w:pStyle w:val="TextoNormal"/>
      </w:pPr>
      <w:r>
        <w:t>La disposición final segunda de la Ley 33/2003 declara legislación básica, de acuerdo con lo preceptuado en el art. 149.1.18 CE, los arts. 189, 190 y 191, debiendo jugar en relación con estos preceptos el título de “bases del régimen jurídico de las Administraciones públicas”, respecto del cual el régimen patrimonial no es sino una parte (SSTC 58/1982 y 85/1984). Dichos preceptos, así como también el art. 139 de la Ley, están configurados desde la perspectiva de considerar a la Administración General del Estado como sujeto titular de los derechos y obligaciones que la legislación urbanística atribuye al titular de los bienes, sin que por la misma se pretenda asumir facultades o ejercer potestades en materia estrictamente urbanística. A juicio del representante estatal, los preceptos sobre los que se proyecta el recurso pretenden exclusivamente establecer normas sobre la intervención de la Administración General del Estado en la práctica urbanística, como propietaria del suelo.</w:t>
      </w:r>
    </w:p>
    <w:p w:rsidR="0026452D" w:rsidRDefault="0026452D" w:rsidP="0026452D">
      <w:pPr>
        <w:pStyle w:val="TextoNormal"/>
      </w:pPr>
    </w:p>
    <w:p w:rsidR="0026452D" w:rsidRDefault="0026452D" w:rsidP="0026452D">
      <w:pPr>
        <w:pStyle w:val="TextoNormal"/>
      </w:pPr>
      <w:r>
        <w:t>En este contexto, los arts. 189, 190 y 191 constituyen disposiciones que pretenden una mejor defensa de los bienes públicos y la preservación de su función al servicio de los intereses generales, y la configuración de estos preceptos como normas básicas tiene por objeto la preservación de un mínimo de protección para estos bienes, que debe considerarse como el interés general prevalente que se encuentra en el núcleo de la regulación, al tiempo que permite, la modulación y desarrollo por las Comunidades Autónomas de las soluciones adoptadas, respecto de su patrimonio.</w:t>
      </w:r>
    </w:p>
    <w:p w:rsidR="0026452D" w:rsidRDefault="0026452D" w:rsidP="0026452D">
      <w:pPr>
        <w:pStyle w:val="TextoNormal"/>
      </w:pPr>
    </w:p>
    <w:p w:rsidR="0026452D" w:rsidRDefault="0026452D" w:rsidP="0026452D">
      <w:pPr>
        <w:pStyle w:val="TextoNormal"/>
      </w:pPr>
      <w:r>
        <w:t>El art. 139 parte del pleno respeto a la “legislación urbanística vigente” dato apriorístico que revela que la voluntad del precepto no es la de condicionar el contenido de la legislación o encorsetar las competencias legislativas autonómicas, sino únicamente la de establecer determinadas reglas de carácter interno para determinar los órganos competentes y los procedimientos a seguir para dar cumplimiento a las obligaciones que impone o para ejercer los derecho que otorga esa legislación, cuya aplicabilidad constituye el presupuesto de esta regulación.</w:t>
      </w:r>
    </w:p>
    <w:p w:rsidR="0026452D" w:rsidRDefault="0026452D" w:rsidP="0026452D">
      <w:pPr>
        <w:pStyle w:val="TextoNormal"/>
      </w:pPr>
    </w:p>
    <w:p w:rsidR="0026452D" w:rsidRDefault="0026452D" w:rsidP="0026452D">
      <w:pPr>
        <w:pStyle w:val="TextoNormal"/>
      </w:pPr>
      <w:r>
        <w:t xml:space="preserve">La previsión contenida en el apartado 1 del art. 139 no impide ni limita la posibilidad de que la legislación urbanística regule otros instrumentos de ejecución del planeamiento, distintos de la junta de compensación, que prevean la agrupación forzosa de los propietarios afectados, pues en la medida en que esos sistemas prescindan de la voluntad de los mismos y se alejen de las características propias del sistema de compensación, las previsiones del art. 139.1, por definición, no serán aplicables. En este sentido, el precepto no excluye o </w:t>
      </w:r>
      <w:r>
        <w:lastRenderedPageBreak/>
        <w:t>entorpece la aplicabilidad de otros sistemas de ejecución previstos en las leyes autonómicas, los cuales, por no exigirse la constitución de juntas voluntarias (supuesto del art. 140 de la Ley aragonesa 5/1999, de 25 de marzo), se encuentran fuera del supuesto de hecho delimitado por el art. 139.1 y, por lo tanto, no requieren de una manifestación expresa de adhesión por parte del órgano estatal competente.</w:t>
      </w:r>
    </w:p>
    <w:p w:rsidR="0026452D" w:rsidRDefault="0026452D" w:rsidP="0026452D">
      <w:pPr>
        <w:pStyle w:val="TextoNormal"/>
      </w:pPr>
    </w:p>
    <w:p w:rsidR="0026452D" w:rsidRDefault="0026452D" w:rsidP="0026452D">
      <w:pPr>
        <w:pStyle w:val="TextoNormal"/>
      </w:pPr>
      <w:r>
        <w:t>Un razonamiento similar resulta aplicable al apartado 2 del art. 139, pues se trata igualmente de una norma de carácter interno que trata de evitar que el órgano competente para acordar la incorporación de la Administración a juntas de compensación lo haga en contradicción con los condicionantes de uso que se derivan de los actos de afectación o adscripción, sin que previamente se reconozca por el órgano competente esa posibilidad de variar el destino del inmueble. La norma está en línea con la necesidad de preservar la funcionalidad de los bienes dedicados a fines públicos, y es un precipitado de la interdicción, por vía de principio, de las desafectaciones implícitas y presuntas, pero no condiciona o excluye el recurso a sistemas compulsivos de ejecución en caso de que no resulte posible la actuación urbanística siguiendo los cauces del sistema de compensación.</w:t>
      </w:r>
    </w:p>
    <w:p w:rsidR="0026452D" w:rsidRDefault="0026452D" w:rsidP="0026452D">
      <w:pPr>
        <w:pStyle w:val="TextoNormal"/>
      </w:pPr>
    </w:p>
    <w:p w:rsidR="0026452D" w:rsidRDefault="0026452D" w:rsidP="0026452D">
      <w:pPr>
        <w:pStyle w:val="TextoNormal"/>
      </w:pPr>
      <w:r>
        <w:t xml:space="preserve">En relación con el art. 189, recuerda el Abogado del Estado que en la STC 61/1997 el Tribunal no cuestiona el establecimiento de un deber de información </w:t>
      </w:r>
      <w:r w:rsidRPr="0026452D">
        <w:rPr>
          <w:i/>
        </w:rPr>
        <w:t>per se</w:t>
      </w:r>
      <w:r>
        <w:t xml:space="preserve"> (que considera “plenamente respetuoso con el orden constitucional de competencias”) sino el establecimiento de normas adicionales de procedimiento para el cumplimiento de este deber. Y lo que prescribe el art. 189 no son normas procedimentales adicionales. En este sentido, la previsión de una mera notificación a la Administración de determinadas actuaciones del planeamiento es coherente con las previsiones del art. 6 de la Ley 6/1998, de régimen del suelo y valoraciones, en cuanto sirve de garantía de la participación pública en los procesos de planeamiento y del derecho de información reconocido en este precepto y, por ello, susceptible de regular específicamente cómo deben hacerse las notificaciones cuando el sujeto notificado goza de las especiales características de una Administración pública, lo cual puede establecerse </w:t>
      </w:r>
      <w:r w:rsidRPr="0026452D">
        <w:rPr>
          <w:i/>
        </w:rPr>
        <w:t>ex</w:t>
      </w:r>
      <w:r>
        <w:t xml:space="preserve"> art. 149.1.18 CE.</w:t>
      </w:r>
    </w:p>
    <w:p w:rsidR="0026452D" w:rsidRDefault="0026452D" w:rsidP="0026452D">
      <w:pPr>
        <w:pStyle w:val="TextoNormal"/>
      </w:pPr>
    </w:p>
    <w:p w:rsidR="0026452D" w:rsidRDefault="0026452D" w:rsidP="0026452D">
      <w:pPr>
        <w:pStyle w:val="TextoNormal"/>
      </w:pPr>
      <w:r>
        <w:t xml:space="preserve">La previsión del apartado 2 del art. 189 no afecta en absoluto al procedimiento de aprobación de los instrumentos de planeamiento, pues se trata de una norma de protección de los patrimonios públicos, atendiendo a la singularidad de su titular. La regla prevista en este apartado, partiendo de la notificación prevista en el apartado 1, es consecuencia inevitable del principio general de Derecho administrativo, aplicable a las Comunidades Autónomas </w:t>
      </w:r>
      <w:r w:rsidRPr="0026452D">
        <w:rPr>
          <w:i/>
        </w:rPr>
        <w:t>ex</w:t>
      </w:r>
      <w:r>
        <w:t xml:space="preserve"> art. 149.1.18 CE, conforme al cual los plazos para evacuar el trámite de alegaciones o interponer recurso deben contarse a partir de la notificación del acto administrativo de que se trate.</w:t>
      </w:r>
    </w:p>
    <w:p w:rsidR="0026452D" w:rsidRDefault="0026452D" w:rsidP="0026452D">
      <w:pPr>
        <w:pStyle w:val="TextoNormal"/>
      </w:pPr>
    </w:p>
    <w:p w:rsidR="0026452D" w:rsidRDefault="0026452D" w:rsidP="0026452D">
      <w:pPr>
        <w:pStyle w:val="TextoNormal"/>
      </w:pPr>
      <w:r>
        <w:t>En cuanto al señalamiento del Secretario del Ayuntamiento como órgano encargado de practicar esta notificación (apartado 3), la previsión es coherente con la posición institucional de este órgano municipal, que resulta de las disposiciones vigentes de carácter básico en materia de régimen local. La regla puede ser aplicable en los instrumentos de ordenación supramunicipal en los que se requiere una aprobación final por parte de los Ayuntamientos afectados y podría jugar como supletoria en los supuestos en que la aprobación se reserva a la Comunidad Autónoma.</w:t>
      </w:r>
    </w:p>
    <w:p w:rsidR="0026452D" w:rsidRDefault="0026452D" w:rsidP="0026452D">
      <w:pPr>
        <w:pStyle w:val="TextoNormal"/>
      </w:pPr>
    </w:p>
    <w:p w:rsidR="0026452D" w:rsidRDefault="0026452D" w:rsidP="0026452D">
      <w:pPr>
        <w:pStyle w:val="TextoNormal"/>
      </w:pPr>
      <w:r>
        <w:lastRenderedPageBreak/>
        <w:t>En cuanto a lo dispuesto en el art. 190.1, se argumenta por el Abogado del Estado que el legislador estatal no está estableciendo requisitos para proceder a la ejecución del planeamiento, como pretenden las alegaciones, sino una norma de ordenación destinada a los registros e instrumentos públicos, para lo cual el Estado tiene competencia de acuerdo con el art. 149.1.8 CE, y ello pese a que la disposición final segunda de la Ley 33/2003 lo haya omitido. En relación con el apartado 2 del art. 190 se afirma que es evidente que el Estado puede determinar por ley que en todo proceso de ejecución del planeamiento se aplique estrictamente el principio de equidistribución de beneficios y cargas, como se deduce de lo dispuesto por el art. 5 de la Ley 6/1998 y de la doctrina del Tribunal Constitucional, que ha precisado que “se trata de un mandato sustantivo que obliga a todos los poderes públicos, siendo de notar que … atiende al elemento teleológico que inspira el art. 149.1.1 CE, al establecer las condiciones básicas que garantizan la igualdad” [STC 61/1997, FJ 14 a)]. Por lo que se refiere a las “cesiones y demás operaciones patrimoniales” a que alude el precepto, se trata de una mera cuestión organizativa en virtud de la cual se atribuye a los órganos estatales a los que corresponda de acuerdo con la Ley, la realización de los actos que tengan relación con las cesiones y demás operaciones que procedan como consecuencia de los procesos reparcelatorios.</w:t>
      </w:r>
    </w:p>
    <w:p w:rsidR="0026452D" w:rsidRDefault="0026452D" w:rsidP="0026452D">
      <w:pPr>
        <w:pStyle w:val="TextoNormal"/>
      </w:pPr>
    </w:p>
    <w:p w:rsidR="0026452D" w:rsidRDefault="0026452D" w:rsidP="0026452D">
      <w:pPr>
        <w:pStyle w:val="TextoNormal"/>
      </w:pPr>
      <w:r>
        <w:t>En relación con el art. 191, afirma con carácter previo el Abogado del Estado que todos los preceptos incluidos en la legislación estatal en relación con la valoración de los suelos, sean o no de propiedad pública, gozan de plena legitimidad constitucional al amparo del art. 149.1.18 CE y así lo ha declarado el Tribunal Constitucional, entre otras, en la STC 61/1997, FJ 19. En relación con el apartado 3 del precepto, es cierto que los planes urbanísticos son los que otorgan las calificaciones a los suelos y éstas determinan, con carácter general, los usos de los mismos; pero esta regla general no se cumple en relación con los bienes demaniales del Estado, cuya propia naturaleza impone al planeamiento urbanístico municipal la calificación correspondiente al uso y servicio estatal de que se trate. La Ley 13/2003, reguladora del contrato de concesión de obra pública, lo deja claro en su disposición adicional segunda. Es evidente que la comunicación que el Estado realizará a las autoridades urbanísticas para informarles de la desafectación de tales bienes de los usos o servicios públicos precedentes, constituye el riguroso cumplimiento del deber de información recíproca que el art. 4.1 c) de la Ley 30/1992, de régimen jurídico de las Administraciones públicas y del procedimiento administrativo común, demanda a todas las Administraciones sin excepción. Los terrenos desafectados no pueden dedicarse a los usos precedentes, ya que el Estado, único competente para ello, ha decidido su desafectación, y el planeamiento urbanístico impide su dedicación a cualesquiera otros mientras no los ordene de acuerdo con los nuevos usos que urbanísticamente correspondan; la ley estatal no impone cuáles van a ser dichos usos, ya que esta decisión compete a la Administración urbanística, pero exige a esta que lo determine como haría con cualquier otro bien perteneciente a cualquier propietario, por lo que esta norma está anudada a la competencia estatal para definir la “función pública” del urbanismo.</w:t>
      </w:r>
    </w:p>
    <w:p w:rsidR="0026452D" w:rsidRDefault="0026452D" w:rsidP="0026452D">
      <w:pPr>
        <w:pStyle w:val="TextoNormal"/>
      </w:pPr>
    </w:p>
    <w:p w:rsidR="0026452D" w:rsidRDefault="0026452D" w:rsidP="0026452D">
      <w:pPr>
        <w:pStyle w:val="TextoNormal"/>
      </w:pPr>
      <w:r w:rsidRPr="0026452D">
        <w:rPr>
          <w:rStyle w:val="NumeroAFNegritaCaracter"/>
        </w:rPr>
        <w:t>5</w:t>
      </w:r>
      <w:r>
        <w:t>. Por providencia de 23 de abril de 2013 se acordó señalar para deliberación y votación de la presente Sentencia ese mismo día.</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interpone por el Gobierno de Aragón frente a los arts. 139, 189, 190 y 191 y la disposición adicional decimonovena de la Ley 33/2003, de 3 de noviembre, del patrimonio de las Administraciones públicas.</w:t>
      </w:r>
    </w:p>
    <w:p w:rsidR="0026452D" w:rsidRDefault="0026452D" w:rsidP="0026452D">
      <w:pPr>
        <w:pStyle w:val="TextoNormal"/>
      </w:pPr>
    </w:p>
    <w:p w:rsidR="0026452D" w:rsidRDefault="0026452D" w:rsidP="0026452D">
      <w:pPr>
        <w:pStyle w:val="TextoNormal"/>
      </w:pPr>
      <w:r>
        <w:t>El Letrado de la Comunidad Autónoma, como se detalla en los antecedentes de esta Sentencia, considera que los preceptos recurridos incurren en inconstitucionalidad por invadir las competencias exclusivas que corresponden a la Comunidad Autónoma en materia de urbanismo y vivienda (art. 35.1.7 del Estatuto de Autonomía de Aragón: EAAr), y exceder de la competencia atribuida al Estado en materia de “bases del régimen jurídico de las Administraciones públicas” (art. 149.1.18 CE).</w:t>
      </w:r>
    </w:p>
    <w:p w:rsidR="0026452D" w:rsidRDefault="0026452D" w:rsidP="0026452D">
      <w:pPr>
        <w:pStyle w:val="TextoNormal"/>
      </w:pPr>
    </w:p>
    <w:p w:rsidR="0026452D" w:rsidRDefault="0026452D" w:rsidP="0026452D">
      <w:pPr>
        <w:pStyle w:val="TextoNormal"/>
      </w:pPr>
      <w:r>
        <w:t>El Abogado del Estado defiende, por el contrario, la constitucionalidad de los preceptos impugnados, considerando que los mismos han sido válidamente dictados al amparo de las competencias atribuidas al Estado en el art. 149.1.18 CE, en materia de bases del “régimen jurídico de las Administraciones públicas”, y se limitan a regular el régimen jurídico de los bienes públicos desde la perspectiva de considerar a la Administración del Estado como sujeto titular de los derechos y obligaciones que la normativa urbanística atribuye al titular de los bienes, sin que ello suponga que se asuman o ejerciten competencias en materia de urbanismo o vivienda, ni, en consecuencia, que resulten afectadas las competencias exclusivas que corresponden a las Comunidades Autónomas.</w:t>
      </w:r>
    </w:p>
    <w:p w:rsidR="0026452D" w:rsidRDefault="0026452D" w:rsidP="0026452D">
      <w:pPr>
        <w:pStyle w:val="TextoNormal"/>
      </w:pPr>
    </w:p>
    <w:p w:rsidR="0026452D" w:rsidRDefault="0026452D" w:rsidP="0026452D">
      <w:pPr>
        <w:pStyle w:val="TextoNormal"/>
      </w:pPr>
      <w:r w:rsidRPr="0026452D">
        <w:rPr>
          <w:rStyle w:val="NumeroAFNegritaCaracter"/>
        </w:rPr>
        <w:t>2</w:t>
      </w:r>
      <w:r>
        <w:t>. Una vez expuestas sintéticamente las posiciones de las partes que se enfrentan en este proceso, resulta conveniente realizar algunas precisiones de orden procesal, antes de proceder al examen de la cuestión de fondo.</w:t>
      </w:r>
    </w:p>
    <w:p w:rsidR="0026452D" w:rsidRDefault="0026452D" w:rsidP="0026452D">
      <w:pPr>
        <w:pStyle w:val="TextoNormal"/>
      </w:pPr>
    </w:p>
    <w:p w:rsidR="0026452D" w:rsidRDefault="0026452D" w:rsidP="0026452D">
      <w:pPr>
        <w:pStyle w:val="TextoNormal"/>
      </w:pPr>
      <w:r>
        <w:t xml:space="preserve">En primer lugar, es necesario tener en cuenta que, de acuerdo con nuestra doctrina sobre el </w:t>
      </w:r>
      <w:r w:rsidRPr="0026452D">
        <w:rPr>
          <w:i/>
        </w:rPr>
        <w:t>ius superveniens</w:t>
      </w:r>
      <w:r>
        <w:t xml:space="preserve"> en procesos de naturaleza competencial, el control de las normas impugnadas por incurrir en un posible exceso competencial ha de hacerse de acuerdo con el bloque de constitucionalidad y con las demás normas que operan como parámetro de enjuiciamiento que estén vigentes en el momento de dictar Sentencia (por todas, STC 148/2012, de 5 de julio, FJ 2). Procede por ello señalar que este pronunciamiento se realizará a la luz de la delimitación de competencias que resulta de la reforma del Estatuto de Autonomía de Aragón llevada a cabo por la Ley Orgánica 5/2007, de 20 de abril, que atribuye a la Comunidad Autónoma competencia exclusiva en materia de “urbanismo, que comprende en todo caso, el régimen urbanístico del suelo, su planeamiento y gestión y la protección de la legalidad urbanística, así como la regulación del régimen jurídico de la propiedad del suelo, respetando las condiciones básicas que el Estado establece para garantizar la igualdad en el ejercicio del derecho de propiedad” (art. 71.9 EAAr), y competencia también exclusiva en materia de “vivienda que, en todo caso, incluye la planificación, la ordenación, la gestión, el fomento, la inspección y el control de la vivienda, de acuerdo con las necesidades sociales de equilibrio territorial y de sostenibilidad, las normas técnicas, la inspección y el control sobre la calidad de la construcción, y las normas sobre habitabilidad de viviendas, la innovación tecnológica aplicable a las viviendas y la normativa sobre conservación y mantenimiento de las viviendas y su aplicación” (art. 71.10 EAAr).</w:t>
      </w:r>
    </w:p>
    <w:p w:rsidR="0026452D" w:rsidRDefault="0026452D" w:rsidP="0026452D">
      <w:pPr>
        <w:pStyle w:val="TextoNormal"/>
      </w:pPr>
    </w:p>
    <w:p w:rsidR="0026452D" w:rsidRDefault="0026452D" w:rsidP="0026452D">
      <w:pPr>
        <w:pStyle w:val="TextoNormal"/>
      </w:pPr>
      <w:r>
        <w:lastRenderedPageBreak/>
        <w:t>En segundo lugar, cabe reseñar que la Ley 33/2003, de 3 de noviembre, del patrimonio de las Administraciones públicas, ha sido objeto de varias reformas parciales que no han afectado en ningún caso a los preceptos que son objeto del presente recurso, los cuales mantienen su redacción original, lo que determina la subsistencia de la controversia planteada.</w:t>
      </w:r>
    </w:p>
    <w:p w:rsidR="0026452D" w:rsidRDefault="0026452D" w:rsidP="0026452D">
      <w:pPr>
        <w:pStyle w:val="TextoNormal"/>
      </w:pPr>
    </w:p>
    <w:p w:rsidR="0026452D" w:rsidRDefault="0026452D" w:rsidP="0026452D">
      <w:pPr>
        <w:pStyle w:val="TextoNormal"/>
      </w:pPr>
      <w:r w:rsidRPr="0026452D">
        <w:rPr>
          <w:rStyle w:val="NumeroAFNegritaCaracter"/>
        </w:rPr>
        <w:t>3</w:t>
      </w:r>
      <w:r>
        <w:t>. Puesto que del examen de la demanda se deduce con claridad que nos encontramos ante un recurso de inconstitucionalidad de carácter fundamentalmente competencial, debemos comenzar por efectuar el encuadramiento competencial de los preceptos controvertidos en el sistema material de distribución de competencias; y para ello resulta imprescindible referirnos, con carácter previo, al contexto competencial general en el que se inserta la Ley 33/2003, remitiéndonos, para ello, a lo dispuesto en el art. 1 de la misma, conforme al cual: “esta Ley tiene por objeto establecer las bases del régimen patrimonial de las Administraciones Públicas y regular, de conformidad con lo dispuesto en el artículo 132 de la Constitución, la administración, defensa y conservación del Patrimonio del Estado”.</w:t>
      </w:r>
    </w:p>
    <w:p w:rsidR="0026452D" w:rsidRDefault="0026452D" w:rsidP="0026452D">
      <w:pPr>
        <w:pStyle w:val="TextoNormal"/>
      </w:pPr>
    </w:p>
    <w:p w:rsidR="0026452D" w:rsidRDefault="0026452D" w:rsidP="0026452D">
      <w:pPr>
        <w:pStyle w:val="TextoNormal"/>
      </w:pPr>
      <w:r>
        <w:t>El precepto viene a declarar, en primer término, la vocación integradora de la norma, que se trasluce en una regulación global del régimen jurídico de todos los bienes públicos, vocación que se explicita en el texto de la exposición de motivos señalando que “la Ley de Patrimonio de las Administraciones Públicas pretende sentar las bases normativas para la formulación y desarrollo de una política global relativa a la gestión de los bienes públicos estatales, abordar los diferentes problemas que plantean las relaciones entre las distintas Administraciones Públicas en materia patrimonial, efectuar una determinada revisión de las normas que rigen la administración de bienes y actualizar la regulación del patrimonio público empresarial”.</w:t>
      </w:r>
    </w:p>
    <w:p w:rsidR="0026452D" w:rsidRDefault="0026452D" w:rsidP="0026452D">
      <w:pPr>
        <w:pStyle w:val="TextoNormal"/>
      </w:pPr>
    </w:p>
    <w:p w:rsidR="0026452D" w:rsidRDefault="0026452D" w:rsidP="0026452D">
      <w:pPr>
        <w:pStyle w:val="TextoNormal"/>
      </w:pPr>
      <w:r>
        <w:t>Esta pretensión globalizadora de la regulación patrimonial de los bienes públicos determina que se incluyan en el texto de la Ley dos ámbitos normativos diferenciados, constituidos por disposiciones de distinto alcance: por un lado, aquellos preceptos que constituyen las bases del régimen jurídico patrimonial de las Administraciones públicas y que se aplican a todas ellas, y, por otro, aquellos preceptos que únicamente son de aplicación al patrimonio del Estado, en cuanto vienen a dar cumplimiento al mandato constitucional contenido en el art. 132.2 CE, de regulación por Ley del patrimonio del Estado y del patrimonio nacional, su administración, defensa y conservación.</w:t>
      </w:r>
    </w:p>
    <w:p w:rsidR="0026452D" w:rsidRDefault="0026452D" w:rsidP="0026452D">
      <w:pPr>
        <w:pStyle w:val="TextoNormal"/>
      </w:pPr>
    </w:p>
    <w:p w:rsidR="0026452D" w:rsidRDefault="0026452D" w:rsidP="0026452D">
      <w:pPr>
        <w:pStyle w:val="TextoNormal"/>
      </w:pPr>
      <w:r>
        <w:t xml:space="preserve">La doble naturaleza de los preceptos incluidos en la norma que se examina tiene su inmediato reflejo en lo dispuesto en el art. 2.2 de la propia Ley, conforme al cual “serán de aplicación a las Comunidades Autónomas, entidades que integran la Administración local y entidades de derecho público vinculadas o dependientes de ellas, los artículos o partes de los mismos enumerados en la disposición final segunda”. Si atendemos a lo dispuesto en la mencionada disposición final segunda de la Ley 33/2003, donde se determinan los títulos competenciales, podemos constatar (apartado 5), que el núcleo fundamental de la Ley está constituido por aquellos preceptos que se declaran básicos al amparo de lo dispuesto en el art. 149.1.18 CE, en el que se atribuye al Estado competencia en relación con las “bases del régimen jurídico de las Administraciones públicas” y la “legislación básica sobre contratos y concesiones administrativas”. Además de estas normas básicas, los restantes apartados de la disposición final segunda vienen a recoger aquellos otros preceptos de la ley que se declaran de “aplicación general” a todas las Administraciones públicas, en cuanto han sido dictados al amparo de competencias atribuidas al Estado con carácter exclusivo, bien por </w:t>
      </w:r>
      <w:r>
        <w:lastRenderedPageBreak/>
        <w:t>tratarse de normas civiles (art. 149.1.8 CE), de normas procesales (art. 149.1.6 CE), de normas sobre régimen económico de la Seguridad Social (art. 149.1.17 CE), o de legislación sobre expropiación forzosa (art. 149.1.18 CE).</w:t>
      </w:r>
    </w:p>
    <w:p w:rsidR="0026452D" w:rsidRDefault="0026452D" w:rsidP="0026452D">
      <w:pPr>
        <w:pStyle w:val="TextoNormal"/>
      </w:pPr>
    </w:p>
    <w:p w:rsidR="0026452D" w:rsidRDefault="0026452D" w:rsidP="0026452D">
      <w:pPr>
        <w:pStyle w:val="TextoNormal"/>
      </w:pPr>
      <w:r>
        <w:t>Así pues, el texto legislativo que se examina ha seguido en su estructura un criterio material u objetivo, en virtud del cual su contenido regulador se aplica íntegramente a la Administración General del Estado, recogiendo en un único texto tanto el régimen jurídico de sus bienes patrimoniales como el de sus bienes demaniales (art. 132 CE); y solo aquellos preceptos que expresamente se declaran básicos o de aplicación general en la disposición final segunda se aplicarán a las Comunidades Autónomas; excluyéndose la aplicación a las mismas de aquellos preceptos que no aparecen recogidos en la citada disposición final, en cuanto son de exclusiva aplicación al patrimonio del Estado, integrado, según lo dispuesto en el art. 9.1 de la Ley, por el patrimonio de la Administración General del Estado y los patrimonios de los organismos públicos que se encuentren en relación de dependencia o vinculación con aquélla.</w:t>
      </w:r>
    </w:p>
    <w:p w:rsidR="0026452D" w:rsidRDefault="0026452D" w:rsidP="0026452D">
      <w:pPr>
        <w:pStyle w:val="TextoNormal"/>
      </w:pPr>
    </w:p>
    <w:p w:rsidR="0026452D" w:rsidRDefault="0026452D" w:rsidP="0026452D">
      <w:pPr>
        <w:pStyle w:val="TextoNormal"/>
      </w:pPr>
      <w:r>
        <w:t>En relación con los bienes que integran el patrimonio del Estado, el art. 132.3 CE recoge la garantía institucional de protección de estos bienes, concretada en una reserva de ley para la regulación de su “administración, defensa y conservación”, lo que justifica la existencia de un régimen jurídico diferenciado, integrado por el conjunto de facultades y prerrogativas que exige la defensa de los intereses generales inherentes a la preservación de este patrimonio. Desde la perspectiva competencial, la Administración estatal goza de libertad en la configuración del régimen jurídico de los bienes que integran el patrimonio del Estado, sin necesidad de un título competencial específico y por la simple aplicación de su potestad de autoorganización, siempre que se respeten, en el ejercicio de esa potestad, las competencias sectoriales que ostentan las restantes Administraciones en los ámbitos territoriales en que tales bienes se enclavan.</w:t>
      </w:r>
    </w:p>
    <w:p w:rsidR="0026452D" w:rsidRDefault="0026452D" w:rsidP="0026452D">
      <w:pPr>
        <w:pStyle w:val="TextoNormal"/>
      </w:pPr>
    </w:p>
    <w:p w:rsidR="0026452D" w:rsidRDefault="0026452D" w:rsidP="0026452D">
      <w:pPr>
        <w:pStyle w:val="TextoNormal"/>
      </w:pPr>
      <w:r>
        <w:t>En lo que respecta al régimen patrimonial general de los bienes públicos, la Ley 33/2003 viene a considerar el “régimen patrimonial” de las Administraciones públicas como parte integrante del “régimen jurídico de las Administraciones públicas”, y, en consecuencia, el núcleo fundamental de la misma está constituido por aquellas disposiciones que se declaran básicas al amparo de lo dispuesto en el art. 149.1.18 CE, sin perjuicio de aquellos otros preceptos concretos que son de aplicación general por ampararse en distintos títulos competenciales estatales también de carácter exclusivo.</w:t>
      </w:r>
    </w:p>
    <w:p w:rsidR="0026452D" w:rsidRDefault="0026452D" w:rsidP="0026452D">
      <w:pPr>
        <w:pStyle w:val="TextoNormal"/>
      </w:pPr>
    </w:p>
    <w:p w:rsidR="0026452D" w:rsidRDefault="0026452D" w:rsidP="0026452D">
      <w:pPr>
        <w:pStyle w:val="TextoNormal"/>
      </w:pPr>
      <w:r>
        <w:t>Partiendo de lo anterior, y desde la perspectiva de las competencias autonómicas, debemos pues determinar si la Ley impugnada respeta efectivamente la doble dimensión, formal y material, que es consustancial a la noción de “bases”. Y es claro que se cumple con el requisito formal, cuyo respeto ha exigido de manera reiterada este Tribunal, de que, salvo en supuestos excepcionales, la normativa básica “venga incluida en Ley votada en Cortes que designe su carácter de básica o esté dotada de una estructura de la cual se infiera ese carácter con naturalidad” (SSTC 80/1988, de 28 de abril, FJ 5; 197/1996, de 28 de noviembre, FJ 5 y 223/2000, de 21 de septiembre, FJ 6, entre otras), pues estamos ante preceptos incluidos en una norma con rango de ley formal aprobada por las Cortes Generales y cuyo carácter básico está expresamente proclamado por el apartado 5 de la disposición final segunda de esta misma Ley 33/2003.</w:t>
      </w:r>
    </w:p>
    <w:p w:rsidR="0026452D" w:rsidRDefault="0026452D" w:rsidP="0026452D">
      <w:pPr>
        <w:pStyle w:val="TextoNormal"/>
      </w:pPr>
    </w:p>
    <w:p w:rsidR="0026452D" w:rsidRDefault="0026452D" w:rsidP="0026452D">
      <w:pPr>
        <w:pStyle w:val="TextoNormal"/>
      </w:pPr>
      <w:r>
        <w:lastRenderedPageBreak/>
        <w:t>Por lo que se refiere, en segundo lugar, a la verificación del carácter materialmente básico de la norma, como ya tuvo ocasión de señalar este Tribunal —precisamente con ocasión de una cuestión de inconstitucionalidad formulada, alternativamente, contra la disposición final segunda de la Ley 33/2003— “la competencia del Estado para establecer las bases del régimen patrimonial de las Administraciones Públicas, a las que ha de ajustarse el desarrollo legislativo por parte de las Comunidades Autónomas al regular su patrimonio propio, se halla, como este Tribunal tuvo ocasión de precisar ya en la STC 58/1982, de 27 de julio, FJ 1, en diversos títulos del art. 149.1 CE, que reservan esta materia a la competencia exclusiva del Estado: por ejemplo, la legislación civil (art. 149.1.8 CE) … las bases del régimen jurídico de las Administraciones Públicas (art. 149.1.18 CE), o la legislación básica sobre contratos o concesiones administrativas … Esta doctrina se reitera en la STC 85/1984, de 26 de julio, FJ 3. Así pues, es principalmente en las nociones de ‘bases del régimen jurídico de las Administraciones Públicas’ y de ‘legislación básica sobre contratos o concesiones administrativas’, contenidas en el art. 149.1.18 CE, donde ha de entenderse residenciada la competencia estatal en materia de régimen patrimonial de las Administraciones Públicas” (STC 162/2009, de 29 de junio, FJ 4).</w:t>
      </w:r>
    </w:p>
    <w:p w:rsidR="0026452D" w:rsidRDefault="0026452D" w:rsidP="0026452D">
      <w:pPr>
        <w:pStyle w:val="TextoNormal"/>
      </w:pPr>
    </w:p>
    <w:p w:rsidR="0026452D" w:rsidRDefault="0026452D" w:rsidP="0026452D">
      <w:pPr>
        <w:pStyle w:val="TextoNormal"/>
      </w:pPr>
      <w:r>
        <w:t>El art. 149.1.18 CE habilita pues al Estado para dictar la normativa básica común a todas las Administraciones públicas en materia de régimen patrimonial, por lo que, desde una perspectiva general, no cabe formular objeciones a la delimitación competencial de la disposición recurrida, sin perjuicio de lo que pueda resultar del concreto examen de los preceptos impugnados.</w:t>
      </w:r>
    </w:p>
    <w:p w:rsidR="0026452D" w:rsidRDefault="0026452D" w:rsidP="0026452D">
      <w:pPr>
        <w:pStyle w:val="TextoNormal"/>
      </w:pPr>
    </w:p>
    <w:p w:rsidR="0026452D" w:rsidRDefault="0026452D" w:rsidP="0026452D">
      <w:pPr>
        <w:pStyle w:val="TextoNormal"/>
      </w:pPr>
      <w:r w:rsidRPr="0026452D">
        <w:rPr>
          <w:rStyle w:val="NumeroAFNegritaCaracter"/>
        </w:rPr>
        <w:t>4</w:t>
      </w:r>
      <w:r>
        <w:t>. No existe tampoco discrepancia entre las partes a la hora de considerar que el régimen patrimonial forma parte del régimen jurídico de las Administraciones públicas, y por ello, que el título competencial aplicable es el relativo a “las bases del régimen jurídico de las Administraciones públicas” (art. 149.1.18 CE), siendo así que la discrepancia que manifiesta la Comunidad Autónoma de Aragón se centra en el alcance de las bases estatales en esta materia y, principalmente, en la intromisión de los preceptos recurridos en el ámbito de las competencias autonómicas exclusivas en materia de urbanismo y vivienda.</w:t>
      </w:r>
    </w:p>
    <w:p w:rsidR="0026452D" w:rsidRDefault="0026452D" w:rsidP="0026452D">
      <w:pPr>
        <w:pStyle w:val="TextoNormal"/>
      </w:pPr>
    </w:p>
    <w:p w:rsidR="0026452D" w:rsidRDefault="0026452D" w:rsidP="0026452D">
      <w:pPr>
        <w:pStyle w:val="TextoNormal"/>
      </w:pPr>
      <w:r>
        <w:t xml:space="preserve">Ahondando en esta cuestión, y en lo que respecta al contenido material de las bases estatales, habremos de estar a lo que ya afirmamos en la STC 223/2000, FJ 6, y reiteramos en la reciente STC 170/2012, de 24 de octubre, FJ 9: “materialmente lo que ha de considerarse como bases o legislación básica es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(STC 197/1996, FJ 5)”. De este modo, “el Estado, al establecer el común denominador normativo que encierran las bases, y a partir del cual cada Comunidad Autónoma con competencias de desarrollo legislativo puede regular la materia con arreglo a sus peculiaridades e intereses (por todas, SSTC 49/1988, FJ 3; 225/1993, FJ 3; y 197/1996, FJ 5), no puede hacerlo con un grado tal de detalle y de forma tan acabada o completa que prácticamente impida la adopción por parte de las Comunidades Autónomas de políticas propias en la </w:t>
      </w:r>
      <w:r>
        <w:lastRenderedPageBreak/>
        <w:t>materia mediante el ejercicio de sus competencias de desarrollo legislativo.” (STC 50/1999, de 6 de abril, FJ 3).</w:t>
      </w:r>
    </w:p>
    <w:p w:rsidR="0026452D" w:rsidRDefault="0026452D" w:rsidP="0026452D">
      <w:pPr>
        <w:pStyle w:val="TextoNormal"/>
      </w:pPr>
    </w:p>
    <w:p w:rsidR="0026452D" w:rsidRDefault="0026452D" w:rsidP="0026452D">
      <w:pPr>
        <w:pStyle w:val="TextoNormal"/>
      </w:pPr>
      <w:r>
        <w:t xml:space="preserve">En segundo lugar, y en lo relativo a la posible incidencia de esa regulación básica en ámbitos materiales sectoriales de competencia autonómica, es preciso recordar que la titularidad pública de un bien no habilita </w:t>
      </w:r>
      <w:r w:rsidRPr="0026452D">
        <w:rPr>
          <w:i/>
        </w:rPr>
        <w:t>per se</w:t>
      </w:r>
      <w:r>
        <w:t xml:space="preserve"> para el ejercicio de competencias sustantivas que resulten ajenas al ámbito de competencias constitucionalmente delimitado, pues, como ya hemos señalado, “tampoco es admisible que la propiedad de un bien faculte a la Administración para realizar actividades que no le corresponden, según el orden constitucional de competencias. La jurisprudencia de este Tribunal, desde la STC 58/1982, fundamento jurídico 2 respalda la idea opuesta: los bienes en mano pública sirven para ejercer las competencias que corresponden a las instituciones centrales del Estado y a las Comunidades Autónomas … La propiedad pública de un bien es separable del ejercicio de aquellas competencias que lo tienen como soporte natural o físico: la titularidad de un bien no otorga competencias, y las facultades inherentes al dominio sobre un bien sólo pueden ser legalmente utilizadas en atención a los fines públicos que justifican su propiedad pública y respetando siempre el orden constitucional de competencias [SSTC 227/1988, fundamentos jurídicos 14 y 15, y 149/1991, fundamento jurídico 4 A)].” (STC 52/1994, de 24 de febrero, FJ 5).</w:t>
      </w:r>
    </w:p>
    <w:p w:rsidR="0026452D" w:rsidRDefault="0026452D" w:rsidP="0026452D">
      <w:pPr>
        <w:pStyle w:val="TextoNormal"/>
      </w:pPr>
    </w:p>
    <w:p w:rsidR="0026452D" w:rsidRDefault="0026452D" w:rsidP="0026452D">
      <w:pPr>
        <w:pStyle w:val="TextoNormal"/>
      </w:pPr>
      <w:r>
        <w:t>En un sentido similar y, en relación con los bienes de dominio público, hemos señalado también que “la titularidad del dominio público no es, en sí misma, un criterio de delimitación competencial y que, en consecuencia, la naturaleza demanial no aísla a la porción del territorio así caracterizado de su entorno, ni la sustrae de las competencias que sobre ese aspecto corresponden a otros entes públicos que no ostentan esa titularidad, sin perjuicio de que de ésta deriven ciertas facultades, como también advertíamos en la STC 149/1991 (fundamento jurídico 1)” (STC 148/2012, de 5 de julio, FJ 28).</w:t>
      </w:r>
    </w:p>
    <w:p w:rsidR="0026452D" w:rsidRDefault="0026452D" w:rsidP="0026452D">
      <w:pPr>
        <w:pStyle w:val="TextoNormal"/>
      </w:pPr>
    </w:p>
    <w:p w:rsidR="0026452D" w:rsidRDefault="0026452D" w:rsidP="0026452D">
      <w:pPr>
        <w:pStyle w:val="TextoNormal"/>
      </w:pPr>
      <w:r>
        <w:t>El régimen patrimonial de los bienes públicos está constituido por la agregación del conjunto de facultades y prerrogativas que corresponden a las Administraciones públicas para la defensa y conservación de sus bienes, facultades que en muchos casos resultan exorbitantes respecto de aquéllas que la legislación civil reconoce al común de los propietarios, en razón, tanto del sujeto titular de los bienes, como de la función que los propios bienes cumplen, al servicio de los intereses generales. Por esta razón, si bien la regulación de dicho régimen patrimonial no habilita al Estado para el ejercicio de competencias en ámbitos sectoriales ajenos, el hecho de que dicha regulación tenga como contenido intrínseco el conjunto de potestades específicas que conlleva la preservación de tales bienes, determina que su ejercicio pueda conllevar la modulación o condicionamiento del ejercicio de concretas facultades, y específicamente en el ámbito urbanístico, sin que ello determine la vulneración de las competencias autonómicas en dicha materia.</w:t>
      </w:r>
    </w:p>
    <w:p w:rsidR="0026452D" w:rsidRDefault="0026452D" w:rsidP="0026452D">
      <w:pPr>
        <w:pStyle w:val="TextoNormal"/>
      </w:pPr>
    </w:p>
    <w:p w:rsidR="0026452D" w:rsidRDefault="0026452D" w:rsidP="0026452D">
      <w:pPr>
        <w:pStyle w:val="TextoNormal"/>
      </w:pPr>
      <w:r>
        <w:t xml:space="preserve">En efecto, hemos precisado que la exclusividad competencial autonómica en materia de urbanismo no impide que el Estado pueda ejercer competencias con contenido distinto de la urbanística pero que tengan una proyección sobre el ámbito urbanístico autonómico, señalando al respecto que “no debe olvidarse que, tal y como establecieron los fundamentos jurídicos 5 de la STC 61/1997 y 4 de la STC 164/2001, de 11 de julio, y se ha recordado posteriormente en la STC 14/2007, de 18 de enero, FJ 3, la exclusividad competencial de </w:t>
      </w:r>
      <w:r>
        <w:lastRenderedPageBreak/>
        <w:t>las Comunidades Autónomas en materia de urbanismo no autoriza a desconocer las competencias reservadas al Estado en el art. 149.1, por lo que procede afirmar que la competencia autonómica en materia de urbanismo ha de coexistir con aquéllas que el Estado ostenta en virtud del art. 149.1 CE, cuyo ejercicio puede condicionar, lícitamente, la competencia de las Comunidades Autónomas sobre el mencionado sector material” (STC 148/2012, FJ 3).</w:t>
      </w:r>
    </w:p>
    <w:p w:rsidR="0026452D" w:rsidRDefault="0026452D" w:rsidP="0026452D">
      <w:pPr>
        <w:pStyle w:val="TextoNormal"/>
      </w:pPr>
    </w:p>
    <w:p w:rsidR="0026452D" w:rsidRDefault="0026452D" w:rsidP="0026452D">
      <w:pPr>
        <w:pStyle w:val="TextoNormal"/>
      </w:pPr>
      <w:r>
        <w:t>La regulación del régimen patrimonial de los bienes públicos es, por tanto, susceptible de afectar al ámbito material urbanístico, lo que no determina automáticamente la inconstitucionalidad de los preceptos correspondientes, siempre que no estemos ante normas urbanísticas en sentido propio o ante el ejercicio competencias urbanísticas de carácter sustantivo. Como también hemos señalado, en referencia a la materia urbanística, “siempre deberá tenerse bien presente que el condicionamiento de las competencias ajenas sólo será legítimo cuando el ejercicio de las propias se mantenga dentro de sus límites característicos, esto es, cuando la concreta medida que se adopte encaje, efectivamente, en el correspondiente título competencial y, además, cuando se haya acudido previamente a cauces cooperativos para recabar el parecer de las entidades afectadas, y cuando no se limite la competencia ajena más de lo necesario; todo ello sin perjuicio de la posible existencia de otras circunstancias o factores que tengan relevancia, considerado el específico supuesto sometido a nuestro enjuiciamiento, para determinar la corrección constitucional de la medida adoptada” (STC 151/2003, de 17 de julio, FJ 4).</w:t>
      </w:r>
    </w:p>
    <w:p w:rsidR="0026452D" w:rsidRDefault="0026452D" w:rsidP="0026452D">
      <w:pPr>
        <w:pStyle w:val="TextoNormal"/>
      </w:pPr>
    </w:p>
    <w:p w:rsidR="0026452D" w:rsidRDefault="0026452D" w:rsidP="0026452D">
      <w:pPr>
        <w:pStyle w:val="TextoNormal"/>
      </w:pPr>
      <w:r>
        <w:t>Es, pues, con arreglo a estos criterios, como debe procederse al enjuiciamiento concreto de los preceptos impugnados en el presente recurso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5</w:t>
      </w:r>
      <w:r>
        <w:t>. Comenzaremos dicho enjuiciamiento examinando en primer lugar las previsiones del art. 139 de la Ley 33/2003, en el que se dispone:</w:t>
      </w:r>
    </w:p>
    <w:p w:rsidR="0026452D" w:rsidRDefault="0026452D" w:rsidP="0026452D">
      <w:pPr>
        <w:pStyle w:val="TextoNormal"/>
      </w:pPr>
    </w:p>
    <w:p w:rsidR="0026452D" w:rsidRDefault="0026452D" w:rsidP="0026452D">
      <w:pPr>
        <w:pStyle w:val="TextoNormal"/>
      </w:pPr>
      <w:r>
        <w:t>“1. La incorporación de la Administración del Estado o sus organismos públicos a juntas de compensación, con la aportación de inmuebles o derechos sobre los mismos, pertenecientes al Patrimonio del Estado, se regirá por la legislación urbanística vigente, previa adhesión expresa. Corresponderá la realización de los distintos actos que requiera dicha participación al órgano competente para su administración y gestión.</w:t>
      </w:r>
    </w:p>
    <w:p w:rsidR="0026452D" w:rsidRDefault="0026452D" w:rsidP="0026452D">
      <w:pPr>
        <w:pStyle w:val="TextoNormal"/>
      </w:pPr>
    </w:p>
    <w:p w:rsidR="0026452D" w:rsidRDefault="0026452D" w:rsidP="0026452D">
      <w:pPr>
        <w:pStyle w:val="TextoNormal"/>
      </w:pPr>
      <w:r>
        <w:t>2. En el caso de inmuebles afectados o adscritos que resulten incluidos en el ámbito de una junta de compensación en la que los usos previstos no resulten compatibles con los fines que motivaron la afectación o adscripción, los departamentos u organismos titulares deberán proponer su desafectación o desadscripción a la Dirección General del Patrimonio del Estado, siempre que no sean imprescindibles para el cumplimiento de sus fines.”</w:t>
      </w:r>
    </w:p>
    <w:p w:rsidR="0026452D" w:rsidRDefault="0026452D" w:rsidP="0026452D">
      <w:pPr>
        <w:pStyle w:val="TextoNormal"/>
      </w:pPr>
    </w:p>
    <w:p w:rsidR="0026452D" w:rsidRDefault="0026452D" w:rsidP="0026452D">
      <w:pPr>
        <w:pStyle w:val="TextoNormal"/>
      </w:pPr>
      <w:r>
        <w:t xml:space="preserve">La representación del Gobierno de Aragón considera que el precepto vulnera sus competencias exclusivas en materia de urbanismo, en cuanto viene a imponer una determinada técnica urbanística de ejecución del planeamiento —la junta de compensación—, limitando la posibilidad de aplicación de otras técnicas, predetermina la forma en la que han de constituirse las juntas de compensación, y hace posible que el Estado pueda impedir la ejecución del planeamiento. Por el contrario, el Abogado del Estado rechaza que el art. 139 vulnere las competencias autonómicas, pues no impide que la legislación urbanística de las Comunidades Autónomas regule otras técnicas distintas de ejecución del planeamiento ni excluye </w:t>
      </w:r>
      <w:r>
        <w:lastRenderedPageBreak/>
        <w:t>el recurso a sistemas compulsivos de ejecución en caso de que no resulte posible la actuación urbanística siguiendo los cauces del sistema de compensación.</w:t>
      </w:r>
    </w:p>
    <w:p w:rsidR="0026452D" w:rsidRDefault="0026452D" w:rsidP="0026452D">
      <w:pPr>
        <w:pStyle w:val="TextoNormal"/>
      </w:pPr>
    </w:p>
    <w:p w:rsidR="0026452D" w:rsidRDefault="0026452D" w:rsidP="0026452D">
      <w:pPr>
        <w:pStyle w:val="TextoNormal"/>
      </w:pPr>
      <w:r>
        <w:t>Para dar adecuada respuesta a esta cuestión conviene reparar en que el art. 139 no aparece incluido entre aquellos que son de aplicación a las Comunidades Autónomas, de conformidad con la disposición final segunda de la Ley 33/2003, por lo que se trata de un precepto de exclusiva aplicación al patrimonio del Estado. Y ello es así por cuanto el precepto se configura como una mera norma interna de gestión de dicho patrimonio, que se limita a establecer la incorporación por adhesión de la Administración estatal a las juntas de compensación y determina los órganos de dicha Administración que son competentes para la realización de los actos de gestión del patrimonio estatal que puedan derivar de esa participación; incluyendo, además, una cláusula expresa de sometimiento de dicha participación a lo dispuesto en la legislación urbanística vigente.</w:t>
      </w:r>
    </w:p>
    <w:p w:rsidR="0026452D" w:rsidRDefault="0026452D" w:rsidP="0026452D">
      <w:pPr>
        <w:pStyle w:val="TextoNormal"/>
      </w:pPr>
    </w:p>
    <w:p w:rsidR="0026452D" w:rsidRDefault="0026452D" w:rsidP="0026452D">
      <w:pPr>
        <w:pStyle w:val="TextoNormal"/>
      </w:pPr>
      <w:r>
        <w:t>Las juntas de compensación son entidades de base corporativa, constituidas por los propietarios de los terrenos afectados por el planeamiento que deciden incorporarse a ellas, cuya función consiste en la ejecución a su costa del planeamiento, esto es, la realización de las obras de urbanización y de las operaciones jurídicas de equidistribución de beneficios y cargas entre los propietarios de acuerdo con su aportación. El sistema de compensación es, pues, uno de los posibles sistemas de actuación urbanística y las juntas de compensación las entidades a través de las cuales se lleva a cabo, y cuya regulación se recoge en el Reglamento de gestión urbanística, aprobado por Real Decreto 3288/1978, de 25 de agosto, que resulta de aplicación supletoria a las Comunidades Autónomas que no hayan regulado esta materia.</w:t>
      </w:r>
    </w:p>
    <w:p w:rsidR="0026452D" w:rsidRDefault="0026452D" w:rsidP="0026452D">
      <w:pPr>
        <w:pStyle w:val="TextoNormal"/>
      </w:pPr>
    </w:p>
    <w:p w:rsidR="0026452D" w:rsidRDefault="0026452D" w:rsidP="0026452D">
      <w:pPr>
        <w:pStyle w:val="TextoNormal"/>
      </w:pPr>
      <w:r>
        <w:t xml:space="preserve">En el caso de la Comunidad Autónoma de Aragón, la vigente Ley 3/2009, de 17 de junio, de urbanismo, regula en sus arts. 158 a 165 la “gestión indirecta por compensación”, normativa que sustituye a lo dispuesto en el mencionado reglamento estatal, en los términos señalados en su disposición final cuarta. La Ley autonómica se alza, pues, como </w:t>
      </w:r>
      <w:r w:rsidRPr="0026452D">
        <w:rPr>
          <w:i/>
        </w:rPr>
        <w:t>ius superveniens</w:t>
      </w:r>
      <w:r>
        <w:t>, en los términos antes expuestos, operando como parámetro para el enjuiciamiento de la disposición recurrida, y constituye, por tanto, la “legislación urbanística vigente” a la que expresamente se remite el art. 139.1 de la Ley 33/2003, del patrimonio de las Administraciones públicas.</w:t>
      </w:r>
    </w:p>
    <w:p w:rsidR="0026452D" w:rsidRDefault="0026452D" w:rsidP="0026452D">
      <w:pPr>
        <w:pStyle w:val="TextoNormal"/>
      </w:pPr>
    </w:p>
    <w:p w:rsidR="0026452D" w:rsidRDefault="0026452D" w:rsidP="0026452D">
      <w:pPr>
        <w:pStyle w:val="TextoNormal"/>
      </w:pPr>
      <w:r>
        <w:t>Las previsiones contenidas en la Ley autonómica no introducen novedades sustanciales en la tradicional regulación de esta técnica urbanística. En el art. 158. 1 y 2 de Ley aragonesa 3/2009 se dispone que la gestión indirecta por compensación “tiene por objeto fomentar la participación directa de los propietarios en la ejecución del planeamiento e incentivar su inmediata realización”, y que “en la gestión indirecta por compensación, los propietarios, previa aprobación del correspondiente programa de compensación, se constituyen en junta de compensación, aportan los terrenos de cesión obligatoria mediante reparcelación y ejecutan a su costa la obra pública de urbanización en los términos y condiciones que se determinen en planeamiento”. La junta de compensación se define (art. 163.1) como el “agente público responsable de ejecutar la urbanización”, con “personalidad jurídica y plena capacidad para el cumplimiento de sus fines, disfrutando de consideración administrativa a los efectos previstos en esta ley”.</w:t>
      </w:r>
    </w:p>
    <w:p w:rsidR="0026452D" w:rsidRDefault="0026452D" w:rsidP="0026452D">
      <w:pPr>
        <w:pStyle w:val="TextoNormal"/>
      </w:pPr>
    </w:p>
    <w:p w:rsidR="0026452D" w:rsidRDefault="0026452D" w:rsidP="0026452D">
      <w:pPr>
        <w:pStyle w:val="TextoNormal"/>
      </w:pPr>
      <w:r>
        <w:t xml:space="preserve">En este contexto normativo, el art. 139.1 de la Ley 33/2003, del patrimonio de las Administraciones públicas, se limita a prever la inclusión de la Administración del Estado (o de </w:t>
      </w:r>
      <w:r>
        <w:lastRenderedPageBreak/>
        <w:t>sus organismos públicos) entre los “propietarios” susceptibles de incorporarse a la junta de compensación, con aportación de inmuebles patrimoniales o derechos sobre los mismos, incluyendo un reconocimiento expreso de que dicha incorporación se ajustará en todo caso a los requisitos o condiciones establecidos por la normativa urbanística vigente, lo que implica que la incorporación, en el supuesto que se examina, se llevará a cabo en las condiciones establecidas para los restantes propietarios en la Ley aragonesa 3/2009, y por tanto, como sujeto titular de los derechos y obligaciones que la legislación urbanística autonómica reconozca a los propietarios de los bienes.</w:t>
      </w:r>
    </w:p>
    <w:p w:rsidR="0026452D" w:rsidRDefault="0026452D" w:rsidP="0026452D">
      <w:pPr>
        <w:pStyle w:val="TextoNormal"/>
      </w:pPr>
    </w:p>
    <w:p w:rsidR="0026452D" w:rsidRDefault="0026452D" w:rsidP="0026452D">
      <w:pPr>
        <w:pStyle w:val="TextoNormal"/>
      </w:pPr>
      <w:r>
        <w:t>El precepto es, pues, como queda dicho, una norma de gestión del patrimonio del Estado, aplicable con ocasión de la ejecución del planeamiento urbanístico por el sistema de compensación, cuando este se produzca en un polígono o unidad de actuación en el que existan bienes públicos patrimoniales de titularidad estatal. La regulación que se contiene en el art. 139.1 no condiciona ni afecta, directa o indirectamente, a lo dispuesto en la legislación urbanística autonómica, ni supone el ejercicio de competencias urbanísticas por la Administración estatal, ya que no efectúa regulación alguna en materia urbanística: no impone el sistema de ejecución por compensación, ni regula el régimen jurídico de las juntas de compensación, limitándose a prever la incorporación a las mismas de la Administración estatal en su condición de propietaria de bienes y derechos afectados por el planeamiento urbanístico, en el supuesto de aplicación de esta técnica urbanística. La previsión de que la incorporación de la Administración estatal se efectúe mediante “adhesión expresa” es una regla interna dirigida a la propia Administración del Estado, en orden a la exteriorización del acto de voluntad que supone esa incorporación a la junta de compensación, que no afecta tampoco a las competencias autonómicas.</w:t>
      </w:r>
    </w:p>
    <w:p w:rsidR="0026452D" w:rsidRDefault="0026452D" w:rsidP="0026452D">
      <w:pPr>
        <w:pStyle w:val="TextoNormal"/>
      </w:pPr>
    </w:p>
    <w:p w:rsidR="0026452D" w:rsidRDefault="0026452D" w:rsidP="0026452D">
      <w:pPr>
        <w:pStyle w:val="TextoNormal"/>
      </w:pPr>
      <w:r>
        <w:t>El precepto no incide, por tanto, en el planeamiento urbanístico ni en los sistemas de ejecución urbanística, ni recoge opción alguna por un determinado instrumento o técnica urbanística, posibilidad excluida por nuestra doctrina, pues, como hemos señalado en la STC 170/2012, FJ 12, “tampoco podemos desconocer que el Tribunal se ha pronunciado ya sobre la decisión del legislador básico de optar por un concreto instrumento o técnica urbanística, que no se desprende necesariamente de las condiciones básicas y que pertenece a la competencia sobre la materia urbanística”, añadiendo más adelante, en el mismo fundamento jurídico 12, que “lo vedado es, pues, la utilización de técnicas e instrumentos urbanísticos para la consecución de objetivos que se dicen vinculados a las competencias estatales, pues, en estos casos, no nos encontramos en el ejercicio de dichas competencias sino en el ámbito propio del urbanismo de competencia exclusiva autonómica y que no puede verse aquí desplazada”.</w:t>
      </w:r>
    </w:p>
    <w:p w:rsidR="0026452D" w:rsidRDefault="0026452D" w:rsidP="0026452D">
      <w:pPr>
        <w:pStyle w:val="TextoNormal"/>
      </w:pPr>
    </w:p>
    <w:p w:rsidR="0026452D" w:rsidRDefault="0026452D" w:rsidP="0026452D">
      <w:pPr>
        <w:pStyle w:val="TextoNormal"/>
      </w:pPr>
      <w:r>
        <w:t>En definitiva, el art. 139.1 de la Ley 33/2003 no predetermina la técnica urbanística a utilizar, ni excluye la posibilidad de utilización de otros instrumentos o técnicas distintas de gestión urbanística distintos del sistema de compensación, supuesto en el que cual, simplemente, este precepto no resultará de aplicación. Debemos, en consecuencia, rechazar la impugnación que se dirige frente a este precepto.</w:t>
      </w:r>
    </w:p>
    <w:p w:rsidR="0026452D" w:rsidRDefault="0026452D" w:rsidP="0026452D">
      <w:pPr>
        <w:pStyle w:val="TextoNormal"/>
      </w:pPr>
    </w:p>
    <w:p w:rsidR="0026452D" w:rsidRDefault="0026452D" w:rsidP="0026452D">
      <w:pPr>
        <w:pStyle w:val="TextoNormal"/>
      </w:pPr>
      <w:r>
        <w:t xml:space="preserve">El apartado 2 del art. 139 de la Ley 33/2003 regula la actuación de la Administración del Estado cuando inmuebles de su propiedad, que tienen el carácter de bienes demaniales, quedan incluidos en el ámbito de una junta de compensación, y el uso previsto por el planeamiento resulta incompatible con el uso que motivó su afectación, esto es, con el uso a que </w:t>
      </w:r>
      <w:r>
        <w:lastRenderedPageBreak/>
        <w:t>se vinieran destinando. Se dispone en este supuesto que, siempre que los bienes no sean imprescindibles para el cumplimiento de los fines, el titular del bien debe proponer a la Dirección General de Patrimonio del Estado su desafectación a desadscripción. El precepto se limita a prever, por tanto, la actuación de la administración estatal, una vez determinado el sistema de ejecución por compensación de acuerdo con los criterios de las legislaciones urbanísticas autonómicas, estableciendo la regla general de la desafectación de los bienes demaniales cuyo uso deviene incompatible con el planeamiento que se va a ejecutar por compensación, y el carácter excepcional del mantenimiento de su uso o afectación.</w:t>
      </w:r>
    </w:p>
    <w:p w:rsidR="0026452D" w:rsidRDefault="0026452D" w:rsidP="0026452D">
      <w:pPr>
        <w:pStyle w:val="TextoNormal"/>
      </w:pPr>
    </w:p>
    <w:p w:rsidR="0026452D" w:rsidRDefault="0026452D" w:rsidP="0026452D">
      <w:pPr>
        <w:pStyle w:val="TextoNormal"/>
      </w:pPr>
      <w:r>
        <w:t xml:space="preserve">No se produce, en consecuencia, intromisión alguna en el ámbito de las competencias autonómicas en materia de urbanismo, siendo trasladables los argumentos expuestos en relación con el apartado anterior, puesto que el art. 139.2 se limita a establecer una regla interna de gestión atinente a inmuebles pertenecientes al patrimonio del Estado y, en cuanto tal, produce efectos </w:t>
      </w:r>
      <w:r w:rsidRPr="0026452D">
        <w:rPr>
          <w:i/>
        </w:rPr>
        <w:t>ad intra</w:t>
      </w:r>
      <w:r>
        <w:t xml:space="preserve">, esto es, en el ámbito interno de la gestión patrimonial estatal, sin que ello conlleve una afectación </w:t>
      </w:r>
      <w:r w:rsidRPr="0026452D">
        <w:rPr>
          <w:i/>
        </w:rPr>
        <w:t>ad extra</w:t>
      </w:r>
      <w:r>
        <w:t xml:space="preserve"> sobre las normas urbanísticas que regulan el sistema de compensación, siendo el objetivo que se persigue precisamente el de acomodar el destino de los bienes a los usos previstos en el planeamiento urbanístico. No puede, por ello, compartirse el juicio de la representación autonómica, en cuanto considera que el precepto permite a la Administración del Estado paralizar la ejecución urbanística apoyándose en el carácter demanial de los bienes, pues el objeto de la norma es, precisamente, facilitar la efectiva implantación de los usos previstos en el planeamiento, sin perjuicio del mantenimiento de los prexistentes cuando ello sea necesario para el ejercicio por el Estado de sus propias competencias. Procede, pues, rechazar también la impugnación dirigida frente al apartado 2 del art. 139 de la Ley 33/2003.</w:t>
      </w:r>
    </w:p>
    <w:p w:rsidR="0026452D" w:rsidRDefault="0026452D" w:rsidP="0026452D">
      <w:pPr>
        <w:pStyle w:val="TextoNormal"/>
      </w:pPr>
    </w:p>
    <w:p w:rsidR="0026452D" w:rsidRDefault="0026452D" w:rsidP="0026452D">
      <w:pPr>
        <w:pStyle w:val="TextoNormal"/>
      </w:pPr>
      <w:r w:rsidRPr="0026452D">
        <w:rPr>
          <w:rStyle w:val="NumeroAFNegritaCaracter"/>
        </w:rPr>
        <w:t>6</w:t>
      </w:r>
      <w:r>
        <w:t>. Por lo que se refiere a los arts. 189, 190 y 191 de la Ley 33/2003, que tienen, según la disposición final segunda, apartado 5, de esta Ley, el carácter de legislación básica dictada al amparo de lo previsto en el art. 149.1.18 CE, la parte promotora del recurso formula frente a los mismos una objeción de carácter general, considerando que la mera rúbrica del capítulo que engloba estos preceptos (“Régimen urbanístico y gestión de los bienes públicos”), resulta reveladora de la extralimitación en que incurre esta regulación, pues pone de manifiesto que a través de la misma el legislador estatal viene a establecer normas o imponer limitaciones que afectan al régimen urbanístico de los bienes, lo que hace —según el Gobierno de Aragón— que los preceptos impugnados no puedan resultar amparados por lo dispuesto en el art. 149.1.18 CE, teniendo su encuadre natural en la legislación urbanística, de competencia exclusiva de la Comunidad Autónoma.</w:t>
      </w:r>
    </w:p>
    <w:p w:rsidR="0026452D" w:rsidRDefault="0026452D" w:rsidP="0026452D">
      <w:pPr>
        <w:pStyle w:val="TextoNormal"/>
      </w:pPr>
    </w:p>
    <w:p w:rsidR="0026452D" w:rsidRDefault="0026452D" w:rsidP="0026452D">
      <w:pPr>
        <w:pStyle w:val="TextoNormal"/>
      </w:pPr>
      <w:r>
        <w:t>Es preciso recordar, a este respecto, que la rúbrica o denominación atribuida por el legislador a una concreta regulación carece por sí misma de relevancia a efectos constitucionales, pues el análisis que a este Tribunal corresponde efectuar ha de atender con carácter exclusivo al contenido sustantivo de la regulación impugnada, dado que “el argumento decisivo para llevar a cabo el análisis constitucional de una norma no puede hacerse depender de los términos que el legislador, a su discreción, ha utilizado” (STC 122/2012, de 5 de junio, FJ 4), por lo que debe rechazarse la argumentación autonómica en este punto y pasar a examinar las objeciones concretas que se dirigen a los arts. 189, 190 y 191 de la Ley 33/2003.</w:t>
      </w:r>
    </w:p>
    <w:p w:rsidR="0026452D" w:rsidRDefault="0026452D" w:rsidP="0026452D">
      <w:pPr>
        <w:pStyle w:val="TextoNormal"/>
      </w:pPr>
    </w:p>
    <w:p w:rsidR="0026452D" w:rsidRDefault="0026452D" w:rsidP="0026452D">
      <w:pPr>
        <w:pStyle w:val="TextoNormal"/>
      </w:pPr>
      <w:r>
        <w:t>El art. 189, que regula la comunicación de actuaciones urbanísticas a la Administración titular de los bienes, dispone lo siguiente:</w:t>
      </w:r>
    </w:p>
    <w:p w:rsidR="0026452D" w:rsidRDefault="0026452D" w:rsidP="0026452D">
      <w:pPr>
        <w:pStyle w:val="TextoNormal"/>
      </w:pPr>
    </w:p>
    <w:p w:rsidR="0026452D" w:rsidRDefault="0026452D" w:rsidP="0026452D">
      <w:pPr>
        <w:pStyle w:val="TextoNormal"/>
      </w:pPr>
      <w:r>
        <w:t>“1. Sin perjuicio de las publicaciones que fueren preceptivas, la aprobación inicial, la provisional y la definitiva de instrumentos de planeamiento urbanístico que afecten a bienes de titularidad pública deberán notificarse a la Administración titular de los mismos. Cuando se trate de bienes de titularidad de la Administración General del Estado, la notificación se efectuará al Delegado de Economía y Hacienda de la provincia en que radique el bien.</w:t>
      </w:r>
    </w:p>
    <w:p w:rsidR="0026452D" w:rsidRDefault="0026452D" w:rsidP="0026452D">
      <w:pPr>
        <w:pStyle w:val="TextoNormal"/>
      </w:pPr>
    </w:p>
    <w:p w:rsidR="0026452D" w:rsidRDefault="0026452D" w:rsidP="0026452D">
      <w:pPr>
        <w:pStyle w:val="TextoNormal"/>
      </w:pPr>
      <w:r>
        <w:t>2. Los plazos para formular alegaciones o interponer recursos frente a los actos que deban ser objeto de notificación comenzarán a contarse desde la fecha de la misma.</w:t>
      </w:r>
    </w:p>
    <w:p w:rsidR="0026452D" w:rsidRDefault="0026452D" w:rsidP="0026452D">
      <w:pPr>
        <w:pStyle w:val="TextoNormal"/>
      </w:pPr>
    </w:p>
    <w:p w:rsidR="0026452D" w:rsidRDefault="0026452D" w:rsidP="0026452D">
      <w:pPr>
        <w:pStyle w:val="TextoNormal"/>
      </w:pPr>
      <w:r>
        <w:t>3. Corresponderá a los secretarios de los ayuntamientos efectuar las notificaciones previstas en este artículo.”</w:t>
      </w:r>
    </w:p>
    <w:p w:rsidR="0026452D" w:rsidRDefault="0026452D" w:rsidP="0026452D">
      <w:pPr>
        <w:pStyle w:val="TextoNormal"/>
      </w:pPr>
    </w:p>
    <w:p w:rsidR="0026452D" w:rsidRDefault="0026452D" w:rsidP="0026452D">
      <w:pPr>
        <w:pStyle w:val="TextoNormal"/>
      </w:pPr>
      <w:r>
        <w:t xml:space="preserve">Sostiene la representación autonómica que este precepto supone una desmedida injerencia en el procedimiento de aprobación de los instrumentos urbanísticos, que no tiene amparo en los títulos competenciales que corresponden al Estado </w:t>
      </w:r>
      <w:r w:rsidRPr="0026452D">
        <w:rPr>
          <w:i/>
        </w:rPr>
        <w:t>ex</w:t>
      </w:r>
      <w:r>
        <w:t xml:space="preserve"> art. 149.1.18 CE, mientras que el Abogado del Estado considera que las previsiones contenidas en el art. 189 no afectan en absoluto a las competencias autonómicas en materia urbanística, conforme queda expuesto en el relato de antecedentes de la presente Sentencia.</w:t>
      </w:r>
    </w:p>
    <w:p w:rsidR="0026452D" w:rsidRDefault="0026452D" w:rsidP="0026452D">
      <w:pPr>
        <w:pStyle w:val="TextoNormal"/>
      </w:pPr>
    </w:p>
    <w:p w:rsidR="0026452D" w:rsidRDefault="0026452D" w:rsidP="0026452D">
      <w:pPr>
        <w:pStyle w:val="TextoNormal"/>
      </w:pPr>
      <w:r>
        <w:t>Pues bien, debemos comenzar por el análisis de la impugnación de apartado 1 del art. 189 de la Ley 33/2003, en el que se establece una obligación de notificación a la Administración titular del bien de la aprobación inicial y definitiva y, en su caso, de la aprobación provisional de los instrumentos de ordenación urbanística. Sobre el deber de notificación de los planes urbanísticos ya se pronunció la STC 61/1997, de 20 de marzo, FJ 26 a), precisando que “el título competencial sobre las bases del régimen jurídico de las Administraciones Públicas, del art. 149.1.18 CE, proporciona respaldo suficiente al legislador estatal para la imposición con carácter materialmente básico, de un deber de información”, y considerando también que “la obligación de notificar es, en sí misma, plenamente respetuosa con el orden constitucional de competencias, en cuanto expresión de los principios que presiden las relaciones entre las Administraciones Públicas y, en particular, el deber de facilitar a las demás Administraciones Públicas la información que precisen sobre la actividad que desarrollen en el ejercicio de sus propias competencias, así como del deber de prestar la cooperación y asistencia activa que las otras Administraciones pudieran recabar para el eficaz ejercicio de sus competencias [art. 4.1, letras c) y d), de la Ley 30/1992, de Régimen Jurídico de las Administraciones Públicas y del Procedimiento Administrativo Común]”. Para añadir seguidamente que “la materia que subyace … se asienta, pues, en la competencia exclusiva del Estado sobre las bases del régimen jurídico de las Administraciones Públicas (art. 149.1.18 CE), competencia que no tiene por qué agotarse necesariamente en la fijación de unas bases expresadas de una vez por todas en una sola ley, sino que admite, sin desbordar por ello el concepto de lo básico, la determinación de unas bases relativas a un sector específico, como es el urbanismo.”</w:t>
      </w:r>
    </w:p>
    <w:p w:rsidR="0026452D" w:rsidRDefault="0026452D" w:rsidP="0026452D">
      <w:pPr>
        <w:pStyle w:val="TextoNormal"/>
      </w:pPr>
    </w:p>
    <w:p w:rsidR="0026452D" w:rsidRDefault="0026452D" w:rsidP="0026452D">
      <w:pPr>
        <w:pStyle w:val="TextoNormal"/>
      </w:pPr>
      <w:r>
        <w:t>De conformidad con esta doctrina, ninguna tacha de inconstitucionalidad cabe oponer al art. 189.1, que se limita a establecer, en garantía de una adecuada protección de los patrimonios públicos, un mero deber de notificación de los instrumentos de planeamiento a la Administración titular del bien, precisando el órgano de la Administración General del Estado al que ha de dirigirse la notificación, en el caso de los bienes de titularidad estatal.</w:t>
      </w:r>
    </w:p>
    <w:p w:rsidR="0026452D" w:rsidRDefault="0026452D" w:rsidP="0026452D">
      <w:pPr>
        <w:pStyle w:val="TextoNormal"/>
      </w:pPr>
    </w:p>
    <w:p w:rsidR="0026452D" w:rsidRDefault="0026452D" w:rsidP="0026452D">
      <w:pPr>
        <w:pStyle w:val="TextoNormal"/>
      </w:pPr>
      <w:r>
        <w:t xml:space="preserve">Es necesario señalar, sin embargo, que en el mismo fundamento jurídico 26, la STC 61/1997 vino a considerar que el precepto allí examinado, art. 135.2 del texto refundido de la Ley del suelo de 1992, merecía un reproche de inconstitucionalidad “si se tiene en cuenta que no se ha limitado a establecer el deber de notificar la revisión o reforma del planeamiento al objeto de permitir, en su caso, el ejercicio de las competencias estatales que puedan verse afectadas, sino que, a través de ello, ha fijado reglas de procedimiento para las que carece de título competencial específico”. La anterior afirmación permite entender, </w:t>
      </w:r>
      <w:r w:rsidRPr="0026452D">
        <w:rPr>
          <w:i/>
        </w:rPr>
        <w:t>sensu contrario</w:t>
      </w:r>
      <w:r>
        <w:t xml:space="preserve">, que, reconocida la competencia estatal </w:t>
      </w:r>
      <w:r w:rsidRPr="0026452D">
        <w:rPr>
          <w:i/>
        </w:rPr>
        <w:t>ex</w:t>
      </w:r>
      <w:r>
        <w:t xml:space="preserve"> art. 149.1.18 CE para establecer una obligación de notificación a las Administraciones públicas titulares de los bienes, de los sucesivos acuerdos de aprobación del planeamiento, dicha competencia no alcanza, sin embargo, al establecimiento, con carácter básico, de reglas que determinen, especifiquen o concreten aspectos relativos al procedimiento a través del cual haya de efectuarse dicha notificación.</w:t>
      </w:r>
    </w:p>
    <w:p w:rsidR="0026452D" w:rsidRDefault="0026452D" w:rsidP="0026452D">
      <w:pPr>
        <w:pStyle w:val="TextoNormal"/>
      </w:pPr>
    </w:p>
    <w:p w:rsidR="0026452D" w:rsidRDefault="0026452D" w:rsidP="0026452D">
      <w:pPr>
        <w:pStyle w:val="TextoNormal"/>
      </w:pPr>
      <w:r>
        <w:t>Es precisamente desde esta perspectiva desde la que la parte promotora del recurso formula objeciones a lo dispuesto en el apartado 2 del art. 189 de la Ley 33/2003, respecto del cual considera tanto que viene a establecer plazos especiales para presentar alegaciones o interponer recursos, como que deja indefinidamente abierto el plazo para dichas alegaciones y recursos. Pues bien, ninguna de ambas apreciaciones puede deducirse del tenor literal del precepto. El apartado 2 del art. 189 no hace otra cosa que plasmar lo que constituye una regla general del procedimiento administrativo, en virtud del cual la eficacia de los actos sujetos a notificación, se produce a partir de la fecha de esta (art. 57.2 de la Ley 30/1992, de régimen jurídico de las Administraciones públicas y del procedimiento administrativo común) y es, en consecuencia, la notificación la que inicia el cómputo del plazo para evacuar el trámite de alegaciones o interponer recursos. Ciertamente, esta regulación podría reputarse innecesaria, por obvia, pero no vulnera las competencias autonómicas, en cuanto que no establece ninguna regla procedimental específica en la materia, debiendo entenderse, por el contrario, que será la Comunidad Autónoma, en desarrollo de esta prescripción de carácter básico (art. 149.1.18 CE), la competente para establecer la regulación procedimental específica, incluyendo la relativa a los plazos aplicables en materia de alegaciones o recursos.</w:t>
      </w:r>
    </w:p>
    <w:p w:rsidR="0026452D" w:rsidRDefault="0026452D" w:rsidP="0026452D">
      <w:pPr>
        <w:pStyle w:val="TextoNormal"/>
      </w:pPr>
    </w:p>
    <w:p w:rsidR="0026452D" w:rsidRDefault="0026452D" w:rsidP="0026452D">
      <w:pPr>
        <w:pStyle w:val="TextoNormal"/>
      </w:pPr>
      <w:r>
        <w:t xml:space="preserve">A similar conclusión cabe llegar en relación a lo dispuesto en el apartado 3 del art. 189 de la Ley 33/2003, que se limita a señalar que corresponde al secretario del ayuntamiento efectuar las notificaciones a las que se refiere el precepto. Esta previsión no viene a ser sino mera plasmación de lo que constituye una regla general aplicable en materia de procedimiento administrativo de las entidades locales, de conformidad con lo dispuesto en el art. 192.2 del Reglamento de organización, funcionamiento y régimen jurídico de las corporaciones locales, aprobado por Real Decreto 2568/1986, de 28 de noviembre (dictado al amparo de la habilitación reglamentaria al Gobierno contenida en la disposición final primera de la Ley 7/1985, de 2 de abril, reguladora de las bases del régimen local, cuya constitucionalidad declaramos en la STC 214/1989, de 21 de diciembre, FJ 30), según el cual, “las comunicaciones que se dirijan a las autoridades serán firmadas por los Presidentes de las Corporaciones, y las demás que den traslado de acuerdos o resoluciones, por el responsable de la secretaría”, previsión esta que, a su vez, desarrolla el deber general de comunicación establecido en los arts. 56.1 y 64 de la Ley reguladora de las bases del régimen local, y que </w:t>
      </w:r>
      <w:r>
        <w:lastRenderedPageBreak/>
        <w:t>responsabiliza a los presidentes y, de forma inmediata, a los secretarios de las corporaciones del cumplimiento de este deber.</w:t>
      </w:r>
    </w:p>
    <w:p w:rsidR="0026452D" w:rsidRDefault="0026452D" w:rsidP="0026452D">
      <w:pPr>
        <w:pStyle w:val="TextoNormal"/>
      </w:pPr>
    </w:p>
    <w:p w:rsidR="0026452D" w:rsidRDefault="0026452D" w:rsidP="0026452D">
      <w:pPr>
        <w:pStyle w:val="TextoNormal"/>
      </w:pPr>
      <w:r>
        <w:t>Así pues, la regla contenida en el apartado 3 del art. 189 de la Ley 33/2003 es una norma estatal básica en materia de régimen local, dictada de conformidad con el título competencial sobre las bases del régimen jurídico de las Administraciones públicas del art. 149.1.18 CE, y que no afecta, por tanto, a las competencias en materia urbanística de las Comunidades Autónomas. Por ello, siendo claro que la función que en el apartado 3 del art. 189 se asigna al secretario de la corporación local no es sino la de mera notificación o traslado de acuerdos, en este caso de naturaleza urbanística, el precepto que se examina se limita a incorporar la mencionada previsión procedimental de carácter general en materia de régimen local, sin modulación, concreción o alteración alguna, por lo que la previsión contenida en este apartado 3 del art. 189 de la Ley 33/2003, que será de aplicación en los supuestos en que la aprobación de los mencionados acuerdos corresponda a la Administración municipal, no vulnera las competencias de las Comunidades Autónomas.</w:t>
      </w:r>
    </w:p>
    <w:p w:rsidR="0026452D" w:rsidRDefault="0026452D" w:rsidP="0026452D">
      <w:pPr>
        <w:pStyle w:val="TextoNormal"/>
      </w:pPr>
    </w:p>
    <w:p w:rsidR="0026452D" w:rsidRDefault="0026452D" w:rsidP="0026452D">
      <w:pPr>
        <w:pStyle w:val="TextoNormal"/>
      </w:pPr>
      <w:r>
        <w:t>Procede, en consecuencia, desestimar la impugnación formulada al art. 189.</w:t>
      </w:r>
    </w:p>
    <w:p w:rsidR="0026452D" w:rsidRDefault="0026452D" w:rsidP="0026452D">
      <w:pPr>
        <w:pStyle w:val="TextoNormal"/>
      </w:pPr>
    </w:p>
    <w:p w:rsidR="0026452D" w:rsidRDefault="0026452D" w:rsidP="0026452D">
      <w:pPr>
        <w:pStyle w:val="TextoNormal"/>
      </w:pPr>
      <w:r w:rsidRPr="0026452D">
        <w:rPr>
          <w:rStyle w:val="NumeroAFNegritaCaracter"/>
        </w:rPr>
        <w:t>7</w:t>
      </w:r>
      <w:r>
        <w:t>. El art. 190 dispone en su apartado 1 lo siguiente:</w:t>
      </w:r>
    </w:p>
    <w:p w:rsidR="0026452D" w:rsidRDefault="0026452D" w:rsidP="0026452D">
      <w:pPr>
        <w:pStyle w:val="TextoNormal"/>
      </w:pPr>
    </w:p>
    <w:p w:rsidR="0026452D" w:rsidRDefault="0026452D" w:rsidP="0026452D">
      <w:pPr>
        <w:pStyle w:val="TextoNormal"/>
      </w:pPr>
      <w:r>
        <w:t>“Los notarios no podrán autorizar el otorgamiento de escrituras públicas de constitución de juntas de compensación u otras entidades urbanísticas colaboradoras sin que previamente los otorgantes justifiquen ante ellos que la totalidad de la superficie incluida en la unidad de ejecución ha sido plenamente identificada, en cuanto a la titularidad de las fincas que la componen, o que la Delegación de Economía y Hacienda correspondiente ha sido notificada fehacientemente de la existencia de terrenos de titularidad desconocida o no acreditada. Se considerará identificada la titularidad respecto a las fincas calificadas como litigiosas, siempre que se aporten títulos justificativos del dominio.”</w:t>
      </w:r>
    </w:p>
    <w:p w:rsidR="0026452D" w:rsidRDefault="0026452D" w:rsidP="0026452D">
      <w:pPr>
        <w:pStyle w:val="TextoNormal"/>
      </w:pPr>
    </w:p>
    <w:p w:rsidR="0026452D" w:rsidRDefault="0026452D" w:rsidP="0026452D">
      <w:pPr>
        <w:pStyle w:val="TextoNormal"/>
      </w:pPr>
      <w:r>
        <w:t>Considera la Comunidad Autónoma de Aragón que, a través de la mencionada disposición, el legislador estatal viene a establecer requisitos y condiciones para proceder a la ejecución del planeamiento que no encuentran amparo en las competencias sobre “bases del régimen jurídico de las Administraciones Públicas” (art. 149.1.18 CE), por cuanto el precepto predetermina la exigencia de escritura pública para la constitución de las juntas de compensación y entidades urbanísticas colaboradoras, ignorando que solo a las Comunidades Autónomas corresponde determinar las condiciones para la constitución de las entidades a través de las cuales se vaya a ejecutar el planeamiento, y la legislación urbanística autonómica puede no exigir escritura pública para la constitución de estas entidades, como ocurre en el supuesto de la legislación aragonesa. Por su parte, el Abogado del Estado sostiene que el legislador estatal no está estableciendo en este precepto requisitos para proceder a la ejecución del planeamiento, sino una norma de ordenación destinada a los registros e instrumentos públicos, para lo cual el Estado tiene competencia de acuerdo con el art. 149.1.8 CE.</w:t>
      </w:r>
    </w:p>
    <w:p w:rsidR="0026452D" w:rsidRDefault="0026452D" w:rsidP="0026452D">
      <w:pPr>
        <w:pStyle w:val="TextoNormal"/>
      </w:pPr>
    </w:p>
    <w:p w:rsidR="0026452D" w:rsidRDefault="0026452D" w:rsidP="0026452D">
      <w:pPr>
        <w:pStyle w:val="TextoNormal"/>
      </w:pPr>
      <w:r>
        <w:t xml:space="preserve">En respuesta a la cuestión planteada debemos señalar que la representación autonómica parte de una determinada interpretación del art. 190.1 de la Ley 33/2003 que no es la que se deriva de su tenor literal, pues del precepto no cabe deducir que se venga a imponer con carácter taxativo la forma de constitución de las juntas de compensación u otras entidades </w:t>
      </w:r>
      <w:r>
        <w:lastRenderedPageBreak/>
        <w:t>urbanísticas colaboradoras. En efecto, el precepto no tiene por objeto la regulación de la forma de constitución de estas entidades colaboradoras, sino que se limita a establecer una norma de actuación dirigida a los fedatarios públicos, relativa a la “ordenación” de las escrituras públicas de constitución de las juntas de compensación y entidades colaboradoras, que será de aplicación únicamente en aquellos supuestos en que las mismas hayan de constituirse mediante escritura pública, de conformidad con lo dispuesto en la legislación urbanística aplicable.</w:t>
      </w:r>
    </w:p>
    <w:p w:rsidR="0026452D" w:rsidRDefault="0026452D" w:rsidP="0026452D">
      <w:pPr>
        <w:pStyle w:val="TextoNormal"/>
      </w:pPr>
    </w:p>
    <w:p w:rsidR="0026452D" w:rsidRDefault="0026452D" w:rsidP="0026452D">
      <w:pPr>
        <w:pStyle w:val="TextoNormal"/>
      </w:pPr>
      <w:r>
        <w:t>La disposición final segunda, apartado 5, de la Ley 33/2003, incluye este precepto entre los dictados al amparo del art. 149.1.18 CE; ello no obstante, y considerando que hemos afirmado reiteradamente que “este Tribunal no se encuentra vinculado por los encuadramientos competenciales que realizan las propias normas sometidas a su enjuiciamiento” (entre otras, SSTC 44/1985, de 22 de marzo, FJ 1; 152/2003, de 17 de julio, FJ 7 y 14/2004, de 13 de febrero, FJ 6), en el presente caso, y atendiendo al objeto y finalidad del precepto, ha de entenderse que el mismo se dicta al amparo de la competencia exclusiva atribuida al Estado en el art. 149.1.8 CE, en materia de “ordenación de los registros e instrumentos públicos”.</w:t>
      </w:r>
    </w:p>
    <w:p w:rsidR="0026452D" w:rsidRDefault="0026452D" w:rsidP="0026452D">
      <w:pPr>
        <w:pStyle w:val="TextoNormal"/>
      </w:pPr>
    </w:p>
    <w:p w:rsidR="0026452D" w:rsidRDefault="0026452D" w:rsidP="0026452D">
      <w:pPr>
        <w:pStyle w:val="TextoNormal"/>
      </w:pPr>
      <w:r>
        <w:t>Efectivamente, el precepto que se analiza no establece una regla o directriz urbanística, sino que constituye, en sentido propio, una norma de “ordenación de los instrumentos públicos”, dictada al amparo de la competencia exclusiva atribuida al Estado en el art. 149.1.8 CE, es decir, una norma reguladora de los requisitos y condiciones aplicables en el supuesto de otorgamiento de escrituras públicas para la constitución de la junta de compensación u otras entidades urbanísticas colaboradoras; y cuyo objeto es garantizar la identificación de la titularidad de la superficie incluida en una unidad de ejecución, mediante el establecimiento, en su caso, de un deber de notificación a los órganos estatales, de la existencia de terrenos de titularidad desconocida o no acreditada. Ese deber de notificación, sobre cuya constitucionalidad ya nos hemos pronunciado, tiene como finalidad, en el supuesto que nos ocupa, permitir la aplicación de la regla que atribuye al Estado la titularidad de los inmuebles sin dueño conocido (art. 17.1 de la Ley 33/2003). No estamos, pues, ante una norma que incida en el planeamiento o en la ejecución del planeamiento mediante entidades colaboradoras, sino ante una norma que encuentra su justificación en la garantía de ejercicio de las potestades públicas que a la Administración estatal corresponden para actuar como propietaria de los terrenos de titularidad desconocida, que se atribuyen a la misma por ministerio de la ley (art. 17.2). En consecuencia, la impugnación del art. 190.1 debe ser rechazada.</w:t>
      </w:r>
    </w:p>
    <w:p w:rsidR="0026452D" w:rsidRDefault="0026452D" w:rsidP="0026452D">
      <w:pPr>
        <w:pStyle w:val="TextoNormal"/>
      </w:pPr>
    </w:p>
    <w:p w:rsidR="0026452D" w:rsidRDefault="0026452D" w:rsidP="0026452D">
      <w:pPr>
        <w:pStyle w:val="TextoNormal"/>
      </w:pPr>
      <w:r>
        <w:t>El apartado 2 del art. 190 dispone lo siguiente:</w:t>
      </w:r>
    </w:p>
    <w:p w:rsidR="0026452D" w:rsidRDefault="0026452D" w:rsidP="0026452D">
      <w:pPr>
        <w:pStyle w:val="TextoNormal"/>
      </w:pPr>
    </w:p>
    <w:p w:rsidR="0026452D" w:rsidRDefault="0026452D" w:rsidP="0026452D">
      <w:pPr>
        <w:pStyle w:val="TextoNormal"/>
      </w:pPr>
      <w:r>
        <w:t>“Las cesiones y demás operaciones patrimoniales sobre bienes y derechos del Patrimonio del Estado que deriven de la ejecución del planeamiento, se regirán por lo dispuesto en la legislación urbanística, con estricta aplicación del principio de equidistribución de beneficios y cargas. Serán órganos competentes para acordarlas los mismos previstos en la ley para la operación patrimonial de que se trate.”</w:t>
      </w:r>
    </w:p>
    <w:p w:rsidR="0026452D" w:rsidRDefault="0026452D" w:rsidP="0026452D">
      <w:pPr>
        <w:pStyle w:val="TextoNormal"/>
      </w:pPr>
    </w:p>
    <w:p w:rsidR="0026452D" w:rsidRDefault="0026452D" w:rsidP="0026452D">
      <w:pPr>
        <w:pStyle w:val="TextoNormal"/>
      </w:pPr>
      <w:r>
        <w:t xml:space="preserve">La parte recurrente, tras señalar que el precepto afecta en exclusiva a bienes y derechos del Patrimonio del Estado, por lo que carece de carácter básico al amparo del art. 149.1.18 CE, considera, por un lado, que resulta innecesaria la reiteración en la Ley 33/2003 del principio general de justa distribución de beneficios y cargas, que deriva de lo dispuesto en </w:t>
      </w:r>
      <w:r>
        <w:lastRenderedPageBreak/>
        <w:t>las leyes urbanísticas; y, por otro, que la atribución a los órganos estatales de la facultad para acordar las cesiones y demás operaciones patrimoniales, infringe las competencias autonómicas en materia de urbanismo, en cuanto supone una intromisión en el ámbito de las concretas técnicas urbanísticas y supedita la ejecución del planeamiento a la decisión de los mencionados órganos, los cuales carecen de competencia, de conformidad con la legislación urbanística aragonesa, para decidir sobre la cesión de los terrenos, habida cuenta de que los efectos transmisivos de los terrenos de cesión obligatoria se atribuyen en la legislación autonómica, al acuerdo aprobatorio del proyecto de reparcelación.</w:t>
      </w:r>
    </w:p>
    <w:p w:rsidR="0026452D" w:rsidRDefault="0026452D" w:rsidP="0026452D">
      <w:pPr>
        <w:pStyle w:val="TextoNormal"/>
      </w:pPr>
    </w:p>
    <w:p w:rsidR="0026452D" w:rsidRDefault="0026452D" w:rsidP="0026452D">
      <w:pPr>
        <w:pStyle w:val="TextoNormal"/>
      </w:pPr>
      <w:r>
        <w:t>Por su parte, el Abogado del Estado afirma que es evidente que el Estado puede determinar por ley que en todo proceso de ejecución del planeamiento se aplique estrictamente el principio de equidistribución de beneficios y cargas, como se deduce de la STC 61/1997, FJ 14 a); y por lo que se refiere a las “cesiones y demás operaciones patrimoniales” a que alude el precepto, sostiene que se trata de una mera cuestión organizativa en virtud de la cual se atribuye a los órganos estatales a los que corresponda de acuerdo con la Ley, la realización de los actos que tengan relación con las cesiones y demás operaciones que procedan como consecuencia de los procesos de reparcelación.</w:t>
      </w:r>
    </w:p>
    <w:p w:rsidR="0026452D" w:rsidRDefault="0026452D" w:rsidP="0026452D">
      <w:pPr>
        <w:pStyle w:val="TextoNormal"/>
      </w:pPr>
    </w:p>
    <w:p w:rsidR="0026452D" w:rsidRDefault="0026452D" w:rsidP="0026452D">
      <w:pPr>
        <w:pStyle w:val="TextoNormal"/>
      </w:pPr>
      <w:r>
        <w:t xml:space="preserve">Pues bien, para dar adecuada respuesta a la cuestión planteada debemos comenzar por precisar que este apartado 2 del art. 190 de la Ley 33/2003 configura una norma interna de gestión del patrimonio del Estado y, en cuanto tal, ha de entenderse dictada al amparo de la potestad legislativa plena que para la regulación de su propio patrimonio corresponde al Estado </w:t>
      </w:r>
      <w:r w:rsidRPr="0026452D">
        <w:rPr>
          <w:i/>
        </w:rPr>
        <w:t>ex</w:t>
      </w:r>
      <w:r>
        <w:t xml:space="preserve"> art. 132.3 CE, precepto este que, como ya dijimos en la STC 58/1982, de 27 de julio, FJ 1, “no es ciertamente una norma atributiva de competencia, sino una reserva de ley, es decir, al tiempo, un mandato al legislador de regular el régimen jurídico del Patrimonio del Estado y del Patrimonio Nacional, de su ‘administración, defensa y conservación’, y una interdicción al Gobierno, como titular de la potestad reglamentaria (art. 97 de la CE), de proceder a una regulació</w:t>
      </w:r>
      <w:r w:rsidRPr="0026452D">
        <w:rPr>
          <w:i/>
        </w:rPr>
        <w:t>n praeter leg</w:t>
      </w:r>
      <w:r>
        <w:t>em”.</w:t>
      </w:r>
    </w:p>
    <w:p w:rsidR="0026452D" w:rsidRDefault="0026452D" w:rsidP="0026452D">
      <w:pPr>
        <w:pStyle w:val="TextoNormal"/>
      </w:pPr>
    </w:p>
    <w:p w:rsidR="0026452D" w:rsidRDefault="0026452D" w:rsidP="0026452D">
      <w:pPr>
        <w:pStyle w:val="TextoNormal"/>
      </w:pPr>
      <w:r>
        <w:t>El apartado 2 del art. 190 de la Ley 33/2003 no es, pues (pese a que así lo declare erróneamente la disposición final segunda de la Ley 33/2003), una norma con carácter básico (</w:t>
      </w:r>
      <w:r w:rsidRPr="0026452D">
        <w:rPr>
          <w:i/>
        </w:rPr>
        <w:t>ex</w:t>
      </w:r>
      <w:r>
        <w:t xml:space="preserve"> art. 149.1.18 CE), sino que se trata de un precepto de exclusiva aplicación al patrimonio del Estado, por lo que no cabe apreciar en este punto exceso competencial alguno.</w:t>
      </w:r>
    </w:p>
    <w:p w:rsidR="0026452D" w:rsidRDefault="0026452D" w:rsidP="0026452D">
      <w:pPr>
        <w:pStyle w:val="TextoNormal"/>
      </w:pPr>
    </w:p>
    <w:p w:rsidR="0026452D" w:rsidRDefault="0026452D" w:rsidP="0026452D">
      <w:pPr>
        <w:pStyle w:val="TextoNormal"/>
      </w:pPr>
      <w:r>
        <w:t>En efecto, en relación con la mención que efectúa el art. 190.2 de la Ley 33/2003 a los órganos competentes para acordar las cesiones u operaciones patrimoniales sobre bienes y derechos del patrimonio del Estado, debemos señalar que la referencia de este precepto a la “legislación urbanística vigente” entraña un reenvío a las respectivas reglas competenciales y, por lo tanto, un expreso sometimiento al marco competencial como eje para la interpretación y aplicación del precepto, lo que permite afirmar —en idénticos términos a los ya señalados respecto del art. 139 de la Ley 33/2003— que estamos ante una norma de naturaleza puramente organizativa o de gestión interna del patrimonio estatal, que se limita a determinar los órganos estatales que son competentes para actuar como propietarios del suelo y, por lo tanto, para ejercer las facultades que la legislación urbanística autonómica —en este supuesto la de Aragón— reconozca a los propietarios en relación con las cesiones y demás operaciones patrimoniales que procedan como consecuencia de la ejecución del pla</w:t>
      </w:r>
      <w:r>
        <w:lastRenderedPageBreak/>
        <w:t>neamiento urbanístico, por lo que el precepto no implica el ejercicio de competencias sustantivas en materia de urbanismo, ni, en consecuencia, vulnera las competencias que corresponden a la Comunidad Autónoma en esta materia.</w:t>
      </w:r>
    </w:p>
    <w:p w:rsidR="0026452D" w:rsidRDefault="0026452D" w:rsidP="0026452D">
      <w:pPr>
        <w:pStyle w:val="TextoNormal"/>
      </w:pPr>
    </w:p>
    <w:p w:rsidR="0026452D" w:rsidRDefault="0026452D" w:rsidP="0026452D">
      <w:pPr>
        <w:pStyle w:val="TextoNormal"/>
      </w:pPr>
      <w:r>
        <w:t>Por otra parte, en cuanto a la sujeción que establece el art. 190.2 de la Ley 33/2003 de las cesiones y las operaciones patrimoniales sobre bienes y derechos del patrimonio del Estado al principio de justa distribución de beneficios y cargas, debemos advertir que no constituye sino una mera declaración enunciativa de la aplicación a los bienes públicos de titularidad estatal del principio general actualmente recogido en el art. 8.1 c) del texto refundido de la Ley de suelo, aprobado por Real Decreto Legislativo 2/2008, de 20 de junio, conforme al cual entre las facultades que comprende el derecho de propiedad del suelo se incluye “la de participar en la ejecución de las actuaciones de urbanización … en un régimen de equitativa distribución de beneficios y cargas entre todos los propietarios afectados en proporción a su aportación”. Este Tribunal ya ha señalado (al analizar esta función en la normativa precedente) que se trata de un mandato sustantivo que obliga a todos los poderes públicos, “siendo de notar que … atiende al elemento teleológico que inspira el art. 149.1.1 CE, al establecer las condiciones básicas que garantizan la igualdad en el ejercicio de los derechos de los diversos propietarios del suelo frente a los diversos aprovechamientos urbanísticos que el planeamiento —en cuanto técnica a la que es inherente la desigualdad— puede asignar a los terrenos incluidos en el ámbito ordenado por aquél” [STC 61/1997, FJ 14 a)]. La traslación de este principio general al régimen jurídico patrimonial de los bienes que integran el patrimonio del Estado es claro que no puede vulnerar las competencias autonómicas. En consecuencia, debemos desestimar también la impugnación dirigida frente al art. 190.2.</w:t>
      </w:r>
    </w:p>
    <w:p w:rsidR="0026452D" w:rsidRDefault="0026452D" w:rsidP="0026452D">
      <w:pPr>
        <w:pStyle w:val="TextoNormal"/>
      </w:pPr>
    </w:p>
    <w:p w:rsidR="0026452D" w:rsidRDefault="0026452D" w:rsidP="0026452D">
      <w:pPr>
        <w:pStyle w:val="TextoNormal"/>
      </w:pPr>
      <w:r w:rsidRPr="0026452D">
        <w:rPr>
          <w:rStyle w:val="NumeroAFNegritaCaracter"/>
        </w:rPr>
        <w:t>8</w:t>
      </w:r>
      <w:r>
        <w:t>. El art. 191, bajo la rúbrica “régimen urbanístico de los inmuebles desafectados”, se dicta, de conformidad con lo indicado en la disposición final segunda de la Ley 33/2003, al amparo de la competencia atribuida al Estado por el art. 149.1.18 CE. El precepto dispone lo siguiente:</w:t>
      </w:r>
    </w:p>
    <w:p w:rsidR="0026452D" w:rsidRDefault="0026452D" w:rsidP="0026452D">
      <w:pPr>
        <w:pStyle w:val="TextoNormal"/>
      </w:pPr>
    </w:p>
    <w:p w:rsidR="0026452D" w:rsidRDefault="0026452D" w:rsidP="0026452D">
      <w:pPr>
        <w:pStyle w:val="TextoNormal"/>
      </w:pPr>
      <w:r>
        <w:t>“1. Cuando los inmuebles del Patrimonio del Estado dejen de estar afectados a un uso o servicio público, se procederá a realizar una valoración de los mismos que constará del valor del suelo calculado conforme a las reglas establecidas en la Ley 6/1998, de 13 de abril, sobre Régimen del Suelo y Valoraciones, y del valor de las edificaciones existentes.</w:t>
      </w:r>
    </w:p>
    <w:p w:rsidR="0026452D" w:rsidRDefault="0026452D" w:rsidP="0026452D">
      <w:pPr>
        <w:pStyle w:val="TextoNormal"/>
      </w:pPr>
    </w:p>
    <w:p w:rsidR="0026452D" w:rsidRDefault="0026452D" w:rsidP="0026452D">
      <w:pPr>
        <w:pStyle w:val="TextoNormal"/>
      </w:pPr>
      <w:r>
        <w:t>2. El valor resultante servirá de base para convenir con otras Administraciones públicas la obtención de estos inmuebles mediante la aportación de contraprestaciones equivalentes. Entre los criterios que se utilicen para fijar estas contraprestaciones podrá tenerse en cuenta lo previsto en el apartado 2 del artículo 8 de esta ley.</w:t>
      </w:r>
    </w:p>
    <w:p w:rsidR="0026452D" w:rsidRDefault="0026452D" w:rsidP="0026452D">
      <w:pPr>
        <w:pStyle w:val="TextoNormal"/>
      </w:pPr>
    </w:p>
    <w:p w:rsidR="0026452D" w:rsidRDefault="0026452D" w:rsidP="0026452D">
      <w:pPr>
        <w:pStyle w:val="TextoNormal"/>
      </w:pPr>
      <w:r>
        <w:t>3. La Administración General del Estado o los organismos públicos titulares de los bienes comunicarán a las autoridades urbanísticas la desafectación de estos inmuebles a los efectos de que por parte de las mismas se proceda a otorgarles la nueva calificación urbanística que corresponda. Esta decisión, que deberá respetar el principio de equidistribución de beneficios y cargas establecido en el artículo 5 de la Ley 6/1998, de 13 de abril, sobre Régimen del Suelo y Valoraciones, será coherente con la política urbanística municipal, con el tamaño y situación de los inmuebles, y con cualesquiera otras circunstancias relevantes que pudieran concurrir sobre los mismos.</w:t>
      </w:r>
    </w:p>
    <w:p w:rsidR="0026452D" w:rsidRDefault="0026452D" w:rsidP="0026452D">
      <w:pPr>
        <w:pStyle w:val="TextoNormal"/>
      </w:pPr>
    </w:p>
    <w:p w:rsidR="0026452D" w:rsidRDefault="0026452D" w:rsidP="0026452D">
      <w:pPr>
        <w:pStyle w:val="TextoNormal"/>
      </w:pPr>
      <w:r>
        <w:t>4. En el supuesto de que los usos permitidos en los inmuebles desafectados determinen su utilización exclusiva por otra Administración Pública, ésta convendrá con la Administración General del Estado o el organismo público que ha desafectado el bien, los términos para su obtención, basados en las compensaciones estimadas según lo previsto en el apartado 1 de este artículo, sin perjuicio de los previsto en la sección 5ª del capítulo V del título V de esta ley.</w:t>
      </w:r>
    </w:p>
    <w:p w:rsidR="0026452D" w:rsidRDefault="0026452D" w:rsidP="0026452D">
      <w:pPr>
        <w:pStyle w:val="TextoNormal"/>
      </w:pPr>
    </w:p>
    <w:p w:rsidR="0026452D" w:rsidRDefault="0026452D" w:rsidP="0026452D">
      <w:pPr>
        <w:pStyle w:val="TextoNormal"/>
      </w:pPr>
      <w:r>
        <w:t>5. Transcurridos dos años desde que se hubiese notificado la desafectación, sin que el planeamiento urbanístico haya otorgado a los inmuebles desafectados la nueva calificación que corresponda de conformidad con lo dispuesto en el apartado 3 de este artículo, el ayuntamiento correspondiente se responsabilizará de su custodia y mantenimiento.</w:t>
      </w:r>
    </w:p>
    <w:p w:rsidR="0026452D" w:rsidRDefault="0026452D" w:rsidP="0026452D">
      <w:pPr>
        <w:pStyle w:val="TextoNormal"/>
      </w:pPr>
    </w:p>
    <w:p w:rsidR="0026452D" w:rsidRDefault="0026452D" w:rsidP="0026452D">
      <w:pPr>
        <w:pStyle w:val="TextoNormal"/>
      </w:pPr>
      <w:r>
        <w:t>6. En cualquier caso, si transcurriere el plazo establecido en la legislación urbanística aplicable para instar la expropiación por ministerio de la ley, sin que el planeamiento urbanístico hubiese otorgado una nueva calificación a los bienes desafectados, la Administración General del Estado o el organismo público advertirá a la Administración municipal de su propósito de comenzar el expediente de justiprecio, el cual se iniciará en la forma prevista en dicha legislación.”</w:t>
      </w:r>
    </w:p>
    <w:p w:rsidR="0026452D" w:rsidRDefault="0026452D" w:rsidP="0026452D">
      <w:pPr>
        <w:pStyle w:val="TextoNormal"/>
      </w:pPr>
    </w:p>
    <w:p w:rsidR="0026452D" w:rsidRDefault="0026452D" w:rsidP="0026452D">
      <w:pPr>
        <w:pStyle w:val="TextoNormal"/>
      </w:pPr>
      <w:r>
        <w:t>La representación procesal de la Comunidad Autónoma alega que el contenido del precepto no puede encontrar cobertura en el título competencial básico del art. 149.1.18 CE, habida cuenta de que el mismo se refiere únicamente a los bienes que integran el patrimonio del Estado; de acuerdo con ello, considera que nada cabe objetar a lo dispuesto en los apartados 1, 2 y 4 del precepto, que resultan amparados por las facultades que al Estado corresponden para regular su propio patrimonio, sin que de los mismos derive la vulneración de competencias autonómicas. Las objeciones sustantivas o de fondo se dirigen a lo señalado en los apartados 3, 5 y 6 del precepto, respecto de los cuales se afirma que vienen a alterar, invirtiéndola, la regla general de la legislación urbanística, conforme a la cual es la planificación urbanística la que determina y condiciona el uso de los terrenos, y no por el contrario (como establece el apartado 3), la desafectación lo que impone una nueva calificación urbanística y determina que haya de modificarse el planeamiento. Esta línea argumental se confirmaría en el apartado 5 del precepto, conforme al cual, si la Administración del Estado decide alterar el uso de un inmueble, el Ayuntamiento tendrá que cambiar la calificación urbanística, so pena de asumir su mantenimiento, lo que, a juicio de la parte recurrente, supone una intromisión en las competencias autonómicas exclusivas en materia de urbanismo y un ataque a la autonomía municipal (art. 140 CE), que altera todo el sistema de la legislación urbanística, al imponer al Ayuntamiento un cambio de calificación de los bienes como única alternativa a asumir el mantenimiento del inmueble. La inconstitucionalidad del precepto se extendería asimismo al apartado 6, respecto del cual la demanda se limita a señalar que vuelve a insistir en la idea de la “nueva calificación”, invirtiendo la regla general de la legislación urbanística, que hace depender la calificación del uso del bien, y no al revés.</w:t>
      </w:r>
    </w:p>
    <w:p w:rsidR="0026452D" w:rsidRDefault="0026452D" w:rsidP="0026452D">
      <w:pPr>
        <w:pStyle w:val="TextoNormal"/>
      </w:pPr>
    </w:p>
    <w:p w:rsidR="0026452D" w:rsidRDefault="0026452D" w:rsidP="0026452D">
      <w:pPr>
        <w:pStyle w:val="TextoNormal"/>
      </w:pPr>
      <w:r>
        <w:t xml:space="preserve">Por su parte, el Abogado del Estado afirma que el precepto goza de plena legitimidad constitucional al amparo del art. 149.1.18 CE. En el caso de los bienes demaniales del Estado, su propia naturaleza impone al planeamiento urbanístico municipal la calificación correspondiente al uso y servicio estatal de que se trate. Los terrenos desafectados no pueden </w:t>
      </w:r>
      <w:r>
        <w:lastRenderedPageBreak/>
        <w:t>dedicarse a los usos precedentes, ya que el Estado, único competente para ello, ha decidido su desafectación, y el planeamiento urbanístico impide su dedicación a cualesquiera otros mientras no los ordene de acuerdo con los nuevos usos que urbanísticamente correspondan; la Ley estatal no impone cuáles van a ser dichos usos, ya que esta decisión compete a la Administración urbanística, pero exige a esta que lo determine como haría con cualquier otro bien perteneciente a cualquier propietario, por lo que esta norma está anudada a la competencia estatal para definir la “función pública” del urbanismo.</w:t>
      </w:r>
    </w:p>
    <w:p w:rsidR="0026452D" w:rsidRDefault="0026452D" w:rsidP="0026452D">
      <w:pPr>
        <w:pStyle w:val="TextoNormal"/>
      </w:pPr>
    </w:p>
    <w:p w:rsidR="0026452D" w:rsidRDefault="0026452D" w:rsidP="0026452D">
      <w:pPr>
        <w:pStyle w:val="TextoNormal"/>
      </w:pPr>
      <w:r>
        <w:t>Pues bien, en lo que respecta, en primer término, a la determinación del título competencial aplicable, debe tenerse presente que el precepto que se analiza no contiene únicamente normas internas relativas a la gestión del patrimonio del Estado, sino también, y principalmente, normas configuradoras de las relaciones interadministrativas en materia patrimonial —como son las relativas a los convenios urbanísticos entre Administraciones públicas—, y como ya declaró este Tribunal, la habilitación del Estado para dictar normas que regulen las relaciones interadministrativas se encuentra en el art. 149.1.18 CE, “pues de acuerdo con el mencionado artículo a él corresponde la competencia exclusiva para establecer las bases del régimen jurídico de las Administraciones Públicas, y dentro de dicha competencia ha de entenderse comprendida la regulación de las relaciones entre las distintas Administraciones” (STC 76/1983, de 5 de agosto, FJ 18), por lo que debe rechazarse la alegación autonómica en este punto.</w:t>
      </w:r>
    </w:p>
    <w:p w:rsidR="0026452D" w:rsidRDefault="0026452D" w:rsidP="0026452D">
      <w:pPr>
        <w:pStyle w:val="TextoNormal"/>
      </w:pPr>
    </w:p>
    <w:p w:rsidR="0026452D" w:rsidRDefault="0026452D" w:rsidP="0026452D">
      <w:pPr>
        <w:pStyle w:val="TextoNormal"/>
      </w:pPr>
      <w:r>
        <w:t>En segundo término, y en relación con lo dispuesto en el apartado 3 del art. 191 de la Ley 33/2003, debe recordarse que la calificación urbanística que el planeamiento otorgue a los bienes estatales está ligada al ejercicio de las competencias del Estado en relación con los diversos sectores materiales atribuidos al mismo (puertos, aeropuertos, defensa, obras públicas, etc.). El destino al que están afectados los bienes del Estado, necesarios para la implantación de las obras y servicios de su competencia, se impone al planeamiento, de modo que éste deberá adaptar la calificación urbanística al uso que corresponde a dicha obra o servicio, exigencia que, como hemos afirmado “tiene su apoyo en una competencia exclusiva del Estado” y que “por otra parte, no supone ablación de las competencias sobre urbanismo y ordenación del territorio” (STC 204/2002, de 31 de octubre, FJ 9).</w:t>
      </w:r>
    </w:p>
    <w:p w:rsidR="0026452D" w:rsidRDefault="0026452D" w:rsidP="0026452D">
      <w:pPr>
        <w:pStyle w:val="TextoNormal"/>
      </w:pPr>
    </w:p>
    <w:p w:rsidR="0026452D" w:rsidRDefault="0026452D" w:rsidP="0026452D">
      <w:pPr>
        <w:pStyle w:val="TextoNormal"/>
      </w:pPr>
      <w:r>
        <w:t>Cuando dichos bienes dejan de ser necesarios para el cumplimiento de los fines a que estaban afectados desaparece la razón que justificaba su calificación urbanística, por lo que, ejercitada por el Estado la competencia que le corresponde para la desafectación de sus bienes (arts. 69 y 70 de la Ley 33/2003), estos deberán ser objeto de una nueva calificación urbanística, que corresponderá a las autoridades competentes en materia de urbanismo, pues “una cosa es la competencia que el Estado tiene para decidir que ciertos bienes ya no son necesarios para un determinado uso público y otra muy distinta la calificación urbanística que el planificador considere que deban recibir esos terrenos ya desafectados, pudiendo establecer, legítimamente, por esta vía, su destino a un uso [público] que se estime conveniente o necesario por razones urbanísticas. Con independencia de que los terrenos hayan sido desafectados desde una perspectiva sectorial, su destino a un uso [público] a través de la calificación del suelo es consecuencia del ejercicio de una competencia urbanística que vincula tanto a los particulares como a los poderes públicos” (STC 148/2012, FJ 15).</w:t>
      </w:r>
    </w:p>
    <w:p w:rsidR="0026452D" w:rsidRDefault="0026452D" w:rsidP="0026452D">
      <w:pPr>
        <w:pStyle w:val="TextoNormal"/>
      </w:pPr>
    </w:p>
    <w:p w:rsidR="0026452D" w:rsidRDefault="0026452D" w:rsidP="0026452D">
      <w:pPr>
        <w:pStyle w:val="TextoNormal"/>
      </w:pPr>
      <w:r>
        <w:t xml:space="preserve">Es, pues, el planeamiento urbanístico el que determina para cada porción del territorio los concretos usos que eventualmente le corresponden, y es precisamente al planeamiento </w:t>
      </w:r>
      <w:r>
        <w:lastRenderedPageBreak/>
        <w:t>al que se remite el precepto que se examina, pues la previsión contenida en el apartado 3 del art. 191 se limita a determinar que, producida la desafectación de los bienes, la Administración del Estado lo comunicará a la autoridad urbanística competente, con la finalidad de que por ésta se proceda a otorgar a esos bienes la calificación urbanística que corresponda; es decir, el precepto se limita a efectuar una remisión expresa a la potestad que corresponde al planificador urbanístico para efectuar la nueva calificación de los terrenos sobre los que se ubican los edificios o instalaciones desafectados, sin establecer en ningún caso limitación o condicionamiento alguno al ejercicio de la mencionada facultad, ni obligar a su ejercicio en un determinado sentido.</w:t>
      </w:r>
    </w:p>
    <w:p w:rsidR="0026452D" w:rsidRDefault="0026452D" w:rsidP="0026452D">
      <w:pPr>
        <w:pStyle w:val="TextoNormal"/>
      </w:pPr>
    </w:p>
    <w:p w:rsidR="0026452D" w:rsidRDefault="0026452D" w:rsidP="0026452D">
      <w:pPr>
        <w:pStyle w:val="TextoNormal"/>
      </w:pPr>
      <w:r>
        <w:t xml:space="preserve">Ha de rechazarse, pues, la impugnación dirigida contra el apartado 3 del art. 191, en cuanto que la apelación a la calificación del uso del suelo por la Administración competente ni prefigura cuál haya de ser dicho uso, ni tampoco impone la forma en que haya de llevarse a cabo. No existe, en definitiva, una intromisión en la actuación del planificador urbanístico ni, en consecuencia, una vulneración de las competencias autonómicas (ni tampoco de la autonomía municipal), siendo el único contenido imperativo del precepto el de deferir a la Administración competente el ejercicio de una función planificadora, con las únicas determinaciones de coherencia con la política urbanística municipal, el tamaño y situación de los inmuebles y cualesquiera otras circunstancias relevantes que pudieran concurrir sobre los mismos, todas ellas de apreciación discrecional por el órgano competente para el planeamiento. En suma, el apartado 3 del art. 191 se limita a recoger un </w:t>
      </w:r>
      <w:r w:rsidRPr="0026452D">
        <w:rPr>
          <w:i/>
        </w:rPr>
        <w:t>desideratum</w:t>
      </w:r>
      <w:r>
        <w:t xml:space="preserve"> o, lo que es lo mismo, a enunciar un genérico principio de coherencia, del que no derivan obligaciones, condicionamientos o requisitos para el planificador urbanístico, por lo que no puede afectar a las competencias autonómicas.</w:t>
      </w:r>
    </w:p>
    <w:p w:rsidR="0026452D" w:rsidRDefault="0026452D" w:rsidP="0026452D">
      <w:pPr>
        <w:pStyle w:val="TextoNormal"/>
      </w:pPr>
    </w:p>
    <w:p w:rsidR="0026452D" w:rsidRDefault="0026452D" w:rsidP="0026452D">
      <w:pPr>
        <w:pStyle w:val="TextoNormal"/>
      </w:pPr>
      <w:r>
        <w:t>El apartado 5 del art. 191 de la Ley 33/2003 determina que, transcurridos dos años desde la comunicación de la desafectación sin que se haya otorgado al bien la calificación que corresponde, el Ayuntamiento correspondiente habrá de responsabilizarse de su custodia y conservación. El texto refundido de la Ley de suelo, aprobado por Real Decreto Legislativo 2/2008, de 20 de junio, al regular el estatuto básico de la propiedad urbana determina en su art. 9.1 que “el derecho de propiedad de los terrenos, las instalaciones, construcciones y edificaciones, comprende, cualquiera que sea la situación en que se encuentren, los deberes de … conservarlos en las condiciones legales para servir de soporte a dicho uso y, en todo caso, en la de seguridad, accesibilidad y ornato legalmente exigibles, así como realizar los trabajos de mejora y rehabilitación hasta donde alcance el deber legal de conservación” y de conformidad con lo dispuesto en la disposición final primera, apartado 1, del citado texto legal, el mencionado precepto se incluye entre los que tienen el carácter de “condiciones básicas de igualdad en el ejercicio de los derechos y el cumplimiento de los correspondientes deberes constitucionales y, en su caso, de bases del régimen de las Administraciones Públicas”.</w:t>
      </w:r>
    </w:p>
    <w:p w:rsidR="0026452D" w:rsidRDefault="0026452D" w:rsidP="0026452D">
      <w:pPr>
        <w:pStyle w:val="TextoNormal"/>
      </w:pPr>
    </w:p>
    <w:p w:rsidR="0026452D" w:rsidRDefault="0026452D" w:rsidP="0026452D">
      <w:pPr>
        <w:pStyle w:val="TextoNormal"/>
      </w:pPr>
      <w:r>
        <w:t>A la vista de lo señalado, el traslado al Ayuntamiento del deber de conservación de las edificaciones o instalaciones de titularidad estatal ya desafectadas supone el establecimiento de una excepción a la regulación común del estatuto de la propiedad urbana, que atribuye al propietario el deber de conservación, excepción que, de acuerdo con la delimitación de competencias que acaba de exponerse, corresponde establecer en exclusiva al Estado en virtud de lo dispuesto en el art. 149.1.18 CE.</w:t>
      </w:r>
    </w:p>
    <w:p w:rsidR="0026452D" w:rsidRDefault="0026452D" w:rsidP="0026452D">
      <w:pPr>
        <w:pStyle w:val="TextoNormal"/>
      </w:pPr>
    </w:p>
    <w:p w:rsidR="0026452D" w:rsidRDefault="0026452D" w:rsidP="0026452D">
      <w:pPr>
        <w:pStyle w:val="TextoNormal"/>
      </w:pPr>
      <w:r>
        <w:lastRenderedPageBreak/>
        <w:t xml:space="preserve">En el supuesto que se examina, dicha excepción, que se establece con carácter básico por la disposición final segunda, apartado 5, de la Ley 33/2003 al amparo de lo dispuesto en el art. 149.1.18 CE, encuentra su justificación en el incumplimiento de una función, la de calificación del uso del suelo, que además de ser una facultad del planificador urbanístico, se configura como un deber en sentido propio, pues, dado que la desafectación de los bienes demaniales del Estado determina que dejen de estar dedicados a los usos precedentes, y el planeamiento urbanístico impide su dedicación a cualesquiera otros mientras no los ordene de acuerdo con los nuevos usos que urbanísticamente correspondan, resulta obligado para la Administración urbanística el ejercicio de las competencias que le son propias, teniendo presente que “delimitar los diversos usos a que puede destinarse el suelo o espacio físico constituye uno de los aspectos básicos del urbanismo” (STC 61/1997, FJ 16). En este sentido, pues, el precepto viene a determinar los efectos derivados del incumplimiento del mencionado deber de calificación y asignación de uso a los bienes demaniales desafectados, en ejercicio de la competencia que el Estado ostenta </w:t>
      </w:r>
      <w:r w:rsidRPr="0026452D">
        <w:rPr>
          <w:i/>
        </w:rPr>
        <w:t>ex</w:t>
      </w:r>
      <w:r>
        <w:t xml:space="preserve"> art. 149.1.18 CE, tanto en lo relativo a las bases del régimen jurídico de las Administraciones públicas, como en lo que respecta a la legislación básica en materia de “sistema de responsabilidad de todas las Administraciones públicas”, mediante la determinación de las consecuencias jurídicas derivadas de la inactividad municipal, sin que de ello se derive, en consecuencia, vulneración alguna de las competencias autonómicas en materia urbanística.</w:t>
      </w:r>
    </w:p>
    <w:p w:rsidR="0026452D" w:rsidRDefault="0026452D" w:rsidP="0026452D">
      <w:pPr>
        <w:pStyle w:val="TextoNormal"/>
      </w:pPr>
    </w:p>
    <w:p w:rsidR="0026452D" w:rsidRDefault="0026452D" w:rsidP="0026452D">
      <w:pPr>
        <w:pStyle w:val="TextoNormal"/>
      </w:pPr>
      <w:r>
        <w:t>Y tampoco la regla contenida del apartado 5 del art. 191 de la Ley 33/2003 resulta contraria a la autonomía municipal (arts. 137 y 140 CE), que se configura como una garantía institucional con un contenido mínimo que el legislador debe respetar y que hace referencia a la distribución territorial del poder del Estado en el sentido amplio del término, y debe ser entendida como un derecho de la comunidad local a participar, a través de órganos propios, en el gobierno y administración de cuantos asuntos le atañen, constituyendo en todo caso un poder limitado que no puede oponerse al principio de unidad estatal (SSTC 4/1981, de 2 de febrero, FJ 3, y 32/1981, de 28 de julio, FJ 3; doctrina posteriormente reiterada, entre otras, por las SSTC 27/1987, de 27 de febrero, FJ 2; 170/1989, de 19 de octubre, FJ 9 y 109/1998, de 21 de mayo, FJ 2). Ciertamente, entre los asuntos de interés de los municipios se halla el urbanismo (SSTC 40/1998, de 19 de febrero, FJ 39; 159/2001, de 12 de julio, FJ 4; y 240/2006, FJ 10). Pero la norma contenida en el apartado 5 del art. 191 de la Ley 33/2003 no excluye la intervención de los municipios en el supuesto contemplado de desafectación de inmuebles del patrimonio del Estado, sino que, por el contrario, prevé la intervención municipal en la nueva calificación del inmueble, conforme al planeamiento urbanístico. Se garantiza, por tanto, la intervención del ente local, tal y como exige la garantía institucional de la autonomía municipal, por lo que no puede apreciarse un menoscabo ilegítimo de la misma.</w:t>
      </w:r>
    </w:p>
    <w:p w:rsidR="0026452D" w:rsidRDefault="0026452D" w:rsidP="0026452D">
      <w:pPr>
        <w:pStyle w:val="TextoNormal"/>
      </w:pPr>
    </w:p>
    <w:p w:rsidR="0026452D" w:rsidRDefault="0026452D" w:rsidP="0026452D">
      <w:pPr>
        <w:pStyle w:val="TextoNormal"/>
      </w:pPr>
      <w:r>
        <w:t>En consecuencia, procede desestimar la impugnación dirigida contra el apartado 5 del art. 191.</w:t>
      </w:r>
    </w:p>
    <w:p w:rsidR="0026452D" w:rsidRDefault="0026452D" w:rsidP="0026452D">
      <w:pPr>
        <w:pStyle w:val="TextoNormal"/>
      </w:pPr>
    </w:p>
    <w:p w:rsidR="0026452D" w:rsidRDefault="0026452D" w:rsidP="0026452D">
      <w:pPr>
        <w:pStyle w:val="TextoNormal"/>
      </w:pPr>
      <w:r>
        <w:t xml:space="preserve">El apartado 6 del art. 191 de la Ley 33/2003 es objeto de impugnación por mera conexión con lo dispuesto en el apartado 3 del mismo precepto, limitándose a considerar el recurrente que el apartado 6 del art. 191 viene a incurrir en las mismas tachas de inconstitucionalidad que fundamentan la impugnación dirigida contra el apartado 3 del mismo artículo, sin añadir ningún otro razonamiento adicional a lo ya expuesto en relación con este último precepto. </w:t>
      </w:r>
      <w:r>
        <w:lastRenderedPageBreak/>
        <w:t>En consecuencia, procede rechazar la impugnación dirigida contra el apartado 6 del art. 191 por remisión a lo ya razonado para desestimar la impugnación del apartado 3 del art. 191.</w:t>
      </w:r>
    </w:p>
    <w:p w:rsidR="0026452D" w:rsidRDefault="0026452D" w:rsidP="0026452D">
      <w:pPr>
        <w:pStyle w:val="TextoNormal"/>
      </w:pPr>
    </w:p>
    <w:p w:rsidR="0026452D" w:rsidRDefault="0026452D" w:rsidP="0026452D">
      <w:pPr>
        <w:pStyle w:val="TextoNormal"/>
      </w:pPr>
      <w:r w:rsidRPr="0026452D">
        <w:rPr>
          <w:rStyle w:val="NumeroAFNegritaCaracter"/>
        </w:rPr>
        <w:t>9</w:t>
      </w:r>
      <w:r>
        <w:t>. La disposición adicional decimonovena de la Ley 33/2003 se refiere a la gestión del patrimonio estatal de vivienda, estableciendo lo siguiente:</w:t>
      </w:r>
    </w:p>
    <w:p w:rsidR="0026452D" w:rsidRDefault="0026452D" w:rsidP="0026452D">
      <w:pPr>
        <w:pStyle w:val="TextoNormal"/>
      </w:pPr>
    </w:p>
    <w:p w:rsidR="0026452D" w:rsidRDefault="0026452D" w:rsidP="0026452D">
      <w:pPr>
        <w:pStyle w:val="TextoNormal"/>
      </w:pPr>
      <w:r>
        <w:t>“Las viviendas y, en general, los bienes inmuebles de titularidad estatal que hubieran formado parte del patrimonio del extinguido Instituto para la Promoción Pública de la Vivienda y de la Comisión Liquidadora de Regiones Devastadas, así como las que en cumplimiento de los programas anuales de promoción pública de viviendas sean construidas por el Estado, continuarán rigiéndose por sus normas específicas y, supletoriamente, por esta Ley. En particular, corresponderán a la Dirección General de la Vivienda la Arquitectura y el Urbanismo, con sujeción a las citadas normas, las facultades de gestión y disposición de dichos bienes, incluyendo las de enajenar, arrendar, establecer y cancelar hipotecas y otras cargas sobre los mismos y, en general, todas aquellas que correspondieran al extinguido Instituto para la Promoción de la Vivienda, a excepción de la percepción de ingresos, que se regirá por las mismas normas que son de aplicación a los restantes ingresos del Estado.”</w:t>
      </w:r>
    </w:p>
    <w:p w:rsidR="0026452D" w:rsidRDefault="0026452D" w:rsidP="0026452D">
      <w:pPr>
        <w:pStyle w:val="TextoNormal"/>
      </w:pPr>
    </w:p>
    <w:p w:rsidR="0026452D" w:rsidRDefault="0026452D" w:rsidP="0026452D">
      <w:pPr>
        <w:pStyle w:val="TextoNormal"/>
      </w:pPr>
      <w:r>
        <w:t>A juicio de la Comunidad Autónoma de Aragón, este precepto desconoce la competencia autonómica exclusiva en materia de política de vivienda y es inconstitucional en cuanto atribuye a la Administración del Estado facultades de gestión en esta materia, en concreto las relativas a la construcción actual de viviendas en ejecución de programas anuales de promoción pública de viviendas, para lo que carece de competencias.</w:t>
      </w:r>
    </w:p>
    <w:p w:rsidR="0026452D" w:rsidRDefault="0026452D" w:rsidP="0026452D">
      <w:pPr>
        <w:pStyle w:val="TextoNormal"/>
      </w:pPr>
    </w:p>
    <w:p w:rsidR="0026452D" w:rsidRDefault="0026452D" w:rsidP="0026452D">
      <w:pPr>
        <w:pStyle w:val="TextoNormal"/>
      </w:pPr>
      <w:r>
        <w:t>Pues bien, en lo que respecta a la competencia del Estado en materia de vivienda, podemos recordar, como señalamos en la STC 152/1988, de 20 de julio (doctrina posteriormente reiterada en las SSTC 59/1995, de 17 de marzo, y 74/2011, de 19 de mayo), la conexión del sector de la vivienda y la actividad promocional de las viviendas con la política económica general (art. 149.1.13 CE) “en razón de la incidencia que el impulso de la construcción tiene como factor económico y en especial como instrumento generador de empleo” (STC 152/1988, FJ 2), encontrándose, por tanto, justificada la regulación estatal de los correspondientes instrumentos de financiación cuando se trate con ello de “asegurar el mantenimiento de unas inversiones fundamentales desde el punto de vista de la política económica general que, en otro caso, se revelaría difícilmente viable” (STC 152/1988, FJ 4).</w:t>
      </w:r>
    </w:p>
    <w:p w:rsidR="0026452D" w:rsidRDefault="0026452D" w:rsidP="0026452D">
      <w:pPr>
        <w:pStyle w:val="TextoNormal"/>
      </w:pPr>
    </w:p>
    <w:p w:rsidR="0026452D" w:rsidRDefault="0026452D" w:rsidP="0026452D">
      <w:pPr>
        <w:pStyle w:val="TextoNormal"/>
      </w:pPr>
      <w:r>
        <w:t xml:space="preserve">En el supuesto que se examina no se pretende, sin embargo, canalizar determinados fondos estatales para la promoción de viviendas de protección pública, ni regular de forma directa o indirecta tal promoción, sino establecer determinadas prescripciones de índole estrictamente organizativa y de gestión aplicables al patrimonio estatal de vivienda. Nuevamente cabe afirmar que nos encontramos ante una norma que afecta con carácter exclusivo al Patrimonio del Estado (el precepto no aparece incluido en la disposición final segunda), que tiene una naturaleza organizativa interna, y en la que, además de establecer el derecho transitorio aplicable, se articula el reparto de facultades que corresponden, en el ámbito organizativo estatal, a las distintas entidades mencionadas en el precepto, para la gestión del patrimonio inmobiliario de titularidad de la Administración del Estado, por lo que la disposición impugnada carece de virtualidad para vulnerar las competencias autonómicas, pues </w:t>
      </w:r>
      <w:r>
        <w:lastRenderedPageBreak/>
        <w:t>de la misma no deriva atribución o habilitación alguna a los órganos estatales para el ejercicio de facultades o competencias en el sector de la vivienda que corresponden a las Comunidades Autónomas.</w:t>
      </w:r>
    </w:p>
    <w:p w:rsidR="0026452D" w:rsidRDefault="0026452D" w:rsidP="0026452D">
      <w:pPr>
        <w:pStyle w:val="TextoNormal"/>
      </w:pPr>
    </w:p>
    <w:p w:rsidR="0026452D" w:rsidRDefault="0026452D" w:rsidP="0026452D">
      <w:pPr>
        <w:pStyle w:val="TextoNormal"/>
      </w:pPr>
      <w:r>
        <w:t>Resulta trasladable al presente supuesto el pronunciamiento contenido en la STC 166/1987, de 28 de octubre, FJ 3, que reconoció la competencia del Estado para regular la organización y el funcionamiento de unos servicios estatales, en concreto los del Instituto para la Promoción Pública de la Vivienda (IPPV), al entender que dicha regulación carecía de virtualidad para producir por sí misma invasión de competencias en materia de vivienda, afirmando al efecto que “el [Real Decreto] objeto del conflicto se limita a regular la organización y funcionamiento de unos servicios estatales y carece de virtualidad para producir por sí mismo invasión de competencia o despojo alguno, pues se trata de una norma con eficacia interna al aparato estatal. Sólo actuaciones concretas del IPPV dictadas en aplicación de esa normativa podrían, en su caso, ser constitutivas de una lesión competencial real y efectiva, pero esta eventualidad no ha sido denunciada como objeto del presente conflicto”.</w:t>
      </w:r>
    </w:p>
    <w:p w:rsidR="0026452D" w:rsidRDefault="0026452D" w:rsidP="0026452D">
      <w:pPr>
        <w:pStyle w:val="TextoNormal"/>
      </w:pPr>
    </w:p>
    <w:p w:rsidR="0026452D" w:rsidRDefault="0026452D" w:rsidP="0026452D">
      <w:pPr>
        <w:pStyle w:val="TextoNormal"/>
      </w:pPr>
      <w:r>
        <w:t>En similares términos, cabe afirmar que la disposición adicional decimonovena de la Ley 33/2003 se limita a regular el funcionamiento interno de los servicios estatales competentes para ejercer las facultades de gestión y disposición sobre los bienes inmuebles de titularidad estatal a los que el precepto se refiere, sin que del mismo pueda derivarse habilitación específica para la intervención del Estado en el sector de la vivienda de competencia autonómica, por lo que las competencias de las Comunidades Autónomas para llevar a cabo sus políticas propias en materia de vivienda no resultan afectadas. En consecuencia, debemos rechazar la impugnación dirigida frente a la disposición adicional decimonovena.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veintitrés de abril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Luis Ignacio Ortega Álvarez al que se adhieren el Presidente don Pascual Sala Sánchez y la Magistrada doña Adela Asua Batarrita respecto de la Sentencia dictada en el recurso de inconstitucionalidad núm. 596-2004.</w:t>
      </w:r>
    </w:p>
    <w:p w:rsidR="0026452D" w:rsidRDefault="0026452D" w:rsidP="0026452D">
      <w:pPr>
        <w:pStyle w:val="TextoNormalNegritaCentrado"/>
        <w:keepNext/>
      </w:pPr>
    </w:p>
    <w:p w:rsidR="0026452D" w:rsidRDefault="0026452D" w:rsidP="0026452D">
      <w:pPr>
        <w:pStyle w:val="TextoNormal"/>
      </w:pPr>
      <w:r>
        <w:t>1. En el ejercicio de la facultad que me confiere el art. 90.2 de la Ley Orgánica del Tribunal Constitucional y con el máximo respeto a la opinión de la mayoría del Tribunal reco</w:t>
      </w:r>
      <w:r>
        <w:lastRenderedPageBreak/>
        <w:t>gida en la Sentencia, formulo el presente Voto particular, al discrepar en parte de la fundamentación jurídica y el fallo de la Sentencia que ha resuelto el recurso de inconstitucionalidad interpuesto por el Gobierno de Aragón en relación con los arts. 139, 189, 190 y 191 y la disposición adicional decimonovena de la Ley 33/2003, de 3 de noviembre, del patrimonio de las Administraciones públicas, conforme a los argumentos que defendí en la deliberación del Pleno y que expongo a continuación.</w:t>
      </w:r>
    </w:p>
    <w:p w:rsidR="0026452D" w:rsidRDefault="0026452D" w:rsidP="0026452D">
      <w:pPr>
        <w:pStyle w:val="TextoNormal"/>
      </w:pPr>
    </w:p>
    <w:p w:rsidR="0026452D" w:rsidRDefault="0026452D" w:rsidP="0026452D">
      <w:pPr>
        <w:pStyle w:val="TextoNormal"/>
      </w:pPr>
      <w:r>
        <w:t>Mi discrepancia se centra en dos aspectos. El primero es el relativo al apartado 3 del art. 189 de la Ley 33/2003, que señala que corresponde al Secretario del Ayuntamiento efectuar las notificaciones a las que se refiere el precepto, cuyo enjuiciamiento se lleva a cabo en el fundamento jurídico 6. El segundo es respecto al examen del art. 191, apartados 5 y 6, en el fundamento jurídico 8 de la Sentencia, pues entiendo que el precepto no solamente carece de la cobertura competencial que se le atribuye sino que, como alegaba el Gobierno de Aragón, es contrario tanto a las competencias autonómicas en materia de urbanismo como al propio principio constitucional de autonomía local.</w:t>
      </w:r>
    </w:p>
    <w:p w:rsidR="0026452D" w:rsidRDefault="0026452D" w:rsidP="0026452D">
      <w:pPr>
        <w:pStyle w:val="TextoNormal"/>
      </w:pPr>
    </w:p>
    <w:p w:rsidR="0026452D" w:rsidRDefault="0026452D" w:rsidP="0026452D">
      <w:pPr>
        <w:pStyle w:val="TextoNormal"/>
      </w:pPr>
      <w:r>
        <w:t>2. Comenzando por el primero de ellos, la Sentencia defiende que el art. 189.3 plasma una regla general aplicable en materia de procedimiento administrativo de las entidades locales, regla que se considera norma estatal básica en materia de régimen local, dictada de conformidad con el título competencial sobre las bases del régimen jurídico de las Administraciones públicas del art. 149.1.18 CE.</w:t>
      </w:r>
    </w:p>
    <w:p w:rsidR="0026452D" w:rsidRDefault="0026452D" w:rsidP="0026452D">
      <w:pPr>
        <w:pStyle w:val="TextoNormal"/>
      </w:pPr>
    </w:p>
    <w:p w:rsidR="0026452D" w:rsidRDefault="0026452D" w:rsidP="0026452D">
      <w:pPr>
        <w:pStyle w:val="TextoNormal"/>
      </w:pPr>
      <w:r>
        <w:t xml:space="preserve">En todo caso, establecido ya en los párrafos anteriores del fundamento jurídico 6 la constitucionalidad de la obligación de notificar a los órganos estatales y los efectos que dicha notificación produce para formular alegaciones y plantear recursos, no se alcanzan a comprender las razones por las que una previsión como ésta, meramente organizativa, ha de ser considerada básica </w:t>
      </w:r>
      <w:r w:rsidRPr="0026452D">
        <w:rPr>
          <w:i/>
        </w:rPr>
        <w:t>ex</w:t>
      </w:r>
      <w:r>
        <w:t xml:space="preserve"> art. 149.1.18 CE, pues pese que, como señala nuestra doctrina, el Estado “puede establecer, desde la competencia sobre bases del régimen jurídico de las Administraciones públicas del art. 149.1.18 CE, principios y reglas básicas sobre aspectos organizativos y de funcionamiento de todas las Administraciones públicas” (STC 251/2006, FJ 9), lo cierto es que el establecimiento de esta regulación para un caso concreto excede, por su carácter meramente instrumental, de tal carácter. En ese sentido el supuesto examinado guarda evidentes similitudes con el examinado en la STC 61/1997, FJ 26 a). Allí se afirmó que “La redacción dada al art. 135.2 TRLS merece el reproche de inconstitucionalidad, si se tiene en cuenta que no se ha limitado a establecer el deber de notificar la revisión o reforma del planeamiento al objeto de permitir, en su caso, el ejercicio de las competencias estatales que puedan verse afectadas, sino que, a través de ello, ha fijado reglas de procedimiento para las que carece de título competencial específico. En efecto, el art. 135.2 TRLS impone a la Administración competente que le notifique a la del Estado la ‘iniciación del procedimiento’, ‘en el plazo de un mes desde la adopción del correspondiente acuerdo por el Ayuntamiento’, extremos éstos que, además de no ser necesarios en todo caso para garantizar la efectividad del deber de notificar y la eventual comparecencia de la Administración del Estado, no quedan a cubierto de título competencial alguno. Ha de concluirse, pues, por las razones antedichas, la inconstitucionalidad del art. 135.2 TRLS”.</w:t>
      </w:r>
    </w:p>
    <w:p w:rsidR="0026452D" w:rsidRDefault="0026452D" w:rsidP="0026452D">
      <w:pPr>
        <w:pStyle w:val="TextoNormal"/>
      </w:pPr>
    </w:p>
    <w:p w:rsidR="0026452D" w:rsidRDefault="0026452D" w:rsidP="0026452D">
      <w:pPr>
        <w:pStyle w:val="TextoNormal"/>
      </w:pPr>
      <w:r>
        <w:t xml:space="preserve">En el presente caso la conclusión hubiera debido ser similar, pues el Estado no se ha limitado a establecer el deber de notificar la revisión o reforma del planeamiento al objeto </w:t>
      </w:r>
      <w:r>
        <w:lastRenderedPageBreak/>
        <w:t>de permitir, en su caso, el ejercicio de las competencias estatales que puedan verse afectadas, sino que, a través de ello, ha fijado reglas de organización relativas a la forma de proceder a la notificación para las que carece de título competencial específico.</w:t>
      </w:r>
    </w:p>
    <w:p w:rsidR="0026452D" w:rsidRDefault="0026452D" w:rsidP="0026452D">
      <w:pPr>
        <w:pStyle w:val="TextoNormal"/>
      </w:pPr>
    </w:p>
    <w:p w:rsidR="0026452D" w:rsidRDefault="0026452D" w:rsidP="0026452D">
      <w:pPr>
        <w:pStyle w:val="TextoNormal"/>
      </w:pPr>
      <w:r>
        <w:t>No creo admisible argumentar que “esta previsión no viene a ser sino mera plasmación de lo que constituye una regla general aplicable en materia de procedimiento administrativo de las Entidades Locales, de conformidad con lo dispuesto en el art. 192.2 del Reglamento de organización, funcionamiento y régimen jurídico de las Corporaciones Locales, aprobado por Real Decreto 2568/1986, de 28 de noviembre (dictado al amparo de la habilitación reglamentaria al Gobierno contenida en la disposición final primera de la Ley 7/1985, de 2 de abril, reguladora de las Bases del Régimen Local, cuya constitucionalidad declaramos en la STC 214/1989, de 21 de diciembre, FJ 30)”, pues, de conformidad con la doctrina de la STC 214/1989, FJ 30, dicho Reglamento no puede ser calificado como básico. Así, en dicha Sentencia, en relación a la habilitación al Gobierno para que, en uso de su potestad reglamentaria, actualizase determinadas normas reglamentarias (entre ellas el antecedente del reglamento que se cita) las calificó expresamente como no básicas concluyendo que “con ello el Estado atiende a una exigencia fundamental, que no es otra que la de prevenir un marco normativo general que venga a cubrir no sólo las consecuencias resultantes de los diferentes niveles competenciales existentes en la materia entre unas y otras comunidades, sino también la simple inactividad normativa que transitoriamente, o no, pueda producirse en aquellas Comunidades Autónomas con competencia para desarrollar las normas básicas estatales. Serán pues, las normas autonómicas que, ajustándose a las bases estatales, vayan dictándose, las que, en todo caso, desplazarán en su aplicabilidad directa o eficacia territorial a esas otras normas estatales no básicas dictadas al amparo de la Disposición final primera de la L.R.B.R.L.”</w:t>
      </w:r>
    </w:p>
    <w:p w:rsidR="0026452D" w:rsidRDefault="0026452D" w:rsidP="0026452D">
      <w:pPr>
        <w:pStyle w:val="TextoNormal"/>
      </w:pPr>
    </w:p>
    <w:p w:rsidR="0026452D" w:rsidRDefault="0026452D" w:rsidP="0026452D">
      <w:pPr>
        <w:pStyle w:val="TextoNormal"/>
      </w:pPr>
      <w:r>
        <w:t>Cuestiono asimismo que se afirme, implícitamente, que la norma es innecesaria o redundante de lo dispuesto en los arts. 56.1 y 64 de la Ley reguladora de las bases del régimen local (LBRL), puesto que lo aquí discutido es distinto: ¿qué título competencial tiene el Estado para reiterar dicha obligación en relación específicamente con los bienes patrimoniales de las Administraciones públicas? Dado que, como ya se ha avanzado, la respuesta a esa pregunta no es convincente, nada aporta la cita a la LBRL, salvo, quizás, para poner de manifiesto lo superfluo de la previsión estatal.</w:t>
      </w:r>
    </w:p>
    <w:p w:rsidR="0026452D" w:rsidRDefault="0026452D" w:rsidP="0026452D">
      <w:pPr>
        <w:pStyle w:val="TextoNormal"/>
      </w:pPr>
    </w:p>
    <w:p w:rsidR="0026452D" w:rsidRDefault="0026452D" w:rsidP="0026452D">
      <w:pPr>
        <w:pStyle w:val="TextoNormal"/>
      </w:pPr>
      <w:r>
        <w:t>3. El segundo aspecto en el que discrepo de la Sentencia de la mayoría se refiere a los arts. 191.5 y 6.</w:t>
      </w:r>
    </w:p>
    <w:p w:rsidR="0026452D" w:rsidRDefault="0026452D" w:rsidP="0026452D">
      <w:pPr>
        <w:pStyle w:val="TextoNormal"/>
      </w:pPr>
    </w:p>
    <w:p w:rsidR="0026452D" w:rsidRDefault="0026452D" w:rsidP="0026452D">
      <w:pPr>
        <w:pStyle w:val="TextoNormal"/>
      </w:pPr>
      <w:r>
        <w:t>El art. 191.5 dispone, en relación a la desafectación de bienes de dominio público, que “[t]ranscurridos dos años desde que se hubiese notificado la desafectación, sin que el planeamiento urbanístico haya otorgado a los inmuebles desafectados la nueva calificación que corresponda de conformidad con lo dispuesto en el apartado 3 de este artículo, el ayuntamiento correspondiente se responsabilizará de su custodia y mantenimiento.”</w:t>
      </w:r>
    </w:p>
    <w:p w:rsidR="0026452D" w:rsidRDefault="0026452D" w:rsidP="0026452D">
      <w:pPr>
        <w:pStyle w:val="TextoNormal"/>
      </w:pPr>
    </w:p>
    <w:p w:rsidR="0026452D" w:rsidRDefault="0026452D" w:rsidP="0026452D">
      <w:pPr>
        <w:pStyle w:val="TextoNormal"/>
      </w:pPr>
      <w:r>
        <w:t xml:space="preserve">En mi criterio el precepto plantea tres problemas: 1) en ningún momento se justifican las razones por las que tal regulación se dicta al amparo del art 149.1.18 CE, pues, solamente desde un entendimiento completamente desnaturalizado de este precepto constitucional puede entenderse que justifica una regulación como la del art. 191.5; 2) se vulneran, en consecuencia, las competencias autonómicas en materia de urbanismo y 3) no se contesta </w:t>
      </w:r>
      <w:r>
        <w:lastRenderedPageBreak/>
        <w:t>de modo convincente a la alegación relativa a la vulneración del principio constitucional de autonomía local.</w:t>
      </w:r>
    </w:p>
    <w:p w:rsidR="0026452D" w:rsidRDefault="0026452D" w:rsidP="0026452D">
      <w:pPr>
        <w:pStyle w:val="TextoNormal"/>
      </w:pPr>
    </w:p>
    <w:p w:rsidR="0026452D" w:rsidRDefault="0026452D" w:rsidP="0026452D">
      <w:pPr>
        <w:pStyle w:val="TextoNormal"/>
      </w:pPr>
      <w:r>
        <w:t>Puesto que la Sentencia de la mayoría enjuicia el precepto separando la vertiente competencial de la estrictamente relacionada con la autonomía local, procederé de la misma manera.</w:t>
      </w:r>
    </w:p>
    <w:p w:rsidR="0026452D" w:rsidRDefault="0026452D" w:rsidP="0026452D">
      <w:pPr>
        <w:pStyle w:val="TextoNormal"/>
      </w:pPr>
    </w:p>
    <w:p w:rsidR="0026452D" w:rsidRDefault="0026452D" w:rsidP="0026452D">
      <w:pPr>
        <w:pStyle w:val="TextoNormal"/>
      </w:pPr>
      <w:r>
        <w:t xml:space="preserve">En el enjuiciamiento en la vertiente competencial del recurso se comienza aludiendo al contenido de dicho deber de conservación, tal como viene definido en el art. 9.1 del texto refundido de la Ley del suelo, aprobado por Real Decreto Legislativo 2/2008, de 20 de junio, al regular el estatuto básico de la propiedad urbana, señalando que, de conformidad con lo dispuesto en la disposición final primera, apartado 1, del citado texto legal, el mencionado precepto se incluye entre los que tienen el carácter de “condiciones básicas de igualdad en el ejercicio de los derechos y el cumplimiento de los correspondientes deberes constitucionales y, en su caso, de bases del régimen de las Administraciones Públicas”. De ahí la Sentencia concluye que “el traslado al Ayuntamiento del deber de conservación de las edificaciones o instalaciones de titularidad estatal ya desafectadas supone el establecimiento de una excepción a la regulación común del estatuto de la propiedad urbana, que atribuye al propietario el deber de conservación, excepción que, de acuerdo con la delimitación de competencias que acaba de exponerse, corresponde establecer en exclusiva al Estado en virtud de lo dispuesto en el art. 149.1.18 CE”. Excepción que fundamenta en que el precepto “viene a determinar los efectos derivados del incumplimiento del mencionado deber de calificación y asignación de uso a los bienes demaniales desafectados, en ejercicio de la competencia que el Estado ostenta </w:t>
      </w:r>
      <w:r w:rsidRPr="0026452D">
        <w:rPr>
          <w:i/>
        </w:rPr>
        <w:t>ex</w:t>
      </w:r>
      <w:r>
        <w:t xml:space="preserve"> art. 149.1.18 CE, tanto en lo relativo a las bases del régimen jurídico de las Administraciones Públicas, como en lo que respecta a la legislación básica en materia de ‘sistema de responsabilidad de todas las Administraciones Públicas’, mediante la determinación de las consecuencias jurídicas derivadas de la inactividad municipal”, lo que, además, le permite deducir que no hay vulneración alguna de las competencias autonómicas en materia urbanística.</w:t>
      </w:r>
    </w:p>
    <w:p w:rsidR="0026452D" w:rsidRDefault="0026452D" w:rsidP="0026452D">
      <w:pPr>
        <w:pStyle w:val="TextoNormal"/>
      </w:pPr>
    </w:p>
    <w:p w:rsidR="0026452D" w:rsidRDefault="0026452D" w:rsidP="0026452D">
      <w:pPr>
        <w:pStyle w:val="TextoNormal"/>
      </w:pPr>
      <w:r>
        <w:t>Considero que los argumentos de la Sentencia no justifican la excepción que el precepto establece a favor de los bienes patrimoniales del Estado, pues todo gira en torno a que se trata de una suerte de medio para forzar el cambio en la calificación de los bienes, pero lo hace de tal forma que no resultan convincentes las razones por las que se explicaría este régimen privilegiado para los bienes patrimoniales del Estado. Régimen que, en la perspectiva competencial en la que nos sitúa el recurso, ha de basarse en alguna competencia estatal a tenor, tanto de la necesidad de respetar el carácter exclusivo de las competencias autonómicas en materia de urbanismo como de la obligación de que, caso de incidir sobre aquellas, las competencias del Estado se mantengan dentro de los límites que les son propios. No creo que las que se citan, derivadas ambas del art. 149.1.18 CE, presten cobertura a la norma impugnada.</w:t>
      </w:r>
    </w:p>
    <w:p w:rsidR="0026452D" w:rsidRDefault="0026452D" w:rsidP="0026452D">
      <w:pPr>
        <w:pStyle w:val="TextoNormal"/>
      </w:pPr>
    </w:p>
    <w:p w:rsidR="0026452D" w:rsidRDefault="0026452D" w:rsidP="0026452D">
      <w:pPr>
        <w:pStyle w:val="TextoNormal"/>
      </w:pPr>
      <w:r>
        <w:t xml:space="preserve">En suma, lo que la ponencia afirma es que el deber de conservación de los bienes que pesa sobre todo propietario se excepciona para los bienes patrimoniales del Estado </w:t>
      </w:r>
      <w:r w:rsidRPr="0026452D">
        <w:rPr>
          <w:i/>
        </w:rPr>
        <w:t>ex</w:t>
      </w:r>
      <w:r>
        <w:t xml:space="preserve"> art. 149.1.18 CE, excepción respecto a la regulación común de ese estatuto de la propiedad urbana (regulación común que se encuentra en el art. 9 del texto refundido de la Ley del suelo, aprobado por Real Decreto Legislativo 2/2008 (TRLS), por tanto, condición general de igualdad ex art. 149.1.1 CE que el Estado ha establecido en esta materia). Obsérvese que no </w:t>
      </w:r>
      <w:r>
        <w:lastRenderedPageBreak/>
        <w:t>hay aquí, ni siquiera, una regulación general del deber de conservación que distinguiera entre tipos de propietarios sino, directamente, una regulación singular. De hecho, el legítimo objetivo de obtención de rendimiento económico de la explotación de los bienes patrimoniales del Estado, razón que parece inspirar el precepto, es el mismo que persigue cualquier propietario, por lo que, tampoco así, se entiende la excepción, que incluso podría afirmarse que va en contra del art. 149.1.1 CE, ya que los bienes de otras administraciones públicas o, incluso, de los particulares tienen el mismo interés en su recalificación.</w:t>
      </w:r>
    </w:p>
    <w:p w:rsidR="0026452D" w:rsidRDefault="0026452D" w:rsidP="0026452D">
      <w:pPr>
        <w:pStyle w:val="TextoNormal"/>
      </w:pPr>
    </w:p>
    <w:p w:rsidR="0026452D" w:rsidRDefault="0026452D" w:rsidP="0026452D">
      <w:pPr>
        <w:pStyle w:val="TextoNormal"/>
      </w:pPr>
      <w:r>
        <w:t>Por otra parte, para justificar la cobertura en el art. 149.1.18 CE, la Sentencia aporta dos títulos competenciales de los incluidos en el citado precepto constitucional, el relativo a las bases del régimen jurídico de las Administraciones públicas, y el que respecta a la “legislación básica en materia de ‘sistema de responsabilidad de todas las Administraciones Públicas’”. En mi opinión aquí se confunden dos planos.</w:t>
      </w:r>
    </w:p>
    <w:p w:rsidR="0026452D" w:rsidRDefault="0026452D" w:rsidP="0026452D">
      <w:pPr>
        <w:pStyle w:val="TextoNormal"/>
      </w:pPr>
    </w:p>
    <w:p w:rsidR="0026452D" w:rsidRDefault="0026452D" w:rsidP="0026452D">
      <w:pPr>
        <w:pStyle w:val="TextoNormal"/>
      </w:pPr>
      <w:r>
        <w:t>Ninguna duda cabe de que corresponde al Estado la desafectación de los bienes demaniales de los que es titular (pese a que tal facultad, más que en el art. 149.1.18 CE, se residencia en la titularidad del Estado sobre dicho demanio). Pero la regulación de las eventuales consecuencias de incumplimientos del deber de calificación, y por extensión del de modificar el planeamiento que ese cambio de calificación frecuentemente implica, no pueden ser amparados por el art. 149.1.18 CE, ya que nada hay en ninguno de los dos títulos competenciales empleados por la Sentencia que permita entenderlo en tal sentido.</w:t>
      </w:r>
    </w:p>
    <w:p w:rsidR="0026452D" w:rsidRDefault="0026452D" w:rsidP="0026452D">
      <w:pPr>
        <w:pStyle w:val="TextoNormal"/>
      </w:pPr>
    </w:p>
    <w:p w:rsidR="0026452D" w:rsidRDefault="0026452D" w:rsidP="0026452D">
      <w:pPr>
        <w:pStyle w:val="TextoNormal"/>
      </w:pPr>
      <w:r>
        <w:t>En primer lugar, resulta cuando menos difícil considerar que la excepción a una regla general, la del deber de conservación de los bienes, establecida por el Estado en su propio y exclusivo beneficio, se adecue al concepto de bases del régimen jurídico de las Administraciones públicas acuñado por la doctrina constitucional, que ha recalcado la virtualidad de dicho título para establecer “los elementos esenciales que garanticen un régimen jurídico unitario aplicable a todas las Administraciones públicas”, así como para garantizar “a los administrados un tratamiento común ante ellas”, aspectos ambos que se ven ahora radicalmente obviados. Por otro, tampoco está de más advertir que las consecuencias del incumplimiento de deberes en materia urbanística el Estado ya las ha previsto mediante la forma de supuestos indemnizatorios de los regulados en el art. 35 TRLS, que es la norma que regula, en términos generales, la responsabilidad por incumplimiento, que nuestra doctrina (SSTC 61/1997, FJ 33, y 164/2001, FJ 47) ha considerado inserto en el sistema de responsabilidad de las Administraciones públicas.</w:t>
      </w:r>
    </w:p>
    <w:p w:rsidR="0026452D" w:rsidRDefault="0026452D" w:rsidP="0026452D">
      <w:pPr>
        <w:pStyle w:val="TextoNormal"/>
      </w:pPr>
    </w:p>
    <w:p w:rsidR="0026452D" w:rsidRDefault="0026452D" w:rsidP="0026452D">
      <w:pPr>
        <w:pStyle w:val="TextoNormal"/>
      </w:pPr>
      <w:r>
        <w:t>En segundo lugar, al tratarse de un régimen que solamente es aplicable a los inmuebles del Estado, ni siquiera podría entenderse que se trata de normativa básica común a todas las Administraciones públicas en materia de régimen patrimonial, que es el canon empleado por la Sentencia.</w:t>
      </w:r>
    </w:p>
    <w:p w:rsidR="0026452D" w:rsidRDefault="0026452D" w:rsidP="0026452D">
      <w:pPr>
        <w:pStyle w:val="TextoNormal"/>
      </w:pPr>
    </w:p>
    <w:p w:rsidR="0026452D" w:rsidRDefault="0026452D" w:rsidP="0026452D">
      <w:pPr>
        <w:pStyle w:val="TextoNormal"/>
      </w:pPr>
      <w:r>
        <w:t xml:space="preserve">En tercer lugar, la referencia a la responsabilidad patrimonial no me parece procedente, pues es obvio que, por no concurrir los supuestos estructurales para ello, nada tiene que ver el régimen que cuestiono con la responsabilidad de las Administraciones públicas, que corresponde al Estado establecer como garantía de la normativa común que representa el sistema de responsabilidad para todo el territorio Por lo demás la Sentencia contradice la interpretación tradicional de dicha cláusula, que reserva al Estado la legislación sobre la responsabilidad patrimonial de las Administraciones públicas, para que los particulares tengan </w:t>
      </w:r>
      <w:r>
        <w:lastRenderedPageBreak/>
        <w:t>un trato uniforme cuando son víctimas de lesiones antijurídicas imputables a los poderes públicos; no es un título para regular otros tipos de consecuencias o “responsabilidades” por la inactividad o la falta de ejercicio de competencias por las diversas administraciones.</w:t>
      </w:r>
    </w:p>
    <w:p w:rsidR="0026452D" w:rsidRDefault="0026452D" w:rsidP="0026452D">
      <w:pPr>
        <w:pStyle w:val="TextoNormal"/>
      </w:pPr>
    </w:p>
    <w:p w:rsidR="0026452D" w:rsidRDefault="0026452D" w:rsidP="0026452D">
      <w:pPr>
        <w:pStyle w:val="TextoNormal"/>
      </w:pPr>
      <w:r>
        <w:t>Otro problema son las consecuencias materiales que la excepción, en cuanto que el cambio en la calificación del bien desafectado implica su cambio de uso, produce sobre el planeamiento, y, por extensión, en la competencia autonómica sobre urbanismo, por cuanto la calificación urbanística no es otra cosa que regular el destino de los bienes conforme al ordenamiento urbanístico (un ejemplo de lo que afirmo puede encontrarse en la STC 148/2012, FJ 15, en relación precisamente a una norma autonómica reguladora de la calificación a otorgar a determinados bienes una vez desafectados). Una cosa es la competencia que el Estado tiene para decidir que ciertos bienes ya no son necesarios para un determinado uso público y otra bien distinta la calificación urbanística que el planificador considere que deban recibir esos terrenos ya desafectados. El precepto regula así las consecuencias del incumplimiento de un deber de calificación y asignación de uso de determinados inmuebles, lo que entra de lleno en la competencia autonómica sobre urbanismo.</w:t>
      </w:r>
    </w:p>
    <w:p w:rsidR="0026452D" w:rsidRDefault="0026452D" w:rsidP="0026452D">
      <w:pPr>
        <w:pStyle w:val="TextoNormal"/>
      </w:pPr>
    </w:p>
    <w:p w:rsidR="0026452D" w:rsidRDefault="0026452D" w:rsidP="0026452D">
      <w:pPr>
        <w:pStyle w:val="TextoNormal"/>
      </w:pPr>
      <w:r>
        <w:t>En efecto, se está, siquiera indirectamente, imponiendo que la modificación del planeamiento haya de realizarse en un plazo determinado a fin de otorgar la nueva calificación a los inmuebles desafectados. Ha de advertirse al respecto que la calificación supone una notable incidencia en el planeamiento y en la ejecución urbanística, en cuanto que determina los posibles usos y la modificación o revisión del planeamiento. Así, el caso ahora enjuiciado, en la medida en que lo que se persigue es el cambio en la calificación, con la consiguiente incidencia en la planificación, guarda relación con asuntos en los que el Tribunal se ha pronunciado ya sobre la decisión del legislador básico de optar por un concreto instrumento o técnica urbanística, que no se desprende necesariamente de las condiciones básicas y que pertenece a la competencia sobre la materia urbanística. Así en la STC 61/1997, FJ 28 e), el Tribunal declaró con relación a un título horizontal del Estado como es la cláusula contenida en el art. 149.1.1 CE, que ésta “no puede amparar la configuración de técnicas concretas, por más que puedan incidir sobre la propiedad urbana, cuando exceden de la regulación de las condiciones básicas de las facultades y deberes fundamentales, como sucede, en los términos ya señalados, en relación con el aprovechamiento tipo …, las unidades de ejecución … y, ahora, con la técnica de la reparcelación a la que se refieren las letras a) y c) del art. 166.1 TRLS”. Doctrina constitucional a la que se remite la STC 164/2001, de 11 de julio, FJ 3.</w:t>
      </w:r>
    </w:p>
    <w:p w:rsidR="0026452D" w:rsidRDefault="0026452D" w:rsidP="0026452D">
      <w:pPr>
        <w:pStyle w:val="TextoNormal"/>
      </w:pPr>
    </w:p>
    <w:p w:rsidR="0026452D" w:rsidRDefault="0026452D" w:rsidP="0026452D">
      <w:pPr>
        <w:pStyle w:val="TextoNormal"/>
      </w:pPr>
      <w:r>
        <w:t xml:space="preserve">Finalmente, desde la perspectiva de la autonomía local, el precepto establece una suerte de consecuencia sancionadora que carece de respaldo legal alguno en la Ley de bases del régimen local y que es incompatible con el propio principio constitucional de autonomía local. Se establece </w:t>
      </w:r>
      <w:r w:rsidRPr="0026452D">
        <w:rPr>
          <w:i/>
        </w:rPr>
        <w:t>ex lege</w:t>
      </w:r>
      <w:r>
        <w:t xml:space="preserve"> una obligación para conseguir, en un plazo determinado, la obtención de utilidad urbanística del bien so pena de trasladar al Ayuntamiento lo que no es sino una responsabilidad del propietario. No me parece nada convincente el argumento de la Sentencia para descartar la vulneración de la autonomía local, pues lo que viene a sostener es que, como en el cambio de planeamiento interviene la corporación local, no se vulnera su autonomía. Eso es, en mi criterio, desenfocar el problema. No se discute que, si hay un cambio en la calificación y, muy probablemente, de planeamiento, ese cambio determina o implica la intervención local, sino que esa intervención de la corporación local es ajena a su voluntad, pues le viene impuesta por el precepto legal, ya que establece una suerte de plazo </w:t>
      </w:r>
      <w:r>
        <w:lastRenderedPageBreak/>
        <w:t>preclusivo para realizar el cambio en la calificación del bien so pena de la traslación de los deberes de custodia y conservación. Es, precisamente, por la determinación de las consecuencias que el incumplimiento de ese plazo conlleva y a lo que obliga a la entidad local, por lo que el precepto incurre en vulneración del principio constitucional de autonomía local. Si, como este Tribunal tiene declarado, “la configuración del asentamiento urbano municipal en que consiste el plan urbanístico… es una tarea comprendida prioritariamente en el ámbito de los intereses del municipio” (STC 148/2012, FJ 15) y el citado principio constitucional se concreta en “el derecho y la capacidad efectiva de las entidades locales de ordenar y gestionar una parte importante de los asuntos públicos, en el marco de la ley, bajo su propia responsabilidad y en beneficio de sus habitantes” (por todas, STC 240/2006, de 20 de julio, FJ 8), fácilmente se colige que el art. 191.5 no se ajusta a tales criterios.</w:t>
      </w:r>
    </w:p>
    <w:p w:rsidR="0026452D" w:rsidRDefault="0026452D" w:rsidP="0026452D">
      <w:pPr>
        <w:pStyle w:val="TextoNormal"/>
      </w:pPr>
    </w:p>
    <w:p w:rsidR="0026452D" w:rsidRDefault="0026452D" w:rsidP="0026452D">
      <w:pPr>
        <w:pStyle w:val="TextoNormal"/>
      </w:pPr>
      <w:r>
        <w:t>De hecho el precepto viene a introducir un elemento temporal en el cambio de calificación que afecta a la libertad de la entidad local para decidir el momento oportuno para llevar a cabo tal cambio en la calificación del bien y, por extensión, del planeamiento. Además, el precepto olvida que, en muchas ocasiones, la reforma del planeamiento no es una competencia exclusiva municipal pues está sometida bien a aprobación, bien a informe vinculante de otras Administraciones públicas (así, por ejemplo, arts. 49, 57, 62 y 63 de la Ley 3/2009, de 17 de junio, urbanística de Aragón), con lo que, en cuanto que el Estado no es competente para determinar quién aprueba el planeamiento, tampoco podría el precepto determinar las responsabilidades por el incumplimiento de la obligación de planificar o de modificar el planeamiento como consecuencia del cambio en la calificación urbanística del bien patrimonial.</w:t>
      </w:r>
    </w:p>
    <w:p w:rsidR="0026452D" w:rsidRDefault="0026452D" w:rsidP="0026452D">
      <w:pPr>
        <w:pStyle w:val="TextoNormal"/>
      </w:pPr>
    </w:p>
    <w:p w:rsidR="0026452D" w:rsidRDefault="0026452D" w:rsidP="0026452D">
      <w:pPr>
        <w:pStyle w:val="TextoNormal"/>
      </w:pPr>
      <w:r>
        <w:t>4. Algunas de las razones anteriores determinan también, en mi opinión, la inconstitucionalidad del art. 191.6 (“En cualquier caso, si transcurriere el plazo establecido en la legislación urbanística aplicable para instar la expropiación por ministerio de la ley, sin que el planeamiento urbanístico hubiese otorgado una nueva calificación a los bienes desafectados, la Administración General del Estado o el organismo público advertirá a la Administración municipal de su propósito de comenzar el expediente de justiprecio, el cual se iniciará en la forma prevista en dicha legislación”). La Sentencia de la mayoría no entra en su examen por entender que se alegaba que incurría en las mismas tachas de inconstitucionalidad que fundamentan la impugnación dirigida contra el apartado 3 del art. 191, remitiéndose a lo ya razonado para desestimar esa impugnación. Es cierto que el recurrente no incluye una argumentación expresa respecto al art. 191.6, pero también lo es que lo que alega es la vulneración de las competencias autonómicas en materia de urbanismo, en la que se engloba la regulación de la expropiación por ese motivo. Junto a ello la función de depuración objetiva del ordenamiento que es propia del recurso de inconstitucionalidad hubiera debido permitir al Tribunal apreciar que la norma es contraria a la Constitución por motivos distintos a los alegados por las partes (art. 39.2 LOTC), máxime en casos como éste en que la doctrina constitucional es clara.</w:t>
      </w:r>
    </w:p>
    <w:p w:rsidR="0026452D" w:rsidRDefault="0026452D" w:rsidP="0026452D">
      <w:pPr>
        <w:pStyle w:val="TextoNormal"/>
      </w:pPr>
    </w:p>
    <w:p w:rsidR="0026452D" w:rsidRDefault="0026452D" w:rsidP="0026452D">
      <w:pPr>
        <w:pStyle w:val="TextoNormal"/>
      </w:pPr>
      <w:r>
        <w:t xml:space="preserve">La norma está, directamente, regulando un supuesto de inicio de un expediente expropiatorio por razón de urbanismo al margen de lo que pueda disponer la legislación autonómica, que ve limitado su ámbito de aplicación por la decisión estatal, ya que solamente será aplicable para determinar el plazo y los aspectos procedimentales pero no en lo sustantivo, esto es, para decidir si la omisión en el cambio de calificación del inmueble habilita para iniciar un expediente expropiatorio. Se trata casi de una expropiación-sanción, ya que el </w:t>
      </w:r>
      <w:r>
        <w:lastRenderedPageBreak/>
        <w:t>obligado a expropiar es el Ayuntamiento incumplidor, sin que tampoco se sepa la finalidad a la que la expropiación va a servir, salvo la obtención de rendimiento económico para el titular del bien, a través del justiprecio. La doctrina constitucional establece que la regulación de la institución expropiatoria en cuanto tal corresponde al Estado, pero la fijación de causas o fines expropiatorios en materias de competencia autonómica corresponde a éstas (en tal sentido, y por relación al urbanismo, STC 164/2001, FJ 36). Así resulta que, en aplicación de la citada doctrina el art. 191.6 es contrario al orden constitucional de distribución de competencias pues establece un presupuesto de hecho que exige la presencia de dos circunstancias: el transcurso del plazo de aplicación legal de la expropiación urbanística y la falta de otorgamiento en dicho plazo de la calificación de los inmuebles estatales. Dadas esas dos circunstancias dispone un nuevo modo de iniciación de la expropiación urbanística pues la remisión a la legislación autonómica no es a efectos de determinar si se produce o no la expropiación sino únicamente a efectos procedimentales.</w:t>
      </w:r>
    </w:p>
    <w:p w:rsidR="0026452D" w:rsidRDefault="0026452D" w:rsidP="0026452D">
      <w:pPr>
        <w:pStyle w:val="TextoNormal"/>
      </w:pPr>
    </w:p>
    <w:p w:rsidR="0026452D" w:rsidRDefault="0026452D" w:rsidP="0026452D">
      <w:pPr>
        <w:pStyle w:val="TextoNormal"/>
      </w:pPr>
      <w:r>
        <w:t>Y en ese sentido emito mi Voto particular.</w:t>
      </w:r>
    </w:p>
    <w:p w:rsidR="0026452D" w:rsidRDefault="0026452D" w:rsidP="0026452D">
      <w:pPr>
        <w:pStyle w:val="TextoNormal"/>
      </w:pPr>
    </w:p>
    <w:p w:rsidR="0026452D" w:rsidRDefault="0026452D" w:rsidP="0026452D">
      <w:pPr>
        <w:pStyle w:val="TextoNormal"/>
      </w:pPr>
      <w:r>
        <w:t>Madrid, a veintitrés de abril de dos mil trece.</w:t>
      </w:r>
    </w:p>
    <w:p w:rsidR="0026452D" w:rsidRDefault="0026452D" w:rsidP="0026452D">
      <w:pPr>
        <w:pStyle w:val="TextoNormal"/>
      </w:pPr>
    </w:p>
    <w:p w:rsidR="0026452D" w:rsidRDefault="0026452D" w:rsidP="0026452D">
      <w:pPr>
        <w:pStyle w:val="TextoNormalNegritaCentrado"/>
        <w:keepNext/>
      </w:pPr>
      <w:r>
        <w:t>Voto particular que formula la Magistrada doña Encarnación Roca Trías respecto de la Sentencia dictada en el recurso de inconstitucionalidad núm. 596-2004.</w:t>
      </w:r>
    </w:p>
    <w:p w:rsidR="0026452D" w:rsidRDefault="0026452D" w:rsidP="0026452D">
      <w:pPr>
        <w:pStyle w:val="TextoNormalNegritaCentrado"/>
        <w:keepNext/>
      </w:pPr>
    </w:p>
    <w:p w:rsidR="0026452D" w:rsidRDefault="0026452D" w:rsidP="0026452D">
      <w:pPr>
        <w:pStyle w:val="TextoNormal"/>
      </w:pPr>
      <w:r>
        <w:t>Con el mayor respeto a la opinión mayoritaria de mis compañeros, debo expresar mi discrepancia con los razonamientos vertidos en el fundamento jurídico 8 de la Sentencia y, en consecuencia, con la desestimación del recurso en lo relativo a los apartados tercero, quinto y sexto del art. 191 de la Ley 33/2003, de patrimonio de las Administraciones públicas.</w:t>
      </w:r>
    </w:p>
    <w:p w:rsidR="0026452D" w:rsidRDefault="0026452D" w:rsidP="0026452D">
      <w:pPr>
        <w:pStyle w:val="TextoNormal"/>
      </w:pPr>
    </w:p>
    <w:p w:rsidR="0026452D" w:rsidRDefault="0026452D" w:rsidP="0026452D">
      <w:pPr>
        <w:pStyle w:val="TextoNormal"/>
      </w:pPr>
      <w:r>
        <w:t>No puedo compartir, en primer lugar, el método utilizado por la Sentencia al analizar de forma aislada cada uno de los apartados impugnados, pues sólo con su interpretación conjunta la norma adquiere cabal sentido. Esto es, precisamente, lo que alega el recurrente: que el juego de los preceptos impugnados vulnera tanto las competencias autonómicas en materia de urbanismo como la autonomía local.</w:t>
      </w:r>
    </w:p>
    <w:p w:rsidR="0026452D" w:rsidRDefault="0026452D" w:rsidP="0026452D">
      <w:pPr>
        <w:pStyle w:val="TextoNormal"/>
      </w:pPr>
    </w:p>
    <w:p w:rsidR="0026452D" w:rsidRDefault="0026452D" w:rsidP="0026452D">
      <w:pPr>
        <w:pStyle w:val="TextoNormal"/>
      </w:pPr>
      <w:r>
        <w:t xml:space="preserve">Y, en mi opinión, no le falta razón como a continuación se argumentará. Si bien es verdad que el art. 191 de la Ley 33/2003 favorece la rentabilidad y eficacia que debe presidir la gestión de todos los bienes patrimoniales de las Administraciones públicas —y no sólo los de titularidad del Estado— (art. 8 de la Ley 33/2003 dictado en ejercicio de la competencia que atribuye al Estado el art. 149.1.18 CE), este precepto viene a establecer un régimen privilegiado para los bienes patrimoniales del Estado que no sólo no tiene cabida en el art. 149.1.18 CE, sino que contradice las condiciones básicas del estatuto de la propiedad dictadas </w:t>
      </w:r>
      <w:r w:rsidRPr="0026452D">
        <w:rPr>
          <w:i/>
        </w:rPr>
        <w:t>ex</w:t>
      </w:r>
      <w:r>
        <w:t xml:space="preserve"> art. 149.1.1 CE, establece reglas urbanísticas de competencia exclusivamente autonómica y predetermina la libertad de los municipios a la hora de diseñar el modelo de ciudad que desean para sus habitantes.</w:t>
      </w:r>
    </w:p>
    <w:p w:rsidR="0026452D" w:rsidRDefault="0026452D" w:rsidP="0026452D">
      <w:pPr>
        <w:pStyle w:val="TextoNormal"/>
      </w:pPr>
    </w:p>
    <w:p w:rsidR="0026452D" w:rsidRDefault="0026452D" w:rsidP="0026452D">
      <w:pPr>
        <w:pStyle w:val="TextoNormal"/>
      </w:pPr>
      <w:r>
        <w:t xml:space="preserve">El art. 191 de la Ley 33/2003 regula las consecuencias de la desafectación por el Estado de los inmuebles construidos sobre suelos a los que el planeamiento urbanístico no otorga </w:t>
      </w:r>
      <w:r>
        <w:lastRenderedPageBreak/>
        <w:t>aprovechamiento lucrativo. Tras su desafectación, estos inmuebles pasan a ser bienes patrimoniales, fuente de ingresos para el erario público estatal, y su destino, como el de cualquier otro bien inmueble de propiedad privada, viene determinado por el planeamiento, lo cual, por otra parte, ni siquiera es discutido por el legislador estatal que se considera vinculado por el régimen estatutario de la propiedad. Buena prueba de ello es que el propio legislador insta la modificación de la calificación que el planeamiento otorga a los bienes desafectados.</w:t>
      </w:r>
    </w:p>
    <w:p w:rsidR="0026452D" w:rsidRDefault="0026452D" w:rsidP="0026452D">
      <w:pPr>
        <w:pStyle w:val="TextoNormal"/>
      </w:pPr>
    </w:p>
    <w:p w:rsidR="0026452D" w:rsidRDefault="0026452D" w:rsidP="0026452D">
      <w:pPr>
        <w:pStyle w:val="TextoNormal"/>
      </w:pPr>
      <w:r>
        <w:t>Por ello, el apartado tercero del art. 191 impone la obligación a las autoridades urbanísticas de dar un nuevo destino a los bienes desafectados por el Estado, que bien podrá ser lucrativo o dotacional. En el caso de que sea dotacional, el destino será para el ejercicio de las competencias de otras Administraciones públicas, que deberán obtener el terreno de forma onerosa (art. 191.2), pues la modificación del destino de los bienes para el ejercicio de otra competencia del Estado, distinta de la contemplada en el planeamiento, se impone a éste, como bien señala la Sentencia de la que discrepo.</w:t>
      </w:r>
    </w:p>
    <w:p w:rsidR="0026452D" w:rsidRDefault="0026452D" w:rsidP="0026452D">
      <w:pPr>
        <w:pStyle w:val="TextoNormal"/>
      </w:pPr>
    </w:p>
    <w:p w:rsidR="0026452D" w:rsidRDefault="0026452D" w:rsidP="0026452D">
      <w:pPr>
        <w:pStyle w:val="TextoNormal"/>
      </w:pPr>
      <w:r>
        <w:t xml:space="preserve">No comparto en modo alguno, sin embargo, que la obligación de modificar la calificación urbanística quede limitada, como entiende la Sentencia, a una suerte de obligación natural, esto es, a “recoger un </w:t>
      </w:r>
      <w:r w:rsidRPr="0026452D">
        <w:rPr>
          <w:i/>
        </w:rPr>
        <w:t>desideratum</w:t>
      </w:r>
      <w:r>
        <w:t xml:space="preserve"> o, lo que es lo mismo, a enunciar un genérico principio de coherencia, del que no derivan obligaciones, condicionamientos o requisitos para el planificador urbanístico, por lo que no puede afectar a las competencias autonómicas”. Antes al contrario. Los apartados 5 y 6 del art. 191 establecen condicionamientos, en mi opinión, incompatibles con la autonomía local, que la Sentencia no pondera, y a los que ni siquiera se refiere so pretexto de que no se “excluye la intervención de los municipios en el supuesto contemplado de desafectación de inmuebles del Patrimonio del Estado, sino que, por el contrario, prevé la intervención municipal en la nueva calificación del inmueble, conforme al planeamiento urbanístico”. La ley impugnada mantiene, en efecto, la competencia del planeamiento para modificar la calificación o destino de los bienes desafectados, pero la condiciona de tal manera que el mantenimiento por el planeamiento del destino que tenían asignado implica, de </w:t>
      </w:r>
      <w:r w:rsidRPr="0026452D">
        <w:rPr>
          <w:i/>
        </w:rPr>
        <w:t>facto</w:t>
      </w:r>
      <w:r>
        <w:t>, el cambio de calificación y la obligación de su obtención a costa del Ayuntamiento y en contra de los intereses municipales que éste representa.</w:t>
      </w:r>
    </w:p>
    <w:p w:rsidR="0026452D" w:rsidRDefault="0026452D" w:rsidP="0026452D">
      <w:pPr>
        <w:pStyle w:val="TextoNormal"/>
      </w:pPr>
    </w:p>
    <w:p w:rsidR="0026452D" w:rsidRDefault="0026452D" w:rsidP="0026452D">
      <w:pPr>
        <w:pStyle w:val="TextoNormal"/>
      </w:pPr>
      <w:r>
        <w:t>En efecto, el art. 191.6 establece un plazo máximo para la modificación o, en caso de que fuera necesario, para la revisión, del planeamiento (art. 191.6) aunque ello no convenga al interés urbanístico municipal pues, transcurrido el plazo contemplado en la legislación autonómica, se opera la ficción legal de que los terrenos del Estado han sido calificados como equipamientos de titularidad municipal que deben ser obtenidos por expropiación. Por otra parte, se condiciona el destino que debe otorgarles el planeamiento, pues, o se les reconoce aprovechamiento lucrativo en el plazo que contempla el art. 191.6 o, en otro caso, el Ayuntamiento se verá obligado a obtenerlos a costa de delimitar unidades o sectores excedentarios a los que adscribirlos o en los que incluirlos para obtenerlos por cesión obligatoria, aunque ello no sea lo más idóneo para el diseño de la ciudad, y si no lo hace, se verá obligado a obtenerlos por expropiación, aunque no sean necesarios para el ejercicio de sus competencias municipales y no encajen en sus previsiones o prioridades de gasto. La obtención de los citados terrenos no depende, en consecuencia, de una decisión libremente adoptada por el planeamiento, sino de la decisión de otra Administración llevada, no por la necesidad de ejercer una competencia propia, sino por la de obtener rendimientos económicos de unos bienes antaño afectados al dominio público.</w:t>
      </w:r>
    </w:p>
    <w:p w:rsidR="0026452D" w:rsidRDefault="0026452D" w:rsidP="0026452D">
      <w:pPr>
        <w:pStyle w:val="TextoNormal"/>
      </w:pPr>
    </w:p>
    <w:p w:rsidR="0026452D" w:rsidRDefault="0026452D" w:rsidP="0026452D">
      <w:pPr>
        <w:pStyle w:val="TextoNormal"/>
      </w:pPr>
      <w:r>
        <w:lastRenderedPageBreak/>
        <w:t>El apartado quinto del art. 191 de la Ley 33/2003, establece que transcurridos dos años desde que se haya notificado la desafectación sin modificación del planeamiento, el Ayuntamiento se responsabilizará de su custodia y mantenimiento. En consecuencia, este apartado traslada al Ayuntamiento uno de los deberes de los propietarios que forman parte del estatuto de la propiedad (art. 9.1 del Real Decreto Legislativo 2/2008). Dice la Sentencia que “el traslado al Ayuntamiento del deber de conservación de las edificaciones o instalaciones de titularidad estatal ya desafectadas supone el establecimiento de una excepción a la regulación común del estatuto de la propiedad urbana, que atribuye al propietario el deber de conservación, excepción que, de acuerdo con la delimitación de competencias que acaba de exponerse, corresponde establecer en exclusiva al Estado en virtud de lo dispuesto en el art. 149.1.18 CE”.</w:t>
      </w:r>
    </w:p>
    <w:p w:rsidR="0026452D" w:rsidRDefault="0026452D" w:rsidP="0026452D">
      <w:pPr>
        <w:pStyle w:val="TextoNormal"/>
      </w:pPr>
    </w:p>
    <w:p w:rsidR="0026452D" w:rsidRDefault="0026452D" w:rsidP="0026452D">
      <w:pPr>
        <w:pStyle w:val="TextoNormal"/>
      </w:pPr>
      <w:r>
        <w:t>Pues bien, en la STC 61/1997, afirmamos que la definición del régimen estatutario de la propiedad por parte del Estado encuentra su título competencial en el art. 1491.1.1 CE, pues con él se establecen las condiciones básicas que garantizan la igualdad en el ejercicio de los derechos y deberes. Entiendo que estas condiciones básicas resultan de aplicación a la propiedad privada de las Administraciones públicas, pues la regulación del derecho de propiedad del art. 33 CE, excluidos los bienes de dominio público, no distingue entre propietarios públicos o privados, y la función social de la propiedad es también predicable de la perteneciente a las Administraciones públicas, tanto más cuando el art. 103 CE somete su actuación al interés general. Así pues, si la obligación de conservación de sus bienes patrimoniales le viene dada a la Administración por el ejercicio de la competencia que al Estado atribuye el art. 149.1.1 CE, ésta no podrá ser excepcionada, como afirma la Sentencia, por la competencia que le otorga el 149.1.18 CE.</w:t>
      </w:r>
    </w:p>
    <w:p w:rsidR="0026452D" w:rsidRDefault="0026452D" w:rsidP="0026452D">
      <w:pPr>
        <w:pStyle w:val="TextoNormal"/>
      </w:pPr>
    </w:p>
    <w:p w:rsidR="0026452D" w:rsidRDefault="0026452D" w:rsidP="0026452D">
      <w:pPr>
        <w:pStyle w:val="TextoNormal"/>
      </w:pPr>
      <w:r>
        <w:t xml:space="preserve">Si, por el contrario, se entendiera que la propiedad privada de la Administración no es un derecho afectado por la definición de derechos y obligaciones básicas que contiene el texto refundido de la Ley del suelo, y sometido al régimen estatutario de la propiedad, el Estado estaría definiendo el régimen de obligaciones que atañe a la propiedad privada de las administraciones públicas, pero entonces, </w:t>
      </w:r>
      <w:r w:rsidRPr="0026452D">
        <w:rPr>
          <w:i/>
        </w:rPr>
        <w:t>ex</w:t>
      </w:r>
      <w:r>
        <w:t xml:space="preserve"> art. 149.1.18 CE, tendría que hacerlo para los bienes de todas las Administraciones públicas, pues, precisamente, la legislación básica implica la definición del régimen común mínimo que debe predicarse de todos los bienes patrimoniales y no solo de los bienes patrimoniales de titularidad del Estado.</w:t>
      </w:r>
    </w:p>
    <w:p w:rsidR="0026452D" w:rsidRDefault="0026452D" w:rsidP="0026452D">
      <w:pPr>
        <w:pStyle w:val="TextoNormal"/>
      </w:pPr>
    </w:p>
    <w:p w:rsidR="0026452D" w:rsidRDefault="0026452D" w:rsidP="0026452D">
      <w:pPr>
        <w:pStyle w:val="TextoNormal"/>
      </w:pPr>
      <w:r>
        <w:t>Y no cabe tampoco entender, en mi opinión, que esta regulación forma parte de la regulación de la responsabilidad patrimonial que se habría ocasionado por incumplimiento de un deber por parte del municipio, o como señala la Sentencia del “‘[s]istema de responsabilidad de todas las Administraciones Públicas’, mediante la determinación de las consecuencias jurídicas derivadas de la inactividad municipal” .</w:t>
      </w:r>
    </w:p>
    <w:p w:rsidR="0026452D" w:rsidRDefault="0026452D" w:rsidP="0026452D">
      <w:pPr>
        <w:pStyle w:val="TextoNormal"/>
      </w:pPr>
    </w:p>
    <w:p w:rsidR="0026452D" w:rsidRDefault="0026452D" w:rsidP="0026452D">
      <w:pPr>
        <w:pStyle w:val="TextoNormal"/>
      </w:pPr>
      <w:r>
        <w:t>Y no sólo porque los supuestos de responsabilidad patrimonial ya están regulados en la legislación estatal de suelo, sin que se haga mención alguna al supuesto que nos ocupa, sino porque, difícilmente, puede atribuirse a los municipios responsabilidad patrimonial por el incumplimiento del deber de modificar el planeamiento urbanístico, cuando el propio apartado tercero del art. 191 impone esta obligación a las “autoridades urbanísticas”, ya sean municipales o autonómicas, y cuando en las legislaciones urbanísticas autonómicas se impone, por regla general, la aprobación definitiva de los instrumentos de planeamiento que podrían modificar el uso dotacional que los inmuebles desafectados tienen atribuido.</w:t>
      </w:r>
    </w:p>
    <w:p w:rsidR="0026452D" w:rsidRDefault="0026452D" w:rsidP="0026452D">
      <w:pPr>
        <w:pStyle w:val="TextoNormal"/>
      </w:pPr>
    </w:p>
    <w:p w:rsidR="0026452D" w:rsidRDefault="0026452D" w:rsidP="0026452D">
      <w:pPr>
        <w:pStyle w:val="TextoNormal"/>
      </w:pPr>
      <w:r>
        <w:t xml:space="preserve">El apartado sexto del art. 191 impone, finalmente, la obligación de expropiación por el Ayuntamiento de los bienes desafectados si en el plazo establecido por la legislación urbanística para la expropiación por ministerio de la ley no se hubiera modificado su calificación. Entiendo, como anticipé, que la obligación de expropiación equivale a una modificación </w:t>
      </w:r>
      <w:r w:rsidRPr="0026452D">
        <w:rPr>
          <w:i/>
        </w:rPr>
        <w:t>ope legis</w:t>
      </w:r>
      <w:r>
        <w:t xml:space="preserve"> de la calificación de los terrenos desafectados y su conversión en suelos de equipamientos de titularidad municipal a obtener por expropiación y, por tanto, vulneradora de la autonomía municipal. Pero aunque no fuera así, la determinación de las causas de expropiación corresponde a los titulares de la competencia sustantiva a la que la citada potestad sirve. Por ello, la regulación de la </w:t>
      </w:r>
      <w:r w:rsidRPr="0026452D">
        <w:rPr>
          <w:i/>
        </w:rPr>
        <w:t>causa expropiandi</w:t>
      </w:r>
      <w:r>
        <w:t xml:space="preserve"> de los bienes desafectados por el Estado correspondería, en su caso, a las Comunidades Autónomas, pues forma parte de su competencia exclusiva en materia de urbanismo.</w:t>
      </w:r>
    </w:p>
    <w:p w:rsidR="0026452D" w:rsidRDefault="0026452D" w:rsidP="0026452D">
      <w:pPr>
        <w:pStyle w:val="TextoNormal"/>
      </w:pPr>
    </w:p>
    <w:p w:rsidR="0026452D" w:rsidRDefault="0026452D" w:rsidP="0026452D">
      <w:pPr>
        <w:pStyle w:val="TextoNormal"/>
      </w:pPr>
      <w:r>
        <w:t>Madrid, a veintitrés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98" w:name="SENTENCIA_2013_95"/>
      <w:r>
        <w:lastRenderedPageBreak/>
        <w:t>SENTENCIA 95/2013, de 23 de abril de 2013</w:t>
      </w:r>
    </w:p>
    <w:bookmarkEnd w:id="98"/>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ECLI:ES:TC:2013:95</w:t>
      </w:r>
    </w:p>
    <w:p w:rsidR="0026452D" w:rsidRDefault="0026452D" w:rsidP="0026452D">
      <w:pPr>
        <w:pStyle w:val="SntesisDescriptiva"/>
      </w:pPr>
    </w:p>
    <w:p w:rsidR="0026452D" w:rsidRDefault="0026452D" w:rsidP="0026452D">
      <w:pPr>
        <w:pStyle w:val="SntesisDescriptiva"/>
      </w:pPr>
      <w:r>
        <w:t>Conflicto positivo de competencia 4593-2004. Planteado por el Gobierno de la Generalitat de Cataluña en relación con la Orden TAS/500/2004, de 13 de febrero, por la que se regula la financiación de las acciones de formación continua en las empresas, incluidos los permisos individuales de formación, en desarrollo del Real Decreto 1046/2003, de 1 de agosto, por el que se regula el subsistema de formación profesional continua.</w:t>
      </w:r>
    </w:p>
    <w:p w:rsidR="0026452D" w:rsidRDefault="0026452D" w:rsidP="0026452D">
      <w:pPr>
        <w:pStyle w:val="SntesisDescriptiva"/>
      </w:pPr>
    </w:p>
    <w:p w:rsidR="0026452D" w:rsidRDefault="0026452D" w:rsidP="0026452D">
      <w:pPr>
        <w:pStyle w:val="SntesisAnaltica"/>
      </w:pPr>
      <w:r>
        <w:t>Competencias en materia laboral: vulneración de competencias ejecutivas autonómicas (STC 244/2012). Voto particular.</w:t>
      </w:r>
    </w:p>
    <w:p w:rsidR="0026452D" w:rsidRDefault="0026452D" w:rsidP="0026452D">
      <w:pPr>
        <w:pStyle w:val="SntesisAnaltica"/>
      </w:pPr>
    </w:p>
    <w:p w:rsidR="0026452D" w:rsidRDefault="0026452D" w:rsidP="0026452D">
      <w:pPr>
        <w:pStyle w:val="Extracto"/>
      </w:pPr>
      <w:r>
        <w:t>1.</w:t>
      </w:r>
      <w:r>
        <w:tab/>
        <w:t>Aplica la doctrina sobre la distribución de competencias en relación a la regulación del subsistema de formación profesional continua de la STC 244/2012 [FFJJ 3 a 9].</w:t>
      </w:r>
    </w:p>
    <w:p w:rsidR="0026452D" w:rsidRDefault="0026452D" w:rsidP="0026452D">
      <w:pPr>
        <w:pStyle w:val="Extracto"/>
      </w:pPr>
    </w:p>
    <w:p w:rsidR="0026452D" w:rsidRDefault="0026452D" w:rsidP="0026452D">
      <w:pPr>
        <w:pStyle w:val="Extracto"/>
      </w:pPr>
      <w:r>
        <w:t>2.</w:t>
      </w:r>
      <w:r>
        <w:tab/>
        <w:t xml:space="preserve">Aplica la doctrina sobre el encuadramiento competencial de las acciones formativas de los trabajadores ocupados así como su financiación en la materia ‘legislación laboral’, </w:t>
      </w:r>
      <w:r w:rsidRPr="0026452D">
        <w:rPr>
          <w:i/>
        </w:rPr>
        <w:t>ex</w:t>
      </w:r>
      <w:r>
        <w:t xml:space="preserve"> art. 149.1.7 CE, de la STC 244/2012  [FJ 3].</w:t>
      </w:r>
    </w:p>
    <w:p w:rsidR="0026452D" w:rsidRDefault="0026452D" w:rsidP="0026452D">
      <w:pPr>
        <w:pStyle w:val="Extracto"/>
      </w:pPr>
    </w:p>
    <w:p w:rsidR="0026452D" w:rsidRDefault="0026452D" w:rsidP="0026452D">
      <w:pPr>
        <w:pStyle w:val="Extracto"/>
      </w:pPr>
      <w:r>
        <w:t>3.</w:t>
      </w:r>
      <w:r>
        <w:tab/>
        <w:t>La impugnación contra la totalidad de la Orden controvertida no puede prosperar, pues su objeto no es sino, con ocasión de la norma de desarrollo, volver a cuestionar la competencia del Estado para la aprobación del Real Decreto 1046/2003, cuestión que ya fue resuelta en la STC 244/2012 [FFJJ 2 c), 4].</w:t>
      </w:r>
    </w:p>
    <w:p w:rsidR="0026452D" w:rsidRDefault="0026452D" w:rsidP="0026452D">
      <w:pPr>
        <w:pStyle w:val="Extracto"/>
      </w:pPr>
    </w:p>
    <w:p w:rsidR="0026452D" w:rsidRDefault="0026452D" w:rsidP="0026452D">
      <w:pPr>
        <w:pStyle w:val="Extracto"/>
      </w:pPr>
      <w:r>
        <w:t>4.</w:t>
      </w:r>
      <w:r>
        <w:tab/>
        <w:t xml:space="preserve">La expresión ‘legislación’ que define la competencia exclusiva del Estado en materia laboral, </w:t>
      </w:r>
      <w:r w:rsidRPr="0026452D">
        <w:rPr>
          <w:i/>
        </w:rPr>
        <w:t>ex</w:t>
      </w:r>
      <w:r>
        <w:t xml:space="preserve"> art. 149.1.7 CE, comprende no sólo las leyes, sino también los reglamentos, lo que determina que las Comunidades Autónomas únicamente pueden disponer de una competencia de mera ejecución de la normación estatal que incluye la emanación de reglamentos internos de organización de los servicios, la regulación de su competencia funcional y el desarrollo de actuaciones precisas para la puesta en práctica de la normativa reguladora del sistema de relaciones laborales (SSTC 35/1982, 51/2006)  [FJ 3].</w:t>
      </w:r>
    </w:p>
    <w:p w:rsidR="0026452D" w:rsidRDefault="0026452D" w:rsidP="0026452D">
      <w:pPr>
        <w:pStyle w:val="Extracto"/>
      </w:pPr>
    </w:p>
    <w:p w:rsidR="0026452D" w:rsidRDefault="0026452D" w:rsidP="0026452D">
      <w:pPr>
        <w:pStyle w:val="Extracto"/>
      </w:pPr>
      <w:r>
        <w:t>5.</w:t>
      </w:r>
      <w:r>
        <w:tab/>
        <w:t xml:space="preserve">La competencia exclusiva del Estado en materia de ‘legislación laboral’, </w:t>
      </w:r>
      <w:r w:rsidRPr="0026452D">
        <w:rPr>
          <w:i/>
        </w:rPr>
        <w:t>ex</w:t>
      </w:r>
      <w:r>
        <w:t xml:space="preserve"> art. 149.1.7 CE le habilita para prever estructuras organizativas que, configuradas como órganos de deliberación, consulta, o propuesta, vienen a responder finalidad de los principios de cooperación y colaboración, siempre y cuando las funciones atribuidas a dichos órganos no vengan a sustituir las competencias de ejecución que son propias de las Comunidades Autónomas (STC 244/2012) [FJ 4].</w:t>
      </w:r>
    </w:p>
    <w:p w:rsidR="0026452D" w:rsidRDefault="0026452D" w:rsidP="0026452D">
      <w:pPr>
        <w:pStyle w:val="Extracto"/>
      </w:pPr>
    </w:p>
    <w:p w:rsidR="0026452D" w:rsidRDefault="0026452D" w:rsidP="0026452D">
      <w:pPr>
        <w:pStyle w:val="Extracto"/>
      </w:pPr>
      <w:r>
        <w:t>6.</w:t>
      </w:r>
      <w:r>
        <w:tab/>
        <w:t xml:space="preserve">Las funciones atribuidas a la Fundación Estatal para la Formación en el Empleo de mero asesoramiento, información, puesta a disposición de herramientas técnicas para las empresas y apoyo técnico en acciones de evaluación, seguimiento y </w:t>
      </w:r>
      <w:r>
        <w:lastRenderedPageBreak/>
        <w:t>control, así como las de elaboración de estadísticas sobre formación continua en el ámbito de todo el territorio del Estado e informe anual sobre la gestión de la formación continua en las empresas, no implican el ejercicio de funciones de naturaleza ejecutiva ni de gestión y, en consecuencia, no invaden las competencias de ejecución que corresponden a las Comunidades Autónomas (STC 244/2012) [FJ 5].</w:t>
      </w:r>
    </w:p>
    <w:p w:rsidR="0026452D" w:rsidRDefault="0026452D" w:rsidP="0026452D">
      <w:pPr>
        <w:pStyle w:val="Extracto"/>
      </w:pPr>
    </w:p>
    <w:p w:rsidR="0026452D" w:rsidRDefault="0026452D" w:rsidP="0026452D">
      <w:pPr>
        <w:pStyle w:val="Extracto"/>
      </w:pPr>
      <w:r>
        <w:t>7.</w:t>
      </w:r>
      <w:r>
        <w:tab/>
        <w:t>La afirmación de que las empresas podrán desarrollar módulos formativos de alfabetización informática de acuerdo con las especificaciones que se establezcan por la Fundación Estatal para la Formación en el Empleo determina una intromisión en el ámbito ejecutivo de desenvolvimiento de la actividad formativa y, en consecuencia, la vulneración de las competencias que corresponden a las Comunidades Autónomas en ese ámbito [FJ 5].</w:t>
      </w:r>
    </w:p>
    <w:p w:rsidR="0026452D" w:rsidRDefault="0026452D" w:rsidP="0026452D">
      <w:pPr>
        <w:pStyle w:val="Extracto"/>
      </w:pPr>
    </w:p>
    <w:p w:rsidR="0026452D" w:rsidRDefault="0026452D" w:rsidP="0026452D">
      <w:pPr>
        <w:pStyle w:val="Extracto"/>
      </w:pPr>
      <w:r>
        <w:t>8.</w:t>
      </w:r>
      <w:r>
        <w:tab/>
        <w:t>Las previsiones que contemplan la comunicación a la Fundación Estatal para la Formación en el Empleo de determinadas actuaciones procedimentales, así como las facultades de ésta de requerir documentación, proceder a la publicación telemática de la misma o ejercer actividades de control, configuran a la fundación como órgano de intermediación o gestión en el procedimiento de ejecución de las acciones de formación continua excediendo las funciones atribuidas legalmente a la misma, lo que vulnera las competencias autonómicas [FJ 5].</w:t>
      </w:r>
    </w:p>
    <w:p w:rsidR="0026452D" w:rsidRDefault="0026452D" w:rsidP="0026452D">
      <w:pPr>
        <w:pStyle w:val="Extracto"/>
      </w:pPr>
    </w:p>
    <w:p w:rsidR="0026452D" w:rsidRDefault="0026452D" w:rsidP="0026452D">
      <w:pPr>
        <w:pStyle w:val="Extracto"/>
      </w:pPr>
      <w:r>
        <w:t>9.</w:t>
      </w:r>
      <w:r>
        <w:tab/>
        <w:t>Las funciones de coordinación que se atribuyen a la Fundación Estatal para la Formación en el Empleo, junto con las de información de las acciones formativas a la representación legal de los trabajadores, así como las de evaluación de la calidad de la formación continua en relación con la población activa y elaboración de informes, estudios o propuestas, responden a los principios generales de colaboración y cooperación entre el Estado y las Comunidades Autónomas, no siendo susceptibles de interferir o menoscabar las competencias ejecutivas que corresponden a las Comunidades Autónomas (SSTC 16/2003, 244/2012) [FJ 5].</w:t>
      </w:r>
    </w:p>
    <w:p w:rsidR="0026452D" w:rsidRDefault="0026452D" w:rsidP="0026452D">
      <w:pPr>
        <w:pStyle w:val="Extracto"/>
      </w:pPr>
    </w:p>
    <w:p w:rsidR="0026452D" w:rsidRDefault="0026452D" w:rsidP="0026452D">
      <w:pPr>
        <w:pStyle w:val="Extracto"/>
      </w:pPr>
      <w:r>
        <w:t>10.</w:t>
      </w:r>
      <w:r>
        <w:tab/>
        <w:t>No vulneran las competencias autonómicas las funciones atribuidas a la Comisión estatal de formación continua, por tratarse, en todos los casos, de funciones de mera elaboración o recepción de informes, que carecen de virtualidad para menoscabar las funciones de ejecución que corresponde a las Comunidades Autónomas [FJ 5].</w:t>
      </w:r>
    </w:p>
    <w:p w:rsidR="0026452D" w:rsidRDefault="0026452D" w:rsidP="0026452D">
      <w:pPr>
        <w:pStyle w:val="Extracto"/>
      </w:pPr>
    </w:p>
    <w:p w:rsidR="0026452D" w:rsidRDefault="0026452D" w:rsidP="0026452D">
      <w:pPr>
        <w:pStyle w:val="Extracto"/>
      </w:pPr>
      <w:r>
        <w:t>11.</w:t>
      </w:r>
      <w:r>
        <w:tab/>
        <w:t>La función de emisión de informes en materias de competencia estatal carece de virtualidad para vulnerar las competencias de las Comunidades Autónomas, más aún cuando tales informes tienen una dimensión supraterritorial y permiten el conocimiento de los datos globales de funcionamiento del subsistema de formación profesional continua, con el único objetivo de coadyuvar a su mejora, realizándose por un órgano técnico en el que se integran las Administraciones competentes (STC 16/2003) [FJ 5].</w:t>
      </w:r>
    </w:p>
    <w:p w:rsidR="0026452D" w:rsidRDefault="0026452D" w:rsidP="0026452D">
      <w:pPr>
        <w:pStyle w:val="Extracto"/>
      </w:pPr>
    </w:p>
    <w:p w:rsidR="0026452D" w:rsidRDefault="0026452D" w:rsidP="0026452D">
      <w:pPr>
        <w:pStyle w:val="Extracto"/>
      </w:pPr>
      <w:r>
        <w:t>12.</w:t>
      </w:r>
      <w:r>
        <w:tab/>
        <w:t xml:space="preserve">El establecimiento de un determinado modelo de financiación de las acciones de formación continua en las empresas, es una facultad que se inscribe en el ámbito propio de la ‘normación’ en materia laboral, que el art. 149.1.7 CE atribuye a la </w:t>
      </w:r>
      <w:r>
        <w:lastRenderedPageBreak/>
        <w:t>competencia exclusiva del Estado, circunscribiéndose la competencia autonómica a los exclusivos aspectos de ejecución o gestión del sistema arbitrado para regular esa formación (STC 244/2012) [FJ 6].</w:t>
      </w:r>
    </w:p>
    <w:p w:rsidR="0026452D" w:rsidRDefault="0026452D" w:rsidP="0026452D">
      <w:pPr>
        <w:pStyle w:val="Extracto"/>
      </w:pPr>
    </w:p>
    <w:p w:rsidR="0026452D" w:rsidRDefault="0026452D" w:rsidP="0026452D">
      <w:pPr>
        <w:pStyle w:val="Extracto"/>
      </w:pPr>
      <w:r>
        <w:t>13.</w:t>
      </w:r>
      <w:r>
        <w:tab/>
        <w:t>La encomienda a la Tesorería general de la recaudación de las cuotas de desempleo, fondo de garantía salarial y formación profesional, en tanto aquélla se efectúe conjuntamente con la de la Seguridad Social, es una función que, si bien por razones organizativas ha sido atribuida a la Tesorería General no cabe englobarla sin embargo, en el sector material consistente en la gestión del régimen económico de la Seguridad Social (SSTC 124/1989, 244/2012) [FJ 6].</w:t>
      </w:r>
    </w:p>
    <w:p w:rsidR="0026452D" w:rsidRDefault="0026452D" w:rsidP="0026452D">
      <w:pPr>
        <w:pStyle w:val="Extracto"/>
      </w:pPr>
    </w:p>
    <w:p w:rsidR="0026452D" w:rsidRDefault="0026452D" w:rsidP="0026452D">
      <w:pPr>
        <w:pStyle w:val="Extracto"/>
      </w:pPr>
      <w:r>
        <w:t>14.</w:t>
      </w:r>
      <w:r>
        <w:tab/>
        <w:t>Reconocida la competencia de la Tesorería general para la recaudación de las cuotas de formación profesional, ello conlleva el necesario desplazamiento hacia la misma de aquellas facultades, de carácter meramente instrumental, que resulten imprescindibles para el adecuado ejercicio de dicha función recaudatoria, sin que ello implique el ejercicio de competencias de ejecución del subsistema de formación continua que corresponden a las Comunidades Autónoma [FJ 6].</w:t>
      </w:r>
    </w:p>
    <w:p w:rsidR="0026452D" w:rsidRDefault="0026452D" w:rsidP="0026452D">
      <w:pPr>
        <w:pStyle w:val="Extracto"/>
      </w:pPr>
    </w:p>
    <w:p w:rsidR="0026452D" w:rsidRDefault="0026452D" w:rsidP="0026452D">
      <w:pPr>
        <w:pStyle w:val="Extracto"/>
      </w:pPr>
      <w:r>
        <w:t>15.</w:t>
      </w:r>
      <w:r>
        <w:tab/>
        <w:t>La evaluación global de las acciones de formación continua, la elaboración y ejecución de un plan anual de seguimiento de los recursos públicos destinados a dicha formación en las empresas, y el control interno de las actividades formativas, tienen por objeto el análisis y evaluación global del funcionamiento del subsistema, en un ámbito supraterritorial, sin menoscabo de las acciones que, con idénticas características, puedan desarrollar las Comunidades Autónomas en su ámbito territorial, lo que determina que hayan de encomendarse a un órgano estatal [FJ 6].</w:t>
      </w:r>
    </w:p>
    <w:p w:rsidR="0026452D" w:rsidRDefault="0026452D" w:rsidP="0026452D">
      <w:pPr>
        <w:pStyle w:val="Extracto"/>
      </w:pPr>
    </w:p>
    <w:p w:rsidR="0026452D" w:rsidRDefault="0026452D" w:rsidP="0026452D">
      <w:pPr>
        <w:pStyle w:val="Extracto"/>
      </w:pPr>
      <w:r>
        <w:t>16.</w:t>
      </w:r>
      <w:r>
        <w:tab/>
        <w:t>Las funciones que se atribuyen tanto a la Intervención General de la Administración del Estado como a la Inspección de Trabajo y Seguridad Social, se remiten, de forma expresa, a lo previsto en sus respectivas normas reguladoras, lo que permite entender que habrán de ser ejercidas en los ámbitos propios de la competencia estatal regulada en dichas normas, sin que por esta vía se produzca un menoscabo o interferencia en las que corresponden a las Comunidades Autónomas [FJ 6].</w:t>
      </w:r>
    </w:p>
    <w:p w:rsidR="0026452D" w:rsidRDefault="0026452D" w:rsidP="0026452D">
      <w:pPr>
        <w:pStyle w:val="Extracto"/>
      </w:pPr>
    </w:p>
    <w:p w:rsidR="0026452D" w:rsidRDefault="0026452D" w:rsidP="0026452D">
      <w:pPr>
        <w:pStyle w:val="Extracto"/>
      </w:pPr>
      <w:r>
        <w:t>17.</w:t>
      </w:r>
      <w:r>
        <w:tab/>
        <w:t>En los supuestos en que la delimitación de competencias se rige por el binomio legislación-ejecución, el Estado, en virtud de su competencia normativas, puede y debe articular los mecanismos de coordinación, colaboración e información recíproca que garanticen su uniformidad y establecer los criterios de conexión pertinentes, siempre que resulten constitucional y estatutariamente correctos, incluyendo la definición de aquellos supuestos en que, por las características de la acción formativa y la naturaleza de sus beneficiarios, se exceden las competencias autonómicas de ejecución (SSTC 243/1994, 244/2012) [FJ 7].</w:t>
      </w:r>
    </w:p>
    <w:p w:rsidR="0026452D" w:rsidRDefault="0026452D" w:rsidP="0026452D">
      <w:pPr>
        <w:pStyle w:val="Extracto"/>
      </w:pPr>
    </w:p>
    <w:p w:rsidR="0026452D" w:rsidRDefault="0026452D" w:rsidP="0026452D">
      <w:pPr>
        <w:pStyle w:val="Extracto"/>
      </w:pPr>
      <w:r>
        <w:t>18.</w:t>
      </w:r>
      <w:r>
        <w:tab/>
        <w:t xml:space="preserve">Al Tribunal Constitucional no le corresponde establecer los criterios sobre cuáles han de ser las modalidades organizativas y de gestión de los planes de empresa o planes agrupados que, por su dimensión supraterritorial u otros motivos, determinen la imposibilidad de su gestión por las Comunidades autónomas, sino que </w:t>
      </w:r>
      <w:r>
        <w:lastRenderedPageBreak/>
        <w:t>debe limitarse a examinar si los establecidos son acordes con la Constitución y los Estatutos (STC 95/2002) [FJ 7].</w:t>
      </w:r>
    </w:p>
    <w:p w:rsidR="0026452D" w:rsidRDefault="0026452D" w:rsidP="0026452D">
      <w:pPr>
        <w:pStyle w:val="Extracto"/>
      </w:pPr>
    </w:p>
    <w:p w:rsidR="0026452D" w:rsidRDefault="0026452D" w:rsidP="0026452D">
      <w:pPr>
        <w:pStyle w:val="Extracto"/>
      </w:pPr>
      <w:r>
        <w:t>19.</w:t>
      </w:r>
      <w:r>
        <w:tab/>
        <w:t>Doctrina sobre la eventual apreciación de la pérdida de objeto, derivada de modificaciones normativas, en procesos constitucionales de naturaleza competencial, según perviva, o no, la controversia competencial (SSTC 18/2011, 184/2012) [FJ 2 a)].</w:t>
      </w:r>
    </w:p>
    <w:p w:rsidR="0026452D" w:rsidRDefault="0026452D" w:rsidP="0026452D">
      <w:pPr>
        <w:pStyle w:val="Extracto"/>
      </w:pPr>
    </w:p>
    <w:p w:rsidR="0026452D" w:rsidRDefault="0026452D" w:rsidP="0026452D">
      <w:pPr>
        <w:pStyle w:val="Extracto"/>
      </w:pPr>
      <w:r>
        <w:t>20.</w:t>
      </w:r>
      <w:r>
        <w:tab/>
        <w:t xml:space="preserve">Doctrina sobre el </w:t>
      </w:r>
      <w:r w:rsidRPr="0026452D">
        <w:rPr>
          <w:i/>
        </w:rPr>
        <w:t>ius superveniens</w:t>
      </w:r>
      <w:r>
        <w:t xml:space="preserve"> (STC 1/2011) [FJ 2 b)].</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4593-2004 promovido por el Gobierno de la Generalitat de Cataluña, en relación con la Orden TAS/500/2004, de 13 de febrero, por la que se regula la financiación de las acciones de formación continua en las empresas, incluidos los permisos individuales de formación, en desarrollo del Real Decreto 1046/2003, de 1 de agosto, por el que se regula el subsistema de formación profesional continua. Ha comparecido y formulado alegaciones el Abogado del Estado. Ha sido Ponente el Presidente don Pascual Sala Sánchez,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día 14 de julio de 2004 tuvo entrada en el Registro General de este Tribunal Constitucional, escrito del Abogado de la Generalitat de Cataluña, por el que, en la representación que legalmente ostenta, interpone conflicto positivo de competencia, tramitado con el número 4593-2004, en relación con la Orden TAS/500/2004, de 13 de febrero, por la que se regula la financiación de las acciones de formación continua en las empresas, incluidos los permisos individuales de formación, en desarrollo del Real Decreto 1046/2003, de 1 de agosto, por el que se regula el subsistema de formación profesional continua.</w:t>
      </w:r>
    </w:p>
    <w:p w:rsidR="0026452D" w:rsidRDefault="0026452D" w:rsidP="0026452D">
      <w:pPr>
        <w:pStyle w:val="TextoNormal"/>
      </w:pPr>
    </w:p>
    <w:p w:rsidR="0026452D" w:rsidRDefault="0026452D" w:rsidP="0026452D">
      <w:pPr>
        <w:pStyle w:val="TextoNormal"/>
      </w:pPr>
      <w:r>
        <w:t xml:space="preserve">El Abogado de la Generalitat de Cataluña dirige el conflicto contra la Orden TAS/500/2004 en su totalidad, aunque en el texto de la demanda se citan una serie de preceptos concretos, en los que a juicio del mismo, se detecta de forma más clara la invasión </w:t>
      </w:r>
      <w:r>
        <w:lastRenderedPageBreak/>
        <w:t>de las competencias autonómicas. En el suplico de la demanda se solicita que se declare que la competencia controvertida corresponde a la Generalitat de Cataluña y que la referida disposición vulnera el orden constitucional de competencias y no es de aplicación en Cataluña. En otrosí se afirma que el presente conflicto guarda estrecha relación con el planteado por el Gobierno de la Generalitat contra el Real Decreto 1046/2003, de 1 de agosto, por lo que, dada la conexión entre las dos normas, se solicita al Tribunal que proceda, previa admisión a trámite, a su acumulación con el conflicto positivo de competencias núm. 7264-2003, promovido contra el mencionado Real Decreto 1046/2003, de 1 de agosto.</w:t>
      </w:r>
    </w:p>
    <w:p w:rsidR="0026452D" w:rsidRDefault="0026452D" w:rsidP="0026452D">
      <w:pPr>
        <w:pStyle w:val="TextoNormal"/>
      </w:pPr>
    </w:p>
    <w:p w:rsidR="0026452D" w:rsidRDefault="0026452D" w:rsidP="0026452D">
      <w:pPr>
        <w:pStyle w:val="TextoNormal"/>
      </w:pPr>
      <w:r>
        <w:t>El representante de la Generalitat de Cataluña fundamenta el presente conflicto en idénticos argumentos a los que en su momento motivaron la impugnación del Real Decreto 1046/2003, y fundamentalmente en considerar que, siendo de aplicación al presente supuesto lo señalado en el art. 149.1.7 CE, que atribuye al Estado competencia exclusiva en materia de legislación laboral, el Estado ha utilizado su competencia legislativa en materia laboral para impedir o dificultar la ejecución autonómica, asumida estatutariamente y oportunamente traspasada, vulnerando lo dispuesto en el bloque de constitucionalidad y lo señalado en la STC 95/2002, de 25 de abril. La impugnación se concreta a los siguientes aspectos:</w:t>
      </w:r>
    </w:p>
    <w:p w:rsidR="0026452D" w:rsidRDefault="0026452D" w:rsidP="0026452D">
      <w:pPr>
        <w:pStyle w:val="TextoNormal"/>
      </w:pPr>
    </w:p>
    <w:p w:rsidR="0026452D" w:rsidRDefault="0026452D" w:rsidP="0026452D">
      <w:pPr>
        <w:pStyle w:val="TextoNormal"/>
      </w:pPr>
      <w:r>
        <w:t>a) La impugnación dirigida contra la totalidad de la Orden, se fundamenta en que una de las principales novedades introducidas por el Real Decreto 1046/2003, de 1 de agosto, en la regulación del subsistema de formación profesional continua es que la financiación de las acciones de formación se articula, no por medio de subvenciones o ayudas públicas, sino a través de bonificaciones en la cuota de formación profesional; y ello implica que las funciones de control interno y externo de la formación continua, la declaración de improcedencia de las bonificaciones, junto con el procedimiento de reintegro, se atribuyen en el nuevo sistema a la Tesorería General de la Seguridad Social, que es quien recauda las cuotas, lo que da lugar a un menoscabo de las competencias de ejecución que corresponden a las Comunidades Autónomas.</w:t>
      </w:r>
    </w:p>
    <w:p w:rsidR="0026452D" w:rsidRDefault="0026452D" w:rsidP="0026452D">
      <w:pPr>
        <w:pStyle w:val="TextoNormal"/>
      </w:pPr>
    </w:p>
    <w:p w:rsidR="0026452D" w:rsidRDefault="0026452D" w:rsidP="0026452D">
      <w:pPr>
        <w:pStyle w:val="TextoNormal"/>
      </w:pPr>
      <w:r>
        <w:t>b) La orden atribuye gran parte de las funciones ejecutivas derivadas del nuevo sistema de financiación de las acciones de formación continua, a la Fundación Estatal para la Formación en el Empleo, privando de forma inadecuada de dichas funciones a las Comunidades Autónomas. Se afirma que, a las funciones atribuidas a esta fundación en el Real Decreto 1046/2003, se vienen a añadir en el texto de la orden otras nuevas que por su carácter ejecutivo forman parte de las competencias autonómicas, citándose, en concreto, las previstas en los arts. 5.2, 5.3, 9, 12, 13, 16.3, 17, 20.2, 21, 22, 23, 24, 29, 30, 32, 33, 34, disposición adicional tercera y disposición adicional cuarta.</w:t>
      </w:r>
    </w:p>
    <w:p w:rsidR="0026452D" w:rsidRDefault="0026452D" w:rsidP="0026452D">
      <w:pPr>
        <w:pStyle w:val="TextoNormal"/>
      </w:pPr>
    </w:p>
    <w:p w:rsidR="0026452D" w:rsidRDefault="0026452D" w:rsidP="0026452D">
      <w:pPr>
        <w:pStyle w:val="TextoNormal"/>
      </w:pPr>
      <w:r>
        <w:t xml:space="preserve">c) En esta misma línea, se afirma que la orden atribuye también a otros órganos del Estado competencias de ejecución que deberían reconocerse como propias de las Comunidades Autónomas. En concreto, el apartado 2 del art. 16, el apartado 2 de la disposición adicional quinta y el apartado 3 de la disposición adicional sexta asignan a la Tesorería General de la Seguridad Social la función de determinar cómo deberán aplicarse las bonificaciones, dictando, para ello las instrucciones que considere oportunas. Al Servicio Público de Empleo Estatal se le atribuyen en el apartado 1 del art. 31 funciones de evaluación de las acciones de formación continua, tanto en lo que se refiere a su planificación como a su ejecución; en el art. 34 se le atribuyen las actuaciones de seguimiento y control en tiempo real, </w:t>
      </w:r>
      <w:r>
        <w:lastRenderedPageBreak/>
        <w:t>una vez finalizada la ejecución de las acciones formativas bonificadas, sin que se prevea participación alguna de las Comunidades Autónomas; y en el art. 36.2 la facultad de efectuar la comprobación de la procedencia y exactitud de las deducciones que en forma de bonificaciones hayan sido practicadas por las empresas. A ello se añade la atribución de funciones ejecutivas a determinados órganos de control, en concreto a la Intervención General de la Administración del Estado (art. 35) y a la Inspección de Trabajo y Seguridad Social (art. 36.2). Y finalmente, los arts. 23.2, 33.2 y 34.3 atribuyen funciones de naturaleza ejecutiva a la Comisión estatal para la formación en el empleo.</w:t>
      </w:r>
    </w:p>
    <w:p w:rsidR="0026452D" w:rsidRDefault="0026452D" w:rsidP="0026452D">
      <w:pPr>
        <w:pStyle w:val="TextoNormal"/>
      </w:pPr>
    </w:p>
    <w:p w:rsidR="0026452D" w:rsidRDefault="0026452D" w:rsidP="0026452D">
      <w:pPr>
        <w:pStyle w:val="TextoNormal"/>
      </w:pPr>
      <w:r>
        <w:t>d) Considera asimismo la Comunidad Autónoma que la orden impugnada restringe indebidamente las escasas funciones ejecutivas que reconoce a las Comunidades Autónomas, puesto que exige que las empresas beneficiarias tengan todos sus centros de trabajo en el ámbito de una Comunidad Autónoma. En concreto se señala que en los arts. 17.3, 20.2 c), 23.1, 24.1, 29.3 y 30.1 se establece un punto de conexión restrictivo de las competencias autonómicas, pues la disposición adicional primera establece que las referencias contenidas en la orden a la “Administración competente” deben entenderse efectuadas a la Administración autonómica sólo cuando los centros de trabajo de la empresa beneficiaria se encuentren en el ámbito de una Comunidad Autónoma, correspondiendo en otro caso la competencia al Servicio Público de Empleo Estatal, lo que implica que solo con carácter residual, para el caso de que las acciones objeto de bonificación se centren en el ámbito territorial exclusivo de una Comunidad Autónoma, se prevé la participación de éstas, lo que no se ajusta a la doctrina del Tribunal Constitucional en materia de supraterritorialidad.</w:t>
      </w:r>
    </w:p>
    <w:p w:rsidR="0026452D" w:rsidRDefault="0026452D" w:rsidP="0026452D">
      <w:pPr>
        <w:pStyle w:val="TextoNormal"/>
      </w:pPr>
    </w:p>
    <w:p w:rsidR="0026452D" w:rsidRDefault="0026452D" w:rsidP="0026452D">
      <w:pPr>
        <w:pStyle w:val="TextoNormal"/>
      </w:pPr>
      <w:r w:rsidRPr="0026452D">
        <w:rPr>
          <w:rStyle w:val="NumeroAFNegritaCaracter"/>
        </w:rPr>
        <w:t>2</w:t>
      </w:r>
      <w:r>
        <w:t>. Este Tribunal, mediante providencia de la Sección Tercera de 21 de septiembre de 2004, admitió a trámite el conflicto positivo de competencia promovido por el Gobierno de la Generalitat de Cataluña, acordando dar traslado de las actuaciones al Gobierno de la Nación, por conducto de su Presidente, al objeto de que en el plazo de veinte días, y por medio de la representación procesal que señala el art. 82.2 de la Ley Orgánica del Tribunal Constitucional pudiera personarse en los autos y aportar cuantos documentos y alegaciones considerase convenientes. Se acordó asimismo comunicar la incoación del conflicto a la Sala de lo Contencioso-Administrativo del Tribunal Supremo por si ante la misma estuviera impugnado o se impugnara el referido Real Decreto, en cuyo caso se suspendería el curso del proceso hasta la decisión del conflicto, así como publicar la incoación del conflicto en el “Boletín Oficial del Estado” y en el “Diario Oficial de la Generalidad de Cataluña”.</w:t>
      </w:r>
    </w:p>
    <w:p w:rsidR="0026452D" w:rsidRDefault="0026452D" w:rsidP="0026452D">
      <w:pPr>
        <w:pStyle w:val="TextoNormal"/>
      </w:pPr>
    </w:p>
    <w:p w:rsidR="0026452D" w:rsidRDefault="0026452D" w:rsidP="0026452D">
      <w:pPr>
        <w:pStyle w:val="TextoNormal"/>
      </w:pPr>
      <w:r w:rsidRPr="0026452D">
        <w:rPr>
          <w:rStyle w:val="NumeroAFNegritaCaracter"/>
        </w:rPr>
        <w:t>3</w:t>
      </w:r>
      <w:r>
        <w:t>. El 15 de octubre de 2004 tuvo entrada en este Tribunal escrito de alegaciones del Abogado del Estado en el que solicita se tenga por evacuado el trámite conferido y, en su día, se dicte Sentencia desestimatoria de la demanda, declarando que la competencia controvertida corresponde al Estado.</w:t>
      </w:r>
    </w:p>
    <w:p w:rsidR="0026452D" w:rsidRDefault="0026452D" w:rsidP="0026452D">
      <w:pPr>
        <w:pStyle w:val="TextoNormal"/>
      </w:pPr>
    </w:p>
    <w:p w:rsidR="0026452D" w:rsidRDefault="0026452D" w:rsidP="0026452D">
      <w:pPr>
        <w:pStyle w:val="TextoNormal"/>
      </w:pPr>
      <w:r>
        <w:t>Comienza señalando el representante estatal que en el escrito de demanda se vienen a reproducir todas las injerencias competenciales ya denunciadas en relación con el conflicto positivo de competencias planteado contra el Real Decreto 1046/2003, siendo evidente la conexión con aquél conflicto. A su juicio, y como ya se señaló en el conflicto deducido contra el Real Decreto, el nuevo modelo de financiación no menoscaba las competencias ejecutivas de las Comunidades Autónomas, porque la intervención pública que está prevista en las acciones de formación continua en las empresas queda en manos de la “Administración competente”.</w:t>
      </w:r>
    </w:p>
    <w:p w:rsidR="0026452D" w:rsidRDefault="0026452D" w:rsidP="0026452D">
      <w:pPr>
        <w:pStyle w:val="TextoNormal"/>
      </w:pPr>
    </w:p>
    <w:p w:rsidR="0026452D" w:rsidRDefault="0026452D" w:rsidP="0026452D">
      <w:pPr>
        <w:pStyle w:val="TextoNormal"/>
      </w:pPr>
      <w:r>
        <w:t>A juicio del Abogado del Estado la materia regulada se incardina en el ámbito del art. 149.1.7 CE, sin que dicho encuadramiento sea objeto de discusión por la parte promotora del conflicto. Señala la Abogacía del Estado que los títulos competenciales que expresamente invoca el Estado para amparar la nueva regulación del subsistema de formación profesional continua son los previstos en el art. 149.1.7, 13 y 17 CE, siendo precisamente el previsto en la regla 17 el que justifica constitucionalmente la regulación de la financiación de las acciones de formación continua en las empresas, pues se trata de un sistema de financiación en el que cada empresa dispondrá de un crédito para formación que podrá hacer efectivo mediante la aplicación de bonificaciones a la Seguridad Social, una vez realizada tal formación. Así pues, en lo que se refiere a la bonificación de las cuotas de la Seguridad Social, está implicado el régimen económico de la Seguridad Social que es competencia exclusiva del Estado, por lo que a él corresponde conceder bonificaciones de la cuota empresarial de la Seguridad Social, en cuanto afecta a los ingresos o recursos de financiación de la caja única de la Seguridad Social.</w:t>
      </w:r>
    </w:p>
    <w:p w:rsidR="0026452D" w:rsidRDefault="0026452D" w:rsidP="0026452D">
      <w:pPr>
        <w:pStyle w:val="TextoNormal"/>
      </w:pPr>
    </w:p>
    <w:p w:rsidR="0026452D" w:rsidRDefault="0026452D" w:rsidP="0026452D">
      <w:pPr>
        <w:pStyle w:val="TextoNormal"/>
      </w:pPr>
      <w:r>
        <w:t>Las facultades de ejecución estatal encuentran asiento constitucional en dicha regla competencial, sin que ello signifique que las Comunidades Autónomas queden por entero marginadas de la estructura organizativa estatal, pues las previsiones organizativas que ya se contemplan en el Real Decreto 1046/2003, configuran un marco de colaboración que puede considerarse suficiente, no correspondiendo al Tribunal Constitucional pronunciarse sobre la adecuación y eficacia de las fórmulas elegidas como técnicas para dar curso a la necesaria cooperación entre el Estado y las Comunidades Autónomas.</w:t>
      </w:r>
    </w:p>
    <w:p w:rsidR="0026452D" w:rsidRDefault="0026452D" w:rsidP="0026452D">
      <w:pPr>
        <w:pStyle w:val="TextoNormal"/>
      </w:pPr>
    </w:p>
    <w:p w:rsidR="0026452D" w:rsidRDefault="0026452D" w:rsidP="0026452D">
      <w:pPr>
        <w:pStyle w:val="TextoNormal"/>
      </w:pPr>
      <w:r>
        <w:t>De acuerdo con el citado encuadramiento competencial, es al Estado a quien corresponde el control de la caja única de la Seguridad Social, lo que supone atribuirle la potestad ejecutiva cuando directamente recae sobre actividades económicas, por lo que la aplicación indebida de las bonificaciones en las cotizaciones de la Seguridad Social (art. 16.3) así como su correspondiente reintegro (art. 36) y consiguiente régimen sancionador (art. 37) son cuestiones que constituyen régimen económico, que solo pueden incumbir al Estado en tanto afectan al cumplimiento de las obligaciones recaudatorias.</w:t>
      </w:r>
    </w:p>
    <w:p w:rsidR="0026452D" w:rsidRDefault="0026452D" w:rsidP="0026452D">
      <w:pPr>
        <w:pStyle w:val="TextoNormal"/>
      </w:pPr>
    </w:p>
    <w:p w:rsidR="0026452D" w:rsidRDefault="0026452D" w:rsidP="0026452D">
      <w:pPr>
        <w:pStyle w:val="TextoNormal"/>
      </w:pPr>
      <w:r>
        <w:t>Para el representante estatal resulta innegable la necesidad de la existencia de una estructura organizativa de ámbito estatal en el subsistema de formación continua, debiendo reservarse el Estado algunas funciones concretas a través de órganos de coordinación y con intervención de los agentes sociales y de las Comunidades Autónomas, que realicen actividades de apoyo a las funciones normativas que le corresponden, funciones instrumentales respecto a las competencias ejecutivas que excepcionalmente pudieran atribuirse al mismo y funciones de evaluación y coordinación general del funcionamiento de todo el sistema de formación profesional continua.</w:t>
      </w:r>
    </w:p>
    <w:p w:rsidR="0026452D" w:rsidRDefault="0026452D" w:rsidP="0026452D">
      <w:pPr>
        <w:pStyle w:val="TextoNormal"/>
      </w:pPr>
    </w:p>
    <w:p w:rsidR="0026452D" w:rsidRDefault="0026452D" w:rsidP="0026452D">
      <w:pPr>
        <w:pStyle w:val="TextoNormal"/>
      </w:pPr>
      <w:r>
        <w:t xml:space="preserve">Las funciones previstas en los arts. 5 y 9 se insertan entre las que corresponden al Estado en materia de gestión de iniciativas formativas de ámbito supraautonómico y de asistencia y apoyo en dicho ámbito; las previsiones contenidas en los arts. 12, 13, y 16.3 se encuadran conceptualmente en la noción de gestión del patrimonio único de la Seguridad Social con la consiguiente reserva de la potestad ejecutiva al Estado. Frente a las imputaciones que se dirigen contra los arts.17, 20.3, 21, 23, y 29, se recuerda que el Estado necesita contar con </w:t>
      </w:r>
      <w:r>
        <w:lastRenderedPageBreak/>
        <w:t>la información que las empresas le suministran para hacer posible que éstas puedan bonificarse en sus cotizaciones a la Seguridad Social. La previsión de comunicación de información por las empresas a la Fundación Estatal para la Formación en el Empleo no obsta a que en ejercicio de las competencias ejecutivas que corresponden a las Comunidades Autónomas, éstas puedan recabar toda la información que precisen de las empresas, a través de los órganos que creen al efecto.</w:t>
      </w:r>
    </w:p>
    <w:p w:rsidR="0026452D" w:rsidRDefault="0026452D" w:rsidP="0026452D">
      <w:pPr>
        <w:pStyle w:val="TextoNormal"/>
      </w:pPr>
    </w:p>
    <w:p w:rsidR="0026452D" w:rsidRDefault="0026452D" w:rsidP="0026452D">
      <w:pPr>
        <w:pStyle w:val="TextoNormal"/>
      </w:pPr>
      <w:r>
        <w:t>El art. 24 de la orden, además de salvar expresamente las competencias autonómicas, contempla medidas de apoyo y asistencia a las pequeñas y medianas empresas, que, articuladas por la Fundación estatal, se dirigen a facilitar su acceso a la formación continua, lo que se traduce en su incapacidad de menoscabar o impedir el ejercicio de competencias por la respectiva Comunidad Autónoma. Por lo que se refiere a los arts. 30,32, 33 y 34, las funciones que se atribuyen a la fundación estatal derivan de la función de evaluación general del funcionamiento de todo el sistema de formación profesional continua que, como órgano técnico al servicio de todas las Administraciones, le corresponde, no siendo dichas actuaciones extrañas al régimen económico de la Seguridad Social, por lo que de nuevo cabría encuadrarlas en la noción de gestión del patrimonio único de la Seguridad Social, con la consiguiente reserva de la potestad ejecutiva al Estado. Las previsiones de las disposiciones adicionales tercera y cuarta son manifestaciones incuestionables de la función general de coordinación del funcionamiento de todo el sistema de formación profesional continua.</w:t>
      </w:r>
    </w:p>
    <w:p w:rsidR="0026452D" w:rsidRDefault="0026452D" w:rsidP="0026452D">
      <w:pPr>
        <w:pStyle w:val="TextoNormal"/>
      </w:pPr>
    </w:p>
    <w:p w:rsidR="0026452D" w:rsidRDefault="0026452D" w:rsidP="0026452D">
      <w:pPr>
        <w:pStyle w:val="TextoNormal"/>
      </w:pPr>
      <w:r>
        <w:t>El reproche competencial que se dirige contra la orden por atribuir a otros órganos del Estado —Tesorería General de la Seguridad Social, Servicio Público de Empleo Estatal, Intervención General de la Administración del Estado e Inspección de Trabajo y Seguridad Social— competencias de ejecución, parece contener una pretensión implícita de que la competencia de ejecución de la legislación laboral se extienda a una competencia de ejecución del régimen económico de la Seguridad Social. Y en lo que respecta al reproche dirigido contra la disposición adicional primera, nos encontramos en uno de los supuestos en los que la extraterritorialidad de la competencia autonómica y la naturaleza y contenido de la competencia controvertida, justifican la actuación de un órgano estatal, pues resulta imposible que una sola Comunidad Autónoma pueda llevar a cabo la gestión de las bonificaciones, teniendo en cuenta el interés general y las circunstancias concurrentes en cada una de las Comunidades Autónomas en las que existan centros de trabajo de la empresa; los datos necesarios para efectuar un control y seguimiento adecuados de los recursos públicos destinados a la formación continua en las empresas los tiene el Servicio Público de Empleo Estatal, por su capacidad de coordinación a nivel estatal, por lo que el seguimiento y control que una adecuada gestión requiere, solo desde el Estado se puede realizar, cuando las empresas beneficiarias tienen centros de trabajo en más de una Comunidad Autónoma.</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23 de abril de 2013 se acordó señalar para deliberación y votación de la presente Sentencia del mismo día,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El presente proceso constitucional tiene por objeto resolver el conflicto positivo de competencia planteado por el Gobierno de la Generalitat de Cataluña en relación con la Orden TAS/500/2004, de 13 de febrero, por la que se regula la financiación de las acciones </w:t>
      </w:r>
      <w:r>
        <w:lastRenderedPageBreak/>
        <w:t>de formación continua en las empresas, incluidos los permisos individuales de formación, en desarrollo del Real Decreto 1046/2003, de 1 de agosto, por el que se regula el subsistema de formación profesional continua.</w:t>
      </w:r>
    </w:p>
    <w:p w:rsidR="0026452D" w:rsidRDefault="0026452D" w:rsidP="0026452D">
      <w:pPr>
        <w:pStyle w:val="TextoNormal"/>
      </w:pPr>
    </w:p>
    <w:p w:rsidR="0026452D" w:rsidRDefault="0026452D" w:rsidP="0026452D">
      <w:pPr>
        <w:pStyle w:val="TextoNormal"/>
      </w:pPr>
      <w:r>
        <w:t>El Abogado de la Generalitat de Cataluña fundamenta el conflicto en idénticos argumentos a los que motivaron el dirigido contra el Real Decreto 1046/2003 y, fundamentalmente, en considerar que, siendo de aplicación al presente supuesto lo señalado en el art. 149.1.7 CE, que atribuye al Estado la competencia exclusiva en materia de legislación laboral, sin perjuicio de las competencias de ejecución que corresponden a las Comunidades Autónomas, la orden impugnada implica el ejercicio por el Estado de funciones de naturaleza ejecutiva en materia de gestión de la formación continua, que invaden las competencias estatutariamente asumidas por la Generalitat de Cataluña y contravienen lo señalado por la jurisprudencia constitucional, en especial en las Sentencias 95/2002, de 25 de abril, y 190/2002, de 17 de octubre.</w:t>
      </w:r>
    </w:p>
    <w:p w:rsidR="0026452D" w:rsidRDefault="0026452D" w:rsidP="0026452D">
      <w:pPr>
        <w:pStyle w:val="TextoNormal"/>
      </w:pPr>
    </w:p>
    <w:p w:rsidR="0026452D" w:rsidRDefault="0026452D" w:rsidP="0026452D">
      <w:pPr>
        <w:pStyle w:val="TextoNormal"/>
      </w:pPr>
      <w:r>
        <w:t>El Abogado del Estado afirma que los argumentos que sustentan el conflicto son los mismos que motivaron la impugnación del Real Decreto 1046/2003 y sostiene que la regulación impugnada se encuentra plenamente respaldada por los títulos competenciales del Estado, en especial por lo establecido en el art. 149.1.7 y 17 CE, competencia que le habilita para establecer un régimen jurídico unitario en materia de formación continua de trabajadores ocupados, así como para la adopción del modelo de financiación y organización de la misma que considere más eficaz, por lo que solicita la íntegra desestimación del recurso y la declaración de que la disposición impugnada es ajustada a la Constitución.</w:t>
      </w:r>
    </w:p>
    <w:p w:rsidR="0026452D" w:rsidRDefault="0026452D" w:rsidP="0026452D">
      <w:pPr>
        <w:pStyle w:val="TextoNormal"/>
      </w:pPr>
    </w:p>
    <w:p w:rsidR="0026452D" w:rsidRDefault="0026452D" w:rsidP="0026452D">
      <w:pPr>
        <w:pStyle w:val="TextoNormal"/>
      </w:pPr>
      <w:r w:rsidRPr="0026452D">
        <w:rPr>
          <w:rStyle w:val="NumeroAFNegritaCaracter"/>
        </w:rPr>
        <w:t>2</w:t>
      </w:r>
      <w:r>
        <w:t>. Una vez expuestas sintéticamente las posiciones de las partes que se enfrentan en este proceso, resulta conveniente realizar algunas precisiones de orden procesal, antes de proceder al examen de la cuestión de fondo.</w:t>
      </w:r>
    </w:p>
    <w:p w:rsidR="0026452D" w:rsidRDefault="0026452D" w:rsidP="0026452D">
      <w:pPr>
        <w:pStyle w:val="TextoNormal"/>
      </w:pPr>
    </w:p>
    <w:p w:rsidR="0026452D" w:rsidRDefault="0026452D" w:rsidP="0026452D">
      <w:pPr>
        <w:pStyle w:val="TextoNormal"/>
      </w:pPr>
      <w:r>
        <w:t>a) Es preciso, ante todo, determinar la vigencia de la controversia competencial en los términos en que ha sido planteada, a la vista de las modificaciones operadas en la Orden que es objeto del presente conflicto, tras la aprobación de la Orden TAS/2866/2004, de 9 de agosto, y de la Orden TAS/397/2006, de 8 de febrero. Resulta procedente para ello recordar nuestra específica doctrina en relación con las modificaciones normativas en procesos constitucionales de naturaleza competencial, para concretar con mayor claridad el problema de la eventual pérdida de objeto en estos procesos.</w:t>
      </w:r>
    </w:p>
    <w:p w:rsidR="0026452D" w:rsidRDefault="0026452D" w:rsidP="0026452D">
      <w:pPr>
        <w:pStyle w:val="TextoNormal"/>
      </w:pPr>
    </w:p>
    <w:p w:rsidR="0026452D" w:rsidRDefault="0026452D" w:rsidP="0026452D">
      <w:pPr>
        <w:pStyle w:val="TextoNormal"/>
      </w:pPr>
      <w:r>
        <w:t xml:space="preserve">Así, como señala la STC 184/2012, de 17 de octubre, remitiéndose a la STC 149/2012, de 5 de julio, “este Tribunal ha afirmado reiteradamente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18/2011, de 3 de marzo, FJ 3 y las allí citadas)”. Y es que, como se señala en la STC 133/2012, de 19 de junio, FJ 2, “en las controversias de alcance competencial es necesario apreciar los efectos que tiene sobre el conflicto la entrada en vigor de la nueva </w:t>
      </w:r>
      <w:r>
        <w:lastRenderedPageBreak/>
        <w:t>normativa reguladora de algunos de los aspectos en discusión. Dicha operación debe realizarse atendiendo en cada caso a las circunstancias concretas y, ante todo, a la pervivencia de la controversia competencial, esto es,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objeto del conflicto”. Doctrina que hemos reiterado en las SSTC 148/2012, de 5 de julio  FJ 2 b); 149/2012, FJ 2 b); y 161/2012, de 20 de septiembre, FJ 2.</w:t>
      </w:r>
    </w:p>
    <w:p w:rsidR="0026452D" w:rsidRDefault="0026452D" w:rsidP="0026452D">
      <w:pPr>
        <w:pStyle w:val="TextoNormal"/>
      </w:pPr>
    </w:p>
    <w:p w:rsidR="0026452D" w:rsidRDefault="0026452D" w:rsidP="0026452D">
      <w:pPr>
        <w:pStyle w:val="TextoNormal"/>
      </w:pPr>
      <w:r>
        <w:t>En el supuesto que nos ocupa, la modificación operada por la Orden TAS/2866/2004, de 9 de agosto, se limita a efectuar una ampliación del plazo previsto en el art. 21.3, para la comunicación de las acciones formativas; y la Orden TAS/397/2006, de 8 de febrero, contempla la coordinación de los organismos estatales de formación continua con las Comunidades Autónomas, en el ejercicio de determinadas funciones de ejecución. Se trata, en ambos casos, de modificaciones puntuales relativas a aspectos concretos, que no afectan al fondo de la controversia competencial planteada, ni en consecuencia a la pervivencia del conflicto en los términos en que ha sido formulado.</w:t>
      </w:r>
    </w:p>
    <w:p w:rsidR="0026452D" w:rsidRDefault="0026452D" w:rsidP="0026452D">
      <w:pPr>
        <w:pStyle w:val="TextoNormal"/>
      </w:pPr>
    </w:p>
    <w:p w:rsidR="0026452D" w:rsidRDefault="0026452D" w:rsidP="0026452D">
      <w:pPr>
        <w:pStyle w:val="TextoNormal"/>
      </w:pPr>
      <w:r>
        <w:t>Ha de tenerse en cuenta, además, que la Orden TAS/500/2004 desarrolla el Real Decreto 1046/2003, hoy derogado y sustituido por el Real Decreto 395/2007, de 23 de marzo, que se encuentra recurrido ante este Tribunal. Este último ha sido a su vez objeto de desarrollo por la Orden TAS/2307/2007, de 27 de julio, la cual responde a un esquema de formación profesional distinto, en el que se vuelven a fundir la formación profesional ocupacional y la continua, por lo que no se trata de una disposición derogatoria ni exactamente sucesora de la orden que ahora se examina, ni, en consecuencia, soluciona las cuestiones de competencia planteadas en el presente conflicto.</w:t>
      </w:r>
    </w:p>
    <w:p w:rsidR="0026452D" w:rsidRDefault="0026452D" w:rsidP="0026452D">
      <w:pPr>
        <w:pStyle w:val="TextoNormal"/>
      </w:pPr>
    </w:p>
    <w:p w:rsidR="0026452D" w:rsidRDefault="0026452D" w:rsidP="0026452D">
      <w:pPr>
        <w:pStyle w:val="TextoNormal"/>
      </w:pPr>
      <w:r>
        <w:t xml:space="preserve">b) Con posterioridad a la interposición del presente conflicto, se ha producido la reforma del Estatuto de Autonomía de Cataluña, llevada a cabo por la Ley Orgánica 6/2006, de 19 de julio, norma estatutaria que constituye parámetro de control del presente conflicto, en aplicación de nuestra doctrina sobre el </w:t>
      </w:r>
      <w:r w:rsidRPr="0026452D">
        <w:rPr>
          <w:i/>
        </w:rPr>
        <w:t>ius superveniens</w:t>
      </w:r>
      <w:r>
        <w:t>, conforme a la cual “el control de las normas que incurren en un posible exceso competencial debe hacerse de acuerdo a las normas del bloque de la constitucionalidad vigentes en el momento de dictar Sentencia” (STC 1/2011, de 14 de febrero, FJ 2, y doctrina allí citada), lo que determina que el análisis de la presente controversia haya de hacerse a la luz de la delimitación competencial que deriva de la mencionada reforma del Estatuto de Autonomía.</w:t>
      </w:r>
    </w:p>
    <w:p w:rsidR="0026452D" w:rsidRDefault="0026452D" w:rsidP="0026452D">
      <w:pPr>
        <w:pStyle w:val="TextoNormal"/>
      </w:pPr>
    </w:p>
    <w:p w:rsidR="0026452D" w:rsidRDefault="0026452D" w:rsidP="0026452D">
      <w:pPr>
        <w:pStyle w:val="TextoNormal"/>
      </w:pPr>
      <w:r>
        <w:t>c) Ha de tenerse en cuenta, asimismo, que el presente conflicto presenta una fundamental coincidencia con el tramitado bajo el número 7264-2003, que fue formulado por la Generalitat de Cataluña en relación con el Real Decreto 1046/2003, de 1 de agosto, por el que se regula el subsistema de formación profesional continua —del cual la presente Orden viene a ser desarrollo parcial— y los argumentos que lo sustentan se remiten reiteradamente a los esgrimidos en aquel supuesto. Ese conflicto ha sido resuelto por la reciente STC 244/2012, de 18 de diciembre, cuya doctrina, por tanto, es de directa aplicación al supuesto que nos ocupa, convirtiéndose en parámetro de referencia para resolver la presente impugnación.</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Entrando en el enjuiciamiento de fondo de la cuestión controvertida, y en lo que respecta, en primer término, a la determinación del título competencial aplicable, debemos </w:t>
      </w:r>
      <w:r>
        <w:lastRenderedPageBreak/>
        <w:t>remitirnos a lo señalado en el fundamento jurídico 4 de la STC 244/2012 (y reiterado en las SSTC 16/2013, de 31 de enero; 35/2013, de 14 de febrero y 62/2013, de 14 de marzo), en la que vinimos a afirmar que “sin excluir que el Estado pueda apelar al título competencial del art. 149.1.13 para la decisión de expandir el círculo de los beneficiarios de la actividad prevista como formación continua, hasta alcanzar a colectivos de trabajadores que no son propiamente trabajadores ocupados ni asalariados, el núcleo de la regulación, según la finalidad declarada por la norma, sigue siendo la formación profesional continua de trabajadores ocupados y asalariados, que tiene la consideración de ‘legislación laboral’ al amparo del art. 149.1.7 de la Constitución y cuya ejecución corresponde a las Comunidades Autónomas”. Rechazamos entonces la inserción de esta materia en el ámbito del art. 149.1.17 de la Constitución, afirmando que “la formación profesional no forma parte del Sistema de Seguridad Social, ni las cuotas abonadas en tal concepto son recursos de la Seguridad Social integrados en su caja única … el hecho de que los créditos destinados a formación tengan su origen en cotizaciones que se recaudan por la Tesorería General de la Seguridad Social, no implica que formen parte de la caja única de la Seguridad Social ni, en consecuencia que resulte de aplicación al presente supuesto, la competencia prevista en el art. 149.1.17 CE”.</w:t>
      </w:r>
    </w:p>
    <w:p w:rsidR="0026452D" w:rsidRDefault="0026452D" w:rsidP="0026452D">
      <w:pPr>
        <w:pStyle w:val="TextoNormal"/>
      </w:pPr>
    </w:p>
    <w:p w:rsidR="0026452D" w:rsidRDefault="0026452D" w:rsidP="0026452D">
      <w:pPr>
        <w:pStyle w:val="TextoNormal"/>
      </w:pPr>
      <w:r>
        <w:t>El reparto competencial en esta materia viene dado, pues, por lo dispuesto en el ya citado art. 149.1.7 CE y por el art. 170.1 del Estatuto de Autonomía de Cataluña; el primero de estos preceptos atribuye al Estado competencia exclusiva sobre legislación laboral “sin perjuicio de su ejecución por los órganos de las Comunidades Autónomas” y el segundo reconoce a la Generalitat “la competencia ejecutiva en materia de trabajo y relaciones laborales”, incluyendo a continuación un listado de potestades concretas, entre las que figuran en los párrafos b) y c) “las políticas activas de ocupación, que incluyen la formación de los demandantes de ocupación y de los trabajadores en activo, así como la gestión de las subvenciones correspondientes”, con participación en los “planes o actividades de formación que superen el ámbito territorial de Cataluña” y “las cualificaciones profesionales en Cataluña”.</w:t>
      </w:r>
    </w:p>
    <w:p w:rsidR="0026452D" w:rsidRDefault="0026452D" w:rsidP="0026452D">
      <w:pPr>
        <w:pStyle w:val="TextoNormal"/>
      </w:pPr>
    </w:p>
    <w:p w:rsidR="0026452D" w:rsidRDefault="0026452D" w:rsidP="0026452D">
      <w:pPr>
        <w:pStyle w:val="TextoNormal"/>
      </w:pPr>
      <w:r>
        <w:t xml:space="preserve">Como también hemos señalado reiteradamente, la expresión “legislación” que define la competencia exclusiva del Estado en materia laboral ha de ser entendida en sentido material, sea cual fuere el rango formal de las normas (STC 35/1982, de 14 de junio, FJ 2), y comprendiendo, por tanto, no sólo las leyes, sino también los reglamentos, pues la exigencia de uniformidad que informa el título competencial del Estado sobre legislación laboral </w:t>
      </w:r>
      <w:r w:rsidRPr="0026452D">
        <w:rPr>
          <w:i/>
        </w:rPr>
        <w:t>ex</w:t>
      </w:r>
      <w:r>
        <w:t xml:space="preserve"> art. 149.1.7 CE (STC 227/1998, de 26 de noviembre, FJ 9) determina, en definitiva, que ningún espacio de regulación externa les resta a las Comunidades Autónomas, las cuales únicamente pueden disponer de una competencia de mera ejecución de la normación estatal. La competencia autonómica de ejecución de la legislación laboral, incluye la emanación de reglamentos internos de organización de los servicios necesarios (SSTC 249/1988, de 20 de diciembre, FJ 2; y 158/2004, de 21 de septiembre, FJ 5) y de regulación de la propia competencia funcional de ejecución (STC 51/2006, de 16 de febrero, FJ 4) y, en general, “el desarrollo del conjunto de actuaciones preciso para la puesta en práctica de la normativa reguladora del conjunto del sistema de relaciones laborales” (STC 194/1994, de 23 de junio, FJ 3), así como la potestad sancionadora en la materia (SSTC 87/1985, de 16 de julio, FFJJ 1 y 2; 195/1996, de 28 de noviembre, FFJJ 8 y 9; y 81/2005, de 6 de abril, FJ 11).</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La impugnación dirigida contra la totalidad de la Orden TAS/500/2004 se fundamenta por la Generalitat de Cataluña en que el nuevo modelo de formación continua que se recoge en el Real Decreto 1046/2003, de 1 de agosto, implica una limitación de las competencias </w:t>
      </w:r>
      <w:r>
        <w:lastRenderedPageBreak/>
        <w:t>de ejecución de las Comunidades Autónomas, pues la sustitución de un sistema de subvenciones o ayudas públicas, por un sistema de financiación de las acciones de formación a través de bonificaciones en la cuota de formación profesional, determina que las funciones de control interno y externo, la declaración de improcedencia de la bonificación o el procedimiento de reintegro de la misma se atribuyan órganos del Estado, con el consiguiente menoscabo de las funciones de ejecución que, de acuerdo con el modelo anterior, venían siendo ejercidas por las Comunidades Autónomas.</w:t>
      </w:r>
    </w:p>
    <w:p w:rsidR="0026452D" w:rsidRDefault="0026452D" w:rsidP="0026452D">
      <w:pPr>
        <w:pStyle w:val="TextoNormal"/>
      </w:pPr>
    </w:p>
    <w:p w:rsidR="0026452D" w:rsidRDefault="0026452D" w:rsidP="0026452D">
      <w:pPr>
        <w:pStyle w:val="TextoNormal"/>
      </w:pPr>
      <w:r>
        <w:t xml:space="preserve">La argumentación esgrimida no puede prosperar, pues su objeto no es sino, con ocasión de la norma de desarrollo, volver a cuestionar la competencia del Estado para la aprobación del Real Decreto 1046/2003, cuestión que ya fue resuelta en la STC 244/2012, dictada precisamente con ocasión del conflicto positivo de competencias formulado por la Generalitat de Cataluña contra el citado Real Decreto, y en la que se vino a reconocer la competencia del Estado para efectuar la citada regulación, y, con ello, para la aprobación del nuevo modelo de formación continua, pues “cabe afirmar que el Estado, desde sus competencias en materia de legislación laboral </w:t>
      </w:r>
      <w:r w:rsidRPr="0026452D">
        <w:rPr>
          <w:i/>
        </w:rPr>
        <w:t>ex</w:t>
      </w:r>
      <w:r>
        <w:t xml:space="preserve"> art. 149.1.7 CE, está facultado para abordar la presente regulación, pero no puede ignorar que la competencia para su ejecución corresponde a la Comunidad Autónoma” (FJ 4). Reconocida la competencia del Estado para dictar la norma de cobertura, que la presente orden viene a desarrollar, debe excluirse la pretensión de impugnación por remisión global a lo dispuesto en aquélla, sin perjuicio del específico examen de los preceptos impugnados en este conflicto.</w:t>
      </w:r>
    </w:p>
    <w:p w:rsidR="0026452D" w:rsidRDefault="0026452D" w:rsidP="0026452D">
      <w:pPr>
        <w:pStyle w:val="TextoNormal"/>
      </w:pPr>
    </w:p>
    <w:p w:rsidR="0026452D" w:rsidRDefault="0026452D" w:rsidP="0026452D">
      <w:pPr>
        <w:pStyle w:val="TextoNormal"/>
      </w:pPr>
      <w:r w:rsidRPr="0026452D">
        <w:rPr>
          <w:rStyle w:val="NumeroAFNegritaCaracter"/>
        </w:rPr>
        <w:t>5</w:t>
      </w:r>
      <w:r>
        <w:t>. Se impugnan en el presente conflicto las funciones atribuidas a la Fundación Estatal para la Formación en el Empleo en los arts. 5.2 y 3, 9, 12, 13, 16.3, 17, 20.2, 21, 22, 23, 24, 29, 30, 32, 33, 34; disposición adicional tercera y disposición adicional cuarta. Se objeta a todos ellos que atribuyen a la fundación una serie de funciones que, por su naturaleza ejecutiva, corresponden a las Comunidades Autónomas, sin que el hecho de la participación autonómica en la citada fundación atenúe la invasión competencial (dada la naturaleza estatal de este órgano y el carácter minoritario de la participación autonómica), ni la inclusión de una cláusula de salvaguarda de las competencias autonómicas evite tampoco la vulneración competencial. La impugnación se extiende, asimismo, y con idénticos argumentos, a las funciones atribuidas a la Comisión estatal para la formación continua en los arts. 23.2, 33.2 y 34.3 de la Orden TAS/500/2004.</w:t>
      </w:r>
    </w:p>
    <w:p w:rsidR="0026452D" w:rsidRDefault="0026452D" w:rsidP="0026452D">
      <w:pPr>
        <w:pStyle w:val="TextoNormal"/>
      </w:pPr>
    </w:p>
    <w:p w:rsidR="0026452D" w:rsidRDefault="0026452D" w:rsidP="0026452D">
      <w:pPr>
        <w:pStyle w:val="TextoNormal"/>
      </w:pPr>
      <w:r>
        <w:t>La orden que es objeto de la presente impugnación, viene a regular una de las iniciativas de formación continua que se contemplan en el Real Decreto 1046/2003, en concreto, las llamadas “acciones de formación continua en las empresas, que incluyen los permisos individuales de formación” (art. 4), las cuales se caracterizan porque “se planifican, organizan y gestionan por las empresas para sus trabajadores, y que utilizan para su financiación la cuantía para formación continua asignada a cada una de ellas en función de su plantilla” (art. 7.1). Lo anterior implica que la ejecución y gestión de las acciones formativas queda en manos de las propias empresas, sin subordinación “a las directrices fijadas por los poderes públicos o por los acuerdos entre éstos y los interlocutores sociales” (STC 244/2012, de 18 de diciembre, FJ 6).</w:t>
      </w:r>
    </w:p>
    <w:p w:rsidR="0026452D" w:rsidRDefault="0026452D" w:rsidP="0026452D">
      <w:pPr>
        <w:pStyle w:val="TextoNormal"/>
      </w:pPr>
    </w:p>
    <w:p w:rsidR="0026452D" w:rsidRDefault="0026452D" w:rsidP="0026452D">
      <w:pPr>
        <w:pStyle w:val="TextoNormal"/>
      </w:pPr>
      <w:r>
        <w:t xml:space="preserve">El Real Decreto 1046/2003, regula una estructura organizativa y de participación en el subsistema de formación profesional continua, integrada por órganos en los que están representados tanto la Administración estatal como las Administraciones autonómicas y las </w:t>
      </w:r>
      <w:r>
        <w:lastRenderedPageBreak/>
        <w:t>propias organizaciones empresariales y sindicales, estructura de la que forman parte tanto la Comisión estatal de formación continua, como la Fundación Estatal para la Formación en el Empleo, y, en relación con la cual, la STC 244/2012, FJ 8, vino a considerar que “la competencia exclusiva del Estado en materia de ‘legislación laboral’ prevista en el art. 149.1.7 CE … le habilita para prever aquellas estructuras organizativas que, configuradas como órganos de deliberación, consulta o propuesta, vienen a responder adecuadamente a la finalidad que es propia de los principios de cooperación y colaboración, siempre y cuando a través de los mismos no se pretenda sustituir el ejercicio de las competencias de ejecución que son indisponibles e irrenunciables y que han de ejercerse precisamente por las Comunidades Autónomas”, y en la misma Sentencia se efectúa un análisis pormenorizado de las funciones atribuidas a estos dos órganos. Es, pues, en este marco en el que procede encuadrar el examen de los preceptos controvertidos.</w:t>
      </w:r>
    </w:p>
    <w:p w:rsidR="0026452D" w:rsidRDefault="0026452D" w:rsidP="0026452D">
      <w:pPr>
        <w:pStyle w:val="TextoNormal"/>
      </w:pPr>
    </w:p>
    <w:p w:rsidR="0026452D" w:rsidRDefault="0026452D" w:rsidP="0026452D">
      <w:pPr>
        <w:pStyle w:val="TextoNormal"/>
      </w:pPr>
      <w:r>
        <w:t>Un primer grupo de preceptos está constituido por aquéllos que atribuyen a la fundación funciones de asesoramiento, apoyo y asistencia técnica a las empresas, entre los que se encuentran, el art 5.2 (la fundación promoverá las medidas de apoyo previstas en el art. 11) y el art. 24 de la orden, en el que se concretan tales medidas de apoyo (actividades de información y difusión de iniciativas, creación de bases de datos que proporcionen información sobre recursos formativos y centros y entidades, asesoramiento sobre técnicas y herramientas informativas, potenciación de plataformas de teleinformación, promoción de mecanismos que faciliten a las empresas la obtención del certificado de firma digital e impulso de la agrupación voluntaria de empresas para la impartición de la formación). En este mismo marco se sitúan las funciones previstas en el art. 9.1 (puesta a disposición de las empresas de un modelo de certificado acreditativo de la formación), en la disposición adicional tercera (elaboración de un repertorio de acciones de formación continua) y en la disposición adicional cuarta (puesta a disposición de las empresas de una base de datos de centros y entidades proveedores de formación continua, en los términos previstos en el art. 24). Y tienen asimismo un mero carácter informativo las funciones contempladas en el art. 13 (establecimiento de criterios orientativos que permitan a la empresa identificar el módulo económico aplicable a cada acción formativa).</w:t>
      </w:r>
    </w:p>
    <w:p w:rsidR="0026452D" w:rsidRDefault="0026452D" w:rsidP="0026452D">
      <w:pPr>
        <w:pStyle w:val="TextoNormal"/>
      </w:pPr>
    </w:p>
    <w:p w:rsidR="0026452D" w:rsidRDefault="0026452D" w:rsidP="0026452D">
      <w:pPr>
        <w:pStyle w:val="TextoNormal"/>
      </w:pPr>
      <w:r>
        <w:t>Las anteriores funciones constituyen desarrollo directo de lo señalado en el art. 11 del Real Decreto 1046/2003, conforme al cual: “Con el fin de facilitar el acceso de las pequeñas y medianas empresas a la formación de sus trabajadores, y sin perjuicio del ejercicio por las Comunidades Autónomas de sus competencias, la Fundación Estatal para la Formación en el Empleo, regulada en el artículo 21, deberá prestarles, a través de sus medios propios, a través de las organizaciones empresariales y sindicales más representativas o de entidades externas, suficiente información y asesoramiento sobre centros, e instituciones formativas existentes, así como apoyo y asistencia técnica necesaria para satisfacer las necesidades de formación planteadas por las empresas, y posibilitará cuando sea necesario, su agrupación voluntaria.” En relación con dicho precepto, afirmamos en la STC 16/2013, FJ 9, que “en cuanto son funciones de mero asesoramiento y apoyo a las empresas, carecen de virtualidad para interferir o menoscabar el ejercicio de las competencias de ejecución que corresponden a las Comunidades Autónomas”.</w:t>
      </w:r>
    </w:p>
    <w:p w:rsidR="0026452D" w:rsidRDefault="0026452D" w:rsidP="0026452D">
      <w:pPr>
        <w:pStyle w:val="TextoNormal"/>
      </w:pPr>
    </w:p>
    <w:p w:rsidR="0026452D" w:rsidRDefault="0026452D" w:rsidP="0026452D">
      <w:pPr>
        <w:pStyle w:val="TextoNormal"/>
      </w:pPr>
      <w:r>
        <w:t xml:space="preserve">Las funciones atribuidas a la fundación en los preceptos señalados son funciones de mero asesoramiento, información y puesta a disposición de herramientas técnicas cuyo utilización </w:t>
      </w:r>
      <w:r>
        <w:lastRenderedPageBreak/>
        <w:t>no tiene carácter vinculante para las empresas, por lo que no implican el ejercicio de funciones de naturaleza ejecutiva ni son capaces de traducirse en actos de gestión y, en consecuencia no invaden las competencias de ejecución que corresponden a las Comunidades Autónomas. Participan de ese mismo carácter de funciones de apoyo técnico, las previstas en el art. 20.2 b) (apoyo técnico en acciones de evaluación y actuaciones de seguimiento y control) y en el art. 33.1 (apoyo técnico al Servicio Público de Empleo Estatal para la elaboración del plan anual de seguimiento y control de los recursos públicos destinados a la formación continua) y, en consecuencia, carecen de virtualidad para la vulneración de las competencias autonómicas.</w:t>
      </w:r>
    </w:p>
    <w:p w:rsidR="0026452D" w:rsidRDefault="0026452D" w:rsidP="0026452D">
      <w:pPr>
        <w:pStyle w:val="TextoNormal"/>
      </w:pPr>
    </w:p>
    <w:p w:rsidR="0026452D" w:rsidRDefault="0026452D" w:rsidP="0026452D">
      <w:pPr>
        <w:pStyle w:val="TextoNormal"/>
      </w:pPr>
      <w:r>
        <w:t>La anterior afirmación no puede hacerse extensiva a lo dispuesto en el art. 5.3 de la orden, en donde se dispone que las empresas podrán desarrollar módulos formativos de alfabetización informática “de acuerdo con las especificaciones” que se establezcan en la página de internet de la fundación estatal. En este supuesto, la sujeción de la actividad formativa de las empresas al cumplimiento de las especificaciones, esto es, las condiciones o criterios determinados por la fundación, implica la intromisión de ésta en el ámbito ejecutivo de desenvolvimiento de la actividad formativa y, en consecuencia, determina la vulneración de las competencias que corresponden a las Comunidades Autónomas en este ámbito.</w:t>
      </w:r>
    </w:p>
    <w:p w:rsidR="0026452D" w:rsidRDefault="0026452D" w:rsidP="0026452D">
      <w:pPr>
        <w:pStyle w:val="TextoNormal"/>
      </w:pPr>
    </w:p>
    <w:p w:rsidR="0026452D" w:rsidRDefault="0026452D" w:rsidP="0026452D">
      <w:pPr>
        <w:pStyle w:val="TextoNormal"/>
      </w:pPr>
      <w:r>
        <w:t>Tienen naturaleza ejecutiva y en consecuencia vulneran también las competencias autonómicas, aquellas previsiones del articulado de la orden que contemplan la “comunicación” a la fundación de determinadas actuaciones procedimentales, la facultad de ésta de “requerir” documentación, proceder a la publicación telemática de la misma, o ejercer actividades de “control”; esto es, aquel conjunto de facultades que configuran a la fundación como órgano de intermediación o gestión en el procedimiento de ejecución de las acciones de formación continua, y, por tanto, exceden las funciones atribuidas a la misma en el art. 21 del Real Decreto 1046/2003. Se incluyen en este ámbito las previsiones de los arts. 16.3, 20.2 a) y c), 21, 22.1 y 2, 24.1 e), 29.2 y 3, 32.3; y 34.2, así como también las recogidas en el art. 23, salvo el párrafo 2 de su apartado 2, que atribuye a la fundación la elaboración de estadísticas sobre formación continua en el ámbito de todo el territorio del Estado y la de elevar el informe anual sobre la gestión de la formación continua en las empresas, funciones que se insertan en el ámbito de lo dispuesto en el art. 21.1 d) del Real Decreto 1406/2003, cuya constitucionalidad se ha constatado por la STC 244/2012.</w:t>
      </w:r>
    </w:p>
    <w:p w:rsidR="0026452D" w:rsidRDefault="0026452D" w:rsidP="0026452D">
      <w:pPr>
        <w:pStyle w:val="TextoNormal"/>
      </w:pPr>
    </w:p>
    <w:p w:rsidR="0026452D" w:rsidRDefault="0026452D" w:rsidP="0026452D">
      <w:pPr>
        <w:pStyle w:val="TextoNormal"/>
      </w:pPr>
      <w:r>
        <w:t>El artículo 12 se dicta en desarrollo de lo previsto en los apartados 2 y 3 del art. 8 del Real Decreto 1046/2003, que viene a completar la definición normativa del nuevo modelo de financiación de las acciones de formación continua, en lo que respecta a la determinación del crédito para la formación en supuestos específicos. En este contexto, las funciones que se atribuyen a la fundación en el apartado 2 del art. 12, son funciones de coordinación que, por su propia naturaleza, no son susceptibles de interferir o menoscabar las competencias ejecutivas que corresponden a las Comunidades Autónomas, y que derivan de las que, con carácter general, se contemplan en el art. 21.1 b) del mencionado Real Decreto en materia de “coordinación”, que fueron declaradas constitucionales en la STC 244/2012, FJ 8 c).</w:t>
      </w:r>
    </w:p>
    <w:p w:rsidR="0026452D" w:rsidRDefault="0026452D" w:rsidP="0026452D">
      <w:pPr>
        <w:pStyle w:val="TextoNormal"/>
      </w:pPr>
    </w:p>
    <w:p w:rsidR="0026452D" w:rsidRDefault="0026452D" w:rsidP="0026452D">
      <w:pPr>
        <w:pStyle w:val="TextoNormal"/>
      </w:pPr>
      <w:r>
        <w:t xml:space="preserve">En este mismo ámbito se sitúan las funciones atribuidas a la fundación en el art. 17.2, 3 y 6, que desarrolla las previsiones contenidas en el art. 10 del Real Decreto 1046/2003, en materia de información de las acciones formativas a la representación legal de los trabajadores, y contempla el ejercicio por la fundación de funciones de coordinación y emisión de </w:t>
      </w:r>
      <w:r>
        <w:lastRenderedPageBreak/>
        <w:t>informes, que se subsumen en las contempladas en el art. 21.1 b) y c) del Real Decreto, cuya constitucionalidad fue también reconocida en el fundamento jurídico 8 c) de la STC 244/2012.</w:t>
      </w:r>
    </w:p>
    <w:p w:rsidR="0026452D" w:rsidRDefault="0026452D" w:rsidP="0026452D">
      <w:pPr>
        <w:pStyle w:val="TextoNormal"/>
      </w:pPr>
    </w:p>
    <w:p w:rsidR="0026452D" w:rsidRDefault="0026452D" w:rsidP="0026452D">
      <w:pPr>
        <w:pStyle w:val="TextoNormal"/>
      </w:pPr>
      <w:r>
        <w:t>El art. 30 viene a ser desarrollo de las previsiones contenidas en el art. 22.4 del Real Decreto 1046/2003, que contempla la realización por la fundación estatal de un estudio general de evaluación de la calidad de la formación continua en relación con la población activa, en aplicación de las previsiones contenidas en el art. 21.1 c) (que atribuye a la fundación la elaboración y propuesta de estudios e informes técnico-jurídicos sobre el subsistema de formación profesional continua). La función de evaluación del sistema atribuida a la fundación en este precepto, fue objeto de específico examen en la STC 16/2003, de 31 de enero, FJ 9, en donde se vino a señalar que “la función de emisión de informes en materias de competencia estatal carece de virtualidad para vulnerar las competencias que corresponden a las Comunidades Autónomas, más aún cuando, como en el caso que nos ocupa, tales informes tienen una dimensión supraterritorial, y permiten el conocimiento de los datos globales de funcionamiento del conjunto del subsistema, con el objetivo único de coadyuvar a la mejora del sistema en su conjunto, y se realizan por un órgano técnico en el que se integran las Administraciones competentes (estatal y autonómicas)”.</w:t>
      </w:r>
    </w:p>
    <w:p w:rsidR="0026452D" w:rsidRDefault="0026452D" w:rsidP="0026452D">
      <w:pPr>
        <w:pStyle w:val="TextoNormal"/>
      </w:pPr>
    </w:p>
    <w:p w:rsidR="0026452D" w:rsidRDefault="0026452D" w:rsidP="0026452D">
      <w:pPr>
        <w:pStyle w:val="TextoNormal"/>
      </w:pPr>
      <w:r>
        <w:t>La elaboración de informes, estudios o propuestas, como es el presente estudio de evaluación, responde a los principios generales de colaboración y cooperación entre el Estado y las Comunidades Autónomas y tiene por objeto favorecer la adecuada articulación de las respectivas competencias, sin que tales funciones sean susceptibles de alterar el marco competencial, permitiendo, al contrario, la coordinación entre las Administraciones implicadas con vistas a un funcionamiento del sistema más eficiente, y así se trasluce en los dos últimos incisos del precepto que se examina, en donde se señala que el objetivo de la investigación será obtener información contrastada sobre los recursos utilizados y las necesidades y prioridades de formación, con el fin de definir criterios para la mejora de la calidad de la formación, y se contempla, asimismo, que los resultados de los estudios serán difundidos entre las empresas y los responsables de la organización de la formación, así como entre las Administraciones responsables de la ordenación de la formación profesional. Procede, en consecuencia, rechazar la impugnación formulada contra este precepto.</w:t>
      </w:r>
    </w:p>
    <w:p w:rsidR="0026452D" w:rsidRDefault="0026452D" w:rsidP="0026452D">
      <w:pPr>
        <w:pStyle w:val="TextoNormal"/>
      </w:pPr>
    </w:p>
    <w:p w:rsidR="0026452D" w:rsidRDefault="0026452D" w:rsidP="0026452D">
      <w:pPr>
        <w:pStyle w:val="TextoNormal"/>
      </w:pPr>
      <w:r>
        <w:t>En esta misma línea, no vulneran tampoco las competencias autonómicas las funciones atribuidas a la Comisión estatal de formación continua en los arts. 23.2, 33.2 y 34.3, por tratarse, en todos los casos, de funciones de mera elaboración o recepción de informes, que carecen de virtualidad para menoscabar las funciones de ejecución que corresponde a las Comunidades Autónomas.</w:t>
      </w:r>
    </w:p>
    <w:p w:rsidR="0026452D" w:rsidRDefault="0026452D" w:rsidP="0026452D">
      <w:pPr>
        <w:pStyle w:val="TextoNormal"/>
      </w:pPr>
    </w:p>
    <w:p w:rsidR="0026452D" w:rsidRDefault="0026452D" w:rsidP="0026452D">
      <w:pPr>
        <w:pStyle w:val="TextoNormal"/>
      </w:pPr>
      <w:r w:rsidRPr="0026452D">
        <w:rPr>
          <w:rStyle w:val="NumeroAFNegritaCaracter"/>
        </w:rPr>
        <w:t>6</w:t>
      </w:r>
      <w:r>
        <w:t>. Un segundo grupo de preceptos impugnados está integrado por aquellos que, a juicio de la Comunidad Autónoma, atribuyen a órganos del Estado —Tesorería General de la Seguridad Social, Servicio Público de Empleo Estatal, Intervención General de la Administración del Estado e Inspección de Trabajo y Seguridad Social— competencias de ejecución de la legislación estatal que deberían reconocerse en favor de las Comunidades Autónomas.</w:t>
      </w:r>
    </w:p>
    <w:p w:rsidR="0026452D" w:rsidRDefault="0026452D" w:rsidP="0026452D">
      <w:pPr>
        <w:pStyle w:val="TextoNormal"/>
      </w:pPr>
    </w:p>
    <w:p w:rsidR="0026452D" w:rsidRDefault="0026452D" w:rsidP="0026452D">
      <w:pPr>
        <w:pStyle w:val="TextoNormal"/>
      </w:pPr>
      <w:r>
        <w:t xml:space="preserve">La Generalitat de Cataluña reconoce expresamente que las funciones de naturaleza ejecutiva atribuidas a estos órganos del Estado son consecuencia directa de la nueva regulación del subsistema de formación profesional continua que introduce el Real Decreto 1046/2003. </w:t>
      </w:r>
      <w:r>
        <w:lastRenderedPageBreak/>
        <w:t>En este sentido, no cabe sino recordar que el establecimiento de un determinado modelo de financiación de las acciones de formación continua en las empresas, “es una facultad que se inscribe en el ámbito propio de la ‘normación’ en materia laboral, que el art. 149.1.7 CE atribuye a la competencia exclusiva del Estado, y la competencia autonómica se circunscribe a los exclusivos aspectos de ejecución o gestión del sistema arbitrado para regular esa formación continua” (STC 244/2012, FJ 6). La definición del modelo, en este sentido, forma parte de la libertad de configuración del legislador estatal.</w:t>
      </w:r>
    </w:p>
    <w:p w:rsidR="0026452D" w:rsidRDefault="0026452D" w:rsidP="0026452D">
      <w:pPr>
        <w:pStyle w:val="TextoNormal"/>
      </w:pPr>
    </w:p>
    <w:p w:rsidR="0026452D" w:rsidRDefault="0026452D" w:rsidP="0026452D">
      <w:pPr>
        <w:pStyle w:val="TextoNormal"/>
      </w:pPr>
      <w:r>
        <w:t>El modelo que se recoge en el Real Decreto 1046/2003 supone, en efecto, una limitación de la acción ejecutiva de los poderes públicos, tanto estatales como autonómicos, pues, como ya hemos tenido ocasión de señalar, las acciones formativas no pivotan sobre los poderes públicos o los interlocutores sociales, sino que se incardinan en las propias empresas, ya que son éstas las que planifican, organizan y gestionan las acciones de formación, y las que utilizan para ello la cuantía asignada a cada una de ellas en función de su plantilla. En este nuevo modelo se modifica asimismo la financiación de las acciones formativas, ya que las empresas dejan de financiarse, principalmente, a través de ayudas o subvenciones públicas, gestionadas por las Administraciones competentes, y pasan a financiarse mediante bonificaciones en la cuota que las propias empresas ingresan en la Seguridad Social en concepto de formación profesional. Ello implica que se produzca un desplazamiento de la intervención administrativa en favor de las propias empresas, pero sin que por ello se prive a las Comunidades Autónomas de sus competencias de ejecución ni se pueda, en consecuencia, afirmar que el nuevo modelo haya ignorado las competencias ejecutivas que a éstas corresponden.</w:t>
      </w:r>
    </w:p>
    <w:p w:rsidR="0026452D" w:rsidRDefault="0026452D" w:rsidP="0026452D">
      <w:pPr>
        <w:pStyle w:val="TextoNormal"/>
      </w:pPr>
    </w:p>
    <w:p w:rsidR="0026452D" w:rsidRDefault="0026452D" w:rsidP="0026452D">
      <w:pPr>
        <w:pStyle w:val="TextoNormal"/>
      </w:pPr>
      <w:r>
        <w:t>Se impugnan, en primer término, las facultades atribuidas a la Tesorería General de la Seguridad Social en el art. 16.2, disposición adicional quinta, apartado 2 y disposición adicional sexta, apartado 3. Resulta oportuno recordar, a este respecto que, como afirmamos en el fundamento jurídico 4 de la STC 244/2012, “la formación profesional no forma parte del sistema de Seguridad Social, ni las cuotas abonadas en tal concepto con recursos de la Seguridad Social integrados en su caja única y así lo señaló la STC 124/1989, de 7 de julio … Afirma la Sentencia que la encomienda a la tesorería general de ‘la recaudación de las cuotas de desempleo, fondo de garantía salarial y formación profesional, en tanto aquélla se efectúe conjuntamente con la de la Seguridad Social … es ésta una función que, si bien por razones organizativas ha sido atribuida a la Tesorería General … no cabe englobarla sin embargo, en el sector material … consistente en la gestión del régimen económico de la Seguridad Social’.”</w:t>
      </w:r>
    </w:p>
    <w:p w:rsidR="0026452D" w:rsidRDefault="0026452D" w:rsidP="0026452D">
      <w:pPr>
        <w:pStyle w:val="TextoNormal"/>
      </w:pPr>
    </w:p>
    <w:p w:rsidR="0026452D" w:rsidRDefault="0026452D" w:rsidP="0026452D">
      <w:pPr>
        <w:pStyle w:val="TextoNormal"/>
      </w:pPr>
      <w:r>
        <w:t>Reconocida la competencia de la Tesorería para la recaudación de las cuotas de formación profesional, ello conlleva el necesario desplazamiento hacia la misma de aquellas facultades, de carácter meramente instrumental, que resulten imprescindibles para el adecuado ejercicio de dicha función recaudatoria, sin que ello implique el ejercicio de competencias de ejecución del subsistema de formación continua que corresponden a las Comunidades Autónoma.</w:t>
      </w:r>
    </w:p>
    <w:p w:rsidR="0026452D" w:rsidRDefault="0026452D" w:rsidP="0026452D">
      <w:pPr>
        <w:pStyle w:val="TextoNormal"/>
      </w:pPr>
    </w:p>
    <w:p w:rsidR="0026452D" w:rsidRDefault="0026452D" w:rsidP="0026452D">
      <w:pPr>
        <w:pStyle w:val="TextoNormal"/>
      </w:pPr>
      <w:r>
        <w:t xml:space="preserve">En este contexto, el artículo 16.2 se limita a contemplar aspectos puramente procedimentales o formales, relativos a los plazos en que las empresas deberán aplicar las bonificaciones en sus boletines de cotización a la Seguridad Social; la disposición adicional quinta, apartado 2 habilita a la Tesorería para determinar “la forma” en que haya de hacerse efectiva </w:t>
      </w:r>
      <w:r>
        <w:lastRenderedPageBreak/>
        <w:t>directamente por los centros de enseñanza concertados y los centros especiales de empleo, la bonificación, en los casos en que ésta sea superior a las cotizaciones a realizar; y la disposición adicional sexta, apartado 3 habilita a la Tesorería para dictar instrucciones sobre “la forma” en que han de aplicarse las bonificaciones en el supuesto específico de acciones formativas iniciadas el 1 de enero de 2004, con anterioridad a la entrada en vigor de la orden que se examina. Se trata en los tres supuestos de previsiones puramente auxiliares o instrumentales dirigidas a establecer criterios formales uniformes y homogéneos en el procedimiento recaudatorio y en la aplicación por las empresas de la bonificación que les corresponda en su cuota de formación profesional, criterios que por su propia naturaleza no son susceptibles de fragmentación territorial y que, por razones organizativas y de eficiencia, se fijan por el órgano estatal que ha asumido la función de recaudación de la cuota de formación profesional. Se estima, en consecuencia, que estos preceptos no vulneran las competencias de ejecución que corresponden a las Comunidades Autónomas.</w:t>
      </w:r>
    </w:p>
    <w:p w:rsidR="0026452D" w:rsidRDefault="0026452D" w:rsidP="0026452D">
      <w:pPr>
        <w:pStyle w:val="TextoNormal"/>
      </w:pPr>
    </w:p>
    <w:p w:rsidR="0026452D" w:rsidRDefault="0026452D" w:rsidP="0026452D">
      <w:pPr>
        <w:pStyle w:val="TextoNormal"/>
      </w:pPr>
      <w:r>
        <w:t>Se impugnan, en segundo lugar, las funciones atribuidas al Servicio Público de Empleo Estatal en los arts. 31.1, 33 y 34.1, que son trasunto de las contempladas en los arts. 22 y 23.1 del Real Decreto 1046/2003 y que se refieren a: la evaluación global de las acciones de formación continua, con la finalidad de extraer conclusiones que puedan servir para introducir mejoras en el funcionamiento del subsistema; la elaboración y ejecución de un plan anual de seguimiento y control de los recursos públicos destinados a la formación continua en las empresas, y el control interno de las actividades formativas, funciones que se realizan en colaboración con la Fundación Estatal de Formación Continua y según lo acordado por la Comisión estatal de formación continua. Las funciones reseñadas tienen por objeto el seguimiento, análisis y evaluación global del funcionamiento del subsistema de formación profesional continua, se realizan y afectan al conjunto del territorio y, en consecuencia tienen un ámbito supraterritorial que determina que hayan de encomendarse a un órgano estatal —el Servicio Público de Empleo Estatal—, constituyendo, además, complemento indispensable para la eficacia en la adopción de las decisiones legislativas que afectan a la ordenación del conjunto del subsistema. Las actividades de ejecución que en los citados preceptos se contemplan, no tienen otro alcance que el de recabar, tratar y analizar los datos que se aporten desde las distintas partes del territorio, y, a ello, responde también la modificación operada por la Orden TAS/397/2006, que vino a contemplar específicamente que dicha ejecución habría de realizarse “en coordinación con los órganos o entidades correspondientes de las Comunidades Autónomas”, sin que tales funciones impliquen vulneración o menoscabo de las que, con idénticas características, puedan desarrollar las Comunidades Autónomas en su ámbito territorial, por lo que no se vulneran las competencias autonómicas de ejecución (STC 16/2013, FJ 9).</w:t>
      </w:r>
    </w:p>
    <w:p w:rsidR="0026452D" w:rsidRDefault="0026452D" w:rsidP="0026452D">
      <w:pPr>
        <w:pStyle w:val="TextoNormal"/>
      </w:pPr>
    </w:p>
    <w:p w:rsidR="0026452D" w:rsidRDefault="0026452D" w:rsidP="0026452D">
      <w:pPr>
        <w:pStyle w:val="TextoNormal"/>
      </w:pPr>
      <w:r>
        <w:t>En lo que respecta a la impugnación dirigida contra los arts. 35 y 36.2, las funciones que en estos preceptos se atribuyen tanto a la Intervención General de la Administración del Estado como a la propia Inspección de Trabajo y Seguridad Social, se remiten, de forma expresa, a lo previsto en sus respectivas normas reguladoras, lo que permite entender con claridad que habrán de ser ejercidas en los ámbitos propios de la competencia estatal regulada en dichas normas, sin que por esta vía se produzca en ningún caso una ampliación de las funciones atribuidas a dichos órganos ni, en consecuencia, un menoscabo o interferencia en las que corresponden a las Comunidades Autónomas en relación con aquellas acciones formativas que se desarrollen en sus respectivos ámbitos territoriales.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7</w:t>
      </w:r>
      <w:r>
        <w:t>. Por último, la impugnación se dirige contra lo señalado en la disposición adicional primera de la Orden TAS/500/2004, en la que se contiene una cláusula general delimitadora de competencia, en virtud de la cual, se entiende por “Administración competente”, a efectos de lo previsto en la orden, a la Administración autonómica “cuando las empresas beneficiarias tengan todos sus centros de trabajo en el ámbito de una Comunidad Autónoma”; en tanto que la referencia se entenderá efectuada al Servicio Público de Empleo Estatal, “cuando las empresas beneficiarias tengan sus centros de trabajo en más de una Comunidad Autónoma”. A juicio de la Generalitat de Cataluña, ello supone el establecimiento de un punto de conexión para el ejercicio de las respectivas competencias, absolutamente restrictivo de las que corresponden a las Comunidades Autónomas, y que no se ajusta a la doctrina constitucional en materia de supraterritorialidad, en cuanto la atribución competencial en favor del Estado no se basa en la imposibilidad de fraccionamiento de la actividad ni se justifica en la imposibilidad o falta de idoneidad del recurso a mecanismos de cooperación o colaboración.</w:t>
      </w:r>
    </w:p>
    <w:p w:rsidR="0026452D" w:rsidRDefault="0026452D" w:rsidP="0026452D">
      <w:pPr>
        <w:pStyle w:val="TextoNormal"/>
      </w:pPr>
    </w:p>
    <w:p w:rsidR="0026452D" w:rsidRDefault="0026452D" w:rsidP="0026452D">
      <w:pPr>
        <w:pStyle w:val="TextoNormal"/>
      </w:pPr>
      <w:r>
        <w:t>No está en discusión que es al Estado a quien corresponde la fijación del punto de conexión. Como ya hemos tenido ocasión de señalar en numerosas ocasiones, en aquellos supuestos en que la delimitación de competencias se rige por el binomio legislación-ejecución “el Estado, en virtud de sus competencias normativas, puede y debe articular los mecanismos de coordinación que garanticen la uniformidad de la disciplina … y, desde luego, establecer los criterios de conexión pertinentes, siempre que resulten constitucional y estatutariamente correctos (STC 243/1994, fundamento jurídico 3) y los imprescindibles mecanismos de colaboración e información recíproca” (STC 208/1999, de 11 de noviembre, FJ 6). Con más precisión, en materia de formación continua recordábamos recientemente en nuestra STC 244/2012, FJ 7, que, “el Estado posee competencias normativas plenas, lo que le habilita para establecer la completa disciplina normativa, incluyendo la definición de aquellos supuestos en que, por las características de la acción formativa y la naturaleza de sus beneficiarios, se exceden las competencias autonómicas de ejecución”.</w:t>
      </w:r>
    </w:p>
    <w:p w:rsidR="0026452D" w:rsidRDefault="0026452D" w:rsidP="0026452D">
      <w:pPr>
        <w:pStyle w:val="TextoNormal"/>
      </w:pPr>
    </w:p>
    <w:p w:rsidR="0026452D" w:rsidRDefault="0026452D" w:rsidP="0026452D">
      <w:pPr>
        <w:pStyle w:val="TextoNormal"/>
      </w:pPr>
      <w:r>
        <w:t>En relación con los puntos de conexión hemos indicado que éstos “concretan el principio de territorialidad de las competencias autonómicas, materializando la ‘vinculación directa’ (STC 330/1994, de 15 de diciembre) de la actividad sobre la que se ejercen y el territorio autonómico” (STC 173/2005, de 23 de junio, FJ 11) lo que trasladado al supuesto que nos ocupa, nos obliga a volver sobre las especialidades de la intervención pública en el ámbito de la formación continua.</w:t>
      </w:r>
    </w:p>
    <w:p w:rsidR="0026452D" w:rsidRDefault="0026452D" w:rsidP="0026452D">
      <w:pPr>
        <w:pStyle w:val="TextoNormal"/>
      </w:pPr>
    </w:p>
    <w:p w:rsidR="0026452D" w:rsidRDefault="0026452D" w:rsidP="0026452D">
      <w:pPr>
        <w:pStyle w:val="TextoNormal"/>
      </w:pPr>
      <w:r>
        <w:t xml:space="preserve">En efecto, como antes hemos recordado, el modelo de financiación de la formación continua que diseña el Real Decreto 1046/2003, y que la presente orden viene a desarrollar, se caracteriza porque pivota alrededor de las empresas, que son las que gestionan las acciones formativas y su financiación a través de las bonificaciones en la cuota, lo que hace que, como señala el art. 3 de la orden, sean éstas las que se configuran como beneficiarias directas del régimen de financiación pública. Esto determina que la intervención administrativa, incluidas las funciones de naturaleza ejecutiva, haya de ejercerse, necesariamente, de forma unitaria y homogénea sobre ese núcleo empresarial que constituye el objeto exclusivo sobre el que recae la actuación pública en esta materia, pues, en la configuración legislativa del subsistema de formación continua que efectúa el Real Decreto 1046/2003, tanto la planificación, ejecución y gestión de las acciones de formación, como la aplicación del régimen de financiación de las mismas, mediante bonificaciones en la cuota empresarial, se llevan </w:t>
      </w:r>
      <w:r>
        <w:lastRenderedPageBreak/>
        <w:t>cabo de forma única y conjunta por las empresas y, consecuentemente, la actuación administrativa ha de ajustarse a ese mismo punto de conexión, no siendo susceptible de fraccionamiento, pues ello daría lugar a un tratamiento heterogéneo en función de la ubicación territorial de los diferentes centros de trabajo, que resulta incompatible con los criterios legislativos expuestos. Dicho lo anterior, es también evidente que la determinación de la competencia no puede depender solo de la estructura de la empresa, sino que habrá de atender en cada caso al efectivo alcance y afectación de las acciones formativas, de modo que no se impida que empresas de implantación nacional, con centros de trabajo en más de una Comunidad Autónoma, puedan planificar y llevar a cabo actividades de formación de dimensión autonómica.</w:t>
      </w:r>
    </w:p>
    <w:p w:rsidR="0026452D" w:rsidRDefault="0026452D" w:rsidP="0026452D">
      <w:pPr>
        <w:pStyle w:val="TextoNormal"/>
      </w:pPr>
    </w:p>
    <w:p w:rsidR="0026452D" w:rsidRDefault="0026452D" w:rsidP="0026452D">
      <w:pPr>
        <w:pStyle w:val="TextoNormal"/>
      </w:pPr>
      <w:r>
        <w:t>En la STC 95/2002 ya advertimos que no nos corresponde “establecer los criterios sobre cuáles han de ser las modalidades organizativas y de gestión de los planes de empresa o planes agrupados que, por su dimensión supraterritorial u otros motivos, determinen la imposibilidad de su gestión por la Generalidad de Cataluña” (FJ 16), sino que hemos de limitarnos a examinar si los establecidos son acordes con la Constitución y los Estatutos. Pues bien, la disposición adicional primera de la Orden TAS/500/2004, al tomar como referencia a las empresas beneficiarias, establece un criterio de delimitación competencial congruente con el régimen jurídico configurado en el Real Decreto 1046/2003, en virtud del cual, las acciones formativas no se subordinan a las directrices fijadas por los poderes públicos o por los acuerdos entre éstos y los interlocutores sociales, sino que se incardinan en las propias empresas, que son las que planifican, organizan y gestionan las acciones de formación continua para sus trabajadores y las que utilizan la cuantía asignada a cada una de ellas en función de su plantilla. En nuestra STC 244/2012 consideramos legítima y no contraria al marco competencial esa opción de configuración adoptada por el Estado. La disposición adicional primera de la orden no hace más que acoger un criterio que efectivamente atiende en primer término a las empresas beneficiarias, responsables de la planificación de las acciones formativas, una determinación que no conculca las competencias autonómicas.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Declarar que los arts. 5.3, 16.3, 20.2 a) y c), 21, 22.1 y 2, 23 (salvo el párrafo 2 del apartado 2), 24.1 e), 29.2 y 3, 32.3 y 34.2 de la Orden TAS/500/2004 vulneran las competencias del Generalitat de Cataluña.</w:t>
      </w:r>
    </w:p>
    <w:p w:rsidR="0026452D" w:rsidRDefault="0026452D" w:rsidP="0026452D">
      <w:pPr>
        <w:pStyle w:val="TextoNormal"/>
      </w:pPr>
    </w:p>
    <w:p w:rsidR="0026452D" w:rsidRDefault="0026452D" w:rsidP="0026452D">
      <w:pPr>
        <w:pStyle w:val="TextoNormal"/>
      </w:pPr>
      <w:r>
        <w:t>2º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veintitrés de abril de dos mil trece.</w:t>
      </w:r>
    </w:p>
    <w:p w:rsidR="0026452D" w:rsidRDefault="0026452D" w:rsidP="0026452D">
      <w:pPr>
        <w:pStyle w:val="ParrafoNormal"/>
      </w:pPr>
    </w:p>
    <w:p w:rsidR="0026452D" w:rsidRDefault="0026452D" w:rsidP="0026452D">
      <w:pPr>
        <w:pStyle w:val="TextoNormalNegritaCentrado"/>
        <w:keepNext/>
      </w:pPr>
      <w:r>
        <w:lastRenderedPageBreak/>
        <w:t>Voto particular que formula el Magistrado don Luis Ignacio Ortega Álvarez al que se adhiere la Magistrada doña Adela Asua Batarrita respecto de la Sentencia dictada en el conflicto positivo de competencia núm. 4593-2004.</w:t>
      </w:r>
    </w:p>
    <w:p w:rsidR="0026452D" w:rsidRDefault="0026452D" w:rsidP="0026452D">
      <w:pPr>
        <w:pStyle w:val="TextoNormalNegritaCentrado"/>
        <w:keepNext/>
      </w:pPr>
    </w:p>
    <w:p w:rsidR="0026452D" w:rsidRDefault="0026452D" w:rsidP="0026452D">
      <w:pPr>
        <w:pStyle w:val="TextoNormal"/>
      </w:pPr>
      <w:r>
        <w:t>En el ejercicio de la facultad que me confiere el art. 90.2 de la Ley Orgánica del Tribunal Constitucional y con el máximo respeto a la opinión de la mayoría del Tribunal recogida en la Sentencia, formulo el presente Voto particular, al discrepar en parte de la fundamentación jurídica y el fallo de la Sentencia que ha resuelto el conflicto positivo de competencia núm. 4593-2004 promovido por el Gobierno de la Generalitat de Cataluña, en relación con la Orden TAS/500/2004, de 13 de febrero, por la que se regula la financiación de las acciones de formación continua en las empresas, incluidos los permisos individuales de formación, en desarrollo del Real Decreto 1046/2003, de 1 de agosto, por el que se regula el subsistema de formación profesional continua.</w:t>
      </w:r>
    </w:p>
    <w:p w:rsidR="0026452D" w:rsidRDefault="0026452D" w:rsidP="0026452D">
      <w:pPr>
        <w:pStyle w:val="TextoNormal"/>
      </w:pPr>
    </w:p>
    <w:p w:rsidR="0026452D" w:rsidRDefault="0026452D" w:rsidP="0026452D">
      <w:pPr>
        <w:pStyle w:val="TextoNormal"/>
      </w:pPr>
      <w:r>
        <w:t>Mi discrepancia se centra exclusivamente en el fundamento jurídico 7 de la Sentencia. En ese fundamento jurídico se enjuicia la disposición adicional primera de la norma impugnada, que contiene una cláusula general delimitadora de competencia, en virtud de la cual, se entiende por “Administración competente”, a efectos de lo previsto en la Orden, a la Administración autonómica “cuando las empresas beneficiarias tengan todos sus centros de trabajo en el ámbito de una Comunidad Autónoma”; en tanto que la referencia se entenderá efectuada al Servicio Público de Empleo Estatal (INEM), “cuando las empresas beneficiarias tengan sus centros de trabajo en más de una Comunidad Autónoma”. La Sentencia de la mayoría desestima la impugnación argumentando que “el modelo de financiación de la formación continua que diseña el Real Decreto 1046/2003, y que la presente orden viene a desarrollar, se caracteriza porque pivota alrededor de las empresas, que son las que gestionan las acciones formativas y su financiación a través de las bonificaciones en la cuota, lo que hace que, como señala el art. 3 de la Orden, sean éstas las que se configuran como beneficiarias directas del régimen de financiación pública. Esto determina que la intervención administrativa, incluidas las funciones de naturaleza ejecutiva, haya de ejercerse, necesariamente, de forma unitaria y homogénea sobre ese núcleo empresarial que constituye el objeto exclusivo sobre el que recae la actuación pública en esta materia”. A ello se añade que una solución distinta “daría lugar a un tratamiento heterogéneo en función de la ubicación territorial de los diferentes centros de trabajo” así como que “la determinación de la competencia no puede depender solo de la estructura de la empresa, sino que habrá de atender en cada caso al efectivo alcance y afectación de las acciones formativas, de modo que no se impida que empresas de implantación nacional, con centros de trabajo en más de una Comunidad Autónoma, puedan planificar y llevar a cabo actividades de formación de dimensión autonómica”, para finalizar dejando sentado que se trata de una solución congruente con la doctrina de la STC 244/2012.</w:t>
      </w:r>
    </w:p>
    <w:p w:rsidR="0026452D" w:rsidRDefault="0026452D" w:rsidP="0026452D">
      <w:pPr>
        <w:pStyle w:val="TextoNormal"/>
      </w:pPr>
    </w:p>
    <w:p w:rsidR="0026452D" w:rsidRDefault="0026452D" w:rsidP="0026452D">
      <w:pPr>
        <w:pStyle w:val="TextoNormal"/>
      </w:pPr>
      <w:r>
        <w:t xml:space="preserve">Discrepo de la argumentación que conduce a declarar la constitucionalidad de la disposición adicional primera. Es indiscutible que esta norma atribuye a un órgano estatal competencias ejecutivas en el ámbito de la formación profesional continua por el hecho de que “las empresas beneficiarias tengan sus centros de trabajo en más de una Comunidad Autónoma”. Es decir, está, directamente, utilizando la supraterritorialidad como criterio determinante de la atribución de competencias al Estado, algo expresamente vedado por la doctrina constitucional (en particular, STC 194/2011, de 13 de diciembre, en la que, en relación a una cuestión relativa también al ámbito laboral, se utilizaba el mismo criterio, que allí se </w:t>
      </w:r>
      <w:r>
        <w:lastRenderedPageBreak/>
        <w:t>declaró contrario al orden constitucional de distribución de competencias). De hecho, aplicando esa doctrina, que no es tenida en cuenta por la Sentencia, pues ni siquiera la menciona, la consecuencia es exactamente la contraria a la que se llega, esto es, la inconstitucionalidad del criterio de delimitación empleado en cuanto utiliza la supraterritorialidad para atribuir competencias a órganos estatales, algo que, por lo demás, la doctrina constitucional ha venido rechazando como regla general (por todas, STC 35/2012, de 15 de marzo, FJ 5).</w:t>
      </w:r>
    </w:p>
    <w:p w:rsidR="0026452D" w:rsidRDefault="0026452D" w:rsidP="0026452D">
      <w:pPr>
        <w:pStyle w:val="TextoNormal"/>
      </w:pPr>
    </w:p>
    <w:p w:rsidR="0026452D" w:rsidRDefault="0026452D" w:rsidP="0026452D">
      <w:pPr>
        <w:pStyle w:val="TextoNormal"/>
      </w:pPr>
      <w:r>
        <w:t>Las razones que da la ponencia para justificar la constitucionalidad del precepto no me parecen convincentes, pues se basan en que, puesto que el crédito de formación se concede a la empresa, en el caso de que éstas tengan centros de trabajo en varias Comunidades Autónomas, la decisión ha de ser de un órgano estatal a fin de evitar un supuesto riesgo de tratamiento heterogéneo. En ese caso bastaría con que el Estado determinase el punto de conexión (por ejemplo, el domicilio social de la empresa o aquella Comunidad Autónoma en la que desarrollase su actividad de modo principal) Pero es que, en rigor, además, no hay riesgo de tratamiento heterogéneo, pues no hay decisión administrativa ninguna puesto que las iniciativas de formación no están sometidas a procedimiento de autorización, ya que, como la Sentencia recalca, son las propias empresas las que organizan y gestionan el programa de formación de sus trabajadores. Por esa razón tampoco es ilógico pensar que dicha decisión se va a tomar con carácter global para el conjunto de la empresa, con independencia de la localización de sus centros de trabajo, pues esta localización poca o ninguna relación tiene con las necesidades de formación que pretendan atenderse. Y aún en el caso de que la decisión se tomase de forma desagregada en cada centro o centros de trabajo tampoco habría razón para utilizar el criterio de la supraterritorialidad como atributivo de competencia a un órgano estatal pues es posible pensar otro criterio de delimitación más respetuoso con las competencias autonómicas especialmente en un ámbito en el que la competencia estatal es plena, lo que, ya de por sí, conjura en gran medida ese supuesto riesgo de tratamiento heterogéneo.</w:t>
      </w:r>
    </w:p>
    <w:p w:rsidR="0026452D" w:rsidRDefault="0026452D" w:rsidP="0026452D">
      <w:pPr>
        <w:pStyle w:val="TextoNormal"/>
      </w:pPr>
    </w:p>
    <w:p w:rsidR="0026452D" w:rsidRDefault="0026452D" w:rsidP="0026452D">
      <w:pPr>
        <w:pStyle w:val="TextoNormal"/>
      </w:pPr>
      <w:r>
        <w:t>En todo caso, ese riesgo puede ser puesto en duda si se observan cuáles son las funciones que asume la “administración competente”. Algo que, por cierto, tampoco se hace en la Sentencia, lo que produce como resultado un enjuiciamiento completamente desvinculado del caso. Conforme a la propia Orden la intervención de la administración competente se resume en: resolución de discrepancias entre los representantes de los trabajadores y la empresa sobre el contenido del plan de formación (art. 17.3); actuaciones de evaluación y seguimiento de la formación [arts. 20.2 b) y 34.2, precepto respecto al que, paradójicamente, la Sentencia estima que la atribución de esas funciones a la FORCEM vulnera las competencias autonómicas]; requerimiento de los cuestionarios relativos a la evaluación de la calidad de la formación continua (art. 30.1) y actuaciones de comprobación, seguimiento y control a realizar por los órganos competentes [art. 32.1 b)]. Se trata en todos los casos de actuaciones ejecutivas, muy vinculadas a actividades de supervisión y control, que no pueden dar lugar al tratamiento heterogéneo que la ponencia cita, riesgo que, en todo caso, reitero que puede ser eficazmente combatido mediante la fijación del punto de conexión que se estime más adecuado por el Estado.</w:t>
      </w:r>
    </w:p>
    <w:p w:rsidR="0026452D" w:rsidRDefault="0026452D" w:rsidP="0026452D">
      <w:pPr>
        <w:pStyle w:val="TextoNormal"/>
      </w:pPr>
    </w:p>
    <w:p w:rsidR="0026452D" w:rsidRDefault="0026452D" w:rsidP="0026452D">
      <w:pPr>
        <w:pStyle w:val="TextoNormal"/>
      </w:pPr>
      <w:r>
        <w:t xml:space="preserve">Finalmente, no entiendo la referencia de la Sentencia a las “empresas de implantación nacional”, puesto que, atendiendo a las funciones que cumple la Administración competente, no veo razón que justifique este tratamiento diferenciado, sin perjuicio de advertir que, sea lo que sea, a efectos jurídicos, una empresa de tales características la disposición </w:t>
      </w:r>
      <w:r>
        <w:lastRenderedPageBreak/>
        <w:t>impugnada alude a empresas beneficiarias que “tengan sus centros de trabajo en más de una Comunidad Autónoma”, lo que es, evidentemente, distinto. Tampoco comparto las alusiones a la STC 95/2002, ni a la STC 244/2012, ninguna de las cuales me parece procedente. En la primera de ellas, además de que la alusión a la hipotética utilización de la supraterritorialidad sería en todo caso revisable por el Tribunal, lo que se cuestionaba era la gestión de subvenciones en esta materia, lo que, ya hemos comprobado que aquí no se plantea, mientras que, en cuanto a la cita de la STC 244/2012, es evidente que no se discute aquí la competencia estatal para el configuración o diseño de la formación continua, lo que ya afirmamos en aquella Sentencia, sino un aspecto mucho más específico de ese diseño estatal, que se resume en la utilización del criterio de la supraterritorialidad para atribuir, por ese solo hecho, competencias ejecutivas a un órgano estatal en un ámbito en que las competencias de tal naturaleza han de corresponder, por regla general, a las Comunidades Autónomas.</w:t>
      </w:r>
    </w:p>
    <w:p w:rsidR="0026452D" w:rsidRDefault="0026452D" w:rsidP="0026452D">
      <w:pPr>
        <w:pStyle w:val="TextoNormal"/>
      </w:pPr>
    </w:p>
    <w:p w:rsidR="0026452D" w:rsidRDefault="0026452D" w:rsidP="0026452D">
      <w:pPr>
        <w:pStyle w:val="TextoNormal"/>
      </w:pPr>
      <w:r>
        <w:t>Y en ese sentido emito mi Voto particular.</w:t>
      </w:r>
    </w:p>
    <w:p w:rsidR="0026452D" w:rsidRDefault="0026452D" w:rsidP="0026452D">
      <w:pPr>
        <w:pStyle w:val="TextoNormal"/>
      </w:pPr>
    </w:p>
    <w:p w:rsidR="0026452D" w:rsidRDefault="0026452D" w:rsidP="0026452D">
      <w:pPr>
        <w:pStyle w:val="TextoNormal"/>
      </w:pPr>
      <w:r>
        <w:t>Madrid, a veintitrés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99" w:name="SENTENCIA_2013_96"/>
      <w:r>
        <w:lastRenderedPageBreak/>
        <w:t>SENTENCIA 96/2013, de 23 de abril de 2013</w:t>
      </w:r>
    </w:p>
    <w:bookmarkEnd w:id="99"/>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ECLI:ES:TC:2013:96</w:t>
      </w:r>
    </w:p>
    <w:p w:rsidR="0026452D" w:rsidRDefault="0026452D" w:rsidP="0026452D">
      <w:pPr>
        <w:pStyle w:val="SntesisDescriptiva"/>
      </w:pPr>
    </w:p>
    <w:p w:rsidR="0026452D" w:rsidRDefault="0026452D" w:rsidP="0026452D">
      <w:pPr>
        <w:pStyle w:val="SntesisDescriptiva"/>
      </w:pPr>
      <w:r>
        <w:t>Recurso de inconstitucionalidad 3095-2006. Interpuesto por más de cincuenta Diputados del Grupo Parlamentario Popular del Congreso de los Diputados respecto de diversos preceptos de la Ley de las Cortes de Aragón 13/2005, de 30 de diciembre, de medidas fiscales y administrativas en materia de tributos cedidos y tributos propios de la Comunidad Autónoma de Aragón.</w:t>
      </w:r>
    </w:p>
    <w:p w:rsidR="0026452D" w:rsidRDefault="0026452D" w:rsidP="0026452D">
      <w:pPr>
        <w:pStyle w:val="SntesisDescriptiva"/>
      </w:pPr>
    </w:p>
    <w:p w:rsidR="0026452D" w:rsidRDefault="0026452D" w:rsidP="0026452D">
      <w:pPr>
        <w:pStyle w:val="SntesisAnaltica"/>
      </w:pPr>
      <w:r>
        <w:t>Límites de la potestad tributaria de las Comunidades Autónomas: constitucionalidad del impuesto autonómico sobre daño medioambiental causado por las grandes áreas de venta (STC 122/2012).</w:t>
      </w:r>
    </w:p>
    <w:p w:rsidR="0026452D" w:rsidRDefault="0026452D" w:rsidP="0026452D">
      <w:pPr>
        <w:pStyle w:val="SntesisAnaltica"/>
      </w:pPr>
    </w:p>
    <w:p w:rsidR="0026452D" w:rsidRDefault="0026452D" w:rsidP="0026452D">
      <w:pPr>
        <w:pStyle w:val="Extracto"/>
      </w:pPr>
      <w:r>
        <w:t>1.</w:t>
      </w:r>
      <w:r>
        <w:tab/>
        <w:t xml:space="preserve">El legislador autonómico no ha desconocido el derecho a la libertad de empresa, </w:t>
      </w:r>
      <w:r w:rsidRPr="0026452D">
        <w:rPr>
          <w:i/>
        </w:rPr>
        <w:t>ex</w:t>
      </w:r>
      <w:r>
        <w:t xml:space="preserve"> art. 38 CE, dado que los artículos de la Ley mediante los que se crea el impuesto que grava el daño medioambiental causado por las actividades contaminantes de las áreas de venta, se han dictado dentro del ámbito competencial autonómico, persiguen un fin constitucionalmente legítimo y no producen consecuencias desproporcionadas [FJ 8].</w:t>
      </w:r>
    </w:p>
    <w:p w:rsidR="0026452D" w:rsidRDefault="0026452D" w:rsidP="0026452D">
      <w:pPr>
        <w:pStyle w:val="Extracto"/>
      </w:pPr>
    </w:p>
    <w:p w:rsidR="0026452D" w:rsidRDefault="0026452D" w:rsidP="0026452D">
      <w:pPr>
        <w:pStyle w:val="Extracto"/>
      </w:pPr>
      <w:r>
        <w:t>2.</w:t>
      </w:r>
      <w:r>
        <w:tab/>
        <w:t>Aún en el caso en que el impuesto sobre áreas de venta pudiera tener alguna incidencia negativa en el derecho a emprender y organizar en libertad esta actividad económica en Aragón, esta restricción resultaría justificada por la consecución del fin a que sirve la norma, en el marco del ejercicio de las competencias financieras y materiales asumidas estatutariamente por la Comunidad Autónoma de Aragón, vinculadas con el diseño de una política tributaria propia al servicio de objetivos relacionados con materias sobre las que tiene competencia, como la ordenación del territorio, el urbanismo y el medio ambiente [FJ 8].</w:t>
      </w:r>
    </w:p>
    <w:p w:rsidR="0026452D" w:rsidRDefault="0026452D" w:rsidP="0026452D">
      <w:pPr>
        <w:pStyle w:val="Extracto"/>
      </w:pPr>
    </w:p>
    <w:p w:rsidR="0026452D" w:rsidRDefault="0026452D" w:rsidP="0026452D">
      <w:pPr>
        <w:pStyle w:val="Extracto"/>
      </w:pPr>
      <w:r>
        <w:t>3.</w:t>
      </w:r>
      <w:r>
        <w:tab/>
        <w:t>El impuesto sobre grandes áreas de venta no supone un obstáculo a la libre circulación de personas y bienes que sea desproporcionado respecto del fin que persigue –la protección del medio ambiente– porque, además de que es aplicable indistintamente de que quien realice la actividad empresarial sea residente o no en la Comunidad Autónoma de Aragón, no ha producido el efecto de limitar sustancialmente que empresarios que actúan en este sector comercial en otras comunidades autónomas se radiquen también en dicha Comunidad Autónoma (SSTC 37/1981, 210/2012) [FJ 9].</w:t>
      </w:r>
    </w:p>
    <w:p w:rsidR="0026452D" w:rsidRDefault="0026452D" w:rsidP="0026452D">
      <w:pPr>
        <w:pStyle w:val="Extracto"/>
      </w:pPr>
    </w:p>
    <w:p w:rsidR="0026452D" w:rsidRDefault="0026452D" w:rsidP="0026452D">
      <w:pPr>
        <w:pStyle w:val="Extracto"/>
      </w:pPr>
      <w:r>
        <w:t>4.</w:t>
      </w:r>
      <w:r>
        <w:tab/>
        <w:t xml:space="preserve">La unidad de mercado no significa uniformidad, ya que la misma configuración del Estado español con la existencia de Comunidades Autónomas supone necesariamente una diversidad de regímenes jurídicos cuya compatibilidad ha de buscarse en un equilibrio en el que la regulación autonómica se lleve a cabo dentro del ámbito de la competencia de cada Comunidad, debiendo resultar esa regulación, en cuanto introductora de un régimen diverso de los existentes en el resto de </w:t>
      </w:r>
      <w:r>
        <w:lastRenderedPageBreak/>
        <w:t>la nación, proporcionada al objeto legítimo que se persigue, y adecuada y justificada por su fin, quedando en todo caso a salvo la igualdad básica de todos los españoles (STC 88/1986) [FJ 4].</w:t>
      </w:r>
    </w:p>
    <w:p w:rsidR="0026452D" w:rsidRDefault="0026452D" w:rsidP="0026452D">
      <w:pPr>
        <w:pStyle w:val="Extracto"/>
      </w:pPr>
    </w:p>
    <w:p w:rsidR="0026452D" w:rsidRDefault="0026452D" w:rsidP="0026452D">
      <w:pPr>
        <w:pStyle w:val="Extracto"/>
      </w:pPr>
      <w:r>
        <w:t>5.</w:t>
      </w:r>
      <w:r>
        <w:tab/>
        <w:t>No siendo los derechos que la Constitución reconoce garantías absolutas, las restricciones a que puedan quedar sometidos son tolerables siempre que sean proporcionadas, de modo que, por adecuadas, contribuyan a la consecución del fin constitucionalmente legítimo al que propenden y por indispensables hayan de ser inevitablemente preferidas a otras que pudieran suponer, para la esfera de libertad pública protegida, un sacrificio menor (STC 26/1981) [FJ 7].</w:t>
      </w:r>
    </w:p>
    <w:p w:rsidR="0026452D" w:rsidRDefault="0026452D" w:rsidP="0026452D">
      <w:pPr>
        <w:pStyle w:val="Extracto"/>
      </w:pPr>
    </w:p>
    <w:p w:rsidR="0026452D" w:rsidRDefault="0026452D" w:rsidP="0026452D">
      <w:pPr>
        <w:pStyle w:val="Extracto"/>
      </w:pPr>
      <w:r>
        <w:t>6.</w:t>
      </w:r>
      <w:r>
        <w:tab/>
        <w:t>Doctrina constitucional sobre el principio de unidad del sistema económico nacional (STC 1/1982) [FJ 4].</w:t>
      </w:r>
    </w:p>
    <w:p w:rsidR="0026452D" w:rsidRDefault="0026452D" w:rsidP="0026452D">
      <w:pPr>
        <w:pStyle w:val="Extracto"/>
      </w:pPr>
    </w:p>
    <w:p w:rsidR="0026452D" w:rsidRDefault="0026452D" w:rsidP="0026452D">
      <w:pPr>
        <w:pStyle w:val="Extracto"/>
      </w:pPr>
      <w:r>
        <w:t>7.</w:t>
      </w:r>
      <w:r>
        <w:tab/>
        <w:t>Doctrina constitucional sobre la competencia autonómica para establecer tributos propios (SSTC 13/2007 y 60/2013) [FJ 5].</w:t>
      </w:r>
    </w:p>
    <w:p w:rsidR="0026452D" w:rsidRDefault="0026452D" w:rsidP="0026452D">
      <w:pPr>
        <w:pStyle w:val="Extracto"/>
      </w:pPr>
    </w:p>
    <w:p w:rsidR="0026452D" w:rsidRDefault="0026452D" w:rsidP="0026452D">
      <w:pPr>
        <w:pStyle w:val="Extracto"/>
      </w:pPr>
      <w:r>
        <w:t>8.</w:t>
      </w:r>
      <w:r>
        <w:tab/>
        <w:t>Doctrina constitucional sobre el contenido esencial de la libertad de empresa (SSTC 96/2002, 247/2007) [FFJJ 4, 6, 7].</w:t>
      </w:r>
    </w:p>
    <w:p w:rsidR="0026452D" w:rsidRDefault="0026452D" w:rsidP="0026452D">
      <w:pPr>
        <w:pStyle w:val="Extracto"/>
      </w:pPr>
    </w:p>
    <w:p w:rsidR="0026452D" w:rsidRDefault="0026452D" w:rsidP="0026452D">
      <w:pPr>
        <w:pStyle w:val="Extracto"/>
      </w:pPr>
      <w:r>
        <w:t>9.</w:t>
      </w:r>
      <w:r>
        <w:tab/>
        <w:t>Doctrina constitucional sobre la prohibición de doble imposición en materia tributaria (STC 122/2012)  [FJ 11].</w:t>
      </w:r>
    </w:p>
    <w:p w:rsidR="0026452D" w:rsidRDefault="0026452D" w:rsidP="0026452D">
      <w:pPr>
        <w:pStyle w:val="Extracto"/>
      </w:pPr>
    </w:p>
    <w:p w:rsidR="0026452D" w:rsidRDefault="0026452D" w:rsidP="0026452D">
      <w:pPr>
        <w:pStyle w:val="Extracto"/>
      </w:pPr>
      <w:r>
        <w:t>10.</w:t>
      </w:r>
      <w:r>
        <w:tab/>
        <w:t>Doctrina constitucional sobre la prohibición de coincidencia de hechos imponibles de impuestos autonómicos y estatales (SSTC 122/2012, 208/2012)  [FJ 12].</w:t>
      </w:r>
    </w:p>
    <w:p w:rsidR="0026452D" w:rsidRDefault="0026452D" w:rsidP="0026452D">
      <w:pPr>
        <w:pStyle w:val="Extracto"/>
      </w:pPr>
    </w:p>
    <w:p w:rsidR="0026452D" w:rsidRDefault="0026452D" w:rsidP="0026452D">
      <w:pPr>
        <w:pStyle w:val="Extracto"/>
      </w:pPr>
      <w:r>
        <w:t>11.</w:t>
      </w:r>
      <w:r>
        <w:tab/>
        <w:t>Doctrina constitucional sobre la necesidad de que el recurso contenga una argumentación específica que fundamente la presunta contradicción de los preceptos impugnados con la Norma fundamental (SSTC 146/1994, 195/1998) [FJ 3].</w:t>
      </w:r>
    </w:p>
    <w:p w:rsidR="0026452D" w:rsidRDefault="0026452D" w:rsidP="0026452D">
      <w:pPr>
        <w:pStyle w:val="Extracto"/>
      </w:pPr>
    </w:p>
    <w:p w:rsidR="0026452D" w:rsidRDefault="0026452D" w:rsidP="0026452D">
      <w:pPr>
        <w:pStyle w:val="Extracto"/>
      </w:pPr>
      <w:r>
        <w:t>12.</w:t>
      </w:r>
      <w:r>
        <w:tab/>
        <w:t>Doctrina sobre la pervivencia del objeto pese a la derogación de la norma en procesos constitucionales de naturaleza competencial [FJ 2].</w:t>
      </w:r>
    </w:p>
    <w:p w:rsidR="0026452D" w:rsidRDefault="0026452D" w:rsidP="0026452D">
      <w:pPr>
        <w:pStyle w:val="Extracto"/>
      </w:pPr>
    </w:p>
    <w:p w:rsidR="0026452D" w:rsidRDefault="0026452D" w:rsidP="0026452D">
      <w:pPr>
        <w:pStyle w:val="Extracto"/>
      </w:pPr>
      <w:r>
        <w:t>13.</w:t>
      </w:r>
      <w:r>
        <w:tab/>
        <w:t xml:space="preserve">Doctrina constitucional sobre </w:t>
      </w:r>
      <w:r w:rsidRPr="0026452D">
        <w:rPr>
          <w:i/>
        </w:rPr>
        <w:t>ius superveniens</w:t>
      </w:r>
      <w:r>
        <w:t xml:space="preserve"> [FFJJ 5, 10].</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inconstitucionalidad núm. 3095-2006, interpuesto por más de cincuenta diputados del Grupo Parlamentario Popular del Congreso de los Diputados, contra los artículos 8 a 13, 28 a 35 y 36 a 53 de la Ley de las Cortes de Aragón 13/2005, de 30 de diciembre, de medidas fiscales y administrativas en materia de tributos cedidos y tributos propios de la Comunidad Autónoma de Aragón. Han comparecido las Cortes de Aragón y la Diputación General de Aragón representados por sus respectivos Letrados. Ha sido Ponente el Magistrado don Juan José González Rivas,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21 de marzo de 2006, más de cincuenta Diputados del Grupo Parlamentario Popular del Congreso de los Diputados promueven recurso de inconstitucionalidad contra los artículos 28 a 35 de la Ley de las Cortes de Aragón 13/2005, de 30 de diciembre, de medidas fiscales y administrativas en materia de tributos cedidos y tributos propios que regulan el impuesto sobre daño medioambiental causado por las grandes áreas de venta, así como contra los arts. 8 a 13 y 36 a 53 de la de la citada Ley, únicamente en cuanto afectan al citado impuesto. El objeto del recurso es pues la total regulación del impuesto sobre daño medioambiental causado por las grandes áreas de venta por resultar incompatible con la unidad del orden económico nacional (artículo 139, en conexión con los artículos 2, 38 y 149.1.1, todos ellos de la Constitución) y alterar las reglas establecidas por la doctrina constitucional sobre los límites de las potestades tributarias de las Comunidades Autónomas (arts. 133.2 y 157.3 CE), infringiendo los artículos 6.2 y 6.3 de la Ley Orgánica de financiación de las Comunidades Autónomas (LOFCA).</w:t>
      </w:r>
    </w:p>
    <w:p w:rsidR="0026452D" w:rsidRDefault="0026452D" w:rsidP="0026452D">
      <w:pPr>
        <w:pStyle w:val="TextoNormal"/>
      </w:pPr>
    </w:p>
    <w:p w:rsidR="0026452D" w:rsidRDefault="0026452D" w:rsidP="0026452D">
      <w:pPr>
        <w:pStyle w:val="TextoNormal"/>
      </w:pPr>
      <w:r>
        <w:t>El primer motivo de inconstitucionalidad es así que el impuesto impugnado supone una ruptura de la unidad del orden económico y un obstáculo a la libre circulación de mercancías en el territorio nacional, creando una desigualdad injustificable entre la actividad económica que se desarrolle en esta Comunidad y el resto del territorio nacional. Para fundamentar esta tacha de constitucionalidad sostienen los recurrentes que en la doctrina constitucional la libertad de empresa aparece estrechamente unida a los principios rectores de la economía del art. 40 de la Constitución, pues únicamente el establecimiento de nuevas empresas permite el progreso social y económico y la creación de puestos de trabajo, que no puede ser suficientemente satisfecha por el sector público. La Ley impugnada supondría una restricción de la libertad de empresa porque limita la creación de empresas de distribución comercial, condicionando la superficie que pretendan utilizar, pero también su desenvolvimiento, porque afecta a su estructura de costes por el modo de gravar el elemento de la superficie comercial.</w:t>
      </w:r>
    </w:p>
    <w:p w:rsidR="0026452D" w:rsidRDefault="0026452D" w:rsidP="0026452D">
      <w:pPr>
        <w:pStyle w:val="TextoNormal"/>
      </w:pPr>
    </w:p>
    <w:p w:rsidR="0026452D" w:rsidRDefault="0026452D" w:rsidP="0026452D">
      <w:pPr>
        <w:pStyle w:val="TextoNormal"/>
      </w:pPr>
      <w:r>
        <w:t xml:space="preserve">Añaden que las competencias autonómicas se encuentran limitadas por el artículo 149.1.1 CE, en conexión con los arts. 139 y 51 CE (SSTC 1/1982, de 28 de enero, FJ 1 y 71/1992, de 30 de noviembre, FJ 2), y partiendo de la STC 88/1986, de 1 de julio, sostienen que aunque no haya una legislación básica estatal en la materia, todo lo concerniente a aspectos básicos de la actividad empresarial sería de competencia estatal, incluida la tributación. En el sentido que señala la jurisprudencia norteamericana, existiría una </w:t>
      </w:r>
      <w:r w:rsidRPr="0026452D">
        <w:rPr>
          <w:i/>
        </w:rPr>
        <w:t>preemption</w:t>
      </w:r>
      <w:r>
        <w:t xml:space="preserve">, de modo que ciertas materias tendrían una regulación uniforme federal, incluso cuando los </w:t>
      </w:r>
      <w:r>
        <w:lastRenderedPageBreak/>
        <w:t>Estados se hayan anticipado en la regulación. Ya en la STC 1/1982, de 28 de enero, se decía que “[l]a unicidad del orden económico general es un presupuesto necesario para que el reparto de competencias entre el Estado y las Comunidades Autónomas en materia económica, no conduzca a resultados disfuncionales y desintegradores. Por ello, la Constitución retiene en poder del Estado, como exclusivas, aquellas competencias que atañen a determinados aspectos del orden económico y de su unidad”. Las competencias estatales de ordenación del sistema económico (art. 149.1.13 CE en relación con el art. 131 CE), inciden en los diversos sectores de la actividad económica, delimitando el alcance de las competencias que asumen las Comunidades Autónomas. El Tribunal ha utilizado el criterio de “unicidad del orden económico nacional” (SSTC 37/1981, de 16 de noviembre, y 1/1982, de 28 de enero), y también lo ha calificado como principio de “unidad de mercado” (SSTC 71/1982, de 30 de noviembre y 32/1983, de 28 de abril).</w:t>
      </w:r>
    </w:p>
    <w:p w:rsidR="0026452D" w:rsidRDefault="0026452D" w:rsidP="0026452D">
      <w:pPr>
        <w:pStyle w:val="TextoNormal"/>
      </w:pPr>
    </w:p>
    <w:p w:rsidR="0026452D" w:rsidRDefault="0026452D" w:rsidP="0026452D">
      <w:pPr>
        <w:pStyle w:val="TextoNormal"/>
      </w:pPr>
      <w:r>
        <w:t>Todo lleva a concluir la existencia de dos límites a las competencias autonómicas, el primero, que afecta a la libertad de empresa, y a la modificación en las condiciones básicas de su ejercicio por el resto de los empresarios españoles; y el segundo que no sólo existe “obstáculo” en el sentido del art. 139.2 CE cuando intencionalmente se persiga impedir la libre circulación y establecimiento, sino en los casos que “las consecuencias objetivas de las medidas adoptadas impliquen el surgimiento de obstáculos que no guarden relación con el fin constitucionalmente lícito que aquellas persiguen”, debiendo valorarse la razonable adecuación y proporcionalidad con el fin perseguido (SSTC de 22 de diciembre de 1981, FJ 4; y 64/1982, de 4 de noviembre, FJ 5).</w:t>
      </w:r>
    </w:p>
    <w:p w:rsidR="0026452D" w:rsidRDefault="0026452D" w:rsidP="0026452D">
      <w:pPr>
        <w:pStyle w:val="TextoNormal"/>
      </w:pPr>
    </w:p>
    <w:p w:rsidR="0026452D" w:rsidRDefault="0026452D" w:rsidP="0026452D">
      <w:pPr>
        <w:pStyle w:val="TextoNormal"/>
      </w:pPr>
      <w:r>
        <w:t xml:space="preserve">Esta configuración de la unidad, adquiere una relevancia decisiva para enjuiciar la Ley de las Cortes de Aragón. Las condiciones “básicas” del ejercicio de la actividad empresarial, han sido concretadas por el legislador tributario, singularmente al establecer la tributación de los beneficios y rendimientos de actividad empresarial, en los impuestos clave del sistema tributario general, de modo que el Estado ha ocupado el campo, siguiendo la terminología de la doctrina americana de la </w:t>
      </w:r>
      <w:r w:rsidRPr="0026452D">
        <w:rPr>
          <w:i/>
        </w:rPr>
        <w:t>preemption</w:t>
      </w:r>
      <w:r>
        <w:t>, y a ello deben ajustarse en su legislación las Comunidades Autónomas. Aplicando esta doctrina resulta que la Ley impugnada establece un tributo sobre la superficie comercial, que es un elemento productivo esencial y consustancial a la naturaleza de la propia actividad empresarial en este sector, que no existe en el resto del Estado, y que no guarda relación ninguna con los tributos básicos del sistema tributario general. Por tanto, la desigualdad en la estructura de costes para las empresas afectadas, supone una desigualdad básica en el ejercicio de su actividad empresarial, según el territorio donde se realice, que afecta tanto al momento de posible creación de empresas, al condicionar la dimensión de la superficie que van a utilizar para sus fines, como al desenvolvimiento de las mismas, al alterar el coste de este elemento productivo fundamental. Esta alteración rompe la igualdad de las condiciones en el ejercicio del derecho a la libertad de empresa sin justificación alguna, siendo incompatible con la unidad de mercado y del orden económico nacional.</w:t>
      </w:r>
    </w:p>
    <w:p w:rsidR="0026452D" w:rsidRDefault="0026452D" w:rsidP="0026452D">
      <w:pPr>
        <w:pStyle w:val="TextoNormal"/>
      </w:pPr>
    </w:p>
    <w:p w:rsidR="0026452D" w:rsidRDefault="0026452D" w:rsidP="0026452D">
      <w:pPr>
        <w:pStyle w:val="TextoNormal"/>
      </w:pPr>
      <w:r>
        <w:t>El segundo motivo de inconstitucionalidad se centra en los límites de las competencias autonómicas en materia tributaria, concretándose en la vulneración de los arts. 6.2 y 6.3 LOFCA, según los cuales no pueden establecer impuestos sobre hechos imponibles ya gravados por el Estado ni gravar materias reservadas a las corporaciones locales.</w:t>
      </w:r>
    </w:p>
    <w:p w:rsidR="0026452D" w:rsidRDefault="0026452D" w:rsidP="0026452D">
      <w:pPr>
        <w:pStyle w:val="TextoNormal"/>
      </w:pPr>
    </w:p>
    <w:p w:rsidR="0026452D" w:rsidRDefault="0026452D" w:rsidP="0026452D">
      <w:pPr>
        <w:pStyle w:val="TextoNormal"/>
      </w:pPr>
      <w:r>
        <w:lastRenderedPageBreak/>
        <w:t>El hecho imponible, previsto en el art. 30 de la Ley impugnada, es “el daño medioambiental causado por la utilización de las instalaciones y elementos afectos a la actividad y al tráfico desarrollados en los establecimientos comerciales que dispongan de una gran área de venta y de aparcamiento para sus clientes y se encuentren ubicados en la Comunidad Autónoma de Aragón”. Aparentemente este hecho imponible no coincide formalmente con ninguno de los que se describen en los impuestos estatales, ni con los reservados a las corporaciones locales, pero es irrazonable considerar que existe un daño medioambiental causado por la utilización de instalaciones y elementos afectos a la actividad comercial. El tráfico mercantil no implica ninguna alteración sobre el medio ambiente que sea diferenciable de las normales consecuencias derivadas de la mera habitación de los ciudadanos en las áreas urbanas consolidadas y los polos de atracción comerciales tampoco pueden calificarse de un factor de “daño medioambiental” con sustantividad propia y distinta de la producida por otro polo de atracción colectiva (estaciones, aeropuertos, edificios públicos, mercados, templos religiosos, centros culturales o de espectáculos o estadios deportivos).</w:t>
      </w:r>
    </w:p>
    <w:p w:rsidR="0026452D" w:rsidRDefault="0026452D" w:rsidP="0026452D">
      <w:pPr>
        <w:pStyle w:val="TextoNormal"/>
      </w:pPr>
    </w:p>
    <w:p w:rsidR="0026452D" w:rsidRDefault="0026452D" w:rsidP="0026452D">
      <w:pPr>
        <w:pStyle w:val="TextoNormal"/>
      </w:pPr>
      <w:r>
        <w:t>Consideran necesario examinar el auténtico hecho imponible configurado por la Ley impugnada del modo en que lo hicieron entre otras en las SSTC 49/1985, de 16 de febrero, y 289/2000, de 30 de noviembre, y así donde aparece la verdadera naturaleza del tributo es en la definición de la base imponible (art. 34), que es “la superficie total, referida a la fecha del devengo, de cada establecimiento comercial que disponga de una gran área de venta”. Por ello el tributo realmente grava la titularidad de la superficie comercial, aunque se trate de enmascarar con una definición artificiosa del hecho imponible y a pesar de las pretendidas finalidades de preservación del medio ambiente, y la titularidad de inmuebles es una materia reservada al impuesto sobre bienes inmuebles (IBI), de modo que se vulnera el art. 6.3 LOFCA.</w:t>
      </w:r>
    </w:p>
    <w:p w:rsidR="0026452D" w:rsidRDefault="0026452D" w:rsidP="0026452D">
      <w:pPr>
        <w:pStyle w:val="TextoNormal"/>
      </w:pPr>
    </w:p>
    <w:p w:rsidR="0026452D" w:rsidRDefault="0026452D" w:rsidP="0026452D">
      <w:pPr>
        <w:pStyle w:val="TextoNormal"/>
      </w:pPr>
      <w:r>
        <w:t>La Ley impugnada vulnera asimismo el límite del art. 6.2 LOFCA porque el hecho imponible se superpone con el gravado por el impuesto sobre sociedades, la obtención de beneficios, así como por el impuesto sobre la renta de las personas físicas, en el caso de los comerciantes individuales. Y ello es así porque la superficie del establecimiento comercial es parte estructural y elemento necesario para el desarrollo del objeto social comercial y para la obtención de beneficios comerciales. Existe además una correlación casi necesaria entre la dimensión de la superficie y el volumen de beneficios, ya que una mayor superficie es lo que permite mayor actividad. Todo impuesto que grave los elementos de producción necesarios para el objeto social o empresarial de una empresa sería intrínsecamente inconstitucional. En definitiva los elementos de producción, necesarios para generar beneficios, son parte integrante del hecho imponible gravado por el Estado, suponen una descomposición analítica y artificiosa del citado hecho imponible económico, y por tanto incurren en inconstitucionalidad si son establecidos por una Comunidad Autónoma como hechos imponibles de tributos autonómicos.</w:t>
      </w:r>
    </w:p>
    <w:p w:rsidR="0026452D" w:rsidRDefault="0026452D" w:rsidP="0026452D">
      <w:pPr>
        <w:pStyle w:val="TextoNormal"/>
      </w:pPr>
    </w:p>
    <w:p w:rsidR="0026452D" w:rsidRDefault="0026452D" w:rsidP="0026452D">
      <w:pPr>
        <w:pStyle w:val="TextoNormal"/>
      </w:pPr>
      <w:r>
        <w:t>Por otro lado consideran contrarios a la libre competencia y al principio de igualdad que el fin de la norma sea gravar a unos agentes económicos en beneficio de otros que operan en la misma actividad privada y competencia comercial. Esta ley pretende privilegiar a la trama comercial urbana a costa de los comercios gravados por el impuesto, lo que constituye una vulneración flagrante del artículo 14 de la Constitución.</w:t>
      </w:r>
    </w:p>
    <w:p w:rsidR="0026452D" w:rsidRDefault="0026452D" w:rsidP="0026452D">
      <w:pPr>
        <w:pStyle w:val="TextoNormal"/>
      </w:pPr>
    </w:p>
    <w:p w:rsidR="0026452D" w:rsidRDefault="0026452D" w:rsidP="0026452D">
      <w:pPr>
        <w:pStyle w:val="TextoNormal"/>
      </w:pPr>
      <w:r>
        <w:lastRenderedPageBreak/>
        <w:t>Añaden finalmente que este impuesto puede suponer una disminución de los ingresos de los ayuntamientos por el concepto de impuesto de actividades económicas (IAE), que también grava las superficies comerciales, disminución que no se encuentra amparada por las competencias de las Comunidades Autónomas, según la doctrina constitucional y altera sustancialmente el derecho a la libertad de empresa y los principios mismos de la economía de mercado, al interferir económicamente en la actividad competitiva y empresarial, por las razones expuestas.</w:t>
      </w:r>
    </w:p>
    <w:p w:rsidR="0026452D" w:rsidRDefault="0026452D" w:rsidP="0026452D">
      <w:pPr>
        <w:pStyle w:val="TextoNormal"/>
      </w:pPr>
    </w:p>
    <w:p w:rsidR="0026452D" w:rsidRDefault="0026452D" w:rsidP="0026452D">
      <w:pPr>
        <w:pStyle w:val="TextoNormal"/>
      </w:pPr>
      <w:r w:rsidRPr="0026452D">
        <w:rPr>
          <w:rStyle w:val="NumeroAFNegritaCaracter"/>
        </w:rPr>
        <w:t>2</w:t>
      </w:r>
      <w:r>
        <w:t>. La Sección Segunda de este Tribunal acordó admitir a trámite el recurso de inconstitucionalidad, mediante providencia de 9 de mayo de 2006, dando traslado de la demanda y documentos presentados, conforme establece el art. 34 de la Ley Orgánica del Tribunal Constitucional (LOTC), al Congreso de los Diputados y al Senado, por conducto de sus Presidentes, al Gobierno de la Nación, a través del Ministerio de Justicia, así como al Gobierno y a las Cortes de Aragón, por conducto de sus presidentes al objeto de que, en el plazo de quince días, pudieran personarse en el proceso y formular las alegaciones que estimasen convenientes. Todo ello con publicación en el “Boletín Oficial del Estado” (lo que se cumplimentó en el “BOE” núm. 125, de 26 de mayo de 2006) y en el “Boletín Oficial de Aragón”.</w:t>
      </w:r>
    </w:p>
    <w:p w:rsidR="0026452D" w:rsidRDefault="0026452D" w:rsidP="0026452D">
      <w:pPr>
        <w:pStyle w:val="TextoNormal"/>
      </w:pPr>
    </w:p>
    <w:p w:rsidR="0026452D" w:rsidRDefault="0026452D" w:rsidP="0026452D">
      <w:pPr>
        <w:pStyle w:val="TextoNormal"/>
      </w:pPr>
      <w:r w:rsidRPr="0026452D">
        <w:rPr>
          <w:rStyle w:val="NumeroAFNegritaCaracter"/>
        </w:rPr>
        <w:t>3</w:t>
      </w:r>
      <w:r>
        <w:t>. Por escrito, registrado el día 24 de mayo de 2006, el Presidente del Senado comunicó a este Tribunal el acuerdo de la Mesa de la Cámara de personarse en el procedimiento, sin formular alegaciones, dando por ofrecida su colaboración a los efectos del art. 88.1 LOTC. Con fecha 26 de mayo de 2006 el Presidente del Congreso de los Diputados comunicó a este Tribunal que la citada Cámara no se personaría en el procedimiento ni formularía alegaciones, con remisión del recurso a la Dirección de estudios y documentación y al Departamento de asesoría jurídica general.</w:t>
      </w:r>
    </w:p>
    <w:p w:rsidR="0026452D" w:rsidRDefault="0026452D" w:rsidP="0026452D">
      <w:pPr>
        <w:pStyle w:val="TextoNormal"/>
      </w:pPr>
    </w:p>
    <w:p w:rsidR="0026452D" w:rsidRDefault="0026452D" w:rsidP="0026452D">
      <w:pPr>
        <w:pStyle w:val="TextoNormal"/>
      </w:pPr>
      <w:r w:rsidRPr="0026452D">
        <w:rPr>
          <w:rStyle w:val="NumeroAFNegritaCaracter"/>
        </w:rPr>
        <w:t>4</w:t>
      </w:r>
      <w:r>
        <w:t>. Las Letradas de las Cortes Aragón, mediante escrito presentado en el Registro General de este Tribunal el día 2 de junio de 2006, se personaron en el procedimiento y solicitaron una prórroga de ocho días en el plazo concedido para formular alegaciones. La Sección Segunda, por providencia de 5 de junio de 2006, acordó tenerlas por personadas en el procedimiento y conceder la prórroga solicitada.</w:t>
      </w:r>
    </w:p>
    <w:p w:rsidR="0026452D" w:rsidRDefault="0026452D" w:rsidP="0026452D">
      <w:pPr>
        <w:pStyle w:val="TextoNormal"/>
      </w:pPr>
    </w:p>
    <w:p w:rsidR="0026452D" w:rsidRDefault="0026452D" w:rsidP="0026452D">
      <w:pPr>
        <w:pStyle w:val="TextoNormal"/>
      </w:pPr>
      <w:r w:rsidRPr="0026452D">
        <w:rPr>
          <w:rStyle w:val="NumeroAFNegritaCaracter"/>
        </w:rPr>
        <w:t>5</w:t>
      </w:r>
      <w:r>
        <w:t>. El 5 de junio de 2006 el Abogado del Estado registró un escrito manifestando que, habiéndose promovido por el Presidente del Gobierno el recurso de inconstitucionalidad número 3706-2006, contra los arts. 8.3, 28 a 35 y último inciso del art. 48.2 de la Ley 13/2005, de 30 de diciembre, de medidas fiscales y administrativas en materia de tributos cedidos, admitido a trámite por providencia de este Tribunal de 9 de mayo de 2006, se persona sin formular alegaciones en este recurso.</w:t>
      </w:r>
    </w:p>
    <w:p w:rsidR="0026452D" w:rsidRDefault="0026452D" w:rsidP="0026452D">
      <w:pPr>
        <w:pStyle w:val="TextoNormal"/>
      </w:pPr>
    </w:p>
    <w:p w:rsidR="0026452D" w:rsidRDefault="0026452D" w:rsidP="0026452D">
      <w:pPr>
        <w:pStyle w:val="TextoNormal"/>
      </w:pPr>
      <w:r w:rsidRPr="0026452D">
        <w:rPr>
          <w:rStyle w:val="NumeroAFNegritaCaracter"/>
        </w:rPr>
        <w:t>6</w:t>
      </w:r>
      <w:r>
        <w:t>. El día 15 de junio de 2006, presentaron en el Registro General de este Tribunal su escrito de alegaciones las Letradas de las Cortes de Aragón. Este plantea las siguientes cuestiones.</w:t>
      </w:r>
    </w:p>
    <w:p w:rsidR="0026452D" w:rsidRDefault="0026452D" w:rsidP="0026452D">
      <w:pPr>
        <w:pStyle w:val="TextoNormal"/>
      </w:pPr>
    </w:p>
    <w:p w:rsidR="0026452D" w:rsidRDefault="0026452D" w:rsidP="0026452D">
      <w:pPr>
        <w:pStyle w:val="TextoNormal"/>
      </w:pPr>
      <w:r>
        <w:t xml:space="preserve">La primera alegación responde a la tacha de inconstitucionalidad planteada por los recurrentes consistente en que el impuesto aragonés supone una ruptura de la unidad del orden económico y un obstáculo para la libertad de empresa. Para refutar la misma parten de la </w:t>
      </w:r>
      <w:r>
        <w:lastRenderedPageBreak/>
        <w:t>doctrina constitucional contenida en la STC 88/1986, de 1 de julio, FJ 6, en relación con la unidad de mercado y la libertad de circulación, después confirmada en las SSTC 109/2003, de 5 de junio, FJ 15; 96/2002, de 25 de abril, FJ 11; y STC 227/1993, de 9 de julio, FJ 3, y sostienen que los recurrentes, incumpliendo esta doctrina, hacen alegaciones genéricas sobre la vulneración de las libertades de establecimiento y de empresa, sin referirse al grado de desequilibrio que la medida impugnada provoca, sin cuestionar la cobertura competencial, ni demostrar la falta de proporcionalidad de la medida adoptada al fin pretendido por la norma, y limitándose a afirmar que “todo lo concerniente a aspectos básicos de la actividad empresarial es de necesaria competencia estatal, lo que debe incluir la tributación de estos elementos”.</w:t>
      </w:r>
    </w:p>
    <w:p w:rsidR="0026452D" w:rsidRDefault="0026452D" w:rsidP="0026452D">
      <w:pPr>
        <w:pStyle w:val="TextoNormal"/>
      </w:pPr>
    </w:p>
    <w:p w:rsidR="0026452D" w:rsidRDefault="0026452D" w:rsidP="0026452D">
      <w:pPr>
        <w:pStyle w:val="TextoNormal"/>
      </w:pPr>
      <w:r>
        <w:t>Siguiendo los criterios establecidos en la citada STC 88/1986, de 1 de julio, FJ 6, sostienen que se podría alcanzar la conclusión de que, en primer lugar, existe una clara cobertura competencial para el legislador autonómico, debido a que la Comunidad Autónoma de Aragón tiene el poder de establecer y exigir tributos —arts. 133.2 CE y 47 y 58.1 de su Estatuto— y es competente para regular medidas de protección del medio ambiente y del paisaje (art. 37.3 del Estatuto de Autonomía de Aragón: EAAr). En segundo lugar, no puede entenderse que esta medida tributaria condicione la dimensión de la superficie a utilizar por el área de venta, pues el empresario valorará si opta por esta forma de ejercicio de la actividad comercial u otras alternativas y, por tanto, si las ventajas económicas o de otra índole que obviamente le reporta el ejercicio del comercio a través de una gran área de venta le compensan frente a su obligación de contribuir internalizando los costes medioambientales. En tercer lugar esta medida tributaria tiene como finalidad la protección del medio ambiente de la Comunidad Autónoma de Aragón, un fin plenamente legítimo y ajustado a las competencias autonómicas, que no puede reputarse desproporcionada. Todo ello les lleva a concluir que el impuesto impugnado respeta la Constitución sin producir una ruptura del principio de unidad de mercado ni obstaculizar la libertad de empresa.</w:t>
      </w:r>
    </w:p>
    <w:p w:rsidR="0026452D" w:rsidRDefault="0026452D" w:rsidP="0026452D">
      <w:pPr>
        <w:pStyle w:val="TextoNormal"/>
      </w:pPr>
    </w:p>
    <w:p w:rsidR="0026452D" w:rsidRDefault="0026452D" w:rsidP="0026452D">
      <w:pPr>
        <w:pStyle w:val="TextoNormal"/>
      </w:pPr>
      <w:r>
        <w:t>La segunda alegación se dedica a reafirmar la competencia de la Comunidad Autónoma de Aragón para establecer tributos ecológicos, que ha sido avalada por diversos pronunciamientos constitucionales (SSTC 37/1987, de 30 de noviembre, FJ 13; STC 186/1993, de 7 de junio, FJ 4; STC 168/2004, de 6 de octubre, FJ 7; y ATC 417/2005, de 22 de noviembre, FJ 6), cuya competencia material se encontraría amparada por la competencia autonómica para el establecimiento de normas adicionales de protección del medio ambiente y del paisaje (art. 37.3 EAAr) y que satisface el principio rector de la actuación de los poderes públicos, que consigna el art. 45.2 CE, que en materia tributaria se ha instrumentado a través del principio de que “quien contamina paga”.</w:t>
      </w:r>
    </w:p>
    <w:p w:rsidR="0026452D" w:rsidRDefault="0026452D" w:rsidP="0026452D">
      <w:pPr>
        <w:pStyle w:val="TextoNormal"/>
      </w:pPr>
    </w:p>
    <w:p w:rsidR="0026452D" w:rsidRDefault="0026452D" w:rsidP="0026452D">
      <w:pPr>
        <w:pStyle w:val="TextoNormal"/>
      </w:pPr>
      <w:r>
        <w:t>Dicho lo anterior dedican su tercera alegación a confirmar el carácter extrafiscal del impuesto aragonés sobre las grandes áreas de venta, basándose en que el fin medioambiental se plasma en los distintos elementos de la estructura del tributo y, por ello, no incurre en la prohibición de doble imposición recogida en el art. 6 LOFCA. Para ello parten de los criterios establecidos en el fundamento jurídico 5 de la STC 289/2000, de 30 de noviembre, y reiterados en la STC 168/2004, de 6 de octubre, y en el ATC 417/2005, de 22 de noviembre, en virtud de los cuales para determinar si se produce un solapamiento de fuentes de riqueza gravadas entre los tributos locales y el impuesto autonómico, hay que examinar sus respectivas estructuras impositivas.</w:t>
      </w:r>
    </w:p>
    <w:p w:rsidR="0026452D" w:rsidRDefault="0026452D" w:rsidP="0026452D">
      <w:pPr>
        <w:pStyle w:val="TextoNormal"/>
      </w:pPr>
    </w:p>
    <w:p w:rsidR="0026452D" w:rsidRDefault="0026452D" w:rsidP="0026452D">
      <w:pPr>
        <w:pStyle w:val="TextoNormal"/>
      </w:pPr>
      <w:r>
        <w:lastRenderedPageBreak/>
        <w:t>Con carácter general consideran que la extrafiscalidad del impuesto sobre grandes áreas de venta se comprueba porque puede provocar la adopción de medidas protectoras, así como desincentivadoras del desplazamiento masivo de vehículos hacia las grandes áreas de venta, entre las que cita, a título de ejemplo, el cobro por el uso del aparcamiento, la concesión de algún tipo de bonificación para el uso del transporte público; el establecimiento de un transporte colectivo por cuenta de la empresa, el fomento del envío a domicilio, la instalación de sistemas para minorar las consecuencias de las emisiones de los vehículos, etc. Por otro lado, el impuesto toma en consideración que no todas las grandes áreas de venta provocan el mismo impacto medioambiental y sobre el territorio, modulando la cuota según la clase y la categoría de suelo sobre el que se encuentre construida la gran superficie. También produce un efecto disuasorio para los nuevos establecimientos que pretendan instalarse al elegir su emplazamiento o el número de plazas de aparcamiento.</w:t>
      </w:r>
    </w:p>
    <w:p w:rsidR="0026452D" w:rsidRDefault="0026452D" w:rsidP="0026452D">
      <w:pPr>
        <w:pStyle w:val="TextoNormal"/>
      </w:pPr>
    </w:p>
    <w:p w:rsidR="0026452D" w:rsidRDefault="0026452D" w:rsidP="0026452D">
      <w:pPr>
        <w:pStyle w:val="TextoNormal"/>
      </w:pPr>
      <w:r>
        <w:t>A continuación realizan el análisis del hecho imponible, citando los artículos 28 y 30 de la Ley de las Cortes de Aragón 13/2005, de 30 de diciembre, a la luz de los cuales el impuesto gravaría el impacto medioambiental y los efectos lesivos sobre el territorio que genera la ocupación de grandes extensiones de terreno, desde donde se ejerce una posición dominante en el mercado de la distribución comercial, gracias a la especial atracción que provoca en los consumidores, con el consiguiente desplazamiento masivo de vehículos particulares y su incidencia sobre el medio ambiente y la ordenación del territorio. Consideran desproporcionado imputar la responsabilidad al consumidor individual, cuya incidencia en el medio natural por sí sola, es irrelevante, pues las grandes áreas de venta, con su planificación comercial, su política de precios competitivos, sus atractivas ofertas, sus campañas publicitarias, sus servicios complementarios, etc., son las que provocan un efecto de atracción sobre los consumidores finales y, en consecuencia, su desplazamiento masivo.</w:t>
      </w:r>
    </w:p>
    <w:p w:rsidR="0026452D" w:rsidRDefault="0026452D" w:rsidP="0026452D">
      <w:pPr>
        <w:pStyle w:val="TextoNormal"/>
      </w:pPr>
    </w:p>
    <w:p w:rsidR="0026452D" w:rsidRDefault="0026452D" w:rsidP="0026452D">
      <w:pPr>
        <w:pStyle w:val="TextoNormal"/>
      </w:pPr>
      <w:r>
        <w:t>En definitiva el hecho imponible del impuesto sobre grandes áreas de venta se construye por referencia al daño medioambiental, mientras que el impuesto de actividades económicas grava el mero ejercicio, en territorio nacional, de actividades empresariales, profesionales o artísticas por su potencialidad económica para generar rentas. Tampoco existe coincidencia alguna con el impuesto sobre bienes inmuebles, en el que la manifestación económica gravada es la titularidad de determinados derechos reales sobre bienes inmuebles. En relación con los supuestos de no sujeción y de exención del impuesto sobre grandes áreas de venta, regulados en los arts. 31 y 33 de la Ley de las Cortes de Aragón 13/2005, de 30 de diciembre, consideran que el legislador, en uso de su libertad de configuración, puede optar por gravar sólo las actividades con un potencial lesivo para el medio ambiente mayor al que representan estaciones, aeropuertos, edificios públicos, mercados, templos religiosos, centros culturales o de espectáculos y estadios deportivos, pues en ninguno concurren las notas de frecuencia diaria y masivo desplazamiento regular de vehículos. Pero además sería ilógico pretender que, con un solo impuesto, puedan gravarse todas las actividades contaminantes basadas en el uso del vehículo.</w:t>
      </w:r>
    </w:p>
    <w:p w:rsidR="0026452D" w:rsidRDefault="0026452D" w:rsidP="0026452D">
      <w:pPr>
        <w:pStyle w:val="TextoNormal"/>
      </w:pPr>
    </w:p>
    <w:p w:rsidR="0026452D" w:rsidRDefault="0026452D" w:rsidP="0026452D">
      <w:pPr>
        <w:pStyle w:val="TextoNormal"/>
      </w:pPr>
      <w:r>
        <w:t xml:space="preserve">Por otro lado, la base imponible deberá suponer la plasmación de los principios extrafiscales que lo informan, si bien en algunos tributos ambientales pueden existir dificultades técnicas y por ello, en ocasiones, la base imponible debe calcularse de forma indirecta, pero acomodándose al principio “quien contamina, paga”. La congruencia entre hecho imponible y base imponible es predicable del impuesto sobre grandes áreas de venta. El hecho imponible se configura como el daño medioambiental causado y la base imponible se articula a </w:t>
      </w:r>
      <w:r>
        <w:lastRenderedPageBreak/>
        <w:t>partir del parámetro que mide de manera más objetiva la potencialidad dañosa del establecimiento, su superficie. Los diferentes elementos que cuantifican la superficie total del establecimiento están en función de su capacidad para producir el efecto de atracción al consumo que genera el daño medioambiental, que no asumen los sujetos que se benefician de esta forma de ejercer la actividad comercial. La superficie de venta revela una mayor capacidad de oferta de productos y una mayor afluencia de consumidores y debe ser superior a 500 metros cuadrados, porque con una superficie inferior considera el legislador que resulta excesivo imputar al establecimiento un efecto de atracción al consumidor apreciable desde el punto de vista medioambiental. La superficie destinada a otros usos revela también unas mayores posibilidades de reposición de los productos y la superficie de aparcamiento denota, en fin, la capacidad del establecimiento para atraer y acoger el tráfico automovilístico que, en la práctica, genera el efecto contaminante.</w:t>
      </w:r>
    </w:p>
    <w:p w:rsidR="0026452D" w:rsidRDefault="0026452D" w:rsidP="0026452D">
      <w:pPr>
        <w:pStyle w:val="TextoNormal"/>
      </w:pPr>
    </w:p>
    <w:p w:rsidR="0026452D" w:rsidRDefault="0026452D" w:rsidP="0026452D">
      <w:pPr>
        <w:pStyle w:val="TextoNormal"/>
      </w:pPr>
      <w:r>
        <w:t>Calculada la base imponible, el resto de los elementos que determinan la obtención de la cuota tributaria también reforzaría su carácter extrafiscal y medioambiental, pues el art. 35 establece el tipo de gravamen, en una escala progresiva y la cuota se modula a través de un coeficiente corrector según la naturaleza del suelo en el que esté ubicado el establecimiento comercial, si es un suelo perfectamente integrado en el proceso urbanizador o un tipo de suelo en el que concurran ciertos valores que es necesario proteger. También se tiene en cuenta la actuación del sujeto pasivo, introduciendo elementos incentivadores, concretamente en el art. 42, que regula una deducción de hasta el 30 por 100 de la cuota tributaria íntegra por la realización de inversiones en bienes del activo material situados en el ámbito de aplicación del impuesto, destinadas a la adopción de medidas preventivas, correctoras o restauradoras del impacto negativo y el efecto contaminante sobre el medio natural y territorial. Finalmente la naturaleza extrafiscal del impuesto se manifiesta en la afectación de los recursos generados a fines directamente relacionados con la protección medioambiental, a la adopción de medidas preventivas o reparadoras del medio ambiente.</w:t>
      </w:r>
    </w:p>
    <w:p w:rsidR="0026452D" w:rsidRDefault="0026452D" w:rsidP="0026452D">
      <w:pPr>
        <w:pStyle w:val="TextoNormal"/>
      </w:pPr>
    </w:p>
    <w:p w:rsidR="0026452D" w:rsidRDefault="0026452D" w:rsidP="0026452D">
      <w:pPr>
        <w:pStyle w:val="TextoNormal"/>
      </w:pPr>
      <w:r>
        <w:t>La cuarta alegación se centra en confirmar la constitucionalidad del gravamen por no recaer sobre la materia imponible reservada a las corporaciones locales cumpliendo el límite establecido por el art. 6.3 LOFCA.</w:t>
      </w:r>
    </w:p>
    <w:p w:rsidR="0026452D" w:rsidRDefault="0026452D" w:rsidP="0026452D">
      <w:pPr>
        <w:pStyle w:val="TextoNormal"/>
      </w:pPr>
    </w:p>
    <w:p w:rsidR="0026452D" w:rsidRDefault="0026452D" w:rsidP="0026452D">
      <w:pPr>
        <w:pStyle w:val="TextoNormal"/>
      </w:pPr>
      <w:r>
        <w:t>Con carácter general se alega que, una vez demostrado que el impuesto sobre grandes áreas de venta es un tributo de naturaleza extrafiscal medioambiental, este dato sería suficiente para hacer decaer cualquier posible coincidencia o solapamiento con la materia imponible de los tributos locales (STC 289/2000, de 30 de noviembre, FJ 5). No obstante, en relación con el pretendido solapamiento con la materia imponible gravada por IAE y el impuesto sobre grandes áreas de venta, argumentan que éste no grava la actividad porque pueda generar rentas, en la medida que representen un peligro. El hecho imponible del IAE está constituido por el mero ejercicio de actividades empresariales, se ejerzan o no en local determinado y se hallen o no especificadas en las tarifas del impuesto, por ser potencialmente generadoras de ingresos económicos para quienes las realizan. Sin embargo, el impuesto sobre grandes áreas de venta vincula el gran efecto de atracción al consumo no a su potencialidad económica sino el subsiguiente daño al medio ambiente de la Comunidad Autónoma que genera y su materia imponible no es la actividad en sí, sino la relación instrumental que se establece entre las instalaciones, la actividad y el daño medioambiental causado.</w:t>
      </w:r>
    </w:p>
    <w:p w:rsidR="0026452D" w:rsidRDefault="0026452D" w:rsidP="0026452D">
      <w:pPr>
        <w:pStyle w:val="TextoNormal"/>
      </w:pPr>
    </w:p>
    <w:p w:rsidR="0026452D" w:rsidRDefault="0026452D" w:rsidP="0026452D">
      <w:pPr>
        <w:pStyle w:val="TextoNormal"/>
      </w:pPr>
      <w:r>
        <w:lastRenderedPageBreak/>
        <w:t>Esta diferencia se desprende también de los elementos que determinan la cuantificación de la cuota tributaria. El IAE hace referencia al elemento superficie en sus tarifas, pero este elemento aparece como única coincidencia con el impuesto sobre grandes áreas de venta, ya que en la regulación del tributo local se añade otro tipo de variables que se miden en función del beneficio medio presunto, como son superficie, ubicación, población e ingresos netos anuales. Por el contario los elementos que determinan la superficie total a efectos del impuesto sobre grandes áreas de venta se establecen teniendo en cuenta su impacto lesivo desde el punto de vista de la finalidad del impuesto.</w:t>
      </w:r>
    </w:p>
    <w:p w:rsidR="0026452D" w:rsidRDefault="0026452D" w:rsidP="0026452D">
      <w:pPr>
        <w:pStyle w:val="TextoNormal"/>
      </w:pPr>
    </w:p>
    <w:p w:rsidR="0026452D" w:rsidRDefault="0026452D" w:rsidP="0026452D">
      <w:pPr>
        <w:pStyle w:val="TextoNormal"/>
      </w:pPr>
      <w:r>
        <w:t>Por otro lado el impuesto sobre grandes áreas de venta tampoco grava la titularidad de bienes inmuebles y, en consecuencia, no se solapa con la materia imponible gravada por el impuesto sobre bienes inmuebles, esto es, el valor de los bienes inmuebles. Su hecho imponible es la titularidad en propiedad o a través de derechos reales de superficie y usufructo o de concesión administrativa de dichos bienes inmuebles; los sujetos pasivos las personas naturales y jurídicas o las entidades, que ostenten la titularidad del derecho que constituya el hecho imponible del impuesto; su base imponible está constituida por el valor catastral de los bienes inmuebles. No existe así ningún punto en común con el tributo autonómico recurrido, pues como manifestaron con anterioridad, su objeto es diverso, también son diferentes el hecho imponible, los sujetos pasivos, y la base imponible.</w:t>
      </w:r>
    </w:p>
    <w:p w:rsidR="0026452D" w:rsidRDefault="0026452D" w:rsidP="0026452D">
      <w:pPr>
        <w:pStyle w:val="TextoNormal"/>
      </w:pPr>
    </w:p>
    <w:p w:rsidR="0026452D" w:rsidRDefault="0026452D" w:rsidP="0026452D">
      <w:pPr>
        <w:pStyle w:val="TextoNormal"/>
      </w:pPr>
      <w:r>
        <w:t>La quinta alegación se refiere a la constitucionalidad del impuesto sobre grandes áreas de venta dado que su hecho imponible no coincide con el de ninguno de los impuestos estatales, respetando el art. 6.2 LOFCA. Que la superficie comercial sea tenida en cuenta, tanto por determinados tributos estatales como son el impuesto sobre la renta de las personas físicas y el impuesto sobre sociedades y también por el impuesto sobre grandes áreas de venta, para la determinación de sus respectivas bases imponibles no haría incurrir a éste en doble imposición. El hecho imponible de los impuestos sobre la renta es “la obtención de renta”, una de cuyas fuentes puede ser el ejercicio de actividades económicas; y el hecho imponible del impuesto sobre grandes áreas de venta es el daño medioambiental causado por la utilización de las instalaciones y elementos afectos a la actividad y al tráfico desarrollados en los establecimientos comerciales, prescindiendo de la obtención de rentas por el establecimiento comercial.</w:t>
      </w:r>
    </w:p>
    <w:p w:rsidR="0026452D" w:rsidRDefault="0026452D" w:rsidP="0026452D">
      <w:pPr>
        <w:pStyle w:val="TextoNormal"/>
      </w:pPr>
    </w:p>
    <w:p w:rsidR="0026452D" w:rsidRDefault="0026452D" w:rsidP="0026452D">
      <w:pPr>
        <w:pStyle w:val="TextoNormal"/>
      </w:pPr>
      <w:r>
        <w:t>Terminan su escrito solicitando la acumulación de este recurso al recurso de inconstitucionalidad núm. 3701-2006, promovido por el Presidente del Gobierno contra los artículos 8.3, 28 a 35 y último inciso del artículo 48.2 de la Ley 13/2005, de 30 de diciembre, de medidas fiscales y administrativas en materia de tributos cedidos y tributos propios de la Comunidad Autónoma de Aragón, y en su día dicte una única Sentencia.</w:t>
      </w:r>
    </w:p>
    <w:p w:rsidR="0026452D" w:rsidRDefault="0026452D" w:rsidP="0026452D">
      <w:pPr>
        <w:pStyle w:val="TextoNormal"/>
      </w:pPr>
    </w:p>
    <w:p w:rsidR="0026452D" w:rsidRDefault="0026452D" w:rsidP="0026452D">
      <w:pPr>
        <w:pStyle w:val="TextoNormal"/>
      </w:pPr>
      <w:r w:rsidRPr="0026452D">
        <w:rPr>
          <w:rStyle w:val="NumeroAFNegritaCaracter"/>
        </w:rPr>
        <w:t>7</w:t>
      </w:r>
      <w:r>
        <w:t>. Mediante escrito, presentado en el Registro General de este Tribunal el día 8 de junio 2006, el Letrado de la Diputación General de Aragón, en representación de la Diputación General de Aragón, compareció en este Tribunal a los efectos de tener por personado al Gobierno de la Aragón en el presente proceso constitucional, y efectuar alegaciones, suplicando se dictase Sentencia por la que se desestimase el recurso interpuesto.</w:t>
      </w:r>
    </w:p>
    <w:p w:rsidR="0026452D" w:rsidRDefault="0026452D" w:rsidP="0026452D">
      <w:pPr>
        <w:pStyle w:val="TextoNormal"/>
      </w:pPr>
    </w:p>
    <w:p w:rsidR="0026452D" w:rsidRDefault="0026452D" w:rsidP="0026452D">
      <w:pPr>
        <w:pStyle w:val="TextoNormal"/>
      </w:pPr>
      <w:r>
        <w:t xml:space="preserve">Comienza su escrito afirmando la competencia de la Comunidad Autónoma para crear tributos propios con fines extrafiscales, en cuyo ejercicio se creó el impuesto sobre grandes áreas de venta, sostiene la constitucionalidad del impuesto porque el legislador siguió en su </w:t>
      </w:r>
      <w:r>
        <w:lastRenderedPageBreak/>
        <w:t>creación la doctrina establecida en las SSTC 289/2000, de 30 de noviembre, y 168/2004, de 6 de octubre, y añade que se dictó en el ejercicio de competencias materiales sobre “ordenación del territorio, urbanismo y vivienda”, “comercio interior y defensa del consumidor y usuario’’ y “protección del medio ambiente y del paisaje” (artículos 35.1.7, 19 y 37.3 EAAr).</w:t>
      </w:r>
    </w:p>
    <w:p w:rsidR="0026452D" w:rsidRDefault="0026452D" w:rsidP="0026452D">
      <w:pPr>
        <w:pStyle w:val="TextoNormal"/>
      </w:pPr>
    </w:p>
    <w:p w:rsidR="0026452D" w:rsidRDefault="0026452D" w:rsidP="0026452D">
      <w:pPr>
        <w:pStyle w:val="TextoNormal"/>
      </w:pPr>
      <w:r>
        <w:t>En relación con la supuesta vulneración de la unidad del orden económico, la igualdad de los españoles en el ejercicio de los derechos y el cumplimiento de las obligaciones, y la libertad de empresa, tras citar la STC 168/2004, de 6 de octubre, afirma que no quiebra el orden económico o la unidad de mercado, sino que las medidas adoptadas responden las competencias que la Comunidad Autónoma de Aragón ostenta sobre los ámbitos materiales antes señalados y, en concreto, la protección del medio ambiente, que impregna la regulación de todo el tributo. La Ley 13/2005 trata de gravar las formas más agresivas para el medio ambiente, como el daño producido por el tráfico y contaminación originado por la afluencia masiva de vehículos a las grandes áreas de venta, sin que este tributo quiebre el orden económico único, ni la unidad de mercado, porque no existen barreras para la instalación de las empresas y la obligación de tributar se impondrá a todas las grandes áreas de venta del territorio.</w:t>
      </w:r>
    </w:p>
    <w:p w:rsidR="0026452D" w:rsidRDefault="0026452D" w:rsidP="0026452D">
      <w:pPr>
        <w:pStyle w:val="TextoNormal"/>
      </w:pPr>
    </w:p>
    <w:p w:rsidR="0026452D" w:rsidRDefault="0026452D" w:rsidP="0026452D">
      <w:pPr>
        <w:pStyle w:val="TextoNormal"/>
      </w:pPr>
      <w:r>
        <w:t>Destaca que la materia imponible del impuesto sobre grandes áreas de venta no es la actividad económica, sino la concreta situación de riesgo provocada por la actividad económica, descartando la coincidencia de materia con el IBI, dado que no grava titularidad del bien, sino la actividad que se pueda desarrollar en el inmueble; sitúa el efectivo gravamen en el riesgo que producen las actividades sujetas; articula una base del tributo separada de los rendimientos económicos de la actividad empresarial; afecta la totalidad de la recaudación del impuesto a la realización de los fines propios que justifican su establecimiento y admite expresamente el cumplimiento de los fines extrafiscales del tributo a través de un resultado “desincentivador” de las actividades gravadas al hacerlas más onerosas.</w:t>
      </w:r>
    </w:p>
    <w:p w:rsidR="0026452D" w:rsidRDefault="0026452D" w:rsidP="0026452D">
      <w:pPr>
        <w:pStyle w:val="TextoNormal"/>
      </w:pPr>
    </w:p>
    <w:p w:rsidR="0026452D" w:rsidRDefault="0026452D" w:rsidP="0026452D">
      <w:pPr>
        <w:pStyle w:val="TextoNormal"/>
      </w:pPr>
      <w:r>
        <w:t>Dicho esto, analiza la estructura del impuesto impugnado, lo cual le lleva a concluir que la finalidad extrafiscal del impuesto sobre grandes áreas de venta se muestra tanto en su faceta de desincentivación de conductas perjudiciales sobre el medioambiente, como en la faceta positiva de corrección de tales conductas, y advirtiendo que toda la recaudación que se obtiene por esta Administración, se destina íntegramente a los fines medioambientales propios para la restauración del daño originado por las conductas o capacidades gravadas.</w:t>
      </w:r>
    </w:p>
    <w:p w:rsidR="0026452D" w:rsidRDefault="0026452D" w:rsidP="0026452D">
      <w:pPr>
        <w:pStyle w:val="TextoNormal"/>
      </w:pPr>
    </w:p>
    <w:p w:rsidR="0026452D" w:rsidRDefault="0026452D" w:rsidP="0026452D">
      <w:pPr>
        <w:pStyle w:val="TextoNormal"/>
      </w:pPr>
      <w:r>
        <w:t>La regulación del impuesto sobre grandes áreas de venta hace más gravosa la instalación de establecimientos comerciales que superen los 2.000 metros cuadrados de superficie total, pero se podría reducir la superficie de venta y total de los establecimientos ya instalados, a fin de no recaer en los tipos más altos. La reducción puede afectar a los aparcamientos u otros usos, y evitar las prácticas de comercio más agresivas con el territorio, estructura comercial y medio ambiente. De la misma forma, trata de influir positivamente en las conductas con el coeficiente multiplicador de la cuota según el tipo de suelo, con la consideración de los aparcamientos como superficie computable, a fin de que en la nuevas superficies se evite el exceso de aparcamientos o incluso se proceda a la reducción de estas superficies de aparcamiento en las superficies ya instaladas. También se prevé una deducción por las in</w:t>
      </w:r>
      <w:r>
        <w:lastRenderedPageBreak/>
        <w:t>versiones necesarias para evitar el daño o bien mitigarlo, que podría consistir en la financiación de transportes colectivos, combustibles menos contaminantes o reducción de la superficie total del establecimiento.</w:t>
      </w:r>
    </w:p>
    <w:p w:rsidR="0026452D" w:rsidRDefault="0026452D" w:rsidP="0026452D">
      <w:pPr>
        <w:pStyle w:val="TextoNormal"/>
      </w:pPr>
    </w:p>
    <w:p w:rsidR="0026452D" w:rsidRDefault="0026452D" w:rsidP="0026452D">
      <w:pPr>
        <w:pStyle w:val="TextoNormal"/>
      </w:pPr>
      <w:r>
        <w:t>Una vez analizada la naturaleza extrafiscal del tributo, afirma que el impuesto sobre grandes áreas de venta se establece sobre la capacidad, “que se manifiesta como riqueza real o potencial susceptible de imposición, en el daño causado en el medio ambiente por determinados elementos, conductas y actividades contaminantes” (art. 9), y niega que se pueda exigir el tributo al consumidor cuando éste no recibe el producto o beneficio del daño producido, sino el empresario. Por otro lado, en relación con la desigual aplicación del tributo, porque no se grava a otros polos de atracción colectiva, como estaciones, instalaciones deportivas, estadios o aeropuertos o templos religiosos, considera que el legislador grava las formas más graves de contaminación, siendo un reflejo de su autonomía tributaria.</w:t>
      </w:r>
    </w:p>
    <w:p w:rsidR="0026452D" w:rsidRDefault="0026452D" w:rsidP="0026452D">
      <w:pPr>
        <w:pStyle w:val="TextoNormal"/>
      </w:pPr>
    </w:p>
    <w:p w:rsidR="0026452D" w:rsidRDefault="0026452D" w:rsidP="0026452D">
      <w:pPr>
        <w:pStyle w:val="TextoNormal"/>
      </w:pPr>
      <w:r>
        <w:t>El hecho imponible del impuesto sobre grandes áreas de venta lo constituye el daño ambiental producido por la afluencia masiva de vehículos, que propician los establecimientos comerciales de determinada superficie; la base imponible acoge la superficie total del establecimiento comercial, como índice y factor que relaciona directa y proporcionalmente tal concepto con el número de consumidores atraídos al establecimiento comercial y, por tanto, con el número de vehículos que circulan con el fin de acceder a tal establecimiento comercial. En la generalidad de los establecimientos comerciales existirá esa proporción entre superficie y afluencia de consumidores, por lo que se cumple con el requisito de la congruencia interna del tributo.</w:t>
      </w:r>
    </w:p>
    <w:p w:rsidR="0026452D" w:rsidRDefault="0026452D" w:rsidP="0026452D">
      <w:pPr>
        <w:pStyle w:val="TextoNormal"/>
      </w:pPr>
    </w:p>
    <w:p w:rsidR="0026452D" w:rsidRDefault="0026452D" w:rsidP="0026452D">
      <w:pPr>
        <w:pStyle w:val="TextoNormal"/>
      </w:pPr>
      <w:r>
        <w:t>En relación con la coincidencia de la materia imponible con el IBI, señala que el hecho imponible del impuesto sobre grandes áreas de venta es el daño medioambiental que se produce por la afluencia de vehículos a los centros comerciales, mientras que, en el IBI, es la mera titularidad de los derechos de propiedad, usufructo, superficie, o concesiones administrativas sobre inmuebles o los servicios públicos a los que se hallen afectos. El sujeto pasivo tampoco coincide, dado que el sujeto pasivo del IBI son las personas naturales o jurídicas que ostenten la titularidad del bien o derecho y en el impuesto sobre grandes áreas de venta es el sujeto que realiza la actividad que produce el daño. En la base imponible también hay una notable diferencia, pues el IBI señala como tal el valor catastral, sin embargo dentro del impuesto sobre grandes áreas de venta la base se articula como medida efectiva de tal daño merced a la relación directa que existe entre la superficie total del establecimiento, con una ponderación especial de la superficie de venta, y la afluencia de consumidores que provocan la contaminación.</w:t>
      </w:r>
    </w:p>
    <w:p w:rsidR="0026452D" w:rsidRDefault="0026452D" w:rsidP="0026452D">
      <w:pPr>
        <w:pStyle w:val="TextoNormal"/>
      </w:pPr>
    </w:p>
    <w:p w:rsidR="0026452D" w:rsidRDefault="0026452D" w:rsidP="0026452D">
      <w:pPr>
        <w:pStyle w:val="TextoNormal"/>
      </w:pPr>
      <w:r>
        <w:t>Respecto a la alegada coincidencia con el impuesto sobre sociedades, afirma una total ausencia de la misma, pues el hecho imponible de este impuesto es la obtención de renta, cualquiera que fuera su fuente u origen, y el impuesto sobre grandes áreas de venta no somete a tributación la totalidad de las rentas obtenidas, sino sólo una parte de la capacidad económica, la manifestada en el beneficio o mayor ingreso que obtiene merced a la producción de daños medioambientales. El mismo razonamiento se utiliza para negar la pretendida identidad de hechos imponibles con el impuesto sobre la renta de las personas físicas, en el caso de que quien ejerza la actividad económica sea un empresario individual.</w:t>
      </w:r>
    </w:p>
    <w:p w:rsidR="0026452D" w:rsidRDefault="0026452D" w:rsidP="0026452D">
      <w:pPr>
        <w:pStyle w:val="TextoNormal"/>
      </w:pPr>
    </w:p>
    <w:p w:rsidR="0026452D" w:rsidRDefault="0026452D" w:rsidP="0026452D">
      <w:pPr>
        <w:pStyle w:val="TextoNormal"/>
      </w:pPr>
      <w:r>
        <w:lastRenderedPageBreak/>
        <w:t>Termina su escrito solicitando la acumulación de este recurso con el recurso de inconstitucionalidad 3701-2006.</w:t>
      </w:r>
    </w:p>
    <w:p w:rsidR="0026452D" w:rsidRDefault="0026452D" w:rsidP="0026452D">
      <w:pPr>
        <w:pStyle w:val="TextoNormal"/>
      </w:pPr>
    </w:p>
    <w:p w:rsidR="0026452D" w:rsidRDefault="0026452D" w:rsidP="0026452D">
      <w:pPr>
        <w:pStyle w:val="TextoNormal"/>
      </w:pPr>
      <w:r w:rsidRPr="0026452D">
        <w:rPr>
          <w:rStyle w:val="NumeroAFNegritaCaracter"/>
        </w:rPr>
        <w:t>8</w:t>
      </w:r>
      <w:r>
        <w:t>. El día 22 de junio de 2006, el letrado de la Comunidad Autónoma de Aragón presentó escrito manifestando que, por error, había manifestado que este recurso fue planteado por el Presidente del Gobierno, confundiéndolo con el que sobre el mismo objeto se tramita con el número 3701-2006, rogando que se sustituya la mención “Presidente del Gobierno” por “Grupo Popular” y que igualmente se entienda por planteada la acumulación de ambos recursos.</w:t>
      </w:r>
    </w:p>
    <w:p w:rsidR="0026452D" w:rsidRDefault="0026452D" w:rsidP="0026452D">
      <w:pPr>
        <w:pStyle w:val="TextoNormal"/>
      </w:pPr>
    </w:p>
    <w:p w:rsidR="0026452D" w:rsidRDefault="0026452D" w:rsidP="0026452D">
      <w:pPr>
        <w:pStyle w:val="TextoNormal"/>
      </w:pPr>
      <w:r w:rsidRPr="0026452D">
        <w:rPr>
          <w:rStyle w:val="NumeroAFNegritaCaracter"/>
        </w:rPr>
        <w:t>9</w:t>
      </w:r>
      <w:r>
        <w:t>. Por providencia de 23 de abril de 2013 se señaló para deliberación y votación del presente recurso dicha fecha.</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fue promovido por más de cincuenta Diputados del Grupo Parlamentario Popular del Congreso de los Diputados contra los artículos 28 a 35 de la Ley de las Cortes de Aragón 13/2005, de 30 de diciembre, de medidas fiscales y administrativas en materia de tributos cedidos y tributos propios de la Comunidad Autónoma de Aragón (en adelante Ley de las Cortes de Aragón 13/2005), que regulan el impuesto sobre daño medioambiental causado por las grandes áreas de venta, así como contra los arts. 8 a 13 y 36 a 53 de la citada ley, únicamente en cuanto afectan al citado impuesto. Los preceptos impugnados de la Ley de las Cortes de Aragón 13/2005 contienen el régimen jurídico del impuesto aragonés sobre el daño medioambiental causado por las grandes superficies de venta, objeto en su totalidad del presente recurso, que tiene por objeto gravar, según expresa su artículo 28, “la concreta capacidad económica manifestada en la actividad y el tráfico desarrollados en establecimientos comerciales que, por su efecto de atracción del consumo, provoca un desplazamiento masivo de vehículos y, en consecuencia, una incidencia negativa en el entorno natural y territorial de la Comunidad Autónoma de Aragón”.</w:t>
      </w:r>
    </w:p>
    <w:p w:rsidR="0026452D" w:rsidRDefault="0026452D" w:rsidP="0026452D">
      <w:pPr>
        <w:pStyle w:val="TextoNormal"/>
      </w:pPr>
    </w:p>
    <w:p w:rsidR="0026452D" w:rsidRDefault="0026452D" w:rsidP="0026452D">
      <w:pPr>
        <w:pStyle w:val="TextoNormal"/>
      </w:pPr>
      <w:r>
        <w:t>Los Diputados recurrentes articulan dos motivos fundamentales de impugnación, dentro de los cuales invocan a su vez varios preceptos constitucionales. El motivo primero de la demanda afirma en su rúbrica que “el impuesto que se establece supone una ruptura de la unidad del orden económico y un obstáculo a la libre circulación de mercancías en el territorio nacional”, señalando que la ley que lo impone vulnera la libertad de empresa protegida por el art. 38 CE, los principios de unidad e igualdad expresados en los arts. 2, 9.2, 14 y 139 CE, y la garantía estatal del disfrute de los derechos y deberes constitucionales en igualdad de condiciones básicas que a su juicio entraña el art. 149.1.1 CE; en segundo lugar, los recurrentes argumentan que el legislador aragonés superó los límites de las potestades tributarias de las Comunidades Autónomas a los que se refieren en los arts. 133.2 y 157.3 CE, que parecen concretados en los arts. 6.2 y 6.3 de la Ley Orgánica de financiación de las Comunidades Autónomas (LOFCA), debido a que el impuesto impugnado tiene el mismo hecho imponible que los impuestos sobre sociedades y sobre la renta de las personas físicas, y somete a gravamen la misma materia imponible que los impuestos sobre bienes inmuebles y actividades económicas.</w:t>
      </w:r>
    </w:p>
    <w:p w:rsidR="0026452D" w:rsidRDefault="0026452D" w:rsidP="0026452D">
      <w:pPr>
        <w:pStyle w:val="TextoNormal"/>
      </w:pPr>
    </w:p>
    <w:p w:rsidR="0026452D" w:rsidRDefault="0026452D" w:rsidP="0026452D">
      <w:pPr>
        <w:pStyle w:val="TextoNormal"/>
      </w:pPr>
      <w:r>
        <w:lastRenderedPageBreak/>
        <w:t>La representación procesal de las Cortes y la Diputación General de Aragón, con los argumentos que han quedado expuestos en los antecedentes, y que, en lo que proceda serán sucintamente recogidos en los correspondientes fundamentos jurídicos, solicitan la desestimación del recurso, por no concurrir ninguna de las tachas de inconstitucionalidad alegadas en el mismo.</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al examen de fondo, procede realizar ciertas precisiones en relación con el objeto del recurso, motivadas porque los preceptos aquí recurridos han sido objeto de diversas modificaciones durante la pendencia del presente proceso constitucional.</w:t>
      </w:r>
    </w:p>
    <w:p w:rsidR="0026452D" w:rsidRDefault="0026452D" w:rsidP="0026452D">
      <w:pPr>
        <w:pStyle w:val="TextoNormal"/>
      </w:pPr>
    </w:p>
    <w:p w:rsidR="0026452D" w:rsidRDefault="0026452D" w:rsidP="0026452D">
      <w:pPr>
        <w:pStyle w:val="TextoNormal"/>
      </w:pPr>
      <w:r>
        <w:t>Según la STC 161/2012, de 20 de septiembre, “la incidencia de las citadas reformas sobre el objeto del presente recurso debe ser enjuiciada teniendo en cuenta que, en relación con las modificaciones normativas en procesos constitucionales de naturaleza competencial como el que ahora nos ocupa, este Tribunal ha afirmado reiteradamente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(entre otras, STC 18/2011, de 3 de marzo, FJ 3 y las allí citadas)”.</w:t>
      </w:r>
    </w:p>
    <w:p w:rsidR="0026452D" w:rsidRDefault="0026452D" w:rsidP="0026452D">
      <w:pPr>
        <w:pStyle w:val="TextoNormal"/>
      </w:pPr>
    </w:p>
    <w:p w:rsidR="0026452D" w:rsidRDefault="0026452D" w:rsidP="0026452D">
      <w:pPr>
        <w:pStyle w:val="TextoNormal"/>
      </w:pPr>
      <w:r>
        <w:t>Los arts. 28 a 35 de la Ley recurrida (impuesto sobre daño medioambiental causado por las grandes áreas de venta), que son el núcleo de la impugnación, fueron refundidos, con idéntica redacción, en los arts. 21 a 28 del Decreto Legislativo 1/2007, de 18 de septiembre, que en consecuencia lógica los deroga expresamente. Esta última norma ha sido modificada, en alguno de sus preceptos, por la Ley 8/2007, de 29 de diciembre, la Ley 11/2008, de 29 de diciembre, la Ley 13/2009, de 30 de diciembre, la Ley 12/2010, de 29 de diciembre y la Ley 3/2012, de 8 de marzo. Solo la modificación operada en la Ley 11/2008 se refiere a alguno de los arts. 21 a 28, concretamente al art. 24 b), cuya redacción es muy similar a la del anterior art. 31 b). Por otra parte, la Ley 3/2012 les da nueva numeración, tratándose ahora de los arts. 15 a 22. En conclusión, el contenido de los arts. 28 a 35 de la ley recurrida es prácticamente idéntico al de los arts. 15 a 22 de la redacción actualmente vigente del Decreto Legislativo 1/2007, por lo que lo que la cuestión competencial que es objeto del litigio sigue plenamente viva en lo que hace a esos preceptos.</w:t>
      </w:r>
    </w:p>
    <w:p w:rsidR="0026452D" w:rsidRDefault="0026452D" w:rsidP="0026452D">
      <w:pPr>
        <w:pStyle w:val="TextoNormal"/>
      </w:pPr>
    </w:p>
    <w:p w:rsidR="0026452D" w:rsidRDefault="0026452D" w:rsidP="0026452D">
      <w:pPr>
        <w:pStyle w:val="TextoNormal"/>
      </w:pPr>
      <w:r>
        <w:t>No hay duda que la alegación del contraste con los arts. 6.2 y 6.3 LOFCA suscita una discrepancia competencial, pues si el tributo impugnado no cupiese dentro del marco así diseñado por el Estado, la Comunidad Autónoma no tendría competencia para hacer esa regulación. Lo mismo ocurre en este caso, debido a la concreta argumentación de la demanda, con la invocación de los arts. 38 y 139.2 CE. Como se expondrá con detalle en el siguiente fundamento jurídico, los recurrentes sostienen que el art. 38 CE proscribe que el legislador aragonés pueda someter el ejercicio de una cierta actividad empresarial a un régimen de tributación sustancialmente distinto del que rige en el resto del territorio nacional, pues, a su juicio, “todo lo concerniente a aspectos básicos de la actividad empresarial es de necesaria competencia estatal, lo que debe incluir la tributación de estos elementos, debiendo ello constituir un criterio hermenéutico adicional a los ya establecidos para determi</w:t>
      </w:r>
      <w:r>
        <w:lastRenderedPageBreak/>
        <w:t>nar los límites de las potestades tributarias de las Comunidades Autónomas”. Por el contrario, el motivo de impugnación no tendría contenido competencial si la lesión alegada del art. 38 CE consistiese en que el Ordenamiento aragonés, considerado en sí mismo y no por contraste con el de otras Comunidades Autónomas, consagrara una desigualdad básica entre dos tipos de actividad económica, la distribución comercial en grandes y pequeñas superficies, dificultando la primera de un modo constitucionalmente ilegítimo. Aducen, además, que la disciplina de los elementos esenciales de cada actividad empresarial, entre los que incluyen el régimen tributario, es de necesaria competencia estatal y no autonómico porque toda ley autonómica que intervenga en ese ámbito material, como es el caso de la impugnada, conlleva un obstáculo a la libre circulación de mercancías prohibido por el art. 139.2 CE. En fin, por medio de la invocación de los arts. 38 y 139.2 CE lo que se traba en realidad es una controversia sobre el ámbito de las competencias respectivas del Estado y de las Comunidades Autónomas.</w:t>
      </w:r>
    </w:p>
    <w:p w:rsidR="0026452D" w:rsidRDefault="0026452D" w:rsidP="0026452D">
      <w:pPr>
        <w:pStyle w:val="TextoNormal"/>
      </w:pPr>
    </w:p>
    <w:p w:rsidR="0026452D" w:rsidRDefault="0026452D" w:rsidP="0026452D">
      <w:pPr>
        <w:pStyle w:val="TextoNormal"/>
      </w:pPr>
      <w:r>
        <w:t>Esta es la conclusión que alcanzamos en la STC 210/2012, de 14 de noviembre, en la que, aunque la Ley de la Asamblea de Extremadura 14/2001, que era la recurrida, fue derogada expresamente por la disposición derogatoria del Decreto Legislativo 2/2006, a la vez que incorporada como título IV del texto refundido aprobado por esa misma norma, analizamos el motivo de impugnación fundado en el art. 139.2 CE por considerar que, en el caso concreto, que es similar al presente, su invocación planteaba una cuestión competencial.</w:t>
      </w:r>
    </w:p>
    <w:p w:rsidR="0026452D" w:rsidRDefault="0026452D" w:rsidP="0026452D">
      <w:pPr>
        <w:pStyle w:val="TextoNormal"/>
      </w:pPr>
    </w:p>
    <w:p w:rsidR="0026452D" w:rsidRDefault="0026452D" w:rsidP="0026452D">
      <w:pPr>
        <w:pStyle w:val="TextoNormal"/>
      </w:pPr>
      <w:r>
        <w:t>Cosa distinta es lo ocurrido con los arts. 8 a 13 (disposiciones generales en materia de impuestos medioambientales propios) y 36 a 53 (disposiciones comunes relativas a la obligación tributaria y a la gestión tributaria de dichos impuestos medioambientales) de la ley recurrida. La Ley 19/2006, de 29 de diciembre, modificó con distinto alcance los arts. 13.3, 38.2.2, 39.2, 42.1, 43.1, 45.2, 46, 47, 50 y 51.3. El Decreto Legislativo 1/2007 los refunde con idéntica redacción, pasando a ser los arts. 1 a 6 y 29 a 46 de dicha disposición. Esta norma, a su vez, fue afectada por las Leyes autonómicas 8/2007, 11/2008, 13/2009 y 12/2010, que solo inciden en los arts. 31.3 y 32.4 relativos exclusivamente a un impuesto ambiental distinto al controvertido (impuesto sobre el daño medioambiental causado por la emisión de contaminantes a la atmósfera). Finalmente, la Ley 3/2012, como suprimió el capítulo dedicado al impuesto sobre el daño medioambiental causado por las instalaciones de transporte por cable, renumera tales preceptos como 1 a 6 y 23 a 40, adaptando la redacción de algunos preceptos a esta supresión (los arts. 1, 23, 32, 35 y 40).</w:t>
      </w:r>
    </w:p>
    <w:p w:rsidR="0026452D" w:rsidRDefault="0026452D" w:rsidP="0026452D">
      <w:pPr>
        <w:pStyle w:val="TextoNormal"/>
      </w:pPr>
    </w:p>
    <w:p w:rsidR="0026452D" w:rsidRDefault="0026452D" w:rsidP="0026452D">
      <w:pPr>
        <w:pStyle w:val="TextoNormal"/>
      </w:pPr>
      <w:r>
        <w:t>De todo ello se desprende que los únicos cambios relevantes en relación a este segundo grupo de preceptos controvertidos son los introducidos por la Ley 19/2006. No obstante, independientemente del alcance de estas modificaciones, el recurso no ha perdido objeto sobrevenidamente respecto de los arts. 8 a 13 y 36 a 53 de la Ley 13/2005 porque los recurrentes extienden la impugnación a estos preceptos únicamente en cuanto afectan al impuesto sobre grandes áreas de venta y sin fundar su pretensión en ningún argumento autónomo. En otras palabras, dado que la controversia constitucional, que recordemos es sustancialmente de signo competencial (en lo relativo al contraste con los arts. 6.2 y 6.3 LOFCA), se mantiene intacta en cuanto a la regulación específica del impuesto sobre grandes áreas de venta (arts. 28 a 35 de la Ley recurrida), también permanece respecto de los arts. 8 a 13 y 36 a 53 de la Ley 13/2005 en tanto se aplican al impuesto sobre grandes áreas de venta, por lo que la discrepancia competencial planteada en el escrito rector de este proceso en relación con estos preceptos sigue viva.</w:t>
      </w:r>
    </w:p>
    <w:p w:rsidR="0026452D" w:rsidRDefault="0026452D" w:rsidP="0026452D">
      <w:pPr>
        <w:pStyle w:val="TextoNormal"/>
      </w:pPr>
    </w:p>
    <w:p w:rsidR="0026452D" w:rsidRDefault="0026452D" w:rsidP="0026452D">
      <w:pPr>
        <w:pStyle w:val="TextoNormal"/>
      </w:pPr>
      <w:r>
        <w:t>Descartada la pérdida de objeto del presente recurso por las razones indicadas, conviene advertir que la eventual declaración de inconstitucionalidad de los preceptos impugnados no podría llevar aparejada en ningún caso un pronunciamiento de nulidad de los mismos, en la medida en que dichos preceptos, como ya se dijo, fueron derogados y, en consecuencia, expulsados del ordenamiento jurídico, por el citado Decreto Legislativo 1/2007.</w:t>
      </w:r>
    </w:p>
    <w:p w:rsidR="0026452D" w:rsidRDefault="0026452D" w:rsidP="0026452D">
      <w:pPr>
        <w:pStyle w:val="TextoNormal"/>
      </w:pPr>
    </w:p>
    <w:p w:rsidR="0026452D" w:rsidRDefault="0026452D" w:rsidP="0026452D">
      <w:pPr>
        <w:pStyle w:val="TextoNormal"/>
      </w:pPr>
      <w:r w:rsidRPr="0026452D">
        <w:rPr>
          <w:rStyle w:val="NumeroAFNegritaCaracter"/>
        </w:rPr>
        <w:t>3</w:t>
      </w:r>
      <w:r>
        <w:t>. Para abordar el primer motivo de inconstitucionalidad procede precisar cuáles son las alegaciones con las que los recurrentes sostienen su pretensión, pues de ellas depende la delimitación del objeto de nuestro enjuiciamiento. En efecto, como hemos tenido ocasión de señalar en la STC 158/2011, de 19 de octubre, FJ 4,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 Para levantar esa carga, según la citada Sentencia, no basta la mera invocación formal de los preceptos en la demanda ni la existencia en la misma de una solicitud expresa de su declaración de inconstitucionalidad, sino que es necesario que el escrito del recurso “contenga la argumentación específica o razonamientos que fundamenten la presunta contradicción de éstos con la Norma fundamental” [SSTC 146/1994, de 12 de mayo, FJ 7 B); 214/1994, de 14 de julio, FJ 3; y 195/1998, de 1 de octubre, FJ 1]. Solo así será posible el ejercicio del “derecho de defensa” por quien sostenga la constitucionalidad de la norma legal impugnada (aquí, las representaciones del Gobierno y las Cortes de Aragón) y permitirá a este Tribunal “conocer las razones por las que los recurrentes entienden que las disposiciones impugnadas transgreden el orden constitucional (SSTC 118/1996, de 27 de junio, FJ 2; y 118/1998, de 4 de junio, FJ 4).</w:t>
      </w:r>
    </w:p>
    <w:p w:rsidR="0026452D" w:rsidRDefault="0026452D" w:rsidP="0026452D">
      <w:pPr>
        <w:pStyle w:val="TextoNormal"/>
      </w:pPr>
    </w:p>
    <w:p w:rsidR="0026452D" w:rsidRDefault="0026452D" w:rsidP="0026452D">
      <w:pPr>
        <w:pStyle w:val="TextoNormal"/>
      </w:pPr>
      <w:r>
        <w:t>El motivo primero de la demanda afirma en su rúbrica que “el impuesto que se establece supone una ruptura de la unidad del orden económico y un obstáculo a la libre circulación de mercancías en el territorio nacional”, y el párrafo inicial de desarrollo del motivo apunta que “puede afirmarse sin ninguna vacilación que la Ley que se recurre supone indudablemente una ruptura de la unidad del orden económico nacional, al incidir sustancialmente y de forma muy intensa sobre la estructura de costes de las empresas afectadas, creando una desigualdad injustificable entre la actividad que se desarrolle en esta Comunidad y el resto del territorio nacional”.</w:t>
      </w:r>
    </w:p>
    <w:p w:rsidR="0026452D" w:rsidRDefault="0026452D" w:rsidP="0026452D">
      <w:pPr>
        <w:pStyle w:val="TextoNormal"/>
      </w:pPr>
    </w:p>
    <w:p w:rsidR="0026452D" w:rsidRDefault="0026452D" w:rsidP="0026452D">
      <w:pPr>
        <w:pStyle w:val="TextoNormal"/>
      </w:pPr>
      <w:r>
        <w:t xml:space="preserve">Más adelante, tras precisar su alegación aludiendo a los preceptos constitucionales que consideran afectados (la libertad de empresa protegida por el art. 38 CE; los principios de unidad e igualdad expresados en los arts. 2, 9.2, 14 y 139 CE; y la garantía estatal del disfrute de los derechos y deberes constitucionales en igualdad de condiciones básicas que a su juicio entraña el art. 149.1.1 CE) y a la jurisprudencia constitucional que entienden aplicable (SSTC 37/1981, de 16 de noviembre; 1/1982, de 28 de enero; 88/1986, de 1 de julio), en el punto 8 de este primer motivo de la demanda exponen que “[d]e todo ello podemos concluir la existencia de los siguientes límites de las competencias autonómicas: a) En primer lugar, la afección de las condiciones básicas del ejercicio del derecho fundamental. Con arreglo a la Sentencia de 16 de noviembre de 1981, habrá de apreciarse inconstitucionalidad cuando la afección a la libertad de empresa conlleve una modificación en las condiciones básicas en que es ejercida por el resto de los empresarios españoles. Desde este punto de vista habrá de examinarse si la Ley que examinamos incide en lo que constituya contenido esencial de </w:t>
      </w:r>
      <w:r>
        <w:lastRenderedPageBreak/>
        <w:t>la actividad empresarial. A esto, en definitiva, hay que referir la reiterada invocación por la Sentencia 1/1982 de la unidad de las condiciones de vida más allá del territorio de una Comunidad Autónoma … ; b) En segundo término, el fundamento 2 de la Sentencia de 16 de noviembre de 1981 señala que no sólo existe ‘obstáculo’ en el sentido del art. 139.2 CE cuando intencionalmente se persiga obstaculizar la libre circulación —evidentemente, también la libertad de establecimiento—, sino además en aquellos casos ‘en los que las consecuencias objetivas de las medidas adoptadas impliquen el surgimiento de obstáculos que no guarden relación con el fin constitucionalmente lícito que aquellas persiguen’.”</w:t>
      </w:r>
    </w:p>
    <w:p w:rsidR="0026452D" w:rsidRDefault="0026452D" w:rsidP="0026452D">
      <w:pPr>
        <w:pStyle w:val="TextoNormal"/>
      </w:pPr>
    </w:p>
    <w:p w:rsidR="0026452D" w:rsidRDefault="0026452D" w:rsidP="0026452D">
      <w:pPr>
        <w:pStyle w:val="TextoNormal"/>
      </w:pPr>
      <w:r>
        <w:t>Finalmente, según el punto 10 del primer motivo de la demanda, “aplicando esta doctrina a la Ley impugnada, se pueden realizar las siguientes afirmaciones: a) la Ley establece un tributo sobre la superficie comercial, que es intrínsecamente un elemento productivo esencial y consustancial a la naturaleza de la propia actividad empresarial en este sector, tributo que no existe en el resto del Estado, y que no guarda relación ninguna con los tributos básicos del sistema tributario general; b) por tanto, la desigualdad en la estructura de costes que supone la incidencia de este tributo en las empresas afectadas, supone una desigualdad básica en el ejercicio de su actividad empresarial, según el territorio donde se realice, que afecta tanto al momento de posible creación de empresas, al condicionar la dimensión de la superficie que van a utilizar para sus fines, como al desenvolvimiento de las mismas, al alterar el coste de este elemento productivo fundamental; c) esta alteración en la igualdad en todo el territorio nacional en la estructura de costes, en un elemento esencial y decisivo en los mismos y consustancial a la naturaleza de su actividad, supone sin duda una ruptura de la igualdad de las condiciones en el ejercicio del derecho a la libertad de empresa, tanto en el plano de lo real y fáctico, como en el jurídico, que no tiene justificación alguna, y que es incompatible con la unidad de mercado y del orden económico nacional.”</w:t>
      </w:r>
    </w:p>
    <w:p w:rsidR="0026452D" w:rsidRDefault="0026452D" w:rsidP="0026452D">
      <w:pPr>
        <w:pStyle w:val="TextoNormal"/>
      </w:pPr>
    </w:p>
    <w:p w:rsidR="0026452D" w:rsidRDefault="0026452D" w:rsidP="0026452D">
      <w:pPr>
        <w:pStyle w:val="TextoNormal"/>
      </w:pPr>
      <w:r>
        <w:t>De este análisis del escrito rector de este proceso se desprende con claridad que la argumentación específica con la que los recurrentes fundan el primero de sus motivos de inconstitucionalidad, argumentación que a su vez se corresponde exactamente con la rúbrica de ese motivo, es que la Ley impugnada provoca una desigualdad básica en el ejercicio de una cierta actividad empresarial según el territorio donde se realice, lo que, a su juicio, supone una quiebra en la igualdad de las condiciones de ejercicio del derecho a la libertad de empresa (art. 38 CE) y es incompatible con la unidad de mercado en la medida que conlleva un obstáculo a la libertad de establecimiento (art. 139.2 CE). No se encuentran en la demanda, por el contrario, razonamientos orientados a sostener que la Ley impugnada desconoce la libertad de empresa (art. 38 CE) porque al gravar desproporcionadamente la superficie comercial limita la creación y el desenvolvimiento de un cierto tipo de empresas de distribución comercial, favoreciendo así a otros establecimientos que operan en el mismo sector económico y en el mismo territorio autonómico, razón por la cual esta perspectiva de enjuiciamiento constitucional queda fuera del objeto del presente proceso.</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Delimitado en estos términos su objeto, lo que se nos plantea en este recurso de inconstitucionalidad es si el sometimiento del ejercicio de una cierta actividad empresarial —en este caso la distribución comercial mediante grandes superficies— a distintas condiciones según el territorio donde se realice, concretamente a un diferente régimen impositivo dependiendo de si se desenvuelve la actividad en Aragón o en otra Comunidad Autónoma, rompe la unidad de mercado constitucionalmente reconocida, en el sentido de que impide que el derecho a la libertad de empresa se ejercite en condiciones básicas de igualdad (art. </w:t>
      </w:r>
      <w:r>
        <w:lastRenderedPageBreak/>
        <w:t>38 CE) o en la medida que supone un obstáculo a la libre circulación impuesta por el art. 139.2 CE.</w:t>
      </w:r>
    </w:p>
    <w:p w:rsidR="0026452D" w:rsidRDefault="0026452D" w:rsidP="0026452D">
      <w:pPr>
        <w:pStyle w:val="TextoNormal"/>
      </w:pPr>
    </w:p>
    <w:p w:rsidR="0026452D" w:rsidRDefault="0026452D" w:rsidP="0026452D">
      <w:pPr>
        <w:pStyle w:val="TextoNormal"/>
      </w:pPr>
      <w:r>
        <w:t>Para abordar esta cuestión hemos de partir de la doctrina que hemos establecido al examinar el encaje recíproco de dos elementos esenciales de nuestra construcción constitucional: de un lado, el esencial principio de unidad del sistema, en su manifestación de unidad del mercado o de unicidad del orden económico general; de otro, la diversidad regulatoria, también consustancial a un Estado compuesto como el conformado por la Constitución de 1978 en el que las competencias normativas son distribuidas entre el Estado central y las Comunidades Autónomas. En este sentido, hemos declarado que la Constitución prevé una serie de técnicas orientadas a asegurar la unidad de mercado a pesar de la distribución territorial de las competencias normativas, que son las siguientes:</w:t>
      </w:r>
    </w:p>
    <w:p w:rsidR="0026452D" w:rsidRDefault="0026452D" w:rsidP="0026452D">
      <w:pPr>
        <w:pStyle w:val="TextoNormal"/>
      </w:pPr>
    </w:p>
    <w:p w:rsidR="0026452D" w:rsidRDefault="0026452D" w:rsidP="0026452D">
      <w:pPr>
        <w:pStyle w:val="TextoNormal"/>
      </w:pPr>
      <w:r>
        <w:t>a) En primer término, algunas materias se sustraen a la pluralidad normativa mediante la reserva de la función legislativa al Estado. En este sentido, en la STC 1/1982, de 28 de enero, FJ 1, señalamos que “la unicidad del orden económico nacional es un presupuesto necesario para que el reparto de competencias entre el Estado y las distintas Comunidades Autónomas en materias económicas no conduzca a resultados disfuncionales y desintegradores. Por ello, la Constitución retiene en poder del Estado, como exclusivas en su integridad, aquellas competencias que atañen a determinados aspectos del orden económico y de su unidad, … y en otros supuestos retiene en poder del Estado, también con carácter exclusivo, la competencia para fijar solamente las ‘bases’”.</w:t>
      </w:r>
    </w:p>
    <w:p w:rsidR="0026452D" w:rsidRDefault="0026452D" w:rsidP="0026452D">
      <w:pPr>
        <w:pStyle w:val="TextoNormal"/>
      </w:pPr>
    </w:p>
    <w:p w:rsidR="0026452D" w:rsidRDefault="0026452D" w:rsidP="0026452D">
      <w:pPr>
        <w:pStyle w:val="TextoNormal"/>
      </w:pPr>
      <w:r>
        <w:t xml:space="preserve">b) Un segundo instrumento que garantiza, en este contexto de reparto territorial de la función legislativa, una cierta uniformidad en todo el territorio nacional es que el art. 53.1 CE sujeta al legislador a respetar el contenido esencial de los derechos y libertades fundamentales. De este modo, todo legislador, ya sea estatal o autonómico, cuando materializa sus competencias normativas está vinculado por el mismo contenido esencial de los derechos y libertades fundamentales, en este caso por el contenido esencial de la libertad de empresa </w:t>
      </w:r>
      <w:r w:rsidRPr="0026452D">
        <w:rPr>
          <w:i/>
        </w:rPr>
        <w:t>ex</w:t>
      </w:r>
      <w:r>
        <w:t xml:space="preserve"> art. 38 CE. En la STC 247/2007, de 12 de diciembre, FJ 13 a), destacamos esta función de los derechos constitucionales cuando afirmamos que “no sólo se imponen al legislador, sino que son resistentes al mismo, de manera que si aquél legislara contra dicho contenido esencial, el producto —la ley— podrá ser declarado inconstitucional, pues los derechos constitucionales también se caracterizan por su justiciabilidad inmediata. Puede hablarse, por tanto, de un sustrato de igualdad en todo el territorio nacional respecto de estos derechos, sustrato de igualdad que deriva directamente de la propia Constitución”.</w:t>
      </w:r>
    </w:p>
    <w:p w:rsidR="0026452D" w:rsidRDefault="0026452D" w:rsidP="0026452D">
      <w:pPr>
        <w:pStyle w:val="TextoNormal"/>
      </w:pPr>
    </w:p>
    <w:p w:rsidR="0026452D" w:rsidRDefault="0026452D" w:rsidP="0026452D">
      <w:pPr>
        <w:pStyle w:val="TextoNormal"/>
      </w:pPr>
      <w:r>
        <w:t xml:space="preserve">c) Además de las dos técnicas anteriores, la Constitución impone al legislador con este propósito un tercer grupo de límites. En efecto, el respeto del legislador al contenido esencial de los derechos y libertades constitucionales no agota, sin embargo, todo el margen de opción que le es propio, de modo que, como es natural en un Estado compuesto, el ejercicio constitucionalmente lícito de sus competencias normativas por los legisladores autonómicos puede deparar que una misma actividad económica, en este caso la distribución comercial mediante el uso de grandes superficies, quede sujeta a regímenes distintos dependiendo de la parte del territorio nacional donde se realice. Esta desigualdad en las condiciones de ejercicio de una determinada actividad a consecuencia de la pluralidad de ordenamientos autonómicos, que en principio es constitucionalmente legítima pues es la manifestación de las </w:t>
      </w:r>
      <w:r>
        <w:lastRenderedPageBreak/>
        <w:t>competencias normativas atribuidas a las Comunidades Autónomas, encuentra ciertos límites en aras de la unidad de mercado en distintos preceptos del título VIII de la Constitución.</w:t>
      </w:r>
    </w:p>
    <w:p w:rsidR="0026452D" w:rsidRDefault="0026452D" w:rsidP="0026452D">
      <w:pPr>
        <w:pStyle w:val="TextoNormal"/>
      </w:pPr>
    </w:p>
    <w:p w:rsidR="0026452D" w:rsidRDefault="0026452D" w:rsidP="0026452D">
      <w:pPr>
        <w:pStyle w:val="TextoNormal"/>
      </w:pPr>
      <w:r>
        <w:t>En tal sentido, partiendo de las previsiones de los arts. 2 y 139 CE, en la STC 88/1986, de 1 de julio, establecimos que “esta unidad de mercado supone, por lo menos, la libertad de circulación sin traba por todo el territorio nacional de bienes, capitales, servicios y mano de obra y la igualdad de las condiciones básicas de ejercicio de las actividad económica. Tal unidad, sin embargo, y como ha señalado también el Tribunal, no significa uniformidad, ya que la misma configuración del Estado español y la existencia de entidades con autonomía política, como son las Comunidades Autónomas, supone necesariamente una diversidad de regímenes jurídicos. La compatibilidad entre la unidad económica de la Nación y la diversidad jurídica que deriva de la autonomía ha de buscarse, pues, en un equilibrio entre ambos principios, equilibrio que, al menos, y en lo que aquí interesa, admite una pluralidad y diversidad de intervenciones de los poderes públicos en el ámbito económico, siempre que reúnan las varias características de que: la regulación autonómica se lleve a cabo dentro del ámbito de la competencia de la Comunidad; que esa regulación, en cuanto introductora de un régimen diverso del o de los existentes en el resto de la Nación, resulte proporcionada al objeto legítimo que se persigue, de manera que las diferencias y peculiaridades en ella previstas resulten adecuadas y justificadas por su fin; y, por último, que quede en todo caso a salvo la igualdad básica de todos los españoles. Por todo ello, para evaluar si la normativa impugnada vulnera o no los mandatos constitucionales pertinentes a la unidad de mercado, es necesario aplicar estos criterios acabados de exponer a las normas en cuestión, precisando su cobertura competencial, la intensidad de la diversidad que introducen, y su ordenación y proporcionalidad al fin que persiguen”.</w:t>
      </w:r>
    </w:p>
    <w:p w:rsidR="0026452D" w:rsidRDefault="0026452D" w:rsidP="0026452D">
      <w:pPr>
        <w:pStyle w:val="TextoNormal"/>
      </w:pPr>
    </w:p>
    <w:p w:rsidR="0026452D" w:rsidRDefault="0026452D" w:rsidP="0026452D">
      <w:pPr>
        <w:pStyle w:val="TextoNormal"/>
      </w:pPr>
      <w:r>
        <w:t>Junto a aquellos preceptos del título VIII de la Constitución que suponen un límite en sí a la diversidad regulatoria que puedan introducir los legisladores autonómicos en el ejercicio de sus competencias, este Tribunal ha reconocido que, cuando dichos medios se demuestran insuficientes para imponer la igualdad básica de todos los españoles en el ejercicio de los derechos constitucionales, el Estado puede intervenir normativamente a fin de garantizar esa igualdad en virtud de los arts. 149.1.1 CE (STC 61/1997, de 20 de marzo) y 149.1.13 CE (STC 225/1993, de 8 de julio).</w:t>
      </w:r>
    </w:p>
    <w:p w:rsidR="0026452D" w:rsidRDefault="0026452D" w:rsidP="0026452D">
      <w:pPr>
        <w:pStyle w:val="TextoNormal"/>
      </w:pPr>
    </w:p>
    <w:p w:rsidR="0026452D" w:rsidRDefault="0026452D" w:rsidP="0026452D">
      <w:pPr>
        <w:pStyle w:val="TextoNormal"/>
      </w:pPr>
      <w:r>
        <w:t>d) En conclusión, no habiendo legislación estatal dictada al amparo de los arts. 149.1.1 o 149.1.13 CE, lo que tendremos que analizar en el presente supuesto es si la regulación autonómica que genera la diversidad regulatoria se lleva a cabo dentro del ámbito de la competencia de la Comunidad Autónoma y, de ser así, si el ejercicio de esta competencia legislativa respeta o no el contenido esencial del derecho a la libertad de empresa (art. 38 CE) y si supone o no un obstáculo a la circulación de personas y bienes en todo el territorio español (art. 139.2 CE).</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Acerca de la competencia autonómica para establecer tributos propios, la STC 60/2013, de 13 de marzo, FJ 2, ha señalado con carácter general que “las Comunidades Autónomas en virtud de su autonomía financiera constitucionalmente garantizada (art. 156.1 CE), son titulares de determinadas competencias financieras (STC 13/2007, de 18 de enero, FJ 7), entre las que se encuentra la potestad de establecer tributos, bien como una fuente de ingresos, esto es, como una manera de allegarles medios económicos para satisfacer sus necesidades financieras: fin fiscal; bien como instrumento al servicio de políticas </w:t>
      </w:r>
      <w:r>
        <w:lastRenderedPageBreak/>
        <w:t xml:space="preserve">sectoriales distintas de la puramente recaudatoria: fin extrafiscal (SSTC 37/1987, de 26 de marzo, FJ 13; 197/1992, de 19 de noviembre, FJ 6; 186/1993, de 7 de junio, FJ 4; 194/2000, de 19 de julio, FJ 7; 276/2000, de 16 de noviembre, FJ 4; 179/2006, de 13 de junio, FJ 3; y 122/2012, de 5 de junio, FJ 4). Competencias financieras que no sólo deben ser ejercidas dentro del marco y límites establecidos por el Estado en el ejercicio de su potestad originaria </w:t>
      </w:r>
      <w:r w:rsidRPr="0026452D">
        <w:rPr>
          <w:i/>
        </w:rPr>
        <w:t>ex</w:t>
      </w:r>
      <w:r>
        <w:t xml:space="preserve"> arts. 133.1, 149.1.14 y 157.3 CE [SSTC 13/2007, de 18 de enero, FJ 7; 31/2010, de 28 de junio, FJ 130; 19/2012, de 15 de febrero, FJ 3 b); 32/2012, de 15 de marzo, FJ 6; y 100/2012, de 8 de mayo, FJ 7], sino también ‘dentro del marco de competencias asumidas’ (SSTC 37/1987, de 26 de marzo, FJ 13; 164/1995, de 13 de noviembre, FJ 4; y 179/2006, de 13 de junio, FJ 3)”.</w:t>
      </w:r>
    </w:p>
    <w:p w:rsidR="0026452D" w:rsidRDefault="0026452D" w:rsidP="0026452D">
      <w:pPr>
        <w:pStyle w:val="TextoNormal"/>
      </w:pPr>
    </w:p>
    <w:p w:rsidR="0026452D" w:rsidRDefault="0026452D" w:rsidP="0026452D">
      <w:pPr>
        <w:pStyle w:val="TextoNormal"/>
      </w:pPr>
      <w:r>
        <w:t xml:space="preserve">La adecuación de la ley autonómica impugnada al marco establecido por el Estado en el ejercicio de su potestad originaria </w:t>
      </w:r>
      <w:r w:rsidRPr="0026452D">
        <w:rPr>
          <w:i/>
        </w:rPr>
        <w:t>ex</w:t>
      </w:r>
      <w:r>
        <w:t xml:space="preserve"> arts. 133.1, 149.1.14 y 157.3 CE, y en particular al art. 6.3 LOFCA, es el objeto específico del segundo motivo de impugnación del presente recurso de inconstitucionalidad, razón por la cual será examinada en el momento correspondiente.</w:t>
      </w:r>
    </w:p>
    <w:p w:rsidR="0026452D" w:rsidRDefault="0026452D" w:rsidP="0026452D">
      <w:pPr>
        <w:pStyle w:val="TextoNormal"/>
      </w:pPr>
    </w:p>
    <w:p w:rsidR="0026452D" w:rsidRDefault="0026452D" w:rsidP="0026452D">
      <w:pPr>
        <w:pStyle w:val="TextoNormal"/>
      </w:pPr>
      <w:r>
        <w:t xml:space="preserve">La segunda exigencia a que se sujeta la competencia financiera autonómica consiste en que se ejerza “dentro del marco de competencias asumidas” y aparece respetada por la Ley impugnada, pues la creación de un impuesto como este, que incide sobre un cierto tipo de actividades económicas, encontraba apoyo al tiempo de dictarse en los arts. 46 y 48.1 del Estatuto de Autonomía de Aragón (EAAr) de 1982, y conforme a la normativa estatutaria vigente, que es la que hay que tener en cuenta en la resolución de este proceso en virtud de nuestra doctrina sobre el </w:t>
      </w:r>
      <w:r w:rsidRPr="0026452D">
        <w:rPr>
          <w:i/>
        </w:rPr>
        <w:t>ius superveniens</w:t>
      </w:r>
      <w:r>
        <w:t>, está amparada por las competencias tributarias de esta Comunidad Autónoma recogidas en los arts. 103, 104.1 y 105.1 EAAr (en su redacción por Ley Orgánica 5/2007, de 20 de abril).</w:t>
      </w:r>
    </w:p>
    <w:p w:rsidR="0026452D" w:rsidRDefault="0026452D" w:rsidP="0026452D">
      <w:pPr>
        <w:pStyle w:val="TextoNormal"/>
      </w:pPr>
    </w:p>
    <w:p w:rsidR="0026452D" w:rsidRDefault="0026452D" w:rsidP="0026452D">
      <w:pPr>
        <w:pStyle w:val="TextoNormal"/>
      </w:pPr>
      <w:r>
        <w:t>De otro lado, también la Comunidad Autónoma de Aragón tiene asumidas en su norma estatutaria competencias sobre los ámbitos materiales sobre los que incide el impuesto. Por solo referirnos al Estatuto de Autonomía de Aragón aprobado por Ley Orgánica 5/2007, de 20 de abril, que es el que debemos tomar en consideración para resolver este proceso como acabamos de indicar, éste atribuye a la Comunidad Autónoma de Aragón competencias en materia de “ordenación del territorio” (art. 71. 8), “urbanismo” (art. 71.9), “vivienda” (art. 71.10), “normas adicionales de la legislación básica sobre protección del medio ambiente y del paisaje, que incluye la planificación de la prevención y eliminación de las distintas fuentes de contaminación, así como el desarrollo de políticas que contribuyan a mitigar el cambio climático” (art. 71.22), “promoción de la competencia” (art. 71.24) y “comercio, que comprende la regulación de la actividad comercial, incluidos los horarios y equipamientos comerciales, respetando la unidad de mercado, así como la regulación administrativa de las diferentes modalidades de venta, con especial atención a la promoción, desarrollo y modernización del sector” (art. 71.25).</w:t>
      </w:r>
    </w:p>
    <w:p w:rsidR="0026452D" w:rsidRDefault="0026452D" w:rsidP="0026452D">
      <w:pPr>
        <w:pStyle w:val="TextoNormal"/>
      </w:pPr>
    </w:p>
    <w:p w:rsidR="0026452D" w:rsidRDefault="0026452D" w:rsidP="0026452D">
      <w:pPr>
        <w:pStyle w:val="TextoNormal"/>
      </w:pPr>
      <w:r>
        <w:t>Por tanto, si la Constitución [arts. 133.2 y 157.1 b)] atribuye a las Comunidades Autónomas la posibilidad de establecer tributos propios (fiscales o extrafiscales), “desde el respeto a los principios proclamados en los arts. 6.2 y 3 LOFCA” (STC 168/2004, de 6 de octubre, FJ 11) y dentro del marco de sus competencias (arts. 156.1 CE y 11 LOFCA), y resulta que la Comunidad Autónoma de Aragón ha asumido, en virtud de su norma estatutaria, compe</w:t>
      </w:r>
      <w:r>
        <w:lastRenderedPageBreak/>
        <w:t>tencias para establecer tributos propios (arts. 103, 104.1 y 105.1 EAAr de 2007) y competencias en las materias de ordenación del territorio, urbanismo, protección del medio ambiente y comercio interior (art. 71.8, 9, 10, 22 y 25 EAAr), el establecimiento de un impuesto sobre determinadas actividades que inciden en estas materias no puede declararse contrario al orden constitucional de competencias.</w:t>
      </w:r>
    </w:p>
    <w:p w:rsidR="0026452D" w:rsidRDefault="0026452D" w:rsidP="0026452D">
      <w:pPr>
        <w:pStyle w:val="TextoNormal"/>
      </w:pPr>
    </w:p>
    <w:p w:rsidR="0026452D" w:rsidRDefault="0026452D" w:rsidP="0026452D">
      <w:pPr>
        <w:pStyle w:val="TextoNormal"/>
      </w:pPr>
      <w:r w:rsidRPr="0026452D">
        <w:rPr>
          <w:rStyle w:val="NumeroAFNegritaCaracter"/>
        </w:rPr>
        <w:t>6</w:t>
      </w:r>
      <w:r>
        <w:t>. Comprobado que la Ley impugnada encuentra cobertura en el acervo competencial del legislador aragonés, procede entrar a considerar si dicho legislador autonómico en el ejercicio de su competencia normativa ha desconocido el derecho a la libertad de empresa (art. 38 CE) o la prohibición de obstaculizar la circulación de personas y bienes en todo el territorio español (art. 139.2 CE).</w:t>
      </w:r>
    </w:p>
    <w:p w:rsidR="0026452D" w:rsidRDefault="0026452D" w:rsidP="0026452D">
      <w:pPr>
        <w:pStyle w:val="TextoNormal"/>
      </w:pPr>
    </w:p>
    <w:p w:rsidR="0026452D" w:rsidRDefault="0026452D" w:rsidP="0026452D">
      <w:pPr>
        <w:pStyle w:val="TextoNormal"/>
      </w:pPr>
      <w:r>
        <w:t>En relación con la vulneración del art. 38 CE, y como ya expusimos en el fundamento jurídico 4 b), lo que vincula al legislador, en este caso el autonómico, no es el derecho constitucional en sí sino su contenido esencial (art. 53.1 CE). En efecto, es doctrina constitucional reiterada que “[e]l derecho a la libertad de empresa no es absoluto e incondicionado sino limitado por la regulación que, de las distintas actividades empresariales en concreto, puedan establecer los poderes públicos, limitaciones que han de venir establecidas por la ley, respetando, en todo caso, el contenido esencial del derecho” (SSTC 18/2011, de 3 de marzo, FJ 15; y 135/2012, de 19 de junio, FJ 5).</w:t>
      </w:r>
    </w:p>
    <w:p w:rsidR="0026452D" w:rsidRDefault="0026452D" w:rsidP="0026452D">
      <w:pPr>
        <w:pStyle w:val="TextoNormal"/>
      </w:pPr>
    </w:p>
    <w:p w:rsidR="0026452D" w:rsidRDefault="0026452D" w:rsidP="0026452D">
      <w:pPr>
        <w:pStyle w:val="TextoNormal"/>
      </w:pPr>
      <w:r>
        <w:t>Sobre este punto la STC 37/1981, de 16 de noviembre, FJ 2 (cuya cita se reitera en la STC 109/2003, de 5 de junio, FJ 15) declaró que “no determina la Constitución cuál sea este contenido esencial de los distintos derechos y libertades, y las controversias que al respecto puedan suscitarse han de ser resueltas por este Tribunal”. Pues bien, sobre el contenido esencial del derecho a la libertad de empresa la STC 96/2002, de 25 de abril, FJ 11, señaló que “hay que recordar que el art. 38 del texto constitucional dispone que los poderes públicos garantizan el ejercicio de la libre empresa de acuerdo con las exigencias de la economía general. Dicho mandato debe ser interpretado poniéndolo en relación, primero, con los arts. 128 y 131 CE [SSTC 37/1981, de 16 de noviembre, FJ 2; 111/1983, de 2 de diciembre, FJ 10; y 225/1993, de 8 de julio, FJ 3 b)], viniendo a implicar, fundamentalmente, el derecho a iniciar y sostener una actividad empresarial (STC 83/1984, de 24 de julio, FJ 3) y a hacerlo en libre competencia (SSTC 88/1986, de 1 de julio, FJ 4; y 135/1992, de 5 de octubre, FJ 8) …. Existe, por tanto, una garantía del inicio y el mantenimiento de la actividad empresarial ‘en libertad’, que implica ‘el reconocimiento a los particulares de una libertad de decisión no sólo para crear empresas y, por tanto, para actuar en el mercado, sino también para establecer los propios objetivos de la empresa y dirigir y planificar su actividad en atención a sus recursos y a las condiciones del propio mercado. Actividad empresarial que, por fundamentarse en una libertad constitucionalmente garantizada, ha de ejercerse en condiciones de igualdad pero también, de otra parte, con plena sujeción a la normativa sobre ordenación del mercado y de la actividad económica general’ [STC 225/1993, de 8 julio, FJ 3 b)]. Ha de ser entendida ‘como libertad de actuación, de elección por la empresa de su propio mercado, cuyo ejercicio en condiciones básicas de igualdad queda constitucionalmente garantizado, y cuyo respeto marca los límites dentro de los que necesariamente han de moverse los poderes constituidos al adoptar medidas que incidan sobre el sistema económico de nuestra sociedad (SSTC 37/1981, de 16 de noviembre, FJ 2; 64/1990, de 5 de abril, FJ 4).”</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7</w:t>
      </w:r>
      <w:r>
        <w:t>. De otro lado, hemos de recordar que los recurrentes sitúan la lesión alegada del derecho a la libertad de empresa en que la Ley impugnada provoca, a su juicio, una desigualdad básica en el ejercicio de una cierta actividad empresarial según el territorio donde se realice, alegación que, por la razones expuestas en el fundamento jurídico segundo, limita el objeto de nuestro enjuiciamiento. Este alcance limitado del objeto de este proceso también ha de ser tenido en cuenta a la hora de discernir cuáles son los elementos de nuestra doctrina con los que hemos de realizar el examen que nos compete.</w:t>
      </w:r>
    </w:p>
    <w:p w:rsidR="0026452D" w:rsidRDefault="0026452D" w:rsidP="0026452D">
      <w:pPr>
        <w:pStyle w:val="TextoNormal"/>
      </w:pPr>
    </w:p>
    <w:p w:rsidR="0026452D" w:rsidRDefault="0026452D" w:rsidP="0026452D">
      <w:pPr>
        <w:pStyle w:val="TextoNormal"/>
      </w:pPr>
      <w:r>
        <w:t>En este sentido procede poner de relieve que la STC 96/2002, de 25 de abril, destaca dentro del contenido esencial del art. 38 CE que “la actividad empresarial ... por fundamentarse en una libertad constitucionalmente garantizada, ha de ejercerse en condiciones de igualdad”. Pero tampoco se puede olvidar que en la referida STC 96/2002 se evaluaba una bonificación estatal que colocaba a los competidores en distinta situación competitiva según cuál fuera el lugar de su residencia. En otras palabras, que, a diferencia del caso que nos ocupa, la desigualdad no procedía de la ordenación diversa de una actividad empresarial por diferentes legisladores en ejercicio de sus competencias propias.</w:t>
      </w:r>
    </w:p>
    <w:p w:rsidR="0026452D" w:rsidRDefault="0026452D" w:rsidP="0026452D">
      <w:pPr>
        <w:pStyle w:val="TextoNormal"/>
      </w:pPr>
    </w:p>
    <w:p w:rsidR="0026452D" w:rsidRDefault="0026452D" w:rsidP="0026452D">
      <w:pPr>
        <w:pStyle w:val="TextoNormal"/>
      </w:pPr>
      <w:r>
        <w:t xml:space="preserve">En esa misma línea en el fundamento jurídico 8 de la STC 109/2003, de 5 de junio, se resalta que “la libertad de empresa, de la que la transmisibilidad de ésta [autorización de apertura de farmacia] es una concreción, exige que las distintas empresas de un mismo sector se hallen sometidas al mismo género de limitaciones básicas en todo el territorio nacional, pues dicha libertad, que la Ley general de sanidad reconoce, sólo existe en una economía de mercado que resulta incompatible con posiciones jurídicas básicamente distintas de los diversos operadores”. Pero no se puede olvidar que esa afirmación se hace cuando se está analizando si el Estado, en uso de su competencia básica </w:t>
      </w:r>
      <w:r w:rsidRPr="0026452D">
        <w:rPr>
          <w:i/>
        </w:rPr>
        <w:t>ex</w:t>
      </w:r>
      <w:r>
        <w:t xml:space="preserve"> 149.1.16 CE, puede imponer, como regulación uniforme para todo el territorio nacional, que las autorizaciones de apertura de las oficinas de farmacia sean transmisibles. Como en el caso de la STC 96/2002, no se está en presencia de una desigualdad en las condiciones de ejercicio de una actividad empresarial provocada por los regímenes diversos instaurados por legisladores distintos en ejercicio de sus respectivas competencias.</w:t>
      </w:r>
    </w:p>
    <w:p w:rsidR="0026452D" w:rsidRDefault="0026452D" w:rsidP="0026452D">
      <w:pPr>
        <w:pStyle w:val="TextoNormal"/>
      </w:pPr>
    </w:p>
    <w:p w:rsidR="0026452D" w:rsidRDefault="0026452D" w:rsidP="0026452D">
      <w:pPr>
        <w:pStyle w:val="TextoNormal"/>
      </w:pPr>
      <w:r>
        <w:t xml:space="preserve">Por el contrario, cuando este es el caso, como ocurre en el presente recurso de inconstitucionalidad, la doctrina constitucional sobre el art. 38 CE a partir de la que se enjuicia la norma impugnada es en cierto modo distinta. Así, el fundamento jurídico 15 de la STC 109/2003, de 5 de junio, donde el objeto del análisis constitucional es la diversidad en las condiciones de ejercicio de la actividad farmacéutica privada generada por varios legisladores autonómicos al prever un régimen distinto de causas de caducidad de la autorización de apertura, retoma el criterio que el Tribunal había usado en las SSTC 88/1986, FJ 6 y 66/1991, de 22 de marzo, FJ 2, según el cual “que las regulaciones autonómicas que ... prevengan la intervención de los poderes públicos en el ámbito económico, introduciendo un régimen diverso del o de los existentes en el resto de la Nación es admisible con tal de que dentro del ámbito competencial respectivo ‘resulte proporcionada al objeto legítimo que se persigue, de manera que las diferencias ... previstas resulten adecuadas y justificadas por su fin’ (STC 88/1986, de 1 de julio, FJ 6). Y en fin, desde sus primeras resoluciones (STC 26/1981, FJ 15) ha venido a decir que no siendo los derechos que la Constitución reconoce garantías absolutas, las restricciones a que puedan quedar sometidos son tolerables siempre que sean proporcionadas, de modo que, por adecuadas, contribuyan a la consecución del fin </w:t>
      </w:r>
      <w:r>
        <w:lastRenderedPageBreak/>
        <w:t>constitucionalmente legítimo al que propenden y por indispensables hayan de ser inevitablemente preferidas a otras que pudieran suponer, para la esfera de libertad pública protegida, un sacrificio menor”.</w:t>
      </w:r>
    </w:p>
    <w:p w:rsidR="0026452D" w:rsidRDefault="0026452D" w:rsidP="0026452D">
      <w:pPr>
        <w:pStyle w:val="TextoNormal"/>
      </w:pPr>
    </w:p>
    <w:p w:rsidR="0026452D" w:rsidRDefault="0026452D" w:rsidP="0026452D">
      <w:pPr>
        <w:pStyle w:val="TextoNormal"/>
      </w:pPr>
      <w:r w:rsidRPr="0026452D">
        <w:rPr>
          <w:rStyle w:val="NumeroAFNegritaCaracter"/>
        </w:rPr>
        <w:t>8</w:t>
      </w:r>
      <w:r>
        <w:t>. De acuerdo a la doctrina constitucional últimamente reseñada, que es la establecida en supuestos análogos al que es objeto de este proceso constitucional, la ley que ha sido impugnada por crear un régimen diverso del o de los existentes en el resto del territorio nacional en materia de tributación de las empresas de distribución comercial mediante grandes superficies respetará el contenido esencial de la libertad de empresa siempre que (a) se dicte dentro del ámbito competencial respectivo, (b) persiga un fin legítimo y (c) resulte proporcionada al objeto que se orienta.</w:t>
      </w:r>
    </w:p>
    <w:p w:rsidR="0026452D" w:rsidRDefault="0026452D" w:rsidP="0026452D">
      <w:pPr>
        <w:pStyle w:val="TextoNormal"/>
      </w:pPr>
    </w:p>
    <w:p w:rsidR="0026452D" w:rsidRDefault="0026452D" w:rsidP="0026452D">
      <w:pPr>
        <w:pStyle w:val="TextoNormal"/>
      </w:pPr>
      <w:r>
        <w:t xml:space="preserve">En el fundamento jurídico quinto </w:t>
      </w:r>
      <w:r w:rsidRPr="0026452D">
        <w:rPr>
          <w:i/>
        </w:rPr>
        <w:t>ut supra</w:t>
      </w:r>
      <w:r>
        <w:t xml:space="preserve"> quedaron expuestas las razones que justifican que el legislador autonómico, en virtud de sus competencias financieras y materiales estatutariamente asumidas, dictó la ley impugnada dentro de su ámbito competencial.</w:t>
      </w:r>
    </w:p>
    <w:p w:rsidR="0026452D" w:rsidRDefault="0026452D" w:rsidP="0026452D">
      <w:pPr>
        <w:pStyle w:val="TextoNormal"/>
      </w:pPr>
    </w:p>
    <w:p w:rsidR="0026452D" w:rsidRDefault="0026452D" w:rsidP="0026452D">
      <w:pPr>
        <w:pStyle w:val="TextoNormal"/>
      </w:pPr>
      <w:r>
        <w:t xml:space="preserve">El análisis de la segunda exigencia, consistente en la determinación del fin legítimo de esta figura impositiva, debe partir de dos aclaraciones: a) no se trata de verificar si el legislador autonómico persigue realmente una finalidad extrafiscal, pues tan legítimos constitucionalmente son los tributos que persiguen un fin fiscal como aquellos otros orientados a lograr fines extrafiscales (STC 60/2013, de 13 de marzo, FJ 2); b) tampoco resultan útiles a estos efectos los criterios establecidos en la doctrina constitucional para determinar si un tributo grava aspectos medioambientales como una materia imponible (STC 289/2000, de 30 de noviembre) o un hecho imponible distinto (SSTC 122/2012, de 5 de junio; 196/2012, de 31 de octubre; 197/2012, de 6 de noviembre; 208/2012, de 14 de noviembre; y 210/2012, de 14 de noviembre) de otros tributos estatales o locales, pues estas consideraciones se asocian a que el legislador autonómico haya ejercido su competencia financiera dentro del marco establecido por el Estado en el ejercicio de su potestad originaria </w:t>
      </w:r>
      <w:r w:rsidRPr="0026452D">
        <w:rPr>
          <w:i/>
        </w:rPr>
        <w:t>ex</w:t>
      </w:r>
      <w:r>
        <w:t xml:space="preserve"> arts. 133.1, 149.1.14 y 157.3 CE, particularmente dentro de los límites previstos en la Ley Orgánica de financiación de las Comunidades Autónomas, cuestión a la que se refiere específicamente el segundo motivo en que se funda este recurso de inconstitucionalidad.</w:t>
      </w:r>
    </w:p>
    <w:p w:rsidR="0026452D" w:rsidRDefault="0026452D" w:rsidP="0026452D">
      <w:pPr>
        <w:pStyle w:val="TextoNormal"/>
      </w:pPr>
    </w:p>
    <w:p w:rsidR="0026452D" w:rsidRDefault="0026452D" w:rsidP="0026452D">
      <w:pPr>
        <w:pStyle w:val="TextoNormal"/>
      </w:pPr>
      <w:r>
        <w:t xml:space="preserve">Pues bien, según expresa el preámbulo de la Ley 13/2005, de 30 de diciembre, el fin que persigue es la utilización de la política tributaria para la protección del medio natural y territorial, creando tributos propios con finalidad extrafiscal, y afectados al medio ambiente (art. 45 CE en conexión con el art. 71.8 y 22 EAAr). Los llamados tributos ecológicos buscan “la corrección de las deseconomías externas o externalidades, puesto que los costes sociales y ambientales que los individuos o las empresas que ejercen determinadas actividades contaminantes imponen o trasladan a la sociedad en general no son internalizados por sus causantes ni por el normal funcionamiento del mercado”. Estos impuestos responden también al principio de capacidad contributiva, de modo que realmente “gozan de una naturaleza híbrida que, además de compartir los principios constitucionales del ordenamiento tributario, tales como los de capacidad económica, igualdad, generalidad, progresividad, equidad distributiva y no confiscatoriedad, los configura como un tributo autonómico con finalidad extrafiscal y afectado al cumplimiento de los deberes públicos inherentes a toda política ambiental, caracteres que le otorgan una tipicidad diferencial no justificada en postulados fundamentalmente recaudatorios”. Continúa diciendo el preámbulo que “[e]s precisamente en esta dimensión en la que los impuestos medioambientales aparecen como un </w:t>
      </w:r>
      <w:r>
        <w:lastRenderedPageBreak/>
        <w:t>instrumento motivador de conductas. El tributo exterioriza y manifiesta constantemente los elementos suasorios —persuasivos o disuasorios— que refuerzan sus fines ecológicos y no predominantemente fiscales. Tanto su estructura externa —su justificación última— como interna —su articulación extrafiscal y afectación medioambiental— persiguen, por un lado, motivar conductas acordes con la protección del medio natural, estimulando la cesación o disminución de la actividad contaminante y, por otro, contemplar el obligado destino de los recursos generados por la recaudación en la adopción de medidas preventivas, correctoras o restauradoras del medio ambiente contaminado, degradado o lesionado”.</w:t>
      </w:r>
    </w:p>
    <w:p w:rsidR="0026452D" w:rsidRDefault="0026452D" w:rsidP="0026452D">
      <w:pPr>
        <w:pStyle w:val="TextoNormal"/>
      </w:pPr>
    </w:p>
    <w:p w:rsidR="0026452D" w:rsidRDefault="0026452D" w:rsidP="0026452D">
      <w:pPr>
        <w:pStyle w:val="TextoNormal"/>
      </w:pPr>
      <w:r>
        <w:t>Aunque la exposición de motivos de la Ley afirme que el impuesto sobre grandes áreas de venta grava el daño medioambiental causado por las actividades contaminantes de las áreas de venta, el análisis de su estructura, como se expondrá con detalle al examinar el segundo motivo en que se sustenta este recurso, nos permite constatar que en realidad el hecho imponible del impuesto es la actividad y el tráfico desarrollado por los grandes establecimientos comerciales, que por su efecto de atracción del consumo provoca un desplazamiento masivo de vehículos. Ahora bien, gravar estas actividades en la medida que conllevan de un modo indisociable una incidencia negativa en el entorno natural y territorial, internalizando así los costes sociales y ambientales que éstas imponen o trasladan a la sociedad, es una finalidad constitucionalmente legítima, ya se califique el impuesto de tributo fiscal o extrafiscal.</w:t>
      </w:r>
    </w:p>
    <w:p w:rsidR="0026452D" w:rsidRDefault="0026452D" w:rsidP="0026452D">
      <w:pPr>
        <w:pStyle w:val="TextoNormal"/>
      </w:pPr>
    </w:p>
    <w:p w:rsidR="0026452D" w:rsidRDefault="0026452D" w:rsidP="0026452D">
      <w:pPr>
        <w:pStyle w:val="TextoNormal"/>
      </w:pPr>
      <w:r>
        <w:t>A mayor abundamiento, en la estructura del impuesto hay determinados criterios que incentivan que las grandes áreas de venta realicen opciones de funcionamiento que ocasionen menores daños al entorno natural y territorial. Así, el art. 35.2 establece un coeficiente multiplicador de la cuota tributaria que adopta su valor más bajo si la superficie comercial está localizada en suelo urbano y asciende progresivamente según el suelo necesite mayores transformaciones para ser apto para el establecimiento del área de venta. En este sentido, la exposición de motivos resalta que “parece claro que la incidencia sobre el medio ambiente, desde un punto de vista territorial, será considerablemente diferente en función de que la actividad a desarrollar se ubique en un suelo perfectamente integrado en el proceso urbanizador o se ubique en un tipo de suelo en el que concurran ciertos valores que es necesario proteger. Un gran establecimiento comercial ubicado en suelo urbano, asimilado en su entorno y su paisaje urbanístico, en el que existe posibilidad de acceso peatonal, que se encuentra integrado en el área operativa de la red de transportes públicos y que, en fin, vertebra una determinada zona comercial, de ocio y de servicios en la ciudad, no produce el mismo impacto ambiental y territorial que otro establecimiento instalado en otro tipo de suelo, ubicado en la periferia de los contornos urbanos y fuera del alcance de los transportes públicos”. Este elemento de la estructura del impuesto, por las razones referidas, se relaciona estrechamente con el hecho imponible consistente en la actividad de distribución comercial que, colateral pero ineludiblemente, incide negativamente en el entorno natural y territorial, pues incentiva a que dicha actividad se materialice en zonas que requieran un menor desarrollo urbanístico y un menor uso vehicular de infraestructuras públicas.</w:t>
      </w:r>
    </w:p>
    <w:p w:rsidR="0026452D" w:rsidRDefault="0026452D" w:rsidP="0026452D">
      <w:pPr>
        <w:pStyle w:val="TextoNormal"/>
      </w:pPr>
    </w:p>
    <w:p w:rsidR="0026452D" w:rsidRDefault="0026452D" w:rsidP="0026452D">
      <w:pPr>
        <w:pStyle w:val="TextoNormal"/>
      </w:pPr>
      <w:r>
        <w:t xml:space="preserve">Otro elemento del impuesto que refleja los objetivos que según su exposición de motivos persigue es la regulación, en la redacción originaria del art. 42 de la Ley (redacción que fue puntualmente alterada, sin trascendencia para este recurso, por la Ley 19/2006, de 29 de diciembre, permitiendo deducir no solo las inversiones en bienes del activo material sino </w:t>
      </w:r>
      <w:r>
        <w:lastRenderedPageBreak/>
        <w:t xml:space="preserve">también inmaterial) de una reducción en la cuota, cuya finalidad es estimular al sujeto pasivo para realizar conductas protectoras del ambiente, entre las cuáles, como pone de relieve la representación procesal de las Cortes y la Diputación General de Aragón, se encuentra la puesta a disposición de los clientes de sistemas de transporte colectivo, total o parcialmente financiado por las grandes áreas de venta, o incluso los sistema de venta </w:t>
      </w:r>
      <w:r w:rsidRPr="0026452D">
        <w:rPr>
          <w:i/>
        </w:rPr>
        <w:t>on line</w:t>
      </w:r>
      <w:r>
        <w:t xml:space="preserve"> combinados con la entrega a domicilio de la compra, soluciones que posibilitarían una menor contaminación derivada del uso de vehículos y una menor ocupación de las infraestructuras públicas viarias, redundando en una reducción en los efectos colaterales que esta actividad económica provoca sobre el entorno natural y territorial.</w:t>
      </w:r>
    </w:p>
    <w:p w:rsidR="0026452D" w:rsidRDefault="0026452D" w:rsidP="0026452D">
      <w:pPr>
        <w:pStyle w:val="TextoNormal"/>
      </w:pPr>
    </w:p>
    <w:p w:rsidR="0026452D" w:rsidRDefault="0026452D" w:rsidP="0026452D">
      <w:pPr>
        <w:pStyle w:val="TextoNormal"/>
      </w:pPr>
      <w:r>
        <w:t>Finalmente en este ámbito no se puede decir que la creación de este impuesto, en la medida que sujeta a los que desenvuelven este tipo de actividad empresarial a distintos regímenes tributarios según el lugar donde realizan la actividad, haya limitado el derecho a la libertad de empresa de un modo desproporcionado, pues resulta patente, y en todo caso los recurrentes no han acreditado lo contrario, que tal divergencia regulatoria no ha impedido sustancialmente que se inicien y sostengan esta clase de actividades empresariales en Aragón.</w:t>
      </w:r>
    </w:p>
    <w:p w:rsidR="0026452D" w:rsidRDefault="0026452D" w:rsidP="0026452D">
      <w:pPr>
        <w:pStyle w:val="TextoNormal"/>
      </w:pPr>
    </w:p>
    <w:p w:rsidR="0026452D" w:rsidRDefault="0026452D" w:rsidP="0026452D">
      <w:pPr>
        <w:pStyle w:val="TextoNormal"/>
      </w:pPr>
      <w:r>
        <w:t>Aun en el caso que el impuesto sobre áreas de venta haya tenido alguna incidencia negativa en el derecho a emprender y organizar en libertad esta actividad económica en Aragón, supuesto que no resulta aparente y los recurrentes no han sostenido con argumentación alguna, esta restricción, en principio, resultaría justificada por la consecución del fin a que sirve esta norma, que consiste fundamentalmente en que la Comunidad Autónoma de Aragón pueda, en ejercicio de las competencias financieras y materiales asumidas estatutariamente, diseñar, dentro del marco estatal al que nos referimos en el fundamento jurídico 4, una política tributaria propia al servicio de objetivos relacionados con materias sobre las que tiene competencia como la ordenación del territorio, el urbanismo y el medio ambiente. Objetivos estos que la presente normativa sirve en los términos que hemos precisado en este mismo fundamento jurídico.</w:t>
      </w:r>
    </w:p>
    <w:p w:rsidR="0026452D" w:rsidRDefault="0026452D" w:rsidP="0026452D">
      <w:pPr>
        <w:pStyle w:val="TextoNormal"/>
      </w:pPr>
    </w:p>
    <w:p w:rsidR="0026452D" w:rsidRDefault="0026452D" w:rsidP="0026452D">
      <w:pPr>
        <w:pStyle w:val="TextoNormal"/>
      </w:pPr>
      <w:r>
        <w:t>Por todo ello, hemos de concluir que los arts. 28 a 35 de la Ley 13/2005, de 30 de diciembre, que crean el impuesto que grava el daño medioambiental causado por las actividades contaminantes de las áreas de venta, se han dictado dentro del ámbito competencial autonómico, persiguen un fin constitucionalmente legítimo y no producen consecuencias desproporcionadas, de donde resulta que el legislador autonómico no ha desconocido el derecho a la libertad de empresa (art. 38 CE).</w:t>
      </w:r>
    </w:p>
    <w:p w:rsidR="0026452D" w:rsidRDefault="0026452D" w:rsidP="0026452D">
      <w:pPr>
        <w:pStyle w:val="TextoNormal"/>
      </w:pPr>
    </w:p>
    <w:p w:rsidR="0026452D" w:rsidRDefault="0026452D" w:rsidP="0026452D">
      <w:pPr>
        <w:pStyle w:val="TextoNormal"/>
      </w:pPr>
      <w:r w:rsidRPr="0026452D">
        <w:rPr>
          <w:rStyle w:val="NumeroAFNegritaCaracter"/>
        </w:rPr>
        <w:t>9</w:t>
      </w:r>
      <w:r>
        <w:t>. El primer motivo de impugnación, que como venimos exponiendo es que el impuesto impugnado implica la ruptura de la unidad de mercado, se sostiene porque dicho tributo supone un obstáculo prohibido a la circulación de personas y bienes en todo el territorio español (art. 139.2 CE).</w:t>
      </w:r>
    </w:p>
    <w:p w:rsidR="0026452D" w:rsidRDefault="0026452D" w:rsidP="0026452D">
      <w:pPr>
        <w:pStyle w:val="TextoNormal"/>
      </w:pPr>
    </w:p>
    <w:p w:rsidR="0026452D" w:rsidRDefault="0026452D" w:rsidP="0026452D">
      <w:pPr>
        <w:pStyle w:val="TextoNormal"/>
      </w:pPr>
      <w:r>
        <w:t>Sobre esta prohibición ya la STC 37/1981, de 16 de noviembre, FJ 2, declaró que toda diferencia de régimen jurídico entre una comunidad autónoma y otra “puede incidir sobre la circulación de personas y bienes, pero no toda incidencia es necesariamente un obstáculo. Lo será, sin duda, cuando intencionalmente persiga la finalidad de obstaculizar la circulación, pero … no sólo en ese caso, sino también en aquellos otros en los que las consecuen</w:t>
      </w:r>
      <w:r>
        <w:lastRenderedPageBreak/>
        <w:t>cias objetivas de las medidas adoptadas impliquen el surgimiento de obstáculos que no guardan relación con el fin constitucionalmente lícito que aquellas persiguen”, doctrina que se ha reiterado en varias ocasiones desde entonces (por todas, SSTC 32/1983, de 28 de abril, FJ 3; y 96/2002, de 25 de abril, FJ 11; 109/2003, de 5 de junio, FJ 15; 100/2012, de 8 de mayo, FJ 4; y STC 210/2012, de 14 de noviembre, FJ 9).</w:t>
      </w:r>
    </w:p>
    <w:p w:rsidR="0026452D" w:rsidRDefault="0026452D" w:rsidP="0026452D">
      <w:pPr>
        <w:pStyle w:val="TextoNormal"/>
      </w:pPr>
    </w:p>
    <w:p w:rsidR="0026452D" w:rsidRDefault="0026452D" w:rsidP="0026452D">
      <w:pPr>
        <w:pStyle w:val="TextoNormal"/>
      </w:pPr>
      <w:r>
        <w:t>Por supuesto que, como hemos declarado en la STC 210/2012, FJ 9, constituyen obstáculos prohibidos y debe entenderse que fragmentan el mercado todas las medidas tributarias que establezcan “una diferencia de trato entre residentes y no residentes sin justificación suficiente”. Pero no solo éstas, sino también cualesquiera que, aunque se apliquen igualmente a residentes que a no residentes produzcan consecuencias objetivas limitadoras de la libre circulación “que no guardan relación con el fin constitucionalmente lícito que aquellas persiguen” (SSTC 37/1981, FJ 2; y 109/2003, FJ 15).</w:t>
      </w:r>
    </w:p>
    <w:p w:rsidR="0026452D" w:rsidRDefault="0026452D" w:rsidP="0026452D">
      <w:pPr>
        <w:pStyle w:val="TextoNormal"/>
      </w:pPr>
    </w:p>
    <w:p w:rsidR="0026452D" w:rsidRDefault="0026452D" w:rsidP="0026452D">
      <w:pPr>
        <w:pStyle w:val="TextoNormal"/>
      </w:pPr>
      <w:r>
        <w:t>En aplicación de la doctrina indicada procede que declaremos que el impuesto sobre grandes áreas de venta no supone un obstáculo a la libre circulación de personas y bienes que sea desproporcionado respecto del fin que persigue, al cual ya nos hemos referido en el fundamento jurídico 8 de esta resolución. Llegamos a tal conclusión porque este impuesto, además de que es aplicable indistintamente de que quien realice la actividad empresarial sea residente o no en la Comunidad Autónoma de Aragón, no ha producido, y en todo caso los recurrentes no lo han acreditado, el efecto de limitar sustancialmente que empresarios que actúan en este sector comercial en otras comunidades autónomas se radiquen también en la Comunidad Autónoma de Aragón.</w:t>
      </w:r>
    </w:p>
    <w:p w:rsidR="0026452D" w:rsidRDefault="0026452D" w:rsidP="0026452D">
      <w:pPr>
        <w:pStyle w:val="TextoNormal"/>
      </w:pPr>
    </w:p>
    <w:p w:rsidR="0026452D" w:rsidRDefault="0026452D" w:rsidP="0026452D">
      <w:pPr>
        <w:pStyle w:val="TextoNormal"/>
      </w:pPr>
      <w:r>
        <w:t>Aun en el caso que el impuesto sobre grandes áreas de venta haya producido en alguna medida tal efecto limitativo, supuesto que no resulta aparente y los recurrentes no han sostenido con argumentación alguna, esta restricción, en principio, resultaría justificada por la consecución del fin a que sirve esta norma.</w:t>
      </w:r>
    </w:p>
    <w:p w:rsidR="0026452D" w:rsidRDefault="0026452D" w:rsidP="0026452D">
      <w:pPr>
        <w:pStyle w:val="TextoNormal"/>
      </w:pPr>
    </w:p>
    <w:p w:rsidR="0026452D" w:rsidRDefault="0026452D" w:rsidP="0026452D">
      <w:pPr>
        <w:pStyle w:val="TextoNormal"/>
      </w:pPr>
      <w:r>
        <w:t>Procede declarar, por las razones apuntadas, que los arts. 28 a 35 de la Ley 13/2005, de 30 de diciembre, que crean el impuesto que grava el daño medioambiental causado por las actividades contaminantes de las áreas de venta, no producen el efecto de fragmentar el mercado, por lo que el legislador autonómico no ha desconocido la prohibición de obstaculizar la libre circulación de personas y bienes dentro del territorio nacional (art. 139.2 CE).</w:t>
      </w:r>
    </w:p>
    <w:p w:rsidR="0026452D" w:rsidRDefault="0026452D" w:rsidP="0026452D">
      <w:pPr>
        <w:pStyle w:val="TextoNormal"/>
      </w:pPr>
    </w:p>
    <w:p w:rsidR="0026452D" w:rsidRDefault="0026452D" w:rsidP="0026452D">
      <w:pPr>
        <w:pStyle w:val="TextoNormal"/>
      </w:pPr>
      <w:r w:rsidRPr="0026452D">
        <w:rPr>
          <w:rStyle w:val="NumeroAFNegritaCaracter"/>
        </w:rPr>
        <w:t>10</w:t>
      </w:r>
      <w:r>
        <w:t xml:space="preserve">. Las cuestiones relacionadas con el segundo motivo de impugnación, y específicamente sobre la sujeción del impuesto autonómico a los arts. 6.2 y 6.3 LOFCA, han sido abordadas por este Tribunal Constitucional en fechas recientes. Sobre la adecuación al art.6.3 LOFCA de otros impuestos autonómicos que guardan gran similitud con el ahora enjuiciado, se ha pronunciado en la STC 122/2012, de 5 de junio, en relación con el impuesto sobre grandes establecimientos comerciales creado por la Ley de las Cortes de Cataluña 16/2000, de 29 de diciembre; en la STC 197/2012, de 6 de noviembre, respecto del impuesto sobre grandes establecimientos comerciales, regulado por la Ley del Principado de Asturias 15/2002, de 27 de diciembre, de medidas presupuestarias, administrativas y fiscales; en la STC 208/2012, de 14 de noviembre, que enjuició la Ley del Parlamento de Navarra 23/2001, de 27 de noviembre, para la creación de un impuesto sobre los grandes establecimientos comerciales; y finalmente en la STC 210/2012, de 14 de noviembre, en </w:t>
      </w:r>
      <w:r>
        <w:lastRenderedPageBreak/>
        <w:t>relación con la Ley de la Asamblea de Extremadura 14/2001, reguladora del impuesto sobre depósitos de entidades de crédito.</w:t>
      </w:r>
    </w:p>
    <w:p w:rsidR="0026452D" w:rsidRDefault="0026452D" w:rsidP="0026452D">
      <w:pPr>
        <w:pStyle w:val="TextoNormal"/>
      </w:pPr>
    </w:p>
    <w:p w:rsidR="0026452D" w:rsidRDefault="0026452D" w:rsidP="0026452D">
      <w:pPr>
        <w:pStyle w:val="TextoNormal"/>
      </w:pPr>
      <w:r>
        <w:t>Al igual que hicimos en los citados pronunciamientos, recordamos ahora que con posterioridad a la interposición del presente recurso, el legislador orgánico modificó el art. 6 LOFCA, mediante la Ley Orgánica 3/2009, de 18 de diciembre, y que este cambio legislativo ha modificado la prohibición que venía limitando la potestad tributaria de las Comunidades Autónomas para el establecimiento de tributos propios, en el ejercicio de la competencia que deriva del art. 157.3 en relación con los arts. 133.1 y 149.1.14, todos ellos de la Constitución Española. La modificación legislativa afectó especialmente al art.6.3 LOFCA, pues antes de la reforma los tributos que establecieran las Comunidades Autónomas no podían recaer “sobre materias que la legislación de régimen local reserve a las Corporaciones Locales”, mientras que con la redacción vigente éstos “no podrán recaer sobre hechos imponibles gravados por los tributos locales”. Al ser doctrina reiterada de este Tribunal Constitucional que el bloque de la constitucionalidad que ha de servir de canon para el enjuiciamiento de la ley en esta clase de recursos es el efectivamente existente en el momento de procederse a la resolución del proceso constitucional que se hubiese entablado (por todas STC 14/1998, de 22 de enero, FJ 2), será la adecuación a los arts. 6.2 y 6.3 LOFCA conforme a la redacción dada por la Ley Orgánica 3/2009, de 18 de diciembre, lo que procede examinar en este presente recurso, al igual que hiciéramos en las sentencias precedentes.</w:t>
      </w:r>
    </w:p>
    <w:p w:rsidR="0026452D" w:rsidRDefault="0026452D" w:rsidP="0026452D">
      <w:pPr>
        <w:pStyle w:val="TextoNormal"/>
      </w:pPr>
    </w:p>
    <w:p w:rsidR="0026452D" w:rsidRDefault="0026452D" w:rsidP="0026452D">
      <w:pPr>
        <w:pStyle w:val="TextoNormal"/>
      </w:pPr>
      <w:r w:rsidRPr="0026452D">
        <w:rPr>
          <w:rStyle w:val="NumeroAFNegritaCaracter"/>
        </w:rPr>
        <w:t>11</w:t>
      </w:r>
      <w:r>
        <w:t>. Desde la STC 122/2012, de 5 de junio (más tarde reiterada en las STC 196/2012, de 31 de octubre, FJ 2; 197/2012, de 6 de noviembre, FJ 7; 208/2012, de 14 de noviembre, FJ 6; y 210/2012, de 14 de noviembre, FJ 4), hemos venido afirmando que, tras la reforma operada en la Ley Orgánica de financiación de las Comunidades Autónomas por la Ley Orgánica 3/2009, de 18 de diciembre, el contenido de sus art. 6.2 y 6.3 es inicialmente idéntico entre sí, dado que la intención del legislador orgánico fue asimilar los límites establecidos en estos dos preceptos. La aplicación de la doctrina del art. 6.2 LOFCA al vigente art. 6.3 LOFCA nos ha permitido afirmar que la prohibición de doble imposición en ellos establecida “atiende al presupuesto adoptado como hecho imponible y no a la realidad o materia imponible que le sirve de base” (STC 289/2000, de 30 de noviembre, FJ 4).</w:t>
      </w:r>
    </w:p>
    <w:p w:rsidR="0026452D" w:rsidRDefault="0026452D" w:rsidP="0026452D">
      <w:pPr>
        <w:pStyle w:val="TextoNormal"/>
      </w:pPr>
    </w:p>
    <w:p w:rsidR="0026452D" w:rsidRDefault="0026452D" w:rsidP="0026452D">
      <w:pPr>
        <w:pStyle w:val="TextoNormal"/>
      </w:pPr>
      <w:r>
        <w:t xml:space="preserve">Para determinar si se ha producido una duplicidad de hechos imponibles, al ser éste último un concepto estrictamente jurídico, es necesario partir de la redacción que los legisladores autonómico y estatal hayan dado a este elemento del tributo (STC 122/2012, de 5 de junio, FJ 3), si bien “el examen de los tributos que se reputan coincidentes no puede ceñirse a la mera comparación de la definición legal de sus hechos imponibles, de manera que ‘no es posible afirmar si existe una coincidencia de hechos imponibles de dos impuestos tan sólo porque su definición sea o no gramaticalmente idéntica, ya que será preciso atender a las circunstancias que ha seleccionado el legislador para dar lugar a los hechos imponibles de ambos impuestos’ (STC 122/2012, FJ 4). Por tanto, el método de comparación deberá tomar el examen del hecho imponible como punto de partida, pero abarcando también ‘los restantes elementos del tributo que se encuentran conectados con el hecho imponible, es decir, los sujetos pasivos, que constituyen el aspecto subjetivo del tributo, la base imponible, que representa la cuantificación del hecho imponible, la capacidad económica gravada ... o los supuestos de no sujeción y exención’, extendiéndose lógicamente también a los elementos de cuantificación del hecho imponible (STC 122/2012, FJ 7). Entre los elementos a </w:t>
      </w:r>
      <w:r>
        <w:lastRenderedPageBreak/>
        <w:t>comparar se encuentra lógicamente la posible concurrencia de fines extrafiscales en el tributo o, en alguno de sus elementos, (STC 122/2012, FJ 4), si bien teniendo en cuenta, como también hemos reiterado, que para que la finalidad extrafiscal tenga consecuencias en la comparación no bastará con que el correspondiente preámbulo de la norma declare dicho objetivo, sino que es preciso que dicha finalidad encuentre reflejo en los elementos centrales de la estructura del tributo (por todas, STC 289/2000, de 30 de noviembre, FJ 5). En definitiva, para apreciar la coincidencia o no entre hechos imponibles, que es lo prohibido en el art. 6 LOFCA, se hace preciso atender a los elementos esenciales de los tributos que se comparan, al objeto de determinar no sólo la riqueza gravada o materia imponible, que es el punto de partida de toda norma tributaria, sino la manera en que dicha riqueza o fuente de capacidad económica es sometida a gravamen en la estructura del tributo.” (STC 210/2012, de 14 de noviembre, FJ 4).</w:t>
      </w:r>
    </w:p>
    <w:p w:rsidR="0026452D" w:rsidRDefault="0026452D" w:rsidP="0026452D">
      <w:pPr>
        <w:pStyle w:val="TextoNormal"/>
      </w:pPr>
    </w:p>
    <w:p w:rsidR="0026452D" w:rsidRDefault="0026452D" w:rsidP="0026452D">
      <w:pPr>
        <w:pStyle w:val="TextoNormal"/>
      </w:pPr>
      <w:r w:rsidRPr="0026452D">
        <w:rPr>
          <w:rStyle w:val="NumeroAFNegritaCaracter"/>
        </w:rPr>
        <w:t>12</w:t>
      </w:r>
      <w:r>
        <w:t>. Una vez fijado el contenido de las prohibiciones reguladas en los arts. 6.2 y 6.3 LOFCA procede ahora examinar si se produce la alegada coincidencia de hechos imponibles entre el impuesto autonómico impugnado y los impuestos sobre actividades económicas, sobre bienes inmuebles, sobre sociedades y sobre la renta de las personas físicas.</w:t>
      </w:r>
    </w:p>
    <w:p w:rsidR="0026452D" w:rsidRDefault="0026452D" w:rsidP="0026452D">
      <w:pPr>
        <w:pStyle w:val="TextoNormal"/>
      </w:pPr>
    </w:p>
    <w:p w:rsidR="0026452D" w:rsidRDefault="0026452D" w:rsidP="0026452D">
      <w:pPr>
        <w:pStyle w:val="TextoNormal"/>
      </w:pPr>
      <w:r>
        <w:t>Este examen ha de partir del art. 30 de la Ley de las Cortes de Aragón 13/2005, en el que se regula el hecho imponible del impuesto aragonés sobre el daño medioambiental causado por las grandes áreas de venta como “el daño medioambiental causado por la utilización de instalaciones y elementos afectos a la actividad y al tráfico desarrollados en los establecimientos comerciales que dispongan de una gran área de venta y de aparcamiento para sus clientes y se encuentren ubicados en el territorio de la Comunidad Autónoma de Aragón”. Si atendiéramos exclusivamente a la literalidad de este precepto podríamos afirmar, como sostienen los letrados de las Cortes y de la Diputación General de Aragón, que, dado que ninguno de los impuestos locales o estatales mencionados por los recurrentes tiene como hecho imponible la causación de ningún tipo de daño medioambiental, no existiría coincidencia alguna en la regulación de sus hechos imponibles, que aparecen referidos respectivamente al ejercicio de actividades empresariales (impuesto sobre actividades económicas); a la titularidad de los derechos de concesión, superficie, usufructo y propiedad sobre bienes inmuebles (impuesto sobre bienes inmuebles); y a la obtención de renta (impuestos sobre la renta de personas físicas y de sociedades).</w:t>
      </w:r>
    </w:p>
    <w:p w:rsidR="0026452D" w:rsidRDefault="0026452D" w:rsidP="0026452D">
      <w:pPr>
        <w:pStyle w:val="TextoNormal"/>
      </w:pPr>
    </w:p>
    <w:p w:rsidR="0026452D" w:rsidRDefault="0026452D" w:rsidP="0026452D">
      <w:pPr>
        <w:pStyle w:val="TextoNormal"/>
      </w:pPr>
      <w:r>
        <w:t>Sin embargo, el análisis del contenido de los restantes preceptos reguladores del impuesto aragonés impugnado nos permite señalar:</w:t>
      </w:r>
    </w:p>
    <w:p w:rsidR="0026452D" w:rsidRDefault="0026452D" w:rsidP="0026452D">
      <w:pPr>
        <w:pStyle w:val="TextoNormal"/>
      </w:pPr>
    </w:p>
    <w:p w:rsidR="0026452D" w:rsidRDefault="0026452D" w:rsidP="0026452D">
      <w:pPr>
        <w:pStyle w:val="TextoNormal"/>
      </w:pPr>
      <w:r>
        <w:t>a) El hecho imponible no consiste en causar un daño ambiental, sino que éste está en consonancia con la definición de la capacidad contributiva sometida a gravamen, que se expresa en el art. 28 de la Ley de las Cortes de Aragón 13/2005 como “la actividad y el tráfico desarrollado en los grandes establecimientos comerciales que, por su efecto de atracción del consumo, provoca un desplazamiento masivo de vehículos y, en consecuencia, una incidencia negativa en el entorno natural y territorial de la Comunidad Autónoma de Aragón”. Para el desarrollo de dicha actividad comercial los establecimientos habrán de disponer de una gran área de venta y de aparcamiento para sus clientes (art. 30), y se consideran grandes áreas de venta las que dispongan de una superficie total superior a 500 metros cuadrados (art. 29);</w:t>
      </w:r>
    </w:p>
    <w:p w:rsidR="0026452D" w:rsidRDefault="0026452D" w:rsidP="0026452D">
      <w:pPr>
        <w:pStyle w:val="TextoNormal"/>
      </w:pPr>
    </w:p>
    <w:p w:rsidR="0026452D" w:rsidRDefault="0026452D" w:rsidP="0026452D">
      <w:pPr>
        <w:pStyle w:val="TextoNormal"/>
      </w:pPr>
      <w:r>
        <w:lastRenderedPageBreak/>
        <w:t>b) La base imponible está constituida por “la superficie total, referida a la fecha del devengo, de cada establecimiento comercial que disponga de un gran área de venta”, “que se obtiene de sumar las siguientes unidades contaminantes de medida del daño ambiental”: la superficie de venta, la destinada a otros usos, y la superficie de aparcamiento; en los dos últimos casos con el límite máximo que resulte de computar el 25 por 100 de la superficie de venta al público (art. 34).</w:t>
      </w:r>
    </w:p>
    <w:p w:rsidR="0026452D" w:rsidRDefault="0026452D" w:rsidP="0026452D">
      <w:pPr>
        <w:pStyle w:val="TextoNormal"/>
      </w:pPr>
    </w:p>
    <w:p w:rsidR="0026452D" w:rsidRDefault="0026452D" w:rsidP="0026452D">
      <w:pPr>
        <w:pStyle w:val="TextoNormal"/>
      </w:pPr>
      <w:r>
        <w:t>c) La cuota íntegra se calcula aplicando a la base imponible escala de gravamen progresiva, que contiene un tramo exento aplicable a los primeros 2.000 metros cuadrados, y alcanza una cuantía máxima de 19 euros el metro aplicable a superficies superiores a 10.000 metros cuadrados.</w:t>
      </w:r>
    </w:p>
    <w:p w:rsidR="0026452D" w:rsidRDefault="0026452D" w:rsidP="0026452D">
      <w:pPr>
        <w:pStyle w:val="TextoNormal"/>
      </w:pPr>
    </w:p>
    <w:p w:rsidR="0026452D" w:rsidRDefault="0026452D" w:rsidP="0026452D">
      <w:pPr>
        <w:pStyle w:val="TextoNormal"/>
      </w:pPr>
      <w:r>
        <w:t>d) Finalmente, a la cuota resultante se le aplica un coeficiente en función del tipo de suelo en que se ubique la gran superficie comercial, que será 1 en el suelo urbano, 1,10 en suelo urbanizable con posterioridad a la aprobación del plan parcial correspondiente, 1,25 en suelo urbanizable con anterioridad a la aprobación del plan parcial o en suelo no urbanizable genérico, y 1,5 en el suelo no urbanizable especial.</w:t>
      </w:r>
    </w:p>
    <w:p w:rsidR="0026452D" w:rsidRDefault="0026452D" w:rsidP="0026452D">
      <w:pPr>
        <w:pStyle w:val="TextoNormal"/>
      </w:pPr>
    </w:p>
    <w:p w:rsidR="0026452D" w:rsidRDefault="0026452D" w:rsidP="0026452D">
      <w:pPr>
        <w:pStyle w:val="TextoNormal"/>
      </w:pPr>
      <w:r>
        <w:t>El presupuesto previsto por el legislador aragonés cuya realización provoca el nacimiento de la obligación tributaria es la utilización de un área de venta superior a 500 metros cuadrados para realizar una actividad comercial de carácter minorista. El contribuyente es el titular de la actividad y del tráfico comercial individual, que propicie el daño en el medio ambiente (art. 32), si bien el impuesto solo será exigible cuando la superficie total del establecimiento supere 2.000 metros cuadrados (art. 35). En todo caso, no está sujeta al impuesto la actividad de los mercados municipales y cooperativas de consumidores y usuarios (art. 31), y están exentos los establecimientos comerciales cuya actividad se dedique a la venta exclusiva de maquinaria, vehículos, utillaje y suministros industriales; materiales para la construcción, de venta exclusiva para profesionales; viveros para jardinería y cultivos, mobiliario en establecimientos individuales, tradicionales y especializados; vehículos automóviles, en salas de exposición de concesionarios y talleres de reparación; y suministro de combustibles y carburantes de automoción (art. 33).</w:t>
      </w:r>
    </w:p>
    <w:p w:rsidR="0026452D" w:rsidRDefault="0026452D" w:rsidP="0026452D">
      <w:pPr>
        <w:pStyle w:val="TextoNormal"/>
      </w:pPr>
    </w:p>
    <w:p w:rsidR="0026452D" w:rsidRDefault="0026452D" w:rsidP="0026452D">
      <w:pPr>
        <w:pStyle w:val="TextoNormal"/>
      </w:pPr>
      <w:r>
        <w:t>Como decíamos en la STC 289/2000, de 30 de noviembre, FJ 4, el hecho imponible “es el acto o presupuesto previsto por la ley cuya realización, por exteriorizar una manifestación de capacidad económica, provoca el nacimiento de una obligación tributaria”, y quien realiza el hecho imponible es el titular del gran establecimiento comercial, la manifestación de capacidad económica gravada es la que concurre en determinados grandes establecimientos comerciales y las exenciones se establecen en función del tipo de productos vendidos, por lo que es posible concluir que lo gravado por el impuesto autonómico es la realización de una actividad comercial individual de venta de productos al por menor mediante grandes superficies de venta, y no la mera titularidad o el uso de los inmuebles en los cuales se desarrolla dicha forma de comercio, conclusión a la que llegábamos en la STC 122/2012, de 5 de junio, FJ 4.</w:t>
      </w:r>
    </w:p>
    <w:p w:rsidR="0026452D" w:rsidRDefault="0026452D" w:rsidP="0026452D">
      <w:pPr>
        <w:pStyle w:val="TextoNormal"/>
      </w:pPr>
    </w:p>
    <w:p w:rsidR="0026452D" w:rsidRDefault="0026452D" w:rsidP="0026452D">
      <w:pPr>
        <w:pStyle w:val="TextoNormal"/>
      </w:pPr>
      <w:r>
        <w:t xml:space="preserve">Así, podemos constatar que, pese a su diferente denominación y a la regulación de su hecho imponible, nos encontramos ante un impuesto semejante a los otros impuestos sobre grandes establecimientos comerciales, respecto de los cuales ya tuvimos la ocasión de pronunciarnos en las Sentencias citadas, y cuyo hecho imponible se definía como “la utilización </w:t>
      </w:r>
      <w:r>
        <w:lastRenderedPageBreak/>
        <w:t>de grandes superficies con finalidades comerciales” (art. 4 de la Ley del Parlamento de Cataluña 16/2000, de 29 de diciembre), “la actividad y funcionamiento de los grandes establecimientos comerciales” (art. 4 de la Ley Foral del Parlamento de Navarra 23/2001, de 27 de noviembre) y “el funcionamiento de los grandes establecimientos comerciales” (art. 21.3.1 de la Ley del Principado de Asturias de medidas presupuestarias, administrativas y fiscales). En todos estos casos, al igual que sucede ahora, el legislador autonómico justificó la creación de este impuesto en las repercusiones negativas que la actividad de este tipo de empresas provocan en el medio ambiente y en el territorio.</w:t>
      </w:r>
    </w:p>
    <w:p w:rsidR="0026452D" w:rsidRDefault="0026452D" w:rsidP="0026452D">
      <w:pPr>
        <w:pStyle w:val="TextoNormal"/>
      </w:pPr>
    </w:p>
    <w:p w:rsidR="0026452D" w:rsidRDefault="0026452D" w:rsidP="0026452D">
      <w:pPr>
        <w:pStyle w:val="TextoNormal"/>
      </w:pPr>
      <w:r>
        <w:t>Una vez establecido que, a pesar de su diferente denominación, existe una equivalencia de hechos imponibles entre el impuesto aragonés sobre el daño medioambiental causado por las grandes áreas de venta y los impuestos sobre los grandes establecimientos comerciales establecidos por otras Comunidades Autónomas examinados por las SSTC 122/2012, de 5 de junio; 197/2012, de 6 de noviembre y 208/2012, de 14 de noviembre, es posible trasladar aquí las conclusiones que alcanzáramos en dichos pronunciamientos, y de este modo concluir, como hicimos entonces, que no se produce una coincidencia de hechos imponibles prohibida en el art. 6.3 LOFCA entre el impuesto aragonés impugnado y los impuestos sobre actividades económicas y bienes inmuebles, por lo que procede desestimar esta concreta tacha de inconstitucionalidad. En relación con el primero porque, como dijimos entonces y reiteramos ahora, “la comparación de las bases imponibles del impuesto autonómico controvertido y el impuesto sobre actividades económicas, una vez puesta en relación con sus hechos imponibles, aporta unos criterios distintivos que son suficientes para poder afirmar que los impuestos enjuiciados no tienen un hecho imponible idéntico y, por tanto, superan la prohibición establecida en el art. 6.3 LOFCA” (STC 122/2012, de 5 de junio, FJ 7). Y, por lo que respecta al segundo, porque “el impuesto autonómico no grava la titularidad de un inmueble con unas determinadas dimensiones y destinado a la realización de una actividad comercial, lo que supone que su hecho imponible no coincide con el del impuesto sobre bienes inmuebles, ya que el hecho imponible de este impuesto según establece el art. 61 del Real Decreto Legislativo 2/2004, de 5 de marzo, por el que se aprueba el texto refundido de la Ley reguladora de las haciendas locales es la titularidad de derechos de concesión, reales de superficie o de usufructo o de propiedad sobre bienes inmuebles rústicos y urbanos o sobre bienes inmuebles de características especiales. Tampoco el sujeto pasivo de ambos impuestos es el mismo … [ni] son iguales sus bases imponibles” (STC 197/2012, de 6 de noviembre, FJ 8).</w:t>
      </w:r>
    </w:p>
    <w:p w:rsidR="0026452D" w:rsidRDefault="0026452D" w:rsidP="0026452D">
      <w:pPr>
        <w:pStyle w:val="TextoNormal"/>
      </w:pPr>
    </w:p>
    <w:p w:rsidR="0026452D" w:rsidRDefault="0026452D" w:rsidP="0026452D">
      <w:pPr>
        <w:pStyle w:val="TextoNormal"/>
      </w:pPr>
      <w:r>
        <w:t xml:space="preserve">A la misma conclusión de adecuación al art. 6.2 LOFCA podemos llegar tras comparar los hechos imponibles de los impuestos sobre renta de las personas físicas y sobre sociedades con el impuesto impugnado. Los impuestos estatales sobre la renta y sobre sociedades son directos, personales y periódicos, y gravan “la obtención de renta” por los contribuyentes de ambos impuestos (arts. 6 de la Ley 35/2006, de 28 de noviembre, del impuesto sobre la renta de las personas físicas y art. 4 del Real Decreto Legislativo 4/2004, de 5 de marzo, por el que se aprueba el texto refundido de la Ley del impuesto sobre sociedades), mientras que el impuesto autonómico “es un tributo directo, real, objetivo y periódico, que grava únicamente un concreto tipo de actividad empresarial, la realizada por grandes establecimientos comerciales” (STC 112/2012, de 5 de junio, FJ 6), en los términos definidos por la ley reguladora del impuesto en su art. 34. La característica que distingue más claramente a este impuesto aragonés de los dos impuestos estatales sobre la renta es que el autonómico </w:t>
      </w:r>
      <w:r>
        <w:lastRenderedPageBreak/>
        <w:t>se exige “independientemente de la cuantía de los beneficios que pueda obtener [el contribuyente], es decir, prescindiendo en la cuantificación del tributo del beneficio que obtenga por la realización de esa concreta actividad empresarial” (STC122/2012, de 5 de junio, FJ 7), de modo que ni el hecho imponible ni mucho menos la base imponible resultan coincidentes con los impuestos estatales, que gravan la renta obtenida atendiendo precisamente a su cuantía, lo que lleva a desestimar el recurso de inconstitucionalidad también por este motivo.</w:t>
      </w:r>
    </w:p>
    <w:p w:rsidR="0026452D" w:rsidRDefault="0026452D" w:rsidP="0026452D">
      <w:pPr>
        <w:pStyle w:val="TextoNormal"/>
      </w:pPr>
    </w:p>
    <w:p w:rsidR="0026452D" w:rsidRDefault="0026452D" w:rsidP="0026452D">
      <w:pPr>
        <w:pStyle w:val="TextoNormal"/>
      </w:pPr>
      <w:r>
        <w:t>13. El presente recurso de inconstitucionalidad también se dirige contra los arts. 8 a 13 y 36 a 53 de la Ley de las Cortes de Aragón 13/2005, de 30 de diciembre, de medidas fiscales y administrativas en materia de tributos cedidos y tributos propios de la Comunidad Autónoma de Aragón. Los arts. 8 a 13 establecen disposiciones generales comunes a los tres impuestos medioambientales creados por esa ley; los arts. 36 a 45 y los arts. 46 a 53 contienen disposiciones comunes relativas, respectivamente, a la obligación tributaria y a gestión tributaria de dichos impuestos medioambientales. Los recurrentes extienden la impugnación a estos preceptos únicamente en cuanto afectan al impuesto sobre grandes áreas de venta y sin fundar su pretensión en ningún argumento autónomo. Por todo ello, y dado que hemos descartado los motivos de inconstitucionalidad suscitados en relación al impuesto sobre grandes áreas de venta, procede desestimar igualmente el recurso de inconstitucionalidad respecto de estos preceptos.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veintitrés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00" w:name="SENTENCIA_2013_97"/>
      <w:r>
        <w:lastRenderedPageBreak/>
        <w:t>SENTENCIA 97/2013, de 23 de abril de 2013</w:t>
      </w:r>
    </w:p>
    <w:bookmarkEnd w:id="100"/>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ECLI:ES:TC:2013:97</w:t>
      </w:r>
    </w:p>
    <w:p w:rsidR="0026452D" w:rsidRDefault="0026452D" w:rsidP="0026452D">
      <w:pPr>
        <w:pStyle w:val="SntesisDescriptiva"/>
      </w:pPr>
    </w:p>
    <w:p w:rsidR="0026452D" w:rsidRDefault="0026452D" w:rsidP="0026452D">
      <w:pPr>
        <w:pStyle w:val="SntesisDescriptiva"/>
      </w:pPr>
      <w:r>
        <w:t>Recurso de inconstitucionalidad 8020-2006. Interpuesto por el Consejo de Gobierno de la Junta de Castilla y León en relación con los artículos 50.1 y 54 bis de la Ley 43/2003, de 21 de noviembre, de montes, en la redacción dada por la Ley 10/2006, de 28 de abril.</w:t>
      </w:r>
    </w:p>
    <w:p w:rsidR="0026452D" w:rsidRDefault="0026452D" w:rsidP="0026452D">
      <w:pPr>
        <w:pStyle w:val="SntesisDescriptiva"/>
      </w:pPr>
    </w:p>
    <w:p w:rsidR="0026452D" w:rsidRDefault="0026452D" w:rsidP="0026452D">
      <w:pPr>
        <w:pStyle w:val="SntesisAnaltica"/>
      </w:pPr>
      <w:r>
        <w:t>Competencias sobre montes, ordenación del territorio y medio ambiente: constitucionalidad de los preceptos legales estatales que prohíben el cambio de uso forestal de los terrenos incendiados durante un período mínimo de treinta años y limitan la circulación con vehículos a motor por pistas forestales (STC 84/2013).</w:t>
      </w:r>
    </w:p>
    <w:p w:rsidR="0026452D" w:rsidRDefault="0026452D" w:rsidP="0026452D">
      <w:pPr>
        <w:pStyle w:val="SntesisAnaltica"/>
      </w:pPr>
    </w:p>
    <w:p w:rsidR="0026452D" w:rsidRDefault="0026452D" w:rsidP="0026452D">
      <w:pPr>
        <w:pStyle w:val="Extracto"/>
      </w:pPr>
      <w:r>
        <w:t>1.</w:t>
      </w:r>
      <w:r>
        <w:tab/>
        <w:t>Delimitar los diversos usos a que puede destinarse el suelo constituye uno de los aspectos básicos del urbanismo y, en términos más generales, de la ordenación del territorio, pero ello no puede significar que cualquier norma que incida sobre el territorio tenga que quedar subsumida en la competencia autonómica sobre ordenación del territorio, puesto que ello supondría atribuirle un alcance tan amplio que desconocería el contenido específico de otros muchos títulos competenciales, máxime si tenemos en cuenta que la mayor parte de las políticas sectoriales tienen una dimensión espacial (SSTC 61/1997, 84/2013) [FJ 4].</w:t>
      </w:r>
    </w:p>
    <w:p w:rsidR="0026452D" w:rsidRDefault="0026452D" w:rsidP="0026452D">
      <w:pPr>
        <w:pStyle w:val="Extracto"/>
      </w:pPr>
    </w:p>
    <w:p w:rsidR="0026452D" w:rsidRDefault="0026452D" w:rsidP="0026452D">
      <w:pPr>
        <w:pStyle w:val="Extracto"/>
      </w:pPr>
      <w:r>
        <w:t>2.</w:t>
      </w:r>
      <w:r>
        <w:tab/>
        <w:t>El precepto que prohíbe el cambio de uso forestal de los terrenos incendiados durante un período mínimo de treinta años se circunscribe a un régimen específico de protección, aplicable únicamente a los terrenos incendiados, con la finalidad de garantizar a largo plazo su regeneración y, en definitiva, su conservación, por lo que, en virtud del art. 149.1.23 CE, los efectos prohibitivos y su prevalencia sobre los usos constructivos del suelo se acomodan sin esfuerzo alguno al concepto de lo básico, calificación que por otra parte no supone atribuirle al Estado competencia específica en materia de urbanismo (SSTC 61/1997, 84/2013) [FJ 4].</w:t>
      </w:r>
    </w:p>
    <w:p w:rsidR="0026452D" w:rsidRDefault="0026452D" w:rsidP="0026452D">
      <w:pPr>
        <w:pStyle w:val="Extracto"/>
      </w:pPr>
    </w:p>
    <w:p w:rsidR="0026452D" w:rsidRDefault="0026452D" w:rsidP="0026452D">
      <w:pPr>
        <w:pStyle w:val="Extracto"/>
      </w:pPr>
      <w:r>
        <w:t>3.</w:t>
      </w:r>
      <w:r>
        <w:tab/>
        <w:t xml:space="preserve">Las limitaciones a la circulación motorizada por pistas forestales situadas fuera de la red de carreteras revisten carácter básico en el ámbito de la competencia estatal, </w:t>
      </w:r>
      <w:r w:rsidRPr="0026452D">
        <w:rPr>
          <w:i/>
        </w:rPr>
        <w:t>ex</w:t>
      </w:r>
      <w:r>
        <w:t xml:space="preserve"> art. 149.1.23 CE, dejando el precepto que las regula margen de decisión a las Comunidades Autónomas para autorizar el tránsito abierto motorizado en determinadas circunstancias, modulando así la limitación establecida con carácter básico de modo adecuado al orden constitucional de distribución de competencias (STC 84/2013) [FJ 5].</w:t>
      </w:r>
    </w:p>
    <w:p w:rsidR="0026452D" w:rsidRDefault="0026452D" w:rsidP="0026452D">
      <w:pPr>
        <w:pStyle w:val="Extracto"/>
      </w:pPr>
    </w:p>
    <w:p w:rsidR="0026452D" w:rsidRDefault="0026452D" w:rsidP="0026452D">
      <w:pPr>
        <w:pStyle w:val="Extracto"/>
      </w:pPr>
      <w:r>
        <w:t>4.</w:t>
      </w:r>
      <w:r>
        <w:tab/>
        <w:t xml:space="preserve">La afectación transversal del título competencial del Estado, que se ciñe al ámbito de lo básico </w:t>
      </w:r>
      <w:r w:rsidRPr="0026452D">
        <w:rPr>
          <w:i/>
        </w:rPr>
        <w:t>ex</w:t>
      </w:r>
      <w:r>
        <w:t xml:space="preserve">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w:t>
      </w:r>
      <w:r>
        <w:lastRenderedPageBreak/>
        <w:t>ejercicio ordinario de la actividad sectorial de que se trate pueda tener (SSTC 101/2005, 84/2013) [FJ 5].</w:t>
      </w:r>
    </w:p>
    <w:p w:rsidR="0026452D" w:rsidRDefault="0026452D" w:rsidP="0026452D">
      <w:pPr>
        <w:pStyle w:val="Extracto"/>
      </w:pPr>
    </w:p>
    <w:p w:rsidR="0026452D" w:rsidRDefault="0026452D" w:rsidP="0026452D">
      <w:pPr>
        <w:pStyle w:val="Extracto"/>
      </w:pPr>
      <w:r>
        <w:t>5.</w:t>
      </w:r>
      <w:r>
        <w:tab/>
        <w:t>No existe vaciamiento de la competencia autonómica de desarrollo normativo y ejecución por el precepto que establece la posibilidad de limitar el acceso a los montes a personas ajenas a la vigilancia, máxime si se tiene en cuenta que la previsión legal no establece por sí misma límites de acceso a zonas en las que concurra un alto riesgo de incendio, sino que prevé la posibilidad de que las Comunidades Autónomas lleven a cabo dicha limitación en atención al riesgo de incendio [FJ 6].</w:t>
      </w:r>
    </w:p>
    <w:p w:rsidR="0026452D" w:rsidRDefault="0026452D" w:rsidP="0026452D">
      <w:pPr>
        <w:pStyle w:val="Extracto"/>
      </w:pPr>
    </w:p>
    <w:p w:rsidR="0026452D" w:rsidRDefault="0026452D" w:rsidP="0026452D">
      <w:pPr>
        <w:pStyle w:val="Extracto"/>
      </w:pPr>
      <w:r>
        <w:t>6.</w:t>
      </w:r>
      <w:r>
        <w:tab/>
        <w:t xml:space="preserve">En materias como la ordenación del territorio, el urbanismo, el medio ambiente y la ordenación de los recursos forestales existen profundas interacciones, por lo que para determinar cuál es la materia y, por tanto, el título competencial de referencia es necesario atender tanto a la finalidad como al contenido de la norma, es decir, a las técnicas legislativas utilizadas para alcanzar dicha finalidad (SSTC 28/1997, 84/2013) [FJ 3]. </w:t>
      </w:r>
    </w:p>
    <w:p w:rsidR="0026452D" w:rsidRDefault="0026452D" w:rsidP="0026452D">
      <w:pPr>
        <w:pStyle w:val="Extracto"/>
      </w:pPr>
    </w:p>
    <w:p w:rsidR="0026452D" w:rsidRDefault="0026452D" w:rsidP="0026452D">
      <w:pPr>
        <w:pStyle w:val="Extracto"/>
      </w:pPr>
      <w:r>
        <w:t>7.</w:t>
      </w:r>
      <w:r>
        <w:tab/>
        <w:t>Doctrina constitucional sobre la necesidad de que el recurso contenga una argumentación específica que fundamente la presunta contradicción de los preceptos impugnados con la Norma fundamental (SSTC 98/1989, 84/2013)  [FJ 2].</w:t>
      </w:r>
    </w:p>
    <w:p w:rsidR="0026452D" w:rsidRDefault="0026452D" w:rsidP="0026452D">
      <w:pPr>
        <w:pStyle w:val="Extracto"/>
      </w:pPr>
    </w:p>
    <w:p w:rsidR="0026452D" w:rsidRDefault="0026452D" w:rsidP="0026452D">
      <w:pPr>
        <w:pStyle w:val="Extracto"/>
      </w:pPr>
      <w:r>
        <w:t>8.</w:t>
      </w:r>
      <w:r>
        <w:tab/>
        <w:t xml:space="preserve">Doctrina constitucional sobre el </w:t>
      </w:r>
      <w:r w:rsidRPr="0026452D">
        <w:rPr>
          <w:i/>
        </w:rPr>
        <w:t>ius superveniens</w:t>
      </w:r>
      <w:r>
        <w:t xml:space="preserve"> (STC 207/2011)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8020-2006, promovido por el Consejo de Gobierno de la Junta de Castilla y León, contra el artículo único, apartados 32 y 33 de la Ley 10/2006, de 28 de abril, por la que se modifica la Ley 43/2003, de 21 de noviembre, de montes. Ha intervenido y formulado alegaciones el Abogado del Estado. Ha sido Ponente el Magistrado don Juan José González Rivas, quien expresa el parecer del Tribunal.</w:t>
      </w:r>
    </w:p>
    <w:p w:rsidR="0026452D" w:rsidRDefault="0026452D" w:rsidP="0026452D">
      <w:pPr>
        <w:pStyle w:val="TextoNormal"/>
      </w:pPr>
    </w:p>
    <w:p w:rsidR="0026452D" w:rsidRDefault="0026452D" w:rsidP="0026452D">
      <w:pPr>
        <w:pStyle w:val="TextoNormalNegritaCentrado"/>
        <w:keepNext/>
      </w:pPr>
      <w:r>
        <w:lastRenderedPageBreak/>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día 28 de julio de 2006, el director de los servicios jurídicos de la Administración de la Comunidad Autónoma de Castilla y León, en la representación que legalmente ostenta, promueve recurso de inconstitucionalidad contra los apartados 32 y 33 del artículo único de la Ley 10/2006, de 28 de abril, por la que se modifica la Ley 43/2003, de 21 de noviembre, de montes. En el apartado 32 se reforma el apartado 1 del artículo 50 de esta última Ley, en tanto que en el apartado 33, se añade el capítulo V al título IV de la misma.</w:t>
      </w:r>
    </w:p>
    <w:p w:rsidR="0026452D" w:rsidRDefault="0026452D" w:rsidP="0026452D">
      <w:pPr>
        <w:pStyle w:val="TextoNormal"/>
      </w:pPr>
    </w:p>
    <w:p w:rsidR="0026452D" w:rsidRDefault="0026452D" w:rsidP="0026452D">
      <w:pPr>
        <w:pStyle w:val="TextoNormal"/>
      </w:pPr>
      <w:r>
        <w:t>a) La demanda comienza dando cuenta de los hechos que dan lugar al presente recurso de inconstitucionalidad, refiriéndose al contexto jurídico de las Leyes 43/2003, de 21 de noviembre, de montes y 10/2006, de 28 de abril, por la que se reforma la primera, para centrar seguidamente el objeto del presente recurso en torno a dos cuestiones fundamentales: el mantenimiento y restauración de los terrenos incendiados y el denominado uso social del monte, respecto a las cuales se lleva a cabo un contraste entre la legislación anterior y la contenida en la Ley 10/2006 que, conforme a su disposición final segunda, se ampara en “lo dispuesto en el artículo 149.1. 23 de la Constitución”.</w:t>
      </w:r>
    </w:p>
    <w:p w:rsidR="0026452D" w:rsidRDefault="0026452D" w:rsidP="0026452D">
      <w:pPr>
        <w:pStyle w:val="TextoNormal"/>
      </w:pPr>
    </w:p>
    <w:p w:rsidR="0026452D" w:rsidRDefault="0026452D" w:rsidP="0026452D">
      <w:pPr>
        <w:pStyle w:val="TextoNormal"/>
      </w:pPr>
      <w:r>
        <w:t>b) Entrando ya en los fundamentos de Derecho y, en lo que se refiere al fondo de la cuestión, se exponen, en primer lugar, los preceptos constitucionales y estatutarios que se consideran infringidos por la Ley 10/2006, de 28 de abril.</w:t>
      </w:r>
    </w:p>
    <w:p w:rsidR="0026452D" w:rsidRDefault="0026452D" w:rsidP="0026452D">
      <w:pPr>
        <w:pStyle w:val="TextoNormal"/>
      </w:pPr>
    </w:p>
    <w:p w:rsidR="0026452D" w:rsidRDefault="0026452D" w:rsidP="0026452D">
      <w:pPr>
        <w:pStyle w:val="TextoNormal"/>
      </w:pPr>
      <w:r>
        <w:t>El análisis ha de comenzar según la representación del Gobierno de Castilla y León, por el art. 149.1.23 CE, en virtud del cual compete al Estado con carácter exclusivo la legislación básica sobre protección del medio ambiente, así como sobre montes, aprovechamientos forestales y vías pecuarias, pues tal es el título competencial bajo el que la disposición final segunda de la Ley 10/2006 cobija a los preceptos impugnados. A este respecto, se parte de la doctrina de este Tribunal en materia de medio ambiente —que el director de los servicios jurídicos de la Administración de la Comunidad Autónoma recurrente considera aplicable a la delimitación de las normas básicas en materia de montes—, muy particularmente la relativa al alcance de la “afectación transversal” que las directrices básicas medioambientales pueden tener sobre las competencias sectoriales de las Comunidades Autónomas con las que se entrecruzan y que están directamente implicadas. De acuerdo con dicha jurisprudencia, se mantiene que la normativa impugnada deja un espacio de desarrollo normativo a la Comunidad Autónoma casi nulo y que, por ello, ha de entenderse que el Estado se ha excedido al otorgar categoría de básico a lo que no lo es, en detrimento de las competencias propias de la Comunidad Autónoma de Castilla y León, vulnerando así el art. 149.1.23 CE.</w:t>
      </w:r>
    </w:p>
    <w:p w:rsidR="0026452D" w:rsidRDefault="0026452D" w:rsidP="0026452D">
      <w:pPr>
        <w:pStyle w:val="TextoNormal"/>
      </w:pPr>
    </w:p>
    <w:p w:rsidR="0026452D" w:rsidRDefault="0026452D" w:rsidP="0026452D">
      <w:pPr>
        <w:pStyle w:val="TextoNormal"/>
      </w:pPr>
      <w:r>
        <w:t>Seguidamente y tras constatarse que en el marco competencial en el que nos encontramos aparecen entremezcladas varias materias sobre las que recaen, a su vez, distintas facultades de actuación del Estado y de la Comunidad Autónoma, se aborda el examen de cada uno de los preceptos impugnados.</w:t>
      </w:r>
    </w:p>
    <w:p w:rsidR="0026452D" w:rsidRDefault="0026452D" w:rsidP="0026452D">
      <w:pPr>
        <w:pStyle w:val="TextoNormal"/>
      </w:pPr>
    </w:p>
    <w:p w:rsidR="0026452D" w:rsidRDefault="0026452D" w:rsidP="0026452D">
      <w:pPr>
        <w:pStyle w:val="TextoNormal"/>
      </w:pPr>
      <w:r>
        <w:t xml:space="preserve">c) Centrándose en el apartado 32 del artículo único de la Ley 10/2006, de 28 de abril, por el que se modifica el apartado primero del artículo 50 de la Ley 43/2003, de 21 de noviembre, de montes, la parte recurrente plantea en primer lugar cuál es la materia en la que debe </w:t>
      </w:r>
      <w:r>
        <w:lastRenderedPageBreak/>
        <w:t>encuadrarse la prohibición en él contenida, que afecta al deber de las Comunidades Autónomas de garantizar las condiciones para la restauración de los terrenos forestales incendiados. Según esta, queda prohibido el cambio de uso forestal de los mismos durante, al menos, treinta años y toda actividad incompatible con la regeneración de la cubierta vegetal, durante el periodo que determine la legislación autonómica. El precepto permite a las Comunidades Autónomas, no obstante, acordar excepciones a estas prohibiciones, cuando, con anterioridad al incendio, el cambio de uso estuviera previsto en un instrumento de planeamiento previamente aprobado o pendiente de aprobación, si ya hubiera sido objeto de evaluación ambiental favorable o, de no ser esta exigible, si ya hubiera sido sometido al trámite de información pública, o en una directriz de política agroforestal que contemple el uso agrario o ganadero extensivo de montes no arbolados con especies autóctonas incultos o en estado de abandono.</w:t>
      </w:r>
    </w:p>
    <w:p w:rsidR="0026452D" w:rsidRDefault="0026452D" w:rsidP="0026452D">
      <w:pPr>
        <w:pStyle w:val="TextoNormal"/>
      </w:pPr>
    </w:p>
    <w:p w:rsidR="0026452D" w:rsidRDefault="0026452D" w:rsidP="0026452D">
      <w:pPr>
        <w:pStyle w:val="TextoNormal"/>
      </w:pPr>
      <w:r>
        <w:t>La regulación señalada estaría especificando los usos espaciales de determinadas partes del territorio de la Comunidad Autónoma de Castilla y León, como son los terrenos forestales incendiados. Prueba de ello sería que las excepciones a la prohibición de cambio de uso se supeditan a que este se encuentre previsto en un instrumento de planeamiento o en una directriz que contemple el uso de determinados terrenos, figuras propias de la regulación de los usos del suelo. Por ello, considera esta parte procesal que, de acuerdo con la jurisprudencia de este Tribunal, las limitaciones a los cambios del uso de los terrenos forestales incendiados y las excepciones a las mismas previstas en la letra a) y en el segundo inciso del apartado primero del artículo 50 de la Ley de montes, en la redacción dada por el apartado 32 del artículo único de la Ley 10/2006, vulneran lo dispuesto en el art. 149.1.23 CE, por cuanto no constituyen legislación básica en materia de montes, sino medidas propias de la ordenación del territorio. Consecuentemente, tal previsión legal constituiría una intromisión ilegítima de las competencias exclusivas que en materia de ordenación del territorio corresponden a la Comunidad de Castilla y León en virtud de lo dispuesto en el artículo 32.1.2 de su Estatuto de Autonomía (EACL).</w:t>
      </w:r>
    </w:p>
    <w:p w:rsidR="0026452D" w:rsidRDefault="0026452D" w:rsidP="0026452D">
      <w:pPr>
        <w:pStyle w:val="TextoNormal"/>
      </w:pPr>
    </w:p>
    <w:p w:rsidR="0026452D" w:rsidRDefault="0026452D" w:rsidP="0026452D">
      <w:pPr>
        <w:pStyle w:val="TextoNormal"/>
      </w:pPr>
      <w:r>
        <w:t>A ello añade esta representación procesal que a la Comunidad de Castilla y León le corresponde el desarrollo legislativo y la ejecución de la legislación básica en materia de protección del medio ambiente y montes, aprovechamientos y servicios forestales, vías pecuarias, pastos y espacios naturales protegidos, conforme a lo dispuesto en el art. 34.1.5 y 9 EACL. Dicha competencia se habría visto vulnerada por el precepto legal ahora enjuiciado, pues en él se determina tanto la duración de la prohibición del uso forestal, como las posibles excepciones, de carácter singular, sin dejar espacio alguno al desarrollo legislativo por parte de la Comunidad Autónoma.</w:t>
      </w:r>
    </w:p>
    <w:p w:rsidR="0026452D" w:rsidRDefault="0026452D" w:rsidP="0026452D">
      <w:pPr>
        <w:pStyle w:val="TextoNormal"/>
      </w:pPr>
    </w:p>
    <w:p w:rsidR="0026452D" w:rsidRDefault="0026452D" w:rsidP="0026452D">
      <w:pPr>
        <w:pStyle w:val="TextoNormal"/>
      </w:pPr>
      <w:r>
        <w:t>d) El escrito de interposición del recurso aborda a continuación el análisis del apartado 33 del artículo único de la Ley 10/2006, de 28 de abril, por el cual se incorpora al título IV de la Ley de montes un nuevo capítulo V denominado “Uso social del monte” constituido exclusivamente por el nuevo art. 54 bis, “Acceso Público”. Dicho artículo tiene por objeto limitar el acceso público a los montes, limitando las circulación de los vehículos a motor por pistas forestales situadas fuera de la red de carreteras y el acceso de personas ajenas en las zonas de alto riesgo de incendio, debiendo en este caso hacer público tal extremo de forma fehaciente.</w:t>
      </w:r>
    </w:p>
    <w:p w:rsidR="0026452D" w:rsidRDefault="0026452D" w:rsidP="0026452D">
      <w:pPr>
        <w:pStyle w:val="TextoNormal"/>
      </w:pPr>
    </w:p>
    <w:p w:rsidR="0026452D" w:rsidRDefault="0026452D" w:rsidP="0026452D">
      <w:pPr>
        <w:pStyle w:val="TextoNormal"/>
      </w:pPr>
      <w:r>
        <w:lastRenderedPageBreak/>
        <w:t>Según esta parte procesal, tales limitaciones constituyen aspectos propios de las materias de turismo y ocio, sobre las que la Comunidad recurrente ostenta competencias exclusivas en virtud de los números 15 y 18 del apartado primero del art. 32 de su Estatuto de Autonomía. Se parte de lo establecido en la STC 101/2005, de 20 de abril, relativa al acceso a los parques naturales, para poner de manifiesto que la regulación impugnada, aunque tenga incidencia en materia de montes no contiene prescripciones de carácter básico al respecto, pues se trata de una normativa que disciplina actividades propias de ocio y turismo cuando se desarrollen en los montes, por lo que su regulación corresponde a la Comunidad Autónoma.</w:t>
      </w:r>
    </w:p>
    <w:p w:rsidR="0026452D" w:rsidRDefault="0026452D" w:rsidP="0026452D">
      <w:pPr>
        <w:pStyle w:val="TextoNormal"/>
      </w:pPr>
    </w:p>
    <w:p w:rsidR="0026452D" w:rsidRDefault="0026452D" w:rsidP="0026452D">
      <w:pPr>
        <w:pStyle w:val="TextoNormal"/>
      </w:pPr>
      <w:r>
        <w:t>En lo que se refiere, concretamente, al apartado tercero del art. 54 bis, que recoge la posibilidad de limitar el acceso de personas ajenas a la vigilancia, extinción y gestión de incendios en las zonas de alto riesgo, haciéndose público este extremo de forma fehaciente, entiende la parte recurrente que ha de enmarcarse en la materia de protección civil, respecto de la cual la Comunidad de Castilla y León, de acuerdo con lo dispuesto en los arts. 32 y 34 de su Estatuto de Autonomía, tiene competencias exclusivas, salvo que concurra un interés nacional o supracomunitario que pueda resultar afectado por la situación de emergencia o catástrofe. Tal afirmación vendría avalada por el hecho de que el art. 48.3 de la Ley 43/2003 vincula de manera clara el plan de defensa de la zona de alto riesgo de incendio con el correspondiente plan autonómico de emergencias.</w:t>
      </w:r>
    </w:p>
    <w:p w:rsidR="0026452D" w:rsidRDefault="0026452D" w:rsidP="0026452D">
      <w:pPr>
        <w:pStyle w:val="TextoNormal"/>
      </w:pPr>
    </w:p>
    <w:p w:rsidR="0026452D" w:rsidRDefault="0026452D" w:rsidP="0026452D">
      <w:pPr>
        <w:pStyle w:val="TextoNormal"/>
      </w:pPr>
      <w:r>
        <w:t>Reiterando nuevamente la doctrina constitucional sobre los límites de la legislación básica en materia de medio ambiente, se alega que lo dispuesto en el artículo 54 bis de la Ley 43/2003 vulnera las competencias de desarrollo legislativo y ejecución en materia de montes que corresponden a la Comunidad Autónoma de Castilla y León en virtud del art. 34.1.9 de su Estatuto de Autonomía. Las prescripciones del citado artículo, sobre todo en los apartados segundo y tercero, se consideran de tal precisión y detalle que dejarían vacía de contenido la competencia de la Comunidad Autónoma de desarrollo.</w:t>
      </w:r>
    </w:p>
    <w:p w:rsidR="0026452D" w:rsidRDefault="0026452D" w:rsidP="0026452D">
      <w:pPr>
        <w:pStyle w:val="TextoNormal"/>
      </w:pPr>
    </w:p>
    <w:p w:rsidR="0026452D" w:rsidRDefault="0026452D" w:rsidP="0026452D">
      <w:pPr>
        <w:pStyle w:val="TextoNormal"/>
      </w:pPr>
      <w:r>
        <w:t>Termina el escrito solicitando que se declare la inconstitucionalidad de los preceptos impugnados, con declaración expresa de sus efectos, que han de alcanzar, en opinión de esta parte, a las decisiones y actos que en su aplicación puedan haber sido dictadas por los órganos a los que tales preceptos otorgan competencias.</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26 de septiembre de 2006 la Sección Segunda acordó admitir a trámite el recurso y, de conformidad con lo establecido en el art. 34 de la Ley Orgánica del Tribunal Constitucional (LOTC), dar traslado de la demanda al Congreso de los Diputados, al Senado y al Gobierno, al objeto de que pudieran personarse en el proceso y formular alegaciones en el plazo de quince días. Asimismo se ordenó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Por escrito registrado en este Tribunal Constitucional el 5 de octubre de 2006, el Presidente del Congreso de los Diputados comunicó que la Mesa de la Cámara había acordado no personarse ni formular alegaciones en el presente proceso constitucional, pese a lo cual ofrecía su colaboración a los efectos del art.88.1 LOTC. En similares términos se expresa la comunicación del Presidente del Senado registrada en la sede de este Tribunal Constitucional el 11 de octubre de 2006, dando traslado del acuerdo adoptado por la Mesa de la Cámara.</w:t>
      </w:r>
    </w:p>
    <w:p w:rsidR="0026452D" w:rsidRDefault="0026452D" w:rsidP="0026452D">
      <w:pPr>
        <w:pStyle w:val="TextoNormal"/>
      </w:pPr>
    </w:p>
    <w:p w:rsidR="0026452D" w:rsidRDefault="0026452D" w:rsidP="0026452D">
      <w:pPr>
        <w:pStyle w:val="TextoNormal"/>
      </w:pPr>
      <w:r w:rsidRPr="0026452D">
        <w:rPr>
          <w:rStyle w:val="NumeroAFNegritaCaracter"/>
        </w:rPr>
        <w:t>4</w:t>
      </w:r>
      <w:r>
        <w:t>. El día 27 de octubre de 2006 tuvo entrada en el Registro General de este Tribunal el escrito de la Abogacía del Estado, cuyas alegaciones resumimos a continuación.</w:t>
      </w:r>
    </w:p>
    <w:p w:rsidR="0026452D" w:rsidRDefault="0026452D" w:rsidP="0026452D">
      <w:pPr>
        <w:pStyle w:val="TextoNormal"/>
      </w:pPr>
    </w:p>
    <w:p w:rsidR="0026452D" w:rsidRDefault="0026452D" w:rsidP="0026452D">
      <w:pPr>
        <w:pStyle w:val="TextoNormal"/>
      </w:pPr>
      <w:r>
        <w:t>a) Comienza el escrito centrando el objeto de la demanda excluyendo de aquel el inciso “las Comunidades Autónomas deberán garantizar las condiciones para la restauración de los terrenos forestales” y el apartado b) del art. 50.1, así como el apartado 1 del art. 54 bis de la Ley 43/2003, en su redacción dada por la Ley 10/2006.</w:t>
      </w:r>
    </w:p>
    <w:p w:rsidR="0026452D" w:rsidRDefault="0026452D" w:rsidP="0026452D">
      <w:pPr>
        <w:pStyle w:val="TextoNormal"/>
      </w:pPr>
    </w:p>
    <w:p w:rsidR="0026452D" w:rsidRDefault="0026452D" w:rsidP="0026452D">
      <w:pPr>
        <w:pStyle w:val="TextoNormal"/>
      </w:pPr>
      <w:r>
        <w:t>b) A continuación se sitúa la regulación legal impugnada en el marco de la competencia estatal definida en el art. 149.1.23 CE como “legislación básica sobre montes” y “aprovechamientos forestales” admitiendo, no obstante, la cercanía de la competencia señalada en el mismo artículo respecto a la “legislación básica sobre protección del medio ambiente”. Frente a dichas competencias, la Comunidad de Castilla y León ha asumido el desarrollo legislativo y la ejecución en materia de medio ambiente, montes, aprovechamientos y servicios forestales, vías pecuarias, pastos y espacios naturales protegidos, competencia que tiene como límite constitucionalmente el respeto a la competencia estatal para establecer la legislación básica en ambas materias.</w:t>
      </w:r>
    </w:p>
    <w:p w:rsidR="0026452D" w:rsidRDefault="0026452D" w:rsidP="0026452D">
      <w:pPr>
        <w:pStyle w:val="TextoNormal"/>
      </w:pPr>
    </w:p>
    <w:p w:rsidR="0026452D" w:rsidRDefault="0026452D" w:rsidP="0026452D">
      <w:pPr>
        <w:pStyle w:val="TextoNormal"/>
      </w:pPr>
      <w:r>
        <w:t>Se destaca, asimismo, la doctrina sentada en la STC 21/1999, de 25 de febrero, de acuerdo con la cual la competencia para dictar legislación básica en materia de montes y aprovechamientos forestales no sólo ampara el establecimiento de normas legales estables y permanentes que establezcan un común denominador normativo para toda España. También permite fijar los “criterios globales de ordenación del sector” forestal y prever “acciones o medidas singulares que sean necesarias para alcanzar los fines propuestos” con tal ordenación y, dentro de ellas y a título excepcional, medidas ejecutivas cuando sean necesarias para garantizar la integridad de las competencias estatales de ordenación básica de los montes y los aprovechamientos forestales.</w:t>
      </w:r>
    </w:p>
    <w:p w:rsidR="0026452D" w:rsidRDefault="0026452D" w:rsidP="0026452D">
      <w:pPr>
        <w:pStyle w:val="TextoNormal"/>
      </w:pPr>
    </w:p>
    <w:p w:rsidR="0026452D" w:rsidRDefault="0026452D" w:rsidP="0026452D">
      <w:pPr>
        <w:pStyle w:val="TextoNormal"/>
      </w:pPr>
      <w:r>
        <w:t>c) En lo que respecta a los preceptos concretamente impugnados, la Abogacía del Estado se centra, en primer lugar, en el núcleo de la argumentación respecto al art.50.1 de la Ley 43/2003, en la redacción dada por el apartado 32 del artículo único de la Ley 10/2006, cual es, el de la prohibición establecida en la letra a) del apartado 1 del “cambio de uso forestal al menos durante 30 años” de los terrenos forales incendiados y las excepciones previstas al final de dicho apartado. A su modo de ver, la clave de comprensión de dicho precepto puede hallarse en la exposición de motivos de la Ley 10/2006, de donde se deduce claramente que en el artículo controvertido se contiene una medida protectora del terreno forestal, estableciendo un lapso de tiempo mínimo durante el cual el cambio del uso forestal estará prohibido, “que en la mayoría de los casos puede permitir la regeneración de la vegetación forestal y, por extensión, evitar expectativas de recalificación futura de suelos no urbanizables, en particular la de los terrenos forestales, contrarias a los propósitos de regeneración del monte que demandan los principios de la gestión forestal sostenible”.</w:t>
      </w:r>
    </w:p>
    <w:p w:rsidR="0026452D" w:rsidRDefault="0026452D" w:rsidP="0026452D">
      <w:pPr>
        <w:pStyle w:val="TextoNormal"/>
      </w:pPr>
    </w:p>
    <w:p w:rsidR="0026452D" w:rsidRDefault="0026452D" w:rsidP="0026452D">
      <w:pPr>
        <w:pStyle w:val="TextoNormal"/>
      </w:pPr>
      <w:r>
        <w:t xml:space="preserve">De acuerdo con la jurisprudencia constitucional en la materia, considera esta parte procesal, que resulta perfectamente constitucional que la legislación básica estatal incorpore prohibiciones o medidas singulares fundamentadas en la finalidad de protección de los montes y de sus aprovechamientos forestales cuando se considere que tales medidas son necesarias para alcanzar dicha finalidad, cuyo alcance y contenido viene exigido por la propia </w:t>
      </w:r>
      <w:r>
        <w:lastRenderedPageBreak/>
        <w:t>naturaleza de la materia regulada para asegurar un estándar común de protección en toda España.</w:t>
      </w:r>
    </w:p>
    <w:p w:rsidR="0026452D" w:rsidRDefault="0026452D" w:rsidP="0026452D">
      <w:pPr>
        <w:pStyle w:val="TextoNormal"/>
      </w:pPr>
    </w:p>
    <w:p w:rsidR="0026452D" w:rsidRDefault="0026452D" w:rsidP="0026452D">
      <w:pPr>
        <w:pStyle w:val="TextoNormal"/>
      </w:pPr>
      <w:r>
        <w:t>La posible afectación a la política autonómica de ordenación del territorio como consecuencia de la medida de carácter medioambiental, se considera constitucionalmente legítima, a la vista de la jurisprudencia constitucional en materia de parques nacionales, de acuerdo con la cual cabe que la afectación se traduzca en el establecimiento de limitaciones específicas o puntuales de las actividades sectoriales cuando presente una finalidad de protección ambiental. Asimismo, se acude a la doctrina constitucional sobre competencias concurrentes en el mismo territorio para poner de manifiesto que las normas autonómicas en materia de ordenación del suelo no pueden anular el ejercicio de las competencias estatales. En definitiva, ni por la finalidad perseguida ni por el recurso a “técnicas” propias de la ordenación del territorio, puede encuadrarse en esta materia la regulación controvertida, pues la finalidad es claramente proteccionista del medioambiente y el recurso a las técnicas referidas es el mínimo imprescindible para poder configurar y dar contenido a la excepción.</w:t>
      </w:r>
    </w:p>
    <w:p w:rsidR="0026452D" w:rsidRDefault="0026452D" w:rsidP="0026452D">
      <w:pPr>
        <w:pStyle w:val="TextoNormal"/>
      </w:pPr>
    </w:p>
    <w:p w:rsidR="0026452D" w:rsidRDefault="0026452D" w:rsidP="0026452D">
      <w:pPr>
        <w:pStyle w:val="TextoNormal"/>
      </w:pPr>
      <w:r>
        <w:t>La finalidad protectora sirve igualmente, en opinión de la representación procesal del Gobierno, para justificar la mayor intensidad de la regulación contenida en la Ley 10/2006, en relación con la contenida en la redacción original de la Ley de montes de 2003, si se tiene en cuenta, además, que el precepto impugnado realiza una remisión amplia al ejercicio por parte de las Comunidades Autónomas de sus competencias, tanto normativas como ejecutivas, en garantía de las condiciones para la restauración de los terrenos forestales incendiados, de acuerdo con las cuales podrá dotar de mayor protección al monte, más allá del mínimo necesario establecido por el legislador básico estatal.</w:t>
      </w:r>
    </w:p>
    <w:p w:rsidR="0026452D" w:rsidRDefault="0026452D" w:rsidP="0026452D">
      <w:pPr>
        <w:pStyle w:val="TextoNormal"/>
      </w:pPr>
    </w:p>
    <w:p w:rsidR="0026452D" w:rsidRDefault="0026452D" w:rsidP="0026452D">
      <w:pPr>
        <w:pStyle w:val="TextoNormal"/>
      </w:pPr>
      <w:r>
        <w:t>d) En lo que se refiere a la impugnación del nuevo art. 54 bis de la Ley 43/2003, introducido por la Ley 10/2006, la Abogacía del Estado lo encuadra igualmente, frente a lo mantenido en la demanda, dentro del título competencial previsto en el art. 149.1.23 CE, referido a la legislación básica sobre montes y aprovechamientos forestales. Ello se desprendería de la exposición de motivos del texto legal y resultaría corroborado por la finalidad del precepto.</w:t>
      </w:r>
    </w:p>
    <w:p w:rsidR="0026452D" w:rsidRDefault="0026452D" w:rsidP="0026452D">
      <w:pPr>
        <w:pStyle w:val="TextoNormal"/>
      </w:pPr>
    </w:p>
    <w:p w:rsidR="0026452D" w:rsidRDefault="0026452D" w:rsidP="0026452D">
      <w:pPr>
        <w:pStyle w:val="TextoNormal"/>
      </w:pPr>
      <w:r>
        <w:t>El primero de sus apartados queda descartado como objeto del recurso, pues nada se objeta en la demanda al respecto, al prever este, simplemente, que “el acceso público a los montes podrá ser objeto de regulación por las Administraciones Públicas competentes”.</w:t>
      </w:r>
    </w:p>
    <w:p w:rsidR="0026452D" w:rsidRDefault="0026452D" w:rsidP="0026452D">
      <w:pPr>
        <w:pStyle w:val="TextoNormal"/>
      </w:pPr>
    </w:p>
    <w:p w:rsidR="0026452D" w:rsidRDefault="0026452D" w:rsidP="0026452D">
      <w:pPr>
        <w:pStyle w:val="TextoNormal"/>
      </w:pPr>
      <w:r>
        <w:t>En cuanto a los apartados 2 y 3, ambos se consideran encuadrables en el ámbito de la legislación básica del Estado sobre montes y aprovechamientos forestales, en la medida en que persiguen su adecuada protección, especialmente para la prevención de incendios. De ahí que no se entienda aplicable la doctrina sentada en la STC 101/2005, de 20 de abril.</w:t>
      </w:r>
    </w:p>
    <w:p w:rsidR="0026452D" w:rsidRDefault="0026452D" w:rsidP="0026452D">
      <w:pPr>
        <w:pStyle w:val="TextoNormal"/>
      </w:pPr>
    </w:p>
    <w:p w:rsidR="0026452D" w:rsidRDefault="0026452D" w:rsidP="0026452D">
      <w:pPr>
        <w:pStyle w:val="TextoNormal"/>
      </w:pPr>
      <w:r>
        <w:t xml:space="preserve">En el caso de la prohibición de circulación con vehículos a motor por pistas forestales contenida en el apartado 2 del art. 54 bis, se trataría de una medida de carácter preventivo. Como en el caso del art. 50, sostiene la Abogacía del Estado que estamos ante una medida prohibitiva de carácter singular, necesaria para asegurar un estándar mínimo de protección de los montes en todo el territorio nacional. En tanto que afecta a la libertad de circulación prevista en el art. 19 CE, podría considerarse también una condición básica que delimita su </w:t>
      </w:r>
      <w:r>
        <w:lastRenderedPageBreak/>
        <w:t>ejercicio (art. 149.1.1 CE). Por otra parte, el precepto permite a las Comunidades Autónomas excepcionar esta prohibición mediante la correspondiente autorización por parte de la Administración forestal. Tal autorización no se limitaría a un mero acto de ejecución, sino que permitiría a las Comunidades Autónomas el desarrollo normativo de los presupuestos establecidos por la Ley básica (adecuación del vial, señalización, aceptación por los titulares, mantenimiento y responsabilidad civil).</w:t>
      </w:r>
    </w:p>
    <w:p w:rsidR="0026452D" w:rsidRDefault="0026452D" w:rsidP="0026452D">
      <w:pPr>
        <w:pStyle w:val="TextoNormal"/>
      </w:pPr>
    </w:p>
    <w:p w:rsidR="0026452D" w:rsidRDefault="0026452D" w:rsidP="0026452D">
      <w:pPr>
        <w:pStyle w:val="TextoNormal"/>
      </w:pPr>
      <w:r>
        <w:t>El apartado tercero, que prevé la posible limitación de personas ajenas a la vigilancia, extinción y gestión forestal a las zonas de alto riesgo definidas en el art. 48 de la Ley 43/2006, ha de encuadrarse igualmente, según la representación procesal del Gobierno, en la materia de montes y no en la de protección civil, como se mantiene en el escrito de interposición del recurso de inconstitucionalidad. Y ello, porque aunque se reconoce que los límites entre una y otra materia pueden ser difíciles de trazar, se atiende a la finalidad de la norma, en la que resulta preponderante la finalidad conservacionista y protectora del monte, frente a la prevención y superación de una situación de grave riesgo o catástrofe. Ahora bien, incluso si se considerase que el precepto impugnado debe subsumirse en la materia “protección civil”, la naturaleza concurrente de esta competencia (que incluye el reconocimiento de competencias normativas estatales), unida a su contenido (permitir que las Comunidades Autónomas prohíban el acceso de personas a determinados lugares) y al hecho de que el bien jurídico que se pretende salvaguardar es la protección del monte frente a los incendios (de interés supracomunitario evidente), justificarían la constitucionalidad del precepto objeto de impugnación.</w:t>
      </w:r>
    </w:p>
    <w:p w:rsidR="0026452D" w:rsidRDefault="0026452D" w:rsidP="0026452D">
      <w:pPr>
        <w:pStyle w:val="TextoNormal"/>
      </w:pPr>
    </w:p>
    <w:p w:rsidR="0026452D" w:rsidRDefault="0026452D" w:rsidP="0026452D">
      <w:pPr>
        <w:pStyle w:val="TextoNormal"/>
      </w:pPr>
      <w:r>
        <w:t>Esta parte procesal termina solicitando que el Tribunal Constitucional dicte Sentencia desestimando en su integridad el recurso de inconstitucionalidad interpuesto y que, en el improbable caso de que la norma impugnada se declarara inconstitucional, se aplique, en contra de lo solicitado en la demanda, la doctrina expresada en las SSTC 195/1998, de 1 de octubre, (FJ 5) y 194/2004, de 4 de noviembre, (FJ 24), sobre los efectos de las sentencias de inconstitucionalidad en materia medioambiental, cuando la ejecución inmediata del fallo pueda perjudicar al conjunto de bienes jurídicos protegidos por la legislación estatal. Asimismo, se solicita mediante otrosí la acumulación del presente recurso con el interpuesto anteriormente por el Gobierno de la Rioja con el número 7837-2006, por concurrir las circunstancias del art. 83 LOTC.</w:t>
      </w:r>
    </w:p>
    <w:p w:rsidR="0026452D" w:rsidRDefault="0026452D" w:rsidP="0026452D">
      <w:pPr>
        <w:pStyle w:val="TextoNormal"/>
      </w:pPr>
    </w:p>
    <w:p w:rsidR="0026452D" w:rsidRDefault="0026452D" w:rsidP="0026452D">
      <w:pPr>
        <w:pStyle w:val="TextoNormal"/>
      </w:pPr>
      <w:r w:rsidRPr="0026452D">
        <w:rPr>
          <w:rStyle w:val="NumeroAFNegritaCaracter"/>
        </w:rPr>
        <w:t>5</w:t>
      </w:r>
      <w:r>
        <w:t>. Por providencia de 23 de abril de 2013 se señaló para deliberación y votación del presente recurso el día 23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En este proceso constitucional hemos de resolver el recurso de inconstitucionalidad interpuesto por el Consejo de Gobierno de la Junta de Castilla y León contra los apartados 32 y 33 del artículo único de la Ley 10/2006, de 28 de abril, por los que, respectivamente, se modifica el apartado 1 del art. 50 y se añade el capítulo V al título IV de la Ley 43/2003, de 21 de noviembre, de montes, constituido exclusivamente por el art. 54 bis.</w:t>
      </w:r>
    </w:p>
    <w:p w:rsidR="0026452D" w:rsidRDefault="0026452D" w:rsidP="0026452D">
      <w:pPr>
        <w:pStyle w:val="TextoNormal"/>
      </w:pPr>
    </w:p>
    <w:p w:rsidR="0026452D" w:rsidRDefault="0026452D" w:rsidP="0026452D">
      <w:pPr>
        <w:pStyle w:val="TextoNormal"/>
      </w:pPr>
      <w:r>
        <w:t xml:space="preserve">Según se ha hecho constar en los antecedentes, el director de los servicios jurídicos de la Administración de la Comunidad Autónoma de Castilla y León reprocha a los preceptos </w:t>
      </w:r>
      <w:r>
        <w:lastRenderedPageBreak/>
        <w:t>impugnados un exceso en la regulación de lo básico, de manera que se estaría privando a la Comunidad Autónoma de su competencia para dictar la legislación de desarrollo en materia de montes y del ejercicio de otras competencias concurrentes en dicho ámbito material.</w:t>
      </w:r>
    </w:p>
    <w:p w:rsidR="0026452D" w:rsidRDefault="0026452D" w:rsidP="0026452D">
      <w:pPr>
        <w:pStyle w:val="TextoNormal"/>
      </w:pPr>
    </w:p>
    <w:p w:rsidR="0026452D" w:rsidRDefault="0026452D" w:rsidP="0026452D">
      <w:pPr>
        <w:pStyle w:val="TextoNormal"/>
      </w:pPr>
      <w:r>
        <w:t>En lo que se refiere, concretamente, al apartado primero del art. 50 de la Ley de montes, en la redacción dada por el apartado 32 del artículo único de la Ley 10/2006, este vulneraría lo dispuesto en el art. 149.1.23 CE, por cuanto no constituye legislación básica en materia de montes, sino medidas propias de la ordenación del territorio, cuya regulación correspondería en exclusiva a la Comunidad de Castilla y León en virtud de lo dispuesto en el artículo 32.1.2 de su Estatuto de Autonomía (EACL). A ello habría que añadir la vulneración de lo dispuesto en el art. 34.1.5 y 9 EACL, de acuerdo con el cual, corresponde a dicha Comunidad el desarrollo legislativo y la ejecución de la legislación básica en materia de protección del medio ambiente y montes, aprovechamientos y servicios forestales, vías pecuarias, pastos y espacios naturales protegidos. Dicha competencia se habría visto vulnerada, pues el precepto legal impugnado no deja espacio alguno al desarrollo legislativo por parte de la Comunidad Autónoma.</w:t>
      </w:r>
    </w:p>
    <w:p w:rsidR="0026452D" w:rsidRDefault="0026452D" w:rsidP="0026452D">
      <w:pPr>
        <w:pStyle w:val="TextoNormal"/>
      </w:pPr>
    </w:p>
    <w:p w:rsidR="0026452D" w:rsidRDefault="0026452D" w:rsidP="0026452D">
      <w:pPr>
        <w:pStyle w:val="TextoNormal"/>
      </w:pPr>
      <w:r>
        <w:t>Por su parte, el nuevo art. 54 bis de la Ley de montes, introducido por el apartado 33 del artículo único de la Ley 10/2006, de 28 de abril, en tanto limita la circulación de los vehículos a motor por pistas forestales situadas fuera de la red de carreteras, estaría fijando aspectos propios de las materias de turismo y ocio, sobre las que la Comunidad recurrente ostenta competencias exclusivas en virtud de los números 15 y 18 del apartado primero del art. 32 de su Estatuto de Autonomía. En lo que se refiere, concretamente, al apartado tercero del art. 54 bis, que recoge la posibilidad de limitar el acceso de personas ajenas a la vigilancia, extinción y gestión de incendios en las zonas de alto riesgo, haciéndose público este extremo de forma fehaciente, entiende la parte recurrente que ha de enmarcarse en la materia de protección civil, respecto de la cual la Comunidad de Castilla y León, de acuerdo con lo dispuesto en los arts. 32 y 34 de su Estatuto de Autonomía, tiene competencias exclusivas, salvo que concurra un interés nacional o supracomunitario que pueda resultar afectado por la situación de emergencia o catástrofe.</w:t>
      </w:r>
    </w:p>
    <w:p w:rsidR="0026452D" w:rsidRDefault="0026452D" w:rsidP="0026452D">
      <w:pPr>
        <w:pStyle w:val="TextoNormal"/>
      </w:pPr>
    </w:p>
    <w:p w:rsidR="0026452D" w:rsidRDefault="0026452D" w:rsidP="0026452D">
      <w:pPr>
        <w:pStyle w:val="TextoNormal"/>
      </w:pPr>
      <w:r>
        <w:t>Para la Abogacía del Estado, conforme a los razonamientos que se han resumido en los antecedentes, los preceptos impugnados son manifestación de la competencia atribuida al Estado en materia de montes y aprovechamientos forestales por el art. 149.1.23 CE, mencionando asimismo otras competencias conexas como, señaladamente, la legislación básica sobre protección del medio ambiente.</w:t>
      </w:r>
    </w:p>
    <w:p w:rsidR="0026452D" w:rsidRDefault="0026452D" w:rsidP="0026452D">
      <w:pPr>
        <w:pStyle w:val="TextoNormal"/>
      </w:pPr>
    </w:p>
    <w:p w:rsidR="0026452D" w:rsidRDefault="0026452D" w:rsidP="0026452D">
      <w:pPr>
        <w:pStyle w:val="TextoNormal"/>
      </w:pPr>
      <w:r w:rsidRPr="0026452D">
        <w:rPr>
          <w:rStyle w:val="NumeroAFNegritaCaracter"/>
        </w:rPr>
        <w:t>2</w:t>
      </w:r>
      <w:r>
        <w:t>. Resulta necesario hacer dos precisiones antes de abordar el enjuiciamiento de los artículos sobre los que se mantiene la controversia competencial. La primera es relativa a la modificación que, tras la interposición de este recurso, se ha producido en el Estatuto de Autonomía de Castilla y León por la Ley Orgánica 14/2007, de 30 de noviembre, lo que nos obligará a redirigir el análisis sobre la constitucionalidad de los preceptos impugnados pues, de conformidad con nuestra doctrina, las cuestiones que se controviertan habrán de decidirse considerando las prescripciones del nuevo Estatuto de Autonomía que resulten ser de aplicación (STC 207/2011, de 20 de diciembre, FJ 3, por todas).</w:t>
      </w:r>
    </w:p>
    <w:p w:rsidR="0026452D" w:rsidRDefault="0026452D" w:rsidP="0026452D">
      <w:pPr>
        <w:pStyle w:val="TextoNormal"/>
      </w:pPr>
    </w:p>
    <w:p w:rsidR="0026452D" w:rsidRDefault="0026452D" w:rsidP="0026452D">
      <w:pPr>
        <w:pStyle w:val="TextoNormal"/>
      </w:pPr>
      <w:r>
        <w:t xml:space="preserve">La segunda consideración se refiere al objeto del presente proceso. Como señala la Abogacía del Estado, este viene constituido, de un lado, por la letra a) del art. 50.1 de la Ley </w:t>
      </w:r>
      <w:r>
        <w:lastRenderedPageBreak/>
        <w:t>43/2003, en la redacción dada por la Ley 10/2006 y por las condiciones establecidas en el inciso segundo de dicho precepto para que las Comunidades Autónomas puedan establecer excepciones a las prohibiciones de uso forestal que en él se prevén. Por otro lado, en lo que se refiere al nuevo art. 54 bis introducido por la Ley 10/2006 en la Ley 43/2003, nuestro análisis se limitará a lo dispuesto en sus apartados 2 y 3. La demanda dirige sus alegaciones exclusivamente a los preceptos señalados, por lo que en aplicación de nuestra doctrina hemos de ceñir nuestro enjuiciamiento a los mismos.</w:t>
      </w:r>
    </w:p>
    <w:p w:rsidR="0026452D" w:rsidRDefault="0026452D" w:rsidP="0026452D">
      <w:pPr>
        <w:pStyle w:val="TextoNormal"/>
      </w:pPr>
    </w:p>
    <w:p w:rsidR="0026452D" w:rsidRDefault="0026452D" w:rsidP="0026452D">
      <w:pPr>
        <w:pStyle w:val="TextoNormal"/>
      </w:pPr>
      <w:r>
        <w:t>Al igual que afirmamos en las SSTC 195/2012, de 31 de octubre, FJ 4 y 84/2013 de 11 de abril, FJ 3, “resulta de aplicación la doctrina recopilada en la STC 158/2011, de 19 de octubre, según la cual ‘no basta la mera invocación formal de los preceptos en la demanda (STC 98/1989, de 1 de junio, FJ 5)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de 12 de mayo, FJ 7 B); 214/1994, de 14 de julio, FJ 3; 195/1998, de 1 de octubre, FJ 1]. Efectivamente, hemos de recordar aquí una vez más que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de 27 de junio, FJ 2; y 118/1998, de 4 de junio, FJ 4).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w:t>
      </w:r>
    </w:p>
    <w:p w:rsidR="0026452D" w:rsidRDefault="0026452D" w:rsidP="0026452D">
      <w:pPr>
        <w:pStyle w:val="TextoNormal"/>
      </w:pPr>
    </w:p>
    <w:p w:rsidR="0026452D" w:rsidRDefault="0026452D" w:rsidP="0026452D">
      <w:pPr>
        <w:pStyle w:val="TextoNormal"/>
      </w:pPr>
      <w:r w:rsidRPr="0026452D">
        <w:rPr>
          <w:rStyle w:val="NumeroAFNegritaCaracter"/>
        </w:rPr>
        <w:t>3</w:t>
      </w:r>
      <w:r>
        <w:t>. El art. 149.1.23 CE atribuye al Estado la competencia exclusiva sobre dos ámbitos diferenciados: de una parte, la legislación básica sobre protección del medio ambiente, sin perjuicio de las facultades de las Comunidades Autónomas de establecer normas adicionales de protección; de otra, la legislación básica sobre montes, aprovechamientos forestales y vías pecuarias. Ambos han sido invocados en las alegaciones de las partes, y ambos tienen reflejo en la ley de la que forman parte los preceptos objeto de impugnación. En efecto, si la disposición final segunda, apartado 1, de la Ley 10/2006, de 28 de abril, por la que se modifica la Ley 43/2003, de 21 de noviembre, de montes, hace referencia genérica al art. 149.1.23 CE, sin precisar su encuadramiento en uno u otro ámbito, el apartado 1 de la disposición final segunda de la Ley 43/2003, en la que los preceptos impugnados han quedado integrados, menciona expresamente ambos títulos competenciales, al proclamar que la misma “se dicta al amparo de lo dispuesto en el artículo 149.1.23 de la Constitución y tiene, por tanto, carácter básico (legislación básica sobre montes, aprovechamientos forestales y protección del medio ambiente)”, sin perjuicio de otros títulos competenciales que amparan determinados preceptos de la Ley, que no afectan al presente recurso.</w:t>
      </w:r>
    </w:p>
    <w:p w:rsidR="0026452D" w:rsidRDefault="0026452D" w:rsidP="0026452D">
      <w:pPr>
        <w:pStyle w:val="TextoNormal"/>
      </w:pPr>
    </w:p>
    <w:p w:rsidR="0026452D" w:rsidRDefault="0026452D" w:rsidP="0026452D">
      <w:pPr>
        <w:pStyle w:val="TextoNormal"/>
      </w:pPr>
      <w:r>
        <w:t xml:space="preserve">Como hemos señalado en la reciente STC 49/2013, de 28 de febrero (FJ 5), recaída en el recurso de inconstitucionalidad núm. 988-2004, interpuesto contra la misma Ley 43/2003, “en materias como la ordenación del territorio, el urbanismo, el medio ambiente y la ordenación de los recursos forestales existen profundas interacciones. Para determinar cuál es la </w:t>
      </w:r>
      <w:r>
        <w:lastRenderedPageBreak/>
        <w:t>materia y, por tanto, el título competencial de referencia es necesario atender tanto a la finalidad como al contenido de la norma o, dicho de otra forma, a las técnicas legislativas utilizadas para alcanzar dicha finalidad (STC 28/1997, de 13 de febrero, FJ 4)” y en aplicación de esta doctrina, lo hemos reiterado en la STC 84/2013 de 11 de abril, FJ 3, recaída en el recurso de inconstitucionalidad núm. 7837-2006, interpuesto contra los mismos preceptos aquí impugnados de la Ley 43/2003, en la redacción dada por el art. único, apartados 32 y 33, de la Ley 10/2006, de 28 de abril.</w:t>
      </w:r>
    </w:p>
    <w:p w:rsidR="0026452D" w:rsidRDefault="0026452D" w:rsidP="0026452D">
      <w:pPr>
        <w:pStyle w:val="TextoNormal"/>
      </w:pPr>
    </w:p>
    <w:p w:rsidR="0026452D" w:rsidRDefault="0026452D" w:rsidP="0026452D">
      <w:pPr>
        <w:pStyle w:val="TextoNormal"/>
      </w:pPr>
      <w:r>
        <w:t>Por otra parte, en la ya citada STC 49/2013, de 28 de febrero, al analizar determinadas impugnaciones relativas a la regulación relativa a los incendios forestales, que guardan estrecha relación con el objeto del presente proceso constitucional, hemos reconocido que “la tarea de deslindar las distintas materias implicadas, de acuerdo con la finalidad predominante de la norma, a los efectos de delimitar los títulos competenciales aplicables, contiene, a veces, elevadas proporciones de convención y artificio. En este caso, la finalidad de las normas impugnadas es tanto la de prevención y superación de una situación de grave riesgo o catástrofe, como la de protección del monte cuya misma existencia se pone en riesgo por el incendio” (FJ 12).</w:t>
      </w:r>
    </w:p>
    <w:p w:rsidR="0026452D" w:rsidRDefault="0026452D" w:rsidP="0026452D">
      <w:pPr>
        <w:pStyle w:val="TextoNormal"/>
      </w:pPr>
    </w:p>
    <w:p w:rsidR="0026452D" w:rsidRDefault="0026452D" w:rsidP="0026452D">
      <w:pPr>
        <w:pStyle w:val="TextoNormal"/>
      </w:pPr>
      <w:r>
        <w:t xml:space="preserve">Encuadrada en estos mismos términos la controversia competencial que se somete ahora a nuestro examen, ha de concluirse que resulta título competencial más específico y, por ello, prevalente, el que atribuye al Estado la competencia exclusiva en materia de legislación básica sobre montes y aprovechamientos forestales (art. 149.1.23 </w:t>
      </w:r>
      <w:r w:rsidRPr="0026452D">
        <w:rPr>
          <w:i/>
        </w:rPr>
        <w:t>in fine</w:t>
      </w:r>
      <w:r>
        <w:t xml:space="preserve"> CE), título que integra una vertiente de protección del medio ambiente, que habremos de tomar en consideración en atención a la finalidad perseguida por las normas impugnadas.</w:t>
      </w:r>
    </w:p>
    <w:p w:rsidR="0026452D" w:rsidRDefault="0026452D" w:rsidP="0026452D">
      <w:pPr>
        <w:pStyle w:val="TextoNormal"/>
      </w:pPr>
    </w:p>
    <w:p w:rsidR="0026452D" w:rsidRDefault="0026452D" w:rsidP="0026452D">
      <w:pPr>
        <w:pStyle w:val="TextoNormal"/>
      </w:pPr>
      <w:r w:rsidRPr="0026452D">
        <w:rPr>
          <w:rStyle w:val="NumeroAFNegritaCaracter"/>
        </w:rPr>
        <w:t>4</w:t>
      </w:r>
      <w:r>
        <w:t>. Entrando ya en el análisis concreto de los distintos preceptos impugnados, comenzaremos abordando de forma conjunta el enjuiciamiento de lo dispuesto en la letra a) y el segundo inciso del apartado primero del art. 50 de la Ley impugnada, dada la íntima relación entre ambos. En la citada letra se prohíbe el cambio de uso forestal de los terrenos incendiados durante un período mínimo de treinta años, en tanto que en el inciso segundo del precepto se abre la posibilidad de que las Comunidades Autónomas acuerden excepciones a dicha prohibición con carácter singular. Para ello, exige que el cambio de uso estuviera previsto, con anterioridad al incendio forestal, en: “1. Un instrumento de planeamiento previamente aprobado. 2. Un instrumento de planeamiento pendiente de aprobación, si ya hubiera sido objeto de evaluación ambiental favorable o, de no ser esta exigible, si ya hubiera sido sometido al trámite de información pública. 3. Una directriz de política agroforestal que contemple el uso agrario o ganadero extensivo de montes no arbolados con especies autóctonas incultos o en estado de abandono”.</w:t>
      </w:r>
    </w:p>
    <w:p w:rsidR="0026452D" w:rsidRDefault="0026452D" w:rsidP="0026452D">
      <w:pPr>
        <w:pStyle w:val="TextoNormal"/>
      </w:pPr>
    </w:p>
    <w:p w:rsidR="0026452D" w:rsidRDefault="0026452D" w:rsidP="0026452D">
      <w:pPr>
        <w:pStyle w:val="TextoNormal"/>
      </w:pPr>
      <w:r>
        <w:t xml:space="preserve">Explica el preámbulo de la Ley 10/2006 los motivos que llevan al legislador a optar por esta prohibición en los siguientes términos: “Bien es sabido que el cambio de uso de los terrenos forestales incendiados para transformarlos en otros de carácter agrícola, pascícola, industrial o urbanizable se ha tratado de justificar en la pérdida de valor de dichos terrenos, al carecer de vegetación arbórea como consecuencia del desastre ecológico ocasionado por el incendio. En muchas ocasiones, el cambio de uso no se promovía de forma inmediata tras el siniestro, sino sólo tras repetidos incendios de ese terreno forestal, que quedaba, de esta manera, en una situación de casi total degradación vegetal que dificultaba la posibilidad de rechazar justificada y motivadamente las peticiones de cambio de uso forestal. Y ello en la </w:t>
      </w:r>
      <w:r>
        <w:lastRenderedPageBreak/>
        <w:t>medida en que estos terrenos, en un corto plazo, ya no podrían alcanzar el potencial forestal arbolado que poseían antes del incendio. Los incendios forestales tienen como causa, en una pequeña parte de casos, los fenómenos naturales y, desgraciadamente, en una inmensa mayoría de supuestos, acciones humanas, ya sean negligentes o dolosas.”</w:t>
      </w:r>
    </w:p>
    <w:p w:rsidR="0026452D" w:rsidRDefault="0026452D" w:rsidP="0026452D">
      <w:pPr>
        <w:pStyle w:val="TextoNormal"/>
      </w:pPr>
    </w:p>
    <w:p w:rsidR="0026452D" w:rsidRDefault="0026452D" w:rsidP="0026452D">
      <w:pPr>
        <w:pStyle w:val="TextoNormal"/>
      </w:pPr>
      <w:r>
        <w:t>Para atajar este fenómeno, continúa señalando el preámbulo que, en línea con la decisión adoptada por otros países mediterráneos y algunas Comunidades Autónomas, se prohíbe el cambio de uso durante treinta años, plazo que se justifica por ser “el lapso de tiempo mínimo que en la mayoría de los casos puede permitir la regeneración de la vegetación forestal y, por extensión, evitar expectativas de recalificación futura de suelos no urbanizables, en particular la de los terrenos forestales, contrarias a los propósitos de regeneración del monte que demandan los principios de la gestión forestal sostenible.”</w:t>
      </w:r>
    </w:p>
    <w:p w:rsidR="0026452D" w:rsidRDefault="0026452D" w:rsidP="0026452D">
      <w:pPr>
        <w:pStyle w:val="TextoNormal"/>
      </w:pPr>
    </w:p>
    <w:p w:rsidR="0026452D" w:rsidRDefault="0026452D" w:rsidP="0026452D">
      <w:pPr>
        <w:pStyle w:val="TextoNormal"/>
      </w:pPr>
      <w:r>
        <w:t>Resulta pues clara, como hemos resuelto en la STC 84/2013, de 11 de abril, FJ 4, la finalidad disuasoria de la medida adoptada, que tiene como objetivo la prevención de los incendios forestales y, en última instancia, la protección de la masa forestal. Teniendo en cuenta la estrecha conexión existente entre los dos títulos competenciales recogidos en el art. 149.1.23 CE, como ya hemos razonado en el precedente fundamento jurídico 2, en razón de dicha finalidad tuitiva, el precepto encaja sin dificultad en el ámbito de la competencia estatal para establecer la legislación básica en materia de montes y aprovechamientos forestales, resultando extensible la doctrina recogida en la STC 101/2005, de 20 de abril, FJ 5 c), a cuyo tenor el Estado, en ejercicio de la competencia exclusiva que le atribuye el art. 149.1.23 CE, puede condicionar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para la preservación de los recursos naturales.</w:t>
      </w:r>
    </w:p>
    <w:p w:rsidR="0026452D" w:rsidRDefault="0026452D" w:rsidP="0026452D">
      <w:pPr>
        <w:pStyle w:val="TextoNormal"/>
      </w:pPr>
    </w:p>
    <w:p w:rsidR="0026452D" w:rsidRDefault="0026452D" w:rsidP="0026452D">
      <w:pPr>
        <w:pStyle w:val="TextoNormal"/>
      </w:pPr>
      <w:r>
        <w:t>No se invade con ello la competencia autonómica exclusiva en materia de ordenación del territorio y urbanismo (art. 70.1.6 EACL), como alega la Comunidad Autónoma recurrente. Al igual que afirmamos en la STC 61/1997, de 20 de marzo, el precepto no tiene como finalidad “establecer directamente determinaciones de carácter material ni positivo en esa clase de suelo, es decir, … la delimitación de los diversos usos a que pueda destinarse el suelo o espacio físico territorial, ni ejercer la competencia de ordenación del territorio (art. 148.1.3 CE), si bien es cierto que inciden en su configuración, señaladamente por vía negativa o de prohibición … Es claro que delimitar los diversos usos a que puede destinarse el suelo o espacio físico constituye uno de los aspectos básicos del urbanismo y, en términos más generales, de la ordenación del territorio, pero ello no puede significar, en el plano competencial, que cualquier norma que incida sobre el territorio, siquiera sea de forma mediata o negativa, tenga que quedar subsumida en la competencia autonómica sobre ordenación del territorio, puesto que ello supondría atribuirle un alcance tan amplio que desconocería el contenido específico de otros muchos títulos competenciales, no sólo del Estado, máxime si tenemos en cuenta que la mayor parte de las políticas sectoriales tienen una incidencia o dimensión espacial.” (FJ 16).</w:t>
      </w:r>
    </w:p>
    <w:p w:rsidR="0026452D" w:rsidRDefault="0026452D" w:rsidP="0026452D">
      <w:pPr>
        <w:pStyle w:val="TextoNormal"/>
      </w:pPr>
    </w:p>
    <w:p w:rsidR="0026452D" w:rsidRDefault="0026452D" w:rsidP="0026452D">
      <w:pPr>
        <w:pStyle w:val="TextoNormal"/>
      </w:pPr>
      <w:r>
        <w:t xml:space="preserve">La prohibición que se examina no pretende, en efecto, regular los usos ni fijar las prohibiciones del conjunto de los terrenos forestales, sino que se circunscribe a un régimen específico de protección, aplicable únicamente a los terrenos incendiados, con la finalidad de garantizar a largo plazo su regeneración y, en definitiva, su conservación. En la misma STC </w:t>
      </w:r>
      <w:r>
        <w:lastRenderedPageBreak/>
        <w:t>61/1997, de 20 de marzo, dejamos sentado que, en virtud del art. 149.1.23 CE, “los efectos prohibitivos y su prevalencia sobre los usos constructivos del suelo se acomodan sin esfuerzo alguno al concepto de lo básico, calificación que por otra parte no supone atribuirle al Estado competencia específica en materia de urbanismo”, señalando que, desde la perspectiva del art. 149.1.1 CE, “guarda también relación con las condiciones básicas de ejercicio de la propiedad del suelo en la medida en que fija un límite general consistente en prohibir todo ejercicio del derecho contrario a lo que el área pretende precisamente preservar” [FJ 16 c)].</w:t>
      </w:r>
    </w:p>
    <w:p w:rsidR="0026452D" w:rsidRDefault="0026452D" w:rsidP="0026452D">
      <w:pPr>
        <w:pStyle w:val="TextoNormal"/>
      </w:pPr>
    </w:p>
    <w:p w:rsidR="0026452D" w:rsidRDefault="0026452D" w:rsidP="0026452D">
      <w:pPr>
        <w:pStyle w:val="TextoNormal"/>
      </w:pPr>
      <w:r>
        <w:t>A todo ello hay que añadir que el precepto no desemboca en un vaciamiento de la competencia autonómica de desarrollo legislativo y ejecución en materia de protección del medio ambiente y aprovechamientos y servicios forestales (art. 71.1.7 y 8 EACL), pues el plazo de treinta años opera como un mínimo que puede ampliarse por las Comunidades Autónomas.</w:t>
      </w:r>
    </w:p>
    <w:p w:rsidR="0026452D" w:rsidRDefault="0026452D" w:rsidP="0026452D">
      <w:pPr>
        <w:pStyle w:val="TextoNormal"/>
      </w:pPr>
    </w:p>
    <w:p w:rsidR="0026452D" w:rsidRDefault="0026452D" w:rsidP="0026452D">
      <w:pPr>
        <w:pStyle w:val="TextoNormal"/>
      </w:pPr>
      <w:r>
        <w:t>En cuanto al régimen de excepciones establecido en el inciso segundo del artículo cuya constitucionalidad ahora analizamos, participa de la misma finalidad tuitiva que acabamos de describir, siéndole aplicables las consideraciones antedichas en cuanto a su idoneidad para limitar las competencias autonómicas exclusivas sobre ordenación del suelo y urbanismo y tampoco en este caso se daría un vaciamiento de las competencias autonómicas de desarrollo legislativo y ejecución sobre aprovechamientos y servicios forestales, como pusimos de manifiesto en la STC 84/2013, de 11 de abril, FJ 4.</w:t>
      </w:r>
    </w:p>
    <w:p w:rsidR="0026452D" w:rsidRDefault="0026452D" w:rsidP="0026452D">
      <w:pPr>
        <w:pStyle w:val="TextoNormal"/>
      </w:pPr>
    </w:p>
    <w:p w:rsidR="0026452D" w:rsidRDefault="0026452D" w:rsidP="0026452D">
      <w:pPr>
        <w:pStyle w:val="TextoNormal"/>
      </w:pPr>
      <w:r>
        <w:t>En consecuencia, se desestima la impugnación del art. 50.1 de la Ley 43/2003, de 21 de noviembre, en su redacción dada por la Ley 10/2006, de 28 de abril.</w:t>
      </w:r>
    </w:p>
    <w:p w:rsidR="0026452D" w:rsidRDefault="0026452D" w:rsidP="0026452D">
      <w:pPr>
        <w:pStyle w:val="TextoNormal"/>
      </w:pPr>
    </w:p>
    <w:p w:rsidR="0026452D" w:rsidRDefault="0026452D" w:rsidP="0026452D">
      <w:pPr>
        <w:pStyle w:val="TextoNormal"/>
      </w:pPr>
      <w:r w:rsidRPr="0026452D">
        <w:rPr>
          <w:rStyle w:val="NumeroAFNegritaCaracter"/>
        </w:rPr>
        <w:t>5</w:t>
      </w:r>
      <w:r>
        <w:t>. El art. 54 bis.2 dispone que la circulación con vehículos a motor por pistas forestales situadas fuera de la red de carreteras quedará limitada a las servidumbres de paso que hubiera lugar, la gestión agroforestal y las labores de vigilancia y extinción de las Administraciones públicas competentes. Añade el precepto que, excepcionalmente, podrá autorizarse por la Administración forestal el tránsito abierto motorizado cuando se compruebe la adecuación del vial, la correcta señalización del acceso, la aceptación por los titulares, la asunción del mantenimiento y de la responsabilidad civil.</w:t>
      </w:r>
    </w:p>
    <w:p w:rsidR="0026452D" w:rsidRDefault="0026452D" w:rsidP="0026452D">
      <w:pPr>
        <w:pStyle w:val="TextoNormal"/>
      </w:pPr>
    </w:p>
    <w:p w:rsidR="0026452D" w:rsidRDefault="0026452D" w:rsidP="0026452D">
      <w:pPr>
        <w:pStyle w:val="TextoNormal"/>
      </w:pPr>
      <w:r>
        <w:t>Esta limitación fue ya recogida con una formulación parcialmente diferente en el Real Decreto-ley 11/2005, de 22 de julio, por el que se aprueban medidas urgentes en materia de incendios forestales, con vigencia temporal limitada a una situación caracterizada por un riesgo de incendios que se calificó de extraordinariamente alto. Ahora bien, la vigencia temporal o indefinida de la medida no resulta relevante a la hora de determinar su carácter básico, pues esta dimensión temporal de la norma forma parte del margen de apreciación del legislador estatal, en función de consideraciones técnicas o de oportunidad que no corresponde juzgar a este Tribunal.</w:t>
      </w:r>
    </w:p>
    <w:p w:rsidR="0026452D" w:rsidRDefault="0026452D" w:rsidP="0026452D">
      <w:pPr>
        <w:pStyle w:val="TextoNormal"/>
      </w:pPr>
    </w:p>
    <w:p w:rsidR="0026452D" w:rsidRDefault="0026452D" w:rsidP="0026452D">
      <w:pPr>
        <w:pStyle w:val="TextoNormal"/>
      </w:pPr>
      <w:r>
        <w:t xml:space="preserve">Como hemos resuelto en la citada STC 84/2013, FJ 5, no cabe acoger la denunciada invasión de las competencias autonómicas exclusivas en materia de promoción y ordenación del turismo (art. 71.1.26 EACL) y de promoción del ocio (art. 71.1.33 EACL), que habrán de ejercerse dentro del ámbito delimitado por el legislador básico estatal, que en ejercicio de su competencia puede imponer límites al despliegue de aquéllas. Según determinamos </w:t>
      </w:r>
      <w:r>
        <w:lastRenderedPageBreak/>
        <w:t>en la STC 101/2005, de 20 de abril, antes citada, “la afectación transversal del título competencial del Estado, que se ciñe al ámbito de lo básico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 Por el contrario la afectación transversal de las competencias sectoriales de las Comunidades Autónomas resultará vulneradora del orden competencial cuando la normativa estatal comporte, más que el establecimiento de limitaciones específicas o puntuales de las actividades sectoriales, una regulación de mayor alcance, incluso aunque dicha regulación presente una finalidad de protección ambiental” [FJ 5 c)]. Resulta claro que, a diferencia del supuesto examinado en dicha Sentencia, en esta ocasión no estamos ante “regulaciones positivas de las actividades correspondientes a las materias de la promoción del turismo y de la cultura, el desarrollo comunitario y el ocio” [FJ 9 b)], de competencia autonómica, sino ante meros límites impuestos a su ejercicio, que responden a la finalidad de garantizar la conservación y protección de los montes, frente al riesgo de incendios forestales.</w:t>
      </w:r>
    </w:p>
    <w:p w:rsidR="0026452D" w:rsidRDefault="0026452D" w:rsidP="0026452D">
      <w:pPr>
        <w:pStyle w:val="TextoNormal"/>
      </w:pPr>
    </w:p>
    <w:p w:rsidR="0026452D" w:rsidRDefault="0026452D" w:rsidP="0026452D">
      <w:pPr>
        <w:pStyle w:val="TextoNormal"/>
      </w:pPr>
      <w:r>
        <w:t xml:space="preserve">Por tanto, las limitaciones a la circulación motorizada que recoge el precepto revisten carácter básico en el ámbito de la competencia estatal </w:t>
      </w:r>
      <w:r w:rsidRPr="0026452D">
        <w:rPr>
          <w:i/>
        </w:rPr>
        <w:t>ex</w:t>
      </w:r>
      <w:r>
        <w:t xml:space="preserve"> art. 149.1.23 CE, sin que, de otra parte, la lectura del precepto deje dudas sobre el margen de decisión que se abre a las Comunidades Autónomas para autorizar el tránsito abierto motorizado en determinadas circunstancias, modulando así la limitación establecida con carácter básico de modo adecuado al orden constitucional de distribución de competencias.</w:t>
      </w:r>
    </w:p>
    <w:p w:rsidR="0026452D" w:rsidRDefault="0026452D" w:rsidP="0026452D">
      <w:pPr>
        <w:pStyle w:val="TextoNormal"/>
      </w:pPr>
    </w:p>
    <w:p w:rsidR="0026452D" w:rsidRDefault="0026452D" w:rsidP="0026452D">
      <w:pPr>
        <w:pStyle w:val="TextoNormal"/>
      </w:pPr>
      <w:r>
        <w:t>En atención a lo expuesto, debemos concluir que el art. 54 bis.2 de la Ley 43/2003, de 21 de noviembre, en su redacción dada por la Ley 10/2006, de 28 de abril no invade las competencias de la Comunidad Autónoma de Castilla y León.</w:t>
      </w:r>
    </w:p>
    <w:p w:rsidR="0026452D" w:rsidRDefault="0026452D" w:rsidP="0026452D">
      <w:pPr>
        <w:pStyle w:val="TextoNormal"/>
      </w:pPr>
    </w:p>
    <w:p w:rsidR="0026452D" w:rsidRDefault="0026452D" w:rsidP="0026452D">
      <w:pPr>
        <w:pStyle w:val="TextoNormal"/>
      </w:pPr>
      <w:r w:rsidRPr="0026452D">
        <w:rPr>
          <w:rStyle w:val="NumeroAFNegritaCaracter"/>
        </w:rPr>
        <w:t>6</w:t>
      </w:r>
      <w:r>
        <w:t>. El apartado tercero del artículo 54 bis establece la posibilidad de limitar el acceso a los montes de personas ajenas a la vigilancia, extinción y gestión en las zonas definidas en la Ley como de alto riesgo de incendio, cuando dicho riesgo lo aconseje, haciéndose público este extremo de forma fehaciente.</w:t>
      </w:r>
    </w:p>
    <w:p w:rsidR="0026452D" w:rsidRDefault="0026452D" w:rsidP="0026452D">
      <w:pPr>
        <w:pStyle w:val="TextoNormal"/>
      </w:pPr>
    </w:p>
    <w:p w:rsidR="0026452D" w:rsidRDefault="0026452D" w:rsidP="0026452D">
      <w:pPr>
        <w:pStyle w:val="TextoNormal"/>
      </w:pPr>
      <w:r>
        <w:t>En primer lugar, y al igual que en los preceptos anteriormente analizados, resulta patente aquí la finalidad protectora de la previsión legal en relación con la prevención de los incendios forestales y, en consecuencia, con la protección de la masa forestal. Por ello, también se encuadra sin dificultad en el ámbito de la competencia estatal para establecer la legislación básica en materia de montes y aprovechamientos forestales (art. 149.1.23 CE).</w:t>
      </w:r>
    </w:p>
    <w:p w:rsidR="0026452D" w:rsidRDefault="0026452D" w:rsidP="0026452D">
      <w:pPr>
        <w:pStyle w:val="TextoNormal"/>
      </w:pPr>
    </w:p>
    <w:p w:rsidR="0026452D" w:rsidRDefault="0026452D" w:rsidP="0026452D">
      <w:pPr>
        <w:pStyle w:val="TextoNormal"/>
      </w:pPr>
      <w:r>
        <w:t xml:space="preserve">Por otro lado, procede descartar la vulneración de la competencia autonómica en materia de “protección civil, incluyendo en todo caso la regulación, planificación y ejecución de medidas relativas a las emergencias y a la seguridad civil, así como la coordinación y formación de los servicios de protección civil, entre ellos los de prevención y extinción de incendios”, pues en la redacción actual del Estatuto de Autonomía de Castilla y León, que es el parámetro de constitucionalidad según nuestra doctrina sobre el </w:t>
      </w:r>
      <w:r w:rsidRPr="0026452D">
        <w:rPr>
          <w:i/>
        </w:rPr>
        <w:t>ius superveniens</w:t>
      </w:r>
      <w:r>
        <w:t xml:space="preserve">, se prevé como una competencia de desarrollo normativo y de ejecución (art. 71.1.16 EACL).Y es claro que la previsión protectora del art. 54 bis.3, por tratarse de una regulación puntual y no integrarse en una disciplina general de la protección civil, no impide que la Comunidad </w:t>
      </w:r>
      <w:r>
        <w:lastRenderedPageBreak/>
        <w:t>Autónoma dicte normas complementarias en esta materia, con que queda intacta la citada competencia de desarrollo legislativo.</w:t>
      </w:r>
    </w:p>
    <w:p w:rsidR="0026452D" w:rsidRDefault="0026452D" w:rsidP="0026452D">
      <w:pPr>
        <w:pStyle w:val="TextoNormal"/>
      </w:pPr>
    </w:p>
    <w:p w:rsidR="0026452D" w:rsidRDefault="0026452D" w:rsidP="0026452D">
      <w:pPr>
        <w:pStyle w:val="TextoNormal"/>
      </w:pPr>
      <w:r>
        <w:t>Asimismo, hay que negar que se produzca un vaciamiento de la competencia autonómica de desarrollo normativo y ejecución en materia de “montes, aprovechamientos y servicios forestales, vías pecuarias, pastos y espacios naturales protegidos” (art. 71.1.8 EACL), máxime si se tiene en cuenta que la previsión legal no establece por sí misma límites de acceso a zonas en las que concurra un alto riesgo de incendio, sino que prevé la posibilidad de que las Comunidades Autónomas lleven a cabo dicha limitación si lo estiman oportuno en atención al riesgo de incendio, pudiendo incluso precisar normativamente el concepto de situación de riesgo o establecer otros criterios que autoricen limitaciones protectoras análogas. En garantía de la eficacia protectora de las eventuales limitaciones, la norma estatal exige únicamente que, en caso de que el acceso se limite efectivamente, se haga “público este extremo de forma fehaciente”.</w:t>
      </w:r>
    </w:p>
    <w:p w:rsidR="0026452D" w:rsidRDefault="0026452D" w:rsidP="0026452D">
      <w:pPr>
        <w:pStyle w:val="TextoNormal"/>
      </w:pPr>
    </w:p>
    <w:p w:rsidR="0026452D" w:rsidRDefault="0026452D" w:rsidP="0026452D">
      <w:pPr>
        <w:pStyle w:val="TextoNormal"/>
      </w:pPr>
      <w:r>
        <w:t>De acuerdo con todo lo dicho, ha de desestimarse igualmente la impugnación del art. 54 bis.3 de la Ley 43/2003, de 21 de noviembre, en su redacción dada por la Ley 10/2006, de 28 de abril.</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veintitrés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01" w:name="SENTENCIA_2013_98"/>
      <w:r>
        <w:lastRenderedPageBreak/>
        <w:t>SENTENCIA 98/2013, de 23 de abril de 2013</w:t>
      </w:r>
    </w:p>
    <w:bookmarkEnd w:id="101"/>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ECLI:ES:TC:2013:98</w:t>
      </w:r>
    </w:p>
    <w:p w:rsidR="0026452D" w:rsidRDefault="0026452D" w:rsidP="0026452D">
      <w:pPr>
        <w:pStyle w:val="SntesisDescriptiva"/>
      </w:pPr>
    </w:p>
    <w:p w:rsidR="0026452D" w:rsidRDefault="0026452D" w:rsidP="0026452D">
      <w:pPr>
        <w:pStyle w:val="SntesisDescriptiva"/>
      </w:pPr>
      <w:r>
        <w:t>Recurso de inconstitucionalidad 4368-2007. Interpuesto por el Presidente de Gobierno en relación con los apartados 1 y 3 del artículo 37 de la Ley 1/2007, de 12 de enero, de fundaciones de la Comunidad Autónoma de La Rioja.</w:t>
      </w:r>
    </w:p>
    <w:p w:rsidR="0026452D" w:rsidRDefault="0026452D" w:rsidP="0026452D">
      <w:pPr>
        <w:pStyle w:val="SntesisDescriptiva"/>
      </w:pPr>
    </w:p>
    <w:p w:rsidR="0026452D" w:rsidRDefault="0026452D" w:rsidP="0026452D">
      <w:pPr>
        <w:pStyle w:val="SntesisAnaltica"/>
      </w:pPr>
      <w:r>
        <w:t>Competencias sobre fundaciones y legislación civil: nulidad de los preceptos legales autonómicos relativos a la fusión de fundaciones (STC 341/2005).</w:t>
      </w:r>
    </w:p>
    <w:p w:rsidR="0026452D" w:rsidRDefault="0026452D" w:rsidP="0026452D">
      <w:pPr>
        <w:pStyle w:val="SntesisAnaltica"/>
      </w:pPr>
    </w:p>
    <w:p w:rsidR="0026452D" w:rsidRDefault="0026452D" w:rsidP="0026452D">
      <w:pPr>
        <w:pStyle w:val="Extracto"/>
      </w:pPr>
      <w:r>
        <w:t>1.</w:t>
      </w:r>
      <w:r>
        <w:tab/>
        <w:t>Aplica la doctrina sobre la distribución de competencias sobre fundaciones, así como sobre el reconocimiento del derecho de fundación, el carácter jurídico privado de las fundaciones y la naturaleza civil de las cuestiones relativas a la voluntad del fundador, de la STC 341/2005 [FFJJ 2 a 4].</w:t>
      </w:r>
    </w:p>
    <w:p w:rsidR="0026452D" w:rsidRDefault="0026452D" w:rsidP="0026452D">
      <w:pPr>
        <w:pStyle w:val="Extracto"/>
      </w:pPr>
    </w:p>
    <w:p w:rsidR="0026452D" w:rsidRDefault="0026452D" w:rsidP="0026452D">
      <w:pPr>
        <w:pStyle w:val="Extracto"/>
      </w:pPr>
      <w:r>
        <w:t>2.</w:t>
      </w:r>
      <w:r>
        <w:tab/>
        <w:t xml:space="preserve">Los apartados que regulan la fusión de fundaciones, que se insertan en el ámbito de la autonomía privada expresada por el fundador, divergen de la ley estatal al añadir como requisito de la fusión que las fundaciones tengan fines análogos para que pueda tener lugar la fusión por acuerdo de los patronatos y al permitir la fusión aun existiendo prohibición del fundador, lo que permite declarar, </w:t>
      </w:r>
      <w:r w:rsidRPr="0026452D">
        <w:rPr>
          <w:i/>
        </w:rPr>
        <w:t>ex</w:t>
      </w:r>
      <w:r>
        <w:t xml:space="preserve"> arts. 34, 53.1 y 149.1.8 CE, la inconstitucionalidad de las normas impugnadas [FFJJ 3, 4].</w:t>
      </w:r>
    </w:p>
    <w:p w:rsidR="0026452D" w:rsidRDefault="0026452D" w:rsidP="0026452D">
      <w:pPr>
        <w:pStyle w:val="Extracto"/>
      </w:pPr>
    </w:p>
    <w:p w:rsidR="0026452D" w:rsidRDefault="0026452D" w:rsidP="0026452D">
      <w:pPr>
        <w:pStyle w:val="Extracto"/>
      </w:pPr>
      <w:r>
        <w:t>3.</w:t>
      </w:r>
      <w:r>
        <w:tab/>
        <w:t>Las cuestiones relativas a la voluntad del fundador forman parte de la esencia del negocio jurídico fundacional y tienen naturaleza civil, por consiguiente, sólo podrán legislar sobre ellas aquellas Comunidades Autónomas que cuenten con un Derecho civil foral o especial propio en la concreta materia o en una institución civil conexa, lo que no ocurre en el caso de la Comunidad de La Rioja, cuyo Estatuto de Autonomía no recoge mención alguna a competencias autonómicas en este ámbito [FFJJ 3, 4].</w:t>
      </w:r>
    </w:p>
    <w:p w:rsidR="0026452D" w:rsidRDefault="0026452D" w:rsidP="0026452D">
      <w:pPr>
        <w:pStyle w:val="Extracto"/>
      </w:pPr>
    </w:p>
    <w:p w:rsidR="0026452D" w:rsidRDefault="0026452D" w:rsidP="0026452D">
      <w:pPr>
        <w:pStyle w:val="Extracto"/>
      </w:pPr>
      <w:r>
        <w:t>4.</w:t>
      </w:r>
      <w:r>
        <w:tab/>
        <w:t xml:space="preserve">El legislador autonómico está habilitado para ejercer la amplia libertad de configuración que el texto constitucional le confiere cuando se trate de fundaciones que realicen su actividad principalmente en el territorio de la Comunidad Autónoma, debiendo en todo caso respetar las competencias del Estado sobre legislación civil, </w:t>
      </w:r>
      <w:r w:rsidRPr="0026452D">
        <w:rPr>
          <w:i/>
        </w:rPr>
        <w:t>ex</w:t>
      </w:r>
      <w:r>
        <w:t xml:space="preserve"> art. 149.1.8 CE, y sobre el establecimiento de las condiciones básicas que garanticen la igualdad de todos los españoles, </w:t>
      </w:r>
      <w:r w:rsidRPr="0026452D">
        <w:rPr>
          <w:i/>
        </w:rPr>
        <w:t>ex</w:t>
      </w:r>
      <w:r>
        <w:t xml:space="preserve"> art. 149.1.1 CE, mientras que lo será el legislador estatal en los supuestos no cubiertos por las previsiones estatutarias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 xml:space="preserve">El Pleno del Tribunal Constitucional, compuesto por don Pascual Sala Sánchez, Presidente, don Ramón Rodríguez Arribas, don Manuel Aragón Reyes, don Pablo Pérez Tremps, don Francisco José Hernando Santiago, doña Adela Asua Batarrita, don Luis Ignacio Ortega </w:t>
      </w:r>
      <w:r>
        <w:lastRenderedPageBreak/>
        <w:t>Álvarez, don Francisco Pérez de los Cobos Orihuel, doña Encarnación Roca Trías, don Andrés Ollero Tassara, don Fernando Vadés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4368-2007 promovido por el Presidente de Gobierno contra los apartados 1 y 3 del artículo 37 de la Ley 1/2007, de 12 de febrero, de fundaciones de la Comunidad Autónoma de La Rioja. Ha sido parte el Consejo de Gobierno de La Rioja y Ponente la Magistrada doña Encarnación Roca Trías, quien expresa el parecer de este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presentado en el Registro General de este Tribunal el día 14 de mayo de 2007, el Abogado del Estado, en nombre del Presidente del Gobierno, presentó escrito de interposición de recurso de inconstitucionalidad contra los apartados 1 y 3 del artículo 37 de la Ley 1/2007, de 12 de febrero, de fundaciones de la Comunidad Autónoma de La Rioja (publicada en el “Diario Oficial de La Rioja” del día15 de febrero de 2007). El recurso tiene por objeto la impugnación de las normas mencionadas, relativas a determinados aspectos de la fusión entre fundaciones por entender que la regulación contenida en las mismas excede de las competencias legislativas que, en materia de fundaciones, tiene atribuidas la Comunidad Autónoma de La Rioja en el art. 8.1.34 de su Estatuto de Autonomía, vulnerando con ello la competencia exclusiva del Estado sobre legislación civil </w:t>
      </w:r>
      <w:r w:rsidRPr="0026452D">
        <w:rPr>
          <w:i/>
        </w:rPr>
        <w:t>ex</w:t>
      </w:r>
      <w:r>
        <w:t xml:space="preserve"> art. 149.1.8 CE.</w:t>
      </w:r>
    </w:p>
    <w:p w:rsidR="0026452D" w:rsidRDefault="0026452D" w:rsidP="0026452D">
      <w:pPr>
        <w:pStyle w:val="TextoNormal"/>
      </w:pPr>
    </w:p>
    <w:p w:rsidR="0026452D" w:rsidRDefault="0026452D" w:rsidP="0026452D">
      <w:pPr>
        <w:pStyle w:val="TextoNormal"/>
      </w:pPr>
      <w:r>
        <w:t>En la fundamentación del recurso se comenzó recordando la doctrina que en materia de fundaciones fue expuesta por este Tribunal en la STC 341/2005, de 21 de diciembre, dictada con ocasión de la impugnación de la Ley de la Asamblea de Madrid 1/1998, de 2 marzo, de fundaciones y en la que se realizó una síntesis de nuestra doctrina. Allí afirmamos que “en el texto constitucional el fenómeno fundacional no es considerado como materia competencial dotada de sustantividad propia”. El hecho de que los Estatutos de Autonomía hayan proclamado su competencia legislativa en esta materia, no significa que el Estado carezca de la misma. Del art. 34 CE se desprende, en efecto, el reconocimiento del derecho de fundación para fines de interés general, con arreglo a la Ley, que incluyó una llamada al desarrollo legislativo, que ha de realizarse en los términos fijados en el art. 53.1 del mismo texto constitucional. De acuerdo con ello al Estado compete, en virtud del art. 149.1.1 CE, regular las condiciones básicas que garanticen la igualdad de todos los españoles en su ejercicio. Por otra parte, los títulos competenciales del Estado lo habilitan igualmente para disciplinar el régimen jurídico de las fundaciones en los aspectos civiles y procesales (art. 149.1, ordi</w:t>
      </w:r>
      <w:r>
        <w:lastRenderedPageBreak/>
        <w:t>nales 8 y 6 CE), así como a estimular la participación de la iniciativa privada en la realización de actividades de interés general, mediante medidas fiscales que le corresponde establecer, de conformidad con el art 149.1.14 CE.</w:t>
      </w:r>
    </w:p>
    <w:p w:rsidR="0026452D" w:rsidRDefault="0026452D" w:rsidP="0026452D">
      <w:pPr>
        <w:pStyle w:val="TextoNormal"/>
      </w:pPr>
    </w:p>
    <w:p w:rsidR="0026452D" w:rsidRDefault="0026452D" w:rsidP="0026452D">
      <w:pPr>
        <w:pStyle w:val="TextoNormal"/>
      </w:pPr>
      <w:r>
        <w:t>La Abogacía del Estado destaca que en la Sentencia citada afirmamos que “será el legislador autonómico el habilitado para ejercer la libertad de configuración que el texto constitucional le confiere cuando se trate de fundaciones que realicen su actividad principalmente en el territorio de la Comunidad Autónoma, mientras que lo será el estatal en los supuestos no cubiertos por las aludidas precisiones estatutarias. En todo caso, al establecer el régimen jurídico de esos entes fundacionales es evidente que la regulación autonómica habrá de respetar las competencias del Estado en las materias de legislación civil y procesal (art 149.1.8 y 6 CE), sin olvidar que el art 149.1.1 CE atribuye al Estado la competencia exclusiva para establecer las condiciones básicas que garanticen la igualdad de todos los españoles en el ejercicio de los derechos constitucionales, competencia que habilita al Estado para dictar normas que permitan disfrutar en condiciones de igualdad del derecho de fundación”.</w:t>
      </w:r>
    </w:p>
    <w:p w:rsidR="0026452D" w:rsidRDefault="0026452D" w:rsidP="0026452D">
      <w:pPr>
        <w:pStyle w:val="TextoNormal"/>
      </w:pPr>
    </w:p>
    <w:p w:rsidR="0026452D" w:rsidRDefault="0026452D" w:rsidP="0026452D">
      <w:pPr>
        <w:pStyle w:val="TextoNormal"/>
      </w:pPr>
      <w:r>
        <w:t xml:space="preserve">En aplicación de esta doctrina, estima el representante del Gobierno de la Nación que el hecho de que la Comunidad Autónoma de La Rioja tenga plena competencia legislativa en materia de fundaciones que realicen la mayor parte de su actividad en su territorio, en virtud del art. 8.1.34 de su Estatuto de Autonomía, no puede impedir el ejercicio de las competencias que tiene el Estado por otros títulos y este supuesto de perturbación se da cuando la normativa estatal sobre fundaciones sea de aplicación general por haberse dictado por el Estado en el ejercicio de determinadas competencias exclusivas, como lo son, en este supuesto, las previstas en los números 1 y 8 del art. 149.1 CE. La intromisión competencial se produce por la interpretación que la ley autonómica da al título estatutario sobre fundaciones, entrando los apartados impugnados del art. 37 a regular abiertamente una materia puramente civil que está reservada al Estado </w:t>
      </w:r>
      <w:r w:rsidRPr="0026452D">
        <w:rPr>
          <w:i/>
        </w:rPr>
        <w:t>ex</w:t>
      </w:r>
      <w:r>
        <w:t xml:space="preserve"> art. 149.1.8 CE y por conculcar las condiciones básicas del ejercicio del derecho de fundación establecidas en la Ley estatal 50/2002, de 26 diciembre, de fundaciones, en desarrollo de la competencia del art. 149.1.1 CE, alterando con ello el reparto competencial previsto en el bloque de la Constitución.</w:t>
      </w:r>
    </w:p>
    <w:p w:rsidR="0026452D" w:rsidRDefault="0026452D" w:rsidP="0026452D">
      <w:pPr>
        <w:pStyle w:val="TextoNormal"/>
      </w:pPr>
    </w:p>
    <w:p w:rsidR="0026452D" w:rsidRDefault="0026452D" w:rsidP="0026452D">
      <w:pPr>
        <w:pStyle w:val="TextoNormal"/>
      </w:pPr>
      <w:r>
        <w:t>A continuación, se pasó a fundamentar las concretas impugnaciones deducidas:</w:t>
      </w:r>
    </w:p>
    <w:p w:rsidR="0026452D" w:rsidRDefault="0026452D" w:rsidP="0026452D">
      <w:pPr>
        <w:pStyle w:val="TextoNormal"/>
      </w:pPr>
    </w:p>
    <w:p w:rsidR="0026452D" w:rsidRDefault="0026452D" w:rsidP="0026452D">
      <w:pPr>
        <w:pStyle w:val="TextoNormal"/>
      </w:pPr>
      <w:r>
        <w:t xml:space="preserve">a) El Abogado del Estado empezó sus valoraciones subrayando que los apartados 1 y 3 del art. 37 de la Ley de fundaciones de La Rioja conculca el contenido esencial del derecho de fundación </w:t>
      </w:r>
      <w:r w:rsidRPr="0026452D">
        <w:rPr>
          <w:i/>
        </w:rPr>
        <w:t>ex</w:t>
      </w:r>
      <w:r>
        <w:t xml:space="preserve"> art. 34 CE, cuyas condiciones básicas de ejercicio fueron establecidas en el art. 2.1 de la Ley de fundaciones (</w:t>
      </w:r>
      <w:r w:rsidRPr="0026452D">
        <w:rPr>
          <w:i/>
        </w:rPr>
        <w:t>ex</w:t>
      </w:r>
      <w:r>
        <w:t xml:space="preserve"> art. 149.1.1 CE) y, por esta razón, ha de afirmarse que el legislador autonómico ha incumplido el deber de respetar el contenido esencial de los derechos fundamentales que impone el art. 53.1 CE.</w:t>
      </w:r>
    </w:p>
    <w:p w:rsidR="0026452D" w:rsidRDefault="0026452D" w:rsidP="0026452D">
      <w:pPr>
        <w:pStyle w:val="TextoNormal"/>
      </w:pPr>
    </w:p>
    <w:p w:rsidR="0026452D" w:rsidRDefault="0026452D" w:rsidP="0026452D">
      <w:pPr>
        <w:pStyle w:val="TextoNormal"/>
      </w:pPr>
      <w:r>
        <w:t xml:space="preserve">Sobre este particular, advierte que el apartado 3 del art. 37 recurrido, permite la fusión de fundaciones pese a la existencia de una prohibición expresa del fundador, no respetando, en consecuencia, lo dispuesto en el art. 2.1 de la Ley de fundaciones y advierte, entre otros extremos, que las fundaciones se rigen por la voluntad del fundador, por sus estatutos y, en todo caso, por la ley. A mayor abundamiento, tal y como se desprende de la disposición final primera de la Ley de fundaciones, el art. 2 constituye una de las condiciones básicas para el ejercicio del derecho de fundación reconocido en el art. 34 CE y es de aplicación general al amparo de lo previsto en el art. 149.1.1 CE. Siendo ello así, no cabe duda a la </w:t>
      </w:r>
      <w:r>
        <w:lastRenderedPageBreak/>
        <w:t>parte recurrente de que la voluntad del fundador se concibe como la clave del desarrollo de las fundaciones: si el fundador es el que crea la fundación y la dota para servir a los intereses generales, está más que justificado que pueda reglamentar el modo de llevar a cabo su voluntad y tratar de proseguir, a través de la fusión, la consecución de dichos intereses generales evitando su extinción. Con base en la STC 49/1988, de 22 de marzo, se hace hincapié en que el derecho de fundación, reconocido en el art. 34 CE, es de configuración legal, pues la propia Constitución se refiere a su ejercicio “con arreglo a la ley”. Esto supone que una vulneración constitucional de este derecho requerirá que el régimen previsto por la norma impugnada no sólo contradiga la ley reguladora del ejercicio del derecho, sino también que su contenido afecte alguno de los elementos fundamentales que inspira la figura jurídica de la fundación. Y siendo como es la voluntad del fundador un elemento esencial del propio concepto de fundación, ésta viene a operar de forma importante en todos los momentos de la vida de la misma, no sólo desde que nace hasta que se extingue, sino incluso antes de que nazca y después de su extinción. Por estas razones, y de conformidad con la doctrina establecida desde la STC 11/1981, de 8 de abril, ha de entenderse que la alteración llevada a cabo por el legislador autonómico respecto del contenido esencial del derecho de fundación, no respetando la voluntad del fundador acerca de la procedencia o no de la fusión, ha provocado que el derecho fundamental de fundación no sea reconocible.</w:t>
      </w:r>
    </w:p>
    <w:p w:rsidR="0026452D" w:rsidRDefault="0026452D" w:rsidP="0026452D">
      <w:pPr>
        <w:pStyle w:val="TextoNormal"/>
      </w:pPr>
    </w:p>
    <w:p w:rsidR="0026452D" w:rsidRDefault="0026452D" w:rsidP="0026452D">
      <w:pPr>
        <w:pStyle w:val="TextoNormal"/>
      </w:pPr>
      <w:r>
        <w:t>b) Por lo que atañe a la vulneración competencial que se imputa a los preceptos impugnados, el Abogado del Estado alude al carácter eminentemente civil de las normas que disciplinan la fusión de una fundación. Así, recuerda que según indica la exposición de motivos de la Ley de fundaciones, se incluyen “preceptos que son de aplicación a todas las fundaciones, sean estatales o autonómicas, bien por regular las condiciones básicas que garantizan la igualdad de los españoles en el ejercicio del derecho de fundación (artículo 149.1.1 CE), bien por su naturaleza procesal (artículo 149.1.6 CE), bien por incorporar normas de derecho civil, sin perjuicio de la aplicación preferente del derecho civil foral o especial allí donde exista (artículo 149.1.8 CE). Los restantes preceptos de la ley serán de aplicación únicamente a las fundaciones de competencia estatal”. Pues bien, dado que las normas que disciplinan la fusión de una fundación son normas de Derecho civil, materia sobre la que carece de competencia La Rioja, y que el legislador estatal ha desarrollado en el art. 30 de la Ley de fundaciones, deberá tomarse esta última norma como canon de validez de la legislada por la Comunidad Autónoma. Así, hay que afirmar que el requisito de “finalidad análoga” de las fundaciones que vayan a fusionarse en virtud del acuerdo de sus respectivos patronatos, exigido por el impugnado art. 37.1 de la Ley de fundaciones de La Rioja, no está previsto en la Ley de fundaciones, que únicamente requiere iniciativa de las fundaciones, que no haya sido prohibida por el fundador (art. 30.1 de la Ley de fundaciones). El requisito de la analogía o similitud de la finalidad sólo se prevé en la ley estatal cuando la fusión sea requerida por el Protectorado para el supuesto de una fundación que resulte incapaz de alcanzar sus fines y exista otra “de análogos fines” que haya mostrado su voluntad favorable a la fusión y, siempre que el fundador no lo hubiere prohibido, pero no cuando la iniciativa corresponde a las propias fundaciones (art. 30.4 de la Ley de fundaciones). Por esta razón, el Abogado del Estado insiste en que, dado que la Comunidad Autónoma de La Rioja no ostenta competencias en materia de derecho civil, la imposición de una limitación a las fusiones entre fundaciones que no ha sido prevista por el art. 30 .1 de la Ley de fundaciones, excede de sus facultades legislativas, incurriendo el art. 37.1 de la Ley de fundaciones de La Rioja impugnado en inconstitucionalidad, por extralimitación competencial.</w:t>
      </w:r>
    </w:p>
    <w:p w:rsidR="0026452D" w:rsidRDefault="0026452D" w:rsidP="0026452D">
      <w:pPr>
        <w:pStyle w:val="TextoNormal"/>
      </w:pPr>
    </w:p>
    <w:p w:rsidR="0026452D" w:rsidRDefault="0026452D" w:rsidP="0026452D">
      <w:pPr>
        <w:pStyle w:val="TextoNormal"/>
      </w:pPr>
      <w:r>
        <w:lastRenderedPageBreak/>
        <w:t>El apartado 3 de ese mismo art. 37 de la Ley de fundaciones de La Rioja invade igualmente el título competencial reservado al Estado en materia de legislación civil al permitir la fusión, cuando el fundador la ha prohibido. Sobre este particular, se advierte que el art. 30 de la Ley de fundaciones, en sus apartados 1 y 4, establece taxativamente la prohibición de fusión de las fundaciones en contra de la voluntad del fundador, ya sea a iniciativa de las propias fundaciones o a requerimiento del protectorado, sin que exista ninguna excepción a esta regla. Es más, el art. 37 del Real Decreto 1337/2005, de 11 noviembre, por el que se aprueba el Reglamento de fundaciones de competencia estatal, establece que queda expresamente prohibida la fusión de fundaciones en contra de la voluntad del fundador. En consecuencia, procede declarar la inconstitucionalidad de esta última norma por exceder de la competencia legislativa de la Comunidad Autónoma de La Rioja.</w:t>
      </w:r>
    </w:p>
    <w:p w:rsidR="0026452D" w:rsidRDefault="0026452D" w:rsidP="0026452D">
      <w:pPr>
        <w:pStyle w:val="TextoNormal"/>
      </w:pPr>
    </w:p>
    <w:p w:rsidR="0026452D" w:rsidRDefault="0026452D" w:rsidP="0026452D">
      <w:pPr>
        <w:pStyle w:val="TextoNormal"/>
      </w:pPr>
      <w:r>
        <w:t>Se concluyó, por todo ello, con la súplica de que se dictara sentencia en la que se declarase la inconstitucionalidad y consiguiente nulidad de los preceptos impugnados.</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5 de junio de 2007, el Pleno acordó admitir a trámite el recurso de inconstitucionalidad y dar traslado de la demanda y documentos presentados al Congreso de los Diputados y al Senado y al Gobierno, así como al Parlamento de La Rioja, al objeto, de que, en el plazo de quince días, pudieran personarse en el proceso y formular las alegaciones estimaren convenientes. Se dispuso, por último, publicar la formalización del recurso en el “Boletín Oficial del Estado” y en el “Boletín Oficial de La Rioja”.</w:t>
      </w:r>
    </w:p>
    <w:p w:rsidR="0026452D" w:rsidRDefault="0026452D" w:rsidP="0026452D">
      <w:pPr>
        <w:pStyle w:val="TextoNormal"/>
      </w:pPr>
    </w:p>
    <w:p w:rsidR="0026452D" w:rsidRDefault="0026452D" w:rsidP="0026452D">
      <w:pPr>
        <w:pStyle w:val="TextoNormal"/>
      </w:pPr>
      <w:r w:rsidRPr="0026452D">
        <w:rPr>
          <w:rStyle w:val="NumeroAFNegritaCaracter"/>
        </w:rPr>
        <w:t>3</w:t>
      </w:r>
      <w:r>
        <w:t>. Mediante escrito registrado el día 22 de junio de 2007, el Presidente del Congreso de los Diputados comunicó al Tribunal el acuerdo de la Mesa de la Cámara de conformidad con el cual, el Congreso de los Diputados se persona en el procedimiento y ofrece su colaboración a los efectos del art. 88.1 de la Ley Orgánica del Tribunal Constitucional (LOTC).</w:t>
      </w:r>
    </w:p>
    <w:p w:rsidR="0026452D" w:rsidRDefault="0026452D" w:rsidP="0026452D">
      <w:pPr>
        <w:pStyle w:val="TextoNormal"/>
      </w:pPr>
    </w:p>
    <w:p w:rsidR="0026452D" w:rsidRDefault="0026452D" w:rsidP="0026452D">
      <w:pPr>
        <w:pStyle w:val="TextoNormal"/>
      </w:pPr>
      <w:r w:rsidRPr="0026452D">
        <w:rPr>
          <w:rStyle w:val="NumeroAFNegritaCaracter"/>
        </w:rPr>
        <w:t>4</w:t>
      </w:r>
      <w:r>
        <w:t>. Por escrito registrado el día 4 de julio de 2007, el Letrado de la Comunidad Autónoma de La Rioja, en representación y defensa de su Consejo de Gobierno, formuló las alegaciones que a continuación se resumen:</w:t>
      </w:r>
    </w:p>
    <w:p w:rsidR="0026452D" w:rsidRDefault="0026452D" w:rsidP="0026452D">
      <w:pPr>
        <w:pStyle w:val="TextoNormal"/>
      </w:pPr>
    </w:p>
    <w:p w:rsidR="0026452D" w:rsidRDefault="0026452D" w:rsidP="0026452D">
      <w:pPr>
        <w:pStyle w:val="TextoNormal"/>
      </w:pPr>
      <w:r>
        <w:t xml:space="preserve">a) Se comenzó por señalar que la competencia de la Comunidad Autónoma de La Rioja para dictar la Ley de fundaciones de La Rioja se ampara en el art. 8.1.34 de su Estatuto de Autonomía, referido a las fundaciones que desarrollen principalmente sus funciones en su ámbito territorial, reconociendo que su ejercicio tiene como límite el respeto de las competencias del Estado en materia de legislación civil (art. 149.1.8 CE), procesal (art. 149.1.6 CE) y de las condiciones básicas que aquél establezca para garantizar la igualdad de todos los españoles en el ejercicio del derecho de fundación (art. 149.1.1 CE). Respecto a esta última competencia estatal, se recuerda que no puede ser entendida como una prohibición de discrepancia autonómica, ni tampoco como un título residual, no sólo porque no se inscribe en la dinámica de las bases-desarrollo, sino porque las condiciones básicas que garantizan la igualdad, por definición, no pueden consistir en un régimen jurídico acabado y completo de los derechos y deberes constitucionales afectados. Según el Letrado del Gobierno autonómico, la regulación de esas condiciones básicas corresponde por entero y en exclusiva al Estado, pero con ella, como es evidente, no se determina ni se agota su entero régimen jurídico. En tal contexto, no debe olvidarse que la “igualdad de todos los españoles” representa el elemento teleológico del título competencial que se considera el único que </w:t>
      </w:r>
      <w:r>
        <w:lastRenderedPageBreak/>
        <w:t>justifica y ampara el ejercicio de la competencia estatal. Teniendo en cuenta estas consideraciones, ha de concluirse que las “condiciones básicas” hacen referencia al contenido primario del derecho (STC 154/1988, de 21 de julio), a las posiciones jurídicas fundamentales (facultades elementales, límites esenciales, deberes fundamentales, prestaciones básicas, ciertas premisas o presupuestos previos). En todo caso, las condiciones básicas han de ser las imprescindibles o necesarias para garantizar esa igualdad, que no puede consistir en una igualdad formal absoluta, pues si por “condiciones básicas” hubiera de entenderse cualquier condición “material”, obligado sería concluir que esa interpretación tan amplia habría de conducir a un solapamiento con otras competencias estatales explicitadas en el art. 149.1 CE o, lo que es peor, a una invasión de las competencias autonómicas.</w:t>
      </w:r>
    </w:p>
    <w:p w:rsidR="0026452D" w:rsidRDefault="0026452D" w:rsidP="0026452D">
      <w:pPr>
        <w:pStyle w:val="TextoNormal"/>
      </w:pPr>
    </w:p>
    <w:p w:rsidR="0026452D" w:rsidRDefault="0026452D" w:rsidP="0026452D">
      <w:pPr>
        <w:pStyle w:val="TextoNormal"/>
      </w:pPr>
      <w:r>
        <w:t xml:space="preserve">b) Por cuanto se refiere a la denuncia de extralimitación en materia de legislación civil </w:t>
      </w:r>
      <w:r w:rsidRPr="0026452D">
        <w:rPr>
          <w:i/>
        </w:rPr>
        <w:t>ex</w:t>
      </w:r>
      <w:r>
        <w:t xml:space="preserve"> art. 149.1.8 CE, subraya el Letrado del Gobierno de La Rioja que el propio Tribunal Constitucional ha hecho hincapié en que “el contorno de los grandes sectores sistemáticos del ordenamiento…no es en modo alguno preciso y la referencia a estos sectores como criterio de delimitación competencial hace depender tal delimitación de la opción que se tome dentro de una polémica doctrinal siempre viva” (SSTC 37/1981, de 16 de noviembre y 341/2005, de 21 de diciembre). En este sentido, manifiesta que la dificultad de acotar el concepto de “legislación civil” origina que la distribución de competencias entre el Estado y las Comunidades Autónomas sea por ello compleja, quedando a merced de las decisiones que en cada supuesto concreto vaya tomando el Tribunal Constitucional, en una labor que califica de “cuasilegislativa”, más que meramente interpretativa.</w:t>
      </w:r>
    </w:p>
    <w:p w:rsidR="0026452D" w:rsidRDefault="0026452D" w:rsidP="0026452D">
      <w:pPr>
        <w:pStyle w:val="TextoNormal"/>
      </w:pPr>
    </w:p>
    <w:p w:rsidR="0026452D" w:rsidRDefault="0026452D" w:rsidP="0026452D">
      <w:pPr>
        <w:pStyle w:val="TextoNormal"/>
      </w:pPr>
      <w:r>
        <w:t>Para el Letrado del Gobierno autonómico, existen tres criterios que deben ser tenidos en consideración a la hora de marcar el ámbito competencial en la legislación civil. En primer término, la existencia de materias que, pertenezcan o no al ámbito estrictamente civil, deben ser exclusivamente legisladas por el Estado (</w:t>
      </w:r>
      <w:r w:rsidRPr="0026452D">
        <w:rPr>
          <w:i/>
        </w:rPr>
        <w:t>v.gr</w:t>
      </w:r>
      <w:r>
        <w:t>., nacionalidad, formas del matrimonio, propiedad intelectual, etc.) o, por el contrario, que, aun siendo civiles, su desarrollo legislativo lo tienen atribuido las Comunidades Autónomas (ordenación del territorio y urbanismo, agricultura, montes, etc.). En segundo lugar, los Estatutos de Autonomía desarrollan y concretan las competencias atribuidas a cada Comunidad Autónoma y, por ello, habrá de estarse a los criterios establecidos en la norma estatutaria antes que a la interpretación de la expresión “legislación civil”, que tendrá un valor subsidiario y residual. De este modo, se defiende que el camino a seguir no es partir de lo dispuesto en el art. 149.1.8 CE y deducir las consecuencias sobre la constitucionalidad del art. 18.1.4 del Estatuto de la Comunidad Autónoma de La Rioja, sino a la inversa: el dato del Estatuto es el que debe orientar sobre lo que es legislación civil. Con cita en la STC 37/1987, de 26 de marzo, se subraya que el empleo en normas autonómicas de ciertas técnicas originariamente civiles, por una concepción académica del derecho civil, no conlleva a que, desde el punto de vista constitucional, exista una vulneración de las competencias estatales sobre legislación civil. Para medir las competencias y delimitar el concepto, hay que atender más a las instituciones que a las técnicas utilizadas para ello.</w:t>
      </w:r>
    </w:p>
    <w:p w:rsidR="0026452D" w:rsidRDefault="0026452D" w:rsidP="0026452D">
      <w:pPr>
        <w:pStyle w:val="TextoNormal"/>
      </w:pPr>
    </w:p>
    <w:p w:rsidR="0026452D" w:rsidRDefault="0026452D" w:rsidP="0026452D">
      <w:pPr>
        <w:pStyle w:val="TextoNormal"/>
      </w:pPr>
      <w:r>
        <w:t xml:space="preserve">Por último, destaca que conviene no pasar por alto que el “bloque de constitucionalidad”, integrado por la propia Constitución y por los Estatutos y demás leyes orgánicas y ordinarias de desarrollo, ha introducido importantes novedades en algunas Comunidades Autónomas </w:t>
      </w:r>
      <w:r>
        <w:lastRenderedPageBreak/>
        <w:t>que, pese a estar regidas por el Código civil, inciden en el derecho civil en virtud del desarrollo normativo que, en ejercicio de sus competencias, han llevado a cabo sobre determinadas materias.</w:t>
      </w:r>
    </w:p>
    <w:p w:rsidR="0026452D" w:rsidRDefault="0026452D" w:rsidP="0026452D">
      <w:pPr>
        <w:pStyle w:val="TextoNormal"/>
      </w:pPr>
    </w:p>
    <w:p w:rsidR="0026452D" w:rsidRDefault="0026452D" w:rsidP="0026452D">
      <w:pPr>
        <w:pStyle w:val="TextoNormal"/>
      </w:pPr>
      <w:r>
        <w:t>c) Tras exponer las anteriores consideraciones generales, pasa a analizar detalladamente los motivos de impugnación que se esgrimen respecto a los apartados 1 y 3 del art. 37 de la Ley de fundaciones de La Rioja.</w:t>
      </w:r>
    </w:p>
    <w:p w:rsidR="0026452D" w:rsidRDefault="0026452D" w:rsidP="0026452D">
      <w:pPr>
        <w:pStyle w:val="TextoNormal"/>
      </w:pPr>
    </w:p>
    <w:p w:rsidR="0026452D" w:rsidRDefault="0026452D" w:rsidP="0026452D">
      <w:pPr>
        <w:pStyle w:val="TextoNormal"/>
      </w:pPr>
      <w:r>
        <w:t xml:space="preserve">A tal efecto, respecto del apartado 3 del art. 37 de la Ley de fundaciones de La Rioja, que permite la fusión de las fundaciones pese a la expresa prohibición del fundador, advierte que, en realidad, lo que pretende el precepto es promover la fusión cuando sea la única manera de evitar su liquidación. Según afirma, carece de toda justificación razonable, y es contrario al interés general, admitir la extinción de la fundación como única solución legal cuando la fusión puede ser el remedio que permita rescatarla y convertirla en útil para la sociedad. Aunque reconoce que el de fundación es un derecho de libertad, cuyo fundamento reside en la autonomía de la voluntad que se vincula a la afectación de un patrimonio y a la atención de unos fines también decididos por el fundador, a su juicio, sin embargo, tal voluntad no puede tener la prevalencia absoluta que se le quiere atribuir por el Abogado del Estado. De hecho, la Ley estatal 50/2002, de 26 de diciembre de fundaciones está inspirada por el principio de la prevalencia del interés general sobre la voluntad del fundador en caso de conflicto. Más bien, por el contrario, la normativa estatal refuerza la idea de que la obra del fundador trasciende a su creador y que, una vez constituida la fundación, ésta se debe más a los intereses generales a los que sirve que a la voluntad de quien la constituyó. Así las cosas, no siendo la citada prevalencia un principio que se deduzca necesariamente de la regulación estatal relativa al derecho de fundación, nada impide que la Comunidad Autónoma de La Rioja no respete la voluntad del fundador contraria a la fusión, si con ello garantiza la pervivencia de la fundación y evita su liquidación, haciendo primar el interés general. Así las cosas, en la medida en que la Comunidad Autónoma de La Rioja tiene competencia exclusiva, </w:t>
      </w:r>
      <w:r w:rsidRPr="0026452D">
        <w:rPr>
          <w:i/>
        </w:rPr>
        <w:t>ex</w:t>
      </w:r>
      <w:r>
        <w:t xml:space="preserve"> art. 8.1.34 de su Estatuto de Autonomía, para establecer el régimen jurídico de las fundaciones que desarrollen principalmente sus funciones en su ámbito territorial, está facultada para establecer esta excepción a la voluntad del fundador del art. 37.3 de la Ley de fundaciones, dirigida a la consecución del interés general, y no contradice, en un correcto entendimiento, las condiciones básicas del ejercicio del derecho establecidas en la legislación del Estado (art. 53.1 CE).</w:t>
      </w:r>
    </w:p>
    <w:p w:rsidR="0026452D" w:rsidRDefault="0026452D" w:rsidP="0026452D">
      <w:pPr>
        <w:pStyle w:val="TextoNormal"/>
      </w:pPr>
    </w:p>
    <w:p w:rsidR="0026452D" w:rsidRDefault="0026452D" w:rsidP="0026452D">
      <w:pPr>
        <w:pStyle w:val="TextoNormal"/>
      </w:pPr>
      <w:r>
        <w:t>Respecto a la alegada violación del art. 149.1.8 CE, entiende el Letrado del Gobierno de la Rioja que no sólo el Estado no ha impugnado otras leyes autonómicas sobre fundaciones, sino que, además, la competencia en dicha materia contenida en el art. 8.1.34 del Estatuto de Autonomía, faculta a la Comunidad para regular algunos aspectos tangenciales de la fusión de fundaciones, sin atentar con ello a la competencia estatal sobre legislación civil. Por tanto, aun cuando sea cierto que el régimen jurídico de la fusión de las fundaciones está establecido en el art. 30, apartados 1, 3 y 4 de la Ley 50/2002, de 26 de diciembre, para todas las fundaciones, sean o no de competencia autonómica (disposición final primera), y aunque es verdad, asimismo, que ese régimen jurídico ha sido establecido por el Estado en ejercicio de su competencia exclusiva en materia de “legislación civil”, también lo es que la competencia autonómica sobre fundaciones prevista en el Estatuto de Autonomía, faculta a la Comunidad Autónoma de La Rioja para incidir en dicha regulación, siquiera sea tangencialmente, sin violentar por ello la competencia exclusiva del Estado.</w:t>
      </w:r>
    </w:p>
    <w:p w:rsidR="0026452D" w:rsidRDefault="0026452D" w:rsidP="0026452D">
      <w:pPr>
        <w:pStyle w:val="TextoNormal"/>
      </w:pPr>
    </w:p>
    <w:p w:rsidR="0026452D" w:rsidRDefault="0026452D" w:rsidP="0026452D">
      <w:pPr>
        <w:pStyle w:val="TextoNormal"/>
      </w:pPr>
      <w:r>
        <w:t xml:space="preserve">d) Por lo que atañe a la impugnación del apartado 1 del art. 37 de la Ley de fundaciones de La Rioja, por haber establecido como límite a la fusión entre fundaciones que tengan “fines análogos”, requisito que, sin embargo, no impone la ley estatal, el representante del Gobierno de La Rioja da por reproducidos los argumentos esgrimidos respecto al apartado 3 del mismo artículo, ya que entiende que en este caso la competencia autonómica </w:t>
      </w:r>
      <w:r w:rsidRPr="0026452D">
        <w:rPr>
          <w:i/>
        </w:rPr>
        <w:t>ex</w:t>
      </w:r>
      <w:r>
        <w:t xml:space="preserve"> art. 8.1.34 del Estatuto faculta al legislador autonómico para establecer la exigencia citada, sin que tampoco en este caso se invada la competencia estatal en materia de legislación civil del art. 149.1.8 CE. Al establecer el citado requisito, la Ley autonómica no incide de lleno en el régimen jurídico de la fusión, de aplicación general a todas las fundaciones (art. 30, apartados 1, 3 y 4 de la Ley de fundaciones), sino que incorpora una exigencia que está en la propia ley estatal (art. 30.4 de la Ley de fundaciones).</w:t>
      </w:r>
    </w:p>
    <w:p w:rsidR="0026452D" w:rsidRDefault="0026452D" w:rsidP="0026452D">
      <w:pPr>
        <w:pStyle w:val="TextoNormal"/>
      </w:pPr>
    </w:p>
    <w:p w:rsidR="0026452D" w:rsidRDefault="0026452D" w:rsidP="0026452D">
      <w:pPr>
        <w:pStyle w:val="TextoNormal"/>
      </w:pPr>
      <w:r>
        <w:t>De todo lo expuesto, se concluye que no ha lugar a declarar la inconstitucionalidad y nulidad de los apartados 1 y 3 del art. 37 de la Ley de fundaciones de La Rioja, y que procede, por ello, desestimar íntegramente el presente recurso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el día 17 de julio de 2007, el Presidente del Senado rogó se tuviera la Cámara por personada y por ofrecida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23 de abril de 2013, se señaló para deliberación y votación de la presente Sentencia el día 23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dirige contra contra los apartados 1 y 3 del art. 37 de la Ley 1/2007, de 12 de febrero, de fundaciones de la Comunidad Autónoma de La Rioja.</w:t>
      </w:r>
    </w:p>
    <w:p w:rsidR="0026452D" w:rsidRDefault="0026452D" w:rsidP="0026452D">
      <w:pPr>
        <w:pStyle w:val="TextoNormal"/>
      </w:pPr>
    </w:p>
    <w:p w:rsidR="0026452D" w:rsidRDefault="0026452D" w:rsidP="0026452D">
      <w:pPr>
        <w:pStyle w:val="TextoNormal"/>
      </w:pPr>
      <w:r>
        <w:t xml:space="preserve">Las razones en las que el Gobierno de la Nación fundamenta la impugnación se constriñen, resumidamente, a que el contenido de los dos apartados de la norma recurrida, relativos a determinados aspectos de la fusión de fundaciones, excede de la competencia autonómica sobre la materia y vulnera la competencia exclusiva del Estado en materia de legislación civil </w:t>
      </w:r>
      <w:r w:rsidRPr="0026452D">
        <w:rPr>
          <w:i/>
        </w:rPr>
        <w:t>ex</w:t>
      </w:r>
      <w:r>
        <w:t xml:space="preserve"> art. 149.1.8 CE. En concreto, se afirma que para que opere la fusión de fundaciones, el apartado 1 del art. 37 de la Ley de fundaciones de La Rioja impone la exigencia de la analogía de los fines de las que pretenden fusionarse, requisito éste que no figura en la Ley estatal 50/2002, de 26 de diciembre, de fundaciones. En segundo lugar, se alega que el apartado 3 del art. 37 de la Ley de fundaciones de La Rioja permite la fusión aún en contra de la voluntad del fundador, en tanto que la legislación estatal lo prohíbe (art. 30.4 de la Ley de fundaciones).</w:t>
      </w:r>
    </w:p>
    <w:p w:rsidR="0026452D" w:rsidRDefault="0026452D" w:rsidP="0026452D">
      <w:pPr>
        <w:pStyle w:val="TextoNormal"/>
      </w:pPr>
    </w:p>
    <w:p w:rsidR="0026452D" w:rsidRDefault="0026452D" w:rsidP="0026452D">
      <w:pPr>
        <w:pStyle w:val="TextoNormal"/>
      </w:pPr>
      <w:r>
        <w:t xml:space="preserve">El escrito de interposición del recurso, con cita de la doctrina contenida en la STC 341/2005, de 21 de diciembre, considera que el legislador autonómico, aun estando legitimado para establecer el régimen de las fundaciones que desarrollen principalmente sus funciones en la Comunidad Autónoma, ha de respetar las competencias del Estado en materia de legislación civil y además observar las condiciones básicas del ejercicio del derecho de </w:t>
      </w:r>
      <w:r>
        <w:lastRenderedPageBreak/>
        <w:t xml:space="preserve">fundación establecidas por el Estado </w:t>
      </w:r>
      <w:r w:rsidRPr="0026452D">
        <w:rPr>
          <w:i/>
        </w:rPr>
        <w:t>ex</w:t>
      </w:r>
      <w:r>
        <w:t xml:space="preserve"> art. 149.1.1 CE. En tal sentido, el Abogado del Estado alega que el impugnado apartado 3 del art. 37 de la Ley de fundaciones de La Rioja ha vulnerado el contenido básico del derecho de fundación previsto en el art. 34 CE, en el que se incluiría el pleno respeto a la voluntad del fundador, como elemento esencial y sustantivo del instituto fundacional, que queda desnaturalizado al permitirse la fusión de la fundación contra de la prohibición del fundador.</w:t>
      </w:r>
    </w:p>
    <w:p w:rsidR="0026452D" w:rsidRDefault="0026452D" w:rsidP="0026452D">
      <w:pPr>
        <w:pStyle w:val="TextoNormal"/>
      </w:pPr>
    </w:p>
    <w:p w:rsidR="0026452D" w:rsidRDefault="0026452D" w:rsidP="0026452D">
      <w:pPr>
        <w:pStyle w:val="TextoNormal"/>
      </w:pPr>
      <w:r>
        <w:t xml:space="preserve">De otro lado, se predica la contradicción de los dos preceptos cuestionados con las propias reglas de reparto de competencias entre el Estado y las Comunidades Autónomas. A juicio de la parte recurrente, el encuadramiento competencial de la materia concernida, que se ciñe al establecimiento de los límites y requisitos para la fusión de fundaciones, corresponde claramente en ambos casos a la legislación civil y así se establece en la disposición final primera de la Ley de fundaciones. La competencia estatal en materia civil </w:t>
      </w:r>
      <w:r w:rsidRPr="0026452D">
        <w:rPr>
          <w:i/>
        </w:rPr>
        <w:t>ex</w:t>
      </w:r>
      <w:r>
        <w:t xml:space="preserve"> art. 149.1.8 CE es exclusiva respecto de aquellas Comunidades Autónomas que, como en el caso de La Rioja, carecen de un Derecho civil foral o especial que pueda ser objeto de modificación, conservación o desarrollo, por lo que dicha Comunidad Autónoma no puede establecer una regulación propia sobres los aspectos civiles de las fundaciones.</w:t>
      </w:r>
    </w:p>
    <w:p w:rsidR="0026452D" w:rsidRDefault="0026452D" w:rsidP="0026452D">
      <w:pPr>
        <w:pStyle w:val="TextoNormal"/>
      </w:pPr>
    </w:p>
    <w:p w:rsidR="0026452D" w:rsidRDefault="0026452D" w:rsidP="0026452D">
      <w:pPr>
        <w:pStyle w:val="TextoNormal"/>
      </w:pPr>
      <w:r>
        <w:t>Por su parte, el Letrado de la Comunidad Autónoma de La Rioja estima que no puede imputarse ninguna vulneración constitucional a los preceptos impugnados, pues no ha existido invasión de la competencia estatal en materia de legislación civil, al haberse legislado aspectos tangenciales sobre la fusión de fundaciones y haberlo hecho con apoyo en la competencia asumida estatutariamente [art. 18.1.4 del Estatuto de Autonomía de La Rioja (EAR)]. A ello añade que la Ley autonómica de fundaciones respeta escrupulosamente las bases establecidas en la legislación estatal vigente.</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entrar en el examen del fondo de las cuestiones planteadas en este recurso de inconstitucionalidad, y dado que los fundamentos esgrimidos por las partes se sustentan en buena medida en nuestros anteriores pronunciamientos en materia de fundaciones (especialmente en la STC 341/2005, de 21 de diciembre), debe realizarse una breve síntesis de lo que en ellos hemos afirmado. Así, en primer término, por lo que atañe al orden constitucional y estatutario de distribución de competencias sobre fundaciones, hemos subrayado (STC 341/2005), que el reconocimiento, por el art. 34 CE, del derecho de fundación para fines de interés general, con arreglo a la ley, “incluye una llamada al desarrollo legislativo, que ha de realizarse en los términos fijados en el art. 53.1 del mismo texto constitucional, y en el que al Estado compete ex art. 149.1.1 CE regular las condiciones básicas que garanticen la igualdad de todos los españoles en su ejercicio. Por otra parte, otros títulos competenciales del Estado —en los términos en que los consagra la propia Constitución— le habilitan igualmente para disciplinar el régimen jurídico de las fundaciones en los aspectos civiles y procesales (art. 149.1, números 8 y 6 CE), así como a estimular la participación de la iniciativa privada en la realización de actividades de interés general, mediante medidas fiscales que le corresponde establecer, de conformidad con el art. 149.1.14 CE” (FJ 2).</w:t>
      </w:r>
    </w:p>
    <w:p w:rsidR="0026452D" w:rsidRDefault="0026452D" w:rsidP="0026452D">
      <w:pPr>
        <w:pStyle w:val="TextoNormal"/>
      </w:pPr>
    </w:p>
    <w:p w:rsidR="0026452D" w:rsidRDefault="0026452D" w:rsidP="0026452D">
      <w:pPr>
        <w:pStyle w:val="TextoNormal"/>
      </w:pPr>
      <w:r>
        <w:t xml:space="preserve">También, en la citada sentencia, hemos advertido que el régimen jurídico sustantivo de los entes fundacionales se contiene en la Ley 50/2002, de 26 de diciembre, de fundaciones y que “son las disposiciones de esta última Ley las que habremos de tener presentes al llevar a cabo la ‘labor de cotejo y contraste’ entre los preceptos autonómicos impugnados y las normas estatales sobre la materia [SSTC 47/2004, de 25 de marzo, FJ 7, y 243/2004, de 16 </w:t>
      </w:r>
      <w:r>
        <w:lastRenderedPageBreak/>
        <w:t>de diciembre, FJ 6 a)], que puede resultar necesaria al abordar la vertiente competencial del presente recurso” (FJ 3).</w:t>
      </w:r>
    </w:p>
    <w:p w:rsidR="0026452D" w:rsidRDefault="0026452D" w:rsidP="0026452D">
      <w:pPr>
        <w:pStyle w:val="TextoNormal"/>
      </w:pPr>
    </w:p>
    <w:p w:rsidR="0026452D" w:rsidRDefault="0026452D" w:rsidP="0026452D">
      <w:pPr>
        <w:pStyle w:val="TextoNormal"/>
      </w:pPr>
      <w:r>
        <w:t>Es importante destacar que, respecto al significado y alcance que reviste el reconocimiento del derecho de fundación, hemos declarado (STC 341/2005), que el art. 34 CE “se refiere sin duda al concepto de fundación admitido de forma generalizada entre los juristas y que considera la fundación como la persona jurídica constituida por una masa de bienes vinculados por el fundador o fundadores a un fin de interés general. La fundación nace, por tanto, de un acto de disposición de bienes que realiza el fundador, quien los vincula a un fin por él determinado y establece las reglas por las que han de administrarse al objeto de que sirvan para cumplir los fines deseados de manera permanente o, al menos, duradera. Tanto la manifestación de voluntad como la organización han de cumplir los requisitos que marquen las leyes, las cuales prevén, además, un tipo de acción administrativa (el protectorado) para asegurar el cumplimiento de los fines de la fundación y la recta administración de los bienes que la forman ... como afirmación general pocas dudas puede haber de que ese es el concepto de fundación a que se refiere el art. 34 de la Constitución. Obsérvese también que el reconocimiento del derecho de fundación figura en el Texto constitucional inmediatamente después del artículo que recoge el derecho a la propiedad y a la herencia (art. 33). Ello permite entender que aquel derecho es una manifestación más de la autonomía de la voluntad respecto a los bienes, por cuya virtud una persona puede disponer de su patrimonio libremente, dentro de los límites y con las condiciones legalmente establecidas, incluso creando una persona jurídica para asegurar los fines deseados … Del rasgo básico que supone el que las fundaciones tengan un fin de interés general se deriva la exigencia de la intervención administrativa” (FJ 4).</w:t>
      </w:r>
    </w:p>
    <w:p w:rsidR="0026452D" w:rsidRDefault="0026452D" w:rsidP="0026452D">
      <w:pPr>
        <w:pStyle w:val="TextoNormal"/>
      </w:pPr>
    </w:p>
    <w:p w:rsidR="0026452D" w:rsidRDefault="0026452D" w:rsidP="0026452D">
      <w:pPr>
        <w:pStyle w:val="TextoNormal"/>
      </w:pPr>
      <w:r>
        <w:t>De todo lo anterior, se deduce que el “análisis armónico del bloque de constitucionalidad anteriormente descrito pone de manifiesto que tal llamamiento se dirige tanto al legislador estatal como a los legisladores autonómicos. Así, será el legislador autonómico el habilitado para ejercer la amplia libertad de configuración que el texto constitucional le confiere cuando se trate de fundaciones que realicen su actividad principalmente en el territorio de la Comunidad Autónoma, mientras que lo será el estatal en los supuestos no cubiertos por las aludidas previsiones estatutarias. En todo caso, al establecer el régimen jurídico de esos entes fundacionales es evidente que la regulación autonómica habrá de respetar las competencias del Estado en las materias de legislación civil y procesal (art. 149.1.8 y 6 CE, respectivamente), sin olvidar que el art. 149.1.1 CE atribuye al Estado la competencia exclusiva para establecer ‘las condiciones básicas que garanticen la igualdad de todos los españoles en el ejercicio de los derechos … constitucionales’, competencia que habilita al Estado para dictar normas que permitan disfrutar en condiciones de igualdad del derecho de fundación” (FJ 4).</w:t>
      </w:r>
    </w:p>
    <w:p w:rsidR="0026452D" w:rsidRDefault="0026452D" w:rsidP="0026452D">
      <w:pPr>
        <w:pStyle w:val="TextoNormal"/>
      </w:pPr>
    </w:p>
    <w:p w:rsidR="0026452D" w:rsidRDefault="0026452D" w:rsidP="0026452D">
      <w:pPr>
        <w:pStyle w:val="TextoNormal"/>
      </w:pPr>
      <w:r w:rsidRPr="0026452D">
        <w:rPr>
          <w:rStyle w:val="NumeroAFNegritaCaracter"/>
        </w:rPr>
        <w:t>3</w:t>
      </w:r>
      <w:r>
        <w:t>. Tras el anterior repaso a nuestra doctrina constitucional, procede analizar la constitucionalidad de los apartados 1 y 3 del art. 37 de la Ley de fundaciones de La Rioja, impugnados por el representante del Gobierno de la Nación.</w:t>
      </w:r>
    </w:p>
    <w:p w:rsidR="0026452D" w:rsidRDefault="0026452D" w:rsidP="0026452D">
      <w:pPr>
        <w:pStyle w:val="TextoNormal"/>
      </w:pPr>
    </w:p>
    <w:p w:rsidR="0026452D" w:rsidRDefault="0026452D" w:rsidP="0026452D">
      <w:pPr>
        <w:pStyle w:val="TextoNormal"/>
      </w:pPr>
      <w:r>
        <w:t>Para un mejor encuadramiento competencial de las normas impugnadas, relativas a la rúbrica “Fusión”, se reproduce el texto de los apartados 1 y 3 del art. 37 de la Ley de fundaciones de La Rioja:</w:t>
      </w:r>
    </w:p>
    <w:p w:rsidR="0026452D" w:rsidRDefault="0026452D" w:rsidP="0026452D">
      <w:pPr>
        <w:pStyle w:val="TextoNormal"/>
      </w:pPr>
    </w:p>
    <w:p w:rsidR="0026452D" w:rsidRDefault="0026452D" w:rsidP="0026452D">
      <w:pPr>
        <w:pStyle w:val="TextoNormal"/>
      </w:pPr>
      <w:r>
        <w:lastRenderedPageBreak/>
        <w:t>“1. Las fundaciones con fines análogos y siempre que no lo haya prohibido el fundador podrán fusionarse, previo acuerdo de los respectivos patronatos. Los acuerdos de fusión deberán comunicarse al Protectorado, acompañando memoria acreditativa de las circunstancias que aconsejan la fusión frente a otras posibles alternativas, e informando de las condiciones convenidas con las fundaciones afectadas.”</w:t>
      </w:r>
    </w:p>
    <w:p w:rsidR="0026452D" w:rsidRDefault="0026452D" w:rsidP="0026452D">
      <w:pPr>
        <w:pStyle w:val="TextoNormal"/>
      </w:pPr>
    </w:p>
    <w:p w:rsidR="0026452D" w:rsidRDefault="0026452D" w:rsidP="0026452D">
      <w:pPr>
        <w:pStyle w:val="TextoNormal"/>
      </w:pPr>
      <w:r>
        <w:t>“3. Si por el fundador se hubiere prohibido la posibilidad de acordar la fusión de la fundación, ésta sólo podrá acordarse cuando sea la única manera de evitar la liquidación de dicha fundación y previa autorización del Protectorado.”</w:t>
      </w:r>
    </w:p>
    <w:p w:rsidR="0026452D" w:rsidRDefault="0026452D" w:rsidP="0026452D">
      <w:pPr>
        <w:pStyle w:val="TextoNormal"/>
      </w:pPr>
    </w:p>
    <w:p w:rsidR="0026452D" w:rsidRDefault="0026452D" w:rsidP="0026452D">
      <w:pPr>
        <w:pStyle w:val="TextoNormal"/>
      </w:pPr>
      <w:r>
        <w:t>Los apartados 1 y 3 del art 37 de la Ley de fundaciones de La Rioja regulan la fusión de fundaciones. Sin embargo, divergen de lo dispuesto en la Ley de fundaciones, en primer lugar, al añadir como requisito que las fundaciones tengan fines análogos, no exigido por la ley estatal para que pueda tener lugar la fusión por acuerdo de los patronatos y, en segundo lugar, permitir la fusión aun existiendo prohibición del fundador.</w:t>
      </w:r>
    </w:p>
    <w:p w:rsidR="0026452D" w:rsidRDefault="0026452D" w:rsidP="0026452D">
      <w:pPr>
        <w:pStyle w:val="TextoNormal"/>
      </w:pPr>
    </w:p>
    <w:p w:rsidR="0026452D" w:rsidRDefault="0026452D" w:rsidP="0026452D">
      <w:pPr>
        <w:pStyle w:val="TextoNormal"/>
      </w:pPr>
      <w:r>
        <w:t>Dicho lo anterior, y en aras a su correcto encuadramiento competencial, hemos de recordar que ni el art. 148 ni el 149 CE contienen referencia expresa a las fundaciones. Sin embargo, ello no implica que del hecho de que los Estatutos de Autonomía hayan asumido, en favor de la respectiva Comunidad Autónoma, competencias exclusivas en materia de fundaciones, se pueda extraer la consecuencia de que alcancen a su entero régimen jurídico. La razón es clara: la competencia autonómica concurre con títulos competenciales exclusivos del Estado que inciden de forma directa sobre este tipo de persona jurídica. Concretamente en el supuesto planteado en este recurso, hemos de afirmar que al ser la fundación un derecho reconocido en el art. 34 CE, corresponde al Estado la regulación de las condiciones básicas que garanticen la igualdad de todos los fundadores en su ejercicio (art. 149.1.1 CE). Y lo mismo sucede con el establecimiento de las normas que en materia de fundaciones versen sobre sus aspectos civiles, porque la competencia legislativa corresponde al Estado, salvo que la Comunidad Autónoma tenga derecho civil propio en esta materia (art. 149.1.8 CE). En consecuencia, cabe afirmar, desde este momento, que la asunción estatutaria por la Comunidad Autónoma de La Rioja de competencia exclusiva en materia de fundaciones, no puede evitar su falta de competencia sobre legislación civil (STC 341/2005, de 21 de diciembre).</w:t>
      </w:r>
    </w:p>
    <w:p w:rsidR="0026452D" w:rsidRDefault="0026452D" w:rsidP="0026452D">
      <w:pPr>
        <w:pStyle w:val="TextoNormal"/>
      </w:pPr>
    </w:p>
    <w:p w:rsidR="0026452D" w:rsidRDefault="0026452D" w:rsidP="0026452D">
      <w:pPr>
        <w:pStyle w:val="TextoNormal"/>
      </w:pPr>
      <w:r>
        <w:t xml:space="preserve">Llegados a este punto, resulta imprescindible determinar si las normas sobre la fusión de fundaciones poseen o no naturaleza civil para, en caso de que así sea, negar a la Comunidad Autónoma de La Rioja la competencia legislativa </w:t>
      </w:r>
      <w:r w:rsidRPr="0026452D">
        <w:rPr>
          <w:i/>
        </w:rPr>
        <w:t>ex</w:t>
      </w:r>
      <w:r>
        <w:t xml:space="preserve"> art. 149.1.8 CE, ya que carece de Derecho civil propio. Este Tribunal ha reiterado en las Sentencias que se han citado en el fundamento jurídico 2, que la fundación de carácter jurídico privado tiene su origen en un acto de la autonomía de la voluntad, y si bien la actuación de la administración pública en la vida de la misma es notoria e imprescindible, en ningún caso puede llevarnos a situar su entero régimen jurídico en la órbita del derecho público y específicamente del derecho administrativo. El derecho de fundación se regula inmediatamente después del derecho a la propiedad privada y del derecho a la herencia (art. 33 CE), ambas instituciones marcadamente de naturaleza jurídico privada. En síntesis, por lo tanto, cabe decir que el contexto constitucional en el que se inserta el derecho de fundación (art. 34 CE), refuerza uno de sus rasgos identificativos que es el de ser una manifestación de la autonomía de la voluntad del sujeto respecto del destino de sus bienes, a través de la constitución de un especial tipo de persona </w:t>
      </w:r>
      <w:r>
        <w:lastRenderedPageBreak/>
        <w:t>jurídica que garantice el cumplimiento de los fines deseados (STC 49/1988, de 22 de marzo, FJ 5).</w:t>
      </w:r>
    </w:p>
    <w:p w:rsidR="0026452D" w:rsidRDefault="0026452D" w:rsidP="0026452D">
      <w:pPr>
        <w:pStyle w:val="TextoNormal"/>
      </w:pPr>
    </w:p>
    <w:p w:rsidR="0026452D" w:rsidRDefault="0026452D" w:rsidP="0026452D">
      <w:pPr>
        <w:pStyle w:val="TextoNormal"/>
      </w:pPr>
      <w:r>
        <w:t>Es cierto, como argumenta el Letrado del Gobierno de La Rioja, que las fundaciones de carácter privado están sometidas, en algunos aspectos, a normas de Derecho público, pero ello no las convierte en una institución de Derecho público, tal como se deduce de los arts. 35 y siguientes del Código civil y de la Ley 50/2002, de 26 de diciembre, de fundaciones, especialmente de sus arts. 7 a 13 y 18 a 32, normas, todas ellas, que inciden en la esencia misma de la institución fundacional como vehículo de expresión de la voluntad del sujeto de vincular todo o parte de su patrimonio privativo a un fin de interés general. La fundación nace de un acto de disposición de bienes que realiza el fundador, quien los vincula a un fin por él determinado y establece las reglas por las que han de administrarse al objeto de que sirvan para cumplir los fines deseados de manera permanente o, al menos, duradera. Tanto la manifestación de voluntad como la organización han de cumplir los requisitos que marquen las leyes, las cuales prevén, además, un tipo de acción administrativa (el protectorado) para asegurar el cumplimiento de los fines de la fundación y la recta administración de los bienes que la forman (STC 49/1988, de 22 de marzo, FJ 5).</w:t>
      </w:r>
    </w:p>
    <w:p w:rsidR="0026452D" w:rsidRDefault="0026452D" w:rsidP="0026452D">
      <w:pPr>
        <w:pStyle w:val="TextoNormal"/>
      </w:pPr>
    </w:p>
    <w:p w:rsidR="0026452D" w:rsidRDefault="0026452D" w:rsidP="0026452D">
      <w:pPr>
        <w:pStyle w:val="TextoNormal"/>
      </w:pPr>
      <w:r>
        <w:t>Sentado lo anterior, ya se habrá deducido que el problema constitucional que la regulación de la fusión de las fundaciones plantea es que —como no podía ser de otro modo, atendiendo a la finalidad que persigue— dicho efecto se inserta de lleno en el ámbito de la autonomía privada expresada por el fundador, teniendo, por tanto, una naturaleza propia de la materia regulada por el Derecho civil. El aludido carácter civil de la regulación que examinamos se ratifica si se tiene en cuenta que las previsiones de los preceptos impugnados no son sino variaciones de las reglas equivalentes contenidas en la Ley estatal de fundaciones que, como hemos visto, reconoce su pertenencia a la disciplina civil.</w:t>
      </w:r>
    </w:p>
    <w:p w:rsidR="0026452D" w:rsidRDefault="0026452D" w:rsidP="0026452D">
      <w:pPr>
        <w:pStyle w:val="TextoNormal"/>
      </w:pPr>
    </w:p>
    <w:p w:rsidR="0026452D" w:rsidRDefault="0026452D" w:rsidP="0026452D">
      <w:pPr>
        <w:pStyle w:val="TextoNormal"/>
      </w:pPr>
      <w:r>
        <w:t>Por los razonamientos expuestos, las consecuencias del examen de esta regulación desde la perspectiva del orden constitucional de distribución de competencias son claras. En materia de Derecho civil, el Estado ostenta, conforme al art. 149.1.8 CE, la competencia exclusiva, “sin perjuicio de la conservación, modificación o desarrollo por las Comunidades Autónomas de los derechos civiles, forales o especiales, allí donde existan”. Esta última circunstancia, la previa existencia de un Derecho civil foral o especial, no concurre en el caso de la Comunidad de La Rioja, cuyo Estatuto de Autonomía no recoge mención alguna a competencias autonómicas en este ámbito.</w:t>
      </w:r>
    </w:p>
    <w:p w:rsidR="0026452D" w:rsidRDefault="0026452D" w:rsidP="0026452D">
      <w:pPr>
        <w:pStyle w:val="TextoNormal"/>
      </w:pPr>
    </w:p>
    <w:p w:rsidR="0026452D" w:rsidRDefault="0026452D" w:rsidP="0026452D">
      <w:pPr>
        <w:pStyle w:val="TextoNormal"/>
      </w:pPr>
      <w:r w:rsidRPr="0026452D">
        <w:rPr>
          <w:rStyle w:val="NumeroAFNegritaCaracter"/>
        </w:rPr>
        <w:t>4</w:t>
      </w:r>
      <w:r>
        <w:t>. Con lo expuesto hasta ahora bastaría para declarar la inconstitucionalidad de las normas impugnadas. Sin embargo, y aunque sea a mayor abundamiento, hemos de recordar que, en este caso concreto, la Comunidad Autónoma de La Rioja no sólo se ha limitado a reproducir las normas estatales sobre fundaciones, lo que en cualquier caso conduciría igualmente a declarar su inconstitucionalidad, pues habrían sido dictadas sin ostentar la necesaria competencia legislativa, sino que, confrontando las citadas normas estatales sobre la fusión de fundaciones con los apartados 1 y 3 del art. 37 de la Ley de fundaciones de La Rioja, se llega sin especial esfuerzo a la conclusión de que, además, éstas últimas vulneran los principios básicos sobre los que se asienta la normativa estatal.</w:t>
      </w:r>
    </w:p>
    <w:p w:rsidR="0026452D" w:rsidRDefault="0026452D" w:rsidP="0026452D">
      <w:pPr>
        <w:pStyle w:val="TextoNormal"/>
      </w:pPr>
    </w:p>
    <w:p w:rsidR="0026452D" w:rsidRDefault="0026452D" w:rsidP="0026452D">
      <w:pPr>
        <w:pStyle w:val="TextoNormal"/>
      </w:pPr>
      <w:r>
        <w:t>En este sentido, recordemos que el tenor de los apartados 1, 2 y 4 del art. 30 de la Ley de fundaciones, regulador de la fusión de fundaciones, es el siguiente:</w:t>
      </w:r>
    </w:p>
    <w:p w:rsidR="0026452D" w:rsidRDefault="0026452D" w:rsidP="0026452D">
      <w:pPr>
        <w:pStyle w:val="TextoNormal"/>
      </w:pPr>
    </w:p>
    <w:p w:rsidR="0026452D" w:rsidRDefault="0026452D" w:rsidP="0026452D">
      <w:pPr>
        <w:pStyle w:val="TextoNormal"/>
      </w:pPr>
      <w:r>
        <w:t>“1. Las fundaciones, siempre que no lo haya prohibido el fundador, podrán fusionarse previo acuerdo de los respectivos Patronatos, que se comunicará al Protectorado.”</w:t>
      </w:r>
    </w:p>
    <w:p w:rsidR="0026452D" w:rsidRDefault="0026452D" w:rsidP="0026452D">
      <w:pPr>
        <w:pStyle w:val="TextoNormal"/>
      </w:pPr>
    </w:p>
    <w:p w:rsidR="0026452D" w:rsidRDefault="0026452D" w:rsidP="0026452D">
      <w:pPr>
        <w:pStyle w:val="TextoNormal"/>
      </w:pPr>
      <w:r>
        <w:t>“2. La fusión requerirá el otorgamiento de escritura pública y la inscripción en el correspondiente Registro de Fundaciones.”</w:t>
      </w:r>
    </w:p>
    <w:p w:rsidR="0026452D" w:rsidRDefault="0026452D" w:rsidP="0026452D">
      <w:pPr>
        <w:pStyle w:val="TextoNormal"/>
      </w:pPr>
    </w:p>
    <w:p w:rsidR="0026452D" w:rsidRDefault="0026452D" w:rsidP="0026452D">
      <w:pPr>
        <w:pStyle w:val="TextoNormal"/>
      </w:pPr>
      <w:r>
        <w:t>“4. Cuando una fundación resulte incapaz de alcanzar sus fines, el Protectorado podrá requerirla para que se fusione con otra de análogos fines que haya manifestado ante el Protectorado su voluntad favorable a dicha fusión, siempre que el fundador no lo hubiera prohibido. Frente a la oposición de aquélla, el Protectorado podrá solicitar de la autoridad judicial que ordene la referida fusión.”</w:t>
      </w:r>
    </w:p>
    <w:p w:rsidR="0026452D" w:rsidRDefault="0026452D" w:rsidP="0026452D">
      <w:pPr>
        <w:pStyle w:val="TextoNormal"/>
      </w:pPr>
    </w:p>
    <w:p w:rsidR="0026452D" w:rsidRDefault="0026452D" w:rsidP="0026452D">
      <w:pPr>
        <w:pStyle w:val="TextoNormal"/>
      </w:pPr>
      <w:r>
        <w:t>En lo que concierne al apartado 1 del art. 37 de la Ley de fundaciones de La Rioja que exige que las fundaciones que vayan a fusionarse, por acuerdo de sus respectivos patronatos, cuenten con “fines análogos”, se observa que la Ley de fundaciones no lo requiere, sino que, para la fusión basta con que no lo haya prohibido el fundador. La norma estatal sólo contempla este requisito en el caso de que, dada la incapacidad de alcanzar los fines fundacionales, la fusión sea requerida por el protectorado porque exista otra fundación “de análogos fines” que le haya manifestado su voluntad favorable a dicha fusión y siempre, además, que el fundador no lo hubiera prohibido (art. 30.4 de la Ley de fundaciones).</w:t>
      </w:r>
    </w:p>
    <w:p w:rsidR="0026452D" w:rsidRDefault="0026452D" w:rsidP="0026452D">
      <w:pPr>
        <w:pStyle w:val="TextoNormal"/>
      </w:pPr>
    </w:p>
    <w:p w:rsidR="0026452D" w:rsidRDefault="0026452D" w:rsidP="0026452D">
      <w:pPr>
        <w:pStyle w:val="TextoNormal"/>
      </w:pPr>
      <w:r>
        <w:t>Se observa, pues, una significativa divergencia entre la legislación estatal y la autonómica, toda vez que la primera no exige que para que pueda producirse la fusión entre fundaciones, exista analogía de los fines que persigan las que pretenden fusionarse, cuando existe acuerdo de los respectivos patronatos. Por ello, y dado que dicha Comunidad Autónoma carece de competencia para establecer una regulación propia sobre un aspecto fundacional que forma parte de la legislación civil, cabe apreciar la inconstitucionalidad del apartado 1 del art. 37 de la Ley de fundaciones de La Rioja.</w:t>
      </w:r>
    </w:p>
    <w:p w:rsidR="0026452D" w:rsidRDefault="0026452D" w:rsidP="0026452D">
      <w:pPr>
        <w:pStyle w:val="TextoNormal"/>
      </w:pPr>
    </w:p>
    <w:p w:rsidR="0026452D" w:rsidRDefault="0026452D" w:rsidP="0026452D">
      <w:pPr>
        <w:pStyle w:val="TextoNormal"/>
      </w:pPr>
      <w:r>
        <w:t>En segundo lugar, se advierte que el apartado 3 del art. 37 de la Ley de fundaciones de La Rioja permite la fusión, a pesar de la prohibición del fundador, si es la única manera de evitar su liquidación. Por el contrario, la Ley de fundaciones, en aras al respeto de la voluntad del fundador, excluye toda posibilidad de fusión en los casos en que los que haya sido prohibido, independientemente de que la iniciativa la haya tomado el patronato o el protectorado (art. 30 apartados 1 y 4 de la Ley de fundaciones). Es claro, por tanto, que el apartado 3 del art. 37 de la Ley de fundaciones de La Rioja invade de nuevo el título competencial reservado al Estado en materia de legislación civil y que el Estado ha ejercitado en el art. 30.1 y 4 de la Ley de fundaciones.</w:t>
      </w:r>
    </w:p>
    <w:p w:rsidR="0026452D" w:rsidRDefault="0026452D" w:rsidP="0026452D">
      <w:pPr>
        <w:pStyle w:val="TextoNormal"/>
      </w:pPr>
    </w:p>
    <w:p w:rsidR="0026452D" w:rsidRDefault="0026452D" w:rsidP="0026452D">
      <w:pPr>
        <w:pStyle w:val="TextoNormal"/>
      </w:pPr>
      <w:r>
        <w:t>Por último, conviene advertir, como ya hicimos en la STC 341/2005, de 21 de diciembre, que las cuestiones relativas a la voluntad del fundador forman parte de la esencia del negocio jurídico fundacional y tienen naturaleza civil, por consiguiente, sólo podrán legislar sobre ellas aquellas Comunidades Autónomas que cuenten con una regulación civil propia en la concreta materia o en una institución civil conexa. Por ello, contestando a las alegaciones del representante del Parlamento de La Rioja y del Letrado del Gobierno autonómico, hemos de afirmar que el hecho de que la Comunidad Autónoma de La Rioja haya asumido estatu</w:t>
      </w:r>
      <w:r>
        <w:lastRenderedPageBreak/>
        <w:t xml:space="preserve">tariamente competencia legislativa en materia de fundaciones </w:t>
      </w:r>
      <w:r w:rsidRPr="0026452D">
        <w:rPr>
          <w:i/>
        </w:rPr>
        <w:t>ex</w:t>
      </w:r>
      <w:r>
        <w:t xml:space="preserve"> art. 18.1.4 EAR, no le habilita para legislar los aspectos civiles de las mismas, por lo que ya hemos dicho en relación a la competencia en derecho civil. En virtud de estas mismas consideraciones, en la STC 341/2005, de 21 de diciembre, declaramos la inconstitucionalidad del art. 24.3 de la Ley de la Asamblea de Madrid 1/1998, de 2 de marzo, de fundaciones. Y estos mismos razonamientos, como apunta el Abogado del Estado, son aplicables a la normas sobre la fusión de fundaciones dictadas por la Comunidad Autónoma de La Rioja. Por consiguiente, debemos apreciar la inconstitucionalidad del apartado 3 del artículo 37  de la Ley de fundaciones de La Rioja.</w:t>
      </w:r>
    </w:p>
    <w:p w:rsidR="0026452D" w:rsidRDefault="0026452D" w:rsidP="0026452D">
      <w:pPr>
        <w:pStyle w:val="TextoNormal"/>
      </w:pPr>
    </w:p>
    <w:p w:rsidR="0026452D" w:rsidRDefault="0026452D" w:rsidP="0026452D">
      <w:pPr>
        <w:pStyle w:val="TextoNormal"/>
      </w:pPr>
      <w:r>
        <w:t>Esta conclusión conduce a estimar que las dos normas impugnadas por el Gobierno de la Nación no se adecuan al orden constitucional de distribución de competencias, por lo que procede declarar la inconstitucionalidad de los apartados 1 y 3 del art. 37 de la Ley de fundaciones de La Rioja.</w:t>
      </w:r>
    </w:p>
    <w:p w:rsidR="0026452D" w:rsidRDefault="0026452D" w:rsidP="0026452D">
      <w:pPr>
        <w:pStyle w:val="TextoNormal"/>
      </w:pPr>
    </w:p>
    <w:p w:rsidR="0026452D" w:rsidRDefault="0026452D" w:rsidP="0026452D">
      <w:pPr>
        <w:pStyle w:val="TextoNormal"/>
      </w:pPr>
      <w:r w:rsidRPr="0026452D">
        <w:rPr>
          <w:rStyle w:val="NumeroAFNegritaCaracter"/>
        </w:rPr>
        <w:t>5</w:t>
      </w:r>
      <w:r>
        <w:t>. Por lo demás, la apreciación de la anterior vulneración constitucional hace improcedente que entremos a considerar la alegación del Abogado del Estado referente a la violación del art. 149.1.1 CE. Al producir nuestra decisión la anulación de las normas impugnadas, resulta inútil cualquier consideración que aquí se pudiera hacer sobre si las mismas han respetado o no dicha competencia exclusiva del Estado.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el presente recurso de inconstitucionalidad y, en consecuencia, declarar inconstitucionales y nulos los apartados 1 y 3 del art. 37 de la Ley 1/2007, de 12 de febrero, de fundaciones de la Comunidad Autónoma de La Rioja.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veintitrés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02" w:name="SENTENCIA_2013_99"/>
      <w:r>
        <w:lastRenderedPageBreak/>
        <w:t>SENTENCIA 99/2013, de 23 de abril de 2013</w:t>
      </w:r>
    </w:p>
    <w:bookmarkEnd w:id="102"/>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ECLI:ES:TC:2013:99</w:t>
      </w:r>
    </w:p>
    <w:p w:rsidR="0026452D" w:rsidRDefault="0026452D" w:rsidP="0026452D">
      <w:pPr>
        <w:pStyle w:val="SntesisDescriptiva"/>
      </w:pPr>
    </w:p>
    <w:p w:rsidR="0026452D" w:rsidRDefault="0026452D" w:rsidP="0026452D">
      <w:pPr>
        <w:pStyle w:val="SntesisDescriptiva"/>
      </w:pPr>
      <w:r>
        <w:t>Recurso de inconstitucionalidad 78-2008. Interpuesto por el Gobierno de la Comunidad Autónoma de Canarias, en relación con el artículo 16.2 y la disposición adicional cuarta de la Ley 5/2007, de 3 de abril, de la red de parques naturales.</w:t>
      </w:r>
    </w:p>
    <w:p w:rsidR="0026452D" w:rsidRDefault="0026452D" w:rsidP="0026452D">
      <w:pPr>
        <w:pStyle w:val="SntesisDescriptiva"/>
      </w:pPr>
    </w:p>
    <w:p w:rsidR="0026452D" w:rsidRDefault="0026452D" w:rsidP="0026452D">
      <w:pPr>
        <w:pStyle w:val="SntesisAnaltica"/>
      </w:pPr>
      <w:r>
        <w:t>Competencias sobre medio ambiente y espacios naturales protegidos: constitucionalidad de los preceptos legales estatales relativos a la declaración y gestión de parques nacionales marinos (SSTC 38/2002 y 8/2013).</w:t>
      </w:r>
    </w:p>
    <w:p w:rsidR="0026452D" w:rsidRDefault="0026452D" w:rsidP="0026452D">
      <w:pPr>
        <w:pStyle w:val="SntesisAnaltica"/>
      </w:pPr>
    </w:p>
    <w:p w:rsidR="0026452D" w:rsidRDefault="0026452D" w:rsidP="0026452D">
      <w:pPr>
        <w:pStyle w:val="Extracto"/>
      </w:pPr>
      <w:r>
        <w:t>1.</w:t>
      </w:r>
      <w:r>
        <w:tab/>
        <w:t>La doctrina constitucional que limita la competencia estatal de gestión de los parques nacionales declarados sobre aguas marinas bajo soberanía o jurisdicción nacional al caso en que el ecosistema protegido carezca de continuidad ecológica con la parte terrestre o la zona marítimo-terrestre situadas en una Comunidad Autónoma es plenamente aplicable a la Comunidad Autónoma de Canarias, sin que deba ser revisada en el sentido de incorporar el mar territorial en su territorio pues no es posible interpretar que el Estatuto de Autonomía de Canarias haya configurado el ámbito territorial de la Comunidad integrando las islas y las aguas jurisdiccionales adyacentes (STC 38/2002)  [FJ 9].</w:t>
      </w:r>
    </w:p>
    <w:p w:rsidR="0026452D" w:rsidRDefault="0026452D" w:rsidP="0026452D">
      <w:pPr>
        <w:pStyle w:val="Extracto"/>
      </w:pPr>
    </w:p>
    <w:p w:rsidR="0026452D" w:rsidRDefault="0026452D" w:rsidP="0026452D">
      <w:pPr>
        <w:pStyle w:val="Extracto"/>
      </w:pPr>
      <w:r>
        <w:t>2.</w:t>
      </w:r>
      <w:r>
        <w:tab/>
        <w:t xml:space="preserve">Las competencias de las Comunidades Autónomas se circunscriben a su ámbito territorial, no extendiéndose de ordinario al mar territorial al no formar éste parte del territorio autonómico, lo que no impide que en el mar territorial puedan llegar a ejercerse excepcionalmente competencias autonómicas cuando haya un explícito reconocimiento estatutario o así lo exija la continuidad y unidad del espacio natural protegido, pero no concurriendo alguna de estas circunstancias, la competencia ejecutiva sobre las áreas protegidas en el mar territorial corresponderá al Estado </w:t>
      </w:r>
      <w:r w:rsidRPr="0026452D">
        <w:rPr>
          <w:i/>
        </w:rPr>
        <w:t>ex</w:t>
      </w:r>
      <w:r>
        <w:t xml:space="preserve"> art. 149.3 CE en relación con el art. 149.1.23 CE (SSTC 38/2002, 8/2013) [FFJJ 4, 5].</w:t>
      </w:r>
    </w:p>
    <w:p w:rsidR="0026452D" w:rsidRDefault="0026452D" w:rsidP="0026452D">
      <w:pPr>
        <w:pStyle w:val="Extracto"/>
      </w:pPr>
    </w:p>
    <w:p w:rsidR="0026452D" w:rsidRDefault="0026452D" w:rsidP="0026452D">
      <w:pPr>
        <w:pStyle w:val="Extracto"/>
      </w:pPr>
      <w:r>
        <w:t>3.</w:t>
      </w:r>
      <w:r>
        <w:tab/>
        <w:t xml:space="preserve">La definición de ‘archipiélago’ de la Convención de Naciones Unidas sobre Derecho del mar, ratificada por España, lo es sólo a los efectos de la Convención y resulta de aplicación únicamente a los Estados archipielágicos – no a los archipiélagos de Estado–, cuyo régimen jurídico consiste en permitir al Estado un determinado trazado de las líneas de base y ejercer soberanía sobre las aguas comprendidas entre tales aguas, estableciéndose así un régimen jurídico </w:t>
      </w:r>
      <w:r w:rsidRPr="0026452D">
        <w:rPr>
          <w:i/>
        </w:rPr>
        <w:t>sui generis</w:t>
      </w:r>
      <w:r>
        <w:t>, que resulta distinto al aplicable al mar territorial, lo que no es aplicable al territorio autonómico canario que, conformado por las islas, no incluye el mar territorial que las rodea (STC 8/2013) [FFJJ 6, 7].</w:t>
      </w:r>
    </w:p>
    <w:p w:rsidR="0026452D" w:rsidRDefault="0026452D" w:rsidP="0026452D">
      <w:pPr>
        <w:pStyle w:val="Extracto"/>
      </w:pPr>
    </w:p>
    <w:p w:rsidR="0026452D" w:rsidRDefault="0026452D" w:rsidP="0026452D">
      <w:pPr>
        <w:pStyle w:val="Extracto"/>
      </w:pPr>
      <w:r>
        <w:t>4.</w:t>
      </w:r>
      <w:r>
        <w:tab/>
        <w:t xml:space="preserve">Las medidas de conservación de la biodiversidad marina que puedan adoptarse, debido al carácter móvil de las aguas, tendrán probablemente efecto más allá del mar territorial, expandiéndose al resto de espacios marinos, lo que implicará el </w:t>
      </w:r>
      <w:r>
        <w:lastRenderedPageBreak/>
        <w:t>recurso a la cooperación internacional, materia reservada al Estado por el art. 149.1.3 CE (STC 38/2002) [FJ 8].</w:t>
      </w:r>
    </w:p>
    <w:p w:rsidR="0026452D" w:rsidRDefault="0026452D" w:rsidP="0026452D">
      <w:pPr>
        <w:pStyle w:val="Extracto"/>
      </w:pPr>
    </w:p>
    <w:p w:rsidR="0026452D" w:rsidRDefault="0026452D" w:rsidP="0026452D">
      <w:pPr>
        <w:pStyle w:val="Extracto"/>
      </w:pPr>
      <w:r>
        <w:t>5.</w:t>
      </w:r>
      <w:r>
        <w:tab/>
        <w:t>El mar territorial queda fuera del territorio autonómico y, por tanto, del ámbito ordinario de sus competencias por lo que no puede producirse en dicho espacio concurrencia de competencias estatales y autonómicas, dado que en el espacio físico del mar territorial, salvo excepciones, sólo el Estado ostenta competencias (STC 38/2002) [FJ 8].</w:t>
      </w:r>
    </w:p>
    <w:p w:rsidR="0026452D" w:rsidRDefault="0026452D" w:rsidP="0026452D">
      <w:pPr>
        <w:pStyle w:val="Extracto"/>
      </w:pPr>
    </w:p>
    <w:p w:rsidR="0026452D" w:rsidRDefault="0026452D" w:rsidP="0026452D">
      <w:pPr>
        <w:pStyle w:val="Extracto"/>
      </w:pPr>
      <w:r>
        <w:t>6.</w:t>
      </w:r>
      <w:r>
        <w:tab/>
        <w:t xml:space="preserve">Una ley ordinaria del Estado no tiene capacidad para modificar la regulación de un Estatuto de Autonomía, ni tampoco para definir el territorio de una Comunidad Autónoma o determinar sus competencias, funciones éstas que nuestra Constitución atribuye a los Estatutos de Autonomía dentro del marco constitucional </w:t>
      </w:r>
      <w:r w:rsidRPr="0026452D">
        <w:rPr>
          <w:i/>
        </w:rPr>
        <w:t>ex</w:t>
      </w:r>
      <w:r>
        <w:t xml:space="preserve"> art. 147.2 –apartados b) y d)– CE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78-2008, interpuesto por el Gobierno de la Comunidad Autónoma de Canarias, representado por la Directora General del Servicio Jurídico del mismo, en relación con el artículo 16.2 y la disposición adicional cuarta de la Ley 5/2007, de 3 de abril, de la red de parques naturales. Ha formulado alegaciones el Abogado del Estado. Ha sido Ponente el Presidente don Pascual Sala Sánchez,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el día 3 de enero de 2008 la Directora General del Servicio Jurídico del Gobierno de la Comunidad Autónoma de Canarias, en la representación que ostenta, interpuso recurso de inconstitucionalidad contra el artículo 16.2 y la disposición adicional cuarta de la Ley 5/2007, de 3 de abril, de la red de parques nacionales.</w:t>
      </w:r>
    </w:p>
    <w:p w:rsidR="0026452D" w:rsidRDefault="0026452D" w:rsidP="0026452D">
      <w:pPr>
        <w:pStyle w:val="TextoNormal"/>
      </w:pPr>
    </w:p>
    <w:p w:rsidR="0026452D" w:rsidRDefault="0026452D" w:rsidP="0026452D">
      <w:pPr>
        <w:pStyle w:val="TextoNormal"/>
      </w:pPr>
      <w:r>
        <w:lastRenderedPageBreak/>
        <w:t>a) La demanda se dirige, en primer lugar, contra el art. 16.2 de la Ley 5/2007, según el cual: “corresponderá a la Administración General del Estado la gestión de los Parques Nacionales declarados sobre aguas marinas bajo soberanía o jurisdicción nacional, cuando el ecosistema protegido carezca de continuidad ecológica con la parte terrestre o la zona marítimo-terrestre situadas en la Comunidad Autónoma”. La disposición final primera de la Ley se refiere al art. 149.1.23 CE —que atribuye al Estado la competencia para dictar la legislación básica sobre protección medioambiental, sin perjuicio de las facultades de las Comunidades Autónomas de establecer normas adicionales de protección— como cobertura competencial de esta regulación.</w:t>
      </w:r>
    </w:p>
    <w:p w:rsidR="0026452D" w:rsidRDefault="0026452D" w:rsidP="0026452D">
      <w:pPr>
        <w:pStyle w:val="TextoNormal"/>
      </w:pPr>
    </w:p>
    <w:p w:rsidR="0026452D" w:rsidRDefault="0026452D" w:rsidP="0026452D">
      <w:pPr>
        <w:pStyle w:val="TextoNormal"/>
      </w:pPr>
      <w:r>
        <w:t>El Gobierno de Canarias considera que la gestión de los parques nacionales ubicados en su territorio es una actividad de ejecución que se encuadra en la competencia exclusiva en materia de espacios nacionales protegidos que ostenta la Comunidad Autónoma ex art. 30.6 de su Estatuto de Autonomía.</w:t>
      </w:r>
    </w:p>
    <w:p w:rsidR="0026452D" w:rsidRDefault="0026452D" w:rsidP="0026452D">
      <w:pPr>
        <w:pStyle w:val="TextoNormal"/>
      </w:pPr>
    </w:p>
    <w:p w:rsidR="0026452D" w:rsidRDefault="0026452D" w:rsidP="0026452D">
      <w:pPr>
        <w:pStyle w:val="TextoNormal"/>
      </w:pPr>
      <w:r>
        <w:t>En apoyo de su tesis el Gobierno de Canarias se refiere a la doctrina del Tribunal Constitucional sobre parques nacionales; doctrina que analiza a partir de la consideración de tres Sentencias: la STC 102/1995, de 26 de junio, que declaró inconstitucional el art. 22.1 de la Ley 4/1989, de 27 de marzo, de conservación de los espacios naturales y de la flora y fauna silvestres, por cuanto reserva al Estado la gestión en exclusiva de los parques nacionales; la STC 194/2004, que declaró asimismo la inconstitucionalidad de la Ley 41/1997, de 5 de noviembre, por la que se modifica la Ley 4/1989, que estableció el sistema de gestión conjunta entre el Estado y las Comunidades Autónomas de los parques nacionales; y, finalmente, la STC 38/2002, de 14 de febrero, que, partiendo de la premisa de que el mar territorial no forma parte del territorio de las Comunidades Autónomas, llega a la conclusión de que éstas solamente pueden ejercer sobre el mismo las competencias en materia de espacios naturales protegidos en ocasiones excepcionales.</w:t>
      </w:r>
    </w:p>
    <w:p w:rsidR="0026452D" w:rsidRDefault="0026452D" w:rsidP="0026452D">
      <w:pPr>
        <w:pStyle w:val="TextoNormal"/>
      </w:pPr>
    </w:p>
    <w:p w:rsidR="0026452D" w:rsidRDefault="0026452D" w:rsidP="0026452D">
      <w:pPr>
        <w:pStyle w:val="TextoNormal"/>
      </w:pPr>
      <w:r>
        <w:t>Esta última doctrina se recoge, en opinión del Gobierno de la Comunidad Autónoma de Canarias, en el art. 16.2 de la Ley 5/2007, de 3 de abril, de la red de parques nacionales, que se impugna. En relación con ello, el Gobierno de Canarias argumenta que la STC 38/2002 no puede justificar la atribución de la competencia controvertida.</w:t>
      </w:r>
    </w:p>
    <w:p w:rsidR="0026452D" w:rsidRDefault="0026452D" w:rsidP="0026452D">
      <w:pPr>
        <w:pStyle w:val="TextoNormal"/>
      </w:pPr>
    </w:p>
    <w:p w:rsidR="0026452D" w:rsidRDefault="0026452D" w:rsidP="0026452D">
      <w:pPr>
        <w:pStyle w:val="TextoNormal"/>
      </w:pPr>
      <w:r>
        <w:t>En primer lugar, porque, aun existiendo pronunciamientos que resuelven concretas controversias sobre la extensión de las competencias autonómicas al mar territorial, el Tribunal Constitucional no ha tenido ocasión de pronunciarse expresamente sobre las razones por las que concluye que el territorio de las Comunidades Autónomas no se extiende al mar.</w:t>
      </w:r>
    </w:p>
    <w:p w:rsidR="0026452D" w:rsidRDefault="0026452D" w:rsidP="0026452D">
      <w:pPr>
        <w:pStyle w:val="TextoNormal"/>
      </w:pPr>
    </w:p>
    <w:p w:rsidR="0026452D" w:rsidRDefault="0026452D" w:rsidP="0026452D">
      <w:pPr>
        <w:pStyle w:val="TextoNormal"/>
      </w:pPr>
      <w:r>
        <w:t>En segundo lugar, y para el caso de Canarias, las aguas de jurisdicción española que rodean el archipiélago han de considerarse como parte de su territorio. Al respecto, razona que el art. 2 del Estatuto de Autonomía de Canarias (EACan) define el ámbito territorial de la Comunidad Autónoma a partir del concepto de archipiélago, esto es, un todo comprensivo de las islas y del mar entre ellas. De igual forma, el art. 40.1 EACan delimita el ámbito territorial en el que se ejercen las competencias autonómicas por remisión al art. 2 EACan.</w:t>
      </w:r>
    </w:p>
    <w:p w:rsidR="0026452D" w:rsidRDefault="0026452D" w:rsidP="0026452D">
      <w:pPr>
        <w:pStyle w:val="TextoNormal"/>
      </w:pPr>
    </w:p>
    <w:p w:rsidR="0026452D" w:rsidRDefault="0026452D" w:rsidP="0026452D">
      <w:pPr>
        <w:pStyle w:val="TextoNormal"/>
      </w:pPr>
      <w:r>
        <w:t xml:space="preserve">A continuación, destaca la inexistencia en la Constitución o en el Estatuto de Autonomía de Canarias de precepto alguno que permita extraer la conclusión de que el territorio sobre </w:t>
      </w:r>
      <w:r>
        <w:lastRenderedPageBreak/>
        <w:t>el que la Comunidad Autónoma ejerce sus competencias es el terrestre, excluyendo los espacios marinos. De hecho, recalca que la Constitución y los Estatutos de Autonomía consagran la existencia de competencias autonómicas que se ejercen en el mar territorial, como los casos de pesca, transporte marítimo, salvamento marítimo, medio ambiente, acuicultura y marisqueo y espacios naturales protegidos.</w:t>
      </w:r>
    </w:p>
    <w:p w:rsidR="0026452D" w:rsidRDefault="0026452D" w:rsidP="0026452D">
      <w:pPr>
        <w:pStyle w:val="TextoNormal"/>
      </w:pPr>
    </w:p>
    <w:p w:rsidR="0026452D" w:rsidRDefault="0026452D" w:rsidP="0026452D">
      <w:pPr>
        <w:pStyle w:val="TextoNormal"/>
      </w:pPr>
      <w:r>
        <w:t>Finalmente, indica que dado que el Estado español es un Estado descentralizado políticamente, hay una superposición física entre el territorio correspondiente al conjunto del Estado y a las distintas Comunidades Autónomas, existiendo además una distribución de competencias entre el primero y las segundas, por lo que, en los espacios donde España ejerce soberanía, el ejercicio de competencias ha de realizarse conforme a las reglas internas de distribución competencial.</w:t>
      </w:r>
    </w:p>
    <w:p w:rsidR="0026452D" w:rsidRDefault="0026452D" w:rsidP="0026452D">
      <w:pPr>
        <w:pStyle w:val="TextoNormal"/>
      </w:pPr>
    </w:p>
    <w:p w:rsidR="0026452D" w:rsidRDefault="0026452D" w:rsidP="0026452D">
      <w:pPr>
        <w:pStyle w:val="TextoNormal"/>
      </w:pPr>
      <w:r>
        <w:t>Por otra parte, el escrito de recurso cuestiona que los argumentos expresados en la STC 38/2002 para excluir la competencia autonómica, relativos al carácter móvil de las aguas y a la prevalencia de las competencias estatales sobre pesca marítima, resulten ser suficientes para fundamentar la exclusión absoluta de las Comunidades Autónomas en la gestión de los parques nacionales en los términos en los que lo hace el precepto impugnado.</w:t>
      </w:r>
    </w:p>
    <w:p w:rsidR="0026452D" w:rsidRDefault="0026452D" w:rsidP="0026452D">
      <w:pPr>
        <w:pStyle w:val="TextoNormal"/>
      </w:pPr>
    </w:p>
    <w:p w:rsidR="0026452D" w:rsidRDefault="0026452D" w:rsidP="0026452D">
      <w:pPr>
        <w:pStyle w:val="TextoNormal"/>
      </w:pPr>
      <w:r>
        <w:t>De lo anterior deduce que la doctrina de la citada Sentencia pueda ser revisada en el sentido de reconocer que la competencia de protección de los espacios naturales es una competencia que puede ser ejercitada allí donde se encuentren los valores necesitados de protección, incluido el mar. Además señala que de la referencia que hace la STC 38/2002 a la posibilidad de que las Comunidades Autónomas puedan ejercer en el mar territorial sus competencias en materia de espacios naturales protegidos únicamente cuando exista continuidad entre el espacio terrestre y marítimo que se protege no puede colegirse, sin más, que cuando no exista esa continuidad la competencia corresponde al Estado, puesto que esa conclusión no se extrae de la Sentencia sino que se trata de una cuestión aún no debatida por el Tribunal Constitucional.</w:t>
      </w:r>
    </w:p>
    <w:p w:rsidR="0026452D" w:rsidRDefault="0026452D" w:rsidP="0026452D">
      <w:pPr>
        <w:pStyle w:val="TextoNormal"/>
      </w:pPr>
    </w:p>
    <w:p w:rsidR="0026452D" w:rsidRDefault="0026452D" w:rsidP="0026452D">
      <w:pPr>
        <w:pStyle w:val="TextoNormal"/>
      </w:pPr>
      <w:r>
        <w:t>Por todo ello, el Gobierno canario concluye que le corresponde la gestión de todos los parques naturales que se declaren en el territorio de la Comunidad Autónoma Canaria, pues el mar territorial forma parte, a estos efectos, del territorio de la misma. En otras palabras, para el Gobierno recurrente, resulta irrelevante que, tratándose de espacios marinos, el ecosistema a proteger tenga continuidad ecológica o no con el espacio terrestre, pues tanto en uno como en otro caso, estarían ubicados en el territorio de Canarias y, por tanto, correspondería a ésta la competencia de gestión de los mismos.</w:t>
      </w:r>
    </w:p>
    <w:p w:rsidR="0026452D" w:rsidRDefault="0026452D" w:rsidP="0026452D">
      <w:pPr>
        <w:pStyle w:val="TextoNormal"/>
      </w:pPr>
    </w:p>
    <w:p w:rsidR="0026452D" w:rsidRDefault="0026452D" w:rsidP="0026452D">
      <w:pPr>
        <w:pStyle w:val="TextoNormal"/>
      </w:pPr>
      <w:r>
        <w:t>b) El recurso de inconstitucionalidad se refiere asimismo a la disposición adicional cuarta de la Ley 5/2007, que regula el procedimiento de declaración de los parques nacionales, a los que se refiere el art. 16.2 impugnado. Este procedimiento parte del presupuesto de la existencia de parques nacionales marinos de la exclusiva competencia estatal. En suma, dado que la disposición adicional cuarta carece de existencia autónoma al margen del concreto supuesto de hecho que le sirve de fundamento, los argumentos en los que sustenta la impugnación del art. 16.2 se extienden también a este precepto.</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El Pleno del Tribunal Constitucional, por providencia de 22 de enero de 2008, acordó admitir a trámite el recurso de inconstitucionalidad. Por esta misma providencia, conforme </w:t>
      </w:r>
      <w:r>
        <w:lastRenderedPageBreak/>
        <w:t>establece el art. 34 de la Ley Orgánica del Tribunal Constitucional (LOTC) el Pleno del Tribunal Constitucional, acordó dar traslado al Congreso de los Diputados y al Senado, por conducto de sus Presidentes, así como al Gobierno, a través del Ministerio de Justicia, al objeto de que en el plazo de quince días pudieran personarse en el proceso y formular las alegaciones que estimaren convenientes. También se acordó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Por sendos escritos, registrados respectivamente los días 30 y 31 de enero de 2008, los Presidentes del Senado y del Congreso de los Diputados comunicaron que las Cámaras se personaban en el proceso, ofreciendo su colaboración.</w:t>
      </w:r>
    </w:p>
    <w:p w:rsidR="0026452D" w:rsidRDefault="0026452D" w:rsidP="0026452D">
      <w:pPr>
        <w:pStyle w:val="TextoNormal"/>
      </w:pPr>
    </w:p>
    <w:p w:rsidR="0026452D" w:rsidRDefault="0026452D" w:rsidP="0026452D">
      <w:pPr>
        <w:pStyle w:val="TextoNormal"/>
      </w:pPr>
      <w:r w:rsidRPr="0026452D">
        <w:rPr>
          <w:rStyle w:val="NumeroAFNegritaCaracter"/>
        </w:rPr>
        <w:t>4</w:t>
      </w:r>
      <w:r>
        <w:t>. Por escrito de 12 de febrero de 2008, el Abogado del Estado, en la representación que ostenta, se personó en el procedimiento solicitando una prórroga del plazo inicialmente concedido para formular alegaciones. Mediante providencia del Pleno de este Tribunal de 13 de febrero de 2008 se tuvo por personado y parte al Abogado del Estado, en representación del Gobierno, accediéndose asimismo a la prórroga de ocho días del plazo inicial.</w:t>
      </w:r>
    </w:p>
    <w:p w:rsidR="0026452D" w:rsidRDefault="0026452D" w:rsidP="0026452D">
      <w:pPr>
        <w:pStyle w:val="TextoNormal"/>
      </w:pPr>
    </w:p>
    <w:p w:rsidR="0026452D" w:rsidRDefault="0026452D" w:rsidP="0026452D">
      <w:pPr>
        <w:pStyle w:val="TextoNormal"/>
      </w:pPr>
      <w:r w:rsidRPr="0026452D">
        <w:rPr>
          <w:rStyle w:val="NumeroAFNegritaCaracter"/>
        </w:rPr>
        <w:t>5</w:t>
      </w:r>
      <w:r>
        <w:t>. El 27 de febrero de 2008 se registró en el Registro General del Tribunal Constitucional el escrito de alegaciones presentado por el Abogado del Estado en nombre del Gobierno. En el mismo solicita que se dicte Sentencia en la que se desestime íntegramente el recurso y se declare la plena constitucionalidad del art. 16.2 y de la disposición adicional cuarta de la Ley 5/2007, de 3 de abril, de la red de parques nacionales, apoyándose para ello en las alegaciones siguientes.</w:t>
      </w:r>
    </w:p>
    <w:p w:rsidR="0026452D" w:rsidRDefault="0026452D" w:rsidP="0026452D">
      <w:pPr>
        <w:pStyle w:val="TextoNormal"/>
      </w:pPr>
    </w:p>
    <w:p w:rsidR="0026452D" w:rsidRDefault="0026452D" w:rsidP="0026452D">
      <w:pPr>
        <w:pStyle w:val="TextoNormal"/>
      </w:pPr>
      <w:r>
        <w:t>Para el Abogado del Estado la cuestión objeto de debate en este proceso es a quién corresponden las competencias de gestión de las áreas marinas protegidas situadas en el mar territorial. Esta cuestión ha sido objeto de consideración en diversas Sentencias del Tribunal Constitucional. De entrada, la STC 149/1991, de 4 de julio, estableció que el mar territorial no forma parte del territorio de las Comunidades Autónomas, de modo que el Estado puede actuar fuera de la zona marítimo-terrestre y de las playas, invocando para ello las competencias estatales en materia de bases del medio ambiente (art. 149.1.23 CE) y de condiciones básicas para garantizar la igualdad en el ejercicio de los derechos (art. 149.1.1 CE). En esta Sentencia el Tribunal reconoció a las Comunidades Autónomas un margen para desarrollar la legislación básica estatal aunque menor que en otros ámbitos.</w:t>
      </w:r>
    </w:p>
    <w:p w:rsidR="0026452D" w:rsidRDefault="0026452D" w:rsidP="0026452D">
      <w:pPr>
        <w:pStyle w:val="TextoNormal"/>
      </w:pPr>
    </w:p>
    <w:p w:rsidR="0026452D" w:rsidRDefault="0026452D" w:rsidP="0026452D">
      <w:pPr>
        <w:pStyle w:val="TextoNormal"/>
      </w:pPr>
      <w:r>
        <w:t>Pero esta posición fue matizada por la STC 102/1995, que afirma que, aun siendo menor que en otros ámbitos, el margen de desarrollo de la legislación básica por la normativa autonómica no puede llegar a tal grado de detalle que no permita desarrollo legislativo alguno de las Comunidades Autónomas con competencias en materia de medio ambiente, si bien enumera cuatro supuestos en los que la acción ejecutiva del Estado resulta justificada. Ahora bien, incluso en estos supuestos, es claro que la declaración y gestión de espacios naturales protegidos en el demanio marítimo-terrestre (marismas, estuarios, etc.) corresponde a las Comunidades Autónomas. En aplicación de esta doctrina, el Tribunal Constitucional ha reconocido la titularidad de la Comunidad Autónoma de Cantabria para declarar la reserva natural de las Marismas de Santoña (STC 195/1998, de 1 de julio) y de la Comunidad Autónoma de les Illes Balears para declarar reserva natural las Salinas de Ibiza (Ses Salines), las Islas des Freus y las Salinas de Formentera (STC 97/2002, de 25 de abril).</w:t>
      </w:r>
    </w:p>
    <w:p w:rsidR="0026452D" w:rsidRDefault="0026452D" w:rsidP="0026452D">
      <w:pPr>
        <w:pStyle w:val="TextoNormal"/>
      </w:pPr>
    </w:p>
    <w:p w:rsidR="0026452D" w:rsidRDefault="0026452D" w:rsidP="0026452D">
      <w:pPr>
        <w:pStyle w:val="TextoNormal"/>
      </w:pPr>
      <w:r>
        <w:t>Por su parte, la STC 38/2002, de 14 de febrero, que tuvo por objeto los conflictos de competencia positivos acumulados en relación con el parque natural y la reserva marina del Cabo de Gata-Níjar, estableció que las competencias ejecutivas de las Comunidades Autónomas para la protección de espacios naturales no se extienden al mar territorial salvo en circunstancias excepcionales de continuidad y unidad del ecosistema y siempre que exista una previsión estatutaria al respecto.</w:t>
      </w:r>
    </w:p>
    <w:p w:rsidR="0026452D" w:rsidRDefault="0026452D" w:rsidP="0026452D">
      <w:pPr>
        <w:pStyle w:val="TextoNormal"/>
      </w:pPr>
    </w:p>
    <w:p w:rsidR="0026452D" w:rsidRDefault="0026452D" w:rsidP="0026452D">
      <w:pPr>
        <w:pStyle w:val="TextoNormal"/>
      </w:pPr>
      <w:r>
        <w:t>En definitiva, el Abogado del Estado concluye que, según la doctrina del Tribunal Constitucional, las competencias de gestión de las áreas marinas protegidas situadas en el mar territorial corresponden como regla general al Estado.</w:t>
      </w:r>
    </w:p>
    <w:p w:rsidR="0026452D" w:rsidRDefault="0026452D" w:rsidP="0026452D">
      <w:pPr>
        <w:pStyle w:val="TextoNormal"/>
      </w:pPr>
    </w:p>
    <w:p w:rsidR="0026452D" w:rsidRDefault="0026452D" w:rsidP="0026452D">
      <w:pPr>
        <w:pStyle w:val="TextoNormal"/>
      </w:pPr>
      <w:r>
        <w:t>A continuación, el Abogado del Estado procede a responder a la alegación del Gobierno de Canarias según la cual la doctrina anterior no resulta aplicable a la Comunidad Autónoma de Canarias. De entrada, partiendo del examen de la jurisprudencia, el Abogado del Estado sostiene que, contrariamente a lo sostenido por el Gobierno recurrente, el Tribunal Constitucional ha afirmado que el mar territorial no forma parte del territorio autonómico. Acto seguido señala que el uso del término “archipiélago canario” no conlleva el carácter comprensivo de las islas y del mar entre ellas, que el Gobierno recurrente pretende. El propio art. 2 EACan afirma que el “archipiélago canario” está integrado por las siete islas, sin extender su territorio al mar territorial adyacente. Por otra parte, el concepto de archipiélago recogido en la Convención de Naciones Unidas sobre Derecho del mar no es aplicable en este caso, tal como pretende el Gobierno de Canarias, pues tal definición [art. 46 b) de la Convención] lo es a los solos efectos de la Convención y tiene como objetivo definir el Estado archipelágico. Por último, durante la tramitación parlamentaria del Estatuto de Autonomía de 1996, las Cortes Generales rechazaron expresamente un precepto del texto aprobado inicialmente por el Parlamento canario según el cual la Comunidad Autónoma de Canarias ejerce competencias en las aguas de competencia española que rodean las islas, y recuerda que el art. 40.1 EACan se refiere a “la competencia exclusiva del Estado sobre las aguas de jurisdicción española”.</w:t>
      </w:r>
    </w:p>
    <w:p w:rsidR="0026452D" w:rsidRDefault="0026452D" w:rsidP="0026452D">
      <w:pPr>
        <w:pStyle w:val="TextoNormal"/>
      </w:pPr>
    </w:p>
    <w:p w:rsidR="0026452D" w:rsidRDefault="0026452D" w:rsidP="0026452D">
      <w:pPr>
        <w:pStyle w:val="TextoNormal"/>
      </w:pPr>
      <w:r>
        <w:t>El Abogado del Estado se refiere, por fin, al argumento de la demanda que aboga por la revisión de la doctrina de la STC 38/2002. Según su parecer, tal revisión no procede. En primer lugar, si el mar territorial no ha pasado a formar parte del territorio autonómico es porque no formaba parte de los municipios y provincias, las unidades del territorio que decidieron dotarse de autonomía. En segundo lugar, el mar territorial es un espacio marino en el que el Estado debe ejercer competencias de soberanía y debe cooperar internacionalmente. Y, finalmente, porque, no siendo el mar territorial un espacio físico en el que concurran competencias del Estado y de las Comunidades Autónomas —pues tales competencias corresponden como regla general al Estado—, no procede, como parece apuntar el recurso planteado, arbitrar fórmulas de cooperación para reglamentar una improbable confluencia entre las competencias estatales en materia de pesca y las competencias autonómicas sobre parques.</w:t>
      </w:r>
    </w:p>
    <w:p w:rsidR="0026452D" w:rsidRDefault="0026452D" w:rsidP="0026452D">
      <w:pPr>
        <w:pStyle w:val="TextoNormal"/>
      </w:pPr>
    </w:p>
    <w:p w:rsidR="0026452D" w:rsidRDefault="0026452D" w:rsidP="0026452D">
      <w:pPr>
        <w:pStyle w:val="TextoNormal"/>
      </w:pPr>
      <w:r>
        <w:t>Las alegaciones del Abogado del Estado concluyen con la afirmación de que el art. 16 de la Ley de red de parques nacionales supone una exacta traslación de una doctrina del Tribunal Constitucional —la recogida fundamentalmente en la STC 38/2002— que, por los motivos expuestos, resulta de plena aplicación a la Comunidad Autónoma de Canarias.</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23 de abril de 2013 se acordó señalar para deliberación y votación de la presente Sentencia el mismo día,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Conforme se ha expuesto en los antecedentes de esta Sentencia, el presente recurso de inconstitucionalidad ha sido promovido por el Gobierno de la Comunidad Autónoma de Canarias contra el art. 16.2 y la disposición adicional cuarta, de la Ley 5/2007, de 3 de abril, de la red de parques naturales, al entender el Gobierno recurrente que la normativa impugnada, en cuanto centraliza en órganos de la Administración estatal la gestión de los parques nacionales declarados sobre aguas marinas bajo soberanía o jurisdicción nacional, vulnera las competencias de la Comunidad Autónoma de Canarias previstas en el art. 30.16 del Estatuto de Autonomía de Canarias (EACan). Por tal motivo, el Gobierno de Comunidad Autónoma de Canarias solicita la declaración de nulidad de los preceptos de la Ley 5/2007 indicados. Por su parte, el Abogado del Estado, en nombre del Gobierno, interesa la desestimación del presente recurso de inconstitucionalidad, sosteniendo principalmente que los artículos recurridos se corresponden con la STC 38/2002, de 14 de febrero, según la cual, las competencias ejecutivas de las Comunidades Autónomas para la protección de espacios naturales no se extienden al mar territorial, salvo en circunstancias excepcionales de continuidad y unidad del ecosistema, y siempre que exista una previsión estatutaria al respecto, circunstancias que no se dan en este caso.</w:t>
      </w:r>
    </w:p>
    <w:p w:rsidR="0026452D" w:rsidRDefault="0026452D" w:rsidP="0026452D">
      <w:pPr>
        <w:pStyle w:val="TextoNormal"/>
      </w:pPr>
    </w:p>
    <w:p w:rsidR="0026452D" w:rsidRDefault="0026452D" w:rsidP="0026452D">
      <w:pPr>
        <w:pStyle w:val="TextoNormal"/>
      </w:pPr>
      <w:r>
        <w:t>Por otra parte, el Gobierno de Canarias también recurre la disposición adicional cuarta de la Ley de red de parques nacionales, a la que dirige el mismo reproche de inconstitucionalidad con empleo de idénticos argumentos.</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entrar en el fondo de la impugnación planteada resulta necesario señalar, como consideración preliminar, que el Estatuto de Autonomía de Canarias, aprobado por Ley Orgánica 10/1982, de 10 de agosto, después de la interposición del presente recurso ha sido objeto de modificación por la Ley Orgánica 26/2010, de 16 de julio. No obstante, esta modificación se refiere únicamente al apartado 1 de la disposición adicional segunda sobre tributos cedidos, por lo que no afecta a la cuestión competencial que suscitada en el presente litigio ni a los términos en que se ha planteado el debate entre las partes.</w:t>
      </w:r>
    </w:p>
    <w:p w:rsidR="0026452D" w:rsidRDefault="0026452D" w:rsidP="0026452D">
      <w:pPr>
        <w:pStyle w:val="TextoNormal"/>
      </w:pPr>
    </w:p>
    <w:p w:rsidR="0026452D" w:rsidRDefault="0026452D" w:rsidP="0026452D">
      <w:pPr>
        <w:pStyle w:val="TextoNormal"/>
      </w:pPr>
      <w:r>
        <w:t xml:space="preserve">Asimismo, también con posterioridad a la interposición del recurso, se ha aprobado la Ley 44/2010, de 30 de diciembre, de aguas canarias (“Boletín Oficial del Estado” de 31 de diciembre). En su exposición de motivos se indica que “el artículo 147.2 b) de la Constitución establece como contenido necesario de los Estatutos de Autonomía la delimitación del territorio de la Comunidad Autónoma, ya que éste será límite a la eficacia de sus normas y al ejercicio de sus competencias” y que “en desarrollo de esas prescripciones constitucionales, el artículo 2 del Estatuto de Autonomía de Canarias, en la redacción dada por la Ley Orgánica 4/1996, de 30 de diciembre, prescribe que ‘el ámbito territorial de la Comunidad Autónoma comprende el Archipiélago Canario, integrado por las siete islas de El Hierro, Fuerteventura, Gran Canaria, La Gomera, Lanzarote, La Palma y Tenerife, así como las islas de Alegranza, La Graciosa, Lobos, Montaña Clara, Roque del Este y Roque del Oeste’.” Añade, a continuación, el legislador que “ese ámbito territorial está incompleto sin </w:t>
      </w:r>
      <w:r>
        <w:lastRenderedPageBreak/>
        <w:t>la delimitación de las aguas incluidas en el concepto archipielágico que introduce el referido artículo 2 del Estatuto de Autonomía, que engloba los espacios terrestres y marítimos de Canarias”.</w:t>
      </w:r>
    </w:p>
    <w:p w:rsidR="0026452D" w:rsidRDefault="0026452D" w:rsidP="0026452D">
      <w:pPr>
        <w:pStyle w:val="TextoNormal"/>
      </w:pPr>
    </w:p>
    <w:p w:rsidR="0026452D" w:rsidRDefault="0026452D" w:rsidP="0026452D">
      <w:pPr>
        <w:pStyle w:val="TextoNormal"/>
      </w:pPr>
      <w:r>
        <w:t>Más allá del contenido de la exposición de motivos, que carece de eficacia normativa, el artículo único de la Ley en su apartado 1 no dispone expresamente sobre la delimitación del territorio de la Comunidad Autónoma de Canarias, sino que se limita a establecer lo que denomina “aguas canarias”, afirmando que las mismas constituyen “el especial ámbito marítimo de la Comunidad Autónoma de Canarias”. Por otra parte, en el apartado 2 de este mismo artículo se dice, con claridad, que “el ejercicio de las competencias estatales o autonómicas sobre las aguas canarias y, en su caso, sobre los restantes espacios marítimos que rodean a Canarias sobre los que el Estado español ejerza soberanía o jurisdicción se realizará teniendo en cuenta la distribución material de competencias establecidas constitucional y estatutariamente tanto para dichos espacios como para los terrestres”.</w:t>
      </w:r>
    </w:p>
    <w:p w:rsidR="0026452D" w:rsidRDefault="0026452D" w:rsidP="0026452D">
      <w:pPr>
        <w:pStyle w:val="TextoNormal"/>
      </w:pPr>
    </w:p>
    <w:p w:rsidR="0026452D" w:rsidRDefault="0026452D" w:rsidP="0026452D">
      <w:pPr>
        <w:pStyle w:val="TextoNormal"/>
      </w:pPr>
      <w:r>
        <w:t>Sin necesidad de entrar en el alcance y significado que esta regulación tenga, cuestión sobre la que no versa este recurso y sobre la que, por tanto, no es necesario pronunciarse ahora, sí es preciso recordar que una ley ordinaria del Estado no tiene capacidad para modificar la regulación de un Estatuto de Autonomía, ni tampoco para definir el territorio de una Comunidad Autónoma o determinar sus competencias, funciones éstas que nuestra Constitución atribuye a los Estatutos de Autonomía dentro del marco constitucional [art. 147.2 b) y d) CE]. Tampoco compete al legislador estatal ordinario establecer cuál ha de ser la interpretación de un precepto de un Estatuto de Autonomía, pues la determinación de esa interpretación corresponde a los Jueces y Tribunales (art. 117.3 CE) y, en último término, a este Tribunal en cuanto intérprete supremo del bloque de constitucionalidad. Por tanto, incluso, si estas fueran las finalidades perseguidas por la Ley 44/2010, en nada alterarían o podrían alterar los términos del debate planteado en el presente recurso.</w:t>
      </w:r>
    </w:p>
    <w:p w:rsidR="0026452D" w:rsidRDefault="0026452D" w:rsidP="0026452D">
      <w:pPr>
        <w:pStyle w:val="TextoNormal"/>
      </w:pPr>
    </w:p>
    <w:p w:rsidR="0026452D" w:rsidRDefault="0026452D" w:rsidP="0026452D">
      <w:pPr>
        <w:pStyle w:val="TextoNormal"/>
      </w:pPr>
      <w:r>
        <w:t>En consecuencia, como hemos señalado en la reciente STC 87/2013, de 11 de abril, la constitucionalidad o inconstitucionalidad de los preceptos impugnados ha de determinarse exclusivamente a la luz de lo que derive del bloque de constitucionalidad tal y como lo haya interpretado este Tribunal, que, precisamente, ya tuvo ocasión de pronunciarse sobre el alcance y significado del art. 2 del Estatuto de Autonomía de Canarias en la STC 8/2013, de 17 de enero.</w:t>
      </w:r>
    </w:p>
    <w:p w:rsidR="0026452D" w:rsidRDefault="0026452D" w:rsidP="0026452D">
      <w:pPr>
        <w:pStyle w:val="TextoNormal"/>
      </w:pPr>
    </w:p>
    <w:p w:rsidR="0026452D" w:rsidRDefault="0026452D" w:rsidP="0026452D">
      <w:pPr>
        <w:pStyle w:val="TextoNormal"/>
      </w:pPr>
      <w:r w:rsidRPr="0026452D">
        <w:rPr>
          <w:rStyle w:val="NumeroAFNegritaCaracter"/>
        </w:rPr>
        <w:t>3</w:t>
      </w:r>
      <w:r>
        <w:t>. La resolución del presente recurso ha de partir necesariamente del examen concreto de la norma impugnada.</w:t>
      </w:r>
    </w:p>
    <w:p w:rsidR="0026452D" w:rsidRDefault="0026452D" w:rsidP="0026452D">
      <w:pPr>
        <w:pStyle w:val="TextoNormal"/>
      </w:pPr>
    </w:p>
    <w:p w:rsidR="0026452D" w:rsidRDefault="0026452D" w:rsidP="0026452D">
      <w:pPr>
        <w:pStyle w:val="TextoNormal"/>
      </w:pPr>
      <w:r>
        <w:t>La Ley 5/2007, de 3 de abril, de la red de parques nacionales, consta de tres títulos. El título I (disposiciones generales) se inicia detallando que el objeto de la Ley es “establecer el régimen jurídico básico de la Red de Parques Nacionales, cuyos objetivos se declaran de interés general del Estado”. Su artículo 2 establece que “todos los poderes públicos y, en especial, las Administraciones Públicas, en sus respectivos ámbitos competenciales, velarán por la conservación de la Red de Parques Nacionales”.</w:t>
      </w:r>
    </w:p>
    <w:p w:rsidR="0026452D" w:rsidRDefault="0026452D" w:rsidP="0026452D">
      <w:pPr>
        <w:pStyle w:val="TextoNormal"/>
      </w:pPr>
    </w:p>
    <w:p w:rsidR="0026452D" w:rsidRDefault="0026452D" w:rsidP="0026452D">
      <w:pPr>
        <w:pStyle w:val="TextoNormal"/>
      </w:pPr>
      <w:r>
        <w:t xml:space="preserve">El título II de la Ley (arts. 4 a 7) se dedica a la regulación de los parques nacionales, estableciendo sus objetivos, las funciones asociadas al Ministerio del Medio Ambiente para el cumplimiento de estos objetivos, la estructura, composición y objetivos del Consejo de </w:t>
      </w:r>
      <w:r>
        <w:lastRenderedPageBreak/>
        <w:t>la red y la particularización del instrumento fundamental de ésta para alcanzar sus objetivos, el plan director de la red de parques nacionales.</w:t>
      </w:r>
    </w:p>
    <w:p w:rsidR="0026452D" w:rsidRDefault="0026452D" w:rsidP="0026452D">
      <w:pPr>
        <w:pStyle w:val="TextoNormal"/>
      </w:pPr>
    </w:p>
    <w:p w:rsidR="0026452D" w:rsidRDefault="0026452D" w:rsidP="0026452D">
      <w:pPr>
        <w:pStyle w:val="TextoNormal"/>
      </w:pPr>
      <w:r>
        <w:t>El título III es el más extenso (arts. 8 a 23) y, entre otros extremos, se centra en los objetivos a cubrir por los parques nacionales y el procedimiento y los requisitos para su declaración. Ésta se hará por Ley de las Cortes Generales pero la iniciativa para la declaración como parque nacional de un espacio natural “se formalizará mediante la aprobación inicial de la propuesta por las Comunidades Autónomas en cuyo territorio se encuentren situados” (art. 10.3). Salvo que la Ley declarativa establezca otra cosa, el procedimiento previsto para la declaración se seguirá para la modificación de los límites de un parque nacional (art. 14.1).</w:t>
      </w:r>
    </w:p>
    <w:p w:rsidR="0026452D" w:rsidRDefault="0026452D" w:rsidP="0026452D">
      <w:pPr>
        <w:pStyle w:val="TextoNormal"/>
      </w:pPr>
    </w:p>
    <w:p w:rsidR="0026452D" w:rsidRDefault="0026452D" w:rsidP="0026452D">
      <w:pPr>
        <w:pStyle w:val="TextoNormal"/>
      </w:pPr>
      <w:r>
        <w:t>El artículo 16 de la Ley regula la gestión de los parques nacionales. Ésta, así como su organización, “corresponde directamente a las Comunidades Autónomas en cuyos territorios estén situados” (apartado 1). En el caso de que un parque nacional se extienda por el territorio de dos o más Comunidades Autónomas, “éstas establecerán de común acuerdo las fórmulas de colaboración necesarias para asegurar la aplicación del principio de gestión integrada” (apartado 3). El apartado 2 del artículo 16 establece un régimen de gestión distinto al régimen general señalado para los parques nacionales “declarados sobre aguas marinas bajo soberanía o jurisdicción nacional”. La gestión de estos parques nacionales, cuando el ecosistema protegido carezca de continuidad ecológica con la parte terrestre o la zona marítimo-terrestre situadas en la Comunidad Autónoma, corresponderá a la Administración General del Estado.</w:t>
      </w:r>
    </w:p>
    <w:p w:rsidR="0026452D" w:rsidRDefault="0026452D" w:rsidP="0026452D">
      <w:pPr>
        <w:pStyle w:val="TextoNormal"/>
      </w:pPr>
    </w:p>
    <w:p w:rsidR="0026452D" w:rsidRDefault="0026452D" w:rsidP="0026452D">
      <w:pPr>
        <w:pStyle w:val="TextoNormal"/>
      </w:pPr>
      <w:r>
        <w:t>La Ley se cierra con cinco disposiciones adicionales (integración en la red de parques nacionales; autorización para la creación de la Agencia Estatal Red de Parques Nacionales, prórroga de la vigencia del plan director de la red de parques nacionales, procedimientos de declaración y pérdida de la condición de parques nacionales sobre aguas marinas de competencia estatal, pago de indemnizaciones), una disposición transitoria (aplicación provisional de la Ley 4/1989, de 27 de marzo, de conservación de los espacios naturales y de la flora y fauna silvestres), una disposición derogatoria (derogación normativa) y tres disposiciones finales (título competencial, adecuación de los parques nacionales existentes a la presente Ley, habilitación para el desarrollo reglamentario, entrada en vigor).</w:t>
      </w:r>
    </w:p>
    <w:p w:rsidR="0026452D" w:rsidRDefault="0026452D" w:rsidP="0026452D">
      <w:pPr>
        <w:pStyle w:val="TextoNormal"/>
      </w:pPr>
    </w:p>
    <w:p w:rsidR="0026452D" w:rsidRDefault="0026452D" w:rsidP="0026452D">
      <w:pPr>
        <w:pStyle w:val="TextoNormal"/>
      </w:pPr>
      <w:r w:rsidRPr="0026452D">
        <w:rPr>
          <w:rStyle w:val="NumeroAFNegritaCaracter"/>
        </w:rPr>
        <w:t>4</w:t>
      </w:r>
      <w:r>
        <w:t>. Las dos partes coinciden en la materia afectada por el precepto controvertido y en los títulos competenciales que ostentan tanto el Estado como la Comunidad Autónoma recurrente. Así, el título competencial del Estado para la aprobación de la Ley 5/2007, de la red de parques nacionales es “la legislación básica sobre protección del medio ambiente” (art. 149.1.23 CE) según queda expuesto en su disposición final primera. Por su parte, la Comunidad Autónoma ostenta competencia exclusiva en materia de “espacios naturales protegidos” (art. 30.16 EACan).</w:t>
      </w:r>
    </w:p>
    <w:p w:rsidR="0026452D" w:rsidRDefault="0026452D" w:rsidP="0026452D">
      <w:pPr>
        <w:pStyle w:val="TextoNormal"/>
      </w:pPr>
    </w:p>
    <w:p w:rsidR="0026452D" w:rsidRDefault="0026452D" w:rsidP="0026452D">
      <w:pPr>
        <w:pStyle w:val="TextoNormal"/>
      </w:pPr>
      <w:r>
        <w:t>El Gobierno de la Comunidad Autónoma de Canarias no cuestiona, por lo tanto, ni la base competencial señalada ni el carácter básico de los preceptos de la Ley. Su discrepancia radica en la consideración de que el art. 16.2 y la disposición adicional cuarta de la Ley 5/2007 invaden la competencia asumida en exclusiva por la Comunidad en el art. 30.16 EACan sobre los “espacios naturales protegidos”. Ciertamente, los preceptos impugnados se refieren a áreas protegidas en áreas marinas bajo soberanía o jurisdicción española —</w:t>
      </w:r>
      <w:r>
        <w:lastRenderedPageBreak/>
        <w:t>expresión que la demanda entiende referida al mar territorial— y establecen que estas áreas están sujetas a un régimen particular, contrario al régimen general, de modo que su gestión corresponde a la Administración General del Estado.</w:t>
      </w:r>
    </w:p>
    <w:p w:rsidR="0026452D" w:rsidRDefault="0026452D" w:rsidP="0026452D">
      <w:pPr>
        <w:pStyle w:val="TextoNormal"/>
      </w:pPr>
    </w:p>
    <w:p w:rsidR="0026452D" w:rsidRDefault="0026452D" w:rsidP="0026452D">
      <w:pPr>
        <w:pStyle w:val="TextoNormal"/>
      </w:pPr>
      <w:r>
        <w:t>El Gobierno recurrente reconoce que el art. 16.2 de la Ley 5/2007 recoge la jurisprudencia del Tribunal Constitucional en la materia. Por este motivo sus argumentos se dirigen tanto contra la Ley como contra la STC 38/2002, de 14 de febrero, que sintetiza dicha jurisprudencia. Ésta, según el Gobierno de Canarias, precisa ser aclarada y revisada en lo relativo a la protección de los espacios naturales, ya que estamos ante una competencia exclusiva de la Comunidad Autónoma que debe ejercerse allí donde se encuentren los valores necesitados de protección, incluido el mar.</w:t>
      </w:r>
    </w:p>
    <w:p w:rsidR="0026452D" w:rsidRDefault="0026452D" w:rsidP="0026452D">
      <w:pPr>
        <w:pStyle w:val="TextoNormal"/>
      </w:pPr>
    </w:p>
    <w:p w:rsidR="0026452D" w:rsidRDefault="0026452D" w:rsidP="0026452D">
      <w:pPr>
        <w:pStyle w:val="TextoNormal"/>
      </w:pPr>
      <w:r>
        <w:t>Esta Sentencia tuvo por objeto los conflictos positivos de competencia acumulados en relación con el parque natural y la reserva marina del Cabo de Gata-Níjar. La discrepancia competencial se centraba en una determinada porción del ámbito físico del parque natural, en concreto, la franja marítima de una milla de anchura situada en el límite este y sur de dicho parque, respecto de la cual ambas partes admitían que está situada en las aguas exteriores del mar territorial.</w:t>
      </w:r>
    </w:p>
    <w:p w:rsidR="0026452D" w:rsidRDefault="0026452D" w:rsidP="0026452D">
      <w:pPr>
        <w:pStyle w:val="TextoNormal"/>
      </w:pPr>
    </w:p>
    <w:p w:rsidR="0026452D" w:rsidRDefault="0026452D" w:rsidP="0026452D">
      <w:pPr>
        <w:pStyle w:val="TextoNormal"/>
      </w:pPr>
      <w:r>
        <w:t>Pues bien, en el fundamento jurídico 6 de la STC 38/2002 se afirma que: 1) las competencias de las Comunidades se circunscriben a su ámbito territorial, lo que no impide que el ejercicio de las competencias de una Comunidad pueda tener repercusiones de hecho fuera de su territorio; 2) en el mar territorial pueden llegar a ejercerse competencias autonómicas “excepcionalmente” cuando concurra una de las dos circunstancias siguientes a) haya un explícito reconocimiento estatutario (la Sentencia cita a modo de ejemplo las competencias sobre vertidos industriales o contaminantes en aguas territoriales y salvamento marítimo, previstas en los artículos 17.6 y 11 del Estatuto de Autonomía para Andalucía, respectivamente); b) lo exija la propia naturaleza de la competencia, tal como resulta de la interpretación del bloque de la constitucionalidad (y, entre otras, se refiere —con indicación de la correspondiente Sentencia— a las competencias sobre acuicultura, ordenación del sector pesquero, marisqueo); 3) la competencia autonómica para la protección de espacios naturales no alcanzan su extensión al mar territorial salvo que así venga exigido por la continuidad y unidad espacio natural protegido; y 4) en consecuencia, cuando no concurra alguna de estas circunstancias, la competencia ejecutiva corresponderá al Estado conforme al art. 149.3, en relación con el art. 149.1.23, ambos de la Constitución.</w:t>
      </w:r>
    </w:p>
    <w:p w:rsidR="0026452D" w:rsidRDefault="0026452D" w:rsidP="0026452D">
      <w:pPr>
        <w:pStyle w:val="TextoNormal"/>
      </w:pPr>
    </w:p>
    <w:p w:rsidR="0026452D" w:rsidRDefault="0026452D" w:rsidP="0026452D">
      <w:pPr>
        <w:pStyle w:val="TextoNormal"/>
      </w:pPr>
      <w:r>
        <w:t>En suma, para el Tribunal Constitucional las competencias de las Comunidades Autónomas no se extienden de ordinario al mar territorial. Y ello porque el mar territorial no forma parte del territorio autonómico.</w:t>
      </w:r>
    </w:p>
    <w:p w:rsidR="0026452D" w:rsidRDefault="0026452D" w:rsidP="0026452D">
      <w:pPr>
        <w:pStyle w:val="TextoNormal"/>
      </w:pPr>
    </w:p>
    <w:p w:rsidR="0026452D" w:rsidRDefault="0026452D" w:rsidP="0026452D">
      <w:pPr>
        <w:pStyle w:val="TextoNormal"/>
      </w:pPr>
      <w:r w:rsidRPr="0026452D">
        <w:rPr>
          <w:rStyle w:val="NumeroAFNegritaCaracter"/>
        </w:rPr>
        <w:t>5</w:t>
      </w:r>
      <w:r>
        <w:t>. Esta doctrina ha sido reiterada recientemente por nuestra Sentencia 8/2013, de 17 de enero, que resuelve el recurso de inconstitucionalidad que el propio Gobierno de Canarias interpuso contra el artículo único apartado uno de la Ley 12/2007, de reforma de la Ley 34/1998 del sector de hidrocarburos, que atribuye a la Administración del Estado la competencia para autorizar prospecciones que afecten al subsuelo marino.</w:t>
      </w:r>
    </w:p>
    <w:p w:rsidR="0026452D" w:rsidRDefault="0026452D" w:rsidP="0026452D">
      <w:pPr>
        <w:pStyle w:val="TextoNormal"/>
      </w:pPr>
    </w:p>
    <w:p w:rsidR="0026452D" w:rsidRDefault="0026452D" w:rsidP="0026452D">
      <w:pPr>
        <w:pStyle w:val="TextoNormal"/>
      </w:pPr>
      <w:r>
        <w:lastRenderedPageBreak/>
        <w:t>En el fundamento jurídico 5 de esta Sentencia hemos afirmado nuevamente que el mar territorial no forma parte del territorio de las Comunidades Autónomas y tampoco, por consiguiente, del territorio de la Comunidad Autónoma de Canarias. El elemento determinante a estos efectos —señala el Tribunal— es “el art. 143 CE, que configura el ejercicio del derecho de autonomía del art. 2 CE y, en consecuencia, el autogobierno de las Comunidades Autónomas sobre la base de los ‘territorios insulares’, las provincias y municipios. La Constitución hace referencia en diversas ocasiones a la singularidad del hecho insular; en concreto, el art. 138 CE reconoce las circunstancias específicas que deben tenerse en cuenta para la garantía del principio de solidaridad, y el art. 141.4 CE contempla la existencia, en los archipiélagos, de una entidad local especial para las islas en forma de cabildos y consejos; sin embargo, en lo que se refiere al ámbito territorial de las Comunidades Autónomas, la Constitución tiene en cuenta el hecho insular para remitirse a los ‘territorios insulares’ como sustrato territorial de las constituidas por islas lo que se explica, como señala el informe del Consejo de Estado 2/2005, de julio de 2006, titulado ‘Informe sobre las competencias de las distintas administraciones territoriales y órganos de la Administración General del Estado en materia de protección de hábitats y especies marinas y de declaración y gestión de áreas marinas protegidas’, por la realidad de la que se parte y que consagra el art. 137 CE, que no es otra que el entendimiento común de que el territorio autonómico se extiende al ámbito de los municipios que integran la correspondiente Comunidad y que éstos nunca se han extendido ni tampoco hoy se extienden al mar territorial.”</w:t>
      </w:r>
    </w:p>
    <w:p w:rsidR="0026452D" w:rsidRDefault="0026452D" w:rsidP="0026452D">
      <w:pPr>
        <w:pStyle w:val="TextoNormal"/>
      </w:pPr>
    </w:p>
    <w:p w:rsidR="0026452D" w:rsidRDefault="0026452D" w:rsidP="0026452D">
      <w:pPr>
        <w:pStyle w:val="TextoNormal"/>
      </w:pPr>
      <w:r>
        <w:t>Precisamente —añade la Sentencia— porque el mar territorial no forma parte del territorio de las Comunidades Autónomas, tenemos señalado que “sólo excepcionalmente pueden llegarse a ejercerse competencias autonómicas sobre el mar territorial, siempre y cuando exista un explícito reconocimiento estatutario” y que “sólo excepcionalmente el ejercicio de una competencia autonómica puede tener efectos extraterritoriales y extenderse al mar territorial cuando resulte imprescindible para el ejercicio de la competencia de la que es titular”.</w:t>
      </w:r>
    </w:p>
    <w:p w:rsidR="0026452D" w:rsidRDefault="0026452D" w:rsidP="0026452D">
      <w:pPr>
        <w:pStyle w:val="TextoNormal"/>
      </w:pPr>
    </w:p>
    <w:p w:rsidR="0026452D" w:rsidRDefault="0026452D" w:rsidP="0026452D">
      <w:pPr>
        <w:pStyle w:val="TextoNormal"/>
      </w:pPr>
      <w:r>
        <w:t>Para finalmente afirmar: “No puede, por tanto, concluirse, como pretende la recurrente, que estos pronunciamientos, según los cuales el mar no forma parte del territorio de las Comunidades Autónomas, sean puramente ocasionales; antes bien, responden al concepto de territorio que ha tenido en cuenta este Tribunal y que guarda estrecha relación con la doctrina constitucional sobre el ejercicio de competencias sectoriales por las Comunidades Autónomas, cuando afectan al mar territorial o las aguas adyacentes.”</w:t>
      </w:r>
    </w:p>
    <w:p w:rsidR="0026452D" w:rsidRDefault="0026452D" w:rsidP="0026452D">
      <w:pPr>
        <w:pStyle w:val="TextoNormal"/>
      </w:pPr>
    </w:p>
    <w:p w:rsidR="0026452D" w:rsidRDefault="0026452D" w:rsidP="0026452D">
      <w:pPr>
        <w:pStyle w:val="TextoNormal"/>
      </w:pPr>
      <w:r>
        <w:t>Pues bien, esta y no otra es la idea que subyace en nuestra doctrina relativa al soporte material al que se extiende la competencia autonómica; doctrina que, contrariamente a lo afirmado por el Gobierno recurrente, expresa con claridad los motivos por los que el territorio de las Comunidades Autónomas no se extiende al mar territorial.</w:t>
      </w:r>
    </w:p>
    <w:p w:rsidR="0026452D" w:rsidRDefault="0026452D" w:rsidP="0026452D">
      <w:pPr>
        <w:pStyle w:val="TextoNormal"/>
      </w:pPr>
    </w:p>
    <w:p w:rsidR="0026452D" w:rsidRDefault="0026452D" w:rsidP="0026452D">
      <w:pPr>
        <w:pStyle w:val="TextoNormal"/>
      </w:pPr>
      <w:r w:rsidRPr="0026452D">
        <w:rPr>
          <w:rStyle w:val="NumeroAFNegritaCaracter"/>
        </w:rPr>
        <w:t>6</w:t>
      </w:r>
      <w:r>
        <w:t>. Para sostener que la doctrina constitucional hasta aquí expuesta no resulta de aplicación a la Comunidad Autónoma de Canarias, el Gobierno recurrente alega diversos motivos —algunos de carácter general, otros particulares, esto es, referidos a la singularidad del territorio canario— que ya expuso en el recurso de inconstitucionalidad que dio lugar a la STC 8/2013, en la que les dimos cumplida respuesta.</w:t>
      </w:r>
    </w:p>
    <w:p w:rsidR="0026452D" w:rsidRDefault="0026452D" w:rsidP="0026452D">
      <w:pPr>
        <w:pStyle w:val="TextoNormal"/>
      </w:pPr>
    </w:p>
    <w:p w:rsidR="0026452D" w:rsidRDefault="0026452D" w:rsidP="0026452D">
      <w:pPr>
        <w:pStyle w:val="TextoNormal"/>
      </w:pPr>
      <w:r>
        <w:lastRenderedPageBreak/>
        <w:t>Argumenta, en primer lugar, que las aguas de jurisdicción española que rodean el archipiélago han de considerarse como parte de su territorio. Al respecto, razona que el art. 2 EACan, tras su modificación por Ley Orgánica 4/1996, de 30 de diciembre, define el ámbito territorial de la Comunidad Autónoma a partir del concepto de archipiélago, esto es, un todo comprensivo de las islas y del mar entre ellas. De igual forma, el art. 40.1 EACan delimita el ámbito territorial en el que se ejercen las competencias autonómicas por remisión al art. 2 EACan.</w:t>
      </w:r>
    </w:p>
    <w:p w:rsidR="0026452D" w:rsidRDefault="0026452D" w:rsidP="0026452D">
      <w:pPr>
        <w:pStyle w:val="TextoNormal"/>
      </w:pPr>
    </w:p>
    <w:p w:rsidR="0026452D" w:rsidRDefault="0026452D" w:rsidP="0026452D">
      <w:pPr>
        <w:pStyle w:val="TextoNormal"/>
      </w:pPr>
      <w:r>
        <w:t>Este argumento fue expresamente rechazado por la STC 8/2013, de 17 de enero. En síntesis, el Tribunal Constitucional sostiene que “aunque el término ‘territorios insulares’ ha desaparecido del Estatuto, y ha sido sustituido por el término ‘archipiélago’, la definición del territorio autonómico viene dada, en ambas regulaciones, por las islas (‘el archipiélago canario integrado por las siete islas’), sin que se incluya una referencia explícita al mar que las rodea, ni ésta pueda deducirse del significado común del término archipiélago, que se limita a indicar que las islas deben estar agrupadas en el mar, más o menos próximas entre ellas” (FJ 6).</w:t>
      </w:r>
    </w:p>
    <w:p w:rsidR="0026452D" w:rsidRDefault="0026452D" w:rsidP="0026452D">
      <w:pPr>
        <w:pStyle w:val="TextoNormal"/>
      </w:pPr>
    </w:p>
    <w:p w:rsidR="0026452D" w:rsidRDefault="0026452D" w:rsidP="0026452D">
      <w:pPr>
        <w:pStyle w:val="TextoNormal"/>
      </w:pPr>
      <w:r w:rsidRPr="0026452D">
        <w:rPr>
          <w:rStyle w:val="NumeroAFNegritaCaracter"/>
        </w:rPr>
        <w:t>7</w:t>
      </w:r>
      <w:r>
        <w:t>. De igual modo, la STC 8/2013, rechaza que la inclusión del término archipiélago en el art. 2 EACan sea consecuencia necesaria de la definición de “archipiélago” incluida en el art. 46 b) de la Convención de Naciones Unidas sobre Derecho del mar, de 10 de diciembre de 1982, ratificada por España mediante instrumento de 20 de diciembre de 1996. Esta definición lo es sólo a efectos de la Convención y resulta de aplicación únicamente a los Estados archipielágicos, no a los archipiélagos de Estado. Por lo demás, la Sentencia añade que la Convención de Naciones Unidas distingue claramente entre territorio y otros espacios sobre los que los Estados ejercen soberanía, siendo así que las aguas, aunque sean archipielágicas, no forman parte del territorio.</w:t>
      </w:r>
    </w:p>
    <w:p w:rsidR="0026452D" w:rsidRDefault="0026452D" w:rsidP="0026452D">
      <w:pPr>
        <w:pStyle w:val="TextoNormal"/>
      </w:pPr>
    </w:p>
    <w:p w:rsidR="0026452D" w:rsidRDefault="0026452D" w:rsidP="0026452D">
      <w:pPr>
        <w:pStyle w:val="TextoNormal"/>
      </w:pPr>
      <w:r>
        <w:t>En este sentido, procede considerar asimismo que el régimen jurídico de los Estados archipielágicos consiste en permitir al Estado un determinado trazado de las líneas de base y ejercer soberanía (aunque con ciertas condiciones) sobre las aguas comprendidas entre tales líneas (aguas archipielágicas), estableciéndose así un régimen jurídico sui generis, que, en cualquier caso, resulta distinto al régimen aplicable al mar territorial, espacio marino que encuentra —también en los Estados archipielágicos— su límite interior en las líneas de base trazadas por los Estados.</w:t>
      </w:r>
    </w:p>
    <w:p w:rsidR="0026452D" w:rsidRDefault="0026452D" w:rsidP="0026452D">
      <w:pPr>
        <w:pStyle w:val="TextoNormal"/>
      </w:pPr>
    </w:p>
    <w:p w:rsidR="0026452D" w:rsidRDefault="0026452D" w:rsidP="0026452D">
      <w:pPr>
        <w:pStyle w:val="TextoNormal"/>
      </w:pPr>
      <w:r>
        <w:t>A lo anterior cabe añadir que el Real Decreto 2510/1977, de 5 de agosto, sobre trazado de líneas de base rectas en desarrollo de la Ley 20/1967, de 8 de abril, sobre extensión de las aguas jurisdiccionales españolas a 12 millas, establece una delimitación específica para las islas de Gran Canaria, Tenerife, Hierro y La Palma, que disponen así de su propio mar territorial, y encierra en un único perímetro delimitador las islas de Lanzarote, Fuerteventura, Alegranza, Graciosa, Montaña, Clara y Lobos.</w:t>
      </w:r>
    </w:p>
    <w:p w:rsidR="0026452D" w:rsidRDefault="0026452D" w:rsidP="0026452D">
      <w:pPr>
        <w:pStyle w:val="TextoNormal"/>
      </w:pPr>
    </w:p>
    <w:p w:rsidR="0026452D" w:rsidRDefault="0026452D" w:rsidP="0026452D">
      <w:pPr>
        <w:pStyle w:val="TextoNormal"/>
      </w:pPr>
      <w:r>
        <w:t xml:space="preserve">En fin, la STC 8/2013, rechaza igualmente el argumento del Gobierno canario que se refiere a los trabajos legislativos de aprobación de la reforma del Estatuto de Autonomía de Canarias operada por la Ley Orgánica 4/1996. “Los debates parlamentarios —puede leerse en el FJ 8— no son suficientes para contradecir el tenor literal del texto que resultó finalmente aprobado, pues a pesar de los reiterados intentos de que se incluyera una referencia expresa al mar que hubiera permitido determinar el alcance y consecuencias jurídicas de la </w:t>
      </w:r>
      <w:r>
        <w:lastRenderedPageBreak/>
        <w:t>inclusión del propio término ‘archipiélago’ en art. 2 EACan, la referencia que éste inicialmente contenía resultó definitivamente eliminada en su tramitación parlamentaria”.</w:t>
      </w:r>
    </w:p>
    <w:p w:rsidR="0026452D" w:rsidRDefault="0026452D" w:rsidP="0026452D">
      <w:pPr>
        <w:pStyle w:val="TextoNormal"/>
      </w:pPr>
    </w:p>
    <w:p w:rsidR="0026452D" w:rsidRDefault="0026452D" w:rsidP="0026452D">
      <w:pPr>
        <w:pStyle w:val="TextoNormal"/>
      </w:pPr>
      <w:r w:rsidRPr="0026452D">
        <w:rPr>
          <w:rStyle w:val="NumeroAFNegritaCaracter"/>
        </w:rPr>
        <w:t>8</w:t>
      </w:r>
      <w:r>
        <w:t>. Finalmente, el Gobierno recurrente cuestiona los argumentos expresados en la STC 38/2002 para excluir la competencia autonómica con base en el carácter móvil de las aguas. Debe decirse que este elemento tampoco justifica una tal competencia exclusiva por parte de las Comunidades Autónomas; aún más, las medidas de conservación de la biodiversidad marina que puedan adoptarse, debido precisamente al carácter móvil de las aguas, tendrán probablemente efecto más allá del mar territorial, expandiéndose al resto de espacios marinos, lo que implicará el recurso a la cooperación internacional, materia reservada al Estado por el art. 149.1.3 CE.</w:t>
      </w:r>
    </w:p>
    <w:p w:rsidR="0026452D" w:rsidRDefault="0026452D" w:rsidP="0026452D">
      <w:pPr>
        <w:pStyle w:val="TextoNormal"/>
      </w:pPr>
    </w:p>
    <w:p w:rsidR="0026452D" w:rsidRDefault="0026452D" w:rsidP="0026452D">
      <w:pPr>
        <w:pStyle w:val="TextoNormal"/>
      </w:pPr>
      <w:r>
        <w:t>Del mismo modo, el Gobierno de Canarias se queja de que la STC 38/2002 haya reconocido la prevalencia de las competencias estatales sobre pesca marítima. Como recuerda el Abogado del Estado, la demanda incurre en este punto en un error de enfoque, pues la razón de decidir de la Sentencia es que el mar territorial queda fuera del territorio autonómico y, por tanto, del ámbito ordinario de sus competencias. Efectivamente, y así lo reitera la referida Sentencia, la concurrencia de competencias estatales y autonómicas sobre un mismo espacio físico ha de conducir al establecimiento de fórmulas de cooperación (FJ 7). Pero es que en el caso que nos ocupa no se produce esa concurrencia, dado que en el espacio físico del mar territorial, salvo excepciones, sólo el Estado ostenta competencias. Por último, el Gobierno de Canarias cuestiona que en exacta traslación de la doctrina recogida en la STC 38/2002, el art. 16.2 de la Ley 5/2007 de la red de parques nacionales limite la competencia estatal de gestión de los parques nacionales declarados sobre aguas marinas bajo soberanía o jurisdicción nacional al caso en que “el ecosistema protegido carezca de continuidad ecológica con la parte terrestre o la zona marítimo-terrestre situadas en la Comunidad Autónoma”. En los restantes casos la competencia de gestión corresponderá a la Comunidad Autónoma.</w:t>
      </w:r>
    </w:p>
    <w:p w:rsidR="0026452D" w:rsidRDefault="0026452D" w:rsidP="0026452D">
      <w:pPr>
        <w:pStyle w:val="TextoNormal"/>
      </w:pPr>
    </w:p>
    <w:p w:rsidR="0026452D" w:rsidRDefault="0026452D" w:rsidP="0026452D">
      <w:pPr>
        <w:pStyle w:val="TextoNormal"/>
      </w:pPr>
      <w:r>
        <w:t>Ciertamente, ni el artículo cuestionado ni la doctrina señalada contemplan otras circunstancias —más allá de la continuidad ecológica del ecosistema protegido— que justifiquen la asunción de la competencia sobre gestión de parques nacionales por la Comunidad Autónoma, mas tampoco el recurso ofrece un ejemplo práctico al respecto.</w:t>
      </w:r>
    </w:p>
    <w:p w:rsidR="0026452D" w:rsidRDefault="0026452D" w:rsidP="0026452D">
      <w:pPr>
        <w:pStyle w:val="TextoNormal"/>
      </w:pPr>
    </w:p>
    <w:p w:rsidR="0026452D" w:rsidRDefault="0026452D" w:rsidP="0026452D">
      <w:pPr>
        <w:pStyle w:val="TextoNormal"/>
      </w:pPr>
      <w:r w:rsidRPr="0026452D">
        <w:rPr>
          <w:rStyle w:val="NumeroAFNegritaCaracter"/>
        </w:rPr>
        <w:t>9</w:t>
      </w:r>
      <w:r>
        <w:t>. En suma, es claro que el legislador estatal ha pretendido plasmar en las normas recurridas la doctrina resultante de la STC 38/2002, sin que, por lo tanto, los preceptos impugnados puedan merecer ningún reproche de constitucionalidad. Por otra parte, esta doctrina constitucional resulta plenamente aplicable a la Comunidad Autónoma de Canarias, sin que, como alega el Gobierno recurrente, deba ser revisada en el sentido de incorporar el mar territorial en su territorio pues, entre otros extremos, no es posible interpretar que el Estatuto de Autonomía de Canarias haya configurado el ámbito territorial de la Comunidad Autónoma integrando las islas y las aguas jurisdiccionales adyacentes. De acuerdo con su art. 2, el territorio de la Comunidad Autónoma, límite natural de las competencias autonómicas (STC 38/2002, de 14 de febrero, FJ 6), está integrado por los territorios insulares a los expresamente se refiere el art. 143 CE, esto es, las siete islas que en él se relacionan y se extiende a la zona marítimo terrestre que forma parte del mismo.</w:t>
      </w:r>
    </w:p>
    <w:p w:rsidR="0026452D" w:rsidRDefault="0026452D" w:rsidP="0026452D">
      <w:pPr>
        <w:pStyle w:val="TextoNormal"/>
      </w:pPr>
    </w:p>
    <w:p w:rsidR="0026452D" w:rsidRDefault="0026452D" w:rsidP="0026452D">
      <w:pPr>
        <w:pStyle w:val="TextoNormalCentrado"/>
        <w:keepNext/>
      </w:pPr>
      <w:r>
        <w:lastRenderedPageBreak/>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veintitrés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03" w:name="SENTENCIA_2013_100"/>
      <w:r>
        <w:lastRenderedPageBreak/>
        <w:t>SENTENCIA 100/2013, de 23 de abril de 2013</w:t>
      </w:r>
    </w:p>
    <w:bookmarkEnd w:id="103"/>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ECLI:ES:TC:2013:100</w:t>
      </w:r>
    </w:p>
    <w:p w:rsidR="0026452D" w:rsidRDefault="0026452D" w:rsidP="0026452D">
      <w:pPr>
        <w:pStyle w:val="SntesisDescriptiva"/>
      </w:pPr>
    </w:p>
    <w:p w:rsidR="0026452D" w:rsidRDefault="0026452D" w:rsidP="0026452D">
      <w:pPr>
        <w:pStyle w:val="SntesisDescriptiva"/>
      </w:pPr>
      <w:r>
        <w:t>Recurso de inconstitucionalidad 2358-2008. Interpuesto por el Gobierno de La Rioja en relación con la disposición adicional quincuagésima sexta de la Ley 51/2007, de 26 de diciembre, de presupuestos Generales del Estado para el año 2008.</w:t>
      </w:r>
    </w:p>
    <w:p w:rsidR="0026452D" w:rsidRDefault="0026452D" w:rsidP="0026452D">
      <w:pPr>
        <w:pStyle w:val="SntesisDescriptiva"/>
      </w:pPr>
    </w:p>
    <w:p w:rsidR="0026452D" w:rsidRDefault="0026452D" w:rsidP="0026452D">
      <w:pPr>
        <w:pStyle w:val="SntesisAnaltica"/>
      </w:pPr>
      <w:r>
        <w:t>Principio de solidaridad territorial, financiación autonómica: constitucionalidad del precepto legal que regula la aplicación de la metodología para el cumplimiento del régimen de inversiones estatales en infraestructuras previsto en el Estatuto de Autonomía de Cataluña.</w:t>
      </w:r>
    </w:p>
    <w:p w:rsidR="0026452D" w:rsidRDefault="0026452D" w:rsidP="0026452D">
      <w:pPr>
        <w:pStyle w:val="SntesisAnaltica"/>
      </w:pPr>
    </w:p>
    <w:p w:rsidR="0026452D" w:rsidRDefault="0026452D" w:rsidP="0026452D">
      <w:pPr>
        <w:pStyle w:val="Extracto"/>
      </w:pPr>
      <w:r>
        <w:t>1.</w:t>
      </w:r>
      <w:r>
        <w:tab/>
        <w:t xml:space="preserve">Debemos descartar que la disposición adicional impugnada sea el reflejo de un sistema de financiación autonómica encubierto o de su modificación, ya que una cosa es que el sistema de financiación pueda dar lugar a transferencias de recursos a las Comunidades Autónomas, concretadas en la ley de presupuestos, y otra que cada vez que una partida presupuestaria tenga un impacto territorial específico merezca la consideración, </w:t>
      </w:r>
      <w:r w:rsidRPr="0026452D">
        <w:rPr>
          <w:i/>
        </w:rPr>
        <w:t>per se</w:t>
      </w:r>
      <w:r>
        <w:t>, de una alteración del sistema (STC 3/2003) [FJ 4].</w:t>
      </w:r>
    </w:p>
    <w:p w:rsidR="0026452D" w:rsidRDefault="0026452D" w:rsidP="0026452D">
      <w:pPr>
        <w:pStyle w:val="Extracto"/>
      </w:pPr>
    </w:p>
    <w:p w:rsidR="0026452D" w:rsidRDefault="0026452D" w:rsidP="0026452D">
      <w:pPr>
        <w:pStyle w:val="Extracto"/>
      </w:pPr>
      <w:r>
        <w:t>2.</w:t>
      </w:r>
      <w:r>
        <w:tab/>
        <w:t xml:space="preserve">La disposición adicional tercera EAC, que equiparara la inversión del Estado en Cataluña en infraestructuras a la participación relativa al producto interior bruto de Cataluña con relación al producto interior bruto del Estado, no es inconstitucional en la medida en que no vincula a éste en la definición de su política de inversiones, ni menoscaba la plena libertad de las Cortes Generales para decidir sobre la existencia y cuantía de dichas inversiones, sin que quepa enjuiciar nuevamente y </w:t>
      </w:r>
      <w:r w:rsidRPr="0026452D">
        <w:rPr>
          <w:i/>
        </w:rPr>
        <w:t>per saltum</w:t>
      </w:r>
      <w:r>
        <w:t xml:space="preserve"> una disposición estatutaria sobre la que ya nos hemos pronunciado (STC 31/2010) [FJ 4].</w:t>
      </w:r>
    </w:p>
    <w:p w:rsidR="0026452D" w:rsidRDefault="0026452D" w:rsidP="0026452D">
      <w:pPr>
        <w:pStyle w:val="Extracto"/>
      </w:pPr>
    </w:p>
    <w:p w:rsidR="0026452D" w:rsidRDefault="0026452D" w:rsidP="0026452D">
      <w:pPr>
        <w:pStyle w:val="Extracto"/>
      </w:pPr>
      <w:r>
        <w:t>3.</w:t>
      </w:r>
      <w:r>
        <w:tab/>
        <w:t>No puede entenderse vulnerado el principio de solidaridad examinando aisladamente una partida presupuestaria, por mucho que dicha partida afecte a un determinado territorio o a una Comunidad Autónoma en particular, pues ello sería tanto como pretender que cualquier partida presupuestaria cuyo impacto se proyecte de manera especial sobre un determinado territorio supondría también una desviación del sistema de financiación (STC 31/2010) [FJ 4].</w:t>
      </w:r>
    </w:p>
    <w:p w:rsidR="0026452D" w:rsidRDefault="0026452D" w:rsidP="0026452D">
      <w:pPr>
        <w:pStyle w:val="Extracto"/>
      </w:pPr>
    </w:p>
    <w:p w:rsidR="0026452D" w:rsidRDefault="0026452D" w:rsidP="0026452D">
      <w:pPr>
        <w:pStyle w:val="Extracto"/>
      </w:pPr>
      <w:r>
        <w:t>4.</w:t>
      </w:r>
      <w:r>
        <w:tab/>
        <w:t>Corresponde al Estado, mediante la ley de presupuestos, decidir su política de inversiones, lo que implica fijar las partidas a dotar en función de las necesidades de cada territorio, entre otros criterios constitucionalmente admisibles, siendo en definitiva el ejercicio de esta opción parte del poder de disposición estatal sobre su propio presupuesto (STC 31/2010) [FJ 4].</w:t>
      </w:r>
    </w:p>
    <w:p w:rsidR="0026452D" w:rsidRDefault="0026452D" w:rsidP="0026452D">
      <w:pPr>
        <w:pStyle w:val="Extracto"/>
      </w:pPr>
    </w:p>
    <w:p w:rsidR="0026452D" w:rsidRDefault="0026452D" w:rsidP="0026452D">
      <w:pPr>
        <w:pStyle w:val="Extracto"/>
      </w:pPr>
      <w:r>
        <w:lastRenderedPageBreak/>
        <w:t>5.</w:t>
      </w:r>
      <w:r>
        <w:tab/>
        <w:t>Cuando una Comunidad Autónoma impugna una Ley está poniendo de manifiesto la existencia de un interés público objetivo en que el Tribunal Constitucional desarrolle su función de garantizar la supremacía de la Constitución mediante el enjuiciamiento de dicha ley (SSTC 86/1982, 180/2000)  [FJ 2].</w:t>
      </w:r>
    </w:p>
    <w:p w:rsidR="0026452D" w:rsidRDefault="0026452D" w:rsidP="0026452D">
      <w:pPr>
        <w:pStyle w:val="Extracto"/>
      </w:pPr>
    </w:p>
    <w:p w:rsidR="0026452D" w:rsidRDefault="0026452D" w:rsidP="0026452D">
      <w:pPr>
        <w:pStyle w:val="Extracto"/>
      </w:pPr>
      <w:r>
        <w:t>6.</w:t>
      </w:r>
      <w:r>
        <w:tab/>
        <w:t>La presunción de constitucionalidad de normas con rango de ley no puede desvirtuarse sin un mínimo de argumentación, sin que quepan por tanto impugnaciones globales carentes de una razón suficientemente desarrollada (STC 204/2011)  [FJ 2].</w:t>
      </w:r>
    </w:p>
    <w:p w:rsidR="0026452D" w:rsidRDefault="0026452D" w:rsidP="0026452D">
      <w:pPr>
        <w:pStyle w:val="Extracto"/>
      </w:pPr>
    </w:p>
    <w:p w:rsidR="0026452D" w:rsidRDefault="0026452D" w:rsidP="0026452D">
      <w:pPr>
        <w:pStyle w:val="Extracto"/>
      </w:pPr>
      <w:r>
        <w:t>7.</w:t>
      </w:r>
      <w:r>
        <w:tab/>
        <w:t>La disposición recurrida ha agotado sus efectos al haber finalizado el ejercicio presupuestario para el que fue aprobada, pero ello no determina sin más la desaparición del objeto del recurso, pues sería tanto como dejar el enjuiciamiento de las normas de vigencia limitada en el tiempo extramuros del control de la jurisdicción constitucional (SSTC 3/2003, 204/2011)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2358-2008, promovido por el Gobierno de La Rioja contra la disposición adicional quincuagésima sexta de la Ley 51/2007, de 26 de diciembre, de presupuestos generales del Estado para el año 2008. Ha intervenido y formulado alegaciones el Abogado del Estado. Ha sido Ponente el Magistrado don Ramón Rodríguez Arribas,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registrado en el Tribunal con fecha 26 de marzo de 2008, el Letrado de la Comunidad Autónoma de La Rioja, actuando en representación y defensa del Consejo de Gobierno de La Rioja, interpone el presente recurso de inconstitucionalidad contra la disposición adicional quincuagésima sexta de la Ley 51/2007, de 26 de diciembre, de presupuestos generales del Estado para el año 2008 (en adelante, Ley 51/2007), que reputa contraria a los arts. 2, 138, 156 y 158 de la Constitución; y, en cuanto integrantes del bloque de la constitucionalidad, los artículos 1.1, 2.1 b), 2.1 c) y 4 de la Ley Orgánica 8/1980, de </w:t>
      </w:r>
      <w:r>
        <w:lastRenderedPageBreak/>
        <w:t>22 de septiembre, de financiación delas Comunidades Autónomas y los arts. 1.3, 43, 45 y 47 del Estatuto de Autonomía de La Rioja.</w:t>
      </w:r>
    </w:p>
    <w:p w:rsidR="0026452D" w:rsidRDefault="0026452D" w:rsidP="0026452D">
      <w:pPr>
        <w:pStyle w:val="TextoNormal"/>
      </w:pPr>
    </w:p>
    <w:p w:rsidR="0026452D" w:rsidRDefault="0026452D" w:rsidP="0026452D">
      <w:pPr>
        <w:pStyle w:val="TextoNormal"/>
      </w:pPr>
      <w:r>
        <w:t>Comienza el Letrado su alegato citando el informe emitido por la Defensora del Pueblo Riojano de 29 de enero de 2008, que dictaminaba la inconstitucionalidad del citado precepto. A continuación, expone detalladamente las razones que avalan la legitimación activa de esta Comunidad Autónoma para interponer recurso de inconstitucionalidad contra la Ley 51/2007, que se concretan en que la disposición controvertida afecta a su propio ámbito de autonomía, en los términos del art. 32.2 de la Ley Orgánica del Tribunal Constitucional (LOTC) y citando, entre otras, las SSTC 96/2002, de 25 de abril (FJ 3) y 247/2007, de 12 de diciembre.</w:t>
      </w:r>
    </w:p>
    <w:p w:rsidR="0026452D" w:rsidRDefault="0026452D" w:rsidP="0026452D">
      <w:pPr>
        <w:pStyle w:val="TextoNormal"/>
      </w:pPr>
    </w:p>
    <w:p w:rsidR="0026452D" w:rsidRDefault="0026452D" w:rsidP="0026452D">
      <w:pPr>
        <w:pStyle w:val="TextoNormal"/>
      </w:pPr>
      <w:r>
        <w:t>A continuación, y tras recordar la doctrina constitucional sobre la naturaleza y contenido de las leyes de presupuestos, se describe en la demanda el sistema de financiación de las Comunidades Autónomas, comenzando por los principios constitucionales que lo informan y examinando los diferentes mecanismos de financiación regulados en la Ley 21/2001, de 27 de diciembre, por la que se regulan las medidas fiscales y administrativas del nuevo sistema de financiación de las Comunidades Autónomas de régimen común y ciudades con Estatuto de Autonomía, entonces vigente.</w:t>
      </w:r>
    </w:p>
    <w:p w:rsidR="0026452D" w:rsidRDefault="0026452D" w:rsidP="0026452D">
      <w:pPr>
        <w:pStyle w:val="TextoNormal"/>
      </w:pPr>
    </w:p>
    <w:p w:rsidR="0026452D" w:rsidRDefault="0026452D" w:rsidP="0026452D">
      <w:pPr>
        <w:pStyle w:val="TextoNormal"/>
      </w:pPr>
      <w:r>
        <w:t>Sentando lo anterior, se examina la disposición adicional quincuagésima sexta de la Ley 51/2007, objeto de impugnación, enmarcándola en su contexto normativo, pues la misma resulta de la disposición adicional tercera del Estatuto de Autonomía de Cataluña. Tras afirmar que la disposición adicional recurrida contiene tres previsiones que derivan de “la aparición encubierta de un nuevo sistema de financiación autonómica en los entresijos del último proceso de reforma de los Estatutos de Autonomía”, se razona que la norma es contraria al principio de solidaridad, contenido en los arts. 2, 138, 156 y 158 de la Constitución, con cita de la STC 13/2007, de 18 de enero (FJ 7).</w:t>
      </w:r>
    </w:p>
    <w:p w:rsidR="0026452D" w:rsidRDefault="0026452D" w:rsidP="0026452D">
      <w:pPr>
        <w:pStyle w:val="TextoNormal"/>
      </w:pPr>
    </w:p>
    <w:p w:rsidR="0026452D" w:rsidRDefault="0026452D" w:rsidP="0026452D">
      <w:pPr>
        <w:pStyle w:val="TextoNormal"/>
      </w:pPr>
      <w:r>
        <w:t>La contravención de este principio resulta, en general, de que se estaría estableciendo un sistema de financiación autonómica distinto pero sobre todo, en concreto, del hecho de que la disposición impugnada “implica la asunción de un privilegio o ventaja financiera que choca con la más elemental concepción de la solidaridad”, lo que tiene lugar porque se establece una garantía de inversión que no tiene en cuenta las necesidades de otros territorios, dedicando asignaciones presupuestarias concretas que limitan la realización de las mismas asignaciones para otras Comunidades. Se sostiene, en suma, que la realización por el Estado de esta clase de transferencias está constitucionalmente condicionada a que la misma pudiera haber sido concretada para el resto de Comunidades Autónomas.</w:t>
      </w:r>
    </w:p>
    <w:p w:rsidR="0026452D" w:rsidRDefault="0026452D" w:rsidP="0026452D">
      <w:pPr>
        <w:pStyle w:val="TextoNormal"/>
      </w:pPr>
    </w:p>
    <w:p w:rsidR="0026452D" w:rsidRDefault="0026452D" w:rsidP="0026452D">
      <w:pPr>
        <w:pStyle w:val="TextoNormal"/>
      </w:pPr>
      <w:r>
        <w:t>Finalmente, se argumenta que el hecho de que las inversiones del Estado en Cataluña se financien en proporción a la participación en el producto interior bruto del Estado de esta Comunidad Autónoma, resulta también contrario a la solidaridad, pues ésta requiere que se lleve a cabo una transferencia de recursos desde las Comunidades Autónomas que ostenten mayor capacidad económica hacia las que presenten niveles más ajustados de renta.</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Mediante providencia de 15 de abril de 2008 el Pleno del Tribunal acordó admitir a trámite el recurso de inconstitucionalidad promovido por el Consejo de Gobierno de La Rioja, contra la disposición adicional quincuagésima sexta de la Ley 51/2007. Asimismo, </w:t>
      </w:r>
      <w:r>
        <w:lastRenderedPageBreak/>
        <w:t>acordó dar traslado de la demanda y documentos presentados, conforme al art. 34 LOTC, al Congreso de los Diputados y al Senado, por conducto de sus Presidentes, y al Gobierno de la Nación, por conducto del Ministro de Justicia, al objeto de que en el plazo de quince días pudieran personarse en el proceso y formular alegaciones. Por último, se acordó publicar la incoación del proceso en el “Boletín Oficial del Estado”, lo que se llevó a efecto en el núm. 100, de fecha 25 de abril de 2008.</w:t>
      </w:r>
    </w:p>
    <w:p w:rsidR="0026452D" w:rsidRDefault="0026452D" w:rsidP="0026452D">
      <w:pPr>
        <w:pStyle w:val="TextoNormal"/>
      </w:pPr>
    </w:p>
    <w:p w:rsidR="0026452D" w:rsidRDefault="0026452D" w:rsidP="0026452D">
      <w:pPr>
        <w:pStyle w:val="TextoNormal"/>
      </w:pPr>
      <w:r w:rsidRPr="0026452D">
        <w:rPr>
          <w:rStyle w:val="NumeroAFNegritaCaracter"/>
        </w:rPr>
        <w:t>3</w:t>
      </w:r>
      <w:r>
        <w:t>. Con fecha 30 de abril de 2008 tuvo entrada en el Registro General de este Tribunal un escrito del Presidente del Senado por el que se comunicó el acuerdo adoptado por la Mesa de la Cámara a tenor del cual se da por personada a dicha Cámara en el procedimiento y por ofrecida su colaboración a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4</w:t>
      </w:r>
      <w:r>
        <w:t>. Con fecha 8 de mayo de 2008 se registró un escrito del Presidente de Congreso de los Diputados comunicando al Tribunal el acuerdo de la Mesa de la Cámara a tenor del cual se da por personada a dicha Cámara en el procedimiento y por ofrecida su colaboración a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5</w:t>
      </w:r>
      <w:r>
        <w:t>. El 9 de mayo de 2008 se registra en este Tribunal el escrito presentado por el Abogado del Estado en el que comienza por cuestionar la legitimación activa de la Comunidad Autónoma, que según la demanda se fundamentaría en la vulneración de su autonomía financiera y del principio de solidaridad, aunque sin solicitar por este motivo la inadmisión del recurso. También con carácter previo, afirma el Abogado del Estado que el escrito de demanda no concreta de forma suficiente los motivos de inconstitucionalidad, limitándose a dirigir reproches generales sin la suficiente concreción, lo que de acuerdo con la doctrina constitucional (se cita la STC 13/2007, FJ 1) es insuficiente para conocer los concretos motivos de inconstitucionalidad.</w:t>
      </w:r>
    </w:p>
    <w:p w:rsidR="0026452D" w:rsidRDefault="0026452D" w:rsidP="0026452D">
      <w:pPr>
        <w:pStyle w:val="TextoNormal"/>
      </w:pPr>
    </w:p>
    <w:p w:rsidR="0026452D" w:rsidRDefault="0026452D" w:rsidP="0026452D">
      <w:pPr>
        <w:pStyle w:val="TextoNormal"/>
      </w:pPr>
      <w:r>
        <w:t>En cuanto al fondo, se interesa la desestimación íntegra del recurso con base en los siguientes razonamientos:</w:t>
      </w:r>
    </w:p>
    <w:p w:rsidR="0026452D" w:rsidRDefault="0026452D" w:rsidP="0026452D">
      <w:pPr>
        <w:pStyle w:val="TextoNormal"/>
      </w:pPr>
    </w:p>
    <w:p w:rsidR="0026452D" w:rsidRDefault="0026452D" w:rsidP="0026452D">
      <w:pPr>
        <w:pStyle w:val="TextoNormal"/>
      </w:pPr>
      <w:r>
        <w:t>En primer lugar, en cuanto al reproche de que se infringe el principio de solidaridad porque se excluye a otras Comunidades Autónomas de la transferencia que se cuestiona, afirma el escrito que el propio contenido necesario de la Ley de presupuestos exige identificar todos los elementos de las partidas presupuestarias, incluido el territorial, por lo que siempre podrá argumentarse dicha diferencia de trato individualizando respecto de cualquiera de ellas. Por ello, este motivo de inconstitucionalidad debe ser desestimado, ya que resulta contradictorio con la propia razón de ser de la Ley anual de presupuestos, que exige una detallada identificación del gasto precisamente para facilitar su control parlamentario posterior.</w:t>
      </w:r>
    </w:p>
    <w:p w:rsidR="0026452D" w:rsidRDefault="0026452D" w:rsidP="0026452D">
      <w:pPr>
        <w:pStyle w:val="TextoNormal"/>
      </w:pPr>
    </w:p>
    <w:p w:rsidR="0026452D" w:rsidRDefault="0026452D" w:rsidP="0026452D">
      <w:pPr>
        <w:pStyle w:val="TextoNormal"/>
      </w:pPr>
      <w:r>
        <w:t>Tampoco, en segundo lugar, implica la norma impugnada una ruptura del sistema de financiación, pues los mecanismos que lo integran permanecen inalterados, sin que la inversión que se controvierte, y que además tiene su fundamento en la necesidad de actualizar una serie de infraestructuras públicas que se encuentran obsoletas, implique modificación alguna del sistema de financiación o exclusión de otras Comunidades Autónomas.</w:t>
      </w:r>
    </w:p>
    <w:p w:rsidR="0026452D" w:rsidRDefault="0026452D" w:rsidP="0026452D">
      <w:pPr>
        <w:pStyle w:val="TextoNormal"/>
      </w:pPr>
    </w:p>
    <w:p w:rsidR="0026452D" w:rsidRDefault="0026452D" w:rsidP="0026452D">
      <w:pPr>
        <w:pStyle w:val="TextoNormal"/>
      </w:pPr>
      <w:r>
        <w:lastRenderedPageBreak/>
        <w:t>En tercer lugar, considera no fundadas las alegaciones relativas a la infracción de la solidaridad que la demanda relaciona con la nivelación de la prestación de servicios públicos, toda vez que la norma impugnada no se refiere ni tan siquiera a dichos servicios, sino a inversiones en infraestructuras, lo que debe ser nítidamente diferenciado. En todo caso, se precisa que tampoco dicha previsión presupuestaria altera los fondos de nivelación que recoge el art. 15 de la Ley Orgánica 8/1980, de 22 de septiembre, de financiación de las Comunidades Autónomas.</w:t>
      </w:r>
    </w:p>
    <w:p w:rsidR="0026452D" w:rsidRDefault="0026452D" w:rsidP="0026452D">
      <w:pPr>
        <w:pStyle w:val="TextoNormal"/>
      </w:pPr>
    </w:p>
    <w:p w:rsidR="0026452D" w:rsidRDefault="0026452D" w:rsidP="0026452D">
      <w:pPr>
        <w:pStyle w:val="TextoNormal"/>
      </w:pPr>
      <w:r>
        <w:t>Finalmente, en cuarto lugar, se afirma que el pretendido agravio al principio de solidaridad que se sostiene en la demanda se dirige en realidad contra la norma contenida en el Estatuto de Autonomía de Cataluña, por lo que no hay una adecuada correspondencia entre la causa de impugnación y el texto que se recurre.</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23 de abril de 2013 se señaló el día 23 del mismo mes y año para deliberación y votación de la presente Sentencia.</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recurso de inconstitucionalidad se interpone por el Gobierno de la Rioja contra la disposición adicional quincuagésima sexta de la Ley 51/2007, de 26 de diciembre, de presupuestos generales del Estado para el año 2008 (Ley 51/2007, en adelante). Con los motivos que se han expuesto en el antecedente primero, la disposición se considera contraria al principio de solidaridad, contenido en los arts. 2, 138, 156 y 158 de la Constitución; en los artículos 1.1, 2.1 b) y c), y 4 de la Ley Orgánica 8/1980, de 22 de septiembre, de financiación delas Comunidades Autónomas (en adelante, LOFCA); y los arts. 1.3, 43, 45 y 47 del Estatuto de Autonomía de La Rioja. El Abogado del Estado interesa la desestimación, con los argumentos que han quedado ya recogidos en el antecedente quinto.</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al examen de fondo, procede realizar las siguientes precisiones en relación con el objeto del recurso.</w:t>
      </w:r>
    </w:p>
    <w:p w:rsidR="0026452D" w:rsidRDefault="0026452D" w:rsidP="0026452D">
      <w:pPr>
        <w:pStyle w:val="TextoNormal"/>
      </w:pPr>
    </w:p>
    <w:p w:rsidR="0026452D" w:rsidRDefault="0026452D" w:rsidP="0026452D">
      <w:pPr>
        <w:pStyle w:val="TextoNormal"/>
      </w:pPr>
      <w:r>
        <w:t>a) En primer lugar, sobre la pervivencia misma de su objeto, pues la disposición recurrida ha agotado ya sus efectos, al haber finalizado el ejercicio presupuestario para el que fue aprobada, de acuerdo con el principio de anualidad del presupuesto (art. 134.2 CE). Pues bien, de acuerdo con nuestra reiterada doctrina ello no determina, sin más, la desaparición del objeto del presente recurso de inconstitucionalidad, pues ello sería tanto como dejar el enjuiciamiento de las normas de vigencia limitada en el tiempo extramuros del control de la jurisdicción constitucional [SSTC 3/2003, de 16 de enero, FJ 2; 13/2007, de 18 de enero, FJ 1; 248/2007, de 13 de diciembre, FJ 2; y 204/2011, de 15 de diciembre, FJ 2 a)].</w:t>
      </w:r>
    </w:p>
    <w:p w:rsidR="0026452D" w:rsidRDefault="0026452D" w:rsidP="0026452D">
      <w:pPr>
        <w:pStyle w:val="TextoNormal"/>
      </w:pPr>
    </w:p>
    <w:p w:rsidR="0026452D" w:rsidRDefault="0026452D" w:rsidP="0026452D">
      <w:pPr>
        <w:pStyle w:val="TextoNormal"/>
      </w:pPr>
      <w:r>
        <w:t xml:space="preserve">b) La legitimidad del recurrente para plantear la presente controversia ha sido cuestionada, como se ha expuesto en los antecedentes, por el Abogado del Estado. Al respecto conviene recordar nuestra doctrina, sucintamente recogida en la STC 96/2002, de 25 de abril, en cuyo fundamento jurídico 3 afirmamos que “cuando una Comunidad Autónoma impugna una Ley está ‘poniendo de manifiesto la existencia de un interés público objetivo en que el Tribunal Constitucional desarrolle su función de garantizar la supremacía de la </w:t>
      </w:r>
      <w:r>
        <w:lastRenderedPageBreak/>
        <w:t>Constitución mediante el enjuiciamiento de la ley impugnada’ [STC 86/1982, de 23 de diciembre, FJ 2, citada, al efecto, por la STC 180/2000, de 19 de junio, FJ 2 a)]”, por lo que en aplicación de esta doctrina ningún óbice cabría aquí oponer. Adicionalmente, en la demanda se invoca una posible lesión de su autonomía financiera, si bien a consecuencia de la infracción del principio de solidaridad. Pues bien, teniendo en cuenta que dicha autonomía constituye un “instrumento indispensable para la consecución de la autonomía política” (por todas, STC 96/2002, FJ 3), no cabe dudar del legítimo interés que tiene la Comunidad Autónoma recurrente, sin que se prejuzgue por ello el resultado del presente pleito.</w:t>
      </w:r>
    </w:p>
    <w:p w:rsidR="0026452D" w:rsidRDefault="0026452D" w:rsidP="0026452D">
      <w:pPr>
        <w:pStyle w:val="TextoNormal"/>
      </w:pPr>
    </w:p>
    <w:p w:rsidR="0026452D" w:rsidRDefault="0026452D" w:rsidP="0026452D">
      <w:pPr>
        <w:pStyle w:val="TextoNormal"/>
      </w:pPr>
      <w:r>
        <w:t>c) Finalmente, conviene precisar los motivos de impugnación, pues en la demanda se alegan como vulnerados los arts. 2, 138, 156 y 158 de la Constitución, añadiendo la mención de los artículos 1.1, 2.1 b), 2.1 c), y 4 LOFCA; y los arts. 1.3, 43, 45 y 47 del Estatuto de Autonomía de La Rioja, invocándose tanto el principio de solidaridad como la autonomía financiera. Ahora bien, lo cierto es que la carga argumental desplegada se limita a señalar que la disposición que se controvierte, al crear un mecanismo de financiación específico para la Comunidad Autónoma de Cataluña, estaría creando una diferencia de trato incompatible con el principio de solidaridad lo que vulneraría, además, su autonomía financiera. Como señala el Abogado del Estado en su escrito, difícilmente dicha argumentación levanta la carga procesal de exponer razonadamente los motivos que justificarían la expulsión de la norma del ordenamiento jurídico por parte de este Tribunal pues, como hemos reiterado en numerosas ocasiones, la presunción de constitucionalidad de normas con rango de ley no puede desvirtuarse sin un mínimo de argumentación, sin que quepan por tanto impugnaciones globales carentes de una razón suficientemente desarrollada [por todas, con cita de muchas anteriores, STC 204/2011, de 15 de diciembre, FJ 2 b)]. Por tanto, el canon de constitucionalidad de nuestro enjuiciamiento estará constituido, exclusivamente, por el citado principio de solidaridad a que se refiere el art. 158 CE.</w:t>
      </w:r>
    </w:p>
    <w:p w:rsidR="0026452D" w:rsidRDefault="0026452D" w:rsidP="0026452D">
      <w:pPr>
        <w:pStyle w:val="TextoNormal"/>
      </w:pPr>
    </w:p>
    <w:p w:rsidR="0026452D" w:rsidRDefault="0026452D" w:rsidP="0026452D">
      <w:pPr>
        <w:pStyle w:val="TextoNormal"/>
      </w:pPr>
      <w:r w:rsidRPr="0026452D">
        <w:rPr>
          <w:rStyle w:val="NumeroAFNegritaCaracter"/>
        </w:rPr>
        <w:t>3</w:t>
      </w:r>
      <w:r>
        <w:t>. Entrando ya en el fondo, es objeto de este recurso de inconstitucionalidad la disposición adicional quincuagésima sexta de la Ley 51/2007, que tiene el siguiente tenor:</w:t>
      </w:r>
    </w:p>
    <w:p w:rsidR="0026452D" w:rsidRDefault="0026452D" w:rsidP="0026452D">
      <w:pPr>
        <w:pStyle w:val="TextoNormal"/>
      </w:pPr>
    </w:p>
    <w:p w:rsidR="0026452D" w:rsidRDefault="0026452D" w:rsidP="0026452D">
      <w:pPr>
        <w:pStyle w:val="TextoNormal"/>
      </w:pPr>
      <w:r>
        <w:t>“Aplicación de la metodología para el cumplimiento de la disposición adicional tercera del Estatuto de Autonomía de Catalunya</w:t>
      </w:r>
    </w:p>
    <w:p w:rsidR="0026452D" w:rsidRDefault="0026452D" w:rsidP="0026452D">
      <w:pPr>
        <w:pStyle w:val="TextoNormal"/>
      </w:pPr>
    </w:p>
    <w:p w:rsidR="0026452D" w:rsidRDefault="0026452D" w:rsidP="0026452D">
      <w:pPr>
        <w:pStyle w:val="TextoNormal"/>
      </w:pPr>
      <w:r>
        <w:t>Acordada en la Comisión bilateral Estado-Generalitat de Catalunya la metodología para determinar el cumplimiento de la disposición adicional tercera del Estatuto de Autonomía de Catalunya, según lo previsto por la disposición adicional quincuagésima séptima de la Ley 42/2006, de 28 de diciembre, de Presupuestos Generales del Estado para el año 2007, se establece, en aplicación de dicha metodología, en un importe de 4.365.293,07 miles de euros la inversión del Estado en Catalunya en infraestructuras en el año 2008.</w:t>
      </w:r>
    </w:p>
    <w:p w:rsidR="0026452D" w:rsidRDefault="0026452D" w:rsidP="0026452D">
      <w:pPr>
        <w:pStyle w:val="TextoNormal"/>
      </w:pPr>
    </w:p>
    <w:p w:rsidR="0026452D" w:rsidRDefault="0026452D" w:rsidP="0026452D">
      <w:pPr>
        <w:pStyle w:val="TextoNormal"/>
      </w:pPr>
      <w:r>
        <w:t>Una vez finalizado el ejercicio 2008 y obtenidos los datos de liquidación del mismo, se verificará el cumplimiento de dicha disposición adicional tercera, mediante la comprobación de que las inversiones estatales ejecutadas en Catalunya alcanzan su porcentaje de participación en el Producto Interior Bruto estatal, respecto al importe total de la ejecución territorializada de las inversiones estatales, como asimismo se establece en la metodología acordada, con el fin de corregir, en su caso, la desviación que haya podido producirse.</w:t>
      </w:r>
    </w:p>
    <w:p w:rsidR="0026452D" w:rsidRDefault="0026452D" w:rsidP="0026452D">
      <w:pPr>
        <w:pStyle w:val="TextoNormal"/>
      </w:pPr>
    </w:p>
    <w:p w:rsidR="0026452D" w:rsidRDefault="0026452D" w:rsidP="0026452D">
      <w:pPr>
        <w:pStyle w:val="TextoNormal"/>
      </w:pPr>
      <w:r>
        <w:lastRenderedPageBreak/>
        <w:t>Según se establece en la disposición adicional quincuagésima séptima de la Ley de Presupuestos Generales del Estado para 2007, y dado que el resultado de la aplicación de la metodología citada anteriormente difiere del previsto en la aplicada en los Presupuestos de 2007, será necesaria una compensación que se realizará en los ejercicios presupuestarios de 2008 y 2009.”</w:t>
      </w:r>
    </w:p>
    <w:p w:rsidR="0026452D" w:rsidRDefault="0026452D" w:rsidP="0026452D">
      <w:pPr>
        <w:pStyle w:val="TextoNormal"/>
      </w:pPr>
    </w:p>
    <w:p w:rsidR="0026452D" w:rsidRDefault="0026452D" w:rsidP="0026452D">
      <w:pPr>
        <w:pStyle w:val="TextoNormal"/>
      </w:pPr>
      <w:r>
        <w:t>Para un mejor encuadre de la presente controversia, es pertinente hacer una somera referencia al contexto normativo en que la misma se enmarca.</w:t>
      </w:r>
    </w:p>
    <w:p w:rsidR="0026452D" w:rsidRDefault="0026452D" w:rsidP="0026452D">
      <w:pPr>
        <w:pStyle w:val="TextoNormal"/>
      </w:pPr>
    </w:p>
    <w:p w:rsidR="0026452D" w:rsidRDefault="0026452D" w:rsidP="0026452D">
      <w:pPr>
        <w:pStyle w:val="TextoNormal"/>
      </w:pPr>
      <w:r>
        <w:t>La disposición adicional tercera del Estatuto de Autonomía de Cataluña (EAC), tras su reforma mediante la Ley Orgánica 6/2006, de 19 de julio, lleva por título “Inversiones en infraestructuras”, y establece en su apartado primero que la inversión del Estado en la Comunidad Autónoma de Cataluña, excluyendo la instrumentada a través del Fondo de Compensación Interterritorial, deberá equipararse “a la participación relativa del producto interior bruto de Cataluña con relación al producto interior bruto del Estado para un periodo de siete años”. El citado apartado primero de esta disposición fue objeto de impugnación en el recurso de inconstitucionalidad resuelto en la STC 31/2010, de 28 de junio, en cuyo fundamento jurídico 138 declaramos la constitucionalidad del precepto, si bien circunscrito a la interpretación que al mismo debía darse, en los términos que enseguida se expondrán.</w:t>
      </w:r>
    </w:p>
    <w:p w:rsidR="0026452D" w:rsidRDefault="0026452D" w:rsidP="0026452D">
      <w:pPr>
        <w:pStyle w:val="TextoNormal"/>
      </w:pPr>
    </w:p>
    <w:p w:rsidR="0026452D" w:rsidRDefault="0026452D" w:rsidP="0026452D">
      <w:pPr>
        <w:pStyle w:val="TextoNormal"/>
      </w:pPr>
      <w:r>
        <w:t>Pues bien, a partir de la entrada en vigor del vigente Estatuto de Autonomía de Cataluña, algunas leyes de presupuestos del Estado han hecho referencia a la citada disposición adicional tercera del Estatuto, o en general a la norma estatutaria, al delimitar algunas inversiones estatales a realizar en esta Comunidad. Así, con posterioridad a la norma impugnada, la Ley 2/2008, de 23 de diciembre, de presupuestos generales del Estado para el año 2009, recogió una previsión similar en su disposición adicional sexagésima tercera, titulada “Convenios en materia de inversiones en la Comunidad Autónoma de Cataluña”, y del siguiente tenor: “[e]n los Convenios a celebrar con la Comunidad Autónoma de Cataluña a financiar con cargo al concepto presupuestario 32.18.941O.750 ‘Para la celebración de Convenios con las Comunidades Autónomas de Cataluña e Illes Balears en cumplimiento de lo establecido en sus respectivos Estatutos de Autonomía en materia de inversiones’, se contemplarán los proyectos de inversión contenidos en el Anexo XVII de esta Ley”. Posteriormente, la Ley 26/2009, de 23 de diciembre, de presupuestos generales del Estado para el año 2010, estableció dichas transferencias en la disposición adicional decimosexta, titulada “Convenios en materia de inversiones con las Comunidades Autónomas de Cataluña, Illes Balears y Castilla y León”. La Ley 39/2010, de 22 de diciembre, de presupuestos generales del Estado para el año 2011, en su disposición adicional trigésimo octava, recogió una serie de “Convenios en materia de inversiones con las Comunidades Autónomas de Andalucía, Aragón, Castilla y León, Cataluña e Illes Balears”. Finalmente, ni la Ley 2/2012, de 29 de junio, de presupuestos generales del Estado para el año 2012, ni la Ley 17/2012, de 27 de diciembre, de presupuestos generales del Estado para el año 2013 han incluido una partida específica con la citada denominación. El propio tenor de estas similares disposiciones presupuestarias, que reflejan inversiones en diferentes Comunidades Autónomas, permite adelantar la conclusión de que no se establece, mediante las leyes de presupuestos, un régimen excepcional para la Comunidad Autónoma de Cataluña.</w:t>
      </w:r>
    </w:p>
    <w:p w:rsidR="0026452D" w:rsidRDefault="0026452D" w:rsidP="0026452D">
      <w:pPr>
        <w:pStyle w:val="TextoNormal"/>
      </w:pPr>
    </w:p>
    <w:p w:rsidR="0026452D" w:rsidRDefault="0026452D" w:rsidP="0026452D">
      <w:pPr>
        <w:pStyle w:val="TextoNormal"/>
      </w:pPr>
      <w:r>
        <w:t xml:space="preserve">La norma impugnada en el presente recurso de inconstitucionalidad supone la concreción presupuestaria de la inversión del Estado en la Comunidad Autónoma de Cataluña para el </w:t>
      </w:r>
      <w:r>
        <w:lastRenderedPageBreak/>
        <w:t>ejercicio de 2008, en conexión con la disposición adicional tercera EAC. Como ha quedado recogido en el antecedente primero de esta Sentencia, la demanda parte de la premisa de que la citada disposición del Estatuto de Autonomía de Cataluña es la consecuencia de la aparición encubierta de un nuevo sistema de financiación autonómica, que habría surgido, se argumenta, en los entresijos del proceso de reforma de los Estatutos de Autonomía. A partir de ahí, se sostiene que la disposición adicional que ahora se impugna atenta contra el principio de solidaridad interterritorial, toda vez que se establecería en ella un privilegio, al regular una garantía de inversión que no tiene en cuenta las necesidades de otros territorios, pues en definitiva se dedican asignaciones presupuestarias concretas que limitarían la realización de las mismas asignaciones para otras Comunidades Autónomas. Se afirma en la demanda que la realización por el Estado de esta clase de transferencias está constitucionalmente condicionada a que la misma transferencia pudiera haber sido concretada para el resto de Comunidades Autónomas. Finalmente, se alega que el hecho de que las inversiones del Estado en Cataluña se financien en proporción a la participación en el producto interior bruto del Estado de esta Comunidad Autónoma también se reputa contrario a la solidaridad, pues este principio habría exigido que se produjera una transferencia de recursos desde las Comunidades Autónomas que ostenten mayor capacidad económica hacia las que presenten niveles inferiores.</w:t>
      </w:r>
    </w:p>
    <w:p w:rsidR="0026452D" w:rsidRDefault="0026452D" w:rsidP="0026452D">
      <w:pPr>
        <w:pStyle w:val="TextoNormal"/>
      </w:pPr>
    </w:p>
    <w:p w:rsidR="0026452D" w:rsidRDefault="0026452D" w:rsidP="0026452D">
      <w:pPr>
        <w:pStyle w:val="TextoNormal"/>
      </w:pPr>
      <w:r w:rsidRPr="0026452D">
        <w:rPr>
          <w:rStyle w:val="NumeroAFNegritaCaracter"/>
        </w:rPr>
        <w:t>4</w:t>
      </w:r>
      <w:r>
        <w:t>. Pues bien, como se ha adelantado en el fundamento anterior, sobre la disposición adicional tercera EAC nos pronunciamos ya en la STC 31/2010, de 28 de junio, de cuya doctrina debemos por tanto partir ahora. Constatamos en el fundamento jurídico 138 de esta Sentencia que la citada disposición no era expresiva de un “privilegio económico” y ello, por dos razones: en primer lugar, “porque, a los fines de la realización efectiva del principio de solidaridad, no puede atenderse únicamente a una sola de entre las numerosas variables que, como la ahora examinada, concurren a la formación de un sistema de financiación autonómica” y, en segundo lugar, porque dicha disposición no resulta vinculante para el Estado, de manera que no es “un recurso que el Estado deba consignar obligatoriamente en los presupuestos generales de cada ejercicio económico” ya que “es al Estado a quien corresponde en exclusiva, atendiendo a la totalidad de los instrumentos para la financiación de las Comunidades Autónomas, a las necesidades de cada una de éstas y a las posibilidades reales del sistema financiero del Estado, decidir si procede dotar, en su caso, y en qué cuantía aquellas asignaciones en virtud de la competencia exclusiva que sobre la materia le atribuye el art. 149.1.14 CE (hacienda general)”. Concluimos así que “[l]a disposición adicional tercera, apartado 1, debe, pues, interpretarse en el sentido de que no vincula al Estado en la definición de su política de inversiones, ni menoscaba la plena libertad de las Cortes Generales para decidir sobre la existencia y cuantía de dichas inversiones. Interpretada en esos términos, la disposición adicional tercera, apartado 1, EAC no es contraria a la Constitución y así se dispondrá en el fallo”.</w:t>
      </w:r>
    </w:p>
    <w:p w:rsidR="0026452D" w:rsidRDefault="0026452D" w:rsidP="0026452D">
      <w:pPr>
        <w:pStyle w:val="TextoNormal"/>
      </w:pPr>
    </w:p>
    <w:p w:rsidR="0026452D" w:rsidRDefault="0026452D" w:rsidP="0026452D">
      <w:pPr>
        <w:pStyle w:val="TextoNormal"/>
      </w:pPr>
      <w:r>
        <w:t>Procede trasladar ahora la anterior doctrina a la presente controversia, lo que permite desestimar la tacha de inconstitucionalidad invocada.</w:t>
      </w:r>
    </w:p>
    <w:p w:rsidR="0026452D" w:rsidRDefault="0026452D" w:rsidP="0026452D">
      <w:pPr>
        <w:pStyle w:val="TextoNormal"/>
      </w:pPr>
    </w:p>
    <w:p w:rsidR="0026452D" w:rsidRDefault="0026452D" w:rsidP="0026452D">
      <w:pPr>
        <w:pStyle w:val="TextoNormal"/>
      </w:pPr>
      <w:r>
        <w:t xml:space="preserve">En efecto, si concluimos en la citada STC 31/2010 que la disposición adicional tercera EAC no es inconstitucional en la medida en que no vincula al Estado, ni menoscaba en absoluto la libertad de las Cortes Generales para definir la política de inversiones estatales la concreción presupuestaria, en la norma que ahora se impugna, no es más que expresión de esa libertad parlamentaria, sin que quepa enjuiciar aquí nuevamente y </w:t>
      </w:r>
      <w:r w:rsidRPr="0026452D">
        <w:rPr>
          <w:i/>
        </w:rPr>
        <w:t>per saltum</w:t>
      </w:r>
      <w:r>
        <w:t xml:space="preserve">, una </w:t>
      </w:r>
      <w:r>
        <w:lastRenderedPageBreak/>
        <w:t>disposición estatutaria sobre la que ya nos hemos pronunciado. El principio de solidaridad como recordamos también en la citada STC 31/2010 (FJ 138), se hace efectivo a través de diversas variables, sin que pueda, examinando aisladamente una partida presupuestaria, asumirse sin más su vulneración, máxime cuando tampoco en la demanda se concreta la afectación al principio de solidaridad, y sin que sea suficiente, para entender que ha sido vulnerado su mera invocación genérica por la existencia de una partida presupuestaria específica que refleja la política de inversiones para el ejercicio, por mucho que dicha partida afecte a un determinado territorio o, como en este caso, a una Comunidad Autónoma en particular, pues ello sería tanto como pretender que cualquier partida presupuestaria cuyo impacto se proyecte de manera especial sobre un determinado territorio —como, por ejemplo, una gran obra pública o la creación de un centro de investigación— supondría también una desviación del sistema de financiación.</w:t>
      </w:r>
    </w:p>
    <w:p w:rsidR="0026452D" w:rsidRDefault="0026452D" w:rsidP="0026452D">
      <w:pPr>
        <w:pStyle w:val="TextoNormal"/>
      </w:pPr>
    </w:p>
    <w:p w:rsidR="0026452D" w:rsidRDefault="0026452D" w:rsidP="0026452D">
      <w:pPr>
        <w:pStyle w:val="TextoNormal"/>
      </w:pPr>
      <w:r>
        <w:t xml:space="preserve">Debemos además descartar que la disposición adicional quincuagésima sexta de la Ley 51/2007 que ahora se impugna sea el reflejo de un sistema de financiación encubierto, o incluso una modificación del vigente, en los términos que sugiere la demanda. En efecto, una cosa es que el sistema de financiación autonómica establecido mediante ley pueda dar lugar a transferencias de recursos a las Comunidades Autónomas, que han de ser concretadas en la ley de presupuestos, pues a ello obligan los principios de unidad y universalidad presupuestaria (por todas, STC 3/2003, de 16 de enero, FJ 4) y otra muy distinta, que cada vez que una partida presupuestaria tenga un impacto territorial específico ello merezca la consideración, </w:t>
      </w:r>
      <w:r w:rsidRPr="0026452D">
        <w:rPr>
          <w:i/>
        </w:rPr>
        <w:t>per se</w:t>
      </w:r>
      <w:r>
        <w:t>, de una alteración del sistema de financiación autonómica. Pues bien en este caso ni el sistema de financiación en su conjunto ni tampoco los instrumentos que específicamente sirven a hacer efectivo el principio de solidaridad recogido en el art. 158 CE, se han visto modificados por la disposición que ahora se controvierte.</w:t>
      </w:r>
    </w:p>
    <w:p w:rsidR="0026452D" w:rsidRDefault="0026452D" w:rsidP="0026452D">
      <w:pPr>
        <w:pStyle w:val="TextoNormal"/>
      </w:pPr>
    </w:p>
    <w:p w:rsidR="0026452D" w:rsidRDefault="0026452D" w:rsidP="0026452D">
      <w:pPr>
        <w:pStyle w:val="TextoNormal"/>
      </w:pPr>
      <w:r>
        <w:t>Finalmente, y como también se afirmó en el mismo fundamento jurídico 138 de la STC 31/2010, corresponde en última instancia al Estado, mediante la ley de presupuestos, decidir su política de inversiones, lo que implica fijar las partidas a dotar en función de las necesidades de cada territorio, entre otros criterios constitucionalmente admisibles, siendo en definitiva el ejercicio de esta opción parte del poder de disposición estatal sobre su propio presupuesto.</w:t>
      </w:r>
    </w:p>
    <w:p w:rsidR="0026452D" w:rsidRDefault="0026452D" w:rsidP="0026452D">
      <w:pPr>
        <w:pStyle w:val="TextoNormal"/>
      </w:pPr>
    </w:p>
    <w:p w:rsidR="0026452D" w:rsidRDefault="0026452D" w:rsidP="0026452D">
      <w:pPr>
        <w:pStyle w:val="TextoNormal"/>
      </w:pPr>
      <w:r>
        <w:t>Por todo lo anterior, procede desestimar la pretensión de inconstitucionalidad de la disposición adicional quincuagésima sexta de la Ley 51/2007, de 26 de diciembre, de presupuestos generales del Estado para el año 2008.</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lastRenderedPageBreak/>
        <w:t>Dada en Madrid, a veintitrés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04" w:name="SENTENCIA_2013_101"/>
      <w:r>
        <w:lastRenderedPageBreak/>
        <w:t>SENTENCIA 101/2013, de 23 de abril de 2013</w:t>
      </w:r>
    </w:p>
    <w:bookmarkEnd w:id="104"/>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ECLI:ES:TC:2013:101</w:t>
      </w:r>
    </w:p>
    <w:p w:rsidR="0026452D" w:rsidRDefault="0026452D" w:rsidP="0026452D">
      <w:pPr>
        <w:pStyle w:val="SntesisDescriptiva"/>
      </w:pPr>
    </w:p>
    <w:p w:rsidR="0026452D" w:rsidRDefault="0026452D" w:rsidP="0026452D">
      <w:pPr>
        <w:pStyle w:val="SntesisDescriptiva"/>
      </w:pPr>
      <w:r>
        <w:t>Recurso de inconstitucionalidad 2410-2008. Interpuesto por el Gobierno de Canarias en relación con diversos preceptos de la Ley 51/2007, de 26 de diciembre, de presupuestos Generales del Estado para 2008.</w:t>
      </w:r>
    </w:p>
    <w:p w:rsidR="0026452D" w:rsidRDefault="0026452D" w:rsidP="0026452D">
      <w:pPr>
        <w:pStyle w:val="SntesisDescriptiva"/>
      </w:pPr>
    </w:p>
    <w:p w:rsidR="0026452D" w:rsidRDefault="0026452D" w:rsidP="0026452D">
      <w:pPr>
        <w:pStyle w:val="SntesisAnaltica"/>
      </w:pPr>
      <w:r>
        <w:t>Sistema de financiación autonómica: constitucionalidad de los preceptos legales que determinan las cuantías de los fondos de compensación interterritorial, establecen la compensación por la supresión del impuesto general sobre el tráfico de empresas y fijan el importe de la inversión estatal en Canarias.</w:t>
      </w:r>
    </w:p>
    <w:p w:rsidR="0026452D" w:rsidRDefault="0026452D" w:rsidP="0026452D">
      <w:pPr>
        <w:pStyle w:val="SntesisAnaltica"/>
      </w:pPr>
    </w:p>
    <w:p w:rsidR="0026452D" w:rsidRDefault="0026452D" w:rsidP="0026452D">
      <w:pPr>
        <w:pStyle w:val="Extracto"/>
      </w:pPr>
      <w:r>
        <w:t>1.</w:t>
      </w:r>
      <w:r>
        <w:tab/>
        <w:t>Se desestima la inconstitucionalidad del precepto impugnado, pues la dotación de los fondos de compensación interterritorial prevista en los presupuestos generales del Estado para 2008 ha cumplido el mandato, contenido en la LOFCA y en la Ley reguladora de los Fondos de Compensación Interterritorial, de que se fije el porcentaje mediante ley de presupuestos, superando además dicha previsión sobradamente el mínimo del 30 por cien de media a que se refiere el art. 16 LOFCA (SSTC 27/1981, 9/2013) [FJ 6].</w:t>
      </w:r>
    </w:p>
    <w:p w:rsidR="0026452D" w:rsidRDefault="0026452D" w:rsidP="0026452D">
      <w:pPr>
        <w:pStyle w:val="Extracto"/>
      </w:pPr>
    </w:p>
    <w:p w:rsidR="0026452D" w:rsidRDefault="0026452D" w:rsidP="0026452D">
      <w:pPr>
        <w:pStyle w:val="Extracto"/>
      </w:pPr>
      <w:r>
        <w:t>2.</w:t>
      </w:r>
      <w:r>
        <w:tab/>
        <w:t>La compensación del impuesto general sobre el tráfico de empresas prevista en el estado de ingresos del presupuesto del Estado no supone una modificación del fondo de suficiencia para la Comunidad Autónoma de Canarias, pues ni se ha modificado la normativa ni minorado su dotación [FFJJ 8 a 10].</w:t>
      </w:r>
    </w:p>
    <w:p w:rsidR="0026452D" w:rsidRDefault="0026452D" w:rsidP="0026452D">
      <w:pPr>
        <w:pStyle w:val="Extracto"/>
      </w:pPr>
    </w:p>
    <w:p w:rsidR="0026452D" w:rsidRDefault="0026452D" w:rsidP="0026452D">
      <w:pPr>
        <w:pStyle w:val="Extracto"/>
      </w:pPr>
      <w:r>
        <w:t>3.</w:t>
      </w:r>
      <w:r>
        <w:tab/>
        <w:t>Debemos descartar que los estados de gastos relativos a la inversión del Estado aprobados en la Ley de presupuestos impugnada hayan modificado el régimen económico-fiscal de Canarias ni tampoco nos encontremos ante un supuesto de legislación financiera o tributaria que afecte a dicho régimen, ya que, sin perjuicio del plus de participación de esta Comunidad Autónoma en los proyectos de legislación financiera y tributaria que afecten a su régimen económico-fiscal, ello no determina la excepcionalidad al régimen constitucional común (SSTC 16/2003, 62/2003) [FJ 11].</w:t>
      </w:r>
    </w:p>
    <w:p w:rsidR="0026452D" w:rsidRDefault="0026452D" w:rsidP="0026452D">
      <w:pPr>
        <w:pStyle w:val="Extracto"/>
      </w:pPr>
    </w:p>
    <w:p w:rsidR="0026452D" w:rsidRDefault="0026452D" w:rsidP="0026452D">
      <w:pPr>
        <w:pStyle w:val="Extracto"/>
      </w:pPr>
      <w:r>
        <w:t>4.</w:t>
      </w:r>
      <w:r>
        <w:tab/>
        <w:t>En el sistema constitucional de reparto de competencias financieras no caben compartimentos estancos, al margen del ordenamiento jurídico general, de forma que las Comunidades Autónomas no están habilitadas para elegir de forma unilateral el sistema con arreglo al cual deberán financiarse (SSTC 204/2011, 208/2012) [FJ 11].</w:t>
      </w:r>
    </w:p>
    <w:p w:rsidR="0026452D" w:rsidRDefault="0026452D" w:rsidP="0026452D">
      <w:pPr>
        <w:pStyle w:val="Extracto"/>
      </w:pPr>
    </w:p>
    <w:p w:rsidR="0026452D" w:rsidRDefault="0026452D" w:rsidP="0026452D">
      <w:pPr>
        <w:pStyle w:val="Extracto"/>
      </w:pPr>
      <w:r>
        <w:t>5.</w:t>
      </w:r>
      <w:r>
        <w:tab/>
        <w:t>Los compromisos presupuestarios formalizados en un Estatuto de Autonomía, no constituyen un recurso que el Estado deba consignar obligatoriamente en los presupuestos generales de cada ejercicio económico, pues es al Estado a quien corres</w:t>
      </w:r>
      <w:r>
        <w:lastRenderedPageBreak/>
        <w:t xml:space="preserve">ponde en exclusiva, atendiendo a la totalidad de los instrumentos para la financiación de las Comunidades Autónomas, a las necesidades de cada una de éstas y a las posibilidades reales del sistema financiero del Estado, decidir si procede dotar y en qué cuantía aquellas asignaciones en virtud de su competencia exclusiva en materia de ‘hacienda general’ </w:t>
      </w:r>
      <w:r w:rsidRPr="0026452D">
        <w:rPr>
          <w:i/>
        </w:rPr>
        <w:t>ex</w:t>
      </w:r>
      <w:r>
        <w:t xml:space="preserve"> art. 149.1.14 CE (SSTC 13/2007, 31/2010) [FJ 11].</w:t>
      </w:r>
    </w:p>
    <w:p w:rsidR="0026452D" w:rsidRDefault="0026452D" w:rsidP="0026452D">
      <w:pPr>
        <w:pStyle w:val="Extracto"/>
      </w:pPr>
    </w:p>
    <w:p w:rsidR="0026452D" w:rsidRDefault="0026452D" w:rsidP="0026452D">
      <w:pPr>
        <w:pStyle w:val="Extracto"/>
      </w:pPr>
      <w:r>
        <w:t>6.</w:t>
      </w:r>
      <w:r>
        <w:tab/>
        <w:t>Doctrina sobre la coordinación del Estado en materia de financiación de las Comunidades Autónomas (SSTC 11/1984, 194/2004) [FJ 3].</w:t>
      </w:r>
    </w:p>
    <w:p w:rsidR="0026452D" w:rsidRDefault="0026452D" w:rsidP="0026452D">
      <w:pPr>
        <w:pStyle w:val="Extracto"/>
      </w:pPr>
    </w:p>
    <w:p w:rsidR="0026452D" w:rsidRDefault="0026452D" w:rsidP="0026452D">
      <w:pPr>
        <w:pStyle w:val="Extracto"/>
      </w:pPr>
      <w:r>
        <w:t>7.</w:t>
      </w:r>
      <w:r>
        <w:tab/>
        <w:t>La seguridad jurídica ha de entenderse como la certeza sobre el ordenamiento jurídico aplicable y los intereses jurídicamente tutelados, de tal manera que, sólo si el contenido o las omisiones de un texto normativo produjeran confusión o dudas que generaran en sus destinatarios una incertidumbre razonablemente insuperable acerca de la conducta exigible o sobre la previsibilidad de sus efectos, podría concluirse que la norma infringe el principio de seguridad jurídica (SSTC 46/1990, 96/2002) [FJ 10].</w:t>
      </w:r>
    </w:p>
    <w:p w:rsidR="0026452D" w:rsidRDefault="0026452D" w:rsidP="0026452D">
      <w:pPr>
        <w:pStyle w:val="Extracto"/>
      </w:pPr>
    </w:p>
    <w:p w:rsidR="0026452D" w:rsidRDefault="0026452D" w:rsidP="0026452D">
      <w:pPr>
        <w:pStyle w:val="Extracto"/>
      </w:pPr>
      <w:r>
        <w:t>8.</w:t>
      </w:r>
      <w:r>
        <w:tab/>
        <w:t>La garantía institucional no asegura un contenido concreto o un ámbito competencial determinado y fijado de una vez por todas, sino la preservación de una institución en términos recognoscibles para la imagen que de la misma tiene la conciencia social en cada tiempo y lugar, que es desconocida cuando la institución es limitada de tal modo que se la priva prácticamente de sus posibilidades de existencia real para convertirse en un simple nombre (SSTC 32/1981, 16/2003) [FJ 11].</w:t>
      </w:r>
    </w:p>
    <w:p w:rsidR="0026452D" w:rsidRDefault="0026452D" w:rsidP="0026452D">
      <w:pPr>
        <w:pStyle w:val="Extracto"/>
      </w:pPr>
    </w:p>
    <w:p w:rsidR="0026452D" w:rsidRDefault="0026452D" w:rsidP="0026452D">
      <w:pPr>
        <w:pStyle w:val="Extracto"/>
      </w:pPr>
      <w:r>
        <w:t>9.</w:t>
      </w:r>
      <w:r>
        <w:tab/>
        <w:t>La presunción de constitucionalidad de normas con rango de ley no puede desvirtuarse sin una argumentación suficiente, no siendo admisibles las impugnaciones globales carentes de un razonamiento desarrollado que las sustente (SSTC 238/2007, 204/2011) [FJ 11].</w:t>
      </w:r>
    </w:p>
    <w:p w:rsidR="0026452D" w:rsidRDefault="0026452D" w:rsidP="0026452D">
      <w:pPr>
        <w:pStyle w:val="Extracto"/>
      </w:pPr>
    </w:p>
    <w:p w:rsidR="0026452D" w:rsidRDefault="0026452D" w:rsidP="0026452D">
      <w:pPr>
        <w:pStyle w:val="Extracto"/>
      </w:pPr>
      <w:r>
        <w:t>10.</w:t>
      </w:r>
      <w:r>
        <w:tab/>
        <w:t>Hemos rechazado la posibilidad de que este Tribunal se pronuncie de forma preventiva, lo que sucedería si se admitiera la posibilidad de enjuiciar la previsión de inversión que se realiza en la Ley de presupuestos, toda vez que no hay datos para concluir que el resultado habría de ser el denunciado (SSTC 176/1999, 204/2011) [FJ 11].</w:t>
      </w:r>
    </w:p>
    <w:p w:rsidR="0026452D" w:rsidRDefault="0026452D" w:rsidP="0026452D">
      <w:pPr>
        <w:pStyle w:val="Extracto"/>
      </w:pPr>
    </w:p>
    <w:p w:rsidR="0026452D" w:rsidRDefault="0026452D" w:rsidP="0026452D">
      <w:pPr>
        <w:pStyle w:val="Extracto"/>
      </w:pPr>
      <w:r>
        <w:t>11.</w:t>
      </w:r>
      <w:r>
        <w:tab/>
        <w:t>Como regla general los procesos de inconstitucionalidad pierden su objeto cuando la norma que se impugna no forma parte ya del ordenamiento jurídico, ahora bien, esta regla tiene una excepción en el caso de las leyes de vigencia determinada, entre las que se encuentran las de presupuestos que por mandato constitucional tienen vigencia anual, pues de lo contrario resultaría que este tipo de normas quedarían en muchos casos extramuros del examen por este Tribunal (SSTC 274/2000, 9/2013)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 xml:space="preserve">El Pleno del Tribunal Constitucional, compuesto por don Pascual Sala Sánchez, Presidente, don Ramón Rodríguez Arribas, don Manuel Aragón Reyes, don Pablo Pérez Tremps, don Francisco José Hernando Santiago, doña Adela Asua Batarrita, don Luis Ignacio Ortega </w:t>
      </w:r>
      <w:r>
        <w:lastRenderedPageBreak/>
        <w:t>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2410-2008, interpuesto por el Gobierno de Canarias contra los arts. 2, 6 y 119.1, y las secciones 33 y 98, de la Ley 51/2007, de 26 de diciembre, de presupuestos generales del Estado para 2008, al considerar que se vulneran los artículos 156.1, 157 y 158, y la disposición adicional tercera de la Constitución; el art. 46 del Estatuto de Autonomía de Canarias y los arts. 1, 2.1 d), 13.4 y 16.3 c) de la Ley Orgánica 8/1980, de 22 de septiembre, de financiación de las Comunidades Autónomas. Ha intervenido y formulado alegaciones el Abogado del Estado. Ha sido Ponente el Magistrado don Juan José González Rivas, que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27 de marzo de 2008 tuvo entrada en el Registro General de este Tribunal Constitucional un escrito del Letrado del Servicio jurídico del Gobierno de Canarias, en la representación que legalmente ostenta, por el que interpone un recurso de inconstitucionalidad contra los arts. 2 [“De la aprobación de los estados de gastos e ingresos de los Entes referidos en las letras a) a d) del artículo 1 de la presente Ley”], 6 [“De los presupuestos de los Entes referidos en las letras f), g), h) e i) del artículo 1 de esta Ley”] y 119.1 (“Fondos de Compensación Interterritorial”), así como contra las secciones 33 (“Fondos de Compensación Interterritorial”) y 98 (“Presupuesto de Ingresos del Estado”), de la Ley 51/2007, de 26 de diciembre, de presupuestos Generales del Estado para el 2008 (en adelante, Ley 51/2007), al entender que se vulneran los arts. 156.1, 157, 158 y la disposición adicional tercera, de la Constitución, el art. 46 del Estatuto de Autonomía de Canarias (EACan, en adelante) y los arts. 1, 2.1 d), 13.4 y 16.3 c) de la Ley Orgánica 8/1980, de 22 de septiembre, de financiación de las Comunidades Autónomas (LOFCA, en adelante).</w:t>
      </w:r>
    </w:p>
    <w:p w:rsidR="0026452D" w:rsidRDefault="0026452D" w:rsidP="0026452D">
      <w:pPr>
        <w:pStyle w:val="TextoNormal"/>
      </w:pPr>
    </w:p>
    <w:p w:rsidR="0026452D" w:rsidRDefault="0026452D" w:rsidP="0026452D">
      <w:pPr>
        <w:pStyle w:val="TextoNormal"/>
      </w:pPr>
      <w:r>
        <w:t>El recurso se fundamenta básicamente en los siguientes argumentos:</w:t>
      </w:r>
    </w:p>
    <w:p w:rsidR="0026452D" w:rsidRDefault="0026452D" w:rsidP="0026452D">
      <w:pPr>
        <w:pStyle w:val="TextoNormal"/>
      </w:pPr>
    </w:p>
    <w:p w:rsidR="0026452D" w:rsidRDefault="0026452D" w:rsidP="0026452D">
      <w:pPr>
        <w:pStyle w:val="TextoNormal"/>
      </w:pPr>
      <w:r>
        <w:t>a) El art. 119.1 de la Ley 51/2007, que determina las cuantías de los fondos de compensación interterritorial para 2008, y su reflejo presupuestario contenido en la sección 33, se reputan inconstitucionales por contravenir el art. 16.3 c) LOFCA al no ajustarse las cuantías presupuestadas al mandato de que la Ley de presupuestos del Estado dote adicionalmente el fondo de compensación con una partida relativa a la variable “región ultraperiférica”, con la consecuencia de que el fondo habría sido dotado en cuantía inferior a la legalmente exigible.</w:t>
      </w:r>
    </w:p>
    <w:p w:rsidR="0026452D" w:rsidRDefault="0026452D" w:rsidP="0026452D">
      <w:pPr>
        <w:pStyle w:val="TextoNormal"/>
      </w:pPr>
    </w:p>
    <w:p w:rsidR="0026452D" w:rsidRDefault="0026452D" w:rsidP="0026452D">
      <w:pPr>
        <w:pStyle w:val="TextoNormal"/>
      </w:pPr>
      <w:r>
        <w:lastRenderedPageBreak/>
        <w:t>En este punto, se refiere la demanda brevemente al sistema de financiación de las Comunidades Autónomas que se contiene en los arts. 156 a 158 CE, para a continuación exponer la regulación del fondo de compensación interterritorial que, sin perjuicio del fondo complementario, está en realidad “subdividido en tres fondos” por así disponerlo el art. 16.3 LOFCA, letras a) a c). Así, mientras que lo regulado en la letra a) del art. 16.3 LOFCA es estrictamente el fondo de compensación interterritorial, lo que se regula en los apartados b) y c) son fondos distintos, “que se nutren de nuevos recursos presupuestarios”. Estos dos fondos “adicionales”, no precisan de ninguna ley ordinaria de desarrollo, pues la propia LOFCA tasa con precisión el método de cálculo, dejando una puerta abierta a que la dotación sea incrementada, pero nunca disminuida.</w:t>
      </w:r>
    </w:p>
    <w:p w:rsidR="0026452D" w:rsidRDefault="0026452D" w:rsidP="0026452D">
      <w:pPr>
        <w:pStyle w:val="TextoNormal"/>
      </w:pPr>
    </w:p>
    <w:p w:rsidR="0026452D" w:rsidRDefault="0026452D" w:rsidP="0026452D">
      <w:pPr>
        <w:pStyle w:val="TextoNormal"/>
      </w:pPr>
      <w:r>
        <w:t>La demanda expone a continuación que el art. 119.1 de la Ley, y la correspondiente sección 33, establecen una cuantía agregada de los fondos que asciende a 1.337.981,60 miles de euros (sección 33, programa 941N transferencias a Comunidades Autónomas), alegándose a renglón seguido que la norma debería haber desagregado los fondos, en cumplimiento de la LOFCA, haciendo constar de forma separada el fondo previsto en el art. 16.3 c). Además, la cuantía total dotada debería haber ascendido a 1.390.940 miles de euros, cantidad que resulta de aplicar el porcentaje del 4,02 a que se refiere el art. 16.3 c) LOFCA a la cantidad efectivamente reflejada en los preceptos que se impugnan (1.337.981,60 miles de euros). En consecuencia, se concluye reconociendo la insuficiencia del fondo dotado para Canarias, pues debería haberse hecho una dotación adicional por importe de 52,96 millones de euros.</w:t>
      </w:r>
    </w:p>
    <w:p w:rsidR="0026452D" w:rsidRDefault="0026452D" w:rsidP="0026452D">
      <w:pPr>
        <w:pStyle w:val="TextoNormal"/>
      </w:pPr>
    </w:p>
    <w:p w:rsidR="0026452D" w:rsidRDefault="0026452D" w:rsidP="0026452D">
      <w:pPr>
        <w:pStyle w:val="TextoNormal"/>
      </w:pPr>
      <w:r>
        <w:t>b) Se discute, en segundo lugar, la denominada “compensación a satisfacer por la Comunidad Autónoma de Canarias por la supresión del IGTE”, que aparece reflejada en el estado de ingresos del presupuesto del Estado (sección 98), concretando la imputación de inconstitucionalidad en su impacto negativo sobre los ingresos que corresponden a la Comunidad Autónoma, lo que se considera que contraviene los arts. 156.1 y 157.1 CE, y arts. 2.1 d) y 13 LOFCA, toda vez que dicha compensación opera, según la demanda, sobre la participación en ingresos del Estado, actualmente denominada “fondo de suficiencia”, reduciendo las transferencias recibidas por este concepto.</w:t>
      </w:r>
    </w:p>
    <w:p w:rsidR="0026452D" w:rsidRDefault="0026452D" w:rsidP="0026452D">
      <w:pPr>
        <w:pStyle w:val="TextoNormal"/>
      </w:pPr>
    </w:p>
    <w:p w:rsidR="0026452D" w:rsidRDefault="0026452D" w:rsidP="0026452D">
      <w:pPr>
        <w:pStyle w:val="TextoNormal"/>
      </w:pPr>
      <w:r>
        <w:t xml:space="preserve">Además en la demanda se considera que la compensación carece de fundamento normativo, por lo que se infringe también, con independencia de lo anterior, el art. 9.3 CE y se describe la fórmula concreta por la que se fija dicha compensación, contenida en el acuerdo de la Comisión Mixta Administración del Estado-Comunidad Autónoma de Canarias, celebrada el 20 de octubre de 1993. A partir de ahí, el hecho de que este acuerdo no esté publicado en ningún boletín oficial, unido a que la Ley 21/2001, de 27 de diciembre, por la que se regulan las medidas fiscales y administrativas del nuevo sistema de financiación de las Comunidades Autónomas de régimen común y ciudades con Estatuto de Autonomía vigente en el momento de interposición de la demanda, no contenga ninguna previsión relativa a la citada compensación determina la inconstitucionalidad de la misma, ya que ésta se traduce en un descuento del fondo de suficiencia, con infracción del art. 13.4 LOFCA, alterando además en general el modelo de financiación autonómica que esta norma establece. Carente de cobertura legal, según la demanda, la compensación se califica de “sustracción unilateral y sin ningún fundamento jurídico, ni cobertura constitucional” y tras alegar que dicha compensación podría vulnerar el principio de seguridad jurídica recogido en el art. 9.3 de la </w:t>
      </w:r>
      <w:r>
        <w:lastRenderedPageBreak/>
        <w:t>Constitución, se estima que, en todo caso, la misma “ha de considerarse en todo caso derogada por el nuevo sistema de financiación de las Comunidades de régimen común, aprobado por la Ley 21/2001”.</w:t>
      </w:r>
    </w:p>
    <w:p w:rsidR="0026452D" w:rsidRDefault="0026452D" w:rsidP="0026452D">
      <w:pPr>
        <w:pStyle w:val="TextoNormal"/>
      </w:pPr>
    </w:p>
    <w:p w:rsidR="0026452D" w:rsidRDefault="0026452D" w:rsidP="0026452D">
      <w:pPr>
        <w:pStyle w:val="TextoNormal"/>
      </w:pPr>
      <w:r>
        <w:t>La demanda concluye alegando que la compensación es también incompatible con los principios de eficacia y coordinación del art. 103.1 CE, que se oponen a la redundancia que supone la existencia de transferencias recíprocas.</w:t>
      </w:r>
    </w:p>
    <w:p w:rsidR="0026452D" w:rsidRDefault="0026452D" w:rsidP="0026452D">
      <w:pPr>
        <w:pStyle w:val="TextoNormal"/>
      </w:pPr>
    </w:p>
    <w:p w:rsidR="0026452D" w:rsidRDefault="0026452D" w:rsidP="0026452D">
      <w:pPr>
        <w:pStyle w:val="TextoNormal"/>
      </w:pPr>
      <w:r>
        <w:t>c) El tercer y último motivo se refiere a los arts. 2 y 6 de la Ley 51/2007, en cuanto recogen los capítulos VI y VII, incluidos los estados de gastos con sus correspondientes créditos, relativos a la inversión del Estado. Se considera que estos preceptos vulneran la garantía institucional prevista en la disposición adicional tercera de la Constitución y en el art. 46 EACan, en la medida en que suponen una modificación del régimen económico-fiscal de Canarias, que además se ha llevado a cabo sin previo informe o audiencia al Parlamento de Canarias.</w:t>
      </w:r>
    </w:p>
    <w:p w:rsidR="0026452D" w:rsidRDefault="0026452D" w:rsidP="0026452D">
      <w:pPr>
        <w:pStyle w:val="TextoNormal"/>
      </w:pPr>
    </w:p>
    <w:p w:rsidR="0026452D" w:rsidRDefault="0026452D" w:rsidP="0026452D">
      <w:pPr>
        <w:pStyle w:val="TextoNormal"/>
      </w:pPr>
      <w:r>
        <w:t>En este punto, se exponen las notas esenciales del régimen económico y fiscal del Archipiélago canario que, como estableció la STC 35/1984, de 13 de marzo, tiene un reconocimiento constitucional expreso que constituye una “excepción al régimen constitucional común” y que determina que, de acuerdo con el art. 46.3 EACan, su modificación requiera de informe previo del Parlamento Canario, y que, a tenor del apartado 4 del mismo precepto, el Parlamento Canario deba ser oído “en los proyectos de legislación financiera y tributaria que afecten al régimen económico-fiscal de Canarias”.</w:t>
      </w:r>
    </w:p>
    <w:p w:rsidR="0026452D" w:rsidRDefault="0026452D" w:rsidP="0026452D">
      <w:pPr>
        <w:pStyle w:val="TextoNormal"/>
      </w:pPr>
    </w:p>
    <w:p w:rsidR="0026452D" w:rsidRDefault="0026452D" w:rsidP="0026452D">
      <w:pPr>
        <w:pStyle w:val="TextoNormal"/>
      </w:pPr>
      <w:r>
        <w:t>La modificación del régimen económico-fiscal radica en que los preceptos impugnados incumplen el art. 96 de la Ley 20/1991, de 7 de junio, de modificación de los aspectos fiscales del régimen económico fiscal de Canarias, que exige que las inversiones estatales en la Comunidad Autónoma “no sean inferiores al promedio que corresponda para el conjunto de las Comunidades Autónomas, excluidas de este cómputo las inversiones que compensen del hecho insular”. De acuerdo con la demanda, los créditos presupuestarios citados reflejan que la inversión teórica media estatal prevista para 2008 asciende a 1.127.980 € (miles de euros), mientras que las inversiones reales del Estado en la Comunidad canaria se prevén en 821.330 € (miles de euros), por lo que hay una diferencia de inversión de 306.649 € (miles de euros). Esta diferencia determina la inconstitucionalidad de los arts. 2 y 6 de la Ley 51/2007, respecto de los capítulos VI y VII incluidos en los estados de gasto con sus créditos correspondientes, relativos a la inversión del Estado.</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15 de abril de 2008, el Pleno del Tribunal acordó admitir a trámite el recurso de inconstitucionalidad promovido por el Gobierno de Canarias y, en su representación y defensa, por la Letrada del mismo, contra los arts. 2, 6 y 119.1, y las secciones 33 y 98, de la Ley 51/2007, de 26 de diciembre, de presupuestos Generales del Estado para 2008. Asimismo,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Por último, se acordó publicar la incoación del proceso en el “BOE” número 100, de 25 de abril de 2008.</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3</w:t>
      </w:r>
      <w:r>
        <w:t>. El 23 de abril de 2008 tuvo entrada en el Tribunal el escrito del Abogado del Estado por el que solicita se le tenga por personado en el presente recurso, así como una prórroga del plazo concedido para formular alegaciones por ocho días más.</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24 de abril de 2008 el Pleno del Tribunal acordó incorporar a las actuaciones el anterior escrito del Abogado del Estado y conceder la prórroga solicitada de ocho días, a contar desde el siguiente al de expiración del ordinario.</w:t>
      </w:r>
    </w:p>
    <w:p w:rsidR="0026452D" w:rsidRDefault="0026452D" w:rsidP="0026452D">
      <w:pPr>
        <w:pStyle w:val="TextoNormal"/>
      </w:pPr>
    </w:p>
    <w:p w:rsidR="0026452D" w:rsidRDefault="0026452D" w:rsidP="0026452D">
      <w:pPr>
        <w:pStyle w:val="TextoNormal"/>
      </w:pPr>
      <w:r w:rsidRPr="0026452D">
        <w:rPr>
          <w:rStyle w:val="NumeroAFNegritaCaracter"/>
        </w:rPr>
        <w:t>5</w:t>
      </w:r>
      <w:r>
        <w:t>. El 30 de abril de 2008 tiene entrada en el registro de este Tribunal un escrito del Senado por el que se comunica el acuerdo adoptado por la Mesa de la Cámara de personarse en el procedimiento y ofrecer su colaboración a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6</w:t>
      </w:r>
      <w:r>
        <w:t>. Mediante escrito presentado en el Registro General de este Tribunal con fecha de 8 de mayo de 2008, el Presidente del Congreso de los Diputados comunicó a este Tribunal que dicha Cámara no se personaría en el procedimiento ni formularía alegaciones.</w:t>
      </w:r>
    </w:p>
    <w:p w:rsidR="0026452D" w:rsidRDefault="0026452D" w:rsidP="0026452D">
      <w:pPr>
        <w:pStyle w:val="TextoNormal"/>
      </w:pPr>
    </w:p>
    <w:p w:rsidR="0026452D" w:rsidRDefault="0026452D" w:rsidP="0026452D">
      <w:pPr>
        <w:pStyle w:val="TextoNormal"/>
      </w:pPr>
      <w:r w:rsidRPr="0026452D">
        <w:rPr>
          <w:rStyle w:val="NumeroAFNegritaCaracter"/>
        </w:rPr>
        <w:t>7</w:t>
      </w:r>
      <w:r>
        <w:t>. El 28 de mayo de 2008 tuvo entrada en el Registro General de este Tribunal el escrito de alegaciones del Abogado del Estado, en la representación que legalmente ostenta, por el que se solicita la desestimación total del presente recurso de inconstitucionalidad, basándose en los siguientes criterios extractados:</w:t>
      </w:r>
    </w:p>
    <w:p w:rsidR="0026452D" w:rsidRDefault="0026452D" w:rsidP="0026452D">
      <w:pPr>
        <w:pStyle w:val="TextoNormal"/>
      </w:pPr>
    </w:p>
    <w:p w:rsidR="0026452D" w:rsidRDefault="0026452D" w:rsidP="0026452D">
      <w:pPr>
        <w:pStyle w:val="TextoNormal"/>
      </w:pPr>
      <w:r>
        <w:t>a) En relación con la pretendida vulneración del art. 16.3 c) LOFCA, comienza el escrito exponiendo el marco normativo en el que se desenvuelve el procedimiento, con cita de la STC 238/2007, de 21 de noviembre, FJ 3, sobre el fondo de compensación interterritorial, y de la exposición de motivos de la Ley 22/2001, de 27 de diciembre, reguladora de los fondos de compensación interterritorial, que modificó sustancialmente el régimen jurídico de dichos fondos hasta entonces vigente. A partir de esta exposición, el Abogado del Estado interesa la desestimación del primer motivo de inconstitucionalidad, toda vez que, frente a lo que se sostiene en la demanda, no se prevé en la LOFCA ni en la citada Ley 22/2001 ningún fondo específico para la Comunidad Autónoma de Canarias, sino que lo que establece la norma es la obligación de ampliar el fondo con los porcentajes previstos para la región ultraperiférica, a lo que da cumplimiento la norma que se impugna.</w:t>
      </w:r>
    </w:p>
    <w:p w:rsidR="0026452D" w:rsidRDefault="0026452D" w:rsidP="0026452D">
      <w:pPr>
        <w:pStyle w:val="TextoNormal"/>
      </w:pPr>
    </w:p>
    <w:p w:rsidR="0026452D" w:rsidRDefault="0026452D" w:rsidP="0026452D">
      <w:pPr>
        <w:pStyle w:val="TextoNormal"/>
      </w:pPr>
      <w:r>
        <w:t>b) Sobre la inconstitucionalidad de la compensación del impuesto general sobre el tráfico de empresas en vulneración de los arts. 2.1 d) y 13 LOFCA, se refiere el escrito al acuerdo adoptado en el seno de la reunión de la Comisión mixta de transferencias Estado-Comunidad Autónoma de Canarias de fecha 20 de octubre de 1993 en el que se acordó la citada compensación, estableciéndose su pago mediante la detracción de las participaciones en ingresos del Estado, en la actualidad, fondo de suficiencia, con la finalidad de simplificar el pago, evitando así dos transferencias de signo contrario, pero sin que ello desvirtúe la naturaleza del citado fondo.</w:t>
      </w:r>
    </w:p>
    <w:p w:rsidR="0026452D" w:rsidRDefault="0026452D" w:rsidP="0026452D">
      <w:pPr>
        <w:pStyle w:val="TextoNormal"/>
      </w:pPr>
    </w:p>
    <w:p w:rsidR="0026452D" w:rsidRDefault="0026452D" w:rsidP="0026452D">
      <w:pPr>
        <w:pStyle w:val="TextoNormal"/>
      </w:pPr>
      <w:r>
        <w:t>En cuanto a la legalidad de la compensación y su deficiente regulación, pues sólo se deriva del anterior acuerdo, que no se encuentra publicado, afirma el escrito que las obligaciones de gasto de la hacienda no sólo nacen de la ley, sino también de los negocios jurídicos y de los actos y hechos que, según derecho, las generen (</w:t>
      </w:r>
      <w:r w:rsidRPr="0026452D">
        <w:rPr>
          <w:i/>
        </w:rPr>
        <w:t>ex</w:t>
      </w:r>
      <w:r>
        <w:t xml:space="preserve"> art. 1089 del Código civil), de manera que la publicación oficial “no resulta condición imprescindible para la perfección </w:t>
      </w:r>
      <w:r>
        <w:lastRenderedPageBreak/>
        <w:t>de una obligación de gasto de un ente público, que se obtiene con la prestación del consentimiento de las partes intervinientes (arts. 1254 y 1259 Cc)”. A partir de lo anterior, el escrito concluye que el acuerdo de Comisión mixta de 20 de octubre de 1993 vincula a las partes que lo suscribieron, sin que sea para ello precisa su publicación en ningún diario oficial. Por lo demás, se afirma, dicha compensación está en todo caso mencionada en el art. 12 de la Ley 19/1994, de 6 de julio, de modificación del régimen económico y fiscal de Canarias, precepto que además limita la compensación del impuesto general sobre el tráfico de empresas al 50 por 100, pues el Estado se compromete a aumentar la inversión en la Comunidad en el equivalente al otro cincuenta por cien del impuesto general sobre el tráfico de empresas, retorno que en todo caso ha sido mayor del exigido por la citada Ley 19/1994 a consecuencia de los convenios firmados por el Estado y Canarias en los años 1997 y 2006.</w:t>
      </w:r>
    </w:p>
    <w:p w:rsidR="0026452D" w:rsidRDefault="0026452D" w:rsidP="0026452D">
      <w:pPr>
        <w:pStyle w:val="TextoNormal"/>
      </w:pPr>
    </w:p>
    <w:p w:rsidR="0026452D" w:rsidRDefault="0026452D" w:rsidP="0026452D">
      <w:pPr>
        <w:pStyle w:val="TextoNormal"/>
      </w:pPr>
      <w:r>
        <w:t>c) Finalmente, sobre la modificación del régimen económico-fiscal de Canarias en vulneración de la garantía institucional prevista en la disposición adicional tercera de la Constitución y el art. 46.4 EACan, comienza el escrito citando la STC 62/2003, de 27 de marzo, de la que no cabe extraer, como sostiene la demanda, la garantía de un contenido inalterable del régimen fiscal canario. A continuación, afirma que en todo caso no puede entenderse modificado el régimen canario, pues no se ha modificado ninguna de sus normas reguladoras, por lo que la cuestión será, en todo caso, su correcta aplicación. Sobre el fondo de la cuestión, niega el escrito que se haya realizado la pretendida inversión inferior a la media, pues por un lado los estados de gastos de inversiones son “meras previsiones que pueden llegar a diferir de las inversiones que finalmente se ejecuten” y, por otro, en todo caso la Comunidad Autónoma demandante no ha tenido en cuenta, en su estimación, las inversiones adicionales que viene realizando el Estado a consecuencia de la citada compensación del impuesto general sobre el tráfico de empresas y en concreto, los arts. 95 y 96 del régimen económico-fiscal de Canarias, lo que para 2008 ha determinado una financiación adicional de 116 millones de euros.</w:t>
      </w:r>
    </w:p>
    <w:p w:rsidR="0026452D" w:rsidRDefault="0026452D" w:rsidP="0026452D">
      <w:pPr>
        <w:pStyle w:val="TextoNormal"/>
      </w:pPr>
    </w:p>
    <w:p w:rsidR="0026452D" w:rsidRDefault="0026452D" w:rsidP="0026452D">
      <w:pPr>
        <w:pStyle w:val="TextoNormal"/>
      </w:pPr>
      <w:r>
        <w:t>Por todo lo anterior, la Abogacía del estado solicita la desestimación total del recurso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23 de abril de 2013 se señaló para deliberación y votación del presente recurso la misma fecha.</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 El presente recurso de inconstitucionalidad se interpone por el Gobierno de Canarias contra los arts. 2, 6 y 119.1, y las secciones 33 (Fondos de Compensación Interterritorial) y 98 (presupuesto de ingresos del Estado), de la Ley 51/2007, de 26 de diciembre, de presupuestos generales del Estado para el 2008 (en adelante, Ley 51/2007). Con los argumentos que han quedado expuestos en el antecedente primero, se consideran vulnerados los arts. 156.1, 157, 158 y la disposición adicional tercera de la Constitución; el art. 46 del Estatuto de Autonomía de Canarias (EACan, en adelante); y los arts. 1, 2.1 d), 13.4 y 16.3 c) de la Ley Orgánica 8/1980, de 22 de septiembre, de financiación de las Comunidades Autónomas (LOFCA, en adelante). El Abogado del Estado interesa la desestimación del recurso con las alegaciones recogidas en el antecedente séptimo.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2</w:t>
      </w:r>
      <w:r>
        <w:t>. Antes de examinar el fondo de este asunto, debemos pronunciarnos sobre la pervivencia de su objeto, pues los preceptos impugnados forman parte del contenido propio de la Ley de presupuestos, de manera que por mor del principio de anualidad han agotado sus efectos al finalizar el ejercicio al que se refieren, 2008. De acuerdo con nuestra consolidada doctrina, como regla general los procesos de inconstitucionalidad pierden su objeto cuando la norma que se impugna no forma parte ya del ordenamiento jurídico (por todas, con cita de anteriores, SSTC 216/2012, de 14 de noviembre, FJ 2 y 9/2013, de 28 de enero, FJ 2). Ahora bien, como también hemos reiterado, esta regla tiene algunas excepciones, siendo una de ellas precisamente el caso de las leyes de vigencia determinada, entre las que se encuentran las de presupuestos, que por mandato constitucional tienen vigencia anual, sin perjuicio de que en ellas puedan contenerse preceptos con vocación de permanencia (SSTC 274/2000, de 15 de noviembre, FJ 4; 34/2005, de 17 de febrero, FJ 5; y 9/2013, FJ 2). Ello no puede impedir su examen por este Tribunal, por mucho que efectivamente haya transcurrido el periodo de vigencia, pues de lo contrario resultaría que este tipo de normas quedarían en muchos casos extramuros del examen por este Tribunal (STC 238/2007, de 21 de noviembre, FJ 2, con cita de las SSTC 3/2003, de 16 de enero, FJ 2; y 13/2007, de 18 de enero, FJ 1).</w:t>
      </w:r>
    </w:p>
    <w:p w:rsidR="0026452D" w:rsidRDefault="0026452D" w:rsidP="0026452D">
      <w:pPr>
        <w:pStyle w:val="TextoNormal"/>
      </w:pPr>
    </w:p>
    <w:p w:rsidR="0026452D" w:rsidRDefault="0026452D" w:rsidP="0026452D">
      <w:pPr>
        <w:pStyle w:val="TextoNormal"/>
      </w:pPr>
      <w:r w:rsidRPr="0026452D">
        <w:rPr>
          <w:rStyle w:val="NumeroAFNegritaCaracter"/>
        </w:rPr>
        <w:t>3</w:t>
      </w:r>
      <w:r>
        <w:t>. La cuestión de la participación de las Comunidades Autónomas en los ingresos del Estado afecta directamente al derecho a la autonomía de las nacionalidades y regiones (art. 2 CE), y en particular a su autonomía financiera (art. 156.1 CE), en la medida en que dicha participación responde a una finalidad de garantía de las disponibilidades financieras de las Comunidades Autónomas (como dijimos en la STC 181/1988, de 13 de octubre, FJ 7, en relación con la cesión de los tributos del Estado).</w:t>
      </w:r>
    </w:p>
    <w:p w:rsidR="0026452D" w:rsidRDefault="0026452D" w:rsidP="0026452D">
      <w:pPr>
        <w:pStyle w:val="TextoNormal"/>
      </w:pPr>
    </w:p>
    <w:p w:rsidR="0026452D" w:rsidRDefault="0026452D" w:rsidP="0026452D">
      <w:pPr>
        <w:pStyle w:val="TextoNormal"/>
      </w:pPr>
      <w:r>
        <w:t>Como hemos indicado en la STC 13/2007, de 18 de enero, FJ 7, debe subrayarse, en primer lugar, que el art. 137 CE atribuye a las Comunidades Autónomas “autonomía” para la gestión de sus propios intereses; en segundo lugar, que el art. 156.1 CE incorpora dentro de aquélla la “autonomía financiera” para el desarrollo y ejecución de sus competencias; en tercer lugar, que el art. 157.3 CE establece que mediante ley orgánica podrá regularse el ejercicio de las “competencias financieras” enumeradas en el apartado 1, entre las cuales se encuentran las participaciones en los ingresos del Estado; en cuarto lugar, que la ley orgánica a la que llama el art. 157.3 CE, la Ley Orgánica 8/1980, de 22 de septiembre, acoge entre los recursos de las Comunidades Autónomas “[l]as participaciones en los ingresos del Estado” [art. 4.1 e)].</w:t>
      </w:r>
    </w:p>
    <w:p w:rsidR="0026452D" w:rsidRDefault="0026452D" w:rsidP="0026452D">
      <w:pPr>
        <w:pStyle w:val="TextoNormal"/>
      </w:pPr>
    </w:p>
    <w:p w:rsidR="0026452D" w:rsidRDefault="0026452D" w:rsidP="0026452D">
      <w:pPr>
        <w:pStyle w:val="TextoNormal"/>
      </w:pPr>
      <w:r>
        <w:t xml:space="preserve">Al Estado le corresponde la coordinación en materia de financiación de las Comunidades Autónomas, fundamentalmente, por tres razones. En primer lugar porque, aun cuando las Comunidades Autónomas en virtud de su autonomía sean titulares de determinadas competencias financieras, es indudable la conexión con la potestad originaria del Estado para establecer tributos (art. 133.1 CE) y con la competencia exclusiva de éste en materia de “hacienda general”, conforme establece el art. 149.1.14 CE (STC 181/1988, de 13 de octubre, FJ 3), el art. 157.3 CE atribuye al Estado la “fijación del marco y los límites en que esa autonomía ha de actuar ” (STC 179/1987, de 12 de noviembre, FJ 2) mediante una ley orgánica a la que confiere una función específica y constitucionalmente definida (a tal previsión responde la aprobación de la Ley Orgánica 8/1980, de 22 de septiembre, de financiación de las Comunidades Autónomas), esto es, le atribuye, no sólo la regulación del ejercicio </w:t>
      </w:r>
      <w:r>
        <w:lastRenderedPageBreak/>
        <w:t>de las competencias financieras de las Comunidades Autónomas, sino también el establecimiento de normas para resolver los conflictos que pudieran surgir, así como la determinación de las posibles fórmulas de colaboración entre las Comunidades Autónomas y el Estado (STC 250/1988, de 20 de diciembre, FJ 4).</w:t>
      </w:r>
    </w:p>
    <w:p w:rsidR="0026452D" w:rsidRDefault="0026452D" w:rsidP="0026452D">
      <w:pPr>
        <w:pStyle w:val="TextoNormal"/>
      </w:pPr>
    </w:p>
    <w:p w:rsidR="0026452D" w:rsidRDefault="0026452D" w:rsidP="0026452D">
      <w:pPr>
        <w:pStyle w:val="TextoNormal"/>
      </w:pPr>
      <w:r>
        <w:t>En segundo lugar porque el reparto de los ingresos del Estado es una cuestión que afecta a todos los entes territoriales y, en particular, a todas las Comunidades Autónomas, y los recursos de que dispone aquél, no sólo son finitos, sino que deben servir para la consecución de la suficiencia y, en última instancia, la autonomía financiera de todos los entes territoriales, lo que exige necesariamente la intervención del Estado para adoptar las medidas necesarias y suficientes a efectos de asegurar la integración de las diversas partes del sistema en un conjunto unitario (SSTC 11/1984, de 2 de febrero, FJ 4 y 144/1985, de 25 de octubre, FJ 4).</w:t>
      </w:r>
    </w:p>
    <w:p w:rsidR="0026452D" w:rsidRDefault="0026452D" w:rsidP="0026452D">
      <w:pPr>
        <w:pStyle w:val="TextoNormal"/>
      </w:pPr>
    </w:p>
    <w:p w:rsidR="0026452D" w:rsidRDefault="0026452D" w:rsidP="0026452D">
      <w:pPr>
        <w:pStyle w:val="TextoNormal"/>
      </w:pPr>
      <w:r>
        <w:t>Y, en tercer lugar, porque el sistema de financiación de las Comunidades Autónomas es el vehículo a través del cual se articula el principio de solidaridad interterritorial, razón por la cual, no sólo le corresponde al Estado garantizar, de conformidad con el art. 138 CE, “la realización efectiva del principio de solidaridad consagrado en el art. 2 de la Constitución, velando por el establecimiento de un equilibrio económico, adecuado y justo entre las diversas partes del territorio español” [en este sentido, SSTC 96/1990, de 24 de mayo, FJ 7; 237/1992, de 15 de diciembre, FJ 6; y 331/1993, de 12 de noviembre, FJ 2 c)], sino que, de acuerdo con la previsión del art. 2.1 c) LOFCA, las Comunidades Autónomas vienen obligadas a coordinar el ejercicio de su actividad financiera con la hacienda del Estado de acuerdo al principio de “solidaridad entre las diversas nacionalidades y regiones” [art. 2.1 c) LOFCA].</w:t>
      </w:r>
    </w:p>
    <w:p w:rsidR="0026452D" w:rsidRDefault="0026452D" w:rsidP="0026452D">
      <w:pPr>
        <w:pStyle w:val="TextoNormal"/>
      </w:pPr>
    </w:p>
    <w:p w:rsidR="0026452D" w:rsidRDefault="0026452D" w:rsidP="0026452D">
      <w:pPr>
        <w:pStyle w:val="TextoNormal"/>
      </w:pPr>
      <w:r>
        <w:t xml:space="preserve">Conviene recordar que este Tribunal ha venido señalando que las “técnicas de cooperación y colaboración” son “consustanciales a la estructura compuesta del Estado de las Autonomías” (STC 13/1992, de 6 de febrero, FJ 7; y en el mismo sentido SSTC 132/1996, de 22 de julio, FJ 6, y 109/1998, de 21 de mayo, FJ 14), y que el principio de cooperación, “que no necesita justificarse en preceptos constitucionales o estatutarios concretos” [STC 141/1993, de 22 de abril, FJ 6 ñ); y en el mismo sentido STC 194/2004, de 4 de noviembre, FJ 9)], “debe presidir el ejercicio respectivo de competencias compartidas por el Estado y las Comunidades Autónomas” (STC 13/1988, de 4 de febrero, FJ 2; en el mismo sentido, STC 102/1995, de 26 de junio, FJ 31) o, lo que es igual, que la cooperación entre estos entes territoriales es precisa cuando existe “concurrencia de títulos competenciales” (STC 40/1998, de 19 de febrero, FJ 30; en el mismo sentido, SSTC 13/1992, de 6 de febrero, FJ 7, y 204/2002, de 31 de octubre, FJ 30). En efecto, en tales casos, “al objeto de integrar ambas competencias, se debe acudir, en primer lugar, a fórmulas de cooperación” (SSTC 40/1998, de 19 de febrero, FJ 30, y 204/2002, de 31 de octubre, FJ 30), mediante las cuales “ambos niveles de gobierno coadyuvan a la consecución de un objetivo común que ninguno de ellos podría satisfacer, con igual eficacia, actuando por separado” (STC 68/1996, de 4 de abril, FJ 10), y que permiten que el Estado “arbitre mecanismos o cauces de colaboración mutua a fin de evitar interferencias y, en su caso, dispersión de esfuerzos e iniciativas perjudiciales para la finalidad prioritaria” (STC 102/1995, de 26 de junio, FJ 31; en el mismo sentido STC 118/1998, de 4 de junio, FJ 12). En suma, “el principio de cooperación tiende a garantizar la participación de todos los entes involucrados en la toma de decisiones cuando </w:t>
      </w:r>
      <w:r>
        <w:lastRenderedPageBreak/>
        <w:t>el sistema de distribución competencial conduce a una actuación conjunta del Estado y de las Comunidades Autónomas” (STC 68/1996, de 4 de abril, FJ 10).</w:t>
      </w:r>
    </w:p>
    <w:p w:rsidR="0026452D" w:rsidRDefault="0026452D" w:rsidP="0026452D">
      <w:pPr>
        <w:pStyle w:val="TextoNormal"/>
      </w:pPr>
    </w:p>
    <w:p w:rsidR="0026452D" w:rsidRDefault="0026452D" w:rsidP="0026452D">
      <w:pPr>
        <w:pStyle w:val="TextoNormal"/>
      </w:pPr>
      <w:r w:rsidRPr="0026452D">
        <w:rPr>
          <w:rStyle w:val="NumeroAFNegritaCaracter"/>
        </w:rPr>
        <w:t>4</w:t>
      </w:r>
      <w:r>
        <w:t>. Hecha la precisión anterior, podemos ya abordar el primer motivo de inconstitucionalidad, que se dirige contra el art. 119.1 de la Ley 51/2007, precepto que establece las cuantías de los fondos de compensación interterritorial para 2008, y su reflejo en la sección 33, también impugnada.</w:t>
      </w:r>
    </w:p>
    <w:p w:rsidR="0026452D" w:rsidRDefault="0026452D" w:rsidP="0026452D">
      <w:pPr>
        <w:pStyle w:val="TextoNormal"/>
      </w:pPr>
    </w:p>
    <w:p w:rsidR="0026452D" w:rsidRDefault="0026452D" w:rsidP="0026452D">
      <w:pPr>
        <w:pStyle w:val="TextoNormal"/>
      </w:pPr>
      <w:r>
        <w:t>El art. 119.1 tiene el siguiente tenor:</w:t>
      </w:r>
    </w:p>
    <w:p w:rsidR="0026452D" w:rsidRDefault="0026452D" w:rsidP="0026452D">
      <w:pPr>
        <w:pStyle w:val="TextoNormal"/>
      </w:pPr>
    </w:p>
    <w:p w:rsidR="0026452D" w:rsidRDefault="0026452D" w:rsidP="0026452D">
      <w:pPr>
        <w:pStyle w:val="TextoNormal"/>
      </w:pPr>
      <w:r>
        <w:t>“Uno. En la Sección 33 de los Presupuestos Generales del Estado se dotan dos Fondos de Compensación Interterritorial ascendiendo la suma de ambos a 1.337.981,60 miles de euros, en cumplimiento de lo dispuesto en la Ley 22/2001, de 27 de diciembre, reguladora de los Fondos de Compensación Interterritorial.”</w:t>
      </w:r>
    </w:p>
    <w:p w:rsidR="0026452D" w:rsidRDefault="0026452D" w:rsidP="0026452D">
      <w:pPr>
        <w:pStyle w:val="TextoNormal"/>
      </w:pPr>
    </w:p>
    <w:p w:rsidR="0026452D" w:rsidRDefault="0026452D" w:rsidP="0026452D">
      <w:pPr>
        <w:pStyle w:val="TextoNormal"/>
      </w:pPr>
      <w:r>
        <w:t>Por su parte, la sección 33 del estado de gastos del presupuesto recoge, en el programa 941N, las “Transferencias a Comunidades Autónomas por los Fondos de Compensación Interterritorial”, dejando constancia de las Comunidades Autónomas que en ese ejercicio resultan beneficiarias que, siguiendo el orden de la misma sección, son: Galicia, Andalucía, Asturias, Cantabria, Murcia, Valencia, Castilla-La Mancha, Canarias, Extremadura, Castilla-León y las ciudades autónomas de Ceuta y Melilla, designadas, respectivamente, con las claves orgánicas 33.03 a 33.20. De acuerdo con la clave orgánica 33.12, a la Comunidad Autónoma de Canarias le corresponde un importe total de 90.564,38 (miles de euros), de los que 67.924,98 (miles de euros) corresponden al fondo general, y el resto, al complementario.</w:t>
      </w:r>
    </w:p>
    <w:p w:rsidR="0026452D" w:rsidRDefault="0026452D" w:rsidP="0026452D">
      <w:pPr>
        <w:pStyle w:val="TextoNormal"/>
      </w:pPr>
    </w:p>
    <w:p w:rsidR="0026452D" w:rsidRDefault="0026452D" w:rsidP="0026452D">
      <w:pPr>
        <w:pStyle w:val="TextoNormal"/>
      </w:pPr>
      <w:r>
        <w:t>La demanda estima que se contraviene la LOFCA, al no ajustarse las cuantías reflejadas en los preceptos impugnados a lo allí exigido y en concreto al mandato de que la ley de presupuestos del Estado dote adicionalmente el fondo de compensación con una partida relativa a la variable “región ultraperiférica”. En concreto, según la demanda, el precepto es contrario al art. 16.3 c) LOFCA, pues omite referirse al 4,02 por cien que correspondería a la Comunidad Autónoma de Canarias, toda vez que supondría el reconocimiento de un fondo específico para esta Comunidad Autónoma. Resulta en consecuencia que la cuantía dotada en los fondos de compensación interterritorial es insuficiente, ya que debería haber ascendido a 1.390.940 (en miles de euros), cantidad que resulta de aplicar el citado porcentaje del 4,02 a que se refiere el art. 16.3 c) LOFCA a la cantidad efectivamente dotada (1.337.981,60, en miles de euros). Con los argumentos que se han hecho constar en el antecedente séptimo, el Abogado del Estado interesa la desestimación de este motivo.</w:t>
      </w:r>
    </w:p>
    <w:p w:rsidR="0026452D" w:rsidRDefault="0026452D" w:rsidP="0026452D">
      <w:pPr>
        <w:pStyle w:val="TextoNormal"/>
      </w:pPr>
    </w:p>
    <w:p w:rsidR="0026452D" w:rsidRDefault="0026452D" w:rsidP="0026452D">
      <w:pPr>
        <w:pStyle w:val="TextoNormal"/>
      </w:pPr>
      <w:r w:rsidRPr="0026452D">
        <w:rPr>
          <w:rStyle w:val="NumeroAFNegritaCaracter"/>
        </w:rPr>
        <w:t>5</w:t>
      </w:r>
      <w:r>
        <w:t>. Para abordar esta primera cuestión debemos hacer una breve referencia al marco jurídico en el que la misma se enmarca, partiendo para ello de la doctrina de este Tribunal sobre los fondos de compensación interterritorial contenida en la STC 238/2007, de 21 de noviembre, que recoge el Abogado del Estado en apoyo de sus alegaciones.</w:t>
      </w:r>
    </w:p>
    <w:p w:rsidR="0026452D" w:rsidRDefault="0026452D" w:rsidP="0026452D">
      <w:pPr>
        <w:pStyle w:val="TextoNormal"/>
      </w:pPr>
    </w:p>
    <w:p w:rsidR="0026452D" w:rsidRDefault="0026452D" w:rsidP="0026452D">
      <w:pPr>
        <w:pStyle w:val="TextoNormal"/>
      </w:pPr>
      <w:r>
        <w:t xml:space="preserve">En el fundamentos jurídico 3 de dicha Sentencia, que debemos dar por reproducido en su integridad sin perjuicio de dejar constancia de sus principales conclusiones, recordamos ya que el fondo de compensación interterritorial es un mecanismo de desarrollo regional previsto en el art. 158.2 CE y que, tras la reforma de la LOFCA mediante la Ley Orgánica </w:t>
      </w:r>
      <w:r>
        <w:lastRenderedPageBreak/>
        <w:t>7/2001, de 27 de diciembre, desarrollada en este punto por la Ley 22/2001, de 27 de diciembre, reguladora de los fondos de compensación interterritorial, está formado por dos fondos: el primero financia los gastos de inversión propiamente y, el segundo, los gastos corrientes asociados a dicha inversión, por lo que recibe la denominación de “fondo complementario”.</w:t>
      </w:r>
    </w:p>
    <w:p w:rsidR="0026452D" w:rsidRDefault="0026452D" w:rsidP="0026452D">
      <w:pPr>
        <w:pStyle w:val="TextoNormal"/>
      </w:pPr>
    </w:p>
    <w:p w:rsidR="0026452D" w:rsidRDefault="0026452D" w:rsidP="0026452D">
      <w:pPr>
        <w:pStyle w:val="TextoNormal"/>
      </w:pPr>
      <w:r>
        <w:t xml:space="preserve">La reforma del fondo vino motivada, como se expone en la exposición de motivos de la Ley Orgánica 7/2001, en “la finalidad de dar entrada en el Fondo de Compensación Interterritorial a las Ciudades de Ceuta y Melilla, así como para arbitrar un nuevo Fondo que pueda financiar no sólo gastos de inversión, sino también el gasto corriente asociado a esa inversión”, todo ello en cumplimiento del acuerdo del Consejo de Política Fiscal y Financiera de las Comunidades Autónomas de 27 de julio de 2001. Por su parte, la Ley 22/2001 fue modificada mediante la Ley 23/2009, de 18 de diciembre, que añadió una letra (c) al art. 2.1, relativa precisamente a la dotación del fondo general en lo que a la Comunidad de Canarias concierne, pero sin que ello tenga incidencia alguna en la cuestión planteada, ya que la Ley 22/2001 no forma parte del bloque de la constitucionalidad (STC 238/2007, FJ 4), por lo que no estaríamos ante un caso de </w:t>
      </w:r>
      <w:r w:rsidRPr="0026452D">
        <w:rPr>
          <w:i/>
        </w:rPr>
        <w:t>ius superveniens</w:t>
      </w:r>
      <w:r>
        <w:t>, dado además que la reforma es posterior a la inclusión de las cuantías que ahora se controvierten en la Ley de presupuestos 51/2007.</w:t>
      </w:r>
    </w:p>
    <w:p w:rsidR="0026452D" w:rsidRDefault="0026452D" w:rsidP="0026452D">
      <w:pPr>
        <w:pStyle w:val="TextoNormal"/>
      </w:pPr>
    </w:p>
    <w:p w:rsidR="0026452D" w:rsidRDefault="0026452D" w:rsidP="0026452D">
      <w:pPr>
        <w:pStyle w:val="TextoNormal"/>
      </w:pPr>
      <w:r>
        <w:t>Tras dicha reforma, el art. 16 LOFCA regula el fondo de compensación interterritorial principal distinguiendo dos fases en su constitución: la primera se refiere a su dotación (apartado 3), y la segunda, a su distribución entre cada una de las Comunidades Autónomas (apartado 4), lo que se lleva a cabo mediante una serie de criterios de ponderación que la LOFCA enuncia, pero remite en su detalle a la citada Ley 22/2001. Finalmente, una vez constituido el fondo general, y asignada su distribución, el art. 16.5 LOFCA exige que a la cuantía que corresponda a cada Comunidad Autónoma se añada el denominado fondo “complementario”, que representará la tercera parte del principal (33,33 por 100).</w:t>
      </w:r>
    </w:p>
    <w:p w:rsidR="0026452D" w:rsidRDefault="0026452D" w:rsidP="0026452D">
      <w:pPr>
        <w:pStyle w:val="TextoNormal"/>
      </w:pPr>
    </w:p>
    <w:p w:rsidR="0026452D" w:rsidRDefault="0026452D" w:rsidP="0026452D">
      <w:pPr>
        <w:pStyle w:val="TextoNormal"/>
      </w:pPr>
      <w:r w:rsidRPr="0026452D">
        <w:rPr>
          <w:rStyle w:val="NumeroAFNegritaCaracter"/>
        </w:rPr>
        <w:t>6</w:t>
      </w:r>
      <w:r>
        <w:t>. A partir del examen del marco jurídico anterior, pueden extraerse tres exigencias con relación a la dotación inicial del fondo de compensación interterritorial:</w:t>
      </w:r>
    </w:p>
    <w:p w:rsidR="0026452D" w:rsidRDefault="0026452D" w:rsidP="0026452D">
      <w:pPr>
        <w:pStyle w:val="TextoNormal"/>
      </w:pPr>
    </w:p>
    <w:p w:rsidR="0026452D" w:rsidRDefault="0026452D" w:rsidP="0026452D">
      <w:pPr>
        <w:pStyle w:val="TextoNormal"/>
      </w:pPr>
      <w:r>
        <w:t>a) En primer lugar, que se dote el correspondiente fondo o fondos en la ley de presupuestos (arts. 158.2 CE, 4.2 y 16.1 LOFCA).</w:t>
      </w:r>
    </w:p>
    <w:p w:rsidR="0026452D" w:rsidRDefault="0026452D" w:rsidP="0026452D">
      <w:pPr>
        <w:pStyle w:val="TextoNormal"/>
      </w:pPr>
    </w:p>
    <w:p w:rsidR="0026452D" w:rsidRDefault="0026452D" w:rsidP="0026452D">
      <w:pPr>
        <w:pStyle w:val="TextoNormal"/>
      </w:pPr>
      <w:r>
        <w:t>b) En segundo lugar, y en consecuencia, que dicha dotación tenga carácter “anual” (art. 16.1 LOFCA).</w:t>
      </w:r>
    </w:p>
    <w:p w:rsidR="0026452D" w:rsidRDefault="0026452D" w:rsidP="0026452D">
      <w:pPr>
        <w:pStyle w:val="TextoNormal"/>
      </w:pPr>
    </w:p>
    <w:p w:rsidR="0026452D" w:rsidRDefault="0026452D" w:rsidP="0026452D">
      <w:pPr>
        <w:pStyle w:val="TextoNormal"/>
      </w:pPr>
      <w:r>
        <w:t>c) Finalmente, en tercer lugar, que dicha dotación, para el conjunto de las Comunidades Autónomas, no sea inferior al mínimo establecido en la LOFCA, cantidad que resulta de la agregación de las diferentes partidas previstas en el art. 16.3, a las que hay que añadir el fondo complementario, lo que determina que como media sea del 30 por 100 de la inversión estatal (STC 238/2007, FJ 4).</w:t>
      </w:r>
    </w:p>
    <w:p w:rsidR="0026452D" w:rsidRDefault="0026452D" w:rsidP="0026452D">
      <w:pPr>
        <w:pStyle w:val="TextoNormal"/>
      </w:pPr>
    </w:p>
    <w:p w:rsidR="0026452D" w:rsidRDefault="0026452D" w:rsidP="0026452D">
      <w:pPr>
        <w:pStyle w:val="TextoNormal"/>
      </w:pPr>
      <w:r>
        <w:t xml:space="preserve">En efecto, en cuanto a la dotación inicial del fondo, el art. 16.3 LOFCA prevé que sea con una cantidad no inferior al 22,5 por 100 “de la base de cálculo de la inversión pública que haya sido aprobada en los Presupuestos Generales del Estado del ejercicio, tal y como se defina en la Ley reguladora de los Fondos de Compensación Interterritorial”, a lo que deben añadirse, además, dos cantidades adicionales: “el 1,5 % de la cantidad determinada </w:t>
      </w:r>
      <w:r>
        <w:lastRenderedPageBreak/>
        <w:t>en la letra anterior y el importe que se asigne legalmente en función de la variable Ciudad con Estatuto de Autonomía” [letra b)], esto es, el 0,33 por 100 de la inversión pública; y, finalmente, “el 4,02 por 100 de la cantidad determinada en la letra a) anterior, y el importe que se asigne legalmente por la variable de región ultraperiférica” [letra c)], o lo que es lo mismo, con el 0,90 por 100 de la inversión estatal. Es decir, el porcentaje del 4,02 por 100 no se contempla en la LOFCA como una dotación autónoma que corresponda a Canarias, sino que integra el fondo en esta primera fase, sin perjuicio de lo que se dirá a continuación.</w:t>
      </w:r>
    </w:p>
    <w:p w:rsidR="0026452D" w:rsidRDefault="0026452D" w:rsidP="0026452D">
      <w:pPr>
        <w:pStyle w:val="TextoNormal"/>
      </w:pPr>
    </w:p>
    <w:p w:rsidR="0026452D" w:rsidRDefault="0026452D" w:rsidP="0026452D">
      <w:pPr>
        <w:pStyle w:val="TextoNormal"/>
      </w:pPr>
      <w:r>
        <w:t xml:space="preserve">Una vez constituido el fondo, con la cuantía mínima ya citada, el segundo paso es su reparto entre las Comunidades Autónomas que cada ejercicio presupuestario lo precisen, como establece el art. 16.3, último inciso, que señala: “dichas cuantías se destinarán a gastos de inversión en los territorios comparativamente menos desarrollados y se repartirán de acuerdo a los criterios establecidos en el número siguiente”. La LOFCA no establece de antemano las Comunidades Autónomas que habrán de ser beneficiarias del fondo, algo que por otro lado sería incoherente con el propio sentido de este instrumento de financiación, que de acuerdo con el art. 158.2 CE tiene como finalidad “corregir desequilibrios territoriales”, con el fin de hacer efectivo el principio de solidaridad (por todas, SSTC 238/2007, FJ 3; y 183/1988, de 13 de octubre, FJ 5). Por eso su distribución última no puede establecerse, sin más, con arreglo a porcentajes fijos determinados </w:t>
      </w:r>
      <w:r w:rsidRPr="0026452D">
        <w:rPr>
          <w:i/>
        </w:rPr>
        <w:t>a priori</w:t>
      </w:r>
      <w:r>
        <w:t xml:space="preserve"> para todos los ejercicios, lo que sería tanto como dejar sentado y establecido de antemano, para todos los ejercicios futuros, el menor desarrollo comparativo de algunas Comunidades Autónomas, que quedaría así crónico, por ser incorregibles sus desequilibrios territoriales. Frente a ello, los criterios de ponderación permiten estimar las necesidades de cada Comunidad Autónoma de forma anual. Por ello, los criterios se establecen en la LOFCA con carácter general, se concretan después en la ley, actualmente la citada Ley 22/2001, y los porcentajes finales se establecen en la propia ley de presupuestos.</w:t>
      </w:r>
    </w:p>
    <w:p w:rsidR="0026452D" w:rsidRDefault="0026452D" w:rsidP="0026452D">
      <w:pPr>
        <w:pStyle w:val="TextoNormal"/>
      </w:pPr>
    </w:p>
    <w:p w:rsidR="0026452D" w:rsidRDefault="0026452D" w:rsidP="0026452D">
      <w:pPr>
        <w:pStyle w:val="TextoNormal"/>
      </w:pPr>
      <w:r>
        <w:t>De esta manera, si el apartado 3 del art. 16 —y el art. 2 de la Ley 22/2001— dispone los criterios para la formación del fondo en general, es el apartado 4 del art. 16 el que establece los criterios para su reparto entre las Comunidades Autónomas, citando entre ellos “la inversa de la renta por habitante” [letra a)] o “el hecho insular, en relación con la lejanía del territorio peninsular” [letra e)]. Los citados criterios de distribución se concretan, en cuanto a su peso específico, en el art. 4 de la Ley 22/2001, precepto que añade un último criterio relativo al fondo que concretamente corresponde a la Comunidad Autónoma de Canarias, al disponer en su apartado 4 que, una vez efectuado el reparto del fondo de compensación con los criterios y ponderaciones citados, el resultado obtenido se corregirá con “la insularidad, que se considerará incrementando en un 63,1 por 100 la cantidad que le haya correspondido a la Comunidad Autónoma de Canarias por el conjunto de los criterios expresados en los apartados 3 a), 3 b), 3 c), 3 d), 3 e) y 4 a) precedentes. El incremento que ello suponga le será detraído a las restantes Comunidades Autónomas en proporción a las cantidades que les hubiesen correspondido por los mismos apartados antes citados”. Es decir, la asignación específica para la Comunidad Autónoma de Canarias tiene lugar en este segundo momento o fase del proceso de reparto del Fondo, de forma que de resultar beneficiaria, con arreglo a los criterios expresados en la LOFCA, le corresponderá el citado plus de insularidad.</w:t>
      </w:r>
    </w:p>
    <w:p w:rsidR="0026452D" w:rsidRDefault="0026452D" w:rsidP="0026452D">
      <w:pPr>
        <w:pStyle w:val="TextoNormal"/>
      </w:pPr>
    </w:p>
    <w:p w:rsidR="0026452D" w:rsidRDefault="0026452D" w:rsidP="0026452D">
      <w:pPr>
        <w:pStyle w:val="TextoNormal"/>
      </w:pPr>
      <w:r>
        <w:t xml:space="preserve">Finalmente, de acuerdo con el art. 16.5 LOFCA, una vez repartido entre las Comunidades Autónomas, el fondo que corresponda a cada una deberá dotarse, además, con una cantidad </w:t>
      </w:r>
      <w:r>
        <w:lastRenderedPageBreak/>
        <w:t>“equivalente al 33,33 por 100 de su respectivo Fondo de Compensación”, esto es, el denominado “fondo complementario”.</w:t>
      </w:r>
    </w:p>
    <w:p w:rsidR="0026452D" w:rsidRDefault="0026452D" w:rsidP="0026452D">
      <w:pPr>
        <w:pStyle w:val="TextoNormal"/>
      </w:pPr>
    </w:p>
    <w:p w:rsidR="0026452D" w:rsidRDefault="0026452D" w:rsidP="0026452D">
      <w:pPr>
        <w:pStyle w:val="TextoNormal"/>
      </w:pPr>
      <w:r>
        <w:t>Por su parte, la Ley 22/2001 reitera que corresponde a la Ley de presupuestos fijar la cuantía final que corresponda a cada Comunidad Autónoma, además del porcentaje que los fondos representan respecto de la base de cálculo de inversión pública (disposición adicional única de la Ley 22/2001).</w:t>
      </w:r>
    </w:p>
    <w:p w:rsidR="0026452D" w:rsidRDefault="0026452D" w:rsidP="0026452D">
      <w:pPr>
        <w:pStyle w:val="TextoNormal"/>
      </w:pPr>
    </w:p>
    <w:p w:rsidR="0026452D" w:rsidRDefault="0026452D" w:rsidP="0026452D">
      <w:pPr>
        <w:pStyle w:val="TextoNormal"/>
      </w:pPr>
      <w:r>
        <w:t>Pues bien, en cumplimiento del citado marco jurídico, el art. 119 de la Ley 51/2007, cuyo primer apartado se impugna, dispone en su apartado cuatro que “el porcentaje que representa el Fondo de Compensación destinado a las Comunidades Autónomas sobre la base de cálculo constituida por la inversión pública es del 26,25 por 100, de acuerdo al artículo 2.1 a) de dicha Ley [se refiere a la Ley 22/2001]. Además, en cumplimiento de la disposición adicional única de la Ley 22/2001, el porcentaje que representan los Fondos de Compensación Interterritorial destinados a las Comunidades Autónomas es del 35,002 por 100 elevándose al 35,55 por 100 si se incluyen las Ciudades con Estatuto de Autonomía de Ceuta y Melilla”. El apartado seis precisa las Comunidades Autónomas que en concreto serán beneficiarias de los fondos en el ejercicio de 2008.</w:t>
      </w:r>
    </w:p>
    <w:p w:rsidR="0026452D" w:rsidRDefault="0026452D" w:rsidP="0026452D">
      <w:pPr>
        <w:pStyle w:val="TextoNormal"/>
      </w:pPr>
    </w:p>
    <w:p w:rsidR="0026452D" w:rsidRDefault="0026452D" w:rsidP="0026452D">
      <w:pPr>
        <w:pStyle w:val="TextoNormal"/>
      </w:pPr>
      <w:r>
        <w:t>Es decir, se ha cumplido el mandato, contenido en la LOFCA y mencionado también en la Ley 22/2001, de que se fije el porcentaje mediante Ley de presupuestos, lo que permitiría ya desestimar la inconstitucionalidad alegada, pues como reiteramos en la ya citada STC 238/2007, FJ 4, con cita de muchas anteriores (por todas, SSTC 27/1981, de 20 de julio, FJ 2; y 3/2003, de 16 de enero, FJ 4), la ley de presupuestos es también una ley en sentido material, sin perjuicio de que su contenido está reservado a una determinada materia (STC 9/2013, FJ 4, por todas).</w:t>
      </w:r>
    </w:p>
    <w:p w:rsidR="0026452D" w:rsidRDefault="0026452D" w:rsidP="0026452D">
      <w:pPr>
        <w:pStyle w:val="TextoNormal"/>
      </w:pPr>
    </w:p>
    <w:p w:rsidR="0026452D" w:rsidRDefault="0026452D" w:rsidP="0026452D">
      <w:pPr>
        <w:pStyle w:val="TextoNormal"/>
      </w:pPr>
      <w:r>
        <w:t>Además, en cuanto a la cuantía reflejada en el precepto que en concreto se discute, la previsión de ambos fondos supera sobradamente el mínimo citado a que se refiere el art. 16 LOFCA (30 por cien de media contando ambos fondos), ascendiendo al 35,002 por 100 de la inversión nueva estatal. El hecho de que la norma no haya desagregado los distintos porcentajes a que se refiere el art. 16.3 no tiene ninguna virtualidad, pues éstos han sido ya tenidos en cuenta en la formación del fondo de compensación, de manera que lo único relevante, a los efectos de esta concreta impugnación, es que no hay ningún indicio de que el fondo haya sido infradotado, en los términos que pretende la demanda. Adicionalmente, debe señalarse que la propuesta de la demanda, en el sentido de que el fondo debería dotarse en 52,96 millones de euros adicionales, a resultas de aplicar el porcentaje del 4,02 por 100 a la cuantía total de los fondos (que asciende a 1.337.981,60, miles de euros) es incorrecta, pues como ya hemos recordado y expresamente establece el art. 119.1 impugnado, dicho monto refleja el total de los fondos, el general más el complementario, mientras que de acuerdo con la propia LOFCA [art. 16.3, letras a) y c)] y en los términos ya descritos, el citado porcentaje del 4,02 (o lo que es lo mismo, el 0,90 de la inversión estatal) no es un fondo autónomo directamente aplicable a esta Comunidad Autónoma, sino que tiene relevancia para calcular el fondo principal, de manera que se calcula sobre éste, esto es, el 22,5 por 100 de dicha inversión estatal [16.3 a) LOFCA], y en ningún caso sobre el monto final que resulta de la agregación de los fondos como pretende la demanda.</w:t>
      </w:r>
    </w:p>
    <w:p w:rsidR="0026452D" w:rsidRDefault="0026452D" w:rsidP="0026452D">
      <w:pPr>
        <w:pStyle w:val="TextoNormal"/>
      </w:pPr>
    </w:p>
    <w:p w:rsidR="0026452D" w:rsidRDefault="0026452D" w:rsidP="0026452D">
      <w:pPr>
        <w:pStyle w:val="TextoNormal"/>
      </w:pPr>
      <w:r>
        <w:lastRenderedPageBreak/>
        <w:t>En consecuencia, se desestima la impugnación del art. 119 y la correspondiente sección 33 de los presupuestos generales del Estado para 2008.</w:t>
      </w:r>
    </w:p>
    <w:p w:rsidR="0026452D" w:rsidRDefault="0026452D" w:rsidP="0026452D">
      <w:pPr>
        <w:pStyle w:val="TextoNormal"/>
      </w:pPr>
    </w:p>
    <w:p w:rsidR="0026452D" w:rsidRDefault="0026452D" w:rsidP="0026452D">
      <w:pPr>
        <w:pStyle w:val="TextoNormal"/>
      </w:pPr>
      <w:r w:rsidRPr="0026452D">
        <w:rPr>
          <w:rStyle w:val="NumeroAFNegritaCaracter"/>
        </w:rPr>
        <w:t>7</w:t>
      </w:r>
      <w:r>
        <w:t>. El segundo motivo de impugnación se refiere a la denominada “compensación a satisfacer por la Comunidad Autónoma de Canarias por la supresión del IGTE”, que aparece reflejada en el estado de ingresos del presupuesto del Estado, lo que motiva la impugnación de la sección 98. En concreto, con los argumentos ya expuestos en el antecedente primero, se considera que el hecho de que dicha compensación opere sobre las transferencias a percibir en concepto de “fondo de suficiencia”, disminuyendo su importe efectivo, contraviene los arts. 156.1 y 157.1 CE y 2.1 d) y 13 LOFCA. Se alega además que la compensación por la supresión del impuesto general sobre el tráfico de empresas carecería de fundamento legal, en vulneración del principio de seguridad jurídica (art. 9.3 CE) y, finalmente, que su regulación sería incompatible con los principios de eficacia y coordinación del art. 103.1 CE, por la redundancia que implica la existencia de transferencias recíprocas, con la consiguiente vulneración de la garantía institucional prevista en la disposición adicional tercera CE.</w:t>
      </w:r>
    </w:p>
    <w:p w:rsidR="0026452D" w:rsidRDefault="0026452D" w:rsidP="0026452D">
      <w:pPr>
        <w:pStyle w:val="TextoNormal"/>
      </w:pPr>
    </w:p>
    <w:p w:rsidR="0026452D" w:rsidRDefault="0026452D" w:rsidP="0026452D">
      <w:pPr>
        <w:pStyle w:val="TextoNormal"/>
      </w:pPr>
      <w:r>
        <w:t>Debemos comenzar por acotar con mayor precisión el objeto de impugnación, que se refiere genéricamente a la sección 98, que integra todos los ingresos del Estado (cuya cuantía se estimó, para 2008, en 161.554.909,40 miles de euros). Dentro de esta Sección, la compensación que se discute se prevé en el capítulo 4, artículo 54, concepto 453, intitulado “Compensación a satisfacer por la Comunidad Autónoma de Canarias por la supresión del IGTE”.</w:t>
      </w:r>
    </w:p>
    <w:p w:rsidR="0026452D" w:rsidRDefault="0026452D" w:rsidP="0026452D">
      <w:pPr>
        <w:pStyle w:val="TextoNormal"/>
      </w:pPr>
    </w:p>
    <w:p w:rsidR="0026452D" w:rsidRDefault="0026452D" w:rsidP="0026452D">
      <w:pPr>
        <w:pStyle w:val="TextoNormal"/>
      </w:pPr>
      <w:r>
        <w:t>Así centrado el objeto de impugnación, es necesario en este momento que nos pronunciemos expresamente sobre la posibilidad de que el citado reproche de inconstitucionalidad pueda dirigirse, directamente, contra una partida presupuestaria del estado de ingresos. Frente a lo que sucede con los gastos, respecto de los cuales hemos reconocido que las secciones presupuestarias “son susceptibles de impugnación y, por tanto, constituyen un ‘objeto idóneo’ del recurso de inconstitucionalidad” (STC 13/2007, de 18 de enero, FJ 1), los ingresos son una mera previsión, como también hemos reiterado, afirmando que el presupuesto está integrado, en su contenido propio o típico, por “la previsión de ingresos y la habilitación de gastos para un ejercicio económico” (STC 9/2013, de 28 de enero, FJ 2, con cita de otras muchas). Por eso, aun cuando ello no determine, sin más, que queden siempre fuera del examen de constitucionalidad, su impugnación individualizada puede no ser admisible en la medida en que las estimaciones de ingresos, por definición, no despliegan efectos jurídicos, dada su misma naturaleza de previsión o estimación, de manera que su cumplimiento depende de distintos factores, entre los que destaca el crecimiento efectivo del producto interior bruto en el ejercicio al que se refieren, cuya estimación inicial suele ser objeto de correcciones transcurrido dicho ejercicio.</w:t>
      </w:r>
    </w:p>
    <w:p w:rsidR="0026452D" w:rsidRDefault="0026452D" w:rsidP="0026452D">
      <w:pPr>
        <w:pStyle w:val="TextoNormal"/>
      </w:pPr>
    </w:p>
    <w:p w:rsidR="0026452D" w:rsidRDefault="0026452D" w:rsidP="0026452D">
      <w:pPr>
        <w:pStyle w:val="TextoNormal"/>
      </w:pPr>
      <w:r>
        <w:t xml:space="preserve">En este caso la impugnación es admisible en la medida en que también se alega el “impacto negativo” que dicha compensación del impuesto general sobre el tráfico de empresas tiene sobre el fondo de suficiencia, por lo que procede examinar el fondo, si bien recordando, una vez más, que no incumbe a este Tribunal pronunciarse sobre cuál sea el sistema más adecuado de financiación autonómica sino exclusivamente decidir si las concretas disposiciones impugnadas “exceden o no el marco de lo constitucionalmente admisible” (STC 13/2007, de 18 de enero, FJ 3, con cita de anteriores). Por tanto, por lo que al diseño del </w:t>
      </w:r>
      <w:r>
        <w:lastRenderedPageBreak/>
        <w:t xml:space="preserve">sistema de financiación de régimen común y el método para acomodar al mismo las concretas especialidades que supone el régimen económico-fiscal de Canarias, debemos limitarnos a examinar los concretos motivos de inconstitucionalidad alegados, sin que proceda en consecuencia enjuiciar, </w:t>
      </w:r>
      <w:r w:rsidRPr="0026452D">
        <w:rPr>
          <w:i/>
        </w:rPr>
        <w:t>per saltum</w:t>
      </w:r>
      <w:r>
        <w:t>, el propio sistema de financiación en su aplicación a esta Comunidad Autónoma.</w:t>
      </w:r>
    </w:p>
    <w:p w:rsidR="0026452D" w:rsidRDefault="0026452D" w:rsidP="0026452D">
      <w:pPr>
        <w:pStyle w:val="TextoNormal"/>
      </w:pPr>
    </w:p>
    <w:p w:rsidR="0026452D" w:rsidRDefault="0026452D" w:rsidP="0026452D">
      <w:pPr>
        <w:pStyle w:val="TextoNormal"/>
      </w:pPr>
      <w:r w:rsidRPr="0026452D">
        <w:rPr>
          <w:rStyle w:val="NumeroAFNegritaCaracter"/>
        </w:rPr>
        <w:t>8</w:t>
      </w:r>
      <w:r>
        <w:t>. Debemos abordar en primer lugar y dentro del segundo motivo de inconstitucionalidad, la alegación relativa al impacto que la citada compensación del impuesto general sobre el tráfico de empresas habría tenido sobre el fondo de suficiencia.</w:t>
      </w:r>
    </w:p>
    <w:p w:rsidR="0026452D" w:rsidRDefault="0026452D" w:rsidP="0026452D">
      <w:pPr>
        <w:pStyle w:val="TextoNormal"/>
      </w:pPr>
    </w:p>
    <w:p w:rsidR="0026452D" w:rsidRDefault="0026452D" w:rsidP="0026452D">
      <w:pPr>
        <w:pStyle w:val="TextoNormal"/>
      </w:pPr>
      <w:r>
        <w:t>El fondo de suficiencia es uno de los recursos de financiación de las Comunidades Autónomas, como modalidad de “participaciones en los ingresos del Estado” [art. 157.1 a) CE], en garantía, junto a otros y dentro siempre de las posibilidades financieras del Estado, de la suficiencia de recursos (SSTC 237/1992, de 15 de diciembre, FJ 6; 13/2007, de 18 de enero, FJ 5; y 31/2010, de 28 de junio, FJ 130; y 204/2011, de 15 de diciembre, FJ 8).</w:t>
      </w:r>
    </w:p>
    <w:p w:rsidR="0026452D" w:rsidRDefault="0026452D" w:rsidP="0026452D">
      <w:pPr>
        <w:pStyle w:val="TextoNormal"/>
      </w:pPr>
    </w:p>
    <w:p w:rsidR="0026452D" w:rsidRDefault="0026452D" w:rsidP="0026452D">
      <w:pPr>
        <w:pStyle w:val="TextoNormal"/>
      </w:pPr>
      <w:r>
        <w:t>Se trata en la práctica de una transferencia de fondos de carácter residual, en el sentido de que su función es allegar a la Comunidad Autónoma los recursos que, con carácter general y de acuerdo con la fórmula del sistema de financiación, se ha estimado que precisa para el ejercicio de sus competencias, recursos que deben cubrirse, por un lado, con los tributos cedidos (“capacidad fiscal”), y por otro, y sólo en lo que éstos no cubran, con el citado fondo de suficiencia, todo ello sin perjuicio de otras fuentes de financiación. Así se regula en el art. 13 LOFCA, cuyo apartado 2, en su redacción entonces vigente, disponía que “el Fondo de suficiencia cubrirá la diferencia entre las necesidades de gasto de cada Comunidad Autónoma y Ciudad con Estatuto de Autonomía propio y su capacidad fiscal”. Tras su reforma mediante Ley Orgánica 3/2009, de 18 de diciembre, el mismo precepto y apartado dispone que “[e]l Fondo de Suficiencia Global cubrirá la diferencia entre las necesidades de gasto de cada Comunidad Autónoma y Ciudad con Estatuto de Autonomía y la suma de su capacidad tributaria y la transferencia del Fondo de Garantía de Servicios Públicos Fundamentales”. Por su parte, el fondo de suficiencia, y su papel en la fórmula de financiación autonómica en los términos descritos, se desarrollaba en los arts. 2 a 6 de la Ley 21/2001, de 27 de diciembre, por la que se regulan las medidas fiscales y administrativas del nuevo sistema de financiación de las Comunidades Autónomas de régimen común y ciudades con Estatuto de Autonomía (vigente hasta el 1 de enero de 2009), y, en la actualidad, en los arts. 2 a 10 de la Ley 22/2009, de 18 de diciembre, por la que se regula el sistema de financiación de las Comunidades Autónomas de régimen común y ciudades con Estatuto de Autonomía y se modifican determinadas normas tributarias.</w:t>
      </w:r>
    </w:p>
    <w:p w:rsidR="0026452D" w:rsidRDefault="0026452D" w:rsidP="0026452D">
      <w:pPr>
        <w:pStyle w:val="TextoNormal"/>
      </w:pPr>
    </w:p>
    <w:p w:rsidR="0026452D" w:rsidRDefault="0026452D" w:rsidP="0026452D">
      <w:pPr>
        <w:pStyle w:val="TextoNormal"/>
      </w:pPr>
      <w:r>
        <w:t xml:space="preserve">Pues bien, frente a lo alegado por los recurrentes, la compensación del impuesto general sobre el tráfico de empresas, prevista en la Sección 98 (concepto 453) del estado de ingresos del presupuesto, no supone una modificación del fondo de suficiencia para esta Comunidad Autónoma, pues como de hecho se afirma en el propio escrito de demanda, no se ha modificado la normativa ni minorado la dotación que corresponde en concepto de fondo de suficiencia. Cosa distinta es que, precisamente para evitar una doble transferencia de recursos, y como expone el Abogado del Estado en su escrito, en la fase de pago, opere la compensación entre, por un lado, la transferencia que corresponde a Canarias por el fondo de suficiencia, pues para esta Comunidad Autónoma es positivo (del Estado a la Comunidad Autónoma) y la que habría correspondido por el impuesto general sobre el tráfico de empresas </w:t>
      </w:r>
      <w:r>
        <w:lastRenderedPageBreak/>
        <w:t>(de la Comunidad Autónoma al Estado). A consecuencia de ello, la transferencia que corresponde al fondo de suficiencia se minora, en el momento de su pago, en la cuantía correspondiente al impuesto. Por su parte, a efectos contables, la compensación del impuesto se refleja en la partida de ingresos del presupuesto del Estado y, en contrapartida, se hace constar también el importe íntegro del fondo de suficiencia en el estado de gastos, en concreto en la sección 32 (entes territoriales), y dentro de la misma en el “Programa: 941M Transferencias a CC.AA. por participación en ingresos Estado”, que refleja en el concepto 451 la transferencia correspondiente a Canarias por el “fondo de suficiencia”, que asciende a 3.247.791,66 (miles de euros). Es decir, no ha habido ninguna modificación normativa en el valor del fondo que corresponde a la Comunidad Autónoma de Canarias, por lo que debe desestimarse la infracción de la LOFCA que se alega.</w:t>
      </w:r>
    </w:p>
    <w:p w:rsidR="0026452D" w:rsidRDefault="0026452D" w:rsidP="0026452D">
      <w:pPr>
        <w:pStyle w:val="TextoNormal"/>
      </w:pPr>
    </w:p>
    <w:p w:rsidR="0026452D" w:rsidRDefault="0026452D" w:rsidP="0026452D">
      <w:pPr>
        <w:pStyle w:val="TextoNormal"/>
      </w:pPr>
      <w:r>
        <w:t>En este punto es de advertir además una cierta contradicción en la demanda, pues no se puede simultáneamente impugnar la compensación y el hecho de que se produzcan “transferencias recíprocas”, que es precisamente lo que la compensación entre deuda y crédito, reflejada en el propio pago del fondo de suficiencia, pretendería evitar. Esto permite además concluir que la alegación relativa a la vulneración del art. 103.1 CE carece de todo fundamento, por no acreditarse la infracción de los principios de eficacia y coordinación.</w:t>
      </w:r>
    </w:p>
    <w:p w:rsidR="0026452D" w:rsidRDefault="0026452D" w:rsidP="0026452D">
      <w:pPr>
        <w:pStyle w:val="TextoNormal"/>
      </w:pPr>
    </w:p>
    <w:p w:rsidR="0026452D" w:rsidRDefault="0026452D" w:rsidP="0026452D">
      <w:pPr>
        <w:pStyle w:val="TextoNormal"/>
      </w:pPr>
      <w:r w:rsidRPr="0026452D">
        <w:rPr>
          <w:rStyle w:val="NumeroAFNegritaCaracter"/>
        </w:rPr>
        <w:t>9</w:t>
      </w:r>
      <w:r>
        <w:t>. Procede examinar la segunda alegación de este motivo de inconstitucionalidad, que sostiene que la citada compensación estaría huérfana de toda regulación legal, lo que en la demanda merece la calificación de “sustracción unilateral y sin ningún fundamento jurídico, ni cobertura constitucional”.</w:t>
      </w:r>
    </w:p>
    <w:p w:rsidR="0026452D" w:rsidRDefault="0026452D" w:rsidP="0026452D">
      <w:pPr>
        <w:pStyle w:val="TextoNormal"/>
      </w:pPr>
    </w:p>
    <w:p w:rsidR="0026452D" w:rsidRDefault="0026452D" w:rsidP="0026452D">
      <w:pPr>
        <w:pStyle w:val="TextoNormal"/>
      </w:pPr>
      <w:r>
        <w:t>La compensación del impuesto general sobre el tráfico de empresas está expresamente contemplada en el art. 12 de la Ley 19/1994, de 6 de julio, de modificación del régimen económico y fiscal de Canarias, precepto en vigor y que establece que “[l]os Presupuestos Generales del Estado recogerán cada año las partidas presupuestarias que resulten precisas para dotar las transferencias correspondientes a las inversiones del Estado en infraestructuras en Canarias, que ascenderán como mínimo al 50 por 100 de la recaudación normativa líquida atribuida al Estado como compensación por la supresión del Impuesto General sobre el Tráfico de las Empresas establecida en la Ley 20/1991, de 7 de junio”.</w:t>
      </w:r>
    </w:p>
    <w:p w:rsidR="0026452D" w:rsidRDefault="0026452D" w:rsidP="0026452D">
      <w:pPr>
        <w:pStyle w:val="TextoNormal"/>
      </w:pPr>
    </w:p>
    <w:p w:rsidR="0026452D" w:rsidRDefault="0026452D" w:rsidP="0026452D">
      <w:pPr>
        <w:pStyle w:val="TextoNormal"/>
      </w:pPr>
      <w:r>
        <w:t xml:space="preserve">Así, la compensación del impuesto general sobre el tráfico de empresas cuya legitimidad en el fondo se cuestiona, encuentra su fundamento en el propio sistema fiscal vigente en Canarias. En efecto, como se explica tanto en la propia demanda como en el escrito del Abogado del Estado, el origen de la compensación del impuesto radica en la Ley 20/1991, de 7 de junio, de modificación de los aspectos fiscales del régimen económico fiscal de Canarias, que suprimió el impuesto general sobre el tráfico de empresas, tributo de titularidad estatal, vigente en Canarias en lugar del impuesto sobre el valor añadido, estableciendo, en su lugar, el arbitrio sobre la producción y la importación y el impuesto general indirecto canario. Así se explica en el apartado IV de la exposición de motivos de la norma: “siendo preciso mantener la capacidad financiera de las Administraciones Públicas, la reestructuración expuesta habrá de completarse con los ajustes financieros previstos para que ninguna de las tres Administraciones afectadas sufra mermas en la cuantía de los ingresos que de las figuras sustituidas venía obteniendo. En consecuencia, la pérdida de ingresos sufrida por la Hacienda del Estado, derivada de la integración del IGTE en el Impuesto General Indirecto, </w:t>
      </w:r>
      <w:r>
        <w:lastRenderedPageBreak/>
        <w:t>se compensará deduciendo de la participación de la Comunidad Autónoma de Canarias en los Ingresos del Estado, los rendimientos correspondientes al citado impuesto”.</w:t>
      </w:r>
    </w:p>
    <w:p w:rsidR="0026452D" w:rsidRDefault="0026452D" w:rsidP="0026452D">
      <w:pPr>
        <w:pStyle w:val="TextoNormal"/>
      </w:pPr>
    </w:p>
    <w:p w:rsidR="0026452D" w:rsidRDefault="0026452D" w:rsidP="0026452D">
      <w:pPr>
        <w:pStyle w:val="TextoNormal"/>
      </w:pPr>
      <w:r>
        <w:t>Dicha pérdida de recursos por parte del Estado, deriva por tanto directamente del peculiar régimen económico y fiscal vigente en Canarias, lo que determina que, a diferencia de lo que sucede en las Comunidades Autónomas de régimen común, el Estado no perciba ningún ingreso en concepto del impuesto sobre el valor añadido, pero tampoco del impuesto general indirecto canario, que lo sustituye, y cuya recaudación líquida corresponde, en un 50,35 por 100, a la Comunidad Autónoma, y en el 49,56 restante, a los cabildos insulares, según establece el art. 64 de la citada Ley 20/1991.</w:t>
      </w:r>
    </w:p>
    <w:p w:rsidR="0026452D" w:rsidRDefault="0026452D" w:rsidP="0026452D">
      <w:pPr>
        <w:pStyle w:val="TextoNormal"/>
      </w:pPr>
    </w:p>
    <w:p w:rsidR="0026452D" w:rsidRDefault="0026452D" w:rsidP="0026452D">
      <w:pPr>
        <w:pStyle w:val="TextoNormal"/>
      </w:pPr>
      <w:r>
        <w:t>A consecuencia de lo anterior, y como también se expone en la propia demanda, en el acuerdo de la Comisión Mixta Administración del Estado-Comunidad Autónoma de Canarias, celebrada el 20 de octubre de 1993, se fijó la fórmula concreta por la que se había de calcular dicha compensación. A partir de entonces, la misma se ha ido reflejando en las correspondientes partidas de ingresos de los presupuestos generales del Estado. Tomando como ejemplo los últimos diez años, para el ejercicio de 2002, el citado concepto 453, de la Sección 98 de los ingresos públicos, se estimaba en 168.345,29 miles de euros; para 2003, 192.034,31; para 2004, 190.000,00 miles de euros; para 2005, 156.000,00; para 2006, 154.000,00; para 2007, 209.000,00; para 2008, ejercicio que ahora se discute, la citada cuantía de 209.000,00; para 2009, 335.600,00; para 2010, 90.000,00, para 2011, 154.000,00, para 2012, 212.500,00 y, para el ejercicio actualmente vigente, 2013, el mismo concepto 453 asciende a 191.645,75, siempre en miles de euros.</w:t>
      </w:r>
    </w:p>
    <w:p w:rsidR="0026452D" w:rsidRDefault="0026452D" w:rsidP="0026452D">
      <w:pPr>
        <w:pStyle w:val="TextoNormal"/>
      </w:pPr>
    </w:p>
    <w:p w:rsidR="0026452D" w:rsidRDefault="0026452D" w:rsidP="0026452D">
      <w:pPr>
        <w:pStyle w:val="TextoNormal"/>
      </w:pPr>
      <w:r w:rsidRPr="0026452D">
        <w:rPr>
          <w:rStyle w:val="NumeroAFNegritaCaracter"/>
        </w:rPr>
        <w:t>10</w:t>
      </w:r>
      <w:r>
        <w:t>. Por otro lado, el mandato directo que se contiene al legislador presupuestario en el art. 12 de la Ley 19/1994, de 4 de julio, de modificación del régimen económico y fiscal de Canarias colma las exigencias de publicidad normativa, sin que por tanto quepa apreciar la vulneración del principio de seguridad jurídica previsto en el art. 9.3 CE.</w:t>
      </w:r>
    </w:p>
    <w:p w:rsidR="0026452D" w:rsidRDefault="0026452D" w:rsidP="0026452D">
      <w:pPr>
        <w:pStyle w:val="TextoNormal"/>
      </w:pPr>
    </w:p>
    <w:p w:rsidR="0026452D" w:rsidRDefault="0026452D" w:rsidP="0026452D">
      <w:pPr>
        <w:pStyle w:val="TextoNormal"/>
      </w:pPr>
      <w:r>
        <w:t>En efecto, la seguridad jurídica, de conformidad con nuestra doctrina, ha de entenderse como la certeza sobre el ordenamiento jurídico aplicable y los intereses jurídicamente tutelados, procurando “la claridad y no la confusión normativa” (STC 46/1990, de 15 de marzo, FJ 4), de tal manera que “sólo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212/1996, de 19 de diciembre, FJ 15; y 96/2002, de 25 de abril, FJ 5).</w:t>
      </w:r>
    </w:p>
    <w:p w:rsidR="0026452D" w:rsidRDefault="0026452D" w:rsidP="0026452D">
      <w:pPr>
        <w:pStyle w:val="TextoNormal"/>
      </w:pPr>
    </w:p>
    <w:p w:rsidR="0026452D" w:rsidRDefault="0026452D" w:rsidP="0026452D">
      <w:pPr>
        <w:pStyle w:val="TextoNormal"/>
      </w:pPr>
      <w:r>
        <w:t xml:space="preserve">Pues bien, en el caso que nos ocupa el Gobierno de la Nación comunica a las Comunidades Autónomas y ciudades con Estatuto de Autonomía la cifra que, de conformidad con sus previsiones, va a constituir la base de cálculo del citado instrumento, razón por la cual, el posible desfase posterior —en más o en menos— derivado de fijar la cifra definitiva de la inversión pública del Estado y de sus organismos autónomos, en modo alguno afecta al principio de seguridad jurídica, al permitir a las Comunidades Autónomas perceptoras del citado fondo conocer de forma anticipada y precisa la cifra que les permite, también a ellas, proyectar sus inversiones. No existe, pues, falta de claridad o confusión normativa en los </w:t>
      </w:r>
      <w:r>
        <w:lastRenderedPageBreak/>
        <w:t>preceptos impugnados que puedan generar en sus destinatarios —las Comunidades Autónomas y, desde el día 1 de enero de 2002, también las ciudades con Estatuto de Autonomía— una incertidumbre insuperable acerca de la conducta que deban adoptar, sino una forma de actuar de los poderes públicos implicados que, aun cuando pueda admitir ofrecer otras alternativas, carece de relevancia constitucional.</w:t>
      </w:r>
    </w:p>
    <w:p w:rsidR="0026452D" w:rsidRDefault="0026452D" w:rsidP="0026452D">
      <w:pPr>
        <w:pStyle w:val="TextoNormal"/>
      </w:pPr>
    </w:p>
    <w:p w:rsidR="0026452D" w:rsidRDefault="0026452D" w:rsidP="0026452D">
      <w:pPr>
        <w:pStyle w:val="TextoNormal"/>
      </w:pPr>
      <w:r>
        <w:t xml:space="preserve">Por último, al régimen fiscal canario, dentro del que está la compensación al Estado por la supresión del impuesto general sobre el tráfico de empresas, alude además expresamente la disposición adicional tercera de la Ley 21/2001, de 27 de diciembre, por la que se regulan las medidas fiscales y administrativas del nuevo sistema de financiación de las Comunidades Autónomas de régimen común y ciudades con Estatuto de Autonomía cuando establece que “en relación con la Comunidad Autónoma de Canarias, tanto la determinación de los recursos financieros en el año base 1999 y la suficiencia dinámica, como el régimen de cesión de tributos, se realizarán respetando lo establecido en su peculiar régimen económico y fiscal”, de manera que debe rechazarse el argumento, esgrimido por la demanda, de que la citada compensación deba entenderse implícitamente derogada por esta norma, algo que no sólo no se constata en la propia Ley, sino que tendría incluso consecuencias irrazonables desde la perspectiva de la propia fórmula de financiación </w:t>
      </w:r>
      <w:r w:rsidRPr="0026452D">
        <w:rPr>
          <w:i/>
        </w:rPr>
        <w:t>supra</w:t>
      </w:r>
      <w:r>
        <w:t xml:space="preserve"> expuesta, ya que en ésta no se computaría el impuesto general sobre el tráfico de empresas, ni el impuesto general indirecto canario, pero sí la falta de cesión del impuesto sobre el valor añadido, lo que determinaría un exceso de financiación en relación con el fondo de suficiencia, con respecto de otras Comunidades Autónomas, dada la citada función residual que este tipo de transferencias tiene.</w:t>
      </w:r>
    </w:p>
    <w:p w:rsidR="0026452D" w:rsidRDefault="0026452D" w:rsidP="0026452D">
      <w:pPr>
        <w:pStyle w:val="TextoNormal"/>
      </w:pPr>
    </w:p>
    <w:p w:rsidR="0026452D" w:rsidRDefault="0026452D" w:rsidP="0026452D">
      <w:pPr>
        <w:pStyle w:val="TextoNormal"/>
      </w:pPr>
      <w:r>
        <w:t>Los razonamientos expuestos conducen a desestimar también este segundo motivo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11</w:t>
      </w:r>
      <w:r>
        <w:t>. Llegados a este punto, procede ahora abordar el tercer y último motivo de impugnación, referido a los arts. 2 y 6 de la Ley 51/2007, en cuanto recogen los capítulos VI y VII, incluidos los estados de gastos con sus correspondientes créditos, relativos a la inversión del Estado. Con los argumentos expuestos en los antecedentes, la demanda considera que estos preceptos, en la medida en que recogen una cuantía inferior a la que habría exigido el art. 96 de la Ley 20/1991, de 7 de junio, de modificación de los aspectos fiscales del régimen económico fiscal de Canarias, incumplen este precepto y vulneran la garantía institucional prevista en la disposición adicional tercera de la Constitución y en el art. 46 EACan.</w:t>
      </w:r>
    </w:p>
    <w:p w:rsidR="0026452D" w:rsidRDefault="0026452D" w:rsidP="0026452D">
      <w:pPr>
        <w:pStyle w:val="TextoNormal"/>
      </w:pPr>
    </w:p>
    <w:p w:rsidR="0026452D" w:rsidRDefault="0026452D" w:rsidP="0026452D">
      <w:pPr>
        <w:pStyle w:val="TextoNormal"/>
      </w:pPr>
      <w:r>
        <w:t>Hemos subrayado en la STC 16/2003, de 30 de enero, que aunque se entendiera que el régimen económico fiscal de Canarias está cubierto por una garantía institucional, no cabría estimarla vulnerada. En efecto, conforme a reiterada doctrina de este Tribunal ésta “no asegura un contenido concreto o un ámbito competencial determinado y fijado de una vez por todas, sino la preservación de una institución en términos recognoscibles para la imagen que de la misma tiene la conciencia social en cada tiempo y lugar” [por todas, STC 32/1981, de 28 de julio, FJ 3, y también las SSTC 26/1987, de 27 de febrero, FJ 4 a); 76/1988, de 26 de abril, FJ 4; 109/1998, de 21 de mayo, FJ 2; y 159/2001, de 5 de julio, FJ 4].</w:t>
      </w:r>
    </w:p>
    <w:p w:rsidR="0026452D" w:rsidRDefault="0026452D" w:rsidP="0026452D">
      <w:pPr>
        <w:pStyle w:val="TextoNormal"/>
      </w:pPr>
    </w:p>
    <w:p w:rsidR="0026452D" w:rsidRDefault="0026452D" w:rsidP="0026452D">
      <w:pPr>
        <w:pStyle w:val="TextoNormal"/>
      </w:pPr>
      <w:r>
        <w:t xml:space="preserve">Como ha afirmado este Tribunal en reiteradas ocasiones, “‘la garantía es desconocida cuando la institución es limitada, de tal modo que se la priva prácticamente de sus posibilidades de existencia real como institución para convertirse en un simple nombre. Tales son </w:t>
      </w:r>
      <w:r>
        <w:lastRenderedPageBreak/>
        <w:t>los límites para su determinación por las normas que la regulan y por la aplicación que se haga de éstas. En definitiva, la única interdicción claramente discernible es la ruptura clara y neta con esa imagen comúnmente aceptada de la institución que, en cuanto formación jurídica, viene determinada en buena parte por las normas que en cada momento la regulan y de la aplicación que de las mismas se hace’ (STC 32/1981, de 28 de julio, FJ 3; en el mismo sentido, SSTC 38/1983, de 16 de mayo, FJ 6; 40/1988, de 19 de febrero, FJ 39; 76/1988, de 26 de abril, FJ 4; 159/1993, de 6 de mayo, FJ 6; 109/1998, de 21 de mayo, FJ 2; y 159/2001, de 5 de julio, FJ 4).” (STC 16/2003, de 30 de enero, FJ 4).</w:t>
      </w:r>
    </w:p>
    <w:p w:rsidR="0026452D" w:rsidRDefault="0026452D" w:rsidP="0026452D">
      <w:pPr>
        <w:pStyle w:val="TextoNormal"/>
      </w:pPr>
    </w:p>
    <w:p w:rsidR="0026452D" w:rsidRDefault="0026452D" w:rsidP="0026452D">
      <w:pPr>
        <w:pStyle w:val="TextoNormal"/>
      </w:pPr>
      <w:r>
        <w:t>Por ello, debemos comenzar por descartar ya desde este momento que se haya modificado el régimen económico-fiscal de Canarias mediante la Ley de presupuestos que se impugna ni tampoco nos encontramos ante un supuesto de legislación financiera o tributaria que afecte al régimen económico-fiscal de Canarias.</w:t>
      </w:r>
    </w:p>
    <w:p w:rsidR="0026452D" w:rsidRDefault="0026452D" w:rsidP="0026452D">
      <w:pPr>
        <w:pStyle w:val="TextoNormal"/>
      </w:pPr>
    </w:p>
    <w:p w:rsidR="0026452D" w:rsidRDefault="0026452D" w:rsidP="0026452D">
      <w:pPr>
        <w:pStyle w:val="TextoNormal"/>
      </w:pPr>
      <w:r>
        <w:t>En efecto, y sin perjuicio de que este régimen implica desde luego un “plus de participación” a esta Comunidad Autónoma “en los proyectos de legislación financiera y tributaria que afecten al régimen económico-fiscal de Canarias”, tal y como prevé el art. 46.3 EACan (por todas, SSTC 16/2003, de 30 de enero, FFJJ 5 a 7; y 62/2003, de 27 de marzo, FJ 4), ello no determina la excepcionalidad al régimen constitucional común alegada en la demanda, pues como ya hemos reiterado, en el sistema constitucional de reparto de competencias financieras no caben compartimentos estancos, al margen del ordenamiento jurídico general, de forma que “las Comunidades Autónomas no están habilitadas para elegir de forma unilateral el sistema con arreglo al cual deberán financiarse” (STC 208/2012, de 14 de noviembre, FJ 5, con cita, entre otras, de las SSTC 13/2007, de 18 de enero, FJ 9; 31/2010, de 28 de junio, FJ 135; y 204/2011, de 15 de diciembre, FJ 7).</w:t>
      </w:r>
    </w:p>
    <w:p w:rsidR="0026452D" w:rsidRDefault="0026452D" w:rsidP="0026452D">
      <w:pPr>
        <w:pStyle w:val="TextoNormal"/>
      </w:pPr>
    </w:p>
    <w:p w:rsidR="0026452D" w:rsidRDefault="0026452D" w:rsidP="0026452D">
      <w:pPr>
        <w:pStyle w:val="TextoNormal"/>
      </w:pPr>
      <w:r>
        <w:t>En el análisis de este tercer motivo la alegación principal se refiere a la vulneración del art. 96 de la Ley 20/1991, de 7 de junio, de modificación de los aspectos fiscales del régimen económico fiscal de Canarias. Esta norma exige que las inversiones estatales en la Comunidad Autónoma “no sean inferiores al promedio que corresponda para el conjunto de las Comunidades Autónomas, excluidas de este cómputo las inversiones que compensen del hecho insular”. La aludida vulneración habría tenido lugar porque, según los datos que aporta la demanda, y que procederían de la propia Ley de presupuestos para 2008, la inversión teórica media estatal para ese ejercicio habría ascendido a 1.127.980 € (miles de euros), mientras que las inversiones reales del Estado en la Comunidad canaria, según el mismo método de cálculo, ascienden a 821.330 € (miles de euros). Ello determina, según la demanda, que la inversión debería haber sido estimada en 306.649 € (miles de euros) adicionales, para dar cumplimiento así a la norma citada.</w:t>
      </w:r>
    </w:p>
    <w:p w:rsidR="0026452D" w:rsidRDefault="0026452D" w:rsidP="0026452D">
      <w:pPr>
        <w:pStyle w:val="TextoNormal"/>
      </w:pPr>
    </w:p>
    <w:p w:rsidR="0026452D" w:rsidRDefault="0026452D" w:rsidP="0026452D">
      <w:pPr>
        <w:pStyle w:val="TextoNormal"/>
      </w:pPr>
      <w:r>
        <w:t xml:space="preserve">Lo primero que debe precisarse es que los términos en los que está formulada la impugnación dificultan la resolución de la controversia, porque ésta se dirige, </w:t>
      </w:r>
      <w:r w:rsidRPr="0026452D">
        <w:rPr>
          <w:i/>
        </w:rPr>
        <w:t>in toto</w:t>
      </w:r>
      <w:r>
        <w:t xml:space="preserve">, sobre buena parte del gasto presupuestado, en concreto los arts. 2 y 6 de la Ley 51/2007, respecto de los capítulos VI y VII incluidos en los estados de gasto con sus créditos correspondientes. Es decir, en los términos de la demanda, el objeto de la impugnación lo constituiría la totalidad del gasto presupuestado por los citados conceptos, y en todo el territorio nacional, lo que permite ya descartar este tipo de impugnación debido a su abierta imprecisión. En ese sentido, debemos recordar nuevamente que “la impugnación de normas debe ir acompañada con una fundamentación que permita a las partes, a las que asiste el derecho de defensa (en </w:t>
      </w:r>
      <w:r>
        <w:lastRenderedPageBreak/>
        <w:t>este caso, al Abogado del Estado), así como a este Tribunal, que ha de pronunciar Sentencia, conocer las razones por las cuales los recurrentes entienden que las disposiciones cuestionadas vulneran el orden constitucional.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En suma, la presunción de constitucionalidad de normas con rango de ley no puede desvirtuarse sin una argumentación suficiente, no siendo admisibles las impugnaciones globales carentes de un razonamiento desarrollado que las sustente” [STC 238/2007, FJ 2; con cita de la STC 13/2007, de 18 enero, FJ 1; y 204/2011, FJ 2 b)].</w:t>
      </w:r>
    </w:p>
    <w:p w:rsidR="0026452D" w:rsidRDefault="0026452D" w:rsidP="0026452D">
      <w:pPr>
        <w:pStyle w:val="TextoNormal"/>
      </w:pPr>
    </w:p>
    <w:p w:rsidR="0026452D" w:rsidRDefault="0026452D" w:rsidP="0026452D">
      <w:pPr>
        <w:pStyle w:val="TextoNormal"/>
      </w:pPr>
      <w:r>
        <w:t>Por otro lado, también adolecen de imprecisión las cifras mismas que se aportan, respectivamente, como inversión teórica real del Estado, y como inversión que habría debido alcanzarse en la Comunidad Autónoma de Canarias, cuya base parece encontrarse únicamente en el “Informe sobre la inversión media de los Presupuestos Generales del Estado para el 2008 en Canarias”, que se aporta y que ha sido redactado por la propia Consejería de Economía y Hacienda del Gobierno de Canarias, esto es, la propia parte demandante, sin que se aporte ningún otro dato adicional en apoyo de su alegato.</w:t>
      </w:r>
    </w:p>
    <w:p w:rsidR="0026452D" w:rsidRDefault="0026452D" w:rsidP="0026452D">
      <w:pPr>
        <w:pStyle w:val="TextoNormal"/>
      </w:pPr>
    </w:p>
    <w:p w:rsidR="0026452D" w:rsidRDefault="0026452D" w:rsidP="0026452D">
      <w:pPr>
        <w:pStyle w:val="TextoNormal"/>
      </w:pPr>
      <w:r>
        <w:t>Por último, incluso si se pudieran salvar los anteriores obstáculos al examen de este motivo, también hemos rechazado la posibilidad de que este Tribunal se pronuncie de forma preventiva (por todas, SSTC 176/1999, de 30 de septiembre, FJ 4 y 204/2011, de 15 de diciembre, FJ 8), lo que sucedería si se admitiera la posibilidad de enjuiciar la previsión de inversión que se realiza en la Ley de presupuestos, toda vez que no hay datos para concluir que el resultado habría de ser el denunciado.</w:t>
      </w:r>
    </w:p>
    <w:p w:rsidR="0026452D" w:rsidRDefault="0026452D" w:rsidP="0026452D">
      <w:pPr>
        <w:pStyle w:val="TextoNormal"/>
      </w:pPr>
    </w:p>
    <w:p w:rsidR="0026452D" w:rsidRDefault="0026452D" w:rsidP="0026452D">
      <w:pPr>
        <w:pStyle w:val="TextoNormal"/>
      </w:pPr>
      <w:r>
        <w:t>Todo ello sin perjuicio de que ya nos hemos pronunciado también sobre los compromisos presupuestarios formalizados en un Estatuto de Autonomía, doctrina que procede trasladar aquí, por analogía, aunque la citada Ley 20/1991 no tenga el carácter de norma estatutaria. Hemos reiterado que dichos compromisos no constituyen “un recurso que el Estado deba consignar obligatoriamente en los presupuestos generales de cada ejercicio económico”, pues es al Estado “a quien corresponde en exclusiva, atendiendo a la totalidad de los instrumentos para la financiación de las Comunidades Autónomas, a las necesidades de cada una de éstas y a las posibilidades reales del sistema financiero del Estado, decidir si procede dotar, en su caso, y en qué cuantía aquellas asignaciones en virtud de la competencia exclusiva que sobre la materia le atribuye el art. 149.1.14 CE (hacienda general)” (SSTC 13/2007, de 18 de enero, FJ 11, y 31/2010, de 28 de junio, FJ 138).</w:t>
      </w:r>
    </w:p>
    <w:p w:rsidR="0026452D" w:rsidRDefault="0026452D" w:rsidP="0026452D">
      <w:pPr>
        <w:pStyle w:val="TextoNormal"/>
      </w:pPr>
    </w:p>
    <w:p w:rsidR="0026452D" w:rsidRDefault="0026452D" w:rsidP="0026452D">
      <w:pPr>
        <w:pStyle w:val="TextoNormal"/>
      </w:pPr>
      <w:r>
        <w:t>A partir de cuanto antecede, procede también desestimar este último motivo de inconstitucionalidad.</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lastRenderedPageBreak/>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veintitrés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05" w:name="SENTENCIA_2013_102"/>
      <w:r>
        <w:lastRenderedPageBreak/>
        <w:t>SENTENCIA 102/2013, de 23 de abril de 2013</w:t>
      </w:r>
    </w:p>
    <w:bookmarkEnd w:id="105"/>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ECLI:ES:TC:2013:102</w:t>
      </w:r>
    </w:p>
    <w:p w:rsidR="0026452D" w:rsidRDefault="0026452D" w:rsidP="0026452D">
      <w:pPr>
        <w:pStyle w:val="SntesisDescriptiva"/>
      </w:pPr>
    </w:p>
    <w:p w:rsidR="0026452D" w:rsidRDefault="0026452D" w:rsidP="0026452D">
      <w:pPr>
        <w:pStyle w:val="SntesisDescriptiva"/>
      </w:pPr>
      <w:r>
        <w:t>Recurso de inconstitucionalidad 6883-2010. Interpuesto por el Gobierno de Canarias en relación con los artículos 18.5 y 35 de la Ley 25/2009, de 22 de diciembre, de modificación de diversas leyes para su adaptación a la Ley sobre el libre acceso a las actividades de servicios y su ejercicio.</w:t>
      </w:r>
    </w:p>
    <w:p w:rsidR="0026452D" w:rsidRDefault="0026452D" w:rsidP="0026452D">
      <w:pPr>
        <w:pStyle w:val="SntesisDescriptiva"/>
      </w:pPr>
    </w:p>
    <w:p w:rsidR="0026452D" w:rsidRDefault="0026452D" w:rsidP="0026452D">
      <w:pPr>
        <w:pStyle w:val="SntesisAnaltica"/>
      </w:pPr>
      <w:r>
        <w:t>Competencias sobre régimen energético, medio ambiente y espacios naturales protegidos: constitucionalidad de los preceptos legales estatales relativos al suministro de energía eléctrica a los usuarios (STC 18/2011) y al régimen de concesiones y autorizaciones de actividades de servicios en los parques nacionales (STC 101/2005).</w:t>
      </w:r>
    </w:p>
    <w:p w:rsidR="0026452D" w:rsidRDefault="0026452D" w:rsidP="0026452D">
      <w:pPr>
        <w:pStyle w:val="SntesisAnaltica"/>
      </w:pPr>
    </w:p>
    <w:p w:rsidR="0026452D" w:rsidRDefault="0026452D" w:rsidP="0026452D">
      <w:pPr>
        <w:pStyle w:val="Extracto"/>
      </w:pPr>
      <w:r>
        <w:t>1.</w:t>
      </w:r>
      <w:r>
        <w:tab/>
        <w:t>La finalidad de las medidas introducidas en el precepto impugnado, destinadas a la protección de los usuarios y a garantizar la calidad del suministro de energía eléctrica, justifican la atribución al Estado de funciones ejecutivas, ya que la decisión sobre el comercializador de último recurso despliega sus efectos más allá de la Comunidad Autónoma, el Estado se sitúa en mejor posición para acordar el traspaso obligatorio de clientes, velando así por el correcto funcionamiento de todo el sistema eléctrico, y no excluye la colaboración y participación de las Comunidades Autónomas ni supone, en consecuencia, vulneración de la competencia autonómica de desarrollo legislativo y ejecución del régimen energético y minero [FJ 8].</w:t>
      </w:r>
    </w:p>
    <w:p w:rsidR="0026452D" w:rsidRDefault="0026452D" w:rsidP="0026452D">
      <w:pPr>
        <w:pStyle w:val="Extracto"/>
      </w:pPr>
    </w:p>
    <w:p w:rsidR="0026452D" w:rsidRDefault="0026452D" w:rsidP="0026452D">
      <w:pPr>
        <w:pStyle w:val="Extracto"/>
      </w:pPr>
      <w:r>
        <w:t>2.</w:t>
      </w:r>
      <w:r>
        <w:tab/>
        <w:t xml:space="preserve">El Estado puede adoptar medidas ejecutivas con la finalidad de garantizar el suministro de energía eléctrica, tanto por resultar un complemento necesario para preservar lo básico en materia energética, </w:t>
      </w:r>
      <w:r w:rsidRPr="0026452D">
        <w:rPr>
          <w:i/>
        </w:rPr>
        <w:t>ex</w:t>
      </w:r>
      <w:r>
        <w:t xml:space="preserve"> art. 149.1.25 CE, como por su trascendencia para la ordenación general de la economía, </w:t>
      </w:r>
      <w:r w:rsidRPr="0026452D">
        <w:rPr>
          <w:i/>
        </w:rPr>
        <w:t>ex</w:t>
      </w:r>
      <w:r>
        <w:t xml:space="preserve"> art. 149.1.13 CE, lo que no dispensa al Gobierno, cada vez que haga uso de sus potestades de actuación, de justificar el carácter materialmente básico de la medida adoptada ni impide a la Comunidad Autónoma prever, en el marco de sus competencias de desarrollo legislativo y de ejecución en materia energética, la adopción y puesta en práctica de otras medidas que pudieran ser adecuadas para garantizar el suministro eléctrico en dicha Comunidad Autónoma (SSTC 197/1996, 18/2011) [FJ 6].</w:t>
      </w:r>
    </w:p>
    <w:p w:rsidR="0026452D" w:rsidRDefault="0026452D" w:rsidP="0026452D">
      <w:pPr>
        <w:pStyle w:val="Extracto"/>
      </w:pPr>
    </w:p>
    <w:p w:rsidR="0026452D" w:rsidRDefault="0026452D" w:rsidP="0026452D">
      <w:pPr>
        <w:pStyle w:val="Extracto"/>
      </w:pPr>
      <w:r>
        <w:t>3.</w:t>
      </w:r>
      <w:r>
        <w:tab/>
        <w:t>El Estado puede desarrollar funciones ejecutivas en el marco de las competencias básicas cuando se encuentren afectados directamente intereses supraautonómicos, porque se trate de actuaciones que trascienden del caso particular y afecten a situaciones concretas en todo el territorio nacional, o cuando el acto de ejecución comporte, por necesidad intrínseca de la materia, márgenes tan amplios de discrecionalidad que sólo pueda ser adoptado por instancias que no tengan a su cuidado intereses peculiares distintos a los puramente generales (SSTC 178/1992, 235/1999)  [FJ 6].</w:t>
      </w:r>
    </w:p>
    <w:p w:rsidR="0026452D" w:rsidRDefault="0026452D" w:rsidP="0026452D">
      <w:pPr>
        <w:pStyle w:val="Extracto"/>
      </w:pPr>
    </w:p>
    <w:p w:rsidR="0026452D" w:rsidRDefault="0026452D" w:rsidP="0026452D">
      <w:pPr>
        <w:pStyle w:val="Extracto"/>
      </w:pPr>
      <w:r>
        <w:lastRenderedPageBreak/>
        <w:t>4.</w:t>
      </w:r>
      <w:r>
        <w:tab/>
        <w:t>El precepto impugnado, que establece los principios, criterios y condiciones de las concesiones y autorizaciones de actividades de servicios en los parques nacionales, responde a los criterios esenciales de las normas básicas, sin vulnerar la competencia autonómica exclusiva sobre espacios naturales protegidos, pues establece la homogeneidad de tratamiento que garantice el máximo nivel de preservación en todos los parques nacionales y permite que las Comunidades Autónomas desarrollen las prescripciones básicas, pudiendo, si así lo estimasen, incrementar los niveles de protección de las mismas (STC 101/2005) [FJ 12].</w:t>
      </w:r>
    </w:p>
    <w:p w:rsidR="0026452D" w:rsidRDefault="0026452D" w:rsidP="0026452D">
      <w:pPr>
        <w:pStyle w:val="Extracto"/>
      </w:pPr>
    </w:p>
    <w:p w:rsidR="0026452D" w:rsidRDefault="0026452D" w:rsidP="0026452D">
      <w:pPr>
        <w:pStyle w:val="Extracto"/>
      </w:pPr>
      <w:r>
        <w:t>5.</w:t>
      </w:r>
      <w:r>
        <w:tab/>
        <w:t xml:space="preserve">Doctrina sobre la distribución de competencias en materia de medio ambiente y espacios naturales protegidos </w:t>
      </w:r>
      <w:r w:rsidRPr="0026452D">
        <w:rPr>
          <w:i/>
        </w:rPr>
        <w:t>ex</w:t>
      </w:r>
      <w:r>
        <w:t xml:space="preserve"> art. 149.1.23 CE (SSTC 107/1989, 331/2005) [FFJJ 10, 11].</w:t>
      </w:r>
    </w:p>
    <w:p w:rsidR="0026452D" w:rsidRDefault="0026452D" w:rsidP="0026452D">
      <w:pPr>
        <w:pStyle w:val="Extracto"/>
      </w:pPr>
    </w:p>
    <w:p w:rsidR="0026452D" w:rsidRDefault="0026452D" w:rsidP="0026452D">
      <w:pPr>
        <w:pStyle w:val="Extracto"/>
      </w:pPr>
      <w:r>
        <w:t>6.</w:t>
      </w:r>
      <w:r>
        <w:tab/>
        <w:t>La atribución por el Estatuto de competencias exclusivas sobre una materia no puede afectar a las competencias sobre materias o submaterias reservadas al Estado que se proyectarán, cuando corresponda, sobre las competencias exclusivas autonómicas con el alcance que les haya otorgado el legislador estatal con plena libertad de configuración, sin necesidad de que el Estatuto incluya cláusulas de salvaguarda de las competencias estatales (STC 31/2010)  [FJ 12].</w:t>
      </w:r>
    </w:p>
    <w:p w:rsidR="0026452D" w:rsidRDefault="0026452D" w:rsidP="0026452D">
      <w:pPr>
        <w:pStyle w:val="Extracto"/>
      </w:pPr>
    </w:p>
    <w:p w:rsidR="0026452D" w:rsidRDefault="0026452D" w:rsidP="0026452D">
      <w:pPr>
        <w:pStyle w:val="Extracto"/>
      </w:pPr>
      <w:r>
        <w:t>7.</w:t>
      </w:r>
      <w:r>
        <w:tab/>
        <w:t>Doctrina sobre la eventual apreciación de la pérdida de objeto, derivada de modificaciones normativas, en procesos constitucionales de naturaleza competencial, según perviva, o no, la controversia competencial (SSTC 18/2011, 161/2012)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6883-2010, promovido por el Gobierno de Canarias contra los artículos 18.5 y 35 de la Ley 25/2009, de 22 de diciembre, de modificación de diversas leyes para su adaptación a la Ley sobre el libre acceso a las actividades de servicios y su ejercicio. Ha formulado alegaciones el Abogado del Estado. Ha sido Ponente el Magistrado don Andrés Ollero Tassara, quien expresa el parecer del Tribunal.</w:t>
      </w:r>
    </w:p>
    <w:p w:rsidR="0026452D" w:rsidRDefault="0026452D" w:rsidP="0026452D">
      <w:pPr>
        <w:pStyle w:val="TextoNormal"/>
      </w:pPr>
    </w:p>
    <w:p w:rsidR="0026452D" w:rsidRDefault="0026452D" w:rsidP="0026452D">
      <w:pPr>
        <w:pStyle w:val="TextoNormalNegritaCentrado"/>
        <w:keepNext/>
      </w:pPr>
      <w:r>
        <w:lastRenderedPageBreak/>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 Mediante escrito presentado en el Registro General de este Tribunal el 23 de septiembre de 2010, la Directora General del Servicio Jurídico del Gobierno de Canarias, en la representación que legalmente ostenta, promueve recurso de inconstitucionalidad contra los artículos 18.5 y 35 de la Ley 25/2009, de 22 de diciembre, de modificación de diversas leyes para su adaptación a la Ley sobre el libre acceso a las actividades de servicios y su ejercicio. La impugnación se fundamenta en los motivos que, resumidamente, se exponen a continuación:</w:t>
      </w:r>
    </w:p>
    <w:p w:rsidR="0026452D" w:rsidRDefault="0026452D" w:rsidP="0026452D">
      <w:pPr>
        <w:pStyle w:val="TextoNormal"/>
      </w:pPr>
    </w:p>
    <w:p w:rsidR="0026452D" w:rsidRDefault="0026452D" w:rsidP="0026452D">
      <w:pPr>
        <w:pStyle w:val="TextoNormal"/>
      </w:pPr>
      <w:r>
        <w:t>a) Con carácter preliminar, el recurso justifica su interposición tempestiva afirmando que, al haber hecho uso del procedimiento conciliatorio del art. 33.2 de la Ley Orgánica del Tribunal Constitucional (LOTC) con cumplimiento de todos los requisitos procedimentales, se sujeta al plazo de nueve meses.</w:t>
      </w:r>
    </w:p>
    <w:p w:rsidR="0026452D" w:rsidRDefault="0026452D" w:rsidP="0026452D">
      <w:pPr>
        <w:pStyle w:val="TextoNormal"/>
      </w:pPr>
    </w:p>
    <w:p w:rsidR="0026452D" w:rsidRDefault="0026452D" w:rsidP="0026452D">
      <w:pPr>
        <w:pStyle w:val="TextoNormal"/>
      </w:pPr>
      <w:r>
        <w:t>b) Entrando ya en el fondo del asunto, la demanda razona en primer lugar la impugnación del art. 18 de la Ley 25/2009, por el que se modifica el artículo 44.4 de la Ley 54/1997, de 27 de noviembre, del sector eléctrico (en adelante, LSE). La redacción de este artículo vulneraría la competencia exclusiva de la Comunidad Autónoma de Canarias en materia de instalaciones de producción, distribución y transporte de energía, de acuerdo con las bases del régimen minero y energético, pues el Estado habría excedido los límites de lo básico. En concreto, el recurso de inconstitucionalidad combate la atribución competencial que ese apartado realiza al Ministro de Industria, Turismo y Comercio, en relación con la orden de traspaso de clientes de un comercializador incumplidor de sus obligaciones legales; en concreto, las establecidas en las letras a), b) y h) del art. 45.1 LSE a un comercializador de último recurso y la determinación de las condiciones del suministro a dichos clientes.</w:t>
      </w:r>
    </w:p>
    <w:p w:rsidR="0026452D" w:rsidRDefault="0026452D" w:rsidP="0026452D">
      <w:pPr>
        <w:pStyle w:val="TextoNormal"/>
      </w:pPr>
    </w:p>
    <w:p w:rsidR="0026452D" w:rsidRDefault="0026452D" w:rsidP="0026452D">
      <w:pPr>
        <w:pStyle w:val="TextoNormal"/>
      </w:pPr>
      <w:r>
        <w:t>Frente a la competencia para dictar las bases del régimen minero y energético invocada por el legislador estatal, que derivaría de lo dispuesto en el art. 149.1.25 CE, el recurrente subraya sus funciones normativas y ejecutivas en materia energética y de ordenación económica conforme a los arts. 30.26, 31.4 y 32.9 del Estatuto de Autonomía de Canarias (en adelante, EACan), modificado por la Ley Orgánica 4/1996, de 30 de diciembre. Según dichos preceptos, corresponde a la Comunidad Autónoma la competencia exclusiva sobre “instalaciones de producción, distribución y transporte de energía, de acuerdo con las bases del régimen minero y energético” y sobre “ordenación y planificación de la actividad económica regional en el ejercicio de sus competencias”, así como el “desarrollo legislativo y la ejecución en materia de régimen energético y minero ajustado a sus singulares condiciones”.</w:t>
      </w:r>
    </w:p>
    <w:p w:rsidR="0026452D" w:rsidRDefault="0026452D" w:rsidP="0026452D">
      <w:pPr>
        <w:pStyle w:val="TextoNormal"/>
      </w:pPr>
    </w:p>
    <w:p w:rsidR="0026452D" w:rsidRDefault="0026452D" w:rsidP="0026452D">
      <w:pPr>
        <w:pStyle w:val="TextoNormal"/>
      </w:pPr>
      <w:r>
        <w:t>La distribución competencial en este caso habría de venir matizada por la consideración archipielágica y desagregada de Canarias, esto es, por su configuración como un conjunto de islas que se encuentran lejos del territorio del resto del Estado y de sus mercados económicos (el denominado hecho diferencial insular). Así lo dispone el art. 32.9 EACan, al señalar que la atribución competencial en esta materia opera al objeto de regular el régimen energético “ajustado a sus singulares condiciones”. En este sentido, la demanda recuerda que, según la doctrina de este Tribunal, no será aplicable a Canarias la normativa básica no ajustada a su particular realidad. Por ello la Comunidad Autónoma, en ejercicio de sus com</w:t>
      </w:r>
      <w:r>
        <w:lastRenderedPageBreak/>
        <w:t>petencias exclusivas y de desarrollo legislativo, según proceda, podría introducir las peculiaridades que estime convenientes (STC 49/1988). El Estado podría dictar legislación básica sobre el régimen energético para el territorio peninsular y otra regulación diferenciada, también básica, aplicable únicamente a Canarias, siempre y cuando ambas respondan a una finalidad unitaria. Así lo habría hecho el legislador, al dictar la normativa del sector eléctrico, al prever dos regímenes básicos distintos por razón de territorio: uno para el sistema eléctrico peninsular constituido por las normas de la Ley 54/1997 y otro (u otros) para los sistemas eléctricos insulares y extrapeninsulares constituido, de una parte, por las previsiones de la Ley 54/1997 que no sean incompatibles con las peculiaridades geográficas de dichos territorios.</w:t>
      </w:r>
    </w:p>
    <w:p w:rsidR="0026452D" w:rsidRDefault="0026452D" w:rsidP="0026452D">
      <w:pPr>
        <w:pStyle w:val="TextoNormal"/>
      </w:pPr>
    </w:p>
    <w:p w:rsidR="0026452D" w:rsidRDefault="0026452D" w:rsidP="0026452D">
      <w:pPr>
        <w:pStyle w:val="TextoNormal"/>
      </w:pPr>
      <w:r>
        <w:t>El recurso insiste en que a la Comunidad Autónoma corresponde la competencia ejecutiva en esta materia y al Estado sólo “la autorización de las instalaciones eléctricas cuando su aprovechamiento afecte a otra Comunidad o el transporte de energía salga de su ámbito territorial” (art. 149.1.22 CE). Cuando no concurran tales condiciones, las Comunidades Autónomas pueden asumir competencias de autorización, cosa que sería siempre aplicable a Canarias por su configuración archipielágica.</w:t>
      </w:r>
    </w:p>
    <w:p w:rsidR="0026452D" w:rsidRDefault="0026452D" w:rsidP="0026452D">
      <w:pPr>
        <w:pStyle w:val="TextoNormal"/>
      </w:pPr>
    </w:p>
    <w:p w:rsidR="0026452D" w:rsidRDefault="0026452D" w:rsidP="0026452D">
      <w:pPr>
        <w:pStyle w:val="TextoNormal"/>
      </w:pPr>
      <w:r>
        <w:t>Partiendo de este esquema competencial, el demandante admite que el establecimiento de esta garantía adicional con la finalidad de preservar el suministro es propio de las bases que en materia de régimen energético puede aprobar el Estado. Considera sin embargo que, en virtud de lo establecido en el art. 32.9 EACan, corresponde a la Comunidad Autónoma canaria la materialización de una salvaguarda de este tipo, que se produciría necesariamente mediante una decisión ejecutiva por la que se acuerda el traspaso de clientes a un determinado comercializador de último recurso, incorporando las condiciones de suministro de dichos clientes. Siguiendo lo dispuesto en la doctrina constitucional, tal función ejecutiva no formaría parte de las bases, pues no resulta imprescindible residenciar en el Estado el ejercicio de dicha competencia, que se inserta en el concepto de desarrollo y ejecución de la normativa básica estatal en materia de régimen energético. Tampoco ampararía aquí al Estado una supuesta competencia de ordenación de la actividad económica general derivada del art. 149.1.13 CE; en primer lugar, porque el tenor de la norma impugnada se apoya exclusivamente en el art. 149.1.25 CE y, en segundo lugar, porque en definitiva se trata de una medida de disciplina, al margen de las derivadas del eventual ejercicio de la potestad sancionadora, inserta en la competencia ejecutiva propia de la Comunidad Autónoma. Lo mismo se dice respecto a posibles razones de supraterritorialidad o que hagan alusión al hecho de que los comercializadores de último recurso son de ámbito estatal.</w:t>
      </w:r>
    </w:p>
    <w:p w:rsidR="0026452D" w:rsidRDefault="0026452D" w:rsidP="0026452D">
      <w:pPr>
        <w:pStyle w:val="TextoNormal"/>
      </w:pPr>
    </w:p>
    <w:p w:rsidR="0026452D" w:rsidRDefault="0026452D" w:rsidP="0026452D">
      <w:pPr>
        <w:pStyle w:val="TextoNormal"/>
      </w:pPr>
      <w:r>
        <w:t>De acuerdo con los argumentos expuestos, el recurso precisa que en el caso de que este Tribunal no considerara inconstitucional el precepto impugnado de la Ley 54/1997, dada su vigencia y aplicación general a todo el territorio del Estado, sí declare su inaplicabilidad en el ámbito territorial propio de la Comunidad Autónoma de Canarias, habida cuenta de las singulares condiciones que concurren en su territorio.</w:t>
      </w:r>
    </w:p>
    <w:p w:rsidR="0026452D" w:rsidRDefault="0026452D" w:rsidP="0026452D">
      <w:pPr>
        <w:pStyle w:val="TextoNormal"/>
      </w:pPr>
    </w:p>
    <w:p w:rsidR="0026452D" w:rsidRDefault="0026452D" w:rsidP="0026452D">
      <w:pPr>
        <w:pStyle w:val="TextoNormal"/>
      </w:pPr>
      <w:r>
        <w:t xml:space="preserve">c) A continuación se pasa a razonar la impugnación del art. 35 de la Ley 25/2009, de 22 de diciembre, por el que se adiciona un nuevo artículo 13 bis a la Ley 5/2007, de 3 de abril, de la red de parques nacionales. A juicio de la representación del Gobierno de Canarias, tal </w:t>
      </w:r>
      <w:r>
        <w:lastRenderedPageBreak/>
        <w:t>artículo ha de considerarse inconstitucional por vulnerar la competencia de desarrollo legislativo y de ejecución en materia de medio ambiente que ostenta la Comunidad Autónoma, al extralimitarse en la definición de lo básico en esta materia.</w:t>
      </w:r>
    </w:p>
    <w:p w:rsidR="0026452D" w:rsidRDefault="0026452D" w:rsidP="0026452D">
      <w:pPr>
        <w:pStyle w:val="TextoNormal"/>
      </w:pPr>
    </w:p>
    <w:p w:rsidR="0026452D" w:rsidRDefault="0026452D" w:rsidP="0026452D">
      <w:pPr>
        <w:pStyle w:val="TextoNormal"/>
      </w:pPr>
      <w:r>
        <w:t>Se afirma que el contenido del nuevo artículo 13 bis, que establece un contenido mínimo relativo a las autorizaciones y concesiones de actividades de servicios en un parque nacional, exige en determinados supuestos la aplicación del principio de concurrencia competitiva, así como la vinculación de los criterios de concesión a la protección del medio ambiente, limitando sin establecer plazo concreto, la duración de las autorizaciones y concesiones y prohibiendo su renovación automática; con todo ello excede los límites de la competencia estatal para establecer la legislación básica sobre protección del medio ambiente (art. 149.1.23 CE) y vulnera las competencias de desarrollo legislativo y de ejecución en materia de protección del medio ambiente que, de acuerdo con el art. 32.12 EACan, corresponden a la Comunidad Autónoma de Canarias. Asimismo, se habría afectado a las competencias autonómicas exclusivas en materia de gestión de espacios naturales protegidos previstas en el art. 30.16 EACan).</w:t>
      </w:r>
    </w:p>
    <w:p w:rsidR="0026452D" w:rsidRDefault="0026452D" w:rsidP="0026452D">
      <w:pPr>
        <w:pStyle w:val="TextoNormal"/>
      </w:pPr>
    </w:p>
    <w:p w:rsidR="0026452D" w:rsidRDefault="0026452D" w:rsidP="0026452D">
      <w:pPr>
        <w:pStyle w:val="TextoNormal"/>
      </w:pPr>
      <w:r>
        <w:t>A este respecto, el recurso recuerda que, según la consolidada doctrina de este Tribunal, cabe una intervención estatal “básica” de tipo ejecutivo si tiene carácter concreto o puntual y resulta necesaria porque el efectivo cumplimiento de la normativa básica no puede conseguirse mediante la ejecución autonómica. Más concretamente, conforme a las SSTC 102/1995 y 194/2004, el art. 149.1.23 CE otorga al Estado únicamente la competencia para aprobar la legislación básica sobre protección de medio ambiente; dentro de esa competencia no cabría la gestión por el Estado de los parques nacionales. Tal actividad sería realmente de ejecución o gestión. Según esa misma jurisprudencia, tampoco sería constitucional un sistema de gestión conjunta en este ámbito.</w:t>
      </w:r>
    </w:p>
    <w:p w:rsidR="0026452D" w:rsidRDefault="0026452D" w:rsidP="0026452D">
      <w:pPr>
        <w:pStyle w:val="TextoNormal"/>
      </w:pPr>
    </w:p>
    <w:p w:rsidR="0026452D" w:rsidRDefault="0026452D" w:rsidP="0026452D">
      <w:pPr>
        <w:pStyle w:val="TextoNormal"/>
      </w:pPr>
      <w:r>
        <w:t>Por otra parte, el modelo vigente contemplado en la Ley 5/2007 atribuye la gestión de los parques nacionales en exclusiva a las Comunidades Autónomas en cuyos territorios estén situados. En lo que se refiere a la Comunidad Autónoma de Canarias, esta ha asumido, en el marco de la legislación básica del Estado, la administración y gestión ordinaria y habitual de sus parques nacionales, así como la aprobación y ejecución de sus planes rectores de uso y gestión.</w:t>
      </w:r>
    </w:p>
    <w:p w:rsidR="0026452D" w:rsidRDefault="0026452D" w:rsidP="0026452D">
      <w:pPr>
        <w:pStyle w:val="TextoNormal"/>
      </w:pPr>
    </w:p>
    <w:p w:rsidR="0026452D" w:rsidRDefault="0026452D" w:rsidP="0026452D">
      <w:pPr>
        <w:pStyle w:val="TextoNormal"/>
      </w:pPr>
      <w:r>
        <w:t>La regulación estatal tampoco encontraría amparo competencial, en opinión de la representación del Gobierno de Canarias, en lo establecido en el art. 8 de la Ley 17/2009, de 23 de noviembre, sobre libre acceso a las actividades de servicios y su ejercicio, resultado, a su vez, de la trasposición de la Directiva 126/2003/CE; como es sabido, la incorporación al ordenamiento jurídico de principios y directrices comunitarias no altera el orden interno de distribución competencial. Finalmente, no podría ampararse tal regulación en la doctrina constitucional sobre el alcance de la “afectación transversal” que las directrices medioambientales pueden tener sobre las competencias sectoriales de las Comunidades Autónomas, con las que se entrecruzan y están directamente implicadas; en este caso, la competencia exclusiva en materia de espacios naturales protegidos.</w:t>
      </w:r>
    </w:p>
    <w:p w:rsidR="0026452D" w:rsidRDefault="0026452D" w:rsidP="0026452D">
      <w:pPr>
        <w:pStyle w:val="TextoNormal"/>
      </w:pPr>
    </w:p>
    <w:p w:rsidR="0026452D" w:rsidRDefault="0026452D" w:rsidP="0026452D">
      <w:pPr>
        <w:pStyle w:val="TextoNormal"/>
      </w:pPr>
      <w:r>
        <w:t xml:space="preserve">Los recurrentes cuestionan que la regulación contenida en el art. 13 bis de la Ley 5/2007 entre dentro del concepto de lo básico “como común denominador normativo necesario para asegurar la unidad fundamental prevista por las normas del bloque de la constitucionalidad </w:t>
      </w:r>
      <w:r>
        <w:lastRenderedPageBreak/>
        <w:t>que establecen las distribución de competencias”. El Estado no se habría ceñido al ámbito de lo básico, de acuerdo con los criterios fijados por la jurisprudencia de este Tribunal. En lo que se refiere concretamente a las autorizaciones en materia de parques nacionales, la competencia correspondería a la Comunidad Autónoma por ser la Administración que tiene encomendada la gestión del parque; resulta, por tanto, la más idónea para apreciar el cumplimiento de las condiciones sustantivas a las que ha de sujetarse la autorización, siendo el plan rector de uso y gestión el instrumento planificador en el que han de recogerse las actividades compatibles y sus condiciones. De todo ello se deduce que la regulación impugnada excede del concepto de lo básico en relación con la protección del medio ambiente.</w:t>
      </w:r>
    </w:p>
    <w:p w:rsidR="0026452D" w:rsidRDefault="0026452D" w:rsidP="0026452D">
      <w:pPr>
        <w:pStyle w:val="TextoNormal"/>
      </w:pPr>
    </w:p>
    <w:p w:rsidR="0026452D" w:rsidRDefault="0026452D" w:rsidP="0026452D">
      <w:pPr>
        <w:pStyle w:val="TextoNormal"/>
      </w:pPr>
      <w:r w:rsidRPr="0026452D">
        <w:rPr>
          <w:rStyle w:val="NumeroAFNegritaCaracter"/>
        </w:rPr>
        <w:t>2</w:t>
      </w:r>
      <w:r>
        <w:t>. . Mediante providencia de 5 de octubre de 2010, el Pleno de este Tribunal admitió a trámite el recurso de inconstitucionalidad promovido por el Gobierno de Canarias contra los artículos 18.5 y 35 de la Ley 25/2009, de 22 de diciembre, de modificación de diversas leyes para su adaptación a la Ley sobre el libre acceso a las actividades de servicios y su ejercicio. Asimismo, de conformidad con lo dispuesto en el artículo 10.1 b) LOTC, en la redacción dada por la Ley Orgánica 6/2007, de 24 de mayo, acordó atribuir a la Sala Primera, a la que por turno objetivo le había correspondido, el conocimiento del presente recurso, señalando de aplicación la doctrina constitucional contenida en las SSTC 20/1988, de 18 de febrero y 31/2010, de 28 de junio. Ordenó igualmente, conforme al art. 34 LOTC,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que estimasen convenientes. Por último, ordenó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Por sendos escritos, registrados ambos el 20 de octubre de 2010, los Presidentes del Senado y del Congreso de los Diputados comunicaron que sus respectivas Cámaras se personaban en el proceso, ofreciendo su colaboración.</w:t>
      </w:r>
    </w:p>
    <w:p w:rsidR="0026452D" w:rsidRDefault="0026452D" w:rsidP="0026452D">
      <w:pPr>
        <w:pStyle w:val="TextoNormal"/>
      </w:pPr>
    </w:p>
    <w:p w:rsidR="0026452D" w:rsidRDefault="0026452D" w:rsidP="0026452D">
      <w:pPr>
        <w:pStyle w:val="TextoNormal"/>
      </w:pPr>
      <w:r w:rsidRPr="0026452D">
        <w:rPr>
          <w:rStyle w:val="NumeroAFNegritaCaracter"/>
        </w:rPr>
        <w:t>4</w:t>
      </w:r>
      <w:r>
        <w:t>. Por escrito de 25 de octubre de 2010, el Abogado del Estado, en la representación que ostenta, se personó en el procedimiento solicitando una prórroga del plazo inicialmente concedido para formular alegaciones. Mediante providencia de 26 de octubre de 2010, la Sala Primera de este Tribunal tuvo por personado y parte al Abogado del Estado, en representación del Gobierno, y acordó la prórroga de ocho días del plazo inicial.</w:t>
      </w:r>
    </w:p>
    <w:p w:rsidR="0026452D" w:rsidRDefault="0026452D" w:rsidP="0026452D">
      <w:pPr>
        <w:pStyle w:val="TextoNormal"/>
      </w:pPr>
    </w:p>
    <w:p w:rsidR="0026452D" w:rsidRDefault="0026452D" w:rsidP="0026452D">
      <w:pPr>
        <w:pStyle w:val="TextoNormal"/>
      </w:pPr>
      <w:r w:rsidRPr="0026452D">
        <w:rPr>
          <w:rStyle w:val="NumeroAFNegritaCaracter"/>
        </w:rPr>
        <w:t>5</w:t>
      </w:r>
      <w:r>
        <w:t>. El 16 de noviembre de 2010 se presentó en el Registro General del Tribunal Constitucional el escrito de alegaciones del Abogado del Estado en nombre del Gobierno. Solicita que se dicte Sentencia en la que se desestime la demanda y se declare la plena constitucionalidad de los preceptos impugnados de la Ley 25/2009, de 22 de diciembre, de modificación de diversas leyes para su adaptación a la Ley sobre el libre acceso a las actividades de servicios y su ejercicio. El escrito realiza las alegaciones que a continuación se resumen.</w:t>
      </w:r>
    </w:p>
    <w:p w:rsidR="0026452D" w:rsidRDefault="0026452D" w:rsidP="0026452D">
      <w:pPr>
        <w:pStyle w:val="TextoNormal"/>
      </w:pPr>
    </w:p>
    <w:p w:rsidR="0026452D" w:rsidRDefault="0026452D" w:rsidP="0026452D">
      <w:pPr>
        <w:pStyle w:val="TextoNormal"/>
      </w:pPr>
      <w:r>
        <w:t xml:space="preserve">a) Recuerda que la ley recurrida se dicta como complemento necesario a la Ley 17/2009, de 23 de noviembre, sobre el libre acceso a las actividades de servicios y su ejercicio, para lograr una plena incorporación al Derecho español de la Directiva 2006/123/CE del Parlamento Europeo y del Consejo, de 12 de diciembre de 2006, relativa a los servicios en el mercado interior (en adelante, Directiva de servicios). Argumenta la constitucionalidad del </w:t>
      </w:r>
      <w:r>
        <w:lastRenderedPageBreak/>
        <w:t>art. 18.5 de la Ley 25/2009, por ajustarse el contenido del nuevo párrafo del art. 44.4 LSE al orden de distribución competencial.</w:t>
      </w:r>
    </w:p>
    <w:p w:rsidR="0026452D" w:rsidRDefault="0026452D" w:rsidP="0026452D">
      <w:pPr>
        <w:pStyle w:val="TextoNormal"/>
      </w:pPr>
    </w:p>
    <w:p w:rsidR="0026452D" w:rsidRDefault="0026452D" w:rsidP="0026452D">
      <w:pPr>
        <w:pStyle w:val="TextoNormal"/>
      </w:pPr>
      <w:r>
        <w:t>En primer lugar, pone de manifiesto que la atribución al Estado contenida en el citado párrafo no representa novedad normativa alguna, pues dicha función ejecutiva ya había sido asignada al Ministerio de Industria, Turismo y Comercio por la disposición adicional quinta del Real Decreto 485/2009, de 3 de abril, por el que se regula la puesta en marcha del suministro de último recurso en el sector de la energía eléctrica. Dicho reglamento fue dictado previa consulta a las Comunidades Autónomas a través del Consejo Consultivo de Electricidad de la Comisión Nacional de Energía y nunca suscitó conflicto competencial alguno. Asimismo, recuerda que el art.10.2 a) LSE ya permitía al Gobierno adoptar las medidas necesarias para garantizar el suministro de energía eléctrica cuando concurriera riesgo cierto para la prestación del mismo.</w:t>
      </w:r>
    </w:p>
    <w:p w:rsidR="0026452D" w:rsidRDefault="0026452D" w:rsidP="0026452D">
      <w:pPr>
        <w:pStyle w:val="TextoNormal"/>
      </w:pPr>
    </w:p>
    <w:p w:rsidR="0026452D" w:rsidRDefault="0026452D" w:rsidP="0026452D">
      <w:pPr>
        <w:pStyle w:val="TextoNormal"/>
      </w:pPr>
      <w:r>
        <w:t>Tras estas consideraciones, el Abogado del Estado expone el contexto normativo del suministro de último recurso en el sector de la energía eléctrica. Trae a colación la Ley 17/2007, de 4 de julio, de modificación de la Ley del sector eléctrico para adaptarla a lo dispuesto en la Directiva 2003/54/CE, de 26 de junio, del Parlamento Europeo y del Consejo, sobre normas comunes para el mercado interior de la electricidad. Esta Ley inicia un nuevo modelo liberalizador del mercado eléctrico, que permite la libre elección por parte de los usuarios del suministrador eléctrico y separa las funciones de distribución y comercialización de la energía.</w:t>
      </w:r>
    </w:p>
    <w:p w:rsidR="0026452D" w:rsidRDefault="0026452D" w:rsidP="0026452D">
      <w:pPr>
        <w:pStyle w:val="TextoNormal"/>
      </w:pPr>
    </w:p>
    <w:p w:rsidR="0026452D" w:rsidRDefault="0026452D" w:rsidP="0026452D">
      <w:pPr>
        <w:pStyle w:val="TextoNormal"/>
      </w:pPr>
      <w:r>
        <w:t>La Ley regula el denominado “último recurso” como régimen de suministro a los consumidores domésticos y a los pequeños consumidores, concebido como “servicio universal”. La fijación del régimen del suministro de “último recurso” formaría parte de las competencias previstas en el art. 149.1.13 y 25 CE, abarcando la fijación de tarifas y cualesquiera otros aspectos necesarios para su efectiva implementación, entre ellos, la determinación y régimen aplicable a las empresas comercializadoras de electricidad de último recurso. Tal regulación se encuentra fundamentalmente en la Ley del sector eléctrico, de cuyo desarrollo normativo se encarga el ya citado Real Decreto 485/2009.</w:t>
      </w:r>
    </w:p>
    <w:p w:rsidR="0026452D" w:rsidRDefault="0026452D" w:rsidP="0026452D">
      <w:pPr>
        <w:pStyle w:val="TextoNormal"/>
      </w:pPr>
    </w:p>
    <w:p w:rsidR="0026452D" w:rsidRDefault="0026452D" w:rsidP="0026452D">
      <w:pPr>
        <w:pStyle w:val="TextoNormal"/>
      </w:pPr>
      <w:r>
        <w:t>Al corresponder al Estado la regulación y la garantía del suministro del último recurso eléctrico, le compete necesariamente también la medida excepcional para la protección de los usuarios finales de traspaso forzoso de clientes de un comercializador de último recurso a otro, si el primero incumple sus obligaciones. Por lo demás, el legislador ha atribuido al Estado esta competencia sin excluir la colaboración y participación de las Comunidades Autónomas que pudieran verse afectadas. Ha previsto, en particular, un “trámite de audiencia” y la obligación de proceder de manera “motivada, objetiva y transparente”. Además, en ningún momento se ven afectadas las competencias autonómicas de suspensión de actividad por motivos diferentes del incumplimiento de las obligaciones relacionadas con la garantía del suministro. La Ley es sumamente restrictiva al seleccionar las obligaciones del comercializador cuyo incumplimiento puede provocar el traspaso obligatorio de clientes. Tal medida puede sólo adoptarse ante obligaciones cuya inobservancia pueda generar riesgo cierto para el suministro adecuado de energía eléctrica.</w:t>
      </w:r>
    </w:p>
    <w:p w:rsidR="0026452D" w:rsidRDefault="0026452D" w:rsidP="0026452D">
      <w:pPr>
        <w:pStyle w:val="TextoNormal"/>
      </w:pPr>
    </w:p>
    <w:p w:rsidR="0026452D" w:rsidRDefault="0026452D" w:rsidP="0026452D">
      <w:pPr>
        <w:pStyle w:val="TextoNormal"/>
      </w:pPr>
      <w:r>
        <w:t xml:space="preserve">En cuanto al carácter básico del art. 18 de la Ley 25/2009, este se fundaría en la competencia que al Estado atribuye el art. 149.1.25 CE, según se establece en la disposición final </w:t>
      </w:r>
      <w:r>
        <w:lastRenderedPageBreak/>
        <w:t>primera de la norma impugnada. Se invoca también como fundamento competencial el art. 149.1.13 CE, dado que la ley cuya modificación se recurre (Ley del sector eléctrico) articula la ordenación de un sector económico esencial para el desarrollo del país en ejercicio de la función estatal de dirección de la actividad económica y que el fin perseguido por la previsión impugnada es igualmente garantizar un elemento básico para la economía nacional, como es el adecuado suministro de energía eléctrica de último recurso.</w:t>
      </w:r>
    </w:p>
    <w:p w:rsidR="0026452D" w:rsidRDefault="0026452D" w:rsidP="0026452D">
      <w:pPr>
        <w:pStyle w:val="TextoNormal"/>
      </w:pPr>
    </w:p>
    <w:p w:rsidR="0026452D" w:rsidRDefault="0026452D" w:rsidP="0026452D">
      <w:pPr>
        <w:pStyle w:val="TextoNormal"/>
      </w:pPr>
      <w:r>
        <w:t>En cualquiera de los dos casos el objeto del debate se centra, en opinión del Abogado del Estado, en los límites de índole material y formal de la legislación básica. Tras repasar la doctrina del Tribunal Constitucional, considera que la regulación impugnada los cumple. Desde la perspectiva formal, el precepto controvertido tiene rango de ley; respecto de la óptica material, la función atribuida a la Administración estatal es garantizar no sólo el suministro adecuado de energía eléctrica para los consumidores de último recurso, sino también la suficiente liquidez del sistema económico nacional. Todo ello, sin impedir el ejercicio de las competencias de las Comunidades Autónomas para sancionar posibles incumplimientos.</w:t>
      </w:r>
    </w:p>
    <w:p w:rsidR="0026452D" w:rsidRDefault="0026452D" w:rsidP="0026452D">
      <w:pPr>
        <w:pStyle w:val="TextoNormal"/>
      </w:pPr>
    </w:p>
    <w:p w:rsidR="0026452D" w:rsidRDefault="0026452D" w:rsidP="0026452D">
      <w:pPr>
        <w:pStyle w:val="TextoNormal"/>
      </w:pPr>
      <w:r>
        <w:t>Se añaden, para finalizar, varias razones a favor de la asunción por parte del Estado de la función asignada legalmente. En primer lugar, todos los comercializadores de último recurso tienen un ámbito de actuación estatal. En segundo, los consumidores afectados por un incumplimiento de los consumidores de último recurso pueden hallarse ubicados en diferentes Comunidades Autónomas. Por último, el incumplimiento de las obligaciones de suministro, al generar consecuencias que trascienden el ámbito autonómico, ha de ser puesto de manifiesto por instituciones estatales: el operador del sistema o, en su caso, el operador del mercado, en lo que se refiere a la adquisición de energía, así como la Comisión Nacional de Energía en cuanto a la potestad de inspección. Enfocando la cuestión desde la perspectiva del Estatuto de Autonomía de Canarias, entiende el Abogado del Estado que la medida ejecutiva contenida en la nueva redacción del art. 44.4 LSE no afecta en modo alguno a la competencia exclusiva de la Comunidad Autónoma sobre “instalaciones de producción, distribución y transporte de energía, de acuerdo con las bases del régimen minero y energético”, prevista en el art. 30.26 de su Estatuto de Autonomía; la actividad de comercialización se encuentra desligada de las instalaciones eléctricas.</w:t>
      </w:r>
    </w:p>
    <w:p w:rsidR="0026452D" w:rsidRDefault="0026452D" w:rsidP="0026452D">
      <w:pPr>
        <w:pStyle w:val="TextoNormal"/>
      </w:pPr>
    </w:p>
    <w:p w:rsidR="0026452D" w:rsidRDefault="0026452D" w:rsidP="0026452D">
      <w:pPr>
        <w:pStyle w:val="TextoNormal"/>
      </w:pPr>
      <w:r>
        <w:t>En cuanto a la singularidad del sector eléctrico canario, tras el repaso a la normativa aplicable, llega a la conclusión de que la previsión impugnada se encuentra dentro de las normas de la Ley del sector eléctrico no incompatibles con las peculiaridades derivadas de la ubicación geográfica de estos territorios; no se necesita un tratamiento específico para estos sistemas. Por ello, tiene igualmente por inadmisible la petición subsidiariamente formulada por el recurrente de no aplicación a la Comunidad canaria de la modificación operada en el art. 44.4 LSE.</w:t>
      </w:r>
    </w:p>
    <w:p w:rsidR="0026452D" w:rsidRDefault="0026452D" w:rsidP="0026452D">
      <w:pPr>
        <w:pStyle w:val="TextoNormal"/>
      </w:pPr>
    </w:p>
    <w:p w:rsidR="0026452D" w:rsidRDefault="0026452D" w:rsidP="0026452D">
      <w:pPr>
        <w:pStyle w:val="TextoNormal"/>
      </w:pPr>
      <w:r>
        <w:t>b) Igualmente ajustado al orden constitucional de competencias considera esta parte procesal el nuevo art. 13 bis de la Ley 5/2007, de 3 de abril, de la red de parques nacionales introducido por el art. 35 de la Ley 25/2009. Después de enmarcar esta previsión dentro del conjunto de modificaciones de leyes medioambientales que tuvieron lugar tras la incorporación al Derecho interno de la Directiva de servicios, el Abogado del Estado procede a la delimitación de las competencias sobre medio ambiente.</w:t>
      </w:r>
    </w:p>
    <w:p w:rsidR="0026452D" w:rsidRDefault="0026452D" w:rsidP="0026452D">
      <w:pPr>
        <w:pStyle w:val="TextoNormal"/>
      </w:pPr>
    </w:p>
    <w:p w:rsidR="0026452D" w:rsidRDefault="0026452D" w:rsidP="0026452D">
      <w:pPr>
        <w:pStyle w:val="TextoNormal"/>
      </w:pPr>
      <w:r>
        <w:lastRenderedPageBreak/>
        <w:t>Señala que el esquema constitucional de distribución de competencias entre el Estado y la Comunidad Autónoma de Canarias en esta materia se concreta, por un lado, en el art. 149.1.23 CE, que atribuye al Estado la competencia para dictar la “legislación básica sobre protección del medio ambiente, sin perjuicio de las facultades de las Comunidades Autónomas de establecer normas adicionales de protección”; por otro, en el art. 32.12 EACan, que asigna a la Comunidad Autónoma el desarrollo legislativo y la ejecución en materia de protección del medio ambiente, incluidos los vertidos en su ámbito territorial, así como el art. 30.16 EACan le atribuye competencia exclusiva en materia de espacios naturales protegidos.</w:t>
      </w:r>
    </w:p>
    <w:p w:rsidR="0026452D" w:rsidRDefault="0026452D" w:rsidP="0026452D">
      <w:pPr>
        <w:pStyle w:val="TextoNormal"/>
      </w:pPr>
    </w:p>
    <w:p w:rsidR="0026452D" w:rsidRDefault="0026452D" w:rsidP="0026452D">
      <w:pPr>
        <w:pStyle w:val="TextoNormal"/>
      </w:pPr>
      <w:r>
        <w:t>La solución del presente recurso pasa por determinar si la regulación cuestionada puede merecer o no la consideración de legislación básica de acuerdo con el título competencial mencionado. Según el Abogado del Estado, la jurisprudencia constitucional conduce a la conclusión de que se está ante un supuesto de afectación transversal, al ser el Estado competente para configurar ciertos límites proteccionistas para la preservación del entorno natural de los parques nacionales frente a los posibles efectos nocivos que pudieran derivarse de las actividades de servicios que las distintas Administraciones autonómicas competentes pudieran permitir. El artículo objeto de recurso entraña ciertas limitaciones en el procedimiento de otorgamiento de concesiones y autorizaciones autonómicas para las actividades de servicios en los parques nacionales, que implican, a su vez, unos condicionamientos puntuales de la competencia exclusiva autonómica en materia de espacios naturales protegidos, orientadas a la protección de los recursos naturales. La inclusión de este mínimo común denominador en el régimen jurídico de los parques nacionales no impide en modo alguno el pleno ejercicio de las competencias autonómicas, pues como se encarga de precisar el precepto, estas se ejercerán “conforme a sus instrumentos de planificación y gestión”.</w:t>
      </w:r>
    </w:p>
    <w:p w:rsidR="0026452D" w:rsidRDefault="0026452D" w:rsidP="0026452D">
      <w:pPr>
        <w:pStyle w:val="TextoNormal"/>
      </w:pPr>
    </w:p>
    <w:p w:rsidR="0026452D" w:rsidRDefault="0026452D" w:rsidP="0026452D">
      <w:pPr>
        <w:pStyle w:val="TextoNormal"/>
      </w:pPr>
      <w:r>
        <w:t>En virtud de todo lo dicho, el escrito se cierra solicitando la desestimación íntegra del recurso interpuesto.</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15 de enero de 2013, el Pleno del Tribunal Constitucional acordó recabar para sí el conocimiento de este recurso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7</w:t>
      </w:r>
      <w:r>
        <w:t>. Por providencia de 23 de abril de 2013 se señaló dicho día para deliberación y votación de la presente Sentencia.</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fue promovido por el Gobierno de Canarias, representado por la Directora General de su Servicio Jurídico, contra los arts. 18.5 y 35 de la Ley 25/2009, de 22 de diciembre, de modificación de diversas leyes para su adaptación a la Ley sobre el libre acceso a las actividades de servicios y su ejercicio.</w:t>
      </w:r>
    </w:p>
    <w:p w:rsidR="0026452D" w:rsidRDefault="0026452D" w:rsidP="0026452D">
      <w:pPr>
        <w:pStyle w:val="TextoNormal"/>
      </w:pPr>
    </w:p>
    <w:p w:rsidR="0026452D" w:rsidRDefault="0026452D" w:rsidP="0026452D">
      <w:pPr>
        <w:pStyle w:val="TextoNormal"/>
      </w:pPr>
      <w:r>
        <w:t xml:space="preserve">La demanda sostiene que los citados artículos han de reputarse inconstitucionales. En lo que se refiere al art. 18.5, porque la reforma del art. 44.4 de la Ley 54/1997 del sector eléctrico (LSE) habría excedido los límites de lo básico, vulnerando las competencias normativas y ejecutivas en materia energética y de ordenación económica que corresponden a Canarias en virtud de su Estatuto de Autonomía. El art. 35, por el que se adiciona un nuevo </w:t>
      </w:r>
      <w:r>
        <w:lastRenderedPageBreak/>
        <w:t>art. 13 bis a la Ley 5/2007, de 3 de abril, de la red de parques nacionales, también se extralimitaría en la definición de lo básico. A juicio de la representación del Gobierno de Canarias, el nuevo artículo vulnera la competencia de desarrollo legislativo y de ejecución en materia de medio ambiente, así como la competencia exclusiva en materia de espacios naturales protegidos que ostenta la Comunidad Autónoma. Con los argumentos que han quedado resumidos en los antecedentes, la representación procesal del Gobierno solicita la desestimación del recurso por no concurrir ninguna de las tachas de inconstitucionalidad alegadas en el mismo.</w:t>
      </w:r>
    </w:p>
    <w:p w:rsidR="0026452D" w:rsidRDefault="0026452D" w:rsidP="0026452D">
      <w:pPr>
        <w:pStyle w:val="TextoNormal"/>
      </w:pPr>
    </w:p>
    <w:p w:rsidR="0026452D" w:rsidRDefault="0026452D" w:rsidP="0026452D">
      <w:pPr>
        <w:pStyle w:val="TextoNormal"/>
      </w:pPr>
      <w:r w:rsidRPr="0026452D">
        <w:rPr>
          <w:rStyle w:val="NumeroAFNegritaCaracter"/>
        </w:rPr>
        <w:t>2</w:t>
      </w:r>
      <w:r>
        <w:t>. Siguiendo el orden establecido en la demanda, corresponde dilucidar si el art. 18.5 de la Ley 25/2009, por el que se modifica el art. 44.4 LSE, es o no contrario a la Constitución.</w:t>
      </w:r>
    </w:p>
    <w:p w:rsidR="0026452D" w:rsidRDefault="0026452D" w:rsidP="0026452D">
      <w:pPr>
        <w:pStyle w:val="TextoNormal"/>
      </w:pPr>
    </w:p>
    <w:p w:rsidR="0026452D" w:rsidRDefault="0026452D" w:rsidP="0026452D">
      <w:pPr>
        <w:pStyle w:val="TextoNormal"/>
      </w:pPr>
      <w:r>
        <w:t>Con carácter previo al análisis del presente recurso, debe advertirse que, durante el curso de este proceso, la Ley del sector eléctrico ha sido nuevamente modificada mediante el Real Decreto-ley 13/2012, de 30 de marzo, que traspone directivas tanto en materia de mercados interiores de electricidad y gas como en materia de comunicaciones electrónicas; se adoptan medidas para la corrección de las desviaciones por desajustes entre los costes e ingresos de los sectores eléctrico y gasista. Como consecuencia de dicha modificación, la regulación del apartado cuarto del art. 44 LSE ha pasado a constituir el contenido, en términos prácticamente idénticos, del actual apartado quinto de ese mismo artículo.</w:t>
      </w:r>
    </w:p>
    <w:p w:rsidR="0026452D" w:rsidRDefault="0026452D" w:rsidP="0026452D">
      <w:pPr>
        <w:pStyle w:val="TextoNormal"/>
      </w:pPr>
    </w:p>
    <w:p w:rsidR="0026452D" w:rsidRDefault="0026452D" w:rsidP="0026452D">
      <w:pPr>
        <w:pStyle w:val="TextoNormal"/>
      </w:pPr>
      <w:r>
        <w:t>Al respecto, recordábamos recientemente que “como señala la STC 149/2012, de 5 de julio, FJ 2 b) este Tribunal ha afirmado reiteradamente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18/2011, de 3 de marzo, FJ 3 y las allí citadas).” [STC 184/2012, de 17 de octubre, FJ 2 b)]. Como se indica en la STC 133/2012, de 19 de junio, FJ 2, “‘en las controversias de alcance competencial es necesario apreciar los efectos que tiene sobre el conflicto la entrada en vigor de la nueva normativa reguladora de algunos de los aspectos en discusión. Dicha operación debe realizarse atendiendo en cada caso a las circunstancias concretas y, ante todo, a la pervivencia de la controversia competencial, esto es,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Hemos reiterado esta doctrina en las SSTC 148/2012, de 5 de julio, FJ 2 b); 149/2012, de 5 de julio, FJ 2 b); y 161/2012, de 20 de septiembre, FJ 2” [</w:t>
      </w:r>
      <w:r w:rsidRPr="0026452D">
        <w:rPr>
          <w:i/>
        </w:rPr>
        <w:t>loc. cit</w:t>
      </w:r>
      <w:r>
        <w:t>.].</w:t>
      </w:r>
    </w:p>
    <w:p w:rsidR="0026452D" w:rsidRDefault="0026452D" w:rsidP="0026452D">
      <w:pPr>
        <w:pStyle w:val="TextoNormal"/>
      </w:pPr>
    </w:p>
    <w:p w:rsidR="0026452D" w:rsidRDefault="0026452D" w:rsidP="0026452D">
      <w:pPr>
        <w:pStyle w:val="TextoNormal"/>
      </w:pPr>
      <w:r>
        <w:t>La controversia aquí planteada tiene un contenido eminentemente competencial y, dado que el tenor del precepto recurrido se mantiene esencialmente en el actual art. 44.5 LSE, ha de afirmarse que persiste el objeto del presente proceso constitucional.</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Situaremos ahora la previsión impugnada dentro de su contexto normativo, teniendo en cuenta que la STC 18/2011, de 3 de marzo (FJ 2) y, posteriormente, las SSTC 136/2011, </w:t>
      </w:r>
      <w:r>
        <w:lastRenderedPageBreak/>
        <w:t xml:space="preserve">de 13 de septiembre [FJ 12 a)] y 148/2011, de 28 de septiembre (FJ 2) se refieren </w:t>
      </w:r>
      <w:r w:rsidRPr="0026452D">
        <w:rPr>
          <w:i/>
        </w:rPr>
        <w:t>in extenso</w:t>
      </w:r>
      <w:r>
        <w:t xml:space="preserve"> a la Ley del sector eléctrico.</w:t>
      </w:r>
    </w:p>
    <w:p w:rsidR="0026452D" w:rsidRDefault="0026452D" w:rsidP="0026452D">
      <w:pPr>
        <w:pStyle w:val="TextoNormal"/>
      </w:pPr>
    </w:p>
    <w:p w:rsidR="0026452D" w:rsidRDefault="0026452D" w:rsidP="0026452D">
      <w:pPr>
        <w:pStyle w:val="TextoNormal"/>
      </w:pPr>
      <w:r>
        <w:t>El objeto de la Ley del sector eléctrico, según su art. 1, es la ordenación de las actividades destinadas al suministro de energía eléctrica, en particular, la generación, el transporte, la distribución, la comercialización, los intercambios intracomunitarios e internacionales así como la gestión económica y técnica del sistema eléctrico. La regulación de dichas actividades, en la que se reconoce la libre iniciativa empresarial en el marco del principio de garantía del suministro de energía eléctrica, tiene por finalidad la adecuación del suministro de energía eléctrica a las necesidades de los consumidores, así como su racionalización, eficiencia y optimización, atendiendo a los principios de monopolio natural del transporte y la distribución, red única y realización al menor coste. El sector eléctrico, aunque sigue siendo objeto de una amplia regulación específica, más o menos intensa según las distintas actividades dirigidas al suministro, no está ya reservado en exclusiva al Estado, abandonándose la tradicional noción de servicio público. Se han puesto así las bases para una progresiva liberalización del mercado eléctrico, que funciona, según la exposición de motivos, bajo los principios de objetividad, transparencia, libre competencia y libre iniciativa empresarial.</w:t>
      </w:r>
    </w:p>
    <w:p w:rsidR="0026452D" w:rsidRDefault="0026452D" w:rsidP="0026452D">
      <w:pPr>
        <w:pStyle w:val="TextoNormal"/>
      </w:pPr>
    </w:p>
    <w:p w:rsidR="0026452D" w:rsidRDefault="0026452D" w:rsidP="0026452D">
      <w:pPr>
        <w:pStyle w:val="TextoNormal"/>
      </w:pPr>
      <w:r>
        <w:t>Se considera el suministro de energía eléctrica como un servicio esencial (art. 2.2 LSE) al que tienen derecho todos los consumidores (art. 10.1 LSE). Esto se traduce en actividades de diverso signo; unas desarrolladas en régimen de libre competencia y otras como actividades reguladas (art. 11 LSE). En suma, la Ley del sector eléctrico introduce la ordenación básica de las distintas actividades del sector eléctrico, autorizando los desarrollos reglamentarios y asignando las competencias administrativas derivadas de las intervenciones previstas, todo ello con fundamento, de acuerdo con su disposición final primera, en el art. 149.1.13 y 25 CE (STC 18/2011, de 3 de marzo, FJ 2).</w:t>
      </w:r>
    </w:p>
    <w:p w:rsidR="0026452D" w:rsidRDefault="0026452D" w:rsidP="0026452D">
      <w:pPr>
        <w:pStyle w:val="TextoNormal"/>
      </w:pPr>
    </w:p>
    <w:p w:rsidR="0026452D" w:rsidRDefault="0026452D" w:rsidP="0026452D">
      <w:pPr>
        <w:pStyle w:val="TextoNormal"/>
      </w:pPr>
      <w:r>
        <w:t>La Ley 17/2007, de 4 de julio modificó la Ley del sector eléctrico para adaptarla a lo dispuesto en la Directiva 2003/54/CE, del Parlamento Europeo y del Consejo, de 26 de junio, sobre normas comunes para el mercado interior de la electricidad. Con ella se inicia un nuevo modelo en el que se liberaliza el mercado eléctrico, de forma que los usuarios pueden elegir libremente en el mercado a su suministrador, separándose las funciones de distribución y comercialización de la energía. Asimismo determinó que, a partir del 1 de julio de 2009, junto al mercado libre coexista otro para los pequeños consumidores de energía denominado “suministro de último recurso”, regido por una tarifa determinada por precios máximos y mínimos fijados por el Gobierno para todo el territorio nacional: la tarifa de último recurso. Para estos consumidores, el suministro eléctrico se considera un “servicio universal” que ha de ser atendido por las llamadas “comercializadoras de último recurso”, designadas igualmente por el Gobierno para todo el territorio nacional. En desarrollo de lo dispuesto por la Ley, el Real Decreto 485/2009, de 3 de abril, ha regulado la puesta en marcha de este suministro especial.</w:t>
      </w:r>
    </w:p>
    <w:p w:rsidR="0026452D" w:rsidRDefault="0026452D" w:rsidP="0026452D">
      <w:pPr>
        <w:pStyle w:val="TextoNormal"/>
      </w:pPr>
    </w:p>
    <w:p w:rsidR="0026452D" w:rsidRDefault="0026452D" w:rsidP="0026452D">
      <w:pPr>
        <w:pStyle w:val="TextoNormal"/>
      </w:pPr>
      <w:r>
        <w:t xml:space="preserve">Con posterioridad, para lograr la plena incorporación al Derecho español de la Directiva 2006/123/CE, de 12 de diciembre, relativa a los servicios en el mercado interior (Directiva de servicios), se dictó la Ley 17/2009, de 23 de noviembre, sobre libre acceso a las actividades de servicios y su ejercicio; como complemento de ella se aprueba luego la Ley 25/2009, ahora recurrida, por la que se modifican diversas leyes, entre las que se encuentra </w:t>
      </w:r>
      <w:r>
        <w:lastRenderedPageBreak/>
        <w:t>la Ley del sector eléctrico. La nueva ley dedica su título III a los servicios energéticos que, de acuerdo con el preámbulo, tiene por objeto principal la eliminación de los regímenes de autorización para el ejercicio de las actividades de comercialización en el ámbito de la Ley del sector eléctrico y de la Ley del sector de hidrocarburos. También contiene otras previsiones para la adaptación del régimen jurídico de los sectores energéticos a lo establecido Ley 17/2009. Dentro de este título, se incluye el art. 18.5, que reforma el artículo 44.4 LSE, objeto de la presente controversia.</w:t>
      </w:r>
    </w:p>
    <w:p w:rsidR="0026452D" w:rsidRDefault="0026452D" w:rsidP="0026452D">
      <w:pPr>
        <w:pStyle w:val="TextoNormal"/>
      </w:pPr>
    </w:p>
    <w:p w:rsidR="0026452D" w:rsidRDefault="0026452D" w:rsidP="0026452D">
      <w:pPr>
        <w:pStyle w:val="TextoNormal"/>
      </w:pPr>
      <w:r w:rsidRPr="0026452D">
        <w:rPr>
          <w:rStyle w:val="NumeroAFNegritaCaracter"/>
        </w:rPr>
        <w:t>4</w:t>
      </w:r>
      <w:r>
        <w:t>. El reformado artículo 44 se ocupa del suministro de energía eléctrica. Su apartado cuarto prevé que las Administraciones competentes habrán de establecer reglamentariamente medidas de protección al consumidor (párrafo primero) así como mecanismos de contratación y las condiciones de facturación de los suministros, incluyendo los procedimientos de cambio de suministrador y de resolución de reclamaciones (párrafo segundo). El tercer párrafo de dicho apartado es el que suscita quejas por parte del Gobierno canario. Establece que “en caso de que un comercializador no cumpla alguna de las obligaciones establecidas en las letras a), b) y h) a que hace referencia el artículo 45.1 de la presente Ley o no cumpla en los plazos que se establezcan otras obligaciones de pago frente al sistema eléctrico, el Ministro de Industria, Turismo y Comercio determinará, previo trámite de audiencia y de forma motivada, objetiva y transparente, el traspaso de los clientes de dicho comercializador a un comercializador de último recurso. Asimismo, determinará las condiciones de suministro de dichos clientes”. El vigente apartado quinto del artículo enjuiciado puntualiza, además, que la determinación del comercializador de último recurso al que los clientes se traspasan corresponde al actual Ministro de Industria, Energía y Turismo, lo que podía considerarse ya implícito en el texto anterior.</w:t>
      </w:r>
    </w:p>
    <w:p w:rsidR="0026452D" w:rsidRDefault="0026452D" w:rsidP="0026452D">
      <w:pPr>
        <w:pStyle w:val="TextoNormal"/>
      </w:pPr>
    </w:p>
    <w:p w:rsidR="0026452D" w:rsidRDefault="0026452D" w:rsidP="0026452D">
      <w:pPr>
        <w:pStyle w:val="TextoNormal"/>
      </w:pPr>
      <w:r>
        <w:t>Las obligaciones cuyo incumplimiento puede dar lugar a tal actuación por parte del Ministerio son las siguientes: (a) adquirir la energía necesaria para el desarrollo de sus actividades, realizando el pago de sus adquisiciones; (b) contratar y abonar el peaje de acceso correspondiente a la empresa distribuidora y (h) prestar, en su caso, las garantías que reglamentariamente correspondan por el peaje de acceso de sus clientes. El señalado traspaso de clientes se dispone sin perjuicio de las sanciones que pudieran derivarse de acuerdo con lo establecido en la Ley 54/1997.</w:t>
      </w:r>
    </w:p>
    <w:p w:rsidR="0026452D" w:rsidRDefault="0026452D" w:rsidP="0026452D">
      <w:pPr>
        <w:pStyle w:val="TextoNormal"/>
      </w:pPr>
    </w:p>
    <w:p w:rsidR="0026452D" w:rsidRDefault="0026452D" w:rsidP="0026452D">
      <w:pPr>
        <w:pStyle w:val="TextoNormal"/>
      </w:pPr>
      <w:r>
        <w:t>La queja planteada por la Comunidad Autónoma Canaria se centra, según se ha resumido en los antecedentes, en que el precepto legal impugnado estaría otorgando al Estado el ejercicio de una competencia ejecutiva, vulnerando con ello la competencia autonómica de desarrollo legislativo y ejecución del “régimen energético y minero ajustado a sus singulares condiciones”, prevista en el art. 32.9 EACan.</w:t>
      </w:r>
    </w:p>
    <w:p w:rsidR="0026452D" w:rsidRDefault="0026452D" w:rsidP="0026452D">
      <w:pPr>
        <w:pStyle w:val="TextoNormal"/>
      </w:pPr>
    </w:p>
    <w:p w:rsidR="0026452D" w:rsidRDefault="0026452D" w:rsidP="0026452D">
      <w:pPr>
        <w:pStyle w:val="TextoNormal"/>
      </w:pPr>
      <w:r w:rsidRPr="0026452D">
        <w:rPr>
          <w:rStyle w:val="NumeroAFNegritaCaracter"/>
        </w:rPr>
        <w:t>5</w:t>
      </w:r>
      <w:r>
        <w:t>. Tras las precisiones anteriores, procede establecer el marco competencial en el que debe insertarse el examen de la impugnación, para destacar después la doctrina constitucional que resulta de aplicación.</w:t>
      </w:r>
    </w:p>
    <w:p w:rsidR="0026452D" w:rsidRDefault="0026452D" w:rsidP="0026452D">
      <w:pPr>
        <w:pStyle w:val="TextoNormal"/>
      </w:pPr>
    </w:p>
    <w:p w:rsidR="0026452D" w:rsidRDefault="0026452D" w:rsidP="0026452D">
      <w:pPr>
        <w:pStyle w:val="TextoNormal"/>
      </w:pPr>
      <w:r>
        <w:t xml:space="preserve">El precepto cuya constitucionalidad ahora enjuiciamos se refiere al régimen energético y, más concretamente, al subsector eléctrico. El Estado ostenta competencias dentro de este ámbito material en virtud de los apartados 25 y 13 del art. 149.1 CE. La disposición final primera de la Ley 25/2009, de 22 de diciembre, declara su carácter básico, por dictarse al amparo de las competencias estatales sobre el régimen minero y energético: art. 149.1.25 </w:t>
      </w:r>
      <w:r>
        <w:lastRenderedPageBreak/>
        <w:t>CE. A su vez, la disposición final quinta del Real Decreto-ley 13/2012, de 30 de marzo, añade, respecto al nuevo apartado quinto del art. 44 LSE, el título competencial referido a las bases y la coordinación de la planificación general de la actividad económica: art. 149.1.13 CE. Dado el contenido de la norma impugnada —al que ya hemos hecho referencia— el título competencial preferente y más específico desde el que ha de juzgarse, no obstante, es el referido a la competencia exclusiva del Estado en materia de “bases del régimen … energético” (art. 149.1.25 CE). Dicho título integra una vertiente de planificación económica (art. 149.1.13 CE), que habremos de tomar en consideración en atención a la finalidad perseguida por la norma impugnada.</w:t>
      </w:r>
    </w:p>
    <w:p w:rsidR="0026452D" w:rsidRDefault="0026452D" w:rsidP="0026452D">
      <w:pPr>
        <w:pStyle w:val="TextoNormal"/>
      </w:pPr>
    </w:p>
    <w:p w:rsidR="0026452D" w:rsidRDefault="0026452D" w:rsidP="0026452D">
      <w:pPr>
        <w:pStyle w:val="TextoNormal"/>
      </w:pPr>
      <w:r w:rsidRPr="0026452D">
        <w:rPr>
          <w:rStyle w:val="NumeroAFNegritaCaracter"/>
        </w:rPr>
        <w:t>6</w:t>
      </w:r>
      <w:r>
        <w:t>. Sentada la competencia estatal para adoptar las bases de esta materia, hay que determinar si el precepto legal impugnado cumple con los requisitos de carácter material de la legislación básica establecidos por nuestra jurisprudencia. La demanda se centra en esta cuestión y no en el cumplimiento de los requisitos de índole formal, pues estamos ante una norma con rango de ley, cuyo carácter básico es proclamado en la disposición final primera de la Ley 25/2009. En concreto, debemos dilucidar hasta qué punto puede el Estado desarrollar funciones ejecutivas en el marco de esa competencia.</w:t>
      </w:r>
    </w:p>
    <w:p w:rsidR="0026452D" w:rsidRDefault="0026452D" w:rsidP="0026452D">
      <w:pPr>
        <w:pStyle w:val="TextoNormal"/>
      </w:pPr>
    </w:p>
    <w:p w:rsidR="0026452D" w:rsidRDefault="0026452D" w:rsidP="0026452D">
      <w:pPr>
        <w:pStyle w:val="TextoNormal"/>
      </w:pPr>
      <w:r>
        <w:t>Hemos admitido esta posibilidad, cuando las competencias de ejecución están estrechamente vinculadas al mantenimiento y efectividad de las normas de carácter básico. Así, en relación con las bases de la ordenación del crédito, tenemos declarado que pueden comprender “el complemento reglamentario y aun el ejecutivo” en “la medida indispensable” para la “preservación de un tratamiento uniforme” (por todas, SSTC 235/1999, de 20 de diciembre, FJ 3 y 120/2012, de 4 de junio, FJ 5). Ello será posible en concreto, cuando “se encuentren afectados directamente intereses supraautonómicos, o porque se trate de decisiones y actuaciones que trascienden del caso particular y de las situaciones concretas afectadas dada la interdependencia de éstas en todo el territorio nacional o, en fin, cuando el acto de ejecución comporte, por necesidad intrínseca de la materia, márgenes tan amplios de discrecionalidad que sólo pueda ser adoptado por instancias que no tengan a su cuidado intereses peculiares distintos a los puramente generales’ [STC 178/1992, fundamento jurídico 2; y, en igual sentido, SSTC 87/1993, fundamento jurídico 5; 155/1993, fundamento jurídico 6; 204/1993, fundamento jurídico 5; 37/1997, fundamento jurídico 5 y 133/1997, fundamento jurídico 4 B)]” (STC 235/1999, FJ 3).</w:t>
      </w:r>
    </w:p>
    <w:p w:rsidR="0026452D" w:rsidRDefault="0026452D" w:rsidP="0026452D">
      <w:pPr>
        <w:pStyle w:val="TextoNormal"/>
      </w:pPr>
    </w:p>
    <w:p w:rsidR="0026452D" w:rsidRDefault="0026452D" w:rsidP="0026452D">
      <w:pPr>
        <w:pStyle w:val="TextoNormal"/>
      </w:pPr>
      <w:r>
        <w:t xml:space="preserve">Respecto al sector eléctrico, en particular, hemos afirmado el carácter básico de la atribución legal al Gobierno de ciertas medidas de ejecución, que tenían por finalidad la garantía del suministro de energía eléctrica. En el fundamento jurídico 6 de la STC 18/2011, de 3 de marzo, considerábamos de aplicación las relativas al sector petrolero, al que se refirió la STC 197/1996, de 28 de noviembre, ya que resulta estratégico para el funcionamiento de cualquier sociedad moderna; representa por sí mismo una parte muy importante dentro del conjunto de la economía nacional, siendo a la vez clave como factor de producción esencial para la práctica totalidad de los restantes sectores económicos, al condicionar de manera en muchos casos determinante su competitividad. Estas circunstancias justifican que el Estado pueda intervenir en la ordenación del sector eléctrico tanto a través del título general relativo a la planificación general de la economía (art. 149.1.13 CE) como mediante el más específicamente vinculado al sector energético (art. 149.1.25 CE). Tal afirmación no nos eximía, sin embargo, de realizar la determinación concreta del título competencial que, respecto a </w:t>
      </w:r>
      <w:r>
        <w:lastRenderedPageBreak/>
        <w:t>cada uno de los preceptos cuestionados, amparase en su caso al Estado, pues uno y otro título competencial no le confieren las mismas potestades de actuación.</w:t>
      </w:r>
    </w:p>
    <w:p w:rsidR="0026452D" w:rsidRDefault="0026452D" w:rsidP="0026452D">
      <w:pPr>
        <w:pStyle w:val="TextoNormal"/>
      </w:pPr>
    </w:p>
    <w:p w:rsidR="0026452D" w:rsidRDefault="0026452D" w:rsidP="0026452D">
      <w:pPr>
        <w:pStyle w:val="TextoNormal"/>
      </w:pPr>
      <w:r>
        <w:t>Se proyectaron pues estas premisas al enjuiciar el apartado 2 del art. 10 LSE, en relación con el apartado 3 del mismo artículo, dedicado a la “garantía del suministro”. De acuerdo con el primero, el Gobierno, con la finalidad de garantizar el suministro de energía eléctrica, puede adoptar medidas para un plazo determinado dirigidas a hacer frente a situaciones de riesgo cierto en la prestación del suministro de energía eléctrica: desabastecimiento de alguna o algunas de las fuentes de energía primaria o de las que se pueda derivar amenaza para la integridad física o la seguridad de las personas, de aparatos o instalaciones o para la integridad de la red de transporte o distribución de energía eléctrica. En el apartado tercero, por su parte, se establecen los aspectos a los que, entre otros, pueden referirse las medidas gubernamentales. Hemos señalado que estas previsiones son conformes a nuestra Norma fundamental. En lo que se refiere al apartado segundo, porque “establecer los casos en los que procede la adopción de medidas necesarias para garantizar el suministro eléctrico a todos los consumidores, que en principio pueden ser tanto de naturaleza normativa como ejecutiva, ha de ser considerada norma básica; es un corolario del principio de garantía del suministro derivado del art. 10.1 LSE y por tanto un complemento de este precepto, cuyo carácter básico no es discutido. Dado el carácter materialmente básico del precepto, no puede ser reprochable la previsión de que el Gobierno adopte medidas (que el precepto no concreta, salvo en lo atinente al régimen retributivo) en los supuestos que en el mismo se relacionan, en todos los cuales existen situaciones de excepcionalidad que demandan su intervención” (STC 18/2011, FJ 8). Respecto del apartado tercero, que contiene el elenco de las posibles medidas para garantizar el suministro eléctrico, hemos considerado que la gravedad de los supuestos contemplados en el art. 10.2 LSE y su incidencia en relación con la proclamada finalidad de la norma (la garantía de un suministro de energía eléctrica de calidad adecuada al menor coste posible que, a su vez, sea compatible con la necesaria protección del medio ambiente), justifica la atribución al Gobierno de la Nación de la facultad de adoptar medidas ejecutivas; tanto por resultar un complemento necesario para preservar lo básico en materia energética (art. 149.1.25 CE), como por su trascendencia para el desarrollo de la actividad económica del país y, por tanto, para la ordenación general de la economía (art. 149.1.13 CE).</w:t>
      </w:r>
    </w:p>
    <w:p w:rsidR="0026452D" w:rsidRDefault="0026452D" w:rsidP="0026452D">
      <w:pPr>
        <w:pStyle w:val="TextoNormal"/>
      </w:pPr>
    </w:p>
    <w:p w:rsidR="0026452D" w:rsidRDefault="0026452D" w:rsidP="0026452D">
      <w:pPr>
        <w:pStyle w:val="TextoNormal"/>
      </w:pPr>
      <w:r>
        <w:t>A todo ello añadíamos dos precisiones finales. En primer lugar, que lo dicho no dispensa al Gobierno, cada vez que haga uso de sus potestades de actuación, de justificar el carácter materialmente básico de la medida adoptada; extremo éste que podrá, en su caso, ser objeto del correspondiente control por las vías procedimentales apropiadas, ante este Tribunal o ante la jurisdicción ordinaria. En segundo lugar, la facultad estatal no impide a la Comunidad Autónoma de Canarias prever, en el marco de sus competencias de desarrollo legislativo y de ejecución en materia energética, la adopción y puesta en práctica de otras medidas que pudieran ser adecuadas para la garantía del suministro eléctrico en dicha Comunidad Autónoma en los supuestos de crisis previstos en el art. 10.2 LSE, letras a) y c); así se reconoce en el apartado 2 de la disposición adicional decimoséptima de la Ley 34/1998, de 7 de octubre, del sector de hidrocarburos. Tales medidas han de afectar sólo al respectivo ámbito territorial de las Comunidades Autónomas o ciudades autónomas y no tener repercusión económica en el conjunto del sistema eléctrico, salvo que medie la previa conformidad del Ministerio de Industria y Energía (actualmente Ministerio de Industria, Energía y Turismo).</w:t>
      </w:r>
    </w:p>
    <w:p w:rsidR="0026452D" w:rsidRDefault="0026452D" w:rsidP="0026452D">
      <w:pPr>
        <w:pStyle w:val="TextoNormal"/>
      </w:pPr>
    </w:p>
    <w:p w:rsidR="0026452D" w:rsidRDefault="0026452D" w:rsidP="0026452D">
      <w:pPr>
        <w:pStyle w:val="TextoNormal"/>
      </w:pPr>
      <w:r>
        <w:lastRenderedPageBreak/>
        <w:t xml:space="preserve">A su vez, también respecto al sector eléctrico, hemos afirmado la constitucionalidad de la atribución al Gobierno de la competencia para establecer las tarifas de último recurso, de evidente naturaleza ejecutiva. Señalábamos en la STC 148/2011, de 28 de septiembre, que dicho establecimiento, conforme al art. 18 LSE, es una de las atribuciones estatales integradas en el régimen económico del sector eléctrico, como segmento específico y diferenciado dentro de la propia materia “régimen energético” [STC 18/2011, de 3 de marzo, FJ 21 a) </w:t>
      </w:r>
      <w:r w:rsidRPr="0026452D">
        <w:rPr>
          <w:i/>
        </w:rPr>
        <w:t>in fine</w:t>
      </w:r>
      <w:r>
        <w:t>]. Ello porque, tales tarifas, únicas en todo el territorio nacional, cuentan con un “indudable carácter básico en cuanto persiguen el objetivo de garantizar un precio razonable, transparente y claramente comparable, a determinados clientes, cuyo suministro se ha de realizar obligatoriamente por los comercializadores que se designen como comercializadores de último recurso a los que hace referencia el art. 9 de la Ley del sector eléctrico” (FJ 9).</w:t>
      </w:r>
    </w:p>
    <w:p w:rsidR="0026452D" w:rsidRDefault="0026452D" w:rsidP="0026452D">
      <w:pPr>
        <w:pStyle w:val="TextoNormal"/>
      </w:pPr>
    </w:p>
    <w:p w:rsidR="0026452D" w:rsidRDefault="0026452D" w:rsidP="0026452D">
      <w:pPr>
        <w:pStyle w:val="TextoNormal"/>
      </w:pPr>
      <w:r w:rsidRPr="0026452D">
        <w:rPr>
          <w:rStyle w:val="NumeroAFNegritaCaracter"/>
        </w:rPr>
        <w:t>7</w:t>
      </w:r>
      <w:r>
        <w:t>. Siguiendo los criterios sentados en la reseñada jurisprudencia, hay que señalar que el sentido, alcance y finalidad de la medida introducida por el art. 18.5 de la Ley 25/2009 justifican desde el punto de vista constitucional su atribución al Estado, aunque se trate del ejercicio de funciones ejecutivas.</w:t>
      </w:r>
    </w:p>
    <w:p w:rsidR="0026452D" w:rsidRDefault="0026452D" w:rsidP="0026452D">
      <w:pPr>
        <w:pStyle w:val="TextoNormal"/>
      </w:pPr>
    </w:p>
    <w:p w:rsidR="0026452D" w:rsidRDefault="0026452D" w:rsidP="0026452D">
      <w:pPr>
        <w:pStyle w:val="TextoNormal"/>
      </w:pPr>
      <w:r>
        <w:t>El apartado segundo del art. 44 LSE prevé con carácter general que los consumidores finales de electricidad tendrán derecho a elegir suministrador, pudiendo contratar bien con empresas de comercialización, bien con otros sujetos del mercado de producción cuya actividad no resulte incompatible. Sin embargo, en el caso de que un comercializador no cumpla con sus obligaciones de contratación, pago o prestación de garantías frente al sistema eléctrico, el precepto legal impugnado dispone el traspaso —por parte del Ministerio competente— de los clientes de dicho comercializador a otro de último recurso, estableciendo las condiciones en las que ha de llevarse a cabo el suministro.</w:t>
      </w:r>
    </w:p>
    <w:p w:rsidR="0026452D" w:rsidRDefault="0026452D" w:rsidP="0026452D">
      <w:pPr>
        <w:pStyle w:val="TextoNormal"/>
      </w:pPr>
    </w:p>
    <w:p w:rsidR="0026452D" w:rsidRDefault="0026452D" w:rsidP="0026452D">
      <w:pPr>
        <w:pStyle w:val="TextoNormal"/>
      </w:pPr>
      <w:r>
        <w:t>Como pone de manifiesto el Abogado del Estado, dicha función ejecutiva ya había sido asignada al Ministerio de Industria, Turismo y Comercio por la disposición adicional quinta del Real Decreto 485/2009, de 3 de abril, por el que se regula la puesta en marcha del suministro de último recurso en el sector de la energía eléctrica, lo que en aquel caso no suscitó conflicto competencial alguno. Este hecho no resulta determinante a la hora de juzgar la constitucionalidad del precepto impugnado, pues no exime a este Tribunal de realizar el correspondiente análisis acerca de su carácter básico.</w:t>
      </w:r>
    </w:p>
    <w:p w:rsidR="0026452D" w:rsidRDefault="0026452D" w:rsidP="0026452D">
      <w:pPr>
        <w:pStyle w:val="TextoNormal"/>
      </w:pPr>
    </w:p>
    <w:p w:rsidR="0026452D" w:rsidRDefault="0026452D" w:rsidP="0026452D">
      <w:pPr>
        <w:pStyle w:val="TextoNormal"/>
      </w:pPr>
      <w:r>
        <w:t>El art. 18.5 contiene una medida de protección de los usuarios y de garantía de la calidad de un “servicio esencial” (art. 2.2 LSE) en determinados supuestos en los que se advierte el incumplimiento de ciertas obligaciones por parte de alguna compañía comercializadora que puede poner en riesgo el adecuado suministro de energía eléctrica a sus clientes. Tal medida se concreta en la determinación —una vez constatado el incumplimiento y previo trámite de audiencia y de forma motivada, objetiva y transparente— del traspaso de los clientes del comercializador incumplidor a un comercializador de último recurso, estableciendo las condiciones en las que se ha de prestar el suministro. Y ello, “sin perjuicio de las sanciones que puedan derivarse de acuerdo con lo establecido en el Título VI”.</w:t>
      </w:r>
    </w:p>
    <w:p w:rsidR="0026452D" w:rsidRDefault="0026452D" w:rsidP="0026452D">
      <w:pPr>
        <w:pStyle w:val="TextoNormal"/>
      </w:pPr>
    </w:p>
    <w:p w:rsidR="0026452D" w:rsidRDefault="0026452D" w:rsidP="0026452D">
      <w:pPr>
        <w:pStyle w:val="TextoNormal"/>
      </w:pPr>
      <w:r>
        <w:t xml:space="preserve">Para una correcta valoración de esta previsión legal, ha de tenerse presente que los comercializadores de último recurso son aquellos que asumen la obligación de suministrar a </w:t>
      </w:r>
      <w:r>
        <w:lastRenderedPageBreak/>
        <w:t xml:space="preserve">los consumidores domésticos y a los pequeños consumidores que, de acuerdo con la normativa vigente, se acojan a esa tarifa. Siguiendo lo establecido en el art. 18.3 LSE, corresponde al Gobierno la fijación de estas tarifas únicas en todo el territorio nacional, habiendo declarado este Tribunal el carácter básico de tal atribución legal, según ya hemos referido. Asimismo, corresponde al Gobierno, “previa consulta a las comunidades autónomas” determinar “los comercializadores que asumirán la obligación de suministro de último recurso” [art. 9 f) </w:t>
      </w:r>
      <w:r w:rsidRPr="0026452D">
        <w:rPr>
          <w:i/>
        </w:rPr>
        <w:t>in fine</w:t>
      </w:r>
      <w:r>
        <w:t xml:space="preserve"> LSE].</w:t>
      </w:r>
    </w:p>
    <w:p w:rsidR="0026452D" w:rsidRDefault="0026452D" w:rsidP="0026452D">
      <w:pPr>
        <w:pStyle w:val="TextoNormal"/>
      </w:pPr>
    </w:p>
    <w:p w:rsidR="0026452D" w:rsidRDefault="0026452D" w:rsidP="0026452D">
      <w:pPr>
        <w:pStyle w:val="TextoNormal"/>
      </w:pPr>
      <w:r>
        <w:t>En la actualidad —y tras la anulación por la Sentencia del Tribunal Supremo de 5 de abril de 2011 del artículo 2 del Real Decreto 485/2009, de 3 de abril, por el que se regula la puesta en marcha del suministro de último recurso en el sector de la energía eléctrica— el listado de las empresas comercializadoras se encuentra publicado y actualizado por la Comisión Nacional de Energía en virtud de lo establecido en la disposición transitoria primera del citado real decreto.</w:t>
      </w:r>
    </w:p>
    <w:p w:rsidR="0026452D" w:rsidRDefault="0026452D" w:rsidP="0026452D">
      <w:pPr>
        <w:pStyle w:val="TextoNormal"/>
      </w:pPr>
    </w:p>
    <w:p w:rsidR="0026452D" w:rsidRDefault="0026452D" w:rsidP="0026452D">
      <w:pPr>
        <w:pStyle w:val="TextoNormal"/>
      </w:pPr>
      <w:r>
        <w:t>De ese listado interesa destacar que está integrado por cinco comercializadores cuyo ámbito de actuación es estatal. Como se señala en el preámbulo del Real Decreto 485/2009, el Gobierno ha de tener en cuenta a la hora de designarlos qué compañías disponen de medios suficientes para poder asumir el riesgo de una actividad libre, dado que se les impone la obligación adicional de suministrar a consumidores en baja tensión a un precio máximo y mínimo, llevando a cabo la actividad con separación de cuentas, diferenciada de la actividad de suministro libre. En definitiva, se han de seleccionar aquellas empresas que cuenten con medios técnicos suficientes para garantizar adecuadamente tanto el suministro como la atención a los clientes de baja tensión, de acuerdo con las particulares exigencias que rigen este mercado.</w:t>
      </w:r>
    </w:p>
    <w:p w:rsidR="0026452D" w:rsidRDefault="0026452D" w:rsidP="0026452D">
      <w:pPr>
        <w:pStyle w:val="TextoNormal"/>
      </w:pPr>
    </w:p>
    <w:p w:rsidR="0026452D" w:rsidRDefault="0026452D" w:rsidP="0026452D">
      <w:pPr>
        <w:pStyle w:val="TextoNormal"/>
      </w:pPr>
      <w:r w:rsidRPr="0026452D">
        <w:rPr>
          <w:rStyle w:val="NumeroAFNegritaCaracter"/>
        </w:rPr>
        <w:t>8</w:t>
      </w:r>
      <w:r>
        <w:t>. Lo expuesto resulta suficiente para poner de manifiesto que la decisión sobre el comercializador de último recurso que ha de asumir el suministro de los clientes afectados en el supuesto recogido en el art. 18.5 de la Ley 25/2009 despliega sus efectos más allá de la Comunidad Autónoma donde este se produce. En primer lugar, porque el propio incumplimiento por parte de una comercializadora de las obligaciones definidas en dicho artículo conlleva consecuencias que trascienden del ámbito autonómico, dado el principio de red única en el que se asienta nuestro sistema eléctrico. Pero, además, la decisión gubernamental, al imponer una nueva obligación de suministro a la empresa elegida, afecta inevitablemente a la actividad que esta despliega en el resto del territorio nacional; como consecuencia de ello, repercute en el servicio a prestar tanto a sus clientes anteriores, que pueden encontrarse en otras Comunidades Autónomas, como a los recién adquiridos por obra de tal decisión. Dado que, igualmente, se verá condicionada su relación de competencia con el resto de las empresas del sector, el sistema eléctrico en su conjunto resultará afectado.</w:t>
      </w:r>
    </w:p>
    <w:p w:rsidR="0026452D" w:rsidRDefault="0026452D" w:rsidP="0026452D">
      <w:pPr>
        <w:pStyle w:val="TextoNormal"/>
      </w:pPr>
    </w:p>
    <w:p w:rsidR="0026452D" w:rsidRDefault="0026452D" w:rsidP="0026452D">
      <w:pPr>
        <w:pStyle w:val="TextoNormal"/>
      </w:pPr>
      <w:r>
        <w:t>Si a ello se añade que la finalidad última de la norma no es otra que garantizar un suministro de energía eléctrica adecuado y de calidad, no cabe ninguna duda que el Estado se sitúa en la mejor posición para acordar de forma “motivada, objetiva y transparente” el traspaso obligatorio de los clientes a un comercializador de último recurso que ofrezca unas garantías suficientes y adecuadas para llevar a cabo dicho suministro en las condiciones que se determinen, velando así por el correcto funcionamiento de todo el sistema eléctrico.</w:t>
      </w:r>
    </w:p>
    <w:p w:rsidR="0026452D" w:rsidRDefault="0026452D" w:rsidP="0026452D">
      <w:pPr>
        <w:pStyle w:val="TextoNormal"/>
      </w:pPr>
    </w:p>
    <w:p w:rsidR="0026452D" w:rsidRDefault="0026452D" w:rsidP="0026452D">
      <w:pPr>
        <w:pStyle w:val="TextoNormal"/>
      </w:pPr>
      <w:r>
        <w:lastRenderedPageBreak/>
        <w:t>Consecuentemente, debe afirmarse que la previsión contenida en el precepto impugnado resulta un complemento necesario para preservar lo básico por su incidencia en el correcto funcionamiento del entero sistema eléctrico (art. 149.1.25 CE) y, con ello, en el régimen económico de este importante sector para la economía nacional (art. 149.1.13 CE).</w:t>
      </w:r>
    </w:p>
    <w:p w:rsidR="0026452D" w:rsidRDefault="0026452D" w:rsidP="0026452D">
      <w:pPr>
        <w:pStyle w:val="TextoNormal"/>
      </w:pPr>
    </w:p>
    <w:p w:rsidR="0026452D" w:rsidRDefault="0026452D" w:rsidP="0026452D">
      <w:pPr>
        <w:pStyle w:val="TextoNormal"/>
      </w:pPr>
      <w:r>
        <w:t>Ha de añadirse finalmente que, como pone de manifiesto el Abogado del Estado, la Ley ha concretado de forma sumamente restrictiva las obligaciones del comercializador cuyo incumplimiento pueda provocar el traspaso obligatorio de clientes, fijándose únicamente en aquellas que, de no observarse, puedan generar riesgo cierto para el suministro adecuado de energía eléctrica. Por lo demás, el precepto no excluye la colaboración y participación de las Comunidades Autónomas que pudieran verse afectadas, previéndose al efecto un “trámite de audiencia”. No se impide tampoco el ejercicio de las competencias sancionadoras de las Comunidades Autónomas, cuando proceda.</w:t>
      </w:r>
    </w:p>
    <w:p w:rsidR="0026452D" w:rsidRDefault="0026452D" w:rsidP="0026452D">
      <w:pPr>
        <w:pStyle w:val="TextoNormal"/>
      </w:pPr>
    </w:p>
    <w:p w:rsidR="0026452D" w:rsidRDefault="0026452D" w:rsidP="0026452D">
      <w:pPr>
        <w:pStyle w:val="TextoNormal"/>
      </w:pPr>
      <w:r>
        <w:t>La atribución al Estado de esta función no supone, en consecuencia, una vulneración de la competencia autonómica de desarrollo legislativo y ejecución del “régimen energético y minero ajustado a sus singulares condiciones”, prevista en el art. 32.9 del Estatuto de Autonomía de la Comunidad Autónoma de Canarias, cuyas peculiaridades geográficas no exigen en este caso un tratamiento específico por parte del legislador básico.</w:t>
      </w:r>
    </w:p>
    <w:p w:rsidR="0026452D" w:rsidRDefault="0026452D" w:rsidP="0026452D">
      <w:pPr>
        <w:pStyle w:val="TextoNormal"/>
      </w:pPr>
    </w:p>
    <w:p w:rsidR="0026452D" w:rsidRDefault="0026452D" w:rsidP="0026452D">
      <w:pPr>
        <w:pStyle w:val="TextoNormal"/>
      </w:pPr>
      <w:r>
        <w:t>Como consecuencia de todo lo dicho, se desestima la impugnación referida al párrafo tercero del art. 44.4 de la Ley 54/1997, de 27 de noviembre, del sector eléctrico, en su redacción dada por el art. 18.5 de la Ley 25/2009, de 22 de diciembre, de modificación de diversas leyes para su adaptación a la Ley sobre el libre acceso a las actividades de servicios y su ejercicio.</w:t>
      </w:r>
    </w:p>
    <w:p w:rsidR="0026452D" w:rsidRDefault="0026452D" w:rsidP="0026452D">
      <w:pPr>
        <w:pStyle w:val="TextoNormal"/>
      </w:pPr>
    </w:p>
    <w:p w:rsidR="0026452D" w:rsidRDefault="0026452D" w:rsidP="0026452D">
      <w:pPr>
        <w:pStyle w:val="TextoNormal"/>
      </w:pPr>
      <w:r w:rsidRPr="0026452D">
        <w:rPr>
          <w:rStyle w:val="NumeroAFNegritaCaracter"/>
        </w:rPr>
        <w:t>9</w:t>
      </w:r>
      <w:r>
        <w:t>. Procede ahora pronunciarse sobre lo dispuesto en el art. 35 de la Ley 25/2009, de 22 de diciembre, de modificación de diversas leyes para su adaptación a la Ley sobre el libre acceso a las actividades de servicios y su ejercicio, por el que se adiciona un nuevo art. 13 bis a la Ley 5/2007, de 3 de abril, de la red de parques nacionales. A tal efecto, es preciso exponer la previsión impugnada dentro de su contexto normativo.</w:t>
      </w:r>
    </w:p>
    <w:p w:rsidR="0026452D" w:rsidRDefault="0026452D" w:rsidP="0026452D">
      <w:pPr>
        <w:pStyle w:val="TextoNormal"/>
      </w:pPr>
    </w:p>
    <w:p w:rsidR="0026452D" w:rsidRDefault="0026452D" w:rsidP="0026452D">
      <w:pPr>
        <w:pStyle w:val="TextoNormal"/>
      </w:pPr>
      <w:r>
        <w:t>La Ley 25/2009 ha completado la transposición de la Directiva de servicios en relación con las leyes medioambientales reguladoras de espacios naturales protegidos o de bienes de dominio público estatal. Incorpora a este sector los principios recogidos en el art. 8 de la Ley 17/2009, conforme a los que sólo podrá limitarse el número de autorizaciones de actividad en estos lugares cuando esté justificado por la escasez de recursos naturales o físicos o por limitaciones de las capacidades técnicas a utilizar en el desarrollo de la actividad de que se trate. Establece, en particular, las condiciones a las que deben sujetarse los procedimientos de concesión y autorización. Dicha regulación se lleva a cabo en el título V de la Ley 25/2009. Su capítulo I incluye el artículo 35, cuya constitucionalidad ahora enjuiciamos. En él se añade un nuevo artículo 13 bis a la Ley 5/2007, de 3 de abril, de la red de parques nacionales, con la siguiente redacción:</w:t>
      </w:r>
    </w:p>
    <w:p w:rsidR="0026452D" w:rsidRDefault="0026452D" w:rsidP="0026452D">
      <w:pPr>
        <w:pStyle w:val="TextoNormal"/>
      </w:pPr>
    </w:p>
    <w:p w:rsidR="0026452D" w:rsidRDefault="0026452D" w:rsidP="0026452D">
      <w:pPr>
        <w:pStyle w:val="TextoNormal"/>
      </w:pPr>
      <w:r>
        <w:t>“Los procedimientos de concesión y autorización de actividades de servicios que, conforme a sus instrumentos de planificación y gestión, vayan a realizarse en un Parque Nacional, deberán respetar los principios de publicidad, objetividad, imparcialidad y transparencia. Se aplicará además el principio de concurrencia competitiva en los siguientes supuestos:</w:t>
      </w:r>
    </w:p>
    <w:p w:rsidR="0026452D" w:rsidRDefault="0026452D" w:rsidP="0026452D">
      <w:pPr>
        <w:pStyle w:val="TextoNormal"/>
      </w:pPr>
    </w:p>
    <w:p w:rsidR="0026452D" w:rsidRDefault="0026452D" w:rsidP="0026452D">
      <w:pPr>
        <w:pStyle w:val="TextoNormal"/>
      </w:pPr>
      <w:r>
        <w:t>a) cuando se trate de una actividad de servicios que se promueva por la administración gestora del Parque conforme a los instrumentos de planificación y gestión del mismo,</w:t>
      </w:r>
    </w:p>
    <w:p w:rsidR="0026452D" w:rsidRDefault="0026452D" w:rsidP="0026452D">
      <w:pPr>
        <w:pStyle w:val="TextoNormal"/>
      </w:pPr>
    </w:p>
    <w:p w:rsidR="0026452D" w:rsidRDefault="0026452D" w:rsidP="0026452D">
      <w:pPr>
        <w:pStyle w:val="TextoNormal"/>
      </w:pPr>
      <w:r>
        <w:t>b) cuando el ejercicio de la actividad excluya el ejercicio de otras actividades por terceros.</w:t>
      </w:r>
    </w:p>
    <w:p w:rsidR="0026452D" w:rsidRDefault="0026452D" w:rsidP="0026452D">
      <w:pPr>
        <w:pStyle w:val="TextoNormal"/>
      </w:pPr>
    </w:p>
    <w:p w:rsidR="0026452D" w:rsidRDefault="0026452D" w:rsidP="0026452D">
      <w:pPr>
        <w:pStyle w:val="TextoNormal"/>
      </w:pPr>
      <w:r>
        <w:t>Los criterios en que se basará la concesión y autorización para la realización de actividades de servicios estarán directamente vinculados a la protección del medioambiente.</w:t>
      </w:r>
    </w:p>
    <w:p w:rsidR="0026452D" w:rsidRDefault="0026452D" w:rsidP="0026452D">
      <w:pPr>
        <w:pStyle w:val="TextoNormal"/>
      </w:pPr>
    </w:p>
    <w:p w:rsidR="0026452D" w:rsidRDefault="0026452D" w:rsidP="0026452D">
      <w:pPr>
        <w:pStyle w:val="TextoNormal"/>
      </w:pPr>
      <w:r>
        <w:t>La duración de dichas autorizaciones y concesiones será limitada de acuerdo con sus características, y no dará lugar a renovación automática, no conllevando, una vez extinguida, ningún tipo de ventaja para el anterior titular ni para personas vinculadas a él.”</w:t>
      </w:r>
    </w:p>
    <w:p w:rsidR="0026452D" w:rsidRDefault="0026452D" w:rsidP="0026452D">
      <w:pPr>
        <w:pStyle w:val="TextoNormal"/>
      </w:pPr>
    </w:p>
    <w:p w:rsidR="0026452D" w:rsidRDefault="0026452D" w:rsidP="0026452D">
      <w:pPr>
        <w:pStyle w:val="TextoNormal"/>
      </w:pPr>
      <w:r>
        <w:t>El precepto impugnado establece, por tanto, los principios, criterios y condiciones a los que han de someterse las concesiones y autorizaciones de actividades de servicios en los parques nacionales, a los que haya lugar conforme a los correspondientes instrumentos de planificación y gestión de los mismos.</w:t>
      </w:r>
    </w:p>
    <w:p w:rsidR="0026452D" w:rsidRDefault="0026452D" w:rsidP="0026452D">
      <w:pPr>
        <w:pStyle w:val="TextoNormal"/>
      </w:pPr>
    </w:p>
    <w:p w:rsidR="0026452D" w:rsidRDefault="0026452D" w:rsidP="0026452D">
      <w:pPr>
        <w:pStyle w:val="TextoNormal"/>
      </w:pPr>
      <w:r>
        <w:t>La Comunidad Autónoma recurrente considera que esta regulación vulnera su competencia de desarrollo legislativo y ejecución (art. 32.12 EACan) en materia de protección del medio ambiente, incluidos los vertidos en el ámbito territorial de la Comunidad Autónoma, así como su competencia exclusiva en materia de espacios naturales protegidos (art. 30.16 EACan).</w:t>
      </w:r>
    </w:p>
    <w:p w:rsidR="0026452D" w:rsidRDefault="0026452D" w:rsidP="0026452D">
      <w:pPr>
        <w:pStyle w:val="TextoNormal"/>
      </w:pPr>
    </w:p>
    <w:p w:rsidR="0026452D" w:rsidRDefault="0026452D" w:rsidP="0026452D">
      <w:pPr>
        <w:pStyle w:val="TextoNormal"/>
      </w:pPr>
      <w:r w:rsidRPr="0026452D">
        <w:rPr>
          <w:rStyle w:val="NumeroAFNegritaCaracter"/>
        </w:rPr>
        <w:t>10</w:t>
      </w:r>
      <w:r>
        <w:t>. La regulación relativa a los parques nacionales se incardina entre las materias relativas a los “espacios naturales protegidos” y al “medio ambiente” (STC 194/2004, de 4 de noviembre, FJ 5). Corresponde al Estado la competencia para establecer la “legislación básica sobre protección del medio ambiente, sin perjuicio de las facultades de las Comunidades Autónomas de establecer normas adicionales de protección” (art. 149.1.23 CE). A este respecto conviene recordar que, como hemos señalado en la STC 194/2004 (FJ 6), en estas materias las competencias atribuidas al Estado en virtud de lo establecido en el art. 149.1.23 CE condicionan y se superponen a las de las Comunidades Autónomas.</w:t>
      </w:r>
    </w:p>
    <w:p w:rsidR="0026452D" w:rsidRDefault="0026452D" w:rsidP="0026452D">
      <w:pPr>
        <w:pStyle w:val="TextoNormal"/>
      </w:pPr>
    </w:p>
    <w:p w:rsidR="0026452D" w:rsidRDefault="0026452D" w:rsidP="0026452D">
      <w:pPr>
        <w:pStyle w:val="TextoNormal"/>
      </w:pPr>
      <w:r w:rsidRPr="0026452D">
        <w:rPr>
          <w:rStyle w:val="NumeroAFNegritaCaracter"/>
        </w:rPr>
        <w:t>11</w:t>
      </w:r>
      <w:r>
        <w:t>. Al igual que al analizar la primera de las impugnaciones contenida en el escrito del recurso, se trata aquí de determinar, de acuerdo con nuestra doctrina, si el precepto impugnado cumple con los requisitos de carácter material de la legislación básica, pues —desde el punto de vista formal— nos encontramos nuevamente ante una norma con rango legal, cuyo carácter básico es proclamado en la disposición final primera de la Ley 25/2009. A este respecto, hemos establecido una serie de criterios para determinar el alcance de esta legislación en materia de medioambiente. El primero se concreta en “el deber estatal de dejar un margen al desarrollo de la legislación básica por la normativa autonómica” que “aun siendo menor que en otros ámbitos, no puede llegar … a tal grado de detalle que no permita desarrollo legislativo alguno de las Comunidades Autónomas con competencias en materia de medio ambiente, vaciándolas así de contenido” (SSTC 102/1995, de 26 de junio, FJ 8 y 101/2005, de 20 de abril, FJ 5).</w:t>
      </w:r>
    </w:p>
    <w:p w:rsidR="0026452D" w:rsidRDefault="0026452D" w:rsidP="0026452D">
      <w:pPr>
        <w:pStyle w:val="TextoNormal"/>
      </w:pPr>
    </w:p>
    <w:p w:rsidR="0026452D" w:rsidRDefault="0026452D" w:rsidP="0026452D">
      <w:pPr>
        <w:pStyle w:val="TextoNormal"/>
      </w:pPr>
      <w:r>
        <w:lastRenderedPageBreak/>
        <w:t>El segundo criterio consiste en “que lo básico, como propio de la competencia estatal en esta materia, cumple más bien una función de ordenación mediante mínimos que han de respetarse en todo caso, pero que pueden permitir que las Comunidades Autónomas con competencias en la materia establezcan niveles de protección más altos, como ya se dijo en la STC 170/1989. No son, por tanto, lo genérico o lo detallado, lo abstracto o lo concreto de cada norma, las piedras de toque para calificarla como básica, o no, sino su propia condición de tal a la luz de lo ya dicho” (SSTC 102/1995, FJ 9 y 101/2005, FJ 5).</w:t>
      </w:r>
    </w:p>
    <w:p w:rsidR="0026452D" w:rsidRDefault="0026452D" w:rsidP="0026452D">
      <w:pPr>
        <w:pStyle w:val="TextoNormal"/>
      </w:pPr>
    </w:p>
    <w:p w:rsidR="0026452D" w:rsidRDefault="0026452D" w:rsidP="0026452D">
      <w:pPr>
        <w:pStyle w:val="TextoNormal"/>
      </w:pPr>
      <w:r>
        <w:t xml:space="preserve">El tercer criterio es, en fin, el relativo al alcance de la “afectación transversal” que las directrices básicas medioambientales pueden tener, no ya sobre las normas de desarrollo legislativo y la ejecución en la propia materia de medio ambiente, sino sobre las competencias sectoriales de las Comunidades Autónomas; con ellas se entrecruza y está directamente implicada la competencia exclusiva en materia de espacios naturales protegidos. A este respecto, hemos señalado que “la afectación transversal del título competencial del Estado, que se ciñe al ámbito de lo básico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para la preservación de los parques nacionales. Cuando así ocurra, los límites impuestos podrán calificarse de normas básicas </w:t>
      </w:r>
      <w:r w:rsidRPr="0026452D">
        <w:rPr>
          <w:i/>
        </w:rPr>
        <w:t>ex</w:t>
      </w:r>
      <w:r>
        <w:t xml:space="preserve"> art. 149.1.23 CE. Por el contrario la afectación transversal de las competencias sectoriales de las Comunidades Autónomas resultará vulneradora del orden competencial cuando la normativa estatal comporte, más que el establecimiento de limitaciones específicas o puntuales de las actividades sectoriales, una regulación de mayor alcance, incluso aunque dicha regulación presente una finalidad de protección ambiental, pues, obvio es, los parques nacionales no constituyen territorios exentos de la aplicación de las antedichas competencias sectoriales de las Comunidades Autónomas. En estos casos, en suma, no estaremos ante normas básicas del medio ambiente, sino ante verdaderas normas encuadrables en la materia sectorial que en cada caso corresponda” (STC 101/2005, FJ 5).</w:t>
      </w:r>
    </w:p>
    <w:p w:rsidR="0026452D" w:rsidRDefault="0026452D" w:rsidP="0026452D">
      <w:pPr>
        <w:pStyle w:val="TextoNormal"/>
      </w:pPr>
    </w:p>
    <w:p w:rsidR="0026452D" w:rsidRDefault="0026452D" w:rsidP="0026452D">
      <w:pPr>
        <w:pStyle w:val="TextoNormal"/>
      </w:pPr>
      <w:r>
        <w:t>Respecto de los parques nacionales, hemos declarado repetidamente que “son una realidad singular, por muchas razones, de este tipo de espacios naturales dignos de protección ... que clava la más honda raíz en su carácter simbólico por tratarse de una realidad topográfica singular, a veces única, característica del conjunto, con lo que podría llamarse pluralidad ecológica, y signo distintivo en suma que identifica a un país”. Por ello, hemos afirmado que “la posibilidad … de su mera existencia reúne todos los rasgos de lo básico por su carácter selectivo y primario en la materia” de manera que no repugna “al orden constitucional de competencias que pueda corresponder al Estado, como titular de ese interés general de la Nación, la creación de tales parques” (por todas, SSTC 102/1995, de 26 de junio, FJ 21 y 194/2004, de 4 de noviembre, FJ 10).</w:t>
      </w:r>
    </w:p>
    <w:p w:rsidR="0026452D" w:rsidRDefault="0026452D" w:rsidP="0026452D">
      <w:pPr>
        <w:pStyle w:val="TextoNormal"/>
      </w:pPr>
    </w:p>
    <w:p w:rsidR="0026452D" w:rsidRDefault="0026452D" w:rsidP="0026452D">
      <w:pPr>
        <w:pStyle w:val="TextoNormal"/>
      </w:pPr>
      <w:r>
        <w:t xml:space="preserve">A su vez, “la idea de que un espacio natural reviste las características para ser considerado parque nacional “no se agota con tal declaración sino que conlleva el sometimiento a un régimen jurídico especial para una protección más intensa” (STC 102/1995, FJ 21). Ahora bien, esto no significa que la competencia del Estado para fijar las bases permita, “respecto de los parques nacionales … que le quede reservado a aquél la regulación del completo régimen jurídico relativo a esta figura de protección, pues, obvio es, ello desbordaría el reparto competencial en esta materia y no se atendría a nuestra reiterada doctrina </w:t>
      </w:r>
      <w:r>
        <w:lastRenderedPageBreak/>
        <w:t>sobre el alcance material de la normativa básica” (STC 331/2005, de 15 de diciembre, FJ 5).</w:t>
      </w:r>
    </w:p>
    <w:p w:rsidR="0026452D" w:rsidRDefault="0026452D" w:rsidP="0026452D">
      <w:pPr>
        <w:pStyle w:val="TextoNormal"/>
      </w:pPr>
    </w:p>
    <w:p w:rsidR="0026452D" w:rsidRDefault="0026452D" w:rsidP="0026452D">
      <w:pPr>
        <w:pStyle w:val="TextoNormal"/>
      </w:pPr>
      <w:r w:rsidRPr="0026452D">
        <w:rPr>
          <w:rStyle w:val="NumeroAFNegritaCaracter"/>
        </w:rPr>
        <w:t>12</w:t>
      </w:r>
      <w:r>
        <w:t>. Procede ahora enjuiciar el nuevo art. 13 bis a la Ley 5/2007 a la luz de la doctrina constitucional expuesta. La Comunidad Autónoma recurrente entiende que a ella le corresponde establecer las condiciones a que hace referencia el precepto discutido, al tener encomendada la gestión de los parques y con ello la potestad de autorizar. El nivel autonómico resultaría, por esta razón, el más idóneo para determinar dentro del plan rector de uso y gestión las condiciones sustantivas a las que habría de sujetarse la autorización. La regulación impugnada, al exceder del concepto de lo básico, vulneraría asimismo la competencia autonómica exclusiva sobre espacios naturales protegidos (art. 30.16 EACan).</w:t>
      </w:r>
    </w:p>
    <w:p w:rsidR="0026452D" w:rsidRDefault="0026452D" w:rsidP="0026452D">
      <w:pPr>
        <w:pStyle w:val="TextoNormal"/>
      </w:pPr>
    </w:p>
    <w:p w:rsidR="0026452D" w:rsidRDefault="0026452D" w:rsidP="0026452D">
      <w:pPr>
        <w:pStyle w:val="TextoNormal"/>
      </w:pPr>
      <w:r>
        <w:t>No puede darse la razón a la Comunidad Autónoma canaria. Para empezar, el nuevo art.13 bis de la Ley 5/2007 establece algunos condicionamientos que, en rigor, no son más que el mero recordatorio de principios que rigen, con carácter general, la actuación de todas las Administraciones públicas. Así ocurre con el deber de respetar los principios de publicidad, objetividad, imparcialidad y transparencia. A su vez, la aplicación del principio de concurrencia competitiva en determinados supuestos y la limitación de la duración de las autorizaciones y concesiones vienen a concretar la previsión general básica de la Ley 17/2009, de 23 de noviembre, sobre el libre acceso a las actividades de servicios y su ejercicio (arts. 6, 7 y 8). Por último, la exigencia de que los criterios en que se base la concesión o la autorización estén directamente vinculados a la protección del medio ambiente pone de manifiesto la finalidad proteccionista del precepto.</w:t>
      </w:r>
    </w:p>
    <w:p w:rsidR="0026452D" w:rsidRDefault="0026452D" w:rsidP="0026452D">
      <w:pPr>
        <w:pStyle w:val="TextoNormal"/>
      </w:pPr>
    </w:p>
    <w:p w:rsidR="0026452D" w:rsidRDefault="0026452D" w:rsidP="0026452D">
      <w:pPr>
        <w:pStyle w:val="TextoNormal"/>
      </w:pPr>
      <w:r>
        <w:t>Al igual que en la STC 101/2005, de 20 de abril, hemos de llegar aquí a la conclusión de que nos encontramos ante “una regulación sin duda básica, pues responde a los dos criterios esenciales, en el orden sustantivo, de las normas básicas: establecer la homogeneidad de tratamiento que garantice el máximo nivel de preservación en todos los parques nacionales y permitir que las Comunidades Autónomas desarrollen normativamente para cada zona las prescripciones básicas, pudiendo si así lo estimasen, y de acuerdo con nuestro canon de enjuiciamiento, incrementar los niveles de protección de las mismas” (FJ 10). Como poníamos de relieve también en aquella ocasión, “la finalidad protectora de la norma básica puede tener en esta materia una mayor intensidad, siempre que no se produzca, como es el caso, un vaciamiento absoluto de la norma autonómica” (FJ 10).</w:t>
      </w:r>
    </w:p>
    <w:p w:rsidR="0026452D" w:rsidRDefault="0026452D" w:rsidP="0026452D">
      <w:pPr>
        <w:pStyle w:val="TextoNormal"/>
      </w:pPr>
    </w:p>
    <w:p w:rsidR="0026452D" w:rsidRDefault="0026452D" w:rsidP="0026452D">
      <w:pPr>
        <w:pStyle w:val="TextoNormal"/>
      </w:pPr>
      <w:r>
        <w:t>Según los términos literales de la regulación legal controvertida, puede apreciarse que cada Comunidad Autónoma cuenta con un considerable margen de acción. En primer lugar, para determinar en el correspondiente instrumento de planificación y gestión las actividades de servicios que pueden realizarse en un parque nacional; también para establecer condiciones adicionales de protección en relación con los procedimientos de concesión y autorización de dichas actividades. Ningún obstáculo de orden constitucional existe para que las Comunidades Autónomas lleven a cabo tal regulación, siempre que al hacerlo sean respetuosas con la legislación básica estatal de protección medioambiental específica de estos espacios.</w:t>
      </w:r>
    </w:p>
    <w:p w:rsidR="0026452D" w:rsidRDefault="0026452D" w:rsidP="0026452D">
      <w:pPr>
        <w:pStyle w:val="TextoNormal"/>
      </w:pPr>
    </w:p>
    <w:p w:rsidR="0026452D" w:rsidRDefault="0026452D" w:rsidP="0026452D">
      <w:pPr>
        <w:pStyle w:val="TextoNormal"/>
      </w:pPr>
      <w:r>
        <w:t xml:space="preserve">En cuanto a la posible vulneración de lo dispuesto en el art. 30.16 EACan, baste recordar que “la atribución por el Estatuto de competencias exclusivas sobre una materia … no puede </w:t>
      </w:r>
      <w:r>
        <w:lastRenderedPageBreak/>
        <w:t>afectar a las competencias sobre materias o submaterias reservadas al Estado que se proyectarán, cuando corresponda, sobre las competencias exclusivas autonómicas con el alcance que les haya otorgado el legislador estatal con plena libertad de configuración, sin necesidad de que el Estatuto incluya cláusulas de salvaguarda de las competencias estatales (fundamentos jurídicos 59 y 64)” (STC 31/2010, de 28 de junio, FJ 65).</w:t>
      </w:r>
    </w:p>
    <w:p w:rsidR="0026452D" w:rsidRDefault="0026452D" w:rsidP="0026452D">
      <w:pPr>
        <w:pStyle w:val="TextoNormal"/>
      </w:pPr>
    </w:p>
    <w:p w:rsidR="0026452D" w:rsidRDefault="0026452D" w:rsidP="0026452D">
      <w:pPr>
        <w:pStyle w:val="TextoNormal"/>
      </w:pPr>
      <w:r>
        <w:t>Conforme a todo lo dicho, ha de concluirse que el art. 13 bis de la Ley 5/2007, de 3 de abril, de la red de parques nacionales, en su redacción dada por el art. 35 de la Ley 25/2009, de 22 de diciembre, de modificación de diversas leyes para su adaptación a la Ley sobre el libre acceso a las actividades de servicios y su ejercicio, es conforme al orden constitucional de distribución de competencias.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veintitrés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06" w:name="SENTENCIA_2013_103"/>
      <w:r>
        <w:lastRenderedPageBreak/>
        <w:t>SENTENCIA 103/2013, de 25 de abril de 2013</w:t>
      </w:r>
    </w:p>
    <w:bookmarkEnd w:id="106"/>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ECLI:ES:TC:2013:103</w:t>
      </w:r>
    </w:p>
    <w:p w:rsidR="0026452D" w:rsidRDefault="0026452D" w:rsidP="0026452D">
      <w:pPr>
        <w:pStyle w:val="SntesisDescriptiva"/>
      </w:pPr>
    </w:p>
    <w:p w:rsidR="0026452D" w:rsidRDefault="0026452D" w:rsidP="0026452D">
      <w:pPr>
        <w:pStyle w:val="SntesisDescriptiva"/>
      </w:pPr>
      <w:r>
        <w:t>Recurso de inconstitucionalidad 1523-2004. Interpuesto por el Parlamento de Cataluña en relación con diversos preceptos de la Ley 57/2003, de 16 de diciembre, de medidas para la modernización del Gobierno Local.</w:t>
      </w:r>
    </w:p>
    <w:p w:rsidR="0026452D" w:rsidRDefault="0026452D" w:rsidP="0026452D">
      <w:pPr>
        <w:pStyle w:val="SntesisDescriptiva"/>
      </w:pPr>
    </w:p>
    <w:p w:rsidR="0026452D" w:rsidRDefault="0026452D" w:rsidP="0026452D">
      <w:pPr>
        <w:pStyle w:val="SntesisAnaltica"/>
      </w:pPr>
      <w:r>
        <w:t>Competencias sobre régimen local; autonomía local: inconstitucionalidad del precepto legal que permite nombrar como miembros de la junta de gobierno local a personas distintas de los concejales, interpretación conforme del precepto que enumera los órganos municipales superiores y directivos. Voto particular.</w:t>
      </w:r>
    </w:p>
    <w:p w:rsidR="0026452D" w:rsidRDefault="0026452D" w:rsidP="0026452D">
      <w:pPr>
        <w:pStyle w:val="SntesisAnaltica"/>
      </w:pPr>
    </w:p>
    <w:p w:rsidR="0026452D" w:rsidRDefault="0026452D" w:rsidP="0026452D">
      <w:pPr>
        <w:pStyle w:val="Extracto"/>
      </w:pPr>
      <w:r>
        <w:t>1.</w:t>
      </w:r>
      <w:r>
        <w:tab/>
        <w:t xml:space="preserve">Se declara la inconstitucionalidad del precepto que reconoce al alcalde la facultad de nombrar como miembros de la Junta de Gobierno a personas que no ostenten la condición de concejales, ya que el principio democrático, que se plasma en los arts. 140 y 141.2 CE, otorga una especial legitimación democrática al gobierno municipal y atribuye al alcalde y concejales tanto el gobierno como la administración municipal, exigiendo que sean elegidos democráticamente como manifestación del derecho fundamental de participación en los asuntos públicos, </w:t>
      </w:r>
      <w:r w:rsidRPr="0026452D">
        <w:rPr>
          <w:i/>
        </w:rPr>
        <w:t>ex</w:t>
      </w:r>
      <w:r>
        <w:t xml:space="preserve"> art. 23 CE (SSTC 4/1981, 132/2012) [FJ 6].</w:t>
      </w:r>
    </w:p>
    <w:p w:rsidR="0026452D" w:rsidRDefault="0026452D" w:rsidP="0026452D">
      <w:pPr>
        <w:pStyle w:val="Extracto"/>
      </w:pPr>
    </w:p>
    <w:p w:rsidR="0026452D" w:rsidRDefault="0026452D" w:rsidP="0026452D">
      <w:pPr>
        <w:pStyle w:val="Extracto"/>
      </w:pPr>
      <w:r>
        <w:t>2.</w:t>
      </w:r>
      <w:r>
        <w:tab/>
        <w:t>Debemos rechazar la inconstitucionalidad de los preceptos que regulan las potestades que corresponden a las mancomunidades de municipios pues, dependiendo la determinación de esas potestades de la voluntad de los Ayuntamientos mancomunados, ni se ha vulnerado el contenido esencial de la autonomía municipal ni la competencia de la Comunidad Autónoma [FJ 5 a)].</w:t>
      </w:r>
    </w:p>
    <w:p w:rsidR="0026452D" w:rsidRDefault="0026452D" w:rsidP="0026452D">
      <w:pPr>
        <w:pStyle w:val="Extracto"/>
      </w:pPr>
    </w:p>
    <w:p w:rsidR="0026452D" w:rsidRDefault="0026452D" w:rsidP="0026452D">
      <w:pPr>
        <w:pStyle w:val="Extracto"/>
      </w:pPr>
      <w:r>
        <w:t>3.</w:t>
      </w:r>
      <w:r>
        <w:tab/>
        <w:t>Si bien las mancomunidades de municipios no son entidades locales constitucionalmente consagradas tampoco han sido configuradas por el legislador básico como entidades cuya existencia dependa de la voluntad de las Comunidades Autónomas, pues el art. 44.1 LBRL reconoce a los municipios el derecho a asociarse en su doble vertiente de libertad de creación de mancomunidades y libertad de no ser obligados a asociarse o a permanecer en ellas, en línea con lo establecido en la Carta europea de autonomía local  [FJ 5 a)].</w:t>
      </w:r>
    </w:p>
    <w:p w:rsidR="0026452D" w:rsidRDefault="0026452D" w:rsidP="0026452D">
      <w:pPr>
        <w:pStyle w:val="Extracto"/>
      </w:pPr>
    </w:p>
    <w:p w:rsidR="0026452D" w:rsidRDefault="0026452D" w:rsidP="0026452D">
      <w:pPr>
        <w:pStyle w:val="Extracto"/>
      </w:pPr>
      <w:r>
        <w:t>4.</w:t>
      </w:r>
      <w:r>
        <w:tab/>
        <w:t>La competencias estatal para establecer medidas destinadas a fomentar la fusión de municipios no limita la competencia autonómica para la alteración de términos municipales, siendo así que esta actividad de fomento está dirigida no solo a los municipios sino también a las Comunidades Autónomas que son quienes tienen la competencia para materializar estas alteraciones territoriales (STC 214/1989)  [FJ 5 b)].</w:t>
      </w:r>
    </w:p>
    <w:p w:rsidR="0026452D" w:rsidRDefault="0026452D" w:rsidP="0026452D">
      <w:pPr>
        <w:pStyle w:val="Extracto"/>
      </w:pPr>
    </w:p>
    <w:p w:rsidR="0026452D" w:rsidRDefault="0026452D" w:rsidP="0026452D">
      <w:pPr>
        <w:pStyle w:val="Extracto"/>
      </w:pPr>
      <w:r>
        <w:lastRenderedPageBreak/>
        <w:t>5.</w:t>
      </w:r>
      <w:r>
        <w:tab/>
        <w:t>La atribución a las Diputaciones provinciales de la competencia para la prestación de servicios de carácter supramunicipal no puede considerarse contraria a la garantía constitucional de la autonomía provincial, ni vulneradora del núcleo esencial de la autonomía del resto de los entes locales, cuyas competencias no se han visto modificadas (SSTC 214/1989, 109/1998)  [FJ 5 c)].</w:t>
      </w:r>
    </w:p>
    <w:p w:rsidR="0026452D" w:rsidRDefault="0026452D" w:rsidP="0026452D">
      <w:pPr>
        <w:pStyle w:val="Extracto"/>
      </w:pPr>
    </w:p>
    <w:p w:rsidR="0026452D" w:rsidRDefault="0026452D" w:rsidP="0026452D">
      <w:pPr>
        <w:pStyle w:val="Extracto"/>
      </w:pPr>
      <w:r>
        <w:t>6.</w:t>
      </w:r>
      <w:r>
        <w:tab/>
        <w:t>Debemos rechazar que la regulación de las especialidades de gestión de los servicios de competencia local mediante organismos autónomos locales y entidades públicas empresariales locales vulnere la autonomía local, ya que no impide a las entidades locales elegir, a la vista de las reglas de organización que el legislador establece para las entidades instrumentales locales, entre las formas de gestión directa o indirecta ni configurar el régimen de dichas entidades, dentro del marco legalmente establecido, mediante la aprobación de los estatutos [FJ 5 d)].</w:t>
      </w:r>
    </w:p>
    <w:p w:rsidR="0026452D" w:rsidRDefault="0026452D" w:rsidP="0026452D">
      <w:pPr>
        <w:pStyle w:val="Extracto"/>
      </w:pPr>
    </w:p>
    <w:p w:rsidR="0026452D" w:rsidRDefault="0026452D" w:rsidP="0026452D">
      <w:pPr>
        <w:pStyle w:val="Extracto"/>
      </w:pPr>
      <w:r>
        <w:t>7.</w:t>
      </w:r>
      <w:r>
        <w:tab/>
        <w:t>La existencia preceptiva y la regulación de la comisión especial de sugerencias y reclamaciones en los municipios de gran población responde a la competencia estatal para regular la composición, estructura y competencias de los órganos de las Administraciones públicas, resultando necesaria, dada su finalidad, una mayor intensidad de regulación para garantizar un tratamiento común de los administrados, sin que por ello se excluya la competencia del legislador autonómico para desarrollar la regulación básica (SSTC 32/1981, 50/1999) [FJ 5 f)].</w:t>
      </w:r>
    </w:p>
    <w:p w:rsidR="0026452D" w:rsidRDefault="0026452D" w:rsidP="0026452D">
      <w:pPr>
        <w:pStyle w:val="Extracto"/>
      </w:pPr>
    </w:p>
    <w:p w:rsidR="0026452D" w:rsidRDefault="0026452D" w:rsidP="0026452D">
      <w:pPr>
        <w:pStyle w:val="Extracto"/>
      </w:pPr>
      <w:r>
        <w:t>8.</w:t>
      </w:r>
      <w:r>
        <w:tab/>
        <w:t>La existencia preceptiva y la regulación del consejo social de la ciudad en los municipios de gran población sirve a la finalidad de garantizar un nivel común de participación de la sociedad en las grandes decisiones de la política urbana, sin que suponga una normativa pormenorizada que excluya, a priori, la posibilidad de desarrollo por parte del legislador autonómico [FJ 5 f)].</w:t>
      </w:r>
    </w:p>
    <w:p w:rsidR="0026452D" w:rsidRDefault="0026452D" w:rsidP="0026452D">
      <w:pPr>
        <w:pStyle w:val="Extracto"/>
      </w:pPr>
    </w:p>
    <w:p w:rsidR="0026452D" w:rsidRDefault="0026452D" w:rsidP="0026452D">
      <w:pPr>
        <w:pStyle w:val="Extracto"/>
      </w:pPr>
      <w:r>
        <w:t>9.</w:t>
      </w:r>
      <w:r>
        <w:tab/>
        <w:t>Dado el amplio margen de regulación que resta para la ordenación, por norma orgánica, de la composición, funciones y funcionamiento de la comisión especial de sugerencias y reclamaciones y del consejo social de la ciudad, no puede considerarse vulnerada la garantía institucional de la autonomía local [FJ 5 f), k)].</w:t>
      </w:r>
    </w:p>
    <w:p w:rsidR="0026452D" w:rsidRDefault="0026452D" w:rsidP="0026452D">
      <w:pPr>
        <w:pStyle w:val="Extracto"/>
      </w:pPr>
    </w:p>
    <w:p w:rsidR="0026452D" w:rsidRDefault="0026452D" w:rsidP="0026452D">
      <w:pPr>
        <w:pStyle w:val="Extracto"/>
      </w:pPr>
      <w:r>
        <w:t>10.</w:t>
      </w:r>
      <w:r>
        <w:tab/>
        <w:t>Debemos rechazar que la imposición obligatoria de una organización desconcentrada en los municipios de gran población, mediante la creación de divisiones territoriales, vulnere la garantía institucional de la autonomía local, pues dicha garantía no comprende una potestad de autoorganización ilimitada [FJ 5 g)].</w:t>
      </w:r>
    </w:p>
    <w:p w:rsidR="0026452D" w:rsidRDefault="0026452D" w:rsidP="0026452D">
      <w:pPr>
        <w:pStyle w:val="Extracto"/>
      </w:pPr>
    </w:p>
    <w:p w:rsidR="0026452D" w:rsidRDefault="0026452D" w:rsidP="0026452D">
      <w:pPr>
        <w:pStyle w:val="Extracto"/>
      </w:pPr>
      <w:r>
        <w:t>11.</w:t>
      </w:r>
      <w:r>
        <w:tab/>
        <w:t>En la medida en que la atribución a la Junta de Gobierno de la competencia para el nombramiento del titular del órgano responsable de la asistencia jurídica sirve para perfilar el modelo de autonomía municipal común que se considera imprescindible para garantizar una gestión adecuada de los intereses locales en los municipios de especial complejidad, debe descartarse que dicha atribución vulnere las competencias autonómicas de desarrollo legislativo de las bases estatales ni la garantía institucional de la autonomía local  [FJ 5 h)].</w:t>
      </w:r>
    </w:p>
    <w:p w:rsidR="0026452D" w:rsidRDefault="0026452D" w:rsidP="0026452D">
      <w:pPr>
        <w:pStyle w:val="Extracto"/>
      </w:pPr>
    </w:p>
    <w:p w:rsidR="0026452D" w:rsidRDefault="0026452D" w:rsidP="0026452D">
      <w:pPr>
        <w:pStyle w:val="Extracto"/>
      </w:pPr>
      <w:r>
        <w:t>12.</w:t>
      </w:r>
      <w:r>
        <w:tab/>
        <w:t xml:space="preserve">La existencia preceptiva de un órgano de apoyo técnico a la Junta de Gobierno reservado, además, a funcionarios de habilitación de carácter estatal, no afecta a </w:t>
      </w:r>
      <w:r>
        <w:lastRenderedPageBreak/>
        <w:t>al núcleo irreductible necesario para el autogobierno de los intereses municipales, sin que pueda considerarse vulnerada la autonomía local, ya que la competencia para autoorganización municipal no es ilimitada (STC 25/1983)  [FJ 5 i)].</w:t>
      </w:r>
    </w:p>
    <w:p w:rsidR="0026452D" w:rsidRDefault="0026452D" w:rsidP="0026452D">
      <w:pPr>
        <w:pStyle w:val="Extracto"/>
      </w:pPr>
    </w:p>
    <w:p w:rsidR="0026452D" w:rsidRDefault="0026452D" w:rsidP="0026452D">
      <w:pPr>
        <w:pStyle w:val="Extracto"/>
      </w:pPr>
      <w:r>
        <w:t>13.</w:t>
      </w:r>
      <w:r>
        <w:tab/>
        <w:t>El precepto impugnado admite una interpretación conforme pues, en la medida en que se limita a relacionar, dentro de los órganos directivos, los titulares de órganos que pertenecen a la organización básica de los municipios de gran población, no impide a las leyes autonómicas que completen, dentro de su competencia para regular la organización complementaria, este elenco de órganos directivos [FJ 5 j)].</w:t>
      </w:r>
    </w:p>
    <w:p w:rsidR="0026452D" w:rsidRDefault="0026452D" w:rsidP="0026452D">
      <w:pPr>
        <w:pStyle w:val="Extracto"/>
      </w:pPr>
    </w:p>
    <w:p w:rsidR="0026452D" w:rsidRDefault="0026452D" w:rsidP="0026452D">
      <w:pPr>
        <w:pStyle w:val="Extracto"/>
      </w:pPr>
      <w:r>
        <w:t>14.</w:t>
      </w:r>
      <w:r>
        <w:tab/>
        <w:t>La definición, mediante reglamento orgánico, de los niveles de la organización municipal en los municipios de gran población, que el legislador básico ha considerado esenciales para garantizar la eficacia de la Administración municipal, sirve a un objetivo de interés general y no elimina la competencia normativa de las Comunidades Autónomas, pues la atribución al alcalde de la facultad de crear órganos organizativos complementarios debe realizarse en el marco de lo establecido por la legislación autonómica de desarrollo [FJ 5 k)].</w:t>
      </w:r>
    </w:p>
    <w:p w:rsidR="0026452D" w:rsidRDefault="0026452D" w:rsidP="0026452D">
      <w:pPr>
        <w:pStyle w:val="Extracto"/>
      </w:pPr>
    </w:p>
    <w:p w:rsidR="0026452D" w:rsidRDefault="0026452D" w:rsidP="0026452D">
      <w:pPr>
        <w:pStyle w:val="Extracto"/>
      </w:pPr>
      <w:r>
        <w:t>15.</w:t>
      </w:r>
      <w:r>
        <w:tab/>
        <w:t>El precepto impugnado se limita a atribuir al reglamento orgánico la regulación del ejercicio de los derechos económicos y políticos de los concejales no adscritos, como manifestación de la potestad normativa inherente a la autonomía municipal, sin perjuicio de que el Pleno, en el ejercicio de su competencia normativa, deba necesariamente respetar lo establecido tanto en la legislación estatal como en la legislación autonómica de desarrollo [FJ 5 l)].</w:t>
      </w:r>
    </w:p>
    <w:p w:rsidR="0026452D" w:rsidRDefault="0026452D" w:rsidP="0026452D">
      <w:pPr>
        <w:pStyle w:val="Extracto"/>
      </w:pPr>
    </w:p>
    <w:p w:rsidR="0026452D" w:rsidRDefault="0026452D" w:rsidP="0026452D">
      <w:pPr>
        <w:pStyle w:val="Extracto"/>
      </w:pPr>
      <w:r>
        <w:t>16.</w:t>
      </w:r>
      <w:r>
        <w:tab/>
        <w:t xml:space="preserve">La competencia del Estado para dictar las bases del régimen jurídico de las Administraciones públicas, </w:t>
      </w:r>
      <w:r w:rsidRPr="0026452D">
        <w:rPr>
          <w:i/>
        </w:rPr>
        <w:t>ex</w:t>
      </w:r>
      <w:r>
        <w:t xml:space="preserve"> art. 149.1.18 CE, comprende la fijación de principios o criterios básicos en materia de organización y competencia de general aplicación en todo el Estado, lo que comprende los principios o bases, relativos a los aspectos institucionales —organizativos y funcionales— y a las competencias locales, pudiendo las Comunidades Autónomas legislar libremente en el respeto a esas condiciones básicas (SSTC 32/1981, 241/1989)  [FJ 4].</w:t>
      </w:r>
    </w:p>
    <w:p w:rsidR="0026452D" w:rsidRDefault="0026452D" w:rsidP="0026452D">
      <w:pPr>
        <w:pStyle w:val="Extracto"/>
      </w:pPr>
    </w:p>
    <w:p w:rsidR="0026452D" w:rsidRDefault="0026452D" w:rsidP="0026452D">
      <w:pPr>
        <w:pStyle w:val="Extracto"/>
      </w:pPr>
      <w:r>
        <w:t>17.</w:t>
      </w:r>
      <w:r>
        <w:tab/>
        <w:t>Las bases estatales tienen el doble cometido de, por una parte, concretar la autonomía local constitucionalmente garantizada para establecer el marco definitorio del autogobierno de los entes locales y, por otra, establecer los restantes aspectos del régimen jurídico básico de todos los entes locales que son, en definitiva, Administraciones públicas (STC 240/2006)  [FJ 4].</w:t>
      </w:r>
    </w:p>
    <w:p w:rsidR="0026452D" w:rsidRDefault="0026452D" w:rsidP="0026452D">
      <w:pPr>
        <w:pStyle w:val="Extracto"/>
      </w:pPr>
    </w:p>
    <w:p w:rsidR="0026452D" w:rsidRDefault="0026452D" w:rsidP="0026452D">
      <w:pPr>
        <w:pStyle w:val="Extracto"/>
      </w:pPr>
      <w:r>
        <w:t>18.</w:t>
      </w:r>
      <w:r>
        <w:tab/>
        <w:t xml:space="preserve">En principio ninguna objeción puede formularse a que el Estatuto de Autonomía de la Comunidad Autónoma, en tanto que su norma institucional básica, contenga las líneas fundamentales o la regulación esencial del régimen local en el ámbito territorial la Comunidad Autónoma, debiendo respetar en todo caso la competencia básica que al Estado corresponde </w:t>
      </w:r>
      <w:r w:rsidRPr="0026452D">
        <w:rPr>
          <w:i/>
        </w:rPr>
        <w:t>ex</w:t>
      </w:r>
      <w:r>
        <w:t xml:space="preserve"> art. 149.1.18 CE, por cuanto la expresión ‘bases del régimen jurídico de las Administraciones públicas’ engloba a las Administraciones locales (STC 214/1989)  [FJ 4].</w:t>
      </w:r>
    </w:p>
    <w:p w:rsidR="0026452D" w:rsidRDefault="0026452D" w:rsidP="0026452D">
      <w:pPr>
        <w:pStyle w:val="Extracto"/>
      </w:pPr>
    </w:p>
    <w:p w:rsidR="0026452D" w:rsidRDefault="0026452D" w:rsidP="0026452D">
      <w:pPr>
        <w:pStyle w:val="Extracto"/>
      </w:pPr>
      <w:r>
        <w:lastRenderedPageBreak/>
        <w:t>19.</w:t>
      </w:r>
      <w:r>
        <w:tab/>
        <w:t>Doctrina sobre garantía institucional de la autonomía local (SSTC 32/1981, 240/2006)  [FFJJ 5 a) y g), 6]</w:t>
      </w:r>
    </w:p>
    <w:p w:rsidR="0026452D" w:rsidRDefault="0026452D" w:rsidP="0026452D">
      <w:pPr>
        <w:pStyle w:val="Extracto"/>
      </w:pPr>
    </w:p>
    <w:p w:rsidR="0026452D" w:rsidRDefault="0026452D" w:rsidP="0026452D">
      <w:pPr>
        <w:pStyle w:val="Extracto"/>
      </w:pPr>
      <w:r>
        <w:t>20.</w:t>
      </w:r>
      <w:r>
        <w:tab/>
        <w:t>Doctrina sobre el alcance de las competencias estatales y autonómicas en materia de organización local (SSTC 32/1981, 50/1999) [FJ 5 e)].</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1523-2004 interpuesto por el Parlamento de Cataluña contra la disposición final primera de la Ley 57/2003, de 16 de diciembre, de medidas para la modernización del gobierno local, en la medida en que declara básicos los artículos 4.3, párrafo segundo y por conexión 4.2, último inciso; 13.3; 20.1 d); 36.1 c), 73.3 y por conexión 20.1 c) y 122.3; 85 bis.1 y 2; 123.1 c); 126.4; 128; 129.2, inciso primero; 130.1 B); 131 y 132; contra el artículo 126.2, párrafo segundo, inciso primero, y 126.5, primer inciso, todos ellos de la Ley 7/1985, de 2 de abril, reguladora de las bases de régimen local en la redacción dada a la misma por el artículo primero de la 57/2003, de 16 de diciembre. Ha formulado alegaciones el Abogado del Estado. Ha sido Ponente la Magistrada doña Encarnación Roca Trías,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10 de marzo de 2004, el Letrado del Parlamento de Cataluña, en la representación que ostenta, interpuso recurso de inconstitucionalidad contra la disposición final primera de la Ley 57/2003, de 16 de diciembre, de medidas para la modernización del gobierno local, en la medida en que declara básicos los artículos 4.3, párrafo segundo y por conexión 4.2 último inciso; 13.3; 20.1 d); 36.1 c), 73.3 y por conexión 20.1 c) y 122.3; 85 bis 1 y 2; 123.1 c); 126.4; 128; 129.2 inciso primero; 130.1 B); 131 y 132; contra el artículo 126.2, párrafo segundo, inciso primero, y 126.5 primer inciso, todos ellos de la Ley 7/1985, de 2 de abril, reguladora de las bases de régimen local (en adelante LBRL), en la redacción dada a la misma por el artículo primero de la Ley 57/2003.</w:t>
      </w:r>
    </w:p>
    <w:p w:rsidR="0026452D" w:rsidRDefault="0026452D" w:rsidP="0026452D">
      <w:pPr>
        <w:pStyle w:val="TextoNormal"/>
      </w:pPr>
    </w:p>
    <w:p w:rsidR="0026452D" w:rsidRDefault="0026452D" w:rsidP="0026452D">
      <w:pPr>
        <w:pStyle w:val="TextoNormal"/>
      </w:pPr>
      <w:r>
        <w:t xml:space="preserve">Comienza la demanda exponiendo de forma general los dos parámetros a partir de los cuales debe analizarse la constitucionalidad de los preceptos impugnados. En concreto, se </w:t>
      </w:r>
      <w:r>
        <w:lastRenderedPageBreak/>
        <w:t>refiere a la garantía constitucional de la autonomía local y a los títulos competenciales que asisten al Estado y a la Comunidad Autónoma en la materia. En cuanto al primero, el Letrado del Parlamento subraya la importancia de la organización territorial y del elemento organizativo como elemento constitutivo de la autonomía de Cataluña y expone las líneas maestras de la doctrina constitucional sobre la garantía institucional de la autonomía local, conforme a lo señalado por el Consejo consultivo de la Generalitat de Cataluña.</w:t>
      </w:r>
    </w:p>
    <w:p w:rsidR="0026452D" w:rsidRDefault="0026452D" w:rsidP="0026452D">
      <w:pPr>
        <w:pStyle w:val="TextoNormal"/>
      </w:pPr>
    </w:p>
    <w:p w:rsidR="0026452D" w:rsidRDefault="0026452D" w:rsidP="0026452D">
      <w:pPr>
        <w:pStyle w:val="TextoNormal"/>
      </w:pPr>
      <w:r>
        <w:t xml:space="preserve">Con relación al segundo aspecto reseñado, tras recordar la competencia exclusiva que ostenta la Generalitat sobre régimen local (art. 9.8 del Estatuto de Autonomía de Cataluña) se refiere a la competencia del Estado </w:t>
      </w:r>
      <w:r w:rsidRPr="0026452D">
        <w:rPr>
          <w:i/>
        </w:rPr>
        <w:t>ex</w:t>
      </w:r>
      <w:r>
        <w:t xml:space="preserve"> art. 149.1.18 CE para establecer las bases del régimen jurídico de las Administraciones públicas, negando que la garantía constitucional de la autonomía local sea un título atributivo de competencias al Estado para regular los aspectos destinados a garantizar la autonomía local. Partiendo de la competencia estatal para dictar la legislación básica en materia de régimen local, y una vez sintetizada la doctrina del Tribunal Constitucional en materia de legislación básica con especial alusión a la recaída en materia de régimen local, considera el Letrado del Parlamento que la configuración que hace el legislador estatal, amén de comportar una uniformización del régimen local en aspectos no básicos, resulta inconstitucional por ignorar la autonomía local. Expuesto lo anterior, la demanda pasa a desgranar los argumentos en los que basa la inconstitucionalidad de los preceptos impugnados, en concreto, la disposición final primera, el art. 126.2, párrafo segundo, inciso primero y el art. 126.5, primer inciso.</w:t>
      </w:r>
    </w:p>
    <w:p w:rsidR="0026452D" w:rsidRDefault="0026452D" w:rsidP="0026452D">
      <w:pPr>
        <w:pStyle w:val="TextoNormal"/>
      </w:pPr>
    </w:p>
    <w:p w:rsidR="0026452D" w:rsidRDefault="0026452D" w:rsidP="0026452D">
      <w:pPr>
        <w:pStyle w:val="TextoNormal"/>
      </w:pPr>
      <w:r>
        <w:t>La impugnación de la disposición final primera se fundamenta en que se han declarado básicos determinados preceptos que no pueden tener tal carácter. En relación al primero de ellos, el art. 4.3 LBRL, considera el Letrado del Parlamento que al establecer que, en defecto de previsión estatutaria, corresponderán a las mancomunidades todas las potestades enumeradas en el apartado 1 del artículo 4 siempre y cuando sean necesarias para el cumplimiento de su finalidad y de acuerdo con la legislación aplicable, vulnera la autonomía local por establecer una norma supletoria que entra en vigor automáticamente si no se especifica en los estatutos qué potestades asume la mancomunidad. Pero, además, vulnera las competencias autonómicas en materia de régimen local, ya que condiciona la asunción de las potestades del apartado primero del art. 4 a una circunstancia indeterminada que corresponde supervisar al Estado, invocando en su apoyo la STC 214/1989, de 21 de diciembre, de la que deriva que el Estado no puede atribuir competencias a las entidades locales del art. 3.2 LBRL, y por esta misma razón no estaría habilitado para determinar el contenido mínimo que deben tener los Estatutos de las mancomunidades de municipios. Por conexión también resulta inconstitucional, en opinión del Letrado del Parlamento, el último inciso del art. 4.2.</w:t>
      </w:r>
    </w:p>
    <w:p w:rsidR="0026452D" w:rsidRDefault="0026452D" w:rsidP="0026452D">
      <w:pPr>
        <w:pStyle w:val="TextoNormal"/>
      </w:pPr>
    </w:p>
    <w:p w:rsidR="0026452D" w:rsidRDefault="0026452D" w:rsidP="0026452D">
      <w:pPr>
        <w:pStyle w:val="TextoNormal"/>
      </w:pPr>
      <w:r>
        <w:t xml:space="preserve">Sobre la inconstitucionalidad invocada del art. 13.3 LBRL, argumenta el Letrado del Parlamento, en primer lugar, que carece de congruencia dogmática y lógica que la administración estatal fomente una determinada actuación a llevar a cabo por las administraciones locales —fomento de la fusión de municipios— y que debe ser aprobada por la Generalitat de Cataluña, que es la titular de la competencia para la alteración de los términos municipales. Considera, en segundo lugar, que el hecho de que tanto las Comunidades Autónomas como los municipios sean destinatarios de la actividad de fomento que consagra este precepto no permite desconocer una competencia exclusiva de la Comunidad Autónoma. Por último, señala, la competencia estatal para fijar la regulación básica de la estructura de los </w:t>
      </w:r>
      <w:r>
        <w:lastRenderedPageBreak/>
        <w:t>entes locales y los criterios básicos a los que deben someterse las Comunidades Autónomas no alcanza a la fusión de municipios, competencia exclusiva de la Comunidad Autónoma.</w:t>
      </w:r>
    </w:p>
    <w:p w:rsidR="0026452D" w:rsidRDefault="0026452D" w:rsidP="0026452D">
      <w:pPr>
        <w:pStyle w:val="TextoNormal"/>
      </w:pPr>
    </w:p>
    <w:p w:rsidR="0026452D" w:rsidRDefault="0026452D" w:rsidP="0026452D">
      <w:pPr>
        <w:pStyle w:val="TextoNormal"/>
      </w:pPr>
      <w:r>
        <w:t>La creación por el art. 20.1 d) LBRL de la comisión especial de sugerencias y reclamaciones como órgano necesario de los municipios de gran población reduce en exceso, según argumenta el Letrado del Parlamento, la competencia autonómica para aprobar la normativa de desarrollo de la estructura básica de los órganos locales y condiciona la potestad de auto organización de los entes locales, que podrían optar por una amplia diversidad de fórmulas permitiendo, en su lugar, la figura del síndico o defensor del ciudadano como lo han contemplado muchas Comunidades Autónomas en sus legislaciones. En definitiva, el Estado debía haberse limitado a garantizar que en todos los entes locales debe existir un procedimiento u oficina para hacer llegar las sugerencias y reclamaciones. Por estas mismas razones se predica también la inconstitucionalidad del artículo 132 LBRL. El artículo 36.1 c) LBRL constituye una innovación sustancial del régimen de las Diputaciones al atribuirles la competencia para la prestación de servicios de carácter supramunicipal, competencia que tiene carácter ejecutivo y no de mera cooperación económica para la realización de obras y servicios municipales, y que se deja en manos de las Diputaciones sin intervención e incluso sin consentimiento de los municipios afectados. Considera el Letrado del Parlamento que una expansión de las competencias de las Diputaciones en los términos señalados las sitúa en una posición de dominio sobre el resto de entes locales que verían reducida su autonomía por una institución configurada para darles apoyo lo cual no tiene cabida en la garantía institucional de la autonomía del ente provincial y por ello el precepto es inconstitucional. A la misma conclusión se llegaría a partir de la competencia de Cataluña en materia de régimen local, de la que deriva la necesaria intervención de la institución autonómica, cuyas formas pueden ser muy diversas, en la configuración del ámbito de actividad propia de las entidades locales, por lo que la atribución de competencias a las Diputaciones, concluye la demanda, comporta una limitación de la autonomía de Cataluña.</w:t>
      </w:r>
    </w:p>
    <w:p w:rsidR="0026452D" w:rsidRDefault="0026452D" w:rsidP="0026452D">
      <w:pPr>
        <w:pStyle w:val="TextoNormal"/>
      </w:pPr>
    </w:p>
    <w:p w:rsidR="0026452D" w:rsidRDefault="0026452D" w:rsidP="0026452D">
      <w:pPr>
        <w:pStyle w:val="TextoNormal"/>
      </w:pPr>
      <w:r>
        <w:t>El artículo 73.3 LBRL crea la figura del concejal no adscrito siendo así que esta nueva regulación es inconstitucional ya que establece que los derechos económicos y políticos de los concejales no adscritos se ejercerá en la forma que determine el reglamento orgánico de cada corporación desconociendo la capacidad normativa de la Generalidad para regular los aspectos no básicos del régimen estatutario de los electos locales, debiéndose extender la inconstitucionalidad al resto del precepto y, por conexión, a los artículos 20.1 c) y 122.3.</w:t>
      </w:r>
    </w:p>
    <w:p w:rsidR="0026452D" w:rsidRDefault="0026452D" w:rsidP="0026452D">
      <w:pPr>
        <w:pStyle w:val="TextoNormal"/>
      </w:pPr>
    </w:p>
    <w:p w:rsidR="0026452D" w:rsidRDefault="0026452D" w:rsidP="0026452D">
      <w:pPr>
        <w:pStyle w:val="TextoNormal"/>
      </w:pPr>
      <w:r>
        <w:t xml:space="preserve">El artículo 85 bis LBRL contiene una nueva regulación de las formas de gestión de los servicios públicos locales. Considera la representación letrada que la autonomía local comprende la facultad de elegir la forma en que han de prestarse los servicios públicos, pues la satisfacción de las necesidades de la comunidad vecinal está vinculada a su razón esencial de ser, siendo determinante la opinión de los usuarios en la elección de la forma concreta de prestación de los servicios públicos, tal y como se ha recogido en la legislación catalana. Por otra parte, la legislación puede establecer un abanico de formas directas e indirectas, pero debe permitir, al legislador autonómico configurar los elementos no básicos de cada una de las diversas modalidades. Por ello, si bien tendría cabida en el concepto de bases que las formas de gestión de los servicios locales sean las establecidas en la Ley 6/1997, de 14 de abril, de organización y funcionamiento de la Administración General del Estado, y el Real Decreto legislativo 2/2000, de 16 de junio, por el que se aprueba el texto refundido de la Ley de contratos de las Administraciones públicas, el hecho de que se fijen con tanto </w:t>
      </w:r>
      <w:r>
        <w:lastRenderedPageBreak/>
        <w:t>detalle las especialidades relativas al ámbito local y el contenido de los estatutos de los organismos autónomos y entidades públicas empresariales, no deja margen para el desarrollo legislativo autonómico. Por ambos motivos deben reputarse contrarios al orden constitucional y estatutario de distribución de competencias y a la autonomía local el art. 85 bis.1, primer párrafo a partir de “con las siguientes especialidades” hasta el final del apartado 1 y el artículo 85 bis.2 LBRL.</w:t>
      </w:r>
    </w:p>
    <w:p w:rsidR="0026452D" w:rsidRDefault="0026452D" w:rsidP="0026452D">
      <w:pPr>
        <w:pStyle w:val="TextoNormal"/>
      </w:pPr>
    </w:p>
    <w:p w:rsidR="0026452D" w:rsidRDefault="0026452D" w:rsidP="0026452D">
      <w:pPr>
        <w:pStyle w:val="TextoNormal"/>
      </w:pPr>
      <w:r>
        <w:t>Continúa la demanda refiriéndose al art. 123.1 c) LBRL para explicar que, si bien debe considerarse norma básica aquella que atribuye al Pleno la aprobación de los reglamentos orgánicos y especifica las materias que deben contener, no debe serlo la fijación de cuántos deben ser estos reglamentos ni la obligatoriedad de que haya uno para cada uno de los órganos respecto de los cuales se exigen. En cuanto que el consejo social de la ciudad y la comisión especial de sugerencias y reclamaciones no pueden ser órganos preceptivos por vulnerar la autonomía local, también resultaría inconstitucional que la regulación deba realizarse obligatoriamente por un reglamento específico. Por otra parte, aun cuando la previsión según la cual, el reglamento orgánico debe regular los niveles esenciales de la organización municipal sin perjuicio de la competencia del Alcalde para determinar su número y establecer los niveles complementarios inferiores, cumpliría los requisitos materiales para ser básica, la enumeración de los niveles esenciales en los términos formulados en el inciso que se inicia con partir de “entendiendo por tales” hasta” órganos similares que culminan la organización administrativa” excede lo que debe considerarse básico.</w:t>
      </w:r>
    </w:p>
    <w:p w:rsidR="0026452D" w:rsidRDefault="0026452D" w:rsidP="0026452D">
      <w:pPr>
        <w:pStyle w:val="TextoNormal"/>
      </w:pPr>
    </w:p>
    <w:p w:rsidR="0026452D" w:rsidRDefault="0026452D" w:rsidP="0026452D">
      <w:pPr>
        <w:pStyle w:val="TextoNormal"/>
      </w:pPr>
      <w:r>
        <w:t>Considera el Letrado del Parlamento que vulnera la autonomía local el art. 128 LBRL al imponer a los Ayuntamientos la creación de distritos y no establecerlos como opción voluntaria, y también el art. 129.2, primer inciso, LBRL al regular el nombramiento y cese del órgano administrativo de asistencia jurídica al Alcalde. Con respecto a este último, entiende que la atribución de la competencia a la Junta de Gobierno local, para su cese y nombramiento, invade a la vez la capacidad legislativa autonómica que debería regular este extremo. Finalmente, para concluir con la inconstitucionalidad de la disposición final primera, la representación letrada del Parlamento catalán hace referencia a los artículos 130.1 B) y 131 LBRL. El primero de ellos realiza una regulación en exceso minuciosa de cuáles deben ser los órganos directivos de la administración municipal, por lo que vulnera la potestad de auto organización y la competencia legislativa autonómica. Las mismas razones que las manifestadas al analizar el artículo 123.1 c) LBRL fundamentan la inconstitucionalidad de los artículos 131 y 132 LBRL en cuanto prevén la creación obligatoria de un consejo social de la ciudad, y de la comisión especial de sugerencias y reclamaciones.</w:t>
      </w:r>
    </w:p>
    <w:p w:rsidR="0026452D" w:rsidRDefault="0026452D" w:rsidP="0026452D">
      <w:pPr>
        <w:pStyle w:val="TextoNormal"/>
      </w:pPr>
    </w:p>
    <w:p w:rsidR="0026452D" w:rsidRDefault="0026452D" w:rsidP="0026452D">
      <w:pPr>
        <w:pStyle w:val="TextoNormal"/>
      </w:pPr>
      <w:r>
        <w:t>Además de la disposición final primera, el Letrado del Parlamento impugna el segundo párrafo del artículo 126.2 LBRL, conforme al cual el Alcalde puede nombrar como miembros de la Junta de Gobierno a personas que no tengan la condición de concejal hasta un máximo de un tercio de sus miembros. En su opinión, el art. 140 CE encomienda el gobierno y la administración de los municipios al alcalde y concejales. La incorporación de miembros no electos a la Junta de Gobierno vulneraría el artículo 140 CE, que impide otorgar a personas no electas la participación en la formación de voluntad del órgano de gobierno municipal.</w:t>
      </w:r>
    </w:p>
    <w:p w:rsidR="0026452D" w:rsidRDefault="0026452D" w:rsidP="0026452D">
      <w:pPr>
        <w:pStyle w:val="TextoNormal"/>
      </w:pPr>
    </w:p>
    <w:p w:rsidR="0026452D" w:rsidRDefault="0026452D" w:rsidP="0026452D">
      <w:pPr>
        <w:pStyle w:val="TextoNormal"/>
      </w:pPr>
      <w:r>
        <w:lastRenderedPageBreak/>
        <w:t>Finalmente, se impugna el primer inciso del art. 126.5 LBRL que, al imponer la obligación de que las reuniones del Pleno sean secretas, infringe el principio democrático del artículo 1.1 CE, el principio de seguridad jurídica (art. 9.3 CE) y el derecho a participar en los asuntos públicos mediante representantes.</w:t>
      </w:r>
    </w:p>
    <w:p w:rsidR="0026452D" w:rsidRDefault="0026452D" w:rsidP="0026452D">
      <w:pPr>
        <w:pStyle w:val="TextoNormal"/>
      </w:pPr>
    </w:p>
    <w:p w:rsidR="0026452D" w:rsidRDefault="0026452D" w:rsidP="0026452D">
      <w:pPr>
        <w:pStyle w:val="TextoNormal"/>
      </w:pPr>
      <w:r>
        <w:t>En razón de lo expuesto, el Letrado del Parlamento de Cataluña concluye solicitando que se declare la inconstitucionalidad de la disposición final primera de la Ley 57/2003, por relación a los preceptos señalados en el encabezamiento, y de los artículos 126.2, párrafo segundo, inciso primero y del primer inciso del artículo 126.5 LBRL.</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13 de abril de 2004, el Tribunal Constitucional acordó admitir a trámite el recurso de inconstitucionalidad promovido por el Parlamento de Cataluña contra los preceptos mencionados en el encabezamiento de esta Sentencia, dar traslado de la demanda y documentos presentados, en cumplimiento del artículo 34 de la Ley Orgánica del Tribunal Constitucional (LOTC), al Congreso de los Diputados, al Senado y al Gobierno al objeto de que puedan personarse y formular alegaciones y, finalmente, ordenar la publicación de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El 28 de abril de 2004, tuvo entrada en este Tribunal un escrito del Presidente del Senado en representación de este último por el que se persona en el procedimiento y ofrece su colaboración a los efectos del artículo 88.1 LOTC, y el día 30 del mismo mes y año, se registra en el Tribunal escrito del Presidente del Congreso, comunicando que el Congreso de los Diputados no se personará en el proceso aunque se pone a disposición del Tribunal a los efectos oportunos.</w:t>
      </w:r>
    </w:p>
    <w:p w:rsidR="0026452D" w:rsidRDefault="0026452D" w:rsidP="0026452D">
      <w:pPr>
        <w:pStyle w:val="TextoNormal"/>
      </w:pPr>
    </w:p>
    <w:p w:rsidR="0026452D" w:rsidRDefault="0026452D" w:rsidP="0026452D">
      <w:pPr>
        <w:pStyle w:val="TextoNormal"/>
      </w:pPr>
      <w:r w:rsidRPr="0026452D">
        <w:rPr>
          <w:rStyle w:val="NumeroAFNegritaCaracter"/>
        </w:rPr>
        <w:t>4</w:t>
      </w:r>
      <w:r>
        <w:t>. Por escrito que tuvo entrada en el Tribunal Constitucional el 7 de mayo de 2004, el Abogado del Estado, actuando en la representación que ostenta, presenta sus alegaciones que se resumen sucintamente a continuación.</w:t>
      </w:r>
    </w:p>
    <w:p w:rsidR="0026452D" w:rsidRDefault="0026452D" w:rsidP="0026452D">
      <w:pPr>
        <w:pStyle w:val="TextoNormal"/>
      </w:pPr>
    </w:p>
    <w:p w:rsidR="0026452D" w:rsidRDefault="0026452D" w:rsidP="0026452D">
      <w:pPr>
        <w:pStyle w:val="TextoNormal"/>
      </w:pPr>
      <w:r>
        <w:t>Comienza la Abogacía del Estado recordando los aspectos esenciales de la garantía constitucional y su relación con el art. 149.1.18 CE (SSTC 32/1981, 84/1982, 214/1989 y 159/2001), título competencial que permite al Estado establecer los elementos esenciales que garanticen un régimen jurídico unitario aplicable a todas las administraciones locales, con menor intensidad en lo que se refiere al funcionamiento y organización de sus órganos, y mayor en aquellas cuestiones que inciden más directamente en su actividad externa. No obstante, la finalidad de garantizar a los administrados un tratamiento común ante todas las administraciones locales conlleva que las bases establecidas por el Estado en materia de organización y funcionamiento, puedan acentuarse cuando inciden sobre el propósito mencionado, sin olvidar el carácter básico de la calificación como funciones necesarias, de las de secretaría y control y fiscalización interna de la gestión económico-financiera y presupuestaria, la contabilidad y tesorería que se reservan a funcionarios con habilitación de carácter nacional.</w:t>
      </w:r>
    </w:p>
    <w:p w:rsidR="0026452D" w:rsidRDefault="0026452D" w:rsidP="0026452D">
      <w:pPr>
        <w:pStyle w:val="TextoNormal"/>
      </w:pPr>
    </w:p>
    <w:p w:rsidR="0026452D" w:rsidRDefault="0026452D" w:rsidP="0026452D">
      <w:pPr>
        <w:pStyle w:val="TextoNormal"/>
      </w:pPr>
      <w:r>
        <w:t xml:space="preserve">Respecto a los preceptos legales impugnados, en relación a los apartados 2 y 3 del art. 4 LBRL, señala la Abogacía del Estado que en las Mancomunidades, dado su origen convencional de abajo a arriba, las potestades de que disfruten serán las que, en virtud de su autonomía, incluyan los municipios constituyentes en los estatutos. El Tribunal Constitucional </w:t>
      </w:r>
      <w:r>
        <w:lastRenderedPageBreak/>
        <w:t>ha declarado que la supresión de la potestad de aprobación por los órganos autonómicos de los estatutos de las mancomunidades es una de las fórmulas constitucionalmente posibles pues el legislador estatal puede válidamente optar por ampliar el alcance de la autonomía municipal, sin que ello pueda considerarse un exceso competencial. Sobre el artículo 13.3 LBRL se remite el Abogado del Estado a la STC 214/1989 que declaró la constitucionalidad del mencionado artículo. En relación con el art. 20.1 d) LBRL las alegaciones recuerdan cómo el carácter básico de la regulación relativa a la organización se acentúa cuando afecta a las relaciones de las entidades locales con los administrados, requisito que concurre en el caso de la comisión especial de sugerencias y reclamaciones.</w:t>
      </w:r>
    </w:p>
    <w:p w:rsidR="0026452D" w:rsidRDefault="0026452D" w:rsidP="0026452D">
      <w:pPr>
        <w:pStyle w:val="TextoNormal"/>
      </w:pPr>
    </w:p>
    <w:p w:rsidR="0026452D" w:rsidRDefault="0026452D" w:rsidP="0026452D">
      <w:pPr>
        <w:pStyle w:val="TextoNormal"/>
      </w:pPr>
      <w:r>
        <w:t>Continúan las alegaciones con el análisis del artículo 36.1 c) LBRL. Se considera que el derecho a la autonomía local de las Diputaciones provinciales impide que la regulación de sus competencias sea dejada a la interpretación de cada Comunidad Autónoma aunque el Estado deba permitir opciones diversas. No se puede considerar que exista una vulneración estatutaria, porque, el haber establecido una competencia como integrante de la autonomía provincial constitucionalmente garantizada, no impide que cada Comunidad Autónoma desarrolle su modelo de gestión provincial.</w:t>
      </w:r>
    </w:p>
    <w:p w:rsidR="0026452D" w:rsidRDefault="0026452D" w:rsidP="0026452D">
      <w:pPr>
        <w:pStyle w:val="TextoNormal"/>
      </w:pPr>
    </w:p>
    <w:p w:rsidR="0026452D" w:rsidRDefault="0026452D" w:rsidP="0026452D">
      <w:pPr>
        <w:pStyle w:val="TextoNormal"/>
      </w:pPr>
      <w:r>
        <w:t>En cuanto a la regulación de los denominados concejales tránsfugas contenida en el art. 73.3 LBRL, reconoce la Abogacía del Estado no entender las razones de inconstitucionalidad invocadas, pues el precepto garantiza al concejal no adscrito las condiciones económicas en igualdad con los demás concejales adscritos pero, a la vez, impide que razones de enriquecimiento económico puedan fomentar este tipo de actividad. El Estado puede regular cómo es ejercitado el derecho reconocido en el art. 23.2 CE en el ámbito de la administración local en las condiciones ya establecidas por la doctrina constitucional, sin que pueda tomarse en cuenta que Cataluña hubiera legislado la cuestión con anterioridad, legislación autonómica que queda plenamente encuadrada en la nueva base. Sobre el art. 85 LBRL entiende el Estado que ninguno de los requisitos exigidos por la norma básica es desproporcionado en relación con la imagen que se tiene de un organismo autónomo o de una entidad pública empresarial, sin que se impida el desarrollo de las bases por las Comunidades Autónomas, respetándose las potestades de autoorganización local.</w:t>
      </w:r>
    </w:p>
    <w:p w:rsidR="0026452D" w:rsidRDefault="0026452D" w:rsidP="0026452D">
      <w:pPr>
        <w:pStyle w:val="TextoNormal"/>
      </w:pPr>
    </w:p>
    <w:p w:rsidR="0026452D" w:rsidRDefault="0026452D" w:rsidP="0026452D">
      <w:pPr>
        <w:pStyle w:val="TextoNormal"/>
      </w:pPr>
      <w:r>
        <w:t xml:space="preserve">Continúa sus alegaciones con el art. 123.1 c) LBRL, remarcando que parece razonable y adecuado a los principios constitucionales exigir que la fuente productiva de los reglamentos orgánicos sea el Pleno, tanto más cuanto todos ellos tienen en mayor o menor medida eficacia </w:t>
      </w:r>
      <w:r w:rsidRPr="0026452D">
        <w:rPr>
          <w:i/>
        </w:rPr>
        <w:t>ad extra</w:t>
      </w:r>
      <w:r>
        <w:t xml:space="preserve"> por estar referidos a órganos administrativos que se relacionan con los administrados.</w:t>
      </w:r>
    </w:p>
    <w:p w:rsidR="0026452D" w:rsidRDefault="0026452D" w:rsidP="0026452D">
      <w:pPr>
        <w:pStyle w:val="TextoNormal"/>
      </w:pPr>
    </w:p>
    <w:p w:rsidR="0026452D" w:rsidRDefault="0026452D" w:rsidP="0026452D">
      <w:pPr>
        <w:pStyle w:val="TextoNormal"/>
      </w:pPr>
      <w:r>
        <w:t>En lo que se refiere al art. 128 LBRL recuerda que el Estado puede establecer las directrices concretas que estén ligadas a los principios de descentralización y máxima proximidad de la gestión a los ciudadanos, finalidad a la que sirve la creación de distritos con los que se pretende una gestión desconcentrada para impulsar la participación ciudadana en los asuntos municipales, siendo así que su regulación atribuciones y recursos corresponde aprobarlos al Pleno sin más condición básica que la presidencia del distrito corresponda a un concejal. De la misma forma, la existencia obligatoria, contemplada en el art. 129 LBRL, de un órgano responsable de la asistencia jurídica viene respaldada por el art. 103.1 CE, sin que ello lesione la autonomía local pues corresponde a la Junta de Gobierno designar al responsable y por tanto es dueña del proceso de selección.</w:t>
      </w:r>
    </w:p>
    <w:p w:rsidR="0026452D" w:rsidRDefault="0026452D" w:rsidP="0026452D">
      <w:pPr>
        <w:pStyle w:val="TextoNormal"/>
      </w:pPr>
    </w:p>
    <w:p w:rsidR="0026452D" w:rsidRDefault="0026452D" w:rsidP="0026452D">
      <w:pPr>
        <w:pStyle w:val="TextoNormal"/>
      </w:pPr>
      <w:r>
        <w:t>En cuanto al artículo 130.1 b) LBRL entiende la Abogacía del Estado que la consideración de cuáles son los órganos directivos con exigencia para su desempeño de la condición de funcionario de carrera y la aplicación del régimen de incompatibilidades del personal al servicio de la administración pública forma parte de las bases que el Estado puede fijar sobre función pública y régimen jurídico de las Administraciones públicas y tiene cobertura en el art. 103 CE. Sobre los artículos 131 y 132 LBRL entiende el Abogado del Estado que tienen la consideración de legislación básica por cuanto entre las bases del régimen jurídico de las Administraciones locales se encuentran aquellas cuestiones que afectan al diseño orgánico y funcional cuando van dirigidas a la finalidad de promover la participación ciudadana (art. 9.2 CE), la audiencia de los ciudadanos (art. 105 CE) y los principios de eficacia y coordinación (art. 103.1 CE) siendo así que las funciones que se les atribuyen van encaminadas a la consecución de los mencionados principios.</w:t>
      </w:r>
    </w:p>
    <w:p w:rsidR="0026452D" w:rsidRDefault="0026452D" w:rsidP="0026452D">
      <w:pPr>
        <w:pStyle w:val="TextoNormal"/>
      </w:pPr>
    </w:p>
    <w:p w:rsidR="0026452D" w:rsidRDefault="0026452D" w:rsidP="0026452D">
      <w:pPr>
        <w:pStyle w:val="TextoNormal"/>
      </w:pPr>
      <w:r>
        <w:t>Para finalizar, el Abogado del Estado analiza el art. 126 LBRL que regula el régimen de organización de los municipios de gran población intensificando las competencias de representación, deliberación y decisión del Pleno y otorgando las funciones de carácter ejecutivo a la Junta de Gobierno local. Por ello es posible que sin merma del principio de representatividad se incorporen a la misma, órgano eminentemente ejecutivo, gestores de perfil profesional, configuración que, a mayor abundamiento, responde a la Carta Europea de la autonomía local.</w:t>
      </w:r>
    </w:p>
    <w:p w:rsidR="0026452D" w:rsidRDefault="0026452D" w:rsidP="0026452D">
      <w:pPr>
        <w:pStyle w:val="TextoNormal"/>
      </w:pPr>
    </w:p>
    <w:p w:rsidR="0026452D" w:rsidRDefault="0026452D" w:rsidP="0026452D">
      <w:pPr>
        <w:pStyle w:val="TextoNormal"/>
      </w:pPr>
      <w:r w:rsidRPr="0026452D">
        <w:rPr>
          <w:rStyle w:val="NumeroAFNegritaCaracter"/>
        </w:rPr>
        <w:t>5</w:t>
      </w:r>
      <w:r>
        <w:t>. Por providencia de 23 de abril de 2013, se señaló para deliberación y votación de la presente Sentencia el día 25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interpone por el Parlamento de Cataluña contra la disposición final primera de la Ley 57/2003, de 16 de diciembre, de medidas para la modernización del gobierno local, en la medida en que declara básicos los artículos 4.3, párrafo segundo y por conexión 4.2 último inciso; 13.3; 20.1 d); 36.1 c); 73.3 y por conexión 20.1 c) y 122.3; 85 bis.1 y 2; 123.1 c); 126.4; 128; 129.2, inciso primero; 130.1.B); 131; así como contra el art. 126.2 párrafo segundo, inciso primero y contra el art. 126.5, primer inciso.</w:t>
      </w:r>
    </w:p>
    <w:p w:rsidR="0026452D" w:rsidRDefault="0026452D" w:rsidP="0026452D">
      <w:pPr>
        <w:pStyle w:val="TextoNormal"/>
      </w:pPr>
    </w:p>
    <w:p w:rsidR="0026452D" w:rsidRDefault="0026452D" w:rsidP="0026452D">
      <w:pPr>
        <w:pStyle w:val="TextoNormal"/>
      </w:pPr>
      <w:r>
        <w:t>Como ha quedado expuesto en los antecedentes, el Parlamento de Cataluña considera que la disposición final primera de la Ley 57/2003, de 16 de diciembre, en relación con los preceptos citados es inconstitucional por no respetar las competencias de la Generalitat de Cataluña en materia de régimen local y vulnerar la autonomía local. Además, en relación con el art. 126.2, párrafo segundo, inciso primero, considera que se ha vulnerado el art. 140 CE, mientras que la vulneración que se predica del art. 126.5, primer inciso, afectaría a los arts. 1.1, 9.3 y 23.1 CE. Por el contrario, la Abogacía del Estado considera que todos los preceptos impugnados tienen cabida en el título competencial estatal del art. 149.1.18 CE, rechazando que en la redacción que les da el artículo primero de la Ley de medidas para la modernización del gobierno local, se vulnere la autonomía local. Asimismo, se rechaza que se hayan vulnerado por el art. 126 los otros preceptos constitucionales invocados en la demanda.</w:t>
      </w:r>
    </w:p>
    <w:p w:rsidR="0026452D" w:rsidRDefault="0026452D" w:rsidP="0026452D">
      <w:pPr>
        <w:pStyle w:val="TextoNormal"/>
      </w:pPr>
    </w:p>
    <w:p w:rsidR="0026452D" w:rsidRDefault="0026452D" w:rsidP="0026452D">
      <w:pPr>
        <w:pStyle w:val="TextoNormal"/>
      </w:pPr>
      <w:r w:rsidRPr="0026452D">
        <w:rPr>
          <w:rStyle w:val="NumeroAFNegritaCaracter"/>
        </w:rPr>
        <w:t>2</w:t>
      </w:r>
      <w:r>
        <w:t>. Debemos, en primer lugar, precisar el objeto del recurso de inconstitucionalidad en relación a la disposición final primera a cuyo tenor “[l]os preceptos contenidos en esta ley, salvo la disposición adicional novena de la Ley 7/1985, de 2 de abril, Reguladora de las Bases del Régimen Local, constituyen legislación básica del Estado en materia de régimen local, de acuerdo con lo establecido en el artículo 149.1.18 de la Constitución”. Solicita el Parlamento de Cataluña en el suplico de la demanda que se declare inconstitucional la disposición citada en la medida en que declara básicos determinados artículos. Así pues, aunque formalmente lo que se impugna es la disposición final primera, el planteamiento de su posible inconstitucionalidad no tiene carácter autónomo, ya que carece de contenido sustantivo más allá de dotar del carácter formal de legislación básica a determinados preceptos. Esta conclusión se ve corroborada por el hecho de que la demanda no solo invoque razones competenciales para la impugnación de la disposición final primera, sino, además, la vulneración de la autonomía local que se habría consumado, no por la falta de título competencial, sino porque la regulación estatal no habría respetado el núcleo mínimo indisponible de la autonomía local. Así pues, el análisis y, en su caso, la declaración de inconstitucionalidad deberá realizarse de los concretos preceptos impugnados y cuando se deba a la vulneración de las competencias autonómicas, irá acompañada de la de la disposición final primera en lo que a ellos se refiera. Esta es la sistemática que utilizaremos.</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Procede también, con carácter previo, determinar el parámetro de control a utilizar en el presente proceso, pues al fundamentarse el recurso de inconstitucionalidad, entre otros motivos, en la invasión de las competencias asumidas por la Comunidad Autónoma de Cataluña por la ley estatal, resulta de aplicación la doctrina de este Tribunal sobre el </w:t>
      </w:r>
      <w:r w:rsidRPr="0026452D">
        <w:rPr>
          <w:i/>
        </w:rPr>
        <w:t>ius superveniens</w:t>
      </w:r>
      <w:r>
        <w:t>, en cuya virtud el control de las normas que incurren en un posible exceso competencial debe hacerse de acuerdo con las normas del bloque de constitucionalidad vigentes en el momento de dictarse la Sentencia (STC 1/2011, de 14 de febrero, FJ2). Ello obliga a tener en cuenta la incidencia que haya podido tener en el presente proceso la reforma del Estatuto de Autonomía de Cataluña llevada a cabo por la Ley Orgánica 6/2006, de 19 de julio, en la medida en que la misma haya afectado a las competencias asumidas por la Comunidad Autónoma que ésta considera vulneradas.</w:t>
      </w:r>
    </w:p>
    <w:p w:rsidR="0026452D" w:rsidRDefault="0026452D" w:rsidP="0026452D">
      <w:pPr>
        <w:pStyle w:val="TextoNormal"/>
      </w:pPr>
    </w:p>
    <w:p w:rsidR="0026452D" w:rsidRDefault="0026452D" w:rsidP="0026452D">
      <w:pPr>
        <w:pStyle w:val="TextoNormal"/>
      </w:pPr>
      <w:r w:rsidRPr="0026452D">
        <w:rPr>
          <w:rStyle w:val="NumeroAFNegritaCaracter"/>
        </w:rPr>
        <w:t>4</w:t>
      </w:r>
      <w:r>
        <w:t>. Como quiera que la impugnación se basa, en una buena parte, en motivos competenciales, resulta necesario determinar cuáles son los títulos competenciales de aplicación, cuestión en la que ambas partes coinciden. No así en su alcance.</w:t>
      </w:r>
    </w:p>
    <w:p w:rsidR="0026452D" w:rsidRDefault="0026452D" w:rsidP="0026452D">
      <w:pPr>
        <w:pStyle w:val="TextoNormal"/>
      </w:pPr>
    </w:p>
    <w:p w:rsidR="0026452D" w:rsidRDefault="0026452D" w:rsidP="0026452D">
      <w:pPr>
        <w:pStyle w:val="TextoNormal"/>
      </w:pPr>
      <w:r>
        <w:t xml:space="preserve">En efecto, tanto el Parlamento de Cataluña como el Estado invocan la competencia sobre régimen local que atribuía a la Generalitat el art. 9.8 del Estatuto de Autonomía vigente cuando interpuso el recurso de inconstitucionalidad y la competencia del Estado para dictar las bases del régimen jurídico de las Administraciones públicas. A este respecto, una temprana doctrina constitucional precisó que la competencia que atribuye al Estado el art. 149.1.18 CE, comprende la fijación de principios o criterios básicos en materia de organización y competencia de general aplicación en todo el Estado, (i) por ser el Estado un concepto que comprende todas las organizaciones propias de las nacionalidades y otros entes territoriales autónomos, (ii) por vincular sus principios por igual a todas las organizaciones que forman parte del mismo y (iii) por ser la garantía constitucional de la autonomía local </w:t>
      </w:r>
      <w:r>
        <w:lastRenderedPageBreak/>
        <w:t>de carácter general y configuradora de un modelo de Estado (STC 32/1981, de 28 de julio, FJ 5).</w:t>
      </w:r>
    </w:p>
    <w:p w:rsidR="0026452D" w:rsidRDefault="0026452D" w:rsidP="0026452D">
      <w:pPr>
        <w:pStyle w:val="TextoNormal"/>
      </w:pPr>
    </w:p>
    <w:p w:rsidR="0026452D" w:rsidRDefault="0026452D" w:rsidP="0026452D">
      <w:pPr>
        <w:pStyle w:val="TextoNormal"/>
      </w:pPr>
      <w:r>
        <w:t>Esto es, la legislación básica comprende los principios o bases, relativos a los aspectos institucionales —organizativos y funcionales— y a las competencias locales (STC 214/1989, de 21 de diciembre, FFJJ 1 y 4), pudiendo las Comunidades Autónomas legislar libremente en el respeto a esas condiciones básicas. Esta es la interpretación, afirma la STC 32/1981, de 28 de julio, FJ 5, que debe darse al art. 149.1.18 CE, interpretación que, por lo demás, es la única compatible con el tenor literal de estos preceptos y la que, desde otra perspectiva, permite armonizar los principios de unidad y autonomía que la Constitución consagra.</w:t>
      </w:r>
    </w:p>
    <w:p w:rsidR="0026452D" w:rsidRDefault="0026452D" w:rsidP="0026452D">
      <w:pPr>
        <w:pStyle w:val="TextoNormal"/>
      </w:pPr>
    </w:p>
    <w:p w:rsidR="0026452D" w:rsidRDefault="0026452D" w:rsidP="0026452D">
      <w:pPr>
        <w:pStyle w:val="TextoNormal"/>
      </w:pPr>
      <w:r>
        <w:t>Así pues, desde la consideración de la autonomía local como una garantía general del modelo territorial del Estado y de la condición de Administración pública atribuida por la norma fundamental a los entes locales, no resultaría constitucionalmente legítimo que el diseño legislativo de la autonomía local quedara excluido de las reglas de distribución competencial que resultan de los arts. 148.1 y 149.1 CE y comprendida en la del art. 149.3 CE. Consecuencia de lo anterior, es que las competencias autonómicas en materia de régimen local tienen que serlo de desarrollo de las bases estatales que, tal y como se puede colegir de la STC 240/2006, de 20 de julio, FJ 8, tienen los dos cometidos de concretar la autonomía local constitucionalmente garantizada para establecer el marco definitorio del autogobierno de los entes locales directamente regulados por la Constitución, en primer lugar, y, en segundo lugar, de concretar los restantes aspectos del régimen jurídico básico de todos los entes locales que son, en definitiva, Administraciones públicas.</w:t>
      </w:r>
    </w:p>
    <w:p w:rsidR="0026452D" w:rsidRDefault="0026452D" w:rsidP="0026452D">
      <w:pPr>
        <w:pStyle w:val="TextoNormal"/>
      </w:pPr>
    </w:p>
    <w:p w:rsidR="0026452D" w:rsidRDefault="0026452D" w:rsidP="0026452D">
      <w:pPr>
        <w:pStyle w:val="TextoNormal"/>
      </w:pPr>
      <w:r>
        <w:t>El Estatuto de Autonomía de Cataluña ha sido modificado con posterioridad a la interposición de este recurso de inconstitucionalidad por la Ley Orgánica 6/2006, siendo ahora el art. 160 el que atribuye a la Generalitat competencias exclusivas y compartidas en materia de régimen local. Son competencias exclusivas, de acuerdo con su apartado primero, las ejercidas sobre las relaciones entre las instituciones de la Generalitat y los entes locales, las técnicas de organización y de relación para la cooperación y la colaboración entre los entes locales y entre éstos y la Administración de la Generalitat, incluyendo las distintas formas asociativas, mancomunadas, convencionales y consorciales; la determinación de las competencias y de las potestades propias de los municipios y de los demás entes locales, en los ámbitos especificados por el artículo 84; el régimen de los bienes de dominio público, comunales y patrimoniales y las modalidades de prestación de los servicios públicos; la determinación de los órganos de gobierno de los entes locales creados por la Generalitat y el funcionamiento y régimen de adopción de acuerdos de estos órganos y, finalmente, el régimen de los órganos complementarios de la organización de los entes locales. También el apartado tercero atribuye a la Generalitat competencia exclusiva en materia de régimen electoral de los entes locales creados por aquélla, con la excepción de los constitucionalmente garantizados. El resto de competencias en materia de régimen local son compartidas de acuerdo con lo establecido en el art. 160.2 del Estatuto de Autonomía de Cataluña (EAC).</w:t>
      </w:r>
    </w:p>
    <w:p w:rsidR="0026452D" w:rsidRDefault="0026452D" w:rsidP="0026452D">
      <w:pPr>
        <w:pStyle w:val="TextoNormal"/>
      </w:pPr>
    </w:p>
    <w:p w:rsidR="0026452D" w:rsidRDefault="0026452D" w:rsidP="0026452D">
      <w:pPr>
        <w:pStyle w:val="TextoNormal"/>
      </w:pPr>
      <w:r>
        <w:t xml:space="preserve">Ello no significa, sin embargo, que el título competencial del Estado para la regulación del régimen local se haya visto eliminado por la reforma estatutaria pues, tal y como tenemos señalado en la STC 31/2010, de 28 de junio, las previsiones estatutarias deben respetar en todo caso “[l]a competencia básica que al Estado corresponde en la materia en virtud de </w:t>
      </w:r>
      <w:r>
        <w:lastRenderedPageBreak/>
        <w:t>la reserva del art. 149.1.18 CE, por cuanto la expresión ‘bases del régimen jurídico de las Administraciones públicas’ engloba a las Administraciones locales” (FJ 36), de donde concluimos, ya en relación al art. 160.1 EAC, que “al reconocer a la Comunidad Autónoma las competencias examinadas en ‘exclusividad’, lo hace de manera impropia y no impide que sobre dichas competencias autonómicas puedan operar plenamente las bases estatales, específicamente las del art. 149.1.18 CE (en los términos ya expuestos en los fundamentos jurídicos 60 y 64)” (FJ 100).</w:t>
      </w:r>
    </w:p>
    <w:p w:rsidR="0026452D" w:rsidRDefault="0026452D" w:rsidP="0026452D">
      <w:pPr>
        <w:pStyle w:val="TextoNormal"/>
      </w:pPr>
    </w:p>
    <w:p w:rsidR="0026452D" w:rsidRDefault="0026452D" w:rsidP="0026452D">
      <w:pPr>
        <w:pStyle w:val="TextoNormal"/>
      </w:pPr>
      <w:r>
        <w:t>Por esta misma razón, al analizar el capítulo del Estatuto dedicado al gobierno local dijimos que “en modo alguno cuestionan los recurrentes que las Comunidades Autónomas y, en concreto, la Comunidad Autónoma de Cataluña, al amparo de las previsiones del art. 149.1.18 CE puedan asumir, como efectivamente esta Comunidad Autónoma ha hecho (art. 160 EAC), competencias en materia de ‘régimen local’, expresión ésta que hemos identificado con el ‘régimen jurídico de las Administraciones Locales’ (STC 214/1989, de 21 de diciembre, FJ 1). Siendo ello así, como efectivamente lo es, en principio ninguna objeción puede formularse a que el Estatuto de Autonomía de la Comunidad Autónoma, en tanto que su norma institucional básica, contenga las líneas fundamentales o la regulación esencial, con el fin de vincular al legislador autonómico, del régimen local en el ámbito territorial la Comunidad Autónoma, debiendo respetar en todo caso las previsiones estatutarias, como es obvio, la competencia básica que al Estado corresponde en la materia en virtud de la reserva del art. 149.1.18 CE, por cuanto la expresión ‘bases del régimen jurídico de las Administraciones públicas’ engloba a las Administraciones locales (</w:t>
      </w:r>
      <w:r w:rsidRPr="0026452D">
        <w:rPr>
          <w:i/>
        </w:rPr>
        <w:t>ibidem</w:t>
      </w:r>
      <w:r>
        <w:t>)” (FJ 36).</w:t>
      </w:r>
    </w:p>
    <w:p w:rsidR="0026452D" w:rsidRDefault="0026452D" w:rsidP="0026452D">
      <w:pPr>
        <w:pStyle w:val="TextoNormal"/>
      </w:pPr>
    </w:p>
    <w:p w:rsidR="0026452D" w:rsidRDefault="0026452D" w:rsidP="0026452D">
      <w:pPr>
        <w:pStyle w:val="TextoNormal"/>
      </w:pPr>
      <w:r>
        <w:t>Es pues, a partir de la doctrina que este Tribunal tiene acuñada sobre la legislación básica en materia de régimen local, que debemos afrontar el análisis de la controversia competencial que late en la impugnación de la disposición final primera de la Ley 7/1985, de 2 de abril, reguladora de las bases de régimen local (LBRL).</w:t>
      </w:r>
    </w:p>
    <w:p w:rsidR="0026452D" w:rsidRDefault="0026452D" w:rsidP="0026452D">
      <w:pPr>
        <w:pStyle w:val="TextoNormal"/>
      </w:pPr>
    </w:p>
    <w:p w:rsidR="0026452D" w:rsidRDefault="0026452D" w:rsidP="0026452D">
      <w:pPr>
        <w:pStyle w:val="TextoNormal"/>
      </w:pPr>
      <w:r w:rsidRPr="0026452D">
        <w:rPr>
          <w:rStyle w:val="NumeroAFNegritaCaracter"/>
        </w:rPr>
        <w:t>5</w:t>
      </w:r>
      <w:r>
        <w:t>. Siguiendo la sistemática que anticipamos en el fundamento jurídico 2, analizaremos en primer lugar la constitucionalidad de aquellos preceptos que se han impugnado mediante la impugnación de la disposición final primera.</w:t>
      </w:r>
    </w:p>
    <w:p w:rsidR="0026452D" w:rsidRDefault="0026452D" w:rsidP="0026452D">
      <w:pPr>
        <w:pStyle w:val="TextoNormal"/>
      </w:pPr>
    </w:p>
    <w:p w:rsidR="0026452D" w:rsidRDefault="0026452D" w:rsidP="0026452D">
      <w:pPr>
        <w:pStyle w:val="TextoNormal"/>
      </w:pPr>
      <w:r>
        <w:t>a) En primer lugar, se impugnan los arts. 4.3, párrafo segundo y el último inciso del art. 4.2 LBRL, en la redacción que les da la Ley de medidas para la modernización del gobierno local. Dice el art. 4 LBRL:</w:t>
      </w:r>
    </w:p>
    <w:p w:rsidR="0026452D" w:rsidRDefault="0026452D" w:rsidP="0026452D">
      <w:pPr>
        <w:pStyle w:val="TextoNormal"/>
      </w:pPr>
    </w:p>
    <w:p w:rsidR="0026452D" w:rsidRDefault="0026452D" w:rsidP="0026452D">
      <w:pPr>
        <w:pStyle w:val="TextoNormal"/>
      </w:pPr>
      <w:r>
        <w:t>“1. En su calidad de Administraciones públicas de carácter territorial, y dentro de la esfera de sus competencias, corresponden en todo caso a los municipios, las provincias y las islas:</w:t>
      </w:r>
    </w:p>
    <w:p w:rsidR="0026452D" w:rsidRDefault="0026452D" w:rsidP="0026452D">
      <w:pPr>
        <w:pStyle w:val="TextoNormal"/>
      </w:pPr>
    </w:p>
    <w:p w:rsidR="0026452D" w:rsidRDefault="0026452D" w:rsidP="0026452D">
      <w:pPr>
        <w:pStyle w:val="TextoNormal"/>
      </w:pPr>
      <w:r>
        <w:t>a) Las potestades reglamentaria y de autoorganizacion.</w:t>
      </w:r>
    </w:p>
    <w:p w:rsidR="0026452D" w:rsidRDefault="0026452D" w:rsidP="0026452D">
      <w:pPr>
        <w:pStyle w:val="TextoNormal"/>
      </w:pPr>
    </w:p>
    <w:p w:rsidR="0026452D" w:rsidRDefault="0026452D" w:rsidP="0026452D">
      <w:pPr>
        <w:pStyle w:val="TextoNormal"/>
      </w:pPr>
      <w:r>
        <w:t>b) Las potestades tributaria y financiera.</w:t>
      </w:r>
    </w:p>
    <w:p w:rsidR="0026452D" w:rsidRDefault="0026452D" w:rsidP="0026452D">
      <w:pPr>
        <w:pStyle w:val="TextoNormal"/>
      </w:pPr>
    </w:p>
    <w:p w:rsidR="0026452D" w:rsidRDefault="0026452D" w:rsidP="0026452D">
      <w:pPr>
        <w:pStyle w:val="TextoNormal"/>
      </w:pPr>
      <w:r>
        <w:t>c) La potestad de programación o planificación.</w:t>
      </w:r>
    </w:p>
    <w:p w:rsidR="0026452D" w:rsidRDefault="0026452D" w:rsidP="0026452D">
      <w:pPr>
        <w:pStyle w:val="TextoNormal"/>
      </w:pPr>
    </w:p>
    <w:p w:rsidR="0026452D" w:rsidRDefault="0026452D" w:rsidP="0026452D">
      <w:pPr>
        <w:pStyle w:val="TextoNormal"/>
      </w:pPr>
      <w:r>
        <w:t>d) Las potestades expropiatoria y de investigación, deslinde y recuperación de oficio de sus bienes.</w:t>
      </w:r>
    </w:p>
    <w:p w:rsidR="0026452D" w:rsidRDefault="0026452D" w:rsidP="0026452D">
      <w:pPr>
        <w:pStyle w:val="TextoNormal"/>
      </w:pPr>
    </w:p>
    <w:p w:rsidR="0026452D" w:rsidRDefault="0026452D" w:rsidP="0026452D">
      <w:pPr>
        <w:pStyle w:val="TextoNormal"/>
      </w:pPr>
      <w:r>
        <w:t>e) La presunción de legitimidad y la ejecutividad de sus actos.</w:t>
      </w:r>
    </w:p>
    <w:p w:rsidR="0026452D" w:rsidRDefault="0026452D" w:rsidP="0026452D">
      <w:pPr>
        <w:pStyle w:val="TextoNormal"/>
      </w:pPr>
    </w:p>
    <w:p w:rsidR="0026452D" w:rsidRDefault="0026452D" w:rsidP="0026452D">
      <w:pPr>
        <w:pStyle w:val="TextoNormal"/>
      </w:pPr>
      <w:r>
        <w:t xml:space="preserve">f) Las potestades de ejecución forzosa y sancionadora. </w:t>
      </w:r>
    </w:p>
    <w:p w:rsidR="0026452D" w:rsidRDefault="0026452D" w:rsidP="0026452D">
      <w:pPr>
        <w:pStyle w:val="TextoNormal"/>
      </w:pPr>
    </w:p>
    <w:p w:rsidR="0026452D" w:rsidRDefault="0026452D" w:rsidP="0026452D">
      <w:pPr>
        <w:pStyle w:val="TextoNormal"/>
      </w:pPr>
      <w:r>
        <w:t xml:space="preserve">g) La potestad de revisión de oficio de sus actos y acuerdos. </w:t>
      </w:r>
    </w:p>
    <w:p w:rsidR="0026452D" w:rsidRDefault="0026452D" w:rsidP="0026452D">
      <w:pPr>
        <w:pStyle w:val="TextoNormal"/>
      </w:pPr>
    </w:p>
    <w:p w:rsidR="0026452D" w:rsidRDefault="0026452D" w:rsidP="0026452D">
      <w:pPr>
        <w:pStyle w:val="TextoNormal"/>
      </w:pPr>
      <w:r>
        <w:t>h) Las prelaciones y preferencias y demás prerrogativas reconocidas a la Hacienda Pública para los créditos de la misma, sin perjuicio de las que correspondan a las Haciendas del Estado y de las comunidades autónomas; así como la inembargabilidad de sus bienes y derechos en los términos previstos en las leyes.</w:t>
      </w:r>
    </w:p>
    <w:p w:rsidR="0026452D" w:rsidRDefault="0026452D" w:rsidP="0026452D">
      <w:pPr>
        <w:pStyle w:val="TextoNormal"/>
      </w:pPr>
    </w:p>
    <w:p w:rsidR="0026452D" w:rsidRDefault="0026452D" w:rsidP="0026452D">
      <w:pPr>
        <w:pStyle w:val="TextoNormal"/>
      </w:pPr>
      <w:r>
        <w:t>2. Lo dispuesto en el número precedente podrá ser de aplicación a las entidades territoriales de ámbito inferior al municipal y, asimismo, a las comarcas, áreas metropolitanas y demás entidades locales, debiendo las leyes de las comunidades autónomas concretar cuáles de aquellas potestades serán de aplicación, excepto en el supuesto de las mancomunidades, que se rigen por lo dispuesto en el apartado siguiente.</w:t>
      </w:r>
    </w:p>
    <w:p w:rsidR="0026452D" w:rsidRDefault="0026452D" w:rsidP="0026452D">
      <w:pPr>
        <w:pStyle w:val="TextoNormal"/>
      </w:pPr>
    </w:p>
    <w:p w:rsidR="0026452D" w:rsidRDefault="0026452D" w:rsidP="0026452D">
      <w:pPr>
        <w:pStyle w:val="TextoNormal"/>
      </w:pPr>
      <w:r>
        <w:t>3. Corresponden a las mancomunidades de municipios, para la prestación de los servicios o la ejecución de las obras de su competencia, las potestades señaladas en el apartado 1 de este artículo que determinen sus Estatutos. En defecto de previsión estatutaria, les corresponderán todas las potestades enumeradas en dicho apartado, siempre que sean precisas para el cumplimiento de su finalidad, y de acuerdo con la legislación aplicable a cada una de dichas potestades, en ambos casos.”</w:t>
      </w:r>
    </w:p>
    <w:p w:rsidR="0026452D" w:rsidRDefault="0026452D" w:rsidP="0026452D">
      <w:pPr>
        <w:pStyle w:val="TextoNormal"/>
      </w:pPr>
    </w:p>
    <w:p w:rsidR="0026452D" w:rsidRDefault="0026452D" w:rsidP="0026452D">
      <w:pPr>
        <w:pStyle w:val="TextoNormal"/>
      </w:pPr>
      <w:r>
        <w:t>La representación letrada del Parlamento de Cataluña entiende que la atribución de potestades sujetas a la condición de que sean necesarias para cumplir su fin supone establecer un requisito que no corresponde valorar ni supervisar al Estado, señalando, además, que la STC 214/1989, de 21 de diciembre, en su fundamento jurídico 4 c), declaró que el Estado no puede atribuir competencias a las entidades locales distintas de las constitucionalmente garantizadas y por tanto, tampoco potestades, ni estaría habilitado para determinar el contenido de los estatutos. Entiende, además, que el establecimiento de la norma supletoria que entra en vigor automáticamente vulnera la autonomía local. Por su parte el Abogado del Estado alega que tanto la atribución a los municipios constituyentes de la facultad para determinar sus potestades como también la regla supletoria que rige en ausencia de previsión estatutaria, son estrictamente necesarias para garantizar la autonomía de la entidad local constituida por la asociación de municipios, motivo por el cual no habría exceso en la base y tampoco, por tanto, invasión de las competencias autonómicas.</w:t>
      </w:r>
    </w:p>
    <w:p w:rsidR="0026452D" w:rsidRDefault="0026452D" w:rsidP="0026452D">
      <w:pPr>
        <w:pStyle w:val="TextoNormal"/>
      </w:pPr>
    </w:p>
    <w:p w:rsidR="0026452D" w:rsidRDefault="0026452D" w:rsidP="0026452D">
      <w:pPr>
        <w:pStyle w:val="TextoNormal"/>
      </w:pPr>
      <w:r>
        <w:t>Pues bien, tras la modificación operada por la norma impugnada, se ha roto el tratamiento uniforme, en cuanto a potestades, que anteriormente tenían todas las entidades locales distintas de las constitucionalmente garantizadas. Las mancomunidades de municipios son, ahora, objeto de una regulación específica y distinta en el apartado tercero. Tal y como señala la exposición de motivos de la Ley de medidas para la modernización del gobierno local, con ello se ha pretendido reforzar el papel de las mancomunidades de municipios en nuestro sistema local, para lo cual el apartado tercero del art. 4 LBRL permite a las mancomunidades asumir todas las que ostentan los entes locales constitucionalmente reconocidos.</w:t>
      </w:r>
    </w:p>
    <w:p w:rsidR="0026452D" w:rsidRDefault="0026452D" w:rsidP="0026452D">
      <w:pPr>
        <w:pStyle w:val="TextoNormal"/>
      </w:pPr>
    </w:p>
    <w:p w:rsidR="0026452D" w:rsidRDefault="0026452D" w:rsidP="0026452D">
      <w:pPr>
        <w:pStyle w:val="TextoNormal"/>
      </w:pPr>
      <w:r>
        <w:lastRenderedPageBreak/>
        <w:t>Ello implica, en primer lugar, que son los municipios constituyentes los que, al aprobar los estatutos, determinan el régimen jurídico de las mancomunidades que crean, pues el reconocimiento de potestades implica, a la postre, la aplicación de un régimen exorbitante del Derecho privado. Pero, en segundo lugar, ello supone que las Comunidades Autónomas no pueden ya concretar, para limitarlas, como ocurre para el resto de entidades locales distintas de las constitucionalmente garantizadas, qué potestades corresponden a las mancomunidades. Como complemento de lo anterior, el apartado tercero del art. 4 LBRL contiene una regla supletoria de directa aplicación cuando no haya previsión expresa en los estatutos sobre las potestades atribuidas a la mancomunidad, regla según la cual, las mancomunidades tendrán todas las potestades siempre que sean necesarias para el cumplimiento de sus fines, que no pueden ser otros que la prestación de servicios o la ejecución de obras. De esta forma, también con respecto a la regla supletoria, ha quedado desplazada la competencia autonómica de desarrollo legislativo de las bases, pues aun cuando no quepa rechazar que las Comunidades Autónomas pudieran en sus leyes de desarrollo especificar en qué supuestos cada una de las potestades son necesarias para el cumplimiento de los fines, el desarrollo de esta labor tendría más que ver con una potestad legislativa similar a la reglamentaria que con la posibilidad de legislar libremente con sometimiento a la base establecida por el Estado.</w:t>
      </w:r>
    </w:p>
    <w:p w:rsidR="0026452D" w:rsidRDefault="0026452D" w:rsidP="0026452D">
      <w:pPr>
        <w:pStyle w:val="TextoNormal"/>
      </w:pPr>
    </w:p>
    <w:p w:rsidR="0026452D" w:rsidRDefault="0026452D" w:rsidP="0026452D">
      <w:pPr>
        <w:pStyle w:val="TextoNormal"/>
      </w:pPr>
      <w:r>
        <w:t>Como señala la representación del Parlamento, en nuestra STC 214/1989, de 21 de diciembre, al analizar el alcance del título estatal para determinar las competencias de las entidades locales tuvimos en cuenta la distinción entre las constitucionalmente consagradas y el resto de entidades locales. Y no cabe duda de que lo señalado para las competencias resulta también aplicable a las potestades pues, tal y como también dijimos en nuestra Sentencia 252/2005, 11 de octubre, FJ 4, para el ejercicio de la participación en el gobierno y administración de los asuntos en que consiste la autonomía local y que les atañen, y que constituye el contenido mínimo que el legislador debe respetar, las entidades locales han de estar dotadas de las potestades, sin las que no es posible una actuación autónoma.</w:t>
      </w:r>
    </w:p>
    <w:p w:rsidR="0026452D" w:rsidRDefault="0026452D" w:rsidP="0026452D">
      <w:pPr>
        <w:pStyle w:val="TextoNormal"/>
      </w:pPr>
    </w:p>
    <w:p w:rsidR="0026452D" w:rsidRDefault="0026452D" w:rsidP="0026452D">
      <w:pPr>
        <w:pStyle w:val="TextoNormal"/>
      </w:pPr>
      <w:r>
        <w:t>Así, en cuanto a las entidades locales reconocidas por la Constitución, dijimos en la STC 214/1989, de 21 de diciembre, FFJJ 3 y 4, que las leyes básicas pueden decir qué competencias corresponden en una materia compartida por ser ello necesario para garantizarles su autonomía (arts. 137 y 140 CE) y solo si excedieran de lo necesario para garantizar esta institución, se habrían invadido competencias comunitarias, mientras que con relación a las entidades territoriales de ámbito inferior al municipal, comarcas, áreas metropolitanas y demás entidades locales, afirmamos que, puesto que el Estado estaría incidiendo en entidades locales que sólo las Comunidades Autónomas pueden crear, éste carecería de título competencial para determinar el nivel mínimo de competencias que les corresponden. Estas últimas son entidades con un fuerte grado de “interiorización” autonómica, por lo que corresponde a las Comunidades Autónomas determinar y fijar las competencias de las entidades locales que procedan a crear en sus respectivos ámbitos territoriales.</w:t>
      </w:r>
    </w:p>
    <w:p w:rsidR="0026452D" w:rsidRDefault="0026452D" w:rsidP="0026452D">
      <w:pPr>
        <w:pStyle w:val="TextoNormal"/>
      </w:pPr>
    </w:p>
    <w:p w:rsidR="0026452D" w:rsidRDefault="0026452D" w:rsidP="0026452D">
      <w:pPr>
        <w:pStyle w:val="TextoNormal"/>
      </w:pPr>
      <w:r>
        <w:t xml:space="preserve">Debe repararse, sin embargo, en que si bien las mancomunidades de municipios no son entidades locales constitucionalmente consagradas, tampoco han sido configuradas por el legislador básico como entidades cuya existencia dependa de la voluntad de las Comunidades Autónomas. El art. 44.1 LBRL, reconoce a los municipios el derecho a asociarse en su doble vertiente de libertad de creación de mancomunidades y libertad de no ser obligados a asociarse o a permanecer en ellas, en línea con lo establecido en el art. 19 de la Carta europea de autonomía local, ratificada por España el 20 de enero de 1988, que reconoce el derecho </w:t>
      </w:r>
      <w:r>
        <w:lastRenderedPageBreak/>
        <w:t>de las entidades locales a cooperar y asociarse con otras entidades locales. Este reconocimiento del derecho de asociación para la prestación de servicios concretos y la ejecución de obras de competencia y responsabilidad de los municipios asociados, también reconocido en el art. 87.2 EAC vigente, determina la necesaria participación de los municipios constituyentes en la elaboración de los estatutos o normas que rigen el funcionamiento de la mancomunidad mediante una asamblea integrada por los concejales de los municipios afectados, y que su aprobación se atribuya a los Plenos de los Ayuntamientos (art. 44.3 LBRL).</w:t>
      </w:r>
    </w:p>
    <w:p w:rsidR="0026452D" w:rsidRDefault="0026452D" w:rsidP="0026452D">
      <w:pPr>
        <w:pStyle w:val="TextoNormal"/>
      </w:pPr>
    </w:p>
    <w:p w:rsidR="0026452D" w:rsidRDefault="0026452D" w:rsidP="0026452D">
      <w:pPr>
        <w:pStyle w:val="TextoNormal"/>
      </w:pPr>
      <w:r>
        <w:t>El hecho de que las mancomunidades se creen para la gestión de competencias municipales determina, también, que los órganos de gobierno sean representativos de los Ayuntamientos mancomunados (art. 44.2 LBRL). Así pues, las mancomunidades son entidades locales, pues así las califica la Ley de bases de régimen local al incluir su regulación dentro del título IV, dotadas de personalidad y capacidad independiente de la de los Ayuntamientos mancomunados para el cumplimiento de los fines, pero, en la medida en que no son titulares de otros intereses que los de los municipios encomendantes, participan de la autonomía que constitucionalmente se predica de los entes locales que las forman. Esta es, sin duda, la concepción que late en las SSTC 4/1981, 2 de febrero, FJ 7, y 214/1989, FJ 14. En la primera de ellas, en atención a los fines de la mancomunidad, declaramos la inconstitucionalidad de la facultad del Gobierno para denegar la aprobación de los estatutos por razones de interés público, por tratarse de un control de oportunidad pero, al contrario, confirmamos la constitucionalidad del control de legalidad que podía ejercerse a través de su aprobación. Posteriormente, en la STC 214/1989, de 21 de diciembre, FJ 14, señalamos que la eliminación de la facultad de aprobación de los Estatutos por la administración de tutela tenía cabida en el art. 149.1.18. CE por cuanto el legislador básico había considerado preferible, dentro de las soluciones constitucionalmente posibles, erradicar esa manifestación de tutela optando por ampliar el alcance y contenido de la autonomía municipal, sin que pudiera imputarse exceso competencial de ningún tipo.</w:t>
      </w:r>
    </w:p>
    <w:p w:rsidR="0026452D" w:rsidRDefault="0026452D" w:rsidP="0026452D">
      <w:pPr>
        <w:pStyle w:val="TextoNormal"/>
      </w:pPr>
    </w:p>
    <w:p w:rsidR="0026452D" w:rsidRDefault="0026452D" w:rsidP="0026452D">
      <w:pPr>
        <w:pStyle w:val="TextoNormal"/>
      </w:pPr>
      <w:r>
        <w:t xml:space="preserve">Tal y como recordamos en las SSTC 32/1981, de 28 de julio, FJ 4; 76/1983, de 5 de agosto, FJ 19; 27/1987, de 27 de febrero, FJ 2; 214/1989, de 21 de diciembre, FJ 2, existe una conexión entre la garantía constitucional de la autonomía local (arts. 137, 141 y 142 CE) y la competencia que ostenta el Estado sobre “las bases del régimen jurídico de las Administraciones públicas” (art. 149.1.18 CE), de tal forma que debe ser el legislador estatal, con carácter general y para todo tipo de materias, el que fije unos principios o bases relativos a los aspectos institucionales (organizativos y funcionales) y a las competencias locales, con cobertura en el art. 149.1.18 CE. En aplicación de esta doctrina solo podría concluirse que la regulación estatal impugnada excede del ámbito material de lo básico, si no fuera necesaria para garantizar la autonomía de los municipios mancomunados. Resulta, sin embargo, que, reconocido por la legislación básica el derecho de los municipios a asociarse y establecidos por ésta los fines de la mancomunidad, la determinación de las potestades mínimas que requiere la prestación del servicio concreto, o la ejecución de la obra de competencia de los municipios constituyentes, es un instrumento necesario para que la mancomunidad, e indirectamente los Ayuntamientos que la constituyen, pueda cumplir sus fines de la misma forma que las potestades atribuidas a los municipios por el apartado primero del art. 4 LBRL constituyen una garantía de su autonomía. Debemos, por ello, descartar la vulneración de la competencia de la Generalitat de Cataluña en este punto, y por tanto la </w:t>
      </w:r>
      <w:r>
        <w:lastRenderedPageBreak/>
        <w:t>inconstitucionalidad de los apartados 3 y 2 en el inciso “excepto en el supuesto de las mancomunidades, que se rigen por lo dispuesto en el apartado siguiente”, ambos del art. 4 LBRL y de la disposición final primera en cuanto los declara básicos.</w:t>
      </w:r>
    </w:p>
    <w:p w:rsidR="0026452D" w:rsidRDefault="0026452D" w:rsidP="0026452D">
      <w:pPr>
        <w:pStyle w:val="TextoNormal"/>
      </w:pPr>
    </w:p>
    <w:p w:rsidR="0026452D" w:rsidRDefault="0026452D" w:rsidP="0026452D">
      <w:pPr>
        <w:pStyle w:val="TextoNormal"/>
      </w:pPr>
      <w:r>
        <w:t xml:space="preserve">Entiende, además, el Letrado del Parlamento de Cataluña que vulnera la autonomía local el establecimiento de una regla supletoria que entra en vigor automáticamente en ausencia de previsión estatutaria expresa. Tal y como tenemos señalado, no resulta posible definir </w:t>
      </w:r>
      <w:r w:rsidRPr="0026452D">
        <w:rPr>
          <w:i/>
        </w:rPr>
        <w:t>a priori</w:t>
      </w:r>
      <w:r>
        <w:t xml:space="preserve"> en qué consiste ese contenido o núcleo esencial de la autonomía local con el que se pretende preservar la institución en “términos reconocibles para la imagen que de la misma tiene la conciencia social en cada tiempo y lugar”. Se desconoce si dicha garantía le priva prácticamente de sus posibilidades de existencia real como institución para convertirse en un simple nombre. Por ello, la única interdicción claramente discernible es la de la ruptura clara y neta con esa imagen comúnmente aceptada de la institución que, en cuanto formación jurídica, viene determinada en buena parte por las normas que en cada momento la regulan y la aplicación que de las mismas se hace (STC 32/1981, 28 de julio, FJ 3).</w:t>
      </w:r>
    </w:p>
    <w:p w:rsidR="0026452D" w:rsidRDefault="0026452D" w:rsidP="0026452D">
      <w:pPr>
        <w:pStyle w:val="TextoNormal"/>
      </w:pPr>
    </w:p>
    <w:p w:rsidR="0026452D" w:rsidRDefault="0026452D" w:rsidP="0026452D">
      <w:pPr>
        <w:pStyle w:val="TextoNormal"/>
      </w:pPr>
      <w:r>
        <w:t>Los estatutos de la mancomunidad, adoptados por acuerdo de los Ayuntamientos constituyentes rigen, según el art. 44.2 LBRL, el funcionamiento de las mancomunidades, por lo que son los municipios quienes, en ejercicio de su autonomía para la elaboración y aprobación de los estatutos, determinan qué potestades de las contempladas en el art. 4.1 LBRL son necesarias para el cumplimiento de los fines encomendados a las mancomunidades por ellos creadas, con el único límite de las leyes reguladoras de cada una. Solo en el caso de que los estatutos no contengan previsión alguna, entraría en vigor la regla supletoria que garantiza que las mancomunidades contarán con las potestades que tienen atribuidas los municipios para el ejercicio de sus competencias, siempre que sean necesarias para el cumplimiento de sus fines, regla que podrá convertirse nuevamente en supletoria si los municipios mancomunados decidieran modificar los estatutos de la entidad local.</w:t>
      </w:r>
    </w:p>
    <w:p w:rsidR="0026452D" w:rsidRDefault="0026452D" w:rsidP="0026452D">
      <w:pPr>
        <w:pStyle w:val="TextoNormal"/>
      </w:pPr>
    </w:p>
    <w:p w:rsidR="0026452D" w:rsidRDefault="0026452D" w:rsidP="0026452D">
      <w:pPr>
        <w:pStyle w:val="TextoNormal"/>
      </w:pPr>
      <w:r>
        <w:t>Así pues, como quiera que tanto el contenido de la regla principal como la entrada en vigor de la supletoria dependen de la voluntad de los Ayuntamientos mancomunados, debemos descartar que se haya vulnerado el contenido esencial de la autonomía municipal, pues ha quedado garantizada la facultad de elección de los municipios.</w:t>
      </w:r>
    </w:p>
    <w:p w:rsidR="0026452D" w:rsidRDefault="0026452D" w:rsidP="0026452D">
      <w:pPr>
        <w:pStyle w:val="TextoNormal"/>
      </w:pPr>
    </w:p>
    <w:p w:rsidR="0026452D" w:rsidRDefault="0026452D" w:rsidP="0026452D">
      <w:pPr>
        <w:pStyle w:val="TextoNormal"/>
      </w:pPr>
      <w:r>
        <w:t>En definitiva, debemos rechazar la inconstitucionalidad del apartado 3, párrafo segundo y el último inciso del apartado segundo ambos del art. 4 LBRL, pues no vulneran las competencias de las Comunidades Autónomas ni infringen la autonomía local.</w:t>
      </w:r>
    </w:p>
    <w:p w:rsidR="0026452D" w:rsidRDefault="0026452D" w:rsidP="0026452D">
      <w:pPr>
        <w:pStyle w:val="TextoNormal"/>
      </w:pPr>
    </w:p>
    <w:p w:rsidR="0026452D" w:rsidRDefault="0026452D" w:rsidP="0026452D">
      <w:pPr>
        <w:pStyle w:val="TextoNormal"/>
      </w:pPr>
      <w:r>
        <w:t>b) El art. 13.3 LBRL dispone que “sin perjuicio de las competencias de las Comunidades Autónomas, el Estado, atendiendo a criterios geográficos, sociales, económicos y culturales, podrá establecer medidas que tiendan a fomentar la fusión de municipios con el fin de mejorar la capacidad de gestión de los asuntos locales”.</w:t>
      </w:r>
    </w:p>
    <w:p w:rsidR="0026452D" w:rsidRDefault="0026452D" w:rsidP="0026452D">
      <w:pPr>
        <w:pStyle w:val="TextoNormal"/>
      </w:pPr>
    </w:p>
    <w:p w:rsidR="0026452D" w:rsidRDefault="0026452D" w:rsidP="0026452D">
      <w:pPr>
        <w:pStyle w:val="TextoNormal"/>
      </w:pPr>
      <w:r>
        <w:t xml:space="preserve">Razona el Letrado del Parlamento de Cataluña que este precepto vulnera la competencia exclusiva autonómica para alterar los términos municipales pues, aunque no discute que, dentro de sus competencias, el Estado pueda legítimamente establecer el objetivo de mejorar la capacidad de gestión de los asuntos públicos, considera que no puede hacerlo mediante medidas de fomento encaminadas a propiciar la fusión municipal, por cuanto la alteración </w:t>
      </w:r>
      <w:r>
        <w:lastRenderedPageBreak/>
        <w:t>de términos municipales es una competencia autonómica exclusiva. Estos objetivos se pueden cumplir utilizando otras técnicas asociativas que requieran el acuerdo entre las entidades locales y la Generalidad de Cataluña.</w:t>
      </w:r>
    </w:p>
    <w:p w:rsidR="0026452D" w:rsidRDefault="0026452D" w:rsidP="0026452D">
      <w:pPr>
        <w:pStyle w:val="TextoNormal"/>
      </w:pPr>
    </w:p>
    <w:p w:rsidR="0026452D" w:rsidRDefault="0026452D" w:rsidP="0026452D">
      <w:pPr>
        <w:pStyle w:val="TextoNormal"/>
      </w:pPr>
      <w:r>
        <w:t>Antes de pronunciarnos sobre la controversia competencial planteada en torno al art. 13.3 LBRL, debemos analizar la cuestión previa de la extemporaneidad del recurso pues, como reconoce la representación del Parlamento, aunque el art. 13 LBRL ha sido incluido entre los artículos que ha venido a modificar la Ley de medidas para la modernización del gobierno local, el apartado tercero mantiene su redacción primitiva y no fue en su día impugnado por el Parlamento de Cataluña. Como quiera que formalmente se trata de una nueva ley, y que es doctrina reiterada de este Tribunal que el recurso de inconstitucionalidad es abstracto y dirigido a la depuración del ordenamiento, de forma que con el mismo no se defiende un interés propio de los recurrentes sino el interés general y la supremacía de la Constitución (por todas, STC 1/2012, de 13 de enero FJ 3), procede abordar el fondo de la impugnación realizada (STC 103/1999, de 3 de junio, FJ 2), sin que, por la misma razón, resulte aplicable la fuerza de cosa juzgada de las Sentencias desestimatorias de los recursos de inconstitucionalidad que impone el art. 38.2 de la Ley Orgánica del Tribunal Constitucional.</w:t>
      </w:r>
    </w:p>
    <w:p w:rsidR="0026452D" w:rsidRDefault="0026452D" w:rsidP="0026452D">
      <w:pPr>
        <w:pStyle w:val="TextoNormal"/>
      </w:pPr>
    </w:p>
    <w:p w:rsidR="0026452D" w:rsidRDefault="0026452D" w:rsidP="0026452D">
      <w:pPr>
        <w:pStyle w:val="TextoNormal"/>
      </w:pPr>
      <w:r>
        <w:t>En nuestra Sentencia 214/1989, de 21 de diciembre, FJ 9, resolvimos la impugnación que de este mismo apartado del art. 13 LBRL plantearon el Parlamento y la Junta de Galicia, por entender que se había vulnerado la competencia exclusiva autonómica para la alteración de términos municipales, declarando la constitucionalidad del apartado, ahora nuevamente impugnado, al estimar que la actividad de fomento no debe asociarse necesariamente a la competencia ejecutiva, pues no siempre excluye la intervención del legislador, y que ésta es legítima cuando el Estado dispone de la competencia para fijar los criterios básicos a los que debe sujetar la Comunidad Autónoma el ejercicio de sus competencias. Indicamos entonces que esta actividad de fomento no limita la competencia autonómica para la alteración de términos municipales que pueden acordar conforme a lo establecido en su legislación y con los únicos límites impuestos por los apartados primero y segundo del mismo artículo 13 LBRL, siendo así que esta actividad de fomento está dirigida no solo a los municipios sino también a las Comunidades Autónomas que son quienes tienen la competencia para materializar estas alteraciones territoriales. A pesar del tiempo transcurrido desde aquella Sentencia, no hay razones que nos lleven a modificar o matizar lo entonces afirmado.</w:t>
      </w:r>
    </w:p>
    <w:p w:rsidR="0026452D" w:rsidRDefault="0026452D" w:rsidP="0026452D">
      <w:pPr>
        <w:pStyle w:val="TextoNormal"/>
      </w:pPr>
    </w:p>
    <w:p w:rsidR="0026452D" w:rsidRDefault="0026452D" w:rsidP="0026452D">
      <w:pPr>
        <w:pStyle w:val="TextoNormal"/>
      </w:pPr>
      <w:r>
        <w:t>Como dijimos en las SSTC 159/2001, de 5 de julio FJ 4; 52/2004, de 13 de abril, FJ 9, y 252/2005, de 11 de octubre, FJ 4, el constituyente no ha predeterminado el contenido concreto de la autonomía local, por lo que es el legislador constitucionalmente habilitado quien puede ejercer en uno u otro sentido su libertad inicial de configuración, con el único límite de que no establezca un contenido de la autonomía local incompatible con el marco general perfilado en los arts. 137, 140 y 141 CE. Corresponde al legislador estatal, con carácter general, fijar los principios o bases relativos a los aspectos institucionales, organizativos y funcionales y a las competencias de las entidades locales constitucionalmente garantizadas (STC 240/2006, 20 de julio FJ 8). En consecuencia, el Estado debe regular, en el ámbito del art. 149.1.18 CE, los elementos que permiten definir el modelo municipal común entre los que se encuentran el territorio, la población y la organización, como recoge el art. 11.2 LBRL.</w:t>
      </w:r>
    </w:p>
    <w:p w:rsidR="0026452D" w:rsidRDefault="0026452D" w:rsidP="0026452D">
      <w:pPr>
        <w:pStyle w:val="TextoNormal"/>
      </w:pPr>
    </w:p>
    <w:p w:rsidR="0026452D" w:rsidRDefault="0026452D" w:rsidP="0026452D">
      <w:pPr>
        <w:pStyle w:val="TextoNormal"/>
      </w:pPr>
      <w:r>
        <w:lastRenderedPageBreak/>
        <w:t>Por ello, sin perjuicio de la competencia exclusiva que el art. 148.1.3 CE atribuye a las Comunidades Autónomas para la alteración de los términos municipales comprendidos en su territorio, forma parte de la competencia estatal la regulación del elemento territorial y su relación con el resto de los elementos que componen la estructura municipal para configurar un modelo municipal común, competencia básica que, por otra parte, no rechaza de plano el Parlamento autonómico en su demanda, al admitir expresamente la competencia del Estado para regular las bases del procedimiento de alteración de los términos municipales. Resulta de lo expuesto que corresponde al Estado optar, de entre los posibles, por un determinado modelo municipal. Así, el Estado podía haberse inclinado por un modelo minifundista, basado en la existencia de núcleos de población sin exigencia alguna de un mínimo territorial, o por un modelo basado en mayores exigencias de población y territorio, si es que lo hubiera considerado necesario para garantizar la viabilidad del ejercicio de las competencias que se atribuyen a los municipios y con ello su autonomía, o por una combinación de ambos en función de la realidad existente o, finalmente, por un modelo que dejase un amplio margen de decisión a las Comunidades Autónomas para configurar el elemento territorial de los municipios. Pues bien, esta última es la opción por la que se inclinó el legislador estatal en 1985 y ha confirmado la Ley de medidas para la modernización del gobierno local.</w:t>
      </w:r>
    </w:p>
    <w:p w:rsidR="0026452D" w:rsidRDefault="0026452D" w:rsidP="0026452D">
      <w:pPr>
        <w:pStyle w:val="TextoNormal"/>
      </w:pPr>
    </w:p>
    <w:p w:rsidR="0026452D" w:rsidRDefault="0026452D" w:rsidP="0026452D">
      <w:pPr>
        <w:pStyle w:val="TextoNormal"/>
      </w:pPr>
      <w:r>
        <w:t>El art. 13 LBRL, distinguiendo entre municipios de nueva creación y los ya existentes, remite a la legislación autonómica la regulación de la creación de municipios, con las dos únicas condiciones de que exista un núcleo de población territorialmente diferenciado y cuente con capacidad económica para el ejercicio de sus competencias, requisitos cuya constitucionalidad fue confirmada por la STC 214/1989, de 21 de diciembre, FJ 8. De ahí que corresponda al legislador autonómico establecer, a su arbitrio, mayores exigencias de territorio y población para los municipios de nueva creación. En cuanto a la supresión de municipios y a la alteración de términos municipales, el legislador básico se ha limitado a regular las bases del procedimiento y reservarse la posibilidad de establecer medidas que tiendan a fomentar la fusión de municipios, en aquellos casos en que la adecuada capacidad de gestión de los asuntos públicos requiera de mayores exigencias de población y territorio; pero sigue dejando en manos de las Comunidades Autónomas, como en el caso de los municipios de nueva creación, la regulación de la fusión de municipios en función del modelo municipal por el que hayan optado.</w:t>
      </w:r>
    </w:p>
    <w:p w:rsidR="0026452D" w:rsidRDefault="0026452D" w:rsidP="0026452D">
      <w:pPr>
        <w:pStyle w:val="TextoNormal"/>
      </w:pPr>
    </w:p>
    <w:p w:rsidR="0026452D" w:rsidRDefault="0026452D" w:rsidP="0026452D">
      <w:pPr>
        <w:pStyle w:val="TextoNormal"/>
      </w:pPr>
      <w:r>
        <w:t>Por ello, debemos rechazar la inconstitucionalidad del art. 13.3 LBRL y, en consecuencia, también de la disposición final primera en lo que a éste se refiere.</w:t>
      </w:r>
    </w:p>
    <w:p w:rsidR="0026452D" w:rsidRDefault="0026452D" w:rsidP="0026452D">
      <w:pPr>
        <w:pStyle w:val="TextoNormal"/>
      </w:pPr>
    </w:p>
    <w:p w:rsidR="0026452D" w:rsidRDefault="0026452D" w:rsidP="0026452D">
      <w:pPr>
        <w:pStyle w:val="TextoNormal"/>
      </w:pPr>
      <w:r>
        <w:t xml:space="preserve">c) Se impugna el art. 36.1 c) LBRL que atribuye a las Diputaciones provinciales la prestación de servicios de carácter supramunicipal. Considera el Letrado del Parlamento de Cataluña que la atribución de esta competencia a las Diputaciones, sin contar con el consentimiento de los entes locales afectados, en aquellos campos en que los municipios y Consejos comarcales tienen plenas competencias, supone la reducción de la autonomía de estos entes locales por parte de una institución pensada para darles apoyo. Esta nueva competencia no tiene cobertura en la garantía constitucional de la autonomía provincial, en los términos en que ésta ha sido definida por la STC 109/1998, de 21 de mayo, FJ 2. Asimismo considera que vulnera la competencia de la Comunidad Autónoma al quedar desplazado el legislador autonómico. En contra de lo argumentado por el Parlamento, alega el Abogado del Estado que corresponde al Estado determinar las competencias que considera imprescindibles para </w:t>
      </w:r>
      <w:r>
        <w:lastRenderedPageBreak/>
        <w:t>garantizar la autonomía provincial, siendo así que, posteriormente, cada legislador autonómico podrá completar la regulación básica en uno u otro sentido.</w:t>
      </w:r>
    </w:p>
    <w:p w:rsidR="0026452D" w:rsidRDefault="0026452D" w:rsidP="0026452D">
      <w:pPr>
        <w:pStyle w:val="TextoNormal"/>
      </w:pPr>
    </w:p>
    <w:p w:rsidR="0026452D" w:rsidRDefault="0026452D" w:rsidP="0026452D">
      <w:pPr>
        <w:pStyle w:val="TextoNormal"/>
      </w:pPr>
      <w:r>
        <w:t>Dice el art. 36.1 c) LBRL que “son competencias propias de la Diputación las que les atribuyan, en este concepto, las leyes del Estado y de las Comunidades Autónomas en los diferentes sectores de la acción pública y en todo caso ... la prestación de servicios públicos de carácter supramunicipal o supracomarcal”. La impugnación, como se viene de anticipar, se fundamenta no sólo en el aspecto competencial o desplazamiento de la competencia normativa de las Comunidades Autónomas, sino también en la vulneración de la autonomía de municipios y comarcas. Dijimos en la STC 214/1989, de 21 de diciembre, FJ 2, que el Estado tiene competencia para fijar los principios básicos en orden a las competencias que deba reconocerse a las entidades locales, garantizando, su derecho a intervenir en cuantos asuntos afecten directamente al círculo de sus intereses, y fijando al respecto unas directrices para llevar a cabo la asignación de tales competencias. También la STC 109/1998, de 21 de mayo, FJ 3, se pronunció sobre los apartados a y b) del art. 36 LBRL, que atribuyen competencias, reconociendo que la delimitación de las atribuciones y la regulación de la actividad instrumental para su ejercicio tenía el carácter material de legislación básica, pues servían para delimitar concretamente el régimen local autónomo que resulta de aplicación directa en todo el territorio nacional. La atribución de una nueva competencia obedece al reforzamiento del papel de las entidades provinciales que persigue la Ley de medidas para la modernización del gobierno local y de ahí su necesidad para la definición del modelo de autonomía provincial, modelo que, en contra de lo que afirma el recurrente, no queda limitado única y exclusivamente al desarrollo del contenido esencial de la garantía institucional que comprende la función de cooperación económica a la realización de obras y servicios municipales, o el apoyo a los municipios, según afirmamos en la STC 109/1998, de 21 de julio, sino que se extiende a aquello que resulte necesario para la definición del modelo común de autonomía provincial, con independencia del posterior desarrollo normativo de las bases que en todo caso corresponde a las Comunidades Autónomas. Es cierto, y con ello abordamos la segunda de las cuestiones planteadas, que la ampliación de las competencias provinciales podría incidir en el ámbito de autonomía que tienen legalmente consagrada municipios y consejos comarcales, pero también lo es que la atribución de la nueva competencia afecta directamente al círculo de los intereses provinciales. Al existir distintas entidades locales superpuestas sobre una misma base territorial, la definición del modelo de autonomía de cada una de ellas incidirá, necesariamente, en el resto, sin que desde el punto de vista constitucional, haya más limitaciones a la hora de configurar el modelo básico de autonomía que las que las que vienen determinadas por el respeto al contenido esencial de la autonomía provincial, y el respeto al contenido esencial de la autonomía de esas otras entidades locales en las que inciden que, para el caso de las comarcas, no es una autonomía constitucionalmente garantizada en cuanto que la decisión sobre su propia existencia no depende de la Constitución sino de las Comunidades Autónomas. El precepto impugnado no puede considerarse, en modo alguno, contrario a la garantía constitucional de la autonomía provincial, pues ésta no sólo no se ha eliminado, sino que se ha ampliado con la atribución de una nueva competencia; pero tampoco, tal y como aparece legalmente formulada, vulnera el núcleo esencial de la autonomía del resto de los entes locales, cuyas competencias no se han visto modificadas.</w:t>
      </w:r>
    </w:p>
    <w:p w:rsidR="0026452D" w:rsidRDefault="0026452D" w:rsidP="0026452D">
      <w:pPr>
        <w:pStyle w:val="TextoNormal"/>
      </w:pPr>
    </w:p>
    <w:p w:rsidR="0026452D" w:rsidRDefault="0026452D" w:rsidP="0026452D">
      <w:pPr>
        <w:pStyle w:val="TextoNormal"/>
      </w:pPr>
      <w:r>
        <w:t>En consecuencia, debemos rechazar su inconstitucionalidad del art. 36.1 c) LBRL, así como la de la disposición final primera en lo que a éste se refiere.</w:t>
      </w:r>
    </w:p>
    <w:p w:rsidR="0026452D" w:rsidRDefault="0026452D" w:rsidP="0026452D">
      <w:pPr>
        <w:pStyle w:val="TextoNormal"/>
      </w:pPr>
    </w:p>
    <w:p w:rsidR="0026452D" w:rsidRDefault="0026452D" w:rsidP="0026452D">
      <w:pPr>
        <w:pStyle w:val="TextoNormal"/>
      </w:pPr>
      <w:r>
        <w:t>d) Dicen los apartados 1 y 2 del art. 85 bis LBRL:</w:t>
      </w:r>
    </w:p>
    <w:p w:rsidR="0026452D" w:rsidRDefault="0026452D" w:rsidP="0026452D">
      <w:pPr>
        <w:pStyle w:val="TextoNormal"/>
      </w:pPr>
    </w:p>
    <w:p w:rsidR="0026452D" w:rsidRDefault="0026452D" w:rsidP="0026452D">
      <w:pPr>
        <w:pStyle w:val="TextoNormal"/>
      </w:pPr>
      <w:r>
        <w:t>“1. La gestión directa de los servicios de la competencia local mediante las formas de organismos autónomos locales y de entidades públicas empresariales locales se regirán, respectivamente, por lo dispuesto en los artículos 45 a 52 y 53 a 60 de la Ley 6/1997, de 14 de abril, de Organización y Funcionamiento de la Administración General del Estado, en cuanto les resultase de aplicación, con las siguientes especialidades:</w:t>
      </w:r>
    </w:p>
    <w:p w:rsidR="0026452D" w:rsidRDefault="0026452D" w:rsidP="0026452D">
      <w:pPr>
        <w:pStyle w:val="TextoNormal"/>
      </w:pPr>
    </w:p>
    <w:p w:rsidR="0026452D" w:rsidRDefault="0026452D" w:rsidP="0026452D">
      <w:pPr>
        <w:pStyle w:val="TextoNormal"/>
      </w:pPr>
      <w:r>
        <w:t>a) Su creación, modificación, refundición y supresión corresponderá al Pleno de la entidad local, quien aprobará sus estatutos. Deberán quedar adscritas a una Concejalía, Área u órgano equivalente de la entidad local, si bien, en el caso de las entidades públicas empresariales, también podrán estarlo a un organismo autónomo local.</w:t>
      </w:r>
    </w:p>
    <w:p w:rsidR="0026452D" w:rsidRDefault="0026452D" w:rsidP="0026452D">
      <w:pPr>
        <w:pStyle w:val="TextoNormal"/>
      </w:pPr>
    </w:p>
    <w:p w:rsidR="0026452D" w:rsidRDefault="0026452D" w:rsidP="0026452D">
      <w:pPr>
        <w:pStyle w:val="TextoNormal"/>
      </w:pPr>
      <w:r>
        <w:t>Excepcionalmente, podrán existir entidades públicas empresariales cuyos estatutos les asignen la función de dirigir o coordinar a otros entes de la misma o distinta naturaleza.</w:t>
      </w:r>
    </w:p>
    <w:p w:rsidR="0026452D" w:rsidRDefault="0026452D" w:rsidP="0026452D">
      <w:pPr>
        <w:pStyle w:val="TextoNormal"/>
      </w:pPr>
    </w:p>
    <w:p w:rsidR="0026452D" w:rsidRDefault="0026452D" w:rsidP="0026452D">
      <w:pPr>
        <w:pStyle w:val="TextoNormal"/>
      </w:pPr>
      <w:r>
        <w:t>b) El titular del máximo órgano de dirección de los mismos deberá ser un funcionario de carrera o laboral de las Administraciones públicas o un profesional del sector privado, titulados superiores en ambos casos, y con más de cinco años de ejercicio profesional en el segundo. En los municipios señalados en el título X, tendrá la consideración de órgano directivo.</w:t>
      </w:r>
    </w:p>
    <w:p w:rsidR="0026452D" w:rsidRDefault="0026452D" w:rsidP="0026452D">
      <w:pPr>
        <w:pStyle w:val="TextoNormal"/>
      </w:pPr>
    </w:p>
    <w:p w:rsidR="0026452D" w:rsidRDefault="0026452D" w:rsidP="0026452D">
      <w:pPr>
        <w:pStyle w:val="TextoNormal"/>
      </w:pPr>
      <w:r>
        <w:t>c) En los organismos autónomos locales deberá existir un consejo rector, cuya composición se determinará en sus estatutos.</w:t>
      </w:r>
    </w:p>
    <w:p w:rsidR="0026452D" w:rsidRDefault="0026452D" w:rsidP="0026452D">
      <w:pPr>
        <w:pStyle w:val="TextoNormal"/>
      </w:pPr>
    </w:p>
    <w:p w:rsidR="0026452D" w:rsidRDefault="0026452D" w:rsidP="0026452D">
      <w:pPr>
        <w:pStyle w:val="TextoNormal"/>
      </w:pPr>
      <w:r>
        <w:t>d) En las entidades públicas empresariales locales deberá existir un consejo de administración, cuya composición se determinará en sus Estatutos.</w:t>
      </w:r>
    </w:p>
    <w:p w:rsidR="0026452D" w:rsidRDefault="0026452D" w:rsidP="0026452D">
      <w:pPr>
        <w:pStyle w:val="TextoNormal"/>
      </w:pPr>
    </w:p>
    <w:p w:rsidR="0026452D" w:rsidRDefault="0026452D" w:rsidP="0026452D">
      <w:pPr>
        <w:pStyle w:val="TextoNormal"/>
      </w:pPr>
      <w:r>
        <w:t>El secretario del Consejo de Administración, que debe ser un funcionario público al que se exija para su ingreso titulación superior, ejercerá las funciones de fe pública y asesoramiento legal de los órganos unipersonales y colegiados de estas entidades.</w:t>
      </w:r>
    </w:p>
    <w:p w:rsidR="0026452D" w:rsidRDefault="0026452D" w:rsidP="0026452D">
      <w:pPr>
        <w:pStyle w:val="TextoNormal"/>
      </w:pPr>
    </w:p>
    <w:p w:rsidR="0026452D" w:rsidRDefault="0026452D" w:rsidP="0026452D">
      <w:pPr>
        <w:pStyle w:val="TextoNormal"/>
      </w:pPr>
      <w:r>
        <w:t>e) La determinación y modificación de las condiciones retributivas, tanto del personal directivo como del resto del personal, deberán ajustarse en todo caso a las normas que al respecto apruebe el Pleno o la Junta de Gobierno, según corresponda.</w:t>
      </w:r>
    </w:p>
    <w:p w:rsidR="0026452D" w:rsidRDefault="0026452D" w:rsidP="0026452D">
      <w:pPr>
        <w:pStyle w:val="TextoNormal"/>
      </w:pPr>
    </w:p>
    <w:p w:rsidR="0026452D" w:rsidRDefault="0026452D" w:rsidP="0026452D">
      <w:pPr>
        <w:pStyle w:val="TextoNormal"/>
      </w:pPr>
      <w:r>
        <w:t>f) Estarán sometidos a controles específicos sobre la evolución de los gastos de personal y de la gestión de sus recursos humanos por las correspondientes concejalías, áreas u órganos equivalentes de la entidad local.</w:t>
      </w:r>
    </w:p>
    <w:p w:rsidR="0026452D" w:rsidRDefault="0026452D" w:rsidP="0026452D">
      <w:pPr>
        <w:pStyle w:val="TextoNormal"/>
      </w:pPr>
    </w:p>
    <w:p w:rsidR="0026452D" w:rsidRDefault="0026452D" w:rsidP="0026452D">
      <w:pPr>
        <w:pStyle w:val="TextoNormal"/>
      </w:pPr>
      <w:r>
        <w:t>g) Su inventario de bienes y derechos se remitirá anualmente a la concejalía, área u órgano equivalente de la entidad local.</w:t>
      </w:r>
    </w:p>
    <w:p w:rsidR="0026452D" w:rsidRDefault="0026452D" w:rsidP="0026452D">
      <w:pPr>
        <w:pStyle w:val="TextoNormal"/>
      </w:pPr>
    </w:p>
    <w:p w:rsidR="0026452D" w:rsidRDefault="0026452D" w:rsidP="0026452D">
      <w:pPr>
        <w:pStyle w:val="TextoNormal"/>
      </w:pPr>
      <w:r>
        <w:t>h) Será necesaria la autorización de la concejalía, área u órgano equivalente de la entidad local a la que se encuentren adscritos, para celebrar contratos de cuantía superior a las cantidades previamente fijadas por aquélla.</w:t>
      </w:r>
    </w:p>
    <w:p w:rsidR="0026452D" w:rsidRDefault="0026452D" w:rsidP="0026452D">
      <w:pPr>
        <w:pStyle w:val="TextoNormal"/>
      </w:pPr>
    </w:p>
    <w:p w:rsidR="0026452D" w:rsidRDefault="0026452D" w:rsidP="0026452D">
      <w:pPr>
        <w:pStyle w:val="TextoNormal"/>
      </w:pPr>
      <w:r>
        <w:lastRenderedPageBreak/>
        <w:t>i) Estarán sometidos a un control de eficacia por la concejalía, área u órgano equivalente de la entidad local a la que estén adscritos.</w:t>
      </w:r>
    </w:p>
    <w:p w:rsidR="0026452D" w:rsidRDefault="0026452D" w:rsidP="0026452D">
      <w:pPr>
        <w:pStyle w:val="TextoNormal"/>
      </w:pPr>
    </w:p>
    <w:p w:rsidR="0026452D" w:rsidRDefault="0026452D" w:rsidP="0026452D">
      <w:pPr>
        <w:pStyle w:val="TextoNormal"/>
      </w:pPr>
      <w:r>
        <w:t>j) Cualquier otra referencia a órganos estatales efectuada en la Ley 6/1997, de 14 de abril, y demás normativa estatal aplicable, se entenderá realizada a los órganos competentes de la entidad local.</w:t>
      </w:r>
    </w:p>
    <w:p w:rsidR="0026452D" w:rsidRDefault="0026452D" w:rsidP="0026452D">
      <w:pPr>
        <w:pStyle w:val="TextoNormal"/>
      </w:pPr>
    </w:p>
    <w:p w:rsidR="0026452D" w:rsidRDefault="0026452D" w:rsidP="0026452D">
      <w:pPr>
        <w:pStyle w:val="TextoNormal"/>
      </w:pPr>
      <w:r>
        <w:t>Las referencias efectuadas en el presente artículo a la Junta de Gobierno, se entenderán efectuadas al Pleno en los municipios en que no exista aquélla.</w:t>
      </w:r>
    </w:p>
    <w:p w:rsidR="0026452D" w:rsidRDefault="0026452D" w:rsidP="0026452D">
      <w:pPr>
        <w:pStyle w:val="TextoNormal"/>
      </w:pPr>
    </w:p>
    <w:p w:rsidR="0026452D" w:rsidRDefault="0026452D" w:rsidP="0026452D">
      <w:pPr>
        <w:pStyle w:val="TextoNormal"/>
      </w:pPr>
      <w:r>
        <w:t>2. Los estatutos de los organismos autónomos locales y de las entidades públicas empresariales locales comprenderán los siguientes extremos:</w:t>
      </w:r>
    </w:p>
    <w:p w:rsidR="0026452D" w:rsidRDefault="0026452D" w:rsidP="0026452D">
      <w:pPr>
        <w:pStyle w:val="TextoNormal"/>
      </w:pPr>
    </w:p>
    <w:p w:rsidR="0026452D" w:rsidRDefault="0026452D" w:rsidP="0026452D">
      <w:pPr>
        <w:pStyle w:val="TextoNormal"/>
      </w:pPr>
      <w:r>
        <w:t>a) La determinación de los máximos órganos de dirección del organismo, ya sean unipersonales o colegiados, así como su forma de designación, con respeto en todo caso a lo dispuesto en el apartado anterior, con indicación de aquellos actos y resoluciones que agoten la vía administrativa.</w:t>
      </w:r>
    </w:p>
    <w:p w:rsidR="0026452D" w:rsidRDefault="0026452D" w:rsidP="0026452D">
      <w:pPr>
        <w:pStyle w:val="TextoNormal"/>
      </w:pPr>
    </w:p>
    <w:p w:rsidR="0026452D" w:rsidRDefault="0026452D" w:rsidP="0026452D">
      <w:pPr>
        <w:pStyle w:val="TextoNormal"/>
      </w:pPr>
      <w:r>
        <w:t>b) Las funciones y competencias del organismo, con indicación de las potestades administrativas generales que éste puede ejercitar.</w:t>
      </w:r>
    </w:p>
    <w:p w:rsidR="0026452D" w:rsidRDefault="0026452D" w:rsidP="0026452D">
      <w:pPr>
        <w:pStyle w:val="TextoNormal"/>
      </w:pPr>
    </w:p>
    <w:p w:rsidR="0026452D" w:rsidRDefault="0026452D" w:rsidP="0026452D">
      <w:pPr>
        <w:pStyle w:val="TextoNormal"/>
      </w:pPr>
      <w:r>
        <w:t>c) En el caso de las entidades públicas empresariales, los estatutos también determinarán los órganos a los que se confiera el ejercicio de las potestades administrativas.</w:t>
      </w:r>
    </w:p>
    <w:p w:rsidR="0026452D" w:rsidRDefault="0026452D" w:rsidP="0026452D">
      <w:pPr>
        <w:pStyle w:val="TextoNormal"/>
      </w:pPr>
    </w:p>
    <w:p w:rsidR="0026452D" w:rsidRDefault="0026452D" w:rsidP="0026452D">
      <w:pPr>
        <w:pStyle w:val="TextoNormal"/>
      </w:pPr>
      <w:r>
        <w:t>d) El patrimonio que se les asigne para el cumplimiento de sus fines y los recursos económicos que hayan de financiar el organismo.</w:t>
      </w:r>
    </w:p>
    <w:p w:rsidR="0026452D" w:rsidRDefault="0026452D" w:rsidP="0026452D">
      <w:pPr>
        <w:pStyle w:val="TextoNormal"/>
      </w:pPr>
    </w:p>
    <w:p w:rsidR="0026452D" w:rsidRDefault="0026452D" w:rsidP="0026452D">
      <w:pPr>
        <w:pStyle w:val="TextoNormal"/>
      </w:pPr>
      <w:r>
        <w:t>e) El régimen relativo a recursos humanos, patrimonio y contratación.</w:t>
      </w:r>
    </w:p>
    <w:p w:rsidR="0026452D" w:rsidRDefault="0026452D" w:rsidP="0026452D">
      <w:pPr>
        <w:pStyle w:val="TextoNormal"/>
      </w:pPr>
    </w:p>
    <w:p w:rsidR="0026452D" w:rsidRDefault="0026452D" w:rsidP="0026452D">
      <w:pPr>
        <w:pStyle w:val="TextoNormal"/>
      </w:pPr>
      <w:r>
        <w:t>f) El régimen presupuestario, económico-financiero, de contabilidad, de intervención, control financiero y control de eficacia, que serán, en todo caso, conformes con la legislación sobre las Haciendas Locales y con lo dispuesto en el capítulo III del título X de esta Ley.</w:t>
      </w:r>
    </w:p>
    <w:p w:rsidR="0026452D" w:rsidRDefault="0026452D" w:rsidP="0026452D">
      <w:pPr>
        <w:pStyle w:val="TextoNormal"/>
      </w:pPr>
    </w:p>
    <w:p w:rsidR="0026452D" w:rsidRDefault="0026452D" w:rsidP="0026452D">
      <w:pPr>
        <w:pStyle w:val="TextoNormal"/>
      </w:pPr>
      <w:r>
        <w:t>3. Los estatutos deberán ser aprobados y publicados con carácter previo a la entrada en funcionamiento efectivo del organismo público correspondiente.”</w:t>
      </w:r>
    </w:p>
    <w:p w:rsidR="0026452D" w:rsidRDefault="0026452D" w:rsidP="0026452D">
      <w:pPr>
        <w:pStyle w:val="TextoNormal"/>
      </w:pPr>
    </w:p>
    <w:p w:rsidR="0026452D" w:rsidRDefault="0026452D" w:rsidP="0026452D">
      <w:pPr>
        <w:pStyle w:val="TextoNormal"/>
      </w:pPr>
      <w:r>
        <w:t xml:space="preserve">Entiende el Letrado del Parlamento de Cataluña que si el primer apartado de este precepto se hubiera limitado a señalar que la gestión directa de los servicios de la competencia local se regirán respectivamente por lo dispuesto en los art. 45 a 52 y 53 a 60 de la Ley 6/1997, de 14 de abril, de organización y funcionamiento de la Administración General del Estado (en adelante LOFAGE), en lo que les resulte de aplicación, y no hubiera contemplado de forma tan detallada la regulación de las especialidades para los servicios locales, la mencionada regulación reuniría las condiciones de lo básico. Al no haberlo hecho así, solicita la declaración de inconstitucionalidad de la disposición final primera, en relación con el art. 85 bis LBRL, en su primer párrafo, a partir de “con las siguientes especialidades” hasta el final, y del apartado segundo de este mismo precepto, que regula el contenido de los Estatutos de los organismos autónomos locales y de las entidades públicas empresariales. Existe, </w:t>
      </w:r>
      <w:r>
        <w:lastRenderedPageBreak/>
        <w:t>en su opinión, una vinculación directa entre la libertad de elección por la entidad local de la forma concreta de prestación de los servicios municipales, la potestad de autoorganización y a la autonomía local, pues la forma en que se deben prestar los servicios esenciales está vinculada a su razón de ser, que no es otra que la satisfacción de los intereses de los vecinos que deben poder participar a la hora de elegir la forma societaria concreta para gestionar un servicio público, tal y como establece el art. 244 del Decreto Legislativo catalán 2/2003, de 28 de abril. Por otra parte, la regulación de las especialidades relativas al ámbito local y al contenido de los estatutos de las entidades instrumentales, forma parte de la competencia del legislador autonómico sobre desarrollo de las bases. Por el contrario, entiende el Abogado del Estado que el art. 149.1.18 CE otorga al Estado una competencia para regular aquellos aspectos que permitan que este tipo de entes puedan ser reconocidos como tales, no siendo desproporcionado ninguno de los requisitos exigidos en relación a la imagen que se tiene de ellos en el Derecho administrativo, sin que se impida el desarrollo legislativo por parte de las Comunidades Autónomas y menos aún la libertad de elección de las entidades locales entre las distintas formas de gestión, ni su competencia autoorganizativa, que se manifiesta también en la aprobación de los estatutos.</w:t>
      </w:r>
    </w:p>
    <w:p w:rsidR="0026452D" w:rsidRDefault="0026452D" w:rsidP="0026452D">
      <w:pPr>
        <w:pStyle w:val="TextoNormal"/>
      </w:pPr>
    </w:p>
    <w:p w:rsidR="0026452D" w:rsidRDefault="0026452D" w:rsidP="0026452D">
      <w:pPr>
        <w:pStyle w:val="TextoNormal"/>
      </w:pPr>
      <w:r>
        <w:t>Debemos rechazar la alegación según la cual, se habría vulnerado la autonomía local por la eliminación de la capacidad de las entidades locales para elegir una forma u otra de gestión de los servicios de su competencia, sin que se ofrezca razón alguna más allá del carácter pormenorizado de la regulación estatal en lo relativo a las especialidades de estos organismos en el ámbito local y al contenido necesario de los estatutos. Tal y como alega el Abogado del Estado, ninguna de las determinaciones del art. 85 bis.1 LBRL impide a las entidades locales elegir la forma de gestión que estimen más adecuada para la prestación de los servicios de su competencia. El art. 85 bis.1 a) LBRL se limita a señalar que la creación de organismos autónomos y entidades públicas empresariales se acordará por el Pleno de la entidad también competente para aprobar sus Estatutos, quedando en sus manos la elección, a la vista de las reglas de organización que el legislador establece para las entidades instrumentales locales, entre las formas de gestión directa o indirecta a las que se refiere el art. 85.2 LBRL, y configurar el régimen de sus entidades instrumentales, dentro del marco legalmente establecido, mediante la aprobación de los estatutos. Todo ello, sin que el Letrado del Parlamento haya intentado siquiera justificar cuáles de estas reglas o porqué todas ellas en su conjunto vulneran el contenido esencial que constituye ese núcleo irreductible de la autonomía local que les hace recognoscibles para la imagen que de la misma tiene la conciencia social en cada tiempo y lugar (STC 109/1998, FJ 2) y garantiza el gobierno de los intereses que les son propios.</w:t>
      </w:r>
    </w:p>
    <w:p w:rsidR="0026452D" w:rsidRDefault="0026452D" w:rsidP="0026452D">
      <w:pPr>
        <w:pStyle w:val="TextoNormal"/>
      </w:pPr>
    </w:p>
    <w:p w:rsidR="0026452D" w:rsidRDefault="0026452D" w:rsidP="0026452D">
      <w:pPr>
        <w:pStyle w:val="TextoNormal"/>
      </w:pPr>
      <w:r>
        <w:t>En consecuencia, debemos rechazar la inconstitucionalidad del art. 85 bis.1, primer párrafo a partir de “con las siguientes especialidades” hasta el final del apartado 1 y el artículo 85 bis.2 LBRL, apartados 1 y 2 del art. 85 bis LBRL por vulneración de la garantía institucional de la autonomía local.</w:t>
      </w:r>
    </w:p>
    <w:p w:rsidR="0026452D" w:rsidRDefault="0026452D" w:rsidP="0026452D">
      <w:pPr>
        <w:pStyle w:val="TextoNormal"/>
      </w:pPr>
    </w:p>
    <w:p w:rsidR="0026452D" w:rsidRDefault="0026452D" w:rsidP="0026452D">
      <w:pPr>
        <w:pStyle w:val="TextoNormal"/>
      </w:pPr>
      <w:r>
        <w:t xml:space="preserve">Se plantea, en segundo lugar, la vulneración de las competencias autonómicas por una legislación básica que se remite a la LOFAGE para la regulación de los organismos autónomos y entidades públicas empresariales locales y, después, regula sus especialidades. Lo que se niega es, pues, la competencia del Estado para establecer las especialidades de los organismos públicos locales. Forma parte de la competencia estatal para regular la organización de las entidades instrumentales locales, </w:t>
      </w:r>
      <w:r w:rsidRPr="0026452D">
        <w:rPr>
          <w:i/>
        </w:rPr>
        <w:t>ex</w:t>
      </w:r>
      <w:r>
        <w:t xml:space="preserve"> art. 149.1.18 CE, aquellos aspectos que </w:t>
      </w:r>
      <w:r>
        <w:lastRenderedPageBreak/>
        <w:t>son necesarios para establecer un modelo común que, en todo caso, garantice un tratamiento común a los administrados, sin que exista razón alguna, que tampoco alega la representación del Parlamento de Cataluña, que permita afirmar que la competencia del Estado solo alcanza el establecimiento de un modelo, común para el Estado y las entidades locales —mediante la técnica de la remisión a la LOFAGE—, debiendo ser las Comunidades Autónomas las que, en ejercicio de su competencia de desarrollo legislativo de las bases estatales, lo modulen para las entidades locales. Como quiera que la demanda carece de cualquier tipo de argumentación sobre el exceso en que habría incurrido el Estado al regular cada una de las especialidades del apartado impugnado, no podemos desvirtuar la presunción de constitucionalidad de las normas con rango de ley impugnadas (STC 248/2007, de 13 de diciembre, FJ 1).</w:t>
      </w:r>
    </w:p>
    <w:p w:rsidR="0026452D" w:rsidRDefault="0026452D" w:rsidP="0026452D">
      <w:pPr>
        <w:pStyle w:val="TextoNormal"/>
      </w:pPr>
    </w:p>
    <w:p w:rsidR="0026452D" w:rsidRDefault="0026452D" w:rsidP="0026452D">
      <w:pPr>
        <w:pStyle w:val="TextoNormal"/>
      </w:pPr>
      <w:r>
        <w:t>Debemos, en consecuencia, rechazar la inconstitucionalidad del inciso, del primer párrafo, del apartado 1 del art. 85 bis.1 LBRL, desde “con la siguientes especialidades” hasta el final, así como la de la disposición final primera en lo que a éste se refiere.</w:t>
      </w:r>
    </w:p>
    <w:p w:rsidR="0026452D" w:rsidRDefault="0026452D" w:rsidP="0026452D">
      <w:pPr>
        <w:pStyle w:val="TextoNormal"/>
      </w:pPr>
    </w:p>
    <w:p w:rsidR="0026452D" w:rsidRDefault="0026452D" w:rsidP="0026452D">
      <w:pPr>
        <w:pStyle w:val="TextoNormal"/>
      </w:pPr>
      <w:r>
        <w:t>e) Se analizará a continuación, por razones de sistemática, la impugnación de una serie de preceptos que regulan determinados órganos de los municipios de gran población que compartirían, en opinión del Parlamento catalán, las mismas causas de inconstitucionalidad. Se trata, en concreto, de los arts. 20.1 d) y 132 LBRL, que se refieren a la comisión especial de sugerencias y reclamaciones; 128 LBRL, que regula los distritos municipales; 129 LBRL, relativo a la asesoría jurídica; 130 LBRL, sobre órganos superiores y directivos; 131 LBRL, que regula el consejo social de la ciudad y, finalmente, por conexión con los anteriores, el art. 123.1 c) LBRL</w:t>
      </w:r>
    </w:p>
    <w:p w:rsidR="0026452D" w:rsidRDefault="0026452D" w:rsidP="0026452D">
      <w:pPr>
        <w:pStyle w:val="TextoNormal"/>
      </w:pPr>
    </w:p>
    <w:p w:rsidR="0026452D" w:rsidRDefault="0026452D" w:rsidP="0026452D">
      <w:pPr>
        <w:pStyle w:val="TextoNormal"/>
      </w:pPr>
      <w:r>
        <w:t>La razón invocada por el Letrado del Parlamento autonómico es, en esencia, que el diseño acabado que impone la Ley de medidas para la modernización del gobierno local de los órganos municipales, en los municipios de gran población, no deja margen para el desarrollo legislativo de la estructura organizativa por parte de las Comunidades Autónomas y tampoco para la potestad de autoorganización de las entidades locales. En esta crítica de inconstitucionalidad subyace el reproche de la contradicción que existiría entre el propósito anunciado en la exposición de motivos de la Ley medidas para la modernización del gobierno local de terminar con el criterio uniformista del régimen local tradicional, estableciendo un régimen especial para las grandes urbes o municipios de gran población, y el incremento de la densidad normativa de las bases estatales sobre los órganos de los grandes municipios.</w:t>
      </w:r>
    </w:p>
    <w:p w:rsidR="0026452D" w:rsidRDefault="0026452D" w:rsidP="0026452D">
      <w:pPr>
        <w:pStyle w:val="TextoNormal"/>
      </w:pPr>
    </w:p>
    <w:p w:rsidR="0026452D" w:rsidRDefault="0026452D" w:rsidP="0026452D">
      <w:pPr>
        <w:pStyle w:val="TextoNormal"/>
      </w:pPr>
      <w:r>
        <w:t xml:space="preserve">La reforma operada por la Ley de medidas para la modernización del gobierno local en el modelo de organización municipal pretende, según su exposición de motivos, dar respuesta a las necesidades de los municipios altamente poblados para los que resulta insuficiente el modelo municipal existente, necesidades que fueron puestas de manifiesto en el acuerdo del Pleno del Senado de 27 de marzo de 2003 (“Boletín Oficial de las Cortes Generales” núm. 628, de 31 de marzo de 2003) por el que se aprueba el dictamen de la Comisión de las Entidades Locales en relación con el informe sobre las grandes ciudades y las áreas de influencia urbanas. En dicho acuerdo se pone el acento en la necesidad de acercar la política local a los ciudadanos y de reforzar su estructura y funcionamiento. En él se destaca, en lo que en este momento interesa, el interés en potenciar los mecanismos de participación ciudadana y de protección de los derechos de los vecinos frente a la Administración, para lo que se recomienda la creación de órganos específicos como el consejo social </w:t>
      </w:r>
      <w:r>
        <w:lastRenderedPageBreak/>
        <w:t>de la ciudad y, en segundo lugar, la necesidad de intensificar el acercamiento de la administración al ciudadano, creando divisiones territoriales internas en aquellos municipios en que por su tamaño, dispersión o diversidad, sea necesario garantizar que los problemas de cada zona del territorio tienen cabida en la política municipal, facilitando la participación vecinal. Para ello, se establece un nuevo diseño organizativo, caracterizado por la ampliación de los órganos básicos de existencia preceptiva en los municipios de gran población.</w:t>
      </w:r>
    </w:p>
    <w:p w:rsidR="0026452D" w:rsidRDefault="0026452D" w:rsidP="0026452D">
      <w:pPr>
        <w:pStyle w:val="TextoNormal"/>
      </w:pPr>
    </w:p>
    <w:p w:rsidR="0026452D" w:rsidRDefault="0026452D" w:rsidP="0026452D">
      <w:pPr>
        <w:pStyle w:val="TextoNormal"/>
      </w:pPr>
      <w:r>
        <w:t>El diseño básico de la organización municipal había comprendido tradicionalmente, los órganos de gobierno y de representación directamente enraizados en el art. 140 CE: Alcalde, tenientes de Alcalde, Pleno, Comisión de gobierno y, en ausencia de regulación autonómica, un órgano representativo de estudio, informe o consulta de los asuntos del Pleno y seguimiento del ejecutivo local. La organización complementaria correspondía diseñarla a las Comunidades Autónomas. Tras la reforma operada por la Ley de medidas para la modernización del gobierno local en los municipios de gran población, el elenco de órganos que componen esta organización básica se ha ampliado, con la correlativa disminución de la organización complementaria cuya regulación corresponde a las Comunidades Autónomas y a la potestad organizativa de los entes locales.</w:t>
      </w:r>
    </w:p>
    <w:p w:rsidR="0026452D" w:rsidRDefault="0026452D" w:rsidP="0026452D">
      <w:pPr>
        <w:pStyle w:val="TextoNormal"/>
      </w:pPr>
    </w:p>
    <w:p w:rsidR="0026452D" w:rsidRDefault="0026452D" w:rsidP="0026452D">
      <w:pPr>
        <w:pStyle w:val="TextoNormal"/>
      </w:pPr>
      <w:r>
        <w:t>Este Tribunal se ha pronunciado ya sobre el alcance de las competencias estatales y autonómicas en materia de organización local. Así, en la STC 32/1981, de 28 de julio, FJ 5, señalamos que aun cuando la garantía constitucional es de carácter general y configuradora de un modelo de Estado, pues corresponde a éste fijar los principios o criterios básicos en materia de organización y competencia de general aplicación en todo el Estado, debe permitir opciones diversas, pues la potestad normativa de las Comunidades Autónomas no es en estos supuestos de “carácter reglamentario”. Asimismo, con motivo de la impugnación del artículo 20.3 LBRL que remitía a los reglamentos orgánicos la regulación de órganos complementarios municipales en el marco de la regulación básica, dijimos que en materia organizativa local la Constitución contempla tres ámbitos normativos —Estado, Comunidades Autónomas y municipios— y, de acuerdo con este modelo constitucional, entendimos que si bien el reconocimiento a los municipios de la potestad de autoorganización no plantea problema constitucional alguno, el límite no puede venir dado por el respeto de los órganos necesarios establecidos por la ley básica estatal, debiéndose reconocer un espacio normativo para el desarrollo autonómico en materia de organización municipal (STC 214/1989, de 21 de diciembre, FJ 6). Por último, en relación al título competencial del art. 149.1.18 CE, tenemos señalado que la definición de las bases, en el ámbito de la legislación compartida, tiene por objeto crear un marco normativo unitario, de aplicación a todo el territorio nacional, dentro del cual, las Comunidades Autónomas dispongan de un margen de actuación que les permita, mediante la competencia de desarrollo legislativo, establecer los ordenamientos complementarios que satisfagan sus peculiares intereses. Por ello, en principio, debe entenderse que excede de lo básico toda aquella ordenación que, por su minuciosidad y detalle, no deje espacio alguno a la competencia autonómica de desarrollo legislativo, margen del legislador estatal que resulta menor en aquellas cuestiones que se refieran a organización y funcionamiento internos de los órganos que en aquellas otras que inciden en su actividad externa y sobre todo cuando afectan a la esfera de los derechos de los administrados (STC 50/1999, de 6 de abril, FJ 3).</w:t>
      </w:r>
    </w:p>
    <w:p w:rsidR="0026452D" w:rsidRDefault="0026452D" w:rsidP="0026452D">
      <w:pPr>
        <w:pStyle w:val="TextoNormal"/>
      </w:pPr>
    </w:p>
    <w:p w:rsidR="0026452D" w:rsidRDefault="0026452D" w:rsidP="0026452D">
      <w:pPr>
        <w:pStyle w:val="TextoNormal"/>
      </w:pPr>
      <w:r>
        <w:t xml:space="preserve">De la doctrina expuesta se puede concluir que la normativa básica en materia de régimen local debe ir dirigida a identificar aquel núcleo del ordenamiento que requiere de elementos </w:t>
      </w:r>
      <w:r>
        <w:lastRenderedPageBreak/>
        <w:t>comunes o uniformes en función de los intereses generales a los que sirve el Estado y que esta definición solo debe incluir aquellos aspectos que sean necesarios, sin quepa agotar todo el espacio normativo que debe corresponder al legislador autonómico, en especial en las cuestiones relacionadas con la organización y funcionamiento interno de los órganos.</w:t>
      </w:r>
    </w:p>
    <w:p w:rsidR="0026452D" w:rsidRDefault="0026452D" w:rsidP="0026452D">
      <w:pPr>
        <w:pStyle w:val="TextoNormal"/>
      </w:pPr>
    </w:p>
    <w:p w:rsidR="0026452D" w:rsidRDefault="0026452D" w:rsidP="0026452D">
      <w:pPr>
        <w:pStyle w:val="TextoNormal"/>
      </w:pPr>
      <w:r>
        <w:t>f) Se impugnan los arts. 20.1 d) y 132 LBRL que se refieren a la comisión especial de sugerencias y reclamaciones, cuya existencia es preceptiva en los municipios de gran población y puede crearse en aquellos otros en que así lo prevea el Reglamento orgánico o se apruebe con el voto favorable de la mitad más uno del numero legal de los miembros del Pleno, y el art. 131 LBRL, que consagra la existencia necesaria en estos municipios del consejo social.</w:t>
      </w:r>
    </w:p>
    <w:p w:rsidR="0026452D" w:rsidRDefault="0026452D" w:rsidP="0026452D">
      <w:pPr>
        <w:pStyle w:val="TextoNormal"/>
      </w:pPr>
    </w:p>
    <w:p w:rsidR="0026452D" w:rsidRDefault="0026452D" w:rsidP="0026452D">
      <w:pPr>
        <w:pStyle w:val="TextoNormal"/>
      </w:pPr>
      <w:r>
        <w:t>El Letrado del Parlamento de Cataluña justifica la inconstitucionalidad de estos preceptos, en que la existencia necesaria de estos órganos, con el detalle con que se ha regulado, elimina la posibilidad de desarrollo legislativo autonómico, y la potestad de autoorganización de los entes locales, cuya autonomía exige que pudieran optar por una amplia diversidad de fórmulas de entre las establecidas por la legislación autonómica. De ahí que debamos concluir que la duda de inconstitucionalidad solo se refiere a la regulación de la comisión especial de sugerencias y reclamaciones en los municipios de gran población, pero no se extiende a aquellos otros en que su creación se deja a la voluntad municipal.</w:t>
      </w:r>
    </w:p>
    <w:p w:rsidR="0026452D" w:rsidRDefault="0026452D" w:rsidP="0026452D">
      <w:pPr>
        <w:pStyle w:val="TextoNormal"/>
      </w:pPr>
    </w:p>
    <w:p w:rsidR="0026452D" w:rsidRDefault="0026452D" w:rsidP="0026452D">
      <w:pPr>
        <w:pStyle w:val="TextoNormal"/>
      </w:pPr>
      <w:r>
        <w:t>Por su parte, el Abogado del Estado insiste en la extensión de las bases, cuando se refieren a las relaciones de las entidades locales con los administrados, y considera que la composición y funcionamiento de estos órganos puede ser desarrollada por la legislación autonómica o por las normas de autoorganización de las corporaciones locales.</w:t>
      </w:r>
    </w:p>
    <w:p w:rsidR="0026452D" w:rsidRDefault="0026452D" w:rsidP="0026452D">
      <w:pPr>
        <w:pStyle w:val="TextoNormal"/>
      </w:pPr>
    </w:p>
    <w:p w:rsidR="0026452D" w:rsidRDefault="0026452D" w:rsidP="0026452D">
      <w:pPr>
        <w:pStyle w:val="TextoNormal"/>
      </w:pPr>
      <w:r>
        <w:t>Los preceptos impugnados prevén lo siguiente:</w:t>
      </w:r>
    </w:p>
    <w:p w:rsidR="0026452D" w:rsidRDefault="0026452D" w:rsidP="0026452D">
      <w:pPr>
        <w:pStyle w:val="TextoNormal"/>
      </w:pPr>
    </w:p>
    <w:p w:rsidR="0026452D" w:rsidRDefault="0026452D" w:rsidP="0026452D">
      <w:pPr>
        <w:pStyle w:val="TextoNormal"/>
      </w:pPr>
      <w:r>
        <w:t>“Art. 20</w:t>
      </w:r>
    </w:p>
    <w:p w:rsidR="0026452D" w:rsidRDefault="0026452D" w:rsidP="0026452D">
      <w:pPr>
        <w:pStyle w:val="TextoNormal"/>
      </w:pPr>
    </w:p>
    <w:p w:rsidR="0026452D" w:rsidRDefault="0026452D" w:rsidP="0026452D">
      <w:pPr>
        <w:pStyle w:val="TextoNormal"/>
      </w:pPr>
      <w:r>
        <w:t>1. La organización municipal responde a las siguientes reglas: …: d) La Comisión Especial de Sugerencias y Reclamaciones existe en los municipios señalados en el título X, y en aquellos otros en que el Pleno así lo acuerde, por el voto favorable de la mayoría absoluta del número legal de sus miembros, o así lo disponga su Reglamento orgánico.”</w:t>
      </w:r>
    </w:p>
    <w:p w:rsidR="0026452D" w:rsidRDefault="0026452D" w:rsidP="0026452D">
      <w:pPr>
        <w:pStyle w:val="TextoNormal"/>
      </w:pPr>
    </w:p>
    <w:p w:rsidR="0026452D" w:rsidRDefault="0026452D" w:rsidP="0026452D">
      <w:pPr>
        <w:pStyle w:val="TextoNormal"/>
      </w:pPr>
      <w:r>
        <w:t>“Art 132. Defensa de los derechos de los vecinos</w:t>
      </w:r>
    </w:p>
    <w:p w:rsidR="0026452D" w:rsidRDefault="0026452D" w:rsidP="0026452D">
      <w:pPr>
        <w:pStyle w:val="TextoNormal"/>
      </w:pPr>
    </w:p>
    <w:p w:rsidR="0026452D" w:rsidRDefault="0026452D" w:rsidP="0026452D">
      <w:pPr>
        <w:pStyle w:val="TextoNormal"/>
      </w:pPr>
      <w:r>
        <w:t>1. Para la defensa de los derechos de los vecinos ante la Administración municipal, el Pleno creará una Comisión especial de Sugerencias y Reclamaciones, cuyo funcionamiento se regulará en normas de carácter orgánico.</w:t>
      </w:r>
    </w:p>
    <w:p w:rsidR="0026452D" w:rsidRDefault="0026452D" w:rsidP="0026452D">
      <w:pPr>
        <w:pStyle w:val="TextoNormal"/>
      </w:pPr>
    </w:p>
    <w:p w:rsidR="0026452D" w:rsidRDefault="0026452D" w:rsidP="0026452D">
      <w:pPr>
        <w:pStyle w:val="TextoNormal"/>
      </w:pPr>
      <w:r>
        <w:t>2. La Comisión especial de Sugerencias y Reclamaciones estará formada por representantes de todos los grupos que integren el Pleno, de forma proporcional al número de miembros que tengan en el mismo.</w:t>
      </w:r>
    </w:p>
    <w:p w:rsidR="0026452D" w:rsidRDefault="0026452D" w:rsidP="0026452D">
      <w:pPr>
        <w:pStyle w:val="TextoNormal"/>
      </w:pPr>
    </w:p>
    <w:p w:rsidR="0026452D" w:rsidRDefault="0026452D" w:rsidP="0026452D">
      <w:pPr>
        <w:pStyle w:val="TextoNormal"/>
      </w:pPr>
      <w:r>
        <w:t xml:space="preserve">3. La citada Comisión podrá supervisar la actividad de la Administración municipal, y deberá dar cuenta al Pleno, mediante un informe anual, de las quejas presentadas y de las </w:t>
      </w:r>
      <w:r>
        <w:lastRenderedPageBreak/>
        <w:t>deficiencias observadas en el funcionamiento de los servicios municipales, con especificación de las sugerencias o recomendaciones no admitidas por la Administración municipal. No obstante, también podrá realizar informes extraordinarios cuando la gravedad o la urgencia de los hechos lo aconsejen.</w:t>
      </w:r>
    </w:p>
    <w:p w:rsidR="0026452D" w:rsidRDefault="0026452D" w:rsidP="0026452D">
      <w:pPr>
        <w:pStyle w:val="TextoNormal"/>
      </w:pPr>
    </w:p>
    <w:p w:rsidR="0026452D" w:rsidRDefault="0026452D" w:rsidP="0026452D">
      <w:pPr>
        <w:pStyle w:val="TextoNormal"/>
      </w:pPr>
      <w:r>
        <w:t>4. Para el desarrollo de sus funciones, todos los órganos de Gobierno y de la Administración municipal están obligados a colaborar con la Comisión de Sugerencias y Reclamaciones.”</w:t>
      </w:r>
    </w:p>
    <w:p w:rsidR="0026452D" w:rsidRDefault="0026452D" w:rsidP="0026452D">
      <w:pPr>
        <w:pStyle w:val="TextoNormal"/>
      </w:pPr>
    </w:p>
    <w:p w:rsidR="0026452D" w:rsidRDefault="0026452D" w:rsidP="0026452D">
      <w:pPr>
        <w:pStyle w:val="TextoNormal"/>
      </w:pPr>
      <w:r>
        <w:t>“Art.131. El Consejo Social de la Ciudad</w:t>
      </w:r>
    </w:p>
    <w:p w:rsidR="0026452D" w:rsidRDefault="0026452D" w:rsidP="0026452D">
      <w:pPr>
        <w:pStyle w:val="TextoNormal"/>
      </w:pPr>
    </w:p>
    <w:p w:rsidR="0026452D" w:rsidRDefault="0026452D" w:rsidP="0026452D">
      <w:pPr>
        <w:pStyle w:val="TextoNormal"/>
      </w:pPr>
      <w:r>
        <w:t>1. En los municipios señalados en este título, existirá un Consejo Social de la Ciudad, integrado por representantes de las organizaciones económicas, sociales, profesionales y de vecinos más representativas.</w:t>
      </w:r>
    </w:p>
    <w:p w:rsidR="0026452D" w:rsidRDefault="0026452D" w:rsidP="0026452D">
      <w:pPr>
        <w:pStyle w:val="TextoNormal"/>
      </w:pPr>
    </w:p>
    <w:p w:rsidR="0026452D" w:rsidRDefault="0026452D" w:rsidP="0026452D">
      <w:pPr>
        <w:pStyle w:val="TextoNormal"/>
      </w:pPr>
      <w:r>
        <w:t>2. Corresponderá a este Consejo, además de las funciones que determine el Pleno mediante normas orgánicas, la emisión de informes, estudios y propuestas en materia de desarrollo económico local, planificación estratégica de la ciudad y grandes proyectos urbanos.”</w:t>
      </w:r>
    </w:p>
    <w:p w:rsidR="0026452D" w:rsidRDefault="0026452D" w:rsidP="0026452D">
      <w:pPr>
        <w:pStyle w:val="TextoNormal"/>
      </w:pPr>
    </w:p>
    <w:p w:rsidR="0026452D" w:rsidRDefault="0026452D" w:rsidP="0026452D">
      <w:pPr>
        <w:pStyle w:val="TextoNormal"/>
      </w:pPr>
      <w:r>
        <w:t>Pues bien, más allá de lo establecido para los municipios de régimen general, uno de los objetivos de la nueva regulación orgánica de los municipios de gran población es el reforzamiento de la participación y la protección de los derechos de los ciudadanos, especialmente necesaria cuanto mayor es la población, pues la organización municipal se hace más compleja y se difumina, en buena medida, la proximidad a los administrados. La definición de estos objetivos, y en especial, la necesidad de reforzar, más allá de los ya existentes, los instrumentos de protección de los derechos de los administrados en municipios con necesidades específicas, forma parte de la competencia estatal para fijar las bases del régimen jurídico de las Administraciones públicas, lo que ni siquiera discute la representación letrada del Parlamento de Cataluña.</w:t>
      </w:r>
    </w:p>
    <w:p w:rsidR="0026452D" w:rsidRDefault="0026452D" w:rsidP="0026452D">
      <w:pPr>
        <w:pStyle w:val="TextoNormal"/>
      </w:pPr>
    </w:p>
    <w:p w:rsidR="0026452D" w:rsidRDefault="0026452D" w:rsidP="0026452D">
      <w:pPr>
        <w:pStyle w:val="TextoNormal"/>
      </w:pPr>
      <w:r>
        <w:t>Para el cumplimiento de este objetivo básico, el legislador estatal ha optado por un modelo de protección de derechos que se caracteriza por estar concentrado en un único órgano, cuya función viene a completar el sistema de distribución de atribuciones entre órganos de gobierno en los municipios de gran población.</w:t>
      </w:r>
    </w:p>
    <w:p w:rsidR="0026452D" w:rsidRDefault="0026452D" w:rsidP="0026452D">
      <w:pPr>
        <w:pStyle w:val="TextoNormal"/>
      </w:pPr>
    </w:p>
    <w:p w:rsidR="0026452D" w:rsidRDefault="0026452D" w:rsidP="0026452D">
      <w:pPr>
        <w:pStyle w:val="TextoNormal"/>
      </w:pPr>
      <w:r>
        <w:t>El Pleno ha quedado configurado en este tipo de municipios como un órgano con potestad normativa, de debate de las grandes políticas locales, de adopción de decisiones estratégicas y de control del poder “ejecutivo”, función ésta última en la que se enmarca la competencia de informe de este órgano y la obligación que se le impone de presentar al Pleno sus informes. En efecto, el art. 132.3 LBRL regula el contenido del informe anual, que incluirá las quejas presentadas, las deficiencias observadas y las sugerencias que no han sido admitidas por la administración, y contempla la existencia de informes extraordinarios, con un contenido que no se especifica, en situaciones de especial urgencia o necesidad. La regulación del contenido del informe ordinario y la previsión de informes extraordinarios garantiza que, en todos los municipios, el Pleno cuente con la información que le permita ejercer su función de control, sin perjuicio de aquellos otros contenidos que puedan establecerse por la legislación autonómica de desarrollo o por las entidades locales.</w:t>
      </w:r>
    </w:p>
    <w:p w:rsidR="0026452D" w:rsidRDefault="0026452D" w:rsidP="0026452D">
      <w:pPr>
        <w:pStyle w:val="TextoNormal"/>
      </w:pPr>
    </w:p>
    <w:p w:rsidR="0026452D" w:rsidRDefault="0026452D" w:rsidP="0026452D">
      <w:pPr>
        <w:pStyle w:val="TextoNormal"/>
      </w:pPr>
      <w:r>
        <w:lastRenderedPageBreak/>
        <w:t>En cuanto a su composición, el art. 132.2 LBRL prevé que estará formada por los grupos políticos, con representación proporcional a la que tienen en el Pleno, a diferencia de lo que establece, por ejemplo, el art. 59 del Decreto Legislativo 2/2003, de 28 de abril, que aprueba el texto refundido de la Ley municipal y de régimen local de Cataluña al regular el síndic municipal de greuges. La atribución de la función de control a un órgano integrado por concejales, así como la exigencia de que la representación de los grupos políticos sea proporcional a la que ostentan en el Pleno, encuentran cobertura en el título del art. 149.1.18 CE, pues inciden directamente en las atribuciones de los representantes electos y definen la regla de formación de la voluntad del órgano que se considera más acorde con el principio del mandato representativo.</w:t>
      </w:r>
    </w:p>
    <w:p w:rsidR="0026452D" w:rsidRDefault="0026452D" w:rsidP="0026452D">
      <w:pPr>
        <w:pStyle w:val="TextoNormal"/>
      </w:pPr>
    </w:p>
    <w:p w:rsidR="0026452D" w:rsidRDefault="0026452D" w:rsidP="0026452D">
      <w:pPr>
        <w:pStyle w:val="TextoNormal"/>
      </w:pPr>
      <w:r>
        <w:t>La regulación de esta comisión se completa con la obligación de colaboración de todos los órganos de gobierno y administración, que es necesaria para garantizar el correcto ejercicio de la función que tiene atribuida y la previsión según la cual las normas que regulan el funcionamiento de este órgano deben tener naturaleza orgánica (art. 132.1 LBRL), lo que conlleva la exigencia de un especial consenso entre los grupos políticos para su aprobación. La exigencia de mayoría absoluta no es sino una regla de funcionamiento del Pleno, pues afecta a la formación de la voluntad de este órgano de gobierno municipal, siendo así que tal y como señalamos en nuestra Sentencia 33/1993, de 1 de febrero, FJ 3, “es evidente que uno de los aspectos sustanciales del modelo de autonomía local garantizado en todo el Estado atañe al funcionamiento democrático de los órganos de gobierno de las Corporaciones Locales y, dentro de él, en concreto, a lo que afecta al quorum y mayorías necesarias para la adopción de acuerdos de los órganos colegiados superiores, ya que los preceptos relativos a estas cuestiones definen precisamente un modelo de democracia local”.</w:t>
      </w:r>
    </w:p>
    <w:p w:rsidR="0026452D" w:rsidRDefault="0026452D" w:rsidP="0026452D">
      <w:pPr>
        <w:pStyle w:val="TextoNormal"/>
      </w:pPr>
    </w:p>
    <w:p w:rsidR="0026452D" w:rsidRDefault="0026452D" w:rsidP="0026452D">
      <w:pPr>
        <w:pStyle w:val="TextoNormal"/>
      </w:pPr>
      <w:r>
        <w:t>A la vista de lo expuesto, debemos concluir que la existencia preceptiva de un órgano específico con el que se pretende obtener un nivel adecuado de protección de los derechos de los vecinos en aquellos municipios en que, por sus especiales características, resulta necesario establecer mecanismos especiales que intensifiquen dicha protección, así como las normas que regulan su composición, funcionamiento, funciones y sus relaciones con el Pleno, responden a la finalidad de la competencia estatal, que no es otra que identificar el núcleo de elementos comunes o uniformes del modelo de autonomía municipal, en función de los intereses generales de los que el Estado es exponente. Esta competencia estatal alcanza a la regulación de la “composición, estructura y competencias de los órganos de las Administraciones públicas” (SSTC 32/1981, FJ 6 y 50/1999, de 6 de abril, FJ 3), teniendo en cuenta que, por tratarse de un órgano cuya función principal consiste en la protección de los derechos de terceros, en atender sus reclamaciones y hacer las correspondientes sugerencias a la Administración municipal (art. 132.1 y 3 LBRL), resulta necesaria una mayor intensidad de regulación para garantizar un tratamiento común de los administrados. Además, no se ve impedida la competencia del legislador autonómico para desarrollar la regulación básica, pues ni se excluye la competencia de las Comunidades Autónomas para la regulación de la organización complementaria de los municipios de gran población en la medida en que el art. 20.2 LBRL, aplicable a todo tipo de municipios, no ha sido modificado, ni la atribución al Pleno de la competencia de autoorganización para regular este órgano excluye la competencia autonómica para el desarrollo legislativo, pues el art. 123.1 c) LBRL se limita a atribuir al Pleno la regulación de la comisión especial de sugerencias y reclamaciones, sin exigir que ello se realice en el marco exclusivo de la legislación básica.</w:t>
      </w:r>
    </w:p>
    <w:p w:rsidR="0026452D" w:rsidRDefault="0026452D" w:rsidP="0026452D">
      <w:pPr>
        <w:pStyle w:val="TextoNormal"/>
      </w:pPr>
    </w:p>
    <w:p w:rsidR="0026452D" w:rsidRDefault="0026452D" w:rsidP="0026452D">
      <w:pPr>
        <w:pStyle w:val="TextoNormal"/>
      </w:pPr>
      <w:r>
        <w:lastRenderedPageBreak/>
        <w:t>Debemos, por las mismas razones, descartar que la existencia preceptiva del consejo social de la ciudad vulnere la competencia autonómica para el desarrollo de las bases. Como decíamos, es objetivo prioritario reforzar la participación de los ciudadanos en el gobierno y administración municipal, propósito que si bien se extiende a todos los municipios, adquiere una mayor intensidad en los de gran población. El legislador parte de la idea de que los mecanismos de participación de la LBRL eran insuficientes y que es necesario establecer otros de carácter vinculante que garanticen unos niveles mínimos comunes de participación. Así lo señala la exposición de motivos de la Ley de medidas para la modernización del gobierno local al afirmar que “se ha manifestado como insuficiente, por su carácter meramente declarativo, el tratamiento que de la participación ciudadana se hace en la ley de bases de régimen local … y si bien es cierto que en este ámbito hay que conceder amplios márgenes a la potestad de autoorganización de las entidades locales, también lo es que la legislación básica estatal debe permitir contener unos estándares mínimos concretos que permitan la efectividad de dicha participación … siendo los diversos mecanismos participativos creados e impulsados por la ley, tanto con carácter general como los que más adelante se señalarán para los municipios a los que resulta de aplicación el título X de la ley, colocan a nuestro régimen local en la línea avanzada de promoción de la participación que está adquiriendo cuerpo en todo el continente, impulsada por el Consejo de Europa, y de la que es una importante manifestación la Recomendación de su Comité de Ministros Rec (2001) 19, que ha servido de fuente de inspiración para esta reforma”.</w:t>
      </w:r>
    </w:p>
    <w:p w:rsidR="0026452D" w:rsidRDefault="0026452D" w:rsidP="0026452D">
      <w:pPr>
        <w:pStyle w:val="TextoNormal"/>
      </w:pPr>
    </w:p>
    <w:p w:rsidR="0026452D" w:rsidRDefault="0026452D" w:rsidP="0026452D">
      <w:pPr>
        <w:pStyle w:val="TextoNormal"/>
      </w:pPr>
      <w:r>
        <w:t>En este sentido, además de la participación funcional que exige la ley estatal para todo tipo de municipios (art. 70 bis LBRL), el legislador estatal ha optado por imponer una participación orgánica en los de gran población, que consiste en la incorporación de los ciudadanos a órganos que intervienen de forma activa en la toma de decisiones. Y para definir este elemento común, resulta imprescindible determinar su forma y alcance, esto es, la composición mínima del órgano en el que se integran y sus funciones. En este sentido, la legislación básica ha recogido la participación directa de los ciudadanos a través de organizaciones representativas de los intereses económicos, sociales, profesionales y vecinales en la adopción de determinadas decisiones que tienen una especial incidencia en la política urbana, y ha limitado su participación a una función meramente consultiva a través del informe, estudio y propuesta en materia de desarrollo económico y social, planificación estratégica de la ciudad y grandes proyectos urbanos. Por otra parte, ni el art. 131 ni el 123 LBRL establecen la directa subordinación a la legislación básica de la regulación que de este órgano realice el reglamento orgánico, pues la remisión a la regulación municipal no excluye expresamente la posibilidad de desarrollo de estas bases por el legislador autonómico. En definitiva, la regulación que el precepto destina a este órgano consultivo, sirve a la finalidad de garantizar un nivel común de participación de la sociedad en las grandes decisiones de la política urbana sin que supongan una normativa pormenorizada que excluya</w:t>
      </w:r>
      <w:r w:rsidRPr="0026452D">
        <w:rPr>
          <w:i/>
        </w:rPr>
        <w:t>, a prio</w:t>
      </w:r>
      <w:r>
        <w:t>ri, la posibilidad de desarrollo por parte del legislador autonómico.</w:t>
      </w:r>
    </w:p>
    <w:p w:rsidR="0026452D" w:rsidRDefault="0026452D" w:rsidP="0026452D">
      <w:pPr>
        <w:pStyle w:val="TextoNormal"/>
      </w:pPr>
    </w:p>
    <w:p w:rsidR="0026452D" w:rsidRDefault="0026452D" w:rsidP="0026452D">
      <w:pPr>
        <w:pStyle w:val="TextoNormal"/>
      </w:pPr>
      <w:r>
        <w:t xml:space="preserve">En cuanto a la alegada vulneración de la autonomía local, debemos señalar que su garantía constitucional en cuanto “garantía de los elementos esenciales” o “núcleo primario del autogobierno”, ni otorga a los municipios una potestad de autoorganización ilimitada, ni les dota, como parece derivarse de la argumentación del Letrado del Parlamento de Cataluña, de total libertad para decidir sobre cualesquiera órganos distintos de los que derivan directamente del art. 140 CE. El legislador estatal bien podía haber optado por reconocer una </w:t>
      </w:r>
      <w:r>
        <w:lastRenderedPageBreak/>
        <w:t>mayor capacidad de autoorganización a los municipios para que, en función de sus necesidades, adoptaran la decisión última sobre el modelo organizativo. Pero en este caso, el legislador estatal ha considerado que la adecuada gestión y gobierno de los intereses municipales, la garantía de la participación de los ciudadanos, más allá del derecho fundamental reconocido en el art. 23.1 CE, y la protección de los derechos de los vecinos requieren, de un lado, la existencia de un órgano representativo encargado de la protección de sus derechos y, de otro, la creación de un órgano consultivo en que se encuentren representados los ciudadanos a través de sus organizaciones. Constatada esta finalidad, y dado el amplio margen de regulación que resta para la ordenación por norma orgánica de la composición, funciones y funcionamiento de ambos órganos, no puede considerarse vulnerada la garantía institucional de la autonomía local.</w:t>
      </w:r>
    </w:p>
    <w:p w:rsidR="0026452D" w:rsidRDefault="0026452D" w:rsidP="0026452D">
      <w:pPr>
        <w:pStyle w:val="TextoNormal"/>
      </w:pPr>
    </w:p>
    <w:p w:rsidR="0026452D" w:rsidRDefault="0026452D" w:rsidP="0026452D">
      <w:pPr>
        <w:pStyle w:val="TextoNormal"/>
      </w:pPr>
      <w:r>
        <w:t>Así pues, debemos rechazar la inconstitucionalidad de los arts. 20.1 d), 132 y 131 LBRL, así como la de la disposición final primera en lo que a ellos atañe.</w:t>
      </w:r>
    </w:p>
    <w:p w:rsidR="0026452D" w:rsidRDefault="0026452D" w:rsidP="0026452D">
      <w:pPr>
        <w:pStyle w:val="TextoNormal"/>
      </w:pPr>
    </w:p>
    <w:p w:rsidR="0026452D" w:rsidRDefault="0026452D" w:rsidP="0026452D">
      <w:pPr>
        <w:pStyle w:val="TextoNormal"/>
      </w:pPr>
      <w:r>
        <w:t>g) Se impugna la disposición final primera en relación con la obligación contemplada en el art. 128 LBRL, de crear, en los municipios de gran población, divisiones territoriales dotadas de órganos de gestión desconcentrada o distritos, por considerar que esta competencia corresponde a los municipios, por lo que se estaría vulnerando su autonomía constitucionalmente garantizada. Frente a ello, el Abogado del Estado considera que esta obligación está ligada a la realización de una gestión desconcentrada para impulsar la participación en la gestión de los asuntos municipales, dejando espacio al Ayuntamiento para crearlos y coordinarlos y regular las atribuciones y recursos de que están dotados, así como su organización sin más límite que la reserva de la presidencia del distrito a un concejal.</w:t>
      </w:r>
    </w:p>
    <w:p w:rsidR="0026452D" w:rsidRDefault="0026452D" w:rsidP="0026452D">
      <w:pPr>
        <w:pStyle w:val="TextoNormal"/>
      </w:pPr>
    </w:p>
    <w:p w:rsidR="0026452D" w:rsidRDefault="0026452D" w:rsidP="0026452D">
      <w:pPr>
        <w:pStyle w:val="TextoNormal"/>
      </w:pPr>
      <w:r>
        <w:t>Antes de la reforma operada por la Ley de medidas para la modernización del gobierno local, estaba prevista la creación por los municipios de órganos territoriales de gestión desconcentrada (art. 24.1 LBRL), aunque correspondía a los Ayuntamientos decidir en qué medida eran necesarios y determinar su organización, funciones y competencia. Ello se mantiene en los municipios de régimen general. El legislador estatal ha considerado, sin embargo, que en los municipios de elevada población o especial complejidad, como son los regulados en el título X, la participación de los vecinos en la gestión municipal requiere necesariamente de su existencia pues, como señala la exposición de motivos de la Ley, los órganos territoriales desconcentrados no solo están orientados a garantizar una gestión adecuada y eficaz de los intereses municipales por lo que supone de desplazamiento de atribuciones desde los órganos centrales de gobierno y administración hacia los órganos desconcentrados de los distritos, sino, sobre todo, a intensificar la participación ciudadana, estableciendo un nivel mínimo común para todos ellos.</w:t>
      </w:r>
    </w:p>
    <w:p w:rsidR="0026452D" w:rsidRDefault="0026452D" w:rsidP="0026452D">
      <w:pPr>
        <w:pStyle w:val="TextoNormal"/>
      </w:pPr>
    </w:p>
    <w:p w:rsidR="0026452D" w:rsidRDefault="0026452D" w:rsidP="0026452D">
      <w:pPr>
        <w:pStyle w:val="TextoNormal"/>
      </w:pPr>
      <w:r>
        <w:t xml:space="preserve">Como señalamos en relación con la comisión especial de sugerencias y reclamaciones, la garantía institucional de la autonomía local no comprende una potestad de autoorganización ilimitada pues, en materia organizativa local, existe una triple competencia normativa que no cabe ignorar. En este caso, la regulación básica remite al Pleno la fijación del porcentaje mínimo de los recursos presupuestarios, que debe gestionarse de forma desconcentrada, su creación, la división en distritos, la determinación y regulación de sus órganos, y las competencias de sus órganos representativos y participativos, sin perjuicio de las competencias del Alcalde para determinar la organización y competencias de su administración ejecutiva. Ello deja un importante margen de desarrollo a los municipios para que, a la vista </w:t>
      </w:r>
      <w:r>
        <w:lastRenderedPageBreak/>
        <w:t>de sus necesidades concretas, puedan realizar el diseño definitivo de su organización. En consecuencia, debemos rechazar que la imposición obligatoria de una organización desconcentrada vulnere la autonomía municipal.</w:t>
      </w:r>
    </w:p>
    <w:p w:rsidR="0026452D" w:rsidRDefault="0026452D" w:rsidP="0026452D">
      <w:pPr>
        <w:pStyle w:val="TextoNormal"/>
      </w:pPr>
    </w:p>
    <w:p w:rsidR="0026452D" w:rsidRDefault="0026452D" w:rsidP="0026452D">
      <w:pPr>
        <w:pStyle w:val="TextoNormal"/>
      </w:pPr>
      <w:r>
        <w:t>Por los motivos expuestos debemos confirmar la constitucionalidad del art. 128 LBRL.</w:t>
      </w:r>
    </w:p>
    <w:p w:rsidR="0026452D" w:rsidRDefault="0026452D" w:rsidP="0026452D">
      <w:pPr>
        <w:pStyle w:val="TextoNormal"/>
      </w:pPr>
    </w:p>
    <w:p w:rsidR="0026452D" w:rsidRDefault="0026452D" w:rsidP="0026452D">
      <w:pPr>
        <w:pStyle w:val="TextoNormal"/>
      </w:pPr>
      <w:r>
        <w:t>h) El art. 129 LBRL, declarado básico por la disposición final primera, crea un nuevo órgano responsable de la asistencia jurídica al Alcalde, a la junta de gobierno local y a los órganos directivos, cuyas funciones comprenden el asesoramiento jurídico y la representación en juicio del Ayuntamiento. Su titular es nombrado por la Junta de Gobierno entre quienes reúnan los requisitos de estar en posesión del título de licenciado en Derecho y ostentar la condición de funcionario de carrera del Estado, de las Comunidades Autónomas o de las entidades locales a los que se exija, para su ingreso, el título de doctor, licenciado, ingeniero, arquitecto o equivalente, o ser funcionarios con habilitación de carácter estatal (disposición adicional segunda de la Ley 7/2007, de 12 de abril, del estatuto básico del empleado público, que ha derogado los arts. 92, 98 y 99 LBRL).</w:t>
      </w:r>
    </w:p>
    <w:p w:rsidR="0026452D" w:rsidRDefault="0026452D" w:rsidP="0026452D">
      <w:pPr>
        <w:pStyle w:val="TextoNormal"/>
      </w:pPr>
    </w:p>
    <w:p w:rsidR="0026452D" w:rsidRDefault="0026452D" w:rsidP="0026452D">
      <w:pPr>
        <w:pStyle w:val="TextoNormal"/>
      </w:pPr>
      <w:r>
        <w:t>No cuestiona el Letrado del Parlamento de Cataluña la existencia necesaria de dicho órgano ni tampoco los requisitos que se exigen a su titular, sino únicamente el inciso “su titular será nombrado y separado por la Junta de Gobierno local”. Así pues, sería la atribución a un concreto órgano de gobierno de la competencia para nombrar y cesar al titular del órgano la que vulneraría, a un mismo tiempo, la potestad de autoorganización de la entidad local y la capacidad legislativa autonómica a la que, según el recurrente, correspondería regular este extremo. No justifica, sin embargo, por qué considera que excede de lo básico la atribución de esta facultad a la junta de gobierno, cuando no llega a la misma conclusión sobre el art. 127.1 i) LBRL, que atribuye a la junta de gobierno el nombramiento y cese de los titulares de los órganos directivos, a excepción del Secretario General del Pleno cuyo nombramiento y, por tanto cese, corresponde al Presidente del Pleno, de acuerdo con el art. 122.5 LBRL.</w:t>
      </w:r>
    </w:p>
    <w:p w:rsidR="0026452D" w:rsidRDefault="0026452D" w:rsidP="0026452D">
      <w:pPr>
        <w:pStyle w:val="TextoNormal"/>
      </w:pPr>
    </w:p>
    <w:p w:rsidR="0026452D" w:rsidRDefault="0026452D" w:rsidP="0026452D">
      <w:pPr>
        <w:pStyle w:val="TextoNormal"/>
      </w:pPr>
      <w:r>
        <w:t xml:space="preserve">La regulación de los órganos de gobierno municipal forma parte de la competencia básica del Estado para el desarrollo directo de los arts. 137 y 140 CE. En la medida en que el gobierno municipal se encomienda a diferentes órganos con muy distinta composición, la distribución entre ellos de las atribuciones municipales constituye un elemento esencial de la definición del funcionamiento democrático municipal (STC 33/1993, 1 de febrero FJ 3) y, por tanto, del modelo de autonomía municipal común por el que ha optado el legislador estatal. La existencia de la asesoría jurídica como órgano de asistencia al que se ha venido en denominar “ejecutivo local” —Alcalde, Junta de Gobierno y órganos directivos—, responde a ese nuevo modelo municipal que, como señala la exposición de motivos de la Ley de medidas para la modernización del gobierno local, persigue “atender a la necesidad de un liderazgo claro y diáfano ante la sociedad, lo que exige ejecutivos con gran capacidad de gestión para actuar rápida y eficazmente”. Fruto de esta concepción, la Junta de Gobierno ha asumido la mayoría de las competencias de ejecución que antes correspondían al Pleno lo que, agravado por la complejidad de la gestión administrativa en los municipios de gran población, justifica tanto la existencia preceptiva de este órgano, como la atribución del nombramiento a la Junta de Gobierno de la que depende y ante la que debe responder, de la misma forma que el asesoramiento legal al Pleno y sus comisiones se encomienda al Secretario del Pleno que es nombrado por su Presidente. En la medida en que la atribución de esta </w:t>
      </w:r>
      <w:r>
        <w:lastRenderedPageBreak/>
        <w:t>competencia a la Junta de Gobierno sirve para perfilar ese modelo común organizativo que se considera imprescindible para garantizar una gestión adecuada de los intereses locales en los municipios de especial complejidad, debe descartarse que el art. 129 haya vulnerado las competencias autonómicas de desarrollo legislativo de las bases estatales.</w:t>
      </w:r>
    </w:p>
    <w:p w:rsidR="0026452D" w:rsidRDefault="0026452D" w:rsidP="0026452D">
      <w:pPr>
        <w:pStyle w:val="TextoNormal"/>
      </w:pPr>
    </w:p>
    <w:p w:rsidR="0026452D" w:rsidRDefault="0026452D" w:rsidP="0026452D">
      <w:pPr>
        <w:pStyle w:val="TextoNormal"/>
      </w:pPr>
      <w:r>
        <w:t>A esta misma conclusión debemos llegar con respecto a la invocada vulneración de la garantía institucional de la autonomía local, en la medida en que comprende una potestad de autoorganización de las entidades locales que no puede ser ignorada por el legislador. La autonomía local no incluye la facultad de diseñar, sin límite alguno, el modelo de distribución de atribuciones de los órganos de gobierno. Debe tenerse en cuenta, además, que el legislador básico ha dejado en manos de la Junta de Gobierno, la elección del titular de este órgano directivo, que solo está condicionada por el cumplimiento de los requisitos exigidos y que no han sido cuestionados por el recurrente.</w:t>
      </w:r>
    </w:p>
    <w:p w:rsidR="0026452D" w:rsidRDefault="0026452D" w:rsidP="0026452D">
      <w:pPr>
        <w:pStyle w:val="TextoNormal"/>
      </w:pPr>
    </w:p>
    <w:p w:rsidR="0026452D" w:rsidRDefault="0026452D" w:rsidP="0026452D">
      <w:pPr>
        <w:pStyle w:val="TextoNormal"/>
      </w:pPr>
      <w:r>
        <w:t>i) Entiende el Parlamento de Cataluña que el art. 126.4 LBRL, al prever como órgano de existencia preceptiva el órgano de apoyo a la Junta de Gobierno, elimina la competencia de desarrollo normativo de la Comunidad Autónoma y vulnera la autonomía local, pues debe formar parte de la competencia de autoorganización de los municipios de gran población el poder optar por diferenciar o no las funciones de representación política y la de asesoramiento jurídico y fe pública.</w:t>
      </w:r>
    </w:p>
    <w:p w:rsidR="0026452D" w:rsidRDefault="0026452D" w:rsidP="0026452D">
      <w:pPr>
        <w:pStyle w:val="TextoNormal"/>
      </w:pPr>
    </w:p>
    <w:p w:rsidR="0026452D" w:rsidRDefault="0026452D" w:rsidP="0026452D">
      <w:pPr>
        <w:pStyle w:val="TextoNormal"/>
      </w:pPr>
      <w:r>
        <w:t>El art. 126.4 prevé:</w:t>
      </w:r>
    </w:p>
    <w:p w:rsidR="0026452D" w:rsidRDefault="0026452D" w:rsidP="0026452D">
      <w:pPr>
        <w:pStyle w:val="TextoNormal"/>
      </w:pPr>
    </w:p>
    <w:p w:rsidR="0026452D" w:rsidRDefault="0026452D" w:rsidP="0026452D">
      <w:pPr>
        <w:pStyle w:val="TextoNormal"/>
      </w:pPr>
      <w:r>
        <w:t>“La Secretaría de la Junta de Gobierno Local corresponderá a uno de sus miembros que reúna la condición de concejal, designado por el Alcalde, quien redactará las actas de las sesiones y certificará sobre sus acuerdos. Existirá un órgano de apoyo a la Junta de Gobierno Local y al concejal-secretario de la misma, cuyo titular será nombrado entre funcionarios de Administración local con habilitación de carácter nacional. Sus funciones serán las siguientes:</w:t>
      </w:r>
    </w:p>
    <w:p w:rsidR="0026452D" w:rsidRDefault="0026452D" w:rsidP="0026452D">
      <w:pPr>
        <w:pStyle w:val="TextoNormal"/>
      </w:pPr>
    </w:p>
    <w:p w:rsidR="0026452D" w:rsidRDefault="0026452D" w:rsidP="0026452D">
      <w:pPr>
        <w:pStyle w:val="TextoNormal"/>
      </w:pPr>
      <w:r>
        <w:t>a) La asistencia al concejal-secretario de la Junta de Gobierno Local.</w:t>
      </w:r>
    </w:p>
    <w:p w:rsidR="0026452D" w:rsidRDefault="0026452D" w:rsidP="0026452D">
      <w:pPr>
        <w:pStyle w:val="TextoNormal"/>
      </w:pPr>
    </w:p>
    <w:p w:rsidR="0026452D" w:rsidRDefault="0026452D" w:rsidP="0026452D">
      <w:pPr>
        <w:pStyle w:val="TextoNormal"/>
      </w:pPr>
      <w:r>
        <w:t>b) La remisión de las convocatorias a los miembros de la Junta de Gobierno Local.</w:t>
      </w:r>
    </w:p>
    <w:p w:rsidR="0026452D" w:rsidRDefault="0026452D" w:rsidP="0026452D">
      <w:pPr>
        <w:pStyle w:val="TextoNormal"/>
      </w:pPr>
    </w:p>
    <w:p w:rsidR="0026452D" w:rsidRDefault="0026452D" w:rsidP="0026452D">
      <w:pPr>
        <w:pStyle w:val="TextoNormal"/>
      </w:pPr>
      <w:r>
        <w:t xml:space="preserve">c) El archivo y custodia de las convocatorias, órdenes del día y actas de las reuniones. </w:t>
      </w:r>
    </w:p>
    <w:p w:rsidR="0026452D" w:rsidRDefault="0026452D" w:rsidP="0026452D">
      <w:pPr>
        <w:pStyle w:val="TextoNormal"/>
      </w:pPr>
    </w:p>
    <w:p w:rsidR="0026452D" w:rsidRDefault="0026452D" w:rsidP="0026452D">
      <w:pPr>
        <w:pStyle w:val="TextoNormal"/>
      </w:pPr>
      <w:r>
        <w:t>d) Velar por la correcta y fiel comunicación de sus acuerdos.”</w:t>
      </w:r>
    </w:p>
    <w:p w:rsidR="0026452D" w:rsidRDefault="0026452D" w:rsidP="0026452D">
      <w:pPr>
        <w:pStyle w:val="TextoNormal"/>
      </w:pPr>
    </w:p>
    <w:p w:rsidR="0026452D" w:rsidRDefault="0026452D" w:rsidP="0026452D">
      <w:pPr>
        <w:pStyle w:val="TextoNormal"/>
      </w:pPr>
      <w:r>
        <w:t xml:space="preserve">Como se señaló con anterioridad, la Ley de medidas para la modernización del gobierno local ha supuesto, para los municipios de gran población, un cambio definitivo en la concepción tradicional de los órganos de gobierno municipales pues, llevada por la necesidad de agilizar y reforzar la eficacia de la Administración municipal, ha diseñado una Junta de Gobierno local dotada de amplias funciones de naturaleza ejecutiva. A esta modificación responde, sin duda, la separación entre la función de fe pública del órgano colegiado (redacción de actas y certificación de acuerdos) que, en todo caso, debe ser desempeñada por un concejal miembro de la misma, y la función de apoyo técnico que se profesionaliza al reservarse a un funcionario con habilitación de carácter estatal. La imposición de este modelo profesionalizado de asistencia técnica a la Junta de Gobierno forma parte de ese modelo </w:t>
      </w:r>
      <w:r>
        <w:lastRenderedPageBreak/>
        <w:t>común que, por otra parte, conlleva la determinación de una función de carácter preceptivo y reservada a funcionarios con habilitación de carácter estatal, cuya existencia misma, como consecuencia de su alta cualificación, se considera básica (STC 25/1983, de 7 de abril, FJ 4), sin que pueda considerarse vulnerada la autonomía local, vulneración que en opinión del Parlamento de Cataluña se produciría siempre y cuando se imponga al municipio la existencia de un determinado órgano. Como hemos señalado también, la competencia para autoorganización municipal no es ilimitada, cuando la existencia preceptiva de un órgano de apoyo técnico a la Junta de Gobierno reservado, además, a funcionarios de habilitación de carácter estatal, no afecta a ese núcleo irreductible necesario para el autogobierno de los intereses municipales.</w:t>
      </w:r>
    </w:p>
    <w:p w:rsidR="0026452D" w:rsidRDefault="0026452D" w:rsidP="0026452D">
      <w:pPr>
        <w:pStyle w:val="TextoNormal"/>
      </w:pPr>
    </w:p>
    <w:p w:rsidR="0026452D" w:rsidRDefault="0026452D" w:rsidP="0026452D">
      <w:pPr>
        <w:pStyle w:val="TextoNormal"/>
      </w:pPr>
      <w:r>
        <w:t>Debemos por ello rechazar la inconstitucionalidad del art. 126.4 LBRL y de la disposición final primera en lo que a éste se refiere.</w:t>
      </w:r>
    </w:p>
    <w:p w:rsidR="0026452D" w:rsidRDefault="0026452D" w:rsidP="0026452D">
      <w:pPr>
        <w:pStyle w:val="TextoNormal"/>
      </w:pPr>
    </w:p>
    <w:p w:rsidR="0026452D" w:rsidRDefault="0026452D" w:rsidP="0026452D">
      <w:pPr>
        <w:pStyle w:val="TextoNormal"/>
      </w:pPr>
      <w:r>
        <w:t>j) Se recurre por la representación del Parlamento de Cataluña la disposición final primera en relación con el art. 130.1 B) LBRL pues si bien admite que la división entre órganos superiores y directivos se ajusta a la competencia básica del Estado, entiende que no así lo hace la regulación excesivamente minuciosa, a modo de lista cerrada, de cuáles son los órganos directivos. Ello vulneraría tanto la competencia del legislador autonómico como la potestad de autoorganización local.</w:t>
      </w:r>
    </w:p>
    <w:p w:rsidR="0026452D" w:rsidRDefault="0026452D" w:rsidP="0026452D">
      <w:pPr>
        <w:pStyle w:val="TextoNormal"/>
      </w:pPr>
    </w:p>
    <w:p w:rsidR="0026452D" w:rsidRDefault="0026452D" w:rsidP="0026452D">
      <w:pPr>
        <w:pStyle w:val="TextoNormal"/>
      </w:pPr>
      <w:r>
        <w:t>En la relación de órganos directivos se incluyen los titulares de distintos órganos. En primer lugar, aquellos que tienen encomendada una función directiva de ejecución de programas —coordinadores generales y directores generales u órganos equivalentes—. En segundo lugar, los titulares de órganos con una función material concreta —el titular de la Asesoría jurídica—, o a los que se encomienda la gestión centralizada de funciones públicas, como es el caso del titular del órgano de gestión tributaria, que asume las funciones públicas que atribuye al municipio la legislación tributaria. Finalmente, una última categoría de directivos que, por tener atribuidas funciones públicas preceptivas cuya responsabilidad está reservada a funcionarios con habilitación de carácter estatal, forman parte del sistema de empleo público, pues acceden al puesto por los sistemas legales de provisión de puestos de trabajo, conforme a lo establecido en la disposición adicional octava LBRL y la disposición final primera de la Ley 7/2007, de 12 de abril, del estatuto básico del empleado público. Estos son el Secretario del Pleno, el titular del órgano de apoyo a la Junta de Gobierno local y al Concejal-secretario y el Interventor general municipal. Esta relación de directivos se completa, en el art. 130.2 LBRL, con los titulares de los máximos órganos de dirección de organismos autónomos locales y entidades empresariales, precepto éste que, sin embargo, no ha sido recurrido.</w:t>
      </w:r>
    </w:p>
    <w:p w:rsidR="0026452D" w:rsidRDefault="0026452D" w:rsidP="0026452D">
      <w:pPr>
        <w:pStyle w:val="TextoNormal"/>
      </w:pPr>
    </w:p>
    <w:p w:rsidR="0026452D" w:rsidRDefault="0026452D" w:rsidP="0026452D">
      <w:pPr>
        <w:pStyle w:val="TextoNormal"/>
      </w:pPr>
      <w:r>
        <w:t xml:space="preserve">Para resolver la cuestión planteada, debemos tener en cuenta si la determinación de una relación de directivos locales responde a la finalidad de establecer los criterios generales de regulación de la organización municipal, conforme a objetivos de interés público y si para ello es necesario establecer una enumeración cerrada (STC 25/1983, FJ 4). Argumenta el Abogado del Estado que la consideración de determinados cargos como órganos directivos, en cuanto exige estar en posesión de requisitos específicos y conlleva la aplicación de la legislación sobre incompatibilidades del personal al servicio de las Administraciones públicas, obedece a los objetivos de servir con objetividad al interés público y a la imparcialidad </w:t>
      </w:r>
      <w:r>
        <w:lastRenderedPageBreak/>
        <w:t>en el ejercicio de las funciones públicas que consagra el art. 103 CE y, por tanto, forma parte de la competencia estatal básica.</w:t>
      </w:r>
    </w:p>
    <w:p w:rsidR="0026452D" w:rsidRDefault="0026452D" w:rsidP="0026452D">
      <w:pPr>
        <w:pStyle w:val="TextoNormal"/>
      </w:pPr>
    </w:p>
    <w:p w:rsidR="0026452D" w:rsidRDefault="0026452D" w:rsidP="0026452D">
      <w:pPr>
        <w:pStyle w:val="TextoNormal"/>
      </w:pPr>
      <w:r>
        <w:t>Conforme a lo establecido en el art. 130.4 LBRL, tanto los órganos superiores como los directivos quedan sometidos al régimen de incompatibilidades contemplado en la Ley 53/1984, de incompatibilidades al servicio de la Administración pública y en otras normas estatales y autonómicas que resulten de aplicación. Por otra parte, con posterioridad a la interposición de este recurso, la disposición adicional 9.5 del Real Decreto Legislativo 2/2008, que aprueba el texto refundido de la Ley del suelo, ha venido a añadir una disposición adicional decimoquinta a la Ley de bases de régimen local, que contempla, además, la aplicación de las limitaciones al ejercicio de actividades privadas del art. 8 de la Ley 5/2006, de 10 de abril, de regulación de los conflictos de intereses de los miembros del Gobierno y de los altos cargos de la Administración General del Estado, en los mismos términos previstos para los concejales y el alcalde. Ambas regulaciones pretenden garantizar la imparcialidad y objetividad en el ejercicio de las funciones que se encomiendan a los órganos directivos, por lo que sirven al objetivo perseguido por la legislación básica, en cuanto al establecimiento de un régimen común que incide, además, en la igualdad de tratamiento de los administrados. Ahora bien, una cosa es que la regulación de las incompatibilidades de los órganos directivos forme parte de la competencia del Estado para establecer las bases y otra que, para el cumplimiento de este propósito, resulte necesario establecer una relación cerrada y pormenorizada de los directivos. En efecto, para conseguir esta finalidad bastaría con prever la aplicación de un determinado régimen de incompatibilidades para los órganos directivos, definiendo las características o funciones que deben reunir para considerarse tales. Así, por otra parte, lo acredita la disposición adicional decimoquinta LBRL, que extiende el régimen de incompatibilidades de los órganos directivos a los titulares de órganos, sin relacionar cuáles son, que ejerzan funciones de gestión o ejecución de carácter superior, ajustándose a las directrices generales fijadas por el órgano de gobierno de la corporación, adoptando al efecto las decisiones oportunas y disponiendo para ello de autonomía dentro de esas directrices generales.</w:t>
      </w:r>
    </w:p>
    <w:p w:rsidR="0026452D" w:rsidRDefault="0026452D" w:rsidP="0026452D">
      <w:pPr>
        <w:pStyle w:val="TextoNormal"/>
      </w:pPr>
    </w:p>
    <w:p w:rsidR="0026452D" w:rsidRDefault="0026452D" w:rsidP="0026452D">
      <w:pPr>
        <w:pStyle w:val="TextoNormal"/>
      </w:pPr>
      <w:r>
        <w:t>Por las mismas razones, la exigencia de determinados requisitos de formación y experiencia en la función pública que, sin duda, responde a la finalidad de mejorar la eficacia de la gestión administrativa, garantizando un nivel mínimo de profesionalización de los nombrados, no requiere establecer un elenco tasado de órganos directivos, tanto más cuanto ni es una exigencia que se impone a todos los directivos, ni tampoco es aplicable a los órganos incluidos en la relación de puestos de trabajo, e incorporados al sistema de empleo público, que se proveen por los sistemas establecidos para la provisión puestos de trabajo reservados a este cuerpo. La profesionalización a la que sirve la exigencia del requisito de pertenecer a algún cuerpo de funcionarios para los que se exija un título universitario de nivel superior, incluido el de funcionarios de habilitación de carácter estatal, adquiere todo su sentido para los altos cargos, pero no resulta de aplicación al resto de órganos directivos, reservados a funcionarios en servicio activo.</w:t>
      </w:r>
    </w:p>
    <w:p w:rsidR="0026452D" w:rsidRDefault="0026452D" w:rsidP="0026452D">
      <w:pPr>
        <w:pStyle w:val="TextoNormal"/>
      </w:pPr>
    </w:p>
    <w:p w:rsidR="0026452D" w:rsidRDefault="0026452D" w:rsidP="0026452D">
      <w:pPr>
        <w:pStyle w:val="TextoNormal"/>
      </w:pPr>
      <w:r>
        <w:t xml:space="preserve">Así pues, aun respondiendo la regulación de una serie de órganos directivos a los objetivos de interés general que justifican su regulación con carácter común para todos los municipios, el establecimiento de una enumeración cerrada de los mismos eliminaría la competencia de desarrollo legislativo de las Comunidades Autónomas sin que, por lo hasta aquí </w:t>
      </w:r>
      <w:r>
        <w:lastRenderedPageBreak/>
        <w:t>expuesto, exista justificación para ello. No obstante, el precepto impugnado admite una interpretación conforme con lo hasta aquí afirmado pues, en la medida en que se limita a relacionar, dentro de los órganos directivos, los titulares de órganos que pertenecen a la organización básica de los municipios de gran población, no impide a las leyes autonómicas que completen, dentro de su competencia para regular la organización complementaria, este elenco de órganos directivos.</w:t>
      </w:r>
    </w:p>
    <w:p w:rsidR="0026452D" w:rsidRDefault="0026452D" w:rsidP="0026452D">
      <w:pPr>
        <w:pStyle w:val="TextoNormal"/>
      </w:pPr>
    </w:p>
    <w:p w:rsidR="0026452D" w:rsidRDefault="0026452D" w:rsidP="0026452D">
      <w:pPr>
        <w:pStyle w:val="TextoNormal"/>
      </w:pPr>
      <w:r>
        <w:t>k) Directamente relacionados con las cuestiones anteriormente expuestas se encuentran los dos reparos de constitucionalidad, que el Letrado del Parlamento autonómico imputa al art. 123.1 c) LBRL. De un lado alega que este precepto impone la existencia de un reglamento orgánico específico para la regulación de cada uno de los órganos que en él se enumeran, cuando lo básico no puede llegar a determinar si es un solo reglamento orgánico o varios y, sobre todo, cuando dos de los órganos a los que se refiere, el consejo social de la ciudad y la comisión especial de sugerencias y reclamaciones, no son de existencia obligatoria. En segundo lugar, considera que la regulación de los niveles esenciales, en cuanto se refiere a los coordinadores generales a los que define y también a los directores generales u órganos equivalentes, llega a una definición excesivamente detallada, por lo que habría que eliminar el inciso que comienza “entendiendo por tales” hasta “órganos similares que culminan la organización administrativa”.</w:t>
      </w:r>
    </w:p>
    <w:p w:rsidR="0026452D" w:rsidRDefault="0026452D" w:rsidP="0026452D">
      <w:pPr>
        <w:pStyle w:val="TextoNormal"/>
      </w:pPr>
    </w:p>
    <w:p w:rsidR="0026452D" w:rsidRDefault="0026452D" w:rsidP="0026452D">
      <w:pPr>
        <w:pStyle w:val="TextoNormal"/>
      </w:pPr>
      <w:r>
        <w:t>Dentro de las atribuciones del Pleno, el art. 123.1 c) LBRL señala lo siguiente: “La aprobación y modificación de los reglamentos de naturaleza orgánica. Tendrán en todo caso naturaleza orgánica: … la regulación del Consejo Social de Ciudad … la regulación de la Comisión Especial de sugerencias y reclamaciones.”</w:t>
      </w:r>
    </w:p>
    <w:p w:rsidR="0026452D" w:rsidRDefault="0026452D" w:rsidP="0026452D">
      <w:pPr>
        <w:pStyle w:val="TextoNormal"/>
      </w:pPr>
    </w:p>
    <w:p w:rsidR="0026452D" w:rsidRDefault="0026452D" w:rsidP="0026452D">
      <w:pPr>
        <w:pStyle w:val="TextoNormal"/>
      </w:pPr>
      <w:r>
        <w:t>No hay base alguna en el precepto impugnado para entender que se exige un reglamento específico para cada uno de ellos, como tampoco la hay para considerar que existe una prohibición de regulación conjunta de todos ellos en el mismo reglamento, pues la norma se limita a exigir que la regulación de ambos órganos se realice en una o varias disposiciones reglamentaria aprobadas con un determinado quórum. Por otra parte, declarada la constitucionalidad de los arts. 129 y 132 LBRL debemos descartar, por las mismas razones, la inconstitucionalidad del art. 123.1 c) por referirse al consejo social de la ciudad y a la comisión especial de sugerencias y reclamaciones como contenido necesario del reglamento o reglamentos orgánicos.</w:t>
      </w:r>
    </w:p>
    <w:p w:rsidR="0026452D" w:rsidRDefault="0026452D" w:rsidP="0026452D">
      <w:pPr>
        <w:pStyle w:val="TextoNormal"/>
      </w:pPr>
    </w:p>
    <w:p w:rsidR="0026452D" w:rsidRDefault="0026452D" w:rsidP="0026452D">
      <w:pPr>
        <w:pStyle w:val="TextoNormal"/>
      </w:pPr>
      <w:r>
        <w:t>Se invoca también, por el Parlamento de Cataluña la inconstitucionalidad del inciso de este mismo precepto destinado a determinar los niveles esenciales de la organización municipal, desde “entendiendo por tales” hasta “u órganos similares que culminan la organización administrativa”, por considerar que se establece una definición tan detallada de los niveles esenciales de organización, que excede de lo que puede considerarse básico. Por otra parte, el Abogado del Estado considera que como este precepto atribuye al Pleno la competencia para la aprobación de normas o reglamentos orgánicos cuya eficacia alcanza las relaciones entre corporaciones locales y vecinos, forma parte de lo básico.</w:t>
      </w:r>
    </w:p>
    <w:p w:rsidR="0026452D" w:rsidRDefault="0026452D" w:rsidP="0026452D">
      <w:pPr>
        <w:pStyle w:val="TextoNormal"/>
      </w:pPr>
    </w:p>
    <w:p w:rsidR="0026452D" w:rsidRDefault="0026452D" w:rsidP="0026452D">
      <w:pPr>
        <w:pStyle w:val="TextoNormal"/>
      </w:pPr>
      <w:r>
        <w:t xml:space="preserve">El apartado citado señala que tendrán naturaleza orgánica “la determinación de los niveles esenciales de la organización municipal, entendiendo por tales las grandes áreas de gobierno, los coordinadores generales, dependientes directamente de los miembros de la Junta de Gobierno Local, con funciones de coordinación de las distintas Direcciones Generales u </w:t>
      </w:r>
      <w:r>
        <w:lastRenderedPageBreak/>
        <w:t>órganos similares integradas en la misma área de gobierno, y de la gestión de los servicios comunes de éstas u otras funciones análogas y las Direcciones Generales u órganos similares que culminen la organización administrativa, sin perjuicio de las atribuciones del Alcalde para determinar el número de cada uno de tales órganos y establecer niveles complementarios inferiores.”</w:t>
      </w:r>
    </w:p>
    <w:p w:rsidR="0026452D" w:rsidRDefault="0026452D" w:rsidP="0026452D">
      <w:pPr>
        <w:pStyle w:val="TextoNormal"/>
      </w:pPr>
    </w:p>
    <w:p w:rsidR="0026452D" w:rsidRDefault="0026452D" w:rsidP="0026452D">
      <w:pPr>
        <w:pStyle w:val="TextoNormal"/>
      </w:pPr>
      <w:r>
        <w:t>Pues bien, el precepto impugnado se limita a reservar al reglamento orgánico la definición de los niveles de la organización municipal, que el legislador básico ha considerado esenciales para garantizar la eficacia de la Administración municipal en los municipios de gran población. Es decir, un primer nivel distribuido por áreas materiales de actividad con competencias de coordinación y un segundo de nivel inmediatamente inferior que culmine la organización administrativa. La reserva al reglamento orgánico, en cuanto exige un quórum especial para su aprobación, forma parte de la competencia estatal básica, pues afecta al proceso mismo de formación de la voluntad del Pleno. Por otra parte, la definición de estos niveles organizativos sirve a un objetivo de interés general y no elimina la competencia normativa de las Comunidades Autónomas, pues la atribución al alcalde de la facultad de crear órganos organizativos complementarios, que este mismo artículo reconoce, debe realizarse en el marco de lo establecido por la legislación autonómica de desarrollo.</w:t>
      </w:r>
    </w:p>
    <w:p w:rsidR="0026452D" w:rsidRDefault="0026452D" w:rsidP="0026452D">
      <w:pPr>
        <w:pStyle w:val="TextoNormal"/>
      </w:pPr>
    </w:p>
    <w:p w:rsidR="0026452D" w:rsidRDefault="0026452D" w:rsidP="0026452D">
      <w:pPr>
        <w:pStyle w:val="TextoNormal"/>
      </w:pPr>
      <w:r>
        <w:t>Por las razones expuestas debe rechazarse la inconstitucionalidad art. 123.1 c) LBRL y de la disposición final primera en lo que a este se refiere.</w:t>
      </w:r>
    </w:p>
    <w:p w:rsidR="0026452D" w:rsidRDefault="0026452D" w:rsidP="0026452D">
      <w:pPr>
        <w:pStyle w:val="TextoNormal"/>
      </w:pPr>
    </w:p>
    <w:p w:rsidR="0026452D" w:rsidRDefault="0026452D" w:rsidP="0026452D">
      <w:pPr>
        <w:pStyle w:val="TextoNormal"/>
      </w:pPr>
      <w:r>
        <w:t>l) Se impugna la disposición final primera de la Ley de medidas para la modernización del gobierno local, por declarar básico el art. 73.3 LBRL y, por conexión, los arts. 20.1 c) y 122.3 de la misma norma legal. Entiende la representación letrada del Parlamento de Cataluña que este precepto es inconstitucional en la medida en que establece que los derechos económicos y políticos de los concejales no adscritos se ejercerán en la forma que determine el reglamento orgánico de cada corporación; se afirma que se desconoce la capacidad normativa de la Generalitat de Cataluña para regular los aspectos no básicos del régimen estatutario de los electos locales. Por el contrario, entiende el Abogado del Estado que el precepto impugnado se limita a establecer la situación de los concejales tránsfugas, garantizando las mismas condiciones económicas que a los demás concejales adscritos a grupos políticos, pero impidiendo que puedan fomentarlo razones de enriquecimiento económico.</w:t>
      </w:r>
    </w:p>
    <w:p w:rsidR="0026452D" w:rsidRDefault="0026452D" w:rsidP="0026452D">
      <w:pPr>
        <w:pStyle w:val="TextoNormal"/>
      </w:pPr>
    </w:p>
    <w:p w:rsidR="0026452D" w:rsidRDefault="0026452D" w:rsidP="0026452D">
      <w:pPr>
        <w:pStyle w:val="TextoNormal"/>
      </w:pPr>
      <w:r>
        <w:t>Debemos señalar, en primer lugar, que los reproches de los recurrentes no van dirigidos a la totalidad de la regulación que, sobre grupos políticos y régimen estatutario de los electos, contiene el art. 73.3 LBRL sino, única y exclusivamente, a lo atinente a la figura del concejal no adscrito. Aunque el Letrado del Parlamento no justifique en forma alguna las razones, la impugnación se extiende, a los arts. 20.1 c) y 122.3 LBRL, otros dos artículos que inciden en los derechos políticos de los concejales no adscritos. Estos artículos contemplan la participación de los grupos políticos, mediante concejales pertenecientes a los mismos, en proporción al número de regidores que tengan en el Pleno en los órganos de estudio, informe o consulta de los asuntos sometidos al Pleno, en los municipios de régimen general, o en las comisiones del Pleno, en los municipios de gran población. En segundo lugar, la impugnación únicamente está basada en la remisión a la competencia normativa del Pleno del municipio de la regulación de los derechos económicos y políticos de los concejales no adscritos.</w:t>
      </w:r>
    </w:p>
    <w:p w:rsidR="0026452D" w:rsidRDefault="0026452D" w:rsidP="0026452D">
      <w:pPr>
        <w:pStyle w:val="TextoNormal"/>
      </w:pPr>
    </w:p>
    <w:p w:rsidR="0026452D" w:rsidRDefault="0026452D" w:rsidP="0026452D">
      <w:pPr>
        <w:pStyle w:val="TextoNormal"/>
      </w:pPr>
      <w:r>
        <w:lastRenderedPageBreak/>
        <w:t>El tenor literal del art. 73.3 LBRL es el siguiente: “Los derechos económicos y políticos de los miembros no adscritos no podrán ser superiores a los que les hubiesen correspondido de permanecer en el grupo de procedencia, y se ejercerán en la forma que determine el Reglamento orgánico de cada corporación”. Este precepto se limita a atribuir al reglamento orgánico la regulación del ejercicio de los derechos económicos y políticos de los concejales no adscritos, como manifestación de la potestad normativa inherente a la autonomía municipal. Ello sin perjuicio de que, en el ejercicio de su competencia normativa, el Pleno deba necesariamente respetar lo establecido tanto en la legislación estatal, a la que tampoco este apartado se refiere, como en la legislación autonómica de desarrollo, razón por la cual debe descartarse la inconstitucionalidad del art. 73.3 LBRL y, por conexión, los arts. 20.1 c) y 122.3 y de la disposición final primera en lo que a estos se refiere.</w:t>
      </w:r>
    </w:p>
    <w:p w:rsidR="0026452D" w:rsidRDefault="0026452D" w:rsidP="0026452D">
      <w:pPr>
        <w:pStyle w:val="TextoNormal"/>
      </w:pPr>
    </w:p>
    <w:p w:rsidR="0026452D" w:rsidRDefault="0026452D" w:rsidP="0026452D">
      <w:pPr>
        <w:pStyle w:val="TextoNormal"/>
      </w:pPr>
      <w:r w:rsidRPr="0026452D">
        <w:rPr>
          <w:rStyle w:val="NumeroAFNegritaCaracter"/>
        </w:rPr>
        <w:t>6</w:t>
      </w:r>
      <w:r>
        <w:t>. La representación letrada del Parlamento de Cataluña impugna, asimismo, el art. 126.2, párrafo segundo, inciso primero LBRL en la redacción que le da la Ley de medidas para la modernización del gobierno local. Dice este inciso que “[e]l Alcalde podrá nombrar como miembros de la Junta de Gobierno Local a personas que no ostenten la condición de concejales, siempre que su número no supere un tercio de sus miembros, excluido el Alcalde”.</w:t>
      </w:r>
    </w:p>
    <w:p w:rsidR="0026452D" w:rsidRDefault="0026452D" w:rsidP="0026452D">
      <w:pPr>
        <w:pStyle w:val="TextoNormal"/>
      </w:pPr>
    </w:p>
    <w:p w:rsidR="0026452D" w:rsidRDefault="0026452D" w:rsidP="0026452D">
      <w:pPr>
        <w:pStyle w:val="TextoNormal"/>
      </w:pPr>
      <w:r>
        <w:t>En opinión del recurrente, la inconstitucionalidad se basa en que la incorporación de no electos a la Junta de Gobierno vulnera el art. 140 CE, que encomienda el gobierno y administración municipal al alcalde y concejales, como manifestación de la opción constitucional por una administración democrática. El Abogado del Estado señala, por el contrario, que la Junta de Gobierno ha quedado constituida como un órgano de manifiesto perfil ejecutivo y profesional, que viene exigido por la complejidad de las funciones técnicas que debe afrontar, quedando el principio representativo residenciado en el Pleno. Por otra parte señala que esta configuración responde al modelo europeo de gobierno local reflejado en la Carta europea de la autonomía local, cuyo art. 3.2 prevé que los órganos electivos colegiados puedan disponer de órganos ejecutivos responsables ante ellos mismos.</w:t>
      </w:r>
    </w:p>
    <w:p w:rsidR="0026452D" w:rsidRDefault="0026452D" w:rsidP="0026452D">
      <w:pPr>
        <w:pStyle w:val="TextoNormal"/>
      </w:pPr>
    </w:p>
    <w:p w:rsidR="0026452D" w:rsidRDefault="0026452D" w:rsidP="0026452D">
      <w:pPr>
        <w:pStyle w:val="TextoNormal"/>
      </w:pPr>
      <w:r>
        <w:t>La Ley de medidas para la modernización del gobierno local, como ya señalamos anteriormente, ha modificado el diseño de gobierno en los municipios de gran población para establecer una separación clara de funciones entre el órgano en el que se residencia el principio representativo, y el órgano de carácter ejecutivo que aúna las competencias de dirección política o gobierno con la dirección de la administración municipal. Este órgano no está integrado únicamente por electos, pues el precepto impugnado permite al Alcalde nombrar, como miembros de la Junta de Gobierno local, a personas que no ostenten dicha condición, siempre que su número no supere el tercio de sus miembros, excluido el Alcalde, garantizándose en todo caso una mayoría de miembros electos, al exigirse para la válida constitución del órgano colegiado que el número de miembros electos presentes supere a los miembros presentes que no ostentan dicha condición.</w:t>
      </w:r>
    </w:p>
    <w:p w:rsidR="0026452D" w:rsidRDefault="0026452D" w:rsidP="0026452D">
      <w:pPr>
        <w:pStyle w:val="TextoNormal"/>
      </w:pPr>
    </w:p>
    <w:p w:rsidR="0026452D" w:rsidRDefault="0026452D" w:rsidP="0026452D">
      <w:pPr>
        <w:pStyle w:val="TextoNormal"/>
      </w:pPr>
      <w:r>
        <w:t xml:space="preserve">Por ello, en los municipios de gran población, el Pleno ha perdido sus competencias administrativas pues, como señala la exposición de motivos de la ley impugnada, se configura como el gran órgano de debate de las grandes políticas municipales y de adopción de las decisiones estratégicas; es, además, el órgano que ejerce la competencia reglamentaria, y fiscaliza y controla la actuación del Alcalde y su equipo de gobierno (art. 122 LBRL). Por el contrario, la Junta de Gobierno local se constituye como un órgano colegiado que asume </w:t>
      </w:r>
      <w:r>
        <w:lastRenderedPageBreak/>
        <w:t>las competencias administrativas que, en los municipios de régimen común, corresponden al Pleno y al Alcalde, pero también se convierte en un órgano esencial de colaboración en la dirección política del Ayuntamiento pues el alcalde —que conserva la presidencia el órgano colegiado y la capacidad de nombrar y cesar libremente a sus miembros—, comparte la dirección política con la Junta de Gobierno local que es, tal y como la define el art. 126.1 LBRL, “el órgano que, bajo la presidencia del Alcalde, colabora de forma colegiada en la función de dirección política que a éste corresponde y ejerce las funciones ejecutivas y administrativas que se señalan en el art. 127 de esta ley”.</w:t>
      </w:r>
    </w:p>
    <w:p w:rsidR="0026452D" w:rsidRDefault="0026452D" w:rsidP="0026452D">
      <w:pPr>
        <w:pStyle w:val="TextoNormal"/>
      </w:pPr>
    </w:p>
    <w:p w:rsidR="0026452D" w:rsidRDefault="0026452D" w:rsidP="0026452D">
      <w:pPr>
        <w:pStyle w:val="TextoNormal"/>
      </w:pPr>
      <w:r>
        <w:t>Tal y como hemos señalado en reiteradas ocasiones, entre otras en la STC 240/2006, de 20 de julio, FJ 8, el constituyente no predeterminó el contenido concreto de la autonomía local, por lo que el legislador podrá ejercer en uno u otro sentido su libertad inicial de configuración, siempre que sea compatible con el marco general perfilado en los art. 137, 140 y 141 CE. Asimismo hemos afirmado que la garantía constitucional de la autonomía local requiere que se dote a las entidades locales de una autonomía o capacidad efectiva para ordenar y gestionar una parte importante de los asuntos públicos, en el marco de la ley, bajo su propia responsabilidad y en beneficio de sus habitantes, así la define el art. 3.1 de la Carta europea de la autonomía local.</w:t>
      </w:r>
    </w:p>
    <w:p w:rsidR="0026452D" w:rsidRDefault="0026452D" w:rsidP="0026452D">
      <w:pPr>
        <w:pStyle w:val="TextoNormal"/>
      </w:pPr>
    </w:p>
    <w:p w:rsidR="0026452D" w:rsidRDefault="0026452D" w:rsidP="0026452D">
      <w:pPr>
        <w:pStyle w:val="TextoNormal"/>
      </w:pPr>
      <w:r>
        <w:t>Este marco constitucional aparece profundamente enraizado en el principio democrático que se plasma, de forma expresa, en el art. 140 CE con la elección de concejales y alcalde, y en el art. 141.2 CE, que encomienda el gobierno y administración de las provincias a Diputaciones u otras corporaciones de carácter representativo. El principio representativo es, también, fundamento de la autonomía local de la que son titulares las islas, pues aunque el art. 141.4 CE no se refiera expresamente al mismo, como sí lo hace en el caso de municipios y provincias, “el carácter representativo de los órganos a los que corresponde la dirección política de los entes locales constituye un concepto inherente a este concepto de autonomía local” (STC 132/2012, de 19 de junio, FJ 3). En esta Sentencia señalamos, además, en relación a los consejos insulares, que el carácter necesariamente representativo de los órganos de dirección política “es compatible con la existencia, en el seno de esos entes locales, de órganos cuya integración no se encuentre enteramente reservada a los miembros electos de la corporación, al primar en ellos el perfil ejecutivo. En el bien entendido que éstos deberán responder de su acción ante aquéllos, que, precisamente por reunir la condición de órganos representativos, son los únicos facultados para dirigir la acción de las Administraciones locales en ejercicio de ese núcleo de la autonomía local que, según dijimos en la STC 193/1987, de 9 de diciembre, FJ 4, ‘consiste, fundamentalmente en la capacidad de decidir libremente, entre varias opciones legalmente posibles, de acuerdo con un criterio de naturaleza esencialmente política’(STC 4/1981, fundamento jurídico 3)” (FJ 3).</w:t>
      </w:r>
    </w:p>
    <w:p w:rsidR="0026452D" w:rsidRDefault="0026452D" w:rsidP="0026452D">
      <w:pPr>
        <w:pStyle w:val="TextoNormal"/>
      </w:pPr>
    </w:p>
    <w:p w:rsidR="0026452D" w:rsidRDefault="0026452D" w:rsidP="0026452D">
      <w:pPr>
        <w:pStyle w:val="TextoNormal"/>
      </w:pPr>
      <w:r>
        <w:t xml:space="preserve">Pero igualmente dijimos que “además de que no cabe equiparar automáticamente los consejos insulares a los ayuntamientos, debe señalarse que, como más adelante se expondrá con mayor detalle, esta regulación de los consejos insulares constituye una singularidad propia de su régimen jurídico que, como más adelante se razonará, no atenta contra la autonomía local, concretada en el autogobierno de la isla como entidad local a través de corporaciones de carácter representativo. En tal sentido, y como ya se adelantó, la respuesta que ahora debamos dar a la cuestión de si la regulación contenida en la Ley de consejos insulares que permite designar como miembros o titulares de los órganos referidos a quienes no tienen la condición de electos contraviene la normativa básica sobre régimen local, no prejuzga la </w:t>
      </w:r>
      <w:r>
        <w:lastRenderedPageBreak/>
        <w:t>que este Tribunal haya de pronunciar en su momento al resolver el recurso de inconstitucionalidad núm. 1523-2004” (STC 132/2012, de 19 de junio, FJ 3), que es el objeto de esta Sentencia.</w:t>
      </w:r>
    </w:p>
    <w:p w:rsidR="0026452D" w:rsidRDefault="0026452D" w:rsidP="0026452D">
      <w:pPr>
        <w:pStyle w:val="TextoNormal"/>
      </w:pPr>
    </w:p>
    <w:p w:rsidR="0026452D" w:rsidRDefault="0026452D" w:rsidP="0026452D">
      <w:pPr>
        <w:pStyle w:val="TextoNormal"/>
      </w:pPr>
      <w:r>
        <w:t>Pues bien, si como hasta ahora hemos señalado, el principio representativo constituye el fundamento de la autonomía local y por tanto es predicable de todas las entidades locales constitucionalmente garantizadas, este principio ha sido consagrado para los municipios con una intensidad especial, mediante una regulación bastante más minuciosa, que contrasta con la menor densidad normativa con que la norma fundamental lo ha recogido para islas y provincias. En efecto, si el carácter representativo de los órganos de dirección política de las islas deriva directamente de la garantía institucional de la autonomía local consagrada en el art. 137 CE, el art. 141.2 CE prevé, ya expresamente, para las provincias, que su gobierno y administración autónoma estarán encomendados a Diputaciones u otras corporaciones de carácter representativo. Pero, para los municipios, el art. 140 CE, va aún más allá, al atribuir el gobierno y administración a los Ayuntamientos, integrados por alcaldes y concejales, imponiendo la elección democrática de sus integrantes. Por ello debemos señalar, en primer lugar, que el mencionado precepto constitucional atribuye al alcalde y concejales tanto el gobierno como la administración municipal, esto es, y sin perjuicio de la dificultad que puede conllevar a menudo la delimitación de ambas funciones, tanto la alta dirección de la política municipal en lo que supone de adopción de decisiones con criterios esencialmente políticos, como también la suprema dirección de la Administración municipal a la que se refiere, junto al resto de Administraciones públicas, el art. 103 CE. En segundo lugar, el art. 140 CE no atribuye las funciones de gobierno y administración municipal a una corporación representativa como hace el art. 141.2 CE para las provincias, sino a un ayuntamiento compuesto únicamente por alcalde y concejales. Éstos podrán ejercitarlas, bien individualmente, bien mediante su integración en órganos colegiados, decisión ésta que corresponde adoptar al legislador básico, en desarrollo directo del art. 140 CE, al diseñar los órganos de gobierno municipales. Pero, además, el citado precepto exige que concejales y alcaldes sean elegidos democráticamente, como manifestación del derecho fundamental de participación en los asuntos públicos, consagrado en el art. 23 CE, en su doble vertiente de derecho a participar directamente o por representantes libremente elegidos y derecho de acceder en condiciones de igualdad a los cargos públicos. Los concejales son elegidos por sufragio universal, igual, libre directo y secreto en la forma establecida por la ley. El alcalde, por los concejales o por los vecinos. En definitiva, el art. 140 CE otorga una especial legitimación democrática al gobierno municipal, tanto en su función de dirección política, como de administración, que contrasta, sin duda, con el diseño que la propia Constitución establece para el Gobierno del Estado (art. 97 y 98 CE). Un plus de legitimidad democrática, frente a la profesionalización, que, en todo caso, debe ser respetada por el legislador básico al configurar ese modelo común de autonomía municipal.</w:t>
      </w:r>
    </w:p>
    <w:p w:rsidR="0026452D" w:rsidRDefault="0026452D" w:rsidP="0026452D">
      <w:pPr>
        <w:pStyle w:val="TextoNormal"/>
      </w:pPr>
    </w:p>
    <w:p w:rsidR="0026452D" w:rsidRDefault="0026452D" w:rsidP="0026452D">
      <w:pPr>
        <w:pStyle w:val="TextoNormal"/>
      </w:pPr>
      <w:r>
        <w:t xml:space="preserve">Por las razones expuestas debemos declarar la inconstitucionalidad del artículo 126.2, párrafo segundo, inciso primero LBRL, inconstitucionalidad que se limita única y exclusivamente a la facultad que se reconoce al alcalde para nombrar como miembros de la Junta de Gobierno a personas que no ostenten la condición de concejales, pero no se extiende a la regulación de dicho órgano. Pero antes de pronunciar el fallo de inconstitucionalidad y consiguiente nulidad a que conduce nuestro razonamiento, es preciso determinar cuál es el alcance y efectos que corresponde atribuir a dicho fallo y, en tal sentido, debemos establecer </w:t>
      </w:r>
      <w:r>
        <w:lastRenderedPageBreak/>
        <w:t>que han de considerarse situaciones consolidadas no susceptibles de ser revisadas con fundamento en esta Sentencia las nacidas con anterioridad a la fecha de su publicación. Y todo ello sin perjuicio de la libertad de organización de los Ayuntamientos del funcionamiento de la actividad de asesoramiento a sus órganos de gobierno, en el marco de la legislación aplicable.</w:t>
      </w:r>
    </w:p>
    <w:p w:rsidR="0026452D" w:rsidRDefault="0026452D" w:rsidP="0026452D">
      <w:pPr>
        <w:pStyle w:val="TextoNormal"/>
      </w:pPr>
    </w:p>
    <w:p w:rsidR="0026452D" w:rsidRDefault="0026452D" w:rsidP="0026452D">
      <w:pPr>
        <w:pStyle w:val="TextoNormal"/>
      </w:pPr>
      <w:r w:rsidRPr="0026452D">
        <w:rPr>
          <w:rStyle w:val="NumeroAFNegritaCaracter"/>
        </w:rPr>
        <w:t>7</w:t>
      </w:r>
      <w:r>
        <w:t>. Se impugna, por último, el primer inciso del apartado quinto del art. 126 LBRL en la redacción dada al mismo por la Ley de medidas para la modernización del gobierno local, a cuyo tenor: “las deliberaciones de la Junta de Gobierno Local son secretas”. La obligación de secreto de las deliberaciones de la Junta de Gobierno local en los municipios de gran población frente a la regla general de no publicidad del art. 70.1, último inciso, LBRL vulnera, según el recurrente, el principio democrático del art. 1.1 CE, el principio de seguridad jurídica del art. 9.3 CE y el derecho de participación en los asuntos públicos mediante representantes, reconocido en el art. 23.1 CE. La demanda carece de una mínima argumentación que permita deducir las razones por las cuales se entiende existe la infracción denunciada.</w:t>
      </w:r>
    </w:p>
    <w:p w:rsidR="0026452D" w:rsidRDefault="0026452D" w:rsidP="0026452D">
      <w:pPr>
        <w:pStyle w:val="TextoNormal"/>
      </w:pPr>
    </w:p>
    <w:p w:rsidR="0026452D" w:rsidRDefault="0026452D" w:rsidP="0026452D">
      <w:pPr>
        <w:pStyle w:val="TextoNormal"/>
      </w:pPr>
      <w:r>
        <w:t>Tal y como hemos señalado en nuestra STC 237/2007, de 8 de noviembre, FJ 3, la impugnación de normas debe ir acompañada con una fundamentación que permita a las partes a las que asiste el derecho de defensa (en este caso, al Abogado del Estado), así como a este Tribunal, conocer las razones por las cuales los recurrentes entienden que las disposiciones cuestionadas vulneran el orden constitucional. Por ello, resulta carga de los recurrentes, no sólo abrir la vía para que el Tribunal pueda pronunciarse, sino también colaborar con la justicia del Tribunal, mediante un análisis clarificador de las cuestiones que se suscitan; si no se atiende esta exigencia, no podrá desvirtuarse la presunción de constitucionalidad de normas con rango de ley. En aplicación de esta doctrina y a falta de cumplimiento por el recurrente de la carga procesal expresada, no puede este Tribunal entrar a valorar la impugnación del art. 126 e) LBRL en la redacción dada al mismo por la Ley de medidas para la modernización del gobierno local.</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Estimar parcialmente el presente recurso de inconstitucionalidad y en consecuencia:</w:t>
      </w:r>
    </w:p>
    <w:p w:rsidR="0026452D" w:rsidRDefault="0026452D" w:rsidP="0026452D">
      <w:pPr>
        <w:pStyle w:val="TextoNormal"/>
      </w:pPr>
    </w:p>
    <w:p w:rsidR="0026452D" w:rsidRDefault="0026452D" w:rsidP="0026452D">
      <w:pPr>
        <w:pStyle w:val="TextoNormal"/>
      </w:pPr>
      <w:r>
        <w:t>a) Declarar constitucional el art. 130.1 B) de la Ley 7/1985, reguladora de las bases de régimen local, en la redacción dada al mismo por el artículo primero de la 57/2003, de 16 de diciembre, siempre que se interprete de acuerdo con lo señalado en el fundamento jurídico 5 j) de esta Sentencia, y la disposición final primera de la Ley 57/2003, de 16 de diciembre, de medidas para la modernización del gobierno local en cuanto le atribuye carácter básico.</w:t>
      </w:r>
    </w:p>
    <w:p w:rsidR="0026452D" w:rsidRDefault="0026452D" w:rsidP="0026452D">
      <w:pPr>
        <w:pStyle w:val="TextoNormal"/>
      </w:pPr>
    </w:p>
    <w:p w:rsidR="0026452D" w:rsidRDefault="0026452D" w:rsidP="0026452D">
      <w:pPr>
        <w:pStyle w:val="TextoNormal"/>
      </w:pPr>
      <w:r>
        <w:lastRenderedPageBreak/>
        <w:t>b) Declarar inconstitucional y nulo, en los términos establecidos en el fundamento jurídico 6 de esta Sentencia, el inciso “El Alcalde podrá nombrar como miembros de la Junta de Gobierno local a personas que no ostenten la condición de concejales, siempre que su número no supere un tercio de sus miembros, excluido el Alcalde”, del párrafo segundo, del artículo 126.2 de la Ley 7/1985, reguladora de las bases de régimen local, en la redacción dada al mismo por el artículo primero de la 57/2003, de 16 de diciembre, de medidas para la modernización del gobierno local.</w:t>
      </w:r>
    </w:p>
    <w:p w:rsidR="0026452D" w:rsidRDefault="0026452D" w:rsidP="0026452D">
      <w:pPr>
        <w:pStyle w:val="TextoNormal"/>
      </w:pPr>
    </w:p>
    <w:p w:rsidR="0026452D" w:rsidRDefault="0026452D" w:rsidP="0026452D">
      <w:pPr>
        <w:pStyle w:val="TextoNormal"/>
      </w:pPr>
      <w:r>
        <w:t>2º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veinticinco de abril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Andrés Ollero Tassara, al que se adhiere el Magistrado don Francisco Pérez de los Cobos Orihuel, respecto a la Sentencia del Pleno de fecha 25 de abril de 2013 dictada en el recurso de inconstitucionalidad núm. 1523-2004.</w:t>
      </w:r>
    </w:p>
    <w:p w:rsidR="0026452D" w:rsidRDefault="0026452D" w:rsidP="0026452D">
      <w:pPr>
        <w:pStyle w:val="TextoNormalNegritaCentrado"/>
        <w:keepNext/>
      </w:pPr>
    </w:p>
    <w:p w:rsidR="0026452D" w:rsidRDefault="0026452D" w:rsidP="0026452D">
      <w:pPr>
        <w:pStyle w:val="TextoNormal"/>
      </w:pPr>
      <w:r>
        <w:t>En el ejercicio de la facultad que nos confiere el art. 90.2 de la Ley Orgánica del Tribunal Constitucional y con el máximo respeto a la opinión de la mayoría del Pleno, dejo constancia de mi opinión discrepante puesta ya de manifiesto durante la deliberación de la Sentencia que ha resuelto el recurso de inconstitucionalidad interpuesto por el Parlamento de Cataluña contra la Ley 57/2003, de 16 de diciembre, de medidas para la modernización del gobierno local.</w:t>
      </w:r>
    </w:p>
    <w:p w:rsidR="0026452D" w:rsidRDefault="0026452D" w:rsidP="0026452D">
      <w:pPr>
        <w:pStyle w:val="TextoNormal"/>
      </w:pPr>
    </w:p>
    <w:p w:rsidR="0026452D" w:rsidRDefault="0026452D" w:rsidP="0026452D">
      <w:pPr>
        <w:pStyle w:val="TextoNormal"/>
      </w:pPr>
      <w:r>
        <w:t>1. Para ningún mediano conocedor de la teoría del Derecho es un secreto la inevitable relevancia práctica de la interpretación de las normas. De ahí la importancia de que el órgano juzgador mantenga un modelo interpretativo uniforme, procurando evitar que una insuprimible pre-comprensión de su objeto derive en una imprevisible y azarosa elección del método en que busca fundamento. De lo contrario, podría ocurrir que mientras en una resolución se evoca un árbol vivo, al que no cabría condenar a ser víctima del presunto páramo de una interpretación literalista, en otra sea ésta la que predomine sin reparar en su poco razonable alcance práctico.</w:t>
      </w:r>
    </w:p>
    <w:p w:rsidR="0026452D" w:rsidRDefault="0026452D" w:rsidP="0026452D">
      <w:pPr>
        <w:pStyle w:val="TextoNormal"/>
      </w:pPr>
    </w:p>
    <w:p w:rsidR="0026452D" w:rsidRDefault="0026452D" w:rsidP="0026452D">
      <w:pPr>
        <w:pStyle w:val="TextoNormal"/>
      </w:pPr>
      <w:r>
        <w:t>2. Queda fuera de discusión que el artículo 140 de nuestra Constitución “garantiza la autonomía de los municipios”, de la que serán expresión “sus respectivos Ayuntamientos, integrados por los Alcaldes y los Concejales”. Deducir de este precepto que solo estos puedan asumir toda imaginable función de “gobierno y administración” no solo desafía el sentido común, ante la obvia existencia de funcionarios locales, sino que implica atribuirse el monopolio de qué se entiende por gobierno y administración, despojando al legislador de toda capacidad de desarrollo al respecto, en todo aquello que —como ocurre, a mi modo de ver, en este caso— no ha sido diáfanamente explicitado por el constituyente, que no ha recurrido a esos mismos términos de modo unívoco dentro del propio texto constitucional.</w:t>
      </w:r>
    </w:p>
    <w:p w:rsidR="0026452D" w:rsidRDefault="0026452D" w:rsidP="0026452D">
      <w:pPr>
        <w:pStyle w:val="TextoNormal"/>
      </w:pPr>
    </w:p>
    <w:p w:rsidR="0026452D" w:rsidRDefault="0026452D" w:rsidP="0026452D">
      <w:pPr>
        <w:pStyle w:val="TextoNormal"/>
      </w:pPr>
      <w:r>
        <w:t xml:space="preserve">En consecuencia no puedo compartir la declaración como “inconstitucional y nulo” del “párrafo segundo, inciso primero, de la Ley 57/2003, de 16 de diciembre, de medidas para </w:t>
      </w:r>
      <w:r>
        <w:lastRenderedPageBreak/>
        <w:t>la modernización del gobierno local”; es decir, que pueda el Alcalde “nombrar como miembros de la Junta de Gobierno Local a personas que no ostenten la condición de concejales, siempre que su número no supere un tercio de sus miembros, excluido el Alcalde”.</w:t>
      </w:r>
    </w:p>
    <w:p w:rsidR="0026452D" w:rsidRDefault="0026452D" w:rsidP="0026452D">
      <w:pPr>
        <w:pStyle w:val="TextoNormal"/>
      </w:pPr>
    </w:p>
    <w:p w:rsidR="0026452D" w:rsidRDefault="0026452D" w:rsidP="0026452D">
      <w:pPr>
        <w:pStyle w:val="TextoNormal"/>
      </w:pPr>
      <w:r>
        <w:t>3. Dado que el carácter no imperativo de la citada previsión descarta todo determinismo heterónomo, solo cabe imaginar que resulte vulnerada la autonomía municipal, entendiendo —de modo más o menos consciente— que esta llevaría aparejado un peculiar concepto de democracia, que obligaría a que los ciudadanos elegidos como representantes monopolizaran exhaustivamente toda tarea de gobierno o administración. Resulta obvio que ello no ocurre en más amplios niveles, donde —de aplicarse tal concepto— tanto los Ministros del Gobierno de la Nación como los Consejeros de las Comunidades Autónomas habrían de ser parlamentarios elegidos de modo directo por los propios ciudadanos.</w:t>
      </w:r>
    </w:p>
    <w:p w:rsidR="0026452D" w:rsidRDefault="0026452D" w:rsidP="0026452D">
      <w:pPr>
        <w:pStyle w:val="TextoNormal"/>
      </w:pPr>
    </w:p>
    <w:p w:rsidR="0026452D" w:rsidRDefault="0026452D" w:rsidP="0026452D">
      <w:pPr>
        <w:pStyle w:val="TextoNormal"/>
      </w:pPr>
      <w:r>
        <w:t>Que la comparación no resulta improcedente parece claro si se tiene en cuenta la propia exposición de motivos de la norma tachada de inconstitucional. Esta no solo considera que “atender a la necesidad de un liderazgo claro y diáfano ante la sociedad” exige contar con “ejecutivos con gran capacidad de gestión para actuar rápida y eficazmente”, sino que aspira precisamente a posibilitar mayor efectividad democrática y participativa a la actividad política en municipios no particularmente favorecedores —como resalta el apartado IV de la citada exposición— de una cotidiana cercanía vecinal. Se pretendería evitar que un grupo municipal mayoritario, erigido en poder ejecutivo, convierta en mero espectador al resto de los representantes, como de hecho no pocas veces ha acabado ocurriendo. Deslindando la función ejecutiva y su necesario control —lo que no es ciertamente una novedosa ocurrencia— se pretende “responder a la exigencia de un debate político abierto y creativo sobre las principales políticas de la ciudad, así como profundizar en el control de la acción de un ejecutivo reforzado, lo que implica que el Pleno desarrolle sus potencialidades deliberantes y fiscalizadoras”. Se aspira pues a “configurar al Pleno como un verdadero órgano de debate de las grandes políticas locales que afectan al municipio y de adopción de las decisiones estratégicas”.</w:t>
      </w:r>
    </w:p>
    <w:p w:rsidR="0026452D" w:rsidRDefault="0026452D" w:rsidP="0026452D">
      <w:pPr>
        <w:pStyle w:val="TextoNormal"/>
      </w:pPr>
    </w:p>
    <w:p w:rsidR="0026452D" w:rsidRDefault="0026452D" w:rsidP="0026452D">
      <w:pPr>
        <w:pStyle w:val="TextoNormal"/>
      </w:pPr>
      <w:r>
        <w:t>Sin perjuicio del pronóstico —que no corresponde a este Tribunal establecer— sobre las posibilidades de éxito en el empeño, parece claro que no puede estimarse tan ajeno a la realidad como para considerarlo un modo neto de anular la democracia municipal. No lo considera así desde luego la Carta europea de la autonomía local, que el artículo 10.2 de la Constitución nos invita a no ignorar; como es sabido, el artículo 3.2 de la citada Carta prevé que los órganos electivos colegiados locales “pueden disponer de órganos ejecutivos responsables ante ellos mismos”, como en esta ocasión era el caso. En efecto, en el epígrafe siguiente al declarado nulo, la Ley establece: “La Junta de Gobierno Local responde políticamente ante el Pleno de su gestión de forma solidaria, sin perjuicio de la responsabilidad directa de cada uno de sus miembros por su gestión”.</w:t>
      </w:r>
    </w:p>
    <w:p w:rsidR="0026452D" w:rsidRDefault="0026452D" w:rsidP="0026452D">
      <w:pPr>
        <w:pStyle w:val="TextoNormal"/>
      </w:pPr>
    </w:p>
    <w:p w:rsidR="0026452D" w:rsidRDefault="0026452D" w:rsidP="0026452D">
      <w:pPr>
        <w:pStyle w:val="TextoNormal"/>
      </w:pPr>
      <w:r>
        <w:t xml:space="preserve">No puede tampoco razonablemente considerarse que el legislador, exclusivamente preocupado de la eficacia ejecutiva, no haya ponderado tal propósito con las exigencias de control democrático, cuando el número de miembros de la Junta de Gobierno local no concejales no puede en ningún caso superar un tercio de la tercera parte de los miembros del Pleno municipal. Se impone de este modo una cautela que, por cierto, no se han visto obligados a introducir los ordenamientos que también han pretendido delimitar más claramente las funciones de regulación, control y administración en Ayuntamientos medianos y grandes. </w:t>
      </w:r>
      <w:r>
        <w:lastRenderedPageBreak/>
        <w:t>Valga como ejemplo Italia, donde la condición de miembro de la Junta es incompatible con la de concejal en municipios de más de 15.000 habitantes. Establecer que cabe vetar constitucionalmente esa facultad a un alcalde independiente de los partidos, elegido directamente “por los vecinos” (lo que el mismo artículo 140 no excluye), impidiéndole seleccionar siquiera a un tercio de su previamente reducido (otro tercio) equipo de gobierno me parece exagerado.</w:t>
      </w:r>
    </w:p>
    <w:p w:rsidR="0026452D" w:rsidRDefault="0026452D" w:rsidP="0026452D">
      <w:pPr>
        <w:pStyle w:val="TextoNormal"/>
      </w:pPr>
    </w:p>
    <w:p w:rsidR="0026452D" w:rsidRDefault="0026452D" w:rsidP="0026452D">
      <w:pPr>
        <w:pStyle w:val="TextoNormal"/>
      </w:pPr>
      <w:r>
        <w:t>4. Resulta adicionalmente preocupante que no se hayan calibrado las consecuencias inmediatas derivadas del fallo, descartando toda fórmula transitoria que tenga en cuenta que este se produce más de nueve años después de presentado el recurso. Como consecuencia, al confeccionarse las listas electorales que con carácter cerrado se han presentado ya repetidamente a los electores, ha podido darse por supuesto que, de asumirse responsabilidades de gobierno, cabría encomendar a personas particularmente expertas el desempeño de responsabilidades de mayor alcance técnico, sin necesidad de disminuir el número de concejales que pudieran dedicarse de modo más completo al contacto político con los ciudadanos. Cabría pensar que quienes, sin ser concejales, hayan venido desarrollando esas tareas ejecutivas podrían seguir llevándolas a cabo como asesores; si se tiene en cuenta que la propia ley había establecido que sus “derechos económicos y prestaciones sociales serán los de los miembros electivos”, sugerirlo demostraría un notable desconocimiento de la situación que, en el mejor de los casos de modo transitorio, está viviendo nuestro país.</w:t>
      </w:r>
    </w:p>
    <w:p w:rsidR="0026452D" w:rsidRDefault="0026452D" w:rsidP="0026452D">
      <w:pPr>
        <w:pStyle w:val="TextoNormal"/>
      </w:pPr>
    </w:p>
    <w:p w:rsidR="0026452D" w:rsidRDefault="0026452D" w:rsidP="0026452D">
      <w:pPr>
        <w:pStyle w:val="TextoNormal"/>
      </w:pPr>
      <w:r>
        <w:t>Partiendo de estas reflexiones, me veo obligado a emitir mi Voto particular.</w:t>
      </w:r>
    </w:p>
    <w:p w:rsidR="0026452D" w:rsidRDefault="0026452D" w:rsidP="0026452D">
      <w:pPr>
        <w:pStyle w:val="TextoNormal"/>
      </w:pPr>
    </w:p>
    <w:p w:rsidR="0026452D" w:rsidRDefault="0026452D" w:rsidP="0026452D">
      <w:pPr>
        <w:pStyle w:val="TextoNormal"/>
      </w:pPr>
      <w:r>
        <w:t>Madrid, a veinticinco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07" w:name="SENTENCIA_2013_104"/>
      <w:r>
        <w:lastRenderedPageBreak/>
        <w:t>SENTENCIA 104/2013, de 25 de abril de 2013</w:t>
      </w:r>
    </w:p>
    <w:bookmarkEnd w:id="107"/>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123, de 23 de mayo de 2013)</w:t>
      </w:r>
    </w:p>
    <w:p w:rsidR="0026452D" w:rsidRDefault="0026452D" w:rsidP="0026452D">
      <w:pPr>
        <w:pStyle w:val="TtuloBOE"/>
      </w:pPr>
    </w:p>
    <w:p w:rsidR="0026452D" w:rsidRDefault="0026452D" w:rsidP="0026452D">
      <w:pPr>
        <w:pStyle w:val="SntesisDescriptiva"/>
      </w:pPr>
      <w:r>
        <w:t>ECLI:ES:TC:2013:104</w:t>
      </w:r>
    </w:p>
    <w:p w:rsidR="0026452D" w:rsidRDefault="0026452D" w:rsidP="0026452D">
      <w:pPr>
        <w:pStyle w:val="SntesisDescriptiva"/>
      </w:pPr>
    </w:p>
    <w:p w:rsidR="0026452D" w:rsidRDefault="0026452D" w:rsidP="0026452D">
      <w:pPr>
        <w:pStyle w:val="SntesisDescriptiva"/>
      </w:pPr>
      <w:r>
        <w:t>Recurso de inconstitucionalidad 2095-2004. Interpuesto por el Gobierno de la Generalitat de Cataluña contra varios artículos de la Ley 62/2003, de 30 de diciembre, de medidas fiscales, administrativas y del orden social.</w:t>
      </w:r>
    </w:p>
    <w:p w:rsidR="0026452D" w:rsidRDefault="0026452D" w:rsidP="0026452D">
      <w:pPr>
        <w:pStyle w:val="SntesisDescriptiva"/>
      </w:pPr>
    </w:p>
    <w:p w:rsidR="0026452D" w:rsidRDefault="0026452D" w:rsidP="0026452D">
      <w:pPr>
        <w:pStyle w:val="SntesisAnaltica"/>
      </w:pPr>
      <w:r>
        <w:t>Competencias en materia de aguas, agricultura asistencia social, legislación laboral y medio ambiente; autonomía local: nulidad del precepto legal que atribuye a un órgano estatal la competencia para sancionar infracciones en materia de desempleo (STC 195/1996), interpretación conforme del precepto legal que prevé la intervención subsidiaria del Gobierno de la Nación en las propuestas de elaboración y revisión de los planes hidrológicos de cuenca (STC 227/1988).</w:t>
      </w:r>
    </w:p>
    <w:p w:rsidR="0026452D" w:rsidRDefault="0026452D" w:rsidP="0026452D">
      <w:pPr>
        <w:pStyle w:val="SntesisAnaltica"/>
      </w:pPr>
    </w:p>
    <w:p w:rsidR="0026452D" w:rsidRDefault="0026452D" w:rsidP="0026452D">
      <w:pPr>
        <w:pStyle w:val="Extracto"/>
      </w:pPr>
      <w:r>
        <w:t>1.</w:t>
      </w:r>
      <w:r>
        <w:tab/>
        <w:t>La prestación de asistencia para hacer reclamaciones por discriminación ante las Administraciones públicas por el Consejo para la promoción de la igualdad de trato y no discriminación de las personas por su origen racial o étnico —órgano en el que participan las Comunidades Autónomas— viene determinada por la normativa comunitaria que exige se ejerza con independencia, lo que permite descartar que se trate del ejercicio de una competencia de las Administraciones públicas, siendo evidente que esta función ni prejuzga la competencia para la tramitación y resolución de dichas reclamaciones ni vulnera las competencias autonómicas  [FJ 3].</w:t>
      </w:r>
    </w:p>
    <w:p w:rsidR="0026452D" w:rsidRDefault="0026452D" w:rsidP="0026452D">
      <w:pPr>
        <w:pStyle w:val="Extracto"/>
      </w:pPr>
    </w:p>
    <w:p w:rsidR="0026452D" w:rsidRDefault="0026452D" w:rsidP="0026452D">
      <w:pPr>
        <w:pStyle w:val="Extracto"/>
      </w:pPr>
      <w:r>
        <w:t>2.</w:t>
      </w:r>
      <w:r>
        <w:tab/>
        <w:t>Corresponde al Estado la gestión de las prestaciones por desempleo, en tanto que integrantes de la caja única de la Seguridad Social, lo que implica la atribución de la potestad ejecutiva y, con ella, la sancionadora cuando recae sobre actividades vinculadas a la percepción de los ingresos o la administración y disposición de esos fondos para atender la realización de los gastos correspondientes vinculados a las prestaciones por desempleo (SSTC 124/1989, 195/1996)  [FJ 4].</w:t>
      </w:r>
    </w:p>
    <w:p w:rsidR="0026452D" w:rsidRDefault="0026452D" w:rsidP="0026452D">
      <w:pPr>
        <w:pStyle w:val="Extracto"/>
      </w:pPr>
    </w:p>
    <w:p w:rsidR="0026452D" w:rsidRDefault="0026452D" w:rsidP="0026452D">
      <w:pPr>
        <w:pStyle w:val="Extracto"/>
      </w:pPr>
      <w:r>
        <w:t>3.</w:t>
      </w:r>
      <w:r>
        <w:tab/>
        <w:t>La competencia para la imposición de las sanciones en el orden social que no guarden relación con el régimen económico de la Seguridad Social corresponde a la Generalitat de Cataluña, lo que determina que sea contrario al orden constitucional de distribución de competencias y, por tanto, inconstitucional y nulo el precepto impugnado en cuanto que atribuye la titularidad de la potestad sancionadora sobre conductas tipificadas que no están relacionadas con la percepción de la prestación por desempleo sino que se refieren al cumplimiento de obligaciones que pesan sobre los beneficiarios de la prestación, a un órgano estatal [FJ 4].</w:t>
      </w:r>
    </w:p>
    <w:p w:rsidR="0026452D" w:rsidRDefault="0026452D" w:rsidP="0026452D">
      <w:pPr>
        <w:pStyle w:val="Extracto"/>
      </w:pPr>
    </w:p>
    <w:p w:rsidR="0026452D" w:rsidRDefault="0026452D" w:rsidP="0026452D">
      <w:pPr>
        <w:pStyle w:val="Extracto"/>
      </w:pPr>
      <w:r>
        <w:t>4.</w:t>
      </w:r>
      <w:r>
        <w:tab/>
        <w:t>Doctrina constitucional respecto a la potestad sancionadora en materia de Seguridad Social (SSTC 195/1996, 51/2006) [FJ 4].</w:t>
      </w:r>
    </w:p>
    <w:p w:rsidR="0026452D" w:rsidRDefault="0026452D" w:rsidP="0026452D">
      <w:pPr>
        <w:pStyle w:val="Extracto"/>
      </w:pPr>
    </w:p>
    <w:p w:rsidR="0026452D" w:rsidRDefault="0026452D" w:rsidP="0026452D">
      <w:pPr>
        <w:pStyle w:val="Extracto"/>
      </w:pPr>
      <w:r>
        <w:lastRenderedPageBreak/>
        <w:t>5.</w:t>
      </w:r>
      <w:r>
        <w:tab/>
        <w:t>La decisión estatal de aplicar, en todo el territorio nacional, el régimen de pago único de las ayudas directas en el marco de la política agrícola común supone una previsión estructural y conformadora del sistema de ayudas al sector agrícola que ha de ser calificada como básica, lo que justifica su encaje en las competencias del Estado reconocidas en el art. 149.1.13 CE  [FJ 5].</w:t>
      </w:r>
    </w:p>
    <w:p w:rsidR="0026452D" w:rsidRDefault="0026452D" w:rsidP="0026452D">
      <w:pPr>
        <w:pStyle w:val="Extracto"/>
      </w:pPr>
    </w:p>
    <w:p w:rsidR="0026452D" w:rsidRDefault="0026452D" w:rsidP="0026452D">
      <w:pPr>
        <w:pStyle w:val="Extracto"/>
      </w:pPr>
      <w:r>
        <w:t>6.</w:t>
      </w:r>
      <w:r>
        <w:tab/>
        <w:t>Doctrina constitucional sobre la competencia autonómica para adoptar las disposiciones necesarias en complemento del Derecho comunitario europeo y para ejecutar y aplicar en su ámbito territorial la normativa comunitaria, siempre que las Comunidades Autónomas ostenten esa competencia y no rebasen la linde establecida por la normativa comunitaria y la estatal básica o de coordinación (SSTC 79/1992, 95/2001)  [FJ 5].</w:t>
      </w:r>
    </w:p>
    <w:p w:rsidR="0026452D" w:rsidRDefault="0026452D" w:rsidP="0026452D">
      <w:pPr>
        <w:pStyle w:val="Extracto"/>
      </w:pPr>
    </w:p>
    <w:p w:rsidR="0026452D" w:rsidRDefault="0026452D" w:rsidP="0026452D">
      <w:pPr>
        <w:pStyle w:val="Extracto"/>
      </w:pPr>
      <w:r>
        <w:t>7.</w:t>
      </w:r>
      <w:r>
        <w:tab/>
        <w:t>Doctrina constitucional sobre la garantía del mantenimiento de la unidad de mercado (SSTC 118/1996, 146/1992) [FJ 5].</w:t>
      </w:r>
    </w:p>
    <w:p w:rsidR="0026452D" w:rsidRDefault="0026452D" w:rsidP="0026452D">
      <w:pPr>
        <w:pStyle w:val="Extracto"/>
      </w:pPr>
    </w:p>
    <w:p w:rsidR="0026452D" w:rsidRDefault="0026452D" w:rsidP="0026452D">
      <w:pPr>
        <w:pStyle w:val="Extracto"/>
      </w:pPr>
      <w:r>
        <w:t>8.</w:t>
      </w:r>
      <w:r>
        <w:tab/>
        <w:t>No puede colegirse que la intervención del municipio en los casos de ejecución de obras que deben realizarse en su término tenga que traducirse, sin excepción alguna, en el otorgamiento de la correspondiente licencia urbanística, puesto que la autonomía del art. 137 CE no impide que el legislador disponga que, cuando existan razones que así lo justifiquen, la intervención municipal se articule por medio de otros procedimientos adecuados para garantizar el respeto a los planes de ordenación urbanística tales como la técnica del informe previo en este caso requerida [FJ 6].</w:t>
      </w:r>
    </w:p>
    <w:p w:rsidR="0026452D" w:rsidRDefault="0026452D" w:rsidP="0026452D">
      <w:pPr>
        <w:pStyle w:val="Extracto"/>
      </w:pPr>
    </w:p>
    <w:p w:rsidR="0026452D" w:rsidRDefault="0026452D" w:rsidP="0026452D">
      <w:pPr>
        <w:pStyle w:val="Extracto"/>
      </w:pPr>
      <w:r>
        <w:t>9.</w:t>
      </w:r>
      <w:r>
        <w:tab/>
        <w:t>La evaluación ambiental de las zonas especiales de conservación tiene por finalidad que las Administraciones públicas valoren la afección al medio ambiente cuando hayan de decidir acerca de la autorización o aprobación de obras o actividades que puedan afectar a espacios de la Red Natura 2000  atendiendo a su repercusión sobre este tipo de espacios, evaluación ambiental que está sometida por la Constitución y los Estatutos de Autonomía al título competencial sustantivo que da cobertura a cada obra o actividad, título éste que atrae al medioambiental (SSTC 13/1998, 59/2013) [FJ 7].</w:t>
      </w:r>
    </w:p>
    <w:p w:rsidR="0026452D" w:rsidRDefault="0026452D" w:rsidP="0026452D">
      <w:pPr>
        <w:pStyle w:val="Extracto"/>
      </w:pPr>
    </w:p>
    <w:p w:rsidR="0026452D" w:rsidRDefault="0026452D" w:rsidP="0026452D">
      <w:pPr>
        <w:pStyle w:val="Extracto"/>
      </w:pPr>
      <w:r>
        <w:t>10.</w:t>
      </w:r>
      <w:r>
        <w:tab/>
        <w:t>Es acorde con la distribución constitucional de competencias la atribución a la Administración del Estado de la realización de la evaluación ambiental de las zonas especiales de conservación en aquellos casos en los que el plan o proyecto debe ser autorizado o aprobado por ella tras la realización de la correspondiente evaluación de impacto ambiental, garantizándose, en todo caso, la consulta a las Comunidades Autónomas en cuyo territorio se ubique el proyecto en cuestión [FJ 7].</w:t>
      </w:r>
    </w:p>
    <w:p w:rsidR="0026452D" w:rsidRDefault="0026452D" w:rsidP="0026452D">
      <w:pPr>
        <w:pStyle w:val="Extracto"/>
      </w:pPr>
    </w:p>
    <w:p w:rsidR="0026452D" w:rsidRDefault="0026452D" w:rsidP="0026452D">
      <w:pPr>
        <w:pStyle w:val="Extracto"/>
      </w:pPr>
      <w:r>
        <w:t>11.</w:t>
      </w:r>
      <w:r>
        <w:tab/>
        <w:t>Doctrina constitucional sobre el vínculo finalista de la evaluación ambiental y la decisión de realizar o no la obra cuyas consecuencias se evalúan para su encuadre competencial (STC 59/2013) [FJ 7].</w:t>
      </w:r>
    </w:p>
    <w:p w:rsidR="0026452D" w:rsidRDefault="0026452D" w:rsidP="0026452D">
      <w:pPr>
        <w:pStyle w:val="Extracto"/>
      </w:pPr>
    </w:p>
    <w:p w:rsidR="0026452D" w:rsidRDefault="0026452D" w:rsidP="0026452D">
      <w:pPr>
        <w:pStyle w:val="Extracto"/>
      </w:pPr>
      <w:r>
        <w:t>12.</w:t>
      </w:r>
      <w:r>
        <w:tab/>
        <w:t xml:space="preserve">No puede reputarse inconstitucional que el legislador estatal imponga a los titulares de actividades contaminantes del suelo el deber de efectuar una evaluación o </w:t>
      </w:r>
      <w:r>
        <w:lastRenderedPageBreak/>
        <w:t>informe preliminar sobre los posibles efectos perjudiciales o nocivos que estas actividades son susceptibles de producir en el suelo, al constituir materia propia de la competencia estatal básica que el art. 149.1.23 CE atribuye al Estado [FJ 8].</w:t>
      </w:r>
    </w:p>
    <w:p w:rsidR="0026452D" w:rsidRDefault="0026452D" w:rsidP="0026452D">
      <w:pPr>
        <w:pStyle w:val="Extracto"/>
      </w:pPr>
    </w:p>
    <w:p w:rsidR="0026452D" w:rsidRDefault="0026452D" w:rsidP="0026452D">
      <w:pPr>
        <w:pStyle w:val="Extracto"/>
      </w:pPr>
      <w:r>
        <w:t>13.</w:t>
      </w:r>
      <w:r>
        <w:tab/>
        <w:t>La habilitación al Consejo de Ministros para fijar el contenido mínimo de la evaluación preliminar en materia de actividades contaminantes del suelo, previa consulta a las Comunidades Autónomas, tiene cobertura en el art. 149.1.23 CE, que permite al legislador estatal dictar normas de obligada aplicación que aseguren un mínimo de protección de los elementos naturales [FJ 8].</w:t>
      </w:r>
    </w:p>
    <w:p w:rsidR="0026452D" w:rsidRDefault="0026452D" w:rsidP="0026452D">
      <w:pPr>
        <w:pStyle w:val="Extracto"/>
      </w:pPr>
    </w:p>
    <w:p w:rsidR="0026452D" w:rsidRDefault="0026452D" w:rsidP="0026452D">
      <w:pPr>
        <w:pStyle w:val="Extracto"/>
      </w:pPr>
      <w:r>
        <w:t>14.</w:t>
      </w:r>
      <w:r>
        <w:tab/>
        <w:t>La remisión de la regulación por el Gobierno del contenido de la evaluación preliminar en materia de actividades contaminantes del suelo a una posterior norma reglamentaria resulta justificada en atención a la especificidad de la materia y  a su carácter marcadamente técnico, no siendo posible efectuar su valoración en este momento sino cuando se concrete dicha habilitación reglamentaria, al hallarnos ante una impugnación preventiva, vedada en nuestra doctrina [FJ 8].</w:t>
      </w:r>
    </w:p>
    <w:p w:rsidR="0026452D" w:rsidRDefault="0026452D" w:rsidP="0026452D">
      <w:pPr>
        <w:pStyle w:val="Extracto"/>
      </w:pPr>
    </w:p>
    <w:p w:rsidR="0026452D" w:rsidRDefault="0026452D" w:rsidP="0026452D">
      <w:pPr>
        <w:pStyle w:val="Extracto"/>
      </w:pPr>
      <w:r>
        <w:t>15.</w:t>
      </w:r>
      <w:r>
        <w:tab/>
        <w:t>Doctrina sobre la habilitación al Gobierno para configurar demarcaciones hidrográficas de competencia estatal, conforme al criterio adoptado por el legislador de seguir considerando noción central la cuenca hidrográfica, esto es, las demarcaciones hidrográficas de carácter intercomunitario (STC 149/2012) [FJ 9].</w:t>
      </w:r>
    </w:p>
    <w:p w:rsidR="0026452D" w:rsidRDefault="0026452D" w:rsidP="0026452D">
      <w:pPr>
        <w:pStyle w:val="Extracto"/>
      </w:pPr>
    </w:p>
    <w:p w:rsidR="0026452D" w:rsidRDefault="0026452D" w:rsidP="0026452D">
      <w:pPr>
        <w:pStyle w:val="Extracto"/>
      </w:pPr>
      <w:r>
        <w:t>16.</w:t>
      </w:r>
      <w:r>
        <w:tab/>
        <w:t>Doctrina sobre la conformidad con el orden constitucional de competencias de la actuación subsidiaria del Gobierno en caso de falta de propuesta en relación con la planificación hidrológica (STC 227/1988) [FJ 10].</w:t>
      </w:r>
    </w:p>
    <w:p w:rsidR="0026452D" w:rsidRDefault="0026452D" w:rsidP="0026452D">
      <w:pPr>
        <w:pStyle w:val="Extracto"/>
      </w:pPr>
    </w:p>
    <w:p w:rsidR="0026452D" w:rsidRDefault="0026452D" w:rsidP="0026452D">
      <w:pPr>
        <w:pStyle w:val="Extracto"/>
      </w:pPr>
      <w:r>
        <w:t>17.</w:t>
      </w:r>
      <w:r>
        <w:tab/>
        <w:t>Doctrina constitucional sobre la pervivencia del objeto pese a la derogación de la norma en procesos constitucionales de naturaleza competencial cuando deba considerarse subsistente la disputa competencial [FJ 2].</w:t>
      </w:r>
    </w:p>
    <w:p w:rsidR="0026452D" w:rsidRDefault="0026452D" w:rsidP="0026452D">
      <w:pPr>
        <w:pStyle w:val="Extracto"/>
      </w:pPr>
    </w:p>
    <w:p w:rsidR="0026452D" w:rsidRDefault="0026452D" w:rsidP="0026452D">
      <w:pPr>
        <w:pStyle w:val="Extracto"/>
      </w:pPr>
      <w:r>
        <w:t>18.</w:t>
      </w:r>
      <w:r>
        <w:tab/>
        <w:t>Doctrina constitucional sobre la pérdida sobrevenida de objeto por modificación de la norma en el recurso de inconstitucionalidad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inconstitucionalidad núm. 2095-2004 interpuesto por el Gobierno de la Generalitat de Cataluña contra varios artículos de la Ley 62/2003, de 30 de diciembre, de medidas fiscales, administrativas y del orden social. Ha formulado alegaciones el Abogado del Estado. Ha sido Ponente el Magistrado don Luis Ignacio Ortega Álvarez,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 Mediante escrito presentado en el Registro General de este Tribunal el día 30 de marzo de 2004, los Letrados de la Generalitat de Cataluña, en la representación que legalmente ostentan, promueven recurso de inconstitucionalidad contra varios artículos de la Ley 62/2003, de 30 de diciembre, de medidas fiscales, administrativas y del orden social.</w:t>
      </w:r>
    </w:p>
    <w:p w:rsidR="0026452D" w:rsidRDefault="0026452D" w:rsidP="0026452D">
      <w:pPr>
        <w:pStyle w:val="TextoNormal"/>
      </w:pPr>
    </w:p>
    <w:p w:rsidR="0026452D" w:rsidRDefault="0026452D" w:rsidP="0026452D">
      <w:pPr>
        <w:pStyle w:val="TextoNormal"/>
      </w:pPr>
      <w:r>
        <w:t>La impugnación se fundamenta en los motivos que, resumidamente, se exponen a continuación:</w:t>
      </w:r>
    </w:p>
    <w:p w:rsidR="0026452D" w:rsidRDefault="0026452D" w:rsidP="0026452D">
      <w:pPr>
        <w:pStyle w:val="TextoNormal"/>
      </w:pPr>
    </w:p>
    <w:p w:rsidR="0026452D" w:rsidRDefault="0026452D" w:rsidP="0026452D">
      <w:pPr>
        <w:pStyle w:val="TextoNormal"/>
      </w:pPr>
      <w:r>
        <w:t>El escrito de interposición del recurso comienza aludiendo al heterogéneo contenido de la norma impugnada, señalando que en la misma se incluyen preceptos que modifican con carácter indefinido del ordenamiento jurídico en materias y sectores de la actividad pública ajenos, en principio, a lo que propiamente cabe entender como temas de política económica y que inciden directamente en e1 orden de distribución competencial entre el Estado y las Comunidades Autónomas, afectando negativamente las competencias autonómicas.</w:t>
      </w:r>
    </w:p>
    <w:p w:rsidR="0026452D" w:rsidRDefault="0026452D" w:rsidP="0026452D">
      <w:pPr>
        <w:pStyle w:val="TextoNormal"/>
      </w:pPr>
    </w:p>
    <w:p w:rsidR="0026452D" w:rsidRDefault="0026452D" w:rsidP="0026452D">
      <w:pPr>
        <w:pStyle w:val="TextoNormal"/>
      </w:pPr>
      <w:r>
        <w:t>Sentado así el carácter competencial del recurso, los diversos preceptos impugnados se agrupan en bloques por temas.</w:t>
      </w:r>
    </w:p>
    <w:p w:rsidR="0026452D" w:rsidRDefault="0026452D" w:rsidP="0026452D">
      <w:pPr>
        <w:pStyle w:val="TextoNormal"/>
      </w:pPr>
    </w:p>
    <w:p w:rsidR="0026452D" w:rsidRDefault="0026452D" w:rsidP="0026452D">
      <w:pPr>
        <w:pStyle w:val="TextoNormal"/>
      </w:pPr>
      <w:r>
        <w:t xml:space="preserve">a) El primer precepto impugnado es el art. 33.2 a), relativo a una de las funciones que se atribuyen al Consejo para la promoción de la igualdad de trato y no discriminación de las personas por el origen racial o étnico, creado por la Ley 62/2003. La demanda excluye que la existencia de títulos competenciales estatales que proporcionen cobertura a una previsión como la impugnada, admitiendo que si la norma se limitara a crear el citado consejo actuando tan sólo mediante la realización de estudios o la formulación de recomendaciones no se plantearía problema alguno, pues la vulneración competencial se residencia en el apartado 2 a) de dicho artículo 33, donde se prevé como competencia del Consejo “prestar asistencia a las víctimas de discriminación por su origen racial o étnico a la hora de tramitar sus reclamaciones”. Para la representación procesal de la Generalitat de Cataluña implica la realización de una función ejecutiva concreta que entra en colisión con las competencias autonómicas y locales en la materia, razón por la cual el precepto es inconstitucional por vulneración del orden de distribución de competencias, en concreto, las autonómicas en materia de asistencia social. Según el escrito de interposición, la asistencia a las víctimas de discriminación por su origen racial o étnico a la hora de tramitar sus reclamaciones, implica el establecimiento de servicios de asistencia dotados de medios personales y materiales, cuando dichos servicios pueden ser incardinados en los servicios asistenciales autonómicos de la Generalitat en Cataluña, muy especialmente teniendo en cuenta que se vincula la asistencia a prestaciones también de competencia autonómica, como la sanidad, la educación, </w:t>
      </w:r>
      <w:r>
        <w:lastRenderedPageBreak/>
        <w:t>la ejecución de fomento laboral y las prestaciones sociales en general. Aluden también los Letrados de la Generalitat de Cataluña a la existencia de un marco jurídico y de cooperación perfectamente establecido y delimitado, en el que la Generalitat ha desarrollado su competencia en materia de asistencia social en atención a inmigrantes, en el cual ocupa un lugar destacado evitar la discriminación de dicho colectivo.</w:t>
      </w:r>
    </w:p>
    <w:p w:rsidR="0026452D" w:rsidRDefault="0026452D" w:rsidP="0026452D">
      <w:pPr>
        <w:pStyle w:val="TextoNormal"/>
      </w:pPr>
    </w:p>
    <w:p w:rsidR="0026452D" w:rsidRDefault="0026452D" w:rsidP="0026452D">
      <w:pPr>
        <w:pStyle w:val="TextoNormal"/>
      </w:pPr>
      <w:r>
        <w:t>b) Se impugna, en segundo lugar, el art. 46, apartado 17, de la Ley 62/2003. Este art. 46 introduce diferentes modificaciones en el texto refundido de la Ley sobre infracciones y sanciones en el orden social, aprobado por el Real Decreto Legislativo 5/2000, de 4 de agosto. El apartado 17 modifica el apartado 4 del art. 48 del texto refundido de la Ley sobre infracciones y sanciones en el orden social y, según la recurrente, pretende impedir el ejercicio de las competencias sancionadoras de los servicios públicos de empleo autonómicos cuando la prestación por desempleo pueda verse afectada. Así, en la actual redacción del art. 48.4, primer párrafo, se distinguen las infracciones en materia de Seguridad Social del resto de materias a que el precepto hace referencia (empleo, formación profesional, ayuda para el fomento del empleo), en aquel concreto ámbito la competencia para la imposición de sanciones graves y leves se atribuye “a la entidad gestora de la Seguridad Social competente, salvo que la sanción afecte a las prestaciones por desempleo, en cuyo caso la competencia corresponde a la entidad gestora de las mismas”. Esta última precisión implica que será el servicio estatal de empleo quien impondrá las sanciones leves y graves que afecten a las prestaciones por desempleo, dado que es aquel servicio la entidad gestora de dichas prestaciones [art. 13 h) de la Ley 56/2003, de 16 de diciembre, de empleo]. Ello viene corroborado por el tercer párrafo del mismo precepto, en el que se prevé la comunicación a la entidad gestora de las prestaciones, por parte del servicio público de empleo, de las infracciones leves y graves mencionadas, a los efectos sancionadores que corresponden a aquella entidad gestora. A diferencia de la anterior redacción del precepto, se comunica la infracción para que la entidad gestora, en su caso, sancione, y no ya la propia sanción para que dicha entidad gestora la aplique. La demanda considera que la reforma legislativa operada altera el ámbito competencial de las Comunidades Autónomas, vulnerando de forma manifiesta la doctrina de la STC 195/1996, la cual establece de forma expresa y con total claridad que la imposición de sanciones, consistentes en la pérdida temporal o definitiva de la prestación o subsidio por desempleo, corresponde a la Comunidad Autónoma. En definitiva, las sanciones por la comisión de las infracciones en esta materia, a las que hacen referencia los arts. 24.3 y 25.4 del texto refundido de la Ley sobre infracciones y sanciones en el orden social se incardinan en la materia de Seguridad Social, si bien aquellas infracciones no recaen sobre la actividad económica de la Seguridad Social, por lo que, en virtud del art. 17.2 del Estatuto de Autonomía de Cataluña, y de acuerdo con los pronunciamientos de la STC 195/1996, la imposición de las sanciones debería corresponder al órgano competente de la Generalitat de Cataluña, y no al servicio estatal de empleo. A lo anterior añade la demanda que el precepto impugnado supone una alteración unilateral de los traspasos acordados y aprobados por medio del Real Decreto 1050/1997, de 27 de junio, en relación con la gestión realizada por el Instituto Nacional de Empleo, en el ámbito del trabajo, el empleo y la formación.</w:t>
      </w:r>
    </w:p>
    <w:p w:rsidR="0026452D" w:rsidRDefault="0026452D" w:rsidP="0026452D">
      <w:pPr>
        <w:pStyle w:val="TextoNormal"/>
      </w:pPr>
    </w:p>
    <w:p w:rsidR="0026452D" w:rsidRDefault="0026452D" w:rsidP="0026452D">
      <w:pPr>
        <w:pStyle w:val="TextoNormal"/>
      </w:pPr>
      <w:r>
        <w:t xml:space="preserve">c) El tercer precepto impugnado es el art. 120 de la Ley 62/2003, según el cual el régimen de pago único de las ayudas directas en materia agrícola previstas en el Reglamento (CE) núm. 1782/2003 del Consejo de 29 de septiembre se aplicará en todo el territorio nacional. También en el caso de los pagos únicos parciales previstos en el Reglamento se opta, de </w:t>
      </w:r>
      <w:r>
        <w:lastRenderedPageBreak/>
        <w:t>acuerdo con este mismo artículo, por la aplicación a escala nacional. Finalmente, se habilita al Estado para desarrollar lo previsto en el Reglamento comunitario por la vía del real decreto. Tras aludir a los objetivos que persigue la normativa comunitaria indica que la misma establece una única ayuda por explotación con independencia de la producción obtenida si bien se permite que se mantenga de forma limitada un elemento de vinculación a la producción para evitar el abandono del cultivo. La percepción de la ayuda se condiciona al cumplimiento de determinados requisitos de gestión y al cumplimiento de una serie de exigencias en los ámbitos de la protección al medio, la sanidad animal y vegetal, la seguridad y la salud alimentaria. El cálculo de la ayuda que recibe cada explotación se efectúa sobre un periodo de referencia y puede efectuarse de forma global para todo el Estado o bien de forma regionalizada. También se permite que, dentro del margen fijado en el propio reglamento, se determine a nivel nacional o regional el porcentaje de desconexión autorizado para determinados productos (cultivos herbáceos, ganado ovino y caprino, y ganado vacuno). Pese a ello, el Estado ha optado por aplicar el pago único a escala nacional, vulnerando con ello las competencias autonómicas en materia de agricultura, ya que se está impidiendo que las Comunidades Autónomas puedan intervenir con el objeto, previsto en el propio reglamento comunitario, de adaptar el régimen de ayudas a las peculiaridades de sus estructuras agrarias. Dicha actuación supone también ignorar la doctrina del Tribunal Constitucional en materia de ejecución del Derecho comunitario. Tampoco el título competencial estatal del art. 149.1.13 CE proporcionaría amparo a la decisión estatal, pues el Estado está obligado a instrumentar las medidas de política económica sobre la agricultura de modo que puedan implementarse por las Comunidades Autónomas en ejercicio de sus propias competencias. En este caso la decisión estatal no puede ser considerada una norma básica para la ordenación del sector ni la regulación común se encuentra justificada por razones de coordinación de las actividades del Estado y de las Comunidades Autónomas relativas a la ejecución de las medidas de ayuda previstas en los reglamentos comunitarios aplicables, puesto que es la propia norma comunitaria la que reconoce que la política agrícola común puede aplicarse por cada Estado miembro de forma regionalizada con el objetivo de adecuar las medidas a las distintas características de las estructuras agrarias. Ninguna razón justifica la necesidad de establecer, con el carácter de normativa básica, un único marco para la aplicación de las medidas adoptadas en el marco de la política agraria europea de la que deriva la propia oportunidad de establecer una flexibilidad en la aplicación del sistema a la que, sin razón aparente, renuncia el Estado español con su decisión de proceder a aplicación del sistema con carácter nacional y no regional, posición que tampoco coincide con la adoptada por otros Estados miembros de la Unión Europea.</w:t>
      </w:r>
    </w:p>
    <w:p w:rsidR="0026452D" w:rsidRDefault="0026452D" w:rsidP="0026452D">
      <w:pPr>
        <w:pStyle w:val="TextoNormal"/>
      </w:pPr>
    </w:p>
    <w:p w:rsidR="0026452D" w:rsidRDefault="0026452D" w:rsidP="0026452D">
      <w:pPr>
        <w:pStyle w:val="TextoNormal"/>
      </w:pPr>
      <w:r>
        <w:t xml:space="preserve">d) El siguiente precepto impugnado es el art. 127.3, relativo a la declaración de impacto ambiental. Este precepto añade una disposición adicional, la cuarta, al Real Decreto Legislativo 1302/1986, de 28 de junio, de evaluación de impacto ambiental, con el objeto de incluir en la tramitación de la evaluación de impacto ambiental la evaluación sobre el impacto que para las zonas de la Red Natura 2000 tienen los planes o proyectos que puedan afectar de forma apreciable dichos lugares cuando dichos planes y proyectos sean autorizados por la Administración General del Estado. La demanda alega que con ello se pretende trasladar al Estado la competencia para adoptar las medidas compensatorias para garantizar la coherencia global de Natura 2000 ignorando las competencias que algunas Comunidades Autónomas, como Cataluña, han asumido como exclusivas en materia de espacios naturales. Tras aludir a las decisiones de la Unión Europea en la materia, señala que la normativa comunitaria se incorporó al Ordenamiento nacional a través del Real Decreto 1997/1995, </w:t>
      </w:r>
      <w:r>
        <w:lastRenderedPageBreak/>
        <w:t>de 7 de diciembre, modificado por el Real Decreto 1193/1998, de 12 de junio. Esta norma reconoce que deben ser las Comunidades Autónomas las que deben fijar las medidas de conservación y deberán ser también éstas las que evalúen las repercusiones que para la zona de especial conservación pueda tener un plan o proyecto. También se establecía que eran las Comunidades Autónomas las que, si a pesar de las conclusiones negativas se determinaba que debía efectuarse el plan o proyecto, determinaban las medidas compensatorias. Dicho sistema queda modificado con la norma ahora impugnada que traslada a la Administración estatal la competencia no sólo para efectuar la evaluación sino también para determinar, en su caso, las medidas compensatorias que sean adecuadas. Con ello se obvia la competencia de las Comunidades Autónomas para la gestión de espacios naturales protegidos puesto que se incide directamente en la gestión de un espacio sujeto a una especial protección medio ambiental, pese a que el Estado no dispone de título específico en materia de espacios naturales. Trasladar al Estado, en todo caso la decisión, supone vaciar de contenido las competencias de las Comunidades Autónomas cuando existen otros sistemas de cooperación en el ejercicio de las propias competencias que permitirían que ambas Administraciones, cada una de ellas en el ejercicio de sus propias competencias alcanzaran un acuerdo.</w:t>
      </w:r>
    </w:p>
    <w:p w:rsidR="0026452D" w:rsidRDefault="0026452D" w:rsidP="0026452D">
      <w:pPr>
        <w:pStyle w:val="TextoNormal"/>
      </w:pPr>
    </w:p>
    <w:p w:rsidR="0026452D" w:rsidRDefault="0026452D" w:rsidP="0026452D">
      <w:pPr>
        <w:pStyle w:val="TextoNormal"/>
      </w:pPr>
      <w:r>
        <w:t>Según la demanda el Estado podría intentar justificar este cambio normativo con base a dos argumentos. De un lado, la posibilidad, reconocida en la normativa comunitaria, de que la declaración de afectación de una zona de especial conservación se efectúe en procedimientos coordinados o conjuntos con otras declaraciones medioambientales con objeto de evitar duplicidades en las evaluaciones, y de otro, en las facultades que el Tribunal Constitucional reconoció al Estado en relación a la declaración de impacto ambiental. En cuanto a la primera de las razones indica que la posibilidad de efectuar de forma coordinada ambos procedimientos de evaluación no puede suponer una disminución de las garantías medioambientales que derivan de la Directiva relativa a la conservación de los hábitats naturales. La pretensión del Estado de coordinar los procedimientos de declaración de impacto ambiental y de afectación a una zona de especial conservación deberá cumplir las garantías que, para la protección de los hábitats, establece dicha normativa y ello comporta el ejercicio de unas actuaciones de carácter medioambiental para las que el Estado no es competente puesto que la gestión de estos espacios protegidos corresponde a la Comunidad Autónoma. En cuanto a lo segundo, los Letrados de la Generalitat descartan la aplicación analógica de la doctrina de la STC 13/1998, en relación con la declaración de impacto ambiental, por cuanto el objeto de ésta no responde estrictamente a la protección del hábitat natural. De ahí que se argumente que se trata de procedimientos que no persiguen una misma finalidad y, por ello, no cabe la aplicación analógica de la doctrina del Tribunal Constitucional que atribuye al Estado la facultad de proceder a efectuar la evaluación de impacto ambiental, puesto que, en el caso de las evaluaciones relativas a las zonas de especial conservación, supondría atribuir al Estado una competencia en materia de espacios protegidos que, de acuerdo con el sistema de distribución de competencias, corresponde a la Comunidad Autónoma. En este sentido la demanda manifiesta su discrepancia con la doctrina de la STC 13/1998 y defiende la aplicación al presente caso del criterio de los votos particulares formulados a la citada Sentencia.</w:t>
      </w:r>
    </w:p>
    <w:p w:rsidR="0026452D" w:rsidRDefault="0026452D" w:rsidP="0026452D">
      <w:pPr>
        <w:pStyle w:val="TextoNormal"/>
      </w:pPr>
    </w:p>
    <w:p w:rsidR="0026452D" w:rsidRDefault="0026452D" w:rsidP="0026452D">
      <w:pPr>
        <w:pStyle w:val="TextoNormal"/>
      </w:pPr>
      <w:r>
        <w:t>e) Se impugnan a continuación los arts. 122, 128.2 y 129.7 y 21 de la Ley 62/2003, por entender que todos ellos hacen referencia cuestiones relacionadas con el medio ambiente, que, sin embargo, son objeto de un análisis separado.</w:t>
      </w:r>
    </w:p>
    <w:p w:rsidR="0026452D" w:rsidRDefault="0026452D" w:rsidP="0026452D">
      <w:pPr>
        <w:pStyle w:val="TextoNormal"/>
      </w:pPr>
    </w:p>
    <w:p w:rsidR="0026452D" w:rsidRDefault="0026452D" w:rsidP="0026452D">
      <w:pPr>
        <w:pStyle w:val="TextoNormal"/>
      </w:pPr>
      <w:r>
        <w:t>El art. 122 de la Ley 62/2003 introduce una modificación puntual en el texto refundido de la Ley de aguas, aprobado por el Real Decreto Legislativo 1/2001, de 20 de julio, consistente en añadir un nuevo párrafo al apartado 2 de su art. 127 al que se imputa que delimita, de forma contraria al orden competencial y a la autonomía local, el informe previo que las entidades locales han de emitir con ocasión de la construcción de obras hidráulicas en cuanto que dispone que dicho informe “deberá pronunciarse exclusivamente sobre aspectos relacionados con el planeamiento urbanístico”, lo que resulta excluyente del ejercicio del resto de las competencias municipales, por lo que no resulta respetuosa con el haz de competencias propias de las entidades locales y vulnera el principio de autonomía local establecido en los arts. 137 y 140 CE. Se contradice también con ello la doctrina constitucional (por todas, STC 40/1998) según la cual, la garantía institucional de la autonomía municipal exige la intervención de los entes locales en los asuntos que les atañen y, por lo mismo, resultan de su interés.</w:t>
      </w:r>
    </w:p>
    <w:p w:rsidR="0026452D" w:rsidRDefault="0026452D" w:rsidP="0026452D">
      <w:pPr>
        <w:pStyle w:val="TextoNormal"/>
      </w:pPr>
    </w:p>
    <w:p w:rsidR="0026452D" w:rsidRDefault="0026452D" w:rsidP="0026452D">
      <w:pPr>
        <w:pStyle w:val="TextoNormal"/>
      </w:pPr>
      <w:r>
        <w:t>En cuanto al art. 128.2 de la Ley 62/2003, modifica la redacción del párrafo segundo del art. 27.4 de la Ley 10/1998, de residuos. La modificación ha consistido en añadir la frase “tras una evaluación preliminar cuyo contenido será fijado por el Consejo de Ministros previa consulta a las Comunidades Autónomas”. Al respecto señala la demanda que el legislador estatal de la Ley de residuos, en su art. 27.4, precepto que tiene carácter básico según declara la disposición final primera de la misma Ley, encomendó al Gobierno del Estado la aprobación y publicación de una lista de actividades potencialmente contaminantes del suelo, e impuso a los propietarios de las fincas en que se realizaran esas actividades, dos obligaciones. La de declarar en escritura pública y en el momento de la transmisión que se han realizado tales actividades en la propiedad que se transmite y la de remitir periódicamente a la Comunidad Autónoma correspondiente informes sobre la situación del suelo. La novedad que introduce la Ley 62/2003 se refiere a la segunda de las citadas, pues la remisión del informe sobre la situación del suelo se deberá hacer “tras una evaluación preliminar cuyo contenido será fijado por el Consejo de Ministros previa consulta a las Comunidades Autónomas”. Con ello se introduce una precisión más relativa al informe de situación, la determinación de cuyo contenido se atribuye también al Consejo de Ministros, lo que constituye un exceso en la competencia estatal para dictar la legislación básica que, a su vez, viene a vaciar de contenido la competencia autonómica en orden al eventual desarrollo legislativo de la normativa básica estatal. Además, en este caso, la legislación básica estatal no tendrá rango legal, sino que nacerá ya con carácter reglamentario, por efecto de la muy amplia habilitación contenida en el art. 27.1 de la Ley 10/1998. Se olvida con ello que, conforme a la doctrina de la STC 102/1995, el nivel de lo básico que corresponde establecer al Estado se agota en el establecimiento de un común denominador normativo de carácter nuclear y cumple más bien una función de ordenación mediante mínimos, pero, en todo caso, ha de permitir a las Comunidades Autónomas el ejercicio de su competencia de desarrollo normativo para establecer niveles de protección superiores y aplicar medidas para la efectividad de las previsiones normativas estatales y autonómicas. La evaluación preliminar impugnada forma parte de la aplicación de las previsiones legales básicas relativas al control de las actividades potencialmente contaminantes y, por lo tanto, determinar su contenido va más allá de lo que cabe considerar como legislación básica de la competencia estatal y se corresponde con la función de desarrollo normativo que compete a las Comunidades Autónomas.</w:t>
      </w:r>
    </w:p>
    <w:p w:rsidR="0026452D" w:rsidRDefault="0026452D" w:rsidP="0026452D">
      <w:pPr>
        <w:pStyle w:val="TextoNormal"/>
      </w:pPr>
    </w:p>
    <w:p w:rsidR="0026452D" w:rsidRDefault="0026452D" w:rsidP="0026452D">
      <w:pPr>
        <w:pStyle w:val="TextoNormal"/>
      </w:pPr>
      <w:r>
        <w:lastRenderedPageBreak/>
        <w:t>El art. 129, por el que se modifican diversos preceptos del texto refundido de la Ley de aguas, se impugna en sus apartados siete y veintiuno.</w:t>
      </w:r>
    </w:p>
    <w:p w:rsidR="0026452D" w:rsidRDefault="0026452D" w:rsidP="0026452D">
      <w:pPr>
        <w:pStyle w:val="TextoNormal"/>
      </w:pPr>
    </w:p>
    <w:p w:rsidR="0026452D" w:rsidRDefault="0026452D" w:rsidP="0026452D">
      <w:pPr>
        <w:pStyle w:val="TextoNormal"/>
      </w:pPr>
      <w:r>
        <w:t>El primero de ellos añade al citado texto refundido un nuevo art. 16 bis con la denominación “demarcación hidrográfica”, concepto impuesto desde la normativa comunitaria. Su principal novedad en relación con la actual cuenca hidrográfica reside en el hecho de que incorpora las aguas de transición al mar y las costeras asociadas, pero desde la perspectiva competencial lo más destacable es que la demarcación hidrográfica puede componerse de una o varias cuencas hidrográficas vecinas, y que se convierte en la principal unidad a los efectos de la gestión integrada de los recursos hídricos. Para la demanda, si se tiene presente que el carácter intercomunitario o intracomunitario de la cuenca hidrográfica es lo que determina la titularidad competencial del Estado o de la Comunidad Autónoma de que se trate resulta coherente con este reparto competencial que se acuda al mismo criterio para especificar las demarcaciones hidrográficas, de manera que corresponda a la Generalitat la determinación del ámbito territorial de tales demarcaciones cuando se refieran a las cuencas internas de Cataluña. En cambio, esa actuación ejecutiva autonómica sobre las cuencas que no exceden el ámbito territorial catalán resulta impedida por lo dispuesto en el punto 5 del nuevo art. 16 bis del texto refundido de la Ley de aguas en cuanto que atribuye al Gobierno estatal la facultad de determinar el ámbito de todas las demarcaciones hidrográficas del Estado y no sólo de aquéllas que se refieran a las cuencas intercomunitarias. Esa determinación vulnera la doctrina constitucional de la STC 227/1988, FJ 20 c), en cuya aplicación la determinación del ámbito territorial de las demarcaciones hidrográficas en el caso de las aguas intracomunitarias ha de corresponder a las Comunidades Autónomas competentes, como es el caso de Cataluña en mérito de lo dispuesto en el art. 9.16 del Estatuto de Autonomía de Cataluña.</w:t>
      </w:r>
    </w:p>
    <w:p w:rsidR="0026452D" w:rsidRDefault="0026452D" w:rsidP="0026452D">
      <w:pPr>
        <w:pStyle w:val="TextoNormal"/>
      </w:pPr>
    </w:p>
    <w:p w:rsidR="0026452D" w:rsidRDefault="0026452D" w:rsidP="0026452D">
      <w:pPr>
        <w:pStyle w:val="TextoNormal"/>
      </w:pPr>
      <w:r>
        <w:t>Por último, el apartado veintiuno del art. 129, viene a añadir al art. 41 del citado texto refundido los nuevos apartados 3, 4, 5 y 6, relativos a los criterios generales de tramitación y coordinación en el procedimiento de elaboración y revisión de los planes hidrológicos de cuenca. La impugnación se circunscribe al inciso que dispone “la actuación subsidiaria del Gobierno en caso de falta de propuesta” de la planificación hidrológica, ubicado en el apartado 3. Argumentan los Letrados de la Generalitat de Cataluña que tal intervención subsidiaria sólo podría entenderse correcta si estuviera limitada a los planes cuya elaboración correspondiera a organismos dependientes del Estado, pero, en su genérica formulación, no tiene respaldo constitucional alguno e interfiere en el normal ejercicio del orden de reparto competencial al presuponer el incumplimiento por parte de los órganos autonómicos competentes e intentar ocupar su lugar, tal como se afirmó explícitamente en la STC 227/1988, FJ 20 d).</w:t>
      </w:r>
    </w:p>
    <w:p w:rsidR="0026452D" w:rsidRDefault="0026452D" w:rsidP="0026452D">
      <w:pPr>
        <w:pStyle w:val="TextoNormal"/>
      </w:pPr>
    </w:p>
    <w:p w:rsidR="0026452D" w:rsidRDefault="0026452D" w:rsidP="0026452D">
      <w:pPr>
        <w:pStyle w:val="TextoNormal"/>
      </w:pPr>
      <w:r>
        <w:t xml:space="preserve">f) Se controvierte la disposición adicional vigésima tercera por la que se deroga el apartado 1 a) de la disposición adicional décima de la Ley 10/2001, de 5 de julio, del plan hidrológico nacional, precepto que preveía la elaboración del plan integral de protección del Delta del Ebro. La derogación de dichas previsiones del plan hidrológico nacional resultan contrarias a los principios de seguridad jurídica y de interdicción de la arbitrariedad garantizados por el art. 9.3 CE, así como a los mandatos que el art. 45 CE impone a todos los poderes públicos de velar por la utilización racional de los recursos naturales a fin de proteger y mejorar la calidad de vida y defender y restaurar el medio ambiente y vulneran también las competencias asumidas por la Generalitat de Cataluña, cuyo ejercicio coincide en </w:t>
      </w:r>
      <w:r>
        <w:lastRenderedPageBreak/>
        <w:t>el mismo territorio sobre el que se proyectan las disposiciones del plan hidrológico nacional, como son las competencias autonómicas en materia de ordenación del territorio y del litoral, de medio ambiente, de protección de los espacios naturales, etc... En cuanto al primero de los motivos aducidos, los Letrados de la Generalitat de Cataluña señalan que se ha derogado el contenido esencial del plan integral de protección del Delta del Ebro —la definición de un caudal ambiental adicional para la preservación de las funciones ecológicas del río y de las especiales condiciones ecológicas del Delta—, es decir, el elemento esencial a partir del que puede cobrar sentido el instrumento de cooperación sobre el que se ha articulado el ejercicio concurrente en el mismo territorio de las competencias estatales y de las propias de la Generalitat de Cataluña. De este modo, la disposición adicional vigésima tercera de la Ley 62/2003 carece de toda explicación racional y no guarda la debida proporción entre los fines perseguidos y el sacrificio que comporta del derecho de todos a disponer de un medio ambiente adecuado, así como por la restricción innecesaria e ilegítima de las competencias asumidas por la Generalitat de Cataluña en el área del Delta del Ebro. A mayor abundamiento, señala que la vulneración del principio de seguridad jurídica y de interdicción de la arbitrariedad en la que incurre este precepto resulta también de la circunstancia que viene incluido en una ley de medidas y que, debido al especial trámite parlamentario seguido para su aprobación, ni ha sido objeto de debate parlamentario en las comisiones parlamentarias con competencia especifica en materia de obras hidráulicas o de medio ambiente, ni es posible conocer la voluntad concreta del legislador expresada en los debates parlamentarios que ayuden a comprender las razones que justifican y el sentido de un cambio legislativo tan radical como el que se está produciendo con la derogación del apartado 1 a) de la disposición adicional décima de la Ley del plan hidrológico nacional.</w:t>
      </w:r>
    </w:p>
    <w:p w:rsidR="0026452D" w:rsidRDefault="0026452D" w:rsidP="0026452D">
      <w:pPr>
        <w:pStyle w:val="TextoNormal"/>
      </w:pPr>
    </w:p>
    <w:p w:rsidR="0026452D" w:rsidRDefault="0026452D" w:rsidP="0026452D">
      <w:pPr>
        <w:pStyle w:val="TextoNormal"/>
      </w:pPr>
      <w:r>
        <w:t>En cuanto a la vulneración del art. 45 CE señala el escrito de interposición que la actuación del legislador estatal muestra una inequívoca contravención de los principios, derechos, deberes y mandatos, del art. 45.1 y 2 CE. Tal vulneración deriva de la supresión del principal contenido del plan integral de protección del Delta del Ebro, como era la determinación del caudal ecológico complementario de garantía ambiental del Delta del Ebro, supone la desaparición del elemento fundamental sobre el que se sustentaban las transferencias de recursos hídricos, comporta la ruptura del equilibrio entre la utilización racional de los recursos naturales y el concepto de desarrollo sostenible, con claro perjuicio de éste último, y vulnera, de ese modo, de los mandatos expresados en el art. 45.1 y 2 CE. Alega también la representación procesal de la Generalitat de Cataluña que la derogación del citado plan ha vaciado de contenido este instrumento de planificación, con la consiguiente vulneración del deber de colaboración entre el Estado y la Generalitat de Cataluña y de las competencias autonómicas que se proyectan sobre el espacio físico del Delta del Ebro.</w:t>
      </w:r>
    </w:p>
    <w:p w:rsidR="0026452D" w:rsidRDefault="0026452D" w:rsidP="0026452D">
      <w:pPr>
        <w:pStyle w:val="TextoNormal"/>
      </w:pPr>
    </w:p>
    <w:p w:rsidR="0026452D" w:rsidRDefault="0026452D" w:rsidP="0026452D">
      <w:pPr>
        <w:pStyle w:val="TextoNormal"/>
      </w:pPr>
      <w:r>
        <w:t>g) El último precepto impugnado es la disposición adicional trigésima, que establece unas obligaciones de programación y unos límites en relación a la posibilidad de emitir en cadena aplicables a los titulares de concesiones de ámbito estatal o autonómico de servicios de televisión digital terrenal y de televisión local por ondas terrestres.</w:t>
      </w:r>
    </w:p>
    <w:p w:rsidR="0026452D" w:rsidRDefault="0026452D" w:rsidP="0026452D">
      <w:pPr>
        <w:pStyle w:val="TextoNormal"/>
      </w:pPr>
    </w:p>
    <w:p w:rsidR="0026452D" w:rsidRDefault="0026452D" w:rsidP="0026452D">
      <w:pPr>
        <w:pStyle w:val="TextoNormal"/>
      </w:pPr>
      <w:r>
        <w:t xml:space="preserve">Los Letrados de la Generalitat de Cataluña indican que, conforme a la doctrina constitucional, la regulación de los aspectos técnicos o de soporte queda dentro de la competencia del Estado para ordenar el dominio público radioeléctrico </w:t>
      </w:r>
      <w:r w:rsidRPr="0026452D">
        <w:rPr>
          <w:i/>
        </w:rPr>
        <w:t>ex</w:t>
      </w:r>
      <w:r>
        <w:t xml:space="preserve"> art. 149.1.21 CE y la regulación relativa al contenido de la programación de los concesionarios del servicio público de televisión no forma parte del contenido del título competencial relativo a telecomunicaciones, </w:t>
      </w:r>
      <w:r>
        <w:lastRenderedPageBreak/>
        <w:t>sino que encuentra su encaje en el ámbito del título competencial en materia de medios de comunicación social del art. 149.1.27 CE, puesto que guarda relación con el desarrollo del derecho fundamental. Encuadrada la cuestión en este segundo ámbito, la representación procesal de la Generalitat de Cataluña niega que la delimitación de las condiciones de programación pueda ser considerada como normativa básica, pues ninguna de las definiciones que se desprenden de la doctrina constitucional puede conducir a dicha configuración. Por ello, las disposiciones relativas al contenido de la programación televisiva, cuando afectan a televisiones de carácter autonómico o local en el ámbito de la Comunidad Autónoma, debe corresponder a la Generalitat de Cataluña puesto que se trata de una regulación inherente al régimen de la concesión del servicio público y es a la Comunidad Autónoma a quien corresponde establecer las condiciones para su regulación y proceder a su adjudicación.</w:t>
      </w:r>
    </w:p>
    <w:p w:rsidR="0026452D" w:rsidRDefault="0026452D" w:rsidP="0026452D">
      <w:pPr>
        <w:pStyle w:val="TextoNormal"/>
      </w:pPr>
    </w:p>
    <w:p w:rsidR="0026452D" w:rsidRDefault="0026452D" w:rsidP="0026452D">
      <w:pPr>
        <w:pStyle w:val="TextoNormal"/>
      </w:pPr>
      <w:r>
        <w:t>Por los mismos motivos, y en la medida en que comporta una obligación que afecta a la programación de televisiones, locales y autonómicas, se solicita la declaración de inconstitucionalidad de la obligación prevista en la letra c) del segundo apartado de la disposición cuestionada relativa a la necesidad de que los contenidos de los programas originales que se emitan entre las 13:00 y las 16:00 horas y entre las 20:00 y las 23:00 horas correspondan a contenidos relacionados con el ámbito territorial de cobertura. El apartado dos de la disposición adicional trigésima supone importantes modificaciones en relación con la posibilidad de emisión en cadena, puesto que afecta también a los concesionarios de televisiones autonómicas y no sólo, como hasta ahora, a los de televisión local; establece un tiempo máximo de emisión simultánea durante un número determinado de horas y no a través de un porcentaje, como hasta ahora se venía haciendo en el ámbito de la televisión local y remite a un reglamento la regulación de los supuestos en que debe considerarse que se produce solapamiento. Respecto a la primera de las cuestiones mencionadas, los Letrados de la Generalitat indican que la regulación supone ya una mayor restricción, puesto que establece un régimen que afecta al contenido de una concesión que, por su ámbito territorial, debería corresponder a las Comunidades Autónomas ya que, hasta la entrada en vigor de la Ley 62/2003, no había sido objeto de límite por el legislador estatal. En cuanto a lo segundo, se argumenta que en la medida en que, en aplicación con el sistema de gestión establecido para la televisión local, la adjudicación de los programas no gestionados directamente por el municipio corresponde a la Comunidad Autónoma, debería ser ésta la que determinara los requisitos relativos a la emisión ya que dicha regulación no puede tener el carácter de bases. En cuanto a lo tercero, y aunque no se indica de forma expresa que el desarrollo reglamentario deba efectuarse por el Estado, lo cierto es que de la propia regulación parece desprenderse que el Estado se reserva también esa facultad de determinar cuándo se produce el solapamiento y que la nueva regulación omite la posibilidad, hasta ahora reconocida, de que las Comunidades Autónomas, en ejercicio de sus competencias puedan proceder a determinar en qué casos se encuentra justificada la emisión en cadena de las televisiones locales que emiten en el territorio de la Comunidad Autónoma. Al reservarse el Estado la competencia para reglamentariamente determinar cuando existe solapamiento se aparta de la doctrina del Tribunal Constitucional en relación a la normativa básica puesto que en este caso ninguna excepcionalidad justifica, que el Estado, en el ejercicio de su competencia para fijar las bases, se reserve dicha función, pues con ello no se pretende tampoco asegurar un tratamiento uniforme —ya que de dicha regulación quedan excluidas las concesiones que otorga el Estado— para todo el territorio del Estado dirigido a asegurar un interés general.</w:t>
      </w:r>
    </w:p>
    <w:p w:rsidR="0026452D" w:rsidRDefault="0026452D" w:rsidP="0026452D">
      <w:pPr>
        <w:pStyle w:val="TextoNormal"/>
      </w:pPr>
    </w:p>
    <w:p w:rsidR="0026452D" w:rsidRDefault="0026452D" w:rsidP="0026452D">
      <w:pPr>
        <w:pStyle w:val="TextoNormal"/>
      </w:pPr>
      <w:r>
        <w:lastRenderedPageBreak/>
        <w:t>Los Letrados de la Generalitat concluyen rechazando la competencia del Estado para la autorización y el control de emisiones en cadena en el ámbito de la televisión local y autonómica, dado que de la doctrina del Tribunal Constitucional, y en concreto de la STC 26/1982, de 24 de mayo, se desprende que el Estado no puede reservarse, en el ámbito de la televisión local y autonómica, otras facultades que las que derivan de la delimitación del espectro radioeléctrico y de la regulación de las condiciones básicas y requisitos generales para la prestación del servicio. En ningún caso cabe atribuir el carácter de básico a la prohibición de emisión en cadena, puesto que se trata de un ámbito relacionado con la programación y, por ello, y en aplicación de la doctrina constitucional debe corresponder a la Comunidad Autónoma la regulación de las emisiones en cadena cuando afecta a concesiones de televisión autonómica o local que corresponde otorgar a la Comunidad Autónoma.</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la Sección Segunda del Tribunal Constitucional de 27 de abril de 2004 se acordó admitir a trámite el recurso, dar traslado de la demanda al Congreso de los Diputados y al Senado, a través de sus respectivos Presidentes, y al Gobierno, a través del Ministerio de Justicia, para que en el plazo de quince días pudieran personarse en el proceso y formular alegaciones así como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El Abogado del Estado, en la representación que legalmente ostenta, se personó en el proceso mediante escrito registrado el día 7 de mayo de 2004 y en el que solicitaba una prórroga del plazo concedido para formular alegaciones. Prórroga en ocho días del plazo ordinario para formular alegaciones que le fue concedida por providencia de la Sección Segunda de 11 de mayo de 2004.</w:t>
      </w:r>
    </w:p>
    <w:p w:rsidR="0026452D" w:rsidRDefault="0026452D" w:rsidP="0026452D">
      <w:pPr>
        <w:pStyle w:val="TextoNormal"/>
      </w:pPr>
    </w:p>
    <w:p w:rsidR="0026452D" w:rsidRDefault="0026452D" w:rsidP="0026452D">
      <w:pPr>
        <w:pStyle w:val="TextoNormal"/>
      </w:pPr>
      <w:r w:rsidRPr="0026452D">
        <w:rPr>
          <w:rStyle w:val="NumeroAFNegritaCaracter"/>
        </w:rPr>
        <w:t>4</w:t>
      </w:r>
      <w:r>
        <w:t>. El Presidente del Senado, mediante escrito registrado el 12 de mayo de 2004, comunicó que la Cámara se personaba en el proceso, ofreciendo su colaboración a los efectos del art. 88.1 Ley Orgánica del Tribunal Constitucional.</w:t>
      </w:r>
    </w:p>
    <w:p w:rsidR="0026452D" w:rsidRDefault="0026452D" w:rsidP="0026452D">
      <w:pPr>
        <w:pStyle w:val="TextoNormal"/>
      </w:pPr>
    </w:p>
    <w:p w:rsidR="0026452D" w:rsidRDefault="0026452D" w:rsidP="0026452D">
      <w:pPr>
        <w:pStyle w:val="TextoNormal"/>
      </w:pPr>
      <w:r w:rsidRPr="0026452D">
        <w:rPr>
          <w:rStyle w:val="NumeroAFNegritaCaracter"/>
        </w:rPr>
        <w:t>5</w:t>
      </w:r>
      <w:r>
        <w:t>. El día 14 de mayo de 2004 se registró en el Tribunal Constitucional un escrito del Presidente del Congreso de los Diputados en el que comunicaba que dicha Cámara no se personaría en el proceso ni formularía alegaciones.</w:t>
      </w:r>
    </w:p>
    <w:p w:rsidR="0026452D" w:rsidRDefault="0026452D" w:rsidP="0026452D">
      <w:pPr>
        <w:pStyle w:val="TextoNormal"/>
      </w:pPr>
    </w:p>
    <w:p w:rsidR="0026452D" w:rsidRDefault="0026452D" w:rsidP="0026452D">
      <w:pPr>
        <w:pStyle w:val="TextoNormal"/>
      </w:pPr>
      <w:r w:rsidRPr="0026452D">
        <w:rPr>
          <w:rStyle w:val="NumeroAFNegritaCaracter"/>
        </w:rPr>
        <w:t>6</w:t>
      </w:r>
      <w:r>
        <w:t>. El Abogado del Estado presentó su escrito de alegaciones el día 21 de mayo de 2004 instando la íntegra desestimación del recurso planteado conforme a los siguientes argumentos:</w:t>
      </w:r>
    </w:p>
    <w:p w:rsidR="0026452D" w:rsidRDefault="0026452D" w:rsidP="0026452D">
      <w:pPr>
        <w:pStyle w:val="TextoNormal"/>
      </w:pPr>
    </w:p>
    <w:p w:rsidR="0026452D" w:rsidRDefault="0026452D" w:rsidP="0026452D">
      <w:pPr>
        <w:pStyle w:val="TextoNormal"/>
      </w:pPr>
      <w:r>
        <w:t xml:space="preserve">a) El representante del Gobierno alude, en primer lugar, a la cuestión de los límites al contenido de las denominadas leyes de acompañamiento y el principio de seguridad jurídica, indicando que la decisión del legislador puede, en principio, abarcar cualquier materia, pues goza de libertad para determinar el contenido normativo de las leyes que aprueba. De este modo estima que, salvo en determinados casos que pueden resultar notoriamente graves, las cuestiones de técnica legislativa son ajenas al Tribunal Constitucional, pues las omisiones o las deficiencias técnicas de una norma no constituyen, en sí mismas, tachas de inconstitucionalidad. Señala que, para que se produzca un supuesto de gravedad que pudiera llevar a la conclusión de que la norma infringe el principio de seguridad jurídica, debería producirse una inserción de dicha norma en el ordenamiento jurídico de forma que, atendiendo a las </w:t>
      </w:r>
      <w:r>
        <w:lastRenderedPageBreak/>
        <w:t>reglas de interpretación admisibles en Derecho, el contenido o las omisiones del texto normativo en cuestión produjeran tal confusión y dudas en sus destinatarios que generasen una evidente incertidumbre insuperable acerca de la conducta exigible para su cumplimiento o sobre la previsibilidad de sus efectos (STC 212/1996, FJ 15), lo que, a su juicio, en el presente caso está muy lejos de producirse. Argumenta en este sentido que la técnica legislativa de incorporar a textos legales normas intrusas, ajenas al contenido regulado por aquellos, no es exclusiva de las denominadas leyes de acompañamiento, de manera que solo podría considerarse contraria al principio de seguridad jurídica la incorporación de normas intrusas cuando no exista una justificación suficiente para introducirlas en la ley de acompañamiento y supongan un cambio legislativo tan severo que afecten al sistema o subsistema en cuyo seno pretendan desarrollar su eficacia y, además, sus efectos se despliegan en un sector importante del ordenamiento jurídico. Descartada así la vulneración del principio de seguridad jurídica, el Abogado del Estado indica que sus alegaciones se dedican a examinar si en los preceptos impugnados se ha producido una vulneración del orden de distribución de competencias.</w:t>
      </w:r>
    </w:p>
    <w:p w:rsidR="0026452D" w:rsidRDefault="0026452D" w:rsidP="0026452D">
      <w:pPr>
        <w:pStyle w:val="TextoNormal"/>
      </w:pPr>
    </w:p>
    <w:p w:rsidR="0026452D" w:rsidRDefault="0026452D" w:rsidP="0026452D">
      <w:pPr>
        <w:pStyle w:val="TextoNormal"/>
      </w:pPr>
      <w:r>
        <w:t>En cuanto al art. 33.3 a) señala que, de la lectura de la parte del precepto impugnado, se desprende que la asistencia que presta el Consejo para la promoción de la igualdad de trato y no discriminación de las personas por el origen racial o étnico a las víctimas de discriminación no es de carácter social, pues será la Administración competente la que deberá prestar, en su caso, tal asistencia. Se trata de asistencia “a la hora de tramitar sus reclamaciones” de discriminación y, aunque la redacción puede no ser muy afortunada, no cabe otra interpretación que el precepto se refiere a la asistencia para presentar las reclamaciones de discriminación ante los distintos poderes públicos, en función de las diversas competencias que pueden verse concernidas. Así la actuación estatal encontraría amparo en el art. 149.1.1 CE en relación con los arts. 9.2 y 13 CE. Por ello, el Abogado del Estado considera que, dada su naturaleza, no parece que la asistencia a la hora de presentar reclamaciones sea una competencia de la que pueda extraerse el menoscabo de las competencias autonómicas en materia de asistencia social.</w:t>
      </w:r>
    </w:p>
    <w:p w:rsidR="0026452D" w:rsidRDefault="0026452D" w:rsidP="0026452D">
      <w:pPr>
        <w:pStyle w:val="TextoNormal"/>
      </w:pPr>
    </w:p>
    <w:p w:rsidR="0026452D" w:rsidRDefault="0026452D" w:rsidP="0026452D">
      <w:pPr>
        <w:pStyle w:val="TextoNormal"/>
      </w:pPr>
      <w:r>
        <w:t xml:space="preserve">Respecto al art. 46.17, alude el Abogado del Estado, en primer lugar, a la STC 195/1996, en la que se proponía al legislador estatal la reelaboración de la ley sobre infracciones y sanciones en el orden social para clarificar el orden constitucional de competencias en beneficio de la seguridad jurídica. Sin embargo la Ley de infracciones y sanciones en el orden social, al establecer la atribución de competencias sancionadoras preveía que, en materia de ejecución de la legislación social, dichas potestades sancionadoras serían ejercidas por los órganos y con los límites de distribución que determinara cada Comunidad Autónoma y la cooperación necesaria para la ejecución de la sanción impuesta. Redacción que no solucionó los problemas de seguridad jurídica, pues la potestad de sancionar las infracciones de los mencionados tipos, en tanto que actividad administrativa instrumental que no comprometía la unidad del sistema de recursos de la Seguridad Social, al no afectar directamente a actividades económicas y suponer una mera facultad de supervisión de naturaleza ejecutiva, correspondía a las Comunidades Autónomas según el criterio de algunos Tribunales ordinarios. Sin embargo, son competencia estatal los actos de gestión económica derivados de las conductas descritas en los tipos sancionadores, como la extinción de la prestación por incumplimiento de los requisitos exigidos para su percepción o el requerimiento de reintegro de lo indebidamente percibido, actos vinculados a la gestión económica de la Seguridad Social y a su unidad como sistema. La redacción dada por la Ley impugnada al apartado 4 </w:t>
      </w:r>
      <w:r>
        <w:lastRenderedPageBreak/>
        <w:t>del art. 48 del texto refundido de la Ley de infracciones y sanciones del orden social pretende resolver el problema estableciendo los criterios para determinar la Administración competente para ejercer la potestad sancionadora y los elementos de coordinación entre el servicio público de empleo competente, la entidad gestora de la Seguridad Social, y la Inspección de Trabajo y Seguridad Social, pero sin que la nueva redacción conlleve intromisión alguna en las competencias autonómicas sobre ejecución de la legislación social.</w:t>
      </w:r>
    </w:p>
    <w:p w:rsidR="0026452D" w:rsidRDefault="0026452D" w:rsidP="0026452D">
      <w:pPr>
        <w:pStyle w:val="TextoNormal"/>
      </w:pPr>
    </w:p>
    <w:p w:rsidR="0026452D" w:rsidRDefault="0026452D" w:rsidP="0026452D">
      <w:pPr>
        <w:pStyle w:val="TextoNormal"/>
      </w:pPr>
      <w:r>
        <w:t xml:space="preserve">En lo que se refiere al art. 120, indica el Abogado del Estado que su carácter básico se desprende de su propio contenido sin necesidad de esfuerzo alguno y, por ello, se encuentra amparada, no solo en el texto del propio Reglamento que establece la posibilidad de que las ayudas se apliquen en virtud de una </w:t>
      </w:r>
      <w:r w:rsidRPr="0026452D">
        <w:rPr>
          <w:i/>
        </w:rPr>
        <w:t>ratio</w:t>
      </w:r>
      <w:r>
        <w:t xml:space="preserve"> nacional, sino en el art. 149.1.13 CE, puesto que las competencias en materia de agricultura están limitadas por la competencia estatal sobre las bases y la ordenación de la economía. El criterio de que las ayudas se apliquen sobre una base regional, es una opción que permite el Reglamento comunitario pero que corresponde elegir a los Estados miembros por razones de ordenación de la economía y no es la única constitucionalmente posible.</w:t>
      </w:r>
    </w:p>
    <w:p w:rsidR="0026452D" w:rsidRDefault="0026452D" w:rsidP="0026452D">
      <w:pPr>
        <w:pStyle w:val="TextoNormal"/>
      </w:pPr>
    </w:p>
    <w:p w:rsidR="0026452D" w:rsidRDefault="0026452D" w:rsidP="0026452D">
      <w:pPr>
        <w:pStyle w:val="TextoNormal"/>
      </w:pPr>
      <w:r>
        <w:t>Sobre el art. 127.3 señala que las certificaciones que son objeto del precepto impugnado traen causa de la habilitación contenida en el art. 6.3 del Real Decreto 1997/1995, de 7 de diciembre, por el que se establecen medidas para contribuir a garantizar la biodiversidad mediante la conservación de los hábitats naturales y de la fauna y flora silvestre, mediante el cual se transpone parcialmente a nuestro ordenamiento jurídico interno la Directiva 92/43/CEE, del Consejo, de 21 de mayo. Indica el Abogado del Estado que el Ministerio de Medio Ambiente ha venido expidiendo las certificaciones objeto de la controversia, declarando, en cada caso, que el proyecto objeto de evaluación no tendrá efectos negativos apreciables en los lugares incluidos en la arriba mencionada red ecológica europea, siempre que se cumplan las condiciones fijadas en la misma. Dicha declaración se realiza en el ámbito de un procedimiento de solicitud de fondos de cohesión europeos cuya finalidad inmediata es la obtención de la financiación del proyecto y la mediata es la realización de la obra, entre cuyas condiciones se encuentra acreditar ante las autoridades comunitarias que el proyecto o la obra son respetuosos con la zonas incluidas en la Red Natura 2000. Tal declaración no supone el ejercicio de competencias ni en materia de medio ambiente ni de espacios naturales protegidos sino de aquella a la que están anudados el proyecto u obra pública concretos que se pretende ejecutar por la Administración que la tiene atribuida. En consecuencia, la Administración estatal, en estos supuestos, está ejerciendo competencias propias sustantivas y no ejecutando la legislación básica sobre medio ambiente o aprobando intervenciones administrativas que tienen como finalidad inmediata la protección del medio ambiente o la gestión del espacio natural protegido, lo que determina que se apliquen aquí los mismos criterios que los que derivan de la doctrina constitucional sobre la evaluación de impacto ambiental, dada la idéntica finalidad de ambos instrumentos.</w:t>
      </w:r>
    </w:p>
    <w:p w:rsidR="0026452D" w:rsidRDefault="0026452D" w:rsidP="0026452D">
      <w:pPr>
        <w:pStyle w:val="TextoNormal"/>
      </w:pPr>
    </w:p>
    <w:p w:rsidR="0026452D" w:rsidRDefault="0026452D" w:rsidP="0026452D">
      <w:pPr>
        <w:pStyle w:val="TextoNormal"/>
      </w:pPr>
      <w:r>
        <w:t xml:space="preserve">La siguiente alegación es la relativa a los arts. 122; 128, apartado 2; y 129, apartados 7 y 21. En cuanto al primero de ellos el Abogado del Estado señala que la introducción de que el informe en cuestión será emitido a petición del Ministerio de Medio Ambiente o sus organismos autónomos y que su contenido versará exclusivamente sobre los aspectos urbanísticos no suponen sino una precisión que mejora la delimitación de la competencia municipal en relación con el citado informe. Indica, además, que sólo podía ser urbanístico por razón de la naturaleza de su órgano emisor y por su contenido vinculado a la exigencia de </w:t>
      </w:r>
      <w:r>
        <w:lastRenderedPageBreak/>
        <w:t>una modificación del planeamiento, pues es en este ámbito material donde se fundamentan los intereses del municipio, en el que se incluyen los sistemas generales que afectan al suministro de aguas y al tratamiento de las aguas residuales.</w:t>
      </w:r>
    </w:p>
    <w:p w:rsidR="0026452D" w:rsidRDefault="0026452D" w:rsidP="0026452D">
      <w:pPr>
        <w:pStyle w:val="TextoNormal"/>
      </w:pPr>
    </w:p>
    <w:p w:rsidR="0026452D" w:rsidRDefault="0026452D" w:rsidP="0026452D">
      <w:pPr>
        <w:pStyle w:val="TextoNormal"/>
      </w:pPr>
      <w:r>
        <w:t>Respecto al art. 128.2 defiende que entra dentro del mínimo normativo que corresponde fijar al Estado en materia de medio ambiente determinar el contenido de la evaluación preliminar que deberá ser sustancialmente la misma en todo el territorio nacional. El texto impugnado no impide que las Comunidades Autónomas, sin perjuicio de que, en virtud del principio de cooperación, sean oídas antes de elaborar el citado contenido, puedan, en virtud de sus propias competencias, ampliar, mejorar y desarrollar aquel, siempre que respeten el mínimo común del contenido establecido por el Consejo de Ministros, justificado por la necesidad del tratamiento de los datos de la evaluación a nivel nacional.</w:t>
      </w:r>
    </w:p>
    <w:p w:rsidR="0026452D" w:rsidRDefault="0026452D" w:rsidP="0026452D">
      <w:pPr>
        <w:pStyle w:val="TextoNormal"/>
      </w:pPr>
    </w:p>
    <w:p w:rsidR="0026452D" w:rsidRDefault="0026452D" w:rsidP="0026452D">
      <w:pPr>
        <w:pStyle w:val="TextoNormal"/>
      </w:pPr>
      <w:r>
        <w:t>Por su parte, el art. 129.7 no vulnera las competencias autonómicas, ya que, según el Abogado del Estado, la competencia del Gobierno está solamente referida a la determinación de las demarcaciones hidrográficas en tanto que unidades de gestión de las cuencas de competencia estatal y de los organismos estatales de cuenca, es decir cuando la cuenca, propiamente dicha, excede del ámbito de una Comunidad Autónoma, y que, por tanto, no se extiende dicha competencia a las cuencas cuya gestión es competencia de las Comunidades Autónomas. En cuanto al art. 129.21 la demanda circunscribe sus alegaciones al inciso referido “a la actuación subsidiaria del Gobierno en caso de falta de propuesta”, lo que no supone innovación alguna puesto que ya estaba recogido en el apartado 2 del art. 41 sobre elaboración de los planes hidrológicos de cuenca, lo que debe ser interpretado de acuerdo con el fundamento jurídico vigésimo sexto de la STC 118/1998, de 4 de junio.</w:t>
      </w:r>
    </w:p>
    <w:p w:rsidR="0026452D" w:rsidRDefault="0026452D" w:rsidP="0026452D">
      <w:pPr>
        <w:pStyle w:val="TextoNormal"/>
      </w:pPr>
    </w:p>
    <w:p w:rsidR="0026452D" w:rsidRDefault="0026452D" w:rsidP="0026452D">
      <w:pPr>
        <w:pStyle w:val="TextoNormal"/>
      </w:pPr>
      <w:r>
        <w:t>En cuanto a la disposición adicional vigésimo tercera indica el Abogado del Estado que la disposición adicional décima de la Ley 10/2001, de 5 de julio, del plan hidrológico nacional, resultaba superflua puesto que el régimen hídrico del río Ebro se determinará como en las demás cuencas intercomunitarias de acuerdo con la Ley de aguas y las prescripciones europeas, de suerte que no se produce inseguridad jurídica alguna. Que se acuda para la determinación del régimen hídrico del río Ebro al procedimiento general de la Ley de aguas no significa, por sí mismo, la desprotección del Delta del Ebro y desde el punto de vista competencial no existe diferencia alguna entre ambos sistemas de elaboración, en la medida que el procedimiento general prevé las técnicas adecuadas de cooperación entre Estado y Comunidades Autónomas.</w:t>
      </w:r>
    </w:p>
    <w:p w:rsidR="0026452D" w:rsidRDefault="0026452D" w:rsidP="0026452D">
      <w:pPr>
        <w:pStyle w:val="TextoNormal"/>
      </w:pPr>
    </w:p>
    <w:p w:rsidR="0026452D" w:rsidRDefault="0026452D" w:rsidP="0026452D">
      <w:pPr>
        <w:pStyle w:val="TextoNormal"/>
      </w:pPr>
      <w:r>
        <w:t>Finalmente, por lo que respecta a la disposición adicional trigésima, el Abogado del Estado argumenta que la implantación de determinadas obligaciones de programación y limitaciones a la emisión en cadena de los servicios de televisión de competencia estatal o autonómica constituyen un mínimo normativo en todo el territorio nacional, en tanto que suponen límites que configuran el derecho a emitir derivado de las concesiones y licencias otorgadas. Forman así parte del contenido esencial del derecho a emitir y, por tanto, gozan de carácter básico, sin perjuicio de su manifiesto ámbito supracomunitario, como se deriva de las propias circunstancias de una emisión en cadena.</w:t>
      </w:r>
    </w:p>
    <w:p w:rsidR="0026452D" w:rsidRDefault="0026452D" w:rsidP="0026452D">
      <w:pPr>
        <w:pStyle w:val="TextoNormal"/>
      </w:pPr>
    </w:p>
    <w:p w:rsidR="0026452D" w:rsidRDefault="0026452D" w:rsidP="0026452D">
      <w:pPr>
        <w:pStyle w:val="TextoNormal"/>
      </w:pPr>
      <w:r w:rsidRPr="0026452D">
        <w:rPr>
          <w:rStyle w:val="NumeroAFNegritaCaracter"/>
        </w:rPr>
        <w:t>7</w:t>
      </w:r>
      <w:r>
        <w:t>. Por providencia de 23 de abril de 2013 se señaló para deliberación y votación de la presente Sentencia el día 25 del mismo mes y año.</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interpone por la representación procesal de la Generalitat de Cataluña contra diversos preceptos de la Ley 62/2003, de 30 de diciembre, de medidas fiscales, administrativas y del orden social.</w:t>
      </w:r>
    </w:p>
    <w:p w:rsidR="0026452D" w:rsidRDefault="0026452D" w:rsidP="0026452D">
      <w:pPr>
        <w:pStyle w:val="TextoNormal"/>
      </w:pPr>
    </w:p>
    <w:p w:rsidR="0026452D" w:rsidRDefault="0026452D" w:rsidP="0026452D">
      <w:pPr>
        <w:pStyle w:val="TextoNormal"/>
      </w:pPr>
      <w:r>
        <w:t>En concreto los preceptos impugnados son los arts. 33.2 a), relativo a una de las funciones que se atribuyen al Consejo para la promoción de la igualdad de trato y no discriminación de las personas por el origen racial o étnico, creado por la Ley 62/2003; 46, apartado 17, que modifica el apartado 4 del art. 48 del texto refundido de la Ley sobre infracciones y sanciones en el orden social, aprobado por el Real Decreto Legislativo 5/2000, de 4 de agosto; 120, relativo a la aplicación en todo el territorio nacional del régimen de pago único de las ayudas agrícolas previstas en la normativa comunitaria; 127.3, que añade una disposición adicional cuarta al Real Decreto Legislativo 1302/1986, de 28 de junio, de evaluación de impacto ambiental con el objeto de incluir en la tramitación de la evaluación de impacto ambiental la evaluación sobre el impacto que para las zonas de la Red Natura 2000 tienen los planes o proyectos que puedan afectar de forma apreciable dichos lugares cuando dichos planes y proyectos sean autorizados por la Administración General del Estado; 122, que modifica el texto refundido de la Ley de aguas, aprobado por el Real Decreto Legislativo 1/2001, añadiendo un nuevo párrafo al art. 127.2 en relación con el contenido del informe previo que las entidades locales han de emitir con ocasión de la construcción de obras hidráulicas; 128.2 de la Ley 62/2003, que modifica la redacción del párrafo segundo del art. 27.4 de la Ley 10/1998, de residuos; 129.7 y 21, por el que se modifican diversos preceptos del ya citado texto refundido de la Ley de aguas, en lo relativo al concepto de “demarcación hidrográfica” y a la regulación de los planes hidrológicos de cuenca; la disposición adicional vigésima tercera por la que se deroga el apartado 1 a) de la disposición adicional décima de la Ley 10/2001, de 5 de julio, del plan hidrológico nacional, precepto que preveía la elaboración del plan integral de protección del Delta del Ebro y, finalmente, la disposición adicional trigésima que establece para los titulares de concesiones de ámbito estatal o autonómico de servicios de televisión digital terrenal y de televisión local por ondas terrestres unas obligaciones de programación y unos límites en relación a la posibilidad de emitir en cadena.</w:t>
      </w:r>
    </w:p>
    <w:p w:rsidR="0026452D" w:rsidRDefault="0026452D" w:rsidP="0026452D">
      <w:pPr>
        <w:pStyle w:val="TextoNormal"/>
      </w:pPr>
    </w:p>
    <w:p w:rsidR="0026452D" w:rsidRDefault="0026452D" w:rsidP="0026452D">
      <w:pPr>
        <w:pStyle w:val="TextoNormal"/>
      </w:pPr>
      <w:r>
        <w:t>Como es notorio por el carácter pluridisciplinar de la ley recurrida los preceptos objeto de impugnación guardan poca o ninguna relación entre sí, afectando a ámbitos competenciales de muy diverso orden, lo que impone que sean analizados de forma separada.</w:t>
      </w:r>
    </w:p>
    <w:p w:rsidR="0026452D" w:rsidRDefault="0026452D" w:rsidP="0026452D">
      <w:pPr>
        <w:pStyle w:val="TextoNormal"/>
      </w:pPr>
    </w:p>
    <w:p w:rsidR="0026452D" w:rsidRDefault="0026452D" w:rsidP="0026452D">
      <w:pPr>
        <w:pStyle w:val="TextoNormal"/>
      </w:pPr>
      <w:r w:rsidRPr="0026452D">
        <w:rPr>
          <w:rStyle w:val="NumeroAFNegritaCaracter"/>
        </w:rPr>
        <w:t>2</w:t>
      </w:r>
      <w:r>
        <w:t>. Durante la pendencia de este proceso han tenido lugar también modificaciones normativas que, en cuanto afectan a las cuestiones que debemos resolver aquí, han de ser ahora examinadas.</w:t>
      </w:r>
    </w:p>
    <w:p w:rsidR="0026452D" w:rsidRDefault="0026452D" w:rsidP="0026452D">
      <w:pPr>
        <w:pStyle w:val="TextoNormal"/>
      </w:pPr>
    </w:p>
    <w:p w:rsidR="0026452D" w:rsidRDefault="0026452D" w:rsidP="0026452D">
      <w:pPr>
        <w:pStyle w:val="TextoNormal"/>
      </w:pPr>
      <w:r>
        <w:t xml:space="preserve">Así, en primer lugar, como recuerda la STC 224/2012, de 29 de noviembre, FJ 2 b), con cita de la STC 163/2012, de 20 de septiembre, “debemos tener en consideración que, también con posterioridad a la admisión a trámite de este recurso de inconstitucionalidad, se ha producido la entrada en vigor de la Ley Orgánica 6/2006, de 19 de julio, de reforma del Estatuto de Autonomía de Cataluña, por lo que, de acuerdo con nuestra reiterada doctrina al respecto, las cuestiones controvertidas se decidirán teniendo en cuenta lo dispuesto en el </w:t>
      </w:r>
      <w:r>
        <w:lastRenderedPageBreak/>
        <w:t>nuevo Estatuto de Autonomía de Cataluña (EAC), pues cuando la impugnación en los recursos de inconstitucionalidad se fundamenta en un problema de delimitación competencial y el juicio de constitucionalidad ha de producirse por el contraste no sólo con la Constitución, sino con el llamado bloque de la constitucionalidad, este Tribunal habrá de considerar, como parámetro de enjuiciamiento, las leyes vigentes en el momento de dictarse la Sentencia [por todas, SSTC 87/1985, de 16 de julio, FJ 8; 179/1998, de 19 de septiembre, FJ 2; y 134/2011, de 20 de julio, FJ 2 d)].”</w:t>
      </w:r>
    </w:p>
    <w:p w:rsidR="0026452D" w:rsidRDefault="0026452D" w:rsidP="0026452D">
      <w:pPr>
        <w:pStyle w:val="TextoNormal"/>
      </w:pPr>
    </w:p>
    <w:p w:rsidR="0026452D" w:rsidRDefault="0026452D" w:rsidP="0026452D">
      <w:pPr>
        <w:pStyle w:val="TextoNormal"/>
      </w:pPr>
      <w:r>
        <w:t>Igualmente se han modificado algunas de las normas impugnadas, lo que nos obliga a plantearnos los efectos que dichas modificaciones hayan podido tener sobre el objeto del presente recurso. Hay que tener en cuenta que, en relación con las modificaciones normativas en procesos constitucionales de naturaleza competencial como el que ahora nos ocupa, este Tribunal ya ha señalado (STC 223/2012, de 29 de noviembre, FJ 3) que “la función de preservar los ámbitos respectivos de competencias no puede quedar enervada por la sola derogación o modificación de las disposiciones cuya adopción dio lugar al litigio (STC 61/1997, de 20 de marzo, FJ 2), si bien, ha de recordarse que, también con respecto de los motivos competenciales, el Tribunal ha precisado el alcance de esta excepción en función de la incidencia real que tenga sobre el precepto su derogación o modificación [SSTC 148/2012, de 5 de julio, FJ 2 b); y 133/2012, de 19 de junio, FJ 2, y jurisprudencia allí citada]”, pues lo relevante no es tanto la expulsión de la concreta norma impugnada del ordenamiento cuanto determinar si con esa expulsión ha cesado o no la controversia competencial.</w:t>
      </w:r>
    </w:p>
    <w:p w:rsidR="0026452D" w:rsidRDefault="0026452D" w:rsidP="0026452D">
      <w:pPr>
        <w:pStyle w:val="TextoNormal"/>
      </w:pPr>
    </w:p>
    <w:p w:rsidR="0026452D" w:rsidRDefault="0026452D" w:rsidP="0026452D">
      <w:pPr>
        <w:pStyle w:val="TextoNormal"/>
      </w:pPr>
      <w:r>
        <w:t>En aplicación de estos criterios, procede, por tanto, analizar si las modificaciones que han tenido lugar en las normas recurridas han producido o no una pérdida de objeto del presente proceso constitucional.</w:t>
      </w:r>
    </w:p>
    <w:p w:rsidR="0026452D" w:rsidRDefault="0026452D" w:rsidP="0026452D">
      <w:pPr>
        <w:pStyle w:val="TextoNormal"/>
      </w:pPr>
    </w:p>
    <w:p w:rsidR="0026452D" w:rsidRDefault="0026452D" w:rsidP="0026452D">
      <w:pPr>
        <w:pStyle w:val="TextoNormal"/>
      </w:pPr>
      <w:r>
        <w:t>a) Por lo que respecta al art. 46.17, que modifica el apartado 4 del art. 48 del texto refundido de la Ley sobre infracciones y sanciones en el orden social, aprobado por el Real Decreto Legislativo 5/2000, de 4 de agosto, es de advertir que los aspectos impugnados no se incluyen ahora en el impugnado art. 48.4 sino en el apartado 5 del mismo precepto, conforme a la modificación operada por la disposición final duodécima de la Ley 23/2009, de 29 de diciembre, de presupuestos generales del Estado para el año 2010. Es claro, no obstante, que, consistiendo la modificación de lo controvertido en un simple cambio en la sistemática y numeración del precepto, no ha desaparecido el objeto del recurso en este punto. Tampoco desde un segundo punto de vista, la remisión del precepto a las infracciones contenidas en los arts. 24.3 y 25.4 del aludido texto refundido, es posible apreciar que la controversia haya desaparecido pues, aunque tales preceptos también han sufrido diversas modificaciones durante la pendencia del proceso, siguen tipificando como infracciones la realización de determinadas conductas en términos muy similares a como se definían en la redacción que a los mismos dio la propia Ley 62/2003.</w:t>
      </w:r>
    </w:p>
    <w:p w:rsidR="0026452D" w:rsidRDefault="0026452D" w:rsidP="0026452D">
      <w:pPr>
        <w:pStyle w:val="TextoNormal"/>
      </w:pPr>
    </w:p>
    <w:p w:rsidR="0026452D" w:rsidRDefault="0026452D" w:rsidP="0026452D">
      <w:pPr>
        <w:pStyle w:val="TextoNormal"/>
      </w:pPr>
      <w:r>
        <w:t xml:space="preserve">b) En segundo lugar, el Real Decreto Legislativo 1302/1986, de 28 de junio, de evaluación de impacto ambiental, al que se refería el art. 127.3 ha sido derogado por la disposición derogatoria única a) del Real Decreto Legislativo 1/2008, de 11 de enero. Sin embargo, por las razones que ya quedaron expuestas en la STC 149/2012, de 5 de julio, FJ 2 b), dicha derogación no ha hecho desaparecer el objeto del proceso, ya que la disposición adicional </w:t>
      </w:r>
      <w:r>
        <w:lastRenderedPageBreak/>
        <w:t>cuarta del Real Decreto Legislativo 1302/1986 se refería a la evaluación de planes o proyectos que pudieran afectar de forma apreciable a las zonas especiales de conservación, regulación que ahora aborda la disposición adicional cuarta del Real Decreto Legislativo 1/2008 sin introducir modificaciones sustanciales respecto a la anterior. La vigente disposición adicional cuarta del Real Decreto Legislativo 1/2008 sigue atribuyendo a la Administración del Estado la competencia para la realización de la evaluación de los proyectos que puedan afectar de forma apreciable a las zonas de la Red Natura 2000, así como la determinación de las medidas compensatorias que puedan ser necesarias, en relación con los proyectos que deban ser autorizados o aprobados por la propia Administración del Estado, aspecto éste que la Generalitat de Cataluña considera contrario al orden constitucional de competencias por invadir las competencias que le corresponden en materia de espacios naturales protegidos y de gestión de la protección medioambiental. El nuevo precepto sigue, por tanto, suscitando la misma controversia competencial, sin que la modificación de la norma recurrida haya producido, en este caso, la pérdida del objeto del recurso.</w:t>
      </w:r>
    </w:p>
    <w:p w:rsidR="0026452D" w:rsidRDefault="0026452D" w:rsidP="0026452D">
      <w:pPr>
        <w:pStyle w:val="TextoNormal"/>
      </w:pPr>
    </w:p>
    <w:p w:rsidR="0026452D" w:rsidRDefault="0026452D" w:rsidP="0026452D">
      <w:pPr>
        <w:pStyle w:val="TextoNormal"/>
      </w:pPr>
      <w:r>
        <w:t>c) En tercer lugar, hemos de plantearnos la pervivencia del recurso en lo que respecta al art. 128.2, que modifica la redacción del párrafo segundo del art. 27.4 de la Ley 10/1998, de 21 de abril, de residuos. La modificación consistía en añadir, en la regulación de las obligaciones de información a las que estaban sometidos los titulares de actividades potencialmente contaminantes de suelos, la frase “tras una evaluación preliminar cuyo contenido será fijado por el Consejo de Ministros previa consulta a las Comunidades Autónomas”. La Ley 10/1998 ha sido derogada en su totalidad por la Ley 22/2011, de 28 de julio, de residuos y suelos contaminados, en cuyo título V, intitulado “Suelos contaminados”, el art. 33.2 alude a la necesidad de que los titulares de actividades potencialmente contaminantes del suelo deberán remitir periódicamente a la Comunidad Autónoma correspondiente los informes en los que figuren la información que pueda servir de base para la declaración de suelos contaminados. A este respecto conviene advertir que el mencionado art. 27 de la Ley 10/1998 fue completado y desarrollado por el Real Decreto 9/2005, de 14 de enero, por el que se establece la relación de actividades potencialmente contaminantes del suelo y los criterios y estándares para la declaración de suelos contaminados, norma que no ha resultado afectada por lo dispuesto en la Ley 22/2011. El art. 3 del Real Decreto contempla en sus apartados 1 a 3 los denominados “informes preliminares” de situación (que integran la denominada evaluación preliminar); en los apartados 1 y 2 se determinan las actividades que dan lugar a la remisión por sus titulares del informe preliminar y se fija el alcance y contenido mínimo de éste, así como la obligación de remisión de dicho informe a la Comunidad Autónoma. En el apartado 3 se faculta a la Comunidad Autónoma para recabar informes complementarios, datos o análisis añadidos que, en todo caso, deberán realizarse de acuerdo con los criterios y estándares establecidos en el Real Decreto. Ello implica que, pese a la derogación del art. 27 de la Ley 10/1998, manteniéndose vigente la denominada “evaluación” o “informe” preliminar regulada en el mismo, debe considerarse subsistente la disputa competencial, lo que determina que el recurso no haya perdido objeto en este punto.</w:t>
      </w:r>
    </w:p>
    <w:p w:rsidR="0026452D" w:rsidRDefault="0026452D" w:rsidP="0026452D">
      <w:pPr>
        <w:pStyle w:val="TextoNormal"/>
      </w:pPr>
    </w:p>
    <w:p w:rsidR="0026452D" w:rsidRDefault="0026452D" w:rsidP="0026452D">
      <w:pPr>
        <w:pStyle w:val="TextoNormal"/>
      </w:pPr>
      <w:r>
        <w:t xml:space="preserve">d) En cuarto lugar debemos examinar si pervive la controversia trabada respecto a la disposición adicional vigésima tercera, por la que se deroga el apartado 1 a) de la disposición adicional décima de la Ley 10/2001, de 5 de julio, del plan hidrológico nacional, precepto que preveía la elaboración del denominado plan integral de protección del Delta del Ebro. Al respecto es preciso advertir que el artículo único, apartados 9 y 15 de la Ley 11/2005, de 22 de junio, que modifica la Ley 10/2001, de 25 de julio, del plan hidrológico nacional, </w:t>
      </w:r>
      <w:r>
        <w:lastRenderedPageBreak/>
        <w:t>reforma el art. 26.1 y la disposición adicional décima de la citada Ley 10/2001, de modo que la misma vuelve a recoger la regulación relativa al controvertido plan integral de protección del Delta del Ebro. Se sigue de ello que la controversia planteada, centrada en la derogación de las previsiones relativas al citado plan integral, ha desaparecido, sin perjuicio de advertir que, respecto a dicho plan integral, ya hemos tenido ocasión de pronunciarnos en las SSTC 195/2012, de 31 de octubre, 239/2012 y 240/2012, ambas de 13 de diciembre, a cuya fundamentación y fallo procede también remitirse ahora.</w:t>
      </w:r>
    </w:p>
    <w:p w:rsidR="0026452D" w:rsidRDefault="0026452D" w:rsidP="0026452D">
      <w:pPr>
        <w:pStyle w:val="TextoNormal"/>
      </w:pPr>
    </w:p>
    <w:p w:rsidR="0026452D" w:rsidRDefault="0026452D" w:rsidP="0026452D">
      <w:pPr>
        <w:pStyle w:val="TextoNormal"/>
      </w:pPr>
      <w:r>
        <w:t>e) Por lo que respecta a las modificaciones normativas sobrevenidas hemos de examinar en cuarto y último lugar, la disposición adicional trigésima, que establece para los titulares de concesiones de ámbito estatal o autonómico de servicios de televisión digital terrenal y de televisión local por ondas terrestres unas obligaciones de programación y unos límites en relación a la posibilidad de emitir en cadena. La disposición derogatoria, apartado decimocuarto de la Ley 7/2010, de 31 de marzo, general de la comunicación audiovisual, ha privado de vigencia a la disposición impugnada en el presente proceso y ha establecido en su art. 22.3 unas reglas distintas en relación exclusivamente con el servicio de comunicación televisiva de ámbito local, señalando, además, en su art. 22.4 que “el derecho de emisión en cadena previsto en este artículo se entiende sin perjuicio de la plena competencia de las Comunidades Autónomas con relación a los prestadores que hayan obtenido licencias en sus respectivos ámbitos territoriales”. Así pues, dado que la Ley 7/2010 actualmente vigente ya no recoge las obligaciones de programación y limitaciones a la emisión en cadena de los servicios de televisión de ámbito local y autonómico en los términos que habían sido controvertidos y salvaguarda expresamente las competencias autonómicas cuyo ejercicio se reclamaba, es posible apreciar que, en este punto, ha desaparecido sobrevenidamente el objeto del presente recurso.</w:t>
      </w:r>
    </w:p>
    <w:p w:rsidR="0026452D" w:rsidRDefault="0026452D" w:rsidP="0026452D">
      <w:pPr>
        <w:pStyle w:val="TextoNormal"/>
      </w:pPr>
    </w:p>
    <w:p w:rsidR="0026452D" w:rsidRDefault="0026452D" w:rsidP="0026452D">
      <w:pPr>
        <w:pStyle w:val="TextoNormal"/>
      </w:pPr>
      <w:r>
        <w:t>Señalado todo lo anterior, podemos concluir que pervive el objeto del recurso en lo que respecta a los arts. 33.2 a), relativo a una de las funciones que se atribuyen al Consejo para la promoción de la igualdad de trato y no discriminación de las personas por el origen racial o étnico; 46, apartado 17, que modifica el apartado 4 del art. 48 del texto refundido de la Ley de infracciones y sanciones en el orden social; 120, relativo a la aplicación en todo el territorio nacional del régimen de pago único de las ayudas agrícolas previstas en la normativa comunitaria; 127.3, que añade una disposición adicional cuarta al Real Decreto Legislativo 1302/1986, de 28 de junio, de evaluación de impacto ambiental; 122 y 129, apartados siete y veintiuno, por el que se modifican diversos preceptos del texto refundido de la Ley de aguas, así como en lo que respecta al art. 128.2, que modifica la redacción del párrafo segundo del art. 27.4 de la Ley 10/1998.</w:t>
      </w:r>
    </w:p>
    <w:p w:rsidR="0026452D" w:rsidRDefault="0026452D" w:rsidP="0026452D">
      <w:pPr>
        <w:pStyle w:val="TextoNormal"/>
      </w:pPr>
    </w:p>
    <w:p w:rsidR="0026452D" w:rsidRDefault="0026452D" w:rsidP="0026452D">
      <w:pPr>
        <w:pStyle w:val="TextoNormal"/>
      </w:pPr>
      <w:r w:rsidRPr="0026452D">
        <w:rPr>
          <w:rStyle w:val="NumeroAFNegritaCaracter"/>
        </w:rPr>
        <w:t>3</w:t>
      </w:r>
      <w:r>
        <w:t>. Delimitado así el objeto del presente recurso, procede iniciar el análisis de constitucionalidad de los preceptos impugnados por el art. 33.2 a), el cual recoge, como una de las funciones del Consejo para la promoción de la igualdad de trato y no discriminación de las personas por el origen racial o étnico, la de “prestar asistencia a las víctimas de discriminación por su origen racial o étnico a la hora de tramitar sus reclamaciones”.</w:t>
      </w:r>
    </w:p>
    <w:p w:rsidR="0026452D" w:rsidRDefault="0026452D" w:rsidP="0026452D">
      <w:pPr>
        <w:pStyle w:val="TextoNormal"/>
      </w:pPr>
    </w:p>
    <w:p w:rsidR="0026452D" w:rsidRDefault="0026452D" w:rsidP="0026452D">
      <w:pPr>
        <w:pStyle w:val="TextoNormal"/>
      </w:pPr>
      <w:r>
        <w:t xml:space="preserve">Los Letrados de la Generalitat de Cataluña consideran que se trata de una norma de objeto asistencial y finalidad instrumental de diversas prestaciones que competen a la Generalitat, como serían las de ámbito educativo, sanitario y de ejecución en materia laboral así como de atención a inmigrantes, previsión que implicaría, además, el establecimiento de </w:t>
      </w:r>
      <w:r>
        <w:lastRenderedPageBreak/>
        <w:t>servicios materiales de asistencia. El Abogado del Estado ha negado la vulneración competencial señalando que, con una redacción no muy afortunada, el precepto se refiere a la asistencia para presentar las reclamaciones de discriminación ante los distintos poderes públicos, sin que con ello se menoscaben las competencias autonómicas.</w:t>
      </w:r>
    </w:p>
    <w:p w:rsidR="0026452D" w:rsidRDefault="0026452D" w:rsidP="0026452D">
      <w:pPr>
        <w:pStyle w:val="TextoNormal"/>
      </w:pPr>
    </w:p>
    <w:p w:rsidR="0026452D" w:rsidRDefault="0026452D" w:rsidP="0026452D">
      <w:pPr>
        <w:pStyle w:val="TextoNormal"/>
      </w:pPr>
      <w:r>
        <w:t>El Consejo para la promoción de la igualdad de trato y no discriminación de las personas por el origen racial o étnico se enmarca en un contexto más general en el que la Ley 62/2003 persigue trasponer la Directiva 2000/43/CE del Consejo, de 29 de junio de 2000, relativa a la aplicación del principio de igualdad de trato de las personas independientemente de su origen racial o étnico. Para ello establece un conjunto de medidas a fin de hacer efectivo dicho principio en ámbitos como la educación, la sanidad, las prestaciones y los servicios sociales, la vivienda y, en general, la oferta y el acceso a cualesquiera bienes y servicios (art. 29 de la Ley 62/2003). Entre ellas se encuentran la posibilidad de mantener o adoptar medidas específicas a favor de determinados colectivos destinadas a prevenir o compensar las desventajas que les afecten por razón de su origen racial o étnico (art. 30), el reconocimiento de legitimación a las personas jurídicas que estén legalmente habilitadas para la defensa de los derechos e intereses legítimos para actuar en los procesos judiciales en nombre del demandante que así lo autorice (art. 31) o la inversión de la carga de la prueba en los procesos civiles y contencioso-administrativos (art. 32).</w:t>
      </w:r>
    </w:p>
    <w:p w:rsidR="0026452D" w:rsidRDefault="0026452D" w:rsidP="0026452D">
      <w:pPr>
        <w:pStyle w:val="TextoNormal"/>
      </w:pPr>
    </w:p>
    <w:p w:rsidR="0026452D" w:rsidRDefault="0026452D" w:rsidP="0026452D">
      <w:pPr>
        <w:pStyle w:val="TextoNormal"/>
      </w:pPr>
      <w:r>
        <w:t>En dicho marco, el art. 33 de la Ley 62/2003 crea un órgano colegiado, el Consejo para la promoción de la igualdad de trato y no discriminación de las personas por el origen racial o étnico, al que atribuye funciones relacionadas con la promoción, análisis, seguimiento y apoyo de las actuaciones antidiscriminatorias, reconociendo expresamente que “deberá asegurarse la participación de las Comunidades Autónomas, de las entidades locales, de las organizaciones empresariales y sindicales más representativas, así como de otras organizaciones que representen intereses relacionados con el origen racial o étnico de las personas” y remitiendo la regulación de su composición y funcionamiento a un desarrollo reglamentario posterior, llevado a cabo por el Real Decreto 1262/2007, de 21 de septiembre, en el que se precisan sus funciones y estructura. El citado desarrollo reglamentario permite ya desechar una de las quejas formuladas por la Generalitat de Cataluña, la relativa al establecimiento de un aparato administrativo expresamente dedicado a la función que cuestiona, pues es claro que, como, por otra parte ya se deducía del no impugnado art. 33.5, la creación del citado consejo no ha supuesto el desarrollo de una estructura administrativa específica, como muestra el hecho de el mismo se adscribiera al entonces existente Ministerio de Igualdad, a través de la Dirección General contra la Discriminación dependiente de la Secretaría General de Políticas de Igualdad, sin participar en la estructura jerárquica del mismo (art. 1.2 del Real Decreto 1262/2007).</w:t>
      </w:r>
    </w:p>
    <w:p w:rsidR="0026452D" w:rsidRDefault="0026452D" w:rsidP="0026452D">
      <w:pPr>
        <w:pStyle w:val="TextoNormal"/>
      </w:pPr>
    </w:p>
    <w:p w:rsidR="0026452D" w:rsidRDefault="0026452D" w:rsidP="0026452D">
      <w:pPr>
        <w:pStyle w:val="TextoNormal"/>
      </w:pPr>
      <w:r>
        <w:t xml:space="preserve">Conviene también advertir que dicho consejo, en su configuración y en las funciones asignadas, trae causa de lo previsto en la ya citada Directiva 2000/43/CE, cuyo art. 13 establece que “cada Estado miembro designará uno o más organismos responsables de la promoción de la igualdad de trato entre todas las personas sin discriminación por motivo de su origen racial o étnico. Dichos organismos podrán formar parte de los servicios responsables a nivel nacional de la defensa de los derechos humanos o de la salvaguardia de los derechos individuales”. Entre las competencias de estos organismos ha de encontrarse necesariamente la relativa a “prestar asistencia independiente a las víctimas de discriminación a la </w:t>
      </w:r>
      <w:r>
        <w:lastRenderedPageBreak/>
        <w:t>hora de tramitar sus reclamaciones por discriminación”. Esta referencia a la norma comunitaria nos proporciona ya una de las claves para aproximarnos al enjuiciamiento de la previsión discutida pues si bien, conforme a reiterada doctrina, la ejecución del derecho comunitario no altera el orden interno de distribución de competencias [por todas STC 99/2012, de 8 de mayo, FJ 2 b)], como recuerda la STC 134/2011, de 20 de julio, FJ 7, “también hay que considerar que hemos afirmado, en cuanto al encuadramiento de normas vinculadas al Derecho comunitario, que prestar atención a como se ha configurado una institución por la normativa comunitaria ‘puede ser no sólo útil, sino incluso obligado para aplicar correctamente sobre ella el esquema interno de distribución competencial’ (STC 13/1998, de 22 de enero, FJ 3).”</w:t>
      </w:r>
    </w:p>
    <w:p w:rsidR="0026452D" w:rsidRDefault="0026452D" w:rsidP="0026452D">
      <w:pPr>
        <w:pStyle w:val="TextoNormal"/>
      </w:pPr>
    </w:p>
    <w:p w:rsidR="0026452D" w:rsidRDefault="0026452D" w:rsidP="0026452D">
      <w:pPr>
        <w:pStyle w:val="TextoNormal"/>
      </w:pPr>
      <w:r>
        <w:t>En ese sentido una de las notas que caracterizan a la función de asistencia que han de prestar los organismos a los que la Directiva hace referencia es la de la independencia en una actividad, la de prestar asistencia, en la que la iniciativa no es propiamente de tales organismos sino de las personas que sufran conductas discriminatorias por motivos de origen racial o étnico y presentan al efecto la correspondiente reclamación para combatirla. Nota de independencia en la mencionada tarea que no aparece expresamente consignada en el precepto impugnado pero se plasma expresamente en el art. 3.a) del ya citado Real Decreto 1262/2007. Dicha nota, en relación con la actividad con la que se predica, permite ya descartar que la función del consejo que examinamos tenga como pretensión el ejercicio de competencias de las Administraciones públicas, pues nada hay en la configuración del citado consejo, en general, ni de la función de prestar asesoramiento en particular, que permita llegar a dicha conclusión. Conclusión que, por lo demás, entraría en abierta contradicción con la exigencia de asistencia independiente fijada por la Directiva 2000/43 y relativa a la obligación, establecida por la normativa comunitaria, de asesorar a las víctimas de discriminación en sus reclamaciones ante cualquier instancia en cuyo ámbito de actividad se haya producido la discriminación. Es, además, evidente que prestar asistencia a la hora de tramitar las reclamaciones por discriminación nada prejuzga respecto a cuál sea la instancia competente para tramitar y resolver esas eventuales reclamaciones y, por tanto, en nada tampoco afecta a las competencias autonómicas que se han señalado como vulneradas. Por otra parte, la presencia en el consejo de cuatro vocales en representación de las Comunidades Autónomas y de las ciudades de Ceuta y Melilla, a propuesta de la Conferencia Sectorial de Igualdad asegura la participación autonómica en sus funciones [art. 4.1 e) del Real Decreto 1262/2007], lo que también se manifiesta en el reconocimiento de dicha participación en el seno de la Comisión Permanente (art. 13). Finalmente, la atribución de la función cuestionada en nada obstaculiza las competencias autonómicas que puedan verse concernidas; antes bien, las presupone, pues, al determinar sus posibles ámbitos de actuación, alude a algunos ámbitos en los que es indiscutible que las Comunidades Autónomas ostentan competencias, como son la educación, la sanidad, las prestaciones y los servicios sociales, la vivienda o la formación profesional ocupacional y continua.</w:t>
      </w:r>
    </w:p>
    <w:p w:rsidR="0026452D" w:rsidRDefault="0026452D" w:rsidP="0026452D">
      <w:pPr>
        <w:pStyle w:val="TextoNormal"/>
      </w:pPr>
    </w:p>
    <w:p w:rsidR="0026452D" w:rsidRDefault="0026452D" w:rsidP="0026452D">
      <w:pPr>
        <w:pStyle w:val="TextoNormal"/>
      </w:pPr>
      <w:r>
        <w:t>En suma, por todo lo expuesto la impugnación del art. 33.2 a) de la Ley 62/2003 ha de ser desestimada.</w:t>
      </w:r>
    </w:p>
    <w:p w:rsidR="0026452D" w:rsidRDefault="0026452D" w:rsidP="0026452D">
      <w:pPr>
        <w:pStyle w:val="TextoNormal"/>
      </w:pPr>
    </w:p>
    <w:p w:rsidR="0026452D" w:rsidRDefault="0026452D" w:rsidP="0026452D">
      <w:pPr>
        <w:pStyle w:val="TextoNormal"/>
      </w:pPr>
      <w:r w:rsidRPr="0026452D">
        <w:rPr>
          <w:rStyle w:val="NumeroAFNegritaCaracter"/>
        </w:rPr>
        <w:t>4</w:t>
      </w:r>
      <w:r>
        <w:t>. El segundo precepto impugnado es el art. 46.17 que da nueva redacción al apartado 4 del art. 48 del texto refundido de la Ley sobre infracciones y sanciones en el orden social, el cual dispone:</w:t>
      </w:r>
    </w:p>
    <w:p w:rsidR="0026452D" w:rsidRDefault="0026452D" w:rsidP="0026452D">
      <w:pPr>
        <w:pStyle w:val="TextoNormal"/>
      </w:pPr>
    </w:p>
    <w:p w:rsidR="0026452D" w:rsidRDefault="0026452D" w:rsidP="0026452D">
      <w:pPr>
        <w:pStyle w:val="TextoNormal"/>
      </w:pPr>
      <w:r>
        <w:lastRenderedPageBreak/>
        <w:t>“La imposición de las sanciones por infracciones leves y graves a los trabajadores en materia de empleo, formación profesional y ayudas para el fomento del empleo, corresponde al servicio público de empleo competente; y en materia de Seguridad Social corresponde a la entidad gestora de la Seguridad Social competente, salvo que la sanción afecte a las prestaciones por desempleo, en cuyo caso la competencia corresponde a la entidad gestora de las mismas; la de las muy graves a la autoridad competente a propuesta de la Inspección de Trabajo y Seguridad Social.</w:t>
      </w:r>
    </w:p>
    <w:p w:rsidR="0026452D" w:rsidRDefault="0026452D" w:rsidP="0026452D">
      <w:pPr>
        <w:pStyle w:val="TextoNormal"/>
      </w:pPr>
    </w:p>
    <w:p w:rsidR="0026452D" w:rsidRDefault="0026452D" w:rsidP="0026452D">
      <w:pPr>
        <w:pStyle w:val="TextoNormal"/>
      </w:pPr>
      <w:r>
        <w:t>Cuando la sanción impuesta consista en la extinción de la prestación por desempleo por la comisión de una infracción muy grave, la autoridad competente que haya impuesto la sanción dará traslado a la entidad gestora de dicha prestación a los efectos procedentes para su aplicación.</w:t>
      </w:r>
    </w:p>
    <w:p w:rsidR="0026452D" w:rsidRDefault="0026452D" w:rsidP="0026452D">
      <w:pPr>
        <w:pStyle w:val="TextoNormal"/>
      </w:pPr>
    </w:p>
    <w:p w:rsidR="0026452D" w:rsidRDefault="0026452D" w:rsidP="0026452D">
      <w:pPr>
        <w:pStyle w:val="TextoNormal"/>
      </w:pPr>
      <w:r>
        <w:t>El servicio público de empleo comunicará, en el momento en que se produzcan o conozcan, las infracciones contenidas en los artículos 24.3 y 25.4 de esta Ley, a la entidad gestora de las prestaciones por desempleo, a los efectos sancionadores que a ésta le corresponden.”</w:t>
      </w:r>
    </w:p>
    <w:p w:rsidR="0026452D" w:rsidRDefault="0026452D" w:rsidP="0026452D">
      <w:pPr>
        <w:pStyle w:val="TextoNormal"/>
      </w:pPr>
    </w:p>
    <w:p w:rsidR="0026452D" w:rsidRDefault="0026452D" w:rsidP="0026452D">
      <w:pPr>
        <w:pStyle w:val="TextoNormal"/>
      </w:pPr>
      <w:r>
        <w:t>Ya hemos dejado señalado que durante la pendencia del proceso se ha modificado este precepto sin que esa modificación haya afectado a los dos aspectos cuestionados por la Generalitat de Cataluña, el inciso segundo del párrafo primero y el párrafo tercero del art. 48.4 del texto refundido de la Ley sobre infracciones y sanciones en el orden social, los cuales se incluyen ahora, en los mismos términos, en los actuales inciso segundo del párrafo primero y en el párrafo segundo del art. 48.5 del mismo texto legal. Dicho precepto, sin dar, por tanto, nueva redacción a lo discutido, presenta el siguiente tenor:</w:t>
      </w:r>
    </w:p>
    <w:p w:rsidR="0026452D" w:rsidRDefault="0026452D" w:rsidP="0026452D">
      <w:pPr>
        <w:pStyle w:val="TextoNormal"/>
      </w:pPr>
    </w:p>
    <w:p w:rsidR="0026452D" w:rsidRDefault="0026452D" w:rsidP="0026452D">
      <w:pPr>
        <w:pStyle w:val="TextoNormal"/>
      </w:pPr>
      <w:r>
        <w:t>“La imposición de sanciones por infracciones en materia de Seguridad Social a los trabajadores corresponde, a propuesta de la Inspección de Trabajo y Seguridad Social, a la entidad gestora o servicio común de la Seguridad Social competente, salvo que la sanción afecte a las prestaciones por desempleo, en cuyo caso la competencia corresponde a la entidad gestora de éstas.</w:t>
      </w:r>
    </w:p>
    <w:p w:rsidR="0026452D" w:rsidRDefault="0026452D" w:rsidP="0026452D">
      <w:pPr>
        <w:pStyle w:val="TextoNormal"/>
      </w:pPr>
    </w:p>
    <w:p w:rsidR="0026452D" w:rsidRDefault="0026452D" w:rsidP="0026452D">
      <w:pPr>
        <w:pStyle w:val="TextoNormal"/>
      </w:pPr>
      <w:r>
        <w:t>El servicio público de empleo comunicará, en el momento en que se produzcan o conozcan, las infracciones contenidas en los artículos 24.3 y 25.4 de esta Ley, a la entidad gestora de las prestaciones por desempleo, a los efectos sancionadores que a ésta le corresponden.”</w:t>
      </w:r>
    </w:p>
    <w:p w:rsidR="0026452D" w:rsidRDefault="0026452D" w:rsidP="0026452D">
      <w:pPr>
        <w:pStyle w:val="TextoNormal"/>
      </w:pPr>
    </w:p>
    <w:p w:rsidR="0026452D" w:rsidRDefault="0026452D" w:rsidP="0026452D">
      <w:pPr>
        <w:pStyle w:val="TextoNormal"/>
      </w:pPr>
      <w:r>
        <w:t xml:space="preserve">Los Letrados de la Generalitat de Cataluña cuestionan los ya mencionados inciso segundo del párrafo primero y el párrafo tercero del art. 48.4 del texto refundido de la Ley de infracciones y sanciones en el orden social, en la redacción dada al mismo por el art. 46.17, pues al atribuir la imposición de sanciones por infracciones leves y graves en materia de Seguridad Social “a la entidad gestora de la Seguridad Social competente, salvo que la sanción afecte a las prestaciones por desempleo, en cuyo caso la competencia corresponde a la entidad gestora de las mismas”, impide a los servicios autonómicos de empleo imponer sanciones por la comisión de las infracciones incluidas en los arts. 24.3 y 25.4, cuando tales infracciones se cometen por solicitantes o beneficiarios de prestaciones por desempleo, lo que entienden contrario a la doctrina constitucional de la STC 195/1996, de 28 de noviembre. El Abogado del Estado ha negado la vulneración denunciada argumentando que el Estado goza de plena competencia legislativa en materia laboral, lo que incluye la tipificación </w:t>
      </w:r>
      <w:r>
        <w:lastRenderedPageBreak/>
        <w:t>de las infracciones y sanciones, y señalando que la reforma obedece a la necesidad de clarificar el orden constitucional de competencias, a partir de la competencia estatal para la realización de los actos de gestión económica derivados de las conductas descritas en los tipos sancionadores.</w:t>
      </w:r>
    </w:p>
    <w:p w:rsidR="0026452D" w:rsidRDefault="0026452D" w:rsidP="0026452D">
      <w:pPr>
        <w:pStyle w:val="TextoNormal"/>
      </w:pPr>
    </w:p>
    <w:p w:rsidR="0026452D" w:rsidRDefault="0026452D" w:rsidP="0026452D">
      <w:pPr>
        <w:pStyle w:val="TextoNormal"/>
      </w:pPr>
      <w:r>
        <w:t>Así expuestas las alegaciones de las partes, la controversia trabada se centra en la atribución a un órgano estatal, el Servicio Público de Empleo Estatal, en tanto que entidad gestora de las prestaciones por desempleo [art. 13 j) de la Ley 56/2003, de 16 de diciembre, de empleo], de la competencia para sancionar las conductas tipificadas en los arts. 24.3 y 25.4 del texto refundido de la Ley sobre infracciones y sanciones en el orden social, en la redacción dada a los mismos por la Ley 62/2003, en el caso de que los infractores sean solicitantes o beneficiarios de prestaciones por desempleo de nivel contributivo o asistencial, pues tal es la consecuencia que producen los incisos impugnados del art. 48 del citado texto refundido, el primero por atribuir directamente tal competencia a un órgano estatal y el segundo por presuponerla, en la medida en que alude a la comunicación a la entidad gestora de las prestaciones por desempleo a los efectos sancionadores que correspondan.</w:t>
      </w:r>
    </w:p>
    <w:p w:rsidR="0026452D" w:rsidRDefault="0026452D" w:rsidP="0026452D">
      <w:pPr>
        <w:pStyle w:val="TextoNormal"/>
      </w:pPr>
    </w:p>
    <w:p w:rsidR="0026452D" w:rsidRDefault="0026452D" w:rsidP="0026452D">
      <w:pPr>
        <w:pStyle w:val="TextoNormal"/>
      </w:pPr>
      <w:r>
        <w:t>Planteada en tales términos, dicha controversia ha de ser encuadrada, conforme a nuestra doctrina (STC 195/1996, de 28 de noviembre, FJ 10) en la materia “Seguridad Social”, pues tenemos declarado que las prestaciones por desempleo son prestaciones de Seguridad Social (y así se proclaman en los arts. 203 y ss. del texto refundido de la Ley general de Seguridad Social, aprobado por Real Decreto Legislativo 1/1994, de 20 de junio). En el ámbito material de la Seguridad Social, el art. 149.1.17 CE declara que el Estado tiene competencia exclusiva en materia de “legislación básica y régimen económico de la Seguridad Social, sin perjuicio de la ejecución de sus servicios por las Comunidades Autónomas”, mientras que el art. 165.1 b) EAC atribuye a la Generalitat competencia compartida sobre la “gestión del régimen económico de la Seguridad Social” y le encomienda, en su apartado 2, la organización y administración de todos los servicios de la Seguridad Social, sin perjuicio de la alta inspección que corresponde al Estado, competencias que han de entenderse con el alcance que les ha atribuido la doctrina de este Tribunal Constitucional (así, STC 31/2010, de 28 de junio, FJ 60). Por otra parte, dado que lo discutido en el presente recurso en el ejercicio de la potestad sancionadora, hemos de añadir que, como ha señalado de forma reiterada este Tribunal, la atribución de la competencia ejecutiva comprende la de la potestad sancionadora en la materia sobre la que se ejerce (SSTC 87/1985, de 16 de julio, FFJJ 1 y 2; 227/1988, de 29 de noviembre, FJ 29; y 195/1996, de 28 de noviembre, FJ 8).</w:t>
      </w:r>
    </w:p>
    <w:p w:rsidR="0026452D" w:rsidRDefault="0026452D" w:rsidP="0026452D">
      <w:pPr>
        <w:pStyle w:val="TextoNormal"/>
      </w:pPr>
    </w:p>
    <w:p w:rsidR="0026452D" w:rsidRDefault="0026452D" w:rsidP="0026452D">
      <w:pPr>
        <w:pStyle w:val="TextoNormal"/>
      </w:pPr>
      <w:r>
        <w:t>En concreto, la doctrina constitucional respecto a la potestad sancionadora en materia de Seguridad Social se halla recogida, por remisión a la anterior STC 195/1996, en la STC 51/2006, de 16 de febrero, FJ 4, en la que señalamos lo siguiente:</w:t>
      </w:r>
    </w:p>
    <w:p w:rsidR="0026452D" w:rsidRDefault="0026452D" w:rsidP="0026452D">
      <w:pPr>
        <w:pStyle w:val="TextoNormal"/>
      </w:pPr>
    </w:p>
    <w:p w:rsidR="0026452D" w:rsidRDefault="0026452D" w:rsidP="0026452D">
      <w:pPr>
        <w:pStyle w:val="TextoNormal"/>
      </w:pPr>
      <w:r>
        <w:t xml:space="preserve">“[E]ste Tribunal tuvo ocasión de señalar en su STC 195/1996, de 28 de noviembre, al analizar el recurso de inconstitucionalidad interpuesto por el Gobierno Vasco contra la Ley 8/1988, de 7 de abril, de infracciones y sanciones en el orden social, que el citado precepto constitucional obliga a distinguir, desde un punto de vista competencial, entre la Seguridad Social y su régimen económico. Respecto a la primera es evidente que, ostentando la Comunidad Autónoma competencias ejecutivas, ‘le corresponde ejercitar las potestades sancionadoras que garanticen el cumplimiento de la legislación básica estatal y de la autonómica que la desarrolle (STC 102/1995, FJ 32). En cuanto a la segunda, la delimitación del </w:t>
      </w:r>
      <w:r>
        <w:lastRenderedPageBreak/>
        <w:t>ámbito de actuación de la Comunidad Autónoma requiere mayores precisiones, pues la atribución al Estado o a las Comunidades Autónomas del régimen en una determinada materia comprende, desde luego, la totalidad de las competencias normativas sobre la misma (SSTC 84/1982, FJ 4, y 38/1983, FJ 3); pero implica también un plus: además de la legislación, puede comportar la atribución de las competencias de ejecución necesarias para configurar un sistema materialmente unitario. Eso es lo que sucede en el caso del régimen económico de la Seguridad Social’ (STC 195/1996, de 28 de noviembre, FJ 6).”</w:t>
      </w:r>
    </w:p>
    <w:p w:rsidR="0026452D" w:rsidRDefault="0026452D" w:rsidP="0026452D">
      <w:pPr>
        <w:pStyle w:val="TextoNormal"/>
      </w:pPr>
    </w:p>
    <w:p w:rsidR="0026452D" w:rsidRDefault="0026452D" w:rsidP="0026452D">
      <w:pPr>
        <w:pStyle w:val="TextoNormal"/>
      </w:pPr>
      <w:r>
        <w:t>En virtud de ello, la citada Sentencia efectuó el deslinde competencial afirmando, en primer lugar, la potestad sancionadora autonómica (en aquella ocasión, de la Comunidad Autónoma del País Vasco) y excluyendo, en consecuencia, la del Estado, “para declarar la concreta existencia de infracciones y sancionar aquellas que no guarden relación con el régimen económico de la Seguridad Social”, así como para “aquellos supuestos en que la potestad punitiva recae sobre actos instrumentales respecto al nacimiento y mantenimiento de la obligación de contribuir (inscripción, afiliación, altas y bajas, etc.)”, reservando por el contrario al Estado, como propia de su competencia en materia de régimen económico, la potestad sobre “aquellas infracciones que recaen directamente sobre la actividad económica de la Seguridad Social, esto es, las que definen ilícitos que se hallan inmediatamente referidos a la percepción de sus ingresos o a la realización de los gastos correspondientes” (STC 195/1996, de 28 de noviembre, FJ 8).</w:t>
      </w:r>
    </w:p>
    <w:p w:rsidR="0026452D" w:rsidRDefault="0026452D" w:rsidP="0026452D">
      <w:pPr>
        <w:pStyle w:val="TextoNormal"/>
      </w:pPr>
    </w:p>
    <w:p w:rsidR="0026452D" w:rsidRDefault="0026452D" w:rsidP="0026452D">
      <w:pPr>
        <w:pStyle w:val="TextoNormal"/>
      </w:pPr>
      <w:r>
        <w:t>Así pues, en los términos de nuestra doctrina, han quedado reservadas al Estado tanto la tipificación de infracciones como la imposición de sanciones en los casos en los que se vea afectado el régimen económico de la Seguridad Social, entendido en los términos anteriormente expuestos, esto es, “referidos a la percepción de sus ingresos o a la realización de los gastos correspondientes” pues en tales casos “el objeto inmediato de tutela es la gestión de la caja única de la Seguridad Social que, al hallarse atribuida al Estado, determina que éste, como titular de la ejecución, ostente también la potestad de declarar infracciones e imponer sanciones, que no es sino una técnica específica de control, y que forma parte, por consiguiente, de su competencia en materia de régimen económico” (STC 195/1996, FJ 8).</w:t>
      </w:r>
    </w:p>
    <w:p w:rsidR="0026452D" w:rsidRDefault="0026452D" w:rsidP="0026452D">
      <w:pPr>
        <w:pStyle w:val="TextoNormal"/>
      </w:pPr>
    </w:p>
    <w:p w:rsidR="0026452D" w:rsidRDefault="0026452D" w:rsidP="0026452D">
      <w:pPr>
        <w:pStyle w:val="TextoNormal"/>
      </w:pPr>
      <w:r>
        <w:t>Debemos, en consecuencia, determinar si las conductas realizadas por los solicitantes o beneficiarios de prestaciones por desempleo de nivel contributivo o asistencial descritas en los arts. 24.3 y 25.4, se ajustan a tales criterios, de suerte que la competencia para el castigo de las infracciones allí tipificadas corresponderá al Estado o, por el contrario, hemos de estimar que, al no tratarse de ilícitos que recaigan directamente sobre la actividad económica de la Seguridad Social, la atribución de la competencia sancionadora a un órgano estatal que implican los incisos impugnados del texto refundido de la Ley sobre infracciones y sanciones en el orden social resulta contraria al orden constitucional de distribución de competencias e incurre en la vulneración que ha denunciado la Generalitat de Cataluña.</w:t>
      </w:r>
    </w:p>
    <w:p w:rsidR="0026452D" w:rsidRDefault="0026452D" w:rsidP="0026452D">
      <w:pPr>
        <w:pStyle w:val="TextoNormal"/>
      </w:pPr>
    </w:p>
    <w:p w:rsidR="0026452D" w:rsidRDefault="0026452D" w:rsidP="0026452D">
      <w:pPr>
        <w:pStyle w:val="TextoNormal"/>
      </w:pPr>
      <w:r>
        <w:t xml:space="preserve">Para ello, como ya hicimos en la STC 195/1996, debemos ahora examinar los preceptos que tipifican las infracciones correspondientes para determinar si las mismas pueden ubicarse íntegramente en el régimen económico de la Seguridad Social o pertenecen a materias en las que la Comunidad Autónoma ostenta competencias de ejecución, incluida la potestad sancionadora. Así, por lo que hace al art. 24.3 del texto refundido de la Ley sobre infracciones y sanciones en el orden social, este tipifica como infracciones leves susceptibles de ser cometidas, entre otros, por los solicitantes o beneficiarios de prestaciones por desempleo de </w:t>
      </w:r>
      <w:r>
        <w:lastRenderedPageBreak/>
        <w:t>nivel contributivo o asistencial, conductas como “no comparecer, previo requerimiento, ante los servicios públicos de empleo o las agencias de colocación cuando desarrollen actividades en el ámbito de la colaboración con aquéllos, o no renovar la demanda de empleo en la forma y fechas que se determinen en el documento de renovación de la demanda, salvo causa justificada” [apartado a)]; “no devolver en plazo, salvo causa justificada, al servicio público de empleo o, en su caso, a las agencias de colocación sin fines lucrativos el correspondiente justificante de haber comparecido en el lugar y fecha indicados para cubrir las ofertas de empleo facilitadas por aquéllos” [apartado b)]; “no cumplir las exigencias del compromiso de actividad, salvo causa justificada, siempre que la conducta no esté tipificada como otra infracción leve o grave en los artículos 24 o 25 de esta Ley” [apartado c)] y “no facilitar, al Servicio Público de Empleo Estatal y a los Servicios Públicos de Empleo Autonómicos, la información necesaria para garantizar la recepción de notificaciones y comunicaciones” [apartado d)]. Por su parte el art. 25.4 califica como infracciones muy graves “rechazar una oferta de empleo adecuada, ya sea ofrecida por los servicios públicos de empleo o por las agencias de colocación cuando desarrollen actividades en el ámbito de la colaboración con aquéllos, salvo causa justificada” [apartado a)] y “negarse a participar en los trabajos de colaboración social, programas de empleo, incluidos los de inserción profesional, o en acciones de promoción, formación o reconversión profesional, salvo causa justificada, ofrecidos por los servicios públicos de empleo o en las acciones de orientación e información profesional ofrecidas por las agencias de colocación cuando desarrollen actividades en el ámbito de la colaboración con aquéllos” [apartado b)].</w:t>
      </w:r>
    </w:p>
    <w:p w:rsidR="0026452D" w:rsidRDefault="0026452D" w:rsidP="0026452D">
      <w:pPr>
        <w:pStyle w:val="TextoNormal"/>
      </w:pPr>
    </w:p>
    <w:p w:rsidR="0026452D" w:rsidRDefault="0026452D" w:rsidP="0026452D">
      <w:pPr>
        <w:pStyle w:val="TextoNormal"/>
      </w:pPr>
      <w:r>
        <w:t xml:space="preserve">Correspondiendo al Estado la gestión de las prestaciones por desempleo, en tanto que integrantes de la caja única de la Seguridad Social, ese control supone, en los términos de nuestra doctrina (SSTC 124/1989, de 7 de julio, FFJJ 3 y 4 </w:t>
      </w:r>
      <w:r w:rsidRPr="0026452D">
        <w:rPr>
          <w:i/>
        </w:rPr>
        <w:t>in fine</w:t>
      </w:r>
      <w:r>
        <w:t xml:space="preserve"> y 195/1996, de 28 de noviembre, FJ 7), la atribución de la potestad ejecutiva, y con ella la potestad sancionadora, cuando recae directamente sobre actividades económicas; esto es, las vinculadas a la percepción de los ingresos o la administración y disposición de esos fondos para atender la realización de los gastos correspondientes vinculados a las prestaciones por desempleo. Es patente que las conductas tipificadas en ambos preceptos no responden a esas notas pues no recaen directamente sobre la actividad económica de la Seguridad Social, en la medida en que no están relacionadas con la percepción de la prestación por desempleo, sino que se refieren a facultades de supervisión de competencia autonómica en tanto que relativas al cumplimiento de obligaciones que pesan sobre los beneficiarios de la prestación pero no se relacionan directamente con su percepción. Algo que, por otra parte, ya tuvimos ocasión de apreciar en la STC 195/1996, FJ 10, cuando, examinando la infracción de los trabajadores consistente en “no comparecer, sin causa justificada, previo requerimiento, ante la Entidad Gestora” y las relativas a “negarse a participar en acciones de promoción, formación y reconversión profesionales, salvo causa justificada” y “rechazar una oferta de empleo adecuada o negarse a participar en los trabajos de colaboración social o en programas de empleo, salvo causa justificada”, establecidas en el art. 30.1 y 2 de la Ley 8/1988, de 7 de abril, sobre infracciones y sanciones del orden social, declaramos que la competencia para sancionarlas correspondía a la Comunidad Autónoma. Conclusión que alcanzamos, con independencia de que, como ahora ocurre [arts. 47.1 a) y b) del texto refundido de la Ley sobre infracciones y sanciones en el orden social], tales infracciones se sancionen con la pérdida temporal o con la extinción de la prestación, según los casos, pues una cosa es la imposición de la sanción prevista por el legislador estatal como consecuencia de conductas asimismo </w:t>
      </w:r>
      <w:r>
        <w:lastRenderedPageBreak/>
        <w:t>tipificadas por ese legislador y otra distinta la realización del concreto acto de gestión económica relativo a la extinción o modulación de la prestación en la que la sanción consiste, que, en todo caso, habrá de corresponder a un órgano estatal, en tanto que gestor de la prestación.</w:t>
      </w:r>
    </w:p>
    <w:p w:rsidR="0026452D" w:rsidRDefault="0026452D" w:rsidP="0026452D">
      <w:pPr>
        <w:pStyle w:val="TextoNormal"/>
      </w:pPr>
    </w:p>
    <w:p w:rsidR="0026452D" w:rsidRDefault="0026452D" w:rsidP="0026452D">
      <w:pPr>
        <w:pStyle w:val="TextoNormal"/>
      </w:pPr>
      <w:r>
        <w:t>Debemos pues concluir que la competencia para la imposición de las sanciones frente a las conductas descritas en los arts. 24.3 y 25.4 del texto refundido de la Ley sobre infracciones y sanciones en el orden social corresponde a la Generalitat de Cataluña, lo que determina que sea contrario al orden constitucional de distribución de competencias y, por tanto, inconstitucional y nulo, el actual segundo párrafo del art. 48.5 de dicho texto refundido en cuanto que recoge, alterando únicamente su posición, el anterior tercer párrafo del art. 48.4, pues, al hacer referencia a la entidad gestora de las prestaciones por desempleo, atribuye la titularidad de la potestad para sancionar las conductas descritas en los arts. 24.3 y 25.4 a un órgano estatal, el Servicio Público de Empleo Estatal. Excluida la competencia estatal para sancionar las anteriores conductas, el inciso cuestionado del primer párrafo del art. 48.5, que no ha modificado lo establecido por el segundo inciso del primer párrafo del art. 48.4 del texto refundido de la Ley sobre infracciones y sanciones en el orden social sino, solamente, afectado a su ubicación sistemática, no plantea el problema competencial denunciado.</w:t>
      </w:r>
    </w:p>
    <w:p w:rsidR="0026452D" w:rsidRDefault="0026452D" w:rsidP="0026452D">
      <w:pPr>
        <w:pStyle w:val="TextoNormal"/>
      </w:pPr>
    </w:p>
    <w:p w:rsidR="0026452D" w:rsidRDefault="0026452D" w:rsidP="0026452D">
      <w:pPr>
        <w:pStyle w:val="TextoNormal"/>
      </w:pPr>
      <w:r>
        <w:t>En suma, por todo lo expuesto, el art. 46.17 de la Ley 62/2003, en cuanto que da nueva redacción al párrafo tercero del apartado 4 del art. 48 del texto refundido de la Ley sobre infracciones y sanciones en el orden social  (actual segundo párrafo del art. 48.5) ha de ser declarado contrario al orden de distribución de competencias y, por tanto, inconstitucional y nulo.</w:t>
      </w:r>
    </w:p>
    <w:p w:rsidR="0026452D" w:rsidRDefault="0026452D" w:rsidP="0026452D">
      <w:pPr>
        <w:pStyle w:val="TextoNormal"/>
      </w:pPr>
    </w:p>
    <w:p w:rsidR="0026452D" w:rsidRDefault="0026452D" w:rsidP="0026452D">
      <w:pPr>
        <w:pStyle w:val="TextoNormal"/>
      </w:pPr>
      <w:r>
        <w:t>Finalmente hemos de precisar el alcance de nuestra declaración de nulidad en un doble sentido. En primer lugar, atendiendo a lo manifestado en el escrito de interposición del recurso, la declarada nulidad ha de referirse a la competencia para sancionar las conductas tipificadas en los arts. 24.3 y 25.4 de la Ley sobre infracciones y sanciones en el orden social en los casos de solicitantes o beneficiarios de prestaciones por desempleo de nivel contributivo o asistencial. En segundo lugar, siguiendo en este punto la doctrina recogida, entre otras, en las SSTC 54/2002, de 27 de febrero, FJ 9 y 365/2006, de 21 de diciembre, FJ 8, debemos modular en el tiempo los efectos de la declaración de nulidad. En ellas declaramos que “en supuestos como el que ahora nos ocupa y atendiendo a la pluralidad de valores constitucionales que concurren ‘debemos traer a colación … el principio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Ahora bien,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sólo sea eficaz pro futuro, esto es, en relación con nuevos supuestos o con los procedimientos administrativos y procesos judiciales donde aún no haya recaído una resolución firme. … El principio de seguridad jurídica (art. 9.3 CE) reclama la intangibilidad de las situaciones jurídicas consolidadas; no sólo las decididas con fuerza de cosa juzgada, sino también las situaciones administrativas firmes”.</w:t>
      </w:r>
    </w:p>
    <w:p w:rsidR="0026452D" w:rsidRDefault="0026452D" w:rsidP="0026452D">
      <w:pPr>
        <w:pStyle w:val="TextoNormal"/>
      </w:pPr>
    </w:p>
    <w:p w:rsidR="0026452D" w:rsidRDefault="0026452D" w:rsidP="0026452D">
      <w:pPr>
        <w:pStyle w:val="TextoNormal"/>
      </w:pPr>
      <w:r w:rsidRPr="0026452D">
        <w:rPr>
          <w:rStyle w:val="NumeroAFNegritaCaracter"/>
        </w:rPr>
        <w:t>5</w:t>
      </w:r>
      <w:r>
        <w:t>. El art. 120 de la Ley 62/2003, intitulado “normativa básica sobre regímenes de ayuda a los agricultores en el marco de la política agrícola común”, dispone:</w:t>
      </w:r>
    </w:p>
    <w:p w:rsidR="0026452D" w:rsidRDefault="0026452D" w:rsidP="0026452D">
      <w:pPr>
        <w:pStyle w:val="TextoNormal"/>
      </w:pPr>
    </w:p>
    <w:p w:rsidR="0026452D" w:rsidRDefault="0026452D" w:rsidP="0026452D">
      <w:pPr>
        <w:pStyle w:val="TextoNormal"/>
      </w:pPr>
      <w:r>
        <w:t>“1. El régimen de pago único de las ayudas directas previsto en el Reglamento (CE) núm. 1782/2003 del Consejo, de 29 de septiembre de 2003, por el que se establecen disposiciones comunes aplicables a los regímenes de ayuda directa en el marco de la política agrícola común y se instauran determinados regímenes de ayuda a los agricultores se aplicará en todo el territorio a escala nacional.</w:t>
      </w:r>
    </w:p>
    <w:p w:rsidR="0026452D" w:rsidRDefault="0026452D" w:rsidP="0026452D">
      <w:pPr>
        <w:pStyle w:val="TextoNormal"/>
      </w:pPr>
    </w:p>
    <w:p w:rsidR="0026452D" w:rsidRDefault="0026452D" w:rsidP="0026452D">
      <w:pPr>
        <w:pStyle w:val="TextoNormal"/>
      </w:pPr>
      <w:r>
        <w:t>2. El régimen de pago único parcial a que se refiere la sección 2 del capítulo 5 del título III del Reglamento (CE) núm. 1782/2003, se aplicará a escala nacional para cada uno de los pagos directos señalados en los artículos 66, 67 y 68, así como la aplicación opcional para tipos específicos de actividades agrarias y la calidad de producción regulada en el artículo 69 del citado Reglamento.</w:t>
      </w:r>
    </w:p>
    <w:p w:rsidR="0026452D" w:rsidRDefault="0026452D" w:rsidP="0026452D">
      <w:pPr>
        <w:pStyle w:val="TextoNormal"/>
      </w:pPr>
    </w:p>
    <w:p w:rsidR="0026452D" w:rsidRDefault="0026452D" w:rsidP="0026452D">
      <w:pPr>
        <w:pStyle w:val="TextoNormal"/>
      </w:pPr>
      <w:r>
        <w:t>3. Se habilita al Gobierno, para que, por vía de Real Decreto desarrolle lo establecido en este artículo de conformidad con las previsiones del Reglamento (CE) 1782/2003.”</w:t>
      </w:r>
    </w:p>
    <w:p w:rsidR="0026452D" w:rsidRDefault="0026452D" w:rsidP="0026452D">
      <w:pPr>
        <w:pStyle w:val="TextoNormal"/>
      </w:pPr>
    </w:p>
    <w:p w:rsidR="0026452D" w:rsidRDefault="0026452D" w:rsidP="0026452D">
      <w:pPr>
        <w:pStyle w:val="TextoNormal"/>
      </w:pPr>
      <w:r>
        <w:t>Los Letrados de la Generalitat de Cataluña sostienen que la aplicación del régimen de pago único a escala nacional vulnera las competencias autonómicas en materia de agricultura, pues la ejecución de la normativa comunitaria hubiera debido corresponder a la Comunidad Autónoma, sin que tal decisión, que no aplica los mecanismos de flexibilidad previstos en ella que hubieran permitido regionalizar el régimen de estas ayudas, pueda considerarse adoptada al amparo de las competencias estatales en materia de bases y coordinación general de la actividad económica. El Abogado del Estado ha opuesto que el art. 120 es una norma de carácter básico, tal como se desprende de su contenido, señalando, además, que las competencias autonómicas en materia de agricultura se encuentran limitadas por la competencia estatal sobre las bases y la ordenación de la economía y que el criterio regional en la aplicación de estas ayudas es una opción permitida por el reglamento comunitario pero cuya determinación corresponde a los Estados miembros.</w:t>
      </w:r>
    </w:p>
    <w:p w:rsidR="0026452D" w:rsidRDefault="0026452D" w:rsidP="0026452D">
      <w:pPr>
        <w:pStyle w:val="TextoNormal"/>
      </w:pPr>
    </w:p>
    <w:p w:rsidR="0026452D" w:rsidRDefault="0026452D" w:rsidP="0026452D">
      <w:pPr>
        <w:pStyle w:val="TextoNormal"/>
      </w:pPr>
      <w:r>
        <w:t>El denominado régimen de pago único al que el precepto hace referencia se inserta en la nueva orientación de la política agrícola común adoptada a partir del año 2003 y consistente en el paso del sistema tradicional de subvenciones vigente anteriormente (mediante ayudas directas a la renta de los agricultores derivadas de las distintas organizaciones comunes de mercado a la que pertenecen los productos) a otro nuevo basado en un sistema de ayuda disociado a la renta de la explotación (que se ha venido a definir como desacoplada, en la medida que las ayudas ya no están vinculadas o subordinadas —acopladas— a la producción de un producto específico sino a la situación de las explotaciones). Dicho pago único por explotación está, a su vez, condicionado al cumplimiento de requisitos medioambientales, de seguridad alimentaria, de salud y bienestar de los animales y de mantenimiento de la explotación en buenas condiciones agrarias y medioambientales. De esta manera el pago único no se subordina a la producción de ningún producto específico, sino que la ayuda se instrumenta mediante la generación de los denominados derechos de pago único calculándose el importe global al que tiene derecho una explotación, en función de la superficie de la misma y de los importes de las ayudas recibidas por el agricultor en un período de refe</w:t>
      </w:r>
      <w:r>
        <w:lastRenderedPageBreak/>
        <w:t>rencia, período que inicialmente comprendía los años naturales 2000, 2001 y 2002, existiendo, en todo caso, máximos presupuestarios que limitaban el conjunto y, en consecuencia, las ayudas a otorgar por cada Estado miembro.</w:t>
      </w:r>
    </w:p>
    <w:p w:rsidR="0026452D" w:rsidRDefault="0026452D" w:rsidP="0026452D">
      <w:pPr>
        <w:pStyle w:val="TextoNormal"/>
      </w:pPr>
    </w:p>
    <w:p w:rsidR="0026452D" w:rsidRDefault="0026452D" w:rsidP="0026452D">
      <w:pPr>
        <w:pStyle w:val="TextoNormal"/>
      </w:pPr>
      <w:r>
        <w:t>Dicho sistema se estableció inicialmente en el Reglamento (CE) núm. 1782/2003 del Consejo, de 29 de septiembre de 2003, por el que se establecen disposiciones comunes aplicables a los regímenes de ayuda directa en el marco de la política agrícola común y se instauran determinados regímenes de ayuda, al que alude el impugnado art. 120. En esa norma algunas de esas ayudas aún se encuentran vinculadas a la producción; sin embargo, la mayoría de las ayudas directas están disociadas y concedidas en virtud del régimen de ayuda denominado “régimen de pago único”. Esta regulación ha sido sustituida por el Reglamento (CE) núm. 73/2009 del Consejo, de 19 de enero, por el que se establecen disposiciones comunes aplicables a los regímenes de ayuda directa a los agricultores en el marco de la política agrícola común y se instauran determinados regímenes de ayuda a los agricultores y por el que se modifican los Reglamentos (CE) núm. 1290/2005, (CE) núm. 247/2006, (CE) núm. 378/2007 y se deroga el Reglamento (CE) núm. 1782/2003. Este último Reglamento establece, entre otras modificaciones, la del régimen de pago único a partir de 2009, ajustando determinados elementos de las ayudas directas y avanzando hacia una simplificación de este régimen. Igualmente, ha reforzado el concepto de condicionalidad, que incluye las buenas condiciones agrarias y medioambientales y los requisitos legales de gestión en materia de medio ambiente, salud pública, sanidad y bienestar animal. Así, este Reglamento establece la obligación para todo agricultor que reciba pagos directos de cumplir con los requisitos legales de gestión citados en su anexo II y con las buenas condiciones agrarias y medioambientales que establezcan los Estados miembros, y en virtud de su art. 6, sobre la base del marco establecido en su anexo III.</w:t>
      </w:r>
    </w:p>
    <w:p w:rsidR="0026452D" w:rsidRDefault="0026452D" w:rsidP="0026452D">
      <w:pPr>
        <w:pStyle w:val="TextoNormal"/>
      </w:pPr>
    </w:p>
    <w:p w:rsidR="0026452D" w:rsidRDefault="0026452D" w:rsidP="0026452D">
      <w:pPr>
        <w:pStyle w:val="TextoNormal"/>
      </w:pPr>
      <w:r>
        <w:t>La aplicación en España del Reglamento (CE) núm. 73/2009 se llevó a cabo mediante dos reales decretos, el Real Decreto 66/2010, de 29 de enero, sobre la aplicación en el año 2010 y 2011 de los pagos directos a la agricultura y a la ganadería, y sus posteriores modificaciones, y el Real Decreto 1680/2009, de 13 de noviembre, sobre la aplicación del régimen del pago único en la agricultura y la integración de determinadas ayudas agrícolas en el mismo a partir del año 2010. El citado Real Decreto 66/2010 fue derogado, con las excepciones de la disposición adicional primera, la disposición transitoria segunda y la disposición final tercera, por el Real Decreto 202/2012, de 23 de enero, sobre la aplicación a partir del 2012 de los pagos directos a la agricultura y a la ganadería, norma que, pese a sufrir modificaciones puntuales, se encuentra vigente.</w:t>
      </w:r>
    </w:p>
    <w:p w:rsidR="0026452D" w:rsidRDefault="0026452D" w:rsidP="0026452D">
      <w:pPr>
        <w:pStyle w:val="TextoNormal"/>
      </w:pPr>
    </w:p>
    <w:p w:rsidR="0026452D" w:rsidRDefault="0026452D" w:rsidP="0026452D">
      <w:pPr>
        <w:pStyle w:val="TextoNormal"/>
      </w:pPr>
      <w:r>
        <w:t>Por otra parte, en cuanto a la discutida decisión respecto a la regionalización del sistema de pago único, el Reglamento del año 2009 remite en su art. 46 a la regulación anterior, constituida por el título III, capítulos 1 a 4, del Reglamento (CE) núm. 1782/2003, estableciendo, en todo caso, que “los Estados miembros definirán las regiones con arreglo a criterios objetivos y no discriminatorios, como su estructura institucional o administrativa o el potencial agrícola regional” así como que “Los Estados miembros podrán considerar la totalidad de su territorio como una única región”. En términos similares se pronunciaban los arts. 58 y siguientes del Reglamento 1782/2003.</w:t>
      </w:r>
    </w:p>
    <w:p w:rsidR="0026452D" w:rsidRDefault="0026452D" w:rsidP="0026452D">
      <w:pPr>
        <w:pStyle w:val="TextoNormal"/>
      </w:pPr>
    </w:p>
    <w:p w:rsidR="0026452D" w:rsidRDefault="0026452D" w:rsidP="0026452D">
      <w:pPr>
        <w:pStyle w:val="TextoNormal"/>
      </w:pPr>
      <w:r>
        <w:t xml:space="preserve">En suma, a los efectos que aquí interesan, el régimen de pago único puede definirse como el derecho que agricultores y ganaderos tienen a cobrar una ayuda anual calculada según la </w:t>
      </w:r>
      <w:r>
        <w:lastRenderedPageBreak/>
        <w:t>media de las subvenciones cobradas por agricultores y ganaderos durante los años de referencia establecidos reglamentariamente y siempre que sus perceptores cumplan determinados requisitos ambientales y agronómicos. Dichas ayudas están, en todo caso, sometidas en cada Estado miembro a unos límites máximos establecidos en la normativa comunitaria, límite global que en la actualidad se encuentra en el anexo IV del Reglamento (CE) núm. 73/2009. Asimismo por lo que hace a la denominada regionalización del pago único la decisión estatal cuestionada se ha adoptado dentro del margen que ofrecía la normativa comunitaria, en concreto los arts. 58 y ss. del Reglamento 1782/2003, en cuanto que permitía a los Estados un margen de decisión al respecto. Ahora bien, como hemos recordado en la STC 1/2012, de 13 de enero, FJ 9, “la traslación al ordenamiento interno de este Derecho supranacional no afecta a los criterios constitucionales de reparto competencial, que no resultan alterados ni por el ingreso de España en la Comunidad Europea ni por la promulgación de normas comunitarias”, por lo que es, asimismo, evidente que el hecho de que dicha decisión fuese posible o permitida por la normativa comunitaria, nada aporta al debate que aquí se plantea, que se centra, precisamente, en determinar la autoridad, estatal o autonómica, a la que, conforme al orden interno de distribución de competencias, correspondía la adopción de tal decisión dentro del marco establecido por la normativa comunitaria.</w:t>
      </w:r>
    </w:p>
    <w:p w:rsidR="0026452D" w:rsidRDefault="0026452D" w:rsidP="0026452D">
      <w:pPr>
        <w:pStyle w:val="TextoNormal"/>
      </w:pPr>
    </w:p>
    <w:p w:rsidR="0026452D" w:rsidRDefault="0026452D" w:rsidP="0026452D">
      <w:pPr>
        <w:pStyle w:val="TextoNormal"/>
      </w:pPr>
      <w:r>
        <w:t>Tratándose entonces de una controversia competencial, relativa a la determinación de la instancia territorial competente para decidir el ámbito de aplicación del régimen de pagos previsto en el Reglamento (CE) núm. 1782/2003, hemos de proceder al encuadramiento material del objeto de controversia en el presente recurso. Al respecto es claro que, como han señalado ambas partes, éste no puede ser otro que el relativo a agricultura, materia en el que la Comunidad Autónoma ostenta competencias exclusivas según el art. 116.1 EAC, exclusividad que ha de ser entendida no sólo en los términos de nuestra doctrina (STC 31/2010, de 28 de junio, FFJJ 59 y 64) sino, más específicamente, “respetando lo establecido por el Estado en el ejercicio de las competencias que le atribuye el artículo 149.1.13 y 16 de la Constitución”, como dispone en citado precepto estatutario. Resulta de ello que la cuestión de fondo a dilucidar es si esta competencia autonómica puede resultar limitada por cualquiera de los títulos competenciales del Estado que podrían prestar cobertura competencial a la regulación cuestionada, pues el Abogado del Estado invoca, como ya se ha indicado, el título competencial exclusivo sobre “bases y coordinación de la planificación general de la actividad económica” (art. 149.1.13 CE).</w:t>
      </w:r>
    </w:p>
    <w:p w:rsidR="0026452D" w:rsidRDefault="0026452D" w:rsidP="0026452D">
      <w:pPr>
        <w:pStyle w:val="TextoNormal"/>
      </w:pPr>
    </w:p>
    <w:p w:rsidR="0026452D" w:rsidRDefault="0026452D" w:rsidP="0026452D">
      <w:pPr>
        <w:pStyle w:val="TextoNormal"/>
      </w:pPr>
      <w:r>
        <w:t>Planteada en tales términos la disputa, lo que debemos resolver es si la decisión estatal respecto a la aplicación del régimen de pago único en las ayudas agrícolas encuentra cobertura en dicho título competencial o, por el contrario, supera los límites de dicho título y vulnera las competencias autonómicas.</w:t>
      </w:r>
    </w:p>
    <w:p w:rsidR="0026452D" w:rsidRDefault="0026452D" w:rsidP="0026452D">
      <w:pPr>
        <w:pStyle w:val="TextoNormal"/>
      </w:pPr>
    </w:p>
    <w:p w:rsidR="0026452D" w:rsidRDefault="0026452D" w:rsidP="0026452D">
      <w:pPr>
        <w:pStyle w:val="TextoNormal"/>
      </w:pPr>
      <w:r>
        <w:t xml:space="preserve">Así deberemos tener en cuenta que, como tenemos declarado, “corresponde al Estado, en virtud de su competencia de ordenación general de la economía, establecer las directrices globales de ordenación y regulación del mercado agropecuario nacional… quedando reservada a la Comunidad Autónoma la competencia para adoptar, dentro del marco de esas directrices generales, todas aquellas medidas que no resulten contrarias a las mismas, sino complementarias, concurrentes o neutras de tal forma que estando encaminadas a mejorar las estructuras de la agricultura y ganadería propias no supongan interferencia negativa o distorsión de la ordenación general establecida por el Estado, sino más bien que sean coadyuvantes o inocuas para esta ordenación estatal.” (STC 158/2011, de 19 de octubre, FJ 8, </w:t>
      </w:r>
      <w:r>
        <w:lastRenderedPageBreak/>
        <w:t xml:space="preserve">con cita de la STC 14/1989, de 26 de enero, FJ 3). Y, junto a ello, este Tribunal ha reconocido la competencia autonómica para adoptar las disposiciones necesarias en complemento del derecho comunitario europeo y para ejecutar y aplicar en su ámbito territorial normativa comunitaria siempre que, </w:t>
      </w:r>
      <w:r w:rsidRPr="0026452D">
        <w:rPr>
          <w:i/>
        </w:rPr>
        <w:t>ratione materiae</w:t>
      </w:r>
      <w:r>
        <w:t>, las Comunidades Autónomas ostenten esa competencia y no rebasen la linde establecida por la normativa comunitaria y la estatal básica o de coordinación (STC 79/1992, de 28 de mayo, FFJJ 3 y 6, reiterado en STC 95/2001, de 5 de abril, FJ 2).</w:t>
      </w:r>
    </w:p>
    <w:p w:rsidR="0026452D" w:rsidRDefault="0026452D" w:rsidP="0026452D">
      <w:pPr>
        <w:pStyle w:val="TextoNormal"/>
      </w:pPr>
    </w:p>
    <w:p w:rsidR="0026452D" w:rsidRDefault="0026452D" w:rsidP="0026452D">
      <w:pPr>
        <w:pStyle w:val="TextoNormal"/>
      </w:pPr>
      <w:r>
        <w:t>El fundamento jurídico 4 b) de la STC 34/2013, de 14 de febrero, ha sintetizado nuestra doctrina respecto al título competencial estatal, art. 149.1.13 CE, que proporcionaría sustento a la regulación impugnada. Así, el Tribunal ha entendido que esta competencia no ha de confundirse con la potestad general de dictar bases en una determinada materia, en el sentido de establecer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(entre otras, SSTC 69/1988, de 19 de abril; 109/2003, de 5 de junio; y 136/2012, de 19 de junio). Por el contrario, este Tribunal ha declarado repetidamente desde la STC 95/1986, de 10 de julio (posteriormente, entre otras, en las SSTC 152/1988, de 20 de julio y 188/1989, de 16 de noviembre), que las bases de la planificación general de la actividad económica consisten en el establecimiento de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(STC 135/2012, de 19 de junio, FJ 2), admitiendo así que esta competencia ampara todas las normas y actuaciones, sea cual sea su naturaleza, orientadas al logro de tales fines, entre los que la doctrina constitucional ha situado el de garantizar el mantenimiento de la unidad de mercado (SSTC 118/1996, de 27 de junio, FJ 10, y 208/1999, de 11 de noviembre, FJ 6) o de la “unidad económica” (SSTC 152/1988, de 20 de julio, FJ 2, 186/1988, de 17 de octubre, FJ 2, 96/1990, de 24 de mayo, FJ 3, y 146/1992, de 16 de octubre, FJ 2), pero también el de “alcanzar los objetivos de la económica general o sectorial” (STC 96/1990, de 24 de mayo, FJ 3, y en el mismo sentido SSTC 80/1985, de 4 de julio, FJ 1, y 188/1989, de 16 de noviembre, FJ 5), así como el de incidir en principios rectores de la política económica y social (SSTC 95/2002, de 25 de abril, FFJJ 7 y 11, seguida por las SSTC 190/2002, de 17 de octubre; 228/2003 y 230/2003, ambas de 18 de diciembre).</w:t>
      </w:r>
    </w:p>
    <w:p w:rsidR="0026452D" w:rsidRDefault="0026452D" w:rsidP="0026452D">
      <w:pPr>
        <w:pStyle w:val="TextoNormal"/>
      </w:pPr>
    </w:p>
    <w:p w:rsidR="0026452D" w:rsidRDefault="0026452D" w:rsidP="0026452D">
      <w:pPr>
        <w:pStyle w:val="TextoNormal"/>
      </w:pPr>
      <w:r>
        <w:t xml:space="preserve">Más adelante, en el fundamento jurídico 6 de la misma Sentencia ratificamos esta idea señalando que “distinto es el alcance de la competencia estatal para sentar bases de la planificación general de la actividad económica, pues ésta sí permite que el Estado, en aras de una finalidad que persigue garantizar, imponga una decisión normativa o ejecutiva que la instancia autonómica ha de tomar en cuenta al actuar una materia de su competencia exclusiva.” E, igualmente y por remisión a la STC 186/1988, de 17 de octubre, FJ 8, aludimos a los límites a los que ha de ajustarse la competencia estatal </w:t>
      </w:r>
      <w:r w:rsidRPr="0026452D">
        <w:rPr>
          <w:i/>
        </w:rPr>
        <w:t>ex</w:t>
      </w:r>
      <w:r>
        <w:t xml:space="preserve"> art. 149.1.13 CE, indicando que “la ordenación general de la economía hace posible la intervención del Estarlo a través de medidas económicas en sectores materialmente atribuidos a la competencia de las Comunidades Autónomas, que no pueden quedar en ningún caso vacías de contenido a causa de la intervención estatal, que, a su vez, llegará hasta donde lo exija el principio que instrumenta, límite éste cuya observancia se deduce partiendo de la finalidad perseguida por las </w:t>
      </w:r>
      <w:r>
        <w:lastRenderedPageBreak/>
        <w:t>medidas en cada caso adoptadas”. Así, el primer límite asegura que el ejercicio de la competencia estatal no elimina por completo la competencia autonómica colindante y la segunda de las condiciones, al requerir que haya un principio al que se encamine la intervención estatal y que ésta llegue solo hasta donde lo exija aquél, refleja el carácter directivo como nota que identifica las bases de la planificación general de la actividad económica y las distingue de la noción general de bases.</w:t>
      </w:r>
    </w:p>
    <w:p w:rsidR="0026452D" w:rsidRDefault="0026452D" w:rsidP="0026452D">
      <w:pPr>
        <w:pStyle w:val="TextoNormal"/>
      </w:pPr>
    </w:p>
    <w:p w:rsidR="0026452D" w:rsidRDefault="0026452D" w:rsidP="0026452D">
      <w:pPr>
        <w:pStyle w:val="TextoNormal"/>
      </w:pPr>
      <w:r>
        <w:t>Es pues conforme a los anteriores criterios como habremos de determinar si el impugnado art. 120 de la Ley 62/2003 contiene objetivos de política sectorial que el Estado puede legítimamente establecer y no va más allá de tales objetivos, pues, en caso contrario, al vaciar o menoscabar la competencia autonómica con la que se relaciona, sería contrario al orden constitucional de distribución de competencias.</w:t>
      </w:r>
    </w:p>
    <w:p w:rsidR="0026452D" w:rsidRDefault="0026452D" w:rsidP="0026452D">
      <w:pPr>
        <w:pStyle w:val="TextoNormal"/>
      </w:pPr>
    </w:p>
    <w:p w:rsidR="0026452D" w:rsidRDefault="0026452D" w:rsidP="0026452D">
      <w:pPr>
        <w:pStyle w:val="TextoNormal"/>
      </w:pPr>
      <w:r>
        <w:t>Pues bien, entrando ya en el enjuiciamiento de la concreta cuestión controvertida, debemos partir de la constatación de que la decisión de aplicar el régimen de pago único a escala nacional supone calcular los importes de referencia de las ayudas en dicho ámbito, lo que, a su vez, implica que las ayudas a percibir por los agricultores se fijen sobre bases uniformes aplicables en todo el territorio nacional y a partir de una única cantidad establecida en función del importe total de ayudas asignado a cada Estado miembro, importe resultante de la aplicación de los criterios establecidos por la normativa comunitaria. Se trata de una previsión estructural y conformadora del sistema de ayudas a un sector económico como el agrícola, con una orientación eminentemente directiva que ha de ser indudablemente calificada como básica y que cumple, además, una función coordinadora, en la medida en la que, con la obligada adopción de este régimen de ayudas, se propone una simplificación y agrupación de muchas de ellas con una evidente trascendencia de reordenación nacional común del sistema de ayudas a la agricultura. Sistema que, como ya hemos visto, se orienta hacia un pago único disociado de los cultivos concretos que produce como resultado una suma final agregada que será la cuantía que España tiene reconocida ante la Unión Europea y que constituirá su referente máximo para determinar si se ha producido un eventual incumplimiento por superación de los máximos autorizados, con las consiguientes penalizaciones. Todo lo cual justifica que sólo pueda ser ordenado a partir de un criterio común en relación con la forma de determinar las ayudas a percibir que enlaza derechamente con las competencias exclusivas del Estado reconocidas en el art. 149.1.13 CE.</w:t>
      </w:r>
    </w:p>
    <w:p w:rsidR="0026452D" w:rsidRDefault="0026452D" w:rsidP="0026452D">
      <w:pPr>
        <w:pStyle w:val="TextoNormal"/>
      </w:pPr>
    </w:p>
    <w:p w:rsidR="0026452D" w:rsidRDefault="0026452D" w:rsidP="0026452D">
      <w:pPr>
        <w:pStyle w:val="TextoNormal"/>
      </w:pPr>
      <w:r>
        <w:t>Es innegable, por tanto, que, en consideración a su alcance, y en aplicación de la doctrina constitucional reseñada, las previsiones en cuestión encuentran acomodo en el art. 149.1.13 CE, sin que, de otro lado, resulte aquí improcedente la remisión a una regulación por reglamento, que habrá de ser complemento indispensable de la genérica regulación legal. Ello sin perjuicio, claro está, de que todo hipotético desbordamiento competencial a la hora de dictar tal reglamentación pueda ser residenciado ante este Tribunal por el cauce del conflicto de competencias.</w:t>
      </w:r>
    </w:p>
    <w:p w:rsidR="0026452D" w:rsidRDefault="0026452D" w:rsidP="0026452D">
      <w:pPr>
        <w:pStyle w:val="TextoNormal"/>
      </w:pPr>
    </w:p>
    <w:p w:rsidR="0026452D" w:rsidRDefault="0026452D" w:rsidP="0026452D">
      <w:pPr>
        <w:pStyle w:val="TextoNormal"/>
      </w:pPr>
      <w:r>
        <w:t xml:space="preserve">Señalado lo anterior cumple realizar dos precisiones adicionales. La primera es que el precepto nada dice ni prejuzga respecto a cuál sea la Administración competente para gestionar este nuevo sistema de ayudas agrícolas, por lo que, desde esta perspectiva, tampoco es posible apreciar que se vulneran las competencias autonómicas, pues es claro que la decisión estatal no ha eliminado las competencias autonómicas en la materia, sino que se ha limitado a establecer el presupuesto a partir del que las mismas han de ejercerse. En segundo </w:t>
      </w:r>
      <w:r>
        <w:lastRenderedPageBreak/>
        <w:t>lugar, ha de advertirse que el planteamiento procesal de la Generalitat de Cataluña, según el cual la regionalización de los pagos hubiera debido corresponder a la Comunidad Autónoma, no puede ser aceptado en ningún caso, pues también la decisión de regionalizar este régimen de ayudas comunitarias, en cuanto conformadora del mismo, hubiera debido ser adoptada por el Estado al amparo del art. 149.1.13 CE, sin perjuicio de que ya hayamos considerado que la adopción del criterio relativo a la aplicación del régimen de ayudas agrícolas en todo el territorio nacional es conforme al orden constitucional de distribución de competencias.</w:t>
      </w:r>
    </w:p>
    <w:p w:rsidR="0026452D" w:rsidRDefault="0026452D" w:rsidP="0026452D">
      <w:pPr>
        <w:pStyle w:val="TextoNormal"/>
      </w:pPr>
    </w:p>
    <w:p w:rsidR="0026452D" w:rsidRDefault="0026452D" w:rsidP="0026452D">
      <w:pPr>
        <w:pStyle w:val="TextoNormal"/>
      </w:pPr>
      <w:r w:rsidRPr="0026452D">
        <w:rPr>
          <w:rStyle w:val="NumeroAFNegritaCaracter"/>
        </w:rPr>
        <w:t>6</w:t>
      </w:r>
      <w:r>
        <w:t>. El siguiente precepto impugnado es el art. 122, en cuya virtud se añade un nuevo párrafo al apartado 2 del art. 127 del texto refundido de la Ley de aguas, aprobado por Real Decreto Legislativo 1/2001, de 20 de julio, con la siguiente redacción: “El informe previo será emitido, a petición del Ministerio de Medio Ambiente o sus organismos autónomos, por las entidades locales afectadas por las obras. El informe deberá pronunciarse exclusivamente sobre aspectos relacionados con el planeamiento urbanístico y se entenderá favorable si no se emite y notifica en el plazo de un mes.”</w:t>
      </w:r>
    </w:p>
    <w:p w:rsidR="0026452D" w:rsidRDefault="0026452D" w:rsidP="0026452D">
      <w:pPr>
        <w:pStyle w:val="TextoNormal"/>
      </w:pPr>
    </w:p>
    <w:p w:rsidR="0026452D" w:rsidRDefault="0026452D" w:rsidP="0026452D">
      <w:pPr>
        <w:pStyle w:val="TextoNormal"/>
      </w:pPr>
      <w:r>
        <w:t>Los Letrados de la Generalitat de Cataluña cuestionan que el informe municipal al que el precepto hace referencia haya de limitarse exclusivamente a aspectos relacionados con el planeamiento urbanístico, lo que resultaría excluyente del resto de competencias municipales y contrario al principio de autonomía local de los arts. 137 y 140 CE. El Abogado del Estado niega la vulneración que se denuncia señalando que se trata de una mera precisión técnica de la regulación anterior, que ya se refería a los órganos urbanísticos municipales y a la notificación del proyecto de obra para la eventual modificación del planeamiento.</w:t>
      </w:r>
    </w:p>
    <w:p w:rsidR="0026452D" w:rsidRDefault="0026452D" w:rsidP="0026452D">
      <w:pPr>
        <w:pStyle w:val="TextoNormal"/>
      </w:pPr>
    </w:p>
    <w:p w:rsidR="0026452D" w:rsidRDefault="0026452D" w:rsidP="0026452D">
      <w:pPr>
        <w:pStyle w:val="TextoNormal"/>
      </w:pPr>
      <w:r>
        <w:t>La previsión impugnada se inserta dentro de un marco normativo más general que regula lo que el art. 127 del texto refundido de la Ley de aguas denomina las “prerrogativas de la obra hidráulica de interés general”, disponiendo que las obras hidráulicas de interés general y las obras y actuaciones hidráulicas de ámbito supramunicipal, incluidas en la planificación hidrológica, y que no agoten su funcionalidad en el término municipal en donde se ubiquen, no estarán sujetas a licencia ni a cualquier acto de control preventivo municipal. Del mismo modo, establece que los órganos urbanísticos competentes no podrán suspender la ejecución de las obras siempre que se cumplan los siguientes requisitos: que se haya cumplido el trámite de informe previo, que esté debidamente aprobado el proyecto técnico por el órgano competente, las obras se ajusten a dicho proyecto o a sus modificaciones y se haya hecho la comunicación a las entidades locales afectadas por las obras, a fin de que se inicie, en su caso, el procedimiento de modificación del planeamiento urbanístico municipal para adaptarlo a las nuevas infra estructuras.</w:t>
      </w:r>
    </w:p>
    <w:p w:rsidR="0026452D" w:rsidRDefault="0026452D" w:rsidP="0026452D">
      <w:pPr>
        <w:pStyle w:val="TextoNormal"/>
      </w:pPr>
    </w:p>
    <w:p w:rsidR="0026452D" w:rsidRDefault="0026452D" w:rsidP="0026452D">
      <w:pPr>
        <w:pStyle w:val="TextoNormal"/>
      </w:pPr>
      <w:r>
        <w:t>En ese contexto, lo que se plantea ahora es un problema relativo al carácter de la intervención municipal respecto a obras de infraestructura promovidas por otra Administración pública, razón por la que debemos recordar la doctrina de este Tribunal en la que tenemos declarado (STC 40/1998, de 19 de febrero, FJ 39, citada en la STC 204/2002, de 31 de octubre, FJ 13):</w:t>
      </w:r>
    </w:p>
    <w:p w:rsidR="0026452D" w:rsidRDefault="0026452D" w:rsidP="0026452D">
      <w:pPr>
        <w:pStyle w:val="TextoNormal"/>
      </w:pPr>
    </w:p>
    <w:p w:rsidR="0026452D" w:rsidRDefault="0026452D" w:rsidP="0026452D">
      <w:pPr>
        <w:pStyle w:val="TextoNormal"/>
      </w:pPr>
      <w:r>
        <w:t xml:space="preserve">“Este derecho de intervención en los asuntos de su competencia forma, por tanto, el núcleo primigenio de la autonomía local. No obstante, este Tribunal ha señalado igualmente </w:t>
      </w:r>
      <w:r>
        <w:lastRenderedPageBreak/>
        <w:t>que la Constitución no asegura un contenido concreto o un ámbito competencial determinado y que no cabe hablar de ‘intereses naturales de los entes locales’ (STC 32/1981), sino que, ‘más allá de este límite de contenido mínimo que protege la garantía institucional, la autonomía local es un concepto jurídico de contenido legal, que permite, por tanto, configuraciones legales diversas, válidas en cuanto respeten aquella garantía institucional’ (STC 170/1989, FJ 9), de manera que corresponde al legislador la determinación concreta del contenido de la autonomía local, respetando el núcleo esencial de la garantía institucional de dicha autonomía (SSTC 259/1988, 214/1989 y 46/1992) y sin romper con la ‘imagen comúnmente aceptada de la institución que, en cuanto formación jurídica, viene determinada en buena parte por las normas que en cada momento la regulan y la aplicación que de las mismas se hace’ (STC 32/1981, FJ 3).</w:t>
      </w:r>
    </w:p>
    <w:p w:rsidR="0026452D" w:rsidRDefault="0026452D" w:rsidP="0026452D">
      <w:pPr>
        <w:pStyle w:val="TextoNormal"/>
      </w:pPr>
    </w:p>
    <w:p w:rsidR="0026452D" w:rsidRDefault="0026452D" w:rsidP="0026452D">
      <w:pPr>
        <w:pStyle w:val="TextoNormal"/>
      </w:pPr>
      <w:r>
        <w:t>No es necesario argumentar particularmente que, entre los asuntos de interés de los municipios y a los que por tanto se extienden sus competencias, está el urbanismo. Así lo ha precisado el legislador estatal al disponer en el art. 25.2 d) de la Ley de bases de régimen local que el municipio ejercerá sus competencias en materia de ‘ordenación, gestión, ejecución y disciplina urbanística’ y al prever en el art. 84.1 b) de la misma Ley el sometimiento de la actividad de los ciudadanos ‘a previa licencia y a otros actos de control preventivo’. Por lo que a este último precepto se refiere, conviene hacer notar como, dentro de las competencias de ejecución que los municipios ostentan en esta materia y, más en concreto, de la competencia para asegurar que los usos del suelo se acomodan a la Ley y a los planes de ordenación urbana, se encuentra, con carácter prototípico, la licencia municipal, que es uno de los actos administrativos más enraizados en la actividad de los entes locales.</w:t>
      </w:r>
    </w:p>
    <w:p w:rsidR="0026452D" w:rsidRDefault="0026452D" w:rsidP="0026452D">
      <w:pPr>
        <w:pStyle w:val="TextoNormal"/>
      </w:pPr>
    </w:p>
    <w:p w:rsidR="0026452D" w:rsidRDefault="0026452D" w:rsidP="0026452D">
      <w:pPr>
        <w:pStyle w:val="TextoNormal"/>
      </w:pPr>
      <w:r>
        <w:t>De todo ello no puede, sin embargo, colegirse que la intervención del municipio en los casos de ejecución de obras que deben realizarse en su término tenga que traducirse, sin excepción alguna, en el otorgamiento de la correspondiente licencia urbanística. Es cierto que, como dispone el art. 84.1 b) LBRL, esa será la solución normal por lo que a la actividad de los ciudadanos se refiere, e incluso deberá ser también la regla general en el caso de obras que deban realizarse por otras Administraciones, pero no puede considerarse que atente contra la autonomía que garantiza el art. 137 CE el que el legislador disponga que, cuando existan razones que así lo justifiquen, la intervención municipal se articule por medio de otros procedimientos adecuados para garantizar el respeto a los planes de ordenación urbanística. En efecto, como se ha indicado, el art. 19 LPMM sustrae al control preventivo municipal ‘las obras de nueva construcción, reparación y conservación que se realicen en dominio público portuario por las Autoridades Portuarias’ (apartado 3). No obstante, la Ley no excluye la intervención del municipio, el cual debe emitir un informe sobre la adecuación de tales obras al plan especial de ordenación del espacio portuario (apartado 1). Se garantiza, por tanto, la intervención del ente local tal y como exige la garantía institucional de la autonomía municipal, por lo que no puede apreciarse un menoscabo ilegítimo de la misma.”</w:t>
      </w:r>
    </w:p>
    <w:p w:rsidR="0026452D" w:rsidRDefault="0026452D" w:rsidP="0026452D">
      <w:pPr>
        <w:pStyle w:val="TextoNormal"/>
      </w:pPr>
    </w:p>
    <w:p w:rsidR="0026452D" w:rsidRDefault="0026452D" w:rsidP="0026452D">
      <w:pPr>
        <w:pStyle w:val="TextoNormal"/>
      </w:pPr>
      <w:r>
        <w:t xml:space="preserve">Con apoyo en la doctrina anterior hemos indicado en el ATC 251/2009, de 13 de octubre, FJ 3, que “ninguna duda ofrece el hecho de que el principio general del sometimiento a licencia de todas las obras que se realicen en el término municipal, incluso cuando se llevan a cabo por los órganos de otra Administración pública, admite modulaciones siempre que no impliquen la exclusión absoluta de los actos de control preventivo municipal”, añadiendo en el fundamento jurídico 5, con cita de las SSTC 40/1998 y 204/2002, que “en ambas </w:t>
      </w:r>
      <w:r>
        <w:lastRenderedPageBreak/>
        <w:t>admitimos la facultad del Estado de incidir sobre la competencia urbanística municipal, sustituyendo la exigencia de previa licencia por un informe acerca de la conformidad de la obra prevista con el planeamiento, como aquí ocurre, pues ‘no puede considerarse que atente contra la autonomía que garantiza el art. 137 CE el que el legislador disponga que, cuando existan razones que así lo justifiquen, la intervención municipal se articule por medio de otros procedimientos adecuados para garantizar el respeto a los planes de ordenación urbanística’ (STC 40/1998, de 19 de febrero, FJ 39). Es decir, según la mencionada doctrina, la posibilidad de que las competencias sectoriales de otras Administraciones públicas y, por tanto, de las Comunidades Autónomas, incidan sobre la competencia urbanística municipal determinando la exclusión de la licencia que, en otro caso, sería preceptiva, exige que se garantice algún modo de intervención del ente local, intervención que puede consistir en la emisión de un informe sobre la adecuación de las obras previstas a los planes de ordenación urbanística.”</w:t>
      </w:r>
    </w:p>
    <w:p w:rsidR="0026452D" w:rsidRDefault="0026452D" w:rsidP="0026452D">
      <w:pPr>
        <w:pStyle w:val="TextoNormal"/>
      </w:pPr>
    </w:p>
    <w:p w:rsidR="0026452D" w:rsidRDefault="0026452D" w:rsidP="0026452D">
      <w:pPr>
        <w:pStyle w:val="TextoNormal"/>
      </w:pPr>
      <w:r>
        <w:t>Doctrina que hemos reiterado en el ATC 9/2013, de 15 de enero, FJ 5, y que, trasladada al presente caso, nos proporciona criterios suficientes para resolver la impugnación que se nos plantea.</w:t>
      </w:r>
    </w:p>
    <w:p w:rsidR="0026452D" w:rsidRDefault="0026452D" w:rsidP="0026452D">
      <w:pPr>
        <w:pStyle w:val="TextoNormal"/>
      </w:pPr>
    </w:p>
    <w:p w:rsidR="0026452D" w:rsidRDefault="0026452D" w:rsidP="0026452D">
      <w:pPr>
        <w:pStyle w:val="TextoNormal"/>
      </w:pPr>
      <w:r>
        <w:t>Admitida en los términos expuestos la constitucionalidad de la exención de licencia y su sustitución por la técnica del informe previo de las corporaciones locales acerca de la adecuación de las obras previstas a los planes de ordenación urbanística, es de advertir, además, que el inciso cuestionado no es un contenido normativo aislable del propio apartado 2 en su totalidad, ni tampoco de los apartados 1 y 3, por lo que la separación de este inciso, a efectos de su impugnación, supone una forzada descomposición del contenido total del precepto, que no resulta convincente. El art. 127.2 del texto refundido de la Ley de aguas se refiere específicamente a la actuación de los órganos urbanísticos competentes en relación con las obras hidráulicas de interés general en cuanto que señala que tales órganos no podrán suspender la ejecución de las obras hidráulicas, siempre que, entre otras circunstancias, se haya cumplido el trámite del informe previo, sustitutivo de la licencia o de cualquier acto de control preventivo municipal, extremo este que no plantea problemas conforme a nuestra doctrina. Por tanto, refiriéndose dicha regulación a los aspectos urbanísticos, como evidencia la mención a los órganos municipales encargados de tal función, es lógico que el informe que se solicita a esos órganos municipales haya de referirse a tales aspectos. Lo que en el fondo se está demandando es el pronunciamiento de la corporación local sobre los aspectos urbanísticos que puedan verse afectados por la obra,—entre los que se encuentran los sistemas generales que afectan al suministro de aguas y al tratamiento de aguas residuales, mencionados expresamente por la demanda—, a los efectos tanto de respetar la intervención local en la planificación de la obra hidráulica de interés general, como también de lo previsto en el art. 127.3, relativo a la eventual modificación del planeamiento en caso de verse éste afectado por la aprobación de los proyectos de las citadas obras hidráulicas de interés general.</w:t>
      </w:r>
    </w:p>
    <w:p w:rsidR="0026452D" w:rsidRDefault="0026452D" w:rsidP="0026452D">
      <w:pPr>
        <w:pStyle w:val="TextoNormal"/>
      </w:pPr>
    </w:p>
    <w:p w:rsidR="0026452D" w:rsidRDefault="0026452D" w:rsidP="0026452D">
      <w:pPr>
        <w:pStyle w:val="TextoNormal"/>
      </w:pPr>
      <w:r>
        <w:t>En mérito de lo expuesto la impugnación del art. 122 de la Ley 62/2003, en cuanto añade un nuevo párrafo al apartado 2 del art. 127 del texto refundido de la Ley de aguas, debe ser desestimada.</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7</w:t>
      </w:r>
      <w:r>
        <w:t>. Analizaremos ahora la controversia trabada respecto al art. 127 en cuanto añade una disposición adicional cuarta al Real Decreto Legislativo 1302/1986, de 28 de junio, de evaluación de impacto ambiental.</w:t>
      </w:r>
    </w:p>
    <w:p w:rsidR="0026452D" w:rsidRDefault="0026452D" w:rsidP="0026452D">
      <w:pPr>
        <w:pStyle w:val="TextoNormal"/>
      </w:pPr>
    </w:p>
    <w:p w:rsidR="0026452D" w:rsidRDefault="0026452D" w:rsidP="0026452D">
      <w:pPr>
        <w:pStyle w:val="TextoNormal"/>
      </w:pPr>
      <w:r>
        <w:t>La disposición adicional cuarta introducida por el art. 127.3 de la Ley 62/2003, objeto del presente recurso, en el Real Decreto Legislativo 1302/1986, de 28 de junio, disponía:</w:t>
      </w:r>
    </w:p>
    <w:p w:rsidR="0026452D" w:rsidRDefault="0026452D" w:rsidP="0026452D">
      <w:pPr>
        <w:pStyle w:val="TextoNormal"/>
      </w:pPr>
    </w:p>
    <w:p w:rsidR="0026452D" w:rsidRDefault="0026452D" w:rsidP="0026452D">
      <w:pPr>
        <w:pStyle w:val="TextoNormal"/>
      </w:pPr>
      <w:r>
        <w:t>“1. La evaluación a que se refiere el apartado 3 del artículo 6 del Real Decreto 1997/1995, de 7 de diciembre, por el que se establecen medidas para contribuir a garantizar la biodiversidad mediante la conservación de los hábitats naturales y de la fauna silvestres, relativa a planes y proyectos autorizados por la Administración General del Estado y sometidos, a su vez, a evaluación de impacto ambiental, se entenderá incluida en el procedimiento previsto por el Real Decreto Legislativo 1302/1986, de 28 de junio, de Evaluación de Impacto Ambiental.</w:t>
      </w:r>
    </w:p>
    <w:p w:rsidR="0026452D" w:rsidRDefault="0026452D" w:rsidP="0026452D">
      <w:pPr>
        <w:pStyle w:val="TextoNormal"/>
      </w:pPr>
    </w:p>
    <w:p w:rsidR="0026452D" w:rsidRDefault="0026452D" w:rsidP="0026452D">
      <w:pPr>
        <w:pStyle w:val="TextoNormal"/>
      </w:pPr>
      <w:r>
        <w:t>2. A la vista de las conclusiones de la evaluación de impacto sobre las zonas de la Red Natura 2000, y supeditado a lo dispuesto en el apartado 4 del artículo 6 del citado Real Decreto, el Ministerio de Medio Ambiente fijará las medidas compensatorias necesarias para garantizar la coherencia global de Natura 2000. Para su definición, se consultará preceptivamente al órgano competente de la Comunidad Autónoma en la que se localice el proyecto cuyo parecer podrá ser incorporado a la Declaración de Impacto ambiental que emita el órgano ambiental estatal. El plazo para la evacuación de dicho informe será de 30 días. Transcurrido dicho plazo sin que se hubiera emitido el informe, el órgano ambiental estatal podrá proseguir las actuaciones.</w:t>
      </w:r>
    </w:p>
    <w:p w:rsidR="0026452D" w:rsidRDefault="0026452D" w:rsidP="0026452D">
      <w:pPr>
        <w:pStyle w:val="TextoNormal"/>
      </w:pPr>
    </w:p>
    <w:p w:rsidR="0026452D" w:rsidRDefault="0026452D" w:rsidP="0026452D">
      <w:pPr>
        <w:pStyle w:val="TextoNormal"/>
      </w:pPr>
      <w:r>
        <w:t>3. La remisión, en su caso, de la información a la Comisión Europea sobre las medidas compensatorias que hayan adoptado se llevará a cabo por el Ministerio de Medio Ambiente en los términos previstos en el artículo 10 de la Ley 30/1992, de 26 de noviembre, de Régimen Jurídico de las Administraciones Públicas y del Procedimiento Administrativo Común.”</w:t>
      </w:r>
    </w:p>
    <w:p w:rsidR="0026452D" w:rsidRDefault="0026452D" w:rsidP="0026452D">
      <w:pPr>
        <w:pStyle w:val="TextoNormal"/>
      </w:pPr>
    </w:p>
    <w:p w:rsidR="0026452D" w:rsidRDefault="0026452D" w:rsidP="0026452D">
      <w:pPr>
        <w:pStyle w:val="TextoNormal"/>
      </w:pPr>
      <w:r>
        <w:t>Los Letrados de la Generalitat de Cataluña afirman que esta regulación es contraria al orden constitucional de distribución de competencias, puesto que debería corresponder a la Comunidad Autónoma en el ejercicio de sus competencias en materia de gestión ambiental y de espacios naturales protegidos. Por el contrario, el Abogado del Estado considera que la regulación es constitucional pues, tal y como afirmó el Tribunal en su Sentencia 13/1998, la competencia para la realización de la evaluación de impacto ambiental va ligada a la competencia sustantiva a la que se refiere el proyecto que se sujeta a evaluación, siendo esta doctrina plenamente aplicable a la evaluación de la repercusión de proyectos en los espacios de la Red Natura 2000.</w:t>
      </w:r>
    </w:p>
    <w:p w:rsidR="0026452D" w:rsidRDefault="0026452D" w:rsidP="0026452D">
      <w:pPr>
        <w:pStyle w:val="TextoNormal"/>
      </w:pPr>
    </w:p>
    <w:p w:rsidR="0026452D" w:rsidRDefault="0026452D" w:rsidP="0026452D">
      <w:pPr>
        <w:pStyle w:val="TextoNormal"/>
      </w:pPr>
      <w:r>
        <w:t>La controversia aquí planteada ha sido resuelta por este Tribunal Constitucional en la ya citada STC 149/2012, de 5 de julio, FJ 3, así como en la STC 59/2013, de 13 de marzo.</w:t>
      </w:r>
    </w:p>
    <w:p w:rsidR="0026452D" w:rsidRDefault="0026452D" w:rsidP="0026452D">
      <w:pPr>
        <w:pStyle w:val="TextoNormal"/>
      </w:pPr>
    </w:p>
    <w:p w:rsidR="0026452D" w:rsidRDefault="0026452D" w:rsidP="0026452D">
      <w:pPr>
        <w:pStyle w:val="TextoNormal"/>
      </w:pPr>
      <w:r>
        <w:t>En la primera de las citadas, tras analizar la regulación impugnada y su contexto normativo, concluimos, en relación con la denunciada vulneración de las competencias autonómicas sobre medio ambiente, lo siguiente:</w:t>
      </w:r>
    </w:p>
    <w:p w:rsidR="0026452D" w:rsidRDefault="0026452D" w:rsidP="0026452D">
      <w:pPr>
        <w:pStyle w:val="TextoNormal"/>
      </w:pPr>
    </w:p>
    <w:p w:rsidR="0026452D" w:rsidRDefault="0026452D" w:rsidP="0026452D">
      <w:pPr>
        <w:pStyle w:val="TextoNormal"/>
      </w:pPr>
      <w:r>
        <w:lastRenderedPageBreak/>
        <w:t>“En definitiva, la evaluación ambiental de las zonas especiales de conservación es una técnica muy similar a la evaluación de impacto ambiental, pues al igual que ésta tiene por finalidad que las Administraciones públicas valoren la afección al medio ambiente —aunque en este caso, la valoración se limite a la afección a un elemento específico del medio ambiente— cuando hayan de decidir acerca de la autorización o aprobación de un plan o proyecto que puedan afectar de forma apreciable a espacios de la Red Natura 2000. Es decir, se trata de un informe sectorial que determina la conveniencia o no de realizar determinadas obras o actividades desde la perspectiva de sus repercusiones sobre este tipo de espacios. Obras y actividades que —como hemos dicho en relación con la evaluación de impacto ambiental— están sometidas por la Constitución y los Estatutos de Autonomía a sus propios títulos competenciales. Títulos competenciales que atraen al medioambiental (STC 13/1998, FJ 8) y, por tanto, también a la evaluación ambiental de los planes y proyectos que puedan afectar de forma apreciable a espacios de la Red Natura. Es, por tanto, acorde con la distribución constitucional de competencias que la legislación atribuya a la Administración del Estado la realización de la evaluación ambiental de las zonas especiales de conservación en aquellos casos en los que el plan o proyecto debe ser autorizado o aprobado por ella tras la realización de la correspondiente evaluación de impacto ambiental integrándose, en estos casos, dada su naturaleza sectorial, la evaluación ambiental de la zona especial de conservación —como técnica específica de evaluación— en la más general de la evaluación de impacto ambiental, garantizándose, en todo caso, la consulta —por la vía del informe preceptivo— a las Comunidades Autónomas en cuyo territorio se ubique el proyecto en cuestión.</w:t>
      </w:r>
    </w:p>
    <w:p w:rsidR="0026452D" w:rsidRDefault="0026452D" w:rsidP="0026452D">
      <w:pPr>
        <w:pStyle w:val="TextoNormal"/>
      </w:pPr>
    </w:p>
    <w:p w:rsidR="0026452D" w:rsidRDefault="0026452D" w:rsidP="0026452D">
      <w:pPr>
        <w:pStyle w:val="TextoNormal"/>
      </w:pPr>
      <w:r>
        <w:t>Por todo lo anterior, el art. 127 de la Ley 62/2003 en cuanto añade una disposición adicional cuarta al Real Decreto Legislativo 1302/1986, de 28 de junio, de evaluación de impacto ambiental, no se reputa inconstitucional.”</w:t>
      </w:r>
    </w:p>
    <w:p w:rsidR="0026452D" w:rsidRDefault="0026452D" w:rsidP="0026452D">
      <w:pPr>
        <w:pStyle w:val="TextoNormal"/>
      </w:pPr>
    </w:p>
    <w:p w:rsidR="0026452D" w:rsidRDefault="0026452D" w:rsidP="0026452D">
      <w:pPr>
        <w:pStyle w:val="TextoNormal"/>
      </w:pPr>
      <w:r>
        <w:t>Doctrina que debemos reiterar aquí y que conduce a la desestimación del recurso en lo que respecta a la denunciada vulneración de las competencias autonómicas de gestión ambiental.</w:t>
      </w:r>
    </w:p>
    <w:p w:rsidR="0026452D" w:rsidRDefault="0026452D" w:rsidP="0026452D">
      <w:pPr>
        <w:pStyle w:val="TextoNormal"/>
      </w:pPr>
    </w:p>
    <w:p w:rsidR="0026452D" w:rsidRDefault="0026452D" w:rsidP="0026452D">
      <w:pPr>
        <w:pStyle w:val="TextoNormal"/>
      </w:pPr>
      <w:r>
        <w:t xml:space="preserve">La misma doctrina, “según la cual el elemento determinante del encuadre competencial de este tipo de certificación es su vínculo finalista con la decisión de realizar o no la obra o actividad cuyas consecuencias se evalúan (‘se trata de un informe sectorial que determina la conveniencia o no de realizar determinadas obras o actividades desde la perspectiva de sus repercusiones sobre este tipo de espacios’), es igualmente decisiva cuando el conflicto se traba entre la competencia sustantiva estatal que da cobertura a la obra o actividad y la competencia autonómica exclusiva sobre espacios naturales protegidos, procediendo, por tanto, que declaremos que esta clase específica de evaluación ambiental es una materia que se incardina en el primer título y no en el segundo” (STC 59/2013, de 13 de marzo, FJ 3). Así la evaluación de la repercusión que para un lugar concreto conlleva una obra o actividad, cuando está orientada a facilitar al órgano competente sobre ella la información ambiental específica para decidir si se realiza o no y, en su caso, en qué condiciones se hace, se sitúa extramuros de las competencias autonómicas sobre espacios naturales protegidos, pues, como señalamos en la misma sentencia y fundamento jurídico “la evaluación de la repercusión que para un lugar concreto conlleva una obra o actividad cuando está orientada a facilitar al órgano competente sobre ella la información ambiental específica para decidir si se realiza o no y, en su caso, en qué condiciones se hace, pues una evaluación así configurada </w:t>
      </w:r>
      <w:r>
        <w:lastRenderedPageBreak/>
        <w:t>tiene una finalidad estrechamente vinculada con la obra o actividad de que se trate, cual es que todos los entes públicos valoren el medio ambiente, en este caso un elemento específico del medio ambiente, cuando ejercen sus atribuciones sobre cualquiera de las obras, instalaciones u otras actividades de su competencia, valoración ambiental que, como no podía ser de otra manera, debe tener en cuenta los objetivos de conservación del lugar de que se trate, como expresamente constata tanto el art. 6.3 del Real Decreto 1997/1995 como el apartado 1 de la disposición adicional cuarta del Real Decreto Legislativo 1/2008.”</w:t>
      </w:r>
    </w:p>
    <w:p w:rsidR="0026452D" w:rsidRDefault="0026452D" w:rsidP="0026452D">
      <w:pPr>
        <w:pStyle w:val="TextoNormal"/>
      </w:pPr>
    </w:p>
    <w:p w:rsidR="0026452D" w:rsidRDefault="0026452D" w:rsidP="0026452D">
      <w:pPr>
        <w:pStyle w:val="TextoNormal"/>
      </w:pPr>
      <w:r>
        <w:t>En suma, por todo lo expuesto la impugnación del art. 127 de la Ley 62/2003 ha de ser desestimada.</w:t>
      </w:r>
    </w:p>
    <w:p w:rsidR="0026452D" w:rsidRDefault="0026452D" w:rsidP="0026452D">
      <w:pPr>
        <w:pStyle w:val="TextoNormal"/>
      </w:pPr>
    </w:p>
    <w:p w:rsidR="0026452D" w:rsidRDefault="0026452D" w:rsidP="0026452D">
      <w:pPr>
        <w:pStyle w:val="TextoNormal"/>
      </w:pPr>
      <w:r w:rsidRPr="0026452D">
        <w:rPr>
          <w:rStyle w:val="NumeroAFNegritaCaracter"/>
        </w:rPr>
        <w:t>8</w:t>
      </w:r>
      <w:r>
        <w:t>. Cumple ahora referirnos al art. 128.2, que modifica el párrafo segundo del apartado 4 del art. 27 de la Ley 10/1998, de residuos. El mencionado precepto de la Ley 10/1998 venía a establecer que los titulares de actividades potencialmente contaminantes del suelo debían remitir periódicamente a la Comunidad Autónoma correspondiente informes de situación en los que figuren los datos relativos a los criterios que sirvan de base para la declaración de suelos contaminados. La modificación efectuada por la Ley 62/2003 en el citado precepto, dispone que la remisión de los citados informes de situación, se efectuará por los titulares de actividades potencialmente contaminantes, “tras una evaluación preliminar, cuyo contenido será fijado por el Consejo de Ministros, previa consulta a las Comunidades Autónomas”.</w:t>
      </w:r>
    </w:p>
    <w:p w:rsidR="0026452D" w:rsidRDefault="0026452D" w:rsidP="0026452D">
      <w:pPr>
        <w:pStyle w:val="TextoNormal"/>
      </w:pPr>
    </w:p>
    <w:p w:rsidR="0026452D" w:rsidRDefault="0026452D" w:rsidP="0026452D">
      <w:pPr>
        <w:pStyle w:val="TextoNormal"/>
      </w:pPr>
      <w:r>
        <w:t>A juicio de la Comunidad Autónoma, la introducción de ese trámite previo de “evaluación preliminar” supone una ampliación de la potestad normativa del Consejo de Ministros, que vulnera el reparto competencial en materia de medio ambiente, en cuanto condiciona y determina el contenido del informe de situación, y constituye un acto de mera gestión que limita la competencia de la Comunidad Autónoma para declarar, delimitar, inventariar y elaborar la lista de prioridades de actuación, sobre la base de los datos que considere que deba suministrar el propietario, en ejercicio de su propia competencia.</w:t>
      </w:r>
    </w:p>
    <w:p w:rsidR="0026452D" w:rsidRDefault="0026452D" w:rsidP="0026452D">
      <w:pPr>
        <w:pStyle w:val="TextoNormal"/>
      </w:pPr>
    </w:p>
    <w:p w:rsidR="0026452D" w:rsidRDefault="0026452D" w:rsidP="0026452D">
      <w:pPr>
        <w:pStyle w:val="TextoNormal"/>
      </w:pPr>
      <w:r>
        <w:t>El Abogado del Estado considera, por el contrario, que la modificación introducida se inserta en el mínimo normativo que corresponde fijar al Estado en materia de medio ambiente, garantizando que el contenido de esa evaluación sea sustancialmente el mismo en todo el territorio, siendo así que no se impide a las Comunidades Autónomas, además de ser oídas, la posibilidad de ampliar, mejorar y desarrollar ese contenido, siempre que respeten el mínimo común establecido por el Gobierno, y justificado en la necesidad de un tratamiento homogéneo de los datos a nivel nacional.</w:t>
      </w:r>
    </w:p>
    <w:p w:rsidR="0026452D" w:rsidRDefault="0026452D" w:rsidP="0026452D">
      <w:pPr>
        <w:pStyle w:val="TextoNormal"/>
      </w:pPr>
    </w:p>
    <w:p w:rsidR="0026452D" w:rsidRDefault="0026452D" w:rsidP="0026452D">
      <w:pPr>
        <w:pStyle w:val="TextoNormal"/>
      </w:pPr>
      <w:r>
        <w:t>La cuestión controvertida se centra, pues, en determinar si la modificación que se efectúa en el art. 27.4 de la Ley de residuos, en cuanto impone a los titulares de actividades potencialmente contaminantes del suelo, el deber de realizar una evaluación o informe preliminar, y habilita al Consejo de Ministros para fijar el contenido de la misma, forma o no parte de la competencia exclusiva del Estado para dictar la legislación básica en materia de medio ambiente (art. 149.1.23 CE).</w:t>
      </w:r>
    </w:p>
    <w:p w:rsidR="0026452D" w:rsidRDefault="0026452D" w:rsidP="0026452D">
      <w:pPr>
        <w:pStyle w:val="TextoNormal"/>
      </w:pPr>
    </w:p>
    <w:p w:rsidR="0026452D" w:rsidRDefault="0026452D" w:rsidP="0026452D">
      <w:pPr>
        <w:pStyle w:val="TextoNormal"/>
      </w:pPr>
      <w:r>
        <w:t xml:space="preserve">Desde una perspectiva formal, no cabe dudar que el precepto, en cuanto se limita a incorporar un requisito adicional al informe de situación contemplado en el art. 27.4 de la Ley 10/1998, de residuos, participa de la cobertura competencial determinada en la disposición </w:t>
      </w:r>
      <w:r>
        <w:lastRenderedPageBreak/>
        <w:t>final segunda de la misma, en la que se proclama su carácter de legislación básica, dictada al amparo de lo dispuesto en el art. 149.1.23 CE. Desde una perspectiva material, el precepto tiene también carácter básico, pues se ajusta a lo reiteradamente señalado por nuestra doctrina de que “lo básico, como propio de la competencia estatal en esta materia, cumple más bien una función de ordenación mediante mínimos que han de respetarse en todo caso, pero que pueden permitir que las Comunidades Autónomas con competencias en la materia establezcan niveles de protección más altos, pero nunca reducirlos (SSTC 170/1989, de 19 de octubre, FJ 2; 196/1996, de 28 de noviembre, FJ 2, 101/2005, de 20 de abril, FJ 5 y 7/2012, de 18 de enero, FJ 5).</w:t>
      </w:r>
    </w:p>
    <w:p w:rsidR="0026452D" w:rsidRDefault="0026452D" w:rsidP="0026452D">
      <w:pPr>
        <w:pStyle w:val="TextoNormal"/>
      </w:pPr>
    </w:p>
    <w:p w:rsidR="0026452D" w:rsidRDefault="0026452D" w:rsidP="0026452D">
      <w:pPr>
        <w:pStyle w:val="TextoNormal"/>
      </w:pPr>
      <w:r>
        <w:t>El art. 149.1.23 CE permite al legislador estatal dictar normas de obligada aplicación que aseguren un mínimo de protección de los elementos naturales, y a este objetivo responde el precepto controvertido, que se limita a establecer un deber de carácter general, que recae sobre los titulares de actividades contaminantes, de efectuar una evaluación o informe preliminar, con un objetivo preventivo de los posibles efectos perjudiciales o nocivos que estas actividades son susceptibles de producir en el suelo, objetivo que constituye materia propia e intrínseca del ámbito materia medio ambiental y, por tanto, de la competencia estatal básica que el citado precepto constitucional atribuye al Estado, por lo que la medida que se establece constituye una previsión normativa que tiene por finalidad la preservación de intereses públicos medioambientales, y, en consecuencia no, puede reputarse inconstitucional.</w:t>
      </w:r>
    </w:p>
    <w:p w:rsidR="0026452D" w:rsidRDefault="0026452D" w:rsidP="0026452D">
      <w:pPr>
        <w:pStyle w:val="TextoNormal"/>
      </w:pPr>
    </w:p>
    <w:p w:rsidR="0026452D" w:rsidRDefault="0026452D" w:rsidP="0026452D">
      <w:pPr>
        <w:pStyle w:val="TextoNormal"/>
      </w:pPr>
      <w:r>
        <w:t>En cuanto a lo que haya de constituir el contenido propio de esa evaluación preliminar, el precepto que se examina se limita a señalar que el mismo será fijado por el Consejo de Ministros, previa consulta a las Comunidades Autónomas; se remite, por tanto, a una posterior norma reglamentaria, la determinación concreta del contenido mínimo de la evaluación preliminar, remisión que resulta justificada en atención a la especificidad de la materia y al carácter marcadamente técnico de los concretos aspectos o cuestiones a regular, cuya valoración no es posible efectuar en este momento sino a la vista de la forma en la que dicha habilitación reglamentaria se concrete. Resulta entonces que nos hallamos ante una impugnación preventiva, vedada en nuestra doctrina, sin que, de otro lado, nada impida que, si el Gobierno, al dictar las correspondientes normas reglamentarias en virtud de esa remisión, extendiera su regulación a aspectos no básicos pudiera plantearse el oportuno conflicto de competencias a fin de examinar si se hubiera producido o no la extralimitación en el ámbito competencial estatal.</w:t>
      </w:r>
    </w:p>
    <w:p w:rsidR="0026452D" w:rsidRDefault="0026452D" w:rsidP="0026452D">
      <w:pPr>
        <w:pStyle w:val="TextoNormal"/>
      </w:pPr>
    </w:p>
    <w:p w:rsidR="0026452D" w:rsidRDefault="0026452D" w:rsidP="0026452D">
      <w:pPr>
        <w:pStyle w:val="TextoNormal"/>
      </w:pPr>
      <w:r w:rsidRPr="0026452D">
        <w:rPr>
          <w:rStyle w:val="NumeroAFNegritaCaracter"/>
        </w:rPr>
        <w:t>9</w:t>
      </w:r>
      <w:r>
        <w:t>. Examinaremos ahora las quejas formuladas contra el art. 129, apartados siete y veintiuno, por el que se modifican diversos preceptos del texto refundido de la Ley de aguas, en lo relativo al concepto de “demarcación hidrográfica” y a la regulación de los planes hidrológicos de cuenca.</w:t>
      </w:r>
    </w:p>
    <w:p w:rsidR="0026452D" w:rsidRDefault="0026452D" w:rsidP="0026452D">
      <w:pPr>
        <w:pStyle w:val="TextoNormal"/>
      </w:pPr>
    </w:p>
    <w:p w:rsidR="0026452D" w:rsidRDefault="0026452D" w:rsidP="0026452D">
      <w:pPr>
        <w:pStyle w:val="TextoNormal"/>
      </w:pPr>
      <w:r>
        <w:t>El art. 129 de la Ley 62/2003 tiene por finalidad incorporar al Derecho español —mediante la correspondiente modificación del texto refundido de la Ley de aguas—, la Directiva 2000/60/CE, por la que se establece un marco comunitario de actuación en el ámbito de la política de aguas (conocida como “Directiva marco del agua”).</w:t>
      </w:r>
    </w:p>
    <w:p w:rsidR="0026452D" w:rsidRDefault="0026452D" w:rsidP="0026452D">
      <w:pPr>
        <w:pStyle w:val="TextoNormal"/>
      </w:pPr>
    </w:p>
    <w:p w:rsidR="0026452D" w:rsidRDefault="0026452D" w:rsidP="0026452D">
      <w:pPr>
        <w:pStyle w:val="TextoNormal"/>
      </w:pPr>
      <w:r>
        <w:t xml:space="preserve">De la regulación contenida en dicho precepto legal se ha controvertido, en primer lugar, el nuevo art. 16 bis.5, según el cual: “El Gobierno, por real decreto, oídas las Comunidades </w:t>
      </w:r>
      <w:r>
        <w:lastRenderedPageBreak/>
        <w:t>Autónomas, fijará el ámbito territorial de cada demarcación hidrográfica que será coincidente con el de su plan hidrológico”.</w:t>
      </w:r>
    </w:p>
    <w:p w:rsidR="0026452D" w:rsidRDefault="0026452D" w:rsidP="0026452D">
      <w:pPr>
        <w:pStyle w:val="TextoNormal"/>
      </w:pPr>
    </w:p>
    <w:p w:rsidR="0026452D" w:rsidRDefault="0026452D" w:rsidP="0026452D">
      <w:pPr>
        <w:pStyle w:val="TextoNormal"/>
      </w:pPr>
      <w:r>
        <w:t>Los Letrados de la Generalitat de Cataluña alegan que la determinación del ámbito territorial de las demarcaciones hidrográficas en el caso de las aguas intracomunitarias ha de corresponder a las Comunidades Autónomas competentes. Al impedirlo, atribuyendo esa facultad sólo al Gobierno estatal, el punto 5 del art. 16 bis del texto refundido de la Ley de aguas, vulnera el orden competencial y debe ser declarado inconstitucional. El Abogado del Estado rechaza el aducido motivo de inconstitucionalidad y señala que la competencia que se reconoce al Estado se refiere únicamente a la determinación de las demarcaciones en tanto que unidades de gestión de las cuencas de competencia estatal, es decir, de aquellas cuyo ámbito territorial excede de una Comunidad Autónoma.</w:t>
      </w:r>
    </w:p>
    <w:p w:rsidR="0026452D" w:rsidRDefault="0026452D" w:rsidP="0026452D">
      <w:pPr>
        <w:pStyle w:val="TextoNormal"/>
      </w:pPr>
    </w:p>
    <w:p w:rsidR="0026452D" w:rsidRDefault="0026452D" w:rsidP="0026452D">
      <w:pPr>
        <w:pStyle w:val="TextoNormal"/>
      </w:pPr>
      <w:r>
        <w:t>Planteada la controversia en tales términos ha de entenderse resuelta por la doctrina de la STC 149/2012, de 5 de julio, FJ 7, en el que ya dejamos sentado que el precepto se limita a habilitar al Gobierno para configurar demarcaciones hidrográficas que —conforme al criterio adoptado por el legislador de seguir considerando noción central la cuenca hidrográfica— son de competencia estatal, esto es, las demarcaciones hidrográficas de carácter intercomunitario. Así, señalamos a este respecto: “En efecto, no puede compartirse la interpretación conforme a la cual el art. 16 bis.5 del texto refundido de la Ley de aguas permite al Estado incluir en la misma demarcación hidrográfica cuencas intercomunitarias de competencia estatal y cuencas intracomunitarias de competencia autonómica, pues lo cierto es que, de ser así, ello debería tener su reflejo en el regulación de los aspectos organizativos que contempla la Ley. Es decir, si el legislador pretendía habilitar al Gobierno de la Nación para incluir en una misma demarcación cuencas de competencia estatal y de competencia autonómica debería haber establecido alguna previsión respecto a la organización, la gestión y planificación en estas demarcaciones mixtas. Sin embargo, no ha hecho tal cosa, sino que, por el contrario, se ha limitado a regular, por un lado, la organización y funcionamiento de las confederaciones hidrográficas —que han de crearse en las cuencas hidrográficas que excedan del ámbito territorial de una Comunidad Autónoma (art. 21 del texto refundido de la Ley de aguas)— con competencias respecto a las demarcaciones intercomunitarias, y a establecer ciertas previsiones en torno a la organización y gestión de las demarcaciones intracomunitarias, sin que, por otra parte, en precepto alguno de la ley se mencione o se prevea la existencia de demarcaciones mixtas, ni exista base jurídica alguna —hoy por hoy con la actual regulación— para su creación, al margen, claro está, de eventuales convenios, al efecto, entre el Estado y las Comunidades Autónomas”.</w:t>
      </w:r>
    </w:p>
    <w:p w:rsidR="0026452D" w:rsidRDefault="0026452D" w:rsidP="0026452D">
      <w:pPr>
        <w:pStyle w:val="TextoNormal"/>
      </w:pPr>
    </w:p>
    <w:p w:rsidR="0026452D" w:rsidRDefault="0026452D" w:rsidP="0026452D">
      <w:pPr>
        <w:pStyle w:val="TextoNormal"/>
      </w:pPr>
      <w:r>
        <w:t>Así pues, el rechazo del entendimiento del precepto, en el sentido de que habilite al Gobierno para delimitar demarcaciones fuera de las de ámbito estatal, conduce a la desestimación de la impugnación del art. 129 de la Ley 62/2003 en relación con el art. 16 bis.5 del texto refundido de la Ley de aguas.</w:t>
      </w:r>
    </w:p>
    <w:p w:rsidR="0026452D" w:rsidRDefault="0026452D" w:rsidP="0026452D">
      <w:pPr>
        <w:pStyle w:val="TextoNormal"/>
      </w:pPr>
    </w:p>
    <w:p w:rsidR="0026452D" w:rsidRDefault="0026452D" w:rsidP="0026452D">
      <w:pPr>
        <w:pStyle w:val="TextoNormal"/>
      </w:pPr>
      <w:r w:rsidRPr="0026452D">
        <w:rPr>
          <w:rStyle w:val="NumeroAFNegritaCaracter"/>
        </w:rPr>
        <w:t>10</w:t>
      </w:r>
      <w:r>
        <w:t xml:space="preserve">. . El segundo aspecto cuestionado del art. 129 es su apartado 21, que añade al art. 41 del texto refundido de la Ley de aguas los nuevos apartados 3, 4, 5 y 6. Lo cuestionado en concreto es un inciso del nuevo art. 41.3, el cual dispone: “En la elaboración y revisión de los planes hidrológicos de cuenca se preverá necesariamente la participación de los departamentos ministeriales interesados, los plazos para presentación de las propuestas por los organismos correspondientes y la actuación subsidiaria del Gobierno en caso de falta de </w:t>
      </w:r>
      <w:r>
        <w:lastRenderedPageBreak/>
        <w:t>propuesta. Se garantizará, en todo caso, la participación pública en todo el proceso planificador, tanto en las fases de consultas previas como en las de desarrollo y aprobación o revisión del plan. A tales efectos se cumplirán los plazos previstos en la disposición adicional duodécima”.</w:t>
      </w:r>
    </w:p>
    <w:p w:rsidR="0026452D" w:rsidRDefault="0026452D" w:rsidP="0026452D">
      <w:pPr>
        <w:pStyle w:val="TextoNormal"/>
      </w:pPr>
    </w:p>
    <w:p w:rsidR="0026452D" w:rsidRDefault="0026452D" w:rsidP="0026452D">
      <w:pPr>
        <w:pStyle w:val="TextoNormal"/>
      </w:pPr>
      <w:r>
        <w:t>Los Letrados de la Generalitat de Cataluña alegan que el inciso “y la actuación subsidiaria del Gobierno en caso de falta de propuesta” reitera una regulación que fue declarada inconstitucional en la STC 227/1988, de 29 de noviembre, FJ 20 c). Tal intervención subsidiaria sólo podría entenderse correcta si estuviera limitada a los planes cuya elaboración correspondiera a organismos dependientes del Estado, pero en su genérica formulación no tiene respaldo constitucional alguno e interfiere en el normal ejercicio del orden de reparto competencial al presuponer el incumplimiento por parte de los órganos autonómicos competentes e intentar ocupar su lugar. El Abogado del Estado rechaza, por el contrario, la inconstitucionalidad de los preceptos y afirma que la nueva regulación no invade las competencias autonómicas, indicando, en relación con el segundo de los preceptos impugnados que al mismo le sería de aplicación la doctrina de la STC 118/1998, de 4 de junio, FJ 26.</w:t>
      </w:r>
    </w:p>
    <w:p w:rsidR="0026452D" w:rsidRDefault="0026452D" w:rsidP="0026452D">
      <w:pPr>
        <w:pStyle w:val="TextoNormal"/>
      </w:pPr>
    </w:p>
    <w:p w:rsidR="0026452D" w:rsidRDefault="0026452D" w:rsidP="0026452D">
      <w:pPr>
        <w:pStyle w:val="TextoNormal"/>
      </w:pPr>
      <w:r>
        <w:t>Conforme ha quedado expuesto, lo discutido entre las partes es la obligación de que en la elaboración y revisión de los planes hidrológicos se preverá necesariamente la actuación subsidiaria del Gobierno en caso de falta de propuesta. En relación a esta cuestión ya se pronunció este Tribunal Constitucional en la STC 227/1988, citada por los Letrados de la Generalitat de Cataluña. En efecto, en el fundamento jurídico 20 de la citada Sentencia consideramos conforme con el orden constitucional de distribución de competencias la atribución al Estado de facultades en relación con la planificación hidrológica, pues “la ordenación de los recursos hidráulicos, donde quiera que se hallen, no puede sustraerse a las competencias que el Estado ha de ejercer para establecer las bases y la coordinación de la planificación general de la actividad económica, en virtud de lo dispuesto en el art. 149.1.13 de la Constitución”. Sin embargo, alcanzada la conclusión anterior, señalamos en relación al entonces vigente art. 39.2, que establecía una actuación subsidiaria del Gobierno en idénticos términos que la ahora impugnada, que “por el contrario, la previsión final del art. 39.2 de una actuación subsidiaria del Gobierno, en caso de falta de propuesta de planes hidrológicos de cuenca, no puede alcanzar a las Comunidades Autónomas que sean competentes para formular dicha propuesta, ya que se trata de una forma de control sustitutivo que no ha sido previsto por la Constitución en las relaciones ordinarias entre el Estado y las Comunidades Autónomas (art. 153). Dicha previsión sólo puede ser aplicable, por tanto, a los planes cuya elaboración y revisión corresponda a organismos no dependientes de las Comunidades Autónomas, pues en caso contrario sería inconstitucional. Por lo demás, la falta de plan no impide, como es obvio, la vigencia en las cuencas hidrográficas intracomunitarias de los preceptos que establecen normas de directa observancia en relación con los aprovechamientos hidráulicos, ni la aplicación en tales cuencas de las determinaciones que se contengan en el Plan Hidrológico Nacional, ni es obstáculo, en fin, al ejercicio efectivo de las demás competencias que al Estado y a las Comunidades Autónomas corresponden en materia hídrica”. Dicha interpretación se llevó al fallo de la STC 227/1988, apartado 1 d).</w:t>
      </w:r>
    </w:p>
    <w:p w:rsidR="0026452D" w:rsidRDefault="0026452D" w:rsidP="0026452D">
      <w:pPr>
        <w:pStyle w:val="TextoNormal"/>
      </w:pPr>
    </w:p>
    <w:p w:rsidR="0026452D" w:rsidRDefault="0026452D" w:rsidP="0026452D">
      <w:pPr>
        <w:pStyle w:val="TextoNormal"/>
      </w:pPr>
      <w:r>
        <w:t xml:space="preserve">Puesto que la regulación es idéntica a la examinada en la STC 227/1988, de 29 de noviembre, forzoso es que la conclusión sea también la misma, de suerte que hemos de declarar que la previsión cuestionada es solamente aplicable a los planes cuya elaboración y revisión corresponda a organismos no dependientes de las Comunidades Autónomas. Esta </w:t>
      </w:r>
      <w:r>
        <w:lastRenderedPageBreak/>
        <w:t>conclusión no puede verse enervada por los argumentos del Abogado del Estado, que defiende la aplicación de la doctrina de la STC 118/1998, de 4 de junio, FJ 26, pues es de todo punto evidente que dicha doctrina excluye la posibilidad de una actuación subsidiaria como la que el precepto impugnado establece. En efecto, en dicha Sentencia y fundamento jurídico examinamos la constitucionalidad del apartado 2 del art. 111 del Reglamento, relativo al requerimiento del Gobierno al Presidente de la Comunidad Autónoma en el supuesto de que la Administración hidráulica de ésta no presente dentro del plazo correspondiente para su aprobación el plan hidrológico, interpretando dicha facultad de requerir “como un mecanismo de comunicación entre el Gobierno y la Comunidad Autónoma a fin de que ésta remedie el incumplimiento detectado mediante el ejercicio de las competencias que le son propias, sin que en ningún caso pueda conferirse a dicho requerimiento carácter vinculante ni genere, en caso de no ser atendido por la Comunidad Autónoma, una actuación subsidiaria del Estado, pues ello implicaría una forma de control sobre la actuación de la Administración autonómica, además de no prevista constitucionalmente, incompatible con el principio de autonomía y con la esfera competencial que de ésta deriva (SSTC 4/1981; 6/1982, fundamento jurídico 7; 76/1983, fundamento jurídico 12).”</w:t>
      </w:r>
    </w:p>
    <w:p w:rsidR="0026452D" w:rsidRDefault="0026452D" w:rsidP="0026452D">
      <w:pPr>
        <w:pStyle w:val="TextoNormal"/>
      </w:pPr>
    </w:p>
    <w:p w:rsidR="0026452D" w:rsidRDefault="0026452D" w:rsidP="0026452D">
      <w:pPr>
        <w:pStyle w:val="TextoNormal"/>
      </w:pPr>
      <w:r>
        <w:t>En suma, por todo lo expuesto, el art. 129.21, en el inciso “y la actuación subsidiaria del Gobierno en caso de falta de propuesta”, introducido en el art. 41.3 del texto refundido de la Ley de aguas es únicamente aplicable “a los planes cuya elaboración y revisión corresponde a organismos no dependientes de las Comunidades Autónomas” y así se dispondrá en el fallo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Declarar la desaparición sobrevenida del objeto del presente recurso en lo que respecta a las disposiciones adicionales vigésimo tercera y trigésima de la Ley 62/2003, de 30 de diciembre, de medidas fiscales, administrativas y del orden social.</w:t>
      </w:r>
    </w:p>
    <w:p w:rsidR="0026452D" w:rsidRDefault="0026452D" w:rsidP="0026452D">
      <w:pPr>
        <w:pStyle w:val="TextoNormal"/>
      </w:pPr>
    </w:p>
    <w:p w:rsidR="0026452D" w:rsidRDefault="0026452D" w:rsidP="0026452D">
      <w:pPr>
        <w:pStyle w:val="TextoNormal"/>
      </w:pPr>
      <w:r>
        <w:t>2º Declarar inconstitucional y nulo, con los efectos señalados en el fundamento jurídico 4 de la presente Sentencia, el art. 46.17 de la Ley 62/2003, de 30 de diciembre, de medidas fiscales, administrativas y del orden social, en cuanto introduce un tercer párrafo en el art. 48.4 del texto refundido de la Ley sobre infracciones y sanciones en el orden social, aprobado por el Real Decreto Legislativo 5/2000, de 4 de agosto</w:t>
      </w:r>
    </w:p>
    <w:p w:rsidR="0026452D" w:rsidRDefault="0026452D" w:rsidP="0026452D">
      <w:pPr>
        <w:pStyle w:val="TextoNormal"/>
      </w:pPr>
    </w:p>
    <w:p w:rsidR="0026452D" w:rsidRDefault="0026452D" w:rsidP="0026452D">
      <w:pPr>
        <w:pStyle w:val="TextoNormal"/>
      </w:pPr>
      <w:r>
        <w:t>3º Declarar que el inciso “y la actuación subsidiaria del Gobierno en caso de falta de propuesta”, introducido en el art. 41.3 del texto refundido de la Ley de aguas aprobado por el Real Decreto Legislativo 1/2001, de 20 de julio, por el art. 129.21 de la Ley 62/2003, de 30 de diciembre, de medidas fiscales, administrativas y del orden social, es conforme con el orden constitucional de distribución de competencias interpretado en los términos señalados en el fundamento jurídico 10.</w:t>
      </w:r>
    </w:p>
    <w:p w:rsidR="0026452D" w:rsidRDefault="0026452D" w:rsidP="0026452D">
      <w:pPr>
        <w:pStyle w:val="TextoNormal"/>
      </w:pPr>
    </w:p>
    <w:p w:rsidR="0026452D" w:rsidRDefault="0026452D" w:rsidP="0026452D">
      <w:pPr>
        <w:pStyle w:val="TextoNormal"/>
      </w:pPr>
      <w:r>
        <w:lastRenderedPageBreak/>
        <w:t>4º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veinticinco de abril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08" w:name="SENTENCIA_2013_105"/>
      <w:r>
        <w:lastRenderedPageBreak/>
        <w:t>SENTENCIA 105/2013, de 6 de mayo de 2013</w:t>
      </w:r>
    </w:p>
    <w:bookmarkEnd w:id="108"/>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133, de 4 de junio de 2013)</w:t>
      </w:r>
    </w:p>
    <w:p w:rsidR="0026452D" w:rsidRDefault="0026452D" w:rsidP="0026452D">
      <w:pPr>
        <w:pStyle w:val="TtuloBOE"/>
      </w:pPr>
    </w:p>
    <w:p w:rsidR="0026452D" w:rsidRDefault="0026452D" w:rsidP="0026452D">
      <w:pPr>
        <w:pStyle w:val="SntesisDescriptiva"/>
      </w:pPr>
      <w:r>
        <w:t>ECLI:ES:TC:2013:105</w:t>
      </w:r>
    </w:p>
    <w:p w:rsidR="0026452D" w:rsidRDefault="0026452D" w:rsidP="0026452D">
      <w:pPr>
        <w:pStyle w:val="SntesisDescriptiva"/>
      </w:pPr>
    </w:p>
    <w:p w:rsidR="0026452D" w:rsidRDefault="0026452D" w:rsidP="0026452D">
      <w:pPr>
        <w:pStyle w:val="SntesisDescriptiva"/>
      </w:pPr>
      <w:r>
        <w:t>Recurso de amparo 10642-2009. Promovido por doña Concepción Reyes Martín Gutiérrez frente a la Sentencia de la Audiencia Provincial de Almería que la condenó, en apelación, por un delito sobre la ordenación del territorio y el urbanismo.</w:t>
      </w:r>
    </w:p>
    <w:p w:rsidR="0026452D" w:rsidRDefault="0026452D" w:rsidP="0026452D">
      <w:pPr>
        <w:pStyle w:val="SntesisDescriptiva"/>
      </w:pPr>
    </w:p>
    <w:p w:rsidR="0026452D" w:rsidRDefault="0026452D" w:rsidP="0026452D">
      <w:pPr>
        <w:pStyle w:val="SntesisAnaltica"/>
      </w:pPr>
      <w:r>
        <w:t>Vulneración del derecho a un proceso con todas las garantías: revisión en segunda instancia y valorando pruebas personales de la apreciación sobre prescripción del delito (STC 167/2002).</w:t>
      </w:r>
    </w:p>
    <w:p w:rsidR="0026452D" w:rsidRDefault="0026452D" w:rsidP="0026452D">
      <w:pPr>
        <w:pStyle w:val="SntesisAnaltica"/>
      </w:pPr>
    </w:p>
    <w:p w:rsidR="0026452D" w:rsidRDefault="0026452D" w:rsidP="0026452D">
      <w:pPr>
        <w:pStyle w:val="Extracto"/>
      </w:pPr>
      <w:r>
        <w:t>1.</w:t>
      </w:r>
      <w:r>
        <w:tab/>
        <w:t xml:space="preserve">La perito no se limitó a proporcionar a los jueces una máxima de experiencia o unas herramientas para apreciar un hecho científico sino que, apreciando un hecho, realizó una valoración del mismo y es por ello que, dado que la revisión de la valoración de la prueba pericial efectuada por el órgano </w:t>
      </w:r>
      <w:r w:rsidRPr="0026452D">
        <w:rPr>
          <w:i/>
        </w:rPr>
        <w:t>a quo</w:t>
      </w:r>
      <w:r>
        <w:t xml:space="preserve"> se proyectó sobre la credibilidad de dicha valoración, que no fue oída directamente por la Sala, se declara vulnerado el derecho a un proceso con todas las garantías, resultado al que también se llega en cuanto a la revisión indirecta por la Sala de otros testimonios y declaraciones (SSTC 167/2002, 144/2012) [FFJJ 4, 5].</w:t>
      </w:r>
    </w:p>
    <w:p w:rsidR="0026452D" w:rsidRDefault="0026452D" w:rsidP="0026452D">
      <w:pPr>
        <w:pStyle w:val="Extracto"/>
      </w:pPr>
    </w:p>
    <w:p w:rsidR="0026452D" w:rsidRDefault="0026452D" w:rsidP="0026452D">
      <w:pPr>
        <w:pStyle w:val="Extracto"/>
      </w:pPr>
      <w:r>
        <w:t>2.</w:t>
      </w:r>
      <w:r>
        <w:tab/>
        <w:t>El testimonio de un perito en el juicio oral reviste una naturaleza personal incuestionable que impide al Tribunal de apelación apartarse de las conclusiones obtenidas por el Juez de instancia sin celebrar previamente vista pública y haber oído personal y directamente al autor de tales declaraciones (STC 144/2012) [FJ 4].</w:t>
      </w:r>
    </w:p>
    <w:p w:rsidR="0026452D" w:rsidRDefault="0026452D" w:rsidP="0026452D">
      <w:pPr>
        <w:pStyle w:val="Extracto"/>
      </w:pPr>
    </w:p>
    <w:p w:rsidR="0026452D" w:rsidRDefault="0026452D" w:rsidP="0026452D">
      <w:pPr>
        <w:pStyle w:val="Extracto"/>
      </w:pPr>
      <w:r>
        <w:t>3.</w:t>
      </w:r>
      <w:r>
        <w:tab/>
        <w:t>La situación analizada en este recurso no permite encuadrar el debate en el derecho a la presunción de inocencia, pues en la decisión judicial de apelación la modificación operada en los hechos probados sobre la fecha de ejecución de la obra, que desencadena la desestimación de la prescripción y, sucesivamente, el juicio valorativo sobre el ilícito penal con la condena consiguiente, no se proyectó directamente sobre la responsabilidad criminal de la recurrente, sino sobre la prescripción del delito [FJ 6].</w:t>
      </w:r>
    </w:p>
    <w:p w:rsidR="0026452D" w:rsidRDefault="0026452D" w:rsidP="0026452D">
      <w:pPr>
        <w:pStyle w:val="Extracto"/>
      </w:pPr>
    </w:p>
    <w:p w:rsidR="0026452D" w:rsidRDefault="0026452D" w:rsidP="0026452D">
      <w:pPr>
        <w:pStyle w:val="Extracto"/>
      </w:pPr>
      <w:r>
        <w:t>4.</w:t>
      </w:r>
      <w:r>
        <w:tab/>
        <w:t>La constatación de la vulneración del derecho a un proceso con todas las garantías puede determinar también la del derecho a la presunción de inocencia, siempre que la eliminación de las pruebas irregularmente valoradas deje sin sustento el relato de los hechos probados que soporta la declaración de culpabilidad [FJ 6].</w:t>
      </w:r>
    </w:p>
    <w:p w:rsidR="0026452D" w:rsidRDefault="0026452D" w:rsidP="0026452D">
      <w:pPr>
        <w:pStyle w:val="Extracto"/>
      </w:pPr>
    </w:p>
    <w:p w:rsidR="0026452D" w:rsidRDefault="0026452D" w:rsidP="0026452D">
      <w:pPr>
        <w:pStyle w:val="Extracto"/>
      </w:pPr>
      <w:r>
        <w:t>5.</w:t>
      </w:r>
      <w:r>
        <w:tab/>
        <w:t>El respeto a los principios de publicidad, inmediación y contradicción, que forman parte del contenido del derecho fundamental a un proceso con todas las garantías, impone inexorablemente que toda condena articulada sobre pruebas personales se fundamente en una actividad probatoria que el órgano judicial haya examinado directa y personalmente en un debate público, en el que se respete la posibilidad de contradicción (STC 167/2002) [FJ 3].</w:t>
      </w:r>
    </w:p>
    <w:p w:rsidR="0026452D" w:rsidRDefault="0026452D" w:rsidP="0026452D">
      <w:pPr>
        <w:pStyle w:val="Extracto"/>
      </w:pPr>
    </w:p>
    <w:p w:rsidR="0026452D" w:rsidRDefault="0026452D" w:rsidP="0026452D">
      <w:pPr>
        <w:pStyle w:val="Extracto"/>
      </w:pPr>
      <w:r>
        <w:t>6.</w:t>
      </w:r>
      <w:r>
        <w:tab/>
        <w:t>Cuando en la apelación se planteen cuestiones de hecho suscitadas por la valoración o ponderación de pruebas personales de las que dependa la condena o absolución del acusado, resultará necesaria la celebración de vista pública en segunda instancia para que el órgano judicial de apelación pueda resolver tomando conocimiento directo e inmediato de dichas pruebas (SSTC 21/2009, 30/2010) [FJ 3].</w:t>
      </w:r>
    </w:p>
    <w:p w:rsidR="0026452D" w:rsidRDefault="0026452D" w:rsidP="0026452D">
      <w:pPr>
        <w:pStyle w:val="Extracto"/>
      </w:pPr>
    </w:p>
    <w:p w:rsidR="0026452D" w:rsidRDefault="0026452D" w:rsidP="0026452D">
      <w:pPr>
        <w:pStyle w:val="Extracto"/>
      </w:pPr>
      <w:r>
        <w:t>7.</w:t>
      </w:r>
      <w:r>
        <w:tab/>
        <w:t>La exigencia de la celebración de vista pública en segunda instancia debe extenderse a los casos en los que el debate procesal en apelación gire sobre la revisión de la prescripción del delito y la apreciación de esa causa extintiva de la responsabilidad penal dependa de la valoración de pruebas personales, y ello con independencia de que la Sentencia del Juzgado exteriorizase, o no, una valoración probatoria sobre la responsabilidad por el delito sin asignarle consecuencia penal alguna al estimar prescrito el delito a efectos de punición (SSTC 63/2005, 30/2012) [FJ 3].</w:t>
      </w:r>
    </w:p>
    <w:p w:rsidR="0026452D" w:rsidRDefault="0026452D" w:rsidP="0026452D">
      <w:pPr>
        <w:pStyle w:val="Extracto"/>
      </w:pPr>
    </w:p>
    <w:p w:rsidR="0026452D" w:rsidRDefault="0026452D" w:rsidP="0026452D">
      <w:pPr>
        <w:pStyle w:val="Extracto"/>
      </w:pPr>
      <w:r>
        <w:t>8.</w:t>
      </w:r>
      <w:r>
        <w:tab/>
        <w:t>Procede acordar la retroacción de actuaciones al momento anterior a dictar Sentencia para que el órgano de apelación explicite si la declaración efectuada sobre la inexistencia de la prescripción encuentra, o no, al margen de la valoración de las pruebas personales, fundamento autónomo en las pruebas documentales, y proceda al juicio sobre la responsabilidad criminal si, con fundamento exclusivo en la prueba gráfica, cabe mantener la modificación fáctica y la apreciación que hizo sobre la prescripción extintiva (STC 154/2011) [FFJJ 7 a 9].</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10642-2009, promovido por doña Concepción Reyes Martín Gutiérrez, representada por la Procuradora de los Tribunales doña María del Pilar Pérez Calvo y asistida por el Abogado don Juan Manuel Pérez Ocaña, contra la Sentencia de 2 de marzo de 2009, dictada por la Sección Primera de la Audiencia Provincial de Almería en el rollo de apelación núm. 424-2008, que revocando la Sentencia absolutoria del Juzgado de lo Penal núm. 1 de Almería, de 18 de junio de 2008, condenó a la demandante de amparo como autora de un delito del art. 319.2 del Código penal, así como contra el Auto de la misma Sala, de 5 de noviembre de 2009, que desestimó el incidente de nulidad de actuaciones interpuesto contra la Sentencia de apelación. Ha intervenido el Ministerio Fiscal. Ha sido Ponente el Magistrado don Fernando Valdés Dal-Ré,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día 23 de diciembre de 2009, la Procuradora de los Tribunales doña María del Pilar Pérez Calvo, actuando en nombre y representación de doña Concepción Reyes Martín Gutiérrez, presentó recurso de amparo constitucional contra las resoluciones de la Sección Primera de la Audiencia Provincial de Almería citadas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de los que trae causa la demanda son, en síntesis, los siguientes:</w:t>
      </w:r>
    </w:p>
    <w:p w:rsidR="0026452D" w:rsidRDefault="0026452D" w:rsidP="0026452D">
      <w:pPr>
        <w:pStyle w:val="TextoNormal"/>
      </w:pPr>
    </w:p>
    <w:p w:rsidR="0026452D" w:rsidRDefault="0026452D" w:rsidP="0026452D">
      <w:pPr>
        <w:pStyle w:val="TextoNormal"/>
      </w:pPr>
      <w:r>
        <w:t>a) Ante el Magistrado-Juez del Juzgado de lo Penal núm. 1 de Almería se siguió la causa número 51-2008, procedente del Juzgado de Instrucción núm. 5 de Almería (diligencias previas núm. 28-2007), sobre delito contra la ordenación del territorio. La Sentencia de 18 de junio de 2008 absolvió a la acusada, recurrente en amparo, al declarar extinguida la responsabilidad criminal por prescripción. En la Sentencia se declaraba probado que aquélla, a finales de 2003, tenía construida y acabada una vivienda que edificó sin licencia en suelo no urbanizable, sita en el paraje “La Casería” de Abrucena, habiéndose presentado la denuncia por estos hechos el día 17 de enero de 2007. Para llegar a esas conclusiones fácticas, señalaba textualmente: “Hemos de partir de varios datos que obran en las actuaciones que nos llevan a determinar que la vivienda se encontraba acabada en el año 2003. En primer lugar porque constan documentos en los que se solicita el agua y la luz con esas fechas. En segundo lugar porque la defensa presenta una fotografía aérea del año 2003 en la que se observa que el techo de la vivienda está puesto, lo que nos lleva a pensar que estaba acabada para esa fecha. Y en tercer lugar porque nos encontramos con el testimonio de un vecino ‘de toda la vida’ y del Sr. Alcalde de la Villa, que nos confirman que la vivienda estaba más que acabada en 2003. Si a ello unimos el testimonio de la propia acusada, quien espontáneamente dice en su primera declaración en la fase de instrucción, folio 102, de 13 de marzo de 2007, que la casa llevaba unos cinco años acabada, hemos de concluir que la misma se encontraba acabada a finales de 2003.”</w:t>
      </w:r>
    </w:p>
    <w:p w:rsidR="0026452D" w:rsidRDefault="0026452D" w:rsidP="0026452D">
      <w:pPr>
        <w:pStyle w:val="TextoNormal"/>
      </w:pPr>
    </w:p>
    <w:p w:rsidR="0026452D" w:rsidRDefault="0026452D" w:rsidP="0026452D">
      <w:pPr>
        <w:pStyle w:val="TextoNormal"/>
      </w:pPr>
      <w:r>
        <w:t>Indicaba a renglón seguido que era de tres años el plazo de prescripción del delito por el que era acusada la recurrente de amparo (art. 131 del Código penal: CP),  y que ese término prescriptivo había transcurrido cuando se interpuso la denuncia, por lo que procedía declarar la absolución.</w:t>
      </w:r>
    </w:p>
    <w:p w:rsidR="0026452D" w:rsidRDefault="0026452D" w:rsidP="0026452D">
      <w:pPr>
        <w:pStyle w:val="TextoNormal"/>
      </w:pPr>
    </w:p>
    <w:p w:rsidR="0026452D" w:rsidRDefault="0026452D" w:rsidP="0026452D">
      <w:pPr>
        <w:pStyle w:val="TextoNormal"/>
      </w:pPr>
      <w:r>
        <w:t>b) El Ministerio Fiscal interpuso recurso de apelación por dos motivos: error en la valoración de la prueba documental y pericial e infracción de precepto legal por inaplicación del art. 319.2 CP y aplicación indebida del art. 131 CP. La parte apelada, ahora recurrente, impugnó el recurso, oponiéndose a ambos motivos y aduciendo sobre el fondo, con carácter cautelar, la falta de prueba respecto de la especial protección agrícola de los terrenos, única hipótesis en que resultaría de aplicación el tipo penal reseñado.</w:t>
      </w:r>
    </w:p>
    <w:p w:rsidR="0026452D" w:rsidRDefault="0026452D" w:rsidP="0026452D">
      <w:pPr>
        <w:pStyle w:val="TextoNormal"/>
      </w:pPr>
    </w:p>
    <w:p w:rsidR="0026452D" w:rsidRDefault="0026452D" w:rsidP="0026452D">
      <w:pPr>
        <w:pStyle w:val="TextoNormal"/>
      </w:pPr>
      <w:r>
        <w:t xml:space="preserve">La Audiencia Provincial de Almería, en Sentencia de 2 de marzo de 2009, revocó el pronunciamiento absolutorio de instancia y condenó a la demandante como autora de un delito del art. 319.2 CP. Al considerar errónea la apreciación de la prueba documental y pericial, modificó los hechos probados para hacer constar que en abril de 2005 la vivienda </w:t>
      </w:r>
      <w:r>
        <w:lastRenderedPageBreak/>
        <w:t>se mantenía en construcción, de suerte que no había transcurrido el plazo de prescripción cuando se iniciaron las diligencias (2007). Subraya, en ese sentido:</w:t>
      </w:r>
    </w:p>
    <w:p w:rsidR="0026452D" w:rsidRDefault="0026452D" w:rsidP="0026452D">
      <w:pPr>
        <w:pStyle w:val="TextoNormal"/>
      </w:pPr>
    </w:p>
    <w:p w:rsidR="0026452D" w:rsidRDefault="0026452D" w:rsidP="0026452D">
      <w:pPr>
        <w:pStyle w:val="TextoNormal"/>
      </w:pPr>
      <w:r>
        <w:t>“[L]a afirmación, en los hechos probados de la sentencia recurrida, de que la acusada a finales de 2003 tenía construida y acabada la vivienda, sustentada en meros testimonios o declaraciones, es desvirtuada por la prueba pericial y documental acreditativa de que la vivienda, en cuestión, estaba en construcción el día 22 de abril de 2005. En efecto, la perito Mª. Dolores Aguilera declaró en el juicio, a preguntas del Fiscal, que participó en la inspección el día 22 de abril de 2005, y que la vivienda estaba sin finalizar en 2005. Este mismo dato consta en el informe de la Junta de Andalucía obrante a los folios 5,44 y 188 (se trata del mismo informe), donde consta que la vivienda núm. 4 (por la que se sigue el presente procedimiento), está en ejecución actualmente (22-4-05). Asimismo, en el informe de la Junta de Andalucía obrante al folio 110, emitido a petición del Juzgado para que se informara sobre la fecha aproximada de la construcción, la Inspectora Provincial de Ordenación del Territorio afirma que la vivienda en la fecha en la que se visita, 22-4-2005, estaba en fase de ejecución sin que, por tanto, estuviese concluida la finalización de las obras.</w:t>
      </w:r>
    </w:p>
    <w:p w:rsidR="0026452D" w:rsidRDefault="0026452D" w:rsidP="0026452D">
      <w:pPr>
        <w:pStyle w:val="TextoNormal"/>
      </w:pPr>
    </w:p>
    <w:p w:rsidR="0026452D" w:rsidRDefault="0026452D" w:rsidP="0026452D">
      <w:pPr>
        <w:pStyle w:val="TextoNormal"/>
      </w:pPr>
      <w:r>
        <w:t>También puede apreciarse, cotejando las fotografías obrantes al folio 119, tomada el 22.4.05, y la obrante al folio 46, tomada el 13.11.06, como la vivienda no estaba finalizada el día 22.4.05 aunque la fotografía obrante al folio 119 es una fotocopia, sin la nitidez deseable, puede apreciarse como aún no estaba construida la barandilla de la terraza de la primera planta, y como hay material de construcción en dicha terraza.”</w:t>
      </w:r>
    </w:p>
    <w:p w:rsidR="0026452D" w:rsidRDefault="0026452D" w:rsidP="0026452D">
      <w:pPr>
        <w:pStyle w:val="TextoNormal"/>
      </w:pPr>
    </w:p>
    <w:p w:rsidR="0026452D" w:rsidRDefault="0026452D" w:rsidP="0026452D">
      <w:pPr>
        <w:pStyle w:val="TextoNormal"/>
      </w:pPr>
      <w:r>
        <w:t xml:space="preserve">Con base en esos hechos revocó la apreciación de la prescripción acogida por el juzgador </w:t>
      </w:r>
      <w:r w:rsidRPr="0026452D">
        <w:rPr>
          <w:i/>
        </w:rPr>
        <w:t>a quo</w:t>
      </w:r>
      <w:r>
        <w:t xml:space="preserve"> y condenó a la acusada, como autora de un delito del art. 319.2 CP, a la pena de seis meses de prisión, con la accesoria de inhabilitación especial durante el tiempo de la condena, multa de doce meses a razón de seis euros diarios, con responsabilidad subsidiaria en caso de impago, ordenando la demolición de lo construido e imponiéndole el pago de las costas de la causa.</w:t>
      </w:r>
    </w:p>
    <w:p w:rsidR="0026452D" w:rsidRDefault="0026452D" w:rsidP="0026452D">
      <w:pPr>
        <w:pStyle w:val="TextoNormal"/>
      </w:pPr>
    </w:p>
    <w:p w:rsidR="0026452D" w:rsidRDefault="0026452D" w:rsidP="0026452D">
      <w:pPr>
        <w:pStyle w:val="TextoNormal"/>
      </w:pPr>
      <w:r>
        <w:t>c) Cerró el proceso el Auto de 5 de noviembre de 2009 de la misma Sección Primera de la Audiencia Provincial de Almería, desestimatorio del sucesivo incidente de nulidad de actuaciones interpuesto por la recurrente en amparo.</w:t>
      </w:r>
    </w:p>
    <w:p w:rsidR="0026452D" w:rsidRDefault="0026452D" w:rsidP="0026452D">
      <w:pPr>
        <w:pStyle w:val="TextoNormal"/>
      </w:pPr>
    </w:p>
    <w:p w:rsidR="0026452D" w:rsidRDefault="0026452D" w:rsidP="0026452D">
      <w:pPr>
        <w:pStyle w:val="TextoNormal"/>
      </w:pPr>
      <w:r>
        <w:t xml:space="preserve">Se denunciaba en el escrito procesal que la Sentencia de apelación sustentó la condena en una nueva valoración de los testimonios prestados en el juicio oral, celebrado en primera instancia, sin haberlos oído personalmente, revisando los hechos probados y el juicio sobre su veracidad y dando mayor credibilidad a la testifical de la perito sobre la fecha de terminación de la vivienda —un hecho que no necesita pericia, conocimiento científico, técnico o artístico especiales— que a las manifestaciones de la acusada y de dos testigos (un vecino y el alcalde de la villa); testimonios que ni siquiera menciona la Sentencia recurrida pese a que el juzgador </w:t>
      </w:r>
      <w:r w:rsidRPr="0026452D">
        <w:rPr>
          <w:i/>
        </w:rPr>
        <w:t>a quo</w:t>
      </w:r>
      <w:r>
        <w:t xml:space="preserve"> les otorgó mayor verosimilitud. Con cita de jurisprudencia de este Tribunal Constitucional, concluía el primer motivo de nulidad con la invocación de los derechos a la tutela judicial efectiva y a un proceso con todas las garantías (art. 24 CE). Aludía, asimismo, a la vulneración del derecho a la presunción de inocencia, por no existir otras pruebas que fundaran la condena, toda vez que la documental aportada (fotocopia de una fotografía de la vivienda) no acreditaba con nitidez el estado de la construcción en aquellas fechas. Finalmente, razonaba la lesión de los arts. 24 y 25.1 CE, ya que el pronunciamiento </w:t>
      </w:r>
      <w:r>
        <w:lastRenderedPageBreak/>
        <w:t xml:space="preserve">de apelación no dio respuesta alguna a las alegaciones realizadas </w:t>
      </w:r>
      <w:r w:rsidRPr="0026452D">
        <w:rPr>
          <w:i/>
        </w:rPr>
        <w:t>ad cautelam</w:t>
      </w:r>
      <w:r>
        <w:t xml:space="preserve"> en la impugnación al recurso, relativas a la falta de prueba de la norma que establece la especial protección agrícola de la zona, condenando a la acusada sin explicitar ese elemento indispensable para integrar la norma penal en blanco del art. 319.2 CP.</w:t>
      </w:r>
    </w:p>
    <w:p w:rsidR="0026452D" w:rsidRDefault="0026452D" w:rsidP="0026452D">
      <w:pPr>
        <w:pStyle w:val="TextoNormal"/>
      </w:pPr>
    </w:p>
    <w:p w:rsidR="0026452D" w:rsidRDefault="0026452D" w:rsidP="0026452D">
      <w:pPr>
        <w:pStyle w:val="TextoNormal"/>
      </w:pPr>
      <w:r>
        <w:t xml:space="preserve">El Auto de 5 de noviembre de 2009, sin embargo, dispuso que la modificación fáctica sobre la fecha de ejecución de la obra se desprendía de pruebas susceptibles de ser valoradas directamente por el Tribunal </w:t>
      </w:r>
      <w:r w:rsidRPr="0026452D">
        <w:rPr>
          <w:i/>
        </w:rPr>
        <w:t>ad quem</w:t>
      </w:r>
      <w:r>
        <w:t>, en atención a su naturaleza documental, de manera que, no habiéndose tomado en consideración la prueba testifical para la alteración de los hechos, no concurría el vicio denunciado.</w:t>
      </w:r>
    </w:p>
    <w:p w:rsidR="0026452D" w:rsidRDefault="0026452D" w:rsidP="0026452D">
      <w:pPr>
        <w:pStyle w:val="TextoNormal"/>
      </w:pPr>
    </w:p>
    <w:p w:rsidR="0026452D" w:rsidRDefault="0026452D" w:rsidP="0026452D">
      <w:pPr>
        <w:pStyle w:val="TextoNormal"/>
      </w:pPr>
      <w:r w:rsidRPr="0026452D">
        <w:rPr>
          <w:rStyle w:val="NumeroAFNegritaCaracter"/>
        </w:rPr>
        <w:t>3</w:t>
      </w:r>
      <w:r>
        <w:t>. El demandante de amparo aduce la lesión del derecho a la tutela judicial efectiva (art. 24.1 CE) en relación con el derecho a un proceso con todas las garantías (art. 24.2 CE), al estimar que la Audiencia Provincial mudó la fecha de construcción de la vivienda sin dar valor alguno a los interrogatorios de la acusada y de los testigos presentados por la defensa, testimonios practicados ante el Juez de instancia, y otorgó en cambio un valor decisivo a la declaración de la perito de la Administración, todo ello sin inmediación. A su juicio, aunque la Audiencia diga que para ello contempló la prueba pericial y documental, en realidad fue únicamente aquel testimonio de la perito el que fundamentó la condena. Así se desprende de los documentos que se citan en la Sentencia (folios sumariales 5, 44 y 118, que no son más que tres fotocopias de un idéntico documento que contiene el testimonio de la Sra. Aguilera, perito que realizó una visita a la vivienda en 2005 y actuó en el acto del juicio, y folio 110 de las actuaciones, que es, de nuevo, su testimonio reiterado sobre el mismo hecho, si bien ahora a instancias del Juzgado de Instrucción).</w:t>
      </w:r>
    </w:p>
    <w:p w:rsidR="0026452D" w:rsidRDefault="0026452D" w:rsidP="0026452D">
      <w:pPr>
        <w:pStyle w:val="TextoNormal"/>
      </w:pPr>
    </w:p>
    <w:p w:rsidR="0026452D" w:rsidRDefault="0026452D" w:rsidP="0026452D">
      <w:pPr>
        <w:pStyle w:val="TextoNormal"/>
      </w:pPr>
      <w:r>
        <w:t xml:space="preserve">Estamos en suma, aduce el recurso, ante una sola prueba sobre el hecho de la fecha de finalización de la construcción. La Sentencia recurrida se apoya exclusivamente, entonces, en el interrogatorio de la perito Sra. Aguilera, valorando ese testimonio sin inmediación y, por tanto, sin observación directa de las contradicciones que existían y sin poder comparar dicha declaración con los testimonios del alcalde de la localidad y un vecino de la zona sobre el mismo particular. Olvida la Sala que la prueba pericial, en aquellos puntos en los que el perito se somete a interrogatorio con la inmediación y contradicción propias del acto del juicio, es una prueba personal practicada ante el juez </w:t>
      </w:r>
      <w:r w:rsidRPr="0026452D">
        <w:rPr>
          <w:i/>
        </w:rPr>
        <w:t>a quo</w:t>
      </w:r>
      <w:r>
        <w:t xml:space="preserve"> que el órgano de apelación no presenció y, por tanto, no puede valorar de distinta forma. Si un Tribunal de segunda instancia considera documental toda manifestación que se incorpore por escrito a un informe o acta, vulnera los derechos a un proceso con todas las garantías y a la tutela judicial efectiva, consagrados en los arts. 24 CE y 6 del Convenio europeo para la protección de los derechos humanos y de las libertades fundamentales.</w:t>
      </w:r>
    </w:p>
    <w:p w:rsidR="0026452D" w:rsidRDefault="0026452D" w:rsidP="0026452D">
      <w:pPr>
        <w:pStyle w:val="TextoNormal"/>
      </w:pPr>
    </w:p>
    <w:p w:rsidR="0026452D" w:rsidRDefault="0026452D" w:rsidP="0026452D">
      <w:pPr>
        <w:pStyle w:val="TextoNormal"/>
      </w:pPr>
      <w:r>
        <w:t>Como efecto derivado de lo anterior, se habría vulnerado en segundo lugar el derecho a la presunción de inocencia (art. 24.2 CE), dado que, una vez eliminada aquella prueba valorada sin inmediación, ningún soporte probatorio respalda la sanción penal.</w:t>
      </w:r>
    </w:p>
    <w:p w:rsidR="0026452D" w:rsidRDefault="0026452D" w:rsidP="0026452D">
      <w:pPr>
        <w:pStyle w:val="TextoNormal"/>
      </w:pPr>
    </w:p>
    <w:p w:rsidR="0026452D" w:rsidRDefault="0026452D" w:rsidP="0026452D">
      <w:pPr>
        <w:pStyle w:val="TextoNormal"/>
      </w:pPr>
      <w:r>
        <w:t xml:space="preserve">Se ha infringido también, en tercer lugar, el principio de legalidad penal y de irretroactividad de las normas penales (art. 25.1 CE), pues la resolución judicial no especifica la norma integradora o de complemento que toma en consideración, ni su vigencia previa a los hechos, esto es, la norma que precisa las circunstancias urbanísticas del terreno protegido que integran el tipo penal en blanco del art. 319.2 CP. Tampoco en los autos considerados en su </w:t>
      </w:r>
      <w:r>
        <w:lastRenderedPageBreak/>
        <w:t>conjunto se despeja cuál sería esa previsión normativa: la propia Administración, en informe de fecha 5 de mayo de 2005, señaló que la Comisión Provincial de Urbanismo de Almería en sesión celebrada ese mismo día acordó suspender la aprobación definitiva de suelo no urbanizable de las normas subsidiarias del municipio de Abrucena (Almería), estableciendo un régimen transitorio. Por otra parte, el plan especial de protección del medio físico de Almería se publicó mediante resolución de 14 de febrero de 2007, de la Dirección General de Urbanismo. En consecuencia, no sólo no se concreta con claridad en la sentencia condenatoria cuál es la norma que integra la norma penal en blanco, sino que, además, puede deducirse de los autos que la regulación a la que podría estarse aludiendo implícitamente es de una fecha posterior a los hechos, vulnerándose entonces el derecho de legalidad penal también en la vertiente de la irretroactividad de las normas penales (art. 25.1 CE).</w:t>
      </w:r>
    </w:p>
    <w:p w:rsidR="0026452D" w:rsidRDefault="0026452D" w:rsidP="0026452D">
      <w:pPr>
        <w:pStyle w:val="TextoNormal"/>
      </w:pPr>
    </w:p>
    <w:p w:rsidR="0026452D" w:rsidRDefault="0026452D" w:rsidP="0026452D">
      <w:pPr>
        <w:pStyle w:val="TextoNormal"/>
      </w:pPr>
      <w:r>
        <w:t>Finalmente, denuncia que se habría vulnerado el derecho a la tutela judicial efectiva (art. 24.1 CE) por incongruencia. Tanto en la impugnación del recurso de apelación como después en el incidente de nulidad de actuaciones se alegó falta de prueba respecto de la norma que establece la especial protección agrícola de la zona, única hipótesis en la que podría resultar de aplicación el art. 319.2 CP, sin que se haya recibido respuesta sobre el particular.</w:t>
      </w:r>
    </w:p>
    <w:p w:rsidR="0026452D" w:rsidRDefault="0026452D" w:rsidP="0026452D">
      <w:pPr>
        <w:pStyle w:val="TextoNormal"/>
      </w:pPr>
    </w:p>
    <w:p w:rsidR="0026452D" w:rsidRDefault="0026452D" w:rsidP="0026452D">
      <w:pPr>
        <w:pStyle w:val="TextoNormal"/>
      </w:pPr>
      <w:r>
        <w:t>Por todo lo expuesto, interesa el otorgamiento del amparo. Por otrosí se requiere la suspensión de la ejecución de las resoluciones judiciales impugnadas.</w:t>
      </w:r>
    </w:p>
    <w:p w:rsidR="0026452D" w:rsidRDefault="0026452D" w:rsidP="0026452D">
      <w:pPr>
        <w:pStyle w:val="TextoNormal"/>
      </w:pPr>
    </w:p>
    <w:p w:rsidR="0026452D" w:rsidRDefault="0026452D" w:rsidP="0026452D">
      <w:pPr>
        <w:pStyle w:val="TextoNormal"/>
      </w:pPr>
      <w:r w:rsidRPr="0026452D">
        <w:rPr>
          <w:rStyle w:val="NumeroAFNegritaCaracter"/>
        </w:rPr>
        <w:t>4</w:t>
      </w:r>
      <w:r>
        <w:t>. En virtud de providencia de la Sala Primera, de 16 de julio de 2012, se acordó la admisión a trámite de la demanda de amparo, y se solicitó la certificación o fotocopia adverada de las actuaciones a los órganos judiciales que intervinieron en los diferentes grados jurisdiccionales, antes citados, así como la práctica de los emplazamientos correspondientes.</w:t>
      </w:r>
    </w:p>
    <w:p w:rsidR="0026452D" w:rsidRDefault="0026452D" w:rsidP="0026452D">
      <w:pPr>
        <w:pStyle w:val="TextoNormal"/>
      </w:pPr>
    </w:p>
    <w:p w:rsidR="0026452D" w:rsidRDefault="0026452D" w:rsidP="0026452D">
      <w:pPr>
        <w:pStyle w:val="TextoNormal"/>
      </w:pPr>
      <w:r>
        <w:t>En providencia de la misma fecha, la Sala acordó la formación de pieza separada para la tramitación del incidente sobre la suspensión solicitada, concediendo a la recurrente y al Ministerio Fiscal un plazo común de tres días para que formularan alegaciones. Evacuado dicho trámite, se estimó la petición mediante ATC 165/2012, de 17 de septiembre, si bien circunscribiendo la decisión al pronunciamiento de la Sentencia de 2 de marzo 2009 relativo a la demolición de la vivienda.</w:t>
      </w:r>
    </w:p>
    <w:p w:rsidR="0026452D" w:rsidRDefault="0026452D" w:rsidP="0026452D">
      <w:pPr>
        <w:pStyle w:val="TextoNormal"/>
      </w:pPr>
    </w:p>
    <w:p w:rsidR="0026452D" w:rsidRDefault="0026452D" w:rsidP="0026452D">
      <w:pPr>
        <w:pStyle w:val="TextoNormal"/>
      </w:pPr>
      <w:r w:rsidRPr="0026452D">
        <w:rPr>
          <w:rStyle w:val="NumeroAFNegritaCaracter"/>
        </w:rPr>
        <w:t>5</w:t>
      </w:r>
      <w:r>
        <w:t>. Por diligencia de ordenación de la Secretaría de Justicia de la Sección Segunda de la Sala Primera de este Tribunal, de 22 de agosto de 2012, se tuvieron por recibidos los testimonios de las actuaciones, y se acordó abrir el plazo común de veinte días al Ministerio Fiscal y a la representación procesal de la solicitante de amparo, de conformidad con el art. 52 de la Ley Orgánica del Tribunal Constitucional, para que pudieran presentar las alegaciones que a su derecho conviniere.</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El recurrente en amparo evacuó el trámite de alegaciones el día 2 de octubre de 2012, reiterando en esencia los contenidos de su demanda de amparo. No obstante, añade reflexiones y datos adicionales sobre su tercera alegación (art. 25.1 CE). Destaca que el único momento en el que se identifica en autos la norma que podría integrar la norma penal en blanco (art. 319.2 CP) es la denuncia de la Fiscalía de la Audiencia Provincial, que alude al plan especial de protección del medio físico de la provincia de Almería. Sin embargo, esa </w:t>
      </w:r>
      <w:r>
        <w:lastRenderedPageBreak/>
        <w:t>norma no estuvo vigente ni desplegó eficacia hasta la fecha de su publicación completa, que tuvo lugar en el “Boletín Oficial de la Junta de Andalucía” núm. 50, de 12 de marzo de 2007, ya que la previa resolución de 25 de abril de 1987, de aprobación definitiva, publicada en el “Boletín Oficial de la Junta de Andalucía” núm. 42, de 18 de mayo de 1987, era incompleta y no producía efectos, según se desprende de la doctrina del Tribunal Supremo sobre la necesidad de publicación completa de las normas urbanísticas.</w:t>
      </w:r>
    </w:p>
    <w:p w:rsidR="0026452D" w:rsidRDefault="0026452D" w:rsidP="0026452D">
      <w:pPr>
        <w:pStyle w:val="TextoNormal"/>
      </w:pPr>
    </w:p>
    <w:p w:rsidR="0026452D" w:rsidRDefault="0026452D" w:rsidP="0026452D">
      <w:pPr>
        <w:pStyle w:val="TextoNormal"/>
      </w:pPr>
      <w:r>
        <w:t>Con fundamento en esa Jurisprudencia, prosigue, los actos administrativos desfavorables para los recurrentes con cobertura normativa en dichos planes especiales de protección han venido siendo anulados por los Tribunales administrativos, al interpretarse —paradójicamente de manera más favorable a los administrados que en estos autos respecto de una sanción penal— que dichos planes no son eficaces en tanto no sean publicados en su integridad en el boletín oficial correspondiente. En definitiva, la jurisprudencia del Tribunal Supremo pone de manifiesto que a tenor de los arts. 9.3 CE, 2.1 del Código civil y 52.1 de la Ley 30/1992, de 26 de noviembre, de régimen jurídico de las Administraciones públicas y del procedimiento administrativo común, el plan especial de protección del medio físico de la provincia de Almería no entró en vigor —y por tanto no era aplicable— hasta su publicación completa en el “Boletín Oficial de la Junta de Andalucía” núm. 50, de fecha 12 de marzo de 2007. Y siendo así, si la publicación incompleta de 1987 no era válida para fundar denegaciones de licencias administrativas o imposición de sanciones administrativas a los ciudadanos, mucho menos podría serlo para integrar una norma penal con rango de ley orgánica, en la que se fundamenta una pena de privación de libertad, pues los requisitos exigibles a la norma reglamentaria que integra la norma penal en blanco deben ser incluso mayores que los que se requieren para su consideración en el ámbito del Derecho administrativo.</w:t>
      </w:r>
    </w:p>
    <w:p w:rsidR="0026452D" w:rsidRDefault="0026452D" w:rsidP="0026452D">
      <w:pPr>
        <w:pStyle w:val="TextoNormal"/>
      </w:pPr>
    </w:p>
    <w:p w:rsidR="0026452D" w:rsidRDefault="0026452D" w:rsidP="0026452D">
      <w:pPr>
        <w:pStyle w:val="TextoNormal"/>
      </w:pPr>
      <w:r w:rsidRPr="0026452D">
        <w:rPr>
          <w:rStyle w:val="NumeroAFNegritaCaracter"/>
        </w:rPr>
        <w:t>7</w:t>
      </w:r>
      <w:r>
        <w:t>. El Fiscal ante el Tribunal Constitucional evacuó el trámite de alegaciones mediante escrito registrado el día 23 de octubre de 2012. Interesa el otorgamiento del amparo por el primer motivo alegado, que se encuadra a su juicio dentro del contenido propio del derecho a un proceso con todas las garantías (art. 24.2 CE). Entiende que la Audiencia Provincial de Almería efectuó una valoración conjunta de la prueba pericial y la documental, considerando implícitamente que el testimonio de la perito era un elemento corroborador de la documental gráfica obrante en autos (fotografía desprovista de suficiente nitidez), lo que comporta una valoración de carácter personal que obtiene preponderancia sobre el resto de las pruebas testificales contradictorias, a cuyas versiones reputa menor credibilidad. Esa valoración de la prueba pericial —de carácter personal—, sin el respeto a los principios de inmediación y contradicción, conjuntamente con la prueba documental, que viene a reafirmar, vulnera el derecho a un proceso con todas las garantías (art. 24. 2 CE).</w:t>
      </w:r>
    </w:p>
    <w:p w:rsidR="0026452D" w:rsidRDefault="0026452D" w:rsidP="0026452D">
      <w:pPr>
        <w:pStyle w:val="TextoNormal"/>
      </w:pPr>
    </w:p>
    <w:p w:rsidR="0026452D" w:rsidRDefault="0026452D" w:rsidP="0026452D">
      <w:pPr>
        <w:pStyle w:val="TextoNormal"/>
      </w:pPr>
      <w:r>
        <w:t>En lo relativo a la alegación del derecho a la presunción de inocencia, el Fiscal no aprecia lesión, puesto que, suprimida la valoración de la pericial, aun restaría la prueba documental gráfica que, con carácter independiente, podría ser objeto de valoración por la Audiencia Provincial.</w:t>
      </w:r>
    </w:p>
    <w:p w:rsidR="0026452D" w:rsidRDefault="0026452D" w:rsidP="0026452D">
      <w:pPr>
        <w:pStyle w:val="TextoNormal"/>
      </w:pPr>
    </w:p>
    <w:p w:rsidR="0026452D" w:rsidRDefault="0026452D" w:rsidP="0026452D">
      <w:pPr>
        <w:pStyle w:val="TextoNormal"/>
      </w:pPr>
      <w:r>
        <w:t xml:space="preserve">Los motivos tercero y cuarto del recurso los trata conjuntamente. Recuerda que este Tribunal se pronunció sobre la constitucionalidad del art. 319.2 CP en el ATC 395/2004, de 19 de octubre, FJ 4. Centrado seguidamente en las circunstancias del caso, subraya que ni el Juzgado de lo Penal ni la Audiencia Provincial aluden a la disposición urbanística que constituye el complemento normativo, cosa que puso de manifiesto la recurrente en amparo en </w:t>
      </w:r>
      <w:r>
        <w:lastRenderedPageBreak/>
        <w:t>el proceso. Por ello, aunque en las actuaciones constan referencias a la normativa urbanística aplicable, no parece que “el alcance de dichas disposiciones en orden a la integración del tipo penal en blanco, pueda ser determinado con carácter implícito, cuando exige una labor de selección e interpretación de la norma de cierta complejidad, y la publicación de una de las normas eventualmente aplicables se produce con posterioridad a la fecha de los hechos, lo que tiene aún mayor relevancia puesto que elemento fundamental del debate planteado es la fecha de construcción de la vivienda determinante de la apreciación o no de la prescripción del delito del art. 319 CP. Y esta circunstancia, además, añade un nuevo factor sobre este aspecto, en tanto que exige determinar la normativa integradora el tipo penal en blanco aplicable en la fecha de construcción de la vivienda, tanto si se tiene en cuenta la fecha del Juzgado Penal —finales de 2003— como la de Audiencia Provincial —22 de abril de 2005—.” Por consiguiente, la ausencia de cualquier mención en las resoluciones judiciales impugnadas a la normativa administrativa de referencia representa un déficit de motivación “por insuficiencia de integración del principio de certeza del principio de legalidad, indispensable para integrar la norma penal en blanco del art 319.2 CP”, lo que ocasiona la vulneración del principio de legalidad del art. 25.1 CE en conexión con el derecho a la tutela judicial efectiva (art. 24.1 CE).</w:t>
      </w:r>
    </w:p>
    <w:p w:rsidR="0026452D" w:rsidRDefault="0026452D" w:rsidP="0026452D">
      <w:pPr>
        <w:pStyle w:val="TextoNormal"/>
      </w:pPr>
    </w:p>
    <w:p w:rsidR="0026452D" w:rsidRDefault="0026452D" w:rsidP="0026452D">
      <w:pPr>
        <w:pStyle w:val="TextoNormal"/>
      </w:pPr>
      <w:r>
        <w:t>En suma, a juicio del Fiscal, se ha lesionado el derecho a un proceso con todas las garantías del art. 24.2 CE, por valorarse una prueba personal —pericial— sin sujeción a los principios de inmediación y contradicción, así como el principio de legalidad del art. 25.1 CE y el derecho a la tutela judicial efectiva (art. 24.1 CE), por omisión de todo pronunciamiento sobre la norma administrativa integradora del tipo penal aplicado, no dotando al mismo de la necesaria certeza. En atención a lo expuesto, interesa el otorgamiento del amparo, con retroacción de las actuaciones al momento anterior al del dictado de la Sentencia de apelación, a fin de que se dicte una nueva que resulte respetuosa con los derechos fundamentales enunciados.</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6 de mayo de 2013 se señaló para la deliberación y votación de la presente Sentencia el día 6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La demanda de amparo se dirige contra la Sentencia de 2 de marzo de 2009, dictada por la Sección Primera de la Audiencia Provincial de Almería en el rollo de apelación núm. 424-2008, que condenó a la demandante de amparo como autora de un delito contra la ordenación del territorio (art. 319.2 del Código penal: CP), así como contra el Auto de la misma Sala, de 5 de noviembre de 2009, que desestimó el incidente de nulidad de actuaciones interpuesto contra el anterior pronunciamiento. Estima la recurrente que ha sido vulnerado su derecho a la tutela judicial efectiva (art. 24.1 CE), por incongruencia en la identificación y determinación de vigencia de la norma urbanística que integraría la norma penal en blanco aplicada; el derecho a un proceso con todas las garantías (art. 24.2 CE), con efectos aparejados en la presunción de inocencia (art. 24.2 CE), por haberse revocado en segunda instancia una Sentencia absolutoria sin celebración de vista y a partir de la valoración de pruebas personales y, finalmente, el derecho a la legalidad penal (art. 25.1 CE), por indeterminación en la Sentencia de apelación de la norma urbanística que complementa o integra el tipo penal en blanco del art. 319.2 CP, así como por contravención del principio </w:t>
      </w:r>
      <w:r>
        <w:lastRenderedPageBreak/>
        <w:t>de irretroactividad de las normas penales, si se entendiera que la norma tomada en consideración en la integración del tipo fue —como podría desprenderse de la denuncia de la Fiscalía de la Audiencia Provincial— el plan especial de protección del medio físico de la provincia de Almería, que no podía desplegar efectos hasta su publicación completa (“Boletín Oficial de la Junta de Andalucía” núm. 50, de 12 de marzo de 2007, posterior por tanto a la denuncia).</w:t>
      </w:r>
    </w:p>
    <w:p w:rsidR="0026452D" w:rsidRDefault="0026452D" w:rsidP="0026452D">
      <w:pPr>
        <w:pStyle w:val="TextoNormal"/>
      </w:pPr>
    </w:p>
    <w:p w:rsidR="0026452D" w:rsidRDefault="0026452D" w:rsidP="0026452D">
      <w:pPr>
        <w:pStyle w:val="TextoNormal"/>
      </w:pPr>
      <w:r>
        <w:t>El Ministerio Fiscal comparte las quejas articuladas al amparo del derecho a un proceso con todas las garantías (art. 24.2 CE) y del principio de legalidad penal (art. 25.1 CE), en relación con el derecho a la tutela judicial efectiva (art. 24.1 CE), en lo que atañe a la omisión de pronunciamiento sobre la norma administrativa integradora del tipo penal.</w:t>
      </w:r>
    </w:p>
    <w:p w:rsidR="0026452D" w:rsidRDefault="0026452D" w:rsidP="0026452D">
      <w:pPr>
        <w:pStyle w:val="TextoNormal"/>
      </w:pPr>
    </w:p>
    <w:p w:rsidR="0026452D" w:rsidRDefault="0026452D" w:rsidP="0026452D">
      <w:pPr>
        <w:pStyle w:val="TextoNormal"/>
      </w:pPr>
      <w:r w:rsidRPr="0026452D">
        <w:rPr>
          <w:rStyle w:val="NumeroAFNegritaCaracter"/>
        </w:rPr>
        <w:t>2</w:t>
      </w:r>
      <w:r>
        <w:t>. En las SSTC 115/2002, de 20 de mayo, FJ 3; 65/2003, de 7 de abril, FJ 2; 198/2003, de 10 de noviembre, FJ 3; o, más recientemente, en la STC 126/2010, de 29 de noviembre, FJ 2, declaramos que corresponde a este Tribunal, en función de las circunstancias concurrentes en cada supuesto concreto sometido a su consideración, determinar no sólo el orden del examen de las quejas, sino también si resulta necesario o conveniente pronunciarse en la Sentencia sobre todas las lesiones de derechos constitucionales denunciadas, en el caso de que ya se haya apreciado la concurrencia de alguna de ellas.</w:t>
      </w:r>
    </w:p>
    <w:p w:rsidR="0026452D" w:rsidRDefault="0026452D" w:rsidP="0026452D">
      <w:pPr>
        <w:pStyle w:val="TextoNormal"/>
      </w:pPr>
    </w:p>
    <w:p w:rsidR="0026452D" w:rsidRDefault="0026452D" w:rsidP="0026452D">
      <w:pPr>
        <w:pStyle w:val="TextoNormal"/>
      </w:pPr>
      <w:r>
        <w:t>El examen de la demanda de amparo verifica que la recurrente denuncia con carácter principal que la Sentencia de la Audiencia Provincial de Almería, de 2 de marzo de 2009, vulneró sus derechos fundamentales a un proceso con todas las garantías, a la presunción de inocencia y a la legalidad penal (arts. 24.2 y 25.2 CE), lesiones que, de existir, no fueron reparadas por el Auto resolutorio del incidente de nulidad de actuaciones, dictado por la misma Sala en fecha 5 de noviembre de 2009. La demanda aduce asimismo la vulneración del art. 24.1 CE por incongruencia, articulando tal alegación como subsidiaria.</w:t>
      </w:r>
    </w:p>
    <w:p w:rsidR="0026452D" w:rsidRDefault="0026452D" w:rsidP="0026452D">
      <w:pPr>
        <w:pStyle w:val="TextoNormal"/>
      </w:pPr>
    </w:p>
    <w:p w:rsidR="0026452D" w:rsidRDefault="0026452D" w:rsidP="0026452D">
      <w:pPr>
        <w:pStyle w:val="TextoNormal"/>
      </w:pPr>
      <w:r>
        <w:t>Nada impide acoger la preferencia que atribuye la parte recurrente a aquellas primeras quejas. Debe indicarse, en particular, que su planteamiento no merece objeciones procesales, señaladamente en función del necesario agotamiento de la vía judicial previa. A diferencia de lo que ocurría en la STC 153/2012, de 16 de julio, que tenía por objeto la sustanciación de las lesiones autónomas producidas por el Auto de inadmisión de un incidente de nulidad, y como en cambio sucedía en la STC 107/2011, de 20 de junio, el remedio procesal del art. 241 de la Ley Orgánica del Poder Judicial dio ocasión al órgano judicial para reparar las vulneraciones de derechos imputadas a la Sentencia de 2 de marzo de 2009, dictada por la Sección Primera de la Audiencia Provincial de Almería en el rollo de apelación núm. 424-2008, sin que el hecho de su desestimación, que evidencia que no surtió el efecto que con él se procuraba, suponga una vulneración autónoma de los derechos que en él se invocaban, ni exija para su enjuiciamiento en amparo la interposición de un nuevo incidente de nulidad de actuaciones, conforme hemos señalado en la STC 11/2013, de 28 de enero, FJ 2.</w:t>
      </w:r>
    </w:p>
    <w:p w:rsidR="0026452D" w:rsidRDefault="0026452D" w:rsidP="0026452D">
      <w:pPr>
        <w:pStyle w:val="TextoNormal"/>
      </w:pPr>
    </w:p>
    <w:p w:rsidR="0026452D" w:rsidRDefault="0026452D" w:rsidP="0026452D">
      <w:pPr>
        <w:pStyle w:val="TextoNormal"/>
      </w:pPr>
      <w:r>
        <w:t>De otra parte, la preferencia que se atribuye a aquellas primeras quejas favorecerá la fijación de los efectos que cabe asignar a nuestra jurisprudencia sobre las garantías de inmediación y contradicción en segunda instancia penal cuando la Sentencia absolutoria de la primera lo fuera por prescripción extintiva de la responsabilidad criminal.</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3</w:t>
      </w:r>
      <w:r>
        <w:t>. Respecto de la primera infracción denunciada (derecho a un proceso con todas las garantías, atribuible al Tribunal de apelación), conviene traer a colación siquiera de manera sucinta la consolidada doctrina constitucional iniciada en la STC 167/2002, de 18 de septiembre, y reiterada en numerosas Sentencias posteriores. Conforme a ella el respeto a los principios de publicidad, inmediación y contradicción, que forman parte del contenido del derecho fundamental invocado, impone inexorablemente que toda condena articulada sobre pruebas personales se fundamente en una actividad probatoria que el órgano judicial haya examinado directa y personalmente en un debate público, en el que se respete la posibilidad de contradicción.</w:t>
      </w:r>
    </w:p>
    <w:p w:rsidR="0026452D" w:rsidRDefault="0026452D" w:rsidP="0026452D">
      <w:pPr>
        <w:pStyle w:val="TextoNormal"/>
      </w:pPr>
    </w:p>
    <w:p w:rsidR="0026452D" w:rsidRDefault="0026452D" w:rsidP="0026452D">
      <w:pPr>
        <w:pStyle w:val="TextoNormal"/>
      </w:pPr>
      <w:r>
        <w:t>Así, cuando en la apelación se planteen cuestiones de hecho suscitadas por la valoración o ponderación de pruebas personales de las que dependa la condena o absolución del acusado, resultará necesaria la celebración de vista pública en segunda instancia para que el órgano judicial de apelación pueda resolver tomando conocimiento directo e inmediato de dichas pruebas. Por tanto,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antes de corregir la efectuada por el órgano de instancia (entre tantas otras, SSTC 21/2009, de 26 de enero, FJ 2; 108/2009, de 11 de mayo, FJ 3; 118/2009, de 18 de mayo, FJ 3; 214/2009, de 30 de noviembre, FJ 2, y 30/2010, de 17 de mayo, FJ 2).</w:t>
      </w:r>
    </w:p>
    <w:p w:rsidR="0026452D" w:rsidRDefault="0026452D" w:rsidP="0026452D">
      <w:pPr>
        <w:pStyle w:val="TextoNormal"/>
      </w:pPr>
    </w:p>
    <w:p w:rsidR="0026452D" w:rsidRDefault="0026452D" w:rsidP="0026452D">
      <w:pPr>
        <w:pStyle w:val="TextoNormal"/>
      </w:pPr>
      <w:r>
        <w:t xml:space="preserve">Debemos extender esa misma exigencia a los casos en los que el debate procesal en apelación gire sobre la revisión de la declarada prescripción del delito y la apreciación de esa causa extintiva de la responsabilidad penal dependa completa o parcialmente de la valoración de pruebas personales. Como ya declaramos en la STC 30/2010, de 17 de mayo, FJ 4, con cita de la STC 63/2005, de 14 de marzo, en un supuesto en que la Sentencia de instancia también había sido absolutoria al apreciarse la prescripción, cuando se produce una valoración distinta de dicha prueba personal por el Tribunal </w:t>
      </w:r>
      <w:r w:rsidRPr="0026452D">
        <w:rPr>
          <w:i/>
        </w:rPr>
        <w:t>ad quem</w:t>
      </w:r>
      <w:r>
        <w:t xml:space="preserve"> sin celebración de vista oral del recurso de apelación, la misma se habrá practicado sin las debidas garantías de inmediación y de contradicción, sin que varíe esa conclusión la singularidad descrita (esto es, que la Sentencia del Juzgado, al acoger la prescripción respecto del ilícito penal, no exteriorizase valoración probatoria sobre la responsabilidad por el delito o, incluso y como ocurre en estos autos, que la realizase pero no le asignara consecuencia penal alguna al estimar prescrito el delito a efectos de punición).</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En el presente caso, el Juzgado de lo Penal núm. 1 de Almería, en su Sentencia de 18 de junio de 2008, absolvió a la demandante de amparo del delito del art. 319.2 CP por el que había sido acusada, estimando la prescripción del art. 131 CP, por haber transcurrido el plazo de tres años fijado en ese precepto para el tipo de infracciones enjuiciadas. Por el contrario, la Audiencia Provincial de Almería revocó en apelación dicho pronunciamiento, condenándola como autora del expresado delito. A tal fin, la Sala modificó el relato fáctico del Juez </w:t>
      </w:r>
      <w:r w:rsidRPr="0026452D">
        <w:rPr>
          <w:i/>
        </w:rPr>
        <w:t>a quo</w:t>
      </w:r>
      <w:r>
        <w:t xml:space="preserve"> y fundamentó en los nuevos hechos probados la inexistencia de prescripción y la sucesiva condena.</w:t>
      </w:r>
    </w:p>
    <w:p w:rsidR="0026452D" w:rsidRDefault="0026452D" w:rsidP="0026452D">
      <w:pPr>
        <w:pStyle w:val="TextoNormal"/>
      </w:pPr>
    </w:p>
    <w:p w:rsidR="0026452D" w:rsidRDefault="0026452D" w:rsidP="0026452D">
      <w:pPr>
        <w:pStyle w:val="TextoNormal"/>
      </w:pPr>
      <w:r>
        <w:t xml:space="preserve">Lo hizo, en primer lugar, al otorgar plena credibilidad a la perito de la Junta de Andalucía que elaboró los informes que la Sentencia cita, y que declaró en el acto del juicio que la obra estaba aún en ejecución en abril de 2005, soslayando en cambio aquellos otros testimonios </w:t>
      </w:r>
      <w:r>
        <w:lastRenderedPageBreak/>
        <w:t>—que ni siquiera menciona— en los que se basó el Juzgado para considerar que la vivienda estaba terminada en 2003 (con la consiguiente prescripción del delito).</w:t>
      </w:r>
    </w:p>
    <w:p w:rsidR="0026452D" w:rsidRDefault="0026452D" w:rsidP="0026452D">
      <w:pPr>
        <w:pStyle w:val="TextoNormal"/>
      </w:pPr>
    </w:p>
    <w:p w:rsidR="0026452D" w:rsidRDefault="0026452D" w:rsidP="0026452D">
      <w:pPr>
        <w:pStyle w:val="TextoNormal"/>
      </w:pPr>
      <w:r>
        <w:t>Sin embargo, al igual que sucedía en los supuestos resueltos por las SSTC 10/2004, de 9 de febrero, FJ 7, o 132/2009, de 1 de junio, FJ 3, la perito no se limitó a proporcionar a los jueces una máxima de experiencia o unas herramientas para apreciar un hecho científico, sino que, apreciando un hecho, realizó una valoración del mismo, de modo que la relación entre el dictamen y su valoración como prueba se produjo, precisamente, desde el prisma de su credibilidad. Así lo acredita que el órgano judicial se refiera en su razonamiento a lo declarado por aquélla en el acto del juicio a preguntas del Fiscal (fundamento de Derecho primero de la Sentencia de 2 de marzo de 2009).</w:t>
      </w:r>
    </w:p>
    <w:p w:rsidR="0026452D" w:rsidRDefault="0026452D" w:rsidP="0026452D">
      <w:pPr>
        <w:pStyle w:val="TextoNormal"/>
      </w:pPr>
    </w:p>
    <w:p w:rsidR="0026452D" w:rsidRDefault="0026452D" w:rsidP="0026452D">
      <w:pPr>
        <w:pStyle w:val="TextoNormal"/>
      </w:pPr>
      <w:r>
        <w:t xml:space="preserve">Por ello, dado que la revisión de la valoración de la prueba pericial efectuada por el órgano </w:t>
      </w:r>
      <w:r w:rsidRPr="0026452D">
        <w:rPr>
          <w:i/>
        </w:rPr>
        <w:t>a quo</w:t>
      </w:r>
      <w:r>
        <w:t xml:space="preserve"> no se limitó al contenido de los informes periciales (todos ellos realizados por la misma persona y referentes a la situación de la vivienda en una misma fecha, 22 de abril de 2005), sino que se proyectó sobre la credibilidad de las valoraciones efectuadas en el juicio oral por la perito que era autora de los mismos, que no fue oída directamente por la Sala, debe declararse vulnerado el derecho a un proceso con todas las garantías (art. 24.2 CE).</w:t>
      </w:r>
    </w:p>
    <w:p w:rsidR="0026452D" w:rsidRDefault="0026452D" w:rsidP="0026452D">
      <w:pPr>
        <w:pStyle w:val="TextoNormal"/>
      </w:pPr>
    </w:p>
    <w:p w:rsidR="0026452D" w:rsidRDefault="0026452D" w:rsidP="0026452D">
      <w:pPr>
        <w:pStyle w:val="TextoNormal"/>
      </w:pPr>
      <w:r>
        <w:t xml:space="preserve">En suma, como sostiene el Fiscal, los informes periciales carecían de la eficacia revisora que les otorga el Tribunal </w:t>
      </w:r>
      <w:r w:rsidRPr="0026452D">
        <w:rPr>
          <w:i/>
        </w:rPr>
        <w:t>ad quem</w:t>
      </w:r>
      <w:r>
        <w:t>, pues fueron llevados al plenario y sometidos a contradicción, de suerte que los testimonios de la perito en el juicio oral revisten una naturaleza personal incuestionable que impide al Tribunal de apelación apartarse de las conclusiones obtenidas por el Juez de instancia sin celebrar previamente vista pública y haber oído personal y directamente a la autora de tales declaraciones (en ese sentido, STC 144/2012, de 2 de julio, FJ 5). Los datos derivados de aquellos informes, dicho de otro modo, estaban absolutamente imbricados con las declaraciones desarrolladas en el juicio.</w:t>
      </w:r>
    </w:p>
    <w:p w:rsidR="0026452D" w:rsidRDefault="0026452D" w:rsidP="0026452D">
      <w:pPr>
        <w:pStyle w:val="TextoNormal"/>
      </w:pPr>
    </w:p>
    <w:p w:rsidR="0026452D" w:rsidRDefault="0026452D" w:rsidP="0026452D">
      <w:pPr>
        <w:pStyle w:val="TextoNormal"/>
      </w:pPr>
      <w:r w:rsidRPr="0026452D">
        <w:rPr>
          <w:rStyle w:val="NumeroAFNegritaCaracter"/>
        </w:rPr>
        <w:t>5</w:t>
      </w:r>
      <w:r>
        <w:t>. Como ha quedado apuntado anteriormente, se alcanza el mismo resultado si advertimos que la Audiencia Provincial de Almería revisó indirectamente la veracidad de otros testimonios. En efecto, lo determinante para la aplicación de la doctrina de la STC 167/2002, de 18 de septiembre, no es sólo si la valoración de la prueba efectuada en segunda instancia se refiere a pruebas personales necesitadas de inmediación para su correcto enjuiciamiento, sino además si la distinta valoración y consiguiente modificación de hechos probados contradice un juicio absolutorio cimentado en otras pruebas personales.</w:t>
      </w:r>
    </w:p>
    <w:p w:rsidR="0026452D" w:rsidRDefault="0026452D" w:rsidP="0026452D">
      <w:pPr>
        <w:pStyle w:val="TextoNormal"/>
      </w:pPr>
    </w:p>
    <w:p w:rsidR="0026452D" w:rsidRDefault="0026452D" w:rsidP="0026452D">
      <w:pPr>
        <w:pStyle w:val="TextoNormal"/>
      </w:pPr>
      <w:r>
        <w:t xml:space="preserve">Desde ese prisma, la Sentencia de 2 de marzo de 2009 supone un juicio negativo sobre la credibilidad de las declaraciones efectuadas por la recurrente en amparo y los testigos que depusieron en el acto del juicio y a cuyas declaraciones el órgano </w:t>
      </w:r>
      <w:r w:rsidRPr="0026452D">
        <w:rPr>
          <w:i/>
        </w:rPr>
        <w:t>a quo</w:t>
      </w:r>
      <w:r>
        <w:t xml:space="preserve"> atribuyó veracidad. Efectivamente, el Juzgado de lo Penal fundó su conclusión sobre la fecha de finalización de las obras en los testimonios del alcalde de la localidad, de un vecino y de la recurrente, por lo que el juicio discrepante de la Audiencia presupone dudar de lo manifestado por todos ellos, debiendo, en consecuencia, haberles oído (STC 46/2011, de 11 de abril, FJ 3).</w:t>
      </w:r>
    </w:p>
    <w:p w:rsidR="0026452D" w:rsidRDefault="0026452D" w:rsidP="0026452D">
      <w:pPr>
        <w:pStyle w:val="TextoNormal"/>
      </w:pPr>
    </w:p>
    <w:p w:rsidR="0026452D" w:rsidRDefault="0026452D" w:rsidP="0026452D">
      <w:pPr>
        <w:pStyle w:val="TextoNormal"/>
      </w:pPr>
      <w:r>
        <w:t>La quiebra de ese segundo plano de la garantía se advierte con claridad en la Sentencia recurrida, que afirma que los hechos probados de la Sentencia de instancia estaban susten</w:t>
      </w:r>
      <w:r>
        <w:lastRenderedPageBreak/>
        <w:t>tados en “meros testimonios o declaraciones” que considera desvirtuados por la prueba pericial y el testimonio de la perito en el acto del juicio, acreditativos a su juicio de que la vivienda en cuestión estaba en construcción el día 22 de abril de 2005 (fundamento de Derecho primero de la Sentencia de apelación). Se evidencia de ese modo que el órgano judicial no sólo llega a tal conclusión con base en esas pruebas sino que posterga las restantes, sin escuchar a los protagonistas de unas y otras, celebrando la oportuna vista.</w:t>
      </w:r>
    </w:p>
    <w:p w:rsidR="0026452D" w:rsidRDefault="0026452D" w:rsidP="0026452D">
      <w:pPr>
        <w:pStyle w:val="TextoNormal"/>
      </w:pPr>
    </w:p>
    <w:p w:rsidR="0026452D" w:rsidRDefault="0026452D" w:rsidP="0026452D">
      <w:pPr>
        <w:pStyle w:val="TextoNormal"/>
      </w:pPr>
      <w:r>
        <w:t>Bajo esas circunstancias, la Sentencia de 2 de marzo de 2009, dictada por la Sección Primera de la Audiencia Provincial de Almería en el rollo de apelación núm. 424-2008, que revocando la Sentencia absolutoria del Juzgado de lo Penal núm.1 de Almería, de 18 de junio de 2008, condenó a la demandante de amparo como autora de un delito del art. 319.2 CP, ha vulnerado el derecho a un proceso con todas las garantías de la recurrente (art. 24.2 CE).</w:t>
      </w:r>
    </w:p>
    <w:p w:rsidR="0026452D" w:rsidRDefault="0026452D" w:rsidP="0026452D">
      <w:pPr>
        <w:pStyle w:val="TextoNormal"/>
      </w:pPr>
    </w:p>
    <w:p w:rsidR="0026452D" w:rsidRDefault="0026452D" w:rsidP="0026452D">
      <w:pPr>
        <w:pStyle w:val="TextoNormal"/>
      </w:pPr>
      <w:r w:rsidRPr="0026452D">
        <w:rPr>
          <w:rStyle w:val="NumeroAFNegritaCaracter"/>
        </w:rPr>
        <w:t>6</w:t>
      </w:r>
      <w:r>
        <w:t>. Según una conocida doctrina de este Tribunal Constitucional, la constatación de la anterior vulneración puede determinar también la del derecho a la presunción de inocencia (art. 24.2 CE), siempre que la eliminación de las pruebas irregularmente valoradas deje sin sustento el relato de hechos probados que soporta la declaración de culpabilidad del acusado. Así lo aduce la recurrente, pese a la singularidad indicada anteriormente (Sentencia de instancia que declaraba la prescripción del delito).</w:t>
      </w:r>
    </w:p>
    <w:p w:rsidR="0026452D" w:rsidRDefault="0026452D" w:rsidP="0026452D">
      <w:pPr>
        <w:pStyle w:val="TextoNormal"/>
      </w:pPr>
    </w:p>
    <w:p w:rsidR="0026452D" w:rsidRDefault="0026452D" w:rsidP="0026452D">
      <w:pPr>
        <w:pStyle w:val="TextoNormal"/>
      </w:pPr>
      <w:r>
        <w:t>Sin embargo, la situación analizada en este recurso no permite encuadrar el debate en el derecho aducido. Es indudable, como señalamos en la STC 63/2005, de 14 de marzo, que la decisión judicial de apelación, revocatoria de la prescripción extintiva de la infracción penal, ha sido presupuesto de la Sentencia condenatoria, pero ello no equivale a la vulneración de aquel derecho. En efecto, en el presente caso la modificación operada en los hechos probados sobre la fecha de la ejecución de la obra, que desencadena la desestimación de la prescripción y, sucesivamente, el juicio valorativo sobre el ilícito penal con la condena consiguiente, no se proyectó directamente sobre la responsabilidad criminal de la recurrente, sino sobre la prescripción del delito contra la ordenación del territorio por el que era acusada (art. 319.2 CP). El fundamento de Derecho primero de la Sentencia de 2 de marzo de 2009, por tanto, no repercutió en la presunción de inocencia de la demandante de amparo sino que incidió, antes bien, en los límites de la jurisdicción ordinaria cuando aplica el instituto de la prescripción; terreno en el que actúan las exigencias del derecho a la tutela judicial efectiva (art. 24.1 CE), en relación con los restantes derechos fundamentales y valores constitucionales en juego en estos casos, como la libertad (entre tantas otras, SSTC 206/2009, de 23 de noviembre, FJ 3, y 133/2011, de 18 de junio, FJ 3).</w:t>
      </w:r>
    </w:p>
    <w:p w:rsidR="0026452D" w:rsidRDefault="0026452D" w:rsidP="0026452D">
      <w:pPr>
        <w:pStyle w:val="TextoNormal"/>
      </w:pPr>
    </w:p>
    <w:p w:rsidR="0026452D" w:rsidRDefault="0026452D" w:rsidP="0026452D">
      <w:pPr>
        <w:pStyle w:val="TextoNormal"/>
      </w:pPr>
      <w:r>
        <w:t>Este último derecho (art. 24.1 CE), y no aquél alegado a la presunción de inocencia (art. 24.2 CE), es entonces el potencialmente comprometido en esta tipología de casos. No obstante, como quiera que esa vertiente del derecho a la tutela judicial efectiva no ha sido planteada en el recurso de amparo —ni tampoco propiamente en la vía judicial—, no procederá examinar la regularidad constitucional de la Sentencia impugnada desde ese prisma.</w:t>
      </w:r>
    </w:p>
    <w:p w:rsidR="0026452D" w:rsidRDefault="0026452D" w:rsidP="0026452D">
      <w:pPr>
        <w:pStyle w:val="TextoNormal"/>
      </w:pPr>
    </w:p>
    <w:p w:rsidR="0026452D" w:rsidRDefault="0026452D" w:rsidP="0026452D">
      <w:pPr>
        <w:pStyle w:val="TextoNormal"/>
      </w:pPr>
      <w:r w:rsidRPr="0026452D">
        <w:rPr>
          <w:rStyle w:val="NumeroAFNegritaCaracter"/>
        </w:rPr>
        <w:t>7</w:t>
      </w:r>
      <w:r>
        <w:t>. Sí deberemos determinar, por el contrario, los efectos que acarrea en esta ocasión la declaración de vulneración del derecho a un proceso con todas las garantías (art. 24.2 CE), acogida en el fundamento jurídico quinto de esta resolución.</w:t>
      </w:r>
    </w:p>
    <w:p w:rsidR="0026452D" w:rsidRDefault="0026452D" w:rsidP="0026452D">
      <w:pPr>
        <w:pStyle w:val="TextoNormal"/>
      </w:pPr>
    </w:p>
    <w:p w:rsidR="0026452D" w:rsidRDefault="0026452D" w:rsidP="0026452D">
      <w:pPr>
        <w:pStyle w:val="TextoNormal"/>
      </w:pPr>
      <w:r>
        <w:lastRenderedPageBreak/>
        <w:t>La alteración en segunda instancia del juicio sobre la prescripción que no respete el canon de constitucionalidad recién enunciado, o que se funde en una vulneración del derecho a un proceso con todas las garantías, como la que hemos apreciado en este caso, impondrá la anulación de la Sentencia revocatoria, sin retroacción de actuaciones, cuando la resolución recurrida quede despojada con ello de un fundamento constitucionalmente admisible, esto es, cuando la eliminación de la prueba irregularmente valorada en segunda instancia prive de sustento alguno al relato de hechos probados que soporta el cambio de criterio sobre la prescripción, en cuyo caso deberá prevalecer el juicio absolutorio de la Sentencia revocada. Así sucederá si la prueba eliminada fue la única tomada en consideración por la resolución impugnada, pero también si, a partir de su propia motivación, se constata que era esencial para llegar a la conclusión fáctica, de modo que con su exclusión la inferencia de dicha conclusión devenga ilógica o no concluyente.</w:t>
      </w:r>
    </w:p>
    <w:p w:rsidR="0026452D" w:rsidRDefault="0026452D" w:rsidP="0026452D">
      <w:pPr>
        <w:pStyle w:val="TextoNormal"/>
      </w:pPr>
    </w:p>
    <w:p w:rsidR="0026452D" w:rsidRDefault="0026452D" w:rsidP="0026452D">
      <w:pPr>
        <w:pStyle w:val="TextoNormal"/>
      </w:pPr>
      <w:r>
        <w:t>Cosa distinta ocurrirá, en cambio, cuando existan otras pruebas distintas de las anuladas que hayan justificado la modificación del juicio sobre la prescripción extintiva y que no precisaran de inmediación para ser valoradas en segunda instancia. En esa hipótesis —al igual que acontece cuando nos referimos a otras pruebas válidas y autónomas de las suprimidas por lesivas en un juicio sobre la responsabilidad criminal— la decisión judicial podría contar con un soporte constitucionalmente apto, excluyendo la lesión o, en su caso, como seguidamente se razonará, justificando la retroacción de las actuaciones.</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Pues bien, en el supuesto actual la Sentencia consideró errónea la apreciación de la prueba documental y pericial efectuada por el juzgador </w:t>
      </w:r>
      <w:r w:rsidRPr="0026452D">
        <w:rPr>
          <w:i/>
        </w:rPr>
        <w:t>a quo</w:t>
      </w:r>
      <w:r>
        <w:t xml:space="preserve"> para precisar la fecha de finalización de la construcción de la vivienda, y modificó los hechos probados con un doble argumento. El primero se localizaba en los informes y en la declaración en el plenario de la perito, cuya ponderación ya hemos invalidado por la aplicación extensiva de la doctrina de la STC 167/2002. El segundo, en cambio, se sostenía en prueba documental.</w:t>
      </w:r>
    </w:p>
    <w:p w:rsidR="0026452D" w:rsidRDefault="0026452D" w:rsidP="0026452D">
      <w:pPr>
        <w:pStyle w:val="TextoNormal"/>
      </w:pPr>
    </w:p>
    <w:p w:rsidR="0026452D" w:rsidRDefault="0026452D" w:rsidP="0026452D">
      <w:pPr>
        <w:pStyle w:val="TextoNormal"/>
      </w:pPr>
      <w:r>
        <w:t xml:space="preserve">Como es sabido, la garantía de inmediación en la segunda instancia penal únicamente alcanza a la correcta valoración de las pruebas de carácter personal, no siendo exigible cuando la condena se haya basado en otras pruebas —en concreto la documental—, cuya valoración sí es posible sin necesidad de reproducción del debate procesal (por todas, STC 154/2011, de 17 de octubre, FJ 2). Ese parámetro de constitucionalidad propio del juicio sobre la responsabilidad criminal —siguiendo ahora la misma lógica del fundamento jurídico tercero de este pronunciamiento respecto de las pruebas personales— debe extenderse también a las modificaciones fácticas de fuente documental que determinen una distinta apreciación de la prescripción por parte del Tribunal </w:t>
      </w:r>
      <w:r w:rsidRPr="0026452D">
        <w:rPr>
          <w:i/>
        </w:rPr>
        <w:t>ad quem</w:t>
      </w:r>
      <w:r>
        <w:t>. Por tanto, es concebible el cambio de criterio sobre la prescripción si nace de una distinta valoración de prueba documental, sin que en esa hipótesis sea en principio obligada la celebración de vista.</w:t>
      </w:r>
    </w:p>
    <w:p w:rsidR="0026452D" w:rsidRDefault="0026452D" w:rsidP="0026452D">
      <w:pPr>
        <w:pStyle w:val="TextoNormal"/>
      </w:pPr>
    </w:p>
    <w:p w:rsidR="0026452D" w:rsidRDefault="0026452D" w:rsidP="0026452D">
      <w:pPr>
        <w:pStyle w:val="TextoNormal"/>
      </w:pPr>
      <w:r>
        <w:t>Desde ese enfoque, para nutrir la afirmación de la no finalización de la obra en abril de 2005, la Sentencia recurrida declara lo siguiente: “[t]ambién puede apreciarse, cotejando las fotografías obrantes al folio 119, tomada el 22.4.05, y la obrante al folio 46, tomada el 13.11.06, como la vivienda no estaba finalizada el día 22.4.05 aunque la fotografía obrante al folio 119 es una fotocopia, sin la nitidez deseable, puede apreciarse como aún no estaba construida la barandilla de la terraza de la primera planta, y como hay material de construcción en dicha terraza”.</w:t>
      </w:r>
    </w:p>
    <w:p w:rsidR="0026452D" w:rsidRDefault="0026452D" w:rsidP="0026452D">
      <w:pPr>
        <w:pStyle w:val="TextoNormal"/>
      </w:pPr>
    </w:p>
    <w:p w:rsidR="0026452D" w:rsidRDefault="0026452D" w:rsidP="0026452D">
      <w:pPr>
        <w:pStyle w:val="TextoNormal"/>
      </w:pPr>
      <w:r>
        <w:lastRenderedPageBreak/>
        <w:t xml:space="preserve">A partir del análisis de dicha motivación, no podemos concluir si la declaración efectuada sobre la inexistencia de la prescripción encuentra o no, al margen de las pruebas personales valoradas, fundamento autónomo en tales pruebas documentales, y si éstas contrarrestan efectivamente aquéllas a las que atendió el juzgador </w:t>
      </w:r>
      <w:r w:rsidRPr="0026452D">
        <w:rPr>
          <w:i/>
        </w:rPr>
        <w:t>a quo</w:t>
      </w:r>
      <w:r>
        <w:t>. Por ello, procede acordar la retroacción de actuaciones al momento anterior a dictar Sentencia, para que el órgano de apelación explicite la conclusión que corresponda con base en la prueba documental citada, procediendo al juicio sobre la responsabilidad criminal sólo si al margen de la prueba cuya valoración anulamos, por su carácter personal y el defecto de inmediación reseñado, y con fundamento exclusivo en la prueba gráfica, cabe mantener la modificación fáctica y la apreciación que hizo sobre la prescripción extintiva (art. 24.2 CE).</w:t>
      </w:r>
    </w:p>
    <w:p w:rsidR="0026452D" w:rsidRDefault="0026452D" w:rsidP="0026452D">
      <w:pPr>
        <w:pStyle w:val="TextoNormal"/>
      </w:pPr>
    </w:p>
    <w:p w:rsidR="0026452D" w:rsidRDefault="0026452D" w:rsidP="0026452D">
      <w:pPr>
        <w:pStyle w:val="TextoNormal"/>
      </w:pPr>
      <w:r w:rsidRPr="0026452D">
        <w:rPr>
          <w:rStyle w:val="NumeroAFNegritaCaracter"/>
        </w:rPr>
        <w:t>9</w:t>
      </w:r>
      <w:r>
        <w:t>. De acuerdo con los anteriores fundamentos jurídicos, debemos declarar la lesión del derecho a un proceso con todas las garantías (art. 24.2 CE), al haberse modificado el relato fáctico valorando pruebas personales sin inmediación. Sin embargo, sentado que la prueba gráfica, una vez desvinculada de la de carácter personal, podría eventualmente confirmar los términos de la resolución impugnada en lo relativo a la prescripción, deberá ser la Sala sentenciadora quien valore las pruebas restantes a fin de mantener o revisar tal declaración. En consecuencia, procederá ordenar la retroacción de las actuaciones.</w:t>
      </w:r>
    </w:p>
    <w:p w:rsidR="0026452D" w:rsidRDefault="0026452D" w:rsidP="0026452D">
      <w:pPr>
        <w:pStyle w:val="TextoNormal"/>
      </w:pPr>
    </w:p>
    <w:p w:rsidR="0026452D" w:rsidRDefault="0026452D" w:rsidP="0026452D">
      <w:pPr>
        <w:pStyle w:val="TextoNormal"/>
      </w:pPr>
      <w:r>
        <w:t>A la vista de todo ello, no será preciso examinar el resto de las alegaciones de la demanda de amparo.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doña Concepción Reyes Martín Gutiérrez y, en consecuencia:</w:t>
      </w:r>
    </w:p>
    <w:p w:rsidR="0026452D" w:rsidRDefault="0026452D" w:rsidP="0026452D">
      <w:pPr>
        <w:pStyle w:val="TextoNormal"/>
      </w:pPr>
    </w:p>
    <w:p w:rsidR="0026452D" w:rsidRDefault="0026452D" w:rsidP="0026452D">
      <w:pPr>
        <w:pStyle w:val="TextoNormal"/>
      </w:pPr>
      <w:r>
        <w:t>1º Reconocer su derecho a un proceso con todas las garantías (art. 24.2 CE).</w:t>
      </w:r>
    </w:p>
    <w:p w:rsidR="0026452D" w:rsidRDefault="0026452D" w:rsidP="0026452D">
      <w:pPr>
        <w:pStyle w:val="TextoNormal"/>
      </w:pPr>
    </w:p>
    <w:p w:rsidR="0026452D" w:rsidRDefault="0026452D" w:rsidP="0026452D">
      <w:pPr>
        <w:pStyle w:val="TextoNormal"/>
      </w:pPr>
      <w:r>
        <w:t>2º Declarar la nulidad de la Sentencia de la de 2 de marzo de 2009, dictada por la Sección Primera de la Audiencia Provincial de Almería en el rollo de apelación núm. 424-2008, así como del Auto del mismo órgano judicial, de 5 de noviembre de 2009, desestimatorio de la nulidad planteada.</w:t>
      </w:r>
    </w:p>
    <w:p w:rsidR="0026452D" w:rsidRDefault="0026452D" w:rsidP="0026452D">
      <w:pPr>
        <w:pStyle w:val="TextoNormal"/>
      </w:pPr>
    </w:p>
    <w:p w:rsidR="0026452D" w:rsidRDefault="0026452D" w:rsidP="0026452D">
      <w:pPr>
        <w:pStyle w:val="TextoNormal"/>
      </w:pPr>
      <w:r>
        <w:t>3º Retrotraer las actuaciones al momento inmediato anterior al dictado de la Sentencia, para que en su lugar se pronuncie otra que resulte respetuosa con el derecho fundamental vulnerado.</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seis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09" w:name="SENTENCIA_2013_106"/>
      <w:r>
        <w:lastRenderedPageBreak/>
        <w:t>SENTENCIA 106/2013, de 6 de mayo de 2013</w:t>
      </w:r>
    </w:p>
    <w:bookmarkEnd w:id="109"/>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133, de 4 de junio de 2013)</w:t>
      </w:r>
    </w:p>
    <w:p w:rsidR="0026452D" w:rsidRDefault="0026452D" w:rsidP="0026452D">
      <w:pPr>
        <w:pStyle w:val="TtuloBOE"/>
      </w:pPr>
    </w:p>
    <w:p w:rsidR="0026452D" w:rsidRDefault="0026452D" w:rsidP="0026452D">
      <w:pPr>
        <w:pStyle w:val="SntesisDescriptiva"/>
      </w:pPr>
      <w:r>
        <w:t>ECLI:ES:TC:2013:106</w:t>
      </w:r>
    </w:p>
    <w:p w:rsidR="0026452D" w:rsidRDefault="0026452D" w:rsidP="0026452D">
      <w:pPr>
        <w:pStyle w:val="SntesisDescriptiva"/>
      </w:pPr>
    </w:p>
    <w:p w:rsidR="0026452D" w:rsidRDefault="0026452D" w:rsidP="0026452D">
      <w:pPr>
        <w:pStyle w:val="SntesisDescriptiva"/>
      </w:pPr>
      <w:r>
        <w:t>Recurso de amparo 8996-2010. Promovido por Pinturas Eurotex, S.A., y Palacete de los Lasso, S.L.U., respecto de las resoluciones de un Juzgado de Primera Instancia e Instrucción de Cáceres y de la Audiencia Provincial que sobreseyeron su demanda sobre contrato de compraventa.</w:t>
      </w:r>
    </w:p>
    <w:p w:rsidR="0026452D" w:rsidRDefault="0026452D" w:rsidP="0026452D">
      <w:pPr>
        <w:pStyle w:val="SntesisDescriptiva"/>
      </w:pPr>
    </w:p>
    <w:p w:rsidR="0026452D" w:rsidRDefault="0026452D" w:rsidP="0026452D">
      <w:pPr>
        <w:pStyle w:val="SntesisAnaltica"/>
      </w:pPr>
      <w:r>
        <w:t>Vulneración del derecho a la tutela judicial efectiva (acceso a la justicia): apreciación de la excepción de litispendencia contraviniendo el carácter voluntario de la reconvención (STC 71/2010).</w:t>
      </w:r>
    </w:p>
    <w:p w:rsidR="0026452D" w:rsidRDefault="0026452D" w:rsidP="0026452D">
      <w:pPr>
        <w:pStyle w:val="SntesisAnaltica"/>
      </w:pPr>
    </w:p>
    <w:p w:rsidR="0026452D" w:rsidRDefault="0026452D" w:rsidP="0026452D">
      <w:pPr>
        <w:pStyle w:val="Extracto"/>
      </w:pPr>
      <w:r>
        <w:t>1.</w:t>
      </w:r>
      <w:r>
        <w:tab/>
        <w:t>Entender, como han hecho los órganos judiciales, que la reconvención es necesaria para evitar la preclusión de las pretensiones supone una interpretación lesiva del derecho a la tutela judicial efectiva en su vertiente de acceso a la justicia, en la medida que restringe desproporcionadamente el derecho del demandado que optó por no reconvenir, produciendo unos efectos perjudiciales en su esfera jurídica, ya que la decisión de reconvenir o de no hacerlo se regula como un derecho, no como un deber [FJ 5].</w:t>
      </w:r>
    </w:p>
    <w:p w:rsidR="0026452D" w:rsidRDefault="0026452D" w:rsidP="0026452D">
      <w:pPr>
        <w:pStyle w:val="Extracto"/>
      </w:pPr>
    </w:p>
    <w:p w:rsidR="0026452D" w:rsidRDefault="0026452D" w:rsidP="0026452D">
      <w:pPr>
        <w:pStyle w:val="Extracto"/>
      </w:pPr>
      <w:r>
        <w:t>2.</w:t>
      </w:r>
      <w:r>
        <w:tab/>
        <w:t xml:space="preserve">En el caso del derecho de acceso a la jurisdicción, donde opera en toda su intensidad el principio </w:t>
      </w:r>
      <w:r w:rsidRPr="0026452D">
        <w:rPr>
          <w:i/>
        </w:rPr>
        <w:t>pro actione</w:t>
      </w:r>
      <w:r>
        <w:t>, el canon de control no se limita a la verificación de si la resolución de inadmisión o desestimación incurre en arbitrariedad, irrazonabilidad o error patente, sino que también comprende el análisis de si resulta o no desproporcionada por su rigorismo o formalismo excesivos (STC 71/2010) [FJ 4].</w:t>
      </w:r>
    </w:p>
    <w:p w:rsidR="0026452D" w:rsidRDefault="0026452D" w:rsidP="0026452D">
      <w:pPr>
        <w:pStyle w:val="Extracto"/>
      </w:pPr>
    </w:p>
    <w:p w:rsidR="0026452D" w:rsidRDefault="0026452D" w:rsidP="0026452D">
      <w:pPr>
        <w:pStyle w:val="Extracto"/>
      </w:pPr>
      <w:r>
        <w:t>3.</w:t>
      </w:r>
      <w:r>
        <w:tab/>
        <w:t xml:space="preserve">La apreciación de la existencia de cosa juzgada es una cuestión de legalidad ordinaria que este Tribunal solamente podría censurar si la interpretación efectuada por los órganos judiciales fuera contraria al principio </w:t>
      </w:r>
      <w:r w:rsidRPr="0026452D">
        <w:rPr>
          <w:i/>
        </w:rPr>
        <w:t>pro actione</w:t>
      </w:r>
      <w:r>
        <w:t>, siendo estas consideraciones aplicables a los efectos de la litispendencia (SSTC 32/2005, 10/2012) [FJ 4].</w:t>
      </w:r>
    </w:p>
    <w:p w:rsidR="0026452D" w:rsidRDefault="0026452D" w:rsidP="0026452D">
      <w:pPr>
        <w:pStyle w:val="Extracto"/>
      </w:pPr>
    </w:p>
    <w:p w:rsidR="0026452D" w:rsidRDefault="0026452D" w:rsidP="0026452D">
      <w:pPr>
        <w:pStyle w:val="Extracto"/>
      </w:pPr>
      <w:r>
        <w:t>4.</w:t>
      </w:r>
      <w:r>
        <w:tab/>
        <w:t xml:space="preserve">El requisito del agotamiento de la vía judicial, </w:t>
      </w:r>
      <w:r w:rsidRPr="0026452D">
        <w:rPr>
          <w:i/>
        </w:rPr>
        <w:t>ex</w:t>
      </w:r>
      <w:r>
        <w:t xml:space="preserve"> art. 44.1 a) LOTC, como condición de admisibilidad del recurso de amparo, responde a la finalidad de preservar el carácter subsidiario del mismo, evitando que el acceso a la jurisdicción constitucional se produzca </w:t>
      </w:r>
      <w:r w:rsidRPr="0026452D">
        <w:rPr>
          <w:i/>
        </w:rPr>
        <w:t>per saltum</w:t>
      </w:r>
      <w:r>
        <w:t>, es decir, sin brindar a los órganos judiciales la oportunidad de pronunciarse y, en su caso, remediar la lesión invocada como fundamento del recurso de amparo constitucional (STC 1/2013) [FJ 3].</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8996-2010, promovido por Pinturas Eurotex, S.A., y Palacete de los Lasso, S.L.U., representadas por la Procuradora de los Tribunales doña María de la Concepción Moreno de Barreda Rovira y asistidas por el Letrado don Luis Olivencia Brugger, contra el Auto del Juzgado de Primera Instancia e Instrucción núm. 5 de Cáceres de 26 de julio de 2010 y frente al Auto de 9 de noviembre de 2010 de la Audiencia Provincial de Cáceres que desestimó el recurso de apelación interpuesto frente a aquél. Ha intervenido el Ministerio Fiscal; ha comparecido la Procuradora doña Miriam Rodríguez Crespo en nombre y representación de don Carlos Lavara García y de doña Ana Extremera Extremera, asistidos por el Abogado don José Luis González Roncero. Ha sido Ponente el Magistrado don Luis Ignacio Ortega Álvarez,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27 de diciembre de 2010 las demandantes interpusieron recurso de amparo contra las resoluciones citadas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los que se fundamenta la demanda son, sucintamente expuestos, los siguientes:</w:t>
      </w:r>
    </w:p>
    <w:p w:rsidR="0026452D" w:rsidRDefault="0026452D" w:rsidP="0026452D">
      <w:pPr>
        <w:pStyle w:val="TextoNormal"/>
      </w:pPr>
    </w:p>
    <w:p w:rsidR="0026452D" w:rsidRDefault="0026452D" w:rsidP="0026452D">
      <w:pPr>
        <w:pStyle w:val="TextoNormal"/>
      </w:pPr>
      <w:r>
        <w:t>La parte demandante adquirió mediante escritura pública participaciones sociales de la sociedad Extremeña de Esmaltes y Barnices, S.L.; dicha escritura fue suscrita el 29 de abril de 2008 entre la ahora recurrente como parte compradora de un lado, y don Carlos Lavara García y doña Ana Extremera Extremera, como parte vendedora.</w:t>
      </w:r>
    </w:p>
    <w:p w:rsidR="0026452D" w:rsidRDefault="0026452D" w:rsidP="0026452D">
      <w:pPr>
        <w:pStyle w:val="TextoNormal"/>
      </w:pPr>
    </w:p>
    <w:p w:rsidR="0026452D" w:rsidRDefault="0026452D" w:rsidP="0026452D">
      <w:pPr>
        <w:pStyle w:val="TextoNormal"/>
      </w:pPr>
      <w:r>
        <w:t>Como consecuencia de dicha compraventa se tramitaron dos procedimientos judiciales. El primero de ellos en el Juzgado de Primera Instancia núm. 2 de Cáceres, a instancia de don Carlos Lavara García y de doña Ana Extremera Extremera y en el que la parte ahora recurrente en amparo era parte demandada, tenía como objeto que se procediese al relevo de las garantías prestadas en dos operaciones bancarias llevadas a cabo por Extremeña de Esmaltes y Barnices, S.L. En este procedimiento los ahora recurrentes de amparo se allanaron parcialmente, reconociendo sus obligaciones contractuales en cuanto al relevo de garantías, pero negando cualquier obligación relativa a tener que cancelarlas a su costa. En este primer proceso se dictó Auto de suspensión por existir cuestión prejudicial civil, por la existencia del proceso que seguidamente se reseña.</w:t>
      </w:r>
    </w:p>
    <w:p w:rsidR="0026452D" w:rsidRDefault="0026452D" w:rsidP="0026452D">
      <w:pPr>
        <w:pStyle w:val="TextoNormal"/>
      </w:pPr>
    </w:p>
    <w:p w:rsidR="0026452D" w:rsidRDefault="0026452D" w:rsidP="0026452D">
      <w:pPr>
        <w:pStyle w:val="TextoNormal"/>
      </w:pPr>
      <w:r>
        <w:t xml:space="preserve">Es en el segundo procedimiento judicial, seguido ante el Juzgado de Primera Instancia núm. 5 de Cáceres, en el que se produce, a juicio de los ahora demandantes de amparo, la </w:t>
      </w:r>
      <w:r>
        <w:lastRenderedPageBreak/>
        <w:t>vulneración del derecho fundamental de acceso a la jurisdicción. Dicho procedimiento, instado por los ahora demandantes de amparo contra don Carlos Lavara García y doña Ana Extremera Extremera, tenía como objeto principal que, se declarase la existencia de una contingencia en la valoración de las existencia de la sociedad objeto de la compraventa; se denunciaba asimismo la existencia de deudas no manifestadas por los vendedores; además solicitaba la declaración de la nulidad del contrato y, alternativamente, su resolución por incumplimiento; se reclamaba una indemnización así como que se declarase que las contingencias y deudas ocultas estuvieran sometidas a la función de garantía prevista en el contrato de compraventa. Tras la presentación de la demanda, el Juzgado de Primera Instancia dictó Auto de sobreseimiento, al entender que concurrían las excepciones procesales de litispendencia y cosa juzgada con respecto al primer procedimiento instado por los demandados. El juzgador basó su decisión en que Eurotex y Palacete de los Lasso deberían haber accionado mediante la vía de excepción o reconvención en el primer proceso, solicitando lo que pretendían conseguir mediante la iniciación de un procedimiento distinto.</w:t>
      </w:r>
    </w:p>
    <w:p w:rsidR="0026452D" w:rsidRDefault="0026452D" w:rsidP="0026452D">
      <w:pPr>
        <w:pStyle w:val="TextoNormal"/>
      </w:pPr>
    </w:p>
    <w:p w:rsidR="0026452D" w:rsidRDefault="0026452D" w:rsidP="0026452D">
      <w:pPr>
        <w:pStyle w:val="TextoNormal"/>
      </w:pPr>
      <w:r>
        <w:t>No considerando ajustada a Derecho tal decisión, la parte recurrente interpuso recurso de apelación sobre la base de que el sobreseimiento del proceso era del todo improcedente por no concurrir los requisitos exigibles para que operara la figura de la litispendencia. Entendían que en la demanda se ejercitan varias acciones subsidiarias, y no sólo las de nulidad o resolución del contrato de compraventa. De este modo, también se ejercitaban acciones en reclamación de cantidad por contingencias y deudas ocultas de la compraventa que no tenían nada que ver con la acción de relevación de garantías ejercitada de contrario en el primer procedimiento, por lo que no podía estimarse la existencia de litispendencia ni de cosa juzgada con respecto a dichas pretensiones.</w:t>
      </w:r>
    </w:p>
    <w:p w:rsidR="0026452D" w:rsidRDefault="0026452D" w:rsidP="0026452D">
      <w:pPr>
        <w:pStyle w:val="TextoNormal"/>
      </w:pPr>
    </w:p>
    <w:p w:rsidR="0026452D" w:rsidRDefault="0026452D" w:rsidP="0026452D">
      <w:pPr>
        <w:pStyle w:val="TextoNormal"/>
      </w:pPr>
      <w:r>
        <w:t>La Audiencia Provincial de Cáceres dictó Auto en 9 de noviembre de 2010 que desestimaba el recurso de apelación interpuesto, afirmando que “no cabe duda de que los compradores, cuando contestaron a la demanda en el anterior procedimiento … tenían pleno conocimiento de todos los hechos que ahora alegan en el presente procedimiento, que ya existían en aquellas fechas, pues pretenden, nada menos, que la nulidad o resolución de la totalidad del contrato de compraventa, con los efectos jurídicos accesorios a dichos pronunciamientos.” Asimismo, entendía el órgano judicial que “poniendo en relación los arts. 400.2 y 222.2 LEC lo que se pretende evitar con dichos preceptos es evitar lo que aquí ha ocurrido entre las partes, es decir, que pudiendo cuestionarse en un solo proceso —el primero seguido ante el Juzgado de Primera Instancia núm. Dos de Cáceres— todas las discrepancias o cuestiones existentes respecto de un determinado negocio jurídico, en este caso un único contrato de compraventa, se inicia una serie de procedimientos en los que cada uno de ellos tan solo contempla una parte o un aspecto del mismo contrato de compraventa, cuando era perfectamente posible resolver todas las discrepancias en uno solo, de haber actuado la parte compradora en el primer procedimiento, alegando todas las excepciones materiales y procesales, la compensación y la nulidad del contrato, e incluso haber formulado reconvención, para las demás pretensiones, como es la resolución contractual, pues, insistimos, a la fecha de contestar la primera demanda tenía pleno conocimiento de los hechos que fundamentan la segunda … la máxima según la cual la cosa juzgada cubre lo deducido y lo deducible ha sido admitida sin discusión, y ahora se ve consagrada en la Ley en los preceptos citados, y ello para evitar la multiplicidad de procesos cuando sería posible, más racional y más justo, tanto para la Sociedad como para los sujetos pasivos de los juicios, resolver un litigio en un solo proceso.”</w:t>
      </w:r>
    </w:p>
    <w:p w:rsidR="0026452D" w:rsidRDefault="0026452D" w:rsidP="0026452D">
      <w:pPr>
        <w:pStyle w:val="TextoNormal"/>
      </w:pPr>
    </w:p>
    <w:p w:rsidR="0026452D" w:rsidRDefault="0026452D" w:rsidP="0026452D">
      <w:pPr>
        <w:pStyle w:val="TextoNormal"/>
      </w:pPr>
      <w:r w:rsidRPr="0026452D">
        <w:rPr>
          <w:rStyle w:val="NumeroAFNegritaCaracter"/>
        </w:rPr>
        <w:t>3</w:t>
      </w:r>
      <w:r>
        <w:t>. La demandante de amparo considera lesionado su derecho a la tutela judicial efectiva, art. 24.1 CE, en su vertiente de acceso a la justicia.</w:t>
      </w:r>
    </w:p>
    <w:p w:rsidR="0026452D" w:rsidRDefault="0026452D" w:rsidP="0026452D">
      <w:pPr>
        <w:pStyle w:val="TextoNormal"/>
      </w:pPr>
    </w:p>
    <w:p w:rsidR="0026452D" w:rsidRDefault="0026452D" w:rsidP="0026452D">
      <w:pPr>
        <w:pStyle w:val="TextoNormal"/>
      </w:pPr>
      <w:r>
        <w:t>Denuncia la vulneración del derecho fundamental de acceso a la jurisdicción producida como consecuencia de la decisión de los Autos dictados, respectivamente, por el Juzgado de Primera Instancia e Instrucción núm. 5 de Cáceres el 26 de julio de 2010, y por la Sección Primera de la Audiencia Provincial de Cáceres el 9 de noviembre de 2010, en apelación. Mediante los Autos recurridos se declaró el sobreseimiento del procedimiento instado dejando imprejuzgadas las pretensiones planteadas, todo ello sobre la base de una aplicación, a su juicio excesivamente rigorista, de las instituciones de la litispendencia y la cosa juzgada. Considera la parte recurrente que, aun siguiendo el criterio mantenido por el Juzgado de Instancia, el sobreseimiento por apreciación de litispendencia únicamente podría afectar a los puntos c), d) y e) del suplico de la demanda interpuesta, pues en los mismos se solicitaba la declaración de nulidad de la compraventa, alternativamente la resolución del contrato, y en ambos casos, una indemnización económica. No obstante, quedaría fuera de toda duda el que, por el hecho de que se hubieran allanado en un procedimiento anterior al cumplimiento de la obligación de relevación de garantías, ninguna litispendencia se produciría respecto de los puntos a), b) f) y g) del suplico de la demanda, ya que dichas pretensiones no tenían relación alguna con la obligación de relevación de garantías ejercidas en el primer procedimiento, al referirse éstas a la declaración de la existencia de contingencias y pasivos ocultos de la compraventa y a la compensación de sus importes con las cantidades que tenían pendientes de cobro los vendedores en concepto de precio aplazado de la compraventa.</w:t>
      </w:r>
    </w:p>
    <w:p w:rsidR="0026452D" w:rsidRDefault="0026452D" w:rsidP="0026452D">
      <w:pPr>
        <w:pStyle w:val="TextoNormal"/>
      </w:pPr>
    </w:p>
    <w:p w:rsidR="0026452D" w:rsidRDefault="0026452D" w:rsidP="0026452D">
      <w:pPr>
        <w:pStyle w:val="TextoNormal"/>
      </w:pPr>
      <w:r>
        <w:t>En síntesis, los Autos impugnados han vulnerado el derecho a obtener una resolución judicial sobre el fondo de la controversia, dado que al acordar el sobreseimiento de la demanda, sobre la base de una interpretación rigorista la norma procesal, han quedado imprejuzgadas las pretensiones deducidas en dicho procedimiento, en el que se interesaba la declaración de la existencia de contingencias y pasivos ocultos derivados de una compraventa de participaciones sociales y su compensación con las cantidades que tenían pendientes de cobro los vendedores. Considera que la interpretación que los órganos judiciales han realizado del art. 400 de la Ley de enjuiciamiento civil (LEC), es rigorista y desproporcionada puesto que deja imprejuzgadas pretensiones que no fueron plantadas en el primer pleito.</w:t>
      </w:r>
    </w:p>
    <w:p w:rsidR="0026452D" w:rsidRDefault="0026452D" w:rsidP="0026452D">
      <w:pPr>
        <w:pStyle w:val="TextoNormal"/>
      </w:pPr>
    </w:p>
    <w:p w:rsidR="0026452D" w:rsidRDefault="0026452D" w:rsidP="0026452D">
      <w:pPr>
        <w:pStyle w:val="TextoNormal"/>
      </w:pPr>
      <w:r w:rsidRPr="0026452D">
        <w:rPr>
          <w:rStyle w:val="NumeroAFNegritaCaracter"/>
        </w:rPr>
        <w:t>4</w:t>
      </w:r>
      <w:r>
        <w:t>. La Sala Segunda del Tribunal Constitucional acordó por providencia de 16 de febrero de 2012 la admisión a trámite del recurso de amparo y, de conformidad con el art. 51 de la Ley Orgánica del Tribunal Constitucional, requerir atentamente a la Sección Primera de la Audiencia Provincial de Cáceres para que remitiera testimonio del recurso de apelación núm. 581-2010; asimismo, se acordó requerir al Juzgado de lo Primera Instancia e Instrucción núm. 5 de los de Cáceres, para que en el plazo de diez días remitieran testimonio del procedimiento ordinario 940-2009, interesándose al propio tiempo el emplazamiento de quienes fueron parte en el procedimiento, con excepción de la parte recurrente en amparo, ya personada.</w:t>
      </w:r>
    </w:p>
    <w:p w:rsidR="0026452D" w:rsidRDefault="0026452D" w:rsidP="0026452D">
      <w:pPr>
        <w:pStyle w:val="TextoNormal"/>
      </w:pPr>
    </w:p>
    <w:p w:rsidR="0026452D" w:rsidRDefault="0026452D" w:rsidP="0026452D">
      <w:pPr>
        <w:pStyle w:val="TextoNormal"/>
      </w:pPr>
      <w:r>
        <w:t>Mediante diligencia de ordenación de 21 de junio de 2012, se tuvo por personado y parte en el proceso a la Procuradora doña Miriam Rodríguez Crespo en nombre y representación de don Carlos Lavara García y de doña Ana Extremera Extremera y se otorgó un plazo común de veinte días para que las partes pudieran alegar lo que a su Derecho conviniera.</w:t>
      </w:r>
    </w:p>
    <w:p w:rsidR="0026452D" w:rsidRDefault="0026452D" w:rsidP="0026452D">
      <w:pPr>
        <w:pStyle w:val="TextoNormal"/>
      </w:pPr>
    </w:p>
    <w:p w:rsidR="0026452D" w:rsidRDefault="0026452D" w:rsidP="0026452D">
      <w:pPr>
        <w:pStyle w:val="TextoNormal"/>
      </w:pPr>
      <w:r w:rsidRPr="0026452D">
        <w:rPr>
          <w:rStyle w:val="NumeroAFNegritaCaracter"/>
        </w:rPr>
        <w:t>5</w:t>
      </w:r>
      <w:r>
        <w:t>. La recurrente, mediante escrito de 20 de julio de 2012, reiteró las alegaciones efectuadas en la demanda de amparo.</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La parte personada en el presente proceso —que actuaba como demandada en el proceso </w:t>
      </w:r>
      <w:r w:rsidRPr="0026452D">
        <w:rPr>
          <w:i/>
        </w:rPr>
        <w:t>a quo</w:t>
      </w:r>
      <w:r>
        <w:t>—, realizaron alegaciones mediantes escrito de 23 de julio de 2012, en las que, en síntesis, discrepaban de la afirmación de las recurrentes de que las resoluciones impugnadas hubieran provocado que determinadas pretensiones hayan quedado “imprejuzgadas”.</w:t>
      </w:r>
    </w:p>
    <w:p w:rsidR="0026452D" w:rsidRDefault="0026452D" w:rsidP="0026452D">
      <w:pPr>
        <w:pStyle w:val="TextoNormal"/>
      </w:pPr>
    </w:p>
    <w:p w:rsidR="0026452D" w:rsidRDefault="0026452D" w:rsidP="0026452D">
      <w:pPr>
        <w:pStyle w:val="TextoNormal"/>
      </w:pPr>
      <w:r>
        <w:t>En su opinión, tales cuestiones quedaron resueltas en sentido negativo cuando la parte recurrente dejó precluir la posibilidad de plantearlas cuando se allanó parcialmente y no reconvino al contestar a la demanda en el primer proceso ante el Juzgado de Primera Instancia núm. 2 de Cáceres, y todo ello en virtud del juego de los arts. 400, 405 y 406 LEC. Explican, frente a lo argumentado en la demanda de amparo, que los Tribunales de Cáceres consideraron que al contestar a aquel primer procedimiento seguido ante el Juzgado de Primera Instancia núm. 2 de Cáceres y allanarse a la demanda sin plantear excepción procesal o material alguna, ni reconvenir solicitando la nulidad o subsidiariamente la resolución del contrato o reclamando las contingencias y deudas ocultas y su eventual compensación con el precio aplazado de la compraventa, precluyó para los recurrentes la posibilidad de plantear en otro procedimiento aquellas cuestiones.</w:t>
      </w:r>
    </w:p>
    <w:p w:rsidR="0026452D" w:rsidRDefault="0026452D" w:rsidP="0026452D">
      <w:pPr>
        <w:pStyle w:val="TextoNormal"/>
      </w:pPr>
    </w:p>
    <w:p w:rsidR="0026452D" w:rsidRDefault="0026452D" w:rsidP="0026452D">
      <w:pPr>
        <w:pStyle w:val="TextoNormal"/>
      </w:pPr>
      <w:r>
        <w:t>Alegan también que la parte recurrente no agotó correctamente la vía judicial previa, puesto que debió plantear un incidente de nulidad de actuaciones al amparo de lo prevenido en el art. 228 LEC. El planteamiento de este incidente, de articulación necesaria en este caso, habría permitido a la parte recurrente cumplir con el requisito de la inmediata denuncia de la vulneración del derecho fundamental, y habría permitido igualmente al propio órgano que dictó el auto de apelación, haber conocido de forma inmediata la eventual vulneración del derecho fundamental dándole la oportunidad de su subsanación. Consideran, alternativamente, que debió ser interpuesto recurso extraordinario por infracción procesal, o recurso de casación, al amparo de lo prevenido en el art. 477.3 LEC, ante el Tribunal Supremo.</w:t>
      </w:r>
    </w:p>
    <w:p w:rsidR="0026452D" w:rsidRDefault="0026452D" w:rsidP="0026452D">
      <w:pPr>
        <w:pStyle w:val="TextoNormal"/>
      </w:pPr>
    </w:p>
    <w:p w:rsidR="0026452D" w:rsidRDefault="0026452D" w:rsidP="0026452D">
      <w:pPr>
        <w:pStyle w:val="TextoNormal"/>
      </w:pPr>
      <w:r>
        <w:t>En definitiva, consideran —sobre las pretensiones de los recurrentes que, según dicen, han quedado imprejuzgadas— que la actividad de valoración de si concurren los requisitos para aplicar la excepción de cosa juzgada o para apreciar el efecto de la preclusión de los actos procesales es una actividad que les corresponde a los Jueces de la jurisdicción ordinaria, por lo que no son planteables ante el Tribunal Constitucional las críticas o discrepancias que las partes mantengan sobre la aplicación o el alcance de la figura de la cosa juzgada o sobre la rigurosidad o laxitud de su aplicación por el Tribunal, siendo esta una materia que ha de quedar reservada a la jurisdicción ordinaria. En definitiva, la vulneración del derecho fundamental invocado se habría producido si la parte recurrente no hubiera tenido la posibilidad de ejercitar las acciones de nulidad y resolución contractual o de pedir la declaración judicial de existencia de pasivos ocultos (de hacer valer sus derechos, en definitiva). Pero la parte recurrente tuvo expresamente dicha posibilidad, si bien la dejó pasar (precluyó la posibilidad de demandar, de demandar por vía reconvencional). Por tales razones no se ha producido la vulneración del derecho fundamental invocado, por lo que el amparo solicitado de ser denegado.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7</w:t>
      </w:r>
      <w:r>
        <w:t xml:space="preserve">. . El Ministerio Fiscal formuló sus alegaciones el 27 de julio de 2012. Recordando la jurisprudencia sobre el principio </w:t>
      </w:r>
      <w:r w:rsidRPr="0026452D">
        <w:rPr>
          <w:i/>
        </w:rPr>
        <w:t>pro actione</w:t>
      </w:r>
      <w:r>
        <w:t xml:space="preserve"> y reconociendo que la doctrina constitucional viene afirmando, de forma reiterada, que la tarea de fijación de si concurre o no la identidad subjetiva y objetiva entre procesos para declarar la excepción de cosa juzgada corresponde a los Jueces y Tribunales de la jurisdicción ordinaria, </w:t>
      </w:r>
      <w:r w:rsidRPr="0026452D">
        <w:rPr>
          <w:i/>
        </w:rPr>
        <w:t>ex</w:t>
      </w:r>
      <w:r>
        <w:t xml:space="preserve"> art. 117.3 CE, estima que tal tipo de decisión puede resultar vulneradora de aquel derecho fundamental y hacerla, por ende, susceptible del control del amparo constitucional, en dos supuestos perfectamente identificables.</w:t>
      </w:r>
    </w:p>
    <w:p w:rsidR="0026452D" w:rsidRDefault="0026452D" w:rsidP="0026452D">
      <w:pPr>
        <w:pStyle w:val="TextoNormal"/>
      </w:pPr>
    </w:p>
    <w:p w:rsidR="0026452D" w:rsidRDefault="0026452D" w:rsidP="0026452D">
      <w:pPr>
        <w:pStyle w:val="TextoNormal"/>
      </w:pPr>
      <w:r>
        <w:t>El primero, en caso de que resulte evidente, por los términos de la decisión adoptada en el primer proceso, que la pretensión, aun cuando no podría haber sido enjuiciada en el mismo, no lo fue por no haberse deducido, y por tanto, al haber quedado formalmente imprejuzgada entonces, no existe peligro de un doble enjuiciamiento ni ruptura de la seguridad jurídica si se plantea a la postre en otro proceso posterior. El segundo, cuando, sin necesidad de abordar específicas disquisiciones jurídicas, propias más bien de la legalidad ordinaria, la sola lectura de la pretensión interpuesta en el segundo proceso manifiesta la palmaria realidad de la divergencia de uno o más de sus elementos constitutivos (subjetivo u objetivo) con los contenidos en la pretensión resuelta por Sentencia firme que se ofrece de contraste, lo que impide de suyo apreciar la existencia de la cosa juzgada material, de tal guisa convertida en obstáculo indebido para una decisión de fondo.</w:t>
      </w:r>
    </w:p>
    <w:p w:rsidR="0026452D" w:rsidRDefault="0026452D" w:rsidP="0026452D">
      <w:pPr>
        <w:pStyle w:val="TextoNormal"/>
      </w:pPr>
    </w:p>
    <w:p w:rsidR="0026452D" w:rsidRDefault="0026452D" w:rsidP="0026452D">
      <w:pPr>
        <w:pStyle w:val="TextoNormal"/>
      </w:pPr>
      <w:r>
        <w:t>A su juicio, la aplicación de la anterior doctrina constitucional al caso analizado debería llevar a la estimación del amparo solicitado, ya que las resoluciones judiciales recurridas, al estimar la excepción de litispendencia e impedir un pronunciamiento de fondo sobre las pretensiones ejercitadas en el proceso, han limitado el derecho de las mercantiles demandantes a la tutela judicial efectiva, en su vertiente de derecho de acceso al proceso (art. 24.1 CE), en términos constitucionalmente inaceptables.</w:t>
      </w:r>
    </w:p>
    <w:p w:rsidR="0026452D" w:rsidRDefault="0026452D" w:rsidP="0026452D">
      <w:pPr>
        <w:pStyle w:val="TextoNormal"/>
      </w:pPr>
    </w:p>
    <w:p w:rsidR="0026452D" w:rsidRDefault="0026452D" w:rsidP="0026452D">
      <w:pPr>
        <w:pStyle w:val="TextoNormal"/>
      </w:pPr>
      <w:r>
        <w:t>En esta sede constitucional, afirma el Ministerio Fiscal, el debate debe centrarse en determinar si entre ambos litigios existe identidad objetiva, requisito imprescindible para poder apreciar la excepción de litispendencia, con arreglo a lo establecido en el art. 421.1, en relación con el art. 222.2, ambos de la Ley de enjuiciamiento civil. A tal efecto, entiende el Fiscal, no les falta razón a los recurrentes cuando afirman que las acciones ejercitadas en el segundo proceso, en su calidad de compradores, en reclamación de la declaración de contingencias y pasivos ocultos, así como la petición de nulidad o resolución de la compraventa, o bien la aplicación de dichas contingencias y pasivos ocultos a la función de garantía prevista contractualmente compensándose con la parte aplazada del precio de la compraventa, son sustancialmente distintas de la acción de relevación o sustitución de garantías ejercitada por los vendedores, al no coincidir su causa de pedir, aunque ambas deriven del mismo contrato de compraventa.</w:t>
      </w:r>
    </w:p>
    <w:p w:rsidR="0026452D" w:rsidRDefault="0026452D" w:rsidP="0026452D">
      <w:pPr>
        <w:pStyle w:val="TextoNormal"/>
      </w:pPr>
    </w:p>
    <w:p w:rsidR="0026452D" w:rsidRDefault="0026452D" w:rsidP="0026452D">
      <w:pPr>
        <w:pStyle w:val="TextoNormal"/>
      </w:pPr>
      <w:r>
        <w:t xml:space="preserve">Desde la perspectiva de análisis constitucional, advierte, ni las pretensiones ejercitadas en uno y otro proceso son las mismas, pues tienen sustantividad propia, ni sus respectivas causas de pedir son idénticas. Considera que no resulta aceptable la tesis mantenida en las resoluciones judiciales impugnadas según la cual los recurrentes en amparo debieron necesariamente ejercitar en el primer litigio, vía excepción o reconvención, las acciones que con posterioridad plantearon, como actores, en el segundo de los litigios. Ambas resoluciones judiciales basan su argumentación en la extensión al demandado de la prohibición de reserva </w:t>
      </w:r>
      <w:r>
        <w:lastRenderedPageBreak/>
        <w:t>de alegaciones, prevista en los art. 400 y 222.2 LEC, de tal modo que las entidades mercantiles estaban obligadas en el primer litigio, al contestar a la demanda, a plantear todas aquellas excepciones materiales o procesales que tuvieren por conveniente, incluía la petición de nulidad o resolución de la compraventa o la compensación, y al no hacerlo así precluyó la posibilidad de plantearlas, como actores, en un pleito posterior.</w:t>
      </w:r>
    </w:p>
    <w:p w:rsidR="0026452D" w:rsidRDefault="0026452D" w:rsidP="0026452D">
      <w:pPr>
        <w:pStyle w:val="TextoNormal"/>
      </w:pPr>
    </w:p>
    <w:p w:rsidR="0026452D" w:rsidRDefault="0026452D" w:rsidP="0026452D">
      <w:pPr>
        <w:pStyle w:val="TextoNormal"/>
      </w:pPr>
      <w:r>
        <w:t>Recuerda el Ministerio Fiscal que la STC 71/2010, FJ 5, afirmó, en relación con el contenido de los arts. 222.2 y 400.2 LEC, que tales preceptos se refieren a “hechos y alegaciones” que pudieron ser aducidos en un procedimiento anterior, pero no a la formulación de “pretensiones” que permanezcan imprejuzgadas y respecto de las cuales no hubiese prescrito o caducado la acción procesal. A la vista de tal declaración se advierte que, en el presente caso, no estamos ante unas simples “alegaciones” nuevas que pudieron, en su caso, ser invocadas en el primer pleito, sino ante el ejercicio de unas pretensiones materialmente distintas a la que en su momento fue ejercitada por los vendedores.</w:t>
      </w:r>
    </w:p>
    <w:p w:rsidR="0026452D" w:rsidRDefault="0026452D" w:rsidP="0026452D">
      <w:pPr>
        <w:pStyle w:val="TextoNormal"/>
      </w:pPr>
    </w:p>
    <w:p w:rsidR="0026452D" w:rsidRDefault="0026452D" w:rsidP="0026452D">
      <w:pPr>
        <w:pStyle w:val="TextoNormal"/>
      </w:pPr>
      <w:r>
        <w:t>Desde otra perspectiva distinta, y para el caso en que el Tribunal no estime correctos los anteriores razonamientos, advierte el Ministerio Fiscal que, en este caso, el sobreseimiento acordado debería haber tenido un alcance meramente parcial y no total. Como sostenían los propios recurrentes de amparo en su recurso de apelación, que reiteran en la demanda de amparo, el sobreseimiento por litispendencia únicamente podría afectar, en su caso, a las peticiones c), d) y e) del suplico de la demanda, referidas a la declaración de nulidad de la compraventa, por dolo, y alternativamente, a la resolución por incumplimiento de los vendedores y, en ambos casos, al abono de una indemnización por daños y perjuicios.</w:t>
      </w:r>
    </w:p>
    <w:p w:rsidR="0026452D" w:rsidRDefault="0026452D" w:rsidP="0026452D">
      <w:pPr>
        <w:pStyle w:val="TextoNormal"/>
      </w:pPr>
    </w:p>
    <w:p w:rsidR="0026452D" w:rsidRDefault="0026452D" w:rsidP="0026452D">
      <w:pPr>
        <w:pStyle w:val="TextoNormal"/>
      </w:pPr>
      <w:r w:rsidRPr="0026452D">
        <w:rPr>
          <w:rStyle w:val="NumeroAFNegritaCaracter"/>
        </w:rPr>
        <w:t>8</w:t>
      </w:r>
      <w:r>
        <w:t>. Mediante providencia de fecha 30 de abril de 2013, se señaló para deliberación y fallo de la Sentencia el día 6 de mayo del mismo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Es objeto del presente recurso de amparo determinar si las resoluciones judiciales impugnadas han lesionado el derecho de la parte demandante a la tutela judicial efectiva, art. 24.1 CE, en su vertiente de acceso a la justicia.</w:t>
      </w:r>
    </w:p>
    <w:p w:rsidR="0026452D" w:rsidRDefault="0026452D" w:rsidP="0026452D">
      <w:pPr>
        <w:pStyle w:val="TextoNormal"/>
      </w:pPr>
    </w:p>
    <w:p w:rsidR="0026452D" w:rsidRDefault="0026452D" w:rsidP="0026452D">
      <w:pPr>
        <w:pStyle w:val="TextoNormal"/>
      </w:pPr>
      <w:r>
        <w:t>Como ha quedado anotado en los antecedentes, la parte demandante adquirió mediante escritura pública participaciones sociales de la sociedad Extremeña de Esmaltes y Barnices, S.L.; dicha escritura fue suscrita el 29 de abril de 2008 entre la ahora recurrente como parte compradora de un lado, y don Carlos Lavara García y doña Ana Extremera Extremera, como parte vendedora.</w:t>
      </w:r>
    </w:p>
    <w:p w:rsidR="0026452D" w:rsidRDefault="0026452D" w:rsidP="0026452D">
      <w:pPr>
        <w:pStyle w:val="TextoNormal"/>
      </w:pPr>
    </w:p>
    <w:p w:rsidR="0026452D" w:rsidRDefault="0026452D" w:rsidP="0026452D">
      <w:pPr>
        <w:pStyle w:val="TextoNormal"/>
      </w:pPr>
      <w:r>
        <w:t xml:space="preserve">Como consecuencia de dicha compraventa se tramitaron dos procedimientos judiciales. El primero de ellos en el Juzgado de Primera Instancia núm. 2 de Cáceres, a instancia de don Carlos Lavara García y de doña Ana Extremera Extremera, en el que la parte ahora recurrente en amparo era parte demandada, tenía como objeto que se procediese al relevo de las garantías prestadas en dos operaciones bancarias llevadas a cabo por Extremeña de Esmaltes y Barnices, S.L. En este procedimiento los ahora recurrentes en amparo se allanaron parcialmente, reconociendo sus obligaciones contractuales en cuanto al relevo de garantías, pero negando cualquier obligación relativa a tener que cancelarlas a su costa. En </w:t>
      </w:r>
      <w:r>
        <w:lastRenderedPageBreak/>
        <w:t>este primer proceso se dictó Auto de suspensión por existir cuestión prejudicial civil, por la existencia del proceso que seguidamente se reseña.</w:t>
      </w:r>
    </w:p>
    <w:p w:rsidR="0026452D" w:rsidRDefault="0026452D" w:rsidP="0026452D">
      <w:pPr>
        <w:pStyle w:val="TextoNormal"/>
      </w:pPr>
    </w:p>
    <w:p w:rsidR="0026452D" w:rsidRDefault="0026452D" w:rsidP="0026452D">
      <w:pPr>
        <w:pStyle w:val="TextoNormal"/>
      </w:pPr>
      <w:r>
        <w:t>Es en el segundo procedimiento judicial, seguido ante el Juzgado de Primera Instancia núm. 5 de Cáceres, en el que se produce, a juicio de los ahora demandantes de amparo, la vulneración del derecho fundamental de acceso a la jurisdicción. Dicho procedimiento, instado por los ahora demandantes de amparo contra don Carlos Lavara García y doña Ana Extremera Extremera, tenía como objeto principal que se declarase la existencia de una contingencia en la valoración de las existencia de la sociedad objeto de la compraventa; se denunciaba asimismo la existencia de deudas no manifestadas por los vendedores; además solicitaba la declaración de la nulidad del contrato y, alternativamente, su resolución por incumplimiento; se reclamaba una indemnización así como que se declarase que las contingencias y deudas ocultas estuvieran sometidas a la función de garantía prevista en el contrato de compraventa.</w:t>
      </w:r>
    </w:p>
    <w:p w:rsidR="0026452D" w:rsidRDefault="0026452D" w:rsidP="0026452D">
      <w:pPr>
        <w:pStyle w:val="TextoNormal"/>
      </w:pPr>
    </w:p>
    <w:p w:rsidR="0026452D" w:rsidRDefault="0026452D" w:rsidP="0026452D">
      <w:pPr>
        <w:pStyle w:val="TextoNormal"/>
      </w:pPr>
      <w:r>
        <w:t>Los órganos judiciales, a través de las resoluciones impugnadas, apreciaron la excepción de litispendencia y acordaron el sobreseimiento de este segundo pleito ya que, en síntesis, en virtud del art. 400 de la Ley de enjuiciamiento civil (LEC), todos los hechos y fundamentos jurídicos planteados por los demandantes debieron haber sido formulados en el proceso previo cuando fueron demandados, bien a través del ejercicio de la acción de reconvención, bien oponiendo las oportunas excepciones materiales.</w:t>
      </w:r>
    </w:p>
    <w:p w:rsidR="0026452D" w:rsidRDefault="0026452D" w:rsidP="0026452D">
      <w:pPr>
        <w:pStyle w:val="TextoNormal"/>
      </w:pPr>
    </w:p>
    <w:p w:rsidR="0026452D" w:rsidRDefault="0026452D" w:rsidP="0026452D">
      <w:pPr>
        <w:pStyle w:val="TextoNormal"/>
      </w:pPr>
      <w:r>
        <w:t xml:space="preserve">El art. 400 LEC, dispone: </w:t>
      </w:r>
    </w:p>
    <w:p w:rsidR="0026452D" w:rsidRDefault="0026452D" w:rsidP="0026452D">
      <w:pPr>
        <w:pStyle w:val="TextoNormal"/>
      </w:pPr>
    </w:p>
    <w:p w:rsidR="0026452D" w:rsidRDefault="0026452D" w:rsidP="0026452D">
      <w:pPr>
        <w:pStyle w:val="TextoNormal"/>
      </w:pPr>
      <w:r>
        <w:t xml:space="preserve">“1. Cuando lo que se pida en la demanda pueda fundarse en diferentes hechos o en distintos fundamentos o títulos jurídicos, habrán de aducirse en ella cuantos resulten conocidos o puedan invocarse al tiempo de interponerla, sin que sea admisible reservar su alegación para un proceso ulterior. La carga de la alegación a que se refiere el párrafo anterior se entenderá sin perjuicio de las alegaciones complementarias o de hechos nuevos o de nueva noticia permitidas en esta Ley en momentos posteriores a la demanda y a la contestación. </w:t>
      </w:r>
    </w:p>
    <w:p w:rsidR="0026452D" w:rsidRDefault="0026452D" w:rsidP="0026452D">
      <w:pPr>
        <w:pStyle w:val="TextoNormal"/>
      </w:pPr>
    </w:p>
    <w:p w:rsidR="0026452D" w:rsidRDefault="0026452D" w:rsidP="0026452D">
      <w:pPr>
        <w:pStyle w:val="TextoNormal"/>
      </w:pPr>
      <w:r>
        <w:t>2. De conformidad con lo dispuesto en al apartado anterior, a efectos de litispendencia y de cosa juzgada, los hechos y los fundamentos jurídicos aducidos en un litigio se considerarán los mismos que los alegados en otro juicio anterior si hubiesen podido alegarse en éste.”</w:t>
      </w:r>
    </w:p>
    <w:p w:rsidR="0026452D" w:rsidRDefault="0026452D" w:rsidP="0026452D">
      <w:pPr>
        <w:pStyle w:val="TextoNormal"/>
      </w:pPr>
    </w:p>
    <w:p w:rsidR="0026452D" w:rsidRDefault="0026452D" w:rsidP="0026452D">
      <w:pPr>
        <w:pStyle w:val="TextoNormal"/>
      </w:pPr>
      <w:r>
        <w:t xml:space="preserve">El problema constitucional que nos corresponde valorar se limita a analizar si es acorde con el principio </w:t>
      </w:r>
      <w:r w:rsidRPr="0026452D">
        <w:rPr>
          <w:i/>
        </w:rPr>
        <w:t>pro actione</w:t>
      </w:r>
      <w:r>
        <w:t xml:space="preserve"> entender que el art. 400 LEC impone al demandado que opta por allanarse en un proceso, la obligación de ejercitar la reconvención frente al demandante si no quiere ver precluidas las acciones que frente a él tuviera o bien oponer las oportunas excepciones materiales que creyera convenientes.</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La parte recurrente ha solicitado la estimación del recurso, al considerar que se le impidió obtener una resolución de fondo sobre sus peticiones, habiendo quedado imprejuzgadas las pretensiones ejercitadas. Comparte este criterio el Ministerio Fiscal que considera que se ha lesionado el derecho de la demandante como consecuencia de la interpretación que los órganos judiciales realizaron de la normativa procesal. La parte demandada en el pleito origen del presente recurso de amparo —personada en el presente proceso— se opone </w:t>
      </w:r>
      <w:r>
        <w:lastRenderedPageBreak/>
        <w:t>a la estimación de la demanda, considerando, en síntesis, que la interpretación que los órganos judiciales realizaron de la norma procesal, además de correcta, no es censurable en sede de amparo.</w:t>
      </w:r>
    </w:p>
    <w:p w:rsidR="0026452D" w:rsidRDefault="0026452D" w:rsidP="0026452D">
      <w:pPr>
        <w:pStyle w:val="TextoNormal"/>
      </w:pPr>
    </w:p>
    <w:p w:rsidR="0026452D" w:rsidRDefault="0026452D" w:rsidP="0026452D">
      <w:pPr>
        <w:pStyle w:val="TextoNormal"/>
      </w:pPr>
      <w:r w:rsidRPr="0026452D">
        <w:rPr>
          <w:rStyle w:val="NumeroAFNegritaCaracter"/>
        </w:rPr>
        <w:t>3</w:t>
      </w:r>
      <w:r>
        <w:t>. Antes de entrar en el fondo de las alegaciones aducidas debemos responder al óbice procesal planteado por la parte demandada en el proceso origen de este recurso de amparo, que alega que la recurrente no agotó correctamente la vía judicial previa, puesto que debió plantear, o bien un incidente de nulidad de actuaciones con arreglo al art. 228 LEC, o, en su caso, recurso extraordinario por infracción procesal, o recurso de casación ante el Tribunal Supremo.</w:t>
      </w:r>
    </w:p>
    <w:p w:rsidR="0026452D" w:rsidRDefault="0026452D" w:rsidP="0026452D">
      <w:pPr>
        <w:pStyle w:val="TextoNormal"/>
      </w:pPr>
    </w:p>
    <w:p w:rsidR="0026452D" w:rsidRDefault="0026452D" w:rsidP="0026452D">
      <w:pPr>
        <w:pStyle w:val="TextoNormal"/>
      </w:pPr>
      <w:r>
        <w:t xml:space="preserve">Tal óbice debe ser rechazado, puesto que la demanda cumple con el requisito del agotamiento de la vía judicial exigido por el art. 44.1 a) de la Ley Orgánica del Tribunal como condición de admisibilidad del recurso de amparo. Este requisito responde a la finalidad de preservar el carácter subsidiario del mismo, evitando que el acceso a esta jurisdicción constitucional se produzca </w:t>
      </w:r>
      <w:r w:rsidRPr="0026452D">
        <w:rPr>
          <w:i/>
        </w:rPr>
        <w:t>per saltum</w:t>
      </w:r>
      <w:r>
        <w:t>, es decir, sin brindar a los órganos judiciales la oportunidad de pronunciarse y, en su caso, remediar la lesión invocada como fundamento del recurso de amparo constitucional (por todas, STC 1/2013, de 14 de enero FJ 2). En primer lugar, por lo que se refiere al incidente de nulidad de actuaciones, debe señalarse que no puede considerarse en este caso como un recurso procedente, puesto que las quejas que ahora se discuten en amparo fueron puestas de manifiesto, a través del oportuno recurso de apelación, a la Audiencia Provincial de Cáceres, dándole la oportunidad de reparar la lesión aducida.</w:t>
      </w:r>
    </w:p>
    <w:p w:rsidR="0026452D" w:rsidRDefault="0026452D" w:rsidP="0026452D">
      <w:pPr>
        <w:pStyle w:val="TextoNormal"/>
      </w:pPr>
    </w:p>
    <w:p w:rsidR="0026452D" w:rsidRDefault="0026452D" w:rsidP="0026452D">
      <w:pPr>
        <w:pStyle w:val="TextoNormal"/>
      </w:pPr>
      <w:r>
        <w:t>Tampoco, a la vista de las circunstancias del caso, el recurso extraordinario por infracción procesal, o el recurso de casación, al amparo de lo prevenido en el artículo 477.3 LEC, ante el Tribunal Supremo, puede considerarse como obligatorio a efectos del correcto agotamiento de la vía judicial previa. Conforme al art. 469.4 LEC, el recurso extraordinario por infracción procesal resulta procedente cuando se invoque la vulneración, en el proceso civil, de derechos fundamentales reconocidos en el artículo 24 de la Constitución. Sin embargo, conforme a lo dispuesto en el apartado 1, regla 5 de la disposición final decimosexta de la Ley 1/2000, de enjuiciamiento civil, dicho recurso sólo cabe si la resolución fuera recurrible en casación, lo que no sucede en esta ocasión en la que, a la vista de la asentada jurisprudencia del Tribunal Supremo, no puede entenderse que el Auto de la Audiencia Provincial de Cáceres se englobe en ninguno de los supuestos previstos en el art. 477 LEC.</w:t>
      </w:r>
    </w:p>
    <w:p w:rsidR="0026452D" w:rsidRDefault="0026452D" w:rsidP="0026452D">
      <w:pPr>
        <w:pStyle w:val="TextoNormal"/>
      </w:pPr>
    </w:p>
    <w:p w:rsidR="0026452D" w:rsidRDefault="0026452D" w:rsidP="0026452D">
      <w:pPr>
        <w:pStyle w:val="TextoNormal"/>
      </w:pPr>
      <w:r w:rsidRPr="0026452D">
        <w:rPr>
          <w:rStyle w:val="NumeroAFNegritaCaracter"/>
        </w:rPr>
        <w:t>4</w:t>
      </w:r>
      <w:r>
        <w:t>. Rechazado el óbice procesal, debemos entrar a analizar las quejas planteadas en la demanda de amparo, que se reducen a la alegada lesión del derecho a la tutela judicial efectiva, art. 24.1 CE, en su vertiente de acceso a la justicia.</w:t>
      </w:r>
    </w:p>
    <w:p w:rsidR="0026452D" w:rsidRDefault="0026452D" w:rsidP="0026452D">
      <w:pPr>
        <w:pStyle w:val="TextoNormal"/>
      </w:pPr>
    </w:p>
    <w:p w:rsidR="0026452D" w:rsidRDefault="0026452D" w:rsidP="0026452D">
      <w:pPr>
        <w:pStyle w:val="TextoNormal"/>
      </w:pPr>
      <w:r>
        <w:t>Cumple advertir que no es función de este Tribunal determinar qué interpretación de la legislación procesal debe llevarse a cabo por los órganos judiciales, puesto que implicaría una invasión del ámbito propio de su jurisdicción en la aplicación de la legalidad ordinaria. Lo que nos compete es analizar si la interpretación que en este caso concreto han realizado los órganos judiciales a través de las resoluciones impugnadas es contraria al derecho fundamental a la tutela judicial efectiva, en su vertiente de acceso a la justicia.</w:t>
      </w:r>
    </w:p>
    <w:p w:rsidR="0026452D" w:rsidRDefault="0026452D" w:rsidP="0026452D">
      <w:pPr>
        <w:pStyle w:val="TextoNormal"/>
      </w:pPr>
    </w:p>
    <w:p w:rsidR="0026452D" w:rsidRDefault="0026452D" w:rsidP="0026452D">
      <w:pPr>
        <w:pStyle w:val="TextoNormal"/>
      </w:pPr>
      <w:r>
        <w:t xml:space="preserve">Es también necesario recordar que este Tribunal, en la STC 71/2010, de 18 de octubre, abordó un asunto que guarda similitud con el presente. Dijimos entonces y debemos reiterar </w:t>
      </w:r>
      <w:r>
        <w:lastRenderedPageBreak/>
        <w:t xml:space="preserve">ahora que “de acuerdo con una reiterada doctrina constitucional el derecho a la tutela judicial efectiva (art. 24.1 CE) comprende el derecho a obtener una resolución fundada en Derecho sobre el fondo de las cuestiones planteadas, sea o no favorable a las pretensiones formuladas, si concurren todos los requisitos para ello”. En aquel caso, al igual que en el presente “al tratarse en este caso del derecho de acceso a la jurisdicción y operar, en consecuencia, en toda su intensidad el principio </w:t>
      </w:r>
      <w:r w:rsidRPr="0026452D">
        <w:rPr>
          <w:i/>
        </w:rPr>
        <w:t>pro actione</w:t>
      </w:r>
      <w:r>
        <w:t>, nuestro canon de control no se limita a la verificación de si la resolución de inadmisión o desestimación incurre en arbitrariedad, irrazonabilidad o error patente, sino que también comprende el análisis de si resulta o no desproporcionada por su rigorismo o formalismo excesivos, debiendo ponderarse en ese juicio de proporcionalidad, de una parte, los fines que ha de preservar la resolución cuestionada, y, de otra, los intereses que con ella se sacrifican.”</w:t>
      </w:r>
    </w:p>
    <w:p w:rsidR="0026452D" w:rsidRDefault="0026452D" w:rsidP="0026452D">
      <w:pPr>
        <w:pStyle w:val="TextoNormal"/>
      </w:pPr>
    </w:p>
    <w:p w:rsidR="0026452D" w:rsidRDefault="0026452D" w:rsidP="0026452D">
      <w:pPr>
        <w:pStyle w:val="TextoNormal"/>
      </w:pPr>
      <w:r>
        <w:t xml:space="preserve">En aquella Sentencia nos detuvimos en el tratamiento constitucional, desde la perspectiva del derecho a la tutela judicial efectiva, del efecto de cosa juzgada de las resoluciones judiciales firmes. Recordando la doctrina de la STC 5/2009, de 12 de enero, afirmamos que la apreciación de la existencia de cosa juzgada es una cuestión de legalidad ordinaria que este Tribunal solamente podría censurar si la interpretación efectuada por los órganos judiciales, en supuesto como el presente en los que está en juego el acceso a la justicia, fuera contraria al principio </w:t>
      </w:r>
      <w:r w:rsidRPr="0026452D">
        <w:rPr>
          <w:i/>
        </w:rPr>
        <w:t>pro actione</w:t>
      </w:r>
      <w:r>
        <w:t>. Recientemente la STC 10/2012, de 30 de enero, hemos reiterado tal doctrina. Estas consideraciones que realizamos en relación a la cosa juzgada son aplicables, como afirmamos en la STC 32/2005, de 15 de febrero, a los efectos de la litispendencia, excepción que en esta ocasión ha sido apreciada por los órganos judiciales.</w:t>
      </w:r>
    </w:p>
    <w:p w:rsidR="0026452D" w:rsidRDefault="0026452D" w:rsidP="0026452D">
      <w:pPr>
        <w:pStyle w:val="TextoNormal"/>
      </w:pPr>
    </w:p>
    <w:p w:rsidR="0026452D" w:rsidRDefault="0026452D" w:rsidP="0026452D">
      <w:pPr>
        <w:pStyle w:val="TextoNormal"/>
      </w:pPr>
      <w:r w:rsidRPr="0026452D">
        <w:rPr>
          <w:rStyle w:val="NumeroAFNegritaCaracter"/>
        </w:rPr>
        <w:t>5</w:t>
      </w:r>
      <w:r>
        <w:t>. En aplicación de esta doctrina, de acuerdo con lo solicitado por el Ministerio Fiscal, debemos otorgar el amparo solicitado.</w:t>
      </w:r>
    </w:p>
    <w:p w:rsidR="0026452D" w:rsidRDefault="0026452D" w:rsidP="0026452D">
      <w:pPr>
        <w:pStyle w:val="TextoNormal"/>
      </w:pPr>
    </w:p>
    <w:p w:rsidR="0026452D" w:rsidRDefault="0026452D" w:rsidP="0026452D">
      <w:pPr>
        <w:pStyle w:val="TextoNormal"/>
      </w:pPr>
      <w:r>
        <w:t>En efecto, los órganos judiciales han interpretado que las pretensiones que la parte ahora demandante de amparo ejercitó en el segundo proceso judicial, (la declaración de una contingencia en la valoración de las existencia de la sociedad objeto de la compraventa; la declaración de la existencia de deudas no manifestadas por los vendedores; la declaración de la nulidad del contrato y, alternativamente, su resolución por incumplimiento; la reclamación de una indemnización y la declaración de que las contingencias y deudas ocultas estuvieran sometidas a la función de garantía prevista en el contrato de compraventa) eran, en aplicación del art. 400.2 LEC, “hechos y fundamentos jurídicos” que hubieran debido ser planteados en su contestación a la demanda en el primer proceso (cuyo objeto era la relevación de determinadas garantías vinculadas al contrato); al no hacerlo así, en virtud del mencionado art. 400.2 en relación con el art. 222.2 LEC, declararon el sobreseimiento del procedimiento.</w:t>
      </w:r>
    </w:p>
    <w:p w:rsidR="0026452D" w:rsidRDefault="0026452D" w:rsidP="0026452D">
      <w:pPr>
        <w:pStyle w:val="TextoNormal"/>
      </w:pPr>
    </w:p>
    <w:p w:rsidR="0026452D" w:rsidRDefault="0026452D" w:rsidP="0026452D">
      <w:pPr>
        <w:pStyle w:val="TextoNormal"/>
      </w:pPr>
      <w:r>
        <w:t xml:space="preserve">Del examen de las resoluciones impugnadas se desprende que los órganos judiciales han realizado una interpretación de la ley procesal, principalmente de los artículos mencionados, que, superando su tenor literal, han impedido a la parte recurrente obtener una resolución de fondo sobre determinadas pretensiones. El art. 400 LEC se refiere nítidamente a la carga que pesa sobre el demandante de alegar todos los “hechos, fundamentos y títulos jurídicos” en los que pueda basar “lo que se pida” en la demanda, sin que sea admisible reservar su alegación para un proceso ulterior. Esta carga que el legislador ha impuesto al demandante, es aplicable, en virtud del art. 406.4 LEC, también al demandado que ejercita una reconvención. En este mismo sentido, el art. 222.2 LEC, en cuyo tenor también basan los órganos </w:t>
      </w:r>
      <w:r>
        <w:lastRenderedPageBreak/>
        <w:t>judiciales su decisión de sobreseimiento, dispone que la cosa juzgada alcanza a las pretensiones ejercitadas en la demanda y en la reconvención.</w:t>
      </w:r>
    </w:p>
    <w:p w:rsidR="0026452D" w:rsidRDefault="0026452D" w:rsidP="0026452D">
      <w:pPr>
        <w:pStyle w:val="TextoNormal"/>
      </w:pPr>
    </w:p>
    <w:p w:rsidR="0026452D" w:rsidRDefault="0026452D" w:rsidP="0026452D">
      <w:pPr>
        <w:pStyle w:val="TextoNormal"/>
      </w:pPr>
      <w:r>
        <w:t>En el presente caso, sin embargo, los órganos judiciales, han aplicado ambos preceptos al demandado que, allanándose a la demanda, no optó por reconvenir. Como antes se adelantó, no corresponde a este Tribunal determinar cuál debe ser la interpretación de los artículos mencionados, sino, en su caso, censurar la efectuada por los Tribunales de justicia si lesiona el derecho a la tutela judicial efectiva. Y como contraria a tal derecho debemos de calificar la interpretación llevada a cabo en las resoluciones impugnadas, puesto que, realizando una lectura más allá del tenor literal de los artículos antes citados, han impedido al demandante de amparo la obtención de una resolución de fondo sobre sus pretensiones, al considerar que en el primer pleito no debió allanarse sino plantear las oportunas excepciones materiales o, en su caso, debería haber ejercitado la reconvención y en ella, en aplicación de lo establecido en el art. 400 LEC, haber planteado todas acciones relativas al negocio jurídico que había celebrado con el demandante.</w:t>
      </w:r>
    </w:p>
    <w:p w:rsidR="0026452D" w:rsidRDefault="0026452D" w:rsidP="0026452D">
      <w:pPr>
        <w:pStyle w:val="TextoNormal"/>
      </w:pPr>
    </w:p>
    <w:p w:rsidR="0026452D" w:rsidRDefault="0026452D" w:rsidP="0026452D">
      <w:pPr>
        <w:pStyle w:val="TextoNormal"/>
      </w:pPr>
      <w:r>
        <w:t>Tal interpretación —además de perjudicar notablemente al demandado que tendría la obligación legal, bajo la amenaza de la preclusión de sus acciones, de reconvenir en el plazo de contestación de la demanda, viendo así reducido el plazo de prescripción o caducidad de sus acciones— contraviene el carácter voluntario que la ley procesal otorga al ejercicio de la reconvención. No podemos olvidar que nuestra legislación procesal al regular la reconvención en el art. 406 LEC, dispone que el demandado “podrá” por medio de reconvención formular las pretensiones que crea le competen respecto del demandante; es decir, la decisión de reconvenir o de no hacerlo se regula como un derecho, no como un deber, del que el demandado goza en un pleito frente al demandante. Entender, como han hecho los órganos judiciales, que a la luz del art. 400 LEC, la reconvención es necesaria para evitar la preclusión de las pretensiones que el demandado pudiera tener frente al demandante, supone una interpretación contraria el tenor del art. 406 LEC y lesiva del derecho a la tutela judicial efectiva en su vertiente de acceso a la justicia, en la medida que restringe desproporcionadamente el derecho del demandado que optó por no reconvenir, produciendo unos efectos perjudiciales en su esfera jurídica.</w:t>
      </w:r>
    </w:p>
    <w:p w:rsidR="0026452D" w:rsidRDefault="0026452D" w:rsidP="0026452D">
      <w:pPr>
        <w:pStyle w:val="TextoNormal"/>
      </w:pPr>
    </w:p>
    <w:p w:rsidR="0026452D" w:rsidRDefault="0026452D" w:rsidP="0026452D">
      <w:pPr>
        <w:pStyle w:val="TextoNormal"/>
      </w:pPr>
      <w:r>
        <w:t>Lo misma conclusión debe extraerse del razonamiento de las resoluciones judiciales que reprochan a la parte ahora recurrente en amparo no haber excepcionado en la contestación a la demanda del primer pleito. Habiéndose allanado parcialmente en aquel proceso (se allanaron a la pretensión principal, discutiendo exclusivamente a costa de quién debían relevarse las garantías en cuestión), no cabe exigir, bajo amenaza de preclusión, la oposición de las excepciones materiales oportunas, puesto que el allanamiento implica, precisamente, la aceptación de la pretensión planteada de contrario.</w:t>
      </w:r>
    </w:p>
    <w:p w:rsidR="0026452D" w:rsidRDefault="0026452D" w:rsidP="0026452D">
      <w:pPr>
        <w:pStyle w:val="TextoNormal"/>
      </w:pPr>
    </w:p>
    <w:p w:rsidR="0026452D" w:rsidRDefault="0026452D" w:rsidP="0026452D">
      <w:pPr>
        <w:pStyle w:val="TextoNormal"/>
      </w:pPr>
      <w:r>
        <w:t>En definitiva, sin perjuicio de la evidente relación entre los dos procesos judiciales, lo cierto es que las pretensiones que se ejercitaron en el segundo pleito quedaron imprejuzgadas, por lo que, reiterando lo afirmado en la STC 71/2010, de 18 de octubre, lo cierto es “los arts. 222.2 y 400.2 LEC se refieren a hechos y alegaciones que pudieron ser aducidos en un procedimiento anterior, pero no a la formulación de pretensiones que permanezcan imprejuzgadas y respecto de las cuales no hubiese prescrito o caducado la acción procesal”.</w:t>
      </w:r>
    </w:p>
    <w:p w:rsidR="0026452D" w:rsidRDefault="0026452D" w:rsidP="0026452D">
      <w:pPr>
        <w:pStyle w:val="TextoNormal"/>
      </w:pPr>
    </w:p>
    <w:p w:rsidR="0026452D" w:rsidRDefault="0026452D" w:rsidP="0026452D">
      <w:pPr>
        <w:pStyle w:val="TextoNormal"/>
      </w:pPr>
      <w:r>
        <w:t>Procede, por tanto, otorgar el amparo solicitado.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Pinturas Eurotex, S.A., y Palacete de los Lasso, S.L.U., y, en consecuencia:</w:t>
      </w:r>
    </w:p>
    <w:p w:rsidR="0026452D" w:rsidRDefault="0026452D" w:rsidP="0026452D">
      <w:pPr>
        <w:pStyle w:val="TextoNormal"/>
      </w:pPr>
    </w:p>
    <w:p w:rsidR="0026452D" w:rsidRDefault="0026452D" w:rsidP="0026452D">
      <w:pPr>
        <w:pStyle w:val="TextoNormal"/>
      </w:pPr>
      <w:r>
        <w:t>1º Reconocer su derecho fundamental a la tutela judicial efectiva, art. 24.1 CE, en su vertiente de acceso a la justicia.</w:t>
      </w:r>
    </w:p>
    <w:p w:rsidR="0026452D" w:rsidRDefault="0026452D" w:rsidP="0026452D">
      <w:pPr>
        <w:pStyle w:val="TextoNormal"/>
      </w:pPr>
    </w:p>
    <w:p w:rsidR="0026452D" w:rsidRDefault="0026452D" w:rsidP="0026452D">
      <w:pPr>
        <w:pStyle w:val="TextoNormal"/>
      </w:pPr>
      <w:r>
        <w:t>2º Restablecerlas en su derecho y, a tal fin, declarar la nulidad del Auto de 26 de julio de 2010 del Juzgado de Primera Instancia e Instrucción núm. 5 de Cáceres, dictado en el procedimiento ordinario núm. 940-2009, y del Auto de 9 de noviembre de 2010 de la Sección Primera de la Audiencia Provincial de Cáceres, dictado en el recurso de apelación núm. 581-2010, retrotrayendo las actuaciones al momento anterior al del pronunciamiento del Auto dictado en instancia, para que se dicte nueva resolución judicial que resulte respetuosa con el derecho fundamental reconocido.</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seis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10" w:name="SENTENCIA_2013_107"/>
      <w:r>
        <w:lastRenderedPageBreak/>
        <w:t>SENTENCIA 107/2013, de 6 de mayo de 2013</w:t>
      </w:r>
    </w:p>
    <w:bookmarkEnd w:id="110"/>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133, de 4 de junio de 2013)</w:t>
      </w:r>
    </w:p>
    <w:p w:rsidR="0026452D" w:rsidRDefault="0026452D" w:rsidP="0026452D">
      <w:pPr>
        <w:pStyle w:val="TtuloBOE"/>
      </w:pPr>
    </w:p>
    <w:p w:rsidR="0026452D" w:rsidRDefault="0026452D" w:rsidP="0026452D">
      <w:pPr>
        <w:pStyle w:val="SntesisDescriptiva"/>
      </w:pPr>
      <w:r>
        <w:t>ECLI:ES:TC:2013:107</w:t>
      </w:r>
    </w:p>
    <w:p w:rsidR="0026452D" w:rsidRDefault="0026452D" w:rsidP="0026452D">
      <w:pPr>
        <w:pStyle w:val="SntesisDescriptiva"/>
      </w:pPr>
    </w:p>
    <w:p w:rsidR="0026452D" w:rsidRDefault="0026452D" w:rsidP="0026452D">
      <w:pPr>
        <w:pStyle w:val="SntesisDescriptiva"/>
      </w:pPr>
      <w:r>
        <w:t>Recurso de amparo 3068-2011. Promovido por Bodegas Antaño, S.A., frente a la Sentencia de la Sala de lo Contencioso-Administrativo del Tribunal Superior de Justicia de Castilla y León, con sede en Valladolid, y la resolución del Consejero de Agricultura y Ganadería de la Junta de Castilla y León que le sancionó por utilización indebida de contraetiquetas.</w:t>
      </w:r>
    </w:p>
    <w:p w:rsidR="0026452D" w:rsidRDefault="0026452D" w:rsidP="0026452D">
      <w:pPr>
        <w:pStyle w:val="SntesisDescriptiva"/>
      </w:pPr>
    </w:p>
    <w:p w:rsidR="0026452D" w:rsidRDefault="0026452D" w:rsidP="0026452D">
      <w:pPr>
        <w:pStyle w:val="SntesisAnaltica"/>
      </w:pPr>
      <w:r>
        <w:t>Vulneración del derecho a la legalidad sancionadora: subsunción de los hechos en un ilícito administrativo tipificado por la Ley de la viña y del vino no aplicable en Castilla y León al no tener carácter básico (STC 90/2012).</w:t>
      </w:r>
    </w:p>
    <w:p w:rsidR="0026452D" w:rsidRDefault="0026452D" w:rsidP="0026452D">
      <w:pPr>
        <w:pStyle w:val="SntesisAnaltica"/>
      </w:pPr>
    </w:p>
    <w:p w:rsidR="0026452D" w:rsidRDefault="0026452D" w:rsidP="0026452D">
      <w:pPr>
        <w:pStyle w:val="Extracto"/>
      </w:pPr>
      <w:r>
        <w:t>1.</w:t>
      </w:r>
      <w:r>
        <w:tab/>
        <w:t>La cuestión planteada en el presente procedimiento en relación con una infracción tipificada en la Ley autonómica de la viña y del vino ya ha sido resuelta por la STC 90/2012 [FJ 2].</w:t>
      </w:r>
    </w:p>
    <w:p w:rsidR="0026452D" w:rsidRDefault="0026452D" w:rsidP="0026452D">
      <w:pPr>
        <w:pStyle w:val="Extracto"/>
      </w:pPr>
    </w:p>
    <w:p w:rsidR="0026452D" w:rsidRDefault="0026452D" w:rsidP="0026452D">
      <w:pPr>
        <w:pStyle w:val="Extracto"/>
      </w:pPr>
      <w:r>
        <w:t>2.</w:t>
      </w:r>
      <w:r>
        <w:tab/>
        <w:t>Convertir la expresión ‘legislación básica de la viña y del vino’ empleada por la Ley autonómica, en sinónimo de ‘legislación estatal’ en la materia representa una interpretación que se extiende a la totalidad de normas dictadas por el Estado en la materia, con abstracción de que posean la condición formal de bases o carezcan de la misma, que no puede considerarse acorde con las exigencias de predeterminación normativa de los ilícitos consustanciales al mandato de taxatividad (SSTC 90/2012, 127/2012)  [FJ 2].</w:t>
      </w:r>
    </w:p>
    <w:p w:rsidR="0026452D" w:rsidRDefault="0026452D" w:rsidP="0026452D">
      <w:pPr>
        <w:pStyle w:val="Extracto"/>
      </w:pPr>
    </w:p>
    <w:p w:rsidR="0026452D" w:rsidRDefault="0026452D" w:rsidP="0026452D">
      <w:pPr>
        <w:pStyle w:val="Extracto"/>
      </w:pPr>
      <w:r>
        <w:t>3.</w:t>
      </w:r>
      <w:r>
        <w:tab/>
        <w:t>Procede el otorgamiento del amparo solicitado por la sociedad recurrente pues la subsunción de su conducta en el ilícito administrativo tipificado por el art. 40.2 d) de la Ley 24/2003, de 10 de julio, de la viña y del vino, supuso una quiebra de la garantía material del derecho fundamental a la legalidad sancionadora proclamado por el art. 25.1 CE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amparo núm. 3068-2011, promovido por Bodegas Antaño, S.A., representada por la Procuradora doña Mercedes Caro Bonilla y asistida por el Letrado don José Antonio Garrote Mestre, contra la Sentencia de la Sección Segunda de la Sala de lo Contencioso-Administrativo del Tribunal Superior de Justicia de Castilla y León, con sede en Valladolid, de 22 de marzo de 2011, y contra la resolución sancionadora del Consejero de Agricultura y Ganadería de la Junta de Castilla y León, de 19 de octubre de 2006. Ha comparecido y formulado alegaciones el Letrado de la Comunidad Autónoma de Castilla y León. Ha intervenido el Ministerio Fiscal.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27 de mayo de 2011, la Procuradora de los Tribunales doña Mercedes Caro Bonilla, actuando en nombre y representación de Bodegas Antaño, S.A., interpuso recurso de amparo frente a las resoluciones citadas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que se fundamenta la demanda de amparo son los siguientes:</w:t>
      </w:r>
    </w:p>
    <w:p w:rsidR="0026452D" w:rsidRDefault="0026452D" w:rsidP="0026452D">
      <w:pPr>
        <w:pStyle w:val="TextoNormal"/>
      </w:pPr>
    </w:p>
    <w:p w:rsidR="0026452D" w:rsidRDefault="0026452D" w:rsidP="0026452D">
      <w:pPr>
        <w:pStyle w:val="TextoNormal"/>
      </w:pPr>
      <w:r>
        <w:t>a) El 14 de marzo de 2006 los servicios de inspección del Consejo Regulador de la denominación de origen “Rueda” levantaron acta de infracción a la firma Bodegas Antaño, S.A., que dio origen a la incoación de un expediente sancionador a resultas del cual, mediante Orden del Consejero de Agricultura y Ganadería de la Junta de Castilla y León de 19 de octubre de 2006, se impuso a la recurrente una multa de trescientos mil euros por la comisión de una infracción administrativa muy grave tipificada en el art. 40.2 d) de la Ley 24/2003, de 10 de julio, de la viña y del vino.</w:t>
      </w:r>
    </w:p>
    <w:p w:rsidR="0026452D" w:rsidRDefault="0026452D" w:rsidP="0026452D">
      <w:pPr>
        <w:pStyle w:val="TextoNormal"/>
      </w:pPr>
    </w:p>
    <w:p w:rsidR="0026452D" w:rsidRDefault="0026452D" w:rsidP="0026452D">
      <w:pPr>
        <w:pStyle w:val="TextoNormal"/>
      </w:pPr>
      <w:r>
        <w:t>En las alegaciones realizadas en el curso del procedimiento sancionador Bodegas Antaño, S.A., invocó la vulneración del art. 25.1 CE por infracción de los principios de legalidad y tipicidad, al entender que la conducta no era constitutiva de ninguna de las infracciones tipificadas en la Ley autonómica 8/2005, de 10 de junio, de la viña y del vino de Castilla y León, no resultando de aplicación en el ámbito territorial de Castilla y León el art. 40.2 d) de la Ley estatal 24/2003, de 10 de julio, de la viña y del vino, por no tratarse de un precepto de carácter básico.</w:t>
      </w:r>
    </w:p>
    <w:p w:rsidR="0026452D" w:rsidRDefault="0026452D" w:rsidP="0026452D">
      <w:pPr>
        <w:pStyle w:val="TextoNormal"/>
      </w:pPr>
    </w:p>
    <w:p w:rsidR="0026452D" w:rsidRDefault="0026452D" w:rsidP="0026452D">
      <w:pPr>
        <w:pStyle w:val="TextoNormal"/>
      </w:pPr>
      <w:r>
        <w:t xml:space="preserve">La resolución sancionadora rechaza esta alegación por considerar, en esencia, que la expresión “legislación básica” que contiene el art. 42 de la Ley 8/2005, de Castilla y León cuando establece: “con carácter general, el régimen sancionador en las materias objeto de la presente Ley será lo establecido en la legislación básica de la Viña y del Vino, sin perjuicio de lo que se dispone en los artículos siguientes” tiene carácter genérico y remite a la totalidad del régimen sancionador estatal previsto en la Ley 24/2003, sin distinguir entre preceptos básicos y no básicos, y que, en todo caso, el Derecho estatal tiene carácter supletorio de acuerdo con lo establecido en el art. 149.3 CE, precepto que, si bien no habilita al </w:t>
      </w:r>
      <w:r>
        <w:lastRenderedPageBreak/>
        <w:t>Estado para dictar normas al amparo de dicha cláusula, hace entrar en juego a título supletorio esta disposición del Estado dictada en ejercicio de sus competencias, al no poderse dejar sin sanción una conducta tan grave como la cometida por la recurrente.</w:t>
      </w:r>
    </w:p>
    <w:p w:rsidR="0026452D" w:rsidRDefault="0026452D" w:rsidP="0026452D">
      <w:pPr>
        <w:pStyle w:val="TextoNormal"/>
      </w:pPr>
    </w:p>
    <w:p w:rsidR="0026452D" w:rsidRDefault="0026452D" w:rsidP="0026452D">
      <w:pPr>
        <w:pStyle w:val="TextoNormal"/>
      </w:pPr>
      <w:r>
        <w:t>b) La empresa sancionada interpuso recurso contencioso-administrativo, que fue estimado parcialmente por Sentencia de 22 de marzo de 2011 de la Sección Segunda de la Sala de lo Contencioso-Administrativo del Tribunal Superior de Justicia de Castilla y León, con sede en Valladolid, que anula la resolución sancionadora únicamente en el apartado relativo a la cuantía de la multa impuesta, rebajándola a sesenta mil euros, y mantiene el resto de los pronunciamientos por considerar que cuando la Ley autonómica utiliza la expresión “legislación básica de la Viña y el Vino” se está refiriendo a la Ley 24/2003 en su conjunto, sin excluir las normas contenidas en ella que no son calificadas por la propia Ley como básicas, pero que son aplicables en las Comunidades Autónomas en tanto no sean desplazadas con el ejercicio de las competencias normativas autonómicas. En este sentido, la resolución impugnada sostiene que la Comunidad Autónoma de Castilla y León, al aprobar el citado art. 42 de la Ley 8/2005 en el ejercicio de su competencia exclusiva, ha asumido también las normas reguladoras de las infracciones administrativas que no tienen el carácter de básicas en la Ley 24/2003 y, en consecuencia, sería de aplicación en dicha Comunidad el art. 40.2 d) de la Ley estatal.</w:t>
      </w:r>
    </w:p>
    <w:p w:rsidR="0026452D" w:rsidRDefault="0026452D" w:rsidP="0026452D">
      <w:pPr>
        <w:pStyle w:val="TextoNormal"/>
      </w:pPr>
    </w:p>
    <w:p w:rsidR="0026452D" w:rsidRDefault="0026452D" w:rsidP="0026452D">
      <w:pPr>
        <w:pStyle w:val="TextoNormal"/>
      </w:pPr>
      <w:r w:rsidRPr="0026452D">
        <w:rPr>
          <w:rStyle w:val="NumeroAFNegritaCaracter"/>
        </w:rPr>
        <w:t>3</w:t>
      </w:r>
      <w:r>
        <w:t>. En la demanda de amparo, Bodegas Antaño, S.A., alega la vulneración del derecho a la legalidad sancionadora previsto en el art. 25.1 CE al entender que, contrariamente a lo afirmado en la resolución administrativa sancionadora y en la Sentencia del Tribunal Superior de Justicia de Castilla y León de 22 de marzo de 2011, los preceptos no básicos de la Ley 24/2003, de la viña y del vino, no son aplicables de forma supletoria conforme al art. 149.3 CE, pues, a su juicio, aunque ello es así cuando la Comunidad Autónoma no regula la materia, la situación cambia radicalmente cuando existe, como aquí sucede, una ley autonómica que establece un régimen sancionador que comprende, por un lado, los tipos básicos definidos por el legislador estatal -entre los que no se encuentra el aplicado en el caso- y, por otro, aquellos específicos creados por la propia norma territorial. Además, añade la recurrente, la Ley 8/2005 de las Cortes de Castilla y León, no declara en ningún momento de aplicación supletoria la Ley 24/2003 de la viña y del vino, acaso porque de haberlo hecho habría incurrido en una causa de inconstitucionalidad, de acuerdo con la doctrina recogida en la STC 157/2004, de 23 de septiembre.</w:t>
      </w:r>
    </w:p>
    <w:p w:rsidR="0026452D" w:rsidRDefault="0026452D" w:rsidP="0026452D">
      <w:pPr>
        <w:pStyle w:val="TextoNormal"/>
      </w:pPr>
    </w:p>
    <w:p w:rsidR="0026452D" w:rsidRDefault="0026452D" w:rsidP="0026452D">
      <w:pPr>
        <w:pStyle w:val="TextoNormal"/>
      </w:pPr>
      <w:r>
        <w:t>Así, para la sociedad mercantil recurrente entender, como hacen las resoluciones impugnadas, que la Comunidad de Castilla y León no ha desplazado sino que ha asumido las normas de la Ley 24/2003 reguladoras de las infracciones administrativas que no tienen carácter básico, choca frontalmente con la doctrina recogida en la STC 157/2004 donde, con cita de la STC 132/1989, se pone de manifiesto que “cuando el legislador autonómico regula materias de su competencia sobre las que existe normativa estatal viene a desplazar tal normativa, aplicándose con preferencia en cada Comunidad Autónoma las disposiciones propias” (FJ 13). La recurrente no niega que el legislador autonómico pueda remitirse a las disposiciones básicas estatales para regular una materia, incluso sancionadora, como de hecho hace el art. 42 de la Ley 8/2005 de Castilla y León, pero esto no es lo mismo que considerar aplicable, en virtud del principio de supletoriedad del Derecho estatal (art. 149.3 CE), aquello a lo que no hay remisión expresa.</w:t>
      </w:r>
    </w:p>
    <w:p w:rsidR="0026452D" w:rsidRDefault="0026452D" w:rsidP="0026452D">
      <w:pPr>
        <w:pStyle w:val="TextoNormal"/>
      </w:pPr>
    </w:p>
    <w:p w:rsidR="0026452D" w:rsidRDefault="0026452D" w:rsidP="0026452D">
      <w:pPr>
        <w:pStyle w:val="TextoNormal"/>
      </w:pPr>
      <w:r>
        <w:lastRenderedPageBreak/>
        <w:t>Por último, la actora expone que, en el momento de producirse los hechos, era de aplicación lo dispuesto en el art. 44.3 e) del Reglamento de la denominación de origen “Rueda”, aprobado por Orden del Ministerio de Agricultura, Pesca y Alimentación 2059/2002, de 21 de julio, donde se tipificaba como infracción grave la indebida tenencia, negociación o utilización de los documentos, precintas, etiquetas, sellos, etc., propios de la denominación, sancionando esta conducta “con multa de veinte mil pesetas al doble del valor de la mercancía o productos afectados cuando aquél supere dicha cantidad, y con su decomiso”.</w:t>
      </w:r>
    </w:p>
    <w:p w:rsidR="0026452D" w:rsidRDefault="0026452D" w:rsidP="0026452D">
      <w:pPr>
        <w:pStyle w:val="TextoNormal"/>
      </w:pPr>
    </w:p>
    <w:p w:rsidR="0026452D" w:rsidRDefault="0026452D" w:rsidP="0026452D">
      <w:pPr>
        <w:pStyle w:val="TextoNormal"/>
      </w:pPr>
      <w:r>
        <w:t>La demanda concluye con la solicitud de que se dicte Sentencia por la que se reconozca el derecho de la recurrente a la legalidad en materia sancionadora y, a fin de reparar la lesión padecida, se anulen las resoluciones citadas en el encabezamiento de esta Sentencia.</w:t>
      </w:r>
    </w:p>
    <w:p w:rsidR="0026452D" w:rsidRDefault="0026452D" w:rsidP="0026452D">
      <w:pPr>
        <w:pStyle w:val="TextoNormal"/>
      </w:pPr>
    </w:p>
    <w:p w:rsidR="0026452D" w:rsidRDefault="0026452D" w:rsidP="0026452D">
      <w:pPr>
        <w:pStyle w:val="TextoNormal"/>
      </w:pPr>
      <w:r w:rsidRPr="0026452D">
        <w:rPr>
          <w:rStyle w:val="NumeroAFNegritaCaracter"/>
        </w:rPr>
        <w:t>4</w:t>
      </w:r>
      <w:r>
        <w:t>. Por diligencia de ordenación de la Secretaria de Justicia de la Sala Primera de este Tribunal se concedió, de acuerdo con lo previsto en el art. 49.4 de la Ley Orgánica del Tribunal Constitucional (LOTC), un plazo de diez días a la Procuradora doña Mercedes Caro Bonilla a fin de que suscribiera el escrito de demanda, advirtiéndole de que la falta de subsanación del defecto advertido en el plazo indicado determinaría la inadmisión del presente recurso.</w:t>
      </w:r>
    </w:p>
    <w:p w:rsidR="0026452D" w:rsidRDefault="0026452D" w:rsidP="0026452D">
      <w:pPr>
        <w:pStyle w:val="TextoNormal"/>
      </w:pPr>
    </w:p>
    <w:p w:rsidR="0026452D" w:rsidRDefault="0026452D" w:rsidP="0026452D">
      <w:pPr>
        <w:pStyle w:val="TextoNormal"/>
      </w:pPr>
      <w:r w:rsidRPr="0026452D">
        <w:rPr>
          <w:rStyle w:val="NumeroAFNegritaCaracter"/>
        </w:rPr>
        <w:t>5</w:t>
      </w:r>
      <w:r>
        <w:t>. Subsanado el defecto antes citado, por providencia de 1 de octubre de 2012 la Sala Segunda de este Tribunal acordó, de conformidad con lo dispuesto en el art. 11.2 LOTC, admitir a trámite la demanda de amparo formulada por la Procuradora doña Mercedes Caro Bonilla en nombre y representación de Bodegas Antaño, S.A. En la misma providencia también se acordó, en aplicación de lo dispuesto en el art. 51 LOTC, dirigir atenta comunicación a la Consejería de Agricultura y Ganadería de la Junta de Castilla y León para que en el plazo de diez días remitiera certificación o fotocopia adverada del expediente correspondiente al procedimiento sancionador núm. 7-2006, y a la Sección Segunda de la Sala de lo Contencioso-Administrativo del Tribunal Superior de Justicia de Castilla y León, con sede en Valladolid, a fin de que en el plazo de diez días remitiera certificación o copia adverada de las actuaciones correspondientes al procedimiento ordinario núm. 1861-2006, interesándose al propio tiempo el emplazamiento de quienes fueron parte en el proceso, a excepción de la empresa demandante de amparo, ya personada, para que pudieran comparecer en el plazo de diez días en el presente proceso constitucional.</w:t>
      </w:r>
    </w:p>
    <w:p w:rsidR="0026452D" w:rsidRDefault="0026452D" w:rsidP="0026452D">
      <w:pPr>
        <w:pStyle w:val="TextoNormal"/>
      </w:pPr>
    </w:p>
    <w:p w:rsidR="0026452D" w:rsidRDefault="0026452D" w:rsidP="0026452D">
      <w:pPr>
        <w:pStyle w:val="TextoNormal"/>
      </w:pPr>
      <w:r w:rsidRPr="0026452D">
        <w:rPr>
          <w:rStyle w:val="NumeroAFNegritaCaracter"/>
        </w:rPr>
        <w:t>6</w:t>
      </w:r>
      <w:r>
        <w:t>. Por diligencia de ordenación del Secretario de Justicia de la Sala Primera de 4 de diciembre de 2012, se tuvieron por recibidos los testimonios de las actuaciones reclamadas, por personada y parte a la Comunidad Autónoma de Castilla y León y, con arreglo a lo dispuesto en el art. 52.1 LOTC, se concedió al Ministerio Fiscal y a las partes personadas un plazo común de veinte días para que, con vista de las actuaciones recibidas, formulasen alegaciones.</w:t>
      </w:r>
    </w:p>
    <w:p w:rsidR="0026452D" w:rsidRDefault="0026452D" w:rsidP="0026452D">
      <w:pPr>
        <w:pStyle w:val="TextoNormal"/>
      </w:pPr>
    </w:p>
    <w:p w:rsidR="0026452D" w:rsidRDefault="0026452D" w:rsidP="0026452D">
      <w:pPr>
        <w:pStyle w:val="TextoNormal"/>
      </w:pPr>
      <w:r w:rsidRPr="0026452D">
        <w:rPr>
          <w:rStyle w:val="NumeroAFNegritaCaracter"/>
        </w:rPr>
        <w:t>7</w:t>
      </w:r>
      <w:r>
        <w:t>. El Ministerio Fiscal presentó su escrito de alegaciones en este Tribunal el 16 de enero de 2013, en el que interesa se dicte Sentencia estimatoria del recurso de amparo.</w:t>
      </w:r>
    </w:p>
    <w:p w:rsidR="0026452D" w:rsidRDefault="0026452D" w:rsidP="0026452D">
      <w:pPr>
        <w:pStyle w:val="TextoNormal"/>
      </w:pPr>
    </w:p>
    <w:p w:rsidR="0026452D" w:rsidRDefault="0026452D" w:rsidP="0026452D">
      <w:pPr>
        <w:pStyle w:val="TextoNormal"/>
      </w:pPr>
      <w:r>
        <w:t xml:space="preserve">Tras exponer detalladamente los antecedentes del asunto y antes de entrar en el examen de fondo, el Fiscal pone de manifiesto que en el presente recurso se plantea por la demandante, Bodegas Antaño, S.A., una queja igual a la suscitada por dicha empresa en otros tres </w:t>
      </w:r>
      <w:r>
        <w:lastRenderedPageBreak/>
        <w:t>recursos de amparo, como consecuencia de que a dicha sociedad mercantil le fueron tramitados simultáneamente cuatro expedientes sancionadores por la misma infracción, recursos que ya han sido resueltos por el Tribunal Constitucional en las SSTC 90/2012, de 7 de mayo, 109/2012, de 21 de mayo, y 127/2012, de 18 de junio, en las que se otorga el amparo a la mercantil demandante, por lo que reitera las alegaciones formuladas en los mismos.</w:t>
      </w:r>
    </w:p>
    <w:p w:rsidR="0026452D" w:rsidRDefault="0026452D" w:rsidP="0026452D">
      <w:pPr>
        <w:pStyle w:val="TextoNormal"/>
      </w:pPr>
    </w:p>
    <w:p w:rsidR="0026452D" w:rsidRDefault="0026452D" w:rsidP="0026452D">
      <w:pPr>
        <w:pStyle w:val="TextoNormal"/>
      </w:pPr>
      <w:r>
        <w:t>En este sentido, el Ministerio Fiscal expone que la disposición final segunda de la Ley estatal 24/2003, de 10 de julio, de la viña y del vino, no atribuye carácter básico al art. 40.2 d), y puesto que la Ley 8/2005, de 10 de junio, de la viña y del vino de Castilla y León, que recoge todo aquello que debe estar comprendido en una norma con rango de ley, no ha tipificado como ilícito administrativo la conducta sancionada por la ley estatal en el citado precepto, sólo puede concluirse que el legislador autonómico, al ejercitar sus competencias exclusivas dictando la Ley 8/2005, no contempló sancionar la conducta que se tipifica en el art. 40.2 d) de la Ley 24/2003.</w:t>
      </w:r>
    </w:p>
    <w:p w:rsidR="0026452D" w:rsidRDefault="0026452D" w:rsidP="0026452D">
      <w:pPr>
        <w:pStyle w:val="TextoNormal"/>
      </w:pPr>
    </w:p>
    <w:p w:rsidR="0026452D" w:rsidRDefault="0026452D" w:rsidP="0026452D">
      <w:pPr>
        <w:pStyle w:val="TextoNormal"/>
      </w:pPr>
      <w:r>
        <w:t xml:space="preserve">Asimismo, refuta la afirmación de que el art. 40.2 d) de la Ley 24/2003 resulta aplicable como Derecho supletorio conforme al principio establecido en el art. 149.3 CE, argumentando que la atribución al Derecho estatal de dicho carácter supletorio tiene como finalidad evitar la existencia de lagunas, como claramente pusiera de relieve la STC 157/2004, de 23 de septiembre, FJ 13, pero añadiendo que no puede sostenerse que exista una laguna cuando el legislador autonómico, actuando en el ejercicio de sus competencias, ha establecido un régimen sancionador con tipificación de determinadas infracciones y exclusión de otras, de manera que la aplicación supletoria del Derecho estatal en este caso no sólo no sería procedente sino que, además, entrañaría el riesgo de desnaturalizar las competencias de titularidad autonómica. A ello añade que los principios de legalidad y tipicidad rechazan esa pretendida aplicación supletoria de la normativa estatal, porque compromete la garantía material de </w:t>
      </w:r>
      <w:r w:rsidRPr="0026452D">
        <w:rPr>
          <w:i/>
        </w:rPr>
        <w:t>lex certa</w:t>
      </w:r>
      <w:r>
        <w:t xml:space="preserve"> que se integra en el art. 25.1 CE.</w:t>
      </w:r>
    </w:p>
    <w:p w:rsidR="0026452D" w:rsidRDefault="0026452D" w:rsidP="0026452D">
      <w:pPr>
        <w:pStyle w:val="TextoNormal"/>
      </w:pPr>
    </w:p>
    <w:p w:rsidR="0026452D" w:rsidRDefault="0026452D" w:rsidP="0026452D">
      <w:pPr>
        <w:pStyle w:val="TextoNormal"/>
      </w:pPr>
      <w:r>
        <w:t>Los razonamientos anteriormente sintetizados permiten concluir al Ministerio Fiscal que la sanción impuesta a la demandante de amparo vulneró el principio de legalidad y tipicidad reconocido en el art. 25.1 CE, pues la interpretación extensiva de la remisión que la ley territorial hace a la legislación básica iría en contra de las garantías que integran el derecho fundamental al principio de legalidad sancionadora. Así, a juicio del Fiscal, la demandante de amparo no pudo racionalmente prever su responsabilidad por infracción de lo previsto en el art. 40.2 d) de la Ley estatal 24/2003 de la viña y del vino y acomodar a dicha norma su conducta, habida cuenta de que en el territorio de la Comunidad Autónoma la norma aplicable en materia de vinos de calidad con denominación de origen era la Ley 8/2005, de 10 de junio, de la viña y del vino de Castilla y León, que en materia sancionadora hacía remisión específica exclusivamente a la “legislación básica de la Viña y del Vino”, por lo que una interpretación precisa y adecuada de este término sólo puede hacerse entendiendo que la remisión se hace a los preceptos básicos de la Ley 24/2003, entre los que no figura el ya mencionado art. 40.2 d).</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El 8 de enero de 2013 se presentó en el Registro General de este Tribunal el escrito de alegaciones del Letrado de la Comunidad Autónoma de Castilla y León, quien postula la desestimación del presente recurso de amparo al entender que las remisiones expresas a la legislación básica del Estado que contiene la Ley 8/2005, de 10 de junio, de la viña y del vino de Castilla y León, lo son en su conjunto a la Ley 24/2003, de 10 de julio, de la viña y </w:t>
      </w:r>
      <w:r>
        <w:lastRenderedPageBreak/>
        <w:t>del vino, que es la ley básica en materia vinícola, sin distinción entre los preceptos de carácter básico y los que no lo son, argumentando en este sentido que si el legislador autonómico no hubiese entendido que con la remisión al régimen sancionador de la ley básica estatal incorporaba el catálogo y relación de las infracciones administrativas contenidas en la misma, hubiera desarrollado por sí mismo la materia, procediendo a la tipificación de los ilícitos y estableciendo las medidas cautelares pertinentes.</w:t>
      </w:r>
    </w:p>
    <w:p w:rsidR="0026452D" w:rsidRDefault="0026452D" w:rsidP="0026452D">
      <w:pPr>
        <w:pStyle w:val="TextoNormal"/>
      </w:pPr>
    </w:p>
    <w:p w:rsidR="0026452D" w:rsidRDefault="0026452D" w:rsidP="0026452D">
      <w:pPr>
        <w:pStyle w:val="TextoNormal"/>
      </w:pPr>
      <w:r>
        <w:t>Asimismo, argumenta que el hecho de que una disposición contenida en una norma estatal no tenga carácter básico, como sucede en el caso del art. 40.2 d) de la Ley 24/2003, no significa que no sea aplicable en la Comunidad Autónoma, pues tal aplicación, a su juicio, es posible, bien porque la Comunidad Autónoma la asuma expresamente, bien porque no la desplace o sustituya, en cuyo caso entraría en juego la cláusula supletoria del art. 149.3 CE.</w:t>
      </w:r>
    </w:p>
    <w:p w:rsidR="0026452D" w:rsidRDefault="0026452D" w:rsidP="0026452D">
      <w:pPr>
        <w:pStyle w:val="TextoNormal"/>
      </w:pPr>
    </w:p>
    <w:p w:rsidR="0026452D" w:rsidRDefault="0026452D" w:rsidP="0026452D">
      <w:pPr>
        <w:pStyle w:val="TextoNormal"/>
      </w:pPr>
      <w:r>
        <w:t>Por último, el Letrado de la Comunidad Autónoma llama la atención acerca del hecho de que la conducta de la demandante, a saber, la indebida tenencia, negociación o utilización de los documentos, etiquetas, contraetiquetas, precintas y otros elementos de identificación propios del vino de calidad producido en una región determinada, así como su falsificación, “siempre ha sido una infracción prevista en la normativa reguladora del sector vitícola”. Por ello, en su opinión, no cabe ninguna duda de que en el momento de producirse los hechos la entidad demandante, que elabora vinos desde 1988, era plenamente consciente de la gravedad de su conducta “por lo que la alegada vulneración de los principios de legalidad y tipicidad en el caso que nos ocupa, amén de no encontrar respaldo desde el punto de vista jurídico, no encuentra soporte desde el propio sentido común”.</w:t>
      </w:r>
    </w:p>
    <w:p w:rsidR="0026452D" w:rsidRDefault="0026452D" w:rsidP="0026452D">
      <w:pPr>
        <w:pStyle w:val="TextoNormal"/>
      </w:pPr>
    </w:p>
    <w:p w:rsidR="0026452D" w:rsidRDefault="0026452D" w:rsidP="0026452D">
      <w:pPr>
        <w:pStyle w:val="TextoNormal"/>
      </w:pPr>
      <w:r w:rsidRPr="0026452D">
        <w:rPr>
          <w:rStyle w:val="NumeroAFNegritaCaracter"/>
        </w:rPr>
        <w:t>9</w:t>
      </w:r>
      <w:r>
        <w:t>. El 14 de enero de 2013 la representación procesal de Bodegas Antaño, S.A., presentó su escrito de alegaciones en este Tribunal, en las que viene a reproducir las formuladas en la demanda de amparo, significando el hecho de que este Tribunal ya ha dictado varias Sentencias en las que le ha concedido el amparo en supuestos idénticos al presente, concretamente en las SSTC 90/2012, 109/2012 y 127/2012.</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6 de mayo de 2013 se acordó señalar para deliberación y votación de la presente Sentencia ese mismo día.</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Como se ha expuesto con más detalle en los antecedentes, Bodegas Antaño, S.A., solicita amparo respecto de la Orden del Consejero de Agricultura y Ganadería de la Junta de Castilla y León de 19 de octubre de 2006, que le impone una sanción pecuniaria de trescientos mil euros por la comisión de una infracción tipificada en el art. 40.2 d) de la Ley 24/2003, de 10 de julio, de la viña y del vino, y de la Sentencia de la Sección Segunda de la Sala de lo Contencioso-Administrativo del Tribunal Superior de Justicia de Castilla y León, con sede en Valladolid, de 22 de marzo de 2011, que, con estimación parcial del recurso de apelación formulado por la sociedad mercantil recurrente, anula la resolución sancionadora únicamente en el apartado relativo a la cuantía de la multa impuesta, que se rebaja a sesenta mil euros, manteniendo el resto de los pronunciamientos.</w:t>
      </w:r>
    </w:p>
    <w:p w:rsidR="0026452D" w:rsidRDefault="0026452D" w:rsidP="0026452D">
      <w:pPr>
        <w:pStyle w:val="TextoNormal"/>
      </w:pPr>
    </w:p>
    <w:p w:rsidR="0026452D" w:rsidRDefault="0026452D" w:rsidP="0026452D">
      <w:pPr>
        <w:pStyle w:val="TextoNormal"/>
      </w:pPr>
      <w:r>
        <w:lastRenderedPageBreak/>
        <w:t>Sostiene la demandante que ambas resoluciones habrían vulnerado su derecho fundamental a la legalidad sancionadora (art. 25.1 CE), al ser sancionada por la realización de una conducta —utilización indebida de contraetiquetas propias del vino de calidad producido en una región determinada— tipificada como infracción muy grave en el art. 40.2 d) de la Ley 24/2003, de 10 de julio, de la viña y del vino que, a su juicio, no es aplicable en la Comunidad Autónoma de Castilla y León, porque las Cortes de Castilla y León, en ejercicio de las competencias autonómicas en materia de agricultura y denominaciones de origen (art. 32.1.7 y 32 de la Ley Orgánica 4/1983, de 25 de febrero, de Estatuto de Autonomía de Castilla y León, en la redacción dada por la Ley Orgánica 4/1999, de 8 de enero), aprobaron la Ley 8/2005, de 10 de junio, de la viña y del vino de Castilla y León, norma legal que desplaza a la ley estatal en todo aquello que no tenga carácter básico, como sucede en el caso del art. 40.2 d), al que no se atribuye formalmente tal condición en el apartado segundo de la disposición final segunda de la Ley 24/2003, opinión que comparte el Ministerio Fiscal en los términos que han quedado relatados en los antecedentes de la presente Sentencia.</w:t>
      </w:r>
    </w:p>
    <w:p w:rsidR="0026452D" w:rsidRDefault="0026452D" w:rsidP="0026452D">
      <w:pPr>
        <w:pStyle w:val="TextoNormal"/>
      </w:pPr>
    </w:p>
    <w:p w:rsidR="0026452D" w:rsidRDefault="0026452D" w:rsidP="0026452D">
      <w:pPr>
        <w:pStyle w:val="TextoNormal"/>
      </w:pPr>
      <w:r>
        <w:t>Por su parte, la representación de la Junta de Castilla y León interesa la desestimación del presente recurso de amparo al entender, como se ha expuesto con más detenimiento en los antecedentes de esta Sentencia, que las remisiones expresas a la legislación básica del Estado que contiene la Ley 8/2005, de Castilla y León, lo son en su conjunto a la Ley estatal 24/2003, que es la ley básica en materia vinícola, sin distinción entre los preceptos de carácter básico y los que no lo son, argumentando que el hecho de que una disposición contenida en una norma estatal no tenga carácter básico, como sucede en el caso del art. 40.2 d) de la Ley 24/2003, no significa que no sea aplicable en la Comunidad Autónoma, pues tal aplicación, a su juicio, es posible, bien porque la Comunidad Autónoma la asuma expresamente, bien porque no la desplace o sustituya, en cuyo caso entraría en juego la cláusula supletoria del art. 149.3 CE.</w:t>
      </w:r>
    </w:p>
    <w:p w:rsidR="0026452D" w:rsidRDefault="0026452D" w:rsidP="0026452D">
      <w:pPr>
        <w:pStyle w:val="TextoNormal"/>
      </w:pPr>
    </w:p>
    <w:p w:rsidR="0026452D" w:rsidRDefault="0026452D" w:rsidP="0026452D">
      <w:pPr>
        <w:pStyle w:val="TextoNormal"/>
      </w:pPr>
      <w:r w:rsidRPr="0026452D">
        <w:rPr>
          <w:rStyle w:val="NumeroAFNegritaCaracter"/>
        </w:rPr>
        <w:t>2</w:t>
      </w:r>
      <w:r>
        <w:t>. Entrando ya en el fondo del asunto, es de señalar que la impugnación de la sanción objeto de litigio tiene su origen en la aplicación del art. 42 de la Ley 8/2005, de 10 de junio, de la viña y del vino de Castilla y León, cuyo texto es el siguiente: “Con carácter general, el régimen sancionador en las materias objeto de la presente Ley será lo establecido en la legislación básica de la Viña y del Vino, sin perjuicio de lo que se dispone en los artículos siguientes”, pues la sanción se impone por la infracción administrativa prevista en el art. 40.2 d) de la Ley 24/2003, de 10 de julio, de la viña y del vino, que no tiene carácter básico y, en consecuencia, la cuestión que se plantea es la de si este último precepto, en conexión con el que se ha transcrito, da cobertura legal suficiente a la sanción, habida cuenta de las exigencias del principio de legalidad en materia sancionadora que consagra el art. 25 CE.</w:t>
      </w:r>
    </w:p>
    <w:p w:rsidR="0026452D" w:rsidRDefault="0026452D" w:rsidP="0026452D">
      <w:pPr>
        <w:pStyle w:val="TextoNormal"/>
      </w:pPr>
    </w:p>
    <w:p w:rsidR="0026452D" w:rsidRDefault="0026452D" w:rsidP="0026452D">
      <w:pPr>
        <w:pStyle w:val="TextoNormal"/>
      </w:pPr>
      <w:r>
        <w:t xml:space="preserve">Pues bien, esta misma cuestión ha sido ya resuelta en las SSTC 90/2012, de 7 de mayo, 109/2012, de 21 de mayo, y 127/2012, de 18 de junio, por lo que, al igual que se hace en las dos últimas Sentencias citadas, procede que nos remitamos ahora al contenido de la STC 90/2012, reiterando que, como expresamente se dejó dicho en la misma “convertir la expresión ‘legislación básica de la viña y del vino’ empleada por el art. 42 de la Ley 8/2005, de 10 de junio, de la viña y del vino de Castilla y León, en sinónimo de ‘legislación estatal’ en la materia, representa una interpretación extensiva de lo dispuesto por el legislador autonómico”, pues “la precisa remisión a las normas dictadas por el Estado en ejercicio de una </w:t>
      </w:r>
      <w:r>
        <w:lastRenderedPageBreak/>
        <w:t>concreta competencia, en este caso la relativa a las bases de ordenación general de la economía (art. 149.1.13 CE), que es la invocada en la disposición final primera de la Ley 24/2003, de la viña y del vino, se expande hasta comprender a la totalidad de normas dictadas por el Estado en la materia, con abstracción de que posean la condición formal de bases o carezcan de la misma” (FJ 5). Ello supone una interpretación del precepto legal autonómico que prescinde del sentido que en el orden constitucional y estatutario de distribución de competencias encierra lo básico y “que difícilmente puede considerarse acorde con las exigencias de predeterminación normativa de los ilícitos consustanciales al ya reseñado mandato de taxatividad” (mismo fundamento jurídico 5 ya citado).</w:t>
      </w:r>
    </w:p>
    <w:p w:rsidR="0026452D" w:rsidRDefault="0026452D" w:rsidP="0026452D">
      <w:pPr>
        <w:pStyle w:val="TextoNormal"/>
      </w:pPr>
    </w:p>
    <w:p w:rsidR="0026452D" w:rsidRDefault="0026452D" w:rsidP="0026452D">
      <w:pPr>
        <w:pStyle w:val="TextoNormal"/>
      </w:pPr>
      <w:r>
        <w:t>Todo ello conduce al otorgamiento del amparo solicitado por Bodegas Antaño, S.A., pues la subsunción de su conducta en el ilícito administrativo tipificado por el art. 40.2 d) de la Ley 24/2003, de 10 de julio, de la viña y del vino, supuso una quiebra de la garantía material del derecho fundamental a la legalidad sancionadora proclamado por el art. 25.1 CE.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Bodegas Antaño, S.A., y, en su virtud:</w:t>
      </w:r>
    </w:p>
    <w:p w:rsidR="0026452D" w:rsidRDefault="0026452D" w:rsidP="0026452D">
      <w:pPr>
        <w:pStyle w:val="TextoNormal"/>
      </w:pPr>
    </w:p>
    <w:p w:rsidR="0026452D" w:rsidRDefault="0026452D" w:rsidP="0026452D">
      <w:pPr>
        <w:pStyle w:val="TextoNormal"/>
      </w:pPr>
      <w:r>
        <w:t>1º Reconocer su derecho fundamental a la legalidad sancionadora (art. 25.1 CE) de la recurrente.</w:t>
      </w:r>
    </w:p>
    <w:p w:rsidR="0026452D" w:rsidRDefault="0026452D" w:rsidP="0026452D">
      <w:pPr>
        <w:pStyle w:val="TextoNormal"/>
      </w:pPr>
    </w:p>
    <w:p w:rsidR="0026452D" w:rsidRDefault="0026452D" w:rsidP="0026452D">
      <w:pPr>
        <w:pStyle w:val="TextoNormal"/>
      </w:pPr>
      <w:r>
        <w:t>2º Anular la Orden del Consejero de Agricultura y Ganadería de la Junta de Castilla y León de 19 de octubre de 2006, por la que se le impone a Bodegas Antaño, S.A., una sanción de trescientos mil euros como autora de una infracción del art. 40.2 d) de la Ley 24/2003, de 10 de julio, de la viña y del vino, así como la Sentencia de 22 de marzo de 2011 dictada por la Sección Segunda de la Sala de lo Contencioso-Administrativo del Tribunal Superior de Justicia de Castilla y León, en el procedimiento ordinario núm. 1861-2006.</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seis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11" w:name="SENTENCIA_2013_108"/>
      <w:r>
        <w:lastRenderedPageBreak/>
        <w:t>SENTENCIA 108/2013, de 6 de mayo de 2013</w:t>
      </w:r>
    </w:p>
    <w:bookmarkEnd w:id="111"/>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133, de 4 de junio de 2013)</w:t>
      </w:r>
    </w:p>
    <w:p w:rsidR="0026452D" w:rsidRDefault="0026452D" w:rsidP="0026452D">
      <w:pPr>
        <w:pStyle w:val="TtuloBOE"/>
      </w:pPr>
    </w:p>
    <w:p w:rsidR="0026452D" w:rsidRDefault="0026452D" w:rsidP="0026452D">
      <w:pPr>
        <w:pStyle w:val="SntesisDescriptiva"/>
      </w:pPr>
      <w:r>
        <w:t>ECLI:ES:TC:2013:108</w:t>
      </w:r>
    </w:p>
    <w:p w:rsidR="0026452D" w:rsidRDefault="0026452D" w:rsidP="0026452D">
      <w:pPr>
        <w:pStyle w:val="SntesisDescriptiva"/>
      </w:pPr>
    </w:p>
    <w:p w:rsidR="0026452D" w:rsidRDefault="0026452D" w:rsidP="0026452D">
      <w:pPr>
        <w:pStyle w:val="SntesisDescriptiva"/>
      </w:pPr>
      <w:r>
        <w:t>Recurso de amparo 7128-2011. Promovido por el Consejo General de Procuradores de España, el Colegio de Procuradores de Madrid y don Ramón Rodríguez Nogueira respecto de las resoluciones de la Sección Tercera de la Sala de lo Contencioso-Administrativo en incidente de tasación de costas.</w:t>
      </w:r>
    </w:p>
    <w:p w:rsidR="0026452D" w:rsidRDefault="0026452D" w:rsidP="0026452D">
      <w:pPr>
        <w:pStyle w:val="SntesisDescriptiva"/>
      </w:pPr>
    </w:p>
    <w:p w:rsidR="0026452D" w:rsidRDefault="0026452D" w:rsidP="0026452D">
      <w:pPr>
        <w:pStyle w:val="SntesisAnaltica"/>
      </w:pPr>
      <w:r>
        <w:t>Vulneración del derecho a la tutela judicial efectiva (resolución jurídicamente fundada): modificación de la cuantía de los derechos del procurador que altera los términos de la imposición de costas acordada en la sentencia y que trae causa de la inaplicación inmotivada de la norma reglamentaria que aprueba el arancel de derechos de los procuradores.</w:t>
      </w:r>
    </w:p>
    <w:p w:rsidR="0026452D" w:rsidRDefault="0026452D" w:rsidP="0026452D">
      <w:pPr>
        <w:pStyle w:val="SntesisAnaltica"/>
      </w:pPr>
    </w:p>
    <w:p w:rsidR="0026452D" w:rsidRDefault="0026452D" w:rsidP="0026452D">
      <w:pPr>
        <w:pStyle w:val="Extracto"/>
      </w:pPr>
      <w:r>
        <w:t>1.</w:t>
      </w:r>
      <w:r>
        <w:tab/>
        <w:t>La decisión de reducir los derechos del Procurador vulneró el derecho a la tutela judicial efectiva, pues si no existe posibilidad legal de impugnar la tasación de costas por estimar excesivos los derechos del Procurador, no parece lógico que pudiera afirmarse la viabilidad de su modificación o reducción por su relación con otra situación sobre la que sí se reconoce una posibilidad legal de impugnación, como son los honorarios del Letrado [FJ 5].</w:t>
      </w:r>
    </w:p>
    <w:p w:rsidR="0026452D" w:rsidRDefault="0026452D" w:rsidP="0026452D">
      <w:pPr>
        <w:pStyle w:val="Extracto"/>
      </w:pPr>
    </w:p>
    <w:p w:rsidR="0026452D" w:rsidRDefault="0026452D" w:rsidP="0026452D">
      <w:pPr>
        <w:pStyle w:val="Extracto"/>
      </w:pPr>
      <w:r>
        <w:t>2.</w:t>
      </w:r>
      <w:r>
        <w:tab/>
        <w:t xml:space="preserve">La resolución impugnada vulnera el derecho de los demandantes a la tutela judicial efectiva sin indefensión, pues, realizando una interpretación </w:t>
      </w:r>
      <w:r w:rsidRPr="0026452D">
        <w:rPr>
          <w:i/>
        </w:rPr>
        <w:t>contra legem</w:t>
      </w:r>
      <w:r>
        <w:t>, se aparta de los aranceles fijados reglamentariamente para los Procuradores respecto de sus honorarios e introduce un criterio de proporcionalidad, debiéndose tener en cuenta que un órgano judicial no puede inaplicar una norma reglamentaria sin expresar razonamientos sobre su ilegalidad y sin que nadie lo haya impugnado [FJ 5].</w:t>
      </w:r>
    </w:p>
    <w:p w:rsidR="0026452D" w:rsidRDefault="0026452D" w:rsidP="0026452D">
      <w:pPr>
        <w:pStyle w:val="Extracto"/>
      </w:pPr>
    </w:p>
    <w:p w:rsidR="0026452D" w:rsidRDefault="0026452D" w:rsidP="0026452D">
      <w:pPr>
        <w:pStyle w:val="Extracto"/>
      </w:pPr>
      <w:r>
        <w:t>3.</w:t>
      </w:r>
      <w:r>
        <w:tab/>
        <w:t>El derecho a la tutela judicial efectiva, art. 24.1 CE, comprende el de obtener de los Jueces y Tribunales una resolución motivada, que contenga los elementos y razones de juicio que permitan conocer cuáles han sido los criterios jurídicos que fundamentan la decisión, y fundada en Derecho, que sea consecuencia de una exégesis racional del ordenamiento y no fruto de un error patente o de la arbitrariedad (SSTC 146/2005, 38/2011) [FJ 5].</w:t>
      </w:r>
    </w:p>
    <w:p w:rsidR="0026452D" w:rsidRDefault="0026452D" w:rsidP="0026452D">
      <w:pPr>
        <w:pStyle w:val="Extracto"/>
      </w:pPr>
    </w:p>
    <w:p w:rsidR="0026452D" w:rsidRDefault="0026452D" w:rsidP="0026452D">
      <w:pPr>
        <w:pStyle w:val="Extracto"/>
      </w:pPr>
      <w:r>
        <w:t>4.</w:t>
      </w:r>
      <w:r>
        <w:tab/>
        <w:t>La tutela judicial efectiva del art. 24.1 CE no incluye un pretendido derecho al acierto judicial en la selección, interpretación y aplicación de las disposiciones legales, salvo que afecte al contenido de otros derechos constitucionales distintos al de tutela judicial efectiva (SSTC 3/2011, 183/2011) [FJ 5].</w:t>
      </w:r>
    </w:p>
    <w:p w:rsidR="0026452D" w:rsidRDefault="0026452D" w:rsidP="0026452D">
      <w:pPr>
        <w:pStyle w:val="Extracto"/>
      </w:pPr>
    </w:p>
    <w:p w:rsidR="0026452D" w:rsidRDefault="0026452D" w:rsidP="0026452D">
      <w:pPr>
        <w:pStyle w:val="Extracto"/>
      </w:pPr>
      <w:r>
        <w:t>5.</w:t>
      </w:r>
      <w:r>
        <w:tab/>
        <w:t>La simple discrepancia de las partes con una resolución judicial, aun fundada en otra interpretación posible de la legalidad aplicada, no convierte el correspon</w:t>
      </w:r>
      <w:r>
        <w:lastRenderedPageBreak/>
        <w:t>diente razonamiento judicial en arbitrario o manifiestamente irrazonable ni, menos aún, obliga a este Tribunal a elegir entre las interpretaciones posibles cuál es la que debe prevalecer (SSTC 59/2003, 13/2012) [FJ 5].</w:t>
      </w:r>
    </w:p>
    <w:p w:rsidR="0026452D" w:rsidRDefault="0026452D" w:rsidP="0026452D">
      <w:pPr>
        <w:pStyle w:val="Extracto"/>
      </w:pPr>
    </w:p>
    <w:p w:rsidR="0026452D" w:rsidRDefault="0026452D" w:rsidP="0026452D">
      <w:pPr>
        <w:pStyle w:val="Extracto"/>
      </w:pPr>
      <w:r>
        <w:t>6.</w:t>
      </w:r>
      <w:r>
        <w:tab/>
        <w:t>La función del incidente de nulidad de actuaciones en materia de tutela de derechos fundamentales es la misma que la realizada como consecuencia de la interposición de un recurso ordinario o extraordinario, y como tal debe ser atendida por los órganos judiciales (STC 153/2012) [FJ 3].</w:t>
      </w:r>
    </w:p>
    <w:p w:rsidR="0026452D" w:rsidRDefault="0026452D" w:rsidP="0026452D">
      <w:pPr>
        <w:pStyle w:val="Extracto"/>
      </w:pPr>
    </w:p>
    <w:p w:rsidR="0026452D" w:rsidRDefault="0026452D" w:rsidP="0026452D">
      <w:pPr>
        <w:pStyle w:val="Extracto"/>
      </w:pPr>
      <w:r>
        <w:t>7.</w:t>
      </w:r>
      <w:r>
        <w:tab/>
        <w:t xml:space="preserve">La circunstancia de haber sido parte en el proceso judicial previo no es suficiente para ostentar legitimación activa en el recurso de amparo, </w:t>
      </w:r>
      <w:r w:rsidRPr="0026452D">
        <w:rPr>
          <w:i/>
        </w:rPr>
        <w:t>ex</w:t>
      </w:r>
      <w:r>
        <w:t xml:space="preserve"> arts. 162.1 b) CE y 46.1 b) LOTC, sino que se exige además ostentar un interés legítimo, siendo posible ostentar legitimación para recurrir en amparo aun cuando no se haya sido parte en la vía judicial previa (STC 96/2012)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7128-2011, promovido por el Ilustre Consejo General de Procuradores de España, el Ilustre Colegio de Procuradores de Madrid y don Ramón Rodríguez Nogueira, representados por el Procurador de los Tribunales don Antonio María Álvarez-Buylla Ballesteros, y asistidos por el Abogado don Enrique Arnaldo Alcubilla, contra el Auto de la Sección Tercera de la Sala de lo Contencioso-Administrativo del Tribunal Supremo de 15 de noviembre de 2011, dictado en recurso de casación núm. 3337-2007, por el que se desestima el incidente de nulidad de actuaciones interpuesto contra el Auto de 19 de julio de 2011, que resolvió recurso de revisión contra el decreto del Secretario Judicial de dicha Sección de 28 de junio de 2010, desestimatorio de la impugnación de la tasación de costas formulada por el Estado. Ha comparecido y formulado alegaciones el Abogado del Estado. Ha intervenido el Ministerio Fiscal. Ha sido Ponente el Magistrado don Andrés Ollero Tassara,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presentado en el Registro General de este Tribunal el 29 de diciembre de 2011, el Procurador de los Tribunales don Antonio María Álvarez-Buylla Ballesteros en </w:t>
      </w:r>
      <w:r>
        <w:lastRenderedPageBreak/>
        <w:t>nombre del Ilustre Consejo General de Procuradores de España, del Ilustre Colegio de Procuradores de Madrid y de don Ramón Rodríguez Nogueira, interpuso recurso de amparo contra las resoluciones judiciales que figuran en el encabezamiento de esta Sentencia.</w:t>
      </w:r>
    </w:p>
    <w:p w:rsidR="0026452D" w:rsidRDefault="0026452D" w:rsidP="0026452D">
      <w:pPr>
        <w:pStyle w:val="TextoNormal"/>
      </w:pPr>
    </w:p>
    <w:p w:rsidR="0026452D" w:rsidRDefault="0026452D" w:rsidP="0026452D">
      <w:pPr>
        <w:pStyle w:val="TextoNormal"/>
      </w:pPr>
      <w:r w:rsidRPr="0026452D">
        <w:rPr>
          <w:rStyle w:val="NumeroAFNegritaCaracter"/>
        </w:rPr>
        <w:t>2</w:t>
      </w:r>
      <w:r>
        <w:t>. . Los hechos en los que se fundamenta la demanda de amparo son, sucintamente expuestos, los que siguen:</w:t>
      </w:r>
    </w:p>
    <w:p w:rsidR="0026452D" w:rsidRDefault="0026452D" w:rsidP="0026452D">
      <w:pPr>
        <w:pStyle w:val="TextoNormal"/>
      </w:pPr>
    </w:p>
    <w:p w:rsidR="0026452D" w:rsidRDefault="0026452D" w:rsidP="0026452D">
      <w:pPr>
        <w:pStyle w:val="TextoNormal"/>
      </w:pPr>
      <w:r>
        <w:t>La Sección Tercera de la Sala de lo Contencioso-Administrativo del Tribunal Supremo dictó el 20 de abril de 2010 Sentencia en el recurso de casación núm. 3337-2007, desestimando el recurso interpuesto por la Administración del Estado contra la Sentencia de la Sala de lo Contencioso-Administrativo de la Audiencia Nacional, sobre sanción en materia de defensa de la competencia, imponiéndole las costas causadas.</w:t>
      </w:r>
    </w:p>
    <w:p w:rsidR="0026452D" w:rsidRDefault="0026452D" w:rsidP="0026452D">
      <w:pPr>
        <w:pStyle w:val="TextoNormal"/>
      </w:pPr>
    </w:p>
    <w:p w:rsidR="0026452D" w:rsidRDefault="0026452D" w:rsidP="0026452D">
      <w:pPr>
        <w:pStyle w:val="TextoNormal"/>
      </w:pPr>
      <w:r>
        <w:t>El 21 de junio de 2010 el Secretario Judicial de la Sección practicó a instancias de la parte recurrida, Telefónica de España, S.A.U., la tasación de las costas causadas en el recurso de casación por los conceptos de minuta del Letrado (243.576 euros) y derechos del Procurador (106.769,27 euros). La Administración del Estado impugnó la tasación, reputándola excesiva, solicitando la reducción de la minuta del Letrado a la suma de 8.000 euros, y los derechos del Procurador a 297,24 euros (si la cuantía se consideraba indeterminada); subsidiariamente, a 85.613,27 euros (si la cuantía era determinada), o, en su caso, este último importe minorado en 12 puntos porcentuales.</w:t>
      </w:r>
    </w:p>
    <w:p w:rsidR="0026452D" w:rsidRDefault="0026452D" w:rsidP="0026452D">
      <w:pPr>
        <w:pStyle w:val="TextoNormal"/>
      </w:pPr>
    </w:p>
    <w:p w:rsidR="0026452D" w:rsidRDefault="0026452D" w:rsidP="0026452D">
      <w:pPr>
        <w:pStyle w:val="TextoNormal"/>
      </w:pPr>
      <w:r>
        <w:t>Recibido el preceptivo informe de la junta de gobierno del Colegio de Abogados, según lo previsto en el art. 246.3 de la Ley de enjuiciamiento civil (LEC), el Secretario Judicial dictó decreto de 22 de noviembre de 2010, desestimando la impugnación.</w:t>
      </w:r>
    </w:p>
    <w:p w:rsidR="0026452D" w:rsidRDefault="0026452D" w:rsidP="0026452D">
      <w:pPr>
        <w:pStyle w:val="TextoNormal"/>
      </w:pPr>
    </w:p>
    <w:p w:rsidR="0026452D" w:rsidRDefault="0026452D" w:rsidP="0026452D">
      <w:pPr>
        <w:pStyle w:val="TextoNormal"/>
      </w:pPr>
      <w:r>
        <w:t>La Administración del Estado interpuso recurso de reposición ante la Sala contra el referido decreto, reiterando su pretensión de rectificación de la tasación de las costas respecto de las minutas del Letrado y del Procurador.</w:t>
      </w:r>
    </w:p>
    <w:p w:rsidR="0026452D" w:rsidRDefault="0026452D" w:rsidP="0026452D">
      <w:pPr>
        <w:pStyle w:val="TextoNormal"/>
      </w:pPr>
    </w:p>
    <w:p w:rsidR="0026452D" w:rsidRDefault="0026452D" w:rsidP="0026452D">
      <w:pPr>
        <w:pStyle w:val="TextoNormal"/>
      </w:pPr>
      <w:r>
        <w:t>Después de que Telefónica de España, S.A.U., presentara sus alegaciones al recurso la Sección, por providencia de 8 de febrero de 2011, acordó de oficio dar el traslado previsto en el art. 33.2 de la Ley de la jurisdicción contencioso-administrativa (LJCA), para que las partes y el Consejo General de Procuradores fueran oídos por diez días, formulando las alegaciones que estimaran oportunas sobre la incidencia en autos del Real Decreto-ley 5/2010, de 31 de marzo, por el que se amplía la vigencia de determinadas medidas económicas de carácter temporal, y en su caso del art. 139.3 LJCA. El Abogado del Estado y Telefónica de España, S.A.U., presentaron alegaciones. El Consejo General de Procuradores de España presentó un informe sobre la “aplicación del principio de proporcionalidad al Arancel de Derechos de los Procuradores en incidente de tasación de costas”.</w:t>
      </w:r>
    </w:p>
    <w:p w:rsidR="0026452D" w:rsidRDefault="0026452D" w:rsidP="0026452D">
      <w:pPr>
        <w:pStyle w:val="TextoNormal"/>
      </w:pPr>
    </w:p>
    <w:p w:rsidR="0026452D" w:rsidRDefault="0026452D" w:rsidP="0026452D">
      <w:pPr>
        <w:pStyle w:val="TextoNormal"/>
      </w:pPr>
      <w:r>
        <w:t xml:space="preserve">Por Auto de 19 de julio de 2011 la Sección Tercera resuelve el recurso de revisión estimándolo en parte, anula el decreto del Secretario Judicial recurrido “quedando reducidos los honorarios (del Letrado Don José Miguel Fatás Monforte) y los derechos arancelarios (del Procurador Don Ramón Rodríguez Nogueira) incluidos en la tasación de costas a cargo de la Administración del Estado a las cifras de 25.000 y 12.500 euros respectivamente”. Dos de los Magistrados de la Sección formularon Voto particular, en el que concluían también </w:t>
      </w:r>
      <w:r>
        <w:lastRenderedPageBreak/>
        <w:t>que debería estimarse el recurso de revisión pero sólo en parte, respecto de la cuantía de la minuta del Letrado, debiendo desestimarse respecto de los derechos del Procurador.</w:t>
      </w:r>
    </w:p>
    <w:p w:rsidR="0026452D" w:rsidRDefault="0026452D" w:rsidP="0026452D">
      <w:pPr>
        <w:pStyle w:val="TextoNormal"/>
      </w:pPr>
    </w:p>
    <w:p w:rsidR="0026452D" w:rsidRDefault="0026452D" w:rsidP="0026452D">
      <w:pPr>
        <w:pStyle w:val="TextoNormal"/>
      </w:pPr>
      <w:r>
        <w:t>El Consejo General de Procuradores de España, el Colegio de Procuradores de Madrid, y el Procurador don Ramón Rodríguez Nogueira interpusieron incidente de nulidad de actuaciones contra el Auto de 19 de julio de 2011, solicitando que fuera resuelto por Magistrados distintos de aquellos que intervinieron en el Auto impugnado. La nulidad solicitada se basaba en la apreciación de diversas vulneraciones al derecho a la tutela judicial efectiva sin indefensión del art. 24.1 y del principio de igualdad del art. 14 de la Constitución. La Sala admitió a trámite el incidente, del que dio traslado a la Administración del Estado; ésta presentó alegaciones solicitando su desestimación. Por Auto de 15 de noviembre de 2011, la Sala rechaza que el incidente deba ser resuelto por Magistrados distintos de los que intervinieron en el Auto impugnado; razona que no se ha producido ninguna de las vulneraciones de derechos denunciadas y, en consecuencia, desestima el incidente.</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En la demanda de amparo se alega, en primer lugar y con carácter previo a las vulneraciones de derechos denunciadas, que el incidente de nulidad de actuaciones debió ser resuelto por Magistrados de la Sala Tercera del Tribunal Supremo distintos de aquellos que dictaron el Auto de 19 de julio de 2011 cuya nulidad se solicitaba. Consideran los demandantes de amparo que los Magistrados que dictaron el Auto estaban inhabilitados para resolver el incidente, al estar condicionados por su conocimiento anterior del caso y por haber dictado la resolución impugnada; no es óbice que el art. 241 de la Ley Orgánica del Poder Judicial (LOPJ) no establezca expresamente la obligación de que el incidente de nulidad sea resuelto por Magistrados distintos de los que dictaron la resolución impugnada. Por otra parte, aunque las causas de abstención y recusación están taxativamente enumeradas por la ley (arts. 219 y 220 LOPJ), debe considerarse superado el punto de vista tradicional de realizar una interpretación restrictiva de las mismas; debería más bien realizarse una interpretación teleológica de las causas legales de recusación, más acorde con la efectividad del derecho a un Juez imparcial. Para los demandantes de amparo, esto supone que el Juzgado o Tribunal, por no haber tenido un contacto previo con el </w:t>
      </w:r>
      <w:r w:rsidRPr="0026452D">
        <w:rPr>
          <w:i/>
        </w:rPr>
        <w:t>thema decidendi</w:t>
      </w:r>
      <w:r>
        <w:t>, se acerqueal objeto del mismo sin prevenciones en su ánimo.</w:t>
      </w:r>
    </w:p>
    <w:p w:rsidR="0026452D" w:rsidRDefault="0026452D" w:rsidP="0026452D">
      <w:pPr>
        <w:pStyle w:val="TextoNormal"/>
      </w:pPr>
    </w:p>
    <w:p w:rsidR="0026452D" w:rsidRDefault="0026452D" w:rsidP="0026452D">
      <w:pPr>
        <w:pStyle w:val="TextoNormal"/>
      </w:pPr>
      <w:r>
        <w:t>Tras esta alegación, se denuncian en la demanda de amparo las siguientes vulneraciones de derechos:</w:t>
      </w:r>
    </w:p>
    <w:p w:rsidR="0026452D" w:rsidRDefault="0026452D" w:rsidP="0026452D">
      <w:pPr>
        <w:pStyle w:val="TextoNormal"/>
      </w:pPr>
    </w:p>
    <w:p w:rsidR="0026452D" w:rsidRDefault="0026452D" w:rsidP="0026452D">
      <w:pPr>
        <w:pStyle w:val="TextoNormal"/>
      </w:pPr>
      <w:r>
        <w:t>a) El Auto de 19 de julio de 2011 es arbitrario e irracional, vulnerando el derecho de defensa del art. 24 CE; debió inadmitir de plano el recurso de revisión de la Administración del Estado, al no realizar éste crítica alguna al decreto del Secretario Judicial de 22 de noviembre de 2010, limitándose en cambio a reproducir las alegaciones realizadas para impugnar la tasación de costas. Considera la demanda que, si se reproducen literalmente unas alegaciones que se realizaron cuando ni siquiera el decreto existía, es evidente que no se impugnan las argumentaciones de la resolución que se recurre. No es una resolución razonable la que resuelve tal recurso de revisión, que debió de ser desestimado de plano por no realizar crítica alguna de la resolución impugnada.</w:t>
      </w:r>
    </w:p>
    <w:p w:rsidR="0026452D" w:rsidRDefault="0026452D" w:rsidP="0026452D">
      <w:pPr>
        <w:pStyle w:val="TextoNormal"/>
      </w:pPr>
    </w:p>
    <w:p w:rsidR="0026452D" w:rsidRDefault="0026452D" w:rsidP="0026452D">
      <w:pPr>
        <w:pStyle w:val="TextoNormal"/>
      </w:pPr>
      <w:r>
        <w:t>b) El Auto reduce de forma arbitraria e irracional los derechos del Procurador vulnerando gravemente el derecho de defensa del art. 24 CE.</w:t>
      </w:r>
    </w:p>
    <w:p w:rsidR="0026452D" w:rsidRDefault="0026452D" w:rsidP="0026452D">
      <w:pPr>
        <w:pStyle w:val="TextoNormal"/>
      </w:pPr>
    </w:p>
    <w:p w:rsidR="0026452D" w:rsidRDefault="0026452D" w:rsidP="0026452D">
      <w:pPr>
        <w:pStyle w:val="TextoNormal"/>
      </w:pPr>
      <w:r>
        <w:lastRenderedPageBreak/>
        <w:t xml:space="preserve">Es arbitrario e irracional que el Auto vincule el arancel del Procurador a los honorarios del Letrado, afirmando que estos son desproporcionados porque los honorarios del Letrado hayan sido reducidos a la cifra de 25.000 euros. La Sala no podía aplicar el art.139.3 LJCA para realizar esta reducción; lo hace </w:t>
      </w:r>
      <w:r w:rsidRPr="0026452D">
        <w:rPr>
          <w:i/>
        </w:rPr>
        <w:t>a posteriori</w:t>
      </w:r>
      <w:r>
        <w:t>, después de  realizada la tasación de costas, sin otra justificación que afirmar que lo que se pudo realizar antes se podía hacer después.</w:t>
      </w:r>
    </w:p>
    <w:p w:rsidR="0026452D" w:rsidRDefault="0026452D" w:rsidP="0026452D">
      <w:pPr>
        <w:pStyle w:val="TextoNormal"/>
      </w:pPr>
    </w:p>
    <w:p w:rsidR="0026452D" w:rsidRDefault="0026452D" w:rsidP="0026452D">
      <w:pPr>
        <w:pStyle w:val="TextoNormal"/>
      </w:pPr>
      <w:r>
        <w:t>La impugnación de los derechos del Procurador debió reputarse inadmisible por el Auto de 19 de julio de 2011, al plantearse por un cauce inadecuado; cuando el Estado impugnó la tasación de costas, lo hizo considerando esta partida “excesiva”, pero la tasación de los derechos de profesionales sujetos a arancel, como es el caso de los Procuradores, no admite tal impugnación según establece el art. 254.2 LEC.</w:t>
      </w:r>
    </w:p>
    <w:p w:rsidR="0026452D" w:rsidRDefault="0026452D" w:rsidP="0026452D">
      <w:pPr>
        <w:pStyle w:val="TextoNormal"/>
      </w:pPr>
    </w:p>
    <w:p w:rsidR="0026452D" w:rsidRDefault="0026452D" w:rsidP="0026452D">
      <w:pPr>
        <w:pStyle w:val="TextoNormal"/>
      </w:pPr>
      <w:r>
        <w:t>Los derechos del Procurador, tasados por el Secretario Judicial, eran aplicación estricta de los aranceles fijados reglamentariamente conforme a la cuantía del pleito según el Real Decreto 1373/2003, de 7 de noviembre, modificado por el Real Decreto 1/2006, de 13 de enero, aplicable según el art. 242.4 LEC. El Auto de 19 de julio de 2011 es arbitrario por realizar un “sobreesfuerzo argumentativo” en un procedimiento de altísima cuantía (57 millones de euros) en el que la Administración debía satisfacer costas, mientras hasta entonces el arancel de los Procuradores nunca se había discutido.</w:t>
      </w:r>
    </w:p>
    <w:p w:rsidR="0026452D" w:rsidRDefault="0026452D" w:rsidP="0026452D">
      <w:pPr>
        <w:pStyle w:val="TextoNormal"/>
      </w:pPr>
    </w:p>
    <w:p w:rsidR="0026452D" w:rsidRDefault="0026452D" w:rsidP="0026452D">
      <w:pPr>
        <w:pStyle w:val="TextoNormal"/>
      </w:pPr>
      <w:r>
        <w:t>El art. 139.3 LJCA no era pues aplicable. Estando referido al momento de la imposición de costas, la limitación de éstas puede realizarse en la resolución que decide sobre la imposición, no después. En este caso, la Sentencia había condenado a la Administración al pago de las costas de casación, sin limitación alguna. El Auto de 19 de julio de 2011, al reducir los derechos del Procurador, vulnera el derecho a la ejecución de las resoluciones judiciales en sus propios términos: en este caso, la Sentencia firme ya dictada por la Sala.</w:t>
      </w:r>
    </w:p>
    <w:p w:rsidR="0026452D" w:rsidRDefault="0026452D" w:rsidP="0026452D">
      <w:pPr>
        <w:pStyle w:val="TextoNormal"/>
      </w:pPr>
    </w:p>
    <w:p w:rsidR="0026452D" w:rsidRDefault="0026452D" w:rsidP="0026452D">
      <w:pPr>
        <w:pStyle w:val="TextoNormal"/>
      </w:pPr>
      <w:r>
        <w:t>El Tribunal Supremo había venido reconociendo que el art. 139.3 LJCA permite limitar la condena en costas únicamente a los honorarios del Abogado, no respecto de los derechos de los Procuradores; los Tribunales no podían limitar los derechos establecidos por el Real Decreto 1373/2003 que regula los aranceles de los Procuradores. El Tribunal Supremo se aparta del precedente en el Auto impugnado, sin motivación ni justificación.</w:t>
      </w:r>
    </w:p>
    <w:p w:rsidR="0026452D" w:rsidRDefault="0026452D" w:rsidP="0026452D">
      <w:pPr>
        <w:pStyle w:val="TextoNormal"/>
      </w:pPr>
    </w:p>
    <w:p w:rsidR="0026452D" w:rsidRDefault="0026452D" w:rsidP="0026452D">
      <w:pPr>
        <w:pStyle w:val="TextoNormal"/>
      </w:pPr>
      <w:r>
        <w:t>La aplicación del principio de proporcionalidad que hace el Auto de 19 de julio de 2011, en interpretación del Real Decreto-ley 5/2010, es también arbitraria. Este Real Decreto no establece un principio de proporcionalidad para limitar los derechos de los Procuradores, sino que establece, en el apartado primero de la disposición adicional, un principio de limitación estableciendo un tope máximo de 300.000 euros por derechos devengados por un Procurador en un mismo asunto, actuación o proceso, que, en este caso, no se habían alcanzado.</w:t>
      </w:r>
    </w:p>
    <w:p w:rsidR="0026452D" w:rsidRDefault="0026452D" w:rsidP="0026452D">
      <w:pPr>
        <w:pStyle w:val="TextoNormal"/>
      </w:pPr>
    </w:p>
    <w:p w:rsidR="0026452D" w:rsidRDefault="0026452D" w:rsidP="0026452D">
      <w:pPr>
        <w:pStyle w:val="TextoNormal"/>
      </w:pPr>
      <w:r>
        <w:t>Tampoco podían fijarse los derechos del Procurador por comparación con los honorarios de otros profesionales; la norma que aprueba el arancel de los derechos de los Procuradores, el Real Decreto 1373/2003, establece que las cantidades de las que son acreedores se calculan en función del interés económico del asunto, no de la mayor o menor carga de trabajo de la intervención profesional.</w:t>
      </w:r>
    </w:p>
    <w:p w:rsidR="0026452D" w:rsidRDefault="0026452D" w:rsidP="0026452D">
      <w:pPr>
        <w:pStyle w:val="TextoNormal"/>
      </w:pPr>
    </w:p>
    <w:p w:rsidR="0026452D" w:rsidRDefault="0026452D" w:rsidP="0026452D">
      <w:pPr>
        <w:pStyle w:val="TextoNormal"/>
      </w:pPr>
      <w:r>
        <w:lastRenderedPageBreak/>
        <w:t>El Auto de 19 de julio de 2011 crea inseguridad jurídica. A pesar de reducir la aplicación del principio de proporcionalidad a los efectos de la tasación de costas, es presumible que se extenderá a las relaciones del Procurador con su cliente; se acabaría así con el sistema objetivo del arancel.</w:t>
      </w:r>
    </w:p>
    <w:p w:rsidR="0026452D" w:rsidRDefault="0026452D" w:rsidP="0026452D">
      <w:pPr>
        <w:pStyle w:val="TextoNormal"/>
      </w:pPr>
    </w:p>
    <w:p w:rsidR="0026452D" w:rsidRDefault="0026452D" w:rsidP="0026452D">
      <w:pPr>
        <w:pStyle w:val="TextoNormal"/>
      </w:pPr>
      <w:r>
        <w:t>Afirma la demanda que estas alegaciones quedan confirmadas por los términos del Voto particular que se incorpora al Auto de 19 de julio de 2011.</w:t>
      </w:r>
    </w:p>
    <w:p w:rsidR="0026452D" w:rsidRDefault="0026452D" w:rsidP="0026452D">
      <w:pPr>
        <w:pStyle w:val="TextoNormal"/>
      </w:pPr>
    </w:p>
    <w:p w:rsidR="0026452D" w:rsidRDefault="0026452D" w:rsidP="0026452D">
      <w:pPr>
        <w:pStyle w:val="TextoNormal"/>
      </w:pPr>
      <w:r>
        <w:t>Por todo ello, concluye en este apartado la demanda que el Auto de 19 de julio de 2011 reduce los derechos del Procurador de un modo irracional y arbitrario, contrariando el principio de igualdad en la aplicación de la ley.</w:t>
      </w:r>
    </w:p>
    <w:p w:rsidR="0026452D" w:rsidRDefault="0026452D" w:rsidP="0026452D">
      <w:pPr>
        <w:pStyle w:val="TextoNormal"/>
      </w:pPr>
    </w:p>
    <w:p w:rsidR="0026452D" w:rsidRDefault="0026452D" w:rsidP="0026452D">
      <w:pPr>
        <w:pStyle w:val="TextoNormal"/>
      </w:pPr>
      <w:r>
        <w:t xml:space="preserve">c) El Auto de 19 de julio de 2011 infringe los principios </w:t>
      </w:r>
      <w:r w:rsidRPr="0026452D">
        <w:rPr>
          <w:i/>
        </w:rPr>
        <w:t>iura novit curia</w:t>
      </w:r>
      <w:r>
        <w:t>, el de contradicción y el derecho a una resolución congruente, causando la indefensión prohibida por el art. 24.1 CE.</w:t>
      </w:r>
    </w:p>
    <w:p w:rsidR="0026452D" w:rsidRDefault="0026452D" w:rsidP="0026452D">
      <w:pPr>
        <w:pStyle w:val="TextoNormal"/>
      </w:pPr>
      <w:r>
        <w:t>En el recurso de revisión interpuesto por la Administración del Estado se alegaba que los derechos del Procurador se debían reducir a 297,24 euros porque la cuantía del procedimiento era indeterminada. Subsidiariamente, la Administración del Estado alegaba que si la cuantía del procedimiento era 57 millones de euros, procedería abonar al Procurador 75.339,78 euros, una vez minorada la cuantía de 85.613,27 euros en 12 puntos porcentuales. El Auto de 19 de julio de 2011 no acepta la petición principal, porque entiende que la cuantía no es indeterminada; pero tampoco acepta la cantidad que establecía la Administración para el caso de cuantía determinada, al fijar los derechos del Procurador en 12.500 euros. Vincula estos derechos con la cuantía de los honorarios del Letrado, aplicando el Real Decreto-ley 5/2010, invocando un principio de proporcionalidad, y el art. 139.3 LJCA, cuestiones todas ellas que no habían sido alegadas por la Administración.</w:t>
      </w:r>
    </w:p>
    <w:p w:rsidR="0026452D" w:rsidRDefault="0026452D" w:rsidP="0026452D">
      <w:pPr>
        <w:pStyle w:val="TextoNormal"/>
      </w:pPr>
    </w:p>
    <w:p w:rsidR="0026452D" w:rsidRDefault="0026452D" w:rsidP="0026452D">
      <w:pPr>
        <w:pStyle w:val="TextoNormal"/>
      </w:pPr>
      <w:r>
        <w:t>d) La drástica reducción de los derechos del Procurador que realiza el Auto de 19 de julio de 2011 lesiona el principio de igualdad en la aplicación de la ley del art. 14 CE, porque en casos similares no se habían reducido los derechos del Procurador.</w:t>
      </w:r>
    </w:p>
    <w:p w:rsidR="0026452D" w:rsidRDefault="0026452D" w:rsidP="0026452D">
      <w:pPr>
        <w:pStyle w:val="TextoNormal"/>
      </w:pPr>
    </w:p>
    <w:p w:rsidR="0026452D" w:rsidRDefault="0026452D" w:rsidP="0026452D">
      <w:pPr>
        <w:pStyle w:val="TextoNormal"/>
      </w:pPr>
      <w:r w:rsidRPr="0026452D">
        <w:rPr>
          <w:rStyle w:val="NumeroAFNegritaCaracter"/>
        </w:rPr>
        <w:t>4</w:t>
      </w:r>
      <w:r>
        <w:t>. La Sala Primera de este Tribunal acordó mediante providencia de 17 de diciembre de 2012 la admisión a trámite de la demanda de amparo y, en cumplimiento de lo preceptuado por el art. 51 de la Ley Orgánica del Tribunal Constitucional (LOTC), interesar de la Sala de lo Contencioso-Administrativo del Tribunal Supremo la remisión en el plazo de diez días de certificación o fotocopia adverada de las actuaciones correspondientes al recurso de casación núm. 3337-2007 y el emplazamiento de quienes hubieran sido parte en el procedimiento, con excepción de la parte recurrente en amparo, para que pudieran comparecer en el plazo de diez días en el presente recurso de amparo.</w:t>
      </w:r>
    </w:p>
    <w:p w:rsidR="0026452D" w:rsidRDefault="0026452D" w:rsidP="0026452D">
      <w:pPr>
        <w:pStyle w:val="TextoNormal"/>
      </w:pPr>
    </w:p>
    <w:p w:rsidR="0026452D" w:rsidRDefault="0026452D" w:rsidP="0026452D">
      <w:pPr>
        <w:pStyle w:val="TextoNormal"/>
      </w:pPr>
      <w:r w:rsidRPr="0026452D">
        <w:rPr>
          <w:rStyle w:val="NumeroAFNegritaCaracter"/>
        </w:rPr>
        <w:t>5</w:t>
      </w:r>
      <w:r>
        <w:t>. Por escrito presentado el 19 de diciembre de 2012, el Abogado del Estado, en la representación que ostenta, compareció ante la Sala Primera de este Tribunal y se personó en tiempo y forma en el presente recurso de amparo.</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Recibidos los testimonios de las actuaciones y cumplimentados los emplazamientos requeridos, por diligencia de ordenación de 8 de enero de 2013 del Secretario de Justicia de </w:t>
      </w:r>
      <w:r>
        <w:lastRenderedPageBreak/>
        <w:t>la Sala Primera de este Tribunal se acordó dar vista de las actuaciones a las partes personadas y al Ministerio Fiscal por plazo común de veinte días, para que formularan las alegaciones que estimaran pertinentes, conforme al art. 52.1 LOTC.</w:t>
      </w:r>
    </w:p>
    <w:p w:rsidR="0026452D" w:rsidRDefault="0026452D" w:rsidP="0026452D">
      <w:pPr>
        <w:pStyle w:val="TextoNormal"/>
      </w:pPr>
    </w:p>
    <w:p w:rsidR="0026452D" w:rsidRDefault="0026452D" w:rsidP="0026452D">
      <w:pPr>
        <w:pStyle w:val="TextoNormal"/>
      </w:pPr>
      <w:r w:rsidRPr="0026452D">
        <w:rPr>
          <w:rStyle w:val="NumeroAFNegritaCaracter"/>
        </w:rPr>
        <w:t>7</w:t>
      </w:r>
      <w:r>
        <w:t>. El Abogado del Estado, en escrito presentado el 1 de febrero de 2013, se opuso al recurso de amparo alegando lo siguiente:</w:t>
      </w:r>
    </w:p>
    <w:p w:rsidR="0026452D" w:rsidRDefault="0026452D" w:rsidP="0026452D">
      <w:pPr>
        <w:pStyle w:val="TextoNormal"/>
      </w:pPr>
    </w:p>
    <w:p w:rsidR="0026452D" w:rsidRDefault="0026452D" w:rsidP="0026452D">
      <w:pPr>
        <w:pStyle w:val="TextoNormal"/>
      </w:pPr>
      <w:r>
        <w:t>Las dos entidades corporativas demandantes de amparo carecen de legitimación, según la doctrina constitucional (se citan las SSTC 191/2011, de 12 de diciembre, FJ 4 y 96/2012, de 7 de mayo, FJ 2) que interpreta los arts. 162.1 b) CE y 46.1 b) LOTC; ésta exige, para reconocer a una persona física o jurídica legitimación en el recurso de amparo, un interés legítimo en la tutela del derecho fundamental que se invoque y, además, que haya sido parte en el proceso judicial previo. En este caso, el Colegio de Procuradores de Madrid no fue parte en la vía judicial previa, incluso considerando como tal vía previa sólo el recurso de revisión contra la tasación de costas; no bastaría para adquirir la legitimación que hubiera promovido el posterior incidente de nulidad de actuaciones. Tampoco puede reconocerse legitimación al Consejo General de Procuradores, aunque igualmente hubiera también intervenido en el recurso de revisión, en este caso “informando”; tal intervención no le convierte en parte en el proceso judicial.</w:t>
      </w:r>
    </w:p>
    <w:p w:rsidR="0026452D" w:rsidRDefault="0026452D" w:rsidP="0026452D">
      <w:pPr>
        <w:pStyle w:val="TextoNormal"/>
      </w:pPr>
    </w:p>
    <w:p w:rsidR="0026452D" w:rsidRDefault="0026452D" w:rsidP="0026452D">
      <w:pPr>
        <w:pStyle w:val="TextoNormal"/>
      </w:pPr>
      <w:r>
        <w:t>Es inadmisible el denominado “motivo previo de amparo” —violación del derecho al juez ordinario predeterminado por la ley del art. 24.2 CE—, por no haber promovido la parte la recusación de los Magistrados (se citan las SSTC 313/2005, de 12 de diciembre FJ 2, y 116/2006, de 24 de abril, FFJJ 2 y 3)</w:t>
      </w:r>
    </w:p>
    <w:p w:rsidR="0026452D" w:rsidRDefault="0026452D" w:rsidP="0026452D">
      <w:pPr>
        <w:pStyle w:val="TextoNormal"/>
      </w:pPr>
    </w:p>
    <w:p w:rsidR="0026452D" w:rsidRDefault="0026452D" w:rsidP="0026452D">
      <w:pPr>
        <w:pStyle w:val="TextoNormal"/>
      </w:pPr>
      <w:r>
        <w:t>Tampoco sería admisible la invocación de vulneración de la intangibilidad de las Sentencias firmes, pues no se hizo en el incidente de nulidad de actuaciones; se introduce por vez primera en la demanda de amparo, sin permitir que el Tribunal Supremo conociera la supuesta vulneración y pudiera repararla, lo que hace inadmisible el motivo con arreglo al art. 50.1 a) LOTC en relación con el art. 44.1 c) LOTC.</w:t>
      </w:r>
    </w:p>
    <w:p w:rsidR="0026452D" w:rsidRDefault="0026452D" w:rsidP="0026452D">
      <w:pPr>
        <w:pStyle w:val="TextoNormal"/>
      </w:pPr>
    </w:p>
    <w:p w:rsidR="0026452D" w:rsidRDefault="0026452D" w:rsidP="0026452D">
      <w:pPr>
        <w:pStyle w:val="TextoNormal"/>
      </w:pPr>
      <w:r>
        <w:t>El motivo previo de amparo no podría pues prosperar. La nulidad de actuaciones es un incidente del pleito principal, que cae dentro de la competencia funcional de los arts. 7.1 LJCA y 61 LEC, como queda confirmado por los arts. 241 LOPJ y 228.1 LEC, que regulan el incidente. Si la tesis de la demanda fuera correcta, todos los recursos no devolutivos planteados ante un órgano judicial unipersonal deberían llevar consigo la sustitución de su titular para resolverlos; tal posibilidad es rechazada por el Tribunal en la STC 47/2011, de 12 de abril, FJ 9.</w:t>
      </w:r>
    </w:p>
    <w:p w:rsidR="0026452D" w:rsidRDefault="0026452D" w:rsidP="0026452D">
      <w:pPr>
        <w:pStyle w:val="TextoNormal"/>
      </w:pPr>
    </w:p>
    <w:p w:rsidR="0026452D" w:rsidRDefault="0026452D" w:rsidP="0026452D">
      <w:pPr>
        <w:pStyle w:val="TextoNormal"/>
      </w:pPr>
      <w:r>
        <w:t>El Auto de 19 de julio de 2011 no sería irracional y arbitrario por no haber inadmitido de plano el recurso de revisión de la Administración. Este no era una simple reproducción de la impugnación de la tasación de costas, sino que contiene elementos nuevos dirigidos a la crítica fundada del decreto del Secretario que se recurre. Además, la reiteración en los recursos de argumentos que se consideran no resueltos o resueltos erróneamente en la resolución que se impugna es una práctica habitual, sin que por eso se pueda calificar de irracional o arbitraria la resolución que no los inadmite de plano.</w:t>
      </w:r>
    </w:p>
    <w:p w:rsidR="0026452D" w:rsidRDefault="0026452D" w:rsidP="0026452D">
      <w:pPr>
        <w:pStyle w:val="TextoNormal"/>
      </w:pPr>
    </w:p>
    <w:p w:rsidR="0026452D" w:rsidRDefault="0026452D" w:rsidP="0026452D">
      <w:pPr>
        <w:pStyle w:val="TextoNormal"/>
      </w:pPr>
      <w:r>
        <w:lastRenderedPageBreak/>
        <w:t>Rechaza todos los argumentos de la demanda contra el Auto de 19 de julio de 2011, basados en que reduciría de forma arbitraria e irracional los derechos del Procurador, vulnerando así su derecho de defensa.</w:t>
      </w:r>
    </w:p>
    <w:p w:rsidR="0026452D" w:rsidRDefault="0026452D" w:rsidP="0026452D">
      <w:pPr>
        <w:pStyle w:val="TextoNormal"/>
      </w:pPr>
    </w:p>
    <w:p w:rsidR="0026452D" w:rsidRDefault="0026452D" w:rsidP="0026452D">
      <w:pPr>
        <w:pStyle w:val="TextoNormal"/>
      </w:pPr>
      <w:r>
        <w:t>La parte genuinamente legitimada para oponerse a la impugnación de las partidas, Telefónica de España, S.A.U., dispuso de todas las oportunidades que otorga la ley procesal para su defensa y las utilizó a fondo. Es más, el Tribunal Supremo admitió que el Consejo General informara y que el Procurador, en su propio nombre, presentara alegaciones.</w:t>
      </w:r>
    </w:p>
    <w:p w:rsidR="0026452D" w:rsidRDefault="0026452D" w:rsidP="0026452D">
      <w:pPr>
        <w:pStyle w:val="TextoNormal"/>
      </w:pPr>
    </w:p>
    <w:p w:rsidR="0026452D" w:rsidRDefault="0026452D" w:rsidP="0026452D">
      <w:pPr>
        <w:pStyle w:val="TextoNormal"/>
      </w:pPr>
      <w:r>
        <w:t>El art. 139.3 LJCA concede al Tribunal la facultad de moderar una condena en costas, si favorece a la parte (el cliente) y no a los profesionales. Esta facultad de moderación es ejercida regularmente por todas las Secciones de la Sala Tercera del Tribunal Supremo. La particularidad del Auto de 19 de julio de 2011 es que se aparta de la práctica normal en dos puntos: además de moderar los honorarios del Letrado, hace lo propio con los derechos del Procurador; además, no lo hace en la Sentencia sino en un momento posterior, con motivo de la impugnación de la tasación de las costas. Considera que, de acuerdo con el mencionado precepto, la limitación del importe de las costas incluye la de cada una de sus partidas; también pues la de los derechos del Procurador. Por otra parte, como defiende el propio Auto de 19 de julio de 2011, el art. 139.1 LJCA otorga una facultad al Tribunal para moderar los derechos del Procurador si los considera manifiestamente desproporcionados; esta moderación se puede ejercer tanto en Sentencia como en un momento posterior, una vez que se conoce la cuantía exacta de los derechos devengados por arancel y se constate que exista manifiesta desproporción. Tales razonamientos que no podrían considerarse arbitrarios ni irrazonables.</w:t>
      </w:r>
    </w:p>
    <w:p w:rsidR="0026452D" w:rsidRDefault="0026452D" w:rsidP="0026452D">
      <w:pPr>
        <w:pStyle w:val="TextoNormal"/>
      </w:pPr>
    </w:p>
    <w:p w:rsidR="0026452D" w:rsidRDefault="0026452D" w:rsidP="0026452D">
      <w:pPr>
        <w:pStyle w:val="TextoNormal"/>
      </w:pPr>
      <w:r>
        <w:t xml:space="preserve">El Auto de 19 de julio de 2011 no infringiría tampoco el “principio </w:t>
      </w:r>
      <w:r w:rsidRPr="0026452D">
        <w:rPr>
          <w:i/>
        </w:rPr>
        <w:t>iura novit curia</w:t>
      </w:r>
      <w:r>
        <w:t>, contradicción y derecho a una resolución congruente”. La facultad de moderar las costas del art. 139.3 LJCA puede ejercitarse de oficio, como hace en muchas ocasiones la Sala Tercera del Tribunal Supremo, cuando limita en Sentencia la cantidad máxima de honorarios del Letrado. También es lícito que la parte condenada al pago pida la moderación dentro del incidente en el que se tasan las costas. En el caso presente, además, la providencia de 8 de febrero de 2011 sometió a las partes y al Consejo General, al amparo del art. 33.2 LJCA, una serie de motivos susceptibles de incidir en la resolución del recurso, lo que excluiría todo asomo de incongruencia o de violación del principio de contradicción.</w:t>
      </w:r>
    </w:p>
    <w:p w:rsidR="0026452D" w:rsidRDefault="0026452D" w:rsidP="0026452D">
      <w:pPr>
        <w:pStyle w:val="TextoNormal"/>
      </w:pPr>
    </w:p>
    <w:p w:rsidR="0026452D" w:rsidRDefault="0026452D" w:rsidP="0026452D">
      <w:pPr>
        <w:pStyle w:val="TextoNormal"/>
      </w:pPr>
      <w:r>
        <w:t>Por último, se niega la vulneración del art. 14 CE, de acuerdo con la doctrina constitucional sobre la igualdad en la aplicación de la ley. Además de que las tres Sentencias ofrecidas como contraste proceden de otras Secciones de la Sala, los términos de comparación carecen de igualdad sustancial con el presente caso. En las Sentencias ofrecidas el Tribunal Supremo limita los honorarios del Letrado sin pronunciarse en absoluto acerca de los derechos del Procurador.</w:t>
      </w:r>
    </w:p>
    <w:p w:rsidR="0026452D" w:rsidRDefault="0026452D" w:rsidP="0026452D">
      <w:pPr>
        <w:pStyle w:val="TextoNormal"/>
      </w:pPr>
    </w:p>
    <w:p w:rsidR="0026452D" w:rsidRDefault="0026452D" w:rsidP="0026452D">
      <w:pPr>
        <w:pStyle w:val="TextoNormal"/>
      </w:pPr>
      <w:r w:rsidRPr="0026452D">
        <w:rPr>
          <w:rStyle w:val="NumeroAFNegritaCaracter"/>
        </w:rPr>
        <w:t>8</w:t>
      </w:r>
      <w:r>
        <w:t>. Los demandantes se ratificaron íntegramente en las alegaciones y pretensiones de la demanda de amparo mediante escrito presentado el 4 de febrero de 2013.</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9</w:t>
      </w:r>
      <w:r>
        <w:t>. El Ministerio Fiscal formuló sus alegaciones en escrito presentado el 12 de febrero de 2013 en el Registro General de este Tribunal. En el mismo, después de citar los que consideraba principales antecedentes fácticos, realiza las siguientes alegaciones sobre los motivos de la demanda:</w:t>
      </w:r>
    </w:p>
    <w:p w:rsidR="0026452D" w:rsidRDefault="0026452D" w:rsidP="0026452D">
      <w:pPr>
        <w:pStyle w:val="TextoNormal"/>
      </w:pPr>
    </w:p>
    <w:p w:rsidR="0026452D" w:rsidRDefault="0026452D" w:rsidP="0026452D">
      <w:pPr>
        <w:pStyle w:val="TextoNormal"/>
      </w:pPr>
      <w:r>
        <w:t xml:space="preserve">a) No se habría vulnerado el derecho a un juez imparcial porque la misma Sala y Magistrados resuelvan el incidente de nulidad. Esta alegación podría ser inadmisible —art. 50.1 a) en relación con el art. 44.1 c) LOTC— pues los demandantes no denunciaron la lesión planteando la recusación. El Auto de 19 de julio de 2011 resuelve una cuestión de legalidad ordinaria; es en el incidente de nulidad de actuaciones cuando se suscita </w:t>
      </w:r>
      <w:r w:rsidRPr="0026452D">
        <w:rPr>
          <w:i/>
        </w:rPr>
        <w:t>ex novo</w:t>
      </w:r>
      <w:r>
        <w:t xml:space="preserve"> una cuestión de vulneración de derechos fundamentales. Por último, la competencia para resolver el incidente de nulidad viene impuesta por el art. 241 LOPJ y fue respetada en este caso.</w:t>
      </w:r>
    </w:p>
    <w:p w:rsidR="0026452D" w:rsidRDefault="0026452D" w:rsidP="0026452D">
      <w:pPr>
        <w:pStyle w:val="TextoNormal"/>
      </w:pPr>
    </w:p>
    <w:p w:rsidR="0026452D" w:rsidRDefault="0026452D" w:rsidP="0026452D">
      <w:pPr>
        <w:pStyle w:val="TextoNormal"/>
      </w:pPr>
      <w:r>
        <w:t>b) El Ministerio Fiscal rechaza que el Auto de 19 de julio de 2011 sea contrario al art. 24.1 CE por no inadmitir de plano el recurso de revisión de la Administración; si no introducía argumentos específicos de oposición al decreto recurrido, era por no ser esta una causa legal de inadmisión de recursos. Considera que en el escrito del recurso sí que se recogían razones específicas de oposición al decreto recurrido. Los recurrentes tampoco habrían sufrido indefensión, porque tuvieron conocimiento de todas las alegaciones realizadas en este recurso por la Administración y pudieron realizar las suyas. El Consejo General de Procuradores fue oído antes de resolver el recurso; no denunció entonces que hubiera sufrido indefensión por desconocer los motivos del recurso de revisión de la Administración. Tampoco solicitaron lo propio los demandantes, incurriendo en causa de inadmisión del motivo de amparo [art. 50.1 a) en relación con el art. 44.1 c) LOTC].</w:t>
      </w:r>
    </w:p>
    <w:p w:rsidR="0026452D" w:rsidRDefault="0026452D" w:rsidP="0026452D">
      <w:pPr>
        <w:pStyle w:val="TextoNormal"/>
      </w:pPr>
    </w:p>
    <w:p w:rsidR="0026452D" w:rsidRDefault="0026452D" w:rsidP="0026452D">
      <w:pPr>
        <w:pStyle w:val="TextoNormal"/>
      </w:pPr>
      <w:r>
        <w:t>c) A juicio del Ministerio Fiscal, el señalado Auto vulneraría el derecho a la tutela judicial efectiva sin indefensión de los recurrentes por reducir de manera arbitraria e irracional los derechos económicos del procurador, pues el art. 139.3 LJCA no era aplicable después del momento de la imposición de las costas en la Sentencia. A su vez, habría realizado una aplicación manifiestamente errónea de la disposición adicional única del Real Decreto-ley 5/2010 cuando considera, de forma contraria a la norma, que este introduce el principio de proporcionalidad con carácter general respecto de los derechos devengados por los Procuradores, permitiendo no aplicar automáticamente el régimen de arancel establecido en el Real Decreto 1373/2003. Por ello, el Auto de 19 de julio de 2011 lesiona el derecho a la tutela judicial efectiva, al no ser una resolución fundada en derecho, ya que basa la decisión de reducir los derechos del Procurador que se incluyen en la tasación de costas en una aplicación irracional y arbitraria del art. 139.3 LJCA y de la disposición adicional única del Real Decreto-ley 5/2010.</w:t>
      </w:r>
    </w:p>
    <w:p w:rsidR="0026452D" w:rsidRDefault="0026452D" w:rsidP="0026452D">
      <w:pPr>
        <w:pStyle w:val="TextoNormal"/>
      </w:pPr>
    </w:p>
    <w:p w:rsidR="0026452D" w:rsidRDefault="0026452D" w:rsidP="0026452D">
      <w:pPr>
        <w:pStyle w:val="TextoNormal"/>
      </w:pPr>
      <w:r>
        <w:t xml:space="preserve">d) A juicio del Ministerio Fiscal, no concurriría la lesión del derecho a la tutela judicial efectiva desde la perspectiva de la prohibición de incongruencia </w:t>
      </w:r>
      <w:r w:rsidRPr="0026452D">
        <w:rPr>
          <w:i/>
        </w:rPr>
        <w:t>extra petitum</w:t>
      </w:r>
      <w:r>
        <w:t xml:space="preserve"> y de los principios </w:t>
      </w:r>
      <w:r w:rsidRPr="0026452D">
        <w:rPr>
          <w:i/>
        </w:rPr>
        <w:t>iura novit curia</w:t>
      </w:r>
      <w:r>
        <w:t xml:space="preserve"> y contradicción; esta lesión, según los recurrentes, derivaría de la reducción de los derechos económicos del procurador con base en argumentos jurídicos distintos de los alegados por el Abogado del Estado en su recurso de revisión. Admite el Fiscal que el órgano judicial ha redefinido los términos del debate, pero entiende que tal alteración se ha llevado a cabo al amparo del art. 33.2 LJCA y con pleno respeto de las garantías de congruencia y contradicción. La resolución impugnada no habría alterado los términos del debate, al haberse dado en el incidente de tasación traslado a las partes y al </w:t>
      </w:r>
      <w:r>
        <w:lastRenderedPageBreak/>
        <w:t>Consejo General de Procuradores para posibles alegaciones sobre la aplicación del art. 139.3 LJCA y de la disposición adicional del Real Decreto-ley 5/2010, relativa al principio de proporcionalidad.</w:t>
      </w:r>
    </w:p>
    <w:p w:rsidR="0026452D" w:rsidRDefault="0026452D" w:rsidP="0026452D">
      <w:pPr>
        <w:pStyle w:val="TextoNormal"/>
      </w:pPr>
    </w:p>
    <w:p w:rsidR="0026452D" w:rsidRDefault="0026452D" w:rsidP="0026452D">
      <w:pPr>
        <w:pStyle w:val="TextoNormal"/>
      </w:pPr>
      <w:r>
        <w:t>e) En último lugar, el Ministerio Fiscal rechaza el cuarto motivo de la demanda, en el que se alega la vulneración del derecho a la igualdad, porque el Tribunal Supremo no había practicado en otros casos la reducción de derechos del Procurador. Por una parte, entiende el Ministerio Fiscal que la demanda no ofrece un término de comparación con otras resoluciones del mismo órgano judicial. De otra parte, tampoco existe una identidad sustancial entre la resolución que es objeto del amparo y las que los demandantes mencionan como término de comparación; estas últimas son Sentencias que, al imponer las costas, ejercen la facultad de limitación del art. 139.3 LJCA y limitan los honorarios del Letrado, mientras el Auto aquí impugnado se dicta en incidente de tasación de costas en aplicación del Real Decreto-ley 5/2010 y de la facultad que otorga el art. 139.3 LJCA.</w:t>
      </w:r>
    </w:p>
    <w:p w:rsidR="0026452D" w:rsidRDefault="0026452D" w:rsidP="0026452D">
      <w:pPr>
        <w:pStyle w:val="TextoNormal"/>
      </w:pPr>
    </w:p>
    <w:p w:rsidR="0026452D" w:rsidRDefault="0026452D" w:rsidP="0026452D">
      <w:pPr>
        <w:pStyle w:val="TextoNormal"/>
      </w:pPr>
      <w:r>
        <w:t>En conclusión, el Ministerio Fiscal solicita se dicte Sentencia que estime parcialmente el recurso de amparo, reconociendo que el Auto de 19 de julio de 2011 lesiona el derecho a la tutela judicial efectiva causando indefensión, por no ser una resolución correctamente fundada en Derecho; igualmente que se desestimen el resto de los motivos. Entiende el Ministerio Fiscal que el alcance de la Sentencia parcialmente estimatoria del recurso debe ser meramente declarativo, sin dar lugar a la revocación de la resolución impugnada, ya que la titular del derecho de crédito que representa la condena en costas que es objeto de reducción es Telefónica de España, S.A.U., la cual se ha aquietado con el Auto de 19 de julio de 2011, al no impugnarlo en amparo.</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del 6 de mayo de 2013 se señaló ese mismo día para la deliberación y votación de la presente Sentencia.</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objeto del presente recurso de amparo consiste en determinar si la Sección Tercera de la Sala de lo Contencioso-Administrativo del Tribunal Supremo, en el Auto de 19 de julio de 2011 por el que resuelve recurso de revisión contra el decreto del Secretario Judicial que desestimó la impugnación de la tasación de las costas practicadas, vulnera los derechos a la tutela judicial efectiva sin indefensión (art. 24.1 CE) y a la igualdad en la aplicación de la ley (art. 14 CE), cuando reduce los derechos del Procurador.</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 la resolución de estas cuestiones es necesario resolver la alegación opuesta por el Abogado del Estado de que el Ilustre Consejo General de Procuradores de España y el Ilustre Colegio de Procuradores de Madrid carecen de legitimación para interponer la demanda de amparo.</w:t>
      </w:r>
    </w:p>
    <w:p w:rsidR="0026452D" w:rsidRDefault="0026452D" w:rsidP="0026452D">
      <w:pPr>
        <w:pStyle w:val="TextoNormal"/>
      </w:pPr>
    </w:p>
    <w:p w:rsidR="0026452D" w:rsidRDefault="0026452D" w:rsidP="0026452D">
      <w:pPr>
        <w:pStyle w:val="TextoNormal"/>
      </w:pPr>
      <w:r>
        <w:t xml:space="preserve">El art 46.1 b) de la Ley Orgánica del Tribunal Constitucional (LOTC) atribuye la legitimación para interponer el recurso de amparo constitucional, además de al Defensor del Pueblo y al Ministerio Fiscal, a “quienes hayan sido parte en el proceso judicial correspondiente”. El Tribunal Supremo solo reconoció la legitimación para promover el incidente de nulidad de actuaciones contra el Auto de 19 de julio de 2011 al Procurador Sr. Rodríguez </w:t>
      </w:r>
      <w:r>
        <w:lastRenderedPageBreak/>
        <w:t>Nogueira (fundamento jurídico 1 del Auto de 15 de noviembre de 2011), no haciendo lo propio con el Consejo General de Procuradores ni con el Colegio de Procuradores de Madrid. No obstante, el Consejo participó en el procedimiento que dio lugar al Auto del Tribunal Supremo de 19 de julio de 2011 mediante la presentación de un informe sobre “la aplicación del principio de proporcionalidad al arancel de derechos de los Procuradores en incidente de tasación de cosas”, haciendo valer un interés legítimo que le habilita para promover el recurso de amparo. Igualmente, fue oído en el posterior incidente de nulidad de actuaciones. Procede, en consecuencia, afirmar su legitimación en el presente proceso constitucional y rechazar la del Ilustre Colegio de Procuradores de Madrid de acuerdo con los arts. 162.1 b) CE y 46.1 b) LOTC en la interpretación realizada por este Tribunal: “la circunstancia de haber sido parte en el proceso judicial previo no es suficiente para ostentar legitimación activa en el recurso de amparo, sino que se exige, además, ostentar un interés legítimo (y que, a la inversa, es posible ostentar legitimación para recurrir en amparo aun cuando no se haya sido parte en la vía judicial previa)” (STC 96/2012, de 7 de mayo, FJ 2).</w:t>
      </w:r>
    </w:p>
    <w:p w:rsidR="0026452D" w:rsidRDefault="0026452D" w:rsidP="0026452D">
      <w:pPr>
        <w:pStyle w:val="TextoNormal"/>
      </w:pPr>
    </w:p>
    <w:p w:rsidR="0026452D" w:rsidRDefault="0026452D" w:rsidP="0026452D">
      <w:pPr>
        <w:pStyle w:val="TextoNormal"/>
      </w:pPr>
      <w:r w:rsidRPr="0026452D">
        <w:rPr>
          <w:rStyle w:val="NumeroAFNegritaCaracter"/>
        </w:rPr>
        <w:t>3</w:t>
      </w:r>
      <w:r>
        <w:t>. Por su parte la demanda plantea también, con carácter previo a las impugnaciones del contenido del Auto de 19 de julio de 2011, que el incidente de nulidad de actuaciones debió ser resuelto por Magistrados de la Sala Tercera del Tribunal Supremo distintos de aquellos que dictaron el Auto contra el que se planteaba el incidente; estos estarían inhabilitados para resolverlo, por estar condicionados por su conocimiento anterior del caso y haber dictado la resolución impugnada.</w:t>
      </w:r>
    </w:p>
    <w:p w:rsidR="0026452D" w:rsidRDefault="0026452D" w:rsidP="0026452D">
      <w:pPr>
        <w:pStyle w:val="TextoNormal"/>
      </w:pPr>
    </w:p>
    <w:p w:rsidR="0026452D" w:rsidRDefault="0026452D" w:rsidP="0026452D">
      <w:pPr>
        <w:pStyle w:val="TextoNormal"/>
      </w:pPr>
      <w:r>
        <w:t>Esta pretensión de la demanda es contraria a la regulación positiva del incidente de nulidad de actuaciones en el art. 241 de la Ley Orgánica del Poder Judicial (LOPJ). Establece que será competente para conocer de este recurso el mismo Juzgado o Tribunal que dictó la resolución, como así lo ha entendido también este Tribunal: “En definitiva, el incidente de nulidad de actuaciones sirve, como así ha querido el legislador orgánico, para reparar aquellas lesiones de cualquier derecho fundamental que no puedan serlo a través de los recursos ordinarios o extraordinarios previstos por la ley; su función en materia de tutela de derechos es, por tanto, la misma, en el ámbito de aplicación que le otorga el art. 241.1 LOPJ, que la realizada como consecuencia de la interposición de un recurso ordinario o extraordinario y como tal debe ser atendida por los órganos judiciales.” (STC 153/2012, de 16 de julio, FJ 3).</w:t>
      </w:r>
    </w:p>
    <w:p w:rsidR="0026452D" w:rsidRDefault="0026452D" w:rsidP="0026452D">
      <w:pPr>
        <w:pStyle w:val="TextoNormal"/>
      </w:pPr>
    </w:p>
    <w:p w:rsidR="0026452D" w:rsidRDefault="0026452D" w:rsidP="0026452D">
      <w:pPr>
        <w:pStyle w:val="TextoNormal"/>
      </w:pPr>
      <w:r>
        <w:t>Si el incidente de nulidad opera como un recurso, la posibilidad de que concurra en alguno de los Magistrados que han de resolverlo alguna de las causas tasadas de recusación permitía a la parte haber planteado el correspondiente incidente; solución que en este caso no se adoptó. Tal omisión cierra definitivamente la posibilidad de invocar en amparo la nulidad del Auto por alguno de estos motivos, según lo establecido en el art. 50.1 a) en relación con el art. 44.1 c) ambos de la Ley Orgánica del Tribunal Constitucional, porque la supuesta vulneración de derechos no se denunció formalmente en el proceso judicial previo al amparo.</w:t>
      </w:r>
    </w:p>
    <w:p w:rsidR="0026452D" w:rsidRDefault="0026452D" w:rsidP="0026452D">
      <w:pPr>
        <w:pStyle w:val="TextoNormal"/>
      </w:pPr>
    </w:p>
    <w:p w:rsidR="0026452D" w:rsidRDefault="0026452D" w:rsidP="0026452D">
      <w:pPr>
        <w:pStyle w:val="TextoNormal"/>
      </w:pPr>
      <w:r w:rsidRPr="0026452D">
        <w:rPr>
          <w:rStyle w:val="NumeroAFNegritaCaracter"/>
        </w:rPr>
        <w:t>4</w:t>
      </w:r>
      <w:r>
        <w:t>. Las vulneraciones de derechos denunciadas en la demanda se agrupan en torno a los derechos a la tutela judicial efectiva sin indefensión (art. 24.1 CE) y a la igualdad en la aplicación de la ley (art. 14 CE).</w:t>
      </w:r>
    </w:p>
    <w:p w:rsidR="0026452D" w:rsidRDefault="0026452D" w:rsidP="0026452D">
      <w:pPr>
        <w:pStyle w:val="TextoNormal"/>
      </w:pPr>
    </w:p>
    <w:p w:rsidR="0026452D" w:rsidRDefault="0026452D" w:rsidP="0026452D">
      <w:pPr>
        <w:pStyle w:val="TextoNormal"/>
      </w:pPr>
      <w:r>
        <w:lastRenderedPageBreak/>
        <w:t>Empezando por éste último. Su supuesta vulneración se funda en que el Tribunal Supremo no habría practicado en otros casos la reducción de derechos del Procurador. Como menciona la propia demanda, el Tribunal Constitucional ha establecido los requisitos que han de concurrir para poder apreciar la lesión del principio de igualdad en la aplicación de la ley:</w:t>
      </w:r>
    </w:p>
    <w:p w:rsidR="0026452D" w:rsidRDefault="0026452D" w:rsidP="0026452D">
      <w:pPr>
        <w:pStyle w:val="TextoNormal"/>
      </w:pPr>
    </w:p>
    <w:p w:rsidR="0026452D" w:rsidRDefault="0026452D" w:rsidP="0026452D">
      <w:pPr>
        <w:pStyle w:val="TextoNormal"/>
      </w:pPr>
      <w:r>
        <w:t xml:space="preserve">a) La acreditación de un </w:t>
      </w:r>
      <w:r w:rsidRPr="0026452D">
        <w:rPr>
          <w:i/>
        </w:rPr>
        <w:t>tertium comparationis</w:t>
      </w:r>
      <w:r>
        <w:t>, puesto que el juicio de igualdad sólo puede realizarse sobre el contraste entre la Sentencia impugnada y precedentes resoluciones del mismo órgano judicial dictadas en casos sustancialmente iguales, pero resueltos de forma contradictoria.</w:t>
      </w:r>
    </w:p>
    <w:p w:rsidR="0026452D" w:rsidRDefault="0026452D" w:rsidP="0026452D">
      <w:pPr>
        <w:pStyle w:val="TextoNormal"/>
      </w:pPr>
    </w:p>
    <w:p w:rsidR="0026452D" w:rsidRDefault="0026452D" w:rsidP="0026452D">
      <w:pPr>
        <w:pStyle w:val="TextoNormal"/>
      </w:pPr>
      <w:r>
        <w:t>b) Identidad de órgano judicial entendida no como una mera identidad de Sala, sino que en su caso se trate de la misma Sección.</w:t>
      </w:r>
    </w:p>
    <w:p w:rsidR="0026452D" w:rsidRDefault="0026452D" w:rsidP="0026452D">
      <w:pPr>
        <w:pStyle w:val="TextoNormal"/>
      </w:pPr>
    </w:p>
    <w:p w:rsidR="0026452D" w:rsidRDefault="0026452D" w:rsidP="0026452D">
      <w:pPr>
        <w:pStyle w:val="TextoNormal"/>
      </w:pPr>
      <w:r>
        <w:t>c) La existencia de alteridad en los supuestos contrastados; es decir, de “la referencia a otro”, lo que excluye la comparación con otra resolución que afecte al mismo recurrente.</w:t>
      </w:r>
    </w:p>
    <w:p w:rsidR="0026452D" w:rsidRDefault="0026452D" w:rsidP="0026452D">
      <w:pPr>
        <w:pStyle w:val="TextoNormal"/>
      </w:pPr>
    </w:p>
    <w:p w:rsidR="0026452D" w:rsidRDefault="0026452D" w:rsidP="0026452D">
      <w:pPr>
        <w:pStyle w:val="TextoNormal"/>
      </w:pPr>
      <w:r>
        <w:t>d) Finalmente, la ausencia de toda motivación que justifique en términos generalizables el cambio de criterio (STC 13/2011, de 28 de febrero, FJ 3).</w:t>
      </w:r>
    </w:p>
    <w:p w:rsidR="0026452D" w:rsidRDefault="0026452D" w:rsidP="0026452D">
      <w:pPr>
        <w:pStyle w:val="TextoNormal"/>
      </w:pPr>
    </w:p>
    <w:p w:rsidR="0026452D" w:rsidRDefault="0026452D" w:rsidP="0026452D">
      <w:pPr>
        <w:pStyle w:val="TextoNormal"/>
      </w:pPr>
      <w:r>
        <w:t>En esta demanda de amparo se citan Sentencias de otras Secciones de la Sala Tercera, pero no de su Sección Tercera. Tampoco los términos de comparación son iguales al presente caso. En las Sentencias citadas, en el momento de imponer las costas se ejerce la facultad de limitación del art. 139.3 de la Ley de la jurisdicción contencioso-administrativa (LJCA), limitándose los honorarios del Letrado. En cambio, el Auto aquí impugnado se dicta en el incidente de tasación de costas, y se aplica el Real Decreto-ley 5/2010 además del art. 139.3 LJCA para limitar los derechos del Procurador. No se cumplen por tanto los requisitos necesarios para apreciar la lesión del principio de igualdad en la aplicación de la ley.</w:t>
      </w:r>
    </w:p>
    <w:p w:rsidR="0026452D" w:rsidRDefault="0026452D" w:rsidP="0026452D">
      <w:pPr>
        <w:pStyle w:val="TextoNormal"/>
      </w:pPr>
    </w:p>
    <w:p w:rsidR="0026452D" w:rsidRDefault="0026452D" w:rsidP="0026452D">
      <w:pPr>
        <w:pStyle w:val="TextoNormal"/>
      </w:pPr>
      <w:r w:rsidRPr="0026452D">
        <w:rPr>
          <w:rStyle w:val="NumeroAFNegritaCaracter"/>
        </w:rPr>
        <w:t>5</w:t>
      </w:r>
      <w:r>
        <w:t>. El núcleo del recurso de amparo consiste en determinar si la decisión del Tribunal Supremo de reducir los derechos del Procurador se ajusta a la consolidada doctrina del Tribunal Constitucional según la cual el derecho a la tutela judicial efectiva, garantizado en el art. 24.1 CE, comprende el de obtener de los Jueces y Tribunales una resolución motivada y fundada en Derecho sobre el fondo de las pretensiones oportunamente deducidas por las partes en el proceso (últimamente, por todas, STC 38/2011, de 28 de marzo, FJ 3). Esto significa, en primer lugar, que la resolución judicial ha de estar motivada, es decir, contener los elementos y razones de juicio que permitan conocer cuáles han sido los criterios jurídicos que fundamentan la decisión; y en segundo lugar, que la motivación esté fundada en Derecho (SSTC 276/2006, de 25 de septiembre, FJ 2, y 64/2010, de 18 de octubre; FJ 3) o, lo que es lo mismo, que sea consecuencia de una exégesis racional del ordenamiento y no fruto de un error patente o de la arbitrariedad (por todas, STC 146/2005, de 6 de junio, FJ 7).</w:t>
      </w:r>
    </w:p>
    <w:p w:rsidR="0026452D" w:rsidRDefault="0026452D" w:rsidP="0026452D">
      <w:pPr>
        <w:pStyle w:val="TextoNormal"/>
      </w:pPr>
    </w:p>
    <w:p w:rsidR="0026452D" w:rsidRDefault="0026452D" w:rsidP="0026452D">
      <w:pPr>
        <w:pStyle w:val="TextoNormal"/>
      </w:pPr>
      <w:r>
        <w:t xml:space="preserve">“Conviene no obstante recordar que esa misma doctrina constitucional afirma igualmente que el derecho a la tutela judicial efectiva del art. 24.1 CE ‘no incluye un pretendido derecho al acierto judicial en la selección, interpretación y aplicación de las disposiciones legales, salvo que afecte al contenido de otros derechos constitucionales distintos al de tutela judicial efectiva’ (recientemente, entre otras, SSTC 3/2011, de 14 de febrero, FFJJ 3 y 5, y 183/2011, </w:t>
      </w:r>
      <w:r>
        <w:lastRenderedPageBreak/>
        <w:t>de 21 de noviembre, FFJJ 5 y 7). Así pues, la simple discrepancia de las partes con una resolución judicial, aun fundada en otra interpretación posible de la legalidad aplicada, incluso por plausible que ésta resulte, no convierte el correspondiente razonamiento judicial en arbitrario o manifiestamente irrazonable ni, menos aún, obliga a este Tribunal a elegir entre las interpretaciones posibles cuál es la que debe prevalecer (SSTC 59/2003, de 24 de marzo, FJ 3; 221/2003, de 15 de diciembre, FJ 4; 140/2005, de 6 de junio; FJ 5; y 221/2005, de 12 de septiembre, FJ 5).” (STC 13/2012, de 30 de enero, FJ 3).</w:t>
      </w:r>
    </w:p>
    <w:p w:rsidR="0026452D" w:rsidRDefault="0026452D" w:rsidP="0026452D">
      <w:pPr>
        <w:pStyle w:val="TextoNormal"/>
      </w:pPr>
    </w:p>
    <w:p w:rsidR="0026452D" w:rsidRDefault="0026452D" w:rsidP="0026452D">
      <w:pPr>
        <w:pStyle w:val="TextoNormal"/>
      </w:pPr>
      <w:r>
        <w:t>Para proyectar la doctrina expuesta sobre el presente asunto, es preciso hacer constar, en primer lugar, que no era aplicable en la revisión de la tasación de las costas la facultad que reconoce el art. 139.3 LJCA: “La imposición de las costas podrá ser a la totalidad, a una parte de éstas o hasta una cifra máxima”; de su redacción resulta pues que su ejercicio está circunscrito al momento de la imposición de las costas, sin que pueda realizarse en un momento posterior, como, por lo demás, ha reconocido el Pleno de la Sala Tercera del Tribunal Supremo en su Auto de 5 de marzo de 2013. En el presente caso, la Sentencia del Tribunal Supremo de 20 de abril de 2010 condenó a la Administración recurrente a las costas de casación sin introducir limitación alguna y, por tanto, sin que el Auto de 19 de julio de 2011 pudiera adicionar prescripciones nuevas, como efectivamente hizo. A su vez, los arts. 242.4 y 245.2 de la Ley de enjuiciamiento civil (LEC) no prevén la posible impugnación por “excesivos” de los derechos de los profesionales sometidos a arancel. En efecto, el art. 245.2 LEC dispone que “la impugnación podrá basarse en que se han incluido en la tasación, partidas, derechos o gastos indebidos. Pero, en cuanto a los honorarios de los abogados, peritos o profesionales no sujetos a arancel, también podrá impugnarse la tasación alegando que el importe de dichos honorarios es excesivo”. Consecuentemente, no cabe impugnar los derechos de los Procuradores por excesivos, sólo los honorarios de los Abogados. Por ello, si no existe posibilidad legal de impugnar la tasación de las costas por estimar excesivos los derechos del Procurador, no parece lógico que pudiera afirmarse la viabilidad de su modificación o reducción por su relación con otra situación (los honorarios del Letrado); situación sobre la que dicho artículo sí reconoce una posibilidad legal de impugnación.</w:t>
      </w:r>
    </w:p>
    <w:p w:rsidR="0026452D" w:rsidRDefault="0026452D" w:rsidP="0026452D">
      <w:pPr>
        <w:pStyle w:val="TextoNormal"/>
      </w:pPr>
    </w:p>
    <w:p w:rsidR="0026452D" w:rsidRDefault="0026452D" w:rsidP="0026452D">
      <w:pPr>
        <w:pStyle w:val="TextoNormal"/>
      </w:pPr>
      <w:r>
        <w:t>En segundo término, ha de destacarse igualmente que el Auto de 19 de julio de 2011 se aparta de los aranceles fijados reglamentariamente para los Procuradores respecto de sus honorarios e introduce un criterio de proporcionalidad. Esto supone una alteración (como pone de manifiesto el Voto particular del Auto) del sistema de retribución de los derechos de los Procuradores, que se fijan por arancel, como se ha dicho, cuando el legislador no ha modificado la Ley de enjuiciamiento civil en materia de impugnación de costas, ni el Real Decreto 1373/2003 por el que se aprueba el arancel de derechos de los Procuradores de los Tribunales. El cambio de criterio se sustenta únicamente en una interpretación de lo dispuesto en la disposición adicional única del Real Decreto-ley 5/2010, cuyo epígrafe 1 establece: “La cuantía global por derechos devengados por un procurador de los Tribunales en un mismo asunto, actuación o proceso no podrá exceder de 300.000 euros. Excepcionalmente, y sometido a justificación y autorización del juez, se podrá superar el límite anteriormente señalado para remunerar justa y adecuadamente los servicios profesionales efectivamente realizados por el procurador de manera extraordinaria”. De ahí el órgano judicial hace derivar un “principio de proporcionalidad”, cuando de su lectura se extrae un “principio de limitación”, es decir, en palabras del preámbulo del Real Decreto-ley, un “tope máximo” que no puede superar la cantidad a percibir por el Procurador en concepto de derechos.</w:t>
      </w:r>
    </w:p>
    <w:p w:rsidR="0026452D" w:rsidRDefault="0026452D" w:rsidP="0026452D">
      <w:pPr>
        <w:pStyle w:val="TextoNormal"/>
      </w:pPr>
    </w:p>
    <w:p w:rsidR="0026452D" w:rsidRDefault="0026452D" w:rsidP="0026452D">
      <w:pPr>
        <w:pStyle w:val="TextoNormal"/>
      </w:pPr>
      <w:r>
        <w:t xml:space="preserve">De acuerdo con lo hasta aquí expuesto, no podemos sino concluir que se ha producido una interpretación </w:t>
      </w:r>
      <w:r w:rsidRPr="0026452D">
        <w:rPr>
          <w:i/>
        </w:rPr>
        <w:t>contra legem</w:t>
      </w:r>
      <w:r>
        <w:t>, debiéndose tener en cuenta que un órgano judicial no puede lógicamente inaplicar una norma reglamentaria sin expresar razonamientos sobre su ilegalidad y sin que nadie lo haya impugnado. Como consecuencia, se ha vulnerado el derecho de los demandantes legitimados a la tutela judicial efectiva sin indefensión (art. 24.1 CE), por lo que ha de otorgarse el amparo solicitado, sin que sea preciso, por ello, entrar a examinar el resto de las quejas expuestas en el recurso de amparo.</w:t>
      </w:r>
    </w:p>
    <w:p w:rsidR="0026452D" w:rsidRDefault="0026452D" w:rsidP="0026452D">
      <w:pPr>
        <w:pStyle w:val="TextoNormal"/>
      </w:pPr>
    </w:p>
    <w:p w:rsidR="0026452D" w:rsidRDefault="0026452D" w:rsidP="0026452D">
      <w:pPr>
        <w:pStyle w:val="TextoNormal"/>
      </w:pPr>
      <w:r w:rsidRPr="0026452D">
        <w:rPr>
          <w:rStyle w:val="NumeroAFNegritaCaracter"/>
        </w:rPr>
        <w:t>6</w:t>
      </w:r>
      <w:r>
        <w:t>. El Ministerio Fiscal plantea que en este caso la Sentencia estimatoria debería tener un alcance meramente declarativo y no revocar la resolución impugnada porque la titular del derecho de crédito resultante de la condena en costas objeto de reducción es Telefónica de España, S.A.U., y esta entidad se ha aquietado con el Auto de 19 de julio de 2011 al dejar de impugnarlo en amparo.</w:t>
      </w:r>
    </w:p>
    <w:p w:rsidR="0026452D" w:rsidRDefault="0026452D" w:rsidP="0026452D">
      <w:pPr>
        <w:pStyle w:val="TextoNormal"/>
      </w:pPr>
    </w:p>
    <w:p w:rsidR="0026452D" w:rsidRDefault="0026452D" w:rsidP="0026452D">
      <w:pPr>
        <w:pStyle w:val="TextoNormal"/>
      </w:pPr>
      <w:r>
        <w:t>Tal alcance declarativo resulta, por lo ya dicho, aceptable en relación al Consejo General de Procuradores de España, pero este Tribunal entiende que un Procurador, como titular de un derecho de crédito por los derechos devengados a su favor en el proceso en el que interviene, puede defenderlos en esa condición tanto ante la jurisdicción ordinaria como, en su caso, en amparo: “Son aplicables a este caso dichas consideraciones y debe por tanto determinar la estimación de la demanda de amparo puesto que al recurrente, que había actuado como Procurador en el proceso de quiebra y en el incidente que determinó la condena en costas de los contrarios, cuyos honorarios por consiguiente habían sido incluidos en la tasación de costas, le fueron afectados éstos por la reducción de la cuantía base del incidente acordada por el Tribunal, sin haberle oído respecto de esa cuestión sobre la que indudablemente tenía interés legítimo por su carácter de profesional interviniente en el proceso.” (STC 32/1997, de 24 de febrero, FJ 3). Tal ocurre en el caso que nos ocupa.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don Ramón Rodríguez Nogueira y el Consejo General de Procuradores de España y, en consecuencia:</w:t>
      </w:r>
    </w:p>
    <w:p w:rsidR="0026452D" w:rsidRDefault="0026452D" w:rsidP="0026452D">
      <w:pPr>
        <w:pStyle w:val="TextoNormal"/>
      </w:pPr>
    </w:p>
    <w:p w:rsidR="0026452D" w:rsidRDefault="0026452D" w:rsidP="0026452D">
      <w:pPr>
        <w:pStyle w:val="TextoNormal"/>
      </w:pPr>
      <w:r>
        <w:t>1º Reconocer a los recurrentes su derecho a la tutela judicial efectiva sin indefensión (art. 24.1 CE).</w:t>
      </w:r>
    </w:p>
    <w:p w:rsidR="0026452D" w:rsidRDefault="0026452D" w:rsidP="0026452D">
      <w:pPr>
        <w:pStyle w:val="TextoNormal"/>
      </w:pPr>
    </w:p>
    <w:p w:rsidR="0026452D" w:rsidRDefault="0026452D" w:rsidP="0026452D">
      <w:pPr>
        <w:pStyle w:val="TextoNormal"/>
      </w:pPr>
      <w:r>
        <w:t>2º Declarar la nulidad de los Autos de la Sección Tercera de la Sala de lo Contencioso-administrativo del Tribunal Supremo de 19 de julio de 2011 y de 15 de noviembre de 2011.</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seis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12" w:name="SENTENCIA_2013_109"/>
      <w:r>
        <w:lastRenderedPageBreak/>
        <w:t>SENTENCIA 109/2013, de 6 de mayo de 2013</w:t>
      </w:r>
    </w:p>
    <w:bookmarkEnd w:id="112"/>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133, de 4 de junio de 2013)</w:t>
      </w:r>
    </w:p>
    <w:p w:rsidR="0026452D" w:rsidRDefault="0026452D" w:rsidP="0026452D">
      <w:pPr>
        <w:pStyle w:val="TtuloBOE"/>
      </w:pPr>
    </w:p>
    <w:p w:rsidR="0026452D" w:rsidRDefault="0026452D" w:rsidP="0026452D">
      <w:pPr>
        <w:pStyle w:val="SntesisDescriptiva"/>
      </w:pPr>
      <w:r>
        <w:t>ECLI:ES:TC:2013:109</w:t>
      </w:r>
    </w:p>
    <w:p w:rsidR="0026452D" w:rsidRDefault="0026452D" w:rsidP="0026452D">
      <w:pPr>
        <w:pStyle w:val="SntesisDescriptiva"/>
      </w:pPr>
    </w:p>
    <w:p w:rsidR="0026452D" w:rsidRDefault="0026452D" w:rsidP="0026452D">
      <w:pPr>
        <w:pStyle w:val="SntesisDescriptiva"/>
      </w:pPr>
      <w:r>
        <w:t>Recurso de amparo 2609-2012. Promovido por don José Daniel Gómez Aragón en relación con los autos de un Juzgado de lo Penal de Sevilla y de la Audiencia Provincial que denegaron la petición de extinción de responsabilidad penal por prescripción de la pena.</w:t>
      </w:r>
    </w:p>
    <w:p w:rsidR="0026452D" w:rsidRDefault="0026452D" w:rsidP="0026452D">
      <w:pPr>
        <w:pStyle w:val="SntesisDescriptiva"/>
      </w:pPr>
    </w:p>
    <w:p w:rsidR="0026452D" w:rsidRDefault="0026452D" w:rsidP="0026452D">
      <w:pPr>
        <w:pStyle w:val="SntesisAnaltica"/>
      </w:pPr>
      <w:r>
        <w:t>Vulneración del derecho a la tutela judicial efectiva en relación con los derechos a la libertad personal y a la legalidad penal: apreciación sobre prescripción de la pena que introduce causas interruptoras del cómputo del plazo de prescripción no previstas legalmente (STC 97/2010).</w:t>
      </w:r>
    </w:p>
    <w:p w:rsidR="0026452D" w:rsidRDefault="0026452D" w:rsidP="0026452D">
      <w:pPr>
        <w:pStyle w:val="SntesisAnaltica"/>
      </w:pPr>
    </w:p>
    <w:p w:rsidR="0026452D" w:rsidRDefault="0026452D" w:rsidP="0026452D">
      <w:pPr>
        <w:pStyle w:val="Extracto"/>
      </w:pPr>
      <w:r>
        <w:t>1.</w:t>
      </w:r>
      <w:r>
        <w:tab/>
        <w:t>La resolución impugnada, al concluir que el cómputo de los plazos prescriptivos debe quedar en suspenso en el supuesto de suspensión de la pena durante la pendencia de la resolución de indulto, incurre en manifiesto desconocimiento del deber de acatamiento de la doctrina del Tribunal Constitucional, lo cual supone una quiebra del mandato recogido en el art. 5.1 LOPJ, de la que deriva la lesión del derecho a la tutela judicial efectiva, art. 24.1 CE, en relación con los derechos de los artículos 17.1 y 25.1 CE (SSTC 29/2008, 133/2011) [FJ 5].</w:t>
      </w:r>
    </w:p>
    <w:p w:rsidR="0026452D" w:rsidRDefault="0026452D" w:rsidP="0026452D">
      <w:pPr>
        <w:pStyle w:val="Extracto"/>
      </w:pPr>
    </w:p>
    <w:p w:rsidR="0026452D" w:rsidRDefault="0026452D" w:rsidP="0026452D">
      <w:pPr>
        <w:pStyle w:val="Extracto"/>
      </w:pPr>
      <w:r>
        <w:t>2.</w:t>
      </w:r>
      <w:r>
        <w:tab/>
        <w:t>La suspensión de la ejecución de la pena como consecuencia de la tramitación de un indulto o de un recurso de amparo no está configurada legalmente como causa de interrupción de su prescripción, puesto que a partir del Código penal de 1995 no se contemplan causas de interrupción de la prescripción, lo que no excluye la existencia de periodos temporales en que no transcurre el plazo prescriptivo (STC 97/2010) [FJ 3].</w:t>
      </w:r>
    </w:p>
    <w:p w:rsidR="0026452D" w:rsidRDefault="0026452D" w:rsidP="0026452D">
      <w:pPr>
        <w:pStyle w:val="Extracto"/>
      </w:pPr>
    </w:p>
    <w:p w:rsidR="0026452D" w:rsidRDefault="0026452D" w:rsidP="0026452D">
      <w:pPr>
        <w:pStyle w:val="Extracto"/>
      </w:pPr>
      <w:r>
        <w:t>3.</w:t>
      </w:r>
      <w:r>
        <w:tab/>
        <w:t xml:space="preserve">La prescripción penal supone una autolimitación o renuncia del Estado al </w:t>
      </w:r>
      <w:r w:rsidRPr="0026452D">
        <w:rPr>
          <w:i/>
        </w:rPr>
        <w:t>ius puniendi</w:t>
      </w:r>
      <w:r>
        <w:t xml:space="preserve"> por el transcurso del tiempo, que encuentra fundamentos en principios y valores constitucionales, pues toma en consideración la función de la pena, el derecho a que no se dilate indebidamente la amenaza de una sanción penal y, en general, en el principio de seguridad jurídica, si bien, por tratarse de una situación de libre configuración legal, no cabe concluir que afecte a derecho fundamental alguno de los acusados (SSTC 63/2005, 79/2008) [FJ 3].</w:t>
      </w:r>
    </w:p>
    <w:p w:rsidR="0026452D" w:rsidRDefault="0026452D" w:rsidP="0026452D">
      <w:pPr>
        <w:pStyle w:val="Extracto"/>
      </w:pPr>
    </w:p>
    <w:p w:rsidR="0026452D" w:rsidRDefault="0026452D" w:rsidP="0026452D">
      <w:pPr>
        <w:pStyle w:val="Extracto"/>
      </w:pPr>
      <w:r>
        <w:t>4.</w:t>
      </w:r>
      <w:r>
        <w:tab/>
        <w:t xml:space="preserve">El control de la prescripción penal en sede de jurisdicción constitucional se funda en el derecho a la tutela efectiva en conexión con el derecho a la libertad, art. 17.1 CE, sin posibilidad de interpretaciones </w:t>
      </w:r>
      <w:r w:rsidRPr="0026452D">
        <w:rPr>
          <w:i/>
        </w:rPr>
        <w:t>in malam partem</w:t>
      </w:r>
      <w:r>
        <w:t xml:space="preserve"> en virtud del art. 25.1 CE, y bajo un canon de motivación reforzada, resultando conculcado el derecho a la libertad tanto cuando se actúa bajo la cobertura improcedente de la ley como cuando se proceda contra lo que la misma dispone y, por ello, los términos en los que venga regulada deben ser interpretados con particular rigor en tanto que perjudiquen al reo (SSTC 127/1984, 37/2010) [FJ 3].</w:t>
      </w:r>
    </w:p>
    <w:p w:rsidR="0026452D" w:rsidRDefault="0026452D" w:rsidP="0026452D">
      <w:pPr>
        <w:pStyle w:val="Extracto"/>
      </w:pPr>
    </w:p>
    <w:p w:rsidR="0026452D" w:rsidRDefault="0026452D" w:rsidP="0026452D">
      <w:pPr>
        <w:pStyle w:val="Extracto"/>
      </w:pPr>
      <w:r>
        <w:lastRenderedPageBreak/>
        <w:t>5.</w:t>
      </w:r>
      <w:r>
        <w:tab/>
        <w:t>Doctrina sobre el control de la prescripción penal por la jurisdicción constitucional (SSTC 127/1984, 37/2010) [FJ 3].</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2609-2012, promovido por don José Daniel Gómez Aragón, representado por el Procurador de los Tribunales don Carlos Blanco Sánchez de Cueto y asistido por el Abogado don Gabriel Velamazán Perdomo, contra el Auto de fecha 6 de marzo de 2012 dictado por la Sección tercera de la Audiencia Provincial de Sevilla en el rollo de apelación núm. 7670-2011. Ha intervenido el Ministerio Fiscal. Ha sido Ponente don Juan José González Rivas,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4 de mayo de 2012, el Procurador de los Tribunales don Carlos Blanco Sánchez de Cueto interpuso recurso de amparo contra la resolución judicial de que se hace mérito en el encabezamiento, por entender que vulneraba el derecho a la tutela judicial efectiva que se garantiza en el art. 24.1 CE en relación con el derecho a la libertad (art. 17.1 CE) y con el derecho a la legalidad (art. 25.1 CE).</w:t>
      </w:r>
    </w:p>
    <w:p w:rsidR="0026452D" w:rsidRDefault="0026452D" w:rsidP="0026452D">
      <w:pPr>
        <w:pStyle w:val="TextoNormal"/>
      </w:pPr>
    </w:p>
    <w:p w:rsidR="0026452D" w:rsidRDefault="0026452D" w:rsidP="0026452D">
      <w:pPr>
        <w:pStyle w:val="TextoNormal"/>
      </w:pPr>
      <w:r w:rsidRPr="0026452D">
        <w:rPr>
          <w:rStyle w:val="NumeroAFNegritaCaracter"/>
        </w:rPr>
        <w:t>2</w:t>
      </w:r>
      <w:r>
        <w:t>. La demanda de amparo tiene su origen en los siguientes hechos:</w:t>
      </w:r>
    </w:p>
    <w:p w:rsidR="0026452D" w:rsidRDefault="0026452D" w:rsidP="0026452D">
      <w:pPr>
        <w:pStyle w:val="TextoNormal"/>
      </w:pPr>
    </w:p>
    <w:p w:rsidR="0026452D" w:rsidRDefault="0026452D" w:rsidP="0026452D">
      <w:pPr>
        <w:pStyle w:val="TextoNormal"/>
      </w:pPr>
      <w:r>
        <w:t>a) En el Juzgado de Instrucción núm. 10 de Sevilla se incoaron las diligencias previas núm. 2769-2003 y luego el procedimiento abreviado 16-2004, por delito de lesiones, cuyo enjuiciamiento correspondió al Juzgado de lo Penal núm. 3 de Sevilla que incoó el juicio oral núm. 327-2004 y, en fecha 2 de diciembre de 2004, dictó Sentencia condenando a José Daniel Gómez Aragón, como autor de un delito de lesiones a la pena de un año de prisión con la accesoria de inhabilitación especial para el ejercicio del derecho de sufragio pasivo durante el mismo tiempo, así como a indemnizar a la víctima en 1.500 euros con el interés legal y pago de las costas.</w:t>
      </w:r>
    </w:p>
    <w:p w:rsidR="0026452D" w:rsidRDefault="0026452D" w:rsidP="0026452D">
      <w:pPr>
        <w:pStyle w:val="TextoNormal"/>
      </w:pPr>
    </w:p>
    <w:p w:rsidR="0026452D" w:rsidRDefault="0026452D" w:rsidP="0026452D">
      <w:pPr>
        <w:pStyle w:val="TextoNormal"/>
      </w:pPr>
      <w:r>
        <w:t>b) Por auto de fecha 19 de abril de 2005, se declaró la firmeza de la Sentencia, iniciándose su ejecución bajo el núm. 153-2005 y en nuevo Auto de fecha 24 de mayo de 2005, se acordó la suspensión de la ejecución de la pena privativa de libertad impuesta por un periodo de tres años.</w:t>
      </w:r>
    </w:p>
    <w:p w:rsidR="0026452D" w:rsidRDefault="0026452D" w:rsidP="0026452D">
      <w:pPr>
        <w:pStyle w:val="TextoNormal"/>
      </w:pPr>
    </w:p>
    <w:p w:rsidR="0026452D" w:rsidRDefault="0026452D" w:rsidP="0026452D">
      <w:pPr>
        <w:pStyle w:val="TextoNormal"/>
      </w:pPr>
      <w:r>
        <w:t>c) El día 28 de octubre de 2008 se dictó por el Juzgado de lo Penal núm. 3 de Sevilla Auto revocando la suspensión de la ejecución de la pena privativa de libertad al haber delinquido nuevamente durante el periodo de suspensión, el 31 de octubre de 2005, según Auto dictado el 6 de noviembre de 2011 por el Juzgado de lo Penal núm. 3 de Sevilla.</w:t>
      </w:r>
    </w:p>
    <w:p w:rsidR="0026452D" w:rsidRDefault="0026452D" w:rsidP="0026452D">
      <w:pPr>
        <w:pStyle w:val="TextoNormal"/>
      </w:pPr>
    </w:p>
    <w:p w:rsidR="0026452D" w:rsidRDefault="0026452D" w:rsidP="0026452D">
      <w:pPr>
        <w:pStyle w:val="TextoNormal"/>
      </w:pPr>
      <w:r>
        <w:t>d) La resolución de 28 de octubre de 2008 fue recurrida en reforma por el penado pidiendo que la pena privativa de libertad fuera sustituida por pena de multa con una cuota diaria de dos euros, siendo desestimado el recurso por Auto del mismo órgano judicial de fecha 10 de diciembre de 2008.</w:t>
      </w:r>
    </w:p>
    <w:p w:rsidR="0026452D" w:rsidRDefault="0026452D" w:rsidP="0026452D">
      <w:pPr>
        <w:pStyle w:val="TextoNormal"/>
      </w:pPr>
    </w:p>
    <w:p w:rsidR="0026452D" w:rsidRDefault="0026452D" w:rsidP="0026452D">
      <w:pPr>
        <w:pStyle w:val="TextoNormal"/>
      </w:pPr>
      <w:r>
        <w:t>e) El día 17 de enero de 2009 el Sr. Gómez Aragón solicitó al Ministerio de Justicia la concesión del indulto de la pena, dictándose por el Juzgado de lo Penal núm. 3 de Sevilla Auto de fecha 19 de febrero de 2009, suspendiendo la ejecución de la pena, en tanto se resolvía la petición de indulto. El indulto fue denegado por el Consejo de Ministros en acuerdo de 16 de abril de 2010.</w:t>
      </w:r>
    </w:p>
    <w:p w:rsidR="0026452D" w:rsidRDefault="0026452D" w:rsidP="0026452D">
      <w:pPr>
        <w:pStyle w:val="TextoNormal"/>
      </w:pPr>
    </w:p>
    <w:p w:rsidR="0026452D" w:rsidRDefault="0026452D" w:rsidP="0026452D">
      <w:pPr>
        <w:pStyle w:val="TextoNormal"/>
      </w:pPr>
      <w:r>
        <w:t>f) El señor Gómez Aragón formuló ante la Sala Segunda del Tribunal Supremo petición de revisión de la condena impuesta, lo que fue denegado por Auto de fecha 30 de septiembre de 2009.</w:t>
      </w:r>
    </w:p>
    <w:p w:rsidR="0026452D" w:rsidRDefault="0026452D" w:rsidP="0026452D">
      <w:pPr>
        <w:pStyle w:val="TextoNormal"/>
      </w:pPr>
    </w:p>
    <w:p w:rsidR="0026452D" w:rsidRDefault="0026452D" w:rsidP="0026452D">
      <w:pPr>
        <w:pStyle w:val="TextoNormal"/>
      </w:pPr>
      <w:r>
        <w:t>g) Tras citársele para ingreso en prisión por providencia de 6 de julio de 2010 y ordenarse su requisitoria por providencia de fecha 19 de octubre de 2010, ambas dictadas por el órgano judicial ejecutor, el Juzgado de lo Penal núm. 3 de Sevilla dictó Auto en fecha 26 de noviembre de 2010 declarando prescrita la pena.</w:t>
      </w:r>
    </w:p>
    <w:p w:rsidR="0026452D" w:rsidRDefault="0026452D" w:rsidP="0026452D">
      <w:pPr>
        <w:pStyle w:val="TextoNormal"/>
      </w:pPr>
    </w:p>
    <w:p w:rsidR="0026452D" w:rsidRDefault="0026452D" w:rsidP="0026452D">
      <w:pPr>
        <w:pStyle w:val="TextoNormal"/>
      </w:pPr>
      <w:r>
        <w:t>h) El Ministerio Fiscal interpuso recurso de reforma contra la anterior resolución que fue impugnada por el ahora demandante, siendo estimado el recurso por Auto de fecha 25 de enero de 2011, que contiene el siguiente razonamiento jurídico único:</w:t>
      </w:r>
    </w:p>
    <w:p w:rsidR="0026452D" w:rsidRDefault="0026452D" w:rsidP="0026452D">
      <w:pPr>
        <w:pStyle w:val="TextoNormal"/>
      </w:pPr>
    </w:p>
    <w:p w:rsidR="0026452D" w:rsidRDefault="0026452D" w:rsidP="0026452D">
      <w:pPr>
        <w:pStyle w:val="TextoNormal"/>
      </w:pPr>
      <w:r>
        <w:t>“Procede dar la razón al Ministerio Fiscal y revocar la resolución recurrida. La resolución recurrida sólo tuvo en cuenta para estimar la prescripción de la pena la comisión del hecho delictivo que impidió la remisión definitiva, esto es el 31 de octubre de 2005 (Aplicando la doctrina del T.S. en S. de 15 de julio de 2004).</w:t>
      </w:r>
    </w:p>
    <w:p w:rsidR="0026452D" w:rsidRDefault="0026452D" w:rsidP="0026452D">
      <w:pPr>
        <w:pStyle w:val="TextoNormal"/>
      </w:pPr>
    </w:p>
    <w:p w:rsidR="0026452D" w:rsidRDefault="0026452D" w:rsidP="0026452D">
      <w:pPr>
        <w:pStyle w:val="TextoNormal"/>
      </w:pPr>
      <w:r>
        <w:t>Pero ha obviado dicha resolución la petición de indulto y el auto de 19-02-2002 (sic) por el que se suspende la ejecución de la pena en tanto se tramita dicho indulto, resolviéndose el mismo por acuerdo del Consejo de Ministros de 16-04-10. La jurisprudencia es unánime en reconocer eficacia interruptiva a la suspensión de la ejecución en tanto se resuelve la solicitud de indulto (STS 1-12-99).”</w:t>
      </w:r>
    </w:p>
    <w:p w:rsidR="0026452D" w:rsidRDefault="0026452D" w:rsidP="0026452D">
      <w:pPr>
        <w:pStyle w:val="TextoNormal"/>
      </w:pPr>
    </w:p>
    <w:p w:rsidR="0026452D" w:rsidRDefault="0026452D" w:rsidP="0026452D">
      <w:pPr>
        <w:pStyle w:val="TextoNormal"/>
      </w:pPr>
      <w:r>
        <w:t>i) Contra dicho Auto el ahora demandante interpuso recurso de reforma y subsidiaria apelación, haciendo referencia a la STC 97/2010, de 15 de noviembre y pidiendo subsidiariamente la sustitución de la pena privativa de libertad por pena de multa. El Juzgado de lo Penal núm. 3 de Sevilla dictó Auto de fecha 1 de julio de 2011 desestimando el recurso de reforma y confirmando la resolución recurrida por sus propios fundamentos.</w:t>
      </w:r>
    </w:p>
    <w:p w:rsidR="0026452D" w:rsidRDefault="0026452D" w:rsidP="0026452D">
      <w:pPr>
        <w:pStyle w:val="TextoNormal"/>
      </w:pPr>
    </w:p>
    <w:p w:rsidR="0026452D" w:rsidRDefault="0026452D" w:rsidP="0026452D">
      <w:pPr>
        <w:pStyle w:val="TextoNormal"/>
      </w:pPr>
      <w:r>
        <w:lastRenderedPageBreak/>
        <w:t>j) La Sección Tercera de la Audiencia Provincial de Sevilla desestimó el recurso de apelación por Auto de fecha 6 de marzo de 2012, que le fue notificado el día 13 de marzo de 2012. Dicho Auto contiene, en extracto, la siguiente fundamentación:</w:t>
      </w:r>
    </w:p>
    <w:p w:rsidR="0026452D" w:rsidRDefault="0026452D" w:rsidP="0026452D">
      <w:pPr>
        <w:pStyle w:val="TextoNormal"/>
      </w:pPr>
    </w:p>
    <w:p w:rsidR="0026452D" w:rsidRDefault="0026452D" w:rsidP="0026452D">
      <w:pPr>
        <w:pStyle w:val="TextoNormal"/>
      </w:pPr>
      <w:r>
        <w:t>- Tanto en el nuevo Código penal [arts. 33.3 a), 133.1 y 134] como en el Código penal derogado (arts. 115 y 116), el plazo de prescripción es de cinco años y en ambos códigos el día inicial se computa desde que la Sentencia queda firme.</w:t>
      </w:r>
    </w:p>
    <w:p w:rsidR="0026452D" w:rsidRDefault="0026452D" w:rsidP="0026452D">
      <w:pPr>
        <w:pStyle w:val="TextoNormal"/>
      </w:pPr>
    </w:p>
    <w:p w:rsidR="0026452D" w:rsidRDefault="0026452D" w:rsidP="0026452D">
      <w:pPr>
        <w:pStyle w:val="TextoNormal"/>
      </w:pPr>
      <w:r>
        <w:t>- Sin embargo, en éste último supuesto de ahora, concurre la especial circunstancia de que el propio Tribunal, con el asentimiento del Fiscal y del también acusado, suspendió la ejecución de la Sentencia hasta que se resolviera sobre el indulto solicitado por el Ministerio de Justicia y el art. 4.4 del Código penal, en su último inciso, permite tal suspensión, mientras no se resuelva sobre el indulto, cuando de ser ejecutada la sentencia, la finalidad de éste pudiera resultar ilusoria. Es entonces obvio que la suspensión acordada por la Sala de instancia tiene necesariamente que paralizar, excepcionalmente, los efectos de la prescripción de la pena.</w:t>
      </w:r>
    </w:p>
    <w:p w:rsidR="0026452D" w:rsidRDefault="0026452D" w:rsidP="0026452D">
      <w:pPr>
        <w:pStyle w:val="TextoNormal"/>
      </w:pPr>
    </w:p>
    <w:p w:rsidR="0026452D" w:rsidRDefault="0026452D" w:rsidP="0026452D">
      <w:pPr>
        <w:pStyle w:val="TextoNormal"/>
      </w:pPr>
      <w:r>
        <w:t>- Este Tribunal considera que el cómputo de los plazos prescriptivos debe quedar en suspenso, en el supuesto de suspensión de la pena durante la pendencia de la resolución del indulto, que es el supuesto que ahora contemplamos.</w:t>
      </w:r>
    </w:p>
    <w:p w:rsidR="0026452D" w:rsidRDefault="0026452D" w:rsidP="0026452D">
      <w:pPr>
        <w:pStyle w:val="TextoNormal"/>
      </w:pPr>
    </w:p>
    <w:p w:rsidR="0026452D" w:rsidRDefault="0026452D" w:rsidP="0026452D">
      <w:pPr>
        <w:pStyle w:val="TextoNormal"/>
      </w:pPr>
      <w:r w:rsidRPr="0026452D">
        <w:rPr>
          <w:rStyle w:val="NumeroAFNegritaCaracter"/>
        </w:rPr>
        <w:t>3</w:t>
      </w:r>
      <w:r>
        <w:t>. En el escrito de demanda se solicita que se anule la resolución recurrida invocándose la vulneración del derecho a la tutela judicial efectiva (art. 24.1 CE) en relación con el derecho a la libertad (art. 17.1 CE) y con el derecho a la legalidad penal (art. 25.1 CE).</w:t>
      </w:r>
    </w:p>
    <w:p w:rsidR="0026452D" w:rsidRDefault="0026452D" w:rsidP="0026452D">
      <w:pPr>
        <w:pStyle w:val="TextoNormal"/>
      </w:pPr>
    </w:p>
    <w:p w:rsidR="0026452D" w:rsidRDefault="0026452D" w:rsidP="0026452D">
      <w:pPr>
        <w:pStyle w:val="TextoNormal"/>
      </w:pPr>
      <w:r>
        <w:t xml:space="preserve">El demandante alega que la STC 97/2010, de 15 de noviembre, declara que no se interrumpe la prescripción de la pena ni en el caso de la suspensión durante la tramitación de un indulto o como consecuencia de la tramitación de un recurso de amparo, dejando perfectamente establecido que el art. 134 del Código penal sólo establece el </w:t>
      </w:r>
      <w:r w:rsidRPr="0026452D">
        <w:rPr>
          <w:i/>
        </w:rPr>
        <w:t>dies a quo</w:t>
      </w:r>
      <w:r>
        <w:t xml:space="preserve"> del cómputo del plazo, no previendo ninguna causa ni motivo de interrupción.</w:t>
      </w:r>
    </w:p>
    <w:p w:rsidR="0026452D" w:rsidRDefault="0026452D" w:rsidP="0026452D">
      <w:pPr>
        <w:pStyle w:val="TextoNormal"/>
      </w:pPr>
    </w:p>
    <w:p w:rsidR="0026452D" w:rsidRDefault="0026452D" w:rsidP="0026452D">
      <w:pPr>
        <w:pStyle w:val="TextoNormal"/>
      </w:pPr>
      <w:r>
        <w:t>Finalmente, aduce que la Sentencia impugnada crea una nueva causa de interrupción de la prescripción no prevista, vulnerando el derecho a la tutela judicial efectiva (art. 24.1 CE) y realizando una interpretación que no se compadece ni con el derecho a la libertad (art. 17.1 CE) ni con el principio de legalidad penal (art. 25.1 CE).</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fecha 18 de junio de 2012 la Sala Primera de este Tribunal acordó la admisión a trámite de la demanda de amparo y conforme a lo dispuesto en el art. 51 de la Ley Orgánica del Tribunal Constitucional (LOTC), resuelve requerir atentamente a la Sección Tercera de la Audiencia Provincial de Sevilla y al Juzgado de lo Penal núm. 3 de Sevilla, para que remitiera certificación o fotocopia adverada de las actuaciones, así como emplazar a quienes hubieran sido partes en el procedimiento excepto la parte recurrente en amparo para que pudieran comparecer si lo deseaban en el recurso de amparo. Asimismo, en providencia de la misma fecha, se acordó abrir pieza separada de suspensión.</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La Sección Primera del Tribunal Constitucional, por diligencia de ordenación de 17 de julio de 2012, acordó, de conformidad con lo dispuesto en el art. 52 LOTC, dar vista de </w:t>
      </w:r>
      <w:r>
        <w:lastRenderedPageBreak/>
        <w:t>todas las actuaciones del recurso de amparo al Ministerio Fiscal y a las partes para alegaciones.</w:t>
      </w:r>
    </w:p>
    <w:p w:rsidR="0026452D" w:rsidRDefault="0026452D" w:rsidP="0026452D">
      <w:pPr>
        <w:pStyle w:val="TextoNormal"/>
      </w:pPr>
    </w:p>
    <w:p w:rsidR="0026452D" w:rsidRDefault="0026452D" w:rsidP="0026452D">
      <w:pPr>
        <w:pStyle w:val="TextoNormal"/>
      </w:pPr>
      <w:r w:rsidRPr="0026452D">
        <w:rPr>
          <w:rStyle w:val="NumeroAFNegritaCaracter"/>
        </w:rPr>
        <w:t>6</w:t>
      </w:r>
      <w:r>
        <w:t>. El 31 de julio de 2012 tuvo entrada en este Tribunal escrito de alegaciones presentado por la representación del recurrente, quien insiste en las mantenidas con anterioridad en su demanda de amparo.</w:t>
      </w:r>
    </w:p>
    <w:p w:rsidR="0026452D" w:rsidRDefault="0026452D" w:rsidP="0026452D">
      <w:pPr>
        <w:pStyle w:val="TextoNormal"/>
      </w:pPr>
    </w:p>
    <w:p w:rsidR="0026452D" w:rsidRDefault="0026452D" w:rsidP="0026452D">
      <w:pPr>
        <w:pStyle w:val="TextoNormal"/>
      </w:pPr>
      <w:r w:rsidRPr="0026452D">
        <w:rPr>
          <w:rStyle w:val="NumeroAFNegritaCaracter"/>
        </w:rPr>
        <w:t>7</w:t>
      </w:r>
      <w:r>
        <w:t>. En la pieza separada de suspensión, tras las alegaciones de las partes, la Sección de Vacaciones de este Tribunal dictó el Auto 158/2012, de 21 de agosto, por el que se acordaba la suspensión de la ejecución de la pena de prisión de un año impuesta al demandante.</w:t>
      </w:r>
    </w:p>
    <w:p w:rsidR="0026452D" w:rsidRDefault="0026452D" w:rsidP="0026452D">
      <w:pPr>
        <w:pStyle w:val="TextoNormal"/>
      </w:pPr>
    </w:p>
    <w:p w:rsidR="0026452D" w:rsidRDefault="0026452D" w:rsidP="0026452D">
      <w:pPr>
        <w:pStyle w:val="TextoNormal"/>
      </w:pPr>
      <w:r w:rsidRPr="0026452D">
        <w:rPr>
          <w:rStyle w:val="NumeroAFNegritaCaracter"/>
        </w:rPr>
        <w:t>8</w:t>
      </w:r>
      <w:r>
        <w:t>. Por escrito registrado el 25 de septiembre de 2012 el Ministerio Fiscal, cumplimentando el trámite de alegaciones, interesó la estimación del amparo, declarando que se ha vulnerado el derecho a la tutela judicial efectiva en relación con el derecho a la libertad y a la legalidad penal (arts. 24.1, 17.1 y 25.1 CE), y solicitando la anulación de los Autos de fechas 25 de enero y 1 de julio de 2011, dictados por el Juzgado de lo Penal núm. 3 de Sevilla y el Auto de fecha 6 de marzo de 2012, dictado por la Sección tercera de la Audiencia Provincial de Sevilla.</w:t>
      </w:r>
    </w:p>
    <w:p w:rsidR="0026452D" w:rsidRDefault="0026452D" w:rsidP="0026452D">
      <w:pPr>
        <w:pStyle w:val="TextoNormal"/>
      </w:pPr>
    </w:p>
    <w:p w:rsidR="0026452D" w:rsidRDefault="0026452D" w:rsidP="0026452D">
      <w:pPr>
        <w:pStyle w:val="TextoNormal"/>
      </w:pPr>
      <w:r>
        <w:t>El Ministerio Fiscal subraya que la STC 97/2010, de 15 de noviembre, se dictó en un supuesto donde lo debatido era la consideración o no de la suspensión de la ejecución de la pena durante la tramitación de una solicitud de indulto y de un recurso de amparo, planteándose en el presente caso una cuestión similar a la que fue expresamente desautorizada por la STC 97/2010, al haberse concedido efectos interruptores a la comisión de un nuevo hecho delictivo en el periodo de suspensión de la pena. Concluye el Ministerio Fiscal señalando que las resoluciones cuestionadas no satisfacen el canon constitucional de motivación reforzada exigido en los supuestos de prescripción de las penas, al exceder del propio tenor literal de los preceptos del Código penal que aplican y contradecir la doctrina del Tribunal Constitucional.</w:t>
      </w:r>
    </w:p>
    <w:p w:rsidR="0026452D" w:rsidRDefault="0026452D" w:rsidP="0026452D">
      <w:pPr>
        <w:pStyle w:val="TextoNormal"/>
      </w:pPr>
    </w:p>
    <w:p w:rsidR="0026452D" w:rsidRDefault="0026452D" w:rsidP="0026452D">
      <w:pPr>
        <w:pStyle w:val="TextoNormal"/>
      </w:pPr>
      <w:r w:rsidRPr="0026452D">
        <w:rPr>
          <w:rStyle w:val="NumeroAFNegritaCaracter"/>
        </w:rPr>
        <w:t>9</w:t>
      </w:r>
      <w:r>
        <w:t>. Por providencia de 6 de mayo de 2013, se señaló para deliberación y votación del presente recurso la misma fecha.</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Es objeto del presente recurso de amparo el Auto dictado por la Sección Tercera de la Audiencia Provincial de Sevilla de 6 de marzo de 2012 que desestima el recurso de apelación contra el Auto del Juzgado de lo Penal núm. 3 de Sevilla de fecha 25 de enero de 2011 que denegaba la extinción de la responsabilidad penal por prescripción de la pena que había sido instada por el demandante.</w:t>
      </w:r>
    </w:p>
    <w:p w:rsidR="0026452D" w:rsidRDefault="0026452D" w:rsidP="0026452D">
      <w:pPr>
        <w:pStyle w:val="TextoNormal"/>
      </w:pPr>
    </w:p>
    <w:p w:rsidR="0026452D" w:rsidRDefault="0026452D" w:rsidP="0026452D">
      <w:pPr>
        <w:pStyle w:val="TextoNormal"/>
      </w:pPr>
      <w:r>
        <w:t>El recurrente funda su demanda en la vulneración del derecho a la tutela judicial efectiva en relación con el derecho a la libertad y legalidad penal (arts. 24.1, 17.1 y 25.1 CE), al apreciarse en la resolución impugnada una causa de interrupción de la prescripción de la pena no prevista en la ley y se aparta de la doctrina establecida en la STC 97/2010, de 15 de noviembre.</w:t>
      </w:r>
    </w:p>
    <w:p w:rsidR="0026452D" w:rsidRDefault="0026452D" w:rsidP="0026452D">
      <w:pPr>
        <w:pStyle w:val="TextoNormal"/>
      </w:pPr>
    </w:p>
    <w:p w:rsidR="0026452D" w:rsidRDefault="0026452D" w:rsidP="0026452D">
      <w:pPr>
        <w:pStyle w:val="TextoNormal"/>
      </w:pPr>
      <w:r>
        <w:t>El Ministerio Fiscal interesa el otorgamiento del amparo al recurrente, con fundamento en la vulneración de los citados derechos fundamentales.</w:t>
      </w:r>
    </w:p>
    <w:p w:rsidR="0026452D" w:rsidRDefault="0026452D" w:rsidP="0026452D">
      <w:pPr>
        <w:pStyle w:val="TextoNormal"/>
      </w:pPr>
    </w:p>
    <w:p w:rsidR="0026452D" w:rsidRDefault="0026452D" w:rsidP="0026452D">
      <w:pPr>
        <w:pStyle w:val="TextoNormal"/>
      </w:pPr>
      <w:r w:rsidRPr="0026452D">
        <w:rPr>
          <w:rStyle w:val="NumeroAFNegritaCaracter"/>
        </w:rPr>
        <w:t>2</w:t>
      </w:r>
      <w:r>
        <w:t>. . La cuestión que se plantea en la demanda de amparo consiste en determinar si las actuaciones practicadas en ejecución de la pena privativa de libertad impuesta, según figura en los antecedentes de esta resolución, interrumpen el plazo de prescripción de la pena.</w:t>
      </w:r>
    </w:p>
    <w:p w:rsidR="0026452D" w:rsidRDefault="0026452D" w:rsidP="0026452D">
      <w:pPr>
        <w:pStyle w:val="TextoNormal"/>
      </w:pPr>
    </w:p>
    <w:p w:rsidR="0026452D" w:rsidRDefault="0026452D" w:rsidP="0026452D">
      <w:pPr>
        <w:pStyle w:val="TextoNormal"/>
      </w:pPr>
      <w:r>
        <w:t>La demanda de amparo se apoya en la doctrina expresada en la STC 97/2010, de 15 de noviembre, en la que se interpreta que la suspensión de la ejecución de la pena como consecuencia de la tramitación de un indulto o de un recurso de amparo no son causas de interrupción de la prescripción, al no estar contempladas en el artículo 134 del Código penal de 1995, de lo que se concluía que estas vicisitudes no inciden en el cómputo del periodo prescriptivo.</w:t>
      </w:r>
    </w:p>
    <w:p w:rsidR="0026452D" w:rsidRDefault="0026452D" w:rsidP="0026452D">
      <w:pPr>
        <w:pStyle w:val="TextoNormal"/>
      </w:pPr>
    </w:p>
    <w:p w:rsidR="0026452D" w:rsidRDefault="0026452D" w:rsidP="0026452D">
      <w:pPr>
        <w:pStyle w:val="TextoNormal"/>
      </w:pPr>
      <w:r>
        <w:t>El demandante de amparo aduce que la Sentencia de la Audiencia Provincial de Sevilla es contraria a la doctrina de este Tribunal sentada en la STC 97/2010, de 15 de noviembre. Sin embargo, y a diferencia del caso examinado en la STC 97/2010, en el presente recurso existe un periodo de ejecución sustitutiva de la pena privativa de libertad al haberse aplicado la institución de la denominada suspensión condicional de los artículos 80 y siguientes del Código penal.</w:t>
      </w:r>
    </w:p>
    <w:p w:rsidR="0026452D" w:rsidRDefault="0026452D" w:rsidP="0026452D">
      <w:pPr>
        <w:pStyle w:val="TextoNormal"/>
      </w:pPr>
    </w:p>
    <w:p w:rsidR="0026452D" w:rsidRDefault="0026452D" w:rsidP="0026452D">
      <w:pPr>
        <w:pStyle w:val="TextoNormal"/>
      </w:pPr>
      <w:r>
        <w:t>En efecto, en el supuesto examinado en la STC 97/2010, el Tribunal penal militar había condenado al recurrente a la pena de nueve meses de prisión por Sentencia de fecha 9 de abril de 2001. Firme la Sentencia condenatoria, el allí demandante de amparo, mediante escrito de fecha 15 de enero de 2002 solicitó la concesión de indulto, siendo suspendida la ejecución de la pena por Auto de la Sala de lo Penal del Tribunal Militar Territorial Cuarto, de 18 de febrero de 2002; simultáneamente, el demandante interpuso recurso de amparo contra la misma Sentencia, siendo suspendida la ejecución de la pena por Auto de este Tribunal de fecha 18 de diciembre de 2002, dictándose Sentencia desestimatoria del recurso de amparo en fecha 20 de diciembre de 2005. Tras estas vicisitudes, y cuando se procede a ejecutar la pena en el año 2009, este Tribunal otorga el amparo en la referida STC 97/2010, donde, en congruencia con el supuesto fáctico planteado, nos pronunciamos exclusivamente sobre la falta de relevancia interruptora de la suspensión de la ejecución de la pena en los casos de tramitación de un indulto o como consecuencia de la tramitación de un recurso de amparo, puesto que no se había producido ninguna actividad de ejecución de la pena.</w:t>
      </w:r>
    </w:p>
    <w:p w:rsidR="0026452D" w:rsidRDefault="0026452D" w:rsidP="0026452D">
      <w:pPr>
        <w:pStyle w:val="TextoNormal"/>
      </w:pPr>
    </w:p>
    <w:p w:rsidR="0026452D" w:rsidRDefault="0026452D" w:rsidP="0026452D">
      <w:pPr>
        <w:pStyle w:val="TextoNormal"/>
      </w:pPr>
      <w:r>
        <w:t>En el presente recurso, sin embargo, existe un periodo temporal desde la firmeza de la Sentencia hasta la revocación de la suspensión de la pena conforme al artículo 84 del Código penal, de manera que la suspensión de la ejecución por indulto sólo se produjo a partir del día 19 de febrero de 2009, en que se dicta el Auto suspendiendo la ejecución de la pena por indulto.</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Delimitada la cuestión fáctica, debe recordarse que, según reiterada doctrina constitucional “la prescripción penal, institución de larga tradición histórica y generalmente aceptada, supone una autolimitación o renuncia del Estado al </w:t>
      </w:r>
      <w:r w:rsidRPr="0026452D">
        <w:rPr>
          <w:i/>
        </w:rPr>
        <w:t>ius puniendi</w:t>
      </w:r>
      <w:r>
        <w:t xml:space="preserve"> por el transcurso del tiempo, que encuentra también fundamentos en principios y valores constitucionales, pues </w:t>
      </w:r>
      <w:r>
        <w:lastRenderedPageBreak/>
        <w:t>toma en consideración la función de la pena y la situación del presunto inculpado, su derecho a que no se dilate indebidamente la situación que supone la virtual amenaza de una sanción penal; a lo que añadíamos que dicho instituto 'en general, encuentra su propia justificación constitucional en el principio de seguridad jurídica', si bien, por tratarse de una situación de libre configuración legal, no cabe concluir que su establecimiento suponga una merma del derecho de acción de los acusadores, ni que las peculiaridades del régimen jurídico que el legislador decida adoptar —delitos a los que se refiere, plazos de prescripción, momento inicial de cómputo del plazo o causas de interrupción del mismo— afecten, en sí mismas consideradas, a derecho fundamental alguno de los acusados” (STC 63/2005, de 14 de marzo, FJ 2; en el mismo sentido, SSTC 29/2008, de 20 de febrero, FJ 7; y 79/2008, de 14 de julio, FJ 2, y resoluciones en ellas citadas).</w:t>
      </w:r>
    </w:p>
    <w:p w:rsidR="0026452D" w:rsidRDefault="0026452D" w:rsidP="0026452D">
      <w:pPr>
        <w:pStyle w:val="TextoNormal"/>
      </w:pPr>
    </w:p>
    <w:p w:rsidR="0026452D" w:rsidRDefault="0026452D" w:rsidP="0026452D">
      <w:pPr>
        <w:pStyle w:val="TextoNormal"/>
      </w:pPr>
      <w:r>
        <w:t xml:space="preserve">De este modo, el control de la prescripción penal en sede de jurisdicción constitucional se funda en el derecho a la tutela efectiva y en la conexión de la prescripción en el ámbito punitivo con el derecho a la libertad (art. 17.1 CE), sin posibilidad de interpretaciones </w:t>
      </w:r>
      <w:r w:rsidRPr="0026452D">
        <w:rPr>
          <w:i/>
        </w:rPr>
        <w:t>in malam partem</w:t>
      </w:r>
      <w:r>
        <w:t xml:space="preserve"> en virtud del art. 25.1 CE (STC 29/2008, de 20 de febrero, FJ 12), lo que determina el control de la resolución impugnada bajo un canon de motivación reforzada, resultando conculcado el derecho a la libertad “tanto cuando se actúa bajo la cobertura improcedente de la ley, como cuando se proceda contra lo que la misma dispone” (SSTC 127/1984, de 26 de diciembre, FJ 4; 28/1985, de 27 de marzo, FJ 2; 241/1994, de 20 de julio, FJ 4; 322/2005, de 12 de diciembre, FJ 3; y 57/2008, de 28 de abril, FJ 2) y, por ello, los términos en los que el instituto de la prescripción penal venga regulado deben ser interpretados con particular rigor “en tanto que perjudiquen al reo” (SSTC 29/2008, de 20 de febrero, FFJJ 10 y 12; y 37/2010, de 19 de julio, FJ 5).</w:t>
      </w:r>
    </w:p>
    <w:p w:rsidR="0026452D" w:rsidRDefault="0026452D" w:rsidP="0026452D">
      <w:pPr>
        <w:pStyle w:val="TextoNormal"/>
      </w:pPr>
    </w:p>
    <w:p w:rsidR="0026452D" w:rsidRDefault="0026452D" w:rsidP="0026452D">
      <w:pPr>
        <w:pStyle w:val="TextoNormal"/>
      </w:pPr>
      <w:r w:rsidRPr="0026452D">
        <w:rPr>
          <w:rStyle w:val="NumeroAFNegritaCaracter"/>
        </w:rPr>
        <w:t>4</w:t>
      </w:r>
      <w:r>
        <w:t>. En el ámbito de ejecución de la pena, no cabe hablar de la figura de la interrupción de la prescripción, por no existir una regulación sustantiva de la interrupción de la prescripción de la pena, a diferencia de lo que sucedía en el precedente Código penal de 1973, cuyo artículo 116 contemplaba como causa de interrupción de la prescripción de la pena la comisión de otro delito antes de completar el tiempo de prescripción (STC 97/2010, de 15 de noviembre, FJ 4).</w:t>
      </w:r>
    </w:p>
    <w:p w:rsidR="0026452D" w:rsidRDefault="0026452D" w:rsidP="0026452D">
      <w:pPr>
        <w:pStyle w:val="TextoNormal"/>
      </w:pPr>
    </w:p>
    <w:p w:rsidR="0026452D" w:rsidRDefault="0026452D" w:rsidP="0026452D">
      <w:pPr>
        <w:pStyle w:val="TextoNormal"/>
      </w:pPr>
      <w:r>
        <w:t>En todo caso, debemos partir de la afirmación que realizábamos en la referida STC 97/2010, en el sentido de que la suspensión de la ejecución de la pena como consecuencia de la tramitación de un indulto o de un recurso de amparo no está configurada legalmente como causa de interrupción de su prescripción y los efectos de la suspensión por indulto o cualquier medida adoptada por este Tribunal no pueden ser equivalentes a los de la interrupción de la prescripción en cuanto a la supresión o pérdida del plazo ya transcurrido, puesto que a partir del Código penal de 1995 no se contemplan causas de interrupción de la prescripción, lo que no excluye la existencia de periodos temporales en que no transcurre el plazo prescriptivo.</w:t>
      </w:r>
    </w:p>
    <w:p w:rsidR="0026452D" w:rsidRDefault="0026452D" w:rsidP="0026452D">
      <w:pPr>
        <w:pStyle w:val="TextoNormal"/>
      </w:pPr>
    </w:p>
    <w:p w:rsidR="0026452D" w:rsidRDefault="0026452D" w:rsidP="0026452D">
      <w:pPr>
        <w:pStyle w:val="TextoNormal"/>
      </w:pPr>
      <w:r>
        <w:t>Así, en la prescripción de la pena o sanción no se contemplan causas de interrupción desde el momento en que se trata de ejecutar una resolución firme contra persona o personas determinadas, de tal manera que el eje de la prescripción de la pena gira en torno al cumplimiento de la misma.</w:t>
      </w:r>
    </w:p>
    <w:p w:rsidR="0026452D" w:rsidRDefault="0026452D" w:rsidP="0026452D">
      <w:pPr>
        <w:pStyle w:val="TextoNormal"/>
      </w:pPr>
    </w:p>
    <w:p w:rsidR="0026452D" w:rsidRDefault="0026452D" w:rsidP="0026452D">
      <w:pPr>
        <w:pStyle w:val="TextoNormal"/>
      </w:pPr>
      <w:r>
        <w:lastRenderedPageBreak/>
        <w:t>Tal regulación es coherente con que en la prescripción de la pena, a diferencia de la prescripción del delito, el culpable ya está plenamente identificado y, al menos en los casos en que no se sustrae a la acción de la justicia, se encuentra a disposición del Juez o Tribunal para la ejecución de la pena; en consecuencia, parece razonable que los actos de ejecución dirigidos contra el condenado carezcan de relevancia interruptora de la prescripción.</w:t>
      </w:r>
    </w:p>
    <w:p w:rsidR="0026452D" w:rsidRDefault="0026452D" w:rsidP="0026452D">
      <w:pPr>
        <w:pStyle w:val="TextoNormal"/>
      </w:pPr>
    </w:p>
    <w:p w:rsidR="0026452D" w:rsidRDefault="0026452D" w:rsidP="0026452D">
      <w:pPr>
        <w:pStyle w:val="TextoNormal"/>
      </w:pPr>
      <w:r w:rsidRPr="0026452D">
        <w:rPr>
          <w:rStyle w:val="NumeroAFNegritaCaracter"/>
        </w:rPr>
        <w:t>5</w:t>
      </w:r>
      <w:r>
        <w:t>. En el caso examinado, el periodo de suspensión de la ejecución de la pena por petición de indulto sólo se produce después de frustrarse la suspensión de la ejecución de una pena privativa de libertad como beneficio condicional en los términos regulados en los artículos 80 y siguientes del Código penal, cuestión que no fue abordada en la citada STC 97/2010 y que presenta caracteres diferentes a los supuestos allí contemplados de suspensión de naturaleza cautelar por indulto o por decisión de la jurisdicción constitucional, puesto que en el caso del beneficio condicional la suspensión de la ejecución es producto de una resolución judicial legalmente prevista como forma sustitutiva de cumplimiento de la pena privativa de libertad.</w:t>
      </w:r>
    </w:p>
    <w:p w:rsidR="0026452D" w:rsidRDefault="0026452D" w:rsidP="0026452D">
      <w:pPr>
        <w:pStyle w:val="TextoNormal"/>
      </w:pPr>
    </w:p>
    <w:p w:rsidR="0026452D" w:rsidRDefault="0026452D" w:rsidP="0026452D">
      <w:pPr>
        <w:pStyle w:val="TextoNormal"/>
      </w:pPr>
      <w:r>
        <w:t>En este caso, tanto en el recurso de apelación interpuesto ante la Audiencia Provincial como en la demanda de amparo, el recurrente plantea exclusivamente la aplicación de la doctrina constitucional de la STC 97/2010 al supuesto de autos, sin referirse en ningún momento al periodo de ejecución sustitutiva que medió hasta que se suspendió cautelarmente la pena por la petición de indulto en el año 2009.</w:t>
      </w:r>
    </w:p>
    <w:p w:rsidR="0026452D" w:rsidRDefault="0026452D" w:rsidP="0026452D">
      <w:pPr>
        <w:pStyle w:val="TextoNormal"/>
      </w:pPr>
    </w:p>
    <w:p w:rsidR="0026452D" w:rsidRDefault="0026452D" w:rsidP="0026452D">
      <w:pPr>
        <w:pStyle w:val="TextoNormal"/>
      </w:pPr>
      <w:r>
        <w:t>El Auto recurrido de fecha 6 de marzo de 2012 de la Audiencia Provincial de Sevilla sólo se pronunció sobre la interrupción de la prescripción por indulto, congruentemente con lo planteado por el apelante en la segunda instancia, resolviendo de forma contraria a la doctrina establecida en la STC 97/2010, al concluir que el cómputo de los plazos prescriptivos debe quedar en suspenso en el supuesto de suspensión de la pena durante la pendencia de la resolución de indulto, por lo que la resolución impugnada incurre en manifiesto desconocimiento del deber de acatamiento de la doctrina del Tribunal Constitucional, lo cual supone una clara quiebra del mandato recogido en el art. 5.1 de la Ley Orgánica del Poder Judicial, de la que deriva la consiguiente lesión del derecho del demandante a la tutela judicial efectiva consagrada en el art. 24.1 CE (SSTC 29/2008, FJ 10; 147/2009, de 15 de junio, FJ 2; 195/2009, de 28 de septiembre, FJ 6; 206/2009, de 23 de noviembre, FJ 3; y 133/2011, FJ 4, entre otras), en relación con los derechos de los artículos 17.1 y 25.1 CE invocados.</w:t>
      </w:r>
    </w:p>
    <w:p w:rsidR="0026452D" w:rsidRDefault="0026452D" w:rsidP="0026452D">
      <w:pPr>
        <w:pStyle w:val="TextoNormal"/>
      </w:pPr>
    </w:p>
    <w:p w:rsidR="0026452D" w:rsidRDefault="0026452D" w:rsidP="0026452D">
      <w:pPr>
        <w:pStyle w:val="TextoNormal"/>
      </w:pPr>
      <w:r w:rsidRPr="0026452D">
        <w:rPr>
          <w:rStyle w:val="NumeroAFNegritaCaracter"/>
        </w:rPr>
        <w:t>6</w:t>
      </w:r>
      <w:r>
        <w:t>. Como hemos señalado reiteradamente, no le corresponde a este Tribunal reconstruir de oficio la demanda de amparo, ni suplir las razones de las partes —sobre las que recae la carga de la argumentación— cuando aquéllas no se aportan al recurso (SSTC 123/2006, de 24 de abril, FJ 3; 196/2006, de 3 de julio, FJ 3; 74/2007, de 16 de abril, FJ 2; 42/2008, de 10 de marzo, FJ 2; y 182/2009, de 7 de septiembre, FJ 2), a lo que debe añadirse que, tal como hemos afirmado en el ámbito de la prescripción del delito, corresponde a la jurisdicción ordinaria determinar si la actuación judicial es suficiente para entender interrumpido el lapso prescriptivo de las infracciones penales [STC 59/2010, de 4 de octubre, FJ 2 c)], lo cual es trasladable asimismo a la prescripción de la pena, correspondiendo a los órganos de la jurisdicción ordinaria la determinación de si la actividad de ejecución o cumplimiento sustitutivo incide en el cómputo del plazo de prescripción.</w:t>
      </w:r>
    </w:p>
    <w:p w:rsidR="0026452D" w:rsidRDefault="0026452D" w:rsidP="0026452D">
      <w:pPr>
        <w:pStyle w:val="TextoNormal"/>
      </w:pPr>
    </w:p>
    <w:p w:rsidR="0026452D" w:rsidRDefault="0026452D" w:rsidP="0026452D">
      <w:pPr>
        <w:pStyle w:val="TextoNormal"/>
      </w:pPr>
      <w:r>
        <w:lastRenderedPageBreak/>
        <w:t>Por ello, y habiendo quedado fuera de nuestro enjuiciamiento la cuestión relativa al cómputo del plazo de prescripción durante el periodo de suspensión condicional de la pena que no fue alegada en la demanda de amparo y sobre la que este Tribunal no puede pronunciarse, procede el otorgamiento del amparo instado por el demandante, con el alcance pretendido en el suplico de su demanda y, en consecuencia, debe declararse la nulidad del Auto de la Sección Tercera de la Audiencia Provincial de Sevilla de 6 de marzo de 2012, retrotrayendo las actuaciones al momento anterior al de haberse dictado el referido Auto para que con plenitud de jurisdicción, se dicte una nueva resolución judicial respetuosa con los derechos fundamentales vulnerados conforme a lo expuesto.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don José Daniel Gómez Aragón, y, en consecuencia:</w:t>
      </w:r>
    </w:p>
    <w:p w:rsidR="0026452D" w:rsidRDefault="0026452D" w:rsidP="0026452D">
      <w:pPr>
        <w:pStyle w:val="TextoNormal"/>
      </w:pPr>
    </w:p>
    <w:p w:rsidR="0026452D" w:rsidRDefault="0026452D" w:rsidP="0026452D">
      <w:pPr>
        <w:pStyle w:val="TextoNormal"/>
      </w:pPr>
      <w:r>
        <w:t>1º Reconocer su derecho a la tutela judicial efectiva (art. 24.1 CE) en relación con el derecho a la libertad (art. 17.1 CE) y con el derecho a la legalidad penal (art. 25.1 CE).</w:t>
      </w:r>
    </w:p>
    <w:p w:rsidR="0026452D" w:rsidRDefault="0026452D" w:rsidP="0026452D">
      <w:pPr>
        <w:pStyle w:val="TextoNormal"/>
      </w:pPr>
    </w:p>
    <w:p w:rsidR="0026452D" w:rsidRDefault="0026452D" w:rsidP="0026452D">
      <w:pPr>
        <w:pStyle w:val="TextoNormal"/>
      </w:pPr>
      <w:r>
        <w:t>2º Declarar la nulidad del Auto de la Sección Tercera de la Audiencia Provincial de Sevilla de 6 de marzo de 2012, recaído en recurso de apelación 7670-2011.</w:t>
      </w:r>
    </w:p>
    <w:p w:rsidR="0026452D" w:rsidRDefault="0026452D" w:rsidP="0026452D">
      <w:pPr>
        <w:pStyle w:val="TextoNormal"/>
      </w:pPr>
    </w:p>
    <w:p w:rsidR="0026452D" w:rsidRDefault="0026452D" w:rsidP="0026452D">
      <w:pPr>
        <w:pStyle w:val="TextoNormal"/>
      </w:pPr>
      <w:r>
        <w:t>3º Retrotraer las actuaciones al momento anterior al de haberse dictado el referido Auto para que se dicte una nueva resolución judicial respetuosa con los derechos fundamentales vulnerados.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seis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13" w:name="SENTENCIA_2013_110"/>
      <w:r>
        <w:lastRenderedPageBreak/>
        <w:t>SENTENCIA 110/2013, de 6 de mayo de 2013</w:t>
      </w:r>
    </w:p>
    <w:bookmarkEnd w:id="113"/>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133, de 4 de junio de 2013)</w:t>
      </w:r>
    </w:p>
    <w:p w:rsidR="0026452D" w:rsidRDefault="0026452D" w:rsidP="0026452D">
      <w:pPr>
        <w:pStyle w:val="TtuloBOE"/>
      </w:pPr>
    </w:p>
    <w:p w:rsidR="0026452D" w:rsidRDefault="0026452D" w:rsidP="0026452D">
      <w:pPr>
        <w:pStyle w:val="SntesisDescriptiva"/>
      </w:pPr>
      <w:r>
        <w:t>ECLI:ES:TC:2013:110</w:t>
      </w:r>
    </w:p>
    <w:p w:rsidR="0026452D" w:rsidRDefault="0026452D" w:rsidP="0026452D">
      <w:pPr>
        <w:pStyle w:val="SntesisDescriptiva"/>
      </w:pPr>
    </w:p>
    <w:p w:rsidR="0026452D" w:rsidRDefault="0026452D" w:rsidP="0026452D">
      <w:pPr>
        <w:pStyle w:val="SntesisDescriptiva"/>
      </w:pPr>
      <w:r>
        <w:t>Recurso de amparo 5372-2012. Promovido por don Johannes Bloem con respecto a las resoluciones de la Sala de lo Penal de la Audiencia Nacional que acordaron su extradición al Reino de Tailandia.</w:t>
      </w:r>
    </w:p>
    <w:p w:rsidR="0026452D" w:rsidRDefault="0026452D" w:rsidP="0026452D">
      <w:pPr>
        <w:pStyle w:val="SntesisDescriptiva"/>
      </w:pPr>
    </w:p>
    <w:p w:rsidR="0026452D" w:rsidRDefault="0026452D" w:rsidP="0026452D">
      <w:pPr>
        <w:pStyle w:val="SntesisAnaltica"/>
      </w:pPr>
      <w:r>
        <w:t>Alegada vulneración del derecho a la tutela judicial efectiva (motivación): falta de agotamiento de la vía judicial previa al haberse simultaneado el recurso de amparo con una solicitud de nulidad de actuaciones.</w:t>
      </w:r>
    </w:p>
    <w:p w:rsidR="0026452D" w:rsidRDefault="0026452D" w:rsidP="0026452D">
      <w:pPr>
        <w:pStyle w:val="SntesisAnaltica"/>
      </w:pPr>
    </w:p>
    <w:p w:rsidR="0026452D" w:rsidRDefault="0026452D" w:rsidP="0026452D">
      <w:pPr>
        <w:pStyle w:val="Extracto"/>
      </w:pPr>
      <w:r>
        <w:t>1.</w:t>
      </w:r>
      <w:r>
        <w:tab/>
        <w:t>El examen de las actuaciones permite apreciar la concurrencia de la causa de admisión de falta de agotamiento de la vía judicial previa por haberse simultaneado el recurso de amparo con una solicitud de nulidad de actuaciones en la que se invocaban las mismas vulneraciones de derechos fundamentales que en la demanda de amparo, e</w:t>
      </w:r>
      <w:r w:rsidRPr="0026452D">
        <w:rPr>
          <w:i/>
        </w:rPr>
        <w:t xml:space="preserve">x </w:t>
      </w:r>
      <w:r>
        <w:t>arts. 50.1 a)  y 44.1 a) LOTC [FJ 2].</w:t>
      </w:r>
    </w:p>
    <w:p w:rsidR="0026452D" w:rsidRDefault="0026452D" w:rsidP="0026452D">
      <w:pPr>
        <w:pStyle w:val="Extracto"/>
      </w:pPr>
    </w:p>
    <w:p w:rsidR="0026452D" w:rsidRDefault="0026452D" w:rsidP="0026452D">
      <w:pPr>
        <w:pStyle w:val="Extracto"/>
      </w:pPr>
      <w:r>
        <w:t>2.</w:t>
      </w:r>
      <w:r>
        <w:tab/>
        <w:t xml:space="preserve">La fecha en la que se registra en el Tribunal Constitucional la solicitud de amparo es la que marca el </w:t>
      </w:r>
      <w:r w:rsidRPr="0026452D">
        <w:rPr>
          <w:i/>
        </w:rPr>
        <w:t>dies ad quem</w:t>
      </w:r>
      <w:r>
        <w:t xml:space="preserve"> de su interposición, momento en el que coexistía esta jurisdicción de amparo con la vía judicial ordinaria, incurriendo el recurso de amparo en la causa de inadmisión de falta de agotamiento de la vía judicial previa, defecto este insubsanable que no puede ser corregido por el posterior desistimiento del incidente de nulidad de actuaciones (STC 199/2012; ATC 163/2009) [FJ 2].</w:t>
      </w:r>
    </w:p>
    <w:p w:rsidR="0026452D" w:rsidRDefault="0026452D" w:rsidP="0026452D">
      <w:pPr>
        <w:pStyle w:val="Extracto"/>
      </w:pPr>
    </w:p>
    <w:p w:rsidR="0026452D" w:rsidRDefault="0026452D" w:rsidP="0026452D">
      <w:pPr>
        <w:pStyle w:val="Extracto"/>
      </w:pPr>
      <w:r>
        <w:t>3.</w:t>
      </w:r>
      <w:r>
        <w:tab/>
        <w:t>La inadmisión por falta de agotamiento de la vía judicial previa tiene su fundamento en la salvaguarda de la naturaleza subsidiaria del amparo siendo opuesto al carácter subsidiario de la jurisdicción constitucional simultanear un recurso de amparo con otro recurso seguido en la vía judicial previa (SSTC 32/2010, 199/2012) [FJ 2].</w:t>
      </w:r>
    </w:p>
    <w:p w:rsidR="0026452D" w:rsidRDefault="0026452D" w:rsidP="0026452D">
      <w:pPr>
        <w:pStyle w:val="Extracto"/>
      </w:pPr>
    </w:p>
    <w:p w:rsidR="0026452D" w:rsidRDefault="0026452D" w:rsidP="0026452D">
      <w:pPr>
        <w:pStyle w:val="Extracto"/>
      </w:pPr>
      <w:r>
        <w:t>4.</w:t>
      </w:r>
      <w:r>
        <w:tab/>
        <w:t>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(SSTC 69/2004, 89/2011)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Ortega Álvarez, don Francisco Pérez de los Cobos y doña Encarnación Roca Trías, Magistrados, ha pronunciado</w:t>
      </w:r>
    </w:p>
    <w:p w:rsidR="0026452D" w:rsidRDefault="0026452D" w:rsidP="0026452D">
      <w:pPr>
        <w:pStyle w:val="TextoNormal"/>
      </w:pPr>
    </w:p>
    <w:p w:rsidR="0026452D" w:rsidRDefault="0026452D" w:rsidP="0026452D">
      <w:pPr>
        <w:pStyle w:val="TextoNormalCentrado"/>
        <w:keepNext/>
      </w:pPr>
      <w:r>
        <w:lastRenderedPageBreak/>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5372-2012, promovido por don Johannes Bloem, representado por el Procurador de los Tribunales don José Andrés Peralta de la Torre y asistido por la Letrada doña Vilma V. Benel Calderón, contra el Auto del Pleno de la Sala de lo Penal de la Audiencia Nacional de 12 de julio de 2012, recaído en el recurso de súplica 32-2012, interpuesto contra el Auto de la Sección Tercera de la Sala de lo Penal de la Audiencia Nacional de 4 de junio de 2011, dictado en rollo de Sala núm. 9-2012, dimanante del procedimiento de extradición 2-2012 del Juzgado Central de Instrucción núm. 1, por el que se concede la extradición del demandante a las autoridades del Reino de Tailandia. Ha intervenido el Ministerio Fiscal y ha sido Ponente el Magistrado don Ramón Rodríguez Arribas,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con fecha de 24 de septiembre de 2012, don José Andrés Peralta de la Torre, Procurador de los Tribunales y de don Johannes Bloem, interpuso recurso de amparo contra las resoluciones judiciales que se citan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de los que trae causa la demanda de amparo, relevantes para la resolución del caso son, en síntesis, los siguientes:</w:t>
      </w:r>
    </w:p>
    <w:p w:rsidR="0026452D" w:rsidRDefault="0026452D" w:rsidP="0026452D">
      <w:pPr>
        <w:pStyle w:val="TextoNormal"/>
      </w:pPr>
    </w:p>
    <w:p w:rsidR="0026452D" w:rsidRDefault="0026452D" w:rsidP="0026452D">
      <w:pPr>
        <w:pStyle w:val="TextoNormal"/>
      </w:pPr>
      <w:r>
        <w:t>a) El demandante de amparo, de nacionalidad holandesa, fue detenido en Benidorm (Alicante) el 17 de enero de 2012, a consecuencia de una orden internacional de detención emitida por la Corte Criminal de Tailandia en fecha 11 de abril de 2011, por delito de abuso sexual de un menor de quince años. Como consecuencia de esta orden fue incoado contra aquél, por el Juzgado Central de Instrucción núm. 1, procedimiento extradicional núm. 2-2012, en cuyo curso el ahora demandante manifestó la no aceptación de la extradición y su no renuncia al principio de especialidad. El Juzgado Central de Instrucción núm. 1, por Auto de 26 de enero de 2012, ratificó la prisión provisional e incondicional decretada el mismo día 17, a través de auxilio judicial, por el Juzgado de Instrucción núm. 1 de Benidorm.</w:t>
      </w:r>
    </w:p>
    <w:p w:rsidR="0026452D" w:rsidRDefault="0026452D" w:rsidP="0026452D">
      <w:pPr>
        <w:pStyle w:val="TextoNormal"/>
      </w:pPr>
    </w:p>
    <w:p w:rsidR="0026452D" w:rsidRDefault="0026452D" w:rsidP="0026452D">
      <w:pPr>
        <w:pStyle w:val="TextoNormal"/>
      </w:pPr>
      <w:r>
        <w:t>b) Mediante Auto de 26 de marzo de 2012, el Juzgado Central de Instrucción núm. 1 acordó la elevación del expediente al Presidente de la Sección Tercera de la Sala de lo Penal de la Audiencia Nacional, quedando en ésta registrado con el núm. 9-2012.</w:t>
      </w:r>
    </w:p>
    <w:p w:rsidR="0026452D" w:rsidRDefault="0026452D" w:rsidP="0026452D">
      <w:pPr>
        <w:pStyle w:val="TextoNormal"/>
      </w:pPr>
    </w:p>
    <w:p w:rsidR="0026452D" w:rsidRDefault="0026452D" w:rsidP="0026452D">
      <w:pPr>
        <w:pStyle w:val="TextoNormal"/>
      </w:pPr>
      <w:r>
        <w:t xml:space="preserve">c) En fecha 24 de abril de 2012 tuvo entrada en el Juzgado Central de Instrucción de guardia escrito de alegaciones del demandante de amparo (folios 90 a 107), en el que se solicita de la Sala no acceder a la extradición solicitada, en atención a sus problemas de </w:t>
      </w:r>
      <w:r>
        <w:lastRenderedPageBreak/>
        <w:t>salud y por diversos defectos e infracciones legales: imposibilidad de verificar si la legislación tailandesa cumple con el principio de reciprocidad en materia de extradición; incumplimiento del art. 4.6 en relación con el art. 5.1 de la Ley 4/1985, de 21 de marzo, de extradición pasiva (en adelante, LEP), al considerarse que el Reino de Tailandia no ofrece garantías de que no se vayan a aplicar penas al ahora demandante de amparo que atenten a su integridad corporal o que impliquen tratos inhumanos o degradantes; que la solicitud de extradición pudiera tener como fin su persecución por el simple hecho de ser homosexual; y por la ausencia de una traducción oficial español de las solicitudes de extradición, con infracción del artículo 7.2 LEP.</w:t>
      </w:r>
    </w:p>
    <w:p w:rsidR="0026452D" w:rsidRDefault="0026452D" w:rsidP="0026452D">
      <w:pPr>
        <w:pStyle w:val="TextoNormal"/>
      </w:pPr>
    </w:p>
    <w:p w:rsidR="0026452D" w:rsidRDefault="0026452D" w:rsidP="0026452D">
      <w:pPr>
        <w:pStyle w:val="TextoNormal"/>
      </w:pPr>
      <w:r>
        <w:t xml:space="preserve">d) La Audiencia Nacional, mediante Auto de 4 de junio de 2012, acordó acceder a la petición de extradición del recurrente en amparo formulada por el Reino de Tailandia por los hechos objeto de la solicitud, constitutivos de delito de abuso sexual de menor de quince años. El Auto atiende, en ausencia de tratado multilateral o bilateral de extradición, al principio de reciprocidad a que se refieren los arts. 13.3 CE y 1.2 LEP, dado el ofrecimiento expreso que contiene la solicitud cursada por el Procurador General de Tailandia, y una vez justificada la concurrencia de todos los requisitos formales de art. 7.1 y 7.2 LEP, los principios de doble incriminación y mínimo punitivo a que se refiere el art. 2.1 LEP, el carácter común de los delitos y la inexistencia de motivaciones espurias en la solicitud, así como la no concurrencia de causas de extinción de la responsabilidad y la competencia de las autoridades reclamantes para el enjuiciamiento. En el fundamento jurídico sexto se rebaten </w:t>
      </w:r>
      <w:r w:rsidRPr="0026452D">
        <w:rPr>
          <w:i/>
        </w:rPr>
        <w:t>in extenso</w:t>
      </w:r>
      <w:r>
        <w:t xml:space="preserve"> los argumentos de la defensa en contra de la extradición del demandante de amparo, enumerados en el ordinal anterior.</w:t>
      </w:r>
    </w:p>
    <w:p w:rsidR="0026452D" w:rsidRDefault="0026452D" w:rsidP="0026452D">
      <w:pPr>
        <w:pStyle w:val="TextoNormal"/>
      </w:pPr>
    </w:p>
    <w:p w:rsidR="0026452D" w:rsidRDefault="0026452D" w:rsidP="0026452D">
      <w:pPr>
        <w:pStyle w:val="TextoNormal"/>
      </w:pPr>
      <w:r>
        <w:t>e) El recurso de súplica interpuesto por el demandante fue desestimado por el Pleno de la Sala de lo Penal de la Audiencia Nacional por Auto de 12 de julio de 2012, notificado al demandante el 24 de julio. Frente a la vulneración de los derechos a la tutela judicial efectiva y a la del principio de legalidad extradicional (arts. 24.1 y 13.3 CE), alegada por el demandante por considerar infringido el art. 278.1 de la Ley Orgánica del Poder Judicial (LOPJ), el Pleno de la Sala de lo Penal de la Audiencia Nacional entiende que el hecho de haberse rechazado con anterioridad por las autoridades tailandesas una petición de extradición de las españolas no significa que no se deba aceptar el ofrecimiento de reciprocidad efectuado ahora por aquéllas, por lo que, de acuerdo con la legislación aplicable, no se puede llegar a otra conclusión que entender la concurrencia de reciprocidad jurídica, en los términos del art. 278 LOPJ, mención aparte de la potestad del Gobierno para, en su caso, apreciar la reciprocidad, desde un plano estrictamente político, en la siguiente fase del expediente de extradición.</w:t>
      </w:r>
    </w:p>
    <w:p w:rsidR="0026452D" w:rsidRDefault="0026452D" w:rsidP="0026452D">
      <w:pPr>
        <w:pStyle w:val="TextoNormal"/>
      </w:pPr>
    </w:p>
    <w:p w:rsidR="0026452D" w:rsidRDefault="0026452D" w:rsidP="0026452D">
      <w:pPr>
        <w:pStyle w:val="TextoNormal"/>
      </w:pPr>
      <w:r>
        <w:t xml:space="preserve">En respuesta a la alegación sobre la posible incongruencia omisiva del Auto, pues el extraditable habría denunciado una supuesta vulneración del art. 15 CE en relación con la integridad física y moral, sin que en ningún caso puedan los justiciables extraditables ser sometidos a tortura ni a penas inhumanas y degradantes, lo que a juicio del demandante no habría obtenido respuesta en el Auto recurrido, el Pleno de la Sala de lo Penal de la Audiencia Nacional manifestó que es reiterada la jurisprudencia de la propia Sala, del Tribunal Supremo y del Tribunal Constitucional de que tales alegaciones, además de ser acreditadas, requieren una valoración específica para el riesgo que se le pueda deparar en concreto al extraditado, y considera que ello no se ha producido en este caso, pues la parte recurrente no ha hecho alegaciones sobre el riesgo concreto que puede sufrir, concluyendo que “sus </w:t>
      </w:r>
      <w:r>
        <w:lastRenderedPageBreak/>
        <w:t>alegaciones no son obstáculo jurídico para denegar a [</w:t>
      </w:r>
      <w:r w:rsidRPr="0026452D">
        <w:rPr>
          <w:i/>
        </w:rPr>
        <w:t>sic</w:t>
      </w:r>
      <w:r>
        <w:t>] extradición, pero generan en la Sala una no desdeñable preocupación”.</w:t>
      </w:r>
    </w:p>
    <w:p w:rsidR="0026452D" w:rsidRDefault="0026452D" w:rsidP="0026452D">
      <w:pPr>
        <w:pStyle w:val="TextoNormal"/>
      </w:pPr>
    </w:p>
    <w:p w:rsidR="0026452D" w:rsidRDefault="0026452D" w:rsidP="0026452D">
      <w:pPr>
        <w:pStyle w:val="TextoNormal"/>
      </w:pPr>
      <w:r>
        <w:t>f) En fecha de 30 de julio de 2012 fue solicitada la suspensión cautelarísima de la ejecución de la extradición, dada la intención de recurrir en amparo contra el Auto de 12 de julio de 2012.</w:t>
      </w:r>
    </w:p>
    <w:p w:rsidR="0026452D" w:rsidRDefault="0026452D" w:rsidP="0026452D">
      <w:pPr>
        <w:pStyle w:val="TextoNormal"/>
      </w:pPr>
    </w:p>
    <w:p w:rsidR="0026452D" w:rsidRDefault="0026452D" w:rsidP="0026452D">
      <w:pPr>
        <w:pStyle w:val="TextoNormal"/>
      </w:pPr>
      <w:r>
        <w:t>g) En escrito con registro de entrada en la Sala de lo Penal de la Audiencia Nacional de 18 de septiembre de 2012, el demandante de amparo promovió incidente de nulidad de actuaciones contra el Auto resolutorio del recurso de súplica, que sería posteriormente desistido en fecha de 26 de septiembre de 2012.</w:t>
      </w:r>
    </w:p>
    <w:p w:rsidR="0026452D" w:rsidRDefault="0026452D" w:rsidP="0026452D">
      <w:pPr>
        <w:pStyle w:val="TextoNormal"/>
      </w:pPr>
    </w:p>
    <w:p w:rsidR="0026452D" w:rsidRDefault="0026452D" w:rsidP="0026452D">
      <w:pPr>
        <w:pStyle w:val="TextoNormal"/>
      </w:pPr>
      <w:r w:rsidRPr="0026452D">
        <w:rPr>
          <w:rStyle w:val="NumeroAFNegritaCaracter"/>
        </w:rPr>
        <w:t>3</w:t>
      </w:r>
      <w:r>
        <w:t>. El 24 de septiembre de 2012 —esto es, mientras aún pendía el incidente de nulidad de actuaciones—, se registró en este Tribunal Constitucional la demanda de amparo, basada en la supuesta vulneración del derecho a la tutela judicial efectiva (art. 24.1 CE), en sus vertientes de derecho a la motivación suficiente y las decisiones congruentes, con afectación del derecho a la vida y a la integridad física (art. 15 CE).</w:t>
      </w:r>
    </w:p>
    <w:p w:rsidR="0026452D" w:rsidRDefault="0026452D" w:rsidP="0026452D">
      <w:pPr>
        <w:pStyle w:val="TextoNormal"/>
      </w:pPr>
    </w:p>
    <w:p w:rsidR="0026452D" w:rsidRDefault="0026452D" w:rsidP="0026452D">
      <w:pPr>
        <w:pStyle w:val="TextoNormal"/>
      </w:pPr>
      <w:r>
        <w:t>En lo que a la falta de motivación de las resoluciones recurridas se refiere, la demanda de amparo considera que el Pleno de la Sala de lo Penal de la Audiencia Nacional, al desestimar el recurso de súplica, ni siquiera se pronuncia sobre la alegada vulneración del art. 278.1.3 LOPJ, en cuya virtud la extradición por aplicación del principio de reciprocidad debe denegarse cuando los documentos carezcan de autenticidad o estén redactados en un idioma que no sea el castellano, actuación incorrecta del órgano judicial que le habría producido indefensión: según la demanda de amparo, el Gobierno de Tailandia ha presentado su solicitud de extradición en idioma inglés, sin cumplir la exigencia legal contenida en dicho precepto de que las solicitudes se aporten con traducción al castellano y, por otro lado, los documentos que se presentan en castellano tienen una traducción pésima; ello habría impedido al demandante conocer lo establecido por la ley de extradición de Tailandia y el alcance que tiene dentro de ella el principio de reciprocidad. Según la demanda de amparo, para la Sala de lo Penal de la Audiencia Nacional esta deficiencia no constituye defecto formal alguno, por entender que los textos a los que afecta el deber de traducción son los señalados por el art. 7.1 LEP, esto es, los penales sustantivos que permitan controlar la concurrencia de la doble incriminación, mínimo punitivo y ausencia de causas extintivas de la responsabilidad, no la legislación interna reguladora en Tailandia del proceso de extradición, sin pronunciarse sobre la alegada deficiencia de la traducción de la norma sustantiva tailandesa sobre el mínimo punitivo aplicable.</w:t>
      </w:r>
    </w:p>
    <w:p w:rsidR="0026452D" w:rsidRDefault="0026452D" w:rsidP="0026452D">
      <w:pPr>
        <w:pStyle w:val="TextoNormal"/>
      </w:pPr>
    </w:p>
    <w:p w:rsidR="0026452D" w:rsidRDefault="0026452D" w:rsidP="0026452D">
      <w:pPr>
        <w:pStyle w:val="TextoNormal"/>
      </w:pPr>
      <w:r>
        <w:t>En directa conexión con lo anterior se denuncia también que el Auto resolutorio del recurso de súplica incurre en supuesta incongruencia omisiva con relevancia constitucional pues, al confirmar el Auto de extradición en todos sus términos, no ha analizado debida y pormenorizadamente la concurrencia del requisito del art. 5.1 LEP en relación con el art. 4.6 del mismo cuerpo legal, relativo a asegurar las garantías del procedimiento y el respeto a los derechos humanos.</w:t>
      </w:r>
    </w:p>
    <w:p w:rsidR="0026452D" w:rsidRDefault="0026452D" w:rsidP="0026452D">
      <w:pPr>
        <w:pStyle w:val="TextoNormal"/>
      </w:pPr>
    </w:p>
    <w:p w:rsidR="0026452D" w:rsidRDefault="0026452D" w:rsidP="0026452D">
      <w:pPr>
        <w:pStyle w:val="TextoNormal"/>
      </w:pPr>
      <w:r>
        <w:t>En apoyo de su petición, la demanda de amparo pone de relieve que en el caso hay una afectación del derecho a la vida con vulneración del art. 15 CE, sobre la base de la argumentación referida a la denunciada vulneración del art. 24.1 CE.</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30 de octubre de 2012 la Sala primera de este Tribunal acordó admitir a trámite la demanda de amparo y, en aplicación de lo dispuesto por el art. 51 de la Ley Orgánica del Tribunal Constitucional (LOTC), dirigir atenta comunicación al Pleno de la Audiencia Nacional para que en el plazo de diez días remitiese certificación o copia adverada de las actuaciones correspondientes al recurso de súplica núm. 32-2012 y a la Sección Tercera de la Sala de lo Penal de la Audiencia Nacional de los correspondientes al rollo de Sala núm. 9-2012, interesándose al mismo tiempo el emplazamiento de quienes fueron parte en el procedimiento, a excepción de la demandante de amparo, ya personada, para que pudieran comparecer en el plazo de diez días en el presente proceso constitucional.</w:t>
      </w:r>
    </w:p>
    <w:p w:rsidR="0026452D" w:rsidRDefault="0026452D" w:rsidP="0026452D">
      <w:pPr>
        <w:pStyle w:val="TextoNormal"/>
      </w:pPr>
    </w:p>
    <w:p w:rsidR="0026452D" w:rsidRDefault="0026452D" w:rsidP="0026452D">
      <w:pPr>
        <w:pStyle w:val="TextoNormal"/>
      </w:pPr>
      <w:r w:rsidRPr="0026452D">
        <w:rPr>
          <w:rStyle w:val="NumeroAFNegritaCaracter"/>
        </w:rPr>
        <w:t>5</w:t>
      </w:r>
      <w:r>
        <w:t>. Igualmente, y conforme con lo solicitado mediante otrosí en la demanda de amparo, se acordó, por una segunda providencia de esa misma fecha (30 de octubre de 2012), formar la correspondiente pieza separada en la que, tras los trámites oportunos, se acordó por la Sala Segunda de este Tribunal, por Auto de 12 de noviembre de 2012, la suspensión de la ejecución del Auto de 12 de julio de 2012, resolutorio del recurso de súplica, así como la medida cautelar de suspensión de la ejecución del Auto de 4 de junio de 2012 de la Sección Tercera de la misma Sala en rollo núm. 9-2012.</w:t>
      </w:r>
    </w:p>
    <w:p w:rsidR="0026452D" w:rsidRDefault="0026452D" w:rsidP="0026452D">
      <w:pPr>
        <w:pStyle w:val="TextoNormal"/>
      </w:pPr>
    </w:p>
    <w:p w:rsidR="0026452D" w:rsidRDefault="0026452D" w:rsidP="0026452D">
      <w:pPr>
        <w:pStyle w:val="TextoNormal"/>
      </w:pPr>
      <w:r w:rsidRPr="0026452D">
        <w:rPr>
          <w:rStyle w:val="NumeroAFNegritaCaracter"/>
        </w:rPr>
        <w:t>6</w:t>
      </w:r>
      <w:r>
        <w:t>. La Sala Segunda de este Tribunal, mediante diligencia de ordenación de 27 de noviembre de 2012, acordó dar vista de las actuaciones recibidas a la parte recurrente y al Ministerio Fiscal por plazo común de veinte días, conforme al art. 52.1 LOTC, para que alegaran lo que estimaran oportuno.</w:t>
      </w:r>
    </w:p>
    <w:p w:rsidR="0026452D" w:rsidRDefault="0026452D" w:rsidP="0026452D">
      <w:pPr>
        <w:pStyle w:val="TextoNormal"/>
      </w:pPr>
    </w:p>
    <w:p w:rsidR="0026452D" w:rsidRDefault="0026452D" w:rsidP="0026452D">
      <w:pPr>
        <w:pStyle w:val="TextoNormal"/>
      </w:pPr>
      <w:r w:rsidRPr="0026452D">
        <w:rPr>
          <w:rStyle w:val="NumeroAFNegritaCaracter"/>
        </w:rPr>
        <w:t>7</w:t>
      </w:r>
      <w:r>
        <w:t>. Evacuando el referido trámite, el 4 de enero de 2013 el demandante de amparo presentó escrito de alegaciones en el que se ratificó íntegramente en la demanda.</w:t>
      </w:r>
    </w:p>
    <w:p w:rsidR="0026452D" w:rsidRDefault="0026452D" w:rsidP="0026452D">
      <w:pPr>
        <w:pStyle w:val="TextoNormal"/>
      </w:pPr>
    </w:p>
    <w:p w:rsidR="0026452D" w:rsidRDefault="0026452D" w:rsidP="0026452D">
      <w:pPr>
        <w:pStyle w:val="TextoNormal"/>
      </w:pPr>
      <w:r w:rsidRPr="0026452D">
        <w:rPr>
          <w:rStyle w:val="NumeroAFNegritaCaracter"/>
        </w:rPr>
        <w:t>8</w:t>
      </w:r>
      <w:r>
        <w:t>. El Ministerio Fiscal, en escrito registrado el 16 de enero de 2013, interesó la desestimación del recurso de amparo.</w:t>
      </w:r>
    </w:p>
    <w:p w:rsidR="0026452D" w:rsidRDefault="0026452D" w:rsidP="0026452D">
      <w:pPr>
        <w:pStyle w:val="TextoNormal"/>
      </w:pPr>
    </w:p>
    <w:p w:rsidR="0026452D" w:rsidRDefault="0026452D" w:rsidP="0026452D">
      <w:pPr>
        <w:pStyle w:val="TextoNormal"/>
      </w:pPr>
      <w:r>
        <w:t xml:space="preserve">Para el Fiscal no ha habido vulneración del derecho a la tutela judicial efectiva por motivación insuficiente de las resoluciones impugnadas, y la aportada por los dos Autos no incurre en irrazonabilidad o arbitrariedad ni es fruto de un error patente. Sobre la concreta denuncia de que el Auto de 12 de julio de 2012 no se pronuncia sobre la alegada vulneración del art. 278.1.3 LOPJ —en referencia a los defectos en la traducción de los documentos remitidos por el Gobierno de Tailandia—, se considera demostrado que ya se brindó al ahora demandante respuesta de forma más que expresa y motivada en el Auto de 4 de junio de 2012 de la Sección Tercera de la Sala de lo Penal, en sus fundamentos jurídicos primero, tercero, cuarto y sexto, y que, al confirmar la Sala de lo Penal de la Audiencia Nacional en Pleno la “literalidad” de aquel Auto —señalando que las alegaciones realizadas en aquél “en nada obstan a la extradición concedida, y por ello debe mantenerse la resolución en su literalidad”—, se posibilita una integración que permite conocer al demandante de amparo perfectamente los criterios de la decisión que sirven de base a sus alegaciones. Para el Ministerio Fiscal, no sólo no hay ausencia o déficit de motivación o una falta de respuesta, sino, al contrario, se dio una respuesta en la que se exteriorizaron los criterios de resolución justificativos de la decisión adoptada en consonancia con los concretos términos en los que se formuló la queja de vulneración normativa: en efecto, el motivo primero del recurso de </w:t>
      </w:r>
      <w:r>
        <w:lastRenderedPageBreak/>
        <w:t>súplica dedicó casi cuatro páginas a argumentar la falta de reciprocidad entre Tailandia y España en materia de extradición, pero tan sólo dos párrafos finales de siete líneas a los problemas con la traducción; el demandante puso pues el acento en lo primero, si bien relacionado con lo segundo; y, en un contexto en el que la Sección tercera de la Sala de lo Penal de la Audiencia Nacional había ya resaltado el cumplimiento de los presupuestos de los apartados 1 y 2 del art. 7 LEP (que son lo que especifican lo dispuesto por el art. 278.1.3 LOPJ), no extraña que, reiterando el recurso de súplica los mismos argumentos ya respondidos en la resolución impugnada, el Auto de 12 de julio de 2012 incluyese en un primer orden de alegaciones las referidas a la vulneración del art. 24.1 y 13.3 CE derivada de los defectos de traducción, para a continuación centrarse en la cuestión nuclear del motivo, que era la ausencia de reciprocidad entre España y Tailandia. Se concluye, pues, que lo que el Pleno de la Sala reitera es la validez, a efectos de control en la fase jurisdiccional, de la oferta de reciprocidad articulada como presupuesto de aplicabilidad de la Ley de extradición pasiva como fuente habilitante constitucional que erradica la vulneración del principio de legalidad extradicional (art. 13.3 CE), lo cual constituye la esencia del motivo esgrimido por el demandante de amparo en su recurso de súplica, y que si no hay una respuesta pormenorizada a todos y cada uno de los argumentos dados como fundamento de la pretensión es consecuencia de la falta de relevancia para el Tribunal de los déficits de traducción, dándose que dicha alegación se desestima no de forma tácita, sino con una motivación expresa en el primer Auto e ínsita en el segundo, según se deduce del conjunto de razonamientos que en ella se contienen. Por último, en relación con este motivo de amparo, aduce el Ministerio Fiscal que las resoluciones impugnadas cumplen con los cánones constitucionales de razonabilidad, pues permiten conocer las razones en que se basa la decisión, y que ésta se fundamenta en Derecho, más allá de su acierto o no.</w:t>
      </w:r>
    </w:p>
    <w:p w:rsidR="0026452D" w:rsidRDefault="0026452D" w:rsidP="0026452D">
      <w:pPr>
        <w:pStyle w:val="TextoNormal"/>
      </w:pPr>
    </w:p>
    <w:p w:rsidR="0026452D" w:rsidRDefault="0026452D" w:rsidP="0026452D">
      <w:pPr>
        <w:pStyle w:val="TextoNormal"/>
      </w:pPr>
      <w:r>
        <w:t>Se descarta que los hechos anteriores hayan provocado indefensión al demandante, pues no es de recibo alegar que la falta de traducción de la legislación sobre extradición Tailandesa afectó a su derecho de defensa cuando se han aportado traducciones juradas al español de múltiples artículos y supuestos documentos, negándose igualmente que la traducción aportada no satisfaga las exigencias de determinación del mínimo punitivo por encima del año requerido por la ley española a efectos extradicionales.</w:t>
      </w:r>
    </w:p>
    <w:p w:rsidR="0026452D" w:rsidRDefault="0026452D" w:rsidP="0026452D">
      <w:pPr>
        <w:pStyle w:val="TextoNormal"/>
      </w:pPr>
    </w:p>
    <w:p w:rsidR="0026452D" w:rsidRDefault="0026452D" w:rsidP="0026452D">
      <w:pPr>
        <w:pStyle w:val="TextoNormal"/>
      </w:pPr>
      <w:r>
        <w:t>Sobre la supuesta falta de respuesta pormenorizada a la denuncia de la falta del requisito de respeto en Tailandia de las garantías del procedimiento y del respeto a los derechos humanos de los arts. 4.6 y 5.1 LEP, que sería también constitutiva de una incongruencia omisiva con relevancia constitucional según la demanda, considera el Fiscal que el Auto de 12 de julio de 2012 ha dado una respuesta muy explícita a dicha pretensión, y tras analizar con detalle la documentación aportada por el ahora demandante de amparo y obrante en las actuaciones sobre la situación penitenciaria en Tailandia, concluye que la decisión de la Audiencia se basa en no entender acreditado la concurrencia de una situación de riesgo de padecer penas o tratos inhumanos o degradantes, pues de dicha documentación se desprende información general y no actualizada al momento en que se ha promovido la extradición, que no concreta los riesgos a los que se expone el demandante, sea por la naturaleza del delito o por su orientación sexual.</w:t>
      </w:r>
    </w:p>
    <w:p w:rsidR="0026452D" w:rsidRDefault="0026452D" w:rsidP="0026452D">
      <w:pPr>
        <w:pStyle w:val="TextoNormal"/>
      </w:pPr>
    </w:p>
    <w:p w:rsidR="0026452D" w:rsidRDefault="0026452D" w:rsidP="0026452D">
      <w:pPr>
        <w:pStyle w:val="TextoNormal"/>
      </w:pPr>
      <w:r>
        <w:t xml:space="preserve">Por último, en cuanto a la afectación de los derechos a la vida y a la integridad física, critica el Fiscal la escueta argumentación de la demanda de amparo y su falta de desarrollo, que no se vincula por conexión ni al derecho a la libertad (art. 17 CE) ni al derecho a la </w:t>
      </w:r>
      <w:r>
        <w:lastRenderedPageBreak/>
        <w:t>libertad de residencia (art. 19 CE). Y, para el caso de que el Tribunal entienda que la demanda se puede reconducir, en este concreto motivo, a si los Autos impugnados satisfacen el deber de motivación reforzada que imponen alegaciones sobre el riesgo a sufrir trato inhumano o degradante (art. 24.1 CE en conexión con el art. 15 CE), se arguye que ese motivo no ha sido invocado por el demandante de amparo, ni en su demanda, ni en el recurso de súplica. Con todo, entiende el Fiscal que ciertamente la valoración de las circunstancias concretas podría haber sido más precisa por la Audiencia en relación con cada uno de los documentos aportados, pero, considerando que los mismos no se refieren a situación actual ni a riesgos concretos relativos al demandante, y la existencia de un convenio bilateral entre Holanda y Tailandia de traslado de presos, efectivo desde el 1 de abril de 2005, que operaría como elemento de neutralización de esa preocupación, se inclina por la desestimación del motivo. En caso de ser estimado por entenderse que no se cumple con el deber de motivación reforzada, lo procedente sería retrotraer las actuaciones al momento procesal oportuno para que la Sala de lo Penal de la Audiencia Nacional se pronuncie de nuevo.</w:t>
      </w:r>
    </w:p>
    <w:p w:rsidR="0026452D" w:rsidRDefault="0026452D" w:rsidP="0026452D">
      <w:pPr>
        <w:pStyle w:val="TextoNormal"/>
      </w:pPr>
    </w:p>
    <w:p w:rsidR="0026452D" w:rsidRDefault="0026452D" w:rsidP="0026452D">
      <w:pPr>
        <w:pStyle w:val="TextoNormal"/>
      </w:pPr>
      <w:r w:rsidRPr="0026452D">
        <w:rPr>
          <w:rStyle w:val="NumeroAFNegritaCaracter"/>
        </w:rPr>
        <w:t>9</w:t>
      </w:r>
      <w:r>
        <w:t>. Por providencia de fecha 30 de abril de 2013 se señaló para deliberación y fallo de la Sentencia el día 6 de mayo del mismo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amparo se dirige contra el Auto del Pleno de la Sala de lo Penal de la Audiencia Nacional de 12 de julio de 2012, desestimatorio del recurso de súplica interpuesto contra el Auto de la Sección Tercera de la Sala de la misma Sala, de fecha 4 de junio de 2011, dimanante del procedimiento de extradición 2-2012 del Juzgado Central de Instrucción núm. 1, por el que se concede la extradición a las autoridades del Reino de Tailandia del demandante de amparo, un ciudadano de nacionalidad holandesa detenido en la ciudad de Benidorm (Alicante), como consecuencia de una orden internacional de detención emitida por la Corte Criminal de Tailandia en fecha 11 de abril de 2011, por delito de abuso sexual de un menor de quince años.</w:t>
      </w:r>
    </w:p>
    <w:p w:rsidR="0026452D" w:rsidRDefault="0026452D" w:rsidP="0026452D">
      <w:pPr>
        <w:pStyle w:val="TextoNormal"/>
      </w:pPr>
    </w:p>
    <w:p w:rsidR="0026452D" w:rsidRDefault="0026452D" w:rsidP="0026452D">
      <w:pPr>
        <w:pStyle w:val="TextoNormal"/>
      </w:pPr>
      <w:r>
        <w:t>En la demanda de amparo se denuncia, con la argumentación que ha quedado expuesta en los antecedentes de esta resolución, la vulneración de los derechos fundamentales a la tutela judicial efectiva sin indefensión (art. 24.1 CE), en sus vertientes de derecho a la motivación suficiente y a la congruencia de las decisiones judiciales, con afectación del derecho a la vida y a la integridad física (art. 15 CE).</w:t>
      </w:r>
    </w:p>
    <w:p w:rsidR="0026452D" w:rsidRDefault="0026452D" w:rsidP="0026452D">
      <w:pPr>
        <w:pStyle w:val="TextoNormal"/>
      </w:pPr>
    </w:p>
    <w:p w:rsidR="0026452D" w:rsidRDefault="0026452D" w:rsidP="0026452D">
      <w:pPr>
        <w:pStyle w:val="TextoNormal"/>
      </w:pPr>
      <w:r>
        <w:t>El Ministerio Fiscal, por su parte, interesa la desestimación por entender que no se han producido las vulneraciones denunciadas y que el escrito inicial aporta documentación abundante pero genérica, no siempre autentificada y desfasada en el tiempo de la situación penitenciaria en el Reino de Tailandia, y que no se justifica los concretos riesgos de sufrir un trato inhumano o degradante, alegados por el demandante de amparo.</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Tal como venimos recordando reiteradamente,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w:t>
      </w:r>
      <w:r>
        <w:lastRenderedPageBreak/>
        <w:t>o a instancia de parte, dando lugar a un pronunciamiento de inadmisión por la falta de tales presupuestos, sin que para ello constituya obstáculo el carácter tasado de los pronunciamientos previstos en el art. 53 de la Ley Orgánica del Tribunal Constitucional (LOTC)” (por todas, SSTC 69/2004, de 19 de abril, FJ 3 y 89/2011, de 6 de junio, FJ 2).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Este requerimiento viene expresamente dispuesto por el art. 44.1 a) LOTC al exigir “que se hayan agotado todos los medios de impugnación previstos por las normas procesales para el caso concreto dentro de la vía judicial”.</w:t>
      </w:r>
    </w:p>
    <w:p w:rsidR="0026452D" w:rsidRDefault="0026452D" w:rsidP="0026452D">
      <w:pPr>
        <w:pStyle w:val="TextoNormal"/>
      </w:pPr>
    </w:p>
    <w:p w:rsidR="0026452D" w:rsidRDefault="0026452D" w:rsidP="0026452D">
      <w:pPr>
        <w:pStyle w:val="TextoNormal"/>
      </w:pPr>
      <w:r>
        <w:t>Pues bien, el examen de las actuaciones remitidas el pasado 21 de noviembre de 2012 por la Sala de lo Penal de la Audiencia Nacional, tras acordarse la admisión a trámite de la presente demanda de amparo, permite constatar una actuación procesal de parte a la que el demandante no ha hecho referencia alguna a lo largo de este proceso de amparo, que permite apreciar la concurrencia de la causa de inadmisión de falta de agotamiento de la vía judicial previa [art. 50.1 a), en relación con el art. 44.1 a) LOTC], por haberse simultaneado el presente recurso de amparo con una solicitud de nulidad de actuaciones presentada contra el mismo Auto de 12 de julio de 2012, impugnado en este proceso.</w:t>
      </w:r>
    </w:p>
    <w:p w:rsidR="0026452D" w:rsidRDefault="0026452D" w:rsidP="0026452D">
      <w:pPr>
        <w:pStyle w:val="TextoNormal"/>
      </w:pPr>
    </w:p>
    <w:p w:rsidR="0026452D" w:rsidRDefault="0026452D" w:rsidP="0026452D">
      <w:pPr>
        <w:pStyle w:val="TextoNormal"/>
      </w:pPr>
      <w:r>
        <w:t>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restablecerlos. En relación con ello, se ha destacado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SSTC 32/2010, de 8 de julio, FJ 2; 105/2011, de 20 de junio, FJ 2 y 199/2012, de 12 de noviembre de 2012, FJ 2).</w:t>
      </w:r>
    </w:p>
    <w:p w:rsidR="0026452D" w:rsidRDefault="0026452D" w:rsidP="0026452D">
      <w:pPr>
        <w:pStyle w:val="TextoNormal"/>
      </w:pPr>
    </w:p>
    <w:p w:rsidR="0026452D" w:rsidRDefault="0026452D" w:rsidP="0026452D">
      <w:pPr>
        <w:pStyle w:val="TextoNormal"/>
      </w:pPr>
      <w:r>
        <w:t xml:space="preserve">En el presente caso, una vez recibidas las actuaciones judiciales del rollo de Sala núm. 9-2012, en el que se dictó el Auto del Pleno de la Sala de lo Penal de la Audiencia Nacional impugnado en el presente procedimiento constitucional, ha quedado acreditado que el 18 de septiembre de 2012 la representación procesal del demandante de amparo, con asistencia letrada, procedió, al amparo de lo establecido en el art. 241.1 de la Ley Orgánica del Poder Judicial, a solicitar la nulidad del Auto de 12 de julio de 2012 y del Auto de 4 de junio de 2012 recurrido en súplica, alegando la supuesta vulneración de los arts. 24.1 y 2 (derecho a la tutela judicial efectiva y al proceso con todas las garantías sin que se produzca indefensión), art. 24.1 en relación con el art. 15 (derecho a la integridad física y moral) de la Constitución. En el escrito de promoción del incidente se imputan al Auto resolutorio del recurso de súplica las mismas vulneraciones de derechos fundamentales que se invocan en la demanda de amparo (ausencia de respuesta a la denuncia de la falta de traducción de la legislación tailandesa sobre extradición e incongruencia omisiva en relación con la denunciada </w:t>
      </w:r>
      <w:r>
        <w:lastRenderedPageBreak/>
        <w:t>petición de revocación de la orden de extradición por los riesgos para la integridad física o moral del recurrente), que son las que se imputan al Auto de 4 de junio de 2012, si bien la demanda incidental pretende argumentar que las vulneraciones son novedosas, producidas por vez primera por el Auto de 12 de julio de 2012. Asimismo, en su introito se justifica por el recurrente la procedencia del incidente previo al recurso de amparo, como medio para dar “previamente opción al órgano judicial para la subsanación de las citadas vulneraciones”, antes de la interposición del recurso de amparo. Admitido a trámite, se señaló para la deliberación y decisión del incidente por el Pleno de la Sala el día 10 de octubre de 2012.</w:t>
      </w:r>
    </w:p>
    <w:p w:rsidR="0026452D" w:rsidRDefault="0026452D" w:rsidP="0026452D">
      <w:pPr>
        <w:pStyle w:val="TextoNormal"/>
      </w:pPr>
    </w:p>
    <w:p w:rsidR="0026452D" w:rsidRDefault="0026452D" w:rsidP="0026452D">
      <w:pPr>
        <w:pStyle w:val="TextoNormal"/>
      </w:pPr>
      <w:r>
        <w:t>El ahora demandante desistió del incidente de nulidad por escrito de fecha 26 de septiembre de 2012. Pero en el ínterin, mientras se tramitaba la solicitud de nulidad de actuaciones, don Johannes Bloem interpuso ante este Tribunal Constitucional demanda de amparo, mediante escrito registrado el 24 de septiembre de 2012, que fue admitida por providencia de 30 de octubre de 2012.</w:t>
      </w:r>
    </w:p>
    <w:p w:rsidR="0026452D" w:rsidRDefault="0026452D" w:rsidP="0026452D">
      <w:pPr>
        <w:pStyle w:val="TextoNormal"/>
      </w:pPr>
    </w:p>
    <w:p w:rsidR="0026452D" w:rsidRDefault="0026452D" w:rsidP="0026452D">
      <w:pPr>
        <w:pStyle w:val="TextoNormal"/>
      </w:pPr>
      <w:r>
        <w:t xml:space="preserve">Lo expuesto pone de manifiesto que cuando el 24 de septiembre de 2012 se promovió el presente procedimiento de amparo se mantenía abierta la vía judicial previa, merced a la solicitud de nulidad de actuaciones de 18 de septiembre de 2012, de la que desistiría con posterioridad. Como este Tribunal ha puesto de manifiesto en anteriores ocasiones, la fecha en la que se registra en este Tribunal la solicitud de amparo es la que marca el </w:t>
      </w:r>
      <w:r w:rsidRPr="0026452D">
        <w:rPr>
          <w:i/>
        </w:rPr>
        <w:t>dies ad quem</w:t>
      </w:r>
      <w:r>
        <w:t xml:space="preserve"> de su interposición (ATC 163/2009, de 21 de mayo, FJ 2). Más recientemente, en la STC 199/2012, de 12 de noviembre, FJ 2, hemos afirmado que “es la fecha en la que se registra en este Tribunal la solicitud de amparo, con o sin simultánea solicitud de designación de Abogado o Procurador de oficio, la que marca el </w:t>
      </w:r>
      <w:r w:rsidRPr="0026452D">
        <w:rPr>
          <w:i/>
        </w:rPr>
        <w:t>dies ad quem</w:t>
      </w:r>
      <w:r>
        <w:t xml:space="preserve"> de su interposición”. Ello determina que en el presente caso, y de acuerdo con la doctrina expuesta, concurra el óbice procesal de falta de agotamiento de la vía judicial previa [art. 50.1 a), en relación con el art. 44.1 a) LOTC], al haberse hecho coexistir esta jurisdicción de amparo con la vía judicial ordinaria, “pues con este proceder procesal la demandante compareció ante este Tribunal Constitucional cuando aún no se habían resuelto los medios de impugnación que había puesto en marcha dentro de la vía judicial previa, provocando así la coexistencia temporal de ambos procedimientos, el de la jurisdicción ordinaria y el presente proceso de amparo” (STC 199/2012, de 12 de noviembre, FJ 2). Un defecto insubsanable para cuya determinación, tal y como ha establecido la doctrina de este Tribunal, el momento relevante es “la demanda de amparo, en el momento de su interposición, que es el que se ha de tomar como ‘punto de referencia’” (SSTC 249/2006, de 24 de junio, FJ 2; 242/2007, de 10 de diciembre, FJ 4 y 199/2012, de 12 de noviembre, FJ 2).</w:t>
      </w:r>
    </w:p>
    <w:p w:rsidR="0026452D" w:rsidRDefault="0026452D" w:rsidP="0026452D">
      <w:pPr>
        <w:pStyle w:val="TextoNormal"/>
      </w:pPr>
    </w:p>
    <w:p w:rsidR="0026452D" w:rsidRDefault="0026452D" w:rsidP="0026452D">
      <w:pPr>
        <w:pStyle w:val="TextoNormal"/>
      </w:pPr>
    </w:p>
    <w:p w:rsidR="0026452D" w:rsidRDefault="0026452D" w:rsidP="0026452D">
      <w:pPr>
        <w:pStyle w:val="TextoNormal"/>
      </w:pPr>
      <w:r>
        <w:t>Por todo lo que antecede resulta procedente dictar Sentencia inadmitiendo el recurso de amparo por falta de agotamiento de la vía judicial previa [art. 44.1 a) LOTC].</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lastRenderedPageBreak/>
        <w:t>Ha decidido</w:t>
      </w:r>
    </w:p>
    <w:p w:rsidR="0026452D" w:rsidRDefault="0026452D" w:rsidP="0026452D">
      <w:pPr>
        <w:pStyle w:val="TextoNormalCentrado"/>
        <w:keepNext/>
      </w:pPr>
    </w:p>
    <w:p w:rsidR="0026452D" w:rsidRDefault="0026452D" w:rsidP="0026452D">
      <w:pPr>
        <w:pStyle w:val="TextoNormal"/>
      </w:pPr>
      <w:r>
        <w:t>Inadmitir el recurso de amparo promovido por don Johannes Bloem.</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seis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14" w:name="SENTENCIA_2013_111"/>
      <w:r>
        <w:lastRenderedPageBreak/>
        <w:t>SENTENCIA 111/2013, de 9 de mayo de 2013</w:t>
      </w:r>
    </w:p>
    <w:bookmarkEnd w:id="114"/>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133, de 4 de junio de 2013)</w:t>
      </w:r>
    </w:p>
    <w:p w:rsidR="0026452D" w:rsidRDefault="0026452D" w:rsidP="0026452D">
      <w:pPr>
        <w:pStyle w:val="TtuloBOE"/>
      </w:pPr>
    </w:p>
    <w:p w:rsidR="0026452D" w:rsidRDefault="0026452D" w:rsidP="0026452D">
      <w:pPr>
        <w:pStyle w:val="SntesisDescriptiva"/>
      </w:pPr>
      <w:r>
        <w:t>ECLI:ES:TC:2013:111</w:t>
      </w:r>
    </w:p>
    <w:p w:rsidR="0026452D" w:rsidRDefault="0026452D" w:rsidP="0026452D">
      <w:pPr>
        <w:pStyle w:val="SntesisDescriptiva"/>
      </w:pPr>
    </w:p>
    <w:p w:rsidR="0026452D" w:rsidRDefault="0026452D" w:rsidP="0026452D">
      <w:pPr>
        <w:pStyle w:val="SntesisDescriptiva"/>
      </w:pPr>
      <w:r>
        <w:t>Recurso de inconstitucionalidad 2144-2004. Interpuesto por el Gobierno de Aragón en relación con diversos preceptos de la Ley 62/2003, de 30 de diciembre, de medidas fiscales, administrativas y del orden social.</w:t>
      </w:r>
    </w:p>
    <w:p w:rsidR="0026452D" w:rsidRDefault="0026452D" w:rsidP="0026452D">
      <w:pPr>
        <w:pStyle w:val="SntesisDescriptiva"/>
      </w:pPr>
    </w:p>
    <w:p w:rsidR="0026452D" w:rsidRDefault="0026452D" w:rsidP="0026452D">
      <w:pPr>
        <w:pStyle w:val="SntesisAnaltica"/>
      </w:pPr>
      <w:r>
        <w:t>Competencias sobre aguas, medio ambiente y espacios naturales: constitucionalidad de los preceptos legales que atribuyen a la Administración competente para la autorización del plan o proyecto la realización de la evaluación ambiental de las zonas de especial conservación (STC 149/2012), habilitan al Gobierno de la Nación para fijar el contenido del informe preliminar sobre actividades potencialmente contaminantes del suelo (STC 104/2013) y trasponen al ordenamiento interno la Directiva marco del agua (STC 36/2013); extinción del recurso respecto de la regulación legal de la gestión y financiación de parques nacionales.</w:t>
      </w:r>
    </w:p>
    <w:p w:rsidR="0026452D" w:rsidRDefault="0026452D" w:rsidP="0026452D">
      <w:pPr>
        <w:pStyle w:val="SntesisAnaltica"/>
      </w:pPr>
    </w:p>
    <w:p w:rsidR="0026452D" w:rsidRDefault="0026452D" w:rsidP="0026452D">
      <w:pPr>
        <w:pStyle w:val="Extracto"/>
      </w:pPr>
      <w:r>
        <w:t>1.</w:t>
      </w:r>
      <w:r>
        <w:tab/>
        <w:t>La evaluación ambiental de las zonas especiales de conservación tiene por finalidad que las Administraciones públicas valoren la afección al medio ambiente cuando hayan de decidir acerca de la autorización o aprobación de obras o actividades que puedan afectar a espacios de la Red Natura 2000  atendiendo a su repercusión sobre este tipo de espacios, evaluación ambiental que está sometida por la Constitución y los Estatutos de Autonomía al título competencial sustantivo que da cobertura a cada obra o actividad, título éste que atrae al medioambiental (SSTC 13/1998, 149/2012, 104/2013) [FJ 3].</w:t>
      </w:r>
    </w:p>
    <w:p w:rsidR="0026452D" w:rsidRDefault="0026452D" w:rsidP="0026452D">
      <w:pPr>
        <w:pStyle w:val="Extracto"/>
      </w:pPr>
    </w:p>
    <w:p w:rsidR="0026452D" w:rsidRDefault="0026452D" w:rsidP="0026452D">
      <w:pPr>
        <w:pStyle w:val="Extracto"/>
      </w:pPr>
      <w:r>
        <w:t>2.</w:t>
      </w:r>
      <w:r>
        <w:tab/>
        <w:t>Es acorde con la distribución constitucional de competencias la atribución a la Administración del Estado de la realización de la evaluación ambiental de las zonas especiales de conservación en aquellos casos en los que el plan o proyecto debe ser autorizado o aprobado por ella tras la realización de la correspondiente evaluación de impacto ambiental, garantizándose, en todo caso, la consulta a las Comunidades Autónomas en cuyo territorio se ubique el proyecto en cuestión (SSTC 149/2012, 104/2013) [FJ 3].</w:t>
      </w:r>
    </w:p>
    <w:p w:rsidR="0026452D" w:rsidRDefault="0026452D" w:rsidP="0026452D">
      <w:pPr>
        <w:pStyle w:val="Extracto"/>
      </w:pPr>
    </w:p>
    <w:p w:rsidR="0026452D" w:rsidRDefault="0026452D" w:rsidP="0026452D">
      <w:pPr>
        <w:pStyle w:val="Extracto"/>
      </w:pPr>
      <w:r>
        <w:t>3.</w:t>
      </w:r>
      <w:r>
        <w:tab/>
        <w:t>El elemento determinante del encuadre competencial de la certificación de evaluación ambiental es su vínculo finalista con la decisión de realizar o no la obra o actividad cuyas consecuencias se evalúan, siendo igualmente decisivo en conflictos entre la competencia sustantiva estatal que da cobertura a la obra o actividad y la competencia autonómica exclusiva sobre espacios naturales protegidos, procediendo, por ello, que declaremos que esta clase específica de evaluación ambiental se incardina en el primer título y no en el segundo (SSTC 149/2012, 59/2013, 104/2013) [FJ 3].</w:t>
      </w:r>
    </w:p>
    <w:p w:rsidR="0026452D" w:rsidRDefault="0026452D" w:rsidP="0026452D">
      <w:pPr>
        <w:pStyle w:val="Extracto"/>
      </w:pPr>
    </w:p>
    <w:p w:rsidR="0026452D" w:rsidRDefault="0026452D" w:rsidP="0026452D">
      <w:pPr>
        <w:pStyle w:val="Extracto"/>
      </w:pPr>
      <w:r>
        <w:t>4.</w:t>
      </w:r>
      <w:r>
        <w:tab/>
        <w:t xml:space="preserve">La evaluación de la repercusión que para un lugar concreto conlleva una obra o actividad queda fuera de la función ejecutiva o de gestión en materia de espacios </w:t>
      </w:r>
      <w:r>
        <w:lastRenderedPageBreak/>
        <w:t>naturales protegidos cuando está orientada a facilitar al órgano competente sobre ella la información ambiental específica para decidir si se realiza o no y, en su caso, en qué condiciones se hace, pues tiene como finalidad que los entes públicos valoren el medio ambiente cuando ejercen sus atribuciones sobre cualquiera de las obras, instalaciones u otras actividades integradas en sus títulos competenciales (SSTC 149/2012, 104/2013) [FJ 3].</w:t>
      </w:r>
    </w:p>
    <w:p w:rsidR="0026452D" w:rsidRDefault="0026452D" w:rsidP="0026452D">
      <w:pPr>
        <w:pStyle w:val="Extracto"/>
      </w:pPr>
    </w:p>
    <w:p w:rsidR="0026452D" w:rsidRDefault="0026452D" w:rsidP="0026452D">
      <w:pPr>
        <w:pStyle w:val="Extracto"/>
      </w:pPr>
      <w:r>
        <w:t>5.</w:t>
      </w:r>
      <w:r>
        <w:tab/>
        <w:t>Doctrina sobre el encuadre competencial de la evaluación ambiental de las zonas especiales de conservación (SSTC 149/2012, 104/2013) [FJ 3].</w:t>
      </w:r>
    </w:p>
    <w:p w:rsidR="0026452D" w:rsidRDefault="0026452D" w:rsidP="0026452D">
      <w:pPr>
        <w:pStyle w:val="Extracto"/>
      </w:pPr>
    </w:p>
    <w:p w:rsidR="0026452D" w:rsidRDefault="0026452D" w:rsidP="0026452D">
      <w:pPr>
        <w:pStyle w:val="Extracto"/>
      </w:pPr>
      <w:r>
        <w:t>6.</w:t>
      </w:r>
      <w:r>
        <w:tab/>
        <w:t>No puede reputarse inconstitucional que el legislador estatal imponga a los titulares de actividades contaminantes del suelo el deber de efectuar una evaluación o informe preliminar sobre los posibles efectos perjudiciales o nocivos que estas actividades son susceptibles de producir en el suelo, al constituir materia propia de la competencia estatal básica que el art. 149.1.23 CE atribuye al Estado (STC 104/2013) [FJ 4].</w:t>
      </w:r>
    </w:p>
    <w:p w:rsidR="0026452D" w:rsidRDefault="0026452D" w:rsidP="0026452D">
      <w:pPr>
        <w:pStyle w:val="Extracto"/>
      </w:pPr>
    </w:p>
    <w:p w:rsidR="0026452D" w:rsidRDefault="0026452D" w:rsidP="0026452D">
      <w:pPr>
        <w:pStyle w:val="Extracto"/>
      </w:pPr>
      <w:r>
        <w:t>7.</w:t>
      </w:r>
      <w:r>
        <w:tab/>
        <w:t>La habilitación al Consejo de Ministros para fijar el contenido mínimo de la evaluación preliminar en materia de actividades contaminantes del suelo, previa consulta a las Comunidades Autónomas, tiene cobertura en el art. 149.1.23 CE, que permite al legislador estatal dictar normas de obligada aplicación que aseguren un mínimo de protección de los elementos naturales (STC 104/2013) [FJ 4].</w:t>
      </w:r>
    </w:p>
    <w:p w:rsidR="0026452D" w:rsidRDefault="0026452D" w:rsidP="0026452D">
      <w:pPr>
        <w:pStyle w:val="Extracto"/>
      </w:pPr>
    </w:p>
    <w:p w:rsidR="0026452D" w:rsidRDefault="0026452D" w:rsidP="0026452D">
      <w:pPr>
        <w:pStyle w:val="Extracto"/>
      </w:pPr>
      <w:r>
        <w:t>8.</w:t>
      </w:r>
      <w:r>
        <w:tab/>
        <w:t>La remisión de la regulación por el Gobierno del contenido de la evaluación preliminar en materia de actividades contaminantes del suelo a una posterior norma reglamentaria resulta justificada en atención a la especificidad de la materia y  a su carácter marcadamente técnico, no siendo posible efectuar su valoración en este momento sino cuando se concrete dicha habilitación reglamentaria, al hallarnos ante una impugnación preventiva, vedada en nuestra doctrina (STC 104/2013) [FJ 4].</w:t>
      </w:r>
    </w:p>
    <w:p w:rsidR="0026452D" w:rsidRDefault="0026452D" w:rsidP="0026452D">
      <w:pPr>
        <w:pStyle w:val="Extracto"/>
      </w:pPr>
    </w:p>
    <w:p w:rsidR="0026452D" w:rsidRDefault="0026452D" w:rsidP="0026452D">
      <w:pPr>
        <w:pStyle w:val="Extracto"/>
      </w:pPr>
      <w:r>
        <w:t>9.</w:t>
      </w:r>
      <w:r>
        <w:tab/>
        <w:t>Doctrina constitucional sobre los requisitos de la legislación básica en materia de contaminación del suelo (STC 104/2013) [FJ 4].</w:t>
      </w:r>
    </w:p>
    <w:p w:rsidR="0026452D" w:rsidRDefault="0026452D" w:rsidP="0026452D">
      <w:pPr>
        <w:pStyle w:val="Extracto"/>
      </w:pPr>
    </w:p>
    <w:p w:rsidR="0026452D" w:rsidRDefault="0026452D" w:rsidP="0026452D">
      <w:pPr>
        <w:pStyle w:val="Extracto"/>
      </w:pPr>
      <w:r>
        <w:t>10.</w:t>
      </w:r>
      <w:r>
        <w:tab/>
        <w:t>No existe ningún mandato legal que exija que una Directiva comunitaria deba ser transpuesta a través de un determinado instrumento normativo, por lo que siendo la ‘ley de acompañamiento’ una ley ordinaria que emana de las Cortes Generales, puede entrar a regular cualquier materia no expresamente asignada a otro tipo legislativo, y es que, del bloque de la constitucionalidad no se deriva impedimento para que se puedan aprobar ‘leyes transversales’, ni óbice que impida o limite la incorporación a un solo texto legislativo de multitud de medidas normativas de carácter heterogéneo (SSTC 136/2011, 36/2013) [FJ 5].</w:t>
      </w:r>
    </w:p>
    <w:p w:rsidR="0026452D" w:rsidRDefault="0026452D" w:rsidP="0026452D">
      <w:pPr>
        <w:pStyle w:val="Extracto"/>
      </w:pPr>
    </w:p>
    <w:p w:rsidR="0026452D" w:rsidRDefault="0026452D" w:rsidP="0026452D">
      <w:pPr>
        <w:pStyle w:val="Extracto"/>
      </w:pPr>
      <w:r>
        <w:t>11.</w:t>
      </w:r>
      <w:r>
        <w:tab/>
        <w:t>Cuando por razón de la materia del proyecto de ley pueda corresponder, en principio, a varias comisiones, se encomendará a aquélla que sea de la competencia principal de una de ellas, tratándose de una decisión de mera oportunidad parla</w:t>
      </w:r>
      <w:r>
        <w:lastRenderedPageBreak/>
        <w:t>mentaria que, en sí mismo, no conlleva merma alguna de los principios constitucionales que han de informar el procedimiento legislativo en cuanto procedimiento de la formación de la voluntad del órgano (SSTC 102/2012, 36/2013) [FJ 5].</w:t>
      </w:r>
    </w:p>
    <w:p w:rsidR="0026452D" w:rsidRDefault="0026452D" w:rsidP="0026452D">
      <w:pPr>
        <w:pStyle w:val="Extracto"/>
      </w:pPr>
    </w:p>
    <w:p w:rsidR="0026452D" w:rsidRDefault="0026452D" w:rsidP="0026452D">
      <w:pPr>
        <w:pStyle w:val="Extracto"/>
      </w:pPr>
      <w:r>
        <w:t>12.</w:t>
      </w:r>
      <w:r>
        <w:tab/>
        <w:t>Doctrina constitucional sobre el respeto al principio de seguridad jurídica por las leyes de acompañamiento pese a su carácter heterogéneo (SSTC 136/2011, 36/2013) [FJ 5].</w:t>
      </w:r>
    </w:p>
    <w:p w:rsidR="0026452D" w:rsidRDefault="0026452D" w:rsidP="0026452D">
      <w:pPr>
        <w:pStyle w:val="Extracto"/>
      </w:pPr>
    </w:p>
    <w:p w:rsidR="0026452D" w:rsidRDefault="0026452D" w:rsidP="0026452D">
      <w:pPr>
        <w:pStyle w:val="Extracto"/>
      </w:pPr>
      <w:r>
        <w:t>13.</w:t>
      </w:r>
      <w:r>
        <w:tab/>
        <w:t>Doctrina sobre el control de constitucionalidad de las leyes que debe ejercer el Tribunal Constitucional en lo que afecta a la vulneración de la prohibición de arbitrariedad, ex art. 9.3 CE (SSTC 149/2006, 102/2012) [FJ 5].</w:t>
      </w:r>
    </w:p>
    <w:p w:rsidR="0026452D" w:rsidRDefault="0026452D" w:rsidP="0026452D">
      <w:pPr>
        <w:pStyle w:val="Extracto"/>
      </w:pPr>
    </w:p>
    <w:p w:rsidR="0026452D" w:rsidRDefault="0026452D" w:rsidP="0026452D">
      <w:pPr>
        <w:pStyle w:val="Extracto"/>
      </w:pPr>
      <w:r>
        <w:t>14.</w:t>
      </w:r>
      <w:r>
        <w:tab/>
        <w:t>Doctrina sobre la transposición de la Directiva marco del agua mediante ‘ley de acompañamiento’ (STC 36/2013) [FJ 5].</w:t>
      </w:r>
    </w:p>
    <w:p w:rsidR="0026452D" w:rsidRDefault="0026452D" w:rsidP="0026452D">
      <w:pPr>
        <w:pStyle w:val="Extracto"/>
      </w:pPr>
    </w:p>
    <w:p w:rsidR="0026452D" w:rsidRDefault="0026452D" w:rsidP="0026452D">
      <w:pPr>
        <w:pStyle w:val="Extracto"/>
      </w:pPr>
      <w:r>
        <w:t>15.</w:t>
      </w:r>
      <w:r>
        <w:tab/>
        <w:t>Desaparecida la regulación del modelo de cogestión de los parques nacionales en la legislación estatal, es manifiesto que ha desaparecido la controversia competencial a la que daba lugar resultando improcedente un pronunciamiento al respecto por parte de este Tribunal que sólo está llamado a dirimir controversias competenciales en la medida en que estén aún vivas (SSTC 18/2001, 149/2012)  [FJ 2].</w:t>
      </w:r>
    </w:p>
    <w:p w:rsidR="0026452D" w:rsidRDefault="0026452D" w:rsidP="0026452D">
      <w:pPr>
        <w:pStyle w:val="Extracto"/>
      </w:pPr>
    </w:p>
    <w:p w:rsidR="0026452D" w:rsidRDefault="0026452D" w:rsidP="0026452D">
      <w:pPr>
        <w:pStyle w:val="Extracto"/>
      </w:pPr>
      <w:r>
        <w:t>16.</w:t>
      </w:r>
      <w:r>
        <w:tab/>
        <w:t xml:space="preserve">Doctrina constitucional sobre el </w:t>
      </w:r>
      <w:r w:rsidRPr="0026452D">
        <w:rPr>
          <w:i/>
        </w:rPr>
        <w:t>ius superveniens</w:t>
      </w:r>
      <w:r>
        <w:t xml:space="preserve"> (STC 1/2011)  [FJ 2].</w:t>
      </w:r>
    </w:p>
    <w:p w:rsidR="0026452D" w:rsidRDefault="0026452D" w:rsidP="0026452D">
      <w:pPr>
        <w:pStyle w:val="Extracto"/>
      </w:pPr>
    </w:p>
    <w:p w:rsidR="0026452D" w:rsidRDefault="0026452D" w:rsidP="0026452D">
      <w:pPr>
        <w:pStyle w:val="Extracto"/>
      </w:pPr>
      <w:r>
        <w:t>17.</w:t>
      </w:r>
      <w:r>
        <w:tab/>
        <w:t>Doctrina constitucional sobre la pérdida sobrevenida de objeto por modificación de la norma en el recurso de inconstitucionalidad  [FJ 2].</w:t>
      </w:r>
    </w:p>
    <w:p w:rsidR="0026452D" w:rsidRDefault="0026452D" w:rsidP="0026452D">
      <w:pPr>
        <w:pStyle w:val="Extracto"/>
      </w:pPr>
    </w:p>
    <w:p w:rsidR="0026452D" w:rsidRDefault="0026452D" w:rsidP="0026452D">
      <w:pPr>
        <w:pStyle w:val="Extracto"/>
      </w:pPr>
      <w:r>
        <w:t>18.</w:t>
      </w:r>
      <w:r>
        <w:tab/>
        <w:t>Doctrina constitucional sobre la pervivencia o pérdida del objeto pese a la modificación o derogación de la norma en recursos de inconstitucionalidad de carácter competencial según deba considerarse o no subsistente la disputa competencial (SSTC 133/2012, 149/2012)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inconstitucionalidad núm. 2144-2004, interpuesto por el Gobierno de Aragón, representado por el Letrado de la Comunidad Autónoma, contra los arts. 126.1, 2 y 3; 127.3 y 4; 128.2 y 129 de la Ley 62/2003, de 30 de diciembre, de medidas fiscales, administrativas y del orden social. Ha comparecido y formulado alegaciones el Abogado del Estado. Ha sido Ponente el Presidente don Pascual Sala Sánchez,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día 4 de febrero de 2004 tuvo entrada en el Registro General de este Tribunal Constitucional, escrito del Letrado de la Comunidad Autónoma de Aragón por el que, en nombre y representación de la misma, interpone recurso de inconstitucionalidad contra los arts. 126.1, 2 y 3; 127.3 y 4; 128.2 y 129 de la Ley 62/2003, de 30 de diciembre, de medidas fiscales, administrativas y del orden social.</w:t>
      </w:r>
    </w:p>
    <w:p w:rsidR="0026452D" w:rsidRDefault="0026452D" w:rsidP="0026452D">
      <w:pPr>
        <w:pStyle w:val="TextoNormal"/>
      </w:pPr>
    </w:p>
    <w:p w:rsidR="0026452D" w:rsidRDefault="0026452D" w:rsidP="0026452D">
      <w:pPr>
        <w:pStyle w:val="TextoNormal"/>
      </w:pPr>
      <w:r>
        <w:t>El art. 126, en sus apartados 1, 2 y 3, se considera inconstitucional en cuanto modifica respectivamente los arts. 22.3, 23.4 y 23 ter de la Ley 4/1989, de 27 de marzo, de conservación de los espacios naturales y de la flora y fauna silvestres. El art. 127, apartados 3 y 4 se impugna en cuanto introduce una nueva disposición adicional —cuarta— en el Real Decreto Legislativo 1302/1986, de 28 de junio, de evaluación de impacto ambiental. El art. 128.2 lo es en cuanto a la modificación del art. 27.4, párrafo segundo de la Ley 10/1998, de 21 de abril, de residuos. Y el art. 129 se recurre en su totalidad en lo que afecta a la modificación del texto refundido de la Ley de aguas, aprobado por Real Decreto Legislativo 1/2001, de 20 de julio.</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al examen de fondo se formula una objeción de carácter general y de orden material, fundamentada en la existencia de irregularidades en el procedimiento legislativo de aprobación de la Ley 62/2003, que derivarían de su tramitación simultánea y paralela, con la tramitación de la propia Ley 61/2003, de aprobación de los presupuestos generales del Estado para 2004, lo que, a juicio del Letrado autonómico determina la infracción de las reglas relativas al ejercicio de la potestad legislativa como función propia de las Cortes Generales (arts. 66.2, 88 y 89 CE), dado el genérico y variado contenido de la denominada “ley de acompañamiento” y su contenido carente de vinculación con la ejecución de los presupuestos generales del Estado. Determina también la existencia de arbitrariedad y la vulneración del principio de seguridad jurídica (arts. 9.1 y 9.3 CE), al producirse por esta vía la modificación de normas que son cabecera de sector del ordenamiento jurídico administrativo, modificaciones que han sido introducidas, además, en momentos diferentes del procedimiento legislativo.</w:t>
      </w:r>
    </w:p>
    <w:p w:rsidR="0026452D" w:rsidRDefault="0026452D" w:rsidP="0026452D">
      <w:pPr>
        <w:pStyle w:val="TextoNormal"/>
      </w:pPr>
    </w:p>
    <w:p w:rsidR="0026452D" w:rsidRDefault="0026452D" w:rsidP="0026452D">
      <w:pPr>
        <w:pStyle w:val="TextoNormal"/>
      </w:pPr>
      <w:r>
        <w:t>La denunciada irregularidad sirve de fundamento a la impugnación del art. 129 de la Ley 62/2003, respecto del cual se afirma que efectúa una amplia modificación del texto refundido de la Ley de aguas, mediante la transposición al ordenamiento jurídico interno de la Directiva 2000/60/CE, de 23 de octubre, del Parlamento Europeo, efectuando una reforma sustantiva de una ley que es cabecera de un sector del ordenamiento jurídico administrativo, en forma no necesaria para la ejecución presupuestaria a la que formalmente debería servir.</w:t>
      </w:r>
    </w:p>
    <w:p w:rsidR="0026452D" w:rsidRDefault="0026452D" w:rsidP="0026452D">
      <w:pPr>
        <w:pStyle w:val="TextoNormal"/>
      </w:pPr>
    </w:p>
    <w:p w:rsidR="0026452D" w:rsidRDefault="0026452D" w:rsidP="0026452D">
      <w:pPr>
        <w:pStyle w:val="TextoNormal"/>
      </w:pPr>
      <w:r>
        <w:t>Los motivos de fondo del recurso de inconstitucionalidad, en relación con cada uno de los preceptos que son objeto del mismo, son los que se recogen a continuación:</w:t>
      </w:r>
    </w:p>
    <w:p w:rsidR="0026452D" w:rsidRDefault="0026452D" w:rsidP="0026452D">
      <w:pPr>
        <w:pStyle w:val="TextoNormal"/>
      </w:pPr>
    </w:p>
    <w:p w:rsidR="0026452D" w:rsidRDefault="0026452D" w:rsidP="0026452D">
      <w:pPr>
        <w:pStyle w:val="TextoNormal"/>
      </w:pPr>
      <w:r>
        <w:t>a) La reforma efectuada por el art. 126.1, 2 y 3, en los arts. 22.3, 23.4 y 23 ter de la Ley 4/1989, de conservación de los espacios naturales y de la flora y fauna silvestres (LCEN), está viciada de inconstitucionalidad por vulnerar las competencias de la Comunidad Autónoma en materia de espacios naturales protegidos (art. 35.1.5 del Estatuto de Autonomía de Aragón: EAAr), la de ejecución de la normativa básica estatal en materia medioambiental (art. 37.3 EAAr) y la potestad de autoorganización implícita en el principio de autonomía, según resulta de los arts. 35.1.1 y 42 EAAr.</w:t>
      </w:r>
    </w:p>
    <w:p w:rsidR="0026452D" w:rsidRDefault="0026452D" w:rsidP="0026452D">
      <w:pPr>
        <w:pStyle w:val="TextoNormal"/>
      </w:pPr>
    </w:p>
    <w:p w:rsidR="0026452D" w:rsidRDefault="0026452D" w:rsidP="0026452D">
      <w:pPr>
        <w:pStyle w:val="TextoNormal"/>
      </w:pPr>
      <w:r>
        <w:t>Tras recordar la interposición por la Comunidad Autónoma de anteriores recursos de inconstitucionalidad contra las sucesivas reformas de la Ley 4/1989, y efectuar un examen de la delimitación competencial en materia de medio ambiente, a la luz de lo señalado en la STC 102/1995, de 26 de junio, afirma el Letrado que la redacción dada por el art. 126.1 al art. 22.3 LCEN, mantiene la gestión conjunta de los parques nacionales e incorpora la previsión de financiación de los mismos a través del organismo autónomo Parques Nacionales, mediante las aportaciones que las Comunidades Autónomas realicen, lo que implica una subordinación de éstas a la Administración estatal, a través de la vinculación de la gestión a una entidad de su Administración institucional, que es contraria a las competencias autonómicas exclusivas en materia de espacios naturales, pues no puede negarse a las Comunidades Autónomas la competencia para la financiación directa del parque nacional como presupuesto de la autonomía en la gestión que tienen competencialmente atribuida.</w:t>
      </w:r>
    </w:p>
    <w:p w:rsidR="0026452D" w:rsidRDefault="0026452D" w:rsidP="0026452D">
      <w:pPr>
        <w:pStyle w:val="TextoNormal"/>
      </w:pPr>
    </w:p>
    <w:p w:rsidR="0026452D" w:rsidRDefault="0026452D" w:rsidP="0026452D">
      <w:pPr>
        <w:pStyle w:val="TextoNormal"/>
      </w:pPr>
      <w:r>
        <w:t>La modificación introducida en el art. 23.4 LCEN, en cuanto mantiene la iniciativa de la constitución como propia del Ministerio de Medio Ambiente, adicionando una regla de funcionamiento que fija la exigencia de una determinada mayoría de quórum para la realización de reuniones y para la adopción de acuerdos, deja en manos de la Administración General del Estado la facultad de constituir la comisión mixta, al atribuirle la iniciativa de su constitución.</w:t>
      </w:r>
    </w:p>
    <w:p w:rsidR="0026452D" w:rsidRDefault="0026452D" w:rsidP="0026452D">
      <w:pPr>
        <w:pStyle w:val="TextoNormal"/>
      </w:pPr>
    </w:p>
    <w:p w:rsidR="0026452D" w:rsidRDefault="0026452D" w:rsidP="0026452D">
      <w:pPr>
        <w:pStyle w:val="TextoNormal"/>
      </w:pPr>
      <w:r>
        <w:t>El art. 23 ter LCEN articula en sus apartados 2, 3 y 5 una previsión específica en el caso de inexistencia de acuerdo entre las Administraciones públicas que comparten la gestión del parque nacional, remitiendo la designación del director al consejo de la red de parques nacionales, introduciendo una facultad resolutoria de la que carece, lo que vulnera la competencia exclusiva de la Comunidad Autónoma para gestionar el parque nacional que se encuentra en su territorio.</w:t>
      </w:r>
    </w:p>
    <w:p w:rsidR="0026452D" w:rsidRDefault="0026452D" w:rsidP="0026452D">
      <w:pPr>
        <w:pStyle w:val="TextoNormal"/>
      </w:pPr>
    </w:p>
    <w:p w:rsidR="0026452D" w:rsidRDefault="0026452D" w:rsidP="0026452D">
      <w:pPr>
        <w:pStyle w:val="TextoNormal"/>
      </w:pPr>
      <w:r>
        <w:t>b) El art. 127.3 y 4, introduce una disposición adicional cuarta en el Real Decreto Legislativo 1302/1986, de 28 de junio, de evaluación de impacto ambiental, a la que se conecta la modificación de su disposición final tercera. La modificación introducida identifica la “evaluación” del art. 6.3 del Real Decreto 1997/1995 con la evaluación de impacto ambiental, desapoderando así a la Administración de la Comunidad Autónoma de la potestad propia de control de la biodiversidad efectuada mediante la certificación de la afección del proyecto, que se desplaza a la Administración General del Estado a través de su inclusión en la evaluación de impacto ambiental, que corresponde tramitar, en forma instrumental, al ór</w:t>
      </w:r>
      <w:r>
        <w:lastRenderedPageBreak/>
        <w:t>gano ambiental de la Administración con competencia material para la aprobación o autorización de un proyecto, ignorándose así la competencia exclusiva de la Comunidad Autónoma en materia de espacios naturales. La absorción por el Estado de la “evaluación” de la afección de los proyectos y planes a ejecutar en una zona de especial conservación o en una zona de especial protección para las aves, a través del trámite de evaluación de impacto ambiental, negando que aquella sea una actividad de gestión propia e inherente a dicho espacio natural, contraviene el reparto competencial en la materia, dado que no existe una identidad entre ambas técnicas que permita, como pretende el Estado, absorber en el trámite de evaluación de impacto ambiental, la técnica a aplicar para efectuar el control de la conservación de los hábitats, que se prevé en el art. 6.3 del Real Decreto 1997/1995.</w:t>
      </w:r>
    </w:p>
    <w:p w:rsidR="0026452D" w:rsidRDefault="0026452D" w:rsidP="0026452D">
      <w:pPr>
        <w:pStyle w:val="TextoNormal"/>
      </w:pPr>
    </w:p>
    <w:p w:rsidR="0026452D" w:rsidRDefault="0026452D" w:rsidP="0026452D">
      <w:pPr>
        <w:pStyle w:val="TextoNormal"/>
      </w:pPr>
      <w:r>
        <w:t xml:space="preserve">c) El art. 128.2, modifica el párrafo segundo del art. 27.4 de la Ley 10/1998, de residuos, y atribuye </w:t>
      </w:r>
      <w:r w:rsidRPr="0026452D">
        <w:rPr>
          <w:i/>
        </w:rPr>
        <w:t>ex novo</w:t>
      </w:r>
      <w:r>
        <w:t xml:space="preserve"> al Consejo de Ministros la competencia para fijar el contenido de la evaluación preliminar, previa a la remisión a la Administración autonómica de los informes periódicos de situación en los que figuren datos relativos a los criterios que sirven de base para la fijación de los suelos contaminados.</w:t>
      </w:r>
    </w:p>
    <w:p w:rsidR="0026452D" w:rsidRDefault="0026452D" w:rsidP="0026452D">
      <w:pPr>
        <w:pStyle w:val="TextoNormal"/>
      </w:pPr>
    </w:p>
    <w:p w:rsidR="0026452D" w:rsidRDefault="0026452D" w:rsidP="0026452D">
      <w:pPr>
        <w:pStyle w:val="TextoNormal"/>
      </w:pPr>
      <w:r>
        <w:t>Considera el representante procesal autonómico que el precepto viene a ampliar la potestad normativa del Consejo de Ministros a quien se atribuye esta competencia, introduciendo una precisión adicional en relación con el informe de situación, que vulnera el reparto competencial en materia de medio ambiente, pues esa fijación de criterios que se atribuye al Consejo de Ministros y que determina el contenido del informe cuya emisión se impone a los propietarios o titulares de los terrenos potencialmente contaminados, constituye un acto de mera gestión que va más allá de lo básico en materia de protección del medio ambiente, y limita la competencia de la Comunidad Autónoma para declarar, delimitar, inventariar y elaborar una lista de prioridades de actuación sobre la base de los datos que considere que deba suministrar el propietario.</w:t>
      </w:r>
    </w:p>
    <w:p w:rsidR="0026452D" w:rsidRDefault="0026452D" w:rsidP="0026452D">
      <w:pPr>
        <w:pStyle w:val="TextoNormal"/>
      </w:pPr>
    </w:p>
    <w:p w:rsidR="0026452D" w:rsidRDefault="0026452D" w:rsidP="0026452D">
      <w:pPr>
        <w:pStyle w:val="TextoNormal"/>
      </w:pPr>
      <w:r>
        <w:t>d) En lo que respecta a la impugnación dirigida contra el art. 129, el Letrado del Gobierno de Aragón se limita a reiterar los argumentos ya expuestos, en relación con la inadecuación del instrumento normativo de la ley de “acompañamiento” para efectuar la transposición de la Directiva 2000/60/CE, alegando, además, la ausencia del preceptivo dictamen del Consejo de Estado. Se añade, a lo ya señalado, la utilización fraudulenta y contraria al principio de seguridad jurídica, de la ley de medidas, para efectuar, mediante la introducción del concepto de “demarcación hidrográfica”, como unidad de gestión y planificación hidrológica, una modificación sustancial de las disposiciones legales vigentes en materia de aguas.</w:t>
      </w:r>
    </w:p>
    <w:p w:rsidR="0026452D" w:rsidRDefault="0026452D" w:rsidP="0026452D">
      <w:pPr>
        <w:pStyle w:val="TextoNormal"/>
      </w:pPr>
    </w:p>
    <w:p w:rsidR="0026452D" w:rsidRDefault="0026452D" w:rsidP="0026452D">
      <w:pPr>
        <w:pStyle w:val="TextoNormal"/>
      </w:pPr>
      <w:r w:rsidRPr="0026452D">
        <w:rPr>
          <w:rStyle w:val="NumeroAFNegritaCaracter"/>
        </w:rPr>
        <w:t>3</w:t>
      </w:r>
      <w:r>
        <w:t>. Este Tribunal, mediante providencia de la Sección Cuarta de 27 de abril de 2004, admitió a trámite el recurso de inconstitucionalidad promovido por el Gobierno de Aragón, acordando dar traslado de las actuaciones, conforme establece el art. 34 de la Ley Orgánica del Tribunal Constitucional, al Congreso de los Diputados y al Senado, por conducto de sus Presidentes, y al Gobierno de la Nación a través del Ministerio de Justicia, al objeto de que en el plazo de quince días, pudieran personarse en el proceso y formular las alegaciones que estimaran, así como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Por escrito registrado en este Tribunal el 7 de mayo de 2004, se personó el Abogado del Estado y solicitó prórroga del plazo concedido para la presentación del escrito de alegaciones; y por providencia de la Sección Cuarta, de 11 de mayo de 2004, se acordó tenerle </w:t>
      </w:r>
      <w:r>
        <w:lastRenderedPageBreak/>
        <w:t>por personado y conceder una prórroga de ocho días más al plazo concedido para formular alegaciones.</w:t>
      </w:r>
    </w:p>
    <w:p w:rsidR="0026452D" w:rsidRDefault="0026452D" w:rsidP="0026452D">
      <w:pPr>
        <w:pStyle w:val="TextoNormal"/>
      </w:pPr>
    </w:p>
    <w:p w:rsidR="0026452D" w:rsidRDefault="0026452D" w:rsidP="0026452D">
      <w:pPr>
        <w:pStyle w:val="TextoNormal"/>
      </w:pPr>
      <w:r w:rsidRPr="0026452D">
        <w:rPr>
          <w:rStyle w:val="NumeroAFNegritaCaracter"/>
        </w:rPr>
        <w:t>5</w:t>
      </w:r>
      <w:r>
        <w:t>. El Presidente del Senado, mediante escrito recibido el 12 de mayo de 2004, comunicó que la Cámara se personaba en el proceso, ofreciendo su colaboración.</w:t>
      </w:r>
    </w:p>
    <w:p w:rsidR="0026452D" w:rsidRDefault="0026452D" w:rsidP="0026452D">
      <w:pPr>
        <w:pStyle w:val="TextoNormal"/>
      </w:pPr>
    </w:p>
    <w:p w:rsidR="0026452D" w:rsidRDefault="0026452D" w:rsidP="0026452D">
      <w:pPr>
        <w:pStyle w:val="TextoNormal"/>
      </w:pPr>
      <w:r w:rsidRPr="0026452D">
        <w:rPr>
          <w:rStyle w:val="NumeroAFNegritaCaracter"/>
        </w:rPr>
        <w:t>6</w:t>
      </w:r>
      <w:r>
        <w:t>. El Presidente del Congreso de los Diputados, mediante escrito registrado en este Tribunal el 14 de mayo de 2004, comunicó el acuerdo de la Mesa de la Cámara, de no personarse en el proceso.</w:t>
      </w:r>
    </w:p>
    <w:p w:rsidR="0026452D" w:rsidRDefault="0026452D" w:rsidP="0026452D">
      <w:pPr>
        <w:pStyle w:val="TextoNormal"/>
      </w:pPr>
    </w:p>
    <w:p w:rsidR="0026452D" w:rsidRDefault="0026452D" w:rsidP="0026452D">
      <w:pPr>
        <w:pStyle w:val="TextoNormal"/>
      </w:pPr>
      <w:r w:rsidRPr="0026452D">
        <w:rPr>
          <w:rStyle w:val="NumeroAFNegritaCaracter"/>
        </w:rPr>
        <w:t>7</w:t>
      </w:r>
      <w:r>
        <w:t>. En fecha 21 de mayo de 2004, tuvo entrada en este Tribunal escrito de alegaciones del Abogado del Estado, en el que solicita se tenga por evacuado el trámite conferido y, en su día, se dicte Sentencia desestimatoria del presente recurso en todos sus extremos.</w:t>
      </w:r>
    </w:p>
    <w:p w:rsidR="0026452D" w:rsidRDefault="0026452D" w:rsidP="0026452D">
      <w:pPr>
        <w:pStyle w:val="TextoNormal"/>
      </w:pPr>
    </w:p>
    <w:p w:rsidR="0026452D" w:rsidRDefault="0026452D" w:rsidP="0026452D">
      <w:pPr>
        <w:pStyle w:val="TextoNormal"/>
      </w:pPr>
      <w:r>
        <w:t>a) El representante estatal se refiere, en primer término, a la naturaleza de las leyes de acompañamiento, señalando al respecto que el art. 134 CE sólo impone límites a las leyes de presupuestos, por lo que la denominada ley de acompañamiento, en cuanto ley ordinaria, siempre que haya cumplido el procedimiento establecido en los Reglamentos de las Cámaras puede, en principio, abarcar cualquier materia, pues el legislador goza de libertad para determinar su concreto contenido normativo. Afirma también que, salvo determinados casos que puedan resultar notoriamente graves, las cuestiones de técnica legislativa son ajenas a este Tribunal, dado que no constituyen tachas de inconstitucionalidad, por lo que no le corresponde pronunciarse sobre la perfección técnica de las leyes (SSTC 146/1993, 195/1996 y 273/2000).</w:t>
      </w:r>
    </w:p>
    <w:p w:rsidR="0026452D" w:rsidRDefault="0026452D" w:rsidP="0026452D">
      <w:pPr>
        <w:pStyle w:val="TextoNormal"/>
      </w:pPr>
    </w:p>
    <w:p w:rsidR="0026452D" w:rsidRDefault="0026452D" w:rsidP="0026452D">
      <w:pPr>
        <w:pStyle w:val="TextoNormal"/>
      </w:pPr>
      <w:r>
        <w:t>En cuanto a la alegada vulneración del principio de seguridad jurídica, afirma que éste solo se produce en supuestos en que el contenido o las omisiones del texto normativo produjeran tal confusión y dudas en sus destinatarios que generasen una evidente incertidumbre insuperable acerca de la conducta exigible para su cumplimiento o sobre la previsibilidad de sus efectos (STC 212/1996), lo que no se produce en el supuesto examinado. La técnica legislativa de incorporar normas ajenas al contenido propio de un texto legislativo no es exclusiva de las leyes de acompañamiento, y sólo podría considerarse contraria al principio de seguridad jurídica cuando no exista una justificación suficiente y suponga un cambio legislativo tan severo que afecte al sistema o subsistema en cuyo seno pretendan desarrollar su eficacia y, además, si sus efectos se despliegan en un sector importante del ordenamiento, premisas que no concurren en la Ley impugnada.</w:t>
      </w:r>
    </w:p>
    <w:p w:rsidR="0026452D" w:rsidRDefault="0026452D" w:rsidP="0026452D">
      <w:pPr>
        <w:pStyle w:val="TextoNormal"/>
      </w:pPr>
    </w:p>
    <w:p w:rsidR="0026452D" w:rsidRDefault="0026452D" w:rsidP="0026452D">
      <w:pPr>
        <w:pStyle w:val="TextoNormal"/>
      </w:pPr>
      <w:r>
        <w:t xml:space="preserve">b) En relación con la impugnación dirigida contra el art. 126.1, 2 y 3, considera el Abogado del Estado que las intervenciones estatales previstas en la nueva redacción dada a los arts. 22.3, 23.4 y 23 ter de la Ley 4/1989, de conservación de los espacios naturales y de la flora y fauna silvestres, están justificadas por el carácter supraautonómico del fenómeno objeto de la competencia, que no hace posible el fraccionamiento de la actividad pública ejercida sobre ella y requiere un alto grado de homogeneidad, lo que hace necesario recurrir a la intervención de un “ente supraordenado de capacidad de intereses contrapuestos de sus componentes parciales”, en los términos del fundamento jurídico 8 de la STC 102/1995, estando garantizada la competencia de las Comunidades Autónomas a través de su intervención en los órganos mixtos de composición paritaria, que tienen atribuida la gestión y </w:t>
      </w:r>
      <w:r>
        <w:lastRenderedPageBreak/>
        <w:t>administración de cada uno de los parques nacionales y la coordinación del conjunto de la red estatal.</w:t>
      </w:r>
    </w:p>
    <w:p w:rsidR="0026452D" w:rsidRDefault="0026452D" w:rsidP="0026452D">
      <w:pPr>
        <w:pStyle w:val="TextoNormal"/>
      </w:pPr>
    </w:p>
    <w:p w:rsidR="0026452D" w:rsidRDefault="0026452D" w:rsidP="0026452D">
      <w:pPr>
        <w:pStyle w:val="TextoNormal"/>
      </w:pPr>
      <w:r>
        <w:t>c) En relación con el art. 127.3 y 4, señala el representante estatal que las certificaciones que son objeto del precepto impugnado traen causa de la habilitación contenida en el art. 6.3 del Real Decreto 1997/1995, de 7 de diciembre, por el que se establecen medidas para contribuir a garantizar la biodiversidad y mediante el cual se transpone parcialmente a nuestro ordenamiento interno la Directiva 92/43/CEE, del Consejo, de 21 de mayo. El Ministerio de Medio Ambiente ha venido expidiendo dichas certificaciones y declarando en cada caso que el proyecto objeto de evaluación no tendrá efectos negativos apreciables en los lugares incluidos en la red ecológica europea. Dicha declaración se realiza en el ámbito de un procedimiento de solicitud de fondos de cohesión europeos, cuya finalidad inmediata es la obtención de financiación del proyecto y la mediata la realización de la obra, entre cuyas condiciones se encuentra acreditar ante las autoridades comunitarias que el proyecto o la obra son respetuosos con las zonas incluidas en la Red Natura 2000. Tal declaración no supone el ejercicio de competencias ni en materia de medio ambiente ni de espacios naturales protegidos, sino de una competencia a la que están anudados el proyecto u obra pública concretos que se pretende ejecutar por la Administración que la tiene atribuida (STC 13/1998), por lo que la Administración estatal, en estos supuestos, está ejerciendo competencias propias sustantivas y no ejecutando legislación básica sobre medio ambiente o aprobando intervenciones administrativas que tienen como finalidad inmediata la protección del medio ambiente o la gestión del espacio natural protegido.</w:t>
      </w:r>
    </w:p>
    <w:p w:rsidR="0026452D" w:rsidRDefault="0026452D" w:rsidP="0026452D">
      <w:pPr>
        <w:pStyle w:val="TextoNormal"/>
      </w:pPr>
    </w:p>
    <w:p w:rsidR="0026452D" w:rsidRDefault="0026452D" w:rsidP="0026452D">
      <w:pPr>
        <w:pStyle w:val="TextoNormal"/>
      </w:pPr>
      <w:r>
        <w:t>d) En relación con el art. 128.2, considera el Abogado del Estado que la modificación del apartado 4 del art. 27 de la Ley de residuos, relativo a la declaración de suelos contaminados, supone el ejercicio de una competencia normativa y no ejecutiva, pues entra dentro del mínimo normativo que corresponde fijar al Estado en materia de medio ambiente, el contenido de la evaluación, que deberá ser sustancialmente la misma en todo el territorio nacional. El texto impugnado no impide que las Comunidades Autónomas, sin perjuicio de que sean oídas, puedan ampliar, mejorar y desarrollar aquél, siempre que respeten el mínimo común establecido por el Consejo de Ministros y justificado por la necesidad del tratamiento homogéneo de los datos de la evaluación a nivel nacional.</w:t>
      </w:r>
    </w:p>
    <w:p w:rsidR="0026452D" w:rsidRDefault="0026452D" w:rsidP="0026452D">
      <w:pPr>
        <w:pStyle w:val="TextoNormal"/>
      </w:pPr>
    </w:p>
    <w:p w:rsidR="0026452D" w:rsidRDefault="0026452D" w:rsidP="0026452D">
      <w:pPr>
        <w:pStyle w:val="TextoNormal"/>
      </w:pPr>
      <w:r>
        <w:t>e) Considera el representante estatal que, las alegaciones relativas al art. 129, se ciñen a la adecuación del instrumento de la denominada ley de acompañamiento para transponer a nuestro ordenamiento la Directiva 2000/60/CEE, por la que se establece un marco comunitario de actuación en la política de aguas, por lo que se remite a las alegaciones ya realizadas, afirmando que las modificaciones realizadas al Real Decreto Legislativo 1/2002, de 20 de julio, son singularizadas y no suponen un cambio sistemático ni total de una ley de cabecera en un sector del ordenamiento jurídico como es la regulación de las aguas continentales, pues la única innovación esencial es el primer apartado, que establece el concepto de “demarcación hidrográfica”, que está solamente referida a la determinación de las demarcaciones hidrográficas en tanto que unidades de gestión de las cuencas de competencia estatal y de los organismos estatales de cuenca, es decir, cuando la cuenca propiamente dicha excede del ámbito de una Comunidad Autónoma.</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7 de mayo de 2013 se acordó señalar para deliberación y votación de la presente Sentencia el día 9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interpone por el Gobierno de Aragón frente a diversos preceptos de la Ley 62/2003, de 30 de diciembre, de medidas fiscales, administrativas y del orden social. En concreto, se impugnan: el arts. 126 en sus apartados 1, 2 y 3, en cuanto modifica respectivamente los arts. 22.3, 23.4 y 23 ter de la Ley 4/1989, de 27 de marzo, de conservación de los espacios naturales y de la flora y fauna silvestres; el art. 127.3 y 4, que introduce una nueva disposición adicional —cuarta— en el Real Decreto Legislativo 1302/1986, de 28 de junio, de evaluación de impacto ambiental; el art. 128.2, en cuanto a la modificación del art. 27.4, párrafo segundo de la Ley 10/1998, de 21 de abril, de residuos; y el art. 129 se recurre en su totalidad en lo que afecta a la modificación del texto refundido de la Ley de aguas, aprobado por Real Decreto Legislativo 1/2001, de 20 de julio.</w:t>
      </w:r>
    </w:p>
    <w:p w:rsidR="0026452D" w:rsidRDefault="0026452D" w:rsidP="0026452D">
      <w:pPr>
        <w:pStyle w:val="TextoNormal"/>
      </w:pPr>
    </w:p>
    <w:p w:rsidR="0026452D" w:rsidRDefault="0026452D" w:rsidP="0026452D">
      <w:pPr>
        <w:pStyle w:val="TextoNormal"/>
      </w:pPr>
      <w:r>
        <w:t xml:space="preserve">Considera la Comunidad Autónoma que la nueva redacción dada por el art. 126 de la Ley 62/2003, a los arts. 22.3, 23.4, y 23 ter de la Ley 4/1989, de 27 de marzo, de conservación de los espacios naturales y de la flora y fauna silvestres, vulnera las competencias que corresponden a la misma en materia de medio ambiente y de espacios naturales, </w:t>
      </w:r>
      <w:r w:rsidRPr="0026452D">
        <w:rPr>
          <w:i/>
        </w:rPr>
        <w:t>ex</w:t>
      </w:r>
      <w:r>
        <w:t xml:space="preserve"> art. 149.1.23 CE y arts. 37.3 y 35.15 del Estatuto de Autonomía de Aragón (EAAr), así como la potestad de autoorganización que resulta de lo dispuesto en los arts. 35.1.1 y 42 del Estatuto de Autonomía.</w:t>
      </w:r>
    </w:p>
    <w:p w:rsidR="0026452D" w:rsidRDefault="0026452D" w:rsidP="0026452D">
      <w:pPr>
        <w:pStyle w:val="TextoNormal"/>
      </w:pPr>
    </w:p>
    <w:p w:rsidR="0026452D" w:rsidRDefault="0026452D" w:rsidP="0026452D">
      <w:pPr>
        <w:pStyle w:val="TextoNormal"/>
      </w:pPr>
      <w:r>
        <w:t>El art. 127.3 y 4 ignora la competencia autonómica exclusiva en materia de espacios naturales (art. 35.15 EAAr), y el art. 128 excede de las competencias básicas del Estado en materia de medio ambiente (art. 149.1.23 CE) e infringe las que corresponden a la Comunidad Autónoma en materia de gestión medioambiental. La impugnación dirigida contra el art. 129 se fundamenta en la inadecuación del instrumento normativo de la ley de “acompañamiento” para efectuar la transposición de la Directiva 2000/60/CE, lo que determina la infracción de las reglas constitucionales relativas al ejercicio de la potestad legislativa (arts. 66.2, 88 y 89 CE) y da lugar a la existencia de arbitrariedad y a la vulneración del principio de seguridad jurídica (art. 9.3 CE).</w:t>
      </w:r>
    </w:p>
    <w:p w:rsidR="0026452D" w:rsidRDefault="0026452D" w:rsidP="0026452D">
      <w:pPr>
        <w:pStyle w:val="TextoNormal"/>
      </w:pPr>
    </w:p>
    <w:p w:rsidR="0026452D" w:rsidRDefault="0026452D" w:rsidP="0026452D">
      <w:pPr>
        <w:pStyle w:val="TextoNormal"/>
      </w:pPr>
      <w:r>
        <w:t>El Abogado del Estado defiende, por el contrario, la constitucionalidad de los preceptos impugnados, rechazando, por los motivos que se resumen en los antecedentes de esta Sentencia, la vulneración de los títulos competenciales alegados por el Letrado autonómico.</w:t>
      </w:r>
    </w:p>
    <w:p w:rsidR="0026452D" w:rsidRDefault="0026452D" w:rsidP="0026452D">
      <w:pPr>
        <w:pStyle w:val="TextoNormal"/>
      </w:pPr>
    </w:p>
    <w:p w:rsidR="0026452D" w:rsidRDefault="0026452D" w:rsidP="0026452D">
      <w:pPr>
        <w:pStyle w:val="TextoNormal"/>
      </w:pPr>
      <w:r w:rsidRPr="0026452D">
        <w:rPr>
          <w:rStyle w:val="NumeroAFNegritaCaracter"/>
        </w:rPr>
        <w:t>2</w:t>
      </w:r>
      <w:r>
        <w:t>. Una vez expuestas sintéticamente las posiciones de las partes que se enfrentan en este recurso, resulta conveniente realizar algunas precisiones de orden procesal, antes de proceder al examen de la cuestión de fondo.</w:t>
      </w:r>
    </w:p>
    <w:p w:rsidR="0026452D" w:rsidRDefault="0026452D" w:rsidP="0026452D">
      <w:pPr>
        <w:pStyle w:val="TextoNormal"/>
      </w:pPr>
    </w:p>
    <w:p w:rsidR="0026452D" w:rsidRDefault="0026452D" w:rsidP="0026452D">
      <w:pPr>
        <w:pStyle w:val="TextoNormal"/>
      </w:pPr>
      <w:r>
        <w:t xml:space="preserve">En primer lugar, es preciso señalar que, con posterioridad a la interposición del presente recurso, se ha producido la reforma del Estatuto de Autonomía de Aragón llevada a cabo por la Ley Orgánica 5/2007, de 20 de abril, norma estatutaria que constituye parámetro de control del presente conflicto, en aplicación de nuestra doctrina sobre el </w:t>
      </w:r>
      <w:r w:rsidRPr="0026452D">
        <w:rPr>
          <w:i/>
        </w:rPr>
        <w:t>ius superveniens</w:t>
      </w:r>
      <w:r>
        <w:t xml:space="preserve">, conforme a la cual “el control de las normas que incurren en un posible exceso competencial </w:t>
      </w:r>
      <w:r>
        <w:lastRenderedPageBreak/>
        <w:t>debe hacerse de acuerdo a las normas del bloque de la constitucionalidad vigentes al momento de dictar Sentencia” (STC 1/2011, de 14 de febrero, FJ 2 y doctrina allí citada).</w:t>
      </w:r>
    </w:p>
    <w:p w:rsidR="0026452D" w:rsidRDefault="0026452D" w:rsidP="0026452D">
      <w:pPr>
        <w:pStyle w:val="TextoNormal"/>
      </w:pPr>
    </w:p>
    <w:p w:rsidR="0026452D" w:rsidRDefault="0026452D" w:rsidP="0026452D">
      <w:pPr>
        <w:pStyle w:val="TextoNormal"/>
      </w:pPr>
      <w:r>
        <w:t>En segundo lugar, durante la pendencia de este proceso han tenido lugar también modificaciones normativas que afectan a las cuestiones que debemos resolver aquí. Puesto que del examen de la demanda se deduce con claridad que nos encontramos ante un recurso de inconstitucionalidad de carácter fundamentalmente competencial, la cuestión ha de ser examinada a la luz de lo que este Tribunal ha afirmado reiteradamente, en el sentido de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jurídico, cuanto determinar si con esa expulsión ha cesado o no la controversia competencial, toda vez que poner fin a la misma a la luz del orden constitucional de reparto de competencias es el fin último al que sirven tales procesos” [por todas, STC 149/2012, de 5 de junio, FJ 2 b)]; de modo que si la normativa en torno a la cual se trabó el conflicto resulta parcialmente modificada por otra que viene a plantear los mismos problemas competenciales la consecuencia será la no desaparición del objeto del conflicto (por todas, STC 133/2012, de 19 de junio, FJ 2). En aplicación de estos criterios, será preciso, por tanto, analizar si las modificaciones operadas en las normas recurridas han producido o no la pérdida de objeto del presente proceso constitucional.</w:t>
      </w:r>
    </w:p>
    <w:p w:rsidR="0026452D" w:rsidRDefault="0026452D" w:rsidP="0026452D">
      <w:pPr>
        <w:pStyle w:val="TextoNormal"/>
      </w:pPr>
    </w:p>
    <w:p w:rsidR="0026452D" w:rsidRDefault="0026452D" w:rsidP="0026452D">
      <w:pPr>
        <w:pStyle w:val="TextoNormal"/>
      </w:pPr>
      <w:r>
        <w:t>a) La impugnación dirigida contra el art. 126.1, 2 y 3, en cuanto afecta a los arts. 22.3, 23.4 y 23 ter de la Ley 4/1989, de 27 de marzo, de conservación de los espacios naturales y de la flora y fauna silvestres, se fundamenta por la Comunidad Autónoma en que el modelo de cogestión y financiación previsto para los parques nacionales en los mencionados preceptos, vulnera sus competencias exclusivas en materia de espacios naturales protegidos (art. 71.21 EAAr) y las de desarrollo legislativo y ejecución de la legislación básica estatal en materia de protección del medio ambiente (art. 75.3 EAAr). El art. 126 de la Ley 62/2003 fue objeto de pronunciamiento expreso en la Sentencia 149/2012, de 5 de julio, que examinó dicho precepto en su totalidad, por lo que procede reiterar ahora los aspectos sustanciales de lo allí expuesto, remitiéndonos en lo restante a la detallada argumentación que se efectúa en su fundamento jurídico 2.</w:t>
      </w:r>
    </w:p>
    <w:p w:rsidR="0026452D" w:rsidRDefault="0026452D" w:rsidP="0026452D">
      <w:pPr>
        <w:pStyle w:val="TextoNormal"/>
      </w:pPr>
    </w:p>
    <w:p w:rsidR="0026452D" w:rsidRDefault="0026452D" w:rsidP="0026452D">
      <w:pPr>
        <w:pStyle w:val="TextoNormal"/>
      </w:pPr>
      <w:r>
        <w:t xml:space="preserve">La Ley 4/1989, de 27 de marzo, de conservación de los espacios naturales y de la flora y fauna silvestres ha sido completamente derogada por la Ley 42/2007, de 13 de diciembre, del patrimonio natural y la biodiversidad, pero, además, los arts. 22.3, 23.4 y 23 ter de la Ley 4/1989, objeto del presente recurso, ya fueron derogados, incluso antes, por la Ley 5/2007, de 3 de abril, de la red de parques nacionales. Por este motivo, como señalamos en la STC 149/2012, de 5 de julio, FJ 2, la impugnación “se basaba en la inconstitucionalidad del modelo de cogestión de los parques nacionales y, por tanto, de la regulación de la comisión mixta, de la figura del director-conservador y del sistema previsto de financiación que estaba estrechamente vinculado a la idea de gestión mixta. Desaparecidas estas regulaciones de la legislación estatal (Ley 5/2007, de la red de parques nacionales y Ley 42/2007, del patrimonio natural y de la biodiversidad) es manifiesto que ha desaparecido la controversia competencial a la que daba lugar y que, por tanto, ha desaparecido también el objeto de esta parte del presente recurso”, concluyendo más adelante en el mismo fundamento jurídico que </w:t>
      </w:r>
      <w:r>
        <w:lastRenderedPageBreak/>
        <w:t>“la impugnación del art. 126 de la Ley 62/2003 ha perdido su objeto, resultando improcedente un pronunciamiento al respecto por parte de este Tribunal, que sólo está llamado a dirimir controversias competenciales en la medida en que estén aún vivas (por todas, STC 18/2011, FJ 3), lo que no sucede en el caso de los preceptos señalados tras la derogación de los mismos y su sustitución por una nueva regulación acorde con la pretensión autonómica”. No procede pues, sino hacer extensivos los argumentos señalados al presente supuesto y, en consecuencia, declarar producida la desaparición del objeto del recurso en relación con este precepto.</w:t>
      </w:r>
    </w:p>
    <w:p w:rsidR="0026452D" w:rsidRDefault="0026452D" w:rsidP="0026452D">
      <w:pPr>
        <w:pStyle w:val="TextoNormal"/>
      </w:pPr>
    </w:p>
    <w:p w:rsidR="0026452D" w:rsidRDefault="0026452D" w:rsidP="0026452D">
      <w:pPr>
        <w:pStyle w:val="TextoNormal"/>
      </w:pPr>
      <w:r>
        <w:t>b) El art. 127.3 y 4 viene a añadir una nueva disposición adicional cuarta al Real Decreto Legislativo 1302/1986, de 28 de junio, de evaluación de impacto ambiental, relativa a la “evaluación ambiental de los planes y proyectos estatales previstos en el art. 6 del Real Decreto 1997/1995, de 7 de diciembre”, a la que se conecta la modificación de su disposición final tercera. El art. 127 fue asimismo objeto de examen en STC 149/2012, de 5 de julio, FJ 2, en la que, tras poner de manifiesto que el Real Decreto Legislativo 1302/1986, de 28 de junio ha sido derogado por la disposición derogatoria única a) del Real Decreto Legislativo 1/2008, de 11 de enero, venía a señalar no obstante que “la vigente disposición adicional cuarta del Real Decreto Legislativo 1/2008 sigue atribuyendo a la Administración del Estado la competencia para la realización de la evaluación de los proyectos que puedan afectar de forma apreciable a las zonas de la Red Natura 2000, así como la determinación de las medidas compensatorias que puedan ser necesarias, en relación con los proyectos que deban ser autorizados o aprobados por la propia Administración del Estado, aspecto éste que el Consejo de Gobierno de la Comunidad Autónoma de Andalucía considera contrario al orden constitucional de competencias por invadir las competencias que le corresponden en materia de espacios naturales protegidos y de gestión de la protección medioambiental. El nuevo precepto sigue, por tanto, suscitando la misma controversia, sin que la modificación de la norma recurrida haya producido, en este caso, la pérdida de objeto del recurso”.</w:t>
      </w:r>
    </w:p>
    <w:p w:rsidR="0026452D" w:rsidRDefault="0026452D" w:rsidP="0026452D">
      <w:pPr>
        <w:pStyle w:val="TextoNormal"/>
      </w:pPr>
    </w:p>
    <w:p w:rsidR="0026452D" w:rsidRDefault="0026452D" w:rsidP="0026452D">
      <w:pPr>
        <w:pStyle w:val="TextoNormal"/>
      </w:pPr>
      <w:r>
        <w:t>El anterior planteamiento resulta trasladable en sus propios términos al presente recurso de inconstitucionalidad, dada la coincidencia argumental existente entre aquella impugnación y la que ahora se examina, por lo que la modificación de la norma recurrida no ha producido, en este caso, la pérdida de objeto del recurso.</w:t>
      </w:r>
    </w:p>
    <w:p w:rsidR="0026452D" w:rsidRDefault="0026452D" w:rsidP="0026452D">
      <w:pPr>
        <w:pStyle w:val="TextoNormal"/>
      </w:pPr>
    </w:p>
    <w:p w:rsidR="0026452D" w:rsidRDefault="0026452D" w:rsidP="0026452D">
      <w:pPr>
        <w:pStyle w:val="TextoNormal"/>
      </w:pPr>
      <w:r>
        <w:t>c) Hemos de plantearnos asimismo la pervivencia del recurso en lo que respecta al art. 128.2, que modifica el párrafo segundo del apartado 4 del art. 27 de la Ley 10/1998, de residuos. El mencionado precepto de la Ley 10/1998 venía a establecer que los titulares de actividades potencialmente contaminantes del suelo debían remitir periódicamente a la Comunidad Autónoma correspondiente informes de situación en los que figuren los datos relativos a los criterios que sirvan de base para la declaración de suelos contaminados. La modificación efectuada por la Ley 62/2003 en el citado precepto, viene a disponer que la remisión de los citados informes de situación, se realice por los titulares de actividades potencialmente contaminantes, “tras una evaluación preliminar, cuyo contenido será fijado por el Consejo de Ministros, previa consulta a las Comunidades Autónomas”.</w:t>
      </w:r>
    </w:p>
    <w:p w:rsidR="0026452D" w:rsidRDefault="0026452D" w:rsidP="0026452D">
      <w:pPr>
        <w:pStyle w:val="TextoNormal"/>
      </w:pPr>
    </w:p>
    <w:p w:rsidR="0026452D" w:rsidRDefault="0026452D" w:rsidP="0026452D">
      <w:pPr>
        <w:pStyle w:val="TextoNormal"/>
      </w:pPr>
      <w:r>
        <w:t xml:space="preserve">La Ley 10/1998 fue derogada en su totalidad por la disposición derogatoria única, apartado 1, de la Ley 22/2011, de 28 de julio, de residuos y suelos contaminados, pero, como hemos tenido ocasión de señalar en la reciente STC 104/2013, de 25 de abril, FJ 2, “conviene advertir que el mencionado art. 27 de la Ley 10/1998 fue completado y desarrollado por el </w:t>
      </w:r>
      <w:r>
        <w:lastRenderedPageBreak/>
        <w:t>Real Decreto 9/2005, de 14 de enero, por el que se establece la relación de actividades potencialmente contaminantes del suelo y los criterios y estándares para la declaración de suelos contaminados, norma que no ha resultado afectada por lo dispuesto en la Ley 22/2011. El art. 3 del Real Decreto contempla en sus apartados 1 a 3 los denominados ‘informes preliminares’ de situación (que integran la denominada evaluación preliminar); en los apartados 1 y 2 se determinan las actividades que dan lugar a la remisión por sus titulares del informe preliminar y se fija el alcance y contenido mínimo de éste, así como la obligación de remisión de dicho informe a la Comunidad Autónoma. En el apartado 3 se faculta a la Comunidad Autónoma para recabar informes complementarios, datos o análisis añadidos que, en todo caso, deberán realizarse de acuerdo con los criterios y estándares establecidos en el Real Decreto. Ello implica que, pese a la derogación del art. 27 de la Ley 10/1998, manteniéndose vigente la denominada ‘evaluación’ o ‘informe’ preliminar regulada en el mismo, debe considerarse subsistente la disputa competencial, lo que determina que el recurso no haya perdido objeto en este punto”. También en este supuesto, por tanto, hemos de concluir que no se ha producido la desaparición de la controversia competencial.</w:t>
      </w:r>
    </w:p>
    <w:p w:rsidR="0026452D" w:rsidRDefault="0026452D" w:rsidP="0026452D">
      <w:pPr>
        <w:pStyle w:val="TextoNormal"/>
      </w:pPr>
    </w:p>
    <w:p w:rsidR="0026452D" w:rsidRDefault="0026452D" w:rsidP="0026452D">
      <w:pPr>
        <w:pStyle w:val="TextoNormal"/>
      </w:pPr>
      <w:r>
        <w:t>Señalado lo anterior, podemos concluir que pervive el objeto del recurso en lo que respecta a los arts. 127.3 y 4, 128.2 y 129, sobre los que ha de recaer el presente pronunciamiento.</w:t>
      </w:r>
    </w:p>
    <w:p w:rsidR="0026452D" w:rsidRDefault="0026452D" w:rsidP="0026452D">
      <w:pPr>
        <w:pStyle w:val="TextoNormal"/>
      </w:pPr>
    </w:p>
    <w:p w:rsidR="0026452D" w:rsidRDefault="0026452D" w:rsidP="0026452D">
      <w:pPr>
        <w:pStyle w:val="TextoNormal"/>
      </w:pPr>
      <w:r w:rsidRPr="0026452D">
        <w:rPr>
          <w:rStyle w:val="NumeroAFNegritaCaracter"/>
        </w:rPr>
        <w:t>3</w:t>
      </w:r>
      <w:r>
        <w:t>. Una vez delimitado el objeto del recurso en los términos expuestos, hemos de comenzar nuestro examen por lo dispuesto en el art. 127.3 y 4, en cuanto añade una disposición adicional cuarta al Real Decreto Legislativo 1302/1986, de 28 de junio, de evaluación de impacto ambiental, relativa a la “evaluación ambiental de los planes y proyectos estatales previstos en el art. 6 del Real Decreto 1997/1995, de 7 de diciembre”, a la que se conecta la modificación de su disposición adicional tercera. Considera al respecto la Comunidad Autónoma que el Estado carece de título competencial suficiente para negar a la Comunidad Autónoma —mediante la práctica de la evaluación prevista en el art. 6.3 del Real Decreto 1997/1995— el ejercicio de su potestad de control de la afección al hábitat de los proyectos a ejecutar en las zonas de especial conservación y en las zonas especial protección para las aves, como espacios protegidos de titularidad autonómica (art. 21.21 EAAr).</w:t>
      </w:r>
    </w:p>
    <w:p w:rsidR="0026452D" w:rsidRDefault="0026452D" w:rsidP="0026452D">
      <w:pPr>
        <w:pStyle w:val="TextoNormal"/>
      </w:pPr>
    </w:p>
    <w:p w:rsidR="0026452D" w:rsidRDefault="0026452D" w:rsidP="0026452D">
      <w:pPr>
        <w:pStyle w:val="TextoNormal"/>
      </w:pPr>
      <w:r>
        <w:t>La controversia aquí planteada ha sido resuelta por este Tribunal en la mencionada STC 104/2013, de 25 de abril que, en su fundamento jurídico 7, se remite a su vez a las SSTC 149/2012, de 5 de julio, FJ 3, y 59/2013, de 13 de marzo, FJ 3, pronunciándose en los siguientes términos:</w:t>
      </w:r>
    </w:p>
    <w:p w:rsidR="0026452D" w:rsidRDefault="0026452D" w:rsidP="0026452D">
      <w:pPr>
        <w:pStyle w:val="TextoNormal"/>
      </w:pPr>
    </w:p>
    <w:p w:rsidR="0026452D" w:rsidRDefault="0026452D" w:rsidP="0026452D">
      <w:pPr>
        <w:pStyle w:val="TextoNormal"/>
      </w:pPr>
      <w:r>
        <w:t>“En la primera de las citadas [STC 149/2012], tras analizar la regulación impugnada y su contexto normativo, concluimos, en relación con la denunciada vulneración de las competencias autonómicas sobre medio ambiente, lo siguiente:</w:t>
      </w:r>
    </w:p>
    <w:p w:rsidR="0026452D" w:rsidRDefault="0026452D" w:rsidP="0026452D">
      <w:pPr>
        <w:pStyle w:val="TextoNormal"/>
      </w:pPr>
    </w:p>
    <w:p w:rsidR="0026452D" w:rsidRDefault="0026452D" w:rsidP="0026452D">
      <w:pPr>
        <w:pStyle w:val="TextoNormal"/>
      </w:pPr>
      <w:r>
        <w:t xml:space="preserve">‘En definitiva, la evaluación ambiental de las zonas especiales de conservación es una técnica muy similar a la evaluación de impacto ambiental, pues al igual que ésta tiene por finalidad que las Administraciones públicas valoren la afección al medio ambiente —aunque en este caso, la valoración se limite a la afección a un elemento específico del medio ambiente— cuando hayan de decidir acerca de la autorización o aprobación de un plan o proyecto que puedan afectar de forma apreciable a espacios de la Red Natura 2000. Es decir, se trata de un informe sectorial que determina la conveniencia o no de realizar determinadas </w:t>
      </w:r>
      <w:r>
        <w:lastRenderedPageBreak/>
        <w:t>obras o actividades desde la perspectiva de sus repercusiones sobre este tipo de espacios. Obras y actividades que —como hemos dicho en relación con la evaluación de impacto ambiental— están sometidas por la Constitución y los Estatutos de Autonomía a sus propios títulos competenciales. Títulos competenciales que atraen al medioambiental (STC 13/1998, FJ 8) y, por tanto, también a la evaluación ambiental de los planes y proyectos que puedan afectar de forma apreciable a espacios de la Red Natura. Es, por tanto, acorde con la distribución constitucional de competencias que la legislación atribuya a la Administración del Estado la realización de la evaluación ambiental de las zonas especiales de conservación en aquellos casos en los que el plan o proyecto debe ser autorizado o aprobado por ella tras la realización de la correspondiente evaluación de impacto ambiental integrándose, en estos casos, dada su naturaleza sectorial, la evaluación ambiental de la zona especial de conservación —como técnica específica de evaluación— en la más general de la evaluación de impacto ambiental, garantizándose, en todo caso, la consulta —por la vía del informe preceptivo— a las Comunidades Autónomas en cuyo territorio se ubique el proyecto en cuestión.</w:t>
      </w:r>
    </w:p>
    <w:p w:rsidR="0026452D" w:rsidRDefault="0026452D" w:rsidP="0026452D">
      <w:pPr>
        <w:pStyle w:val="TextoNormal"/>
      </w:pPr>
    </w:p>
    <w:p w:rsidR="0026452D" w:rsidRDefault="0026452D" w:rsidP="0026452D">
      <w:pPr>
        <w:pStyle w:val="TextoNormal"/>
      </w:pPr>
      <w:r>
        <w:t>Por todo lo anterior, el art. 127 de la Ley 62/2003 en cuanto añade una disposición adicional cuarta al Real Decreto Legislativo 1302/1986, de 28 de junio, de evaluación de impacto ambiental, no se reputa inconstitucional.’</w:t>
      </w:r>
    </w:p>
    <w:p w:rsidR="0026452D" w:rsidRDefault="0026452D" w:rsidP="0026452D">
      <w:pPr>
        <w:pStyle w:val="TextoNormal"/>
      </w:pPr>
    </w:p>
    <w:p w:rsidR="0026452D" w:rsidRDefault="0026452D" w:rsidP="0026452D">
      <w:pPr>
        <w:pStyle w:val="TextoNormal"/>
      </w:pPr>
      <w:r>
        <w:t>Doctrina que debemos reiterar aquí y que conduce a la desestimación del recurso en lo que respecta a la denunciada vulneración de las competencias autonómicas de gestión ambiental.</w:t>
      </w:r>
    </w:p>
    <w:p w:rsidR="0026452D" w:rsidRDefault="0026452D" w:rsidP="0026452D">
      <w:pPr>
        <w:pStyle w:val="TextoNormal"/>
      </w:pPr>
    </w:p>
    <w:p w:rsidR="0026452D" w:rsidRDefault="0026452D" w:rsidP="0026452D">
      <w:pPr>
        <w:pStyle w:val="TextoNormal"/>
      </w:pPr>
      <w:r>
        <w:t>La misma doctrina, ‘según la cual el elemento determinante del encuadre competencial de este tipo de certificación es su vínculo finalista con la decisión de realizar o no la obra o actividad cuyas consecuencias se evalúan (se trata de un informe sectorial que determina la conveniencia o no de realizar determinadas obras o actividades desde la perspectiva de sus repercusiones sobre este tipo de espacios), es igualmente decisiva cuando el conflicto se traba entre la competencia sustantiva estatal que da cobertura a la obra o actividad y la competencia autonómica exclusiva sobre espacios naturales protegidos, procediendo, por tanto, que declaremos que esta clase específica de evaluación ambiental es una materia que se incardina en el primer título y no en el segundo’ (STC 59/2013, de 13 de marzo, FJ 3). Así la evaluación de la repercusión que para un lugar concreto conlleva una obra o actividad, cuando está orientada a facilitar al órgano competente sobre ella la información ambiental específica para decidir si se realiza o no y, en su caso, en qué condiciones se hace, se sitúa extramuros de las competencias autonómicas sobre espacios naturales protegidos, pues, como señalamos en la misma sentencia y fundamento jurídico, ‘la evaluación de la repercusión que para un lugar concreto conlleva una obra o actividad cuando está orientada a facilitar al órgano competente sobre ella la información ambiental específica para decidir si se realiza o no y, en su caso, en qué condiciones se hace, pues una evaluación así configurada tiene una finalidad estrechamente vinculada con la obra o actividad de que se trate, cual es que todos los entes públicos valoren el medio ambiente, en este caso un elemento específico del medio ambiente, cuando ejercen sus atribuciones sobre cualquiera de las obras, instalaciones u otras actividades de su competencia, valoración ambiental que, como no podía ser de otra manera, debe tener en cuenta los objetivos de conservación del lugar de que se trate, como expresamente constata tanto el art. 6.3 del Real Decreto 1997/1995 como el apartado 1 de la disposición adicional cuarta del Real Decreto Legislativo 1/2008’.”</w:t>
      </w:r>
    </w:p>
    <w:p w:rsidR="0026452D" w:rsidRDefault="0026452D" w:rsidP="0026452D">
      <w:pPr>
        <w:pStyle w:val="TextoNormal"/>
      </w:pPr>
    </w:p>
    <w:p w:rsidR="0026452D" w:rsidRDefault="0026452D" w:rsidP="0026452D">
      <w:pPr>
        <w:pStyle w:val="TextoNormal"/>
      </w:pPr>
      <w:r>
        <w:t>Por las razones expuestas, la impugnación del art. 127 de la Ley 62/2003 ha de ser desestimada.</w:t>
      </w:r>
    </w:p>
    <w:p w:rsidR="0026452D" w:rsidRDefault="0026452D" w:rsidP="0026452D">
      <w:pPr>
        <w:pStyle w:val="TextoNormal"/>
      </w:pPr>
    </w:p>
    <w:p w:rsidR="0026452D" w:rsidRDefault="0026452D" w:rsidP="0026452D">
      <w:pPr>
        <w:pStyle w:val="TextoNormal"/>
      </w:pPr>
      <w:r w:rsidRPr="0026452D">
        <w:rPr>
          <w:rStyle w:val="NumeroAFNegritaCaracter"/>
        </w:rPr>
        <w:t>4</w:t>
      </w:r>
      <w:r>
        <w:t>. El art. 128.2 modifica el párrafo segundo del art. 27 de la Ley 10/1998, de residuos; este último precepto venía a establecer que los titulares de actividades potencialmente contaminantes del suelo debían remitir periódicamente a la Comunidad Autónoma correspondiente informes de situación en los que figuren los datos relativos a los criterios que sirvan de base para la declaración de suelos contaminados. La modificación efectuada por la Ley 62/2003 viene a disponer que la remisión de los citados informes de situación se realice por los titulares de actividades potencialmente contaminantes, “tras una evaluación preliminar, cuyo contenido será fijado por el Consejo de Ministros, previa consulta a las Comunidades Autónomas”.</w:t>
      </w:r>
    </w:p>
    <w:p w:rsidR="0026452D" w:rsidRDefault="0026452D" w:rsidP="0026452D">
      <w:pPr>
        <w:pStyle w:val="TextoNormal"/>
      </w:pPr>
    </w:p>
    <w:p w:rsidR="0026452D" w:rsidRDefault="0026452D" w:rsidP="0026452D">
      <w:pPr>
        <w:pStyle w:val="TextoNormal"/>
      </w:pPr>
      <w:r>
        <w:t>Considera la Comunidad Autónoma recurrente que la introducción de ese trámite previo de “evaluación preliminar” supone una ampliación de la potestad normativa del Consejo de Ministros, que vulnera el reparto competencial en materia de medio ambiente, en cuanto condiciona y determina el contenido del informe de situación, y constituye un acto de mera gestión que limita la competencia de la Comunidad Autónoma para declarar, delimitar, inventariar y elaborar la lista de prioridades de actuación, sobre la base de los datos que considere que deba suministrar el propietario.</w:t>
      </w:r>
    </w:p>
    <w:p w:rsidR="0026452D" w:rsidRDefault="0026452D" w:rsidP="0026452D">
      <w:pPr>
        <w:pStyle w:val="TextoNormal"/>
      </w:pPr>
    </w:p>
    <w:p w:rsidR="0026452D" w:rsidRDefault="0026452D" w:rsidP="0026452D">
      <w:pPr>
        <w:pStyle w:val="TextoNormal"/>
      </w:pPr>
      <w:r>
        <w:t>El Abogado del Estado afirma, por el contrario, que la modificación introducida se inserta en el mínimo normativo que corresponde fijar al Estado en materia de medio ambiente, garantizando que el contenido de esa evaluación sea sustancialmente el mismo en todo el territorio, lo que no se impide a las Comunidades Autónomas, además de ser oídas, la posibilidad de ampliar, mejorar y desarrollar ese contenido, siempre que respeten el mínimo común establecido por el Gobierno, y justificado en la necesidad de un tratamiento homogéneo de los datos a nivel nacional.</w:t>
      </w:r>
    </w:p>
    <w:p w:rsidR="0026452D" w:rsidRDefault="0026452D" w:rsidP="0026452D">
      <w:pPr>
        <w:pStyle w:val="TextoNormal"/>
      </w:pPr>
    </w:p>
    <w:p w:rsidR="0026452D" w:rsidRDefault="0026452D" w:rsidP="0026452D">
      <w:pPr>
        <w:pStyle w:val="TextoNormal"/>
      </w:pPr>
      <w:r>
        <w:t>La cuestión controvertida se centra, pues, en determinar si la modificación que se efectúa en el art. 27.4 de la Ley de residuos, en cuanto impone a los titulares de actividades potencialmente contaminantes del suelo, el deber de realizar una evaluación o informe preliminar, y habilita al Consejo de Ministros para fijar el contenido de la misma, forma o no parte de la competencia exclusiva del Estado para dictar la legislación básica en materia de medio ambiente (art. 149.1.23 CE).</w:t>
      </w:r>
    </w:p>
    <w:p w:rsidR="0026452D" w:rsidRDefault="0026452D" w:rsidP="0026452D">
      <w:pPr>
        <w:pStyle w:val="TextoNormal"/>
      </w:pPr>
    </w:p>
    <w:p w:rsidR="0026452D" w:rsidRDefault="0026452D" w:rsidP="0026452D">
      <w:pPr>
        <w:pStyle w:val="TextoNormal"/>
      </w:pPr>
      <w:r>
        <w:t>Esta cuestión ha sido también resuelta en STC 104/2013, de 25 de abril, FJ 8, en la que se afirma:</w:t>
      </w:r>
    </w:p>
    <w:p w:rsidR="0026452D" w:rsidRDefault="0026452D" w:rsidP="0026452D">
      <w:pPr>
        <w:pStyle w:val="TextoNormal"/>
      </w:pPr>
    </w:p>
    <w:p w:rsidR="0026452D" w:rsidRDefault="0026452D" w:rsidP="0026452D">
      <w:pPr>
        <w:pStyle w:val="TextoNormal"/>
      </w:pPr>
      <w:r>
        <w:t xml:space="preserve">“Desde una perspectiva formal, no cabe dudar que el precepto, en cuanto se limita a incorporar una requisito adicional al informe de situación contemplado en el art. 27.4 de la Ley 10/1998, de Residuos, participa de la cobertura competencial determinada en la disposición final segunda de esta ley, en la que se proclama su carácter de legislación básica, dictada al amparo de lo dispuesto en el art. 149.1.23 CE. Desde una perspectiva material, el precepto tiene también carácter básico, pues se ajusta a lo reiteradamente señalado por nuestra doctrina de que lo básico, como propio de la competencia estatal en esta materia, cumple más bien una función de ordenación mediante mínimos que han de respetarse en todo caso, </w:t>
      </w:r>
      <w:r>
        <w:lastRenderedPageBreak/>
        <w:t>pero que pueden permitir que las Comunidades Autónomas con competencias en la materia establezcan niveles de protección más altos, pero nunca reducirlos (SSTC 170/1989, FJ 2, 196/1996/, FJ 2, 101/2005 FJ 5 y 7/2012, FJ 5).</w:t>
      </w:r>
    </w:p>
    <w:p w:rsidR="0026452D" w:rsidRDefault="0026452D" w:rsidP="0026452D">
      <w:pPr>
        <w:pStyle w:val="TextoNormal"/>
      </w:pPr>
    </w:p>
    <w:p w:rsidR="0026452D" w:rsidRDefault="0026452D" w:rsidP="0026452D">
      <w:pPr>
        <w:pStyle w:val="TextoNormal"/>
      </w:pPr>
      <w:r>
        <w:t>El art. 149.1.23 CE permite al legislador estatal dictar normas de obligada aplicación que aseguren un mínimo de protección de los elementos naturales, y a este objetivo responde el precepto controvertido, que se limita a establecer un deber de carácter general, que recae sobre los titulares de actividades contaminantes, de efectuar una evaluación o informe preliminar, con un objetivo preventivo de los posibles efectos perjudiciales o nocivos que estas actividades son susceptibles de producir en el suelo; objetivo que constituye materia propia e intrínseca del ámbito material medio ambiental y, por tanto, de la competencia estatal básica que el citado precepto constitucional atribuye al Estado, por lo que la medida que se establece constituye una previsión normativa que tiene por finalidad la preservación de intereses públicos medioambientales, y, en consecuencia, no puede reputarse inconstitucional.</w:t>
      </w:r>
    </w:p>
    <w:p w:rsidR="0026452D" w:rsidRDefault="0026452D" w:rsidP="0026452D">
      <w:pPr>
        <w:pStyle w:val="TextoNormal"/>
      </w:pPr>
    </w:p>
    <w:p w:rsidR="0026452D" w:rsidRDefault="0026452D" w:rsidP="0026452D">
      <w:pPr>
        <w:pStyle w:val="TextoNormal"/>
      </w:pPr>
      <w:r>
        <w:t>En cuanto a lo que haya de constituir el contenido propio de esa evaluación preliminar, el precepto que se examina se limita a señalar que el mismo será fijado por el Consejo de Ministros, previa consulta a las Comunidades Autónomas; se remite, por tanto, a una posterior norma reglamentaria la determinación concreta del contenido mínimo de la evaluación preliminar, remisión que resulta justificada en atención a la especificidad de la materia y al carácter marcadamente técnico de los concretos aspectos o cuestiones a regular, cuya valoración no es posible efectuar en este momento sino a la vista de la forma en la que dicha habilitación reglamentaria se concrete. Resulta entonces que nos hallamos ante una impugnación preventiva, vedada en nuestra doctrina, sin que, de otro lado, nada impida que, si el Gobierno, al dictar las correspondientes normas reglamentarias en virtud de esa remisión, extendiera su regulación a aspectos no básicos pudiera plantearse el oportuno conflicto positivo de competencias a fin de examinar si se hubiera producido o no la extralimitación en el ámbito competencial estatal.”</w:t>
      </w:r>
    </w:p>
    <w:p w:rsidR="0026452D" w:rsidRDefault="0026452D" w:rsidP="0026452D">
      <w:pPr>
        <w:pStyle w:val="TextoNormal"/>
      </w:pPr>
    </w:p>
    <w:p w:rsidR="0026452D" w:rsidRDefault="0026452D" w:rsidP="0026452D">
      <w:pPr>
        <w:pStyle w:val="TextoNormal"/>
      </w:pPr>
      <w:r>
        <w:t>Procede, en consecuencia, desestimar la impugnación formulada contra este precepto.</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El art. 129 de la Ley 62/2003, modifica el texto refundido de la Ley de aguas, aprobado por Real Decreto Legislativo 1/2001, de 20 de julio, con la finalidad de incorporar al derecho interno la Directiva comunitaria 2000/60/CE, por la que se establece el marco comunitario de actuación en el ámbito de la política de aguas. La impugnación formulada por la Comunidad Autónoma de Aragón se sustenta en la inadecuación del instrumento de la “ley de acompañamiento” para efectuar la transposición de la Directiva e introducir modificaciones sustanciales de las disposiciones legales vigentes en materia de aguas, mediante un procedimiento legislativo </w:t>
      </w:r>
      <w:r w:rsidRPr="0026452D">
        <w:rPr>
          <w:i/>
        </w:rPr>
        <w:t>ad hoc</w:t>
      </w:r>
      <w:r>
        <w:t xml:space="preserve"> que se aparta del general.</w:t>
      </w:r>
    </w:p>
    <w:p w:rsidR="0026452D" w:rsidRDefault="0026452D" w:rsidP="0026452D">
      <w:pPr>
        <w:pStyle w:val="TextoNormal"/>
      </w:pPr>
    </w:p>
    <w:p w:rsidR="0026452D" w:rsidRDefault="0026452D" w:rsidP="0026452D">
      <w:pPr>
        <w:pStyle w:val="TextoNormal"/>
      </w:pPr>
      <w:r>
        <w:t xml:space="preserve">En concreto, se alega que las especialidades derivadas de la tramitación simultánea y paralela de la Ley 62/2003 con la Ley 61/2003, de presupuestos generales del Estado para 2004, determinarían un irregular ejercicio de la potestad legislativa contraria a lo dispuesto en los arts. 66.2, 88 y 89 CE; el contenido heterogéneo de la Ley recurrida y su falta de conexión con la ejecución de los presupuestos generales del Estado, determinaría la vulneración del principio de interdicción de arbitrariedad y del principio de seguridad jurídica (arts. 9.1 y 9.3 CE); y la ausencia de un control de relevancia constitucional, al haberse omitido el trámite de informe del Consejo de Estado, por haberse introducido el precepto a </w:t>
      </w:r>
      <w:r>
        <w:lastRenderedPageBreak/>
        <w:t>través de una enmienda formulada en el Senado, daría lugar asimismo a una vulneración del procedimiento legislativo aplicable.</w:t>
      </w:r>
    </w:p>
    <w:p w:rsidR="0026452D" w:rsidRDefault="0026452D" w:rsidP="0026452D">
      <w:pPr>
        <w:pStyle w:val="TextoNormal"/>
      </w:pPr>
    </w:p>
    <w:p w:rsidR="0026452D" w:rsidRDefault="0026452D" w:rsidP="0026452D">
      <w:pPr>
        <w:pStyle w:val="TextoNormal"/>
      </w:pPr>
      <w:r>
        <w:t>Sobre las anteriores cuestiones se ha pronunciado este Tribunal de forma detallada, en la STC 36/2013, de 14 de febrero, dictada en el recurso de inconstitucionalidad 2123-2004, planteado por la Comunidad Autónoma de Castilla-La Mancha contra la Ley 62/2003, por lo que, dada la coincidencia argumental entre ambos planteamientos, resulta imprescindible la remisión a lo señalado en ese pronunciamiento, para desestimar la impugnación relativa al art. 129 de la Ley 62/2003.</w:t>
      </w:r>
    </w:p>
    <w:p w:rsidR="0026452D" w:rsidRDefault="0026452D" w:rsidP="0026452D">
      <w:pPr>
        <w:pStyle w:val="TextoNormal"/>
      </w:pPr>
    </w:p>
    <w:p w:rsidR="0026452D" w:rsidRDefault="0026452D" w:rsidP="0026452D">
      <w:pPr>
        <w:pStyle w:val="TextoNormal"/>
      </w:pPr>
      <w:r>
        <w:t>La alegación relativa a la supuesta inadecuación de la llamada ley de acompañamiento para la transposición de la Directiva comunitaria, fue expresamente rechazada en el fundamento jurídico 2 de la STC 36/2013, “pues no existe ningún mandato legal que exija que una Directiva comunitaria deba ser traspuesta a través de un determinado instrumento normativo. La ley de ‘acompañamiento’ es una ley ordinaria y como tal ley ordinaria que emana de las Cortes Generales ‘puede entrar a regular cualquier materia no expresamente asignada a otro tipo legislativo, y es que, del bloque de la constitucionalidad no se deriva ni impedimento alguno para que se puedan aprobar lo que califica como leyes transversales, ni exigencia de ninguna clase que imponga que cada materia deba ser objeto de un proyecto independiente, dado que las formas de manifestarse la voluntad de las Cámaras sólo tendrán un carácter limitado cuando así se derive del propio texto constitucional. En consecuencia, ningún óbice existe desde el punto de vista constitucional que impida o limite la incorporación a un solo texto legislativo, para su tramitación conjunta en un solo procedimiento, de multitud de medidas normativas de carácter heterogéneo’ (STC 136/2011, de 30 de septiembre, FJ 3).”</w:t>
      </w:r>
    </w:p>
    <w:p w:rsidR="0026452D" w:rsidRDefault="0026452D" w:rsidP="0026452D">
      <w:pPr>
        <w:pStyle w:val="TextoNormal"/>
      </w:pPr>
    </w:p>
    <w:p w:rsidR="0026452D" w:rsidRDefault="0026452D" w:rsidP="0026452D">
      <w:pPr>
        <w:pStyle w:val="TextoNormal"/>
      </w:pPr>
      <w:r>
        <w:t>En relación a la técnica legislativa de las llamadas “leyes de acompañamiento”, afirmamos en la STC 136/2011, de 13 de septiembre, FJ 9, que “el juicio de constitucionalidad no lo es de técnica legislativa, razón por la cual, no corresponde a la jurisdicción constitucional pronunciarse sobre la perfección técnica de las leyes, habida cuenta de que el control jurisdiccional de la ley nada tiene que ver con su depuración técnica”. y, reiteramos en la STC 36/2013, FJ 2, que “la inobservancia ‘de los preceptos que regulan el procedimiento legislativo podría viciar de inconstitucionalidad la ley, cuando esa inobservancia altere de modo sustancial el proceso de formación de la voluntad en el seno de las Cámaras’ … No basta en consecuencia, ‘cualquier vicio o inobservancia de los previstos en las normas que regulan el procedimiento parlamentario para declarar la eventual inconstitucionalidad de la norma o disposición con que se pone fin al mismo’, pues ‘tal inconstitucionalidad sólo se producirá si el vicio o inobservancia denunciada afecta esencialmente al proceso de formación de la voluntad de los parlamentarios, de modo que sólo los vicios o defectos más graves provocan un déficit democrático en el proceso de elaboración de una norma, que podría conducir a su declaración de inconstitucionalidad’.”</w:t>
      </w:r>
    </w:p>
    <w:p w:rsidR="0026452D" w:rsidRDefault="0026452D" w:rsidP="0026452D">
      <w:pPr>
        <w:pStyle w:val="TextoNormal"/>
      </w:pPr>
    </w:p>
    <w:p w:rsidR="0026452D" w:rsidRDefault="0026452D" w:rsidP="0026452D">
      <w:pPr>
        <w:pStyle w:val="TextoNormal"/>
      </w:pPr>
      <w:r>
        <w:t xml:space="preserve">En este sentido, el hecho de que el proyecto de ley se tramite en la Comisión de Economía y Hacienda del Congreso, y en la de Economía y Turismo del Senado, y no en la competente por razón de cada materia, no da lugar a la inconstitucionalidad de la ley, pues como se afirma en el fundamento jurídico 2 de la STC 36/2013, de 14 de febrero, “hemos señalado en la STC 102/2012, de 8 de mayo, FJ 3, ‘que estamos en presencia de un acto de trámite </w:t>
      </w:r>
      <w:r>
        <w:lastRenderedPageBreak/>
        <w:t>(la atribución a una comisión del conocimiento de un proyecto de ley), inserto en un procedimiento parlamentario cuya eventual inobservancia sólo podría alcanzar relevancia constitucional y, por tanto, viciar de inconstitucionalidad la ley resultante cuando … esa inobservancia altere de modo sustancial el proceso de formación de voluntad de una Cámara … Pero es que, en segundo lugar, la decisión de atribuir el conocimiento de un proyecto a una u otra comisión es una función de la Mesa del Congreso de los Diputados (arts. 43.1 y 109 del Reglamento del Congreso de los Diputados) o del Senado (arts. 54 y 104.2 del Reglamento del Senado) de manera que, cuando por razón de la materia del proyecto, proposición o asunto pueda corresponder, en principio a varias comisiones, se encomendará a aquella ´que sea de la competencia principal de una comisión’ (así se deduce del art. 43.2 del Reglamento del Congreso de los Diputados). Se trata, pues, de una decisión de mera oportunidad parlamentaria que, en sí mismo, no conlleva merma alguna de los principios constitucionales que han de informar el procedimiento legislativo en cuanto procedimiento de formación de la voluntad del órgano”.</w:t>
      </w:r>
    </w:p>
    <w:p w:rsidR="0026452D" w:rsidRDefault="0026452D" w:rsidP="0026452D">
      <w:pPr>
        <w:pStyle w:val="TextoNormal"/>
      </w:pPr>
    </w:p>
    <w:p w:rsidR="0026452D" w:rsidRDefault="0026452D" w:rsidP="0026452D">
      <w:pPr>
        <w:pStyle w:val="TextoNormal"/>
      </w:pPr>
      <w:r>
        <w:t>En cuanto a la supuesta quiebra del principio de seguridad jurídica (art. 9.3 CE), justificada en que la acumulación de preceptos heterogéneos hace imposible a los ciudadanos un adecuado conocimiento del contenido de la Ley, la STC 36/2013, FJ 2, se remite a lo ya señalado en la STC 136/2011, FJ 9, “en la que concluimos que no cabe apreciar en ello ningún vicio susceptible de afectar a la seguridad jurídica conforme al contenido constitucionalmente garantizado de dicho principio, pues tales leyes de acompañamiento tienen un objeto que, aunque heterogéneo, está perfectamente delimitado en el momento de presentación del proyecto al Congreso de los Diputados, teniendo todos sus eventuales destinatarios (operadores jurídicos y ciudadanos) conocimiento del mismo mediante su publicación en el ‘Diario Oficial de las Cortes Generales’, como finalmente tienen conocimiento del texto definitivo mediante su inserción en el ‘Boletín Oficial del Estado’ (en el mismo sentido STC 120/2012, de 4 de junio, FJ 3)”.</w:t>
      </w:r>
    </w:p>
    <w:p w:rsidR="0026452D" w:rsidRDefault="0026452D" w:rsidP="0026452D">
      <w:pPr>
        <w:pStyle w:val="TextoNormal"/>
      </w:pPr>
    </w:p>
    <w:p w:rsidR="0026452D" w:rsidRDefault="0026452D" w:rsidP="0026452D">
      <w:pPr>
        <w:pStyle w:val="TextoNormal"/>
      </w:pPr>
      <w:r>
        <w:t xml:space="preserve">En lo que afecta a la vulneración de la prohibición de arbitrariedad (art. 9.3 CE), debe insistirse una vez más en que el control de constitucionalidad de las leyes debe ejercerse por este Tribunal de forma que no se impongan constricciones indebidas al poder legislativo y se respeten sus legítimas opciones políticas; por ello, hemos venido señalando reiteradamente que el cuidado que este Tribunal ha de observar para mantenerse dentro de los límites del control del legislador democrático, debe extremarse cuando se trata de aplicar preceptos generales e indeterminados como es el de interdicción de arbitrariedad. Así, al examinar una norma legal desde este punto de vista, nuestro análisis ha de centrarse en verificar si el precepto establece una discriminación, pues la discriminación entraña siempre una arbitrariedad, o bien si, no estableciéndola, carece de toda explicación racional, lo que también evidentemente supondría una arbitrariedad (por todas, STC 102/2012, de 8 de mayo, FJ 2). No se aprecia, en el supuesto examinado, que la ley recurrida establezca discriminación de ningún tipo; la norma persigue una finalidad razonable y no se muestra desprovista de fundamento, aunque pueda legítimamente discreparse de la concreta solución adoptada, pues “entrar en un enjuiciamiento de cuál sería su medida justa, supone discutir la opción tomada por el legislador, que, aun cuando pueda ser discutible, no resulta arbitraria ni irracional” (STC 149/2006, de 11 de mayo, FJ 6). A ello cabe añadir que, en el supuesto que se examina, la alegación de arbitrariedad no deja de ser una imputación genérica que no se especifica en preceptos concretos, ni se identifica dónde está el trato desigual, sino que únicamente se </w:t>
      </w:r>
      <w:r>
        <w:lastRenderedPageBreak/>
        <w:t>vincula a ese contenido heterogéneo de la Ley 62/2003, por lo que debe rechazarse también esta alegación.</w:t>
      </w:r>
    </w:p>
    <w:p w:rsidR="0026452D" w:rsidRDefault="0026452D" w:rsidP="0026452D">
      <w:pPr>
        <w:pStyle w:val="TextoNormal"/>
      </w:pPr>
    </w:p>
    <w:p w:rsidR="0026452D" w:rsidRDefault="0026452D" w:rsidP="0026452D">
      <w:pPr>
        <w:pStyle w:val="TextoNormal"/>
      </w:pPr>
      <w:r>
        <w:t>Alega asimismo la Comunidad Autónoma recurrente, que el hecho de que este precepto haya sido introducido en virtud de una enmienda presentada en el Senado ha determinado la ausencia de un control de relevancia jurídico constitucional, al no acompañarse el dictamen del Consejo de Estado, pese a exigirlo la finalidad y contenido del texto legislativo aprobado, alegación que también debe ser rechazada, pues “ni la Constitución ni los Reglamentos parlamentarios, ni la Ley Orgánica del Consejo de Estado, prevén la necesidad de dictamen de este órgano consultivo en el trámite de enmiendas, por lo que no cabe admitir que se entienda contraria al bloque de constitucionalidad una enmienda que ha previsto la transposición de una Directiva comunitaria sin el citado dictamen, siguiendo el procedimiento legislativo legalmente previsto” (STC 36/2013, FJ 4).</w:t>
      </w:r>
    </w:p>
    <w:p w:rsidR="0026452D" w:rsidRDefault="0026452D" w:rsidP="0026452D">
      <w:pPr>
        <w:pStyle w:val="TextoNormal"/>
      </w:pPr>
    </w:p>
    <w:p w:rsidR="0026452D" w:rsidRDefault="0026452D" w:rsidP="0026452D">
      <w:pPr>
        <w:pStyle w:val="TextoNormal"/>
      </w:pPr>
      <w:r>
        <w:t xml:space="preserve">La representación autonómica no formula objeciones de fondo al contenido concreto de la regulación que efectúa el art. 129 de la Ley 62/2003, pues, aunque se hace mención en el texto de la demanda a la introducción de un nuevo concepto, el de “demarcación hidrográfica”, como unidad de gestión y planificación hidrológica, la Comunidad Autónoma se limita a argumentar que supone un modificación sustancial del texto refundido de la Ley de aguas, que se lleva a cabo mediante un procedimiento legislativo </w:t>
      </w:r>
      <w:r w:rsidRPr="0026452D">
        <w:rPr>
          <w:i/>
        </w:rPr>
        <w:t>ad hoc</w:t>
      </w:r>
      <w:r>
        <w:t>, que se aparta del general, por lo que, dado que se limita a reiterar los argumentos ya examinados, procede en este punto remitirse a lo expuesto con anterioridad.</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Declarar extinguido, por desaparición sobrevenida de su objeto, el recurso formulado en relación con el art. 126.1, 2 y 3 de la Ley 62/2003, de 30 de diciembre, de medidas fiscales, administrativas y del orden social, en cuanto a la redacción dada a los arts. 22.3, 23.4 y 23 ter de la Ley 4/1989, de 27 de marzo, de conservación de los espacios naturales y de la flora y fauna silvestres.</w:t>
      </w:r>
    </w:p>
    <w:p w:rsidR="0026452D" w:rsidRDefault="0026452D" w:rsidP="0026452D">
      <w:pPr>
        <w:pStyle w:val="TextoNormal"/>
      </w:pPr>
    </w:p>
    <w:p w:rsidR="0026452D" w:rsidRDefault="0026452D" w:rsidP="0026452D">
      <w:pPr>
        <w:pStyle w:val="TextoNormal"/>
      </w:pPr>
      <w:r>
        <w:t>2º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nueve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15" w:name="SENTENCIA_2013_112"/>
      <w:r>
        <w:lastRenderedPageBreak/>
        <w:t>SENTENCIA 112/2013, de 9 de mayo de 2013</w:t>
      </w:r>
    </w:p>
    <w:bookmarkEnd w:id="115"/>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133, de 4 de junio de 2013)</w:t>
      </w:r>
    </w:p>
    <w:p w:rsidR="0026452D" w:rsidRDefault="0026452D" w:rsidP="0026452D">
      <w:pPr>
        <w:pStyle w:val="TtuloBOE"/>
      </w:pPr>
    </w:p>
    <w:p w:rsidR="0026452D" w:rsidRDefault="0026452D" w:rsidP="0026452D">
      <w:pPr>
        <w:pStyle w:val="SntesisDescriptiva"/>
      </w:pPr>
      <w:r>
        <w:t>ECLI:ES:TC:2013:112</w:t>
      </w:r>
    </w:p>
    <w:p w:rsidR="0026452D" w:rsidRDefault="0026452D" w:rsidP="0026452D">
      <w:pPr>
        <w:pStyle w:val="SntesisDescriptiva"/>
      </w:pPr>
    </w:p>
    <w:p w:rsidR="0026452D" w:rsidRDefault="0026452D" w:rsidP="0026452D">
      <w:pPr>
        <w:pStyle w:val="SntesisDescriptiva"/>
      </w:pPr>
      <w:r>
        <w:t>Conflicto positivo de competencia 3591-2009. Planteado por el Consejo de Gobierno de la Comunidad Autónoma de Madrid en relación con diversos preceptos del Real Decreto 2066/2008, de 12 de diciembre, por el que se regula el plan estatal de vivienda y rehabilitación 2009-2012.</w:t>
      </w:r>
    </w:p>
    <w:p w:rsidR="0026452D" w:rsidRDefault="0026452D" w:rsidP="0026452D">
      <w:pPr>
        <w:pStyle w:val="SntesisDescriptiva"/>
      </w:pPr>
    </w:p>
    <w:p w:rsidR="0026452D" w:rsidRDefault="0026452D" w:rsidP="0026452D">
      <w:pPr>
        <w:pStyle w:val="SntesisAnaltica"/>
      </w:pPr>
      <w:r>
        <w:t>Competencias sobre ordenación general de la economía, vivienda y urbanismo: constitucionalidad de los preceptos reglamentarios estatales que establecen medidas de fomento de la vivienda (STC 152/1988).</w:t>
      </w:r>
    </w:p>
    <w:p w:rsidR="0026452D" w:rsidRDefault="0026452D" w:rsidP="0026452D">
      <w:pPr>
        <w:pStyle w:val="SntesisAnaltica"/>
      </w:pPr>
    </w:p>
    <w:p w:rsidR="0026452D" w:rsidRDefault="0026452D" w:rsidP="0026452D">
      <w:pPr>
        <w:pStyle w:val="Extracto"/>
      </w:pPr>
      <w:r>
        <w:t>1.</w:t>
      </w:r>
      <w:r>
        <w:tab/>
        <w:t>La competencia autonómica en materia de vivienda, y en particular a la actividad promocional de la misma, se halla limitada por las competencias del Estado sobre las bases y coordinación de la planificación general de la actividad económica, en razón de la incidencia que el impulso de la construcción tiene como factor del desarrollo económico y, en especial, como elemento generador de empleo (STC 152/1988) [FJ 3].</w:t>
      </w:r>
    </w:p>
    <w:p w:rsidR="0026452D" w:rsidRDefault="0026452D" w:rsidP="0026452D">
      <w:pPr>
        <w:pStyle w:val="Extracto"/>
      </w:pPr>
    </w:p>
    <w:p w:rsidR="0026452D" w:rsidRDefault="0026452D" w:rsidP="0026452D">
      <w:pPr>
        <w:pStyle w:val="Extracto"/>
      </w:pPr>
      <w:r>
        <w:t>2.</w:t>
      </w:r>
      <w:r>
        <w:tab/>
        <w:t>La regulación estatal de fomento en materia de vivienda concerniente a la definición de las actuaciones protegidas, a las fórmulas de financiación adoptadas –créditos cualificados, subsidiación de préstamos y subvenciones–, al nivel de protección y a la aportación de recursos estatales, no invade competencia autonómica alguna, pues se halla legitimada por lo dispuesto en el art. 149.1.13 CE (STC 152/1988) [FJ 3].</w:t>
      </w:r>
    </w:p>
    <w:p w:rsidR="0026452D" w:rsidRDefault="0026452D" w:rsidP="0026452D">
      <w:pPr>
        <w:pStyle w:val="Extracto"/>
      </w:pPr>
    </w:p>
    <w:p w:rsidR="0026452D" w:rsidRDefault="0026452D" w:rsidP="0026452D">
      <w:pPr>
        <w:pStyle w:val="Extracto"/>
      </w:pPr>
      <w:r>
        <w:t>3.</w:t>
      </w:r>
      <w:r>
        <w:tab/>
        <w:t>Las Comunidades Autónomas con competencias en materia de vivienda pueden definir y llevar a cabo una política de vivienda propia, complementando las actuaciones de protección y promoción previstas por el Estado, sin perjuicio del respeto debido a los elementos indispensables que las normas estatales arbitran para alcanzar los fines de política económica general propuestos [FJ 3].</w:t>
      </w:r>
    </w:p>
    <w:p w:rsidR="0026452D" w:rsidRDefault="0026452D" w:rsidP="0026452D">
      <w:pPr>
        <w:pStyle w:val="Extracto"/>
      </w:pPr>
    </w:p>
    <w:p w:rsidR="0026452D" w:rsidRDefault="0026452D" w:rsidP="0026452D">
      <w:pPr>
        <w:pStyle w:val="Extracto"/>
      </w:pPr>
      <w:r>
        <w:t>4.</w:t>
      </w:r>
      <w:r>
        <w:tab/>
        <w:t>A las Comunidades Autónomas corresponde integrar en su política general de vivienda las ayudas reguladas por el Estado para el cumplimiento de las finalidades a que responden, con capacidad suficiente para modalizar, en su caso, las reglas generales, al objeto de conseguir una sustancial igualdad de resultados (STC 152/1988) [FJ 3].</w:t>
      </w:r>
    </w:p>
    <w:p w:rsidR="0026452D" w:rsidRDefault="0026452D" w:rsidP="0026452D">
      <w:pPr>
        <w:pStyle w:val="Extracto"/>
      </w:pPr>
    </w:p>
    <w:p w:rsidR="0026452D" w:rsidRDefault="0026452D" w:rsidP="0026452D">
      <w:pPr>
        <w:pStyle w:val="Extracto"/>
      </w:pPr>
      <w:r>
        <w:t>5.</w:t>
      </w:r>
      <w:r>
        <w:tab/>
        <w:t>La competencia autonómica exclusiva sobre urbanismo ha de integrarse sistemáticamente con las competencias estatales más importantes mediante las cuales puede el Estado incidir legítima y puntualmente sobre dicha materia, entre las que cabe destacar el establecimiento de las condiciones básicas que garanticen la igualdad en el ejercicio del derecho de propiedad urbana, la expropiación forzosa y la responsabilidad administrativa (STC 61/1997) [FJ 3].</w:t>
      </w:r>
    </w:p>
    <w:p w:rsidR="0026452D" w:rsidRDefault="0026452D" w:rsidP="0026452D">
      <w:pPr>
        <w:pStyle w:val="Extracto"/>
      </w:pPr>
    </w:p>
    <w:p w:rsidR="0026452D" w:rsidRDefault="0026452D" w:rsidP="0026452D">
      <w:pPr>
        <w:pStyle w:val="Extracto"/>
      </w:pPr>
      <w:r>
        <w:t>6.</w:t>
      </w:r>
      <w:r>
        <w:tab/>
        <w:t>La inscripción en un registro público de demandantes de vivienda protegida resulta uno de los elementos más útiles para el eficaz cumplimiento de los objetivos estatales perseguidos con la concesión de ayudas económicas para la promoción de viviendas y su adquisición, ya que a través de dicho registro se  trata de asegurar el destino de las cantidades aportadas, lo que no supone condicionamiento alguno a la política de vivienda de las Comunidades Autónomas [FJ 4].</w:t>
      </w:r>
    </w:p>
    <w:p w:rsidR="0026452D" w:rsidRDefault="0026452D" w:rsidP="0026452D">
      <w:pPr>
        <w:pStyle w:val="Extracto"/>
      </w:pPr>
    </w:p>
    <w:p w:rsidR="0026452D" w:rsidRDefault="0026452D" w:rsidP="0026452D">
      <w:pPr>
        <w:pStyle w:val="Extracto"/>
      </w:pPr>
      <w:r>
        <w:t>7.</w:t>
      </w:r>
      <w:r>
        <w:tab/>
        <w:t>Los requisitos para acceder a las ayudas sufragadas con cargo a los fondos estatales constituyen uno de los aspectos centrales de toda regulación subvencional que se orientan a garantizar igual trato a todos los interesados en el territorio nacional [FJ 4].</w:t>
      </w:r>
    </w:p>
    <w:p w:rsidR="0026452D" w:rsidRDefault="0026452D" w:rsidP="0026452D">
      <w:pPr>
        <w:pStyle w:val="Extracto"/>
      </w:pPr>
    </w:p>
    <w:p w:rsidR="0026452D" w:rsidRDefault="0026452D" w:rsidP="0026452D">
      <w:pPr>
        <w:pStyle w:val="Extracto"/>
      </w:pPr>
      <w:r>
        <w:t>8.</w:t>
      </w:r>
      <w:r>
        <w:tab/>
        <w:t>La fijación de un período mínimo de vinculación de la vivienda a un régimen de protección pública constituye una contrapartida a los beneficios obtenidos con la adjudicación de las viviendas que garantiza el cumplimiento de los fines pretendidos con el establecimiento de las ayudas públicas y que encuentra su fundamento en la demanda social de vivienda y en la necesidad de que exista un mercado de viviendas de protección oficial con un precio asequible [FJ 5].</w:t>
      </w:r>
    </w:p>
    <w:p w:rsidR="0026452D" w:rsidRDefault="0026452D" w:rsidP="0026452D">
      <w:pPr>
        <w:pStyle w:val="Extracto"/>
      </w:pPr>
    </w:p>
    <w:p w:rsidR="0026452D" w:rsidRDefault="0026452D" w:rsidP="0026452D">
      <w:pPr>
        <w:pStyle w:val="Extracto"/>
      </w:pPr>
      <w:r>
        <w:t>9.</w:t>
      </w:r>
      <w:r>
        <w:tab/>
        <w:t>La limitación temporal en la descalificación voluntaria de las viviendas protegidas que hayan recibido ayudas públicas conforme al plan estatal de vivienda tiene una incidencia directa y significativa en el sector económico, en la lucha contra la especulación y en la efectividad del derecho a la vivienda para los colectivos más desfavorecidos, encontrando cobertura competencial en el art. 149.1.13 CE [FJ 5].</w:t>
      </w:r>
    </w:p>
    <w:p w:rsidR="0026452D" w:rsidRDefault="0026452D" w:rsidP="0026452D">
      <w:pPr>
        <w:pStyle w:val="Extracto"/>
      </w:pPr>
    </w:p>
    <w:p w:rsidR="0026452D" w:rsidRDefault="0026452D" w:rsidP="0026452D">
      <w:pPr>
        <w:pStyle w:val="Extracto"/>
      </w:pPr>
      <w:r>
        <w:t>10.</w:t>
      </w:r>
      <w:r>
        <w:tab/>
        <w:t>El Estado puede regular las condiciones esenciales de otorgamiento de ayudas hasta donde lo permita su competencia general básica o de coordinación, pero siempre que deje un margen a las Comunidades Autónomas, al menos para desarrollar y complementar la regulación de las condiciones de otorgamiento de las ayudas y su tramitación (STC 59/1995) [FJ 5].</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conflicto positivo de competencia núm. 3591-2009, planteado por el Consejo de Gobierno de la Comunidad Autónoma de Madrid contra los arts. 3.1 b) y 6 del Real Decreto 2066/2008, de 12 de diciembre, por el que se regula el plan estatal de vivienda y rehabilitación 2009-2012. Ha formulado alegaciones el Abogado del Estado. Ha sido Ponente el Magistrado don Francisco José Hernando Santiago,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con fecha 17 de abril de 2009 el Letrado de la Comunidad Autónoma de Madrid, en la representación que legalmente ostenta de su Consejo de Gobierno, promueve conflicto positivo de competencia contra los arts. 3.1 b) y 6 del Real Decreto 2066/2008, de 12 de diciembre, por el que se regula el plan estatal de vivienda y rehabilitación 2009-2012. El conflicto se fundamenta en las alegaciones que, resumidamente, se exponen a continuación.</w:t>
      </w:r>
    </w:p>
    <w:p w:rsidR="0026452D" w:rsidRDefault="0026452D" w:rsidP="0026452D">
      <w:pPr>
        <w:pStyle w:val="TextoNormal"/>
      </w:pPr>
    </w:p>
    <w:p w:rsidR="0026452D" w:rsidRDefault="0026452D" w:rsidP="0026452D">
      <w:pPr>
        <w:pStyle w:val="TextoNormal"/>
      </w:pPr>
      <w:r>
        <w:t>Tras hacer referencia a los antecedentes del presente conflicto y al cumplimiento de los requisitos procesales para interponerlo, el Letrado de la Comunidad de Madrid se refiere al contenido de la norma impugnada y a los títulos competenciales que entiende afectados en la presente controversia. Así, indica que el Real Decreto 2066/2008 establece una serie de medidas dirigidas al fomento de la vivienda protegida así como a la rehabilitación, amparándose en la competencia estatal en materia de bases y coordinación general de la actividad económica del art. 149.1.13 CE. Para analizar la constitucionalidad de esta disposición, la representación procesal de la Comunidad de Madrid parte del estudio de la distribución competencial en materia de vivienda y de la jurisprudencia constitucional sobre la misma. En este sentido, recuerda que el art. 148.3 CE permite que las Comunidades Autónomas asuman competencias en materia de ordenación del territorio, urbanismo y vivienda y que el art. 26.1.4 del Estatuto de Autonomía de la Comunidad Autónoma de Madrid haya asumido dicha competencia como exclusiva. Seguidamente afirma, con cita de la STC 152/1988, de 20 de julio, que las Comunidades Autónomas pueden desarrollar las bases estatales añadiendo requisitos y, en su caso, financiaciones complementarias, así como, en uso de su competencia exclusiva, crear figuras de protección autonómica.</w:t>
      </w:r>
    </w:p>
    <w:p w:rsidR="0026452D" w:rsidRDefault="0026452D" w:rsidP="0026452D">
      <w:pPr>
        <w:pStyle w:val="TextoNormal"/>
      </w:pPr>
    </w:p>
    <w:p w:rsidR="0026452D" w:rsidRDefault="0026452D" w:rsidP="0026452D">
      <w:pPr>
        <w:pStyle w:val="TextoNormal"/>
      </w:pPr>
      <w:r>
        <w:t>Con base en la doctrina de la STC 61/1997, de 20 de marzo, a propósito de la regulación del aprovechamiento tipo que establecía el texto refundido de la Ley del suelo de 1992 para favorecer la vivienda protegida, el Letrado de la Comunidad de Madrid añade que la competencia estatal en materia de vivienda al amparo del art. 149.1.13 CE ha de ir referida estrictamente a los fondos estatales que se dediquen al fomento de dicha actividad y en conexión con la incidencia de la misma en la economía nacional. A su juicio, si el título habilitante es la regulación general de la economía de la nación, no parece que ello permita al Estado utilizar otras competencias para fomentar la vivienda protegida ni tampoco establecer normativa en materia de vivienda que carezca de esa necesaria conexión con la economía nacional.</w:t>
      </w:r>
    </w:p>
    <w:p w:rsidR="0026452D" w:rsidRDefault="0026452D" w:rsidP="0026452D">
      <w:pPr>
        <w:pStyle w:val="TextoNormal"/>
      </w:pPr>
    </w:p>
    <w:p w:rsidR="0026452D" w:rsidRDefault="0026452D" w:rsidP="0026452D">
      <w:pPr>
        <w:pStyle w:val="TextoNormal"/>
      </w:pPr>
      <w:r>
        <w:t xml:space="preserve">Una vez establecido, con carácter general, el régimen de distribución de competencias en la materia, el escrito de interposición del conflicto procede a analizar los preceptos del </w:t>
      </w:r>
      <w:r>
        <w:lastRenderedPageBreak/>
        <w:t>Real Decreto 2066/2008 que son objeto de impugnación. En concreto, son los arts. 3.1 b) (obligación de los solicitantes de vivienda de estar inscritos en un registro público de demandantes) y 6 (duración del régimen de protección). Así, respecto al art. 3.1 b), señala que, en cuanto exige para acceder a las viviendas y a la financiación prevista en el Real Decreto que los demandantes estén inscritos en un registro público creado y gestionado de conformidad con lo que disponga la normativa de las Comunidades Autónomas, se vulneran las competencias de la Comunidad Autónoma de Madrid en cuanto no se acierta a comprender la conexión de dicha medida con la economía de la nación, que es la competencia ejercitada por el Estado, a diferencia de lo que ocurre con el resto de requisitos del citado precepto que aluden a la situación económica y patrimonial de los solicitantes. Añade que las competencias estatales de carácter horizontal, como la planificación general de la actividad económica, han de interpretarse de una manera estricta, ya que de lo contrario supondrían una habilitación general al Estado para intervenir en cualquier materia, de tal forma que se vaciaría de sentido la atribución a las Comunidades Autónomas de una competencia específica sobre una materia. Además, señala que este criterio restrictivo de la competencia estatal sobre planificación general de la economía se reitera, entre otras, en las SSTC 44/1982, de 8 de julio; 11/1984, de 2 de febrero; 76/1984, de 29 de junio; 37/1987, de 26 de marzo; 112/1995, de 6 de julio y 45/2001, de 15 de febrero. En base a esta doctrina, considera el Letrado de la Comunidad de Madrid que resulta cuando menos difícil ver una relación directa e inmediata entre la creación de un registro de demandantes de viviendas y la planificación general de la economía nacional. Por ello, a su juicio no puede defenderse que la imposición de la creación de un registro esté comprendida en lo básico ya que más bien representa un mecanismo de control del sistema de concesión de viviendas protegidas cuya articulación debería quedar a la decisión exclusiva de las Comunidades Autónomas en virtud de sus competencias en materia de vivienda, e inclusive se podría citar su competencia de autoorganización.</w:t>
      </w:r>
    </w:p>
    <w:p w:rsidR="0026452D" w:rsidRDefault="0026452D" w:rsidP="0026452D">
      <w:pPr>
        <w:pStyle w:val="TextoNormal"/>
      </w:pPr>
    </w:p>
    <w:p w:rsidR="0026452D" w:rsidRDefault="0026452D" w:rsidP="0026452D">
      <w:pPr>
        <w:pStyle w:val="TextoNormal"/>
      </w:pPr>
      <w:r>
        <w:t xml:space="preserve">En lo que respecta al art. 6 estima que vulnera las competencias de la Comunidad Autónoma de Madrid en materia de urbanismo pues el precepto condiciona los usos que la Comunidad Autónoma en su normativa urbanística establece para los suelos y afecta a su política urbanística ya que, al establecer dicho precepto una reserva del 50 por 100 para vivienda protegida, ello puede originar una trama urbana con una altísima proporción de vivienda protegida congelada, afectando así al modelo de ciudad que la Comunidad Autónoma, en el uso de su competencia en materia de urbanismo, puede querer configurar. Pero además de esa vulneración de las competencias autonómicas en materia de urbanismo, a su juicio se lesiona igualmente la competencia en materia de vivienda porque si el Gobierno central establece una calificación perpetua de las viviendas protegidas construidas en suelos destinados por el planeamiento a vivienda protegida, ello supone congelar dichos suelos permanentemente, sin posibilidad de que esas viviendas se descalifiquen, con lo cual el precepto estatal desvirtúa los deseos del legislador madrileño al fijar una reserva del suelo del 50 por 100. Afirma el Letrado de la Comunidad Autónoma de Madrid que la legislación básica ha de permitir siempre a las Comunidades Autónomas un margen de desarrollo de la materia y este margen no se respeta al establecer el carácter perpetuo de la calificación de la vivienda. Considera también que al establecerse una calificación perpetua de las viviendas se está procediendo a vaciar la competencia autonómica en materia de vivienda ya que la Comunidad Autónoma ha de establecer forzosamente la calificación permanente para estas viviendas cuando la normativa autonómica utiliza el plazo en el que las viviendas han de estar protegidas como un instrumento de política de vivienda. A su entender, se produce </w:t>
      </w:r>
      <w:r>
        <w:lastRenderedPageBreak/>
        <w:t>así un bloqueo de las competencias autonómicas que el Tribunal Constitucional ha rechazado en numerosas ocasiones, entre otras, en la STC 133/1997, de 16 de julio (FJ 4). Concluye afirmando que el hecho de que las viviendas no puedan desclasificarse jamás constituye una medida de política de vivienda más que una medida de política económica, pero que vulnera las competencias autonómicas en materia de vivienda y en materia de urbanismo al condicionar las reservas de suelo destinado a vivienda protegida y los suelos dotacionales públicos que establece la normativa urbanística autonómica.</w:t>
      </w:r>
    </w:p>
    <w:p w:rsidR="0026452D" w:rsidRDefault="0026452D" w:rsidP="0026452D">
      <w:pPr>
        <w:pStyle w:val="TextoNormal"/>
      </w:pPr>
    </w:p>
    <w:p w:rsidR="0026452D" w:rsidRDefault="0026452D" w:rsidP="0026452D">
      <w:pPr>
        <w:pStyle w:val="TextoNormal"/>
      </w:pPr>
      <w:r>
        <w:t>Por todo ello suplica la estimación del conflicto declarando que las competencias controvertidas corresponden a la Comunidad Autónoma de Madrid y que el Real Decreto 2066/2008, de 12 de diciembre, objeto del presente conflicto, vulnera esas competencias al impedir su ejercicio por la Comunidad Autónoma.</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5 de mayo de 2009 el Pleno del Tribunal, a propuesta de la Sección Cuarta, acordó admitir a trámite el presente conflicto; dar traslado de la demanda y documentos presentados al Gobierno de la Nación, al objeto de presentar alegaciones en el plazo de veinte días; comunicar la incoación del conflicto a la Sala de lo Contencioso-Administrativo del Tribunal Supremo, por si ante la misma estuvieran impugnados o se impugnaren los citados preceptos, en cuyo caso se suspenderá el curso del procedimiento hasta la decisión del conflicto, según dispone el art. 61.2 de la Ley Orgánica del Tribunal Constitucional (LOTC), y publicar la incoación del conflicto en el “Boletín Oficial del Estado” y en el “Boletín Oficial de la Comunidad de Madrid”.</w:t>
      </w:r>
    </w:p>
    <w:p w:rsidR="0026452D" w:rsidRDefault="0026452D" w:rsidP="0026452D">
      <w:pPr>
        <w:pStyle w:val="TextoNormal"/>
      </w:pPr>
    </w:p>
    <w:p w:rsidR="0026452D" w:rsidRDefault="0026452D" w:rsidP="0026452D">
      <w:pPr>
        <w:pStyle w:val="TextoNormal"/>
      </w:pPr>
      <w:r w:rsidRPr="0026452D">
        <w:rPr>
          <w:rStyle w:val="NumeroAFNegritaCaracter"/>
        </w:rPr>
        <w:t>3</w:t>
      </w:r>
      <w:r>
        <w:t>. Por escrito de 13 de mayo de 2009 el Abogado del Estado se personó en el proceso solicitando una prórroga del plazo concedido para formular alegaciones, prórroga que le fue concedida mediante providencia de 14 de mayo de 2009. El escrito de alegaciones del Abogado del Estado se registró el día 23 de junio de 2009. En dicho escrito se opone a la demanda por las razones que se exponen a continuación.</w:t>
      </w:r>
    </w:p>
    <w:p w:rsidR="0026452D" w:rsidRDefault="0026452D" w:rsidP="0026452D">
      <w:pPr>
        <w:pStyle w:val="TextoNormal"/>
      </w:pPr>
    </w:p>
    <w:p w:rsidR="0026452D" w:rsidRDefault="0026452D" w:rsidP="0026452D">
      <w:pPr>
        <w:pStyle w:val="TextoNormal"/>
      </w:pPr>
      <w:r>
        <w:t>El Abogado del Estado, tras realizar un planteamiento general sobre el objeto del conflicto, examina si, al amparo de la doctrina constitucional, la actuación del Estado se halla justificada por la competencia que el art. 149.1.13 CE le atribuye sobre las bases y coordinación de la planificación general de la actividad económica. Recuerda que la ordenación y promoción de sectores económicos como competencia integrante del título estatal relativo a la planificación general de la actividad económica ha sido objeto de numerosa jurisprudencia constitucional, en la que a su vez ha sido una constante la exigencia de una cierta relevancia económica para justificar que una norma estatal pueda ampararse en la competencia relativa a la “planificación general de la actividad económica”. Como ejemplo de Sentencias que realizan ese control de relevancia económica, el Abogado del Estado cita las SSTC 152/1988, de 20 de julio, 59/1995, de 17 de marzo, y 61/1997, de 20 de marzo; afirma que la jurisprudencia constitucional ha reconocido la competencia del Estado para ordenar y proteger el subsector vivienda, con base en su especial incidencia en la economía española. A su juicio, resulta innegable que el subsector de la vivienda tiene un peso significativo en la economía nacional, en general, y en el sector de la construcción, en particular, y que la tarea estatal de fomento en materia de vivienda se encuentra respaldada por el título competencial a que se refiere el art. 149.1.13 CE.</w:t>
      </w:r>
    </w:p>
    <w:p w:rsidR="0026452D" w:rsidRDefault="0026452D" w:rsidP="0026452D">
      <w:pPr>
        <w:pStyle w:val="TextoNormal"/>
      </w:pPr>
    </w:p>
    <w:p w:rsidR="0026452D" w:rsidRDefault="0026452D" w:rsidP="0026452D">
      <w:pPr>
        <w:pStyle w:val="TextoNormal"/>
      </w:pPr>
      <w:r>
        <w:lastRenderedPageBreak/>
        <w:t>A continuación, el Abogado del Estado analiza la constitucionalidad de los preceptos impugnados. En primer lugar, señala que lo establecido en las disposiciones recurridas no son prescripciones de necesaria aplicación, sino que únicamente resultarán de observancia obligatoria para las Comunidades Autónomas que así lo decidan, optando por que en su territorio puedan obtenerse tales ayudas estatales y financiación convenida. Tras esta afirmación pasa a analizar los preceptos impugnados.</w:t>
      </w:r>
    </w:p>
    <w:p w:rsidR="0026452D" w:rsidRDefault="0026452D" w:rsidP="0026452D">
      <w:pPr>
        <w:pStyle w:val="TextoNormal"/>
      </w:pPr>
    </w:p>
    <w:p w:rsidR="0026452D" w:rsidRDefault="0026452D" w:rsidP="0026452D">
      <w:pPr>
        <w:pStyle w:val="TextoNormal"/>
      </w:pPr>
      <w:r>
        <w:t>En relación con el art. 3.1 b) señala que se trata de un precepto en el que no se regula un registro único de demandantes, sino que se limita a prever su creación y contenido básico, con lo que traslada a cada Comunidad Autónoma la obligación de instaurar estos registros, pero sin entrar en aspectos de gestión de los mismos, declarando de forma expresa que la gestión de estos registros de carácter público o equivalentes corresponderá a cada Comunidad Autónoma, de acuerdo con su normativa propia. Añade que el señalamiento de los requisitos mínimos que los eventuales beneficiarios han de cumplir para poder acceder a las ayudas estatales constituye uno de los elementos esenciales del ámbito de protección que puede reservarse el Estado. En última instancia, es uno de los instrumentos más útiles para conseguir delimitar el destino de las cantidades que el Estado aporta para la protección a la promoción de viviendas y su adquisición. La normativa estatal no sólo determina las actuaciones protegibles a las que se destinan los fondos aportados, sino también las características de las personas que pueden acceder a las ayudas. En este sentido, sostiene que partiendo de admitir que las condiciones generales de los demandantes de vivienda y financiación constituyen elemento esencial para el cumplimiento de los objetivos en materia de vivienda propuestos por el Estado al recoger la articulación jurídica de las ayudas económicas programadas, el contenido del precepto impugnado ha de ser considerado básico y, concretamente, la inscripción en un registro público de demandantes que sin duda resulta igualmente indispensable para el eficaz cumplimiento de los objetivos estatales. En consecuencia, señala que en tanto la consideración de la vivienda como protegida entra en la definición misma de las actuaciones protegibles, el establecimiento de un registro de demandantes o solicitantes de vivienda protegida contribuye a aportar datos esenciales para la determinación básica de dichas actuaciones. Para el Abogado del Estado se trata de garantizar que el subsector protegido de vivienda, además de mantener las características que lo definen normativamente como tal, se consolide en los mercados de vivienda como una opción eficaz y creíble para satisfacer adecuadamente las necesidades de alojamiento de la población, especialmente la de ingresos medios y bajos, actuando a su vez como contrapeso y elemento moderador de las grandes fluctuaciones de precios que pueden aquejar a los mercados de vivienda. Considera que el registro público de demandantes constituye un mecanismo de asignación de beneficiarios de las viviendas protegidas que contribuye a evitar la posibilidad de que por los vendedores de dichas viviendas se exijan precios superiores a los administrativamente fijados. Es decir, con la inscripción de los demandantes en los registros públicos se trata de obviar la aplicación de sobreprecios ilegales a las viviendas incluidas en el subsector protegido. Por ello, insiste el Abogado del Estado, el registro de demandantes tiene una incidencia directa sobre la caracterización del subsector protegido de vivienda que a su vez presenta un importante papel potencial en el equilibrio de los mercados de vivienda, factor clave en la política económica general.</w:t>
      </w:r>
    </w:p>
    <w:p w:rsidR="0026452D" w:rsidRDefault="0026452D" w:rsidP="0026452D">
      <w:pPr>
        <w:pStyle w:val="TextoNormal"/>
      </w:pPr>
    </w:p>
    <w:p w:rsidR="0026452D" w:rsidRDefault="0026452D" w:rsidP="0026452D">
      <w:pPr>
        <w:pStyle w:val="TextoNormal"/>
      </w:pPr>
      <w:r>
        <w:t xml:space="preserve">Seguidamente señala el Abogado del Estado que los registros públicos de demandantes ya estaban establecidos en el Real Decreto 801/2005, de 1 de julio, por el que se aprobó el anterior plan estatal de vivienda 2005-2008, en respuesta a la voluntad de determinadas </w:t>
      </w:r>
      <w:r>
        <w:lastRenderedPageBreak/>
        <w:t>Comunidades Autónomas de satisfacer, desde una norma estatal, su deseo de conocimiento, estructuración y ordenación de la demanda de vivienda de protección oficial en los distintos ámbitos territoriales, al objeto de que las Administraciones públicas más directamente afectadas tuvieran oportuna información tanto de la demanda real existente en su territorio como de las condiciones sociales y económicas de los eventuales demandantes de este tipo de viviendas. En todo caso, destaca que la ponderación de la constitucionalidad del art. 3.1 b) del Real Decreto 2066/2008 debe hacerse sobre la base de los criterios ampliamente reiterados por este Tribunal en relación con los registros estatales, singularmente la STC 197/1996, de 28 de noviembre, que recopila la doctrina anteriormente recaída en numerosos pronunciamientos. A la vista de dicha jurisprudencia sostiene que difícilmente puede aceptarse la imputación de inconstitucionalidad que se dirige contra el art. 3.1 b), pues si este Tribunal Constitucional ha declarado conforme con el orden constitucional de distribución de competencias la existencia de un registro único para todo el Estado en aquellos ámbitos materiales sobre los que el mismo ostente competencias legislativas básicas, no parece que pueda negarse la constitucionalidad de la mera previsión básica de existencia de registros autonómicos, cuya creación y gestión se encomienda expresamente a las distintas Comunidades Autónomas.</w:t>
      </w:r>
    </w:p>
    <w:p w:rsidR="0026452D" w:rsidRDefault="0026452D" w:rsidP="0026452D">
      <w:pPr>
        <w:pStyle w:val="TextoNormal"/>
      </w:pPr>
    </w:p>
    <w:p w:rsidR="0026452D" w:rsidRDefault="0026452D" w:rsidP="0026452D">
      <w:pPr>
        <w:pStyle w:val="TextoNormal"/>
      </w:pPr>
      <w:r>
        <w:t>En relación con el art. 6, señala el Abogado del Estado que pese a que formalmente constituye objeto de impugnación en el presente conflicto la totalidad del precepto, el escrito rector de este proceso únicamente razona sobre la inconstitucionalidad de su apartado 1. Destaca que el art. 6 se dirige a fijar las condiciones que vinculan la financiación con fondos públicos del Estado de determinadas viviendas y alojamientos que desean acogerse a aquéllos, lo que permite afirmar que nos encontramos realmente ante un asunto económico y no urbanístico, que por ello difícilmente puede llegar a condicionar las competencias urbanísticas de la Comunidad Autónoma. Por tanto, a su juicio, la cuestión parece circunscribirse al plazo de treinta años que establece el art. 6.1 y que constituye el requisito mínimo temporal a cumplir, incluso cuando las correspondientes condiciones urbanísticas hubieran ya desaparecido.</w:t>
      </w:r>
    </w:p>
    <w:p w:rsidR="0026452D" w:rsidRDefault="0026452D" w:rsidP="0026452D">
      <w:pPr>
        <w:pStyle w:val="TextoNormal"/>
      </w:pPr>
    </w:p>
    <w:p w:rsidR="0026452D" w:rsidRDefault="0026452D" w:rsidP="0026452D">
      <w:pPr>
        <w:pStyle w:val="TextoNormal"/>
      </w:pPr>
      <w:r>
        <w:t>Afirma el Abogado del Estado que la medida cuya constitucionalidad se cuestiona no tiene carácter novedoso sino que viene a intensificar una tendencia normativa que parte del plan de vivienda 2002-2005 con el que se trata de lograr una mayor estabilidad en la permanencia del régimen de las viviendas protegidas, y no prohibiendo las transacciones, sino fijándoles precios máximos y limitándolas a ocupantes con determinadas características. Añade que, en todo caso, la facultad de fijación del plazo para descalificar una vivienda dotada de protección ha de estimarse incluida dentro de la facultad estatal para determinar la regulación esencial del nivel de protección que se pretenda ofrecer en cada caso y que, como ha señalado la STC 152/1988, de 20 de julio, FJ 4, constituye una de las actuaciones que el Estado puede llevar a cabo en materia de financiación de viviendas.</w:t>
      </w:r>
    </w:p>
    <w:p w:rsidR="0026452D" w:rsidRDefault="0026452D" w:rsidP="0026452D">
      <w:pPr>
        <w:pStyle w:val="TextoNormal"/>
      </w:pPr>
    </w:p>
    <w:p w:rsidR="0026452D" w:rsidRDefault="0026452D" w:rsidP="0026452D">
      <w:pPr>
        <w:pStyle w:val="TextoNormal"/>
      </w:pPr>
      <w:r>
        <w:t xml:space="preserve">A continuación señala que el plan estatal de vivienda sólo establece condiciones de financiación para las actuaciones previstas en el mismo, que además vayan a contar con financiación procedente de dicho plan. Esto es, sus prescripciones limitan su eficacia a las viviendas “que se acojan a la financiación de este Plan”, dictadas por el Estado al amparo de sus competencias, sin condicionar la política de vivienda que puedan desplegar las Comunidades Autónomas mediante sus propios programas. Por ello, afirma que la disposición </w:t>
      </w:r>
      <w:r>
        <w:lastRenderedPageBreak/>
        <w:t>impugnada permite su desarrollo por las Comunidades Autónomas, pudiendo establecer un plazo superior para autorizar la descalificación voluntaria.</w:t>
      </w:r>
    </w:p>
    <w:p w:rsidR="0026452D" w:rsidRDefault="0026452D" w:rsidP="0026452D">
      <w:pPr>
        <w:pStyle w:val="TextoNormal"/>
      </w:pPr>
    </w:p>
    <w:p w:rsidR="0026452D" w:rsidRDefault="0026452D" w:rsidP="0026452D">
      <w:pPr>
        <w:pStyle w:val="TextoNormal"/>
      </w:pPr>
      <w:r>
        <w:t>Seguidamente afirma que si las ayudas van destinadas a mejorar el acceso y uso de la vivienda a los ciudadanos con especiales dificultades económicas, la fijación de mínimos temporales no persigue sino que la financiación de vivienda protegida se destine realmente a crear vivienda protegida, sin que se desvirtúe en último término el sentido de la subvención, por cuanto es evidente que cada vivienda protegida que se descalifique hará perder la finalidad del dinero público que se le destinó, y al pasar al mercado libre, contribuirá a favorecer un proceso dirigido a la especulación. En definitiva, a su juicio, y partiendo de admitir que la limitación temporal en la descalificación voluntaria de las viviendas protegidas que hayan gozado de ayudas públicas conforme al plan estatal no constituye una regla urbanística, sino que se trata de una medida básica de política económica que se inserta en la política de vivienda, resulta innegable la cobertura competencial que el art. 6 impugnado encuentra en el art. 149.1.13 CE. Afirma que la incidencia directa y significativa de la medida incluida en el art. 6, en el sector económico, en la lucha contra la especulación y en la efectividad del derecho a la vivienda para los colectivos más desfavorecidos, resulta incuestionable. Añade que la regulación de las limitaciones a la propiedad obtenida con la financiación cualificada ha de considerarse de carácter básico, puesto que configura uno de los aspectos esenciales de la política de vivienda establecida por el Estado, al tratarse de una auténtica contrapartida de los beneficios obtenidos que garantiza el cumplimiento de los propios fines pretendidos con el establecimiento de estas ayudas.</w:t>
      </w:r>
    </w:p>
    <w:p w:rsidR="0026452D" w:rsidRDefault="0026452D" w:rsidP="0026452D">
      <w:pPr>
        <w:pStyle w:val="TextoNormal"/>
      </w:pPr>
    </w:p>
    <w:p w:rsidR="0026452D" w:rsidRDefault="0026452D" w:rsidP="0026452D">
      <w:pPr>
        <w:pStyle w:val="TextoNormal"/>
      </w:pPr>
      <w:r>
        <w:t>Por último, señala que la ausencia de argumentación en el escrito de demanda sobre la constitucionalidad del apartado 2 del art. 6, exime a esa representación de la defensa de dicho apartado, al desconocerse los motivos en los que la parte actora fundamentara una posible vulneración competencial.</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7 de mayo de 2013, se acordó señalar para deliberación y votación de la presente Sentencia el día 9 del mismo mes y año, trámite que ha finalizado en el día de hoy.</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 El presente proceso constitucional tiene por objeto resolver el conflicto positivo de competencia promovido por el Consejo de Gobierno de la Comunidad de Madrid contra los arts. 3.1 b) y 6 del Real Decreto 2066/2008, de 12 de diciembre, por el que se regula el plan estatal de vivienda y rehabilitación 2009-2012.</w:t>
      </w:r>
    </w:p>
    <w:p w:rsidR="0026452D" w:rsidRDefault="0026452D" w:rsidP="0026452D">
      <w:pPr>
        <w:pStyle w:val="TextoNormal"/>
      </w:pPr>
    </w:p>
    <w:p w:rsidR="0026452D" w:rsidRDefault="0026452D" w:rsidP="0026452D">
      <w:pPr>
        <w:pStyle w:val="TextoNormal"/>
      </w:pPr>
      <w:r>
        <w:t xml:space="preserve">Para el Consejo de Gobierno de la Comunidad Autónoma de Madrid los arts. 3.1 b) y 6 del Real Decreto 2066/2008 vulneran sus competencias exclusivas en materia de vivienda y urbanismo, pues ni la obligación de los solicitantes de vivienda de estar inscritos en un registro público de demandantes [art. 3.1 b)], ni la fijación de un plazo de duración mínimo al régimen de protección pública de las viviendas (art. 6), tienen conexión con la competencia estatal en materia de bases y coordinación general de la actividad económica del art. 149.1.13 CE, que es el título competencial en el que se ampara la citada norma para establecer una serie de medidas dirigidas al fomento de la vivienda protegida. Por el contrario, </w:t>
      </w:r>
      <w:r>
        <w:lastRenderedPageBreak/>
        <w:t>el Abogado del Estado sostiene que ambos preceptos tienen una incidencia directa y significativa en el sector económico en atención a la necesidad de garantizar el subsector protegido de vivienda que a su vez presenta un importante papel potencial en el equilibrio de los mercados de vivienda, factor clave en la política económica general.</w:t>
      </w:r>
    </w:p>
    <w:p w:rsidR="0026452D" w:rsidRDefault="0026452D" w:rsidP="0026452D">
      <w:pPr>
        <w:pStyle w:val="TextoNormal"/>
      </w:pPr>
    </w:p>
    <w:p w:rsidR="0026452D" w:rsidRDefault="0026452D" w:rsidP="0026452D">
      <w:pPr>
        <w:pStyle w:val="TextoNormal"/>
      </w:pPr>
      <w:r w:rsidRPr="0026452D">
        <w:rPr>
          <w:rStyle w:val="NumeroAFNegritaCaracter"/>
        </w:rPr>
        <w:t>2</w:t>
      </w:r>
      <w:r>
        <w:t>. Una vez expuestas sintéticamente las posiciones de las partes que se enfrentan en este proceso, resulta conveniente realizar algunas precisiones de orden procesal, antes de proceder al examen de la cuestión de fondo.</w:t>
      </w:r>
    </w:p>
    <w:p w:rsidR="0026452D" w:rsidRDefault="0026452D" w:rsidP="0026452D">
      <w:pPr>
        <w:pStyle w:val="TextoNormal"/>
      </w:pPr>
    </w:p>
    <w:p w:rsidR="0026452D" w:rsidRDefault="0026452D" w:rsidP="0026452D">
      <w:pPr>
        <w:pStyle w:val="TextoNormal"/>
      </w:pPr>
      <w:r>
        <w:t>a) En primer lugar, es preciso determinar la vigencia de la controversia competencial en los términos en que ha sido planteada, a la vista de las modificaciones operadas en el Real Decreto 2066/2008, por el Real Decreto 1961/2009, de 18 de diciembre, que introduce nuevas medidas transitorias en el plan estatal de vivienda y rehabilitación 2009-2012, y por el Real Decreto 1713/2010, de 17 de diciembre, que modifica el Real Decreto 2066/2008, de 12 de diciembre. Pues bien, ninguna de estas modificaciones ha afectado a los artículos frente a los que se ha interpuesto el presente conflicto positivo de competencia, por lo que debemos entender que el conflicto pervive en los términos en que ha sido formulado.</w:t>
      </w:r>
    </w:p>
    <w:p w:rsidR="0026452D" w:rsidRDefault="0026452D" w:rsidP="0026452D">
      <w:pPr>
        <w:pStyle w:val="TextoNormal"/>
      </w:pPr>
    </w:p>
    <w:p w:rsidR="0026452D" w:rsidRDefault="0026452D" w:rsidP="0026452D">
      <w:pPr>
        <w:pStyle w:val="TextoNormal"/>
      </w:pPr>
      <w:r>
        <w:t>Así mismo, debe tenerse en cuenta que el plan estatal de vivienda 2009-2012 no ha sido derogado por el Real Decreto 233/2013, de 5 de abril, por el que se regula el plan estatal de fomento del alquiler de viviendas, la rehabilitación edificatoria y la regeneración y renovación urbanas, 2013-2016, sino que ha concluido el período para cuya eficacia fue aprobado, a lo que se añade, tal y como hemos señalado en relación con las normas reguladoras de ayudas públicas y con las leyes de presupuestos, que “excluir la posibilidad de examen constitucional en estos supuestos ‘sería tanto como negar la posibilidad de control por este Tribunal Constitucional de determinadas normas con vigencia limitada en el tiempo ... creándose así un ámbito normativo (estatal o autonómico) inmune al control de la jurisdicción constitucional’ (por todas, STC 13/2007, de 18 de enero, FJ 1)” (STC 197/2012, de 6 de noviembre, FJ 2).</w:t>
      </w:r>
    </w:p>
    <w:p w:rsidR="0026452D" w:rsidRDefault="0026452D" w:rsidP="0026452D">
      <w:pPr>
        <w:pStyle w:val="TextoNormal"/>
      </w:pPr>
    </w:p>
    <w:p w:rsidR="0026452D" w:rsidRDefault="0026452D" w:rsidP="0026452D">
      <w:pPr>
        <w:pStyle w:val="TextoNormal"/>
      </w:pPr>
      <w:r>
        <w:t xml:space="preserve">b) Y, en segundo lugar, debemos delimitar el objeto del presente conflicto positivo de competencias. En efecto, pese a que formalmente constituye el objeto de la impugnación la totalidad del art. 6, el escrito de interposición del conflicto de competencias únicamente aporta argumentos suficientes en relación con los motivos o causas de la infracción de su apartado 1. Por tanto, habremos de atenernos a la doctrina que hemos mantenido en supuestos similares, según la cual “no basta la mera invocación formal de los preceptos en la demanda (STC 98/1989, FJ 5) o incluso, como sucede en este caso,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 Efectivamente, hemos de recordar aquí una vez más que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FJ 2; y 118/1998, FJ 4). Cuando lo que está en juego es la depuración del ordenamiento jurídico, es carga de los recurrentes no sólo la de abrir la vía </w:t>
      </w:r>
      <w:r>
        <w:lastRenderedPageBreak/>
        <w:t>para que el Tribunal pueda pronunciarse, sino también la de colaborar con la justicia del Tribunal en un pormenorizado análisis de las graves cuestiones que se suscitan.” (STC 233/1999, de 16 de diciembre, FJ 2).</w:t>
      </w:r>
    </w:p>
    <w:p w:rsidR="0026452D" w:rsidRDefault="0026452D" w:rsidP="0026452D">
      <w:pPr>
        <w:pStyle w:val="TextoNormal"/>
      </w:pPr>
    </w:p>
    <w:p w:rsidR="0026452D" w:rsidRDefault="0026452D" w:rsidP="0026452D">
      <w:pPr>
        <w:pStyle w:val="TextoNormal"/>
      </w:pPr>
      <w:r>
        <w:t>Así pues, el objeto del presente proceso queda delimitado a los arts. 3.1 b) y 6.1 del Real Decreto 2066/2008.</w:t>
      </w:r>
    </w:p>
    <w:p w:rsidR="0026452D" w:rsidRDefault="0026452D" w:rsidP="0026452D">
      <w:pPr>
        <w:pStyle w:val="TextoNormal"/>
      </w:pPr>
    </w:p>
    <w:p w:rsidR="0026452D" w:rsidRDefault="0026452D" w:rsidP="0026452D">
      <w:pPr>
        <w:pStyle w:val="TextoNormal"/>
      </w:pPr>
      <w:r w:rsidRPr="0026452D">
        <w:rPr>
          <w:rStyle w:val="NumeroAFNegritaCaracter"/>
        </w:rPr>
        <w:t>3</w:t>
      </w:r>
      <w:r>
        <w:t>. El Real Decreto 2066/2008, de 12 de diciembre regula el plan estatal de vivienda y rehabilitación 2009-2012, que prevé la concesión de una serie de ayudas a quienes cumplan los requisitos previstos en la norma, para la promoción de viviendas protegidas de nueva construcción, o procedentes de la rehabilitación, destinadas a la venta, al uso propio o al arrendamiento, para el alquiler de viviendas nuevas o usadas, libres o protegidas destinadas a vivienda habitual del arrendatario, para la rehabilitación de conjuntos históricos, centros urbanos, barrios degradados y municipios rurales, para la mejora de la eficiencia energética y de la accesibilidad y la utilización de energías renovables, para la adquisición y urbanización de suelo para vivienda protegida y para la gestión del plan y la información a los ciudadanos.</w:t>
      </w:r>
    </w:p>
    <w:p w:rsidR="0026452D" w:rsidRDefault="0026452D" w:rsidP="0026452D">
      <w:pPr>
        <w:pStyle w:val="TextoNormal"/>
      </w:pPr>
    </w:p>
    <w:p w:rsidR="0026452D" w:rsidRDefault="0026452D" w:rsidP="0026452D">
      <w:pPr>
        <w:pStyle w:val="TextoNormal"/>
      </w:pPr>
      <w:r>
        <w:t>El art. 13 del Real Decreto 2066/2008 establece en qué consistirán las ayudas del plan. Este artículo ha sido modificado por el Real Decreto 1713/2010, de 17 de diciembre, para adaptarlo a los nuevos requerimientos de contención del gasto público y consolidación fiscal derivados de la crisis económica, y ha suprimido la ayuda estatal directa a la entrada. Así, tras dicha supresión, las ayudas financieras del plan consistirán en subsidios de préstamos convenidos y subvenciones. Ambas modalidades de ayuda encajan en la categoría de la subvención pues, siguiendo la definición que de subvención recoge el art. 2 de la Ley 38/2003, de 17 de noviembre, general de subvenciones, nos encontramos ante una disposición dineraria realizada por una Administración pública a favor de personas públicas o privadas, sin contraprestación directa de los beneficiarios, pero sujeta a la ejecución de un proyecto, como la construcción o rehabilitación de una vivienda, o la realización de una determinada actividad, como la adquisición o el arrendamiento de una vivienda, con el objeto de promover la realización de una finalidad pública, cual es la efectividad del derecho a la vivienda reconocido en el art. 47 CE.</w:t>
      </w:r>
    </w:p>
    <w:p w:rsidR="0026452D" w:rsidRDefault="0026452D" w:rsidP="0026452D">
      <w:pPr>
        <w:pStyle w:val="TextoNormal"/>
      </w:pPr>
    </w:p>
    <w:p w:rsidR="0026452D" w:rsidRDefault="0026452D" w:rsidP="0026452D">
      <w:pPr>
        <w:pStyle w:val="TextoNormal"/>
      </w:pPr>
      <w:r>
        <w:t>Pues bien, en la resolución de las controversias que se suscitan respecto a la regulación y aplicación de las ayudas y subvenciones que puedan establecerse en las áreas o segmentos de la acción pública, hemos de partir de la distribución de competencias existente en la materia constitucional en la que proceda encuadrar las subvenciones de que se trate. Por ello, la resolución del presente conflicto exige comenzar por el encuadramiento competencial de las ayudas reguladas, a fin de determinar, si a la vista de las competencias del Estado y de la Comunidad Autónoma de Madrid, se ha producido la vulneración competencial denunciada, tomando como parámetro sustantivo la doctrina constitucional, especialmente la recogida en la STC 13/1992, de 6 de febrero.</w:t>
      </w:r>
    </w:p>
    <w:p w:rsidR="0026452D" w:rsidRDefault="0026452D" w:rsidP="0026452D">
      <w:pPr>
        <w:pStyle w:val="TextoNormal"/>
      </w:pPr>
    </w:p>
    <w:p w:rsidR="0026452D" w:rsidRDefault="0026452D" w:rsidP="0026452D">
      <w:pPr>
        <w:pStyle w:val="TextoNormal"/>
      </w:pPr>
      <w:r>
        <w:t xml:space="preserve">El Real Decreto 2066/2008, de 12 de diciembre, se aprueba al amparo de lo dispuesto en el art. 149.1.13 CE, que atribuye al Estado competencia exclusiva en materia de bases y coordinación de la planificación general de la actividad económica, excepto el art. 7 y la disposición adicional cuarta, que se dictan al amparo de lo dispuesto en el art. 149.1.18 CE, </w:t>
      </w:r>
      <w:r>
        <w:lastRenderedPageBreak/>
        <w:t>que atribuye al Estado la competencia exclusiva de ordenación de los registros e instrumentos públicos.</w:t>
      </w:r>
    </w:p>
    <w:p w:rsidR="0026452D" w:rsidRDefault="0026452D" w:rsidP="0026452D">
      <w:pPr>
        <w:pStyle w:val="TextoNormal"/>
      </w:pPr>
    </w:p>
    <w:p w:rsidR="0026452D" w:rsidRDefault="0026452D" w:rsidP="0026452D">
      <w:pPr>
        <w:pStyle w:val="TextoNormal"/>
      </w:pPr>
      <w:r>
        <w:t>El art. 148.1.3 CE permite que las Comunidades Autónomas asuman competencias en materia de ordenación del territorio, urbanismo y vivienda. En este sentido el art. 26.1.4 del Estatuto de Autonomía de la Comunidad de Madrid, aprobado por Ley Orgánica 3/1983, de 25 de febrero, ha asumido dicha competencia como exclusiva. Ahora bien esto no quiere decir que el Estado carezca de todo mecanismo de intervención en materia de urbanismo y vivienda. En efecto, en materia de vivienda, la evidente conexión del mercado inmobiliario con la economía nacional ha posibilitado que el Estado siga ejercitando una función de fomento de dicha actividad y así lo ha reconocido este Tribunal en su Sentencia 152/1988, de 20 de julio. En efecto, según la citada Sentencia la competencia autonómica en materia de vivienda se halla limitada por las competencias del Estado sobre las bases y coordinación de la planificación general de la actividad económica. Tanto el art. 149 de la Constitución como los Estatutos de Autonomía “dejan a salvo las facultades de dirección general de la economía y, por tanto, de cada uno de los sectores productivos, que han de quedar en poder de los órganos centrales del Estado. En consecuencia, dentro de la competencia de dirección de la actividad económica general tienen cobijo también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Este razonamiento es también aplicable al sector de la vivienda, y en particular, dentro del mismo, a la actividad promocional, dada su muy estrecha relación con la política económica general, en razón de la incidencia que el impulso de la construcción tiene como factor del desarrollo económico y, en especial, como elemento generador de empleo” (STC 152/1988, de 20 de julio, FJ 2).</w:t>
      </w:r>
    </w:p>
    <w:p w:rsidR="0026452D" w:rsidRDefault="0026452D" w:rsidP="0026452D">
      <w:pPr>
        <w:pStyle w:val="TextoNormal"/>
      </w:pPr>
    </w:p>
    <w:p w:rsidR="0026452D" w:rsidRDefault="0026452D" w:rsidP="0026452D">
      <w:pPr>
        <w:pStyle w:val="TextoNormal"/>
      </w:pPr>
      <w:r>
        <w:t xml:space="preserve">De esta forma la STC 152/1988, de 20 de julio, distingue en su fundamento jurídico 4 cuatro aspectos en los cuales se puede admitir la competencia estatal de fomento en materia de vivienda: la definición de las actuaciones protegidas; la regulación esencial de las fórmulas de financiación adoptadas (créditos cualificados, subsidiación de préstamos y subvenciones); el nivel de protección; y, la aportación de recursos estatales. En consecuencia, “la regulación estatal de cada uno de estos cuatro aspectos no invade competencia autonómica alguna, pues se halla legitimada por lo dispuesto en el art. 149.1.13 CE”. Ahora bien, “ello no significa que las Comunidades Autónomas con competencias en materia de vivienda hayan de quedar absolutamente desprovistas de cualquier atribución por lo que se refiere a las actuaciones protegibles en el sector. Por un lado, es evidente que, en función de aquellas competencias estatutarias, pueden definir y llevar a cabo una política de vivienda propia, complementando las actuaciones de protección y promoción previstas por el Estado, con cargo a sus propios recursos ... Pero además, para la ejecución de la normativa estatal reguladora de las actuaciones protegibles que, como diremos más adelante, les corresponde, las Comunidades Autónomas deben contar con un margen de libertad de decisión que les permita aplicar las medidas estatales adaptándolas a las peculiares circunstancias de su territorio, sin perjuicio del respeto debido a los elementos indispensables que las normas estatales arbitran para alcanzar los fines de política económica general propuestos. Sólo de esta manera es posible conciliar el ejercicio de las competencias del Estado sobre la planificación y coordinación en el sector económico de la vivienda, incluida la utilización instrumental de sus competencias sobre las bases de ordenación del crédito, con las competencias autonómicas en materia de vivienda. Así, si las primeras legitiman una intervención del </w:t>
      </w:r>
      <w:r>
        <w:lastRenderedPageBreak/>
        <w:t>Estado que condiciona en parte la globalidad de la política de vivienda de cada Comunidad Autónoma, dicha intervención no puede extenderse, so pretexto de un absoluto igualitarismo, a la regulación de elementos de detalle de las condiciones de financiación que la priven de toda operatividad en determinadas zonas del territorio nacional. Antes bien, a las Comunidades Autónomas corresponde integrar en su política general de vivienda las ayudas reguladas por el Estado para el cumplimiento de las finalidades a que responden, con capacidad suficiente para modalizar, en su caso, las reglas generales, al objeto de conseguir una sustancial igualdad de resultados.” (FJ 4).</w:t>
      </w:r>
    </w:p>
    <w:p w:rsidR="0026452D" w:rsidRDefault="0026452D" w:rsidP="0026452D">
      <w:pPr>
        <w:pStyle w:val="TextoNormal"/>
      </w:pPr>
    </w:p>
    <w:p w:rsidR="0026452D" w:rsidRDefault="0026452D" w:rsidP="0026452D">
      <w:pPr>
        <w:pStyle w:val="TextoNormal"/>
      </w:pPr>
      <w:r>
        <w:t>En el mismo sentido, se han pronunciado las SSTC 59/1995, de 17 de marzo, y 61/1997, de 20 de marzo, al admitir la facultad estatal de intervenir en materia de vivienda amparándose en el art. 149.1.13 CE.</w:t>
      </w:r>
    </w:p>
    <w:p w:rsidR="0026452D" w:rsidRDefault="0026452D" w:rsidP="0026452D">
      <w:pPr>
        <w:pStyle w:val="TextoNormal"/>
      </w:pPr>
    </w:p>
    <w:p w:rsidR="0026452D" w:rsidRDefault="0026452D" w:rsidP="0026452D">
      <w:pPr>
        <w:pStyle w:val="TextoNormal"/>
      </w:pPr>
      <w:r>
        <w:t>Por lo que se refiere a la materia de urbanismo la STC 61/1997, de 20 de marzo, FJ 6 b) ha señalado que “la competencia autonómica exclusiva sobre urbanismo ha de integrarse sistemáticamente con aquéllas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Tres son, por tanto, las competencias estatales más importantes mediante las cuales puede el Estado incidir legítima y puntualmente sobre la materia de urbanismo: la propiedad urbana, la expropiación forzosa y la responsabilidad administrativa. Es cierto que hay otras competencias que también podrán incidir de algún modo sobre el urbanismo. Entre ellas cabe destacar la competencia sobre las bases y coordinación general de la actividad económica, aunque la invocación de este título competencial estatal sólo podrá legitimarse si la norma de que se trate responde efectiva y estrictamente a la dirección general de la economía. Así lo hemos afirmado en la citada STC 61/1997, FJ 36, al señalar que el problema radica en determinar el alcance del art. 149.1.13 CE “cuando, como es el caso, incide sobre una competencia autonómica sectorial, porque, como hemos reiterado, ‘cuando el Estado se apoya en un título tan genérico como es el de bases y coordinación de la planificación de la actividad económica frente a la competencia exclusiva... de las Comunidades Autónomas, no puede, salvo cualificadas excepciones, continuar operando con todos los instrumentos de los que disponía con anterioridad a la descentralización del mismo, incidiendo continua y diariamente en una materia que ha quedado ampliamente fuera de su competencia...’ (STC 213/1994, FJ 10). Por lo que aquí interesa, tal inteligencia restrictiva del art. 149.1.13 CE cuando afecta a la competencia urbanística de las Comunidades Autónomas ha de verse complementada además por una interpretación finalista o teleológica, de modo que tan sólo aquellas normas básicas que respondan efectiva y estrictamente a la planificación general de la actividad económica podrían encontrar cobijo en el referido título, que impide la producción de normas que, aunque relacionadas con esa planificación general, no guarden esa inmediata y directa relación con la dirección de la economía”.</w:t>
      </w:r>
    </w:p>
    <w:p w:rsidR="0026452D" w:rsidRDefault="0026452D" w:rsidP="0026452D">
      <w:pPr>
        <w:pStyle w:val="TextoNormal"/>
      </w:pPr>
    </w:p>
    <w:p w:rsidR="0026452D" w:rsidRDefault="0026452D" w:rsidP="0026452D">
      <w:pPr>
        <w:pStyle w:val="TextoNormal"/>
      </w:pPr>
      <w:r>
        <w:t xml:space="preserve">Estamos pues, en un ámbito material en el que el diseño del texto constitucional propugna un equilibrio entre los diferentes sujetos constitucionales en presencia, que deberán repartirse facultades sin en ningún caso anular a los otros y teniendo siempre presente la necesidad de cooperación entre ellos. Por ello lo que debemos comprobar acto seguido es si, en los concretos preceptos del Real Decreto 2066/2008 frente a los que se interpone el presente </w:t>
      </w:r>
      <w:r>
        <w:lastRenderedPageBreak/>
        <w:t>conflicto positivo de competencia, el Estado se ha excedido en el ejercicio de las competencias que le reconoce el art. 149.1.13 CE, invadiendo, por tanto, las competencias de la Comunidad Autónoma de Madrid en materia urbanística y de vivienda.</w:t>
      </w:r>
    </w:p>
    <w:p w:rsidR="0026452D" w:rsidRDefault="0026452D" w:rsidP="0026452D">
      <w:pPr>
        <w:pStyle w:val="TextoNormal"/>
      </w:pPr>
    </w:p>
    <w:p w:rsidR="0026452D" w:rsidRDefault="0026452D" w:rsidP="0026452D">
      <w:pPr>
        <w:pStyle w:val="TextoNormal"/>
      </w:pPr>
      <w:r>
        <w:t>Como recuerda la STC 136/2009, de 15 de junio, FJ 3, remitiéndose expresamente a la STC 13/1992, de 6 de febrero, cuando las Comunidades Autónomas tienen atribuidas competencias sobre la materia objeto de la subvención, nuestra doctrina ha distinguido entre: a) supuestos en los que el Estado no invoca título competencial alguno, mientras que la Comunidad Autónoma ostenta competencia exclusiva sobre una determinada materia; b) aquellos en los que el Estado dispone de un título genérico, básico o de coordinación, correspondiendo a la Comunidad Autónoma la competencia de desarrollo legislativo y de ejecución; c) casos en los que el Estado tiene atribuida la competencia sobre la legislación relativa a una materia, cuya ejecución corresponde a la Comunidad Autónoma; y d) supuestos de competencia exclusiva de la Comunidad Autónoma, pero en los que concurren circunstancias excepcionales que determinan que la gestión de las ayudas pueda ser realizada por el Estado.</w:t>
      </w:r>
    </w:p>
    <w:p w:rsidR="0026452D" w:rsidRDefault="0026452D" w:rsidP="0026452D">
      <w:pPr>
        <w:pStyle w:val="TextoNormal"/>
      </w:pPr>
    </w:p>
    <w:p w:rsidR="0026452D" w:rsidRDefault="0026452D" w:rsidP="0026452D">
      <w:pPr>
        <w:pStyle w:val="TextoNormal"/>
      </w:pPr>
      <w:r>
        <w:t>En atención a los títulos competenciales estatales y autonómicos que resultan de aplicación en esta materia, nos encontramos en el ámbito de lo dispuesto en el fundamento jurídico 8 b) de la meritada STC 13/1992, que concurre cuando el Estado ostenta un título competencial genérico de intervención que se superpone a la competencia de las Comunidades Autónomas sobre una materia, aun si ésta se califica de exclusiva, o bien tiene competencia sobre las bases o la coordinación general de un sector o materia, correspondiendo a las Comunidades Autónomas las competencias de desarrollo normativo y de ejecución, incluyendo en las mismas las relacionadas con la gestión de los fondos.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[STC 13/1992, FJ 8 b)].</w:t>
      </w:r>
    </w:p>
    <w:p w:rsidR="0026452D" w:rsidRDefault="0026452D" w:rsidP="0026452D">
      <w:pPr>
        <w:pStyle w:val="TextoNormal"/>
      </w:pPr>
    </w:p>
    <w:p w:rsidR="0026452D" w:rsidRDefault="0026452D" w:rsidP="0026452D">
      <w:pPr>
        <w:pStyle w:val="TextoNormal"/>
      </w:pPr>
      <w:r w:rsidRPr="0026452D">
        <w:rPr>
          <w:rStyle w:val="NumeroAFNegritaCaracter"/>
        </w:rPr>
        <w:t>4</w:t>
      </w:r>
      <w:r>
        <w:t>. El primer precepto impugnado es el art. 3.1 b). El art. 3 establece las condiciones generales que deberán reunir los demandantes de viviendas y financiación acogidos al Real Decreto 2066/2008, sin perjuicio de las que puedan establecer adicionalmente las Comunidades Autónomas. Así, entre dichas condiciones generales el apartado b) exige “estar inscrito en un registro público de demandantes, creado y gestionado de conformidad con lo que disponga la normativa de las Comunidades Autónomas y ciudades de Ceuta y Melilla sin perjuicio de lo dispuesto en la Disposición Transitoria sexta”.</w:t>
      </w:r>
    </w:p>
    <w:p w:rsidR="0026452D" w:rsidRDefault="0026452D" w:rsidP="0026452D">
      <w:pPr>
        <w:pStyle w:val="TextoNormal"/>
      </w:pPr>
    </w:p>
    <w:p w:rsidR="0026452D" w:rsidRDefault="0026452D" w:rsidP="0026452D">
      <w:pPr>
        <w:pStyle w:val="TextoNormal"/>
      </w:pPr>
      <w:r>
        <w:t xml:space="preserve">El escrito de interposición de este conflicto de competencias considera que este requisito es vulnerador de las competencias autonómicas en materia de vivienda en tanto no se acierta a comprender la conexión de dicha medida con la economía de la Nación, que es la competencia ejercitada por el Estado, a diferencia de lo que ocurre con el resto de los requisitos del citado precepto que aluden a la situación económico-patrimonial de los solicitantes. Por el contrario, para el Abogado del Estado basta hacer una lectura del precepto para comprobar que se trata de un artículo en el que no se regula un registro único de demandantes, sino </w:t>
      </w:r>
      <w:r>
        <w:lastRenderedPageBreak/>
        <w:t>que se limita a prever su creación y contenido básico (demandantes o solicitantes de vivienda protegida), con lo que traslada a cada Comunidad Autónoma la obligación de instaurar estos registros, declarando de forma expresa que la gestión de los mismos de carácter público o equivalentes corresponderá a cada Comunidad Autónoma de acuerdo con su normativa propia.</w:t>
      </w:r>
    </w:p>
    <w:p w:rsidR="0026452D" w:rsidRDefault="0026452D" w:rsidP="0026452D">
      <w:pPr>
        <w:pStyle w:val="TextoNormal"/>
      </w:pPr>
    </w:p>
    <w:p w:rsidR="0026452D" w:rsidRDefault="0026452D" w:rsidP="0026452D">
      <w:pPr>
        <w:pStyle w:val="TextoNormal"/>
      </w:pPr>
      <w:r>
        <w:t>Los registros públicos de demandantes fueron establecidos por primera vez en el Real Decreto 801/2005, de 1 de julio, por el que se aprobó el plan estatal de vivienda 2005-2008. En este sentido, el art. 13.7 del citado real decreto establecía que “la venta y adjudicación de las viviendas acogidas a este Real Decreto habrá de efectuarse a demandantes inscritos en los registros públicos previstos al efecto por las Comunidades Autónomas y Ciudades de Ceuta y Melilla, según los procedimientos que éstas regulen, que, en todo caso, deberán garantizar los principios de igualdad, publicidad, concurrencia, así como eliminar cualquier tipo de fraude en las primeras y posteriores transmisiones. No obstante ello, los convenios de colaboración con las Comunidades Autónomas y Ciudades de Ceuta y Melilla previstos en el artículo 78 de este Real Decreto, podrán prever otros procedimientos, que garanticen los principios citados en el párrafo anterior y de ellos se dará cuenta a las Comisiones Bilaterales de Seguimiento.”</w:t>
      </w:r>
    </w:p>
    <w:p w:rsidR="0026452D" w:rsidRDefault="0026452D" w:rsidP="0026452D">
      <w:pPr>
        <w:pStyle w:val="TextoNormal"/>
      </w:pPr>
    </w:p>
    <w:p w:rsidR="0026452D" w:rsidRDefault="0026452D" w:rsidP="0026452D">
      <w:pPr>
        <w:pStyle w:val="TextoNormal"/>
      </w:pPr>
      <w:r>
        <w:t>La diferencia con el plan estatal de vivienda 2009-2012 radica en que las Comunidades Autónomas podían prever otros procedimientos, distintos a la creación de un registro público, siempre y cuando garantizaran los principios de igualdad, publicidad y concurrencia. Concretamente, la Comunidad Autónoma de Madrid ya tenía instrumentado un sistema alternativo al registro público de demandantes, cual es la lista única de solicitantes de vivienda pública para arrendamientos con opción de compra para jóvenes, establecido por la Orden 3766/2005, de 7 de septiembre, y el registro de solicitudes de vivienda pública, previsto en el Decreto 19/2006, de 9 de febrero, por el que se regula el procedimiento de adjudicación de viviendas de titularidad del Instituto de la Vivienda de Madrid.</w:t>
      </w:r>
    </w:p>
    <w:p w:rsidR="0026452D" w:rsidRDefault="0026452D" w:rsidP="0026452D">
      <w:pPr>
        <w:pStyle w:val="TextoNormal"/>
      </w:pPr>
    </w:p>
    <w:p w:rsidR="0026452D" w:rsidRDefault="0026452D" w:rsidP="0026452D">
      <w:pPr>
        <w:pStyle w:val="TextoNormal"/>
      </w:pPr>
      <w:r>
        <w:t>La exposición de motivos del Real Decreto 2066/2008 objeto de conflicto incluye entre los objetivos a alcanzar por el plan estatal de vivienda y rehabilitación 2009-2012, “establecer las condiciones que garanticen a los ciudadanos el acceso a la vivienda en condiciones de igualdad, impulsando la creación de registros públicos de demandantes de vivienda acogida a algún régimen de protección pública y que toda la producción de viviendas protegidas sea adjudicada con criterios de transparencia, publicidad y concurrencia, controlados por la administración pública”. Por su parte, también la disposición transitoria sexta, a la que se refiere el precepto impugnado, destaca la observancia de tales principios en la venta y adjudicación de viviendas protegidas, al señalar que “los registros públicos de demandantes a que se refiere este Real Decreto deberán estar en funcionamiento en el plazo de un año desde la publicación de aquél en el ‘Boletín Oficial del Estado’. Hasta ese momento, la venta y adjudicación de las viviendas en primeras y posteriores transmisiones se regulará por lo que disponga la normativa propia de las Comunidades Autónomas y ciudades de Ceuta y Melilla que, en todo caso, deberá garantizar los principios de igualdad, publicidad y concurrencia e impedir el fraude en las primeras y posteriores transmisiones.”</w:t>
      </w:r>
    </w:p>
    <w:p w:rsidR="0026452D" w:rsidRDefault="0026452D" w:rsidP="0026452D">
      <w:pPr>
        <w:pStyle w:val="TextoNormal"/>
      </w:pPr>
    </w:p>
    <w:p w:rsidR="0026452D" w:rsidRDefault="0026452D" w:rsidP="0026452D">
      <w:pPr>
        <w:pStyle w:val="TextoNormal"/>
      </w:pPr>
      <w:r>
        <w:t xml:space="preserve">El registro se crea, por tanto, como un instrumento adecuado para dotar a las adjudicaciones de viviendas protegidas de la máxima transparencia y rigor. En efecto, el registro </w:t>
      </w:r>
      <w:r>
        <w:lastRenderedPageBreak/>
        <w:t>público de demandantes constituye un mecanismo de asignación de beneficiarios de las viviendas protegidas que contribuye a evitar la posibilidad de que por los vendedores de dichas viviendas se exijan precios superiores a los administrativamente fijados. Así, la venta y adjudicación de las viviendas acogidas a la financiación del plan estatal de vivienda sólo podrá efectuarse a demandantes inscritos en los registros públicos previstos al efecto por las Comunidades Autónomas y ciudades de Ceuta y Melilla [art. 5.1 d)]. Como señala el Abogado del Estado, con la inscripción de los demandantes en los registros públicos se pretende obviar la aplicación de sobreprecios ilegales a las viviendas incluidas en el subsector protegido. De este modo se garantiza que el subsector protegido de vivienda, además de mantener las características que lo definen normativamente como tal, se consolide en los mercados de vivienda como una opción eficaz y creíble para satisfacer adecuadamente las necesidades de alojamiento de la población, especialmente la de ingresos medios y bajos, actuando a su vez como contrapeso y elemento moderador de las grandes fluctuaciones de precios que pueden aquejar a los mercados de vivienda.</w:t>
      </w:r>
    </w:p>
    <w:p w:rsidR="0026452D" w:rsidRDefault="0026452D" w:rsidP="0026452D">
      <w:pPr>
        <w:pStyle w:val="TextoNormal"/>
      </w:pPr>
    </w:p>
    <w:p w:rsidR="0026452D" w:rsidRDefault="0026452D" w:rsidP="0026452D">
      <w:pPr>
        <w:pStyle w:val="TextoNormal"/>
      </w:pPr>
      <w:r>
        <w:t>Pues bien, la obligación de inscripción en el correspondiente registro guarda directa relación con la dirección de la economía al constituir un elemento esencial de la finalidad que persigue la concesión de las correspondientes ayudas y una garantía fundamental para su efectividad. La inscripción en un registro público de demandantes resulta uno de los elementos más útiles para el eficaz cumplimiento de los objetivos estatales perseguidos con la concesión de ayudas económicas para la promoción de viviendas y su adquisición ya que a través de dicho registro se trata de asegurar el destino de las cantidades aportadas. Como señalamos en la STC 15/1989, 26 de enero, en relación con la obligatoria inscripción de las asociaciones de consumidores y usuarios que quisieran gozar de los beneficios previstos en una ley estatal en un registro del Ministerio de Sanidad y Consumo, “la exigencia de la necesaria inscripción ... en un libro-registro ... no puede estimarse inconstitucional, dado que esa exigencia o carga se vincula directamente a la posibilidad de acceder a los beneficios que prevea la propia Ley y las disposiciones reglamentarias y concordantes. La inscripción en dicho libro registro no es sino un elemento que, junto al cumplimiento de otros requisitos que reglamentariamente se determinarán para cada tipo de beneficio que se instituya, opera como una condición previa para el otorgamiento por el Estado de cualesquiera ayudas o beneficios, no advirtiéndose en ello condicionamiento ilegítimo alguno para las asociaciones constituidas con arreglo a la normativa propia”. Y la misma doctrina podemos aplicar a este supuesto, pues la inscripción en el registro público de demandantes de vivienda protegida constituye una condición previa impuesta por el Estado para acceder a las correspondientes ayudas sin que suponga condicionamiento alguno en la política de vivienda de las Comunidades Autónomas.</w:t>
      </w:r>
    </w:p>
    <w:p w:rsidR="0026452D" w:rsidRDefault="0026452D" w:rsidP="0026452D">
      <w:pPr>
        <w:pStyle w:val="TextoNormal"/>
      </w:pPr>
    </w:p>
    <w:p w:rsidR="0026452D" w:rsidRDefault="0026452D" w:rsidP="0026452D">
      <w:pPr>
        <w:pStyle w:val="TextoNormal"/>
      </w:pPr>
      <w:r>
        <w:t>En consecuencia, la obligación de inscripción en un registro público no infringe las competencias autonómicas puesto que se trata de establecer un requisito que deben cumplir los solicitantes, y es doctrina reiterada por este Tribunal que los requisitos para acceder a las ayudas constituyen uno de los aspectos centrales de toda regulación subvencional que se orientan a garantizar igual trato a todos los interesados en el territorio nacional.</w:t>
      </w:r>
    </w:p>
    <w:p w:rsidR="0026452D" w:rsidRDefault="0026452D" w:rsidP="0026452D">
      <w:pPr>
        <w:pStyle w:val="TextoNormal"/>
      </w:pPr>
    </w:p>
    <w:p w:rsidR="0026452D" w:rsidRDefault="0026452D" w:rsidP="0026452D">
      <w:pPr>
        <w:pStyle w:val="TextoNormal"/>
      </w:pPr>
      <w:r w:rsidRPr="0026452D">
        <w:rPr>
          <w:rStyle w:val="NumeroAFNegritaCaracter"/>
        </w:rPr>
        <w:t>5</w:t>
      </w:r>
      <w:r>
        <w:t>. El segundo precepto impugnado es el apartado 1 del art. 6, sobre duración del régimen de protección de las viviendas y alojamientos protegidos y limitación del precio de las viviendas usadas. El tenor literal de este apartado es el siguiente:</w:t>
      </w:r>
    </w:p>
    <w:p w:rsidR="0026452D" w:rsidRDefault="0026452D" w:rsidP="0026452D">
      <w:pPr>
        <w:pStyle w:val="TextoNormal"/>
      </w:pPr>
    </w:p>
    <w:p w:rsidR="0026452D" w:rsidRDefault="0026452D" w:rsidP="0026452D">
      <w:pPr>
        <w:pStyle w:val="TextoNormal"/>
      </w:pPr>
      <w:r>
        <w:lastRenderedPageBreak/>
        <w:t>“Las viviendas y alojamientos que se acojan a la financiación de este Plan, deberán estar sujetos a un régimen de protección pública, que excluya la descalificación voluntaria, incluso en el supuesto de subasta y adjudicación de las viviendas por ejecución judicial del préstamo, de la siguiente duración:</w:t>
      </w:r>
    </w:p>
    <w:p w:rsidR="0026452D" w:rsidRDefault="0026452D" w:rsidP="0026452D">
      <w:pPr>
        <w:pStyle w:val="TextoNormal"/>
      </w:pPr>
    </w:p>
    <w:p w:rsidR="0026452D" w:rsidRDefault="0026452D" w:rsidP="0026452D">
      <w:pPr>
        <w:pStyle w:val="TextoNormal"/>
      </w:pPr>
      <w:r>
        <w:t>De carácter permanente mientras subsista el régimen del suelo, si las viviendas y alojamientos hubieran sido promovidos en suelo destinado por el planeamiento a vivienda protegida, o en suelo dotacional público, y, en todo caso, durante un plazo no inferior a 30 años.</w:t>
      </w:r>
    </w:p>
    <w:p w:rsidR="0026452D" w:rsidRDefault="0026452D" w:rsidP="0026452D">
      <w:pPr>
        <w:pStyle w:val="TextoNormal"/>
      </w:pPr>
    </w:p>
    <w:p w:rsidR="0026452D" w:rsidRDefault="0026452D" w:rsidP="0026452D">
      <w:pPr>
        <w:pStyle w:val="TextoNormal"/>
      </w:pPr>
      <w:r>
        <w:t>De 30 años, al menos, si las viviendas y alojamientos hubieran sido promovidos en otros suelos.”</w:t>
      </w:r>
    </w:p>
    <w:p w:rsidR="0026452D" w:rsidRDefault="0026452D" w:rsidP="0026452D">
      <w:pPr>
        <w:pStyle w:val="TextoNormal"/>
      </w:pPr>
    </w:p>
    <w:p w:rsidR="0026452D" w:rsidRDefault="0026452D" w:rsidP="0026452D">
      <w:pPr>
        <w:pStyle w:val="TextoNormal"/>
      </w:pPr>
      <w:r>
        <w:t>El escrito de interposición del conflicto considera que vulnera las competencias de la Comunidad Autónoma en materia de urbanismo, ya que condiciona los usos que la Comunidad Autónoma, en su normativa urbanística, establece para los suelos, y afecta a su política urbanística, ya que, al establecer el art. 38 de la Ley 9/2001, de 17 de julio, del suelo de la Comunidad Autónoma de Madrid, una reserva del 50 por 100 para vivienda protegida, ello puede originar una trama urbana con una altísima proporción de vivienda protegida congelada, afectando así al modelo de ciudad que la Comunidad Autónoma, en el uso de su competencia en materia de urbanismo, puede querer configurar. Además, considera que se lesiona también su competencia en materia de vivienda, pues el hecho de que el Gobierno central establezca una calificación perpetua de las viviendas protegidas construidas en suelos destinados por el planeamiento a vivienda protegida supone congelar dichos suelos permanentemente, sin posibilidad de que esas viviendas se descalifiquen, con lo cual el precepto estatal desvirtúa los deseos del legislador madrileño al fijar una reserva de suelo del 50 por 100. Para la Comunidad Autónoma de Madrid, al establecerse una calificación perpetua de las viviendas se está procediendo a vaciar la competencia autonómica en materia de vivienda ya que la Comunidad Autónoma ha de establecer forzosamente la calificación permanente para estas viviendas cuando la normativa autonómica utiliza el plazo en el que las viviendas han de estar protegidas como un instrumento de política de vivienda. En conclusión, a juicio de la Comunidad Autónoma de Madrid, no se acierta a entender por qué la economía nacional precisa que estas viviendas no puedan desclasificarse jamás por lo que, más que ante una medida de política económica, nos encontramos ante una medida de política de vivienda.</w:t>
      </w:r>
    </w:p>
    <w:p w:rsidR="0026452D" w:rsidRDefault="0026452D" w:rsidP="0026452D">
      <w:pPr>
        <w:pStyle w:val="TextoNormal"/>
      </w:pPr>
    </w:p>
    <w:p w:rsidR="0026452D" w:rsidRDefault="0026452D" w:rsidP="0026452D">
      <w:pPr>
        <w:pStyle w:val="TextoNormal"/>
      </w:pPr>
      <w:r>
        <w:t>Por el contrario, para el Abogado del Estado la limitación temporal en la descalificación voluntaria de las viviendas protegidas que hayan gozado de ayudas públicas conforme al plan estatal no constituye una regla urbanística, sino una medida básica de política económica que se inserta en la política de vivienda y que encuentra cobertura competencial en el art. 149.1.13 CE.</w:t>
      </w:r>
    </w:p>
    <w:p w:rsidR="0026452D" w:rsidRDefault="0026452D" w:rsidP="0026452D">
      <w:pPr>
        <w:pStyle w:val="TextoNormal"/>
      </w:pPr>
    </w:p>
    <w:p w:rsidR="0026452D" w:rsidRDefault="0026452D" w:rsidP="0026452D">
      <w:pPr>
        <w:pStyle w:val="TextoNormal"/>
      </w:pPr>
      <w:r>
        <w:t xml:space="preserve">Las viviendas y alojamientos que se acojan a la financiación del plan estatal de vivienda deberán estar sujetas a un régimen de protección pública. Es decir, las ayudas tienen por objeto viviendas protegidas. En el glosario de conceptos utilizados en el Real Decreto 2066/2008 que aparece recogido como anexo a esta norma, las viviendas protegidas se definen como “las calificadas como de protección oficial o, más en general, como viviendas protegidas, por el órgano competente de las Comunidades Autónomas y ciudades de Ceuta </w:t>
      </w:r>
      <w:r>
        <w:lastRenderedPageBreak/>
        <w:t xml:space="preserve">y Melilla, que cumplan los requisitos establecidos en este Real Decreto. Las viviendas protegidas podrán destinarse a la venta o al arrendamiento y han de constituir el domicilio o residencia habitual y permanente de sus ocupantes, salvo en aquellos supuestos que determine expresamente este Real Decreto”. Así, las viviendas protegidas que pueden acogerse a la financiación del plan estatal de vivienda deben cumplir los siguientes requisitos enumerados en el art. 5 del Real Decreto 2066/2008: destinarse a residencia habitual y permanente del propietario o del inquilino; necesaria autorización de las Comunidades Autónomas para que la vivienda pueda transmitirse </w:t>
      </w:r>
      <w:r w:rsidRPr="0026452D">
        <w:rPr>
          <w:i/>
        </w:rPr>
        <w:t>inter vivos</w:t>
      </w:r>
      <w:r>
        <w:t xml:space="preserve"> o se pueda ceder su uso por cualquier título antes del transcurso de diez años; su venta o adjudicación sólo podrá efectuarse a demandantes inscritos en los registros públicos previstos al efecto en las Comunidades Autónomas; y, por último, estarán sometidas a los derechos de adquisición preferente y demás limitaciones determinadas por las Comunidades Autónomas que puedan materializarse en derechos de tanteo y retracto. Asimismo, las viviendas también deberán tener una superficie útil mínima y máxima de conformidad con lo dispuesto en el art. 8 del Real Decreto 2066/2008.</w:t>
      </w:r>
    </w:p>
    <w:p w:rsidR="0026452D" w:rsidRDefault="0026452D" w:rsidP="0026452D">
      <w:pPr>
        <w:pStyle w:val="TextoNormal"/>
      </w:pPr>
    </w:p>
    <w:p w:rsidR="0026452D" w:rsidRDefault="0026452D" w:rsidP="0026452D">
      <w:pPr>
        <w:pStyle w:val="TextoNormal"/>
      </w:pPr>
      <w:r>
        <w:t>Las viviendas protegidas se caracterizan, así, por tener una serie de limitaciones que configuran un régimen jurídico de la vivienda protegida distinto del de la vivienda libre. Como ha señalado el Tribunal Supremo —Sentencia de 15 de enero de 2003— el régimen jurídico de las viviendas de protección oficial se traduce en la concesión de una serie de beneficios tanto para los promotores como para los adquirentes que tiene como contrapartida la sujeción a determinadas obligaciones que exceden de las normales que son propias de cualquier propietario no sujeto a ese régimen.</w:t>
      </w:r>
    </w:p>
    <w:p w:rsidR="0026452D" w:rsidRDefault="0026452D" w:rsidP="0026452D">
      <w:pPr>
        <w:pStyle w:val="TextoNormal"/>
      </w:pPr>
    </w:p>
    <w:p w:rsidR="0026452D" w:rsidRDefault="0026452D" w:rsidP="0026452D">
      <w:pPr>
        <w:pStyle w:val="TextoNormal"/>
      </w:pPr>
      <w:r>
        <w:t>Entre las limitaciones que se imponen a las viviendas y alojamientos de protección pública que se acojan a la financiación del plan estatal de vivienda, el art. 6.1 del Real Decreto 2066/2008 introduce la prohibición de obtener la descalificación voluntaria de la vivienda de forma permanente mientras subsista el régimen del suelo, si las viviendas y alojamientos hubieran sido promovidos en suelo destinado por el planeamiento a vivienda protegida, y, en todo caso, durante un plazo no inferior a treinta años, o durante un plazo no inferior a treinta años, si las viviendas hubieran sido promovidas en otros suelos.</w:t>
      </w:r>
    </w:p>
    <w:p w:rsidR="0026452D" w:rsidRDefault="0026452D" w:rsidP="0026452D">
      <w:pPr>
        <w:pStyle w:val="TextoNormal"/>
      </w:pPr>
    </w:p>
    <w:p w:rsidR="0026452D" w:rsidRDefault="0026452D" w:rsidP="0026452D">
      <w:pPr>
        <w:pStyle w:val="TextoNormal"/>
      </w:pPr>
      <w:r>
        <w:t>De este modo, la cuestión que debemos resolver es si puede el Estado imponer, como condición para acceder a las ayudas previstas en el plan estatal de vivienda, una duración al régimen de protección pública de las viviendas y alojamientos que se acojan a dichas ayudas.</w:t>
      </w:r>
    </w:p>
    <w:p w:rsidR="0026452D" w:rsidRDefault="0026452D" w:rsidP="0026452D">
      <w:pPr>
        <w:pStyle w:val="TextoNormal"/>
      </w:pPr>
    </w:p>
    <w:p w:rsidR="0026452D" w:rsidRDefault="0026452D" w:rsidP="0026452D">
      <w:pPr>
        <w:pStyle w:val="TextoNormal"/>
      </w:pPr>
      <w:r>
        <w:t>El plan estatal de vivienda sólo establece condiciones de financiación para las actuaciones previstas en el mismo. Es decir, como señala el Abogado del Estado, sus prescripciones limitan su eficacia a las viviendas que se acojan a la financiación del plan sin condicionar la política de vivienda que puedan desplegar las Comunidades Autónomas mediante sus propios programas.</w:t>
      </w:r>
    </w:p>
    <w:p w:rsidR="0026452D" w:rsidRDefault="0026452D" w:rsidP="0026452D">
      <w:pPr>
        <w:pStyle w:val="TextoNormal"/>
      </w:pPr>
    </w:p>
    <w:p w:rsidR="0026452D" w:rsidRDefault="0026452D" w:rsidP="0026452D">
      <w:pPr>
        <w:pStyle w:val="TextoNormal"/>
      </w:pPr>
      <w:r>
        <w:t xml:space="preserve">El precepto cuestionado pretende mantener un régimen jurídico de la protección pública de las viviendas y, por lo tanto, del control de precios y de las adjudicaciones, de larga duración. Si las ayudas que otorga el plan estatal de vivienda van destinadas a mejorar el acceso y uso de la vivienda a los ciudadanos con especiales dificultades económicas, la fijación de un mínimo temporal al régimen de protección pública no persigue sino garantizar </w:t>
      </w:r>
      <w:r>
        <w:lastRenderedPageBreak/>
        <w:t>la existencia de la vivienda en ese régimen y, por tanto, el cumplimiento de los fines para los cuales se ha llevado a cabo la inversión de dinero público. Como acertadamente vino a recordar, en relación con este precepto, la contestación del Gobierno de la Nación al previo requerimiento autonómico, “la duración del régimen de protección vinculado a la calificación de las viviendas protegidas, y que la Comunidad de Madrid califica de ‘perpetuo’, responde, precisamente, a la clara voluntad de asegurar tanto la honestidad como la eficacia en el uso del gasto público; siendo consustancial en toda la tradicional legislación, estatal o autonómica, sobre viviendas protegidas, cualquiera que sea su denominación a lo largo de la historia, el establecimiento de un período mínimo de vinculación a un determinado régimen jurídico tuitivo, de tal manera que el esfuerzo económico que hace la sociedad a través de los presupuestos públicos y de los recursos del conjunto del sistema financiero nacional, tenga un beneficioso efecto social y evite el enriquecimiento injustificado que podía suponer la transmisión especulativa de tales viviendas”.</w:t>
      </w:r>
    </w:p>
    <w:p w:rsidR="0026452D" w:rsidRDefault="0026452D" w:rsidP="0026452D">
      <w:pPr>
        <w:pStyle w:val="TextoNormal"/>
      </w:pPr>
    </w:p>
    <w:p w:rsidR="0026452D" w:rsidRDefault="0026452D" w:rsidP="0026452D">
      <w:pPr>
        <w:pStyle w:val="TextoNormal"/>
      </w:pPr>
      <w:r>
        <w:t>Parece, por tanto lógico que el Estado o las Comunidades Autónomas establezcan un período mínimo de vinculación de las viviendas a un régimen jurídico de protección para compensar el esfuerzo económico realizado y que no se desvirtúe el sentido de la subvención otorgada. Nos encontramos así ante un criterio de ordenación de la vivienda con una clara finalidad económica. En efecto, la fijación de un período mínimo de vinculación de la vivienda a un régimen de protección pública constituye una auténtica contrapartida a los beneficios obtenidos con la adjudicación de dicha vivienda que garantiza el cumplimiento de los fines pretendidos con el establecimiento de estas ayudas públicas y que encuentra su fundamento en la demanda social de vivienda y en la necesidad de que exista un mercado de viviendas de protección oficial con un precio asequible. Por ello, podemos afirmar que la limitación temporal en la descalificación voluntaria de las viviendas protegidas que hayan recibido ayudas públicas conforme al plan estatal de vivienda tiene una incidencia directa y significativa en el sector económico, en la lucha contra la especulación y en la efectividad del derecho a la vivienda para los colectivos más desfavorecidos y encuentra cobertura competencial en el art. 149.1.13 CE. En este sentido, no podemos olvidar que la previsión de vivienda con un régimen de protección pública funciona como una técnica de intervención en el mercado inmobiliario con la finalidad de lograr en él los objetivos sociales y económicos señalados.</w:t>
      </w:r>
    </w:p>
    <w:p w:rsidR="0026452D" w:rsidRDefault="0026452D" w:rsidP="0026452D">
      <w:pPr>
        <w:pStyle w:val="TextoNormal"/>
      </w:pPr>
    </w:p>
    <w:p w:rsidR="0026452D" w:rsidRDefault="0026452D" w:rsidP="0026452D">
      <w:pPr>
        <w:pStyle w:val="TextoNormal"/>
      </w:pPr>
      <w:r>
        <w:t>No cabe ninguna duda de que el Estado, en virtud del 149.1.13 CE, puede adoptar, en tanto que dirigido a facilitar el acceso a la vivienda, un plan consistente en la creación de ayudas dirigidas, entre otros, a los promotores de viviendas protegidas y a los demandantes de vivienda y, junto a ello, que pueda determinar los posibles beneficiarios, la cuantía que va a ser sufragada con cargo a los fondos estatales así como los requisitos para acceder a las ayudas. Todas ellas son cuestiones directamente ordenadas a la regulación del fin propuesto —facilitar el acceso a una vivienda—  formando parte de las condiciones esenciales de otorgamiento de las ayudas previstas las exigencias a cumplir para poder acceder a las mismas. En este sentido, la fijación de un plazo mínimo de duración del régimen de protección pública para aquellas viviendas que hayan accedido a las ayudas previstas en el plan constituye un elemento central de las condiciones de otorgamiento de las ayudas y resulta una exigencia de su percepción uniforme en todo el territorio nacional, garantizando así un trato igualitario a sus beneficiarios. Por ello, el art. 6.1 no vulnera las competencias de la Comu</w:t>
      </w:r>
      <w:r>
        <w:lastRenderedPageBreak/>
        <w:t>nidad Autónoma de Madrid pues regula una de las condiciones que deben cumplir las viviendas de protección pública, que son precisamente el objeto de las ayudas, para poder acogerse a la financiación prevista en el plan.</w:t>
      </w:r>
    </w:p>
    <w:p w:rsidR="0026452D" w:rsidRDefault="0026452D" w:rsidP="0026452D">
      <w:pPr>
        <w:pStyle w:val="TextoNormal"/>
      </w:pPr>
    </w:p>
    <w:p w:rsidR="0026452D" w:rsidRDefault="0026452D" w:rsidP="0026452D">
      <w:pPr>
        <w:pStyle w:val="TextoNormal"/>
      </w:pPr>
      <w:r>
        <w:t>Además, debemos tener en cuenta que, “el Estado puede regular las condiciones esenciales de otorgamiento de las ayudas hasta donde lo permita su competencia general básica o de coordinación, pero siempre que deje un margen a las Comunidades Autónomas, al menos para desarrollar y complementar la regulación de las condiciones de otorgamiento de las ayudas y su tramitación” (STC 59/1995, de 17 de marzo). En este caso, el art. 6.1 está fijando un plazo mínimo de duración del régimen de protección pública, con lo que se deja un margen a las Comunidades Autónomas para que establezcan un plazo diferente.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conflicto positivo de competencia promovido por la Comunidad de Madrid.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nueve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16" w:name="SENTENCIA_2013_113"/>
      <w:r>
        <w:lastRenderedPageBreak/>
        <w:t>SENTENCIA 113/2013, de 9 de mayo de 2013</w:t>
      </w:r>
    </w:p>
    <w:bookmarkEnd w:id="116"/>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133, de 4 de junio de 2013)</w:t>
      </w:r>
    </w:p>
    <w:p w:rsidR="0026452D" w:rsidRDefault="0026452D" w:rsidP="0026452D">
      <w:pPr>
        <w:pStyle w:val="TtuloBOE"/>
      </w:pPr>
    </w:p>
    <w:p w:rsidR="0026452D" w:rsidRDefault="0026452D" w:rsidP="0026452D">
      <w:pPr>
        <w:pStyle w:val="SntesisDescriptiva"/>
      </w:pPr>
      <w:r>
        <w:t>ECLI:ES:TC:2013:113</w:t>
      </w:r>
    </w:p>
    <w:p w:rsidR="0026452D" w:rsidRDefault="0026452D" w:rsidP="0026452D">
      <w:pPr>
        <w:pStyle w:val="SntesisDescriptiva"/>
      </w:pPr>
    </w:p>
    <w:p w:rsidR="0026452D" w:rsidRDefault="0026452D" w:rsidP="0026452D">
      <w:pPr>
        <w:pStyle w:val="SntesisDescriptiva"/>
      </w:pPr>
      <w:r>
        <w:t>Conflicto positivo de competencia 7605-2009. Planteado por el Gobierno de la Generalitat de Cataluña en relación con diversos preceptos de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w:t>
      </w:r>
    </w:p>
    <w:p w:rsidR="0026452D" w:rsidRDefault="0026452D" w:rsidP="0026452D">
      <w:pPr>
        <w:pStyle w:val="SntesisDescriptiva"/>
      </w:pPr>
    </w:p>
    <w:p w:rsidR="0026452D" w:rsidRDefault="0026452D" w:rsidP="0026452D">
      <w:pPr>
        <w:pStyle w:val="SntesisAnaltica"/>
      </w:pPr>
      <w:r>
        <w:t>Competencias sobre medio ambiente: disposiciones reglamentarias estatales que vulneran las competencias autonómicas de gestión de las subvenciones (STC 13/1992).</w:t>
      </w:r>
    </w:p>
    <w:p w:rsidR="0026452D" w:rsidRDefault="0026452D" w:rsidP="0026452D">
      <w:pPr>
        <w:pStyle w:val="SntesisAnaltica"/>
      </w:pPr>
    </w:p>
    <w:p w:rsidR="0026452D" w:rsidRDefault="0026452D" w:rsidP="0026452D">
      <w:pPr>
        <w:pStyle w:val="Extracto"/>
      </w:pPr>
      <w:r>
        <w:t>1.</w:t>
      </w:r>
      <w:r>
        <w:tab/>
        <w:t xml:space="preserve">El Estado tiene competencias sobre las bases y la coordinación general en materia de medio ambiente, </w:t>
      </w:r>
      <w:r w:rsidRPr="0026452D">
        <w:rPr>
          <w:i/>
        </w:rPr>
        <w:t>ex</w:t>
      </w:r>
      <w:r>
        <w:t xml:space="preserve"> art. 149.1.23 CE, correspondiendo a la Comunidad Autónoma las competencias de desarrollo normativo y ejecución, por lo que la disposición impugnada, al centralizar en el Estado la gestión de las ayudas que en ella se establecen, invadió las competencias de la Comunidad Autónoma de Cataluña (STC 13/1992) [FFJJ 4, 7].</w:t>
      </w:r>
    </w:p>
    <w:p w:rsidR="0026452D" w:rsidRDefault="0026452D" w:rsidP="0026452D">
      <w:pPr>
        <w:pStyle w:val="Extracto"/>
      </w:pPr>
    </w:p>
    <w:p w:rsidR="0026452D" w:rsidRDefault="0026452D" w:rsidP="0026452D">
      <w:pPr>
        <w:pStyle w:val="Extracto"/>
      </w:pPr>
      <w:r>
        <w:t>2.</w:t>
      </w:r>
      <w:r>
        <w:tab/>
        <w:t>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(STC 138/2009)  [FJ 3].</w:t>
      </w:r>
    </w:p>
    <w:p w:rsidR="0026452D" w:rsidRDefault="0026452D" w:rsidP="0026452D">
      <w:pPr>
        <w:pStyle w:val="Extracto"/>
      </w:pPr>
    </w:p>
    <w:p w:rsidR="0026452D" w:rsidRDefault="0026452D" w:rsidP="0026452D">
      <w:pPr>
        <w:pStyle w:val="Extracto"/>
      </w:pPr>
      <w:r>
        <w:t>3.</w:t>
      </w:r>
      <w:r>
        <w:tab/>
        <w:t>El Estado tiene la capacidad para poner su poder de gasto al servicio de determinadas políticas, en el ejercicio legítimo de la función legislativa presupuestaria, sin perjuicio de que pueda corresponder a la Comunidad Autónoma la competencia en la concreta materia (STC 13/1992)  [FJ 3].</w:t>
      </w:r>
    </w:p>
    <w:p w:rsidR="0026452D" w:rsidRDefault="0026452D" w:rsidP="0026452D">
      <w:pPr>
        <w:pStyle w:val="Extracto"/>
      </w:pPr>
    </w:p>
    <w:p w:rsidR="0026452D" w:rsidRDefault="0026452D" w:rsidP="0026452D">
      <w:pPr>
        <w:pStyle w:val="Extracto"/>
      </w:pPr>
      <w:r>
        <w:t>4.</w:t>
      </w:r>
      <w:r>
        <w:tab/>
        <w:t>El hecho de que las entidades beneficiarias de las ayudas desarrollen su actividad en distintas Comunidades Autónomas o que las actividades a desarrollar afecten a un ámbito geográfico supraautonómico no puede determinar, por sí solo, la centralización de la regulación y la gestión de aquéllas por el Estado y el correlativo desplazamiento de las competencias autonómicas (STC 38/2012)  [FJ 6].</w:t>
      </w:r>
    </w:p>
    <w:p w:rsidR="0026452D" w:rsidRDefault="0026452D" w:rsidP="0026452D">
      <w:pPr>
        <w:pStyle w:val="Extracto"/>
      </w:pPr>
    </w:p>
    <w:p w:rsidR="0026452D" w:rsidRDefault="0026452D" w:rsidP="0026452D">
      <w:pPr>
        <w:pStyle w:val="Extracto"/>
      </w:pPr>
      <w:r>
        <w:t>5.</w:t>
      </w:r>
      <w:r>
        <w:tab/>
        <w:t>El carácter supraautonómico de las ayudas no justifica la competencia estatal, ya que la persecución del interés general se ha de materializar a través de, no a pesar de, los sistemas de reparto de competencias articulados en la Constitución (STC 77/2004, 38/2012)  [FJ 7].</w:t>
      </w:r>
    </w:p>
    <w:p w:rsidR="0026452D" w:rsidRDefault="0026452D" w:rsidP="0026452D">
      <w:pPr>
        <w:pStyle w:val="Extracto"/>
      </w:pPr>
    </w:p>
    <w:p w:rsidR="0026452D" w:rsidRDefault="0026452D" w:rsidP="0026452D">
      <w:pPr>
        <w:pStyle w:val="Extracto"/>
      </w:pPr>
      <w:r>
        <w:t>6.</w:t>
      </w:r>
      <w:r>
        <w:tab/>
        <w:t xml:space="preserve">El traslado al Estado de la competencia de gestión de ayudas sólo puede tener lugar cuando, además de su alcance territorial supraautonómico, la actividad no sea </w:t>
      </w:r>
      <w:r>
        <w:lastRenderedPageBreak/>
        <w:t>susceptible de fraccionamiento y, aun en este caso, cuando no pueda llevarse a cabo mediante mecanismos de cooperación o coordinación, sino que requiera un grado de homogeneidad que sólo pueda garantizar su atribución a un solo titular o cuando sea necesario recurrir a un ente con capacidad de integrar intereses contrapuestos de varias Comunidades Autónomas (SSTC 243/1994, 190/2000)  [FJ 7].</w:t>
      </w:r>
    </w:p>
    <w:p w:rsidR="0026452D" w:rsidRDefault="0026452D" w:rsidP="0026452D">
      <w:pPr>
        <w:pStyle w:val="Extracto"/>
      </w:pPr>
    </w:p>
    <w:p w:rsidR="0026452D" w:rsidRDefault="0026452D" w:rsidP="0026452D">
      <w:pPr>
        <w:pStyle w:val="Extracto"/>
      </w:pPr>
      <w:r>
        <w:t>7.</w:t>
      </w:r>
      <w:r>
        <w:tab/>
        <w:t xml:space="preserve">La necesidad de conservar la eficacia jurídica de aquellos actos cuya lesión puede afectar a legítimos derechos de terceros generados en su día por la presunción de legalidad de los mismos conduce, en este caso, </w:t>
      </w:r>
      <w:r w:rsidRPr="0026452D">
        <w:rPr>
          <w:i/>
        </w:rPr>
        <w:t>ex</w:t>
      </w:r>
      <w:r>
        <w:t xml:space="preserve"> art. 66 LOTC, a que la declaración de infracción competencial no implique la de aquellas resoluciones que han concedido o denegado las ayudas cuestionadas ya dictadas y notificadas (SSTC 173/2012, 70/2013) [FJ 9].</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7605-2009, promovido por la Letrada de la Generalitat de Cataluña, en representación de su Gobierno, contra los arts. 1, 2, 3, 5, 7, 8, 13 y disposición final primera de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Ha intervenido y formulado alegaciones el Abogado del Estado en la representación que legalmente ostenta.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registrado en este Tribunal con fecha 10 de septiembre de 2009, la Letrada de la Generalitat de Cataluña, en representación de su Gobierno, formalizó ante el Tribunal Constitucional conflicto positivo de competencia contra los arts. 1, 2, 3, 5, 7, 8, 13 y disposición final primera de la Orden ARM/1593/2009, de 5 de junio, por la que se establecen las bases reguladoras para la concesión de subvenciones, a asociaciones declaradas </w:t>
      </w:r>
      <w:r>
        <w:lastRenderedPageBreak/>
        <w:t>de utilidad pública y fundaciones adscritas al protectorado del Ministerio de Medio Ambiente, y Medio Rural y Marino, para fines de interés social de carácter medioambiental. Los términos del conflicto, según resulta del escrito de interposición y de la documentación adjunta, se exponen a continuación.</w:t>
      </w:r>
    </w:p>
    <w:p w:rsidR="0026452D" w:rsidRDefault="0026452D" w:rsidP="0026452D">
      <w:pPr>
        <w:pStyle w:val="TextoNormal"/>
      </w:pPr>
    </w:p>
    <w:p w:rsidR="0026452D" w:rsidRDefault="0026452D" w:rsidP="0026452D">
      <w:pPr>
        <w:pStyle w:val="TextoNormal"/>
      </w:pPr>
      <w:r w:rsidRPr="0026452D">
        <w:rPr>
          <w:rStyle w:val="NumeroAFNegritaCaracter"/>
        </w:rPr>
        <w:t>2</w:t>
      </w:r>
      <w:r>
        <w:t>. Comienza la representante de la Generalitat, tras referirse al objeto del conflicto, aludiendo al requerimiento de incompetencia que el Consejo Ejecutivo de la Generalitat dirigió al Gobierno de la Nación en relación con la orden impugnada en el que se solicitaba su derogación por invasión de la competencia autonómica en materia de medio ambiente y fomento. Requerimiento que fue rechazado.</w:t>
      </w:r>
    </w:p>
    <w:p w:rsidR="0026452D" w:rsidRDefault="0026452D" w:rsidP="0026452D">
      <w:pPr>
        <w:pStyle w:val="TextoNormal"/>
      </w:pPr>
    </w:p>
    <w:p w:rsidR="0026452D" w:rsidRDefault="0026452D" w:rsidP="0026452D">
      <w:pPr>
        <w:pStyle w:val="TextoNormal"/>
      </w:pPr>
      <w:r>
        <w:t>a) A continuación, prosigue el escrito de la representante de la Generalitat, señalando que recientemente su Gobierno ha planteado otro conflicto positivo de competencia contra las Órdenes ARM/2876/2008 y ARM/3020/2008, por las que se establecieron las bases reguladoras y la correspondiente convocatoria para la concesión de subvenciones a asociaciones declaradas de utilidad pública y fundaciones adscritas al protectorado del Ministerio para la realización de actividades relativas a programas que se desarrollen en relación con la defensa del medio natural y la biodiversidad, la utilización sostenible de los recursos naturales y la prevención de la contaminación y del cambio climático. La Orden ARM/1593/2009, ahora impugnada, precisamente deroga y sustituye a la mencionada Orden ARM 2876/2008, por lo cual la reivindicación planteada será en buena parte coincidente con la ya realizada.</w:t>
      </w:r>
    </w:p>
    <w:p w:rsidR="0026452D" w:rsidRDefault="0026452D" w:rsidP="0026452D">
      <w:pPr>
        <w:pStyle w:val="TextoNormal"/>
      </w:pPr>
    </w:p>
    <w:p w:rsidR="0026452D" w:rsidRDefault="0026452D" w:rsidP="0026452D">
      <w:pPr>
        <w:pStyle w:val="TextoNormal"/>
      </w:pPr>
      <w:r>
        <w:t>Señala la representante de la Generalitat que la nomenclatura y descripción de las subvenciones contenidas en la Orden ARM/1593/2009 —la defensa del medio natural y la biodiversidad, la utilización sostenible de los recursos naturales y la prevención de la contaminación y el cambio climático— coinciden con la definición del título competencial autonómico contenido en el art. 144 del Estatuto de Autonomía de Cataluña (EAC) descrito, con términos como “medio ambiente y biodiversidad”, “utilización sostenible de los recursos naturales” y “prevención de la contaminación y del cambio climático”. Denuncia la representante de la Generalitat, que aun así, la regulación establecida por dicha orden ministerial no contiene ninguna participación de las Comunidades Autónomas, ni de la Generalitat de Cataluña, en la regulación ni en la gestión de dichas ayudas, pretendiendo su amparo competencial en el título de legislación básica en materia de medio ambiente previsto en el art. 149.1.23 CE, de acuerdo con la disposición final primera de la propia orden.</w:t>
      </w:r>
    </w:p>
    <w:p w:rsidR="0026452D" w:rsidRDefault="0026452D" w:rsidP="0026452D">
      <w:pPr>
        <w:pStyle w:val="TextoNormal"/>
      </w:pPr>
    </w:p>
    <w:p w:rsidR="0026452D" w:rsidRDefault="0026452D" w:rsidP="0026452D">
      <w:pPr>
        <w:pStyle w:val="TextoNormal"/>
      </w:pPr>
      <w:r>
        <w:t xml:space="preserve">Subraya la representante de la Generalitat que, de acuerdo con la orden objeto de conflicto, se procede a la gestión centralizada de las ayudas “por razones de supraterritorialidad, al tratarse de entidades sin ánimo de lucro que no están regionalizadas y al ser las actividades de carácter medioambiental que se contemplan como subvencionables de ámbito supraautonómico”. Sin embargo, no se justifica, ni se exige en ningún momento, que los programas realizados por dichas entidades con cargo a las mencionadas subvenciones deban tener carácter supraterritorial. En realidad, de acuerdo con lo previsto en los arts. 1 y 7 a) de la Orden ARM/1593/2009, sólo se exige a los programas que se ajusten a los objetivos “de defensa del medio natural y la biodiversidad, la utilización sostenible de los recursos naturales y la contribución a los esfuerzos globales para la prevención de la contaminación y del cambio climático”, todos ellos objetivos también de la Generalitat de Cataluña en su territorio, de acuerdo con lo previsto en el art. 144 EAC. Para la representación de la Generalitat, </w:t>
      </w:r>
      <w:r>
        <w:lastRenderedPageBreak/>
        <w:t>no es admisible el argumento, contenido en la contestación al requerimiento de incompetencia, que afirma que el carácter estatal de los programas está implícito en los requisitos de los beneficiarios de las ayudas previstos en el art. 2.1 a) y b) de la Orden ARM/1593/2009. Concretamente la exigencia de que las asociaciones declaradas de utilidad pública beneficiarias tengan actividad acreditada en, al menos, cinco comunidades o ciudades autónomas, o bien que tenga naturaleza de fundación adscrita al protectorado del Ministerio para la realización de actividades relativas a programas que se desarrollen en relación con la defensa del medio natural y la biodiversidad.</w:t>
      </w:r>
    </w:p>
    <w:p w:rsidR="0026452D" w:rsidRDefault="0026452D" w:rsidP="0026452D">
      <w:pPr>
        <w:pStyle w:val="TextoNormal"/>
      </w:pPr>
    </w:p>
    <w:p w:rsidR="0026452D" w:rsidRDefault="0026452D" w:rsidP="0026452D">
      <w:pPr>
        <w:pStyle w:val="TextoNormal"/>
      </w:pPr>
      <w:r>
        <w:t>Rechaza igualmente la incardinación de las ayudas dentro de los fines de interés social de la asignación tributaria del impuesto sobre la renta de las personas físicas (IRPF) que parece pretender el preámbulo de la orden objeto de conflicto, pues el título competencial específico es el de medio ambiente.</w:t>
      </w:r>
    </w:p>
    <w:p w:rsidR="0026452D" w:rsidRDefault="0026452D" w:rsidP="0026452D">
      <w:pPr>
        <w:pStyle w:val="TextoNormal"/>
      </w:pPr>
    </w:p>
    <w:p w:rsidR="0026452D" w:rsidRDefault="0026452D" w:rsidP="0026452D">
      <w:pPr>
        <w:pStyle w:val="TextoNormal"/>
      </w:pPr>
      <w:r>
        <w:t>b) Señalado lo anterior, examina el escrito de la representante de la Generalitat el marco competencial aplicable al presente conflicto. El art. 149.1.23 CE prevé la competencia del Estado sobre la legislación básica en materia de protección del medio ambiente, sin perjuicio de las facultades de las Comunidades Autónomas para el establecimiento de las normas adicionales de protección.</w:t>
      </w:r>
    </w:p>
    <w:p w:rsidR="0026452D" w:rsidRDefault="0026452D" w:rsidP="0026452D">
      <w:pPr>
        <w:pStyle w:val="TextoNormal"/>
      </w:pPr>
    </w:p>
    <w:p w:rsidR="0026452D" w:rsidRDefault="0026452D" w:rsidP="0026452D">
      <w:pPr>
        <w:pStyle w:val="TextoNormal"/>
      </w:pPr>
      <w:r>
        <w:t>Recuerda la representación de la Generalitat que de acuerdo con el art. 144.1 del Estatuto de Autonomía de Cataluña, corresponden a la Generalitat la competencia compartida en materia de medio ambiente y la competencia para el establecimiento de normas adicionales de protección, de forma que esta competencia incluye, en todo caso, una serie de submaterias. El apartado 2 de dicho art. 144 EAC prevé que corresponde a la Generalitat, en materia de espacios naturales, la competencia exclusiva que, respetando lo establecido en el art. 149.1.23 CE, incluye, en todo caso, una serie de submaterias.</w:t>
      </w:r>
    </w:p>
    <w:p w:rsidR="0026452D" w:rsidRDefault="0026452D" w:rsidP="0026452D">
      <w:pPr>
        <w:pStyle w:val="TextoNormal"/>
      </w:pPr>
    </w:p>
    <w:p w:rsidR="0026452D" w:rsidRDefault="0026452D" w:rsidP="0026452D">
      <w:pPr>
        <w:pStyle w:val="TextoNormal"/>
      </w:pPr>
      <w:r>
        <w:t>Por su parte, el art. 114 del Estatuto de Autonomía de Cataluña referido a actividad de fomento, establece, recuerda la representación de la Generalitat, en su apartado tercero que, en las materias de competencia compartida, corresponde a la Generalitat precisar normativamente los objetivos a los cuales se destinen las subvenciones estatales y comunitarias europeas territorializables, y también completar la regulación de las condiciones de otorgamiento y toda la gestión, incluyendo la tramitación y la concesión de las mismas. El apartado 5 del mencionado art. 114 prevé que la Generalitat participe en la determinación del carácter no territorializable de las subvenciones estatales y comunitarias europeas, y que, asimismo, participe, en los términos que fije el Estado, en la gestión y la tramitación de dichas subvenciones.</w:t>
      </w:r>
    </w:p>
    <w:p w:rsidR="0026452D" w:rsidRDefault="0026452D" w:rsidP="0026452D">
      <w:pPr>
        <w:pStyle w:val="TextoNormal"/>
      </w:pPr>
    </w:p>
    <w:p w:rsidR="0026452D" w:rsidRDefault="0026452D" w:rsidP="0026452D">
      <w:pPr>
        <w:pStyle w:val="TextoNormal"/>
      </w:pPr>
      <w:r>
        <w:t>Para la representante de la Generalitat, las ayudas que constituyen el objeto del presente conflicto de competencia, coinciden con la definición del título competencial autonómico contenido en el art. 144 EAC descrito con términos como “medio ambiente y biodiversidad” “utilización sostenible de los recursos naturales” y “prevención de la contaminación y del cambio climático”; y se inscriben en el supuesto descrito del art. 114.3 del Estatuto de Autonomía de Cataluña, donde se prevé que corresponde a la Generalitat, en las materias de competencia compartida, precisar normativamente los objetivos a los cuales se destinen las subvenciones estatales territorializables, y también completar la regulación de las condicio</w:t>
      </w:r>
      <w:r>
        <w:lastRenderedPageBreak/>
        <w:t>nes de otorgamiento y toda la gestión, incluyendo la tramitación y concesión de dichas ayudas. Para la representante de la Generalitat, esta previsión estatutaria se corresponde con el supuesto contenido en el fundamento jurídico 8 b) de la STC 13/1992.</w:t>
      </w:r>
    </w:p>
    <w:p w:rsidR="0026452D" w:rsidRDefault="0026452D" w:rsidP="0026452D">
      <w:pPr>
        <w:pStyle w:val="TextoNormal"/>
      </w:pPr>
    </w:p>
    <w:p w:rsidR="0026452D" w:rsidRDefault="0026452D" w:rsidP="0026452D">
      <w:pPr>
        <w:pStyle w:val="TextoNormal"/>
      </w:pPr>
      <w:r>
        <w:t>Para la representante de la Generalitat, incluso si la Administración del Estado entendiera que dichas ayudas no son territorializables, debería cumplir lo dispuesto en el art. 114.5 EAC, donde está previsto que la Generalitat en dichos supuestos, debería participar en la determinación del carácter no territorializable de las subvenciones estatales. Asimismo, en el caso de determinar el carácter no territorializable de las ayudas, la Generalitat debería participar, en los términos fijados por el Estado, en la gestión y la tramitación de dichas subvenciones no territorializables.</w:t>
      </w:r>
    </w:p>
    <w:p w:rsidR="0026452D" w:rsidRDefault="0026452D" w:rsidP="0026452D">
      <w:pPr>
        <w:pStyle w:val="TextoNormal"/>
      </w:pPr>
    </w:p>
    <w:p w:rsidR="0026452D" w:rsidRDefault="0026452D" w:rsidP="0026452D">
      <w:pPr>
        <w:pStyle w:val="TextoNormal"/>
      </w:pPr>
      <w:r>
        <w:t>No obstante lo anterior, señala la representación de la Generalitat que las subvenciones objeto del presente conflicto de competencia no reúnen los requisitos establecidos por la doctrina contenida en la propia STC 13/1992, FJ 8 d), para avalar la competencia estatal para regularlas y gestionarlas centralizadamente.</w:t>
      </w:r>
    </w:p>
    <w:p w:rsidR="0026452D" w:rsidRDefault="0026452D" w:rsidP="0026452D">
      <w:pPr>
        <w:pStyle w:val="TextoNormal"/>
      </w:pPr>
    </w:p>
    <w:p w:rsidR="0026452D" w:rsidRDefault="0026452D" w:rsidP="0026452D">
      <w:pPr>
        <w:pStyle w:val="TextoNormal"/>
      </w:pPr>
      <w:r>
        <w:t>c) A continuación, prosigue el escrito de la representación de la Generalitat señalando que en la Orden ARM/1593/2009 los programas subvencionados no tienen ningún requisito territorial y se definen únicamente por unos objetivos genéricos de defensa del medio ambiente. En efecto, se realiza una referencia genérica al objeto de los programas en el art. 1 y luego, al establecer los criterios objetivos de otorgamiento y ponderación en el art. 7, se prevé que el primero de dichos criterios será la “adecuación de los programas objeto de subvención a la defensa del medio natural y la biodiversidad, la utilización sostenible de los recursos naturales y la contribución a los esfuerzos globales para la prevención de la contaminación y el cambio climático (máximo 50 puntos)”. Los demás criterios son la antigüedad de la asociación o fundación (máximo 20 puntos), auditoria externa (máximo 10 puntos), adecuación de recursos humanos (máximo 10 puntos) y experiencia internacional (máximo 10 puntos).</w:t>
      </w:r>
    </w:p>
    <w:p w:rsidR="0026452D" w:rsidRDefault="0026452D" w:rsidP="0026452D">
      <w:pPr>
        <w:pStyle w:val="TextoNormal"/>
      </w:pPr>
    </w:p>
    <w:p w:rsidR="0026452D" w:rsidRDefault="0026452D" w:rsidP="0026452D">
      <w:pPr>
        <w:pStyle w:val="TextoNormal"/>
      </w:pPr>
      <w:r>
        <w:t>Para el representante de la Generalitat, esta descripción genérica del objeto de los programas, repetida en el art. 1 de la Orden ARM/1593/2009, no incluye ni excluye el carácter supraautonómico del programa a subvencionar ni justifica la excepcionalidad de la gestión centralizada de dichas subvenciones. Los objetivos definidos en la orden como objetivos del Ministerio y de los programas son, todos ellos, objetivos también de la Generalitat de Catalunya en su territorio, de acuerdo con lo previsto en el art. 144.1 EAC donde se establece la competencia autonómica compartida en materia de medio ambiente y la competencia para el establecimiento de normas adicionales de protección. Además, de acuerdo con el art. 114.3 EAC, en medidas de fomento sobre medio ambiente corresponde a la Generalitat precisar normativamente los objetivos a los cuales se destinan las subvenciones y completar la regulación de las condiciones de otorgamiento, así como la gestión, incluyendo la tramitación y concesión de las mismas.</w:t>
      </w:r>
    </w:p>
    <w:p w:rsidR="0026452D" w:rsidRDefault="0026452D" w:rsidP="0026452D">
      <w:pPr>
        <w:pStyle w:val="TextoNormal"/>
      </w:pPr>
    </w:p>
    <w:p w:rsidR="0026452D" w:rsidRDefault="0026452D" w:rsidP="0026452D">
      <w:pPr>
        <w:pStyle w:val="TextoNormal"/>
      </w:pPr>
      <w:r>
        <w:t xml:space="preserve">De acuerdo con la representación de la Generalitat, el fundamento jurídico 8 d) de la STC 13/1992 establece que sólo “excepcionalmente” el Estado podía gestionar ayudas en relación a materias de competencia autonómica, siempre que ostente algún título competencial, genérico o específico, en circunstancias determinadas y siempre, y en cada caso, de forma razonablemente justificada. En las presentes ayudas, no sólo no hay ninguna justificación </w:t>
      </w:r>
      <w:r>
        <w:lastRenderedPageBreak/>
        <w:t>que avale la competencia estatal para regularlas y gestionarlas centralizadamente, sino que la regulación y gestión estatal de las mismas se presentan como la forma ordinaria del Ministerio para llevar a cabo sus objetivos generales.</w:t>
      </w:r>
    </w:p>
    <w:p w:rsidR="0026452D" w:rsidRDefault="0026452D" w:rsidP="0026452D">
      <w:pPr>
        <w:pStyle w:val="TextoNormal"/>
      </w:pPr>
    </w:p>
    <w:p w:rsidR="0026452D" w:rsidRDefault="0026452D" w:rsidP="0026452D">
      <w:pPr>
        <w:pStyle w:val="TextoNormal"/>
      </w:pPr>
      <w:r>
        <w:t>Según el escrito de la representación de la Generalitat, también existe en el presente caso la vulneración del procedimiento por incumplimiento de la participación autonómica en la determinación del carácter no territorializable de las ayudas, de acuerdo con el art. 114.5 EAC.</w:t>
      </w:r>
    </w:p>
    <w:p w:rsidR="0026452D" w:rsidRDefault="0026452D" w:rsidP="0026452D">
      <w:pPr>
        <w:pStyle w:val="TextoNormal"/>
      </w:pPr>
    </w:p>
    <w:p w:rsidR="0026452D" w:rsidRDefault="0026452D" w:rsidP="0026452D">
      <w:pPr>
        <w:pStyle w:val="TextoNormal"/>
      </w:pPr>
      <w:r>
        <w:t>d) Procede a continuación la Abogado de la Generalitat a abordar la posible relación entre los requisitos de los beneficiarios de las subvenciones como única justificación a su carácter no territorializado. En el apartado 2 del art. 2 se establecen los requisitos que deberán reunir las entidades beneficiarias, entre los cuales, está que sean asociaciones declaradas de utilidad pública con actividad en cinco comunidades autónomas, o bien fundaciones bajo el protectorado del Ministerio. Para la Letrada de la Generalitat ello no prejuzga que la actuación o programa de dichas entidades sea localizada en más de una Comunidad Autónoma.</w:t>
      </w:r>
    </w:p>
    <w:p w:rsidR="0026452D" w:rsidRDefault="0026452D" w:rsidP="0026452D">
      <w:pPr>
        <w:pStyle w:val="TextoNormal"/>
      </w:pPr>
    </w:p>
    <w:p w:rsidR="0026452D" w:rsidRDefault="0026452D" w:rsidP="0026452D">
      <w:pPr>
        <w:pStyle w:val="TextoNormal"/>
      </w:pPr>
      <w:r>
        <w:t>Recuerda el escrito de la Abogado de la Generalitat la doctrina del Tribunal Constitucional sobre los efectos extraterritoriales de los actos autonómicos, y señala que el traslado de titularidad de la competencia medioambiental al Estado, ciertamente excepcional, tan sólo puede producirse cuando, además del alcance territorial superior al de una Comunidad Autónoma del objeto de la competencia, la actividad pública que sobre él se ejerza no sea susceptible de fraccionamiento y, aún en este caso, cuando dicha actuación no pueda llevarse a cabo mediante mecanismos de cooperación o coordinación (STC 243/1994, FJ 6). Es decir, aun cuando se estableciera la necesaria supraterritorialidad de los programas objeto de subvención, supuesto en el que no nos encontramos, todavía quedaría por justificar la imposibilidad de fijar punto de conexión para que el Estado fuera competente para regular y gestionar centralizadamente dichas ayudas en materia de medio ambiente.</w:t>
      </w:r>
    </w:p>
    <w:p w:rsidR="0026452D" w:rsidRDefault="0026452D" w:rsidP="0026452D">
      <w:pPr>
        <w:pStyle w:val="TextoNormal"/>
      </w:pPr>
    </w:p>
    <w:p w:rsidR="0026452D" w:rsidRDefault="0026452D" w:rsidP="0026452D">
      <w:pPr>
        <w:pStyle w:val="TextoNormal"/>
      </w:pPr>
      <w:r>
        <w:t>Con abundante cita en la doctrina recogida en la STC 77/2004, el Abogado de la Generalitat considera que la repercusión de una actividad más allá del territorio de una determinada Comunidad Autónoma, no puede justificar que se aparte a la Generalitat de Cataluña de las tareas de administración de las subvenciones reguladas por la orden. El eventual carácter supraautonómico, no justifica la competencia estatal, ya que la persecución del interés general se ha de materializar a través de, no a pesar de, los sistemas de reparto de competencias articulados en la Constitución.</w:t>
      </w:r>
    </w:p>
    <w:p w:rsidR="0026452D" w:rsidRDefault="0026452D" w:rsidP="0026452D">
      <w:pPr>
        <w:pStyle w:val="TextoNormal"/>
      </w:pPr>
    </w:p>
    <w:p w:rsidR="0026452D" w:rsidRDefault="0026452D" w:rsidP="0026452D">
      <w:pPr>
        <w:pStyle w:val="TextoNormal"/>
      </w:pPr>
      <w:r>
        <w:t>Por otra parte, más allá de los argumentos apuntados, la representación de la Generalitat subraya que la Administración del Estado está reasumiendo funciones de gestión del medio ambiente que deben corresponder a las Comunidades Autónomas de acuerdo con el reparto competencial previsto a través de las fundaciones adscritas al Ministerio que son entidades públicas del propio Ministerio, utilizadas como entidades instrumentales del mismo.</w:t>
      </w:r>
    </w:p>
    <w:p w:rsidR="0026452D" w:rsidRDefault="0026452D" w:rsidP="0026452D">
      <w:pPr>
        <w:pStyle w:val="TextoNormal"/>
      </w:pPr>
    </w:p>
    <w:p w:rsidR="0026452D" w:rsidRDefault="0026452D" w:rsidP="0026452D">
      <w:pPr>
        <w:pStyle w:val="TextoNormal"/>
      </w:pPr>
      <w:r>
        <w:t>Asimismo, de acuerdo con el escrito de la representación de la Generalitat las ayudas previstas en la orden impugnada son contrarias a la Ley 42/2007, de patrimonio natural y biodiversidad.</w:t>
      </w:r>
    </w:p>
    <w:p w:rsidR="0026452D" w:rsidRDefault="0026452D" w:rsidP="0026452D">
      <w:pPr>
        <w:pStyle w:val="TextoNormal"/>
      </w:pPr>
    </w:p>
    <w:p w:rsidR="0026452D" w:rsidRDefault="0026452D" w:rsidP="0026452D">
      <w:pPr>
        <w:pStyle w:val="TextoNormal"/>
      </w:pPr>
      <w:r>
        <w:lastRenderedPageBreak/>
        <w:t>e) Procede a continuación el escrito de la Abogada de la Generalitat a denunciar que la gestión estatal de las ayudas vulnera el art. 114 del Estatuto de Autonomía de Cataluña referido a la actividad de fomento, y que establece en su apartado tercero que, en las materias de competencia compartida, como es el medio ambiente, corresponde a la Generalitat precisar normativamente los objetivos a los cuales se destinen las subvenciones estatales territorializables, y también completar la regulación de las condiciones de otorgamiento y toda la gestión, incluyendo la tramitación y la concesión de las mismas. El apartado 5 del mencionado art. 114 prevé que la Generalitat participa en la determinación del carácter no territorializable de las subvenciones estatales, y que, asimismo, participa en los términos que fije el Estado, en la gestión y la tramitación de dichas subvenciones.</w:t>
      </w:r>
    </w:p>
    <w:p w:rsidR="0026452D" w:rsidRDefault="0026452D" w:rsidP="0026452D">
      <w:pPr>
        <w:pStyle w:val="TextoNormal"/>
      </w:pPr>
    </w:p>
    <w:p w:rsidR="0026452D" w:rsidRDefault="0026452D" w:rsidP="0026452D">
      <w:pPr>
        <w:pStyle w:val="TextoNormal"/>
      </w:pPr>
      <w:r>
        <w:t>Así pues, al quedar reservada al Estado la gestión íntegra estatal de las ayudas se está incumpliendo a la vez con los apartados 3 y 5 del art. 114 del Estatuto de Autonomía. Es decir, tanto si las ayudas son territorializables como si no, está prevista estatutariamente la intervención de la Generalitat en la gestión de las mismas.</w:t>
      </w:r>
    </w:p>
    <w:p w:rsidR="0026452D" w:rsidRDefault="0026452D" w:rsidP="0026452D">
      <w:pPr>
        <w:pStyle w:val="TextoNormal"/>
      </w:pPr>
    </w:p>
    <w:p w:rsidR="0026452D" w:rsidRDefault="0026452D" w:rsidP="0026452D">
      <w:pPr>
        <w:pStyle w:val="TextoNormal"/>
      </w:pPr>
      <w:r>
        <w:t>A continuación señala el escrito de la Abogada de la Generalitat que la incardinación que realiza el preámbulo de la orden objeto de conflicto de dichas ayudas dentro de los fines de interés social de la asignación tributaria del IRPF, no comporta la regulación y gestión estatal de las mismas, pues la Generalitat también ostenta competencia exclusiva en materia de servicios sociales, de acuerdo con lo previsto en el art. 166 del Estatuto de Autonomía. Aun cuando tanto el elemento teleológico o finalista y el orgánico de las ayudas ahora impugnadas llevan a la representante de la Generalitat a afirmar sin lugar a dudas su incardinación en la materia medio ambiental, la jurisprudencia a aplicar en relación al IRPF no ofrece tampoco al Estado posibilidad de regulación íntegra y gestión centralizada de las mismas.</w:t>
      </w:r>
    </w:p>
    <w:p w:rsidR="0026452D" w:rsidRDefault="0026452D" w:rsidP="0026452D">
      <w:pPr>
        <w:pStyle w:val="TextoNormal"/>
      </w:pPr>
    </w:p>
    <w:p w:rsidR="0026452D" w:rsidRDefault="0026452D" w:rsidP="0026452D">
      <w:pPr>
        <w:pStyle w:val="TextoNormal"/>
      </w:pPr>
      <w:r>
        <w:t>f) De acuerdo con lo anterior, la representante de la Generalitat estima que los arts. 1, 2, 3, 5, 7, 8, 13 y disposición final primera de la Orden ARM/1593/2009, de 5 de junio, por la que se establecen las bases reguladoras para la concesión de subvenciones a asociaciones declaradas de utilidad pública y fundaciones adscritas al protectorado del Ministerio de Medio Ambiente, y Medio Rural y Marino, para la fines de interés social de carácter medioambiental, publicada en el “Boletín Oficial del Estado” de 15 de junio de 2009, vulneran las competencias asumidas por la Generalitat de Cataluña previstas en los arts. 144 y 114 del Estatuto de Autonomía de Cataluña, de acuerdo con la jurisprudencia constitucional y los fundamentos jurídicos expuestos. Por ello finaliza el escrito solicitando que se declare que la competencia controvertida corresponde a la Generalitat y que debe procederse a la distribución territorial de la correspondiente consignación presupuestaria, transfiriendo las cuantías resultantes a fin de que sean las Comunidades Autónomas las que procedan a completar la regulación y a realizar la gestión descentralizada de las ayudas.</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Mediante providencia de 29 de septiembre de 2009, el Tribunal Constitucional acordó admitir a trámite el presente conflicto frente a los arts. 1, 2, 3, 5, 7, 8, 13 y disposición final primera de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dar traslado de la </w:t>
      </w:r>
      <w:r>
        <w:lastRenderedPageBreak/>
        <w:t>demanda y documentos presentados al Gobierno de la Nación, al objeto de presentar alegaciones en el plazo de veinte días; comunicar la incoación del conflicto a la Sala de lo Contencioso-Administrativo de la Audiencia Nacional, por si ante la misma estuvieran impugnados o se impugnaren los citados preceptos de la Orden ARM/1593/2009, de 5 de junio, en cuyo caso deberá suspenderse el curso del proceso hasta la decisión del conflicto, según dispone el art. 61.2 de la Ley Orgánica del Tribunal Constitucional (LOTC); y publicar la incoación del conflicto en el “Boletín Oficial del Estado” y en el “Diari Oficial de la Generalitat de Cataluña”.</w:t>
      </w:r>
    </w:p>
    <w:p w:rsidR="0026452D" w:rsidRDefault="0026452D" w:rsidP="0026452D">
      <w:pPr>
        <w:pStyle w:val="TextoNormal"/>
      </w:pPr>
    </w:p>
    <w:p w:rsidR="0026452D" w:rsidRDefault="0026452D" w:rsidP="0026452D">
      <w:pPr>
        <w:pStyle w:val="TextoNormal"/>
      </w:pPr>
      <w:r w:rsidRPr="0026452D">
        <w:rPr>
          <w:rStyle w:val="NumeroAFNegritaCaracter"/>
        </w:rPr>
        <w:t>4</w:t>
      </w:r>
      <w:r>
        <w:t>. Por escrito registrado ante este Tribunal el 6 de octubre de 2009, el Abogado del Estado se personó en el proceso solicitando una prórroga del plazo concedido para formular alegaciones, prórroga que le fue concedida mediante providencia de 7 de octubre de 2009. El escrito de alegaciones del Abogado del Estado se registró en este Tribunal el día 17 de noviembre de 2009. En dicho escrito se opone a la demanda por las razones que se recogen a continuación.</w:t>
      </w:r>
    </w:p>
    <w:p w:rsidR="0026452D" w:rsidRDefault="0026452D" w:rsidP="0026452D">
      <w:pPr>
        <w:pStyle w:val="TextoNormal"/>
      </w:pPr>
    </w:p>
    <w:p w:rsidR="0026452D" w:rsidRDefault="0026452D" w:rsidP="0026452D">
      <w:pPr>
        <w:pStyle w:val="TextoNormal"/>
      </w:pPr>
      <w:r>
        <w:t>a) Comienza el Abogado del Estado concretando el objeto y alcance del conflicto positivo de competencia planteado por la Generalitat de Cataluña contra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Señala el Abogado del Estado como el conflicto guarda relación con el conflicto planteado también por la Generalitat contra las Órdenes ARM/2876/2008 y ARM/3020/2008. Sin embargo, considera que existen importantes diferencias.</w:t>
      </w:r>
    </w:p>
    <w:p w:rsidR="0026452D" w:rsidRDefault="0026452D" w:rsidP="0026452D">
      <w:pPr>
        <w:pStyle w:val="TextoNormal"/>
      </w:pPr>
    </w:p>
    <w:p w:rsidR="0026452D" w:rsidRDefault="0026452D" w:rsidP="0026452D">
      <w:pPr>
        <w:pStyle w:val="TextoNormal"/>
      </w:pPr>
      <w:r>
        <w:t>En el presente conflicto, según el escrito del Abogado del Estado, se reprocha que la Orden ARM/1593/2009, de 5 de junio, no establezca claramente el carácter supraautonómico de los programas a los que se dirige la subvención. A diferencia de la Orden ARM/2876/2008, en la Orden ARM/1593/2009 se especifica claramente, en el preámbulo, que “en este sentido, se exige que los programas a realizar por los beneficiarios con cargo a las presentes ayudas tengan carácter supraterritorial de tal manera que por su naturaleza no puedan ser gestionados por las Comunidades Autónomas”. Para el Abogado del Estado, esta clara declaración no se queda en el preámbulo, sino que se traslada a la parte dispositiva. Así, ya el art. 1 de la Orden ARM/1593/2009, al definir su objeto y ámbito de aplicación, especifica con toda nitidez, según el escrito del Abogado del Estado, que la orden objeto de conflicto en el presente conflicto, tiene por objeto establecer las bases reguladoras para la concesión de subvenciones, en régimen de concurrencia competitiva, a las asociaciones declaradas de utilidad pública, así como a las fundaciones adscritas al protectorado del Ministerio de Medio Ambiente, y Medio Rural y Marino, que desarrollen programas en más de una Comunidad Autónoma, que por su naturaleza no sean susceptibles de territorialización, en relación con la defensa del medio natural y la biodiversidad, la utilización sostenible de los recursos naturales y la prevención de la contaminación y el cambio climático.</w:t>
      </w:r>
    </w:p>
    <w:p w:rsidR="0026452D" w:rsidRDefault="0026452D" w:rsidP="0026452D">
      <w:pPr>
        <w:pStyle w:val="TextoNormal"/>
      </w:pPr>
    </w:p>
    <w:p w:rsidR="0026452D" w:rsidRDefault="0026452D" w:rsidP="0026452D">
      <w:pPr>
        <w:pStyle w:val="TextoNormal"/>
      </w:pPr>
      <w:r>
        <w:t xml:space="preserve">Igualmente, se reprocha en el escrito de la Generalitat que el Estado no explicite las razones justificativas de la gestión centralizada de la subvención. Pues bien, para el Abogado del Estado, en el preámbulo de la Orden ARM/1593/2009 se señala expresamente que “se procede a la gestión centralizada de las presentes ayudas por razones de supraterritorialidad, </w:t>
      </w:r>
      <w:r>
        <w:lastRenderedPageBreak/>
        <w:t>al tratarse de entidades sin ánimo de lucro que no están regionalizadas y al ser las actividades de carácter medioambiental que se contemplan como subvencionables de ámbito supraautonómico”.</w:t>
      </w:r>
    </w:p>
    <w:p w:rsidR="0026452D" w:rsidRDefault="0026452D" w:rsidP="0026452D">
      <w:pPr>
        <w:pStyle w:val="TextoNormal"/>
      </w:pPr>
    </w:p>
    <w:p w:rsidR="0026452D" w:rsidRDefault="0026452D" w:rsidP="0026452D">
      <w:pPr>
        <w:pStyle w:val="TextoNormal"/>
      </w:pPr>
      <w:r>
        <w:t>El escrito de planteamiento del presente conflicto asimismo reprocha que no se dé ninguna participación a la Generalitat; sin embargo, señala el Abogado del Estado que, en la orden ahora impugnada, sí se establece un mecanismo de participación de las Comunidades Autónomas en la resolución de concesión de las subvenciones. Así, el art. 8 de la Orden ARM/1593/2009 —precepto impugnado en este proceso— dispone que “la comisión de valoración remitirá las solicitudes a las Comunidades Autónomas en cuyo ámbito hayan de efectuarse las actividades subvencionadas al objeto de que en el plazo de 15 días emitan informe”. Las observaciones de éstas se recogerán en la propuesta de resolución, que deberá motivarse específicamente cuando se aparte de ellas (apartados 3 y 4 del art. 8).</w:t>
      </w:r>
    </w:p>
    <w:p w:rsidR="0026452D" w:rsidRDefault="0026452D" w:rsidP="0026452D">
      <w:pPr>
        <w:pStyle w:val="TextoNormal"/>
      </w:pPr>
    </w:p>
    <w:p w:rsidR="0026452D" w:rsidRDefault="0026452D" w:rsidP="0026452D">
      <w:pPr>
        <w:pStyle w:val="TextoNormal"/>
      </w:pPr>
      <w:r>
        <w:t>En definitiva, a pesar de las similitudes del presente conflicto con el número 1343-2009, para el Abogado del Estado existen importantes diferencias que justifican en mayor medida la constitucionalidad de la Orden ARM/1593/2009, frente a la derogada Orden ARM/2876/2008.</w:t>
      </w:r>
    </w:p>
    <w:p w:rsidR="0026452D" w:rsidRDefault="0026452D" w:rsidP="0026452D">
      <w:pPr>
        <w:pStyle w:val="TextoNormal"/>
      </w:pPr>
    </w:p>
    <w:p w:rsidR="0026452D" w:rsidRDefault="0026452D" w:rsidP="0026452D">
      <w:pPr>
        <w:pStyle w:val="TextoNormal"/>
      </w:pPr>
      <w:r>
        <w:t>b) Prosigue el Abogado del Estado concretando el objeto y alcance del conflicto positivo de competencia planteado por la Generalitat de Cataluña. Procede, así, a realizar el encuadre competencial de las ayudas controvertidas afirmando que la materia sobre la que de forma prevalente incide la disposición impugnada es la de medio ambiente.</w:t>
      </w:r>
    </w:p>
    <w:p w:rsidR="0026452D" w:rsidRDefault="0026452D" w:rsidP="0026452D">
      <w:pPr>
        <w:pStyle w:val="TextoNormal"/>
      </w:pPr>
    </w:p>
    <w:p w:rsidR="0026452D" w:rsidRDefault="0026452D" w:rsidP="0026452D">
      <w:pPr>
        <w:pStyle w:val="TextoNormal"/>
      </w:pPr>
      <w:r>
        <w:t>Señala el Abogado del Estado que la calificación del objeto de la ayuda como de interés social, a efectos de que pueda afectarse la asignación tributaria de la cuota íntegra del impuesto sobre la renta de las personas físicas, carece de toda relevancia desde un punto de vista competencial. Genéricamente podemos encontrar actividades de interés social en cualquier sector material, lo cual no significa que las atraiga la competencia sobre los servicios sociales, máxime cuando existe un título mucho más específico como el de medio ambiente.</w:t>
      </w:r>
    </w:p>
    <w:p w:rsidR="0026452D" w:rsidRDefault="0026452D" w:rsidP="0026452D">
      <w:pPr>
        <w:pStyle w:val="TextoNormal"/>
      </w:pPr>
    </w:p>
    <w:p w:rsidR="0026452D" w:rsidRDefault="0026452D" w:rsidP="0026452D">
      <w:pPr>
        <w:pStyle w:val="TextoNormal"/>
      </w:pPr>
      <w:r>
        <w:t>Reproduce a continuación el escrito del Abogado del Estado la jurisprudencia del Tribunal Constitucional sobre el poder de gasto establecida en la STC 13/1992, de 6 de febrero, destacando los supuestos b) y d) del fundamento jurídico 8. Igualmente reproduce la jurisprudencia constitucional en materia de medio ambiente, destacando que corresponde al Estado el establecimiento de las bases y a las Comunidades el desarrollo y ejecución de esa legislación. Recuerda el Abogado del Estado que ha concretado además el Tribunal que, si bien con carácter general el instrumento para establecer la normativa básica es la Ley,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101/2005, FJ 5). Señala el Abogado del Estado que la misma sentencia añade que, “en materia de medio ambiente, el deber estatal de dejar un margen al desarrollo de la legislación básica por la normativa autonómica, aun siendo menor que en otros ámbitos, no puede llegar ... a tal grado de detalle que no permita desarrollo legislativo alguno de las Comunidades Autónomas con competencias en materia de medio ambiente, vaciándolas así de contenido”.</w:t>
      </w:r>
    </w:p>
    <w:p w:rsidR="0026452D" w:rsidRDefault="0026452D" w:rsidP="0026452D">
      <w:pPr>
        <w:pStyle w:val="TextoNormal"/>
      </w:pPr>
    </w:p>
    <w:p w:rsidR="0026452D" w:rsidRDefault="0026452D" w:rsidP="0026452D">
      <w:pPr>
        <w:pStyle w:val="TextoNormal"/>
      </w:pPr>
      <w:r>
        <w:lastRenderedPageBreak/>
        <w:t>c) Prosigue el escrito del Abogado del Estado argumentando en relación con la constitucionalidad de la orden impugnada. Destaca en primer lugar que la orden exige clara y explícitamente que los programas objeto de subvención tengan un ámbito supraautonómico. La demanda alega que lo afirmado en el preámbulo queda sin reflejo en la parte dispositiva de la orden. Para el Abogado del Estado, el preámbulo despliega un verdadero vigor interpretativo de todo el articulado de la orden, de forma que todos sus preceptos deben interpretarse conforme con la finalidad expresada en el preámbulo. La exigencia del preámbulo tiene además inmediata concreción desde el art. 1 de la orden, en el que se señala que el objeto de la subvención es el desarrollo de “programas en más de una Comunidad Autónoma, que por su naturaleza no sean susceptibles de territorialización, en relación con la defensa del medio natural y la biodiversidad, la utilización sostenible de los recursos naturales y la prevención de la contaminación y el cambio climático”.</w:t>
      </w:r>
    </w:p>
    <w:p w:rsidR="0026452D" w:rsidRDefault="0026452D" w:rsidP="0026452D">
      <w:pPr>
        <w:pStyle w:val="TextoNormal"/>
      </w:pPr>
    </w:p>
    <w:p w:rsidR="0026452D" w:rsidRDefault="0026452D" w:rsidP="0026452D">
      <w:pPr>
        <w:pStyle w:val="TextoNormal"/>
      </w:pPr>
      <w:r>
        <w:t>Subraya igualmente el Abogado del Estado que, de acuerdo con el art. 2 de la orden objeto de impugnación, es circunstancia necesaria para acceder a la condición de beneficiario una implantación en al menos cinco Comunidades Autónomas, o tratarse de una fundación adscrita al protectorado del Ministerio de Medio Ambiente. En definitiva, para el Abogado del Estado, resulta evidente que la Orden ARM/1593/2009 se dirige a regular las bases de convocatoria de ayudas para programas de carácter supraautonómico. No existe, para el Abogado del Estado, ninguna duda dados los términos en que se expresan el preámbulo y los arts. 1 y 2 de la misma.</w:t>
      </w:r>
    </w:p>
    <w:p w:rsidR="0026452D" w:rsidRDefault="0026452D" w:rsidP="0026452D">
      <w:pPr>
        <w:pStyle w:val="TextoNormal"/>
      </w:pPr>
    </w:p>
    <w:p w:rsidR="0026452D" w:rsidRDefault="0026452D" w:rsidP="0026452D">
      <w:pPr>
        <w:pStyle w:val="TextoNormal"/>
      </w:pPr>
      <w:r>
        <w:t>En relación con la alegación de que la resolución impugnada vulneraría el art. 114.5 EAC, que prevé que “la Generalitat participa en la determinación del carácter no territorializable de las subvenciones estatales y comunitarias europeas. Asimismo, participa, en los términos que fije el Estado, en su gestión y tramitación”, el Abogado del Estado señala que ese precepto remite a una posterior determinación o precisión del tipo de participación que, como es lógico, deberá establecerse por norma estatal de rango suficiente o, si la participación pudiera llevarse a cabo por vías ya existentes, mediante el apropiado acto o convenio de cooperación.</w:t>
      </w:r>
    </w:p>
    <w:p w:rsidR="0026452D" w:rsidRDefault="0026452D" w:rsidP="0026452D">
      <w:pPr>
        <w:pStyle w:val="TextoNormal"/>
      </w:pPr>
    </w:p>
    <w:p w:rsidR="0026452D" w:rsidRDefault="0026452D" w:rsidP="0026452D">
      <w:pPr>
        <w:pStyle w:val="TextoNormal"/>
      </w:pPr>
      <w:r>
        <w:t>Destaca el Abogado del Estado que, tal y como consta en el preámbulo de la Orden ARM/1593/2009, en la tramitación de la orden fueron “consultadas las Comunidades Autónomas y las entidades representativas de los sectores afectados”. Por tanto, sí se acudió a un mecanismo participativo de las Comunidades Autónomas para definir el ámbito de las ayudas previstas. Igualmente señala el Abogado del Estado que la Orden ARM/1593/2009 sí da participación a las Comunidades Autónomas en la gestión de las ayudas, a través del mecanismo del informe previsto en el art. 8, apartados 3 y 4 de aquélla.</w:t>
      </w:r>
    </w:p>
    <w:p w:rsidR="0026452D" w:rsidRDefault="0026452D" w:rsidP="0026452D">
      <w:pPr>
        <w:pStyle w:val="TextoNormal"/>
      </w:pPr>
    </w:p>
    <w:p w:rsidR="0026452D" w:rsidRDefault="0026452D" w:rsidP="0026452D">
      <w:pPr>
        <w:pStyle w:val="TextoNormal"/>
      </w:pPr>
      <w:r>
        <w:t>A continuación entra el Abogado del Estado a rebatir la alegación de que la Orden ARM/1593/2009 no justifica explícitamente la necesidad de acudir a una gestión centralizada de las ayudas, pues el preámbulo de la orden contiene, según el Abogado del Estado, una clara justificación de la necesidad de una gestión centralizada cuando considera que se procede a la gestión centralizada de las ayudas por razones de supraterritorialidad, al tratarse de entidades sin ánimo de lucro que no están regionalizadas y al ser las actividades de carácter medioambiental que se contemplan como subvencionables de ámbito supraautonómico.</w:t>
      </w:r>
    </w:p>
    <w:p w:rsidR="0026452D" w:rsidRDefault="0026452D" w:rsidP="0026452D">
      <w:pPr>
        <w:pStyle w:val="TextoNormal"/>
      </w:pPr>
    </w:p>
    <w:p w:rsidR="0026452D" w:rsidRDefault="0026452D" w:rsidP="0026452D">
      <w:pPr>
        <w:pStyle w:val="TextoNormal"/>
      </w:pPr>
      <w:r>
        <w:lastRenderedPageBreak/>
        <w:t>Para el escrito del Abogado del Estado, resulta un indicio claro de la imposibilidad de fijar un punto de conexión que satisfaga los intereses y respete las legítimas competencias de cada una de las Comunidades Autónomas a las que afecten los programas, el hecho de que la demanda haya sido incapaz de señalar ejemplo alguno. En cuanto al carácter no fraccionable de los programas, el Abogado del Estado argumenta que las bases reguladoras se limitan a la definición, desde una perspectiva genérica, del “objeto de la subvención”, reservándose a la convocatoria la concreción del “objeto, condiciones y finalidad de la concesión de la subvención”. Por tanto, para el Abogado del Estado, sería la convocatoria, si incluyera programas supraautonómicos fácilmente fraccionables, la que estaría infringiendo las bases reguladoras aquí recurridas. El conflicto resulta, según el Abogado del Estado, en este punto prematuro.</w:t>
      </w:r>
    </w:p>
    <w:p w:rsidR="0026452D" w:rsidRDefault="0026452D" w:rsidP="0026452D">
      <w:pPr>
        <w:pStyle w:val="TextoNormal"/>
      </w:pPr>
    </w:p>
    <w:p w:rsidR="0026452D" w:rsidRDefault="0026452D" w:rsidP="0026452D">
      <w:pPr>
        <w:pStyle w:val="TextoNormal"/>
      </w:pPr>
      <w:r>
        <w:t>A continuación, considera el Abogado del Estado que es irrelevante a los efectos de este proceso que la Administración ejerza sus competencias a través de órganos centralizados o acudiendo a personificaciones jurídicas instrumentales como las fundaciones. Lo único relevante en este proceso, según el Abogado de Estado, es que la competencia se ejerza legítimamente; es decir, sin invadir competencias ajenas. Según el Abogado del Estado, que sea autonómica la competencia de desarrollo normativo y ejecución en materia de medio ambiente, no impide que el Estado, a través de su competencia básica, pueda llevar a cabo actuaciones supraautonómicas, no fraccionables y en las que resulte ineficaz acudir a mecanismos colaborativos.</w:t>
      </w:r>
    </w:p>
    <w:p w:rsidR="0026452D" w:rsidRDefault="0026452D" w:rsidP="0026452D">
      <w:pPr>
        <w:pStyle w:val="TextoNormal"/>
      </w:pPr>
    </w:p>
    <w:p w:rsidR="0026452D" w:rsidRDefault="0026452D" w:rsidP="0026452D">
      <w:pPr>
        <w:pStyle w:val="TextoNormal"/>
      </w:pPr>
      <w:r>
        <w:t>En relación con la denuncia de la demanda de que la Orden impugnada constituye asimismo una infracción de legalidad ordinaria, al resultar contraria a la Ley 42/2007, de 13 de diciembre, del patrimonio natural y la biodiversidad, destaca el Abogado del Estado la inadecuación de la jurisdicción constitucional para enjuiciar una infracción de la legalidad ordinaria.</w:t>
      </w:r>
    </w:p>
    <w:p w:rsidR="0026452D" w:rsidRDefault="0026452D" w:rsidP="0026452D">
      <w:pPr>
        <w:pStyle w:val="TextoNormal"/>
      </w:pPr>
    </w:p>
    <w:p w:rsidR="0026452D" w:rsidRDefault="0026452D" w:rsidP="0026452D">
      <w:pPr>
        <w:pStyle w:val="TextoNormal"/>
      </w:pPr>
      <w:r>
        <w:t>d) Finaliza el Abogado del Estado su escrito afirmando que resulta claro que concurren circunstancias que hacen que “la necesidad de la gestión centralizada” de las ayudas a que se refiere la Orden ARM/1593/2009 aparezca justificada, dada la supraterritonalidad de estas ayudas, por lo que se hace imprescindible la gestión centralizada para que el Estado concilie intereses divergentes de las Comunidades que puedan derivar de una diversidad de políticas medioambientales. Por ello suplica que se dicte sentencia desestimatoria.</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providencia de 7 de mayo de 2013 se señaló para deliberación y votación de la presente Sentencia el día 9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 planteado por el Gobierno de la Generalitat de Cataluña contra los arts. 1, 2, 3, 5, 7, 8 y 13 y la disposición final primera de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w:t>
      </w:r>
    </w:p>
    <w:p w:rsidR="0026452D" w:rsidRDefault="0026452D" w:rsidP="0026452D">
      <w:pPr>
        <w:pStyle w:val="TextoNormal"/>
      </w:pPr>
    </w:p>
    <w:p w:rsidR="0026452D" w:rsidRDefault="0026452D" w:rsidP="0026452D">
      <w:pPr>
        <w:pStyle w:val="TextoNormal"/>
      </w:pPr>
      <w:r>
        <w:t>Para el Gobierno de la Generalitat de Cataluña la orden objeto de conflicto no respeta la distribución de competencias derivada del bloque de constitucionalidad en cuanto que dicha disposición centraliza en los órganos estatales la regulación, tramitación y resolución de las ayudas referidas, ignorando de este modo la doctrina constitucional recaída en relación con las subvenciones. Por su parte, el Abogado del Estado sostiene la conformidad de la centralización de la regulación, tramitación y resolución de las ayudas con la doctrina constitucional al tratarse de uno de los supuestos en que puede producirse aquella.</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al examen de fondo, procede realizar alguna precisión en relación con el objeto del recurso.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constituye el marco de referencia a partir del cual, y en desarrollo del mismo, han de efectuarse las correspondientes convocatorias anuales. De esta forma la norma controvertida ha sido dictada con vocación de permanencia y continúa vigente, si bien ha sufrido alguna modificación posterior (así por ejemplo las Órdenes AAA/2462/2012, de 15 de noviembre, y AAA/2219/2012, de 17 de octubre, disponen con idéntico contenido la modificación del art. 10.1 de la Orden ARM /1593/2009), que no afecta a la subsistencia de la presente controversia competencial.</w:t>
      </w:r>
    </w:p>
    <w:p w:rsidR="0026452D" w:rsidRDefault="0026452D" w:rsidP="0026452D">
      <w:pPr>
        <w:pStyle w:val="TextoNormal"/>
      </w:pPr>
    </w:p>
    <w:p w:rsidR="0026452D" w:rsidRDefault="0026452D" w:rsidP="0026452D">
      <w:pPr>
        <w:pStyle w:val="TextoNormal"/>
      </w:pPr>
      <w:r w:rsidRPr="0026452D">
        <w:rPr>
          <w:rStyle w:val="NumeroAFNegritaCaracter"/>
        </w:rPr>
        <w:t>3</w:t>
      </w:r>
      <w:r>
        <w:t>. De acuerdo con nuestra doctrina (por todas, la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pues al abordar este tipo de conflictos nuestro punto de partida ha sido invariablemente que “no existe una competencia subvencional diferenciada resultante de la potestad financiera del Estado” o, lo que es lo mismo, que “el Estado ... no dispone de un poder general para subvenciones (gasto público), entendido como poder libre o desvinculado del orden competencial” (STC 13/1992, de 6 de febrero, FFJJ 4 y 6).</w:t>
      </w:r>
    </w:p>
    <w:p w:rsidR="0026452D" w:rsidRDefault="0026452D" w:rsidP="0026452D">
      <w:pPr>
        <w:pStyle w:val="TextoNormal"/>
      </w:pPr>
    </w:p>
    <w:p w:rsidR="0026452D" w:rsidRDefault="0026452D" w:rsidP="0026452D">
      <w:pPr>
        <w:pStyle w:val="TextoNormal"/>
      </w:pPr>
      <w:r>
        <w:t xml:space="preserve">El punto de partida anterior no supone, sin embargo, que el Estado no pueda asignar fondos a determinadas finalidades, pues tal y como hemos afirmado “el Estado siempre podrá, en uso de su soberanía financiera (de gasto, en este caso), asignar fondos públicos a unas finalidades u otras” (STC 13/1992, FJ 7). El Estado tiene, por tanto, la capacidad para poner su poder de gasto al servicio de determinadas políticas, en el ejercicio legítimo de la función legislativa presupuestaria, sin perjuicio de que pueda corresponder a la Comunidad Autónoma la competencia en la concreta materia. En la STC 13/1992, este Tribunal estableció un esquema de delimitación competencial entre el Estado y las Comunidades Autónomas en cuanto al ejercicio de la potestad subvencional de gasto público, resumido en cuatro supuestos generales que tratan, precisamente, de conciliar la distribución competencial existente en cada materia entre el Estado y las Comunidades Autónomas, por un lado, con la reconocida potestad subvencional de gasto público que ostenta el Estado, por otro. Ello supone que cuando en la materia o sector de la actividad pública a la que se dirigen las ayudas hayan asumido competencias en uno u otro grado las Comunidades Autónomas, las medidas que hayan de adoptarse para conseguir la finalidad a que se destinan los recursos, </w:t>
      </w:r>
      <w:r>
        <w:lastRenderedPageBreak/>
        <w:t>deberán respetar el orden constitucional y estatuario de competencias que se garantiza con el sistema de los cuatro supuestos referidos, pues, de no ser así, el Estado restringiría la autonomía política de las Comunidades Autónomas y su capacidad de autogobierno (STC 13/1992, FJ 7).</w:t>
      </w:r>
    </w:p>
    <w:p w:rsidR="0026452D" w:rsidRDefault="0026452D" w:rsidP="0026452D">
      <w:pPr>
        <w:pStyle w:val="TextoNormal"/>
      </w:pPr>
    </w:p>
    <w:p w:rsidR="0026452D" w:rsidRDefault="0026452D" w:rsidP="0026452D">
      <w:pPr>
        <w:pStyle w:val="TextoNormal"/>
      </w:pPr>
      <w:r w:rsidRPr="0026452D">
        <w:rPr>
          <w:rStyle w:val="NumeroAFNegritaCaracter"/>
        </w:rPr>
        <w:t>4</w:t>
      </w:r>
      <w:r>
        <w:t>. Con carácter previo a la determinación del supuesto aplicable, de los cuatro a los que se refiere la STC 13/1992, FJ 8, procede determinar la distribución de competencias existente en la materia en la que proceda encuadrar las subvenciones previstas en la orden impugnada, para ello debemos examinar, en primer lugar, el contenido concreto de la resolución objeto de conflicto.</w:t>
      </w:r>
    </w:p>
    <w:p w:rsidR="0026452D" w:rsidRDefault="0026452D" w:rsidP="0026452D">
      <w:pPr>
        <w:pStyle w:val="TextoNormal"/>
      </w:pPr>
    </w:p>
    <w:p w:rsidR="0026452D" w:rsidRDefault="0026452D" w:rsidP="0026452D">
      <w:pPr>
        <w:pStyle w:val="TextoNormal"/>
      </w:pPr>
      <w:r>
        <w:t>La Orden ARM/1593/2009, de 5 de junio, tiene por objeto, tal como recoge su art. 1, “la concesión de subvenciones, en régimen de concurrencia competitiva, a las asociaciones declaradas de utilidad pública, así como a las fundaciones adscritas al protectorado del Ministerio de Medio Ambiente, y Medio Rural y Marino, que desarrollen programas en más de una comunidad autónoma, que por su naturaleza no sean susceptibles de territorialización, en relación con la defensa del medio natural y la biodiversidad, la utilización sostenible de los recursos naturales y la prevención de la contaminación y el cambio climático”. El art. 2 de la orden determina los requisitos que deberán cumplir las entidades y organizaciones solicitantes. El art. 3 se refiere al procedimiento de concesión. El art. 4 a la cuantía y criterios de distribución. La orden se completa con la regulación de los siguientes aspectos: las solicitudes (art. 5); la compatibilidad de las ayudas (art. 6); los criterios objetivos de otorgamiento y ponderación (art. 7); la ordenación, instrucción y resolución (art. 8); las obligaciones de los beneficiarios (art. 9); la justificación de los gastos (art. 10); los reintegros (art. 11); los prorrateos (art. 12) y los pagos anticipados (art. 13). La orden incluye una disposición derogatoria de la Orden ARM/2876/2008, de 2 de octubre, por la que se establecen las bases reguladoras para la concesión de subvenciones a asociaciones declaradas de utilidad pública y fundaciones adscritas al protectorado del Ministerio para la realización de actividades relativas a los programas que desarrollen en relación con la defensa del medio natural y la biodiversidad, la utilización sostenible de los recursos naturales y la prevención de la contaminación y el cambio climático; y dos disposiciones finales referidas al título competencial al amparo del cual se dicta la orden, el art. 149.1.23 CE sobre medio ambiente, y a la entrada en vigor respectivamente. Las partes de este proceso coinciden en afirmar que estamos ante subvenciones dirigidas a financiar programas en materia de medio ambiente, criterio que hay que confirmar en razón de cuál es el objeto de la disposición impugnada tal y como queda definido en el art. 1 de la orden objeto de conflicto. El ámbito material en el que debe incardinarse la resolución cuestionada es, por tanto, el relativo a medio ambiente, por ser ésta la materia más directamente afectada, tal y como queda, asimismo, confirmado por la remisión que se realiza al art. 149.1.23 CE en la disposición final primera de la Orden ARM/1593/2009, de 5 de junio.</w:t>
      </w:r>
    </w:p>
    <w:p w:rsidR="0026452D" w:rsidRDefault="0026452D" w:rsidP="0026452D">
      <w:pPr>
        <w:pStyle w:val="TextoNormal"/>
      </w:pPr>
    </w:p>
    <w:p w:rsidR="0026452D" w:rsidRDefault="0026452D" w:rsidP="0026452D">
      <w:pPr>
        <w:pStyle w:val="TextoNormal"/>
      </w:pPr>
      <w:r>
        <w:t xml:space="preserve">Encuadrada de este modo la cuestión controvertida, apreciamos que el sistema de distribución competencial que se deriva de las previsiones de la Constitución y del Estatuto de Autonomía de Cataluña sobre esta materia —medio ambiente— se traduce en que el art. 149.1.23 CE atribuye al Estado las competencias para dictar la legislación básica en relación con la “protección del medio ambiente, sin perjuicio de las facultades de las Comunidades Autónomas de establecer normas adicionales de protección”, mientras que corresponde a la </w:t>
      </w:r>
      <w:r>
        <w:lastRenderedPageBreak/>
        <w:t>Comunidad Autónoma de Cataluña la competencia compartida en materia de medio ambiente y la competencia para el establecimiento de normas adicionales de protección (art. 144.1 del Estatuto de Autonomía de Cataluña). El Estado tiene, por tanto, la competencia sobre las bases en materia de medio ambiente, correspondiendo a la Comunidad Autónoma las competencias de desarrollo normativo y de ejecución.</w:t>
      </w:r>
    </w:p>
    <w:p w:rsidR="0026452D" w:rsidRDefault="0026452D" w:rsidP="0026452D">
      <w:pPr>
        <w:pStyle w:val="TextoNormal"/>
      </w:pPr>
    </w:p>
    <w:p w:rsidR="0026452D" w:rsidRDefault="0026452D" w:rsidP="0026452D">
      <w:pPr>
        <w:pStyle w:val="TextoNormal"/>
      </w:pPr>
      <w:r w:rsidRPr="0026452D">
        <w:rPr>
          <w:rStyle w:val="NumeroAFNegritaCaracter"/>
        </w:rPr>
        <w:t>5</w:t>
      </w:r>
      <w:r>
        <w:t>. Una vez expuesto el marco competencial de los términos del debate procesal trabado entre las partes, podemos apreciar que la controversia entre las mismas versa en torno a la aplicación al caso concreto de la consolidada doctrina de este Tribunal en materia de subvenciones y ayudas públicas, en particular la contenida en la STC 13/1992, a la que ambas partes hacen referencia en sus alegaciones. Así, lo discutido entre las partes resulta ser la concurrencia de las circunstancias excepcionales previstas en la doctrina constitucional (en concreto, STC 13/1992, de 6 de febrero, FJ 8) para que resulte justificada la regulación completa de las subvenciones y la centralización de la gestión que se contienen en la resolución objeto de conflicto.</w:t>
      </w:r>
    </w:p>
    <w:p w:rsidR="0026452D" w:rsidRDefault="0026452D" w:rsidP="0026452D">
      <w:pPr>
        <w:pStyle w:val="TextoNormal"/>
      </w:pPr>
    </w:p>
    <w:p w:rsidR="0026452D" w:rsidRDefault="0026452D" w:rsidP="0026452D">
      <w:pPr>
        <w:pStyle w:val="TextoNormal"/>
      </w:pPr>
      <w:r>
        <w:t>Al respecto, la representación procesal del Gobierno de la Generalitat entiende que nos encontramos en el denominado segundo supuesto, recogido en el fundamento jurídico 8 b) de la meritada STC 13/1992, el cual determina lo siguiente:</w:t>
      </w:r>
    </w:p>
    <w:p w:rsidR="0026452D" w:rsidRDefault="0026452D" w:rsidP="0026452D">
      <w:pPr>
        <w:pStyle w:val="TextoNormal"/>
      </w:pPr>
    </w:p>
    <w:p w:rsidR="0026452D" w:rsidRDefault="0026452D" w:rsidP="0026452D">
      <w:pPr>
        <w:pStyle w:val="TextoNormal"/>
      </w:pPr>
      <w:r>
        <w:t>“El segundo supuesto se da cuando el Estado ostenta un título competencial genérico de intervención que se superpone a la competencia de las Comunidades Autónomas sobre una materia, aun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0026452D" w:rsidRDefault="0026452D" w:rsidP="0026452D">
      <w:pPr>
        <w:pStyle w:val="TextoNormal"/>
      </w:pPr>
    </w:p>
    <w:p w:rsidR="0026452D" w:rsidRDefault="0026452D" w:rsidP="0026452D">
      <w:pPr>
        <w:pStyle w:val="TextoNormal"/>
      </w:pPr>
      <w:r>
        <w:t>Por su parte, el Abogado del Estado disiente del anterior planteamiento y considera que la peculiaridad de estas ayudas conlleva que, como excepción, resulte procedente la aplicación a todas ellas de la doctrina recaída en el fundamento jurídico 8 d) de la misma STC 13/1992, en el que dijimos que la gestión centralizada estatal:</w:t>
      </w:r>
    </w:p>
    <w:p w:rsidR="0026452D" w:rsidRDefault="0026452D" w:rsidP="0026452D">
      <w:pPr>
        <w:pStyle w:val="TextoNormal"/>
      </w:pPr>
    </w:p>
    <w:p w:rsidR="0026452D" w:rsidRDefault="0026452D" w:rsidP="0026452D">
      <w:pPr>
        <w:pStyle w:val="TextoNormal"/>
      </w:pPr>
      <w:r>
        <w:t xml:space="preserve">“[S]ólo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w:t>
      </w:r>
      <w:r>
        <w:lastRenderedPageBreak/>
        <w:t>al propio tiempo que se sobrepase la cuantía global de los fondos estatales destinados al sector. Su procedencia en cada caso habrá de aparecer razonablemente justificada de la medida de fomento de que se trate.”</w:t>
      </w:r>
    </w:p>
    <w:p w:rsidR="0026452D" w:rsidRDefault="0026452D" w:rsidP="0026452D">
      <w:pPr>
        <w:pStyle w:val="TextoNormal"/>
      </w:pPr>
    </w:p>
    <w:p w:rsidR="0026452D" w:rsidRDefault="0026452D" w:rsidP="0026452D">
      <w:pPr>
        <w:pStyle w:val="TextoNormal"/>
      </w:pPr>
      <w:r>
        <w:t>Debemos pronunciarnos ahora sobre cuál de estos dos supuestos le es de aplicación a la resolución impugnada en razón a sus características.</w:t>
      </w:r>
    </w:p>
    <w:p w:rsidR="0026452D" w:rsidRDefault="0026452D" w:rsidP="0026452D">
      <w:pPr>
        <w:pStyle w:val="TextoNormal"/>
      </w:pPr>
    </w:p>
    <w:p w:rsidR="0026452D" w:rsidRDefault="0026452D" w:rsidP="0026452D">
      <w:pPr>
        <w:pStyle w:val="TextoNormal"/>
      </w:pPr>
      <w:r w:rsidRPr="0026452D">
        <w:rPr>
          <w:rStyle w:val="NumeroAFNegritaCaracter"/>
        </w:rPr>
        <w:t>6</w:t>
      </w:r>
      <w:r>
        <w:t>. Así centrados los términos de la cuestión, para su resolución habremos de comenzar analizando las razones aducidas para justificar la concurrencia de la excepción que determina la posibilidad de asunción centralizada de las competencias de regulación del régimen de otorgamiento y de gestión de las ayudas, pues nos encontramos ante un caso en el que la potestad de fomento del Estado se hace patente en un ámbito material en el que ostenta competencias básicas. A este respecto, teniendo presente que la centralización en el Estado de funciones relacionadas con la regulación del régimen de otorgamiento y de la gestión de las ayudas sólo puede tener lugar en supuestos excepcionales que aparezcan plenamente justificados, debemos examinar la orden por la que se establecen las bases reguladoras de las ayudas, la Orden ARM/1593/2009, de 5 de junio. Igualmente atenderemos a los argumentos aportados por el Abogado del Estado para justificar la reserva al Estado de tales competencias relacionadas con la regulación, gestión y pago de las ayudas.</w:t>
      </w:r>
    </w:p>
    <w:p w:rsidR="0026452D" w:rsidRDefault="0026452D" w:rsidP="0026452D">
      <w:pPr>
        <w:pStyle w:val="TextoNormal"/>
      </w:pPr>
    </w:p>
    <w:p w:rsidR="0026452D" w:rsidRDefault="0026452D" w:rsidP="0026452D">
      <w:pPr>
        <w:pStyle w:val="TextoNormal"/>
      </w:pPr>
      <w:r>
        <w:t>En la Orden ARM/1593/2009, de 5 de junio, se justifica, especialmente en su preámbulo, la regulación del régimen de otorgamiento y la gestión de las ayudas por la Administración general del Estado “por razones de supraterritorialidad, al tratarse de entidades sin ánimo de lucro que no están regionalizadas y al ser las actividades de carácter medioambiental que se contemplan como subvencionables de ámbito suprautonómico”. De acuerdo con el preámbulo “en este sentido, se exige que los programas a realizar por los beneficiarios con cargo a las presentes ayudas tengan carácter supraterritorial de tal manera que por su naturaleza no puedan ser gestionados por las comunidades autónomas”.</w:t>
      </w:r>
    </w:p>
    <w:p w:rsidR="0026452D" w:rsidRDefault="0026452D" w:rsidP="0026452D">
      <w:pPr>
        <w:pStyle w:val="TextoNormal"/>
      </w:pPr>
    </w:p>
    <w:p w:rsidR="0026452D" w:rsidRDefault="0026452D" w:rsidP="0026452D">
      <w:pPr>
        <w:pStyle w:val="TextoNormal"/>
      </w:pPr>
      <w:r>
        <w:t>En relación con la exigencia a la que se refiere el preámbulo de que los beneficiarios de las ayudas sean entidades que no están regionalizadas, el art. 2 de la orden objeto de impugnación establece que es circunstancia necesaria para acceder a la condición de beneficiario ser una asociación declarada de utilidad pública, con actividad acreditada en, al menos, cinco Comunidades Autónomas o ciudades autónomas o una fundación adscrita al protectorado del Ministerio de Medio Ambiente y Medio Rural y Marino. Estas entidades deberán reunir como requisito tener ámbito de actuación estatal, según sus estatutos, y personalidad jurídica y actividad acreditada en los tres años inmediatamente anteriores a la fecha de la convocatoria.</w:t>
      </w:r>
    </w:p>
    <w:p w:rsidR="0026452D" w:rsidRDefault="0026452D" w:rsidP="0026452D">
      <w:pPr>
        <w:pStyle w:val="TextoNormal"/>
      </w:pPr>
    </w:p>
    <w:p w:rsidR="0026452D" w:rsidRDefault="0026452D" w:rsidP="0026452D">
      <w:pPr>
        <w:pStyle w:val="TextoNormal"/>
      </w:pPr>
      <w:r>
        <w:t>En relación con la exigencia a la que se refiere el preámbulo de que los programas a realizar por los beneficiarios con cargo a las ayudas tengan carácter supraterritorial de tal manera que por su naturaleza no puedan ser gestionados por las comunidades autónomas, el art. 1 de la orden objeto de impugnación, al definir su objeto y ámbito de aplicación, especifica que la orden tiene por objeto la concesión de subvenciones a las asociaciones que desarrollen programas en más de una Comunidad Autónoma, que por su naturaleza no sean susceptibles de territorialización, en relación con la defensa del medio natural y la biodiversidad, la utilización sostenible de los recursos naturales y la prevención de la contaminación y el cambio climático.</w:t>
      </w:r>
    </w:p>
    <w:p w:rsidR="0026452D" w:rsidRDefault="0026452D" w:rsidP="0026452D">
      <w:pPr>
        <w:pStyle w:val="TextoNormal"/>
      </w:pPr>
    </w:p>
    <w:p w:rsidR="0026452D" w:rsidRDefault="0026452D" w:rsidP="0026452D">
      <w:pPr>
        <w:pStyle w:val="TextoNormal"/>
      </w:pPr>
      <w:r>
        <w:t>Para el Abogado del Estado, resulta evidente que la orden objeto de conflicto se dirige a regular las bases de convocatoria de ayudas para programas de carácter supraautonómico. No existe, para el Abogado del Estado, ninguna duda dados los términos en que se expresan el preámbulo y los arts. 1 y 2 de la misma.</w:t>
      </w:r>
    </w:p>
    <w:p w:rsidR="0026452D" w:rsidRDefault="0026452D" w:rsidP="0026452D">
      <w:pPr>
        <w:pStyle w:val="TextoNormal"/>
      </w:pPr>
    </w:p>
    <w:p w:rsidR="0026452D" w:rsidRDefault="0026452D" w:rsidP="0026452D">
      <w:pPr>
        <w:pStyle w:val="TextoNormal"/>
      </w:pPr>
      <w:r>
        <w:t>A la vista de todo ello debemos, en primer lugar, examinar la exigencia establecida en la orden objeto de conflicto de que los beneficiarios de las ayudas sean entidades que actúen en el ámbito estatal. De acuerdo con la doctrina establecida por este Tribunal “ésta no es, por sí misma, una razón suficiente para proceder a la centralización total de la regulación del régimen de otorgamiento y de la gestión de las ayudas. El criterio territorial del radio de acción de los solicitantes no puede resultar relevante, pues el ejercicio de las competencias de desarrollo de las ayudas y de gestión de las mismas por parte de la Comunidad Autónoma cabría siempre en la medida en que el programa se ejecute en su propio territorio. Por tanto, el hecho de que las entidades beneficiarias de las ayudas vengan desarrollando su actividad, o lo tengan previsto en su título constitutivo, en distintas Comunidades Autónomas no puede determinar, por sí solo, la centralización de la regulación y la gestión de aquéllas” (STC 38/2012, de 26 de marzo, FJ 5).</w:t>
      </w:r>
    </w:p>
    <w:p w:rsidR="0026452D" w:rsidRDefault="0026452D" w:rsidP="0026452D">
      <w:pPr>
        <w:pStyle w:val="TextoNormal"/>
      </w:pPr>
    </w:p>
    <w:p w:rsidR="0026452D" w:rsidRDefault="0026452D" w:rsidP="0026452D">
      <w:pPr>
        <w:pStyle w:val="TextoNormal"/>
      </w:pPr>
      <w:r>
        <w:t>Se hace, por tanto, necesario examinar también la segunda exigencia establecida en la Orden objeto de conflicto, la relativa a que los programas a realizar por los beneficiarios tengan carácter supraterritorial de tal manera que por su naturaleza no puedan ser gestionados por las comunidades autónomas.</w:t>
      </w:r>
    </w:p>
    <w:p w:rsidR="0026452D" w:rsidRDefault="0026452D" w:rsidP="0026452D">
      <w:pPr>
        <w:pStyle w:val="TextoNormal"/>
      </w:pPr>
    </w:p>
    <w:p w:rsidR="0026452D" w:rsidRDefault="0026452D" w:rsidP="0026452D">
      <w:pPr>
        <w:pStyle w:val="TextoNormal"/>
      </w:pPr>
      <w:r>
        <w:t>De acuerdo con la doctrina establecida por este Tribunal, “la condición de que las actividades financiadas tengan un ámbito territorial de más de una Comunidad Autónoma, es decir que las actividades a desarrollar afecten a un ámbito geográfico supraautonómico, tampoco puede justificar, por sí misma, la excepcional asunción de competencias de gestión por el Estado y el correlativo desplazamiento de las competencias autonómicas. En este sentido hemos de recordar que este Tribunal ha afirmado que la supraterritorialidad no es un título competencial (STC 178/2011, de 8 de noviembre, FJ 5). Así, en la STC 194/2004, de 4 de noviembre, FJ 16, recogiendo doctrina anterior, afirmamos que ‘es evidente que la supraterritorialidad no configura título competencial alguno en esta materia [ciertos espacios naturales supracomunitarios] … Ciertamente los espacios naturales tienden a no detenerse y mucho menos a coincidir con los límites de las Comunidades Autónomas. Pero ello no es suficiente para desplazar la competencia de su declaración y gestión al Estado, so pena de vaciar o reducir la competencia autonómica en la materia’ (STC 102/1995, FJ 19).” [STC 38/2012, de 26 de marzo, FJ 7].</w:t>
      </w:r>
    </w:p>
    <w:p w:rsidR="0026452D" w:rsidRDefault="0026452D" w:rsidP="0026452D">
      <w:pPr>
        <w:pStyle w:val="TextoNormal"/>
      </w:pPr>
    </w:p>
    <w:p w:rsidR="0026452D" w:rsidRDefault="0026452D" w:rsidP="0026452D">
      <w:pPr>
        <w:pStyle w:val="TextoNormal"/>
      </w:pPr>
      <w:r>
        <w:t>En la referida STC 38/2012, de 26 de marzo, recordamos lo que ya dijimos en la STC 329/1993, de 12 de noviembre, al abordar el enjuiciamiento de un precepto de un reglamento estatal que atribuía al Estado la declaración de “zona atmosférica contaminada” cuando dicha zona se extendiera por más de una Comunidad Autónoma, entonces afirmamos:</w:t>
      </w:r>
    </w:p>
    <w:p w:rsidR="0026452D" w:rsidRDefault="0026452D" w:rsidP="0026452D">
      <w:pPr>
        <w:pStyle w:val="TextoNormal"/>
      </w:pPr>
    </w:p>
    <w:p w:rsidR="0026452D" w:rsidRDefault="0026452D" w:rsidP="0026452D">
      <w:pPr>
        <w:pStyle w:val="TextoNormal"/>
      </w:pPr>
      <w:r>
        <w:t xml:space="preserve">“‘[E]s cierto que la defensa del interés general y del derecho a un medio ambiente adecuado puede requerir la intervención del Estado, para evitar daños irreparables, pero ello ha de realizarse asegurando un adecuado equilibrio entre el respeto de las autonomías territoriales y la necesidad de evitar que éstas conduzcan a separaciones o compartimentaciones </w:t>
      </w:r>
      <w:r>
        <w:lastRenderedPageBreak/>
        <w:t>que desconozcan la propia unidad del sistema. Ello al igual que justifica la facultad de coordinación, puede permitir además que, en ocasiones excepcionales, el Estado, titular de la legislación básica, pueda realizar actos de ejecución’ (STC 329/1993, FJ 4).</w:t>
      </w:r>
    </w:p>
    <w:p w:rsidR="0026452D" w:rsidRDefault="0026452D" w:rsidP="0026452D">
      <w:pPr>
        <w:pStyle w:val="TextoNormal"/>
      </w:pPr>
    </w:p>
    <w:p w:rsidR="0026452D" w:rsidRDefault="0026452D" w:rsidP="0026452D">
      <w:pPr>
        <w:pStyle w:val="TextoNormal"/>
      </w:pPr>
      <w:r>
        <w:t>Ahora bien, planteada así la cuestión, señalamos entonces que ‘no es adecuada a la Constitución la solución ofrecida en la disposición recurrida: una decisión unitaria acerca de la declaración por parte de los órganos del Estado por el mero hecho de que las zonas atmosféricas contaminadas puedan sobrepasar o incluir el territorio de varias Comunidades Autónomas. Esta solución sólo sería constitucionalmente legítima en aquellos casos excepcionales en que la intervención separada de las diversas Comunidades Autónomas no permitiera salvaguardar la eficacia de las medidas a tomar, y resulte necesaria una decisión unitaria del Estado a causa de poderosas razones de seguridad y grave y urgente necesidad que justifican la utilización estatal sobre bases de la dependencia en materia de protección del medio ambiente y para evitar daños irreparables’ (STC 329/1993, FJ 4). Supuestos excepcionales que consideramos que no se daban en aquella ocasión.” (STC 38/2012, de 26 de marzo, FJ 7).</w:t>
      </w:r>
    </w:p>
    <w:p w:rsidR="0026452D" w:rsidRDefault="0026452D" w:rsidP="0026452D">
      <w:pPr>
        <w:pStyle w:val="TextoNormal"/>
      </w:pPr>
    </w:p>
    <w:p w:rsidR="0026452D" w:rsidRDefault="0026452D" w:rsidP="0026452D">
      <w:pPr>
        <w:pStyle w:val="TextoNormal"/>
      </w:pPr>
      <w:r w:rsidRPr="0026452D">
        <w:rPr>
          <w:rStyle w:val="NumeroAFNegritaCaracter"/>
        </w:rPr>
        <w:t>7</w:t>
      </w:r>
      <w:r>
        <w:t>. De la doctrina recogida en el fundamento jurídico anterior se desprende que, de acuerdo con la misma, la centralización de las funciones de ejecución sólo puede tener lugar en supuestos excepcionales que aparezcan plenamente justificados, pues la regla general ha de ser la de que las Comunidades Autónomas competentes desarrollen y gestionen las ayudas, incluso cuando su ejecución pueda tener un alcance supraterritorial, pues es responsabilidad del Estado en estos casos fijar los puntos de conexión que permitan la gestión autonómica. En efecto, concretando los términos de la excepcionalidad requerida, este Tribunal ha afirmado que “el traslado al Estado de la titularidad de la competencia de gestión sólo puede tener lugar, ‘cuando, además del alcance territorial superior al de una Comunidad Autónoma del objeto de la competencia, la actividad pública que sobre él se ejerza no sea susceptible de fraccionamiento y, aun en este caso, cuando dicha actuación no pueda llevarse a cabo mediante mecanismos de cooperación o coordinación, sino que requiera un grado de homogeneidad que sólo pueda garantizar su atribución a un solo titular, que forzosamente deba ser el Estado, o cuando sea necesario recurrir a un ente con capacidad de integrar intereses contrapuestos de varias Comunidades Autónomas (STC 243/1994, FJ 6)’ (SSTC 242/1999, de 21 de diciembre, FJ 18 y 190/2000, de 13 de julio, FJ 9). Por tanto, el carácter supraautonómico de las ayudas ‘no justifica la competencia estatal, ya que la persecución del interés general se ha de materializar a través de, no a pesar de, los sistemas de reparto de competencias articulados en la Constitución’ [STC 77/2004, de 29 de abril, FJ 6 b)].” (STC 38/2012, de 26 de marzo, FJ 8).</w:t>
      </w:r>
    </w:p>
    <w:p w:rsidR="0026452D" w:rsidRDefault="0026452D" w:rsidP="0026452D">
      <w:pPr>
        <w:pStyle w:val="TextoNormal"/>
      </w:pPr>
    </w:p>
    <w:p w:rsidR="0026452D" w:rsidRDefault="0026452D" w:rsidP="0026452D">
      <w:pPr>
        <w:pStyle w:val="TextoNormal"/>
      </w:pPr>
      <w:r>
        <w:t>Como tuvimos ocasión de afirmar en la ya citada STC 38/2012 “correspondería al Estado la carga de probar que en los supuestos de aquellas ejecuciones con alcance supraautonómico la ejecución no puede llevarse a cabo mediante mecanismos de cooperación o coordinación, bien sean de naturaleza vertical —entre el Estado y las Comunidades Autónomas—, bien de naturaleza horizontal —entre Comunidades Autónomas—, ya que tales son los instrumentos que han de servir, en principio, para resolver la eventual contraposición de intereses entre los distintos entes territoriales” (STC 38/2012, de 26 de marzo, FJ 8).</w:t>
      </w:r>
    </w:p>
    <w:p w:rsidR="0026452D" w:rsidRDefault="0026452D" w:rsidP="0026452D">
      <w:pPr>
        <w:pStyle w:val="TextoNormal"/>
      </w:pPr>
    </w:p>
    <w:p w:rsidR="0026452D" w:rsidRDefault="0026452D" w:rsidP="0026452D">
      <w:pPr>
        <w:pStyle w:val="TextoNormal"/>
      </w:pPr>
      <w:r>
        <w:t xml:space="preserve">Carga probatoria que no se ha superado en el presente supuesto, en el que únicamente se ha alegado que las actividades de carácter medioambiental que se contemplan como subvencionables tienen un ámbito supraautonómico y que el carácter no fraccionable de los </w:t>
      </w:r>
      <w:r>
        <w:lastRenderedPageBreak/>
        <w:t>programas se concretará en su caso en la resolución que realice la convocatoria de las ayudas, por lo que las razones aducidas en favor de la centralización absoluta de la regulación y la gestión en aplicación de la doctrina contenida en el fundamento jurídico 8 d) de la STC 13/1992 no resultan admisibles. Ciertamente, no cuestiona este Tribunal que pueda corresponder al Estado fijar con el detalle que considere necesario las condiciones y requisitos básicos que han de observarse en la concesión y disfrute de aquellas ayudas con la finalidad de garantizar una aplicación homogénea en todo el territorio nacional, lo que se cuestiona es la centralización total y absoluta de la gestión de las mismas. Por tanto, y tal y como recordamos en la STC 38/2012, lo que el Estado debió hacer, con sustento en sus facultades de coordinación, fue instrumentar mecanismos que permitieran a las Comunidades Autónomas afectadas realizar la gestión de las ayudas, integrando su actividad del modo que resultase más adecuado, sin que a este Tribunal le corresponda señalar ni el alcance ni la intensidad de los mecanismos que deben ponerse en marcha al efecto.</w:t>
      </w:r>
    </w:p>
    <w:p w:rsidR="0026452D" w:rsidRDefault="0026452D" w:rsidP="0026452D">
      <w:pPr>
        <w:pStyle w:val="TextoNormal"/>
      </w:pPr>
    </w:p>
    <w:p w:rsidR="0026452D" w:rsidRDefault="0026452D" w:rsidP="0026452D">
      <w:pPr>
        <w:pStyle w:val="TextoNormal"/>
      </w:pPr>
      <w:r>
        <w:t>Por tanto, y a la luz de lo expuesto, cabe concluir que nos hallamos ante el segundo de los supuestos —el b)— de delimitación competencial entre el Estado y las Comunidades Autónomas enunciados en el fundamento jurídico 8 de la STC 13/1992, en que el Estado tiene competencias sobre las bases y la coordinación general en las materias concernidas, correspondiendo a la Comunidad Autónoma las competencias de desarrollo normativo y ejecución. Por tanto, la resolución impugnada, al centralizar en el Estado la gestión de las ayudas que en ella se establecen, invadió las competencias de la Comunidad Autónoma de Cataluña.</w:t>
      </w:r>
    </w:p>
    <w:p w:rsidR="0026452D" w:rsidRDefault="0026452D" w:rsidP="0026452D">
      <w:pPr>
        <w:pStyle w:val="TextoNormal"/>
      </w:pPr>
    </w:p>
    <w:p w:rsidR="0026452D" w:rsidRDefault="0026452D" w:rsidP="0026452D">
      <w:pPr>
        <w:pStyle w:val="TextoNormal"/>
      </w:pPr>
      <w:r w:rsidRPr="0026452D">
        <w:rPr>
          <w:rStyle w:val="NumeroAFNegritaCaracter"/>
        </w:rPr>
        <w:t>8</w:t>
      </w:r>
      <w:r>
        <w:t>. Sobre la base precedente debemos proceder al examen individualizado de los distintos preceptos de la orden objeto de conflicto que han sido impugnados: los arts. 1, 2, 3, 5, 7, 8, 13 y disposición final primera de la Orden ARM/1593/2009, de 5 de junio.</w:t>
      </w:r>
    </w:p>
    <w:p w:rsidR="0026452D" w:rsidRDefault="0026452D" w:rsidP="0026452D">
      <w:pPr>
        <w:pStyle w:val="TextoNormal"/>
      </w:pPr>
    </w:p>
    <w:p w:rsidR="0026452D" w:rsidRDefault="0026452D" w:rsidP="0026452D">
      <w:pPr>
        <w:pStyle w:val="TextoNormal"/>
      </w:pPr>
      <w:r>
        <w:t>De acuerdo con ello, se alcanzan las siguientes conclusiones:</w:t>
      </w:r>
    </w:p>
    <w:p w:rsidR="0026452D" w:rsidRDefault="0026452D" w:rsidP="0026452D">
      <w:pPr>
        <w:pStyle w:val="TextoNormal"/>
      </w:pPr>
    </w:p>
    <w:p w:rsidR="0026452D" w:rsidRDefault="0026452D" w:rsidP="0026452D">
      <w:pPr>
        <w:pStyle w:val="TextoNormal"/>
      </w:pPr>
      <w:r>
        <w:t>a) El art. 1, que establece el objeto y ámbito de aplicación, no vulnera las competencias de la Comunidad Autónoma de Cataluña, por tener carácter básico; no obstante es inconstitucional el inciso que se refiere a “que por su naturaleza no sean susceptibles de territorialización”, pues no ha quedado acreditado tal extremo tal y como se ha constatado en los fundamentos jurídicos 6 y 7.</w:t>
      </w:r>
    </w:p>
    <w:p w:rsidR="0026452D" w:rsidRDefault="0026452D" w:rsidP="0026452D">
      <w:pPr>
        <w:pStyle w:val="TextoNormal"/>
      </w:pPr>
    </w:p>
    <w:p w:rsidR="0026452D" w:rsidRDefault="0026452D" w:rsidP="0026452D">
      <w:pPr>
        <w:pStyle w:val="TextoNormal"/>
      </w:pPr>
      <w:r>
        <w:t>b) El art. 2 no infringe las competencias autonómicas en cuanto define quiénes pueden ser los beneficiarios de las ayudas, aspecto que puede ser considerado básico.</w:t>
      </w:r>
    </w:p>
    <w:p w:rsidR="0026452D" w:rsidRDefault="0026452D" w:rsidP="0026452D">
      <w:pPr>
        <w:pStyle w:val="TextoNormal"/>
      </w:pPr>
    </w:p>
    <w:p w:rsidR="0026452D" w:rsidRDefault="0026452D" w:rsidP="0026452D">
      <w:pPr>
        <w:pStyle w:val="TextoNormal"/>
      </w:pPr>
      <w:r>
        <w:t>c) El art. 3 relativo al procedimiento de concesión es un aspecto propio de la gestión de las subvenciones que es de competencia autonómica, por lo que vulnera las competencias de la Comunidad Autónoma de Cataluña.</w:t>
      </w:r>
    </w:p>
    <w:p w:rsidR="0026452D" w:rsidRDefault="0026452D" w:rsidP="0026452D">
      <w:pPr>
        <w:pStyle w:val="TextoNormal"/>
      </w:pPr>
    </w:p>
    <w:p w:rsidR="0026452D" w:rsidRDefault="0026452D" w:rsidP="0026452D">
      <w:pPr>
        <w:pStyle w:val="TextoNormal"/>
      </w:pPr>
      <w:r>
        <w:t>d) El art. 5 conculca las competencias de la Comunidad Autónoma de Cataluña al referirse a una cuestión adjetiva de la tramitación administrativa.</w:t>
      </w:r>
    </w:p>
    <w:p w:rsidR="0026452D" w:rsidRDefault="0026452D" w:rsidP="0026452D">
      <w:pPr>
        <w:pStyle w:val="TextoNormal"/>
      </w:pPr>
    </w:p>
    <w:p w:rsidR="0026452D" w:rsidRDefault="0026452D" w:rsidP="0026452D">
      <w:pPr>
        <w:pStyle w:val="TextoNormal"/>
      </w:pPr>
      <w:r>
        <w:t xml:space="preserve">e) El art. 7 contiene no sólo los criterios que han de ser valorados para la adjudicación de las ayudas, sino también el baremo correspondiente a aplicar a cada uno de ellos, por lo que esta última concreción infringe las competencias autonómicas en la medida en que rebasa </w:t>
      </w:r>
      <w:r>
        <w:lastRenderedPageBreak/>
        <w:t>lo que conforme a nuestra doctrina constituyen aspectos centrales del régimen subvencional y, por ello, cercena el margen necesario para que la Generalitat pueda desarrollar la regulación de las condiciones de otorgamiento.</w:t>
      </w:r>
    </w:p>
    <w:p w:rsidR="0026452D" w:rsidRDefault="0026452D" w:rsidP="0026452D">
      <w:pPr>
        <w:pStyle w:val="TextoNormal"/>
      </w:pPr>
    </w:p>
    <w:p w:rsidR="0026452D" w:rsidRDefault="0026452D" w:rsidP="0026452D">
      <w:pPr>
        <w:pStyle w:val="TextoNormal"/>
      </w:pPr>
      <w:r>
        <w:t>f) El art. 8, sobre ordenación, instrucción y resolución de las ayudas, conculca las competencias de la Comunidad Autónoma de Cataluña al referirse a los órganos estatales competentes para realizar la tramitación de las ayudas.</w:t>
      </w:r>
    </w:p>
    <w:p w:rsidR="0026452D" w:rsidRDefault="0026452D" w:rsidP="0026452D">
      <w:pPr>
        <w:pStyle w:val="TextoNormal"/>
      </w:pPr>
    </w:p>
    <w:p w:rsidR="0026452D" w:rsidRDefault="0026452D" w:rsidP="0026452D">
      <w:pPr>
        <w:pStyle w:val="TextoNormal"/>
      </w:pPr>
      <w:r>
        <w:t>g) El art. 13, que se refiere a pagos anticipados por el Ministerio de Medio Ambiente, recoge un aspecto exclusivamente atinente al pago de las ayudas, que es de competencia autonómica, vulnerando así las competencias de la Comunidad Autónoma de Cataluña.</w:t>
      </w:r>
    </w:p>
    <w:p w:rsidR="0026452D" w:rsidRDefault="0026452D" w:rsidP="0026452D">
      <w:pPr>
        <w:pStyle w:val="TextoNormal"/>
      </w:pPr>
    </w:p>
    <w:p w:rsidR="0026452D" w:rsidRDefault="0026452D" w:rsidP="0026452D">
      <w:pPr>
        <w:pStyle w:val="TextoNormal"/>
      </w:pPr>
      <w:r>
        <w:t>h) La disposición final primera, referida al título competencial, no vulnera las competencias autonómicas, pues la queja que se dirige contra esta disposición no es autónoma, en cuanto que con la misma se pretende poner de manifiesto la falta de cobertura competencial que se reprocha a los restantes preceptos impugnados en el presente proceso y que han sido examinados en los términos expuestos.</w:t>
      </w:r>
    </w:p>
    <w:p w:rsidR="0026452D" w:rsidRDefault="0026452D" w:rsidP="0026452D">
      <w:pPr>
        <w:pStyle w:val="TextoNormal"/>
      </w:pPr>
    </w:p>
    <w:p w:rsidR="0026452D" w:rsidRDefault="0026452D" w:rsidP="0026452D">
      <w:pPr>
        <w:pStyle w:val="TextoNormal"/>
      </w:pPr>
      <w:r w:rsidRPr="0026452D">
        <w:rPr>
          <w:rStyle w:val="NumeroAFNegritaCaracter"/>
        </w:rPr>
        <w:t>9</w:t>
      </w:r>
      <w:r>
        <w:t>. Antes del fallo, debemos pronunciarnos sobre el alcance que tiene la vulneración de competencias en que, según hemos visto, incurre la orden objeto de conflicto. No cabe duda, según se desprende de su contenido, que la disposición recurrida pretende establecer el marco de referencia a partir del cual y en desarrollo del mismo han de efectuarse las correspondientes convocatorias anuales. Dictada, pues, con cierta vocación de permanencia, la orden controvertida no ha agotado sus efectos, resultando obligado entonces declarar que al Gobierno de la Generalitat de Cataluña corresponderá la titularidad y el ejercicio de las competencias reconocidas en los preceptos que, siendo susceptibles de ser aplicados los sucesivos ejercicios, hemos calificado contrarios al orden constitucional de distribución de competencias.</w:t>
      </w:r>
    </w:p>
    <w:p w:rsidR="0026452D" w:rsidRDefault="0026452D" w:rsidP="0026452D">
      <w:pPr>
        <w:pStyle w:val="TextoNormal"/>
      </w:pPr>
    </w:p>
    <w:p w:rsidR="0026452D" w:rsidRDefault="0026452D" w:rsidP="0026452D">
      <w:pPr>
        <w:pStyle w:val="TextoNormal"/>
      </w:pPr>
      <w:r>
        <w:t>Por último, debemos plantearnos la eventual extensión de la declaración de infracción del orden competencial a las resoluciones adoptadas en aplicación de la orden objeto de este proceso constitucional. La necesidad siempre presente de procurar conservar la eficacia jurídica de aquellos actos cuya lesión puede afectar a legítimos derechos de terceros generados en su día por la presunción de legalidad de los mismos conduce, en este caso —tal y como afirmamos en la STC 173/2012, de 15 de octubre, FJ 8, y hemos reiterado en la reciente STC 70/2013, de 14 de marzo, FJ 8— y en aplicación del art. 66 de la Ley Orgánica del Tribunal Constitucional, a que la declaración de infracción competencial no implique la de aquellas resoluciones que han concedido o denegado las ayudas cuestionadas ya dictadas y notificadas.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lastRenderedPageBreak/>
        <w:t>Ha decidido</w:t>
      </w:r>
    </w:p>
    <w:p w:rsidR="0026452D" w:rsidRDefault="0026452D" w:rsidP="0026452D">
      <w:pPr>
        <w:pStyle w:val="TextoNormalCentrado"/>
        <w:keepNext/>
      </w:pPr>
    </w:p>
    <w:p w:rsidR="0026452D" w:rsidRDefault="0026452D" w:rsidP="0026452D">
      <w:pPr>
        <w:pStyle w:val="TextoNormal"/>
      </w:pPr>
      <w:r>
        <w:t>Estimar parcialmente el conflicto positivo de competencia núm. 7605-2009 interpuesto por el Gobierno de la Generalitat de Cataluña contra determinados preceptos de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y en consecuencia:</w:t>
      </w:r>
    </w:p>
    <w:p w:rsidR="0026452D" w:rsidRDefault="0026452D" w:rsidP="0026452D">
      <w:pPr>
        <w:pStyle w:val="TextoNormal"/>
      </w:pPr>
    </w:p>
    <w:p w:rsidR="0026452D" w:rsidRDefault="0026452D" w:rsidP="0026452D">
      <w:pPr>
        <w:pStyle w:val="TextoNormal"/>
      </w:pPr>
      <w:r>
        <w:t>1º Declarar, con los efectos previstos en el fundamento jurídico 9 de la presente Sentencia, que vulneran las competencias de la Generalitat de Cataluña el inciso que se refiere a “que por su naturaleza no sean susceptibles de territorialización” del art. 1 y los arts. 3, 5, 7, en cuanto al establecimiento del baremo aplicable, 8 y 13 de la orden referida.</w:t>
      </w:r>
    </w:p>
    <w:p w:rsidR="0026452D" w:rsidRDefault="0026452D" w:rsidP="0026452D">
      <w:pPr>
        <w:pStyle w:val="TextoNormal"/>
      </w:pPr>
    </w:p>
    <w:p w:rsidR="0026452D" w:rsidRDefault="0026452D" w:rsidP="0026452D">
      <w:pPr>
        <w:pStyle w:val="TextoNormal"/>
      </w:pPr>
      <w:r>
        <w:t>2º Desestimar el conflicto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nueve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17" w:name="SENTENCIA_2013_114"/>
      <w:r>
        <w:lastRenderedPageBreak/>
        <w:t>SENTENCIA 114/2013, de 9 de mayo de 2013</w:t>
      </w:r>
    </w:p>
    <w:bookmarkEnd w:id="117"/>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133, de 4 de junio de 2013)</w:t>
      </w:r>
    </w:p>
    <w:p w:rsidR="0026452D" w:rsidRDefault="0026452D" w:rsidP="0026452D">
      <w:pPr>
        <w:pStyle w:val="TtuloBOE"/>
      </w:pPr>
    </w:p>
    <w:p w:rsidR="0026452D" w:rsidRDefault="0026452D" w:rsidP="0026452D">
      <w:pPr>
        <w:pStyle w:val="SntesisDescriptiva"/>
      </w:pPr>
      <w:r>
        <w:t>ECLI:ES:TC:2013:114</w:t>
      </w:r>
    </w:p>
    <w:p w:rsidR="0026452D" w:rsidRDefault="0026452D" w:rsidP="0026452D">
      <w:pPr>
        <w:pStyle w:val="SntesisDescriptiva"/>
      </w:pPr>
    </w:p>
    <w:p w:rsidR="0026452D" w:rsidRDefault="0026452D" w:rsidP="0026452D">
      <w:pPr>
        <w:pStyle w:val="SntesisDescriptiva"/>
      </w:pPr>
      <w:r>
        <w:t>Recurso de inconstitucionalidad 630-2010. Interpuesto por el Presidente del Gobierno en relación con el artículo 10 de la Ley de las Cortes Valencianas 13/2004, de 27 de diciembre, de caza de la Comunidad Valenciana, en la redacción dada al mismo por la Ley de las Cortes Valencianas 7/2009, de 22 de octubre, de reforma de los arts. 7 y 10 de la Ley 13/2004.</w:t>
      </w:r>
    </w:p>
    <w:p w:rsidR="0026452D" w:rsidRDefault="0026452D" w:rsidP="0026452D">
      <w:pPr>
        <w:pStyle w:val="SntesisDescriptiva"/>
      </w:pPr>
    </w:p>
    <w:p w:rsidR="0026452D" w:rsidRDefault="0026452D" w:rsidP="0026452D">
      <w:pPr>
        <w:pStyle w:val="SntesisAnaltica"/>
      </w:pPr>
      <w:r>
        <w:t>Competencias sobre medio ambiente y caza: nulidad del precepto legal autonómico que, contraviniendo la normativa básica y el Derecho de la Unión Europea, incluye un método no selectivo de caza, el parany, entre las modalidades tradicionales de caza en la Comunidad Valenciana (STC 69/2013).</w:t>
      </w:r>
    </w:p>
    <w:p w:rsidR="0026452D" w:rsidRDefault="0026452D" w:rsidP="0026452D">
      <w:pPr>
        <w:pStyle w:val="SntesisAnaltica"/>
      </w:pPr>
    </w:p>
    <w:p w:rsidR="0026452D" w:rsidRDefault="0026452D" w:rsidP="0026452D">
      <w:pPr>
        <w:pStyle w:val="Extracto"/>
      </w:pPr>
      <w:r>
        <w:t>1.</w:t>
      </w:r>
      <w:r>
        <w:tab/>
        <w:t xml:space="preserve">Aplica la doctrina de este Tribunal que establece que el art. 62.3 a) de la Ley estatal de patrimonio natural y de la biodiversidad es norma básica, y que la prohibición genérica contenida en el mismo, que delimita negativamente la competencia exclusiva autonómica en materia de caza y pesca, reviste asimismo las características propias de la legislación básica de protección del medio ambiente, estando el Estado constitucionalmente habilitado para imponerla, </w:t>
      </w:r>
      <w:r w:rsidRPr="0026452D">
        <w:rPr>
          <w:i/>
        </w:rPr>
        <w:t>ex</w:t>
      </w:r>
      <w:r>
        <w:t xml:space="preserve"> art. 149.1.23 CE (STC 69/2013) [FJ 2].</w:t>
      </w:r>
    </w:p>
    <w:p w:rsidR="0026452D" w:rsidRDefault="0026452D" w:rsidP="0026452D">
      <w:pPr>
        <w:pStyle w:val="Extracto"/>
      </w:pPr>
    </w:p>
    <w:p w:rsidR="0026452D" w:rsidRDefault="0026452D" w:rsidP="0026452D">
      <w:pPr>
        <w:pStyle w:val="Extracto"/>
      </w:pPr>
      <w:r>
        <w:t>2.</w:t>
      </w:r>
      <w:r>
        <w:tab/>
        <w:t xml:space="preserve">Una vez que el método de caza del parany ha sido considerado por la jurisprudencia de Luxemburgo como un método no selectivo de caza a los efectos de la aplicación de la directiva que traspone la norma básica estatal, este Tribunal no puede por más que aceptar como válida tal interpretación (STJCE asunto C-79/03, </w:t>
      </w:r>
      <w:r w:rsidRPr="0026452D">
        <w:rPr>
          <w:i/>
        </w:rPr>
        <w:t>Comisión de las Comunidades Europeas c. España</w:t>
      </w:r>
      <w:r>
        <w:t>, de 9 de diciembre de 2004) [FJ 3].</w:t>
      </w:r>
    </w:p>
    <w:p w:rsidR="0026452D" w:rsidRDefault="0026452D" w:rsidP="0026452D">
      <w:pPr>
        <w:pStyle w:val="Extracto"/>
      </w:pPr>
    </w:p>
    <w:p w:rsidR="0026452D" w:rsidRDefault="0026452D" w:rsidP="0026452D">
      <w:pPr>
        <w:pStyle w:val="Extracto"/>
      </w:pPr>
      <w:r>
        <w:t>3.</w:t>
      </w:r>
      <w:r>
        <w:tab/>
        <w:t xml:space="preserve">Como parámetro interpretativo, no resulta irrelevante el régimen comunitario  de las prohibiciones de determinados métodos de caza y, sobre todo, su finalidad, del todo afín a la legislación básica de protección del medio ambiente para cuya aprobación está habilitado el Estado </w:t>
      </w:r>
      <w:r w:rsidRPr="0026452D">
        <w:rPr>
          <w:i/>
        </w:rPr>
        <w:t>ex</w:t>
      </w:r>
      <w:r>
        <w:t xml:space="preserve"> art. 149.1.23 CE (STC 69/2013) [FJ 3].</w:t>
      </w:r>
    </w:p>
    <w:p w:rsidR="0026452D" w:rsidRDefault="0026452D" w:rsidP="0026452D">
      <w:pPr>
        <w:pStyle w:val="Extracto"/>
      </w:pPr>
    </w:p>
    <w:p w:rsidR="0026452D" w:rsidRDefault="0026452D" w:rsidP="0026452D">
      <w:pPr>
        <w:pStyle w:val="Extracto"/>
      </w:pPr>
      <w:r>
        <w:t>4.</w:t>
      </w:r>
      <w:r>
        <w:tab/>
        <w:t>La Ley  de caza de la Comunidad Valenciana, que introduce el método de caza parany —bajo esta denominación o bajo la denominación de liga—, no  respeta la Ley estatal de patrimonio natural y la biodiversidad que recoge expresamente la liga como procedimiento que queda prohibido para la captura o muerte de animales  [FFJJ 3, 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 xml:space="preserve">El Pleno del Tribunal Constitucional, compuesto por don Pascual Sala Sánchez, Presidente, don Ramón Rodríguez Arribas, don Manuel Aragón Reyes, don Pablo Pérez Tremps, don Francisco José Hernando Santiago, doña Adela Asua Batarrita, don Luis Ignacio Ortega </w:t>
      </w:r>
      <w:r>
        <w:lastRenderedPageBreak/>
        <w:t>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630-2010, interpuesto por el Presidente del Gobierno contra el último párrafo del art. 10 de la Ley 13/2004, de 27 de diciembre, de caza de la Comunidad Valenciana, en la redacción dada al mismo por el art. 2 de la Ley 7/2009, de 22 de octubre, de reforma de los arts. 7 y 10 de la Ley 13/2004. Se han personado el Congreso de los Diputados y el Senado. Han comparecido y formulado alegaciones la Generalitat Valenciana y las Cortes Valencianas. Ha sido ponente el Magistrado don Pablo Pérez Tremps,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Constitucional el día 26 de enero de 2010, la Abogada del Estado, en nombre del Presidente del Gobierno, interpuso recurso de inconstitucionalidad contra el último párrafo del art. 10 de la Ley 13/2004, de 27 de diciembre, de caza de la Comunidad Valenciana, en la redacción dada al mismo por el art. 2 de la Ley 7/2009, de 22 de octubre, de reforma de los arts. 7 y 10 de la Ley 13/2004. En el escrito de demanda hizo invocación expresa del art. 161.2 CE, a los efectos de que se acordase la suspensión de la vigencia y aplicación del precepto legal impugnado.</w:t>
      </w:r>
    </w:p>
    <w:p w:rsidR="0026452D" w:rsidRDefault="0026452D" w:rsidP="0026452D">
      <w:pPr>
        <w:pStyle w:val="TextoNormal"/>
      </w:pPr>
    </w:p>
    <w:p w:rsidR="0026452D" w:rsidRDefault="0026452D" w:rsidP="0026452D">
      <w:pPr>
        <w:pStyle w:val="TextoNormal"/>
      </w:pPr>
      <w:r>
        <w:t>Los argumentos en los que la Abogacía del Estado basa la impugnación de la disposición apuntada son los que a continuación se sintetizan.</w:t>
      </w:r>
    </w:p>
    <w:p w:rsidR="0026452D" w:rsidRDefault="0026452D" w:rsidP="0026452D">
      <w:pPr>
        <w:pStyle w:val="TextoNormal"/>
      </w:pPr>
    </w:p>
    <w:p w:rsidR="0026452D" w:rsidRDefault="0026452D" w:rsidP="0026452D">
      <w:pPr>
        <w:pStyle w:val="TextoNormal"/>
      </w:pPr>
      <w:r>
        <w:t>a) La modificación del precepto que se impugna supone la inclusión expresa del parany entre los métodos de caza tradicionales en la Comunidad Valenciana y, por lo tanto, entre los métodos de caza que se pueden utilizar legalmente en dicha Comunidad Autónoma, quedando supeditada a una posterior regulación reglamentaria la determinación de los requisitos necesarios para el ejercicio de dicha modalidad de caza. A juicio del recurrente, la nueva redacción dada al último párrafo del art. 10 de la Ley valenciana 13/2004 vulnera la competencia estatal derivada del art. 149.1.23 CE y resulta contraria a la legislación estatal dictada en ejercicio de tal competencia constitucional.</w:t>
      </w:r>
    </w:p>
    <w:p w:rsidR="0026452D" w:rsidRDefault="0026452D" w:rsidP="0026452D">
      <w:pPr>
        <w:pStyle w:val="TextoNormal"/>
      </w:pPr>
    </w:p>
    <w:p w:rsidR="0026452D" w:rsidRDefault="0026452D" w:rsidP="0026452D">
      <w:pPr>
        <w:pStyle w:val="TextoNormal"/>
      </w:pPr>
      <w:r>
        <w:t xml:space="preserve">La razón de esta vulneración competencial radicaría en que este método de caza no es selectivo, estando expresamente prohibido tanto por la Directiva 79/409/CEE, de 2 de abril de 1979, relativa a la conservación de aves silvestres, como por la Ley 42/2007, de 13 de diciembre, de patrimonio natural y de la biodiversidad. La contradicción entre la norma </w:t>
      </w:r>
      <w:r>
        <w:lastRenderedPageBreak/>
        <w:t>autonómica y la norma estatal de referencia, a la que ha de considerarse básica, determina la inconstitucionalidad de la norma impugnada, por lesión del ámbito de la legislación básica que se ampara en el art. 149.1.23 CE, esto es en la competencia estatal básica en materia de protección del medio ambiente.</w:t>
      </w:r>
    </w:p>
    <w:p w:rsidR="0026452D" w:rsidRDefault="0026452D" w:rsidP="0026452D">
      <w:pPr>
        <w:pStyle w:val="TextoNormal"/>
      </w:pPr>
    </w:p>
    <w:p w:rsidR="0026452D" w:rsidRDefault="0026452D" w:rsidP="0026452D">
      <w:pPr>
        <w:pStyle w:val="TextoNormal"/>
      </w:pPr>
      <w:r>
        <w:t>b) A pesar de la falta de alusión expresa en la Ley 7/2009, deduce la Abogada del Estado que la competencia autonómica que ampara el dictado de esta norma remite al art. 49.17 del Estatuto de Autonomía de la Comunidad Valenciana en la redacción dada por la Ley Orgánica 1/2006, de 10 de abril (EAV), referido a la competencia exclusiva sobre caza. No obstante, añade el escrito de interposición del recurso que el ejercicio de tal competencia exclusiva autonómica está sujeto a los condicionamientos derivados del efecto “transversal” de la competencia medioambiental (SSTC 102/1995, FJ 8 y 101/2005, FJ 9). Por tanto, el título competencial relevante para resolver la controversia sería el recogido en el art. 149.1.23 CE, que atribuye al Estado competencia exclusiva en materia de “legislación básica sobre protección del medio ambiente, sin perjuicio de las facultades de las Comunidades Autónomas de establecer normas adicionales de protección”, y al que se refiere el art. 50.6 EAV que atribuye a esta Comunidad Autónoma, en el marco de la legislación básica del Estado y, en su caso, en los términos que la misma establezca, el desarrollo legislativo y la ejecución de la protección del medio ambiente, sin perjuicio de las facultades de la Generalitat para establecer normas adicionales de protección.</w:t>
      </w:r>
    </w:p>
    <w:p w:rsidR="0026452D" w:rsidRDefault="0026452D" w:rsidP="0026452D">
      <w:pPr>
        <w:pStyle w:val="TextoNormal"/>
      </w:pPr>
    </w:p>
    <w:p w:rsidR="0026452D" w:rsidRDefault="0026452D" w:rsidP="0026452D">
      <w:pPr>
        <w:pStyle w:val="TextoNormal"/>
      </w:pPr>
      <w:r>
        <w:t>La Abogacía del Estado recuerda que en materia de medio ambiente lo básico cumple una función de ordenación mediante mínimos que han de respetarse en todo caso, pero que permiten a las Comunidades Autónomas con competencias en la materia establecer niveles de protección más altos (con cita de las SSTC 102/1995, FFJJ 8 y 9, 306/2000, FJ 6, 101/2005, FJ 5). A partir de esta afirmación se asegura que habrá que atender, en cada caso, a la verdadera intensidad de la finalidad protectora de la norma básica para averiguar si realmente se trata de un caso de afectación transversal que legitima la correspondiente actuación estatal y nos permite afirmar que determinada medida encaja en el ámbito de la legislación básica del art. 149.1.23 CE. Y se concluye que, en el supuesto que nos ocupa, concurre un legítimo condicionamiento de la política autonómica de caza, como consecuencia de una decisión de carácter ambiental, habiéndose dictado el precepto autonómico impugnado con absoluto desconocimiento de la competencia estatal derivada del apartado 23 del art. 149.1 CE. Por tanto, estaríamos ante una inconstitucionalidad mediata o indirecta de la norma impugnada por vulneración del orden de distribución de competencias legítimamente articulado por el Estado a través de una legislación básica que resulta frontalmente desconocida por el precepto autonómico impugnado.</w:t>
      </w:r>
    </w:p>
    <w:p w:rsidR="0026452D" w:rsidRDefault="0026452D" w:rsidP="0026452D">
      <w:pPr>
        <w:pStyle w:val="TextoNormal"/>
      </w:pPr>
    </w:p>
    <w:p w:rsidR="0026452D" w:rsidRDefault="0026452D" w:rsidP="0026452D">
      <w:pPr>
        <w:pStyle w:val="TextoNormal"/>
      </w:pPr>
      <w:r>
        <w:t xml:space="preserve">Para cerrar el razonamiento central del recurso, la Abogacía del Estado justifica que la Ley 42/2007, de 13 de diciembre es una norma básica, y que la norma autonómica impugnada resulta contradictoria con aquélla. Para lo primero, y recordando que la Ley 42/2007 se dicta al amparo de la competencia exclusiva que el art. 149.1.23 CE atribuye al Estado en materia de legislación básica sobre protección del medio ambiente, hace referencia a la STC 102/1995, de 26 de junio, que declara la constitucionalidad y el carácter básico de la Ley 4/1989, de 27 de marzo de conservación de los espacios naturales y de la flora y fauna silvestre, siendo la Ley 42/2007 coincidente en los preceptos que nos interesan, con aquélla. Para lo segundo, argumenta que la caza mediante parany no es selectiva, con lo que incurre en la interdicción a la que se refieren tanto el art. 8, apartado 1, de la Directiva 79/409/CEE </w:t>
      </w:r>
      <w:r>
        <w:lastRenderedPageBreak/>
        <w:t>y su anexo IV, letra a) —que prohíbe expresamente la caza con liga que se identifica con el método del parany—, como el art. 62.3 de la Ley 42/2007. Se recuerda en el escrito por el que se interpone el recurso de inconstitucionalidad que la Ley incorpora a nuestro ordenamiento jurídico las prescripciones de la directiva citada, y establece que el aprovechamiento de los recursos naturales incluyendo las especies de caza no puede incluir la utilización de métodos prohibidos en la Unión Europea. Concretamente se hace referencia al art. 62.3 que establece interdicciones y limitaciones relacionadas con la actividad cinegética, prohibiendo la tenencia, utilización y comercialización de procedimientos no selectivos para la captura y muerte de animales, en particular los enumerados en el anexo VII de la Ley, entre los que se incluye la liga.</w:t>
      </w:r>
    </w:p>
    <w:p w:rsidR="0026452D" w:rsidRDefault="0026452D" w:rsidP="0026452D">
      <w:pPr>
        <w:pStyle w:val="TextoNormal"/>
      </w:pPr>
    </w:p>
    <w:p w:rsidR="0026452D" w:rsidRDefault="0026452D" w:rsidP="0026452D">
      <w:pPr>
        <w:pStyle w:val="TextoNormal"/>
      </w:pPr>
      <w:r>
        <w:t xml:space="preserve">Evoca también la Abogacía del Estado el hecho de que el art. 58 de la Ley 42/2007 prevé una serie de excepciones a las prohibiciones establecidas en aras de la conservación de la biodiversidad que vive en estado silvestre, y de que el art. 12.2 c) de la Ley 13/2004, de 27 de diciembre, de caza de la Comunidad Valenciana prohíbe el empleo de todo tipo de redes o sustancias adhesivas en la práctica de las modalidades deportivas de caza, admitiendo algunas excepciones en caso de no existir otra solución satisfactoria siempre que concurran determinadas circunstancias. Junto a lo anterior se traen al escrito de interposición del recurso la Sentencia del Tribunal Superior de Justicia de la Comunidad Valenciana 1517/2002, de 26 de septiembre —confirmada posteriormente por la Sentencia del Tribunal Supremo de 22 de junio de 2005—, que vino a anular, por ser contrario a Derecho, el Decreto 135/2000, de 12 de septiembre, por el que se establecían las condiciones y requisitos para la concesión de las autorizaciones excepcionales para la caza de tordos con parany en la Comunidad Valenciana, y la Sentencia de 9 de diciembre de 2004 del Tribunal de Justicia de las Comunidades Europeas en el asunto C-79/03 </w:t>
      </w:r>
      <w:r w:rsidRPr="0026452D">
        <w:rPr>
          <w:i/>
        </w:rPr>
        <w:t>Comisión de las Comunidades Europeas contra España</w:t>
      </w:r>
      <w:r>
        <w:t xml:space="preserve"> que, tras examinar también el Decreto 135/2000, determina que el método conocido como parany está en desacuerdo con las exigencias normativas comunitarias al no tratarse de un método de caza selectivo, ni ser posible su inclusión entre las excepciones a la prohibición que contempla el art. 9, apartado 1, letras a) y c) de la Directiva (en sentido coincidente se cita también la STJCE de 9 de junio de 2005, en el asunto C-135/04, </w:t>
      </w:r>
      <w:r w:rsidRPr="0026452D">
        <w:rPr>
          <w:i/>
        </w:rPr>
        <w:t>Comisión de las Comunidades Europeas contra el Reino de España</w:t>
      </w:r>
      <w:r>
        <w:t>, y distintas Sentencias de Audiencias Provinciales que consideran que la utilización de métodos de caza prohibidos constituyen un delito relativo a la protección de la flora, fauna y animales domésticos, previsto y penado por el art. 336 del Código penal).</w:t>
      </w:r>
    </w:p>
    <w:p w:rsidR="0026452D" w:rsidRDefault="0026452D" w:rsidP="0026452D">
      <w:pPr>
        <w:pStyle w:val="TextoNormal"/>
      </w:pPr>
    </w:p>
    <w:p w:rsidR="0026452D" w:rsidRDefault="0026452D" w:rsidP="0026452D">
      <w:pPr>
        <w:pStyle w:val="TextoNormal"/>
      </w:pPr>
      <w:r>
        <w:t>Como argumento de cierre de este apartado, la Abogacía del Estado manifiesta en el escrito de interposición del recurso de inconstitucionalidad, que la Secretaría de Estado para la Unión Europea del Ministerio de Asuntos Exteriores y Cooperación, ha puesto de manifiesto el riesgo de reapertura del procedimiento de infracción del art. 228 del Tratado constitutivo de la Comunidad Europea, iniciado contra España, por no ejecutar la STJCE de 9 de diciembre de 2004 (asunto C-79/03), sobre la caza con el método del parany en la Comunidad Autónoma de Valencia, en virtud de la aprobación de la Ley 7/2009, que, remplazando en este punto a la Ley 13/2004 de caza de la Comunidad Valenciana, permite nuevamente este método de caza.</w:t>
      </w:r>
    </w:p>
    <w:p w:rsidR="0026452D" w:rsidRDefault="0026452D" w:rsidP="0026452D">
      <w:pPr>
        <w:pStyle w:val="TextoNormal"/>
      </w:pPr>
    </w:p>
    <w:p w:rsidR="0026452D" w:rsidRDefault="0026452D" w:rsidP="0026452D">
      <w:pPr>
        <w:pStyle w:val="TextoNormal"/>
      </w:pPr>
      <w:r>
        <w:t xml:space="preserve">c) Retomando y concretando, en último término, los argumentos relativos a la inconstitucionalidad del último párrafo del artículo 10 de la Ley 13/2004 introducido por el artículo 2 de la ley 7/2009, la Abogada del Estado insiste en el carácter básico de la legislación </w:t>
      </w:r>
      <w:r>
        <w:lastRenderedPageBreak/>
        <w:t>estatal vulnerada (con cita de la STC 102/1995) teniendo en cuenta que el art. 62.3 puede acogerse al carácter de norma de protección del medio ambiente de carácter transversal, pues recoge puntuales prohibiciones y limitaciones relacionadas con la actividad cinegética y acuícola en aguas continentales, convirtiéndose así en límite válido de las competencias autonómicas aún exclusivas. Así, todo el apartado 3 del art. 62 queda amparado por el art. 149.1.23 CE, y en particular la letra a), que prohíbe la tenencia, utilización y comercialización de todos los procedimientos masivos o no selectivos para la captura o muerte de animales. El art. 62.3 se caracteriza por su finalidad protectora de la fauna silvestre y por ser compatible con variadas opciones autonómicas al ofrecer espacioso campo a la normación de cada Comunidad Autónoma.</w:t>
      </w:r>
    </w:p>
    <w:p w:rsidR="0026452D" w:rsidRDefault="0026452D" w:rsidP="0026452D">
      <w:pPr>
        <w:pStyle w:val="TextoNormal"/>
      </w:pPr>
    </w:p>
    <w:p w:rsidR="0026452D" w:rsidRDefault="0026452D" w:rsidP="0026452D">
      <w:pPr>
        <w:pStyle w:val="TextoNormal"/>
      </w:pPr>
      <w:r>
        <w:t>Por último se incide en la incompatibilidad entre el precepto objeto de recurso y la legislación básica estatal. El precepto impugnado, como reconoce la exposición de motivos de la ley que lo introduce, establece que la intención del mismo es preservar la esencia tradicional del método, dado el importante arraigo de la actividad en las comarcas valencianas. No obstante, esta razón no justifica considerar el parany como excepción a la prohibición de caza no selectiva. Al Ministerio de Medio Ambiente no le consta estudio científico alguno que permita compatibilizar el método del parany con la Directiva 79/409/CEE o con la Ley básica estatal 42/2007. Se insiste de nuevo en que la jurisprudencia es unánime en su consideración de que la caza con parany entraña un método de captura de aves de carácter masivo y no selectivo. Tampoco podría justificarse este tipo de caza para prevenir perjuicios en los cultivos, pues se ha demostrado que existen solucionaos alternativas que permiten prevenir de manera satisfactoria los perjuicios causados por los tordos en los viñedos y olivares.</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18 de febrero de 2010 el Pleno del Tribunal Constitucional, a propuesta de la Sección Segunda, acordó admitir a trámite el recurso de inconstitucionalidad y dar traslado de la demanda y documentos presentados, conforme establece el art. 34 de la Ley Orgánica del Tribunal Constitucional (LOTC), al Congreso de los Diputados y al Senado así como al Gobierno de la Generalitat Valenciana y a las Cortes Valencianas, por conducto de sus Presidentes,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para las partes y desde el día en que aparezca publicada la suspensión en el “Boletín Oficial del Estado” para los terceros. Finalmente, se acordó publicar la incoación del recurso en el “Boletín Oficial del Estado” y en el “Diari Oficial de la Generalitat Valenciana”.</w:t>
      </w:r>
    </w:p>
    <w:p w:rsidR="0026452D" w:rsidRDefault="0026452D" w:rsidP="0026452D">
      <w:pPr>
        <w:pStyle w:val="TextoNormal"/>
      </w:pPr>
    </w:p>
    <w:p w:rsidR="0026452D" w:rsidRDefault="0026452D" w:rsidP="0026452D">
      <w:pPr>
        <w:pStyle w:val="TextoNormal"/>
      </w:pPr>
      <w:r w:rsidRPr="0026452D">
        <w:rPr>
          <w:rStyle w:val="NumeroAFNegritaCaracter"/>
        </w:rPr>
        <w:t>3</w:t>
      </w:r>
      <w:r>
        <w:t>. El Presidente del Congreso de los Diputados, mediante escrito registrado el día 24 de febrero de 2010, comunicó que la Mesa de la Cámara, en su reunión del día 23 de febrero, había acordado solicitar la personación de la Cámara en este procedimiento y por ofrecida su colaboración a los efectos del art. 88.1 LOTC. Lo mismo hizo el Presidente del Senado por escrito registrado el 2 de marzo de 2010.</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El Director General de la Abogacía General de la Generalitat Valenciana, en la representación que ostenta, se personó en el proceso por escrito registrado el día 4 de marzo de </w:t>
      </w:r>
      <w:r>
        <w:lastRenderedPageBreak/>
        <w:t>2010 solicitando una prórroga en el plazo conferido para formular alegaciones, prórroga que, por plazo de ocho días a contar desde el siguiente a la expiración del ordinario inicialmente concedido, le fue concedida por providencia del Pleno del Tribunal Constitucional de fecha 8 de marzo de 2010.</w:t>
      </w:r>
    </w:p>
    <w:p w:rsidR="0026452D" w:rsidRDefault="0026452D" w:rsidP="0026452D">
      <w:pPr>
        <w:pStyle w:val="TextoNormal"/>
      </w:pPr>
    </w:p>
    <w:p w:rsidR="0026452D" w:rsidRDefault="0026452D" w:rsidP="0026452D">
      <w:pPr>
        <w:pStyle w:val="TextoNormal"/>
      </w:pPr>
      <w:r w:rsidRPr="0026452D">
        <w:rPr>
          <w:rStyle w:val="NumeroAFNegritaCaracter"/>
        </w:rPr>
        <w:t>5</w:t>
      </w:r>
      <w:r>
        <w:t>. Por escrito que tuvo entrada en el Registro General de este Tribunal Constitucional el día 15 de marzo de 2010, el Letrado de las Cortes Valencianas, en nombre y representación de la Cámara, evacuó el trámite de alegaciones conferido solicitando la desestimación del recurso.</w:t>
      </w:r>
    </w:p>
    <w:p w:rsidR="0026452D" w:rsidRDefault="0026452D" w:rsidP="0026452D">
      <w:pPr>
        <w:pStyle w:val="TextoNormal"/>
      </w:pPr>
    </w:p>
    <w:p w:rsidR="0026452D" w:rsidRDefault="0026452D" w:rsidP="0026452D">
      <w:pPr>
        <w:pStyle w:val="TextoNormal"/>
      </w:pPr>
      <w:r>
        <w:t>En el otrosí del escrito de alegaciones solicita el levantamiento de la suspensión de la disposición impugnada antes de que transcurra el plazo de cinco meses previsto en el art. 161.2 CE, y centra la primera de las alegaciones de su escrito en la cuestión de la suspensión de la vigencia de la norma.</w:t>
      </w:r>
    </w:p>
    <w:p w:rsidR="0026452D" w:rsidRDefault="0026452D" w:rsidP="0026452D">
      <w:pPr>
        <w:pStyle w:val="TextoNormal"/>
      </w:pPr>
    </w:p>
    <w:p w:rsidR="0026452D" w:rsidRDefault="0026452D" w:rsidP="0026452D">
      <w:pPr>
        <w:pStyle w:val="TextoNormal"/>
      </w:pPr>
      <w:r>
        <w:t>En la segunda de las alegaciones se sustenta la adecuación constitucional de la competencia de la Generalitat para regular el parany. En primer término se afirma que “el parany es un método cinegético tradicional en la Comunidad Valenciana, practicado a lo largo de los últimos siglos, consistente en la captura de túrdidos (tordos o zorzales) mediante empleo de liga (sustancias adhesivas), dispuesta sobre varetas que se colocan en árboles expresamente podados y preparados al efecto, atrayéndolas previamente mediante reclamo bucal o especímenes enjaulados de las mismas especies. Este método está hondamente arraigado en la cultura y paisajes rurales de muchas comarcas valencianas, y su práctica se ha realizado durante siglos en el marco de un equilibrio con la conservación del medio agrario, ayudando a la prevención de daños que causan tales aves a determinados tipos de cultivo (Exposición de motivos del Decreto 135/2000)”.</w:t>
      </w:r>
    </w:p>
    <w:p w:rsidR="0026452D" w:rsidRDefault="0026452D" w:rsidP="0026452D">
      <w:pPr>
        <w:pStyle w:val="TextoNormal"/>
      </w:pPr>
    </w:p>
    <w:p w:rsidR="0026452D" w:rsidRDefault="0026452D" w:rsidP="0026452D">
      <w:pPr>
        <w:pStyle w:val="TextoNormal"/>
      </w:pPr>
      <w:r>
        <w:t>A juicio del Letrado de las Cortes Valencianas el ejercicio de la competencia en materia de caza o de medio ambiente por la Generalitat se encuentra supeditada al principio de primacía del Derecho comunitario y, por ello el parany debe ajustarse a la Directiva de aves y al principio de precaución, cosa que las Cortes Valencianas han hecho, sin que se llegue a producir la colisión alegada por el Abogado del Estado sino más bien una interconexión normativa.</w:t>
      </w:r>
    </w:p>
    <w:p w:rsidR="0026452D" w:rsidRDefault="0026452D" w:rsidP="0026452D">
      <w:pPr>
        <w:pStyle w:val="TextoNormal"/>
      </w:pPr>
    </w:p>
    <w:p w:rsidR="0026452D" w:rsidRDefault="0026452D" w:rsidP="0026452D">
      <w:pPr>
        <w:pStyle w:val="TextoNormal"/>
      </w:pPr>
      <w:r>
        <w:t>Entiende la representación procesal de las Cortes Valencianas que, si realmente nos hallamos ante la necesaria interpretación del respeto por una ley autonómica de los objetivos marcados en una directiva comunitaria, no parece que el Tribunal Constitucional sea el órgano jurisdiccional adecuado, sino que debe ser la Comisión Europea quien inicie sus actuaciones siendo en último término el Tribunal General de la Unión Europea el que debería pronunciarse.</w:t>
      </w:r>
    </w:p>
    <w:p w:rsidR="0026452D" w:rsidRDefault="0026452D" w:rsidP="0026452D">
      <w:pPr>
        <w:pStyle w:val="TextoNormal"/>
      </w:pPr>
    </w:p>
    <w:p w:rsidR="0026452D" w:rsidRDefault="0026452D" w:rsidP="0026452D">
      <w:pPr>
        <w:pStyle w:val="TextoNormal"/>
      </w:pPr>
      <w:r>
        <w:t xml:space="preserve">En cualquier caso, se afirma que la Directiva 79/409 del Consejo de las Comunidades Europeas de 2 de abril de 1979 relativa a la conservación de las aves silvestres determina en su art. 8 en lo que se refiere a la caza, captura o muerte de las mismas: “Los Estados miembros prohibirán el recurso a cualquier medio, instalación o método de captura o muerte masiva o no selectiva o que pudiera causar la desaparición local de una especie, y en particular, los que se enumeran en la letra a) del Anexo IV”, entre esos métodos aparece la liga, similar al parany. Por su parte en el art. 9 la Directiva permite a los Estados miembros </w:t>
      </w:r>
      <w:r>
        <w:lastRenderedPageBreak/>
        <w:t xml:space="preserve">introducir excepciones a la prohibición si no hubiera otra solución satisfactoria, por un conjunto de motivos entre los que se encuentra el de permitir, en condiciones estrictamente controladas y de un modo selectivo, la captura, retención o cualquier otra explotación prudente de determinadas aves en pequeñas cantidades. Acto seguido, el escrito de alegaciones detalla las excepciones contempladas en distintos países, algunas de ellas referidas al método de caza de la liga y recuerda que la STJCE de 27 de abril de 1988, </w:t>
      </w:r>
      <w:r w:rsidRPr="0026452D">
        <w:rPr>
          <w:i/>
        </w:rPr>
        <w:t>Comisión c. Francia</w:t>
      </w:r>
      <w:r>
        <w:t xml:space="preserve"> (252/85), determinó que una excepción a la prohibición de capturar aves con liga, establecida en un Estado miembro, será ajustada al art. 9, apartado 1, letra c) de la Directiva, si dicha excepción se aplica de modo selectivo y sólo comporta una captura de aves en pequeñas cantidades.</w:t>
      </w:r>
    </w:p>
    <w:p w:rsidR="0026452D" w:rsidRDefault="0026452D" w:rsidP="0026452D">
      <w:pPr>
        <w:pStyle w:val="TextoNormal"/>
      </w:pPr>
    </w:p>
    <w:p w:rsidR="0026452D" w:rsidRDefault="0026452D" w:rsidP="0026452D">
      <w:pPr>
        <w:pStyle w:val="TextoNormal"/>
      </w:pPr>
      <w:r>
        <w:t>Dicho lo anterior, el escrito de alegaciones concluye afirmando que la adecuación de la Ley 7/2009 a la interpretación de la Directiva de aves por el Tribunal de Justicia de la Unión Europea se fundamenta en la existencia de informes con evidencias científicas nuevas, que permiten ajustar la definición de qué sean pequeñas cantidades de capturas en aras a considerar aplicable o no al parany las excepciones a que se refiere el art. 9 de la Directiva.</w:t>
      </w:r>
    </w:p>
    <w:p w:rsidR="0026452D" w:rsidRDefault="0026452D" w:rsidP="0026452D">
      <w:pPr>
        <w:pStyle w:val="TextoNormal"/>
      </w:pPr>
    </w:p>
    <w:p w:rsidR="0026452D" w:rsidRDefault="0026452D" w:rsidP="0026452D">
      <w:pPr>
        <w:pStyle w:val="TextoNormal"/>
      </w:pPr>
      <w:r>
        <w:t>El Letrado de las Cortes Valencianas insiste en que la norma impugnada, esto es, la redacción del último párrafo del art. 10 de la Ley 13/2004, tras la reforma del mismo por el art. 2 de la Ley 7/2009 no vulnera la legislación estatal de carácter básico ni es incompatible con la misma porque, en primer lugar se niega el carácter básico del anexo VII y del art. 63.2 de la Ley 42/2007, de los que se deriva la prohibición del parany. A juicio de las Cortes Valencianas el art. 148.1.11 CE que permite asumir a las Comunidades Autónomas las competencias sobre caza y el art. 49.1.17 del Estatuto de Autonomía de la Comunidad Valenciana que asume las competencias en materia de caza, han de convivir con los arts. 45 y 149.1.23 CE que atribuyen al Estado la competencia exclusiva de la legislación básica de protección del medio ambiente, y esa convivencia exige reconocer que las competencias del a Generalitat en materia de caza le permiten legislar sobre la misma, tanto en lo relativo a las prohibiciones de caza, como en lo que hace a las excepciones a las prohibiciones. Afirma esta parte la competencia de las Cortes Valencianas en materia de caza para trasponer lo establecido en la Directiva 79/409/CEE y desarrollar las disposiciones de carácter básico de la ley 42/2007 de patrimonio natural siempre que se respete el marco jurídico establecido por el Derecho comunitario y el legislador estatal. En resumen, la cuestión objeto de litigio no es tanto la incompatibilidad del precepto recurrido con la legislación estatal que reproduce la comunitaria, sino el ajuste de la ley autonómica a las condiciones que establece la normativa comunitaria para las excepciones a la prohibición general de métodos de caza no selectivos, en el bien entendido que la interpretación de qué sean los métodos de caza no selectivos no puede ser realizada ,con carácter básico por el Estado, sino que depende de las evidencias científicas, evidencias que se citan en la exposición de motivos de la Ley 4/2009, y permiten excepcionar de la prohibición el método de caza del parany.</w:t>
      </w:r>
    </w:p>
    <w:p w:rsidR="0026452D" w:rsidRDefault="0026452D" w:rsidP="0026452D">
      <w:pPr>
        <w:pStyle w:val="TextoNormal"/>
      </w:pPr>
    </w:p>
    <w:p w:rsidR="0026452D" w:rsidRDefault="0026452D" w:rsidP="0026452D">
      <w:pPr>
        <w:pStyle w:val="TextoNormal"/>
      </w:pPr>
      <w:r w:rsidRPr="0026452D">
        <w:rPr>
          <w:rStyle w:val="NumeroAFNegritaCaracter"/>
        </w:rPr>
        <w:t>6</w:t>
      </w:r>
      <w:r>
        <w:t>. El día 30 de marzo de 2010, la Abogada de la Generalitat Valenciana, en la representación que ostenta, presentó su escrito de alegaciones interesando la desestimación del recurso interpuesto. Mediante otrosí solicita el levantamiento de la suspensión de la vigencia del precepto impugnado.</w:t>
      </w:r>
    </w:p>
    <w:p w:rsidR="0026452D" w:rsidRDefault="0026452D" w:rsidP="0026452D">
      <w:pPr>
        <w:pStyle w:val="TextoNormal"/>
      </w:pPr>
    </w:p>
    <w:p w:rsidR="0026452D" w:rsidRDefault="0026452D" w:rsidP="0026452D">
      <w:pPr>
        <w:pStyle w:val="TextoNormal"/>
      </w:pPr>
      <w:r>
        <w:lastRenderedPageBreak/>
        <w:t>a) Las alegaciones de esta parte, una vez realizadas algunas consideraciones previas relativas al marco normativo y a la distribución competencial que coinciden fundamentalmente con lo afirmado en el escrito de las Cortes Valencianas, comienzan tratando de demostrar, mediante remisión a distintos estudios científicos que se acompañan al escrito de la Generalitat, que el método de caza del parany es efectivamente selectivo, y que las condiciones de captura no merman las posibilidades de supervivencia de las aves, lo que, teniendo en cuenta lo dispuesto en el art. 9 de la Directiva 79/409/CEE que contempla la posibilidad de establecer excepciones a los arts. 5 a 8, siempre que se practique el método de caza en condiciones controladas, de un modo selectivo, para aves en pequeñas cantidades, supone que el parany no es incompatible con la directiva comunitaria, teniendo además competencias la Comunidad Autónoma para regular el régimen de excepciones, no pudiendo ser sustituida esta competencia por restricciones procedentes de la legislación estatal.</w:t>
      </w:r>
    </w:p>
    <w:p w:rsidR="0026452D" w:rsidRDefault="0026452D" w:rsidP="0026452D">
      <w:pPr>
        <w:pStyle w:val="TextoNormal"/>
      </w:pPr>
    </w:p>
    <w:p w:rsidR="0026452D" w:rsidRDefault="0026452D" w:rsidP="0026452D">
      <w:pPr>
        <w:pStyle w:val="TextoNormal"/>
      </w:pPr>
      <w:r>
        <w:t>b) Por lo que hace al carácter básico del art. 62.3 de la Ley 42/2007, se afirma en el escrito de alegaciones que el mismo no concurre en este caso, tal y como puede deducirse de la STC 102/1995. Este argumento se completa con la afirmación de que la normativa estatal, que traspone la Directiva comunitaria, esto es la citada Ley 42/2007, no hace sino asumir la competencia autonómica para regular de modo detallado y concreto los métodos prohibidos de caza, bajo el argumento de que con ello se cumplen las obligaciones del Reino de España respecto al Derecho comunitario, siendo este argumento contrario a la jurisprudencia constitucional que afirma que el sistema interno de distribución de competencias no se puede ver alterado en absoluto por las operaciones de transposición del Derecho comunitario (con cita de las SSTC 76/1991, 79/1992, y 21/1999).</w:t>
      </w:r>
    </w:p>
    <w:p w:rsidR="0026452D" w:rsidRDefault="0026452D" w:rsidP="0026452D">
      <w:pPr>
        <w:pStyle w:val="TextoNormal"/>
      </w:pPr>
    </w:p>
    <w:p w:rsidR="0026452D" w:rsidRDefault="0026452D" w:rsidP="0026452D">
      <w:pPr>
        <w:pStyle w:val="TextoNormal"/>
      </w:pPr>
      <w:r>
        <w:t>c) En tercer lugar el escrito de alegaciones refuta los argumentos del escrito que interpone el recurso de inconstitucionalidad referidos a que la caza con parany puede ser constitutivo del tipo delictivo contenido en el art. 336 del Código penal, achacando a los mismos falta de rigor por ausencia de cita de toda la jurisprudencia relativa a esta cuestión, y concluyendo que, un análisis más completo de la jurisprudencia penal sobre el recurso al parany debe llevar a la conclusión de que este método de caza no puede incluirse de modo alguno como subsumible en el art. 336 del Código penal, tal y como pretende justificar la Abogacía del Estado en su recurso de inconstitucionalidad.</w:t>
      </w:r>
    </w:p>
    <w:p w:rsidR="0026452D" w:rsidRDefault="0026452D" w:rsidP="0026452D">
      <w:pPr>
        <w:pStyle w:val="TextoNormal"/>
      </w:pPr>
    </w:p>
    <w:p w:rsidR="0026452D" w:rsidRDefault="0026452D" w:rsidP="0026452D">
      <w:pPr>
        <w:pStyle w:val="TextoNormal"/>
      </w:pPr>
      <w:r>
        <w:t>d) Por último el Letrado de la Generalitat acude al Derecho comparado autonómico para afirmar que, existiendo otras normas similares a la impugnada en este caso en otras comunidades autónomas, el Estado, sin embargo no las ha impugnado (con cita de las Leyes del Parlamento de Cataluña 22/2003, de 4 de julio, de protección de animales, y 12/2006, de 27 de julio, de medidas en materia de medio ambiente).</w:t>
      </w:r>
    </w:p>
    <w:p w:rsidR="0026452D" w:rsidRDefault="0026452D" w:rsidP="0026452D">
      <w:pPr>
        <w:pStyle w:val="TextoNormal"/>
      </w:pPr>
    </w:p>
    <w:p w:rsidR="0026452D" w:rsidRDefault="0026452D" w:rsidP="0026452D">
      <w:pPr>
        <w:pStyle w:val="TextoNormal"/>
      </w:pPr>
      <w:r w:rsidRPr="0026452D">
        <w:rPr>
          <w:rStyle w:val="NumeroAFNegritaCaracter"/>
        </w:rPr>
        <w:t>7</w:t>
      </w:r>
      <w:r>
        <w:t>. El Pleno del Tribunal Constitucional, por providencia de 6 de abril de 2010, acordó incorporar a los Autos los escritos de alegaciones que formulan los Letrados de las Cortes Valencianas y de la Generalitat Valenciana y, en cuanto a la solicitud sobre el levantamiento de la suspensión del precepto objeto del recurso, oír a la Abogada del Estado para que, en el plazo de cinco días, expusiera lo que estimase procedente al respecto.</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La Abogada del Estado, con fecha 13 de abril de 2010, evacuó el trámite conferido, formulando las alegaciones correspondientes, e interesando el mantenimiento de la suspensión de la vigencia del último párrafo del art. 10 de la Ley 13/2004, de 27 de diciembre, de </w:t>
      </w:r>
      <w:r>
        <w:lastRenderedPageBreak/>
        <w:t>caza de la Comunidad Valenciana, en la nueva redacción dada por el artículo segundo de la Ley de las Cortes Valencianas 7/2009, de 22 de octubre.</w:t>
      </w:r>
    </w:p>
    <w:p w:rsidR="0026452D" w:rsidRDefault="0026452D" w:rsidP="0026452D">
      <w:pPr>
        <w:pStyle w:val="TextoNormal"/>
      </w:pPr>
    </w:p>
    <w:p w:rsidR="0026452D" w:rsidRDefault="0026452D" w:rsidP="0026452D">
      <w:pPr>
        <w:pStyle w:val="TextoNormal"/>
      </w:pPr>
      <w:r w:rsidRPr="0026452D">
        <w:rPr>
          <w:rStyle w:val="NumeroAFNegritaCaracter"/>
        </w:rPr>
        <w:t>9</w:t>
      </w:r>
      <w:r>
        <w:t>. Mediante ATC 56/2010, de 19 de mayo, se acordó mantener la suspensión del último párrafo del artículo 10 de la Ley 13/2004, de 17 de diciembre, de caza de la Comunidad Valenciana, en la redacción dada al mismo por el art. 2 de la Ley 7/2009, de 22 de octubre.</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7 de mayo de 2013 se señaló para deliberación y votación de la presente Sentencia el día 9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Es objeto del presente recurso de inconstitucionalidad el art. 2 de la Ley 7/2009, de 22 octubre, que a su vez ha modificado el art. 10 de la Ley 13/2004, de 27 de diciembre, de caza de la Comunidad Valenciana.</w:t>
      </w:r>
    </w:p>
    <w:p w:rsidR="0026452D" w:rsidRDefault="0026452D" w:rsidP="0026452D">
      <w:pPr>
        <w:pStyle w:val="TextoNormal"/>
      </w:pPr>
    </w:p>
    <w:p w:rsidR="0026452D" w:rsidRDefault="0026452D" w:rsidP="0026452D">
      <w:pPr>
        <w:pStyle w:val="TextoNormal"/>
      </w:pPr>
      <w:r>
        <w:t>La dicción literal de este precepto es la siguiente:</w:t>
      </w:r>
    </w:p>
    <w:p w:rsidR="0026452D" w:rsidRDefault="0026452D" w:rsidP="0026452D">
      <w:pPr>
        <w:pStyle w:val="TextoNormal"/>
      </w:pPr>
    </w:p>
    <w:p w:rsidR="0026452D" w:rsidRDefault="0026452D" w:rsidP="0026452D">
      <w:pPr>
        <w:pStyle w:val="TextoNormal"/>
      </w:pPr>
      <w:r>
        <w:t>“Artículo 10. Modalidades deportivas y tradicionales de caza</w:t>
      </w:r>
    </w:p>
    <w:p w:rsidR="0026452D" w:rsidRDefault="0026452D" w:rsidP="0026452D">
      <w:pPr>
        <w:pStyle w:val="TextoNormal"/>
      </w:pPr>
    </w:p>
    <w:p w:rsidR="0026452D" w:rsidRDefault="0026452D" w:rsidP="0026452D">
      <w:pPr>
        <w:pStyle w:val="TextoNormal"/>
      </w:pPr>
      <w:r>
        <w:t>Reglamentariamente serán definidas todas las modalidades deportivas y tradicionales de caza, las limitaciones que se deben seguir y las precauciones que hay que tomar durante su práctica.</w:t>
      </w:r>
    </w:p>
    <w:p w:rsidR="0026452D" w:rsidRDefault="0026452D" w:rsidP="0026452D">
      <w:pPr>
        <w:pStyle w:val="TextoNormal"/>
      </w:pPr>
    </w:p>
    <w:p w:rsidR="0026452D" w:rsidRDefault="0026452D" w:rsidP="0026452D">
      <w:pPr>
        <w:pStyle w:val="TextoNormal"/>
      </w:pPr>
      <w:r>
        <w:t>Tienen la consideración de modalidades tradicionales de caza aquellas que, sin utilizar armas de fuego, contemplan métodos selectivos de raigambre popular y no conducen a capturas de carácter masivo. También tienen la consideración de modalidades tradicionales aquellas otras que, empleando métodos prohibidos para las modalidades deportivas, ante la inexistencia de otra solución satisfactoria, son susceptibles de autorización para permitir, en condiciones estrictamente controladas y por medio de métodos selectivos, la captura, retención o cualquiera otra explotación prudente de determinadas especies no catalogadas en pequeñas cantidades y con las limitaciones precisas para garantizar la conservación de las especies. En estos casos la resolución administrativa deberá cumplir los requisitos establecidos en el apartado 2 del artículo 13 de la presente Ley.</w:t>
      </w:r>
    </w:p>
    <w:p w:rsidR="0026452D" w:rsidRDefault="0026452D" w:rsidP="0026452D">
      <w:pPr>
        <w:pStyle w:val="TextoNormal"/>
      </w:pPr>
    </w:p>
    <w:p w:rsidR="0026452D" w:rsidRDefault="0026452D" w:rsidP="0026452D">
      <w:pPr>
        <w:pStyle w:val="TextoNormal"/>
      </w:pPr>
      <w:r>
        <w:t>A estos efectos, tendrá la consideración de modalidad de caza tradicional valenciana la realizada por el método de parany. Reglamentariamente se regularán las condiciones y requisitos necesarios para la práctica de dicha modalidad, incluyendo la exigencia de superación de pruebas de aptitud y conocimiento de los medios y elementos específicos de la misma, con el fin de garantizar el cumplimiento de lo que se dispone en el párrafo anterior.”</w:t>
      </w:r>
    </w:p>
    <w:p w:rsidR="0026452D" w:rsidRDefault="0026452D" w:rsidP="0026452D">
      <w:pPr>
        <w:pStyle w:val="TextoNormal"/>
      </w:pPr>
    </w:p>
    <w:p w:rsidR="0026452D" w:rsidRDefault="0026452D" w:rsidP="0026452D">
      <w:pPr>
        <w:pStyle w:val="TextoNormal"/>
      </w:pPr>
      <w:r>
        <w:t xml:space="preserve">El recurso de inconstitucionalidad se dirige concretamente contra este último párrafo y se basa, tal y como se ha reproducido en los antecedentes, en que la modificación introducida supone, a juicio de la Abogacía del Estado, la inclusión del método de caza denominado parany entre los tradicionales en la Comunidad Valenciana, lo cual determina que se pueda utilizar legalmente en el territorio autonómico, vulnerando las previsiones de la Ley básica estatal 42/2007, de 13 de diciembre, de patrimonio natural y de la biodiversidad, cuyo art. </w:t>
      </w:r>
      <w:r>
        <w:lastRenderedPageBreak/>
        <w:t>62.3 en relación con su anexo VII prohíbe expresamente la utilización de la liga —el parany en la Comunidad Valenciana— como método de caza.</w:t>
      </w:r>
    </w:p>
    <w:p w:rsidR="0026452D" w:rsidRDefault="0026452D" w:rsidP="0026452D">
      <w:pPr>
        <w:pStyle w:val="TextoNormal"/>
      </w:pPr>
    </w:p>
    <w:p w:rsidR="0026452D" w:rsidRDefault="0026452D" w:rsidP="0026452D">
      <w:pPr>
        <w:pStyle w:val="TextoNormal"/>
      </w:pPr>
      <w:r>
        <w:t>Las Cortes Valencianas y la Generalitat Valenciana se oponen a la pretensión del Presidente del Gobierno, argumentado que la norma impugnada supone un ejercicio legítimo de la competencia autonómica en materia de caza, puesto que esa competencia engloba la capacidad de regular las excepciones a las normas de protección medioambiental que incidan precisamente en la regulación de formas de caza, compatibles con aquellas disposiciones medioambientales.</w:t>
      </w:r>
    </w:p>
    <w:p w:rsidR="0026452D" w:rsidRDefault="0026452D" w:rsidP="0026452D">
      <w:pPr>
        <w:pStyle w:val="TextoNormal"/>
      </w:pPr>
    </w:p>
    <w:p w:rsidR="0026452D" w:rsidRDefault="0026452D" w:rsidP="0026452D">
      <w:pPr>
        <w:pStyle w:val="TextoNormal"/>
      </w:pPr>
      <w:r w:rsidRPr="0026452D">
        <w:rPr>
          <w:rStyle w:val="NumeroAFNegritaCaracter"/>
        </w:rPr>
        <w:t>2</w:t>
      </w:r>
      <w:r>
        <w:t>. La impugnación que ha de resolver este Tribunal Constitucional tiene que ver, en este caso, con un supuesto de inconstitucionalidad mediata o indirecta, que exige verificar si la norma impugnada, esto es el art. 10 de la Ley 13/2004, de 27 de diciembre, de caza de la Comunidad Valenciana, es respetuosa o no con la norma básica estatal, contenida en el art. 62.3 y en el anexo VII de la Ley 42/2007, de 13 de diciembre, de patrimonio natural y de la biodiversidad. Si bien el Letrado de las Cortes Valencianas pone en duda la competencia de este Tribunal para valorar la necesaria interpretación del respeto por una ley autonómica de los objetivos marcados en una Directiva comunitaria, hemos de afirmar que, sin perjuicio del valor interpretativo que el Derecho comunitario deba tener en la exégesis de la normativa interna que nos compete, no se trata aquí de valorar el ajuste entre la disposición autonómica impugnada y la Directiva 79/409/CEE, de 2 de abril de 1979, relativa a la conservación de aves silvestres sino de verificar la compatibilidad entre la norma recurrida y las disposiciones estatales arriba referidas que, una vez determinado si son o no básicas, parecen entrar en abierta contradicción con la norma autonómica.</w:t>
      </w:r>
    </w:p>
    <w:p w:rsidR="0026452D" w:rsidRDefault="0026452D" w:rsidP="0026452D">
      <w:pPr>
        <w:pStyle w:val="TextoNormal"/>
      </w:pPr>
    </w:p>
    <w:p w:rsidR="0026452D" w:rsidRDefault="0026452D" w:rsidP="0026452D">
      <w:pPr>
        <w:pStyle w:val="TextoNormal"/>
      </w:pPr>
      <w:r>
        <w:t xml:space="preserve">Por tanto, como presupuesto </w:t>
      </w:r>
      <w:r w:rsidRPr="0026452D">
        <w:rPr>
          <w:i/>
        </w:rPr>
        <w:t>sine qua non</w:t>
      </w:r>
      <w:r>
        <w:t xml:space="preserve"> del juicio de constitucionalidad es preciso determinar si el art. 62.3 de la Ley 42/2007 es efectivamente normativa básica, dictada dentro del respeto estricto a la competencia estatal en materia de protección medioambiental (art. 149.1.23 CE). La respuesta a esta cuestión se encuentra claramente expuesta en la reciente STC 69/2013, de 14 de marzo de 2013, que resuelve el recurso de inconstitucionalidad núm. 2124-2008, interpuesto por el Consejo de Gobierno de la Junta de Castilla y León contra los arts. 25; 45.1; 53; 58; 62.3 a), g) y j), y 66.2 de la Ley 42/2007, de 13 de diciembre, del patrimonio natural y la biodiversidad.</w:t>
      </w:r>
    </w:p>
    <w:p w:rsidR="0026452D" w:rsidRDefault="0026452D" w:rsidP="0026452D">
      <w:pPr>
        <w:pStyle w:val="TextoNormal"/>
      </w:pPr>
    </w:p>
    <w:p w:rsidR="0026452D" w:rsidRDefault="0026452D" w:rsidP="0026452D">
      <w:pPr>
        <w:pStyle w:val="TextoNormal"/>
      </w:pPr>
      <w:r>
        <w:t>En ese pronunciamiento, a cuyo fundamento jurídico 6 nos remitimos en su literalidad, el Tribunal afirma que el art. 62.3 a) de la Ley 42/2007, que prohíbe la tenencia, utilización y comercialización de todos los procedimientos masivos o no selectivos para la captura o muerte de animales, así como aquellos que puedan causar localmente la desaparición, o turbar gravemente la tranquilidad de las poblaciones de una especie, es norma estatal básica amparada por la competencia exclusiva a que se refiere el art. 149.1.23 CE.</w:t>
      </w:r>
    </w:p>
    <w:p w:rsidR="0026452D" w:rsidRDefault="0026452D" w:rsidP="0026452D">
      <w:pPr>
        <w:pStyle w:val="TextoNormal"/>
      </w:pPr>
    </w:p>
    <w:p w:rsidR="0026452D" w:rsidRDefault="0026452D" w:rsidP="0026452D">
      <w:pPr>
        <w:pStyle w:val="TextoNormal"/>
      </w:pPr>
      <w:r>
        <w:t xml:space="preserve">Del mismo modo, la STC 69/2013 afirma también que la especificación de la prohibición genérica contenida en el art. 62.3 a) de la Ley 42/2007, por remisión al anexo VII de la Ley, también ha de ser considerado normativa básica. Así, se dice expresamente que “las prohibiciones contenidas en el anexo VII de la Ley del patrimonio natural y la biodiversidad revisten las características propias de la legislación básica de protección del medio ambiente, estando el Estado constitucionalmente habilitado para imponerlas, ex art. 149.1.23 </w:t>
      </w:r>
      <w:r>
        <w:lastRenderedPageBreak/>
        <w:t>CE”. Y continúa afirmando que el anexo VII de la Ley “contiene prohibiciones que delimitan negativamente la competencia exclusiva autonómica en materia de caza y pesca, pero que están justificadas por la repercusión negativa que la utilización de ciertos métodos de captura masivos o no selectivos pueden tener en la protección de la fauna silvestre”, constatándose además que esta regulación estatal “no vacía de contenido la competencia de la Comunidad Autónoma, cuya regulación puede incidir sobre los restantes métodos de captura, bien admitiéndolos en ejercicio de su competencia en materia de caza y pesca, bien estableciendo nuevas prohibiciones o limitaciones para reforzar la acción protectora de la norma básica estatal, que en este caso opera como norma de mínimos” (FJ 6).</w:t>
      </w:r>
    </w:p>
    <w:p w:rsidR="0026452D" w:rsidRDefault="0026452D" w:rsidP="0026452D">
      <w:pPr>
        <w:pStyle w:val="TextoNormal"/>
      </w:pPr>
    </w:p>
    <w:p w:rsidR="0026452D" w:rsidRDefault="0026452D" w:rsidP="0026452D">
      <w:pPr>
        <w:pStyle w:val="TextoNormal"/>
      </w:pPr>
      <w:r w:rsidRPr="0026452D">
        <w:rPr>
          <w:rStyle w:val="NumeroAFNegritaCaracter"/>
        </w:rPr>
        <w:t>3</w:t>
      </w:r>
      <w:r>
        <w:t>. Determinado el carácter básico de las disposiciones estatales, cumple añadir que las prohibiciones de determinados métodos de caza que realizan las mismas “se corresponde con la interpretación que de la prohibición de utilización de métodos de captura masivos o no selectivos han hecho tanto el Tribunal de Justicia de la Unión Europea (asuntos 262/85, C-79/03, entre otros) como el Tribunal Supremo, en Sentencia de 22 de junio de 2005” (STC 69/2013, FJ 6).</w:t>
      </w:r>
    </w:p>
    <w:p w:rsidR="0026452D" w:rsidRDefault="0026452D" w:rsidP="0026452D">
      <w:pPr>
        <w:pStyle w:val="TextoNormal"/>
      </w:pPr>
    </w:p>
    <w:p w:rsidR="0026452D" w:rsidRDefault="0026452D" w:rsidP="0026452D">
      <w:pPr>
        <w:pStyle w:val="TextoNormal"/>
      </w:pPr>
      <w:r>
        <w:t xml:space="preserve">Dicho de otro modo, una vez que el método de caza del parany —bajo esta denominación o bajo la denominación de liga— ha sido considerado por la jurisprudencia de Luxemburgo como un método no selectivo de caza (Sentencia de 9 de diciembre de 2004 del Tribunal de Justicia de las Comunidades Europeas en el asunto C-79/03 </w:t>
      </w:r>
      <w:r w:rsidRPr="0026452D">
        <w:rPr>
          <w:i/>
        </w:rPr>
        <w:t>Comisión de las Comunidades Europeas contra España</w:t>
      </w:r>
      <w:r>
        <w:t xml:space="preserve">), a los efectos de la aplicación de la directiva que traspone la norma básica estatal, este Tribunal no puede por más que aceptar como válida tal interpretación. Ya decíamos en la STC 69/2013 que “como parámetro interpretativo, tampoco resulta irrelevante el régimen comunitario de tales prohibiciones y, sobre todo, su finalidad, del todo afín a la legislación básica de protección del medio ambiente para cuya aprobación está habilitado el Estado </w:t>
      </w:r>
      <w:r w:rsidRPr="0026452D">
        <w:rPr>
          <w:i/>
        </w:rPr>
        <w:t>ex</w:t>
      </w:r>
      <w:r>
        <w:t xml:space="preserve"> art. 149.1.23 CE”.</w:t>
      </w:r>
    </w:p>
    <w:p w:rsidR="0026452D" w:rsidRDefault="0026452D" w:rsidP="0026452D">
      <w:pPr>
        <w:pStyle w:val="TextoNormal"/>
      </w:pPr>
    </w:p>
    <w:p w:rsidR="0026452D" w:rsidRDefault="0026452D" w:rsidP="0026452D">
      <w:pPr>
        <w:pStyle w:val="TextoNormal"/>
      </w:pPr>
      <w:r w:rsidRPr="0026452D">
        <w:rPr>
          <w:rStyle w:val="NumeroAFNegritaCaracter"/>
        </w:rPr>
        <w:t>4</w:t>
      </w:r>
      <w:r>
        <w:t>. Dicho todo lo anterior, una vez hemos considerado que el art. 62.3 a) de la Ley 42/2007, de 13 de diciembre, del patrimonio natural y la biodiversidad es normativa básica, de obligada observancia para las Comunidades Autónomas que tienen competencias exclusivas en materia de caza y pesca, como es el caso de la Comunidad Valenciana, y una vez que el anexo VII de la Ley 42/2007 —normativa básica como lo es el art. 62.3 a) que hace remisión al anexo— recoge expresamente la liga como procedimiento que queda prohibido para la captura o muerte de animales, no puede sino concluirse que la norma autonómica impugnada no es respetuosa con la normativa básica estatal, lo que conduce a declarar su inconstitucionalidad y nulidad subsiguiente. Así pues, la doctrina hasta aquí expuesta conduce directamente a la estimación del presente recurso de inconstitucionalidad.</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Estimar el presente recurso de inconstitucionalidad.</w:t>
      </w:r>
    </w:p>
    <w:p w:rsidR="0026452D" w:rsidRDefault="0026452D" w:rsidP="0026452D">
      <w:pPr>
        <w:pStyle w:val="TextoNormal"/>
      </w:pPr>
    </w:p>
    <w:p w:rsidR="0026452D" w:rsidRDefault="0026452D" w:rsidP="0026452D">
      <w:pPr>
        <w:pStyle w:val="TextoNormal"/>
      </w:pPr>
      <w:r>
        <w:t>2º Declarar inconstitucional y nulo el último párrafo del art. 10 de la Ley 13/2004, de 27 de diciembre, de caza de la Comunidad Valenciana, en la redacción dada al mismo por el art. 2 de la Ley 7/2009, de 22 de octubre, de reforma de los arts. 7 y 10 de la Ley 13/2004.</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nueve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18" w:name="SENTENCIA_2013_115"/>
      <w:r>
        <w:lastRenderedPageBreak/>
        <w:t>SENTENCIA 115/2013, de 9 de mayo de 2013</w:t>
      </w:r>
    </w:p>
    <w:bookmarkEnd w:id="118"/>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133, de 4 de junio de 2013)</w:t>
      </w:r>
    </w:p>
    <w:p w:rsidR="0026452D" w:rsidRDefault="0026452D" w:rsidP="0026452D">
      <w:pPr>
        <w:pStyle w:val="TtuloBOE"/>
      </w:pPr>
    </w:p>
    <w:p w:rsidR="0026452D" w:rsidRDefault="0026452D" w:rsidP="0026452D">
      <w:pPr>
        <w:pStyle w:val="SntesisDescriptiva"/>
      </w:pPr>
      <w:r>
        <w:t>ECLI:ES:TC:2013:115</w:t>
      </w:r>
    </w:p>
    <w:p w:rsidR="0026452D" w:rsidRDefault="0026452D" w:rsidP="0026452D">
      <w:pPr>
        <w:pStyle w:val="SntesisDescriptiva"/>
      </w:pPr>
    </w:p>
    <w:p w:rsidR="0026452D" w:rsidRDefault="0026452D" w:rsidP="0026452D">
      <w:pPr>
        <w:pStyle w:val="SntesisDescriptiva"/>
      </w:pPr>
      <w:r>
        <w:t>Recurso de amparo 1246-2011. Promovido por don Moisés Posada Sarmiento en relación con las Sentencias de la Audiencia Provincial de Cádiz y de la Sala de lo Penal del Tribunal Supremo que le condenaron por un delito contra la salud pública.</w:t>
      </w:r>
    </w:p>
    <w:p w:rsidR="0026452D" w:rsidRDefault="0026452D" w:rsidP="0026452D">
      <w:pPr>
        <w:pStyle w:val="SntesisDescriptiva"/>
      </w:pPr>
    </w:p>
    <w:p w:rsidR="0026452D" w:rsidRDefault="0026452D" w:rsidP="0026452D">
      <w:pPr>
        <w:pStyle w:val="SntesisAnaltica"/>
      </w:pPr>
      <w:r>
        <w:t>Supuesta vulneración de los derechos a la intimidad y al secreto de las comunicaciones: acceso policial, sin consentimiento del afectado y sin autorización judicial, a la agenda de contactos telefónicos de un teléfono móvil (STC 142/2012)</w:t>
      </w:r>
    </w:p>
    <w:p w:rsidR="0026452D" w:rsidRDefault="0026452D" w:rsidP="0026452D">
      <w:pPr>
        <w:pStyle w:val="SntesisAnaltica"/>
      </w:pPr>
    </w:p>
    <w:p w:rsidR="0026452D" w:rsidRDefault="0026452D" w:rsidP="0026452D">
      <w:pPr>
        <w:pStyle w:val="Extracto"/>
      </w:pPr>
      <w:r>
        <w:t>1.</w:t>
      </w:r>
      <w:r>
        <w:tab/>
        <w:t>Los requisitos que proporcionan una justificación constitucional objetiva y razonable a la injerencia policial en el derecho a la intimidad son, la existencia de un fin constitucionalmente legítimo, que la medida limitativa del derecho esté prevista en la ley y que la actuación policial respete el principio de proporcionalidad, concretado en la idoneidad de la medida, la necesidad de la misma y el juicio de proporcionalidad en sentido estricto (STC 173/2011) [FFJJ 5, 6].</w:t>
      </w:r>
    </w:p>
    <w:p w:rsidR="0026452D" w:rsidRDefault="0026452D" w:rsidP="0026452D">
      <w:pPr>
        <w:pStyle w:val="Extracto"/>
      </w:pPr>
    </w:p>
    <w:p w:rsidR="0026452D" w:rsidRDefault="0026452D" w:rsidP="0026452D">
      <w:pPr>
        <w:pStyle w:val="Extracto"/>
      </w:pPr>
      <w:r>
        <w:t>2.</w:t>
      </w:r>
      <w:r>
        <w:tab/>
        <w:t>Doctrina sobre la afectación al derecho a la intimidad por la actuación de agentes de policía en el ejercicio de funciones de investigación (SSTC 70/2002, 142/2012) [FFJJ 5, 6].</w:t>
      </w:r>
    </w:p>
    <w:p w:rsidR="0026452D" w:rsidRDefault="0026452D" w:rsidP="0026452D">
      <w:pPr>
        <w:pStyle w:val="Extracto"/>
      </w:pPr>
    </w:p>
    <w:p w:rsidR="0026452D" w:rsidRDefault="0026452D" w:rsidP="0026452D">
      <w:pPr>
        <w:pStyle w:val="Extracto"/>
      </w:pPr>
      <w:r>
        <w:t>3.</w:t>
      </w:r>
      <w:r>
        <w:tab/>
        <w:t xml:space="preserve">Debe descartarse que el derecho al secreto de las comunicaciones, </w:t>
      </w:r>
      <w:r w:rsidRPr="0026452D">
        <w:rPr>
          <w:i/>
        </w:rPr>
        <w:t>ex</w:t>
      </w:r>
      <w:r>
        <w:t xml:space="preserve"> art. 18.3 CE, se haya visto afectado por la actuación policial, pues con el acceso a la agenda de contactos del teléfono móvil del recurrente los agentes no obtuvieron dato alguno concerniente a un proceso de comunicación emitida o recibida mediante dicho aparato, sino únicamente a un listado de números de teléfono, siendo lo determinante para la delimitación del contenido del derecho el carácter de la información y no el tipo de soporte (STC 142/2012) [FFJJ 3, 4].</w:t>
      </w:r>
    </w:p>
    <w:p w:rsidR="0026452D" w:rsidRDefault="0026452D" w:rsidP="0026452D">
      <w:pPr>
        <w:pStyle w:val="Extracto"/>
      </w:pPr>
    </w:p>
    <w:p w:rsidR="0026452D" w:rsidRDefault="0026452D" w:rsidP="0026452D">
      <w:pPr>
        <w:pStyle w:val="Extracto"/>
      </w:pPr>
      <w:r>
        <w:t>4.</w:t>
      </w:r>
      <w:r>
        <w:tab/>
        <w:t xml:space="preserve">Doctrina sobre el contenido del derecho al secreto de las comunicaciones (STEDH casos </w:t>
      </w:r>
      <w:r w:rsidRPr="0026452D">
        <w:rPr>
          <w:i/>
        </w:rPr>
        <w:t>Malone c. Reino Unido</w:t>
      </w:r>
      <w:r>
        <w:t xml:space="preserve">, de 2 de agosto de 1984, </w:t>
      </w:r>
      <w:r w:rsidRPr="0026452D">
        <w:rPr>
          <w:i/>
        </w:rPr>
        <w:t>Copland c. Reino Unido</w:t>
      </w:r>
      <w:r>
        <w:t>, de 3 de abril de 2007; SSTC 123/2002, 241/2012)  [FJ 3].</w:t>
      </w:r>
    </w:p>
    <w:p w:rsidR="0026452D" w:rsidRDefault="0026452D" w:rsidP="0026452D">
      <w:pPr>
        <w:pStyle w:val="Extracto"/>
      </w:pPr>
    </w:p>
    <w:p w:rsidR="0026452D" w:rsidRDefault="0026452D" w:rsidP="0026452D">
      <w:pPr>
        <w:pStyle w:val="Extracto"/>
      </w:pPr>
      <w:r>
        <w:t>5.</w:t>
      </w:r>
      <w:r>
        <w:tab/>
        <w:t xml:space="preserve">Si, </w:t>
      </w:r>
      <w:r w:rsidRPr="0026452D">
        <w:rPr>
          <w:i/>
        </w:rPr>
        <w:t>ex</w:t>
      </w:r>
      <w:r>
        <w:t xml:space="preserve"> art. 18.3 CE, la intervención de las comunicaciones requiere siempre de autorización judicial, a menos que medie consentimiento del afectado, el art. 18.1 CE no prevé esa garantía respecto del derecho a la intimidad, admitiéndose la legitimidad constitucional de que la policía, con la suficiente habilitación legal, realice determinadas prácticas que constituyan una injerencia leve en la intimidad de las personas, siempre que se hayan respetado las exigencias del principio de proporcionalidad (SSTC 70/2002, 142/2012)  [FJ 3].</w:t>
      </w:r>
    </w:p>
    <w:p w:rsidR="0026452D" w:rsidRDefault="0026452D" w:rsidP="0026452D">
      <w:pPr>
        <w:pStyle w:val="Extracto"/>
      </w:pPr>
    </w:p>
    <w:p w:rsidR="0026452D" w:rsidRDefault="0026452D" w:rsidP="0026452D">
      <w:pPr>
        <w:pStyle w:val="Extracto"/>
      </w:pPr>
      <w:r>
        <w:lastRenderedPageBreak/>
        <w:t>6.</w:t>
      </w:r>
      <w:r>
        <w:tab/>
        <w:t>La resolución del presente recurso posee la especial trascendencia constitucional que requiere el art. 50.1 b) LOTC, ya que este Tribunal no ha fijado doctrina respecto de la eventual vulneración del derecho a la intimidad cuando la policía accede a la agenda de contactos telefónicos de un teléfono móvil sin autorización judicial (STC 155/2009)  [FJ 2].</w:t>
      </w:r>
    </w:p>
    <w:p w:rsidR="0026452D" w:rsidRDefault="0026452D" w:rsidP="0026452D">
      <w:pPr>
        <w:pStyle w:val="Extracto"/>
      </w:pPr>
    </w:p>
    <w:p w:rsidR="0026452D" w:rsidRDefault="0026452D" w:rsidP="0026452D">
      <w:pPr>
        <w:pStyle w:val="Extracto"/>
      </w:pPr>
      <w:r>
        <w:t>7.</w:t>
      </w:r>
      <w:r>
        <w:tab/>
        <w:t>Cuando se impugna en amparo una resolución judicial confirmatoria de otra, que ha sido lógica y cronológicamente presupuesto de aquella, ha de entenderse también recurrida la precedente resolución confirmada (STC 81/2000)  [FJ 1].</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1246-2011, promovido por don Moisés Posada Sarmiento, representado por la Procuradora de los Tribunales doña María Dolores Girón Arjonilla y asistido por el Abogado don José Antonio Cuevas García, contra la Sentencia de 2 de diciembre de 2010 de la Sala de lo Penal del Tribunal Supremo, recaída en recurso de casación núm. 1514-2010, interpuesto contra la Sentencia de 3 de febrero de 2010 dictada por la Sección Tercera de la Audiencia Provincial de Cádiz, en procedimiento abreviado núm. 41-2009. Ha intervenido el Ministerio Fiscal.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 de marzo de 2011, la Procuradora de los Tribunales doña María Dolores Girón Arjonilla, en nombre y representación de don Moisés Posada Sarmiento, interpuso recurso de amparo contra las Sentencias referidas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que se fundamenta la demanda de amparo son los siguientes:</w:t>
      </w:r>
    </w:p>
    <w:p w:rsidR="0026452D" w:rsidRDefault="0026452D" w:rsidP="0026452D">
      <w:pPr>
        <w:pStyle w:val="TextoNormal"/>
      </w:pPr>
    </w:p>
    <w:p w:rsidR="0026452D" w:rsidRDefault="0026452D" w:rsidP="0026452D">
      <w:pPr>
        <w:pStyle w:val="TextoNormal"/>
      </w:pPr>
      <w:r>
        <w:t xml:space="preserve">a) El recurrente en amparo fue condenado por Sentencia de 3 de febrero de 2010 de la Audiencia Provincial de Cádiz como autor responsable de un delito contra la salud pública, </w:t>
      </w:r>
      <w:r>
        <w:lastRenderedPageBreak/>
        <w:t>en la modalidad de extrema gravedad y sin circunstancias modificativas de la responsabilidad criminal, a las penas de cinco años y seis meses de prisión, inhabilitación especial para el ejercicio del derecho de sufragio pasivo durante el tiempo de la condena, y multa de siete millones de euros, así como al pago de una quinta parte de las costas procesales.</w:t>
      </w:r>
    </w:p>
    <w:p w:rsidR="0026452D" w:rsidRDefault="0026452D" w:rsidP="0026452D">
      <w:pPr>
        <w:pStyle w:val="TextoNormal"/>
      </w:pPr>
    </w:p>
    <w:p w:rsidR="0026452D" w:rsidRDefault="0026452D" w:rsidP="0026452D">
      <w:pPr>
        <w:pStyle w:val="TextoNormal"/>
      </w:pPr>
      <w:r>
        <w:t>La Sentencia declaró como hechos probados que el 10 de diciembre de 2007, sobre las 2:15 horas, cuando agentes de la Policía Nacional realizaban servicios de vigilancia por la zona próxima a la barriada “Virgen del Mar” en Sanlúcar de Barrameda (Cádiz), observaron un movimiento de personas que les resultó sospechoso en el interior del invernadero situado entre la barriada expresada y la playa, por lo que decidieron entrar en el mismo, encontrándose un semirremolque que dificultaba el acceso, lo que fue aprovechado por las tres o cuatro personas que se encontraban en el interior para darse a la fuga por distintos agujeros abiertos en los plásticos de la parte posterior del invernadero, sin que los agentes de la policía pudieran percatarse de la identidad de los fugados, aunque consiguieron advertir que uno de ellos vestía una chaqueta o sudadera de tipo camuflaje. Una vez que los policías accedieron al interior del invernadero, encontraron 83 fardos que resultaron contener un total de 2.488.240 gramos de hachís con un índice de THC de 5,6 por 100 y 91.680 gramos de la misma sustancia con un índice de THC de 0,9 por 100, así como dos teléfonos móviles encendidos, un juego de llaves, una carabina de aire comprimido del calibre 45, modificada para disparar munición del calibre 36, y una caja de cartuchos del calibre 36. Tras examinar las agendas de contactos telefónicos de los dos móviles encontrados, los agentes de la policía pudieron comprobar que uno de ellos contenía un número registrado como “mamá”, correspondiente al número de teléfono fijo de la madre del recurrente en amparo. Asimismo se hallaron las llaves de un automóvil, que resultaron pertenecer a un vehículo conducido habitualmente por el recurrente, aunque su titular es otro de los acusados, apareciendo asegurado a nombre de un tercero, pareja sentimental de la hermana del recurrente.</w:t>
      </w:r>
    </w:p>
    <w:p w:rsidR="0026452D" w:rsidRDefault="0026452D" w:rsidP="0026452D">
      <w:pPr>
        <w:pStyle w:val="TextoNormal"/>
      </w:pPr>
    </w:p>
    <w:p w:rsidR="0026452D" w:rsidRDefault="0026452D" w:rsidP="0026452D">
      <w:pPr>
        <w:pStyle w:val="TextoNormal"/>
      </w:pPr>
      <w:r>
        <w:t>La Sentencia considera acreditada la participación del recurrente en los hechos por los que ha sido condenado como autor de un delito contra la salud pública destacando como indicios incriminatorios que resultó ser el usuario de uno de los teléfonos móviles incautados en el lugar de los hechos, así como el conductor habitual del vehículo cuyas llaves fueron también halladas en el mismo lugar, y que, en el momento de procederse a su detención, dos o tres horas después de la fuga en el invernadero donde fueron hallados el alijo de droga, así como el juego de llaves y los teléfonos móviles, entre otros objetos, el recurrente vestía una sudadera de camuflaje como la que los agentes habían visto que llevaba uno de las personas que huyeron al ser sorprendidos en el invernadero, y que desde el portal y hasta la puerta de entrada de su domicilio se encontró un rastro de arena, expresivo de la precipitación de la huida.</w:t>
      </w:r>
    </w:p>
    <w:p w:rsidR="0026452D" w:rsidRDefault="0026452D" w:rsidP="0026452D">
      <w:pPr>
        <w:pStyle w:val="TextoNormal"/>
      </w:pPr>
    </w:p>
    <w:p w:rsidR="0026452D" w:rsidRDefault="0026452D" w:rsidP="0026452D">
      <w:pPr>
        <w:pStyle w:val="TextoNormal"/>
      </w:pPr>
      <w:r>
        <w:t xml:space="preserve">b) Contra esta Sentencia el demandante de amparo interpuso recurso de casación por infracción de precepto constitucional al amparo del art. 5.4 de la Ley Orgánica del Poder Judicial, por vulneración de los derechos a la intimidad y al secreto de las comunicaciones, que fue desestimado íntegramente por Sentencia de 2 de diciembre de 2010 de la Sala de lo Penal del Tribunal Supremo. Con cita de la doctrina sentada en la STC 70/2002, de 3 de abril, el Tribunal Supremo concluye que el registro u observación de la agenda de contactos telefónicos de un teléfono móvil no supone injerencia en el derecho al secreto de las comunicaciones (art. 18.3 CE), sino en el derecho a la intimidad (art. 18.1 CE), si bien en este caso esa injerencia en el derecho protegido por el art. 18.1 CE resulta constitucionalmente </w:t>
      </w:r>
      <w:r>
        <w:lastRenderedPageBreak/>
        <w:t>legítima, porque las fuerzas del orden no necesitaban autorización judicial para proceder a registrar la agenda del teléfono móvil hallado en el lugar de los hechos, al estar justificada su actuación por razones de urgencia y necesidad y resultar satisfecho el principio de proporcionalidad, conforme se razona en la Sentencia.</w:t>
      </w:r>
    </w:p>
    <w:p w:rsidR="0026452D" w:rsidRDefault="0026452D" w:rsidP="0026452D">
      <w:pPr>
        <w:pStyle w:val="TextoNormal"/>
      </w:pPr>
    </w:p>
    <w:p w:rsidR="0026452D" w:rsidRDefault="0026452D" w:rsidP="0026452D">
      <w:pPr>
        <w:pStyle w:val="TextoNormal"/>
      </w:pPr>
      <w:r w:rsidRPr="0026452D">
        <w:rPr>
          <w:rStyle w:val="NumeroAFNegritaCaracter"/>
        </w:rPr>
        <w:t>3</w:t>
      </w:r>
      <w:r>
        <w:t>. En la demanda de amparo el recurrente alega, en primer lugar, la vulneración de su derecho a la intimidad (art. 18.1 CE), al entender que era necesaria una autorización judicial para proceder al examen de la agenda de contactos telefónicos del teléfono móvil cuyo uso se le atribuye, de la que se obtuvo un número telefónico que sirvió a la Policía Nacional para su identificación y posterior detención, toda vez que, a su juicio, no concurrieron las razones de urgencia, necesidad y proporcionalidad que hubieran podido justificar la injerencia en dicho derecho fundamental. Asimismo, sostiene que se ha vulnerado su derecho al secreto de la comunicaciones (art. 18.3 CE), argumentando que la manipulación de la agenda del teléfono móvil cuyo uso se le atribuye se produjo, a su juicio, a consecuencia de la previa observación de las llamadas efectuadas y recibidas en el móvil intervenido, es decir, a partir de datos registrados durante un proceso de comunicación y que, pese a estar protegidos por el derecho al secreto de las comunicaciones, fueron obtenidos sin la necesaria autorización judicial.</w:t>
      </w:r>
    </w:p>
    <w:p w:rsidR="0026452D" w:rsidRDefault="0026452D" w:rsidP="0026452D">
      <w:pPr>
        <w:pStyle w:val="TextoNormal"/>
      </w:pPr>
    </w:p>
    <w:p w:rsidR="0026452D" w:rsidRDefault="0026452D" w:rsidP="0026452D">
      <w:pPr>
        <w:pStyle w:val="TextoNormal"/>
      </w:pPr>
      <w:r>
        <w:t>Mediante otrosí y de acuerdo con lo dispuesto en el art. 56 de la Ley Orgánica del Tribunal Constitucional (LOTC), el recurrente solicita en la demanda de amparo que se deje en suspenso la ejecución de la Sentencia condenatoria, alegando que dicha ejecución podría ocasionarle un perjuicio de imposible reparación que haría perder al amparo su finalidad.</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16 de abril de 2012, la Sala Primera del Tribunal Constitucional, conforme a lo dispuesto en el art. 11.2 LOTC, acordó admitir a trámite el presente recurso de amparo así como, en aplicación de lo dispuesto en el art. 51 LOTC, requerir atentamente a la Sala de lo Penal del Tribunal Supremo y a la Sección Tercera de la Audiencia Provincial de Cádiz para que remitieran testimonio de las respectivas actuaciones, interesando asimismo el emplazamiento de quienes hubieran sido parte en el procedimiento penal, con excepción de la parte recurrente en amparo, ya personada, para que en el plazo de diez días pudiesen comparecer en este proceso constitucional.</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otra providencia de la misma fecha se acordó formar la correspondiente pieza separada de medidas cautelares y, de conformidad con lo previsto en el art. 56 LOTC, conceder un plazo común de tres días al Ministerio Fiscal y al recurrente en amparo para que alegaran lo que estimasen pertinente en relación con la petición de suspensión interesada.</w:t>
      </w:r>
    </w:p>
    <w:p w:rsidR="0026452D" w:rsidRDefault="0026452D" w:rsidP="0026452D">
      <w:pPr>
        <w:pStyle w:val="TextoNormal"/>
      </w:pPr>
    </w:p>
    <w:p w:rsidR="0026452D" w:rsidRDefault="0026452D" w:rsidP="0026452D">
      <w:pPr>
        <w:pStyle w:val="TextoNormal"/>
      </w:pPr>
      <w:r w:rsidRPr="0026452D">
        <w:rPr>
          <w:rStyle w:val="NumeroAFNegritaCaracter"/>
        </w:rPr>
        <w:t>6</w:t>
      </w:r>
      <w:r>
        <w:t>. . El Ministerio Fiscal evacuó el trámite de alegaciones conferido, mediante escrito presentado el 3 de mayo de 2012, oponiéndose a la suspensión solicitada. El recurrente en amparo, por escrito registrado con fecha 24 de abril de 2011, reitera su petición de suspensión de la condena. La suspensión interesada fue finalmente denegada mediante ATC 101/2012, de 21 de mayo.</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Por diligencia de ordenación del Secretario de Justicia de la Sala Primera de 14 de noviembre de 2012 se tuvieron por recibidos los testimonios de las actuaciones remitidos </w:t>
      </w:r>
      <w:r>
        <w:lastRenderedPageBreak/>
        <w:t>por la Sala de lo Penal del Tribunal Supremo y por la Sección Tercera de la Audiencia Provincial de Cádiz y, a tenor de lo dispuesto en el art. 52 LOTC, se acordó dar vista de todas las actuaciones del presente recurso de amparo por un plazo común de veinte días al Ministerio Fiscal y a las partes personadas, para que dentro de dicho término pudieran presentar las alegaciones que estimasen convenientes.</w:t>
      </w:r>
    </w:p>
    <w:p w:rsidR="0026452D" w:rsidRDefault="0026452D" w:rsidP="0026452D">
      <w:pPr>
        <w:pStyle w:val="TextoNormal"/>
      </w:pPr>
    </w:p>
    <w:p w:rsidR="0026452D" w:rsidRDefault="0026452D" w:rsidP="0026452D">
      <w:pPr>
        <w:pStyle w:val="TextoNormal"/>
      </w:pPr>
      <w:r w:rsidRPr="0026452D">
        <w:rPr>
          <w:rStyle w:val="NumeroAFNegritaCaracter"/>
        </w:rPr>
        <w:t>8</w:t>
      </w:r>
      <w:r>
        <w:t>. La representación procesal de don Moisés Posada Sarmiento, recurrente en amparo, presentó su escrito de alegaciones en este Tribunal el día 10 de diciembre de 2012, reproduciendo las quejas formuladas en la demanda de amparo.</w:t>
      </w:r>
    </w:p>
    <w:p w:rsidR="0026452D" w:rsidRDefault="0026452D" w:rsidP="0026452D">
      <w:pPr>
        <w:pStyle w:val="TextoNormal"/>
      </w:pPr>
    </w:p>
    <w:p w:rsidR="0026452D" w:rsidRDefault="0026452D" w:rsidP="0026452D">
      <w:pPr>
        <w:pStyle w:val="TextoNormal"/>
      </w:pPr>
      <w:r w:rsidRPr="0026452D">
        <w:rPr>
          <w:rStyle w:val="NumeroAFNegritaCaracter"/>
        </w:rPr>
        <w:t>9</w:t>
      </w:r>
      <w:r>
        <w:t>. El Ministerio Fiscal presentó su escrito de alegaciones en este Tribunal el 23 de octubre de 2012, en el que interesa la inadmisión del recurso de amparo o, subsidiariamente, su desestimación.</w:t>
      </w:r>
    </w:p>
    <w:p w:rsidR="0026452D" w:rsidRDefault="0026452D" w:rsidP="0026452D">
      <w:pPr>
        <w:pStyle w:val="TextoNormal"/>
      </w:pPr>
    </w:p>
    <w:p w:rsidR="0026452D" w:rsidRDefault="0026452D" w:rsidP="0026452D">
      <w:pPr>
        <w:pStyle w:val="TextoNormal"/>
      </w:pPr>
      <w:r>
        <w:t>Tras exponer detalladamente los antecedentes del asunto y antes de entrar en el examen de fondo del recurso, el Fiscal somete a la consideración de este Tribunal la posible concurrencia de un óbice de admisibilidad, consistente en el incumplimiento del requisito previsto en el art. 49.1 LOTC relativo a la necesidad de que la demanda justifique la especial trascendencia constitucional del recurso. Así, el Fiscal entiende que el demandante no ha cumplido con dicha carga de acuerdo con la doctrina sentada en la STC 69/2011, de 16 de mayo, entre otras, puesto que, a su juicio, no ha ofrecido ninguna argumentación que trascienda la propia lesión de los derechos fundamentales que denuncia, toda vez que se limita a solicitar que este Tribunal establezca doctrina sobre si la manipulación o consulta de la agenda del teléfono móvil, sin previa autorización judicial, implica la vulneración del derecho a la intimidad, y sobre si la consulta de las llamadas entrantes y salientes registradas en un teléfono móvil, así como la identidad de los interlocutores, sin previa autorización judicial, implica vulneración del derecho al secreto de las comunicaciones.</w:t>
      </w:r>
    </w:p>
    <w:p w:rsidR="0026452D" w:rsidRDefault="0026452D" w:rsidP="0026452D">
      <w:pPr>
        <w:pStyle w:val="TextoNormal"/>
      </w:pPr>
    </w:p>
    <w:p w:rsidR="0026452D" w:rsidRDefault="0026452D" w:rsidP="0026452D">
      <w:pPr>
        <w:pStyle w:val="TextoNormal"/>
      </w:pPr>
      <w:r>
        <w:t>Para el caso en que se rechace el anterior óbice de admisibilidad, el Fiscal procede a analizar el contenido de las lesiones denunciadas por el recurrente, comenzando por la queja relativa a la vulneración del derecho al secreto de las comunicaciones (art. 18.3 CE). En este sentido, el Fiscal entiende que no ha existido tal vulneración, pues de los hechos declarados probados en las Sentencias impugnadas lo único que se desprende es que los funcionarios de policía examinaron la agenda de contactos telefónicos del teléfono móvil del demandante de amparo, pero no el registro de llamadas entrantes y salientes, de donde se deduce, según el Fiscal, que no estaríamos ante una posible lesión del derecho al secreto de las comunicaciones sino, en su caso, ante una eventual lesión del derecho a la protección de datos de carácter personal (art. 18.4 CE), queja que no ha sido formulada en la demanda de amparo, ni tampoco denunciada previamente ante los tribunales ordinarios, por lo que no podría ser examinada por este Tribunal.</w:t>
      </w:r>
    </w:p>
    <w:p w:rsidR="0026452D" w:rsidRDefault="0026452D" w:rsidP="0026452D">
      <w:pPr>
        <w:pStyle w:val="TextoNormal"/>
      </w:pPr>
    </w:p>
    <w:p w:rsidR="0026452D" w:rsidRDefault="0026452D" w:rsidP="0026452D">
      <w:pPr>
        <w:pStyle w:val="TextoNormal"/>
      </w:pPr>
      <w:r>
        <w:t xml:space="preserve">Asimismo, el Fiscal sostiene que debe descartarse la pretendida vulneración del derecho a la intimidad (art. 18.1 CE), al entender, de acuerdo con la doctrina sentada en las SSTC 70/2002, de 3 de abril, FJ 10 y 142/2012, de 2 de julio, FFJJ 2 y 3, que el examen de la agenda de contactos de los teléfonos móviles encontrados en el lugar de los hechos era urgente, necesaria y proporcionada para tratar de averiguar la identidad de los usuarios y así identificar a las personas que habían huido del invernadero donde custodiaban el importante </w:t>
      </w:r>
      <w:r>
        <w:lastRenderedPageBreak/>
        <w:t>alijo de hachís encontrado, evitando que pudieran fugarse definitivamente. Y añade el Fiscal, con cita de nuevo de la STC 142/2012, FJ 4, que ni siquiera resultaría necesario en el presente caso entrar a examinar la invocada lesión del derecho a la intimidad, toda vez que, a su juicio, la prueba de cargo obtenida a través del examen policial de la agenda del teléfono móvil del recurrente no es concluyente o relevante respecto de su condena, toda vez que, aun excluyendo ese dato incriminatorio, subsistirían otras pruebas independientes en que sustentar la convicción judicial acerca de que el recurrente era una de las personas que custodiaban el alijo de droga incautado en el invernadero (la prenda de camuflaje que aun llevaba puesta al ser detenido y el hecho de ser el conductor habitual del vehículo al que correspondían el juego de llaves hallado también en el invernadero).</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fecha 12 de marzo de 2013, el Pleno de conformidad, con lo establecido en el art. 10.1 n) LOTC y a propuesta de la Sala Primera, acordó recabar para sí el conocimiento del presente recurso de amparo.</w:t>
      </w:r>
    </w:p>
    <w:p w:rsidR="0026452D" w:rsidRDefault="0026452D" w:rsidP="0026452D">
      <w:pPr>
        <w:pStyle w:val="TextoNormal"/>
      </w:pPr>
    </w:p>
    <w:p w:rsidR="0026452D" w:rsidRDefault="0026452D" w:rsidP="0026452D">
      <w:pPr>
        <w:pStyle w:val="TextoNormal"/>
      </w:pPr>
      <w:r w:rsidRPr="0026452D">
        <w:rPr>
          <w:rStyle w:val="NumeroAFNegritaCaracter"/>
        </w:rPr>
        <w:t>11</w:t>
      </w:r>
      <w:r>
        <w:t>. Por providencia de 7 de mayo de 2013 se acordó señalar para deliberación y votación de la presente Sentencia el día 9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recurrente en amparo aduce la vulneración de su derecho fundamental a la intimidad (art. 18.1 CE), al entender, como ha quedado expuesto con más detalle en el relato de antecedentes, que era necesaria una autorización judicial para proceder al examen de la agenda de contactos telefónicos de su teléfono móvil (que fue encontrado junto a otros objetos por varios agentes de la Policía Nacional cuando, realizando servicios de vigilancia, entraron en un invernadero del que salieron huyendo varias personas y en el que fueron incautadas algo más de dos toneladas y media de hachís), de la que se obtuvieron datos que sirvieron para su identificación y posterior detención, procesamiento y condena.</w:t>
      </w:r>
    </w:p>
    <w:p w:rsidR="0026452D" w:rsidRDefault="0026452D" w:rsidP="0026452D">
      <w:pPr>
        <w:pStyle w:val="TextoNormal"/>
      </w:pPr>
    </w:p>
    <w:p w:rsidR="0026452D" w:rsidRDefault="0026452D" w:rsidP="0026452D">
      <w:pPr>
        <w:pStyle w:val="TextoNormal"/>
      </w:pPr>
      <w:r>
        <w:t>Asimismo, alega la vulneración de su derecho al secreto de la comunicaciones (art. 18.3 CE), argumentando que la manipulación por los agentes de la policía de la agenda de contactos telefónicos del teléfono móvil cuyo uso se le atribuye se produjo como consecuencia de la observación de las llamadas efectuadas y recibidas en el móvil intervenido, es decir, a partir de datos registrados durante un proceso de comunicación, para lo que resulta imprescindible una previa autorización judicial.</w:t>
      </w:r>
    </w:p>
    <w:p w:rsidR="0026452D" w:rsidRDefault="0026452D" w:rsidP="0026452D">
      <w:pPr>
        <w:pStyle w:val="TextoNormal"/>
      </w:pPr>
    </w:p>
    <w:p w:rsidR="0026452D" w:rsidRDefault="0026452D" w:rsidP="0026452D">
      <w:pPr>
        <w:pStyle w:val="TextoNormal"/>
      </w:pPr>
      <w:r>
        <w:t>Si bien en la demanda de amparo se interesa únicamente la nulidad de la Sentencia de 2 de diciembre de 2010 de la Sala de lo Penal del Tribunal Supremo, que confirmó la Sentencia de 3 de febrero de 2010 de la Audiencia Provincial de Cádiz, habida cuenta de las vulneraciones constitucionales denunciadas, ambas resoluciones judiciales deben considerarse objeto del presente recurso de amparo, de acuerdo con una reiterada doctrina constitucional según la cual cuando se impugna en amparo una resolución judicial confirmatoria de otra, que ha sido lógica y cronológicamente presupuesto de aquella, ha de entenderse también recurrida la precedente resolución confirmada (STC 81/2000, de 27 de marzo, FJ 1, entre otras muchas).</w:t>
      </w:r>
    </w:p>
    <w:p w:rsidR="0026452D" w:rsidRDefault="0026452D" w:rsidP="0026452D">
      <w:pPr>
        <w:pStyle w:val="TextoNormal"/>
      </w:pPr>
    </w:p>
    <w:p w:rsidR="0026452D" w:rsidRDefault="0026452D" w:rsidP="0026452D">
      <w:pPr>
        <w:pStyle w:val="TextoNormal"/>
      </w:pPr>
      <w:r>
        <w:lastRenderedPageBreak/>
        <w:t>El Ministerio Fiscal solicita en sus alegaciones la inadmisión del presente recurso de amparo y, subsidiariamente, su denegación, en atención a las razones que han quedado reflejadas en los antecedentes de la presente Sentencia.</w:t>
      </w:r>
    </w:p>
    <w:p w:rsidR="0026452D" w:rsidRDefault="0026452D" w:rsidP="0026452D">
      <w:pPr>
        <w:pStyle w:val="TextoNormal"/>
      </w:pPr>
    </w:p>
    <w:p w:rsidR="0026452D" w:rsidRDefault="0026452D" w:rsidP="0026452D">
      <w:pPr>
        <w:pStyle w:val="TextoNormal"/>
      </w:pPr>
      <w:r w:rsidRPr="0026452D">
        <w:rPr>
          <w:rStyle w:val="NumeroAFNegritaCaracter"/>
        </w:rPr>
        <w:t>2</w:t>
      </w:r>
      <w:r>
        <w:t>. A tenor de lo expuesto, debemos pronunciarnos con carácter previo sobre el óbice de admisibilidad aducido por el Ministerio Fiscal, antes de entrar a analizar, en su caso, las quejas planteadas en la demanda de amparo. Para el Fiscal el recurso de amparo debería inadmitirse porque el recurrente no ha cumplido con los requisitos procesales exigidos por el art. 50.1.a) de la Ley Orgánica del Tribunal Constitucional (LOTC). En concreto, a su juicio no satisface debidamente la carga insubsanable consistente en justificar la especial trascendencia constitucional del recurso (art. 49.1 LOTC), que es algo distinto a razonar la existencia de la vulneración de un derecho fundamental y que requiere de una argumentación específica y suficiente (STC 69/2011, de 16 de mayo, FFJJ 2 y 3, entre otras muchas).</w:t>
      </w:r>
    </w:p>
    <w:p w:rsidR="0026452D" w:rsidRDefault="0026452D" w:rsidP="0026452D">
      <w:pPr>
        <w:pStyle w:val="TextoNormal"/>
      </w:pPr>
    </w:p>
    <w:p w:rsidR="0026452D" w:rsidRDefault="0026452D" w:rsidP="0026452D">
      <w:pPr>
        <w:pStyle w:val="TextoNormal"/>
      </w:pPr>
      <w:r>
        <w:t>Pues bien, este óbice ha de ser rechazado, toda vez que el demandante disocia adecuadamente la argumentación tendente a evidenciar la existencia de las lesiones denunciadas y los razonamientos específicamente dirigidos a justificar que el recurso presenta especial trascendencia constitucional (STC 17/2011, de 28 de febrero, FJ 2).</w:t>
      </w:r>
    </w:p>
    <w:p w:rsidR="0026452D" w:rsidRDefault="0026452D" w:rsidP="0026452D">
      <w:pPr>
        <w:pStyle w:val="TextoNormal"/>
      </w:pPr>
    </w:p>
    <w:p w:rsidR="0026452D" w:rsidRDefault="0026452D" w:rsidP="0026452D">
      <w:pPr>
        <w:pStyle w:val="TextoNormal"/>
      </w:pPr>
      <w:r>
        <w:t>Así, la demanda justifica la proyección objetiva del amparo que se solicita exponiendo la necesidad de que este Tribunal fije doctrina respecto de los siguientes extremos: si la manipulación o consulta por parte de la Policía Nacional de la agenda de un teléfono móvil, sin previa autorización judicial, vulnera el derecho a la intimidad, y si la consulta de las llamadas entrantes y salientes, así como el conocimiento de la identidad de los interlocutores, sin autorización judicial, vulnera el derecho al secreto de las comunicaciones, remitiéndose así al supuesto previsto en el apartado a) del fundamento jurídico 2 de la STC 155/2009, de 25 de junio, donde se recoge como uno de los supuestos en que cabe apreciar que el contenido del recurso de amparo justifica una decisión sobre el fondo, en razón de su especial trascendencia constitucional, cuando “plantee un problema o una faceta de un derecho fundamental susceptible de amparo sobre el que no haya doctrina del Tribunal Constitucional”.</w:t>
      </w:r>
    </w:p>
    <w:p w:rsidR="0026452D" w:rsidRDefault="0026452D" w:rsidP="0026452D">
      <w:pPr>
        <w:pStyle w:val="TextoNormal"/>
      </w:pPr>
    </w:p>
    <w:p w:rsidR="0026452D" w:rsidRDefault="0026452D" w:rsidP="0026452D">
      <w:pPr>
        <w:pStyle w:val="TextoNormal"/>
      </w:pPr>
      <w:r>
        <w:t>Este razonamiento dista de ser una mera reproducción retórica de uno de los supuestos previstos en la citada STC 155/2009, por lo que el recurrente satisface debidamente en la demanda la carga “ineludible” e “insubsanable” (STC 69/2011, de 16 de mayo, FJ 2) consistente en justificar la especial trascendencia constitucional del recurso (art. 49.1 LOTC), ya que, efectivamente, como el recurrente alega, este Tribunal no ha fijado doctrina respecto de la eventual vulneración del derecho a la intimidad cuando la policía accede a la agenda de contactos telefónicos de un teléfono móvil sin autorización judicial, por lo que la resolución del presente recurso posee, sin duda, la especial trascendencia constitucional que requiere el art. 50.1 b) LOTC. Conviene advertir que tal problema se hallaba presente en el supuesto de hecho del recurso de amparo, resuelto por la STC 142/2012, de 2 de julio, pero no pudo ser entonces examinado por este Tribunal sino de manera tangencial, dado que, al contrario de lo que ocurre en el presente caso, en aquel supuesto el conocimiento obtenido por los agentes policiales mediante el acceso a la agenda del teléfono móvil del recurrente no resultó relevante como prueba de cargo, en el conjunto de la actividad probatoria valorada por los órganos judiciales para alcanzar su convicción respecto de la culpabilidad del acusado.</w:t>
      </w:r>
    </w:p>
    <w:p w:rsidR="0026452D" w:rsidRDefault="0026452D" w:rsidP="0026452D">
      <w:pPr>
        <w:pStyle w:val="TextoNormal"/>
      </w:pPr>
    </w:p>
    <w:p w:rsidR="0026452D" w:rsidRDefault="0026452D" w:rsidP="0026452D">
      <w:pPr>
        <w:pStyle w:val="TextoNormal"/>
      </w:pPr>
      <w:r w:rsidRPr="0026452D">
        <w:rPr>
          <w:rStyle w:val="NumeroAFNegritaCaracter"/>
        </w:rPr>
        <w:t>3</w:t>
      </w:r>
      <w:r>
        <w:t>. Entrando ya en el examen de los motivos de amparo alegados, el objeto del presente recurso de amparo se concreta en determinar si el acceso por parte de los agentes de la Policía Nacional, sin consentimiento del afectado y sin autorización judicial, a la relación de números telefónicos contenidos en la agenda de contactos telefónicos de un teléfono móvil que fue encontrado por dichos agentes en el lugar de comisión de un delito, vulnera los derechos a la intimidad (art. 18.1 CE) y al secreto de las comunicaciones (art. 18.3 CE) del usuario de dicho aparato de telefonía.</w:t>
      </w:r>
    </w:p>
    <w:p w:rsidR="0026452D" w:rsidRDefault="0026452D" w:rsidP="0026452D">
      <w:pPr>
        <w:pStyle w:val="TextoNormal"/>
      </w:pPr>
    </w:p>
    <w:p w:rsidR="0026452D" w:rsidRDefault="0026452D" w:rsidP="0026452D">
      <w:pPr>
        <w:pStyle w:val="TextoNormal"/>
      </w:pPr>
      <w:r>
        <w:t>Debemos analizar, por tanto, la eventual vulneración de dos derechos fundamentales autónomos y que cuentan con un diferente régimen constitucional de protección. A esos efectos, cabe recordar que este Tribunal ha señalado que si bien, de conformidad con el art. 18.3 CE, la intervención de las comunicaciones (telefónicas, telegráficas, postales o de cualquier otro tipo) requiere siempre de autorización judicial (a menos que medie el consentimiento previo del afectado), el art. 18.1 CE no prevé esa misma garantía respecto del derecho a la intimidad, de modo que se ha admitido la legitimidad constitucional de que en algunos casos y con la suficiente y precisa habilitación legal, la policía realice determinadas prácticas que constituyan una injerencia leve en la intimidad de las personas sin previa autorización judicial (y sin consentimiento del afectado), siempre que se hayan respetado las exigencias dimanantes del principio de proporcionalidad (por todas, SSTC 70/2002, de 3 de abril, FJ 10; 123/2002, de 20 de mayo, FJ 4; 56/2003, de 24 de marzo, FJ 2; 281/2006, de 9 de octubre, FJ 4; y 142/2012, de 2 de julio, FJ 2).</w:t>
      </w:r>
    </w:p>
    <w:p w:rsidR="0026452D" w:rsidRDefault="0026452D" w:rsidP="0026452D">
      <w:pPr>
        <w:pStyle w:val="TextoNormal"/>
      </w:pPr>
    </w:p>
    <w:p w:rsidR="0026452D" w:rsidRDefault="0026452D" w:rsidP="0026452D">
      <w:pPr>
        <w:pStyle w:val="TextoNormal"/>
      </w:pPr>
      <w:r>
        <w:t>Pues bien, y en atención a las alegaciones presentadas, nuestro análisis debe comenzar por la denuncia de la vulneración del derecho al secreto de la comunicaciones (art. 18.3 CE), toda vez que el recurrente sostiene que el acceso policial a la agenda del teléfono móvil cuyo uso se le atribuye se produjo una vez observadas las llamadas efectuadas y recibidas en el móvil intervenido, es decir, tras el acceso por los agentes de la policía, sin previa autorización judicial, a datos derivados de un proceso de comunicación.</w:t>
      </w:r>
    </w:p>
    <w:p w:rsidR="0026452D" w:rsidRDefault="0026452D" w:rsidP="0026452D">
      <w:pPr>
        <w:pStyle w:val="TextoNormal"/>
      </w:pPr>
    </w:p>
    <w:p w:rsidR="0026452D" w:rsidRDefault="0026452D" w:rsidP="0026452D">
      <w:pPr>
        <w:pStyle w:val="TextoNormal"/>
      </w:pPr>
      <w:r>
        <w:t xml:space="preserve">En este sentido, debemos recordar que este Tribunal ha reiterado (entre otras, SSTC 281/2006, de 9 de octubre, FJ 4; 230/2007, de 5 de noviembre, FJ 2; 142/2012, de 2 de julio, FJ 3 y 241/2012, de 17 de diciembre, FJ 4) que el derecho al secreto de las comunicaciones (art. 18.3 CE) consagra tanto la interdicción de la interceptación como el conocimiento antijurídico de las comunicaciones ajenas, por lo que dicho derecho puede resultar vulnerado no sólo por la interceptación en sentido estricto —aprehensión física del soporte del mensaje, con conocimiento o no del mismo, o captación, de otra forma, del proceso de comunicación— sino también por el conocimiento antijurídico de lo comunicado, como puede suceder, sin ánimo de exhaustividad, en los casos de apertura de la correspondencia ajena guardada por su destinatario o de un mensaje emitido por correo electrónico o a través de telefonía móvil. Igualmente se ha destacado que el derecho al secreto de las comunicaciones protege no sólo el contenido de la comunicación, sino también otros aspectos de la misma, como la identidad subjetiva de los interlocutores, por lo que queda afectado por este derecho tanto la entrega de los listados de llamadas telefónicas por las compañías telefónicas como el acceso al registro de llamadas entrantes y salientes grabadas en un teléfono móvil (por todas, SSTC 123/2002, FJ 6; 56/2003, FJ 3; 230/2007, FJ 2; 142/2012, FJ 3; y 241/2012, FJ 4; así como las Sentencias del Tribunal Europeo de Derechos Humanos de 2 de agosto de </w:t>
      </w:r>
      <w:r>
        <w:lastRenderedPageBreak/>
        <w:t xml:space="preserve">1984, caso </w:t>
      </w:r>
      <w:r w:rsidRPr="0026452D">
        <w:rPr>
          <w:i/>
        </w:rPr>
        <w:t>Malone c. Reino Unido</w:t>
      </w:r>
      <w:r>
        <w:t xml:space="preserve">, § 84 y, de 3 de abril de 2007, caso </w:t>
      </w:r>
      <w:r w:rsidRPr="0026452D">
        <w:rPr>
          <w:i/>
        </w:rPr>
        <w:t>Copland c. Reino Unido</w:t>
      </w:r>
      <w:r>
        <w:t>, § 43).</w:t>
      </w:r>
    </w:p>
    <w:p w:rsidR="0026452D" w:rsidRDefault="0026452D" w:rsidP="0026452D">
      <w:pPr>
        <w:pStyle w:val="TextoNormal"/>
      </w:pPr>
    </w:p>
    <w:p w:rsidR="0026452D" w:rsidRDefault="0026452D" w:rsidP="0026452D">
      <w:pPr>
        <w:pStyle w:val="TextoNormal"/>
      </w:pPr>
      <w:r>
        <w:t>Pues bien, en el caso que nos ocupa, y teniendo en cuenta que en el proceso constitucional de amparo debe partirse de la acotación de hechos llevada a cabo por los órganos judiciales (STC 25/2011, de 14 de marzo, FJ 5), acerca de los que en ningún caso entrará a conocer este Tribunal [art. 44.1 b) LOTC], debe destacarse que, atendiendo estrictamente a los hechos declarados probados en las Sentencias impugnadas, resulta que los agentes de policía accedieron a la agenda de direcciones del teléfono móvil que encontraron encendido en el invernadero del que salieron huyendo varias personas tras ser sorprendidas por la irrupción policial, pudiendo comprobar los agentes que dicha agenda telefónica contenía un nombre registrado como “mamá”, correspondiente a un número de teléfono fijo de Cádiz perteneciente a la madre del recurrente en amparo.</w:t>
      </w:r>
    </w:p>
    <w:p w:rsidR="0026452D" w:rsidRDefault="0026452D" w:rsidP="0026452D">
      <w:pPr>
        <w:pStyle w:val="TextoNormal"/>
      </w:pPr>
    </w:p>
    <w:p w:rsidR="0026452D" w:rsidRDefault="0026452D" w:rsidP="0026452D">
      <w:pPr>
        <w:pStyle w:val="TextoNormal"/>
      </w:pPr>
      <w:r>
        <w:t>No estamos, por tanto, ante un supuesto de acceso policial a funciones de un teléfono móvil que pudiesen desvelar procesos comunicativos, lo que requeriría, para garantizar el derecho al secreto de las comunicaciones (art. 18.3 CE), el consentimiento del afectado o la autorización judicial, conforme a la doctrina constitucional antes citada. El acceso policial al teléfono móvil del recurrente se limitó exclusivamente a los datos recogidos en la agenda de contactos telefónicos del terminal —entendiendo por agenda el archivo del teléfono móvil en el que consta un listado de números identificados habitualmente mediante un nombre—, por lo que debe concluirse que dichos datos “no forman parte de una comunicación actual o consumada, ni proporcionan información sobre actos concretos de comunicación pretéritos o futuros” (STC 142/2012, FJ 3), de suerte que no cabe considerar que en el presente caso la actuación de los agentes de la Policía Nacional en el ejercicio de sus funciones de investigación supusiera una injerencia en el ámbito de protección del art. 18.3 CE.</w:t>
      </w:r>
    </w:p>
    <w:p w:rsidR="0026452D" w:rsidRDefault="0026452D" w:rsidP="0026452D">
      <w:pPr>
        <w:pStyle w:val="TextoNormal"/>
      </w:pPr>
    </w:p>
    <w:p w:rsidR="0026452D" w:rsidRDefault="0026452D" w:rsidP="0026452D">
      <w:pPr>
        <w:pStyle w:val="TextoNormal"/>
      </w:pPr>
      <w:r>
        <w:t>En efecto, con el acceso a la agenda de contactos del teléfono móvil del recurrente los agentes de policía no obtuvieron dato alguno concerniente a un proceso de comunicación emitida o recibida mediante dicho aparato, sino únicamente a un listado de números de teléfono introducidos voluntariamente por el usuario del terminal, equiparable a los recogidos en una agenda de teléfonos en soporte de papel (STC 70/2002, FJ 9). Por tanto, “siendo lo determinante para la delimitación del contenido de los derechos fundamentales garantizados por los arts. 18.1 y 18.3 CE … no el tipo de soporte, físico o electrónico, en el que la agenda de contactos esté alojada”, ni “el hecho … de que la agenda sea un aplicación de un terminal telefónico móvil, que es un instrumento de y para la comunicación, sino el carácter de la información a la que se accede” (STC 142/2012, FJ 3), debe descartarse que el derecho al secreto de las comunicaciones (art. 18.3 CE) se haya visto afectado en el presente caso por la actuación policial descrita.</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Así pues, ha de concluirse que el derecho fundamental afectado por el acceso policial a una agenda de contactos de un teléfono móvil, en los términos ya expuestos, es el derecho a la intimidad personal (art. 18.1 CE) y no el derecho al secreto de las comunicaciones </w:t>
      </w:r>
      <w:r w:rsidRPr="0026452D">
        <w:rPr>
          <w:i/>
        </w:rPr>
        <w:t>ex</w:t>
      </w:r>
      <w:r>
        <w:t xml:space="preserve"> art. 18.3 CE (STC 142/2012, FJ 4), por no haberse accedido por los agentes de la Policía Nacional intervinientes a datos de una eventual comunicación telefónica que pudiera haber mediado entre el recurrente y otras personas.</w:t>
      </w:r>
    </w:p>
    <w:p w:rsidR="0026452D" w:rsidRDefault="0026452D" w:rsidP="0026452D">
      <w:pPr>
        <w:pStyle w:val="TextoNormal"/>
      </w:pPr>
    </w:p>
    <w:p w:rsidR="0026452D" w:rsidRDefault="0026452D" w:rsidP="0026452D">
      <w:pPr>
        <w:pStyle w:val="TextoNormal"/>
      </w:pPr>
      <w:r>
        <w:lastRenderedPageBreak/>
        <w:t xml:space="preserve">Distinto sería el caso si, como antes hemos señalado, el acceso policial lo hubiera sido a cualquier otra función del teléfono móvil que pudiera desvelar procesos comunicativos, supuesto en el que tal acceso solo resultaría constitucionalmente legítimo si media consentimiento del propio titular del terminal o autorización judicial, dada la circunstancia indubitada de que un teléfono móvil es un instrumento cuyo fin esencial es la participación en un proceso comunicativo protegido por el derecho al secreto de las comunicaciones </w:t>
      </w:r>
      <w:r w:rsidRPr="0026452D">
        <w:rPr>
          <w:i/>
        </w:rPr>
        <w:t>ex</w:t>
      </w:r>
      <w:r>
        <w:t xml:space="preserve"> art. 18.3 CE, como también advertimos en la citada STC 142/2012, FJ 3. Ahora bien, en las concretas circunstancias concurrentes en el presente caso (como resulta del relato de hechos probados que ha quedado reflejado en los antecedentes de esta resolución) queda descartado que los agentes de policía accedieran a ningún proceso de comunicación, lo que excluye la alegada vulneración del derecho garantizado por el art. 18.3 CE.</w:t>
      </w:r>
    </w:p>
    <w:p w:rsidR="0026452D" w:rsidRDefault="0026452D" w:rsidP="0026452D">
      <w:pPr>
        <w:pStyle w:val="TextoNormal"/>
      </w:pPr>
    </w:p>
    <w:p w:rsidR="0026452D" w:rsidRDefault="0026452D" w:rsidP="0026452D">
      <w:pPr>
        <w:pStyle w:val="TextoNormal"/>
      </w:pPr>
      <w:r>
        <w:t>Por otra parte conviene también reparar en que la versatilidad tecnológica que han alcanzado los teléfonos móviles convierte a estos terminales en herramientas indispensables en la vida cotidiana con múltiples funciones, tanto de recopilación y almacenamiento de datos como de comunicación con terceros (llamadas de voz, grabación de voz, mensajes de texto, acceso a internet y comunicación con terceros a través de internet, archivos con fotos, videos, etc.), susceptibles, según los diferentes supuestos a considerar en cada caso, de afectar no sólo al derecho al secreto de las comunicaciones (art. 18.3 CE), sino también a los derechos al honor, a la intimidad personal y a la propia imagen (art. 18.1 CE), e incluso al derecho a la protección de datos personales (art. 18.4 CE), lo que implica que el parámetro de control a proyectar sobre la conducta de acceso a dicho instrumento deba ser especialmente riguroso, tanto desde la perspectiva de la existencia de norma legal habilitante, incluyendo la necesaria calidad de la ley, como desde la perspectiva de si la concreta actuación desarrollada al amparo de la ley se ha ejecutado respetando escrupulosamente el principio de proporcionalidad.</w:t>
      </w:r>
    </w:p>
    <w:p w:rsidR="0026452D" w:rsidRDefault="0026452D" w:rsidP="0026452D">
      <w:pPr>
        <w:pStyle w:val="TextoNormal"/>
      </w:pPr>
    </w:p>
    <w:p w:rsidR="0026452D" w:rsidRDefault="0026452D" w:rsidP="0026452D">
      <w:pPr>
        <w:pStyle w:val="TextoNormal"/>
      </w:pPr>
      <w:r w:rsidRPr="0026452D">
        <w:rPr>
          <w:rStyle w:val="NumeroAFNegritaCaracter"/>
        </w:rPr>
        <w:t>5</w:t>
      </w:r>
      <w:r>
        <w:t>. Debemos, por tanto, examinar seguidamente, pues la presente es una Sentencia de caso concreto, si en el supuesto que nos ocupa, como también se alega en la demanda de amparo, el acceso policial a la agenda de contactos del teléfono móvil del recurrente sin su consentimiento y sin previa autorización judicial supone una intromisión ilegítima en su derecho a la intimidad (art. 18.1 CE), pues sostiene el recurrente que no concurrían en el presente caso las razones de urgencia, necesidad y proporcionalidad que hubieran podido justificar, conforme a la doctrina constitucional, la injerencia en dicho derecho fundamental.</w:t>
      </w:r>
    </w:p>
    <w:p w:rsidR="0026452D" w:rsidRDefault="0026452D" w:rsidP="0026452D">
      <w:pPr>
        <w:pStyle w:val="TextoNormal"/>
      </w:pPr>
    </w:p>
    <w:p w:rsidR="0026452D" w:rsidRDefault="0026452D" w:rsidP="0026452D">
      <w:pPr>
        <w:pStyle w:val="TextoNormal"/>
      </w:pPr>
      <w:r>
        <w:t xml:space="preserve">Ciertamente, como ya se dijo, el acceso policial limitado a los datos recogidos en el archivo electrónico o agenda de contactos telefónicos de un terminal móvil —sin afectar al registro de llamadas entrantes y salientes, ni a ningún otro archivo o enlace que pudiera contener el terminal móvil— constituye una injerencia en el derecho a la intimidad personal (art. 18.1 CE), al igual que lo es la apertura de una agenda en soporte de papel y la lectura de los papeles encontrados en ella (STC 70/2002, FJ 9), pues la agenda de contactos telefónicos contenida en un teléfono móvil (entendiendo por tal el archivo elaborado por el titular de dicho teléfono que, como también ya hemos dicho, recoge una relación de números telefónicos identificados habitualmente mediante un nombre) ofrece información que pertenece al ámbito privado de su titular, siendo aplicable nuestra doctrina según la cual el art. 18.1 CE garantiza al individuo un ámbito reservado de su vida “vedando que terceros, sean particulares o poderes públicos, decidan cuales sean los lindes de nuestra vida privada, pudiendo cada persona reservarse un espacio resguardado de la curiosidad ajena, sea cual sea </w:t>
      </w:r>
      <w:r>
        <w:lastRenderedPageBreak/>
        <w:t>lo contenido en ese espacio” (SSTC 127/2003, de 30 de junio, FJ 7 y 89/2006, de 27 de marzo, FJ 5, entre otras). La protección de ese ámbito reservado confiere a la persona, así, el poder jurídico de imponer a terceros el deber de abstenerse de toda intromisión en la esfera íntima y la prohibición de hacer uso de lo así conocido (SSTC 196/2004, de 15 de noviembre, FJ 2; 206/2007, de 24 de septiembre, FJ 5; 70/2009, de 23 de marzo, FJ 2; y 241/2012, FJ 3, entre otras muchas).</w:t>
      </w:r>
    </w:p>
    <w:p w:rsidR="0026452D" w:rsidRDefault="0026452D" w:rsidP="0026452D">
      <w:pPr>
        <w:pStyle w:val="TextoNormal"/>
      </w:pPr>
    </w:p>
    <w:p w:rsidR="0026452D" w:rsidRDefault="0026452D" w:rsidP="0026452D">
      <w:pPr>
        <w:pStyle w:val="TextoNormal"/>
      </w:pPr>
      <w:r>
        <w:t>No obstante, también constituye doctrina reiterada de este Tribunal que el derecho a la intimidad no es absoluto —como no lo es ningún derecho fundamental—, pudiendo ceder ante intereses constitucionalmente relevantes, siempre que el límite que aquél haya de experimentar se revele como necesario para lograr un fin constitucionalmente legítimo y sea proporcionado (SSTC 57/1994, de 28 de febrero, FJ 6; 143/1994, de 9 de mayo, FJ 6; 98/2000, de 10 de abril, FJ 5, 186/2000, de 10 de julio, FJ 5; y 156/2001, de 2 de julio, FJ 4).</w:t>
      </w:r>
    </w:p>
    <w:p w:rsidR="0026452D" w:rsidRDefault="0026452D" w:rsidP="0026452D">
      <w:pPr>
        <w:pStyle w:val="TextoNormal"/>
      </w:pPr>
    </w:p>
    <w:p w:rsidR="0026452D" w:rsidRDefault="0026452D" w:rsidP="0026452D">
      <w:pPr>
        <w:pStyle w:val="TextoNormal"/>
      </w:pPr>
      <w:r>
        <w:t>Asimismo hemos señalado, como antes se dijo, que a diferencia de lo que sucede en el caso del derecho garantizado por el art. 18.3 CE, el art. 18.1 CE no prevé la misma garantía de autorización judicial respecto de las intervenciones que afectan al derecho a la intimidad, de modo que excepcionalmente se ha admitido la legitimidad constitucional de que en algunos casos y con la suficiente y precisa habilitación legal, los agentes policiales pueda realizar en el ejercicio de sus funciones de investigación determinadas actuaciones que constituyan una injerencia leve en la intimidad de las personas sin previa autorización judicial (y sin consentimiento del afectado), siempre que se hayan respetado las exigencias dimanantes del principio de proporcionalidad (por todas, SSTC 123/2002, FJ 4; 281/2006, FJ 4;173/2011, FJ 2 y 142/2012, FJ 2).</w:t>
      </w:r>
    </w:p>
    <w:p w:rsidR="0026452D" w:rsidRDefault="0026452D" w:rsidP="0026452D">
      <w:pPr>
        <w:pStyle w:val="TextoNormal"/>
      </w:pPr>
    </w:p>
    <w:p w:rsidR="0026452D" w:rsidRDefault="0026452D" w:rsidP="0026452D">
      <w:pPr>
        <w:pStyle w:val="TextoNormal"/>
      </w:pPr>
      <w:r>
        <w:t>Precisando la anterior doctrina, hemos venido estableciendo como requisitos que proporcionan una justificación constitucional objetiva y razonable a la injerencia policial en el derecho a la intimidad (art. 18.1 CE), los siguientes: a) la existencia de un fin constitucionalmente legítimo, considerando como tal el interés público propio de la prevención e investigación del delito, y, más en concreto, la determinación de hechos relevantes para el proceso penal; b) que la medida limitativa del derecho a la intimidad esté prevista en la ley (principio de legalidad); c) que, en caso de no contar con autorización judicial (o consentimiento del afectado), la actuación policial se atenga a la habilitación legal, teniendo en cuenta que la ley puede autorizar a la policía la práctica de inspecciones, reconocimientos e incluso intervenciones corporales leves, siempre y cuando se respete el principio de proporcionalidad, concretado en tres exigencias o condiciones: idoneidad de la medida, necesidad de la misma y juicio de proporcionalidad en sentido estricto (por todas, STC 173/2011, FJ 2, y la jurisprudencia allí citada).</w:t>
      </w:r>
    </w:p>
    <w:p w:rsidR="0026452D" w:rsidRDefault="0026452D" w:rsidP="0026452D">
      <w:pPr>
        <w:pStyle w:val="TextoNormal"/>
      </w:pPr>
    </w:p>
    <w:p w:rsidR="0026452D" w:rsidRDefault="0026452D" w:rsidP="0026452D">
      <w:pPr>
        <w:pStyle w:val="TextoNormal"/>
      </w:pPr>
      <w:r w:rsidRPr="0026452D">
        <w:rPr>
          <w:rStyle w:val="NumeroAFNegritaCaracter"/>
        </w:rPr>
        <w:t>6</w:t>
      </w:r>
      <w:r>
        <w:t>. Aplicando dicha doctrina al caso que nos ocupa, en orden a valorar la existencia de una justificación objetiva y razonable de la injerencia en el derecho a la intimidad del recurrente, debemos afirmar, en primer lugar, que los agentes de policía actuaron atendiendo a un fin constitucionalmente legítimo, como es el interés público propio de la investigación de un delito y el descubrimiento de los delincuentes, lo que “constituye un bien digno de protección constitucional, a través del cual se defienden otros como la paz social y la seguridad ciudadana, bienes igualmente reconocidos en los arts. 10.1 y 104.1 CE” [SSTC 127/2000, de 16 de mayo, FJ 3 a) y 292/2000, de 30 de noviembre, FJ 9].</w:t>
      </w:r>
    </w:p>
    <w:p w:rsidR="0026452D" w:rsidRDefault="0026452D" w:rsidP="0026452D">
      <w:pPr>
        <w:pStyle w:val="TextoNormal"/>
      </w:pPr>
    </w:p>
    <w:p w:rsidR="0026452D" w:rsidRDefault="0026452D" w:rsidP="0026452D">
      <w:pPr>
        <w:pStyle w:val="TextoNormal"/>
      </w:pPr>
      <w:r>
        <w:t>Ha de subrayarse, además, que la actuación policial se desarrolló en el marco de la comisión de un delito flagrante, un grave delito de tráfico de drogas cuyos autores emprendieron la huida al ser sorprendidos por los agentes de policía, lo que no impidió a éstos la aprehensión de un importante alijo de hachís, así como de un arma de fuego y munición, entre otros efectos, conforme ha quedado expuesto. En este contexto, y en unidad de actuación con la finalidad de averiguar la identidad de los autores, la policía accedió, como ya se ha dicho y quedó probado, sólo a la agenda de contactos de los teléfonos abandonados en lo precipitado de la huida (esto es, a la relación o listín telefónico que sólo contiene nombres y sus correspondientes números de teléfono), lo que facilitó la inmediata identificación, localización, posterior detención y puesta a disposición judicial de las cuatro personas que aparecían como presuntamente responsables del delito contra la salud pública perpetrado, por el que finalmente fueron condenados el recurrente y otro acusado.</w:t>
      </w:r>
    </w:p>
    <w:p w:rsidR="0026452D" w:rsidRDefault="0026452D" w:rsidP="0026452D">
      <w:pPr>
        <w:pStyle w:val="TextoNormal"/>
      </w:pPr>
    </w:p>
    <w:p w:rsidR="0026452D" w:rsidRDefault="0026452D" w:rsidP="0026452D">
      <w:pPr>
        <w:pStyle w:val="TextoNormal"/>
      </w:pPr>
      <w:r>
        <w:t>En segundo término, los agentes policiales actuaron en el presente caso con el apoyo legal que les ofrecen el art. 282 de la Ley de enjuiciamiento criminal, el art. 11.1 de la Ley Orgánica 2/1986, de 13 de marzo, de fuerzas y cuerpos de seguridad, y el art. 14 de la Ley Orgánica 1/1992, de 21 de febrero, sobre protección de la seguridad ciudadana, que conforman “una habilitación legal específica que faculta a la policía para recoger los efectos, instrumentos y pruebas del delito y ponerlos a disposición judicial y para practicar las diligencias necesarias para la averiguación del delito y el descubrimiento del delincuente” (SSTC 70/2002, FJ 10, y 173/2011, de 7 de noviembre, FJ 2). Entre estas diligencias se encuentra la de examinar o acceder al contenido de esos instrumentos o efectos, así como a los documentos o papeles que se le ocupen al detenido, realizando un primer análisis de los mismos, siempre que ello sea necesario de acuerdo con una estricta observancia de los requisitos dimanantes del principio de proporcionalidad (SSTC 70/2002, FJ 10, y 173/2011, FJ 2), extremo este sobre el que luego volveremos.</w:t>
      </w:r>
    </w:p>
    <w:p w:rsidR="0026452D" w:rsidRDefault="0026452D" w:rsidP="0026452D">
      <w:pPr>
        <w:pStyle w:val="TextoNormal"/>
      </w:pPr>
    </w:p>
    <w:p w:rsidR="0026452D" w:rsidRDefault="0026452D" w:rsidP="0026452D">
      <w:pPr>
        <w:pStyle w:val="TextoNormal"/>
      </w:pPr>
      <w:r>
        <w:t>En tal sentido, y ateniéndonos de nuevo estrictamente —como es obligado— al relato de hechos probados de las Sentencias impugnadas en amparo, resulta que los agentes de policía intervinientes, tras sorprender a las personas que se hallaban en el invernadero donde fue aprehendido el alijo superior a media tonelada de hachís (a las que no pudieron detener en ese momento porque se dieron rápidamente a la fuga), procedieron a recoger los efectos, instrumentos y pruebas del delito que encontraron en el lugar de los hechos, entre ellos dos teléfonos móviles encendidos, lo que permitió la identificación del recurrente en amparo como usuario de uno de dichos terminales y, en consecuencia, la inmediata detención del mismo en su domicilio, que se produjo dos o tres horas después de la huida en el invernadero, como se señala en la Sentencia condenatoria (fundamento de Derecho tercero).</w:t>
      </w:r>
    </w:p>
    <w:p w:rsidR="0026452D" w:rsidRDefault="0026452D" w:rsidP="0026452D">
      <w:pPr>
        <w:pStyle w:val="TextoNormal"/>
      </w:pPr>
    </w:p>
    <w:p w:rsidR="0026452D" w:rsidRDefault="0026452D" w:rsidP="0026452D">
      <w:pPr>
        <w:pStyle w:val="TextoNormal"/>
      </w:pPr>
      <w:r>
        <w:t>En tercer lugar, si bien los agentes de policía accedieron a los datos recogidos en la agenda de contactos telefónicos del terminal móvil del recurrente sin autorización judicial (ni tampoco consentimiento del afectado), ya hemos adelantado que tal exigencia se excepciona en los supuestos en que existan razones de necesidad de intervención policial inmediata para la averiguación del delito, el descubrimiento de los delincuentes o la obtención de pruebas incriminatorias, siempre que se respete el principio de proporcionalidad (SSTC 70/2010, FJ 10, y 173/2011, FJ 2, entre otras), como acontece en el presente caso, conforme pasamos seguidamente a exponer.</w:t>
      </w:r>
    </w:p>
    <w:p w:rsidR="0026452D" w:rsidRDefault="0026452D" w:rsidP="0026452D">
      <w:pPr>
        <w:pStyle w:val="TextoNormal"/>
      </w:pPr>
    </w:p>
    <w:p w:rsidR="0026452D" w:rsidRDefault="0026452D" w:rsidP="0026452D">
      <w:pPr>
        <w:pStyle w:val="TextoNormal"/>
      </w:pPr>
      <w:r>
        <w:lastRenderedPageBreak/>
        <w:t xml:space="preserve">En efecto, coincidimos con el Ministerio Fiscal en constatar que en el presente caso el acceso policial a la agenda de contactos de los teléfonos móviles que encontraron encendidos en el lugar de los hechos constituye una diligencia urgente y necesaria para tratar de averiguar la identidad de alguna de las personas que huyeron cuando fueron sorprendidas, </w:t>
      </w:r>
      <w:r w:rsidRPr="0026452D">
        <w:rPr>
          <w:i/>
        </w:rPr>
        <w:t>in fraganti</w:t>
      </w:r>
      <w:r>
        <w:t xml:space="preserve">, custodiando un importante alijo de droga, evitando así que pudieran sustraerse definitivamente a la acción de la Justicia. Concurrían, pues, </w:t>
      </w:r>
      <w:r w:rsidRPr="0026452D">
        <w:rPr>
          <w:i/>
        </w:rPr>
        <w:t>ex ante</w:t>
      </w:r>
      <w:r>
        <w:t xml:space="preserve"> las razones de urgencia y necesidad que legitiman constitucionalmente la intervención policial conforme a nuestra doctrina (STC 70/2002, FJ 10). Razones de urgencia y necesidad que, en este caso, vienen además avaladas por la flagrancia del delito, circunstancia que refuerza la necesidad de intervención inmediata de la Policía Nacional.</w:t>
      </w:r>
    </w:p>
    <w:p w:rsidR="0026452D" w:rsidRDefault="0026452D" w:rsidP="0026452D">
      <w:pPr>
        <w:pStyle w:val="TextoNormal"/>
      </w:pPr>
    </w:p>
    <w:p w:rsidR="0026452D" w:rsidRDefault="0026452D" w:rsidP="0026452D">
      <w:pPr>
        <w:pStyle w:val="TextoNormal"/>
      </w:pPr>
      <w:r>
        <w:t>Por último, y en atención al cumplimiento del requisito de proporcionalidad, con el acceso policial a las agendas de contactos telefónicos de los terminales móviles incautados en el lugar de los hechos —acceso que se limitó a los datos recogidos en dichas agendas, sin afectar a los registros de llamadas, y que no necesitó de ningún tipo de manipulación extraordinaria por parte de los agentes policiales, toda vez que para acceder a las funciones de los terminales móviles no fue necesario introducir contraseña o clave de identificación personal alguna, al hallarse encendidos los teléfonos móviles— se consiguió identificar como usuario de uno de dichos aparatos, y a la postre detener, al recurrente (juicio de idoneidad), detención que se produjo, como queda dicho, a las dos o tres horas de su huida en el invernadero; además, no existía otra medida más moderada para la consecución de tal propósito —la identificación de las personas que huyeron tras ser sorprendidas por la policía en el invernadero donde fue aprehendido el alijo de droga— con igual eficacia, toda vez que gracias a la identificación inmediata del recurrente como usuario de uno de los teléfonos móviles encontrados por los agentes de policía se pudo corroborar su presencia en el lugar de los hechos, así como obtener otras pruebas incriminatorias para fundamentar la convicción judicial sobre su participación en el delito contra la salud pública por el que ha sido condenado (juicio de necesidad); y, finalmente, se trató de una medida ponderada o equilibrada, por derivarse de ella más beneficios o ventajas para el interés general que perjuicios sobre otros bienes o valores en conflicto, dada la naturaleza y gravedad del delito investigado y la leve injerencia que comporta en el derecho a la intimidad del recurrente el examen de la agenda de contactos de su teléfono móvil (juicio de proporcionalidad en sentido estricto).</w:t>
      </w:r>
    </w:p>
    <w:p w:rsidR="0026452D" w:rsidRDefault="0026452D" w:rsidP="0026452D">
      <w:pPr>
        <w:pStyle w:val="TextoNormal"/>
      </w:pPr>
    </w:p>
    <w:p w:rsidR="0026452D" w:rsidRDefault="0026452D" w:rsidP="0026452D">
      <w:pPr>
        <w:pStyle w:val="TextoNormal"/>
      </w:pPr>
      <w:r>
        <w:t>En consecuencia, debemos concluir que el acceso policial a la agenda de contactos telefónicos del terminal móvil, sin el consentimiento del usuario y sin previa autorización judicial, no vulneró el derecho a la intimidad personal (art. 18.1 CE) del recurrente.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Denegar el amparo solicitado por don Moisés Posada Sarmiento.</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lastRenderedPageBreak/>
        <w:t>Dada en Madrid, a nueve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19" w:name="SENTENCIA_2013_116"/>
      <w:r>
        <w:lastRenderedPageBreak/>
        <w:t>SENTENCIA 116/2013, de 20 de mayo de 2013</w:t>
      </w:r>
    </w:p>
    <w:bookmarkEnd w:id="119"/>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145, de 18 de junio de 2013)</w:t>
      </w:r>
    </w:p>
    <w:p w:rsidR="0026452D" w:rsidRDefault="0026452D" w:rsidP="0026452D">
      <w:pPr>
        <w:pStyle w:val="TtuloBOE"/>
      </w:pPr>
    </w:p>
    <w:p w:rsidR="0026452D" w:rsidRDefault="0026452D" w:rsidP="0026452D">
      <w:pPr>
        <w:pStyle w:val="SntesisDescriptiva"/>
      </w:pPr>
      <w:r>
        <w:t>ECLI:ES:TC:2013:116</w:t>
      </w:r>
    </w:p>
    <w:p w:rsidR="0026452D" w:rsidRDefault="0026452D" w:rsidP="0026452D">
      <w:pPr>
        <w:pStyle w:val="SntesisDescriptiva"/>
      </w:pPr>
    </w:p>
    <w:p w:rsidR="0026452D" w:rsidRDefault="0026452D" w:rsidP="0026452D">
      <w:pPr>
        <w:pStyle w:val="SntesisDescriptiva"/>
      </w:pPr>
      <w:r>
        <w:t>Recurso de amparo 1827-2009. Promovido por don César Álvarez de Medina en relación con las Sentencias de un Juzgado de lo Social y del Tribunal Superior de Justicia de Madrid que desestimaron su demanda sobre pensión de jubilación.</w:t>
      </w:r>
    </w:p>
    <w:p w:rsidR="0026452D" w:rsidRDefault="0026452D" w:rsidP="0026452D">
      <w:pPr>
        <w:pStyle w:val="SntesisDescriptiva"/>
      </w:pPr>
    </w:p>
    <w:p w:rsidR="0026452D" w:rsidRDefault="0026452D" w:rsidP="0026452D">
      <w:pPr>
        <w:pStyle w:val="SntesisAnaltica"/>
      </w:pPr>
      <w:r>
        <w:t>Vulneración del derecho a la igualdad en la ley: STC 61/2013 (determinación de los períodos de cotización de las prestaciones de Seguridad Social computando exclusivamente las horas trabajadas, en perjuicio de las trabajadoras a tiempo parcial).</w:t>
      </w:r>
    </w:p>
    <w:p w:rsidR="0026452D" w:rsidRDefault="0026452D" w:rsidP="0026452D">
      <w:pPr>
        <w:pStyle w:val="SntesisAnaltica"/>
      </w:pPr>
    </w:p>
    <w:p w:rsidR="0026452D" w:rsidRDefault="0026452D" w:rsidP="0026452D">
      <w:pPr>
        <w:pStyle w:val="Extracto"/>
      </w:pPr>
      <w:r>
        <w:t>1.</w:t>
      </w:r>
      <w:r>
        <w:tab/>
        <w:t>Aplica la STC 61/2013 que declaró la inconstitucionalidad de la regla de cálculo de los periodos de cotización necesarios para causar derecho a las prestaciones de Seguridad Social aplicable a los trabajadores contratados a tiempo parcial [FJ 4].</w:t>
      </w:r>
    </w:p>
    <w:p w:rsidR="0026452D" w:rsidRDefault="0026452D" w:rsidP="0026452D">
      <w:pPr>
        <w:pStyle w:val="Extracto"/>
      </w:pPr>
    </w:p>
    <w:p w:rsidR="0026452D" w:rsidRDefault="0026452D" w:rsidP="0026452D">
      <w:pPr>
        <w:pStyle w:val="Extracto"/>
      </w:pPr>
      <w:r>
        <w:t>2.</w:t>
      </w:r>
      <w:r>
        <w:tab/>
        <w:t>Las diferencias de trato en el cómputo de los períodos de carencia que experimentan los trabajadores a tiempo parcial respecto a los trabajadores a jornada completa se encuentran desprovistas de una justificación razonable que guarde la debida proporcionalidad entre la medida adoptada, el resultado producido y la finalidad pretendida, por lo que hemos de declarar que la norma cuestionada vulnera el art. 14 CE, tanto por lesionar el derecho a la igualdad, como también, a la vista de su predominante incidencia sobre el empleo femenino, por provocar una discriminación indirecta por razón de sexo (SSTC 61/2013, 72/2013) [FJ 4].</w:t>
      </w:r>
    </w:p>
    <w:p w:rsidR="0026452D" w:rsidRDefault="0026452D" w:rsidP="0026452D">
      <w:pPr>
        <w:pStyle w:val="Extracto"/>
      </w:pPr>
    </w:p>
    <w:p w:rsidR="0026452D" w:rsidRDefault="0026452D" w:rsidP="0026452D">
      <w:pPr>
        <w:pStyle w:val="Extracto"/>
      </w:pPr>
      <w:r>
        <w:t>3.</w:t>
      </w:r>
      <w:r>
        <w:tab/>
        <w:t>Las reglas que acompañan a la previsión cuestionada en relación con el cómputo de los períodos de cotización en los contratos a tiempo parcial para causar derecho a una prestación de jubilación no permiten superar los parámetros de justificación y proporcionalidad exigidos por el art. 14 CE, dado que las medidas de corrección en su momento introducidas no consiguen evitar los resultados especialmente gravosos y desmesurados a que la norma puede conducir (SSTC 61/2013, 72/2013) [FJ 4].</w:t>
      </w:r>
    </w:p>
    <w:p w:rsidR="0026452D" w:rsidRDefault="0026452D" w:rsidP="0026452D">
      <w:pPr>
        <w:pStyle w:val="Extracto"/>
      </w:pPr>
    </w:p>
    <w:p w:rsidR="0026452D" w:rsidRDefault="0026452D" w:rsidP="0026452D">
      <w:pPr>
        <w:pStyle w:val="Extracto"/>
      </w:pPr>
      <w:r>
        <w:t>4.</w:t>
      </w:r>
      <w:r>
        <w:tab/>
        <w:t>Doctrina sobre la justificación de la especial trascendencia constitucional del recurso de amparo (AATC 4/2010, 154/2010; SSTC 155/2009, 2/2013) [FJ 3].</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lastRenderedPageBreak/>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1827-2009, promovido por don César Álvarez de Medina, licenciado en Derecho que actúa en defensa propia y está representado por la Procuradora de los Tribunales doña Blanca Berriatua Horta, contra la Sentencia de la Sala de lo Social del Tribunal Superior de Justicia de Madrid, de 22 de diciembre de 2008, que desestima el recurso de suplicación (núm. 2002-2008) formulado frente a la Sentencia del Juzgado de lo Social núm. 18 de Madrid, de 22 de noviembre de 2007, recaída en los autos núm. 662-2007 sobre Seguridad Social. Ha sido parte el Instituto Nacional de la Seguridad Social. Ha intervenido el Ministerio Fiscal. Ha sido Ponente la Magistrada doña Adela Asua Batarrita,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26 de febrero de 2009, la Procuradora de los Tribunales doña Blanca Berriatua Horta, en nombre y representación de don César Álvarez de Medina, interpuso recurso de amparo contra las resoluciones judiciales referidas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que se fundamenta la demanda de amparo son sucintamente expuestos los siguientes:</w:t>
      </w:r>
    </w:p>
    <w:p w:rsidR="0026452D" w:rsidRDefault="0026452D" w:rsidP="0026452D">
      <w:pPr>
        <w:pStyle w:val="TextoNormal"/>
      </w:pPr>
    </w:p>
    <w:p w:rsidR="0026452D" w:rsidRDefault="0026452D" w:rsidP="0026452D">
      <w:pPr>
        <w:pStyle w:val="TextoNormal"/>
      </w:pPr>
      <w:r>
        <w:t>a) El recurrente en amparo solicitó a la dirección provincial del Instituto Nacional de la Seguridad Social (INSS) de Madrid pensión de jubilación, que le fue denegada por medio de resolución de 9 de marzo de 2007 (confirmada por resolución de 31 de mayo de 2007) por no reunir el periodo mínimo de cotización de 15 años, al acreditar sólo 2028 días por haber prestado servicios a tiempo parcial. Con la aplicación de los coeficientes correctores establecidos en la disposición adicional séptima de la Ley general de la Seguridad Social, en la redacción dada a la misma por el Real Decreto-ley 15/1998, de 27 de noviembre (en adelante, LGSS) y en el Real Decreto 1131/2002, de 31 de octubre, dichos días de cotización se convirtieron en 3.465 días, resultando insuficientes para el acceso a la pensión solicitada.</w:t>
      </w:r>
    </w:p>
    <w:p w:rsidR="0026452D" w:rsidRDefault="0026452D" w:rsidP="0026452D">
      <w:pPr>
        <w:pStyle w:val="TextoNormal"/>
      </w:pPr>
    </w:p>
    <w:p w:rsidR="0026452D" w:rsidRDefault="0026452D" w:rsidP="0026452D">
      <w:pPr>
        <w:pStyle w:val="TextoNormal"/>
      </w:pPr>
      <w:r>
        <w:t>b) Frente a las anteriores resoluciones administrativas, el recurrente formuló demanda que fue desestimada por Sentencia del Juzgado de lo Social núm. 18 de Madrid, de 22 de noviembre de 2007 (autos núm. 662-2007), que confirmó la decisión denegatoria de la pensión acordada por el INSS por la falta de acreditación del período mínimo de cotización de 15 años.</w:t>
      </w:r>
    </w:p>
    <w:p w:rsidR="0026452D" w:rsidRDefault="0026452D" w:rsidP="0026452D">
      <w:pPr>
        <w:pStyle w:val="TextoNormal"/>
      </w:pPr>
    </w:p>
    <w:p w:rsidR="0026452D" w:rsidRDefault="0026452D" w:rsidP="0026452D">
      <w:pPr>
        <w:pStyle w:val="TextoNormal"/>
      </w:pPr>
      <w:r>
        <w:t xml:space="preserve">c) Contra la citada resolución judicial el actor formuló recurso de suplicación (núm. 2002-2008) en el que aducía que la disposición adicional séptima LGSS, en la que se apoyaron tanto el INSS como la Sentencia de instancia para denegarle la pensión, vulneraba el </w:t>
      </w:r>
      <w:r>
        <w:lastRenderedPageBreak/>
        <w:t>art. 14 CE al discriminar a los trabajadores a tiempo parcial en relación con los trabajadores a tiempo completo.</w:t>
      </w:r>
    </w:p>
    <w:p w:rsidR="0026452D" w:rsidRDefault="0026452D" w:rsidP="0026452D">
      <w:pPr>
        <w:pStyle w:val="TextoNormal"/>
      </w:pPr>
    </w:p>
    <w:p w:rsidR="0026452D" w:rsidRDefault="0026452D" w:rsidP="0026452D">
      <w:pPr>
        <w:pStyle w:val="TextoNormal"/>
      </w:pPr>
      <w:r>
        <w:t>d) El recurso de suplicación fue desestimado por Sentencia de la Sala de lo Social del Tribunal Superior de Justicia de Madrid, de 22 de diciembre de 2008, al declarar que, aun cuando se abrigaban dudas acerca de que la regulación en cuestión pudiera implicar una discriminación indirecta por razón de sexo, había que descartarla en el caso de autos en tanto que se trataría, en todo caso, de una desigualdad por la duración del contrato de trabajo y no por razón de sexo, lo que tenía una relevancia inferior desde la perspectiva constitucional. En definitiva, se entiende que la actual desigualdad de trato en el conjunto carencial entre el trabajador a tiempo completo y el que lo es a tiempo parcial, resulta proporcional a las circunstancias productivas de unos y otros, y no puede reputarse, por ello, discriminatorio.</w:t>
      </w:r>
    </w:p>
    <w:p w:rsidR="0026452D" w:rsidRDefault="0026452D" w:rsidP="0026452D">
      <w:pPr>
        <w:pStyle w:val="TextoNormal"/>
      </w:pPr>
    </w:p>
    <w:p w:rsidR="0026452D" w:rsidRDefault="0026452D" w:rsidP="0026452D">
      <w:pPr>
        <w:pStyle w:val="TextoNormal"/>
      </w:pPr>
      <w:r w:rsidRPr="0026452D">
        <w:rPr>
          <w:rStyle w:val="NumeroAFNegritaCaracter"/>
        </w:rPr>
        <w:t>3</w:t>
      </w:r>
      <w:r>
        <w:t>. El recurrente en amparo impugna la Sentencia de la Sala de lo Social del Tribunal Superior de Justicia de Madrid, de 22 de diciembre de 2008, que confirmó la Sentencia de instancia que desestimó su demanda en solicitud de pensión de jubilación. Se considera vulnerado el derecho a la tutela judicial efectiva (art. 24.1 CE) por haberse desestimado su pretensión en base a la aplicación de la disposición adicional séptima LGSS que se considera contraria al art. 14 CE, en la medida en que discrimina a los trabajadores a tiempo parcial respecto de los trabajadores a tiempo completo en el cómputo de los periodos cotizados para el acceso a la pensión de jubilación. Se apoya el recurrente en el contenido de diversas Sentencias de este Tribunal, en particular, en la STC 253/2004 que declaró inconstitucional y nulo el art. 12.4 de la Ley del estatuto de los trabajadores (LET), según la redacción dada por el texto refundido aprobado por el Real Decreto Legislativo 1/1995, de 24 de marzo, que contenía la regulación precedente a la que ahora se cuestiona en materia de cómputo de los periodos cotizados por los trabajadores a tiempo parcial. También se apoya la demanda de amparo en los argumentos utilizados en el Auto de 8 de enero de 2007 dictado por la Sala de lo Social del Tribunal Superior de Justicia de Murcia planteando cuestión de inconstitucionalidad sobre la citada disposición adicional (cuestión de inconstitucionalidad núm. 763-2007). En definitiva, el recurrente en amparo sostiene que la nueva regulación contenida en la disposición adicional séptima, como sucedía en la normativa precedente declarada inconstitucional por la STC 253/2004 sigue siendo insuficiente y vulneradora del principio de igualdad y prohibición de discriminación (art. 14 CE), y contradice lo declarado en aquella Sentencia, al mantener el principio de cómputo exclusivo de las horas efectivamente trabajadas con referencia a la jornada anual de 1.826 horas. Finalmente, se alega que la Sentencia recurrida habría vulnerado también el art. 9.2 y 3 CE en relación al principio de interdicción de la arbitrariedad, al producirse una desigualdad de trato entre las personas según que el hecho causante de la prestación sea anterior o posterior a una determinada fecha.</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7 de septiembre de 2009, la Sala Primera de este Tribunal acordó la admisión a trámite de la demanda de amparo y, a tenor de lo dispuesto en el art. 51 de la Ley Orgánica del Tribunal Constitucional (LOTC), requerir a los órganos judiciales para que en el plazo de diez días remitieran testimonio de las actuaciones respectivas, interesándose al propio tiempo el emplazamiento de quienes fueron parte en el procedimiento, a excepción del recurrente, ya personado, para que pudieran comparecer en el plazo de diez días en este proceso constitucional, con traslado a dichos efectos de copia de la demanda de amparo.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5</w:t>
      </w:r>
      <w:r>
        <w:t>. Por escrito registrado en este Tribunal el día 13 de octubre de 2009 el Letrado de la Administración de la Seguridad Social se personó en el presente recurso de amparo, en la representación del INSS que legalmente ostenta.</w:t>
      </w:r>
    </w:p>
    <w:p w:rsidR="0026452D" w:rsidRDefault="0026452D" w:rsidP="0026452D">
      <w:pPr>
        <w:pStyle w:val="TextoNormal"/>
      </w:pPr>
    </w:p>
    <w:p w:rsidR="0026452D" w:rsidRDefault="0026452D" w:rsidP="0026452D">
      <w:pPr>
        <w:pStyle w:val="TextoNormal"/>
      </w:pPr>
      <w:r w:rsidRPr="0026452D">
        <w:rPr>
          <w:rStyle w:val="NumeroAFNegritaCaracter"/>
        </w:rPr>
        <w:t>6</w:t>
      </w:r>
      <w:r>
        <w:t>. Mediante diligencia de ordenación de 17 de noviembre de 2009 del Secretario de Justicia de la Sala Primera se tuvieron por recibidos los testimonios de las actuaciones remitidos por los órganos judiciales y por personado el Letrado de la Administración de la Seguridad Social, procediéndose asimismo, conforme a lo establecido en el art. 52.1 LOTC, a dar vista de las actuaciones por plazo común de veinte días al Ministerio Fiscal, al Letrado de la Administración de la Seguridad Social y a la representación procesal del recurrente para presentar las alegaciones que estimasen pertinentes.</w:t>
      </w:r>
    </w:p>
    <w:p w:rsidR="0026452D" w:rsidRDefault="0026452D" w:rsidP="0026452D">
      <w:pPr>
        <w:pStyle w:val="TextoNormal"/>
      </w:pPr>
    </w:p>
    <w:p w:rsidR="0026452D" w:rsidRDefault="0026452D" w:rsidP="0026452D">
      <w:pPr>
        <w:pStyle w:val="TextoNormal"/>
      </w:pPr>
      <w:r w:rsidRPr="0026452D">
        <w:rPr>
          <w:rStyle w:val="NumeroAFNegritaCaracter"/>
        </w:rPr>
        <w:t>7</w:t>
      </w:r>
      <w:r>
        <w:t>. El Ministerio Fiscal presentó en este Tribunal su escrito de alegaciones con fecha de registro de 29 de diciembre de 2009. En primer término, interesa la desestimación del recurso por razón de la falta de cumplimiento del requisito exigido en los arts. 49.1 inciso final y 50.1 b) LOTC relativos a la necesidad de justificar la especial trascendencia constitucional del recurso, dado que en la demanda de amparo falta toda referencia al respecto. Subsidiariamente, y con relación ya al fondo del asunto, se parte de que el contrato a tiempo parcial y las consecuencias anudadas al mismo, como es el particular sistema de protección que dispensa la Seguridad Social, poseen una específica justificación y, así, puede afirmarse que en esta concreta modalidad de contratación simplemente se instaura un sistema diverso de cómputo temporal que aparece sustentado en circunstancias objetivas. En este sentido, se señala que la finalidad perseguida por la diferencia de trato no es otra que el equilibrio económico del sistema de la Seguridad Social, esto es, su viabilidad, estableciendo requisitos adaptados a las peculiares características de las respectivas modalidades contractuales e instaurando reglas proporcionales que atiendan al tiempo efectivamente trabajado para completar el periodo mínimo de carencia exigido en cada caso. Se añade que la STC 253/2004, antecedente invocado por el actor, declaró la inconstitucionalidad del art. 12.4 LET en tanto que preveía la aplicación de una regla excesivamente rígida, cual era la de la exigencia de un periodo de carencia exactamente igual para el trabajo a tiempo completo y el trabajo a tiempo parcial. La citada Sentencia justificó su decisión en base al principio de proporcionalidad, y es en esa proporcionalidad en la que se asienta la actual regulación relativa a la cotización de los trabajadores contratados a tiempo parcial, al sustentarse en la aplicación de días teóricos de cotización y de un coeficiente multiplicador para facilitar el acceso a la protección de los trabajadores que prestan sus servicios a tiempo parcial. Finalmente, el Fiscal niega que las Sentencias citadas por el recurrente (SSTC 253/2004 y 50/2005) puedan constituir un apoyo argumental para la tesis sostenida por el recurrente porque, de un lado, ambas tomaron como referencia la normativa anterior contenida en el art. 12.4 LET, y, de otro lado, lo relevante fue entonces la consideración de la discriminación por razón de sexo que provocaba. En definitiva, se termina diciendo que no puede afirmarse que lo resuelto por los órganos judiciales vulnere el art. 14 CE, ya que no se ha producido una consecuencia desproporcionada desde la perspectiva del derecho de igualdad, al tratarse de supuestos distintos: trabajo a tiempo completo y trabajo a tiempo parcial.</w:t>
      </w:r>
    </w:p>
    <w:p w:rsidR="0026452D" w:rsidRDefault="0026452D" w:rsidP="0026452D">
      <w:pPr>
        <w:pStyle w:val="TextoNormal"/>
      </w:pPr>
    </w:p>
    <w:p w:rsidR="0026452D" w:rsidRDefault="0026452D" w:rsidP="0026452D">
      <w:pPr>
        <w:pStyle w:val="TextoNormal"/>
      </w:pPr>
      <w:r w:rsidRPr="0026452D">
        <w:rPr>
          <w:rStyle w:val="NumeroAFNegritaCaracter"/>
        </w:rPr>
        <w:t>8</w:t>
      </w:r>
      <w:r>
        <w:t>. La representación procesal de la parte recurrente y el Letrado de la Administración de la Seguridad Social en representación del INSS no han presentado alegaciones.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9</w:t>
      </w:r>
      <w:r>
        <w:t>. Por providencia de 4 de febrero de 2010 de la Sala Primera se acuerda dejar pendiente de resolución el recurso de amparo núm. 1827-2009 promovido por César Álvarez de Medina, habida cuenta de que la queja que en dicho recurso se fundamenta ha sido ya planteada ante este Tribunal mediante cuatro cuestiones de inconstitucionalidad admitidas a trámite y pendientes de Sentencia (cuestiones núm. 5862-2003, 9157-2006, 763-2007 y 9020-2007).</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16 de mayo de 2013 se acordó señalar para deliberación y votación de la presente Sentencia el día 20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Como ha quedado expuesto en los antecedentes de esta Sentencia, el recurrente en amparo, trabajador a tiempo parcial, aduce la vulneración del art. 24.1 CE por la Sentencia de la Sala de lo Social del Tribunal Superior de Justicia de Madrid que confirmó la decisión del Instituto Nacional de la Seguridad Social (INSS) denegatoria de su pensión de jubilación por no reunir el periodo mínimo de cotización de quince años. Sostiene que la norma aplicada al caso, esto es, la regla segunda de la disposición adicional séptima de la Ley general de la Seguridad Social, texto refundido aprobado por Real Decreto Legislativo 1/1994, de 20 de junio, en la redacción dada por el Real Decreto-ley 15/1998, de 27 de noviembre (LGSS), resulta contraria al art. 14 CE en la medida en que discrimina, en el cómputo de los periodos de cotización para el acceso a la pensión de jubilación, a los trabajadores a tiempo parcial respecto a los trabajadores a tiempo completo. En este sentido, alega que, aun cuando es cierto que la norma aplicable al caso corrige en parte la rigidez de la precedente —que fue declarada inconstitucional y nula por la STC 253/2004, de 22 de diciembre—, al atenuar la regla de la proporcionalidad estricta mediante la aplicación de un coeficiente multiplicador, tal corrección no es completa y sigue dando lugar a situaciones de desprotección, como ocurre precisamente en su caso. En definitiva, aunque la parte alega en su recurso la vulneración del art. 24.1 CE, lo es sólo en la medida en que en la vía judicial no se ha llegado a reconocer la vulneración del art. 14 CE que se reprocha a las resoluciones administrativas denegatorias de su pretensión y cuya revocación se pretendía.</w:t>
      </w:r>
    </w:p>
    <w:p w:rsidR="0026452D" w:rsidRDefault="0026452D" w:rsidP="0026452D">
      <w:pPr>
        <w:pStyle w:val="TextoNormal"/>
      </w:pPr>
    </w:p>
    <w:p w:rsidR="0026452D" w:rsidRDefault="0026452D" w:rsidP="0026452D">
      <w:pPr>
        <w:pStyle w:val="TextoNormal"/>
      </w:pPr>
      <w:r>
        <w:t>El Ministerio Fiscal, por su parte, se opone al otorgamiento del amparo, tanto por entender que concurre un óbice procesal como lo es la falta de justificación de la especial trascendencia constitucional exigida en los arts. 49.1 inciso final y 50.1 b) de la Ley Orgánica del Tribunal Constitucional (LOTC), a la que no se habría hecho referencia en el recurso, como por considerar que no concurre la alegada vulneración del art. 14 CE, toda vez que las resoluciones impugnadas habrían aplicado correctamente al caso el nuevo sistema de cómputo del período de cotización de los trabajadores a tiempo parcial para causar derecho a las pensiones de jubilación e invalidez permanente establecido en la disposición adicional séptima LGSS, regulación que superaría, a su entender, los defectos de inconstitucionalidad apreciados por la citada STC 253/2004 en la normativa precedente y respondería a la finalidad constitucionalmente legítima de asegurar el principio contributivo que informa el sistema español de seguridad social.</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Ante todo, interesa poner de relieve en este momento que, aunque el recurrente en amparo sólo impugna la citada Sentencia del Tribunal Superior de Justicia de Madrid, el </w:t>
      </w:r>
      <w:r>
        <w:lastRenderedPageBreak/>
        <w:t>recurso ha de entenderse también dirigido frente a la Sentencia del Juzgado de lo Social núm. 18 de Madrid, de 22 de noviembre de 2007, y frente a las resoluciones de la dirección provincial de Madrid del INSS de 9 de marzo y 31 de mayo de 2007, al haber resultado todas ellas confirmadas por aquella Sentencia recaída en sede de suplicación. En efecto, este Tribunal tiene declarado que cuando se impugna una resolución judicial confirmatoria de otras resoluciones anteriores, sean administrativas o judiciales, que han sido lógica y cronológicamente presupuesto de aquella, han de considerarse también recurridas las precedentes decisiones confirmadas, aunque no lo hayan sido expresamente en el recurso (por todas, SSTC 182/1990, de 15 de noviembre, FJ 2; 20/2001, de 29 de enero, FJ 7; y 119/2012, de 4 de junio, FJ 1).</w:t>
      </w:r>
    </w:p>
    <w:p w:rsidR="0026452D" w:rsidRDefault="0026452D" w:rsidP="0026452D">
      <w:pPr>
        <w:pStyle w:val="TextoNormal"/>
      </w:pPr>
    </w:p>
    <w:p w:rsidR="0026452D" w:rsidRDefault="0026452D" w:rsidP="0026452D">
      <w:pPr>
        <w:pStyle w:val="TextoNormal"/>
      </w:pPr>
      <w:r w:rsidRPr="0026452D">
        <w:rPr>
          <w:rStyle w:val="NumeroAFNegritaCaracter"/>
        </w:rPr>
        <w:t>3</w:t>
      </w:r>
      <w:r>
        <w:t>. Con carácter previo al examen de fondo de la queja formulada, debemos ahora comprobar si, como plantea el Ministerio Fiscal, procede la inadmisión del recurso de amparo a tenor de lo dispuesto en el art. 50.1 a), en relación con el art. 49.1, ambos de la Ley Orgánica del Tribunal Constitucional, por no haber satisfecho la recurrente la carga que le incumbía de justificar la especial trascendencia constitucional del recurso. Este análisis no resulta impedido por el momento procesal en el que nos encontramos. Según doctrina reiterada de este Tribunal, los defectos de que pudiera estar afectado el recurso de amparo no resultan sanados porque la demanda haya sido inicialmente admitida a trámite. Por consiguiente, los presupuestos para la viabilidad del recurso pueden reconsiderarse en la Sentencia, de oficio o a instancia de parte, dando lugar, en su caso, a un pronunciamiento de inadmisión (por todas, SSTC 44/2011, de 11 de abril, FJ 2; 176/2012, de 15 de octubre, FJ 3; y 11/2013, de 28 de enero, FJ 2). Este criterio rige también, naturalmente, cuando, como en el presente caso, se trata de verificar si el demandante ha cumplido con la carga de justificar la especial trascendencia constitucional (SSTC 69/2011, de 16 de mayo, FJ 2; 143/2011, de 26 de septiembre, FJ 2; y 178/2012, de 15 de octubre, FJ 2).</w:t>
      </w:r>
    </w:p>
    <w:p w:rsidR="0026452D" w:rsidRDefault="0026452D" w:rsidP="0026452D">
      <w:pPr>
        <w:pStyle w:val="TextoNormal"/>
      </w:pPr>
    </w:p>
    <w:p w:rsidR="0026452D" w:rsidRDefault="0026452D" w:rsidP="0026452D">
      <w:pPr>
        <w:pStyle w:val="TextoNormal"/>
      </w:pPr>
      <w:r>
        <w:t xml:space="preserve">El examen de esta causa de inadmisión debe partir de que el recurrente ha de satisfacer necesariamente, de acuerdo con lo dispuesto en el art. 49.1 </w:t>
      </w:r>
      <w:r w:rsidRPr="0026452D">
        <w:rPr>
          <w:i/>
        </w:rPr>
        <w:t>in fine</w:t>
      </w:r>
      <w:r>
        <w:t xml:space="preserve"> LOTC, la carga de justificar en la demanda la especial trascendencia constitucional del recurso. Este requisito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17/2011, de 28 de febrero, FJ 2; 69/2011, de 16 de mayo, FJ 3; 178/2012, de 15 de octubre, FJ 3; y 2/2013, de 14 de enero, FJ 3). Su ausencia es insubsanable toda vez que “la interposición del recurso de amparo está sujeta a plazos de caducidad preclusivos, que no pueden ser reabiertos para dar cumplimiento a un requisito que afecta directamente a la determinación misma de la pretensión deducida en el recurso de amparo” (por todas, STC 2/2013, de 14 de enero, FJ 3; y ATC 188/2008, de 21 de julio, FJ 3).</w:t>
      </w:r>
    </w:p>
    <w:p w:rsidR="0026452D" w:rsidRDefault="0026452D" w:rsidP="0026452D">
      <w:pPr>
        <w:pStyle w:val="TextoNormal"/>
      </w:pPr>
    </w:p>
    <w:p w:rsidR="0026452D" w:rsidRDefault="0026452D" w:rsidP="0026452D">
      <w:pPr>
        <w:pStyle w:val="TextoNormal"/>
      </w:pPr>
      <w:r>
        <w:t xml:space="preserve">Para satisfacer esta exigencia, la demanda de amparo no tiene que ajustarse a un modelo rígido, pero sí responder a los “cánones propios de este tipo de escritos procesales” (STC 17/2011, de 28 de febrero, FJ 2) y “tener en cuenta las precisiones que, con relación a esa específica carga, ha ido efectuando este Tribunal a través de diversas resoluciones que despejan las posibles dudas sobre el modo en el que se tiene que hacer efectiva” (STC 69/2011, de 16 de mayo, FJ 3). En particular, la STC 155/2009, de 25 de junio, FJ 2, avanzó en la </w:t>
      </w:r>
      <w:r>
        <w:lastRenderedPageBreak/>
        <w:t>interpretación del art. 50.1 b) LOTC, identificando una serie no exhaustiva de casos en que “cabe apreciar que el contenido del recurso de amparo justifica una decisión sobre el fondo en razón de su especial trascendencia constitucional”. Hemos precisado también que la carga de justificar esta especial trascendencia consiste en un “esfuerzo argumental” (ATC 154/2010, de 15 de noviembre, FJ 4) que ponga en conexión las vulneraciones constitucionales alegadas con los criterios del art. 50.1 b) LOTC, explicitando la “proyección objetiva del amparo solicitado” y traduciendo en el plano formal (art. 49.1 LOTC) la exigencia material de la especial trascendencia constitucional del asunto (ATC 264/2009, de 16 de noviembre, FJ único). Por esta razón, no basta razonar la existencia de la vulneración de un derecho fundamental,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26452D" w:rsidRDefault="0026452D" w:rsidP="0026452D">
      <w:pPr>
        <w:pStyle w:val="TextoNormal"/>
      </w:pPr>
    </w:p>
    <w:p w:rsidR="0026452D" w:rsidRDefault="0026452D" w:rsidP="0026452D">
      <w:pPr>
        <w:pStyle w:val="TextoNormal"/>
      </w:pPr>
      <w:r>
        <w:t>No obstante, este Tribunal, a fin de evitar un excesivo formalismo, ha aplicado un criterio de flexibilidad para valorar las demandas de amparo anteriores a la publicación en el “Boletín Oficial del Estado” de 28 de julio de 2009 de la STC 155/2009, de 25 de junio, que acotó el perfil abierto del concepto de “especial trascendencia constitucional” y, con ello, facilitó a los recurrentes el cumplimiento de la carga justificativa que les exige el art. 49.1 LOTC tras la entrada en vigor de la Ley Orgánica 6/2007, de 24 de mayo. En este sentido, hemos tenido en cuenta, al valorar el cumplimiento de la carga de justificación antedicha, la fecha de la interposición de la demanda en los AATC 4/2010 y 5/2010, de 14 de enero, y en posteriores Sentencias como las SSTC 95/2010, de 15 de noviembre y 15/2011, de 28 de febrero. Ahora bien, como igualmente hemos advertido, la aplicación de tal criterio flexible no puede conducir a desvirtuar el requisito o suponer una excepción del deber de cumplimiento de la carga justificativa que pesa sobre el recurrente (STC 143/2011, de 26 de septiembre, FJ 2).</w:t>
      </w:r>
    </w:p>
    <w:p w:rsidR="0026452D" w:rsidRDefault="0026452D" w:rsidP="0026452D">
      <w:pPr>
        <w:pStyle w:val="TextoNormal"/>
      </w:pPr>
    </w:p>
    <w:p w:rsidR="0026452D" w:rsidRDefault="0026452D" w:rsidP="0026452D">
      <w:pPr>
        <w:pStyle w:val="TextoNormal"/>
      </w:pPr>
      <w:r>
        <w:t xml:space="preserve">Centrándonos ya en el caso de autos, y a la vista de la fecha en la que se interpuso la demanda de amparo (esto es, con anterioridad a la publicación de la STC 155/2009) se hace preciso atemperar el rigor de la valoración relativa a la satisfacción de la carga de justificar la especial trascendencia constitucional. Atendiendo a las alegaciones que contiene la demanda se comprueba que el recurrente argumenta la vulneración del art. 24.1 CE al considerar que los órganos judiciales han aplicado al caso una norma que contraviene el art. 14 CE por permitir una desigualdad de trato y una discriminación entre trabajadores a tiempo completo y a tiempo parcial en materia de cotización para el cálculo de las pensiones de la Seguridad Social. Pues bien, los razonamientos efectuados por el recurrente a este respecto permiten conectar materialmente la alegada lesión con uno de los supuestos en los que cabe apreciar que el contenido del recurso justifica una decisión sobre el fondo en razón de su especial trascendencia constitucional conforme a lo establecido en la STC 155/2009, de 25 de junio, a saber, que “la vulneración del derecho fundamental que se denuncia provenga de la ley o de otra disposición de carácter general” [FJ 2, apartado c)]. Por consiguiente, hemos de entender satisfecha en el presente caso la carga de justificar la especial trascendencia constitucional a la que se refiere el art. 49.1 </w:t>
      </w:r>
      <w:r w:rsidRPr="0026452D">
        <w:rPr>
          <w:i/>
        </w:rPr>
        <w:t>in fine</w:t>
      </w:r>
      <w:r>
        <w:t xml:space="preserve"> LOTC.</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4</w:t>
      </w:r>
      <w:r>
        <w:t>. Pasando ya al examen de fondo, como ha quedado expuesto en los antecedentes de la presente Sentencia, la queja en que se fundamenta este recurso de amparo es la incompatibilidad con el art. 14 CE de la regulación contenida en la regla segunda del apartado 1 de la disposición adicional séptima de la Ley general de la Seguridad Social y desarrollada por el Real Decreto 1131/2002, normativa cuya aplicación por las resoluciones impugnadas en amparo ha determinado la denegación al demandante de la pensión de jubilación solicitaba. Esta misma cuestión había sido planteada ante este Tribunal en las cuestiones de inconstitucionalidad núms. 5862-2003, 9157-2006, y 763-2007, todas ellas admitidas a trámite y pendientes de Sentencia a la fecha en que se presentó este recurso de amparo (y a las que se añadió la posterior cuestión núm. 9020-2007), lo que determinó que se dejase pendiente de resolución el recurso en tanto no fueran resueltas.</w:t>
      </w:r>
    </w:p>
    <w:p w:rsidR="0026452D" w:rsidRDefault="0026452D" w:rsidP="0026452D">
      <w:pPr>
        <w:pStyle w:val="TextoNormal"/>
      </w:pPr>
    </w:p>
    <w:p w:rsidR="0026452D" w:rsidRDefault="0026452D" w:rsidP="0026452D">
      <w:pPr>
        <w:pStyle w:val="TextoNormal"/>
      </w:pPr>
      <w:r>
        <w:t>Pues bien, dando respuesta a la cuestión de inconstitucionalidad núm. 5862-2003 a la que se acaba de hacer referencia, este Tribunal ha decidido en la reciente STC 61/2013, de 14 de marzo, declarar inconstitucional y nula la regla segunda del apartado 1 de la disposición adicional séptima de la Ley general de la Seguridad Social, en la redacción dada por el Real Decreto-ley 15/1998, en cuanto establece que para determinar los períodos de cotización necesarios para causar derecho a las prestaciones de jubilación e incapacidad permanente, se computarán exclusivamente las cotizaciones efectuadas en función de las horas trabajadas, calculando su equivalencia en días teóricos de cotización, obtenidos mediante la operación de dividir el número de horas trabajadas entre cinco, si bien en el caso de las pensiones de jubilación e incapacidad permanente se aplicará el coeficiente multiplicador de 1,5.</w:t>
      </w:r>
    </w:p>
    <w:p w:rsidR="0026452D" w:rsidRDefault="0026452D" w:rsidP="0026452D">
      <w:pPr>
        <w:pStyle w:val="TextoNormal"/>
      </w:pPr>
    </w:p>
    <w:p w:rsidR="0026452D" w:rsidRDefault="0026452D" w:rsidP="0026452D">
      <w:pPr>
        <w:pStyle w:val="TextoNormal"/>
      </w:pPr>
      <w:r>
        <w:t>Ciertamente, en ese pronunciamiento hemos declarado que las reglas que acompañan a la previsión cuestionada en relación con el cómputo de los períodos de cotización en los contratos a tiempo parcial para causar derecho a una prestación de jubilación o incapacidad no permiten superar los parámetros de justificación y proporcionalidad exigidos por el art. 14 CE, dado que las medidas de corrección en su momento introducidas no consiguen evitar los resultados especialmente gravosos y desmesurados a que la norma puede conducir. Las diferencias de trato en cuanto al cómputo de los períodos de carencia que siguen experimentando los trabajadores a tiempo parcial respecto a los trabajadores a jornada completa se encuentran desprovistas de una justificación razonable que guarde la debida proporcionalidad entre la medida adoptada, el resultado producido y la finalidad pretendida. Razón por la que declaramos que la norma cuestionada vulnera el art. 14 CE, tanto por lesionar el derecho a la igualdad, como también, a la vista de su predominante incidencia sobre el empleo femenino, por provocar una discriminación indirecta por razón de sexo.</w:t>
      </w:r>
    </w:p>
    <w:p w:rsidR="0026452D" w:rsidRDefault="0026452D" w:rsidP="0026452D">
      <w:pPr>
        <w:pStyle w:val="TextoNormal"/>
      </w:pPr>
    </w:p>
    <w:p w:rsidR="0026452D" w:rsidRDefault="0026452D" w:rsidP="0026452D">
      <w:pPr>
        <w:pStyle w:val="TextoNormal"/>
      </w:pPr>
      <w:r>
        <w:t>Por tanto, y como ya hemos mantenido recientemente en las SSTC 71/2013 y 72/2013, ambas de 8 de abril, respecto a reclamaciones análogas a la que ahora se efectúa, en la medida en que esta concreta previsión declarada inconstitucional por este Tribunal por vulneración del art. 14 CE es la que ha determinado la denegación de la pretensión de la parte recurrente, deberá concluirse, sin necesidad de razonamientos adicionales, que en el presente caso ha de otorgarse el amparo solicitado por vulneración del derecho a la igualdad ante la ley (art. 14 CE).</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En concordancia con lo ya apuntado en el fundamento jurídico 1 de esta Sentencia, la determinación de los efectos del otorgamiento del amparo y el alcance del restablecimiento </w:t>
      </w:r>
      <w:r>
        <w:lastRenderedPageBreak/>
        <w:t>de la parte recurrente en la integridad de su derecho exigen no solo la anulación de la Sentencia de la Sala de lo Social del Tribunal Superior de Justicia de Madrid impugnada, sino, además, de la Sentencia del Juzgado de lo Social y de las resoluciones administrativas por ella confirmadas y que denegaron al recurrente la pensión de jubilación reclamada. Teniendo en cuenta, por una parte, que no corresponde a este Tribunal seleccionar e interpretar la norma aplicable en el ámbito de la legalidad ordinaria una vez declarada la inconstitucionalidad de la norma aplicada al demandante y, por otra, que ninguna de las resoluciones judiciales que conocieron de la cuestión sustantiva se ajusta a las exigencias del art. 14 CE, será procedente restablecer el derecho vulnerado retrotrayendo las actuaciones al momento inmediatamente anterior al del dictado de la resolución administrativa, que fue ratificada en el proceso, a fin de que se dicte una nueva respetuosa con el derecho fundamental vulnerado.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don César Álvarez de Medina y, en consecuencia:</w:t>
      </w:r>
    </w:p>
    <w:p w:rsidR="0026452D" w:rsidRDefault="0026452D" w:rsidP="0026452D">
      <w:pPr>
        <w:pStyle w:val="TextoNormal"/>
      </w:pPr>
    </w:p>
    <w:p w:rsidR="0026452D" w:rsidRDefault="0026452D" w:rsidP="0026452D">
      <w:pPr>
        <w:pStyle w:val="TextoNormal"/>
      </w:pPr>
      <w:r>
        <w:t>1º Reconocer su derecho a la igualdad ante la ley (art. 14 CE).</w:t>
      </w:r>
    </w:p>
    <w:p w:rsidR="0026452D" w:rsidRDefault="0026452D" w:rsidP="0026452D">
      <w:pPr>
        <w:pStyle w:val="TextoNormal"/>
      </w:pPr>
    </w:p>
    <w:p w:rsidR="0026452D" w:rsidRDefault="0026452D" w:rsidP="0026452D">
      <w:pPr>
        <w:pStyle w:val="TextoNormal"/>
      </w:pPr>
      <w:r>
        <w:t>2º Anular la Sentencia del Juzgado de lo Social núm.18 de Madrid, de 22 de noviembre de 2007, dictada en autos núm. 662-2007; la Sentencia de la Sala de lo Social del Tribunal Superior de Justicia de Madrid, de 22 de diciembre de 2008, recaída en el recurso de suplicación núm. 2002-2008; y las resoluciones de la dirección provincial de Madrid del Instituto Nacional de la Seguridad Social, de 9 de marzo y 31 de mayo, ambas de 2007.</w:t>
      </w:r>
    </w:p>
    <w:p w:rsidR="0026452D" w:rsidRDefault="0026452D" w:rsidP="0026452D">
      <w:pPr>
        <w:pStyle w:val="TextoNormal"/>
      </w:pPr>
    </w:p>
    <w:p w:rsidR="0026452D" w:rsidRDefault="0026452D" w:rsidP="0026452D">
      <w:pPr>
        <w:pStyle w:val="TextoNormal"/>
      </w:pPr>
      <w:r>
        <w:t>3º Retrotraer las actuaciones al momento inmediatamente anterior al del dictado de las citadas resoluciones administrativas a fin de que se dicte una nueva respetuosa con el art. 14 CE.</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veinte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20" w:name="SENTENCIA_2013_117"/>
      <w:r>
        <w:lastRenderedPageBreak/>
        <w:t>SENTENCIA 117/2013, de 20 de mayo de 2013</w:t>
      </w:r>
    </w:p>
    <w:bookmarkEnd w:id="120"/>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145, de 18 de junio de 2013)</w:t>
      </w:r>
    </w:p>
    <w:p w:rsidR="0026452D" w:rsidRDefault="0026452D" w:rsidP="0026452D">
      <w:pPr>
        <w:pStyle w:val="TtuloBOE"/>
      </w:pPr>
    </w:p>
    <w:p w:rsidR="0026452D" w:rsidRDefault="0026452D" w:rsidP="0026452D">
      <w:pPr>
        <w:pStyle w:val="SntesisDescriptiva"/>
      </w:pPr>
      <w:r>
        <w:t>ECLI:ES:TC:2013:117</w:t>
      </w:r>
    </w:p>
    <w:p w:rsidR="0026452D" w:rsidRDefault="0026452D" w:rsidP="0026452D">
      <w:pPr>
        <w:pStyle w:val="SntesisDescriptiva"/>
      </w:pPr>
    </w:p>
    <w:p w:rsidR="0026452D" w:rsidRDefault="0026452D" w:rsidP="0026452D">
      <w:pPr>
        <w:pStyle w:val="SntesisDescriptiva"/>
      </w:pPr>
      <w:r>
        <w:t>Recurso de amparo 4146-2009. Promovido por doña Ángela Blanco Guerra respecto de las Sentencias de un Juzgado de lo Social, el Tribunal Superior de Justicia de Madrid y el Tribunal Supremo desestimatorias de su demanda sobre pensión de jubilación.</w:t>
      </w:r>
    </w:p>
    <w:p w:rsidR="0026452D" w:rsidRDefault="0026452D" w:rsidP="0026452D">
      <w:pPr>
        <w:pStyle w:val="SntesisDescriptiva"/>
      </w:pPr>
    </w:p>
    <w:p w:rsidR="0026452D" w:rsidRDefault="0026452D" w:rsidP="0026452D">
      <w:pPr>
        <w:pStyle w:val="SntesisAnaltica"/>
      </w:pPr>
      <w:r>
        <w:t>Vulneración de los derechos a la igualdad en la ley y a no sufrir discriminación por razón de sexo: STC 61/2013 (determinación de los períodos de cotización de las prestaciones de Seguridad Social computando exclusivamente las horas trabajadas, en perjuicio de las trabajadoras a tiempo parcial).</w:t>
      </w:r>
    </w:p>
    <w:p w:rsidR="0026452D" w:rsidRDefault="0026452D" w:rsidP="0026452D">
      <w:pPr>
        <w:pStyle w:val="SntesisAnaltica"/>
      </w:pPr>
    </w:p>
    <w:p w:rsidR="0026452D" w:rsidRDefault="0026452D" w:rsidP="0026452D">
      <w:pPr>
        <w:pStyle w:val="Extracto"/>
      </w:pPr>
      <w:r>
        <w:t>1.</w:t>
      </w:r>
      <w:r>
        <w:tab/>
        <w:t>Aplica la STC 61/2013 que declaró la inconstitucionalidad de la regla de cálculo de los periodos de cotización necesarios para causar derecho a las prestaciones de Seguridad Social aplicable a los trabajadores contratados a tiempo parcial [FJ 2].</w:t>
      </w:r>
    </w:p>
    <w:p w:rsidR="0026452D" w:rsidRDefault="0026452D" w:rsidP="0026452D">
      <w:pPr>
        <w:pStyle w:val="Extracto"/>
      </w:pPr>
    </w:p>
    <w:p w:rsidR="0026452D" w:rsidRDefault="0026452D" w:rsidP="0026452D">
      <w:pPr>
        <w:pStyle w:val="Extracto"/>
      </w:pPr>
      <w:r>
        <w:t>2.</w:t>
      </w:r>
      <w:r>
        <w:tab/>
        <w:t>Las diferencias de trato en el cómputo de los períodos de carencia que experimentan los trabajadores a tiempo parcial respecto a los trabajadores a jornada completa se encuentran desprovistas de una justificación razonable que guarde la debida proporcionalidad entre la medida adoptada, el resultado producido y la finalidad pretendida, por lo que hemos de declarar que la norma cuestionada vulnera el art. 14 CE, tanto por lesionar el derecho a la igualdad, como también, a la vista de su predominante incidencia sobre el empleo femenino, por provocar una discriminación indirecta por razón de sexo (STC 61/2013) [FJ 2].</w:t>
      </w:r>
    </w:p>
    <w:p w:rsidR="0026452D" w:rsidRDefault="0026452D" w:rsidP="0026452D">
      <w:pPr>
        <w:pStyle w:val="Extracto"/>
      </w:pPr>
    </w:p>
    <w:p w:rsidR="0026452D" w:rsidRDefault="0026452D" w:rsidP="0026452D">
      <w:pPr>
        <w:pStyle w:val="Extracto"/>
      </w:pPr>
      <w:r>
        <w:t>3.</w:t>
      </w:r>
      <w:r>
        <w:tab/>
        <w:t>Las reglas que acompañan a la previsión cuestionada en relación con el cómputo de los períodos de cotización en los contratos a tiempo parcial para causar derecho a una prestación de jubilación no permiten superar los parámetros de justificación y proporcionalidad exigidos por el art. 14 CE, dado que las medidas de corrección en su momento introducidas no consiguen evitar los resultados especialmente gravosos y desmesurados a que la norma puede conducir (STC 61/2013) [FJ 2].</w:t>
      </w:r>
    </w:p>
    <w:p w:rsidR="0026452D" w:rsidRDefault="0026452D" w:rsidP="0026452D">
      <w:pPr>
        <w:pStyle w:val="Extracto"/>
      </w:pPr>
    </w:p>
    <w:p w:rsidR="0026452D" w:rsidRDefault="0026452D" w:rsidP="0026452D">
      <w:pPr>
        <w:pStyle w:val="Extracto"/>
      </w:pPr>
      <w:r>
        <w:t>4.</w:t>
      </w:r>
      <w:r>
        <w:tab/>
        <w:t>Procede restablecer a la recurrente en su derecho, para lo cual resulta suficiente con anular la Sentencia de la Sala de lo Social del Tribunal Supremo que casó y anuló la Sentencia de la Sala de lo Social del Tribunal Superior de Justicia que había estimado la demanda declarando el derecho de la recurrente a la prestación de jubilación que reclamaba (SSTC 49/2005, 50/2005)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lastRenderedPageBreak/>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4146-2009, promovido por doña Ángela Blanco Guerra, representada por el Procurador de los Tribunales don Luis-Eduardo Roncero Contreras y asistida por el Abogado don Gaspar Rodrigo Castrillo, contra las resoluciones de la dirección provincial de Madrid del Instituto Nacional de la Seguridad Social de fechas 24 de noviembre de 2005 y 14 de marzo de 2006, y las Sentencias del Juzgado de lo Social núm. 27 de Madrid, de 16 de febrero de 2007 (autos núm. 356-2006) y de la Sala de lo Social del Tribunal Supremo, de 23 de febrero de 2009 (recurso núm. 1299-2008) que las confirmaron. Ha sido parte el Instituto Nacional de la Seguridad Social. Ha intervenido el Ministerio Fiscal. Ha sido Ponente la Magistrada doña Adela Asua Batarrita,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4 de mayo de 2009, el Procurador de los Tribunales don Luis-Eduardo Roncero Contreras, en nombre y representación de doña Ángela Blanco Guerra y bajo la dirección del Abogado don Gaspar Rodrigo Castrillo, interpuso recurso de amparo contra las resoluciones administrativas y judiciales referidas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que se fundamenta la demanda de amparo son, sucintamente expuestos, los siguientes:</w:t>
      </w:r>
    </w:p>
    <w:p w:rsidR="0026452D" w:rsidRDefault="0026452D" w:rsidP="0026452D">
      <w:pPr>
        <w:pStyle w:val="TextoNormal"/>
      </w:pPr>
    </w:p>
    <w:p w:rsidR="0026452D" w:rsidRDefault="0026452D" w:rsidP="0026452D">
      <w:pPr>
        <w:pStyle w:val="TextoNormal"/>
      </w:pPr>
      <w:r>
        <w:t>a) La recurrente en amparo, afiliada al régimen general de la Seguridad Social y que durante toda su vida laboral ha prestado servicios a tiempo parcial como limpiadora, solicitó a la dirección provincial del Instituto Nacional de la Seguridad Social (INSS) de Madrid pensión de jubilación, que le fue denegada por medio de resolución de 24 de noviembre de 2005 (confirmada por la posterior de 14 de marzo de 2006), al no reunir el período mínimo de cotización de quince años exigido para poder causar el derecho conforme al art. 161.1 b) del texto refundido de la Ley general de la Seguridad Social, aprobado por Real Decreto Legislativo 1/1994, de 20 de junio, en la redacción dada por el apartado uno del artículo 4 de la Ley 24/1997, de 15 de julio (en adelante, LGSS).</w:t>
      </w:r>
    </w:p>
    <w:p w:rsidR="0026452D" w:rsidRDefault="0026452D" w:rsidP="0026452D">
      <w:pPr>
        <w:pStyle w:val="TextoNormal"/>
      </w:pPr>
    </w:p>
    <w:p w:rsidR="0026452D" w:rsidRDefault="0026452D" w:rsidP="0026452D">
      <w:pPr>
        <w:pStyle w:val="TextoNormal"/>
      </w:pPr>
      <w:r>
        <w:t xml:space="preserve">b) Frente a las anteriores resoluciones denegatorias de la pensión, la recurrente formuló demanda que fue desestimada por Sentencia del Juzgado de lo Social núm. 27 de Madrid, de 16 de febrero de 2007 (autos sobre seguridad social núm. 356-2006) sobre la base de que la STC 253/2004, de 22 de diciembre, citada por la parte actora en su demanda, declaró la inconstitucionalidad del párrafo segundo del art. 12.4 del texto refundido de la Ley del estatuto de los trabajadores, según la redacción dada por el Real Decreto Legislativo 1/1995, de 24 de marzo (en adelante, LET) por vulneración del art. 14 CE, pero que la regulación </w:t>
      </w:r>
      <w:r>
        <w:lastRenderedPageBreak/>
        <w:t>en vigor y aplicable al caso sobre la cotización relativa al trabajo a tiempo parcial no había sido declarada inconstitucional y, además, a diferencia de la precedente, contenía factores de corrección en el cálculo de las cotizaciones que facilitaban el acceso a las pensiones.</w:t>
      </w:r>
    </w:p>
    <w:p w:rsidR="0026452D" w:rsidRDefault="0026452D" w:rsidP="0026452D">
      <w:pPr>
        <w:pStyle w:val="TextoNormal"/>
      </w:pPr>
    </w:p>
    <w:p w:rsidR="0026452D" w:rsidRDefault="0026452D" w:rsidP="0026452D">
      <w:pPr>
        <w:pStyle w:val="TextoNormal"/>
      </w:pPr>
      <w:r>
        <w:t>c) Contra esa Sentencia, la recurrente interpuso recurso de suplicación (núm. 3196-2007), invocando la STC 253/2004, de 22 de diciembre y alegando que la vigente regulación —regla segunda de la disposición adicional séptima LGSS— incurría en el mismo vicio de discriminación sexista que la norma declarada inconstitucional por la citada Sentencia, pidiendo el planteamiento, en el caso de autos, de cuestión de inconstitucionalidad.</w:t>
      </w:r>
    </w:p>
    <w:p w:rsidR="0026452D" w:rsidRDefault="0026452D" w:rsidP="0026452D">
      <w:pPr>
        <w:pStyle w:val="TextoNormal"/>
      </w:pPr>
    </w:p>
    <w:p w:rsidR="0026452D" w:rsidRDefault="0026452D" w:rsidP="0026452D">
      <w:pPr>
        <w:pStyle w:val="TextoNormal"/>
      </w:pPr>
      <w:r>
        <w:t>d) El recurso fue estimado por Sentencia de la Sala de lo Social del Tribunal Superior de Justicia de Madrid, de 11 de febrero de 2008, que reconoció el derecho de la actora sobre la base de que las reglas de cómputo contenidas en la disposición adicional séptima siguen suponiendo una discriminación sexista, rechazando la necesidad de planteamiento de cuestión de inconstitucionalidad al respecto.</w:t>
      </w:r>
    </w:p>
    <w:p w:rsidR="0026452D" w:rsidRDefault="0026452D" w:rsidP="0026452D">
      <w:pPr>
        <w:pStyle w:val="TextoNormal"/>
      </w:pPr>
    </w:p>
    <w:p w:rsidR="0026452D" w:rsidRDefault="0026452D" w:rsidP="0026452D">
      <w:pPr>
        <w:pStyle w:val="TextoNormal"/>
      </w:pPr>
      <w:r>
        <w:t>e) Contra esa Sentencia el INSS formuló recurso de casación para la unificación de doctrina (núm. 1299-2008), que fue estimado por Sentencia de la Sala de lo Social del Tribunal Supremo de 23 de febrero de 2009, sobre la base de que la propia STC 253/2004, de 22 de diciembre, vino a declarar la validez de la nueva normativa en su fundamento jurídico 6, y que era la legislación vigente la que se había de aplicar al caso en tanto en cuanto no fuera declarada inconstitucional por este Tribunal.</w:t>
      </w:r>
    </w:p>
    <w:p w:rsidR="0026452D" w:rsidRDefault="0026452D" w:rsidP="0026452D">
      <w:pPr>
        <w:pStyle w:val="TextoNormal"/>
      </w:pPr>
    </w:p>
    <w:p w:rsidR="0026452D" w:rsidRDefault="0026452D" w:rsidP="0026452D">
      <w:pPr>
        <w:pStyle w:val="TextoNormal"/>
      </w:pPr>
      <w:r w:rsidRPr="0026452D">
        <w:rPr>
          <w:rStyle w:val="NumeroAFNegritaCaracter"/>
        </w:rPr>
        <w:t>3</w:t>
      </w:r>
      <w:r>
        <w:t>. La recurrente en amparo impugna las resoluciones de 24 de noviembre de 2005 y 14 de marzo de 2006 del INSS denegatorias de su petición de pensión de jubilación, así como las Sentencias del Juzgado de lo Social núm. 27 de Madrid, de 16 de febrero de 2007 y de la Sala de lo Social del Tribunal Supremo, de 23 de febrero de 2009 que las confirmaron, por considerar que vulneran el art. 14 CE. Sostiene la demandante que los motivos que dieron lugar a la declaración de inconstitucionalidad del art. 12.4 LET por la STC 253/2004, de 22 de diciembre, concurren igualmente en la nueva regulación contenida en la disposición adicional séptima LGSS, ya que la nueva norma, aunque atenúa el rigor de la anterior sobre el cálculo de la cotización en el trabajo a tiempo parcial, no evita el efecto discriminatorio de la misma. Es muestra de ello el caso de la actora, que ha visto denegada la pensión solicitada a la edad de setenta y cinco años por no alcanzar el período de carencia exigido después de haber trabajado a tiempo parcial durante más de treinta años, y que tendría que trabajar diecinueve años más (esto es, hasta la edad de noventa y cuatro) para poder acceder a la pensión conforme a las reglas previstas en la disposición adicional discutida.</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providencia de 15 de noviembre de 2010, la Sala Primera de este Tribunal acordó la admisión a trámite de la demanda de amparo y, a tenor de lo dispuesto en el art. 51 de la Ley Orgánica del Tribunal Constitucional (LOTC), requerir a los órganos judiciales para que en el plazo de diez días remitieran testimonio de las actuaciones respectivas, interesándose al propio tiempo el emplazamiento de quienes fueron parte en el procedimiento, a excepción del recurrente, ya personado, para que pudieran comparecer en el plazo de diez días en este proceso constitucional, con traslado a dichos efectos de copia de la demanda de amparo.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5</w:t>
      </w:r>
      <w:r>
        <w:t>. Por escrito registrado en este Tribunal el día 29 de diciembre de 2010, el Letrado de la Administración de la Seguridad Social se personó en el presente recurso de amparo, en la representación del INSS que legalmente ostenta.</w:t>
      </w:r>
    </w:p>
    <w:p w:rsidR="0026452D" w:rsidRDefault="0026452D" w:rsidP="0026452D">
      <w:pPr>
        <w:pStyle w:val="TextoNormal"/>
      </w:pPr>
    </w:p>
    <w:p w:rsidR="0026452D" w:rsidRDefault="0026452D" w:rsidP="0026452D">
      <w:pPr>
        <w:pStyle w:val="TextoNormal"/>
      </w:pPr>
      <w:r w:rsidRPr="0026452D">
        <w:rPr>
          <w:rStyle w:val="NumeroAFNegritaCaracter"/>
        </w:rPr>
        <w:t>6</w:t>
      </w:r>
      <w:r>
        <w:t>. Mediante diligencia de ordenación de 13 de mayo de 2011 del Secretario de Justicia de la Sala Primera, se tuvieron por recibidos los testimonios de las actuaciones remitidos por los órganos judiciales y por personado el Letrado de la Administración de la Seguridad Social, procediéndose asimismo, conforme a lo establecido en el art. 52.1 LOTC, a dar vista de las actuaciones por plazo común de veinte días al Ministerio Fiscal y a las partes personadas para que pudieran presentar las alegaciones que estimasen pertinentes.</w:t>
      </w:r>
    </w:p>
    <w:p w:rsidR="0026452D" w:rsidRDefault="0026452D" w:rsidP="0026452D">
      <w:pPr>
        <w:pStyle w:val="TextoNormal"/>
      </w:pPr>
    </w:p>
    <w:p w:rsidR="0026452D" w:rsidRDefault="0026452D" w:rsidP="0026452D">
      <w:pPr>
        <w:pStyle w:val="TextoNormal"/>
      </w:pPr>
      <w:r w:rsidRPr="0026452D">
        <w:rPr>
          <w:rStyle w:val="NumeroAFNegritaCaracter"/>
        </w:rPr>
        <w:t>7</w:t>
      </w:r>
      <w:r>
        <w:t>. Con fecha de registro de 16 de junio de 2011, se presenta por el Letrado de la Seguridad Social, en representación del INSS, escrito de alegaciones en el que interesa que se desestime el recurso de amparo dado que entiende que la normativa aplicable al caso no tendría las tachas de inconstitucionalidad de la norma precedente y que fue enjuiciada por la STC 253/2004, en tanto en cuanto aquélla contiene unas reglas que atenúan el principio de proporcionalidad en el cálculo de la cotización para los trabajadores a tiempo parcial y que facilitan el acceso a las pensiones de la Seguridad Social. También niega la existencia de una discriminación indirecta por razón de sexo ya que en este caso existiría una justificación objetiva para la diferencia de trato y una adecuación del medio utilizado.</w:t>
      </w:r>
    </w:p>
    <w:p w:rsidR="0026452D" w:rsidRDefault="0026452D" w:rsidP="0026452D">
      <w:pPr>
        <w:pStyle w:val="TextoNormal"/>
      </w:pPr>
    </w:p>
    <w:p w:rsidR="0026452D" w:rsidRDefault="0026452D" w:rsidP="0026452D">
      <w:pPr>
        <w:pStyle w:val="TextoNormal"/>
      </w:pPr>
      <w:r w:rsidRPr="0026452D">
        <w:rPr>
          <w:rStyle w:val="NumeroAFNegritaCaracter"/>
        </w:rPr>
        <w:t>8</w:t>
      </w:r>
      <w:r>
        <w:t>. El Ministerio Fiscal presentó en este Tribunal su escrito de alegaciones con fecha de registro de 29 de junio de 2011 interesando la denegación del amparo solicitado al considerar que el diferente trato dispensado a los trabajadores a tiempo parcial con relación a los trabajadores a tiempo completo en la disposición adicional séptima de la LGSS tiene su justificación en el equilibrio económico y viabilidad del sistema de Seguridad Social, estableciendo modalidades contractuales e instaurando reglas proporcionales que atienden al tiempo efectivamente trabajado en cada supuesto para completar el período mínimo de carencia que es exigido.</w:t>
      </w:r>
    </w:p>
    <w:p w:rsidR="0026452D" w:rsidRDefault="0026452D" w:rsidP="0026452D">
      <w:pPr>
        <w:pStyle w:val="TextoNormal"/>
      </w:pPr>
    </w:p>
    <w:p w:rsidR="0026452D" w:rsidRDefault="0026452D" w:rsidP="0026452D">
      <w:pPr>
        <w:pStyle w:val="TextoNormal"/>
      </w:pPr>
      <w:r w:rsidRPr="0026452D">
        <w:rPr>
          <w:rStyle w:val="NumeroAFNegritaCaracter"/>
        </w:rPr>
        <w:t>9</w:t>
      </w:r>
      <w:r>
        <w:t>. La representación procesal de la parte recurrente no ha presentado escrito de alegaciones.</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16 de mayo de 2013 se acordó señalar para deliberación y votación de la presente Sentencia el día 20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Como ha quedado expuesto en los antecedentes, la recurrente en amparo, afiliada al régimen general de la Seguridad Social y que ha prestado sus servicios como trabajadora a tiempo parcial durante toda su vida laboral, solicitó pensión de jubilación en fecha 22 de noviembre de 2005, que le fue denegada por resolución de la Dirección provincial de Madrid del Instituto Nacional de la Seguridad Social (INSS), de 24 de noviembre de 2005 (confirmada por resolución de 14 de marzo de 2006), al no reunir el período mínimo de cotización de quince años de carencia prescrito en el art. 161.1 b) de la Ley general de la </w:t>
      </w:r>
      <w:r>
        <w:lastRenderedPageBreak/>
        <w:t>Seguridad Social (LGSS). Las resoluciones anteriores han sido confirmadas en la vía judicial, ya que, aunque la Sentencia desestimatoria de 16 de febrero de 2007 del Juzgado de lo Social núm. 27 de Madrid fue revocada por Sentencia de la Sala de lo Social del Tribunal Superior de Justicia de Madrid de 11 de febrero de 2008, esta última fue finalmente casada y anulada por Sentencia de la Sala de lo Social del Tribunal Supremo, de 23 de febrero de 2009, que confirmó lo decidido en la instancia al apreciar que la norma aplicable al caso (disposición adicional séptima LGSS en la redacción dada por el Real Decreto-ley 15/1998, de 27 de noviembre) sobre el cálculo de la cotización en los casos de contratación a tiempo parcial no vulnera el art. 14 CE. Es este el criterio mantenido por el Ministerio Fiscal y por el INSS en el presente proceso constitucional en sus respectivos escritos de alegaciones, mientras que, por el contrario, en la demanda de amparo, como ha quedado expuesto en los antecedentes, se sostiene que la regulación actual, aunque haya atenuado el rigor de la que la precedía (declarada inconstitucional por la STC 253/2004, de 22 de diciembre) no ha eliminado los vicios de inconstitucionalidad sino que reincide en ellos, dificultando en exceso las posibilidades de acceso a las prestaciones de la Seguridad Social para los trabajadores a tiempo parcial y suponiendo una clara infracción del mandato de igualdad y prohibición de discriminación indirecta por razón de sexo (art. 14 CE).</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Planteado el presente amparo </w:t>
      </w:r>
      <w:r w:rsidRPr="0026452D">
        <w:rPr>
          <w:i/>
        </w:rPr>
        <w:t>ex</w:t>
      </w:r>
      <w:r>
        <w:t xml:space="preserve"> art. 43 de la Ley Orgánica del Tribunal Constitucional en los términos señalados, la respuesta ha de ser forzosamente concisa e inequívoca a la luz de nuestra reciente STC 61/2013, de 14 de marzo, por la que el Pleno de este Tribunal ha declarado inconstitucional y nula la regla segunda del apartado 1 de la disposición adicional séptima de la Ley general de la Seguridad Social, texto refundido aprobado por Real Decreto Legislativo 1/1994, de 20 de junio, en la redacción dada por el Real Decreto-ley 15/1998, de 27 de noviembre. En ese pronunciamiento hemos establecido que las reglas que acompañan a la previsión cuestionada en relación con el cómputo de los períodos de cotización en los contratos a tiempo parcial para causar derecho a una prestación de jubilación no permiten superar los parámetros de justificación y proporcionalidad exigidos por el art. 14 CE, dado que las medidas de corrección en su momento introducidas no consiguen evitar los resultados especialmente gravosos y desmesurados a que la norma puede conducir. Las diferencias de trato en cuanto al cómputo de los períodos de carencia que siguen experimentando los trabajadores a tiempo parcial respecto a los trabajadores a jornada completa se encuentran desprovistas de una justificación razonable que guarde la debida proporcionalidad entre la medida adoptada, el resultado producido y la finalidad pretendida. Razón por la que declaramos que la norma cuestionada vulnera el art. 14 CE, tanto por lesionar el derecho a la igualdad, como también, a la vista de su predominante incidencia sobre el empleo femenino, por provocar una discriminación indirecta por razón de sexo.</w:t>
      </w:r>
    </w:p>
    <w:p w:rsidR="0026452D" w:rsidRDefault="0026452D" w:rsidP="0026452D">
      <w:pPr>
        <w:pStyle w:val="TextoNormal"/>
      </w:pPr>
    </w:p>
    <w:p w:rsidR="0026452D" w:rsidRDefault="0026452D" w:rsidP="0026452D">
      <w:pPr>
        <w:pStyle w:val="TextoNormal"/>
      </w:pPr>
      <w:r>
        <w:t xml:space="preserve">Por tanto, y como ya hemos mantenido recientemente en las SSTC 71/2013 y 72/2013, ambas de 8 de abril, respecto a reclamaciones análogas a la que ahora se efectúa, en la medida en que esta concreta previsión declarada inconstitucional por este Tribunal por vulneración del art. 14 CE es la que ha determinado la denegación de la pretensión de la recurrente, deberá concluirse, sin necesidad de razonamientos adicionales, que en el presente caso ha de otorgarse el amparo solicitado por vulneración del derecho a la igualdad ante la ley y a no sufrir discriminación por razón de sexo (art. 14 CE). Procede, pues, restablecer a la recurrente en su derecho, para lo cual, resulta suficiente, como hemos dicho en ocasiones semejantes (por todas, SSTC 49/2005 y 50/2005, ambas de 14 de marzo, FJ 4), con anular la Sentencia de la Sala de lo Social del Tribunal Supremo, de 23 de febrero de 2009, que </w:t>
      </w:r>
      <w:r>
        <w:lastRenderedPageBreak/>
        <w:t>casó y anuló la Sentencia de la Sala de lo Social del Tribunal Superior de Justicia de Madrid, de 11 de febrero de 2008, que había estimado la demanda declarando el derecho de la recurrente a la prestación de jubilación que reclamaba.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doña Ángela Blanco Guerra y, en consecuencia:</w:t>
      </w:r>
    </w:p>
    <w:p w:rsidR="0026452D" w:rsidRDefault="0026452D" w:rsidP="0026452D">
      <w:pPr>
        <w:pStyle w:val="TextoNormal"/>
      </w:pPr>
    </w:p>
    <w:p w:rsidR="0026452D" w:rsidRDefault="0026452D" w:rsidP="0026452D">
      <w:pPr>
        <w:pStyle w:val="TextoNormal"/>
      </w:pPr>
      <w:r>
        <w:t>1º Reconocer su derecho a la igualdad ante la ley y a la no discriminación por razón de sexo (art. 14 CE).</w:t>
      </w:r>
    </w:p>
    <w:p w:rsidR="0026452D" w:rsidRDefault="0026452D" w:rsidP="0026452D">
      <w:pPr>
        <w:pStyle w:val="TextoNormal"/>
      </w:pPr>
    </w:p>
    <w:p w:rsidR="0026452D" w:rsidRDefault="0026452D" w:rsidP="0026452D">
      <w:pPr>
        <w:pStyle w:val="TextoNormal"/>
      </w:pPr>
      <w:r>
        <w:t>2º Anular la Sentencia de la Sala de lo Social del Tribunal Supremo, de 23 de febrero de 2009, dictada en el recurso de casación para la unificación de doctrina núm. 1299-2008.</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veinte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21" w:name="SENTENCIA_2013_118"/>
      <w:r>
        <w:lastRenderedPageBreak/>
        <w:t>SENTENCIA 118/2013, de 20 de mayo de 2013</w:t>
      </w:r>
    </w:p>
    <w:bookmarkEnd w:id="121"/>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145, de 18 de junio de 2013)</w:t>
      </w:r>
    </w:p>
    <w:p w:rsidR="0026452D" w:rsidRDefault="0026452D" w:rsidP="0026452D">
      <w:pPr>
        <w:pStyle w:val="TtuloBOE"/>
      </w:pPr>
    </w:p>
    <w:p w:rsidR="0026452D" w:rsidRDefault="0026452D" w:rsidP="0026452D">
      <w:pPr>
        <w:pStyle w:val="SntesisDescriptiva"/>
      </w:pPr>
      <w:r>
        <w:t>ECLI:ES:TC:2013:118</w:t>
      </w:r>
    </w:p>
    <w:p w:rsidR="0026452D" w:rsidRDefault="0026452D" w:rsidP="0026452D">
      <w:pPr>
        <w:pStyle w:val="SntesisDescriptiva"/>
      </w:pPr>
    </w:p>
    <w:p w:rsidR="0026452D" w:rsidRDefault="0026452D" w:rsidP="0026452D">
      <w:pPr>
        <w:pStyle w:val="SntesisDescriptiva"/>
      </w:pPr>
      <w:r>
        <w:t>Recurso de amparo 5514-2010. Promovido por don Joaquín Gutiérrez García y don José Correa Reyes en relación con la Sentencia de la Audiencia Provincial de Huelva que les condenó, en apelación, por un delito  contra los derechos de los trabajadores en concurso con una falta de lesiones por imprudencia.</w:t>
      </w:r>
    </w:p>
    <w:p w:rsidR="0026452D" w:rsidRDefault="0026452D" w:rsidP="0026452D">
      <w:pPr>
        <w:pStyle w:val="SntesisDescriptiva"/>
      </w:pPr>
    </w:p>
    <w:p w:rsidR="0026452D" w:rsidRDefault="0026452D" w:rsidP="0026452D">
      <w:pPr>
        <w:pStyle w:val="SntesisAnaltica"/>
      </w:pPr>
      <w:r>
        <w:t>Vulneración de los derechos a un proceso con todas las garantías y a la presunción de inocencia: STC 144/2012 (condena fundada en la valoración de pruebas de carácter personal y pronunciada en apelación sin haber celebrado vista pública).</w:t>
      </w:r>
    </w:p>
    <w:p w:rsidR="0026452D" w:rsidRDefault="0026452D" w:rsidP="0026452D">
      <w:pPr>
        <w:pStyle w:val="SntesisAnaltica"/>
      </w:pPr>
    </w:p>
    <w:p w:rsidR="0026452D" w:rsidRDefault="0026452D" w:rsidP="0026452D">
      <w:pPr>
        <w:pStyle w:val="Extracto"/>
      </w:pPr>
      <w:r>
        <w:t>1.</w:t>
      </w:r>
      <w:r>
        <w:tab/>
        <w:t>El presente recurso de amparo presenta una coincidencia sustancial, en cuanto a la valoración de las pruebas personales en segunda instancia sin respetar las garantías de inmediación y contradicción, con los ya resueltos, respecto de otros condenados por la misma Sentencia aquí impugnada, por las SSTC 144/2012 y 43/2013 [FFJJ 3, 4].</w:t>
      </w:r>
    </w:p>
    <w:p w:rsidR="0026452D" w:rsidRDefault="0026452D" w:rsidP="0026452D">
      <w:pPr>
        <w:pStyle w:val="Extracto"/>
      </w:pPr>
    </w:p>
    <w:p w:rsidR="0026452D" w:rsidRDefault="0026452D" w:rsidP="0026452D">
      <w:pPr>
        <w:pStyle w:val="Extracto"/>
      </w:pPr>
      <w:r>
        <w:t>2.</w:t>
      </w:r>
      <w:r>
        <w:tab/>
        <w:t>Los principios de inmediación y contradicción imponen que la prueba deba practicarse ante el órgano judicial al que corresponde su valoración, siendo notoria la insuficiencia del acta del juicio como medio de documentación de las pruebas de carácter personal dada por la imposibilidad de reflejar los aspectos no verbales de toda declaración, lo que conlleva a que el examen directo y personal de las personas cuya declaración va a ser objeto de nueva valoración en la segunda instancia se realice en el seno de una nueva audiencia en presencia de los demás interesados y parte adversas (SSTC 167/2002, 144/2012, 43/2013) [FFJJ 3, 4].</w:t>
      </w:r>
    </w:p>
    <w:p w:rsidR="0026452D" w:rsidRDefault="0026452D" w:rsidP="0026452D">
      <w:pPr>
        <w:pStyle w:val="Extracto"/>
      </w:pPr>
    </w:p>
    <w:p w:rsidR="0026452D" w:rsidRDefault="0026452D" w:rsidP="0026452D">
      <w:pPr>
        <w:pStyle w:val="Extracto"/>
      </w:pPr>
      <w:r>
        <w:t>3.</w:t>
      </w:r>
      <w:r>
        <w:tab/>
        <w:t>Cuando las pruebas documentales y periciales para sustentar el juicio de revisión que pueden ser valoradas en apelación sin celebrar vista pública están absolutamente imbricadas con la credibilidad de los testimonios de las pruebas personales, la disociación entre unos elementos y otros, otorgándose preeminencia al contenido de las declaraciones documentales sobre los propios testimonios personales, supone la desnaturalización de la doctrina sobre las garantías que imponen los principios de inmediación y contradicción emanada de la STC 167/2002 [FJ 4].</w:t>
      </w:r>
    </w:p>
    <w:p w:rsidR="0026452D" w:rsidRDefault="0026452D" w:rsidP="0026452D">
      <w:pPr>
        <w:pStyle w:val="Extracto"/>
      </w:pPr>
    </w:p>
    <w:p w:rsidR="0026452D" w:rsidRDefault="0026452D" w:rsidP="0026452D">
      <w:pPr>
        <w:pStyle w:val="Extracto"/>
      </w:pPr>
      <w:r>
        <w:t>4.</w:t>
      </w:r>
      <w:r>
        <w:tab/>
        <w:t>La vulneración del derecho a un proceso con todas las garantías determina también, en el presente caso, la del derecho a la presunción de inocencia, en la medida en que la eliminación de las pruebas irregularmente valoradas deja sin sustento el relato de hechos probados que soporta la declaración de culpabilidad de los acusados, tal y como se determinó, respecto de otros condenados por la misma Sentencia aquí impugnada, en las SSTC 144/2012 y 43/2013 [FJ 5].</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lastRenderedPageBreak/>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5514-2010, promovido por don Joaquín Gutiérrez García y don José Correa Reyes, representados por el Procurador de los Tribunales don Antonio Gómez de la Serna Andrada y asistidos por el Letrado don José Antonio Sotomayor Díaz, contra la Sentencia dictada por la Sección Segunda de la Audiencia Provincial de Huelva el 29 de enero de 2010 en el rollo de apelación núm. 246-2009, que estimó parcialmente los recursos de apelación interpuestos contra la Sentencia absolutoria dictada por el Juzgado de lo Penal núm. 4 de Huelva de 20 de febrero de 2009 en el procedimiento abreviado núm. 221-2008, condenando a los recurrentes como autores de un delito contra los derechos de los trabajadores en concurso con una falta de lesiones por imprudencia, así como frente al Auto de la misma Sección de 3 de mayo de 2009 que desestima el incidente de nulidad promovido frente a la Sentencia condenatoria. Ha intervenido el Ministerio Fiscal. Han comparecido y formulado alegaciones don Tomás Solaz Martínez, representado por el Procurador de los Tribunales don Jorge Deleito García y asistido por el Abogado don Manuel Vázquez Rangel, y don José González del Carmen, representado por la Procuradora de los Tribunales doña María Rodríguez Puyol y asistido por el Abogado don Gregorio Solanes Aguilar.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que tuvo entrada en el Registro General de este Tribunal el 7 de julio de 2010, el Procurador de los Tribunales don Antonio Gómez de la Serna Andrada, en nombre y representación de don Joaquín Gutiérrez García y don José Correa Reyes, interpuso recurso de amparo contra las resoluciones dictadas por la Audiencia Provincial de Huelva que se citan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Son hechos relevantes para el examen de la pretensión de amparo los siguientes:</w:t>
      </w:r>
    </w:p>
    <w:p w:rsidR="0026452D" w:rsidRDefault="0026452D" w:rsidP="0026452D">
      <w:pPr>
        <w:pStyle w:val="TextoNormal"/>
      </w:pPr>
    </w:p>
    <w:p w:rsidR="0026452D" w:rsidRDefault="0026452D" w:rsidP="0026452D">
      <w:pPr>
        <w:pStyle w:val="TextoNormal"/>
      </w:pPr>
      <w:r>
        <w:t xml:space="preserve">a) El Juzgado de lo Penal núm. 4 de Huelva, por Sentencia de 20 de febrero de 2009, recaída en el procedimiento abreviado núm. 221-2008, absolvió, entre otros, a don Joaquín Gutiérrez García y don José Correa Reyes de los delitos contra los derechos de los trabajadores y lesiones cometidas por imprudencia grave de los que habían sido acusados por la </w:t>
      </w:r>
      <w:r>
        <w:lastRenderedPageBreak/>
        <w:t>acusación particular en razón del accidente laboral sufrido por don José González del Carmen en una obra en la que aquellos, arquitectos técnicos, desempeñaban las funciones de coordinadores en materia de seguridad.</w:t>
      </w:r>
    </w:p>
    <w:p w:rsidR="0026452D" w:rsidRDefault="0026452D" w:rsidP="0026452D">
      <w:pPr>
        <w:pStyle w:val="TextoNormal"/>
      </w:pPr>
    </w:p>
    <w:p w:rsidR="0026452D" w:rsidRDefault="0026452D" w:rsidP="0026452D">
      <w:pPr>
        <w:pStyle w:val="TextoNormal"/>
      </w:pPr>
      <w:r>
        <w:t>Dicha Sentencia contiene el siguiente relato de hechos probados:</w:t>
      </w:r>
    </w:p>
    <w:p w:rsidR="0026452D" w:rsidRDefault="0026452D" w:rsidP="0026452D">
      <w:pPr>
        <w:pStyle w:val="TextoNormal"/>
      </w:pPr>
    </w:p>
    <w:p w:rsidR="0026452D" w:rsidRDefault="0026452D" w:rsidP="0026452D">
      <w:pPr>
        <w:pStyle w:val="TextoNormal"/>
      </w:pPr>
      <w:r>
        <w:t>“Primero.- Sobre las 16:45 horas del día 8 de junio de 2005 el operario pintor con categoría profesional de peón José González del Carmen, de 21 años de edad, que se hallaba trabajando como asalariado para la empresa Hermanos Muñiz de Ayamonte, S.L., contratada por la empresa Construcciones Juan Margallo, S.L., para efectuar labores de pintura en la obra de la Urbanización Huerta Beas II, de Ayamonte, de la que era promotora la empresa Vitomarsa &amp; Conalmar, UTE, pintaba el techo y la cornisa de un local comercial sito en la mencionada obra a una altura de unos 6,30 metros, actuando por indicación del encargado de cuadrilla … utilizando a tal fin un rodillo con alargador de unos 5 metros de longitud cuando, por causas no precisadas, perdió el equilibrio y cayó al vacío, estrellándose contra el suelo y sufriendo de este modo menoscabo físico … tardando en sanar 240 días, todos los cuales estuvo impedido para sus ocupaciones habituales y hospitalizado, y restándole como secuelas…</w:t>
      </w:r>
    </w:p>
    <w:p w:rsidR="0026452D" w:rsidRDefault="0026452D" w:rsidP="0026452D">
      <w:pPr>
        <w:pStyle w:val="TextoNormal"/>
      </w:pPr>
    </w:p>
    <w:p w:rsidR="0026452D" w:rsidRDefault="0026452D" w:rsidP="0026452D">
      <w:pPr>
        <w:pStyle w:val="TextoNormal"/>
      </w:pPr>
      <w:r>
        <w:t>Segundo.- La empresa Construcciones Juan Margallo, S.L., contaba como representante legal en aquellas fechas a Juan Martín Correa, desempeñando la tarea de encargados de seguridad José Tomás Solaz Martínez y Manuela Martín Rodríguez, y Paloma Ogayar Lechuga, la de Jefa de la obra descrita; Rafael Muñiz García y Antonio Muñiz García eran los representantes legales de Hermanos Muñiz, S.L., y los arquitectos técnicos Joaquín José Gutiérrez García y José Manuel Correa Reyes desempeñaban la tarea de coordinadores de seguridad; todos ellos eran mayores de edad y carecían de antecedentes penales. Tanto Hermanos Muñiz de Ayamonte, S.L., como Construcciones Juan Margallo, S.L., tenían concertadas pólizas de accidente con la Estrella, S.A., de Seguros, en virtud de una de las cuales dicha entidad abonó al lesionado José González del Carmen la suma de 39.000 euros.</w:t>
      </w:r>
    </w:p>
    <w:p w:rsidR="0026452D" w:rsidRDefault="0026452D" w:rsidP="0026452D">
      <w:pPr>
        <w:pStyle w:val="TextoNormal"/>
      </w:pPr>
    </w:p>
    <w:p w:rsidR="0026452D" w:rsidRDefault="0026452D" w:rsidP="0026452D">
      <w:pPr>
        <w:pStyle w:val="TextoNormal"/>
      </w:pPr>
      <w:r>
        <w:t>Tercero.- No se ha acreditado que la obra mencionada careciera de las medidas de protección frente a riesgos de caída de altura consistentes en la implantación de barandillas protectoras en plataformas, andamios y pasarelas, así como en los desniveles, huecos y aberturas existentes en los pisos de las obras, que supongan para los trabajadores un riesgo de caída de altura superior a 2 metros; tampoco, que la caída del trabajador José González del Carmen trajera por causa la no implantación por los responsables de las empresas constructoras de medidas de seguridad en la obra de referencia, ni que éstos dejaran de informar a los trabajadores a su cargo de los riesgos aparejados a las tareas que desempeñaban; tampoco, que dichos responsables incumplieran sus deberes relacionados con la supervisión de las medidas de seguridad, colectivas e individuales, que eran precisas para que los trabajadores desempeñaran su labor con las debidas garantías; consta por el contrario acreditado que los trabajadores de la obra tenían a su disposición medidas individuales de seguridad consistentes, entre otras, en cascos y cinturones de seguridad suministrados por las empresas indicadas, las cuales impartieron además en diversas ocasiones a los operarios cursos en materia de seguridad en el trabajo adecuados a las tareas a realizar.”</w:t>
      </w:r>
    </w:p>
    <w:p w:rsidR="0026452D" w:rsidRDefault="0026452D" w:rsidP="0026452D">
      <w:pPr>
        <w:pStyle w:val="TextoNormal"/>
      </w:pPr>
    </w:p>
    <w:p w:rsidR="0026452D" w:rsidRDefault="0026452D" w:rsidP="0026452D">
      <w:pPr>
        <w:pStyle w:val="TextoNormal"/>
      </w:pPr>
      <w:r>
        <w:t xml:space="preserve">b) Interpuestos contra la anterior Sentencia recursos de apelación por el Ministerio Fiscal y la acusación particular (siendo ésta la única que solicitó un pronunciamiento condenatorio </w:t>
      </w:r>
      <w:r>
        <w:lastRenderedPageBreak/>
        <w:t>para los ahora recurrentes en amparo), la Sección Segunda de la Audiencia Provincial de Huelva, sin celebrar vista pública, dictó Sentencia de 29 de enero de 2010 en el rollo de apelación núm. 246-2009, por la que, estimando parcialmente los recursos, condenó, entre otros, a don Joaquín Gutiérrez García y don José Correa Reyes, como autores de un delito contra los derechos de los trabajadores en concurso con una falta de lesiones por imprudencia, a las penas, por el delito, de nueve meses de prisión y multa de nueve meses con una cuota diaria de diez euros o apremio personal subsidiario de un día por cada dos cuotas en caso de impago, accesoria de inhabilitación especial por nueve meses para el ejercicio del cargo de encargados de seguridad en la actividad empresarial de construcción; y, por la falta, a la pena de veinte días de multa con una cuota diaria de diez euros o apremio personal subsidiario de un día por cada dos cuotas en caso de impago. En concepto de responsabilidad civil se les condenaba, junto al resto de los condenados, al abono conjunto y solidario de 227.371,50 euros a don José González del Carmen.</w:t>
      </w:r>
    </w:p>
    <w:p w:rsidR="0026452D" w:rsidRDefault="0026452D" w:rsidP="0026452D">
      <w:pPr>
        <w:pStyle w:val="TextoNormal"/>
      </w:pPr>
    </w:p>
    <w:p w:rsidR="0026452D" w:rsidRDefault="0026452D" w:rsidP="0026452D">
      <w:pPr>
        <w:pStyle w:val="TextoNormal"/>
      </w:pPr>
      <w:r>
        <w:t>Para sustentar este pronunciamiento condenatorio, la Sala no aceptó el hecho probado tercero de la Sentencia de instancia, que fue sustituido por el siguiente:</w:t>
      </w:r>
    </w:p>
    <w:p w:rsidR="0026452D" w:rsidRDefault="0026452D" w:rsidP="0026452D">
      <w:pPr>
        <w:pStyle w:val="TextoNormal"/>
      </w:pPr>
    </w:p>
    <w:p w:rsidR="0026452D" w:rsidRDefault="0026452D" w:rsidP="0026452D">
      <w:pPr>
        <w:pStyle w:val="TextoNormal"/>
      </w:pPr>
      <w:r>
        <w:t>“Los trabajos de pintura de cornisa e interior de techo llevados a cabo por José González del Carmen se localizaban en la parte superior de una estructura en forma de torreón de tres alturas que alojaba una escalera circular interior, no contando con barandillas, vallas, sargentos u otro sistema de protección alguno en sus dos niveles superiores y sí únicamente con una barandillas en el arranque de la escalera en el piso inferior. Tampoco existían redes u otro elemento de protección frente a caídas.</w:t>
      </w:r>
    </w:p>
    <w:p w:rsidR="0026452D" w:rsidRDefault="0026452D" w:rsidP="0026452D">
      <w:pPr>
        <w:pStyle w:val="TextoNormal"/>
      </w:pPr>
    </w:p>
    <w:p w:rsidR="0026452D" w:rsidRDefault="0026452D" w:rsidP="0026452D">
      <w:pPr>
        <w:pStyle w:val="TextoNormal"/>
      </w:pPr>
      <w:r>
        <w:t>Había en la obra arneses que los trabajadores tenían que solicitar si entendían que les hacía falta.</w:t>
      </w:r>
    </w:p>
    <w:p w:rsidR="0026452D" w:rsidRDefault="0026452D" w:rsidP="0026452D">
      <w:pPr>
        <w:pStyle w:val="TextoNormal"/>
      </w:pPr>
    </w:p>
    <w:p w:rsidR="0026452D" w:rsidRDefault="0026452D" w:rsidP="0026452D">
      <w:pPr>
        <w:pStyle w:val="TextoNormal"/>
      </w:pPr>
      <w:r>
        <w:t>No ha quedado acreditado que José González del Carmen recibiera adecuada formación sobre riesgos laborales en general o inherentes a los trabajos que habría de desempeñar en la obra.”</w:t>
      </w:r>
    </w:p>
    <w:p w:rsidR="0026452D" w:rsidRDefault="0026452D" w:rsidP="0026452D">
      <w:pPr>
        <w:pStyle w:val="TextoNormal"/>
      </w:pPr>
    </w:p>
    <w:p w:rsidR="0026452D" w:rsidRDefault="0026452D" w:rsidP="0026452D">
      <w:pPr>
        <w:pStyle w:val="TextoNormal"/>
      </w:pPr>
      <w:r>
        <w:t>La Sala consideró acreditado este nuevo hecho probado, en el fundamento jurídico tercero de su Sentencia, conforme a los siguientes razonamientos:</w:t>
      </w:r>
    </w:p>
    <w:p w:rsidR="0026452D" w:rsidRDefault="0026452D" w:rsidP="0026452D">
      <w:pPr>
        <w:pStyle w:val="TextoNormal"/>
      </w:pPr>
    </w:p>
    <w:p w:rsidR="0026452D" w:rsidRDefault="0026452D" w:rsidP="0026452D">
      <w:pPr>
        <w:pStyle w:val="TextoNormal"/>
      </w:pPr>
      <w:r>
        <w:t xml:space="preserve">“Como se consigna en los hechos probados de esta Sentencia, la Sala no comparte la evaluación de la prueba practicada por parte del Juez a quo y extrae consecuencias diferentes del material probatorio que podemos sintetizar como sigue: </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3.2 De las medidas de seguridad colectivas e individuales</w:t>
      </w:r>
    </w:p>
    <w:p w:rsidR="0026452D" w:rsidRDefault="0026452D" w:rsidP="0026452D">
      <w:pPr>
        <w:pStyle w:val="TextoNormal"/>
      </w:pPr>
    </w:p>
    <w:p w:rsidR="0026452D" w:rsidRDefault="0026452D" w:rsidP="0026452D">
      <w:pPr>
        <w:pStyle w:val="TextoNormal"/>
      </w:pPr>
      <w:r>
        <w:t>En relación con las primeras, la prueba documental obrante en autos es de enorme contundencia y sirve para desvirtuar las conclusiones obtenidas en la sentencia que se apela.</w:t>
      </w:r>
    </w:p>
    <w:p w:rsidR="0026452D" w:rsidRDefault="0026452D" w:rsidP="0026452D">
      <w:pPr>
        <w:pStyle w:val="TextoNormal"/>
      </w:pPr>
    </w:p>
    <w:p w:rsidR="0026452D" w:rsidRDefault="0026452D" w:rsidP="0026452D">
      <w:pPr>
        <w:pStyle w:val="TextoNormal"/>
      </w:pPr>
      <w:r>
        <w:t xml:space="preserve">El primer documento que existe en la causa relativo al accidente es precisamente el que abre las diligencias previas, atestado instruido por la policía local de Ayamonte el mismo día de los hechos. Documento que, por la imparcialidad que se presume de sus redactores y </w:t>
      </w:r>
      <w:r>
        <w:lastRenderedPageBreak/>
        <w:t>por el valor que hemos de otorgar a los primeros datos recopilados en situación de absoluta inmediatez, debe ser especialmente tenido en cuenta. En el mismo ya se consigna, en referencia al accidentado, que ‘... según manifestaciones de los testigos esta persona no se encontraba con ningún sistema de protección ni de sujeción, ni se encuentra sujeto con ningún sistema de seguridad así como no existía ninguna protección en el hueco de la escalera...’. No se reseña la identidad de los testigos pero el propio atestado, ratificado además en el acto del juicio por los agentes que intervinieron en su confección, tiene como recopilación de tales testimonios una virtualidad probatoria intrínseca. Pero además de ello, el relato se completa con cuatro fotografías (folios 4 y 5 de lo actuado), tomadas con tal inmediatez que aparecen en las mismas todavía la ambulancia del servicio de emergencia 061, en las que se puede apreciar que los comentarios acerca de la ausencia de toda medida de seguridad en la torre era palmaria…</w:t>
      </w:r>
    </w:p>
    <w:p w:rsidR="0026452D" w:rsidRDefault="0026452D" w:rsidP="0026452D">
      <w:pPr>
        <w:pStyle w:val="TextoNormal"/>
      </w:pPr>
    </w:p>
    <w:p w:rsidR="0026452D" w:rsidRDefault="0026452D" w:rsidP="0026452D">
      <w:pPr>
        <w:pStyle w:val="TextoNormal"/>
      </w:pPr>
      <w:r>
        <w:t>En segundo lugar, en la propuesta de sanción elaborada en el expediente sancionador abierto por los mismos hechos por la Inspección de Trabajo y Seguridad Social (folios 49 y ss.) contiene una serie de apreciaciones de suma contundencia como las que aparecen en su apartado primero donde se especifica que el trabajador ‘… cae al suelo desde lo alto por carecer el perímetro de barandillas o de otra medida de protección equivalente...’ o el tercero que, por su interés, merece la pena ser transcrito en su integridad: ‘tanto el accidentado como el encargado manifiestan que no había ninguna barrera en el acceso al edificio, siendo colocadas posteriormente. Parece razonable que así fuera, por cuanto de haber existido habrían sido saltadas al menos cuatro veces: al inspeccionar in situ la tarea, al empezar a trabajar y subir el material (rodillo y bote de 30 kgs. de pintura), al dejar de trabajar a las 2, y al volver a trabajar a las 3, con lo que recordarían su existencia. Por otra parte, si la hubiera habría que haberla quitado al realizar el trabajo ya que ese trabajo había que hacerlo, y evidentemente el pintor no es alguien ‘ajeno a la obra’ (apareció una señal que decía ‘prohibido el paso a toda persona ajena a la obra’)…</w:t>
      </w:r>
    </w:p>
    <w:p w:rsidR="0026452D" w:rsidRDefault="0026452D" w:rsidP="0026452D">
      <w:pPr>
        <w:pStyle w:val="TextoNormal"/>
      </w:pPr>
    </w:p>
    <w:p w:rsidR="0026452D" w:rsidRDefault="0026452D" w:rsidP="0026452D">
      <w:pPr>
        <w:pStyle w:val="TextoNormal"/>
      </w:pPr>
      <w:r>
        <w:t>Por lo que hace a las medidas de seguridad individuales, no podemos descartar que las hubiese en la obra, ya que algunos testigos así lo afirman y no hay otro medio de prueba que podamos tener en cuenta para contradecir dicha versión, pero acogiendo las propias apreciaciones del Sr. Juez de primer grado que tiene por acreditado (fundamento jurídico tercero de la sentencia) que ‘... los trabajadores de la obra tenían a su disposición medidas de seguridad consistentes, entre otras, en cascos y cinturones...’, considera la Sala que los cinturones o arneses, como manifiesta en juicio algún testigo los tenían que solicitar los trabajadores.</w:t>
      </w:r>
    </w:p>
    <w:p w:rsidR="0026452D" w:rsidRDefault="0026452D" w:rsidP="0026452D">
      <w:pPr>
        <w:pStyle w:val="TextoNormal"/>
      </w:pPr>
    </w:p>
    <w:p w:rsidR="0026452D" w:rsidRDefault="0026452D" w:rsidP="0026452D">
      <w:pPr>
        <w:pStyle w:val="TextoNormal"/>
      </w:pPr>
      <w:r>
        <w:t>Ello no nos sitúa tanto ante una duda acerca de si el día del accidente había en la obra cinturones o arneses a disposición de los trabajadores, sino de la obligatoriedad para los obreros de usarlos, de la supervisión que en este aspecto se hacía y, enlazando con el apartado siguiente, del propio conocimiento que José González del Carmen había adquirido, a través de la formación que se le brindó, de la importancia de usarlos en situaciones como aquella en la que el accidente se produjo.</w:t>
      </w:r>
    </w:p>
    <w:p w:rsidR="0026452D" w:rsidRDefault="0026452D" w:rsidP="0026452D">
      <w:pPr>
        <w:pStyle w:val="TextoNormal"/>
      </w:pPr>
    </w:p>
    <w:p w:rsidR="0026452D" w:rsidRDefault="0026452D" w:rsidP="0026452D">
      <w:pPr>
        <w:pStyle w:val="TextoNormal"/>
      </w:pPr>
      <w:r>
        <w:t>3.3 De la formación recibida por José González del Carmen</w:t>
      </w:r>
    </w:p>
    <w:p w:rsidR="0026452D" w:rsidRDefault="0026452D" w:rsidP="0026452D">
      <w:pPr>
        <w:pStyle w:val="TextoNormal"/>
      </w:pPr>
    </w:p>
    <w:p w:rsidR="0026452D" w:rsidRDefault="0026452D" w:rsidP="0026452D">
      <w:pPr>
        <w:pStyle w:val="TextoNormal"/>
      </w:pPr>
      <w:r>
        <w:t xml:space="preserve">Nuevamente en relación con este extremo existen versiones de testigos y acusados cuya apreciación por el Sr. Juez de lo Penal, dando en la conclusión de que la víctima había </w:t>
      </w:r>
      <w:r>
        <w:lastRenderedPageBreak/>
        <w:t>recibido la formación oportuna, no pueden ser revisadas por este Tribunal. Pero también aquí discrepamos de la sentencia criticada en tanto que existen fuentes de prueba que siembran toda una serie de dudas acerca del contenido de la formación que recibiera…</w:t>
      </w:r>
    </w:p>
    <w:p w:rsidR="0026452D" w:rsidRDefault="0026452D" w:rsidP="0026452D">
      <w:pPr>
        <w:pStyle w:val="TextoNormal"/>
      </w:pPr>
    </w:p>
    <w:p w:rsidR="0026452D" w:rsidRDefault="0026452D" w:rsidP="0026452D">
      <w:pPr>
        <w:pStyle w:val="TextoNormal"/>
      </w:pPr>
      <w:r>
        <w:t>Por último, nota la Sala una falta de coherencia interna en cuanto a la apreciación de pruebas en la sentencia de primer grado, lo que origina a su vez un déficit de precisión en las conclusiones extraídas que nos lleva a no compartir las mismas, cuando sostiene por una parte que José González del Carmen gozaba de un nivel de formación apropiado y por otra asienta en su fundamento de derecho segundo —transcrito más arriba— que tanto José como su primo Ramón ignoraban que la empresa contaba con una grúa para realizar labores de pintura de exterior a altura o en otras situaciones de riesgo. La formación e información son dos capítulos difícilmente separables y mal se podría reputar a un operario como correctamente informado cuando desconoce los recursos idóneos para llevar a efecto una determinada tarea, desconoce su carácter de inexcusables en situaciones de riesgo y no sabe siquiera si la empresa para la que trabaja cuenta con los mismos.</w:t>
      </w:r>
    </w:p>
    <w:p w:rsidR="0026452D" w:rsidRDefault="0026452D" w:rsidP="0026452D">
      <w:pPr>
        <w:pStyle w:val="TextoNormal"/>
      </w:pPr>
    </w:p>
    <w:p w:rsidR="0026452D" w:rsidRDefault="0026452D" w:rsidP="0026452D">
      <w:pPr>
        <w:pStyle w:val="TextoNormal"/>
      </w:pPr>
      <w:r>
        <w:t>En conclusión la Sala tiene por dudoso el hecho de que José González del Carmen recibiera una adecuada formación en materia de riesgos laborales.”</w:t>
      </w:r>
    </w:p>
    <w:p w:rsidR="0026452D" w:rsidRDefault="0026452D" w:rsidP="0026452D">
      <w:pPr>
        <w:pStyle w:val="TextoNormal"/>
      </w:pPr>
    </w:p>
    <w:p w:rsidR="0026452D" w:rsidRDefault="0026452D" w:rsidP="0026452D">
      <w:pPr>
        <w:pStyle w:val="TextoNormal"/>
      </w:pPr>
      <w:r>
        <w:t>Constatado lo anterior, la Sala, en el fundamento jurídico cuarto de la Sentencia, fundamenta la responsabilidad de los ahora recurrentes en amparo en las siguientes consideraciones:</w:t>
      </w:r>
    </w:p>
    <w:p w:rsidR="0026452D" w:rsidRDefault="0026452D" w:rsidP="0026452D">
      <w:pPr>
        <w:pStyle w:val="TextoNormal"/>
      </w:pPr>
    </w:p>
    <w:p w:rsidR="0026452D" w:rsidRDefault="0026452D" w:rsidP="0026452D">
      <w:pPr>
        <w:pStyle w:val="TextoNormal"/>
      </w:pPr>
      <w:r>
        <w:t>“4.3 Joaquín Gutiérrez García y José Correa Reyes.</w:t>
      </w:r>
    </w:p>
    <w:p w:rsidR="0026452D" w:rsidRDefault="0026452D" w:rsidP="0026452D">
      <w:pPr>
        <w:pStyle w:val="TextoNormal"/>
      </w:pPr>
    </w:p>
    <w:p w:rsidR="0026452D" w:rsidRDefault="0026452D" w:rsidP="0026452D">
      <w:pPr>
        <w:pStyle w:val="TextoNormal"/>
      </w:pPr>
      <w:r>
        <w:t>Estos dos técnicos elaboraron el Plan de Seguridad y Salud (folios 369 y ss. de la causa) y eran los encargados tanto de realizar el Estudio Básico de Seguridad y Salud como de coordinar la implementación del plan durante la ejecución de la obra.</w:t>
      </w:r>
    </w:p>
    <w:p w:rsidR="0026452D" w:rsidRDefault="0026452D" w:rsidP="0026452D">
      <w:pPr>
        <w:pStyle w:val="TextoNormal"/>
      </w:pPr>
    </w:p>
    <w:p w:rsidR="0026452D" w:rsidRDefault="0026452D" w:rsidP="0026452D">
      <w:pPr>
        <w:pStyle w:val="TextoNormal"/>
      </w:pPr>
      <w:r>
        <w:t>En el citado plan se contienen numerosas menciones tanto de índole general como en relación a cualquier trabajo en altura que empiezan precisamente con el epígrafe ‘Albañilería en general’ en el que se describe como el primer riesgo frecuente la caída de personas y se establecen una serie de medidas y, lo que es muy importante, su duración…</w:t>
      </w:r>
    </w:p>
    <w:p w:rsidR="0026452D" w:rsidRDefault="0026452D" w:rsidP="0026452D">
      <w:pPr>
        <w:pStyle w:val="TextoNormal"/>
      </w:pPr>
    </w:p>
    <w:p w:rsidR="0026452D" w:rsidRDefault="0026452D" w:rsidP="0026452D">
      <w:pPr>
        <w:pStyle w:val="TextoNormal"/>
      </w:pPr>
      <w:r>
        <w:t>Este tipo de previsiones y otras análogas que se repiten a lo largo del Estudio cada vez que se hace referencia a algún trabajo en altura, reiterándose siempre dos ideas elementales: que todo hueco susceptible de propiciar una caída debe quedar debidamente protegido y que esta protección se debe mantener hasta que la situación de riesgo decaiga con la ejecución del pertinente cerramiento … Es evidente que tales medidas no estuvieron en vigor en la obra donde sucedió el siniestro, sin que los Coordinadores lo apreciaran, pese a que según su propio testimonio a visitaban la obra una o dos veces en semana y a requerimiento de la contratista. Si lo apreciaron no adoptaron ninguna medida para corregirlo ni reflejaron ningún reparo en tal sentido en el libro de órdenes e incidencias…</w:t>
      </w:r>
    </w:p>
    <w:p w:rsidR="0026452D" w:rsidRDefault="0026452D" w:rsidP="0026452D">
      <w:pPr>
        <w:pStyle w:val="TextoNormal"/>
      </w:pPr>
    </w:p>
    <w:p w:rsidR="0026452D" w:rsidRDefault="0026452D" w:rsidP="0026452D">
      <w:pPr>
        <w:pStyle w:val="TextoNormal"/>
      </w:pPr>
      <w:r>
        <w:t xml:space="preserve">La jurisprudencia anterior a la Ley de Prevención de Riesgos Laborales 31/1985, de 8 de noviembre, ya establecía el principio de corresponsabilidad entre los intervinientes en el proceso constructivo con alguna facultad directiva … La Ley de Prevención de Riesgos Laborales de noviembre de 1995 antes citada supuso un cambio, ya que establecía en cierta </w:t>
      </w:r>
      <w:r>
        <w:lastRenderedPageBreak/>
        <w:t>forma una distribución de competencias y consiguientes responsabilidades entre los diferentes intervinientes en la construcción. Sin embargo, lo que en principio y a partir de la promulgación de la Ley, el principio de corresponsabilidad sería la excepción, en la Jurisprudencia no se advierte este cambio, y baste citar las SS.T.S. de 11.06 y 26.09.01, que definen los siguientes parámetros y principios rectores para la regulación de los siniestros en actividades peligrosas desarrolladas en régimen de división de trabajo: a) en principio, aquellos que desempeñen, dentro de la total actividad constructora, puestos cuya competencia, contenido y responsabilidad estén fijados legal o reglamentariamente, actuarán correctamente ajustándose a las normas reguladoras de su función, sin que quepa, como regla general, exigírselas que asuman el rol y la responsabilidad correspondientes a otros intervinientes en la obra; b) cuando una persona que interviene en una actividad de construcción asume voluntariamente un rol distintos del que le es propio, habrá de desempeñarlo con arreglo a las pautas de cuidado específicas de aquél, incurriendo, en otro caso, en responsabilidad por los daños que pueden derivarse de su comportamiento negligente; c) como la construcción supone un trabajo en equipo jerárquico bajo el control del Arquitecto Director, cuando éste perciba que, en el desarrollo de aquélla, alguna tarea se está realizando de modo patentemente defectuoso, y que la infracción del deber de cuidado entraña un grave riesgo e inminente para la vida e integridad corporal o la salud de los obreros o de sus mandos intermedios o de cualquier otra persona que pueda encontrarse en la obra, tendrá la obligación de adoptar las medidas a su alcance para prevenir el peligro; d) lo mismo es aplicable para el Arquitecto Técnico.</w:t>
      </w:r>
    </w:p>
    <w:p w:rsidR="0026452D" w:rsidRDefault="0026452D" w:rsidP="0026452D">
      <w:pPr>
        <w:pStyle w:val="TextoNormal"/>
      </w:pPr>
    </w:p>
    <w:p w:rsidR="0026452D" w:rsidRDefault="0026452D" w:rsidP="0026452D">
      <w:pPr>
        <w:pStyle w:val="TextoNormal"/>
      </w:pPr>
      <w:r>
        <w:t>El T.S. en la sentencia de 26.09.01 ya citada enseña que ‘... que el artículo 316 del vigente Código Penal presenta algunas diferencias de redacción con la que tenía en el Código precedente (artículo 348 bis, a) en el que, junto al verbo facilitar se incluía la omisión de exigir las condiciones de seguridad. El tipo penal que incorpora el actual artículo 316 del Código Penal es un delito de omisión -de las se medidas de seguridad e higiene adecuadas-, pero al que se añade la exigencia de que, en conexión causal, se produzca un peligro grave para la vida, la salud o la integridad física de los trabajadores. Esa omisión debe ser —en expresa remisión a la normativa laboral— de normas de prevención de do riesgos laborales, y solo afecta a los legalmente obligados a facilitarlas. Sin embargo la mera redacción no se interpreta inadecuadamente como excluyendo de obligación legal a quien, por sus funciones de arquitecto técnico, ha de estar a pie de obra y obligado a controlar y verificar que se cumplen los requisitos precisos para el buen fin de la misma y, entre ellos, los de seguridad y protección de riesgos generados por la obra’…</w:t>
      </w:r>
    </w:p>
    <w:p w:rsidR="0026452D" w:rsidRDefault="0026452D" w:rsidP="0026452D">
      <w:pPr>
        <w:pStyle w:val="TextoNormal"/>
      </w:pPr>
    </w:p>
    <w:p w:rsidR="0026452D" w:rsidRDefault="0026452D" w:rsidP="0026452D">
      <w:pPr>
        <w:pStyle w:val="TextoNormal"/>
      </w:pPr>
      <w:r>
        <w:t>Esta es la línea exegética, seguida por la mayoría de las Audiencias Provinciales … de la que este Tribunal participa, con la precisión, además, de que no compartimos la tesis de la defensa de los acusados en punto a que la nueva redacción del art. 316 del Código Penal resulta restrictiva en cuanto a la posibilidad de incluir a los coordinadores por la redacción del tipo que sanciona a quienes no facilitaren medios necesarios para una adecuada protección…”</w:t>
      </w:r>
    </w:p>
    <w:p w:rsidR="0026452D" w:rsidRDefault="0026452D" w:rsidP="0026452D">
      <w:pPr>
        <w:pStyle w:val="TextoNormal"/>
      </w:pPr>
    </w:p>
    <w:p w:rsidR="0026452D" w:rsidRDefault="0026452D" w:rsidP="0026452D">
      <w:pPr>
        <w:pStyle w:val="TextoNormal"/>
      </w:pPr>
      <w:r>
        <w:t xml:space="preserve">c) La representación procesal de los recurrentes en amparo promovió incidente de nulidad de actuaciones contra la Sentencia de la Audiencia Provincial, alegando la lesión de los derechos a un proceso con todas las garantías y a la presunción de inocencia (art. 24.2 CE), al haber sido condenados por la Sala sin haber celebrado vista pública durante la apelación y tras haber procedido en su Sentencia a modificar los hechos declarados probados por la </w:t>
      </w:r>
      <w:r>
        <w:lastRenderedPageBreak/>
        <w:t>Sentencia de instancia; también invocaban la vulneración del derecho a la tutela judicial efectiva (art. 24.1 CE), del principio acusatorio y del derecho a un juez imparcial (art. 24.2 CE), y del principio de legalidad penal (art. 25.1 CE).</w:t>
      </w:r>
    </w:p>
    <w:p w:rsidR="0026452D" w:rsidRDefault="0026452D" w:rsidP="0026452D">
      <w:pPr>
        <w:pStyle w:val="TextoNormal"/>
      </w:pPr>
    </w:p>
    <w:p w:rsidR="0026452D" w:rsidRDefault="0026452D" w:rsidP="0026452D">
      <w:pPr>
        <w:pStyle w:val="TextoNormal"/>
      </w:pPr>
      <w:r>
        <w:t>d) El incidente de nulidad promovido por los recurrentes en amparo fue desestimado (junto con los incidentes de nulidad promovidos por los restantes condenados), por Auto de 3 de mayo de 2010, que asimismo corrige el error padecido en el fundamento jurídico cuarto de la Sentencia, en relación con los recurrentes.</w:t>
      </w:r>
    </w:p>
    <w:p w:rsidR="0026452D" w:rsidRDefault="0026452D" w:rsidP="0026452D">
      <w:pPr>
        <w:pStyle w:val="TextoNormal"/>
      </w:pPr>
    </w:p>
    <w:p w:rsidR="0026452D" w:rsidRDefault="0026452D" w:rsidP="0026452D">
      <w:pPr>
        <w:pStyle w:val="TextoNormal"/>
      </w:pPr>
      <w:r w:rsidRPr="0026452D">
        <w:rPr>
          <w:rStyle w:val="NumeroAFNegritaCaracter"/>
        </w:rPr>
        <w:t>3</w:t>
      </w:r>
      <w:r>
        <w:t>. Los recurrentes en amparo afirman en primer lugar en su demanda que la Sentencia de apelación impugnada ha vulnerado sus derechos a un proceso con todas las garantías y a la presunción de inocencia (art. 24.2 CE), al haber corregido la Audiencia Provincial de Huelva la valoración realizada por el Juzgado de lo Penal, modificando los hechos probados de la Sentencia absolutoria de instancia, para concluir en un pronunciamiento condenatorio sin respetar los principios de inmediación y contradicción. En suma —se afirma—, la Audiencia Provincial ha condenado a los recurrentes valorando pruebas personales sin celebrar vista pública, en franca contradicción con la doctrina constitucional sentada en la STC 167/2002, de 18 de septiembre, y pronunciamientos posteriores.</w:t>
      </w:r>
    </w:p>
    <w:p w:rsidR="0026452D" w:rsidRDefault="0026452D" w:rsidP="0026452D">
      <w:pPr>
        <w:pStyle w:val="TextoNormal"/>
      </w:pPr>
    </w:p>
    <w:p w:rsidR="0026452D" w:rsidRDefault="0026452D" w:rsidP="0026452D">
      <w:pPr>
        <w:pStyle w:val="TextoNormal"/>
      </w:pPr>
      <w:r>
        <w:t>Aducen asimismo los demandantes de amparo que la Sentencia impugnada vulnera el principio acusatorio (art. 24.2 CE), en relación con el derecho a la tutela judicial efectiva (art. 24.1 CE), al haber sido condenados sin que se haya formulado una acusación concreta contra ellos en el recurso de apelación de la acusación particular, única parte acusadora que recurrió la absolución, pero sin concretar en ningún momento las razones por las que discrepaba del pronunciamiento absolutorio de instancia. Así las cosas, sostienen los demandantes de amparo que han sufrido indefensión, por no haber tenido oportunidad de defenderse de una acusación no explicitada conforme a las exigencias del principio de contradicción, habiendo asumido de oficio la Audiencia Provincial funciones acusatorias que no le corresponden, comprometiendo con ello su imparcialidad.</w:t>
      </w:r>
    </w:p>
    <w:p w:rsidR="0026452D" w:rsidRDefault="0026452D" w:rsidP="0026452D">
      <w:pPr>
        <w:pStyle w:val="TextoNormal"/>
      </w:pPr>
    </w:p>
    <w:p w:rsidR="0026452D" w:rsidRDefault="0026452D" w:rsidP="0026452D">
      <w:pPr>
        <w:pStyle w:val="TextoNormal"/>
      </w:pPr>
      <w:r>
        <w:t>También aducen los demandantes la vulneración del derecho a un Juez imparcial (art. 24.2 CE), al no haberse abstenido dos de los Magistrados integrantes de la Sección Segunda de la Audiencia Provincial de Huelva, que ha dictado la Sentencia condenatoria impugnada, del enjuiciamiento de la apelación, tras haber intervenido en la resolución del recurso de apelación interpuesto por la acusación particular frente al sobreseimiento de la causa decretado por el Juzgado de lo Penal en relación con los demandantes, revocando dicho sobreseimiento (Auto de 17 de octubre de 2007).</w:t>
      </w:r>
    </w:p>
    <w:p w:rsidR="0026452D" w:rsidRDefault="0026452D" w:rsidP="0026452D">
      <w:pPr>
        <w:pStyle w:val="TextoNormal"/>
      </w:pPr>
    </w:p>
    <w:p w:rsidR="0026452D" w:rsidRDefault="0026452D" w:rsidP="0026452D">
      <w:pPr>
        <w:pStyle w:val="TextoNormal"/>
      </w:pPr>
      <w:r>
        <w:t xml:space="preserve">En cuarto lugar se alega en la demanda de amparo la infracción del derecho a la tutela judicial efectiva (art. 24.1 CE) y del principio de legalidad penal (art. 25.1 CE), por ausencia de motivación e individualización de cualquier presupuesto fáctico sobre el nexo causal entre los hechos declarados probados en la segunda instancia y una acción u omisión de los demandantes de amparo, que pueda justificar la calificación de autores de los ilícitos penales por los que han sido condenados en apelación tras ser absueltos en instancia. Además, la condena por delito doloso del art. 316 del Código penal (CP) contradice los razonamientos de la propia Sentencia, conforme a los cuales la conducta de los demandantes sólo resulta incardinable en la modalidad imprudente del art. 317 CP, si bien ello tampoco podría conducir a su condena, toda vez que la acusación particular nunca solicitó alternativamente la </w:t>
      </w:r>
      <w:r>
        <w:lastRenderedPageBreak/>
        <w:t>calificación de las conductas como imprudentes. En fin —se concluye— en ningún caso pueden ser condenados los demandantes como autores del delito contra los derechos de los trabajadores del art. 316 CP, pues en sus funciones de coordinadores de seguridad de la obra no han podido infringir las normas de prevención de riesgos laborales a las que se remite el referido tipo penal.</w:t>
      </w:r>
    </w:p>
    <w:p w:rsidR="0026452D" w:rsidRDefault="0026452D" w:rsidP="0026452D">
      <w:pPr>
        <w:pStyle w:val="TextoNormal"/>
      </w:pPr>
    </w:p>
    <w:p w:rsidR="0026452D" w:rsidRDefault="0026452D" w:rsidP="0026452D">
      <w:pPr>
        <w:pStyle w:val="TextoNormal"/>
      </w:pPr>
      <w:r>
        <w:t>Por todo ello solicitan los demandantes que se les otorgue amparo, declarando la vulneración de los derechos fundamentales referidos y, en consecuencia, la nulidad de la Sentencia dictada en apelación por Audiencia Provincial de Huelva, así como del Auto que resuelve el incidente de nulidad, confirmando la Sentencia absolutoria de instancia. Por otrosí interesan la suspensión de la ejecución de la Sentencia impugnada en amparo.</w:t>
      </w:r>
    </w:p>
    <w:p w:rsidR="0026452D" w:rsidRDefault="0026452D" w:rsidP="0026452D">
      <w:pPr>
        <w:pStyle w:val="TextoNormal"/>
      </w:pPr>
    </w:p>
    <w:p w:rsidR="0026452D" w:rsidRDefault="0026452D" w:rsidP="0026452D">
      <w:pPr>
        <w:pStyle w:val="TextoNormal"/>
      </w:pPr>
      <w:r w:rsidRPr="0026452D">
        <w:rPr>
          <w:rStyle w:val="NumeroAFNegritaCaracter"/>
        </w:rPr>
        <w:t>4</w:t>
      </w:r>
      <w:r>
        <w:t>. La Sala Primera de este Tribunal acordó la admisión a trámite del recurso de amparo mediante providencia de 28 de enero de 2013 y, conforme a lo dispuesto en el art. 51 de la Ley Orgánica del Tribunal Constitucional (LOTC), ordenó dirigir atenta comunicación al Juzgado de lo Penal núm. 4 de Huelva a fin de que emplazara a quienes hubieran sido parte en el procedimiento abreviado núm. 221-2008, excepto a los recurrentes en amparo, para que en el plazo de diez días pudieran comparecer en este proceso constitucional, no siendo necesario recabar las actuaciones correspondientes por hallarse ya a disposición de este Tribunal. Igualmente se acordó formar la correspondiente pieza separada de suspensión, que fue tramitada conforme a lo previsto en el art. 56 LOTC, ratificándose los demandantes en su solicitud de suspensión e interesando el Ministerio Fiscal que se accediese a la suspensión de la ejecución de la Sentencia impugnada en amparo únicamente en lo que se refiere a la condena a la pena privativa de libertad y accesoria de inhabilitación.</w:t>
      </w:r>
    </w:p>
    <w:p w:rsidR="0026452D" w:rsidRDefault="0026452D" w:rsidP="0026452D">
      <w:pPr>
        <w:pStyle w:val="TextoNormal"/>
      </w:pPr>
    </w:p>
    <w:p w:rsidR="0026452D" w:rsidRDefault="0026452D" w:rsidP="0026452D">
      <w:pPr>
        <w:pStyle w:val="TextoNormal"/>
      </w:pPr>
      <w:r w:rsidRPr="0026452D">
        <w:rPr>
          <w:rStyle w:val="NumeroAFNegritaCaracter"/>
        </w:rPr>
        <w:t>5</w:t>
      </w:r>
      <w:r>
        <w:t>. Por diligencia de ordenación de la Secretaría de Justicia de la Sala Primera de este Tribunal de 12 de marzo de 2013 se tuvieron por personados y partes en este proceso constitucional al Procurador de los Tribunales don Jorge Deleito García en nombre y representación de don Tomás Solaz Martínez, y a la Procuradora de los Tribunales doña María Rodríguez Puyol en nombre y representación de don José González del Carmen, que en su escrito interesó la inadmisión del recurso de amparo por extemporaneidad, por entender que, “al amparo de lo dispuesto en el art. 43.2 LOTC, el plazo para interponer el recurso es de 20 días siguientes a la notificación de la Resolución, por lo que si le fue notificada el 2 de junio, el mismo finalizaba el 3 de julio, y el recurso tuvo entrada el 6 de julio de 2010”.</w:t>
      </w:r>
    </w:p>
    <w:p w:rsidR="0026452D" w:rsidRDefault="0026452D" w:rsidP="0026452D">
      <w:pPr>
        <w:pStyle w:val="TextoNormal"/>
      </w:pPr>
    </w:p>
    <w:p w:rsidR="0026452D" w:rsidRDefault="0026452D" w:rsidP="0026452D">
      <w:pPr>
        <w:pStyle w:val="TextoNormal"/>
      </w:pPr>
      <w:r>
        <w:t>En la misma diligencia se acordó dar vista de las actuaciones a las partes personadas y al Ministerio Fiscal, por un plazo común de veinte días, para presentar las alegaciones que estimasen pertinentes, de conformidad con lo previsto en el art. 52.1 LOTC.</w:t>
      </w:r>
    </w:p>
    <w:p w:rsidR="0026452D" w:rsidRDefault="0026452D" w:rsidP="0026452D">
      <w:pPr>
        <w:pStyle w:val="TextoNormal"/>
      </w:pPr>
    </w:p>
    <w:p w:rsidR="0026452D" w:rsidRDefault="0026452D" w:rsidP="0026452D">
      <w:pPr>
        <w:pStyle w:val="TextoNormal"/>
      </w:pPr>
      <w:r w:rsidRPr="0026452D">
        <w:rPr>
          <w:rStyle w:val="NumeroAFNegritaCaracter"/>
        </w:rPr>
        <w:t>6</w:t>
      </w:r>
      <w:r>
        <w:t>. La representación de los demandantes presentó escrito de alegaciones el 12 de abril de 2013, en el que se reiteran las alegaciones expuestas en la demanda de amparo y se interesa la concesión del amparo, con apoyo en las SSTC 144/2012 y 43/2013, que estiman los recursos de amparo interpuestos por otros demandantes que fueron condenados por la misma Sentencia de la Audiencia Provincial de Huelva ahora recurrida, tras ser previamente absueltos en la instancia.</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7</w:t>
      </w:r>
      <w:r>
        <w:t>. El Ministerio Fiscal presentó alegaciones mediante escrito registrado en este Tribunal el 15 de abril de 2013. Tras exponer los antecedentes procesales del caso y las quejas que se formulan en la demanda de amparo, el Fiscal recuerda que este Tribunal ha estimado ya, en sus SSTC 144/2012 y 43/2013, los recursos de amparo interpuestos por otros demandantes que fueron condenados por la misma Sentencia de la Audiencia Provincial de Huelva ahora recurrida, tras ser previamente absueltos en la instancia. Las SSTC 144/2012 y 43/2013 consideran vulnerados el derecho a un proceso con todas las garantías, por quebrantamiento de las garantías de inmediación y contradicción, así como el derecho a la presunción de inocencia (art. 24.2 CE), y anulan, en consecuencia, sin retroacción de actuaciones, la Sentencia condenatoria dictada por la Audiencia Provincial de Huelva, aunque sólo respecto de quienes en aquellos amparos aparecían como recurrentes. Por ello, considera el Fiscal que siendo coincidentes las quejas del presente recurso de amparo a las formuladas en los amparos estimados por las citadas SSTC 144/2012 y 43/2013 en cuanto a la lesión de los derechos a un proceso con todas las garantías, por vulneración de las garantías de inmediación y contradicción, y a la presunción de inocencia, debe otorgarse a los demandantes el amparo solicitado en los mismos términos, por aplicación de lo razonado en dicha doctrina, cuyos fundamentos, que transcribe en parte el Fiscal en su escrito de alegaciones “son extrapolables a la presente demanda de amparo”. Además de lo anterior, considera el Fiscal que también debe entenderse lesionado el derecho a un Juez imparcial, porque dos de los tres Magistrados que dictaron la Sentencia condenatoria habían tomado contacto previamente con el material probatorio, al dictar el Auto de 17 de octubre de 2007 que resuelve el recurso de apelación interpuesto por la acusación particular frente al sobreseimiento de la causa decretado por el Juzgado de lo Penal en relación con los demandantes, revocando dicho sobreseimiento, y se formaron así prejuicio tanto sobre la participación de los recurrentes como sobre la culpabilidad.</w:t>
      </w:r>
    </w:p>
    <w:p w:rsidR="0026452D" w:rsidRDefault="0026452D" w:rsidP="0026452D">
      <w:pPr>
        <w:pStyle w:val="TextoNormal"/>
      </w:pPr>
    </w:p>
    <w:p w:rsidR="0026452D" w:rsidRDefault="0026452D" w:rsidP="0026452D">
      <w:pPr>
        <w:pStyle w:val="TextoNormal"/>
      </w:pPr>
      <w:r w:rsidRPr="0026452D">
        <w:rPr>
          <w:rStyle w:val="NumeroAFNegritaCaracter"/>
        </w:rPr>
        <w:t>8</w:t>
      </w:r>
      <w:r>
        <w:t>. La representación procesal de don Tomás Solaz Martínez presentó sus alegaciones mediante escrito registrado en este Tribunal el 16 de abril de 2013, en el que, con apoyo en las citadas SSTC 144/2012 y 43/2013, interesa la concesión del amparo a los recurrentes por vulneración de los derechos a la tutela judicial efectiva sin indefensión, a un proceso con todas las garantías y a la presunción de inocencia (art. 24.1 y 2 CE), y solicita que se otorgue amparo igualmente a don Tomás Solaz Martínez, don Juan Martín Correa y doña Manuela Martín Rodríguez, declarando la nulidad de la Sentencia condenatoria dictada por la Audiencia Provincial de Huelva, así como del Auto desestimatorio del incidente de nulidad promovido contra la misma.</w:t>
      </w:r>
    </w:p>
    <w:p w:rsidR="0026452D" w:rsidRDefault="0026452D" w:rsidP="0026452D">
      <w:pPr>
        <w:pStyle w:val="TextoNormal"/>
      </w:pPr>
    </w:p>
    <w:p w:rsidR="0026452D" w:rsidRDefault="0026452D" w:rsidP="0026452D">
      <w:pPr>
        <w:pStyle w:val="TextoNormal"/>
      </w:pPr>
      <w:r w:rsidRPr="0026452D">
        <w:rPr>
          <w:rStyle w:val="NumeroAFNegritaCaracter"/>
        </w:rPr>
        <w:t>9</w:t>
      </w:r>
      <w:r>
        <w:t>. La representación procesal de don José González del Carmen no presentó alegaciones.</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16 de mayo de 2013 se acordó señalar para deliberación y votación de la presente Sentencia el día 20 del mismo mes y año, no siendo por ello necesario resolver sobre la suspensión interesada.</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Es objeto de impugnación en este recurso de amparo la Sentencia dictada por la Sección Segunda de la Audiencia Provincial de Huelva el 29 de enero de 2010 (rollo de apelación núm. 246-2009) que, revocando el pronunciamiento absolutorio dictado por el Juzgado de lo Penal núm. 4 en su Sentencia de 20 de febrero de 2009 (procedimiento abreviado núm. 221-2008), condenó a los demandantes de amparo, tras el correspondiente recurso de apelación interpuesto por la acusación particular, como autores de un delito contra los derechos de los trabajadores (art. 316 del Código penal, en adelante CP) en concurso con una falta de lesiones por imprudencia (art. 621.3 CP). Esta impugnación se extiende al Auto de 3 de mayo de 2010, dictado por la misma Sección, que desestima el incidente de nulidad de actuaciones interpuesto contra la Sentencia indicada.</w:t>
      </w:r>
    </w:p>
    <w:p w:rsidR="0026452D" w:rsidRDefault="0026452D" w:rsidP="0026452D">
      <w:pPr>
        <w:pStyle w:val="TextoNormal"/>
      </w:pPr>
    </w:p>
    <w:p w:rsidR="0026452D" w:rsidRDefault="0026452D" w:rsidP="0026452D">
      <w:pPr>
        <w:pStyle w:val="TextoNormal"/>
      </w:pPr>
      <w:r>
        <w:t>Los demandantes, con invocación expresa de las SSTC 144/2012, de 2 de julio, y 43/2013, de 25 de febrero, que estiman los recursos de amparo interpuestos por otros demandantes que fueron condenados por la misma Sentencia de la Audiencia Provincial de Huelva ahora recurrida, tras ser previamente absueltos en la instancia consideran vulnerados sus derechos a un proceso con todas las garantías y a la presunción de inocencia (art. 24.2 CE), al haber sido condenados en apelación por la Audiencia Provincial de Huelva sin respetar los principios de inmediación y contradicción conforme a la doctrina sentada a partir de la STC 167/2002, de 18 de septiembre. Asimismo entienden infringido el principio acusatorio (art. 24.2 CE), en relación con el derecho a la tutela judicial efectiva (art. 24.1 CE), por haber sido condenados sin que se haya formulado una acusación concreta contra los mismos en la segunda instancia. También consideran infringido el derecho a un Juez imparcial (art. 24.2 CE), porque dos de los Magistrados que han dictado la Sentencia impugnada intervinieron previamente en la instrucción, al revocar el sobreseimiento de la causa decretado por el Juzgado de lo Penal en relación con los demandantes de amparo. En fin, se alega en la demanda de amparo la infracción del derecho a la tutela judicial efectiva (art. 24.1 CE) y del principio de legalidad penal (art. 25.1 CE), por entender que no existe fundamento en la Sentencia impugnada para considerar a los demandantes como autores de los ilícitos penales por los que han sido condenados en apelación.</w:t>
      </w:r>
    </w:p>
    <w:p w:rsidR="0026452D" w:rsidRDefault="0026452D" w:rsidP="0026452D">
      <w:pPr>
        <w:pStyle w:val="TextoNormal"/>
      </w:pPr>
    </w:p>
    <w:p w:rsidR="0026452D" w:rsidRDefault="0026452D" w:rsidP="0026452D">
      <w:pPr>
        <w:pStyle w:val="TextoNormal"/>
      </w:pPr>
      <w:r>
        <w:t>La representación procesal de don Tomás Solaz Martínez, también condenado en la causa de la que dimana el presente proceso, interesa igualmente la estimación de la demanda de amparo con apoyo en las citadas SSTC 144/2012 y 43/2013, conforme se expuso en los antecedentes de esta resolución.</w:t>
      </w:r>
    </w:p>
    <w:p w:rsidR="0026452D" w:rsidRDefault="0026452D" w:rsidP="0026452D">
      <w:pPr>
        <w:pStyle w:val="TextoNormal"/>
      </w:pPr>
    </w:p>
    <w:p w:rsidR="0026452D" w:rsidRDefault="0026452D" w:rsidP="0026452D">
      <w:pPr>
        <w:pStyle w:val="TextoNormal"/>
      </w:pPr>
      <w:r>
        <w:t>El Ministerio Fiscal interesa que, conforme a la doctrina sentada en las SSTC 144/2012 y 43/2013, respecto de otros condenados por la misma Sentencia aquí impugnada, se otorgue el amparo solicitado por los demandantes respecto de las lesiones invocadas del derecho a un proceso con todas las garantías y a la presunción de inocencia, al haberse apoyado la Sala para la condena en una ponderación de pruebas personales, entre estas la propia declaración de los demandantes, quedando sin soporte su declaración de culpabilidad una vez eliminadas estas pruebas. Asimismo considera el Fiscal que debe otorgarse el amparo a los demandantes por vulneración del derecho a un Juez imparcial, conforme ha quedado reflejado en el relato de antecedentes.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2</w:t>
      </w:r>
      <w:r>
        <w:t>. Aunque la representación procesal de don José González del Carmen no formuló alegaciones en el trámite del art. 52.1 de la Ley Orgánica del Tribunal Constitucional (LOTC), en su escrito de personación invocó, como queda expuesto en el relato de antecedentes, el óbice de extemporaneidad del recurso de amparo. Pues bien, para despejar cualquier duda al respecto debemos rechazar este óbice, toda vez que de las actuaciones resulta que el Auto de la Sección Segunda de la Audiencia Provincial de Huelva de 3 de mayo de 2010, resolutorio del incidente de nulidad, fue notificado a la representación procesal de los recurrentes el 2 de junio del mismo año, constando como fecha de entrada de su recurso de amparo en este Tribunal el 7 de julio de 2010, dentro, por tanto, del plazo de treinta días prescrito en el art. 44.2 LOTC para la interposición del recurso de amparo.</w:t>
      </w:r>
    </w:p>
    <w:p w:rsidR="0026452D" w:rsidRDefault="0026452D" w:rsidP="0026452D">
      <w:pPr>
        <w:pStyle w:val="TextoNormal"/>
      </w:pPr>
    </w:p>
    <w:p w:rsidR="0026452D" w:rsidRDefault="0026452D" w:rsidP="0026452D">
      <w:pPr>
        <w:pStyle w:val="TextoNormal"/>
      </w:pPr>
      <w:r w:rsidRPr="0026452D">
        <w:rPr>
          <w:rStyle w:val="NumeroAFNegritaCaracter"/>
        </w:rPr>
        <w:t>3</w:t>
      </w:r>
      <w:r>
        <w:t>. Entrando ya en el fondo del asunto, hay que señalar que el presente recurso de amparo presenta, como bien advierten los demandantes de amparo, el compareciente don Tomás Solaz Martínez y el Ministerio Fiscal, una coincidencia sustancial con los ya resueltos por las SSTC 144/2012, de 2 de julio, y 43/2013, de 25 de febrero. En ambas ocasiones hemos anulado, sin retroacción de actuaciones, la Sentencia de la Audiencia Provincial de Huelva de 29 de enero de 2010 (a la que se refiere también la presente demanda de amparo), aunque sólo en relación con los condenados que interpusieron los recursos de amparo núm. 5673-2010 (don Antonio Muñiz García, don Rafael Muñiz García y Hermanos Ayamonte, S.L.) y núm. 5716-2010 (doña Paloma Ogayar Lechuga), estimados, respectivamente, por las citadas SSTC 144/2012 y 43/2013. Apreciamos entonces que la Audiencia Provincial de Huelva, al condenar a los recurrentes como autores de un delito contra los derechos de los trabajadores en concurso con una falta de lesiones por imprudencia, del que habían sido previamente absueltos, operó “una alteración del relato de los hechos probados de la Sentencia de instancia con base en una valoración de las pruebas personales sin respetar las garantías de inmediación y contradicción” (SSTC 144/2012, FJ 5, y 43/2013, FJ 6) lo que constituye una vulneración del derecho a un proceso con todas las garantías (art. 24.2 CE). La condena penal quedó en consecuencia desprovista de fundamentos probatorios, por lo que declaramos también en ambos casos la vulneración del derecho a la presunción de inocencia (art. 24.2 CE).</w:t>
      </w:r>
    </w:p>
    <w:p w:rsidR="0026452D" w:rsidRDefault="0026452D" w:rsidP="0026452D">
      <w:pPr>
        <w:pStyle w:val="TextoNormal"/>
      </w:pPr>
    </w:p>
    <w:p w:rsidR="0026452D" w:rsidRDefault="0026452D" w:rsidP="0026452D">
      <w:pPr>
        <w:pStyle w:val="TextoNormal"/>
      </w:pPr>
      <w:r>
        <w:t>Es claro, por tanto, que para resolver el presente recurso de amparo habremos de atenernos a lo ya decidido en las citadas SSTC 144/2012 y 43/2013, toda vez que se formula contra la misma Sentencia y con una fundamentación coincidente en lo que se refiere a las principales quejas que sustentan la demanda de amparo, esto es, la vulneración de los derechos de los recurrentes a un proceso con todas las garantías y a la presunción de inocencia (art. 24.2 CE), al haber sido condenados en apelación por la Audiencia Provincial de Huelva sin respetar las garantías de inmediación y contradicción, conforme a la doctrina sentada a partir de la STC 167/2002 y reiterada en numerosas Sentencias posteriores. Según razonaremos a continuación, los fundamentos de esa doctrina constitucional respecto de la vulneración del derecho a un proceso con todas las garantías, por infracción de los principios de inmediación y contradicción, así como del derecho presunción de inocencia, son perfectamente trasladables al presente recurso de amparo.</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Por lo que se refiere a la vulneración del derecho a un proceso con todas las garantías (art. 24.2 CE), resulta que en este caso el Juzgado de lo Penal núm. 4 de Huelva absolvió (como al resto de acusados) a los recurrentes, Arquitectos Técnicos que desempeñaban las </w:t>
      </w:r>
      <w:r>
        <w:lastRenderedPageBreak/>
        <w:t>funciones de coordinadores en materia de seguridad en la obra en que sucedió el accidente laboral sufrido por el operario don José González del Carmen, del delito contra los derechos de los trabajadores por el que se les acusaba. Sin embargo, la Audiencia Provincial de Huelva, sin celebrar vista pública, revocó en apelación este pronunciamiento, condenando a los ahora recurrentes (junto a otros responsables de la obra) como autores del expresado tipo penal en concurso con una falta de lesiones por imprudencia, por entender que omitieron las medidas de seguridad necesarias para evitar el riesgo laboral inherente a los trabajos que habría de desempeñar en la obra el trabajador accidentado, el cual, por otra parte, tampoco habría recibido la formación exigible sobre riesgos laborales. Para ello la Audiencia modificó, en los términos que antes quedaron indicados, el hecho probado tercero de la Sentencia de instancia.</w:t>
      </w:r>
    </w:p>
    <w:p w:rsidR="0026452D" w:rsidRDefault="0026452D" w:rsidP="0026452D">
      <w:pPr>
        <w:pStyle w:val="TextoNormal"/>
      </w:pPr>
    </w:p>
    <w:p w:rsidR="0026452D" w:rsidRDefault="0026452D" w:rsidP="0026452D">
      <w:pPr>
        <w:pStyle w:val="TextoNormal"/>
      </w:pPr>
      <w:r>
        <w:t xml:space="preserve">Así las cosas, debemos constatar, como hicimos en la STC 144/2012, FJ 4 y la STC 43/2013, FJ 6, que “no nos encontramos ante un caso en que la Sala de apelación haya deducido una conclusión distinta ante unos hechos base acreditados por el Juzgado ni ante un supuesto en que ambos órganos judiciales discrepan de la calificación jurídica dada al referido </w:t>
      </w:r>
      <w:r w:rsidRPr="0026452D">
        <w:rPr>
          <w:i/>
        </w:rPr>
        <w:t>factum</w:t>
      </w:r>
      <w:r>
        <w:t>. Por el contrario, observamos que la Audiencia Provincial procede a una modificación sustancial de los hechos probados en dos aspectos que son relevantes para apreciar el ilícito penal objeto de la causa: sobre la existencia en la obra de medidas de seguridad, tanto individuales como colectivas, y sobre la información dada por parte de los responsables de las empresas constructoras a los trabajadores de los riesgos de su labor, impartiéndoles los debidos cursos de formación en materia de seguridad en el trabajo”. Para ello la Audiencia Provincial no se ha limitado a realizar una mera revisión o análisis de la estructura racional del discurso valorativo de la Sentencia de instancia, sino que, como se desprende del fundamento jurídico de la Sentencia de apelación, ha procedido a una nueva valoración de las pruebas personales (declaraciones de los acusados, perjudicado, testigos y peritos), sin celebrar vista pública.</w:t>
      </w:r>
    </w:p>
    <w:p w:rsidR="0026452D" w:rsidRDefault="0026452D" w:rsidP="0026452D">
      <w:pPr>
        <w:pStyle w:val="TextoNormal"/>
      </w:pPr>
    </w:p>
    <w:p w:rsidR="0026452D" w:rsidRDefault="0026452D" w:rsidP="0026452D">
      <w:pPr>
        <w:pStyle w:val="TextoNormal"/>
      </w:pPr>
      <w:r>
        <w:t>Esta forma de actuar de la Sala de apelación no es respetuosa con el contenido de la doctrina emanada de la STC 167/2002, por referencia a los principios de inmediación y contradicción, que imponen que la prueba personal se practique ante el órgano judicial al que corresponde su valoración, siendo notorio que “la insuficiencia del acta del juicio como medio de documentación de las pruebas de carácter personal —incluso cuando el empleo de estenotipia permita consignar literalmente las palabras pronunciadas en el curso del acto— viene dada por la imposibilidad de reflejar los aspectos no verbales de toda declaración”, y, en el caso de la garantía de contradicción, “esta conlleva el que ese examen ‘directo y personal’ de las personas cuya declaración va a ser objeto de nueva valoración en la segunda instancia se realice en el seno de una nueva audiencia en presencia de los demás interesados y parte adversas” (SSTC 144/2012, FJ 4 y 43/2013, FJ 6).</w:t>
      </w:r>
    </w:p>
    <w:p w:rsidR="0026452D" w:rsidRDefault="0026452D" w:rsidP="0026452D">
      <w:pPr>
        <w:pStyle w:val="TextoNormal"/>
      </w:pPr>
    </w:p>
    <w:p w:rsidR="0026452D" w:rsidRDefault="0026452D" w:rsidP="0026452D">
      <w:pPr>
        <w:pStyle w:val="TextoNormal"/>
      </w:pPr>
      <w:r>
        <w:t xml:space="preserve">Por otra parte, aunque la Audiencia Provincial también afirma que ha utilizado diversas pruebas documentales y periciales para sustentar su juicio de revisión (atestado policial, expediente de la Inspección de Trabajo y Seguridad Social, pericial caligráfica de la Guardia Civil), elementos probatorios que sí pueden en principio ser valorados en apelación sin necesidad de celebrar vista pública, sucede que en este caso, como también dijimos en las SSTC 144/2012, FJ 5 y 43/2013, FJ 6, los resultados de esos elementos probatorios en los que la Audiencia basa la modificación de los hechos probados de la Sentencia de instancia “están absolutamente imbricados … con la credibilidad de los testimonios de las pruebas </w:t>
      </w:r>
      <w:r>
        <w:lastRenderedPageBreak/>
        <w:t>personales que luego se desarrollaron en el plenario (declaraciones de acusados, perjudicado, testigos y peritos), no pudiéndose disociar en la forma en que se ha hecho por la Sala unos elementos de otros, pues ello supone una desnaturalización del contenido de la doctrina emanada de la STC 167/2002, al ponderarse así con esta fórmula de manera indirecta por el órgano de apelación pruebas de carácter personal sin las debidas garantías constitucionales y otorgarse por el mismo una preeminencia al contenido de las declaraciones documentadas sobre los propios testimonios personales, practicados en el momento cumbre del proceso penal respetando los principios de inmediación y contradicción”.</w:t>
      </w:r>
    </w:p>
    <w:p w:rsidR="0026452D" w:rsidRDefault="0026452D" w:rsidP="0026452D">
      <w:pPr>
        <w:pStyle w:val="TextoNormal"/>
      </w:pPr>
    </w:p>
    <w:p w:rsidR="0026452D" w:rsidRDefault="0026452D" w:rsidP="0026452D">
      <w:pPr>
        <w:pStyle w:val="TextoNormal"/>
      </w:pPr>
      <w:r>
        <w:t>De lo expuesto cabe concluir que la Sentencia impugnada de la Audiencia Provincial de Huelva ha vulnerado el derecho de los recurrentes a un proceso con todas las garantías (art. 24.2 CE), ya que les condenó como autores de un delito contra los derechos de los trabajadores en concurso con una falta de lesiones por imprudencia, del que habían sido absueltos, partiendo de una alteración del relato de hechos probados de la Sentencia de instancia con base en una valoración de pruebas personales sin celebrar vista pública y, por consiguiente, sin respetar las garantías de inmediación y contradicción.</w:t>
      </w:r>
    </w:p>
    <w:p w:rsidR="0026452D" w:rsidRDefault="0026452D" w:rsidP="0026452D">
      <w:pPr>
        <w:pStyle w:val="TextoNormal"/>
      </w:pPr>
    </w:p>
    <w:p w:rsidR="0026452D" w:rsidRDefault="0026452D" w:rsidP="0026452D">
      <w:pPr>
        <w:pStyle w:val="TextoNormal"/>
      </w:pPr>
      <w:r w:rsidRPr="0026452D">
        <w:rPr>
          <w:rStyle w:val="NumeroAFNegritaCaracter"/>
        </w:rPr>
        <w:t>5</w:t>
      </w:r>
      <w:r>
        <w:t>. La constatación de la anterior vulneración determina, como en los casos resueltos por las citadas SSTC 144/2012 y 43/2013, también la del derecho a la presunción de inocencia, en la medida en que la eliminación de las pruebas irregularmente valoradas deja sin sustento el relato de hechos probados que soporta la declaración de culpabilidad de los acusados. En efecto, aunque en el presente caso se hayan tenido en cuenta por el Tribunal de apelación, además de una serie de pruebas personales (cuya ponderación hemos invalidado de acuerdo con la doctrina derivada de la STC 167/2002), otros elementos probatorios, como cierta documental y pericial, cuya valoración en principio sí puede válidamente realizarse en segunda instancia, en la forma expuesta, sin necesidad de reproducción en el debate procesal, dada su naturaleza, como ya dijimos, sucede que “los datos derivados de estas pruebas están absolutamente imbricados con las declaraciones desarrolladas en el juicio por los acusados, testigos y peritos, pruebas de carácter personal necesitadas de inmediación, por lo que estos elementos probatorios carecen de eficacia probatoria autónoma desvinculados de estos testimonios, no siendo por sí solos suficientes para conformar prueba de cargo para enervar la presunción de inocencia” (SSTC 144/2012, FJ 6, y 43/2013, FJ 7).</w:t>
      </w:r>
    </w:p>
    <w:p w:rsidR="0026452D" w:rsidRDefault="0026452D" w:rsidP="0026452D">
      <w:pPr>
        <w:pStyle w:val="TextoNormal"/>
      </w:pPr>
    </w:p>
    <w:p w:rsidR="0026452D" w:rsidRDefault="0026452D" w:rsidP="0026452D">
      <w:pPr>
        <w:pStyle w:val="TextoNormal"/>
      </w:pPr>
      <w:r>
        <w:t>En consecuencia, hemos de declarar también la vulneración del derecho de los recurrentes a la presunción de inocencia (art. 24.2 CE), anulando la Sentencia condenatoria recaída respecto a los mismos sin retroacción de las actuaciones (nulidad que hacemos extensiva al Auto de 3 de mayo de 2010, que desestima el incidente de nulidad de actuaciones interpuesto contra la Sentencia indicada), lo que hace innecesario que nos pronunciemos sobre el resto de quejas que se formulan en la demanda de amparo.</w:t>
      </w:r>
    </w:p>
    <w:p w:rsidR="0026452D" w:rsidRDefault="0026452D" w:rsidP="0026452D">
      <w:pPr>
        <w:pStyle w:val="TextoNormal"/>
      </w:pPr>
    </w:p>
    <w:p w:rsidR="0026452D" w:rsidRDefault="0026452D" w:rsidP="0026452D">
      <w:pPr>
        <w:pStyle w:val="TextoNormal"/>
      </w:pPr>
      <w:r w:rsidRPr="0026452D">
        <w:rPr>
          <w:rStyle w:val="NumeroAFNegritaCaracter"/>
        </w:rPr>
        <w:t>6</w:t>
      </w:r>
      <w:r>
        <w:t>. Resta añadir que el alcance del amparo que se otorga se ciñe exclusivamente, como también advertíamos en las citadas SSTC 144/2012, FJ 7, y 43/2013, FJ 8, y por las mismas razones allí señaladas, a los demandantes de amparo.</w:t>
      </w:r>
    </w:p>
    <w:p w:rsidR="0026452D" w:rsidRDefault="0026452D" w:rsidP="0026452D">
      <w:pPr>
        <w:pStyle w:val="TextoNormal"/>
      </w:pPr>
    </w:p>
    <w:p w:rsidR="0026452D" w:rsidRDefault="0026452D" w:rsidP="0026452D">
      <w:pPr>
        <w:pStyle w:val="TextoNormalCentrado"/>
        <w:keepNext/>
      </w:pPr>
      <w:r>
        <w:lastRenderedPageBreak/>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don Joaquín Gutiérrez García y don José Correa Reyes y, en su virtud:</w:t>
      </w:r>
    </w:p>
    <w:p w:rsidR="0026452D" w:rsidRDefault="0026452D" w:rsidP="0026452D">
      <w:pPr>
        <w:pStyle w:val="TextoNormal"/>
      </w:pPr>
    </w:p>
    <w:p w:rsidR="0026452D" w:rsidRDefault="0026452D" w:rsidP="0026452D">
      <w:pPr>
        <w:pStyle w:val="TextoNormal"/>
      </w:pPr>
      <w:r>
        <w:t>1º Reconocer sus derechos a un proceso con todas las garantías y a la presunción de inocencia (art. 24.2 CE).</w:t>
      </w:r>
    </w:p>
    <w:p w:rsidR="0026452D" w:rsidRDefault="0026452D" w:rsidP="0026452D">
      <w:pPr>
        <w:pStyle w:val="TextoNormal"/>
      </w:pPr>
    </w:p>
    <w:p w:rsidR="0026452D" w:rsidRDefault="0026452D" w:rsidP="0026452D">
      <w:pPr>
        <w:pStyle w:val="TextoNormal"/>
      </w:pPr>
      <w:r>
        <w:t>2º Declarar la nulidad, respecto de los demandantes de amparo, de la Sentencia de la Sección Segunda de la Audiencia Provincial de Huelva de 29 de enero de 2010, dictada en rollo de apelación núm. 246-2009, así como el Auto de 3 de mayo de 2010, desestimatorio del incidente de nulidad promovido contra dicha Sentencia.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veinte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22" w:name="SENTENCIA_2013_119"/>
      <w:r>
        <w:lastRenderedPageBreak/>
        <w:t>SENTENCIA 119/2013, de 20 de mayo de 2013</w:t>
      </w:r>
    </w:p>
    <w:bookmarkEnd w:id="122"/>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145, de 18 de junio de 2013)</w:t>
      </w:r>
    </w:p>
    <w:p w:rsidR="0026452D" w:rsidRDefault="0026452D" w:rsidP="0026452D">
      <w:pPr>
        <w:pStyle w:val="TtuloBOE"/>
      </w:pPr>
    </w:p>
    <w:p w:rsidR="0026452D" w:rsidRDefault="0026452D" w:rsidP="0026452D">
      <w:pPr>
        <w:pStyle w:val="SntesisDescriptiva"/>
      </w:pPr>
      <w:r>
        <w:t>ECLI:ES:TC:2013:119</w:t>
      </w:r>
    </w:p>
    <w:p w:rsidR="0026452D" w:rsidRDefault="0026452D" w:rsidP="0026452D">
      <w:pPr>
        <w:pStyle w:val="SntesisDescriptiva"/>
      </w:pPr>
    </w:p>
    <w:p w:rsidR="0026452D" w:rsidRDefault="0026452D" w:rsidP="0026452D">
      <w:pPr>
        <w:pStyle w:val="SntesisDescriptiva"/>
      </w:pPr>
      <w:r>
        <w:t>Recurso de amparo 5676-2010. Promovido por don José Tomás Solaz Martínez en relación con la Sentencia de la Audiencia Provincial de Huelva que le condenó, en apelación, por un delito contra los derechos de los trabajadores en concurso con una falta de lesiones por imprudencia.</w:t>
      </w:r>
    </w:p>
    <w:p w:rsidR="0026452D" w:rsidRDefault="0026452D" w:rsidP="0026452D">
      <w:pPr>
        <w:pStyle w:val="SntesisDescriptiva"/>
      </w:pPr>
    </w:p>
    <w:p w:rsidR="0026452D" w:rsidRDefault="0026452D" w:rsidP="0026452D">
      <w:pPr>
        <w:pStyle w:val="SntesisAnaltica"/>
      </w:pPr>
      <w:r>
        <w:t>Vulneración de los derechos a un proceso con todas las garantías y a la presunción de inocencia: STC 144/2012 (condena fundada en la valoración de pruebas de carácter personal y pronunciada en apelación sin haber celebrado vista pública).</w:t>
      </w:r>
    </w:p>
    <w:p w:rsidR="0026452D" w:rsidRDefault="0026452D" w:rsidP="0026452D">
      <w:pPr>
        <w:pStyle w:val="SntesisAnaltica"/>
      </w:pPr>
    </w:p>
    <w:p w:rsidR="0026452D" w:rsidRDefault="0026452D" w:rsidP="0026452D">
      <w:pPr>
        <w:pStyle w:val="Extracto"/>
      </w:pPr>
      <w:r>
        <w:t>1.</w:t>
      </w:r>
      <w:r>
        <w:tab/>
        <w:t>El presente recurso de amparo presenta una coincidencia sustancial, en cuanto a la valoración de las pruebas personales en segunda instancia sin respetar las garantías de inmediación y contradicción, con los ya resueltos, respecto de otros condenados por la misma Sentencia aquí impugnada, por las SSTC 144/2012 y 43/2013 [FFJJ 3, 4].</w:t>
      </w:r>
    </w:p>
    <w:p w:rsidR="0026452D" w:rsidRDefault="0026452D" w:rsidP="0026452D">
      <w:pPr>
        <w:pStyle w:val="Extracto"/>
      </w:pPr>
    </w:p>
    <w:p w:rsidR="0026452D" w:rsidRDefault="0026452D" w:rsidP="0026452D">
      <w:pPr>
        <w:pStyle w:val="Extracto"/>
      </w:pPr>
      <w:r>
        <w:t>2.</w:t>
      </w:r>
      <w:r>
        <w:tab/>
        <w:t>Los principios de inmediación y contradicción imponen que la prueba deba practicarse ante el órgano judicial al que corresponde su valoración, siendo notoria la insuficiencia del acta del juicio como medio de documentación de las pruebas de carácter personal dada por la imposibilidad de reflejar los aspectos no verbales de toda declaración, lo que conlleva a que el examen directo y personal de las personas cuya declaración va a ser objeto de nueva valoración en la segunda instancia se realice en el seno de una nueva audiencia en presencia de los demás interesados y parte adversas (SSTC 167/2002, 144/2012, 43/2013) [FFJJ 3, 4].</w:t>
      </w:r>
    </w:p>
    <w:p w:rsidR="0026452D" w:rsidRDefault="0026452D" w:rsidP="0026452D">
      <w:pPr>
        <w:pStyle w:val="Extracto"/>
      </w:pPr>
    </w:p>
    <w:p w:rsidR="0026452D" w:rsidRDefault="0026452D" w:rsidP="0026452D">
      <w:pPr>
        <w:pStyle w:val="Extracto"/>
      </w:pPr>
      <w:r>
        <w:t>3.</w:t>
      </w:r>
      <w:r>
        <w:tab/>
        <w:t>Cuando las pruebas documentales y periciales para sustentar el juicio de revisión que pueden ser valoradas en apelación sin celebrar vista pública están absolutamente imbricadas con la credibilidad de los testimonios de las pruebas personales, la disociación entre unos elementos y otros, otorgándose preeminencia al contenido de las declaraciones documentales sobre los propios testimonios personales, supone la desnaturalización de la doctrina sobre las garantías que imponen los principios de inmediación y contradicción emanada de la STC 167/2002 [FJ 4].</w:t>
      </w:r>
    </w:p>
    <w:p w:rsidR="0026452D" w:rsidRDefault="0026452D" w:rsidP="0026452D">
      <w:pPr>
        <w:pStyle w:val="Extracto"/>
      </w:pPr>
    </w:p>
    <w:p w:rsidR="0026452D" w:rsidRDefault="0026452D" w:rsidP="0026452D">
      <w:pPr>
        <w:pStyle w:val="Extracto"/>
      </w:pPr>
      <w:r>
        <w:t>4.</w:t>
      </w:r>
      <w:r>
        <w:tab/>
        <w:t>La vulneración del derecho a un proceso con todas las garantías determina también, en el presente caso, la del derecho a la presunción de inocencia, en la medida en que la eliminación de las pruebas irregularmente valoradas deja sin sustento el relato de hechos probados que soporta la declaración de culpabilidad de los acusados, tal y como se determinó, respecto de otros condenados por la misma Sentencia aquí impugnada, en las SSTC 144/2012 y 43/2013 [FJ 5].</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lastRenderedPageBreak/>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5676-2010, promovido por don José Tomás Solaz Martínez, representado por el Procurador de los Tribunales don Jorge Deleito García y asistido por el Letrado don Manuel Vázquez Rangel, contra la Sentencia dictada por la Sección Segunda de la Audiencia Provincial de Huelva el 29 de enero de 2010 en el rollo de apelación núm. 246-2009, que estimó parcialmente los recursos de apelación interpuestos contra la Sentencia absolutoria dictada por el Juzgado de lo Penal núm. 4 de Huelva de 20 de febrero de 2009 en el procedimiento abreviado núm. 221-2008, condenando al recurrente como autor de un delito contra los derechos de los trabajadores en concurso con una falta de lesiones por imprudencia. Ha intervenido el Ministerio Fiscal. Han comparecido y formulado alegaciones don Joaquín Gutiérrez García y don José Correa Reyes, representados por el Procurador de los Tribunales don Antonio Gómez de la Serna Adrada y asistidos por el Letrado don José Antonio Sotomayor Díaz, así como don José González del Carmen, representado por la Procuradora de los Tribunales doña María Rodríguez Puyol y asistido por el Abogado don Gregorio Solanes Aguilar.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que tuvo entrada en el Registro General de este Tribunal el 13 de julio de 2010, el Procurador de los Tribunales don Jorge Deleito García, en nombre y representación de don José Tomás Solaz Martínez, interpuso recurso de amparo contra la Sentencia dictada por la Audiencia Provincial de Huelva que se cita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Son hechos relevantes para el examen de la pretensión de amparo los siguientes:</w:t>
      </w:r>
    </w:p>
    <w:p w:rsidR="0026452D" w:rsidRDefault="0026452D" w:rsidP="0026452D">
      <w:pPr>
        <w:pStyle w:val="TextoNormal"/>
      </w:pPr>
    </w:p>
    <w:p w:rsidR="0026452D" w:rsidRDefault="0026452D" w:rsidP="0026452D">
      <w:pPr>
        <w:pStyle w:val="TextoNormal"/>
      </w:pPr>
      <w:r>
        <w:t>a) El Juzgado de lo Penal núm. 4 de Huelva, por Sentencia de 20 de febrero de 2009, recaída en el procedimiento abreviado núm. 221-2008, absolvió, entre otros, a don José Tomás Solaz Martínez de los delitos contra los derechos de los trabajadores y lesiones cometidas por imprudencia grave de los que había sido acusado en razón del accidente laboral sufrido por don José González del Carmen en una obra en la que aquél desempeñaba las funciones de encargado de seguridad de la empresa Construcciones Juan Margallo, S.L.</w:t>
      </w:r>
    </w:p>
    <w:p w:rsidR="0026452D" w:rsidRDefault="0026452D" w:rsidP="0026452D">
      <w:pPr>
        <w:pStyle w:val="TextoNormal"/>
      </w:pPr>
    </w:p>
    <w:p w:rsidR="0026452D" w:rsidRDefault="0026452D" w:rsidP="0026452D">
      <w:pPr>
        <w:pStyle w:val="TextoNormal"/>
      </w:pPr>
      <w:r>
        <w:t>Dicha Sentencia contiene el siguiente relato de hechos probados:</w:t>
      </w:r>
    </w:p>
    <w:p w:rsidR="0026452D" w:rsidRDefault="0026452D" w:rsidP="0026452D">
      <w:pPr>
        <w:pStyle w:val="TextoNormal"/>
      </w:pPr>
    </w:p>
    <w:p w:rsidR="0026452D" w:rsidRDefault="0026452D" w:rsidP="0026452D">
      <w:pPr>
        <w:pStyle w:val="TextoNormal"/>
      </w:pPr>
      <w:r>
        <w:lastRenderedPageBreak/>
        <w:t>“Primero.- Sobre las 16:45 horas del día 8 de junio de 2005 el operario pintor con categoría profesional de peón José González del Carmen, de 21 años de edad, que se hallaba trabajando como asalariado para la empresa Hermanos Muñiz de Ayamonte, S.L., contratada por la empresa Construcciones Juan Margallo, S.L., para efectuar labores de pintura en la obra de la Urbanización Huerta Beas II, de Ayamonte, de la que era promotora la empresa Vitomarsa &amp; Conalmar, UTE, pintaba el techo y la cornisa de un local comercial sito en la mencionada obra a una altura de unos 6,30 metros, actuando por indicación del encargado de cuadrilla … utilizando a tal fin un rodillo con alargador de unos 5 metros de longitud cuando, por causas no precisadas, perdió el equilibrio y cayó al vacío, estrellándose contra el suelo y sufriendo de este modo menoscabo físico … tardando en sanar 240 días, todos los cuales estuvo impedido para sus ocupaciones habituales y hospitalizado, y restándole como secuelas…</w:t>
      </w:r>
    </w:p>
    <w:p w:rsidR="0026452D" w:rsidRDefault="0026452D" w:rsidP="0026452D">
      <w:pPr>
        <w:pStyle w:val="TextoNormal"/>
      </w:pPr>
    </w:p>
    <w:p w:rsidR="0026452D" w:rsidRDefault="0026452D" w:rsidP="0026452D">
      <w:pPr>
        <w:pStyle w:val="TextoNormal"/>
      </w:pPr>
      <w:r>
        <w:t>Segundo.- La empresa Construcciones Juan Margallo, S.L., contaba como representante legal en aquellas fechas a Juan Martín Correa, desempeñando la tarea de encargados de seguridad José Tomás Solaz Martínez y Manuela Martín Rodríguez, y Paloma Ogayar Lechuga, la de Jefa de la obra descrita; Rafael Muñiz García y Antonio Muñiz García eran los representantes legales de Hermanos Muñiz, S.L., y los arquitectos técnicos Joaquín José Gutiérrez García y José Manuel Correa Reyes desempeñaban la tarea de coordinadores de seguridad; todos ellos eran mayores de edad y carecían de antecedentes penales. Tanto Hermanos Muñiz de Ayamonte, S.L., como Construcciones Juan Margallo, S.L., tenían concertadas pólizas de accidente con la Estrella, S.A., de Seguros, en virtud de una de las cuales dicha entidad abonó al lesionado José González del Carmen la suma de 39.000 euros.</w:t>
      </w:r>
    </w:p>
    <w:p w:rsidR="0026452D" w:rsidRDefault="0026452D" w:rsidP="0026452D">
      <w:pPr>
        <w:pStyle w:val="TextoNormal"/>
      </w:pPr>
    </w:p>
    <w:p w:rsidR="0026452D" w:rsidRDefault="0026452D" w:rsidP="0026452D">
      <w:pPr>
        <w:pStyle w:val="TextoNormal"/>
      </w:pPr>
      <w:r>
        <w:t>Tercero.- No se ha acreditado que la obra mencionada careciera de las medidas de protección frente a riesgos de caída de altura consistentes en la implantación de barandillas protectoras en plataformas, andamios y pasarelas, así como en los desniveles, huecos y aberturas existentes en los pisos de las obras, que supongan para los trabajadores un riesgo de caída de altura superior a 2 metros; tampoco, que la caída del trabajador José González del Carmen trajera por causa la no implantación por los responsables de las empresas constructoras de medidas de seguridad en la obra de referencia, ni que éstos dejaran de informar a los trabajadores a su cargo de los riesgos aparejados a las tareas que desempeñaban; tampoco, que dichos responsables incumplieran sus deberes relacionados con la supervisión de las medidas de seguridad, colectivas e individuales, que eran precisas para que los trabajadores desempeñaran su labor con las debidas garantías; consta por el contrario acreditado que los trabajadores de la obra tenían a su disposición medidas individuales de seguridad consistentes, entre otras, en cascos y cinturones de seguridad suministrados por las empresas indicadas, las cuales impartieron además en diversas ocasiones a los operarios cursos en materia de seguridad en el trabajo adecuados a las tareas a realizar.”</w:t>
      </w:r>
    </w:p>
    <w:p w:rsidR="0026452D" w:rsidRDefault="0026452D" w:rsidP="0026452D">
      <w:pPr>
        <w:pStyle w:val="TextoNormal"/>
      </w:pPr>
    </w:p>
    <w:p w:rsidR="0026452D" w:rsidRDefault="0026452D" w:rsidP="0026452D">
      <w:pPr>
        <w:pStyle w:val="TextoNormal"/>
      </w:pPr>
      <w:r>
        <w:t xml:space="preserve">b) Interpuestos contra la anterior Sentencia recursos de apelación por el Ministerio Fiscal y la acusación particular, la Sección Segunda de la Audiencia Provincial de Huelva, sin celebrar vista pública, dictó Sentencia de 29 de enero de 2010 en el rollo de apelación núm. 246-2009, por la que, estimando parcialmente los recursos, condenó, entre otros, a don José Tomás Solaz Martínez, como autor de un delito contra los derechos de los trabajadores en concurso con una falta de lesiones por imprudencia, a las penas, por el delito, de nueve meses de prisión y multa de nueve meses con una cuota diaria de diez euros o apremio </w:t>
      </w:r>
      <w:r>
        <w:lastRenderedPageBreak/>
        <w:t>personal subsidiario de un día por cada dos cuotas en caso de impago, accesoria de inhabilitación especial por nueve meses para el ejercicio del cargo de coordinadores de seguridad y salud; y, por la falta, a la pena de veinte días de multa con una cuota diaria de diez euros o apremio personal subsidiario de un día por cada dos cuotas en caso de impago. En concepto de responsabilidad civil se le condenaba, junto al resto de los condenados, al abono conjunto y solidario de 227.371,50 euros a don José González del Carmen.</w:t>
      </w:r>
    </w:p>
    <w:p w:rsidR="0026452D" w:rsidRDefault="0026452D" w:rsidP="0026452D">
      <w:pPr>
        <w:pStyle w:val="TextoNormal"/>
      </w:pPr>
    </w:p>
    <w:p w:rsidR="0026452D" w:rsidRDefault="0026452D" w:rsidP="0026452D">
      <w:pPr>
        <w:pStyle w:val="TextoNormal"/>
      </w:pPr>
      <w:r>
        <w:t>Para sustentar este pronunciamiento condenatorio, la Sala no aceptó el hecho probado tercero de la Sentencia de instancia, que fue sustituido por el siguiente:</w:t>
      </w:r>
    </w:p>
    <w:p w:rsidR="0026452D" w:rsidRDefault="0026452D" w:rsidP="0026452D">
      <w:pPr>
        <w:pStyle w:val="TextoNormal"/>
      </w:pPr>
    </w:p>
    <w:p w:rsidR="0026452D" w:rsidRDefault="0026452D" w:rsidP="0026452D">
      <w:pPr>
        <w:pStyle w:val="TextoNormal"/>
      </w:pPr>
      <w:r>
        <w:t>“Los trabajos de pintura de cornisa e interior de techo llevados a cabo por José González del Carmen se localizaban en la parte superior de una estructura en forma de torreón de tres alturas que alojaba una escalera circular interior, no contando con barandillas, vallas, sargentos u otro sistema de protección alguno en sus dos niveles superiores y sí únicamente con una barandillas en el arranque de la escalera en el piso inferior. Tampoco existían redes u otro elemento de protección frente a caídas.</w:t>
      </w:r>
    </w:p>
    <w:p w:rsidR="0026452D" w:rsidRDefault="0026452D" w:rsidP="0026452D">
      <w:pPr>
        <w:pStyle w:val="TextoNormal"/>
      </w:pPr>
    </w:p>
    <w:p w:rsidR="0026452D" w:rsidRDefault="0026452D" w:rsidP="0026452D">
      <w:pPr>
        <w:pStyle w:val="TextoNormal"/>
      </w:pPr>
      <w:r>
        <w:t>Había en la obra arneses que los trabajadores tenían que solicitar si entendían que les hacía falta.</w:t>
      </w:r>
    </w:p>
    <w:p w:rsidR="0026452D" w:rsidRDefault="0026452D" w:rsidP="0026452D">
      <w:pPr>
        <w:pStyle w:val="TextoNormal"/>
      </w:pPr>
    </w:p>
    <w:p w:rsidR="0026452D" w:rsidRDefault="0026452D" w:rsidP="0026452D">
      <w:pPr>
        <w:pStyle w:val="TextoNormal"/>
      </w:pPr>
      <w:r>
        <w:t>No ha quedado acreditado que José González del Carmen recibiera adecuada formación sobre riesgos laborales en general o inherentes a los trabajos que habría de desempeñar en la obra.”</w:t>
      </w:r>
    </w:p>
    <w:p w:rsidR="0026452D" w:rsidRDefault="0026452D" w:rsidP="0026452D">
      <w:pPr>
        <w:pStyle w:val="TextoNormal"/>
      </w:pPr>
    </w:p>
    <w:p w:rsidR="0026452D" w:rsidRDefault="0026452D" w:rsidP="0026452D">
      <w:pPr>
        <w:pStyle w:val="TextoNormal"/>
      </w:pPr>
      <w:r>
        <w:t>La Sala consideró acreditado este nuevo hecho probado, en el fundamento jurídico tercero de su Sentencia, conforme a los siguientes razonamientos:</w:t>
      </w:r>
    </w:p>
    <w:p w:rsidR="0026452D" w:rsidRDefault="0026452D" w:rsidP="0026452D">
      <w:pPr>
        <w:pStyle w:val="TextoNormal"/>
      </w:pPr>
    </w:p>
    <w:p w:rsidR="0026452D" w:rsidRDefault="0026452D" w:rsidP="0026452D">
      <w:pPr>
        <w:pStyle w:val="TextoNormal"/>
      </w:pPr>
      <w:r>
        <w:t>“Como se consigna en los hechos probados de esta Sentencia, la Sala no comparte la evaluación de la prueba practicada por parte del Juez a quo y extrae consecuencias diferentes del material probatorio que podemos sintetizar como sigue: …</w:t>
      </w:r>
    </w:p>
    <w:p w:rsidR="0026452D" w:rsidRDefault="0026452D" w:rsidP="0026452D">
      <w:pPr>
        <w:pStyle w:val="TextoNormal"/>
      </w:pPr>
    </w:p>
    <w:p w:rsidR="0026452D" w:rsidRDefault="0026452D" w:rsidP="0026452D">
      <w:pPr>
        <w:pStyle w:val="TextoNormal"/>
      </w:pPr>
      <w:r>
        <w:t>3.2 De las medidas de seguridad colectivas e individuales</w:t>
      </w:r>
    </w:p>
    <w:p w:rsidR="0026452D" w:rsidRDefault="0026452D" w:rsidP="0026452D">
      <w:pPr>
        <w:pStyle w:val="TextoNormal"/>
      </w:pPr>
    </w:p>
    <w:p w:rsidR="0026452D" w:rsidRDefault="0026452D" w:rsidP="0026452D">
      <w:pPr>
        <w:pStyle w:val="TextoNormal"/>
      </w:pPr>
      <w:r>
        <w:t>En relación con las primeras, la prueba documental obrante en autos es de enorme contundencia y sirve para desvirtuar las conclusiones obtenidas en la sentencia que se apela.</w:t>
      </w:r>
    </w:p>
    <w:p w:rsidR="0026452D" w:rsidRDefault="0026452D" w:rsidP="0026452D">
      <w:pPr>
        <w:pStyle w:val="TextoNormal"/>
      </w:pPr>
    </w:p>
    <w:p w:rsidR="0026452D" w:rsidRDefault="0026452D" w:rsidP="0026452D">
      <w:pPr>
        <w:pStyle w:val="TextoNormal"/>
      </w:pPr>
      <w:r>
        <w:t xml:space="preserve">El primer documento que existe en la causa relativo al accidente es precisamente el que abre las diligencias previas, atestado instruido por la policía local de Ayamonte el mismo día de los hechos. Documento que, por la imparcialidad que se presume de sus redactores y por el valor que hemos de otorgar a los primeros datos recopilados en situación de absoluta inmediatez, debe ser especialmente tenido en cuenta. En el mismo ya se consigna, en referencia al accidentado, que ‘... según manifestaciones de los testigos esta persona no se encontraba con ningún sistema de protección ni de sujeción, ni se encuentra sujeto con ningún sistema de seguridad así como no existía ninguna protección en el hueco de la escalera...’. No se reseña la identidad de los testigos pero el propio atestado, ratificado además en el acto del juicio por los agentes que intervinieron en su confección, tiene como recopilación de tales testimonios una virtualidad probatoria intrínseca. Pero además de ello, el relato se completa con cuatro fotografías (folios 4 y 5 de lo actuado), tomadas con tal inmediatez que </w:t>
      </w:r>
      <w:r>
        <w:lastRenderedPageBreak/>
        <w:t>aparecen en las mismas todavía la ambulancia del servicio de emergencia 061, en las que se puede apreciar que los comentarios acerca de la ausencia de toda medida de seguridad en la torre era palmaria…</w:t>
      </w:r>
    </w:p>
    <w:p w:rsidR="0026452D" w:rsidRDefault="0026452D" w:rsidP="0026452D">
      <w:pPr>
        <w:pStyle w:val="TextoNormal"/>
      </w:pPr>
    </w:p>
    <w:p w:rsidR="0026452D" w:rsidRDefault="0026452D" w:rsidP="0026452D">
      <w:pPr>
        <w:pStyle w:val="TextoNormal"/>
      </w:pPr>
      <w:r>
        <w:t>En segundo lugar, en la propuesta de sanción elaborada en el expediente sancionador abierto por los mismos hechos por la Inspección de Trabajo y Seguridad Social (folios 49 y ss.) contiene una serie de apreciaciones de suma contundencia como las que aparecen en su apartado primero donde se especifica que el trabajador ‘… cae al suelo desde lo alto por carecer el perímetro de barandillas o de otra medida de protección equivalente...’ o el tercero que, por su interés, merece la pena ser transcrito en su integridad: ‘tanto el accidentado como el encargado manifiestan que no había ninguna barrera en el acceso al edificio, siendo colocadas posteriormente. Parece razonable que así fuera, por cuanto de haber existido habrían sido saltadas al menos cuatro veces: al inspeccionar in situ la tarea, al empezar a trabajar y subir el material (rodillo y bote de 30 kgs. de pintura), al dejar de trabajar a las 2, y al volver a trabajar a las 3, con lo que recordarían su existencia. Por otra parte, si la hubiera habría que haberla quitado al realizar el trabajo ya que ese trabajo había que hacerlo, y evidentemente el pintor no es alguien ‘ajeno a la obra’ (apareció una señal que decía ‘prohibido el paso a toda persona ajena a la obra’)…</w:t>
      </w:r>
    </w:p>
    <w:p w:rsidR="0026452D" w:rsidRDefault="0026452D" w:rsidP="0026452D">
      <w:pPr>
        <w:pStyle w:val="TextoNormal"/>
      </w:pPr>
    </w:p>
    <w:p w:rsidR="0026452D" w:rsidRDefault="0026452D" w:rsidP="0026452D">
      <w:pPr>
        <w:pStyle w:val="TextoNormal"/>
      </w:pPr>
      <w:r>
        <w:t>Por lo que hace a las medidas de seguridad individuales, no podemos descartar que las hubiese en la obra, ya que algunos testigos así lo afirman y no hay otro medio de prueba que podamos tener en cuenta para contradecir dicha versión, pero acogiendo las propias apreciaciones del Sr. Juez de primer grado que tiene por acreditado (fundamento jurídico tercero de la sentencia) que ‘... los trabajadores de la obra tenían a su disposición medidas de seguridad consistentes, entre otras, en cascos y cinturones...’, considera la Sala que los cinturones o arneses, como manifiesta en juicio algún testigo los tenían que solicitar los trabajadores.</w:t>
      </w:r>
    </w:p>
    <w:p w:rsidR="0026452D" w:rsidRDefault="0026452D" w:rsidP="0026452D">
      <w:pPr>
        <w:pStyle w:val="TextoNormal"/>
      </w:pPr>
    </w:p>
    <w:p w:rsidR="0026452D" w:rsidRDefault="0026452D" w:rsidP="0026452D">
      <w:pPr>
        <w:pStyle w:val="TextoNormal"/>
      </w:pPr>
      <w:r>
        <w:t>Ello no nos sitúa tanto ante una duda acerca de si el día del accidente había en la obra cinturones o arneses a disposición de los trabajadores, sino de la obligatoriedad para los obreros de usarlos, de la supervisión que en este aspecto se hacía y, enlazando con el apartado siguiente, del propio conocimiento que José González del Carmen había adquirido, a través de la formación que se le brindó, de la importancia de usarlos en situaciones como aquella en la que el accidente se produjo.</w:t>
      </w:r>
    </w:p>
    <w:p w:rsidR="0026452D" w:rsidRDefault="0026452D" w:rsidP="0026452D">
      <w:pPr>
        <w:pStyle w:val="TextoNormal"/>
      </w:pPr>
    </w:p>
    <w:p w:rsidR="0026452D" w:rsidRDefault="0026452D" w:rsidP="0026452D">
      <w:pPr>
        <w:pStyle w:val="TextoNormal"/>
      </w:pPr>
      <w:r>
        <w:t>3.3 De la formación recibida por José González del Carmen</w:t>
      </w:r>
    </w:p>
    <w:p w:rsidR="0026452D" w:rsidRDefault="0026452D" w:rsidP="0026452D">
      <w:pPr>
        <w:pStyle w:val="TextoNormal"/>
      </w:pPr>
    </w:p>
    <w:p w:rsidR="0026452D" w:rsidRDefault="0026452D" w:rsidP="0026452D">
      <w:pPr>
        <w:pStyle w:val="TextoNormal"/>
      </w:pPr>
      <w:r>
        <w:t>Nuevamente en relación con este extremo existen versiones de testigos y acusados cuya apreciación por el Sr. Juez de lo Penal, dando en la conclusión de que la víctima había recibido la formación oportuna, no pueden ser revisadas por este Tribunal. Pero también aquí discrepamos de la sentencia criticada en tanto que existen fuentes de prueba que siembran toda una serie de dudas acerca del contenido de la formación que recibiera…</w:t>
      </w:r>
    </w:p>
    <w:p w:rsidR="0026452D" w:rsidRDefault="0026452D" w:rsidP="0026452D">
      <w:pPr>
        <w:pStyle w:val="TextoNormal"/>
      </w:pPr>
    </w:p>
    <w:p w:rsidR="0026452D" w:rsidRDefault="0026452D" w:rsidP="0026452D">
      <w:pPr>
        <w:pStyle w:val="TextoNormal"/>
      </w:pPr>
      <w:r>
        <w:t xml:space="preserve">Por último, nota la Sala una falta de coherencia interna en cuanto a la apreciación de pruebas en la sentencia de primer grado, lo que origina a su vez un déficit de precisión en las conclusiones extraídas que nos lleva a no compartir las mismas, cuando sostiene por una parte que José González del Carmen gozaba de un nivel de formación apropiado y por otra asienta en su fundamento de derecho segundo —transcrito más arriba— que tanto José como </w:t>
      </w:r>
      <w:r>
        <w:lastRenderedPageBreak/>
        <w:t>su primo Ramón ignoraban que la empresa contaba con una grúa para realizar labores de pintura de exterior a altura o en otras situaciones de riesgo. La formación e información son dos capítulos difícilmente separables y mal se podría reputar a un operario como correctamente informado cuando desconoce los recursos idóneos para llevar a efecto una determinada tarea, desconoce su carácter de inexcusables en situaciones de riesgo y no sabe siquiera si la empresa para la que trabaja cuenta con los mismos.</w:t>
      </w:r>
    </w:p>
    <w:p w:rsidR="0026452D" w:rsidRDefault="0026452D" w:rsidP="0026452D">
      <w:pPr>
        <w:pStyle w:val="TextoNormal"/>
      </w:pPr>
    </w:p>
    <w:p w:rsidR="0026452D" w:rsidRDefault="0026452D" w:rsidP="0026452D">
      <w:pPr>
        <w:pStyle w:val="TextoNormal"/>
      </w:pPr>
      <w:r>
        <w:t>En conclusión la Sala tiene por dudoso el hecho de que José González del Carmen recibiera una adecuada formación en materia de riesgos laborales.”</w:t>
      </w:r>
    </w:p>
    <w:p w:rsidR="0026452D" w:rsidRDefault="0026452D" w:rsidP="0026452D">
      <w:pPr>
        <w:pStyle w:val="TextoNormal"/>
      </w:pPr>
    </w:p>
    <w:p w:rsidR="0026452D" w:rsidRDefault="0026452D" w:rsidP="0026452D">
      <w:pPr>
        <w:pStyle w:val="TextoNormal"/>
      </w:pPr>
      <w:r>
        <w:t>Constatado lo anterior, la Sala, en el fundamento jurídico cuarto de la Sentencia, fundamenta la responsabilidad del ahora recurrente en amparo en las siguientes consideraciones:</w:t>
      </w:r>
    </w:p>
    <w:p w:rsidR="0026452D" w:rsidRDefault="0026452D" w:rsidP="0026452D">
      <w:pPr>
        <w:pStyle w:val="TextoNormal"/>
      </w:pPr>
    </w:p>
    <w:p w:rsidR="0026452D" w:rsidRDefault="0026452D" w:rsidP="0026452D">
      <w:pPr>
        <w:pStyle w:val="TextoNormal"/>
      </w:pPr>
      <w:r>
        <w:t>“4.2 Tomás Solaz Martínez y Manuela Martín Rodríguez.</w:t>
      </w:r>
    </w:p>
    <w:p w:rsidR="0026452D" w:rsidRDefault="0026452D" w:rsidP="0026452D">
      <w:pPr>
        <w:pStyle w:val="TextoNormal"/>
      </w:pPr>
    </w:p>
    <w:p w:rsidR="0026452D" w:rsidRDefault="0026452D" w:rsidP="0026452D">
      <w:pPr>
        <w:pStyle w:val="TextoNormal"/>
      </w:pPr>
      <w:r>
        <w:t>Como encargados de seguridad de ‘Construcciones Juan Margallo, S.L.’, actuando en este sentido por delegación expresa de la empresa, incumbía a los mismos generar y velar por el mantenimiento de unas condiciones de seguridad idóneas en la obra. Sin perjuicio de repartimiento del contrato entre ‘Hermanos Muñiz de Ayamonte, S.L.’ y ‘Construcciones Juan Margallo, S.L.’, lo cierto es que ambas fallaron, en la forma que se ha descrito más arriba.</w:t>
      </w:r>
    </w:p>
    <w:p w:rsidR="0026452D" w:rsidRDefault="0026452D" w:rsidP="0026452D">
      <w:pPr>
        <w:pStyle w:val="TextoNormal"/>
      </w:pPr>
    </w:p>
    <w:p w:rsidR="0026452D" w:rsidRDefault="0026452D" w:rsidP="0026452D">
      <w:pPr>
        <w:pStyle w:val="TextoNormal"/>
      </w:pPr>
      <w:r>
        <w:t>Por otro lado, no puede la Sala compartir en este punto la tesis del Juez a quo de que bastaría con que uno de los citados grupos de medidas se encontrase operativo o a disposición del trabajador. Los deberes de los empresarios frente a los trabajadores en el ámbito de la seguridad laboral, pueden en cierto modo conceptuarse como una obligación, más que de mera actividad, de resultado en cuanto a la evitación y no existe base legal para afirmar que cuando concurren varios tipos de medidas que se puedan arbitrar para conjugar un riesgo y evitar un resultado dañoso, bastaría la posibilidad de acudir a una de ellas para estimar cubierta la obligación del empleador. Consideramos, por el contrario, que todas las medidas posibles y disponibles deben ser utilizadas.</w:t>
      </w:r>
    </w:p>
    <w:p w:rsidR="0026452D" w:rsidRDefault="0026452D" w:rsidP="0026452D">
      <w:pPr>
        <w:pStyle w:val="TextoNormal"/>
      </w:pPr>
    </w:p>
    <w:p w:rsidR="0026452D" w:rsidRDefault="0026452D" w:rsidP="0026452D">
      <w:pPr>
        <w:pStyle w:val="TextoNormal"/>
      </w:pPr>
      <w:r>
        <w:t>En el caso que nos ocupa ni hubo una correcta información sobre la utilización de las medidas individuales, ni control ni supervisión sobre su utilización (el accidente se produjo tras varias horas de desarrollarse la actividad de riesgo), ni se había utilizado la maquinaria óptima para la realización del trabajo sin riesgo, como es la grúa con la que al parecer contaba la empresa, ni se habían adoptado las medidas de seguridad colectivas primeras, más naturales y lógicas para proteger el torreón (redes, barandillas fundamentalmente),cuando la obra no había en modo alguno concluido.”</w:t>
      </w:r>
    </w:p>
    <w:p w:rsidR="0026452D" w:rsidRDefault="0026452D" w:rsidP="0026452D">
      <w:pPr>
        <w:pStyle w:val="TextoNormal"/>
      </w:pPr>
    </w:p>
    <w:p w:rsidR="0026452D" w:rsidRDefault="0026452D" w:rsidP="0026452D">
      <w:pPr>
        <w:pStyle w:val="TextoNormal"/>
      </w:pPr>
      <w:r>
        <w:t>c) La representación procesal del recurrente en amparo promovió incidente de nulidad de actuaciones contra la Sentencia de la Audiencia Provincial, alegando la lesión de los derechos a un proceso con todas las garantías y a la presunción de inocencia (art. 24.2 CE), al haber sido condenado por la Sala sin haber celebrado vista pública durante la apelación y tras haber procedido en su Sentencia a modificar los hechos declarados probados por la Sentencia de instancia; también invocaba la vulneración del derecho a la tutela judicial efectiva (art. 24.1 CE), del principio acusatorio y del derecho a un Juez imparcial (art. 24.2 CE), así como del principio de legalidad penal (art. 25.1 CE).</w:t>
      </w:r>
    </w:p>
    <w:p w:rsidR="0026452D" w:rsidRDefault="0026452D" w:rsidP="0026452D">
      <w:pPr>
        <w:pStyle w:val="TextoNormal"/>
      </w:pPr>
    </w:p>
    <w:p w:rsidR="0026452D" w:rsidRDefault="0026452D" w:rsidP="0026452D">
      <w:pPr>
        <w:pStyle w:val="TextoNormal"/>
      </w:pPr>
      <w:r>
        <w:t>d) El incidente de nulidad promovido por el recurrente en amparo fue desestimado, (junto con los incidentes de nulidad promovidos por los restantes condenados), por Auto de 3 de mayo de 2010.</w:t>
      </w:r>
    </w:p>
    <w:p w:rsidR="0026452D" w:rsidRDefault="0026452D" w:rsidP="0026452D">
      <w:pPr>
        <w:pStyle w:val="TextoNormal"/>
      </w:pPr>
    </w:p>
    <w:p w:rsidR="0026452D" w:rsidRDefault="0026452D" w:rsidP="0026452D">
      <w:pPr>
        <w:pStyle w:val="TextoNormal"/>
      </w:pPr>
      <w:r w:rsidRPr="0026452D">
        <w:rPr>
          <w:rStyle w:val="NumeroAFNegritaCaracter"/>
        </w:rPr>
        <w:t>3</w:t>
      </w:r>
      <w:r>
        <w:t>. El recurrente afirma en primer lugar en su demanda que la Sentencia impugnada en amparo ha vulnerado su derecho a un proceso con todas las garantías (art. 24.2 CE), al haber corregido la Audiencia Provincial de Huelva la valoración realizada por el Juzgado de lo Penal, modificando los hechos probados de la Sentencia absolutoria de instancia, para concluir en un pronunciamiento condenatorio sin respetar los principios de inmediación y contradicción. En suma —se afirma— la Audiencia Provincial ha condenado al recurrente valorando pruebas personales sin celebrar vista pública, en franca contradicción con la doctrina constitucional sentada en la STC 167/2002, de 18 de septiembre, y pronunciamientos posteriores. Como corolario de lo anterior, se debe igualmente estimar lesionado el derecho a la presunción de inocencia (art. 24.2 CE), según el recurrente.</w:t>
      </w:r>
    </w:p>
    <w:p w:rsidR="0026452D" w:rsidRDefault="0026452D" w:rsidP="0026452D">
      <w:pPr>
        <w:pStyle w:val="TextoNormal"/>
      </w:pPr>
    </w:p>
    <w:p w:rsidR="0026452D" w:rsidRDefault="0026452D" w:rsidP="0026452D">
      <w:pPr>
        <w:pStyle w:val="TextoNormal"/>
      </w:pPr>
      <w:r>
        <w:t>Aduce asimismo el demandante de amparo que la Sentencia impugnada vulnera el derecho a la tutela judicial efectiva (art. 24.1 CE), por ausencia de motivación e individualización de cualquier presupuesto fáctico sobre el nexo causal entre los hechos declarados probados en la segunda instancia y una acción u omisión de los demandantes de amparo, que pueda justificar la calificación de autor de los ilícitos penales por los que ha sido condenado en apelación tras ser absuelto en instancia.</w:t>
      </w:r>
    </w:p>
    <w:p w:rsidR="0026452D" w:rsidRDefault="0026452D" w:rsidP="0026452D">
      <w:pPr>
        <w:pStyle w:val="TextoNormal"/>
      </w:pPr>
    </w:p>
    <w:p w:rsidR="0026452D" w:rsidRDefault="0026452D" w:rsidP="0026452D">
      <w:pPr>
        <w:pStyle w:val="TextoNormal"/>
      </w:pPr>
      <w:r>
        <w:t>Por todo ello solicita el demandante que se le otorgue amparo, declarando la vulneración de los derechos fundamentales referidos y, en consecuencia, la nulidad de la Sentencia dictada en apelación por Audiencia Provincial de Huelva. Por otrosí interesa la suspensión de la ejecución de la Sentencia impugnada en amparo.</w:t>
      </w:r>
    </w:p>
    <w:p w:rsidR="0026452D" w:rsidRDefault="0026452D" w:rsidP="0026452D">
      <w:pPr>
        <w:pStyle w:val="TextoNormal"/>
      </w:pPr>
    </w:p>
    <w:p w:rsidR="0026452D" w:rsidRDefault="0026452D" w:rsidP="0026452D">
      <w:pPr>
        <w:pStyle w:val="TextoNormal"/>
      </w:pPr>
      <w:r w:rsidRPr="0026452D">
        <w:rPr>
          <w:rStyle w:val="NumeroAFNegritaCaracter"/>
        </w:rPr>
        <w:t>4</w:t>
      </w:r>
      <w:r>
        <w:t>. La Sala Primera de este Tribunal acordó la admisión a trámite del recurso de amparo mediante providencia de 28 de enero de 2013 y, conforme a lo dispuesto en el art. 51 de la Ley Orgánica del Tribunal Constitucional (LOTC), ordenó dirigir atenta comunicación al Juzgado de lo Penal núm. 4 de Huelva a fin de que emplazara a quienes hubieran sido parte en el procedimiento abreviado núm. 221-2008, excepto al demandante en amparo, para que en el plazo de diez días pudieran comparecer en este proceso constitucional, no siendo necesario recabar las actuaciones correspondientes por hallarse ya a disposición de este Tribunal. Igualmente se acordó formar la correspondiente pieza separada de suspensión, que fue tramitada conforme a lo previsto en el art. 56 LOTC, ratificándose el demandante en su solicitud de suspensión e interesando el Ministerio Fiscal que se accediese a la suspensión de la ejecución de la Sentencia impugnada en amparo únicamente en lo que se refiere a la condena a la pena privativa de libertad.</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Por diligencia de ordenación de la Secretaría de Justicia de la Sala Primera de este Tribunal de 12 de marzo de 2013 se tuvieron por personados y partes en este proceso constitucional al Procurador don Antonio Gómez de la Serna Adrada en nombre y representación de don Joaquín Gutiérrez García y don José Correa Reyes, y a la Procuradora doña María Rodríguez Puyol en nombre y representación de don José González del Carmen, que en su escrito interesó la inadmisión del recurso de amparo por extemporaneidad, por entender que, </w:t>
      </w:r>
      <w:r>
        <w:lastRenderedPageBreak/>
        <w:t>“al amparo de lo dispuesto en el art. 43.2 LOTC, el plazo para interponer el recurso es de 20 días siguientes a la notificación de la resolución, por lo que si le fue notificada el 2 de junio, el mismo finalizaba el 3 de julio, y el recurso tuvo entrada el 6 de julio de 2010”.</w:t>
      </w:r>
    </w:p>
    <w:p w:rsidR="0026452D" w:rsidRDefault="0026452D" w:rsidP="0026452D">
      <w:pPr>
        <w:pStyle w:val="TextoNormal"/>
      </w:pPr>
    </w:p>
    <w:p w:rsidR="0026452D" w:rsidRDefault="0026452D" w:rsidP="0026452D">
      <w:pPr>
        <w:pStyle w:val="TextoNormal"/>
      </w:pPr>
      <w:r>
        <w:t>En la misma diligencia se acordó dar vista de las actuaciones a las partes personadas y al Ministerio Fiscal, por un plazo común de veinte días, para presentar las alegaciones que estimasen pertinentes, de conformidad con lo previsto en el art. 52.1 LOTC.</w:t>
      </w:r>
    </w:p>
    <w:p w:rsidR="0026452D" w:rsidRDefault="0026452D" w:rsidP="0026452D">
      <w:pPr>
        <w:pStyle w:val="TextoNormal"/>
      </w:pPr>
    </w:p>
    <w:p w:rsidR="0026452D" w:rsidRDefault="0026452D" w:rsidP="0026452D">
      <w:pPr>
        <w:pStyle w:val="TextoNormal"/>
      </w:pPr>
      <w:r w:rsidRPr="0026452D">
        <w:rPr>
          <w:rStyle w:val="NumeroAFNegritaCaracter"/>
        </w:rPr>
        <w:t>6</w:t>
      </w:r>
      <w:r>
        <w:t>. La representación procesal de don Joaquín Gutiérrez García y don José Correa Reyes presentó sus alegaciones mediante escrito registrado en este Tribunal el 12 de abril de 2013, adhiriéndose íntegramente a la demanda de amparo e interesando la concesión del amparo, con apoyo en las SSTC 144/2012 y 43/2013, que estiman los recursos de amparo interpuestos por otros demandantes que fueron condenados por la misma Sentencia de la Audiencia Provincial de Huelva ahora recurrida, tras ser previamente absueltos en la instancia.</w:t>
      </w:r>
    </w:p>
    <w:p w:rsidR="0026452D" w:rsidRDefault="0026452D" w:rsidP="0026452D">
      <w:pPr>
        <w:pStyle w:val="TextoNormal"/>
      </w:pPr>
    </w:p>
    <w:p w:rsidR="0026452D" w:rsidRDefault="0026452D" w:rsidP="0026452D">
      <w:pPr>
        <w:pStyle w:val="TextoNormal"/>
      </w:pPr>
      <w:r w:rsidRPr="0026452D">
        <w:rPr>
          <w:rStyle w:val="NumeroAFNegritaCaracter"/>
        </w:rPr>
        <w:t>7</w:t>
      </w:r>
      <w:r>
        <w:t>. La representación del demandante de amparo presentó escrito de alegaciones el 16 de abril de 2013, en el que ratifica el contenido de la demanda y, con apoyo en las citadas SSTC 144/2012 y 43/2013, interesa la concesión del amparo por vulneración de los derechos a la tutela judicial efectiva sin indefensión, a un proceso con todas las garantías y a la presunción de inocencia (art. 24.1 y 2 CE), declarando la nulidad de la Sentencia condenatoria dictada por la Audiencia Provincial de Huelva, así como del Auto desestimatorio del incidente de nulidad promovido contra la misma.</w:t>
      </w:r>
    </w:p>
    <w:p w:rsidR="0026452D" w:rsidRDefault="0026452D" w:rsidP="0026452D">
      <w:pPr>
        <w:pStyle w:val="TextoNormal"/>
      </w:pPr>
    </w:p>
    <w:p w:rsidR="0026452D" w:rsidRDefault="0026452D" w:rsidP="0026452D">
      <w:pPr>
        <w:pStyle w:val="TextoNormal"/>
      </w:pPr>
      <w:r w:rsidRPr="0026452D">
        <w:rPr>
          <w:rStyle w:val="NumeroAFNegritaCaracter"/>
        </w:rPr>
        <w:t>8</w:t>
      </w:r>
      <w:r>
        <w:t>. El Ministerio Fiscal presentó alegaciones mediante escrito registrado en este Tribunal el 19 de abril de 2013, interesando la estimación del recurso, por vulneración de los derechos fundamentales a un proceso con todas las garantías y a la presunción de inocencia.</w:t>
      </w:r>
    </w:p>
    <w:p w:rsidR="0026452D" w:rsidRDefault="0026452D" w:rsidP="0026452D">
      <w:pPr>
        <w:pStyle w:val="TextoNormal"/>
      </w:pPr>
    </w:p>
    <w:p w:rsidR="0026452D" w:rsidRDefault="0026452D" w:rsidP="0026452D">
      <w:pPr>
        <w:pStyle w:val="TextoNormal"/>
      </w:pPr>
      <w:r>
        <w:t>Respecto de la primera infracción, el Fiscal entiende que se habría producido la vulneración de los principios de inmediación y contradicción, porque la Audiencia Provincial había basado la condena del demandante de amparo en la valoración de pruebas personales no presenciadas por el Tribunal de apelación, lo que contradice la doctrina del Tribunal Constitucional (STC 167/2002). En efecto, la referencia que hace a los datos derivados de los elementos documentales e informes utilizados para sustentar la condena está absolutamente relacionada en la motivación de la Sentencia con la valoración de los testimonios de los acusados, víctima, testigos y peritos que comparecieron al juicio, por lo que aquellos elementos carecen de eficacia probatoria por sí mismos, desvinculados de dichos testimonios. De lo que se desprende que se ha producido en este caso la denunciada infracción del derecho a un proceso con todas las garantías, vista la ponderación realizada por la Sala de pruebas de naturaleza personal.</w:t>
      </w:r>
    </w:p>
    <w:p w:rsidR="0026452D" w:rsidRDefault="0026452D" w:rsidP="0026452D">
      <w:pPr>
        <w:pStyle w:val="TextoNormal"/>
      </w:pPr>
    </w:p>
    <w:p w:rsidR="0026452D" w:rsidRDefault="0026452D" w:rsidP="0026452D">
      <w:pPr>
        <w:pStyle w:val="TextoNormal"/>
      </w:pPr>
      <w:r>
        <w:t xml:space="preserve">La siguiente cuestión que analiza el Fiscal es si la vulneración apreciada del derecho a un proceso con todas las garantías conlleva, como se sostiene en la demanda, la lesión del derecho a la presunción de inocencia. En este sentido, entiende que, no siendo posible disociar los elementos de prueba que fueron llevados al plenario a través de declaraciones testificales y periciales, las supuestas pruebas documentales independientes en las que se apoya el Tribunal </w:t>
      </w:r>
      <w:r w:rsidRPr="0026452D">
        <w:rPr>
          <w:i/>
        </w:rPr>
        <w:t>ad quem</w:t>
      </w:r>
      <w:r>
        <w:t xml:space="preserve"> no revisten tal naturaleza posibilitadora de la revisión y, en consecuencia, no cabría entender existente en este caso prueba de cargo suficiente para enervar la </w:t>
      </w:r>
      <w:r>
        <w:lastRenderedPageBreak/>
        <w:t>presunción de inocencia, quedando así sin sustento el relato de hechos probados que soporta la declaración de culpabilidad del recurrente. Por lo que también este motivo debe ser estimado, según el Fiscal, con declaración de nulidad de la Sentencia condenatoria y del Auto desestimatorio del incidente de nulidad.</w:t>
      </w:r>
    </w:p>
    <w:p w:rsidR="0026452D" w:rsidRDefault="0026452D" w:rsidP="0026452D">
      <w:pPr>
        <w:pStyle w:val="TextoNormal"/>
      </w:pPr>
    </w:p>
    <w:p w:rsidR="0026452D" w:rsidRDefault="0026452D" w:rsidP="0026452D">
      <w:pPr>
        <w:pStyle w:val="TextoNormal"/>
      </w:pPr>
      <w:r w:rsidRPr="0026452D">
        <w:rPr>
          <w:rStyle w:val="NumeroAFNegritaCaracter"/>
        </w:rPr>
        <w:t>9</w:t>
      </w:r>
      <w:r>
        <w:t>. La representación procesal de don José González del Carmen no presentó alegaciones.</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16 de mayo de 2013 se acordó señalar para deliberación y votación de la presente Sentencia el día 20 del mismo mes y año, no siendo por ello necesario resolver sobre la suspensión interesada.</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Es objeto de impugnación en este recurso de amparo la Sentencia dictada por la Sección Segunda de la Audiencia Provincial de Huelva el 29 de enero de 2010 (rollo de apelación núm. 246-2009) que, revocando el pronunciamiento absolutorio dictado por el Juzgado de lo Penal núm. 4 en su Sentencia de 20 de febrero de 2009 (procedimiento abreviado núm. 221-2008), condenó al demandante de amparo, tras los correspondientes recursos de apelación interpuestos por el Fiscal y la acusación particular, como autor de un delito contra los derechos de los trabajadores (art. 316 del Código penal: CP) en concurso con una falta de lesiones por imprudencia (art. 621.3 CP). Se sobrentiende que esta impugnación se extiende al Auto de 3 de mayo de 2010, que desestima el incidente de nulidad de actuaciones interpuesto contra la Sentencia indicada.</w:t>
      </w:r>
    </w:p>
    <w:p w:rsidR="0026452D" w:rsidRDefault="0026452D" w:rsidP="0026452D">
      <w:pPr>
        <w:pStyle w:val="TextoNormal"/>
      </w:pPr>
    </w:p>
    <w:p w:rsidR="0026452D" w:rsidRDefault="0026452D" w:rsidP="0026452D">
      <w:pPr>
        <w:pStyle w:val="TextoNormal"/>
      </w:pPr>
      <w:r>
        <w:t>El demandante, con invocación expresa de las SSTC 144/2012, de 2 de julio, y 43/2013, de 25 de febrero, que estiman los recursos de amparo interpuestos por otros demandantes que fueron condenados por la misma Sentencia de la Audiencia Provincial de Huelva ahora recurrida, tras ser previamente absueltos en la instancia, considera vulnerados sus derechos a un proceso con todas las garantías y a la presunción de inocencia (art. 24.2 CE), al haber sido condenado en apelación por la Audiencia Provincial de Huelva sin respetar los principios de inmediación y contradicción, conforme a la doctrina sentada a partir de la STC 167/2002, de 18 de septiembre. Asimismo considera infringido el derecho a la tutela judicial efectiva (art. 24.1 CE), pues entiende que no existe fundamento razonable en la Sentencia impugnada para subsumir su actuación profesional en los ilícitos penales por los que ha sido condenado.</w:t>
      </w:r>
    </w:p>
    <w:p w:rsidR="0026452D" w:rsidRDefault="0026452D" w:rsidP="0026452D">
      <w:pPr>
        <w:pStyle w:val="TextoNormal"/>
      </w:pPr>
    </w:p>
    <w:p w:rsidR="0026452D" w:rsidRDefault="0026452D" w:rsidP="0026452D">
      <w:pPr>
        <w:pStyle w:val="TextoNormal"/>
      </w:pPr>
      <w:r>
        <w:t>La representación procesal de don Joaquín Gutiérrez García y don José Correa Reyes, también condenados en la causa de la que dimana el presente proceso, interesa, con apoyo en las citadas SSTC 144/2012 y 43/2013, la estimación de la demanda de amparo conforme se expuso en los antecedentes de esta resolución.</w:t>
      </w:r>
    </w:p>
    <w:p w:rsidR="0026452D" w:rsidRDefault="0026452D" w:rsidP="0026452D">
      <w:pPr>
        <w:pStyle w:val="TextoNormal"/>
      </w:pPr>
    </w:p>
    <w:p w:rsidR="0026452D" w:rsidRDefault="0026452D" w:rsidP="0026452D">
      <w:pPr>
        <w:pStyle w:val="TextoNormal"/>
      </w:pPr>
      <w:r>
        <w:t>El Ministerio Fiscal interesa que se otorgue el amparo solicitado respecto de las lesiones invocadas del derecho a un proceso con todas las garantías y a la presunción de inocencia, al haberse apoyado la Sala para la condena del demandante en una ponderación de pruebas personales en contradicción con la doctrina constitucional sentada a partir de la STC 167/2002, quedando sin soporte su declaración de culpabilidad una vez eliminadas estas pruebas.</w:t>
      </w:r>
    </w:p>
    <w:p w:rsidR="0026452D" w:rsidRDefault="0026452D" w:rsidP="0026452D">
      <w:pPr>
        <w:pStyle w:val="TextoNormal"/>
      </w:pPr>
    </w:p>
    <w:p w:rsidR="0026452D" w:rsidRDefault="0026452D" w:rsidP="0026452D">
      <w:pPr>
        <w:pStyle w:val="TextoNormal"/>
      </w:pPr>
      <w:r w:rsidRPr="0026452D">
        <w:rPr>
          <w:rStyle w:val="NumeroAFNegritaCaracter"/>
        </w:rPr>
        <w:t>2</w:t>
      </w:r>
      <w:r>
        <w:t>. Aunque la representación procesal de don José González del Carmen no formuló alegaciones en el trámite del art. 52.1 de la Ley Orgánica del Tribunal Constitucional (LOTC), en su escrito de personación invocó, como queda expuesto en el relato de antecedentes, el óbice de extemporaneidad del recurso de amparo. Pues bien, para despejar cualquier duda al respecto debemos rechazar este óbice, toda vez que de las actuaciones resulta que el Auto de la Sección Segunda de la Audiencia Provincial de Huelva de 3 de mayo de 2010, resolutorio del incidente de nulidad, fue notificado a la representación procesal de los recurrentes el 2 de junio del mismo año, constando como fecha de entrada de su recurso de amparo en este Tribunal el 13 de julio de 2010, dentro, por tanto, del plazo de treinta días prescrito en el art. 44.2 LOTC para la interposición del recurso de amparo.</w:t>
      </w:r>
    </w:p>
    <w:p w:rsidR="0026452D" w:rsidRDefault="0026452D" w:rsidP="0026452D">
      <w:pPr>
        <w:pStyle w:val="TextoNormal"/>
      </w:pPr>
    </w:p>
    <w:p w:rsidR="0026452D" w:rsidRDefault="0026452D" w:rsidP="0026452D">
      <w:pPr>
        <w:pStyle w:val="TextoNormal"/>
      </w:pPr>
      <w:r w:rsidRPr="0026452D">
        <w:rPr>
          <w:rStyle w:val="NumeroAFNegritaCaracter"/>
        </w:rPr>
        <w:t>3</w:t>
      </w:r>
      <w:r>
        <w:t>. Entrando ya en el fondo del asunto, hay que señalar que el presente recurso de amparo presenta una coincidencia sustancial, como bien advierten el demandante de amparo y los comparecientes don Joaquín Gutiérrez García y don José Correa Reyes, con los ya resueltos por las SSTC 144/2012, de 2 de julio, y 43/2013, de 25 de febrero. En ambas ocasiones hemos anulado, sin retroacción de actuaciones, la Sentencia de la Audiencia Provincial de Huelva de 29 de enero de 2010 (a la que se refiere también la presente demanda de amparo), aunque sólo en relación con los condenados que interpusieron los recursos de amparo núm. 5673-2010 (don Antonio Muñiz García, don Rafael Muñiz García y Hermanos Ayamonte, S.L.) y núm. 5716-2010 (doña Paloma Ogayar Lechuga), estimados, respectivamente, por las citadas SSTC 144/2012 y 43/2013. Apreciamos entonces que la Audiencia Provincial de Huelva, al condenar a los recurrentes como autores de un delito contra los derechos de los trabajadores en concurso con una falta de lesiones por imprudencia, del que habían sido previamente absueltos, operó “una alteración del relato de los hechos probados de la Sentencia de instancia con base en una valoración de las pruebas personales sin respetar las garantías de inmediación y contradicción” (SSTC 144/2012, FJ 5, y 43/2013, FJ 6) lo que constituye una vulneración del derecho a un proceso con todas las garantías (art. 24.2 CE). La condena penal quedó en consecuencia desprovista de fundamentos probatorios, por lo que declaramos también en ambos casos la vulneración del derecho a la presunción de inocencia (art. 24.2 CE).</w:t>
      </w:r>
    </w:p>
    <w:p w:rsidR="0026452D" w:rsidRDefault="0026452D" w:rsidP="0026452D">
      <w:pPr>
        <w:pStyle w:val="TextoNormal"/>
      </w:pPr>
    </w:p>
    <w:p w:rsidR="0026452D" w:rsidRDefault="0026452D" w:rsidP="0026452D">
      <w:pPr>
        <w:pStyle w:val="TextoNormal"/>
      </w:pPr>
      <w:r>
        <w:t>Es claro, por tanto, que para resolver el presente recurso de amparo habremos de atenernos a lo ya decidido en las citadas SSTC 144/2012 y 43/2013, toda vez que se formula contra la misma Sentencia y con una fundamentación coincidente en lo que se refiere a las principales quejas que sustentan la demanda de amparo, esto es, la vulneración de los derechos del recurrente a un proceso con todas las garantías y a la presunción de inocencia (art. 24.2 CE), al haber sido condenado en apelación por la Audiencia Provincial de Huelva sin respetar las garantías de inmediación y contradicción, conforme a la doctrina sentada a partir de la STC 167/2002 de 18 de septiembre y reiterada en numerosas Sentencias posteriores. Según razonaremos a continuación, los fundamentos de esa doctrina constitucional respecto de la vulneración del derecho a un proceso con todas las garantías, por infracción de los principios de inmediación y contradicción, así como del derecho presunción de inocencia, son perfectamente trasladables al presente recurso de amparo.</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Por lo que se refiere a la vulneración del derecho a un proceso con todas las garantías (art. 24.2 CE), resulta que en este caso el Juzgado de lo Penal núm. 4 de Huelva absolvió </w:t>
      </w:r>
      <w:r>
        <w:lastRenderedPageBreak/>
        <w:t>(como al resto de acusados) al recurrente, encargado de seguridad de la empresa principal en la obra en que sucedió el accidente laboral sufrido por el operario don José González del Carmen, del delito contra los derechos de los trabajadores por el que se les acusaba. Sin embargo, la Audiencia Provincial de Huelva, sin celebrar vista pública, revocó en apelación este pronunciamiento, condenando al ahora recurrente (junto a otros responsables de la obra) como autor del expresado tipo penal en concurso con una falta de lesiones por imprudencia, por entender que omitió las medidas de seguridad necesarias para evitar el riesgo laboral inherente a los trabajos que habría de desempeñar en la obra el trabajador accidentado, el cual, por otra parte, tampoco habría recibido la formación exigible sobre riesgos laborales. Para ello la Audiencia modificó, en los términos que antes quedaron indicados, el hecho probado tercero de la Sentencia de instancia.</w:t>
      </w:r>
    </w:p>
    <w:p w:rsidR="0026452D" w:rsidRDefault="0026452D" w:rsidP="0026452D">
      <w:pPr>
        <w:pStyle w:val="TextoNormal"/>
      </w:pPr>
    </w:p>
    <w:p w:rsidR="0026452D" w:rsidRDefault="0026452D" w:rsidP="0026452D">
      <w:pPr>
        <w:pStyle w:val="TextoNormal"/>
      </w:pPr>
      <w:r>
        <w:t xml:space="preserve">Así las cosas, debemos constatar, como hicimos en la STC 144/2012, FJ 4 y la STC 43/2013, FJ 6, que “no nos encontramos ante un caso en que la Sala de apelación haya deducido una conclusión distinta ante unos hechos base acreditados por el Juzgado ni ante un supuesto en que ambos órganos judiciales discrepan de la calificación jurídica dada al referido </w:t>
      </w:r>
      <w:r w:rsidRPr="0026452D">
        <w:rPr>
          <w:i/>
        </w:rPr>
        <w:t>factum</w:t>
      </w:r>
      <w:r>
        <w:t>. Por el contrario, observamos que la Audiencia Provincial procede a una modificación sustancial de los hechos probados en dos aspectos que son relevantes para apreciar el ilícito penal objeto de la causa: sobre la existencia en la obra de medidas de seguridad, tanto individuales como colectivas, y sobre la información dada por parte de los responsables de las empresas constructoras a los trabajadores de los riesgos de su labor, impartiéndoles los debidos cursos de formación en materia de seguridad en el trabajo”. Para ello la Audiencia Provincial no se ha limitado a realizar una mera revisión o análisis de la estructura racional del discurso valorativo de la Sentencia de instancia, sino que, como se desprende del fundamento jurídico de la Sentencia de apelación, ha procedido a una nueva valoración de las pruebas personales (declaraciones de los acusados, perjudicado, testigos y peritos), sin celebrar vista pública.</w:t>
      </w:r>
    </w:p>
    <w:p w:rsidR="0026452D" w:rsidRDefault="0026452D" w:rsidP="0026452D">
      <w:pPr>
        <w:pStyle w:val="TextoNormal"/>
      </w:pPr>
    </w:p>
    <w:p w:rsidR="0026452D" w:rsidRDefault="0026452D" w:rsidP="0026452D">
      <w:pPr>
        <w:pStyle w:val="TextoNormal"/>
      </w:pPr>
      <w:r>
        <w:t>Esta forma de actuar de la Sala de apelación no es respetuosa con el contenido de la doctrina emanada de la STC 167/2002, por referencia a los principios de inmediación y contradicción, que imponen que la prueba personal se practique ante el órgano judicial al que corresponde su valoración, siendo notorio que “la insuficiencia del acta del juicio como medio de documentación de las pruebas de carácter personal –incluso cuando el empleo de estenotipia permita consignar literalmente las palabras pronunciadas en el curso del acto– viene dada por la imposibilidad de reflejar los aspectos no verbales de toda declaración”, y, en el caso de la garantía de contradicción, “esta conlleva el que ese examen ‘directo y personal’ de las personas cuya declaración va a ser objeto de nueva valoración en la segunda instancia se realice en el seno de una nueva audiencia en presencia de los demás interesados y parte adversas” (SSTC 144/2012, FJ 4 y 43/2013, FJ 6).</w:t>
      </w:r>
    </w:p>
    <w:p w:rsidR="0026452D" w:rsidRDefault="0026452D" w:rsidP="0026452D">
      <w:pPr>
        <w:pStyle w:val="TextoNormal"/>
      </w:pPr>
    </w:p>
    <w:p w:rsidR="0026452D" w:rsidRDefault="0026452D" w:rsidP="0026452D">
      <w:pPr>
        <w:pStyle w:val="TextoNormal"/>
      </w:pPr>
      <w:r>
        <w:t xml:space="preserve">Por otra parte, aunque la Audiencia Provincial también afirma que ha utilizado diversas pruebas documentales y periciales para sustentar su juicio de revisión (atestado policial, expediente de la Inspección de Trabajo y Seguridad Social, pericial caligráfica de la Guardia Civil), elementos probatorios que sí pueden en principio ser valorados en apelación sin necesidad de celebrar vista pública, sucede que en este caso, como también dijimos en las SSTC 144/2012, FJ 5 y 43/2013, FJ 6, los resultados de esos elementos probatorios en los que la Audiencia basa la modificación de los hechos probados de la Sentencia de instancia “están absolutamente imbricados … con la credibilidad de los testimonios de las pruebas </w:t>
      </w:r>
      <w:r>
        <w:lastRenderedPageBreak/>
        <w:t>personales que luego se desarrollaron en el plenario (declaraciones de acusados, perjudicado, testigos y peritos), no pudiéndose disociar en la forma en que se ha hecho por la Sala unos elementos de otros, pues ello supone una desnaturalización del contenido de la doctrina emanada de la STC 167/2002, al ponderarse así con esta fórmula de manera indirecta por el órgano de apelación pruebas de carácter personal sin las debidas garantías constitucionales y otorgarse por el mismo una preeminencia al contenido de las declaraciones documentadas sobre los propios testimonios personales, practicados en el momento cumbre del proceso penal respetando los principios de inmediación y contradicción”.</w:t>
      </w:r>
    </w:p>
    <w:p w:rsidR="0026452D" w:rsidRDefault="0026452D" w:rsidP="0026452D">
      <w:pPr>
        <w:pStyle w:val="TextoNormal"/>
      </w:pPr>
    </w:p>
    <w:p w:rsidR="0026452D" w:rsidRDefault="0026452D" w:rsidP="0026452D">
      <w:pPr>
        <w:pStyle w:val="TextoNormal"/>
      </w:pPr>
      <w:r>
        <w:t>De lo expuesto cabe concluir que la Sentencia impugnada de la Audiencia Provincial de Huelva ha vulnerado el derecho del recurrente a un proceso con todas las garantías (art. 24.2 CE), ya que le condenó como autor de un delito contra los derechos de los trabajadores en concurso con una falta de lesiones por imprudencia, del que había sido absuelto, partiendo de una alteración del relato de hechos probados de la Sentencia de instancia con base en una valoración de pruebas personales sin celebrar vista pública y, por consiguiente, sin respetar las garantías de inmediación y contradicción.</w:t>
      </w:r>
    </w:p>
    <w:p w:rsidR="0026452D" w:rsidRDefault="0026452D" w:rsidP="0026452D">
      <w:pPr>
        <w:pStyle w:val="TextoNormal"/>
      </w:pPr>
    </w:p>
    <w:p w:rsidR="0026452D" w:rsidRDefault="0026452D" w:rsidP="0026452D">
      <w:pPr>
        <w:pStyle w:val="TextoNormal"/>
      </w:pPr>
      <w:r w:rsidRPr="0026452D">
        <w:rPr>
          <w:rStyle w:val="NumeroAFNegritaCaracter"/>
        </w:rPr>
        <w:t>5</w:t>
      </w:r>
      <w:r>
        <w:t>. La constatación de la anterior vulneración determina, como en los casos resueltos por las citadas SSTC 144/2012 y 43/2013, también la del derecho a la presunción de inocencia, en la medida en que la eliminación de las pruebas irregularmente valoradas deja sin sustento el relato de hechos probados que soporta la declaración de culpabilidad del acusado. En efecto, aunque en el presente caso se hayan tenido en cuenta por el Tribunal de apelación, además de una serie de pruebas personales (cuya ponderación hemos invalidado de acuerdo con la doctrina derivada de la STC 167/2002), otros elementos probatorios, como cierta documental y pericial, cuya valoración en principio sí puede válidamente realizarse en segunda instancia, en la forma expuesta, sin necesidad de reproducción en el debate procesal, dada su naturaleza, como ya dijimos, sucede que “los datos derivados de estas pruebas están absolutamente imbricados con las declaraciones desarrolladas en el juicio por los acusados, testigos y peritos, pruebas de carácter personal necesitadas de inmediación, por lo que estos elementos probatorios carecen de eficacia probatoria autónoma desvinculados de estos testimonios, no siendo por sí solos suficientes para conformar prueba de cargo para enervar la presunción de inocencia” (SSTC 144/2012, FJ 6, y 43/2013, FJ 7).</w:t>
      </w:r>
    </w:p>
    <w:p w:rsidR="0026452D" w:rsidRDefault="0026452D" w:rsidP="0026452D">
      <w:pPr>
        <w:pStyle w:val="TextoNormal"/>
      </w:pPr>
    </w:p>
    <w:p w:rsidR="0026452D" w:rsidRDefault="0026452D" w:rsidP="0026452D">
      <w:pPr>
        <w:pStyle w:val="TextoNormal"/>
      </w:pPr>
      <w:r>
        <w:t>En consecuencia, hemos de declarar también la vulneración del derecho del recurrente a la presunción de inocencia (art. 24.2 CE), anulando la Sentencia condenatoria recaída respecto al mismo sin retroacción de las actuaciones (nulidad que hacemos extensiva al Auto de 3 de mayo de 2010, que desestima el incidente de nulidad de actuaciones interpuesto contra la Sentencia indicada), lo que hace innecesario que nos pronunciemos sobre la queja restante que se formula en la demanda de amparo.</w:t>
      </w:r>
    </w:p>
    <w:p w:rsidR="0026452D" w:rsidRDefault="0026452D" w:rsidP="0026452D">
      <w:pPr>
        <w:pStyle w:val="TextoNormal"/>
      </w:pPr>
    </w:p>
    <w:p w:rsidR="0026452D" w:rsidRDefault="0026452D" w:rsidP="0026452D">
      <w:pPr>
        <w:pStyle w:val="TextoNormal"/>
      </w:pPr>
      <w:r w:rsidRPr="0026452D">
        <w:rPr>
          <w:rStyle w:val="NumeroAFNegritaCaracter"/>
        </w:rPr>
        <w:t>6</w:t>
      </w:r>
      <w:r>
        <w:t>. Resta añadir que el alcance del amparo que se otorga se ciñe exclusivamente, como también advertíamos en las citadas STC 144/2012, FJ 7, y 43/2013, FJ 8, y por las mismas razones allí señaladas, al demandante de amparo.</w:t>
      </w:r>
    </w:p>
    <w:p w:rsidR="0026452D" w:rsidRDefault="0026452D" w:rsidP="0026452D">
      <w:pPr>
        <w:pStyle w:val="TextoNormal"/>
      </w:pPr>
    </w:p>
    <w:p w:rsidR="0026452D" w:rsidRDefault="0026452D" w:rsidP="0026452D">
      <w:pPr>
        <w:pStyle w:val="TextoNormalCentrado"/>
        <w:keepNext/>
      </w:pPr>
      <w:r>
        <w:lastRenderedPageBreak/>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don José Tomás Solaz Martínez y, en su virtud:</w:t>
      </w:r>
    </w:p>
    <w:p w:rsidR="0026452D" w:rsidRDefault="0026452D" w:rsidP="0026452D">
      <w:pPr>
        <w:pStyle w:val="TextoNormal"/>
      </w:pPr>
    </w:p>
    <w:p w:rsidR="0026452D" w:rsidRDefault="0026452D" w:rsidP="0026452D">
      <w:pPr>
        <w:pStyle w:val="TextoNormal"/>
      </w:pPr>
      <w:r>
        <w:t>1º Reconocer sus derechos a un proceso con todas las garantías y a la presunción de inocencia (art. 24.2 CE).</w:t>
      </w:r>
    </w:p>
    <w:p w:rsidR="0026452D" w:rsidRDefault="0026452D" w:rsidP="0026452D">
      <w:pPr>
        <w:pStyle w:val="TextoNormal"/>
      </w:pPr>
    </w:p>
    <w:p w:rsidR="0026452D" w:rsidRDefault="0026452D" w:rsidP="0026452D">
      <w:pPr>
        <w:pStyle w:val="TextoNormal"/>
      </w:pPr>
      <w:r>
        <w:t>2º Declarar la nulidad, respecto del demandante de amparo, de la Sentencia de la Sección Segunda de la Audiencia Provincial de Huelva de 29 de enero de 2010, dictada en rollo de apelación núm. 246-2009, así como el Auto de 3 de mayo de 2010, desestimatorio del incidente de nulidad promovido contra dicha Sentencia.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veinte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23" w:name="SENTENCIA_2013_120"/>
      <w:r>
        <w:lastRenderedPageBreak/>
        <w:t>SENTENCIA 120/2013, de 20 de mayo de 2013</w:t>
      </w:r>
    </w:p>
    <w:bookmarkEnd w:id="123"/>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145, de 18 de junio de 2013)</w:t>
      </w:r>
    </w:p>
    <w:p w:rsidR="0026452D" w:rsidRDefault="0026452D" w:rsidP="0026452D">
      <w:pPr>
        <w:pStyle w:val="TtuloBOE"/>
      </w:pPr>
    </w:p>
    <w:p w:rsidR="0026452D" w:rsidRDefault="0026452D" w:rsidP="0026452D">
      <w:pPr>
        <w:pStyle w:val="SntesisDescriptiva"/>
      </w:pPr>
      <w:r>
        <w:t>ECLI:ES:TC:2013:120</w:t>
      </w:r>
    </w:p>
    <w:p w:rsidR="0026452D" w:rsidRDefault="0026452D" w:rsidP="0026452D">
      <w:pPr>
        <w:pStyle w:val="SntesisDescriptiva"/>
      </w:pPr>
    </w:p>
    <w:p w:rsidR="0026452D" w:rsidRDefault="0026452D" w:rsidP="0026452D">
      <w:pPr>
        <w:pStyle w:val="SntesisDescriptiva"/>
      </w:pPr>
      <w:r>
        <w:t>Recurso de amparo 5732-2010. Promovido por don Juan Martín Correa y doña Manuela Martín Rodríguez en relación con la Sentencia de la Audiencia Provincial de Huelva que les condenó, en apelación, por un delito contra los derechos de los trabajadores en concurso con una falta de lesiones por imprudencia.</w:t>
      </w:r>
    </w:p>
    <w:p w:rsidR="0026452D" w:rsidRDefault="0026452D" w:rsidP="0026452D">
      <w:pPr>
        <w:pStyle w:val="SntesisDescriptiva"/>
      </w:pPr>
    </w:p>
    <w:p w:rsidR="0026452D" w:rsidRDefault="0026452D" w:rsidP="0026452D">
      <w:pPr>
        <w:pStyle w:val="SntesisAnaltica"/>
      </w:pPr>
      <w:r>
        <w:t>Vulneración de los derechos a un proceso con todas las garantías y a la presunción de inocencia: STC 144/2012 (condena fundada en la valoración de pruebas de carácter personal y pronunciada en apelación sin haber celebrado vista pública).</w:t>
      </w:r>
    </w:p>
    <w:p w:rsidR="0026452D" w:rsidRDefault="0026452D" w:rsidP="0026452D">
      <w:pPr>
        <w:pStyle w:val="SntesisAnaltica"/>
      </w:pPr>
    </w:p>
    <w:p w:rsidR="0026452D" w:rsidRDefault="0026452D" w:rsidP="0026452D">
      <w:pPr>
        <w:pStyle w:val="Extracto"/>
      </w:pPr>
      <w:r>
        <w:t>1.</w:t>
      </w:r>
      <w:r>
        <w:tab/>
        <w:t>El presente recurso de amparo presenta una coincidencia sustancial, en cuanto a la valoración de las pruebas personales en segunda instancia sin respetar las garantías de inmediación y contradicción, con los ya resueltos, respecto de otros condenados por la misma Sentencia aquí impugnada, por las SSTC 144/2012 y 43/2013  [FFJJ 3, 4].</w:t>
      </w:r>
    </w:p>
    <w:p w:rsidR="0026452D" w:rsidRDefault="0026452D" w:rsidP="0026452D">
      <w:pPr>
        <w:pStyle w:val="Extracto"/>
      </w:pPr>
    </w:p>
    <w:p w:rsidR="0026452D" w:rsidRDefault="0026452D" w:rsidP="0026452D">
      <w:pPr>
        <w:pStyle w:val="Extracto"/>
      </w:pPr>
      <w:r>
        <w:t>2.</w:t>
      </w:r>
      <w:r>
        <w:tab/>
        <w:t>Los principios de inmediación y contradicción imponen que la prueba deba practicarse ante el órgano judicial al que corresponde su valoración, siendo notoria la insuficiencia del acta del juicio como medio de documentación de las pruebas de carácter personal dada por la imposibilidad de reflejar los aspectos no verbales de toda declaración, lo que conlleva a que el examen directo y personal de las personas cuya declaración va a ser objeto de nueva valoración en la segunda instancia se realice en el seno de una nueva audiencia en presencia de los demás interesados y parte adversas (SSTC 167/2002, 144/2012, 43/2013)  [FFJJ 3, 4].</w:t>
      </w:r>
    </w:p>
    <w:p w:rsidR="0026452D" w:rsidRDefault="0026452D" w:rsidP="0026452D">
      <w:pPr>
        <w:pStyle w:val="Extracto"/>
      </w:pPr>
    </w:p>
    <w:p w:rsidR="0026452D" w:rsidRDefault="0026452D" w:rsidP="0026452D">
      <w:pPr>
        <w:pStyle w:val="Extracto"/>
      </w:pPr>
      <w:r>
        <w:t>3.</w:t>
      </w:r>
      <w:r>
        <w:tab/>
        <w:t>Cuando las pruebas documentales y periciales para sustentar el juicio de revisión que pueden ser valoradas en apelación sin celebrar vista pública están absolutamente imbricadas con la credibilidad de los testimonios de las pruebas personales, la disociación entre unos elementos y otros, otorgándose preeminencia al contenido de las declaraciones documentales sobre los propios testimonios personales, supone la desnaturalización de la doctrina sobre las garantías que imponen los principios de inmediación y contradicción emanada de la STC 167/2002  [FJ 4].</w:t>
      </w:r>
    </w:p>
    <w:p w:rsidR="0026452D" w:rsidRDefault="0026452D" w:rsidP="0026452D">
      <w:pPr>
        <w:pStyle w:val="Extracto"/>
      </w:pPr>
    </w:p>
    <w:p w:rsidR="0026452D" w:rsidRDefault="0026452D" w:rsidP="0026452D">
      <w:pPr>
        <w:pStyle w:val="Extracto"/>
      </w:pPr>
      <w:r>
        <w:t>4.</w:t>
      </w:r>
      <w:r>
        <w:tab/>
        <w:t>La vulneración del derecho a un proceso con todas las garantías determina también, en el presente caso, la del derecho a la presunción de inocencia, en la medida en que la eliminación de las pruebas irregularmente valoradas deja sin sustento el relato de hechos probados que soporta la declaración de culpabilidad de los acusados, tal y como se determinó, respecto de otros condenados por la misma Sentencia aquí impugnada, en las SSTC 144/2012 y 43/2013 [FJ 5].</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lastRenderedPageBreak/>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5732-2010, promovido por don Juan Martín Correa y doña Manuela Martín Rodríguez, representados por el Procurador de los Tribunales don Víctor García Montes y asistido por el Letrado don Pedro Pérez Duarte, contra la Sentencia dictada por la Sección Segunda de la Audiencia Provincial de Huelva el 29 de enero de 2010 en el rollo de apelación núm. 246-2009, que estimó parcialmente los recursos de apelación interpuestos contra la Sentencia absolutoria dictada por el Juzgado de lo Penal núm. 4 de Huelva de 20 de febrero de 2009 en el procedimiento abreviado núm. 221-2008, condenando al recurrente como autor de un delito contra los derechos de los trabajadores en concurso con una falta de lesiones por imprudencia, así como frente al Auto de la misma Sección de 3 de mayo de 2009 que desestima el incidente de nulidad promovido frente a la Sentencia condenatoria. Ha intervenido el Ministerio Fiscal. Han comparecido y formulado alegaciones don Joaquín Gutiérrez García y don José Correa Reyes, representados por el Procurador de los Tribunales don Antonio Gómez de la Serna Adrada y asistidos por el Letrado don José Antonio Sotomayor Díaz, don Tomas Solaz Martínez, representado por el Procurador de los Tribunales don Jorge Deleito García y asistido por el Letrado don Manuel Vázquez Rangel, y don José González del Carmen, representado por la Procuradora de los Tribunales doña María Rodríguez Puyol y asistido por el Abogado don Gregorio Solanes Aguilar.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que tuvo entrada en el Registro General de este Tribunal el 15 de julio de 2010, el Procurador de los Tribunales don Víctor García Montes, en nombre y representación de don Juan Martín Correa y doña Manuela Martín Rodríguez, interpuso recurso de amparo contra las resoluciones dictadas por la Audiencia Provincial de Huelva que se citan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Son hechos relevantes para el examen de la pretensión de amparo los siguientes:</w:t>
      </w:r>
    </w:p>
    <w:p w:rsidR="0026452D" w:rsidRDefault="0026452D" w:rsidP="0026452D">
      <w:pPr>
        <w:pStyle w:val="TextoNormal"/>
      </w:pPr>
    </w:p>
    <w:p w:rsidR="0026452D" w:rsidRDefault="0026452D" w:rsidP="0026452D">
      <w:pPr>
        <w:pStyle w:val="TextoNormal"/>
      </w:pPr>
      <w:r>
        <w:t xml:space="preserve">a) El Juzgado de lo Penal núm. 4 de Huelva, por Sentencia de 20 de febrero de 2009, recaída en el procedimiento abreviado núm. 221-2008, absolvió, entre otros, a don Juan Martín Correa y doña Manuela Martín Rodríguez de los delitos contra los derechos de los trabajadores y lesiones cometidas por imprudencia grave de los que había sido acusado en razón del accidente laboral sufrido por don José González del Carmen en una obra en la que </w:t>
      </w:r>
      <w:r>
        <w:lastRenderedPageBreak/>
        <w:t>aquél desempeñaba las funciones de encargado de seguridad de la empresa Construcciones Juan Margallo, S.L.</w:t>
      </w:r>
    </w:p>
    <w:p w:rsidR="0026452D" w:rsidRDefault="0026452D" w:rsidP="0026452D">
      <w:pPr>
        <w:pStyle w:val="TextoNormal"/>
      </w:pPr>
    </w:p>
    <w:p w:rsidR="0026452D" w:rsidRDefault="0026452D" w:rsidP="0026452D">
      <w:pPr>
        <w:pStyle w:val="TextoNormal"/>
      </w:pPr>
      <w:r>
        <w:t>Dicha Sentencia contiene el siguiente relato de hechos probados:</w:t>
      </w:r>
    </w:p>
    <w:p w:rsidR="0026452D" w:rsidRDefault="0026452D" w:rsidP="0026452D">
      <w:pPr>
        <w:pStyle w:val="TextoNormal"/>
      </w:pPr>
    </w:p>
    <w:p w:rsidR="0026452D" w:rsidRDefault="0026452D" w:rsidP="0026452D">
      <w:pPr>
        <w:pStyle w:val="TextoNormal"/>
      </w:pPr>
      <w:r>
        <w:t>“Primero.- Sobre las 16:45 horas del día 8 de junio de 2005 el operario pintor con categoría profesional de peón José González del Carmen, de 21 años de edad, que se hallaba trabajando como asalariado para la empresa Hermanos Muñiz de Ayamonte, S.L., contratada por la empresa Construcciones Juan Margallo, S.L., para efectuar labores de pintura en la obra de la Urbanización Huerta Beas II, de Ayamonte, de la que era promotora la empresa Vitomarsa &amp; Conalmar, UTE, pintaba el techo y la cornisa de un local comercial sito en la mencionada obra a una altura de unos 6,30 metros, actuando por indicación del encargado de cuadrilla … utilizando a tal fin un rodillo con alargador de unos 5 metros de longitud cuando, por causas no precisadas, perdió el equilibrio y cayó al vacío, estrellándose contra el suelo y sufriendo de este modo menoscabo físico … tardando en sanar 240 días, todos los cuales estuvo impedido para sus ocupaciones habituales y hospitalizado, y restándole como secuelas…</w:t>
      </w:r>
    </w:p>
    <w:p w:rsidR="0026452D" w:rsidRDefault="0026452D" w:rsidP="0026452D">
      <w:pPr>
        <w:pStyle w:val="TextoNormal"/>
      </w:pPr>
    </w:p>
    <w:p w:rsidR="0026452D" w:rsidRDefault="0026452D" w:rsidP="0026452D">
      <w:pPr>
        <w:pStyle w:val="TextoNormal"/>
      </w:pPr>
      <w:r>
        <w:t>Segundo.- La empresa Construcciones Juan Margallo, S.L., contaba como representante legal en aquellas fechas a Juan Martín Correa, desempeñando la tarea de encargados de seguridad José Tomás Solaz Martínez y Manuela Martín Rodríguez, y Paloma Ogayar Lechuga, la de Jefa de la obra descrita; Rafael Muñiz García y Antonio Muñiz García eran los representantes legales de Hermanos Muñiz, S.L., y los arquitectos técnicos Joaquín José Gutiérrez García y José Manuel Correa Reyes desempeñaban la tarea de coordinadores de seguridad; todos ellos eran mayores de edad y carecían de antecedentes penales. Tanto Hermanos Muñiz de Ayamonte, S.L., como Construcciones Juan Margallo, S.L., tenían concertadas pólizas de accidente con la Estrella, S.A., de Seguros, en virtud de una de las cuales dicha entidad abonó al lesionado José González del Carmen la suma de 39.000 euros.</w:t>
      </w:r>
    </w:p>
    <w:p w:rsidR="0026452D" w:rsidRDefault="0026452D" w:rsidP="0026452D">
      <w:pPr>
        <w:pStyle w:val="TextoNormal"/>
      </w:pPr>
    </w:p>
    <w:p w:rsidR="0026452D" w:rsidRDefault="0026452D" w:rsidP="0026452D">
      <w:pPr>
        <w:pStyle w:val="TextoNormal"/>
      </w:pPr>
      <w:r>
        <w:t>Tercero.- No se ha acreditado que la obra mencionada careciera de las medidas de protección frente a riesgos de caída de altura consistentes en la implantación de barandillas protectoras en plataformas, andamios y pasarelas, así como en los desniveles, huecos y aberturas existentes en los pisos de las obras, que supongan para los trabajadores un riesgo de caída de altura superior a 2 metros; tampoco, que la caída del trabajador José González del Carmen trajera por causa la no implantación por los responsables de las empresas constructoras de medidas de seguridad en la obra de referencia, ni que éstos dejaran de informar a los trabajadores a su cargo de los riesgos aparejados a las tareas que desempeñaban; tampoco, que dichos responsables incumplieran sus deberes relacionados con la supervisión de las medidas de seguridad, colectivas e individuales, que eran precisas para que los trabajadores desempeñaran su labor con las debidas garantías; consta por el contrario acreditado que los trabajadores de la obra tenían a su disposición medidas individuales de seguridad consistentes, entre otras, en cascos y cinturones de seguridad suministrados por las empresas indicadas, las cuales impartieron además en diversas ocasiones a los operarios cursos en materia de seguridad en el trabajo adecuados a las tareas a realizar.”</w:t>
      </w:r>
    </w:p>
    <w:p w:rsidR="0026452D" w:rsidRDefault="0026452D" w:rsidP="0026452D">
      <w:pPr>
        <w:pStyle w:val="TextoNormal"/>
      </w:pPr>
    </w:p>
    <w:p w:rsidR="0026452D" w:rsidRDefault="0026452D" w:rsidP="0026452D">
      <w:pPr>
        <w:pStyle w:val="TextoNormal"/>
      </w:pPr>
      <w:r>
        <w:t xml:space="preserve">b) Interpuestos contra la anterior Sentencia recursos de apelación por el Ministerio Fiscal y la acusación particular, la Sección Segunda de la Audiencia Provincial de Huelva, sin celebrar vista pública, dictó Sentencia de 29 de enero de 2010 en el rollo de apelación núm. </w:t>
      </w:r>
      <w:r>
        <w:lastRenderedPageBreak/>
        <w:t>246-2009, por la que, estimando parcialmente los recursos, condenó, entre otros, a don Juan Martín Correa y a doña Manuela Martín Rodríguez, como autores de un delito contra los derechos de los trabajadores en concurso con una falta de lesiones por imprudencia, a las penas, por el delito, de nueve meses de prisión y multa de nueve meses con una cuota diaria de diez euros o apremio personal subsidiario de un día por cada dos cuotas en caso de impago, accesoria de inhabilitación especial por nueve meses para el ejercicio, respectivamente, de la actividad empresarial de la construcción (tanto a título personal como en la condición de administrador de persona jurídica), y del cargo de coordinadora de seguridad y salud en la misma actividad; y, por la falta, a la pena de veinte días de multa con una cuota diaria de diez euros o apremio personal subsidiario de un día por cada dos cuotas en caso de impago. En concepto de responsabilidad civil se les condenaba, junto al resto de los condenados, al abono conjunto y solidario de 227.371,50 euros a don José González del Carmen.</w:t>
      </w:r>
    </w:p>
    <w:p w:rsidR="0026452D" w:rsidRDefault="0026452D" w:rsidP="0026452D">
      <w:pPr>
        <w:pStyle w:val="TextoNormal"/>
      </w:pPr>
    </w:p>
    <w:p w:rsidR="0026452D" w:rsidRDefault="0026452D" w:rsidP="0026452D">
      <w:pPr>
        <w:pStyle w:val="TextoNormal"/>
      </w:pPr>
      <w:r>
        <w:t>Para sustentar este pronunciamiento condenatorio, la Sala no aceptó el hecho probado tercero de la Sentencia de instancia, que fue sustituido por el siguiente:</w:t>
      </w:r>
    </w:p>
    <w:p w:rsidR="0026452D" w:rsidRDefault="0026452D" w:rsidP="0026452D">
      <w:pPr>
        <w:pStyle w:val="TextoNormal"/>
      </w:pPr>
    </w:p>
    <w:p w:rsidR="0026452D" w:rsidRDefault="0026452D" w:rsidP="0026452D">
      <w:pPr>
        <w:pStyle w:val="TextoNormal"/>
      </w:pPr>
      <w:r>
        <w:t>“Los trabajos de pintura de cornisa e interior de techo llevados a cabo por José González del Carmen se localizaban en la parte superior de una estructura en forma de torreón de tres alturas que alojaba una escalera circular interior, no contando con barandillas, vallas, sargentos u otro sistema de protección alguno en sus dos niveles superiores y sí únicamente con una barandillas en el arranque de la escalera en el piso inferior. Tampoco existían redes u otro elemento de protección frente a caídas.</w:t>
      </w:r>
    </w:p>
    <w:p w:rsidR="0026452D" w:rsidRDefault="0026452D" w:rsidP="0026452D">
      <w:pPr>
        <w:pStyle w:val="TextoNormal"/>
      </w:pPr>
    </w:p>
    <w:p w:rsidR="0026452D" w:rsidRDefault="0026452D" w:rsidP="0026452D">
      <w:pPr>
        <w:pStyle w:val="TextoNormal"/>
      </w:pPr>
      <w:r>
        <w:t>Había en la obra arneses que los trabajadores tenían que solicitar si entendían que les hacía falta.</w:t>
      </w:r>
    </w:p>
    <w:p w:rsidR="0026452D" w:rsidRDefault="0026452D" w:rsidP="0026452D">
      <w:pPr>
        <w:pStyle w:val="TextoNormal"/>
      </w:pPr>
    </w:p>
    <w:p w:rsidR="0026452D" w:rsidRDefault="0026452D" w:rsidP="0026452D">
      <w:pPr>
        <w:pStyle w:val="TextoNormal"/>
      </w:pPr>
      <w:r>
        <w:t>No ha quedado acreditado que José González del Carmen recibiera adecuada formación sobre riesgos laborales en general o inherentes a los trabajos que habría de desempeñar en la obra.”</w:t>
      </w:r>
    </w:p>
    <w:p w:rsidR="0026452D" w:rsidRDefault="0026452D" w:rsidP="0026452D">
      <w:pPr>
        <w:pStyle w:val="TextoNormal"/>
      </w:pPr>
    </w:p>
    <w:p w:rsidR="0026452D" w:rsidRDefault="0026452D" w:rsidP="0026452D">
      <w:pPr>
        <w:pStyle w:val="TextoNormal"/>
      </w:pPr>
      <w:r>
        <w:t>La Sala consideró acreditado este nuevo hecho probado, en el fundamento jurídico tercero de su Sentencia, conforme a los siguientes razonamientos:</w:t>
      </w:r>
    </w:p>
    <w:p w:rsidR="0026452D" w:rsidRDefault="0026452D" w:rsidP="0026452D">
      <w:pPr>
        <w:pStyle w:val="TextoNormal"/>
      </w:pPr>
    </w:p>
    <w:p w:rsidR="0026452D" w:rsidRDefault="0026452D" w:rsidP="0026452D">
      <w:pPr>
        <w:pStyle w:val="TextoNormal"/>
      </w:pPr>
      <w:r>
        <w:t xml:space="preserve">“Como se consigna en los hechos probados de esta Sentencia, la Sala no comparte la evaluación de la prueba practicada por parte del Juez </w:t>
      </w:r>
      <w:r w:rsidRPr="0026452D">
        <w:rPr>
          <w:i/>
        </w:rPr>
        <w:t>a quo</w:t>
      </w:r>
      <w:r>
        <w:t xml:space="preserve"> y extrae consecuencias diferentes del material probatorio que podemos sintetizar como sigue: …</w:t>
      </w:r>
    </w:p>
    <w:p w:rsidR="0026452D" w:rsidRDefault="0026452D" w:rsidP="0026452D">
      <w:pPr>
        <w:pStyle w:val="TextoNormal"/>
      </w:pPr>
    </w:p>
    <w:p w:rsidR="0026452D" w:rsidRDefault="0026452D" w:rsidP="0026452D">
      <w:pPr>
        <w:pStyle w:val="TextoNormal"/>
      </w:pPr>
      <w:r>
        <w:t>3.2 De las medidas de seguridad colectivas e individuales</w:t>
      </w:r>
    </w:p>
    <w:p w:rsidR="0026452D" w:rsidRDefault="0026452D" w:rsidP="0026452D">
      <w:pPr>
        <w:pStyle w:val="TextoNormal"/>
      </w:pPr>
    </w:p>
    <w:p w:rsidR="0026452D" w:rsidRDefault="0026452D" w:rsidP="0026452D">
      <w:pPr>
        <w:pStyle w:val="TextoNormal"/>
      </w:pPr>
      <w:r>
        <w:t>En relación con las primeras, la prueba documental obrante en autos es de enorme contundencia y sirve para desvirtuar las conclusiones obtenidas en la sentencia que se apela.</w:t>
      </w:r>
    </w:p>
    <w:p w:rsidR="0026452D" w:rsidRDefault="0026452D" w:rsidP="0026452D">
      <w:pPr>
        <w:pStyle w:val="TextoNormal"/>
      </w:pPr>
    </w:p>
    <w:p w:rsidR="0026452D" w:rsidRDefault="0026452D" w:rsidP="0026452D">
      <w:pPr>
        <w:pStyle w:val="TextoNormal"/>
      </w:pPr>
      <w:r>
        <w:t xml:space="preserve">El primer documento que existe en la causa relativo al accidente es precisamente el que abre las diligencias previas, atestado instruido por la policía local de Ayamonte el mismo día de los hechos. Documento que, por la imparcialidad que se presume de sus redactores y por el valor que hemos de otorgar a los primeros datos recopilados en situación de absoluta </w:t>
      </w:r>
      <w:r>
        <w:lastRenderedPageBreak/>
        <w:t>inmediatez, debe ser especialmente tenido en cuenta. En el mismo ya se consigna, en referencia al accidentado, que ‘... según manifestaciones de los testigos esta persona no se encontraba con ningún sistema de protección ni de sujeción, ni se encuentra sujeto con ningún sistema de seguridad así como no existía ninguna protección en el hueco de la escalera...’. No se reseña la identidad de los testigos pero el propio atestado, ratificado además en el acto del juicio por los agentes que intervinieron en su confección, tiene como recopilación de tales testimonios una virtualidad probatoria intrínseca. Pero además de ello, el relato se completa con cuatro fotografías (folios 4 y 5 de lo actuado), tomadas con tal inmediatez que aparecen en las mismas todavía la ambulancia del servicio de emergencia 061, en las que se puede apreciar que los comentarios acerca de la ausencia de toda medida de seguridad en la torre era palmaria…</w:t>
      </w:r>
    </w:p>
    <w:p w:rsidR="0026452D" w:rsidRDefault="0026452D" w:rsidP="0026452D">
      <w:pPr>
        <w:pStyle w:val="TextoNormal"/>
      </w:pPr>
    </w:p>
    <w:p w:rsidR="0026452D" w:rsidRDefault="0026452D" w:rsidP="0026452D">
      <w:pPr>
        <w:pStyle w:val="TextoNormal"/>
      </w:pPr>
      <w:r>
        <w:t>En segundo lugar, en la propuesta de sanción elaborada en el expediente sancionador abierto por los mismos hechos por la Inspección de Trabajo y Seguridad Social (folios 49 y ss.) contiene una serie de apreciaciones de suma contundencia como las que aparecen en su apartado primero donde se especifica que el trabajador ‘…cae al suelo desde lo alto por carecer el perímetro de barandillas o de otra medida de protección equivalente...’ o el tercero que, por su interés, merece la pena ser transcrito en su integridad: ‘tanto el accidentado como el encargado manifiestan que no había ninguna barrera en el acceso al edificio, siendo colocadas posteriormente. Parece razonable que así fuera, por cuanto de haber existido habrían sido saltadas al menos cuatro veces: al inspeccionar in situ la tarea, al empezar a trabajar y subir el material (rodillo y bote de 30 kgs. de pintura), al dejar de trabajar a las 2, y al volver a trabajar a las 3, con lo que recordarían su existencia. Por otra parte, si la hubiera habría que haberla quitado al realizar el trabajo ya que ese trabajo había que hacerlo, y evidentemente el pintor no es alguien ‘ajeno a la obra’ (apareció una señal que decía ‘prohibido el paso a toda persona ajena a la obra’)…</w:t>
      </w:r>
    </w:p>
    <w:p w:rsidR="0026452D" w:rsidRDefault="0026452D" w:rsidP="0026452D">
      <w:pPr>
        <w:pStyle w:val="TextoNormal"/>
      </w:pPr>
    </w:p>
    <w:p w:rsidR="0026452D" w:rsidRDefault="0026452D" w:rsidP="0026452D">
      <w:pPr>
        <w:pStyle w:val="TextoNormal"/>
      </w:pPr>
      <w:r>
        <w:t>Por lo que hace a las medidas de seguridad individuales, no podemos descartar que las hubiese en la obra, ya que algunos testigos así lo afirman y no hay otro medio de prueba que podamos tener en cuenta para contradecir dicha versión, pero acogiendo las propias apreciaciones del Sr. Juez de primer grado que tiene por acreditado (fundamento jurídico tercero de la sentencia) que ‘... los trabajadores de la obra tenían a su disposición medidas de seguridad consistentes, entre otras, en cascos y cinturones...’, considera la Sala que los cinturones o arneses, como manifiesta en juicio algún testigo los tenían que solicitar los trabajadores.</w:t>
      </w:r>
    </w:p>
    <w:p w:rsidR="0026452D" w:rsidRDefault="0026452D" w:rsidP="0026452D">
      <w:pPr>
        <w:pStyle w:val="TextoNormal"/>
      </w:pPr>
    </w:p>
    <w:p w:rsidR="0026452D" w:rsidRDefault="0026452D" w:rsidP="0026452D">
      <w:pPr>
        <w:pStyle w:val="TextoNormal"/>
      </w:pPr>
      <w:r>
        <w:t>Ello no nos sitúa tanto ante una duda acerca de si el día del accidente había en la obra cinturones o arneses a disposición de los trabajadores, sino de la obligatoriedad para los obreros de usarlos, de la supervisión que en este aspecto se hacía y, enlazando con el apartado siguiente, del propio conocimiento que José González del Carmen había adquirido, a través de la formación que se le brindó, de la importancia de usarlos en situaciones como aquella en la que el accidente se produjo.</w:t>
      </w:r>
    </w:p>
    <w:p w:rsidR="0026452D" w:rsidRDefault="0026452D" w:rsidP="0026452D">
      <w:pPr>
        <w:pStyle w:val="TextoNormal"/>
      </w:pPr>
    </w:p>
    <w:p w:rsidR="0026452D" w:rsidRDefault="0026452D" w:rsidP="0026452D">
      <w:pPr>
        <w:pStyle w:val="TextoNormal"/>
      </w:pPr>
      <w:r>
        <w:t>3.3 De la formación recibida por José González del Carmen</w:t>
      </w:r>
    </w:p>
    <w:p w:rsidR="0026452D" w:rsidRDefault="0026452D" w:rsidP="0026452D">
      <w:pPr>
        <w:pStyle w:val="TextoNormal"/>
      </w:pPr>
    </w:p>
    <w:p w:rsidR="0026452D" w:rsidRDefault="0026452D" w:rsidP="0026452D">
      <w:pPr>
        <w:pStyle w:val="TextoNormal"/>
      </w:pPr>
      <w:r>
        <w:t xml:space="preserve">Nuevamente en relación con este extremo existen versiones de testigos y acusados cuya apreciación por el Sr. Juez de lo Penal, dando en la conclusión de que la víctima había recibido la formación oportuna, no pueden ser revisadas por este Tribunal. Pero también </w:t>
      </w:r>
      <w:r>
        <w:lastRenderedPageBreak/>
        <w:t>aquí discrepamos de la sentencia criticada en tanto que existen fuentes de prueba que siembran toda una serie de dudas acerca del contenido de la formación que recibiera…</w:t>
      </w:r>
    </w:p>
    <w:p w:rsidR="0026452D" w:rsidRDefault="0026452D" w:rsidP="0026452D">
      <w:pPr>
        <w:pStyle w:val="TextoNormal"/>
      </w:pPr>
    </w:p>
    <w:p w:rsidR="0026452D" w:rsidRDefault="0026452D" w:rsidP="0026452D">
      <w:pPr>
        <w:pStyle w:val="TextoNormal"/>
      </w:pPr>
      <w:r>
        <w:t>Por último, nota la Sala una falta de coherencia interna en cuanto a la apreciación de pruebas en la sentencia de primer grado, lo que origina a su vez un déficit de precisión en las conclusiones extraídas que nos lleva a no compartir las mismas, cuando sostiene por una parte que José González del Carmen gozaba de un nivel de formación apropiado y por otra asienta en su fundamento de derecho segundo —transcrito más arriba— que tanto José como su primo Ramón ignoraban que la empresa contaba con una grúa para realizar labores de pintura de exterior a altura o en otras situaciones de riesgo. La formación e información son dos capítulos difícilmente separables y mal se podría reputar a un operario como correctamente informado cuando desconoce los recursos idóneos para llevar a efecto una determinada tarea, desconoce su carácter de inexcusables en situaciones de riesgo y no sabe siquiera si la empresa para la que trabaja cuenta con los mismos.</w:t>
      </w:r>
    </w:p>
    <w:p w:rsidR="0026452D" w:rsidRDefault="0026452D" w:rsidP="0026452D">
      <w:pPr>
        <w:pStyle w:val="TextoNormal"/>
      </w:pPr>
    </w:p>
    <w:p w:rsidR="0026452D" w:rsidRDefault="0026452D" w:rsidP="0026452D">
      <w:pPr>
        <w:pStyle w:val="TextoNormal"/>
      </w:pPr>
      <w:r>
        <w:t>En conclusión la Sala tiene por dudoso el hecho de que José González del Carmen recibiera una adecuada formación en materia de riesgos laborales.”</w:t>
      </w:r>
    </w:p>
    <w:p w:rsidR="0026452D" w:rsidRDefault="0026452D" w:rsidP="0026452D">
      <w:pPr>
        <w:pStyle w:val="TextoNormal"/>
      </w:pPr>
    </w:p>
    <w:p w:rsidR="0026452D" w:rsidRDefault="0026452D" w:rsidP="0026452D">
      <w:pPr>
        <w:pStyle w:val="TextoNormal"/>
      </w:pPr>
      <w:r>
        <w:t>Constatado lo anterior, la Sala, en el fundamento jurídico cuarto de la Sentencia, fundamenta la responsabilidad de los ahora recurrentes en amparo en las siguientes consideraciones:</w:t>
      </w:r>
    </w:p>
    <w:p w:rsidR="0026452D" w:rsidRDefault="0026452D" w:rsidP="0026452D">
      <w:pPr>
        <w:pStyle w:val="TextoNormal"/>
      </w:pPr>
    </w:p>
    <w:p w:rsidR="0026452D" w:rsidRDefault="0026452D" w:rsidP="0026452D">
      <w:pPr>
        <w:pStyle w:val="TextoNormal"/>
      </w:pPr>
      <w:r>
        <w:t>“4.1. [Antonio Muñiz García, Rafael Muñiz García y] Juan Martín Correa</w:t>
      </w:r>
    </w:p>
    <w:p w:rsidR="0026452D" w:rsidRDefault="0026452D" w:rsidP="0026452D">
      <w:pPr>
        <w:pStyle w:val="TextoNormal"/>
      </w:pPr>
    </w:p>
    <w:p w:rsidR="0026452D" w:rsidRDefault="0026452D" w:rsidP="0026452D">
      <w:pPr>
        <w:pStyle w:val="TextoNormal"/>
      </w:pPr>
      <w:r>
        <w:t>Como administradores respectivamente de las empresas ‘Hermanos Muñiz de Ayamonte, S.L.’ y ‘Construcciones Juan Margallo, S.L.’, por lo que su responsabilidad entronca con lo dispuesto en los arts. 31 y 318 del Código Penal … Estos preceptos han de ser interpretados conforme a la doctrina de la Sala Segunda del Tribunal Supremo que viene a ser constante al sostener que ni suponen una superación o derogación de los principios de responsabilidad por hecho propio, culpabilidad, personalidad de las penas y responsabilidad individual, ni abren la puerta a la responsabilidad penal de las personas jurídicas…</w:t>
      </w:r>
    </w:p>
    <w:p w:rsidR="0026452D" w:rsidRDefault="0026452D" w:rsidP="0026452D">
      <w:pPr>
        <w:pStyle w:val="TextoNormal"/>
      </w:pPr>
    </w:p>
    <w:p w:rsidR="0026452D" w:rsidRDefault="0026452D" w:rsidP="0026452D">
      <w:pPr>
        <w:pStyle w:val="TextoNormal"/>
      </w:pPr>
      <w:r>
        <w:t>Estas sentencias recuerdan que el sujeto activo del delito tipificado en el art. 316 del Código Penal tiene que ser la persona legalmente obligada a facilitar los medios necesarios para que los trabajadores desempeñen su actividad con las adecuadas medidas de seguridad e higiene. Estas personas, cuando los hechos se atribuyan a una persona jurídica son, según el art. 318 Código Penal, los administradores y encargados del servicio, pero no en cualquier caso, sino aquellos que, ‘… conociendo el riesgo existente en una determinada situación, no hubieran adoptado las medidas necesarias para evitarlo mediante la observancia de las normas de prevención atinentes al caso…’ (STS de 12.11.1998, fundamento de derecho primero).</w:t>
      </w:r>
    </w:p>
    <w:p w:rsidR="0026452D" w:rsidRDefault="0026452D" w:rsidP="0026452D">
      <w:pPr>
        <w:pStyle w:val="TextoNormal"/>
      </w:pPr>
    </w:p>
    <w:p w:rsidR="0026452D" w:rsidRDefault="0026452D" w:rsidP="0026452D">
      <w:pPr>
        <w:pStyle w:val="TextoNormal"/>
      </w:pPr>
      <w:r>
        <w:t>Aplicando la precedente doctrina a la situación que ahora examinamos, ha resultado acreditado y pacífico, sin que este particular haya sido siquiera objeto de controversia, que tanto los hermanos Muñiz García como Juan Martín Correa eran administradores y representantes legales de las mercantiles ‘Hermanos Muñiz de Ayamonte, S.L.’ y ‘Construcciones Juan Margallo, S.L.”, pero que además de esta vinculación de tipo formal, estatutario o burocrá</w:t>
      </w:r>
      <w:r>
        <w:lastRenderedPageBreak/>
        <w:t>tico, tratándose de pequeñas sociedades (incluso en el caso de la segunda de ellas una sociedad unipersonal) eran los verdaderos dirigentes de las mismas en el sentido material y literal del vocablo. Es decir estas personas dirigían sus empresas, daban órdenes e instrucciones de todo tipo encontrándose más allá de sus funciones representativas y de sus atribuciones jurídicas al frente de las mismas. Por lo tanto estaban en condiciones de proveer los adecuados medios y condiciones de seguridad laboral, de conocer la situación que al respecto presentaban tanto sus empresas como los trabajos que las mismas se desarrollaban y de actuar en consecuencia.</w:t>
      </w:r>
    </w:p>
    <w:p w:rsidR="0026452D" w:rsidRDefault="0026452D" w:rsidP="0026452D">
      <w:pPr>
        <w:pStyle w:val="TextoNormal"/>
      </w:pPr>
    </w:p>
    <w:p w:rsidR="0026452D" w:rsidRDefault="0026452D" w:rsidP="0026452D">
      <w:pPr>
        <w:pStyle w:val="TextoNormal"/>
      </w:pPr>
      <w:r>
        <w:t>…Después de esta referencia a los textos de seguridad laboral no queda duda alguna de que la actuación de las empresas empleadoras incurrió en infracción de las obligaciones laborales, ya que la confrontación entre su contenido y las circunstancias en que se desarrollaba el trabajo de don José González del Carmen así lo evidencia palmariamente.</w:t>
      </w:r>
    </w:p>
    <w:p w:rsidR="0026452D" w:rsidRDefault="0026452D" w:rsidP="0026452D">
      <w:pPr>
        <w:pStyle w:val="TextoNormal"/>
      </w:pPr>
    </w:p>
    <w:p w:rsidR="0026452D" w:rsidRDefault="0026452D" w:rsidP="0026452D">
      <w:pPr>
        <w:pStyle w:val="TextoNormal"/>
      </w:pPr>
      <w:r>
        <w:t>4.2 [Tomás Solaz Martínez y] Manuela Martín Rodríguez.</w:t>
      </w:r>
    </w:p>
    <w:p w:rsidR="0026452D" w:rsidRDefault="0026452D" w:rsidP="0026452D">
      <w:pPr>
        <w:pStyle w:val="TextoNormal"/>
      </w:pPr>
    </w:p>
    <w:p w:rsidR="0026452D" w:rsidRDefault="0026452D" w:rsidP="0026452D">
      <w:pPr>
        <w:pStyle w:val="TextoNormal"/>
      </w:pPr>
      <w:r>
        <w:t>Como encargados de seguridad de ‘Construcciones Juan Margallo, S.L.’, actuando en este sentido por delegación expresa de la empresa, incumbía a los mismos generar y velar por el mantenimiento de unas condiciones de seguridad idóneas en la obra. Sin perjuicio de repartimiento del contrato entre ‘Hermanos Muñiz de Ayamonte, S.L.’ y ‘Construcciones Juan Margallo, S.L.’, lo cierto es que ambas fallaron, en la forma que se ha descrito más arriba.</w:t>
      </w:r>
    </w:p>
    <w:p w:rsidR="0026452D" w:rsidRDefault="0026452D" w:rsidP="0026452D">
      <w:pPr>
        <w:pStyle w:val="TextoNormal"/>
      </w:pPr>
    </w:p>
    <w:p w:rsidR="0026452D" w:rsidRDefault="0026452D" w:rsidP="0026452D">
      <w:pPr>
        <w:pStyle w:val="TextoNormal"/>
      </w:pPr>
      <w:r>
        <w:t>Por otro lado, no puede la Sala compartir en este punto la tesis del Juez a quo de que bastaría con que uno de los citados grupos de medidas se encontrase operativo o a disposición del trabajador. Los deberes de los empresarios frente a los trabajadores en el ámbito de la seguridad laboral, pueden en cierto modo conceptuarse como una obligación, más que de mera actividad, de resultado en cuanto a la evitación y no existe base legal para afirmar que cuando concurren varios tipos de medidas que se puedan arbitrar para conjugar un riesgo y evitar un resultado dañoso, bastaría la posibilidad de acudir a una de ellas para estimar cubierta la obligación del empleador. Consideramos, por el contrario, que todas las medidas posibles y disponibles deben ser utilizadas.</w:t>
      </w:r>
    </w:p>
    <w:p w:rsidR="0026452D" w:rsidRDefault="0026452D" w:rsidP="0026452D">
      <w:pPr>
        <w:pStyle w:val="TextoNormal"/>
      </w:pPr>
    </w:p>
    <w:p w:rsidR="0026452D" w:rsidRDefault="0026452D" w:rsidP="0026452D">
      <w:pPr>
        <w:pStyle w:val="TextoNormal"/>
      </w:pPr>
      <w:r>
        <w:t>En el caso que nos ocupa ni hubo una correcta información sobre la utilización de las medidas individuales, ni control ni supervisión sobre su utilización (el accidente se produjo tras varias horas de desarrollarse la actividad de riesgo), ni se había utilizado la maquinaria óptima para la realización del trabajo sin riesgo, como es la grúa con la que al parecer contaba la empresa, ni se habían adoptado las medidas de seguridad colectivas primeras, más naturales y lógicas para proteger el torreón (redes, barandillas fundamentalmente), cuando la obra no había en modo alguno concluido.”</w:t>
      </w:r>
    </w:p>
    <w:p w:rsidR="0026452D" w:rsidRDefault="0026452D" w:rsidP="0026452D">
      <w:pPr>
        <w:pStyle w:val="TextoNormal"/>
      </w:pPr>
    </w:p>
    <w:p w:rsidR="0026452D" w:rsidRDefault="0026452D" w:rsidP="0026452D">
      <w:pPr>
        <w:pStyle w:val="TextoNormal"/>
      </w:pPr>
      <w:r>
        <w:t>c) La representación procesal de los recurrentes en amparo promovió incidente de nulidad de actuaciones contra la Sentencia de la Audiencia Provincial, alegando la lesión de los derechos a un proceso con todas las garantías y a la presunción de inocencia (art. 24.2 CE), al haber sido condenado por la Sala sin haber celebrado vista pública durante la apelación y tras haber procedido en su Sentencia a modificar los hechos declarados probados por la Sentencia de instancia; también invocaban la vulneración del principio acusatorio, en relación con el derecho a la tutela judicial efectiva (art. 24.1 CE).</w:t>
      </w:r>
    </w:p>
    <w:p w:rsidR="0026452D" w:rsidRDefault="0026452D" w:rsidP="0026452D">
      <w:pPr>
        <w:pStyle w:val="TextoNormal"/>
      </w:pPr>
    </w:p>
    <w:p w:rsidR="0026452D" w:rsidRDefault="0026452D" w:rsidP="0026452D">
      <w:pPr>
        <w:pStyle w:val="TextoNormal"/>
      </w:pPr>
      <w:r>
        <w:t>d) El incidente de nulidad promovido por los recurrentes en amparo fue desestimado (junto con los incidentes de nulidad promovidos por los restantes condenados) por Auto de 3 de mayo de 2010.</w:t>
      </w:r>
    </w:p>
    <w:p w:rsidR="0026452D" w:rsidRDefault="0026452D" w:rsidP="0026452D">
      <w:pPr>
        <w:pStyle w:val="TextoNormal"/>
      </w:pPr>
    </w:p>
    <w:p w:rsidR="0026452D" w:rsidRDefault="0026452D" w:rsidP="0026452D">
      <w:pPr>
        <w:pStyle w:val="TextoNormal"/>
      </w:pPr>
      <w:r w:rsidRPr="0026452D">
        <w:rPr>
          <w:rStyle w:val="NumeroAFNegritaCaracter"/>
        </w:rPr>
        <w:t>3</w:t>
      </w:r>
      <w:r>
        <w:t>. Los recurrentes afirman en su demanda que la Sentencia impugnada en amparo ha vulnerado su derecho a un proceso con todas las garantías (art. 24.2 CE), al haber corregido la Audiencia Provincial de Huelva la valoración realizada por el Juzgado de lo Penal, modificando los hechos probados de la Sentencia absolutoria de instancia, para concluir en un pronunciamiento condenatorio sin respetar los principios de inmediación y contradicción. En suma —se afirma— la Audiencia Provincial ha condenado al recurrente valorando pruebas personales sin celebrar vista pública, en franca contradicción con la doctrina constitucional sentada en la STC 167/2002, de 18 de septiembre, y pronunciamientos posteriores. Como corolario de lo anterior, se debe igualmente estimar lesionado el derecho a la presunción de inocencia (art. 24.2 CE), según los recurrentes.</w:t>
      </w:r>
    </w:p>
    <w:p w:rsidR="0026452D" w:rsidRDefault="0026452D" w:rsidP="0026452D">
      <w:pPr>
        <w:pStyle w:val="TextoNormal"/>
      </w:pPr>
    </w:p>
    <w:p w:rsidR="0026452D" w:rsidRDefault="0026452D" w:rsidP="0026452D">
      <w:pPr>
        <w:pStyle w:val="TextoNormal"/>
      </w:pPr>
      <w:r>
        <w:t>Se alega asimismo en la demanda de amparo que la Sentencia impugnada vulnera el principio acusatorio (art. 24.2 CE), en relación con el derecho a la tutela judicial efectiva (art. 24.1 CE), respecto de don Juan Martín Correa, al haber sido condenado sin que se haya formulado una acusación concreta contra él en el recurso de apelación de la acusación particular, única parte acusadora que recurrió la absolución, pero sin concretar en ningún momento las razones por las que discrepaba del pronunciamiento absolutorio de instancia. Así las cosas, se sostiene que el demandante de amparo don Juan Martín Correa ha sufrido indefensión, por no haber tenido oportunidad de defenderse de una acusación no explicitada conforme a las exigencias del principio de contradicción, habiendo asumido de oficio la Audiencia Provincial funciones acusatorias que no le corresponden.</w:t>
      </w:r>
    </w:p>
    <w:p w:rsidR="0026452D" w:rsidRDefault="0026452D" w:rsidP="0026452D">
      <w:pPr>
        <w:pStyle w:val="TextoNormal"/>
      </w:pPr>
    </w:p>
    <w:p w:rsidR="0026452D" w:rsidRDefault="0026452D" w:rsidP="0026452D">
      <w:pPr>
        <w:pStyle w:val="TextoNormal"/>
      </w:pPr>
      <w:r>
        <w:t>Por todo ello solicitan los demandantes que se les otorgue amparo, declarando la vulneración de los derechos fundamentales referidos y, en consecuencia, la nulidad de la Sentencia dictada en apelación por Audiencia Provincial de Huelva, confirmando la Sentencia absolutoria de instancia. Por otrosí interesan la suspensión de la ejecución de la Sentencia impugnada en amparo.</w:t>
      </w:r>
    </w:p>
    <w:p w:rsidR="0026452D" w:rsidRDefault="0026452D" w:rsidP="0026452D">
      <w:pPr>
        <w:pStyle w:val="TextoNormal"/>
      </w:pPr>
    </w:p>
    <w:p w:rsidR="0026452D" w:rsidRDefault="0026452D" w:rsidP="0026452D">
      <w:pPr>
        <w:pStyle w:val="TextoNormal"/>
      </w:pPr>
      <w:r w:rsidRPr="0026452D">
        <w:rPr>
          <w:rStyle w:val="NumeroAFNegritaCaracter"/>
        </w:rPr>
        <w:t>4</w:t>
      </w:r>
      <w:r>
        <w:t>. La Sala Primera de este Tribunal acordó la admisión a trámite del recurso de amparo mediante providencia de 28 de enero de 2013 y, conforme a lo dispuesto en el art. 51 de la Ley Orgánica del Tribunal Constitucional (LOTC), ordenó dirigir atenta comunicación al Juzgado de lo Penal núm. 4 de Huelva a fin de que emplazara a quienes hubieran sido parte en el procedimiento abreviado núm. 221-2008, excepto a los demandantes en amparo, para que en el plazo de diez días pudieran comparecer en este proceso constitucional, no siendo necesario recabar las actuaciones correspondientes por hallarse ya a disposición de este Tribunal. Igualmente se acordó formar la correspondiente pieza separada de suspensión, que fue tramitada conforme a lo previsto en el art. 56 LOTC, ratificándose los demandantes en su solicitud de suspensión e interesando el Ministerio Fiscal que se accediese a la suspensión de la ejecución de la Sentencia impugnada en amparo únicamente en lo que se refiere a la condena a la pena privativa de libertad y accesoria de inhabilitación.</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5</w:t>
      </w:r>
      <w:r>
        <w:t>. Por diligencia de ordenación de la Secretaría de Justicia de la Sala Primera de este Tribunal de 12 de marzo de 2013 se tuvieron por personados y partes en este proceso constitucional al Procurador de los Tribunales don Antonio Gómez de la Serna Adrada en nombre y representación de don Joaquín Gutiérrez García y don José Correa Reyes, al Procurador de los Tribunales don Jorge Deleito García en nombre y representación de don Tomás Solaz Martínez, y a la Procuradora de los Tribunales doña María Rodríguez Puyol en nombre y representación de don José González del Carmen, que en su escrito interesó la inadmisión del recurso de amparo por extemporaneidad, por entender que, “al amparo de lo dispuesto en el art. 43.2 LOTC, el plazo para interponer el recurso es de 20 días siguientes a la notificación de la resolución, por lo que si le fue notificada el 2 de junio, el mismo finalizaba el 3 de julio, y el recurso tuvo entrada el 6 de julio de 2010”.</w:t>
      </w:r>
    </w:p>
    <w:p w:rsidR="0026452D" w:rsidRDefault="0026452D" w:rsidP="0026452D">
      <w:pPr>
        <w:pStyle w:val="TextoNormal"/>
      </w:pPr>
    </w:p>
    <w:p w:rsidR="0026452D" w:rsidRDefault="0026452D" w:rsidP="0026452D">
      <w:pPr>
        <w:pStyle w:val="TextoNormal"/>
      </w:pPr>
      <w:r>
        <w:t>En la misma diligencia se acordó dar vista de las actuaciones a las partes personadas y al Ministerio Fiscal, por un plazo común de veinte días, para presentar las alegaciones que estimasen pertinentes, de conformidad con lo previsto en el art. 52.1 LOTC.</w:t>
      </w:r>
    </w:p>
    <w:p w:rsidR="0026452D" w:rsidRDefault="0026452D" w:rsidP="0026452D">
      <w:pPr>
        <w:pStyle w:val="TextoNormal"/>
      </w:pPr>
    </w:p>
    <w:p w:rsidR="0026452D" w:rsidRDefault="0026452D" w:rsidP="0026452D">
      <w:pPr>
        <w:pStyle w:val="TextoNormal"/>
      </w:pPr>
      <w:r w:rsidRPr="0026452D">
        <w:rPr>
          <w:rStyle w:val="NumeroAFNegritaCaracter"/>
        </w:rPr>
        <w:t>6</w:t>
      </w:r>
      <w:r>
        <w:t>. La representación procesal de don Joaquín Gutiérrez García y don José Correa Reyes presentó sus alegaciones mediante escrito registrado en este Tribunal el 12 de abril de 2013, adhiriéndose íntegramente a la demanda de amparo e interesando la concesión del amparo, con apoyo en las SSTC 144/2012, de 2 de julio y 43/2013, de 25 de febrero, que estiman los recursos de amparo interpuestos por otros demandantes que fueron condenados por la misma Sentencia de la Audiencia Provincial de Huelva ahora recurrida, tras ser previamente absueltos en la instancia.</w:t>
      </w:r>
    </w:p>
    <w:p w:rsidR="0026452D" w:rsidRDefault="0026452D" w:rsidP="0026452D">
      <w:pPr>
        <w:pStyle w:val="TextoNormal"/>
      </w:pPr>
    </w:p>
    <w:p w:rsidR="0026452D" w:rsidRDefault="0026452D" w:rsidP="0026452D">
      <w:pPr>
        <w:pStyle w:val="TextoNormal"/>
      </w:pPr>
      <w:r w:rsidRPr="0026452D">
        <w:rPr>
          <w:rStyle w:val="NumeroAFNegritaCaracter"/>
        </w:rPr>
        <w:t>7</w:t>
      </w:r>
      <w:r>
        <w:t>. La representación de los demandantes presentó escrito de alegaciones el 16 de abril de 2013, en el que, tras rechazar que su recurso de amparo sea extemporáneo, se ratifica en las alegaciones expuestas en la demanda e interesa la concesión del amparo, con apoyo en las SSTC 144/2012 y 43/2013, que estiman los recursos de amparo interpuestos por otros demandantes que fueron condenados por la misma Sentencia de la Audiencia Provincial de Huelva ahora recurrida, tras ser previamente absueltos en la instancia.</w:t>
      </w:r>
    </w:p>
    <w:p w:rsidR="0026452D" w:rsidRDefault="0026452D" w:rsidP="0026452D">
      <w:pPr>
        <w:pStyle w:val="TextoNormal"/>
      </w:pPr>
    </w:p>
    <w:p w:rsidR="0026452D" w:rsidRDefault="0026452D" w:rsidP="0026452D">
      <w:pPr>
        <w:pStyle w:val="TextoNormal"/>
      </w:pPr>
      <w:r w:rsidRPr="0026452D">
        <w:rPr>
          <w:rStyle w:val="NumeroAFNegritaCaracter"/>
        </w:rPr>
        <w:t>8</w:t>
      </w:r>
      <w:r>
        <w:t>. La representación procesal de don Tomás Solaz Martínez presentó sus alegaciones mediante escrito registrado en este Tribunal el 16 de abril de 2013, en el que, con apoyo en las citadas SSTC 144/2012 y 43/2013, interesa la concesión del amparo a los recurrentes por vulneración de los derechos a la tutela judicial efectiva sin indefensión, a un proceso con todas las garantías y a la presunción de inocencia (art. 24.1 y 2 CE), y solicita que se otorgue amparo igualmente a don Tomás Solaz Martínez, don Joaquín Gutiérrez García y don José Correa Reyes, declarando la nulidad de la Sentencia condenatoria dictada por la Audiencia Provincial de Huelva, así como del Auto desestimatorio del incidente de nulidad promovido contra la misma.</w:t>
      </w:r>
    </w:p>
    <w:p w:rsidR="0026452D" w:rsidRDefault="0026452D" w:rsidP="0026452D">
      <w:pPr>
        <w:pStyle w:val="TextoNormal"/>
      </w:pPr>
    </w:p>
    <w:p w:rsidR="0026452D" w:rsidRDefault="0026452D" w:rsidP="0026452D">
      <w:pPr>
        <w:pStyle w:val="TextoNormal"/>
      </w:pPr>
      <w:r w:rsidRPr="0026452D">
        <w:rPr>
          <w:rStyle w:val="NumeroAFNegritaCaracter"/>
        </w:rPr>
        <w:t>9</w:t>
      </w:r>
      <w:r>
        <w:t xml:space="preserve">. El Ministerio Fiscal presentó alegaciones mediante escrito registrado en este Tribunal el 18 de abril de 2013. Tras exponer los antecedentes procesales del caso, rechazar el óbice de extemporaneidad alegado en el escrito de personación por la representación procesal de don José González de Carmen y resumir las quejas que se formulan en la demanda de amparo, el Fiscal recuerda que este Tribunal ha estimado ya, en sus SSTC 144/2012 y 43/2013, los recursos de amparo interpuestos por otros demandantes que fueron condenados por la </w:t>
      </w:r>
      <w:r>
        <w:lastRenderedPageBreak/>
        <w:t>misma Sentencia de la Audiencia Provincial de Huelva ahora recurrida, tras ser previamente absueltos en la instancia. Las SSTC 144/2012 y 43/2013 consideran vulnerados el derecho a un proceso con todas las garantías, por quebrantamiento de las garantías de inmediación y contradicción, así como el derecho a la presunción de inocencia (art. 24.2 CE), y anulan, en consecuencia, sin retroacción de actuaciones, la Sentencia condenatoria dictada por la Audiencia Provincial de Huelva, aunque sólo respecto de quienes en aquellos amparos aparecían como recurrentes. Por ello, considera el Fiscal que, siendo coincidentes las quejas del presente recurso de amparo a las formuladas en los amparos estimados por las citadas SSTC 144/2012 y 43/2013 en cuanto a la lesión de los derechos a un proceso con todas las garantías, por vulneración de las garantías de inmediación y contradicción, y a la presunción de inocencia, debe otorgarse a los demandantes el amparo solicitado en los mismos términos, por aplicación de lo razonado en dicha doctrina, cuya fundamentación transcribe en parte el Fiscal.</w:t>
      </w:r>
    </w:p>
    <w:p w:rsidR="0026452D" w:rsidRDefault="0026452D" w:rsidP="0026452D">
      <w:pPr>
        <w:pStyle w:val="TextoNormal"/>
      </w:pPr>
    </w:p>
    <w:p w:rsidR="0026452D" w:rsidRDefault="0026452D" w:rsidP="0026452D">
      <w:pPr>
        <w:pStyle w:val="TextoNormal"/>
      </w:pPr>
      <w:r w:rsidRPr="0026452D">
        <w:rPr>
          <w:rStyle w:val="NumeroAFNegritaCaracter"/>
        </w:rPr>
        <w:t>10</w:t>
      </w:r>
      <w:r>
        <w:t>. La representación procesal de don José González del Carmen no presentó alegaciones.</w:t>
      </w:r>
    </w:p>
    <w:p w:rsidR="0026452D" w:rsidRDefault="0026452D" w:rsidP="0026452D">
      <w:pPr>
        <w:pStyle w:val="TextoNormal"/>
      </w:pPr>
    </w:p>
    <w:p w:rsidR="0026452D" w:rsidRDefault="0026452D" w:rsidP="0026452D">
      <w:pPr>
        <w:pStyle w:val="TextoNormal"/>
      </w:pPr>
      <w:r w:rsidRPr="0026452D">
        <w:rPr>
          <w:rStyle w:val="NumeroAFNegritaCaracter"/>
        </w:rPr>
        <w:t>11</w:t>
      </w:r>
      <w:r>
        <w:t>. Por providencia de 16 de mayo de 2013 se acordó señalar para deliberación y votación de la presente Sentencia el día 20 del mismo mes y año, no siendo por ello necesario resolver sobre la suspensión interesada.</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Es objeto de impugnación en este recurso de amparo la Sentencia dictada por la Sección Segunda de la Audiencia Provincial de Huelva el 29 de enero de 2010 (rollo de apelación núm. 246-2009) que, revocando el pronunciamiento absolutorio dictado por el Juzgado de lo Penal núm. 4 en su Sentencia de 20 de febrero de 2009 (procedimiento abreviado núm. 221-2008), condenó a los demandantes de amparo, tras los correspondientes recursos de apelación interpuestos por el Fiscal y la acusación particular, como autores de un delito contra los derechos de los trabajadores (art. 316 del Código penal: CP) en concurso con una falta de lesiones por imprudencia (art. 621.3 CP). Esta impugnación se extiende al Auto de 3 de mayo de 2010, dictado por la misma Sección, que desestima el incidente de nulidad de actuaciones interpuesto contra la Sentencia indicada.</w:t>
      </w:r>
    </w:p>
    <w:p w:rsidR="0026452D" w:rsidRDefault="0026452D" w:rsidP="0026452D">
      <w:pPr>
        <w:pStyle w:val="TextoNormal"/>
      </w:pPr>
    </w:p>
    <w:p w:rsidR="0026452D" w:rsidRDefault="0026452D" w:rsidP="0026452D">
      <w:pPr>
        <w:pStyle w:val="TextoNormal"/>
      </w:pPr>
      <w:r>
        <w:t>Los demandantes, con invocación expresa de las SSTC 144/2012, de 2 de julio, y 43/2013, de 25 de febrero, que estiman los recursos de amparo interpuestos por otros demandantes que fueron condenados por la misma Sentencia de la Audiencia Provincial de Huelva ahora recurrida, tras ser previamente absueltos en la instancia, consideran vulnerados sus derechos a un proceso con todas las garantías y a la presunción de inocencia (art. 24.2 CE), al haber sido condenados en apelación por la Audiencia Provincial de Huelva sin respetar los principios de inmediación y contradicción, conforme a la doctrina sentada a partir de la STC 167/2002, de 18 de septiembre. Asimismo, respecto del demandante don Juan Martín Correa, se alega la lesión del principio acusatorio (art. 24.2 CE), en relación con el derecho a la tutela judicial efectiva (art. 24.1 CE), pues entiende que ha sido condenado sin que se haya formulado una acusación concreta contra el mismo en la segunda instancia.</w:t>
      </w:r>
    </w:p>
    <w:p w:rsidR="0026452D" w:rsidRDefault="0026452D" w:rsidP="0026452D">
      <w:pPr>
        <w:pStyle w:val="TextoNormal"/>
      </w:pPr>
    </w:p>
    <w:p w:rsidR="0026452D" w:rsidRDefault="0026452D" w:rsidP="0026452D">
      <w:pPr>
        <w:pStyle w:val="TextoNormal"/>
      </w:pPr>
      <w:r>
        <w:lastRenderedPageBreak/>
        <w:t>Las representaciones procesales de don Tomás Solaz Martínez y de don Joaquín Gutiérrez García y don José Correa Reyes, todos ellos condenados en la causa de la que dimana el presente proceso, interesan, con apoyo en las citadas SSTC 144/2012 y 43/2013, el otorgamiento del amparo, conforme se expuso en los antecedentes de esta resolución.</w:t>
      </w:r>
    </w:p>
    <w:p w:rsidR="0026452D" w:rsidRDefault="0026452D" w:rsidP="0026452D">
      <w:pPr>
        <w:pStyle w:val="TextoNormal"/>
      </w:pPr>
    </w:p>
    <w:p w:rsidR="0026452D" w:rsidRDefault="0026452D" w:rsidP="0026452D">
      <w:pPr>
        <w:pStyle w:val="TextoNormal"/>
      </w:pPr>
      <w:r>
        <w:t>En el mismo sentido se pronuncia el Ministerio Fiscal, que con cita igualmente de la doctrina sentada en las SSTC 144/2012 y 43/2013, interesa que se otorgue el amparo solicitado por los demandantes respecto de las lesiones invocadas del derecho a un proceso con todas las garantías y a la presunción de inocencia, al haberse apoyado la Sala para la condena en una ponderación de pruebas personales, entre estas la propia declaración de los recurrentes, quedando sin soporte su declaración de culpabilidad una vez eliminadas estas pruebas.</w:t>
      </w:r>
    </w:p>
    <w:p w:rsidR="0026452D" w:rsidRDefault="0026452D" w:rsidP="0026452D">
      <w:pPr>
        <w:pStyle w:val="TextoNormal"/>
      </w:pPr>
    </w:p>
    <w:p w:rsidR="0026452D" w:rsidRDefault="0026452D" w:rsidP="0026452D">
      <w:pPr>
        <w:pStyle w:val="TextoNormal"/>
      </w:pPr>
      <w:r w:rsidRPr="0026452D">
        <w:rPr>
          <w:rStyle w:val="NumeroAFNegritaCaracter"/>
        </w:rPr>
        <w:t>2</w:t>
      </w:r>
      <w:r>
        <w:t>. Aunque la representación procesal de don José González del Carmen no formuló alegaciones en el trámite del art. 52.1 de la Ley Orgánica del Tribunal Constitucional (LOTC), en su escrito de personación invocó, como queda expuesto en el relato de antecedentes, el óbice de extemporaneidad del recurso de amparo. Pues bien, para despejar cualquier duda al respecto debemos rechazar este óbice, toda vez que de las actuaciones resulta que el Auto de la Sección Segunda de la Audiencia Provincial de Huelva de 3 de mayo de 2010, resolutorio del incidente de nulidad, fue notificado a la representación procesal de los recurrentes el 2 de junio del mismo año, constando como fecha de entrada de su recurso de amparo en este Tribunal el 15 de julio de 2010, dentro, por tanto, del plazo de treinta días prescrito en el art. 44.2 LOTC para la interposición del recurso de amparo (art. 85.2 LOTC).</w:t>
      </w:r>
    </w:p>
    <w:p w:rsidR="0026452D" w:rsidRDefault="0026452D" w:rsidP="0026452D">
      <w:pPr>
        <w:pStyle w:val="TextoNormal"/>
      </w:pPr>
    </w:p>
    <w:p w:rsidR="0026452D" w:rsidRDefault="0026452D" w:rsidP="0026452D">
      <w:pPr>
        <w:pStyle w:val="TextoNormal"/>
      </w:pPr>
      <w:r w:rsidRPr="0026452D">
        <w:rPr>
          <w:rStyle w:val="NumeroAFNegritaCaracter"/>
        </w:rPr>
        <w:t>3</w:t>
      </w:r>
      <w:r>
        <w:t>. Entrando ya en el fondo del asunto, hay que señalar que el presente recurso de amparo presenta una coincidencia sustancial con los ya resueltos por las SSTC 144/2012, de 2 de julio, y 43/2013, de 25 de febrero. En ambas ocasiones hemos anulado, sin retroacción de actuaciones, la Sentencia de la Audiencia Provincial de Huelva de 29 de enero de 2010 (a la que se refiere también la presente demanda de amparo), aunque sólo en relación con los condenados que interpusieron los recursos de amparo núm. 5673-2010 (don Antonio Muñiz García, don Rafael Muñiz García y Hermanos Ayamonte, S.L.) y núm. 5716-2010 (doña Paloma Ogayar Lechuga), estimados, respectivamente, por las citadas SSTC 144/2012 y 43/2013. Apreciamos entonces que la Audiencia Provincial de Huelva, al condenar a los recurrentes como autores de un delito contra los derechos de los trabajadores en concurso con una falta de lesiones por imprudencia, del que habían sido previamente absueltos, operó “una alteración del relato de los hechos probados de la Sentencia de instancia con base en una valoración de las pruebas personales sin respetar las garantías de inmediación y contradicción” (SSTC 144/2012, FJ 5, y 43/2013, FJ 6), lo que constituye una vulneración del derecho a un proceso con todas las garantías (art. 24.2 CE). La condena penal quedó en consecuencia desprovista de fundamentos probatorios, por lo que declaramos también en ambos casos la vulneración del derecho a la presunción de inocencia (art. 24.2 CE).</w:t>
      </w:r>
    </w:p>
    <w:p w:rsidR="0026452D" w:rsidRDefault="0026452D" w:rsidP="0026452D">
      <w:pPr>
        <w:pStyle w:val="TextoNormal"/>
      </w:pPr>
    </w:p>
    <w:p w:rsidR="0026452D" w:rsidRDefault="0026452D" w:rsidP="0026452D">
      <w:pPr>
        <w:pStyle w:val="TextoNormal"/>
      </w:pPr>
      <w:r>
        <w:t xml:space="preserve">Es claro, por tanto, que para resolver el presente recurso de amparo habremos de atenernos a lo ya decidido en las citadas SSTC 144/2012 y 43/2013, toda vez que se formula contra la misma Sentencia y con una fundamentación coincidente en lo que se refiere a las principales quejas que sustentan la demanda de amparo, esto es, la vulneración de los derechos de los recurrentes a un proceso con todas las garantías y a la presunción de inocencia (art. 24.2 CE), al haber sido condenados en apelación por la Audiencia Provincial de Huelva sin respetar las garantías de inmediación y contradicción, conforme a la doctrina sentada a partir </w:t>
      </w:r>
      <w:r>
        <w:lastRenderedPageBreak/>
        <w:t>de la STC 167/2002 de 18 de septiembre y reiterada en numerosas Sentencias posteriores. Según razonaremos a continuación, los fundamentos de esa doctrina constitucional respecto de la vulneración del derecho a un proceso con todas las garantías, por infracción de los principios de inmediación y contradicción, así como del derecho presunción de inocencia, son perfectamente trasladables al presente recurso de amparo.</w:t>
      </w:r>
    </w:p>
    <w:p w:rsidR="0026452D" w:rsidRDefault="0026452D" w:rsidP="0026452D">
      <w:pPr>
        <w:pStyle w:val="TextoNormal"/>
      </w:pPr>
    </w:p>
    <w:p w:rsidR="0026452D" w:rsidRDefault="0026452D" w:rsidP="0026452D">
      <w:pPr>
        <w:pStyle w:val="TextoNormal"/>
      </w:pPr>
      <w:r w:rsidRPr="0026452D">
        <w:rPr>
          <w:rStyle w:val="NumeroAFNegritaCaracter"/>
        </w:rPr>
        <w:t>4</w:t>
      </w:r>
      <w:r>
        <w:t>. Por lo que se refiere a la vulneración del derecho a un proceso con todas las garantías (art. 24.2 CE), resulta que en este caso el Juzgado de lo Penal núm. 4 de Huelva absolvió (como al resto de acusados) a los recurrentes, responsable legal de la empresa principal y encargada de seguridad de la misma empresa, respectivamente, en la obra en que sucedió el accidente laboral sufrido por el operario don José González del Carmen, del delito contra los derechos de los trabajadores por el que se les acusaba. Sin embargo, la Audiencia Provincial de Huelva, sin celebrar vista pública, revocó en apelación este pronunciamiento, condenando a los ahora recurrentes (junto a otros responsables de la obra) como autores del expresado tipo penal en concurso con una falta de lesiones por imprudencia, por entender que omitieron las medidas de seguridad necesarias para evitar el riesgo laboral inherente a los trabajos que habría de desempeñar en la obra el trabajador accidentado, el cual, por otra parte, tampoco habría recibido la formación exigible sobre riesgos laborales. Para ello la Audiencia modificó, en los términos que antes quedaron indicados, el hecho probado tercero de la Sentencia de instancia.</w:t>
      </w:r>
    </w:p>
    <w:p w:rsidR="0026452D" w:rsidRDefault="0026452D" w:rsidP="0026452D">
      <w:pPr>
        <w:pStyle w:val="TextoNormal"/>
      </w:pPr>
    </w:p>
    <w:p w:rsidR="0026452D" w:rsidRDefault="0026452D" w:rsidP="0026452D">
      <w:pPr>
        <w:pStyle w:val="TextoNormal"/>
      </w:pPr>
      <w:r>
        <w:t xml:space="preserve">Así las cosas, debemos constatar, como hicimos en la STC 144/2012, FJ 4 y la STC 43/2013, FJ 6, que “no nos encontramos ante un caso en que la Sala de apelación haya deducido una conclusión distinta ante unos hechos base acreditados por el Juzgado ni ante un supuesto en que ambos órganos judiciales discrepan de la calificación jurídica dada al referido </w:t>
      </w:r>
      <w:r w:rsidRPr="0026452D">
        <w:rPr>
          <w:i/>
        </w:rPr>
        <w:t>factum</w:t>
      </w:r>
      <w:r>
        <w:t>. Por el contrario, observamos que la Audiencia Provincial procede a una modificación sustancial de los hechos probados en dos aspectos que son relevantes para apreciar el ilícito penal objeto de la causa: sobre la existencia en la obra de medidas de seguridad, tanto individuales como colectivas, y sobre la información dada por parte de los responsables de las empresas constructoras a los trabajadores de los riesgos de su labor, impartiéndoles los debidos cursos de formación en materia de seguridad en el trabajo”. Para ello la Audiencia Provincial no se ha limitado a realizar una mera revisión o análisis de la estructura racional del discurso valorativo de la Sentencia de instancia, sino que, como se desprende del fundamento jurídico de la Sentencia de apelación, ha procedido a una nueva valoración de las pruebas personales (declaraciones de los acusados, perjudicado, testigos y peritos), sin celebrar vista pública.</w:t>
      </w:r>
    </w:p>
    <w:p w:rsidR="0026452D" w:rsidRDefault="0026452D" w:rsidP="0026452D">
      <w:pPr>
        <w:pStyle w:val="TextoNormal"/>
      </w:pPr>
    </w:p>
    <w:p w:rsidR="0026452D" w:rsidRDefault="0026452D" w:rsidP="0026452D">
      <w:pPr>
        <w:pStyle w:val="TextoNormal"/>
      </w:pPr>
      <w:r>
        <w:t>Esta forma de actuar de la Sala de apelación no es respetuosa con el contenido de la doctrina emanada de la STC 167/2002, por referencia a los principios de inmediación y contradicción, que imponen que la prueba personal se practique ante el órgano judicial al que corresponde su valoración, siendo notorio que “la insuficiencia del acta del juicio como medio de documentación de las pruebas de carácter personal —incluso cuando el empleo de estenotipia permita consignar literalmente las palabras pronunciadas en el curso del acto— viene dada por la imposibilidad de reflejar los aspectos no verbales de toda declaración”, y, en el caso de la garantía de contradicción, “esta conlleva el que ese examen ‘directo y personal’ de las personas cuya declaración va a ser objeto de nueva valoración en la segunda instancia se realice en el seno de una nueva audiencia en presencia de los demás interesados y parte adversas” (SSTC 144/2012, FJ 4 y 43/2013, FJ 6).</w:t>
      </w:r>
    </w:p>
    <w:p w:rsidR="0026452D" w:rsidRDefault="0026452D" w:rsidP="0026452D">
      <w:pPr>
        <w:pStyle w:val="TextoNormal"/>
      </w:pPr>
    </w:p>
    <w:p w:rsidR="0026452D" w:rsidRDefault="0026452D" w:rsidP="0026452D">
      <w:pPr>
        <w:pStyle w:val="TextoNormal"/>
      </w:pPr>
      <w:r>
        <w:t>Por otra parte, aunque la Audiencia Provincial también afirma que ha utilizado diversas pruebas documentales y periciales para sustentar su juicio de revisión (atestado policial, expediente de la Inspección de Trabajo y Seguridad Social, pericial caligráfica de la Guardia Civil), elementos probatorios que sí pueden en principio ser valorados en apelación sin necesidad de celebrar vista pública, sucede que en este caso, como también dijimos en las SSTC 144/2012, FJ 5 y 43/2013, FJ 6, los resultados de esos elementos probatorios en los que la Audiencia basa la modificación de los hechos probados de la Sentencia de instancia “están absolutamente imbricados … con la credibilidad de los testimonios de las pruebas personales que luego se desarrollaron en el plenario (declaraciones de acusados, perjudicado, testigos y peritos), no pudiéndose disociar en la forma en que se ha hecho por la Sala unos elementos de otros, pues ello supone una desnaturalización del contenido de la doctrina emanada de la STC 167/2002, al ponderarse así con esta fórmula de manera indirecta por el órgano de apelación pruebas de carácter personal sin las debidas garantías constitucionales y otorgarse por el mismo una preeminencia al contenido de las declaraciones documentadas sobre los propios testimonios personales, practicados en el momento cumbre del proceso penal respetando los principios de inmediación y contradicción”.</w:t>
      </w:r>
    </w:p>
    <w:p w:rsidR="0026452D" w:rsidRDefault="0026452D" w:rsidP="0026452D">
      <w:pPr>
        <w:pStyle w:val="TextoNormal"/>
      </w:pPr>
    </w:p>
    <w:p w:rsidR="0026452D" w:rsidRDefault="0026452D" w:rsidP="0026452D">
      <w:pPr>
        <w:pStyle w:val="TextoNormal"/>
      </w:pPr>
      <w:r>
        <w:t>De lo expuesto cabe concluir que la Sentencia impugnada de la Audiencia Provincial de Huelva ha vulnerado el derecho de los recurrentes a un proceso con todas las garantías (art. 24.2 CE), ya que les condenó como autores de un delito contra los derechos de los trabajadores en concurso con una falta de lesiones por imprudencia, del que habían sido absueltos, partiendo de una alteración del relato de hechos probados de la Sentencia de instancia con base en una valoración de pruebas personales sin celebrar vista pública y, por consiguiente, sin respetar las garantías de inmediación y contradicción.</w:t>
      </w:r>
    </w:p>
    <w:p w:rsidR="0026452D" w:rsidRDefault="0026452D" w:rsidP="0026452D">
      <w:pPr>
        <w:pStyle w:val="TextoNormal"/>
      </w:pPr>
    </w:p>
    <w:p w:rsidR="0026452D" w:rsidRDefault="0026452D" w:rsidP="0026452D">
      <w:pPr>
        <w:pStyle w:val="TextoNormal"/>
      </w:pPr>
      <w:r w:rsidRPr="0026452D">
        <w:rPr>
          <w:rStyle w:val="NumeroAFNegritaCaracter"/>
        </w:rPr>
        <w:t>5</w:t>
      </w:r>
      <w:r>
        <w:t>. La constatación de la anterior vulneración determina, como en los casos resueltos por las citadas SSTC 144/2012 y 43/2013, también la del derecho a la presunción de inocencia, en la medida en que la eliminación de las pruebas irregularmente valoradas deja sin sustento el relato de hechos probados que soporta la declaración de culpabilidad de los acusados. En efecto, aunque en el presente caso se hayan tenido en cuenta por el Tribunal de apelación, además de una serie de pruebas personales (cuya ponderación hemos invalidado de acuerdo con la doctrina derivada de la STC 167/2002), otros elementos probatorios, como cierta documental y pericial, cuya valoración en principio sí puede válidamente realizarse en segunda instancia, en la forma expuesta, sin necesidad de reproducción en el debate procesal, dada su naturaleza, como ya dijimos, sucede que “los datos derivados de estas pruebas están absolutamente imbricados con las declaraciones desarrolladas en el juicio por los acusados, testigos y peritos, pruebas de carácter personal necesitadas de inmediación, por lo que estos elementos probatorios carecen de eficacia probatoria autónoma desvinculados de estos testimonios, no siendo por sí solos suficientes para conformar prueba de cargo para enervar la presunción de inocencia” (SSTC 144/2012, FJ 6, y 43/2013, FJ 7).</w:t>
      </w:r>
    </w:p>
    <w:p w:rsidR="0026452D" w:rsidRDefault="0026452D" w:rsidP="0026452D">
      <w:pPr>
        <w:pStyle w:val="TextoNormal"/>
      </w:pPr>
    </w:p>
    <w:p w:rsidR="0026452D" w:rsidRDefault="0026452D" w:rsidP="0026452D">
      <w:pPr>
        <w:pStyle w:val="TextoNormal"/>
      </w:pPr>
      <w:r>
        <w:t xml:space="preserve">En consecuencia, hemos de declarar también la vulneración del derecho de los recurrentes a la presunción de inocencia (art. 24.2 CE), anulando la Sentencia condenatoria recaída respecto a los mismos sin retroacción de las actuaciones (nulidad que hacemos extensiva al Auto de 3 de mayo de 2010, que desestima el incidente de nulidad de actuaciones interpuesto contra la Sentencia indicada), lo que hace innecesario que nos pronunciemos sobre </w:t>
      </w:r>
      <w:r>
        <w:lastRenderedPageBreak/>
        <w:t>el resto de quejas que se formulan en la demanda de amparo respecto del recurrente don Juan Martín Correa.</w:t>
      </w:r>
    </w:p>
    <w:p w:rsidR="0026452D" w:rsidRDefault="0026452D" w:rsidP="0026452D">
      <w:pPr>
        <w:pStyle w:val="TextoNormal"/>
      </w:pPr>
    </w:p>
    <w:p w:rsidR="0026452D" w:rsidRDefault="0026452D" w:rsidP="0026452D">
      <w:pPr>
        <w:pStyle w:val="TextoNormal"/>
      </w:pPr>
      <w:r w:rsidRPr="0026452D">
        <w:rPr>
          <w:rStyle w:val="NumeroAFNegritaCaracter"/>
        </w:rPr>
        <w:t>6</w:t>
      </w:r>
      <w:r>
        <w:t>. Resta añadir que el alcance del amparo que se otorga se ciñe exclusivamente, como también advertíamos en las citadas STC 144/2012, FJ 7, y 43/2013, FJ 8, y por las mismas razones allí señaladas, a los demandantes de amparo.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don Juan Martín Correa y doña Manuela Martín Rodríguez y, en su virtud:</w:t>
      </w:r>
    </w:p>
    <w:p w:rsidR="0026452D" w:rsidRDefault="0026452D" w:rsidP="0026452D">
      <w:pPr>
        <w:pStyle w:val="TextoNormal"/>
      </w:pPr>
    </w:p>
    <w:p w:rsidR="0026452D" w:rsidRDefault="0026452D" w:rsidP="0026452D">
      <w:pPr>
        <w:pStyle w:val="TextoNormal"/>
      </w:pPr>
      <w:r>
        <w:t>1º Reconocer sus derechos a un proceso con todas las garantías y a la presunción de inocencia (art. 24.2 CE).</w:t>
      </w:r>
    </w:p>
    <w:p w:rsidR="0026452D" w:rsidRDefault="0026452D" w:rsidP="0026452D">
      <w:pPr>
        <w:pStyle w:val="TextoNormal"/>
      </w:pPr>
    </w:p>
    <w:p w:rsidR="0026452D" w:rsidRDefault="0026452D" w:rsidP="0026452D">
      <w:pPr>
        <w:pStyle w:val="TextoNormal"/>
      </w:pPr>
      <w:r>
        <w:t>2º Declarar la nulidad, respecto de los demandantes de amparo, de la Sentencia de la Sección Segunda de la Audiencia Provincial de Huelva de 29 de enero de 2010, dictada en rollo de apelación núm. 246-2009, así como el Auto de 3 de mayo de 2010, desestimatorio del incidente de nulidad promovido contra dicha Sentencia.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veinte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24" w:name="SENTENCIA_2013_121"/>
      <w:r>
        <w:lastRenderedPageBreak/>
        <w:t>SENTENCIA 121/2013, de 20 de mayo de 2013</w:t>
      </w:r>
    </w:p>
    <w:bookmarkEnd w:id="124"/>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145, de 18 de junio de 2013)</w:t>
      </w:r>
    </w:p>
    <w:p w:rsidR="0026452D" w:rsidRDefault="0026452D" w:rsidP="0026452D">
      <w:pPr>
        <w:pStyle w:val="TtuloBOE"/>
      </w:pPr>
    </w:p>
    <w:p w:rsidR="0026452D" w:rsidRDefault="0026452D" w:rsidP="0026452D">
      <w:pPr>
        <w:pStyle w:val="SntesisDescriptiva"/>
      </w:pPr>
      <w:r>
        <w:t>ECLI:ES:TC:2013:121</w:t>
      </w:r>
    </w:p>
    <w:p w:rsidR="0026452D" w:rsidRDefault="0026452D" w:rsidP="0026452D">
      <w:pPr>
        <w:pStyle w:val="SntesisDescriptiva"/>
      </w:pPr>
    </w:p>
    <w:p w:rsidR="0026452D" w:rsidRDefault="0026452D" w:rsidP="0026452D">
      <w:pPr>
        <w:pStyle w:val="SntesisDescriptiva"/>
      </w:pPr>
      <w:r>
        <w:t>Recurso de amparo 5516-2012. Promovido por don Antonio Balbuena Martínez en relación con las resoluciones de un Juzgado de lo Contencioso-Administrativo de Sevilla en incidente de tasación de costas.</w:t>
      </w:r>
    </w:p>
    <w:p w:rsidR="0026452D" w:rsidRDefault="0026452D" w:rsidP="0026452D">
      <w:pPr>
        <w:pStyle w:val="SntesisDescriptiva"/>
      </w:pPr>
    </w:p>
    <w:p w:rsidR="0026452D" w:rsidRDefault="0026452D" w:rsidP="0026452D">
      <w:pPr>
        <w:pStyle w:val="SntesisAnaltica"/>
      </w:pPr>
      <w:r>
        <w:t>Vulneración del derecho a la tutela judicial efectiva (resolución fundada en Derecho): decisión judicial que desconoce el carácter vinculante de lo resuelto en la apelación planteada en el mismo proceso.</w:t>
      </w:r>
    </w:p>
    <w:p w:rsidR="0026452D" w:rsidRDefault="0026452D" w:rsidP="0026452D">
      <w:pPr>
        <w:pStyle w:val="SntesisAnaltica"/>
      </w:pPr>
    </w:p>
    <w:p w:rsidR="0026452D" w:rsidRDefault="0026452D" w:rsidP="0026452D">
      <w:pPr>
        <w:pStyle w:val="Extracto"/>
      </w:pPr>
      <w:r>
        <w:t>1.</w:t>
      </w:r>
      <w:r>
        <w:tab/>
        <w:t xml:space="preserve">La decisión adoptada por el Jugado de lo Contencioso-Administrativo desatendió la obligación legal de cumplir lo acordado por el órgano superior jerárquico y condujo a la indefensión del demandante de amparo que vio cercenada toda posibilidad de instar la tasación de las costas a cuyo pago había sido condenado su oponente, incumplimiento que menoscaba severamente el funcionamiento del sistema articulado para la prestación de la tutela judicial a la que todos tienen derecho </w:t>
      </w:r>
      <w:r w:rsidRPr="0026452D">
        <w:rPr>
          <w:i/>
        </w:rPr>
        <w:t>ex</w:t>
      </w:r>
      <w:r>
        <w:t xml:space="preserve"> art. 24.1 CE  [FJ 5].</w:t>
      </w:r>
    </w:p>
    <w:p w:rsidR="0026452D" w:rsidRDefault="0026452D" w:rsidP="0026452D">
      <w:pPr>
        <w:pStyle w:val="Extracto"/>
      </w:pPr>
    </w:p>
    <w:p w:rsidR="0026452D" w:rsidRDefault="0026452D" w:rsidP="0026452D">
      <w:pPr>
        <w:pStyle w:val="Extracto"/>
      </w:pPr>
      <w:r>
        <w:t>2.</w:t>
      </w:r>
      <w:r>
        <w:tab/>
        <w:t>La decisión del Juzgado de lo Contencioso Administrativo de no practicar la tasación de costas interesada, desconoció el carácter vinculante de la decisión adoptada por el órgano judicial superior jerárquico en el seno del mismo proceso –que acordó devolver al demandante la solicitud de tasación de costas razonando que, en aplicación de una regla procesal que encuentra plasmación en el art. 52 LOPJ, la competencia para practicar la tasación correspondía al órgano judicial que conoció del asunto en primera instancia–, utilizando para ello una argumentación que por su irrazonabilidad no puede calificarse de fundada en Derecho  [FJ 4].</w:t>
      </w:r>
    </w:p>
    <w:p w:rsidR="0026452D" w:rsidRDefault="0026452D" w:rsidP="0026452D">
      <w:pPr>
        <w:pStyle w:val="Extracto"/>
      </w:pPr>
    </w:p>
    <w:p w:rsidR="0026452D" w:rsidRDefault="0026452D" w:rsidP="0026452D">
      <w:pPr>
        <w:pStyle w:val="Extracto"/>
      </w:pPr>
      <w:r>
        <w:t>3.</w:t>
      </w:r>
      <w:r>
        <w:tab/>
        <w:t>La determinación del alcance que quepa atribuir a la cosa juzgada constituye una cuestión que compete a los órganos judiciales, por lo que sus decisiones en materia de tasación de costas sólo son revisables en sede constitucional si resultan incongruentes, arbitrarias o irrazonables (SSTC 242/1992, 43/1998)  [FJ 3].</w:t>
      </w:r>
    </w:p>
    <w:p w:rsidR="0026452D" w:rsidRDefault="0026452D" w:rsidP="0026452D">
      <w:pPr>
        <w:pStyle w:val="Extracto"/>
      </w:pPr>
    </w:p>
    <w:p w:rsidR="0026452D" w:rsidRDefault="0026452D" w:rsidP="0026452D">
      <w:pPr>
        <w:pStyle w:val="Extracto"/>
      </w:pPr>
      <w:r>
        <w:t>4.</w:t>
      </w:r>
      <w:r>
        <w:tab/>
        <w:t xml:space="preserve">La cuestión relativa a la imposición de las costas procesales es un problema de legalidad ordinaria sin relevancia constitucional, cuyo enjuiciamiento corresponde en exclusiva a los Tribunales ordinarios, razón por la cual la decisión acerca de la imposición de las costas del proceso no implica, en principio, lesión alguna del derecho a la tutela judicial efectiva, sino ejercicio propio de la función que el órgano judicial tiene encomendada </w:t>
      </w:r>
      <w:r w:rsidRPr="0026452D">
        <w:rPr>
          <w:i/>
        </w:rPr>
        <w:t>ex</w:t>
      </w:r>
      <w:r>
        <w:t xml:space="preserve"> art. 117.3 CE (STC 172/2009)  [FJ 3].</w:t>
      </w:r>
    </w:p>
    <w:p w:rsidR="0026452D" w:rsidRDefault="0026452D" w:rsidP="0026452D">
      <w:pPr>
        <w:pStyle w:val="Extracto"/>
      </w:pPr>
    </w:p>
    <w:p w:rsidR="0026452D" w:rsidRDefault="0026452D" w:rsidP="0026452D">
      <w:pPr>
        <w:pStyle w:val="Extracto"/>
      </w:pPr>
      <w:r>
        <w:t>5.</w:t>
      </w:r>
      <w:r>
        <w:tab/>
        <w:t xml:space="preserve">La trascendencia constitucional de la demanda no puede identificarse con la propia existencia de la lesión de derechos fundamentales por lo que no basta razonar la existencia de la vulneración de un derecho fundamental sino que es preciso disociar adecuadamente la argumentación tendente a evidenciar la existencia de la </w:t>
      </w:r>
      <w:r>
        <w:lastRenderedPageBreak/>
        <w:t>lesión de un derecho fundamental —que sigue siendo un presupuesto inexcusable en cualquier demanda de amparo— y los razonamientos específicamente dirigidos a justificar que el recurso presenta especial trascendencia constitucional (SSTC 17/2011, 186/2010)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5516-2012, promovido por don Antonio Balbuena Martínez, representado por la Procuradora de los Tribunales doña Concepción Montero Rubiato y asistido por el Abogado don Francisco Tejado Vaca, contra el Auto del Juzgado de lo Contencioso-Administrativo núm. 7 de Sevilla, de 28 de junio de 2012. Ha comparecido el Ayuntamiento de Coria del Río, representado por el Procurador don Antonio de Palma Villalón y asistido por el Letrado del servicio jurídico de la Diputación Provincial de Sevilla. Ha intervenido el Ministerio Fiscal. Ha sido Ponente el Magistrado don Francisco Pérez de los Cobos Orihuel,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2 de octubre de 2012 tuvo entrada en el Registro General de este Tribunal escrito presentado por la Procuradora doña Concepción Montero Rubiato mediante el cual, en la representación indicada, dedujo recurso de amparo contra la resolución judicial a la que se ha hecho referencia en el encabezamiento de esta Sentencia.</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relevantes para la resolución del presente recurso son, sucintamente expuestos, los siguientes:</w:t>
      </w:r>
    </w:p>
    <w:p w:rsidR="0026452D" w:rsidRDefault="0026452D" w:rsidP="0026452D">
      <w:pPr>
        <w:pStyle w:val="TextoNormal"/>
      </w:pPr>
    </w:p>
    <w:p w:rsidR="0026452D" w:rsidRDefault="0026452D" w:rsidP="0026452D">
      <w:pPr>
        <w:pStyle w:val="TextoNormal"/>
      </w:pPr>
      <w:r>
        <w:t>El demandante de amparo interpuso recurso contencioso-administrativo contra la desestimación presunta de la solicitud de nulidad formulada frente al Ayuntamiento de Coria del Río en relación con cierto expediente sancionador en materia urbanística. El Juzgado de lo Contencioso-Administrativo núm. 7 de Sevilla, dictó Sentencia parcialmente estimatoria del recurso, resolución frente a la cual el Ayuntamiento dedujo recurso de apelación que fue desestimado mediante Sentencia de 27 de enero de 2011, dictada por la Sala de lo Contencioso-Administrativo del Tribunal Superior de Justicia de Andalucía con sede en Sevilla en el rollo 594-2010. En su Sentencia la Sala impuso las costas de la apelación a la Administración.</w:t>
      </w:r>
    </w:p>
    <w:p w:rsidR="0026452D" w:rsidRDefault="0026452D" w:rsidP="0026452D">
      <w:pPr>
        <w:pStyle w:val="TextoNormal"/>
      </w:pPr>
    </w:p>
    <w:p w:rsidR="0026452D" w:rsidRDefault="0026452D" w:rsidP="0026452D">
      <w:pPr>
        <w:pStyle w:val="TextoNormal"/>
      </w:pPr>
      <w:r>
        <w:t>Firme la Sentencia, la demandante de amparo solicitó del Juzgado de lo Contencioso-Administrativo núm. 7, en escrito presentado en el decanato correspondiente el 10 de junio de 2011, la tasación de las costas objeto de la condena en costas impuesta en la Sentencia de la Sala, reiterando su solicitud el 15 de diciembre siguiente. El Secretario del Juzgado dictó diligencia de ordenación el 16 de diciembre de 2011, en la que acordó no haber lugar a lo interesado “en aplicación de lo dispuesto en el art. 243.1 LEC”. Seguidamente el demandante dirigió escrito a la Sala solicitando la tasación de las costas, dando lugar que la Sala dictase providencia de 23 de enero de 2012 en la que acordaba devolver el escrito para su presentación ante el Juzgado junto con testimonio de la providencia. En ella se razona que, reiterando el criterio sostenido en anteriores ocasiones, las costas procesales han de responder a actuaciones procesales seguidas ante el órgano judicial del que se solicita la tasación y que no habiéndose practicado ninguna actuación procesal en el recurso de apelación del que concretamente se trata salvo la personación y el dictado de la Sentencia de apelación, corresponde efectuar la tasación al Juzgado de lo Contencioso-Administrativo por haberse tramitado y sustanciado ante él el recurso de apelación, sin que, por otra parte, queden en la Sala los antecedentes necesarios para realizar la tasación de costas interesada.</w:t>
      </w:r>
    </w:p>
    <w:p w:rsidR="0026452D" w:rsidRDefault="0026452D" w:rsidP="0026452D">
      <w:pPr>
        <w:pStyle w:val="TextoNormal"/>
      </w:pPr>
    </w:p>
    <w:p w:rsidR="0026452D" w:rsidRDefault="0026452D" w:rsidP="0026452D">
      <w:pPr>
        <w:pStyle w:val="TextoNormal"/>
      </w:pPr>
      <w:r>
        <w:t>El demandante se dirigió nuevamente al Juzgado mediante la presentación de un escrito solicitando la tasación de las costas junto con la minuta cuya inclusión se solicitaba. Por diligencia de ordenación de 13 de marzo de 2012, se acordó no haber lugar a lo solicitado “al haber devenido en firme la anterior diligencia de ordenación de 16 de diciembre de 2011, por no haber sido recurrida por ninguna de las dos partes personadas en las actuaciones.” El demandante interpuso recurso de reposición, que fue desestimado por decreto del Secretario Judicial del Juzgado de 19 de abril de 2012 en el que se abundaba sobre la firmeza de la resolución y se aludía a la imposibilidad de alargar los plazos establecidos por imperativo de la ley. Finalmente, el demandante interpuso recurso de revisión ante el Magistrado titular del Juzgado que lo desestimó por Auto de 29 de junio de 2012 por los mismos fundamentos de las resoluciones impugnadas.</w:t>
      </w:r>
    </w:p>
    <w:p w:rsidR="0026452D" w:rsidRDefault="0026452D" w:rsidP="0026452D">
      <w:pPr>
        <w:pStyle w:val="TextoNormal"/>
      </w:pPr>
    </w:p>
    <w:p w:rsidR="0026452D" w:rsidRDefault="0026452D" w:rsidP="0026452D">
      <w:pPr>
        <w:pStyle w:val="TextoNormal"/>
      </w:pPr>
      <w:r w:rsidRPr="0026452D">
        <w:rPr>
          <w:rStyle w:val="NumeroAFNegritaCaracter"/>
        </w:rPr>
        <w:t>3</w:t>
      </w:r>
      <w:r>
        <w:t>. El demandante de amparo aduce vulneración de su derecho a la tutela judicial efectiva mediante una resolución fundada en derecho. Las resoluciones que dictan los Tribunales deben ser ajustadas a derecho, explicando de forma racional cómo se obtiene la adecuación del supuesto de hecho a las prescripciones legales. No lo ha hecho así el Juzgado, puesto que se ha limitado a afirmar que al no haber sido recurrida la primera diligencia de ordenación devino firme y ya no podía solicitarse la tasación de costas, cuando lo cierto es que el órgano judicial se limitó a remitir a la Sala de lo Contencioso-Administrativo la cuestión de la tasación de las costas de la apelación, pero en ningún caso existió pronunciamiento alguno en cuanto a la tasación misma. Resuelto por la Sala que es el Secretario del Juzgado quien ha de proceder a la tasación de las costas, éste debió realizarla. Finalmente justifica la trascendencia constitucional de la demanda en la necesidad de un pronunciamiento de este Tribunal acerca de si una diligencia de ordenación que remite a plantear la cuestión ante el órgano superior jerárquico produce, cuando no fue impugnada, el efecto de cosa juzgada que cierra la posibilidad de un nuevo planteamiento ante el Juzgado pese a que el nuevo planteamiento de la cuestión obedece a que el órgano superior jerárquico estableció la competencia del inferior para la práctica de la tasación de costas.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4</w:t>
      </w:r>
      <w:r>
        <w:t>. Por providencia de 31 de enero de 2013, la Sala Segunda de este Tribunal acordó admitir a trámite la demanda, y, en aplicación de lo dispuesto en el art. 51 de la Ley Orgánica del Tribunal Constitucional, dirigir atenta comunicación al Juzgado de lo Contencioso-Administrativo núm. 7 de Sevilla a fin de que, en plazo que no excediera de diez días, remitiera certificación o fotocopia adverada de las actuaciones correspondientes al procedimiento ordinario núm. 611-2009. En la misma providencia se acordó que el Juzgado emplazase a quienes hubieran sido parte en el procedimiento, excepto la parte recurrente en amparo, para que el plazo de diez días pudieran comparecer en el presente recurso.</w:t>
      </w:r>
    </w:p>
    <w:p w:rsidR="0026452D" w:rsidRDefault="0026452D" w:rsidP="0026452D">
      <w:pPr>
        <w:pStyle w:val="TextoNormal"/>
      </w:pPr>
    </w:p>
    <w:p w:rsidR="0026452D" w:rsidRDefault="0026452D" w:rsidP="0026452D">
      <w:pPr>
        <w:pStyle w:val="TextoNormal"/>
      </w:pPr>
      <w:r w:rsidRPr="0026452D">
        <w:rPr>
          <w:rStyle w:val="NumeroAFNegritaCaracter"/>
        </w:rPr>
        <w:t>5</w:t>
      </w:r>
      <w:r>
        <w:t>. El Ayuntamiento de Coria del Río, representado por el Letrado de la Diputación Provincial de Sevilla, se personó en las actuaciones mediante escrito presentado el 25 de febrero de 2013. En él se opone, además, a la pretensión de amparo esgrimiendo la doctrina de este Tribunal que avala la constitucionalidad de la apreciación de la cosa juzgada como impeditiva de un nuevo enjuiciamiento de lo ya resuelto. Doctrina que se ve confirmada por la del Tribunal Europeo de Derechos Humanos que se cita en las alegaciones y que conduce al Ayuntamiento a solicitar la inadmisión de la demanda por no revestir la demanda la necesaria trascendencia constitucional y, subsidiariamente, la desestimación de la demanda en aplicación de la doctrina constitucional sobre la cosa juzgada.</w:t>
      </w:r>
    </w:p>
    <w:p w:rsidR="0026452D" w:rsidRDefault="0026452D" w:rsidP="0026452D">
      <w:pPr>
        <w:pStyle w:val="TextoNormal"/>
      </w:pPr>
    </w:p>
    <w:p w:rsidR="0026452D" w:rsidRDefault="0026452D" w:rsidP="0026452D">
      <w:pPr>
        <w:pStyle w:val="TextoNormal"/>
      </w:pPr>
      <w:r w:rsidRPr="0026452D">
        <w:rPr>
          <w:rStyle w:val="NumeroAFNegritaCaracter"/>
        </w:rPr>
        <w:t>6</w:t>
      </w:r>
      <w:r>
        <w:t>. Por diligencia de ordenación del Secretario de Justicia de la Sala Segunda de 28 de febrero de 2013, se acordó dar vista de las actuaciones recibidas a las partes personadas y al Ministerio Fiscal, por plazo común de veinte días, dentro de los cuales podrían presentar las alegaciones que estimaran pertinentes.</w:t>
      </w:r>
    </w:p>
    <w:p w:rsidR="0026452D" w:rsidRDefault="0026452D" w:rsidP="0026452D">
      <w:pPr>
        <w:pStyle w:val="TextoNormal"/>
      </w:pPr>
    </w:p>
    <w:p w:rsidR="0026452D" w:rsidRDefault="0026452D" w:rsidP="0026452D">
      <w:pPr>
        <w:pStyle w:val="TextoNormal"/>
      </w:pPr>
      <w:r w:rsidRPr="0026452D">
        <w:rPr>
          <w:rStyle w:val="NumeroAFNegritaCaracter"/>
        </w:rPr>
        <w:t>7</w:t>
      </w:r>
      <w:r>
        <w:t>. La representación procesal del demandante de amparo formuló alegaciones mediante escrito presentado en el Registro General el día 3 de abril de 2013. En él se remite a las alegaciones vertidas en la demanda e insiste en que la cuestión suscitada tiene trascendencia constitucional, pues es necesario precisar hasta qué punto la diligencia de ordenación produjo efectos de cosa juzgada, cuestión sobre la que no existe pronunciamiento previo.</w:t>
      </w:r>
    </w:p>
    <w:p w:rsidR="0026452D" w:rsidRDefault="0026452D" w:rsidP="0026452D">
      <w:pPr>
        <w:pStyle w:val="TextoNormal"/>
      </w:pPr>
    </w:p>
    <w:p w:rsidR="0026452D" w:rsidRDefault="0026452D" w:rsidP="0026452D">
      <w:pPr>
        <w:pStyle w:val="TextoNormal"/>
      </w:pPr>
      <w:r w:rsidRPr="0026452D">
        <w:rPr>
          <w:rStyle w:val="NumeroAFNegritaCaracter"/>
        </w:rPr>
        <w:t>8</w:t>
      </w:r>
      <w:r>
        <w:t>. Mediante escrito presentado el 4 de abril de 2013, el Ministerio Fiscal formuló alegaciones interesando la estimación de la demanda de amparo. Considera que el ámbito de análisis de la lesión denunciada por el demandante es el del derecho a obtener una respuesta fundada en derecho (art. 24.1 CE), toda vez que las resoluciones dictadas por los dos órgano judiciales intervinientes —el Juzgado y la Sala del Tribunal Superior de Justicia— han conducido al demandante de amparo a un callejón sin salida pese a que ha mantenido una actitud diligente en la pretensión de tutela ejercitada. Entiende el Fiscal que el órgano judicial ha dictado una resolución absolutamente irrazonable, si no extravagante, basada en una perspectiva formal y rigorista del efecto de la cosa juzgada, pues la diligencia de ordenación de 16 de diciembre 2011 de la que se predica la firmeza, se sirvió de la cita del art. 243.1 de la Ley de enjuiciamiento civil para señalar a la Sala que conoció del recurso de apelación como el órgano competente para practicar la tasación de costas. Pero una vez que dicho órgano acuerda que sea el Juzgado el competente para la tasación, la resolución judicial que rechaza acatar tal determinación supone tanto como denegar al demandante la efectividad del pronunciamiento de la Sala del Tribunal Superior de Justicia, sirviéndose para ello de una construcción absolutamente formalista e incompatible con el derecho fundamental a la tutela judicial efectiva.</w:t>
      </w:r>
    </w:p>
    <w:p w:rsidR="0026452D" w:rsidRDefault="0026452D" w:rsidP="0026452D">
      <w:pPr>
        <w:pStyle w:val="TextoNormal"/>
      </w:pPr>
    </w:p>
    <w:p w:rsidR="0026452D" w:rsidRDefault="0026452D" w:rsidP="0026452D">
      <w:pPr>
        <w:pStyle w:val="TextoNormal"/>
      </w:pPr>
      <w:r w:rsidRPr="0026452D">
        <w:rPr>
          <w:rStyle w:val="NumeroAFNegritaCaracter"/>
        </w:rPr>
        <w:t>9</w:t>
      </w:r>
      <w:r>
        <w:t>. Con fecha 5 de abril de 2013, la representación procesal del Ayuntamiento de Coria del Río formuló alegaciones reiterando las ya realizadas junto con su escrito de personación.</w:t>
      </w:r>
    </w:p>
    <w:p w:rsidR="0026452D" w:rsidRDefault="0026452D" w:rsidP="0026452D">
      <w:pPr>
        <w:pStyle w:val="TextoNormal"/>
      </w:pPr>
    </w:p>
    <w:p w:rsidR="0026452D" w:rsidRDefault="0026452D" w:rsidP="0026452D">
      <w:pPr>
        <w:pStyle w:val="TextoNormal"/>
      </w:pPr>
      <w:r w:rsidRPr="0026452D">
        <w:rPr>
          <w:rStyle w:val="NumeroAFNegritaCaracter"/>
        </w:rPr>
        <w:t>10</w:t>
      </w:r>
      <w:r>
        <w:t>. Mediante providencia de 16 de mayo de 2013 se señaló para votación y fallo el día 20 de dicho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acto del poder público frente al que se demanda amparo es la decisión de no acceder a la solicitud del demandante para que el Juzgado de lo Contencioso-Administrativo procediera a la tasación de las costas causadas en el recurso de apelación tramitado frente a la Sentencia del propio Juzgado que había estimado parcialmente su demanda, condena de la que era beneficiario el demandante de amparo en su condición de apelado. Tal decisión, acordada inicialmente por medio de decreto del Secretario Judicial del Juzgado, se convirtió en definitiva al dictarse el Auto de 28 de junio de 2012 mediante el cual el Juez de lo Contencioso-Administrativo desestimó el recurso de revisión deducido contra el decreto del Secretario Judicial. Ambas decisiones se sustentan en la firmeza —por falta de recurso frente a ella— de una anterior diligencia de ordenación, dictada el 16 de diciembre de 2011, en la cual se había acordado no haber lugar a practicar la tasación de costas interesada “en aplicación de lo dispuesto en el art.243.1 LEC”.</w:t>
      </w:r>
    </w:p>
    <w:p w:rsidR="0026452D" w:rsidRDefault="0026452D" w:rsidP="0026452D">
      <w:pPr>
        <w:pStyle w:val="TextoNormal"/>
      </w:pPr>
    </w:p>
    <w:p w:rsidR="0026452D" w:rsidRDefault="0026452D" w:rsidP="0026452D">
      <w:pPr>
        <w:pStyle w:val="TextoNormal"/>
      </w:pPr>
      <w:r w:rsidRPr="0026452D">
        <w:rPr>
          <w:rStyle w:val="NumeroAFNegritaCaracter"/>
        </w:rPr>
        <w:t>2</w:t>
      </w:r>
      <w:r>
        <w:t>. Hemos de comenzar por rechazar la inadmisión de la demanda por falta de trascendencia constitucional de la cuestión suscitada en amparo que propone el Ayuntamiento de Coria del Río. En efecto, tal solicitud se basa en la supuesta inexistencia de la lesión de derechos fundamentales porque, según el Ayuntamiento, la decisión impugnada en amparo se acomoda a la doctrina constitucional sobre la compatibilidad entre la apreciación de la cosa juzgada por los órganos judiciales y el derecho a la tutela judicial efectiva que a estos compete dispensar. Sin embargo, reiteradamente hemos dicho que la trascendencia constitucional de la demanda no puede identificarse con la propia existencia de la lesión de derechos fundamentales, que es en lo que se centra la objeción de admisibilidad, razón por la cual ha de rechazarse la inadmisión propuesta. En tal sentido hemos afirmado que no basta razonar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sino que es preciso disociar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26452D" w:rsidRDefault="0026452D" w:rsidP="0026452D">
      <w:pPr>
        <w:pStyle w:val="TextoNormal"/>
      </w:pPr>
    </w:p>
    <w:p w:rsidR="0026452D" w:rsidRDefault="0026452D" w:rsidP="0026452D">
      <w:pPr>
        <w:pStyle w:val="TextoNormal"/>
      </w:pPr>
      <w:r>
        <w:t xml:space="preserve">Ahora bien, inmediatamente hemos de advertir que, por más que el óbice procesal aludido no haya sido planteado en términos que permitan un análisis acabado del mismo, la trascendencia constitucional de la cuestión suscitada en la demanda es una exigencia para </w:t>
      </w:r>
      <w:r>
        <w:lastRenderedPageBreak/>
        <w:t>la admisibilidad del recurso sobre la que hemos de volver más adelante al hilo precisamente del estudio de la cuestión de fondo.</w:t>
      </w:r>
    </w:p>
    <w:p w:rsidR="0026452D" w:rsidRDefault="0026452D" w:rsidP="0026452D">
      <w:pPr>
        <w:pStyle w:val="TextoNormal"/>
      </w:pPr>
    </w:p>
    <w:p w:rsidR="0026452D" w:rsidRDefault="0026452D" w:rsidP="0026452D">
      <w:pPr>
        <w:pStyle w:val="TextoNormal"/>
      </w:pPr>
      <w:r w:rsidRPr="0026452D">
        <w:rPr>
          <w:rStyle w:val="NumeroAFNegritaCaracter"/>
        </w:rPr>
        <w:t>3</w:t>
      </w:r>
      <w:r>
        <w:t>. Centrándonos ya en el análisis de si la decisión adoptada vulneró o no el derecho del demandante a la tutela judicial efectiva proclamado en el art. 24.1 CE, precepto en el que, compartiendo en este punto las alegaciones del Ministerio Fiscal, ha de ser encajada la queja suscitada por el demandante, hemos de constatar que no está en discusión en este proceso la adecuación constitucional de la institución de la cosa juzgada material, cuyo respeto forma parte del derecho a la tutela judicial efectiva y que sirve a la seguridad jurídica (por todas STC 62/2010, de 18 de octubre de 2010). Tampoco es objeto de este recurso de amparo el enjuiciamiento de a qué órgano judicial correspondía efectuar la tasación de costas según la legalidad aplicable, pues reiteradamente hemos afirmado que “‘la cuestión relativa a la imposición de las costas procesales es un problema de legalidad ordinaria sin relevancia constitucional, cuyo enjuiciamiento corresponde en exclusiva a los Tribunales ordinarios’, razón por la cual ‘la decisión acerca de la imposición de las costas del proceso no implica, en principio, lesión alguna del derecho a la tutela judicial efectiva, sino ejercicio propio de la función que el órgano judicial tiene encomendada en el art. 117.3 CE’.” (STC 172/2009, de 9 de julio, FJ 3).</w:t>
      </w:r>
    </w:p>
    <w:p w:rsidR="0026452D" w:rsidRDefault="0026452D" w:rsidP="0026452D">
      <w:pPr>
        <w:pStyle w:val="TextoNormal"/>
      </w:pPr>
    </w:p>
    <w:p w:rsidR="0026452D" w:rsidRDefault="0026452D" w:rsidP="0026452D">
      <w:pPr>
        <w:pStyle w:val="TextoNormal"/>
      </w:pPr>
      <w:r>
        <w:t>Lo que hemos de resolver es si al apreciar la existencia de cosa juzgada se rebasó el límite impuesto por la irrazonabilidad, la arbitrariedad y el error patente, canon con el que este Tribunal fiscaliza las resoluciones judiciales en las que se resuelven cuestiones de legalidad ordinaria, cualidad que este Tribunal ha predicado constantemente de la apreciación judicial de la cosa juzgada. Así, lo declaramos en la STC 135/2002, de 3 de junio, al afirmar que “la determinación del alcance que quepa atribuir a la cosa juzgada constituye una cuestión que compete a los órganos judiciales, por lo que sus decisiones en esta materia sólo son revisables en sede constitucional si resultan incongruentes, arbitrarias o irrazonables (SSTC 242/1992, de 21 de diciembre, FJ 3; 92/1993, de 15 de marzo, FJ 3; 135/1994, de 9 de mayo, FJ 2; 43/1998, de 24 de febrero, FJ 4)”.</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Pues bien, el análisis del curso procesal que condujo a la toma de la decisión aquí cuestionada, revela que mediante la diligencia de ordenación de 16 de diciembre de 2011 lo que materialmente se acordó fue la declaración de incompetencia para la práctica de la tasación de costas por considerar competente para ello al órgano que conoció del asunto en vía de recurso. Así se desprende de la mención que en la diligencia se hace al art. 243.1 de la Ley de enjuiciamiento civil (LEC), según el cual “[e]n todo tipo de procesos e instancias, la tasación de costas se practicará por el Secretario del Tribunal que hubiera conocido del proceso o recurso, respectivamente, o, en su caso, por el Secretario judicial encargado de la ejecución”. Ahora bien, tal pronunciamiento fue contradicho por la Sala de lo Contencioso-Administrativo que había conocido del recurso de apelación cuando el demandante de amparo dedujo su solicitud ante dicho órgano colegiado siguiendo las indicaciones plasmadas en la diligencia de ordenación referida. En efecto, la providencia de la Sala de lo Contencioso-Administrativo de 23 de enero de 2012, utilizando una redacción que pone en evidencia la existencia de un criterio consolidado, acordó devolver al demandante la solicitud de tasación de costas, razonando a tal efecto que al no haber existido actuaciones procesales ante la Sala, la competencia para practicar la tasación correspondía al órgano judicial que conoció del asunto en primera instancia, fijando así la competencia del órgano inferior en aplicación de una regla procesal que encuentra plasmación en el art. 52 de la Ley Orgánica </w:t>
      </w:r>
      <w:r>
        <w:lastRenderedPageBreak/>
        <w:t>del Poder Judicial, según el cual los órganos superiores fijarán su propia competencia y recabarán para sí las actuaciones o las remitirán al órgano inferior.</w:t>
      </w:r>
    </w:p>
    <w:p w:rsidR="0026452D" w:rsidRDefault="0026452D" w:rsidP="0026452D">
      <w:pPr>
        <w:pStyle w:val="TextoNormal"/>
      </w:pPr>
    </w:p>
    <w:p w:rsidR="0026452D" w:rsidRDefault="0026452D" w:rsidP="0026452D">
      <w:pPr>
        <w:pStyle w:val="TextoNormal"/>
      </w:pPr>
      <w:r>
        <w:t>De lo anterior se desprende que el órgano judicial cuya decisión está sometida a nuestro enjuiciamiento desconoció el carácter vinculante de la decisión adoptada por el órgano judicial superior jerárquico en el seno del mismo proceso, utilizando para ello una argumentación que por su irrazonabilidad no puede calificarse de fundada en Derecho. No puede afirmarse que la cuestión de qué órgano judicial era el competente para realizar la tasación de costas hubiera sido decidida con carácter definitivo mediante la diligencia de ordenación de 16 de diciembre de 2011 en favor de la Sala de lo Contencioso-Administrativo que conoció de la apelación. Aun cuando es cierto que el demandante siguió la indicación efectuada en la instancia —bien que de forma críptica mediante la escueta cita del art. 243.1 LEC— y acudió al órgano judicial que se le indicaba como competente, no lo es menos que tal decisión no era vinculante para la Sala de lo Contencioso-Administrativo, la cual, en uso de sus atribuciones, fijó la competencia del inferior en una decisión que se impone al órgano inferior y que éste no puede sino cumplir por haber sido dictada en el seno de un mismo proceso aunque en instancia distinta. No estamos aquí en el ámbito de actuación de la independencia judicial en la interpretación de la legalidad aplicable que permite a los órganos judiciales no ajustarse a la interpretación de la legalidad efectuada en otros procesos semejantes por otros órganos judiciales de rango superior (con la excepción abordada en la STC 37/2012, de 19 de marzo, respecto de los recursos de casación en interés de ley), sino ante la obligación de cumplir las resoluciones judiciales dictadas por los superiores en el seno de una distinta fase de un mismo proceso.</w:t>
      </w:r>
    </w:p>
    <w:p w:rsidR="0026452D" w:rsidRDefault="0026452D" w:rsidP="0026452D">
      <w:pPr>
        <w:pStyle w:val="TextoNormal"/>
      </w:pPr>
    </w:p>
    <w:p w:rsidR="0026452D" w:rsidRDefault="0026452D" w:rsidP="0026452D">
      <w:pPr>
        <w:pStyle w:val="TextoNormal"/>
      </w:pPr>
      <w:r w:rsidRPr="0026452D">
        <w:rPr>
          <w:rStyle w:val="NumeroAFNegritaCaracter"/>
        </w:rPr>
        <w:t>5</w:t>
      </w:r>
      <w:r>
        <w:t>. Consecuentemente, ha de afirmarse que la decisión adoptada por el Juzgado de lo Contencioso-Administrativo, en cuanto desatiende la obligación legal de cumplir lo acordado por el órgano superior jerárquico, por su irracionabilidad, no se encuentra fundada en Derecho, y condujo a la indefensión del demandante de amparo que vio cercenada toda posibilidad de instar la tasación de las costas a cuyo pago había sido condenado su oponente.</w:t>
      </w:r>
    </w:p>
    <w:p w:rsidR="0026452D" w:rsidRDefault="0026452D" w:rsidP="0026452D">
      <w:pPr>
        <w:pStyle w:val="TextoNormal"/>
      </w:pPr>
    </w:p>
    <w:p w:rsidR="0026452D" w:rsidRDefault="0026452D" w:rsidP="0026452D">
      <w:pPr>
        <w:pStyle w:val="TextoNormal"/>
      </w:pPr>
      <w:r>
        <w:t>Pues bien, tal como anticipábamos al comienzo de la fundamentación jurídica de esta resolución, la singularidad de la cuestión suscitada y que dota al presente recurso de la exigible trascendencia constitucional radica en que la lesión del derecho a la tutela judicial efectiva tiene su origen en el incumplimiento judicial de las reglas relativas a la competencia funcional que le obligaban a acomodarse a lo resuelto por el órgano que conoció de la apelación, incumplimiento que menoscaba severamente el funcionamiento del sistema articulado para la prestación de la tutela judicial a la que todos tienen derecho (art. 24.1 CE) y frente a lo cual este Tribunal no puede dejar de reaccionar en su condición de garante último de los derechos fundamentales. Se trasciende así el mero interés subjetivo —necesario pero no suficiente en la nueva configuración del recurso de amparo—, poniéndose de manifiesto la necesidad de reafirmar la sujeción de los órganos judiciales a lo resuelto por sus superiores jerárquicos en la fase de recurso, en este caso en un incidente que se inserta en la fase de ejecución de las Sentencias.</w:t>
      </w:r>
    </w:p>
    <w:p w:rsidR="0026452D" w:rsidRDefault="0026452D" w:rsidP="0026452D">
      <w:pPr>
        <w:pStyle w:val="TextoNormal"/>
      </w:pPr>
    </w:p>
    <w:p w:rsidR="0026452D" w:rsidRDefault="0026452D" w:rsidP="0026452D">
      <w:pPr>
        <w:pStyle w:val="TextoNormal"/>
      </w:pPr>
      <w:r w:rsidRPr="0026452D">
        <w:rPr>
          <w:rStyle w:val="NumeroAFNegritaCaracter"/>
        </w:rPr>
        <w:t>6</w:t>
      </w:r>
      <w:r>
        <w:t>. Finalmente, para el restablecimiento del derecho del demandante bastará con la retroacción de actuaciones para que se resuelva sobre la tasación de costas interesada.</w:t>
      </w:r>
    </w:p>
    <w:p w:rsidR="0026452D" w:rsidRDefault="0026452D" w:rsidP="0026452D">
      <w:pPr>
        <w:pStyle w:val="TextoNormal"/>
      </w:pPr>
    </w:p>
    <w:p w:rsidR="0026452D" w:rsidRDefault="0026452D" w:rsidP="0026452D">
      <w:pPr>
        <w:pStyle w:val="TextoNormalCentrado"/>
        <w:keepNext/>
      </w:pPr>
      <w:r>
        <w:lastRenderedPageBreak/>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Antonio Balbuena Martínez y, en consecuencia,</w:t>
      </w:r>
    </w:p>
    <w:p w:rsidR="0026452D" w:rsidRDefault="0026452D" w:rsidP="0026452D">
      <w:pPr>
        <w:pStyle w:val="TextoNormal"/>
      </w:pPr>
    </w:p>
    <w:p w:rsidR="0026452D" w:rsidRDefault="0026452D" w:rsidP="0026452D">
      <w:pPr>
        <w:pStyle w:val="TextoNormal"/>
      </w:pPr>
      <w:r>
        <w:t>1º Reconocer que se ha vulnerado su derecho a la tutela judicial efectiva (art. 24.1 CE).</w:t>
      </w:r>
    </w:p>
    <w:p w:rsidR="0026452D" w:rsidRDefault="0026452D" w:rsidP="0026452D">
      <w:pPr>
        <w:pStyle w:val="TextoNormal"/>
      </w:pPr>
    </w:p>
    <w:p w:rsidR="0026452D" w:rsidRDefault="0026452D" w:rsidP="0026452D">
      <w:pPr>
        <w:pStyle w:val="TextoNormal"/>
      </w:pPr>
      <w:r>
        <w:t>2º Restablecer al demandante en la integridad de su derecho y, a tal fin, anular el Auto del Juzgado de lo Contencioso-Administrativo núm. 7 de Sevilla, de 28 de junio de 2012, así como las resoluciones confirmadas por éste.</w:t>
      </w:r>
    </w:p>
    <w:p w:rsidR="0026452D" w:rsidRDefault="0026452D" w:rsidP="0026452D">
      <w:pPr>
        <w:pStyle w:val="TextoNormal"/>
      </w:pPr>
    </w:p>
    <w:p w:rsidR="0026452D" w:rsidRDefault="0026452D" w:rsidP="0026452D">
      <w:pPr>
        <w:pStyle w:val="TextoNormal"/>
      </w:pPr>
      <w:r>
        <w:t>3º Retrotraer las actuaciones al momento inmediatamente anterior al dictado de la diligencia de ordenación de 13 de marzo de 2012, a fin de que se resuelva la solicitud del demandante sobre la tasación de costas con pleno respeto al derecho fundamental vulnerado.</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veinte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25" w:name="SENTENCIA_2013_122"/>
      <w:r>
        <w:lastRenderedPageBreak/>
        <w:t>SENTENCIA 122/2013, de 20 de mayo de 2013</w:t>
      </w:r>
    </w:p>
    <w:bookmarkEnd w:id="125"/>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145, de 18 de junio de 2013)</w:t>
      </w:r>
    </w:p>
    <w:p w:rsidR="0026452D" w:rsidRDefault="0026452D" w:rsidP="0026452D">
      <w:pPr>
        <w:pStyle w:val="TtuloBOE"/>
      </w:pPr>
    </w:p>
    <w:p w:rsidR="0026452D" w:rsidRDefault="0026452D" w:rsidP="0026452D">
      <w:pPr>
        <w:pStyle w:val="SntesisDescriptiva"/>
      </w:pPr>
      <w:r>
        <w:t>ECLI:ES:TC:2013:122</w:t>
      </w:r>
    </w:p>
    <w:p w:rsidR="0026452D" w:rsidRDefault="0026452D" w:rsidP="0026452D">
      <w:pPr>
        <w:pStyle w:val="SntesisDescriptiva"/>
      </w:pPr>
    </w:p>
    <w:p w:rsidR="0026452D" w:rsidRDefault="0026452D" w:rsidP="0026452D">
      <w:pPr>
        <w:pStyle w:val="SntesisDescriptiva"/>
      </w:pPr>
      <w:r>
        <w:t>Recurso de amparo 6076-2012. Promovido por don José Luis Calvo Picallo y por la entidad Instalaciones Climatización de Galicia, S.L., en relación con el Auto dictado por un Juzgado de Primera Instancia de Ferrol que denegó su solicitud de nulidad de actuaciones en procedimiento de ejecución hipotecaria.</w:t>
      </w:r>
    </w:p>
    <w:p w:rsidR="0026452D" w:rsidRDefault="0026452D" w:rsidP="0026452D">
      <w:pPr>
        <w:pStyle w:val="SntesisDescriptiva"/>
      </w:pPr>
    </w:p>
    <w:p w:rsidR="0026452D" w:rsidRDefault="0026452D" w:rsidP="0026452D">
      <w:pPr>
        <w:pStyle w:val="SntesisAnaltica"/>
      </w:pPr>
      <w:r>
        <w:t>Vulneración del derecho a la tutela judicial sin indefensión: emplazamiento mediante edictos de demandado cuyo domicilio figuraba en la documentación aportada con la demanda (STC 245/2006).</w:t>
      </w:r>
    </w:p>
    <w:p w:rsidR="0026452D" w:rsidRDefault="0026452D" w:rsidP="0026452D">
      <w:pPr>
        <w:pStyle w:val="SntesisAnaltica"/>
      </w:pPr>
    </w:p>
    <w:p w:rsidR="0026452D" w:rsidRDefault="0026452D" w:rsidP="0026452D">
      <w:pPr>
        <w:pStyle w:val="Extracto"/>
      </w:pPr>
      <w:r>
        <w:t>1.</w:t>
      </w:r>
      <w:r>
        <w:tab/>
        <w:t>Se ha vulnerado el derecho a la tutela judicial efectiva sin indefensión de los demandantes de amparo al no haberse agotado los medios de averiguación del domicilio real antes de la comunicación por edictos, cuando además constaba identificado un domicilio en los documentos aportados con la demanda  [FJ 5].</w:t>
      </w:r>
    </w:p>
    <w:p w:rsidR="0026452D" w:rsidRDefault="0026452D" w:rsidP="0026452D">
      <w:pPr>
        <w:pStyle w:val="Extracto"/>
      </w:pPr>
    </w:p>
    <w:p w:rsidR="0026452D" w:rsidRDefault="0026452D" w:rsidP="0026452D">
      <w:pPr>
        <w:pStyle w:val="Extracto"/>
      </w:pPr>
      <w:r>
        <w:t>2.</w:t>
      </w:r>
      <w:r>
        <w:tab/>
        <w:t>En el procedimiento de ejecución hipotecaria es exigible al órgano jurisdiccional, una vez que surjan dudas razonables sobre el domicilio real del ejecutado, que intente, en cumplimiento del deber de diligencia en la realización de los actos de comunicación procesal que impone el art. 24.1 CE, el emplazamiento personal en el domicilio que figure en las actuaciones, distinto del que consta en la escritura de préstamo hipotecario y en el Registro (SSTC 245/2006, 28/2010)  [FFJJ 2, 3].</w:t>
      </w:r>
    </w:p>
    <w:p w:rsidR="0026452D" w:rsidRDefault="0026452D" w:rsidP="0026452D">
      <w:pPr>
        <w:pStyle w:val="Extracto"/>
      </w:pPr>
    </w:p>
    <w:p w:rsidR="0026452D" w:rsidRDefault="0026452D" w:rsidP="0026452D">
      <w:pPr>
        <w:pStyle w:val="Extracto"/>
      </w:pPr>
      <w:r>
        <w:t>3.</w:t>
      </w:r>
      <w:r>
        <w:tab/>
        <w:t>Cuando del examen de los autos o de la documentación aportada por las partes se deduzca la existencia de un domicilio que haga factible practicar de forma personal los actos de comunicación procesal con el demandado, el órgano judicial debe intentar esta forma de notificación antes de acudir a la notificación por edictos (SSTC 40/2005, 245/2006) [FJ 3].</w:t>
      </w:r>
    </w:p>
    <w:p w:rsidR="0026452D" w:rsidRDefault="0026452D" w:rsidP="0026452D">
      <w:pPr>
        <w:pStyle w:val="Extracto"/>
      </w:pPr>
    </w:p>
    <w:p w:rsidR="0026452D" w:rsidRDefault="0026452D" w:rsidP="0026452D">
      <w:pPr>
        <w:pStyle w:val="Extracto"/>
      </w:pPr>
      <w:r>
        <w:t>4.</w:t>
      </w:r>
      <w:r>
        <w:tab/>
        <w:t xml:space="preserve">Desde una estricta perspectiva constitucional, procede realizar una interpretación </w:t>
      </w:r>
      <w:r w:rsidRPr="0026452D">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sólo puede utilizarse cuando se hayan agotado los medios de averiguación del domicilio del deudor o ejecutado [FJ 5].</w:t>
      </w:r>
    </w:p>
    <w:p w:rsidR="0026452D" w:rsidRDefault="0026452D" w:rsidP="0026452D">
      <w:pPr>
        <w:pStyle w:val="Extracto"/>
      </w:pPr>
    </w:p>
    <w:p w:rsidR="0026452D" w:rsidRDefault="0026452D" w:rsidP="0026452D">
      <w:pPr>
        <w:pStyle w:val="Extracto"/>
      </w:pPr>
      <w:r>
        <w:t>5.</w:t>
      </w:r>
      <w:r>
        <w:tab/>
        <w:t xml:space="preserve">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siendo un instrumento capital el régimen procesal de emplazamientos, citaciones </w:t>
      </w:r>
      <w:r>
        <w:lastRenderedPageBreak/>
        <w:t>y notificaciones, pues sólo así cabe garantizar los indisponibles principios de contradicción e igualdad de armas entre las partes del litigio (SSTC 219/1999, 128/2000) [FJ 3].</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6076-2012, promovido por don José Luis Calvo Picallo y por la entidad Instalaciones Climatización de Galicia, S.L., representado por el Procurador de los Tribunales don Argimiro Vázquez Guillén y asistido por el Abogado don Manuel Arias Eibe, contra el Auto de 9 de octubre de 2012 del Juzgado de Primera Instancia núm. 5 de Ferrol. Ha intervenido el Ministerio Fiscal. Ha sido Ponente el Magistrado don Juan José González Rivas,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que tuvo entrada en el Registro General de este Tribunal el día 29 de octubre de 2012, el Procurador de los Tribunales don Argimiro Vázquez Guillén, en nombre y representación de don José Luis Calvo Picallo y la entidad Instalaciones Climatización de Galicia, S.L., interpuso recurso de amparo contra la resolución judicial que se cita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de los que trae causa la demanda, relevantes para la resolución del recurso son, en síntesis, los siguientes:</w:t>
      </w:r>
    </w:p>
    <w:p w:rsidR="0026452D" w:rsidRDefault="0026452D" w:rsidP="0026452D">
      <w:pPr>
        <w:pStyle w:val="TextoNormal"/>
      </w:pPr>
    </w:p>
    <w:p w:rsidR="0026452D" w:rsidRDefault="0026452D" w:rsidP="0026452D">
      <w:pPr>
        <w:pStyle w:val="TextoNormal"/>
      </w:pPr>
      <w:r>
        <w:t>a) A instancias de la entidad crediticia Banco Bilbao Vizcaya Argentaria, el Juzgado de Primera Instancia núm. 5 de Ferrol inició procedimiento de ejecución hipotecaria número 228-2011, en fecha 21 de noviembre de 2011, contra don José Luis Calvo Picallo y contra la entidad Instalaciones Climatización de Galicia, S.L., en relación con la finca registral hipotecada núm. 8178, inscrita en el Registro la Propiedad de Pontedeume.</w:t>
      </w:r>
    </w:p>
    <w:p w:rsidR="0026452D" w:rsidRDefault="0026452D" w:rsidP="0026452D">
      <w:pPr>
        <w:pStyle w:val="TextoNormal"/>
      </w:pPr>
    </w:p>
    <w:p w:rsidR="0026452D" w:rsidRDefault="0026452D" w:rsidP="0026452D">
      <w:pPr>
        <w:pStyle w:val="TextoNormal"/>
      </w:pPr>
      <w:r>
        <w:t>b) A la demanda se acompañaba, entre otra documentación, la escritura de hipoteca sobre el bien propiedad del Sr. Calvo, sito en el término municipal de A Capela, al sitio de Mourente s/n. En tal escritura figuraba como domicilio a efectos de notificaciones el de entidad Instalaciones Climatización de Galicia, S.L., sito en Narón, polígono industrial As Lagoas, Rua Cento Vinte, 11.</w:t>
      </w:r>
    </w:p>
    <w:p w:rsidR="0026452D" w:rsidRDefault="0026452D" w:rsidP="0026452D">
      <w:pPr>
        <w:pStyle w:val="TextoNormal"/>
      </w:pPr>
    </w:p>
    <w:p w:rsidR="0026452D" w:rsidRDefault="0026452D" w:rsidP="0026452D">
      <w:pPr>
        <w:pStyle w:val="TextoNormal"/>
      </w:pPr>
      <w:r>
        <w:t>c) El Juzgado practicó el requerimiento de pago en el domicilio que constaba en la escritura de hipoteca y en el Registro de la Propiedad, haciéndose constar que en el lugar había unas naves abandonadas hace dos años y sin actividad según le manifestaron al funcionario judicial, lo cual fue consignado en las diligencias de requerimiento.</w:t>
      </w:r>
    </w:p>
    <w:p w:rsidR="0026452D" w:rsidRDefault="0026452D" w:rsidP="0026452D">
      <w:pPr>
        <w:pStyle w:val="TextoNormal"/>
      </w:pPr>
    </w:p>
    <w:p w:rsidR="0026452D" w:rsidRDefault="0026452D" w:rsidP="0026452D">
      <w:pPr>
        <w:pStyle w:val="TextoNormal"/>
      </w:pPr>
      <w:r>
        <w:t>d) Trasladado el estado del procedimiento al ejecutante, por el mismo se interesó que las sucesivas notificaciones se practicaran por edictos, lo cual se acordó por el Juzgado, practicándose el requerimiento de pago mediante edictos en la forma prevista en el art. 164 de la Ley de enjuiciamiento civil, e igualmente se notificó por edictos la convocatoria de la subasta.</w:t>
      </w:r>
    </w:p>
    <w:p w:rsidR="0026452D" w:rsidRDefault="0026452D" w:rsidP="0026452D">
      <w:pPr>
        <w:pStyle w:val="TextoNormal"/>
      </w:pPr>
    </w:p>
    <w:p w:rsidR="0026452D" w:rsidRDefault="0026452D" w:rsidP="0026452D">
      <w:pPr>
        <w:pStyle w:val="TextoNormal"/>
      </w:pPr>
      <w:r>
        <w:t>e) Habiendo tenido conocimiento del procedimiento los demandantes en fecha 10 de julio de 2012, según manifiestan, se personaron en autos y plantearon incidente de nulidad de actuaciones, que fue desestimado por el Auto impugnado de fecha 9 de octubre de 2012.</w:t>
      </w:r>
    </w:p>
    <w:p w:rsidR="0026452D" w:rsidRDefault="0026452D" w:rsidP="0026452D">
      <w:pPr>
        <w:pStyle w:val="TextoNormal"/>
      </w:pPr>
    </w:p>
    <w:p w:rsidR="0026452D" w:rsidRDefault="0026452D" w:rsidP="0026452D">
      <w:pPr>
        <w:pStyle w:val="TextoNormal"/>
      </w:pPr>
      <w:r w:rsidRPr="0026452D">
        <w:rPr>
          <w:rStyle w:val="NumeroAFNegritaCaracter"/>
        </w:rPr>
        <w:t>3</w:t>
      </w:r>
      <w:r>
        <w:t>. En la demanda de amparo se alega la vulneración del derecho fundamental a la tutela judicial efectiva sin indefensión (art. 24.1 CE) al no haber sido emplazados los demandantes ni requeridos de pago en su domicilio real, y que de la documentación aportada a la demanda de ejecución por la entidad acreedora se desprendía otro domicilio —el real en la localidad de A Capela—, sin que el órgano jurisdiccional realizara ninguna diligencia previa a la comunicación edictal para emplazar a los demandantes en su verdadero domicilio que constaba en autos.</w:t>
      </w:r>
    </w:p>
    <w:p w:rsidR="0026452D" w:rsidRDefault="0026452D" w:rsidP="0026452D">
      <w:pPr>
        <w:pStyle w:val="TextoNormal"/>
      </w:pPr>
    </w:p>
    <w:p w:rsidR="0026452D" w:rsidRDefault="0026452D" w:rsidP="0026452D">
      <w:pPr>
        <w:pStyle w:val="TextoNormal"/>
      </w:pPr>
      <w:r>
        <w:t>Mediante otrosí en la propia demanda de amparo se solicitó que se dejara en suspenso la ejecución del Auto de 8 de octubre de 2012, con el objeto de poder garantizar la defensa de sus derechos fundamentales en el proceso civil, sin hacer perder la finalidad del recurso, ya que de lo contrario no se podría restituir la propiedad, de celebrarse la subasta.</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28 de enero de 2013 la Sala Primera acordó conocer del presente recurso de amparo y admitir a trámite la demanda, y, a tenor de lo dispuesto en el art. 51 de la Ley Orgánica del Tribunal Constitucional (LOTC), requerir al Juzgado de Primera Instancia núm. 5 de Ferrol, para que en el plazo de diez días remitiera testimonio del juicio ejecutivo núm. 228-2011, interesándose al tiempo que se emplazara a quienes fueron parte en el procedimiento, a excepción de los recurrentes en amparo, para que en el plazo de diez días pudieran comparecer en este proceso constitucional.</w:t>
      </w:r>
    </w:p>
    <w:p w:rsidR="0026452D" w:rsidRDefault="0026452D" w:rsidP="0026452D">
      <w:pPr>
        <w:pStyle w:val="TextoNormal"/>
      </w:pPr>
    </w:p>
    <w:p w:rsidR="0026452D" w:rsidRDefault="0026452D" w:rsidP="0026452D">
      <w:pPr>
        <w:pStyle w:val="TextoNormal"/>
      </w:pPr>
      <w:r w:rsidRPr="0026452D">
        <w:rPr>
          <w:rStyle w:val="NumeroAFNegritaCaracter"/>
        </w:rPr>
        <w:t>5</w:t>
      </w:r>
      <w:r>
        <w:t>. Por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el Auto 56/2013, de 25 de febrero, la Sala Primera acordó suspender la ejecución del Auto de 9 de octubre de 2012, dictado por el Juzgado de Primera Instancia núm. 5 de Ferrol y el señalamiento de la subasta sobre la finca hipotecada en el procedimiento de ejecución hipotecaria núm. 228-2011.</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6</w:t>
      </w:r>
      <w:r>
        <w:t>. Por diligencia de ordenación del Secretario de Justicia de la Sala Primera de 22 de marzo de 2013 se tuvieron por recibidos los testimonios de las actuaciones remitidos por el Juzgado de Primera Instancia núm. 5 de Ferrol, acordándose,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0026452D" w:rsidRDefault="0026452D" w:rsidP="0026452D">
      <w:pPr>
        <w:pStyle w:val="TextoNormal"/>
      </w:pPr>
    </w:p>
    <w:p w:rsidR="0026452D" w:rsidRDefault="0026452D" w:rsidP="0026452D">
      <w:pPr>
        <w:pStyle w:val="TextoNormal"/>
      </w:pPr>
      <w:r w:rsidRPr="0026452D">
        <w:rPr>
          <w:rStyle w:val="NumeroAFNegritaCaracter"/>
        </w:rPr>
        <w:t>7</w:t>
      </w:r>
      <w:r>
        <w:t>. La representación procesal de los demandantes de amparo formuló sus alegaciones mediante escrito que tuvo su entrada en el Registro General de este Tribunal el día 25 de abril de 2013, en el que se afirma y ratifica en el escrito de la demanda, aduciendo que constaba su domicilio real en la documentación acompañada con la demanda y que la omisión de citación y emplazamiento de los demandantes resulta imputable directamente al órgano judicial, que por ello ha generado una clara situación de indefensión constitucionalmente relevante.</w:t>
      </w:r>
    </w:p>
    <w:p w:rsidR="0026452D" w:rsidRDefault="0026452D" w:rsidP="0026452D">
      <w:pPr>
        <w:pStyle w:val="TextoNormal"/>
      </w:pPr>
    </w:p>
    <w:p w:rsidR="0026452D" w:rsidRDefault="0026452D" w:rsidP="0026452D">
      <w:pPr>
        <w:pStyle w:val="TextoNormal"/>
      </w:pPr>
      <w:r w:rsidRPr="0026452D">
        <w:rPr>
          <w:rStyle w:val="NumeroAFNegritaCaracter"/>
        </w:rPr>
        <w:t>8</w:t>
      </w:r>
      <w:r>
        <w:t>. El Fiscal ante el Tribunal Constitucional presentó sus alegaciones mediante escrito registrado el día 25 de abril de 2013, interesando el otorgamiento del amparo.</w:t>
      </w:r>
    </w:p>
    <w:p w:rsidR="0026452D" w:rsidRDefault="0026452D" w:rsidP="0026452D">
      <w:pPr>
        <w:pStyle w:val="TextoNormal"/>
      </w:pPr>
    </w:p>
    <w:p w:rsidR="0026452D" w:rsidRDefault="0026452D" w:rsidP="0026452D">
      <w:pPr>
        <w:pStyle w:val="TextoNormal"/>
      </w:pPr>
      <w:r>
        <w:t>El Fiscal aduce que el órgano judicial ha de intentar por todos los medios a su alcance agotar las posibilidades de comunicación en cuantos domicilios le consten, ya se hallen éstos identificados en las actuaciones (STC 245/2006, de 24 de julio) o ya haya necesidad de recurrir a algún registro público como se dice en la STC 126/2006, de 24 de abril.</w:t>
      </w:r>
    </w:p>
    <w:p w:rsidR="0026452D" w:rsidRDefault="0026452D" w:rsidP="0026452D">
      <w:pPr>
        <w:pStyle w:val="TextoNormal"/>
      </w:pPr>
    </w:p>
    <w:p w:rsidR="0026452D" w:rsidRDefault="0026452D" w:rsidP="0026452D">
      <w:pPr>
        <w:pStyle w:val="TextoNormal"/>
      </w:pPr>
      <w:r>
        <w:t>En este caso, no se agotaron los medios posibles de localización de los demandados, constando un domicilio alternativo de los demandantes en la póliza número 09-187260 cuyo impago fue origen de la ejecución hipotecaria, así como en el juicio de conciliación sin avenencia celebrado en el Juzgado de Primera Instancia núm. 2 de Ferrol, seguido con la misma entidad bancaria acreedora, donde compareció el demandado Sr. Calvo manifestando que su domicilio era el del municipio de A Capela, coincidente con el consignado en la póliza de crédito, sin que el Juzgado hiciera ningún tipo de notificación o requerimiento en tal lugar, pese a constar en los mismos autos.</w:t>
      </w:r>
    </w:p>
    <w:p w:rsidR="0026452D" w:rsidRDefault="0026452D" w:rsidP="0026452D">
      <w:pPr>
        <w:pStyle w:val="TextoNormal"/>
      </w:pPr>
    </w:p>
    <w:p w:rsidR="0026452D" w:rsidRDefault="0026452D" w:rsidP="0026452D">
      <w:pPr>
        <w:pStyle w:val="TextoNormal"/>
      </w:pPr>
      <w:r>
        <w:t>Por otra parte, si bien la modificación introducida por Ley 13/2009 en la Ley de enjuiciamiento civil, añadiendo un apartado 3 al art. 686 y modificando el art. 691, ofrecen la posibilidad de acudir a los edictos en caso de diligencia negativa de requerimiento en el domicilio que conste en el Registro, el Fiscal alega que debe interpretarse dicho precepto de acuerdo a la reiterada jurisprudencia del Tribunal Constitucional en materia de actos de comunicación, teniendo en cuenta, además, que nos hallamos en el derecho de acceso al proceso que deriva directamente de la Constitución y no de la Ley (art. 24.1 CE y STC 37/1995, de 7 de febrero).</w:t>
      </w:r>
    </w:p>
    <w:p w:rsidR="0026452D" w:rsidRDefault="0026452D" w:rsidP="0026452D">
      <w:pPr>
        <w:pStyle w:val="TextoNormal"/>
      </w:pPr>
    </w:p>
    <w:p w:rsidR="0026452D" w:rsidRDefault="0026452D" w:rsidP="0026452D">
      <w:pPr>
        <w:pStyle w:val="TextoNormal"/>
      </w:pPr>
      <w:r>
        <w:t>En consecuencia, interesa que se dicte Sentencia otorgando el amparo con anulación del Auto impugnado y retroacción de actuaciones al momento anterior al requerimiento de pago a los demandados.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9</w:t>
      </w:r>
      <w:r>
        <w:t>. Por providencia de 16 de mayo de 2013 se señaló para la deliberación y votación de la presente Sentencia el día 20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amparo se dirige contra el Auto de 9 de octubre de 2012, dictado por el Juzgado de Primera Instancia núm. 5 de Ferrol, que desestimó la petición de nulidad de actuaciones promovida por los demandantes de amparo en el procedimiento de ejecución hipotecaria núm. 228-2011.</w:t>
      </w:r>
    </w:p>
    <w:p w:rsidR="0026452D" w:rsidRDefault="0026452D" w:rsidP="0026452D">
      <w:pPr>
        <w:pStyle w:val="TextoNormal"/>
      </w:pPr>
    </w:p>
    <w:p w:rsidR="0026452D" w:rsidRDefault="0026452D" w:rsidP="0026452D">
      <w:pPr>
        <w:pStyle w:val="TextoNormal"/>
      </w:pPr>
      <w:r>
        <w:t>En la demanda de amparo se imputa a la resolución recurrida la vulneración del derecho fundamental a la tutela judicial efectiva sin indefensión (art. 24.1 CE), al no haber sido emplazados los demandantes ni requeridos de pago en su domicilio real, ante la diligencia negativa en el domicilio que constaba en el Registro de la Propiedad, y en este sentido de la documentación aportada a la demanda de ejecución por la entidad acreedora se desprendía otro domicilio —el real en la localidad de A Capela—, sin que se realizara ninguna diligencia previa a la comunicación edictal para emplazar a los demandantes en su verdadero domicilio que constaba en autos.</w:t>
      </w:r>
    </w:p>
    <w:p w:rsidR="0026452D" w:rsidRDefault="0026452D" w:rsidP="0026452D">
      <w:pPr>
        <w:pStyle w:val="TextoNormal"/>
      </w:pPr>
    </w:p>
    <w:p w:rsidR="0026452D" w:rsidRDefault="0026452D" w:rsidP="0026452D">
      <w:pPr>
        <w:pStyle w:val="TextoNormal"/>
      </w:pPr>
      <w:r>
        <w:t>El Ministerio Fiscal interesa la estimación del recurso por entender que concurre la vulneración denunciada.</w:t>
      </w:r>
    </w:p>
    <w:p w:rsidR="0026452D" w:rsidRDefault="0026452D" w:rsidP="0026452D">
      <w:pPr>
        <w:pStyle w:val="TextoNormal"/>
      </w:pPr>
    </w:p>
    <w:p w:rsidR="0026452D" w:rsidRDefault="0026452D" w:rsidP="0026452D">
      <w:pPr>
        <w:pStyle w:val="TextoNormal"/>
      </w:pPr>
      <w:r w:rsidRPr="0026452D">
        <w:rPr>
          <w:rStyle w:val="NumeroAFNegritaCaracter"/>
        </w:rPr>
        <w:t>2</w:t>
      </w:r>
      <w:r>
        <w:t>. Este recurso de amparo plantea la cuestión relativa a la comunicación del procedimiento de ejecución hipotecaria en el caso de que sea negativa la notificación y el requerimiento de pago en el domicilio que consta en el Registro de la Propiedad y, más concretamente, a la necesidad de que el órgano jurisdiccional agote las posibilidades de averiguación del domicilio real antes de acudir a la comunicación edictal.</w:t>
      </w:r>
    </w:p>
    <w:p w:rsidR="0026452D" w:rsidRDefault="0026452D" w:rsidP="0026452D">
      <w:pPr>
        <w:pStyle w:val="TextoNormal"/>
      </w:pPr>
    </w:p>
    <w:p w:rsidR="0026452D" w:rsidRDefault="0026452D" w:rsidP="0026452D">
      <w:pPr>
        <w:pStyle w:val="TextoNormal"/>
      </w:pPr>
      <w:r>
        <w:t>Sobre esta cuestión este Tribunal se ha pronunciado en reiteradas ocasiones, afirmando que es necesario que el órgano judicial agote los medios que tenga a su alcance para notificar al demandado la existencia del proceso en su domicilio real antes de acudir a la comunicación edictal.</w:t>
      </w:r>
    </w:p>
    <w:p w:rsidR="0026452D" w:rsidRDefault="0026452D" w:rsidP="0026452D">
      <w:pPr>
        <w:pStyle w:val="TextoNormal"/>
      </w:pPr>
    </w:p>
    <w:p w:rsidR="0026452D" w:rsidRDefault="0026452D" w:rsidP="0026452D">
      <w:pPr>
        <w:pStyle w:val="TextoNormal"/>
      </w:pPr>
      <w:r>
        <w:t>Más concretamente, en relación al procedimiento de ejecución hipotecaria, la STC 245/2006, de 24 de julio (FJ 2), expresaba que “una vez que surjan dudas razonables de que el domicilio señalado en la escritura del préstamo hipotecario y que figura en el Registro sea el domicilio real del ejecutado, le es exigible (al órgano jurisdiccional)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w:t>
      </w:r>
    </w:p>
    <w:p w:rsidR="0026452D" w:rsidRDefault="0026452D" w:rsidP="0026452D">
      <w:pPr>
        <w:pStyle w:val="TextoNormal"/>
      </w:pPr>
    </w:p>
    <w:p w:rsidR="0026452D" w:rsidRDefault="0026452D" w:rsidP="0026452D">
      <w:pPr>
        <w:pStyle w:val="TextoNormal"/>
      </w:pPr>
      <w:r>
        <w:t>La reforma de la Ley de enjuiciamiento civil (LEC) operada por la Ley 13/2009, de 3 de noviembre, añade un apartado 3 al art. 686 LEC, con el siguiente tenor: “Intentado sin efecto el requerimiento en el domicilio que resulte del Registro, no pudiendo ser realizado el mismo con las personas a las que se refiere el apartado anterior, se procederá a ordenar la publicación de edictos en la forma prevista en el art. 164 de esta Ley.”</w:t>
      </w:r>
    </w:p>
    <w:p w:rsidR="0026452D" w:rsidRDefault="0026452D" w:rsidP="0026452D">
      <w:pPr>
        <w:pStyle w:val="TextoNormal"/>
      </w:pPr>
    </w:p>
    <w:p w:rsidR="0026452D" w:rsidRDefault="0026452D" w:rsidP="0026452D">
      <w:pPr>
        <w:pStyle w:val="TextoNormal"/>
      </w:pPr>
      <w:r>
        <w:t>Ello determina la especial trascendencia constitucional de este recurso, siendo necesario que este Tribunal se pronuncie sobre este nuevo marco normativo del procedimiento de ejecución hipotecaria, respecto del cual no hay doctrina del Tribunal Constitucional [apartado a) del fundamento jurídico 2 de la STC 155/2009, de 25 de junio], apareciendo asimismo que el tenor literal del precepto aplicado por el órgano jurisdiccional ( art. 686.3 LEC) presenta un riesgo de conflicto con el derecho a la tutela judicial efectiva del art. 24.1 CE, según la interpretación uniforme de este Tribunal en materia de actos de comunicación y acceso al proceso.</w:t>
      </w:r>
    </w:p>
    <w:p w:rsidR="0026452D" w:rsidRDefault="0026452D" w:rsidP="0026452D">
      <w:pPr>
        <w:pStyle w:val="TextoNormal"/>
      </w:pPr>
    </w:p>
    <w:p w:rsidR="0026452D" w:rsidRDefault="0026452D" w:rsidP="0026452D">
      <w:pPr>
        <w:pStyle w:val="TextoNormal"/>
      </w:pPr>
      <w:r w:rsidRPr="0026452D">
        <w:rPr>
          <w:rStyle w:val="NumeroAFNegritaCaracter"/>
        </w:rPr>
        <w:t>3</w:t>
      </w:r>
      <w:r>
        <w:t>. Este Tribunal ha declarado reiteradamente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w:t>
      </w:r>
    </w:p>
    <w:p w:rsidR="0026452D" w:rsidRDefault="0026452D" w:rsidP="0026452D">
      <w:pPr>
        <w:pStyle w:val="TextoNormal"/>
      </w:pPr>
    </w:p>
    <w:p w:rsidR="0026452D" w:rsidRDefault="0026452D" w:rsidP="0026452D">
      <w:pPr>
        <w:pStyle w:val="TextoNormal"/>
      </w:pPr>
      <w:r>
        <w:t>Ello implica que el órgano judicial tiene no sólo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0026452D" w:rsidRDefault="0026452D" w:rsidP="0026452D">
      <w:pPr>
        <w:pStyle w:val="TextoNormal"/>
      </w:pPr>
    </w:p>
    <w:p w:rsidR="0026452D" w:rsidRDefault="0026452D" w:rsidP="0026452D">
      <w:pPr>
        <w:pStyle w:val="TextoNormal"/>
      </w:pPr>
      <w:r>
        <w:t>Esta misma doctrina la hemos aplicado en el procedimiento de ejecución hipotecaria afirmando 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4</w:t>
      </w:r>
      <w:r>
        <w:t>. En el supuesto objeto de este recurso de amparo, constaba en la documentación aportada por la entidad bancaria en la demanda de ejecución hipotecaria que el recurrente, don José Luis Calvo Picallo, tenía su domicilio en Mourente, 15163, A Capela (A Coruña), y así se reflejaba en el contrato de préstamo acompañado como documento núm. 4 de la demanda, el cual se indica por el demandante que es su domicilio real y que además es coincidente con el de la finca hipotecada.</w:t>
      </w:r>
    </w:p>
    <w:p w:rsidR="0026452D" w:rsidRDefault="0026452D" w:rsidP="0026452D">
      <w:pPr>
        <w:pStyle w:val="TextoNormal"/>
      </w:pPr>
    </w:p>
    <w:p w:rsidR="0026452D" w:rsidRDefault="0026452D" w:rsidP="0026452D">
      <w:pPr>
        <w:pStyle w:val="TextoNormal"/>
      </w:pPr>
      <w:r>
        <w:t>El Juzgado practicó el requerimiento de pago en fecha 23 de noviembre de 2011 en el domicilio registral de Narón, en cuya diligencia negativa consta “nave abandonada sin signos de actividad” y “se marchó sin dejar señas hace más de dos años”, ante lo cual, por diligencia de ordenación de fecha 7 de diciembre de 2011, se requirió a la ejecutante para que facilitara otro domicilio o instara medidas de averiguación en plazo de cinco días. La entidad ejecutante interesó la publicación de edictos al amparo de lo dispuesto en el art. 686.3 LEC, invocando su carácter de norma especial para los procedimientos hipotecarios, lo que se acordó por diligencia de ordenación de fecha 12 de enero de 2012.</w:t>
      </w:r>
    </w:p>
    <w:p w:rsidR="0026452D" w:rsidRDefault="0026452D" w:rsidP="0026452D">
      <w:pPr>
        <w:pStyle w:val="TextoNormal"/>
      </w:pPr>
    </w:p>
    <w:p w:rsidR="0026452D" w:rsidRDefault="0026452D" w:rsidP="0026452D">
      <w:pPr>
        <w:pStyle w:val="TextoNormal"/>
      </w:pPr>
      <w:r>
        <w:t>Por tanto, es indudable que el órgano judicial no agotó las posibilidades de localización del deudor, lo cual entraría en contradicción con la doctrina constitucional expuesta en el anterior fundamento. Sobre esta doctrina no puede interferir la reforma operada por la Ley 13/2009, de 3 de noviembre, que añade un nuevo apartado 3 al art. 686 LEC, habida cuenta que todos los preceptos relativos a la notificación del despacho de la ejecución y del requerimiento de pago han de ser interpretados en coherencia con la jurisprudencia de este Tribunal.</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Así, desde una estricta perspectiva constitucional, procede realizar una interpretación </w:t>
      </w:r>
      <w:r w:rsidRPr="0026452D">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sólo puede utilizarse cuando se hayan agotado los medios de averiguación del domicilio del deudor o ejecutado.</w:t>
      </w:r>
    </w:p>
    <w:p w:rsidR="0026452D" w:rsidRDefault="0026452D" w:rsidP="0026452D">
      <w:pPr>
        <w:pStyle w:val="TextoNormal"/>
      </w:pPr>
    </w:p>
    <w:p w:rsidR="0026452D" w:rsidRDefault="0026452D" w:rsidP="0026452D">
      <w:pPr>
        <w:pStyle w:val="TextoNormal"/>
      </w:pPr>
      <w:r>
        <w:t>En consecuencia, y trasladando esta doctrina al presente caso, cabe concluir que se ha vulnerado el derecho a la tutela judicial efectiva sin indefensión de los demandantes, al no haberse agotado los medios de averiguación del domicilio real antes de la comunicación por edictos, cuando además constaba identificado un domicilio del Sr. Calvo en los documentos aportados con la demanda.</w:t>
      </w:r>
    </w:p>
    <w:p w:rsidR="0026452D" w:rsidRDefault="0026452D" w:rsidP="0026452D">
      <w:pPr>
        <w:pStyle w:val="TextoNormal"/>
      </w:pPr>
    </w:p>
    <w:p w:rsidR="0026452D" w:rsidRDefault="0026452D" w:rsidP="0026452D">
      <w:pPr>
        <w:pStyle w:val="TextoNormal"/>
      </w:pPr>
      <w:r w:rsidRPr="0026452D">
        <w:rPr>
          <w:rStyle w:val="NumeroAFNegritaCaracter"/>
        </w:rPr>
        <w:t>6</w:t>
      </w:r>
      <w:r>
        <w:t>. Los razonamientos expuestos, de conformidad con lo dispuesto en el art. 55.1 de la Ley Orgánica del Tribunal Constitucional, conducen a otorgar el amparo, declarando la nulidad del Auto impugnado y retrotrayendo las actuaciones al momento anterior al requerimiento de pago a los demandados para que se les comunique el despacho de ejecución en legal forma.</w:t>
      </w:r>
    </w:p>
    <w:p w:rsidR="0026452D" w:rsidRDefault="0026452D" w:rsidP="0026452D">
      <w:pPr>
        <w:pStyle w:val="TextoNormal"/>
      </w:pPr>
    </w:p>
    <w:p w:rsidR="0026452D" w:rsidRDefault="0026452D" w:rsidP="0026452D">
      <w:pPr>
        <w:pStyle w:val="TextoNormalCentrado"/>
        <w:keepNext/>
      </w:pPr>
      <w:r>
        <w:lastRenderedPageBreak/>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don José Luis Calvo Picallo y por Instalaciones Climatización de Galicia, S.L., y, en consecuencia:</w:t>
      </w:r>
    </w:p>
    <w:p w:rsidR="0026452D" w:rsidRDefault="0026452D" w:rsidP="0026452D">
      <w:pPr>
        <w:pStyle w:val="TextoNormal"/>
      </w:pPr>
    </w:p>
    <w:p w:rsidR="0026452D" w:rsidRDefault="0026452D" w:rsidP="0026452D">
      <w:pPr>
        <w:pStyle w:val="TextoNormal"/>
      </w:pPr>
      <w:r>
        <w:t>1º Reconocer el derecho de los recurrentes a la tutela judicial efectiva sin indefensión (art. 24.1 CE).</w:t>
      </w:r>
    </w:p>
    <w:p w:rsidR="0026452D" w:rsidRDefault="0026452D" w:rsidP="0026452D">
      <w:pPr>
        <w:pStyle w:val="TextoNormal"/>
      </w:pPr>
    </w:p>
    <w:p w:rsidR="0026452D" w:rsidRDefault="0026452D" w:rsidP="0026452D">
      <w:pPr>
        <w:pStyle w:val="TextoNormal"/>
      </w:pPr>
      <w:r>
        <w:t>2º Declarar la nulidad del Auto de 9 de octubre de 2012, dictado por el Juzgado de Primera Instancia núm. 5 de Ferrol, que desestimó la solicitud de nulidad de actuaciones promovida en el procedimiento de ejecución hipotecaria núm. 228-2011.</w:t>
      </w:r>
    </w:p>
    <w:p w:rsidR="0026452D" w:rsidRDefault="0026452D" w:rsidP="0026452D">
      <w:pPr>
        <w:pStyle w:val="TextoNormal"/>
      </w:pPr>
    </w:p>
    <w:p w:rsidR="0026452D" w:rsidRDefault="0026452D" w:rsidP="0026452D">
      <w:pPr>
        <w:pStyle w:val="TextoNormal"/>
      </w:pPr>
      <w:r>
        <w:t>3º Retrotraer las actuaciones al momento inmediatamente anterior al requerimiento de pago a los demandados para que se les comunique el despacho de ejecución en legal forma.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veinte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26" w:name="SENTENCIA_2013_123"/>
      <w:r>
        <w:lastRenderedPageBreak/>
        <w:t>SENTENCIA 123/2013, de 23 de mayo de 2013</w:t>
      </w:r>
    </w:p>
    <w:bookmarkEnd w:id="126"/>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145, de 18 de junio de 2013)</w:t>
      </w:r>
    </w:p>
    <w:p w:rsidR="0026452D" w:rsidRDefault="0026452D" w:rsidP="0026452D">
      <w:pPr>
        <w:pStyle w:val="TtuloBOE"/>
      </w:pPr>
    </w:p>
    <w:p w:rsidR="0026452D" w:rsidRDefault="0026452D" w:rsidP="0026452D">
      <w:pPr>
        <w:pStyle w:val="SntesisDescriptiva"/>
      </w:pPr>
      <w:r>
        <w:t>ECLI:ES:TC:2013:123</w:t>
      </w:r>
    </w:p>
    <w:p w:rsidR="0026452D" w:rsidRDefault="0026452D" w:rsidP="0026452D">
      <w:pPr>
        <w:pStyle w:val="SntesisDescriptiva"/>
      </w:pPr>
    </w:p>
    <w:p w:rsidR="0026452D" w:rsidRDefault="0026452D" w:rsidP="0026452D">
      <w:pPr>
        <w:pStyle w:val="SntesisDescriptiva"/>
      </w:pPr>
      <w:r>
        <w:t>Recurso de inconstitucionalidad 4244-2002. Interpuesto por el Presidente del Gobierno de la Nación frente a varios preceptos de la Ley de la Comunidad Autónoma de Canarias 2/2002, de 27 de marzo, de establecimiento de normas tributarias y de medidas en materia de organización administrativa, de gestión relativas al personal de la Comunidad Autónoma de Canarias y de carácter sancionador.</w:t>
      </w:r>
    </w:p>
    <w:p w:rsidR="0026452D" w:rsidRDefault="0026452D" w:rsidP="0026452D">
      <w:pPr>
        <w:pStyle w:val="SntesisDescriptiva"/>
      </w:pPr>
    </w:p>
    <w:p w:rsidR="0026452D" w:rsidRDefault="0026452D" w:rsidP="0026452D">
      <w:pPr>
        <w:pStyle w:val="SntesisAnaltica"/>
      </w:pPr>
      <w:r>
        <w:t>Competencias sobre régimen energético y colegios profesionales: nulidad de los preceptos legales autonómicos que, contraviniendo disposiciones estatales básicas, atribuyen al gestor de la red de transmisión la responsabilidad de garantizar el correcto funcionamiento de los sistemas insulares de suministro de energía y establecen los supuestos de colegiación obligatoria del personal al servicio de la Administración autonómica (STC 3/2013).</w:t>
      </w:r>
    </w:p>
    <w:p w:rsidR="0026452D" w:rsidRDefault="0026452D" w:rsidP="0026452D">
      <w:pPr>
        <w:pStyle w:val="SntesisAnaltica"/>
      </w:pPr>
    </w:p>
    <w:p w:rsidR="0026452D" w:rsidRDefault="0026452D" w:rsidP="0026452D">
      <w:pPr>
        <w:pStyle w:val="Extracto"/>
      </w:pPr>
      <w:r>
        <w:t>1.</w:t>
      </w:r>
      <w:r>
        <w:tab/>
        <w:t xml:space="preserve">Los preceptos de la Ley del sector eléctrico relativos a la creación de las figuras del operador del mercado y operador del sistema definen elementos nucleares del sistema eléctrico que encajan en el concepto material de bases y que corresponde dictar al Estado </w:t>
      </w:r>
      <w:r w:rsidRPr="0026452D">
        <w:rPr>
          <w:i/>
        </w:rPr>
        <w:t>ex</w:t>
      </w:r>
      <w:r>
        <w:t xml:space="preserve"> apartados 13 y 25 del art. 149.1 CE, puesto que para asegurar el correcto funcionamiento del sector eléctrico en régimen de competencia es imprescindible la designación de instituciones responsables, que deben actuar bajo los principios de transparencia, objetividad e independencia  [FJ 7].</w:t>
      </w:r>
    </w:p>
    <w:p w:rsidR="0026452D" w:rsidRDefault="0026452D" w:rsidP="0026452D">
      <w:pPr>
        <w:pStyle w:val="Extracto"/>
      </w:pPr>
    </w:p>
    <w:p w:rsidR="0026452D" w:rsidRDefault="0026452D" w:rsidP="0026452D">
      <w:pPr>
        <w:pStyle w:val="Extracto"/>
      </w:pPr>
      <w:r>
        <w:t>2.</w:t>
      </w:r>
      <w:r>
        <w:tab/>
        <w:t>Una norma será materialmente básica si garantiza unos principios normativos generales que informan u ordenan una determinada materia, constituyendo el marco o denominador común de necesaria vigencia en el territorio nacional, en aras de una unidad mínima de posiciones jurídicas que delimita lo que es competencia estatal y determina el punto de partida y el límite a partir del cual puede ejercer la Comunidad Autónoma, en defensa del propio interés general, la competencia asumida en su Estatuto (SSTC 48/1988, 22/2012) [FJ 3].</w:t>
      </w:r>
    </w:p>
    <w:p w:rsidR="0026452D" w:rsidRDefault="0026452D" w:rsidP="0026452D">
      <w:pPr>
        <w:pStyle w:val="Extracto"/>
      </w:pPr>
    </w:p>
    <w:p w:rsidR="0026452D" w:rsidRDefault="0026452D" w:rsidP="0026452D">
      <w:pPr>
        <w:pStyle w:val="Extracto"/>
      </w:pPr>
      <w:r>
        <w:t>3.</w:t>
      </w:r>
      <w:r>
        <w:tab/>
        <w:t xml:space="preserve">La regulación autonómica recurrida, en la medida que incide directamente en el diseño institucional básico del sector eléctrico, resulta contraria al orden constitucional y estatutario de distribución de competencias en la materia, pues las Comunidades Autónomas no pueden adoptar ninguna disposición en el ámbito material reservado a la legislación básica, ni siquiera para reproducir con exactitud las previsiones estatales, por impedirlo la doctrina sobre la </w:t>
      </w:r>
      <w:r w:rsidRPr="0026452D">
        <w:rPr>
          <w:i/>
        </w:rPr>
        <w:t>lex repetita</w:t>
      </w:r>
      <w:r>
        <w:t xml:space="preserve"> (SSTC 341/2005, 137/2012) [FJ 8].</w:t>
      </w:r>
    </w:p>
    <w:p w:rsidR="0026452D" w:rsidRDefault="0026452D" w:rsidP="0026452D">
      <w:pPr>
        <w:pStyle w:val="Extracto"/>
      </w:pPr>
    </w:p>
    <w:p w:rsidR="0026452D" w:rsidRDefault="0026452D" w:rsidP="0026452D">
      <w:pPr>
        <w:pStyle w:val="Extracto"/>
      </w:pPr>
      <w:r>
        <w:t>4.</w:t>
      </w:r>
      <w:r>
        <w:tab/>
        <w:t xml:space="preserve">El inciso impugnado, al eximir de la colegiación obligatoria a los empleados públicos, cuando ejercen la profesión por cuenta de la Administración, establece una excepción no contemplada en la Ley estatal de colegios profesionales, pues siendo competente el Estado para establecer la colegiación obligatoria, </w:t>
      </w:r>
      <w:r w:rsidRPr="0026452D">
        <w:rPr>
          <w:i/>
        </w:rPr>
        <w:t>ex</w:t>
      </w:r>
      <w:r>
        <w:t xml:space="preserve"> arts. 36 y 149.1.18 CE en relación con el art. 149.1.1 CE, lo es también para establecer las </w:t>
      </w:r>
      <w:r>
        <w:lastRenderedPageBreak/>
        <w:t>excepciones que afectan a los empleados públicos a la vista de los concretos intereses generales que puedan verse afectados, lo que determina su inconstitucionalidad por vulnerar las competencias estatales (STC 3/2013) [FJ 9].</w:t>
      </w:r>
    </w:p>
    <w:p w:rsidR="0026452D" w:rsidRDefault="0026452D" w:rsidP="0026452D">
      <w:pPr>
        <w:pStyle w:val="Extracto"/>
      </w:pPr>
    </w:p>
    <w:p w:rsidR="0026452D" w:rsidRDefault="0026452D" w:rsidP="0026452D">
      <w:pPr>
        <w:pStyle w:val="Extracto"/>
      </w:pPr>
      <w:r>
        <w:t>5.</w:t>
      </w:r>
      <w:r>
        <w:tab/>
        <w:t xml:space="preserve">Aplica la doctrina del </w:t>
      </w:r>
      <w:r w:rsidRPr="0026452D">
        <w:rPr>
          <w:i/>
        </w:rPr>
        <w:t>ius superveniens</w:t>
      </w:r>
      <w:r>
        <w:t xml:space="preserve"> en procesos de naturaleza competencial (SSTC 134/2011, 120/2012)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4244-2002, interpuesto por el Presidente del Gobierno de la Nación contra el art. 16 y el inciso “ni para la realización de actividades propias de la correspondiente profesión por cuenta de aquéllas” de la disposición adicional sexta de la Ley de la Comunidad Autónoma de Canarias 2/2002, de 27 de marzo, de establecimiento de normas tributarias y de medidas en materia de organización administrativa, de gestión relativas al personal de la Comunidad Autónoma de Canarias y de carácter sancionador. Han sido parte el Parlamento de Canarias y el Gobierno de Canarias. Ha sido Ponente el Presidente, don Pascual Sala Sánchez,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Por escrito registrado en este Tribunal el 8 de julio de 2002 el Presidente del Gobierno de la Nación, a través del Abogado del Estado, interpuso recurso de inconstitucionalidad contra el art. 16 y el inciso “ni para la realización de actividades propias de la correspondiente profesión por cuenta de aquéllas” de la disposición adicional sexta de la Ley de la Comunidad Autónoma de Canarias 2/2002, de 27 de marzo, de establecimiento de normas tributarias y de medidas en materia de organización administrativa, de gestión relativas al personal de la Comunidad Autónoma de Canarias y de carácter sancionador.</w:t>
      </w:r>
    </w:p>
    <w:p w:rsidR="0026452D" w:rsidRDefault="0026452D" w:rsidP="0026452D">
      <w:pPr>
        <w:pStyle w:val="TextoNormal"/>
      </w:pPr>
    </w:p>
    <w:p w:rsidR="0026452D" w:rsidRDefault="0026452D" w:rsidP="0026452D">
      <w:pPr>
        <w:pStyle w:val="TextoNormal"/>
      </w:pPr>
      <w:r w:rsidRPr="0026452D">
        <w:rPr>
          <w:rStyle w:val="NumeroAFNegritaCaracter"/>
        </w:rPr>
        <w:t>2</w:t>
      </w:r>
      <w:r>
        <w:t>. En lo que ahora exclusivamente importa, el citado art. 16 de la Ley 2/2002, de 27 de marzo, con el título “Funciones del gestor de la red de transmisión de energía eléctrica”, modifica la disposición adicional quinta de la Ley 11/1997, de 2 de diciembre, de regulación del sector eléctrico canario, a la que añade ahora un párrafo segundo, con la siguiente redacción:</w:t>
      </w:r>
    </w:p>
    <w:p w:rsidR="0026452D" w:rsidRDefault="0026452D" w:rsidP="0026452D">
      <w:pPr>
        <w:pStyle w:val="TextoNormal"/>
      </w:pPr>
    </w:p>
    <w:p w:rsidR="0026452D" w:rsidRDefault="0026452D" w:rsidP="0026452D">
      <w:pPr>
        <w:pStyle w:val="TextoNormal"/>
      </w:pPr>
      <w:r>
        <w:t>“2. Corresponderá al gestor de la red de transmisión asegurar el correcto funcionamiento de los sistemas eléctricos insulares, de modo que se garantice la continuidad, seguridad y calidad del suministro de energía eléctrica en las Islas, asumiendo las funciones necesarias para garantizar la gestión técnica de los mismos.</w:t>
      </w:r>
    </w:p>
    <w:p w:rsidR="0026452D" w:rsidRDefault="0026452D" w:rsidP="0026452D">
      <w:pPr>
        <w:pStyle w:val="TextoNormal"/>
      </w:pPr>
    </w:p>
    <w:p w:rsidR="0026452D" w:rsidRDefault="0026452D" w:rsidP="0026452D">
      <w:pPr>
        <w:pStyle w:val="TextoNormal"/>
      </w:pPr>
      <w:r>
        <w:t>En concreto, serán funciones del gestor de la red de transmisión las siguientes:</w:t>
      </w:r>
    </w:p>
    <w:p w:rsidR="0026452D" w:rsidRDefault="0026452D" w:rsidP="0026452D">
      <w:pPr>
        <w:pStyle w:val="TextoNormal"/>
      </w:pPr>
    </w:p>
    <w:p w:rsidR="0026452D" w:rsidRDefault="0026452D" w:rsidP="0026452D">
      <w:pPr>
        <w:pStyle w:val="TextoNormal"/>
      </w:pPr>
      <w:r>
        <w:t>1. Prever, con carácter indicativo, y controlar el nivel de garantía de abastecimiento de electricidad de cada sistema a corto y medio plazo.</w:t>
      </w:r>
    </w:p>
    <w:p w:rsidR="0026452D" w:rsidRDefault="0026452D" w:rsidP="0026452D">
      <w:pPr>
        <w:pStyle w:val="TextoNormal"/>
      </w:pPr>
    </w:p>
    <w:p w:rsidR="0026452D" w:rsidRDefault="0026452D" w:rsidP="0026452D">
      <w:pPr>
        <w:pStyle w:val="TextoNormal"/>
      </w:pPr>
      <w:r>
        <w:t xml:space="preserve">2. Proponer el plan de desarrollo de los medios de transporte y la producción necesarios para conseguir el nivel de garantía de cada uno de los sistemas eléctricos insulares. </w:t>
      </w:r>
    </w:p>
    <w:p w:rsidR="0026452D" w:rsidRDefault="0026452D" w:rsidP="0026452D">
      <w:pPr>
        <w:pStyle w:val="TextoNormal"/>
      </w:pPr>
    </w:p>
    <w:p w:rsidR="0026452D" w:rsidRDefault="0026452D" w:rsidP="0026452D">
      <w:pPr>
        <w:pStyle w:val="TextoNormal"/>
      </w:pPr>
      <w:r>
        <w:t>3. Desarrollar y someter a la aprobación del órgano competente en materia de energía los detalles, forma y procedimiento que deben adoptar los programas anuales (PAD) y diarios (PDD) de disponibilidad, que deberán presentar todas las unidades de producción que deseen acceder a la retribución por garantía de potencia.</w:t>
      </w:r>
    </w:p>
    <w:p w:rsidR="0026452D" w:rsidRDefault="0026452D" w:rsidP="0026452D">
      <w:pPr>
        <w:pStyle w:val="TextoNormal"/>
      </w:pPr>
    </w:p>
    <w:p w:rsidR="0026452D" w:rsidRDefault="0026452D" w:rsidP="0026452D">
      <w:pPr>
        <w:pStyle w:val="TextoNormal"/>
      </w:pPr>
      <w:r>
        <w:t>4. Fijar los niveles de potencia rodante necesarios en cada sistema eléctrico insular, atendiendo al criterio general de que, en ningún caso, la pérdida total de potencia del grupo mayor del sistema ocasione el accionamiento del primer escalón de la protección de subfrecuencia y proponer al órgano competente en materia de energía de la Comunidad Autónoma que autorice otros criterios cuando, a su juicio, el criterio general sea inviable en algún sistema eléctrico insular concreto.</w:t>
      </w:r>
    </w:p>
    <w:p w:rsidR="0026452D" w:rsidRDefault="0026452D" w:rsidP="0026452D">
      <w:pPr>
        <w:pStyle w:val="TextoNormal"/>
      </w:pPr>
    </w:p>
    <w:p w:rsidR="0026452D" w:rsidRDefault="0026452D" w:rsidP="0026452D">
      <w:pPr>
        <w:pStyle w:val="TextoNormal"/>
      </w:pPr>
      <w:r>
        <w:t>5. Elaborar la previsión de demanda horaria de cada sistema eléctrico insular para el día siguiente.</w:t>
      </w:r>
    </w:p>
    <w:p w:rsidR="0026452D" w:rsidRDefault="0026452D" w:rsidP="0026452D">
      <w:pPr>
        <w:pStyle w:val="TextoNormal"/>
      </w:pPr>
    </w:p>
    <w:p w:rsidR="0026452D" w:rsidRDefault="0026452D" w:rsidP="0026452D">
      <w:pPr>
        <w:pStyle w:val="TextoNormal"/>
      </w:pPr>
      <w:r>
        <w:t>6. Programar el funcionamiento de las Unidades de producción de energía eléctrica en régimen ordinario, a partir del despacho por costes variables, para atender la demanda, teniendo en cuenta las restricciones técnicas del sistema.</w:t>
      </w:r>
    </w:p>
    <w:p w:rsidR="0026452D" w:rsidRDefault="0026452D" w:rsidP="0026452D">
      <w:pPr>
        <w:pStyle w:val="TextoNormal"/>
      </w:pPr>
    </w:p>
    <w:p w:rsidR="0026452D" w:rsidRDefault="0026452D" w:rsidP="0026452D">
      <w:pPr>
        <w:pStyle w:val="TextoNormal"/>
      </w:pPr>
      <w:r>
        <w:t>7. Aprobar los aspectos técnicos de los contratos bilaterales que puedan suscribirse entre un generador y un cliente final cualificado o un comercializador, siempre que su existencia no suponga riesgos para la estabilidad del sistema eléctrico insular.</w:t>
      </w:r>
    </w:p>
    <w:p w:rsidR="0026452D" w:rsidRDefault="0026452D" w:rsidP="0026452D">
      <w:pPr>
        <w:pStyle w:val="TextoNormal"/>
      </w:pPr>
    </w:p>
    <w:p w:rsidR="0026452D" w:rsidRDefault="0026452D" w:rsidP="0026452D">
      <w:pPr>
        <w:pStyle w:val="TextoNormal"/>
      </w:pPr>
      <w:r>
        <w:t>8. Despachar diariamente el grupo o grupos sometidos a contratos bilaterales para que puedan verter la energía necesaria para cumplir sus compromisos, condicionado a las restricciones técnicas que pudieran existir.</w:t>
      </w:r>
    </w:p>
    <w:p w:rsidR="0026452D" w:rsidRDefault="0026452D" w:rsidP="0026452D">
      <w:pPr>
        <w:pStyle w:val="TextoNormal"/>
      </w:pPr>
    </w:p>
    <w:p w:rsidR="0026452D" w:rsidRDefault="0026452D" w:rsidP="0026452D">
      <w:pPr>
        <w:pStyle w:val="TextoNormal"/>
      </w:pPr>
      <w:r>
        <w:t>9. Exigir la desconexión temporal total o parcial de las instalaciones de producción en régimen especial, cuando su funcionamiento pueda afectar a la estabilidad del sistema, así como disponer de la instrumentación de telecontrol necesaria para prevenir o actuar en estos supuestos.</w:t>
      </w:r>
    </w:p>
    <w:p w:rsidR="0026452D" w:rsidRDefault="0026452D" w:rsidP="0026452D">
      <w:pPr>
        <w:pStyle w:val="TextoNormal"/>
      </w:pPr>
    </w:p>
    <w:p w:rsidR="0026452D" w:rsidRDefault="0026452D" w:rsidP="0026452D">
      <w:pPr>
        <w:pStyle w:val="TextoNormal"/>
      </w:pPr>
      <w:r>
        <w:t>10. Gestionar el uso de los servicios complementarios disponibles para garantizar la fiabilidad y seguridad del sistema.</w:t>
      </w:r>
    </w:p>
    <w:p w:rsidR="0026452D" w:rsidRDefault="0026452D" w:rsidP="0026452D">
      <w:pPr>
        <w:pStyle w:val="TextoNormal"/>
      </w:pPr>
    </w:p>
    <w:p w:rsidR="0026452D" w:rsidRDefault="0026452D" w:rsidP="0026452D">
      <w:pPr>
        <w:pStyle w:val="TextoNormal"/>
      </w:pPr>
      <w:r>
        <w:t>11. Impartir las instrucciones necesarias para la correcta explotación del sistema de producción y transporte de acuerdo con los criterios de fiabilidad y seguridad que se establezcan.</w:t>
      </w:r>
    </w:p>
    <w:p w:rsidR="0026452D" w:rsidRDefault="0026452D" w:rsidP="0026452D">
      <w:pPr>
        <w:pStyle w:val="TextoNormal"/>
      </w:pPr>
    </w:p>
    <w:p w:rsidR="0026452D" w:rsidRDefault="0026452D" w:rsidP="0026452D">
      <w:pPr>
        <w:pStyle w:val="TextoNormal"/>
      </w:pPr>
      <w:r>
        <w:t>12. Recibir la información necesaria sobre los planes de mantenimiento de las Unidades de producción, averías u otras circunstancias que puedan alterar el orden de mérito económico.</w:t>
      </w:r>
    </w:p>
    <w:p w:rsidR="0026452D" w:rsidRDefault="0026452D" w:rsidP="0026452D">
      <w:pPr>
        <w:pStyle w:val="TextoNormal"/>
      </w:pPr>
    </w:p>
    <w:p w:rsidR="0026452D" w:rsidRDefault="0026452D" w:rsidP="0026452D">
      <w:pPr>
        <w:pStyle w:val="TextoNormal"/>
      </w:pPr>
      <w:r>
        <w:t>13. Coordinar y modificar, en su caso, los planes de mantenimiento de las instalaciones de transporte, de manera que se asegure su compatibilidad con los planes de mantenimiento de los grupos de generación y se asegure un estado de disponibilidad adecuado de la red que garantice la seguridad del sistema.</w:t>
      </w:r>
    </w:p>
    <w:p w:rsidR="0026452D" w:rsidRDefault="0026452D" w:rsidP="0026452D">
      <w:pPr>
        <w:pStyle w:val="TextoNormal"/>
      </w:pPr>
    </w:p>
    <w:p w:rsidR="0026452D" w:rsidRDefault="0026452D" w:rsidP="0026452D">
      <w:pPr>
        <w:pStyle w:val="TextoNormal"/>
      </w:pPr>
      <w:r>
        <w:t>14. Establecer y controlar las medidas de fiabilidad del sistema de producción y transporte, afectando cualquier elemento del sistema eléctrico que sea necesario, así como los planes de maniobra para la reposición del servicio en caso de fallos generales en el suministro de energía eléctrica y coordinar y controlar su ejecución.</w:t>
      </w:r>
    </w:p>
    <w:p w:rsidR="0026452D" w:rsidRDefault="0026452D" w:rsidP="0026452D">
      <w:pPr>
        <w:pStyle w:val="TextoNormal"/>
      </w:pPr>
    </w:p>
    <w:p w:rsidR="0026452D" w:rsidRDefault="0026452D" w:rsidP="0026452D">
      <w:pPr>
        <w:pStyle w:val="TextoNormal"/>
      </w:pPr>
      <w:r>
        <w:t>15. Establecer las instrucciones de operación de la red de transporte para su maniobra en tiempo real.</w:t>
      </w:r>
    </w:p>
    <w:p w:rsidR="0026452D" w:rsidRDefault="0026452D" w:rsidP="0026452D">
      <w:pPr>
        <w:pStyle w:val="TextoNormal"/>
      </w:pPr>
    </w:p>
    <w:p w:rsidR="0026452D" w:rsidRDefault="0026452D" w:rsidP="0026452D">
      <w:pPr>
        <w:pStyle w:val="TextoNormal"/>
      </w:pPr>
      <w:r>
        <w:t>16. Presentar, para su aprobación por el órgano competente en materia de energía de la Comunidad Autónoma, los procedimientos de operación de carácter técnico e instrumental necesarios para realizar la adecuada gestión técnica del sistema. Dichos procedimientos de operación deberán contemplar, al menos, los siguientes aspectos:</w:t>
      </w:r>
    </w:p>
    <w:p w:rsidR="0026452D" w:rsidRDefault="0026452D" w:rsidP="0026452D">
      <w:pPr>
        <w:pStyle w:val="TextoNormal"/>
      </w:pPr>
    </w:p>
    <w:p w:rsidR="0026452D" w:rsidRDefault="0026452D" w:rsidP="0026452D">
      <w:pPr>
        <w:pStyle w:val="TextoNormal"/>
      </w:pPr>
      <w:r>
        <w:t>a) Condiciones de conexión a la red de transporte.</w:t>
      </w:r>
    </w:p>
    <w:p w:rsidR="0026452D" w:rsidRDefault="0026452D" w:rsidP="0026452D">
      <w:pPr>
        <w:pStyle w:val="TextoNormal"/>
      </w:pPr>
    </w:p>
    <w:p w:rsidR="0026452D" w:rsidRDefault="0026452D" w:rsidP="0026452D">
      <w:pPr>
        <w:pStyle w:val="TextoNormal"/>
      </w:pPr>
      <w:r>
        <w:t>b) Análisis de la seguridad en la cobertura de la demanda a corto y medio plazo.</w:t>
      </w:r>
    </w:p>
    <w:p w:rsidR="0026452D" w:rsidRDefault="0026452D" w:rsidP="0026452D">
      <w:pPr>
        <w:pStyle w:val="TextoNormal"/>
      </w:pPr>
    </w:p>
    <w:p w:rsidR="0026452D" w:rsidRDefault="0026452D" w:rsidP="0026452D">
      <w:pPr>
        <w:pStyle w:val="TextoNormal"/>
      </w:pPr>
      <w:r>
        <w:t>c) Condiciones de instalación y funcionamiento de los equipos de medida y control. Previsiones de demanda.</w:t>
      </w:r>
    </w:p>
    <w:p w:rsidR="0026452D" w:rsidRDefault="0026452D" w:rsidP="0026452D">
      <w:pPr>
        <w:pStyle w:val="TextoNormal"/>
      </w:pPr>
    </w:p>
    <w:p w:rsidR="0026452D" w:rsidRDefault="0026452D" w:rsidP="0026452D">
      <w:pPr>
        <w:pStyle w:val="TextoNormal"/>
      </w:pPr>
      <w:r>
        <w:t>d) Información de la explotación.</w:t>
      </w:r>
    </w:p>
    <w:p w:rsidR="0026452D" w:rsidRDefault="0026452D" w:rsidP="0026452D">
      <w:pPr>
        <w:pStyle w:val="TextoNormal"/>
      </w:pPr>
    </w:p>
    <w:p w:rsidR="0026452D" w:rsidRDefault="0026452D" w:rsidP="0026452D">
      <w:pPr>
        <w:pStyle w:val="TextoNormal"/>
      </w:pPr>
      <w:r>
        <w:t>e) Programación del sistema.</w:t>
      </w:r>
    </w:p>
    <w:p w:rsidR="0026452D" w:rsidRDefault="0026452D" w:rsidP="0026452D">
      <w:pPr>
        <w:pStyle w:val="TextoNormal"/>
      </w:pPr>
    </w:p>
    <w:p w:rsidR="0026452D" w:rsidRDefault="0026452D" w:rsidP="0026452D">
      <w:pPr>
        <w:pStyle w:val="TextoNormal"/>
      </w:pPr>
      <w:r>
        <w:t>f) Coordinación del mantenimiento de las instalaciones de producción-transporte.</w:t>
      </w:r>
    </w:p>
    <w:p w:rsidR="0026452D" w:rsidRDefault="0026452D" w:rsidP="0026452D">
      <w:pPr>
        <w:pStyle w:val="TextoNormal"/>
      </w:pPr>
    </w:p>
    <w:p w:rsidR="0026452D" w:rsidRDefault="0026452D" w:rsidP="0026452D">
      <w:pPr>
        <w:pStyle w:val="TextoNormal"/>
      </w:pPr>
      <w:r>
        <w:t>g) Condiciones de funcionamiento del sistema de producción y transporte y criterios de calidad, fiabilidad y seguridad.</w:t>
      </w:r>
    </w:p>
    <w:p w:rsidR="0026452D" w:rsidRDefault="0026452D" w:rsidP="0026452D">
      <w:pPr>
        <w:pStyle w:val="TextoNormal"/>
      </w:pPr>
    </w:p>
    <w:p w:rsidR="0026452D" w:rsidRDefault="0026452D" w:rsidP="0026452D">
      <w:pPr>
        <w:pStyle w:val="TextoNormal"/>
      </w:pPr>
      <w:r>
        <w:t>h) Asignación y determinación de las pérdidas de transporte.</w:t>
      </w:r>
    </w:p>
    <w:p w:rsidR="0026452D" w:rsidRDefault="0026452D" w:rsidP="0026452D">
      <w:pPr>
        <w:pStyle w:val="TextoNormal"/>
      </w:pPr>
    </w:p>
    <w:p w:rsidR="0026452D" w:rsidRDefault="0026452D" w:rsidP="0026452D">
      <w:pPr>
        <w:pStyle w:val="TextoNormal"/>
      </w:pPr>
      <w:r>
        <w:t>i) Análisis de la contribución a la garantía del sistema y valoración de los servicios complementarios necesarios.</w:t>
      </w:r>
    </w:p>
    <w:p w:rsidR="0026452D" w:rsidRDefault="0026452D" w:rsidP="0026452D">
      <w:pPr>
        <w:pStyle w:val="TextoNormal"/>
      </w:pPr>
    </w:p>
    <w:p w:rsidR="0026452D" w:rsidRDefault="0026452D" w:rsidP="0026452D">
      <w:pPr>
        <w:pStyle w:val="TextoNormal"/>
      </w:pPr>
      <w:r>
        <w:lastRenderedPageBreak/>
        <w:t>j) Gestión de cada uno de los servicios complementarios.</w:t>
      </w:r>
    </w:p>
    <w:p w:rsidR="0026452D" w:rsidRDefault="0026452D" w:rsidP="0026452D">
      <w:pPr>
        <w:pStyle w:val="TextoNormal"/>
      </w:pPr>
    </w:p>
    <w:p w:rsidR="0026452D" w:rsidRDefault="0026452D" w:rsidP="0026452D">
      <w:pPr>
        <w:pStyle w:val="TextoNormal"/>
      </w:pPr>
      <w:r>
        <w:t>k) Situaciones de alerta y emergencia.</w:t>
      </w:r>
    </w:p>
    <w:p w:rsidR="0026452D" w:rsidRDefault="0026452D" w:rsidP="0026452D">
      <w:pPr>
        <w:pStyle w:val="TextoNormal"/>
      </w:pPr>
    </w:p>
    <w:p w:rsidR="0026452D" w:rsidRDefault="0026452D" w:rsidP="0026452D">
      <w:pPr>
        <w:pStyle w:val="TextoNormal"/>
      </w:pPr>
      <w:r>
        <w:t>l) Criterios para la determinación de la red bajo gestión técnica.</w:t>
      </w:r>
    </w:p>
    <w:p w:rsidR="0026452D" w:rsidRDefault="0026452D" w:rsidP="0026452D">
      <w:pPr>
        <w:pStyle w:val="TextoNormal"/>
      </w:pPr>
    </w:p>
    <w:p w:rsidR="0026452D" w:rsidRDefault="0026452D" w:rsidP="0026452D">
      <w:pPr>
        <w:pStyle w:val="TextoNormal"/>
      </w:pPr>
      <w:r>
        <w:t>m) Aportaciones de la demanda a los servicios complementarios.</w:t>
      </w:r>
    </w:p>
    <w:p w:rsidR="0026452D" w:rsidRDefault="0026452D" w:rsidP="0026452D">
      <w:pPr>
        <w:pStyle w:val="TextoNormal"/>
      </w:pPr>
    </w:p>
    <w:p w:rsidR="0026452D" w:rsidRDefault="0026452D" w:rsidP="0026452D">
      <w:pPr>
        <w:pStyle w:val="TextoNormal"/>
      </w:pPr>
      <w:r>
        <w:t>17. Desarrollar aquellas otras actividades relacionadas con las anteriores que sean convenientes para la prestación del servicio.”</w:t>
      </w:r>
    </w:p>
    <w:p w:rsidR="0026452D" w:rsidRDefault="0026452D" w:rsidP="0026452D">
      <w:pPr>
        <w:pStyle w:val="TextoNormal"/>
      </w:pPr>
    </w:p>
    <w:p w:rsidR="0026452D" w:rsidRDefault="0026452D" w:rsidP="0026452D">
      <w:pPr>
        <w:pStyle w:val="TextoNormal"/>
      </w:pPr>
      <w:r>
        <w:t>Por su parte, la disposición adicional sexta de la citada Ley autonómica 2/2002, de 27 de marzo, modifica el art. 9 de la Ley canaria 10/1990, de 23 de mayo, de colegios profesionales, al que añade un apartado 3 bis, con la siguiente redacción:</w:t>
      </w:r>
    </w:p>
    <w:p w:rsidR="0026452D" w:rsidRDefault="0026452D" w:rsidP="0026452D">
      <w:pPr>
        <w:pStyle w:val="TextoNormal"/>
      </w:pPr>
    </w:p>
    <w:p w:rsidR="0026452D" w:rsidRDefault="0026452D" w:rsidP="0026452D">
      <w:pPr>
        <w:pStyle w:val="TextoNormal"/>
      </w:pPr>
      <w:r>
        <w:t>“Los profesionales titulados vinculados con alguna de las Administraciones públicas canarias mediante relación de servicios de carácter administrativo o laboral que presten su servicio para la Administración en régimen de exclusividad, en el ámbito sanitario, no precisarán estar colegiados para el ejercicio de funciones puramente administrativas, ni para la realización de actividades propias de la correspondiente profesión por cuenta de aquéllas. En estos casos, la Administración ejercerá la potestad disciplinaria sobre los mismos, En todo caso, estos titulados precisarán la colegiación para el ejercicio privado de su profesión.”</w:t>
      </w:r>
    </w:p>
    <w:p w:rsidR="0026452D" w:rsidRDefault="0026452D" w:rsidP="0026452D">
      <w:pPr>
        <w:pStyle w:val="TextoNormal"/>
      </w:pPr>
    </w:p>
    <w:p w:rsidR="0026452D" w:rsidRDefault="0026452D" w:rsidP="0026452D">
      <w:pPr>
        <w:pStyle w:val="TextoNormal"/>
      </w:pPr>
      <w:r>
        <w:t>Este precepto sólo ha sido impugnado en el concreto inciso en el que dispone que “ni para la realización de actividades propias de la correspondiente profesión por cuenta de aquéllas”.</w:t>
      </w:r>
    </w:p>
    <w:p w:rsidR="0026452D" w:rsidRDefault="0026452D" w:rsidP="0026452D">
      <w:pPr>
        <w:pStyle w:val="TextoNormal"/>
      </w:pPr>
    </w:p>
    <w:p w:rsidR="0026452D" w:rsidRDefault="0026452D" w:rsidP="0026452D">
      <w:pPr>
        <w:pStyle w:val="TextoNormal"/>
      </w:pPr>
      <w:r w:rsidRPr="0026452D">
        <w:rPr>
          <w:rStyle w:val="NumeroAFNegritaCaracter"/>
        </w:rPr>
        <w:t>3</w:t>
      </w:r>
      <w:r>
        <w:t>. El Abogado del Estado, en la representación que ostenta, afirma que los citados precepto e inciso impugnados son inconstitucionales. El primero por invadir las competencias del Estado en materia de “bases y coordinación de la planificación general de la actividad económica” (art. 149.1.13 CE) y “bases del régimen … energético” (art. 149.1.25 CE), según han sido interpretadas y concretadas por la Ley 54/1997, de 27 de noviembre, del sector eléctrico (en adelante LSE). Y el segundo por hacerlo igualmente en relación con las competencias del Estado sobre colegiación obligatoria para el ejercicio de profesiones tituladas.</w:t>
      </w:r>
    </w:p>
    <w:p w:rsidR="0026452D" w:rsidRDefault="0026452D" w:rsidP="0026452D">
      <w:pPr>
        <w:pStyle w:val="TextoNormal"/>
      </w:pPr>
    </w:p>
    <w:p w:rsidR="0026452D" w:rsidRDefault="0026452D" w:rsidP="0026452D">
      <w:pPr>
        <w:pStyle w:val="TextoNormal"/>
      </w:pPr>
      <w:r>
        <w:t>Atendiendo a este objeto, el Abogado del Estado advierte que el presente recurso de inconstitucionalidad coincide parcialmente, de un lado, con los promovidos por el Estado y el Parlamento y el Gobierno de Canarias contra sus respectivas leyes del sector eléctrico, y que han sido admitidos y tramitados por este Tribunal con los núms. 838- 1998, 867-1998 y 997-1998, y más tarde acumulados por ATC 34/1999, de 9 de febrero. Y, de otro, con el interpuesto por el Estado contra el art. 30.2 de la Ley 15/2001, del Parlamento de Andalucía, de 26 de diciembre, de medidas fiscales, presupuestarias, de control y administrativas, y que contiene un inciso prácticamente idéntico al ahora recurrido. Y hecha esta advertencia, el Abogado del Estado expone a continuación los motivos que en cada caso justifican el presente recurso.</w:t>
      </w:r>
    </w:p>
    <w:p w:rsidR="0026452D" w:rsidRDefault="0026452D" w:rsidP="0026452D">
      <w:pPr>
        <w:pStyle w:val="TextoNormal"/>
      </w:pPr>
    </w:p>
    <w:p w:rsidR="0026452D" w:rsidRDefault="0026452D" w:rsidP="0026452D">
      <w:pPr>
        <w:pStyle w:val="TextoNormal"/>
      </w:pPr>
      <w:r>
        <w:t xml:space="preserve">a) Respecto del art. 16 de la Ley 2/2002, de 27 de marzo, que modifica la disposición adicional quinta de la Ley 11/1997, de 2 de diciembre, de regulación del sector eléctrico </w:t>
      </w:r>
      <w:r>
        <w:lastRenderedPageBreak/>
        <w:t>canario, el Abogado del Estado, después de anotar los títulos competenciales enfrentados y de recordar el significado de los títulos competenciales de los arts. 149.1.13 y 149.1.25 CE, y sus relaciones recíprocas, según ha sido interpretados por este Tribunal Constitucional, afirma que el citado precepto autonómico atribuye a la figura del gestor de la red de transmisión de energía eléctrica unas funciones y un contenido incompatibles con el modelo diseñado con carácter básico por el Estado en la Ley del sector eléctrico, que distingue claramente entre el operador del sistema y el gestor de la red de transporte. Según ese diseño básico, el primero es el encargado, de modo principal, de garantizar la continuidad y seguridad del suministro eléctrico y la correcta coordinación del sistema de producción y transporte de la energía eléctrica (art. 34 LSE). Mientras que el segundo, el gestor de la red de transporte, es el encargado de transmitir la electricidad a través de las redes de alta tensión desde los lugares de producción hasta los puntos de distribución o consumidores finales (art. 35 LSE).</w:t>
      </w:r>
    </w:p>
    <w:p w:rsidR="0026452D" w:rsidRDefault="0026452D" w:rsidP="0026452D">
      <w:pPr>
        <w:pStyle w:val="TextoNormal"/>
      </w:pPr>
    </w:p>
    <w:p w:rsidR="0026452D" w:rsidRDefault="0026452D" w:rsidP="0026452D">
      <w:pPr>
        <w:pStyle w:val="TextoNormal"/>
      </w:pPr>
      <w:r>
        <w:t>Para el Abogado del Estado el art. 16 de la Ley canaria 2/2002, de 27 de marzo, salta por encima de este modelo del sistema eléctrico para atribuir al gestor de la red de transmisión un papel equivalente al que en la Ley del sector eléctrico corresponde al operador del sistema, según lo prueba que el citado precepto comience por advertir que corresponderá al gestor de la red de transmisión “el correcto funcionamiento de los sistemas eléctricos insulares, de modo que se garantice la continuidad, seguridad y calidad del suministro de energía eléctrica en las Islas, asumiendo las funciones necesarias para garantizar la gestión técnica de los mismos”, y lo confirma luego el que buena parte de las concretas funciones que el precepto impugnado atribuye al gestor de la red de transmisión coincidan con las que el art. 34 LSE reconoce por su parte en favor del operador del sistema, y, en otros casos, con las que el art. 41 LSE ha atribuido al gestor de la red de distribución.</w:t>
      </w:r>
    </w:p>
    <w:p w:rsidR="0026452D" w:rsidRDefault="0026452D" w:rsidP="0026452D">
      <w:pPr>
        <w:pStyle w:val="TextoNormal"/>
      </w:pPr>
    </w:p>
    <w:p w:rsidR="0026452D" w:rsidRDefault="0026452D" w:rsidP="0026452D">
      <w:pPr>
        <w:pStyle w:val="TextoNormal"/>
      </w:pPr>
      <w:r>
        <w:t>En consecuencia, el legislador canario ha desconocido el modelo básico estatal, desbordando su competencia de desarrollo, sin que las singularidades que la propia Ley del sector eléctrico contempla para el suministro de energía eléctrica en los territorios insulares preste la necesaria cobertura al precepto impugnado, pues de conformidad con el art. 12 LSE, esas especificidades derivadas de su ubicación territorial corresponde establecerlas precisamente al Estado mediante la correspondiente reglamentación singular.</w:t>
      </w:r>
    </w:p>
    <w:p w:rsidR="0026452D" w:rsidRDefault="0026452D" w:rsidP="0026452D">
      <w:pPr>
        <w:pStyle w:val="TextoNormal"/>
      </w:pPr>
    </w:p>
    <w:p w:rsidR="0026452D" w:rsidRDefault="0026452D" w:rsidP="0026452D">
      <w:pPr>
        <w:pStyle w:val="TextoNormal"/>
      </w:pPr>
      <w:r>
        <w:t>Finalmente, el Abogado del Estado razona que el precepto impugnado tampoco puede justificarse en la disposición adicional decimoquinta de la Ley del sector eléctrico, introducida por la Ley 34/1998, de 7 de octubre, del sector de hidrocarburos, en cuanto dispone que “la determinación del gestor o gestores de la red de las zonas eléctricas ubicadas en territorios insulares y extrapeninsulares corresponderá a la respectiva Administración autonómica”. Pues, a su juicio, esta competencia no autoriza al legislador canario a establecer un modelo distinto del sector eléctrico y, menos aún, a modificar el papel de los sujetos que intervienen en su gestión, control y supervisión, y sustraer al operador del sistema la posibilidad de ejercer en el territorio de la Comunidad Autónoma de Canarias las funciones que la Ley del sector eléctrico le reconoce en exclusiva con carácter básico.</w:t>
      </w:r>
    </w:p>
    <w:p w:rsidR="0026452D" w:rsidRDefault="0026452D" w:rsidP="0026452D">
      <w:pPr>
        <w:pStyle w:val="TextoNormal"/>
      </w:pPr>
    </w:p>
    <w:p w:rsidR="0026452D" w:rsidRDefault="0026452D" w:rsidP="0026452D">
      <w:pPr>
        <w:pStyle w:val="TextoNormal"/>
      </w:pPr>
      <w:r>
        <w:t xml:space="preserve">b) Respecto del inciso recurrido de la disposición adicional sexta de la Ley canaria 2/2002, que modifica el art. 9 de la Ley 9/1990, de 23 de mayo, de colegios profesionales, el Abogado del Estado comienza por advertir que el citado inciso, al igual que el precepto modificado del que forma parte, se encuadran competencialmente en la materia “colegios </w:t>
      </w:r>
      <w:r>
        <w:lastRenderedPageBreak/>
        <w:t>profesionales”, en la medida en que inciden de forma directa en el régimen de colegiación obligatoria para el ejercicio de profesiones tituladas. Siguiendo este punto de partida, el Abogado del Estado observa que, sin perjuicio de la competencia exclusiva de la Comunidad Autónoma de Canarias en esa materia que le atribuye el art. 32.13 de su Estatuto de Autonomía, el Estado puede igualmente mediar normativamente en este asunto en virtud de la competencia en materia de bases del régimen jurídico de las Administraciones públicas del art. 149.1.18 CE, habida cuenta de la dimensión pública que es característica de los colegios profesionales, según lo certifican su propia condición de corporaciones de Derecho público y el ejercicio de funciones públicas administrativas. Una competencia estatal que comprende, con arreglo a la STC 330/1994, de 15 de diciembre, la determinación, en otros extremos relativos a la organización y competencias de los colegios profesionales, del régimen de colegiación y, por tanto, la determinación de los supuestos de colegiación obligatoria y sus excepciones.</w:t>
      </w:r>
    </w:p>
    <w:p w:rsidR="0026452D" w:rsidRDefault="0026452D" w:rsidP="0026452D">
      <w:pPr>
        <w:pStyle w:val="TextoNormal"/>
      </w:pPr>
    </w:p>
    <w:p w:rsidR="0026452D" w:rsidRDefault="0026452D" w:rsidP="0026452D">
      <w:pPr>
        <w:pStyle w:val="TextoNormal"/>
      </w:pPr>
      <w:r>
        <w:t>Además de este título competencial del art. 149.1.18 CE, el Abogado del Estado invoca también la competencia del Estado para determinar las condiciones básicas que garanticen la igualdad de todos los españoles en el ejercicio de los derechos y cumplimiento de los deberes constitucionales (art. 149.1.1 CE), y que en el presente caso considera comprometidas en una doble dimensión. Primero, porque la colegiación obligatoria y sus excepciones incide directamente en el derecho a elegir y a ejercer una actividad profesional o empresarial que garantiza el art. 35.1 CE. Y, segundo, porque las garantías a las que sirve la citada exigencia de colegiación repercuten inevitablemente en los derechos de los destinatarios de los servicios profesionales, en este caso, sanitarios, y, por tanto, arriesgan bienes jurídicos de máxima relevancia como la vida, la integridad corporal, la libertad o la seguridad.</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16 de julio de 2002 este Tribunal acordó admitir a trámite el presente recurso de inconstitucionalidad y, de conformidad con el art. 34 de la Ley Orgánica del Tribunal Constitucional (LOTC), dar traslado de la demanda y documentos presentados al Congreso de los Diputados y al Senado, así como al Gobierno y Parlamento de Canarias, por conducto de sus respectivos Presidentes, para que, en el plazo de quince días, pudieran personarse en el proceso y formular las alegaciones que estimen convenientes. En la misma providencia este Tribunal Constitucional acordó tener por invocado por el Presidente del Gobierno el art. 161.2 CE y, en su virtud, de conformidad con el art. 30 LOTC, suspender la vigencia y aplicación de los preceptos impugnados, y publicar la incoación del presente recurso y la suspensión acordada en el “Boletín Oficial del Estado” y en el “Boletín Oficial de Canarias”.</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el 26 de julio de 2002 el Abogado del Estado puso de manifiesto que tanto en el escrito de interposición del recurso como en el correspondiente acuerdo del Consejo de Ministros se invocó el art. 161.2 CE únicamente en relación con el art. 16 de la Ley canaria 2/2002. En su virtud, solicitó del Tribunal la oportuna rectificación para que la suspensión acordada se produzca exclusivamente respecto del citado precepto legal y no, por tanto, en relación con el inciso de la disposición adicional sexta de la citada ley autonómica, también recurrido.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6</w:t>
      </w:r>
      <w:r>
        <w:t>. Por providencia del siguiente 30 de julio este Tribunal acordó acceder a la rectificación solicitada y, en consecuencia, declarar que la suspensión acordada por providencia del 16 de julio de 2002 no alcanza al citado inciso, que mantiene su vigencia.</w:t>
      </w:r>
    </w:p>
    <w:p w:rsidR="0026452D" w:rsidRDefault="0026452D" w:rsidP="0026452D">
      <w:pPr>
        <w:pStyle w:val="TextoNormal"/>
      </w:pPr>
    </w:p>
    <w:p w:rsidR="0026452D" w:rsidRDefault="0026452D" w:rsidP="0026452D">
      <w:pPr>
        <w:pStyle w:val="TextoNormal"/>
      </w:pPr>
      <w:r w:rsidRPr="0026452D">
        <w:rPr>
          <w:rStyle w:val="NumeroAFNegritaCaracter"/>
        </w:rPr>
        <w:t>7</w:t>
      </w:r>
      <w:r>
        <w:t>. Mediante escrito registrado en este Tribunal el 31 de julio de 2002 la Presidenta del Congreso de los Diputados comunica al Tribunal que la Cámara no se personará en el procedimiento ni formulará alegaciones.</w:t>
      </w:r>
    </w:p>
    <w:p w:rsidR="0026452D" w:rsidRDefault="0026452D" w:rsidP="0026452D">
      <w:pPr>
        <w:pStyle w:val="TextoNormal"/>
      </w:pPr>
    </w:p>
    <w:p w:rsidR="0026452D" w:rsidRDefault="0026452D" w:rsidP="0026452D">
      <w:pPr>
        <w:pStyle w:val="TextoNormal"/>
      </w:pPr>
      <w:r w:rsidRPr="0026452D">
        <w:rPr>
          <w:rStyle w:val="NumeroAFNegritaCaracter"/>
        </w:rPr>
        <w:t>8</w:t>
      </w:r>
      <w:r>
        <w:t>. Por escrito registrado el 2 de septiembre de 2002 el Letrado-Secretario General del Parlamento de Canarias, en representación de la Cámara, comparece en el presente proceso constitucional y solicita la concesión de una prórroga del plazo conferido para formular alegaciones.</w:t>
      </w:r>
    </w:p>
    <w:p w:rsidR="0026452D" w:rsidRDefault="0026452D" w:rsidP="0026452D">
      <w:pPr>
        <w:pStyle w:val="TextoNormal"/>
      </w:pPr>
    </w:p>
    <w:p w:rsidR="0026452D" w:rsidRDefault="0026452D" w:rsidP="0026452D">
      <w:pPr>
        <w:pStyle w:val="TextoNormal"/>
      </w:pPr>
      <w:r w:rsidRPr="0026452D">
        <w:rPr>
          <w:rStyle w:val="NumeroAFNegritaCaracter"/>
        </w:rPr>
        <w:t>9</w:t>
      </w:r>
      <w:r>
        <w:t>. La Directora General del servicio jurídico del Gobierno de Canarias, mediante escrito registrado el 3 de septiembre de 2002, comparece en el proceso y solicita igualmente una prórroga para formular alegaciones.</w:t>
      </w:r>
    </w:p>
    <w:p w:rsidR="0026452D" w:rsidRDefault="0026452D" w:rsidP="0026452D">
      <w:pPr>
        <w:pStyle w:val="TextoNormal"/>
      </w:pPr>
    </w:p>
    <w:p w:rsidR="0026452D" w:rsidRDefault="0026452D" w:rsidP="0026452D">
      <w:pPr>
        <w:pStyle w:val="TextoNormal"/>
      </w:pPr>
      <w:r w:rsidRPr="0026452D">
        <w:rPr>
          <w:rStyle w:val="NumeroAFNegritaCaracter"/>
        </w:rPr>
        <w:t>10</w:t>
      </w:r>
      <w:r>
        <w:t>. El 7 de septiembre de 2002 el Letrado-Secretario General del Parlamento de Canarias, en la representación que legalmente ostenta, presentó su escrito de alegaciones. Tras recordar el contenido del precepto e inciso recurridos, el representante del Parlamento de Canarias defiende su respectiva y plena constitucionalidad.</w:t>
      </w:r>
    </w:p>
    <w:p w:rsidR="0026452D" w:rsidRDefault="0026452D" w:rsidP="0026452D">
      <w:pPr>
        <w:pStyle w:val="TextoNormal"/>
      </w:pPr>
    </w:p>
    <w:p w:rsidR="0026452D" w:rsidRDefault="0026452D" w:rsidP="0026452D">
      <w:pPr>
        <w:pStyle w:val="TextoNormal"/>
      </w:pPr>
      <w:r>
        <w:t>a) Respecto del art. 16 de la ley 2/2002, que modifica la disposición adicional quinta de la Ley 11/1997, de 2 de diciembre, de regulación del sistema eléctrico canario, el representante del Parlamento autonómico razona en particular que la impugnación formulada toma pie en la pretendida existencia de un sistema eléctrico único y unificado para todo el conjunto del Estado que, sin embargo, no se corresponde con la realidad ni con el modelo constitucional y estatutario, ni tampoco, en fin, con el diseñado por la Ley del sector eléctrico, dada la desconexión física entre el sistema peninsular y el del territorio insular canario. El propio art. 12 LSE confirma este planteamiento, pues, aunque establece determinadas reglas en materia de retribución de las actividades de producción, transporte y distribución de la energía eléctrica en los territorios insulares, tales reglas están pensadas simplemente para compensar los mayores costes de esas actividades en los territorios insulares y, en consecuencia, no autorizan a pasar por encima de las competencias autonómicas en la materia, según, por otra parte, lo demuestra la doctrina de este Tribunal Constitucional en materia de subvenciones.</w:t>
      </w:r>
    </w:p>
    <w:p w:rsidR="0026452D" w:rsidRDefault="0026452D" w:rsidP="0026452D">
      <w:pPr>
        <w:pStyle w:val="TextoNormal"/>
      </w:pPr>
    </w:p>
    <w:p w:rsidR="0026452D" w:rsidRDefault="0026452D" w:rsidP="0026452D">
      <w:pPr>
        <w:pStyle w:val="TextoNormal"/>
      </w:pPr>
      <w:r>
        <w:t>El representante de la Cámara autonómica añade que, no obstante la competencia del Estado para ordenar las bases del régimen energético (art. 149.1.25 CE), la misma no consiente en todo caso la imposición de un único modelo de gestión del sistema eléctrico que incluya también al sistema canario, pues éste constituye por sí mismo un sistema eléctrico, que está desconectado del sistema peninsular y que, dadas sus dimensiones, tampoco compromete la cohesión y coherencia del sistema peninsular.</w:t>
      </w:r>
    </w:p>
    <w:p w:rsidR="0026452D" w:rsidRDefault="0026452D" w:rsidP="0026452D">
      <w:pPr>
        <w:pStyle w:val="TextoNormal"/>
      </w:pPr>
    </w:p>
    <w:p w:rsidR="0026452D" w:rsidRDefault="0026452D" w:rsidP="0026452D">
      <w:pPr>
        <w:pStyle w:val="TextoNormal"/>
      </w:pPr>
      <w:r>
        <w:t xml:space="preserve">Además, el precepto impugnado ni siquiera desfigura el modelo de la Ley del sector eléctrico que le reprocha el representante del Estado, según se desprende de los arts. 34 y </w:t>
      </w:r>
      <w:r>
        <w:lastRenderedPageBreak/>
        <w:t>35, en relación con el art. 12 y la disposición adicional quinta LSE, toda vez que su interpretación conjunta pone a las claras que el operador del sistema y el gestor de la red son figuras previstas solo para la gestión del sistema peninsular y, por tanto, excluido el sistema insular. De hecho, a este propósito, es muy significativo que el Estado no impugnara en su momento la disposición adicional quinta de la Ley 11/1997, en su redacción originaria, que ya hablaba del “gestor de la red de transmisión”, en lugar del “gestor de la red de transporte”, y que es, en rigor, el término que mejor coincide con el que utiliza el considerando 25 de la Directiva 96/92/CEE, de 19 de diciembre de 1996, para referirse a la gestión del sistema eléctrico, y que luego simplemente la Ley del sector eléctrico decidió desdoblar en las figuras del operador del sistema y gestor de la red de transporte. Una opción, sin duda legítima, pero que no es la única posible ni puede considerase básica, según lo confirma el apartado tercero de la disposición adicional decimoquinta LSE que habla expresamente del “gestor o gestores” de la red de las zonas eléctricas ubicadas en los territorios insulares y, por tanto, admite que la gestión sea confiada a dos sujetos distintos o también, como en este caso ha hecho la Comunidad Autónoma de Canarias, a un único sujeto, pues no debe olvidarse que el operador del sistema es un gestor, precisamente el gestor técnico del sistema.</w:t>
      </w:r>
    </w:p>
    <w:p w:rsidR="0026452D" w:rsidRDefault="0026452D" w:rsidP="0026452D">
      <w:pPr>
        <w:pStyle w:val="TextoNormal"/>
      </w:pPr>
    </w:p>
    <w:p w:rsidR="0026452D" w:rsidRDefault="0026452D" w:rsidP="0026452D">
      <w:pPr>
        <w:pStyle w:val="TextoNormal"/>
      </w:pPr>
      <w:r>
        <w:t>b) El representante del Parlamento canario no comparte tampoco la tacha de exceso competencial que el Abogado del Estado imputa al inciso recurrido “ni para la realización de actividades propias de la correspondiente profesión por cuenta de aquéllas” de la disposición adicional sexta de la Ley canaria 2/2002. En su criterio, que no niega en cualquier caso la competencia del Estado para dictar las bases en materia de colegios profesionales con arreglo principalmente al art. 149.1.18 CE, la clave reside no obstante en determinar si esa competencia, cifrada en la fijación de los criterios básicos de la organización y competencias de los colegios profesionales (STC 76/1983, de 5 de agosto), alcanza efectivamente a la regulación del extremo ahora controvertido. Una hipótesis que el representante autonómico rechaza, sin embargo, al observar que el pretendido carácter básico de la determinación de los supuestos de colegiación obligatoria y sus excepciones es una conclusión que no se deduce de la STC 330/1994, dado su limitado y diferente objeto, ni del art. 3.2 de la Ley 2/1974, de 13 de febrero, de colegios profesionales, cuando declara, con carácter básico, el principio de colegiación obligatoria, toda vez que no faltan precisamente las leyes estatales de creación de colegios que contemplan la respectiva colegiación como simplemente voluntaria, desmintiendo de este modo el carácter pretendidamente básico del citado principio.</w:t>
      </w:r>
    </w:p>
    <w:p w:rsidR="0026452D" w:rsidRDefault="0026452D" w:rsidP="0026452D">
      <w:pPr>
        <w:pStyle w:val="TextoNormal"/>
      </w:pPr>
    </w:p>
    <w:p w:rsidR="0026452D" w:rsidRDefault="0026452D" w:rsidP="0026452D">
      <w:pPr>
        <w:pStyle w:val="TextoNormal"/>
      </w:pPr>
      <w:r>
        <w:t>Igualmente razona que el art. 1.3 de la propia Ley de colegios profesionales establece además una excepción a la regla de la colegiación obligatoria cuando reconoce la competencia de la respectiva Administración pública para asumir, por razón de la relación funcionarial, la tutela de los fines públicos concurrentes en el ejercicio de las profesiones colegiadas, según ha sido interpretado por la doctrina constitucional (STC 131/1989, de 17 de julio). Y esto es, concluye, lo que ha hecho en el presente asunto el legislador canario al establecer una excepción a la obligatoriedad de la colegiación en ejercicio de sus competencias en materia de colegios profesionales. Sin que, por otra parte, la regla cuestionada suponga tampoco abandonar la protección de los destinatarios de la correspondiente actividad profesional, toda vez que esa función colegial es asumida en este tipo de casos por la propia Administración pública.</w:t>
      </w:r>
    </w:p>
    <w:p w:rsidR="0026452D" w:rsidRDefault="0026452D" w:rsidP="0026452D">
      <w:pPr>
        <w:pStyle w:val="TextoNormal"/>
      </w:pPr>
    </w:p>
    <w:p w:rsidR="0026452D" w:rsidRDefault="0026452D" w:rsidP="0026452D">
      <w:pPr>
        <w:pStyle w:val="TextoNormal"/>
      </w:pPr>
      <w:r>
        <w:t xml:space="preserve">El representante del Parlamento de Canarias niega igualmente que el inciso cuestionado pugne con la competencia del Estado </w:t>
      </w:r>
      <w:r w:rsidRPr="0026452D">
        <w:rPr>
          <w:i/>
        </w:rPr>
        <w:t>ex</w:t>
      </w:r>
      <w:r>
        <w:t xml:space="preserve"> art. 149.1.1 CE para regular las condiciones básicas </w:t>
      </w:r>
      <w:r>
        <w:lastRenderedPageBreak/>
        <w:t>del ejercicio de los derechos constitucionales, pues según razona, sirviéndose de la doctrina constitucional, la regla combatida no compromete el ejercicio ni la libre elección de la profesión que garantiza el art. 35 CE. Por último, el hecho de que el Estado no impugnara en su momento el art. 9.3 de la Ley canaria 10/1990, de colegios profesionales, ni lo hiciera tampoco a propósito del art. 30 de la Ley vasca 18/1997, de 21 de noviembre, que contempla asimismo idéntica excepción de colegiación, confirman a su juicio la constitucionalidad del inciso legal cuestionado.</w:t>
      </w:r>
    </w:p>
    <w:p w:rsidR="0026452D" w:rsidRDefault="0026452D" w:rsidP="0026452D">
      <w:pPr>
        <w:pStyle w:val="TextoNormal"/>
      </w:pPr>
    </w:p>
    <w:p w:rsidR="0026452D" w:rsidRDefault="0026452D" w:rsidP="0026452D">
      <w:pPr>
        <w:pStyle w:val="TextoNormal"/>
      </w:pPr>
      <w:r w:rsidRPr="0026452D">
        <w:rPr>
          <w:rStyle w:val="NumeroAFNegritaCaracter"/>
        </w:rPr>
        <w:t>11</w:t>
      </w:r>
      <w:r>
        <w:t>. Por providencia de la Sección Cuarta de este Tribunal de 10 de septiembre de 2002 se tuvo por personados al Letrado del Parlamento de Canarias y a la Directora General del servicio jurídico del Gobierno de Canarias, y se les prorrogó en ocho días el plazo inicial para formular alegaciones.</w:t>
      </w:r>
    </w:p>
    <w:p w:rsidR="0026452D" w:rsidRDefault="0026452D" w:rsidP="0026452D">
      <w:pPr>
        <w:pStyle w:val="TextoNormal"/>
      </w:pPr>
    </w:p>
    <w:p w:rsidR="0026452D" w:rsidRDefault="0026452D" w:rsidP="0026452D">
      <w:pPr>
        <w:pStyle w:val="TextoNormal"/>
      </w:pPr>
      <w:r w:rsidRPr="0026452D">
        <w:rPr>
          <w:rStyle w:val="NumeroAFNegritaCaracter"/>
        </w:rPr>
        <w:t>12</w:t>
      </w:r>
      <w:r>
        <w:t>. La Presidenta del Senado, mediante escrito registrado el 13 de septiembre de 2002, comunicó a este Tribunal que la Mesa de la Cámara había acordado dar por personada a la Cámara en este procedimiento y por ofrecida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t>13</w:t>
      </w:r>
      <w:r>
        <w:t>. El 25 de septiembre de 2002 se registró en este Tribunal el escrito de alegaciones de la Directora del servicio jurídico del Gobierno de Canarias oponiéndose al recurso de inconstitucional presentado.</w:t>
      </w:r>
    </w:p>
    <w:p w:rsidR="0026452D" w:rsidRDefault="0026452D" w:rsidP="0026452D">
      <w:pPr>
        <w:pStyle w:val="TextoNormal"/>
      </w:pPr>
    </w:p>
    <w:p w:rsidR="0026452D" w:rsidRDefault="0026452D" w:rsidP="0026452D">
      <w:pPr>
        <w:pStyle w:val="TextoNormal"/>
      </w:pPr>
      <w:r>
        <w:t>a) Respecto del art. 16 de la Ley canaria 2/2002, la representante del Gobierno de Canarias niega, sirviéndose de la doctrina de este Tribunal Constitucional sobre la noción material de bases o normas básicas, que los arts. 34 y 35 LSE en los que el Abogado del Estado funda el exceso competencial que denuncia se ajusten a la finalidad unitaria que constitucionalmente caracteriza el concepto de bases o de legislación básica y sean compatibles además con las singulares condiciones del territorio insular canario. Desde esta perspectiva, subraya que la Ley del sector eléctrico ha optado por diseñar con carácter básico un modelo de sector eléctrico cuya gestión confía de modo principal al operador del mercado y al operador del sistema. El primero asume la gestión del sistema de ofertas de compras y venta de energía eléctrica. El operador del sistema asume, por su parte, el análisis de la viabilidad técnica de la casación económica hecha por el operador del mercado para adaptarla en función de la disponibilidad técnica de la red de transporte. Además de esta función nuclear, la Ley del sector eléctrico le atribuye, entre otras funciones, programar el funcionamiento de las instalaciones de producción, impartir instrucciones de operación de la red de transporte y gestionar los servicios complementarios.</w:t>
      </w:r>
    </w:p>
    <w:p w:rsidR="0026452D" w:rsidRDefault="0026452D" w:rsidP="0026452D">
      <w:pPr>
        <w:pStyle w:val="TextoNormal"/>
      </w:pPr>
    </w:p>
    <w:p w:rsidR="0026452D" w:rsidRDefault="0026452D" w:rsidP="0026452D">
      <w:pPr>
        <w:pStyle w:val="TextoNormal"/>
      </w:pPr>
      <w:r>
        <w:t>Sin embargo, este esquema está pensado para el sistema peninsular y, por tanto, no funciona ni es aplicable al sistema eléctrico canario, dada las significativas diferencias que le distinguen, y destacadamente las siguientes:</w:t>
      </w:r>
    </w:p>
    <w:p w:rsidR="0026452D" w:rsidRDefault="0026452D" w:rsidP="0026452D">
      <w:pPr>
        <w:pStyle w:val="TextoNormal"/>
      </w:pPr>
    </w:p>
    <w:p w:rsidR="0026452D" w:rsidRDefault="0026452D" w:rsidP="0026452D">
      <w:pPr>
        <w:pStyle w:val="TextoNormal"/>
      </w:pPr>
      <w:r>
        <w:t xml:space="preserve">Por lo pronto, porque los productores y los clientes o consumidores insulares no pueden participar en el mercado eléctrico peninsular como consecuencia de la imposibilidad técnica de transferir la electricidad producida y demandada en el sistema insular canario al sistema peninsular, dada la ausencia de la imprescindible conexión física entre ambos. De forma que toda la electricidad producida en Canarias se destina al consumo insular, y viceversa, </w:t>
      </w:r>
      <w:r>
        <w:lastRenderedPageBreak/>
        <w:t>toda la electricidad que se consume en Canarias ha sido producida en el territorio insular. Esta circunstancia determina que la figura del operador del sistema carezca de sentido en el territorio insular canario. Más aún si se tiene en cuenta: a) que, por lo mismo, en rigor ni siquiera puede hablarse de un único sistema eléctrico insular canario, sino de seis sistemas independientes entre sí, uno por cada isla del archipiélago canario; b) la reducida dimensión de estos sistemas, supuesto que los de mayor dimensión (Gran Canaria y Tenerife) apenas alcanzan el 1 por 100 del sistema peninsular; y c) la ausencia en la mayoría de las islas de auténticas redes de transporte y, en todo caso, donde existen, son de tensión sensiblemente inferior a la de la red peninsular. Todas estas singulares circunstancias, junto a la existencia de un único productor, determinan la imposibilidad de articular un mercado de compra y venta de electricidad y convierten en inútiles para el territorio canario las figuras del operador del mercado y del operador del sistema.</w:t>
      </w:r>
    </w:p>
    <w:p w:rsidR="0026452D" w:rsidRDefault="0026452D" w:rsidP="0026452D">
      <w:pPr>
        <w:pStyle w:val="TextoNormal"/>
      </w:pPr>
    </w:p>
    <w:p w:rsidR="0026452D" w:rsidRDefault="0026452D" w:rsidP="0026452D">
      <w:pPr>
        <w:pStyle w:val="TextoNormal"/>
      </w:pPr>
      <w:r>
        <w:t>Para la representante del Gobierno de Canarias otros elementos confirman igualmente esta conclusión. De un lado, el hecho de que la propia Ley del sector eléctrico en su disposición transitoria novena atribuya a un mismo sujeto (Red Eléctrica de España, S.A.) las funciones que en la Ley corresponden al operador del sistema y al gestor de la red de transporte certifica que la distinción legal entre ambas figuras es meramente formal. Y, de otro, el que la Directiva 96/92/CE no contemple la figura del operador del sistema, cuyas funciones encomienda de hecho al gestor de la red de transporte, y admita la posibilidad de establecer determinadas excepciones, en particular para el caso de pequeñas redes aisladas (art. 24 y considerando 38).</w:t>
      </w:r>
    </w:p>
    <w:p w:rsidR="0026452D" w:rsidRDefault="0026452D" w:rsidP="0026452D">
      <w:pPr>
        <w:pStyle w:val="TextoNormal"/>
      </w:pPr>
    </w:p>
    <w:p w:rsidR="0026452D" w:rsidRDefault="0026452D" w:rsidP="0026452D">
      <w:pPr>
        <w:pStyle w:val="TextoNormal"/>
      </w:pPr>
      <w:r>
        <w:t>Finalmente la representante del Gobierno canario niega asimismo, en contra de lo defendido por el Abogado del Estado en su recurso, que las funciones que el precepto impugnado atribuye al gestor de la red de transmisión coincidan o pugnen con las que por su parte el art. 41 LSE atribuye al gestor de la red de distribución. Pues, aparte de que este reproche está formulado en forma muy imprecisa y sin identificar a qué función o funciones se refiere, el repaso a los respectivos listados basta para desmentir la coincidencia que se denuncia.</w:t>
      </w:r>
    </w:p>
    <w:p w:rsidR="0026452D" w:rsidRDefault="0026452D" w:rsidP="0026452D">
      <w:pPr>
        <w:pStyle w:val="TextoNormal"/>
      </w:pPr>
    </w:p>
    <w:p w:rsidR="0026452D" w:rsidRDefault="0026452D" w:rsidP="0026452D">
      <w:pPr>
        <w:pStyle w:val="TextoNormal"/>
      </w:pPr>
      <w:r>
        <w:t>b) En relación con el inciso recurrido de la disposición adicional sexta de la Ley 2/2002 considerada, el representante del Gobierno canario defiende, en línea con lo razonado por el Parlamento autonómico en sus escrito de alegaciones, que la competencia básica del Estado prevista en el art. 149.1.18 CE no comprende la regulación del régimen de colegiación obligatoria y sus excepciones o dispensas, toda vez que este régimen no encaja en la determinación de los principios y reglas básicas a que han de ajustar su organización y competencias los colegios profesionales, que es el ámbito reservado a la legislación básica del Estado, según se desprende de la doctrina constitucional dictada en la materia.</w:t>
      </w:r>
    </w:p>
    <w:p w:rsidR="0026452D" w:rsidRDefault="0026452D" w:rsidP="0026452D">
      <w:pPr>
        <w:pStyle w:val="TextoNormal"/>
      </w:pPr>
    </w:p>
    <w:p w:rsidR="0026452D" w:rsidRDefault="0026452D" w:rsidP="0026452D">
      <w:pPr>
        <w:pStyle w:val="TextoNormal"/>
      </w:pPr>
      <w:r>
        <w:t>La representante del Gobierno canario niega asimismo, y por parecidas razones también a las defendidas por el Parlamento de Canarias que antes se han resumido, que el inciso legal cuestionado contradiga la Ley estatal de colegios profesionales, y vulnere la competencia del Estado del art. 149.1.1 CE.</w:t>
      </w:r>
    </w:p>
    <w:p w:rsidR="0026452D" w:rsidRDefault="0026452D" w:rsidP="0026452D">
      <w:pPr>
        <w:pStyle w:val="TextoNormal"/>
      </w:pPr>
    </w:p>
    <w:p w:rsidR="0026452D" w:rsidRDefault="0026452D" w:rsidP="0026452D">
      <w:pPr>
        <w:pStyle w:val="TextoNormal"/>
      </w:pPr>
      <w:r w:rsidRPr="0026452D">
        <w:rPr>
          <w:rStyle w:val="NumeroAFNegritaCaracter"/>
        </w:rPr>
        <w:t>14</w:t>
      </w:r>
      <w:r>
        <w:t xml:space="preserve">. . La Sección Cuarta de este Tribunal, por providencia de 29 de octubre de 2002, acuerda que, antes de que finalice el plazo de cinco meses que señala el art. 161.2 de la Constitución desde que se produjo la suspensión previamente acordada, se oiga a las partes </w:t>
      </w:r>
      <w:r>
        <w:lastRenderedPageBreak/>
        <w:t>para que expongan, en el plazo de cinco días, lo que consideren conveniente sobre el mantenimiento o levantamiento de dicha suspensión. Las partes presentaron sus respectivas alegaciones y el pleno del Tribunal acordó, por ATC 269/2002, de 10 de diciembre, acordó levantar la suspensión del art. 16 de la Ley canaria 2/2002, de 17 de marzo, recurrida.</w:t>
      </w:r>
    </w:p>
    <w:p w:rsidR="0026452D" w:rsidRDefault="0026452D" w:rsidP="0026452D">
      <w:pPr>
        <w:pStyle w:val="TextoNormal"/>
      </w:pPr>
    </w:p>
    <w:p w:rsidR="0026452D" w:rsidRDefault="0026452D" w:rsidP="0026452D">
      <w:pPr>
        <w:pStyle w:val="TextoNormal"/>
      </w:pPr>
      <w:r w:rsidRPr="0026452D">
        <w:rPr>
          <w:rStyle w:val="NumeroAFNegritaCaracter"/>
        </w:rPr>
        <w:t>15</w:t>
      </w:r>
      <w:r>
        <w:t>. Por providencia de.21 de mayo de 2013 se señaló, para deliberación y votación de la presente Sentencia, el día 23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enjuiciar la constitucionalidad por motivos competenciales del art. 16 de la Ley canaria 2/2002, de 27 de marzo, de establecimiento de normas tributarias y de medidas en materia de organización administrativa, de gestión relativas al personal de la Comunidad Autónoma de Canarias y de carácter sancionador que modifica la disposición adicional quinta de la Ley 11/1997, de 2 de diciembre, de regulación del sector eléctrico canario, y del inciso “ni para la realización de actividades propias de la correspondiente profesión por cuenta de aquéllas” previsto en la disposición adicional sexta de la citada ley canaria.</w:t>
      </w:r>
    </w:p>
    <w:p w:rsidR="0026452D" w:rsidRDefault="0026452D" w:rsidP="0026452D">
      <w:pPr>
        <w:pStyle w:val="TextoNormal"/>
      </w:pPr>
    </w:p>
    <w:p w:rsidR="0026452D" w:rsidRDefault="0026452D" w:rsidP="0026452D">
      <w:pPr>
        <w:pStyle w:val="TextoNormal"/>
      </w:pPr>
      <w:r w:rsidRPr="0026452D">
        <w:rPr>
          <w:rStyle w:val="NumeroAFNegritaCaracter"/>
        </w:rPr>
        <w:t>2</w:t>
      </w:r>
      <w:r>
        <w:t>. Siguiendo el orden propuesto en el recurso, nos corresponde enjuiciar en primer lugar la constitucionalidad del mencionado art. 16 de la Ley canaria 2/2002, de 27 de marzo, recurrida que modifica la disposición adicional quinta de la Ley 11/1997, del sector eléctrico canario. Antes, sin embargo, algunas precisiones de orden procesal son oportunas.</w:t>
      </w:r>
    </w:p>
    <w:p w:rsidR="0026452D" w:rsidRDefault="0026452D" w:rsidP="0026452D">
      <w:pPr>
        <w:pStyle w:val="TextoNormal"/>
      </w:pPr>
    </w:p>
    <w:p w:rsidR="0026452D" w:rsidRDefault="0026452D" w:rsidP="0026452D">
      <w:pPr>
        <w:pStyle w:val="TextoNormal"/>
      </w:pPr>
      <w:r>
        <w:t>En primer lugar, conviene advertir que, aunque durante la pendencia del presente proceso constitucional la Ley 11/1997, del sector eléctrico canario, ha sido también parcialmente modificada por la disposición adicional primera de la Ley 4/2001, de 6 de julio, y más recientemente, por las Leyes 8/2005, de 21 de diciembre, y 2/2011, de 26 de enero, estas modificaciones puntuales no han afectado sin embargo a su disposición adicional quinta, que mantiene en consecuencia la redacción dada a la misma por el art. 16 de la Ley 2/2002, objeto del presente recurso, por lo que subsiste la controversia en los términos en que precisamente ha sido planteada.</w:t>
      </w:r>
    </w:p>
    <w:p w:rsidR="0026452D" w:rsidRDefault="0026452D" w:rsidP="0026452D">
      <w:pPr>
        <w:pStyle w:val="TextoNormal"/>
      </w:pPr>
    </w:p>
    <w:p w:rsidR="0026452D" w:rsidRDefault="0026452D" w:rsidP="0026452D">
      <w:pPr>
        <w:pStyle w:val="TextoNormal"/>
      </w:pPr>
      <w:r>
        <w:t>Además, hay que recordar que nuestra STC 18/2011, de 3 de marzo, declara inconstitucionales y nulos determinados preceptos de la Ley 11/1997, si bien no se encuentra entre ellos la disposición adicional quinta.</w:t>
      </w:r>
    </w:p>
    <w:p w:rsidR="0026452D" w:rsidRDefault="0026452D" w:rsidP="0026452D">
      <w:pPr>
        <w:pStyle w:val="TextoNormal"/>
      </w:pPr>
    </w:p>
    <w:p w:rsidR="0026452D" w:rsidRDefault="0026452D" w:rsidP="0026452D">
      <w:pPr>
        <w:pStyle w:val="TextoNormal"/>
      </w:pPr>
      <w:r>
        <w:t>También, en segundo lugar, importa notar que, con posterioridad a la interposición del presente conflicto, la Ley del sector eléctrico (LSE) ha sido objeto igualmente por su parte de no pocas modificaciones. En particular, entre otras, ha sido modificada por la Ley 53/2002, de 30 de diciembre; la Ley 36/2003, de 11 de noviembre; la Ley 62/2003, de 30 de diciembre; el Real Decreto-ley 5/2005, de 11 de marzo; la Ley 17/2007, de 4 de julio; la Ley 25/2009, de 22 de diciembre; el Real Decreto-ley 6/2010, de 9 de abril; el Real Decreto-ley 13/2012, de 30 de marzo, y el Real-Decreto-Ley 29/2012, de 28 de diciembre.</w:t>
      </w:r>
    </w:p>
    <w:p w:rsidR="0026452D" w:rsidRDefault="0026452D" w:rsidP="0026452D">
      <w:pPr>
        <w:pStyle w:val="TextoNormal"/>
      </w:pPr>
    </w:p>
    <w:p w:rsidR="0026452D" w:rsidRDefault="0026452D" w:rsidP="0026452D">
      <w:pPr>
        <w:pStyle w:val="TextoNormal"/>
      </w:pPr>
      <w:r>
        <w:lastRenderedPageBreak/>
        <w:t>Todas estas modificaciones legales, que comparten el impulso de la apertura del sector eléctrico a la competencia que anima la Ley del sector eléctrico, no han alterado sustantivamente tampoco, como más adelante podrá verse, el objeto de la controversia competencial planteada, que en consecuencia continúa cifrada en determinar si el precepto legal autonómico recurrido pugna o no con las bases dictadas por el Estado en materia del sector energético (</w:t>
      </w:r>
      <w:r w:rsidRPr="0026452D">
        <w:rPr>
          <w:i/>
        </w:rPr>
        <w:t>ex</w:t>
      </w:r>
      <w:r>
        <w:t xml:space="preserve"> art. 149.1.13 y 25 CE) y, singularmente, con el modelo institucional básico del sistema eléctrico diseñado en los arts. 34 y 35 LSE a propósito del operador del sistema y del gestor de la red de transporte. De todas formas, conviene precisar que las mencionadas modificaciones de la Ley del sector eléctrico han de ser lógicamente tenidas en cuenta a la hora de decidir sobre la impugnación formulada, pues, de conformidad con nuestra doctrina sobre el </w:t>
      </w:r>
      <w:r w:rsidRPr="0026452D">
        <w:rPr>
          <w:i/>
        </w:rPr>
        <w:t>ius superveniens</w:t>
      </w:r>
      <w:r>
        <w:t xml:space="preserve"> en procesos de naturaleza competencial, como es el caso, el control de las normas recurridas por incurrir en un posible exceso competencial ha de hacerse de acuerdo con el bloque de constitucionalidad y con las demás normas que sirven de parámetro de enjuiciamiento vigentes en el momento de dictar Sentencia (SSTC 134/2011, de 20 de julio, FJ 2; y 120/2012, de 4 de junio, FJ 2).</w:t>
      </w:r>
    </w:p>
    <w:p w:rsidR="0026452D" w:rsidRDefault="0026452D" w:rsidP="0026452D">
      <w:pPr>
        <w:pStyle w:val="TextoNormal"/>
      </w:pPr>
    </w:p>
    <w:p w:rsidR="0026452D" w:rsidRDefault="0026452D" w:rsidP="0026452D">
      <w:pPr>
        <w:pStyle w:val="TextoNormal"/>
      </w:pPr>
      <w:r w:rsidRPr="0026452D">
        <w:rPr>
          <w:rStyle w:val="NumeroAFNegritaCaracter"/>
        </w:rPr>
        <w:t>3</w:t>
      </w:r>
      <w:r>
        <w:t>. Conforme con más detalle se ha resumido en los antecedentes de esta resolución, el Gobierno de la Nación considera que el art. 16 de la Ley 2/2002, que da nueva redacción a la disposición adicional quinta de la Ley canaria 11/1997, del sector eléctrico canario, es inconstitucional porque ignora la legislación básica del Estado contenida en la Ley del sector eléctrico y dictada al amparo de la competencia estatal para establecer las bases del régimen energético (art. 149.1. 25 CE), en relación con las bases y coordinación de la planificación general de la actividad económica (art. 149.1.13 CE).</w:t>
      </w:r>
    </w:p>
    <w:p w:rsidR="0026452D" w:rsidRDefault="0026452D" w:rsidP="0026452D">
      <w:pPr>
        <w:pStyle w:val="TextoNormal"/>
      </w:pPr>
    </w:p>
    <w:p w:rsidR="0026452D" w:rsidRDefault="0026452D" w:rsidP="0026452D">
      <w:pPr>
        <w:pStyle w:val="TextoNormal"/>
      </w:pPr>
      <w:r>
        <w:t>En estas condiciones, y según es norma en este tipo de asuntos en los que el exceso competencial denunciado se funda en la pretendida contradicción de la normativa autonómica con la legislación básica del Estado, y que por este motivo hemos denominado de inconstitucionalidad mediata o indirecta, nos corresponde determinar con carácter previo el carácter básico de los preceptos de la Ley del sector eléctrico directamente enfrentados con el art. 16 de la Ley canaria 2/2002 recurrido, pues, lógicamente, solo en el caso de que los mismos sean formal y materialmente básicos debiéramos luego, en segundo momento, pronunciarnos sobre la existencia de la contradicción denunciada.</w:t>
      </w:r>
    </w:p>
    <w:p w:rsidR="0026452D" w:rsidRDefault="0026452D" w:rsidP="0026452D">
      <w:pPr>
        <w:pStyle w:val="TextoNormal"/>
      </w:pPr>
    </w:p>
    <w:p w:rsidR="0026452D" w:rsidRDefault="0026452D" w:rsidP="0026452D">
      <w:pPr>
        <w:pStyle w:val="TextoNormal"/>
      </w:pPr>
      <w:r>
        <w:t>Prescindiendo de la exigencia formal, y que parece en el presente caso de todas formas incontrovertible, según lo certifica la disposición final primera de la propia Ley del sector eléctrico, que declara el carácter básico de sus preceptos con fundamento en el art. 149.1.13 y 25 CE, debemos, pues, comprobar si esa calificación es material y constitucionalmente correcta. Lo que exige determinar si la correspondiente regulación que ahora consideramos reúne las notas que constitucionalmente caracterizan a las normas básicas.</w:t>
      </w:r>
    </w:p>
    <w:p w:rsidR="0026452D" w:rsidRDefault="0026452D" w:rsidP="0026452D">
      <w:pPr>
        <w:pStyle w:val="TextoNormal"/>
      </w:pPr>
    </w:p>
    <w:p w:rsidR="0026452D" w:rsidRDefault="0026452D" w:rsidP="0026452D">
      <w:pPr>
        <w:pStyle w:val="TextoNormal"/>
      </w:pPr>
      <w:r>
        <w:t xml:space="preserve">Como repetidamente hemos advertido, una norma será materialmente básica si garantiza “el común denominador normativo necesario para asegurar la unidad fundamental prevista por las normas del bloque de la constitucionalidad que establecen la distribución de competencias” (STC 48/1988, de 22 de marzo, FJ 3). Esto es, “un marco normativo unitario, de aplicación a todo el territorio nacional” (STC 147/1991, de 4 de julio, FJ 4), dirigido a “asegurar los intereses generales y dotado de estabilidad”, dado que las bases “atienden a aspectos más estructurales que coyunturales” (STC 1/1982, de 28 de enero, FJ 1). En consecuencia, según hemos resumido en la más reciente STC 22/2012, de 16 de febrero (FJ 3), por </w:t>
      </w:r>
      <w:r>
        <w:lastRenderedPageBreak/>
        <w:t>bases “han de entenderse los principios normativos generales que informan u ordenan una determinada materia, constituyendo, en definitiva, el marco o denominador común de necesaria vigencia en el territorio nacional. Lo básico es, de esta forma, lo esencial, lo nuclear, o lo imprescindible de una materia, en aras de una unidad mínima de posiciones jurídicas que delimita lo que es competencia estatal y determina, al tiempo, el punto de partida y el límite a partir del cual puede ejercer la Comunidad Autónoma, en defensa del propio interés general, la competencia asumida en su Estatuto”.</w:t>
      </w:r>
    </w:p>
    <w:p w:rsidR="0026452D" w:rsidRDefault="0026452D" w:rsidP="0026452D">
      <w:pPr>
        <w:pStyle w:val="TextoNormal"/>
      </w:pPr>
    </w:p>
    <w:p w:rsidR="0026452D" w:rsidRDefault="0026452D" w:rsidP="0026452D">
      <w:pPr>
        <w:pStyle w:val="TextoNormal"/>
      </w:pPr>
      <w:r w:rsidRPr="0026452D">
        <w:rPr>
          <w:rStyle w:val="NumeroAFNegritaCaracter"/>
        </w:rPr>
        <w:t>4</w:t>
      </w:r>
      <w:r>
        <w:t>. A la luz de la doctrina constitucional expuesta nos corresponde, pues, determinar ahora si los preceptos de la Ley del sector eléctrico invocados por el representante del Estado se ajustan al concepto material de bases.</w:t>
      </w:r>
    </w:p>
    <w:p w:rsidR="0026452D" w:rsidRDefault="0026452D" w:rsidP="0026452D">
      <w:pPr>
        <w:pStyle w:val="TextoNormal"/>
      </w:pPr>
    </w:p>
    <w:p w:rsidR="0026452D" w:rsidRDefault="0026452D" w:rsidP="0026452D">
      <w:pPr>
        <w:pStyle w:val="TextoNormal"/>
      </w:pPr>
      <w:r>
        <w:t>Antes, no obstante, alguna observación previa sobre el sistema eléctrico que diseña la Ley del sector eléctrico es oportuna.</w:t>
      </w:r>
    </w:p>
    <w:p w:rsidR="0026452D" w:rsidRDefault="0026452D" w:rsidP="0026452D">
      <w:pPr>
        <w:pStyle w:val="TextoNormal"/>
      </w:pPr>
    </w:p>
    <w:p w:rsidR="0026452D" w:rsidRDefault="0026452D" w:rsidP="0026452D">
      <w:pPr>
        <w:pStyle w:val="TextoNormal"/>
      </w:pPr>
      <w:r>
        <w:t>Tal y como hemos notado recientemente en la STC 18/2011, de 3 de marzo (FJ 2), y hemos recordado luego en las SSTC 136/2011, de 13 de septiembre (FJ 2), y 148/2011, de 28 de septiembre (FJ 2), la Ley del sector eléctrico incorpora a nuestro ordenamiento jurídico las previsiones de la Directiva 96/92/CE, del Parlamento Europeo y del Consejo, de 19 de diciembre de 1996, sobre normas relativa a normas comunes para el mercado interior de la electricidad, y plasma los principios del protocolo suscrito entre el Ministerio de Industria y Energía y las principales empresas eléctricas el 11 de diciembre de 1996, para lograr el tránsito de un sistema intervenido y burocratizado a otro en régimen de competencia.</w:t>
      </w:r>
    </w:p>
    <w:p w:rsidR="0026452D" w:rsidRDefault="0026452D" w:rsidP="0026452D">
      <w:pPr>
        <w:pStyle w:val="TextoNormal"/>
      </w:pPr>
    </w:p>
    <w:p w:rsidR="0026452D" w:rsidRDefault="0026452D" w:rsidP="0026452D">
      <w:pPr>
        <w:pStyle w:val="TextoNormal"/>
      </w:pPr>
      <w:r>
        <w:t xml:space="preserve">Con este propósito, la Ley del sector eléctrico, que parte de reconocer el carácter esencial del suministro de energía eléctrica para el funcionamiento de la sociedad, diseña un nuevo modelo de regulación del sector eléctrico con el confesado triple objetivo de garantizar el suministro eléctrico, su calidad y hacerlo al menor coste posible y con protección del medio ambiente. Para lograrlo, la Ley del sector eléctrico declara que todas las actividades necesarias para el suministro eléctrico (generación, transporte, distribución, comercialización e intercambios intracomunitarios e internacionales y la gestión económica y técnica del sistema eléctrico) tienen la condición de servicio esencial. Pero, a diferencia de la solución tradicional, la Ley del sector eléctrico no considera necesario reservar en favor del Estado la gestión directa de ninguna de esas actividades. De modo congruente, abandona la noción de servicio público de titularidad estatal sustituyéndola ahora por la expresa garantía del suministro a todos los consumidores demandantes del servicio dentro del territorio nacional, y cuya salvaguarda confía de modo principal a dos sujetos, con forma de sociedad mercantil privada: el operador del mercado y el operador del sistema, y responsables respectivamente </w:t>
      </w:r>
      <w:r w:rsidRPr="0026452D">
        <w:rPr>
          <w:i/>
        </w:rPr>
        <w:t>grosso modo</w:t>
      </w:r>
      <w:r>
        <w:t xml:space="preserve"> de la gestión económica y de la gestión técnica del sistema.</w:t>
      </w:r>
    </w:p>
    <w:p w:rsidR="0026452D" w:rsidRDefault="0026452D" w:rsidP="0026452D">
      <w:pPr>
        <w:pStyle w:val="TextoNormal"/>
      </w:pPr>
    </w:p>
    <w:p w:rsidR="0026452D" w:rsidRDefault="0026452D" w:rsidP="0026452D">
      <w:pPr>
        <w:pStyle w:val="TextoNormal"/>
      </w:pPr>
      <w:r>
        <w:t xml:space="preserve">Esta solución organizativa, que tiende al funcionamiento más libre del sector, no se traduce lógicamente en una completa desregulación de las correspondientes actividades destinadas al suministro eléctrico, que siguen siendo objeto de una detallada ordenación, que es más o menos intensa según la concreta actividad en cada caso considerada. En lo que aquí importa, y según precisa la exposición de motivos, la imposibilidad de almacenar electricidad requiere que la oferta sea igual que la demanda en cada instante de tiempo, lo que supone necesariamente una coordinación de la producción de energía eléctrica, así como la </w:t>
      </w:r>
      <w:r>
        <w:lastRenderedPageBreak/>
        <w:t>coordinación entre las decisiones de inversión en generación y transporte de energía eléctrica. Unas características técnicas y económicas ciertamente muy significadas y que convierten al sector eléctrico en un sector necesariamente regulado. Y que, por consecuencia, hacen del operador del sistema una pieza esencial del correcto funcionamiento del sistema eléctrico, en cuanto que sujeto encargado legalmente de garantizar que la participación de los distintos sujetos intervinientes en el sistema se produzca en condiciones de igualdad, transparentes y objetivas, así como de hacer frente a las eventuales restricciones que puedan producirse en el funcionamiento del sistema para garantizar la seguridad y calidad del suministro de energía eléctrica a todos los consumidores.</w:t>
      </w:r>
    </w:p>
    <w:p w:rsidR="0026452D" w:rsidRDefault="0026452D" w:rsidP="0026452D">
      <w:pPr>
        <w:pStyle w:val="TextoNormal"/>
      </w:pPr>
    </w:p>
    <w:p w:rsidR="0026452D" w:rsidRDefault="0026452D" w:rsidP="0026452D">
      <w:pPr>
        <w:pStyle w:val="TextoNormal"/>
      </w:pPr>
      <w:r>
        <w:t>De modo congruente, el art. 11 LSE declara que, además de las actividades de transporte y distribución, que está justificada en su condición de monopolios naturales, la operación del sistema tiene igualmente carácter de actividad regulada. Y a su respectiva regulación con detalle la Ley del sector eléctrico dedica luego sus títulos V, VI y VII, todo ello con fundamento, de acuerdo con su disposición adicional primera, en el art. 149.1.13 y 25 CE.</w:t>
      </w:r>
    </w:p>
    <w:p w:rsidR="0026452D" w:rsidRDefault="0026452D" w:rsidP="0026452D">
      <w:pPr>
        <w:pStyle w:val="TextoNormal"/>
      </w:pPr>
    </w:p>
    <w:p w:rsidR="0026452D" w:rsidRDefault="0026452D" w:rsidP="0026452D">
      <w:pPr>
        <w:pStyle w:val="TextoNormal"/>
      </w:pPr>
      <w:r w:rsidRPr="0026452D">
        <w:rPr>
          <w:rStyle w:val="NumeroAFNegritaCaracter"/>
        </w:rPr>
        <w:t>5</w:t>
      </w:r>
      <w:r>
        <w:t>. En particular, y con arreglo a estas premisas, la Ley del sector eléctrico regula en su título V la gestión económica y técnica del sistema eléctrico para asegurar su correcto funcionamiento. A tal fin, el art. 32 LSE establece que corresponde al operador del mercado y al operador del sistema asumir las funciones necesarias para realizar la gestión económica referida al eficaz desarrollo del mercado de producción de electricidad y la garantía de la gestión técnica del sistema eléctrico. Y a continuación se refiere por separado a uno y otro operador.</w:t>
      </w:r>
    </w:p>
    <w:p w:rsidR="0026452D" w:rsidRDefault="0026452D" w:rsidP="0026452D">
      <w:pPr>
        <w:pStyle w:val="TextoNormal"/>
      </w:pPr>
    </w:p>
    <w:p w:rsidR="0026452D" w:rsidRDefault="0026452D" w:rsidP="0026452D">
      <w:pPr>
        <w:pStyle w:val="TextoNormal"/>
      </w:pPr>
      <w:r>
        <w:t>Respecto del operador del mercado el art. 33 LSE establece que es el encargado de la gestión del sistema de compra y venta de electricidad en el mercado diario de energía eléctrica. Para garantizar el correcto y eficiente funcionamiento de ese mercado unitario en régimen de libre competencia entre las empresas productoras de electricidad, la Ley del sector eléctrico le atribuye a continuación una serie de funciones que el operador del mercado deberá ejercer respetando los principios de transparencia, objetividad e independencia. Señaladamente, entre esas funciones, destaca la recepción de las ofertas de venta y adquisición de energía para cada uno de los períodos de programación y la casación de las respectivas ofertas recibidas, partiendo de la oferta más barata hasta igualar la demanda de electricidad en cada período de programación.</w:t>
      </w:r>
    </w:p>
    <w:p w:rsidR="0026452D" w:rsidRDefault="0026452D" w:rsidP="0026452D">
      <w:pPr>
        <w:pStyle w:val="TextoNormal"/>
      </w:pPr>
    </w:p>
    <w:p w:rsidR="0026452D" w:rsidRDefault="0026452D" w:rsidP="0026452D">
      <w:pPr>
        <w:pStyle w:val="TextoNormal"/>
      </w:pPr>
      <w:r>
        <w:t>Por su parte, el operador del sistema, que es también, como se ha recordado, el gestor de la red de transporte, es el encargado, según el art. 34 LSE, de garantizar la continuidad y seguridad del suministro eléctrico y la correcta coordinación del sistema de producción y transporte, ejerciendo sus funciones en coordinación con los operadores y sujetos del mercado ibérico de la energía eléctrica, bajo los principios asimismo de transparencia, objetividad e independencia. Para cumplir con el citado encargo, el art. 34.2 LSE le atribuye una serie funciones con el objetivo principal de organizar la producción de energía eléctrica para adecuarla en tiempo real a la demanda de consumo de electricidad, y ordenar la red de transporte de modo que la energía eléctrica circule por la red en las mejores condiciones de seguridad y eficiencia.</w:t>
      </w:r>
    </w:p>
    <w:p w:rsidR="0026452D" w:rsidRDefault="0026452D" w:rsidP="0026452D">
      <w:pPr>
        <w:pStyle w:val="TextoNormal"/>
      </w:pPr>
    </w:p>
    <w:p w:rsidR="0026452D" w:rsidRDefault="0026452D" w:rsidP="0026452D">
      <w:pPr>
        <w:pStyle w:val="TextoNormal"/>
      </w:pPr>
      <w:r>
        <w:t xml:space="preserve">Entre esa larga lista de funciones destacan, por ejemplo, prever indicativamente y controlar el nivel de garantía de abastecimiento de electricidad al corto y medio plazo; recibir </w:t>
      </w:r>
      <w:r>
        <w:lastRenderedPageBreak/>
        <w:t>la información necesaria sobre los planes de mantenimiento de las unidades de producción; la coordinación y modificación de los planes de mantenimiento de las instalaciones de transporte; el establecimiento y control de las medidas de fiabilidad de producción y transporte; impartir las instrucciones de operación de la red de transporte para su maniobra en tiempo real; programar el funcionamiento de las instalaciones de producción eléctrica de acuerdo con el resultado de la casación de las ofertas comunicadas por el operador del mercado; y la liquidación y comunicación de los pagos y cobros relacionados con la garantía del suministro.</w:t>
      </w:r>
    </w:p>
    <w:p w:rsidR="0026452D" w:rsidRDefault="0026452D" w:rsidP="0026452D">
      <w:pPr>
        <w:pStyle w:val="TextoNormal"/>
      </w:pPr>
    </w:p>
    <w:p w:rsidR="0026452D" w:rsidRDefault="0026452D" w:rsidP="0026452D">
      <w:pPr>
        <w:pStyle w:val="TextoNormal"/>
      </w:pPr>
      <w:r>
        <w:t>Aunque en la Ley del sector eléctrico esta regulación no tiene excepciones y vale en consecuencia para todo el territorio nacional, el art. 12.1 de la propia Ley del sector eléctrico prevé no obstante, en atención al aislamiento y tamaño de los sistemas eléctricos insulares y extra peninsulares, que las actividades destinadas al suministro de energía eléctrica que se desarrollen en esos territorios deberán ser objeto de una reglamentación específica que tenga en cuenta las especificidades derivadas de su ubicación territorial, previo acuerdo con la correspondiente Comunidad Autónoma o ciudad autónoma.</w:t>
      </w:r>
    </w:p>
    <w:p w:rsidR="0026452D" w:rsidRDefault="0026452D" w:rsidP="0026452D">
      <w:pPr>
        <w:pStyle w:val="TextoNormal"/>
      </w:pPr>
    </w:p>
    <w:p w:rsidR="0026452D" w:rsidRDefault="0026452D" w:rsidP="0026452D">
      <w:pPr>
        <w:pStyle w:val="TextoNormal"/>
      </w:pPr>
      <w:r>
        <w:t>En cumplimiento de este mandato legal, el Real Decreto 1747/2003, de 19 de diciembre, regula los sistemas eléctricos insulares y extra peninsulares, especialmente, como precisa su exposición de motivos, para, apurando la posibilidad prevista en el art. 12.2 LSE, establecer un tratamiento singular en materia de producción de energía eléctrica, supuesto que, por su propia estructura de red aislada y, por tanto, desconectada de la red peninsular, en dichos territorios la actividad de producción no puede participar en el mercado de ofertas del sistema peninsular. Por este motivo, dicho tratamiento singular se concreta en el citado Real Decreto 1747/2003 en dos extremos principales: el diseño de un sistema de despacho de generación por costes variables declarados que determina el orden de mérito en las unidades de producción (art. 4), y cuya gestión se confía al operador del sistema [art. 5.2 a)]; y la previsión de un sistema de compensación económica por el mayor coste de generación de energía eléctrica respecto al territorio peninsular (arts. 7 y 8).</w:t>
      </w:r>
    </w:p>
    <w:p w:rsidR="0026452D" w:rsidRDefault="0026452D" w:rsidP="0026452D">
      <w:pPr>
        <w:pStyle w:val="TextoNormal"/>
      </w:pPr>
    </w:p>
    <w:p w:rsidR="0026452D" w:rsidRDefault="0026452D" w:rsidP="0026452D">
      <w:pPr>
        <w:pStyle w:val="TextoNormal"/>
      </w:pPr>
      <w:r w:rsidRPr="0026452D">
        <w:rPr>
          <w:rStyle w:val="NumeroAFNegritaCaracter"/>
        </w:rPr>
        <w:t>6</w:t>
      </w:r>
      <w:r>
        <w:t>. La Ley del sector eléctrico, como advertíamos al principio de esta resolución, ha sido objeto de modificaciones puntuales con posterioridad a la interposición del presente recurso. En lo que ahora exclusivamente nos importa, entre todas estas modificaciones destaca la Ley 17/2007, de 4 de julio, que trae causa de la Directiva 2003/54/CE, del Parlamento Europeo y del Consejo, de 26 de junio, sobre norma comunes para el mercado interno de la electricidad, y que refuerza el papel del operador del sistema como pieza clave del sistema eléctrico, apurando la línea ya avanzada por el Real Decreto-ley 5/2005.</w:t>
      </w:r>
    </w:p>
    <w:p w:rsidR="0026452D" w:rsidRDefault="0026452D" w:rsidP="0026452D">
      <w:pPr>
        <w:pStyle w:val="TextoNormal"/>
      </w:pPr>
    </w:p>
    <w:p w:rsidR="0026452D" w:rsidRDefault="0026452D" w:rsidP="0026452D">
      <w:pPr>
        <w:pStyle w:val="TextoNormal"/>
      </w:pPr>
      <w:r>
        <w:t xml:space="preserve">En particular, con carácter igualmente básico, según aclara su disposición final primera, la citada Ley 17/2007 da nueva redacción al art. 34.1 LSE para, con supresión del inciso que calificaba al operador del sistema “como responsable de la gestión técnica del sistema”, añadir ahora que el operador del sistema será también “el gestor de la red de transporte”, y que actuará además, según precisa el siguiente y nuevo art. 35.2 LSE, “como transportista único desarrollando la actividad en régimen de exclusividad”. De modo que, a partir de la citada modificación, el operador del sistema (la sociedad mercantil Red Eléctrica de España, S.A., según desde un principio precisó la propia Ley del sector eléctrico en su disposición transitoria novena), ha asumido las funciones de operador del sistema, gestor de la red de transporte y transportista único. De modo congruente, la disposición transitoria novena de </w:t>
      </w:r>
      <w:r>
        <w:lastRenderedPageBreak/>
        <w:t>la citada Ley 17/2007 ordena la trasmisión a Red Eléctrica de España, S.A., de todas las instalaciones de transporte a la fecha todavía en manos de empresas eléctricas.</w:t>
      </w:r>
    </w:p>
    <w:p w:rsidR="0026452D" w:rsidRDefault="0026452D" w:rsidP="0026452D">
      <w:pPr>
        <w:pStyle w:val="TextoNormal"/>
      </w:pPr>
    </w:p>
    <w:p w:rsidR="0026452D" w:rsidRDefault="0026452D" w:rsidP="0026452D">
      <w:pPr>
        <w:pStyle w:val="TextoNormal"/>
      </w:pPr>
      <w:r>
        <w:t>En consonancia con este reforzado papel, el art. 34.2 LSE, en la redacción dada al mismo por la citada Ley 17/2007, atribuye al operador del sistema nuevas funciones y, señaladamente, garantizar el desarrollo y ampliación de la red de transporte definida en el título VI de la Ley del sector eléctrico, de manera que garantice el mantenimiento y mejora de una red configurada bajo criterios homogéneos y coherentes [art. 34.2 q)]; garantizar que la red de transporte pueda satisfacer a largo plazo la demanda de transporte de electricidad, así como la fiabilidad de la misma [art. 34.2 r)]; garantizar la no discriminación entre usuarios o categorías de usuarios de la red de transporte [art. 34.2 u)]; y la liquidación y comunicación de los pagos y cobros correspondientes a los sistemas eléctricos insulares y extra peninsulares, así como la recepción de las garantías que en su caso procedan [art. 34.2 w)], hasta entonces responsabilidad del operador del mercado.</w:t>
      </w:r>
    </w:p>
    <w:p w:rsidR="0026452D" w:rsidRDefault="0026452D" w:rsidP="0026452D">
      <w:pPr>
        <w:pStyle w:val="TextoNormal"/>
      </w:pPr>
    </w:p>
    <w:p w:rsidR="0026452D" w:rsidRDefault="0026452D" w:rsidP="0026452D">
      <w:pPr>
        <w:pStyle w:val="TextoNormal"/>
      </w:pPr>
      <w:r w:rsidRPr="0026452D">
        <w:rPr>
          <w:rStyle w:val="NumeroAFNegritaCaracter"/>
        </w:rPr>
        <w:t>7</w:t>
      </w:r>
      <w:r>
        <w:t>. Con estos perfiles y teniendo en cuenta el carácter esencial del suministro de energía eléctrica, no hay duda de que la creación de la figuras del operador del mercado y, en especial, por lo que ahora interesa, del operador del sistema, la determinación de su forma jurídica y régimen accionarial y societario, y el contenido de sus respectivas funciones y régimen de ejercicio, perfilan un modelo institucional que persigue garantizar el correcto y eficiente funcionamiento objetivo y transparente del sector eléctrico en régimen de libre competencia con el objetivo último de garantizar el suministro de energía eléctrica en todo el territorio nacional.</w:t>
      </w:r>
    </w:p>
    <w:p w:rsidR="0026452D" w:rsidRDefault="0026452D" w:rsidP="0026452D">
      <w:pPr>
        <w:pStyle w:val="TextoNormal"/>
      </w:pPr>
    </w:p>
    <w:p w:rsidR="0026452D" w:rsidRDefault="0026452D" w:rsidP="0026452D">
      <w:pPr>
        <w:pStyle w:val="TextoNormal"/>
      </w:pPr>
      <w:r>
        <w:t xml:space="preserve">En esa condición no hay duda de que los preceptos de la Ley del sector eléctrico considerados definen elementos nucleares del sistema eléctrico que encajan en el concepto material de bases, que antes hemos recordado y que corresponde dictar al Estado </w:t>
      </w:r>
      <w:r w:rsidRPr="0026452D">
        <w:rPr>
          <w:i/>
        </w:rPr>
        <w:t>ex</w:t>
      </w:r>
      <w:r>
        <w:t xml:space="preserve"> art. 149.1.13 y 25 CE, puesto que para asegurar el correcto funcionamiento del sector eléctrico en régimen de competencia es imprescindible la designación de instituciones responsables, que deben actuar bajo los principios de transparencia, objetividad e independencia. La existencia de una red única de transporte, junto con la creación de un verdadero “sistema” organizado que debe ser gestionado técnicamente en forma unitaria y coordinada y en régimen de exclusividad por el denominado operador del sistema para garantizar el suministro de energía eléctrica a todos los demandantes del servicio dentro del territorio nacional en condiciones de seguridad y al menor coste posible, confirman igualmente esta conclusión. En consecuencia, el régimen jurídico relativo al operador del sistema y, de modo particular, el art. 34 LSE invocado por el Abogado del Estado es efectivamente un precepto estatal básico.</w:t>
      </w:r>
    </w:p>
    <w:p w:rsidR="0026452D" w:rsidRDefault="0026452D" w:rsidP="0026452D">
      <w:pPr>
        <w:pStyle w:val="TextoNormal"/>
      </w:pPr>
    </w:p>
    <w:p w:rsidR="0026452D" w:rsidRDefault="0026452D" w:rsidP="0026452D">
      <w:pPr>
        <w:pStyle w:val="TextoNormal"/>
      </w:pPr>
      <w:r w:rsidRPr="0026452D">
        <w:rPr>
          <w:rStyle w:val="NumeroAFNegritaCaracter"/>
        </w:rPr>
        <w:t>8</w:t>
      </w:r>
      <w:r>
        <w:t>. De acuerdo con esta declaración debemos, pues, comprobar ahora si el art. 16 recurrido de la Ley canaria 2/2002 pugna o contradice lo dispuesto por el art. 34 LSE con carácter básico. Como se ha recordado con más detalle en los antecedentes de esta resolución, la disposición adicional quinta de la Ley autonómica 11/1997, del sector eléctrico canario, en la redacción dada a la misma por el precepto legal recurrido, atribuye al denominado “gestor de la red de transmisión” la responsabilidad principal de “asegurar el correcto funcionamiento de los sistemas insulares, de modo que garantice la continuidad, seguridad y calidad del suministro de energía eléctrica en las Islas, asumiendo las funciones necesarias para garantizar la gestión técnica de los mismos”. Y con este objetivo la Ley le atribuye a continuación una larga lista de funciones.</w:t>
      </w:r>
    </w:p>
    <w:p w:rsidR="0026452D" w:rsidRDefault="0026452D" w:rsidP="0026452D">
      <w:pPr>
        <w:pStyle w:val="TextoNormal"/>
      </w:pPr>
    </w:p>
    <w:p w:rsidR="0026452D" w:rsidRDefault="0026452D" w:rsidP="0026452D">
      <w:pPr>
        <w:pStyle w:val="TextoNormal"/>
      </w:pPr>
      <w:r>
        <w:t>Tal y como ha denunciado el Abogado del Estado en su recurso, y es fácil por otra parte de comprobar con solo repasar los preceptos legales enfrentados, esa función principal, así como el grueso de las concretas funciones que el precepto autonómico recurrido reconoce al denominado “gestor de la red de transmisión”, coinciden efectivamente, casi punto por punto, con las que el art. 34 LSE ha atribuido con carácter básico al operador del sistema, al que, como más arriba hemos observado, encomienda la función principal de “garantizar la continuidad y seguridad del suministro eléctrico y la correcta coordinación del sistema de producción y transporte”.</w:t>
      </w:r>
    </w:p>
    <w:p w:rsidR="0026452D" w:rsidRDefault="0026452D" w:rsidP="0026452D">
      <w:pPr>
        <w:pStyle w:val="TextoNormal"/>
      </w:pPr>
    </w:p>
    <w:p w:rsidR="0026452D" w:rsidRDefault="0026452D" w:rsidP="0026452D">
      <w:pPr>
        <w:pStyle w:val="TextoNormal"/>
      </w:pPr>
      <w:r>
        <w:t xml:space="preserve">En estas circunstancias, no hay duda entonces de que la regulación autonómica recurrida, en la medida que incide directamente en el mencionado diseño institucional básico, resulta contraria al orden constitucional y estatutario de distribución de competencias en la materia. Pues según hemos declarado en otras ocasiones semejantes, las Comunidades Autónomas no pueden adoptar ninguna disposición en el ámbito material reservado a la legislación básica (STC 87/2012, de 18 de abril, FJ 5). Ni siquiera para reproducir con exactitud las previsiones estatales, por impedirlo en este caso la doctrina sobre la </w:t>
      </w:r>
      <w:r w:rsidRPr="0026452D">
        <w:rPr>
          <w:i/>
        </w:rPr>
        <w:t>lex repetita</w:t>
      </w:r>
      <w:r>
        <w:t xml:space="preserve"> sistematizada por la STC 341/2005, de 21 de diciembre (FJ 9), y reiterada últimamente entre otras, en la STC 137/2012, de 19 de junio (FJ 2).</w:t>
      </w:r>
    </w:p>
    <w:p w:rsidR="0026452D" w:rsidRDefault="0026452D" w:rsidP="0026452D">
      <w:pPr>
        <w:pStyle w:val="TextoNormal"/>
      </w:pPr>
    </w:p>
    <w:p w:rsidR="0026452D" w:rsidRDefault="0026452D" w:rsidP="0026452D">
      <w:pPr>
        <w:pStyle w:val="TextoNormal"/>
      </w:pPr>
      <w:r>
        <w:t>No desmiente esta conclusión el hecho puesto de manifiesto por el Parlamento de Canarias y el Gobierno autonómico acerca de que el sistema eléctrico canario, dada su desconexión física con el sistema peninsular, es un sistema aislado en el que los productores y los clientes o consumidores insulares no pueden participar en el mercado eléctrico peninsular como consecuencia de la imposibilidad técnica de transferir la electricidad producida y demandada en el sistema insular canario al sistema peninsular, dada la ausencia de la imprescindible conexión física entre ambos. Pues, según se ha señalado más arriba, esta especificidad y el consiguiente tratamiento singular se manifiestan sobre la organización del mercado de producción de energía eléctrica, pero sin alcanzar en ningún caso al diseño institucional previsto en la Ley del sector eléctrico. En suma, la reglamentación singular de que habla el art. 12.1 LSE no significa la inaplicación en el territorio de Canarias del marco unitario estatal en materia de energía eléctrica, sino simplemente la adaptación del régimen jurídico aplicable a las especificidades derivadas de la insularidad. Pero especificidades en cualquier caso, por las razones dichas, entre las que no cabe contemplar el diseño institucional del sujeto responsable de la coordinación del sistema de producción y el transporte de la electricidad, con independencia de la denominación que legalmente reciba.</w:t>
      </w:r>
    </w:p>
    <w:p w:rsidR="0026452D" w:rsidRDefault="0026452D" w:rsidP="0026452D">
      <w:pPr>
        <w:pStyle w:val="TextoNormal"/>
      </w:pPr>
    </w:p>
    <w:p w:rsidR="0026452D" w:rsidRDefault="0026452D" w:rsidP="0026452D">
      <w:pPr>
        <w:pStyle w:val="TextoNormal"/>
      </w:pPr>
      <w:r>
        <w:t>Por consiguiente, sin necesidad de más consideraciones, debemos concluir que el art. 16 de la Ley canaria 2/2002, de 26 de marzo, es inconstitucional.</w:t>
      </w:r>
    </w:p>
    <w:p w:rsidR="0026452D" w:rsidRDefault="0026452D" w:rsidP="0026452D">
      <w:pPr>
        <w:pStyle w:val="TextoNormal"/>
      </w:pPr>
    </w:p>
    <w:p w:rsidR="0026452D" w:rsidRDefault="0026452D" w:rsidP="0026452D">
      <w:pPr>
        <w:pStyle w:val="TextoNormal"/>
      </w:pPr>
      <w:r w:rsidRPr="0026452D">
        <w:rPr>
          <w:rStyle w:val="NumeroAFNegritaCaracter"/>
        </w:rPr>
        <w:t>9</w:t>
      </w:r>
      <w:r>
        <w:t>. Siguiendo con nuestro análisis debemos examinar ahora la impugnación del inciso “ni para la realización de actividades propias de la correspondiente profesión por cuenta de aquéllas”, previsto en la disposición adicional sexta de la Ley de la Comunidad Autónoma de Canarias 2/2002, de 27 de marzo, que modifica el art. 9 de la Ley autonómica 10/1990, de 23 de mayo, de colegios profesionales.</w:t>
      </w:r>
    </w:p>
    <w:p w:rsidR="0026452D" w:rsidRDefault="0026452D" w:rsidP="0026452D">
      <w:pPr>
        <w:pStyle w:val="TextoNormal"/>
      </w:pPr>
    </w:p>
    <w:p w:rsidR="0026452D" w:rsidRDefault="0026452D" w:rsidP="0026452D">
      <w:pPr>
        <w:pStyle w:val="TextoNormal"/>
      </w:pPr>
      <w:r>
        <w:lastRenderedPageBreak/>
        <w:t>Como con más detalle se ha resumido en los antecedentes, el Abogado del Estado considera que el citado inciso, que exime de la colegiación obligatoria a los profesionales titulados vinculados mediante relación de servicio con alguna de las Administraciones públicas canarias cuando presten sus servicios para la Administración en régimen de exclusividad en el ámbito sanitario por cuenta de ésta, vulnera la competencia estatal para determinar los supuestos de colegiación obligatoria y sus excepciones en virtud de lo dispuesto en el art. 149.1.1 y 18 CE.</w:t>
      </w:r>
    </w:p>
    <w:p w:rsidR="0026452D" w:rsidRDefault="0026452D" w:rsidP="0026452D">
      <w:pPr>
        <w:pStyle w:val="TextoNormal"/>
      </w:pPr>
    </w:p>
    <w:p w:rsidR="0026452D" w:rsidRDefault="0026452D" w:rsidP="0026452D">
      <w:pPr>
        <w:pStyle w:val="TextoNormal"/>
      </w:pPr>
      <w:r>
        <w:t>Por su parte, tanto el Parlamento de Canarias como el Gobierno autonómico niegan que el inciso cuestionado incurra en el citado exceso competencial, pues, en su criterio, la competencia básica del Estado prevista en el art. 149.1.18 CE no comprende la regulación del régimen de colegiación obligatoria y sus excepciones o dispensas, toda vez que este régimen no encaja en la determinación de los principios y reglas básicas a que han de ajustar su organización y competencias los colegios profesionales, que es el ámbito reservado a la legislación básica del Estado.</w:t>
      </w:r>
    </w:p>
    <w:p w:rsidR="0026452D" w:rsidRDefault="0026452D" w:rsidP="0026452D">
      <w:pPr>
        <w:pStyle w:val="TextoNormal"/>
      </w:pPr>
    </w:p>
    <w:p w:rsidR="0026452D" w:rsidRDefault="0026452D" w:rsidP="0026452D">
      <w:pPr>
        <w:pStyle w:val="TextoNormal"/>
      </w:pPr>
      <w:r>
        <w:t>Con arreglo a estos perfiles, y según el representante del Estado ha puesto de manifiesto, la impugnación del mencionado inciso coincide efectivamente con la formulada en el recurso de inconstitucionalidad núm. 1893-2002 por el Presidente del Gobierno contra el art. 30.2 de la Ley 15/2001, de 26 de diciembre, del Parlamento de Andalucía, de medidas fiscales, presupuestarias, de control y administrativas, y que contenía un inciso prácticamente idéntico al impugnado en el presente recurso de inconstitucionalidad. Y, por lo mismo, guarda también una íntima conexión con los posteriores recursos de inconstitucionalidad núms. 1174-2003, 1021-2004 y 1022-2004, promovidos asimismo por el Abogado del Estado contra el art. 17.1 de la Ley de la Asamblea de Extremadura 11/2002, de 12 de diciembre, de colegios y consejos de colegios profesionales de Extremadura; el art. 11 de la Ley del Principado de Asturias 6/2003, de 30 de diciembre, de medidas presupuestarias, administrativas y fiscales, y párrafo primero del artículo 4 de la Ley del Parlamento de Andalucía 10/2003, de 6 de noviembre, reguladora de los colegios profesionales de Andalucía, respectivamente, y que contenían por su parte una excepción a la colegiación obligatoria redactada prácticamente también en los mismos precisos términos ahora considerados.</w:t>
      </w:r>
    </w:p>
    <w:p w:rsidR="0026452D" w:rsidRDefault="0026452D" w:rsidP="0026452D">
      <w:pPr>
        <w:pStyle w:val="TextoNormal"/>
      </w:pPr>
    </w:p>
    <w:p w:rsidR="0026452D" w:rsidRDefault="0026452D" w:rsidP="0026452D">
      <w:pPr>
        <w:pStyle w:val="TextoNormal"/>
      </w:pPr>
      <w:r>
        <w:t>En la STC 3/2013, de 17 de enero, resolvimos el primero de los citados recursos de inconstitucionalidad y establecimos una doctrina que hemos reiterado luego en las siguientes SSTC 46/2013 y 50/2013, de 28 de febrero, y 63/2013, de 14 de marzo, dictadas respectivamente a propósito de los otros recursos de inconstitucionalidad antes mencionados.</w:t>
      </w:r>
    </w:p>
    <w:p w:rsidR="0026452D" w:rsidRDefault="0026452D" w:rsidP="0026452D">
      <w:pPr>
        <w:pStyle w:val="TextoNormal"/>
      </w:pPr>
    </w:p>
    <w:p w:rsidR="0026452D" w:rsidRDefault="0026452D" w:rsidP="0026452D">
      <w:pPr>
        <w:pStyle w:val="TextoNormal"/>
      </w:pPr>
      <w:r>
        <w:t>Por consiguiente, una vez advertido que la presente impugnación plantea la misma controversia competencial resuelta previamente en los citados procesos constitucionales, debemos concluir también ahora, con remisión a lo dicho entonces, que “el inciso impugnado, al eximir de la colegiación obligatoria a los empleados públicos, cuando ejercen la profesión por cuenta de la Administración, establece una excepción no contemplada en la Ley estatal de colegios profesionales”. Pues, “siendo competente el Estado para establecer la colegiación obligatoria [con arreglo a los arts. 149.1.18 y 36 CE, en relación con el art. 149.1.1 CE], lo es también para establecer las excepciones que afectan a los empleados públicos a la vista de los concretos intereses generales que puedan verse afectados” (por todas, STC 3/2013, de 17 de enero, FJ 8).</w:t>
      </w:r>
    </w:p>
    <w:p w:rsidR="0026452D" w:rsidRDefault="0026452D" w:rsidP="0026452D">
      <w:pPr>
        <w:pStyle w:val="TextoNormal"/>
      </w:pPr>
    </w:p>
    <w:p w:rsidR="0026452D" w:rsidRDefault="0026452D" w:rsidP="0026452D">
      <w:pPr>
        <w:pStyle w:val="TextoNormal"/>
      </w:pPr>
      <w:r>
        <w:lastRenderedPageBreak/>
        <w:t>En consecuencia, el inciso impugnado ha vulnerado las competencias estatales, lo que determina, por tanto, su inconstitucionalidad.</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el recurso de inconstitucionalidad núm. 4244-2002 interpuesto por el Presidente del Gobierno contra el art. 16 y el inciso de la disposición adicional sexta de la Ley de la Comunidad Autónoma de Canarias 2/2002, de 27 de marzo, de establecimiento de normas tributarias y de medidas en materia de organización administrativa, de gestión relativas al personal de la Comunidad Autónoma de Canarias y de carácter sancionador, “ni para la realización de actividades propias de la correspondiente profesión por cuenta de aquéllas” y, en consecuencia, declarar su inconstitucionalidad y nulidad.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veintitrés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27" w:name="SENTENCIA_2013_124"/>
      <w:r>
        <w:lastRenderedPageBreak/>
        <w:t>SENTENCIA 124/2013, de 23 de mayo de 2013</w:t>
      </w:r>
    </w:p>
    <w:bookmarkEnd w:id="127"/>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145, de 18 de junio de 2013)</w:t>
      </w:r>
    </w:p>
    <w:p w:rsidR="0026452D" w:rsidRDefault="0026452D" w:rsidP="0026452D">
      <w:pPr>
        <w:pStyle w:val="TtuloBOE"/>
      </w:pPr>
    </w:p>
    <w:p w:rsidR="0026452D" w:rsidRDefault="0026452D" w:rsidP="0026452D">
      <w:pPr>
        <w:pStyle w:val="SntesisDescriptiva"/>
      </w:pPr>
      <w:r>
        <w:t>ECLI:ES:TC:2013:124</w:t>
      </w:r>
    </w:p>
    <w:p w:rsidR="0026452D" w:rsidRDefault="0026452D" w:rsidP="0026452D">
      <w:pPr>
        <w:pStyle w:val="SntesisDescriptiva"/>
      </w:pPr>
    </w:p>
    <w:p w:rsidR="0026452D" w:rsidRDefault="0026452D" w:rsidP="0026452D">
      <w:pPr>
        <w:pStyle w:val="SntesisDescriptiva"/>
      </w:pPr>
      <w:r>
        <w:t>Conflicto positivo de competencia 9075-2008. Planteado por el Gobierno de la Generalitat de Cataluña en relación con las órdenes comunicadas del Ministerio de Fomento de fechas 18, 28 y 30 de julio de 2008, por las que se determinan los servicios públicos esenciales para la comunidad a mantener por las empresas Gate Gourmet Spain, S.L., y FCC Medio Ambiente, S.A., durante las huelgas convocadas determinados días de los meses de julio y agosto de 2008, en los respectivos centros de trabajo en el aeropuerto de Barcelona.</w:t>
      </w:r>
    </w:p>
    <w:p w:rsidR="0026452D" w:rsidRDefault="0026452D" w:rsidP="0026452D">
      <w:pPr>
        <w:pStyle w:val="SntesisDescriptiva"/>
      </w:pPr>
    </w:p>
    <w:p w:rsidR="0026452D" w:rsidRDefault="0026452D" w:rsidP="0026452D">
      <w:pPr>
        <w:pStyle w:val="SntesisAnaltica"/>
      </w:pPr>
      <w:r>
        <w:t>Competencias en materia laboral y sobre aeropuertos de interés general: constitucionalidad de la fijación de servicios esenciales para la comunidad en caso de huelga por quien ostenta la competencia sobre el aeropuerto de Barcelona (STC 233/2007).</w:t>
      </w:r>
    </w:p>
    <w:p w:rsidR="0026452D" w:rsidRDefault="0026452D" w:rsidP="0026452D">
      <w:pPr>
        <w:pStyle w:val="SntesisAnaltica"/>
      </w:pPr>
    </w:p>
    <w:p w:rsidR="0026452D" w:rsidRDefault="0026452D" w:rsidP="0026452D">
      <w:pPr>
        <w:pStyle w:val="Extracto"/>
      </w:pPr>
      <w:r>
        <w:t>1.</w:t>
      </w:r>
      <w:r>
        <w:tab/>
        <w:t>La competencia autonómica catalana relativa a la fijación de servicios mínimos de las huelgas que tengan lugar en Cataluña ha de entenderse con la salvedad de que no se trate de huelgas en servicios esenciales en los que la responsabilidad política corresponda al Estado (STC 31/2010) [FJ 2].</w:t>
      </w:r>
    </w:p>
    <w:p w:rsidR="0026452D" w:rsidRDefault="0026452D" w:rsidP="0026452D">
      <w:pPr>
        <w:pStyle w:val="Extracto"/>
      </w:pPr>
    </w:p>
    <w:p w:rsidR="0026452D" w:rsidRDefault="0026452D" w:rsidP="0026452D">
      <w:pPr>
        <w:pStyle w:val="Extracto"/>
      </w:pPr>
      <w:r>
        <w:t>2.</w:t>
      </w:r>
      <w:r>
        <w:tab/>
        <w:t>La autoridad gubernativa a quien corresponde determinar el mínimo de mantenimiento del servicio a fin de preservar los derechos o bienes constitucionales comprometidos por la huelga, es aquella autoridad, estatal o autonómica, que tiene competencia y, por consiguiente, la responsabilidad política del servicio en cuestión (SSTC 233/1997, 27/1989) [FJ 2].</w:t>
      </w:r>
    </w:p>
    <w:p w:rsidR="0026452D" w:rsidRDefault="0026452D" w:rsidP="0026452D">
      <w:pPr>
        <w:pStyle w:val="Extracto"/>
      </w:pPr>
    </w:p>
    <w:p w:rsidR="0026452D" w:rsidRDefault="0026452D" w:rsidP="0026452D">
      <w:pPr>
        <w:pStyle w:val="Extracto"/>
      </w:pPr>
      <w:r>
        <w:t>3.</w:t>
      </w:r>
      <w:r>
        <w:tab/>
        <w:t>Es la autoridad gubernativa estatal con competencias sobre el aeropuerto quien mejor puede ponderar la actividad aeroportuaria que debe mantenerse en caso de huelga, debiendo recaer sobre tal autoridad la responsabilidad de la privación del ejercicio del derecho de huelga de los trabajadores considerados como indispensables para el mantenimiento de tal servicio [FJ 4].</w:t>
      </w:r>
    </w:p>
    <w:p w:rsidR="0026452D" w:rsidRDefault="0026452D" w:rsidP="0026452D">
      <w:pPr>
        <w:pStyle w:val="Extracto"/>
      </w:pPr>
    </w:p>
    <w:p w:rsidR="0026452D" w:rsidRDefault="0026452D" w:rsidP="0026452D">
      <w:pPr>
        <w:pStyle w:val="Extracto"/>
      </w:pPr>
      <w:r>
        <w:t>4.</w:t>
      </w:r>
      <w:r>
        <w:tab/>
        <w:t>La competencia sobre aeropuertos de interés general incluida en el art. 149.1.20 CE conlleva la de establecer los servicios esenciales para la comunidad en caso de huelga debido a que la eventual paralización de la actividad del aeropuerto de interés general afectan al interés general al que sirve, trascendiendo el ámbito y el interés de la Comunidad Autónoma en la que el aeropuerto está geográficamente situado y afectando a la navegación aérea nacional e internacional [FJ 4].</w:t>
      </w:r>
    </w:p>
    <w:p w:rsidR="0026452D" w:rsidRDefault="0026452D" w:rsidP="0026452D">
      <w:pPr>
        <w:pStyle w:val="Extracto"/>
      </w:pPr>
    </w:p>
    <w:p w:rsidR="0026452D" w:rsidRDefault="0026452D" w:rsidP="0026452D">
      <w:pPr>
        <w:pStyle w:val="Extracto"/>
      </w:pPr>
      <w:r>
        <w:t>5.</w:t>
      </w:r>
      <w:r>
        <w:tab/>
        <w:t>Los servicios encargados del abastecimiento y limpieza de los aviones resultan imprescindibles para la operatividad de las aeronaves y para la salvaguarda de la salud pública, tanto de los pasajeros como de la tripulación, por lo que resultan esenciales para que se siga prestando el servicio público encomendado a la Administración General del Estado en materia de aeropuertos de interés general por el art. 149.1.20 CE [FJ 4].</w:t>
      </w:r>
    </w:p>
    <w:p w:rsidR="0026452D" w:rsidRDefault="0026452D" w:rsidP="0026452D">
      <w:pPr>
        <w:pStyle w:val="Extracto"/>
      </w:pPr>
    </w:p>
    <w:p w:rsidR="0026452D" w:rsidRDefault="0026452D" w:rsidP="0026452D">
      <w:pPr>
        <w:pStyle w:val="Extracto"/>
      </w:pPr>
      <w:r>
        <w:t>6.</w:t>
      </w:r>
      <w:r>
        <w:tab/>
        <w:t xml:space="preserve">Doctrina sobre conflictos de competencias planteados respecto a la fijación de servicios mínimos en huelgas que afecten a determinadas zonas de interés general (STC 233/1997)  [FJ 3]. </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conflicto positivo de competencia núm. 9075-2008 promovido por el Gobierno de la Generalitat de Cataluña frente al Gobierno de la Nación, en relación con las órdenes comunicadas del Ministerio de Fomento de fechas 18, 28 y 30 de julio de 2008, por las que se determinan los servicios públicos esenciales para la comunidad a mantener por las empresas Gate Gourmet Spain, S.L., y FCC Medio Ambiente, S.A., durante las huelgas convocadas determinados días de los meses de julio y agosto de 2008, en los respectivos centros de trabajo en el aeropuerto de Barcelona. Ha intervenido y formulado alegaciones el Abogado del Estado en la representación que legalmente ostenta. Ha sido Ponente el Presidente, don Pascual Sala Sánchez,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y registrado en este Tribunal en fecha 20 de noviembre de 2008, el Abogado de la Generalitat de Cataluña, en representación del Gobierno autonómico, promueve conflicto positivo de competencia contra las órdenes del Ministerio de Fomento mencionadas en el encabezamiento de esta Sentencia, por considerar que vulneran las competencias de la Generalitat de Cataluña en materia de trabajo y de relaciones laborales, en particular, en lo relativo a la “determinación de los servicios mínimos de las huelgas que tengan lugar en Cataluña”, conforme a lo previsto en el art. 170.1 i) de La Ley Orgánica 6/2006, de 19 de julio, de reforma del Estatuto de Autonomía de Cataluña (en adelante EAC).</w:t>
      </w:r>
    </w:p>
    <w:p w:rsidR="0026452D" w:rsidRDefault="0026452D" w:rsidP="0026452D">
      <w:pPr>
        <w:pStyle w:val="TextoNormal"/>
      </w:pPr>
    </w:p>
    <w:p w:rsidR="0026452D" w:rsidRDefault="0026452D" w:rsidP="0026452D">
      <w:pPr>
        <w:pStyle w:val="TextoNormal"/>
      </w:pPr>
      <w:r w:rsidRPr="0026452D">
        <w:rPr>
          <w:rStyle w:val="NumeroAFNegritaCaracter"/>
        </w:rPr>
        <w:t>2</w:t>
      </w:r>
      <w:r>
        <w:t>. El conflicto se fundamenta en los motivos que, resumidamente se exponen a continuación:</w:t>
      </w:r>
    </w:p>
    <w:p w:rsidR="0026452D" w:rsidRDefault="0026452D" w:rsidP="0026452D">
      <w:pPr>
        <w:pStyle w:val="TextoNormal"/>
      </w:pPr>
    </w:p>
    <w:p w:rsidR="0026452D" w:rsidRDefault="0026452D" w:rsidP="0026452D">
      <w:pPr>
        <w:pStyle w:val="TextoNormal"/>
      </w:pPr>
      <w:r>
        <w:lastRenderedPageBreak/>
        <w:t>a) Se comienza precisando que se formula el presente conflicto de competencia de forma conjunta frente a las tres órdenes ministeriales para evitar reiteraciones innecesarias, dado que en todas ellas se plantea la misma cuestión de orden competencial, de modo que el conflicto no constituiría un caso esporádico, sino que se vendría repitiendo cada vez que se convoca una huelga que afecta a centros de trabajo que dan servicio al aeropuerto Barcelona-El Prat.</w:t>
      </w:r>
    </w:p>
    <w:p w:rsidR="0026452D" w:rsidRDefault="0026452D" w:rsidP="0026452D">
      <w:pPr>
        <w:pStyle w:val="TextoNormal"/>
      </w:pPr>
    </w:p>
    <w:p w:rsidR="0026452D" w:rsidRDefault="0026452D" w:rsidP="0026452D">
      <w:pPr>
        <w:pStyle w:val="TextoNormal"/>
      </w:pPr>
      <w:r>
        <w:t>b) Con fecha de 16 de julio de 2008, la empresa Gate Gourmet Spain, S.L., proveedora del servicio de catering a diversas compañías aéreas en el aeropuerto de Barcelona, ante los paros convocados desde el día 23 de julio hasta el 25 de julio de 2008 por el Comité de empresa para todos los trabajadores del centro de trabajo en el citado aeropuerto, solicitó al Ministerio de Fomento la fijación de los correspondientes servicios esenciales. A tal efecto, el día 18 de julio se dictó la orden ministerial por la que se determinaron los servicios públicos esenciales para la comunidad a mantener en el citado centro de trabajo, que fue comunicada a la empresa, a la Dirección General de Aviación Civil y a Aeropuertos Españoles y Navegación Aérea (AENA), pero sin dar participación alguna a la Generalitat, a pesar de que el Ministerio conocía que el escrito de convocatoria fue presentado el 11 de julio de 2008 ante el Tribunal Laboral de Cataluña y el Departamento de Trabajo de la Generalitat, que intervino de mediador. Poco después, el 24 de julio de 2008, la misma empresa, ante nuevos paros convocados para los días del 30 de julio al 1 de agosto, volvió a solicitar del Ministerio la fijación de los correspondientes servicios esenciales, lo que se llevó a efecto por orden de 28 de julio de 2008, comunicada en los términos antes indicados y sin dar ninguna participación a la Generalitat de Cataluña. Así pues, en ambos casos, la Dirección General de Relaciones Laborales de la Generalitat, que había iniciado el trámite de mediación y dado audiencia a las representaciones de los trabajadores y de la empresa, supo por la representación empresarial de la existencia de las órdenes comunicadas del Ministerio de Fomento estableciendo los servicios mínimos o esenciales en cada caso.</w:t>
      </w:r>
    </w:p>
    <w:p w:rsidR="0026452D" w:rsidRDefault="0026452D" w:rsidP="0026452D">
      <w:pPr>
        <w:pStyle w:val="TextoNormal"/>
      </w:pPr>
    </w:p>
    <w:p w:rsidR="0026452D" w:rsidRDefault="0026452D" w:rsidP="0026452D">
      <w:pPr>
        <w:pStyle w:val="TextoNormal"/>
      </w:pPr>
      <w:r>
        <w:t>Por último, el día 29 de julio de 2008, la empresa FCC Medio Ambiente, S.A., ante la huelga prevista para los días del 2 al 3 de agosto de 2008 (y en caso de no resolverse el conflicto, para los doce días posteriores) en el centro de trabajo dedicado a la limpieza de aviones para la empresa Flightcare, S.A., en el aeropuerto de Barcelona, solicitó al Ministerio de Fomento la fijación de los correspondientes servicios esenciales. Tal fijación se llevó a efecto por orden de 30 de julio de 2008, siendo comunicada en los mismos términos antes señalados, esto es, sin dar ninguna participación a la Generalitat. En este caso, la Consejería de Trabajo de la Generalitat dictó la Orden TRE/381/2008, de 1 de agosto, por la que se garantizaba el servicio esencial de limpieza de aviones en el centro de trabajo del aeropuerto de Barcelona, señalando los oportunos servicios mínimos o esenciales.</w:t>
      </w:r>
    </w:p>
    <w:p w:rsidR="0026452D" w:rsidRDefault="0026452D" w:rsidP="0026452D">
      <w:pPr>
        <w:pStyle w:val="TextoNormal"/>
      </w:pPr>
    </w:p>
    <w:p w:rsidR="0026452D" w:rsidRDefault="0026452D" w:rsidP="0026452D">
      <w:pPr>
        <w:pStyle w:val="TextoNormal"/>
      </w:pPr>
      <w:r>
        <w:t>En definitiva, se señala que las tres órdenes fueron dictadas por el Ministerio de Fomento a espaldas de la Generalitat e ignorando manifiestamente las competencias ejecutivas que a ésta le corresponden en materia laboral, de manera que la autoridad gubernativa competente en Cataluña en materia laboral tuvo conocimiento tardío de las mismas, de forma indirecta y sin habérsele permitido la más mínima participación.</w:t>
      </w:r>
    </w:p>
    <w:p w:rsidR="0026452D" w:rsidRDefault="0026452D" w:rsidP="0026452D">
      <w:pPr>
        <w:pStyle w:val="TextoNormal"/>
      </w:pPr>
    </w:p>
    <w:p w:rsidR="0026452D" w:rsidRDefault="0026452D" w:rsidP="0026452D">
      <w:pPr>
        <w:pStyle w:val="TextoNormal"/>
      </w:pPr>
      <w:r>
        <w:t xml:space="preserve">c) Se argumenta a continuación que los centros de trabajo a los que afectaron dichas huelgas no eran servicios aeronáuticos, ni de control del espacio aéreo, ni de ordenación del tránsito o del transporte aéreo y tampoco comportaban el ejercicio de autoridad pública de </w:t>
      </w:r>
      <w:r>
        <w:lastRenderedPageBreak/>
        <w:t>seguridad, sino que se trataba de servicios de limpieza de aviones y de preparación y suministro de alimentos para tripulaciones y pasajeros, esto es, de servicios aeroportuarios de asistencia en tierra que se prestan en el área de servicio del aeropuerto de Barcelona. Por tal motivo, aun siendo necesarios para el funcionamiento del servicio aeroportuario, su propia naturaleza auxiliar conduce a entender que no existía razón para excluir de su conocimiento y decisión a las instancias laborales competentes. A lo anterior, se añade que en ninguna de las órdenes se hizo referencia a título competencial alguno y que de las citas legales y reglamentarias que contenían se deducía que el Ministerio de Fomento pretendía justificar la adecuación de las tres órdenes a los requisitos materiales exigidos por la vigente normativa aeroportuaria según ha sido interpretada por la jurisprudencia y, en consecuencia, amparar su actuación, en el título competencial del art. 149.1.20 CE, relativo a los aeropuertos de interés general. Parece que es ese el planteamiento, teniendo en cuenta la respuesta dada por el Gobierno del Estado al requerimiento previo al presente conflicto de competencia, al indicar que tanto los servicios de limpieza como de catering son necesarios para la adecuada prestación de los servicios públicos encomendados a la Administración General del Estado en materia de aeropuertos de interés general por el art. 149.1.20 CE. Se prosigue diciendo que, a la vista de lo anterior, lo que se viene a cuestionar es una actuación repetida del Ministerio de Fomento que, mediante tres órdenes comunicadas, acuerda unilateralmente las medidas que considera oportunas para asegurar el funcionamiento de los servicios, según lo previsto en el art. 10 del Real Decreto-ley 17/1977, de 4 de marzo, sobre relaciones de trabajo, y dicta los servicios mínimos o esenciales a mantener con ocasión de tres situaciones de huelga previstas en centros de trabajo de empresas que prestan servicios de asistencia en tierra en el aeropuerto Barcelona, sin tener en cuenta las competencias ejecutivas que en materia laboral ostenta la Generalitat de Cataluña. Tal actuación vulneraría el vigente orden de distribución competencial, en tanto que consideraría que el espacio terrestre del aeropuerto citado no forma parte del territorio de Cataluña a los efectos del oportuno ejercicio de las competencias ejecutivas que a la Generalitat le corresponden en orden a determinar los servicios mínimos de las huelgas que tengan lugar en él, vaciando de contenido las expresas previsiones estatutarias al respecto.</w:t>
      </w:r>
    </w:p>
    <w:p w:rsidR="0026452D" w:rsidRDefault="0026452D" w:rsidP="0026452D">
      <w:pPr>
        <w:pStyle w:val="TextoNormal"/>
      </w:pPr>
    </w:p>
    <w:p w:rsidR="0026452D" w:rsidRDefault="0026452D" w:rsidP="0026452D">
      <w:pPr>
        <w:pStyle w:val="TextoNormal"/>
      </w:pPr>
      <w:r>
        <w:t xml:space="preserve">d) Llegados a este punto, se hace examen del marco competencial del presente conflicto. Se indica al respecto que la cuestión consiste en determinar la competencia para fijar los servicios esenciales para la comunidad (y las condiciones que debe respetar su correcto ejercicio) en los casos en que la huelga afecte a los servicios de asistencia en tierra del aeropuerto de Barcelona. Se indica que, sin duda, este aeropuerto es de interés general —conforme al Real Decreto 2858/1981, de 27 de noviembre, sobre calificación de aeropuertos civiles— y queda comprendido entre los aeropuertos a los que se refiere la materia que el art. 149.1.20 CE atribuye al Estado como competencia exclusiva. Por otra parte, se indica asimismo con cita de la STC 33/1981, de 5 de noviembre, tampoco cabe duda de que la fijación de los servicios mínimos o esenciales de la comunidad con motivo de las convocatorias de huelgas constituye una función ejecutiva en materia laboral. Precisamente, se añade, la competencia de ejecución de la legislación del Estado en materia de trabajo en Cataluña fue en su momento asumida por la Generalitat de forma genérica, de acuerdo con lo dispuesto en el art. 11.2 del Estatuto de Autonomía de 1979 (Ley Orgánica 4/1979), en correspondencia con la reserva al Estado de la legislación en materia laboral según el art. 149.1.7 CE. Y esa misma competencia ejecutiva autonómica en materia de trabajo y relaciones laborales ha sido confirmada con ocasión de la reforma del Estatuto de Autonomía catalán (operada mediante la Ley Orgánica 6/2006), si bien en esta ocasión el legislador </w:t>
      </w:r>
      <w:r>
        <w:lastRenderedPageBreak/>
        <w:t>estatutario, al redactar el correlativo art. 170.1 del nuevo texto, decidió ser más explícito al respecto, mencionando expresamente que la competencia ejecutiva “incluye en todo caso: … i) la determinación de los servicios mínimos de las huelgas que tengan lugar en Catalunya”. Por tanto, esa norma ha venido a precisar de forma taxativa que la competencia ejecutiva de la Generalitat en materia de trabajo y relaciones laborales incluye la determinación de los servicios mínimos de las huelgas que tengan lugar en Cataluña sin exclusión de ningún tipo. En consecuencia, no cabe desdeñar el significado del cambio de estilo operado por el legislador estatutario en el bloque de constitucionalidad al detallar las materias. Cambio de estilo que, entre otros fines, pretende conseguir que los órganos de la Administración estatal no olviden en sus actuaciones la existencia de eventuales competencias autonómicas, cosa que ha venido sucediendo reiteradamente.</w:t>
      </w:r>
    </w:p>
    <w:p w:rsidR="0026452D" w:rsidRDefault="0026452D" w:rsidP="0026452D">
      <w:pPr>
        <w:pStyle w:val="TextoNormal"/>
      </w:pPr>
    </w:p>
    <w:p w:rsidR="0026452D" w:rsidRDefault="0026452D" w:rsidP="0026452D">
      <w:pPr>
        <w:pStyle w:val="TextoNormal"/>
      </w:pPr>
      <w:r>
        <w:t>A tenor de lo expuesto, en el supuesto de las tres órdenes ministeriales de referencia nos encontraríamos ante una situación de concurrencia competencial en la que los títulos competenciales que cabe considerar son, por una parte, el del art. 149.1.20 CE en materia de aeropuertos de interés general, a favor del Estado, y, por otra, el del art. 170.1 i) EAC en cuanto a la ejecución en materia laboral en casos de huelgas, a favor de la Generalitat. En estos casos, se impone la necesaria cooperación en la actuación de las respectivas Administraciones ya que, como declaró la STC 68/1984, de 11 de junio, “el ejercicio de las competencias estatales en materia aeronáutica no puede ir en detrimento, como parece temer la Generalitat, de competencias de ésta distintas de las definidas en materia aeroportuaria, como son las que posea en materia de higiene, turismo, asistencia social, trabajo, a las que en su escrito alude” (FJ 6). Se señala que tales palabras constituían una premonitoria advertencia contra una posible tendencia expansiva de las competencias estatales en materia aeronáutica y que hoy en día, esa tendencia expansiva choca frontalmente con el específico enunciado de la competencia de la Generalitat para determinar los servicios mínimos de las huelgas que tengan lugar en Cataluña, según reza el art. 170.1 i) EAC.</w:t>
      </w:r>
    </w:p>
    <w:p w:rsidR="0026452D" w:rsidRDefault="0026452D" w:rsidP="0026452D">
      <w:pPr>
        <w:pStyle w:val="TextoNormal"/>
      </w:pPr>
    </w:p>
    <w:p w:rsidR="0026452D" w:rsidRDefault="0026452D" w:rsidP="0026452D">
      <w:pPr>
        <w:pStyle w:val="TextoNormal"/>
      </w:pPr>
      <w:r>
        <w:t xml:space="preserve">e) Una vez señalado lo anterior, se aboga por la necesidad de acudir a soluciones cooperativas para solventar el conflicto competencial. De este modo, se recuerda la doctrina constitucional relativa a los supuestos de concurrencia de títulos competenciales, estatal y autonómico, sobre un mismo espacio físico, y se indica que, conforme a la STC 40/1998, en tales casos ha de acudirse a fórmulas de cooperación entre el Estado y la Comunidad Autónoma, buscando soluciones con las que se consiga optimizar el ejercicio de las competencias de uno y otra. En aplicación de la citada doctrina se entiende que no resulta acorde con el orden competencial la actuación ministerial discutida que, al amparo de un título competencial estatal en una materia ajena a la laboral —la aeroportuaria, que permite al Estado intervenir en exclusiva en el plano ejecutivo—, dicte unos actos de naturaleza ejecutiva en materia claramente laboral, ignorando totalmente y vaciando de contenido el ejercicio de competencias autonómicas de ejecución en cuanto a la determinación de los servicios mínimos en supuestos de huelga en el territorio catalán, ya que, aunque la misma tenga lugar en el aeropuerto de Barcelona y afecte a los servicios de asistencia en tierra, no por ello deja de ser un acto de ejecución en materia laboral en Cataluña. Se recuerda que el Ministerio de Fomento no sólo obvió cualquier tipo de participación de la Generalitat, sino que ni siquiera le comunicó las órdenes que dictaba. Es más, se considera que incluso cabría exigir al Estado que, en base a su competencia del art. 149.1.7 CE, por tratarse de normativa laboral, dictase la regulación que establezca el protocolo procedimental a seguir en los supuestos de </w:t>
      </w:r>
      <w:r>
        <w:lastRenderedPageBreak/>
        <w:t>huelgas en los aeropuertos de interés general, donde se contengan los oportunos mecanismos de salvaguarda de las competencias autonómicas.</w:t>
      </w:r>
    </w:p>
    <w:p w:rsidR="0026452D" w:rsidRDefault="0026452D" w:rsidP="0026452D">
      <w:pPr>
        <w:pStyle w:val="TextoNormal"/>
      </w:pPr>
    </w:p>
    <w:p w:rsidR="0026452D" w:rsidRDefault="0026452D" w:rsidP="0026452D">
      <w:pPr>
        <w:pStyle w:val="TextoNormal"/>
      </w:pPr>
      <w:r>
        <w:t>f) Finalmente, se postula un cambio de la doctrina constitucional para resolver el conflicto competencial teniendo en cuenta el nuevo marco estatutario. En este sentido, se recuerda que la STC 233/1997, de 18 de diciembre (que resolvió un conflicto competencial parecido al de autos, referido a la huelga de estibadores en el puerto de Bilbao), declaró que la competencia sobre puertos de interés general, de titularidad estatal, conlleva la de establecer los servicios esenciales para la comunidad, sobre la base de que es la autoridad gubernativa estatal la que tiene la responsabilidad política del buen funcionamiento del puerto, y que sobre ella ha de recaer la responsabilidad de la privación del ejercicio de huelga de los trabajadores considerados indispensables para mantener una mínima actividad (FJ 6). Se indica que la mencionada STC 233/1997 (que hace primar la responsabilidad política para decidir la prevalencia competencial) supuso un cambio en relación con la doctrina precedente (a saber, la mantenida en las SSTC 33/1981 y 27/1989) en las que se admitía una concurrencia competencial y la consiguiente corresponsabilidad administrativa. Tal Sentencia y doctrina son, precisamente, las aducidas por el Gobierno del Estado para justificar su actuación en el presente caso y anular la competencia de la Generalitat. Una aplicación que no se considera procedente en este caso, ya que mientras en el supuesto enjuiciado en la citada STC 233/1997 se vieron afectados los servicios de estiba y desestiba del puerto de Bilbao, en este caso, sólo lo habrían sido servicios de asistencia en tierra, y no la navegación aérea o el transporte aéreo.</w:t>
      </w:r>
    </w:p>
    <w:p w:rsidR="0026452D" w:rsidRDefault="0026452D" w:rsidP="0026452D">
      <w:pPr>
        <w:pStyle w:val="TextoNormal"/>
      </w:pPr>
    </w:p>
    <w:p w:rsidR="0026452D" w:rsidRDefault="0026452D" w:rsidP="0026452D">
      <w:pPr>
        <w:pStyle w:val="TextoNormal"/>
      </w:pPr>
      <w:r>
        <w:t>Pues bien, a juicio del Gobierno de la Generalitat de Cataluña, resulta preciso recuperar la perspectiva inicial de las SSTC 33/1981 y 27/1989, y se considera que las órdenes ministeriales cuestionadas son inconstitucionales puesto que, cuando menos, se habrían dictado sin participación alguna de la Generalitat, que es la autoridad gubernativa competente en Cataluña para determinar los servicios mínimos de las huelgas que tengan lugar en el territorio de esa Comunidad Autónoma. Es más, se precisa que del pronunciamiento singular de la STC 233/1997 no podría deducirse una doctrina general que mantenga hoy en día en sede estatal la competencia para dictar las tres órdenes objeto del presente conflicto y que, el contexto de la nueva delimitación de competencias fijada en el art. 170.1 i) del Estatuto de Autonomía de Cataluña de 2006, obligaría no sólo a observar esa atribución competencial, sino también a asegurar su efectividad adoptando las medidas precisas para establecer y acordar los procedimientos legales y los instrumentos de colaboración que permitan integrar la actuación de las respectivas competencias respetando ese nuevo marco que ha pasado a integrar el bloque de la constitucionalidad. Se añade que no debe minimizarse el hecho de que el art. 170.1 i) EAC no incluya ninguna excepción y que se podrá modular la aplicación de su enunciado de forma que se proscriban las actuaciones unilaterales y se facilite el oportuno ejercicio de ambas competencias (la estatal y la autonómica), puesto que cabe conciliar la función ejecutiva que en materia laboral le corresponde a la Generalitat con la salvaguarda de los intereses y responsabilidades que en cuanto a los aeropuertos de interés general corresponde al Estado. Se termina instando a que la doctrina constitucional no resulte estática y que se construya la que sea precisa tras la reforma estatutaria, estableciéndose las nuevas bases jurisprudenciales que prevean el respectivo ejercicio competencial de manera más acorde con lo previsto en el vigente bloque de constitucionalidad.</w:t>
      </w:r>
    </w:p>
    <w:p w:rsidR="0026452D" w:rsidRDefault="0026452D" w:rsidP="0026452D">
      <w:pPr>
        <w:pStyle w:val="TextoNormal"/>
      </w:pPr>
    </w:p>
    <w:p w:rsidR="0026452D" w:rsidRDefault="0026452D" w:rsidP="0026452D">
      <w:pPr>
        <w:pStyle w:val="TextoNormal"/>
      </w:pPr>
      <w:r>
        <w:lastRenderedPageBreak/>
        <w:t>Con base a los anteriores razonamientos, se termina solicitando que se dicte Sentencia en la que se declare que la competencia controvertida corresponde a la Generalitat de Cataluña y que las disposiciones ministeriales cuestionadas han vulnerado el orden constitucional de competencias.</w:t>
      </w:r>
    </w:p>
    <w:p w:rsidR="0026452D" w:rsidRDefault="0026452D" w:rsidP="0026452D">
      <w:pPr>
        <w:pStyle w:val="TextoNormal"/>
      </w:pPr>
    </w:p>
    <w:p w:rsidR="0026452D" w:rsidRDefault="0026452D" w:rsidP="0026452D">
      <w:pPr>
        <w:pStyle w:val="TextoNormal"/>
      </w:pPr>
      <w:r w:rsidRPr="0026452D">
        <w:rPr>
          <w:rStyle w:val="NumeroAFNegritaCaracter"/>
        </w:rPr>
        <w:t>3</w:t>
      </w:r>
      <w:r>
        <w:t>. Mediante providencia del Pleno del Tribunal Constitucional de 2 de diciembre de 2008 se acordó admitir a trámite el presente conflicto positivo de competencia y dar traslado de la demanda y documentos presentados al Gobierno de la Nación, por conducto de su Presidente, para que en el plazo de veinte días y, por medio de la representación procesal que determina el art. 82.2 de la Ley Orgánica del Tribunal Constitucional (LOTC), aportase cuantos documentos y alegaciones considerase convenientes. Igualmente se acordó comunicar la incoación del conflicto a la Sala de lo Contencioso-Administrativo de la Audiencia Nacional, por si ante la misma estuvieran impugnadas o se impugnaren las órdenes del Ministerio de Fomento cuestionadas, en cuyo caso se suspendería el curso del proceso hasta la decisión del conflicto, según dispone el art. 61.2 LOTC. Finalmente, se ordenó la publicación de la incoación del conflicto en el “Boletín Oficial del Estado” y en el “Diari Oficial de la Generalitat de Catalunya” (lo que se cumplimentó en el “BOE” núm. 303, de 17 de diciembre de 2008, y en el “DOGC” núm. 5290, de 5 de enero de 2009).</w:t>
      </w:r>
    </w:p>
    <w:p w:rsidR="0026452D" w:rsidRDefault="0026452D" w:rsidP="0026452D">
      <w:pPr>
        <w:pStyle w:val="TextoNormal"/>
      </w:pPr>
    </w:p>
    <w:p w:rsidR="0026452D" w:rsidRDefault="0026452D" w:rsidP="0026452D">
      <w:pPr>
        <w:pStyle w:val="TextoNormal"/>
      </w:pPr>
      <w:r w:rsidRPr="0026452D">
        <w:rPr>
          <w:rStyle w:val="NumeroAFNegritaCaracter"/>
        </w:rPr>
        <w:t>4</w:t>
      </w:r>
      <w:r>
        <w:t>. Por escrito registrado ante este Tribunal el 22 de diciembre de 2008, el Abogado del Estado se personó en el proceso solicitando una prórroga del plazo concedido para formular alegaciones, lo que le fue concedido mediante providencia de 23 de diciembre de 2008.</w:t>
      </w:r>
    </w:p>
    <w:p w:rsidR="0026452D" w:rsidRDefault="0026452D" w:rsidP="0026452D">
      <w:pPr>
        <w:pStyle w:val="TextoNormal"/>
      </w:pPr>
    </w:p>
    <w:p w:rsidR="0026452D" w:rsidRDefault="0026452D" w:rsidP="0026452D">
      <w:pPr>
        <w:pStyle w:val="TextoNormal"/>
      </w:pPr>
      <w:r w:rsidRPr="0026452D">
        <w:rPr>
          <w:rStyle w:val="NumeroAFNegritaCaracter"/>
        </w:rPr>
        <w:t>5</w:t>
      </w:r>
      <w:r>
        <w:t>. Con fecha de 27 de enero de 2009 se presentó por el Abogado del Estado escrito de alegaciones oponiéndose a la demanda por las razones que se recogen a continuación. Se comienza indicando que la demanda viene a reconocer implícitamente que, de acuerdo con la doctrina constitucional, la competencia para fijar los servicios mínimos en una huelga que afecte a servicios públicos corresponde al titular de éstos, discutiéndose únicamente que la competencia estatal se haya ejercido sin otorgar participación alguna a la Comunidad Autónoma, a pesar de existir, según se postula, una concurrencia de competencias sobre un mismo objeto, lo que exigiría acudir a mecanismos de colaboración. Sin embargo, el anterior planteamiento resulta incoherente con el suplico del Gobierno de la Generalitat al pedirse que se reconozca a la misma la competencia controvertida.</w:t>
      </w:r>
    </w:p>
    <w:p w:rsidR="0026452D" w:rsidRDefault="0026452D" w:rsidP="0026452D">
      <w:pPr>
        <w:pStyle w:val="TextoNormal"/>
      </w:pPr>
    </w:p>
    <w:p w:rsidR="0026452D" w:rsidRDefault="0026452D" w:rsidP="0026452D">
      <w:pPr>
        <w:pStyle w:val="TextoNormal"/>
      </w:pPr>
      <w:r>
        <w:t xml:space="preserve">Por lo que respecta a la participación que se reclama por parte de la Comunidad Autónoma, señala el Abogado del Estado que, en la contestación al requerimiento de incompetencia, el Gobierno de la Nación mostró su total disposición a establecer mecanismos de colaboración con la Generalitat y que si la misma disposición hubiera existido por parte de la Generalitat, quizás se hubiera evitado este conflicto. Se pasa después a analizar los títulos competenciales en conflicto y la doctrina constitucional al respecto, para llegar a la conclusión de que corresponde al Estado la competencia para fijar los servicios mínimos en huelgas que afecten a un servicio público de su competencia. Se señala que nos encontramos, de un lado, con el art. 149.1.20 CE que atribuye al Estado la competencia exclusiva plena sobre “aeropuertos de interés general”, competencia que, por ser plena, abarca todas las potestades sobre la materia, incluida la ejecutiva, y, por otro lado, el art. 170.1 EAC 2006 que establece que corresponde a la Generalitat “la competencia ejecutiva en materia de trabajo y de relaciones laborales, que incluye en todo caso: i) la determinación de los servicios </w:t>
      </w:r>
      <w:r>
        <w:lastRenderedPageBreak/>
        <w:t>mínimos de las huelgas que tengan lugar en Cataluña”. Se recuerda también que ese Estatuto de Autonomía en su redacción inicial ya atribuía a la Generalidad la competencia ejecutiva en materia laboral en el art. 11.2.</w:t>
      </w:r>
    </w:p>
    <w:p w:rsidR="0026452D" w:rsidRDefault="0026452D" w:rsidP="0026452D">
      <w:pPr>
        <w:pStyle w:val="TextoNormal"/>
      </w:pPr>
    </w:p>
    <w:p w:rsidR="0026452D" w:rsidRDefault="0026452D" w:rsidP="0026452D">
      <w:pPr>
        <w:pStyle w:val="TextoNormal"/>
      </w:pPr>
      <w:r>
        <w:t>Una vez indicados los títulos competencial relevantes, se hace referencia a la doctrina de este Tribunal sobre la materia recogida en la STC 233/1997, de 18 de diciembre, dictada en relación con la huelga en puertos de interés general (en concreto, puerto de Bilbao) y que resulta, por ello, trasladable al caso de los aeropuertos de interés general, incluidos en el mismo apartado 20 del art. 149 CE. Afirma el Abogado del Estado que, conforme a dicha resolución, la atribución al Estado de la competencia exclusiva y plena en materia de puertos y aeropuertos de interés general tiene su razón de ser en que aquél se responsabiliza de la prestación de determinados servicios que se consideran esenciales para la Nación y que, por su importancia, exceden de los intereses autonómicos. Por ello, resulta un acto esencial para la garantía del mantenimiento del servicio público la potestad de fijar los servicios mínimos que deben respetarse en caso de huelga.</w:t>
      </w:r>
    </w:p>
    <w:p w:rsidR="0026452D" w:rsidRDefault="0026452D" w:rsidP="0026452D">
      <w:pPr>
        <w:pStyle w:val="TextoNormal"/>
      </w:pPr>
    </w:p>
    <w:p w:rsidR="0026452D" w:rsidRDefault="0026452D" w:rsidP="0026452D">
      <w:pPr>
        <w:pStyle w:val="TextoNormal"/>
      </w:pPr>
      <w:r>
        <w:t>Llegados a este punto, se procede a dar contestación a los argumentos utilizados en la demanda para sostener la inconstitucionalidad de las órdenes controvertidas, haciendo mención, en primer lugar, de la pretensión relativa a la modificación de la doctrina constitucional como consecuencia de la reforma del marco estatutario catalán. A este respecto, el Abogado del Estado recuerda que los Estatutos de Autonomía están subordinados a la Constitución y, por lo tanto, sometidos a ésta y a la doctrina constitucional que la interpreta, resultando evidente por ello, que la Ley Orgánica 6/2006 no puede haber modificado el art. 149.1.20 CE tal y como ha sido interpretado por este Tribunal. Se prosigue diciendo que, como es también palmario, el Estatuto de Autonomía no puede haberse situado entre la Constitución y su supremo intérprete (sólo sometido a la Constitución y a su ley orgánica) para imponer una modificación de su doctrina, y aclara que, si bien es cierto que los Estatutos de Autonomía integran el bloque de la constitucionalidad, su inclusión está condicionada a su plena conformidad con la Constitución. En definitiva, que si el art. 170.1 EAC mencionado se interpretara en el sentido de imponer al Tribunal Constitucional una determinada lectura del art. 149.1.20 CE (como se postula por el Gobierno de la Generalitat) habría de llegarse a la conclusión de la inconstitucionalidad del mismo. En definitiva, apunta el Abogado del Estado, que el art. 170 EAC 2006 no puede modificar la Constitución, ni tampoco situarse entre ésta y el Tribunal Constitucional imponiéndole el sentido que haya de darse al art. 149.1.20 CE. Se entiende, pues, que cuando el citado art. 170.1 incluye, “en todo caso”, en la competencia autonómica ejecutiva en materia de trabajo y relaciones laborales la determinación de los servicios mínimos de las huelgas que tengan lugar en Cataluña, debe entenderse que eso será así salvo que se trate de un servicio público de titularidad y gestión estatales. Por otro lado, el argumento relativo a que el enunciado del art. 170.1 i) EAC no contenga ninguna salvedad o excepción no parece relevante, en tanto que, como dijo la STC 5/1982, FJ 2, la omisión en una ley autonómica particular de unas precisiones de carácter básico establecidas en ley general no vicia de inconstitucional a aquella ley particular, pues estas precisiones mantienen su plena vigencia con independencia de que sean recordadas o no por el legislador autonómico. Tampoco el Estado está obligado a introducir cláusulas de salvaguarda de las competencias autonómicas, ni, en general, la omisión de formular recordatorio de la competencia ajena es motivo bastante para declarar la inconstitucionalidad de un precepto.</w:t>
      </w:r>
    </w:p>
    <w:p w:rsidR="0026452D" w:rsidRDefault="0026452D" w:rsidP="0026452D">
      <w:pPr>
        <w:pStyle w:val="TextoNormal"/>
      </w:pPr>
    </w:p>
    <w:p w:rsidR="0026452D" w:rsidRDefault="0026452D" w:rsidP="0026452D">
      <w:pPr>
        <w:pStyle w:val="TextoNormal"/>
      </w:pPr>
      <w:r>
        <w:lastRenderedPageBreak/>
        <w:t>En segundo lugar, frente a la afirmación de que los servicios de limpieza y suministro a los que afectó la huelga en cuestión tendrían una naturaleza meramente auxiliar, se sostiene que, por el contrario, eran absolutamente esenciales para la prestación del servicio público aeroportuario, en cuanto que sin la debida higiene y sin el suministro de los elementos necesarios para el alimento y la bebida de la tripulación y pasajeros, resultaba imposible realizar el transporte aéreo de personas y mercancías. Por tanto, el Estado, como titular del aeropuerto de interés general de Barcelona, podía fijar los servicios mínimos de huelgas que afectan directamente a la prestación del servicio aeroportuario. Así lo ha entendido el Real Decreto 776/1985, de 25 de mayo, sobre garantías de prestación de servicios esenciales aeroportuarios y de control de tránsito aéreo en situaciones de paro, en sus artículos 1 y 2, y el Tribunal Supremo que, aplicando tales preceptos, declaró en Sentencia de 20 de enero de 1989 que el servicio de limpieza de los aviones y dependencias aeroportuarias es un servicio esencial, teniendo en cuenta el efecto multiplicador que puede originar su anormal funcionamiento, originador de un perjuicio que sobrepasa el ámbito de la empresa afectada por la huelga.</w:t>
      </w:r>
    </w:p>
    <w:p w:rsidR="0026452D" w:rsidRDefault="0026452D" w:rsidP="0026452D">
      <w:pPr>
        <w:pStyle w:val="TextoNormal"/>
      </w:pPr>
    </w:p>
    <w:p w:rsidR="0026452D" w:rsidRDefault="0026452D" w:rsidP="0026452D">
      <w:pPr>
        <w:pStyle w:val="TextoNormal"/>
      </w:pPr>
      <w:r>
        <w:t xml:space="preserve">En tercer lugar, se precisa que, en cualquier caso, la principal alegación de la demanda es la encaminada a obtener el reconocimiento de una participación de la Generalitat en la fijación de los servicios mínimos de las huelgas que afecten al aeropuerto de Barcelona, sobre la base de que existe una concurrencia de competencias estatal y autonómica sobre un mismo objeto, no pudiendo quedar desplazada totalmente una de ellas; por ello, se solicita la declaración de inconstitucionalidad de las órdenes impugnadas al haberse negado a la Comunidad Autónoma toda participación en el procedimiento de elaboración. Rechaza también el Abogado del Estado esta alegación indicando que no le corresponde al Tribunal Constitucional determinar los concretos cauces para instrumentar la participación (cita, por todas, STC 175/1995, de 5 de diciembre), sino que es el titular de la competencia prevalente el llamado a establecer los concretos mecanismos de colaboración. Además, en los casos en los que se invocan diversos títulos competenciales para actuar sobre una determinada materia, lo que ha de pedirse a este Tribunal es que efectúe el encuadramiento competencial, esto es, que se indique el título competencial en el que la materia encuentre natural acomodo, ya sea en virtud del principio de especialidad o de prevalencia de un determinado interés. Pues bien, de acuerdo con la doctrina constitucional, el encuadramiento de la fijación de los servicios mínimos en huelgas que afecten a servicios en aeropuertos de interés general debe realizarse en el título competencial estatal sobre aeropuertos de interés general, más específico, y prevalente sobre el autonómico de ejecución de legislación laboral. De este modo, es al Estado, titular de la competencia, a quien corresponde establecer los mecanismos de coordinación en caso de que sean posibles. Recuerda el Abogado del Estado a este respecto, que el Gobierno de la Nación ha mostrado su disposición a establecer esos mecanismos, pero que no cabe desconocer la dificultad de aplicarlos en un procedimiento presidido por el natural principio de celeridad que impone el ejercicio del derecho de huelga. Hay que tener presente que el art. 4 del Real Decreto-ley 17/1977, de 5 de marzo, sobre relaciones de trabajo, en el que se regula el derecho de huelga, establece que cuando esta última afecte a empresas encargadas de cualquier clase de servicio público, es preciso que se preavise en un plazo de diez días naturales. Y la brevedad de tal plazo obliga a la autoridad gubernativa responsable del servicio a pronunciarse con carácter inmediato sobre los servicios mínimos que garanticen el funcionamiento del servicio (art. 10 de la norma citada). En definitiva, el Abogado del Estado concluye su escrito diciendo que, a pesar de la buena disposición del </w:t>
      </w:r>
      <w:r>
        <w:lastRenderedPageBreak/>
        <w:t>Gobierno, parece éste uno de esos casos en los que no cabría establecer mecanismos colaborativos que se integren en el procedimiento decisorio (informes previos), y que la fijación de los servicios mínimos, dada la brevedad de los plazos en que debe hacerse, sólo puede acordarla una autoridad, a saber, aquella cuyo título competencial debe prevalecer, y que en este caso, es el Estado como titular de la competencia sobre aeropuertos de interés general.</w:t>
      </w:r>
    </w:p>
    <w:p w:rsidR="0026452D" w:rsidRDefault="0026452D" w:rsidP="0026452D">
      <w:pPr>
        <w:pStyle w:val="TextoNormal"/>
      </w:pPr>
    </w:p>
    <w:p w:rsidR="0026452D" w:rsidRDefault="0026452D" w:rsidP="0026452D">
      <w:pPr>
        <w:pStyle w:val="TextoNormal"/>
      </w:pPr>
      <w:r w:rsidRPr="0026452D">
        <w:rPr>
          <w:rStyle w:val="NumeroAFNegritaCaracter"/>
        </w:rPr>
        <w:t>6</w:t>
      </w:r>
      <w:r>
        <w:t>. Por diligencia de 28 de enero de 2009, se hace constar que dentro del plazo conferido al efecto se ha personado en el presente proceso y formuladas alegaciones el Abogado del Estado, quedando pendiente en su momento para deliberación y votación de la Sentencia, sin perjuicio de lo dispuesto en el art. 84 LOTC.</w:t>
      </w:r>
    </w:p>
    <w:p w:rsidR="0026452D" w:rsidRDefault="0026452D" w:rsidP="0026452D">
      <w:pPr>
        <w:pStyle w:val="TextoNormal"/>
      </w:pPr>
    </w:p>
    <w:p w:rsidR="0026452D" w:rsidRDefault="0026452D" w:rsidP="0026452D">
      <w:pPr>
        <w:pStyle w:val="TextoNormal"/>
      </w:pPr>
      <w:r w:rsidRPr="0026452D">
        <w:rPr>
          <w:rStyle w:val="NumeroAFNegritaCaracter"/>
        </w:rPr>
        <w:t>7</w:t>
      </w:r>
      <w:r>
        <w:t>. Mediante providencia de 21 de mayo de 2013 se señaló para deliberación y votación de la presente Sentencia el día 23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proceso constitucional tiene por objeto resolver el conflicto positivo de competencia planteado por el Gobierno de la Generalitat de Cataluña en relación con las órdenes comunicadas del Ministerio de Fomento de fechas 18, 28 y 30 de julio de 2008, por las que se determinaron los servicios públicos esenciales para la comunidad a mantener por las empresas Gate Gourmet Spain, S.L., y FCC Medio Ambiente, S.A. (encargadas, respectivamente, de los servicios de catering y abastecimiento de los aviones, y de la limpieza y asepsia de los mismos), durante las huelgas convocadas determinados días de los meses de julio y agosto de 2008 en sus centros de trabajo en el aeropuerto de Barcelona.</w:t>
      </w:r>
    </w:p>
    <w:p w:rsidR="0026452D" w:rsidRDefault="0026452D" w:rsidP="0026452D">
      <w:pPr>
        <w:pStyle w:val="TextoNormal"/>
      </w:pPr>
    </w:p>
    <w:p w:rsidR="0026452D" w:rsidRDefault="0026452D" w:rsidP="0026452D">
      <w:pPr>
        <w:pStyle w:val="TextoNormal"/>
      </w:pPr>
      <w:r>
        <w:t>Como ha quedado expuesto en los antecedentes de esta Sentencia, el Gobierno de la Generalitat de Cataluña considera que las referidas órdenes vulneran las competencias de la Generalitat en materia de trabajo y de relaciones laborales, en particular, en lo relativo a la “determinación de los servicios mínimos en las huelgas que tengan lugar en Cataluña” [art. 170.1 i) de la Ley Orgánica 6/2006, de 19 de julio, de reforma del Estatuto de Autonomía de Cataluña (EAC)]. Se afirma que este precepto, más explícito incluso que su antecedente inmediato, el art. 11.2 del Estatuto de Autonomía de Cataluña de 1979, reconoce de forma taxativa y sin ninguna exclusión, que la competencia ejecutiva en materia de trabajo y relaciones laborales incluye “en todo caso” la determinación de los servicios mínimos en las huelgas que tengan lugar en esa Comunidad Autónoma. Por ello, existiendo una concurrencia de los títulos competenciales previstos en el art. 149.1.20 CE, aeropuertos de interés general (de competencia exclusiva del Estado), y en el citado art. 170.1 i) EAC, determinación de los servicios mínimos en huelgas que tengan lugar en Cataluña (de competencia de la Generalitat al formar parte de su competencia ejecutiva en materia de trabajo y de relaciones laborales), se imponía la necesaria cooperación entre las respectivas Administraciones, que en el presente caso no se habría cumplimentado al no permitirse la participación de la Generalitat en la determinación de los servicios mínimos. Aunque lo que se discute, conforme a lo anteriormente dicho, es que la competencia estatal se haya ejercido sin permitir la participación de la Generalitat, se termina pidiendo en el suplico, en contraposición con el discurso previamente mantenido, que se dicte sentencia por la que se declare que la competencia controvertida corresponde a la Generalitat de Cataluña y que las disposiciones ministeriales cuestionadas han vulnerado el orden constitucional de competencias.</w:t>
      </w:r>
    </w:p>
    <w:p w:rsidR="0026452D" w:rsidRDefault="0026452D" w:rsidP="0026452D">
      <w:pPr>
        <w:pStyle w:val="TextoNormal"/>
      </w:pPr>
    </w:p>
    <w:p w:rsidR="0026452D" w:rsidRDefault="0026452D" w:rsidP="0026452D">
      <w:pPr>
        <w:pStyle w:val="TextoNormal"/>
      </w:pPr>
      <w:r>
        <w:t>Por su parte, el Abogado del Estado considera que la fijación de los servicios mínimos discutidos le corresponde al Estado en virtud de su competencia sobre aeropuertos de interés general (art. 149.1.20 CE), siendo trasladable al caso la doctrina mantenida en la STC 233/1997, de 18 de diciembre, dictada en relación con una huelga en un puerto de interés general. Además entiende que el art. 170.1 i) EAC, cuando incluye dentro de la competencia autonómica ejecutiva en materia de trabajo y relaciones laborales “en todo caso” la determinación de los servicios mínimos de las huelgas que tengan lugar en Cataluña, debe interpretarse con la salvedad de que se trate de un servicio público de titularidad y gestión estatales. Finalmente, señala que, en todo caso, el Gobierno de la Nación habría mostrado desde un principio su disposición al establecimiento de mecanismos de coordinación entre ambas Administraciones públicas, pero que no cabe desconocer la dificultad de aplicarlos en un procedimiento presidido por la celeridad impuesta por el ejercicio del derecho de huelga y la exigencia de rapidez en la fijación de los servicios mínimos para asegurar el funcionamiento del servicio público esencial.</w:t>
      </w:r>
    </w:p>
    <w:p w:rsidR="0026452D" w:rsidRDefault="0026452D" w:rsidP="0026452D">
      <w:pPr>
        <w:pStyle w:val="TextoNormal"/>
      </w:pPr>
    </w:p>
    <w:p w:rsidR="0026452D" w:rsidRDefault="0026452D" w:rsidP="0026452D">
      <w:pPr>
        <w:pStyle w:val="TextoNormal"/>
      </w:pPr>
      <w:r w:rsidRPr="0026452D">
        <w:rPr>
          <w:rStyle w:val="NumeroAFNegritaCaracter"/>
        </w:rPr>
        <w:t>2</w:t>
      </w:r>
      <w:r>
        <w:t>. A la vista de las posiciones enfrentadas en este proceso, el objeto del conflicto de competencia planteado consiste en determinar a quién corresponde la competencia para fijar las medidas de mantenimiento de los servicios esenciales en la huelga seguida en el aeropuerto de Barcelona a la que las órdenes ministeriales impugnadas se refieren, esto es, si al Estado, con base en su competencia exclusiva en materia de aeropuertos de interés general (art. 149.1.20 CE) o, como postula el Gobierno de la Generalitat de Cataluña en su escrito, a esta Comunidad Autónoma en virtud de la competencia en materia de trabajo y de relaciones laborales prevista en el art. 170.1 i) EAC, precepto que le atribuye la “determinación de los servicios mínimos de las huelgas que tengan lugar en Cataluña”.</w:t>
      </w:r>
    </w:p>
    <w:p w:rsidR="0026452D" w:rsidRDefault="0026452D" w:rsidP="0026452D">
      <w:pPr>
        <w:pStyle w:val="TextoNormal"/>
      </w:pPr>
    </w:p>
    <w:p w:rsidR="0026452D" w:rsidRDefault="0026452D" w:rsidP="0026452D">
      <w:pPr>
        <w:pStyle w:val="TextoNormal"/>
      </w:pPr>
      <w:r>
        <w:t xml:space="preserve">Puesto que el Gobierno de la Generalitat de Cataluña esgrime como título competencial vulnerado el art. 170.1 i) EAC, se hace necesario, en primer término, atender a lo declarado respecto del contenido de este precepto en la STC 31/2010, de 28 de junio, en la que este Tribunal resolvió el recurso de inconstitucionalidad planteado frente a determinados preceptos de la Ley Orgánica 6/2006, de 19 de julio, de reforma del Estatuto de Autonomía de Cataluña. Al examinar la constitucionalidad del citado art. 170.1 i) EAC, recordamos en el fundamento jurídico 106 de esa Sentencia que “el establecimiento de garantías en los servicios esenciales con ocasión de una huelga se incluye entre los ‘actos de ejecución de la legislación del Estado que, sin perjuicio de su carácter normativo, entran en la esfera competencial de las CC.AA’. (STC 86/1991, de 25 de abril, FJ 4), del mismo modo que ‘la autoridad gubernativa a quien corresponde determinar el mínimo de mantenimiento del servicio, a fin de preservar los derechos o bienes constitucionales comprometidos por la huelga, es aquella autoridad, estatal o autonómica, que tiene competencia y, por consiguiente, la responsabilidad política del servicio en cuestión’ (STC 233/1997, de 18 de diciembre, FJ 6; con cita de las SSTC 33/1981, de 5 de noviembre, y 27/1989, de 3 de febrero)”. Partiendo de tal doctrina, examinamos la constitucionalidad del art. 170.1 i) EAC indicando al respecto que “[d]e lo anterior se desprende que la Generalitat puede ser competente para la determinación de los servicios mínimos en caso de huelga en servicios esenciales para la comunidad, según quiere el art. 170.1 i) EAC, si bien sólo en los casos en los que le corresponde ‘la responsabilidad política del servicio en cuestión’, únicamente en el ámbito territorial en el que la Generalitat es competente. Al margen quedan, por tanto, los supuestos de huelga en servicios esenciales que, radicados o prestados en territorio catalán —y sólo en él </w:t>
      </w:r>
      <w:r>
        <w:lastRenderedPageBreak/>
        <w:t>o también en otros territorios—, son de la competencia del Estado por corresponderle la responsabilidad política del servicio en cuestión” Y concluimos que, así entendido el precepto, había de desestimarse la impugnación del mismo.</w:t>
      </w:r>
    </w:p>
    <w:p w:rsidR="0026452D" w:rsidRDefault="0026452D" w:rsidP="0026452D">
      <w:pPr>
        <w:pStyle w:val="TextoNormal"/>
      </w:pPr>
    </w:p>
    <w:p w:rsidR="0026452D" w:rsidRDefault="0026452D" w:rsidP="0026452D">
      <w:pPr>
        <w:pStyle w:val="TextoNormal"/>
      </w:pPr>
      <w:r>
        <w:t>En definitiva, la solución interpretativa propuesta por el Abogado del Estado en el presente proceso constitucional, en relación con el título competencial esgrimido por el Gobierno de la Generalitat, coincide con la mantenida por este Tribunal en la STC 31/2010, esto es, que la competencia autonómica reconocida en el art. 170.1 i) EAC relativa a la fijación de los servicios mínimos de las huelgas que tengan lugar en Cataluña ha de entenderse con la salvedad de que no se trate de huelgas en servicios esenciales en los que la responsabilidad política corresponda al Estado.</w:t>
      </w:r>
    </w:p>
    <w:p w:rsidR="0026452D" w:rsidRDefault="0026452D" w:rsidP="0026452D">
      <w:pPr>
        <w:pStyle w:val="TextoNormal"/>
      </w:pPr>
    </w:p>
    <w:p w:rsidR="0026452D" w:rsidRDefault="0026452D" w:rsidP="0026452D">
      <w:pPr>
        <w:pStyle w:val="TextoNormal"/>
      </w:pPr>
      <w:r w:rsidRPr="0026452D">
        <w:rPr>
          <w:rStyle w:val="NumeroAFNegritaCaracter"/>
        </w:rPr>
        <w:t>3</w:t>
      </w:r>
      <w:r>
        <w:t>. Aclarado lo que antecede, conviene también recordar brevemente que en la STC 233/1997, de 18 de diciembre, sobre cuya doctrina se asienta el pronunciamiento de la STC 31/2010 anteriormente citada, resolvimos el conflicto positivo de competencia planteado respecto a la fijación de los servicios mínimos en una huelga que afectaba a la actividad de estiba y desestiba del puerto de Bilbao. Declaramos entonces que la competencia sobre puertos de interés general, de titularidad estatal, conlleva la de establecer los servicios esenciales para la comunidad y, en consecuencia, afirmamos que si el puerto de Bilbao era un puerto de interés general, la competencia era exclusiva del Estado (art. 149.1.20 CE) toda vez que las actividades portuarias antedichas transcendían el ámbito e interés de la Comunidad Autónoma en la que el puerto estaba geográficamente situado. De este modo, aunque la Comunidad Autónoma tuviera competencias de ejecución de la legislación laboral, tal hecho no podía llevar a que durante la situación de huelga desapareciese la competencia del Estado en materia de puertos de interés general, en el sentido, no ya de que nada tuviese que decir, sino incluso de que careciese de la responsabilidad última a la hora de decidir la actividad de estiba y desestiba a mantener durante la huelga. Por ello, apreciamos que era la autoridad gubernativa estatal con competencias sobre el puerto de Bilbao quien mejor podía garantizar la actividad portuaria que debía mantenerse en caso de huelga, quien tenía la responsabilidad política del buen funcionamiento del citado puerto y sobre la que había de recaer la responsabilidad de la privación del ejercicio del derecho de huelga de los trabajadores considerados indispensables para mantener la mínima actividad (STC 233/1997, FJ 6). Todo lo anterior, nos condujo a estimar en aquel caso el conflicto positivo de competencia planteado, y a declarar que correspondía al Estado la titularidad de la competencia controvertida, sin perjuicio, eso sí, de la coordinación entre la Administración autonómica y estatal (fundamento jurídico 7 de la misma Sentencia).</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Los anteriores razonamientos son plenamente trasladables al presente caso, como postula el Abogado del Estado. En efecto, conforme a la doctrina constitucional que ha sido expuesta, la competencia sobre aeropuertos de interés general, que está incluida en el art. 149.1.20 CE junto a la materia de puertos de interés general, conlleva la de establecer los servicios esenciales para la comunidad en caso de huelga (STC 233/1997, FJ 6). Ello es debido a que la eventual paralización de la actividad del aeropuerto de interés general, en este caso el de Barcelona, como consecuencia del ejercicio del derecho de huelga por parte de los trabajadores que en él prestan sus servicios, afecta al interés general al que sirve, es decir, trasciende el ámbito y el interés de la Comunidad Autónoma en la que el aeropuerto está geográficamente situado, afectando a la navegación aérea nacional e internacional. En </w:t>
      </w:r>
      <w:r>
        <w:lastRenderedPageBreak/>
        <w:t>consecuencia, es la autoridad gubernativa estatal con competencias sobre el citado aeropuerto, que tiene la responsabilidad política por el buen funcionamiento del servicio público, quien mejor puede ponderar la actividad aeroportuaria que debe mantenerse en caso de huelga, debiendo recaer sobre tal autoridad la responsabilidad de la privación del ejercicio del derecho de huelga de los trabajadores considerados como indispensables para el mantenimiento de tal servicio.</w:t>
      </w:r>
    </w:p>
    <w:p w:rsidR="0026452D" w:rsidRDefault="0026452D" w:rsidP="0026452D">
      <w:pPr>
        <w:pStyle w:val="TextoNormal"/>
      </w:pPr>
    </w:p>
    <w:p w:rsidR="0026452D" w:rsidRDefault="0026452D" w:rsidP="0026452D">
      <w:pPr>
        <w:pStyle w:val="TextoNormal"/>
      </w:pPr>
      <w:r>
        <w:t>Sostiene el Gobierno de la Generalitat que, a diferencia del caso resuelto en la STC 233/1997 en el que la huelga concernía a la actividad misma de estiba y desestiba, en el ahora enjuiciado los servicios aeronáuticos propiamente dichos no se habrían visto afectados, sino sólo trabajos de carácter auxiliar y de asistencia en tierra. Sin embargo, hay que rechazar tal argumento. Como advierte el Abogado del Estado, los servicios encargados del abastecimiento y limpieza de los aviones resultaban imprescindibles para la operatividad de las aeronaves y para la salvaguarda de la salud pública, tanto de los pasajeros como de la tripulación, y en definitiva, resultaban esenciales para que se pudiese seguir prestando el servicio público encomendado a la Administración General del Estado en materia de aeropuertos de interés general por el art. 149.1.20 CE.</w:t>
      </w:r>
    </w:p>
    <w:p w:rsidR="0026452D" w:rsidRDefault="0026452D" w:rsidP="0026452D">
      <w:pPr>
        <w:pStyle w:val="TextoNormal"/>
      </w:pPr>
    </w:p>
    <w:p w:rsidR="0026452D" w:rsidRDefault="0026452D" w:rsidP="0026452D">
      <w:pPr>
        <w:pStyle w:val="TextoNormal"/>
      </w:pPr>
      <w:r>
        <w:t>Finalmente, como ya ha quedado apuntado, aunque el Gobierno de la Generalitat pide en el suplico de su escrito que se declare que la competencia controvertida corresponde a la Generalitat, a lo largo de su escrito también denuncia la falta de participación de esa Comunidad Autónoma en la determinación de los servicios mínimos, quejándose de que se haya obviado su competencia de ejecución en materia laboral. Pero esa pretensión, tal y como tuvimos la oportunidad de declarar en la STC 233/1997, “en nada afecta a la competencia para decidir los servicios mínimos, sino que se satisface por la vía de la coordinación” (FJ 6).</w:t>
      </w:r>
    </w:p>
    <w:p w:rsidR="0026452D" w:rsidRDefault="0026452D" w:rsidP="0026452D">
      <w:pPr>
        <w:pStyle w:val="TextoNormal"/>
      </w:pPr>
    </w:p>
    <w:p w:rsidR="0026452D" w:rsidRDefault="0026452D" w:rsidP="0026452D">
      <w:pPr>
        <w:pStyle w:val="TextoNormal"/>
      </w:pPr>
      <w:r w:rsidRPr="0026452D">
        <w:rPr>
          <w:rStyle w:val="NumeroAFNegritaCaracter"/>
        </w:rPr>
        <w:t>5</w:t>
      </w:r>
      <w:r>
        <w:t>. De todo lo expuesto podemos, pues, derivar la conclusión de que las órdenes impugnadas fueron dictadas por el Estado en ejercicio de su competencia en materia de aeropuertos de interés general (art. 149.1.20 CE) y que, en consecuencia, procede la desestimación de este conflicto.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conflicto positivo de competencia.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veintitrés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28" w:name="SENTENCIA_2013_125"/>
      <w:r>
        <w:lastRenderedPageBreak/>
        <w:t>SENTENCIA 125/2013, de 23 de mayo de 2013</w:t>
      </w:r>
    </w:p>
    <w:bookmarkEnd w:id="128"/>
    <w:p w:rsidR="0026452D" w:rsidRDefault="0026452D" w:rsidP="0026452D">
      <w:pPr>
        <w:pStyle w:val="TtuloResolucin"/>
      </w:pPr>
      <w:r>
        <w:t>Sala Primera</w:t>
      </w:r>
    </w:p>
    <w:p w:rsidR="0026452D" w:rsidRDefault="0026452D" w:rsidP="0026452D">
      <w:pPr>
        <w:pStyle w:val="TtuloResolucin"/>
      </w:pPr>
    </w:p>
    <w:p w:rsidR="0026452D" w:rsidRDefault="0026452D" w:rsidP="0026452D">
      <w:pPr>
        <w:pStyle w:val="TtuloBOE"/>
      </w:pPr>
      <w:r>
        <w:t>("BOE" núm. 145, de 18 de junio de 2013)</w:t>
      </w:r>
    </w:p>
    <w:p w:rsidR="0026452D" w:rsidRDefault="0026452D" w:rsidP="0026452D">
      <w:pPr>
        <w:pStyle w:val="TtuloBOE"/>
      </w:pPr>
    </w:p>
    <w:p w:rsidR="0026452D" w:rsidRDefault="0026452D" w:rsidP="0026452D">
      <w:pPr>
        <w:pStyle w:val="SntesisDescriptiva"/>
      </w:pPr>
      <w:r>
        <w:t>ECLI:ES:TC:2013:125</w:t>
      </w:r>
    </w:p>
    <w:p w:rsidR="0026452D" w:rsidRDefault="0026452D" w:rsidP="0026452D">
      <w:pPr>
        <w:pStyle w:val="SntesisDescriptiva"/>
      </w:pPr>
    </w:p>
    <w:p w:rsidR="0026452D" w:rsidRDefault="0026452D" w:rsidP="0026452D">
      <w:pPr>
        <w:pStyle w:val="SntesisDescriptiva"/>
      </w:pPr>
      <w:r>
        <w:t>Recurso de amparo electoral 2823-2013. Promovido por Foro Asturias Ciudadanos y otras cuatro personas en relación con la Sentencia del Tribunal Superior de Justicia de Asturias desestimatoria del recurso contencioso-electoral interpuesto respecto de la proclamación de alcalde de Cudillero.</w:t>
      </w:r>
    </w:p>
    <w:p w:rsidR="0026452D" w:rsidRDefault="0026452D" w:rsidP="0026452D">
      <w:pPr>
        <w:pStyle w:val="SntesisDescriptiva"/>
      </w:pPr>
    </w:p>
    <w:p w:rsidR="0026452D" w:rsidRDefault="0026452D" w:rsidP="0026452D">
      <w:pPr>
        <w:pStyle w:val="SntesisAnaltica"/>
      </w:pPr>
      <w:r>
        <w:t>Vulneración de los derechos a la participación política y de acceso a los cargos públicos representativos: designación como alcalde de quien no formó parte de las listas electorales y que fue designado concejal cubriendo una vacante en la corporación municipal. Voto particular.</w:t>
      </w:r>
    </w:p>
    <w:p w:rsidR="0026452D" w:rsidRDefault="0026452D" w:rsidP="0026452D">
      <w:pPr>
        <w:pStyle w:val="SntesisAnaltica"/>
      </w:pPr>
    </w:p>
    <w:p w:rsidR="0026452D" w:rsidRDefault="0026452D" w:rsidP="0026452D">
      <w:pPr>
        <w:pStyle w:val="Extracto"/>
      </w:pPr>
      <w:r>
        <w:t>1.</w:t>
      </w:r>
      <w:r>
        <w:tab/>
        <w:t>La correcta interpretación del art. 196 LOREG a la luz del contenido constitucional del art. 23.1 CE exige determinar que sólo los concejales que formaban parte de la lista electoral podrán llegar a ser cabeza de lista, por renuncia de los demás, no pudiendo adquirir nunca esta condición los concejales que han accedido por la vía excepcional del art. 182.2 LOREG [FJ 8].</w:t>
      </w:r>
    </w:p>
    <w:p w:rsidR="0026452D" w:rsidRDefault="0026452D" w:rsidP="0026452D">
      <w:pPr>
        <w:pStyle w:val="Extracto"/>
      </w:pPr>
    </w:p>
    <w:p w:rsidR="0026452D" w:rsidRDefault="0026452D" w:rsidP="0026452D">
      <w:pPr>
        <w:pStyle w:val="Extracto"/>
      </w:pPr>
      <w:r>
        <w:t>2.</w:t>
      </w:r>
      <w:r>
        <w:tab/>
        <w:t xml:space="preserve">Los requisitos personales del candidato en el caso de la vacante en la alcaldía, desde el momento en que se admite la renuncia de quienes le precedían en la lista electoral, encuentra un límite expreso en la previa integración en la lista, pues, en otro caso, se estaría alterando gravemente la voluntad del cuerpo electoral y viciando la relación representativa entre el conjunto de los ciudadanos y los órganos representativos, relación ésta cuyo correcto establecimiento es capital para la existencia y funcionamiento del Estado democrático que consagra el art.1.1 CE (SSTC 24/1990, 225/1998; STEDH </w:t>
      </w:r>
      <w:r w:rsidRPr="0026452D">
        <w:rPr>
          <w:i/>
        </w:rPr>
        <w:t>caso Matthews</w:t>
      </w:r>
      <w:r>
        <w:t>, de 18 de febrero de 1999) [FJ 7].</w:t>
      </w:r>
    </w:p>
    <w:p w:rsidR="0026452D" w:rsidRDefault="0026452D" w:rsidP="0026452D">
      <w:pPr>
        <w:pStyle w:val="Extracto"/>
      </w:pPr>
    </w:p>
    <w:p w:rsidR="0026452D" w:rsidRDefault="0026452D" w:rsidP="0026452D">
      <w:pPr>
        <w:pStyle w:val="Extracto"/>
      </w:pPr>
      <w:r>
        <w:t>3.</w:t>
      </w:r>
      <w:r>
        <w:tab/>
        <w:t>La posibilidad de acceso al cargo de concejal, en los supuestos de vacantes, de un ciudadano que no se integró en la lista para participar en la elección no es reconocida en el caso de la elección de alcalde, al ser insuficiente desde el punto de vista constitucional y al amparo del art. 23.1 CE la mera integración en el grupo municipal, pues la condición de cabeza de lista lo ha de ser en el proceso electoral y en directa conexión con la voluntad popular, asegurando la plena representación democrática a quien ha de detentar el gobierno y la administración municipal [FJ 6].</w:t>
      </w:r>
    </w:p>
    <w:p w:rsidR="0026452D" w:rsidRDefault="0026452D" w:rsidP="0026452D">
      <w:pPr>
        <w:pStyle w:val="Extracto"/>
      </w:pPr>
    </w:p>
    <w:p w:rsidR="0026452D" w:rsidRDefault="0026452D" w:rsidP="0026452D">
      <w:pPr>
        <w:pStyle w:val="Extracto"/>
      </w:pPr>
      <w:r>
        <w:t>4.</w:t>
      </w:r>
      <w:r>
        <w:tab/>
        <w:t xml:space="preserve">Es inequívoco que, para el caso de elecciones de alcaldes, la elección de los ciudadanos sólo puede recaer sobre personas determinadas y no sobre los partidos o asociaciones que los proponen al electorado, lo cual crea una vinculación inmediata entre electores y elegidos que no puede ser condicionada en sus elementos esenciales por la mediación de los partidos políticos por tratarse de un mandato libre, pues la concepción de que es del partido y no de los electores de quien se </w:t>
      </w:r>
      <w:r>
        <w:lastRenderedPageBreak/>
        <w:t>recibe el mandato representativo es inaceptable desde el punto de vista constitucional (STC 10/1983) [FJ 6].</w:t>
      </w:r>
    </w:p>
    <w:p w:rsidR="0026452D" w:rsidRDefault="0026452D" w:rsidP="0026452D">
      <w:pPr>
        <w:pStyle w:val="Extracto"/>
      </w:pPr>
    </w:p>
    <w:p w:rsidR="0026452D" w:rsidRDefault="0026452D" w:rsidP="0026452D">
      <w:pPr>
        <w:pStyle w:val="Extracto"/>
      </w:pPr>
      <w:r>
        <w:t>5.</w:t>
      </w:r>
      <w:r>
        <w:tab/>
        <w:t xml:space="preserve">La exigencia legal de que los concejales que sean proclamados candidatos a alcalde encabecen sus correspondientes listas electorales permite identificar un plus de representatividad que conecta con el marco constitucional de la autonomía local, profundamente enraizada en el principio democrático </w:t>
      </w:r>
      <w:r w:rsidRPr="0026452D">
        <w:rPr>
          <w:i/>
        </w:rPr>
        <w:t>ex</w:t>
      </w:r>
      <w:r>
        <w:t xml:space="preserve"> art. 140 CE, vinculando la voluntad del cuerpo electoral expresada en las urnas con la candidatura a la alcaldía, exigencia que se mantiene en los casos que se produzca la vacante en la alcaldía en supuestos distintos a los de moción de censura o cuestión de confianza (STC 132/2012) [FJ 5].</w:t>
      </w:r>
    </w:p>
    <w:p w:rsidR="0026452D" w:rsidRDefault="0026452D" w:rsidP="0026452D">
      <w:pPr>
        <w:pStyle w:val="Extracto"/>
      </w:pPr>
    </w:p>
    <w:p w:rsidR="0026452D" w:rsidRDefault="0026452D" w:rsidP="0026452D">
      <w:pPr>
        <w:pStyle w:val="Extracto"/>
      </w:pPr>
      <w:r>
        <w:t>6.</w:t>
      </w:r>
      <w:r>
        <w:tab/>
        <w:t>Es indudable que la elección del alcalde-presidente de un Ayuntamiento entra en el ámbito del recurso contencioso-electoral, puesto que se trata de elección de un presidente de una corporación, en este caso mediante un procedimiento electoral de segundo grado, que se sujeta a las reglas imperativas establecidas en la LOREG, singularmente en los arts. 196 y 198 para el caso de la elección de alcalde por vacante derivada de la renuncia del anterior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electoral 2823-2013, promovido por Foro Asturias Ciudadanos, don José Luis Valdés Pérez, don Juan Carragal Martínez, don Antonio Landeta Álvarez-Valdez y don Francisco Javier Pérez Menéndez, representados por el Procurador de los Tribunales don Manuel Lanchares Perlado y asistidos por el Abogado don Jorge Álvarez González, contra la Sentencia del Tribunal Superior de Justicia de Asturias de 6 de mayo de 2013, dictada en recurso contencioso-electoral número 236-2013, desestimatoria del recurso interpuesto contra el acuerdo del Pleno del Ayuntamiento de Cudillero de fecha 27 de marzo de 2013. Han intervenido como parte codemandada el Partido Socialista Obrero Español y don Ignacio Fernández Diez, representados por el Procurador de los Tribunales don Roberto Granizo Palomeque y asistidos del Letrado don Javier Nuñez Seoane y ha intervenido el Ministerio Fiscal. Ha sido Ponente el Magistrado don Juan José González Rivas, quien expresa el parecer del Tribunal.</w:t>
      </w:r>
    </w:p>
    <w:p w:rsidR="0026452D" w:rsidRDefault="0026452D" w:rsidP="0026452D">
      <w:pPr>
        <w:pStyle w:val="TextoNormal"/>
      </w:pPr>
    </w:p>
    <w:p w:rsidR="0026452D" w:rsidRDefault="0026452D" w:rsidP="0026452D">
      <w:pPr>
        <w:pStyle w:val="TextoNormalNegritaCentrado"/>
        <w:keepNext/>
      </w:pPr>
      <w:r>
        <w:lastRenderedPageBreak/>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10 de mayo de 2013, el Procurador de los Tribunales don Manuel Lanchares Perlado, en nombre y representación de Foro Asturias Ciudadanos, de don José Luis Valdés Pérez, de don Juan Carragal Martínez, de don Antonio Landeta Álvarez-Valdez y de don Francisco Javier Pérez Menéndez, y bajo la dirección del Abogado don Jorge Álvarez González, interpuso recurso de amparo electoral contra las resoluciones referidas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que se fundamenta la demanda de amparo son, sucintamente expuestos, los siguientes:</w:t>
      </w:r>
    </w:p>
    <w:p w:rsidR="0026452D" w:rsidRDefault="0026452D" w:rsidP="0026452D">
      <w:pPr>
        <w:pStyle w:val="TextoNormal"/>
      </w:pPr>
    </w:p>
    <w:p w:rsidR="0026452D" w:rsidRDefault="0026452D" w:rsidP="0026452D">
      <w:pPr>
        <w:pStyle w:val="TextoNormal"/>
      </w:pPr>
      <w:r>
        <w:t>a) El día 11 de enero de 2013, don Gabriel López Fernández, alcalde de Cudillero, presentó su renuncia al cargo de alcalde así como a su acta de concejal ante el Pleno del Ayuntamiento, en sesión extraordinaria de la misma fecha.</w:t>
      </w:r>
    </w:p>
    <w:p w:rsidR="0026452D" w:rsidRDefault="0026452D" w:rsidP="0026452D">
      <w:pPr>
        <w:pStyle w:val="TextoNormal"/>
      </w:pPr>
    </w:p>
    <w:p w:rsidR="0026452D" w:rsidRDefault="0026452D" w:rsidP="0026452D">
      <w:pPr>
        <w:pStyle w:val="TextoNormal"/>
      </w:pPr>
      <w:r>
        <w:t>b) Al mismo tiempo, los siguientes candidatos y suplentes de la misma lista por la que se había presentado el alcalde, formularon su renuncia anticipada a cubrir la vacante de concejal, por lo que la ejecutiva local del Partido Socialista Obrero Español (PSOE) propuso la designación de don Ignacio Fernández Díez.</w:t>
      </w:r>
    </w:p>
    <w:p w:rsidR="0026452D" w:rsidRDefault="0026452D" w:rsidP="0026452D">
      <w:pPr>
        <w:pStyle w:val="TextoNormal"/>
      </w:pPr>
    </w:p>
    <w:p w:rsidR="0026452D" w:rsidRDefault="0026452D" w:rsidP="0026452D">
      <w:pPr>
        <w:pStyle w:val="TextoNormal"/>
      </w:pPr>
      <w:r>
        <w:t>Según consta del examen de las actuaciones, las renuncias fueron efectuadas del modo siguiente:</w:t>
      </w:r>
    </w:p>
    <w:p w:rsidR="0026452D" w:rsidRDefault="0026452D" w:rsidP="0026452D">
      <w:pPr>
        <w:pStyle w:val="TextoNormal"/>
      </w:pPr>
    </w:p>
    <w:p w:rsidR="0026452D" w:rsidRDefault="0026452D" w:rsidP="0026452D">
      <w:pPr>
        <w:pStyle w:val="TextoNormal"/>
      </w:pPr>
      <w:r>
        <w:t>En el caso del anterior alcalde don Gabriel López Fernández, con fecha 28 de diciembre de 2012 consta la renuncia “por motivos de índole personal y familiar”; en el supuesto de don Pablo Fernández Fernández la renuncia como número tres de los suplentes se produce el 9 de enero de 2013 “dado que está incurso en una causa de incompatibilidad al ser empleado municipal en el Departamento de Obras y Servicios”; en el caso de doña Isabel María Suarez Álvarez, en fecha 9 de enero de 2013, la renuncia en el puesto número dos de los suplentes “por motivos personales”; en el supuesto de don Ignacio Garay Fernández en escrito de 8 de enero de 2013, al ocupar el puesto número uno de los suplentes por “motivos personales”; doña María Yolanda Nova Sanmartín en el puesto número trece, con fecha 8 de enero de 2013, por “incompatibilidad” al estar “contratada en el servicio de limpieza del Ayuntamiento”. También consta con fecha 10 de enero de 2013 la declaración jurada de don Ignacio Fernández Díez de “no haber sido candidato o suplente en la lista electoral presentada por el PSOE en el municipio de Cudillero y haber renunciado al cargo” y constan en un modelo sin justificación de fecha 10 de enero de 2013 las renuncias de doña Verónica Vior Martínez, doña Victoria López San Román, doña Olga Fernández Aguiar, doña Nuria Álvarez García, don Luis Fernández Garay y doña Vanesa Menéndez Riesgo.</w:t>
      </w:r>
    </w:p>
    <w:p w:rsidR="0026452D" w:rsidRDefault="0026452D" w:rsidP="0026452D">
      <w:pPr>
        <w:pStyle w:val="TextoNormal"/>
      </w:pPr>
    </w:p>
    <w:p w:rsidR="0026452D" w:rsidRDefault="0026452D" w:rsidP="0026452D">
      <w:pPr>
        <w:pStyle w:val="TextoNormal"/>
      </w:pPr>
      <w:r>
        <w:t>c) El 15 de enero de 2013 la Junta Electoral Central dictó resolución anunciando la propuesta de designación como concejal del señor Fernández Díez, frente a la cual se formularon alegaciones por los representantes de Foro Asturias Ciudadanos, que fueron desestimadas por acuerdo de la Junta Electoral Central de fecha 6 de febrero de 2013.</w:t>
      </w:r>
    </w:p>
    <w:p w:rsidR="0026452D" w:rsidRDefault="0026452D" w:rsidP="0026452D">
      <w:pPr>
        <w:pStyle w:val="TextoNormal"/>
      </w:pPr>
    </w:p>
    <w:p w:rsidR="0026452D" w:rsidRDefault="0026452D" w:rsidP="0026452D">
      <w:pPr>
        <w:pStyle w:val="TextoNormal"/>
      </w:pPr>
      <w:r>
        <w:lastRenderedPageBreak/>
        <w:t>d) Frente a dicho acuerdo de la Junta Electoral Central se interpuso recurso contencioso-electoral por los ahora demandantes de amparo que fue desestimado por Sentencia de la Sala de lo Contencioso-Administrativo del Tribunal Superior de Justicia de Asturias de fecha 18 de marzo de 2013.</w:t>
      </w:r>
    </w:p>
    <w:p w:rsidR="0026452D" w:rsidRDefault="0026452D" w:rsidP="0026452D">
      <w:pPr>
        <w:pStyle w:val="TextoNormal"/>
      </w:pPr>
    </w:p>
    <w:p w:rsidR="0026452D" w:rsidRDefault="0026452D" w:rsidP="0026452D">
      <w:pPr>
        <w:pStyle w:val="TextoNormal"/>
      </w:pPr>
      <w:r>
        <w:t>e) En fecha 27 de marzo de 2013 se celebró Pleno extraordinario del Ayuntamiento de Cudillero para elección del alcalde. Tras haber renunciado anticipadamente a la candidatura a la Alcaldía todos los demás miembros de la lista del PSOE anteriores al señor Fernández Díez, fue elegido éste y proclamado alcalde por ocho votos, habiendo obtenido tres votos el representante del Partido Popular y dos votos el representante de Foro Asturias Ciudadanos.</w:t>
      </w:r>
    </w:p>
    <w:p w:rsidR="0026452D" w:rsidRDefault="0026452D" w:rsidP="0026452D">
      <w:pPr>
        <w:pStyle w:val="TextoNormal"/>
      </w:pPr>
    </w:p>
    <w:p w:rsidR="0026452D" w:rsidRDefault="0026452D" w:rsidP="0026452D">
      <w:pPr>
        <w:pStyle w:val="TextoNormal"/>
      </w:pPr>
      <w:r>
        <w:t>f) Frente a esta resolución los demandantes de amparo interpusieron recurso contencioso-electoral ante la Sala de lo Contencioso-Administrativo del Tribunal Superior de Justicia de Asturias que fue desestimado por Sentencia de fecha 6 de mayo de 2013.</w:t>
      </w:r>
    </w:p>
    <w:p w:rsidR="0026452D" w:rsidRDefault="0026452D" w:rsidP="0026452D">
      <w:pPr>
        <w:pStyle w:val="TextoNormal"/>
      </w:pPr>
    </w:p>
    <w:p w:rsidR="0026452D" w:rsidRDefault="0026452D" w:rsidP="0026452D">
      <w:pPr>
        <w:pStyle w:val="TextoNormal"/>
      </w:pPr>
      <w:r w:rsidRPr="0026452D">
        <w:rPr>
          <w:rStyle w:val="NumeroAFNegritaCaracter"/>
        </w:rPr>
        <w:t>3</w:t>
      </w:r>
      <w:r>
        <w:t>. En la demanda de amparo se invoca la vulneración del derecho a acceder en condiciones de igualdad a los cargos y funciones públicos (art. 23.2 CE). A tal efecto, se alega la vulneración en su vertiente de derecho a acceder en condiciones de igualdad a las funciones y cargos públicos con los requisitos que señalen las leyes, en tanto que no se realiza una correcta interpretación de los requisitos establecidos en los arts. 196 y 198 de la Ley Orgánica del régimen electoral general (LOREG) para poder ser candidato a la alcaldía, con infracción de los principios más elementales del sistema democrático que han sido recogidos reiteradamente por la doctrina constitucional en materia de participación política como derecho fundamental emanado del art. 23.1 CE. La vulneración alcanza a los dos concejales recurrentes del Ayuntamiento de Cudillero y al partido Foro Asturias Ciudadanos.</w:t>
      </w:r>
    </w:p>
    <w:p w:rsidR="0026452D" w:rsidRDefault="0026452D" w:rsidP="0026452D">
      <w:pPr>
        <w:pStyle w:val="TextoNormal"/>
      </w:pPr>
    </w:p>
    <w:p w:rsidR="0026452D" w:rsidRDefault="0026452D" w:rsidP="0026452D">
      <w:pPr>
        <w:pStyle w:val="TextoNormal"/>
      </w:pPr>
      <w:r>
        <w:t>En el escrito de demanda, también se aduce que tanto el art. 196 como el art. 198 LOREG hacen una expresa referencia a la lista electoral, concepto distinto al de grupo municipal, de manera que va contra la lógica de nuestro sistema democrático que un concejal que no ha concurrido a las elecciones en el seno de una lista de candidatos pueda ser proclamado alcalde, lo cual constituye una interpretación contraria al art. 23.2 CE.</w:t>
      </w:r>
    </w:p>
    <w:p w:rsidR="0026452D" w:rsidRDefault="0026452D" w:rsidP="0026452D">
      <w:pPr>
        <w:pStyle w:val="TextoNormal"/>
      </w:pPr>
    </w:p>
    <w:p w:rsidR="0026452D" w:rsidRDefault="0026452D" w:rsidP="0026452D">
      <w:pPr>
        <w:pStyle w:val="TextoNormal"/>
      </w:pPr>
      <w:r>
        <w:t>Para los recurrentes, el acuerdo del Pleno y la Sentencia impugnada lesionan el citado derecho fundamental, puesto que el señor Fernández Díez no formó parte de la lista de candidatos del partido político al que pertenece, ni por tanto puede ser considerado como cabeza de una lista a la cual no pertenecía, habiendo accedido al cargo de concejal por designación de su partido, conforme a lo previsto en el art. 182.2 LOREG.</w:t>
      </w:r>
    </w:p>
    <w:p w:rsidR="0026452D" w:rsidRDefault="0026452D" w:rsidP="0026452D">
      <w:pPr>
        <w:pStyle w:val="TextoNormal"/>
      </w:pPr>
    </w:p>
    <w:p w:rsidR="0026452D" w:rsidRDefault="0026452D" w:rsidP="0026452D">
      <w:pPr>
        <w:pStyle w:val="TextoNormal"/>
      </w:pPr>
      <w:r>
        <w:t>En apoyo de su argumentación, los demandantes citan las SSTC 10/1983, de 21 de febrero; 167/1991, de 19 de julio; 31/1992, de 26 de enero, y 185/1993, de 31 de mayo, de acuerdo a las cuales el señor Fernández Díez tendría las funciones y atribuciones que legalmente le corresponderían, excepto la de encabezar una lista electoral a la que no pertenece, sin perjuicio de su derecho a incorporarse al grupo político.</w:t>
      </w:r>
    </w:p>
    <w:p w:rsidR="0026452D" w:rsidRDefault="0026452D" w:rsidP="0026452D">
      <w:pPr>
        <w:pStyle w:val="TextoNormal"/>
      </w:pPr>
    </w:p>
    <w:p w:rsidR="0026452D" w:rsidRDefault="0026452D" w:rsidP="0026452D">
      <w:pPr>
        <w:pStyle w:val="TextoNormal"/>
      </w:pPr>
      <w:r>
        <w:t xml:space="preserve">Finalmente, por los recurrentes se aduce que la STC 103/2013, de 25 de abril, y el Auto de fecha 8 de mayo de 2013, aclaratorio de la citada Sentencia, expresan que los gobiernos </w:t>
      </w:r>
      <w:r>
        <w:lastRenderedPageBreak/>
        <w:t>municipales sólo podrán estar conformados por personas que hayan concurrido a unas elecciones en una lista electoral, de manera que admitir que un concejal no electo pueda ser elegido y nombrado alcalde pugna con esta doctrina y vulnera el art. 23.2 CE.</w:t>
      </w:r>
    </w:p>
    <w:p w:rsidR="0026452D" w:rsidRDefault="0026452D" w:rsidP="0026452D">
      <w:pPr>
        <w:pStyle w:val="TextoNormal"/>
      </w:pPr>
    </w:p>
    <w:p w:rsidR="0026452D" w:rsidRDefault="0026452D" w:rsidP="0026452D">
      <w:pPr>
        <w:pStyle w:val="TextoNormal"/>
      </w:pPr>
      <w:r>
        <w:t>Concluye el escrito de demanda solicitando de este Tribunal que, tras los trámites oportunos, dicte Sentencia en la que se otorgue el amparo y se declare la nulidad de la Sentencia de la Sala de lo Contencioso-Administrativo del Tribunal Superior de Justicia de Asturias de 6 de mayo de 2013.</w:t>
      </w:r>
    </w:p>
    <w:p w:rsidR="0026452D" w:rsidRDefault="0026452D" w:rsidP="0026452D">
      <w:pPr>
        <w:pStyle w:val="TextoNormal"/>
      </w:pPr>
    </w:p>
    <w:p w:rsidR="0026452D" w:rsidRDefault="0026452D" w:rsidP="0026452D">
      <w:pPr>
        <w:pStyle w:val="TextoNormal"/>
      </w:pPr>
      <w:r w:rsidRPr="0026452D">
        <w:rPr>
          <w:rStyle w:val="NumeroAFNegritaCaracter"/>
        </w:rPr>
        <w:t>4</w:t>
      </w:r>
      <w:r>
        <w:t>. La Sala Primera del Tribunal Constitucional, por providencia de 14 de mayo de 2013, acordó admitir la demanda de amparo y recabar de la Sala de lo Contencioso-Administrativo del Tribunal Superior de Justicia de Asturias el envío de las actuaciones correspondientes, incluidos el expediente electoral y de conformidad con el acuerdo del Pleno de este Tribunal de 20 de enero de 2000, el previo emplazamiento a las partes, excepto al demandante de amparo, para que en el plazo de tres días pudieran personarse ante este Tribunal, formulando las alegaciones que estimasen pertinentes.</w:t>
      </w:r>
    </w:p>
    <w:p w:rsidR="0026452D" w:rsidRDefault="0026452D" w:rsidP="0026452D">
      <w:pPr>
        <w:pStyle w:val="TextoNormal"/>
      </w:pPr>
    </w:p>
    <w:p w:rsidR="0026452D" w:rsidRDefault="0026452D" w:rsidP="0026452D">
      <w:pPr>
        <w:pStyle w:val="TextoNormal"/>
      </w:pPr>
      <w:r>
        <w:t>También se dio traslado para formular alegaciones por el Ministerio Fiscal en plazo de cinco días.</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en fecha 17 de mayo de 2013 se personó en el proceso el Procurador de los Tribunales don Roberto Granizo Palomeque, en nombre y representación del Partido Socialista Obrero Español y de don Ignacio Fernández Díez, formulando las alegaciones que, a continuación, se extractan:</w:t>
      </w:r>
    </w:p>
    <w:p w:rsidR="0026452D" w:rsidRDefault="0026452D" w:rsidP="0026452D">
      <w:pPr>
        <w:pStyle w:val="TextoNormal"/>
      </w:pPr>
    </w:p>
    <w:p w:rsidR="0026452D" w:rsidRDefault="0026452D" w:rsidP="0026452D">
      <w:pPr>
        <w:pStyle w:val="TextoNormal"/>
      </w:pPr>
      <w:r>
        <w:t>En primer lugar, se alega la inadmisibilidad del recurso por carencia de contenido propio de amparo en materia electoral y por tratarse de una cuestión de legalidad ordinaria. El art. 109 LOREG sólo admite el procedimiento electoral para impugnaciones fundadas en la infracción de la normativa electoral aplicable siendo que, en este caso, no se alega ninguna vulneración del régimen electoral, más allá de una retórica invocación del art. 196 LOREG. Asimismo, se aduce la manifiesta carencia de contenido o trascendencia constitucional del recurso.</w:t>
      </w:r>
    </w:p>
    <w:p w:rsidR="0026452D" w:rsidRDefault="0026452D" w:rsidP="0026452D">
      <w:pPr>
        <w:pStyle w:val="TextoNormal"/>
      </w:pPr>
    </w:p>
    <w:p w:rsidR="0026452D" w:rsidRDefault="0026452D" w:rsidP="0026452D">
      <w:pPr>
        <w:pStyle w:val="TextoNormal"/>
      </w:pPr>
      <w:r>
        <w:t>En cuanto al fondo, el acuerdo municipal en modo alguno vulnera el art. 23.2 CE. En este caso, se trata del derecho de acceso a un cargo representativo de segundo grado, alcalde de una corporación local, que es elegido por los propios concejales, concurriendo en el elegido todos los requisitos y condiciones legalmente previstos para ello, al haber renunciado los concejales de la lista, por lo que hubo de considerarse al Sr. Fernández Díez como cabeza de lista al que se refieren los arts. 196 y 198 LOREG, y siendo proclamado alcalde electo por el pleno de la corporación, al haber obtenido la mayoría absoluta de los votos.</w:t>
      </w:r>
    </w:p>
    <w:p w:rsidR="0026452D" w:rsidRDefault="0026452D" w:rsidP="0026452D">
      <w:pPr>
        <w:pStyle w:val="TextoNormal"/>
      </w:pPr>
    </w:p>
    <w:p w:rsidR="0026452D" w:rsidRDefault="0026452D" w:rsidP="0026452D">
      <w:pPr>
        <w:pStyle w:val="TextoNormal"/>
      </w:pPr>
      <w:r>
        <w:t>El art. 196 LOREG no impide que los concejales que han pasado a integrar las listas conforme al art. 182.2 sean candidatos a alcalde, y la Sentencia del Tribunal Superior de Justicia de Asturias de 18 de marzo de 2013 ya decidió esta cuestión, por resolución firme, no pudiendo cuestionarse en este proceso de amparo la constitucionalidad del procedimiento seguido por el elegido para acceder al cargo de concejal.</w:t>
      </w:r>
    </w:p>
    <w:p w:rsidR="0026452D" w:rsidRDefault="0026452D" w:rsidP="0026452D">
      <w:pPr>
        <w:pStyle w:val="TextoNormal"/>
      </w:pPr>
    </w:p>
    <w:p w:rsidR="0026452D" w:rsidRDefault="0026452D" w:rsidP="0026452D">
      <w:pPr>
        <w:pStyle w:val="TextoNormal"/>
      </w:pPr>
      <w:r>
        <w:lastRenderedPageBreak/>
        <w:t>La doctrina del Tribunal Constitucional expresa que corresponde a los grupos políticos municipales proponer candidatos a alcalde, según se recoge en la STC 185/1993, de 31 de mayo, precisamente como trasunto o traducción orgánica de las listas electorales.</w:t>
      </w:r>
    </w:p>
    <w:p w:rsidR="0026452D" w:rsidRDefault="0026452D" w:rsidP="0026452D">
      <w:pPr>
        <w:pStyle w:val="TextoNormal"/>
      </w:pPr>
    </w:p>
    <w:p w:rsidR="0026452D" w:rsidRDefault="0026452D" w:rsidP="0026452D">
      <w:pPr>
        <w:pStyle w:val="TextoNormal"/>
      </w:pPr>
      <w:r>
        <w:t>Finalmente, en el escrito de oposición al recurso, se alega que no se ha vulnerado el art. 23.2 CE puesto que el concejal recurrente se postuló como candidato a la alcaldía sin que obtuviera la mayoría necesaria para salir elegido y que no es de aplicación la doctrina de la STC 103/2013, de 25 de abril, al caso de autos.</w:t>
      </w:r>
    </w:p>
    <w:p w:rsidR="0026452D" w:rsidRDefault="0026452D" w:rsidP="0026452D">
      <w:pPr>
        <w:pStyle w:val="TextoNormal"/>
      </w:pPr>
    </w:p>
    <w:p w:rsidR="0026452D" w:rsidRDefault="0026452D" w:rsidP="0026452D">
      <w:pPr>
        <w:pStyle w:val="TextoNormal"/>
      </w:pPr>
      <w:r>
        <w:t>La representación procesal del PSOE y del Sr. Fernández Díez concluye su escrito suplicando del Tribunal Constitucional que dicte Sentencia declarando la inadmisibilidad del recurso de amparo o, subsidiariamente, denegando el amparo solicitado.</w:t>
      </w:r>
    </w:p>
    <w:p w:rsidR="0026452D" w:rsidRDefault="0026452D" w:rsidP="0026452D">
      <w:pPr>
        <w:pStyle w:val="TextoNormal"/>
      </w:pPr>
    </w:p>
    <w:p w:rsidR="0026452D" w:rsidRDefault="0026452D" w:rsidP="0026452D">
      <w:pPr>
        <w:pStyle w:val="TextoNormal"/>
      </w:pPr>
      <w:r w:rsidRPr="0026452D">
        <w:rPr>
          <w:rStyle w:val="NumeroAFNegritaCaracter"/>
        </w:rPr>
        <w:t>6</w:t>
      </w:r>
      <w:r>
        <w:t>. El Ministerio Fiscal, mediante escrito registrado en fecha 17 de mayo de 2013, con base en la argumentación que a continuación se resume, interesó la estimación de la demanda de amparo y, en consecuencia, la anulación de la Sentencia recurrida.</w:t>
      </w:r>
    </w:p>
    <w:p w:rsidR="0026452D" w:rsidRDefault="0026452D" w:rsidP="0026452D">
      <w:pPr>
        <w:pStyle w:val="TextoNormal"/>
      </w:pPr>
    </w:p>
    <w:p w:rsidR="0026452D" w:rsidRDefault="0026452D" w:rsidP="0026452D">
      <w:pPr>
        <w:pStyle w:val="TextoNormal"/>
      </w:pPr>
      <w:r>
        <w:t>Alega el Fiscal que el recurso de amparo electoral se configura como proceso en que se garantizan los derechos subjetivos de los recurrentes, fundamentalmente el de acceder en condiciones de igualdad a las funciones y cargos públicos con los requisitos que señalen las leyes ( art. 23.2 CE) y su finalidad última es determinar con un razonable margen de seguridad el verdadero resultado electoral, preservando la pureza del procedimiento, con respeto a la integridad del contenido de los derechos fundamentales del art. 23, sufragio activo y pasivo (STC 168/1991, FJ 2).</w:t>
      </w:r>
    </w:p>
    <w:p w:rsidR="0026452D" w:rsidRDefault="0026452D" w:rsidP="0026452D">
      <w:pPr>
        <w:pStyle w:val="TextoNormal"/>
      </w:pPr>
    </w:p>
    <w:p w:rsidR="0026452D" w:rsidRDefault="0026452D" w:rsidP="0026452D">
      <w:pPr>
        <w:pStyle w:val="TextoNormal"/>
      </w:pPr>
      <w:r>
        <w:t>Las claves de resolución del tema planteado, a juicio del Ministerio Fiscal, deben partir del hecho incontrovertido que el Sr. Fernández Díez no integró ni como titular ni como suplente las listas de la candidatura del PSOE al municipio de Cudillero ni, por consiguiente, participó en el proceso electoral de elecciones municipales de 2011 y que su acceso al cargo de concejal se produjo por el juego de una serie de renuncias por parte de integrantes titulares y suplentes de la citada candidatura por aplicación del art. 182.2 LOREG, lo cual fue objeto de discusión en su momento, pero no afecta a la cuestión crucial de este recurso que es si un concejal que no ha integrado en ningún momento ni en ninguna condición la lista electoral está habilitado para ser proclamado alcalde.</w:t>
      </w:r>
    </w:p>
    <w:p w:rsidR="0026452D" w:rsidRDefault="0026452D" w:rsidP="0026452D">
      <w:pPr>
        <w:pStyle w:val="TextoNormal"/>
      </w:pPr>
    </w:p>
    <w:p w:rsidR="0026452D" w:rsidRDefault="0026452D" w:rsidP="0026452D">
      <w:pPr>
        <w:pStyle w:val="TextoNormal"/>
      </w:pPr>
      <w:r>
        <w:t>Según el Ministerio Fiscal, el art. 198 LOREG en relación con el art. 196 y con el concepto de lista del art. 44.1 LOREG no permiten mantener la proclamación como alcalde de personas que no se hayan presentado a las elecciones.</w:t>
      </w:r>
    </w:p>
    <w:p w:rsidR="0026452D" w:rsidRDefault="0026452D" w:rsidP="0026452D">
      <w:pPr>
        <w:pStyle w:val="TextoNormal"/>
      </w:pPr>
    </w:p>
    <w:p w:rsidR="0026452D" w:rsidRDefault="0026452D" w:rsidP="0026452D">
      <w:pPr>
        <w:pStyle w:val="TextoNormal"/>
      </w:pPr>
      <w:r>
        <w:t>Finalmente alega que la voluntad del legislador y la letra y el espíritu de la norma van en la dirección de presuponer la participación en el proceso electoral del candidato proclamable alcalde y lo mismo se concluye de una interpretación sistemática de dichos preceptos, puesto que aparece claro que no existe una norma expresa que autorice a ser alcalde sin haber integrado previamente la lista electoral. Una interpretación constitucional del art. 23.2 CE es proclive al entendimiento de la base de acceso a la alcaldía previa integración en listas de candidatos sometidas a un proceso electoral en concreto, citando las SSTC 31/1993, de 26 de enero y la reciente STC 103/2013, de 25 de abril, así como el Auto aclaratorio de 8 de mayo de 2013, en apoyo de sus argumentos.</w:t>
      </w:r>
    </w:p>
    <w:p w:rsidR="0026452D" w:rsidRDefault="0026452D" w:rsidP="0026452D">
      <w:pPr>
        <w:pStyle w:val="TextoNormal"/>
      </w:pPr>
    </w:p>
    <w:p w:rsidR="0026452D" w:rsidRDefault="0026452D" w:rsidP="0026452D">
      <w:pPr>
        <w:pStyle w:val="TextoNormal"/>
      </w:pPr>
      <w:r>
        <w:t>El Ministerio Fiscal concluye interesando el otorgamiento del amparo solicitado por vulneración del derecho fundamental al sufragio pasivo en su vertiente de acceso a los cargos públicos en condiciones de igualdad y de acuerdo con lo establecido en las leyes, según el art. 23.2 CE, declarando la nulidad de la Sentencia y acuerdo del Pleno impugnados, y reestableciendo en su derecho a los recurrentes mediante la celebración de un nuevo Pleno en el que se proclamen como candidatos a quienes lo puedan ser de conformidad con las previsiones legales de la LOREG.</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amparo electoral se dirige contra la Sentencia de la Sala de lo Contencioso-Administrativo del Tribunal Superior de Justicia de Asturias número 518/2013, de 6 de mayo, que desestimó el recurso contencioso-electoral interpuesto contra el acuerdo del Pleno del Ayuntamiento de Cudillero (Asturias) de 27 de marzo de 2013, por el que se procedió a la elección y proclamación como alcalde de don Ignacio Fernández Díez.</w:t>
      </w:r>
    </w:p>
    <w:p w:rsidR="0026452D" w:rsidRDefault="0026452D" w:rsidP="0026452D">
      <w:pPr>
        <w:pStyle w:val="TextoNormal"/>
      </w:pPr>
    </w:p>
    <w:p w:rsidR="0026452D" w:rsidRDefault="0026452D" w:rsidP="0026452D">
      <w:pPr>
        <w:pStyle w:val="TextoNormal"/>
      </w:pPr>
      <w:r>
        <w:t>En la demanda de amparo electoral se alega la vulneración del contenido constitucional del art. 23 CE fundada, en síntesis, en que el alcalde elegido, Sr. Fernández Díez, no había concurrido en las elecciones municipales de 2011 en la lista electoral del Partido Socialista Obrero Español (PSOE) y que entró a formar parte del Ayuntamiento por propuesta del grupo municipal en sustitución del anterior alcalde y concejal, por renuncia de éste y por la vía del art. 182.2 de la Ley Orgánica del régimen electoral general (LOREG). Según se aduce, ello constituye una vulneración del contenido constitucional del art. 23.1 en cuanto al derecho a la participación política en las elecciones y del art. 23.2 CE, relativo al derecho fundamental a acceder en condiciones de igualdad a los cargos públicos, en la medida que se designa alcalde a una persona que no cumple con los requisitos legalmente establecidos.</w:t>
      </w:r>
    </w:p>
    <w:p w:rsidR="0026452D" w:rsidRDefault="0026452D" w:rsidP="0026452D">
      <w:pPr>
        <w:pStyle w:val="TextoNormal"/>
      </w:pPr>
    </w:p>
    <w:p w:rsidR="0026452D" w:rsidRDefault="0026452D" w:rsidP="0026452D">
      <w:pPr>
        <w:pStyle w:val="TextoNormal"/>
      </w:pPr>
      <w:r>
        <w:t>El Ministerio Fiscal interesa el otorgamiento del amparo, al entender que se ha producido la vulneración alegada por los demandantes. La parte codemandada opone, con carácter previo, la inadmisibilidad por inadecuación del procedimiento contencioso-electoral y por carencia de contenido constitucional del recurso; en cuanto al fondo, se alega que no se ha producido la vulneración alegada.</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al examen del fondo de la cuestión planteada, procede examinar los óbices de inadmisibilidad alegados por la parte oponente sobre la inadecuación del procedimiento contencioso-electoral para la resolución de esta controversia y sobre la falta de trascendencia constitucional del recurso.</w:t>
      </w:r>
    </w:p>
    <w:p w:rsidR="0026452D" w:rsidRDefault="0026452D" w:rsidP="0026452D">
      <w:pPr>
        <w:pStyle w:val="TextoNormal"/>
      </w:pPr>
    </w:p>
    <w:p w:rsidR="0026452D" w:rsidRDefault="0026452D" w:rsidP="0026452D">
      <w:pPr>
        <w:pStyle w:val="TextoNormal"/>
      </w:pPr>
      <w:r>
        <w:t>Al examinar el primero de los motivos alegados, debemos partir de lo dispuesto en el art. 109 LOREG que incide en la delimitación del ámbito objetivo del recurso de amparo electoral por la prescripción recogida en el art. 114.2 LOREG y que establece que pueden ser objeto de recurso contencioso electoral los acuerdos de las juntas electorales sobre proclamación de electos, así como la elección y proclamación de los presidentes de las corporaciones locales.</w:t>
      </w:r>
    </w:p>
    <w:p w:rsidR="0026452D" w:rsidRDefault="0026452D" w:rsidP="0026452D">
      <w:pPr>
        <w:pStyle w:val="TextoNormal"/>
      </w:pPr>
    </w:p>
    <w:p w:rsidR="0026452D" w:rsidRDefault="0026452D" w:rsidP="0026452D">
      <w:pPr>
        <w:pStyle w:val="TextoNormal"/>
      </w:pPr>
      <w:r>
        <w:lastRenderedPageBreak/>
        <w:t>De acuerdo con el tenor literal del precepto es indudable que la elección del alcalde-presidente de un Ayuntamiento entra en el ámbito del recurso contencioso-electoral, puesto que se trata de elección de un presidente de una corporación, en este caso mediante un procedimiento electoral de segundo grado, que se sujeta a las reglas imperativas establecidas en la Ley Orgánica del régimen electoral general, singularmente en los arts. 196 y 198 para el caso de la elección de alcalde por vacante derivada de la renuncia del anterior, al margen que no quepa pronunciamiento alguno de la Junta Electoral Central en relación a este concreto supuesto, precisamente por tratarse de un acuerdo municipal sobre proclamación de Alcalde, fuera del período electoral y como consecuencia de la obtención de la credencial de concejal otorgada al amparo del art. 182.2 LOREG, debidamente expedida por la Junta Electoral Central.</w:t>
      </w:r>
    </w:p>
    <w:p w:rsidR="0026452D" w:rsidRDefault="0026452D" w:rsidP="0026452D">
      <w:pPr>
        <w:pStyle w:val="TextoNormal"/>
      </w:pPr>
    </w:p>
    <w:p w:rsidR="0026452D" w:rsidRDefault="0026452D" w:rsidP="0026452D">
      <w:pPr>
        <w:pStyle w:val="TextoNormal"/>
      </w:pPr>
      <w:r>
        <w:t>En el ámbito de este recurso de amparo electoral, el Tribunal debe verificar si se ha respetado el contenido de los derechos fundamentales del art. 23 CE, en este caso examinando si la persona que es proclamada como alcalde reúne los requisitos exigidos por la ley para desempeñar el cargo público para el cual ha sido elegido y ello por medio de una interpretación de las normas electorales aplicables a la vista del contenido constitucional del art. 23.1 y 2 CE, que tienen como cauce específico el proceso contencioso-electoral aquí utilizado, lo que nos lleva a desestimar el primero de los óbices alegados.</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Respecto del segundo de los óbices alegados por la parte oponente en cuanto al contenido y especial trascendencia constitucional del recurso, debe subrayarse que los demandantes han cumplido la carga procesal establecida en el art. 49.1 </w:t>
      </w:r>
      <w:r w:rsidRPr="0026452D">
        <w:rPr>
          <w:i/>
        </w:rPr>
        <w:t>in fine</w:t>
      </w:r>
      <w:r>
        <w:t xml:space="preserve"> de la Ley Orgánica del Tribunal Constitucional (LOTC) al justificar la especial trascendencia constitucional del recurso en el hecho de que se trata de una cuestión constitucional novedosa, citando la reciente STC 103/2013, de 25 de abril, que resulta de aplicación a juicio de los recurrentes, si bien esta resolución no se pronunció sobre la cuestión esencial de este amparo, consistente en determinar si puede ser nombrado alcalde un concejal que no ha concurrido a las elecciones y en el hecho de que la cuestión trasciende del caso concreto, puesto que esta situación puede repetirse en cualquier ciudad, y que la controversia se refiere directamente a la presentación y proclamación de candidatos a alcalde.</w:t>
      </w:r>
    </w:p>
    <w:p w:rsidR="0026452D" w:rsidRDefault="0026452D" w:rsidP="0026452D">
      <w:pPr>
        <w:pStyle w:val="TextoNormal"/>
      </w:pPr>
    </w:p>
    <w:p w:rsidR="0026452D" w:rsidRDefault="0026452D" w:rsidP="0026452D">
      <w:pPr>
        <w:pStyle w:val="TextoNormal"/>
      </w:pPr>
      <w:r>
        <w:t>Por tanto, cabe entender que los demandantes de amparo conectan materialmente en su demanda la alegada lesión del contenido constitucional del art. 23 CE con diversos criterios que, conforme a lo ya expuesto en la STC 155/2009, de 25 de junio, FJ 2, dotarían de trascendencia al recurso, como son que el mismo plantea un problema o una faceta de un derecho fundamental susceptible de amparo sobre el que no hay doctrina del Tribunal Constitucional, lo cual pone de manifiesto asimismo el Ministerio Fiscal en su escrito de alegaciones, y que trasciende del caso en el ámbito del amparo electoral, teniendo ambos supuestos un claro encaje en los apartados a) y g) del fundamento jurídico 2 de la STC 155/2009, de 25 de junio, respectivamente.</w:t>
      </w:r>
    </w:p>
    <w:p w:rsidR="0026452D" w:rsidRDefault="0026452D" w:rsidP="0026452D">
      <w:pPr>
        <w:pStyle w:val="TextoNormal"/>
      </w:pPr>
    </w:p>
    <w:p w:rsidR="0026452D" w:rsidRDefault="0026452D" w:rsidP="0026452D">
      <w:pPr>
        <w:pStyle w:val="TextoNormal"/>
      </w:pPr>
      <w:r>
        <w:t xml:space="preserve">Estas razones fundamentan la especial trascendencia constitucional del recurso impuesta por el art. 49.1 </w:t>
      </w:r>
      <w:r w:rsidRPr="0026452D">
        <w:rPr>
          <w:i/>
        </w:rPr>
        <w:t>in fine</w:t>
      </w:r>
      <w:r>
        <w:t xml:space="preserve"> LOTC, en los términos en que dicha exigencia ha venido concretándose por este Tribunal en reiterados pronunciamientos (SSTC 155/2009, de 25 de junio, FJ 2, y 17/2011, de 28 de febrero, FJ 2, y, en el ámbito del amparo electoral, SSTC 168/2011, de 3 de noviembre, FJ 2, y 105/2012, de 11 de mayo, FJ 3).</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4</w:t>
      </w:r>
      <w:r>
        <w:t>. Desestimadas las excepciones de inadmisibilidad opuestas y entrando en el análisis del fondo, en la demanda se plantea como cuestión nuclear la posible vulneración del contenido constitucional del art. 23 CE por haberse elegido y proclamado alcalde al Sr. Fernández Díaz, quien no concurrió a las elecciones municipales de 2011 como integrante de la lista del PSOE en la localidad de Cudillero, accediendo al puesto de concejal tras la renuncia del anterior alcalde por la vía prevenida en el art. 182.2 LOREG.</w:t>
      </w:r>
    </w:p>
    <w:p w:rsidR="0026452D" w:rsidRDefault="0026452D" w:rsidP="0026452D">
      <w:pPr>
        <w:pStyle w:val="TextoNormal"/>
      </w:pPr>
    </w:p>
    <w:p w:rsidR="0026452D" w:rsidRDefault="0026452D" w:rsidP="0026452D">
      <w:pPr>
        <w:pStyle w:val="TextoNormal"/>
      </w:pPr>
      <w:r>
        <w:t>El derecho reconocido en el art. 23.2 CE de acceso en condiciones de igualdad a las funciones y cargos públicos es un derecho de configuración legal, del que son titulares los ciudadanos, primero como candidatos y posteriormente en el ejercicio del cargo (SSTC 10/1983, de 21 de febrero y 36/1990, de 1 de marzo) y para que la infracción de la legalidad pueda reputarse como lesión de tal precepto de la CE, a los efectos de la sustanciación de un recurso de amparo electoral, debe ser aquélla de carácter sustantivo que regule cuestiones que afecten directamente al contenido constitucional del mismo. Sobre este punto, la Ley Orgánica del régimen electoral general establece la necesaria capacidad jurídica para ser elector y elegible y el derecho de sufragio activo y pasivo, que son expresión capital de los derechos fundamentales de participación en los asuntos públicos por medio de representantes (art. 23.1 CE) y del acceso en condiciones de igualdad a los cargos públicos (art. 23.2 CE). En todo caso, el examen de la interpretación y aplicación de esa legalidad, a la que no es ajena la jurisdicción de este Tribunal, cuando regula el acceso a cargos públicos de naturaleza representativa, es decir cuando configura el derecho de sufragio pasivo (que no debe confundirse con un presunto derecho a ser candidato), no se debe ceñir únicamente a la salvaguardia de que esa interpretación o aplicación no sea discriminatoria, sino que también ha de velar por su eficacia real, tal como subraya la STC 144/1999, de 22 de julio, en su fundamento jurídico 4.</w:t>
      </w:r>
    </w:p>
    <w:p w:rsidR="0026452D" w:rsidRDefault="0026452D" w:rsidP="0026452D">
      <w:pPr>
        <w:pStyle w:val="TextoNormal"/>
      </w:pPr>
    </w:p>
    <w:p w:rsidR="0026452D" w:rsidRDefault="0026452D" w:rsidP="0026452D">
      <w:pPr>
        <w:pStyle w:val="TextoNormal"/>
      </w:pPr>
      <w:r w:rsidRPr="0026452D">
        <w:rPr>
          <w:rStyle w:val="NumeroAFNegritaCaracter"/>
        </w:rPr>
        <w:t>5</w:t>
      </w:r>
      <w:r>
        <w:t>. La configuración legal de los requisitos de sufragio pasivo para ser elegido alcalde en aquellos municipios de población superior a 250 habitantes se encuentra recogida en el art. 196 a) LOREG cuando establece que “pueden ser candidatos todos los concejales que encabecen sus correspondientes listas”.</w:t>
      </w:r>
    </w:p>
    <w:p w:rsidR="0026452D" w:rsidRDefault="0026452D" w:rsidP="0026452D">
      <w:pPr>
        <w:pStyle w:val="TextoNormal"/>
      </w:pPr>
    </w:p>
    <w:p w:rsidR="0026452D" w:rsidRDefault="0026452D" w:rsidP="0026452D">
      <w:pPr>
        <w:pStyle w:val="TextoNormal"/>
      </w:pPr>
      <w:r>
        <w:t>Este requisito legal permite identificar la exigencia de un plus de representatividad en la persona que presenta su candidatura a alcalde, lo cual conecta con el marco constitucional de la autonomía local, profundamente enraizada en el principio democrático, que se plasma, de forma expresa, en el art. 140 CE con la regulación de la elección de concejales y alcalde, y en este sentido hemos afirmado que el carácter representativo de los órganos a los que corresponde la dirección política de los entes locales constituye un concepto inherente a la autonomía local (por todas, STC 132/2012, de 19 de junio, FJ 3).</w:t>
      </w:r>
    </w:p>
    <w:p w:rsidR="0026452D" w:rsidRDefault="0026452D" w:rsidP="0026452D">
      <w:pPr>
        <w:pStyle w:val="TextoNormal"/>
      </w:pPr>
    </w:p>
    <w:p w:rsidR="0026452D" w:rsidRDefault="0026452D" w:rsidP="0026452D">
      <w:pPr>
        <w:pStyle w:val="TextoNormal"/>
      </w:pPr>
      <w:r>
        <w:t>Este plus de legitimidad democrática está ínsito en los requisitos y los términos que fija la Ley Orgánica del régimen electoral general para la elección de alcalde, vinculando la voluntad del cuerpo electoral expresada en las urnas con la candidatura a la alcaldía al exigir que debe postularse como candidato el concejal que encabece la lista electoral.</w:t>
      </w:r>
    </w:p>
    <w:p w:rsidR="0026452D" w:rsidRDefault="0026452D" w:rsidP="0026452D">
      <w:pPr>
        <w:pStyle w:val="TextoNormal"/>
      </w:pPr>
    </w:p>
    <w:p w:rsidR="0026452D" w:rsidRDefault="0026452D" w:rsidP="0026452D">
      <w:pPr>
        <w:pStyle w:val="TextoNormal"/>
      </w:pPr>
      <w:r>
        <w:t xml:space="preserve">Esta misma exigencia se mantiene en los casos que se produzca la vacante en la alcaldía, estableciendo el art. 198 LOREG que, en supuestos distintos a los de moción de censura o cuestión de confianza, la vacante en la alcaldía se debe resolver conforme a lo previsto en el art. 196, considerándose a estos efectos que encabeza la lista en que figuraba el alcalde el </w:t>
      </w:r>
      <w:r>
        <w:lastRenderedPageBreak/>
        <w:t>siguiente de la misma, a no ser que renuncie a su candidatura. En consecuencia, la elección sucesiva de alcalde en el transcurso del mandato municipal sigue estando conectada con la voluntad de los electores expresada en el voto a una determinada lista, ordenada escalonadamente, excluyendo el miembro anterior de la lista a los posteriores, con la única excepción del caso de renuncia.</w:t>
      </w:r>
    </w:p>
    <w:p w:rsidR="0026452D" w:rsidRDefault="0026452D" w:rsidP="0026452D">
      <w:pPr>
        <w:pStyle w:val="TextoNormal"/>
      </w:pPr>
    </w:p>
    <w:p w:rsidR="0026452D" w:rsidRDefault="0026452D" w:rsidP="0026452D">
      <w:pPr>
        <w:pStyle w:val="TextoNormal"/>
      </w:pPr>
      <w:r w:rsidRPr="0026452D">
        <w:rPr>
          <w:rStyle w:val="NumeroAFNegritaCaracter"/>
        </w:rPr>
        <w:t>6</w:t>
      </w:r>
      <w:r>
        <w:t>. La relevancia constitucional de la conexión entre voluntad de los electores y elegido por intermediación del sistema de prelación en la lista electoral para el caso de elecciones de alcaldes ha sido puesta de manifiesto reiteradamente en nuestra doctrina, y así, como ya se indicara en la STC 10/1983, de 21 de febrero, FJ 3, de acuerdo con la Constitución (arts. 6, 23, 68, 69, 70 y 140) es inequívoco que la elección de los ciudadanos sólo puede recaer sobre personas determinadas y no sobre los partidos o asociaciones que los proponen al electorado, lo cual crea una vinculación inmediata entre electores y elegidos, que no puede ser condicionada en sus elementos esenciales por la mediación de los partidos políticos por tratarse de un mandato libre, pues la concepción de que es del partido y no de los electores de quien se recibe el mandato representativo es inaceptable desde el punto de vista constitucional.</w:t>
      </w:r>
    </w:p>
    <w:p w:rsidR="0026452D" w:rsidRDefault="0026452D" w:rsidP="0026452D">
      <w:pPr>
        <w:pStyle w:val="TextoNormal"/>
      </w:pPr>
    </w:p>
    <w:p w:rsidR="0026452D" w:rsidRDefault="0026452D" w:rsidP="0026452D">
      <w:pPr>
        <w:pStyle w:val="TextoNormal"/>
      </w:pPr>
      <w:r>
        <w:t>En el caso de la elección a alcalde, como se indicara en la STC 31/1993, de 26 de enero, FJ 3, la exigencia legal del requisito de que los concejales que sean proclamados candidatos a alcalde “encabecen sus correspondientes listas electorales” [art. 196 a) LOREG] es clara y supone una opción legislativa en favor de quienes concurren y ostenten la condición de cabeza de lista en perjuicio de los demás concejales que no pueden concurrir por esta vía a la elección, entre ellos, del alcalde, añadiendo que esta condición de cabeza de lista ha de conectarse a una determinada lista de candidatos en un determinado proceso electoral abierto, lista a la que se refiere el art. 44.1 LOREG.</w:t>
      </w:r>
    </w:p>
    <w:p w:rsidR="0026452D" w:rsidRDefault="0026452D" w:rsidP="0026452D">
      <w:pPr>
        <w:pStyle w:val="TextoNormal"/>
      </w:pPr>
    </w:p>
    <w:p w:rsidR="0026452D" w:rsidRDefault="0026452D" w:rsidP="0026452D">
      <w:pPr>
        <w:pStyle w:val="TextoNormal"/>
      </w:pPr>
      <w:r>
        <w:t>En los supuestos de vacantes producidas a lo largo del mandato municipal, este Tribunal ha afirmado que el protagonismo corresponde a los grupos municipales en los que orgánicamente se han traducido las listas, de tal modo que cada grupo municipal de los así formados debe tener la posibilidad de presentar un candidato a alcalde, si bien ello no puede desvirtuar la conexión entre electores y elegidos, que no puede ser interferida en sus elementos esenciales por la mediación o interposición de un grupo político (STC 185/1993, de 31 de mayo, FJ 5), máxime cuando en el caso allí contemplado se trataba de un supuesto de abandono, por propia voluntad, del grupo municipal y de quienes no formaron parte de la lista de un grupo político de un Ayuntamiento, que no podía ser considerado cabeza de lista a los efectos del art. 196 LOREG.</w:t>
      </w:r>
    </w:p>
    <w:p w:rsidR="0026452D" w:rsidRDefault="0026452D" w:rsidP="0026452D">
      <w:pPr>
        <w:pStyle w:val="TextoNormal"/>
      </w:pPr>
    </w:p>
    <w:p w:rsidR="0026452D" w:rsidRDefault="0026452D" w:rsidP="0026452D">
      <w:pPr>
        <w:pStyle w:val="TextoNormal"/>
      </w:pPr>
      <w:r>
        <w:t xml:space="preserve">Desde la estricta perspectiva constitucional, no puede entenderse que un concejal que no ha concurrido a la elección cumpla los requisitos establecidos en el art. 198 LOREG, que exige expresamente la inclusión en la lista electoral de quien se propone como candidato a alcalde, lo cual excluye a personas que no hubieren concurrido a las elecciones en las correspondientes candidaturas presentadas en su momento. Dicha interpretación resulta del tenor de los preceptos orgánicos rectores de la elección a alcalde (v.gr. arts. 196 y 198 LOREG), así como de nuestra doctrina, anteriormente expuesta, sobre la conexión entre la elección por sufragio universal de los concejales y, por derivación, del alcalde, con el derecho fundamental a acceder en condiciones de igualdad a los cargos públicos, que en este </w:t>
      </w:r>
      <w:r>
        <w:lastRenderedPageBreak/>
        <w:t>caso ha sido desvirtuado por la interferencia del grupo municipal que materialmente ha posibilitado, mediante una sucesión de renuncias individuales, que el candidato a alcalde lo haya sido quien no había integrado la lista que concurrió al proceso electoral.</w:t>
      </w:r>
    </w:p>
    <w:p w:rsidR="0026452D" w:rsidRDefault="0026452D" w:rsidP="0026452D">
      <w:pPr>
        <w:pStyle w:val="TextoNormal"/>
      </w:pPr>
    </w:p>
    <w:p w:rsidR="0026452D" w:rsidRDefault="0026452D" w:rsidP="0026452D">
      <w:pPr>
        <w:pStyle w:val="TextoNormal"/>
      </w:pPr>
      <w:r>
        <w:t>No cabe duda, como subraya el Fiscal, que en el concepto de lista (arts. 44, 182, 196 y 198 LOREG) se integren personas que no concurran a las elecciones en las correspondientes candidaturas aunque pertenezcan a un grupo municipal al que hayan accedido por la vía del art. 182.2 LOREG, pero esta vía singular que, para el cargo de concejal, permite su acceso a un ciudadano que no se integró en la lista para participar en la elección, no es reconocida en el caso de la elección de alcalde, al ser insuficiente desde el punto de vista constitucional y al amparo del art. 23.1 CE la mera integración en el grupo municipal, pues la condición de cabeza de lista lo ha de ser en el proceso electoral y en directa conexión con la voluntad popular, asegurando la plena representación democrática a quien ha de detentar el gobierno y la administración municipal.</w:t>
      </w:r>
    </w:p>
    <w:p w:rsidR="0026452D" w:rsidRDefault="0026452D" w:rsidP="0026452D">
      <w:pPr>
        <w:pStyle w:val="TextoNormal"/>
      </w:pPr>
    </w:p>
    <w:p w:rsidR="0026452D" w:rsidRDefault="0026452D" w:rsidP="0026452D">
      <w:pPr>
        <w:pStyle w:val="TextoNormal"/>
      </w:pPr>
      <w:r w:rsidRPr="0026452D">
        <w:rPr>
          <w:rStyle w:val="NumeroAFNegritaCaracter"/>
        </w:rPr>
        <w:t>7</w:t>
      </w:r>
      <w:r>
        <w:t>. En el caso objeto de este amparo electoral, el Sr. Fernández Díez accedió al cargo de concejal por la vía prevista en el art. 182.2 LOREG que establece que, si no quedasen posibles candidatos o suplentes a nombrar, las vacantes serán cubiertas por cualquier ciudadano mayor de edad que no esté incurso en causa de inelegibilidad designado por el partido, coalición, federación o agrupación de electores cuyos concejales hubiesen de ser sustituidos. Esta designación como concejal fue estimada conforme a Derecho por Sentencia firme del Tribunal Superior de Justicia de Asturias de fecha 18 de marzo de 2013. Por tanto, es incontrovertido que el Sr. Fernández Díez no integraba la lista de candidatos a la que se refiere el art. 44.1 LOREG y que no concurrió a las elecciones municipales celebradas en el año 2011, pues el acceso a la condición de candidato a alcalde sólo se produce tras sucesivas renuncias, en un primer momento, de los diferentes integrantes de la lista electoral del PSOE y sus suplentes, y, posteriormente, de los siete concejales del grupo municipal que habían concurrido a la lista electoral en el año 2011. En todo caso, no puede aceptarse la declaración de renuncia con efectos automáticos como establece la sentencia recurrida, pues ésta, en los términos de la STC 214/1998, de 11 de noviembre, sólo reconoce su efectividad en el momento en que el Pleno de la corporación toma conocimiento.</w:t>
      </w:r>
    </w:p>
    <w:p w:rsidR="0026452D" w:rsidRDefault="0026452D" w:rsidP="0026452D">
      <w:pPr>
        <w:pStyle w:val="TextoNormal"/>
      </w:pPr>
    </w:p>
    <w:p w:rsidR="0026452D" w:rsidRDefault="0026452D" w:rsidP="0026452D">
      <w:pPr>
        <w:pStyle w:val="TextoNormal"/>
      </w:pPr>
      <w:r>
        <w:t>La interpretación del alcance y contenido del derecho fundamental a acceder a los cargos públicos ha de hacerse considerando la Constitución como un todo en el que cada precepto encuentra su sentido pleno valorándolo en relación con los demás; es decir, de acuerdo con una interpretación sistemática. El plus de representatividad que se infiere del art. 140 CE para el gobierno municipal se traduce en una conexión recíproca, electores y elegible cabeza de lista, en relación a los requisitos para ser candidato a alcalde, conforme al art. 196 LOREG.</w:t>
      </w:r>
    </w:p>
    <w:p w:rsidR="0026452D" w:rsidRDefault="0026452D" w:rsidP="0026452D">
      <w:pPr>
        <w:pStyle w:val="TextoNormal"/>
      </w:pPr>
    </w:p>
    <w:p w:rsidR="0026452D" w:rsidRDefault="0026452D" w:rsidP="0026452D">
      <w:pPr>
        <w:pStyle w:val="TextoNormal"/>
      </w:pPr>
      <w:r>
        <w:t xml:space="preserve">En el caso de la vacante en la alcaldía, el art. 198 LOREG matiza los requisitos personales del candidato, desde el momento en que admite la renuncia de quienes le precedían en la lista, mas tal posibilidad encuentra un límite expreso en la previa integración en la lista, de manera que no pueden presentar su candidatura quienes no integraron la lista electoral y han accedido al cargo público de concejal por la vía del art. 182.2 LOREG. En otro caso, se estaría alterando gravemente la voluntad del cuerpo electoral y, en consecuencia, viciando la relación representativa entre el conjunto de los ciudadanos y los órganos representativos; relación ésta, cuyo correcto establecimiento es capital para la existencia y funcionamiento </w:t>
      </w:r>
      <w:r>
        <w:lastRenderedPageBreak/>
        <w:t xml:space="preserve">del Estado democrático que consagra el art.1.1 CE (SSTC 24/1990, de 15 de febrero, 225/1998, de 25 de noviembre y Sentencia del Tribunal Europeo de Derechos Humanos, </w:t>
      </w:r>
      <w:r w:rsidRPr="0026452D">
        <w:rPr>
          <w:i/>
        </w:rPr>
        <w:t>caso Matthews, de 18 de febrero de</w:t>
      </w:r>
      <w:r>
        <w:t xml:space="preserve"> 1999).</w:t>
      </w:r>
    </w:p>
    <w:p w:rsidR="0026452D" w:rsidRDefault="0026452D" w:rsidP="0026452D">
      <w:pPr>
        <w:pStyle w:val="TextoNormal"/>
      </w:pPr>
    </w:p>
    <w:p w:rsidR="0026452D" w:rsidRDefault="0026452D" w:rsidP="0026452D">
      <w:pPr>
        <w:pStyle w:val="TextoNormal"/>
      </w:pPr>
      <w:r>
        <w:t>Ello no supone cuestionar la vía de acceso al cargo de concejal prevenida en el art. 182.2 LOREG, puesto que tal cuestión excede del ámbito de este amparo y ha sido decidida por Sentencia firme, si bien hay que matizar que tal solución fue introducida por la reforma operada por Ley Orgánica 1/2003, de 10 de marzo, que reformó el art. 182.2 LOREG con una finalidad determinada cual es la de garantizar la continuidad del gobierno municipal hasta el siguiente proceso electoral.</w:t>
      </w:r>
    </w:p>
    <w:p w:rsidR="0026452D" w:rsidRDefault="0026452D" w:rsidP="0026452D">
      <w:pPr>
        <w:pStyle w:val="TextoNormal"/>
      </w:pPr>
    </w:p>
    <w:p w:rsidR="0026452D" w:rsidRDefault="0026452D" w:rsidP="0026452D">
      <w:pPr>
        <w:pStyle w:val="TextoNormal"/>
      </w:pPr>
      <w:r>
        <w:t>En este caso, lo que se dirime es si los concejales que acceden por la vía del art. 182.2 LOREG tienen capacidad, como el resto de concejales, para llegar a ser cabeza de lista por la renuncia del resto y una visión limitada de su capacidad está justificada por la prevalencia del art. 23.1 CE que da respaldo a limitaciones de este tipo, como la que se infiere del art. 196 al no permitir la condición de candidato a la elección de alcalde a quien no ostenta la condición de cabeza de lista.</w:t>
      </w:r>
    </w:p>
    <w:p w:rsidR="0026452D" w:rsidRDefault="0026452D" w:rsidP="0026452D">
      <w:pPr>
        <w:pStyle w:val="TextoNormal"/>
      </w:pPr>
    </w:p>
    <w:p w:rsidR="0026452D" w:rsidRDefault="0026452D" w:rsidP="0026452D">
      <w:pPr>
        <w:pStyle w:val="TextoNormal"/>
      </w:pPr>
      <w:r>
        <w:t>En ningún caso esta vía excepcional es idónea para introducir un candidato que no formó parte de las listas y cuya elección no se había sometido a sufragio universal, para el desempeño de un cargo de máxima representatividad como el de alcalde, conectado con especial intensidad con la voluntad del conjunto de electores del municipio expresada en las urnas según se desprende de una lectura sistemática de los arts. 44.1, 196 y 198 LOREG en relación con los arts. 23.1 y 2 y 140 CE, pues el alcalde designado en el acuerdo recurrido no formó parte de la correspondiente lista electoral propuesta en el proceso electoral y, en consecuencia, carecía del respaldo que los ciudadanos le podían otorgar con sus votos, por lo que la interpretación efectuada por la sentencia recurrida al aplicar el art. 198 LOREG y, por remisión, el art. 196 de la misma ley orgánica, vulnera el contenido de dichos preceptos al no haber obtenido el designado, como cabeza de lista, votos populares en el municipio, pues no participó en las elecciones municipales de 2011, en la localidad de Cudillero.</w:t>
      </w:r>
    </w:p>
    <w:p w:rsidR="0026452D" w:rsidRDefault="0026452D" w:rsidP="0026452D">
      <w:pPr>
        <w:pStyle w:val="TextoNormal"/>
      </w:pPr>
    </w:p>
    <w:p w:rsidR="0026452D" w:rsidRDefault="0026452D" w:rsidP="0026452D">
      <w:pPr>
        <w:pStyle w:val="TextoNormal"/>
      </w:pPr>
      <w:r w:rsidRPr="0026452D">
        <w:rPr>
          <w:rStyle w:val="NumeroAFNegritaCaracter"/>
        </w:rPr>
        <w:t>8</w:t>
      </w:r>
      <w:r>
        <w:t>. La correcta interpretación del art. 196 LOREG a la luz del contenido constitucional del art. 23.1 CE exige determinar que sólo los concejales que formaban parte de la lista electoral podrán llegar a ser cabeza de lista, por renuncia de los demás, no pudiendo adquirir nunca esta condición los concejales que, como en el caso cuestionado, han accedido por la vía excepcional del art. 182.2 LOREG.</w:t>
      </w:r>
    </w:p>
    <w:p w:rsidR="0026452D" w:rsidRDefault="0026452D" w:rsidP="0026452D">
      <w:pPr>
        <w:pStyle w:val="TextoNormal"/>
      </w:pPr>
    </w:p>
    <w:p w:rsidR="0026452D" w:rsidRDefault="0026452D" w:rsidP="0026452D">
      <w:pPr>
        <w:pStyle w:val="TextoNormal"/>
      </w:pPr>
      <w:r>
        <w:t>Las anteriores consideraciones nos llevan al otorgamiento del amparo, puesto que la interpretación constitucional de los requisitos que el legislador orgánico ha establecido para la elección del alcalde en un supuesto como el presente nos llevan a la conclusión que sólo puede serlo quien obtuvo la legitimación de las urnas por su integración en alguna de las listas electorales concurrentes a las elecciones municipales, con la consecuente estimación de la vulneración del contenido constitucional del derecho reconocido en el art. 23 CE, en la doble perspectiva del derecho de participación en las elecciones (art. 23.1 CE) y del de acceso a los cargos y funciones públicas (art. 23.2 CE).</w:t>
      </w:r>
    </w:p>
    <w:p w:rsidR="0026452D" w:rsidRDefault="0026452D" w:rsidP="0026452D">
      <w:pPr>
        <w:pStyle w:val="TextoNormal"/>
      </w:pPr>
    </w:p>
    <w:p w:rsidR="0026452D" w:rsidRDefault="0026452D" w:rsidP="0026452D">
      <w:pPr>
        <w:pStyle w:val="TextoNormal"/>
      </w:pPr>
      <w:r>
        <w:lastRenderedPageBreak/>
        <w:t>La estimación del recurso de amparo electoral anula el acuerdo del Pleno del Ayuntamiento de Cudillero de 27 de marzo de 2013, de elección de alcalde, así como de la Sentencia que lo confirma, dictados por la Sección Única de la Sala de lo Contencioso-Administrativo del Tribunal Superior de Justicia de Asturias de 6 de mayo de 2013.</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Foro Asturias Ciudadanos, don José Luis Valdés Pérez, don Juan Carragal Martínez, don Antonio Landeta Álvarez-Valdéz y don Francisco Javier Pérez Menéndez, representados por el Procurador de los Tribunales don Manuel Lanchares Perlado y asistidos por el Abogado don Jorge Álvarez González y, en consecuencia:</w:t>
      </w:r>
    </w:p>
    <w:p w:rsidR="0026452D" w:rsidRDefault="0026452D" w:rsidP="0026452D">
      <w:pPr>
        <w:pStyle w:val="TextoNormal"/>
      </w:pPr>
    </w:p>
    <w:p w:rsidR="0026452D" w:rsidRDefault="0026452D" w:rsidP="0026452D">
      <w:pPr>
        <w:pStyle w:val="TextoNormal"/>
      </w:pPr>
      <w:r>
        <w:t>1º Reconocer el derecho de los recurrentes a la participación política y al acceso en condiciones de igualdad a los cargos y funciones públicas (art. 23.1 y 2 CE).</w:t>
      </w:r>
    </w:p>
    <w:p w:rsidR="0026452D" w:rsidRDefault="0026452D" w:rsidP="0026452D">
      <w:pPr>
        <w:pStyle w:val="TextoNormal"/>
      </w:pPr>
    </w:p>
    <w:p w:rsidR="0026452D" w:rsidRDefault="0026452D" w:rsidP="0026452D">
      <w:pPr>
        <w:pStyle w:val="TextoNormal"/>
      </w:pPr>
      <w:r>
        <w:t>2º Anular el acuerdo del Pleno del Ayuntamiento de Cudillero de fecha 27 de marzo de 2013 y la Sentencia de la Sala de lo Contencioso-Administrativo del Tribunal Superior de Justicia de Asturias de 6 de mayo de 2013.</w:t>
      </w:r>
    </w:p>
    <w:p w:rsidR="0026452D" w:rsidRDefault="0026452D" w:rsidP="0026452D">
      <w:pPr>
        <w:pStyle w:val="TextoNormal"/>
      </w:pPr>
    </w:p>
    <w:p w:rsidR="0026452D" w:rsidRDefault="0026452D" w:rsidP="0026452D">
      <w:pPr>
        <w:pStyle w:val="TextoNormal"/>
      </w:pPr>
      <w:r>
        <w:t>3º Retrotraer las actuaciones al momento anterior a la aprobación del acuerdo del Pleno del Ayuntamiento de Cudillero de fecha 27 de marzo de 2013.</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veintitrés de mayo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Andrés Ollero Tassara respecto a la Sentencia de la Sala Primera de fecha 23 de mayo de 2013 dictada en el recurso de amparo electoral núm. 2823-2013.</w:t>
      </w:r>
    </w:p>
    <w:p w:rsidR="0026452D" w:rsidRDefault="0026452D" w:rsidP="0026452D">
      <w:pPr>
        <w:pStyle w:val="TextoNormalNegritaCentrado"/>
        <w:keepNext/>
      </w:pPr>
    </w:p>
    <w:p w:rsidR="0026452D" w:rsidRDefault="0026452D" w:rsidP="0026452D">
      <w:pPr>
        <w:pStyle w:val="TextoNormal"/>
      </w:pPr>
      <w:r>
        <w:t>En el ejercicio de la facultad que confiere el art. 90.2 de la Ley Orgánica del Tribunal Constitucional y con el máximo respeto a la opinión de la mayoría de la Sala, dejo constancia de mi opinión discrepante puesta ya de manifiesto durante la deliberación de la Sentencia que ha resuelto el recurso de amparo electoral interpuesto por Foro Asturias Ciudadanos contra la Sentencia del Tribunal Superior de Justicia de Asturias de 6 de mayo de 2013, dictada en recurso contencioso-electoral número 518-2013.</w:t>
      </w:r>
    </w:p>
    <w:p w:rsidR="0026452D" w:rsidRDefault="0026452D" w:rsidP="0026452D">
      <w:pPr>
        <w:pStyle w:val="TextoNormal"/>
      </w:pPr>
    </w:p>
    <w:p w:rsidR="0026452D" w:rsidRDefault="0026452D" w:rsidP="0026452D">
      <w:pPr>
        <w:pStyle w:val="TextoNormal"/>
      </w:pPr>
      <w:r>
        <w:t>1. Resulta sin duda innecesario recordar que la función de este Tribunal no es inmiscuirse en cuestiones de legalidad, como la más o menos literal aplicación de una norma o la calificación de supuestos en los que cupiera apreciar fraude de ley. Tampoco le compete pronunciarse sobre la valoración ética o estética que merezcan determinados comportamientos políticos. Hemos de ocuparnos sólo de si se han respetado o no las siempre mínimas exigencias constitucionales.</w:t>
      </w:r>
    </w:p>
    <w:p w:rsidR="0026452D" w:rsidRDefault="0026452D" w:rsidP="0026452D">
      <w:pPr>
        <w:pStyle w:val="TextoNormal"/>
      </w:pPr>
    </w:p>
    <w:p w:rsidR="0026452D" w:rsidRDefault="0026452D" w:rsidP="0026452D">
      <w:pPr>
        <w:pStyle w:val="TextoNormal"/>
      </w:pPr>
      <w:r>
        <w:t>2. Apenas un mes después de que el Pleno del Tribunal Constitucional, en su Sentencia 103/2013, de 25 de abril, resolviera sobre la constitucionalidad de que un tercio de la junta de gobierno local de un Ayuntamiento pudiera estar integrado por quienes no tuvieran la condición de concejal, su Sala Primera ha de abordar un problema no menos novedoso: “si puede ser nombrado alcalde un concejal que no ha concurrido a las elecciones”. Se enfrentan con ello a “una faceta de un derecho fundamental susceptible de amparo sobre el que no hay doctrina del Tribunal Constitucional”.</w:t>
      </w:r>
    </w:p>
    <w:p w:rsidR="0026452D" w:rsidRDefault="0026452D" w:rsidP="0026452D">
      <w:pPr>
        <w:pStyle w:val="TextoNormal"/>
      </w:pPr>
    </w:p>
    <w:p w:rsidR="0026452D" w:rsidRDefault="0026452D" w:rsidP="0026452D">
      <w:pPr>
        <w:pStyle w:val="TextoNormal"/>
      </w:pPr>
      <w:r>
        <w:t>En la aludida anterior oportunidad la opinión mayoritaria entre los Magistrados, plasmada en la citada Sentencia, consideró inconstitucional la circunstancia impugnada, considerando que la exigencia de que sus protagonistas fueran concejales dotaba de especial legitimidad democrática al gobierno municipal. Dado que suscribí un discrepante Voto particular, a nadie extrañará que también ahora me vea obligado a discrepar, aunque con diferentes matices.</w:t>
      </w:r>
    </w:p>
    <w:p w:rsidR="0026452D" w:rsidRDefault="0026452D" w:rsidP="0026452D">
      <w:pPr>
        <w:pStyle w:val="TextoNormal"/>
      </w:pPr>
    </w:p>
    <w:p w:rsidR="0026452D" w:rsidRDefault="0026452D" w:rsidP="0026452D">
      <w:pPr>
        <w:pStyle w:val="TextoNormal"/>
      </w:pPr>
      <w:r>
        <w:t>3. La Sentencia que ahora nos ocupa ha optado por responder negativamente a la cuestión planteada, considerando que “la exigencia de un plus de representatividad en la persona que presenta su candidatura a alcalde” descarta que pueda asumirla quien no se presentó a las elecciones. Suscribo, como es obvio, la importancia de la representatividad en aquellos cargos públicos sometidos a refrendo electoral, pero —como ya tuve ocasión de apuntar— no veo que ello sea inconciliable con otras exigencias de gobierno democrático, como la división de poderes, o con meras razones de coherencia.</w:t>
      </w:r>
    </w:p>
    <w:p w:rsidR="0026452D" w:rsidRDefault="0026452D" w:rsidP="0026452D">
      <w:pPr>
        <w:pStyle w:val="TextoNormal"/>
      </w:pPr>
    </w:p>
    <w:p w:rsidR="0026452D" w:rsidRDefault="0026452D" w:rsidP="0026452D">
      <w:pPr>
        <w:pStyle w:val="TextoNormal"/>
      </w:pPr>
      <w:r>
        <w:t>Estas segundas son las que me llevan a discrepar en este caso. Como la propia Sentencia recoge repetidamente, sin hacer notar problema alguno de constitucionalidad, el art. 182.2 de la Ley Orgánica del régimen electoral general “establece que, si no quedan posibles candidatos o suplentes a nombrar, las vacantes serán cubiertas por cualquier ciudadano mayor de edad que no esté incurso en causa de inelegibilidad”; así ocurrió en este caso con el concejal cuya posible candidatura a alcalde ahora se cuestiona. Al no considerarse discutible su condición de concejal parece coherente que pueda, como cualquier otro de sus compañeros, convertirse en candidato a la alcaldía. La propia Sentencia entiende, respecto a las “vacantes producidas a lo largo del mandato municipal”, que “el protagonismo corresponde a los grupos municipales en los que orgánicamente se han traducido las listas, de tal modo que cada grupo municipal de los así formados debe tener la posibilidad de presentar un candidato a alcalde”. Al añadirse, sin embargo, que “ello no puede desvirtuar la conexión entre electores y elegidos, que no puede ser interferida en sus elementos esenciales por la mediación o interposición de un grupo político”, surge la novedosa figura del concejal no alcaldable.</w:t>
      </w:r>
    </w:p>
    <w:p w:rsidR="0026452D" w:rsidRDefault="0026452D" w:rsidP="0026452D">
      <w:pPr>
        <w:pStyle w:val="TextoNormal"/>
      </w:pPr>
    </w:p>
    <w:p w:rsidR="0026452D" w:rsidRDefault="0026452D" w:rsidP="0026452D">
      <w:pPr>
        <w:pStyle w:val="TextoNormal"/>
      </w:pPr>
      <w:r>
        <w:t xml:space="preserve">Nos encontramos pues ante un cuadro, no muy coherente a mi modesto juicio, que contempla grupos municipales compuestos por concejales de los que, en según qué circunstancias, unos resultan ser más concejales que otros. Entendería con más facilidad que —dando a la representatividad un valor más absoluto del que personalmente le he reconocido— se considerara inconstitucional que llegue a concejal quien no se ha presentado a las elecciones. Si esto se ha considerado constitucional es sin duda por entender que no hay mayor falta de representatividad que la ausencia de quien —con refrendo electoral o sin él— sea considerado por quienes han acreditado la confianza de los ciudadanos capaz de ejercer </w:t>
      </w:r>
      <w:r>
        <w:lastRenderedPageBreak/>
        <w:t>dicha representación. Por idéntica razón, sin necesidad de entusiasmo alguno por tan curiosa figura, no veo razón para tachar de inconstitucional que a quién ya se admitió como concejal se le pueda admitir también como alcalde; con mayor razón en un sistema en que es una lista cerrada —sin grandes posibilidades de gradación representativa— la que, como expresión de la adhesión de los ciudadanos a quien la promueve, acaba resultando decisiva una vez puesto en marcha el mandato de sus componentes.</w:t>
      </w:r>
    </w:p>
    <w:p w:rsidR="0026452D" w:rsidRDefault="0026452D" w:rsidP="0026452D">
      <w:pPr>
        <w:pStyle w:val="TextoNormal"/>
      </w:pPr>
    </w:p>
    <w:p w:rsidR="0026452D" w:rsidRDefault="0026452D" w:rsidP="0026452D">
      <w:pPr>
        <w:pStyle w:val="TextoNormal"/>
      </w:pPr>
      <w:r>
        <w:t>Partiendo de estas reflexiones, me veo obligado a emitir mi Voto particular.</w:t>
      </w:r>
    </w:p>
    <w:p w:rsidR="0026452D" w:rsidRDefault="0026452D" w:rsidP="0026452D">
      <w:pPr>
        <w:pStyle w:val="TextoNormal"/>
      </w:pPr>
    </w:p>
    <w:p w:rsidR="0026452D" w:rsidRDefault="0026452D" w:rsidP="0026452D">
      <w:pPr>
        <w:pStyle w:val="TextoNormal"/>
      </w:pPr>
      <w:r>
        <w:t>Madrid, a veintitrés de mayo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29" w:name="SENTENCIA_2013_126"/>
      <w:r>
        <w:lastRenderedPageBreak/>
        <w:t>SENTENCIA 126/2013, de 3 de junio de 2013</w:t>
      </w:r>
    </w:p>
    <w:bookmarkEnd w:id="129"/>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157, de 2 de julio de 2013)</w:t>
      </w:r>
    </w:p>
    <w:p w:rsidR="0026452D" w:rsidRDefault="0026452D" w:rsidP="0026452D">
      <w:pPr>
        <w:pStyle w:val="TtuloBOE"/>
      </w:pPr>
    </w:p>
    <w:p w:rsidR="0026452D" w:rsidRDefault="0026452D" w:rsidP="0026452D">
      <w:pPr>
        <w:pStyle w:val="SntesisDescriptiva"/>
      </w:pPr>
      <w:r>
        <w:t>ECLI:ES:TC:2013:126</w:t>
      </w:r>
    </w:p>
    <w:p w:rsidR="0026452D" w:rsidRDefault="0026452D" w:rsidP="0026452D">
      <w:pPr>
        <w:pStyle w:val="SntesisDescriptiva"/>
      </w:pPr>
    </w:p>
    <w:p w:rsidR="0026452D" w:rsidRDefault="0026452D" w:rsidP="0026452D">
      <w:pPr>
        <w:pStyle w:val="SntesisDescriptiva"/>
      </w:pPr>
      <w:r>
        <w:t>Recurso de amparo 6633-2010. Promovido por Aquagest, Promoción Técnica y Financiera de Abastecimientos de Agua, S.A., respecto de las resoluciones dictadas por la Sala de lo Contencioso-Administrativo del Tribunal Superior de Justicia de Canarias en proceso sobre concurso público para la selección de adquirentes de acciones de la empresa mixta de abastecimiento y evacuación de agua en la ciudad de Las Palmas de Gran Canaria.</w:t>
      </w:r>
    </w:p>
    <w:p w:rsidR="0026452D" w:rsidRDefault="0026452D" w:rsidP="0026452D">
      <w:pPr>
        <w:pStyle w:val="SntesisDescriptiva"/>
      </w:pPr>
    </w:p>
    <w:p w:rsidR="0026452D" w:rsidRDefault="0026452D" w:rsidP="0026452D">
      <w:pPr>
        <w:pStyle w:val="SntesisAnaltica"/>
      </w:pPr>
      <w:r>
        <w:t>Supuesta vulneración de los derechos a la tutela judicial efectiva (intangibilidad y motivación) y a la prueba: íntegra modificación de la cosa juzgada consecuencia de la estimación de un incidente de nulidad de actuaciones debido a la falta de valoración de un medio de prueba.</w:t>
      </w:r>
    </w:p>
    <w:p w:rsidR="0026452D" w:rsidRDefault="0026452D" w:rsidP="0026452D">
      <w:pPr>
        <w:pStyle w:val="SntesisAnaltica"/>
      </w:pPr>
    </w:p>
    <w:p w:rsidR="0026452D" w:rsidRDefault="0026452D" w:rsidP="0026452D">
      <w:pPr>
        <w:pStyle w:val="Extracto"/>
      </w:pPr>
      <w:r>
        <w:t>1.</w:t>
      </w:r>
      <w:r>
        <w:tab/>
        <w:t>La nulidad de la Sentencia como consecuencia de la estimación del incidente de nulidad de actuaciones, al venir motivada por una lesiva falta de valoración de un medio de prueba, debía ser íntegra pues, de lo contrario, el derecho fundamental –a la prueba– lesionado no podría ser restablecido si el órgano judicial no contase con libertad plena para valorar la pericial preterida [FJ 6].</w:t>
      </w:r>
    </w:p>
    <w:p w:rsidR="0026452D" w:rsidRDefault="0026452D" w:rsidP="0026452D">
      <w:pPr>
        <w:pStyle w:val="Extracto"/>
      </w:pPr>
    </w:p>
    <w:p w:rsidR="0026452D" w:rsidRDefault="0026452D" w:rsidP="0026452D">
      <w:pPr>
        <w:pStyle w:val="Extracto"/>
      </w:pPr>
      <w:r>
        <w:t>2.</w:t>
      </w:r>
      <w:r>
        <w:tab/>
        <w:t>La Sentencia que se dicte en sustitución de otra anulada como consecuencia de la estimación de un incidente de nulidad de actuaciones será respetuosa con el derecho a la intangibilidad mientras se atenga al contenido de la parte dispositiva del Auto estimatorio del incidente, es decir, mientras que las declaraciones y el fallo de la nueva Sentencia sirvan, sin excederse, a la obligación de reparar la vulneración del derecho fundamental, lo que exigirá, dependiendo de cuál sea el derecho afectado, la nulidad parcial de la Sentencia, su nulidad íntegra o la nulidad de todo o parte del procedimiento [FJ 5].</w:t>
      </w:r>
    </w:p>
    <w:p w:rsidR="0026452D" w:rsidRDefault="0026452D" w:rsidP="0026452D">
      <w:pPr>
        <w:pStyle w:val="Extracto"/>
      </w:pPr>
    </w:p>
    <w:p w:rsidR="0026452D" w:rsidRDefault="0026452D" w:rsidP="0026452D">
      <w:pPr>
        <w:pStyle w:val="Extracto"/>
      </w:pPr>
      <w:r>
        <w:t>3.</w:t>
      </w:r>
      <w:r>
        <w:tab/>
        <w:t xml:space="preserve">Los principios de seguridad jurídica y tutela judicial efectiva, </w:t>
      </w:r>
      <w:r w:rsidRPr="0026452D">
        <w:rPr>
          <w:i/>
        </w:rPr>
        <w:t>ex</w:t>
      </w:r>
      <w:r>
        <w:t xml:space="preserve"> arts. 9.3 y 24.1 CE, vedan a los Jueces y Tribunales, fuera de los casos previstos por la Ley, revisar el juicio efectuado en un caso concreto si entendieran con posterioridad que la decisión no se ajusta a la legalidad, pero no impiden revisar dicho juicio cuando ello se hace dentro de los cauces excepcionalmente establecidos, constituyendo el incidente de nulidad de actuaciones una de esas vías excepcionales previstas por el legislador para alterar o modificar la cosa juzgada (SSTC 58/2000, 55/2002)  [FJ 5].</w:t>
      </w:r>
    </w:p>
    <w:p w:rsidR="0026452D" w:rsidRDefault="0026452D" w:rsidP="0026452D">
      <w:pPr>
        <w:pStyle w:val="Extracto"/>
      </w:pPr>
    </w:p>
    <w:p w:rsidR="0026452D" w:rsidRDefault="0026452D" w:rsidP="0026452D">
      <w:pPr>
        <w:pStyle w:val="Extracto"/>
      </w:pPr>
      <w:r>
        <w:t>4.</w:t>
      </w:r>
      <w:r>
        <w:tab/>
        <w:t>No corresponde al Tribunal Constitucional la revisión de la valoración judicial del material probatorio, sino sólo llevar a cabo una supervisión externa de la razonabilidad del discurso que enlaza la actividad probatoria con el relato fáctico resultante (STC 70/2012) [FJ 3].</w:t>
      </w:r>
    </w:p>
    <w:p w:rsidR="0026452D" w:rsidRDefault="0026452D" w:rsidP="0026452D">
      <w:pPr>
        <w:pStyle w:val="Extracto"/>
      </w:pPr>
    </w:p>
    <w:p w:rsidR="0026452D" w:rsidRDefault="0026452D" w:rsidP="0026452D">
      <w:pPr>
        <w:pStyle w:val="Extracto"/>
      </w:pPr>
      <w:r>
        <w:lastRenderedPageBreak/>
        <w:t>5.</w:t>
      </w:r>
      <w:r>
        <w:tab/>
        <w:t>Cuando se denuncia indefensión provocada por la quiebra de la garantía de inmediación del órgano judicial, debida al cambio o sustitución de los Jueces o Magistrados, el Tribunal Constitucional ha de valorar, a la luz de la doctrina de la indefensión material, la presencia en las actuaciones de medios objetivos de conocimiento que permitan emitir un juicio fundado a quien tiene encomendado el enjuiciamiento del caso sometido a su consideración (STC 215/2005) [FJ 3].</w:t>
      </w:r>
    </w:p>
    <w:p w:rsidR="0026452D" w:rsidRDefault="0026452D" w:rsidP="0026452D">
      <w:pPr>
        <w:pStyle w:val="Extracto"/>
      </w:pPr>
    </w:p>
    <w:p w:rsidR="0026452D" w:rsidRDefault="0026452D" w:rsidP="0026452D">
      <w:pPr>
        <w:pStyle w:val="Extracto"/>
      </w:pPr>
      <w:r>
        <w:t>6.</w:t>
      </w:r>
      <w:r>
        <w:tab/>
        <w:t xml:space="preserve">El deber de motivación que pesa sobre los órganos judiciales no exige un razonamiento exhaustivo y pormenorizado de todos los aspectos y perspectivas que las partes puedan tener de la cuestión que se debate, sino que deben considerarse suficientemente motivadas aquellas resoluciones judiciales que vengan apoyadas en razones que permitan conocer cuáles han sido los criterios jurídicos esenciales fundamentadores de la decisión, </w:t>
      </w:r>
      <w:r w:rsidRPr="0026452D">
        <w:rPr>
          <w:i/>
        </w:rPr>
        <w:t>ratio decidendi</w:t>
      </w:r>
      <w:r>
        <w:t>, de manera que no existe un derecho fundamental del justiciable a una determinada extensión de la motivación judicial ( STC 144/20) [FJ 3].</w:t>
      </w:r>
    </w:p>
    <w:p w:rsidR="0026452D" w:rsidRDefault="0026452D" w:rsidP="0026452D">
      <w:pPr>
        <w:pStyle w:val="Extracto"/>
      </w:pPr>
    </w:p>
    <w:p w:rsidR="0026452D" w:rsidRDefault="0026452D" w:rsidP="0026452D">
      <w:pPr>
        <w:pStyle w:val="Extracto"/>
      </w:pPr>
      <w:r>
        <w:t>7.</w:t>
      </w:r>
      <w:r>
        <w:tab/>
        <w:t>Se incurre en incongruencia omisiva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(STC 25/2012) [FJ 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amparo núm. 6633-2010, promovido por Aquagest, Promoción Técnica y Financiera de Abastecimientos de Agua, S.A., representada por la Procuradora de los Tribunales doña Consuelo Rodríguez Chacón y asistida por el Letrado don Santiago Muñoz Machado, contra el Auto de 15 de junio de 2010 que desestimó el incidente de nulidad de actuaciones promovido contra la Sentencia de 13 de abril de 2010, de la Sección Primera de la Sala de lo Contencioso-Administrativo del Tribunal Superior de Justicia de Canarias con sede en Las Palmas de Gran Canaria, desestimatoria del recurso contencioso-administrativo núm. 1441-2001 interpuesto contra la resolución del Ayuntamiento de Las Palmas de Gran Canaria de 26 de octubre de 2001. Han intervenido el Ministerio Fiscal; el Ayuntamiento de Las Palmas de Gran Canaria, representado por el Procurador de los Tribunales don José María Ruiz de la Cuesta Vacas y asistido por el Letrado don Juan Díaz Cristóbal; Valoriza </w:t>
      </w:r>
      <w:r>
        <w:lastRenderedPageBreak/>
        <w:t>Agua, S.L.U., y S.A.U.R., S.A., representadas por el Procurador de los Tribunales don Gabriel de Diego Quevedo y asistidas por el Letrado don Luis Argüello Álvarez. Ha sido Ponente el Magistrado don Ramón Rodríguez Arribas,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el día 10 de septiembre de 2010, doña Consuelo Rodríguez Chacón, Procuradora de los Tribunales, en nombre y representación de Aquagest, Promoción Técnica y Financiera de Abastecimientos de Agua, S.A. (en adelante, Aquagest), interpuso recurso de amparo contra las resoluciones judiciales a las que se ha hecho mención en el encabezamiento de esta Sentencia.</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que se alegan en la demanda de amparo son, sucintamente expuestos, los que siguen:</w:t>
      </w:r>
    </w:p>
    <w:p w:rsidR="0026452D" w:rsidRDefault="0026452D" w:rsidP="0026452D">
      <w:pPr>
        <w:pStyle w:val="TextoNormal"/>
      </w:pPr>
    </w:p>
    <w:p w:rsidR="0026452D" w:rsidRDefault="0026452D" w:rsidP="0026452D">
      <w:pPr>
        <w:pStyle w:val="TextoNormal"/>
      </w:pPr>
      <w:r>
        <w:t>a) El Ayuntamiento de Las Palmas de Gran Canaria convocó en 1992 un concurso público para la selección de adquirentes de parte de las acciones representativas del capital social de la empresa que tenía atribuido el servicio de abastecimiento y evacuación de agua en la ciudad, Empresa Mixta de Aguas de Las Palmas, S.A.</w:t>
      </w:r>
    </w:p>
    <w:p w:rsidR="0026452D" w:rsidRDefault="0026452D" w:rsidP="0026452D">
      <w:pPr>
        <w:pStyle w:val="TextoNormal"/>
      </w:pPr>
    </w:p>
    <w:p w:rsidR="0026452D" w:rsidRDefault="0026452D" w:rsidP="0026452D">
      <w:pPr>
        <w:pStyle w:val="TextoNormal"/>
      </w:pPr>
      <w:r>
        <w:t>A la convocatoria acudieron tres ofertas: la formulada por Compañía General de Aguas de España, S.A.; la promovida por Aquagest y la tercera, conjuntamente por Unión Eléctrica de Canarias, S.A. y Société d’Aménagement Urban et Rural, S.A. (Unelco-Saur). Posteriormente Unelco, S.A., fue sucedida en su posición por Valoriza Agua, S.L.U.</w:t>
      </w:r>
    </w:p>
    <w:p w:rsidR="0026452D" w:rsidRDefault="0026452D" w:rsidP="0026452D">
      <w:pPr>
        <w:pStyle w:val="TextoNormal"/>
      </w:pPr>
    </w:p>
    <w:p w:rsidR="0026452D" w:rsidRDefault="0026452D" w:rsidP="0026452D">
      <w:pPr>
        <w:pStyle w:val="TextoNormal"/>
      </w:pPr>
      <w:r>
        <w:t>Tras la tramitación del procedimiento, el Pleno del Ayuntamiento, el 22 de marzo de 1993, resolvió el concurso con la adjudicación a la oferta presentada conjuntamente por Unelco-Saur. Contra esta resolución Aquagest interpuso recurso de reposición y, contra su desestimación presunta, interpuso recurso contencioso-administrativo ante la Sala de lo Contencioso-Administrativo del Tribunal Superior de Justicia de Canarias (recurso núm. 971-1993). En Sentencia de 21 de mayo de 1996 la Sala estimó el recurso contencioso-administrativo y anuló la resolución del concurso por no haber emitido informe el interventor del Ayuntamiento, ordenando la retroacción del procedimiento administrativo al momento en que debió ser evacuado dicho informe, a fin de que, una vez cumplimentado dicho trámite, continuara la tramitación del procedimiento con arreglo a Derecho.</w:t>
      </w:r>
    </w:p>
    <w:p w:rsidR="0026452D" w:rsidRDefault="0026452D" w:rsidP="0026452D">
      <w:pPr>
        <w:pStyle w:val="TextoNormal"/>
      </w:pPr>
    </w:p>
    <w:p w:rsidR="0026452D" w:rsidRDefault="0026452D" w:rsidP="0026452D">
      <w:pPr>
        <w:pStyle w:val="TextoNormal"/>
      </w:pPr>
      <w:r>
        <w:t>El Ayuntamiento de Las Palmas de Gran Canaria y las adjudicatarias Unelco y Saur interpusieron recurso de casación ante el Tribunal Supremo (núm. 5597-1996), que fue desestimado por Sentencia de 12 de diciembre de 2000.</w:t>
      </w:r>
    </w:p>
    <w:p w:rsidR="0026452D" w:rsidRDefault="0026452D" w:rsidP="0026452D">
      <w:pPr>
        <w:pStyle w:val="TextoNormal"/>
      </w:pPr>
    </w:p>
    <w:p w:rsidR="0026452D" w:rsidRDefault="0026452D" w:rsidP="0026452D">
      <w:pPr>
        <w:pStyle w:val="TextoNormal"/>
      </w:pPr>
      <w:r>
        <w:t>b) Subsanado el defecto, el 26 de octubre de 2001, el Ayuntamiento dictó nueva resolución reiterando la anterior adjudicación.</w:t>
      </w:r>
    </w:p>
    <w:p w:rsidR="0026452D" w:rsidRDefault="0026452D" w:rsidP="0026452D">
      <w:pPr>
        <w:pStyle w:val="TextoNormal"/>
      </w:pPr>
    </w:p>
    <w:p w:rsidR="0026452D" w:rsidRDefault="0026452D" w:rsidP="0026452D">
      <w:pPr>
        <w:pStyle w:val="TextoNormal"/>
      </w:pPr>
      <w:r>
        <w:t>Contra esta resolución Aquagest interpuso nuevo recurso contencioso-administrativo ante la Sala de lo Contencioso-Administrativo del Tribunal Superior de Justicia de Canarias (recurso núm. 1441-2001).</w:t>
      </w:r>
    </w:p>
    <w:p w:rsidR="0026452D" w:rsidRDefault="0026452D" w:rsidP="0026452D">
      <w:pPr>
        <w:pStyle w:val="TextoNormal"/>
      </w:pPr>
    </w:p>
    <w:p w:rsidR="0026452D" w:rsidRDefault="0026452D" w:rsidP="0026452D">
      <w:pPr>
        <w:pStyle w:val="TextoNormal"/>
      </w:pPr>
      <w:r>
        <w:lastRenderedPageBreak/>
        <w:t>En período de prueba, la recurrente propuso, entre otras, dos pruebas periciales con el objeto de acreditar cuál de las ofertas era la más ventajosa para los intereses públicos municipales, periciales a practicar por un ingeniero industrial colegiado especialista en abastecimiento y depuración de aguas y por un economista colegiado. Ambas pruebas fueron admitidas por Auto de la Sala de 4 de octubre de 2005, realizándose la designación del último de los peritos con citación de las partes el 10 de octubre de 2005, al no constar lista oficial de economistas en el órgano judicial. La designación recayó en el catedrático don Juan García Boza. La parte codemandada formuló recurso de súplica frente al Auto de 4 de octubre de 2005, frente a la insaculación del perito efectuada e, igualmente, frente al nombramiento de una segunda perito designada para informe distinto, doña Berta Flores Álvarez. El recurso fue desestimado por Auto de 13 de marzo de 2006. Por Auto de 8 de octubre de 2007, la Sala desestimó una nueva impugnación relativa a la colegiación del perito señor García Boza.</w:t>
      </w:r>
    </w:p>
    <w:p w:rsidR="0026452D" w:rsidRDefault="0026452D" w:rsidP="0026452D">
      <w:pPr>
        <w:pStyle w:val="TextoNormal"/>
      </w:pPr>
    </w:p>
    <w:p w:rsidR="0026452D" w:rsidRDefault="0026452D" w:rsidP="0026452D">
      <w:pPr>
        <w:pStyle w:val="TextoNormal"/>
      </w:pPr>
      <w:r>
        <w:t>Se admitió asimismo como prueba la pericial practicada en el recurso núm. 971-1993 por don José Miguel Veza Iglesias. Según la demanda de amparo, el Auto de 4 de octubre de 2005 citado no admitió el referido informe como prueba pericial, pero sí como documental, siendo finalmente aportado a las actuaciones por copia de la parte, al no ser hallado el informe original para su testimonio.</w:t>
      </w:r>
    </w:p>
    <w:p w:rsidR="0026452D" w:rsidRDefault="0026452D" w:rsidP="0026452D">
      <w:pPr>
        <w:pStyle w:val="TextoNormal"/>
      </w:pPr>
    </w:p>
    <w:p w:rsidR="0026452D" w:rsidRDefault="0026452D" w:rsidP="0026452D">
      <w:pPr>
        <w:pStyle w:val="TextoNormal"/>
      </w:pPr>
      <w:r>
        <w:t>En fecha de 7 de noviembre de 2008, la Sala dictó Sentencia estimatoria del recurso contencioso, anulando la adjudicación del concurso realizada y reconociendo el derecho de Aquagest a dicha adjudicación.</w:t>
      </w:r>
    </w:p>
    <w:p w:rsidR="0026452D" w:rsidRDefault="0026452D" w:rsidP="0026452D">
      <w:pPr>
        <w:pStyle w:val="TextoNormal"/>
      </w:pPr>
    </w:p>
    <w:p w:rsidR="0026452D" w:rsidRDefault="0026452D" w:rsidP="0026452D">
      <w:pPr>
        <w:pStyle w:val="TextoNormal"/>
      </w:pPr>
      <w:r>
        <w:t>c) Frente a esta Sentencia las adjudicatarias codemandadas interpusieron incidente de nulidad de actuaciones, que fue estimado por Auto de 27 de marzo de 2009, al apreciar la Sala que la resolución no había valorado el informe pericial emitido por el señor Veza Iglesias, causando la omisión la indefensión de la parte demandada. El órgano judicial acordó entonces anular la Sentencia y retrotraer las actuaciones de nuevo al momento de la votación y fallo del recurso.</w:t>
      </w:r>
    </w:p>
    <w:p w:rsidR="0026452D" w:rsidRDefault="0026452D" w:rsidP="0026452D">
      <w:pPr>
        <w:pStyle w:val="TextoNormal"/>
      </w:pPr>
    </w:p>
    <w:p w:rsidR="0026452D" w:rsidRDefault="0026452D" w:rsidP="0026452D">
      <w:pPr>
        <w:pStyle w:val="TextoNormal"/>
      </w:pPr>
      <w:r>
        <w:t>d) El 13 de abril de 2010, la Sala dictó nueva Sentencia en la que se razonaba que, de acuerdo con la jurisprudencia del Tribunal Supremo que citaba, la declaración de nulidad de la Sentencia con retroacción de actuaciones permitía la realización de un nuevo examen y valoración de todas las cuestiones suscitadas en el recurso contencioso-administrativo. En consecuencia, valoró la pericial omitida así como las periciales practicadas en autos que habían sustentado el sentido estimatorio de la primera Sentencia, concluyendo en la desestimación del recurso, en contra de lo que se había fallado en aquélla.</w:t>
      </w:r>
    </w:p>
    <w:p w:rsidR="0026452D" w:rsidRDefault="0026452D" w:rsidP="0026452D">
      <w:pPr>
        <w:pStyle w:val="TextoNormal"/>
      </w:pPr>
    </w:p>
    <w:p w:rsidR="0026452D" w:rsidRDefault="0026452D" w:rsidP="0026452D">
      <w:pPr>
        <w:pStyle w:val="TextoNormal"/>
      </w:pPr>
      <w:r>
        <w:t xml:space="preserve">La recurrente Aquagest instó entonces la nulidad de esta segunda Sentencia, alegando —en lo que interesa al recurso de amparo—: a) la vulneración del derecho al juez ordinario predeterminado por la ley y al juez imparcial, dado que de una Sentencia a otra se había variado la composición de la Sala sentenciadora, sin que el hecho fuera comunicado a las partes y dejando de formar parte de la misma el Magistrado en quien la Sala había delegado la práctica de la prueba, con quiebra del principio de inmediación; b) la vulneración del derecho a la intangibilidad de las resoluciones judiciales firmes, en la medida en que el órgano judicial había realizado una nueva valoración de las pruebas no afectadas por la </w:t>
      </w:r>
      <w:r>
        <w:lastRenderedPageBreak/>
        <w:t>declaración de nulidad efectuada en el Auto de 27 de marzo de 2009 y en contra de lo dispuesto en las resoluciones judiciales citadas dictadas en trámite de admisión de prueba; c) la vulneración del derecho a la prueba, porque al preterir en la valoración de la prueba realizada los informes de los señores García Boza y Flores por razón de su titulación y de su falta de colegiación, se privó a la parte de dos pruebas previamente admitidas, debiendo el órgano haber retrotraído las actuaciones para la designación de nuevos peritos que elaborasen otros informes si al momento de dictar Sentencia entendió que los nombrados no reunían los requisitos precisos y d) incongruencia omisiva, dado que la Sentencia no se había pronunciado sobre la arbitrariedad y desviación de poder que en la demanda del recurso contencioso-administrativo se habían alegado como causas de anulabilidad del acto.</w:t>
      </w:r>
    </w:p>
    <w:p w:rsidR="0026452D" w:rsidRDefault="0026452D" w:rsidP="0026452D">
      <w:pPr>
        <w:pStyle w:val="TextoNormal"/>
      </w:pPr>
    </w:p>
    <w:p w:rsidR="0026452D" w:rsidRDefault="0026452D" w:rsidP="0026452D">
      <w:pPr>
        <w:pStyle w:val="TextoNormal"/>
      </w:pPr>
      <w:r>
        <w:t>El incidente de nulidad de actuaciones fue desestimado por Auto de 15 de junio de 2010, en el que el Tribunal Superior de Justicia rechazó todas las vulneraciones denunciadas razonando: a) que la parte no había invocado en ningún momento alguna causa de recusación del Magistrado que cambió en la Sala, ciñéndose la denuncia a la irregularidad de la falta de comunicación a las partes de la modificación en la composición de la Sala, irrelevante por sí sola; b) que la valoración final de las pruebas periciales no guardaba relación con la titulación de los peritos; c) que la valoración de las pruebas periciales quedó suficientemente explícita en la Sentencia recurrida, errando la parte sobre el contenido del derecho a la intangibilidad de las resoluciones judiciales firmes, el cual no impide el cambio de éstas si ello obedece al uso de los recursos establecidos en las leyes, como era en el caso, el incidente de nulidad de actuaciones promovido frente a la Sentencia de 7 de noviembre de 2008 y d) las alegaciones realizadas en la demanda del recurso contencioso relativas a la arbitrariedad y desviación de poder se entendieron por la Sala como alegaciones fundamentadoras de la ilegalidad de la adjudicación, por lo que —sostenía el Auto— habiendo resuelto que la adjudicación se había efectuado con arreglo a Derecho, las citadas alegaciones habían sido contestadas de forma implícita.</w:t>
      </w:r>
    </w:p>
    <w:p w:rsidR="0026452D" w:rsidRDefault="0026452D" w:rsidP="0026452D">
      <w:pPr>
        <w:pStyle w:val="TextoNormal"/>
      </w:pPr>
    </w:p>
    <w:p w:rsidR="0026452D" w:rsidRDefault="0026452D" w:rsidP="0026452D">
      <w:pPr>
        <w:pStyle w:val="TextoNormal"/>
      </w:pPr>
      <w:r w:rsidRPr="0026452D">
        <w:rPr>
          <w:rStyle w:val="NumeroAFNegritaCaracter"/>
        </w:rPr>
        <w:t>3</w:t>
      </w:r>
      <w:r>
        <w:t>. En la demanda de amparo se alega que la Sentencia de la Sala de lo Contencioso-Administrativo del Tribunal Superior de Justicia de Canarias de 13 de abril de 2010, vulneró el derecho de la recurrente a la tutela judicial efectiva (art. 24 CE) en las siguientes vertientes del mismo:</w:t>
      </w:r>
    </w:p>
    <w:p w:rsidR="0026452D" w:rsidRDefault="0026452D" w:rsidP="0026452D">
      <w:pPr>
        <w:pStyle w:val="TextoNormal"/>
      </w:pPr>
    </w:p>
    <w:p w:rsidR="0026452D" w:rsidRDefault="0026452D" w:rsidP="0026452D">
      <w:pPr>
        <w:pStyle w:val="TextoNormal"/>
      </w:pPr>
      <w:r>
        <w:t xml:space="preserve">a) El derecho a utilizar los medios de prueba pertinentes para la defensa (art. 24.2 CE), dado que, pese a que se practicaron los medios de prueba previamente admitidos, posteriormente fueron valorados en la Sentencia como si no lo hubieran sido. Así, la Sentencia entendió, en contra de lo que habían dispuesto las resoluciones judiciales dictadas en trámite de admisión de prueba, que carecía de idoneidad la perito señora Flores en virtud de su titulación; que el perito judicialmente designado, el señor García Boza, carecía de la preceptiva colegiación y que había sido designado por la entidad recurrente, lo cual constituye un error manifiesto y, por último, la Sentencia, indebidamente, otorgó la condición de informe pericial al que había sido previamente inadmitido como tal, el informe emitido por el señor Veza Iglesias, practicado en el primer recurso contencioso-administrativo y que fue aportado a los autos como prueba documental. Por este motivo no fue ratificado, ni se solicitó su ratificación a presencia judicial, ocasionando la indefensión del demandante de amparo, indefensión especialmente grave, si a lo dicho se añadía el que, con vulneración de la preceptiva inmediación, no formó parte de la Sala el Magistrado en el que aquélla había delegado la intervención en la práctica de las pruebas, sin haber comunicado previamente </w:t>
      </w:r>
      <w:r>
        <w:lastRenderedPageBreak/>
        <w:t>la modificación en la composición del órgano al recurrente. Igualmente, la Sentencia de 2010 excluyó, como si no hubiese existido, la documental pública (el expediente administrativo) tenida en cuenta en la Sentencia de 2008 y de la que se infería la desviación de poder que la recurrente atribuía al Ayuntamiento de las Palmas de Gran Canaria en la adjudicación del concurso, lo que impidió que ésta se considerase acreditada.</w:t>
      </w:r>
    </w:p>
    <w:p w:rsidR="0026452D" w:rsidRDefault="0026452D" w:rsidP="0026452D">
      <w:pPr>
        <w:pStyle w:val="TextoNormal"/>
      </w:pPr>
    </w:p>
    <w:p w:rsidR="0026452D" w:rsidRDefault="0026452D" w:rsidP="0026452D">
      <w:pPr>
        <w:pStyle w:val="TextoNormal"/>
      </w:pPr>
      <w:r>
        <w:t>b) En segundo lugar, la demanda de amparo considera que la Sentencia lesionó el derecho del recurrente a la intangibilidad de las resoluciones judiciales (art. 24.1 CE), de un lado, por no atenerse a las decisiones firmes de la misma Sala sobre admisión y práctica de prueba en cuanto al nombramiento e idoneidad de los peritos, en el mismo sentido expuesto en el apartado anterior.</w:t>
      </w:r>
    </w:p>
    <w:p w:rsidR="0026452D" w:rsidRDefault="0026452D" w:rsidP="0026452D">
      <w:pPr>
        <w:pStyle w:val="TextoNormal"/>
      </w:pPr>
    </w:p>
    <w:p w:rsidR="0026452D" w:rsidRDefault="0026452D" w:rsidP="0026452D">
      <w:pPr>
        <w:pStyle w:val="TextoNormal"/>
      </w:pPr>
      <w:r>
        <w:t>De otro lado, el derecho fundamental fue lesionado porque la Sentencia, dictada a consecuencia de la estimación del incidente de nulidad interpuesto contra la previa Sentencia de 7 de noviembre de 2008, debió ceñirse a revisar los extremos de ésta que estaban relacionados con los motivos de anulación. La resolución, por el contrario, prescindió por completo de los hechos declarados probados en la Sentencia anterior, para realizar una nueva declaración de tales hechos, excediéndose de lo ordenado en el Auto decisorio del incidente. A juicio del recurrente, la omisión de la valoración de un medio probatorio —que fue lo que aquel primer incidente de nulidad de actuaciones censuró— no puede permitir a la Sala revisar los demás hechos probados a través de medios que no guardaban relación con aquél y cuya corrección procesal ya había sido declarada a lo largo del procedimiento.</w:t>
      </w:r>
    </w:p>
    <w:p w:rsidR="0026452D" w:rsidRDefault="0026452D" w:rsidP="0026452D">
      <w:pPr>
        <w:pStyle w:val="TextoNormal"/>
      </w:pPr>
    </w:p>
    <w:p w:rsidR="0026452D" w:rsidRDefault="0026452D" w:rsidP="0026452D">
      <w:pPr>
        <w:pStyle w:val="TextoNormal"/>
      </w:pPr>
      <w:r>
        <w:t>c) Por último, se invoca en la demanda de amparo que la Sentencia de 13 de abril de 2010 ha vulnerado el derecho del recurrente a obtener una resolución congruente, fundada en una motivación no manifiestamente errónea ni arbitraria, o que constituya una mera apariencia de aplicación de la legalidad (art. 24.1 CE), en la medida en que ante la misma Sala y en relación con los mismos hechos —cuál de las ofertas debía ser considerada la más ventajosa a efectos de la adjudicación— la entidad recurrente obtuvo dos Sentencias radicalmente contrarias y no obtuvo respuesta, por el contrario, respecto de una de la pretensiones de la demanda —la anulación del acto administrativo por desviación de poder y arbitrariedad—. Esta arbitrariedad se predica igualmente de los Autos resolviendo los incidentes de nulidad sucesivamente interpuestos, los cuales alcanzan decisiones antitéticas, incurriendo en la irrazonabilidad y los errores denunciados en los apartados precedentes.</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12 de diciembre de 2012 la Sala Segunda del Tribunal Constitucional, de conformidad con lo dispuesto en el art. 11.2 de la Ley Orgánica del Tribunal Constitucional (LOTC), acordó admitir a trámite la demanda de amparo y, a tenor de lo dispuesto en el art. 51 LOTC, requerir atentamente a la Sección Primera de la Sala de lo Contencioso-Administrativo del Tribunal Superior de Justicia de Canarias para que remitiera certificación o fotocopia adverada de las actuaciones correspondientes al recurso contencioso-administrativo núm. 1441-2001, interesando que emplazase a quienes fueron parte en el mencionado procedimiento, con excepción del recurrente en amparo, para que en el plazo de diez días pudiesen comparecer en este proceso constitucional, con traslado a dichos efectos de copia de la demanda presentada.</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5</w:t>
      </w:r>
      <w:r>
        <w:t>. Mediante escrito registrado en este Tribunal el 7 de febrero de 2012, se personó en el recurso de amparo el Procurador de los Tribunales don José María Ruíz de la Cuesta Vacas en nombre y representación del Ayuntamiento de Las Palmas de Gran Canaria.</w:t>
      </w:r>
    </w:p>
    <w:p w:rsidR="0026452D" w:rsidRDefault="0026452D" w:rsidP="0026452D">
      <w:pPr>
        <w:pStyle w:val="TextoNormal"/>
      </w:pPr>
    </w:p>
    <w:p w:rsidR="0026452D" w:rsidRDefault="0026452D" w:rsidP="0026452D">
      <w:pPr>
        <w:pStyle w:val="TextoNormal"/>
      </w:pPr>
      <w:r>
        <w:t>Igualmente, y mediante escrito registrado el día 21 de febrero de 2012, se personó en el recurso de amparo el Procurador de los Tribunales don Gabriel de Diego Quevedo, en nombre y representación de las entidades mercantiles Valoriza Agua, S.L.U., y S.A.U.R., S.A.</w:t>
      </w:r>
    </w:p>
    <w:p w:rsidR="0026452D" w:rsidRDefault="0026452D" w:rsidP="0026452D">
      <w:pPr>
        <w:pStyle w:val="TextoNormal"/>
      </w:pPr>
    </w:p>
    <w:p w:rsidR="0026452D" w:rsidRDefault="0026452D" w:rsidP="0026452D">
      <w:pPr>
        <w:pStyle w:val="TextoNormal"/>
      </w:pPr>
      <w:r w:rsidRPr="0026452D">
        <w:rPr>
          <w:rStyle w:val="NumeroAFNegritaCaracter"/>
        </w:rPr>
        <w:t>6</w:t>
      </w:r>
      <w:r>
        <w:t>. Por diligencia de ordenación de 12 de marzo de 2012 se acordó tener a los anteriores por personados y parte en el procedimiento. Asimismo se ordenó dar vista de las actuaciones recibidas a las partes personadas y al Ministerio Fiscal por el plazo común de veinte días, a fin de que presentasen en dicho plazo las alegaciones que tuvieran por oportunas conforme al art. 52.1 LOTC.</w:t>
      </w:r>
    </w:p>
    <w:p w:rsidR="0026452D" w:rsidRDefault="0026452D" w:rsidP="0026452D">
      <w:pPr>
        <w:pStyle w:val="TextoNormal"/>
      </w:pPr>
    </w:p>
    <w:p w:rsidR="0026452D" w:rsidRDefault="0026452D" w:rsidP="0026452D">
      <w:pPr>
        <w:pStyle w:val="TextoNormal"/>
      </w:pPr>
      <w:r w:rsidRPr="0026452D">
        <w:rPr>
          <w:rStyle w:val="NumeroAFNegritaCaracter"/>
        </w:rPr>
        <w:t>7</w:t>
      </w:r>
      <w:r>
        <w:t>. La demandante de amparo presentó el 19 de abril de 2012 escrito de alegaciones en el que reiteró los hechos y argumentos de su demanda a la vista de las actuaciones remitidas por el Tribunal Superior de Justicia.</w:t>
      </w:r>
    </w:p>
    <w:p w:rsidR="0026452D" w:rsidRDefault="0026452D" w:rsidP="0026452D">
      <w:pPr>
        <w:pStyle w:val="TextoNormal"/>
      </w:pPr>
    </w:p>
    <w:p w:rsidR="0026452D" w:rsidRDefault="0026452D" w:rsidP="0026452D">
      <w:pPr>
        <w:pStyle w:val="TextoNormal"/>
      </w:pPr>
      <w:r w:rsidRPr="0026452D">
        <w:rPr>
          <w:rStyle w:val="NumeroAFNegritaCaracter"/>
        </w:rPr>
        <w:t>8</w:t>
      </w:r>
      <w:r>
        <w:t>. La representación del Ayuntamiento de las Palmas de Gran Canaria formuló alegaciones por escrito presentado el 16 de abril de 2012, en el que se opuso a la demanda al considerar que concurrían las causas de inadmisibilidad siguientes:</w:t>
      </w:r>
    </w:p>
    <w:p w:rsidR="0026452D" w:rsidRDefault="0026452D" w:rsidP="0026452D">
      <w:pPr>
        <w:pStyle w:val="TextoNormal"/>
      </w:pPr>
    </w:p>
    <w:p w:rsidR="0026452D" w:rsidRDefault="0026452D" w:rsidP="0026452D">
      <w:pPr>
        <w:pStyle w:val="TextoNormal"/>
      </w:pPr>
      <w:r>
        <w:t>a) En primer lugar, partiendo de la base de que las quejas que se articulaban en la demanda fueron producidas en realidad, no por la Sentencia de 13 de abril de 2010, sino por el Auto de 27 de marzo de 2009 que declaró la nulidad de la Sentencia de 2008, se adujo que la demanda de amparo incurría en extemporaneidad, dado que el plazo de treinta días para la interposición del recurso a que se refiere el art. 44.2 LOTC debió computarse desde la notificación de aquel Auto y no de aquella Sentencia. Igualmente, dado que frente al citado Auto no se interpusieron recurso ni objeción algunos, la demanda incurriría también en la opinión del Ayuntamiento en el óbice de falta de agotamiento de la vía judicial previa [art. 44.1 c) LOTC] y en el de falta de denuncia tempestiva de la vulneración [art. 44.1 a) LOTC].</w:t>
      </w:r>
    </w:p>
    <w:p w:rsidR="0026452D" w:rsidRDefault="0026452D" w:rsidP="0026452D">
      <w:pPr>
        <w:pStyle w:val="TextoNormal"/>
      </w:pPr>
    </w:p>
    <w:p w:rsidR="0026452D" w:rsidRDefault="0026452D" w:rsidP="0026452D">
      <w:pPr>
        <w:pStyle w:val="TextoNormal"/>
      </w:pPr>
      <w:r>
        <w:t>b) En segundo lugar, se opuso en el escrito que la demandante Aquagest carece de legitimación activa para la interposición del recurso contencioso-administrativo, en la medida en que nunca acreditó la adopción del acuerdo societario autorizando aquélla, como exige el art. 45.2 de la Ley reguladora de la jurisdicción contencioso-administrativa. Con su demanda de amparo la entidad tampoco subsanó este defecto.</w:t>
      </w:r>
    </w:p>
    <w:p w:rsidR="0026452D" w:rsidRDefault="0026452D" w:rsidP="0026452D">
      <w:pPr>
        <w:pStyle w:val="TextoNormal"/>
      </w:pPr>
    </w:p>
    <w:p w:rsidR="0026452D" w:rsidRDefault="0026452D" w:rsidP="0026452D">
      <w:pPr>
        <w:pStyle w:val="TextoNormal"/>
      </w:pPr>
      <w:r>
        <w:t>c) En último lugar, el Ayuntamiento de las Palmas de Gran Canaria negó que el recurso gozase de especial transcendencia constitucional, al versar sobre la valoración e interpretación de determinadas pruebas periciales, materia sobre la que existe innumerable doctrina de este Tribunal.</w:t>
      </w:r>
    </w:p>
    <w:p w:rsidR="0026452D" w:rsidRDefault="0026452D" w:rsidP="0026452D">
      <w:pPr>
        <w:pStyle w:val="TextoNormal"/>
      </w:pPr>
    </w:p>
    <w:p w:rsidR="0026452D" w:rsidRDefault="0026452D" w:rsidP="0026452D">
      <w:pPr>
        <w:pStyle w:val="TextoNormal"/>
      </w:pPr>
      <w:r>
        <w:t xml:space="preserve">Respecto de las vulneraciones de derechos fundamentales denunciadas, el Letrado del Ayuntamiento mantuvo que la resolución del recurso de apelación exigía la consideración </w:t>
      </w:r>
      <w:r>
        <w:lastRenderedPageBreak/>
        <w:t>de la prueba pericial inicialmente omitida y, en todo caso, si la entidad demandante no estaba de acuerdo con que debía ser valorado dicho informe pericial debió recurrir el Auto de 27 de marzo de 2009, cosa que no hizo. La valoración de la prueba realizada en la segunda Sentencia no causó indefensión alguna: el informe del señor Veza Iglesia fue en su día ratificado y sometido a la contradicción de las partes. La Sentencia impugnada, de acuerdo con el Auto declarando la nulidad de la primera Sentencia, estableció los hechos que debían servir de base a sus consideraciones o fundamentos jurídicos, y, si privó de eficacia a los dos informes de los peritos que antes se habían valorado, no lo hizo por la falta de titulación de los peritos, sino por su falta de objetividad y credibilidad, refiriéndose a la falta de titulación a mayor abundamiento. Tampoco se anularon en la Sentencia recurrida resoluciones firmes anteriores sobre admisión de prueba y nombramiento de peritos. Simplemente llevó a cabo una nueva valoración de la prueba, que respondía a las reglas de la sana crítica, sin que la Sentencia de 7 de noviembre de 2008, una vez anulada, pudiera servir para limitar la libertad de la Sala sentenciadora en la referida valoración.</w:t>
      </w:r>
    </w:p>
    <w:p w:rsidR="0026452D" w:rsidRDefault="0026452D" w:rsidP="0026452D">
      <w:pPr>
        <w:pStyle w:val="TextoNormal"/>
      </w:pPr>
    </w:p>
    <w:p w:rsidR="0026452D" w:rsidRDefault="0026452D" w:rsidP="0026452D">
      <w:pPr>
        <w:pStyle w:val="TextoNormal"/>
      </w:pPr>
      <w:r>
        <w:t>Respecto de la denunciada incongruencia omisiva en cuanto a la pretendida desviación de poder, la Sentencia impugnada dio respuesta a la cuestión al entender, de la prueba practicada, que la oferta de la recurrente no podía ser considerada la más ventajosa para el Ayuntamiento, por lo que tampoco en este sentido el derecho a la tutela judicial efectiva podía considerarse vulnerado.</w:t>
      </w:r>
    </w:p>
    <w:p w:rsidR="0026452D" w:rsidRDefault="0026452D" w:rsidP="0026452D">
      <w:pPr>
        <w:pStyle w:val="TextoNormal"/>
      </w:pPr>
    </w:p>
    <w:p w:rsidR="0026452D" w:rsidRDefault="0026452D" w:rsidP="0026452D">
      <w:pPr>
        <w:pStyle w:val="TextoNormal"/>
      </w:pPr>
      <w:r w:rsidRPr="0026452D">
        <w:rPr>
          <w:rStyle w:val="NumeroAFNegritaCaracter"/>
        </w:rPr>
        <w:t>9</w:t>
      </w:r>
      <w:r>
        <w:t>. La representación de las entidades Valoriza Agua, S.L.U., y S.A.U.R., S.A., en su escrito de alegaciones presentado el 17 de abril de 2012, también se opuso a la demanda, en primer lugar, por entender que concurrían las causas de inadmisibilidad de falta de especial trascendencia del recurso de amparo (art. 50.1 LOTC) al no haberse lesionado por la Sentencia recurrida los derechos fundamentales invocados y de falta de denuncia tempestiva de la vulneración [art. 44.1 a) LOTC] al no hacerse mención en el incidente de nulidad de actuaciones interpuesto frente a la Sentencia ahora recurrida el error patente pretendidamente padecido al considerar la pericial del señor García Boza como de parte, cuando ostentaba la naturaleza de pericial judicial y la incongruencia omisiva derivada de no haber dado respuesta a la pretensión contenida en la demanda del recurso contencioso de anulación del acto por haber incurrido el Ayuntamiento en desviación de poder.</w:t>
      </w:r>
    </w:p>
    <w:p w:rsidR="0026452D" w:rsidRDefault="0026452D" w:rsidP="0026452D">
      <w:pPr>
        <w:pStyle w:val="TextoNormal"/>
      </w:pPr>
    </w:p>
    <w:p w:rsidR="0026452D" w:rsidRDefault="0026452D" w:rsidP="0026452D">
      <w:pPr>
        <w:pStyle w:val="TextoNormal"/>
      </w:pPr>
      <w:r>
        <w:t>En cuanto al fondo de las quejas objeto del recurso de amparo, la representación de Valoriza Agua, S.L.U., y S.A.U.R., S.A., suplicó que el recurso de amparo fuese desestimado:</w:t>
      </w:r>
    </w:p>
    <w:p w:rsidR="0026452D" w:rsidRDefault="0026452D" w:rsidP="0026452D">
      <w:pPr>
        <w:pStyle w:val="TextoNormal"/>
      </w:pPr>
    </w:p>
    <w:p w:rsidR="0026452D" w:rsidRDefault="0026452D" w:rsidP="0026452D">
      <w:pPr>
        <w:pStyle w:val="TextoNormal"/>
      </w:pPr>
      <w:r>
        <w:t xml:space="preserve">a) En relación con la vulneración aducida del derecho a la prueba y en cuanto a las controvertidas pruebas periciales, sostenía que la consideración de pericial del informe del señor Veza Iglesias no se contradecía con el hecho de haber sido admitida la prueba como documental. Ciertamente, por ser traído mediante testimonio de un proceso anterior debía ser calificada de prueba documental pública, pero esto no variaba su naturaleza de pericia. Su incorporación al proceso, por lo demás, no había ocasionado indefensión alguna a la entidad recurrente, dado que en aquel primer proceso ésta había intervenido en el acto de la ratificación judicial del perito y en las aclaraciones y preguntas que se sometieron al mismo. En cuanto a la pericial del señor García Boza, la Sentencia recurrida no había incurrido en error, sino que el citado perito había sido realmente designado sólo por la actora al no concurrir en forma al señalamiento realizado para tal designación ninguna otra parte. La falta de colegiación del perito, por otro lado, no había impedido a la Sala apreciar ampliamente </w:t>
      </w:r>
      <w:r>
        <w:lastRenderedPageBreak/>
        <w:t>su informe, por lo que mal podía afirmarse que se hubiese vulnerado el derecho a la prueba de Aquagest cuando la propuesta por ella había sido admitida, practicada y valorada. Igualmente, la pericial de la señora Flores —que también fue valorada por la Sala— no fue acogida, no porque aquélla no contara con la titulación requerida para la prueba, sino por la manifiesta falta de imparcialidad con que evacuó el informe. Por último, tanto en un caso como en otro, las pruebas cuya supuesta irregularidad fundaba el recurso de amparo no podían ser consideradas decisivas —decisividad sobre la que la demanda de amparo, indebidamente, tampoco incluía ninguna argumentación—: aunque la pericial del señor Veza se hubiese tenido estrictamente por documental y aunque el órgano judicial no hubiese formulado a las periciales de los señores García y Flores ninguno de los reproches que basan la queja, ningún precepto legal ni constitucional imponía una determinada valoración de ellas.</w:t>
      </w:r>
    </w:p>
    <w:p w:rsidR="0026452D" w:rsidRDefault="0026452D" w:rsidP="0026452D">
      <w:pPr>
        <w:pStyle w:val="TextoNormal"/>
      </w:pPr>
    </w:p>
    <w:p w:rsidR="0026452D" w:rsidRDefault="0026452D" w:rsidP="0026452D">
      <w:pPr>
        <w:pStyle w:val="TextoNormal"/>
      </w:pPr>
      <w:r>
        <w:t>Respecto a la alegada en la demanda de amparo falta de valoración del expediente administrativo, la Sentencia impugnada sí lo tuvo en cuenta. En concreto, el pliego de condiciones y el informe de la comisión técnica fueron valorados expresamente en los fundamentos jurídicos octavo, undécimo y duodécimo de la resolución.</w:t>
      </w:r>
    </w:p>
    <w:p w:rsidR="0026452D" w:rsidRDefault="0026452D" w:rsidP="0026452D">
      <w:pPr>
        <w:pStyle w:val="TextoNormal"/>
      </w:pPr>
    </w:p>
    <w:p w:rsidR="0026452D" w:rsidRDefault="0026452D" w:rsidP="0026452D">
      <w:pPr>
        <w:pStyle w:val="TextoNormal"/>
      </w:pPr>
      <w:r>
        <w:t xml:space="preserve">b) La queja atinente al derecho fundamental a la intangibilidad de las resoluciones judiciales firmes se entiende —según el escrito de Valoriza Agua, S.L.U., y S.A.U.R., S.A.— carente de toda verosimilitud, en la medida en que el derecho prohíbe la modificación de tales resoluciones fuera de los cauces establecidos por las leyes. Uno de tales cauces es, precisamente, el incidente de nulidad de actuaciones cuyo objeto, en caso de ser estimado, es el de declarar la nulidad de pleno Derecho y </w:t>
      </w:r>
      <w:r w:rsidRPr="0026452D">
        <w:rPr>
          <w:i/>
        </w:rPr>
        <w:t>ex tunc</w:t>
      </w:r>
      <w:r>
        <w:t xml:space="preserve"> de la resolución a que se refiera, la cual queda carente de toda eficacia.</w:t>
      </w:r>
    </w:p>
    <w:p w:rsidR="0026452D" w:rsidRDefault="0026452D" w:rsidP="0026452D">
      <w:pPr>
        <w:pStyle w:val="TextoNormal"/>
      </w:pPr>
    </w:p>
    <w:p w:rsidR="0026452D" w:rsidRDefault="0026452D" w:rsidP="0026452D">
      <w:pPr>
        <w:pStyle w:val="TextoNormal"/>
      </w:pPr>
      <w:r>
        <w:t>c) De acuerdo con esto último, tampoco considera la parte que la Sentencia y Auto recurridos del Tribunal Superior de Justicia de Canarias hayan incurrido en la arbitrariedad denunciada ni incongruencia omisiva, dado que la alegación relativa a la desviación de poder en que había incurrido el Ayuntamiento de las Palmas de Gran Canaria había sido implícitamente respondida al sostenerse en la Sentencia recurrida que la recurrente no había acreditado que la oferta más ventajosa fuese la efectuada por ella.</w:t>
      </w:r>
    </w:p>
    <w:p w:rsidR="0026452D" w:rsidRDefault="0026452D" w:rsidP="0026452D">
      <w:pPr>
        <w:pStyle w:val="TextoNormal"/>
      </w:pPr>
    </w:p>
    <w:p w:rsidR="0026452D" w:rsidRDefault="0026452D" w:rsidP="0026452D">
      <w:pPr>
        <w:pStyle w:val="TextoNormal"/>
      </w:pPr>
      <w:r>
        <w:t>En definitiva —alega la entidad oponente al recurso de amparo— la recurrente interesadamente califica de vulneraciones a la intangibilidad y al derecho a la prueba su mera discrepancia con la nueva valoración de ésta realizada por el órgano judicial, para lo cual no duda en tergiversar la realidad de las actuaciones procesales habidas, incurriendo en temeridad y mala fe. En consecuencia suplica que el recurso de amparo sea desestimado, con imposición de las costas a Aquagest (art. 95.2 LOTC).</w:t>
      </w:r>
    </w:p>
    <w:p w:rsidR="0026452D" w:rsidRDefault="0026452D" w:rsidP="0026452D">
      <w:pPr>
        <w:pStyle w:val="TextoNormal"/>
      </w:pPr>
    </w:p>
    <w:p w:rsidR="0026452D" w:rsidRDefault="0026452D" w:rsidP="0026452D">
      <w:pPr>
        <w:pStyle w:val="TextoNormal"/>
      </w:pPr>
      <w:r w:rsidRPr="0026452D">
        <w:rPr>
          <w:rStyle w:val="NumeroAFNegritaCaracter"/>
        </w:rPr>
        <w:t>10</w:t>
      </w:r>
      <w:r>
        <w:t>. El Ministerio Fiscal dio cumplimiento al trámite de alegaciones mediante escrito presentado el 23 de abril de 2012. Después de sistematizar las alegaciones de la demanda, el Fiscal interesó la denegación del amparo por los siguientes motivos.</w:t>
      </w:r>
    </w:p>
    <w:p w:rsidR="0026452D" w:rsidRDefault="0026452D" w:rsidP="0026452D">
      <w:pPr>
        <w:pStyle w:val="TextoNormal"/>
      </w:pPr>
    </w:p>
    <w:p w:rsidR="0026452D" w:rsidRDefault="0026452D" w:rsidP="0026452D">
      <w:pPr>
        <w:pStyle w:val="TextoNormal"/>
      </w:pPr>
      <w:r>
        <w:t xml:space="preserve">a) Respecto del derecho a la prueba, la valoración en la segunda Sentencia del informe pericial del señor Vega Iglesias no causó indefensión alguna a la recurrente, pues, con independencia de su modo de inserción en el proceso, la demandante de amparo pudo contradecirlo tanto en un procedimiento como en el sucesivo. Tampoco vulneraron el derecho a </w:t>
      </w:r>
      <w:r>
        <w:lastRenderedPageBreak/>
        <w:t>la prueba la alusión a los déficits de titulación de los otros dos peritos, que no fueron determinantes de su falta de capacidad para fundar la convicción del órgano judicial ni el cambio de uno de los Magistrados de la Sala sentenciadora respecto del que la parte no invocó tacha alguna. En este sentido, el Ministerio público puso de manifiesto que la presencia judicial en la práctica de la prueba en el orden contencioso-administrativo no tiene como finalidad garantizar la inmediación, sino la corrección de su práctica. La falta de valoración del expediente administrativo, por último, carecía de relevancia en la medida en que el recurso contencioso, la legalidad del acto administrativo, se decidió en función de la oferta que se consideró más ventajosa.</w:t>
      </w:r>
    </w:p>
    <w:p w:rsidR="0026452D" w:rsidRDefault="0026452D" w:rsidP="0026452D">
      <w:pPr>
        <w:pStyle w:val="TextoNormal"/>
      </w:pPr>
    </w:p>
    <w:p w:rsidR="0026452D" w:rsidRDefault="0026452D" w:rsidP="0026452D">
      <w:pPr>
        <w:pStyle w:val="TextoNormal"/>
      </w:pPr>
      <w:r>
        <w:t>b) Respecto del derecho a la tutela judicial efectiva en su vertiente de intangibilidad de las resoluciones judiciales firmes, el Fiscal tampoco lo consideró vulnerado puesto que, una vez anulada, la primera Sentencia dejó de existir y, por tanto, no condicionaba al Tribunal en su nueva Sentencia, el cual para valorar las pruebas tampoco se encontraba condicionado por sus previas resoluciones sobre su admisibilidad y práctica.</w:t>
      </w:r>
    </w:p>
    <w:p w:rsidR="0026452D" w:rsidRDefault="0026452D" w:rsidP="0026452D">
      <w:pPr>
        <w:pStyle w:val="TextoNormal"/>
      </w:pPr>
    </w:p>
    <w:p w:rsidR="0026452D" w:rsidRDefault="0026452D" w:rsidP="0026452D">
      <w:pPr>
        <w:pStyle w:val="TextoNormal"/>
      </w:pPr>
      <w:r>
        <w:t>c) Finalmente, no se consideraba vulnerado el derecho a la tutela judicial efectiva sin indefensión por dar el órgano judicial respuestas contradictorias sobre un mismo asunto dado que, en el caso, no es que coexistieran dos sentencias válidas contrapuestas, sino que sólo una en cuyo fallo no apreciaba indicios de arbitrariedad.</w:t>
      </w:r>
    </w:p>
    <w:p w:rsidR="0026452D" w:rsidRDefault="0026452D" w:rsidP="0026452D">
      <w:pPr>
        <w:pStyle w:val="TextoNormal"/>
      </w:pPr>
    </w:p>
    <w:p w:rsidR="0026452D" w:rsidRDefault="0026452D" w:rsidP="0026452D">
      <w:pPr>
        <w:pStyle w:val="TextoNormal"/>
      </w:pPr>
      <w:r w:rsidRPr="0026452D">
        <w:rPr>
          <w:rStyle w:val="NumeroAFNegritaCaracter"/>
        </w:rPr>
        <w:t>11</w:t>
      </w:r>
      <w:r>
        <w:t>. Por providencia de 30 de mayo de 2013, se señaló para deliberación y fallo de la Sentencia el día 3 de junio del mismo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amparo se dirige contra la Sentencia de la Sala de lo Contencioso-Administrativo del Tribunal Superior de Justicia de Canarias, de 13 de abril de 2010, recaída en el recurso núm. 1441-2001 y contra el Auto de la misma Sala de 15 de junio de 2010, que desestimó el incidente de nulidad de actuaciones interpuesto contra la anterior. Respecto de ellos el recurrente sostiene que han vulnerado su derecho al uso de los medios de prueba pertinentes para su defensa (art. 24.2 CE) y su derecho a la tutela judicial efectiva en su concreta dimensión de derecho a la intangibilidad de las resoluciones judiciales firmes y de derecho a una resolución judicial no arbitraria (art. 24.1 CE), en la medida en que en la referida Sentencia se valoraron las pruebas periciales que se habían practicado en el proceso mediante razonamientos incompatibles con lo declarado y ordenado en las resoluciones judiciales que con anterioridad habían admitido tales pruebas. La valoración de la prueba efectuada en la Sentencia se consideraba igualmente no respetuosa con los pronunciamientos no afectados de nulidad que, en torno a las mismas periciales, se habían efectuado en la Sentencia de 7 de noviembre de 2008, dictada previamente en el mismo proceso a favor de la hoy demandante y que había sido declarada nula en el incidente de nulidad de actuaciones entonces interpuesto frente a ésta por la parte contraria. Adicionalmente, se alega en la demanda de amparo que la Sentencia incurrió en incongruencia omisiva, por no dar respuesta a la pretensión de anulabilidad del acto administrativo fundada en desviación de poder.</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2</w:t>
      </w:r>
      <w:r>
        <w:t>. Con carácter previo al análisis de la cuestión de fondo así centrada, hemos de examinar los óbices procesales planteados por las partes recurridas, que, de concurrir, serían susceptibles de ser apreciados también en este momento procesal. En efecto, este Tribunal ha declarado en constante jurisprudencia que los defectos insubsanables de que pudiera estar afectado el recurso de amparo no resultan sanados porque el recurso haya sido inicialmente admitido a trámite, de forma que la concurrencia de los presupuestos procesales para la viabilidad del recurso pueden ser objeto de reconsideración en la Sentencia, de oficio o a instancia de parte y dar lugar, en su caso, a un pronunciamiento de inadmisión por la falta de tales presupuestos, sin que para ello constituya obstáculo el carácter tasado de los pronunciamientos previstos en el art. 53 de la Ley Orgánica del Tribunal Constitucional (por todas, STC 44/2013, de 25 de febrero, FJ 2).</w:t>
      </w:r>
    </w:p>
    <w:p w:rsidR="0026452D" w:rsidRDefault="0026452D" w:rsidP="0026452D">
      <w:pPr>
        <w:pStyle w:val="TextoNormal"/>
      </w:pPr>
    </w:p>
    <w:p w:rsidR="0026452D" w:rsidRDefault="0026452D" w:rsidP="0026452D">
      <w:pPr>
        <w:pStyle w:val="TextoNormal"/>
      </w:pPr>
      <w:r>
        <w:t>a) Alegó, en primer lugar, la representación del Ayuntamiento de Las Palmas de Gran Canaria que el recurso de amparo había sido interpuesto extemporáneamente, dado que las quejas denunciadas en él habían sido causadas por el Auto de 27 de marzo de 2009 que declaró la nulidad de la Sentencia de 7 de noviembre de 2008, por lo que el plazo de treinta días para su interposición previsto en el art. 44 de la Ley Orgánica de este Tribunal (LOTC) debió computarse desde la notificación del Auto citado, superando entonces con creces el referido plazo.</w:t>
      </w:r>
    </w:p>
    <w:p w:rsidR="0026452D" w:rsidRDefault="0026452D" w:rsidP="0026452D">
      <w:pPr>
        <w:pStyle w:val="TextoNormal"/>
      </w:pPr>
    </w:p>
    <w:p w:rsidR="0026452D" w:rsidRDefault="0026452D" w:rsidP="0026452D">
      <w:pPr>
        <w:pStyle w:val="TextoNormal"/>
      </w:pPr>
      <w:r>
        <w:t xml:space="preserve">La causa de inadmisibilidad así expuesta no puede prosperar. Es reiterada doctrina constitucional que el plazo legal de treinta días que establece el art. 44.2 LOTC para la interposición del recurso de amparo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(STC 56/2008, de 14 de abril, FJ 2). En el caso de autos las vulneraciones de derechos fundamentales objeto del recurso se imputan por el demandante a la Sentencia de 13 de abril de 2010 y, en concreto, a la valoración de la prueba efectuada en ella. La queja no se extiende a la previa declaración de nulidad realizada en el Auto de 27 de marzo de 2009. En consecuencia, aplicando la doctrina transcrita, el plazo de treinta días debe computarse desde la notificación a la demandante de amparo del Auto de 15 de junio de 2010, que desestimó el incidente de nulidad interpuesto contra la Sentencia impugnada, de 13 de abril de 2010 y que tuvo lugar el 30 de junio de 2010. Tomando como </w:t>
      </w:r>
      <w:r w:rsidRPr="0026452D">
        <w:rPr>
          <w:i/>
        </w:rPr>
        <w:t>dies a quo</w:t>
      </w:r>
      <w:r>
        <w:t xml:space="preserve"> del plazo esta fecha el recurso de amparo, que tuvo entrada en el registro de este Tribunal el 10 de septiembre de 2010, debe considerarse interpuesto en tiempo. Consecuencia lógica de lo dicho, es que la vía judicial previa fue correctamente agotada [art. 44.1 c) LOTC], por lo que decae igualmente esta causa de inadmisibilidad y la aducida falta de invocación tempestiva [art. 44.1 a) LOTC], salvo lo que se dirá a continuación.</w:t>
      </w:r>
    </w:p>
    <w:p w:rsidR="0026452D" w:rsidRDefault="0026452D" w:rsidP="0026452D">
      <w:pPr>
        <w:pStyle w:val="TextoNormal"/>
      </w:pPr>
    </w:p>
    <w:p w:rsidR="0026452D" w:rsidRDefault="0026452D" w:rsidP="0026452D">
      <w:pPr>
        <w:pStyle w:val="TextoNormal"/>
      </w:pPr>
      <w:r>
        <w:t>b) En segundo lugar, se opuso por la misma parte recurrida la carencia de legitimación activa de la sociedad demandante por no haber acreditado nunca en el recurso contencioso-administrativo la adopción por el órgano societario con competencia para ello del acuerdo autorizando la interposición de dicho recurso, como exige el art. 45.2 d) de la Ley reguladora de la jurisdicción contencioso-administrativa, sin que lo haya hecho tampoco en este recurso de amparo.</w:t>
      </w:r>
    </w:p>
    <w:p w:rsidR="0026452D" w:rsidRDefault="0026452D" w:rsidP="0026452D">
      <w:pPr>
        <w:pStyle w:val="TextoNormal"/>
      </w:pPr>
    </w:p>
    <w:p w:rsidR="0026452D" w:rsidRDefault="0026452D" w:rsidP="0026452D">
      <w:pPr>
        <w:pStyle w:val="TextoNormal"/>
      </w:pPr>
      <w:r>
        <w:lastRenderedPageBreak/>
        <w:t>La excepción no es atendible en este recurso. No corresponde a este Tribunal verificar el cumplimiento de los requisitos exigidos por la legislación procesal para la interposición de las demandas y recursos ante la jurisdicción ordinaria ni la interpretación que de la legalidad realicen los Juzgados y Tribunales a este respecto, si no es, esto último, con ocasión del análisis de las vulneraciones de derechos fundamentales que constituyan el objeto del recurso de amparo, lo que no sucede en el presente caso en que la cuestión se plantea como óbice de admisibilidad del recurso constitucional. Como se dijo en la STC 246/2004, de , FJ 2, “este Tribunal … de acuerdo con lo establecido en el art. 1.1 de su Ley Orgánica se halla sometido sólo a la Constitución y a esta misma Ley, por lo que, a los efectos de determinar la legitimación procesal en el recurso de amparo, la única regulación posible y atendible es la recogida en el art. 162.1 b) de la Constitución y en el art. 46 LOTC, normativa ésta cerrada y autosuficiente que no podría resultar innovada por cualesquiera otras disposiciones, de tal modo que los requisitos de legitimación para recurrir en amparo sólo deben ser analizados en virtud de reunir las condiciones requeridas por dichos preceptos.” Habiendo ostentado Aquagest la condición de parte durante todo el recurso contencioso-administrativo sustanciado en la vía judicial previa, no cabe duda de que ostenta legitimación para la interposición del recurso de amparo con arreglo al art. 46.1 LOTC, según el cual “[e]stán legitimados para interponer el recurso de amparo constitucional: … En los casos de los artículos 43 y 44, quienes hayan sido parte en el proceso judicial correspondiente”, por lo que el óbice opuesto debe ser desestimado.</w:t>
      </w:r>
    </w:p>
    <w:p w:rsidR="0026452D" w:rsidRDefault="0026452D" w:rsidP="0026452D">
      <w:pPr>
        <w:pStyle w:val="TextoNormal"/>
      </w:pPr>
    </w:p>
    <w:p w:rsidR="0026452D" w:rsidRDefault="0026452D" w:rsidP="0026452D">
      <w:pPr>
        <w:pStyle w:val="TextoNormal"/>
      </w:pPr>
      <w:r>
        <w:t>c) Tanto la representación del Ayuntamiento de las Palmas de Gran Canaria como la representación de Valoriza Agua, S.L.U., y S.A.U.R., S.A. se opusieron a la admisión de la demanda de amparo por entender que la misma carecía de especial trascendencia constitucional [art. 50.1 b) LOTC], requisito éste, flexible e indeterminado, que fue introducido en el precepto citado por la Ley Orgánica 6/2007, de 24 de mayo y que ha sido objeto de concreción no exhaustiva en la STC 155/2009, de 25 de junio, en la que se identifican determinados supuestos que dotan al recurso de esa especial trascendencia constitucional. Sin perjuicio de que el momento procesal idóneo para el análisis del cumplimiento del indicado requisito es el trámite de admisión de la demanda de amparo, cabe responder ahora que entonces se estimó por la Sala que la cuestión planteada en la demanda permitiría al Tribunal aclarar su doctrina sobre los límites de la eficacia invalidante del incidente de nulidad de actuaciones regulado en el art. 241 de la Ley Orgánica del Poder Judicial (LOPJ) en el sentido que más tarde se dirá [STC 155/2009, de 25 de junio, FJ 2 b)], sin perjuicio de cuál sea la decisión final, estimatoria o desestimatoria, en relación con el fondo del asunto.</w:t>
      </w:r>
    </w:p>
    <w:p w:rsidR="0026452D" w:rsidRDefault="0026452D" w:rsidP="0026452D">
      <w:pPr>
        <w:pStyle w:val="TextoNormal"/>
      </w:pPr>
    </w:p>
    <w:p w:rsidR="0026452D" w:rsidRDefault="0026452D" w:rsidP="0026452D">
      <w:pPr>
        <w:pStyle w:val="TextoNormal"/>
      </w:pPr>
      <w:r>
        <w:t xml:space="preserve">d) Por último, fue alegada como causa de inadmisibilidad la falta de invocación tempestiva de la queja por el recurrente en la vía judicial previa en relación, en concreto, con dos de ellas: el error patente padecido por la Sala sentenciadora al considerar la pericial judicial del señor García Boza como prueba de parte y la incongruencia omisiva en que habría incurrido la Sentencia recurrida al no haber dado respuesta a la pretensión de anulación de la adjudicación del concurso administrativo por haber incurrido el Ayuntamiento en desviación de poder. Ninguna de estas vulneraciones —dice la representación de las empresas adjudicatarias— fueron alegadas en el incidente de nulidad de actuaciones que se interpuso contra la Sentencia. Analizado el escrito por el que se interpuso el referido incidente de nulidad por Aquagest, se aprecia que sí se planteó en él en los mismos términos con que se plantea en el recurso de amparo la queja atinente a la incongruencia omisiva de la Sentencia, por lo que la causa de inadmisibilidad debe ser necesariamente desestimada respecto de esta </w:t>
      </w:r>
      <w:r>
        <w:lastRenderedPageBreak/>
        <w:t>queja. Por el contrario, es cierto que no se encuentra en dicho escrito de nulidad ninguna referencia al supuesto error padecido en la Sentencia en cuanto a la naturaleza de la pericial del señor García Boza en los términos arriba expuestos, limitándose el incidente a poner de manifiesto que el órgano judicial había preterido dicha prueba a favor de la del señor Veza Iglesias basándose en la falta de colegiación del primero. Siendo esto realmente así, bastará en todo caso con que aquel concreto argumento sostenedor de la queja quede fuera de nuestro análisis de fondo, al cual accedemos ya sin más objeciones formales previas.</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Respecto del derecho a utilizar los medios de prueba pertinentes para la defensa, la empresa recurrente sostiene, en primer lugar, que la valoración que de las pruebas periciales se realizó en la resolución recurrida conllevó </w:t>
      </w:r>
      <w:r w:rsidRPr="0026452D">
        <w:rPr>
          <w:i/>
        </w:rPr>
        <w:t>de facto</w:t>
      </w:r>
      <w:r>
        <w:t xml:space="preserve"> su inadmisión, al despreciar su eficacia probatoria basándose en las condiciones de idoneidad que debían reunir los peritos para la emisión del informe antes que en el contenido de éstos.</w:t>
      </w:r>
    </w:p>
    <w:p w:rsidR="0026452D" w:rsidRDefault="0026452D" w:rsidP="0026452D">
      <w:pPr>
        <w:pStyle w:val="TextoNormal"/>
      </w:pPr>
    </w:p>
    <w:p w:rsidR="0026452D" w:rsidRDefault="0026452D" w:rsidP="0026452D">
      <w:pPr>
        <w:pStyle w:val="TextoNormal"/>
      </w:pPr>
      <w:r>
        <w:t>La queja así planteada concierne estrictamente a la valoración judicial del material probatorio, sobre la que hemos dicho reiteradamente que no corresponde al Tribunal Constitucional su revisión, “sino sólo llevar a cabo una supervisión externa de la razonabilidad del discurso que enlaza la actividad probatoria con el relato fáctico resultante” (STC 70/2012, de 16 de abril, FJ 4 y las que en ella se citan).</w:t>
      </w:r>
    </w:p>
    <w:p w:rsidR="0026452D" w:rsidRDefault="0026452D" w:rsidP="0026452D">
      <w:pPr>
        <w:pStyle w:val="TextoNormal"/>
      </w:pPr>
    </w:p>
    <w:p w:rsidR="0026452D" w:rsidRDefault="0026452D" w:rsidP="0026452D">
      <w:pPr>
        <w:pStyle w:val="TextoNormal"/>
      </w:pPr>
      <w:r>
        <w:t>Estrictamente a estos efectos se aprecia que la Sentencia recurrida, tras transcribir los informes periciales emitidos por el señor Veza Iglesias y el señor García Boza, optó —en aplicación de los criterios de valoración suministrados por la Sentencia del Tribunal Supremo, de 11 de mayo de 1981— por el informe pericial del señor Veza Iglesias, al que se consideró dotado de una “superior explicación racional” (fundamento jurídico séptimo). Se reprochaba al informe del señor García Boza que ninguna de sus conclusiones viniera respaldada por explicación convincente alguna, habiendo sustituido en ocasiones los criterios del pliego rector del concurso por sus propios criterios y que algunas de las respuestas ofrecidas a las partes en el acto de ratificación del dictamen carecieran de toda razón de ciencia. Así, se tachaban de ilógicas las manifestaciones del perito en torno a la irrelevancia, a efectos económicos, de la relación existente entre los recursos propios de la entidad municipal y el volumen de la inversión a realizar; la nula explicación sobre la sorprendente coincidencia —a la letra, céntimos incluidos— de su dictamen con un informe elaborado por el Ayuntamiento; la nula explicación sobre por qué no valoró en el dictamen que S.A.U.R. aportaba al fondo de pensiones cien millones de pesetas más que Aquagest. Aparecían carentes de todo razonamiento o cálculo —según el mismo fundamento citado— las conclusiones del informe relativas al resultado económico inmediato de la adjudicación para el Ayuntamiento y los criterios y puntuaciones reflejados en dichas conclusiones, sobre las que el perito aclaró, en respuesta a uno de los letrados, que eran puntuaciones subjetivas. Por otro lado, no podía obviarse el que el perito no se encontraba colegiado. Adicionalmente, los criterios de valoración auxiliares que se contenían en aquella Sentencia del Tribunal Supremo, en concreto “la mayor credibilidad de los técnicos más alejados de las partes”, llevaron al órgano judicial a considerar igualmente prevalente el informe del señor Veza, designado por sorteo, antes que el del señor García Boza, designado unilateralmente por Aquagest (fundamento jurídico noveno).</w:t>
      </w:r>
    </w:p>
    <w:p w:rsidR="0026452D" w:rsidRDefault="0026452D" w:rsidP="0026452D">
      <w:pPr>
        <w:pStyle w:val="TextoNormal"/>
      </w:pPr>
    </w:p>
    <w:p w:rsidR="0026452D" w:rsidRDefault="0026452D" w:rsidP="0026452D">
      <w:pPr>
        <w:pStyle w:val="TextoNormal"/>
      </w:pPr>
      <w:r>
        <w:t xml:space="preserve">Del informe pericial de la señora Flores la Sala consideró que no debía surtir efecto alguno por carecer la perito de la titulación solicitada en la proposición de prueba y porque la </w:t>
      </w:r>
      <w:r>
        <w:lastRenderedPageBreak/>
        <w:t>misma, “al someterse en audiencia pública a las preguntas y aclaraciones solicitadas por las partes demandadas confesara expresamente que elaboró el informe pericial con la ayuda del letrado de Aquagest, al que consultó las dudas que tenía … Obviamente en estas circunstancias no hace falta acudir a superfluos razonamientos para concluir que a la prueba en cuestión no puede serle reconocida virtualidad alguna.” (fundamento jurídico quinto).</w:t>
      </w:r>
    </w:p>
    <w:p w:rsidR="0026452D" w:rsidRDefault="0026452D" w:rsidP="0026452D">
      <w:pPr>
        <w:pStyle w:val="TextoNormal"/>
      </w:pPr>
    </w:p>
    <w:p w:rsidR="0026452D" w:rsidRDefault="0026452D" w:rsidP="0026452D">
      <w:pPr>
        <w:pStyle w:val="TextoNormal"/>
      </w:pPr>
      <w:r>
        <w:t>Por el contrario, el informe pericial emitido por el señor Veza Iglesias, que tibiamente optaba por la adjudicación a Unelco-S.A.U.R. (al aportar las empresas a corto plazo mayores ingresos al Ayuntamiento, ser su oferta la que más se aproximaba a la valoración solicitada en cuanto al fondo de pensiones o por gestionar conjuntamente agua y energía) se estimaba de mayor rigor técnico. Especialmente, consideraba la Sentencia recurrida trascendental que en él se dejase constancia de la falta de criterios —económicos o de otro tipo— empleados por las bases para la adjudicación del concurso, de suerte que resultaba imposible determinar cuál era la oferta más ventajosa para el ente público. Con arreglo a esto, la Sentencia concluía que al no haber impugnado la entonces actora y hoy recurrente las referidas bases y al ser los informes periciales contradictorios, podía decirse que Aquagest no había enervado como le correspondía, con arreglo a las normas sobre la carga material de la prueba (art. 217 de la Ley de enjuiciamiento civil), la presunción general de validez de los actos administrativos establecida en el art. 57.1 de la Ley 30/1992, de 26 de noviembre. No habiendo acreditado que su oferta fuera la más ventajosa, la demanda —concluía la Sentencia impugnada— debía ser desestimada.</w:t>
      </w:r>
    </w:p>
    <w:p w:rsidR="0026452D" w:rsidRDefault="0026452D" w:rsidP="0026452D">
      <w:pPr>
        <w:pStyle w:val="TextoNormal"/>
      </w:pPr>
    </w:p>
    <w:p w:rsidR="0026452D" w:rsidRDefault="0026452D" w:rsidP="0026452D">
      <w:pPr>
        <w:pStyle w:val="TextoNormal"/>
      </w:pPr>
      <w:r>
        <w:t>De los párrafos precedentes se deduce sobradamente que la valoración de la prueba efectuada en la Sentencia de 13 de abril de 2010, de la Sección Primera de la Sala de lo Contencioso-Administrativa del Tribunal Superior de Justicia de Canarias, era del todo razonable. Los informes periciales en los que la entidad recurrente pretendió apoyar su pretensión no fueron despreciados por las razones de idoneidad (titulación, colegiación) de los peritos que con anterioridad habían sido determinantes en el periodo procesal de admisión de la prueba; fueron preteridos en la valoración por razón de su falta de imparcialidad (el de la Sra. Flores) y rigor (el del Sr. García Boza), a través de razonamientos que no pueden ser calificados de erróneos, irrazonables o arbitrarios, operando a mayor e irrelevante abundamiento las referencias a la titulación y colegiación de los peritos (y hasta la referencia a quién designó a este último), por lo que la queja de la entidad recurrente en este punto carece de sustento fáctico.</w:t>
      </w:r>
    </w:p>
    <w:p w:rsidR="0026452D" w:rsidRDefault="0026452D" w:rsidP="0026452D">
      <w:pPr>
        <w:pStyle w:val="TextoNormal"/>
      </w:pPr>
    </w:p>
    <w:p w:rsidR="0026452D" w:rsidRDefault="0026452D" w:rsidP="0026452D">
      <w:pPr>
        <w:pStyle w:val="TextoNormal"/>
      </w:pPr>
      <w:r>
        <w:t>En segundo lugar, sostuvo la entidad recurrente que la valoración de la pericial del Sr. Veza le había ocasionado indefensión, al haber sido admitida sólo como prueba documental y no haber sido ratificada ni sometida a contradicción. Tampoco desde esta vertiente puede prosperar la queja: como sostiene el Ministerio Fiscal consta en las actuaciones que la recurrente tuvo todas las oportunidades legalmente establecidas para contradecir la prueba en cuestión. Ninguna indefensión se aprecia, por lo tanto, como tampoco porque las periciales controvertidas se practicaran ante un Magistrado que, más tarde, no formó parte de la Sala sentenciadora. A este respecto, “el criterio seguido por el Tribunal Constitucional, cuando lo que se denuncia es la indefensión provocada por la quiebra de la garantía de inmediación del órgano judicial que dicta Sentencia, debida al cambio o sustitución de los Jueces o Magistrados encargados de la resolución del proceso, ha sido el de valorar, a la luz de la doctrina de la indefensión material constitucionalmente relevante, la presencia en las actuacio</w:t>
      </w:r>
      <w:r>
        <w:lastRenderedPageBreak/>
        <w:t>nes de medios objetivos de conocimiento que permitan emitir un juicio fundado (con conocimiento de causa) a quien tiene encomendado el enjuiciamiento del caso sometido a su consideración. … ‘es básicamente esa restricción o no en el conocimiento, por parte del juzgador llamado a decidir sobre la causa, lo que determinará la relevancia de la queja’” (STC 215/2005, de 12 de septiembre, FJ 2). Pues bien, desde el punto de vista de la indefensión material padecida, la queja no puede ser estimada en la medida en que a la irregularidad denunciada el recurrente no vincula ningún perjuicio, ningún extremo del que el órgano judicial —estimándolo necesario el demandante de amparo— no hubiese tenido conocimiento y ningún extremo que el demandante hubiese querido —pero no podido— hacer valer. Sin este perjuicio material, la pretendida indefensión carece de relevancia constitucional.</w:t>
      </w:r>
    </w:p>
    <w:p w:rsidR="0026452D" w:rsidRDefault="0026452D" w:rsidP="0026452D">
      <w:pPr>
        <w:pStyle w:val="TextoNormal"/>
      </w:pPr>
    </w:p>
    <w:p w:rsidR="0026452D" w:rsidRDefault="0026452D" w:rsidP="0026452D">
      <w:pPr>
        <w:pStyle w:val="TextoNormal"/>
      </w:pPr>
      <w:r>
        <w:t xml:space="preserve">Por último en el ámbito del derecho a la prueba, la entidad recurrente puso de manifiesto que el órgano judicial no valoró en la Sentencia impugnada la documental pública —el expediente administrativo— mediante el que pretendía acreditar la desviación de poder en que había incurrido el Ayuntamiento en la adjudicación del concurso. Aunque referida a la valoración de la prueba, la queja en realidad suscita una cuestión de suficiencia de la motivación de la Sentencia, dado que aquélla no se contrae a que la citada documental no haya sido admitida, ni practicada, sino a que el órgano judicial no la ha tenido en cuenta en su decisión, sin hacer pronunciamiento alguno sobre ella. Desde esta perspectiva, es doctrina reiterada de este Tribunal que el deber de motivación que pesa sobre los órganos judiciales no exige un razonamiento “exhaustivo y pormenorizado de todos los aspectos y perspectivas que las partes puedan tener de la cuestión que se debate, sino que deben considerarse suficientemente motivadas aquellas resoluciones judiciales que vengan apoyadas en razones que permitan conocer cuáles han sido los criterios jurídicos esenciales fundamentadores de la decisión o, lo que es lo mismo, la </w:t>
      </w:r>
      <w:r w:rsidRPr="0026452D">
        <w:rPr>
          <w:i/>
        </w:rPr>
        <w:t>ratio decidendi</w:t>
      </w:r>
      <w:r>
        <w:t>; de manera que no existe un derecho fundamental del justiciable a una determinada extensión de la motivación judicial” (por todas, STC 144/2007, de 18 de junio, FJ 3 y las que en ella se citan). No existe obligación, por tanto, de que el órgano judicial realice un pronunciamiento explícito sobre la eficacia probatoria que le merece cada uno de los medios de prueba; basta con que especifique el discurso que enlaza la actividad probatoria con el relato fáctico resultante, lo cual se constata que fue hecho en la Sentencia impugnada y que fue hecho con razonabilidad.</w:t>
      </w:r>
    </w:p>
    <w:p w:rsidR="0026452D" w:rsidRDefault="0026452D" w:rsidP="0026452D">
      <w:pPr>
        <w:pStyle w:val="TextoNormal"/>
      </w:pPr>
    </w:p>
    <w:p w:rsidR="0026452D" w:rsidRDefault="0026452D" w:rsidP="0026452D">
      <w:pPr>
        <w:pStyle w:val="TextoNormal"/>
      </w:pPr>
      <w:r w:rsidRPr="0026452D">
        <w:rPr>
          <w:rStyle w:val="NumeroAFNegritaCaracter"/>
        </w:rPr>
        <w:t>4</w:t>
      </w:r>
      <w:r>
        <w:t>. Por su conexión con esto último, examinaremos ahora si en relación con la desviación de poder del acto administrativo, la Sentencia recurrida incurrió en incongruencia omisiva.</w:t>
      </w:r>
    </w:p>
    <w:p w:rsidR="0026452D" w:rsidRDefault="0026452D" w:rsidP="0026452D">
      <w:pPr>
        <w:pStyle w:val="TextoNormal"/>
      </w:pPr>
    </w:p>
    <w:p w:rsidR="0026452D" w:rsidRDefault="0026452D" w:rsidP="0026452D">
      <w:pPr>
        <w:pStyle w:val="TextoNormal"/>
      </w:pPr>
      <w:r>
        <w:t xml:space="preserve">La respuesta debe ser igualmente negativa. Se incurre en incongruencia omisiva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(STC 25/2012, de 27 de febrero, FJ 3). En el caso de autos, puede decirse que la pretensión ejercitada por la entidad recurrente se ceñía a la anulación del acto administrativo por ilegalidad y desviación de poder. Como sostuvo la Sección Primera de la Sala de lo Contencioso-Administrativo del Tribunal Superior de Justicia de Canarias al resolver el incidente de nulidad de actuaciones en el Auto de 15 de junio de 2010, al no quedar acreditado que la oferta realizada por Aquagest fuese la más ventajosa para el Ayuntamiento y al descartarse por este motivo en la Sentencia ahora recurrida que la entidad recurrente hubiese enervado la presunción de validez de los actos administrativos, implícita </w:t>
      </w:r>
      <w:r>
        <w:lastRenderedPageBreak/>
        <w:t>y necesariamente el órgano judicial estaba desechando la existencia de la desviación de poder denunciada, por lo que no cabe entender sin esfuerzo que la resolución incurriese en incongruencia constitucionalmente relevante, pues para que pudiera haberse producido una eventual desviación de poder, tenía que haberse producido antes una adjudicación del concurso irregular o anómala.</w:t>
      </w:r>
    </w:p>
    <w:p w:rsidR="0026452D" w:rsidRDefault="0026452D" w:rsidP="0026452D">
      <w:pPr>
        <w:pStyle w:val="TextoNormal"/>
      </w:pPr>
    </w:p>
    <w:p w:rsidR="0026452D" w:rsidRDefault="0026452D" w:rsidP="0026452D">
      <w:pPr>
        <w:pStyle w:val="TextoNormal"/>
      </w:pPr>
      <w:r w:rsidRPr="0026452D">
        <w:rPr>
          <w:rStyle w:val="NumeroAFNegritaCaracter"/>
        </w:rPr>
        <w:t>5</w:t>
      </w:r>
      <w:r>
        <w:t>. Entremos ya en el análisis de la queja que con carácter principal se plantea en la demanda relativa a la quiebra del derecho a la intangibilidad. En la demanda de amparo se alega que ésta no ha sido respetada por la Sentencia impugnada, en primer lugar, al contradecir lo ordenado por los Autos de 4 de marzo de 2005, 13 de marzo de 2006 y 8 de octubre de 2007 sobre admisión de prueba y, en segundo lugar, al exceder la valoración de la prueba efectuada de lo ordenado por el Auto de 27 de marzo de 2009, que declaró la nulidad de la Sentencia de 7 de noviembre de 2008 por no tener en cuenta el informe pericial del Sr. Veza Iglesias.</w:t>
      </w:r>
    </w:p>
    <w:p w:rsidR="0026452D" w:rsidRDefault="0026452D" w:rsidP="0026452D">
      <w:pPr>
        <w:pStyle w:val="TextoNormal"/>
      </w:pPr>
    </w:p>
    <w:p w:rsidR="0026452D" w:rsidRDefault="0026452D" w:rsidP="0026452D">
      <w:pPr>
        <w:pStyle w:val="TextoNormal"/>
      </w:pPr>
      <w:r>
        <w:t xml:space="preserve">a) En el primero de los sentidos expuestos, la queja carece de nuevo de sustento fáctico y debe ser desestimada: de los razonamientos de la resolución recurrida reflejados en el fundamento jurídico séptimo se deduce que ninguna contradicción existe entre la Sentencia impugnada y los Autos recaídos sobre admisión de prueba, en la medida en que aquélla no se fundó, más que </w:t>
      </w:r>
      <w:r w:rsidRPr="0026452D">
        <w:rPr>
          <w:i/>
        </w:rPr>
        <w:t>obiter dicta</w:t>
      </w:r>
      <w:r>
        <w:t>, en las condiciones de idoneidad de los peritos.</w:t>
      </w:r>
    </w:p>
    <w:p w:rsidR="0026452D" w:rsidRDefault="0026452D" w:rsidP="0026452D">
      <w:pPr>
        <w:pStyle w:val="TextoNormal"/>
      </w:pPr>
    </w:p>
    <w:p w:rsidR="0026452D" w:rsidRDefault="0026452D" w:rsidP="0026452D">
      <w:pPr>
        <w:pStyle w:val="TextoNormal"/>
      </w:pPr>
      <w:r>
        <w:t xml:space="preserve">b) En segundo lugar, la posible quiebra de la intangibilidad derivada de la declaración de nulidad de una previa Sentencia recaída en el procedimiento, como consecuencia de la estimación de un incidente de nulidad de actuaciones, ha sido objeto de la atención del Tribunal en diversas ocasiones, de las que cabe destacar las SSTC 23/2005, de 14 de febrero y 322/2006, de 20 de noviembre, así como el ATC 176/2003, de 2 de junio. En esas resoluciones se estableció que el mencionado incidente era, en las circunstancias del caso, un cauce legalmente adecuado para anular la Sentencia, todo ello al amparo de su regulación legal anterior a la reforma del art. 241 LOPJ introducida por la Ley Orgánica 6/2007, de 24 de mayo. En concreto, en el ATC 176/2003, de 2 de junio, FJ 4, dijimos —para un supuesto muy parecido al ahora debatido— que “en el presente caso no se ha vulnerado el principio de intangibilidad de las resoluciones judiciales alegado por la entidad recurrente, pues el cambio producido en la Sentencia anulada por el incidente de nulidad de actuaciones resulta simple consecuencia del uso de un remedio procesal idóneo para subsanar la vulneración alegada por los trabajadores afectados. En efecto, sin duda los principios de seguridad jurídica y tutela judicial efectiva que consagran los arts. 9.3 y 24.1 CE vedan a los Jueces y Tribunales, fuera de los casos previstos por la Ley, revisar el juicio efectuado en un caso concreto si entendieran con posterioridad que la decisión no se ajusta a la legalidad, puesto que la protección judicial carecería de efectividad si se permitiera reabrir el análisis de lo ya resuelto por Sentencia firme en cualquier circunstancia (por todas, SSTC 55/2002, de 11 de marzo, FJ 2; 58/2000, de 28 de febrero). Pero esta afirmación, en cabal sentido inverso, no impide a los órganos judiciales revisar dicho juicio cuando ello se hace dentro de los cauces excepcionalmente establecidos, ya que tal posibilidad no es sino la consecuencia natural de su propia previsión normativa. Y, precisamente, de lo que no cabe duda es de que el incidente de nulidad de actuaciones constituye una de esas vías excepcionales previstas por el legislador para alterar o modificar la cosa juzgada. Por lo que la intangibilidad puede legalmente ser modificada a través de este cauce procesal sin que con ello, y sólo por tal motivo, se vulnere un derecho fundamental … [E]n ningún caso resulta posible concluir, como se </w:t>
      </w:r>
      <w:r>
        <w:lastRenderedPageBreak/>
        <w:t>pretende en la demanda de amparo, que la modificación por parte del Tribunal Superior de Justicia de una anterior Sentencia… (a la que condujo finalmente la estimación del incidente interpuesto…) suponga una variación prohibida por el Ordenamiento, sino, antes bien, una consecuencia natural de su previsión normativa acorde con el preciso objeto y la excepcional finalidad de este singular remedio procesal.”</w:t>
      </w:r>
    </w:p>
    <w:p w:rsidR="0026452D" w:rsidRDefault="0026452D" w:rsidP="0026452D">
      <w:pPr>
        <w:pStyle w:val="TextoNormal"/>
      </w:pPr>
    </w:p>
    <w:p w:rsidR="0026452D" w:rsidRDefault="0026452D" w:rsidP="0026452D">
      <w:pPr>
        <w:pStyle w:val="TextoNormal"/>
      </w:pPr>
      <w:r>
        <w:t>Lo dicho es igualmente aplicable tras la nueva regulación del incidente de nulidad derivada de la mencionada Ley Orgánica 6/2007, de 24 de mayo, la cual modificó el artículo 241.1 de la Ley Orgánica 6/1985, de 1 de julio, del Poder Judicial, para permitir su solicitud con base en la vulneración de cualquiera de los derechos fundamentales referidos en el artículo 53.2 de la Constitución (no exclusivamente para la reparación de la indefensión o la incongruencia, como hasta entonces) sin haber alterado la naturaleza y efectos del citado incidente. La Sentencia que se dicte en sustitución de otra previamente anulada a consecuencia de la estimación de dicha solicitud de nulidad será respetuosa con el derecho a la intangibilidad, mientras se atenga al contenido de la parte dispositiva del Auto estimatorio del incidente de nulidad, integrado en lo necesario con sus razonamientos, es decir, mientras que las declaraciones y el fallo de la nueva Sentencia sirvan, sin excederse, a la obligación de reparar la vulneración del derecho fundamental apreciada en la resolución de nulidad. Este análisis dependerá, evidentemente, de cuál sea el derecho que se haya considerado afectado en cada caso, cuya reparación exigirá en ocasiones la nulidad parcial de la Sentencia, en otras ocasiones su nulidad íntegra y, en otras, finalmente, la nulidad de todo el procedimiento o parte de él.</w:t>
      </w:r>
    </w:p>
    <w:p w:rsidR="0026452D" w:rsidRDefault="0026452D" w:rsidP="0026452D">
      <w:pPr>
        <w:pStyle w:val="TextoNormal"/>
      </w:pPr>
    </w:p>
    <w:p w:rsidR="0026452D" w:rsidRDefault="0026452D" w:rsidP="0026452D">
      <w:pPr>
        <w:pStyle w:val="TextoNormal"/>
      </w:pPr>
      <w:r w:rsidRPr="0026452D">
        <w:rPr>
          <w:rStyle w:val="NumeroAFNegritaCaracter"/>
        </w:rPr>
        <w:t>6</w:t>
      </w:r>
      <w:r>
        <w:t>. Aplicando esta doctrina al caso aquí planteado y examinados los términos del Auto de 27 de marzo de 2009, se constata que éste declaró la nulidad de la Sentencia de 7 de noviembre de 2008 dado que en ella el órgano judicial no había mencionado ni valorado el informe pericial del señor Veza Iglesias, prueba decisiva previamente admitida, ocasionando la indefensión de Valoriza Agua, S.L.U., y S.A.U.R. En consecuencia, el Auto ordenaba la retroacción de actuaciones al momento de la votación y fallo del recurso contencioso núm. 1441-2001.</w:t>
      </w:r>
    </w:p>
    <w:p w:rsidR="0026452D" w:rsidRDefault="0026452D" w:rsidP="0026452D">
      <w:pPr>
        <w:pStyle w:val="TextoNormal"/>
      </w:pPr>
    </w:p>
    <w:p w:rsidR="0026452D" w:rsidRDefault="0026452D" w:rsidP="0026452D">
      <w:pPr>
        <w:pStyle w:val="TextoNormal"/>
      </w:pPr>
      <w:r>
        <w:t>Pues bien, la nulidad de aquella primera Sentencia, al venir motivada por una lesiva falta de valoración de un medio de prueba, debía ser íntegra. De lo contrario, el derecho fundamental que se había declarado lesionado no podría ser restablecido si el órgano judicial no contase con libertad plena para valorar la pericial preterida, pudiendo ello determinar —como finalmente ocurrió— que se le atribuyese mayor eficacia probatoria que a las demás periciales. Así las cosas, la nulidad de la Sentencia de 7 de noviembre de 2008 era consecuencia necesaria de la estimación del incidente. La segunda Sentencia aquí recurrida, al atenerse estrictamente a lo ordenado en el Auto de 27 de marzo de 2009, reparando el derecho fundamental que en el mismo se declaró vulnerado, no puede ser considerada lesiva del derecho a la intangibilidad (art. 24.1 CE) derivada de aquella primera Sentencia.</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Los mismos razonamientos recién expuestos conllevan la desestimación de la última de las quejas de la entidad recurrente, referida a la arbitrariedad en que se dice que incurrió la Sentencia impugnada, por ser de signo y razonamientos contrarios a los de la Sentencia de 7 de noviembre de 2008. Ciertamente, recayeron en el caso dos Sentencias de distinto contenido (porque distinto fue el material de prueba valorado en cada una), pero la primera justamente fue anulada en todos sus pronunciamientos, por lo que la segunda, para reparar </w:t>
      </w:r>
      <w:r>
        <w:lastRenderedPageBreak/>
        <w:t>debidamente el derecho fundamental que se había declarado vulnerado, no podía encontrarse atada a aquélla en el extremo, precisamente, que se había reputado lesivo.</w:t>
      </w:r>
    </w:p>
    <w:p w:rsidR="0026452D" w:rsidRDefault="0026452D" w:rsidP="0026452D">
      <w:pPr>
        <w:pStyle w:val="TextoNormal"/>
      </w:pPr>
    </w:p>
    <w:p w:rsidR="0026452D" w:rsidRDefault="0026452D" w:rsidP="0026452D">
      <w:pPr>
        <w:pStyle w:val="TextoNormal"/>
      </w:pPr>
      <w:r w:rsidRPr="0026452D">
        <w:rPr>
          <w:rStyle w:val="NumeroAFNegritaCaracter"/>
        </w:rPr>
        <w:t>8</w:t>
      </w:r>
      <w:r>
        <w:t>. No apreciándose que ninguno de los derechos fundamentales aducidos en este recurso haya sido vulnerado, el amparo debe ser denegado. Pese a la desestimación del recurso, este Tribunal no aprecia temeridad o mala fe en la entidad demandante de amparo al interponerlo, dado que las cuestiones planteadas en él revestían especial trascendencia constitucional, por lo que el mismo quedaba justificado. No procede, entonces, la imposición de las costas solicitada por la parte adversa (art. 95.2 LOTC).</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la presente demanda de amparo, promovido por Aquagest, Promoción Técnica y Financiera de Abastecimientos de Agua, S.A.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tres de junio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30" w:name="SENTENCIA_2013_127"/>
      <w:r>
        <w:lastRenderedPageBreak/>
        <w:t>SENTENCIA 127/2013, de 3 de junio de 2013</w:t>
      </w:r>
    </w:p>
    <w:bookmarkEnd w:id="130"/>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157, de 2 de julio de 2013)</w:t>
      </w:r>
    </w:p>
    <w:p w:rsidR="0026452D" w:rsidRDefault="0026452D" w:rsidP="0026452D">
      <w:pPr>
        <w:pStyle w:val="TtuloBOE"/>
      </w:pPr>
    </w:p>
    <w:p w:rsidR="0026452D" w:rsidRDefault="0026452D" w:rsidP="0026452D">
      <w:pPr>
        <w:pStyle w:val="SntesisDescriptiva"/>
      </w:pPr>
      <w:r>
        <w:t>ECLI:ES:TC:2013:127</w:t>
      </w:r>
    </w:p>
    <w:p w:rsidR="0026452D" w:rsidRDefault="0026452D" w:rsidP="0026452D">
      <w:pPr>
        <w:pStyle w:val="SntesisDescriptiva"/>
      </w:pPr>
    </w:p>
    <w:p w:rsidR="0026452D" w:rsidRDefault="0026452D" w:rsidP="0026452D">
      <w:pPr>
        <w:pStyle w:val="SntesisDescriptiva"/>
      </w:pPr>
      <w:r>
        <w:t>Recurso de amparo 2763-2011. Promovido por don M. G., en relación con una Sentencia de la Audiencia Provincial de A Coruña dictada en procedimiento sobre relaciones paterno-filiales.</w:t>
      </w:r>
    </w:p>
    <w:p w:rsidR="0026452D" w:rsidRDefault="0026452D" w:rsidP="0026452D">
      <w:pPr>
        <w:pStyle w:val="SntesisDescriptiva"/>
      </w:pPr>
    </w:p>
    <w:p w:rsidR="0026452D" w:rsidRDefault="0026452D" w:rsidP="0026452D">
      <w:pPr>
        <w:pStyle w:val="SntesisAnaltica"/>
      </w:pPr>
      <w:r>
        <w:t>Supuesta vulneración del derecho a la tutela judicial efectiva (resolución fundada en Derecho y motivada): pronunciamiento sobre competencia judicial internacional acorde con el criterio del interés superior del menor; improcedencia del planteamiento de una cuestión prejudicial ante el Tribunal de Justicia de la Unión Europea.</w:t>
      </w:r>
    </w:p>
    <w:p w:rsidR="0026452D" w:rsidRDefault="0026452D" w:rsidP="0026452D">
      <w:pPr>
        <w:pStyle w:val="SntesisAnaltica"/>
      </w:pPr>
    </w:p>
    <w:p w:rsidR="0026452D" w:rsidRDefault="0026452D" w:rsidP="0026452D">
      <w:pPr>
        <w:pStyle w:val="Extracto"/>
      </w:pPr>
      <w:r>
        <w:t>1.</w:t>
      </w:r>
      <w:r>
        <w:tab/>
        <w:t>La Sentencia impugnada reproduce la motivación y reitera el fallo de la decisión belga sobre la guarda y custodia y acoge íntegramente el régimen de visitas solicitado por el recurrente, de lo que resulta que ha obtenido la solución más favorable posible, a la luz del interés del menor en la actualidad, siendo constitucionalmente inviable una motivación y fundamentación en Derecho de la competencia judicial internacional en materia de relaciones paternofiliales ajena a este criterio [FJ 6].</w:t>
      </w:r>
    </w:p>
    <w:p w:rsidR="0026452D" w:rsidRDefault="0026452D" w:rsidP="0026452D">
      <w:pPr>
        <w:pStyle w:val="Extracto"/>
      </w:pPr>
    </w:p>
    <w:p w:rsidR="0026452D" w:rsidRDefault="0026452D" w:rsidP="0026452D">
      <w:pPr>
        <w:pStyle w:val="Extracto"/>
      </w:pPr>
      <w:r>
        <w:t>2.</w:t>
      </w:r>
      <w:r>
        <w:tab/>
        <w:t>La Sentencia contiene los elementos y razones de juicio que permiten conocer cuáles han sido los criterios jurídicos que fundamentan la decisión sin que se aprecie vicio de arbitrariedad, motivación irrazonable o error patente, al fundamentar la competencia del tribunal español en el foro de necesidad, vinculado con el derecho fundamental de acceso a la jurisdicción, al objeto de garantizar el establecimiento de un régimen de relaciones paternofiliales estable y eficaz tanto en España como en Bélgica, evitando que dicha la quede sin una resolución sobre el fondo [FFJJ 5, 6].</w:t>
      </w:r>
    </w:p>
    <w:p w:rsidR="0026452D" w:rsidRDefault="0026452D" w:rsidP="0026452D">
      <w:pPr>
        <w:pStyle w:val="Extracto"/>
      </w:pPr>
    </w:p>
    <w:p w:rsidR="0026452D" w:rsidRDefault="0026452D" w:rsidP="0026452D">
      <w:pPr>
        <w:pStyle w:val="Extracto"/>
      </w:pPr>
      <w:r>
        <w:t>3.</w:t>
      </w:r>
      <w:r>
        <w:tab/>
        <w:t>El Tribunal no se ha enfrentado a un problema cuya solución haya dependido de la interpretación y validez de una norma de Derecho comunitario, antes al contrario la duda interpretativa es una cuestión de legalidad ordinaria ajena al ámbito de este proceso constitucional e innecesaria para poder emitir el fallo, lo que es condición de aplicación del art. 267 TFUE, por lo que procede desestimar de plano el planteamiento de cuestión prejudicial ante el Tribunal de Justicia de la Unión Europea [FJ 7].</w:t>
      </w:r>
    </w:p>
    <w:p w:rsidR="0026452D" w:rsidRDefault="0026452D" w:rsidP="0026452D">
      <w:pPr>
        <w:pStyle w:val="Extracto"/>
      </w:pPr>
    </w:p>
    <w:p w:rsidR="0026452D" w:rsidRDefault="0026452D" w:rsidP="0026452D">
      <w:pPr>
        <w:pStyle w:val="Extracto"/>
      </w:pPr>
      <w:r>
        <w:t>4.</w:t>
      </w:r>
      <w:r>
        <w:tab/>
        <w:t>Concluido el procedimiento en el que se declaró lícito el traslado de la menor, cualquier resolución judicial posterior de los tribunales españoles, en relación con la cuestión de la competencia judicial internacional, no puede soslayar la situación declarada en el procedimiento previo so riesgo de incurrir en vulneración del derecho fundamental a la intangibilidad de las resoluciones judiciales firmes (art. 24.1 CE) (SSTC 219/2000, 208/2009) [FJ 4].</w:t>
      </w:r>
    </w:p>
    <w:p w:rsidR="0026452D" w:rsidRDefault="0026452D" w:rsidP="0026452D">
      <w:pPr>
        <w:pStyle w:val="Extracto"/>
      </w:pPr>
    </w:p>
    <w:p w:rsidR="0026452D" w:rsidRDefault="0026452D" w:rsidP="0026452D">
      <w:pPr>
        <w:pStyle w:val="Extracto"/>
      </w:pPr>
      <w:r>
        <w:lastRenderedPageBreak/>
        <w:t>5.</w:t>
      </w:r>
      <w:r>
        <w:tab/>
        <w:t xml:space="preserve">Las reglas ordenadoras de la competencia judicial internacional, vinculadas al derecho fundamental de acceso a la jurisdicción y, por tanto, al principio de interpretación </w:t>
      </w:r>
      <w:r w:rsidRPr="0026452D">
        <w:rPr>
          <w:i/>
        </w:rPr>
        <w:t>pro actione</w:t>
      </w:r>
      <w:r>
        <w:t>, imponen, de una parte, que a nadie pueda exigírsele una diligencia irrazonable o cargas excesivas para poder ejercitar su derecho de defensa en juicio y, de otra, que se asegure una posibilidad razonable, según las circunstancias, de accionar ante la Justicia (STC 61/2000) [FFJJ 3, 5].</w:t>
      </w:r>
    </w:p>
    <w:p w:rsidR="0026452D" w:rsidRDefault="0026452D" w:rsidP="0026452D">
      <w:pPr>
        <w:pStyle w:val="Extracto"/>
      </w:pPr>
    </w:p>
    <w:p w:rsidR="0026452D" w:rsidRDefault="0026452D" w:rsidP="0026452D">
      <w:pPr>
        <w:pStyle w:val="Extracto"/>
      </w:pPr>
      <w:r>
        <w:t>6.</w:t>
      </w:r>
      <w:r>
        <w:tab/>
        <w:t>El derecho fundamental a la tutela judicial efectiva no incluye un pretendido derecho al acierto judicial en la selección, interpretación y aplicación de las disposiciones legales, pero sí el derecho a obtener una resolución motivada y fundada en Derecho, de modo que el art. 24.1 CE tan sólo podrá considerarse vulnerado cuando el razonamiento que la funda incurra en tal grado de arbitrariedad, irrazonabilidad o error que, por su evidencia y contenido, sean tan manifiestos y graves que para cualquier observador resulte patente que la resolución de hecho carece de toda motivación o razonamiento (SSTC 147/1999, 64/2010) [FJ 3].</w:t>
      </w:r>
    </w:p>
    <w:p w:rsidR="0026452D" w:rsidRDefault="0026452D" w:rsidP="0026452D">
      <w:pPr>
        <w:pStyle w:val="Extracto"/>
      </w:pPr>
    </w:p>
    <w:p w:rsidR="0026452D" w:rsidRDefault="0026452D" w:rsidP="0026452D">
      <w:pPr>
        <w:pStyle w:val="Extracto"/>
      </w:pPr>
      <w:r>
        <w:t>7.</w:t>
      </w:r>
      <w:r>
        <w:tab/>
        <w:t>En la fase de admisión del presente recurso de amparo este Tribunal concluyó que concurría la especial trascendencia constitucional exigida para su admisión a trámite, sin que encontremos razones para modificar esa inicial apreciación, habida cuenta del perfil específico que presenta el caso de autos, resultante de su complejidad y los intereses en presencia, y la singularidad del criterio de competencia judicial internacional exteriorizado (SSTC 95/2010, 155/2011) [FJ 2 a)].</w:t>
      </w:r>
    </w:p>
    <w:p w:rsidR="0026452D" w:rsidRDefault="0026452D" w:rsidP="0026452D">
      <w:pPr>
        <w:pStyle w:val="Extracto"/>
      </w:pPr>
    </w:p>
    <w:p w:rsidR="0026452D" w:rsidRDefault="0026452D" w:rsidP="0026452D">
      <w:pPr>
        <w:pStyle w:val="Extracto"/>
      </w:pPr>
      <w:r>
        <w:t>8.</w:t>
      </w:r>
      <w:r>
        <w:tab/>
        <w:t xml:space="preserve">Doctrina sobre la ineludible exigencia impuesta por el art. 49.1 </w:t>
      </w:r>
      <w:r w:rsidRPr="0026452D">
        <w:rPr>
          <w:i/>
        </w:rPr>
        <w:t>in fine</w:t>
      </w:r>
      <w:r>
        <w:t xml:space="preserve"> LOTC de justificar en la demanda de amparo la especial trascendencia constitucional del recurso (SSTC 155/2009, 170/2011; AATC 188/2008, 290/2008) [FJ 2 a)].</w:t>
      </w:r>
    </w:p>
    <w:p w:rsidR="0026452D" w:rsidRDefault="0026452D" w:rsidP="0026452D">
      <w:pPr>
        <w:pStyle w:val="Extracto"/>
      </w:pPr>
    </w:p>
    <w:p w:rsidR="0026452D" w:rsidRDefault="0026452D" w:rsidP="0026452D">
      <w:pPr>
        <w:pStyle w:val="Extracto"/>
      </w:pPr>
      <w:r>
        <w:t>9.</w:t>
      </w:r>
      <w:r>
        <w:tab/>
        <w:t>El incidente de nulidad de actuaciones no puede reputarse imprescindible para el agotamiento de la vía judicial cuando la lesión tenga su origen en la instancia y, denunciada, no haya sido enmendada en la apelación, siendo suficiente que se someta el hecho fundamentador de la vulneración al análisis de los órganos judiciales, dándoles la oportunidad de pronunciarse y, en su caso, de reparar la lesión del derecho fundamental que posteriormente se alega en el recurso de amparo (SSTC 133/2002, 133/2010) [FJ 2 b)].</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amparo núm. 2763-2011, promovido por don M.G., representado por la Procuradora de los Tribunales doña María del Carmen Ortíz Cornago y asistido por la Abogada doña Elena Zarraluqui Navarro, contra la Sentencia de la Audiencia Provincial de A Coruña (Sección Quinta) de 25 de enero de 2011, recaída en rollo de apelación núm. 235-2010, contra la Sentencia del Juzgado de Primera Instancia núm. 10 de A Coruña, de 11 de noviembre de 2009, en procedimiento sobre relaciones paternofiliales 75-2009. Han intervenido doña S.B.B., representada por la Procuradora de los Tribunales doña María Inmaculada Mozos Serna y asistida por el Letrado don Esteban Mestre Delgado, y el Ministerio Fiscal. Ha sido Ponente el Magistrado don Luis Ignacio Ortega Álvarez,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el Decanato de los Juzgados de Madrid el 10 de mayo de 2011 y en el Registro General de este Tribunal el 12 de mayo de 2011, la Procuradora de los Tribunales doña María del Carmen Ortiz Cornago, en nombre y representación de don M.G., interpuso recurso de amparo contra la resolución judicial que se cita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en los que tiene su origen el presente recurso y relevantes para su resolución son, sucintamente expuestos, los siguientes:</w:t>
      </w:r>
    </w:p>
    <w:p w:rsidR="0026452D" w:rsidRDefault="0026452D" w:rsidP="0026452D">
      <w:pPr>
        <w:pStyle w:val="TextoNormal"/>
      </w:pPr>
    </w:p>
    <w:p w:rsidR="0026452D" w:rsidRDefault="0026452D" w:rsidP="0026452D">
      <w:pPr>
        <w:pStyle w:val="TextoNormal"/>
      </w:pPr>
      <w:r>
        <w:t>a) El 20 de enero de 2009 doña S.B.B. formuló demanda sobre guarda y custodia, derecho de visitas y alimentos de su hija menor, que se siguió como juicio verbal ante el Juzgado de Primera Instancia núm. 10 de A Coruña, procedimiento de relaciones paternofiliales 75-2009.</w:t>
      </w:r>
    </w:p>
    <w:p w:rsidR="0026452D" w:rsidRDefault="0026452D" w:rsidP="0026452D">
      <w:pPr>
        <w:pStyle w:val="TextoNormal"/>
      </w:pPr>
    </w:p>
    <w:p w:rsidR="0026452D" w:rsidRDefault="0026452D" w:rsidP="0026452D">
      <w:pPr>
        <w:pStyle w:val="TextoNormal"/>
      </w:pPr>
      <w:r>
        <w:t>b) El 26 de febrero de 2009 el padre de la menor, el ahora recurrente en amparo, contestó a la demanda planteando la falta de competencia judicial internacional de los tribunales españoles. Además, el 30 de enero de 2009 había promovido ante la autoridad central belga el retorno inmediato de la menor a Bélgica, de conformidad con lo establecido en el Convenio de La Haya de 1980, de 25 de octubre de 1980, sobre aspectos civiles de la sustracción internacional de menores y el Reglamento (CE) núm. 2201/2003 del Consejo, de 27 de noviembre de 2003, relativo a la competencia, el reconocimiento y la ejecución de resoluciones judiciales en materia matrimonial y de responsabilidad parental. Este procedimiento se siguió en España ante el Juzgado de Primera Instancia núm. 10 de A Coruña, procedimiento 237-2009. Por Auto del Juzgado de 20 de abril de 2009 se desestimó la solicitud de restitución de la menor al concluir el órgano judicial que no era un supuesto de sustracción internacional en los términos del Convenio. Este Auto, que no fue recurrido, puso fin al procedimiento.</w:t>
      </w:r>
    </w:p>
    <w:p w:rsidR="0026452D" w:rsidRDefault="0026452D" w:rsidP="0026452D">
      <w:pPr>
        <w:pStyle w:val="TextoNormal"/>
      </w:pPr>
    </w:p>
    <w:p w:rsidR="0026452D" w:rsidRDefault="0026452D" w:rsidP="0026452D">
      <w:pPr>
        <w:pStyle w:val="TextoNormal"/>
      </w:pPr>
      <w:r>
        <w:t xml:space="preserve">Tras la conclusión del procedimiento 237-2009, el procedimiento 75-2009 siguió su curso y, por Auto de 27 de abril de 2009, el Juzgado de Primera Instancia núm. 10 de A Coruña se declaró competente con la siguiente motivación: “la parte plantea o arguye su posicionamiento de entender que han de ser competentes los tribunales de Bélgica, en que </w:t>
      </w:r>
      <w:r>
        <w:lastRenderedPageBreak/>
        <w:t>se ha producido un traslado ilegal de la misma [la menor] y a[l] respecto, reiteramos, este tribunal ya se ha pronunciado en sentido contrario y al socaire de dicho pronunciamiento hemos de entender que somos competentes conforme establece el art. 22.3 LOPJ” (fundamento jurídico único). Contra esta resolución el recurrente formuló incidente de nulidad de actuaciones, que fue desestimado por Auto de 16 de junio de 2009.</w:t>
      </w:r>
    </w:p>
    <w:p w:rsidR="0026452D" w:rsidRDefault="0026452D" w:rsidP="0026452D">
      <w:pPr>
        <w:pStyle w:val="TextoNormal"/>
      </w:pPr>
    </w:p>
    <w:p w:rsidR="0026452D" w:rsidRDefault="0026452D" w:rsidP="0026452D">
      <w:pPr>
        <w:pStyle w:val="TextoNormal"/>
      </w:pPr>
      <w:r>
        <w:t>c) A requerimiento de la autoridad central belga el Juzgado de Primera Instancia núm. 10 de A Coruña comunicó la decisión española de no restitución de la menor al Tribunal de Primera Instancia de Bruselas. A este hecho siguieron varias actuaciones procesales.</w:t>
      </w:r>
    </w:p>
    <w:p w:rsidR="0026452D" w:rsidRDefault="0026452D" w:rsidP="0026452D">
      <w:pPr>
        <w:pStyle w:val="TextoNormal"/>
      </w:pPr>
    </w:p>
    <w:p w:rsidR="0026452D" w:rsidRDefault="0026452D" w:rsidP="0026452D">
      <w:pPr>
        <w:pStyle w:val="TextoNormal"/>
      </w:pPr>
      <w:r>
        <w:t>El 17 de junio de 2009 el recurrente presentó escrito ante el Juzgado de Primera Instancia núm. 10 de A Coruña por el que solicitaba la suspensión del procedimiento 75-09. Argumentaba que se había trasladado la decisión de no retorno al Tribunal belga en aplicación del art. 11.6 del Reglamento 2201/2003 y que era el Tribunal belga el competente. La solicitud fue denegada por Auto del Juzgado de Primera Instancia núm. 10 de A Coruña, de 7 de julio de 2009. El Auto descartaba dicha interpretación del Reglamento, añadiendo “que ya por Auto de 27 de abril de 2009 se declaró la competencia de los tribunales españoles para conocer del procedimiento de guarda y custodia de la menor”. El recurrente interpuso recurso de reposición, que fue desestimado por Auto de 31 de julio de 2009.</w:t>
      </w:r>
    </w:p>
    <w:p w:rsidR="0026452D" w:rsidRDefault="0026452D" w:rsidP="0026452D">
      <w:pPr>
        <w:pStyle w:val="TextoNormal"/>
      </w:pPr>
    </w:p>
    <w:p w:rsidR="0026452D" w:rsidRDefault="0026452D" w:rsidP="0026452D">
      <w:pPr>
        <w:pStyle w:val="TextoNormal"/>
      </w:pPr>
      <w:r>
        <w:t>El 6 de julio de 2009 el recurrente presentó nuevo escrito reiterando, en idénticos términos, la solicitud de suspensión. Fue desestimada por Auto de 23 de julio de 2009, que repite la fundamentación jurídica del Auto de 7 de julio de 2009, recordando, además, que dicho Auto ya había desestimado esa pretensión. El recurrente interpuso recurso de reposición, que fue desestimado por Auto de 2 de octubre de 2009.</w:t>
      </w:r>
    </w:p>
    <w:p w:rsidR="0026452D" w:rsidRDefault="0026452D" w:rsidP="0026452D">
      <w:pPr>
        <w:pStyle w:val="TextoNormal"/>
      </w:pPr>
    </w:p>
    <w:p w:rsidR="0026452D" w:rsidRDefault="0026452D" w:rsidP="0026452D">
      <w:pPr>
        <w:pStyle w:val="TextoNormal"/>
      </w:pPr>
      <w:r>
        <w:t>El 7 de agosto de 2009 el recurrente promovió demanda ante el Tribunal de Primera Instancia de Bruselas, sobre la base del art. 11.7 del Reglamento 2201/2003. El recurrente solicitaba, entre otras, el retorno inmediato de la menor, la atribución de la guarda y custodia al padre y la imposición de multas coercitivas a la madre en caso de incumplimiento. Por Sentencia de 20 de octubre de 2009 el Tribunal belga acordó dichas medidas. La madre de la menor interpuso recurso de apelación. Por su parte, el padre, con fecha 22 de octubre de 2009, presentó escrito ante el Juzgado de Primera Instancia núm. 10 de A Coruña aportando la Sentencia belga y solicitando la suspensión del procedimiento 75-2009. La solicitud de suspensión fue denegada por providencia de 6 de noviembre de 2009, “al no concurrir causa legal que la ampare, ya que por Auto de 20 de abril de 2009 se ha declarado que no ha habido traslado ilegal ni sustracción internacional de la menor, así como por auto de fecha 27 de abril de 2009 se ha declarado la competencia de este Juzgado para conocer de la demanda promovida por la representación procesal de doña [S.B.B.]”.</w:t>
      </w:r>
    </w:p>
    <w:p w:rsidR="0026452D" w:rsidRDefault="0026452D" w:rsidP="0026452D">
      <w:pPr>
        <w:pStyle w:val="TextoNormal"/>
      </w:pPr>
    </w:p>
    <w:p w:rsidR="0026452D" w:rsidRDefault="0026452D" w:rsidP="0026452D">
      <w:pPr>
        <w:pStyle w:val="TextoNormal"/>
      </w:pPr>
      <w:r>
        <w:t>d) El procedimiento 75-2009 desembocó en la Sentencia del Juzgado de Primera Instancia núm. 10 de A Coruña, de 11 de noviembre de 2009. El Juzgado, a la vista de las circunstancias, “estima más ajustado a los intereses de la menor que continúe bajo la guarda y custodia de la madre”, establece la patria potestad compartida, un régimen de visitas para el padre y una pensión de alimentos a favor de la menor.</w:t>
      </w:r>
    </w:p>
    <w:p w:rsidR="0026452D" w:rsidRDefault="0026452D" w:rsidP="0026452D">
      <w:pPr>
        <w:pStyle w:val="TextoNormal"/>
      </w:pPr>
    </w:p>
    <w:p w:rsidR="0026452D" w:rsidRDefault="0026452D" w:rsidP="0026452D">
      <w:pPr>
        <w:pStyle w:val="TextoNormal"/>
      </w:pPr>
      <w:r>
        <w:lastRenderedPageBreak/>
        <w:t>La Sentencia del Juzgado de Primera Instancia núm. 10 de A Coruña, de 11 de noviembre de 2009, fue recurrida en apelación por ambas partes. La apelación se siguió ante la Audiencia Provincial de A Coruña (Sección Quinta), rollo 235-2010.</w:t>
      </w:r>
    </w:p>
    <w:p w:rsidR="0026452D" w:rsidRDefault="0026452D" w:rsidP="0026452D">
      <w:pPr>
        <w:pStyle w:val="TextoNormal"/>
      </w:pPr>
    </w:p>
    <w:p w:rsidR="0026452D" w:rsidRDefault="0026452D" w:rsidP="0026452D">
      <w:pPr>
        <w:pStyle w:val="TextoNormal"/>
      </w:pPr>
      <w:r>
        <w:t>En lo que concierne al recurso de apelación del ahora recurrente en amparo, se solicitaba, como pretensión principal, la declaración de falta de competencia judicial internacional de los tribunales españoles, con nulidad de todo lo actuado. Argumentaba ampliamente que el asunto traía causa en un supuesto de sustracción internacional de menor y que el tribunal competente era el belga y no el español. Con carácter subsidiario solicitaba la atribución de la guarda y custodia de la menor y, con carácter subsidiario, impugnaba el régimen de visitas establecido y el modo en que habrían de abonarse los gastos extraordinarios. En cuanto al régimen de visitas, el recurrente consideraba que se había impuesto uno restrictivo y pedía otro notablemente más amplio.</w:t>
      </w:r>
    </w:p>
    <w:p w:rsidR="0026452D" w:rsidRDefault="0026452D" w:rsidP="0026452D">
      <w:pPr>
        <w:pStyle w:val="TextoNormal"/>
      </w:pPr>
    </w:p>
    <w:p w:rsidR="0026452D" w:rsidRDefault="0026452D" w:rsidP="0026452D">
      <w:pPr>
        <w:pStyle w:val="TextoNormal"/>
      </w:pPr>
      <w:r>
        <w:t>En el recurso de apelación de la madre, y en lo que interesa a este recurso de amparo, se solicitaba restringir el régimen de visitas, en esencia, en lo atinente a las salidas de la menor del territorio español, por el peligro de que fuera objeto de traslado o retención ilícita por el padre que, se señalaba, no se consideraba vinculado por las resoluciones judiciales españolas y contaba con resoluciones belgas a su favor; todo ello, sin perjuicio de modificar las medidas si las resoluciones judiciales belgas y españolas llegasen a ser conciliables.</w:t>
      </w:r>
    </w:p>
    <w:p w:rsidR="0026452D" w:rsidRDefault="0026452D" w:rsidP="0026452D">
      <w:pPr>
        <w:pStyle w:val="TextoNormal"/>
      </w:pPr>
    </w:p>
    <w:p w:rsidR="0026452D" w:rsidRDefault="0026452D" w:rsidP="0026452D">
      <w:pPr>
        <w:pStyle w:val="TextoNormal"/>
      </w:pPr>
      <w:r>
        <w:t>e) Ante los tribunales belgas, el recurso de apelación interpuesto por la madre contra la Sentencia del Tribunal de Primera Instancia de Bruselas, de 20 de octubre de 2009, fue resuelto por la Sentencia del Tribunal de Apelación de Bruselas, Sala Tercera, de 17 de junio de 2010. En lo que interesa a este recurso de amparo, esta Sentencia confirma la decisión del primer juez de declararse competente para conocer del asunto, de conformidad con el art. 11 del Reglamento 2201/2003, pero desestima las pretensiones del recurrente en amparo, relativas a la guarda y custodia de L. y la vuelta de ésta a Bélgica. En este sentido, el Tribunal de apelación parte de que el criterio determinante para pronunciarse sobre la guarda y custodia es el interés de la menor, prescindiendo, dice expresamente, de consideraciones sobre el conflicto entre los padres y los divergentes puntos de vista de los órganos belgas y españoles sobre el retorno de la menor.</w:t>
      </w:r>
    </w:p>
    <w:p w:rsidR="0026452D" w:rsidRDefault="0026452D" w:rsidP="0026452D">
      <w:pPr>
        <w:pStyle w:val="TextoNormal"/>
      </w:pPr>
    </w:p>
    <w:p w:rsidR="0026452D" w:rsidRDefault="0026452D" w:rsidP="0026452D">
      <w:pPr>
        <w:pStyle w:val="TextoNormal"/>
      </w:pPr>
      <w:r>
        <w:t>Así, toma en consideración que la madre se ha vuelto a casar y tiene otro hijo, familia en la que vive la menor; que en estas circunstancias es ilusorio esperar que la madre se traslade a Bruselas. Pondera entonces la posibilidad de que la menor se trasladara sola a Bruselas, lo que descarta pues “no parece corresponder al interés de la niña”, que tiene 3 años y perdería la presencia de la madre, “el principal progenitor de referencia”, con la que siempre ha vivido, sin que el padre haya vivido nunca permanentemente con ella. Por el contrario, en España vive en una familia, con un hermano, lo que parece más propicio para su desarrollo social que una familia monoparental; en suma: “separar a [L.] del entorno maternal en el que vive ahora desde hace un año y medio, para encontrarse confiada, en otro país, a un padre con quien no vivió nunca, sin posibilidad de ver a su madre en otros momentos que durante los fines de semana y las vacaciones, implica un riesgo serio de grave traumatismo de la niña”.</w:t>
      </w:r>
    </w:p>
    <w:p w:rsidR="0026452D" w:rsidRDefault="0026452D" w:rsidP="0026452D">
      <w:pPr>
        <w:pStyle w:val="TextoNormal"/>
      </w:pPr>
    </w:p>
    <w:p w:rsidR="0026452D" w:rsidRDefault="0026452D" w:rsidP="0026452D">
      <w:pPr>
        <w:pStyle w:val="TextoNormal"/>
      </w:pPr>
      <w:r>
        <w:lastRenderedPageBreak/>
        <w:t>El Tribunal de Apelación belga también valora que, aunque sostiene que el desplazamiento de la menor fue ilícito, “no se puede sin embargo sancionar el comportamiento reprehensible de la Sra. [B.B.] en detrimento del interés de la niña” y descarta que sólo si la niña vive con el padre se puedan asegurar los derechos del otro progenitor: “Se puede suponer que la actitud poco constructiva de la Sra. [B.B.] se puede vincular con la escalada del conflicto entre las partes y con la multiplicación de los procedimientos judiciales tanto en España como en Bélgica, y que fue dictada en gran parte por su temor a ver al Sr. [G.] llevarse a la niña con él a Bélgica, a falta de marco donde ejercer el derecho de visita. Se puede razonablemente esperar que la atribución por la presente decisión de la guarda y custodia de la pequeña [L.] a la Sra. [B.B.] permitirá aliviar el conflicto, y que la Sra. [B.B.] —o en su defecto, los órganos judiciales españoles, en adelante competentes— tendrán a bien restaurar vínculos normales entre L. y su padre y de asignar a este último un derecho de visita respetuoso con su lugar y su papel de padre”. Concluye la Sentencia: “Por lo demás, el tribunal considera que actualmente los órganos jurisdiccionales españoles son los más indicados para pronunciarse sobre el derecho de visita del Sr. [G.], en aplicación del art. 15 del Reglamento Bruselas II bis”.</w:t>
      </w:r>
    </w:p>
    <w:p w:rsidR="0026452D" w:rsidRDefault="0026452D" w:rsidP="0026452D">
      <w:pPr>
        <w:pStyle w:val="TextoNormal"/>
      </w:pPr>
    </w:p>
    <w:p w:rsidR="0026452D" w:rsidRDefault="0026452D" w:rsidP="0026452D">
      <w:pPr>
        <w:pStyle w:val="TextoNormal"/>
      </w:pPr>
      <w:r>
        <w:t>El recurrente aportó la Sentencia del Tribunal de Apelación de Bruselas, Sala Tercera, de 17 de junio de 2010, al rollo de apelación 235-2010 por escrito de 22 de junio de 2010.</w:t>
      </w:r>
    </w:p>
    <w:p w:rsidR="0026452D" w:rsidRDefault="0026452D" w:rsidP="0026452D">
      <w:pPr>
        <w:pStyle w:val="TextoNormal"/>
      </w:pPr>
    </w:p>
    <w:p w:rsidR="0026452D" w:rsidRDefault="0026452D" w:rsidP="0026452D">
      <w:pPr>
        <w:pStyle w:val="TextoNormal"/>
      </w:pPr>
      <w:r>
        <w:t>f) La apelación interpuesta contra la Sentencia del Juzgado de Primera Instancia núm. 10 de A Coruña, de 11 de noviembre de 2009, fue resuelta por la Sentencia de la Audiencia Provincial de A Coruña (Sección Quinta) de 25 de enero de 2011. La Sentencia de la Audiencia Provincial confirma la competencia judicial internacional de los tribunales españoles (fundamento jurídico 2), confirma la atribución de la guarda y custodia de la menor a la madre (fundamento jurídico 3) y modifica el régimen de visitas establecido por la Sentencia del Juzgado de Primera Instancia, acogiendo íntegramente la pretensión del recurrente, (fundamento jurídico 4), incluso en lo relativo a la forma de abono de los gastos extraordinarios (fundamento jurídico 5).</w:t>
      </w:r>
    </w:p>
    <w:p w:rsidR="0026452D" w:rsidRDefault="0026452D" w:rsidP="0026452D">
      <w:pPr>
        <w:pStyle w:val="TextoNormal"/>
      </w:pPr>
    </w:p>
    <w:p w:rsidR="0026452D" w:rsidRDefault="0026452D" w:rsidP="0026452D">
      <w:pPr>
        <w:pStyle w:val="TextoNormal"/>
      </w:pPr>
      <w:r>
        <w:t xml:space="preserve">Respecto a la competencia judicial internacional, cuestión resuelta en el fundamento jurídico 2, la Sentencia se sostiene en los siguientes argumentos. En primer lugar, “aun cuando sea dudoso si era a los tribunales belgas o a los tribunales españoles a los que le correspondía la competencia para resolver el presente procedimiento de relaciones paterno filiales —para lo cual es suficiente con leer los distintos escritos presentados por la parte demandante y demandada y por el Ministerio Fiscal, así como las diferentes resoluciones dictadas por el Juzgado de Primera Instancia nº 10 y por el tribunal belga— y aun cuando los tribunales belgas, y más en concreto, la Sentencia del Tribunal de Apelación de Bruselas, Sala Tercera, de fecha 17 de junio de 2010, consideren que la competencia para conocer del presente litigio… les corresponde a los tribunales de ese país, no es menos cierto que, a pesar de ello, ni siquiera el Tribunal de Apelación de Bruselas considera que la Sentencia del Juzgado de Primera Instancia nº 10, objeto del presente recurso, sea nula… Es decir la Sentencia del Tribunal de Apelación de Bruselas de 17 de junio de 2010 reconoce que el presente procedimiento continúa en trámite, no cuestionando su validez”. En segundo lugar, la Sentencia belga no establece un régimen de visitas para el padre y, como ella misma constata, la Sentencia española de Primera Instancia sí, a lo que añade: “Por lo demás, el tribunal [belga] considera que actualmente los órganos jurisdiccionales españoles son los más indicados </w:t>
      </w:r>
      <w:r>
        <w:lastRenderedPageBreak/>
        <w:t>para pronunciarse sobre el derecho de visita del Sr. [G.], en aplicación del art. 15 del Reglamento”. Por lo tanto, dice la Audiencia Provincial, “al no pronunciarse los tribunales belgas sobre el derecho de visita del Sr. [G.] con su hija [L.], de aceptarse la pretensión de declarar la nulidad de la Sentencia de instancia, nos encontraríamos con que ningún tribunal, ni español, ni belga, regularía dicho régimen de visitas con lo que se conculcarían al mismo tiempo tanto el derecho del padre a mantener relaciones con su hija menor, como los de ésta a crecer conociendo y conviviendo con su padre, a pesar de los problemas que se plantean con la distancia geográfica en que se encuentran el uno del otro”.</w:t>
      </w:r>
    </w:p>
    <w:p w:rsidR="0026452D" w:rsidRDefault="0026452D" w:rsidP="0026452D">
      <w:pPr>
        <w:pStyle w:val="TextoNormal"/>
      </w:pPr>
    </w:p>
    <w:p w:rsidR="0026452D" w:rsidRDefault="0026452D" w:rsidP="0026452D">
      <w:pPr>
        <w:pStyle w:val="TextoNormal"/>
      </w:pPr>
      <w:r>
        <w:t xml:space="preserve">El fundamento jurídico 2 concluye así: “Dada la situación actual del conflicto —tener que decidir los tribunales españoles sobre el régimen de visitas que le corresponde al  [G.] con su hija menor— que hace innecesario que tengamos que pronunciarnos sobre la competencia </w:t>
      </w:r>
      <w:r w:rsidRPr="0026452D">
        <w:rPr>
          <w:i/>
        </w:rPr>
        <w:t>ab initio</w:t>
      </w:r>
      <w:r>
        <w:t xml:space="preserve"> de los tribunales de uno u otro país, entendemos que este tribunal —además de pronunciarse sobre el régimen de visitas, pensión alimenticia, etc.— debe también decidir, con anterioridad, sobre la guarda y custodia de la hija menor [L.].”</w:t>
      </w:r>
    </w:p>
    <w:p w:rsidR="0026452D" w:rsidRDefault="0026452D" w:rsidP="0026452D">
      <w:pPr>
        <w:pStyle w:val="TextoNormal"/>
      </w:pPr>
    </w:p>
    <w:p w:rsidR="0026452D" w:rsidRDefault="0026452D" w:rsidP="0026452D">
      <w:pPr>
        <w:pStyle w:val="TextoNormal"/>
      </w:pPr>
      <w:r>
        <w:t>Respecto a la atribución de guarda y custodia de la menor, el fundamento jurídico, 3 reproduce literal e íntegramente (a salvo una frase en un evidente error material de trascripción) la fundamentación jurídica de la Sentencia del Tribunal de Apelación de Bruselas de 17 de junio de 2010 (que se ha resumido en el apartado e) de estos Antecedentes), a lo que añade únicamente lo siguiente: “Teniendo en cuenta todas las circunstancias que se relatan en la resolución del Tribunal belga, así como las razones expuestas por la sentencia de instancia, que la menor [L.] está próximo [</w:t>
      </w:r>
      <w:r w:rsidRPr="0026452D">
        <w:rPr>
          <w:i/>
        </w:rPr>
        <w:t>sic</w:t>
      </w:r>
      <w:r>
        <w:t>] a cumplir 4 años y que desde su nacimiento ha vivido en compañía de su madre, no se le presenta ninguna duda a este tribunal de que la guarda y custodia de la menor debe ser atribuida a su madre doña [S.B.B.].”</w:t>
      </w:r>
    </w:p>
    <w:p w:rsidR="0026452D" w:rsidRDefault="0026452D" w:rsidP="0026452D">
      <w:pPr>
        <w:pStyle w:val="TextoNormal"/>
      </w:pPr>
    </w:p>
    <w:p w:rsidR="0026452D" w:rsidRDefault="0026452D" w:rsidP="0026452D">
      <w:pPr>
        <w:pStyle w:val="TextoNormal"/>
      </w:pPr>
      <w:r>
        <w:t>Respecto al derecho de visitas, el fundamento jurídico 4 de la Sentencia, con invocación del interés superior del menor, acoge la pretensión del padre de ampliación del régimen de visitas, en los términos por él propuestos. La Audiencia afirma que no está justificado el limitado derecho de visitas del padre, destaca el papel de la figura paterna, máxime cuando la madre se ha casado, tiene otro hijo y la menor se integra en dicha familia, y toma en consideración que la imposibilidad de que el padre vea más a la menor deriva de la decisión de la madre de trasladar su residencia.</w:t>
      </w:r>
    </w:p>
    <w:p w:rsidR="0026452D" w:rsidRDefault="0026452D" w:rsidP="0026452D">
      <w:pPr>
        <w:pStyle w:val="TextoNormal"/>
      </w:pPr>
    </w:p>
    <w:p w:rsidR="0026452D" w:rsidRDefault="0026452D" w:rsidP="0026452D">
      <w:pPr>
        <w:pStyle w:val="TextoNormal"/>
      </w:pPr>
      <w:r>
        <w:t xml:space="preserve">g) Amén de en los referidos, los progenitores de la menor se han enfrentado en un piélago de procedimientos cruzados, entre otros, los que se refieren a continuación. El 6 de febrero de 2009 el recurrente promovió procedimiento de urgencia ante el Tribunal de Primera Instancia de Bruselas para la adopción de medidas provisionales, que fueron efectivamente adoptadas por Sentencia de 2 de junio de 2009, que fue objeto de recurso de apelación, resuelto por Sentencia de 14 de enero de 2010. Igualmente promovió ante los tribunales belgas procedimiento de embargo de bienes contra la madre, en aseguramiento del pago de las multas coercitivas. Además, las autoridades belgas expidieron orden europea de detención y entrega contra la madre, para el enjuiciamiento de un presunto delito de sustracción de menor, que fue denegada por Auto de la Sección Segunda de la Sala de lo Penal de la Audiencia Nacional, de 26 de febrero de 2010. Por su parte, la madre ha denunciado al padre ante la policía en varias ocasiones. En cuanto a la eficacia extraterritorial de las resoluciones judiciales que se pronunciaron sobre el régimen de relaciones paternofiliales, el recurrente </w:t>
      </w:r>
      <w:r>
        <w:lastRenderedPageBreak/>
        <w:t>promovió denegación de la eficacia en Bélgica de la Sentencia del Juzgado de Primera Instancia núm. 10 de A Coruña, de 11 de noviembre de 2009, pretensión que fue estimada por resolución belga de 12 de enero de 2010; asimismo solicitó la ejecución en España de la Sentencia de 20 de octubre de 2009, que fue desestimada por Sentencia del Juzgado de Primera Instancia núm. 10 de A Coruña de 23 de diciembre de 2009.</w:t>
      </w:r>
    </w:p>
    <w:p w:rsidR="0026452D" w:rsidRDefault="0026452D" w:rsidP="0026452D">
      <w:pPr>
        <w:pStyle w:val="TextoNormal"/>
      </w:pPr>
    </w:p>
    <w:p w:rsidR="0026452D" w:rsidRDefault="0026452D" w:rsidP="0026452D">
      <w:pPr>
        <w:pStyle w:val="TextoNormal"/>
      </w:pPr>
      <w:r w:rsidRPr="0026452D">
        <w:rPr>
          <w:rStyle w:val="NumeroAFNegritaCaracter"/>
        </w:rPr>
        <w:t>3</w:t>
      </w:r>
      <w:r>
        <w:t>. El recurrente denuncia la vulneración del derecho fundamental a la tutela judicial efectiva (art. 24.1 CE) en la vertiente de derecho fundamental a una resolución judicial motivada y fundada en Derecho, con invocación del art. 120.3 CE y doctrina constitucional sobre motivación y fundamentación en Derecho. También denuncia vulneración del “derecho a la protección social, económica y jurídica de la familia” (art. 39.1 CE), “derecho a la protección integral de los hijos” (art. 39.2 CE), “derecho de los niños a gozar de la protección prevista en los acuerdos internacionales que velan por sus derechos” (art. 39.4 CE), en conexión con el art. 10.2 CE. Alega que los órganos judiciales han inaplicado indebidamente el Reglamento 2201/2003 y que los tribunales españoles no eran competentes para conocer de la demanda de relaciones paternofiliales pues, sostiene, en el caso media la sustracción internacional de la menor y, en dicha circunstancia, conforme al Reglamento son competentes los tribunales belgas. A su juicio, los órganos judiciales han resuelto con una selección de la norma aplicable arbitraria, manifiestamente irrazonable y fruto de error patente que demanda la intervención de este Tribunal. En concreto, respecto a la Sentencia de la Audiencia Provincial, califica de “fundamentación incongruente, errónea, arbitraria e irrazonable”, la que le lleva a conocer del procedimiento con el argumento de que el Tribunal belga no se ha pronunciado sobre el derecho de visitas, “a pesar de reconocer que los tribunales españoles no tenían competencia”.</w:t>
      </w:r>
    </w:p>
    <w:p w:rsidR="0026452D" w:rsidRDefault="0026452D" w:rsidP="0026452D">
      <w:pPr>
        <w:pStyle w:val="TextoNormal"/>
      </w:pPr>
    </w:p>
    <w:p w:rsidR="0026452D" w:rsidRDefault="0026452D" w:rsidP="0026452D">
      <w:pPr>
        <w:pStyle w:val="TextoNormal"/>
      </w:pPr>
      <w:r>
        <w:t>El recurrente solicita que este Tribunal plantee cuestión prejudicial al Tribunal de Justicia de la Unión Europea en interpretación del Reglamento 2201/2003, en los siguientes términos: “En el momento en que los tribunales españoles entraron a conocer sobre el fondo del asunto —regulación de la relación paternofilial entre el señor [G.] y su hija— carecían de competencia internacional para ello. ¿Esa falta de jurisdicción y competencia se mantiene durante la tramitación de todo el procedimiento? Es decir, ¿la falta de jurisdicción y competencia sigue existiendo en el momento en que la Audiencia Provincial de A Coruña dictó la Sentencia de 25 de enero de 2011? O por el contrario, ¿el transcurso del tiempo hace que los tribunales españoles sean internacionalmente competentes y la falta de jurisdicción y competencia que existía inicialmente desaparece?”</w:t>
      </w:r>
    </w:p>
    <w:p w:rsidR="0026452D" w:rsidRDefault="0026452D" w:rsidP="0026452D">
      <w:pPr>
        <w:pStyle w:val="TextoNormal"/>
      </w:pPr>
    </w:p>
    <w:p w:rsidR="0026452D" w:rsidRDefault="0026452D" w:rsidP="0026452D">
      <w:pPr>
        <w:pStyle w:val="TextoNormal"/>
      </w:pPr>
      <w:r>
        <w:t>El recurso de amparo incluye un apartado en el que, bajo la rúbrica “relevancia constitucional” y con invocación del art. 50.1 b) de la Ley Orgánica del Tribunal Constitucional (LOTC), que se reproduce, se reitera la vulneración de derechos fundamentales denunciada. Dado que dicha vulneración tendría su origen en “la violación palmaria de los Tratados internacionales y Convenios suscritos por España, superiores a la ley interna, como lo es el Reglamento 2201/2003”, sostiene el recurrente, se “plantea una cuestión jurídica de relevante y general repercusión social, además de unas consecuencias políticas generales”. También manifiesta, con invocación del ATC 188/2008, de 21 de julio, y la STC 155/2009, de 25 de junio, que el requisito establecido en el art. 49.1 en relación con el art. 50.1 b) LOTC “no puede servir para mermar la protección de los derechos fundamentales tanto en sede de tribunales ordinarios como ante la propia jurisdicción constitucional, alterando la naturaleza del recurso de amparo ante el Tribunal Constitucional”.</w:t>
      </w:r>
    </w:p>
    <w:p w:rsidR="0026452D" w:rsidRDefault="0026452D" w:rsidP="0026452D">
      <w:pPr>
        <w:pStyle w:val="TextoNormal"/>
      </w:pPr>
    </w:p>
    <w:p w:rsidR="0026452D" w:rsidRDefault="0026452D" w:rsidP="0026452D">
      <w:pPr>
        <w:pStyle w:val="TextoNormal"/>
      </w:pPr>
      <w:r w:rsidRPr="0026452D">
        <w:rPr>
          <w:rStyle w:val="NumeroAFNegritaCaracter"/>
        </w:rPr>
        <w:t>4</w:t>
      </w:r>
      <w:r>
        <w:t>. Por providencia de 5 de julio de 2012, la Sala Segunda acordó admitir a trámite la demanda y, a tenor de lo dispuesto en el art. 51 LOTC, requerir a la Sección Quinta de la Audiencia Provincial de A Coruña para que en el plazo de diez días remitiera testimonio de las actuaciones correspondientes al rollo de apelación núm. 235-2010, así como requerir al Juzgado de Primera Instancia núm. 10 de A Coruña, para que en el plazo de diez días remitiera testimonio de las actuaciones correspondientes al procedimiento sobre medidas paternofiliales núm. 75-2009, interesándose al tiempo que se emplazara a quienes fueron parte en el procedimiento, a excepción del recurrente en amparo, para que en el plazo de diez días pudieran comparecer en este proceso constitucional.</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el 12 de septiembre de 2012 la Procuradora de los Tribunales doña María Inmaculada Mozos Serna, actuando en nombre y representación de doña S.B.B., solicitó se le tuviera por personada y parte en el procedimiento.</w:t>
      </w:r>
    </w:p>
    <w:p w:rsidR="0026452D" w:rsidRDefault="0026452D" w:rsidP="0026452D">
      <w:pPr>
        <w:pStyle w:val="TextoNormal"/>
      </w:pPr>
    </w:p>
    <w:p w:rsidR="0026452D" w:rsidRDefault="0026452D" w:rsidP="0026452D">
      <w:pPr>
        <w:pStyle w:val="TextoNormal"/>
      </w:pPr>
      <w:r w:rsidRPr="0026452D">
        <w:rPr>
          <w:rStyle w:val="NumeroAFNegritaCaracter"/>
        </w:rPr>
        <w:t>6</w:t>
      </w:r>
      <w:r>
        <w:t>. Por diligencia de ordenación de 14 de septiembre de 2012, la Sala Segunda de este Tribunal tuvo por personada y parte en el procedimiento a la procuradora doña María Inmaculada Mozos Serna en nombre y representación de doña S.B.B. y dio vista de las actuaciones recibidas a las partes personadas y al Ministerio Fiscal por plazo común de veinte días, dentro de los cuales podrían presentar las alegaciones que estimasen pertinentes, conforme a lo establecido en el art. 52.1 LOTC.</w:t>
      </w:r>
    </w:p>
    <w:p w:rsidR="0026452D" w:rsidRDefault="0026452D" w:rsidP="0026452D">
      <w:pPr>
        <w:pStyle w:val="TextoNormal"/>
      </w:pPr>
    </w:p>
    <w:p w:rsidR="0026452D" w:rsidRDefault="0026452D" w:rsidP="0026452D">
      <w:pPr>
        <w:pStyle w:val="TextoNormal"/>
      </w:pPr>
      <w:r w:rsidRPr="0026452D">
        <w:rPr>
          <w:rStyle w:val="NumeroAFNegritaCaracter"/>
        </w:rPr>
        <w:t>7</w:t>
      </w:r>
      <w:r>
        <w:t>. La representación procesal del demandante de amparo formuló sus alegaciones mediante escrito que tuvo su entrada en el Registro de este Tribunal el día10 de octubre de 2012, en el que se ratifica íntegramente en la demanda de amparo y reitera los argumentos allí expuestos.</w:t>
      </w:r>
    </w:p>
    <w:p w:rsidR="0026452D" w:rsidRDefault="0026452D" w:rsidP="0026452D">
      <w:pPr>
        <w:pStyle w:val="TextoNormal"/>
      </w:pPr>
    </w:p>
    <w:p w:rsidR="0026452D" w:rsidRDefault="0026452D" w:rsidP="0026452D">
      <w:pPr>
        <w:pStyle w:val="TextoNormal"/>
      </w:pPr>
      <w:r w:rsidRPr="0026452D">
        <w:rPr>
          <w:rStyle w:val="NumeroAFNegritaCaracter"/>
        </w:rPr>
        <w:t>8</w:t>
      </w:r>
      <w:r>
        <w:t>. Mediante escrito que tuvo entrada en el Registro General de este Tribunal el día 18 de octubre de 2012 presentó alegaciones la procuradora doña María Inmaculada Mozos Serna, en nombre y representación de doña S.B.B., interesando se declare inadmisible el recurso o, subsidiariamente, se deniegue el amparo, y se acuerde no acceder a plantear cuestión prejudicial al Tribunal de Justicia de la Unión Europea.</w:t>
      </w:r>
    </w:p>
    <w:p w:rsidR="0026452D" w:rsidRDefault="0026452D" w:rsidP="0026452D">
      <w:pPr>
        <w:pStyle w:val="TextoNormal"/>
      </w:pPr>
    </w:p>
    <w:p w:rsidR="0026452D" w:rsidRDefault="0026452D" w:rsidP="0026452D">
      <w:pPr>
        <w:pStyle w:val="TextoNormal"/>
      </w:pPr>
      <w:r>
        <w:t xml:space="preserve">La contraparte sostiene que el recurso de amparo debe ser inadmitido. Alega que el recurso está incurso en la causa de inadmisión del art. 50.1 a), en relación con el art. 44.1 a) y c) LOTC por falta de agotamiento de la vía judicial previa y falta de invocación pues las vulneraciones de derechos denunciadas se circunscriben a la motivación de la Sentencia de la Audiencia Provincial, por lo que el recurrente no pudo acudir a este Tribunal directamente, sin antes plantear incidente de nulidad de actuaciones, preceptivo en el caso, según los términos del art. 241.1 de la Ley Orgánica del Poder Judicial. Igualmente, la contraparte defiende que ni el recurrente ha justificado la especial trascendencia constitucional, ni dicha especial trascendencia concurre en la demanda. Argumenta que el recurso incluye un apartado sobre “relevancia constitucional”, con cita de los arts. 49.1 y 50.1 b) LOTC, pero sin referencia concreta al caso de autos, con la única alusión a que “plantea una cuestión jurídica relevante y de gran repercusión social, además de unas consecuencias políticas generales”, cuando, a su juicio, la admisión a trámite de los recursos de amparo no se puede condicionar en función de las repercusiones sociales o políticas que puedan existir. Asimismo, el recurso </w:t>
      </w:r>
      <w:r>
        <w:lastRenderedPageBreak/>
        <w:t>de amparo se constriñe a una queja por motivación, sobre lo que existe abundante doctrina constitucional, por lo que no plantea ninguna cuestión nueva a este Tribunal.</w:t>
      </w:r>
    </w:p>
    <w:p w:rsidR="0026452D" w:rsidRDefault="0026452D" w:rsidP="0026452D">
      <w:pPr>
        <w:pStyle w:val="TextoNormal"/>
      </w:pPr>
    </w:p>
    <w:p w:rsidR="0026452D" w:rsidRDefault="0026452D" w:rsidP="0026452D">
      <w:pPr>
        <w:pStyle w:val="TextoNormal"/>
      </w:pPr>
      <w:r>
        <w:t>Para el caso de que no se aprecien las causas de inadmisión precitadas, la contraparte interesa que se deniegue el amparo solicitado, lo cual sustenta en tres líneas argumentales.</w:t>
      </w:r>
    </w:p>
    <w:p w:rsidR="0026452D" w:rsidRDefault="0026452D" w:rsidP="0026452D">
      <w:pPr>
        <w:pStyle w:val="TextoNormal"/>
      </w:pPr>
    </w:p>
    <w:p w:rsidR="0026452D" w:rsidRDefault="0026452D" w:rsidP="0026452D">
      <w:pPr>
        <w:pStyle w:val="TextoNormal"/>
      </w:pPr>
      <w:r>
        <w:t>En primer lugar, defiende que no se ha producido vulneración del derecho fundamental pues la Sentencia de la Audiencia Provincial está motivada y fundada en Derecho: pondera las resoluciones de los tribunales belgas, la prueba practicada en el procedimiento y las relaciones entre las partes. Y no es cierto lo que afirma el recurrente, esto es, que el Tribunal español no declarase la nulidad y entrara al fondo pese a reconocer que no tenía competencia. Al contrario, el Tribunal español afirma su competencia y lo fundamenta en diversos argumentos: el pronunciamiento del Tribunal de Apelación de Bruselas, la situación que derivaría de la nulidad, pues no habría tribunal competente para establecer un régimen de visitas, el interés del menor y la comprensión por el tribunal de la complejidad del caso, que se manifiesta en la no imposición de costas. Además, la competencia judicial internacional del Tribunal español era una cuestión ya resuelta por una resolución judicial firme (el Auto del Juzgado de Primera Instancia núm. 10 de A Coruña, de 27 de abril de 2009). Por último, destaca que hay otras resoluciones judiciales españolas, ajenas a este procedimiento, que se han pronunciado sobre la competencia: el Auto por el que se denegó el reconocimiento y ejecución en España de la Sentencia del Juzgado de Primera Instancia de Bruselas, de 11 de noviembre de 2009 (Auto del Juzgado de Primera Instancia núm. 10 de A Coruña, de 23 de diciembre de 2009, autos 1177-2009), y el Auto por el que se denegó la orden europea de detención y entrega dictada por los tribunales belgas dirigida contra la madre (Auto de la Sección Segunda de la Sala de lo Penal de la Audiencia Nacional, de 26 de febrero de 2010, rollo 350-2009).</w:t>
      </w:r>
    </w:p>
    <w:p w:rsidR="0026452D" w:rsidRDefault="0026452D" w:rsidP="0026452D">
      <w:pPr>
        <w:pStyle w:val="TextoNormal"/>
      </w:pPr>
    </w:p>
    <w:p w:rsidR="0026452D" w:rsidRDefault="0026452D" w:rsidP="0026452D">
      <w:pPr>
        <w:pStyle w:val="TextoNormal"/>
      </w:pPr>
      <w:r>
        <w:t>En segundo lugar, se interesa la denegación del amparo solicitado porque el recurrente denuncia la vulneración de los derechos protegidos en el art. 39.1, 2 y 4 CE, cuando dichos derechos no son susceptibles de amparo, de conformidad con el art. 41 LOTC. En cuanto a la denuncia relativa a la vulneración del derecho fundamental a la tutela judicial efectiva, se hace sin más precisión en cuanto al derecho fundamental supuestamente vulnerado, sin cita de doctrina constitucional, sin sustento alegatorio en términos constitucionales, de suerte que el recurso se reduce simplemente a una interpretación alternativa de la legalidad.</w:t>
      </w:r>
    </w:p>
    <w:p w:rsidR="0026452D" w:rsidRDefault="0026452D" w:rsidP="0026452D">
      <w:pPr>
        <w:pStyle w:val="TextoNormal"/>
      </w:pPr>
    </w:p>
    <w:p w:rsidR="0026452D" w:rsidRDefault="0026452D" w:rsidP="0026452D">
      <w:pPr>
        <w:pStyle w:val="TextoNormal"/>
      </w:pPr>
      <w:r>
        <w:t>Como tercera línea argumental la contraparte sustenta la denegación del amparo porque no hay en la Sentencia de la Audiencia Provincial ni error patente de relevancia constitucional ni una interpretación arbitraria o irrazonable de la legalidad ordinaria. En este punto se afirma que la cuestión, no sólo permanece en el plano de la legalidad ordinaria, sino que, a mayor abundamiento, en términos de pura legalidad ordinaria, la resolución judicial es correcta: el traslado de la menor a España fue lícito, luego la norma de competencia judicial internacional aplicable era la establecida en el art. 8 del Reglamento 2201/2003, de la que se colige la competencia judicial internacional del Tribunal español.</w:t>
      </w:r>
    </w:p>
    <w:p w:rsidR="0026452D" w:rsidRDefault="0026452D" w:rsidP="0026452D">
      <w:pPr>
        <w:pStyle w:val="TextoNormal"/>
      </w:pPr>
    </w:p>
    <w:p w:rsidR="0026452D" w:rsidRDefault="0026452D" w:rsidP="0026452D">
      <w:pPr>
        <w:pStyle w:val="TextoNormal"/>
      </w:pPr>
      <w:r>
        <w:t xml:space="preserve">Por último, en cuanto al planteamiento de la cuestión prejudicial se argumenta su improcedencia. Según la contraparte, la cuestión tiene su origen en una premisa errónea ya que, insiste, los Tribunales españoles siempre fueron competentes. Además, la interpretación y validez del Reglamento no ha sido cuestionada. Lo que el recurso de amparo plantea es si </w:t>
      </w:r>
      <w:r>
        <w:lastRenderedPageBreak/>
        <w:t>la Sentencia está fundamentada o no, y si ha aplicado de forma arbitraria o irrazonable la ley, no la interpretación de ningún precepto concreto, y, si se quiso plantear, debió proponerse ante la Audiencia Provincial. Al fin, es innecesaria toda vez que, según la contraparte, este Tribunal ya se ha pronunciado en casos muy similares.</w:t>
      </w:r>
    </w:p>
    <w:p w:rsidR="0026452D" w:rsidRDefault="0026452D" w:rsidP="0026452D">
      <w:pPr>
        <w:pStyle w:val="TextoNormal"/>
      </w:pPr>
    </w:p>
    <w:p w:rsidR="0026452D" w:rsidRDefault="0026452D" w:rsidP="0026452D">
      <w:pPr>
        <w:pStyle w:val="TextoNormal"/>
      </w:pPr>
      <w:r w:rsidRPr="0026452D">
        <w:rPr>
          <w:rStyle w:val="NumeroAFNegritaCaracter"/>
        </w:rPr>
        <w:t>9</w:t>
      </w:r>
      <w:r>
        <w:t>. El día 23 de octubre de 2012 presentó sus alegaciones el Ministerio Fiscal interesando la desestimación del recurso de amparo y mostrando su disconformidad con el planteamiento de cuestión prejudicial, por improcedente.</w:t>
      </w:r>
    </w:p>
    <w:p w:rsidR="0026452D" w:rsidRDefault="0026452D" w:rsidP="0026452D">
      <w:pPr>
        <w:pStyle w:val="TextoNormal"/>
      </w:pPr>
    </w:p>
    <w:p w:rsidR="0026452D" w:rsidRDefault="0026452D" w:rsidP="0026452D">
      <w:pPr>
        <w:pStyle w:val="TextoNormal"/>
      </w:pPr>
      <w:r>
        <w:t>El Ministerio Fiscal considera que la fundamentación de la Sentencia no es constitucionalmente censurable pues contiene una motivación que no es arbitraria ni irrazonable. En este sentido, valora que la solución adoptada por la Audiencia Provincial, a la que el recurrente tilda de arbitraria, “es igual” a la adoptada por el Tribunal de Apelación belga, y que el Tribunal belga, aun considerándose inicialmente competente, estima más conveniente que actúe el juez español, de conformidad con el art. 15 del Reglamento 2201/2003. El Ministerio Fiscal también subraya la toma en consideración del paso del tiempo, que no es un argumento baladí, y el protagonismo en la motivación del interés del menor, que “debe ser considerado en línea preferente”.</w:t>
      </w:r>
    </w:p>
    <w:p w:rsidR="0026452D" w:rsidRDefault="0026452D" w:rsidP="0026452D">
      <w:pPr>
        <w:pStyle w:val="TextoNormal"/>
      </w:pPr>
    </w:p>
    <w:p w:rsidR="0026452D" w:rsidRDefault="0026452D" w:rsidP="0026452D">
      <w:pPr>
        <w:pStyle w:val="TextoNormal"/>
      </w:pPr>
      <w:r>
        <w:t>En cuanto al planteamiento de cuestión prejudicial, el Ministerio Fiscal sostiene su improcedencia porque no se propone como referida a un concreto precepto, lo que raya en el debate doctrinal, incompatible con la naturaleza de la cuestión prejudicial. Además, la cuestión prejudicial ha de ser necesaria para el fallo y, dado que se propone al Tribunal Constitucional, ha de suponer la confrontación entre un artículo de la Constitución y una norma de Derecho comunitario, de suerte que, como ocurre en el caso de autos, “cualquier otro planteamiento para resolver dudas legales tendría un carácter infraconstitucional y debería haberse planteado en la vía jurisdiccional ordinaria”.</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30 de mayo de 2013 se señaló para deliberación y votación de la presente Sentencia el día 3 de junio del mismo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amparo se dirige contra la Sentencia de la Audiencia Provincial de A Coruña (Sección Quinta) de 25 de enero de 2011, recaída en rollo de apelación núm. 235-2010, contra la Sentencia del Juzgado de Primera Instancia núm. 10 de A Coruña, de 11 de noviembre de 2009, en procedimiento sobre relaciones paternofiliales 75-2009. Se funda la demanda en la vulneración del derecho fundamental a la tutela judicial efectiva (art. 24.1 CE) en la vertiente de derecho fundamental a una resolución judicial motivada y fundada en Derecho, del derecho a la protección social económica y jurídica de la familia (art. 39.1 CE), del derecho a la protección integral de los hijos (art. 39.2 CE) y del derecho de los niños a gozar de la protección prevista en los acuerdos internacionales que velan por sus derechos (art. 39.4 CE). La contraparte solicita la inadmisión y, subsidiariamente, la desestimación del recurso de amparo y considera improcedente el planteamiento de la cuestión prejudicial propuesta. El Ministerio Fiscal solicita la desestimación del recurso de amparo y considera improcedente el planteamiento de cuestión prejudicial.</w:t>
      </w:r>
    </w:p>
    <w:p w:rsidR="0026452D" w:rsidRDefault="0026452D" w:rsidP="0026452D">
      <w:pPr>
        <w:pStyle w:val="TextoNormal"/>
      </w:pPr>
    </w:p>
    <w:p w:rsidR="0026452D" w:rsidRDefault="0026452D" w:rsidP="0026452D">
      <w:pPr>
        <w:pStyle w:val="TextoNormal"/>
      </w:pPr>
      <w:r>
        <w:lastRenderedPageBreak/>
        <w:t>Como dijimos en la STC 57/2013, de 11 de marzo, la circunstancia de que esté involucrado un menor de edad en el presente recurso de amparo, explica que, de conformidad con el art. 8 de las Reglas mínimas de las Naciones Unidas para la administración de justicia de menores, conocidas como Reglas de Beijing, e incluidas en la resolución de la Asamblea General 40/33, de 29 de noviembre de 1985, no se incluyan en esta resolución el nombre y los apellidos completos del menor de edad ni de sus padres.</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al examen de la queja formulada en la demanda de amparo debemos pronunciarnos sobre los óbices de admisibilidad aducidos por la contraparte. Según sostiene, el recurso de amparo debería inadmitirse porque, de un lado, el recurrente no justifica en su demanda la especial trascendencia constitucional, ni dicha especial trascendencia constitucional concurre y, de otro, por falta de agotamiento de la vía judicial previa y falta de invocación previa del derecho fundamental vulnerado tan pronto como, una vez conocida la violación, hubiere lugar para ello. Como ha quedado expuesto, el Ministerio Fiscal no advierte carencia de estos requisitos.</w:t>
      </w:r>
    </w:p>
    <w:p w:rsidR="0026452D" w:rsidRDefault="0026452D" w:rsidP="0026452D">
      <w:pPr>
        <w:pStyle w:val="TextoNormal"/>
      </w:pPr>
    </w:p>
    <w:p w:rsidR="0026452D" w:rsidRDefault="0026452D" w:rsidP="0026452D">
      <w:pPr>
        <w:pStyle w:val="TextoNormal"/>
      </w:pPr>
      <w:r>
        <w:t xml:space="preserve">a) En relación con la justificación de la especial trascendencia constitucional ha de recordarse que conforme a lo dispuesto en el art. 50.1 a) de la Ley Orgánica del Tribunal Constitucional (LOTC), el recurso de amparo no puede ser admitido a trámite si el recurrente no cumple —además de los restantes requisitos procesales previstos en los arts. 42 a 44 LOTC— la ineludible exigencia impuesta por el art. 49.1 </w:t>
      </w:r>
      <w:r w:rsidRPr="0026452D">
        <w:rPr>
          <w:i/>
        </w:rPr>
        <w:t>in fine</w:t>
      </w:r>
      <w:r>
        <w:t xml:space="preserve"> LOTC de justificar en la demanda de amparo la especial trascendencia constitucional del recurso (por todas, SSTC 155/2009, de 25 de junio, FJ 2; y 69/2011, de 16 de mayo, FJ 2; AATC 188/2008, de 21 de julio, FJ 1; 289/2008 y 290/2008, ambos de 22 de septiembre, FJ 1).</w:t>
      </w:r>
    </w:p>
    <w:p w:rsidR="0026452D" w:rsidRDefault="0026452D" w:rsidP="0026452D">
      <w:pPr>
        <w:pStyle w:val="TextoNormal"/>
      </w:pPr>
    </w:p>
    <w:p w:rsidR="0026452D" w:rsidRDefault="0026452D" w:rsidP="0026452D">
      <w:pPr>
        <w:pStyle w:val="TextoNormal"/>
      </w:pPr>
      <w:r>
        <w:t>Este Tribunal —como destacábamos en la STC 69/2011, de 16 de mayo, FJ 3— ha ido realizando numerosas precisiones en cuanto al modo de dar cumplimiento a esta exigencia, destacando fundamentalmente que es algo distinto de razonar sobre la existencia de la vulneración de un derecho fundamental, de modo que en la demanda ha de disociarse adecuadamente la argumentación tendente a justificar la existencia de lesión de un derecho fundamental de aquella dirigida a justificar la especial trascendencia constitucional, exigiendo al recurrente un “esfuerzo argumental” que ponga en conexión las vulneraciones constitucionales que alega con los criterios establecidos en el art. 50.1 b) LOTC, precepto este último, según el cual, la especial trascendencia del recurso se apreciará atendiendo a “su importancia para la interpretación de la Constitución, para su aplicación o para su general eficacia, y para la determinación del contenido y alcance de los derechos fundamentales”. A lo que ha de añadirse que en la STC 155/2009, de 25 de junio, FJ 2, el Tribunal ha identificado, sin ánimo exhaustivo, determinados supuestos en los que concurriría esa especial trascendencia constitucional, avanzando en la interpretación del art. 50.1 b) LOTC y facilitando a los recurrentes el cumplimiento de la carga justificativa que impone el art. 49.1 LOTC.</w:t>
      </w:r>
    </w:p>
    <w:p w:rsidR="0026452D" w:rsidRDefault="0026452D" w:rsidP="0026452D">
      <w:pPr>
        <w:pStyle w:val="TextoNormal"/>
      </w:pPr>
    </w:p>
    <w:p w:rsidR="0026452D" w:rsidRDefault="0026452D" w:rsidP="0026452D">
      <w:pPr>
        <w:pStyle w:val="TextoNormal"/>
      </w:pPr>
      <w:r>
        <w:t xml:space="preserve">En el caso de autos, el recurso de amparo disocia adecuadamente la argumentación tendente a justificar la existencia de la lesión de la dirigida a justificar la especial trascendencia: dedica un apartado específico a la especial trascendencia constitucional (páginas 22 y 23 de la demanda de amparo) en el que, no sólo se reiteran argumentos utilizados en sustento de la lesión sino que también se incorporan otros, referidos a la especial trascendencia como requisito distinto de aquella. Igualmente se constata en el recurso de amparo un esfuerzo argumental para conectar las vulneraciones denunciadas y los criterios establecidos en el </w:t>
      </w:r>
      <w:r>
        <w:lastRenderedPageBreak/>
        <w:t>art. 50.1 b) LOTC y en la STC 155/2009, de 25 de junio, FJ 2 (STC 170/2011, de 3 de noviembre, FJ 3); conexión tanto material como formal, pues el recurrente invoca expresamente el apartado g) “cuando el asunto suscitado, sin estar incluido en ninguno de los supuestos anteriores, trascienda del caso concreto porque plantee una cuestión jurídica de relevante y general repercusión social o económica o tenga unas consecuencias políticas generales”.</w:t>
      </w:r>
    </w:p>
    <w:p w:rsidR="0026452D" w:rsidRDefault="0026452D" w:rsidP="0026452D">
      <w:pPr>
        <w:pStyle w:val="TextoNormal"/>
      </w:pPr>
    </w:p>
    <w:p w:rsidR="0026452D" w:rsidRDefault="0026452D" w:rsidP="0026452D">
      <w:pPr>
        <w:pStyle w:val="TextoNormal"/>
      </w:pPr>
      <w:r>
        <w:t>Dicho lo cual, en relación con la especial trascendencia constitucional ha de recordarse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STC 95/2010, de 15 de noviembre, FJ 4). El carácter notablemente abierto e indeterminado, tanto de la noción de “especial trascendencia constitucional”, como de los criterios legalmente establecidos para su apreciación, confieren a este Tribunal un amplio margen decisorio para estimar cuándo el contenido de un recurso de amparo justifica una decisión sobre el fondo en razón de su especial trascendencia constitucional. Como es obvio, la decisión liminar de admisión a trámite del recurso al apreciar el cumplimiento del citado requisito no limita las facultades del Tribunal sobre la decisión final de estimación o desestimación del asunto (STC 155/2009, de 25 de junio, FJ 2). Pues bien, en la fase de admisión del presente recurso de amparo este Tribunal concluyó que concurría la especial trascendencia constitucional exigida para su admisión a trámite, sin que encontremos razones para modificar esa inicial apreciación en el momento procesal en que ahora nos hallamos, habida cuenta del perfil específico que presenta el caso de autos, resultante de su complejidad y los intereses en presencia, y la singularidad del criterio de competencia judicial internacional exteriorizado.</w:t>
      </w:r>
    </w:p>
    <w:p w:rsidR="0026452D" w:rsidRDefault="0026452D" w:rsidP="0026452D">
      <w:pPr>
        <w:pStyle w:val="TextoNormal"/>
      </w:pPr>
    </w:p>
    <w:p w:rsidR="0026452D" w:rsidRDefault="0026452D" w:rsidP="0026452D">
      <w:pPr>
        <w:pStyle w:val="TextoNormal"/>
      </w:pPr>
      <w:r>
        <w:t>b) La contraparte alega también que el recurso de amparo incurre en falta de agotamiento de la vía judicial previa y falta de invocación previa del derecho fundamental vulnerado tan pronto como, una vez conocida la violación, hubiere lugar para ello (art. 50.1 a) en relación con el art. 44.1 a) y c) LOTC. Su argumentación parte de la premisa de que las vulneraciones de derechos denunciadas se circunscriben a la Sentencia de la Audiencia Provincial, por lo que el recurrente no pudo acudir a este Tribunal directamente, sin antes plantear incidente de nulidad de actuaciones, preceptivo, de conformidad con el art. 241.1 de la Ley Orgánica del Poder Judicial.</w:t>
      </w:r>
    </w:p>
    <w:p w:rsidR="0026452D" w:rsidRDefault="0026452D" w:rsidP="0026452D">
      <w:pPr>
        <w:pStyle w:val="TextoNormal"/>
      </w:pPr>
    </w:p>
    <w:p w:rsidR="0026452D" w:rsidRDefault="0026452D" w:rsidP="0026452D">
      <w:pPr>
        <w:pStyle w:val="TextoNormal"/>
      </w:pPr>
      <w:r>
        <w:t>Pues bien, la premisa de la que parte esta alegación no es exacta. Como ha quedado expuesto en los antecedentes, los términos en los que el recurrente delimita su queja son confusos ya que, si bien se refiere ocasionalmente a la motivación concreta de la Sentencia de apelación, su discurso principal, que desarrolla de forma prolija y reiterada, y que es el que sostiene su pretensión de amparo, es el atinente a dos cuestiones: la inaplicación del Reglamento (CE) núm. 2201/2003 del Consejo, de 27 de noviembre de 2003, relativo a la competencia, el reconocimiento y la ejecución de resoluciones judiciales en materia matrimonial y de responsabilidad parental, y la competencia judicial internacional de los Tribunales españoles. Por tanto, habida cuenta de que el recurrente ha planteado su denuncia en estos términos, y con independencia del juicio que merezca la corrección técnica y la viabi</w:t>
      </w:r>
      <w:r>
        <w:lastRenderedPageBreak/>
        <w:t xml:space="preserve">lidad de dicho planteamiento, el incidente puede no reputarse imprescindible para el agotamiento de la vía judicial cuando la lesión, así enunciada, en puridad, tendría su origen en la instancia y, denunciada, no habría sido enmendada en la apelación. Con la misma lógica, dado que ambas cuestiones están presentes en el escrito de apelación, se puede tener por cumplido el requisito </w:t>
      </w:r>
      <w:r w:rsidRPr="0026452D">
        <w:rPr>
          <w:i/>
        </w:rPr>
        <w:t>ex</w:t>
      </w:r>
      <w:r>
        <w:t xml:space="preserve"> art. 44.1 c) LOTC en una interpretación flexible y finalista de dicho precepto, pues el cumplimiento de este requisito no exige que en el proceso judicial se haga una mención concreta y numérica del precepto constitucional en el que se reconozca el derecho vulnerado o la mención de su </w:t>
      </w:r>
      <w:r w:rsidRPr="0026452D">
        <w:rPr>
          <w:i/>
        </w:rPr>
        <w:t>nomen iuris</w:t>
      </w:r>
      <w:r>
        <w:t>, siendo suficiente que se someta el hecho fundamentador de la vulneración al análisis de los órganos judiciales, dándoles la oportunidad de pronunciarse y, en su caso, de reparar la lesión del derecho fundamental que posteriormente se alega en el recurso de amparo (por todas, SSTC 133/2002, de 3 de junio, FJ 3; 228/2002, de 9 de diciembre, FJ 2; y 133/2010, de 2 de diciembre, FJ 2).</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Una vez descartados los óbices de admisibilidad planteados es preciso depurar el objeto de la demanda de amparo. Aunque el recurrente refiere la vulneración de los derechos recogidos en el art. 39.1, 2 y 4 CE, esta queja ha de rechazarse </w:t>
      </w:r>
      <w:r w:rsidRPr="0026452D">
        <w:rPr>
          <w:i/>
        </w:rPr>
        <w:t>a radice</w:t>
      </w:r>
      <w:r>
        <w:t xml:space="preserve"> por cuanto, de conformidad con los arts. 53.2 CE y 41.1 LOTC, los derechos y libertades susceptibles de amparo son los reconocidos en los arts. 14 a 29 CE y la objeción de conciencia reconocida en el art. 30 CE. Por tanto, el objeto de esta demanda se concreta en determinar si el recurrente ha visto vulnerado su derecho fundamental a la tutela judicial efectiva sin indefensión (art. 24.1 CE) en la vertiente de derecho a una resolución judicial motivada y fundada en Derecho, en cuanto a la declaración de competencia judicial internacional de los tribunales españoles. Se ha señalado anteriormente que el recurrente delimita su queja de forma que el conjunto de su argumentación combate tanto la motivación de la Audiencia como la del Juzgado. Pues bien, aunque la Sentencia de la Audiencia confirma la competencia de los tribunales españoles con una motivación sustancialmente distinta y sin tachar la del Juzgado, habida cuenta de que resuelve de forma definitiva sobre la cuestión, el análisis de este Tribunal ha de constreñirse a la motivación y fundamentación en Derecho de la Sentencia de la Audiencia Provincial.</w:t>
      </w:r>
    </w:p>
    <w:p w:rsidR="0026452D" w:rsidRDefault="0026452D" w:rsidP="0026452D">
      <w:pPr>
        <w:pStyle w:val="TextoNormal"/>
      </w:pPr>
    </w:p>
    <w:p w:rsidR="0026452D" w:rsidRDefault="0026452D" w:rsidP="0026452D">
      <w:pPr>
        <w:pStyle w:val="TextoNormal"/>
      </w:pPr>
      <w:r>
        <w:t>Como hemos recordado en la STC 64/2010 de 18 de octubre, FJ 3, el derecho fundamental a la tutela judicial efectiva (art. 24.1 CE) no incluye un pretendido derecho al acierto judicial en la selección, interpretación y aplicación de las disposiciones legales, pero sí comprende, entre otras dimensiones, el derecho a obtener una resolución judicial motivada que, a su vez, según la doctrina constitucional, presenta varias manifestaciones. Supone, en primer lugar, que la resolución ha de estar suficientemente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ni resulte manifiestamente irrazonable, incursa en un error patente o en una evidente contradicción entre los fundamentos jurídicos, o entre éstos y el fallo, ya que, en tal caso, la aplicación de la legalidad sería tan sólo una mera apariencia (SSTC 147/1999, de 4 de agosto, FJ 3; 25/2000, de 31 de enero, FJ 2; 87/2000, de 27 de marzo, FJ 3; 82/2001, de 26 de marzo, FJ 2; 221/2001, de 31 de octubre, FJ 6; 55/2003, de 24 de marzo, FJ 6; 223/2005, de 12 de septiembre, FJ 3; y 276/2006, de 25 de septiembre, FJ 2, entre otras muchas).</w:t>
      </w:r>
    </w:p>
    <w:p w:rsidR="0026452D" w:rsidRDefault="0026452D" w:rsidP="0026452D">
      <w:pPr>
        <w:pStyle w:val="TextoNormal"/>
      </w:pPr>
    </w:p>
    <w:p w:rsidR="0026452D" w:rsidRDefault="0026452D" w:rsidP="0026452D">
      <w:pPr>
        <w:pStyle w:val="TextoNormal"/>
      </w:pPr>
      <w:r>
        <w:lastRenderedPageBreak/>
        <w:t>Este Tribunal, precisó en la STC 214/1999, de 29 de noviembre, que “cuando lo que se debate es, como sucede en este caso,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y, más adelante, afirmó que “es cierto que, en puridad lógica, no es lo mismo ausencia de motivación y razonamiento que motivación y razonamiento que por su grado de arbitrariedad o irrazonabilidad debe tenerse por inexistente; pero también es cierto que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(FJ 4), criterios éstos que hemos reiterado posteriormente (por todas, SSTC 96/2006, de 27 de marzo, FJ 6; y más recientemente 105/2009, de 4 de mayo, FJ 2).</w:t>
      </w:r>
    </w:p>
    <w:p w:rsidR="0026452D" w:rsidRDefault="0026452D" w:rsidP="0026452D">
      <w:pPr>
        <w:pStyle w:val="TextoNormal"/>
      </w:pPr>
    </w:p>
    <w:p w:rsidR="0026452D" w:rsidRDefault="0026452D" w:rsidP="0026452D">
      <w:pPr>
        <w:pStyle w:val="TextoNormal"/>
      </w:pPr>
      <w:r>
        <w:t xml:space="preserve">En relación con las normas de competencia judicial internacional, vinculadas al derecho fundamental de acceso a la jurisdicción (art. 24.1 CE) y, por tanto, al principio de interpretación </w:t>
      </w:r>
      <w:r w:rsidRPr="0026452D">
        <w:rPr>
          <w:i/>
        </w:rPr>
        <w:t>pro actione</w:t>
      </w:r>
      <w:r>
        <w:t>, este Tribunal ha dicho que las reglas ordenadoras de la competencia judicial internacional (esto es, de los supuestos en los que el ordenamiento de un Estado atribuye competencia para conocer de la resolución de un litigio a sus propios órganos jurisdiccionales, siempre dentro de los límites que el Derecho Internacional le impone, que configuran la noción de jurisdicción del Estado) responden todas ellas, en primer y fundamental lugar, a una doble y relativamente contrapuesta exigencia constitucional. De una parte, a nadie puede exigírsele una diligencia irrazonable o cargas excesivas para poder ejercitar su derecho de defensa en juicio; de modo que el demandado en el proceso civil sólo podrá ser sometido a una determinada jurisdicción si las circunstancias del caso permiten considerar que el ejercicio del derecho de defensa no se verá sometido a costes desproporcionados. De otra parte, desde el punto de vista procesalmente activo, es preciso asegurar una posibilidad razonable, según las circunstancias, de accionar ante la Justicia (STC 61/2000, 13 de marzo, FJ 4).</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Antes de analizar la motivación controvertida conviene hacer una observación que afecta de forma concluyente a la argumentación con la que el recurrente sostiene la queja que trae en amparo. El recurrente parte de la premisa de que la menor fue trasladada ilícitamente. Para tales casos, de conformidad con el art. 10 del Reglamento 2201/2003, en materia de responsabilidad parental son competentes los órganos jurisdiccionales del Estado miembro en el que residía habitualmente el menor inmediatamente antes del traslado, frente a la competencia general prevista en el art. 8 del Reglamento, que determina la competencia de los órganos jurisdiccionales del Estado de residencia habitual del menor en los supuestos en que no subyace una sustracción internacional. Pues bien, en un procedimiento anterior al que es objeto de este amparo, los Tribunales españoles establecieron que el traslado de la menor fue lícito. Hay que poner de relieve que, ante aquella resolución judicial, el recurrente se aquietó y la resolución devino firme sin haber sido recurrida. Concluido el procedimiento en el que se declaró lícito el traslado, la fundamentación de cualquier resolución judicial </w:t>
      </w:r>
      <w:r>
        <w:lastRenderedPageBreak/>
        <w:t>posterior de los tribunales españoles, en lo que ahora interesa, en relación con la cuestión de la competencia judicial internacional, no puede soslayar la situación declarada en el procedimiento previo so riesgo de incurrir en vulneración del derecho fundamental a la intangibilidad de las resoluciones judiciales firmes (art. 24.1 CE) pues el órgano judicial, como este Tribunal ha dicho, no puede desconocer lo resuelto por Sentencia firme en el marco de procesos que examinan cuestiones que guardan con aquélla una relación de estricta dependencia (SSTC 219/2000, de 18 de septiembre, FJ 5; 151/2001, de 2 de julio, FJ 3; 231/2006, de 17 de julio, FJ 2, y 208/2009, de 26 de noviembre, FJ 6).</w:t>
      </w:r>
    </w:p>
    <w:p w:rsidR="0026452D" w:rsidRDefault="0026452D" w:rsidP="0026452D">
      <w:pPr>
        <w:pStyle w:val="TextoNormal"/>
      </w:pPr>
    </w:p>
    <w:p w:rsidR="0026452D" w:rsidRDefault="0026452D" w:rsidP="0026452D">
      <w:pPr>
        <w:pStyle w:val="TextoNormal"/>
      </w:pPr>
      <w:r w:rsidRPr="0026452D">
        <w:rPr>
          <w:rStyle w:val="NumeroAFNegritaCaracter"/>
        </w:rPr>
        <w:t>5</w:t>
      </w:r>
      <w:r>
        <w:t>. Entrando en el análisis de la motivación de la Sentencia de la Audiencia Provincial, como ha quedado expuesto en los antecedentes, la Audiencia tras afirmar que el propio Tribunal belga no cuestiona la validez del procedimiento en curso en España, argumenta lo siguiente: “al no pronunciarse los tribunales belgas sobre el derecho de visita del Sr. [G.] con su hija [L.], de aceptarse la pretensión de declarar la nulidad de la Sentencia de instancia, nos encontraríamos con que ningún tribunal, ni español, ni belga, regularía dicho régimen de visitas con lo que se conculcarían al mismo tiempo tanto el derecho del padre a mantener relaciones con su hija menor, como los de ésta a crecer conociendo y conviviendo con su padre, a pesar de los problemas que se plantean con la distancia geográfica en que se encuentran el uno del otro”. Y, al tener que decidir sobre el régimen de visitas, sigue la Sentencia, “debe también decidir, con anterioridad, sobre la guarda y custodia”.</w:t>
      </w:r>
    </w:p>
    <w:p w:rsidR="0026452D" w:rsidRDefault="0026452D" w:rsidP="0026452D">
      <w:pPr>
        <w:pStyle w:val="TextoNormal"/>
      </w:pPr>
    </w:p>
    <w:p w:rsidR="0026452D" w:rsidRDefault="0026452D" w:rsidP="0026452D">
      <w:pPr>
        <w:pStyle w:val="TextoNormal"/>
      </w:pPr>
      <w:r>
        <w:t>Trasladada la doctrina constitucional al caso de autos, y en lo que resulta del control externo que corresponde a este Tribunal, no se aprecia la vulneración del derecho fundamental que se denuncia por cuanto la Sentencia de la Audiencia Provincial contiene los elementos y razones de juicio que permiten conocer cuáles han sido los criterios jurídicos que fundamentan la decisión y una fundamentación en Derecho, sin que se aprecie vicio de arbitrariedad, motivación irrazonable o error patente. La Sentencia fundamenta la competencia del tribunal español en la necesidad, lo que conecta con el concepto de foro de necesidad, conocido en Derecho, que vincula con el derecho fundamental de acceso a la jurisdicción (art. 24.1 CE) y con los derechos de la menor y del padre. El criterio de necesidad sustenta la competencia al objeto de garantizar el acceso a la jurisdicción de la pretensión procesal de establecimiento de un régimen de relaciones paternofiliales, evitando un resultado constitucionalmente inadmisible, esto es, que dicha pretensión quede sin una resolución sobre el fondo; lo cual es un hecho cierto en lo atinente al derecho de visitas, sin que su extensión a la guarda y custodia pueda considerarse irrazonable cuando garantiza que el régimen de relaciones paternofiliales que se adopte sea completo, sin hacerlo depender de la suerte que pueda seguir la eficacia en España de la Sentencia belga.</w:t>
      </w:r>
    </w:p>
    <w:p w:rsidR="0026452D" w:rsidRDefault="0026452D" w:rsidP="0026452D">
      <w:pPr>
        <w:pStyle w:val="TextoNormal"/>
      </w:pPr>
    </w:p>
    <w:p w:rsidR="0026452D" w:rsidRDefault="0026452D" w:rsidP="0026452D">
      <w:pPr>
        <w:pStyle w:val="TextoNormal"/>
      </w:pPr>
      <w:r>
        <w:t>Este Tribunal constata que la invocación de la necesidad en el caso responde a las exigencias constitucionales del sistema de competencia judicial internacional, en cuanto asegura una posibilidad razonable de accionar ante la Justicia, sin exigir una diligencia irrazonable o una carga excesiva que llevaría a su rechazo por exorbitante. A mayor abundamiento, hay que subrayar que, a diferencia de lo que en principio presupone el foro de necesidad, en el caso de autos la invocación de la necesidad como criterio de competencia no viene acompañada por la previa constatación de inexistencia de otro foro que atribuya competencia judicial internacional a los tribunales españoles, sobre cuya concurrencia la Audiencia Provincial no se pronuncia. En este sentido, la cuestión se reduce al acierto en la selección, interpretación y aplicación del foro de competencia por el órgano judicial.</w:t>
      </w:r>
    </w:p>
    <w:p w:rsidR="0026452D" w:rsidRDefault="0026452D" w:rsidP="0026452D">
      <w:pPr>
        <w:pStyle w:val="TextoNormal"/>
      </w:pPr>
    </w:p>
    <w:p w:rsidR="0026452D" w:rsidRDefault="0026452D" w:rsidP="0026452D">
      <w:pPr>
        <w:pStyle w:val="TextoNormal"/>
      </w:pPr>
      <w:r w:rsidRPr="0026452D">
        <w:rPr>
          <w:rStyle w:val="NumeroAFNegritaCaracter"/>
        </w:rPr>
        <w:t>6</w:t>
      </w:r>
      <w:r>
        <w:t>. Abunda en favor de la adecuación constitucional de la motivación y fundamentación en Derecho controvertida un análisis de la misma en términos de razonabilidad de los resultados desde la perspectiva del interés superior del menor, principio que, como ha recordado este Tribunal, con carácter general proclama la Convención de las Naciones Unidas sobre los derechos del niño de 20 de noviembre de 1989, al disponer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(art. 3.1). Y que nuestra legislación en materia de menores define como rector e inspirador de todas las actuaciones de los poderes públicos relacionadas con el niño, tanto administrativas como judiciales (SSTC 124/2002, de 20 de mayo, FJ 4, y 47/2009, de febrero, FJ, 3 entre otras). Pues bien, el caso de autos ha desembocado en una situación patológica, escapada de todas las prevenciones legales, en perjuicio de la menor cuyo interés demanda un régimen de relaciones paternofiliales estable, lo que implica que sea eficaz tanto en España como en Bélgica, como marco imprescindible para el desarrollo de los derechos de la menor y de los padres y como medida mínima para prevenir el riesgo de sustracción internacional. En orden a procurar este objetivo es significativo que la resolución de la Audiencia sobre la guarda y custodia incorpore materialmente la motivación de la Sentencia de apelación belga, haciéndola nuestra. Con la misma lógica, al fundamentar la competencia del Tribunal español en la necesidad la Sentencia exterioriza un criterio jurídico ajeno a la cuestión que está en el origen de la incompatibilidad de resoluciones judiciales, esto es, la consideración del traslado de la menor como lícito o ilícito, y los foros de competencia deudores de ese presupuesto.</w:t>
      </w:r>
    </w:p>
    <w:p w:rsidR="0026452D" w:rsidRDefault="0026452D" w:rsidP="0026452D">
      <w:pPr>
        <w:pStyle w:val="TextoNormal"/>
      </w:pPr>
    </w:p>
    <w:p w:rsidR="0026452D" w:rsidRDefault="0026452D" w:rsidP="0026452D">
      <w:pPr>
        <w:pStyle w:val="TextoNormal"/>
      </w:pPr>
      <w:r>
        <w:t>Por último, la razonabilidad del resultado se aprecia no sólo desde la óptica del interés superior del menor sino de los derechos del padre ahora recurrente (expresamente en la motivación de la Sentencia “el derecho de padre a mantener relaciones con su hija menor”) pues la situación claudicante también condicionaba severamente sus derechos. De esta suerte, la resolución judicial controvertida, en los términos en que se fundamenta, coadyuva a la garantía y ejercicio de los derechos del recurrente y entronca con el art. 39 CE y con el derecho al respeto a la vida privada y familiar previsto en el art. 8 del Convenio europeo para la protección de los derechos humanos y de las libertades fundamentales. Además, no puede ignorarse que, en cuanto al fondo, el Tribunal español reproduce la motivación y reitera el fallo de la decisión belga sobre la guarda y custodia y acoge íntegramente el régimen de visitas solicitado por el recurrente, de lo que resulta que ha obtenido la solución más favorable posible, a la luz del interés del menor en la actualidad, siendo legal y constitucionalmente inviable, como parece reclamarse, una motivación y fundamentación en Derecho de la competencia judicial internacional en materia de relaciones paternofiliales ajena a este criterio.</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Lo expuesto pone de manifiesto que, a diferencia del recurso de amparo que requirió el planteamiento de cuestión prejudicial por ATC 86/2011, de 9 de junio, en el presente recurso este Tribunal no se ha enfrentado a un problema cuya solución haya dependido, en medida alguna, de la interpretación y validez de una norma de Derecho comunitario. Antes al contrario, la duda interpretativa que pretendía suscitar el recurrente es una cuestión de legalidad ordinaria, ajena al ámbito de este proceso constitucional y, por tanto, por definición, innecesaria para poder emitir el fallo, lo cual es condición primera de aplicación del art. 267 del Tratado de funcionamiento de la Unión Europea. Habida cuenta de lo cual, </w:t>
      </w:r>
      <w:r>
        <w:lastRenderedPageBreak/>
        <w:t>procede desestimar de plano el planteamiento de cuestión prejudicial ante el Tribunal de Justicia de la Unión Europea en los términos propuestos por el recurrente.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amparo solicitado por don M. G.</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tres de junio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31" w:name="SENTENCIA_2013_128"/>
      <w:r>
        <w:lastRenderedPageBreak/>
        <w:t>SENTENCIA 128/2013, de 3 de junio de 2013</w:t>
      </w:r>
    </w:p>
    <w:bookmarkEnd w:id="131"/>
    <w:p w:rsidR="0026452D" w:rsidRDefault="0026452D" w:rsidP="0026452D">
      <w:pPr>
        <w:pStyle w:val="TtuloResolucin"/>
      </w:pPr>
      <w:r>
        <w:t>Sala Segunda</w:t>
      </w:r>
    </w:p>
    <w:p w:rsidR="0026452D" w:rsidRDefault="0026452D" w:rsidP="0026452D">
      <w:pPr>
        <w:pStyle w:val="TtuloResolucin"/>
      </w:pPr>
    </w:p>
    <w:p w:rsidR="0026452D" w:rsidRDefault="0026452D" w:rsidP="0026452D">
      <w:pPr>
        <w:pStyle w:val="TtuloBOE"/>
      </w:pPr>
      <w:r>
        <w:t>("BOE" núm. 157, de 2 de julio de 2013)</w:t>
      </w:r>
    </w:p>
    <w:p w:rsidR="0026452D" w:rsidRDefault="0026452D" w:rsidP="0026452D">
      <w:pPr>
        <w:pStyle w:val="TtuloBOE"/>
      </w:pPr>
    </w:p>
    <w:p w:rsidR="0026452D" w:rsidRDefault="0026452D" w:rsidP="0026452D">
      <w:pPr>
        <w:pStyle w:val="SntesisDescriptiva"/>
      </w:pPr>
      <w:r>
        <w:t>ECLI:ES:TC:2013:128</w:t>
      </w:r>
    </w:p>
    <w:p w:rsidR="0026452D" w:rsidRDefault="0026452D" w:rsidP="0026452D">
      <w:pPr>
        <w:pStyle w:val="SntesisDescriptiva"/>
      </w:pPr>
    </w:p>
    <w:p w:rsidR="0026452D" w:rsidRDefault="0026452D" w:rsidP="0026452D">
      <w:pPr>
        <w:pStyle w:val="SntesisDescriptiva"/>
      </w:pPr>
      <w:r>
        <w:t>Recurso de amparo 123-2012. Promovido por don Ibai Aguinaga Guinea en relación con las resoluciones dictadas por el Juzgado Central de Menores sobre el derecho a comunicarse con familiares en prisión.</w:t>
      </w:r>
    </w:p>
    <w:p w:rsidR="0026452D" w:rsidRDefault="0026452D" w:rsidP="0026452D">
      <w:pPr>
        <w:pStyle w:val="SntesisDescriptiva"/>
      </w:pPr>
    </w:p>
    <w:p w:rsidR="0026452D" w:rsidRDefault="0026452D" w:rsidP="0026452D">
      <w:pPr>
        <w:pStyle w:val="SntesisAnaltica"/>
      </w:pPr>
      <w:r>
        <w:t>Supuesta vulneración del derecho a la tutela judicial efectiva (motivación): resoluciones judiciales que, confirmando una decisión previa de la Administración penitenciaria, excluyen a los primos del régimen de comunicación vis a vis establecido para los familiares de los internos en centros penitenciarios.</w:t>
      </w:r>
    </w:p>
    <w:p w:rsidR="0026452D" w:rsidRDefault="0026452D" w:rsidP="0026452D">
      <w:pPr>
        <w:pStyle w:val="SntesisAnaltica"/>
      </w:pPr>
    </w:p>
    <w:p w:rsidR="0026452D" w:rsidRDefault="0026452D" w:rsidP="0026452D">
      <w:pPr>
        <w:pStyle w:val="Extracto"/>
      </w:pPr>
      <w:r>
        <w:t>1.</w:t>
      </w:r>
      <w:r>
        <w:tab/>
        <w:t xml:space="preserve">Las resoluciones judiciales que rechazaron la queja del interno no vulneraron su derecho a la tutela judicial efectiva reconocido en el art. 24.1 CE, pues la limitación del acceso incondicionado a las visitas </w:t>
      </w:r>
      <w:r w:rsidRPr="0026452D">
        <w:rPr>
          <w:i/>
        </w:rPr>
        <w:t>vis a vis</w:t>
      </w:r>
      <w:r>
        <w:t xml:space="preserve"> a los parientes dentro del segundo grado encuentra cobertura en la normativa penitenciaria, que permite establecer restricciones cuando lo exijan razones de seguridad o del buen orden del establecimiento [FJ 5].</w:t>
      </w:r>
    </w:p>
    <w:p w:rsidR="0026452D" w:rsidRDefault="0026452D" w:rsidP="0026452D">
      <w:pPr>
        <w:pStyle w:val="Extracto"/>
      </w:pPr>
    </w:p>
    <w:p w:rsidR="0026452D" w:rsidRDefault="0026452D" w:rsidP="0026452D">
      <w:pPr>
        <w:pStyle w:val="Extracto"/>
      </w:pPr>
      <w:r>
        <w:t>2.</w:t>
      </w:r>
      <w:r>
        <w:tab/>
        <w:t xml:space="preserve">La restricción de los familiares que podían comunicar </w:t>
      </w:r>
      <w:r w:rsidRPr="0026452D">
        <w:rPr>
          <w:i/>
        </w:rPr>
        <w:t>vis a vis</w:t>
      </w:r>
      <w:r>
        <w:t xml:space="preserve"> acreditando únicamente el parentesco con el interno a los que se encuentren en el segundo grado se acomodaba al principio de proporcionalidad, en cuanto era adecuada al fin perseguido de garantizar la seguridad y buen funcionamiento del centro penitenciario y no se extendió más allá de lo estrictamente preciso [FJ 5].</w:t>
      </w:r>
    </w:p>
    <w:p w:rsidR="0026452D" w:rsidRDefault="0026452D" w:rsidP="0026452D">
      <w:pPr>
        <w:pStyle w:val="Extracto"/>
      </w:pPr>
    </w:p>
    <w:p w:rsidR="0026452D" w:rsidRDefault="0026452D" w:rsidP="0026452D">
      <w:pPr>
        <w:pStyle w:val="Extracto"/>
      </w:pPr>
      <w:r>
        <w:t>3.</w:t>
      </w:r>
      <w:r>
        <w:tab/>
        <w:t>El primer inciso del art. 25.2 CE no contiene un derecho fundamental, sino un mandato constitucional dirigido al legislador para orientar la política penal y penitenciaria, que como tal puede servir de parámetro de constitucionalidad de las leyes (STC 160/2012) [FJ 3].</w:t>
      </w:r>
    </w:p>
    <w:p w:rsidR="0026452D" w:rsidRDefault="0026452D" w:rsidP="0026452D">
      <w:pPr>
        <w:pStyle w:val="Extracto"/>
      </w:pPr>
    </w:p>
    <w:p w:rsidR="0026452D" w:rsidRDefault="0026452D" w:rsidP="0026452D">
      <w:pPr>
        <w:pStyle w:val="Extracto"/>
      </w:pPr>
      <w:r>
        <w:t>4.</w:t>
      </w:r>
      <w:r>
        <w:tab/>
        <w:t>El segundo inciso del art. 25.2 incorpora una cláusula de garantía que permite preservar, en el ámbito de la relación de sujeción especial que vincula al privado de libertad con la Administración penitenciaria, el ejercicio de los derechos fundamentales que se reconocen a todas las personas en el capítulo segundo del título I CE, con las modulaciones y matices recogidas en dicho precepto constitucional (SSTC 175/2000, 11/2006) [FJ 3].</w:t>
      </w:r>
    </w:p>
    <w:p w:rsidR="0026452D" w:rsidRDefault="0026452D" w:rsidP="0026452D">
      <w:pPr>
        <w:pStyle w:val="Extracto"/>
      </w:pPr>
    </w:p>
    <w:p w:rsidR="0026452D" w:rsidRDefault="0026452D" w:rsidP="0026452D">
      <w:pPr>
        <w:pStyle w:val="Extracto"/>
      </w:pPr>
      <w:r>
        <w:t>5.</w:t>
      </w:r>
      <w:r>
        <w:tab/>
        <w:t>La vulneración del art. 25.2 CE tendrá relevancia en un recurso de amparo únicamente si dicha lesión lleva aparejada a su vez la de un derecho fundamental del interno –preso preventivo o en situación de cumplimiento de pena– indebidamente sacrificado o restringido por la autoridad penitenciaria (SSTC 73/1983, 15/2011) [FJ 3].</w:t>
      </w:r>
    </w:p>
    <w:p w:rsidR="0026452D" w:rsidRDefault="0026452D" w:rsidP="0026452D">
      <w:pPr>
        <w:pStyle w:val="Extracto"/>
      </w:pPr>
    </w:p>
    <w:p w:rsidR="0026452D" w:rsidRDefault="0026452D" w:rsidP="0026452D">
      <w:pPr>
        <w:pStyle w:val="Extracto"/>
      </w:pPr>
      <w:r>
        <w:lastRenderedPageBreak/>
        <w:t>6.</w:t>
      </w:r>
      <w:r>
        <w:tab/>
        <w:t>Cuando lo que se debate es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(SSTC 147/1999, 78/2013)  [FJ 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amparo núm. 123-2012, promovido por don Ibai Aguinaga Guinea, representado por la Procuradora de los Tribunales doña Alicia Tejedor Bachiller y asistido por la Abogada doña María Mercedes Sánchez Sánchez, contra las siguientes resoluciones: Auto del Juzgado Central de Menores con funciones de vigilancia penitenciaria, de 28 de febrero de 2011, que rechaza la queja del recurrente por limitación del derecho a comunicarse con familiares en prisión; Auto del 20 de junio de 2011 dictado por el mismo Juzgado, denegando recurso de reforma promovido contra el anterior y Auto de la Sección Primera de la Sala de lo Penal de la Audiencia Nacional, de 27 de diciembre de 2011, que desestima recurso de apelación. Ha actuado como parte en defensa de las resoluciones recurridas, la Abogacía del Estado. Ha intervenido el Ministerio Fiscal. Ha sido Ponente el Magistrado don Francisco Pérez de los Cobos Orihuel,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el 10 de enero de 2012, la Procuradora de los Tribunales doña Alicia Tejedor Bachiller interpuso demanda de amparo contra las resoluciones a las que se ha hecho referencia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con relevancia para la resolución del presente recurso de amparo y a los que se refiere la demanda presentada, son los siguientes:</w:t>
      </w:r>
    </w:p>
    <w:p w:rsidR="0026452D" w:rsidRDefault="0026452D" w:rsidP="0026452D">
      <w:pPr>
        <w:pStyle w:val="TextoNormal"/>
      </w:pPr>
    </w:p>
    <w:p w:rsidR="0026452D" w:rsidRDefault="0026452D" w:rsidP="0026452D">
      <w:pPr>
        <w:pStyle w:val="TextoNormal"/>
      </w:pPr>
      <w:r>
        <w:t xml:space="preserve">a) El aquí recurrente, interno en el centro penitenciario de Botafuego (Algeciras) en cumplimiento de pena de prisión, dirigió escrito el 16 de septiembre de 2010 al Juzgado Central </w:t>
      </w:r>
      <w:r>
        <w:lastRenderedPageBreak/>
        <w:t xml:space="preserve">de Menores con funciones de vigilancia penitenciaria, solicitando se le reconociera el derecho a mantener una comunicación </w:t>
      </w:r>
      <w:r w:rsidRPr="0026452D">
        <w:rPr>
          <w:i/>
        </w:rPr>
        <w:t>vis a vis</w:t>
      </w:r>
      <w:r>
        <w:t xml:space="preserve"> con sus primos. Aducía que durante los siete años que llevaba en prisión había mantenido comunicaciones </w:t>
      </w:r>
      <w:r w:rsidRPr="0026452D">
        <w:rPr>
          <w:i/>
        </w:rPr>
        <w:t>vis a vis</w:t>
      </w:r>
      <w:r>
        <w:t xml:space="preserve"> con ellos sin ningún tipo de problema, pero que en la prisión en la que ahora se encontraba “no se reconoce a mis primos ni como familiares ni como allegados”.</w:t>
      </w:r>
    </w:p>
    <w:p w:rsidR="0026452D" w:rsidRDefault="0026452D" w:rsidP="0026452D">
      <w:pPr>
        <w:pStyle w:val="TextoNormal"/>
      </w:pPr>
    </w:p>
    <w:p w:rsidR="0026452D" w:rsidRDefault="0026452D" w:rsidP="0026452D">
      <w:pPr>
        <w:pStyle w:val="TextoNormal"/>
      </w:pPr>
      <w:r>
        <w:t xml:space="preserve">b) El Juzgado Central, abierto el correspondiente procedimiento (peticiones y quejas 483-2003-14) solicitó informe al centro penitenciario sobre los hechos relativos a la queja del aquí recurrente. El Director del mismo remitió oficio con el siguiente contenido: “Respecto a la queja planteada por el interno, en relación a que no se le deja comunicar </w:t>
      </w:r>
      <w:r w:rsidRPr="0026452D">
        <w:rPr>
          <w:i/>
        </w:rPr>
        <w:t>vis a vis</w:t>
      </w:r>
      <w:r>
        <w:t xml:space="preserve"> con sus primos señalar que no existe problema para comunicar con su familia directa hasta segundo grado de consanguinidad y afinidad siempre y cuando se acredite documentalmente dicho parentesco. Para el resto de familiares debido al gran número de personas que se puede considerar familia se deben poner ciertos límites o delimitar el concepto de familia. En el resto de los casos dichos familiares podrían ser considerados como allegados siempre y cuando así lo solicite el interno … Además para estos casos cabe la posibilidad de que el interno los incluya como allegados en dicha hoja y comuniquen por locutorios siempre y cuando se reciba la correspondiente autorización por parte de la Secretaría General de IIPP”. El informe daba cuenta, además, de que “en el caso en cuestión dichos primos no han sido incluidos en dicha relación de amigos o allegados, cosa que podría haber hecho”.</w:t>
      </w:r>
    </w:p>
    <w:p w:rsidR="0026452D" w:rsidRDefault="0026452D" w:rsidP="0026452D">
      <w:pPr>
        <w:pStyle w:val="TextoNormal"/>
      </w:pPr>
    </w:p>
    <w:p w:rsidR="0026452D" w:rsidRDefault="0026452D" w:rsidP="0026452D">
      <w:pPr>
        <w:pStyle w:val="TextoNormal"/>
      </w:pPr>
      <w:r>
        <w:t>c) El Juzgado Central dictó Auto el 28 de febrero de 2011, desestimando la queja del interno, con el siguiente razonamiento: “Segundo.- En el presente caso, examinado el expediente y a la vista del informe remitido por el CP, en el que no existe inconveniente en la comunicación del interno con su familia directa hasta segundo grado de consanguinidad y afinidad, siempre y cuando se acredite documentalmente dicho parentesco, procede desestimar la queja. Tercero.- Se colige que no existe base para estimar la queja, pues la actuación de la Administración penitenciaria se adecua a lo previsto en la Ley y el reglamento sin que se aprecie abuso o desviación en el cumplimiento de los preceptos del régimen penitenciario (arg. Art. 76.1 y 2g LOGP).”</w:t>
      </w:r>
    </w:p>
    <w:p w:rsidR="0026452D" w:rsidRDefault="0026452D" w:rsidP="0026452D">
      <w:pPr>
        <w:pStyle w:val="TextoNormal"/>
      </w:pPr>
    </w:p>
    <w:p w:rsidR="0026452D" w:rsidRDefault="0026452D" w:rsidP="0026452D">
      <w:pPr>
        <w:pStyle w:val="TextoNormal"/>
      </w:pPr>
      <w:r>
        <w:t>d) Interpuesto recurso de reforma, el Juzgado Central lo desestimó por Auto de 20 de junio de 2011 razonando que “las alegaciones contenidas en el escrito del recurrente no aportan datos o circunstancias nuevas o relevantes a las que ya han sido valoradas al dictar la resolución recurrida, cuyos razonamiento se dan por reproducidos en su integridad”.</w:t>
      </w:r>
    </w:p>
    <w:p w:rsidR="0026452D" w:rsidRDefault="0026452D" w:rsidP="0026452D">
      <w:pPr>
        <w:pStyle w:val="TextoNormal"/>
      </w:pPr>
    </w:p>
    <w:p w:rsidR="0026452D" w:rsidRDefault="0026452D" w:rsidP="0026452D">
      <w:pPr>
        <w:pStyle w:val="TextoNormal"/>
      </w:pPr>
      <w:r>
        <w:t>e) Promovido recurso de apelación tras la notificación de este último Auto, la Sección Primera de la Sala de lo Penal de la Audiencia Nacional (rollo de apelación núm. 615-2011) dictó Auto el 27 de diciembre de 2011 desestimando el recurso, con el siguiente razonamiento único: “La norma que limita el concepto de familiar al segundo grado de consanguineidad y afinidad no es irrazonable, máxime si se conjuga con el concepto de allegados que usa la norma. Por lo tanto, la aplicación práctica del artículo 45.5 del Reglamento Penitenciario es acorde con el espíritu y finalidad de la norma conciliando el derecho del interno con los medios y capacidad organizativa del centro penitenciario, por lo que el recurso debe ser desestimado.”</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3</w:t>
      </w:r>
      <w:r>
        <w:t>. La demanda de amparo alega que las resoluciones impugnadas han causado la vulneración conjunta de los derechos fundamentales “a la igualdad, libertad, tutela judicial efectiva, defensa y finalidad de las penas”; arts. 9.3, 14, 24.1 y 25.2 CE.</w:t>
      </w:r>
    </w:p>
    <w:p w:rsidR="0026452D" w:rsidRDefault="0026452D" w:rsidP="0026452D">
      <w:pPr>
        <w:pStyle w:val="TextoNormal"/>
      </w:pPr>
    </w:p>
    <w:p w:rsidR="0026452D" w:rsidRDefault="0026452D" w:rsidP="0026452D">
      <w:pPr>
        <w:pStyle w:val="TextoNormal"/>
      </w:pPr>
      <w:r>
        <w:t xml:space="preserve">Se afirma que en los siete años que lleva cumpliendo condena el recurrente, ha venido llevando a cabo comunicaciones </w:t>
      </w:r>
      <w:r w:rsidRPr="0026452D">
        <w:rPr>
          <w:i/>
        </w:rPr>
        <w:t>vis a vis</w:t>
      </w:r>
      <w:r>
        <w:t xml:space="preserve"> con sus primos y allegados, de una forma totalmente normal y “resultando siempre muy beneficioso moralmente para el interno”. Sin embargo, el centro penitenciario ha acordado denegarle las comunicaciones con sus primos con el pretexto de que “no los reconocen como familiares, cuando lo cierto es que durante siete años sí lo han permitido”. Respecto de la normativa de aplicación, sostiene la demanda de amparo que el art. 45.5 del Reglamento penitenciario debe de interpretarse en sentido “amplio y más beneficioso posible para la persona que está privada de libertad, con el fin de que pueda estrechar lazos y no perder las relaciones con sus familiares y allegados y favorecer así que la socialización sea efectiva”. Considera además que se vulnera el principio de legalidad porque dicho precepto prevé el derecho a la comunicación con dichos familiares y allegados.</w:t>
      </w:r>
    </w:p>
    <w:p w:rsidR="0026452D" w:rsidRDefault="0026452D" w:rsidP="0026452D">
      <w:pPr>
        <w:pStyle w:val="TextoNormal"/>
      </w:pPr>
    </w:p>
    <w:p w:rsidR="0026452D" w:rsidRDefault="0026452D" w:rsidP="0026452D">
      <w:pPr>
        <w:pStyle w:val="TextoNormal"/>
      </w:pPr>
      <w:r>
        <w:t>Más adelante, precisa la demanda de amparo que el Auto de la Audiencia Nacional no cumple con la exigencia constitucional de motivación de las resoluciones judiciales, lo que acarrea indefensión para la parte y vulneración del art. 24.1 CE. Invoca en su apoyo la STC 77/2008, de 7 de julio (FJ 5), la que a su vez hace cita de la STC 268/2006, de 11 de septiembre, en cuanto al derecho a la obtención a una resolución motivada, fundada en Derecho y que resulte congruente con lo pedido, dictada en el ámbito del control judicial de sanciones penitenciarias. Cita asimismo la demanda las SSTC 57/1985, 76/1987 y 24/1990 sobre la necesidad de dar una interpretación amplia al concepto legal de “allegados”.</w:t>
      </w:r>
    </w:p>
    <w:p w:rsidR="0026452D" w:rsidRDefault="0026452D" w:rsidP="0026452D">
      <w:pPr>
        <w:pStyle w:val="TextoNormal"/>
      </w:pPr>
    </w:p>
    <w:p w:rsidR="0026452D" w:rsidRDefault="0026452D" w:rsidP="0026452D">
      <w:pPr>
        <w:pStyle w:val="TextoNormal"/>
      </w:pPr>
      <w:r>
        <w:t>Concluye la demanda de amparo diciendo que se ha producido la lesión conjunta de “los derechos de mi mandante a la igualdad, libertad, tutela judicial efectiva, defensa y los fines de reeducación y reinserción social de la pena impuesta” por lo que solicita la estimación del amparo interpuesto y que se le reponga en sus derechos.</w:t>
      </w:r>
    </w:p>
    <w:p w:rsidR="0026452D" w:rsidRDefault="0026452D" w:rsidP="0026452D">
      <w:pPr>
        <w:pStyle w:val="TextoNormal"/>
      </w:pPr>
    </w:p>
    <w:p w:rsidR="0026452D" w:rsidRDefault="0026452D" w:rsidP="0026452D">
      <w:pPr>
        <w:pStyle w:val="TextoNormal"/>
      </w:pPr>
      <w:r w:rsidRPr="0026452D">
        <w:rPr>
          <w:rStyle w:val="NumeroAFNegritaCaracter"/>
        </w:rPr>
        <w:t>4</w:t>
      </w:r>
      <w:r>
        <w:t>. En virtud de diligencia de ordenación dictada por la Secretaría de Justicia de la Sección Cuarta, Sala Segunda, de este Tribunal, el 29 de marzo de 2012, se acordó dirigir atenta comunicación al Juzgado Central de Vigilancia Penitenciaria para que a la mayor brevedad posible remitiera certificación o fotocopia adverada del Auto dictado en fecha 28 de febrero de 2011 en el expediente de queja 483-2003-14; siendo cumplimentada por la Secretaría de este último mediante oficio de 27 de abril de 2012.</w:t>
      </w:r>
    </w:p>
    <w:p w:rsidR="0026452D" w:rsidRDefault="0026452D" w:rsidP="0026452D">
      <w:pPr>
        <w:pStyle w:val="TextoNormal"/>
      </w:pPr>
    </w:p>
    <w:p w:rsidR="0026452D" w:rsidRDefault="0026452D" w:rsidP="0026452D">
      <w:pPr>
        <w:pStyle w:val="TextoNormal"/>
      </w:pPr>
      <w:r w:rsidRPr="0026452D">
        <w:rPr>
          <w:rStyle w:val="NumeroAFNegritaCaracter"/>
        </w:rPr>
        <w:t>5</w:t>
      </w:r>
      <w:r>
        <w:t>. Por nueva diligencia de ordenación de la Secretaría de Justicia de la Sección Cuarta de este Tribunal, de 2 de julio de 2012, se solicitó al Juzgado Central que remitiera a la mayor brevedad posible certificación o fotocopia adverada de las actuaciones correspondientes al procedimiento indicado, lo que resultó cumplimentando por dicho órgano judicial mediante oficio de su Secretaría, de 17 de julio de 2012.</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Asimismo, mediante diligencia de ordenación de la misma Secretaría de Justicia, de 25 de septiembre de 2012, se dirigió comunicación al centro penitenciario de Algeciras, “a </w:t>
      </w:r>
      <w:r>
        <w:lastRenderedPageBreak/>
        <w:t xml:space="preserve">fin de que identifique y remita copia de la Normativa de aplicación del art. 45.5 del Reglamento Penitenciario sobre visitas </w:t>
      </w:r>
      <w:r w:rsidRPr="0026452D">
        <w:rPr>
          <w:i/>
        </w:rPr>
        <w:t>vis a vis</w:t>
      </w:r>
      <w:r>
        <w:t xml:space="preserve"> de familiares y allegados”, cumplimentándose por la dirección del centro, con el resultado que luego se analizará.</w:t>
      </w:r>
    </w:p>
    <w:p w:rsidR="0026452D" w:rsidRDefault="0026452D" w:rsidP="0026452D">
      <w:pPr>
        <w:pStyle w:val="TextoNormal"/>
      </w:pPr>
    </w:p>
    <w:p w:rsidR="0026452D" w:rsidRDefault="0026452D" w:rsidP="0026452D">
      <w:pPr>
        <w:pStyle w:val="TextoNormal"/>
      </w:pPr>
      <w:r w:rsidRPr="0026452D">
        <w:rPr>
          <w:rStyle w:val="NumeroAFNegritaCaracter"/>
        </w:rPr>
        <w:t>7</w:t>
      </w:r>
      <w:r>
        <w:t>. El 31 de enero de 2013, la Sala Segunda de este Tribunal dictó providencia admitiendo a trámite la demanda de amparo, acordando dirigir atenta comunicación a la Sección Primera de la Sala de lo Penal de la Audiencia Nacional a fin de que, en plazo no superior a diez días, remitiera certificación o fotocopia adverada de las actuaciones correspondientes al rollo de apelación núm. 615-2011. De igual modo se acordó dirigir atenta comunicación al Juzgado Central de Vigilancia Penitenciaria con el fin de que emplazare a quienes fueron parte en el procedimiento, excepto a la parte recurrente en amparo, para que en el plazo de diez días pudieran comparecer, si lo desean, en este proceso.</w:t>
      </w:r>
    </w:p>
    <w:p w:rsidR="0026452D" w:rsidRDefault="0026452D" w:rsidP="0026452D">
      <w:pPr>
        <w:pStyle w:val="TextoNormal"/>
      </w:pPr>
    </w:p>
    <w:p w:rsidR="0026452D" w:rsidRDefault="0026452D" w:rsidP="0026452D">
      <w:pPr>
        <w:pStyle w:val="TextoNormal"/>
      </w:pPr>
      <w:r w:rsidRPr="0026452D">
        <w:rPr>
          <w:rStyle w:val="NumeroAFNegritaCaracter"/>
        </w:rPr>
        <w:t>8</w:t>
      </w:r>
      <w:r>
        <w:t>. Mediante escrito registrado el 1 de febrero de 2012, el Abogado del Estado ante este Tribunal Constitucional solicitó se le tuviera por personado en la representación que ostenta.</w:t>
      </w:r>
    </w:p>
    <w:p w:rsidR="0026452D" w:rsidRDefault="0026452D" w:rsidP="0026452D">
      <w:pPr>
        <w:pStyle w:val="TextoNormal"/>
      </w:pPr>
    </w:p>
    <w:p w:rsidR="0026452D" w:rsidRDefault="0026452D" w:rsidP="0026452D">
      <w:pPr>
        <w:pStyle w:val="TextoNormal"/>
      </w:pPr>
      <w:r>
        <w:t>La Sala Segunda de este Tribunal dictó diligencia de ordenación el 15 de febrero de 2013, acordando tener por personado en el procedimiento al Abogado del Estado y que se entendieran con él las sucesivas actuaciones; así como dar vista de las actuaciones a las partes personadas y al Ministerio Fiscal por plazo común de veinte días, a fin de poder presentar alegaciones conforme determina el art. 52.1 de la Ley Orgánica de este Tribunal.</w:t>
      </w:r>
    </w:p>
    <w:p w:rsidR="0026452D" w:rsidRDefault="0026452D" w:rsidP="0026452D">
      <w:pPr>
        <w:pStyle w:val="TextoNormal"/>
      </w:pPr>
    </w:p>
    <w:p w:rsidR="0026452D" w:rsidRDefault="0026452D" w:rsidP="0026452D">
      <w:pPr>
        <w:pStyle w:val="TextoNormal"/>
      </w:pPr>
      <w:r w:rsidRPr="0026452D">
        <w:rPr>
          <w:rStyle w:val="NumeroAFNegritaCaracter"/>
        </w:rPr>
        <w:t>9</w:t>
      </w:r>
      <w:r>
        <w:t>. En respuesta a la apertura de este trámite, la Fiscalía presentó escrito el 7 de marzo de 2013, interesando se dictase Sentencia estimatoria del amparo. Tras hacer resumen de las incidencias del caso y advertir que la demanda adolece de cierta imprecisión en su desarrollo argumental, además de que plantea la lesión del art. 9.3 CE de la que no es posible conocer por estar fuera del objeto del proceso de amparo, el Ministerio Fiscal considera, en todo caso, que el recurrente ha deducido una queja “susceptible de ser encauzada sin esfuerzo a los contenidos propios del art. 24.1 CE, siguiendo la estela de la alegación nuclear de la demanda en torno al déficit de motivación”.</w:t>
      </w:r>
    </w:p>
    <w:p w:rsidR="0026452D" w:rsidRDefault="0026452D" w:rsidP="0026452D">
      <w:pPr>
        <w:pStyle w:val="TextoNormal"/>
      </w:pPr>
    </w:p>
    <w:p w:rsidR="0026452D" w:rsidRDefault="0026452D" w:rsidP="0026452D">
      <w:pPr>
        <w:pStyle w:val="TextoNormal"/>
      </w:pPr>
      <w:r>
        <w:t>Sostiene la Fiscalía que en el presente caso no consta ni que el fallo condenatorio ni el sentido de la pena (art. 25.2 CE) ofrezcan base para una limitación como la aquí denunciada, por lo que únicamente restaría verificar si la misma goza de cobertura en la legislación penitenciaria. Del examen de ésta extrae el Fiscal una conclusión negativa y sostiene que ninguna de las resoluciones judiciales recurridas ha cumplido con el deber de motivación que les era exigible, al no haber llevado a cabo el juicio de ponderación de las circunstancias individuales del penado y los derechos, valores y bienes jurídicos comprometidos en la decisión en juego. Las dictadas por el Juzgado resultan apodícticas y estereotipadas; el Auto de apelación contiene por su lado “dos afirmaciones apodícticas o, cuando menos, carentes de desarrollo argumental alguno, a saber: una, que la limitación al familiar de segundo grado de consanguinidad y afinidad no es irrazonable, sin mayor explicación, y, dos, que la misma es acorde con el espíritu y finalidad de la norma conciliando derecho de interno y medios y capacidad organizativa del centro penitenciario, también sin mayor explicación. Ausencia, por tanto, de toda referencia al caso concreto y sus circunstancias de hecho y de derecho”.</w:t>
      </w:r>
    </w:p>
    <w:p w:rsidR="0026452D" w:rsidRDefault="0026452D" w:rsidP="0026452D">
      <w:pPr>
        <w:pStyle w:val="TextoNormal"/>
      </w:pPr>
    </w:p>
    <w:p w:rsidR="0026452D" w:rsidRDefault="0026452D" w:rsidP="0026452D">
      <w:pPr>
        <w:pStyle w:val="TextoNormal"/>
      </w:pPr>
      <w:r>
        <w:lastRenderedPageBreak/>
        <w:t>Por ello solicita se dicte Sentencia que otorgue el amparo por vulneración del derecho fundamental a la tutela judicial efectiva (art. 24.1 CE) en su vertiente de derecho a la obtención de una resolución fundada en Derecho, con nulidad de las resoluciones judiciales impugnadas y orden de retroacción de las actuaciones al momento anterior a dichas resoluciones, con el fin de se dicte otra respetuosa con el derecho que se declara vulnerado.</w:t>
      </w:r>
    </w:p>
    <w:p w:rsidR="0026452D" w:rsidRDefault="0026452D" w:rsidP="0026452D">
      <w:pPr>
        <w:pStyle w:val="TextoNormal"/>
      </w:pPr>
    </w:p>
    <w:p w:rsidR="0026452D" w:rsidRDefault="0026452D" w:rsidP="0026452D">
      <w:pPr>
        <w:pStyle w:val="TextoNormal"/>
      </w:pPr>
      <w:r w:rsidRPr="0026452D">
        <w:rPr>
          <w:rStyle w:val="NumeroAFNegritaCaracter"/>
        </w:rPr>
        <w:t>10</w:t>
      </w:r>
      <w:r>
        <w:t>. Mediante escrito consignado el 19 de marzo de 2013, el Abogado del Estado actuante en este proceso presentó alegaciones interesando Sentencia que declare inadmisible el recurso de amparo y, subsidiariamente, su desestimación.</w:t>
      </w:r>
    </w:p>
    <w:p w:rsidR="0026452D" w:rsidRDefault="0026452D" w:rsidP="0026452D">
      <w:pPr>
        <w:pStyle w:val="TextoNormal"/>
      </w:pPr>
    </w:p>
    <w:p w:rsidR="0026452D" w:rsidRDefault="0026452D" w:rsidP="0026452D">
      <w:pPr>
        <w:pStyle w:val="TextoNormal"/>
      </w:pPr>
      <w:r>
        <w:t>En cuanto a la inadmisión se alega como óbice de procedibilidad la falta de agotamiento de la vía judicial previa [art. 44.1 a) de la Ley Orgánica del Tribunal Constitucional (LOTC)], en concreto por no haberse promovido incidente de nulidad de actuaciones contra el Auto de la Sección Primera de la Sala de lo Penal de la Audiencia Nacional, en cuanto la demanda le imputa la vulneración del derecho a la tutela judicial efectiva (art. 24.1 CE).</w:t>
      </w:r>
    </w:p>
    <w:p w:rsidR="0026452D" w:rsidRDefault="0026452D" w:rsidP="0026452D">
      <w:pPr>
        <w:pStyle w:val="TextoNormal"/>
      </w:pPr>
    </w:p>
    <w:p w:rsidR="0026452D" w:rsidRDefault="0026452D" w:rsidP="0026452D">
      <w:pPr>
        <w:pStyle w:val="TextoNormal"/>
      </w:pPr>
      <w:r>
        <w:t xml:space="preserve">Se aduce también como óbice la falta de denuncia temporánea de la lesión y del derecho fundamental afectado [art. 44.1 c) LOTC] en lo que concierne a la invocación por la demanda de amparo de los artículos 14 y 25.2 CE, al haberse omitido toda referencia a ellos en el recurso de reforma y subsiguiente de apelación interpuestos. Añade que en cuanto al art. 25.2 CE, también el motivo de amparo sería inadmisible </w:t>
      </w:r>
      <w:r w:rsidRPr="0026452D">
        <w:rPr>
          <w:i/>
        </w:rPr>
        <w:t>ex</w:t>
      </w:r>
      <w:r>
        <w:t xml:space="preserve"> arts. 53.2 y 161 b) CE, en relación con los arts. 41.3 y 50.1 a) LOTC, al no consagrar un derecho fundamental; lo mismo que el art. 9.3 CE también aducido como infringido.</w:t>
      </w:r>
    </w:p>
    <w:p w:rsidR="0026452D" w:rsidRDefault="0026452D" w:rsidP="0026452D">
      <w:pPr>
        <w:pStyle w:val="TextoNormal"/>
      </w:pPr>
    </w:p>
    <w:p w:rsidR="0026452D" w:rsidRDefault="0026452D" w:rsidP="0026452D">
      <w:pPr>
        <w:pStyle w:val="TextoNormal"/>
      </w:pPr>
      <w:r>
        <w:t xml:space="preserve">Respecto del fondo, niega la parte recurrida que se haya producido la lesión del derecho a la tutela judicial efectiva por falta de la debida motivación de los Autos de la Audiencia y del Juzgado Central, derecho que no puede confundirse con una determinada extensión de sus argumentos, citando como apoyo las SSTC 17/2009, de 26 de enero, FJ 3 y 94/2007, de 7 de mayo, FJ 6. Tampoco hay infracción del art. 14 CE, cuya invocación en la demanda de amparo se halla huérfana de desarrollo y no ofrece ningún término de comparación. Se refiere después a la posibilidad de restricción de las comunicaciones del interno con sus familiares, en concreto “con sus primos”, entendiendo que no vulnera el art. 45.5 del Reglamento penitenciario, en relación con el art. 41.2 de este texto y el art. 51.1 de la Ley Orgánica general penitenciaria; para terminar refiriéndose el Abogado del Estado a un oficio del director del centro penitenciario de Algeciras, de 15 de marzo de 2013, que además aporta con su escrito de alegaciones, en el que se justifica la restricción adoptada en las visitas </w:t>
      </w:r>
      <w:r w:rsidRPr="0026452D">
        <w:rPr>
          <w:i/>
        </w:rPr>
        <w:t>vis a vis</w:t>
      </w:r>
      <w:r>
        <w:t xml:space="preserve"> con familiares de parentesco superior al segundo grado, por la elevada población reclusa y la falta de un sistema informático que permitiera agilizar el control de las visitas, si bien “desde 2012”, el recurrente viene disfrutando de las comunicaciones con sus primos como anteriormente.</w:t>
      </w:r>
    </w:p>
    <w:p w:rsidR="0026452D" w:rsidRDefault="0026452D" w:rsidP="0026452D">
      <w:pPr>
        <w:pStyle w:val="TextoNormal"/>
      </w:pPr>
    </w:p>
    <w:p w:rsidR="0026452D" w:rsidRDefault="0026452D" w:rsidP="0026452D">
      <w:pPr>
        <w:pStyle w:val="TextoNormal"/>
      </w:pPr>
      <w:r w:rsidRPr="0026452D">
        <w:rPr>
          <w:rStyle w:val="NumeroAFNegritaCaracter"/>
        </w:rPr>
        <w:t>11</w:t>
      </w:r>
      <w:r>
        <w:t>. Con fecha 21 de marzo de 2013, la representación procesal de la parte recurrente formalizó escrito de alegaciones, ratificándose en su demanda presentada.</w:t>
      </w:r>
    </w:p>
    <w:p w:rsidR="0026452D" w:rsidRDefault="0026452D" w:rsidP="0026452D">
      <w:pPr>
        <w:pStyle w:val="TextoNormal"/>
      </w:pPr>
    </w:p>
    <w:p w:rsidR="0026452D" w:rsidRDefault="0026452D" w:rsidP="0026452D">
      <w:pPr>
        <w:pStyle w:val="TextoNormal"/>
      </w:pPr>
      <w:r w:rsidRPr="0026452D">
        <w:rPr>
          <w:rStyle w:val="NumeroAFNegritaCaracter"/>
        </w:rPr>
        <w:t>12</w:t>
      </w:r>
      <w:r>
        <w:t>. Mediante providencia de 30 de mayo de 2013 se señaló para deliberación y fallo de la Sentencia el día 3 de junio de dicho año.</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El acto del poder público frente al que se demanda amparo es la decisión del centro penitenciario de Botafogo-Algeciras de no autorizar al demandante a mantener comunicaciones </w:t>
      </w:r>
      <w:r w:rsidRPr="0026452D">
        <w:rPr>
          <w:i/>
        </w:rPr>
        <w:t>vis a vis</w:t>
      </w:r>
      <w:r>
        <w:t xml:space="preserve"> con sus primos al amparo del régimen de autorización previsto para los familiares, así como frente a las resoluciones judiciales dictadas por el Juzgado Central de Menores con funciones de vigilancia penitenciaria y por la Sección Primera de la Sala de lo Penal de la Audiencia Nacional, esta última en apelación, desestimatorias de la queja planteada por el recurrente frente a aquel acuerdo.</w:t>
      </w:r>
    </w:p>
    <w:p w:rsidR="0026452D" w:rsidRDefault="0026452D" w:rsidP="0026452D">
      <w:pPr>
        <w:pStyle w:val="TextoNormal"/>
      </w:pPr>
    </w:p>
    <w:p w:rsidR="0026452D" w:rsidRDefault="0026452D" w:rsidP="0026452D">
      <w:pPr>
        <w:pStyle w:val="TextoNormal"/>
      </w:pPr>
      <w:r>
        <w:t xml:space="preserve">A la Administración penitenciaria se imputa la vulneración de los artículos 9.3, 14 y 25.2 CE, mientras que a las resoluciones judiciales se achaca no solamente el no haber reparado tales lesiones, sino también la de ocasionar </w:t>
      </w:r>
      <w:r w:rsidRPr="0026452D">
        <w:rPr>
          <w:i/>
        </w:rPr>
        <w:t>ex novo</w:t>
      </w:r>
      <w:r>
        <w:t xml:space="preserve"> la conculcación del derecho fundamental a la tutela judicial efectiva (art. 24.1 CE), por falta de motivación reforzada.</w:t>
      </w:r>
    </w:p>
    <w:p w:rsidR="0026452D" w:rsidRDefault="0026452D" w:rsidP="0026452D">
      <w:pPr>
        <w:pStyle w:val="TextoNormal"/>
      </w:pPr>
    </w:p>
    <w:p w:rsidR="0026452D" w:rsidRDefault="0026452D" w:rsidP="0026452D">
      <w:pPr>
        <w:pStyle w:val="TextoNormal"/>
      </w:pPr>
      <w:r>
        <w:t>Así planteada la pretensión de la parte demandante, tratándose por tanto de la presunta lesión de derechos fundamentales cometida por actos de ambos poderes públicos, nos encontraríamos conforme tenemos señalado en esta materia con un recurso de amparo de naturaleza mixta, arts. 43 y 44 de la Ley Orgánica del Tribunal Constitucional (entre otras, SSTC 175/1997, de 27 de octubre, FJ 1; 201/1997, de 25 de noviembre, FJ 1; y 141/1999, de 22 de julio, FJ 2). Sin embargo y por las razones que de inmediato se expondrán, el objeto del presente recurso habrá de quedar circunscrito al estudio de la queja referida a la vulneración del derecho a la tutela judicial efectiva (art. 24.1 CE). Ello nos permite comenzar por descartar la objeción de admisibilidad suscitada por el Abogado del Estado, según la cual el demandante no habría agotado la vía judicial previa [art. 44.1 a) de la Ley Orgánica del Tribunal Constitucional: LOTC] porque, planteándose el amparo frente a la resolución judicial, no acudió al incidente de nulidad de actuaciones previsto en el art. 241 de la Ley Orgánica del Poder Judicial. La queja formulada por el demandante se refiere a la interpretación y aplicación que de las normas reguladoras del régimen penitenciario realizó la Administración penitenciaria y que fue sometida a la fiscalización de los órganos judiciales. De suerte que éstos tuvieron ocasión de pronunciarse sobre la queja que aquí hemos de resolver, garantizándose así el principio de subsidiariedad al que sirve el requisito del agotamiento de la vía judicial previa [por todas, STC 127/2011, de 18 de julio, FJ 2 b)].</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Ante todo, procede dejar fuera del debate la eventual infracción del principio de legalidad del art. 9.3 CE, excluido de control en amparo </w:t>
      </w:r>
      <w:r w:rsidRPr="0026452D">
        <w:rPr>
          <w:i/>
        </w:rPr>
        <w:t>ex</w:t>
      </w:r>
      <w:r>
        <w:t xml:space="preserve"> art. 53.2 CE, en relación con el art. 41.1 LOTC (SSTC 92/1993, de 15 de marzo, FJ 2 y 114/2008, de 29 de septiembre, FJ 3).</w:t>
      </w:r>
    </w:p>
    <w:p w:rsidR="0026452D" w:rsidRDefault="0026452D" w:rsidP="0026452D">
      <w:pPr>
        <w:pStyle w:val="TextoNormal"/>
      </w:pPr>
    </w:p>
    <w:p w:rsidR="0026452D" w:rsidRDefault="0026452D" w:rsidP="0026452D">
      <w:pPr>
        <w:pStyle w:val="TextoNormal"/>
      </w:pPr>
      <w:r>
        <w:t>Otro tanto sucede con la hipotética lesión del art. 14 CE, que se refleja en la demanda de amparo con una mera cita pro forma del precepto constitucional, carente sin embargo de toda argumentación ya sea en orden a concretar la vertiente del derecho fundamental concernida —igualdad ante la ley o en aplicación judicial de la ley—, sea para identificar el termino de comparación que acreditaría el trato desigual sufrido. En ese sentido, no corresponde a este Tribunal la tarea de reconstruir de oficio las demandas de amparo con el fin de suplir la carga que ha de recaer siempre sobre el demandante, en cuanto a aportar las razones que sustentan su pretensión (por todas, SSTC 57/2010, de 4 de octubre, FJ 1 y 80/2011, de 6 de junio, FFJJ 1 y 3).</w:t>
      </w:r>
    </w:p>
    <w:p w:rsidR="0026452D" w:rsidRDefault="0026452D" w:rsidP="0026452D">
      <w:pPr>
        <w:pStyle w:val="TextoNormal"/>
      </w:pPr>
    </w:p>
    <w:p w:rsidR="0026452D" w:rsidRDefault="0026452D" w:rsidP="0026452D">
      <w:pPr>
        <w:pStyle w:val="TextoNormal"/>
      </w:pPr>
      <w:r>
        <w:t>Por último, respecto de la vulneración del art. 25.2 CE, la Abogacía el Estado opone un doble óbice de inadmisiblidad, tanto por falta de invocación temporánea de la lesión y del derecho fundamental afectado [art. 44.1 c) LOTC] como, en todo caso, por no prever aquel precepto un derecho fundamental susceptible por ello de ser protegido en amparo constitucional (arts. 53.2 CE y 41.1 LOTC). El primero de sus argumentos no puede prosperar: tanto en el escrito de 11 de marzo de 2011 por el que formaliza recurso de reforma contra el Auto del Juzgado Central de Vigilancia de 28 de febrero de 2011 que rechazaba su queja, como en el escrito de apelación interpuesto el 22 de septiembre de 2011 ante la Sala de lo Penal de la Audiencia Nacional, contra el Auto de 20 de junio de 2011 que desestimó aquel recurso no devolutivo, la parte aquí recurrente, tras invocar el art. 45.5 del Reglamento penitenciario en cuanto a las comunicaciones del interno con sus familiares y allegados, sostuvo que dicha norma “debería de interpretarse en sentido amplio y siempre en beneficio del preso para que este pueda estrechar lazos y no perder las relaciones familiares y para que la socialización sea efectiva”. Alegación ésta que permitía a ambos tribunales actuantes, sin dificultad dialéctica, relacionarlo con el contenido del apartado segundo del art. 25 CE (finalidad de reeducación y reinserción social de las penas), por lo que ha de considerarse suficientemente cumplida la carga de invocación exigible.</w:t>
      </w:r>
    </w:p>
    <w:p w:rsidR="0026452D" w:rsidRDefault="0026452D" w:rsidP="0026452D">
      <w:pPr>
        <w:pStyle w:val="TextoNormal"/>
      </w:pPr>
    </w:p>
    <w:p w:rsidR="0026452D" w:rsidRDefault="0026452D" w:rsidP="0026452D">
      <w:pPr>
        <w:pStyle w:val="TextoNormal"/>
      </w:pPr>
      <w:r w:rsidRPr="0026452D">
        <w:rPr>
          <w:rStyle w:val="NumeroAFNegritaCaracter"/>
        </w:rPr>
        <w:t>3</w:t>
      </w:r>
      <w:r>
        <w:t>. Distinta es la respuesta que ha de comportar la segunda objeción procesal relativa a la queja por lesión del art. 25.2 CE: la de la inexistencia de derecho fundamental tutelable en amparo. Importa a este fin detenerse en el enunciado de los dos primeros incisos del mencionado precepto constitucional.</w:t>
      </w:r>
    </w:p>
    <w:p w:rsidR="0026452D" w:rsidRDefault="0026452D" w:rsidP="0026452D">
      <w:pPr>
        <w:pStyle w:val="TextoNormal"/>
      </w:pPr>
    </w:p>
    <w:p w:rsidR="0026452D" w:rsidRDefault="0026452D" w:rsidP="0026452D">
      <w:pPr>
        <w:pStyle w:val="TextoNormal"/>
      </w:pPr>
      <w:r>
        <w:t>El que abre dicho apartado segundo (“Las penas privativas de libertad y las medidas de seguridad estarán orientadas hacia la reeducación y reinserción social y no podrán consistir en trabajos forzados”), conforme a reiterada doctrina de este Tribunal, “no contiene un derecho fundamental, sino un mandato constitucional dirigido al legislador para orientar la política penal y penitenciaria, que como tal puede servir de parámetro de constitucionalidad de las leyes” [STC 160/2012, de 20 de septiembre, FJ 3 a), compendiando la doctrina precedente en este punto].</w:t>
      </w:r>
    </w:p>
    <w:p w:rsidR="0026452D" w:rsidRDefault="0026452D" w:rsidP="0026452D">
      <w:pPr>
        <w:pStyle w:val="TextoNormal"/>
      </w:pPr>
    </w:p>
    <w:p w:rsidR="0026452D" w:rsidRDefault="0026452D" w:rsidP="0026452D">
      <w:pPr>
        <w:pStyle w:val="TextoNormal"/>
      </w:pPr>
      <w:r>
        <w:t>El segundo inciso del art. 25.2 CE (“El condenado a pena de prisión que estuviere cumpliendo la misma gozará de los derechos fundamentales de este Capítulo, a excepción de los que se vean expresamente limitados por el contenido del fallo condenatorio, el sentido de la pena y la ley penitenciaria”), incorpora una cláusula de garantía que permite preservar, en el ámbito de la relación de sujeción especial que vincula al privado de libertad con la Administración penitenciaria a cuyo sometimiento se halla, el ejercicio de los derechos fundamentales que se reconocen a todas las personas en el capítulo segundo del título I CE; bien que aquí “con las modulaciones y matices” recogidas en dicho precepto constitucional … es decir, de aquellos [derechos fundamentales] que se vean expresamente limitados por el contenido del fallo condenatorio, el sentido de la pena y la Ley penitenciaria [STC 11/2006, de 16 de enero, FJ 2 y las que en ella se citan; asimismo, SSTC 175/2000, de 26 de junio, FJ 2; 27/2001, de 29 de enero, FJ 3 y 140/2002, de 3 de junio, FJ 5].</w:t>
      </w:r>
    </w:p>
    <w:p w:rsidR="0026452D" w:rsidRDefault="0026452D" w:rsidP="0026452D">
      <w:pPr>
        <w:pStyle w:val="TextoNormal"/>
      </w:pPr>
    </w:p>
    <w:p w:rsidR="0026452D" w:rsidRDefault="0026452D" w:rsidP="0026452D">
      <w:pPr>
        <w:pStyle w:val="TextoNormal"/>
      </w:pPr>
      <w:r>
        <w:t xml:space="preserve">Desde esta segunda perspectiva, la vulneración del art. 25.2 CE tendrá relevancia en un recurso de amparo constitucional, únicamente si dicha lesión lleva aparejada a su vez la de un derecho fundamental del interno —preso preventivo o en situación de cumplimiento de </w:t>
      </w:r>
      <w:r>
        <w:lastRenderedPageBreak/>
        <w:t>pena— indebidamente sacrificado o restringido por la autoridad penitenciaria (SSTC 73/1983, de 30 de julio, FJ 7 y fallo; y 15/2011, de 28 de febrero, FJ 7 y fallo).</w:t>
      </w:r>
    </w:p>
    <w:p w:rsidR="0026452D" w:rsidRDefault="0026452D" w:rsidP="0026452D">
      <w:pPr>
        <w:pStyle w:val="TextoNormal"/>
      </w:pPr>
    </w:p>
    <w:p w:rsidR="0026452D" w:rsidRDefault="0026452D" w:rsidP="0026452D">
      <w:pPr>
        <w:pStyle w:val="TextoNormal"/>
      </w:pPr>
      <w:r>
        <w:t>No es el caso, sin embargo, de la mera suspensión o restricción del derecho a la comunicación con sus familiares, atribuida por el aquí recurrente al centro penitenciario de Algeciras y confirmada por las resoluciones judiciales posteriores. En tal sentido y con referencia a las comunicaciones generales con terceros, orales o escritas, previstas en el art. 51.1 de la Ley Orgánica general penitenciaria (LOGP), que son las que aquí nos importan, hemos dicho que representa “una manifestación más de la multiplicidad de actividades y relaciones vitales que la libertad hace posibles”; sin embargo, “[l]os derechos fundamentales que garantiza la libertad, no tienen ni pueden tener como contenido concreto cada una de esas manifestaciones de su práctica, por importantes que éstas sean en la vida del individuo” (STC 89/1987, de 3 de junio, FJ 2). Razón por la cual, no estando comprometido un derecho fundamental autónomo sino tan sólo una de las facultades que la libertad hace posible y cuya restricción forma parte del status penitenciario, ha de descartarse la vulneración del art. 25.2 CE.</w:t>
      </w:r>
    </w:p>
    <w:p w:rsidR="0026452D" w:rsidRDefault="0026452D" w:rsidP="0026452D">
      <w:pPr>
        <w:pStyle w:val="TextoNormal"/>
      </w:pPr>
    </w:p>
    <w:p w:rsidR="0026452D" w:rsidRDefault="0026452D" w:rsidP="0026452D">
      <w:pPr>
        <w:pStyle w:val="TextoNormal"/>
      </w:pPr>
      <w:r>
        <w:t>Caso distinto es el de las comunicaciones específicas del art. 51.2 LOGP, es decir, las del interno con su representante procesal y/o con su Abogado defensor o quien con ese cometido hubiere sido llamado para un determinado trámite del proceso penal en el que aquel participa, cuya suspensión o restricción de las comunicaciones puede conllevar, fuera de lo permitido por la ley, la lesión del derecho fundamental a la defensa jurídica del art. 24.2 CE [STC 183/1994, de 20 de junio, FJ 5].</w:t>
      </w:r>
    </w:p>
    <w:p w:rsidR="0026452D" w:rsidRDefault="0026452D" w:rsidP="0026452D">
      <w:pPr>
        <w:pStyle w:val="TextoNormal"/>
      </w:pPr>
    </w:p>
    <w:p w:rsidR="0026452D" w:rsidRDefault="0026452D" w:rsidP="0026452D">
      <w:pPr>
        <w:pStyle w:val="TextoNormal"/>
      </w:pPr>
      <w:r>
        <w:t>Ha descartado además este Tribunal que la mera privación de visitas al interno suponga un trato inhumano o degradante susceptible de lesionar el art. 15 CE [SSTC 89/1987, de 3 de junio, FJ 2 y 119/1996, de 8 de julio, FJ 2], dejando a salvo que una hipotética situación de incomunicación o aislamiento, se entiende que por su prolongación en el tiempo o por su forma de cumplimiento, pudiera traer consigo “sufrimientos de una especial intensidad o [que] provoquen una humillación o sensación de envilecimiento distinto y superior al que suele llevar aparejada la simple imposición de la condena” [STC 119/1996, de 8 de julio, FJ 2, con cita de la doctrina general sobre la proscripción de este tipo de tratos].</w:t>
      </w:r>
    </w:p>
    <w:p w:rsidR="0026452D" w:rsidRDefault="0026452D" w:rsidP="0026452D">
      <w:pPr>
        <w:pStyle w:val="TextoNormal"/>
      </w:pPr>
    </w:p>
    <w:p w:rsidR="0026452D" w:rsidRDefault="0026452D" w:rsidP="0026452D">
      <w:pPr>
        <w:pStyle w:val="TextoNormal"/>
      </w:pPr>
      <w:r>
        <w:t>En resumen, no aparece concernida en este caso la vulneración de un derecho fundamental que pueda otorgar relevancia al art. 25.2 CE desde la perspectiva del recurso de amparo, lo que impide examinar el fondo de la queja que deduce el demandante sobre este particular.</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Ahora bien, la normativa penitenciaria atribuye a todo interno (preso preventivo o penado) el derecho a entablar comunicaciones con otras personas. Así, el art. 51 LOGP establece que “[l]os internos estarán autorizados para comunicar periódicamente, de forma oral y escrita, en su propia lengua, con sus familiares, amigos y representantes acreditados de Organismos e instituciones de cooperación penitenciaria, salvo en los casos de incomunicación judicial.” Estableciendo además que tales comunicaciones “se celebrarán de manera que se respete al máximo la intimidad y no tendrán más restricciones, en cuanto a las personas y al modo, que las impuestas por razones de seguridad, de interés de tratamiento y del buen orden del establecimiento.” Y en lo que específicamente se refiere al tipo de visitas que ahora interesan, esto es, a las visitas con familiares o allegados, el art. 45 del Reglamento penitenciario, aprobado por Real Decreto 190/1996, de 9 de febrero, establece que </w:t>
      </w:r>
      <w:r>
        <w:lastRenderedPageBreak/>
        <w:t>“[p]revia solicitud del interesado, se concederá, una vez al mes como mínimo, una comunicación con sus familiares y allegados, que se celebrará en locales adecuados y cuya duración no será superior a tres horas ni inferior a una.” Visitas estas que, como todas ellas, se encuentran sometidas al indicado límite del mantenimiento de la seguridad, el tratamiento y el buen orden del establecimiento, según reitera el propio Reglamento penitenciario en su art. 41, destinado a la regulación de las condiciones generales de las comunicaciones y visitas. Completan el régimen jurídico descrito los instrumentos aprobados por el Ministerio del Interior en desarrollo de aquellas normas de superior rango, en concreto la Instrucción núm. 4/2005, de actualización de la Instrucción 24/1996 sobre comunicaciones y visitas y la Instrucción I-12/2011 sobre medidas de seguridad de internos de especial seguimiento.</w:t>
      </w:r>
    </w:p>
    <w:p w:rsidR="0026452D" w:rsidRDefault="0026452D" w:rsidP="0026452D">
      <w:pPr>
        <w:pStyle w:val="TextoNormal"/>
      </w:pPr>
    </w:p>
    <w:p w:rsidR="0026452D" w:rsidRDefault="0026452D" w:rsidP="0026452D">
      <w:pPr>
        <w:pStyle w:val="TextoNormal"/>
      </w:pPr>
      <w:r>
        <w:t>Lo hasta ahora razonado determina el canon constitucional de control de las resoluciones judiciales que en instancia y apelación fiscalizaron las decisiones administrativas controvertidas a fin de hacer efectiva la reserva constitucional a favor de los órganos judiciales para “hacer ejecutar lo juzgado” (art. 117.3 CE), competencia que se extiende en materia penal a cualesquiera circunstancias que se produzcan en la fase de ejecución de las penas. En efecto, como ya hemos advertido, estamos en un supuesto en el que el derecho a la tutela judicial efectiva no actúa en relación con el contenido esencial de ningún otro derecho fundamental sustantivo o procesal. De ahí que, tal como recordábamos recientemente en la STC 78/2013, de 8 de abril, “como precisamos en la STC 214/1999, de 29 de noviembre, FJ 4, ‘cuando lo que se debate es, como sucede en este caso,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Dicho de otro modo, en estos supuestos se vulnera el derecho a obtener una resolución fundada en Derecho cuando, por su contenido, la aplicación de la legalidad sería tan sólo una mera apariencia.” (SSTC 147/1999, de 4 de agosto, FJ 3; 214/1999, FJ 4; 25/2000, de 31 de enero, FJ 2; 87/2000,de 27 de marzo, FJ 3; 82/2001, de 26 de marzo, FJ 2; 221/2001, de 31 de octubre, FJ 6; 55/2003, de 24 de marzo, FJ 6; 223/2005, de 12 de septiembre, FJ 3; 276/2006, de 25 de septiembre, FJ 2, y 64/2010, de 18 de octubre, FJ 3, entre otras muchas).</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La aplicación al caso de la anterior doctrina conduce a rechazar que las resoluciones judiciales que en instancia y apelación rechazaron la queja del interno vulnerasen el derecho del demandante de amparo a la tutela judicial efectiva reconocido en el art. 24.1 CE. Tal como se desprende del informe rendido por el centro penitenciario al Juez de Vigilancia Penitenciaria durante la tramitación de la queja del interno que da origen a este recurso de amparo, la restricción de los familiares que podían comunicar </w:t>
      </w:r>
      <w:r w:rsidRPr="0026452D">
        <w:rPr>
          <w:i/>
        </w:rPr>
        <w:t>vis a vis</w:t>
      </w:r>
      <w:r>
        <w:t xml:space="preserve"> acreditando únicamente el parentesco con el interno a los que se encuentren en el segundo grado encontraba justificación en el gran número de personas que cabe incluir en el concepto de parientes. De modo que, contrariamente a lo sostenido por el Ministerio Fiscal, la limitación del acceso incondicionado a los parientes dentro del segundo grado encuentra cobertura en el art. 51.1 LOGP, el cual permite establecer restricciones cuando lo exijan “razones de seguridad” o “del buen orden del establecimiento”, conceptos jurídicos indeterminados que no resultan extravasados en términos constitucionalmente inadmisibles por la concreción de los familiares que pueden tener acceso a las visitas </w:t>
      </w:r>
      <w:r w:rsidRPr="0026452D">
        <w:rPr>
          <w:i/>
        </w:rPr>
        <w:t>vis a vis</w:t>
      </w:r>
      <w:r>
        <w:t xml:space="preserve"> sin más comprobaciones que la relación </w:t>
      </w:r>
      <w:r>
        <w:lastRenderedPageBreak/>
        <w:t>de parentesco. Así lo entendió el órgano judicial de instancia al rechazar la queja del interno por no apreciar “abuso o desviación en el cumplimiento de los preceptos del régimen penitenciario” y así lo ratificó, con mayor precisión, la Audiencia Provincial al fundar la desestimación del recurso de apelación en que la decisión del centro penitenciario acomodaba la aplicación práctica de este tipo de visitas (las previstas en el art. 45.5 del Reglamento penitenciario) al “espíritu y finalidad de la norma conciliando el derecho del interno con los medios y capacidad organizativa del centro penitenciario”. Por lo demás, no puede pasarse por alto que el resto de parientes —los de parentesco más lejano que el segundo grado— no resultaban excluidos del régimen de visitas, sino que debían acomodarse al de mayor comprobación propio de los allegados, lo que pone en evidencia que la limitación de la que estamos tratando se acomodaba al principio de proporcionalidad en cuanto, de una parte, es adecuada al fin perseguido de garantizar la seguridad y buen funcionamiento del centro penitenciario, y, de otro lado, la restricción no se extiende más allá de lo estrictamente preciso.</w:t>
      </w:r>
    </w:p>
    <w:p w:rsidR="0026452D" w:rsidRDefault="0026452D" w:rsidP="0026452D">
      <w:pPr>
        <w:pStyle w:val="TextoNormal"/>
      </w:pPr>
    </w:p>
    <w:p w:rsidR="0026452D" w:rsidRDefault="0026452D" w:rsidP="0026452D">
      <w:pPr>
        <w:pStyle w:val="TextoNormal"/>
      </w:pPr>
      <w:r>
        <w:t xml:space="preserve">Finalmente, ha de descartarse también que la decisión del centro penitenciario fuese arbitraria, esto es, caprichosa o adoptada en contemplación de la específica persona del demandante de amparo, pues constituyó ejecución de criterios generales de aplicación de la normativa reguladora del régimen penitenciario. Tal como avala el informe del director del centro penitenciario aportado junto con el escrito de alegaciones del Abogado del Estado, el elevado número de internos del centro (1.700 frente a los 400 del centro penitenciario de Jaén desde el que había sido trasladado el demandante) y las limitaciones entonces existentes en el sistema informático impedían un control suficientemente seguro de las numerosas comunicaciones con los internos si no se acotaba el concepto de familia a los parientes hasta el segundo grado a efectos de autorizar las comunicaciones tan sólo acreditando el parentesco. Pero una vez que, durante los años 2011 y 2012, se implantó un nuevo sistema informático que permitía un adecuado control de los visitantes (a través de la grabación de datos y huellas digitales) se amplió el abanico de parientes que gozan de acceso a las visitas acreditando el parentesco, razón por la cual en las normas específicas del centro penitenciario de Algeciras, remitidas a este Tribunal mediante oficio de octubre de 2012, ya se concretan los parientes que tienen derecho a comunicar </w:t>
      </w:r>
      <w:r w:rsidRPr="0026452D">
        <w:rPr>
          <w:i/>
        </w:rPr>
        <w:t>vis a vis</w:t>
      </w:r>
      <w:r>
        <w:t xml:space="preserve"> en los que lo son hasta el cuarto grado (norma 16).</w:t>
      </w:r>
    </w:p>
    <w:p w:rsidR="0026452D" w:rsidRDefault="0026452D" w:rsidP="0026452D">
      <w:pPr>
        <w:pStyle w:val="TextoNormal"/>
      </w:pPr>
    </w:p>
    <w:p w:rsidR="0026452D" w:rsidRDefault="0026452D" w:rsidP="0026452D">
      <w:pPr>
        <w:pStyle w:val="TextoNormal"/>
      </w:pPr>
      <w:r>
        <w:t>Todo lo cual conduce a la desestimación de la demanda de amparo, pues las decisiones adoptadas por los órganos judiciales no vulneraron, conforme al canon de control ya expuesto, el derecho a la tutela judicial efectiva proclamado en el art. 24.1 CE.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recurso de amparo interpuesto por don Ibai Aguinaga Guinea.</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lastRenderedPageBreak/>
        <w:t>Dada en Madrid, a tres de junio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32" w:name="SENTENCIA_2013_129"/>
      <w:r>
        <w:lastRenderedPageBreak/>
        <w:t>SENTENCIA 129/2013, de 4 de junio de 2013</w:t>
      </w:r>
    </w:p>
    <w:bookmarkEnd w:id="132"/>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157, de 2 de julio de 2013)</w:t>
      </w:r>
    </w:p>
    <w:p w:rsidR="0026452D" w:rsidRDefault="0026452D" w:rsidP="0026452D">
      <w:pPr>
        <w:pStyle w:val="TtuloBOE"/>
      </w:pPr>
    </w:p>
    <w:p w:rsidR="0026452D" w:rsidRDefault="0026452D" w:rsidP="0026452D">
      <w:pPr>
        <w:pStyle w:val="SntesisDescriptiva"/>
      </w:pPr>
      <w:r>
        <w:t>ECLI:ES:TC:2013:129</w:t>
      </w:r>
    </w:p>
    <w:p w:rsidR="0026452D" w:rsidRDefault="0026452D" w:rsidP="0026452D">
      <w:pPr>
        <w:pStyle w:val="SntesisDescriptiva"/>
      </w:pPr>
    </w:p>
    <w:p w:rsidR="0026452D" w:rsidRDefault="0026452D" w:rsidP="0026452D">
      <w:pPr>
        <w:pStyle w:val="SntesisDescriptiva"/>
      </w:pPr>
      <w:r>
        <w:t>Recurso de inconstitucionalidad 5753-2002. Interpuesto por más de cincuenta Diputados del Grupo Parlamentario Socialista en el Congreso en relación con la Ley de las Cortes de Castilla y León 9/2002, de 10 de julio, sobre declaración de proyectos regionales de infraestructuras de residuos de singular interés para la Comunidad.</w:t>
      </w:r>
    </w:p>
    <w:p w:rsidR="0026452D" w:rsidRDefault="0026452D" w:rsidP="0026452D">
      <w:pPr>
        <w:pStyle w:val="SntesisDescriptiva"/>
      </w:pPr>
    </w:p>
    <w:p w:rsidR="0026452D" w:rsidRDefault="0026452D" w:rsidP="0026452D">
      <w:pPr>
        <w:pStyle w:val="SntesisAnaltica"/>
      </w:pPr>
      <w:r>
        <w:t>Principios de jerarquía normativa, interdicción de la arbitrariedad e igualdad; derecho a la tutela judicial efectiva; garantías del procedimiento administrativo y leyes autoaplicativas: nulidad de los preceptos legales que soslayan el control de la jurisdicción contencioso-administrativa al reservar al legislador la aplicación de la legalidad existente al caso concreto (STC 166/1986).</w:t>
      </w:r>
    </w:p>
    <w:p w:rsidR="0026452D" w:rsidRDefault="0026452D" w:rsidP="0026452D">
      <w:pPr>
        <w:pStyle w:val="SntesisAnaltica"/>
      </w:pPr>
    </w:p>
    <w:p w:rsidR="0026452D" w:rsidRDefault="0026452D" w:rsidP="0026452D">
      <w:pPr>
        <w:pStyle w:val="Extracto"/>
      </w:pPr>
      <w:r>
        <w:t>1.</w:t>
      </w:r>
      <w:r>
        <w:tab/>
        <w:t>La satisfacción del derecho a la tutela judicial efectiva de los titulares de derechos e intereses legítimos afectados por la aprobación de una ley autoaplicativa requiere que estos puedan acceder al Tribunal Constitucional reclamando el control de constitucionalidad de la norma y que dicho control sea suficiente para brindar una tutela materialmente equivalente a la que pudiese otorgar la jurisdicción contencioso-administrativa frente a un acto administrativo (STC 48/2005) [FJ 5].</w:t>
      </w:r>
    </w:p>
    <w:p w:rsidR="0026452D" w:rsidRDefault="0026452D" w:rsidP="0026452D">
      <w:pPr>
        <w:pStyle w:val="Extracto"/>
      </w:pPr>
    </w:p>
    <w:p w:rsidR="0026452D" w:rsidRDefault="0026452D" w:rsidP="0026452D">
      <w:pPr>
        <w:pStyle w:val="Extracto"/>
      </w:pPr>
      <w:r>
        <w:t>2.</w:t>
      </w:r>
      <w:r>
        <w:tab/>
        <w:t>El precepto impugnado vulnera el derecho a la tutela judicial efectiva pues, conteniendo una ley autoaplicativa, los titulares de derechos e intereses legítimos afectados carecen de un recurso directo contra la misma y sólo pueden solicitar del Juez el planteamiento de la correspondiente cuestión de inconstitucionalidad, siendo esta una prerrogativa exclusiva del Juez pero no un derecho del justiciable (STC 166/1986, 119/1998) [FJ 6].</w:t>
      </w:r>
    </w:p>
    <w:p w:rsidR="0026452D" w:rsidRDefault="0026452D" w:rsidP="0026452D">
      <w:pPr>
        <w:pStyle w:val="Extracto"/>
      </w:pPr>
    </w:p>
    <w:p w:rsidR="0026452D" w:rsidRDefault="0026452D" w:rsidP="0026452D">
      <w:pPr>
        <w:pStyle w:val="Extracto"/>
      </w:pPr>
      <w:r>
        <w:t>3.</w:t>
      </w:r>
      <w:r>
        <w:tab/>
        <w:t>La intensidad del control que puede realizar este Tribunal sobre la ley impugnada no satisface el requisito exigido por el derecho a la tutela judicial efectiva, pues la reserva al legislador de la aplicación de la legalidad existente al caso concreto, con exclusión de la actividad que ordinariamente realiza la Administración, impide un control de la misma intensidad que el que correspondería realizar a los Tribunales de la jurisdicción contencioso-administrativa, si la actividad de ejecución se hubiera llevado a cabo por la Administración [FJ 6].</w:t>
      </w:r>
    </w:p>
    <w:p w:rsidR="0026452D" w:rsidRDefault="0026452D" w:rsidP="0026452D">
      <w:pPr>
        <w:pStyle w:val="Extracto"/>
      </w:pPr>
    </w:p>
    <w:p w:rsidR="0026452D" w:rsidRDefault="0026452D" w:rsidP="0026452D">
      <w:pPr>
        <w:pStyle w:val="Extracto"/>
      </w:pPr>
      <w:r>
        <w:t>4.</w:t>
      </w:r>
      <w:r>
        <w:tab/>
        <w:t xml:space="preserve">Las leyes singulares, aun cuando sean autonómicas, deben respetar los límites relativos a los derechos fundamentales, entre ellos el derecho a la tutela judicial efectiva, </w:t>
      </w:r>
      <w:r w:rsidRPr="0026452D">
        <w:rPr>
          <w:i/>
        </w:rPr>
        <w:t>ex</w:t>
      </w:r>
      <w:r>
        <w:t xml:space="preserve"> art. 24.1 CE, de los titulares de derechos e intereses legítimos que se ven afectados por las mismas [FJ 5].</w:t>
      </w:r>
    </w:p>
    <w:p w:rsidR="0026452D" w:rsidRDefault="0026452D" w:rsidP="0026452D">
      <w:pPr>
        <w:pStyle w:val="Extracto"/>
      </w:pPr>
    </w:p>
    <w:p w:rsidR="0026452D" w:rsidRDefault="0026452D" w:rsidP="0026452D">
      <w:pPr>
        <w:pStyle w:val="Extracto"/>
      </w:pPr>
      <w:r>
        <w:t>5.</w:t>
      </w:r>
      <w:r>
        <w:tab/>
        <w:t>Doctrina sobre los límites de las leyes singulares autoaplicativas y su incidencia sobre el derecho a la tutela judicial efectiva (SSTC 166/1986, 48/2005) [FJ 4].</w:t>
      </w:r>
    </w:p>
    <w:p w:rsidR="0026452D" w:rsidRDefault="0026452D" w:rsidP="0026452D">
      <w:pPr>
        <w:pStyle w:val="Extracto"/>
      </w:pPr>
    </w:p>
    <w:p w:rsidR="0026452D" w:rsidRDefault="0026452D" w:rsidP="0026452D">
      <w:pPr>
        <w:pStyle w:val="Extracto"/>
      </w:pPr>
      <w:r>
        <w:lastRenderedPageBreak/>
        <w:t>6.</w:t>
      </w:r>
      <w:r>
        <w:tab/>
        <w:t>No corresponde a este Tribunal, sino a la jurisdicción ordinaria, el control del cumplimiento del Derecho comunitario que afecta de forma muy relevante a los proyectos regionales de infraestructuras de residuos, dada la repercusión que este tipo de infraestructuras de residuos tienen sobre el medio ambiente [FJ 7].</w:t>
      </w:r>
    </w:p>
    <w:p w:rsidR="0026452D" w:rsidRDefault="0026452D" w:rsidP="0026452D">
      <w:pPr>
        <w:pStyle w:val="Extracto"/>
      </w:pPr>
    </w:p>
    <w:p w:rsidR="0026452D" w:rsidRDefault="0026452D" w:rsidP="0026452D">
      <w:pPr>
        <w:pStyle w:val="Extracto"/>
      </w:pPr>
      <w:r>
        <w:t>7.</w:t>
      </w:r>
      <w:r>
        <w:tab/>
        <w:t>Los preceptos impugnados, que establecen una exención de licencias y autorizaciones urbanísticas y ambientales para proyectos de infraestructuras de residuos de singular interés, no vulneran la autonomía local porque tanto las entidades locales como las Comunidades Autónomas son competentes para la gestión de los residuos, porque se garantiza la participación previa de los municipios afectados en el procedimiento administrativo y porque dichos proyectos exigen la concurrencia de un interés singular que va más allá del mero interés supramunicipal que concurre en el resto de proyectos regionales para los que se no excluye la obtención de licencia [FJ 8].</w:t>
      </w:r>
    </w:p>
    <w:p w:rsidR="0026452D" w:rsidRDefault="0026452D" w:rsidP="0026452D">
      <w:pPr>
        <w:pStyle w:val="Extracto"/>
      </w:pPr>
    </w:p>
    <w:p w:rsidR="0026452D" w:rsidRDefault="0026452D" w:rsidP="0026452D">
      <w:pPr>
        <w:pStyle w:val="Extracto"/>
      </w:pPr>
      <w:r>
        <w:t>8.</w:t>
      </w:r>
      <w:r>
        <w:tab/>
        <w:t>Doctrina sobre la incidencia de las competencias en materia de urbanismo sobre la autonomía local (SSTC 40/1998, 103/2013; AATC 251/2009, 9/2013) [FJ 8].</w:t>
      </w:r>
    </w:p>
    <w:p w:rsidR="0026452D" w:rsidRDefault="0026452D" w:rsidP="0026452D">
      <w:pPr>
        <w:pStyle w:val="Extracto"/>
      </w:pPr>
    </w:p>
    <w:p w:rsidR="0026452D" w:rsidRDefault="0026452D" w:rsidP="0026452D">
      <w:pPr>
        <w:pStyle w:val="Extracto"/>
      </w:pPr>
      <w:r>
        <w:t>9.</w:t>
      </w:r>
      <w:r>
        <w:tab/>
        <w:t xml:space="preserve">El derecho de participación política a través de representantes, </w:t>
      </w:r>
      <w:r w:rsidRPr="0026452D">
        <w:rPr>
          <w:i/>
        </w:rPr>
        <w:t>ex</w:t>
      </w:r>
      <w:r>
        <w:t xml:space="preserve"> art. 23.2 CE, es un derecho de configuración legal, y esa configuración legal corresponde a los reglamentos parlamentarios, a los que compete regular y ordenar los derechos y atribuciones que ostentan sus miembros (STC 27/2000) [FJ 10].</w:t>
      </w:r>
    </w:p>
    <w:p w:rsidR="0026452D" w:rsidRDefault="0026452D" w:rsidP="0026452D">
      <w:pPr>
        <w:pStyle w:val="Extracto"/>
      </w:pPr>
    </w:p>
    <w:p w:rsidR="0026452D" w:rsidRDefault="0026452D" w:rsidP="0026452D">
      <w:pPr>
        <w:pStyle w:val="Extracto"/>
      </w:pPr>
      <w:r>
        <w:t>10.</w:t>
      </w:r>
      <w:r>
        <w:tab/>
        <w:t>El principio democrático, art. 1.1 CE, impone que la formación de la voluntad se articule a través de un procedimiento en el que opera el principio mayoritario y, por tanto, la consecución de una determinada mayoría como fórmula para la integración de voluntades concurrentes (SSTC 136/2011, 209/2012) [FJ 10].</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Trias,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inconstitucionalidad núm. 5753-2002, interpuesto por más de cincuenta Diputados del Grupo Parlamentario Socialista en el Congreso, representados por el Procurador de los Tribunales don Roberto Granizo Palomeque y asistidos por el Letrado don Jesús Piquero Álvarez, contra la Ley de las Cortes de Castilla y León 9/2002, de 10 de julio, sobre </w:t>
      </w:r>
      <w:r>
        <w:lastRenderedPageBreak/>
        <w:t>declaración de proyectos regionales de infraestructuras de residuos de singular interés para la Comunidad y, en particular, contra los apartados 1, 2, 3, 4 y 5 de su artículo único, disposición adicional y disposición transitoria. Ha comparecido y formulado alegaciones la Junta de Castilla y León. Ha sido Ponente la Magistrada doña Encarnación Roca Trías,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el día 11 de octubre de 2002, el Procurador de los Tribunales, don Roberto Granizo Palomeque, en representación de más de cincuenta Diputados del Grupo Parlamentario Socialista en el Congreso, interpuso recurso de inconstitucionalidad contra la Ley de las Cortes de Castilla y León 9/2002, de 10 de julio, sobre declaración de proyectos regionales de infraestructuras de residuos de singular interés para la Comunidad y, en particular, contra los apartados 1, 2, 3, 4 y 5 de su artículo único, la disposición adicional y la disposición transitoria.</w:t>
      </w:r>
    </w:p>
    <w:p w:rsidR="0026452D" w:rsidRDefault="0026452D" w:rsidP="0026452D">
      <w:pPr>
        <w:pStyle w:val="TextoNormal"/>
      </w:pPr>
    </w:p>
    <w:p w:rsidR="0026452D" w:rsidRDefault="0026452D" w:rsidP="0026452D">
      <w:pPr>
        <w:pStyle w:val="TextoNormal"/>
      </w:pPr>
      <w:r>
        <w:t>La demanda comienza con una exposición de los hechos que se consideran relevantes y que, sucintamente expuestos, son los siguientes. En ejecución de la Sentencia del Tribunal Supremo de 3 de diciembre de 2001, que anuló las licencias de obra y actividad de la planta de transferencia y tratamiento de subproductos industriales en el polígono industrial “Los Barrales”, en el término municipal de Santovenia de Pisuerga, se produjo el cierre de la citada planta el 15 de mayo de 2002. El 23 de mayo de 2002, el Consejo de Gobierno de la Junta de Castilla y León aprobó el proyecto de ley para la declaración de proyectos regionales de infraestructuras de residuos, acordando su remisión a las Cortes de Castilla y León. El proyecto fue tramitado por el procedimiento de lectura única. La ley fue aprobada el 10 de julio y publicada en el “Boletín Oficial de Castilla y León” el 12 de julio. Entró en vigor al día siguiente. Dos días después, la planta fue reabierta.</w:t>
      </w:r>
    </w:p>
    <w:p w:rsidR="0026452D" w:rsidRDefault="0026452D" w:rsidP="0026452D">
      <w:pPr>
        <w:pStyle w:val="TextoNormal"/>
      </w:pPr>
    </w:p>
    <w:p w:rsidR="0026452D" w:rsidRDefault="0026452D" w:rsidP="0026452D">
      <w:pPr>
        <w:pStyle w:val="TextoNormal"/>
      </w:pPr>
      <w:r>
        <w:t>Entienden los recurrentes que la Ley 9/2002 es una ley especial que excepciona el régimen general de la Ley 10/1998, de 5 de diciembre, de ordenación del territorio de Castilla y León y permite que la aprobación de los proyectos regionales, que en principio corresponde aprobar por decreto, se haga por ley. Es, además, una ley autoaplicativa y singular o de caso único, pues, aunque su contenido se encuentre formulado en términos abstractos que, en principio, permitirían una aplicación a otros casos, la disposición adicional —que declara los proyectos regionales de infraestructuras de residuos al centro de gestión de residuos de Santovenia— y la disposición transitoria de la Ley que lo exime de la tramitación administrativa prevista en el art. 24 de la Ley de ordenación del territorio de Castilla y León, ponen de manifiesto que, en realidad, ha sido dictada en atención a un supuesto de hecho concreto, agotándose su contenido en la adopción y ejecución de la medida tomada por el legislador en ese supuesto de hecho (STC 166/1986). Las verdaderas razones del recurso a la ley se exponen con claridad en la intervención de la Consejera de Medio Ambiente ante el Pleno de la Cámara, en la que afirmó que no existen razones ambientales para mantener cerrada la planta y que es precisa su regularización urbanística, que es el aspecto anulado por la Sentencia del Tribunal Supremo de 2001.</w:t>
      </w:r>
    </w:p>
    <w:p w:rsidR="0026452D" w:rsidRDefault="0026452D" w:rsidP="0026452D">
      <w:pPr>
        <w:pStyle w:val="TextoNormal"/>
      </w:pPr>
    </w:p>
    <w:p w:rsidR="0026452D" w:rsidRDefault="0026452D" w:rsidP="0026452D">
      <w:pPr>
        <w:pStyle w:val="TextoNormal"/>
      </w:pPr>
      <w:r>
        <w:t>Las causas de inconstitucionalidad alegadas por los recurrentes son las siguientes:</w:t>
      </w:r>
    </w:p>
    <w:p w:rsidR="0026452D" w:rsidRDefault="0026452D" w:rsidP="0026452D">
      <w:pPr>
        <w:pStyle w:val="TextoNormal"/>
      </w:pPr>
    </w:p>
    <w:p w:rsidR="0026452D" w:rsidRDefault="0026452D" w:rsidP="0026452D">
      <w:pPr>
        <w:pStyle w:val="TextoNormal"/>
      </w:pPr>
      <w:r>
        <w:lastRenderedPageBreak/>
        <w:t>a) La aprobación por ley de los proyectos regionales de infraestructuras de residuos vulnera el principio de jerarquía normativa, porque según el art. 21.1 de la Ley de ordenación del territorio de Castilla y León al que se remite la Ley impugnada, los proyectos regionales de infraestructuras de residuos han de ajustarse a las determinaciones de los instrumentos de ordenación del territorio que se aprueban por Decreto de la Junta de Castilla y León, y la propia Ley 9/2002 remite al art. 21 de la Ley de ordenación del territorio de Castilla y León, de donde resulta una alteración radical del régimen de relaciones entre la ley y el reglamento en nuestro sistema de fuentes, pues la ley singular queda vinculada a las determinaciones de los planes regionales y subregionales de rango reglamentario.</w:t>
      </w:r>
    </w:p>
    <w:p w:rsidR="0026452D" w:rsidRDefault="0026452D" w:rsidP="0026452D">
      <w:pPr>
        <w:pStyle w:val="TextoNormal"/>
      </w:pPr>
    </w:p>
    <w:p w:rsidR="0026452D" w:rsidRDefault="0026452D" w:rsidP="0026452D">
      <w:pPr>
        <w:pStyle w:val="TextoNormal"/>
      </w:pPr>
      <w:r>
        <w:t>b) La Ley recurrida vulnera (en su artículo único, párrafos primero y segundo; disposición adicional inciso primero y disposición transitoria), la reserva de la función ejecutiva a la Administración regional, la distribución de funciones entre legislador y ejecutivo, y el principio de separación de poderes (arts. 10, 19.1 y 20.1 del Estatuto de Autonomía de Castilla y León, integrantes del bloque de constitucionalidad), excediéndose de las funciones que le corresponden, invadiendo la esfera legítima del ejecutivo (arts. 19.1 y 20.1 del Estatuto de Autonomía de Castilla y León) y eludiendo el control judicial de los poderes públicos.</w:t>
      </w:r>
    </w:p>
    <w:p w:rsidR="0026452D" w:rsidRDefault="0026452D" w:rsidP="0026452D">
      <w:pPr>
        <w:pStyle w:val="TextoNormal"/>
      </w:pPr>
    </w:p>
    <w:p w:rsidR="0026452D" w:rsidRDefault="0026452D" w:rsidP="0026452D">
      <w:pPr>
        <w:pStyle w:val="TextoNormal"/>
      </w:pPr>
      <w:r>
        <w:t>c) La Ley vulnera varios derechos fundamentales. En primer lugar, el derecho a la tutela judicial efectiva y la prohibición de indefensión (art. 24.1 CE), pues se eliminan las posibilidades ordinarias de control judicial propias de los actos administrativos que alcanzan a cualquier infracción del ordenamiento jurídico y se deja abierta únicamente la vía del control de constitucionalidad que se circunscribe a un único parámetro, la conformidad con la Constitución. En segundo lugar, el derecho a un procedimiento administrativo previo y a los principios de contradicción y defensa característicos de éste. Y, por último, el derecho a la igualdad, porque a los vecinos de Santovenia, a su Ayuntamiento en particular, y a los afectados o interesados en el presente caso, se les aplica un régimen jurídico completamente distinto en materia de ordenación territorial y sustancialmente peor que a aquellos otros afectados o interesados en proyectos regionales, tramitados por el cauce ordinario, pues se reducen sus posibilidades de participación y también de defensa. Y como se afirma en la demanda, este sacrificio de derechos, no resulta proporcionado, ni razonable pues no se han aportado razones que justifiquen un régimen tan singular y discriminatorio.</w:t>
      </w:r>
    </w:p>
    <w:p w:rsidR="0026452D" w:rsidRDefault="0026452D" w:rsidP="0026452D">
      <w:pPr>
        <w:pStyle w:val="TextoNormal"/>
      </w:pPr>
    </w:p>
    <w:p w:rsidR="0026452D" w:rsidRDefault="0026452D" w:rsidP="0026452D">
      <w:pPr>
        <w:pStyle w:val="TextoNormal"/>
      </w:pPr>
      <w:r>
        <w:t xml:space="preserve">d) Se vulneran, también, el principio democrático del art. 1.1 CE y el derecho de participación política a través de representantes, consagrado en el art. 23.1 CE, en relación con el art. 23.2 CE. La aprobación de la Ley 9/2002 a través del procedimiento de lectura única, que es un procedimiento especial que implica la reducción del debate y la exclusión del derecho de enmienda, carece en el presente caso de justificación, ya que no concurre el supuesto de hecho habilitante necesario para acudir a esta fórmula que exige el necesario consenso político previo que no existe en este caso, pues todos los grupos de la oposición se habían mostrado contrarios al proyecto, al igual que diversos colectivos de ciudadanos del municipio de Santovenia. El procedimiento de lectura única ha hurtado a las minorías la posibilidad de colaborar en la elaboración de la norma, presentando, debatiendo y votando enmiendas; ha desnaturalizado el trámite parlamentario e incluso las potestades que corresponden a las Cortes de Castilla y León, conforme al art. 13.2 del Estatuto de Autonomía de esta Comunidad. Los recurrentes recuerdan que el derecho a la participación, enmienda y debate en la tramitación legislativa forma parte del </w:t>
      </w:r>
      <w:r w:rsidRPr="0026452D">
        <w:rPr>
          <w:i/>
        </w:rPr>
        <w:t>status</w:t>
      </w:r>
      <w:r>
        <w:t xml:space="preserve"> del cargo público representativo </w:t>
      </w:r>
      <w:r>
        <w:lastRenderedPageBreak/>
        <w:t>(SSTC 23/1990, FJ 5; 36/1990, FJ 1; 220/1991, FJ 5; 225/1992, FJ 3; 27/2000, FJ 4) y que el derecho a la participación política (art. 23 CE) resulta vulnerado “si los propios órganos de la Asamblea impiden o coartan su práctica o adoptan decisiones que contrarían la naturaleza de la representación o la igualdad entre representantes” (STC 38/1999, FJ 2).</w:t>
      </w:r>
    </w:p>
    <w:p w:rsidR="0026452D" w:rsidRDefault="0026452D" w:rsidP="0026452D">
      <w:pPr>
        <w:pStyle w:val="TextoNormal"/>
      </w:pPr>
    </w:p>
    <w:p w:rsidR="0026452D" w:rsidRDefault="0026452D" w:rsidP="0026452D">
      <w:pPr>
        <w:pStyle w:val="TextoNormal"/>
      </w:pPr>
      <w:r>
        <w:t xml:space="preserve">e) La disposición adicional de la Ley vulnera el derecho a la ejecución de las Sentencias firmes (art. 24.1 CE) y resulta contraria a la reserva de jurisdicción que consagra el art. 117.3 CE, pues implica una validación legislativa ilegítima que produce la directa sustitución por el legislador del acto administrativo declarado nulo por la jurisdicción. Recuerdan que el Tribunal Europeo de Derechos Humanos ha considerado contrario a la noción de proceso justo del art. 6 del Convenio de Roma de 1950, “cualquier injerencia del poder legislativo en la administración de justicia en el desarrollo judicial de un litigio” (Sentencia de 9 de diciembre de 1994, asunto </w:t>
      </w:r>
      <w:r w:rsidRPr="0026452D">
        <w:rPr>
          <w:i/>
        </w:rPr>
        <w:t>Stran y Stratis Andreatis c. Grecia</w:t>
      </w:r>
      <w:r>
        <w:t xml:space="preserve">, y Sentencia de 22 de octubre de 1997, asunto </w:t>
      </w:r>
      <w:r w:rsidRPr="0026452D">
        <w:rPr>
          <w:i/>
        </w:rPr>
        <w:t>Papageorgu c. Grecia</w:t>
      </w:r>
      <w:r>
        <w:t>).</w:t>
      </w:r>
    </w:p>
    <w:p w:rsidR="0026452D" w:rsidRDefault="0026452D" w:rsidP="0026452D">
      <w:pPr>
        <w:pStyle w:val="TextoNormal"/>
      </w:pPr>
    </w:p>
    <w:p w:rsidR="0026452D" w:rsidRDefault="0026452D" w:rsidP="0026452D">
      <w:pPr>
        <w:pStyle w:val="TextoNormal"/>
      </w:pPr>
      <w:r>
        <w:t>f) Se invoca, también, como motivo de inconstitucionalidad, la vulneración de la autonomía local consagrada en los arts. 137 y 140 de la Constitución, ya que desapodera a los entes locales de competencias reconocidas a éstos en la legislación estatal y autonómica tanto en materia de urbanismo, como de protección medioambiental. En concreto, la demanda se refiere a la clasificación del suelo que contiene la disposición adicional, la supresión del procedimiento administrativo y posible eliminación de la participación municipal que permite la disposición transitoria y la eliminación de las licencias y autorizaciones municipales.</w:t>
      </w:r>
    </w:p>
    <w:p w:rsidR="0026452D" w:rsidRDefault="0026452D" w:rsidP="0026452D">
      <w:pPr>
        <w:pStyle w:val="TextoNormal"/>
      </w:pPr>
    </w:p>
    <w:p w:rsidR="0026452D" w:rsidRDefault="0026452D" w:rsidP="0026452D">
      <w:pPr>
        <w:pStyle w:val="TextoNormal"/>
      </w:pPr>
      <w:r>
        <w:t>g) La Ley 9/2002 vulnera disposiciones contenidas en la legislación básica del Estado (en materia de urbanismo y de medioambiente) y, por tanto, también las competencias que a éste confiere el art. 149.1.18 CE. Concretamente, se vulneran las competencias de los municipios en materia de ordenación, gestión y disciplina urbanística, así como de protección del medio ambiente, y su competencia para intervenir en la actividad de los ciudadanos a través del sometimiento a previa licencia y otros actos de control preventivo.</w:t>
      </w:r>
    </w:p>
    <w:p w:rsidR="0026452D" w:rsidRDefault="0026452D" w:rsidP="0026452D">
      <w:pPr>
        <w:pStyle w:val="TextoNormal"/>
      </w:pPr>
    </w:p>
    <w:p w:rsidR="0026452D" w:rsidRDefault="0026452D" w:rsidP="0026452D">
      <w:pPr>
        <w:pStyle w:val="TextoNormal"/>
      </w:pPr>
      <w:r>
        <w:t>h) Por último, la Ley 9/2002 infringe el principio de interdicción de la arbitrariedad de los poderes públicos (art. 9.3 CE), pues, habiendo podido la Junta de Castilla y León utilizar el procedimiento previsto en la Ley de ordenación del territorio de 1998 para declarar por decreto proyecto regional la planta de Santovenia, ha acudido a una vía legislativa especial que reduce drásticamente las posibilidad de participación de los representantes del pueblo, con la única finalidad de dejar sin ejecución una Sentencia del Tribunal Supremo a través de un cauce cómodo, expeditivo e inmune a los controles ordinarios, vulnerando con ello el principio de división de poderes y el sistema de controles y garantías a ellos anejos.</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la Sección Primera de 12 de noviembre de 2002, se acordó admitir a trámite el recurso y dar traslado de la demanda y documentos presentados, conforme establece el art. 34 de la Ley Orgánica del Tribunal Constitucional, al Congreso de los Diputados y al Senado, así como a las Cortes y al Consejo de Gobierno de la Junta de Castilla y León, por conducto de sus Presidentes, y al Gobierno, a través del Ministro de Justicia, al objeto de que en el plazo de quince días pudieran personarse en el proceso y formular las alegaciones que estimaran convenientes. Asimismo, acordó publicar la incoación del recurso en el “Boletín Oficial del Estado” y en el “Boletín Oficial de Castilla y León”.</w:t>
      </w:r>
    </w:p>
    <w:p w:rsidR="0026452D" w:rsidRDefault="0026452D" w:rsidP="0026452D">
      <w:pPr>
        <w:pStyle w:val="TextoNormal"/>
      </w:pPr>
    </w:p>
    <w:p w:rsidR="0026452D" w:rsidRDefault="0026452D" w:rsidP="0026452D">
      <w:pPr>
        <w:pStyle w:val="TextoNormal"/>
      </w:pPr>
      <w:r w:rsidRPr="0026452D">
        <w:rPr>
          <w:rStyle w:val="NumeroAFNegritaCaracter"/>
        </w:rPr>
        <w:t>3</w:t>
      </w:r>
      <w:r>
        <w:t>. Por sendos escritos, registrados en el Tribunal el 28 de noviembre de 2002 y el 2 de diciembre de 2002, el Presidente del Senado comunicó la personación de este órgano, mientras que la Presidenta del Congreso comunicó que este último no se personaría. Asimismo, por escrito registrado en el Tribunal el 3 de diciembre de 2002, se personó el Abogado del Estado en nombre del Gobierno manifestando su intención de no formular alegaciones.</w:t>
      </w:r>
    </w:p>
    <w:p w:rsidR="0026452D" w:rsidRDefault="0026452D" w:rsidP="0026452D">
      <w:pPr>
        <w:pStyle w:val="TextoNormal"/>
      </w:pPr>
    </w:p>
    <w:p w:rsidR="0026452D" w:rsidRDefault="0026452D" w:rsidP="0026452D">
      <w:pPr>
        <w:pStyle w:val="TextoNormal"/>
      </w:pPr>
      <w:r w:rsidRPr="0026452D">
        <w:rPr>
          <w:rStyle w:val="NumeroAFNegritaCaracter"/>
        </w:rPr>
        <w:t>4</w:t>
      </w:r>
      <w:r>
        <w:t>. El Letrado de la Junta de Castilla y León se personó y realizó alegaciones, por escrito registrado en el Tribunal el 7 de diciembre de 2002, interesando la desestimación del recurso interpuesto por las razones que, resumidamente, se exponen a continuación:</w:t>
      </w:r>
    </w:p>
    <w:p w:rsidR="0026452D" w:rsidRDefault="0026452D" w:rsidP="0026452D">
      <w:pPr>
        <w:pStyle w:val="TextoNormal"/>
      </w:pPr>
    </w:p>
    <w:p w:rsidR="0026452D" w:rsidRDefault="0026452D" w:rsidP="0026452D">
      <w:pPr>
        <w:pStyle w:val="TextoNormal"/>
      </w:pPr>
      <w:r>
        <w:t>Con carácter previo, el Letrado de la Junta pone de relieve dos cuestiones. Que cuando se dicta la Ley impugnada ya estaba ejecutada la Sentencia a satisfacción del Tribunal competente. Que el procedimiento iniciado por la Consejería de Medio Ambiente de la Junta de Castilla y León para la declaración de la planta de Santovenia como proyecto de interés regional en aplicación de la Ley de ordenación del territorio de Castilla y León, concluyó con la aprobación de la Ley, después de la pertinente tramitación y tras realizar, por tanto, los trámites de audiencia e información pública preceptivos.</w:t>
      </w:r>
    </w:p>
    <w:p w:rsidR="0026452D" w:rsidRDefault="0026452D" w:rsidP="0026452D">
      <w:pPr>
        <w:pStyle w:val="TextoNormal"/>
      </w:pPr>
    </w:p>
    <w:p w:rsidR="0026452D" w:rsidRDefault="0026452D" w:rsidP="0026452D">
      <w:pPr>
        <w:pStyle w:val="TextoNormal"/>
      </w:pPr>
      <w:r>
        <w:t>Rechaza, en primer lugar, que, de acuerdo con la jurisprudencia constitucional, la Ley recurrida pueda considerarse una ley singular o de caso único. La Ley incluye una regulación general, abstracta y razonable que parte de la consideración de que las instalaciones de gestión de residuos presentan una importancia vital en la Comunidad y, de acuerdo con ello, permite que sean declaradas proyectos regionales y les anuda una regulación singular, pues la Ley 9/2002 establece para ellos unas consecuencias, es decir, un régimen jurídico (números 3, 4, 5 y 6 del artículo único) distinto del previsto para el resto de los proyectos regionales en la Ley de ordenación del territorio de Castilla y León (arts. 21 y 22). El que la declaración de proyectos regionales de infraestructuras de residuos se haga a través de una norma con rango de ley responde al singular interés que la planta —única que puede hacer efectivo el principio “quien contamina paga”— tiene para la Comunidad Autónoma, más allá del interés al que se refiere la Ley de ordenación del territorio, lo que justifica que la declaración se lleve a cabo por el poder legislativo. La Ley no es, pues, ni irrazonable, ni arbitraria, y concurre en ella la nota de generalidad, por lo que tampoco puede considerarse una ley singular o de caso único. Es más, la declaración del proyecto regional de la planta transferida podría haberse hecho de forma independiente, en una ley distinta, y ello tampoco habría sido reprochable en términos de constitucionalidad, tal y como se desprende de la propia jurisprudencia constitucional (STC 73/2000, FJ 15 y 248/2000, FJ 5), conforme a la cual el Tribunal Constitucional ha afirmado que la Ley puede tener cualquier contenido, sin estarle vedada la regulación de materias atribuidas al ejecutivo y sin que se encuentre en el marco de nuestra Constitución reserva reglamentaria alguna. No puede, por tanto, aceptarse tampoco la tacha de vulneración del principio de jerarquía normativa (art. 9.3 CE).</w:t>
      </w:r>
    </w:p>
    <w:p w:rsidR="0026452D" w:rsidRDefault="0026452D" w:rsidP="0026452D">
      <w:pPr>
        <w:pStyle w:val="TextoNormal"/>
      </w:pPr>
    </w:p>
    <w:p w:rsidR="0026452D" w:rsidRDefault="0026452D" w:rsidP="0026452D">
      <w:pPr>
        <w:pStyle w:val="TextoNormal"/>
      </w:pPr>
      <w:r>
        <w:t>Por lo que se refiere a la alegación relativa a la vulneración del art. 24.1 CE, en relación con los arts. 117.3 y 118 CE, el Letrado de la Junta afirma que: (i) en el presente caso, la ejecución de la Sentencia se consumó y la Ley recurrida se incorpora al ordenamiento jurídico cuando la planta de residuos estaba cerrada; (ii) que el derecho a la tutela judicial efec</w:t>
      </w:r>
      <w:r>
        <w:lastRenderedPageBreak/>
        <w:t>tiva no se vulnera porque una materia se regule por ley, porque ello no determina su inmunidad jurisdiccional al existir el cauce de la cuestión de inconstitucionalidad (SSTC 73/2000, FFJJ 9 y 15 y 248/2000, de 19 de octubre, FJ 5).</w:t>
      </w:r>
    </w:p>
    <w:p w:rsidR="0026452D" w:rsidRDefault="0026452D" w:rsidP="0026452D">
      <w:pPr>
        <w:pStyle w:val="TextoNormal"/>
      </w:pPr>
    </w:p>
    <w:p w:rsidR="0026452D" w:rsidRDefault="0026452D" w:rsidP="0026452D">
      <w:pPr>
        <w:pStyle w:val="TextoNormal"/>
      </w:pPr>
      <w:r>
        <w:t>Frente a la tacha de vulneración del derecho a la igualdad (art. 14 CE) en relación con el derecho de audiencia, el Letrado de la Junta trae a colación la STC 28/1997, FJ 7, y afirma que, en el presente caso, no se ha proporcionado término idóneo de comparación sobre el que articular un hipotético juicio de igualdad. Mientras que, se aplicó la Ley de ordenación del territorio de Castilla y León en los casos citados, en los que los interesados pudieron participar en la elaboración del proyecto regional y defenderse judicialmente frente al mismo, la planta de Santovenia se ha declarado proyectos regionales de infraestructuras de residuos al amparo de la Ley 9/2002. Se comparan, pues, situaciones nacidas al amparo de normativas diferentes. Además, se niega que en el proyecto regional de Santovenia no hayan tenido ocasión de participar los interesados, pues el procedimiento se tramitó con las fases de audiencia correspondiente y el Ayuntamiento expuso su opinión favorable al proyecto.</w:t>
      </w:r>
    </w:p>
    <w:p w:rsidR="0026452D" w:rsidRDefault="0026452D" w:rsidP="0026452D">
      <w:pPr>
        <w:pStyle w:val="TextoNormal"/>
      </w:pPr>
    </w:p>
    <w:p w:rsidR="0026452D" w:rsidRDefault="0026452D" w:rsidP="0026452D">
      <w:pPr>
        <w:pStyle w:val="TextoNormal"/>
      </w:pPr>
      <w:r>
        <w:t xml:space="preserve">Afirma el Letrado de la Junta que la decisión del Pleno de las Cortes de Castilla y León de tramitar el proyecto de ley a través del procedimiento de lectura única, adoptada al amparo del art. 128 del Reglamento de esas Cortes, constituye un acto distinto y separado del acuerdo de aprobación de la norma impugnada, por lo que no es objeto de la pretensión deducida. Además, es un acto sin fuerza de ley, por lo que si se estima que vulneraba el art. 23 CE, debería haberse denunciado mediante la interposición del correspondiente recurso de amparo, tal y como ha declarado el Tribunal Constitucional en diversas Sentencias (SSTC 27/2000 y 203/2001). Por otra parte, el derecho consagrado en el art. 23 CE es un derecho de configuración legal y, de acuerdo con el art. 128 del Reglamento de las Cortes de Castilla y León, es al Pleno al que corresponde adoptar la decisión de seguir el procedimiento de lectura única y esta singularidad ha de considerarse lícita en cuanto es una previsión adoptada por las propias Cortes en ejercicio de su autonomía de organización y funcionamiento (STC 118/1995, FJ 3 </w:t>
      </w:r>
      <w:r w:rsidRPr="0026452D">
        <w:rPr>
          <w:i/>
        </w:rPr>
        <w:t>in fine</w:t>
      </w:r>
      <w:r>
        <w:t>). Incluso aunque se hubiera infringido el art. 128 del Reglamento de las Cortes por no concurrir los presupuestos para acudir al procedimiento de lectura única, ello no supondría vulneración del art. 23 CE de acuerdo con la jurisprudencia constitucional (SSTC 23/1990 y 81/1991, y ATC 52/1994), pues la vulneración no viene determinada por la conculcación de normas reglamentarias, sino por razones sustantivas de carácter material. En el presente caso, no se han vulnerado los derechos de los parlamentarios, pues éstos tuvieron la oportunidad, y así lo hicieron, de expresar su oposición política a la tramitación parlamentaria y al proyecto de ley en el debate celebrado y, finalmente, en la votación de éste.</w:t>
      </w:r>
    </w:p>
    <w:p w:rsidR="0026452D" w:rsidRDefault="0026452D" w:rsidP="0026452D">
      <w:pPr>
        <w:pStyle w:val="TextoNormal"/>
      </w:pPr>
    </w:p>
    <w:p w:rsidR="0026452D" w:rsidRDefault="0026452D" w:rsidP="0026452D">
      <w:pPr>
        <w:pStyle w:val="TextoNormal"/>
      </w:pPr>
      <w:r>
        <w:t xml:space="preserve">Tras recordar la doctrina constitucional sobre la autonomía local (SSTC 40/1998 y 204/2002), el Letrado de la Junta argumenta que la Ley 9/2002 no vulnera la autonomía local, pues: (i) la propia Ley impugnada prevé que la declaración de proyectos regionales de infraestructuras de residuos se articule a través de los procedimientos de sustitución de la licencia municipal previstos en la Ley de ordenación del territorio de Castilla y León, que incluyen periodo de información pública e informe de los municipios afectados y en la aprobación del proyecto regional de la planta de Santovenia se ha respetado la tramitación prevista en el art. 24 de la Ley de ordenación del territorio, se ha oído al Ayuntamiento, que presentó escrito de fecha de 7 de mayo de 2002 solicitando la retirada o, en su caso, la no aprobación del proyecto; (ii) la ley “tiene por objetivo innovar el ordenamiento jurídico </w:t>
      </w:r>
      <w:r>
        <w:lastRenderedPageBreak/>
        <w:t>autonómico vigente hasta el momento de su entrada en vigor en materia de ordenación del territorio por razones de protección medioambiental y, en concreto, de gestión de residuos, determinando la planificación territorial de la Comunidad cuando está en juego la actividad relacionada con la gestión de residuos como función específica encuadrable en la protección del medio ambiente”. En definitiva, se dirá, el legislador autonómico no ha invadido la esfera de autonomía local, sino que ha ejercido competencias propias.</w:t>
      </w:r>
    </w:p>
    <w:p w:rsidR="0026452D" w:rsidRDefault="0026452D" w:rsidP="0026452D">
      <w:pPr>
        <w:pStyle w:val="TextoNormal"/>
      </w:pPr>
    </w:p>
    <w:p w:rsidR="0026452D" w:rsidRDefault="0026452D" w:rsidP="0026452D">
      <w:pPr>
        <w:pStyle w:val="TextoNormal"/>
      </w:pPr>
      <w:r>
        <w:t>Para concluir, defiende el Letrado de la Junta que no se ha vulnerado tampoco la legislación básica estatal citada en la demanda. En primer lugar, considera que los recurrentes hacen una lectura torticera e interesada de la Ley 16/2002, de 10 de julio, y destaca que en su art. 29 se dispone que el procedimiento de otorgamiento de la autorización ambiental integrada sustituye al procedimiento para el otorgamiento de la licencia de actividades clasificadas, salvo en lo referente a la resolución definitiva de la autoridad municipal, “sin perjuicio de las normas autonómicas sobre actividades clasificadas que, en su caso, fueran aplicables”. Son las normas autonómicas, según el Letrado de la Junta, las que deben regular el régimen de las actividades clasificadas, y, por tanto, la regulación estatal sobre las mismas no puede tener la condición de legislación básica; el propio legislador estatal descarta que tengan tal condición. Por tanto, la Ley 9/2002 ahora impugnada, no ha vulnerado la legislación básica estatal sobre prevención y control integrados de la contaminación (Ley 16/2002, de 1 de julio, de prevención y control integrados de la contaminación).</w:t>
      </w:r>
    </w:p>
    <w:p w:rsidR="0026452D" w:rsidRDefault="0026452D" w:rsidP="0026452D">
      <w:pPr>
        <w:pStyle w:val="TextoNormal"/>
      </w:pPr>
    </w:p>
    <w:p w:rsidR="0026452D" w:rsidRDefault="0026452D" w:rsidP="0026452D">
      <w:pPr>
        <w:pStyle w:val="TextoNormal"/>
      </w:pPr>
      <w:r w:rsidRPr="0026452D">
        <w:rPr>
          <w:rStyle w:val="NumeroAFNegritaCaracter"/>
        </w:rPr>
        <w:t>5</w:t>
      </w:r>
      <w:r>
        <w:t>. Con fecha de 11 de diciembre de 2002, se presentó en este Tribunal un escrito de don Arturo Molina Santiago, Procurador de los Tribunales y de Cetransa, mediante el que solicita se le tenga por personada en el proceso en calidad de coadyuvante de la constitucionalidad de la Ley recurrida, permitiéndosele formular alegaciones al respecto.</w:t>
      </w:r>
    </w:p>
    <w:p w:rsidR="0026452D" w:rsidRDefault="0026452D" w:rsidP="0026452D">
      <w:pPr>
        <w:pStyle w:val="TextoNormal"/>
      </w:pPr>
    </w:p>
    <w:p w:rsidR="0026452D" w:rsidRDefault="0026452D" w:rsidP="0026452D">
      <w:pPr>
        <w:pStyle w:val="TextoNormal"/>
      </w:pPr>
      <w:r w:rsidRPr="0026452D">
        <w:rPr>
          <w:rStyle w:val="NumeroAFNegritaCaracter"/>
        </w:rPr>
        <w:t>6</w:t>
      </w:r>
      <w:r>
        <w:t>. Mediante providencia de 14 de enero de 2003, la Sección Primera acordó tener por presentada la solicitud de personación planteada por Cetransa, dando traslado de ello a la parte recurrente y al Abogado del Estado, para que aleguen lo que estimen conveniente al respecto. Don Roberto Gramizo Palomeque, en representación de la parte recurrente, presentó, con fecha 30 de enero de 2003, en el Registro General del Tribunal, escrito suplicando la denegación de la personación y, con fecha 18 de marzo de 2003, interesó la admisión de documentos y la práctica de prueba documental.</w:t>
      </w:r>
    </w:p>
    <w:p w:rsidR="0026452D" w:rsidRDefault="0026452D" w:rsidP="0026452D">
      <w:pPr>
        <w:pStyle w:val="TextoNormal"/>
      </w:pPr>
    </w:p>
    <w:p w:rsidR="0026452D" w:rsidRDefault="0026452D" w:rsidP="0026452D">
      <w:pPr>
        <w:pStyle w:val="TextoNormal"/>
      </w:pPr>
      <w:r w:rsidRPr="0026452D">
        <w:rPr>
          <w:rStyle w:val="NumeroAFNegritaCaracter"/>
        </w:rPr>
        <w:t>7</w:t>
      </w:r>
      <w:r>
        <w:t>. Por providencia de 25 de marzo de 2003, se acordó tener por presentadas las alegaciones del recurrente oponiéndose a la personación de Cetransa, y otorgar a la Junta de Castilla y León un plazo de diez días para alegaciones. También, por providencia de la misma fecha, se acordó tener por presentado por la representación procesal de los Diputados del Grupo Parlamentario Socialista el escrito de solicitud de práctica de prueba documental, concediendo un plazo de cinco días a los servicios jurídicos de la Comunidad Autónoma de Castilla y León para alegaciones.</w:t>
      </w:r>
    </w:p>
    <w:p w:rsidR="0026452D" w:rsidRDefault="0026452D" w:rsidP="0026452D">
      <w:pPr>
        <w:pStyle w:val="TextoNormal"/>
      </w:pPr>
    </w:p>
    <w:p w:rsidR="0026452D" w:rsidRDefault="0026452D" w:rsidP="0026452D">
      <w:pPr>
        <w:pStyle w:val="TextoNormal"/>
      </w:pPr>
      <w:r w:rsidRPr="0026452D">
        <w:rPr>
          <w:rStyle w:val="NumeroAFNegritaCaracter"/>
        </w:rPr>
        <w:t>8</w:t>
      </w:r>
      <w:r>
        <w:t>. El 30 de mayo de 2003 tuvo entrada en el Registro General de este Tribunal, escrito del Letrado la Comunidad Autónoma de Castilla y León suplicando la denegación de la práctica de la prueba solicitada.</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9</w:t>
      </w:r>
      <w:r>
        <w:t>. Mediante ATC 455/2004, de 16 de noviembre, el Pleno del Tribunal Constitucional acordó denegar la personación interesada por Cetransa. Asimismo, por ATC 486/2004, de 30 de noviembre, se acordó incorporar a los Autos los documentos presentados y denegar la práctica del resto de la prueba solicitada.</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4 de junio de 2013, se señaló para deliberación y votación de la presente Sentencia ese mismo día.</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Este recurso de inconstitucionalidad se interpone contra la Ley 9/2002, de 10 de julio, de Castilla y León, sobre declaración de proyectos regionales de infraestructuras de residuos de singular interés, concretamente contra los apartados 1, 2, 3, 4 y 5 de su artículo único, y las disposiciones adicional y transitoria de la Ley citada.</w:t>
      </w:r>
    </w:p>
    <w:p w:rsidR="0026452D" w:rsidRDefault="0026452D" w:rsidP="0026452D">
      <w:pPr>
        <w:pStyle w:val="TextoNormal"/>
      </w:pPr>
    </w:p>
    <w:p w:rsidR="0026452D" w:rsidRDefault="0026452D" w:rsidP="0026452D">
      <w:pPr>
        <w:pStyle w:val="TextoNormal"/>
      </w:pPr>
      <w:r>
        <w:t>Según ha quedado resumido en los antecedentes, la impugnación se fundamenta en que la naturaleza de ley especial y autoaplicativa de la Ley impugnada, vulnera el principio de igualdad (art. 14 CE), el derecho a la tutela judicial efectiva (art. 24.1 CE), los principios de jerarquía normativa y de prohibición de la arbitrariedad (art. 9.3 CE), el derecho al procedimiento a través del cual deben producirse los actos administrativos [art. 105 c) CE], y la reserva estatutaria de la función ejecutiva a la Administración autonómica (arts. 10, 19.1 y 20.1 del Estatuto de Autonomía de Castilla y León). Asimismo, alegan que el procedimiento de lectura única utilizado para su tramitación y aprobación vulnera el principio democrático (art. 1.1 CE) y el derecho de participación política a través de representantes reconocido en el art. 23.1 CE. Señalan, además, que la disposición adicional de la Ley conculca el derecho a la ejecución de las Sentencias firmes del art. 24.1 CE, en conexión con los arts. 117.3 y 118 CE, que los apartados 3, 4, y 5 de su artículo único y la disposición adicional entrañan una lesión de la autonomía local en materia de urbanismo y medio ambiente, y disposiciones contenidas en la legislación básica del Estado en estas materias.</w:t>
      </w:r>
    </w:p>
    <w:p w:rsidR="0026452D" w:rsidRDefault="0026452D" w:rsidP="0026452D">
      <w:pPr>
        <w:pStyle w:val="TextoNormal"/>
      </w:pPr>
    </w:p>
    <w:p w:rsidR="0026452D" w:rsidRDefault="0026452D" w:rsidP="0026452D">
      <w:pPr>
        <w:pStyle w:val="TextoNormal"/>
      </w:pPr>
      <w:r>
        <w:t>Las razones de la impugnación son rechazadas por el Letrado de la Junta de Castilla y León, quien entiende que se trata de una ley que establece el régimen jurídico de un determinado tipo de proyectos regionales; que el procedimiento seguido para la tramitación y aprobación de la Ley es perfectamente lícito, sin que se haya impedido a los parlamentarios expresar su posición política y votar el proyecto. Y, finalmente, que no se ha vulnerado la autonomía local ni la legislación básica estatal sobre prevención y control integrados de la contaminación, según se ha resumido en los antecedentes.</w:t>
      </w:r>
    </w:p>
    <w:p w:rsidR="0026452D" w:rsidRDefault="0026452D" w:rsidP="0026452D">
      <w:pPr>
        <w:pStyle w:val="TextoNormal"/>
      </w:pPr>
    </w:p>
    <w:p w:rsidR="0026452D" w:rsidRDefault="0026452D" w:rsidP="0026452D">
      <w:pPr>
        <w:pStyle w:val="TextoNormal"/>
      </w:pPr>
      <w:r w:rsidRPr="0026452D">
        <w:rPr>
          <w:rStyle w:val="NumeroAFNegritaCaracter"/>
        </w:rPr>
        <w:t>2</w:t>
      </w:r>
      <w:r>
        <w:t>. La Ley de Castilla y León 9/2002, de 10 de julio, consta de un artículo único con seis apartados, una disposición adicional, una disposición transitoria y una disposición final. Salvo la disposición final, que regula su entrada en vigor, y el apartado 6 del artículo único, que prevé que los proyectos en ella regulados tendrán la consideración de prioritarios en los planes de inversión de la Junta de Castilla y León en materia de residuos, el resto de los preceptos de la Ley citada han sido impugnados. En aras de una mayor claridad expositiva y para evitar reiteraciones innecesarias, comenzaremos nuestro análisis por las vulneracio</w:t>
      </w:r>
      <w:r>
        <w:lastRenderedPageBreak/>
        <w:t>nes constitucionales que derivarían, a juicio de los recurrentes, de su naturaleza de ley singular y en parte autoaplicativa [arts. 9.3, 14, 24 y 105 c) CE y la reserva estatutaria a la Administración autonómica de la función ejecutiva], pues una vez expuesto su contenido y determinada su naturaleza, estaremos en condiciones de analizar el reproche que se realiza a la Ley impugnada relativo a la vulneración del principio democrático y del derecho de participación en los asuntos públicos, que derivaría del procedimiento de lectura única utilizado para su tramitación legislativa.</w:t>
      </w:r>
    </w:p>
    <w:p w:rsidR="0026452D" w:rsidRDefault="0026452D" w:rsidP="0026452D">
      <w:pPr>
        <w:pStyle w:val="TextoNormal"/>
      </w:pPr>
    </w:p>
    <w:p w:rsidR="0026452D" w:rsidRDefault="0026452D" w:rsidP="0026452D">
      <w:pPr>
        <w:pStyle w:val="TextoNormal"/>
      </w:pPr>
      <w:r>
        <w:t>El artículo único de la Ley impugnada regula los denominados “proyectos regionales de infraestructuras de residuos de singular interés para la Comunidad Autónoma” y establece para ellos un régimen jurídico singular en relación al resto de proyectos regionales regulados en la Ley 10/1998, de 5 de diciembre, de ordenación del territorio de la Comunidad de Castilla y León. Ello explica que se exija, salvo contadas excepciones, la misma tramitación que la prevista en la Ley 10/1998 para los proyectos regionales que aprueba el Consejo de Gobierno, que sus efectos se regulen por remisión a los preceptos de la Ley de ordenación del territorio que regulan los efectos de los proyectos regionales, y que la disposición transitoria permita convertir en proyectos regionales de singular interés aquellos que comenzaron a tramitarse como simples proyectos regionales.</w:t>
      </w:r>
    </w:p>
    <w:p w:rsidR="0026452D" w:rsidRDefault="0026452D" w:rsidP="0026452D">
      <w:pPr>
        <w:pStyle w:val="TextoNormal"/>
      </w:pPr>
    </w:p>
    <w:p w:rsidR="0026452D" w:rsidRDefault="0026452D" w:rsidP="0026452D">
      <w:pPr>
        <w:pStyle w:val="TextoNormal"/>
      </w:pPr>
      <w:r>
        <w:t>El artículo único contiene diversos apartados: el primero regula su objeto, consistente en las infraestructuras de instalaciones o plantas de cualquier tipo de gestión de residuos, ya sean urbanos o industriales, peligrosos, no peligrosos o inertes y exige la concurrencia de un singular interés para la Comunidad Autónoma, que justifique su aprobación por el poder legislativo, al que se atribuye la competencia para su aprobación. El primer párrafo del apartado segundo regula el procedimiento a seguir antes de su presentación a las Cortes, por remisión al procedimiento establecido en el art. 24 de la Ley de ordenación del territorio de Castilla y León. El segundo párrafo del segundo apartado regula sus efectos, es decir, la vinculación de los proyectos a las determinaciones de los instrumentos de ordenación del territorio, su carácter vinculante para los planes y proyectos, la declaración de utilidad pública o interés social y el régimen de derechos y deberes de los promotores y titulares del suelo. Los apartados tercero y quinto eliminan la necesidad de obtener otras autorizaciones y licencias, pues su aprobación por ley implica la aptitud para la inmediata ejecución de las actividades y de los actos de uso del suelo previstos en los mismos. El apartado cuarto atribuye a la Comunidad Autónoma el control ambiental de los citados proyectos. La disposición transitoria de la Ley 9/2002, establece el régimen de los proyectos regionales de infraestructuras de residuos, cuya tramitación haya sido iniciada con anterioridad a la entrada en vigor de la Ley. Todos ellos han sido impugnados.</w:t>
      </w:r>
    </w:p>
    <w:p w:rsidR="0026452D" w:rsidRDefault="0026452D" w:rsidP="0026452D">
      <w:pPr>
        <w:pStyle w:val="TextoNormal"/>
      </w:pPr>
    </w:p>
    <w:p w:rsidR="0026452D" w:rsidRDefault="0026452D" w:rsidP="0026452D">
      <w:pPr>
        <w:pStyle w:val="TextoNormal"/>
      </w:pPr>
      <w:r>
        <w:t xml:space="preserve">Cabe concluir, a partir de lo expuesto, que el artículo único de la Ley 9/2002 contiene una regulación general y completa de una figura de ordenación territorial. Su generalidad se predica tanto de la indeterminación de sus destinatarios, como de la posibilidad de aplicarla de forma reiterada en tanto esté vigente. Prueba de ello, y sin perjuicio de la disposición adicional de esta misma ley a la que a continuación nos referiremos, es que se han aprobado, en aplicación de la misma, dos leyes de declaración de proyectos regionales de infraestructuras de residuos: la Ley 6/2005, de 26 de mayo, de declaración del proyecto regional para la instalación de un centro de tratamiento de residuos urbanos para la provincia de Salamanca, en el término municipal de Gomecello (“Boletín Oficial de Castilla y León” de 27 de mayo de 2005), que ha sido recurrida ante este Tribunal por el Ayuntamiento de </w:t>
      </w:r>
      <w:r>
        <w:lastRenderedPageBreak/>
        <w:t>Gomecello (conflicto en defensa de la autonomía local 8317-2005), y la Ley 2/2008, de 17 de junio, de declaración de proyecto regional para la instalación de un centro de tratamiento de residuos industriales no peligrosos en el término municipal de Fresno de la Ribera (“Boletín Oficial de Castilla y León” de 24 de junio de 2008), que es objeto de una cuestión de inconstitucionalidad que se tramita ante este Tribunal con el núm. 2869-2012.</w:t>
      </w:r>
    </w:p>
    <w:p w:rsidR="0026452D" w:rsidRDefault="0026452D" w:rsidP="0026452D">
      <w:pPr>
        <w:pStyle w:val="TextoNormal"/>
      </w:pPr>
    </w:p>
    <w:p w:rsidR="0026452D" w:rsidRDefault="0026452D" w:rsidP="0026452D">
      <w:pPr>
        <w:pStyle w:val="TextoNormal"/>
      </w:pPr>
      <w:r>
        <w:t>Pero, a diferencia de otras figuras de ordenación territorial reguladas en la Ley de ordenación del territorio de Castilla y León, los proyectos regionales de infraestructuras de residuos se aprueban por ley. En efecto, el artículo único de la Ley impugnada contiene una reserva formal de ley que conlleva la sustracción a la Administración de la función de aplicación de la norma al caso concreto que, de otra manera, le correspondería. De hecho, las leyes de aprobación de los proyectos regionales de infraestructuras de residuos ejercen, por mandato del legislador autonómico, una función materialmente administrativa. Son, en definitiva, leyes autoaplicativas que no requieren de una posterior actividad administrativa de aplicación pues en sí mismas la contienen.</w:t>
      </w:r>
    </w:p>
    <w:p w:rsidR="0026452D" w:rsidRDefault="0026452D" w:rsidP="0026452D">
      <w:pPr>
        <w:pStyle w:val="TextoNormal"/>
      </w:pPr>
    </w:p>
    <w:p w:rsidR="0026452D" w:rsidRDefault="0026452D" w:rsidP="0026452D">
      <w:pPr>
        <w:pStyle w:val="TextoNormal"/>
      </w:pPr>
      <w:r>
        <w:t>Esto es lo que explica, en primer lugar, que por previsión expresa del artículo único de la Ley 9/2002, los proyectos regionales de infraestructuras de residuos queden sometidos a la legalidad ordinaria. Y no sólo a las determinaciones de la propia Ley impugnada, sino a las que también son aplicables a los proyectos regionales regulados en la Ley de ordenación del territorio de Castilla y León (apartado 2, párrafo segundo del art. único), en concreto, a los instrumentos de ordenación territorial y a la legislación ambiental. En segundo lugar, esta misma justificación sustenta la exigencia de un procedimiento administrativo, el mismo que se sigue para la aprobación de los proyectos regionales regulados en la Ley Orgánica del Tribunal Constitucional hasta su aprobación por el Consejo de Gobierno (apartado 2, párrafo primero, del artículo único). Un procedimiento administrativo, previo al legislativo, con el que se pretende garantizar la legalidad y el acierto de la decisión, que en este caso corresponde adoptar al legislador.</w:t>
      </w:r>
    </w:p>
    <w:p w:rsidR="0026452D" w:rsidRDefault="0026452D" w:rsidP="0026452D">
      <w:pPr>
        <w:pStyle w:val="TextoNormal"/>
      </w:pPr>
    </w:p>
    <w:p w:rsidR="0026452D" w:rsidRDefault="0026452D" w:rsidP="0026452D">
      <w:pPr>
        <w:pStyle w:val="TextoNormal"/>
      </w:pPr>
      <w:r w:rsidRPr="0026452D">
        <w:rPr>
          <w:rStyle w:val="NumeroAFNegritaCaracter"/>
        </w:rPr>
        <w:t>3</w:t>
      </w:r>
      <w:r>
        <w:t>. La disposición adicional de la Ley 9/2002, de 10 de julio, declara proyectos regionales de infraestructuras de residuos la planta de transferencia, de tratamiento físico-químico y depósito de seguridad, ubicada en el término municipal de Santovenia del Pisuerga (Valladolid) “con el contenido que se describe en el Anexo”, el cual se limita a relacionar los documentos de que consta el proyecto objeto de aprobación. Establece esta disposición que los efectos de la declaración son los previstos en el artículo único de la Ley, lo que implica la aptitud para su inmediato funcionamiento, y la ejecución de las actividades y actos de uso del suelo previstos en el proyecto. El control ambiental se realizará conforme a lo establecido en la declaración de impacto ambiental aprobada. Los terrenos afectados por el depósito de seguridad se clasifican como suelo rústico de protección de infraestructuras.</w:t>
      </w:r>
    </w:p>
    <w:p w:rsidR="0026452D" w:rsidRDefault="0026452D" w:rsidP="0026452D">
      <w:pPr>
        <w:pStyle w:val="TextoNormal"/>
      </w:pPr>
    </w:p>
    <w:p w:rsidR="0026452D" w:rsidRDefault="0026452D" w:rsidP="0026452D">
      <w:pPr>
        <w:pStyle w:val="TextoNormal"/>
      </w:pPr>
      <w:r>
        <w:t xml:space="preserve">Como reconoce la exposición de motivos de la Ley 9/2002, la disposición adicional constituye el primer supuesto de aplicación de dicha ley, amparado, además, en la disposición transitoria primera. Así, tras la constatación de que concurre el supuesto de hecho contemplado en el artículo único de la Ley 9/2002, la disposición adicional se limita aplicar la consecuencia jurídica en ella prevista: la aprobación de un concreto proyecto de infraestructuras de residuos, en determinados terrenos, agotando en ello su contenido y eficacia. En este caso —dice la exposición de motivos— las instalaciones del centro de transferencia, planta de tratamiento físico-químico, y depósito de seguridad que existe en la localidad de </w:t>
      </w:r>
      <w:r>
        <w:lastRenderedPageBreak/>
        <w:t>Santovenia de Pisuerga, en la provincia de Valladolid, tienen un carácter singular y cumplen los requisitos indicados en esta norma. Además se trata de la única instalación de estas características de Castilla y León, lo que indica su clara trascendencia supralocal que aconseja su tramitación por esta vía. En definitiva, esta disposición contiene una ley singular de aplicación de la ley general en la que formalmente —aunque no necesariamente— se ha enmarcado. En definitiva, la disposición adicional contiene una ley autoaplicativa que sustituye, por expreso mandato del artículo único, la actividad administrativa de aplicación de la ley general.</w:t>
      </w:r>
    </w:p>
    <w:p w:rsidR="0026452D" w:rsidRDefault="0026452D" w:rsidP="0026452D">
      <w:pPr>
        <w:pStyle w:val="TextoNormal"/>
      </w:pPr>
    </w:p>
    <w:p w:rsidR="0026452D" w:rsidRDefault="0026452D" w:rsidP="0026452D">
      <w:pPr>
        <w:pStyle w:val="TextoNormal"/>
      </w:pPr>
      <w:r w:rsidRPr="0026452D">
        <w:rPr>
          <w:rStyle w:val="NumeroAFNegritaCaracter"/>
        </w:rPr>
        <w:t>4</w:t>
      </w:r>
      <w:r>
        <w:t>. Es doctrina de este Tribunal que las leyes singulares no son, por este mero hecho, inconstitucionales. Se entiende por leyes singulares “[a]quéllas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El concepto de ley presente en la Constitución no impide la existencia de leyes singulares cuyo contenido material es, en todo o en parte, actividad ejecutiva o de administración. La Constitución no contiene, en su artículo 97, una reserva de administración, de modo que cabe hablar, “salvo en reservas materiales de ley o en actividades de pura ejecución”, de una cierta fungibilidad entre el contenido de las decisiones propias de cada una de dichas funciones (STC 166/1986, de 19 de diciembre, FJ 11).</w:t>
      </w:r>
    </w:p>
    <w:p w:rsidR="0026452D" w:rsidRDefault="0026452D" w:rsidP="0026452D">
      <w:pPr>
        <w:pStyle w:val="TextoNormal"/>
      </w:pPr>
    </w:p>
    <w:p w:rsidR="0026452D" w:rsidRDefault="0026452D" w:rsidP="0026452D">
      <w:pPr>
        <w:pStyle w:val="TextoNormal"/>
      </w:pPr>
      <w:r>
        <w:t>De la misma forma hemos afirmado que las leyes singulares no constituyen un ejercicio normal de la potestad legislativa. En consecuencia, están sujetas a una serie de límites contenidos en la propia Constitución. El principio de igualdad exige que la ley singular responda a una situación excepcional igualmente singular. “Esto equivale a decir que la prohibición de desigualdad arbitraria o injustificada no se refiere al alcance subjetivo de la norma, sino a su contenido y, en su virtud, que la ley singular … debe responder a una situación excepcional igualmente singular”. En segundo lugar, “la adopción de Leyes singulares debe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Finalmente no es posible condicionar o impedir por una ley singular el ejercicio de derechos fundamentales que son materia reservada a leyes generales (STC 166/1986, de 19 de diciembre, FJ 11). En consecuencia, el canon de constitucionalidad que debe utilizar este Tribunal al ejercer su función de control de este tipo de leyes es el de la razonabilidad, proporcionalidad y adecuación.</w:t>
      </w:r>
    </w:p>
    <w:p w:rsidR="0026452D" w:rsidRDefault="0026452D" w:rsidP="0026452D">
      <w:pPr>
        <w:pStyle w:val="TextoNormal"/>
      </w:pPr>
    </w:p>
    <w:p w:rsidR="0026452D" w:rsidRDefault="0026452D" w:rsidP="0026452D">
      <w:pPr>
        <w:pStyle w:val="TextoNormal"/>
      </w:pPr>
      <w:r>
        <w:t xml:space="preserve">También hemos señalado, en relación a las leyes expropiatorias autoaplicativas, que el cumplimiento de los anteriores límites no agota el tema de su constitucionalidad, pues el derecho de propiedad privada sacrificado por la expropiación goza, al igual que todos los derechos e intereses legítimos, de la cobertura de la tutela judicial establecida en el art. 24.1 de la Constitución. Por ello se hace inexcusable determinar en qué medida inciden en este derecho fundamental las leyes expropiatorias y cuáles son las consecuencias constitucionales que se derivan de esa incidencia. Finalmente, hemos afirmado que el análisis de si la ley singular expropiatoria vulnera o no el art. 24 CE no es susceptible de un estudio abstracto, </w:t>
      </w:r>
      <w:r>
        <w:lastRenderedPageBreak/>
        <w:t>desconectado del contenido que, en cada caso concreto, tenga la ley singular (SSTC 166/1986, de 19 de diciembre, FJ 14; y 48/2005, de 3 de marzo, FJ 6).</w:t>
      </w:r>
    </w:p>
    <w:p w:rsidR="0026452D" w:rsidRDefault="0026452D" w:rsidP="0026452D">
      <w:pPr>
        <w:pStyle w:val="TextoNormal"/>
      </w:pPr>
    </w:p>
    <w:p w:rsidR="0026452D" w:rsidRDefault="0026452D" w:rsidP="0026452D">
      <w:pPr>
        <w:pStyle w:val="TextoNormal"/>
      </w:pPr>
      <w:r>
        <w:t>Pues bien, el análisis de la repercusión de la ley singular cuestionada sobre el derecho a la tutela judicial efectiva no puede quedar limitado a las leyes autoaplicativas expropiatorias, pues aunque éstas ostentan la peculiaridad de ir dirigidas directamente a la privación de un derecho constitucional, las autoaplicativas no expropiatorias son también susceptibles de lesionar derechos e intereses legítimos. Y es que, como ya anticipamos en el fundamento jurídico 11 de la STC 166/1998, de 19 de diciembre, el art. 24.1 CE protege todos los derechos e intereses legítimos que reconoce el ordenamiento jurídico y no sólo aquellos expresamente consagrados por la Constitución. Así pues, el canon de constitucionalidad del art. 24.1 CE debe necesariamente operar cuando la ley singular que encierra una actividad materialmente administrativa de aplicación de la norma al caso concreto, afecte a los derechos o intereses legítimos a los que el precepto constitucional antes citado presta cobertura.</w:t>
      </w:r>
    </w:p>
    <w:p w:rsidR="0026452D" w:rsidRDefault="0026452D" w:rsidP="0026452D">
      <w:pPr>
        <w:pStyle w:val="TextoNormal"/>
      </w:pPr>
    </w:p>
    <w:p w:rsidR="0026452D" w:rsidRDefault="0026452D" w:rsidP="0026452D">
      <w:pPr>
        <w:pStyle w:val="TextoNormal"/>
      </w:pPr>
      <w:r w:rsidRPr="0026452D">
        <w:rPr>
          <w:rStyle w:val="NumeroAFNegritaCaracter"/>
        </w:rPr>
        <w:t>5</w:t>
      </w:r>
      <w:r>
        <w:t>. Para abordar el análisis de los motivos de inconstitucionalidad que los recurrentes hacen depender de la naturaleza singular de la Ley impugnada, habremos de tener en cuenta que, como se expuso en fundamentos jurídicos anteriores, y en contra de lo que alegan los recurrentes, estamos en presencia de dos tipos de leyes comprendidas dentro un mismo acto legislativo, una general y otra singular autoaplicativa.</w:t>
      </w:r>
    </w:p>
    <w:p w:rsidR="0026452D" w:rsidRDefault="0026452D" w:rsidP="0026452D">
      <w:pPr>
        <w:pStyle w:val="TextoNormal"/>
      </w:pPr>
    </w:p>
    <w:p w:rsidR="0026452D" w:rsidRDefault="0026452D" w:rsidP="0026452D">
      <w:pPr>
        <w:pStyle w:val="TextoNormal"/>
      </w:pPr>
      <w:r>
        <w:t>El artículo único de la Ley impugnada contiene una regulación general de los  proyectos regionales de infraestructuras de residuos dentro de la cual se atribuye al legislador la competencia para su aprobación (apartado primero). Si el tipo de ley singular y autoaplicativa a la que llama este precepto fuera incompatible con la Constitución o con el Estatuto de Autonomía y, por tanto, inconstitucional, necesariamente lo sería también la reserva formal de ley que este apartado contiene, pues la habilitación para el dictado de leyes singulares que exceden de los límites establecidos por la Constitución incumpliría, a su vez, los límites constitucionales. Así pues, la reserva formal de ley sería, también, inconstitucional. La inconstitucionalidad declarada por esta causa no se extendería, sin embargo, a aquellos otros aspectos de la regulación legal ajenos a la competencia para la aprobación de los citados proyectos.</w:t>
      </w:r>
    </w:p>
    <w:p w:rsidR="0026452D" w:rsidRDefault="0026452D" w:rsidP="0026452D">
      <w:pPr>
        <w:pStyle w:val="TextoNormal"/>
      </w:pPr>
    </w:p>
    <w:p w:rsidR="0026452D" w:rsidRDefault="0026452D" w:rsidP="0026452D">
      <w:pPr>
        <w:pStyle w:val="TextoNormal"/>
      </w:pPr>
      <w:r>
        <w:t>Al igual que la Constitución, el Estatuto de Autonomía de Castilla y León, tanto en la redacción que estaba vigente cuando se interpuso este recurso, como en la redacción que le dio la Ley Orgánica 14/2007, de 30 de noviembre, atribuye a las Cortes autonómicas la potestad legislativa y encomienda a la Junta de Castilla y León la función ejecutiva y la potestad reglamentaria (arts. 24.1 y 28.1), pero no contiene precepto alguno que imponga a las leyes una determinada estructura. En consecuencia, resulta de plena aplicación nuestra doctrina sobre la inicial fungibilidad de las funciones normativa y ejecutiva (STC 166/1986, de 19 de diciembre, FJ 11), según la cual no existe, en principio, una reserva a la Administración autonómica del ejercicio de la función reglamentaria y administrativa.</w:t>
      </w:r>
    </w:p>
    <w:p w:rsidR="0026452D" w:rsidRDefault="0026452D" w:rsidP="0026452D">
      <w:pPr>
        <w:pStyle w:val="TextoNormal"/>
      </w:pPr>
    </w:p>
    <w:p w:rsidR="0026452D" w:rsidRDefault="0026452D" w:rsidP="0026452D">
      <w:pPr>
        <w:pStyle w:val="TextoNormal"/>
      </w:pPr>
      <w:r>
        <w:t xml:space="preserve">Pero, además, como este Tribunal ha requerido, las leyes singulares, aun cuando sean autonómicas, deben respetar los límites relativos a los derechos fundamentales, y por ello, el art. 24.1 CE. En otras palabras, las leyes de aprobación de los proyectos regionales de infraestructuras de residuos deben respetar el derecho a la tutela judicial efectiva de los titulares de derechos e intereses legítimos que se ven afectados por la aprobación de un </w:t>
      </w:r>
      <w:r>
        <w:lastRenderedPageBreak/>
        <w:t>concreto proyecto de infraestructura de residuos, lo cual, como se señaló anteriormente, es requisito necesario y suficiente para realizar las obras y poner en marcha la actividad (apartado 5 del artículo único).</w:t>
      </w:r>
    </w:p>
    <w:p w:rsidR="0026452D" w:rsidRDefault="0026452D" w:rsidP="0026452D">
      <w:pPr>
        <w:pStyle w:val="TextoNormal"/>
      </w:pPr>
    </w:p>
    <w:p w:rsidR="0026452D" w:rsidRDefault="0026452D" w:rsidP="0026452D">
      <w:pPr>
        <w:pStyle w:val="TextoNormal"/>
      </w:pPr>
      <w:r>
        <w:t>No cabe afirmar, en modo alguno, que la satisfacción del derecho a la tutela judicial efectiva de los titulares de derechos e intereses legítimos afectados por la aprobación del proyecto regional de infraestructuras de residuos requiera, necesariamente, de un pronunciamiento de los Tribunales de la jurisdicción contencioso-administrativa. Como señalamos en las ya citadas SSTC 166/1986, de 19 de diciembre, FJ 11, y 48/2005, de 3 de marzo, FJ 6, el derecho a la tutela judicial efectiva de los derechos e intereses afectados puede llevarse a cabo por el Tribunal Constitucional. Pero ello exige, en primer lugar, que sus titulares puedan acceder a este Tribunal reclamando el control de constitucionalidad de la norma legal autoaplicativa y, en segundo lugar, que el control que realice el Tribunal Constitucional sea suficiente para brindar una tutela materialmente equivalente a la que puede otorgar, frente a un acto administrativo, la jurisdicción contencioso-administrativa (STC 48/2005, de 3 de marzo, FJ 6), pues en modo alguna la reserva de ley puede servir como instrumento dirigido a evitar o disminuir la protección de los derechos e intereses legítimos amparados por la legalidad ordinaria.</w:t>
      </w:r>
    </w:p>
    <w:p w:rsidR="0026452D" w:rsidRDefault="0026452D" w:rsidP="0026452D">
      <w:pPr>
        <w:pStyle w:val="TextoNormal"/>
      </w:pPr>
    </w:p>
    <w:p w:rsidR="0026452D" w:rsidRDefault="0026452D" w:rsidP="0026452D">
      <w:pPr>
        <w:pStyle w:val="TextoNormal"/>
      </w:pPr>
      <w:r>
        <w:t>Así pues, la ley singular autoaplicativa a la que remite el apartado primero del artículo único de la Ley impugnada solo será constitucional si supera los dos requisitos enunciados Y ello determinará necesariamente la constitucionalidad o inconstitucionalidad de la reserva formal de ley que contiene este precepto.</w:t>
      </w:r>
    </w:p>
    <w:p w:rsidR="0026452D" w:rsidRDefault="0026452D" w:rsidP="0026452D">
      <w:pPr>
        <w:pStyle w:val="TextoNormal"/>
      </w:pPr>
    </w:p>
    <w:p w:rsidR="0026452D" w:rsidRDefault="0026452D" w:rsidP="0026452D">
      <w:pPr>
        <w:pStyle w:val="TextoNormal"/>
      </w:pPr>
      <w:r w:rsidRPr="0026452D">
        <w:rPr>
          <w:rStyle w:val="NumeroAFNegritaCaracter"/>
        </w:rPr>
        <w:t>6</w:t>
      </w:r>
      <w:r>
        <w:t>. Se va a examinar a continuación si concurren o no los dos requisitos enunciados en la Ley impugnada.</w:t>
      </w:r>
    </w:p>
    <w:p w:rsidR="0026452D" w:rsidRDefault="0026452D" w:rsidP="0026452D">
      <w:pPr>
        <w:pStyle w:val="TextoNormal"/>
      </w:pPr>
    </w:p>
    <w:p w:rsidR="0026452D" w:rsidRDefault="0026452D" w:rsidP="0026452D">
      <w:pPr>
        <w:pStyle w:val="TextoNormal"/>
      </w:pPr>
      <w:r>
        <w:t>a) Los titulares de derechos e intereses legítimos carecen de un recurso directo contra las leyes autoaplicativas, es decir, aquellas que no requieren del dictado de un acto administrativo de aplicación. A diferencia de las leyes no autoaplicativas que requieren de una posterior actividad administrativa de aplicación que permite al titular de derechos e intereses legítimos acceder a la jurisdicción contencioso administrativa en su defensa, en este tipo de leyes dichos interesados sólo pueden solicitar del Juez el planteamiento de la correspondiente cuestión de inconstitucionalidad ante el Tribunal Constitucional. A esta cuestión se refirió de manera puramente incidental la STC 166/1986, de 19 de diciembre, FJ 11, en la medida en que estaba resolviendo una cuestión de inconstitucionalidad que el Juez había decidido plantear ante el Tribunal Constitucional. Después, este Tribunal ha acuñado una doctrina de acuerdo con la cual suscitar la cuestión de inconstitucionalidad es una prerrogativa exclusiva e irrevisable del órgano judicial, el cual, por el mero hecho de no plantearla y de aplicar la ley que no estima inconstitucional, no lesiona, en principio, derecho fundamental alguno; de ahí que no sea posible, mediante la alegación del art. 24 CE, el control de la decisión adoptada por el Juez de no ejercer la facultad que le atribuye el art. 163 CE (por todas, STC 119/1998, de 4 de junio, FJ 6). Debemos por ello concluir que el art. 24.1 CE exige que su titular pueda instar la tutela que el precepto consagra, requisito éste que no se cumple en el caso de las leyes autoaplicativas en las que el planteamiento de la cuestión es una prerrogativa exclusiva del Juez, pero no un derecho del justiciable.</w:t>
      </w:r>
    </w:p>
    <w:p w:rsidR="0026452D" w:rsidRDefault="0026452D" w:rsidP="0026452D">
      <w:pPr>
        <w:pStyle w:val="TextoNormal"/>
      </w:pPr>
    </w:p>
    <w:p w:rsidR="0026452D" w:rsidRDefault="0026452D" w:rsidP="0026452D">
      <w:pPr>
        <w:pStyle w:val="TextoNormal"/>
      </w:pPr>
      <w:r>
        <w:lastRenderedPageBreak/>
        <w:t>b) En lo que se refiere al segundo de los requisitos, es decir, la intensidad del control que puede realizar este Tribunal sobre la Ley de aprobación del proyecto regional de infraestructuras de residuos sin desnaturalizar los límites de su jurisdicción, no cabe sino concluir que las leyes autoaplicativas, a las que remite el apartado primero del artículo único de la Ley impugnada no satisfacen este requisito. La reserva al legislador de la aplicación de la legalidad existente al caso concreto, con exclusión de la actividad que ordinariamente realiza la Administración, impide un control de la misma intensidad que el que correspondería realizar a los Tribunales de la jurisdicción contencioso-administrativa, si la actividad de ejecución se hubiera llevado a cabo por la Administración. Y es que, en modo alguno, corresponde al Tribunal Constitucional el control fáctico y de legalidad ordinaria —control de los elementos reglados de los actos de aplicación—, que, en todo caso, exige la función de aplicación de la norma al caso concreto, ello con independencia de quién la lleve a cabo.</w:t>
      </w:r>
    </w:p>
    <w:p w:rsidR="0026452D" w:rsidRDefault="0026452D" w:rsidP="0026452D">
      <w:pPr>
        <w:pStyle w:val="TextoNormal"/>
      </w:pPr>
    </w:p>
    <w:p w:rsidR="0026452D" w:rsidRDefault="0026452D" w:rsidP="0026452D">
      <w:pPr>
        <w:pStyle w:val="TextoNormal"/>
      </w:pPr>
      <w:r>
        <w:t>Para que la tutela material que el Tribunal Constitucional otorgase a los titulares de derechos e intereses legítimos afectados por la Ley de declaración del proyecto regional de infraestructuras de residuos fuera equiparable a la tutela que podría otorgarles la jurisdicción contencioso-administrativa, tendría este Tribunal que poder pronunciarse sobre la adecuación de las leyes de aprobación de estos proyectos al ordenamiento que les resulta de aplicación. Sin ánimo de ser exhaustivos, tendría este Tribunal que controlar, (i) que existe un interés supramunicipal más allá del que requiere la Ley de ordenación del territorio de Castilla y León para la aprobación por el Consejo de Gobierno de los proyectos regionales, concepto jurídico indeterminado cuya interpretación sólo admite una solución posible; (ii) tendría que controlar que se ha seguido el procedimiento administrativo establecido, lo que implica, además, comprobar la legalidad de los actos de trámite, incluida la evaluación ambiental correspondiente, cuyos vicios podrían incidir en el acto definitivo de aprobación; (iii) tendría que comprobar que el proyecto cumple la ordenación territorial y, en concreto, los requisitos establecidos en otros instrumentos de ordenación territorial de naturaleza reglamentaria, y (iv) tendría que controlar que el proyecto reúne las condiciones exigidas para la edificación y las medioambientales para el ejercicio de la actividad calificada que supone una infraestructura de residuos. Todos ellos aspectos de mera legalidad ordinaria que exceden manifiestamente de la función que tiene encomendada este Tribunal.</w:t>
      </w:r>
    </w:p>
    <w:p w:rsidR="0026452D" w:rsidRDefault="0026452D" w:rsidP="0026452D">
      <w:pPr>
        <w:pStyle w:val="TextoNormal"/>
      </w:pPr>
    </w:p>
    <w:p w:rsidR="0026452D" w:rsidRDefault="0026452D" w:rsidP="0026452D">
      <w:pPr>
        <w:pStyle w:val="TextoNormal"/>
      </w:pPr>
      <w:r w:rsidRPr="0026452D">
        <w:rPr>
          <w:rStyle w:val="NumeroAFNegritaCaracter"/>
        </w:rPr>
        <w:t>7</w:t>
      </w:r>
      <w:r>
        <w:t>. A mayor abundamiento, tal y como hemos afirmado en reiteradas ocasiones, no corresponde a este Tribunal, sino a la jurisdicción ordinaria, el control del cumplimiento del Derecho comunitario que afecta de forma muy relevante a los proyectos regionales de infraestructuras de residuos, dada la repercusión que este tipo de infraestructuras de residuos tienen sobre el medio ambiente. De hecho, el Tribunal de Justicia de la Unión Europea, en su Sentencia de 18 de octubre de 2011 (</w:t>
      </w:r>
      <w:r w:rsidRPr="0026452D">
        <w:rPr>
          <w:i/>
        </w:rPr>
        <w:t>Boxus v. Région wallone</w:t>
      </w:r>
      <w:r>
        <w:t xml:space="preserve">, asuntos acumulados C-128/2009 a C-134/2009 y C-135/2009), ha tenido ocasión de pronunciarse sobre la aplicación del art. 9, apartado 2, del Convenio europeo de 25 de junio de 1998 sobre el acceso a la información, la participación del público en la toma de decisiones y el acceso a la justicia en materia de medio ambiente, y la Directiva 85/337, en su versión modificada por la Directiva 2003/35, cuando los proyectos con especial repercusión sobre el medio ambiente son aprobados por el legislador en lugar de por la Administración. En este caso, el Tribunal de Justicia exige que se someta a un órgano jurisdiccional, que pueda dejar sin aplicación dicho acto legislativo, si la ley reúne los requisitos exigidos por la normativa comunitaria. En concreto, es necesario que un Tribunal juzgue si “el proyecto debe además adoptarse en </w:t>
      </w:r>
      <w:r>
        <w:lastRenderedPageBreak/>
        <w:t xml:space="preserve">detalle, a saber, de manera suficientemente precisa y definitiva, de suerte que el acto legislativo que lo adopte contenga, al igual que una autorización, todos los datos pertinentes para la evaluación de sus repercusiones sobre el medio ambiente, una vez tomados en consideración por el legislador (STJUE </w:t>
      </w:r>
      <w:r w:rsidRPr="0026452D">
        <w:rPr>
          <w:i/>
        </w:rPr>
        <w:t>WWF y otros</w:t>
      </w:r>
      <w:r>
        <w:t>, de 16 de septiembre de 1999, apartado 59). El acto legislativo debe, pues, acreditar que los objetivos de la Directiva 85/337 se han alcanzado en lo que respecta al proyecto en cuestión” (considerando 39). Pero, además, el Tribunal debe comprobar que el legislador ha dispuesto de la información suficiente en el momento de aprobar el proyecto, para lo que debe tener en cuenta tanto el contenido del acto legislativo adoptado como el conjunto del procedimiento legislativo que condujo a su adopción, y en particular los trabajos preparatorios y los debates parlamentarios (considerandos 44 y 47). Este control de legalidad que impone el Derecho europeo escapa, sin duda alguna, en la actualidad, a la función que puede desempeñar el Tribunal Constitucional.</w:t>
      </w:r>
    </w:p>
    <w:p w:rsidR="0026452D" w:rsidRDefault="0026452D" w:rsidP="0026452D">
      <w:pPr>
        <w:pStyle w:val="TextoNormal"/>
      </w:pPr>
    </w:p>
    <w:p w:rsidR="0026452D" w:rsidRDefault="0026452D" w:rsidP="0026452D">
      <w:pPr>
        <w:pStyle w:val="TextoNormal"/>
      </w:pPr>
      <w:r>
        <w:t>Constatada la vulneración del art. 24.1 CE, debemos declarar la inconstitucionalidad de la reserva de ley formal para la aprobación del proyecto regional de infraestructuras de residuos que contiene el primer apartado del artículo único de la Ley 9/2002, de 10 de julio. La inconstitucionalidad y nulidad así declarada debe extenderse a las menciones que contienen el primer y segundo párrafo del apartado dos a la Ley de aprobación del proyecto regional de infraestructuras de residuos. Debemos asimismo declarar la inconstitucionalidad de la disposición transitoria, en cuanto se refiere a los efectos que produce sobre los proyectos regionales que hubieran iniciado su tramitación al amparo de la Ley de ordenación del territorio de Castilla y León, su aprobación por ley.</w:t>
      </w:r>
    </w:p>
    <w:p w:rsidR="0026452D" w:rsidRDefault="0026452D" w:rsidP="0026452D">
      <w:pPr>
        <w:pStyle w:val="TextoNormal"/>
      </w:pPr>
    </w:p>
    <w:p w:rsidR="0026452D" w:rsidRDefault="0026452D" w:rsidP="0026452D">
      <w:pPr>
        <w:pStyle w:val="TextoNormal"/>
      </w:pPr>
      <w:r>
        <w:t>Por las mismas razones procede, también, declarar la inconstitucionalidad de la disposición adicional de la Ley 9/2002, de 10 de julio, pues contiene una ley autoaplicativa que vulnera el derecho fundamental a la tutela judicial efectiva de los derechos e intereses legítimos afectados por la declaración de proyectos regionales de infraestructuras de residuos de la planta de transferencia, de tratamiento físico-químico y depósito de seguridad ubicado en el término municipal de Santovenia de Pisuerga.</w:t>
      </w:r>
    </w:p>
    <w:p w:rsidR="0026452D" w:rsidRDefault="0026452D" w:rsidP="0026452D">
      <w:pPr>
        <w:pStyle w:val="TextoNormal"/>
      </w:pPr>
    </w:p>
    <w:p w:rsidR="0026452D" w:rsidRDefault="0026452D" w:rsidP="0026452D">
      <w:pPr>
        <w:pStyle w:val="TextoNormal"/>
      </w:pPr>
      <w:r w:rsidRPr="0026452D">
        <w:rPr>
          <w:rStyle w:val="NumeroAFNegritaCaracter"/>
        </w:rPr>
        <w:t>8</w:t>
      </w:r>
      <w:r>
        <w:t>. Han sido también impugnados los apartados 2, 3, 4 y 5 del artículo único de la Ley 9/2002, pues entienden los recurrentes que vulneran tanto la garantía de la autonomía local como la legislación básica del Estado. Alegan que al haberse eliminado la necesidad de obtener las correspondientes autorizaciones y licencias, los municipios han sido desposeídos de las competencias urbanísticas y medioambientales que forman parte de la autonomía local constitucionalmente garantizada. Alegan también que la supresión de las citadas licencias infringe la legislación estatal básica de régimen local y el art. 29.1 de la Ley 16/2002, de 1 de julio, de prevención y control integrado de la contaminación, que atribuye a los municipios la competencia en materia de licencias de actividades clasificadas. Por su parte, el Letrado de la Junta se opone a ello, pues considera que la autonomía local no es un concepto ilimitado y que, en modo alguno, la ley estatal de prevención y control integrado de la contaminación atribuye a los municipios la competencia que los demandantes invocan.</w:t>
      </w:r>
    </w:p>
    <w:p w:rsidR="0026452D" w:rsidRDefault="0026452D" w:rsidP="0026452D">
      <w:pPr>
        <w:pStyle w:val="TextoNormal"/>
      </w:pPr>
    </w:p>
    <w:p w:rsidR="0026452D" w:rsidRDefault="0026452D" w:rsidP="0026452D">
      <w:pPr>
        <w:pStyle w:val="TextoNormal"/>
      </w:pPr>
      <w:r>
        <w:t xml:space="preserve">Tal y como afirman, entre otras, las SSTC 40/1998, de 19 de febrero, FJ 39; 204/2002, de 31 de octubre, FJ 13; y 103/2013, de 25 de abril, FJ 6, la autonomía local prevista en los arts. 137 y 140 CE se configura como una garantía institucional con un contenido mínimo que el legislador debe respetar, y que se concreta en el derecho de la comunidad local a </w:t>
      </w:r>
      <w:r>
        <w:lastRenderedPageBreak/>
        <w:t>participar, a través de órganos propios, en la administración de cuantos asuntos les afectan, en función de la relación existente entre los intereses locales y supralocales.</w:t>
      </w:r>
    </w:p>
    <w:p w:rsidR="0026452D" w:rsidRDefault="0026452D" w:rsidP="0026452D">
      <w:pPr>
        <w:pStyle w:val="TextoNormal"/>
      </w:pPr>
    </w:p>
    <w:p w:rsidR="0026452D" w:rsidRDefault="0026452D" w:rsidP="0026452D">
      <w:pPr>
        <w:pStyle w:val="TextoNormal"/>
      </w:pPr>
      <w:r>
        <w:t>Asimismo, hemos señalado que, aunque el urbanismo se encuentra entre los asuntos de interés de los municipios y, dentro de él, la competencia para asegurar que los usos del suelo se acomodan a la ley y a los planes de ordenación urbana, y que el art. 84.1 b) de la Ley 7/1985, de 2 de abril, reguladora de las bases de régimen local, somete la actividad de los ciudadanos y de las Administraciones públicas a licencia y a otros actos de control preventivo, no supone una intromisión ilegítima en la autonomía local que, concurriendo razones que lo justifiquen, el legislador garantice la participación o intervención del municipio por otros medios, que es lo que exige la garantía institucional de la autonomía local. Más recientemente hemos señalado que la sustitución de la preceptiva licencia municipal por la emisión de un informe sobre la conformidad o disconformidad de tales proyectos con el planeamiento territorial o urbanístico en vigor, no implica necesariamente que esa sustitución sea disconforme con la autonomía local (ATC 9/2013, de 15 de enero, FJ 5, con cita del ATC 251/2009, de 13 de octubre, FJ 3).</w:t>
      </w:r>
    </w:p>
    <w:p w:rsidR="0026452D" w:rsidRDefault="0026452D" w:rsidP="0026452D">
      <w:pPr>
        <w:pStyle w:val="TextoNormal"/>
      </w:pPr>
    </w:p>
    <w:p w:rsidR="0026452D" w:rsidRDefault="0026452D" w:rsidP="0026452D">
      <w:pPr>
        <w:pStyle w:val="TextoNormal"/>
      </w:pPr>
      <w:r>
        <w:t>Debe asimismo tenerse en cuenta que, en el caso de actividades de los particulares, la autonomía local no impide necesariamente la sustitución de la licencia por el informe municipal. Así, en el ATC 9/2013, de 15 de enero, FJ 5, señalamos que la eliminación, por medio de una ley autonómica, de la licencia urbanística para las instalaciones de generación, transporte y distribución de electricidad, en supuestos de urgencia o excepcional interés público, no lesionaba la autonomía local, pues las actividades de los particulares destinadas al suministro de energía eléctrica tienen el carácter de servicio esencial y las necesidades ordinarias de mejora de las prestaciones del sector eléctrico se satisfacen a través de la técnica de planificación eléctrica; por ello, la introducción del procedimiento excepcional sólo es posible cuando la necesidad de garantizar el suministro no se pueda satisfacer con la aplicación de los citados instrumentos de planificación.</w:t>
      </w:r>
    </w:p>
    <w:p w:rsidR="0026452D" w:rsidRDefault="0026452D" w:rsidP="0026452D">
      <w:pPr>
        <w:pStyle w:val="TextoNormal"/>
      </w:pPr>
    </w:p>
    <w:p w:rsidR="0026452D" w:rsidRDefault="0026452D" w:rsidP="0026452D">
      <w:pPr>
        <w:pStyle w:val="TextoNormal"/>
      </w:pPr>
      <w:r>
        <w:t>En aplicación de la doctrina anteriormente expuesta, debe concluirse que la exención de licencias y autorizaciones urbanísticas y ambientales para este tipo de proyectos de infraestructuras de residuos no vulnera la autonomía local. En primer lugar porque, aun cuando los proyectos de interés regional no son necesariamente obras públicas autonómicas, ya que pueden ser promovidas por particulares (art. 24 de la Ley de ordenación del territorio de Castilla y León), la Administración debe garantizar la prestación de la actividad de gestión de los residuos, pues tanto la Ley 10/1998, de 21 de abril, de ordenación del territorio, vigente cuando se aprobó la Ley impugnada, como la Ley 22/2011, de 28 de julio, de residuos y suelos contaminados, atribuyen respectivamente esta competencia a las entidades locales y las Comunidades Autónomas. En segundo lugar, porque la participación previa de los municipios afectados se garantiza con la exigencia de informe dentro del procedimiento administrativo que precede a la aprobación del proyecto de singular interés de la Comunidad Autónoma (art. 24 de la Ley de ordenación del territorio). Y, finalmente, porque los proyectos de infraestructuras de residuos de singular interés regional revisten un carácter excepcional, pues exigen la concurrencia de un interés singular que va más allá del mero interés supramunicipal que concurre en el resto de proyectos regionales regulados en la Ley 10/1998, para los que el art. 22.5 de esta Ley no excluye la obtención de licencia.</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9</w:t>
      </w:r>
      <w:r>
        <w:t xml:space="preserve">. En cuanto a la alegación de la inconstitucionalidad de la eliminación de las licencias y autorizaciones municipales por vulneración de la normativa básica estatal, debemos tener en cuenta que la verificación de si un acto o una norma incurren en un posible exceso competencial ha de hacerse de acuerdo con las reglas que operan como parámetro de enjuiciamiento que estén vigentes en el momento de dictar Sentencia (por todas STC 59/2013, de 13 de marzo, FJ 2, conforme a nuestra doctrina sobre el </w:t>
      </w:r>
      <w:r w:rsidRPr="0026452D">
        <w:rPr>
          <w:i/>
        </w:rPr>
        <w:t>ius superveniens</w:t>
      </w:r>
      <w:r>
        <w:t>).</w:t>
      </w:r>
    </w:p>
    <w:p w:rsidR="0026452D" w:rsidRDefault="0026452D" w:rsidP="0026452D">
      <w:pPr>
        <w:pStyle w:val="TextoNormal"/>
      </w:pPr>
    </w:p>
    <w:p w:rsidR="0026452D" w:rsidRDefault="0026452D" w:rsidP="0026452D">
      <w:pPr>
        <w:pStyle w:val="TextoNormal"/>
      </w:pPr>
      <w:r>
        <w:t>Se alega, en primer lugar, la vulneración del art. 84.1 b) de la Ley 7/1985, de 2 de abril, reguladora de las bases de régimen local, precepto que tras su modificación por la Ley 25/2009, de 22 de diciembre, de modificación de diversas leyes para su adaptación a la Ley sobre el libre acceso a las actividades de servicios y su ejercicio, regula los diferentes títulos de intervención de las entidades locales en la actividad de los ciudadanos y prevé que las licencias otorgadas por otras Administraciones públicas, no eximen a sus titulares de obtener las correspondientes licencias de las entidades locales, respetándose en todo caso lo dispuesto en las leyes sectoriales. Corresponde, pues, a la regulación sectorial la concreción de los instrumentos de intervención municipal para cada tipo de actividad. Así la sustitución de la licencia por el informe previo no podría vulnerar la legislación básica estatal sino, en su caso, la correspondiente norma sectorial, estatal o autonómica, que regulara las licencias u otras formas de intervención en este ámbito.</w:t>
      </w:r>
    </w:p>
    <w:p w:rsidR="0026452D" w:rsidRDefault="0026452D" w:rsidP="0026452D">
      <w:pPr>
        <w:pStyle w:val="TextoNormal"/>
      </w:pPr>
    </w:p>
    <w:p w:rsidR="0026452D" w:rsidRDefault="0026452D" w:rsidP="0026452D">
      <w:pPr>
        <w:pStyle w:val="TextoNormal"/>
      </w:pPr>
      <w:r>
        <w:t>Por otra parte, el art. 29.1 de la Ley 16/2002, de prevención y control integrado de la contaminación, que ha sido modificado por el art. 30.3 del Real Decreto-ley 8/2011, de 1 de julio, establece que el procedimiento para el otorgamiento de la autorización ambiental integrada sustituirá a los medios de intervención administrativa en la actividad de los ciudadanos que puedan establecer las Administraciones competentes para el ejercicio de actividades molestas, insalubres, nocivas y peligrosas, por lo que cabe descartar la infracción alegada de la legislación estatal básica.</w:t>
      </w:r>
    </w:p>
    <w:p w:rsidR="0026452D" w:rsidRDefault="0026452D" w:rsidP="0026452D">
      <w:pPr>
        <w:pStyle w:val="TextoNormal"/>
      </w:pPr>
    </w:p>
    <w:p w:rsidR="0026452D" w:rsidRDefault="0026452D" w:rsidP="0026452D">
      <w:pPr>
        <w:pStyle w:val="TextoNormal"/>
      </w:pPr>
      <w:r w:rsidRPr="0026452D">
        <w:rPr>
          <w:rStyle w:val="NumeroAFNegritaCaracter"/>
        </w:rPr>
        <w:t>10</w:t>
      </w:r>
      <w:r>
        <w:t>. Debemos finalmente dar respuesta a la alegación de los recurrentes, según la cual, la tramitación de la Ley por el procedimiento de lectura única habría conculcado el principio democrático y vulnerado los derechos de participación política a través de representantes, al haberse recurrido de forma inadecuada a un procedimiento especial que limita el debate público e impide la integración de las propuestas de las minorías.</w:t>
      </w:r>
    </w:p>
    <w:p w:rsidR="0026452D" w:rsidRDefault="0026452D" w:rsidP="0026452D">
      <w:pPr>
        <w:pStyle w:val="TextoNormal"/>
      </w:pPr>
    </w:p>
    <w:p w:rsidR="0026452D" w:rsidRDefault="0026452D" w:rsidP="0026452D">
      <w:pPr>
        <w:pStyle w:val="TextoNormal"/>
      </w:pPr>
      <w:r>
        <w:t>Tal y como tenemos afirmado, el principio democrático consagrado por nuestra Constitución (art. 1.1 CE) impone que la formación de la voluntad se articule a través de un procedimiento en el que opera el principio mayoritario y, por tanto, la consecución de una determinada mayoría como fórmula para la integración de voluntades concurrentes [SSTC 136/2011, de 13 de septiembre, FJ 5; 176/2011, de 8 de noviembre, FJ 2 c) y 209/2012, 14 de noviembre, FJ 2]. Por otra parte, hemos declarado que el derecho fundamental del art. 23.2 CE es un derecho de configuración legal, y que esa configuración corresponde a los reglamentos parlamentarios, a los que compete regular y ordenar los derechos y atribuciones que ostentan sus miembros (STC 27/2000, de 31 de enero, FJ 4).</w:t>
      </w:r>
    </w:p>
    <w:p w:rsidR="0026452D" w:rsidRDefault="0026452D" w:rsidP="0026452D">
      <w:pPr>
        <w:pStyle w:val="TextoNormal"/>
      </w:pPr>
    </w:p>
    <w:p w:rsidR="0026452D" w:rsidRDefault="0026452D" w:rsidP="0026452D">
      <w:pPr>
        <w:pStyle w:val="TextoNormal"/>
      </w:pPr>
      <w:r>
        <w:t xml:space="preserve">El art. 128 del Reglamento de las Cortes de Castilla y León, vigente cuando se tramitó la Ley impugnada (art. 130 tras su reforma por la resolución de 11 de mayo de 2005), prevé un procedimiento de tramitación en lectura única. Este consiste en un debate sujeto a las </w:t>
      </w:r>
      <w:r>
        <w:lastRenderedPageBreak/>
        <w:t>normas establecidas para los de totalidad, que irá seguido de una sola votación. Si el resultado de la votación es favorable, será aprobado; en caso contrario, rechazado. Por ello, las lesiones denunciadas solo podrían traer causa del incumplimiento de los supuestos en los que el Reglamento parlamentario permite acudir a este procedimiento excepcional, esto es, cuando su naturaleza lo aconseje o la simplicidad de su formulación lo permita. Los recurrentes no han formulado queja alguna relativa a que durante el transcurso del debate sobre la totalidad, se haya impedido la representación o se hayan adoptado decisiones que contraríen la naturaleza de la representación.</w:t>
      </w:r>
    </w:p>
    <w:p w:rsidR="0026452D" w:rsidRDefault="0026452D" w:rsidP="0026452D">
      <w:pPr>
        <w:pStyle w:val="TextoNormal"/>
      </w:pPr>
    </w:p>
    <w:p w:rsidR="0026452D" w:rsidRDefault="0026452D" w:rsidP="0026452D">
      <w:pPr>
        <w:pStyle w:val="TextoNormal"/>
      </w:pPr>
      <w:r>
        <w:t>Como quiera que este Tribunal sólo puede realizar un control negativo, pues no le es dado reemplazar la voluntad de la Mesa de las Cortes al proponer la tramitación por el procedimiento de lectura única, ni la del Pleno que debe aprobarlo, debemos rechazar las vulneraciones alegadas. No resulta arbitrario interpretar, y para ello basta con la lectura de la Ley impugnada que consta de un artículo único con seis apartados, una disposición transitoria, una disposición final y una disposición adicional, que ésta reviste la característica exigida por el Reglamento de las Cortes relativa a “la simplicidad de su formulación”. Este concepto jurídico indeterminado es, por otra parte, totalmente ajeno, en contra de lo que afirman los recurrentes, al consenso político que pudiera suscitar el proyecto de ley, a la repercusión pública que éste pueda tener, o a la complejidad material intrínseca que supone la función administrativa de aplicación del ordenamiento jurídico, que no se ha trasladado en modo alguno a la formulación de la ley. Tal y como se puso de manifiesto en el debate plenario (“Diario de Sesiones de las Cortes de Castilla y León”, año 2002, V Legislatura, núm. 75 págs. 4174 y ss.), la cuestión discutida era la habilitación al legislador para la aprobación de este tipo de proyectos regionales y la convalidación, por la mencionada ley, de las infraestructuras de gestión de residuos ubicadas en Santovenia de Pisuerga. Ello no hace sino confirmar la simplicidad de la formulación de la Ley impugnada.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parcialmente el presente recurso de inconstitucionalidad interpuesto frente a la Ley de las Cortes de Castilla y León 9/2002, de 10 de julio, para la declaración de proyectos regionales de infraestructuras de residuos de singular interés para la Comunidad y, en consecuencia:</w:t>
      </w:r>
    </w:p>
    <w:p w:rsidR="0026452D" w:rsidRDefault="0026452D" w:rsidP="0026452D">
      <w:pPr>
        <w:pStyle w:val="TextoNormal"/>
      </w:pPr>
    </w:p>
    <w:p w:rsidR="0026452D" w:rsidRDefault="0026452D" w:rsidP="0026452D">
      <w:pPr>
        <w:pStyle w:val="TextoNormal"/>
      </w:pPr>
      <w:r>
        <w:t>1º Declarar la inconstitucionalidad y nulidad:</w:t>
      </w:r>
    </w:p>
    <w:p w:rsidR="0026452D" w:rsidRDefault="0026452D" w:rsidP="0026452D">
      <w:pPr>
        <w:pStyle w:val="TextoNormal"/>
      </w:pPr>
    </w:p>
    <w:p w:rsidR="0026452D" w:rsidRDefault="0026452D" w:rsidP="0026452D">
      <w:pPr>
        <w:pStyle w:val="TextoNormal"/>
      </w:pPr>
      <w:r>
        <w:t>a) De la reserva formal de ley para la aprobación del proyecto de especial interés regional que contiene el apartado primero del artículo único.</w:t>
      </w:r>
    </w:p>
    <w:p w:rsidR="0026452D" w:rsidRDefault="0026452D" w:rsidP="0026452D">
      <w:pPr>
        <w:pStyle w:val="TextoNormal"/>
      </w:pPr>
    </w:p>
    <w:p w:rsidR="0026452D" w:rsidRDefault="0026452D" w:rsidP="0026452D">
      <w:pPr>
        <w:pStyle w:val="TextoNormal"/>
      </w:pPr>
      <w:r>
        <w:t>b) De las referencias contenidas en los párrafos primero y segundo del apartado segundo del artículo único a la declaración por ley de proyectos regionales de infraestructuras de residuos de singular interés para la Comunidad.</w:t>
      </w:r>
    </w:p>
    <w:p w:rsidR="0026452D" w:rsidRDefault="0026452D" w:rsidP="0026452D">
      <w:pPr>
        <w:pStyle w:val="TextoNormal"/>
      </w:pPr>
    </w:p>
    <w:p w:rsidR="0026452D" w:rsidRDefault="0026452D" w:rsidP="0026452D">
      <w:pPr>
        <w:pStyle w:val="TextoNormal"/>
      </w:pPr>
      <w:r>
        <w:t>c) De la disposición transitoria.</w:t>
      </w:r>
    </w:p>
    <w:p w:rsidR="0026452D" w:rsidRDefault="0026452D" w:rsidP="0026452D">
      <w:pPr>
        <w:pStyle w:val="TextoNormal"/>
      </w:pPr>
    </w:p>
    <w:p w:rsidR="0026452D" w:rsidRDefault="0026452D" w:rsidP="0026452D">
      <w:pPr>
        <w:pStyle w:val="TextoNormal"/>
      </w:pPr>
      <w:r>
        <w:t>d) De la disposición adicional.</w:t>
      </w:r>
    </w:p>
    <w:p w:rsidR="0026452D" w:rsidRDefault="0026452D" w:rsidP="0026452D">
      <w:pPr>
        <w:pStyle w:val="TextoNormal"/>
      </w:pPr>
    </w:p>
    <w:p w:rsidR="0026452D" w:rsidRDefault="0026452D" w:rsidP="0026452D">
      <w:pPr>
        <w:pStyle w:val="TextoNormal"/>
      </w:pPr>
      <w:r>
        <w:t>2º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cuatro de junio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33" w:name="SENTENCIA_2013_130"/>
      <w:r>
        <w:lastRenderedPageBreak/>
        <w:t>SENTENCIA 130/2013, de 4 de junio de 2013</w:t>
      </w:r>
    </w:p>
    <w:bookmarkEnd w:id="133"/>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157, de 2 de julio de 2013)</w:t>
      </w:r>
    </w:p>
    <w:p w:rsidR="0026452D" w:rsidRDefault="0026452D" w:rsidP="0026452D">
      <w:pPr>
        <w:pStyle w:val="TtuloBOE"/>
      </w:pPr>
    </w:p>
    <w:p w:rsidR="0026452D" w:rsidRDefault="0026452D" w:rsidP="0026452D">
      <w:pPr>
        <w:pStyle w:val="SntesisDescriptiva"/>
      </w:pPr>
      <w:r>
        <w:t>ECLI:ES:TC:2013:130</w:t>
      </w:r>
    </w:p>
    <w:p w:rsidR="0026452D" w:rsidRDefault="0026452D" w:rsidP="0026452D">
      <w:pPr>
        <w:pStyle w:val="SntesisDescriptiva"/>
      </w:pPr>
    </w:p>
    <w:p w:rsidR="0026452D" w:rsidRDefault="0026452D" w:rsidP="0026452D">
      <w:pPr>
        <w:pStyle w:val="SntesisDescriptiva"/>
      </w:pPr>
      <w:r>
        <w:t>Recurso de inconstitucionalidad 931-2004. Interpuesto por el Gobierno de Aragón en relación con diversos preceptos de la Ley 38/2003, de 17 de noviembre, general de subvenciones.</w:t>
      </w:r>
    </w:p>
    <w:p w:rsidR="0026452D" w:rsidRDefault="0026452D" w:rsidP="0026452D">
      <w:pPr>
        <w:pStyle w:val="SntesisDescriptiva"/>
      </w:pPr>
    </w:p>
    <w:p w:rsidR="0026452D" w:rsidRDefault="0026452D" w:rsidP="0026452D">
      <w:pPr>
        <w:pStyle w:val="SntesisAnaltica"/>
      </w:pPr>
      <w:r>
        <w:t>Competencias sobre ordenación general de la economía, hacienda pública y procedimiento administrativo: interpretación conforme con la Constitución de varios preceptos legales. Voto particular.</w:t>
      </w:r>
    </w:p>
    <w:p w:rsidR="0026452D" w:rsidRDefault="0026452D" w:rsidP="0026452D">
      <w:pPr>
        <w:pStyle w:val="SntesisAnaltica"/>
      </w:pPr>
    </w:p>
    <w:p w:rsidR="0026452D" w:rsidRDefault="0026452D" w:rsidP="0026452D">
      <w:pPr>
        <w:pStyle w:val="Extracto"/>
      </w:pPr>
      <w:r>
        <w:t>1.</w:t>
      </w:r>
      <w:r>
        <w:tab/>
        <w:t>El art. 149.1.13 CE atribuye al Estado una competencia para la ordenación general de la economía que abarca la definición de las líneas de actuación tendentes a alcanzar los objetivos de política económica global o sectorial fijados por la propia Constitución, así como la adopción de las medidas precisas para garantizar la realización de los mismos, lo que presupone la existencia de competencias autonómicas, que deben ser respetadas (SSTC 186/1988, 197/1996)  [FJ 5].</w:t>
      </w:r>
    </w:p>
    <w:p w:rsidR="0026452D" w:rsidRDefault="0026452D" w:rsidP="0026452D">
      <w:pPr>
        <w:pStyle w:val="Extracto"/>
      </w:pPr>
    </w:p>
    <w:p w:rsidR="0026452D" w:rsidRDefault="0026452D" w:rsidP="0026452D">
      <w:pPr>
        <w:pStyle w:val="Extracto"/>
      </w:pPr>
      <w:r>
        <w:t>2.</w:t>
      </w:r>
      <w:r>
        <w:tab/>
        <w:t xml:space="preserve">El título sobre la hacienda general, </w:t>
      </w:r>
      <w:r w:rsidRPr="0026452D">
        <w:rPr>
          <w:i/>
        </w:rPr>
        <w:t>ex</w:t>
      </w:r>
      <w:r>
        <w:t xml:space="preserve"> art. 149.1.14 CE, permite el Estado regular íntegramente su propia hacienda, así como establecer las instituciones comunes a las distintas haciendas y las medidas para su coordinación y para subvenir a su suficiencia, lo que no es obstáculo para que deba admitirse que la Hacienda privativa de las Comunidades Autónomas es materia propia de dichas Comunidades, pues la organización de la propia hacienda es una exigencia previa o paralela a la propia organización autonómica (SSTC 14/1986, 233/1999, 192/2000) [FJ 5].</w:t>
      </w:r>
    </w:p>
    <w:p w:rsidR="0026452D" w:rsidRDefault="0026452D" w:rsidP="0026452D">
      <w:pPr>
        <w:pStyle w:val="Extracto"/>
      </w:pPr>
    </w:p>
    <w:p w:rsidR="0026452D" w:rsidRDefault="0026452D" w:rsidP="0026452D">
      <w:pPr>
        <w:pStyle w:val="Extracto"/>
      </w:pPr>
      <w:r>
        <w:t>3.</w:t>
      </w:r>
      <w:r>
        <w:tab/>
        <w:t xml:space="preserve">Dado que la actividad de gasto la desarrollan las Administraciones públicas, no resulta fácil deslindar las normas de simple régimen jurídico de las Administraciones públicas que el Estado puede establecer </w:t>
      </w:r>
      <w:r w:rsidRPr="0026452D">
        <w:rPr>
          <w:i/>
        </w:rPr>
        <w:t>ex</w:t>
      </w:r>
      <w:r>
        <w:t xml:space="preserve"> art. 149.1.18 CE de las normas comunes sobre el gasto público subvencional que el Estado puede dictar al amparo del art. 149.1.14 CE, por lo que para proceder a una calificación competencial correcta deberá estarse tanto al sentido o finalidad de los títulos competenciales en juego como al contenido del propio precepto controvertido (STC 153/1989) [FJ 5].</w:t>
      </w:r>
    </w:p>
    <w:p w:rsidR="0026452D" w:rsidRDefault="0026452D" w:rsidP="0026452D">
      <w:pPr>
        <w:pStyle w:val="Extracto"/>
      </w:pPr>
    </w:p>
    <w:p w:rsidR="0026452D" w:rsidRDefault="0026452D" w:rsidP="0026452D">
      <w:pPr>
        <w:pStyle w:val="Extracto"/>
      </w:pPr>
      <w:r>
        <w:t>4.</w:t>
      </w:r>
      <w:r>
        <w:tab/>
        <w:t>Corresponde al Estado regular no sólo el régimen jurídico de la ordenación de los gastos de la Administración del Estado, sino también el establecimiento de las normas y principios comunes de la actividad financiera de las distintas haciendas que tiendan a asegurar los principios constitucionales que han de regir el gasto público (STC 134/2011) [FJ 5].</w:t>
      </w:r>
    </w:p>
    <w:p w:rsidR="0026452D" w:rsidRDefault="0026452D" w:rsidP="0026452D">
      <w:pPr>
        <w:pStyle w:val="Extracto"/>
      </w:pPr>
    </w:p>
    <w:p w:rsidR="0026452D" w:rsidRDefault="0026452D" w:rsidP="0026452D">
      <w:pPr>
        <w:pStyle w:val="Extracto"/>
      </w:pPr>
      <w:r>
        <w:t>5.</w:t>
      </w:r>
      <w:r>
        <w:tab/>
        <w:t xml:space="preserve">El Estado puede establecer, desde la competencia sobre bases del régimen jurídico de las Administraciones públicas del art. 149.1.18 CE, principios y reglas básicas </w:t>
      </w:r>
      <w:r>
        <w:lastRenderedPageBreak/>
        <w:t>sobre aspectos organizativos y de funcionamiento de todas las Administraciones públicas [FJ 6].</w:t>
      </w:r>
    </w:p>
    <w:p w:rsidR="0026452D" w:rsidRDefault="0026452D" w:rsidP="0026452D">
      <w:pPr>
        <w:pStyle w:val="Extracto"/>
      </w:pPr>
    </w:p>
    <w:p w:rsidR="0026452D" w:rsidRDefault="0026452D" w:rsidP="0026452D">
      <w:pPr>
        <w:pStyle w:val="Extracto"/>
      </w:pPr>
      <w:r>
        <w:t>6.</w:t>
      </w:r>
      <w:r>
        <w:tab/>
        <w:t>El objetivo fundamental de la legislación básica en materia de régimen jurídico de las Administraciones públicas es el de garantizar a los administrados un tratamiento común ante ellas por lo que cuanto menor sea la posibilidad de incidencia externa de las cuestiones reguladas por los preceptos impugnados, más remota resultará la necesidad de asegurar ese tratamiento común y mayor relieve y amplitud adquirirá la capacidad de las Comunidades Autónomas de organizar su propia Administración (STC 50/1999) [FJ 6].</w:t>
      </w:r>
    </w:p>
    <w:p w:rsidR="0026452D" w:rsidRDefault="0026452D" w:rsidP="0026452D">
      <w:pPr>
        <w:pStyle w:val="Extracto"/>
      </w:pPr>
    </w:p>
    <w:p w:rsidR="0026452D" w:rsidRDefault="0026452D" w:rsidP="0026452D">
      <w:pPr>
        <w:pStyle w:val="Extracto"/>
      </w:pPr>
      <w:r>
        <w:t>7.</w:t>
      </w:r>
      <w:r>
        <w:tab/>
        <w:t>Doctrina sobre el carácter básico de las regulaciones que tiene por finalidad asegurar la eficacia y eficiencia de las subvenciones, la asignación equitativa de los recursos públicos y la transparencia y el control en el ejercicio de la potestad subvenciona (SSTC 89/2012, 99/2012) [FJ 6].</w:t>
      </w:r>
    </w:p>
    <w:p w:rsidR="0026452D" w:rsidRDefault="0026452D" w:rsidP="0026452D">
      <w:pPr>
        <w:pStyle w:val="Extracto"/>
      </w:pPr>
    </w:p>
    <w:p w:rsidR="0026452D" w:rsidRDefault="0026452D" w:rsidP="0026452D">
      <w:pPr>
        <w:pStyle w:val="Extracto"/>
      </w:pPr>
      <w:r>
        <w:t>8.</w:t>
      </w:r>
      <w:r>
        <w:tab/>
        <w:t>Tanto cuando las bases responden a la necesidad de garantizar un tratamiento común a los administrados como a la consecución de otros intereses generales, el Estado no puede establecer el común denominador normativo que encierran las bases con un grado tal de detalle y de forma tan acabada que prácticamente impida la adopción por parte de las Comunidades Autónomas de políticas propias en la materia mediante el ejercicio de sus competencias de desarrollo legislativo (SSTC 49/1988, 197/1996) [FJ 6].</w:t>
      </w:r>
    </w:p>
    <w:p w:rsidR="0026452D" w:rsidRDefault="0026452D" w:rsidP="0026452D">
      <w:pPr>
        <w:pStyle w:val="Extracto"/>
      </w:pPr>
    </w:p>
    <w:p w:rsidR="0026452D" w:rsidRDefault="0026452D" w:rsidP="0026452D">
      <w:pPr>
        <w:pStyle w:val="Extracto"/>
      </w:pPr>
      <w:r>
        <w:t>9.</w:t>
      </w:r>
      <w:r>
        <w:tab/>
        <w:t>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 (STC 227/1988) [FJ 7].</w:t>
      </w:r>
    </w:p>
    <w:p w:rsidR="0026452D" w:rsidRDefault="0026452D" w:rsidP="0026452D">
      <w:pPr>
        <w:pStyle w:val="Extracto"/>
      </w:pPr>
    </w:p>
    <w:p w:rsidR="0026452D" w:rsidRDefault="0026452D" w:rsidP="0026452D">
      <w:pPr>
        <w:pStyle w:val="Extracto"/>
      </w:pPr>
      <w:r>
        <w:t>10.</w:t>
      </w:r>
      <w:r>
        <w:tab/>
        <w:t xml:space="preserve">Doctrina sobre el alcance de la competencia reservada en exclusiva al Estado sobre el procedimiento administrativo común, </w:t>
      </w:r>
      <w:r w:rsidRPr="0026452D">
        <w:rPr>
          <w:i/>
        </w:rPr>
        <w:t>ex</w:t>
      </w:r>
      <w:r>
        <w:t xml:space="preserve"> art. 149.1.18 CE (SSTC 227/1988, 50/1999) [FJ 7].</w:t>
      </w:r>
    </w:p>
    <w:p w:rsidR="0026452D" w:rsidRDefault="0026452D" w:rsidP="0026452D">
      <w:pPr>
        <w:pStyle w:val="Extracto"/>
      </w:pPr>
    </w:p>
    <w:p w:rsidR="0026452D" w:rsidRDefault="0026452D" w:rsidP="0026452D">
      <w:pPr>
        <w:pStyle w:val="Extracto"/>
      </w:pPr>
      <w:r>
        <w:t>11.</w:t>
      </w:r>
      <w:r>
        <w:tab/>
        <w:t>Doctrina sobre la delimitación competencial entre el Estado y las Comunidades Autónomas en relación con el ejercicio de la potestad subvencional de gasto público (STC 13/1992)  [FJ 8].</w:t>
      </w:r>
    </w:p>
    <w:p w:rsidR="0026452D" w:rsidRDefault="0026452D" w:rsidP="0026452D">
      <w:pPr>
        <w:pStyle w:val="Extracto"/>
      </w:pPr>
    </w:p>
    <w:p w:rsidR="0026452D" w:rsidRDefault="0026452D" w:rsidP="0026452D">
      <w:pPr>
        <w:pStyle w:val="Extracto"/>
      </w:pPr>
      <w:r>
        <w:t>12.</w:t>
      </w:r>
      <w:r>
        <w:tab/>
        <w:t xml:space="preserve">Las subvenciones no constituyen una ‘materia’ a efectos de la distribución constitucional de competencias, sino que cada subvención concreta se inserta en la materia a que la misma se destina y se somete, por tanto, al reparto competencial correspondiente  [FJ 8]. </w:t>
      </w:r>
    </w:p>
    <w:p w:rsidR="0026452D" w:rsidRDefault="0026452D" w:rsidP="0026452D">
      <w:pPr>
        <w:pStyle w:val="Extracto"/>
      </w:pPr>
    </w:p>
    <w:p w:rsidR="0026452D" w:rsidRDefault="0026452D" w:rsidP="0026452D">
      <w:pPr>
        <w:pStyle w:val="Extracto"/>
      </w:pPr>
      <w:r>
        <w:t>13.</w:t>
      </w:r>
      <w:r>
        <w:tab/>
        <w:t xml:space="preserve">La Ley impugnada aborda la regulación de un procedimiento administrativo común singular, en función de la forma de actividad administrativa, y no un procedimiento administrativo especial </w:t>
      </w:r>
      <w:r w:rsidRPr="0026452D">
        <w:rPr>
          <w:i/>
        </w:rPr>
        <w:t>ratione materiae</w:t>
      </w:r>
      <w:r>
        <w:t xml:space="preserve">, siendo, por tanto, compatible con las regulaciones especiales de los procedimientos de otorgamiento de subvenciones en determinados campos de actividad, que corresponderá establecer bien </w:t>
      </w:r>
      <w:r>
        <w:lastRenderedPageBreak/>
        <w:t>al Estado, bien a las Comunidades Autónomas, en función de la distribución de competencias prevista para cada sector concreto en la Constitución [FJ 8].</w:t>
      </w:r>
    </w:p>
    <w:p w:rsidR="0026452D" w:rsidRDefault="0026452D" w:rsidP="0026452D">
      <w:pPr>
        <w:pStyle w:val="Extracto"/>
      </w:pPr>
    </w:p>
    <w:p w:rsidR="0026452D" w:rsidRDefault="0026452D" w:rsidP="0026452D">
      <w:pPr>
        <w:pStyle w:val="Extracto"/>
      </w:pPr>
      <w:r>
        <w:t>14.</w:t>
      </w:r>
      <w:r>
        <w:tab/>
        <w:t xml:space="preserve">La regulación de los procedimientos subvencionales </w:t>
      </w:r>
      <w:r w:rsidRPr="0026452D">
        <w:rPr>
          <w:i/>
        </w:rPr>
        <w:t>ratione materiae</w:t>
      </w:r>
      <w:r>
        <w:t xml:space="preserve"> corresponde al Estado o a las Comunidades Autónomas en función de la distribución de competencias que establece el art. 149.1 CE en cada sector o materia, si bien el ejercicio de esa competencia por las Comunidades Autónomas ha de hacerse respetando las reglas de en la legislación estatal sobre procedimiento administrativo común (SSTC 227/1988, 36/2012) [FJ 8].</w:t>
      </w:r>
    </w:p>
    <w:p w:rsidR="0026452D" w:rsidRDefault="0026452D" w:rsidP="0026452D">
      <w:pPr>
        <w:pStyle w:val="Extracto"/>
      </w:pPr>
    </w:p>
    <w:p w:rsidR="0026452D" w:rsidRDefault="0026452D" w:rsidP="0026452D">
      <w:pPr>
        <w:pStyle w:val="Extracto"/>
      </w:pPr>
      <w:r>
        <w:t>15.</w:t>
      </w:r>
      <w:r>
        <w:tab/>
        <w:t>El precepto impugnado que dispone que la Ley será aplicable a las subvenciones establecidas en materias cuya regulación básica corresponde al Estado debe interpretarse en el sentido de que, en el ámbito de las Comunidades Autónomas, la Ley impugnada no es aplicable en su totalidad, sino únicamente en aquellas partes dictadas por el Estado al amparo de lo dispuesto en los apartados 13, 14 y 18 del art. 149.1 CE  [FJ 9 a)].</w:t>
      </w:r>
    </w:p>
    <w:p w:rsidR="0026452D" w:rsidRDefault="0026452D" w:rsidP="0026452D">
      <w:pPr>
        <w:pStyle w:val="Extracto"/>
      </w:pPr>
    </w:p>
    <w:p w:rsidR="0026452D" w:rsidRDefault="0026452D" w:rsidP="0026452D">
      <w:pPr>
        <w:pStyle w:val="Extracto"/>
      </w:pPr>
      <w:r>
        <w:t>16.</w:t>
      </w:r>
      <w:r>
        <w:tab/>
        <w:t>En los aspectos concretos del procedimiento de concesión de las subvenciones incardinadas en materias de competencia básica que al Estado le corresponde gestionar, dicha gestión estatal habrá de realizarse de acuerdo a la normativa dictada por el propio Estado (STC 13/1992)  [FJ 9 a)].</w:t>
      </w:r>
    </w:p>
    <w:p w:rsidR="0026452D" w:rsidRDefault="0026452D" w:rsidP="0026452D">
      <w:pPr>
        <w:pStyle w:val="Extracto"/>
      </w:pPr>
    </w:p>
    <w:p w:rsidR="0026452D" w:rsidRDefault="0026452D" w:rsidP="0026452D">
      <w:pPr>
        <w:pStyle w:val="Extracto"/>
      </w:pPr>
      <w:r>
        <w:t>17.</w:t>
      </w:r>
      <w:r>
        <w:tab/>
        <w:t>La aplicación de los procedimientos de concesión y control de las subvenciones regulados en la Ley impugnada persigue garantizar la efectividad del Derecho de la Unión Europea en caso de pasividad de las Comunidades Autónomas, lo que, de acuerdo con nuestra doctrina sobre subvenciones que conlleven financiación comunitaria, se adecua a la Constitución (SSTC 15/1989, 79/1992) [FJ 9 c)].</w:t>
      </w:r>
    </w:p>
    <w:p w:rsidR="0026452D" w:rsidRDefault="0026452D" w:rsidP="0026452D">
      <w:pPr>
        <w:pStyle w:val="Extracto"/>
      </w:pPr>
    </w:p>
    <w:p w:rsidR="0026452D" w:rsidRDefault="0026452D" w:rsidP="0026452D">
      <w:pPr>
        <w:pStyle w:val="Extracto"/>
      </w:pPr>
      <w:r>
        <w:t>18.</w:t>
      </w:r>
      <w:r>
        <w:tab/>
        <w:t xml:space="preserve">El hecho de que el Estado pueda incurrir en una responsabilidad financiera </w:t>
      </w:r>
      <w:r w:rsidRPr="0026452D">
        <w:rPr>
          <w:i/>
        </w:rPr>
        <w:t>ad extra</w:t>
      </w:r>
      <w:r>
        <w:t xml:space="preserve"> como consecuencia de irregularidades o negligencias imputables a las Administraciones locales en relación con subvenciones con financiación comunitaria, no justifica la asunción por el Estado de competencias que no le corresponden, pues ello vaciaría de competencias a las Comunidades Autónomas (SSTC 79/1992, 148/1998) [FJ 9 d)].</w:t>
      </w:r>
    </w:p>
    <w:p w:rsidR="0026452D" w:rsidRDefault="0026452D" w:rsidP="0026452D">
      <w:pPr>
        <w:pStyle w:val="Extracto"/>
      </w:pPr>
    </w:p>
    <w:p w:rsidR="0026452D" w:rsidRDefault="0026452D" w:rsidP="0026452D">
      <w:pPr>
        <w:pStyle w:val="Extracto"/>
      </w:pPr>
      <w:r>
        <w:t>19.</w:t>
      </w:r>
      <w:r>
        <w:tab/>
        <w:t xml:space="preserve">La responsabilidad </w:t>
      </w:r>
      <w:r w:rsidRPr="0026452D">
        <w:rPr>
          <w:i/>
        </w:rPr>
        <w:t>ad extra</w:t>
      </w:r>
      <w:r>
        <w:t xml:space="preserve"> del Estado no le impide repercutir </w:t>
      </w:r>
      <w:r w:rsidRPr="0026452D">
        <w:rPr>
          <w:i/>
        </w:rPr>
        <w:t>ad intra</w:t>
      </w:r>
      <w:r>
        <w:t>, sobre las Administraciones públicas autonómicas competentes, la responsabilidad que en cada caso proceda, sin que pueda ignorarse la necesidad de proporcionar al Gobierno los instrumentos indispensables para desempeñar la función que le atribuye el art. 93 CE (SSTC 252/1988, 79/1992) [FJ 9 d)].</w:t>
      </w:r>
    </w:p>
    <w:p w:rsidR="0026452D" w:rsidRDefault="0026452D" w:rsidP="0026452D">
      <w:pPr>
        <w:pStyle w:val="Extracto"/>
      </w:pPr>
    </w:p>
    <w:p w:rsidR="0026452D" w:rsidRDefault="0026452D" w:rsidP="0026452D">
      <w:pPr>
        <w:pStyle w:val="Extracto"/>
      </w:pPr>
      <w:r>
        <w:t>20.</w:t>
      </w:r>
      <w:r>
        <w:tab/>
        <w:t>Corresponde  al Estado establecer los sistemas de coordinación y cooperación que permitan evitar las irregularidades o las carencias en el cumplimiento de la normativa comunitaria, así como los sistemas de compensación interadministrativa de la responsabilidad financiera que pudiera generarse para el propio Estado en el caso de que dichas irregularidades o carencias se produjeran efectivamente y así se constatara por las instituciones comunitarias (STC 148/1998) [FJ 9 d)].</w:t>
      </w:r>
    </w:p>
    <w:p w:rsidR="0026452D" w:rsidRDefault="0026452D" w:rsidP="0026452D">
      <w:pPr>
        <w:pStyle w:val="Extracto"/>
      </w:pPr>
    </w:p>
    <w:p w:rsidR="0026452D" w:rsidRDefault="0026452D" w:rsidP="0026452D">
      <w:pPr>
        <w:pStyle w:val="Extracto"/>
      </w:pPr>
      <w:r>
        <w:lastRenderedPageBreak/>
        <w:t>21.</w:t>
      </w:r>
      <w:r>
        <w:tab/>
        <w:t>La definición por el Estado de directrices y líneas de actuación de las Administraciones públicas en el ejercicio de su potestad subvencional con la finalidad de alcanzar objetivos de la política económica general, encuentra amparo en la competencia exclusiva que al Estado le atribuye el art. 149.1.13 CE, que no sólo atribuye al Estado una potestad de coordinación, sino también una competencia para establecer las líneas directrices y los criterios globales de ordenación de sectores económicos concretos (STC 34/2013) [FJ 9 e)].</w:t>
      </w:r>
    </w:p>
    <w:p w:rsidR="0026452D" w:rsidRDefault="0026452D" w:rsidP="0026452D">
      <w:pPr>
        <w:pStyle w:val="Extracto"/>
      </w:pPr>
    </w:p>
    <w:p w:rsidR="0026452D" w:rsidRDefault="0026452D" w:rsidP="0026452D">
      <w:pPr>
        <w:pStyle w:val="Extracto"/>
      </w:pPr>
      <w:r>
        <w:t>22.</w:t>
      </w:r>
      <w:r>
        <w:tab/>
        <w:t xml:space="preserve">La imposición de la elaboración del plan estratégico prevista en el precepto impugnado encuentra cobertura en la materia de bases del régimen jurídico de las Administraciones Públicas, </w:t>
      </w:r>
      <w:r w:rsidRPr="0026452D">
        <w:rPr>
          <w:i/>
        </w:rPr>
        <w:t>ex</w:t>
      </w:r>
      <w:r>
        <w:t xml:space="preserve"> art. 149.1.18 CE, ya que orienta la actividad </w:t>
      </w:r>
      <w:r w:rsidRPr="0026452D">
        <w:rPr>
          <w:i/>
        </w:rPr>
        <w:t>ad extra</w:t>
      </w:r>
      <w:r>
        <w:t xml:space="preserve"> de las Administraciones Públicas al exigir a estas la exposición a los ciudadanos del marco general de sus políticas públicas subvencionales [FJ 9 e)].</w:t>
      </w:r>
    </w:p>
    <w:p w:rsidR="0026452D" w:rsidRDefault="0026452D" w:rsidP="0026452D">
      <w:pPr>
        <w:pStyle w:val="Extracto"/>
      </w:pPr>
    </w:p>
    <w:p w:rsidR="0026452D" w:rsidRDefault="0026452D" w:rsidP="0026452D">
      <w:pPr>
        <w:pStyle w:val="Extracto"/>
      </w:pPr>
      <w:r>
        <w:t>23.</w:t>
      </w:r>
      <w:r>
        <w:tab/>
        <w:t>Los preceptos impugnados que llevan a cabo una configuración básica de las entidades colaboradoras del órgano concedente de la subvención, determinando las funciones características con proyección externa que las mismas pueden asumir, así como el establecimiento de un régimen uniforme de sus obligaciones nucleares, encuentran amparo en el art. 149.1.18 CE, no invadiendo por ello las competencias de organización interna de las Comunidades Autónomas  [FJ 9 f)].</w:t>
      </w:r>
    </w:p>
    <w:p w:rsidR="0026452D" w:rsidRDefault="0026452D" w:rsidP="0026452D">
      <w:pPr>
        <w:pStyle w:val="Extracto"/>
      </w:pPr>
    </w:p>
    <w:p w:rsidR="0026452D" w:rsidRDefault="0026452D" w:rsidP="0026452D">
      <w:pPr>
        <w:pStyle w:val="Extracto"/>
      </w:pPr>
      <w:r>
        <w:t>24.</w:t>
      </w:r>
      <w:r>
        <w:tab/>
        <w:t>La competencia para la libre organización de la Administración autonómica, en tanto que competencia exclusiva, tiene como único contenido la potestad de conformar libremente la estructura orgánica de su aparato administrativo, decisión que corresponden únicamente a las Comunidades Autónomas por lo que el Estado debe abstenerse de cualquier intervención en ese ámbito (STC 50/1999) [FJ 9 f)].</w:t>
      </w:r>
    </w:p>
    <w:p w:rsidR="0026452D" w:rsidRDefault="0026452D" w:rsidP="0026452D">
      <w:pPr>
        <w:pStyle w:val="Extracto"/>
      </w:pPr>
    </w:p>
    <w:p w:rsidR="0026452D" w:rsidRDefault="0026452D" w:rsidP="0026452D">
      <w:pPr>
        <w:pStyle w:val="Extracto"/>
      </w:pPr>
      <w:r>
        <w:t>25.</w:t>
      </w:r>
      <w:r>
        <w:tab/>
        <w:t xml:space="preserve">Los preceptos impugnados establecen reglas de funcionamiento comunes para todas las Administraciones Públicas cuando para la gestión de subvenciones acuden a la fórmula de la colaboración, por lo que estas reglas se incardinan en la materia régimen jurídico de las Administraciones Públicas, </w:t>
      </w:r>
      <w:r w:rsidRPr="0026452D">
        <w:rPr>
          <w:i/>
        </w:rPr>
        <w:t>ex</w:t>
      </w:r>
      <w:r>
        <w:t xml:space="preserve"> art. 149.1.18 CE [FJ 9 f)].</w:t>
      </w:r>
    </w:p>
    <w:p w:rsidR="0026452D" w:rsidRDefault="0026452D" w:rsidP="0026452D">
      <w:pPr>
        <w:pStyle w:val="Extracto"/>
      </w:pPr>
    </w:p>
    <w:p w:rsidR="0026452D" w:rsidRDefault="0026452D" w:rsidP="0026452D">
      <w:pPr>
        <w:pStyle w:val="Extracto"/>
      </w:pPr>
      <w:r>
        <w:t>26.</w:t>
      </w:r>
      <w:r>
        <w:tab/>
        <w:t xml:space="preserve">El precepto impugnado no regula la tipificación de los supuestos que determinan la sanción consistente en la pérdida de la posibilidad de obtener subvenciones sino que tan sólo expresa que cuando hayan recaído dichas sanción no podrán los implicados obtener la correspondiente subvención, lo que no conlleva vulneración del art. 25 CE y confirma su carácter de norma básica del régimen jurídico de las Administraciones públicas, </w:t>
      </w:r>
      <w:r w:rsidRPr="0026452D">
        <w:rPr>
          <w:i/>
        </w:rPr>
        <w:t>ex</w:t>
      </w:r>
      <w:r>
        <w:t xml:space="preserve"> art. 149.1.18 CE [FJ 9 g)].</w:t>
      </w:r>
    </w:p>
    <w:p w:rsidR="0026452D" w:rsidRDefault="0026452D" w:rsidP="0026452D">
      <w:pPr>
        <w:pStyle w:val="Extracto"/>
      </w:pPr>
    </w:p>
    <w:p w:rsidR="0026452D" w:rsidRDefault="0026452D" w:rsidP="0026452D">
      <w:pPr>
        <w:pStyle w:val="Extracto"/>
      </w:pPr>
      <w:r>
        <w:t>27.</w:t>
      </w:r>
      <w:r>
        <w:tab/>
        <w:t xml:space="preserve">El precepto impugnado referente al valor probatorio de los documentos y las formas que estos pueden revestir en el procedimiento subvencional, es una norma procedimental que encuentra amparo en la competencia estatal sobre procedimiento administrativo común, </w:t>
      </w:r>
      <w:r w:rsidRPr="0026452D">
        <w:rPr>
          <w:i/>
        </w:rPr>
        <w:t>ex</w:t>
      </w:r>
      <w:r>
        <w:t xml:space="preserve"> art. 149.1.18 CE, pues resulta respetuoso con el margen que corresponde a las Comunidades Autónomas para regular los procedimientos subvencionales </w:t>
      </w:r>
      <w:r w:rsidRPr="0026452D">
        <w:rPr>
          <w:i/>
        </w:rPr>
        <w:t>ratione materiae</w:t>
      </w:r>
      <w:r>
        <w:t xml:space="preserve"> [FJ 9 g)].</w:t>
      </w:r>
    </w:p>
    <w:p w:rsidR="0026452D" w:rsidRDefault="0026452D" w:rsidP="0026452D">
      <w:pPr>
        <w:pStyle w:val="Extracto"/>
      </w:pPr>
    </w:p>
    <w:p w:rsidR="0026452D" w:rsidRDefault="0026452D" w:rsidP="0026452D">
      <w:pPr>
        <w:pStyle w:val="Extracto"/>
      </w:pPr>
      <w:r>
        <w:t>28.</w:t>
      </w:r>
      <w:r>
        <w:tab/>
        <w:t xml:space="preserve">El precepto impugnado se limita a indicar un límite temporal para la acreditación de hallarse al corriente en el cumplimiento de las obligaciones tributarias y frente </w:t>
      </w:r>
      <w:r>
        <w:lastRenderedPageBreak/>
        <w:t xml:space="preserve">a la Seguridad Social, sin establecer el momento concreto en que debe procederse a la acreditación ni impedir que ese momento sea el de la presentación de la solicitud, estando esta regulación amparada en la competencia estatal para regular el procedimiento administrativo común, </w:t>
      </w:r>
      <w:r w:rsidRPr="0026452D">
        <w:rPr>
          <w:i/>
        </w:rPr>
        <w:t>ex</w:t>
      </w:r>
      <w:r>
        <w:t xml:space="preserve"> art. 149.1.18 CE  [FJ 9 h)].</w:t>
      </w:r>
    </w:p>
    <w:p w:rsidR="0026452D" w:rsidRDefault="0026452D" w:rsidP="0026452D">
      <w:pPr>
        <w:pStyle w:val="Extracto"/>
      </w:pPr>
    </w:p>
    <w:p w:rsidR="0026452D" w:rsidRDefault="0026452D" w:rsidP="0026452D">
      <w:pPr>
        <w:pStyle w:val="Extracto"/>
      </w:pPr>
      <w:r>
        <w:t>29.</w:t>
      </w:r>
      <w:r>
        <w:tab/>
        <w:t xml:space="preserve">La exigencia de dar publicidad al carácter público de la financiación de programas, actividades, inversiones o actuaciones de cualquier tipo, es una obligación que se impone al beneficiario de la subvención acorde con principios esenciales en materia de gasto público, publicidad y transparencia, formando parte del haz básico de deberes de los beneficiarios de subvenciones públicas que encuentra amparo en la competencia del Estado para dictar las bases del régimen jurídico de las Administraciones públicas, </w:t>
      </w:r>
      <w:r w:rsidRPr="0026452D">
        <w:rPr>
          <w:i/>
        </w:rPr>
        <w:t>ex</w:t>
      </w:r>
      <w:r>
        <w:t xml:space="preserve"> art. 149.1.18 CE [FJ 9 i)].</w:t>
      </w:r>
    </w:p>
    <w:p w:rsidR="0026452D" w:rsidRDefault="0026452D" w:rsidP="0026452D">
      <w:pPr>
        <w:pStyle w:val="Extracto"/>
      </w:pPr>
    </w:p>
    <w:p w:rsidR="0026452D" w:rsidRDefault="0026452D" w:rsidP="0026452D">
      <w:pPr>
        <w:pStyle w:val="Extracto"/>
      </w:pPr>
      <w:r>
        <w:t>30.</w:t>
      </w:r>
      <w:r>
        <w:tab/>
        <w:t xml:space="preserve">El precepto impugnado dispone que los rendimientos financieros que se incrementen el importe de la subvención concedida, recoge una medida que el legislador estatal puede adoptar al amparo de su competencia exclusiva en materia de hacienda general </w:t>
      </w:r>
      <w:r w:rsidRPr="0026452D">
        <w:rPr>
          <w:i/>
        </w:rPr>
        <w:t>ex</w:t>
      </w:r>
      <w:r>
        <w:t xml:space="preserve"> art. 149.1.14 CE, conforme a la cual al Estado le corresponde no sólo la regulación del régimen jurídico de la ordenación de los gastos de la Administración del Estado, sino también el establecimiento de las normas y principios comunes de la actividad financiera de las distintas haciendas que deben regir el gasto público, </w:t>
      </w:r>
      <w:r w:rsidRPr="0026452D">
        <w:rPr>
          <w:i/>
        </w:rPr>
        <w:t>ex</w:t>
      </w:r>
      <w:r>
        <w:t xml:space="preserve"> art. 31.2 CE [FJ 9 j)].</w:t>
      </w:r>
    </w:p>
    <w:p w:rsidR="0026452D" w:rsidRDefault="0026452D" w:rsidP="0026452D">
      <w:pPr>
        <w:pStyle w:val="Extracto"/>
      </w:pPr>
    </w:p>
    <w:p w:rsidR="0026452D" w:rsidRDefault="0026452D" w:rsidP="0026452D">
      <w:pPr>
        <w:pStyle w:val="Extracto"/>
      </w:pPr>
      <w:r>
        <w:t>31.</w:t>
      </w:r>
      <w:r>
        <w:tab/>
        <w:t>La concesión de subvenciones en régimen de concurrencia competitiva es un principio básico del régimen jurídico de las Administraciones públicas puesto que, por un lado, orienta imperativamente las relaciones entre aquéllas y los ciudadanos que pretendan ser beneficiarios de las subvenciones asegurándoles un tratamiento común y, por otro, persigue que se hagan efectivos los principios básicos de la actividad subvencional de las Administraciones públicas, lo que encuentra amparo en el art. 149.1.18 CE [FJ 10 a)].</w:t>
      </w:r>
    </w:p>
    <w:p w:rsidR="0026452D" w:rsidRDefault="0026452D" w:rsidP="0026452D">
      <w:pPr>
        <w:pStyle w:val="Extracto"/>
      </w:pPr>
    </w:p>
    <w:p w:rsidR="0026452D" w:rsidRDefault="0026452D" w:rsidP="0026452D">
      <w:pPr>
        <w:pStyle w:val="Extracto"/>
      </w:pPr>
      <w:r>
        <w:t>32.</w:t>
      </w:r>
      <w:r>
        <w:tab/>
        <w:t xml:space="preserve">Dada la finalidad garantista de las determinaciones organizativas que inciden en las garantías del beneficiario a través del principio de separación entre los órganos instructor, proponente y competente para resolver, y mediante la previsión de un órgano colegiado cuya composición concreta y forma de funcionamiento no se determina por el legislador básico, estas han de ser incardinadas en la materia bases del régimen jurídico de las Administraciones Públicas </w:t>
      </w:r>
      <w:r w:rsidRPr="0026452D">
        <w:rPr>
          <w:i/>
        </w:rPr>
        <w:t>ex</w:t>
      </w:r>
      <w:r>
        <w:t xml:space="preserve"> art. 149.1.18 CE [FJ 10 a)].</w:t>
      </w:r>
    </w:p>
    <w:p w:rsidR="0026452D" w:rsidRDefault="0026452D" w:rsidP="0026452D">
      <w:pPr>
        <w:pStyle w:val="Extracto"/>
      </w:pPr>
    </w:p>
    <w:p w:rsidR="0026452D" w:rsidRDefault="0026452D" w:rsidP="0026452D">
      <w:pPr>
        <w:pStyle w:val="Extracto"/>
      </w:pPr>
      <w:r>
        <w:t>33.</w:t>
      </w:r>
      <w:r>
        <w:tab/>
        <w:t>El legislador estatal ha actuado dentro del margen que le confiere el art. 149.1.18 CE al regular la subcontratación en el ámbito subvencional, imponiendo límites y requisitos a la misma con la finalidad de que la Administración concedente pueda controlar que la viabilidad y el buen fin de la actividad subvencionada no sea puesta en peligro por la subcontratación, no siendo función de este Tribunal dilucidar si existen otras configuraciones posibles de las bases que pudieran dar más espacio de actuación normativa a las Comunidades Autónomas  [FJ 10 b)].</w:t>
      </w:r>
    </w:p>
    <w:p w:rsidR="0026452D" w:rsidRDefault="0026452D" w:rsidP="0026452D">
      <w:pPr>
        <w:pStyle w:val="Extracto"/>
      </w:pPr>
    </w:p>
    <w:p w:rsidR="0026452D" w:rsidRDefault="0026452D" w:rsidP="0026452D">
      <w:pPr>
        <w:pStyle w:val="Extracto"/>
      </w:pPr>
      <w:r>
        <w:t>34.</w:t>
      </w:r>
      <w:r>
        <w:tab/>
        <w:t xml:space="preserve">El precepto que establece, en los supuestos de adquisición de bienes inmuebles, que ha de aportarse certificado de tasador independiente debidamente acreditado </w:t>
      </w:r>
      <w:r>
        <w:lastRenderedPageBreak/>
        <w:t>e inscrito en el correspondiente registro oficial, ha de considerarse como norma formal y materialmente básica, dictada al amparo del título competencial del art. 149.1.18 CE, que deja espacio suficiente para una regulación autonómica más detallada del contenido y alcance del informe del tasador  [FJ 10 c)].</w:t>
      </w:r>
    </w:p>
    <w:p w:rsidR="0026452D" w:rsidRDefault="0026452D" w:rsidP="0026452D">
      <w:pPr>
        <w:pStyle w:val="Extracto"/>
      </w:pPr>
    </w:p>
    <w:p w:rsidR="0026452D" w:rsidRDefault="0026452D" w:rsidP="0026452D">
      <w:pPr>
        <w:pStyle w:val="Extracto"/>
      </w:pPr>
      <w:r>
        <w:t>35.</w:t>
      </w:r>
      <w:r>
        <w:tab/>
        <w:t xml:space="preserve">El precepto impugnado que determina los gastos que, a efectos del concepto de gasto subvencionable, han de considerarse como gastos realizados, permite que la Administración competente </w:t>
      </w:r>
      <w:r w:rsidRPr="0026452D">
        <w:rPr>
          <w:i/>
        </w:rPr>
        <w:t>ratione materiae</w:t>
      </w:r>
      <w:r>
        <w:t xml:space="preserve"> pueda establecer un criterio distinto sobre lo que debe entenderse por gasto realizado cuando ello sea pertinente en atención a la naturaleza de la subvención, lo que es conforme con el art. 149.1.18 CE  [FJ 10 d)].</w:t>
      </w:r>
    </w:p>
    <w:p w:rsidR="0026452D" w:rsidRDefault="0026452D" w:rsidP="0026452D">
      <w:pPr>
        <w:pStyle w:val="Extracto"/>
      </w:pPr>
    </w:p>
    <w:p w:rsidR="0026452D" w:rsidRDefault="0026452D" w:rsidP="0026452D">
      <w:pPr>
        <w:pStyle w:val="Extracto"/>
      </w:pPr>
      <w:r>
        <w:t>36.</w:t>
      </w:r>
      <w:r>
        <w:tab/>
        <w:t xml:space="preserve">El precepto impugnado configura un deber de los beneficiarios de subvenciones públicas, cuando el importe del gasto subvencionable supere determinadas cuantías, con la finalidad de asegurarles un tratamiento común, lo que, al mismo tiempo, persigue garantizar que se respeten principios básicos del gasto público, que podrían eludirse mediante la contratación libre por parte del subvencionado pese a operar con dinero público, debiendo entenderse, por tanto, dictado en ejercicio de las competencias estatales, </w:t>
      </w:r>
      <w:r w:rsidRPr="0026452D">
        <w:rPr>
          <w:i/>
        </w:rPr>
        <w:t>ex</w:t>
      </w:r>
      <w:r>
        <w:t xml:space="preserve"> apartados 14 y 18 del art. 149.1 CE  [FJ 10 e)].</w:t>
      </w:r>
    </w:p>
    <w:p w:rsidR="0026452D" w:rsidRDefault="0026452D" w:rsidP="0026452D">
      <w:pPr>
        <w:pStyle w:val="Extracto"/>
      </w:pPr>
    </w:p>
    <w:p w:rsidR="0026452D" w:rsidRDefault="0026452D" w:rsidP="0026452D">
      <w:pPr>
        <w:pStyle w:val="Extracto"/>
      </w:pPr>
      <w:r>
        <w:t>37.</w:t>
      </w:r>
      <w:r>
        <w:tab/>
        <w:t xml:space="preserve">Los preceptos impugnados encuentran cobertura en el art. 149.1.18 CE, puesto que regulan, con carácter básico, la obligación de destino de los bienes inventariables al fin subvencional, estableciendo reglas comunes respetuosas con el margen de regulación de los procedimientos subvencionales </w:t>
      </w:r>
      <w:r w:rsidRPr="0026452D">
        <w:rPr>
          <w:i/>
        </w:rPr>
        <w:t>ratione materiae</w:t>
      </w:r>
      <w:r>
        <w:t xml:space="preserve"> que corresponde a las Comunidades Autónomas  [FJ 10 f)].</w:t>
      </w:r>
    </w:p>
    <w:p w:rsidR="0026452D" w:rsidRDefault="0026452D" w:rsidP="0026452D">
      <w:pPr>
        <w:pStyle w:val="Extracto"/>
      </w:pPr>
    </w:p>
    <w:p w:rsidR="0026452D" w:rsidRDefault="0026452D" w:rsidP="0026452D">
      <w:pPr>
        <w:pStyle w:val="Extracto"/>
      </w:pPr>
      <w:r>
        <w:t>38.</w:t>
      </w:r>
      <w:r>
        <w:tab/>
        <w:t>Los preceptos impugnados que establecen las reglas comunes sobre el carácter subvencionable de los tributos y los gastos de amortización, junto con el marco normativo para considerar o no otros gastos como subvencionables, han sido dictados en ejercicio del art. 149.1.18 CE, puesto que contienen criterios nucleares de las relaciones entre las Administraciones públicas y los ciudadanos que pretenden acceder a las subvenciones [FJ 10 g)].</w:t>
      </w:r>
    </w:p>
    <w:p w:rsidR="0026452D" w:rsidRDefault="0026452D" w:rsidP="0026452D">
      <w:pPr>
        <w:pStyle w:val="Extracto"/>
      </w:pPr>
    </w:p>
    <w:p w:rsidR="0026452D" w:rsidRDefault="0026452D" w:rsidP="0026452D">
      <w:pPr>
        <w:pStyle w:val="Extracto"/>
      </w:pPr>
      <w:r>
        <w:t>39.</w:t>
      </w:r>
      <w:r>
        <w:tab/>
        <w:t xml:space="preserve">La regulación de la obligación de los beneficiarios de devolver las cantidades percibidas al haberse extinguido su derecho a la subvención, implica también la configuración, correlativa, de un derecho de crédito a favor de las haciendas públicas lo que constituye una regla común de las mismas para cuyo establecimiento el Estado cuenta con competencia exclusiva </w:t>
      </w:r>
      <w:r w:rsidRPr="0026452D">
        <w:rPr>
          <w:i/>
        </w:rPr>
        <w:t>ex</w:t>
      </w:r>
      <w:r>
        <w:t xml:space="preserve"> art. 149.1.14 CE [FJ 11].</w:t>
      </w:r>
    </w:p>
    <w:p w:rsidR="0026452D" w:rsidRDefault="0026452D" w:rsidP="0026452D">
      <w:pPr>
        <w:pStyle w:val="Extracto"/>
      </w:pPr>
    </w:p>
    <w:p w:rsidR="0026452D" w:rsidRDefault="0026452D" w:rsidP="0026452D">
      <w:pPr>
        <w:pStyle w:val="Extracto"/>
      </w:pPr>
      <w:r>
        <w:t>40.</w:t>
      </w:r>
      <w:r>
        <w:tab/>
        <w:t xml:space="preserve">La responsabilidad </w:t>
      </w:r>
      <w:r w:rsidRPr="0026452D">
        <w:rPr>
          <w:i/>
        </w:rPr>
        <w:t>ad extra</w:t>
      </w:r>
      <w:r>
        <w:t xml:space="preserve"> de la Administración del Estado por la existencia de negligencias imputables a las Comunidades Autónomas, en relación con las subvenciones financiadas con fondos comunitarios, no justifica la asunción de competencias que no le corresponden (STC 79/1992) [FJ 12].</w:t>
      </w:r>
    </w:p>
    <w:p w:rsidR="0026452D" w:rsidRDefault="0026452D" w:rsidP="0026452D">
      <w:pPr>
        <w:pStyle w:val="Extracto"/>
      </w:pPr>
    </w:p>
    <w:p w:rsidR="0026452D" w:rsidRDefault="0026452D" w:rsidP="0026452D">
      <w:pPr>
        <w:pStyle w:val="Extracto"/>
      </w:pPr>
      <w:r>
        <w:t>41.</w:t>
      </w:r>
      <w:r>
        <w:tab/>
        <w:t xml:space="preserve">El establecimiento de normas estatales de control de la gestión autonómica de las subvenciones invade la autonomía financiera de las Comunidades Autónomas excepto en lo que se refiere a la obligación de informar al final de cada ejercicio, pues </w:t>
      </w:r>
      <w:r>
        <w:lastRenderedPageBreak/>
        <w:t xml:space="preserve">esta previsión, además de ser conforme con los principios de colaboración, solidaridad y lealtad constitucional, no crea obstáculo alguno al ejercicio de las competencias autonómicas (SSTC 201/1988, 190/2000) [FJ 12]. </w:t>
      </w:r>
    </w:p>
    <w:p w:rsidR="0026452D" w:rsidRDefault="0026452D" w:rsidP="0026452D">
      <w:pPr>
        <w:pStyle w:val="Extracto"/>
      </w:pPr>
    </w:p>
    <w:p w:rsidR="0026452D" w:rsidRDefault="0026452D" w:rsidP="0026452D">
      <w:pPr>
        <w:pStyle w:val="Extracto"/>
      </w:pPr>
      <w:r>
        <w:t>42.</w:t>
      </w:r>
      <w:r>
        <w:tab/>
        <w:t>Los controles que prevé la Ley impugnada por parte de la Intervención General de la Administración del Estado a las gestiones realizadas por las Comunidades Autónomas están concebidos de forma genérica, quedando su concreción remitida al plan anual, por lo que la eventual invasión competencial se produciría por el contenido concreto del plan anual, pudiendo ser entonces objeto de control por este Tribunal  (STC 13/1992)  [FJ 12].</w:t>
      </w:r>
    </w:p>
    <w:p w:rsidR="0026452D" w:rsidRDefault="0026452D" w:rsidP="0026452D">
      <w:pPr>
        <w:pStyle w:val="Extracto"/>
      </w:pPr>
    </w:p>
    <w:p w:rsidR="0026452D" w:rsidRDefault="0026452D" w:rsidP="0026452D">
      <w:pPr>
        <w:pStyle w:val="Extracto"/>
      </w:pPr>
      <w:r>
        <w:t>43.</w:t>
      </w:r>
      <w:r>
        <w:tab/>
        <w:t>La competencia del Estado para regular el régimen sancionador en una materia determinada tendrá el alcance que tenga su competencia normativa —básica o de legislación plena— en dicha materia [FJ 13].</w:t>
      </w:r>
    </w:p>
    <w:p w:rsidR="0026452D" w:rsidRDefault="0026452D" w:rsidP="0026452D">
      <w:pPr>
        <w:pStyle w:val="Extracto"/>
      </w:pPr>
    </w:p>
    <w:p w:rsidR="0026452D" w:rsidRDefault="0026452D" w:rsidP="0026452D">
      <w:pPr>
        <w:pStyle w:val="Extracto"/>
      </w:pPr>
      <w:r>
        <w:t>44.</w:t>
      </w:r>
      <w:r>
        <w:tab/>
        <w:t>Las Comunidades Autónomas pueden adoptar normas administrativas sancionadoras cuando, teniendo competencia sobre la materia sustantiva de que se trate, tales disposiciones se acomoden a las garantías constitucionales en el ámbito del derecho sancionador y no introduzcan divergencias irrazonables y desproporcionadas al fin perseguido respecto del régimen jurídico aplicable en otras partes del territorio nacional (SSTC 87/1985, 136/1991) [FJ 13].</w:t>
      </w:r>
    </w:p>
    <w:p w:rsidR="0026452D" w:rsidRDefault="0026452D" w:rsidP="0026452D">
      <w:pPr>
        <w:pStyle w:val="Extracto"/>
      </w:pPr>
    </w:p>
    <w:p w:rsidR="0026452D" w:rsidRDefault="0026452D" w:rsidP="0026452D">
      <w:pPr>
        <w:pStyle w:val="Extracto"/>
      </w:pPr>
      <w:r>
        <w:t>45.</w:t>
      </w:r>
      <w:r>
        <w:tab/>
        <w:t xml:space="preserve">El procedimiento sancionador común para el ámbito subvencional, regulado desde una perspectiva general o abstracta, no es un procedimiento especial </w:t>
      </w:r>
      <w:r w:rsidRPr="0026452D">
        <w:rPr>
          <w:i/>
        </w:rPr>
        <w:t>ratione materiae</w:t>
      </w:r>
      <w:r>
        <w:t>, porque prescinde de toda previsión específica que atienda a las características de un determinado sector o materia y responde única y exclusivamente a las singularidades de un determinado tipo de la actividad de las Administraciones Públicas  [FJ 13].</w:t>
      </w:r>
    </w:p>
    <w:p w:rsidR="0026452D" w:rsidRDefault="0026452D" w:rsidP="0026452D">
      <w:pPr>
        <w:pStyle w:val="Extracto"/>
      </w:pPr>
    </w:p>
    <w:p w:rsidR="0026452D" w:rsidRDefault="0026452D" w:rsidP="0026452D">
      <w:pPr>
        <w:pStyle w:val="Extracto"/>
      </w:pPr>
      <w:r>
        <w:t>46.</w:t>
      </w:r>
      <w:r>
        <w:tab/>
        <w:t>La mera ausencia de una referencia expresa a la posible existencia de legislación autonómica de desarrollo no implica que el precepto pretenda vedar ese desarrollo autonómico, así pues nada impide que las Comunidades Autónomas, en ejercicio de sus competencias y siempre que no introduzcan divergencias irrazonables o desproporcionadas, puedan proceder también a regular las infracciones introduciendo nuevos tipos o concretando los que la Ley estatal establece  [FJ 13 a)].</w:t>
      </w:r>
    </w:p>
    <w:p w:rsidR="0026452D" w:rsidRDefault="0026452D" w:rsidP="0026452D">
      <w:pPr>
        <w:pStyle w:val="Extracto"/>
      </w:pPr>
    </w:p>
    <w:p w:rsidR="0026452D" w:rsidRDefault="0026452D" w:rsidP="0026452D">
      <w:pPr>
        <w:pStyle w:val="Extracto"/>
      </w:pPr>
      <w:r>
        <w:t>47.</w:t>
      </w:r>
      <w:r>
        <w:tab/>
        <w:t xml:space="preserve">El legislador estatal tiene competencia, </w:t>
      </w:r>
      <w:r w:rsidRPr="0026452D">
        <w:rPr>
          <w:i/>
        </w:rPr>
        <w:t>ex</w:t>
      </w:r>
      <w:r>
        <w:t xml:space="preserve"> art. 149.1.18 CE, tanto para establecer la regla general de la exigencia del recurso de alzada para agotar la vía administrativa en el procedimiento sancionador como para establecer la supresión de la posibilidad de recurso en vía administrativa, </w:t>
      </w:r>
      <w:r w:rsidRPr="0026452D">
        <w:rPr>
          <w:i/>
        </w:rPr>
        <w:t>ex</w:t>
      </w:r>
      <w:r>
        <w:t xml:space="preserve"> arts. 109 a) y d) y 138.3 de la Ley 30/1992, contra las resoluciones sancionadoras en el ámbito subvencional que contiene el precepto impugnado, conforme al cual la resolución sancionadora en esta materia pone fin a la vía administrativa [FJ 13 d)].</w:t>
      </w:r>
    </w:p>
    <w:p w:rsidR="0026452D" w:rsidRDefault="0026452D" w:rsidP="0026452D">
      <w:pPr>
        <w:pStyle w:val="Extracto"/>
      </w:pPr>
    </w:p>
    <w:p w:rsidR="0026452D" w:rsidRDefault="0026452D" w:rsidP="0026452D">
      <w:pPr>
        <w:pStyle w:val="Extracto"/>
      </w:pPr>
      <w:r>
        <w:t>48.</w:t>
      </w:r>
      <w:r>
        <w:tab/>
        <w:t xml:space="preserve">Las competencias son indisponibles e irrenunciables, tanto para el legislador del Estado como para el de las Comunidades Autónomas y operan </w:t>
      </w:r>
      <w:r w:rsidRPr="0026452D">
        <w:rPr>
          <w:i/>
        </w:rPr>
        <w:t>ope Constitutionis</w:t>
      </w:r>
      <w:r>
        <w:t>, con independencia de que uno u otro legislador hagan invocación explícita de las mismas (SSTC 179/1985, 152/2003)  [FJ 14].</w:t>
      </w:r>
    </w:p>
    <w:p w:rsidR="0026452D" w:rsidRDefault="0026452D" w:rsidP="0026452D">
      <w:pPr>
        <w:pStyle w:val="Extracto"/>
      </w:pPr>
    </w:p>
    <w:p w:rsidR="0026452D" w:rsidRDefault="0026452D" w:rsidP="0026452D">
      <w:pPr>
        <w:pStyle w:val="Extracto"/>
      </w:pPr>
      <w:r>
        <w:t>49.</w:t>
      </w:r>
      <w:r>
        <w:tab/>
        <w:t xml:space="preserve">Aplica la doctrina sobre el </w:t>
      </w:r>
      <w:r w:rsidRPr="0026452D">
        <w:rPr>
          <w:i/>
        </w:rPr>
        <w:t>ius superveniens</w:t>
      </w:r>
      <w:r>
        <w:t xml:space="preserve"> en procesos de naturaleza competencial (SSTC 137/1986, 83/2012) [FJ 2].</w:t>
      </w:r>
    </w:p>
    <w:p w:rsidR="0026452D" w:rsidRDefault="0026452D" w:rsidP="0026452D">
      <w:pPr>
        <w:pStyle w:val="Extracto"/>
      </w:pPr>
    </w:p>
    <w:p w:rsidR="0026452D" w:rsidRDefault="0026452D" w:rsidP="0026452D">
      <w:pPr>
        <w:pStyle w:val="Extracto"/>
      </w:pPr>
      <w:r>
        <w:t>50.</w:t>
      </w:r>
      <w:r>
        <w:tab/>
        <w:t>La eventual apreciación de la pérdida de objeto del proceso dependerá de la incidencia real que sobre el mismo tenga la derogación, sustitución o modificación de la norma, pues lo relevante en recursos de inconstitucionalidad de naturaleza competencial no es tanto la expulsión de la concreta norma impugnada del ordenamiento cuanto determinar si con esa expulsión ha cesado o no la controversia competencial (SSTC 18/2011, 133/2012)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doña Adela Asua Batarrita, don Francisco José Hernando Santiago, don Luis Ignacio Ortega Álvarez, don Francisco Pérez de los Cobos Orihuel, doña Encarnación Roca Trías, don Fernando Valdés Dal-Ré, don Andrés Ollero Tassara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931-2004, interpuesto por el Letrado de la Comunidad Autónoma de Aragón, en representación del Gobierno de Aragón, contra los arts. 3.4; 5.2; 6.2; 7.2 y 3; 8.1 y 2; 12.1; 13.5 y 7; 14.1 e) y h); 15.1 a) y b); 16.1 y 5; 18.4; 19.5; 22.1; 29.3 y 7 b) y e); 30.5; 31.2, 3, 4, 5, 6, 7 y 8; 37.1 d) y f); 45.2, letra c) del tercer párrafo; 56; 57 e); 58 d); 67.2 y 3; y la disposición final primera de la Ley 38/2003, de 17 de noviembre, general de subvenciones. Ha intervenido el Abogado del Estado. Ha sido Ponente el Magistrado don Manuel Aragón Reyes,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día 18 de febrero de 2004, el Letrado de la Comunidad Autónoma de Aragón, en representación del Gobierno de Aragón, interpuso recurso de inconstitucionalidad contra los arts. 3.4; 5.2; 6.2; 7.2 y 3; 8.1 y 2; 12.1; 13.5 y 7; 14.1 e) y h); 15.1 a) y b), 16.1 y 5; 18.4; 19.5; 22.1; 29.3 y 7 b) y e); 30.5; 31.2, 3, 4, 5, 6, 7 y 8; 37.1 d) y f); 45.2 c); 56; 57 e); 58 d); 67.2 y 3; y la disposición final primera de la Ley 38/2003, de 17 de noviembre, general de subvenciones. El escrito de interposición, tras hacer referencia a la legitimación del Gobierno de Aragón y demás requisitos formales exigidos para interponer el recurso de inconstitucionalidad, contiene la fundamentación que a continuación, resumidamente, se expone:</w:t>
      </w:r>
    </w:p>
    <w:p w:rsidR="0026452D" w:rsidRDefault="0026452D" w:rsidP="0026452D">
      <w:pPr>
        <w:pStyle w:val="TextoNormal"/>
      </w:pPr>
    </w:p>
    <w:p w:rsidR="0026452D" w:rsidRDefault="0026452D" w:rsidP="0026452D">
      <w:pPr>
        <w:pStyle w:val="TextoNormal"/>
      </w:pPr>
      <w:r>
        <w:lastRenderedPageBreak/>
        <w:t>a) La representación procesal autonómica se refiere en primer lugar a las posiciones doctrinales existentes acerca de la subvención, señalando que existe acuerdo unánime en que se trata de una figura regulada por el Derecho administrativo y con esta perspectiva se ha engarzado, desde Jornada de Pozas, dentro de la potestad de fomento, lo que supone que se trata de un instituto jurídico al servicio de la acción administrativa en materias muy diversas. La subvención es una técnica de actuación en materias concretas. De ahí que el Tribunal Constitucional haya entendido que los procedimientos administrativos tendentes a la puesta en práctica de las políticas en materias concretas deban seguir la misma competencia establecida para la regulación y actuación de la materia en la que inciden.</w:t>
      </w:r>
    </w:p>
    <w:p w:rsidR="0026452D" w:rsidRDefault="0026452D" w:rsidP="0026452D">
      <w:pPr>
        <w:pStyle w:val="TextoNormal"/>
      </w:pPr>
    </w:p>
    <w:p w:rsidR="0026452D" w:rsidRDefault="0026452D" w:rsidP="0026452D">
      <w:pPr>
        <w:pStyle w:val="TextoNormal"/>
      </w:pPr>
      <w:r>
        <w:t>En cuanto a la consideración constitucional de la subvención, no existe mención a la misma en el esquema constitucional de distribución competencial, lo que expresa una forma de entender el instituto de la subvención, suponiendo una parte de la actuación administrativa propia de cada Administración, sin necesidad de una regulación general, común y directa de aplicación a todas las Administraciones públicas. Esta es la consideración que parece desprenderse de la doctrina del Tribunal Constitucional, que sitúa la potestad subvencional en la Administración que sea competente por razón de la materia, atribuyéndole la normación de los aspectos sustantivos y de gestión derivados de tal potestad. Así, la STC 13/1992, de 6 de febrero, FJ 4, pone de relieve que no existe una competencia subvencional diferenciada resultante de la potestad financiera del Estado, sino que, al contrario, el ejercicio de competencias estatales anejo al gasto o a la subvención sólo se justifica cuando la Constitución o los Estatutos de Autonomía hayan reservado al Estado la titularidad de tales competencias sobre la materia subvencionada, reproduciéndose por parte del Letrado de la Comunidad Autónoma de Aragón buena parte de la doctrina de la STC 13/1992 contenida en el fundamento jurídico indicado. De la larga cita reproducida deduce dicha representación procesal que la Administración competente por razón de la materia a la que se aplica la potestad subvencional es la que debe determinar la regulación de la misma.</w:t>
      </w:r>
    </w:p>
    <w:p w:rsidR="0026452D" w:rsidRDefault="0026452D" w:rsidP="0026452D">
      <w:pPr>
        <w:pStyle w:val="TextoNormal"/>
      </w:pPr>
    </w:p>
    <w:p w:rsidR="0026452D" w:rsidRDefault="0026452D" w:rsidP="0026452D">
      <w:pPr>
        <w:pStyle w:val="TextoNormal"/>
      </w:pPr>
      <w:r>
        <w:t>Lo anterior no supone, sin embargo, un apoderamiento omnímodo a cada Administración para la regulación del instituto de la subvención, pues hay que tener en cuenta la necesidad de un tratamiento común de los administrados, así como la existencia de un procedimiento administrativo común y la necesidad de observar las reglas atinentes a la hacienda general. Estas ideas, que se contienen en la exposición de motivos de la Ley 38/2003, en opinión del Letrado autonómico, se plasman, muy deficientemente en su disposición final primera, que contiene los títulos competenciales que amparan dicha Ley y que son los siguientes: bases de régimen jurídico de las Administraciones públicas; procedimiento administrativo común; bases y coordinación de la planificación general de la actividad económica; y hacienda general.</w:t>
      </w:r>
    </w:p>
    <w:p w:rsidR="0026452D" w:rsidRDefault="0026452D" w:rsidP="0026452D">
      <w:pPr>
        <w:pStyle w:val="TextoNormal"/>
      </w:pPr>
    </w:p>
    <w:p w:rsidR="0026452D" w:rsidRDefault="0026452D" w:rsidP="0026452D">
      <w:pPr>
        <w:pStyle w:val="TextoNormal"/>
      </w:pPr>
      <w:r>
        <w:t>b) A continuación el Letrado de la Comunidad Autónoma de Aragón se refiere al alcance que tienen los señalados títulos competenciales que amparan la Ley impugnada.</w:t>
      </w:r>
    </w:p>
    <w:p w:rsidR="0026452D" w:rsidRDefault="0026452D" w:rsidP="0026452D">
      <w:pPr>
        <w:pStyle w:val="TextoNormal"/>
      </w:pPr>
    </w:p>
    <w:p w:rsidR="0026452D" w:rsidRDefault="0026452D" w:rsidP="0026452D">
      <w:pPr>
        <w:pStyle w:val="TextoNormal"/>
      </w:pPr>
      <w:r>
        <w:t xml:space="preserve">En cuanto al título competencial “bases de régimen jurídico de las Administraciones públicas”, comienza señalando que la doctrina del Tribunal Constitucional lo conecta con el aspecto organizativo de la Administración, tanto en relación con las normas características de la organización de la propia Administración, como respecto al régimen que, derivado de ello, pudiera incidir en los administrados, citando al respecto el fundamento jurídico 3 de la STC 50/1999, de 6 de abril, cuyo contenido reproduce, haciendo hincapié en que este título </w:t>
      </w:r>
      <w:r>
        <w:lastRenderedPageBreak/>
        <w:t>competencial permite al Estado “establecer elementos esenciales que garanticen un régimen jurídico unitario aplicable a todas las Administraciones públicas”, pero con la precisión de que “la intensidad y extensión que pueden tener las bases no es la misma en todos los ámbitos que integran ese régimen jurídico”, siendo menor en lo que se refiera primordialmente a la organización y funcionamiento interno de los órganos que en lo que incida en su actividad externa. De la doctrina del Tribunal Constitucional deduce que este título competencial tiene dos limitaciones claras en lo relativo a la subvención. En primer lugar, puesto que la subvención no afecta a la estructura institucional de la Administración concedente ni a su funcionamiento, el legislador estatal no puede incidir en la subvención apoyándose en este título. Y, en segundo lugar, de la configuración legal del concepto de subvención recogido en el art. 2 de la Ley 38/2003 —que engloba todas las prestaciones dinerarias realizadas por una Administración a título gratuito— se deriva el límite de que esta especifica competencia básica no puede mediatizar los ámbitos materiales concretos de competencia autonómica en los que se aplican dichas prestaciones dinerarias, citando en relación con ello la doctrina constitucional de que el poder de gasto del Estado no puede traer como consecuencia la utilización excesiva del título competencial “régimen jurídico de las Administraciones Públicas”, pues dicho poder de gasto no permite al Estado “recuperar competencias normativas o de ejecución en los sectores subvencionados” (STC 13/1992, FJ 7).</w:t>
      </w:r>
    </w:p>
    <w:p w:rsidR="0026452D" w:rsidRDefault="0026452D" w:rsidP="0026452D">
      <w:pPr>
        <w:pStyle w:val="TextoNormal"/>
      </w:pPr>
    </w:p>
    <w:p w:rsidR="0026452D" w:rsidRDefault="0026452D" w:rsidP="0026452D">
      <w:pPr>
        <w:pStyle w:val="TextoNormal"/>
      </w:pPr>
      <w:r>
        <w:t>En suma, entender que en el título competencial que se está considerando —bases del régimen jurídico de las Administraciones públicas— cabe incluir la regulación de cualquier actuación jurídica de la Administración supone otorgarle un alcance tan amplio que pugna no sólo con la estructura autonómica existente, sino con la literalidad de la propia Constitución, que cuando ha querido reservar una institución del Derecho administrativo al Estado lo ha hecho expresamente (contratos, expropiaciones, función pública, procedimiento, responsabilidad patrimonial). De todo ello se concluye que no cabe hacer una interpretación extensiva integrando el régimen jurídico de las subvenciones en el título “régimen jurídico de las Administraciones Públicas”, pues este título sólo podría alcanzar a la regulación de la posición jurídica básica de los administrados dentro de la relación jurídica con la Administración y, aun así, restringiéndose a los aspectos esenciales de dicha posición jurídica, permitiendo una distinta regulación por las Comunidades Autónomas.</w:t>
      </w:r>
    </w:p>
    <w:p w:rsidR="0026452D" w:rsidRDefault="0026452D" w:rsidP="0026452D">
      <w:pPr>
        <w:pStyle w:val="TextoNormal"/>
      </w:pPr>
    </w:p>
    <w:p w:rsidR="0026452D" w:rsidRDefault="0026452D" w:rsidP="0026452D">
      <w:pPr>
        <w:pStyle w:val="TextoNormal"/>
      </w:pPr>
      <w:r>
        <w:t xml:space="preserve">En cuanto al título competencial sobre el “procedimiento administrativo común”, la representación autonómica aduce que la doctrina del Tribunal Constitucional ha distinguido entre las normas procedimentales </w:t>
      </w:r>
      <w:r w:rsidRPr="0026452D">
        <w:rPr>
          <w:i/>
        </w:rPr>
        <w:t>ratione materiae</w:t>
      </w:r>
      <w:r>
        <w:t xml:space="preserve"> y las del procedimiento administrativo común. Esta distinción la ha sentado el propio Tribunal en relación con el procedimiento de tramitación de las subvenciones (SSTC 50/1999, de 6 de abril, FJ 3; 98/2001, de 5 de abril, FJ 8; y 188/2001, de 20 de septiembre, FJ 11), doctrina según la cual los procedimientos subvencionales deben ser aprobados por las Comunidades Autónomas con competencia en la materia correspondiente a la subvención con sometimiento al procedimiento administrativo común establecido por el Estado, integrando este último los “principios o normas que, por un lado, definen la estructura general del </w:t>
      </w:r>
      <w:r w:rsidRPr="0026452D">
        <w:rPr>
          <w:i/>
        </w:rPr>
        <w:t>iter</w:t>
      </w:r>
      <w:r>
        <w:t xml:space="preserve"> procedimental … y, por otro, prescriben la forma de elaboración, los requisitos de validez y eficacia, los modos de revisión y los medios de ejecución de los actos administrativos, incluyendo señaladamente las garantías generales de los particulares en el seno del procedimiento”.</w:t>
      </w:r>
    </w:p>
    <w:p w:rsidR="0026452D" w:rsidRDefault="0026452D" w:rsidP="0026452D">
      <w:pPr>
        <w:pStyle w:val="TextoNormal"/>
      </w:pPr>
    </w:p>
    <w:p w:rsidR="0026452D" w:rsidRDefault="0026452D" w:rsidP="0026452D">
      <w:pPr>
        <w:pStyle w:val="TextoNormal"/>
      </w:pPr>
      <w:r>
        <w:lastRenderedPageBreak/>
        <w:t>En este punto, la representación procesal autonómica recuerda que el art. 149.1.18 CE explicita los ámbitos concretos de la competencia estatal (expropiaciones, contratación, concesiones y sistema de responsabilidad, junto a la de procedimiento administrativo común), derivándose de ello que el Estado puede regular los procedimientos de esos ámbitos, pero entre ellos no se encuentra la subvención, por lo que sobre la misma el Estado no puede atribuirse la competencia ni siquiera básica, por lo que al respecto debe seguirse la regla general según la cual el procedimiento sigue a la materia a la que se aplica y la regulación de aquél se corresponde con la competencia sobre la materia. Este es el criterio de la doctrina constitucional, como pone de manifiesto la STC 61/1997, de 20 de marzo, FJ 35, que declara la incidencia del procedimiento administrativo común en la materia urbanística, precisando “que el Estado sólo puede añadir en el ámbito urbanístico nuevas normas de procedimiento cuando ostente alguna competencia material”. Concluye su alegato en este punto el Letrado autonómico señalando que la regulación por el Estado del procedimiento administrativo común se realiza en la Ley 30/1992, de 26 de noviembre, procedimiento común al que deben adecuarse todos los procedimiento especiales, en lo que insiste la citada STC 61/1997, de 20 de marzo. Por todo ello, el Estado no puede establecer una regulación procedimental también común en relación con la subvención. No obstante, se admite, con las reservas ya expresadas respecto al alcance del título “bases del régimen jurídico de las Administraciones Públicas”, que es este título —si se entiende que la subvención queda enmarcada en la materia régimen jurídico de las Administraciones públicas— el que acaso podría ofrecer cobertura a una regulación estatal de normas procedimentales en materia de subvenciones, que podría, por tanto, tener únicamente un carácter básico.</w:t>
      </w:r>
    </w:p>
    <w:p w:rsidR="0026452D" w:rsidRDefault="0026452D" w:rsidP="0026452D">
      <w:pPr>
        <w:pStyle w:val="TextoNormal"/>
      </w:pPr>
    </w:p>
    <w:p w:rsidR="0026452D" w:rsidRDefault="0026452D" w:rsidP="0026452D">
      <w:pPr>
        <w:pStyle w:val="TextoNormal"/>
      </w:pPr>
      <w:r>
        <w:t>Sobre la competencia del Estado en materia de “hacienda general”, la demanda parte de la relación que este concepto ha de mantener con la existencia de haciendas de las Comunidades Autónomas, citando la STC 192/2000, de 13 de julio, FJ 6, que reconoce la vinculación existente entre los arts. 133.1, 149.1.14 y 157.3 CE para perfilar la competencia del Estado sobre la hacienda general, pero que también reconoce la autonomía financiera de las Comunidades Autónomas (arts. 156 y 157.3 CE) y afirma que la organización por estas de su hacienda es “una exigencia previa y paralela a la propia organización autónoma”. Por tanto, la competencia sobre “hacienda general” le permite al Estado establecer la estructura general y principios comunes a todas las haciendas, tanto en su conformación como en las relaciones de cooperación necesarias entre estas, y entre ellas y los administrados, pero dejando siempre a salvo la autonomía financiera de las Comunidades Autónomas que tiene una manifestación más acentuada en la esfera del gasto que en la del ingreso (STC 13/1992, FJ 7).</w:t>
      </w:r>
    </w:p>
    <w:p w:rsidR="0026452D" w:rsidRDefault="0026452D" w:rsidP="0026452D">
      <w:pPr>
        <w:pStyle w:val="TextoNormal"/>
      </w:pPr>
    </w:p>
    <w:p w:rsidR="0026452D" w:rsidRDefault="0026452D" w:rsidP="0026452D">
      <w:pPr>
        <w:pStyle w:val="TextoNormal"/>
      </w:pPr>
      <w:r>
        <w:t>La representación procesal del Gobierno de Aragón señala que no existe un título específico del Estado que le permita incluir el instituto de la subvención dentro del concepto “hacienda general”. Va de suyo, aduce, que la subvención afecta a la hacienda, pero entender que, por conllevar una actividad financiera, la subvención se incluye en la hacienda general, supone atraer hacia esta materia la totalidad de la actuación administrativa que implique efectos económicos, convirtiendo en este caso, como en los anteriores, un título “concreto” en un título “transversal”, lo que no resulta conforme con el orden constitucional de distribución de competencias.</w:t>
      </w:r>
    </w:p>
    <w:p w:rsidR="0026452D" w:rsidRDefault="0026452D" w:rsidP="0026452D">
      <w:pPr>
        <w:pStyle w:val="TextoNormal"/>
      </w:pPr>
    </w:p>
    <w:p w:rsidR="0026452D" w:rsidRDefault="0026452D" w:rsidP="0026452D">
      <w:pPr>
        <w:pStyle w:val="TextoNormal"/>
      </w:pPr>
      <w:r>
        <w:lastRenderedPageBreak/>
        <w:t>En cuanto a la competencia del Estado sobre las “bases y coordinación de la planificación general de la actividad económica” (art. 149.1.13 CE), la demanda parte de la doctrina contenida en la STC 225/1993, de 8 de julio, FJ 3, según la cual esta competencia le permite a aquél incidir sobre los diferentes subsectores económicos aunque sobre ellos hubieren asumido las Comunidades Autónomas la competencia exclusiva, siempre que con ello no se vacíen las competencias autonómicas, lo que deberá ser valorado en cada caso.</w:t>
      </w:r>
    </w:p>
    <w:p w:rsidR="0026452D" w:rsidRDefault="0026452D" w:rsidP="0026452D">
      <w:pPr>
        <w:pStyle w:val="TextoNormal"/>
      </w:pPr>
    </w:p>
    <w:p w:rsidR="0026452D" w:rsidRDefault="0026452D" w:rsidP="0026452D">
      <w:pPr>
        <w:pStyle w:val="TextoNormal"/>
      </w:pPr>
      <w:r>
        <w:t>Sin embargo —sostiene el Letrado autonómico— la regulación contenida en la Ley 38/2003 no se refiere a ningún ámbito concreto (ni siquiera difuso) de actuación económica, pues no regula la concreta cuantía de las subvenciones, ni los sectores a las que se debe destinar, ni a la relación entre la política subvencional y los gastos presupuestados. La regulación de la Ley 38/2003 parece tener relación con el concepto “hacienda pública” y no con el efecto que la disposición de fondos públicos pudiera tener en el conjunto de la economía nacional. Por tanto, dicho título no puede amparar lo establecido en la Ley 38/2003, negándose por el Letrado autonómico que pueda relacionarse tampoco con la estabilidad presupuestaria, pues la actividad subvencional en su regulación abstracta ni tiende a conseguir el cumplimiento de dicha estabilidad ni la falta de esa regulación supone una quiebra de dicho principio. Por tanto, concluye el Letrado autonómico, toda la actividad subvencional destinada a gasto social en general, asistencial o cultural, entre otros, carece de encuadramiento en el art. 149.1.13 CE.</w:t>
      </w:r>
    </w:p>
    <w:p w:rsidR="0026452D" w:rsidRDefault="0026452D" w:rsidP="0026452D">
      <w:pPr>
        <w:pStyle w:val="TextoNormal"/>
      </w:pPr>
    </w:p>
    <w:p w:rsidR="0026452D" w:rsidRDefault="0026452D" w:rsidP="0026452D">
      <w:pPr>
        <w:pStyle w:val="TextoNormal"/>
      </w:pPr>
      <w:r>
        <w:t>c) Puesto que algunos de los citados títulos habilitantes de la competencia estatal se caracterizan por atribuir al Estado el establecimiento de normas básicas, la representación del Gobierno de Aragón hace referencia a la doctrina del Tribunal Constitucional sobre dichas normas básicas, más específicamente en lo relativo a su alcance material, con el fin de contrastarla con la Ley recurrida, y a esos efectos recuerda que las bases han de ser “el común denominador normativo necesario para asegurar la unidad fundamental prevista por las normas del bloque de la constitucionalidad que establecen la distribución de competencias”, esto es, “un marco normativo unitario, de aplicación en todo el territorio nacional … y dotado de estabilidad”.</w:t>
      </w:r>
    </w:p>
    <w:p w:rsidR="0026452D" w:rsidRDefault="0026452D" w:rsidP="0026452D">
      <w:pPr>
        <w:pStyle w:val="TextoNormal"/>
      </w:pPr>
    </w:p>
    <w:p w:rsidR="0026452D" w:rsidRDefault="0026452D" w:rsidP="0026452D">
      <w:pPr>
        <w:pStyle w:val="TextoNormal"/>
      </w:pPr>
      <w:r>
        <w:t>d) Tras el planteamiento general antes expuesto, el Letrado de la Comunidad Autónoma de Aragón expone los argumentos en los que se fundamenta la impugnación de los distintos preceptos de la Ley 38/2003 recurridos.</w:t>
      </w:r>
    </w:p>
    <w:p w:rsidR="0026452D" w:rsidRDefault="0026452D" w:rsidP="0026452D">
      <w:pPr>
        <w:pStyle w:val="TextoNormal"/>
      </w:pPr>
    </w:p>
    <w:p w:rsidR="0026452D" w:rsidRDefault="0026452D" w:rsidP="0026452D">
      <w:pPr>
        <w:pStyle w:val="TextoNormal"/>
      </w:pPr>
      <w:r>
        <w:t>En primer lugar, se impugna el art. 3.4 a), que declara aplicable la Ley 38/2003 a las subvenciones “establecidas en materias cuya regulación plena o básica corresponda al Estado y cuya gestión sea competencia total o parcial de otras Administraciones Públicas”.</w:t>
      </w:r>
    </w:p>
    <w:p w:rsidR="0026452D" w:rsidRDefault="0026452D" w:rsidP="0026452D">
      <w:pPr>
        <w:pStyle w:val="TextoNormal"/>
      </w:pPr>
    </w:p>
    <w:p w:rsidR="0026452D" w:rsidRDefault="0026452D" w:rsidP="0026452D">
      <w:pPr>
        <w:pStyle w:val="TextoNormal"/>
      </w:pPr>
      <w:r>
        <w:t>Al respecto se parte de la interpretación de que con la expresión “regulación plena”, predicada de la competencia estatal, se está aludiendo a las subvenciones que corresponden a materias en las que el Estado ostenta toda la competencia de legislación, quedando a salvo la actividad autonómica de ejecución y la correspondiente autoorganización.</w:t>
      </w:r>
    </w:p>
    <w:p w:rsidR="0026452D" w:rsidRDefault="0026452D" w:rsidP="0026452D">
      <w:pPr>
        <w:pStyle w:val="TextoNormal"/>
      </w:pPr>
    </w:p>
    <w:p w:rsidR="0026452D" w:rsidRDefault="0026452D" w:rsidP="0026452D">
      <w:pPr>
        <w:pStyle w:val="TextoNormal"/>
      </w:pPr>
      <w:r>
        <w:t xml:space="preserve">La representación autonómica centra el reparo al precepto en los supuestos en los que el Estado ostente competencia de normación básica, pues en las materias en las que el Estado disponga de esa competencia las subvenciones correspondientes no pueden ser reguladas por aquél más allá de lo que sea regulación básica según la propia Ley 38/2003. Por tanto, </w:t>
      </w:r>
      <w:r>
        <w:lastRenderedPageBreak/>
        <w:t>si en una materia concreta corresponde a la Comunidad Autónoma la normativa de desarrollo, el procedimiento de concesión de subvenciones y condiciones de otorgamiento debe corresponder a dicha Comunidad Autónoma. Cita en apoyo de este planteamiento la STC 13/1992, FJ 8, reproduciendo su contenido, que incluye la referencia a los cuatro supuestos a que pueden reconducirse todas las subvenciones provenientes de fondos estatales, siendo de aplicación al precepto impugnado el supuesto b) de dicho fundamento jurídico, lo que confirma el reproche señalado y determina la inconstitucionalidad del precepto, según el Letrado autonómico.</w:t>
      </w:r>
    </w:p>
    <w:p w:rsidR="0026452D" w:rsidRDefault="0026452D" w:rsidP="0026452D">
      <w:pPr>
        <w:pStyle w:val="TextoNormal"/>
      </w:pPr>
    </w:p>
    <w:p w:rsidR="0026452D" w:rsidRDefault="0026452D" w:rsidP="0026452D">
      <w:pPr>
        <w:pStyle w:val="TextoNormal"/>
      </w:pPr>
      <w:r>
        <w:t>El art. 3.4 b) contempla la aplicación de la Ley 38/2003 a las subvenciones “en cuya tramitación intervengan órganos de la Administración General del Estado o de las entidades de derecho público vinculados o dependientes de aquélla, conjuntamente con otras Administraciones, en cuanto a las fases del procedimiento que corresponda gestionar a dichos órganos”.</w:t>
      </w:r>
    </w:p>
    <w:p w:rsidR="0026452D" w:rsidRDefault="0026452D" w:rsidP="0026452D">
      <w:pPr>
        <w:pStyle w:val="TextoNormal"/>
      </w:pPr>
    </w:p>
    <w:p w:rsidR="0026452D" w:rsidRDefault="0026452D" w:rsidP="0026452D">
      <w:pPr>
        <w:pStyle w:val="TextoNormal"/>
      </w:pPr>
      <w:r>
        <w:t>La representación autonómica sostiene que cuando se trate de subvenciones que incidan sobre competencias exclusivas de la Comunidad Autónoma deberá respetarse la normativa autonómica incluso en las fases del procedimiento en las que intervengan los órganos de la Administración del Estado, de manera que considera inadecuado que en tales supuestos “esta Ley” (encabezamiento del apartado 4 del art. 3) resulte de aplicación, pues debe serlo la autonómica. Por tanto, se solicita que se declare la inconstitucionalidad del precepto.</w:t>
      </w:r>
    </w:p>
    <w:p w:rsidR="0026452D" w:rsidRDefault="0026452D" w:rsidP="0026452D">
      <w:pPr>
        <w:pStyle w:val="TextoNormal"/>
      </w:pPr>
    </w:p>
    <w:p w:rsidR="0026452D" w:rsidRDefault="0026452D" w:rsidP="0026452D">
      <w:pPr>
        <w:pStyle w:val="TextoNormal"/>
      </w:pPr>
      <w:r>
        <w:t>El art. 5.2, que prevé que las subvenciones otorgadas por consorcios, mancomunidades u otras personificaciones públicas creadas por varias Administraciones públicas u organismos o entes dependientes y las subvenciones que deriven de convenios formalizados entre éstas se sometan a lo regulado en la Ley, incurre en inconstitucionalidad —según el Letrado autonómico— por limitar la posibilidad de que en las materias de competencias exclusiva o compartida la Comunidad Autónoma establezca su propia normativa, exclusiva o de desarrollo, según corresponda.</w:t>
      </w:r>
    </w:p>
    <w:p w:rsidR="0026452D" w:rsidRDefault="0026452D" w:rsidP="0026452D">
      <w:pPr>
        <w:pStyle w:val="TextoNormal"/>
      </w:pPr>
    </w:p>
    <w:p w:rsidR="0026452D" w:rsidRDefault="0026452D" w:rsidP="0026452D">
      <w:pPr>
        <w:pStyle w:val="TextoNormal"/>
      </w:pPr>
      <w:r>
        <w:t>El art. 6.2, que establece que los procedimientos de concesión de control de las subvenciones contenidas en la Ley sean de aplicación supletoria respecto de las normas de aplicación directa a las subvenciones financiadas con cargo a fondos de la Unión Europea, se considera inconstitucional por la representación autonómica porque la doctrina del Tribunal Constitucional ha determinado que la conexión con el Derecho comunitario corresponde a quien sea competente en el orden interno y ha de ser la Administración competente la que dicte la normativa de desarrollo necesaria para la aplicación de dicho ordenamiento, sin que sea de aplicación la normativa estatal.</w:t>
      </w:r>
    </w:p>
    <w:p w:rsidR="0026452D" w:rsidRDefault="0026452D" w:rsidP="0026452D">
      <w:pPr>
        <w:pStyle w:val="TextoNormal"/>
      </w:pPr>
    </w:p>
    <w:p w:rsidR="0026452D" w:rsidRDefault="0026452D" w:rsidP="0026452D">
      <w:pPr>
        <w:pStyle w:val="TextoNormal"/>
      </w:pPr>
      <w:r>
        <w:t xml:space="preserve">El art. 7, apartados 2 y 3, se refiere a la articulación de las responsabilidades financieras que se generan ante la Unión Europea como consecuencia de la gestión de fondos comunitarios, atribuyendo al Estado la posibilidad de exigir la correspondiente responsabilidad. La representación autonómica admite que la exigencia de tal responsabilidad deriva de la doctrina establecida en la STC 148/1998, de 2 de julio, pero rechaza la fórmula legal contenida en los preceptos impugnados por suponer un control de perfiles indeterminados que no es acorde con el art. 153 CE, pues somete a la actuación administrativa autonómica a un poder estatal de supervisión y consiguiente decisión ejecutiva. Excluye, además, que pueda considerarse una actuación estatal vinculada a la competencia de coordinación, especialmente </w:t>
      </w:r>
      <w:r>
        <w:lastRenderedPageBreak/>
        <w:t>si se considera que el control estatal se anuda a una subsiguiente deducción de fondos a las Comunidades Autónomas que afecta a su autonomía financiera.</w:t>
      </w:r>
    </w:p>
    <w:p w:rsidR="0026452D" w:rsidRDefault="0026452D" w:rsidP="0026452D">
      <w:pPr>
        <w:pStyle w:val="TextoNormal"/>
      </w:pPr>
    </w:p>
    <w:p w:rsidR="0026452D" w:rsidRDefault="0026452D" w:rsidP="0026452D">
      <w:pPr>
        <w:pStyle w:val="TextoNormal"/>
      </w:pPr>
      <w:r>
        <w:t>El art. 8.1 y 2, que contiene regulaciones sobre los requisitos que han de satisfacer los órganos de las Administraciones públicas que propongan el establecimiento de subvenciones, se considera lesivo del orden constitucional de competencias, pues se extralimita de las habilitaciones que otorgan los títulos de hacienda general y de planificación económica al imponer a las Comunidades Autónomas un instrumento de planificación interno, impidiendo que estas se doten de los instrumentos que consideren oportunos. En conclusión, se considera que el precepto vulnera la competencia autonómica de autoorganización y su autonomía financiera.</w:t>
      </w:r>
    </w:p>
    <w:p w:rsidR="0026452D" w:rsidRDefault="0026452D" w:rsidP="0026452D">
      <w:pPr>
        <w:pStyle w:val="TextoNormal"/>
      </w:pPr>
    </w:p>
    <w:p w:rsidR="0026452D" w:rsidRDefault="0026452D" w:rsidP="0026452D">
      <w:pPr>
        <w:pStyle w:val="TextoNormal"/>
      </w:pPr>
      <w:r>
        <w:t xml:space="preserve">El art. 12.1, sobre los cometidos de las entidades colaboradoras, a las que atribuye las funciones de distribución de fondos y colaboración en la gestión, regula de forma cerrada las dos funciones que pueden atribuirse a las entidades colaboradoras, lo que cercena, a juicio de la representación procesal del Gobierno de Aragón, la posibilidad de que la Administración autonómica atribuya a estas entidades otras funciones relacionadas con el manejo de las subvenciones (como la determinación de los perceptores mediante la valoración de las solicitudes o la intervención en la fase de control una vez gestionadas las subvenciones). De esta forma, el Estado se adentra en una cuestión organizativa interna de las Administraciones públicas (las funciones de las entidades colaboradoras) y se excede de la competencia básica que le corresponde </w:t>
      </w:r>
      <w:r w:rsidRPr="0026452D">
        <w:rPr>
          <w:i/>
        </w:rPr>
        <w:t>ex</w:t>
      </w:r>
      <w:r>
        <w:t xml:space="preserve"> art. 149.1.18 CE, tal y como se deriva de la doctrina constitucional (STC 243/1994, de 21 de julio).</w:t>
      </w:r>
    </w:p>
    <w:p w:rsidR="0026452D" w:rsidRDefault="0026452D" w:rsidP="0026452D">
      <w:pPr>
        <w:pStyle w:val="TextoNormal"/>
      </w:pPr>
    </w:p>
    <w:p w:rsidR="0026452D" w:rsidRDefault="0026452D" w:rsidP="0026452D">
      <w:pPr>
        <w:pStyle w:val="TextoNormal"/>
      </w:pPr>
      <w:r>
        <w:t>El art. 13.5, referido a las prohibiciones que afectan a los beneficiarios o entidades colaboradoras, supone, según el Letrado autonómico, una prohibición de carácter sancionatorio que es contraria al art. 25 CE, por no establecer con la suficiente concreción legal la consecuencia jurídica del acto realizado, dejándolo al desarrollo reglamentario.</w:t>
      </w:r>
    </w:p>
    <w:p w:rsidR="0026452D" w:rsidRDefault="0026452D" w:rsidP="0026452D">
      <w:pPr>
        <w:pStyle w:val="TextoNormal"/>
      </w:pPr>
    </w:p>
    <w:p w:rsidR="0026452D" w:rsidRDefault="0026452D" w:rsidP="0026452D">
      <w:pPr>
        <w:pStyle w:val="TextoNormal"/>
      </w:pPr>
      <w:r>
        <w:t>El art. 13.7, que regula la justificación por parte de las personas o entidades de no estar incursos en las prohibiciones para obtener la condición de beneficiario o entidad colaboradora, no puede ser concebido, según el Letrado autonómico, como una norma de procedimiento administrativo común, pues en el procedimiento subvencional, como procedimiento especial, la concreción de los documentos o justificantes a presentar corresponde a la Administración competente, sin que la regulación sobre ello deba ser unitaria.</w:t>
      </w:r>
    </w:p>
    <w:p w:rsidR="0026452D" w:rsidRDefault="0026452D" w:rsidP="0026452D">
      <w:pPr>
        <w:pStyle w:val="TextoNormal"/>
      </w:pPr>
    </w:p>
    <w:p w:rsidR="0026452D" w:rsidRDefault="0026452D" w:rsidP="0026452D">
      <w:pPr>
        <w:pStyle w:val="TextoNormal"/>
      </w:pPr>
      <w:r>
        <w:t>El art. 14.1 e) establece la obligación de los beneficiarios de las subvenciones, que debe acreditarse antes de la propuesta de resolución, de estar al corriente de sus obligaciones tributarias y frente a la Seguridad Social. Se considera que tanto la prescripción de que se acredite el cumplimiento de la obligación en un cierto momento —antes de la propuesta de resolución— como la exigencia misma de que exista tal propuesta de resolución —con distinción, pues, entre dicha propuesta y la resolución— exceden de lo que es propio del procedimiento común que el Estado puede establecer. El reproche se concreta, por tanto, en el inciso “con anterioridad a dictarse la propuesta de resolución”.</w:t>
      </w:r>
    </w:p>
    <w:p w:rsidR="0026452D" w:rsidRDefault="0026452D" w:rsidP="0026452D">
      <w:pPr>
        <w:pStyle w:val="TextoNormal"/>
      </w:pPr>
    </w:p>
    <w:p w:rsidR="0026452D" w:rsidRDefault="0026452D" w:rsidP="0026452D">
      <w:pPr>
        <w:pStyle w:val="TextoNormal"/>
      </w:pPr>
      <w:r>
        <w:t xml:space="preserve">El art. 15.1 regula las obligaciones de la entidad colaboradora. El establecimiento de dichas obligaciones se considera un exceso de la competencia estatal, ya que corresponde fijarlas a la Comunidad Autónoma competente por razón de la materia. Se produce, así, una </w:t>
      </w:r>
      <w:r>
        <w:lastRenderedPageBreak/>
        <w:t>intromisión por parte del legislador en la forma de administrar, que se concreta en la imposición de un régimen uniforme de las entidades colaboradoras para todas las Comunidades Autónomas, siendo rechazables en especial sus apartados a) y b).</w:t>
      </w:r>
    </w:p>
    <w:p w:rsidR="0026452D" w:rsidRDefault="0026452D" w:rsidP="0026452D">
      <w:pPr>
        <w:pStyle w:val="TextoNormal"/>
      </w:pPr>
    </w:p>
    <w:p w:rsidR="0026452D" w:rsidRDefault="0026452D" w:rsidP="0026452D">
      <w:pPr>
        <w:pStyle w:val="TextoNormal"/>
      </w:pPr>
      <w:r>
        <w:t>El art. 16.1 prevé el establecimiento de un convenio de colaboración entre el órgano concedente de la subvención y la entidad colaboradora que contendrá las condiciones y obligaciones asumidas por ésta. Se considera que el título “régimen jurídico de las Administraciones públicas” no permite al Estado descender al detalle de regular el instrumento a través del cual ha de formalizarse la relación entre la Administración concedente y la entidad colaboradora imponiendo el convenio, pues ello resulta contrario a la potestad de autoorganización de las Comunidades Autónomas que podrían lícitamente acudir a otras fórmulas (por ejemplo, la autorización de entidades colaboradoras en el marco de un régimen general previamente establecido), ya que no se advierte motivo alguno por el que haya de imponerse por el Estado un régimen uniforme de organización en este punto. Es más, se señala también que la Ley 38/2003 se separa del régimen de la delegación previsto en el art. 13 de la Ley 30/1992, que considera únicamente necesario un acto de delegación para este tipo de supuestos, sin que, a través de la regulación de la subvención, pueda el Estado “subvertir la regulación establecida para el general de los casos y que además es acorde con la naturaleza administrativa de los intervinientes”.</w:t>
      </w:r>
    </w:p>
    <w:p w:rsidR="0026452D" w:rsidRDefault="0026452D" w:rsidP="0026452D">
      <w:pPr>
        <w:pStyle w:val="TextoNormal"/>
      </w:pPr>
    </w:p>
    <w:p w:rsidR="0026452D" w:rsidRDefault="0026452D" w:rsidP="0026452D">
      <w:pPr>
        <w:pStyle w:val="TextoNormal"/>
      </w:pPr>
      <w:r>
        <w:t>El art. 16.5 regula el proceso de selección de las entidades colaboradoras cuando las mismas sean personas sujetas al Derecho privado. Se considera que el primer párrafo vulnera las competencias autonómicas con igual fundamento que el apartado 1 del mismo precepto, antes expuesto, es decir, por imponer la figura del convenio. El párrafo segundo se reputa inconstitucional también por las mismas razones por las que se ha impugnado el art. 15, es decir, por entender que el Estado carece de competencia para establecer con carácter básico las funciones de las entidades colaboradoras.</w:t>
      </w:r>
    </w:p>
    <w:p w:rsidR="0026452D" w:rsidRDefault="0026452D" w:rsidP="0026452D">
      <w:pPr>
        <w:pStyle w:val="TextoNormal"/>
      </w:pPr>
    </w:p>
    <w:p w:rsidR="0026452D" w:rsidRDefault="0026452D" w:rsidP="0026452D">
      <w:pPr>
        <w:pStyle w:val="TextoNormal"/>
      </w:pPr>
      <w:r>
        <w:t>El art. 18.4 dispone que los beneficiarios den la adecuada publicidad del carácter público de la financiación de los programas objeto de subvención. El precepto se impugna en conexión con el art. 14.1 h), que exige a los beneficiarios adoptar esta medida. La demanda rechaza que estos preceptos tengan carácter básico y que puedan constituir una norma de procedimiento administrativo común, debiendo ser la Administración competente la que imponga las cargas a los beneficiarios: “el ‘tratamiento común’ de los administrados no pasa por establecer una obligación de publicidad con carácter básico, que debería quedar al arbitrio de las Administraciones competentes por razón de la materia”.</w:t>
      </w:r>
    </w:p>
    <w:p w:rsidR="0026452D" w:rsidRDefault="0026452D" w:rsidP="0026452D">
      <w:pPr>
        <w:pStyle w:val="TextoNormal"/>
      </w:pPr>
    </w:p>
    <w:p w:rsidR="0026452D" w:rsidRDefault="0026452D" w:rsidP="0026452D">
      <w:pPr>
        <w:pStyle w:val="TextoNormal"/>
      </w:pPr>
      <w:r>
        <w:t>El art. 19.5 determina que los rendimientos financieros generados por los fondos librados a los particulares incrementen el importe de la subvención, salvo que, motivadamente, se disponga otra cosa en las bases reguladoras de la subvención. Se rechaza que este criterio pueda imponerse, por ningún título estatal, a la Comunidad Autónoma competente por razón de la materia.</w:t>
      </w:r>
    </w:p>
    <w:p w:rsidR="0026452D" w:rsidRDefault="0026452D" w:rsidP="0026452D">
      <w:pPr>
        <w:pStyle w:val="TextoNormal"/>
      </w:pPr>
    </w:p>
    <w:p w:rsidR="0026452D" w:rsidRDefault="0026452D" w:rsidP="0026452D">
      <w:pPr>
        <w:pStyle w:val="TextoNormal"/>
      </w:pPr>
      <w:r>
        <w:t xml:space="preserve">El art. 22.1 establece el principio de que el procedimiento ordinario de concesión de subvenciones se haga en régimen de concurrencia competitiva, fijando sus características. La representación procesal autonómica entiende que el precepto —considerando su relación con el apartado 2, que relaciona los supuestos no sometidos al régimen de concurrencia </w:t>
      </w:r>
      <w:r>
        <w:lastRenderedPageBreak/>
        <w:t>competitiva— mediatiza la actuación de la Administración competente por razón de la materia, inmiscuyéndose el legislador estatal en la regulación de un procedimiento especial, lo que no tiene justificación en ninguno de los títulos habilitantes de la Ley, llegándose, incluso, a imponer la existencia de un órgano colegiado en la tramitación del procedimiento y la separación entre órganos de valoración, instrucción y resolución.</w:t>
      </w:r>
    </w:p>
    <w:p w:rsidR="0026452D" w:rsidRDefault="0026452D" w:rsidP="0026452D">
      <w:pPr>
        <w:pStyle w:val="TextoNormal"/>
      </w:pPr>
    </w:p>
    <w:p w:rsidR="0026452D" w:rsidRDefault="0026452D" w:rsidP="0026452D">
      <w:pPr>
        <w:pStyle w:val="TextoNormal"/>
      </w:pPr>
      <w:r>
        <w:t>El art. 29.3 somete a determinados requisitos la subcontratación por el beneficiario de la actividad que constituye el objeto de la subvención, en concreto cuando la actividad concertada exceda del 20 por 100 del importe de la subvención. Se atribuye al precepto extralimitación en los títulos invocados, por regular minuciosamente aspectos de detalle de un procedimiento especial y hacerlo con carácter general, con independencia de la materia en que incida la subvención.</w:t>
      </w:r>
    </w:p>
    <w:p w:rsidR="0026452D" w:rsidRDefault="0026452D" w:rsidP="0026452D">
      <w:pPr>
        <w:pStyle w:val="TextoNormal"/>
      </w:pPr>
    </w:p>
    <w:p w:rsidR="0026452D" w:rsidRDefault="0026452D" w:rsidP="0026452D">
      <w:pPr>
        <w:pStyle w:val="TextoNormal"/>
      </w:pPr>
      <w:r>
        <w:t>El art. 29.7 b) y e) contiene un catálogo de situaciones personales respecto de las cuales no puede el beneficiario de la subvención concertar la ejecución total o parcial de las actividades subvencionadas. Las reglas contenidas en el precepto, aparte de ser objeto de crítica de carácter material y por su grado excesivo de detalle, no quedan amparadas —según la demanda— por la competencia estatal de hacienda general, sino que constituyen normas de política subvencional que corresponde determinar a cada Administración competent</w:t>
      </w:r>
      <w:r w:rsidRPr="0026452D">
        <w:rPr>
          <w:i/>
        </w:rPr>
        <w:t>e ratione materi</w:t>
      </w:r>
      <w:r>
        <w:t>ae.</w:t>
      </w:r>
    </w:p>
    <w:p w:rsidR="0026452D" w:rsidRDefault="0026452D" w:rsidP="0026452D">
      <w:pPr>
        <w:pStyle w:val="TextoNormal"/>
      </w:pPr>
    </w:p>
    <w:p w:rsidR="0026452D" w:rsidRDefault="0026452D" w:rsidP="0026452D">
      <w:pPr>
        <w:pStyle w:val="TextoNormal"/>
      </w:pPr>
      <w:r>
        <w:t>El art. 30.5 exige aportar, en el caso de adquisición de bienes inmuebles, certificado de tasador independiente acreditado. Se impone, según la demanda, una regulación sobre un extremo documental que corresponde adoptar a la Administración con competencias materiales.</w:t>
      </w:r>
    </w:p>
    <w:p w:rsidR="0026452D" w:rsidRDefault="0026452D" w:rsidP="0026452D">
      <w:pPr>
        <w:pStyle w:val="TextoNormal"/>
      </w:pPr>
    </w:p>
    <w:p w:rsidR="0026452D" w:rsidRDefault="0026452D" w:rsidP="0026452D">
      <w:pPr>
        <w:pStyle w:val="TextoNormal"/>
      </w:pPr>
      <w:r>
        <w:t>El art. 31.2 determina lo que ha de considerarse como gastos “realizados” a los efectos de la subvención. Este criterio, que se concreta de modo temporal, supone, según la demanda, una previsión complementaria que debería ser fijada, según los casos, en cada convocatoria. Añade que puesto que el precepto prevé que pueda excepcionarse precisamente por las convocatorias, carece de carácter básico.</w:t>
      </w:r>
    </w:p>
    <w:p w:rsidR="0026452D" w:rsidRDefault="0026452D" w:rsidP="0026452D">
      <w:pPr>
        <w:pStyle w:val="TextoNormal"/>
      </w:pPr>
    </w:p>
    <w:p w:rsidR="0026452D" w:rsidRDefault="0026452D" w:rsidP="0026452D">
      <w:pPr>
        <w:pStyle w:val="TextoNormal"/>
      </w:pPr>
      <w:r>
        <w:t>El art. 31.3, relativo a los gastos subvencionables, establece los requisitos que han de satisfacerse cuando el gasto subvencionable supere determinadas cuantías, en concreto el número de ofertas a presentar y las prescripciones procedimentales correspondientes. Se impugna el precepto por no poder ampararse en los títulos estatales y por su excesivo grado de detalle.</w:t>
      </w:r>
    </w:p>
    <w:p w:rsidR="0026452D" w:rsidRDefault="0026452D" w:rsidP="0026452D">
      <w:pPr>
        <w:pStyle w:val="TextoNormal"/>
      </w:pPr>
    </w:p>
    <w:p w:rsidR="0026452D" w:rsidRDefault="0026452D" w:rsidP="0026452D">
      <w:pPr>
        <w:pStyle w:val="TextoNormal"/>
      </w:pPr>
      <w:r>
        <w:t>El art. 31.4 y 5 se refiere a los denominados bienes inventariables, estableciendo las normas a que quedan sometidos, normas que no se refieren a su consideración como gasto subvencionable, sino a la sujeción de estos bienes al destino que requiere la actividad subvencionada. Se trata, a juicio de la representación procesal autonómica, de normas imperativas sobre aspectos diversos —afección o destino obligado, posibilidad de sustitución, transmisión, gravamen— que deben ser establecidos por cada Administración competente, careciendo de justificación su regulación general.</w:t>
      </w:r>
    </w:p>
    <w:p w:rsidR="0026452D" w:rsidRDefault="0026452D" w:rsidP="0026452D">
      <w:pPr>
        <w:pStyle w:val="TextoNormal"/>
      </w:pPr>
    </w:p>
    <w:p w:rsidR="0026452D" w:rsidRDefault="0026452D" w:rsidP="0026452D">
      <w:pPr>
        <w:pStyle w:val="TextoNormal"/>
      </w:pPr>
      <w:r>
        <w:lastRenderedPageBreak/>
        <w:t>El art. 31.6, 7 y 8 regula, a efectos subvencionables, la amortización de los gastos inventariables, así como los gastos financieros, de asesoría jurídica, notariales, registrales y periciales y los tributarios. Se rechaza que esta regulación de detalle pueda imponerse desde los títulos estatales, por entender que se trata de criterios normativos que no pueden imponerse a la Administración competente.</w:t>
      </w:r>
    </w:p>
    <w:p w:rsidR="0026452D" w:rsidRDefault="0026452D" w:rsidP="0026452D">
      <w:pPr>
        <w:pStyle w:val="TextoNormal"/>
      </w:pPr>
    </w:p>
    <w:p w:rsidR="0026452D" w:rsidRDefault="0026452D" w:rsidP="0026452D">
      <w:pPr>
        <w:pStyle w:val="TextoNormal"/>
      </w:pPr>
      <w:r>
        <w:t>El art. 37.1 d) considera causa de reintegro de la subvención el incumplimiento de la obligación de adoptar las medidas de difusión previstas en el art. 18.4. Se impugna por la conexión que mantiene con los arts. 14.1 h) y 18.4 y con igual razonamiento.</w:t>
      </w:r>
    </w:p>
    <w:p w:rsidR="0026452D" w:rsidRDefault="0026452D" w:rsidP="0026452D">
      <w:pPr>
        <w:pStyle w:val="TextoNormal"/>
      </w:pPr>
    </w:p>
    <w:p w:rsidR="0026452D" w:rsidRDefault="0026452D" w:rsidP="0026452D">
      <w:pPr>
        <w:pStyle w:val="TextoNormal"/>
      </w:pPr>
      <w:r>
        <w:t>El art. 37.1 f) se refiere a otras causas de reintegro de las subvenciones (incumplimiento de las condiciones impuestas por la Administración, o de los compromisos adquiridos). Con ello, según el Gobierno autonómico recurrente, se condiciona o perturba la propia regulación de esas condiciones de incumplimiento por parte de cada Administración competente por razón de la materia, invadiendo directamente su ámbito más genuino. En suma, si el Estado no puede condicionar a la Comunidad Autónoma imponiéndole las condiciones de otorgamiento, tampoco puede señalar la consecuencia de reintegro por incumplimiento de las condiciones de otorgamiento.</w:t>
      </w:r>
    </w:p>
    <w:p w:rsidR="0026452D" w:rsidRDefault="0026452D" w:rsidP="0026452D">
      <w:pPr>
        <w:pStyle w:val="TextoNormal"/>
      </w:pPr>
    </w:p>
    <w:p w:rsidR="0026452D" w:rsidRDefault="0026452D" w:rsidP="0026452D">
      <w:pPr>
        <w:pStyle w:val="TextoNormal"/>
      </w:pPr>
      <w:r>
        <w:t>El art. 45.2 c), que regula el control financiero de ayudas y subvenciones financiadas total o parcialmente con cargo a fondos de la Unión Europea, prevé que la Intervención General de la Administración del Estado efectúe los controles previstos en el plazo anual cuando razones de orden territorial o de otra índole lo aconsejen. Para la demanda, siendo clara la doctrina constitucional sobre la Administración competente para la gestión de las ayudas procedentes de la Unión Europea, que corresponde a la que lo sea por razón de la materia, no caben controles genéricos o indeterminados en relación con las subvenciones gestionadas por las Comunidades Autónomas como el que ahora se prevé (STC 98/2001, de 5 de abril, FJ 8), rechazando que tal control proceda en los supuestos previstos en la norma (“razones de índole territorial o de otra índole”), de carácter indeterminado.</w:t>
      </w:r>
    </w:p>
    <w:p w:rsidR="0026452D" w:rsidRDefault="0026452D" w:rsidP="0026452D">
      <w:pPr>
        <w:pStyle w:val="TextoNormal"/>
      </w:pPr>
    </w:p>
    <w:p w:rsidR="0026452D" w:rsidRDefault="0026452D" w:rsidP="0026452D">
      <w:pPr>
        <w:pStyle w:val="TextoNormal"/>
      </w:pPr>
      <w:r>
        <w:t>El art. 56 regula las infracciones leves. La demanda, tras aludir a la doctrina constitucional sobre la posibilidad de que las Comunidades Autónomas establezcan un régimen propio sancionador en materias en las que ostenten la competencia de desarrollo legislativo, señala que el precepto configura como infracción leve cualquier infracción de las condiciones de otorgamiento de la subvención que, recaída en las bases de la convocatoria, no constituya infracción grave o muy grave, de forma general e indeterminada, sin dejar ámbito a las Comunidades Autónomas para valorar su tipificación y su consideración como infracción leve, grave o muy grave, lo que, siendo ya discutible desde la perspectiva de la legalidad material, excede de lo que debe entenderse como legislación básica.</w:t>
      </w:r>
    </w:p>
    <w:p w:rsidR="0026452D" w:rsidRDefault="0026452D" w:rsidP="0026452D">
      <w:pPr>
        <w:pStyle w:val="TextoNormal"/>
      </w:pPr>
    </w:p>
    <w:p w:rsidR="0026452D" w:rsidRDefault="0026452D" w:rsidP="0026452D">
      <w:pPr>
        <w:pStyle w:val="TextoNormal"/>
      </w:pPr>
      <w:r>
        <w:t>El art. 57 e) recibe un reproche que se conecta con el formulado a los arts. 12 y 15, al ser todos ellos reguladores de las entidades colaboradoras, reproche consistente en negar que la regulación de dichas entidades pueda considerarse norma básica del régimen jurídico de las Administraciones públicas. Por ello, al basarse la infracción grave regulada en este precepto en el incumplimiento de obligaciones cuyo carácter básico se niega, el Gobierno de Aragón sostiene que tal infracción carece igualmente de cobertura en título competencial alguno del Estado.</w:t>
      </w:r>
    </w:p>
    <w:p w:rsidR="0026452D" w:rsidRDefault="0026452D" w:rsidP="0026452D">
      <w:pPr>
        <w:pStyle w:val="TextoNormal"/>
      </w:pPr>
    </w:p>
    <w:p w:rsidR="0026452D" w:rsidRDefault="0026452D" w:rsidP="0026452D">
      <w:pPr>
        <w:pStyle w:val="TextoNormal"/>
      </w:pPr>
      <w:r>
        <w:lastRenderedPageBreak/>
        <w:t>El art. 58 d) tipifica como infracción muy grave de la entidad colaboradora la falta de entrega de los fondos a los beneficiarios. Se dirige al precepto igual tacha que la formulada en el caso del anterior precepto.</w:t>
      </w:r>
    </w:p>
    <w:p w:rsidR="0026452D" w:rsidRDefault="0026452D" w:rsidP="0026452D">
      <w:pPr>
        <w:pStyle w:val="TextoNormal"/>
      </w:pPr>
    </w:p>
    <w:p w:rsidR="0026452D" w:rsidRDefault="0026452D" w:rsidP="0026452D">
      <w:pPr>
        <w:pStyle w:val="TextoNormal"/>
      </w:pPr>
      <w:r>
        <w:t>El art. 67.2 y 3 prevé la iniciación (de oficio) del procedimiento sancionador y la imposición de sanciones, que pondrá fin a la vía administrativa. Se rechaza que el Estado pueda regular estos aspectos del procedimiento sancionador, pues se considera que deben hacerlo las Comunidades Autónomas de acuerdo con lo previsto en la Ley 30/1992, de 26 de noviembre.</w:t>
      </w:r>
    </w:p>
    <w:p w:rsidR="0026452D" w:rsidRDefault="0026452D" w:rsidP="0026452D">
      <w:pPr>
        <w:pStyle w:val="TextoNormal"/>
      </w:pPr>
    </w:p>
    <w:p w:rsidR="0026452D" w:rsidRDefault="0026452D" w:rsidP="0026452D">
      <w:pPr>
        <w:pStyle w:val="TextoNormal"/>
      </w:pPr>
      <w:r>
        <w:t>Por último, se impugna la disposición final primera, que contiene los títulos habilitantes del Estado para dictar la Ley 38/2003, al rechazar el Gobierno de Aragón que los preceptos impugnados de la misma, por las razones anteriormente indicadas, puedan tener carácter básico de acuerdo con dichos títulos competenciales.</w:t>
      </w:r>
    </w:p>
    <w:p w:rsidR="0026452D" w:rsidRDefault="0026452D" w:rsidP="0026452D">
      <w:pPr>
        <w:pStyle w:val="TextoNormal"/>
      </w:pPr>
    </w:p>
    <w:p w:rsidR="0026452D" w:rsidRDefault="0026452D" w:rsidP="0026452D">
      <w:pPr>
        <w:pStyle w:val="TextoNormal"/>
      </w:pPr>
      <w:r>
        <w:t>Tras todo lo expuesto, el Letrado de la Comunidad Autónoma de Aragón solicita a este Tribunal que declare la nulidad, por ser contrarios a la Constitución, de los arts. 3.4; 5.2; 6.2 y 7; 13.5 y 45.2 c) de la Ley 38/2003. Y, asimismo, que declare la falta de carácter básico y, por tanto, su no aplicación a la Comunidad Autónoma de Aragón, de los arts. 8.1 y 2; 12.1; 13.7; 14.1 e) y h); 15.1 a) y b); 16.1 y 5; 18.4; 19.5; 22.1; 29.3 y 7 b) y e); 30.5; 31.2, 3, 4, 5, 6, 7 y 8; 37.1 d) y f); 56, primer inciso, c) y d); 57 e), 58 d), 67.2 y 3; y la disposición final primera de la Ley 38/2003.</w:t>
      </w:r>
    </w:p>
    <w:p w:rsidR="0026452D" w:rsidRDefault="0026452D" w:rsidP="0026452D">
      <w:pPr>
        <w:pStyle w:val="TextoNormal"/>
      </w:pPr>
    </w:p>
    <w:p w:rsidR="0026452D" w:rsidRDefault="0026452D" w:rsidP="0026452D">
      <w:pPr>
        <w:pStyle w:val="TextoNormal"/>
      </w:pPr>
      <w:r w:rsidRPr="0026452D">
        <w:rPr>
          <w:rStyle w:val="NumeroAFNegritaCaracter"/>
        </w:rPr>
        <w:t>2</w:t>
      </w:r>
      <w:r>
        <w:t>. Con fecha 30 de marzo de 2004, el Letrado de la Comunidad Autónoma de Aragón se dirige al Tribunal Constitucional señalando que se ha advertido un error en la certificación del acuerdo impugnatorio del Gobierno de Aragón de 10 de febrero de 2004, en el que, equivocadamente, se incluía la disposición adicional primera en vez de la disposición final primera. Por ello, se adjunta una nueva certificación en el que consta el tenor literal propio del acuerdo adoptado por el Gobierno de Aragón, solicitando al Tribunal que tenga por subsanado el error formal cometido.</w:t>
      </w:r>
    </w:p>
    <w:p w:rsidR="0026452D" w:rsidRDefault="0026452D" w:rsidP="0026452D">
      <w:pPr>
        <w:pStyle w:val="TextoNormal"/>
      </w:pPr>
    </w:p>
    <w:p w:rsidR="0026452D" w:rsidRDefault="0026452D" w:rsidP="0026452D">
      <w:pPr>
        <w:pStyle w:val="TextoNormal"/>
      </w:pPr>
      <w:r w:rsidRPr="0026452D">
        <w:rPr>
          <w:rStyle w:val="NumeroAFNegritaCaracter"/>
        </w:rPr>
        <w:t>3</w:t>
      </w:r>
      <w:r>
        <w:t>. Por providencia de 26 de marzo de 2004, el Pleno del Tribunal acordó admitir a trámite el recurso de inconstitucionalidad interpuesto por el Gobierno de Aragón contra diversos preceptos de la Ley 38/2003, de 17 de noviembre, general de subvenciones y dar traslado de la demanda y documentos presentados, conforme establece el art. 34 de la Ley Orgánica del Tribunal Constitucional, al Congreso, al Senado y al Gobierno, al objeto de que en el plazo de quince días puedan personarse en el proceso y formular alegaciones. También acordó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4</w:t>
      </w:r>
      <w:r>
        <w:t>. El día 5 de abril de 2004 se registra en el Tribunal un escrito de la Presidenta del Congreso de los Diputados trasladando el acuerdo de la Mesa de la Cámara de no personarse en el procedimiento ni presentar alegaciones, poniéndose a disposición del Tribunal.</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con fecha 20 de abril de 2004, el Abogado del Estado se persona en el procedimiento y formula las alegaciones que se recogen resumidamente a continuación.</w:t>
      </w:r>
    </w:p>
    <w:p w:rsidR="0026452D" w:rsidRDefault="0026452D" w:rsidP="0026452D">
      <w:pPr>
        <w:pStyle w:val="TextoNormal"/>
      </w:pPr>
    </w:p>
    <w:p w:rsidR="0026452D" w:rsidRDefault="0026452D" w:rsidP="0026452D">
      <w:pPr>
        <w:pStyle w:val="TextoNormal"/>
      </w:pPr>
      <w:r>
        <w:lastRenderedPageBreak/>
        <w:t>a) En primer lugar se refiere al orden constitucional de competencias respecto al régimen jurídico de la relación subvencional.</w:t>
      </w:r>
    </w:p>
    <w:p w:rsidR="0026452D" w:rsidRDefault="0026452D" w:rsidP="0026452D">
      <w:pPr>
        <w:pStyle w:val="TextoNormal"/>
      </w:pPr>
    </w:p>
    <w:p w:rsidR="0026452D" w:rsidRDefault="0026452D" w:rsidP="0026452D">
      <w:pPr>
        <w:pStyle w:val="TextoNormal"/>
      </w:pPr>
      <w:r>
        <w:t>Así, alude a la exposición de motivos de la Ley impugnada, que de forma expresa resume la doctrina del Tribunal Constitucional respecto al art. 149.1.18 CE, que, dada la competencia estatal exclusiva sobre las bases del régimen jurídico de las Administraciones públicas y sobre el procedimiento administrativo común, le permite al Estado establecer un régimen jurídico común sobre la relación subvencional. Este régimen jurídico común viene exigido además por la naturaleza de la subvención como una modalidad de gasto público, siéndole de aplicación los principios contenidos en diversos preceptos de la Constitución, en concreto los arts. 31.2 (asignación equitativa de los recursos a través del gasto público), 128.1 (subordinación de toda riqueza del país, sea cual fuere su titularidad, al interés general), 131.1 (planificación por el Estado de la actividad económica general) y 134.2 (inclusión en los presupuestos generales del Estado de la totalidad del gasto y, en concreto, de las subvenciones). De aquí la invocación de los títulos competenciales previstos en el art. 149.1.13 y 14 CE.</w:t>
      </w:r>
    </w:p>
    <w:p w:rsidR="0026452D" w:rsidRDefault="0026452D" w:rsidP="0026452D">
      <w:pPr>
        <w:pStyle w:val="TextoNormal"/>
      </w:pPr>
    </w:p>
    <w:p w:rsidR="0026452D" w:rsidRDefault="0026452D" w:rsidP="0026452D">
      <w:pPr>
        <w:pStyle w:val="TextoNormal"/>
      </w:pPr>
      <w:r>
        <w:t>Por tanto, el Abogado del Estado señala que, de acuerdo con la doctrina del Tribunal Constitucional, el Estado:</w:t>
      </w:r>
    </w:p>
    <w:p w:rsidR="0026452D" w:rsidRDefault="0026452D" w:rsidP="0026452D">
      <w:pPr>
        <w:pStyle w:val="TextoNormal"/>
      </w:pPr>
    </w:p>
    <w:p w:rsidR="0026452D" w:rsidRDefault="0026452D" w:rsidP="0026452D">
      <w:pPr>
        <w:pStyle w:val="TextoNormal"/>
      </w:pPr>
      <w:r>
        <w:t>- Puede establecer, de acuerdo con su competencia, la regulación de las bases del régimen jurídico de las Administraciones públicas, principios y reglas básicas sobre aspectos organizativos y de funcionamiento de todas las Administraciones públicas determinando los elementos esenciales que garantizan un régimen jurídico unitario aplicable a todas ellas (SSTC 32/1981, de 28 de julio; 227/1988, de 29 de noviembre; y 50/1999, de 6 de abril).</w:t>
      </w:r>
    </w:p>
    <w:p w:rsidR="0026452D" w:rsidRDefault="0026452D" w:rsidP="0026452D">
      <w:pPr>
        <w:pStyle w:val="TextoNormal"/>
      </w:pPr>
    </w:p>
    <w:p w:rsidR="0026452D" w:rsidRDefault="0026452D" w:rsidP="0026452D">
      <w:pPr>
        <w:pStyle w:val="TextoNormal"/>
      </w:pPr>
      <w:r>
        <w:t>- Puede regular el procedimiento administrativo común, que se extiende no sólo a la regulación de aquél, sino también a los principios y normas que prescriben la forma de elaboración de los actos, los requisitos de validez y eficacia, los modos de revisión y los medios de ejecución de los actos administrativos, incluyendo las garantías de los particulares en el seno del procedimiento (SSTC 227/1988 y 50/1999).</w:t>
      </w:r>
    </w:p>
    <w:p w:rsidR="0026452D" w:rsidRDefault="0026452D" w:rsidP="0026452D">
      <w:pPr>
        <w:pStyle w:val="TextoNormal"/>
      </w:pPr>
    </w:p>
    <w:p w:rsidR="0026452D" w:rsidRDefault="0026452D" w:rsidP="0026452D">
      <w:pPr>
        <w:pStyle w:val="TextoNormal"/>
      </w:pPr>
      <w:r>
        <w:t>- En relación con la potestad sancionadora, puede regular con carácter básico los tipos ilícitos administrativos, los criterios para la calificación de su gravedad y los límites máximos y mínimos de las correspondientes sanciones, sin perjuicio de la legislación sancionadora que puedan establecer las Comunidades Autónomas para modular tipos y sanciones en el marco de aquellas normas básicas.</w:t>
      </w:r>
    </w:p>
    <w:p w:rsidR="0026452D" w:rsidRDefault="0026452D" w:rsidP="0026452D">
      <w:pPr>
        <w:pStyle w:val="TextoNormal"/>
      </w:pPr>
    </w:p>
    <w:p w:rsidR="0026452D" w:rsidRDefault="0026452D" w:rsidP="0026452D">
      <w:pPr>
        <w:pStyle w:val="TextoNormal"/>
      </w:pPr>
      <w:r>
        <w:t>Como consecuencia de todo ello, el Abogado del Estado considera que constituyen legislación básica, junto a la definición del ámbito de aplicación de la Ley 38/2003, las disposiciones comunes que definen los elementos objetivos y subjetivos de la relación jurídica subvencional, el régimen de coordinación de la actuación de las diferentes Administraciones públicas, las normas del procedimiento de gestión y justificación de las subvenciones, la invalidez de la resolución de concesión, las causas y obligados al reintegro de las subvenciones, el régimen material de las infracciones y las reglas básicas de las infracciones en el orden subvencional. Por tanto, concluye el Abogado del Estado, los preceptos impugnados que estén anudados a este contenido tienen carácter básico.</w:t>
      </w:r>
    </w:p>
    <w:p w:rsidR="0026452D" w:rsidRDefault="0026452D" w:rsidP="0026452D">
      <w:pPr>
        <w:pStyle w:val="TextoNormal"/>
      </w:pPr>
    </w:p>
    <w:p w:rsidR="0026452D" w:rsidRDefault="0026452D" w:rsidP="0026452D">
      <w:pPr>
        <w:pStyle w:val="TextoNormal"/>
      </w:pPr>
      <w:r>
        <w:lastRenderedPageBreak/>
        <w:t>b) Seguidamente, el Abogado del Estado procede al examen de los preceptos legales impugnados de acuerdo con el criterio indicado. Y así:</w:t>
      </w:r>
    </w:p>
    <w:p w:rsidR="0026452D" w:rsidRDefault="0026452D" w:rsidP="0026452D">
      <w:pPr>
        <w:pStyle w:val="TextoNormal"/>
      </w:pPr>
    </w:p>
    <w:p w:rsidR="0026452D" w:rsidRDefault="0026452D" w:rsidP="0026452D">
      <w:pPr>
        <w:pStyle w:val="TextoNormal"/>
      </w:pPr>
      <w:r>
        <w:t>Rechaza la impugnación dirigida a los arts. 3.4 a) y b) y 5.2. Siendo el argumento de la demanda que estos preceptos violan las competencias de las Comunidades Autónomas en las materias en las que corresponde al Estado la legislación básica y a aquéllas el desarrollo legislativo y la ejecución, aduce el Abogado del Estado que el precepto no impide que las Comunidades Autónomas desarrollen su competencia para concretar con mayor detalle la afectación o destino o, al menos, para desarrollar y complementar la regulación de las condiciones de otorgamiento de las ayudas y su tramitación (STC 13/1992).</w:t>
      </w:r>
    </w:p>
    <w:p w:rsidR="0026452D" w:rsidRDefault="0026452D" w:rsidP="0026452D">
      <w:pPr>
        <w:pStyle w:val="TextoNormal"/>
      </w:pPr>
    </w:p>
    <w:p w:rsidR="0026452D" w:rsidRDefault="0026452D" w:rsidP="0026452D">
      <w:pPr>
        <w:pStyle w:val="TextoNormal"/>
      </w:pPr>
      <w:r>
        <w:t>En cuanto a la aplicación de la Ley impugnada a las fases del procedimiento en materia de subvenciones que corresponda gestionar a la Administración General del Estado, sostiene el Abogado del Estado la aplicación también de la Ley en calidad de básica, integrándose con la norma autonómica de desarrollo.</w:t>
      </w:r>
    </w:p>
    <w:p w:rsidR="0026452D" w:rsidRDefault="0026452D" w:rsidP="0026452D">
      <w:pPr>
        <w:pStyle w:val="TextoNormal"/>
      </w:pPr>
    </w:p>
    <w:p w:rsidR="0026452D" w:rsidRDefault="0026452D" w:rsidP="0026452D">
      <w:pPr>
        <w:pStyle w:val="TextoNormal"/>
      </w:pPr>
      <w:r>
        <w:t>En concreto, respecto al art. 5.2, relativo a las subvenciones otorgadas por personas jurídicas administrativas, el Abogado del Estado sostiene que con esta regulación tampoco se impide que la Comunidad Autónoma legisle desarrollando las bases estatales, legislación autonómica a la que pueden remitirse el instrumento jurídico de creación o el convenio de creación de la persona jurídica.</w:t>
      </w:r>
    </w:p>
    <w:p w:rsidR="0026452D" w:rsidRDefault="0026452D" w:rsidP="0026452D">
      <w:pPr>
        <w:pStyle w:val="TextoNormal"/>
      </w:pPr>
    </w:p>
    <w:p w:rsidR="0026452D" w:rsidRDefault="0026452D" w:rsidP="0026452D">
      <w:pPr>
        <w:pStyle w:val="TextoNormal"/>
      </w:pPr>
      <w:r>
        <w:t>En cuanto al art. 6.2, parte el Abogado del Estado de la premisa de que el apartado 1 de precepto prevé que las subvenciones financiadas con cargo a fondos de la Unión Europea se rigen por la normativa comunitaria correspondiente y por las normas nacionales de desarrollo o transposición de aquélla, que pueden ser estatales o autonómicas.</w:t>
      </w:r>
    </w:p>
    <w:p w:rsidR="0026452D" w:rsidRDefault="0026452D" w:rsidP="0026452D">
      <w:pPr>
        <w:pStyle w:val="TextoNormal"/>
      </w:pPr>
    </w:p>
    <w:p w:rsidR="0026452D" w:rsidRDefault="0026452D" w:rsidP="0026452D">
      <w:pPr>
        <w:pStyle w:val="TextoNormal"/>
      </w:pPr>
      <w:r>
        <w:t>De acuerdo con ello, el apartado 2 impugnado, establece el carácter supletorio de la Ley 38/2003 solo en cuanto a los procedimientos de concesión y control de las subvenciones respecto a las normas de aplicación directa a dichas subvenciones con cargo a fondos europeos. O sea, para que el precepto sea de aplicación será necesario: en primer lugar, que exista una laguna legal, presupuesto exigido para que opone la supletoriedad; y en segundo lugar, la declaración de supletoriedad no se proyecta sobre los aspectos sustantivos de la materia en la que se concreta la actividad subvencional, lo que no estaría amparado por la jurisprudencia constitucional, sino solamente sobre los procedimientos de concesión y control de las subvenciones, lo que no altera el reparto competencial.</w:t>
      </w:r>
    </w:p>
    <w:p w:rsidR="0026452D" w:rsidRDefault="0026452D" w:rsidP="0026452D">
      <w:pPr>
        <w:pStyle w:val="TextoNormal"/>
      </w:pPr>
    </w:p>
    <w:p w:rsidR="0026452D" w:rsidRDefault="0026452D" w:rsidP="0026452D">
      <w:pPr>
        <w:pStyle w:val="TextoNormal"/>
      </w:pPr>
      <w:r>
        <w:t>En cuanto al art. 7.2 y 3, el Abogado del Estado parte del presupuesto de que la dimensión exterior de un asunto no permite interpretar expansivamente el art. 149.1.3 CE y de que la jurisprudencia constitucional sobre la garantía del cumplimiento de las obligaciones internacionales que el art. 93 CE encomienda al Estado exige que se le dote a éste de los instrumentos necesarios para realizar esta función pero sin alterar la distribución competencial. Por ello, las atribuciones de control y vigilancia para el aseguramiento de la ejecución contenidas en el art. 7.2 traen causa de la responsabilidad financiera del Estado y se inscriben en su potestad para autoorganizarse, por lo que corresponden inequívocamente al Estado y no inciden en las competencias de las Comunidades Autónomas sobre la acción subvencional.</w:t>
      </w:r>
    </w:p>
    <w:p w:rsidR="0026452D" w:rsidRDefault="0026452D" w:rsidP="0026452D">
      <w:pPr>
        <w:pStyle w:val="TextoNormal"/>
      </w:pPr>
    </w:p>
    <w:p w:rsidR="0026452D" w:rsidRDefault="0026452D" w:rsidP="0026452D">
      <w:pPr>
        <w:pStyle w:val="TextoNormal"/>
      </w:pPr>
      <w:r>
        <w:lastRenderedPageBreak/>
        <w:t>El art. 8.1 y 2 es manifestación de la competencia del Estado para fijar las bases y la coordinación de la planificación general de la actividad económica, pues tiene como referencia dos principios relevantes para el ejercicio de la actividad financiera a través de la subvención —la estabilidad presupuestaria y evitar las distorsiones del mercado—, cuyo instrumento de salvaguardia es el plan estratégico de carácter previo que deben elaborar las Comunidades Autónomas. En este marco, éstas pueden libremente fijar los objetivos y efectos, el plazo para su alcance y sus fuentes de financiación, a fin de que el gasto público responda a los criterios de eficiencia y economía recogidos en el art. 31.2 CE.</w:t>
      </w:r>
    </w:p>
    <w:p w:rsidR="0026452D" w:rsidRDefault="0026452D" w:rsidP="0026452D">
      <w:pPr>
        <w:pStyle w:val="TextoNormal"/>
      </w:pPr>
    </w:p>
    <w:p w:rsidR="0026452D" w:rsidRDefault="0026452D" w:rsidP="0026452D">
      <w:pPr>
        <w:pStyle w:val="TextoNormal"/>
      </w:pPr>
      <w:r>
        <w:t>En cuanto a los arts. 12.1, 15.1 y 16.1 y 5, el Abogado del Estado señala que la demanda rechaza que estos preceptos tengan carácter básico porque al atribuir a las entidades colaboradoras unas funciones concretas excluyen las que pudieran determinar las Comunidades Autónomas. Sin embargo, a juicio del Abogado del Estado, la lectura de estos preceptos no conduce a esa conclusión. La entidad colaboradora actúa en nombre y por cuenta del órgano concedente, por lo que no existe limitación alguna para la intervención de la misma, siendo suficiente que la Administración competente así lo prevea en las bases reguladoras de la subvención. El art. 15.1 no prevé las facultades de la entidad colaboradora, sino sus obligaciones, mínimo común normativo de la institución, pudiendo la Administración competente complementar la regulación.</w:t>
      </w:r>
    </w:p>
    <w:p w:rsidR="0026452D" w:rsidRDefault="0026452D" w:rsidP="0026452D">
      <w:pPr>
        <w:pStyle w:val="TextoNormal"/>
      </w:pPr>
    </w:p>
    <w:p w:rsidR="0026452D" w:rsidRDefault="0026452D" w:rsidP="0026452D">
      <w:pPr>
        <w:pStyle w:val="TextoNormal"/>
      </w:pPr>
      <w:r>
        <w:t>También forma parte del núcleo básico de la figura de la entidad colaboradora la forma en que se plasma la relación jurídica entre ésta y la Administración concedente, es decir, el convenio de colaboración cuando se trate de Administraciones o, en su caso de persona jurídica privada, el contrato administrativo.</w:t>
      </w:r>
    </w:p>
    <w:p w:rsidR="0026452D" w:rsidRDefault="0026452D" w:rsidP="0026452D">
      <w:pPr>
        <w:pStyle w:val="TextoNormal"/>
      </w:pPr>
    </w:p>
    <w:p w:rsidR="0026452D" w:rsidRDefault="0026452D" w:rsidP="0026452D">
      <w:pPr>
        <w:pStyle w:val="TextoNormal"/>
      </w:pPr>
      <w:r>
        <w:t>El Abogado del Estado discrepa de que el art. 13.5 y 7 vulnere los principios de tipicidad y legalidad recogidos en el art. 25 CE. La lectura del precepto impugnado —sostiene el Abogado del Estado— permite entender que las prohibiciones contenidas en el apartado 2 a) y h) del mismo se apreciarán de forma automática con el alcance de la prohibición que determine la sentencia o resolución firme que la imponga. Sólo en el caso, difícil de producirse, de que en la sentencia o resolución firme no se fije el alcance de la prohibición, es cuando el reglamento deberá regular no el alcance mismo, sino el procedimiento para fijarlo. Además, en caso de que la prohibición no derive de sentencia, se fija un límite máximo de cinco años, que coincide con la máxima sanción prevista en la propia Ley 38/2003. El recurso de inconstitucionalidad es preventivo o anticipatorio en este punto, pues no puede decirse que el reglamento vaya a imponer una sanción penal o administrativa, sino que se referirá al procedimiento de actuación de la Administración que juzga el cumplimiento de los requisitos, pero no será ella misma quién fije el alcance de la prohibición.</w:t>
      </w:r>
    </w:p>
    <w:p w:rsidR="0026452D" w:rsidRDefault="0026452D" w:rsidP="0026452D">
      <w:pPr>
        <w:pStyle w:val="TextoNormal"/>
      </w:pPr>
    </w:p>
    <w:p w:rsidR="0026452D" w:rsidRDefault="0026452D" w:rsidP="0026452D">
      <w:pPr>
        <w:pStyle w:val="TextoNormal"/>
      </w:pPr>
      <w:r>
        <w:t>En cuanto al apartado 7, no vulnera las competencias autonómicas, pues forma parte del contenido de las bases reguladoras del procedimiento común el valor probatorio de los documentos y las formas que deben reunir los mismos. Según el Abogado del Estado, el procedimiento común puede ser un procedimiento especial por razón de la materia, pero común para todo el territorio nacional, sosteniendo que un procedimiento especial como el de otorgamiento de subvenciones puede gozar de unas bases comunes para todo el territorio nacional.</w:t>
      </w:r>
    </w:p>
    <w:p w:rsidR="0026452D" w:rsidRDefault="0026452D" w:rsidP="0026452D">
      <w:pPr>
        <w:pStyle w:val="TextoNormal"/>
      </w:pPr>
    </w:p>
    <w:p w:rsidR="0026452D" w:rsidRDefault="0026452D" w:rsidP="0026452D">
      <w:pPr>
        <w:pStyle w:val="TextoNormal"/>
      </w:pPr>
      <w:r>
        <w:lastRenderedPageBreak/>
        <w:t>El art. 14.1 e), según el Abogado del Estado, tiene carácter básico, pues la exigencia de acreditar, con carácter previo a la resolución de otorgamiento de la subvención, el cumplimiento de su obligación de contribuir al sostenimiento de los gastos públicos forma parte del mínimo común normativo característico de lo básico. Cuando se remite al reglamento la forma de acreditación no se alude al momento procedimental sino a la circunstancia de que pueda hacerse por medios telemáticos o con aportación de datos obrantes en las Administraciones con consentimiento de los interesados.</w:t>
      </w:r>
    </w:p>
    <w:p w:rsidR="0026452D" w:rsidRDefault="0026452D" w:rsidP="0026452D">
      <w:pPr>
        <w:pStyle w:val="TextoNormal"/>
      </w:pPr>
    </w:p>
    <w:p w:rsidR="0026452D" w:rsidRDefault="0026452D" w:rsidP="0026452D">
      <w:pPr>
        <w:pStyle w:val="TextoNormal"/>
      </w:pPr>
      <w:r>
        <w:t>Respecto a los arts. 18.4 y 19.5, el Abogado del Estado también defiende su carácter básico. El art. 18.4 es básico porque la exigencia de dar publicidad por parte de los beneficiarios del origen público de la financiación de sus actividades forma parte, como una garantía más, de la exigencia constitucional de asignación equitativa del gasto público (art. 31.2 CE). En cuanto a la exigencia del art. 19.5 de que el beneficiario destine los rendimientos financieros a los mismos fines que la subvención, también es una exigencia mínima en la relación subvencional que no merma las competencias de las Comunidades Autónomas, que pueden disponer lo contrario motivadamente.</w:t>
      </w:r>
    </w:p>
    <w:p w:rsidR="0026452D" w:rsidRDefault="0026452D" w:rsidP="0026452D">
      <w:pPr>
        <w:pStyle w:val="TextoNormal"/>
      </w:pPr>
    </w:p>
    <w:p w:rsidR="0026452D" w:rsidRDefault="0026452D" w:rsidP="0026452D">
      <w:pPr>
        <w:pStyle w:val="TextoNormal"/>
      </w:pPr>
      <w:r>
        <w:t>La exigencia de concurrencia competitiva prevista en el art. 22.1 forma parte, según la Abogacía del Estado, de los principios que deben regular la subvención y que garantizan la equidad. La previsión de un órgano colegiado para aprobar la propuesta se deriva de la mayor representatividad y trasparencia que ofrecen estos órganos, sin perjuicio de que las Administraciones públicas establezcan en las bases de convocatoria las especialidades que consideren convenientes.</w:t>
      </w:r>
    </w:p>
    <w:p w:rsidR="0026452D" w:rsidRDefault="0026452D" w:rsidP="0026452D">
      <w:pPr>
        <w:pStyle w:val="TextoNormal"/>
      </w:pPr>
    </w:p>
    <w:p w:rsidR="0026452D" w:rsidRDefault="0026452D" w:rsidP="0026452D">
      <w:pPr>
        <w:pStyle w:val="TextoNormal"/>
      </w:pPr>
      <w:r>
        <w:t>Partiendo de que la figura de la subcontratación de las actividades subvencionadas forma parte del núcleo esencial de la relación jurídica subvencional, el art. 29.3 y 7 b) y e) somete a aquélla a algunos requisitos (contrato y autorización de la Administración concedente) que buscan evitar que los beneficiarios se conviertan en meros intermediarios. Las Comunidades Autónomas tienen margen para desarrollar este mínimo normativo, incrementando los requisitos formales de la subcontratación tanto en su legislación propia como en las convocatorias. Y la prohibición de subcontratar con entidades que hayan recibido subvenciones para la misma actividad o que no las hayan recibido por no cumplir los requisitos o la valoración necesaria, se justifica para evitar los fraudes de ley.</w:t>
      </w:r>
    </w:p>
    <w:p w:rsidR="0026452D" w:rsidRDefault="0026452D" w:rsidP="0026452D">
      <w:pPr>
        <w:pStyle w:val="TextoNormal"/>
      </w:pPr>
    </w:p>
    <w:p w:rsidR="0026452D" w:rsidRDefault="0026452D" w:rsidP="0026452D">
      <w:pPr>
        <w:pStyle w:val="TextoNormal"/>
      </w:pPr>
      <w:r>
        <w:t>La regulación de los medios de prueba de los gastos prevista en el art. 30.5 forma parte también del mínimo común normativo, según la Abogacía del Estado, siendo razonable que el sistema de validación sea el mismo para todo el territorio nacional, al igual que la exigencia de una tasación independiente en el caso de adquisición de inmuebles. Los documentos y su validez en el seno de un procedimiento administrativo forman parte de los principios que prescriben la forma de elaboración de los actos administrativos y, por ello, constituyen procedimiento administrativo común en todo el territorio nacional, aunque sea especial en cuanto a la materia. La remisión al desarrollo reglamentario no prejuzga su contenido, que puede contener preceptos complementarios de carácter básico, sin perjuicio de su posterior enjuiciamiento.</w:t>
      </w:r>
    </w:p>
    <w:p w:rsidR="0026452D" w:rsidRDefault="0026452D" w:rsidP="0026452D">
      <w:pPr>
        <w:pStyle w:val="TextoNormal"/>
      </w:pPr>
    </w:p>
    <w:p w:rsidR="0026452D" w:rsidRDefault="0026452D" w:rsidP="0026452D">
      <w:pPr>
        <w:pStyle w:val="TextoNormal"/>
      </w:pPr>
      <w:r>
        <w:t>El art. 31, apartados 2, 3, 4, 5, 6 7 y 8, también tiene carácter básico, según la Abogacía del Estado, pues se refiere a diversos aspectos de los gastos subvencionables (la considera</w:t>
      </w:r>
      <w:r>
        <w:lastRenderedPageBreak/>
        <w:t>ción de lo que sea considerado gasto, la concurrencia de ofertas para la prestación de servicios, la consideración de la ejecución de la obra o del suministro de equipos como gastos subvencionables; los criterios de cumplimiento de la obligación de destino; el carácter subvencionable de los gastos de amortización y la imputación de costes indirectos) que deben ser regulados homogéneamente y extender su vigencia a todo el territorio nacional, dada la importancia de estos criterios comunes.</w:t>
      </w:r>
    </w:p>
    <w:p w:rsidR="0026452D" w:rsidRDefault="0026452D" w:rsidP="0026452D">
      <w:pPr>
        <w:pStyle w:val="TextoNormal"/>
      </w:pPr>
    </w:p>
    <w:p w:rsidR="0026452D" w:rsidRDefault="0026452D" w:rsidP="0026452D">
      <w:pPr>
        <w:pStyle w:val="TextoNormal"/>
      </w:pPr>
      <w:r>
        <w:t>El art. 37.1, letras d) y f), son considerados básicos por el Abogado del Estado porque el reintegro de la subvención y las causas para ello constituyen un elemento esencial de la relación jurídica subvencional. Los incumplimientos tiene la suficiente gravedad para que sean causa de reintegro, sin perjuicio de que las Comunidades Autónomas puedan desarrollar el precepto de una forma más precisa.</w:t>
      </w:r>
    </w:p>
    <w:p w:rsidR="0026452D" w:rsidRDefault="0026452D" w:rsidP="0026452D">
      <w:pPr>
        <w:pStyle w:val="TextoNormal"/>
      </w:pPr>
    </w:p>
    <w:p w:rsidR="0026452D" w:rsidRDefault="0026452D" w:rsidP="0026452D">
      <w:pPr>
        <w:pStyle w:val="TextoNormal"/>
      </w:pPr>
      <w:r>
        <w:t>El reproche formulado al art. 45.2 c) tiene, según el Abogado del Estado, carácter preventivo, pues sin ningún esfuerzo cabe una interpretación acorde con el orden competencial del inciso “de otra índole”, sin que pueda entenderse que conlleva controles por parte de la Intervención General de la Administración del Estado que lesionen las competencias de las Comunidades Autónomas. Si se acepta que estos controles forman parte de las funciones de coordinación —controles que deben estar previstos en el plan anual en cuya elaboración participan las Comunidades Autónomas— no hay que atribuir intenciones aviesas a dicho inciso, pues, en todo caso, las actuaciones concretas pueden impugnarse a través del conflicto positivo de competencia si efectivamente se produjera una invasión competencial.</w:t>
      </w:r>
    </w:p>
    <w:p w:rsidR="0026452D" w:rsidRDefault="0026452D" w:rsidP="0026452D">
      <w:pPr>
        <w:pStyle w:val="TextoNormal"/>
      </w:pPr>
    </w:p>
    <w:p w:rsidR="0026452D" w:rsidRDefault="0026452D" w:rsidP="0026452D">
      <w:pPr>
        <w:pStyle w:val="TextoNormal"/>
      </w:pPr>
      <w:r>
        <w:t>En cuanto a los arts. 56, 57 e), 58 d) y 67.2 y 3, no suponen para el Abogado del Estado vulneración de las competencias de las Comunidades Autónomas en el ejercicio de su potestad sancionadora en las materias sustantivas en las que ostentan competencias, pudiendo aquellas regular las infracciones y sanciones sin más límite que el respeto a los principios básicos, de acuerdo con la jurisprudencia constitucional invocada en la primera alegación y con apoyo en el art. 149.1.1 CE.</w:t>
      </w:r>
    </w:p>
    <w:p w:rsidR="0026452D" w:rsidRDefault="0026452D" w:rsidP="0026452D">
      <w:pPr>
        <w:pStyle w:val="TextoNormal"/>
      </w:pPr>
    </w:p>
    <w:p w:rsidR="0026452D" w:rsidRDefault="0026452D" w:rsidP="0026452D">
      <w:pPr>
        <w:pStyle w:val="TextoNormal"/>
      </w:pPr>
      <w:r>
        <w:t>Por todo lo expuesto, el Abogado del Estado solicita al Tribunal la desestimación del recurso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4 de junio de 2013 se señaló para deliberación y votación de la presente Sentencia ese mismo día.</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El presente recurso de inconstitucionalidad se interpone por el Gobierno de Aragón contra los arts. 3.4; 5.2; 6.2; 7.2 y 3; 8.1 y 2; 12.1; 13.5 y 7; 14.1 e) y h); 15.1 a) y b); 16.1 y 5; 18.4; 19.5; 22.1; 29.3 y 7 b) y e); 30.5; 31.2, 3, 4, 5, 6, 7 y 8; 37.1 d) y f); 45.2, letra c) del tercer párrafo; 56; 57 e); 58 d); 67.2 y 3; y la disposición final primera de la Ley 38/2003, de 17 de noviembre, general de subvenciones. Para la representación procesal del Gobierno de Aragón la Ley impugnada excede de las competencias que el Estado tiene constitucionalmente atribuidas respecto de la relación subvencional, puesto que no existe referencia alguna al instituto de la subvención en el sistema de reparto competencial previsto en la Constitución, oponiéndose, por consecuencia, a que los títulos competenciales en los que la </w:t>
      </w:r>
      <w:r>
        <w:lastRenderedPageBreak/>
        <w:t>Ley impugnada ampara su regulación puedan darle cobertura legítima. Por el contrario, el Abogado del Estado considera que los títulos que la Ley 38/2003 invoca (art. 149.1.13, 14 y 18 CE) justifican su contenido.</w:t>
      </w:r>
    </w:p>
    <w:p w:rsidR="0026452D" w:rsidRDefault="0026452D" w:rsidP="0026452D">
      <w:pPr>
        <w:pStyle w:val="TextoNormal"/>
      </w:pPr>
    </w:p>
    <w:p w:rsidR="0026452D" w:rsidRDefault="0026452D" w:rsidP="0026452D">
      <w:pPr>
        <w:pStyle w:val="TextoNormal"/>
      </w:pPr>
      <w:r w:rsidRPr="0026452D">
        <w:rPr>
          <w:rStyle w:val="NumeroAFNegritaCaracter"/>
        </w:rPr>
        <w:t>2</w:t>
      </w:r>
      <w:r>
        <w:t>. Con carácter previo al examen de fondo de los preceptos impugnados procede efectuar determinadas precisiones de orden procesal que condicionan el alcance de dicho examen.</w:t>
      </w:r>
    </w:p>
    <w:p w:rsidR="0026452D" w:rsidRDefault="0026452D" w:rsidP="0026452D">
      <w:pPr>
        <w:pStyle w:val="TextoNormal"/>
      </w:pPr>
    </w:p>
    <w:p w:rsidR="0026452D" w:rsidRDefault="0026452D" w:rsidP="0026452D">
      <w:pPr>
        <w:pStyle w:val="TextoNormal"/>
      </w:pPr>
      <w:r>
        <w:t xml:space="preserve">a) En primer lugar, es necesario tener en cuenta que, de acuerdo con nuestra doctrina sobre el </w:t>
      </w:r>
      <w:r w:rsidRPr="0026452D">
        <w:rPr>
          <w:i/>
        </w:rPr>
        <w:t>ius superveniens</w:t>
      </w:r>
      <w:r>
        <w:t xml:space="preserve"> en procesos de naturaleza competencial, como el que ahora nos ocupa, el control de normas impugnadas por incurrir en un posible exceso competencial ha de hacerse de acuerdo con el bloque de constitucionalidad y con las demás normas que operan de parámetro de enjuiciamiento que estén vigentes en el momento de dictar Sentencia (por todas, SSTC 137/1986, de 6 de noviembre, FJ 2, y 83/2012, de 18 de abril, FJ 2). Procede, por ello, señalar que este pronunciamiento se realizará a la luz de la delimitación de competencias resultante de la reforma del Estatuto de Autonomía de Aragón llevada a cabo por la Ley Orgánica 5/2007, de 20 de abril, apreciando el alcance que sus prescripciones puedan tener, en su caso, sobre la controversia trabada.</w:t>
      </w:r>
    </w:p>
    <w:p w:rsidR="0026452D" w:rsidRDefault="0026452D" w:rsidP="0026452D">
      <w:pPr>
        <w:pStyle w:val="TextoNormal"/>
      </w:pPr>
    </w:p>
    <w:p w:rsidR="0026452D" w:rsidRDefault="0026452D" w:rsidP="0026452D">
      <w:pPr>
        <w:pStyle w:val="TextoNormal"/>
      </w:pPr>
      <w:r>
        <w:t>b) En segundo lugar es preciso hacer constar que la Ley 38/2003, de 17 de noviembre, objeto de este recurso, ha sido modificada tras su entrada en vigor por las siguientes normas legales: Ley 24/2005, de 18 de noviembre; Ley 42/2006, de 28 de diciembre; Ley 2/2008, de 23 de diciembre; Real Decreto-ley 6/2010, de 9 de abril; Ley 39/2010, de 22 de diciembre; Ley 14/2011, de 1 de junio; y Ley 17/2012, de 27 de diciembre. Sin embargo, de todas estas modificaciones solo guardan relación con el objeto de este proceso las contenidas en la disposición final undécima de la Ley 2/2008, de 23 de diciembre (en cuanto que modifica el art. 16.5, impugnado en el presente recurso) y en la Ley 14/2011, de 1 de junio (que contiene una modificación atinente al art. 31.3, también impugnado en este recurso).</w:t>
      </w:r>
    </w:p>
    <w:p w:rsidR="0026452D" w:rsidRDefault="0026452D" w:rsidP="0026452D">
      <w:pPr>
        <w:pStyle w:val="TextoNormal"/>
      </w:pPr>
    </w:p>
    <w:p w:rsidR="0026452D" w:rsidRDefault="0026452D" w:rsidP="0026452D">
      <w:pPr>
        <w:pStyle w:val="TextoNormal"/>
      </w:pPr>
      <w:r>
        <w:t>La incidencia de las citadas reformas sobre el objeto del presente recurso de inconstitucionalidad debe ser analizada teniendo en cuenta que, en relación con las modificaciones normativas en procesos constitucionales de naturaleza competencial, este Tribunal ha afirmado reiteradamente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18/2011, de 3 de marzo, FJ 3, y las allí citadas). De modo que si la normativa en torno a la cual se trabó el conflicto resulta parcialmente modificada por otra que viene a plantear los mismos problemas competenciales la consecuencia será la no desaparición del conflicto (por todas, STC 133/2012, de 19 de junio, FJ 2).</w:t>
      </w:r>
    </w:p>
    <w:p w:rsidR="0026452D" w:rsidRDefault="0026452D" w:rsidP="0026452D">
      <w:pPr>
        <w:pStyle w:val="TextoNormal"/>
      </w:pPr>
    </w:p>
    <w:p w:rsidR="0026452D" w:rsidRDefault="0026452D" w:rsidP="0026452D">
      <w:pPr>
        <w:pStyle w:val="TextoNormal"/>
      </w:pPr>
      <w:r>
        <w:t xml:space="preserve">Esto es, precisamente lo que ocurre en este caso, en el que, como ha quedado señalado, los arts. 16.5 y 31.3 de la Ley 38/2003, de 17 de noviembre, general de subvenciones, fueron modificados, respectivamente, por la Ley 2/2008, de 23 de diciembre, y 14/2011, de 1 de junio, si bien estas modificaciones, que pretenden acomodar la redacción de los preceptos impugnados a las previsiones de la Ley 30/2007, de 30 de octubre, de contratos del sector </w:t>
      </w:r>
      <w:r>
        <w:lastRenderedPageBreak/>
        <w:t>público (que sustituyó al texto refundido de la Ley de contratos de las Administraciones públicas, aprobado por Real Decreto Legislativo 2/2000, de 16 de junio, y que ha sido sustituida a su vez por el vigente texto refundido de la Ley de contratos del sector público, aprobado por Real Decreto Legislativo 3/2011, de 14 de noviembre), no afectan a la controversia planteada en el presente recurso, por lo que debemos proceder al enjuiciamiento de los preceptos referidos, al persistir el problema de la determinación de la titularidad de las competencias controvertidas.</w:t>
      </w:r>
    </w:p>
    <w:p w:rsidR="0026452D" w:rsidRDefault="0026452D" w:rsidP="0026452D">
      <w:pPr>
        <w:pStyle w:val="TextoNormal"/>
      </w:pPr>
    </w:p>
    <w:p w:rsidR="0026452D" w:rsidRDefault="0026452D" w:rsidP="0026452D">
      <w:pPr>
        <w:pStyle w:val="TextoNormal"/>
      </w:pPr>
      <w:r>
        <w:t>c) Por último, procede delimitar el ámbito objeto del recurso, puesto que no existe absoluta concordancia entre la pretensión impugnatoria del Gobierno de Aragón —plasmada en la certificación expedida por su Secretario, acreditativa del acuerdo adoptado en la reunión celebrada el día 10 de febrero de 2004, según la subsanación remitida a este Tribunal con fecha 30 de marzo de 2004— y la impugnación formalizada en la demanda.</w:t>
      </w:r>
    </w:p>
    <w:p w:rsidR="0026452D" w:rsidRDefault="0026452D" w:rsidP="0026452D">
      <w:pPr>
        <w:pStyle w:val="TextoNormal"/>
      </w:pPr>
    </w:p>
    <w:p w:rsidR="0026452D" w:rsidRDefault="0026452D" w:rsidP="0026452D">
      <w:pPr>
        <w:pStyle w:val="TextoNormal"/>
      </w:pPr>
      <w:r>
        <w:t xml:space="preserve">En efecto, en primer lugar, tanto el encabezamiento de la demanda como su </w:t>
      </w:r>
      <w:r w:rsidRPr="0026452D">
        <w:rPr>
          <w:i/>
        </w:rPr>
        <w:t>petitum</w:t>
      </w:r>
      <w:r>
        <w:t xml:space="preserve"> —que guardan coherencia con el cuerpo sustantivo del alegato de fondo de la misma— enuncian como impugnados un menor número de preceptos que los que figuran en el acuerdo impugnatorio del Gobierno de Aragón. Así, en este último se decide impugnar los siguientes artículos que no han sido incluidos en el encabezamiento y </w:t>
      </w:r>
      <w:r w:rsidRPr="0026452D">
        <w:rPr>
          <w:i/>
        </w:rPr>
        <w:t>petitum</w:t>
      </w:r>
      <w:r>
        <w:t xml:space="preserve"> de la demanda, ni tampoco en el cuerpo de la misma: arts. 12.2; 13.2; 15.1.c) y d); 16.3 y 4; 18.3; 19.1; 29.1, 2 y 7 a), c) y d); 37.1 e) y g); 45.2 a), b) y d); 57 a), b), c), d) y f); 58 a), b), c) y e); y 65.1 y 2. Estos preceptos, a los que no se alude en el escrito de interposición, quedan excluidos del objeto de este recurso de inconstitucionalidad, pues “la acción de inconstitucionalidad, como toda acción, se concreta a través de su </w:t>
      </w:r>
      <w:r w:rsidRPr="0026452D">
        <w:rPr>
          <w:i/>
        </w:rPr>
        <w:t>petitum</w:t>
      </w:r>
      <w:r>
        <w:t xml:space="preserve"> y de su </w:t>
      </w:r>
      <w:r w:rsidRPr="0026452D">
        <w:rPr>
          <w:i/>
        </w:rPr>
        <w:t>causa petendi</w:t>
      </w:r>
      <w:r>
        <w:t>”, esto es, “queda configurada por lo que se pide y por la causa en que la petición se fundamenta” (STC 11/1981, de 8 de abril, FJ 3).</w:t>
      </w:r>
    </w:p>
    <w:p w:rsidR="0026452D" w:rsidRDefault="0026452D" w:rsidP="0026452D">
      <w:pPr>
        <w:pStyle w:val="TextoNormal"/>
      </w:pPr>
    </w:p>
    <w:p w:rsidR="0026452D" w:rsidRDefault="0026452D" w:rsidP="0026452D">
      <w:pPr>
        <w:pStyle w:val="TextoNormal"/>
      </w:pPr>
      <w:r>
        <w:t xml:space="preserve">En segundo lugar, se aprecia que en el acuerdo del Gobierno de Aragón se impugna el art. 7.2 y 3, precepto este que también se recoge en el encabezamiento de la demanda. Sin embargo, en el apartado primero del </w:t>
      </w:r>
      <w:r w:rsidRPr="0026452D">
        <w:rPr>
          <w:i/>
        </w:rPr>
        <w:t>petitum</w:t>
      </w:r>
      <w:r>
        <w:t xml:space="preserve"> de esta última se solicita la nulidad de todo el art. 7. Pues bien, no siendo voluntad del Gobierno de Aragón sino la impugnación de los apartados 2 y 3 del art. 7, es claro que sólo a ellos puede extenderse el recurso (art. 32.2 de la Ley Orgánica del Tribunal Constitucional).</w:t>
      </w:r>
    </w:p>
    <w:p w:rsidR="0026452D" w:rsidRDefault="0026452D" w:rsidP="0026452D">
      <w:pPr>
        <w:pStyle w:val="TextoNormal"/>
      </w:pPr>
    </w:p>
    <w:p w:rsidR="0026452D" w:rsidRDefault="0026452D" w:rsidP="0026452D">
      <w:pPr>
        <w:pStyle w:val="TextoNormal"/>
      </w:pPr>
      <w:r>
        <w:t>En conclusión, de acuerdo con lo señalado, el objeto de nuestro pronunciamiento se extenderá a los siguientes preceptos de la Ley 38/2003, de 17 de noviembre, general de subvenciones: arts. 3.4; 5.2; 6.2; 7.2 y 3; 8.1 y 2; 12.1; 13.5 y 7; 14.1 e) y h); 15.1 a) y b), 16.1 y 5; 18.4; 19.5; 22.1; 29.3 y 7 b) y e); 30.5; 31.2, 3, 4, 5, 6, 7 y 8; 37.1 d) y f); 45.2, letra c) del tercer párrafo; 56; 57 e); 58 d); 67.2 y 3; y la disposición final primera.</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Tras lo expuesto, procede entrar ya en el fondo del asunto, señalando que, en relación con el encuadramiento competencial de las cuestiones controvertidas, las posiciones de las partes se sustentan en criterios opuestos o, al menos, no coincidentes en aspectos sustanciales, trasladándose esas discrepancias a las tachas específicas dirigidas a cada precepto recurrido. Por esta razón, conviene analizar, en primer término, las diferentes posiciones generales mantenidas por aquéllas, con el fin de configurar, a través de la consideración que las mismas nos merecen, nuestra </w:t>
      </w:r>
      <w:r w:rsidRPr="0026452D">
        <w:rPr>
          <w:i/>
        </w:rPr>
        <w:t>ratio decidendi</w:t>
      </w:r>
      <w:r>
        <w:t>.</w:t>
      </w:r>
    </w:p>
    <w:p w:rsidR="0026452D" w:rsidRDefault="0026452D" w:rsidP="0026452D">
      <w:pPr>
        <w:pStyle w:val="TextoNormal"/>
      </w:pPr>
    </w:p>
    <w:p w:rsidR="0026452D" w:rsidRDefault="0026452D" w:rsidP="0026452D">
      <w:pPr>
        <w:pStyle w:val="TextoNormal"/>
      </w:pPr>
      <w:r>
        <w:lastRenderedPageBreak/>
        <w:t>Los diferentes criterios de orden general mantenidos por las partes de este proceso se relacionan de modo muy principal con los títulos competenciales del Estado que, según la disposición final primera de la Ley 38/2003, habilitan a aquél para establecer la regulación subvencional. Dicha disposición final primera dispone lo siguiente en su apartado 1:</w:t>
      </w:r>
    </w:p>
    <w:p w:rsidR="0026452D" w:rsidRDefault="0026452D" w:rsidP="0026452D">
      <w:pPr>
        <w:pStyle w:val="TextoNormal"/>
      </w:pPr>
    </w:p>
    <w:p w:rsidR="0026452D" w:rsidRDefault="0026452D" w:rsidP="0026452D">
      <w:pPr>
        <w:pStyle w:val="TextoNormal"/>
      </w:pPr>
      <w:r>
        <w:t>“Esta Ley se dicta al amparo de lo dispuesto en el artículo 149.1.13, 14 y 18 de la Constitución, constituyendo legislación básica del Estado los siguientes preceptos:</w:t>
      </w:r>
    </w:p>
    <w:p w:rsidR="0026452D" w:rsidRDefault="0026452D" w:rsidP="0026452D">
      <w:pPr>
        <w:pStyle w:val="TextoNormal"/>
      </w:pPr>
    </w:p>
    <w:p w:rsidR="0026452D" w:rsidRDefault="0026452D" w:rsidP="0026452D">
      <w:pPr>
        <w:pStyle w:val="TextoNormal"/>
      </w:pPr>
      <w:r>
        <w:t>En el título preliminar, el capítulo I y el capítulo II excepto, el párrafo d) del apartado 4 del artículo 9, el artículo 10, el apartado 2 y los párrafos d), e), f), g), h), i), j), k) y l) del apartado 3 del artículo 16, los apartados 1, 2 y los párrafos c), f), h), i), j), k), l), m) y n) del apartado 3 del artículo 17 y el artículo 21.</w:t>
      </w:r>
    </w:p>
    <w:p w:rsidR="0026452D" w:rsidRDefault="0026452D" w:rsidP="0026452D">
      <w:pPr>
        <w:pStyle w:val="TextoNormal"/>
      </w:pPr>
    </w:p>
    <w:p w:rsidR="0026452D" w:rsidRDefault="0026452D" w:rsidP="0026452D">
      <w:pPr>
        <w:pStyle w:val="TextoNormal"/>
      </w:pPr>
      <w:r>
        <w:t>En el título I, el capítulo I y el capítulo IV, excepto los artículos 32 y 33.</w:t>
      </w:r>
    </w:p>
    <w:p w:rsidR="0026452D" w:rsidRDefault="0026452D" w:rsidP="0026452D">
      <w:pPr>
        <w:pStyle w:val="TextoNormal"/>
      </w:pPr>
    </w:p>
    <w:p w:rsidR="0026452D" w:rsidRDefault="0026452D" w:rsidP="0026452D">
      <w:pPr>
        <w:pStyle w:val="TextoNormal"/>
      </w:pPr>
      <w:r>
        <w:t>En el título II, los artículos 36 y 37 y el apartado 1 del artículo 40.</w:t>
      </w:r>
    </w:p>
    <w:p w:rsidR="0026452D" w:rsidRDefault="0026452D" w:rsidP="0026452D">
      <w:pPr>
        <w:pStyle w:val="TextoNormal"/>
      </w:pPr>
    </w:p>
    <w:p w:rsidR="0026452D" w:rsidRDefault="0026452D" w:rsidP="0026452D">
      <w:pPr>
        <w:pStyle w:val="TextoNormal"/>
      </w:pPr>
      <w:r>
        <w:t>En el título III, los artículos 45 y 46.</w:t>
      </w:r>
    </w:p>
    <w:p w:rsidR="0026452D" w:rsidRDefault="0026452D" w:rsidP="0026452D">
      <w:pPr>
        <w:pStyle w:val="TextoNormal"/>
      </w:pPr>
    </w:p>
    <w:p w:rsidR="0026452D" w:rsidRDefault="0026452D" w:rsidP="0026452D">
      <w:pPr>
        <w:pStyle w:val="TextoNormal"/>
      </w:pPr>
      <w:r>
        <w:t>En el título IV, el capítulo I y los artículos 59, 65, 67, 68 y 69 del capítulo II.</w:t>
      </w:r>
    </w:p>
    <w:p w:rsidR="0026452D" w:rsidRDefault="0026452D" w:rsidP="0026452D">
      <w:pPr>
        <w:pStyle w:val="TextoNormal"/>
      </w:pPr>
    </w:p>
    <w:p w:rsidR="0026452D" w:rsidRDefault="0026452D" w:rsidP="0026452D">
      <w:pPr>
        <w:pStyle w:val="TextoNormal"/>
      </w:pPr>
      <w:r>
        <w:t>El apartado 1 de la disposición adicional segunda y la disposición adicional decimosexta.”</w:t>
      </w:r>
    </w:p>
    <w:p w:rsidR="0026452D" w:rsidRDefault="0026452D" w:rsidP="0026452D">
      <w:pPr>
        <w:pStyle w:val="TextoNormal"/>
      </w:pPr>
    </w:p>
    <w:p w:rsidR="0026452D" w:rsidRDefault="0026452D" w:rsidP="0026452D">
      <w:pPr>
        <w:pStyle w:val="TextoNormal"/>
      </w:pPr>
      <w:r>
        <w:t>Como veremos a continuación, ambas partes discrepan sobre la virtualidad de dichos títulos competenciales o, cuando no discrepan de tal virtualidad, lo hacen sobre su alcance:</w:t>
      </w:r>
    </w:p>
    <w:p w:rsidR="0026452D" w:rsidRDefault="0026452D" w:rsidP="0026452D">
      <w:pPr>
        <w:pStyle w:val="TextoNormal"/>
      </w:pPr>
    </w:p>
    <w:p w:rsidR="0026452D" w:rsidRDefault="0026452D" w:rsidP="0026452D">
      <w:pPr>
        <w:pStyle w:val="TextoNormal"/>
      </w:pPr>
      <w:r>
        <w:t>a) Para el Letrado de la Comunidad Autónoma de Aragón, el instituto de la subvención no puede ser regulado por el Estado con el alcance general y de directa aplicación a todas las Administraciones públicas con que lo hace la Ley impugnada, pues no existe referencia alguna a la subvención en el sistema constitucional de reparto de competencias entre el Estado y las Comunidades Autónomas, como ha reconocido el Tribunal Constitucional al vincular los procedimientos concesionales de subvenciones con las materias concretas a que se refiere cada subvención. Por tanto, la representación autonómica considera que los títulos competenciales citados por la disposición final primera de la Ley 38/2003, aunque habiliten al Estado para regular aspectos concretos de la relación subvencional, no le permiten hacerlo con el alcance general adoptado.</w:t>
      </w:r>
    </w:p>
    <w:p w:rsidR="0026452D" w:rsidRDefault="0026452D" w:rsidP="0026452D">
      <w:pPr>
        <w:pStyle w:val="TextoNormal"/>
      </w:pPr>
    </w:p>
    <w:p w:rsidR="0026452D" w:rsidRDefault="0026452D" w:rsidP="0026452D">
      <w:pPr>
        <w:pStyle w:val="TextoNormal"/>
      </w:pPr>
      <w:r>
        <w:t>Así, en cuanto al art. 149.1.13 CE, la representación procesal del Gobierno de Aragón sostiene que le permite al Estado incidir sobre los diferentes subsectores económicos, aunque sobre ellos las Comunidades Autónomas hubieren asumido la competencia exclusiva. Sin embargo, no le permite vaciar las competencias autonómicas ni regular, como es el caso, ámbitos que no sean de actuación económica, pues la Ley impugnada no regula la cuantía concreta de las subvenciones, ni los sectores a los que se pueden destinar, ni tampoco la relación entre la política subvencional y los gastos presupuestados. Rechaza, asimismo, que el art. 149.1.13 CE, a través de las subvenciones, se relacione con la estabilidad presupuestaria, pues la regulación abstracta de aquéllas no tiene vinculación directa con dicha estabilidad.</w:t>
      </w:r>
    </w:p>
    <w:p w:rsidR="0026452D" w:rsidRDefault="0026452D" w:rsidP="0026452D">
      <w:pPr>
        <w:pStyle w:val="TextoNormal"/>
      </w:pPr>
    </w:p>
    <w:p w:rsidR="0026452D" w:rsidRDefault="0026452D" w:rsidP="0026452D">
      <w:pPr>
        <w:pStyle w:val="TextoNormal"/>
      </w:pPr>
      <w:r>
        <w:t>En cuanto a la competencia del Estado en materia de “hacienda general” (art. 149.1.14 CE), la demanda sostiene que le posibilita a aquél el establecimiento de la estructura general y los principios comunes a todas las haciendas, en su propia configuración y en su relación con los administrados, pero ha de dejarse a salvo la autonomía financiera de las Comunidades Autónomas, que tiene una manifestación más acentuada en la esfera del gasto que en la del ingreso. Admite que la subvención guarda relación con la hacienda pero rechaza que el título “hacienda general” atraiga hacia sí las actuaciones administrativas por el hecho de que tengan efectos económicos, como hace la Ley impugnada, que rebasa el contenido concreto de dicho título y lo convierte en un título “transversal”.</w:t>
      </w:r>
    </w:p>
    <w:p w:rsidR="0026452D" w:rsidRDefault="0026452D" w:rsidP="0026452D">
      <w:pPr>
        <w:pStyle w:val="TextoNormal"/>
      </w:pPr>
    </w:p>
    <w:p w:rsidR="0026452D" w:rsidRDefault="0026452D" w:rsidP="0026452D">
      <w:pPr>
        <w:pStyle w:val="TextoNormal"/>
      </w:pPr>
      <w:r>
        <w:t>Por lo que hace a la competencia del art. 149.1.18 CE (bases del régimen jurídico de las Administraciones públicas) la representación procesal autonómica admite que este título permite al Estado establecer un régimen jurídico unitario aplicable a todas las Administraciones públicas, pero su alcance será menor en lo atinente a la organización y funcionamiento interno de los órganos que en lo que se refiere a su actividad externa, es decir, hacia los ciudadanos (STC 50/1999, de 6 de abril, FJ 3). De acuerdo con ello, rechaza que este título afecte a la estructura y funcionamiento de la Administración concedente de la subvención, así como que en la regulación de la relación externa de la Administración con los ciudadanos pueda desplazar la competencia sobre el área material concreta en que se ubique cada subvención (STC 13/1992, FJ 7).</w:t>
      </w:r>
    </w:p>
    <w:p w:rsidR="0026452D" w:rsidRDefault="0026452D" w:rsidP="0026452D">
      <w:pPr>
        <w:pStyle w:val="TextoNormal"/>
      </w:pPr>
    </w:p>
    <w:p w:rsidR="0026452D" w:rsidRDefault="0026452D" w:rsidP="0026452D">
      <w:pPr>
        <w:pStyle w:val="TextoNormal"/>
      </w:pPr>
      <w:r>
        <w:t xml:space="preserve">Puesto que el art. 149.1.18 CE también se refiere a la competencia estatal sobre el procedimiento administrativo común, la representación autonómica distingue entre este último y los procedimientos </w:t>
      </w:r>
      <w:r w:rsidRPr="0026452D">
        <w:rPr>
          <w:i/>
        </w:rPr>
        <w:t>ratione materiae</w:t>
      </w:r>
      <w:r>
        <w:t>, con apoyo en la doctrina constitucional, considerando que los procedimientos de tramitación de subvenciones se incardinan en el segundo tipo y no en el primero. El Estado puede dictar el procedimiento común con el alcance que le confiere dicha doctrina constitucional, pero no puede establecer normas procedimentales respecto de todas las subvenciones, pues a éstas no se refiere con especificidad el art. 149.1.18 CE, como lo hace respecto a la expropiación, contratación, concesiones o sistema de responsabilidad.</w:t>
      </w:r>
    </w:p>
    <w:p w:rsidR="0026452D" w:rsidRDefault="0026452D" w:rsidP="0026452D">
      <w:pPr>
        <w:pStyle w:val="TextoNormal"/>
      </w:pPr>
    </w:p>
    <w:p w:rsidR="0026452D" w:rsidRDefault="0026452D" w:rsidP="0026452D">
      <w:pPr>
        <w:pStyle w:val="TextoNormal"/>
      </w:pPr>
      <w:r>
        <w:t>b) El Abogado del Estado se opone a la configuración que, respecto de los señalados títulos competenciales del Estado, hace la demanda y sostiene la virtualidad y alcance que a los mismos reconoce la Ley 38/2003 respecto de las subvenciones.</w:t>
      </w:r>
    </w:p>
    <w:p w:rsidR="0026452D" w:rsidRDefault="0026452D" w:rsidP="0026452D">
      <w:pPr>
        <w:pStyle w:val="TextoNormal"/>
      </w:pPr>
    </w:p>
    <w:p w:rsidR="0026452D" w:rsidRDefault="0026452D" w:rsidP="0026452D">
      <w:pPr>
        <w:pStyle w:val="TextoNormal"/>
      </w:pPr>
      <w:r>
        <w:t>En lo que se refiere al art. 149.1.13 CE, el Abogado del Estado no otorga a esta regla una especial relevancia para sustentar la legitimidad constitucional de la Ley impugnada, pues sólo hace una invocación general de dicha regla, relacionándola, en línea con la exposición de motivos de la Ley 38/2003, con diversos preceptos constitucionales en materia económica (arts. 31.2, 128.1, 131.1 y 134.2). De hecho, el Abogado del Estado no sustenta en este título la defensa de los preceptos legales recurridos, aludiendo a él sólo en relación con el art. 8.1 y 2 y, de modo más tangencial, en cuanto a los arts. 18.4 y 19.5, pues considera que estos últimos preceptos legales se justifican por otros títulos más específicos.</w:t>
      </w:r>
    </w:p>
    <w:p w:rsidR="0026452D" w:rsidRDefault="0026452D" w:rsidP="0026452D">
      <w:pPr>
        <w:pStyle w:val="TextoNormal"/>
      </w:pPr>
    </w:p>
    <w:p w:rsidR="0026452D" w:rsidRDefault="0026452D" w:rsidP="0026452D">
      <w:pPr>
        <w:pStyle w:val="TextoNormal"/>
      </w:pPr>
      <w:r>
        <w:t xml:space="preserve">Por lo que toca al art. 149.1.14 CE, el Abogado del Estado opera en igual sentido que con el art. 149.1.13 CE, esto es, conectándolo con la potestad de gasto público y los preceptos constitucionales de contenido económico a que se ha hecho alusión, sin hacer hincapié </w:t>
      </w:r>
      <w:r>
        <w:lastRenderedPageBreak/>
        <w:t>en este título para la defensa de la constitucionalidad de los concretos preceptos impugnados.</w:t>
      </w:r>
    </w:p>
    <w:p w:rsidR="0026452D" w:rsidRDefault="0026452D" w:rsidP="0026452D">
      <w:pPr>
        <w:pStyle w:val="TextoNormal"/>
      </w:pPr>
    </w:p>
    <w:p w:rsidR="0026452D" w:rsidRDefault="0026452D" w:rsidP="0026452D">
      <w:pPr>
        <w:pStyle w:val="TextoNormal"/>
      </w:pPr>
      <w:r>
        <w:t>El Abogado del Estado sustenta la Ley 38/2003, fundamentalmente, en el art. 149.1.18 CE, tanto en lo relativo al ámbito de las “bases del régimen jurídico de las Administraciones Públicas” como en lo concerniente al “procedimiento administrativo común”. En cuanto al primero de estos ámbitos, la competencia del Estado se extiende al establecimiento de reglas básicas sobre aspectos organizativos y de funcionamiento de todas las Administraciones públicas, garantizando un régimen jurídico unitario para todas ellas (SSTC 32/1981, de 28 de julio; 227/1988, de 29 de noviembre y 50/1999, de 6 de abril). En cuanto al procedimiento administrativo común, afirma con carácter general que el Estado no sólo puede regular dicho procedimiento, sino también los principios y normas que prescriben la forma de elaboración de los actos, los requisitos de su validez y eficacia, los modos de revisión de los mismos y los medios de ejecución, incluyendo las garantías de los particulares en el seno del procedimiento (SSTC 227/1988 y 50/1999). Más específicamente, sostiene el Abogado del Estado (aunque lo hace con ocasión de la defensa de la constitucionalidad de los arts. 13.7 y 30.5, es un planteamiento que subyace también respecto de los restantes preceptos que considera sustentados en este título específico) que el procedimiento administrativo común puede ser también un procedimiento especial por razón de la materia pero común para todo el territorio nacional, de manera que un procedimiento especial como el de otorgamiento de subvenciones puede gozar de unas bases comunes para el todo el territorio nacional.</w:t>
      </w:r>
    </w:p>
    <w:p w:rsidR="0026452D" w:rsidRDefault="0026452D" w:rsidP="0026452D">
      <w:pPr>
        <w:pStyle w:val="TextoNormal"/>
      </w:pPr>
    </w:p>
    <w:p w:rsidR="0026452D" w:rsidRDefault="0026452D" w:rsidP="0026452D">
      <w:pPr>
        <w:pStyle w:val="TextoNormal"/>
      </w:pPr>
      <w:r>
        <w:t xml:space="preserve">En definitiva, desde la perspectiva general que ahora estamos analizando, la controversia gira, primordialmente, en torno a si los títulos que ostenta el Estado y singularmente aquellos derivados del art. 149.1.18 CE, le habilitan o no para establecer una regulación general de la relación jurídica y del procedimiento subvencional como la que aborda la Ley 38/2003. En efecto, mientras que la representación procesal autonómica considera que la regulación de la estructura y funcionamiento de la Administración concedente y del procedimiento de subvención —en cuanto procedimiento especial o </w:t>
      </w:r>
      <w:r w:rsidRPr="0026452D">
        <w:rPr>
          <w:i/>
        </w:rPr>
        <w:t>ratione materiae</w:t>
      </w:r>
      <w:r>
        <w:t>— es competencia autonómica, el Abogado del Estado entiende que el art. 149.1.18 CE, reforzado por los arts. 149.1.13 y 149.1.14 CE, ampara que el Estado regule un procedimiento subvencional común.</w:t>
      </w:r>
    </w:p>
    <w:p w:rsidR="0026452D" w:rsidRDefault="0026452D" w:rsidP="0026452D">
      <w:pPr>
        <w:pStyle w:val="TextoNormal"/>
      </w:pPr>
    </w:p>
    <w:p w:rsidR="0026452D" w:rsidRDefault="0026452D" w:rsidP="0026452D">
      <w:pPr>
        <w:pStyle w:val="TextoNormal"/>
      </w:pPr>
      <w:r>
        <w:t>La controversia pone de relieve, por otra parte, que, además de una divergencia acerca del alcance de los títulos competenciales señalados, existe entre las partes una discrepancia sobre el alcance de la aplicación de la doctrina establecida en materia de subvenciones por este Tribunal a efectos de resolver las dudas de constitucionalidad que suscita el establecimiento por el Estado de una regulación general de la subvención.</w:t>
      </w:r>
    </w:p>
    <w:p w:rsidR="0026452D" w:rsidRDefault="0026452D" w:rsidP="0026452D">
      <w:pPr>
        <w:pStyle w:val="TextoNormal"/>
      </w:pPr>
    </w:p>
    <w:p w:rsidR="0026452D" w:rsidRDefault="0026452D" w:rsidP="0026452D">
      <w:pPr>
        <w:pStyle w:val="TextoNormal"/>
      </w:pPr>
      <w:r>
        <w:t xml:space="preserve">La configuración adecuada de nuestra </w:t>
      </w:r>
      <w:r w:rsidRPr="0026452D">
        <w:rPr>
          <w:i/>
        </w:rPr>
        <w:t>ratio decidendi</w:t>
      </w:r>
      <w:r>
        <w:t xml:space="preserve"> exige, por tanto, recordar nuestra doctrina sobre el alcance de los diversos títulos competenciales invocados por las partes, así como sobre la distribución de competencias en materia de subvenciones, con la finalidad de establecer los parámetros para su aplicación a los problemas de constitucionalidad que se suscitan en el presente recurso. No obstante, con carácter previo, resulta de utilidad exponer el contexto normativo en el que se enmarcan los preceptos impugnados, a cuyos efectos es de especial interés lo dispuesto en la exposición de motivos de la propia Ley 38/2003, pues tal y como hemos señalado en resoluciones anteriores, “los preámbulos de las normas constituyen un elemento importante a tener en cuenta en las operaciones de encuadramiento </w:t>
      </w:r>
      <w:r>
        <w:lastRenderedPageBreak/>
        <w:t>competencial” (por todas, SSTC 193/1984, de 23 de julio, FJ 4 y 134/2011, de 20 de julio, FJ 7), “aunque este Tribunal no esté vinculado por los criterios contenidos en las normas sobre este extremo” (STC 134/2011, FJ 7 y las allí citadas).</w:t>
      </w:r>
    </w:p>
    <w:p w:rsidR="0026452D" w:rsidRDefault="0026452D" w:rsidP="0026452D">
      <w:pPr>
        <w:pStyle w:val="TextoNormal"/>
      </w:pPr>
    </w:p>
    <w:p w:rsidR="0026452D" w:rsidRDefault="0026452D" w:rsidP="0026452D">
      <w:pPr>
        <w:pStyle w:val="TextoNormal"/>
      </w:pPr>
      <w:r w:rsidRPr="0026452D">
        <w:rPr>
          <w:rStyle w:val="NumeroAFNegritaCaracter"/>
        </w:rPr>
        <w:t>4</w:t>
      </w:r>
      <w:r>
        <w:t>. La exposición de motivos de la Ley 38/2003, de 17 de noviembre, general de subvenciones, pone de relieve que “una parte importante de la actividad financiera del sector público se canaliza a través de las subvenciones [que] son una modalidad importante del gasto público y, por tanto, deben ajustarse a las directrices de la política presupuestaria [que] está orientada por los criterios de estabilidad y crecimiento económico pactados por los países de la Unión Europea, que, además, en España han encontrado expresión normativa en las Leyes de estabilidad presupuestaria”. Es más, la Ley general de subvenciones se incardina “en el conjunto de medidas y reformas” del “proceso de perfeccionamiento y racionalización de nuestro sistema económico” y persigue una mejora de la transparencia, de la eficiencia y eficacia en la gestión del gasto público subvencional —que evite distorsiones en el mercado y asegure la complementariedad y coherencia de la actuación administrativa—, así como un incremento del control y la evaluación.</w:t>
      </w:r>
    </w:p>
    <w:p w:rsidR="0026452D" w:rsidRDefault="0026452D" w:rsidP="0026452D">
      <w:pPr>
        <w:pStyle w:val="TextoNormal"/>
      </w:pPr>
    </w:p>
    <w:p w:rsidR="0026452D" w:rsidRDefault="0026452D" w:rsidP="0026452D">
      <w:pPr>
        <w:pStyle w:val="TextoNormal"/>
      </w:pPr>
      <w:r>
        <w:t>También destaca la exposición de motivos que “existe una gran diversidad de subvenciones de distinta naturaleza que se conceden mediante procedimientos complejos”, de manera que “existe una clara conciencia de la necesidad de dotar a este importante ámbito de actividad administrativa de un régimen jurídico propio y específico que permita superar las insuficiencias del que viene a sustituir y contemple instrumentos y procedimientos que aseguren una adecuada gestión y un eficaz control de las subvenciones. En este sentido, la Ley General de Subvenciones se dirige a regular con carácter general los elementos del régimen jurídico de las subvenciones y contiene los aspectos nucleares, generales y fundamentales de este sector del ordenamiento”. De acuerdo con lo anterior, sigue diciendo la exposición de motivos, “el interés público demanda un tratamiento homogéneo de la relación jurídica subvencional en las diferentes Administraciones Públicas”, régimen común que se extiende como legislación básica a “la definición del ámbito de aplicación de la Ley, las disposiciones comunes que definen los elementos subjetivos y objetivos de la relación jurídica subvencional, el régimen de coordinación de la actuación de las diferentes Administraciones públicas, determinadas normas de gestión y justificación de las subvenciones, la invalidez de la resolución de concesión, las causas y obligados al reintegro de las subvenciones, el régimen material de infracciones y las reglas básicas reguladoras de las sanciones administrativas en el orden subvencional.”</w:t>
      </w:r>
    </w:p>
    <w:p w:rsidR="0026452D" w:rsidRDefault="0026452D" w:rsidP="0026452D">
      <w:pPr>
        <w:pStyle w:val="TextoNormal"/>
      </w:pPr>
    </w:p>
    <w:p w:rsidR="0026452D" w:rsidRDefault="0026452D" w:rsidP="0026452D">
      <w:pPr>
        <w:pStyle w:val="TextoNormal"/>
      </w:pPr>
      <w:r>
        <w:t>Por tanto, la Ley 38/2003 tiene vocación, efectivamente, tal y como señala la representación procesal autonómica en su demanda, de regulación completa o, al menos, amplia, de la relación jurídica subvencional, lo que se constata en su extensión (69 artículos y 22 disposiciones adicionales, 2 transitorias y 3 finales, así como la derogatoria) y en la estructura y contenido de los cinco títulos, incluido el preliminar, que, junto con sus correspondientes capítulos, la integran.</w:t>
      </w:r>
    </w:p>
    <w:p w:rsidR="0026452D" w:rsidRDefault="0026452D" w:rsidP="0026452D">
      <w:pPr>
        <w:pStyle w:val="TextoNormal"/>
      </w:pPr>
    </w:p>
    <w:p w:rsidR="0026452D" w:rsidRDefault="0026452D" w:rsidP="0026452D">
      <w:pPr>
        <w:pStyle w:val="TextoNormal"/>
      </w:pPr>
      <w:r>
        <w:t xml:space="preserve">En este marco, las subvenciones son concebidas por la Ley 38/2003 como “toda disposición dineraria realizada por cualquiera de los sujetos contemplados en el art. 3 de esta Ley, a favor de personas públicas o privadas” que, sin contraprestación, además de otros requisitos, se dirija al “fomento de una actividad de utilidad pública o interés social o de promoción de una finalidad pública” (art. 2). Teniendo en cuenta que los “sujetos contemplados </w:t>
      </w:r>
      <w:r>
        <w:lastRenderedPageBreak/>
        <w:t>en el art. 3” son la Administración General del Estado, las entidades que integran la Administración local y la Administración de las Comunidades Autónomas, sus correspondientes organismos y entidades de Derecho público con personalidad jurídica propia vinculadas o dependientes e, incluso, dichos organismos y entidades cuando, estando regidos por el derecho privado, realicen entregas dinerarias sin contraprestación, debemos concluir que la Ley 38/2003 disciplina las disposiciones dinerarias de las Administraciones públicas en el sentido amplio que se acaba de señalar y cualquiera que fuere la fuente de financiación, de manera que se proyecta tanto sobre las subvenciones que provienen de fondos estatales contenidos en los presupuestos generales del Estado como de las partidas previstas en los presupuestos de las Comunidades Autónomas y de los entes locales. No obstante, nuestro examen ha de circunscribirse a las subvenciones provenientes de fondos estatales o autonómicos en cuya aplicación resultan afectadas las competencias autonómicas, pues la demanda no plantea la infracción de las competencias de los entes locales.</w:t>
      </w:r>
    </w:p>
    <w:p w:rsidR="0026452D" w:rsidRDefault="0026452D" w:rsidP="0026452D">
      <w:pPr>
        <w:pStyle w:val="TextoNormal"/>
      </w:pPr>
    </w:p>
    <w:p w:rsidR="0026452D" w:rsidRDefault="0026452D" w:rsidP="0026452D">
      <w:pPr>
        <w:pStyle w:val="TextoNormal"/>
      </w:pPr>
      <w:r w:rsidRPr="0026452D">
        <w:rPr>
          <w:rStyle w:val="NumeroAFNegritaCaracter"/>
        </w:rPr>
        <w:t>5</w:t>
      </w:r>
      <w:r>
        <w:t>. Dicho esto, debemos recordar nuestra doctrina acerca del alcance que pueden tener las reglas 13, 14 y 18 del art. 149.1 CE.</w:t>
      </w:r>
    </w:p>
    <w:p w:rsidR="0026452D" w:rsidRDefault="0026452D" w:rsidP="0026452D">
      <w:pPr>
        <w:pStyle w:val="TextoNormal"/>
      </w:pPr>
    </w:p>
    <w:p w:rsidR="0026452D" w:rsidRDefault="0026452D" w:rsidP="0026452D">
      <w:pPr>
        <w:pStyle w:val="TextoNormal"/>
      </w:pPr>
      <w:r>
        <w:t>El art. 149.1.13 CE atribuye al Estado las bases y coordinación de la planificación de la actividad económica, esto es, una competencia para “la ordenación general de la economía” que “responde al principio de unidad económica y abarca la definición de las líneas de actuación tendentes a alcanzar los objetivos de política económica global o sectorial fijados por la propia Constitución, así como la adopción de las medidas precisas para garantizar la realización de los mismos” (STC 186/1988, de 17 de octubre, FJ 2). Se trata, pues, de una regla de carácter transversal en el orden económico que responde a la “necesaria coherencia de la política económica” y que “exige decisiones unitarias que aseguren un tratamiento uniforme de determinados problemas en orden a la consecución de dicho objetivos y evite que, dada la interdependencia de las actuaciones llevadas a cabo en las distintas partes del territorio, se produzcan resultados disfuncionales y disgregadores” (STC 186/1988, FJ 2). La competencia estatal alcanza no sólo a las bases, sino también a la coordinación, correspondiéndole al Estado “una facultad que presupone lógicamente la existencia de competencias autonómicas, aun de mera ejecución, que deben ser respetadas, y con la que se persigue, en esencia, la integración de las diversas partes del sistema en el conjunto del mismo mediante la adopción por el Estado de medios y sistemas de relación, bien tras la correspondiente intervención económica bien incluso de carácter preventivo, para asegurar la información recíproca, la homogeneidad técnica en ciertos aspectos y la acción conjunta de las autoridades estatales y autonómicas en el ejercicio de sus respectivas competencias” (por todas, STC 197/1996, de 28 de noviembre, FJ 4).</w:t>
      </w:r>
    </w:p>
    <w:p w:rsidR="0026452D" w:rsidRDefault="0026452D" w:rsidP="0026452D">
      <w:pPr>
        <w:pStyle w:val="TextoNormal"/>
      </w:pPr>
    </w:p>
    <w:p w:rsidR="0026452D" w:rsidRDefault="0026452D" w:rsidP="0026452D">
      <w:pPr>
        <w:pStyle w:val="TextoNormal"/>
      </w:pPr>
      <w:r>
        <w:t xml:space="preserve">En lo relativo al art. 149.1.14 CE, basta ahora con señalar que este título sobre la hacienda general permite el Estado regular íntegramente su propia hacienda, así como establecer las instituciones comunes a las distintas haciendas y las medidas para su coordinación y para subvenir a su suficiencia (STC 233/1999, de 13 de diciembre, FJ 4). En efecto, como hemos tenido ya ocasión de señalar, el art. 149.1.14 CE “no es obstáculo para que deba admitirse que la Hacienda privativa de las Comunidades Autónomas ‘es materia propia de dichas Comunidades’” (SSTC 14/1986, de 31 de enero, FJ 2 y 192/2000, de 13 de julio, FJ 6), pues la organización de la propia hacienda “es no tanto una competencia que se reconoce a las Comunidades Autónomas, cuanto una exigencia previa o paralela a la propia organización autonómica” (STC 14/1986, FJ 2). Ahora bien, por otra parte, ello no ha sido obstáculo </w:t>
      </w:r>
      <w:r>
        <w:lastRenderedPageBreak/>
        <w:t>tampoco para que del art. 149.1.14 CE, en relación con los arts. 133 y 157.3 CE, hayamos deducido que el Estado no es sólo competente para regular sus propios tributos, “sino también el marco general de todo el sistema tributario” (STC 192/2000, FJ 6) y los principios generales comunes del mismo (STC 116/1994, de 18 de abril), pues ello se considera plenamente compatible con las competencias tributarias y con la autonomía financiera y presupuestaria de las Comunidades Autónomas (STC 19/1987, de 17 de febrero). Pues bien, a la misma conclusión ha de llegarse respecto a la otra vertiente de la hacienda pública, la vertiente de los gastos públicos, de tal forma que corresponde al Estado no sólo el régimen jurídico de la ordenación de los gastos de la Administración del Estado, sino también el establecimiento de las normas y principios comunes de la actividad financiera de las distintas haciendas que tiendan a asegurar los principios constitucionales que, conforme a nuestra Constitución, han de regir el gasto público: legalidad (art. 133.4 CE); eficiencia y economía (art. 31.2 CE), asignación equitativa de los recursos públicos (art. 31.2 CE); subordinación de la riqueza nacional al interés general (art. 128.1), estabilidad presupuestaria (art. 135 CE; STC 134/2011, de 20 de julio) y control (art. 136 CE). Ello en modo alguno resulta contrario a la autonomía consagrada a favor de las Comunidades Autónomas pues éstas “gozarán de autonomía financiera (de gasto) en la medida en que puedan elegir y realizar sus propios objetivos políticos, administrativos, sociales o económicos”, es decir, en que puedan decidir a qué objetivos destinan sus recursos sin condicionamientos indebidos (por todas, STC 192/2000, FJ 6 y las allí citadas).</w:t>
      </w:r>
    </w:p>
    <w:p w:rsidR="0026452D" w:rsidRDefault="0026452D" w:rsidP="0026452D">
      <w:pPr>
        <w:pStyle w:val="TextoNormal"/>
      </w:pPr>
    </w:p>
    <w:p w:rsidR="0026452D" w:rsidRDefault="0026452D" w:rsidP="0026452D">
      <w:pPr>
        <w:pStyle w:val="TextoNormal"/>
      </w:pPr>
      <w:r>
        <w:t xml:space="preserve">Es preciso advertir que, dado que la actividad de gasto la desarrollan las Administraciones públicas, no resulta fácil deslindar las normas de simple régimen jurídico de las Administraciones públicas que el Estado puede establecer </w:t>
      </w:r>
      <w:r w:rsidRPr="0026452D">
        <w:rPr>
          <w:i/>
        </w:rPr>
        <w:t>ex</w:t>
      </w:r>
      <w:r>
        <w:t xml:space="preserve"> art. 149.1.18 CE de las normas comunes sobre el gasto público subvencional que el Estado puede dictar al amparo del art. 149.1.14 CE, por lo que para proceder a una calificación competencial correcta deberá estarse tanto al sentido o finalidad de los títulos competenciales en juego, como al carácter, sentido y finalidad de los preceptos impugnados, es decir, al contenido del propio precepto controvertido (por todas, STC 153/1989, de 5 de octubre, FJ 5). Y a estos efectos, tendremos en cuenta como criterio interpretativo que, cuando se esté abordando la regulación de los derechos y obligaciones de contenido económico de las Administraciones públicas o cuando el objeto de la regulación sea la protección o preservación de los recursos públicos que integran las haciendas, nos encontraremos ante preceptos que tienen su anclaje en el art. 149.1.14 CE.</w:t>
      </w:r>
    </w:p>
    <w:p w:rsidR="0026452D" w:rsidRDefault="0026452D" w:rsidP="0026452D">
      <w:pPr>
        <w:pStyle w:val="TextoNormal"/>
      </w:pPr>
    </w:p>
    <w:p w:rsidR="0026452D" w:rsidRDefault="0026452D" w:rsidP="0026452D">
      <w:pPr>
        <w:pStyle w:val="TextoNormal"/>
      </w:pPr>
      <w:r>
        <w:t>Para terminar, es conveniente señalar que el Abogado del Estado apenas invoca estos títulos competenciales (art. 149.1.13 y 14 CE) en defensa de los preceptos impugnados, pues su argumentación se apoya principalmente en el art. 149.1.18 CE. Ahora bien, ello no supone, claro está (art. 39 de la Ley Orgánica del Tribunal Constitucional), que este Tribunal no pueda entrar a valorar si tales títulos (alegados, por otra parte, de forma general en su argumentación introductoria por el Abogado del Estado) u otros ofrecen cobertura constitucional a los preceptos objeto de recurso, pues este Tribunal no se encuentra vinculado por el encuadramiento competencial que realicen las partes en el proceso (por todas, STC 77/2012, de 16 de abril, FJ 3).</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La referencia que hace la Ley 38/2003 al art. 149.1.18 CE ha de entenderse alusiva a una doble competencia: la de establecer las “bases del régimen jurídico de las Administraciones Públicas” y la de regular el “procedimiento administrativo común”, siendo, según la </w:t>
      </w:r>
      <w:r>
        <w:lastRenderedPageBreak/>
        <w:t>Constitución, la primera de carácter básico y la segunda de carácter exclusivo. El Abogado del Estado fundamenta en esta doble atribución competencial la legitimidad de la mayor parte de los preceptos impugnados.</w:t>
      </w:r>
    </w:p>
    <w:p w:rsidR="0026452D" w:rsidRDefault="0026452D" w:rsidP="0026452D">
      <w:pPr>
        <w:pStyle w:val="TextoNormal"/>
      </w:pPr>
    </w:p>
    <w:p w:rsidR="0026452D" w:rsidRDefault="0026452D" w:rsidP="0026452D">
      <w:pPr>
        <w:pStyle w:val="TextoNormal"/>
      </w:pPr>
      <w:r>
        <w:t>En cuanto a la primera de dichas competencias, hemos afirmado que “el Estado puede establecer, desde la competencia sobre bases del régimen jurídico de las Administraciones públicas del art. 149.1.18 CE, principios y reglas básicas sobre aspectos organizativos y de funcionamiento de todas las Administraciones públicas. Esto significa que, en palabras de la STC 227/1988, la potestad organizatoria (autonómica) ... para determinar el régimen jurídico de la organización y funcionamiento de su propia Administración, no tiene carácter exclusivo, sino que debe respetar y, en su caso, desarrollar las bases establecidas por el Estado. En definitiva, salvo en lo relativo a la creación de la propia Administración, la potestad de autoorganización, incluso en lo que afecta a los aspectos de organización interna y de funcionamiento, no puede incluirse en la competencia exclusiva de autoorganización de las Comunidades Autónomas; aunque ciertamente, como veremos de inmediato,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 (STC 50/1999, FJ 3). En la misma Sentencia precisamos que el Tribunal ha incluido en esta materia “la regulación de la composición, estructura y competencias de los órganos de las Administraciones públicas (STC 32/1981, fundamento jurídico 6), la organización de todas las Administraciones públicas (STC 76/1983, fundamento jurídico 38), los aspectos organizativos e institucionales de esas Administraciones (STC 214/1989) o la composición, funcionamiento y organización de las mismas (STC 35/1982)” (STC 50/1999, FJ 3), debiendo aclararse ahora que dentro del concepto de “funcionamiento” se incardinan las actividades jurídicas típicas a través de las cuales las Administraciones públicas desarrollan su función constitucional de satisfacción de los intereses generales (art. 103.1 CE).</w:t>
      </w:r>
    </w:p>
    <w:p w:rsidR="0026452D" w:rsidRDefault="0026452D" w:rsidP="0026452D">
      <w:pPr>
        <w:pStyle w:val="TextoNormal"/>
      </w:pPr>
    </w:p>
    <w:p w:rsidR="0026452D" w:rsidRDefault="0026452D" w:rsidP="0026452D">
      <w:pPr>
        <w:pStyle w:val="TextoNormal"/>
      </w:pPr>
      <w:r>
        <w:t>En todo caso, importa retener que “la intensidad y extensión que pueden tener las bases no es la misma en todos los ámbitos que integran ese régimen jurídico. Así, el alcance de lo básico será menor en aquellas cuestiones que se refieren primordialmente a la organización y al funcionamiento interno de los órganos de las Administraciones públicas, que en aquellas otras que inciden más directamente en su actividad externa, sobre todo cuando afectan a la esfera de derechos e intereses de los administrados, aunque ciertamente no cabe trazar una distinción tajante entre unos aspectos y otros. No debe olvidarse que, según establece el art. 149.1.18 CE, el objetivo fundamental, aunque no único, de las bases en esta materia es el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(STC 50/1999, FJ 3).</w:t>
      </w:r>
    </w:p>
    <w:p w:rsidR="0026452D" w:rsidRDefault="0026452D" w:rsidP="0026452D">
      <w:pPr>
        <w:pStyle w:val="TextoNormal"/>
      </w:pPr>
    </w:p>
    <w:p w:rsidR="0026452D" w:rsidRDefault="0026452D" w:rsidP="0026452D">
      <w:pPr>
        <w:pStyle w:val="TextoNormal"/>
      </w:pPr>
      <w:r>
        <w:t xml:space="preserve">Conviene insistir en esta última idea de que pese a que el objetivo fundamental de las bases del régimen jurídico de las Administraciones públicas es el de garantizar a los administrados un tratamiento común ante las Administraciones públicas, no es éste, sin embargo, el único al que pueden tender las bases, cuyo establecimiento cabe, por tanto, que responda a otros intereses generales superiores a los de las respectivas Comunidades Autónomas, que </w:t>
      </w:r>
      <w:r>
        <w:lastRenderedPageBreak/>
        <w:t>hagan igualmente necesario y justificado el establecimiento de un común denominador normativo. Ello es especialmente importante en el campo que ahora nos ocupa, pues ciertamente en la regulación de las subvenciones, además de la garantía a los administrados de un tratamiento común, concurren, tal y como ha señalado el Abogado del Estado y como se apunta en la exposición de motivos de la Ley 38/2003, otros objetivos de interés general —algunos de ellos consagrados incluso a nivel constitucional— estrechamente conectados con el carácter de gasto público de la subvención, que pueden, eventualmente, justificar una regulación básica y entre los que cabe mencionar la asignación equitativa de los recursos a través del gasto público (art. 31.2 CE), la subordinación de toda la riqueza del país al interés general (art. 128.1 CE), la programación y ejecución del gasto público conforme a los principios de eficiencia y economía (art. 31.2 CE), la estabilidad presupuestaria (art. 135 CE), la prevención de eventuales distorsiones del funcionamiento del mercado, la coherencia y coordinación de la política subvencional de todas las Administraciones públicas, la lucha contra el fraude y la corrupción en la gestión de los fondos públicos, así como el incremento de la transparencia, el control y la evaluación del gasto subvencional.</w:t>
      </w:r>
    </w:p>
    <w:p w:rsidR="0026452D" w:rsidRDefault="0026452D" w:rsidP="0026452D">
      <w:pPr>
        <w:pStyle w:val="TextoNormal"/>
      </w:pPr>
    </w:p>
    <w:p w:rsidR="0026452D" w:rsidRDefault="0026452D" w:rsidP="0026452D">
      <w:pPr>
        <w:pStyle w:val="TextoNormal"/>
      </w:pPr>
      <w:r>
        <w:t>Así se deduce de resoluciones anteriores de este Tribunal en las que hemos admitido el carácter básico de algunas de las regulaciones establecidas en la Ley 38/2003 y cuya finalidad es asegurar la eficacia y eficiencia de las subvenciones, la asignación equitativa de los recursos públicos (STC 89/2012, de 7 de mayo, FJ 8) y asegurar la transparencia y el control en el ejercicio de la potestad subvencional (STC 99/2012, de 8 de mayo, FJ 8). En efecto, en la STC 99/2012, FJ 8, hemos afirmado que la regla de publicación en el boletín oficial correspondiente de las subvenciones concedidas tiene carácter básico pues “persigue el objetivo de asegurar el interés público, fortaleciendo la transparencia de la Administración y facilitando el conocimiento de la gestión de los fondos públicos, dando así a conocer actuaciones administrativas concretas que interesan a un grupo determinado, los posibles beneficiarios de la subvención”, de tal forma que la publicación en el boletín oficial “constituye un elemento al servicio del control del correcto ejercicio de las potestades públicas, así como de la protección de intereses de terceros” y “plasma uno de los principios básicos que han de regir la actividad subvencionadora de las Administraciones públicas, como es el de publicidad”.</w:t>
      </w:r>
    </w:p>
    <w:p w:rsidR="0026452D" w:rsidRDefault="0026452D" w:rsidP="0026452D">
      <w:pPr>
        <w:pStyle w:val="TextoNormal"/>
      </w:pPr>
    </w:p>
    <w:p w:rsidR="0026452D" w:rsidRDefault="0026452D" w:rsidP="0026452D">
      <w:pPr>
        <w:pStyle w:val="TextoNormal"/>
      </w:pPr>
      <w:r>
        <w:t>En cualquier caso, tanto cuando las bases responden a la necesidad de garantizar un tratamiento común a los administrados como a la consecución de otros intereses generales, debe recordarse que “el Estado al establecer el común denominador normativo que encierran las bases, y a partir del cual cada Comunidad Autónoma con competencias de desarrollo legislativo puede regular la materia con arreglo a sus peculiaridades e intereses (por todas, SSTC 49/1988, fundamento jurídico 3; 225/1993, fundamento jurídico 3 y 197/1996, fundamento jurídico 5), no puede hacerlo con un grado tal de detalle y de forma tan acabada o completa que prácticamente impida la adopción por parte de las Comunidades Autónomas de políticas propias en la materia mediante el ejercicio de sus competencias de desarrollo legislativo” (STC 50/1999, FJ 3), sin que puedan, por otra parte, considerarse incluidas en el marco estatal básico “aquellas normas que no resulten justificadas por el objetivo de garantizar los principios básicos que informan el modelo organizativo diseñado por el legislador estatal” ( por todas, STC 227/1988, FJ 24, y las allí citadas).</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En cuanto al segundo de los títulos habilitantes del Estado que, </w:t>
      </w:r>
      <w:r w:rsidRPr="0026452D">
        <w:rPr>
          <w:i/>
        </w:rPr>
        <w:t>ex</w:t>
      </w:r>
      <w:r>
        <w:t xml:space="preserve"> art. 149.1.18 CE, amparan la Ley recurrida, este Tribunal también se ha pronunciado con reiteración sobre lo </w:t>
      </w:r>
      <w:r>
        <w:lastRenderedPageBreak/>
        <w:t xml:space="preserve">que debe entenderse por procedimiento administrativo común, a los efectos prevenidos en el citado art. 149.1.18 CE. El adjetivo “común” que el precepto constitucional utiliza lleva a entender que lo que el constituyente ha querido reservar en exclusiva al Estado es “la determinación de los principios o normas que, por un lado, definen la estructura general del </w:t>
      </w:r>
      <w:r w:rsidRPr="0026452D">
        <w:rPr>
          <w:i/>
        </w:rPr>
        <w:t>iter</w:t>
      </w:r>
      <w:r>
        <w:t xml:space="preserve">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Ahora bien, sin perjuicio del obligado respeto a esos principios y reglas del procedimiento administrativo común, que en la actualidad se encuentran en las Leyes generales sobre la materia (lo que garantiza un tratamiento asimismo común de los administrados ante todas las Administraciones públicas, como exige el propio art. 149.1.18 CE), coexisten numerosas reglas especiales de procedimiento aplicables a la realización de cada tipo de actividad administrativa </w:t>
      </w:r>
      <w:r w:rsidRPr="0026452D">
        <w:rPr>
          <w:i/>
        </w:rPr>
        <w:t>ratione materiae</w:t>
      </w:r>
      <w:r>
        <w:t>. La Constitución no reserva en exclusiva al Estado la regulación de estos procedimientos administrativos especiales. Antes bien, hay que entender que ésta es una competencia conexa a las que, respectivamente, el Estado o las Comunidades Autónomas ostentan para la regulación del régimen sustantivo de cada actividad o servicio de la Administración. Así lo impone la lógica de la acción administrativa, dado que el procedimiento no es sino la forma de llevarla a cabo conforme a Derecho. De lo contrario, es decir, si las competencias sobre el régimen sustantivo de la actividad y sobre el correspondiente procedimiento hubieran de quedar separadas, de modo que al Estado correspondieran en todo caso estas últimas,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 las normas de procedimiento aplicables en cada caso. En consecuencia,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 (STC 227/1988, FJ 32).</w:t>
      </w:r>
    </w:p>
    <w:p w:rsidR="0026452D" w:rsidRDefault="0026452D" w:rsidP="0026452D">
      <w:pPr>
        <w:pStyle w:val="TextoNormal"/>
      </w:pPr>
    </w:p>
    <w:p w:rsidR="0026452D" w:rsidRDefault="0026452D" w:rsidP="0026452D">
      <w:pPr>
        <w:pStyle w:val="TextoNormal"/>
      </w:pPr>
      <w:r>
        <w:t>El alcance de esta competencia lo hemos delimitado señalando que “tampoco puede compartirse la alegación del Abogado del Estado conforme a la cual toda previsión normativa que incide en la forma de elaboración de los actos administrativos, en su validez y en su eficacia o en las garantías de los administrados, debe ser considerada parte del procedimiento administrativo común, pues en tal caso se incluiría en este título competencial la mayor parte del Derecho Administrativo. Ciertamente este Tribunal no ha reducido el alcance de esta materia competencial a la regulación del procedimiento, entendido en sentido estricto, que ha de seguirse para la realización de la actividad jurídica de la Administración (iniciación, ordenación, instrucción, terminación, ejecución, términos y plazos, recepción y registro de documentos); en esta competencia se han incluido también los principios y normas que prescriben la forma de elaboración de los actos, los requisitos de validez y eficacia, los modos de revisión y los medios de ejecución de los actos administrativos, incluyendo señaladamente las garantías generales de los particulares en el seno del procedimiento (STC 227/1988). Sin embargo, de ello no puede deducirse que forme parte de esta materia competencial toda regulación que de forma indirecta pueda tener alguna repercusión o incidencia en el procedimiento así entendido o cuyo incumplimiento pueda tener como consecuencia la invalidez del acto” (STC 50/1999, FJ 3).</w:t>
      </w:r>
    </w:p>
    <w:p w:rsidR="0026452D" w:rsidRDefault="0026452D" w:rsidP="0026452D">
      <w:pPr>
        <w:pStyle w:val="TextoNormal"/>
      </w:pPr>
    </w:p>
    <w:p w:rsidR="0026452D" w:rsidRDefault="0026452D" w:rsidP="0026452D">
      <w:pPr>
        <w:pStyle w:val="TextoNormal"/>
      </w:pPr>
      <w:r>
        <w:t xml:space="preserve">Como ha quedado expuesto en el fundamento jurídico 5 de esta Sentencia, mientras que el Abogado del Estado considera que el art. 149.1.18 CE habilita al Estado para establecer un procedimiento administrativo subvencional común para todas las Administraciones públicas, en la demanda del Gobierno de Aragón se mantiene que el procedimiento administrativo subvencional es un procedimiento especial </w:t>
      </w:r>
      <w:r w:rsidRPr="0026452D">
        <w:rPr>
          <w:i/>
        </w:rPr>
        <w:t>ratione materiae</w:t>
      </w:r>
      <w:r>
        <w:t xml:space="preserve"> cuya regulación corresponderá al Estado o a las Comunidades Autónomas en función de la distribución de competencias existente en materia o sector a la que se refiera la subvención, tal y como se deriva de la doctrina establecida por el Tribunal Constitucional que ha vinculado los procedimientos de concesión de subvenciones con las materias concretas a que estas se refieren.</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Este Tribunal se ha pronunciado, en efecto, sobre numerosos recursos de inconstitucionalidad y conflictos positivos de competencia planteados entre el Estado y las Comunidades Autónomas en relación con subvenciones otorgadas por dichos poderes públicos, en especial, aunque no sólo, respecto a subvenciones que habían de otorgarse con cargo a las diferentes partidas recogidas en los presupuestos generales del Estado. Existe, por tanto, una abundante y reiterada doctrina constitucional elaborada al hilo de la resolución de estos recursos y conflictos que, en lo esencial, se encuentra recogida en la ya citada STC 13/1992, de 6 de febrero, y que ahora interesa, por tanto, recordar con la finalidad última de examinar cuál haya de ser su incidencia en la configuración de la </w:t>
      </w:r>
      <w:r w:rsidRPr="0026452D">
        <w:rPr>
          <w:i/>
        </w:rPr>
        <w:t>ratio decidendi</w:t>
      </w:r>
      <w:r>
        <w:t xml:space="preserve"> necesaria para abordar los problemas que se plantean en el presente recurso.</w:t>
      </w:r>
    </w:p>
    <w:p w:rsidR="0026452D" w:rsidRDefault="0026452D" w:rsidP="0026452D">
      <w:pPr>
        <w:pStyle w:val="TextoNormal"/>
      </w:pPr>
    </w:p>
    <w:p w:rsidR="0026452D" w:rsidRDefault="0026452D" w:rsidP="0026452D">
      <w:pPr>
        <w:pStyle w:val="TextoNormal"/>
      </w:pPr>
      <w:r>
        <w:t>Pues bien, en esta doctrina hemos aclarado que “no existe una competencia subvencional diferenciada resultante de la potestad financiera del Estado” y que “la subvención no es un concepto que delimite competencias (SSTC 39/1982 y 179/1985) ni el solo hecho de financiar puede erigirse en núcleo que atraiga hacia sí toda competencia sobre los variados aspectos a que pueda dar lugar la actividad de financiación (SSTC 39/1982, 144/1985, 179/1985 y 146/1986), al no ser la facultad de gasto público en manos del Estado título competencial autónomo (SSTC 179/1985, 145/1989) que puede desconocer, desplazar o limitar las competencias materiales que corresponden a las Comunidades Autónomas según la Constitución y los Estatutos de Autonomía (STC 95/1986)”. De este modo, “la sola decisión de contribuir a la financiación no autoriza al Estado para invadir competencias ajenas” (STC 13/1992, FJ 4), es decir, “el Estado usando su poder de gasto en materia de subvenciones” no puede “condicionar o mediatizar el ejercicio por las Comunidades Autónomas de sus propias competencias (su autonomía política y financiera) de modo tal que convierta, de hecho, su poder de gastar en un poder para regular la materia al margen del reparto competencial establecido en la Constitución y en los Estatutos de Autonomía”. Ahora bien, por otra parte, “el poder de gasto del Estado o de autorización presupuestaria, manifestación del ejercicio de la potestad legislativa atribuida a las Cortes Generales (arts. 66.2 y 134 CE), no se define por conexión con el reparto competencial de materias que la Constitución establece (arts. 148 y 149 CE), al contrario de lo que acontece con la autonomía financiera de las Comunidades Autónomas que se vincula al desarrollo y ejecución de las competencias que, de acuerdo con la Constitución, le atribuyan los respectivos Estatutos y Leyes (art. 156. 1 CE y art. 1.1 de la LOFCA”, de lo que se deriva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(STC 13/1992, FJ 7).</w:t>
      </w:r>
    </w:p>
    <w:p w:rsidR="0026452D" w:rsidRDefault="0026452D" w:rsidP="0026452D">
      <w:pPr>
        <w:pStyle w:val="TextoNormal"/>
      </w:pPr>
    </w:p>
    <w:p w:rsidR="0026452D" w:rsidRDefault="0026452D" w:rsidP="0026452D">
      <w:pPr>
        <w:pStyle w:val="TextoNormal"/>
      </w:pPr>
      <w:r>
        <w:t>En aplicación de estos criterios, este Tribunal ha establecido un esquema de delimitación competencial entre el Estado y las Comunidades Autónomas en relación con el ejercicio de la potestad subvencional de gasto público que puede resumirse —tal y como hemos hecho en la STC 13/1992— en cuatro supuestos generales:</w:t>
      </w:r>
    </w:p>
    <w:p w:rsidR="0026452D" w:rsidRDefault="0026452D" w:rsidP="0026452D">
      <w:pPr>
        <w:pStyle w:val="TextoNormal"/>
      </w:pPr>
    </w:p>
    <w:p w:rsidR="0026452D" w:rsidRDefault="0026452D" w:rsidP="0026452D">
      <w:pPr>
        <w:pStyle w:val="TextoNormal"/>
      </w:pPr>
      <w:r>
        <w:t>a) Si la Comunidad Autónoma ostenta una competencia exclusiva sobre una determinada materia y el Estado no invoca título competencial alguno, genérico o específico, sobre la misma: en este caso el Estado puede decidir asignar parte de sus fondos presupuestarios a esas materias o sectores, si bien esa asignación debe ser territorializada y las competencias del Estado se limitan a “la regulación de los aspectos centrales del régimen subvencional (objeto y finalidad de las ayudas, modalidad técnica de las mismas beneficiarios y requisitos esenciales de acceso)”, quedando dentro de la competencia autonómica “lo atinente a su gestión, esto es, la tramitación, resolución y pago de las subvenciones, así como la regulación del procedimiento correspondiente a todos estos aspectos”, dentro del marco, claro está, de las reglas del procedimiento administrativo común (SSTC 178/2011, de 8 de noviembre y 36/2012, de 14 de marzo).</w:t>
      </w:r>
    </w:p>
    <w:p w:rsidR="0026452D" w:rsidRDefault="0026452D" w:rsidP="0026452D">
      <w:pPr>
        <w:pStyle w:val="TextoNormal"/>
      </w:pPr>
    </w:p>
    <w:p w:rsidR="0026452D" w:rsidRDefault="0026452D" w:rsidP="0026452D">
      <w:pPr>
        <w:pStyle w:val="TextoNormal"/>
      </w:pPr>
      <w:r>
        <w:t>b) Si el Estado ostenta un título competencial genérico de intervención que se superpone a la competencia de las Comunidades Autónomas sobre una materia, correspondiendo a las Comunidades Autónomas las competencias de desarrollo normativo y de ejecución: en este caso el Estado puede establecer el destino de las subvenciones y regular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correspondiéndoles, por regla general, la gestión de los fondos.</w:t>
      </w:r>
    </w:p>
    <w:p w:rsidR="0026452D" w:rsidRDefault="0026452D" w:rsidP="0026452D">
      <w:pPr>
        <w:pStyle w:val="TextoNormal"/>
      </w:pPr>
    </w:p>
    <w:p w:rsidR="0026452D" w:rsidRDefault="0026452D" w:rsidP="0026452D">
      <w:pPr>
        <w:pStyle w:val="TextoNormal"/>
      </w:pPr>
      <w:r>
        <w:t>c) Si el Estado tiene atribuida la competencia sobre la legislación relativa a una materia, mientras que corresponde a la Comunidad Autónoma la competencia de ejecución: en este caso el Estado puede extenderse en la regulación de detalle respecto del destino, condiciones y tramitación de las subvenciones, dejando a salvo la potestad autonómica de autoorganización de los servicios.</w:t>
      </w:r>
    </w:p>
    <w:p w:rsidR="0026452D" w:rsidRDefault="0026452D" w:rsidP="0026452D">
      <w:pPr>
        <w:pStyle w:val="TextoNormal"/>
      </w:pPr>
    </w:p>
    <w:p w:rsidR="0026452D" w:rsidRDefault="0026452D" w:rsidP="0026452D">
      <w:pPr>
        <w:pStyle w:val="TextoNormal"/>
      </w:pPr>
      <w:r>
        <w:t>d) Si las Comunidades Autónomas ostentan competencias exclusivas sobre la materia en que recaen las subvenciones, pero el Estado ostenta algún título competencial, genérico o específico, y la gestión centralizada es necesaria para asegurar la plena efectividad de las medidas dentro de la ordenación básica del sector o para garantizar las mismas posibilidades de obtención y disfrute por parte de sus potenciales destinatarios en todo el territorio nacional, evitando al propio tiempo que se sobrepase la cuantía global de los fondos estatales destinados al sector: en este caso excepcional las subvenciones podrán ser gestionadas por un órgano u organismo de la Administración General del Estado, con la consiguiente consignación centralizada de las partidas presupuestarias en los presupuestos generales del Estado.</w:t>
      </w:r>
    </w:p>
    <w:p w:rsidR="0026452D" w:rsidRDefault="0026452D" w:rsidP="0026452D">
      <w:pPr>
        <w:pStyle w:val="TextoNormal"/>
      </w:pPr>
    </w:p>
    <w:p w:rsidR="0026452D" w:rsidRDefault="0026452D" w:rsidP="0026452D">
      <w:pPr>
        <w:pStyle w:val="TextoNormal"/>
      </w:pPr>
      <w:r>
        <w:t xml:space="preserve">Por otra parte, cuando se trata de subvenciones instrumentadas por las Comunidades Autónomas en las materias de su competencia y la financiación correspondiente deriva de sus propios fondos, hemos descartado que el hecho de que la financiación se realice con fondos </w:t>
      </w:r>
      <w:r>
        <w:lastRenderedPageBreak/>
        <w:t>autonómicos excluya toda posibilidad de sujeción de los mismos a normativa básica sectorial alguna, pues ello “convertiría al hecho de financiar en un poder autonómico e independiente del sistema constitucional de distribución de competencias”. No obstante, también hemos reconocido que “ciertamente la normativa básica estatal no presenta la misma virtualidad cuando opera sobre subvenciones que provienen de las partidas de los Presupuestos Generales del Estado, ya que a través de ellas el Estado ejerce sus opciones concretas … que cuando se trata de financiación autonómica propia”, pues esta última “permite a las Comunidades Autónomas elegir sus propias opciones, atendiendo a sus especificidades de modo legítimo, en cuanto que la compatibilidad entre la unidad económica y la diversidad jurídica que deriva de la autonomía ha de buscarse, pues, en un equilibrio entre ambos principios, equilibrio que al menos, y en lo que aquí interesa, admite una pluralidad y diversidad de intervenciones de los poderes públicos”, intervenciones que, no obstante, quedan sometidas a ciertos límites como que “la regulación se lleve a cabo dentro del ámbito de la competencia de la Comunidad, que esa regulación en cuanto introductora de un régimen diverso del o de los existentes en el resto de la Nación resulte proporcionada al objeto legítimo que se persigue, de manera que las diferencias y peculiaridades en ellas previstas resultan adecuadas y justificadas por su fin y, por último, que quede en todo caso a salvo la igualdad básica de los españoles” (STC 128/1999, FJ 16, con cita de la STC 88/1986, de 1 de julio, FJ 6).</w:t>
      </w:r>
    </w:p>
    <w:p w:rsidR="0026452D" w:rsidRDefault="0026452D" w:rsidP="0026452D">
      <w:pPr>
        <w:pStyle w:val="TextoNormal"/>
      </w:pPr>
    </w:p>
    <w:p w:rsidR="0026452D" w:rsidRDefault="0026452D" w:rsidP="0026452D">
      <w:pPr>
        <w:pStyle w:val="TextoNormal"/>
      </w:pPr>
      <w:r>
        <w:t>De la exposición realizada de la doctrina constitucional se deduce que los problemas constitucionales a los que se ha enfrentado hasta el momento este Tribunal en materia de subvenciones son, por un lado y principalmente, el relativo al alcance de las potestades (normativas y de ejecución) que se derivan a favor del Estado de su poder de gasto y los límites que para las mismas surgen de la distribución constitucional de competencias existente en función de la materia o sector a la que, en cada caso, se refiera la subvención; y, por otro lado, el de las limitaciones que pueden derivarse de la financiación autonómica de las subvenciones para el ámbito de aplicación de la normativa básica dictada por el Estado en la materia o sector en que operan las subvenciones autonómicas.</w:t>
      </w:r>
    </w:p>
    <w:p w:rsidR="0026452D" w:rsidRDefault="0026452D" w:rsidP="0026452D">
      <w:pPr>
        <w:pStyle w:val="TextoNormal"/>
      </w:pPr>
    </w:p>
    <w:p w:rsidR="0026452D" w:rsidRDefault="0026452D" w:rsidP="0026452D">
      <w:pPr>
        <w:pStyle w:val="TextoNormal"/>
      </w:pPr>
      <w:r>
        <w:t xml:space="preserve">Ninguna de estas cuestiones es, sin embargo, la que se plantea en el presente recurso, que atañe a si el Estado ostenta o no competencias para establecer una regulación general del procedimiento de otorgamiento de subvenciones, sin perjuicio de que los límites que, de acuerdo con la doctrina constitucional expuesta, se imponen, como consecuencia de la distribución competencial material </w:t>
      </w:r>
      <w:r w:rsidRPr="0026452D">
        <w:rPr>
          <w:i/>
        </w:rPr>
        <w:t>ex</w:t>
      </w:r>
      <w:r>
        <w:t xml:space="preserve"> art. 149.1 CE, a las potestades (normativas y de ejecución) del Estado derivadas de su poder de gasto hayan de tenerse en cuenta a la hora de valorar la conformidad con la Constitución de la regulación general del procedimiento subvencional establecida en la Ley 38/2003, general de subvenciones.</w:t>
      </w:r>
    </w:p>
    <w:p w:rsidR="0026452D" w:rsidRDefault="0026452D" w:rsidP="0026452D">
      <w:pPr>
        <w:pStyle w:val="TextoNormal"/>
      </w:pPr>
    </w:p>
    <w:p w:rsidR="0026452D" w:rsidRDefault="0026452D" w:rsidP="0026452D">
      <w:pPr>
        <w:pStyle w:val="TextoNormal"/>
      </w:pPr>
      <w:r>
        <w:t xml:space="preserve">Dicho esto y retomando la cuestión central que ahora nos ocupa, hay que señalar que la representación procesal del Gobierno de Aragón deduce de la doctrina expuesta una respuesta negativa a esta cuestión al entender que el procedimiento subvencional es un procedimiento especial </w:t>
      </w:r>
      <w:r w:rsidRPr="0026452D">
        <w:rPr>
          <w:i/>
        </w:rPr>
        <w:t>ratione materiae</w:t>
      </w:r>
      <w:r>
        <w:t xml:space="preserve"> y que el art. 149.1.18 CE no ampara que el Estado establezca normas procedimentales respecto de todas las subvenciones, puesto que este precepto no se refiere de forma específica a las mismas, como sí lo hace, en cambio, respecto a la expropiación, los contratos y concesiones o el sistema de responsabilidad patrimonial.</w:t>
      </w:r>
    </w:p>
    <w:p w:rsidR="0026452D" w:rsidRDefault="0026452D" w:rsidP="0026452D">
      <w:pPr>
        <w:pStyle w:val="TextoNormal"/>
      </w:pPr>
    </w:p>
    <w:p w:rsidR="0026452D" w:rsidRDefault="0026452D" w:rsidP="0026452D">
      <w:pPr>
        <w:pStyle w:val="TextoNormal"/>
      </w:pPr>
      <w:r>
        <w:lastRenderedPageBreak/>
        <w:t xml:space="preserve">Esta argumentación no puede, sin embargo, compartirse. Ante todo, es preciso aclarar que, en principio y como regla general, los procedimientos administrativos especiales </w:t>
      </w:r>
      <w:r w:rsidRPr="0026452D">
        <w:rPr>
          <w:i/>
        </w:rPr>
        <w:t>ratione materiae</w:t>
      </w:r>
      <w:r>
        <w:t xml:space="preserve"> siguen, efectivamente, el régimen de distribución competencial existente en cada materia o sector, de tal forma que si las Comunidades Autónomas cuentan con competencias normativas en la materia podrán abordar su regulación en el marco de la legislación estatal sobre procedimiento administrativo común. Ello, no obstante, cabe señalar que este Tribunal ha admitido que, en virtud del art. 149.1.18 CE, el Estado establezca normas comunes de procedimiento específicas para procedimientos administrativos </w:t>
      </w:r>
      <w:r w:rsidRPr="0026452D">
        <w:rPr>
          <w:i/>
        </w:rPr>
        <w:t>ratione materiae</w:t>
      </w:r>
      <w:r>
        <w:t>, como, por ejemplo, el procedimiento de elaboración de los planes urbanísticos [STC 61/1997, FJ 25 c)], lo que indica que la competencia del Estado en materia de procedimiento administrativo común no se detiene, única y exclusivamente, en la regulación de la institución desde una perspectiva meramente abstracta y desvinculada de los procedimientos especiales.</w:t>
      </w:r>
    </w:p>
    <w:p w:rsidR="0026452D" w:rsidRDefault="0026452D" w:rsidP="0026452D">
      <w:pPr>
        <w:pStyle w:val="TextoNormal"/>
      </w:pPr>
    </w:p>
    <w:p w:rsidR="0026452D" w:rsidRDefault="0026452D" w:rsidP="0026452D">
      <w:pPr>
        <w:pStyle w:val="TextoNormal"/>
      </w:pPr>
      <w:r>
        <w:t xml:space="preserve">Por otra parte, es evidente que, de acuerdo con nuestra doctrina, las subvenciones no constituyen una “materia” a efectos de la distribución constitucional de competencias, sino que cada subvención concreta se inserta en la materia a que la misma se destina y se somete, por tanto, al reparto competencial correspondiente (así, la agricultura, el turismo, la asistencia social o cualquier otro), como también lo es que, efectivamente, el art. 149.1.18 CE no confiere expresamente un título competencial al Estado para la regulación de las subvenciones como lo hace respecto a las expropiaciones forzosas, los contratos y concesiones o la responsabilidad patrimonial. Ahora bien, de ello en modo alguno se deduce que el Estado no pueda establecer una regulación común del procedimiento de otorgamiento de subvenciones. De acuerdo con nuestra doctrina, las competencias normativas para la regulación de los procedimientos específicos subvencionales </w:t>
      </w:r>
      <w:r w:rsidRPr="0026452D">
        <w:rPr>
          <w:i/>
        </w:rPr>
        <w:t>ratione materiae</w:t>
      </w:r>
      <w:r>
        <w:t xml:space="preserve">, esto es, sectoriales, ha de seguir, lógicamente, la distribución competencial existente en relación con esos sectores o materias, sin perjuicio de las potestades que este Tribunal ha afirmado que derivan a favor del Estado, más allá de la distribución material de competencias </w:t>
      </w:r>
      <w:r w:rsidRPr="0026452D">
        <w:rPr>
          <w:i/>
        </w:rPr>
        <w:t>ex</w:t>
      </w:r>
      <w:r>
        <w:t xml:space="preserve"> art. 149.1 CE, como consecuencia de su poder de gasto. Sin embargo, la subvención, considerada en abstracto y desligada de cualquier campo especifico, no se incardina en ninguna materia o sector determinado, sino que es una técnica administrativa de fomento, esto es, una forma de actividad a la que puede acudir cualquier Administración pública.</w:t>
      </w:r>
    </w:p>
    <w:p w:rsidR="0026452D" w:rsidRDefault="0026452D" w:rsidP="0026452D">
      <w:pPr>
        <w:pStyle w:val="TextoNormal"/>
      </w:pPr>
    </w:p>
    <w:p w:rsidR="0026452D" w:rsidRDefault="0026452D" w:rsidP="0026452D">
      <w:pPr>
        <w:pStyle w:val="TextoNormal"/>
      </w:pPr>
      <w:r>
        <w:t xml:space="preserve">Esta forma de actividad propia de cualquier Administración pública puede requerir, por sus peculiaridades —que derivan fundamentalmente del hecho de que es también una importante forma de gasto público—, una regulación singular común tanto de su </w:t>
      </w:r>
      <w:r w:rsidRPr="0026452D">
        <w:rPr>
          <w:i/>
        </w:rPr>
        <w:t>iter</w:t>
      </w:r>
      <w:r>
        <w:t xml:space="preserve"> procedimental como de otros aspectos (requisitos de validez, de eficacia…) que, de acuerdo con la doctrina constitucional, se incardinan en el concepto de procedimiento administrativo común; regulación singular que no ofrece la actual configuración normativa del procedimiento administrativo recogida en la Ley 30/1992, de 26 de noviembre, de régimen jurídico de las Administraciones públicas y del procedimiento administrativo común, puesto que esta Ley no atiende ni da respuesta a los elementos y cuestiones diferenciadas que presenta este tipo de actuación jurídica de las Administraciones públicas.</w:t>
      </w:r>
    </w:p>
    <w:p w:rsidR="0026452D" w:rsidRDefault="0026452D" w:rsidP="0026452D">
      <w:pPr>
        <w:pStyle w:val="TextoNormal"/>
      </w:pPr>
    </w:p>
    <w:p w:rsidR="0026452D" w:rsidRDefault="0026452D" w:rsidP="0026452D">
      <w:pPr>
        <w:pStyle w:val="TextoNormal"/>
      </w:pPr>
      <w:r>
        <w:t xml:space="preserve">El procedimiento subvencional regulado desde una perspectiva general o abstracta no es, pues, un procedimiento especial </w:t>
      </w:r>
      <w:r w:rsidRPr="0026452D">
        <w:rPr>
          <w:i/>
        </w:rPr>
        <w:t>ratione materiae</w:t>
      </w:r>
      <w:r>
        <w:t>, porque prescinde de toda previsión espe</w:t>
      </w:r>
      <w:r>
        <w:lastRenderedPageBreak/>
        <w:t>cífica que atienda a las características de un determinado sector o materia (agricultura, urbanismo, asistencia social…) y responde única y exclusivamente a las singularidades de un determinado tipo de actividad de las Administraciones públicas.</w:t>
      </w:r>
    </w:p>
    <w:p w:rsidR="0026452D" w:rsidRDefault="0026452D" w:rsidP="0026452D">
      <w:pPr>
        <w:pStyle w:val="TextoNormal"/>
      </w:pPr>
    </w:p>
    <w:p w:rsidR="0026452D" w:rsidRDefault="0026452D" w:rsidP="0026452D">
      <w:pPr>
        <w:pStyle w:val="TextoNormal"/>
      </w:pPr>
      <w:r>
        <w:t xml:space="preserve">La Ley 38/2003 aborda la regulación de un procedimiento administrativo común singular en función de la forma de actividad administrativa; no regula un procedimiento administrativo especial </w:t>
      </w:r>
      <w:r w:rsidRPr="0026452D">
        <w:rPr>
          <w:i/>
        </w:rPr>
        <w:t>ratione materiae</w:t>
      </w:r>
      <w:r>
        <w:t xml:space="preserve"> y es, por tanto, en principio, y siempre que el Estado, en su regulación, se mueva dentro de los límites de su esfera competencial, compatible con la existencia de regulaciones especiales </w:t>
      </w:r>
      <w:r w:rsidRPr="0026452D">
        <w:rPr>
          <w:i/>
        </w:rPr>
        <w:t>ratione materiae</w:t>
      </w:r>
      <w:r>
        <w:t xml:space="preserve"> de los procedimientos de otorgamiento de subvenciones en determinados campos de actividad (agricultura, medio ambiente, asistencia social…), que corresponderá establecer bien al Estado, bien a las Comunidades Autónomas, en función de la distribución de competencias prevista para cada sector concreto en la Constitución.</w:t>
      </w:r>
    </w:p>
    <w:p w:rsidR="0026452D" w:rsidRDefault="0026452D" w:rsidP="0026452D">
      <w:pPr>
        <w:pStyle w:val="TextoNormal"/>
      </w:pPr>
    </w:p>
    <w:p w:rsidR="0026452D" w:rsidRDefault="0026452D" w:rsidP="0026452D">
      <w:pPr>
        <w:pStyle w:val="TextoNormal"/>
      </w:pPr>
      <w:r>
        <w:t xml:space="preserve">En definitiva, en la regulación del procedimiento administrativo de las subvenciones, nos encontramos con una situación de concurrencia competencial. Por un lado, y de acuerdo con lo que dispone el art. 149.1.18 CE, el Estado puede regular, desde una perspectiva general y abstracta, el procedimiento subvencional común, mientras que las Comunidades Autónomas pueden establecer “las especialidades derivadas de la organización propia”. Por otra parte, de acuerdo con la doctrina constitucional antes expuesta, la regulación de los procedimientos subvencionales </w:t>
      </w:r>
      <w:r w:rsidRPr="0026452D">
        <w:rPr>
          <w:i/>
        </w:rPr>
        <w:t>ratione materiae</w:t>
      </w:r>
      <w:r>
        <w:t xml:space="preserve"> corresponde al Estado o a las Comunidades Autónomas en función de la distribución de competencias que establece el art. 149.1 CE en cada sector o materia, si bien el ejercicio de esa competencia por las Comunidades Autónomas ha de hacerse respetando siempre las reglas establecidas en la legislación estatal sobre procedimiento administrativo común (por todas, SSTC 227/1988, FJ 32; 98/2001, de 5 de abril, FJ 8 y 36/2012, de 15 de marzo, FJ 8), legislación que incluye ahora una regulación del procedimiento subvencional común. Ahora bien, la concurrencia competencial que se produce entre la competencia estatal para regular el procedimiento administrativo común y las competencias autonómicas para regular los procedimientos administrativos especiales o </w:t>
      </w:r>
      <w:r w:rsidRPr="0026452D">
        <w:rPr>
          <w:i/>
        </w:rPr>
        <w:t>ratione materiae</w:t>
      </w:r>
      <w:r>
        <w:t xml:space="preserve"> determina también la importancia de que en la regulación del procedimiento subvencional común el Estado se circunscriba a aquellos elementos que pueden efectivamente considerarse comunes, de tal forma que respete un margen suficiente y adecuado para la introducción por parte de las Comunidades Autónomas de las necesarias especialidades en los procedimientos administrativos </w:t>
      </w:r>
      <w:r w:rsidRPr="0026452D">
        <w:rPr>
          <w:i/>
        </w:rPr>
        <w:t>ratione materiae</w:t>
      </w:r>
      <w:r>
        <w:t>.</w:t>
      </w:r>
    </w:p>
    <w:p w:rsidR="0026452D" w:rsidRDefault="0026452D" w:rsidP="0026452D">
      <w:pPr>
        <w:pStyle w:val="TextoNormal"/>
      </w:pPr>
    </w:p>
    <w:p w:rsidR="0026452D" w:rsidRDefault="0026452D" w:rsidP="0026452D">
      <w:pPr>
        <w:pStyle w:val="TextoNormal"/>
      </w:pPr>
      <w:r w:rsidRPr="0026452D">
        <w:rPr>
          <w:rStyle w:val="NumeroAFNegritaCaracter"/>
        </w:rPr>
        <w:t>9</w:t>
      </w:r>
      <w:r>
        <w:t>. Sentado todo lo anterior, procede que abordemos el examen de los preceptos legales recurridos, comenzando por los incluidos en el título preliminar.</w:t>
      </w:r>
    </w:p>
    <w:p w:rsidR="0026452D" w:rsidRDefault="0026452D" w:rsidP="0026452D">
      <w:pPr>
        <w:pStyle w:val="TextoNormal"/>
      </w:pPr>
    </w:p>
    <w:p w:rsidR="0026452D" w:rsidRDefault="0026452D" w:rsidP="0026452D">
      <w:pPr>
        <w:pStyle w:val="TextoNormal"/>
      </w:pPr>
      <w:r>
        <w:t>A) En primer lugar, se impugna el art. 3.4, que dispone lo siguiente:</w:t>
      </w:r>
    </w:p>
    <w:p w:rsidR="0026452D" w:rsidRDefault="0026452D" w:rsidP="0026452D">
      <w:pPr>
        <w:pStyle w:val="TextoNormal"/>
      </w:pPr>
    </w:p>
    <w:p w:rsidR="0026452D" w:rsidRDefault="0026452D" w:rsidP="0026452D">
      <w:pPr>
        <w:pStyle w:val="TextoNormal"/>
      </w:pPr>
      <w:r>
        <w:t>“Será igualmente aplicable esta ley a las siguientes subvenciones:</w:t>
      </w:r>
    </w:p>
    <w:p w:rsidR="0026452D" w:rsidRDefault="0026452D" w:rsidP="0026452D">
      <w:pPr>
        <w:pStyle w:val="TextoNormal"/>
      </w:pPr>
    </w:p>
    <w:p w:rsidR="0026452D" w:rsidRDefault="0026452D" w:rsidP="0026452D">
      <w:pPr>
        <w:pStyle w:val="TextoNormal"/>
      </w:pPr>
      <w:r>
        <w:t>a) Las establecidas en materias cuya regulación plena o básica corresponda al Estado y cuya gestión sea competencia total o parcial de otras Administraciones públicas.</w:t>
      </w:r>
    </w:p>
    <w:p w:rsidR="0026452D" w:rsidRDefault="0026452D" w:rsidP="0026452D">
      <w:pPr>
        <w:pStyle w:val="TextoNormal"/>
      </w:pPr>
    </w:p>
    <w:p w:rsidR="0026452D" w:rsidRDefault="0026452D" w:rsidP="0026452D">
      <w:pPr>
        <w:pStyle w:val="TextoNormal"/>
      </w:pPr>
      <w:r>
        <w:lastRenderedPageBreak/>
        <w:t>b) Aquellas en cuya tramitación intervengan órganos de la Administración General del Estado o de las entidades de derecho público vinculadas o dependientes de aquélla, conjuntamente con otras Administraciones, en cuanto a las fases del procedimiento que corresponda gestionar a dichos órganos.”</w:t>
      </w:r>
    </w:p>
    <w:p w:rsidR="0026452D" w:rsidRDefault="0026452D" w:rsidP="0026452D">
      <w:pPr>
        <w:pStyle w:val="TextoNormal"/>
      </w:pPr>
    </w:p>
    <w:p w:rsidR="0026452D" w:rsidRDefault="0026452D" w:rsidP="0026452D">
      <w:pPr>
        <w:pStyle w:val="TextoNormal"/>
      </w:pPr>
      <w:r>
        <w:t>Como con más detalle consta en los antecedentes, en cuanto a la letra a) del art. 3.4, la representación procesal autonómica rechaza que la totalidad de la Ley 38/2003 se aplique a las subvenciones correspondientes a materias en las que el Estado tenga competencia para establecer la legislación básica, pues en estos supuestos la competencia estatal se restringe a establecer dicha legislación, mientras que la Ley 38/2003 excede con mucho del alcance de lo básico. En cuanto a la letra b) del art. 3.4 plantea que debe respetarse la normativa autonómica incluso en las fases del procedimiento en las que intervengan los órganos de la Administración General del Estado.</w:t>
      </w:r>
    </w:p>
    <w:p w:rsidR="0026452D" w:rsidRDefault="0026452D" w:rsidP="0026452D">
      <w:pPr>
        <w:pStyle w:val="TextoNormal"/>
      </w:pPr>
    </w:p>
    <w:p w:rsidR="0026452D" w:rsidRDefault="0026452D" w:rsidP="0026452D">
      <w:pPr>
        <w:pStyle w:val="TextoNormal"/>
      </w:pPr>
      <w:r>
        <w:t>El Abogado del Estado rechaza la impugnación, aduciendo que el precepto no impide que las Comunidades Autónomas desarrollen su competencia concretando la norma estatal.</w:t>
      </w:r>
    </w:p>
    <w:p w:rsidR="0026452D" w:rsidRDefault="0026452D" w:rsidP="0026452D">
      <w:pPr>
        <w:pStyle w:val="TextoNormal"/>
      </w:pPr>
    </w:p>
    <w:p w:rsidR="0026452D" w:rsidRDefault="0026452D" w:rsidP="0026452D">
      <w:pPr>
        <w:pStyle w:val="TextoNormal"/>
      </w:pPr>
      <w:r>
        <w:t>Para resolver esta controversia debemos partir de la constatación de que el art. 3 de la Ley 38/2003, al establecer su ámbito subjetivo de aplicación, refiriéndolo a las subvenciones otorgadas por todas las Administraciones públicas territoriales y por sus entidades dependientes, sometidas al Derecho público o privado (apartados 1 y 2), lo proyecta también sobre las subvenciones otorgadas por las Comunidades Autónomas con cargo a sus propios fondos (apartado 3) y sobre las que establezca el Estado a cargo de los Presupuestos Generales del Estado (apartado 4).</w:t>
      </w:r>
    </w:p>
    <w:p w:rsidR="0026452D" w:rsidRDefault="0026452D" w:rsidP="0026452D">
      <w:pPr>
        <w:pStyle w:val="TextoNormal"/>
      </w:pPr>
    </w:p>
    <w:p w:rsidR="0026452D" w:rsidRDefault="0026452D" w:rsidP="0026452D">
      <w:pPr>
        <w:pStyle w:val="TextoNormal"/>
      </w:pPr>
      <w:r>
        <w:t>En cuanto a lo dispuesto en la letra a) del apartado 4 del art. 3, objeto de impugnación, que determina que la Ley 38/2003 será aplicable a las subvenciones “establecidas en materias cuya regulación … básica corresponde al Estado”, resulta que el Letrado autonómico entiende que a estas subvenciones autonómicas no sólo les son aplicables los preceptos de la Ley 38/2003 expresamente declarados básicos por la disposición final primera, apartado 1 (de cuyo alcance básico también discrepa), sino también el resto de los preceptos de la Ley.</w:t>
      </w:r>
    </w:p>
    <w:p w:rsidR="0026452D" w:rsidRDefault="0026452D" w:rsidP="0026452D">
      <w:pPr>
        <w:pStyle w:val="TextoNormal"/>
      </w:pPr>
    </w:p>
    <w:p w:rsidR="0026452D" w:rsidRDefault="0026452D" w:rsidP="0026452D">
      <w:pPr>
        <w:pStyle w:val="TextoNormal"/>
      </w:pPr>
      <w:r>
        <w:t>Si esta fuera la interpretación que hubiéramos de dar al art. 3.4 a), este precepto sería sin duda inconstitucional, pues declararía de aplicación preceptos que no deberían serlo según dicha disposición final. Sin embargo, es posible otra interpretación del art. 3.4 a) acomodada al orden constitucional de competencias. Ha de observarse que el art. 3.3 de la Ley 38/2003 determina que los preceptos de la misma son de aplicación a las subvenciones financiadas por las Comunidades Autónomas con fondos propios “de acuerdo con lo establecido en la disposición final primera”. Pues bien, cuando el art. 3.4 expresa en su encabezamiento que “será igualmente aplicable esta Ley” a las subvenciones “establecidas en materias cuya regulación … básica corresponda al Estado”, ha de entenderse que dicha aplicación lo será en iguales términos que lo dispuesto en el apartado 3 del art. 3, es decir, de acuerdo con el enunciado de preceptos contenido en la disposición final primera, de suerte que, en el ámbito de las Comunidades Autónomas, la Ley 38/2003 no es aplicable en su totalidad, sino únicamente en aquellas partes dictadas por el Estado al amparo de lo dispuesto en el art. 149.1.13, 14 y 18 CE.</w:t>
      </w:r>
    </w:p>
    <w:p w:rsidR="0026452D" w:rsidRDefault="0026452D" w:rsidP="0026452D">
      <w:pPr>
        <w:pStyle w:val="TextoNormal"/>
      </w:pPr>
    </w:p>
    <w:p w:rsidR="0026452D" w:rsidRDefault="0026452D" w:rsidP="0026452D">
      <w:pPr>
        <w:pStyle w:val="TextoNormal"/>
      </w:pPr>
      <w:r>
        <w:lastRenderedPageBreak/>
        <w:t xml:space="preserve">Esta interpretación del art. 3.4 a), que se llevará al fallo, resulta adecuada al reparto competencial, pues en las materias en las que al Estado le corresponda establecer las bases de la subvención pueden concurrir —una vez depurados, en su caso, tras nuestro examen— los preceptos de la Ley 38/2003 dictados </w:t>
      </w:r>
      <w:r w:rsidRPr="0026452D">
        <w:rPr>
          <w:i/>
        </w:rPr>
        <w:t>ex</w:t>
      </w:r>
      <w:r>
        <w:t xml:space="preserve"> art. 149.1.13, 14 y 18 CE.</w:t>
      </w:r>
    </w:p>
    <w:p w:rsidR="0026452D" w:rsidRDefault="0026452D" w:rsidP="0026452D">
      <w:pPr>
        <w:pStyle w:val="TextoNormal"/>
      </w:pPr>
    </w:p>
    <w:p w:rsidR="0026452D" w:rsidRDefault="0026452D" w:rsidP="0026452D">
      <w:pPr>
        <w:pStyle w:val="TextoNormal"/>
      </w:pPr>
      <w:r>
        <w:t>En cuanto al reproche formulado a la letra b) del art. 3.4 de la Ley 38/2003, debe ser rechazado, puesto que en los aspectos concretos del procedimiento de concesión de las subvenciones incardinadas en materias de competencia básica que al Estado le corresponde gestionar —supuesto cuarto del fundamento jurídico 8 de la STC 13/1992— dicha gestión estatal habrá de realizarse de acuerdo a la normativa dictada por el propio Estado. Así se deriva, de otro lado, del apartado 2, no impugnado, de la disposición final primera de la propia Ley 38/2003. Por tanto, se desestima la impugnación del art. 3.4 b) de la Ley 38/2003.</w:t>
      </w:r>
    </w:p>
    <w:p w:rsidR="0026452D" w:rsidRDefault="0026452D" w:rsidP="0026452D">
      <w:pPr>
        <w:pStyle w:val="TextoNormal"/>
      </w:pPr>
    </w:p>
    <w:p w:rsidR="0026452D" w:rsidRDefault="0026452D" w:rsidP="0026452D">
      <w:pPr>
        <w:pStyle w:val="TextoNormal"/>
      </w:pPr>
      <w:r>
        <w:t>B) El art. 5.2 dispone:</w:t>
      </w:r>
    </w:p>
    <w:p w:rsidR="0026452D" w:rsidRDefault="0026452D" w:rsidP="0026452D">
      <w:pPr>
        <w:pStyle w:val="TextoNormal"/>
      </w:pPr>
    </w:p>
    <w:p w:rsidR="0026452D" w:rsidRDefault="0026452D" w:rsidP="0026452D">
      <w:pPr>
        <w:pStyle w:val="TextoNormal"/>
      </w:pPr>
      <w:r>
        <w:t>“Las subvenciones que se otorguen por consorcios, mancomunidades u otras personificaciones públicas creadas por varias Administraciones públicas u organismos o entes dependientes de ellas y las subvenciones que deriven de convenios formalizados entre éstas se regularán de acuerdo con lo establecido en el instrumento jurídico de creación o en el propio convenio que, en todo caso, deberán ajustarse a las disposiciones contenidas en esta Ley.”</w:t>
      </w:r>
    </w:p>
    <w:p w:rsidR="0026452D" w:rsidRDefault="0026452D" w:rsidP="0026452D">
      <w:pPr>
        <w:pStyle w:val="TextoNormal"/>
      </w:pPr>
    </w:p>
    <w:p w:rsidR="0026452D" w:rsidRDefault="0026452D" w:rsidP="0026452D">
      <w:pPr>
        <w:pStyle w:val="TextoNormal"/>
      </w:pPr>
      <w:r>
        <w:t>La representación procesal autonómica se opone a este precepto porque, en su opinión, limita las competencias de la Comunidad Autónoma para establecer, respecto de las subvenciones correspondientes a materias de su competencia exclusiva o compartida, la normativa propia que corresponda.</w:t>
      </w:r>
    </w:p>
    <w:p w:rsidR="0026452D" w:rsidRDefault="0026452D" w:rsidP="0026452D">
      <w:pPr>
        <w:pStyle w:val="TextoNormal"/>
      </w:pPr>
    </w:p>
    <w:p w:rsidR="0026452D" w:rsidRDefault="0026452D" w:rsidP="0026452D">
      <w:pPr>
        <w:pStyle w:val="TextoNormal"/>
      </w:pPr>
      <w:r>
        <w:t>El Abogado del Estado sostiene la adecuación del precepto a la Constitución porque no impide que la Comunidad Autónoma legisle desarrollando las bases estatales.</w:t>
      </w:r>
    </w:p>
    <w:p w:rsidR="0026452D" w:rsidRDefault="0026452D" w:rsidP="0026452D">
      <w:pPr>
        <w:pStyle w:val="TextoNormal"/>
      </w:pPr>
    </w:p>
    <w:p w:rsidR="0026452D" w:rsidRDefault="0026452D" w:rsidP="0026452D">
      <w:pPr>
        <w:pStyle w:val="TextoNormal"/>
      </w:pPr>
      <w:r>
        <w:t>Una vez interpretado en el sentido antes expuesto el art. 3.4 a), ningún problema suscita que las subvenciones otorgadas por las entidades previstas en el art. 5.2 se sometan a las reglas concurrentes del Estado previstas en la Ley 38/2003, lo que supone que si algún precepto de esta fuere también declarado inconstitucional en el examen que estamos realizando, tampoco resultará, obviamente, de aplicación.</w:t>
      </w:r>
    </w:p>
    <w:p w:rsidR="0026452D" w:rsidRDefault="0026452D" w:rsidP="0026452D">
      <w:pPr>
        <w:pStyle w:val="TextoNormal"/>
      </w:pPr>
    </w:p>
    <w:p w:rsidR="0026452D" w:rsidRDefault="0026452D" w:rsidP="0026452D">
      <w:pPr>
        <w:pStyle w:val="TextoNormal"/>
      </w:pPr>
      <w:r>
        <w:t>En conclusión, procede desestimar la impugnación del art. 5.2.</w:t>
      </w:r>
    </w:p>
    <w:p w:rsidR="0026452D" w:rsidRDefault="0026452D" w:rsidP="0026452D">
      <w:pPr>
        <w:pStyle w:val="TextoNormal"/>
      </w:pPr>
    </w:p>
    <w:p w:rsidR="0026452D" w:rsidRDefault="0026452D" w:rsidP="0026452D">
      <w:pPr>
        <w:pStyle w:val="TextoNormal"/>
      </w:pPr>
      <w:r>
        <w:t>C) El art. 6.2 establece:</w:t>
      </w:r>
    </w:p>
    <w:p w:rsidR="0026452D" w:rsidRDefault="0026452D" w:rsidP="0026452D">
      <w:pPr>
        <w:pStyle w:val="TextoNormal"/>
      </w:pPr>
    </w:p>
    <w:p w:rsidR="0026452D" w:rsidRDefault="0026452D" w:rsidP="0026452D">
      <w:pPr>
        <w:pStyle w:val="TextoNormal"/>
      </w:pPr>
      <w:r>
        <w:t>“Los procedimientos de concesión y de control de las subvenciones regulados en esta Ley tendrán carácter supletorio respecto de las normas de aplicación directa a las subvenciones financiadas con cargo a fondos de la Unión Europea.”</w:t>
      </w:r>
    </w:p>
    <w:p w:rsidR="0026452D" w:rsidRDefault="0026452D" w:rsidP="0026452D">
      <w:pPr>
        <w:pStyle w:val="TextoNormal"/>
      </w:pPr>
    </w:p>
    <w:p w:rsidR="0026452D" w:rsidRDefault="0026452D" w:rsidP="0026452D">
      <w:pPr>
        <w:pStyle w:val="TextoNormal"/>
      </w:pPr>
      <w:r>
        <w:t>Para el Letrado del Gobierno de Aragón, el precepto es inconstitucional porque la conexión con el Derecho comunitario no altera el reparto competencial en nuestro orden interno, sin que pueda imponerse, por tanto, la normativa estatal a título de supletoriedad.</w:t>
      </w:r>
    </w:p>
    <w:p w:rsidR="0026452D" w:rsidRDefault="0026452D" w:rsidP="0026452D">
      <w:pPr>
        <w:pStyle w:val="TextoNormal"/>
      </w:pPr>
    </w:p>
    <w:p w:rsidR="0026452D" w:rsidRDefault="0026452D" w:rsidP="0026452D">
      <w:pPr>
        <w:pStyle w:val="TextoNormal"/>
      </w:pPr>
      <w:r>
        <w:lastRenderedPageBreak/>
        <w:t>Para el Abogado del Estado, este artículo se ajusta a la Constitución porque sólo prevé el carácter supletorio de la Ley en cuanto a los procedimientos de concesión y control de las subvenciones con cargo a los fondos europeos, no proyectándose la declaración de supletoriedad respecto de los aspectos sustantivos de la regulación de la subvención.</w:t>
      </w:r>
    </w:p>
    <w:p w:rsidR="0026452D" w:rsidRDefault="0026452D" w:rsidP="0026452D">
      <w:pPr>
        <w:pStyle w:val="TextoNormal"/>
      </w:pPr>
    </w:p>
    <w:p w:rsidR="0026452D" w:rsidRDefault="0026452D" w:rsidP="0026452D">
      <w:pPr>
        <w:pStyle w:val="TextoNormal"/>
      </w:pPr>
      <w:r>
        <w:t>Debemos tener en cuenta que el art. 6.1 de la Ley establece que “las subvenciones financiadas con cargo a fondos de la Unión Europea se regirán por las normas comunitarias aplicables en cada caso y por las normas nacionales de desarrollo o transposición de aquéllas”. Este precepto no ha suscitado reproche de inconstitucionalidad, que sólo se suscita respecto de la aplicación supletoria a estas subvenciones de los procedimientos de concesión y control previstos en el articulado de la Ley.</w:t>
      </w:r>
    </w:p>
    <w:p w:rsidR="0026452D" w:rsidRDefault="0026452D" w:rsidP="0026452D">
      <w:pPr>
        <w:pStyle w:val="TextoNormal"/>
      </w:pPr>
    </w:p>
    <w:p w:rsidR="0026452D" w:rsidRDefault="0026452D" w:rsidP="0026452D">
      <w:pPr>
        <w:pStyle w:val="TextoNormal"/>
      </w:pPr>
      <w:r>
        <w:t>En relación con las subvenciones que conlleven financiación comunitaria, hemos afirmado que esta conexión comunitaria no altera el reparto competencial de nuestro orden interno, de modo que “las normas del Estado que no sean simple transposición de las comunitarias, sino que sirvan de desarrollo o complemento de éstas, sólo pueden tener aplicación directa sin invadir las competencias que sobre agricultura y ganadería ostentan las Comunidades Autónomas del País Vasco y Cataluña cuando hayan de ser consideradas normas básicas de ordenación del sector, o bien cuando la existencia de una regulación común esté justificada por razones de coordinación de las actividades del Estado y de las Comunidades Autónomas relativas a la ejecución de las medidas de ayuda previstas en los Reglamentos comunitarios aplicables. Con estas salvedades, las Comunidades Autónomas pueden adoptar las disposiciones necesarias para complementar esa normativa europea y regular las operaciones de gestión que les corresponden, en el marco del Derecho europeo y de las normas estatales de carácter básico o de coordinación.” (STC 79/1992, de 28 de mayo, FJ 3).</w:t>
      </w:r>
    </w:p>
    <w:p w:rsidR="0026452D" w:rsidRDefault="0026452D" w:rsidP="0026452D">
      <w:pPr>
        <w:pStyle w:val="TextoNormal"/>
      </w:pPr>
    </w:p>
    <w:p w:rsidR="0026452D" w:rsidRDefault="0026452D" w:rsidP="0026452D">
      <w:pPr>
        <w:pStyle w:val="TextoNormal"/>
      </w:pPr>
      <w:r>
        <w:t>Inmediatamente a continuación añadíamos que “en casos como los que contemplamos, las disposiciones del Estado que establezcan reglas destinadas a permitir la ejecución de los Reglamentos comunitarios en España y que no puedan considerarse normas básicas o de coordinación, tienen un carácter supletorio de las que pueden dictar las Comunidades Autónomas para los mismos fines en el ámbito de sus competencias. Sin olvidar que la cláusula de supletoriedad del art. 149.3 CE no constituye una cláusula universal atributiva de competencias (SSTC 15/1989, 103/1989 y 147/1991), en tales casos la posibilidad de que el Estado dicte normas innovadoras de carácter supletorio está plenamente justificada. Primero, porque se trata de una materia -la agricultura y la ganadería- en la que existen competencias estatales concurrentes de ordenación general del sector en todo el territorio nacional lo que legitima esa intervención normativa estatal, al menos con alcance supletorio (STC 147/1991). Segundo, porque, a falta de la consiguiente actividad legislativa o reglamentaria de las Comunidades Autónomas, esa normativa estatal supletoria puede ser necesaria para garantizar el cumplimiento del Derecho derivado europeo, función que corresponde a las Cortes Generales o al Gobierno, según los casos (art. 93 CE, conforme al que ha de interpretarse también al alcance de la cláusula de supletoriedad del art. 149.3 CE). Tercero, porque de lo contrario podría llegarse (y de hecho se hubiera llegado) a la absurda conclusión de que, ante la pasividad normativa de todas o algunas Comunidades Autónomas, los agricultores y ganaderos de las mismas no podrían percibir las ayudas que les corresponden según la reglamentación comunitaria aplicable.” (STC 79/1992, FJ 3).</w:t>
      </w:r>
    </w:p>
    <w:p w:rsidR="0026452D" w:rsidRDefault="0026452D" w:rsidP="0026452D">
      <w:pPr>
        <w:pStyle w:val="TextoNormal"/>
      </w:pPr>
    </w:p>
    <w:p w:rsidR="0026452D" w:rsidRDefault="0026452D" w:rsidP="0026452D">
      <w:pPr>
        <w:pStyle w:val="TextoNormal"/>
      </w:pPr>
      <w:r>
        <w:lastRenderedPageBreak/>
        <w:t>Teniendo en cuenta esta doctrina, hemos de apreciar que el precepto recurrido se adecua a la Constitución, pues la aplicación de “los procedimientos de concesión y control de las subvenciones regulados en esta Ley” persigue garantizar la efectividad del Derecho de la Unión Europea en caso de pasividad de las Comunidades Autónomas.</w:t>
      </w:r>
    </w:p>
    <w:p w:rsidR="0026452D" w:rsidRDefault="0026452D" w:rsidP="0026452D">
      <w:pPr>
        <w:pStyle w:val="TextoNormal"/>
      </w:pPr>
    </w:p>
    <w:p w:rsidR="0026452D" w:rsidRDefault="0026452D" w:rsidP="0026452D">
      <w:pPr>
        <w:pStyle w:val="TextoNormal"/>
      </w:pPr>
      <w:r>
        <w:t>Por tanto, procede desestimar la impugnación del art. 6.2.</w:t>
      </w:r>
    </w:p>
    <w:p w:rsidR="0026452D" w:rsidRDefault="0026452D" w:rsidP="0026452D">
      <w:pPr>
        <w:pStyle w:val="TextoNormal"/>
      </w:pPr>
    </w:p>
    <w:p w:rsidR="0026452D" w:rsidRDefault="0026452D" w:rsidP="0026452D">
      <w:pPr>
        <w:pStyle w:val="TextoNormal"/>
      </w:pPr>
      <w:r>
        <w:t>D) El art. 7.2 y 3 prevé:</w:t>
      </w:r>
    </w:p>
    <w:p w:rsidR="0026452D" w:rsidRDefault="0026452D" w:rsidP="0026452D">
      <w:pPr>
        <w:pStyle w:val="TextoNormal"/>
      </w:pPr>
    </w:p>
    <w:p w:rsidR="0026452D" w:rsidRDefault="0026452D" w:rsidP="0026452D">
      <w:pPr>
        <w:pStyle w:val="TextoNormal"/>
      </w:pPr>
      <w:r>
        <w:t>“2. Los órganos competentes de la Administración General del Estado para proponer o coordinar los pagos de las ayudas de cada fondo o instrumento, previa audiencia de las entidades afectadas mencionadas en el apartado anterior, resolverán acerca de la determinación de las referidas responsabilidades financieras. De dichas resoluciones se dará traslado al Ministerio de Hacienda para que se efectúen las liquidaciones, deducciones o compensaciones financieras pertinentes a aplicar a las entidades afectadas.”</w:t>
      </w:r>
    </w:p>
    <w:p w:rsidR="0026452D" w:rsidRDefault="0026452D" w:rsidP="0026452D">
      <w:pPr>
        <w:pStyle w:val="TextoNormal"/>
      </w:pPr>
    </w:p>
    <w:p w:rsidR="0026452D" w:rsidRDefault="0026452D" w:rsidP="0026452D">
      <w:pPr>
        <w:pStyle w:val="TextoNormal"/>
      </w:pPr>
      <w:r>
        <w:t>“3. Las compensaciones financieras que deban realizarse como consecuencia de las actuaciones señaladas en el apartado anterior se llevarán a cabo por la Dirección General del Tesoro y Política Financiera, mediante la deducción de sus importes en los futuros libramientos que se realicen por cuenta de los citados fondos e instrumentos financieros de la Unión Europea, de acuerdo con la respectiva naturaleza de cada uno de ellos y con los procedimientos que se establezcan mediante orden conjunta de los Ministerios de Economía y Hacienda, previo informe de los departamentos competentes.”</w:t>
      </w:r>
    </w:p>
    <w:p w:rsidR="0026452D" w:rsidRDefault="0026452D" w:rsidP="0026452D">
      <w:pPr>
        <w:pStyle w:val="TextoNormal"/>
      </w:pPr>
    </w:p>
    <w:p w:rsidR="0026452D" w:rsidRDefault="0026452D" w:rsidP="0026452D">
      <w:pPr>
        <w:pStyle w:val="TextoNormal"/>
      </w:pPr>
      <w:r>
        <w:t>Para la representación procesal del Gobierno de Aragón, no existe duda acerca de la posible responsabilidad financiera de las Comunidades Autónomas que se deriven de sus actuaciones de gestión de fondos comunitarios (art. 3.1), de acuerdo con lo señalado en la STC 148/1998. Sin embargo, considera que la exigencia de responsabilidad concretada en los apartados 2 y 3 del precepto supone un control indeterminado que no es compatible con el art. 153 CE.</w:t>
      </w:r>
    </w:p>
    <w:p w:rsidR="0026452D" w:rsidRDefault="0026452D" w:rsidP="0026452D">
      <w:pPr>
        <w:pStyle w:val="TextoNormal"/>
      </w:pPr>
    </w:p>
    <w:p w:rsidR="0026452D" w:rsidRDefault="0026452D" w:rsidP="0026452D">
      <w:pPr>
        <w:pStyle w:val="TextoNormal"/>
      </w:pPr>
      <w:r>
        <w:t>Para el Abogado del Estado, las funciones de control y vigilancia controvertidas, que traen causa de la responsabilidad financiera del Estado ante la Unión Europea, no vulneran las competencias autonómicas sobre la acción subvencional y se inscriben en la potestad del Estado para autoorganizarse.</w:t>
      </w:r>
    </w:p>
    <w:p w:rsidR="0026452D" w:rsidRDefault="0026452D" w:rsidP="0026452D">
      <w:pPr>
        <w:pStyle w:val="TextoNormal"/>
      </w:pPr>
    </w:p>
    <w:p w:rsidR="0026452D" w:rsidRDefault="0026452D" w:rsidP="0026452D">
      <w:pPr>
        <w:pStyle w:val="TextoNormal"/>
      </w:pPr>
      <w:r>
        <w:t xml:space="preserve">Ya en la STC 79/1992, FJ 5, este Tribunal tuvo ocasión de aclarar que el hecho de que el Estado pueda incurrir en una responsabilidad financiera </w:t>
      </w:r>
      <w:r w:rsidRPr="0026452D">
        <w:rPr>
          <w:i/>
        </w:rPr>
        <w:t>ad extra</w:t>
      </w:r>
      <w:r>
        <w:t xml:space="preserve"> como consecuencia de irregularidades o negligencias imputables a las Administraciones en relación con subvenciones con financiación comunitaria, no justifica la asunción por el Estado de competencias que no le corresponden. En la misma línea, en la STC 148/1998, de 2 de julio, FJ 8, insistimos de nuevo en que el Estado no puede justificar en el art. 149.3 CE “toda actividad que constituya desarrollo, ejecución o aplicación de los Convenios y Tratados Internacionales y, en particular, del Derecho derivado europeo, pues ello vaciaría de competencias a las Comunidades Autónomas”. Ahora bien, en la STC 79/1992 aclaramos que la responsabilidad </w:t>
      </w:r>
      <w:r w:rsidRPr="0026452D">
        <w:rPr>
          <w:i/>
        </w:rPr>
        <w:t>ad extra</w:t>
      </w:r>
      <w:r>
        <w:t xml:space="preserve"> del Estado no le impide repercutir </w:t>
      </w:r>
      <w:r w:rsidRPr="0026452D">
        <w:rPr>
          <w:i/>
        </w:rPr>
        <w:t>ad intra</w:t>
      </w:r>
      <w:r>
        <w:t xml:space="preserve">, sobre las Administraciones públicas autonómicas competentes, la responsabilidad que en cada caso proceda, sin que pueda, por tanto, ignorarse, tal y como señalamos en nuestra STC 252/1988, de 20 de diciembre, “la </w:t>
      </w:r>
      <w:r>
        <w:lastRenderedPageBreak/>
        <w:t>necesidad de proporcionar al Gobierno los instrumentos indispensables para desempeñar la función que le atribuye el art. 93 CE” (FJ 2). Corresponde, pues, al Estado “establecer los sistemas de coordinación y cooperación que permitan evitar las irregularidades o las carencias en el cumplimiento de la normativa comunitaria, así como los sistemas de compensación interadministrativa de la responsabilidad financiera que pudiera generarse para el propio Estado en el caso de que dichas irregularidades o carencias se produjeran efectivamente y así se constatara por las instituciones comunitarias” (STC 148/1998, FJ 8).</w:t>
      </w:r>
    </w:p>
    <w:p w:rsidR="0026452D" w:rsidRDefault="0026452D" w:rsidP="0026452D">
      <w:pPr>
        <w:pStyle w:val="TextoNormal"/>
      </w:pPr>
    </w:p>
    <w:p w:rsidR="0026452D" w:rsidRDefault="0026452D" w:rsidP="0026452D">
      <w:pPr>
        <w:pStyle w:val="TextoNormal"/>
      </w:pPr>
      <w:r>
        <w:t>De acuerdo con esta doctrina, la responsabilidad financiera de las Comunidades Autónomas, como consecuencia de su gestión de subvenciones financiadas por la Unión Europea, no puede ser determinada por la Administración del Estado de modo unilateral o previo, sino que resulta exigible que las irregularidades sean determinadas y constatadas por las propias instituciones comunitarias y ello genere, efectivamente, la responsabilidad financiera del Estado. Pues bien, el precepto, en su tenor literal, tiene un carácter impreciso, pues permitiría ir más allá de este marco objetivo, toda vez que, su conexión con el apartado 1 del art.7, no impugnado, posibilitaría que la responsabilidad financiera del Estado no haya sido establecida necesariamente por los órganos comunitarios (el apartado 1 habla de “responsabilidades que se deriven de dichas actuaciones, incluidas las que sobrevengan por decisiones de los órganos de la Unión Europea”), sino unilateralmente por la propia Administración del Estado. En esta posible interpretación, esta última ejercería un control de oportunidad, no previsto en el art. 153 CE, que no se ajustaría a la Constitución, toda vez que “la autonomía exige en principio … que las actuaciones de la Administración autonómica no sean controladas por la Administración del Estado, no pudiendo impugnarse la validez o eficacia de dichas actuaciones sino a través de los mecanismos constitucionalmente previstos. Por ello el poder de vigilancia no puede colocar a las Comunidades Autónomas en una situación de dependencia jerárquica respecto de la Administración del Estado, pues, como ha tenido ocasión de señalar este Tribunal, tal situación no resulta compatible con el principio de autonomía y con la esfera competencial que de éste deriva (Sentencia 4/1981, de 2 de febrero y 6/1982, de 22 de febrero)” (STC 76/1983, de 5 de agosto, FJ 12; en igual sentido, entre otras muchas, STC 118/1998, de 4 de junio, FJ 26).</w:t>
      </w:r>
    </w:p>
    <w:p w:rsidR="0026452D" w:rsidRDefault="0026452D" w:rsidP="0026452D">
      <w:pPr>
        <w:pStyle w:val="TextoNormal"/>
      </w:pPr>
    </w:p>
    <w:p w:rsidR="0026452D" w:rsidRDefault="0026452D" w:rsidP="0026452D">
      <w:pPr>
        <w:pStyle w:val="TextoNormal"/>
      </w:pPr>
      <w:r>
        <w:t xml:space="preserve">Sin embargo, si la norma impugnada se interpreta entendiendo su conexión con el apartado 1 del precepto en el sentido de que “las responsabilidades que se deriven de dichas actuaciones” ha de sustentarse necesariamente en las correspondientes “decisiones de la Unión Europea” que generen la responsabilidad financiera del Estado, el art. 7.2 se acomodaría a la Constitución. De acuerdo con ello, la resolución que adopten “los órganos competentes de la Administración General del Estado”, dando traslado de las mismas al Ministerio de Hacienda es una mera concreción técnica que permite trasladar en nuestro orden interno desde el Estado a la correspondiente Comunidad Autónoma la responsabilidad imputada a aquél por las instituciones comunitarias. Y en esta interpretación, ninguna duda existe acerca de que la regulación normativa en norma con rango de Ley de ese traslado de responsabilidad financiera encuentra cobertura constitucional en las reglas competenciales específicas del Estado que se conectan con los distintos Fondos Europeos que se concretan en el apartado 1 del precepto, pues respecto de todos ellos el Estado tiene atribuidas competencias (reglas séptima, decimotercera y decimonovena del art. 149.1 CE), además de las que, en todo caso, incumben en este punto al Estado </w:t>
      </w:r>
      <w:r w:rsidRPr="0026452D">
        <w:rPr>
          <w:i/>
        </w:rPr>
        <w:t>ex</w:t>
      </w:r>
      <w:r>
        <w:t xml:space="preserve"> art. 149.1.14 CE, pues esta regla competencial incluye las relaciones financieras entre el Estado y las Comunidades Autónomas. Importa señalar, por último, que en esta interpretación las decisiones que adopte el </w:t>
      </w:r>
      <w:r>
        <w:lastRenderedPageBreak/>
        <w:t>Ministerio de Hacienda “para que se efectúen las liquidaciones, deducciones o compensaciones financieras pertinentes” siempre estarán sometidas al control jurisdiccional, y, en su caso, al de este Tribunal.</w:t>
      </w:r>
    </w:p>
    <w:p w:rsidR="0026452D" w:rsidRDefault="0026452D" w:rsidP="0026452D">
      <w:pPr>
        <w:pStyle w:val="TextoNormal"/>
      </w:pPr>
    </w:p>
    <w:p w:rsidR="0026452D" w:rsidRDefault="0026452D" w:rsidP="0026452D">
      <w:pPr>
        <w:pStyle w:val="TextoNormal"/>
      </w:pPr>
      <w:r>
        <w:t>En conclusión, con esta interpretación, que se llevará al fallo, el art. 7.2 no vulnera la Constitución.</w:t>
      </w:r>
    </w:p>
    <w:p w:rsidR="0026452D" w:rsidRDefault="0026452D" w:rsidP="0026452D">
      <w:pPr>
        <w:pStyle w:val="TextoNormal"/>
      </w:pPr>
    </w:p>
    <w:p w:rsidR="0026452D" w:rsidRDefault="0026452D" w:rsidP="0026452D">
      <w:pPr>
        <w:pStyle w:val="TextoNormal"/>
      </w:pPr>
      <w:r>
        <w:t>Una vez sentada la anterior interpretación la impugnación del art. 7.3 debe ser desestimada, pues la regulación contenida en este precepto es expresión de las dimensiones orgánica y funcional de la autoorganización del Estado a través de las cuales se han de producir las compensaciones financieras que hemos examinado.</w:t>
      </w:r>
    </w:p>
    <w:p w:rsidR="0026452D" w:rsidRDefault="0026452D" w:rsidP="0026452D">
      <w:pPr>
        <w:pStyle w:val="TextoNormal"/>
      </w:pPr>
    </w:p>
    <w:p w:rsidR="0026452D" w:rsidRDefault="0026452D" w:rsidP="0026452D">
      <w:pPr>
        <w:pStyle w:val="TextoNormal"/>
      </w:pPr>
      <w:r>
        <w:t>E) El art. 8.1 y 2 dispone:</w:t>
      </w:r>
    </w:p>
    <w:p w:rsidR="0026452D" w:rsidRDefault="0026452D" w:rsidP="0026452D">
      <w:pPr>
        <w:pStyle w:val="TextoNormal"/>
      </w:pPr>
    </w:p>
    <w:p w:rsidR="0026452D" w:rsidRDefault="0026452D" w:rsidP="0026452D">
      <w:pPr>
        <w:pStyle w:val="TextoNormal"/>
      </w:pPr>
      <w:r>
        <w:t>“1. Los órganos de las Administraciones Públicas o cualesquiera entes que propongan el establecimiento de subvenciones, con carácter previo, deberán concretar en un plan estratégico de subvenciones los objetivos y efectos que se pretenden con su aplicación, el plazo necesario para su consecución, los costes previsibles y sus fuentes de financiación, supeditándose en todo caso al cumplimiento de los objetivos de estabilidad presupuestaria.”</w:t>
      </w:r>
    </w:p>
    <w:p w:rsidR="0026452D" w:rsidRDefault="0026452D" w:rsidP="0026452D">
      <w:pPr>
        <w:pStyle w:val="TextoNormal"/>
      </w:pPr>
    </w:p>
    <w:p w:rsidR="0026452D" w:rsidRDefault="0026452D" w:rsidP="0026452D">
      <w:pPr>
        <w:pStyle w:val="TextoNormal"/>
      </w:pPr>
      <w:r>
        <w:t>“2. Cuando los objetivos que se pretenden conseguir afecten al mercado, su orientación debe dirigirse a corregir fallos claramente identificados y sus efectos deben ser mínimamente distorsionadores.”</w:t>
      </w:r>
    </w:p>
    <w:p w:rsidR="0026452D" w:rsidRDefault="0026452D" w:rsidP="0026452D">
      <w:pPr>
        <w:pStyle w:val="TextoNormal"/>
      </w:pPr>
    </w:p>
    <w:p w:rsidR="0026452D" w:rsidRDefault="0026452D" w:rsidP="0026452D">
      <w:pPr>
        <w:pStyle w:val="TextoNormal"/>
      </w:pPr>
      <w:r>
        <w:t>El representante procesal del Gobierno de Aragón reprocha a este precepto la vulneración de la competencia autonómica de autoorganización y su autonomía financiera, extralimitándose de las competencias del Estado del art. 149.1.13 y 14 CE.</w:t>
      </w:r>
    </w:p>
    <w:p w:rsidR="0026452D" w:rsidRDefault="0026452D" w:rsidP="0026452D">
      <w:pPr>
        <w:pStyle w:val="TextoNormal"/>
      </w:pPr>
    </w:p>
    <w:p w:rsidR="0026452D" w:rsidRDefault="0026452D" w:rsidP="0026452D">
      <w:pPr>
        <w:pStyle w:val="TextoNormal"/>
      </w:pPr>
      <w:r>
        <w:t>Para el Abogado del Estado no se produce esa vulneración, pues es manifestación de la competencia estatal de ordenación económica a través de la subvención, por sus efectos en la estabilidad presupuestaria y para evitar las distorsiones del mercado.</w:t>
      </w:r>
    </w:p>
    <w:p w:rsidR="0026452D" w:rsidRDefault="0026452D" w:rsidP="0026452D">
      <w:pPr>
        <w:pStyle w:val="TextoNormal"/>
      </w:pPr>
    </w:p>
    <w:p w:rsidR="0026452D" w:rsidRDefault="0026452D" w:rsidP="0026452D">
      <w:pPr>
        <w:pStyle w:val="TextoNormal"/>
      </w:pPr>
      <w:r>
        <w:t xml:space="preserve">Pues bien, debemos señalar que el precepto impugnado no transgrede la Constitución en ninguno de sus dos apartados. El primero de ellos impone la realización de un plan estratégico de subvenciones como instrumento de racionalización del gasto público, de garantía de la eficacia y eficiencia de la política de subvenciones, así como de su supeditación a los objetivos de la estabilidad presupuestaria. El segundo enuncia, como objetivos de las subvenciones que afecten al mercado, la corrección de fallos identificados en el funcionamiento del mismo y la minimización de su distorsión. Ambos apartados del precepto implican, por tanto, la definición por el Estado de directrices y líneas de actuación de las Administraciones públicas en el ejercicio de su potestad subvencional con la finalidad de alcanzar objetivos de la política económica general, constitucionalmente reconocidos (eficiencia del gasto público, estabilidad presupuestaria, unidad de mercado, competencia…) y encuentran, en consecuencia, un claro amparo en la competencia exclusiva que al Estado le atribuye el art. 149.1.13 CE. Conviene tener presente que el art. 149.1.13 CE no sólo atribuye al Estado una potestad de coordinación, sino también una competencia para establecer “las líneas directrices y los criterios globales de ordenación de sectores económicos concretos, así como </w:t>
      </w:r>
      <w:r>
        <w:lastRenderedPageBreak/>
        <w:t>las previsiones de acciones o medidas singulares que sean necesarias para alcanzar los fines propuestos dentro de la ordenación de cada sector” (STC 34/2013, de 14 de febrero, FJ 4).</w:t>
      </w:r>
    </w:p>
    <w:p w:rsidR="0026452D" w:rsidRDefault="0026452D" w:rsidP="0026452D">
      <w:pPr>
        <w:pStyle w:val="TextoNormal"/>
      </w:pPr>
    </w:p>
    <w:p w:rsidR="0026452D" w:rsidRDefault="0026452D" w:rsidP="0026452D">
      <w:pPr>
        <w:pStyle w:val="TextoNormal"/>
      </w:pPr>
      <w:r>
        <w:t xml:space="preserve">Por otra parte, la imposición de la elaboración del plan estratégico prevista en el art. 8, apartados 1 y 2, encuentra asimismo cobertura en la materia de “bases del régimen jurídico de las Administraciones Públicas” (art. 149.1.18 CE), ya que orienta la actividad </w:t>
      </w:r>
      <w:r w:rsidRPr="0026452D">
        <w:rPr>
          <w:i/>
        </w:rPr>
        <w:t>ad extra</w:t>
      </w:r>
      <w:r>
        <w:t xml:space="preserve"> de las Administraciones Públicas al exigir a estas la exposición a los ciudadanos del marco general de sus políticas públicas subvencionales, y lo hace con un planteamiento genérico que no condiciona su autonomía organizativa y funcional para instrumentarlas.</w:t>
      </w:r>
    </w:p>
    <w:p w:rsidR="0026452D" w:rsidRDefault="0026452D" w:rsidP="0026452D">
      <w:pPr>
        <w:pStyle w:val="TextoNormal"/>
      </w:pPr>
    </w:p>
    <w:p w:rsidR="0026452D" w:rsidRDefault="0026452D" w:rsidP="0026452D">
      <w:pPr>
        <w:pStyle w:val="TextoNormal"/>
      </w:pPr>
      <w:r>
        <w:t>La impugnación del art. 8.1 y 2 debe, por tanto, desestimarse.</w:t>
      </w:r>
    </w:p>
    <w:p w:rsidR="0026452D" w:rsidRDefault="0026452D" w:rsidP="0026452D">
      <w:pPr>
        <w:pStyle w:val="TextoNormal"/>
      </w:pPr>
    </w:p>
    <w:p w:rsidR="0026452D" w:rsidRDefault="0026452D" w:rsidP="0026452D">
      <w:pPr>
        <w:pStyle w:val="TextoNormal"/>
      </w:pPr>
      <w:r>
        <w:t>F) Los arts. 12.1, 15.1 a) y b) y 16.1 y 5 regulan diversos aspectos relativos a las entidades colaboradoras.</w:t>
      </w:r>
    </w:p>
    <w:p w:rsidR="0026452D" w:rsidRDefault="0026452D" w:rsidP="0026452D">
      <w:pPr>
        <w:pStyle w:val="TextoNormal"/>
      </w:pPr>
    </w:p>
    <w:p w:rsidR="0026452D" w:rsidRDefault="0026452D" w:rsidP="0026452D">
      <w:pPr>
        <w:pStyle w:val="TextoNormal"/>
      </w:pPr>
      <w:r>
        <w:t>a) El art.12.1 establece:</w:t>
      </w:r>
    </w:p>
    <w:p w:rsidR="0026452D" w:rsidRDefault="0026452D" w:rsidP="0026452D">
      <w:pPr>
        <w:pStyle w:val="TextoNormal"/>
      </w:pPr>
    </w:p>
    <w:p w:rsidR="0026452D" w:rsidRDefault="0026452D" w:rsidP="0026452D">
      <w:pPr>
        <w:pStyle w:val="TextoNormal"/>
      </w:pPr>
      <w:r>
        <w:t>“1. Será entidad colaboradora aquella, que actuando en nombre y por cuenta del órgano concedente a todos los efectos relacionados con la subvención, entregue y distribuya los fondos públicos a los beneficiarios cuando así se establezca en las bases reguladoras, o colabore en la gestión de la subvención sin que se produzca la previa entrega y distribución de los fondos recibidos. Estos fondos, en ningún caso, se considerarán integrantes de su patrimonio.</w:t>
      </w:r>
    </w:p>
    <w:p w:rsidR="0026452D" w:rsidRDefault="0026452D" w:rsidP="0026452D">
      <w:pPr>
        <w:pStyle w:val="TextoNormal"/>
      </w:pPr>
    </w:p>
    <w:p w:rsidR="0026452D" w:rsidRDefault="0026452D" w:rsidP="0026452D">
      <w:pPr>
        <w:pStyle w:val="TextoNormal"/>
      </w:pPr>
      <w:r>
        <w:t>Igualmente tendrán esta condición los que habiendo sido denominados beneficiarios conforme a la normativa comunitaria tengan encomendadas, exclusivamente, las funciones enumeradas en el párrafo anterior.”</w:t>
      </w:r>
    </w:p>
    <w:p w:rsidR="0026452D" w:rsidRDefault="0026452D" w:rsidP="0026452D">
      <w:pPr>
        <w:pStyle w:val="TextoNormal"/>
      </w:pPr>
    </w:p>
    <w:p w:rsidR="0026452D" w:rsidRDefault="0026452D" w:rsidP="0026452D">
      <w:pPr>
        <w:pStyle w:val="TextoNormal"/>
      </w:pPr>
      <w:r>
        <w:t xml:space="preserve">El Letrado del Gobierno de Aragón aduce que el precepto regula de forma cerrada las dos funciones que pueden atribuirse a las entidades colaboradoras, lo que cercena la posibilidad de que la Administración autonómica atribuya a estas entidades otras funciones relacionadas con el manejo de las subvenciones (como la determinación de los perceptores mediante la valoración de las solicitudes o la intervención en la fase de control una vez gestionadas las subvenciones). De esta forma, el Estado se adentra en una cuestión organizativa interna de las Administraciones públicas (las funciones de las entidades colaboradoras) y se excede de la competencia básica que le corresponde </w:t>
      </w:r>
      <w:r w:rsidRPr="0026452D">
        <w:rPr>
          <w:i/>
        </w:rPr>
        <w:t>ex</w:t>
      </w:r>
      <w:r>
        <w:t xml:space="preserve"> art. 149.1.18 CE, tal y como se deriva de la doctrina constitucional (STC 243/1994, de 21 de julio).</w:t>
      </w:r>
    </w:p>
    <w:p w:rsidR="0026452D" w:rsidRDefault="0026452D" w:rsidP="0026452D">
      <w:pPr>
        <w:pStyle w:val="TextoNormal"/>
      </w:pPr>
    </w:p>
    <w:p w:rsidR="0026452D" w:rsidRDefault="0026452D" w:rsidP="0026452D">
      <w:pPr>
        <w:pStyle w:val="TextoNormal"/>
      </w:pPr>
      <w:r>
        <w:t>El Abogado del Estado defiende la constitucionalidad del precepto señalando que el precepto dispone que la entidad colaboradora actúa en nombre y por cuenta del órgano concedente “a todos los efectos relacionados con la subvención” y que, por tanto, no establece limitación alguna en cuanto a las funciones que le pueden ser atribuidas, aunque regule dos funciones posibles de las mismas (la entrega y distribución de fondos y la mera colaboración en la gestión).</w:t>
      </w:r>
    </w:p>
    <w:p w:rsidR="0026452D" w:rsidRDefault="0026452D" w:rsidP="0026452D">
      <w:pPr>
        <w:pStyle w:val="TextoNormal"/>
      </w:pPr>
    </w:p>
    <w:p w:rsidR="0026452D" w:rsidRDefault="0026452D" w:rsidP="0026452D">
      <w:pPr>
        <w:pStyle w:val="TextoNormal"/>
      </w:pPr>
      <w:r>
        <w:t xml:space="preserve">La impugnación del art. 12.1 ha de ser desestimada. El precepto encuentra amparo en el art. 149.1.18 CE, pues en él se lleva a cabo una configuración básica de la entidad colaboradora determinando las funciones características o centrales, con proyección externa, que </w:t>
      </w:r>
      <w:r>
        <w:lastRenderedPageBreak/>
        <w:t>la misma puede asumir, sin establecer qué funciones concretas tendrá la entidad colaboradora en cada caso, que es algo que deberá establecerse a través de las bases reguladoras (cuando se les atribuya la entrega y distribución de fondos) o que deberá decidir la Administración concedente (cuando se trate de otras funciones). El precepto, además, no impide que se atribuya a la entidad colaboradora la valoración de las solicitudes —lo que, sin duda, entra en el concepto de gestión de la subvención— o facultades de control, previéndose de hecho en el propio art. 15 de la Ley 38/2003 que las entidades colaboradoras tengan, en su caso, entre sus funciones las de control sobre la realización de la actividad subvencionada y sobre el cumplimiento de la finalidad. Pero, además, conviene tener presente que en la propia STC 243/1994, FJ 4, que cita la representación procesal del Gobierno de Aragón y que se refiere a una regulación por el Estado del régimen de las entidades colaboradoras en materia de seguridad industrial, ya advertimos que si bien “en la función ejecutiva reservada a las Comunidades Autónomas debe entenderse incluida la potestad de dictar disposiciones o reglamentos internos de organización de los correspondientes servicios administrativos” y ello es aplicable, con las matizaciones necesarias, a las entidades colaboradoras, las regulaciones atinentes a las funciones de estas entidades, con claros efectos externos sobre derechos e intereses de los administrados, no puede considerarse una cuestión de mera organización interna.</w:t>
      </w:r>
    </w:p>
    <w:p w:rsidR="0026452D" w:rsidRDefault="0026452D" w:rsidP="0026452D">
      <w:pPr>
        <w:pStyle w:val="TextoNormal"/>
      </w:pPr>
    </w:p>
    <w:p w:rsidR="0026452D" w:rsidRDefault="0026452D" w:rsidP="0026452D">
      <w:pPr>
        <w:pStyle w:val="TextoNormal"/>
      </w:pPr>
      <w:r>
        <w:t>En definitiva, así entendido el art. 12.1, no se aprecia en la regulación impugnada la invasión de las competencias de organización interna de las Comunidades Autónomas alegada en la demanda. Esta interpretación de conformidad se llevará al fallo.</w:t>
      </w:r>
    </w:p>
    <w:p w:rsidR="0026452D" w:rsidRDefault="0026452D" w:rsidP="0026452D">
      <w:pPr>
        <w:pStyle w:val="TextoNormal"/>
      </w:pPr>
    </w:p>
    <w:p w:rsidR="0026452D" w:rsidRDefault="0026452D" w:rsidP="0026452D">
      <w:pPr>
        <w:pStyle w:val="TextoNormal"/>
      </w:pPr>
      <w:r>
        <w:t>b) El art. 15.1, en los párrafos recurridos, dispone:</w:t>
      </w:r>
    </w:p>
    <w:p w:rsidR="0026452D" w:rsidRDefault="0026452D" w:rsidP="0026452D">
      <w:pPr>
        <w:pStyle w:val="TextoNormal"/>
      </w:pPr>
    </w:p>
    <w:p w:rsidR="0026452D" w:rsidRDefault="0026452D" w:rsidP="0026452D">
      <w:pPr>
        <w:pStyle w:val="TextoNormal"/>
      </w:pPr>
      <w:r>
        <w:t>“1. Son obligaciones de la entidad colaboradora:</w:t>
      </w:r>
    </w:p>
    <w:p w:rsidR="0026452D" w:rsidRDefault="0026452D" w:rsidP="0026452D">
      <w:pPr>
        <w:pStyle w:val="TextoNormal"/>
      </w:pPr>
    </w:p>
    <w:p w:rsidR="0026452D" w:rsidRDefault="0026452D" w:rsidP="0026452D">
      <w:pPr>
        <w:pStyle w:val="TextoNormal"/>
      </w:pPr>
      <w:r>
        <w:t>a) Entregar a los beneficiarios los fondos recibidos de acuerdo con los criterios establecidos en las bases reguladoras de la subvención y en el convenio suscrito con la entidad concedente.</w:t>
      </w:r>
    </w:p>
    <w:p w:rsidR="0026452D" w:rsidRDefault="0026452D" w:rsidP="0026452D">
      <w:pPr>
        <w:pStyle w:val="TextoNormal"/>
      </w:pPr>
    </w:p>
    <w:p w:rsidR="0026452D" w:rsidRDefault="0026452D" w:rsidP="0026452D">
      <w:pPr>
        <w:pStyle w:val="TextoNormal"/>
      </w:pPr>
      <w:r>
        <w:t>b) Comprobar, en su caso, el cumplimiento y efectividad de las condiciones o requisitos determinantes para su otorgamiento, así como la realización de la actividad y el cumplimiento de la finalidad que determinen la concesión o disfrute de la subvención.”</w:t>
      </w:r>
    </w:p>
    <w:p w:rsidR="0026452D" w:rsidRDefault="0026452D" w:rsidP="0026452D">
      <w:pPr>
        <w:pStyle w:val="TextoNormal"/>
      </w:pPr>
    </w:p>
    <w:p w:rsidR="0026452D" w:rsidRDefault="0026452D" w:rsidP="0026452D">
      <w:pPr>
        <w:pStyle w:val="TextoNormal"/>
      </w:pPr>
      <w:r>
        <w:t>El Letrado de la Comunidad Autónoma de Aragón alega que estos párrafos del art. 15.1 han de reputarse inconstitucionales por conexión con el art. 12.1, pues las obligaciones que allí se imponen a las entidades colaboradoras son el correlato de las funciones previstas de forma cerrada por el legislador estatal para estas entidades, invadiendo las competencias de autoorganización de las Comunidades Autónomas. Rechaza, además, que los preceptos tengan carácter básico porque de la propia lectura de los mismos se deduce que no existe necesidad de un régimen uniforme, pues se deja al arbitrio de cada Administración la decisión de si es o no conveniente que las entidades colaboradoras entreguen los fondos, comprueben la efectividad de las condiciones o controlen la realización de la actividad o del cumplimiento del fin.</w:t>
      </w:r>
    </w:p>
    <w:p w:rsidR="0026452D" w:rsidRDefault="0026452D" w:rsidP="0026452D">
      <w:pPr>
        <w:pStyle w:val="TextoNormal"/>
      </w:pPr>
    </w:p>
    <w:p w:rsidR="0026452D" w:rsidRDefault="0026452D" w:rsidP="0026452D">
      <w:pPr>
        <w:pStyle w:val="TextoNormal"/>
      </w:pPr>
      <w:r>
        <w:lastRenderedPageBreak/>
        <w:t>Por el contrario, el Abogado del Estado sostiene que el art. 15.1 no invade ninguna competencia autonómica, pues no prevé las facultades de la entidad colaboradora, sino sus obligaciones, mínimo común normativo de la institución, pudiendo la Administración competent</w:t>
      </w:r>
      <w:r w:rsidRPr="0026452D">
        <w:rPr>
          <w:i/>
        </w:rPr>
        <w:t>e ratione materi</w:t>
      </w:r>
      <w:r>
        <w:t>ae complementar la regulación.</w:t>
      </w:r>
    </w:p>
    <w:p w:rsidR="0026452D" w:rsidRDefault="0026452D" w:rsidP="0026452D">
      <w:pPr>
        <w:pStyle w:val="TextoNormal"/>
      </w:pPr>
    </w:p>
    <w:p w:rsidR="0026452D" w:rsidRDefault="0026452D" w:rsidP="0026452D">
      <w:pPr>
        <w:pStyle w:val="TextoNormal"/>
      </w:pPr>
      <w:r>
        <w:t xml:space="preserve">Pues bien, las mismas razones que llevaron a la desestimación de la impugnación del art. 12.1 obligan ahora a rechazar la argumentación utilizada para recurrir los incisos a) y b) del art. 15.1: la regulación de las funciones con proyección </w:t>
      </w:r>
      <w:r w:rsidRPr="0026452D">
        <w:rPr>
          <w:i/>
        </w:rPr>
        <w:t>ad extra</w:t>
      </w:r>
      <w:r>
        <w:t xml:space="preserve"> de las entidades colaboradoras y, cabe añadir ahora, la determinación de las obligaciones que estas funciones llevan anudadas, no son cuestiones de mera organización interna de las Administraciones autonómicas, sino aspectos básicos del régimen jurídico de los entes que pueden ejercer actividades de gestión de las subvenciones públicas “en nombre y por cuenta del órgano concedente” y encuentran, por tanto, amparo en el art. 149.1.18 CE. Por otra parte, ha de entenderse que los preceptos impugnados establecen un régimen uniforme de obligaciones nucleares para las entidades colaboradoras, pues las entidades que tengan asignadas algunas o todas las funciones características previstas en la Ley tendrán las mismas obligaciones centrales. Cuestión distinta es que las obligaciones concretas que tenga cada entidad dependa del alcance que se dé, en cada caso, a la colaboración, es decir, de las funciones que se les asignen, pero al mismo haz de funciones básicas le corresponderá el mismo haz de obligaciones nucleares. Así entendido el art. 15.1, incisos a) y b), no se aprecia en la regulación impugnada la invasión de las competencias de organización interna de las Comunidades Autónomas alegada en la demanda. Esta interpretación de conformidad se llevará al fallo.</w:t>
      </w:r>
    </w:p>
    <w:p w:rsidR="0026452D" w:rsidRDefault="0026452D" w:rsidP="0026452D">
      <w:pPr>
        <w:pStyle w:val="TextoNormal"/>
      </w:pPr>
    </w:p>
    <w:p w:rsidR="0026452D" w:rsidRDefault="0026452D" w:rsidP="0026452D">
      <w:pPr>
        <w:pStyle w:val="TextoNormal"/>
      </w:pPr>
      <w:r>
        <w:t>c) El art. 16 ha sido impugnado en sus apartados 1 y 5, cuya redacción originaria establece:</w:t>
      </w:r>
    </w:p>
    <w:p w:rsidR="0026452D" w:rsidRDefault="0026452D" w:rsidP="0026452D">
      <w:pPr>
        <w:pStyle w:val="TextoNormal"/>
      </w:pPr>
    </w:p>
    <w:p w:rsidR="0026452D" w:rsidRDefault="0026452D" w:rsidP="0026452D">
      <w:pPr>
        <w:pStyle w:val="TextoNormal"/>
      </w:pPr>
      <w:r>
        <w:t>“1. Se formalizará un convenio de colaboración entre el órgano administrativo concedente y la entidad colaboradora en el que se regularán las condiciones y obligaciones asumidas por ésta.</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5. Cuando las entidades colaboradoras sean personas sujetas a derecho privado, se seleccionarán previamente mediante un procedimiento sometido a los principios de publicidad, concurrencia, igualdad y no discriminación y la colaboración se formalizará mediante convenio, salvo que por objeto de la colaboración resulte de aplicación plena el texto refundido de la Ley de Contratos de las Administraciones Públicas, aprobado por el Real Decreto Legislativo 2/2000, de 16 de junio.</w:t>
      </w:r>
    </w:p>
    <w:p w:rsidR="0026452D" w:rsidRDefault="0026452D" w:rsidP="0026452D">
      <w:pPr>
        <w:pStyle w:val="TextoNormal"/>
      </w:pPr>
    </w:p>
    <w:p w:rsidR="0026452D" w:rsidRDefault="0026452D" w:rsidP="0026452D">
      <w:pPr>
        <w:pStyle w:val="TextoNormal"/>
      </w:pPr>
      <w:r>
        <w:t>El contrato, que incluirá necesariamente el contenido mínimo previsto en el apartado 3 de este artículo, así como el que resulte preceptivo de acuerdo con la normativa reguladora de los contratos administrativos, deberá hacer mención expresa al sometimiento del contratista al resto de las obligaciones impuestas a las entidades colaboradoras por esta ley.”</w:t>
      </w:r>
    </w:p>
    <w:p w:rsidR="0026452D" w:rsidRDefault="0026452D" w:rsidP="0026452D">
      <w:pPr>
        <w:pStyle w:val="TextoNormal"/>
      </w:pPr>
    </w:p>
    <w:p w:rsidR="0026452D" w:rsidRDefault="0026452D" w:rsidP="0026452D">
      <w:pPr>
        <w:pStyle w:val="TextoNormal"/>
      </w:pPr>
      <w:r>
        <w:t xml:space="preserve">Como ya quedó señalado, el apartado 5 del art. 16 de la Ley 38/2003 fue modificado, con efectos de 1 de enero de 2009, por la disposición final undécima de la Ley 2/2008, de 23 de diciembre (que añadió también un nuevo apartado al art. 16.5), si bien esta modificación (que pretende acomodar la redacción del precepto, desdoblado ahora en apartados 5 y </w:t>
      </w:r>
      <w:r>
        <w:lastRenderedPageBreak/>
        <w:t>6, a las previsiones de la Ley 30/2007, de 30 de octubre, de contratos del sector público, sustituida a su vez por el vigente texto refundido de la Ley de contratos del sector público, aprobado por Real Decreto Legislativo 3/2011, de 14 de noviembre), no afecta a la controversia trabada en el presente recurso.</w:t>
      </w:r>
    </w:p>
    <w:p w:rsidR="0026452D" w:rsidRDefault="0026452D" w:rsidP="0026452D">
      <w:pPr>
        <w:pStyle w:val="TextoNormal"/>
      </w:pPr>
    </w:p>
    <w:p w:rsidR="0026452D" w:rsidRDefault="0026452D" w:rsidP="0026452D">
      <w:pPr>
        <w:pStyle w:val="TextoNormal"/>
      </w:pPr>
      <w:r>
        <w:t>El Letrado de la Comunidad Autónoma de Aragón afirma que el título “régimen jurídico de las Administraciones públicas” no permite al Estado descender al detalle de regular el instrumento a través del cual ha de formalizarse la relación entre la Administración concedente y la entidad colaboradora imponiendo el convenio (art. 16.1), pues ello resulta contrario a la potestad de autoorganización de las Comunidades Autónomas que podrían lícitamente acudir a otras fórmulas (por ejemplo, la autorización de entidades colaboradoras en el marco de un régimen general previamente establecido), ya que no se advierte motivo alguno por el que haya de imponerse por el Estado un régimen uniforme de organización en este punto. Es más, señala el Letrado que la Ley 38/2003 se separa del régimen de la delegación previsto en el art. 13 de la Ley 30/1992, de régimen jurídico de las Administraciones públicas y del procedimiento administrativo común, que considera únicamente necesario un acto de delegación para este tipo de supuestos, sin que, a través de la regulación de la subvención, pueda el Estado “subvertir la regulación establecida para el general de los casos y que además es acorde con la naturaleza administrativa de los intervinientes”. Finalmente, se considera también inconstitucional el segundo párrafo del art. 16.5 (que se corresponde actualmente con el art. 16.6) por las mismas razones por las que se ha impugnado el art. 15, es decir, por considerar que el Estado carece de competencia para establecer con carácter básico las funciones de las entidades colaboradoras.</w:t>
      </w:r>
    </w:p>
    <w:p w:rsidR="0026452D" w:rsidRDefault="0026452D" w:rsidP="0026452D">
      <w:pPr>
        <w:pStyle w:val="TextoNormal"/>
      </w:pPr>
    </w:p>
    <w:p w:rsidR="0026452D" w:rsidRDefault="0026452D" w:rsidP="0026452D">
      <w:pPr>
        <w:pStyle w:val="TextoNormal"/>
      </w:pPr>
      <w:r>
        <w:t>El Abogado del Estado considera, por el contrario, que entra en el núcleo básico de la figura de la entidad colaboradora la forma en que se plasma la relación jurídica entre ésta y la Administración concedente, estando, además, el convenio previsto como instrumento de colaboración entre Administraciones públicas en la propia legislación básica sobre régimen jurídico común de las Administraciones públicas. Por otra parte, es lógico que cuando una persona jurídica privada quiera ser contratada como entidad colaboradora deba expresar su aceptación a las obligaciones que le impone la legislación básica.</w:t>
      </w:r>
    </w:p>
    <w:p w:rsidR="0026452D" w:rsidRDefault="0026452D" w:rsidP="0026452D">
      <w:pPr>
        <w:pStyle w:val="TextoNormal"/>
      </w:pPr>
    </w:p>
    <w:p w:rsidR="0026452D" w:rsidRDefault="0026452D" w:rsidP="0026452D">
      <w:pPr>
        <w:pStyle w:val="TextoNormal"/>
      </w:pPr>
      <w:r>
        <w:t>Para resolver la cuestión planteada, es preciso recordar en primer lugar que, conforme a la doctrina de este Tribunal, la competencia para la libre organización de la Administración inherente a la autonomía, “en tanto que competencia exclusiva tiene como único contenido la potestad para crear, modificar y suprimir los órganos, unidades administrativas o entidades que configuran las respectivas Administraciones autonómicas o dependen de ellas”, es decir de “conformar libremente la estructura orgánica de su aparato administrativo”, de establecer cuales son “los órganos e instituciones” que configuran su Administración, “decisiones que corresponden únicamente a las Comunidades Autónomas y, en consecuencia, el Estado debe abstenerse de cualquier intervención en este ámbito” (STC 50/1999, FJ 3, por todas).</w:t>
      </w:r>
    </w:p>
    <w:p w:rsidR="0026452D" w:rsidRDefault="0026452D" w:rsidP="0026452D">
      <w:pPr>
        <w:pStyle w:val="TextoNormal"/>
      </w:pPr>
    </w:p>
    <w:p w:rsidR="0026452D" w:rsidRDefault="0026452D" w:rsidP="0026452D">
      <w:pPr>
        <w:pStyle w:val="TextoNormal"/>
      </w:pPr>
      <w:r>
        <w:t xml:space="preserve">Los apartados impugnados del art. 16 no se refieren a estos aspectos de mera estructuración interna de las Administraciones, por lo que no pueden vulnerar esta competencia exclusiva de autoorganización de las Comunidades Autónomas. Lo que establecen son reglas de funcionamiento comunes para todas las Administraciones Públicas cuando para la gestión de subvenciones acuden a la fórmula de la colaboración, por lo que estas reglas se </w:t>
      </w:r>
      <w:r>
        <w:lastRenderedPageBreak/>
        <w:t xml:space="preserve">incardinan en la materia “régimen jurídico de las Administraciones Públicas” (art. 149.1.18 CE). Se trata, además, de reglas que tienen una clara incidencia externa, puesto que afectan tanto a la relación entre la Administración concedente y la entidad colaboradora como a las relaciones de ambas con los administrados, pudiendo tener, por tanto, lo básico un alcance mayor que cuando se trata de regulaciones con efectos exclusivamente </w:t>
      </w:r>
      <w:r w:rsidRPr="0026452D">
        <w:rPr>
          <w:i/>
        </w:rPr>
        <w:t>ad intra</w:t>
      </w:r>
      <w:r>
        <w:t>. Por otra parte, la previsión del convenio persigue favorecer la seguridad jurídica (art. 9.3 CE), toda vez que permite a los interesados en la obtención de una subvención conocer las obligaciones asumidas por la entidad colaboradora y por ello los términos en los que puede relacionarse con ella; además, el convenio es el instrumento en todo caso previsto en la propia Ley 30/1992 (art. 15) para las relaciones de colaboración entre distintas Administraciones públicas; y, en el caso de que las entidades colaboradoras sean personas sujetas a Derecho privado, el convenio —cuando no procede un contrato regido por el texto refundido de la Ley de contratos del sector público, aprobado por Real Decreto Legislativo 3/2011, de 14 de noviembre— es consecuencia del principio de selección en régimen de concurrencia que enuncia la misma Ley 38/2003 en el primer párrafo del art. 16.5 (que se corresponde actualmente con el art. 16.5), que no ha sido discutido.</w:t>
      </w:r>
    </w:p>
    <w:p w:rsidR="0026452D" w:rsidRDefault="0026452D" w:rsidP="0026452D">
      <w:pPr>
        <w:pStyle w:val="TextoNormal"/>
      </w:pPr>
    </w:p>
    <w:p w:rsidR="0026452D" w:rsidRDefault="0026452D" w:rsidP="0026452D">
      <w:pPr>
        <w:pStyle w:val="TextoNormal"/>
      </w:pPr>
      <w:r>
        <w:t>Procede, por tanto, rechazar la impugnación del art. 16.1, así como la impugnación relativa al segundo párrafo del art. 16.5 por las mismas razones por las que ya se desestimado la impugnación del art. 15.1.</w:t>
      </w:r>
    </w:p>
    <w:p w:rsidR="0026452D" w:rsidRDefault="0026452D" w:rsidP="0026452D">
      <w:pPr>
        <w:pStyle w:val="TextoNormal"/>
      </w:pPr>
    </w:p>
    <w:p w:rsidR="0026452D" w:rsidRDefault="0026452D" w:rsidP="0026452D">
      <w:pPr>
        <w:pStyle w:val="TextoNormal"/>
      </w:pPr>
      <w:r>
        <w:t>g) El art. 13.5 y 7 dispone:</w:t>
      </w:r>
    </w:p>
    <w:p w:rsidR="0026452D" w:rsidRDefault="0026452D" w:rsidP="0026452D">
      <w:pPr>
        <w:pStyle w:val="TextoNormal"/>
      </w:pPr>
    </w:p>
    <w:p w:rsidR="0026452D" w:rsidRDefault="0026452D" w:rsidP="0026452D">
      <w:pPr>
        <w:pStyle w:val="TextoNormal"/>
      </w:pPr>
      <w:r>
        <w:t>“5. Las prohibiciones contenidas en los párrafos a) y h) del apartado 2 de este artículo se apreciarán de forma automática. El alcance de la prohibición será el que determine la sentencia o resolución firme. En su defecto, el alcance se fijará de acuerdo con el procedimiento determinado reglamentariamente, sin que pueda exceder de cinco años en caso de que la prohibición no derive de sentencia firme.</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7. La justificación por parte de las personas o entidades de no estar incursos en las prohibiciones para obtener la condición de beneficiario o entidad colaboradora, señaladas en los apartados 2 y 3 de este artículo, podrá realizarse mediante testimonio judicial, certificados telemáticos o transmisiones de datos, de acuerdo con lo establecido en la normativa reglamentaria que regule la utilización de técnicas electrónicas, informáticas y telemáticas por la Administración General de Estado o de las Comunidades Autónomas, o certificación administrativa, según los casos, y cuando dicho documento no pueda ser expedido por la autoridad competente, podrá ser sustituido por una declaración responsable otorgada ante una autoridad administrativa o notario público.”</w:t>
      </w:r>
    </w:p>
    <w:p w:rsidR="0026452D" w:rsidRDefault="0026452D" w:rsidP="0026452D">
      <w:pPr>
        <w:pStyle w:val="TextoNormal"/>
      </w:pPr>
    </w:p>
    <w:p w:rsidR="0026452D" w:rsidRDefault="0026452D" w:rsidP="0026452D">
      <w:pPr>
        <w:pStyle w:val="TextoNormal"/>
      </w:pPr>
      <w:r>
        <w:t>Para la representación procesal del Gobierno de Aragón el art. 13.5, al deferir al reglamento la insuficiente concreción legal sobre el alcance de las prohibiciones que afectan a los beneficiarios o entidades colaboradoras, incurre en vulneración del art. 25 CE. En cuanto al art. 13.7, considera que no puede tener el carácter de norma de procedimiento administrativo común, por ser norma especial que corresponde regular a las Comunidades Autónomas.</w:t>
      </w:r>
    </w:p>
    <w:p w:rsidR="0026452D" w:rsidRDefault="0026452D" w:rsidP="0026452D">
      <w:pPr>
        <w:pStyle w:val="TextoNormal"/>
      </w:pPr>
    </w:p>
    <w:p w:rsidR="0026452D" w:rsidRDefault="0026452D" w:rsidP="0026452D">
      <w:pPr>
        <w:pStyle w:val="TextoNormal"/>
      </w:pPr>
      <w:r>
        <w:lastRenderedPageBreak/>
        <w:t>El Abogado del Estado señala que lo establecido en el art. 13.5 no se refiere a la determinación del alcance de la prohibición, sino al procedimiento que debe seguirse para fijar dicho alcance. Respecto al art. 13.7 considera que es, en efecto, una norma procedimental sobre el valor probatorio de los documentos y las formas que éstos deben revestir, pero afirma que el art. 149.1.18 CE permite cobijar normas de procedimiento especial subvencional común para todo el territorio nacional.</w:t>
      </w:r>
    </w:p>
    <w:p w:rsidR="0026452D" w:rsidRDefault="0026452D" w:rsidP="0026452D">
      <w:pPr>
        <w:pStyle w:val="TextoNormal"/>
      </w:pPr>
    </w:p>
    <w:p w:rsidR="0026452D" w:rsidRDefault="0026452D" w:rsidP="0026452D">
      <w:pPr>
        <w:pStyle w:val="TextoNormal"/>
      </w:pPr>
      <w:r>
        <w:t xml:space="preserve">Abordando el art. 13.5 a partir de su conexión con el art. 13.2 a) y h), se aprecia que este último precepto no regula la tipificación de los supuestos que determinan la pena o la sanción consistente en la pérdida de la posibilidad de obtener subvenciones, sino que tan sólo expresa que cuando hayan recaído dichas pena o sanción —que tendrán su regulación específica— no podrán los implicados obtener la correspondiente subvención, de lo que se deriva que el art. 13.5 y 7 no conlleva vulneración del art. 25 CE. En cuanto a su carácter de norma básica del régimen jurídico de las Administraciones públicas (art. 149.1.18 CE), procede confirmarlo, pues su contenido tiene proyección </w:t>
      </w:r>
      <w:r w:rsidRPr="0026452D">
        <w:rPr>
          <w:i/>
        </w:rPr>
        <w:t>ad extra</w:t>
      </w:r>
      <w:r>
        <w:t xml:space="preserve"> sobre los ciudadanos que pretendan obtener de la Administración el otorgamiento de subvenciones, así como sobre las entidades colaboradoras, y no puedan hacerlo por haber incurrido en las señaladas pena o sanción administrativa.</w:t>
      </w:r>
    </w:p>
    <w:p w:rsidR="0026452D" w:rsidRDefault="0026452D" w:rsidP="0026452D">
      <w:pPr>
        <w:pStyle w:val="TextoNormal"/>
      </w:pPr>
    </w:p>
    <w:p w:rsidR="0026452D" w:rsidRDefault="0026452D" w:rsidP="0026452D">
      <w:pPr>
        <w:pStyle w:val="TextoNormal"/>
      </w:pPr>
      <w:r>
        <w:t xml:space="preserve">Por su parte, el art. 13.7 es, tal y como afirma el Abogado del Estado, una norma procedimental, sobre el valor probatorio de los documentos y las formas que estos pueden revestir en el procedimiento subvencional, y encuentra amparo en la competencia estatal sobre procedimiento administrativo común (art. 149.1.18 CE), pues resulta respetuoso con el margen que corresponde a las Comunidades Autónomas para regular tanto las especialidades derivadas de su organización como los procedimientos subvencionales especiales </w:t>
      </w:r>
      <w:r w:rsidRPr="0026452D">
        <w:rPr>
          <w:i/>
        </w:rPr>
        <w:t>o ratione materi</w:t>
      </w:r>
      <w:r>
        <w:t>ae.</w:t>
      </w:r>
    </w:p>
    <w:p w:rsidR="0026452D" w:rsidRDefault="0026452D" w:rsidP="0026452D">
      <w:pPr>
        <w:pStyle w:val="TextoNormal"/>
      </w:pPr>
    </w:p>
    <w:p w:rsidR="0026452D" w:rsidRDefault="0026452D" w:rsidP="0026452D">
      <w:pPr>
        <w:pStyle w:val="TextoNormal"/>
      </w:pPr>
      <w:r>
        <w:t>En conclusión, el art. 13.5 tiene carácter básico y el art. 13.7 ha sido dictado en ejercicio de la competencia exclusiva del Estado para regular el procedimiento administrativo común (art. 149.1.18 CE), por lo que procede desestimar la impugnación realizada al respecto.</w:t>
      </w:r>
    </w:p>
    <w:p w:rsidR="0026452D" w:rsidRDefault="0026452D" w:rsidP="0026452D">
      <w:pPr>
        <w:pStyle w:val="TextoNormal"/>
      </w:pPr>
    </w:p>
    <w:p w:rsidR="0026452D" w:rsidRDefault="0026452D" w:rsidP="0026452D">
      <w:pPr>
        <w:pStyle w:val="TextoNormal"/>
      </w:pPr>
      <w:r>
        <w:t>h) El art. 14.1 e) y h) determina lo siguiente:</w:t>
      </w:r>
    </w:p>
    <w:p w:rsidR="0026452D" w:rsidRDefault="0026452D" w:rsidP="0026452D">
      <w:pPr>
        <w:pStyle w:val="TextoNormal"/>
      </w:pPr>
    </w:p>
    <w:p w:rsidR="0026452D" w:rsidRDefault="0026452D" w:rsidP="0026452D">
      <w:pPr>
        <w:pStyle w:val="TextoNormal"/>
      </w:pPr>
      <w:r>
        <w:t>“1. Son obligaciones del beneficiario:</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e) Acreditar con anterioridad a dictarse la propuesta de resolución de concesión que se halla al corriente en el cumplimiento de sus obligaciones tributarias y frente a la Seguridad Social, en la forma que se determine reglamentariamente, y sin perjuicio de lo establecido en la disposición adicional decimoctava de la Ley 30/1992, de 26 de noviembre, de Régimen Jurídico de las Administraciones Públicas y del Procedimiento Administrativo Común.</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h) Adoptar las medidas de difusión contenidas en el apartado 4 del art. 18 de esta ley.”</w:t>
      </w:r>
    </w:p>
    <w:p w:rsidR="0026452D" w:rsidRDefault="0026452D" w:rsidP="0026452D">
      <w:pPr>
        <w:pStyle w:val="TextoNormal"/>
      </w:pPr>
    </w:p>
    <w:p w:rsidR="0026452D" w:rsidRDefault="0026452D" w:rsidP="0026452D">
      <w:pPr>
        <w:pStyle w:val="TextoNormal"/>
      </w:pPr>
      <w:r>
        <w:lastRenderedPageBreak/>
        <w:t>El Letrado de la Comunidad Autónoma de Aragón considera que, al hilo de la regulación de una obligación del administrado que puede insertarse en la competencia estatal sobre régimen jurídico de las Administraciones públicas, se establecen dos previsiones procedimentales que constituyen una extralimitación: el momento de la acreditación y la existencia de una propuesta de resolución. El Letrado afirma que de la previsión se deduce, por un lado, que no es necesaria la acreditación en el momento de la solicitud y, por otro, que siempre ha de existir, independientemente del tipo de subvención, una propuesta de resolución y una separación entre el órgano instructor y el órgano con competencias resolutorias. En su opinión, esta regulación no es necesaria para asegurar un tratamiento común a los administrados, pues, por una parte, basta con que se acredite el cumplimiento del requisito, y, por otra parte, se invaden las competencias autonómicas para establecer una regulación procedimental diversa cuando lo estimen conveniente. La impugnación del art. 14.1 e) no se dirige, por tanto, a la totalidad del precepto, sino únicamente al inciso “con anterioridad a dictarse la propuesta de resolución de concesión” cuyo carácter básico se discute en conexión con la impugnación que también se hace del art. 22.1 de la Ley 38/2003.</w:t>
      </w:r>
    </w:p>
    <w:p w:rsidR="0026452D" w:rsidRDefault="0026452D" w:rsidP="0026452D">
      <w:pPr>
        <w:pStyle w:val="TextoNormal"/>
      </w:pPr>
    </w:p>
    <w:p w:rsidR="0026452D" w:rsidRDefault="0026452D" w:rsidP="0026452D">
      <w:pPr>
        <w:pStyle w:val="TextoNormal"/>
      </w:pPr>
      <w:r>
        <w:t>Para el Abogado del Estado, el precepto goza de carácter básico de forma natural, pues constituye un mínimo común denominador, justificado por el principio de que la asignación de los recursos públicos será equitativa en concordancia con la obligación de que todos deben contribuir al sostenimiento de los gastos públicos reflejados en el art. 31 CE. Por otra parte, la remisión al reglamento no se refiere a aspectos procedimentales sino a los criterios técnicos de instrumentación de la obligación.</w:t>
      </w:r>
    </w:p>
    <w:p w:rsidR="0026452D" w:rsidRDefault="0026452D" w:rsidP="0026452D">
      <w:pPr>
        <w:pStyle w:val="TextoNormal"/>
      </w:pPr>
    </w:p>
    <w:p w:rsidR="0026452D" w:rsidRDefault="0026452D" w:rsidP="0026452D">
      <w:pPr>
        <w:pStyle w:val="TextoNormal"/>
      </w:pPr>
      <w:r>
        <w:t xml:space="preserve">Así planteada la controversia, hay que señalar, en primer lugar, que, en contra de la interpretación que el Letrado de la Comunidad Autónoma de Aragón realiza del precepto, este no está estableciendo el momento concreto en que debe procederse a la acreditación, ni impide que ese momento sea el de la presentación de la solicitud. El precepto se limita a indicar un límite temporal para la acreditación: ésta ha de hacerse antes de que se dicte la propuesta de la resolución, lo que es de todo punto lógico teniendo en cuenta el contenido de este acto administrativo. Por otra parte, hay que entender que el precepto —que ha de interpretarse conjuntamente con el art. 22.1— se refiere a la propuesta de resolución que debe existir en los procedimientos de concurrencia competitiva y, estando esta regulación amparada en la competencia estatal </w:t>
      </w:r>
      <w:r w:rsidRPr="0026452D">
        <w:rPr>
          <w:i/>
        </w:rPr>
        <w:t>ex</w:t>
      </w:r>
      <w:r>
        <w:t xml:space="preserve"> art. 149.1.18 CE para la regulación del procedimiento administrativo común, que no se circunscribe a lo básico, sino a la completa regulación de la materia, la impugnación del art. 14.1 e) debe desestimarse.</w:t>
      </w:r>
    </w:p>
    <w:p w:rsidR="0026452D" w:rsidRDefault="0026452D" w:rsidP="0026452D">
      <w:pPr>
        <w:pStyle w:val="TextoNormal"/>
      </w:pPr>
    </w:p>
    <w:p w:rsidR="0026452D" w:rsidRDefault="0026452D" w:rsidP="0026452D">
      <w:pPr>
        <w:pStyle w:val="TextoNormal"/>
      </w:pPr>
      <w:r>
        <w:t xml:space="preserve">En cuanto a la necesaria adopción por el beneficiario de las medidas de difusión previstas en el art. 18.4 (publicidad del carácter público de la financiación), que establece el art. 14.1 h), se trata de una obligación básica que se impone a los beneficiarios </w:t>
      </w:r>
      <w:r w:rsidRPr="0026452D">
        <w:rPr>
          <w:i/>
        </w:rPr>
        <w:t>ex</w:t>
      </w:r>
      <w:r>
        <w:t xml:space="preserve"> art. 149.1.18 CE, pues es consecuencia de los principios básicos del gasto público enunciados por la Ley y, en particular, de los principios de publicidad y transparencia. Se refiere, además, a las relaciones </w:t>
      </w:r>
      <w:r w:rsidRPr="0026452D">
        <w:rPr>
          <w:i/>
        </w:rPr>
        <w:t>ad extra</w:t>
      </w:r>
      <w:r>
        <w:t xml:space="preserve"> entre la Administración y los ciudadanos, limitándose a imponer el principio de publicidad de forma abstracta, sin determinación acerca del trámite procedimental en que deba acreditarse el cumplimiento de la obligación, ni sobre sus formas de acreditación, permitiendo, por tanto, a las Comunidades Autónomas la regulación de estos aspectos de desarrollo, por lo que la impugnación del art. 14.1 h) ha de desestimarse.</w:t>
      </w:r>
    </w:p>
    <w:p w:rsidR="0026452D" w:rsidRDefault="0026452D" w:rsidP="0026452D">
      <w:pPr>
        <w:pStyle w:val="TextoNormal"/>
      </w:pPr>
    </w:p>
    <w:p w:rsidR="0026452D" w:rsidRDefault="0026452D" w:rsidP="0026452D">
      <w:pPr>
        <w:pStyle w:val="TextoNormal"/>
      </w:pPr>
      <w:r>
        <w:lastRenderedPageBreak/>
        <w:t xml:space="preserve">En conclusión, debemos dejar claro que el apartado e) del art. 14.1 no descansa en la competencia del Estado para establecer lo básico, sino que encuentra amparo en la plena competencia estatal para regular el procedimiento administrativo común </w:t>
      </w:r>
      <w:r w:rsidRPr="0026452D">
        <w:rPr>
          <w:i/>
        </w:rPr>
        <w:t>ex</w:t>
      </w:r>
      <w:r>
        <w:t xml:space="preserve"> art. 149.1.18 CE. El apartado h) del art. 14.1, por el contrario, se ha dictado en ejercicio de la competencia estatal sobre las bases del régimen jurídico de las Administraciones Públicas, tamb</w:t>
      </w:r>
      <w:r w:rsidRPr="0026452D">
        <w:rPr>
          <w:i/>
        </w:rPr>
        <w:t>ié</w:t>
      </w:r>
      <w:r>
        <w:t>n ex art. 149.1.18 CE, procediendo, por tanto, confirmar su carácter básico.</w:t>
      </w:r>
    </w:p>
    <w:p w:rsidR="0026452D" w:rsidRDefault="0026452D" w:rsidP="0026452D">
      <w:pPr>
        <w:pStyle w:val="TextoNormal"/>
      </w:pPr>
    </w:p>
    <w:p w:rsidR="0026452D" w:rsidRDefault="0026452D" w:rsidP="0026452D">
      <w:pPr>
        <w:pStyle w:val="TextoNormal"/>
      </w:pPr>
      <w:r>
        <w:t>i) El art. 18.4 establece:</w:t>
      </w:r>
    </w:p>
    <w:p w:rsidR="0026452D" w:rsidRDefault="0026452D" w:rsidP="0026452D">
      <w:pPr>
        <w:pStyle w:val="TextoNormal"/>
      </w:pPr>
    </w:p>
    <w:p w:rsidR="0026452D" w:rsidRDefault="0026452D" w:rsidP="0026452D">
      <w:pPr>
        <w:pStyle w:val="TextoNormal"/>
      </w:pPr>
      <w:r>
        <w:t>“Los beneficiarios deberán dar la adecuada publicidad del carácter público de la financiación de programas, actividades, inversiones o actuaciones de cualquier tipo que sean objeto de subvención, en los términos reglamentariamente establecidos.”</w:t>
      </w:r>
    </w:p>
    <w:p w:rsidR="0026452D" w:rsidRDefault="0026452D" w:rsidP="0026452D">
      <w:pPr>
        <w:pStyle w:val="TextoNormal"/>
      </w:pPr>
    </w:p>
    <w:p w:rsidR="0026452D" w:rsidRDefault="0026452D" w:rsidP="0026452D">
      <w:pPr>
        <w:pStyle w:val="TextoNormal"/>
      </w:pPr>
      <w:r>
        <w:t>El Letrado de la Comunidad Autónoma de Aragón afirma que el “tratamiento común” de los administrados no pasa por establecer una obligación de publicidad con carácter básico, que debería quedar al arbitrio de las Administraciones competentes por razón de la materia. El Abogado del Estado, por el contrario, considera que la exigencia de publicidad es una garantía de la asignación equitativa del gasto público (art. 31.2 CE), así como una obligación que forma parte del haz de deberes del beneficiario y, por tanto, del mínimo normativo básico de esta figura.</w:t>
      </w:r>
    </w:p>
    <w:p w:rsidR="0026452D" w:rsidRDefault="0026452D" w:rsidP="0026452D">
      <w:pPr>
        <w:pStyle w:val="TextoNormal"/>
      </w:pPr>
    </w:p>
    <w:p w:rsidR="0026452D" w:rsidRDefault="0026452D" w:rsidP="0026452D">
      <w:pPr>
        <w:pStyle w:val="TextoNormal"/>
      </w:pPr>
      <w:r>
        <w:t>Pues bien, la exigencia de dar publicidad al carácter público de la financiación de programas, actividades, inversiones o actuaciones de cualquier tipo es, como acabamos de argumentar en relación con el art. 14.1 h), una obligación que se impone al beneficiario de la subvención acorde con principios esenciales, en materia de gasto público, de publicidad y transparencia y que, por ello, forma parte del haz básico de deberes de los beneficiarios de subvenciones públicas, encontrando amparo en la competencia del Estado para dictar las bases del régimen jurídico de las Administraciones públicas (art. 149.1.18 CE). No se aprecia, por tanto, la invasión competencial alegada por la representación procesal del Gobierno de Aragón, debiendo desestimarse la impugnación del precepto.</w:t>
      </w:r>
    </w:p>
    <w:p w:rsidR="0026452D" w:rsidRDefault="0026452D" w:rsidP="0026452D">
      <w:pPr>
        <w:pStyle w:val="TextoNormal"/>
      </w:pPr>
    </w:p>
    <w:p w:rsidR="0026452D" w:rsidRDefault="0026452D" w:rsidP="0026452D">
      <w:pPr>
        <w:pStyle w:val="TextoNormal"/>
      </w:pPr>
      <w:r>
        <w:t>j) El art. 19.5 dispone:</w:t>
      </w:r>
    </w:p>
    <w:p w:rsidR="0026452D" w:rsidRDefault="0026452D" w:rsidP="0026452D">
      <w:pPr>
        <w:pStyle w:val="TextoNormal"/>
      </w:pPr>
    </w:p>
    <w:p w:rsidR="0026452D" w:rsidRDefault="0026452D" w:rsidP="0026452D">
      <w:pPr>
        <w:pStyle w:val="TextoNormal"/>
      </w:pPr>
      <w:r>
        <w:t>“Los rendimientos financieros que se generen por los fondos librados a los beneficiarios incrementarán el importe de la subvención concedida y se aplicarán igualmente a la actividad subvencionada, salvo que, por razones debidamente motivadas, se disponga lo contrario en las bases reguladoras de la subvención.</w:t>
      </w:r>
    </w:p>
    <w:p w:rsidR="0026452D" w:rsidRDefault="0026452D" w:rsidP="0026452D">
      <w:pPr>
        <w:pStyle w:val="TextoNormal"/>
      </w:pPr>
    </w:p>
    <w:p w:rsidR="0026452D" w:rsidRDefault="0026452D" w:rsidP="0026452D">
      <w:pPr>
        <w:pStyle w:val="TextoNormal"/>
      </w:pPr>
      <w:r>
        <w:t>Este apartado no será de aplicación en los supuestos en que el beneficiario sea una Administración pública.”</w:t>
      </w:r>
    </w:p>
    <w:p w:rsidR="0026452D" w:rsidRDefault="0026452D" w:rsidP="0026452D">
      <w:pPr>
        <w:pStyle w:val="TextoNormal"/>
      </w:pPr>
    </w:p>
    <w:p w:rsidR="0026452D" w:rsidRDefault="0026452D" w:rsidP="0026452D">
      <w:pPr>
        <w:pStyle w:val="TextoNormal"/>
      </w:pPr>
      <w:r>
        <w:t>La representación procesal del Gobierno de Aragón rechaza que el criterio que incorpora el precepto pueda imponérsele a la Comunidad Autónoma por ningún título estatal, pues sólo a ésta corresponde establecerlo.</w:t>
      </w:r>
    </w:p>
    <w:p w:rsidR="0026452D" w:rsidRDefault="0026452D" w:rsidP="0026452D">
      <w:pPr>
        <w:pStyle w:val="TextoNormal"/>
      </w:pPr>
    </w:p>
    <w:p w:rsidR="0026452D" w:rsidRDefault="0026452D" w:rsidP="0026452D">
      <w:pPr>
        <w:pStyle w:val="TextoNormal"/>
      </w:pPr>
      <w:r>
        <w:t xml:space="preserve">El Abogado del Estado, que no cita en cuál de los títulos competenciales del Estado se sustenta el precepto, aduce que es una exigencia mínima justificada por formar parte de la </w:t>
      </w:r>
      <w:r>
        <w:lastRenderedPageBreak/>
        <w:t>esencia de las obligaciones que corresponde a una de las partes de la relación jurídica subvencional, añadiendo que no limita el ámbito competencial autonómico en cuanto que las normas reguladoras de la subvención pueden disponer motivadamente lo contrario.</w:t>
      </w:r>
    </w:p>
    <w:p w:rsidR="0026452D" w:rsidRDefault="0026452D" w:rsidP="0026452D">
      <w:pPr>
        <w:pStyle w:val="TextoNormal"/>
      </w:pPr>
    </w:p>
    <w:p w:rsidR="0026452D" w:rsidRDefault="0026452D" w:rsidP="0026452D">
      <w:pPr>
        <w:pStyle w:val="TextoNormal"/>
      </w:pPr>
      <w:r>
        <w:t>En respuesta a la controversia planteada debemos señalar que el precepto responde a la búsqueda de la agilidad y la eficacia en la gestión de la subvención y con esa finalidad perfila la relación jurídica subvencional confiriendo al beneficiario el derecho a los rendimientos financieros de los fondos que le han sido otorgados. Ello opera, por otra parte, como incentivo para que el beneficiario dé al dinero público que se le ha concedido una utilización más eficiente, es decir, para que su conducta se oriente hacia la consecución de un objetivo de la política económica general: la eficiencia en la gestión del gasto público (art. 31.2 CE).</w:t>
      </w:r>
    </w:p>
    <w:p w:rsidR="0026452D" w:rsidRDefault="0026452D" w:rsidP="0026452D">
      <w:pPr>
        <w:pStyle w:val="TextoNormal"/>
      </w:pPr>
    </w:p>
    <w:p w:rsidR="0026452D" w:rsidRDefault="0026452D" w:rsidP="0026452D">
      <w:pPr>
        <w:pStyle w:val="TextoNormal"/>
      </w:pPr>
      <w:r>
        <w:t xml:space="preserve">El art. 19.5 de la Ley 38/2003, general de subvenciones, no es, por tanto, una norma de coordinación de la política económica, sino una medida singular que tiende a la consecución de uno de los fines previstos en la ordenación de las subvenciones (la eficiencia en la gestión del dinero público), por lo que encuentra cobertura en el título competencial del art. 149.1.14 CE, ya que se trata de una medida orientada a la finalidad del gasto, que el legislador estatal puede adoptar al amparo de su competencia exclusiva en materia de hacienda general </w:t>
      </w:r>
      <w:r w:rsidRPr="0026452D">
        <w:rPr>
          <w:i/>
        </w:rPr>
        <w:t>ex</w:t>
      </w:r>
      <w:r>
        <w:t xml:space="preserve"> art. 149.1.14 CE, en la vertiente del gasto público, conforme a la cual al Estado le corresponde, como ya dijimos, no sólo la regulación del régimen jurídico de la ordenación de los gastos de la Administración del Estado, sino también el establecimiento de las normas y principios comunes de la actividad financiera de las distintas haciendas que tiendan a asegurar los principios constitucionales que deben regir el gasto público, entre los que se encuentra el principio de eficiencia y economía (art. 31.2 CE).</w:t>
      </w:r>
    </w:p>
    <w:p w:rsidR="0026452D" w:rsidRDefault="0026452D" w:rsidP="0026452D">
      <w:pPr>
        <w:pStyle w:val="TextoNormal"/>
      </w:pPr>
    </w:p>
    <w:p w:rsidR="0026452D" w:rsidRDefault="0026452D" w:rsidP="0026452D">
      <w:pPr>
        <w:pStyle w:val="TextoNormal"/>
      </w:pPr>
      <w:r>
        <w:t>Ello en modo alguno resulta contrario a las competencias de las Comunidades Autónomas, que “gozarán de autonomía financiera (de gasto) en la medida en que puedan elegir y realizar sus propios objetivos políticos, administrativos, sociales o económicos”, es decir, en que puedan decidir a qué objetivos destinan sus recursos sin condicionamientos indebidos (por todas, STC 192/2000, FJ 6 y las allí citadas), lo que resulta plenamente garantizado en el caso del art. 19.5 de la Ley 38/2003, toda vez que, junto a la regla general que otorga al beneficiario el derecho a los rendimientos financieros de los fondos que le han sido otorgados mediante la subvención, se faculta a la Administración que resulte competente en cada caso (la estatal o la autonómica) para que, en las bases reguladoras de la subvención pueda, motivadamente, asignar otro destino a los rendimientos financieros que se generen por los fondos librados a los beneficiarios.</w:t>
      </w:r>
    </w:p>
    <w:p w:rsidR="0026452D" w:rsidRDefault="0026452D" w:rsidP="0026452D">
      <w:pPr>
        <w:pStyle w:val="TextoNormal"/>
      </w:pPr>
    </w:p>
    <w:p w:rsidR="0026452D" w:rsidRDefault="0026452D" w:rsidP="0026452D">
      <w:pPr>
        <w:pStyle w:val="TextoNormal"/>
      </w:pPr>
      <w:r>
        <w:t>En conclusión, procede desestimar la impugnación del art. 19.5.</w:t>
      </w:r>
    </w:p>
    <w:p w:rsidR="0026452D" w:rsidRDefault="0026452D" w:rsidP="0026452D">
      <w:pPr>
        <w:pStyle w:val="TextoNormal"/>
      </w:pPr>
    </w:p>
    <w:p w:rsidR="0026452D" w:rsidRDefault="0026452D" w:rsidP="0026452D">
      <w:pPr>
        <w:pStyle w:val="TextoNormal"/>
      </w:pPr>
      <w:r w:rsidRPr="0026452D">
        <w:rPr>
          <w:rStyle w:val="NumeroAFNegritaCaracter"/>
        </w:rPr>
        <w:t>10</w:t>
      </w:r>
      <w:r>
        <w:t>. Abordaremos a continuación el examen de los arts. 22.1, 29.3 y 7 b) y e), 30.5 y 31.2, 3, 4, 5, 6, 7, y 8, incluidos todos ellos en el título primero (procedimientos de concesión y gestión de subvenciones) de la Ley 38/2003.</w:t>
      </w:r>
    </w:p>
    <w:p w:rsidR="0026452D" w:rsidRDefault="0026452D" w:rsidP="0026452D">
      <w:pPr>
        <w:pStyle w:val="TextoNormal"/>
      </w:pPr>
    </w:p>
    <w:p w:rsidR="0026452D" w:rsidRDefault="0026452D" w:rsidP="0026452D">
      <w:pPr>
        <w:pStyle w:val="TextoNormal"/>
      </w:pPr>
      <w:r>
        <w:t>a) El art. 22.1 dispone:</w:t>
      </w:r>
    </w:p>
    <w:p w:rsidR="0026452D" w:rsidRDefault="0026452D" w:rsidP="0026452D">
      <w:pPr>
        <w:pStyle w:val="TextoNormal"/>
      </w:pPr>
    </w:p>
    <w:p w:rsidR="0026452D" w:rsidRDefault="0026452D" w:rsidP="0026452D">
      <w:pPr>
        <w:pStyle w:val="TextoNormal"/>
      </w:pPr>
      <w:r>
        <w:t xml:space="preserve">“El procedimiento ordinario de concesión de subvenciones se tramitará en régimen de concurrencia competitiva. A efectos de esta ley, tendrá la consideración de concurrencia </w:t>
      </w:r>
      <w:r>
        <w:tab/>
        <w:t xml:space="preserve">competitiva el procedimiento mediante el cual la concesión de las subvenciones se </w:t>
      </w:r>
      <w:r>
        <w:lastRenderedPageBreak/>
        <w:t>realiza mediante la comparación de las solicitudes presentadas, a fin de establecer una prelación entre las mismas de acuerdo con los criterios de valoración previamente fijados en las bases reguladoras y en la convocatoria, y adjudicar, con el límite fijado en la convocatoria dentro del crédito disponible, aquellas que hayan obtenido mayor valoración en aplicación de los citados criterios.</w:t>
      </w:r>
    </w:p>
    <w:p w:rsidR="0026452D" w:rsidRDefault="0026452D" w:rsidP="0026452D">
      <w:pPr>
        <w:pStyle w:val="TextoNormal"/>
      </w:pPr>
    </w:p>
    <w:p w:rsidR="0026452D" w:rsidRDefault="0026452D" w:rsidP="0026452D">
      <w:pPr>
        <w:pStyle w:val="TextoNormal"/>
      </w:pPr>
      <w:r>
        <w:t>En este supuesto, y sin perjuicio de las especialidades que pudieran derivarse de la capacidad de autoorganización de las Administraciones públicas, la propuesta de concesión se formulará al órgano concedente por un órgano colegiado a través del órgano instructor. La composición del órgano colegiado será la que establezcan las correspondientes bases reguladoras.</w:t>
      </w:r>
    </w:p>
    <w:p w:rsidR="0026452D" w:rsidRDefault="0026452D" w:rsidP="0026452D">
      <w:pPr>
        <w:pStyle w:val="TextoNormal"/>
      </w:pPr>
    </w:p>
    <w:p w:rsidR="0026452D" w:rsidRDefault="0026452D" w:rsidP="0026452D">
      <w:pPr>
        <w:pStyle w:val="TextoNormal"/>
      </w:pPr>
      <w:r>
        <w:t>Excepcionalmente, siempre que así se prevea en las bases reguladoras, el órgano competente procederá al prorrateo, entre los beneficiarios de la subvención, del importe global máximo destinado a las subvenciones.”</w:t>
      </w:r>
    </w:p>
    <w:p w:rsidR="0026452D" w:rsidRDefault="0026452D" w:rsidP="0026452D">
      <w:pPr>
        <w:pStyle w:val="TextoNormal"/>
      </w:pPr>
    </w:p>
    <w:p w:rsidR="0026452D" w:rsidRDefault="0026452D" w:rsidP="0026452D">
      <w:pPr>
        <w:pStyle w:val="TextoNormal"/>
      </w:pPr>
      <w:r>
        <w:t>La representación procesal autonómica afirma que este apartado 1 —considerando su relación con el apartado 2, que relaciona los supuestos no sometidos al régimen de concurrencia competitiva— mediatiza la actuación de la Administración competente por razón de la materia, inmiscuyéndose el legislador estatal en la regulación de un procedimiento especial sin cobertura en ninguno de los títulos invocados por el Estado e imponiendo, incluso, un órgano colegiado para la tramitación del procedimiento y una separación entre órganos de valoración, instrucción y resolución.</w:t>
      </w:r>
    </w:p>
    <w:p w:rsidR="0026452D" w:rsidRDefault="0026452D" w:rsidP="0026452D">
      <w:pPr>
        <w:pStyle w:val="TextoNormal"/>
      </w:pPr>
    </w:p>
    <w:p w:rsidR="0026452D" w:rsidRDefault="0026452D" w:rsidP="0026452D">
      <w:pPr>
        <w:pStyle w:val="TextoNormal"/>
      </w:pPr>
      <w:r>
        <w:t>El Abogado del Estado considera que la exigencia de concurrencia competitiva es un principio básico que garantiza la equidad mientras que la previsión de un órgano colegiado responde a la mayor representatividad y transparencia que ofrecen estos órganos, sin que, por otra parte, la regulación impida a las Administraciones públicas correspondientes establecer, en las bases de la convocatoria, las especialidades que consideren convenientes.</w:t>
      </w:r>
    </w:p>
    <w:p w:rsidR="0026452D" w:rsidRDefault="0026452D" w:rsidP="0026452D">
      <w:pPr>
        <w:pStyle w:val="TextoNormal"/>
      </w:pPr>
    </w:p>
    <w:p w:rsidR="0026452D" w:rsidRDefault="0026452D" w:rsidP="0026452D">
      <w:pPr>
        <w:pStyle w:val="TextoNormal"/>
      </w:pPr>
      <w:r>
        <w:t>En respuesta a esta impugnación debemos señalar que el primer párrafo del art. 22.1, que dispone la concesión de subvenciones en régimen de concurrencia competitiva, aun estableciendo un criterio que se inscribe y determina la totalidad del procedimiento concesional es, sobre todo, un principio básico del régimen jurídico de las Administraciones públicas (art. 149.1.18 CE), puesto que, por un lado, orienta imperativamente las relaciones entre aquéllas y los ciudadanos que pretendan ser beneficiarios de las correspondientes subvenciones asegurándoles un tratamiento común y, por otro, persigue que se hagan efectivos los principios básicos del gasto público o actividad subvencional de las Administraciones públicas [igualdad, publicidad, concurrencia, objetividad, transparencia, eficacia, eficiencia, asignación equitativa de los recursos (art. 31.2 CE)]. Y a la misma finalidad responde el párrafo tercero del art. 22.1, que consagra la excepcionalidad del sistema de prorrateo entre los beneficiarios de la subvención del importe global máximo destinado a las subvenciones, por lo que este precepto encuentra también amparo en el art. 149.1.18 CE.</w:t>
      </w:r>
    </w:p>
    <w:p w:rsidR="0026452D" w:rsidRDefault="0026452D" w:rsidP="0026452D">
      <w:pPr>
        <w:pStyle w:val="TextoNormal"/>
      </w:pPr>
    </w:p>
    <w:p w:rsidR="0026452D" w:rsidRDefault="0026452D" w:rsidP="0026452D">
      <w:pPr>
        <w:pStyle w:val="TextoNormal"/>
      </w:pPr>
      <w:r>
        <w:t xml:space="preserve">A su vez, el párrafo segundo del art. 22.1 contiene determinaciones específicamente organizativas —propuesta de concesión por un órgano colegiado canalizada a través del instructor del procedimiento— pero que inciden directamente en las garantías del beneficiario a través del principio de separación entre los órganos instructor, proponente y competente </w:t>
      </w:r>
      <w:r>
        <w:lastRenderedPageBreak/>
        <w:t>para resolver, y mediante la previsión de un órgano colegiado cuya composición concreta y forma de funcionamiento, sin embargo, no se determina por el legislador básico, dejando en este punto un margen suficiente para la legislación autonómica de desarrollo y salvando las especialidades que pudieran derivarse de la capacidad autoorganizativa de las Administraciones públicas. En definitiva, aunque el párrafo segundo del art. 22.1 condiciona esta capacidad autonómica de autoorganización e incide muy directamente en el procedimiento concesional, dada la finalidad garantista del precepto y su relación de complementariedad con el párrafo primero, ha de ser también incardinado más específicamente en la materia “bases del régimen jurídico de las Administraciones Públicas” (art. 149.1.18 CE). La base establece un órgano colegiado (como es, por otra parte, habitual, en supuestos de resolución de procedimientos con concurrencia) como elemento de garantía del acierto y objetividad en la toma decisiones del procedimiento subvencional, pero dejando campo normativo para el ejercicio de las competencias autonómicas en la configuración de ese órgano colegiado, tanto por lo que se refiere a su composición como a su forma de funcionamiento, con respeto, claro está, en este extremo, a las reglas básicas en cuanto al funcionamiento de los órganos colegiados.</w:t>
      </w:r>
    </w:p>
    <w:p w:rsidR="0026452D" w:rsidRDefault="0026452D" w:rsidP="0026452D">
      <w:pPr>
        <w:pStyle w:val="TextoNormal"/>
      </w:pPr>
    </w:p>
    <w:p w:rsidR="0026452D" w:rsidRDefault="0026452D" w:rsidP="0026452D">
      <w:pPr>
        <w:pStyle w:val="TextoNormal"/>
      </w:pPr>
      <w:r>
        <w:t>En conclusión, procede la desestimación de la impugnación del art. 22.1.</w:t>
      </w:r>
    </w:p>
    <w:p w:rsidR="0026452D" w:rsidRDefault="0026452D" w:rsidP="0026452D">
      <w:pPr>
        <w:pStyle w:val="TextoNormal"/>
      </w:pPr>
    </w:p>
    <w:p w:rsidR="0026452D" w:rsidRDefault="0026452D" w:rsidP="0026452D">
      <w:pPr>
        <w:pStyle w:val="TextoNormal"/>
      </w:pPr>
      <w:r>
        <w:t>b) El art. 29.3 y 7 b) y e) establece lo siguiente:</w:t>
      </w:r>
    </w:p>
    <w:p w:rsidR="0026452D" w:rsidRDefault="0026452D" w:rsidP="0026452D">
      <w:pPr>
        <w:pStyle w:val="TextoNormal"/>
      </w:pPr>
    </w:p>
    <w:p w:rsidR="0026452D" w:rsidRDefault="0026452D" w:rsidP="0026452D">
      <w:pPr>
        <w:pStyle w:val="TextoNormal"/>
      </w:pPr>
      <w:r>
        <w:t>“3. Cuando la actividad concertada con terceros exceda del 20 por ciento del importe de la subvención y dicho importe sea superior a 60.000 euros, la subcontratación estará sometida al cumplimiento de los siguientes requisitos:</w:t>
      </w:r>
    </w:p>
    <w:p w:rsidR="0026452D" w:rsidRDefault="0026452D" w:rsidP="0026452D">
      <w:pPr>
        <w:pStyle w:val="TextoNormal"/>
      </w:pPr>
    </w:p>
    <w:p w:rsidR="0026452D" w:rsidRDefault="0026452D" w:rsidP="0026452D">
      <w:pPr>
        <w:pStyle w:val="TextoNormal"/>
      </w:pPr>
      <w:r>
        <w:t>a) Que el contrato se celebre por escrito.</w:t>
      </w:r>
    </w:p>
    <w:p w:rsidR="0026452D" w:rsidRDefault="0026452D" w:rsidP="0026452D">
      <w:pPr>
        <w:pStyle w:val="TextoNormal"/>
      </w:pPr>
    </w:p>
    <w:p w:rsidR="0026452D" w:rsidRDefault="0026452D" w:rsidP="0026452D">
      <w:pPr>
        <w:pStyle w:val="TextoNormal"/>
      </w:pPr>
      <w:r>
        <w:t>b) Que la celebración del mismo se autorice previamente por la entidad concedente de la subvención en la forma que se determine en las bases reguladoras.”</w:t>
      </w:r>
    </w:p>
    <w:p w:rsidR="0026452D" w:rsidRDefault="0026452D" w:rsidP="0026452D">
      <w:pPr>
        <w:pStyle w:val="TextoNormal"/>
      </w:pPr>
    </w:p>
    <w:p w:rsidR="0026452D" w:rsidRDefault="0026452D" w:rsidP="0026452D">
      <w:pPr>
        <w:pStyle w:val="TextoNormal"/>
      </w:pPr>
      <w:r>
        <w:t>“7. En ningún caso podrá concertarse por el beneficiario la ejecución total o parcial de las actividades subvencionadas con:</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b) Personas o entidades que haya percibido otras subvenciones para la realización de la actividad objeto de contratación.</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e) Personas o entidades solicitantes de ayuda o subvención en la misma convocatoria y programa, que no han obtenido subvención por no reunir los requisitos o no alcanzar la valoración suficiente.”</w:t>
      </w:r>
    </w:p>
    <w:p w:rsidR="0026452D" w:rsidRDefault="0026452D" w:rsidP="0026452D">
      <w:pPr>
        <w:pStyle w:val="TextoNormal"/>
      </w:pPr>
    </w:p>
    <w:p w:rsidR="0026452D" w:rsidRDefault="0026452D" w:rsidP="0026452D">
      <w:pPr>
        <w:pStyle w:val="TextoNormal"/>
      </w:pPr>
      <w:r>
        <w:t xml:space="preserve">El Letrado de la Comunidad Autónoma de Aragón considera que el art. 29.3, al regular aspectos de detalle de un procedimiento especial y hacerlo con carácter general, al margen de la regulación de la materia a la que se refiera la subvención, se extralimita de las competencias estatales. Por otra parte, los incisos b) y e) del art. 29.7 incurren también en un exceso </w:t>
      </w:r>
      <w:r>
        <w:lastRenderedPageBreak/>
        <w:t>de detalle y no están amparados por la competencia estatal de hacienda general, según el Letrado autonómico, por tratarse de normas de política subvencional que corresponde determinar a cada Administración competente.</w:t>
      </w:r>
    </w:p>
    <w:p w:rsidR="0026452D" w:rsidRDefault="0026452D" w:rsidP="0026452D">
      <w:pPr>
        <w:pStyle w:val="TextoNormal"/>
      </w:pPr>
    </w:p>
    <w:p w:rsidR="0026452D" w:rsidRDefault="0026452D" w:rsidP="0026452D">
      <w:pPr>
        <w:pStyle w:val="TextoNormal"/>
      </w:pPr>
      <w:r>
        <w:t>El Abogado del Estado defiende la constitucionalidad de estos preceptos y sostiene que tienen carácter básico; el sometimiento de la subcontratación a ciertos requisitos tiene por objetivo evitar que los beneficiarios de las subvenciones se conviertan en meros intermediarios; la prohibición de subcontratar con entidades que hayan recibido subvenciones para la misma actividad o que no la hayan recibido por no cumplir los requisitos o la valoración necesaria tienden a evitar los fraudes de ley. El Abogado del Estado afirma, por lo demás, que las Comunidades Autónomas tienen margen para desarrollar el mínimo normativo establecido.</w:t>
      </w:r>
    </w:p>
    <w:p w:rsidR="0026452D" w:rsidRDefault="0026452D" w:rsidP="0026452D">
      <w:pPr>
        <w:pStyle w:val="TextoNormal"/>
      </w:pPr>
    </w:p>
    <w:p w:rsidR="0026452D" w:rsidRDefault="0026452D" w:rsidP="0026452D">
      <w:pPr>
        <w:pStyle w:val="TextoNormal"/>
      </w:pPr>
      <w:r>
        <w:t>Pues bien, la impugnación ha de ser desestimada. El art. 29.3, en sus dos párrafos a) y b) regula, efectivamente, la subcontratación en el ámbito subvencional imponiendo límites y requisitos a la misma (contrato escrito y autorización previa de la Administración concedente) con la finalidad de que la Administración concedente pueda controlar que la viabilidad y el buen fin de la actividad subvencionada no será puesta en peligro por la subcontratación. Los preceptos establecen, por tanto, bases del régimen jurídico de las Administraciones públicas (art. 149.1.18 CE), al perfilar la relación jurídica subvencional imponiendo límites y deberes para el beneficiario de la subvención, así como reglas básicas de funcionamiento para las Administraciones concedentes de subvenciones, sin agotar por otra parte la regulación de la materia y dejando, por tanto, un margen para el desarrollo legislativo autonómico. Por otra parte, una vez constatado que el legislador estatal ha actuado dentro del margen que le confiere el art. 149.1.18 CE al dictar la regulación básica contenida en los incisos a) y b) del art. 29.3, no es función de este Tribunal dilucidar si existen otras configuraciones posibles de las bases que pudieran dar más espacio de actuación normativa a las Comunidades Autónomas.</w:t>
      </w:r>
    </w:p>
    <w:p w:rsidR="0026452D" w:rsidRDefault="0026452D" w:rsidP="0026452D">
      <w:pPr>
        <w:pStyle w:val="TextoNormal"/>
      </w:pPr>
    </w:p>
    <w:p w:rsidR="0026452D" w:rsidRDefault="0026452D" w:rsidP="0026452D">
      <w:pPr>
        <w:pStyle w:val="TextoNormal"/>
      </w:pPr>
      <w:r>
        <w:t>A la misma conclusión debemos llegar respecto a los incisos b) y e) del art. 29.7, puesto que contienen criterios básicos del régimen jurídico de las Administraciones públicas (art. 149.1.18 CE) que se refieren a las relaciones entre el beneficiario y la Administración; criterios que, además, velan por la asignación equitativa de los recursos públicos (art. 31 CE) y la eliminación del fraude, al tratar de evitar que la subcontratación pueda utilizarse como cauce para eludir las reglas del otorgamiento de las subvenciones.</w:t>
      </w:r>
    </w:p>
    <w:p w:rsidR="0026452D" w:rsidRDefault="0026452D" w:rsidP="0026452D">
      <w:pPr>
        <w:pStyle w:val="TextoNormal"/>
      </w:pPr>
    </w:p>
    <w:p w:rsidR="0026452D" w:rsidRDefault="0026452D" w:rsidP="0026452D">
      <w:pPr>
        <w:pStyle w:val="TextoNormal"/>
      </w:pPr>
      <w:r>
        <w:t>En consecuencia, procede desestimar la impugnación del art. 29.3, así como del art. 29.7, incisos b) y e).</w:t>
      </w:r>
    </w:p>
    <w:p w:rsidR="0026452D" w:rsidRDefault="0026452D" w:rsidP="0026452D">
      <w:pPr>
        <w:pStyle w:val="TextoNormal"/>
      </w:pPr>
    </w:p>
    <w:p w:rsidR="0026452D" w:rsidRDefault="0026452D" w:rsidP="0026452D">
      <w:pPr>
        <w:pStyle w:val="TextoNormal"/>
      </w:pPr>
      <w:r>
        <w:t>c) El art. 30.5 establece:</w:t>
      </w:r>
    </w:p>
    <w:p w:rsidR="0026452D" w:rsidRDefault="0026452D" w:rsidP="0026452D">
      <w:pPr>
        <w:pStyle w:val="TextoNormal"/>
      </w:pPr>
    </w:p>
    <w:p w:rsidR="0026452D" w:rsidRDefault="0026452D" w:rsidP="0026452D">
      <w:pPr>
        <w:pStyle w:val="TextoNormal"/>
      </w:pPr>
      <w:r>
        <w:t>“En el supuesto de adquisición de bienes inmuebles, además de los justificantes establecidos en el apartado 3 de este artículo, debe aportarse certificado de tasador independiente debidamente acreditado e inscrito en el correspondiente registro oficial.”</w:t>
      </w:r>
    </w:p>
    <w:p w:rsidR="0026452D" w:rsidRDefault="0026452D" w:rsidP="0026452D">
      <w:pPr>
        <w:pStyle w:val="TextoNormal"/>
      </w:pPr>
    </w:p>
    <w:p w:rsidR="0026452D" w:rsidRDefault="0026452D" w:rsidP="0026452D">
      <w:pPr>
        <w:pStyle w:val="TextoNormal"/>
      </w:pPr>
      <w:r>
        <w:t xml:space="preserve">La representación procesal autonómica considera que este precepto impone una regulación sobre un extremo documental que corresponde adoptar a la Administración con competencias materiales. El Abogado del Estado afirma que la regulación de los medios de </w:t>
      </w:r>
      <w:r>
        <w:lastRenderedPageBreak/>
        <w:t>prueba de los gastos prevista en este precepto forma parte del mínimo común normativo siendo razonable que el sistema de validación sea el mismo para todo el territorio nacional, al igual que la exigencia de tasación independiente en el caso de la adquisición de bienes inmuebles. Se trata, por tanto, en su opinión, de normas del procedimiento administrativo común.</w:t>
      </w:r>
    </w:p>
    <w:p w:rsidR="0026452D" w:rsidRDefault="0026452D" w:rsidP="0026452D">
      <w:pPr>
        <w:pStyle w:val="TextoNormal"/>
      </w:pPr>
    </w:p>
    <w:p w:rsidR="0026452D" w:rsidRDefault="0026452D" w:rsidP="0026452D">
      <w:pPr>
        <w:pStyle w:val="TextoNormal"/>
      </w:pPr>
      <w:r>
        <w:t>Expuesta así la controversia, debemos señalar que el precepto regula la justificación en los supuestos de adquisición de bienes inmuebles disponiendo que, además de los justificantes establecidos en el apartado 3 de este artículo, ha de aportarse certificado de tasador independiente debidamente acreditado e inscrito en el correspondiente registro oficial. El apartado 3 del art. 30 no ha sido impugnado, por lo que la invasión competencial se aprecia en la exigencia por el art. 30.5 de un requisito que se considera de detalle: la valoración de tasador independiente e inscrito en registro oficial. Pues bien, el art. 30.5 ha de considerarse como norma formal y materialmente básica, dictada al amparo del título competencial del art. 149.1.18 CE, en su dimensión material de bases del régimen jurídico de las Administraciones públicas, puesto que el precepto regula el alcance de un deber del beneficiario que persigue dar a los administrados un tratamiento común ante las Administraciones públicas, reforzar la seguridad jurídica en las relaciones entre los beneficiarios de subvenciones y la Administración concedente y establecer una garantía de veracidad en la justificación de las adquisiciones de bienes inmuebles. El precepto, por otra parte, no agota la regulación de la materia, pues deja espacio suficiente para una regulación autonómica más detallada del contenido y alcance del informe del tasador al que se refiere el precepto.</w:t>
      </w:r>
    </w:p>
    <w:p w:rsidR="0026452D" w:rsidRDefault="0026452D" w:rsidP="0026452D">
      <w:pPr>
        <w:pStyle w:val="TextoNormal"/>
      </w:pPr>
    </w:p>
    <w:p w:rsidR="0026452D" w:rsidRDefault="0026452D" w:rsidP="0026452D">
      <w:pPr>
        <w:pStyle w:val="TextoNormal"/>
      </w:pPr>
      <w:r>
        <w:t>En consecuencia, procede desestimar la impugnación del art. 30.5.</w:t>
      </w:r>
    </w:p>
    <w:p w:rsidR="0026452D" w:rsidRDefault="0026452D" w:rsidP="0026452D">
      <w:pPr>
        <w:pStyle w:val="TextoNormal"/>
      </w:pPr>
    </w:p>
    <w:p w:rsidR="0026452D" w:rsidRDefault="0026452D" w:rsidP="0026452D">
      <w:pPr>
        <w:pStyle w:val="TextoNormal"/>
      </w:pPr>
      <w:r>
        <w:t>d) Determina el art. 31.2:</w:t>
      </w:r>
    </w:p>
    <w:p w:rsidR="0026452D" w:rsidRDefault="0026452D" w:rsidP="0026452D">
      <w:pPr>
        <w:pStyle w:val="TextoNormal"/>
      </w:pPr>
    </w:p>
    <w:p w:rsidR="0026452D" w:rsidRDefault="0026452D" w:rsidP="0026452D">
      <w:pPr>
        <w:pStyle w:val="TextoNormal"/>
      </w:pPr>
      <w:r>
        <w:t>“Salvo disposición expresa en contrario en las bases reguladoras de las subvenciones, se considerará gasto realizado el que ha sido efectivamente pagado con anterioridad a la finalización del período de justificación determinado por la normativa reguladora de la subvención.”</w:t>
      </w:r>
    </w:p>
    <w:p w:rsidR="0026452D" w:rsidRDefault="0026452D" w:rsidP="0026452D">
      <w:pPr>
        <w:pStyle w:val="TextoNormal"/>
      </w:pPr>
    </w:p>
    <w:p w:rsidR="0026452D" w:rsidRDefault="0026452D" w:rsidP="0026452D">
      <w:pPr>
        <w:pStyle w:val="TextoNormal"/>
      </w:pPr>
      <w:r>
        <w:t>Según el Letrado de la Comunidad Autónoma de Aragón, el art. 31.2 establece una previsión complementaria que debería fijarse en cada convocatoria y que, en todo caso, carece de carácter básico, como pone de manifiesto que pueda excepcionarse precisamente por las convocatorias de las subvenciones.</w:t>
      </w:r>
    </w:p>
    <w:p w:rsidR="0026452D" w:rsidRDefault="0026452D" w:rsidP="0026452D">
      <w:pPr>
        <w:pStyle w:val="TextoNormal"/>
      </w:pPr>
    </w:p>
    <w:p w:rsidR="0026452D" w:rsidRDefault="0026452D" w:rsidP="0026452D">
      <w:pPr>
        <w:pStyle w:val="TextoNormal"/>
      </w:pPr>
      <w:r>
        <w:t>El Abogado del Estado considera por el contrario que el precepto tiene carácter básico, pues se refiere a un aspecto del gasto subvencional que ha de ser regulado homogéneamente en todo el territorio nacional.</w:t>
      </w:r>
    </w:p>
    <w:p w:rsidR="0026452D" w:rsidRDefault="0026452D" w:rsidP="0026452D">
      <w:pPr>
        <w:pStyle w:val="TextoNormal"/>
      </w:pPr>
    </w:p>
    <w:p w:rsidR="0026452D" w:rsidRDefault="0026452D" w:rsidP="0026452D">
      <w:pPr>
        <w:pStyle w:val="TextoNormal"/>
      </w:pPr>
      <w:r>
        <w:t xml:space="preserve">El art. 31.2 contiene una regla general que afecta a la relación subvencional y a los derechos de los beneficiarios, y que consiste en determinar los gastos que, a efectos del concepto de “gasto subvencionable” (regulado en el apartado 1 y no impugnado), han de considerarse como “gastos realizados” (los efectivamente pagados con anterioridad a la finalización del período de justificación determinado por la normativa reguladora de la subvención), si bien el precepto permite que la Administración competente </w:t>
      </w:r>
      <w:r w:rsidRPr="0026452D">
        <w:rPr>
          <w:i/>
        </w:rPr>
        <w:t>ratione materiae</w:t>
      </w:r>
      <w:r>
        <w:t xml:space="preserve">, al dictar las bases </w:t>
      </w:r>
      <w:r>
        <w:lastRenderedPageBreak/>
        <w:t>de la convocatoria, pueda establecer un criterio distinto sobre lo que debe entenderse por “gasto realizado”, cuando ello sea pertinente en atención a la naturaleza de la subvención.</w:t>
      </w:r>
    </w:p>
    <w:p w:rsidR="0026452D" w:rsidRDefault="0026452D" w:rsidP="0026452D">
      <w:pPr>
        <w:pStyle w:val="TextoNormal"/>
      </w:pPr>
    </w:p>
    <w:p w:rsidR="0026452D" w:rsidRDefault="0026452D" w:rsidP="0026452D">
      <w:pPr>
        <w:pStyle w:val="TextoNormal"/>
      </w:pPr>
      <w:r>
        <w:t xml:space="preserve">Obviamente, ningún reproche constitucional merece el precepto impugnado si el criterio general que establece resulta excepcionado por disposición expresa en contrario en las bases reguladoras de la subvención, cuando es la Administración General del Estado la competente para aprobar dichas bases. Pero tampoco puede merecerlo cuando la competencia </w:t>
      </w:r>
      <w:r w:rsidRPr="0026452D">
        <w:rPr>
          <w:i/>
        </w:rPr>
        <w:t>ratione materiae</w:t>
      </w:r>
      <w:r>
        <w:t xml:space="preserve"> corresponda a las Comunidades Autónomas, pues en tal caso el art. 31.2 les permite a éstas establecer en las bases reguladoras de la subvención un criterio sobre lo que ha de considerarse como “gasto realizado”, distinto al establecido como regla general en el propio precepto; y en el caso de que la Comunidad Autónoma competente no establezca un criterio distinto en las bases reguladoras, será aplicable el criterio fijado con carácter general y básico (art. 149.1.18 CE) por el art. 31.2. Se introduce así en este precepto un criterio de flexibilización (que las bases reguladoras de las subvenciones, en atención a la naturaleza singular de la subvención en cuestión, puedan establecer un criterio distinto sobre lo que ha de entenderse por gasto realizado), pero ese criterio de flexibilización es también homogéneo en todo el territorio nacional, y, por tanto, básico </w:t>
      </w:r>
      <w:r w:rsidRPr="0026452D">
        <w:rPr>
          <w:i/>
        </w:rPr>
        <w:t>ex</w:t>
      </w:r>
      <w:r>
        <w:t xml:space="preserve"> art. 149.1.18 CE, pues de otro modo la norma básica no garantizaría la existencia de un mínimo común normativo en todo el territorio nacional y, por tanto, perdería su sentido y finalidad.</w:t>
      </w:r>
    </w:p>
    <w:p w:rsidR="0026452D" w:rsidRDefault="0026452D" w:rsidP="0026452D">
      <w:pPr>
        <w:pStyle w:val="TextoNormal"/>
      </w:pPr>
    </w:p>
    <w:p w:rsidR="0026452D" w:rsidRDefault="0026452D" w:rsidP="0026452D">
      <w:pPr>
        <w:pStyle w:val="TextoNormal"/>
      </w:pPr>
      <w:r>
        <w:t>En suma, el art. 31.2 de la Ley 38/2003 enuncia una regla general y básica, de conformidad con el art. 149.1.18 CE, porque persigue la finalidad de garantizar un tratamiento común a los beneficiarios de las subvenciones, pero esta regla básica no agota la regulación de la materia, porque, justamente a través del criterio de flexibilización que el propio precepto establece, también con carácter básico, se deja margen para que las Comunidades Autónomas competentes puedan establecer en las bases reguladoras de las convocatorias un criterio sobre el gasto realizado distinto al determinado como regla general en el art. 31.2 de la Ley 38/2003.</w:t>
      </w:r>
    </w:p>
    <w:p w:rsidR="0026452D" w:rsidRDefault="0026452D" w:rsidP="0026452D">
      <w:pPr>
        <w:pStyle w:val="TextoNormal"/>
      </w:pPr>
    </w:p>
    <w:p w:rsidR="0026452D" w:rsidRDefault="0026452D" w:rsidP="0026452D">
      <w:pPr>
        <w:pStyle w:val="TextoNormal"/>
      </w:pPr>
      <w:r>
        <w:t>e) El art. 31.3, en su redacción originaria, dispone lo siguiente:</w:t>
      </w:r>
    </w:p>
    <w:p w:rsidR="0026452D" w:rsidRDefault="0026452D" w:rsidP="0026452D">
      <w:pPr>
        <w:pStyle w:val="TextoNormal"/>
      </w:pPr>
    </w:p>
    <w:p w:rsidR="0026452D" w:rsidRDefault="0026452D" w:rsidP="0026452D">
      <w:pPr>
        <w:pStyle w:val="TextoNormal"/>
      </w:pPr>
      <w:r>
        <w:t>“Cuando el importe del gasto subvencionable supere la cuantía de 30.000 euros en el supuesto de coste por ejecución de obra, o de 12.000 euros en el supuesto de suministro de bienes de equipo o prestación de servicios por empresas de consultoría o asistencia técnica, el beneficiario deberá solicitar como mínimo tres ofertas de diferentes proveedores, con carácter previo a la contracción del compromiso para la prestación del servicio o la entrega del bien, salvo que por las especiales características de los gastos subvencionables no exista en el mercado suficiente número de entidades que lo suministren o presten, o salvo que el gasto se hubiera realizado con anterioridad a la solicitud de la subvención.</w:t>
      </w:r>
    </w:p>
    <w:p w:rsidR="0026452D" w:rsidRDefault="0026452D" w:rsidP="0026452D">
      <w:pPr>
        <w:pStyle w:val="TextoNormal"/>
      </w:pPr>
    </w:p>
    <w:p w:rsidR="0026452D" w:rsidRDefault="0026452D" w:rsidP="0026452D">
      <w:pPr>
        <w:pStyle w:val="TextoNormal"/>
      </w:pPr>
      <w:r>
        <w:t>La elección entre las ofertas presentadas, que deberán aportarse en la justificación, o, en su caso, en la solicitud de la subvención, se realizará conforme a criterios de eficiencia y economía, debiendo justificarse expresamente en una memoria la elección cuando no recaiga en la propuesta económica más ventajosa.”</w:t>
      </w:r>
    </w:p>
    <w:p w:rsidR="0026452D" w:rsidRDefault="0026452D" w:rsidP="0026452D">
      <w:pPr>
        <w:pStyle w:val="TextoNormal"/>
      </w:pPr>
    </w:p>
    <w:p w:rsidR="0026452D" w:rsidRDefault="0026452D" w:rsidP="0026452D">
      <w:pPr>
        <w:pStyle w:val="TextoNormal"/>
      </w:pPr>
      <w:r>
        <w:t xml:space="preserve">Procede recordar que este precepto ha sido modificado por la disposición final quinta de la Ley 14/2011, de 1 de junio, si bien esta modificación, que pretende acomodar la redacción del precepto impugnado a las previsiones de la Ley 30/2007, de 30 de octubre, de contratos </w:t>
      </w:r>
      <w:r>
        <w:lastRenderedPageBreak/>
        <w:t>del sector público (que ha sido sustituida a su vez por el vigente texto refundido de la Ley de contratos del sector público, aprobado por Real Decreto Legislativo 3/2011, de 14 de noviembre), no afecta a la controversia trabada en el presente recurso, como ya dijimos.</w:t>
      </w:r>
    </w:p>
    <w:p w:rsidR="0026452D" w:rsidRDefault="0026452D" w:rsidP="0026452D">
      <w:pPr>
        <w:pStyle w:val="TextoNormal"/>
      </w:pPr>
    </w:p>
    <w:p w:rsidR="0026452D" w:rsidRDefault="0026452D" w:rsidP="0026452D">
      <w:pPr>
        <w:pStyle w:val="TextoNormal"/>
      </w:pPr>
      <w:r>
        <w:t>La representación procesal autonómica rechaza la constitucionalidad del art. 31.3 por su excesivo grado de detalle y la falta de cobertura en ninguno de los títulos competenciales invocados por el Estado. Por el contrario, el Abogado del Estado considera que se trata de una norma básica, puesto que considera que regula aspectos del gasto subvencionable que han de ser objeto de una regulación homogénea en todo el territorio nacional.</w:t>
      </w:r>
    </w:p>
    <w:p w:rsidR="0026452D" w:rsidRDefault="0026452D" w:rsidP="0026452D">
      <w:pPr>
        <w:pStyle w:val="TextoNormal"/>
      </w:pPr>
    </w:p>
    <w:p w:rsidR="0026452D" w:rsidRDefault="0026452D" w:rsidP="0026452D">
      <w:pPr>
        <w:pStyle w:val="TextoNormal"/>
      </w:pPr>
      <w:r>
        <w:t>En respuesta a la controversia planteada debemos señalar que el apartado 3 del art. 31 establece el principio de competencia en la contratación que realice el beneficiario cuando el importe del gasto subvencionable supere determinadas cuantías, configurando, por tanto, un deber que sólo admite excepción en dos supuestos previstos en el precepto. Se trata de una regulación que configura el régimen de deberes de los beneficiarios de subvenciones públicas con la finalidad de asegurarles un tratamiento común y que, al mismo tiempo, persigue garantizar que se respeten principios básicos del gasto público (igualdad, concurrencia, eficiencia en el uso de los recursos públicos) que podrían eludirse mediante la contratación libre por parte del subvencionado pese a operar con dinero público. La regulación ha de entenderse, por tanto, dictada en ejercicio de las competencias estatal</w:t>
      </w:r>
      <w:r w:rsidRPr="0026452D">
        <w:rPr>
          <w:i/>
        </w:rPr>
        <w:t>es</w:t>
      </w:r>
      <w:r>
        <w:t xml:space="preserve"> ex arts. 149.1.18 y 149.1.14 CE.</w:t>
      </w:r>
    </w:p>
    <w:p w:rsidR="0026452D" w:rsidRDefault="0026452D" w:rsidP="0026452D">
      <w:pPr>
        <w:pStyle w:val="TextoNormal"/>
      </w:pPr>
    </w:p>
    <w:p w:rsidR="0026452D" w:rsidRDefault="0026452D" w:rsidP="0026452D">
      <w:pPr>
        <w:pStyle w:val="TextoNormal"/>
      </w:pPr>
      <w:r>
        <w:t>f) Los apartados 4 y 5 del art. 31 establecen:</w:t>
      </w:r>
    </w:p>
    <w:p w:rsidR="0026452D" w:rsidRDefault="0026452D" w:rsidP="0026452D">
      <w:pPr>
        <w:pStyle w:val="TextoNormal"/>
      </w:pPr>
    </w:p>
    <w:p w:rsidR="0026452D" w:rsidRDefault="0026452D" w:rsidP="0026452D">
      <w:pPr>
        <w:pStyle w:val="TextoNormal"/>
      </w:pPr>
      <w:r>
        <w:t>“4. En el supuesto de adquisición, construcción, rehabilitación y mejora de bienes inventariables, se seguirán las siguientes reglas:</w:t>
      </w:r>
    </w:p>
    <w:p w:rsidR="0026452D" w:rsidRDefault="0026452D" w:rsidP="0026452D">
      <w:pPr>
        <w:pStyle w:val="TextoNormal"/>
      </w:pPr>
    </w:p>
    <w:p w:rsidR="0026452D" w:rsidRDefault="0026452D" w:rsidP="0026452D">
      <w:pPr>
        <w:pStyle w:val="TextoNormal"/>
      </w:pPr>
      <w:r>
        <w:t>a) Las bases reguladoras fijarán el período durante el cual el beneficiario deberá destinar los bienes al fin concreto para el que se concedió la subvención, que no podrá ser inferior a cinco años en caso de bienes inscribibles en un registro público, ni a dos años para el resto de bienes.</w:t>
      </w:r>
    </w:p>
    <w:p w:rsidR="0026452D" w:rsidRDefault="0026452D" w:rsidP="0026452D">
      <w:pPr>
        <w:pStyle w:val="TextoNormal"/>
      </w:pPr>
    </w:p>
    <w:p w:rsidR="0026452D" w:rsidRDefault="0026452D" w:rsidP="0026452D">
      <w:pPr>
        <w:pStyle w:val="TextoNormal"/>
      </w:pPr>
      <w:r>
        <w:t>En el caso de bienes inscribibles en un registro público, deberá hacerse constar en la escritura esta circunstancia, así como el importe de la subvención concedida, debiendo ser objeto estos extremos de inscripción en el registro público correspondiente.</w:t>
      </w:r>
    </w:p>
    <w:p w:rsidR="0026452D" w:rsidRDefault="0026452D" w:rsidP="0026452D">
      <w:pPr>
        <w:pStyle w:val="TextoNormal"/>
      </w:pPr>
    </w:p>
    <w:p w:rsidR="0026452D" w:rsidRDefault="0026452D" w:rsidP="0026452D">
      <w:pPr>
        <w:pStyle w:val="TextoNormal"/>
      </w:pPr>
      <w:r>
        <w:t>b) El incumplimiento de la obligación de destino referida en el párrafo anterior, que se producirá en todo caso con la enajenación o el gravamen del bien, será causa de reintegro, en los términos establecidos en el capítulo II del título II de esta ley, quedando el bien afecto al pago del reintegro cualquiera que sea su poseedor, salvo que resulte ser un tercero protegido por la fe pública registral o se justifique la adquisición de los bienes con buena fe y justo título o en establecimiento mercantil o industrial, en caso de bienes muebles no inscribibles.</w:t>
      </w:r>
    </w:p>
    <w:p w:rsidR="0026452D" w:rsidRDefault="0026452D" w:rsidP="0026452D">
      <w:pPr>
        <w:pStyle w:val="TextoNormal"/>
      </w:pPr>
    </w:p>
    <w:p w:rsidR="0026452D" w:rsidRDefault="0026452D" w:rsidP="0026452D">
      <w:pPr>
        <w:pStyle w:val="TextoNormal"/>
      </w:pPr>
      <w:r>
        <w:t>5. No se considerará incumplida la obligación de destino referida en el anterior apartado 4 cuando:</w:t>
      </w:r>
    </w:p>
    <w:p w:rsidR="0026452D" w:rsidRDefault="0026452D" w:rsidP="0026452D">
      <w:pPr>
        <w:pStyle w:val="TextoNormal"/>
      </w:pPr>
    </w:p>
    <w:p w:rsidR="0026452D" w:rsidRDefault="0026452D" w:rsidP="0026452D">
      <w:pPr>
        <w:pStyle w:val="TextoNormal"/>
      </w:pPr>
      <w:r>
        <w:lastRenderedPageBreak/>
        <w:t>a) Tratándose de bienes no inscribibles en un registro público, fueran sustituidos por otros que sirvan en condiciones análogas al fin para el que se concedió la subvención y este uso se mantenga hasta completar el período establecido, siempre que la sustitución haya sido autorizada por la Administración concedente.</w:t>
      </w:r>
    </w:p>
    <w:p w:rsidR="0026452D" w:rsidRDefault="0026452D" w:rsidP="0026452D">
      <w:pPr>
        <w:pStyle w:val="TextoNormal"/>
      </w:pPr>
    </w:p>
    <w:p w:rsidR="0026452D" w:rsidRDefault="0026452D" w:rsidP="0026452D">
      <w:pPr>
        <w:pStyle w:val="TextoNormal"/>
      </w:pPr>
      <w:r>
        <w:t>b) Tratándose de bienes inscribibles en un registro público, el cambio de destino, enajenación o gravamen sea autorizado por la Administración concedente. En este supuesto, el adquiriente asumirá la obligación de destino de los bienes por el período restante y, en caso de incumplimiento de la misma, del reintegro de la subvención.”</w:t>
      </w:r>
    </w:p>
    <w:p w:rsidR="0026452D" w:rsidRDefault="0026452D" w:rsidP="0026452D">
      <w:pPr>
        <w:pStyle w:val="TextoNormal"/>
      </w:pPr>
    </w:p>
    <w:p w:rsidR="0026452D" w:rsidRDefault="0026452D" w:rsidP="0026452D">
      <w:pPr>
        <w:pStyle w:val="TextoNormal"/>
      </w:pPr>
      <w:r>
        <w:t>El Letrado de la Comunidad Autónoma de Aragón considera que este tipo de previsiones deberían ser establecidas por cada Administración competente en función de la materia, careciendo de justificación el establecimiento de una regulación general. Por el contrario, el Abogado del Estado afirma el carácter básico de los apartados 4 y 5 del art. 31 y la necesidad de una regulación homogénea en todo el territorio nacional sobre estos aspectos.</w:t>
      </w:r>
    </w:p>
    <w:p w:rsidR="0026452D" w:rsidRDefault="0026452D" w:rsidP="0026452D">
      <w:pPr>
        <w:pStyle w:val="TextoNormal"/>
      </w:pPr>
    </w:p>
    <w:p w:rsidR="0026452D" w:rsidRDefault="0026452D" w:rsidP="0026452D">
      <w:pPr>
        <w:pStyle w:val="TextoNormal"/>
      </w:pPr>
      <w:r>
        <w:t xml:space="preserve">Pues bien, es lo cierto que los apartados 4 y 5 del art. 31 encuentran cobertura, de manera general, en el art. 149.1.18 CE, puesto que regulan, con carácter básico, asegurando un tratamiento común a los beneficiarios de las subvenciones, la obligación de destino de los bienes inventariables al fin subvencional, estableciendo a estos efectos reglas comunes que no agotan la regulación y que son, por tanto, respetuosas con el margen de regulación de los procedimientos subvencionales específicos o </w:t>
      </w:r>
      <w:r w:rsidRPr="0026452D">
        <w:rPr>
          <w:i/>
        </w:rPr>
        <w:t>ratione materiae</w:t>
      </w:r>
      <w:r>
        <w:t xml:space="preserve"> que corresponde a las Comunidades Autónomas. Es más, la regla b) del apartado 4 y el inciso final de la regla b) del apartado 5 del art. 31, al configurar el incumplimiento de la obligación de destino como una causa de reintegro, regulando, por tanto, un derecho de crédito a favor de las haciendas públicas, y disponer además, en garantía de la integridad de las mismas, que el bien inventariable queda afecto al pago del reintegro, con independencia de quién sea su poseedor, salvo en determinados supuestos, se enmarcan también en la competencia estata</w:t>
      </w:r>
      <w:r w:rsidRPr="0026452D">
        <w:rPr>
          <w:i/>
        </w:rPr>
        <w:t xml:space="preserve">l </w:t>
      </w:r>
      <w:r>
        <w:t>ex art. 149.1.14 CE, al establecer una regla común para todas las haciendas públicas.</w:t>
      </w:r>
    </w:p>
    <w:p w:rsidR="0026452D" w:rsidRDefault="0026452D" w:rsidP="0026452D">
      <w:pPr>
        <w:pStyle w:val="TextoNormal"/>
      </w:pPr>
    </w:p>
    <w:p w:rsidR="0026452D" w:rsidRDefault="0026452D" w:rsidP="0026452D">
      <w:pPr>
        <w:pStyle w:val="TextoNormal"/>
      </w:pPr>
      <w:r>
        <w:t>g) Por último, el art. 31 dispone en sus apartados 6, 7 y 8:</w:t>
      </w:r>
    </w:p>
    <w:p w:rsidR="0026452D" w:rsidRDefault="0026452D" w:rsidP="0026452D">
      <w:pPr>
        <w:pStyle w:val="TextoNormal"/>
      </w:pPr>
    </w:p>
    <w:p w:rsidR="0026452D" w:rsidRDefault="0026452D" w:rsidP="0026452D">
      <w:pPr>
        <w:pStyle w:val="TextoNormal"/>
      </w:pPr>
      <w:r>
        <w:t>“6. Las bases reguladoras de las subvenciones establecerán, en su caso, las reglas especiales que se consideren oportunas en materia de amortización de los bienes inventariables. No obstante, el carácter subvencionable del gasto de amortización estará sujeto a las siguientes condiciones:</w:t>
      </w:r>
    </w:p>
    <w:p w:rsidR="0026452D" w:rsidRDefault="0026452D" w:rsidP="0026452D">
      <w:pPr>
        <w:pStyle w:val="TextoNormal"/>
      </w:pPr>
    </w:p>
    <w:p w:rsidR="0026452D" w:rsidRDefault="0026452D" w:rsidP="0026452D">
      <w:pPr>
        <w:pStyle w:val="TextoNormal"/>
      </w:pPr>
      <w:r>
        <w:t>a) Que las subvenciones no hayan contribuido a la compra de los bienes.</w:t>
      </w:r>
    </w:p>
    <w:p w:rsidR="0026452D" w:rsidRDefault="0026452D" w:rsidP="0026452D">
      <w:pPr>
        <w:pStyle w:val="TextoNormal"/>
      </w:pPr>
    </w:p>
    <w:p w:rsidR="0026452D" w:rsidRDefault="0026452D" w:rsidP="0026452D">
      <w:pPr>
        <w:pStyle w:val="TextoNormal"/>
      </w:pPr>
      <w:r>
        <w:t>b) Que la amortización se calcule de conformidad con las normas de contabilidad generalmente aceptadas.</w:t>
      </w:r>
    </w:p>
    <w:p w:rsidR="0026452D" w:rsidRDefault="0026452D" w:rsidP="0026452D">
      <w:pPr>
        <w:pStyle w:val="TextoNormal"/>
      </w:pPr>
    </w:p>
    <w:p w:rsidR="0026452D" w:rsidRDefault="0026452D" w:rsidP="0026452D">
      <w:pPr>
        <w:pStyle w:val="TextoNormal"/>
      </w:pPr>
      <w:r>
        <w:t xml:space="preserve">7. Los gastos financieros, los gastos de asesoría jurídica o financiera, los gastos notariales y registrales y los gastos periciales para la realización del proyecto subvencionado y los de administración específicos son subvencionables si están directamente relacionados con la actividad subvencionada o son indispensables para la adecuada preparación o ejecución de la misma, y siempre que así se prevea en las bases reguladoras. Con carácter excepcional, </w:t>
      </w:r>
      <w:r>
        <w:lastRenderedPageBreak/>
        <w:t>los gastos de garantía bancaria podrán ser subvencionados cuando así lo prevea la normativa reguladora de la subvención.</w:t>
      </w:r>
    </w:p>
    <w:p w:rsidR="0026452D" w:rsidRDefault="0026452D" w:rsidP="0026452D">
      <w:pPr>
        <w:pStyle w:val="TextoNormal"/>
      </w:pPr>
    </w:p>
    <w:p w:rsidR="0026452D" w:rsidRDefault="0026452D" w:rsidP="0026452D">
      <w:pPr>
        <w:pStyle w:val="TextoNormal"/>
      </w:pPr>
      <w:r>
        <w:t>En ningún caso serán gastos subvencionables:</w:t>
      </w:r>
    </w:p>
    <w:p w:rsidR="0026452D" w:rsidRDefault="0026452D" w:rsidP="0026452D">
      <w:pPr>
        <w:pStyle w:val="TextoNormal"/>
      </w:pPr>
    </w:p>
    <w:p w:rsidR="0026452D" w:rsidRDefault="0026452D" w:rsidP="0026452D">
      <w:pPr>
        <w:pStyle w:val="TextoNormal"/>
      </w:pPr>
      <w:r>
        <w:t>a) Los intereses deudores de las cuentas bancarias.</w:t>
      </w:r>
    </w:p>
    <w:p w:rsidR="0026452D" w:rsidRDefault="0026452D" w:rsidP="0026452D">
      <w:pPr>
        <w:pStyle w:val="TextoNormal"/>
      </w:pPr>
    </w:p>
    <w:p w:rsidR="0026452D" w:rsidRDefault="0026452D" w:rsidP="0026452D">
      <w:pPr>
        <w:pStyle w:val="TextoNormal"/>
      </w:pPr>
      <w:r>
        <w:t>b) Intereses, recargos y sanciones administrativas y penales.</w:t>
      </w:r>
    </w:p>
    <w:p w:rsidR="0026452D" w:rsidRDefault="0026452D" w:rsidP="0026452D">
      <w:pPr>
        <w:pStyle w:val="TextoNormal"/>
      </w:pPr>
    </w:p>
    <w:p w:rsidR="0026452D" w:rsidRDefault="0026452D" w:rsidP="0026452D">
      <w:pPr>
        <w:pStyle w:val="TextoNormal"/>
      </w:pPr>
      <w:r>
        <w:t>c) Los gastos de procedimientos judiciales.</w:t>
      </w:r>
    </w:p>
    <w:p w:rsidR="0026452D" w:rsidRDefault="0026452D" w:rsidP="0026452D">
      <w:pPr>
        <w:pStyle w:val="TextoNormal"/>
      </w:pPr>
    </w:p>
    <w:p w:rsidR="0026452D" w:rsidRDefault="0026452D" w:rsidP="0026452D">
      <w:pPr>
        <w:pStyle w:val="TextoNormal"/>
      </w:pPr>
      <w:r>
        <w:t>8. Los tributos son gasto subvencionable cuando el beneficiario de la subvención los abona efectivamente. En ningún caso se consideran gastos subvencionables los impuestos indirectos cuando sean susceptibles de recuperación o compensación ni los impuestos personales sobre la renta.”</w:t>
      </w:r>
    </w:p>
    <w:p w:rsidR="0026452D" w:rsidRDefault="0026452D" w:rsidP="0026452D">
      <w:pPr>
        <w:pStyle w:val="TextoNormal"/>
      </w:pPr>
    </w:p>
    <w:p w:rsidR="0026452D" w:rsidRDefault="0026452D" w:rsidP="0026452D">
      <w:pPr>
        <w:pStyle w:val="TextoNormal"/>
      </w:pPr>
      <w:r>
        <w:t>La representación procesal autonómica rechaza la constitucionalidad de esta regulación por su grado de detalle y por considerar que se trata de aspectos que corresponde regular a la Administración con competencias en la materia. El Abogado del Estado afirma su carácter básico y la necesidad de regulación homogénea en todo el territorio nacional.</w:t>
      </w:r>
    </w:p>
    <w:p w:rsidR="0026452D" w:rsidRDefault="0026452D" w:rsidP="0026452D">
      <w:pPr>
        <w:pStyle w:val="TextoNormal"/>
      </w:pPr>
    </w:p>
    <w:p w:rsidR="0026452D" w:rsidRDefault="0026452D" w:rsidP="0026452D">
      <w:pPr>
        <w:pStyle w:val="TextoNormal"/>
      </w:pPr>
      <w:r>
        <w:t>Hay que entender que los apartados 6 y 7 del art. 31, que establecen respectivamente las reglas comunes sobre el carácter subvencionable de los gastos de amortización (dejando un margen, siempre que se cumplan estas condiciones o reglas, para regulaciones especiales en las bases reguladoras) y el marco normativo para considerar o no otros gastos como subvencionables, han sido dictados en ejercicio del art. 149.1.18 CE, puesto que las regulaciones que contienen constituyen criterios nucleares de las relaciones entre las Administraciones públicas y los ciudadanos que pretenden acceder a las subvenciones. Además, lo dispuesto en los apartados 6 y 7 del art. 31 deja espacio suficiente a la regulación de las Comunidades Autónomas competentes para, en su caso, establecer reglas especiales mediante las bases reguladoras de las concretas subvenciones (tanto sobre el carácter subvencionable de los gastos de amortización, como el de los diversos gastos a los que se refiere el apartado 7 del art. 31), no siendo función de este Tribunal, una vez constatado que el legislador estatal ha actuado dentro del margen que le confiere el referido título competencial, analizar si existen otras configuraciones posibles de la normativa estatal que pudieran dar más campo de actuación normativa a las Comunidades Autónomas.</w:t>
      </w:r>
    </w:p>
    <w:p w:rsidR="0026452D" w:rsidRDefault="0026452D" w:rsidP="0026452D">
      <w:pPr>
        <w:pStyle w:val="TextoNormal"/>
      </w:pPr>
    </w:p>
    <w:p w:rsidR="0026452D" w:rsidRDefault="0026452D" w:rsidP="0026452D">
      <w:pPr>
        <w:pStyle w:val="TextoNormal"/>
      </w:pPr>
      <w:r>
        <w:t>Igual carácter básico tiene, con idéntico fundamento, la configuración de los tributos como gasto subvencionable regulada en el apartado 8 del art. 31.</w:t>
      </w:r>
    </w:p>
    <w:p w:rsidR="0026452D" w:rsidRDefault="0026452D" w:rsidP="0026452D">
      <w:pPr>
        <w:pStyle w:val="TextoNormal"/>
      </w:pPr>
    </w:p>
    <w:p w:rsidR="0026452D" w:rsidRDefault="0026452D" w:rsidP="0026452D">
      <w:pPr>
        <w:pStyle w:val="TextoNormal"/>
      </w:pPr>
      <w:r>
        <w:t>En conclusión, procede desestimar la impugnación de los apartados 2, 3, 4, 5, 6, 7 y 8 del art. 31.</w:t>
      </w:r>
    </w:p>
    <w:p w:rsidR="0026452D" w:rsidRDefault="0026452D" w:rsidP="0026452D">
      <w:pPr>
        <w:pStyle w:val="TextoNormal"/>
      </w:pPr>
    </w:p>
    <w:p w:rsidR="0026452D" w:rsidRDefault="0026452D" w:rsidP="0026452D">
      <w:pPr>
        <w:pStyle w:val="TextoNormal"/>
      </w:pPr>
      <w:r w:rsidRPr="0026452D">
        <w:rPr>
          <w:rStyle w:val="NumeroAFNegritaCaracter"/>
        </w:rPr>
        <w:t>11</w:t>
      </w:r>
      <w:r>
        <w:t>. Del título II (“Del reintegro de las subvenciones”) solo ha sido impugnado el art. 37.1 d) y f), que establece lo siguiente:</w:t>
      </w:r>
    </w:p>
    <w:p w:rsidR="0026452D" w:rsidRDefault="0026452D" w:rsidP="0026452D">
      <w:pPr>
        <w:pStyle w:val="TextoNormal"/>
      </w:pPr>
    </w:p>
    <w:p w:rsidR="0026452D" w:rsidRDefault="0026452D" w:rsidP="0026452D">
      <w:pPr>
        <w:pStyle w:val="TextoNormal"/>
      </w:pPr>
      <w:r>
        <w:lastRenderedPageBreak/>
        <w:t>“1. También procederá el reintegro de las cantidades percibidas y la exigencia del interés de demora correspondiente desde el momento del pago de las subvención hasta la fecha en que se acuerde la procedencia del reintegro, en los siguientes casos:</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d) Incumplimiento de la obligación de adoptar las medidas de difusión contenidas en el apartado 4 del artículo 18 de esta ley.</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f) Incumplimiento de las obligaciones impuestas por la Administración a las entidades colaboradoras y beneficiarios, así como de los compromisos por éstos asumidos, con motivo de la concesión de la subvención, siempre que afecten o se refieran al modo en que se han de conseguir los objetivos, realizar la actividad, ejecutar el proyecto o adoptar el comportamiento que fundamenta la concesión de la subvención.”</w:t>
      </w:r>
    </w:p>
    <w:p w:rsidR="0026452D" w:rsidRDefault="0026452D" w:rsidP="0026452D">
      <w:pPr>
        <w:pStyle w:val="TextoNormal"/>
      </w:pPr>
    </w:p>
    <w:p w:rsidR="0026452D" w:rsidRDefault="0026452D" w:rsidP="0026452D">
      <w:pPr>
        <w:pStyle w:val="TextoNormal"/>
      </w:pPr>
      <w:r>
        <w:t>El Letrado de la Comunidad Autónoma de Aragón impugna el art. 37.1 d) por la conexión que tiene con los arts. 14.1 h) y 18.4, también impugnados. Respecto al art. 37.1 f) lo impugna porque considera que el Estado no puede imponer a las Comunidades Autónomas condiciones de otorgamiento en la subvención y tampoco puede, por tanto, determinar las consecuencias de su incumplimiento.</w:t>
      </w:r>
    </w:p>
    <w:p w:rsidR="0026452D" w:rsidRDefault="0026452D" w:rsidP="0026452D">
      <w:pPr>
        <w:pStyle w:val="TextoNormal"/>
      </w:pPr>
    </w:p>
    <w:p w:rsidR="0026452D" w:rsidRDefault="0026452D" w:rsidP="0026452D">
      <w:pPr>
        <w:pStyle w:val="TextoNormal"/>
      </w:pPr>
      <w:r>
        <w:t>Para el Abogado del Estado el precepto tiene carácter básico, porque considera que el reintegro de la subvención y sus causas son un elemento esencial de la relación jurídica subvencional, siendo posible que las Comunidades Autónomas desarrollen el precepto de modo más preciso.</w:t>
      </w:r>
    </w:p>
    <w:p w:rsidR="0026452D" w:rsidRDefault="0026452D" w:rsidP="0026452D">
      <w:pPr>
        <w:pStyle w:val="TextoNormal"/>
      </w:pPr>
    </w:p>
    <w:p w:rsidR="0026452D" w:rsidRDefault="0026452D" w:rsidP="0026452D">
      <w:pPr>
        <w:pStyle w:val="TextoNormal"/>
      </w:pPr>
      <w:r>
        <w:t>El art. 37.1 d) se impugna, pues, por la conexión que tiene con los arts. 14.1 h) y 18.4. Estos últimos se refieren, como vimos en su momento, a la obligación de los beneficiarios de dar publicidad al carácter público de la subvención a la que accedan; preceptos que hemos considerado que se incardinan legítimamente en las bases del régimen jurídico de las Administraciones públicas, por lo que igual carácter básico hemos de reconocer al art. 37.1 d) que regula los efectos del incumplimiento de las obligaciones de los beneficiarios (art. 149.1.18 CE).</w:t>
      </w:r>
    </w:p>
    <w:p w:rsidR="0026452D" w:rsidRDefault="0026452D" w:rsidP="0026452D">
      <w:pPr>
        <w:pStyle w:val="TextoNormal"/>
      </w:pPr>
    </w:p>
    <w:p w:rsidR="0026452D" w:rsidRDefault="0026452D" w:rsidP="0026452D">
      <w:pPr>
        <w:pStyle w:val="TextoNormal"/>
      </w:pPr>
      <w:r>
        <w:t xml:space="preserve">Por otra parte, la regulación de las causas de reintegro, esto es, de la obligación de los beneficiarios de devolver las cantidades percibidas al haberse extinguido su derecho a la subvención, implica también la configuración, correlativa, de un derecho de crédito a favor de las haciendas públicas y, por tanto, esta regulación constituye una regla común de las mismas para cuyo establecimiento el Estado cuenta con competencia exclusiva </w:t>
      </w:r>
      <w:r w:rsidRPr="0026452D">
        <w:rPr>
          <w:i/>
        </w:rPr>
        <w:t>ex</w:t>
      </w:r>
      <w:r>
        <w:t xml:space="preserve"> art. 149.1.14 CE.</w:t>
      </w:r>
    </w:p>
    <w:p w:rsidR="0026452D" w:rsidRDefault="0026452D" w:rsidP="0026452D">
      <w:pPr>
        <w:pStyle w:val="TextoNormal"/>
      </w:pPr>
    </w:p>
    <w:p w:rsidR="0026452D" w:rsidRDefault="0026452D" w:rsidP="0026452D">
      <w:pPr>
        <w:pStyle w:val="TextoNormal"/>
      </w:pPr>
      <w:r>
        <w:t>En cuanto al art. 37.1 f), puesto que Letrado de la Comunidad Autónoma de Aragón entiende que la Ley estatal no puede establecer las obligaciones de los beneficiarios de las subvenciones, rechaza también que este precepto pueda determinar, con carácter general, que el incumplimiento de dichas obligaciones por parte de aquellos conlleve el reintegro de las subvenciones.</w:t>
      </w:r>
    </w:p>
    <w:p w:rsidR="0026452D" w:rsidRDefault="0026452D" w:rsidP="0026452D">
      <w:pPr>
        <w:pStyle w:val="TextoNormal"/>
      </w:pPr>
    </w:p>
    <w:p w:rsidR="0026452D" w:rsidRDefault="0026452D" w:rsidP="0026452D">
      <w:pPr>
        <w:pStyle w:val="TextoNormal"/>
      </w:pPr>
      <w:r>
        <w:t>Ahora bien, debe tenerse en cuenta que la representación procesal autonómica solo ha impugnado, de entre todas las obligaciones impuestas por la Ley 38/2003 a los beneficiarios de las subvenciones, las fijadas por el art. 14.1 e) y h), obligaciones que hemos considerado básicas. En consecuencia, la impugnación de un precepto como el art. 37.1 f), que guarda conexión con otros preceptos de la Ley 38/2003 que no han sido impugnados, no puede ser atendida, pues no se ha aportado a este Tribunal por el Gobierno recurrente la fundamentación necesaria respecto de los preceptos concretos con los que se relaciona la impugnación de la regulación general contenida en el art. 37.1 f).</w:t>
      </w:r>
    </w:p>
    <w:p w:rsidR="0026452D" w:rsidRDefault="0026452D" w:rsidP="0026452D">
      <w:pPr>
        <w:pStyle w:val="TextoNormal"/>
      </w:pPr>
    </w:p>
    <w:p w:rsidR="0026452D" w:rsidRDefault="0026452D" w:rsidP="0026452D">
      <w:pPr>
        <w:pStyle w:val="TextoNormal"/>
      </w:pPr>
      <w:r>
        <w:t>En conclusión, procede desestimar la impugnación del art. 37.1 d) y f).</w:t>
      </w:r>
    </w:p>
    <w:p w:rsidR="0026452D" w:rsidRDefault="0026452D" w:rsidP="0026452D">
      <w:pPr>
        <w:pStyle w:val="TextoNormal"/>
      </w:pPr>
    </w:p>
    <w:p w:rsidR="0026452D" w:rsidRDefault="0026452D" w:rsidP="0026452D">
      <w:pPr>
        <w:pStyle w:val="TextoNormal"/>
      </w:pPr>
      <w:r w:rsidRPr="0026452D">
        <w:rPr>
          <w:rStyle w:val="NumeroAFNegritaCaracter"/>
        </w:rPr>
        <w:t>12</w:t>
      </w:r>
      <w:r>
        <w:t>. Del título III (“Del control financiero de las subvenciones”) es objeto de la impugnación el art. 45.2, letra c) del tercer párrafo, que dispone lo siguiente:</w:t>
      </w:r>
    </w:p>
    <w:p w:rsidR="0026452D" w:rsidRDefault="0026452D" w:rsidP="0026452D">
      <w:pPr>
        <w:pStyle w:val="TextoNormal"/>
      </w:pPr>
    </w:p>
    <w:p w:rsidR="0026452D" w:rsidRDefault="0026452D" w:rsidP="0026452D">
      <w:pPr>
        <w:pStyle w:val="TextoNormal"/>
      </w:pPr>
      <w:r>
        <w:t>“Art. 45.</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2. En las ayudas financiadas por el Fondo Europeo de Orientación y de Garantía Agraria, la Intervención General de la Administración del Estado realizará los cometidos asignados al servicio específico contemplado en el art. 11 del Reglamento (CEE) nº 4045/89 del Consejo de las Comunidades Europeas, de 21 de diciembre de 1989, relativo a los controles, por los Estados miembros, de las operaciones comprendidas en el sistema de financiación por el Fondo Europeo de Orientación y Garantía Agraria (FEOGA), sección Garantía.</w:t>
      </w:r>
    </w:p>
    <w:p w:rsidR="0026452D" w:rsidRDefault="0026452D" w:rsidP="0026452D">
      <w:pPr>
        <w:pStyle w:val="TextoNormal"/>
      </w:pPr>
    </w:p>
    <w:p w:rsidR="0026452D" w:rsidRDefault="0026452D" w:rsidP="0026452D">
      <w:pPr>
        <w:pStyle w:val="TextoNormal"/>
      </w:pPr>
      <w:r>
        <w:t>Los controles previstos en el Reglamento (CEE) nº 4045/89 serán realizados, de acuerdo con sus respectivas competencias, por los siguientes órganos y entidades de ámbito nacional y autonómico:</w:t>
      </w:r>
    </w:p>
    <w:p w:rsidR="0026452D" w:rsidRDefault="0026452D" w:rsidP="0026452D">
      <w:pPr>
        <w:pStyle w:val="TextoNormal"/>
      </w:pPr>
    </w:p>
    <w:p w:rsidR="0026452D" w:rsidRDefault="0026452D" w:rsidP="0026452D">
      <w:pPr>
        <w:pStyle w:val="TextoNormal"/>
      </w:pPr>
      <w:r>
        <w:t>a) La Agencia Estatal de Administración Tributaria.</w:t>
      </w:r>
    </w:p>
    <w:p w:rsidR="0026452D" w:rsidRDefault="0026452D" w:rsidP="0026452D">
      <w:pPr>
        <w:pStyle w:val="TextoNormal"/>
      </w:pPr>
    </w:p>
    <w:p w:rsidR="0026452D" w:rsidRDefault="0026452D" w:rsidP="0026452D">
      <w:pPr>
        <w:pStyle w:val="TextoNormal"/>
      </w:pPr>
      <w:r>
        <w:t>b) Los órganos de control interno de las Administraciones de las Comunidades Autónomas.</w:t>
      </w:r>
    </w:p>
    <w:p w:rsidR="0026452D" w:rsidRDefault="0026452D" w:rsidP="0026452D">
      <w:pPr>
        <w:pStyle w:val="TextoNormal"/>
      </w:pPr>
    </w:p>
    <w:p w:rsidR="0026452D" w:rsidRDefault="0026452D" w:rsidP="0026452D">
      <w:pPr>
        <w:pStyle w:val="TextoNormal"/>
      </w:pPr>
      <w:r>
        <w:t>La Intervención General de la Administración del Estado, como servicio específico para la aplicación del referido Reglamento:</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c) Efectuará los controles previstos en el plan anual cuando razones de orden territorial o de otra índole así lo aconsejen.”</w:t>
      </w:r>
    </w:p>
    <w:p w:rsidR="0026452D" w:rsidRDefault="0026452D" w:rsidP="0026452D">
      <w:pPr>
        <w:pStyle w:val="TextoNormal"/>
      </w:pPr>
    </w:p>
    <w:p w:rsidR="0026452D" w:rsidRDefault="0026452D" w:rsidP="0026452D">
      <w:pPr>
        <w:pStyle w:val="TextoNormal"/>
      </w:pPr>
      <w:r>
        <w:t xml:space="preserve">Para el Letrado de la Comunidad Autónoma de Aragón, aunque cabría admitir que la competencia básica que ostenta el Estado en la materia </w:t>
      </w:r>
      <w:r w:rsidRPr="0026452D">
        <w:rPr>
          <w:i/>
        </w:rPr>
        <w:t>ex</w:t>
      </w:r>
      <w:r>
        <w:t xml:space="preserve"> art. 149.1.13 CE pueda excepcionalmente incluir competencias ejecutivas, sucede que el precepto impugnado, al habilitar a la Intervención General de la Administración del Estado para realizar un control “por razo</w:t>
      </w:r>
      <w:r>
        <w:lastRenderedPageBreak/>
        <w:t>nes de índole territorial o de otra índole”, prevé un control de carácter genérico e indeterminado sobre las ayudas financiadas con fondos comunitarios, que invade las competencias autonómicas y ha de reputarse por ello inconstitucional.</w:t>
      </w:r>
    </w:p>
    <w:p w:rsidR="0026452D" w:rsidRDefault="0026452D" w:rsidP="0026452D">
      <w:pPr>
        <w:pStyle w:val="TextoNormal"/>
      </w:pPr>
    </w:p>
    <w:p w:rsidR="0026452D" w:rsidRDefault="0026452D" w:rsidP="0026452D">
      <w:pPr>
        <w:pStyle w:val="TextoNormal"/>
      </w:pPr>
      <w:r>
        <w:t>Para el Abogado del Estado, esta impugnación tiene carácter preventivo, debiendo aceptarse que puede tratarse de controles que formen parte de la función de coordinación prevista en el plan anual, en cuya elaboración participan las Comunidades Autónomas.</w:t>
      </w:r>
    </w:p>
    <w:p w:rsidR="0026452D" w:rsidRDefault="0026452D" w:rsidP="0026452D">
      <w:pPr>
        <w:pStyle w:val="TextoNormal"/>
      </w:pPr>
    </w:p>
    <w:p w:rsidR="0026452D" w:rsidRDefault="0026452D" w:rsidP="0026452D">
      <w:pPr>
        <w:pStyle w:val="TextoNormal"/>
      </w:pPr>
      <w:r>
        <w:t xml:space="preserve">En el precedente fundamento jurídico 8, con ocasión del examen realizado de la impugnación del art. 7.2 y 3 de la Ley 38/2003, recordamos la doctrina contenida en la STC 79/1992, FJ 5, según la cual y en relación con las subvenciones financiadas con fondos comunitarios “[la] responsabilidad </w:t>
      </w:r>
      <w:r w:rsidRPr="0026452D">
        <w:rPr>
          <w:i/>
        </w:rPr>
        <w:t>ad extra</w:t>
      </w:r>
      <w:r>
        <w:t xml:space="preserve"> de la Administración del Estado por la existencia de negligencias imputables a las Comunidades no justifica la asunción de una competencia que no le corresponde”, en alusión al establecimiento por el Estado de controles no previstos en la Constitución respecto de las Comunidades Autónomas. Partiendo de este criterio, procederemos al examen de la impugnación del art. 45.2, letra c) del tercer párrafo.</w:t>
      </w:r>
    </w:p>
    <w:p w:rsidR="0026452D" w:rsidRDefault="0026452D" w:rsidP="0026452D">
      <w:pPr>
        <w:pStyle w:val="TextoNormal"/>
      </w:pPr>
    </w:p>
    <w:p w:rsidR="0026452D" w:rsidRDefault="0026452D" w:rsidP="0026452D">
      <w:pPr>
        <w:pStyle w:val="TextoNormal"/>
      </w:pPr>
      <w:r>
        <w:t>En dicho precepto se dispone que los controles previstos en el Reglamento (CEE) 4045/1989 se realizarán por la Agencia Estatal de la Administración Tributaria y por los órganos de control interno de las Comunidades Autónomas “de acuerdo con sus respectivas competencias”, criterio que no pone en cuestión las competencias autonómicas sobre las subvenciones que gestione.</w:t>
      </w:r>
    </w:p>
    <w:p w:rsidR="0026452D" w:rsidRDefault="0026452D" w:rsidP="0026452D">
      <w:pPr>
        <w:pStyle w:val="TextoNormal"/>
      </w:pPr>
    </w:p>
    <w:p w:rsidR="0026452D" w:rsidRDefault="0026452D" w:rsidP="0026452D">
      <w:pPr>
        <w:pStyle w:val="TextoNormal"/>
      </w:pPr>
      <w:r>
        <w:t>En cuanto a los controles que el precepto atribuye a la Intervención General de la Administración del Estado, que centran el reproche dirigido al precepto, debemos partir de los criterios sentados en nuestra doctrina [SSTC 201/1988, de 27 de octubre, FJ 4; 186/1999, de 14 de octubre, FJ 11 i); y 190/2000, de 13 de julio, FJ 11], que excluye, precisamente, que la Intervención General de la Administración del Estado pueda fiscalizar las subvenciones gestionadas por las Comunidades Autónomas, pues “el control financiero de los beneficiarios de las subvenciones sólo corresponde a los órganos competentes de la Generalidad de Cataluña. Ya hemos declarado que el establecimiento de normas de control de la gestión autonómica de las subvenciones debe ... considerarse un control exorbitante que invade la autonomía financiera de la Generalidad, excepto en lo que se refiere a la obligación de informar al final de cada ejercicio, pues esta previsión, además de ser conforme con los principios de colaboración, solidaridad y lealtad constitucional, no crea obstáculo alguno al ejercicio de las competencias autonómicas (STC 201/1988, de 27 de octubre, FJ 4)” (STC 190/2000, FJ 11). A continuación, en la misma Sentencia afirmamos que “este criterio de información posterior es el único reconocido en el art. 153.2.8 de la Ley General Presupuestaria, mientras que el control financiero de la Intervención General del Estado sólo es propio de las subvenciones que corresponda gestionar al Estado” (STC 190/2000, FJ 11).</w:t>
      </w:r>
    </w:p>
    <w:p w:rsidR="0026452D" w:rsidRDefault="0026452D" w:rsidP="0026452D">
      <w:pPr>
        <w:pStyle w:val="TextoNormal"/>
      </w:pPr>
    </w:p>
    <w:p w:rsidR="0026452D" w:rsidRDefault="0026452D" w:rsidP="0026452D">
      <w:pPr>
        <w:pStyle w:val="TextoNormal"/>
      </w:pPr>
      <w:r>
        <w:t>La vigente la Ley 47/2003, de 26 de noviembre, general presupuestaria, mantiene similares criterios en este punto a los contenidos en la Ley general presupuestaria de 1988 (que fue la norma considerada por la citada STC 190/2000), según pone de relieve su art. 86 (equivalente al anterior art. 153 de la Ley de 1988), específicamente en su apartado 2, regla sexta, que se refiere al deber de las Comunidades Autónomas de informar al Estado sobre la ejecución del ejercicio en lo relativo a las subvenciones gestionadas por ellas, que se producirá “al final del ejercicio económico” con el alcance allí fijado.</w:t>
      </w:r>
    </w:p>
    <w:p w:rsidR="0026452D" w:rsidRDefault="0026452D" w:rsidP="0026452D">
      <w:pPr>
        <w:pStyle w:val="TextoNormal"/>
      </w:pPr>
    </w:p>
    <w:p w:rsidR="0026452D" w:rsidRDefault="0026452D" w:rsidP="0026452D">
      <w:pPr>
        <w:pStyle w:val="TextoNormal"/>
      </w:pPr>
      <w:r>
        <w:t>Teniendo en cuenta lo anterior, podemos seguir avanzando en el examen de la impugnación del art. 45.2, letra c) del tercer párrafo, de la Ley 38/2003, valorando las atribuciones de la Intervención General de la Administración del Estado que se cuestionan, en concreto, la de que “efectuará los controles previstos en el plan anual cuando razones de orden territorial o de otra índole así lo aconsejen”.</w:t>
      </w:r>
    </w:p>
    <w:p w:rsidR="0026452D" w:rsidRDefault="0026452D" w:rsidP="0026452D">
      <w:pPr>
        <w:pStyle w:val="TextoNormal"/>
      </w:pPr>
    </w:p>
    <w:p w:rsidR="0026452D" w:rsidRDefault="0026452D" w:rsidP="0026452D">
      <w:pPr>
        <w:pStyle w:val="TextoNormal"/>
      </w:pPr>
      <w:r>
        <w:t>Pues bien, “los controles previstos en el plan anual” son los determinados, como el propio precepto impugnado establece, en el art. 10 del Reglamento (CEE) 4045/1989, del Consejo, de 21 de diciembre de 1989. Importa señalar que este Reglamento (CEE) ha sido derogado y sustituido por el Reglamento (CE) 485/2008, del Consejo, de 26 de mayo de 2008, relativo a los controles, por los Estados miembros, de las operaciones comprendidas en el sistema de financiación por el Fondo Europeo Agrícola de Garantía (FEOGA). Este Reglamento (CE) también contempla los controles a realizar por los Estados a los sujetos (“empresas”, según su art. 1) que reciban o realicen pagos provenientes del FEOGA, controles de periodicidad anual (art. 2.7). A los efectos de nuestro enjuiciamiento, interesa apreciar el alcance que tiene el art. 11 del Reglamento (CE) 485/2008 del Consejo, que configura el sistema de control que debe establecer cada Estado miembro. Dicho art. 11 dispone:</w:t>
      </w:r>
    </w:p>
    <w:p w:rsidR="0026452D" w:rsidRDefault="0026452D" w:rsidP="0026452D">
      <w:pPr>
        <w:pStyle w:val="TextoNormal"/>
      </w:pPr>
    </w:p>
    <w:p w:rsidR="0026452D" w:rsidRDefault="0026452D" w:rsidP="0026452D">
      <w:pPr>
        <w:pStyle w:val="TextoNormal"/>
      </w:pPr>
      <w:r>
        <w:t>“1. En cada Estado miembro, un servicio específico estará encargado de vigilar la aplicación del presente Reglamento y:</w:t>
      </w:r>
    </w:p>
    <w:p w:rsidR="0026452D" w:rsidRDefault="0026452D" w:rsidP="0026452D">
      <w:pPr>
        <w:pStyle w:val="TextoNormal"/>
      </w:pPr>
    </w:p>
    <w:p w:rsidR="0026452D" w:rsidRDefault="0026452D" w:rsidP="0026452D">
      <w:pPr>
        <w:pStyle w:val="TextoNormal"/>
      </w:pPr>
      <w:r>
        <w:t>a) llevar a cabo los controles previstos en él a través de agentes que dependen directamente de dicho servicio específico, o</w:t>
      </w:r>
    </w:p>
    <w:p w:rsidR="0026452D" w:rsidRDefault="0026452D" w:rsidP="0026452D">
      <w:pPr>
        <w:pStyle w:val="TextoNormal"/>
      </w:pPr>
    </w:p>
    <w:p w:rsidR="0026452D" w:rsidRDefault="0026452D" w:rsidP="0026452D">
      <w:pPr>
        <w:pStyle w:val="TextoNormal"/>
      </w:pPr>
      <w:r>
        <w:t>b) coordinar los controles efectuados por agentes que dependan de otros servicios.</w:t>
      </w:r>
    </w:p>
    <w:p w:rsidR="0026452D" w:rsidRDefault="0026452D" w:rsidP="0026452D">
      <w:pPr>
        <w:pStyle w:val="TextoNormal"/>
      </w:pPr>
    </w:p>
    <w:p w:rsidR="0026452D" w:rsidRDefault="0026452D" w:rsidP="0026452D">
      <w:pPr>
        <w:pStyle w:val="TextoNormal"/>
      </w:pPr>
      <w:r>
        <w:t>Los Estados miembros podrán asimismo establecer que los controles que se ejecuten en aplicación del presente Reglamento se repartan entre el servicio específico y otros servicios nacionales, siempre que aquél asegure la coordinación.”</w:t>
      </w:r>
    </w:p>
    <w:p w:rsidR="0026452D" w:rsidRDefault="0026452D" w:rsidP="0026452D">
      <w:pPr>
        <w:pStyle w:val="TextoNormal"/>
      </w:pPr>
    </w:p>
    <w:p w:rsidR="0026452D" w:rsidRDefault="0026452D" w:rsidP="0026452D">
      <w:pPr>
        <w:pStyle w:val="TextoNormal"/>
      </w:pPr>
      <w:r>
        <w:t xml:space="preserve">La proyección de este precepto en nuestro orden interno ha de realizarse teniendo en cuenta que, según nuestra reiterada doctrina, la conexión comunitaria de cualquier regulación normativa no altera el reparto competencial propio de la materia correspondiente, que en este caso es la de agricultura, materia en la que el Estado puede dictar normas de ordenación del sector (art. 149.1.13 CE), habiendo asumido la Comunidad Autónoma de Aragón la competencia exclusiva (art. 71.17 del Estatuto de Autonomía de 2007). Pues bien, tres notas han de ser destacadas en este art. 11 del Reglamento (CE) 485/2008. En primer lugar, que su encabezamiento exige a los Estados miembros la existencia de “un servicio específico [que] estará encargado de vigilar la aplicación del presente Reglamento”. En segundo lugar, que dicho “servicio específico” puede, o bien “llevar a cabo los controles … a través de agentes que dependen directamente de dicho servicio específico”, o bien “coordinar los controles efectuados por agentes que dependan de otros servicios”. Y, en tercer lugar que, en todo caso, el “servicio específico” ha de asegurar “siempre” la coordinación de los controles que se realicen, en cualquiera de las modalidades previstas en cada Estado miembro. Es claro, por tanto, que el Reglamento (CE) 485/2008 se muestra respetuoso con el principio </w:t>
      </w:r>
      <w:r>
        <w:lastRenderedPageBreak/>
        <w:t>de autonomía institucional de los Estados miembros, siempre que exista un “servicio específico” que, sean cuales fueren los sistemas de control sustantivo, los coordine y se haga responsable ante los órganos comunitarios.</w:t>
      </w:r>
    </w:p>
    <w:p w:rsidR="0026452D" w:rsidRDefault="0026452D" w:rsidP="0026452D">
      <w:pPr>
        <w:pStyle w:val="TextoNormal"/>
      </w:pPr>
    </w:p>
    <w:p w:rsidR="0026452D" w:rsidRDefault="0026452D" w:rsidP="0026452D">
      <w:pPr>
        <w:pStyle w:val="TextoNormal"/>
      </w:pPr>
      <w:r>
        <w:t>Volviendo al precepto impugnado, se constata que el párrafo segundo del apartado 2 del art. 45.2 de la Ley 38/2003 dispone que “los controles previstos en el Reglamento (CEE) nº 4045/89 [hoy, Reglamento (CE) 485/2008] serán realizados, de acuerdo con sus respectivas competencias”, por los órganos y entidades de ámbito nacional y autonómico que señala (respectivamente, la Agencia Estatal de Administración Tributaria y los órganos de control interno de las Comunidades Autónomas), previsión normativa que ningún reparo de constitucionalidad suscita. A continuación, el art. 45.2 precisa en su párrafo tercero que la Intervención General de la Administración del Estado actuará como “servicio específico” para la aplicación del referido reglamento comunitario, aspecto éste que responde perfectamente a la interlocución única con las instituciones de la Unión Europea y a la competencia del Estado en materia de ordenación económica del sector agrario (art. 149.1.13 CE), puesto que, como hemos visto, el servicio específico tiene atribuidas en todo caso funciones de coordinación según la normativa comunitaria y dichas funciones de coordinación son también propias de la competencia estatal implicada.</w:t>
      </w:r>
    </w:p>
    <w:p w:rsidR="0026452D" w:rsidRDefault="0026452D" w:rsidP="0026452D">
      <w:pPr>
        <w:pStyle w:val="TextoNormal"/>
      </w:pPr>
    </w:p>
    <w:p w:rsidR="0026452D" w:rsidRDefault="0026452D" w:rsidP="0026452D">
      <w:pPr>
        <w:pStyle w:val="TextoNormal"/>
      </w:pPr>
      <w:r>
        <w:t>La controvertida letra c) del párrafo tercero del art. 45.2 prevé que la Intervención General de la Administración del Estado, además de la función de coordinación de toda la actividad de control de las subvenciones, pueda realizar también funciones específicas de control “cuando razones de orden territorial o de otra índole así lo aconsejen”.</w:t>
      </w:r>
    </w:p>
    <w:p w:rsidR="0026452D" w:rsidRDefault="0026452D" w:rsidP="0026452D">
      <w:pPr>
        <w:pStyle w:val="TextoNormal"/>
      </w:pPr>
    </w:p>
    <w:p w:rsidR="0026452D" w:rsidRDefault="0026452D" w:rsidP="0026452D">
      <w:pPr>
        <w:pStyle w:val="TextoNormal"/>
      </w:pPr>
      <w:r>
        <w:t>Los supuestos que habilitan para prever un control de la Intervención General de la Administración del Estado están concebidos, pues, ciertamente de forma genérica o indeterminada, pero su concreción queda remitida al plan anual y cabe, como ha señalado el Abogado del Estado, que en esa concreción se prevean controles que sean acordes con la distribución constitucional de competencia y con la doctrina ya establecida por este Tribunal a partir de la STC 13/1992. Es posible que se establezca un gestión centralizada y, por tanto, un control estatal en supuestos en los que concurran elementos de supraterritorialidad sin que sea posible fijar un punto de conexión o que esa centralización esté justificada porque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[STC 13/1998, FJ 8, supuesto d)]. Por otra parte, la eventual invasión competencial se produciría por el contenido concreto del plan anual, pudiendo ser entonces objeto de control por este Tribunal. Así interpretado lo dispuesto en la letra c) del párrafo tercero del art. 45.2 de la Ley 38/2003, no se aprecia en esta regulación la invasión de la competencia de la Comunidad Autónoma de Aragón alegada en la demanda. Esta interpretación de conformidad se llevará al fallo.</w:t>
      </w:r>
    </w:p>
    <w:p w:rsidR="0026452D" w:rsidRDefault="0026452D" w:rsidP="0026452D">
      <w:pPr>
        <w:pStyle w:val="TextoNormal"/>
      </w:pPr>
    </w:p>
    <w:p w:rsidR="0026452D" w:rsidRDefault="0026452D" w:rsidP="0026452D">
      <w:pPr>
        <w:pStyle w:val="TextoNormal"/>
      </w:pPr>
      <w:r w:rsidRPr="0026452D">
        <w:rPr>
          <w:rStyle w:val="NumeroAFNegritaCaracter"/>
        </w:rPr>
        <w:t>13</w:t>
      </w:r>
      <w:r>
        <w:t>. Del título IV de la Ley 38/2003 (“Infracciones y sanciones administrativas en materia de subvenciones”) se impugnan sus arts. 56, 57 e), 58 d) y 67.2 y 3. Respecto de todos estos preceptos las partes plantean sus respectivas posiciones desde orientaciones diferentes.</w:t>
      </w:r>
    </w:p>
    <w:p w:rsidR="0026452D" w:rsidRDefault="0026452D" w:rsidP="0026452D">
      <w:pPr>
        <w:pStyle w:val="TextoNormal"/>
      </w:pPr>
    </w:p>
    <w:p w:rsidR="0026452D" w:rsidRDefault="0026452D" w:rsidP="0026452D">
      <w:pPr>
        <w:pStyle w:val="TextoNormal"/>
      </w:pPr>
      <w:r>
        <w:lastRenderedPageBreak/>
        <w:t>Para el Letrado de la Comunidad Autónoma de Aragón, la doctrina del Tribunal Constitucional indica que las Comunidades Autónomas pueden establecer un régimen sancionador propio en aquellas materias en las que dispongan de competencias legislativas, respetando la normativa estatal básica y sin introducir divergencias irrazonables y desproporcionadas respecto de otras partes del territorio nacional. Por tanto, la normativa estatal debe consistir en una mínima regulación común que no impida la intervención de las Comunidades Autónomas en la determinación de los tipos o en la fijación de las correspondientes sanciones, requisito que incumplen los preceptos impugnados, que se adentran en una indebida regulación de detalle. En cuanto al procedimiento sancionador reitera el representante procesal del Gobierno de Aragón que el Estado no tiene competencia para establecer el procedimiento sancionador en las subvenciones, sino que solo la tiene para establecer el procedimiento administrativo común, citando en apoyo de su criterio el dato de que el Real Decreto 1398/1993, de 3 de agosto, que regula el ejercicio de la potestad sancionadora, únicamente predica su aplicación en aquellas materias en las que el Estado tiene competencia normativa plena.</w:t>
      </w:r>
    </w:p>
    <w:p w:rsidR="0026452D" w:rsidRDefault="0026452D" w:rsidP="0026452D">
      <w:pPr>
        <w:pStyle w:val="TextoNormal"/>
      </w:pPr>
    </w:p>
    <w:p w:rsidR="0026452D" w:rsidRDefault="0026452D" w:rsidP="0026452D">
      <w:pPr>
        <w:pStyle w:val="TextoNormal"/>
      </w:pPr>
      <w:r>
        <w:t>Para el Abogado del Estado, el Estado tiene competencia para regular con carácter básico y con apoyo también en el art. 149.1.1 CE los tipos de los ilícitos administrativos, los criterios para la calificación de su gravedad y los límites máximos y mínimos de las correspondientes sanciones, sin perjuicio de las competencias que las Comunidades Autónomas para desarrollar este marco.</w:t>
      </w:r>
    </w:p>
    <w:p w:rsidR="0026452D" w:rsidRDefault="0026452D" w:rsidP="0026452D">
      <w:pPr>
        <w:pStyle w:val="TextoNormal"/>
      </w:pPr>
    </w:p>
    <w:p w:rsidR="0026452D" w:rsidRDefault="0026452D" w:rsidP="0026452D">
      <w:pPr>
        <w:pStyle w:val="TextoNormal"/>
      </w:pPr>
      <w:r>
        <w:t>En respuesta a la cuestión planteada debemos comenzar recordando que la doctrina de este Tribunal en relación con las infracciones y sanciones ha reiterado la conexión existente entre la competencia sobre la materia específica de que se trate y la competencia para establecer el régimen sancionador propio de dicha materia. De esta manera, la competencia del Estado para regular el régimen sancionador en una materia determinada tendrá el alcance que tenga su competencia normativa —básica o de legislación plena— en dicha materia. Correlativamente, “las Comunidades Autónomas pueden adoptar normas administrativas sancionadoras cuando, teniendo competencia sobre la materia sustantiva de que se trate, tales disposiciones se acomoden a las garantías constitucionales dispuestas en este ámbito del derecho sancionador (art. 25.1 CE, básicamente), y no introduzcan divergencias irrazonables y desproporcionadas al fin perseguido respecto del régimen jurídico aplicable en otras partes del territorio (art. 149.1.1)” (STC 87/1985, de 16 de julio, FJ 8). Por otra parte, el art. 149.1.1 CE opera como un límite específico y excepcional, que tiene por finalidad asegurar la igualdad en el ejercicio de derechos y el cumplimiento de deberes constitucionales, debiendo concurrir dos condiciones para que entre en juego: “en primer lugar, la existencia de un esquema sancionatorio estatal, que afecte a estos derechos y deberes constitucionales, y, en segundo lugar, que la normativa sancionadora autonómica suponga una divergencia cualitativa sustancial respecto a esa normativa sancionadora estatal que produzca una ruptura de la unidad en lo fundamental del esquema sancionatorio que pueda calificarse además de irrazonable y desproporcionada al fin perseguido por la norma autonómica” (STC 136/1991, FJ 1).</w:t>
      </w:r>
    </w:p>
    <w:p w:rsidR="0026452D" w:rsidRDefault="0026452D" w:rsidP="0026452D">
      <w:pPr>
        <w:pStyle w:val="TextoNormal"/>
      </w:pPr>
    </w:p>
    <w:p w:rsidR="0026452D" w:rsidRDefault="0026452D" w:rsidP="0026452D">
      <w:pPr>
        <w:pStyle w:val="TextoNormal"/>
      </w:pPr>
      <w:r>
        <w:t xml:space="preserve">Puesto que en el presente recurso no se está enjuiciando la existencia de una posible divergencia de la normativa sancionadora autonómica respecto a la normativa sancionadora estatal, sino la cobertura competencial de la regulación estatal establecida en la Ley 38/2003, general de subvenciones, la doctrina aplicable es la que dispone que la competencia del </w:t>
      </w:r>
      <w:r>
        <w:lastRenderedPageBreak/>
        <w:t>Estado para establecer el régimen básico o completo de las infracciones y sanciones dependerá del alcance de las competencias que ostente para regular los aspectos sustantivos de la materia. Ahora bien, puesto que, como ya hemos advertido, la subvención no es una materia a efectos de reparto competencial, la competencia del Estado para regular las infracciones o sanciones ha de sustentarse en alguno de los títulos concurrentes (reglas 13, 14 y 18 del art. 149.1 CE) que amparan la Ley 38/2003, por lo que las infracciones y sanciones concretas que se prevean sólo serán constitucionalmente legítimas si encuentran conexión precisa con preceptos sustantivos que, efectivamente, tengan tal cobertura.</w:t>
      </w:r>
    </w:p>
    <w:p w:rsidR="0026452D" w:rsidRDefault="0026452D" w:rsidP="0026452D">
      <w:pPr>
        <w:pStyle w:val="TextoNormal"/>
      </w:pPr>
    </w:p>
    <w:p w:rsidR="0026452D" w:rsidRDefault="0026452D" w:rsidP="0026452D">
      <w:pPr>
        <w:pStyle w:val="TextoNormal"/>
      </w:pPr>
      <w:r>
        <w:t xml:space="preserve">En cuanto al procedimiento sancionador, cabe aplicar aquí la argumentación desarrollada en el fundamento jurídico 9 de la presente Sentencia respecto al alcance de la competencia estatal sobre el procedimiento administrativo común (art. 149.1.18 CE), de acuerdo con la cual esta competencia habilita al Estado para regular procedimientos administrativos singulares en función del tipo de actividad administrativa desplegada (actividad de subvención, actividad sancionadora…) cuando por las peculiaridades de la misma sea preciso una regulación modulada tanto del </w:t>
      </w:r>
      <w:r w:rsidRPr="0026452D">
        <w:rPr>
          <w:i/>
        </w:rPr>
        <w:t>iter</w:t>
      </w:r>
      <w:r>
        <w:t xml:space="preserve"> procedimental como de otros aspectos (requisitos de validez, de eficacia…) que, de acuerdo con la doctrina constitucional, se incardinan en el concepto de procedimiento administrativo común.</w:t>
      </w:r>
    </w:p>
    <w:p w:rsidR="0026452D" w:rsidRDefault="0026452D" w:rsidP="0026452D">
      <w:pPr>
        <w:pStyle w:val="TextoNormal"/>
      </w:pPr>
    </w:p>
    <w:p w:rsidR="0026452D" w:rsidRDefault="0026452D" w:rsidP="0026452D">
      <w:pPr>
        <w:pStyle w:val="TextoNormal"/>
      </w:pPr>
      <w:r>
        <w:t xml:space="preserve">El procedimiento sancionador común para el ámbito subvencional regulado desde una perspectiva general o abstracta no es un procedimiento especial </w:t>
      </w:r>
      <w:r w:rsidRPr="0026452D">
        <w:rPr>
          <w:i/>
        </w:rPr>
        <w:t>ratione materiae</w:t>
      </w:r>
      <w:r>
        <w:t xml:space="preserve"> porque prescinde de toda previsión específica que atienda a las características de un determinado sector o materia (agricultura, urbanismo, asistencia social…) y responde única y exclusivamente a las singularidades de un determinado tipo de la actividad de las Administraciones Públicas. No obstante, la legitimidad de la regulación concreta que se lleve a cabo dependerá del alcance de la misma y de si ese alcance encuentra o no amparo en los títulos que ostenta el Estado </w:t>
      </w:r>
      <w:r w:rsidRPr="0026452D">
        <w:rPr>
          <w:i/>
        </w:rPr>
        <w:t>ex</w:t>
      </w:r>
      <w:r>
        <w:t xml:space="preserve"> arts. 149.1.13, 149.1.18 o 149.1.14 CE, según proceda.</w:t>
      </w:r>
    </w:p>
    <w:p w:rsidR="0026452D" w:rsidRDefault="0026452D" w:rsidP="0026452D">
      <w:pPr>
        <w:pStyle w:val="TextoNormal"/>
      </w:pPr>
    </w:p>
    <w:p w:rsidR="0026452D" w:rsidRDefault="0026452D" w:rsidP="0026452D">
      <w:pPr>
        <w:pStyle w:val="TextoNormal"/>
      </w:pPr>
      <w:r>
        <w:t>De acuerdo con lo indicado, podemos abordar el enjuiciamiento de los preceptos impugnados.</w:t>
      </w:r>
    </w:p>
    <w:p w:rsidR="0026452D" w:rsidRDefault="0026452D" w:rsidP="0026452D">
      <w:pPr>
        <w:pStyle w:val="TextoNormal"/>
      </w:pPr>
    </w:p>
    <w:p w:rsidR="0026452D" w:rsidRDefault="0026452D" w:rsidP="0026452D">
      <w:pPr>
        <w:pStyle w:val="TextoNormal"/>
      </w:pPr>
      <w:r>
        <w:t>a) El art. 56 dispone lo siguiente:</w:t>
      </w:r>
    </w:p>
    <w:p w:rsidR="0026452D" w:rsidRDefault="0026452D" w:rsidP="0026452D">
      <w:pPr>
        <w:pStyle w:val="TextoNormal"/>
      </w:pPr>
    </w:p>
    <w:p w:rsidR="0026452D" w:rsidRDefault="0026452D" w:rsidP="0026452D">
      <w:pPr>
        <w:pStyle w:val="TextoNormal"/>
      </w:pPr>
      <w:r>
        <w:t>“Constituyen infracciones leves los incumplimientos de las obligaciones recogidas en esta ley y en las bases reguladoras de subvenciones cuando no constituyan infracciones graves o muy graves y no operen como elemento de graduación de la sanción. En particular, constituyen infracciones leves las siguientes conductas:</w:t>
      </w:r>
    </w:p>
    <w:p w:rsidR="0026452D" w:rsidRDefault="0026452D" w:rsidP="0026452D">
      <w:pPr>
        <w:pStyle w:val="TextoNormal"/>
      </w:pPr>
    </w:p>
    <w:p w:rsidR="0026452D" w:rsidRDefault="0026452D" w:rsidP="0026452D">
      <w:pPr>
        <w:pStyle w:val="TextoNormal"/>
      </w:pPr>
      <w:r>
        <w:t>a) La presentación fuera de plazo de las cuentas justificativas de la aplicación dada a los fondos percibidos.</w:t>
      </w:r>
    </w:p>
    <w:p w:rsidR="0026452D" w:rsidRDefault="0026452D" w:rsidP="0026452D">
      <w:pPr>
        <w:pStyle w:val="TextoNormal"/>
      </w:pPr>
    </w:p>
    <w:p w:rsidR="0026452D" w:rsidRDefault="0026452D" w:rsidP="0026452D">
      <w:pPr>
        <w:pStyle w:val="TextoNormal"/>
      </w:pPr>
      <w:r>
        <w:t>b) La presentación de cuentas justificativas inexactas o incompletas.</w:t>
      </w:r>
    </w:p>
    <w:p w:rsidR="0026452D" w:rsidRDefault="0026452D" w:rsidP="0026452D">
      <w:pPr>
        <w:pStyle w:val="TextoNormal"/>
      </w:pPr>
    </w:p>
    <w:p w:rsidR="0026452D" w:rsidRDefault="0026452D" w:rsidP="0026452D">
      <w:pPr>
        <w:pStyle w:val="TextoNormal"/>
      </w:pPr>
      <w:r>
        <w:t>c) El incumplimiento de las obligaciones formales que, no estando previstas de forma expresa en el resto de párrafos de este artículo, sean asumidas como consecuencia de la concesión de la subvención, en los términos establecidos reglamentariamente.</w:t>
      </w:r>
    </w:p>
    <w:p w:rsidR="0026452D" w:rsidRDefault="0026452D" w:rsidP="0026452D">
      <w:pPr>
        <w:pStyle w:val="TextoNormal"/>
      </w:pPr>
    </w:p>
    <w:p w:rsidR="0026452D" w:rsidRDefault="0026452D" w:rsidP="0026452D">
      <w:pPr>
        <w:pStyle w:val="TextoNormal"/>
      </w:pPr>
      <w:r>
        <w:t>d) El incumplimiento de obligaciones de índole contable o registral, en particular:</w:t>
      </w:r>
    </w:p>
    <w:p w:rsidR="0026452D" w:rsidRDefault="0026452D" w:rsidP="0026452D">
      <w:pPr>
        <w:pStyle w:val="TextoNormal"/>
      </w:pPr>
    </w:p>
    <w:p w:rsidR="0026452D" w:rsidRDefault="0026452D" w:rsidP="0026452D">
      <w:pPr>
        <w:pStyle w:val="TextoNormal"/>
      </w:pPr>
      <w:r>
        <w:t>1º. La inexactitud u omisión de una o varias operaciones en la contabilidad y registros legalmente exigidos.</w:t>
      </w:r>
    </w:p>
    <w:p w:rsidR="0026452D" w:rsidRDefault="0026452D" w:rsidP="0026452D">
      <w:pPr>
        <w:pStyle w:val="TextoNormal"/>
      </w:pPr>
    </w:p>
    <w:p w:rsidR="0026452D" w:rsidRDefault="0026452D" w:rsidP="0026452D">
      <w:pPr>
        <w:pStyle w:val="TextoNormal"/>
      </w:pPr>
      <w:r>
        <w:t>2º. El incumplimiento de la obligación de llevar o conservar la contabilidad, los registros legalmente establecidos, los programas y archivos informáticos que les sirvan de soporte y los sistemas de codificación utilizados.</w:t>
      </w:r>
    </w:p>
    <w:p w:rsidR="0026452D" w:rsidRDefault="0026452D" w:rsidP="0026452D">
      <w:pPr>
        <w:pStyle w:val="TextoNormal"/>
      </w:pPr>
    </w:p>
    <w:p w:rsidR="0026452D" w:rsidRDefault="0026452D" w:rsidP="0026452D">
      <w:pPr>
        <w:pStyle w:val="TextoNormal"/>
      </w:pPr>
      <w:r>
        <w:t>3º. La llevanza de contabilidades diversas que, referidas a una misma actividad y ejercicio económico, no permitan conocer la verdadera situación de la entidad.</w:t>
      </w:r>
    </w:p>
    <w:p w:rsidR="0026452D" w:rsidRDefault="0026452D" w:rsidP="0026452D">
      <w:pPr>
        <w:pStyle w:val="TextoNormal"/>
      </w:pPr>
    </w:p>
    <w:p w:rsidR="0026452D" w:rsidRDefault="0026452D" w:rsidP="0026452D">
      <w:pPr>
        <w:pStyle w:val="TextoNormal"/>
      </w:pPr>
      <w:r>
        <w:t>4º. La utilización de cuentas con significado distinto del que les corresponde, según su naturaleza, que dificulte la comprobación de la realidad de las actividades subvencionadas.</w:t>
      </w:r>
    </w:p>
    <w:p w:rsidR="0026452D" w:rsidRDefault="0026452D" w:rsidP="0026452D">
      <w:pPr>
        <w:pStyle w:val="TextoNormal"/>
      </w:pPr>
    </w:p>
    <w:p w:rsidR="0026452D" w:rsidRDefault="0026452D" w:rsidP="0026452D">
      <w:pPr>
        <w:pStyle w:val="TextoNormal"/>
      </w:pPr>
      <w:r>
        <w:t>e) El incumplimiento de las obligaciones de conservación de justificantes o documentos equivalentes.</w:t>
      </w:r>
    </w:p>
    <w:p w:rsidR="0026452D" w:rsidRDefault="0026452D" w:rsidP="0026452D">
      <w:pPr>
        <w:pStyle w:val="TextoNormal"/>
      </w:pPr>
    </w:p>
    <w:p w:rsidR="0026452D" w:rsidRDefault="0026452D" w:rsidP="0026452D">
      <w:pPr>
        <w:pStyle w:val="TextoNormal"/>
      </w:pPr>
      <w:r>
        <w:t>f) El incumplimiento por parte de las entidades colaboradoras de las obligaciones establecidas en el artículo 15 de esta ley que no se prevean de forma expresa en el resto de apartados de este artículo.</w:t>
      </w:r>
    </w:p>
    <w:p w:rsidR="0026452D" w:rsidRDefault="0026452D" w:rsidP="0026452D">
      <w:pPr>
        <w:pStyle w:val="TextoNormal"/>
      </w:pPr>
    </w:p>
    <w:p w:rsidR="0026452D" w:rsidRDefault="0026452D" w:rsidP="0026452D">
      <w:pPr>
        <w:pStyle w:val="TextoNormal"/>
      </w:pPr>
      <w:r>
        <w:t>g) La resistencia, obstrucción, excusa o negativa a las actuaciones de control financiero.</w:t>
      </w:r>
    </w:p>
    <w:p w:rsidR="0026452D" w:rsidRDefault="0026452D" w:rsidP="0026452D">
      <w:pPr>
        <w:pStyle w:val="TextoNormal"/>
      </w:pPr>
    </w:p>
    <w:p w:rsidR="0026452D" w:rsidRDefault="0026452D" w:rsidP="0026452D">
      <w:pPr>
        <w:pStyle w:val="TextoNormal"/>
      </w:pPr>
      <w:r>
        <w:t>Se entiende que existen estas circunstancias cuando el responsable de las infracciones administrativas en materia de subvenciones, debidamente notificado al efecto, haya realizado actuaciones tendentes a dilatar, entorpecer o impedir las actuaciones de los funcionarios de la Intervención General de la Administración del Estado o de las Comunidades Autónomas en el ejercicio de las funciones de control financiero.</w:t>
      </w:r>
    </w:p>
    <w:p w:rsidR="0026452D" w:rsidRDefault="0026452D" w:rsidP="0026452D">
      <w:pPr>
        <w:pStyle w:val="TextoNormal"/>
      </w:pPr>
    </w:p>
    <w:p w:rsidR="0026452D" w:rsidRDefault="0026452D" w:rsidP="0026452D">
      <w:pPr>
        <w:pStyle w:val="TextoNormal"/>
      </w:pPr>
      <w:r>
        <w:t>Entre otras, constituyen resistencia, obstrucción, excusa o negativa las siguientes conductas:</w:t>
      </w:r>
    </w:p>
    <w:p w:rsidR="0026452D" w:rsidRDefault="0026452D" w:rsidP="0026452D">
      <w:pPr>
        <w:pStyle w:val="TextoNormal"/>
      </w:pPr>
    </w:p>
    <w:p w:rsidR="0026452D" w:rsidRDefault="0026452D" w:rsidP="0026452D">
      <w:pPr>
        <w:pStyle w:val="TextoNormal"/>
      </w:pPr>
      <w:r>
        <w:t>1ª. No aportar o no facilitar el examen de documentos, informes, antecedentes, libros, registros, ficheros, justificantes, asientos de contabilidad, programas y archivos informáticos, sistemas operativos y de control y cualquier otro dato objeto de comprobación.</w:t>
      </w:r>
    </w:p>
    <w:p w:rsidR="0026452D" w:rsidRDefault="0026452D" w:rsidP="0026452D">
      <w:pPr>
        <w:pStyle w:val="TextoNormal"/>
      </w:pPr>
    </w:p>
    <w:p w:rsidR="0026452D" w:rsidRDefault="0026452D" w:rsidP="0026452D">
      <w:pPr>
        <w:pStyle w:val="TextoNormal"/>
      </w:pPr>
      <w:r>
        <w:t>2ª. No atender algún requerimiento.</w:t>
      </w:r>
    </w:p>
    <w:p w:rsidR="0026452D" w:rsidRDefault="0026452D" w:rsidP="0026452D">
      <w:pPr>
        <w:pStyle w:val="TextoNormal"/>
      </w:pPr>
    </w:p>
    <w:p w:rsidR="0026452D" w:rsidRDefault="0026452D" w:rsidP="0026452D">
      <w:pPr>
        <w:pStyle w:val="TextoNormal"/>
      </w:pPr>
      <w:r>
        <w:t>3ª. La incomparecencia, salvo causa justificada, en el lugar y tiempo señalado.</w:t>
      </w:r>
    </w:p>
    <w:p w:rsidR="0026452D" w:rsidRDefault="0026452D" w:rsidP="0026452D">
      <w:pPr>
        <w:pStyle w:val="TextoNormal"/>
      </w:pPr>
    </w:p>
    <w:p w:rsidR="0026452D" w:rsidRDefault="0026452D" w:rsidP="0026452D">
      <w:pPr>
        <w:pStyle w:val="TextoNormal"/>
      </w:pPr>
      <w:r>
        <w:t>4ª. Negar o impedir indebidamente la entrada o permanencia en locales de negocio y demás establecimientos o lugares en que existan indicios probatorios para la correcta justificación de los fondos recibidos por el beneficiario o la entidad colaboradora o de la realidad y regularidad de la actividad subvencionada.</w:t>
      </w:r>
    </w:p>
    <w:p w:rsidR="0026452D" w:rsidRDefault="0026452D" w:rsidP="0026452D">
      <w:pPr>
        <w:pStyle w:val="TextoNormal"/>
      </w:pPr>
    </w:p>
    <w:p w:rsidR="0026452D" w:rsidRDefault="0026452D" w:rsidP="0026452D">
      <w:pPr>
        <w:pStyle w:val="TextoNormal"/>
      </w:pPr>
      <w:r>
        <w:t>5ª. Las coacciones al personal controlador que realice el control financiero.</w:t>
      </w:r>
    </w:p>
    <w:p w:rsidR="0026452D" w:rsidRDefault="0026452D" w:rsidP="0026452D">
      <w:pPr>
        <w:pStyle w:val="TextoNormal"/>
      </w:pPr>
    </w:p>
    <w:p w:rsidR="0026452D" w:rsidRDefault="0026452D" w:rsidP="0026452D">
      <w:pPr>
        <w:pStyle w:val="TextoNormal"/>
      </w:pPr>
      <w:r>
        <w:lastRenderedPageBreak/>
        <w:t>h) El incumplimiento de la obligación de colaboración por parte de las personas o entidades a que se refiere el artículo 46 de esta ley, cuando de ello se derive la imposibilidad de contrastar la información facilitada por el beneficiario o la entidad colaboradora.</w:t>
      </w:r>
    </w:p>
    <w:p w:rsidR="0026452D" w:rsidRDefault="0026452D" w:rsidP="0026452D">
      <w:pPr>
        <w:pStyle w:val="TextoNormal"/>
      </w:pPr>
    </w:p>
    <w:p w:rsidR="0026452D" w:rsidRDefault="0026452D" w:rsidP="0026452D">
      <w:pPr>
        <w:pStyle w:val="TextoNormal"/>
      </w:pPr>
      <w:r>
        <w:t>i) Las demás conductas tipificadas como infracciones leves en la normativa de la Unión Europea en materia de subvenciones.”</w:t>
      </w:r>
    </w:p>
    <w:p w:rsidR="0026452D" w:rsidRDefault="0026452D" w:rsidP="0026452D">
      <w:pPr>
        <w:pStyle w:val="TextoNormal"/>
      </w:pPr>
    </w:p>
    <w:p w:rsidR="0026452D" w:rsidRDefault="0026452D" w:rsidP="0026452D">
      <w:pPr>
        <w:pStyle w:val="TextoNormal"/>
      </w:pPr>
      <w:r>
        <w:t xml:space="preserve">El precepto dispone que “constituyen infracciones leves los incumplimientos de las obligaciones recogidas en la esta Ley y en las bases reguladoras de subvenciones”, sin hacer referencia alguna a la posible existencia de legislación autonómica de desarrollo. Ahora bien, la mera ausencia de esta referencia expresa no implica que el precepto pretenda vedar ese desarrollo autonómico; nada impide que las Comunidades Autónomas, en ejercicio de sus competencias y siempre que no introduzcan divergencias irrazonables o desproporcionadas, puedan proceder también a regular las infracciones introduciendo nuevos tipos o concretando los que la Ley estatal establece. De hecho, la regulación estatal, al establecer tipos de carácter genérico o abierto —como señala la propia demanda— deja, con claridad, un espacio para la legislación autonómica, por lo que debe rechazarse la alegación del Letrado de la Comunidad Autónoma de Aragón de que la regulación estatal desciende a un nivel de detalle que excede de lo básico. Por otra parte, como se enuncia en el primer párrafo del art. 56, los tipos previstos consisten en incumplimientos de obligaciones previstas en la propia Ley y establecidas, en principio y salvo que tras la impugnación de las mismas se llegara a conclusión distinta, al amparo de competencias estatales </w:t>
      </w:r>
      <w:r w:rsidRPr="0026452D">
        <w:rPr>
          <w:i/>
        </w:rPr>
        <w:t>ex</w:t>
      </w:r>
      <w:r>
        <w:t xml:space="preserve"> art. 149.1 CE. Sin embargo, no existe en la demanda argumentación alguna dirigida a cuestionar este amparo competencial.</w:t>
      </w:r>
    </w:p>
    <w:p w:rsidR="0026452D" w:rsidRDefault="0026452D" w:rsidP="0026452D">
      <w:pPr>
        <w:pStyle w:val="TextoNormal"/>
      </w:pPr>
    </w:p>
    <w:p w:rsidR="0026452D" w:rsidRDefault="0026452D" w:rsidP="0026452D">
      <w:pPr>
        <w:pStyle w:val="TextoNormal"/>
      </w:pPr>
      <w:r>
        <w:t>Procede, por tanto, desestimar la impugnación del art. 56.</w:t>
      </w:r>
    </w:p>
    <w:p w:rsidR="0026452D" w:rsidRDefault="0026452D" w:rsidP="0026452D">
      <w:pPr>
        <w:pStyle w:val="TextoNormal"/>
      </w:pPr>
    </w:p>
    <w:p w:rsidR="0026452D" w:rsidRDefault="0026452D" w:rsidP="0026452D">
      <w:pPr>
        <w:pStyle w:val="TextoNormal"/>
      </w:pPr>
      <w:r>
        <w:t>b) El art. 57 e) dispone:</w:t>
      </w:r>
    </w:p>
    <w:p w:rsidR="0026452D" w:rsidRDefault="0026452D" w:rsidP="0026452D">
      <w:pPr>
        <w:pStyle w:val="TextoNormal"/>
      </w:pPr>
    </w:p>
    <w:p w:rsidR="0026452D" w:rsidRDefault="0026452D" w:rsidP="0026452D">
      <w:pPr>
        <w:pStyle w:val="TextoNormal"/>
      </w:pPr>
      <w:r>
        <w:t>“Constituyen infracciones graves las siguientes conductas:</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t>e) El incumplimiento por parte de la entidad colaboradora de la obligación de verificar, en su caso, el cumplimiento y efectividad de las condiciones o requisitos determinantes para el otorgamiento de las subvenciones, cuando de ello se derive la obligación de reintegro.”</w:t>
      </w:r>
    </w:p>
    <w:p w:rsidR="0026452D" w:rsidRDefault="0026452D" w:rsidP="0026452D">
      <w:pPr>
        <w:pStyle w:val="TextoNormal"/>
      </w:pPr>
    </w:p>
    <w:p w:rsidR="0026452D" w:rsidRDefault="0026452D" w:rsidP="0026452D">
      <w:pPr>
        <w:pStyle w:val="TextoNormal"/>
      </w:pPr>
      <w:r>
        <w:t>Este precepto se impugna por conexión con la impugnación del art. 15 b), que impone esta obligación de verificación a las entidades colaboradoras. Puesto que hemos desestimado esa impugnación del art. 15 b), procede ahora, también, por conexión, desestimar la impugnación del art. 57 e), ya que su contenido encuentra amparo en el art. 149.1.18 CE.</w:t>
      </w:r>
    </w:p>
    <w:p w:rsidR="0026452D" w:rsidRDefault="0026452D" w:rsidP="0026452D">
      <w:pPr>
        <w:pStyle w:val="TextoNormal"/>
      </w:pPr>
    </w:p>
    <w:p w:rsidR="0026452D" w:rsidRDefault="0026452D" w:rsidP="0026452D">
      <w:pPr>
        <w:pStyle w:val="TextoNormal"/>
      </w:pPr>
      <w:r>
        <w:t>c) El art. 58 d) establece:</w:t>
      </w:r>
    </w:p>
    <w:p w:rsidR="0026452D" w:rsidRDefault="0026452D" w:rsidP="0026452D">
      <w:pPr>
        <w:pStyle w:val="TextoNormal"/>
      </w:pPr>
    </w:p>
    <w:p w:rsidR="0026452D" w:rsidRDefault="0026452D" w:rsidP="0026452D">
      <w:pPr>
        <w:pStyle w:val="TextoNormal"/>
      </w:pPr>
      <w:r>
        <w:t>“Constituyen infracciones muy graves las siguientes conductas:</w:t>
      </w:r>
    </w:p>
    <w:p w:rsidR="0026452D" w:rsidRDefault="0026452D" w:rsidP="0026452D">
      <w:pPr>
        <w:pStyle w:val="TextoNormal"/>
      </w:pPr>
    </w:p>
    <w:p w:rsidR="0026452D" w:rsidRDefault="0026452D" w:rsidP="0026452D">
      <w:pPr>
        <w:pStyle w:val="TextoNormal"/>
      </w:pPr>
      <w:r>
        <w:t>…</w:t>
      </w:r>
    </w:p>
    <w:p w:rsidR="0026452D" w:rsidRDefault="0026452D" w:rsidP="0026452D">
      <w:pPr>
        <w:pStyle w:val="TextoNormal"/>
      </w:pPr>
    </w:p>
    <w:p w:rsidR="0026452D" w:rsidRDefault="0026452D" w:rsidP="0026452D">
      <w:pPr>
        <w:pStyle w:val="TextoNormal"/>
      </w:pPr>
      <w:r>
        <w:lastRenderedPageBreak/>
        <w:t>d) La falta de entrega, por parte de las entidades colaboradoras, cuando así se establezca, a los beneficiarios de los fondos recibidos de acuerdo con los criterios previstos en las bases reguladoras de la subvención.”</w:t>
      </w:r>
    </w:p>
    <w:p w:rsidR="0026452D" w:rsidRDefault="0026452D" w:rsidP="0026452D">
      <w:pPr>
        <w:pStyle w:val="TextoNormal"/>
      </w:pPr>
    </w:p>
    <w:p w:rsidR="0026452D" w:rsidRDefault="0026452D" w:rsidP="0026452D">
      <w:pPr>
        <w:pStyle w:val="TextoNormal"/>
      </w:pPr>
      <w:r>
        <w:t>Hemos reconocido el carácter básico al art. 15 a), primer inciso, con el cual se relaciona el precepto ahora examinado, por lo que procede, por este motivo, desestimar la impugnación del art. 58 d).</w:t>
      </w:r>
    </w:p>
    <w:p w:rsidR="0026452D" w:rsidRDefault="0026452D" w:rsidP="0026452D">
      <w:pPr>
        <w:pStyle w:val="TextoNormal"/>
      </w:pPr>
    </w:p>
    <w:p w:rsidR="0026452D" w:rsidRDefault="0026452D" w:rsidP="0026452D">
      <w:pPr>
        <w:pStyle w:val="TextoNormal"/>
      </w:pPr>
      <w:r>
        <w:t>d) El art. 67.2 y 3 establece:</w:t>
      </w:r>
    </w:p>
    <w:p w:rsidR="0026452D" w:rsidRDefault="0026452D" w:rsidP="0026452D">
      <w:pPr>
        <w:pStyle w:val="TextoNormal"/>
      </w:pPr>
    </w:p>
    <w:p w:rsidR="0026452D" w:rsidRDefault="0026452D" w:rsidP="0026452D">
      <w:pPr>
        <w:pStyle w:val="TextoNormal"/>
      </w:pPr>
      <w:r>
        <w:t>“2. El procedimiento se iniciará de oficio, como consecuencia, de la actuación de comprobación desarrollada por el órgano concedente o por la entidad colaboradora, así como de las actuaciones de control financiero previstas en esta ley.</w:t>
      </w:r>
    </w:p>
    <w:p w:rsidR="0026452D" w:rsidRDefault="0026452D" w:rsidP="0026452D">
      <w:pPr>
        <w:pStyle w:val="TextoNormal"/>
      </w:pPr>
    </w:p>
    <w:p w:rsidR="0026452D" w:rsidRDefault="0026452D" w:rsidP="0026452D">
      <w:pPr>
        <w:pStyle w:val="TextoNormal"/>
      </w:pPr>
      <w:r>
        <w:t>3. Los acuerdos de imposición de sanciones pondrán fin a la vía administrativa.”</w:t>
      </w:r>
    </w:p>
    <w:p w:rsidR="0026452D" w:rsidRDefault="0026452D" w:rsidP="0026452D">
      <w:pPr>
        <w:pStyle w:val="TextoNormal"/>
      </w:pPr>
    </w:p>
    <w:p w:rsidR="0026452D" w:rsidRDefault="0026452D" w:rsidP="0026452D">
      <w:pPr>
        <w:pStyle w:val="TextoNormal"/>
      </w:pPr>
      <w:r>
        <w:t>El apartado 2 del art. 67 enuncia la regla de la iniciación de oficio del procedimiento, concretando para el procedimiento sancionador, de forma acorde con su naturaleza, las reglas de iniciación enunciadas en la Ley 30/1992 (arts. 68 y 69) e introduciendo, además, una modulación o adaptación del art. 69 de la Ley 30/1992 en atención a las singularidades de las subvenciones, lo que tiene amparo en el art. 149.1.18 CE.</w:t>
      </w:r>
    </w:p>
    <w:p w:rsidR="0026452D" w:rsidRDefault="0026452D" w:rsidP="0026452D">
      <w:pPr>
        <w:pStyle w:val="TextoNormal"/>
      </w:pPr>
    </w:p>
    <w:p w:rsidR="0026452D" w:rsidRDefault="0026452D" w:rsidP="0026452D">
      <w:pPr>
        <w:pStyle w:val="TextoNormal"/>
      </w:pPr>
      <w:r>
        <w:t>El apartado 3 del art. 67 establece como regla común que la imposición de la sanción en el ámbito subvencional pondrá fin a la vía administrativa. Ciertamente esta previsión incide en la potestad de autoorganización de las Administraciones autonómicas, puesto que, en principio, es a ellas a las corresponde decidir los órganos administrativos ante los que cabe recurrir las resoluciones administrativas. No obstante, la supresión por la Ley 38/2003 de la posibilidad de recurso en vía administrativa contra las resoluciones sancionadoras en el ámbito subvencional [como excepción a la regla general en materia sancionadora, conforme a los arts. 109 a) y 138.3 de la Ley 30/1992, de régimen jurídico de las Administraciones públicas y del procedimiento administrativo común, modificada por la Ley 4/1999, de 13 de enero], implica la eliminación de trámites para el acceso por el sancionado a la vía judicial, lo que constituye una medida de agilización procedimental que encuentra acomodo igualmente en el art. 149.1.18 CE, y se trata de una excepción que asimismo aparece prevista en la propia Ley 30/1992 [art. 109 d)]. El legislador estatal tiene competencia, de conformidad con el art. 149.1.18 CE, tanto para establecer la regla general de la exigencia del recurso de alzada para agotar la vía administrativa en el procedimiento sancionador [arts. 109 a) y 138.3 de la Ley 30/1992], como para establecer la regla específica en materia subvencional que contiene el art. 67.3 de la Ley 38/2003, conforme a la cual la resolución sancionadora en esta materia pone fin a la vía administrativa.</w:t>
      </w:r>
    </w:p>
    <w:p w:rsidR="0026452D" w:rsidRDefault="0026452D" w:rsidP="0026452D">
      <w:pPr>
        <w:pStyle w:val="TextoNormal"/>
      </w:pPr>
    </w:p>
    <w:p w:rsidR="0026452D" w:rsidRDefault="0026452D" w:rsidP="0026452D">
      <w:pPr>
        <w:pStyle w:val="TextoNormal"/>
      </w:pPr>
      <w:r>
        <w:t>En conclusión, procede desestimar la impugnación de los apartados 2 y 3 del art. 67.</w:t>
      </w:r>
    </w:p>
    <w:p w:rsidR="0026452D" w:rsidRDefault="0026452D" w:rsidP="0026452D">
      <w:pPr>
        <w:pStyle w:val="TextoNormal"/>
      </w:pPr>
    </w:p>
    <w:p w:rsidR="0026452D" w:rsidRDefault="0026452D" w:rsidP="0026452D">
      <w:pPr>
        <w:pStyle w:val="TextoNormal"/>
      </w:pPr>
      <w:r w:rsidRPr="0026452D">
        <w:rPr>
          <w:rStyle w:val="NumeroAFNegritaCaracter"/>
        </w:rPr>
        <w:t>14</w:t>
      </w:r>
      <w:r>
        <w:t>. La representación procesal del Gobierno de Aragón impugna la disposición final primera de la Ley 38/2003, pero lo hace sólo en la medida en que discrepa de que los preceptos que relaciona tengan todos ellos el carácter básico que el precepto les atribuye.</w:t>
      </w:r>
    </w:p>
    <w:p w:rsidR="0026452D" w:rsidRDefault="0026452D" w:rsidP="0026452D">
      <w:pPr>
        <w:pStyle w:val="TextoNormal"/>
      </w:pPr>
    </w:p>
    <w:p w:rsidR="0026452D" w:rsidRDefault="0026452D" w:rsidP="0026452D">
      <w:pPr>
        <w:pStyle w:val="TextoNormal"/>
      </w:pPr>
      <w:r>
        <w:lastRenderedPageBreak/>
        <w:t>Ciertamente, nada hay que reprochar a que los preceptos legales apoyados en el art. 149.1.13 CE constituyan legislación básica, ni tampoco a que ostenten tal carácter los sustentados en las “bases del régimen jurídico de las Administraciones Públicas” (art. 149.1.18 CE), pues en ambos casos el enunciado legal concuerda con la Constitución. No ocurre, así, sin embargo, con la referencia al art. 149.1.14 CE, pues esta competencia exclusiva estatal no se reduce a las bases, sino que alcanza a todas las funciones sobre la materia, e igual sucede con la competencia exclusiva estatal sobre el “procedimiento administrativo común” al que ha de entenderse referido también el art. 149.1.18 CE.</w:t>
      </w:r>
    </w:p>
    <w:p w:rsidR="0026452D" w:rsidRDefault="0026452D" w:rsidP="0026452D">
      <w:pPr>
        <w:pStyle w:val="TextoNormal"/>
      </w:pPr>
    </w:p>
    <w:p w:rsidR="0026452D" w:rsidRDefault="0026452D" w:rsidP="0026452D">
      <w:pPr>
        <w:pStyle w:val="TextoNormal"/>
      </w:pPr>
      <w:r>
        <w:t xml:space="preserve">Es preciso, por tanto, recordar que “las competencias son indisponibles e irrenunciables, tanto para el legislador del Estado como para el de las Comunidades Autónomas” y que “operan </w:t>
      </w:r>
      <w:r w:rsidRPr="0026452D">
        <w:rPr>
          <w:i/>
        </w:rPr>
        <w:t>ope Constitutionis</w:t>
      </w:r>
      <w:r>
        <w:t>, con independencia de que uno u otro legislador hagan invocación explícita de las mismas” o de que éstos incurran en una eventual “selección errónea del título que, por otra parte, en modo alguno puede vincular a este Tribunal” (STC 179/1985, de 19 de diciembre, FJ 4), de la misma forma que, consiguientemente, tampoco puede hacerlo un error en la calificación de la norma (STC 152/2003, de 17 de julio, FJ 7).</w:t>
      </w:r>
    </w:p>
    <w:p w:rsidR="0026452D" w:rsidRDefault="0026452D" w:rsidP="0026452D">
      <w:pPr>
        <w:pStyle w:val="TextoNormal"/>
      </w:pPr>
    </w:p>
    <w:p w:rsidR="0026452D" w:rsidRDefault="0026452D" w:rsidP="0026452D">
      <w:pPr>
        <w:pStyle w:val="TextoNormal"/>
      </w:pPr>
      <w:r>
        <w:t>Por tanto, una vez depurados dichos preceptos con el alcance que hemos apreciado respecto de cada uno de ellos, la disposición final primera mantiene su virtualidad. En efecto, como hemos señalado en casos similares (por todas, STC 18/2011, de 3 de marzo, FJ 12), nos encontramos aquí ante una impugnación que cabría calificar de “sistemática”, llamada a seguir la misma suerte que los preceptos concretos que han sido objeto de impugnación por el carácter básico que les atribuye esta disposición final primera. En los fundamentos jurídicos anteriores de la presente Sentencia ya se ha analizado la adecuación constitucional de los preceptos impugnados pronunciándonos bien sobre su carácter básico y su alcance aplicativo en la Comunidad Autónoma de Aragón, bien sobre su carácter de normas dictadas en el ejercicio de competencia plena estatal, en su caso, sin que sea necesario un pronunciamiento expreso y genérico sobre la disposición final primera de la Ley 38/2003, general de subvenciones, por cuanto que el Gobierno autonómico recurrente ya lo ha obtenido en relación con cada precepto impugnado, y ello se proyecta sobre esta concreta disposición.</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Declarar que los siguientes preceptos de la Ley 38/2003, de 17 de noviembre, general de subvenciones, no son contrarios a la Constitución, siempre que se interpreten en los términos establecidos en el fundamento jurídico correspondiente de la presente Sentencia: letra a) del apartado 4 del art. 3, según lo indicado en el fundamento jurídico 9 A); apartado 2 del art. 7, según lo indicado en el fundamento jurídico 9 D); apartado 1 del art. 12, según lo indicado en el fundamento jurídico 9 F) a); letras a) y b) del apartado 1 del art. 15, según lo indicado en el fundamento jurídico 9 F) b); y letra c) de párrafo tercero del apartado 2 del art. 45, según lo indicado en el fundamento jurídico 12.</w:t>
      </w:r>
    </w:p>
    <w:p w:rsidR="0026452D" w:rsidRDefault="0026452D" w:rsidP="0026452D">
      <w:pPr>
        <w:pStyle w:val="TextoNormal"/>
      </w:pPr>
    </w:p>
    <w:p w:rsidR="0026452D" w:rsidRDefault="0026452D" w:rsidP="0026452D">
      <w:pPr>
        <w:pStyle w:val="TextoNormal"/>
      </w:pPr>
      <w:r>
        <w:lastRenderedPageBreak/>
        <w:t>2º.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cuatro de junio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Luis Ignacio Ortega Álvarez al que se adhieren los Magistrados don Pablo Pérez Tremps, doña Adela Asua Batarrita, doña Encarnación Roca Trías y don Fernando Valdés Dal-Ré respecto de la Sentencia dictada en el recurso de inconstitucionalidad núm. 931-2004.</w:t>
      </w:r>
    </w:p>
    <w:p w:rsidR="0026452D" w:rsidRDefault="0026452D" w:rsidP="0026452D">
      <w:pPr>
        <w:pStyle w:val="TextoNormalNegritaCentrado"/>
        <w:keepNext/>
      </w:pPr>
    </w:p>
    <w:p w:rsidR="0026452D" w:rsidRDefault="0026452D" w:rsidP="0026452D">
      <w:pPr>
        <w:pStyle w:val="TextoNormal"/>
      </w:pPr>
      <w:r>
        <w:t>En el ejercicio de la facultad que me confiere el art. 90.2 de la Ley Orgánica del Tribunal Constitucional y con el máximo respeto a los Magistrados que han conformado la opinión de la mayoría del Tribunal recogida en la Sentencia, formulo el presente Voto particular, al disentir en parte de la fundamentación jurídica y el fallo de la Sentencia que ha resuelto el recurso de inconstitucionalidad interpuesto por el Gobierno de Aragón contra determinados preceptos de la Ley 38/2003, de 17 de noviembre, general de subvenciones, conforme a los argumentos que defendí en la deliberación del Pleno y que expongo a continuación.</w:t>
      </w:r>
    </w:p>
    <w:p w:rsidR="0026452D" w:rsidRDefault="0026452D" w:rsidP="0026452D">
      <w:pPr>
        <w:pStyle w:val="TextoNormal"/>
      </w:pPr>
    </w:p>
    <w:p w:rsidR="0026452D" w:rsidRDefault="0026452D" w:rsidP="0026452D">
      <w:pPr>
        <w:pStyle w:val="TextoNormal"/>
      </w:pPr>
      <w:r>
        <w:t>2. Las razones de mi discrepancia son diversas, tanto de principio o generales como relacionadas con la forma de enjuiciar determinados preceptos en los que me parece que se sientan criterios que no son los que se desprenden de nuestra doctrina.</w:t>
      </w:r>
    </w:p>
    <w:p w:rsidR="0026452D" w:rsidRDefault="0026452D" w:rsidP="0026452D">
      <w:pPr>
        <w:pStyle w:val="TextoNormal"/>
      </w:pPr>
    </w:p>
    <w:p w:rsidR="0026452D" w:rsidRDefault="0026452D" w:rsidP="0026452D">
      <w:pPr>
        <w:pStyle w:val="TextoNormal"/>
      </w:pPr>
      <w:r>
        <w:t>Comenzando por las primeras, dos son las objeciones generales que me suscita la respuesta de la mayoría a la cuestión central que se planteaba en el asunto sometido a nuestra consideración, esto es, ¿cuál es el fundamento constitucional de la misma existencia de una Ley general de subvenciones? Para responderla los fundamentos jurídicos 5 a 8 de la Sentencia construyen un canon de enjuiciamiento deliberadamente impreciso, canon que, a mi modesto entender, parte de una interpretación desmesuradamente expansiva de los títulos competenciales estatales en los que dice fundarse la Ley general de subvenciones, las reglas 13, 14 y 18 del art. 149.1 CE.</w:t>
      </w:r>
    </w:p>
    <w:p w:rsidR="0026452D" w:rsidRDefault="0026452D" w:rsidP="0026452D">
      <w:pPr>
        <w:pStyle w:val="TextoNormal"/>
      </w:pPr>
    </w:p>
    <w:p w:rsidR="0026452D" w:rsidRDefault="0026452D" w:rsidP="0026452D">
      <w:pPr>
        <w:pStyle w:val="TextoNormal"/>
      </w:pPr>
      <w:r>
        <w:t>La segunda objeción de principio que me suscita la Sentencia es que, a partir de esa abierta e indeterminada formulación del canon, la forma de aproximarse a la tarea de enjuiciar la norma no es, tampoco, la que, a mi juicio, se desprende de nuestra doctrina. La conjunción de ambas, un canon impreciso construido a partir de un amplio e indeterminado entendimiento de los títulos competenciales estatales y en el que no se determina cuál de ellos ha de ser considerado prevalente, produce como resultado un enjuiciamiento de la norma extremadamente deferente con las pretensiones del legislador estatal, con manifiesto olvido, incluso, de previsiones estatutarias que resultaban de directa aplicación al caso.</w:t>
      </w:r>
    </w:p>
    <w:p w:rsidR="0026452D" w:rsidRDefault="0026452D" w:rsidP="0026452D">
      <w:pPr>
        <w:pStyle w:val="TextoNormal"/>
      </w:pPr>
    </w:p>
    <w:p w:rsidR="0026452D" w:rsidRDefault="0026452D" w:rsidP="0026452D">
      <w:pPr>
        <w:pStyle w:val="TextoNormal"/>
      </w:pPr>
      <w:r>
        <w:t>Me detendré ahora en cada una de estas dos objeciones, para luego aludir a mis específicas discrepancias respecto al enjuiciamiento de algunos concretos preceptos de la Ley general de subvenciones.</w:t>
      </w:r>
    </w:p>
    <w:p w:rsidR="0026452D" w:rsidRDefault="0026452D" w:rsidP="0026452D">
      <w:pPr>
        <w:pStyle w:val="TextoNormal"/>
      </w:pPr>
    </w:p>
    <w:p w:rsidR="0026452D" w:rsidRDefault="0026452D" w:rsidP="0026452D">
      <w:pPr>
        <w:pStyle w:val="TextoNormal"/>
      </w:pPr>
      <w:r>
        <w:t xml:space="preserve">3. Por lo que respecta a los títulos competenciales estatales, tal como los examina la Sentencia de la mayoría, las conclusiones son, en mi opinión, singularmente llamativas, si </w:t>
      </w:r>
      <w:r>
        <w:lastRenderedPageBreak/>
        <w:t>se ponen en relación con la anterior doctrina de este Tribunal sobre los arts. 149.1.14 y 149.1.18 CE.</w:t>
      </w:r>
    </w:p>
    <w:p w:rsidR="0026452D" w:rsidRDefault="0026452D" w:rsidP="0026452D">
      <w:pPr>
        <w:pStyle w:val="TextoNormal"/>
      </w:pPr>
    </w:p>
    <w:p w:rsidR="0026452D" w:rsidRDefault="0026452D" w:rsidP="0026452D">
      <w:pPr>
        <w:pStyle w:val="TextoNormal"/>
      </w:pPr>
      <w:r>
        <w:t xml:space="preserve">a) Así, empezando por el art. 149.1.14 CE, resulta que, como la Sentencia de la mayoría no oculta, es la primera vez que este título competencial se entiende referido al gasto público, entendimiento que se justifica en un pretendido paralelismo entre la ordenación del régimen tributario y el régimen jurídico de la ordenación de los gastos. Así, el fundamento jurídico 5, tras recoger nuestra doctrina sobre el citado título competencial, afirma, sin el menor rubor: “Pues bien, a la misma conclusión ha de llegarse respecto a la otra vertiente de la hacienda pública, la vertiente de los gastos públicos, de tal forma que corresponde al Estado no sólo el régimen jurídico de la ordenación de los gastos de la Administración del Estado, sino también el establecimiento de las normas y principios comunes de la actividad financiera de las distintas haciendas que tiendan a asegurar los principios constitucionales que, conforme a nuestra Constitución, han de regir el gasto público: legalidad (art. 133.4 CE); eficiencia y economía (art. 31.2 CE), asignación equitativa de los recursos públicos (art. 31.2 CE); subordinación de la riqueza nacional al interés general (art. 128.1), estabilidad presupuestaria (art. 135 CE; STC 134/2011, de 20 de julio) y control (art. 136 CE)”. Idea que se reitera en el fundamento jurídico 9 F) j), en el que, al analizar el art. 19.5, se sostiene que “se trata de una medida orientada a la finalidad del gasto, que el legislador estatal puede adoptar al amparo de su competencia exclusiva en materia de hacienda general </w:t>
      </w:r>
      <w:r w:rsidRPr="0026452D">
        <w:rPr>
          <w:i/>
        </w:rPr>
        <w:t>ex</w:t>
      </w:r>
      <w:r>
        <w:t xml:space="preserve"> art. 149.1.14 CE, en la vertiente del gasto público, conforme a la cual al Estado le corresponde, como ya dijimos, no sólo la regulación del régimen jurídico de la ordenación de los gastos de la Administración del Estado, sino también el establecimiento de las normas y principios comunes de la actividad financiera de las distintas haciendas que tiendan a asegurar los principios constitucionales que deben regir el gasto público, entre los que se encuentra el principio de eficiencia y economía (art. 31.2 CE)”.</w:t>
      </w:r>
    </w:p>
    <w:p w:rsidR="0026452D" w:rsidRDefault="0026452D" w:rsidP="0026452D">
      <w:pPr>
        <w:pStyle w:val="TextoNormal"/>
      </w:pPr>
    </w:p>
    <w:p w:rsidR="0026452D" w:rsidRDefault="0026452D" w:rsidP="0026452D">
      <w:pPr>
        <w:pStyle w:val="TextoNormal"/>
      </w:pPr>
      <w:r>
        <w:t>Fácilmente puede inferirse que, con esta construcción, el título competencial estatal sobre “hacienda general” derivado del art. 149.1.14 CE, que tiene en la doctrina constitucional un carácter esencialmente coordinador, se transforma, sin más explicaciones, en un título regulador y que se extiende al establecimiento del régimen jurídico de la ordenación del gasto en las distintas haciendas. Por lo demás, también se obvia que la doctrina constitucional [STC 233/1999, de 16 de diciembre, FJ 4 b)] ya descartó encuadrar las normas reguladoras del régimen jurídico de las Administraciones públicas, y las de la subvención, en mi opinión, lo son, en la competencia estatal del art. 149.1.14 CE.</w:t>
      </w:r>
    </w:p>
    <w:p w:rsidR="0026452D" w:rsidRDefault="0026452D" w:rsidP="0026452D">
      <w:pPr>
        <w:pStyle w:val="TextoNormal"/>
      </w:pPr>
    </w:p>
    <w:p w:rsidR="0026452D" w:rsidRDefault="0026452D" w:rsidP="0026452D">
      <w:pPr>
        <w:pStyle w:val="TextoNormal"/>
      </w:pPr>
      <w:r>
        <w:t xml:space="preserve">Tampoco, por otra parte, entiendo que el art. 149.1.14 CE pueda ser aplicable en este caso con preferencia sobre otros títulos competenciales estatales pues nada hay en la doctrina constitucional que lo permita, ni existe una relación estrecha con la finalidad de la norma. Va de suyo que la subvención como instrumento financiero ha de afectar a la hacienda, en cuanto que supone la disposición de fondos públicos, pero entender que, por producirse esa disposición de fondos, el título competencial de hacienda general puede servir para encuadrar la actividad subvencional de las Administraciones públicas supondría admitir que es susceptible de inscribirse dentro de dicho título toda actuación administrativa que conllevara efectos económicos en la vertiente del gasto, independientemente de la existencia de otros títulos competenciales más específicos. En efecto, una cosa es la vinculación del ejercicio de la potestad subvencionadora con el manejo de los fondos públicos y otra es </w:t>
      </w:r>
      <w:r>
        <w:lastRenderedPageBreak/>
        <w:t>que la pretensión estatal, discutida en el recurso, de establecer las reglas generales del ejercicio de dicha potestad y el procedimiento al que ha de ajustarse pueda fundarse en el título del art. 149.1.14 CE. Quizás por eso, una vez sentada la premisa mayor, la Sentencia vacila y extrae su propio criterio de delimitación de este título competencial respecto del art. 149.1.18 CE al afirmar, en ese mismo fundamento jurídico 5, que, “cuando se esté abordando la regulación de los derechos y obligaciones de contenido económico de las Administraciones públicas o cuando el objeto de la regulación sea la protección o preservación de los recursos públicos que integran las haciendas, nos encontraremos ante preceptos que tienen su anclaje en el art. 149.1.14 CE”. No obstante, el anterior criterio tampoco se relaja respecto a la expansión del entendimiento del citado título competencial, sobre todo si se tiene en cuenta la forma en la que la mayoría interpreta el alcance de los títulos competenciales ínsitos en el art. 149.1.18 CE, cuestión a la que me refiero a continuación.</w:t>
      </w:r>
    </w:p>
    <w:p w:rsidR="0026452D" w:rsidRDefault="0026452D" w:rsidP="0026452D">
      <w:pPr>
        <w:pStyle w:val="TextoNormal"/>
      </w:pPr>
    </w:p>
    <w:p w:rsidR="0026452D" w:rsidRDefault="0026452D" w:rsidP="0026452D">
      <w:pPr>
        <w:pStyle w:val="TextoNormal"/>
      </w:pPr>
      <w:r>
        <w:t>b) El fundamento jurídico 6 de la Sentencia examina la referencia que hace la Ley general de subvenciones al art. 149.1.18 CE, distinguiendo, correctamente, dos contenidos en el precepto constitucional: la relativa a las “bases del régimen jurídico de las Administraciones Públicas” y la exclusiva para regular el “procedimiento administrativo común”, doble atribución competencial en la que el Abogado del Estado había en gran parte fundamentado su defensa de la norma impugnada. El problema es, una vez más, el entendimiento excesivamente amplio que la Sentencia hace de ambos títulos estatales.</w:t>
      </w:r>
    </w:p>
    <w:p w:rsidR="0026452D" w:rsidRDefault="0026452D" w:rsidP="0026452D">
      <w:pPr>
        <w:pStyle w:val="TextoNormal"/>
      </w:pPr>
    </w:p>
    <w:p w:rsidR="0026452D" w:rsidRDefault="0026452D" w:rsidP="0026452D">
      <w:pPr>
        <w:pStyle w:val="TextoNormal"/>
      </w:pPr>
      <w:r>
        <w:t>Así, por lo que respecta a las “bases del régimen jurídico de las Administraciones públicas” se parte, en el fundamento jurídico 6, de la doctrina de la STC 50/1999, de 6 de abril, y, con cita de otras, se analizan los posibles contenidos de dicho título que se derivan de la doctrina constitucional. Operación de delimitación competencial cuyo resultado no debe parecer suficiente a la Sentencia, puesto que, inmediatamente después, añade que debe “aclararse ahora que dentro del concepto de ‘funcionamiento’ se incardinan las actividades jurídicas típicas a través de las cuales las Administraciones públicas desarrollan su función constitucional de satisfacción de los intereses generales (art. 103.1 CE)”. Así pues, se aporta (“ahora”) un nuevo criterio de interpretación del alcance del objeto de esta competencia estatal, que injustificadamente se pretende vincular o extraer de la doctrina del Tribunal Constitucional y que tiene un marcado carácter expansivo: por definición, se incluyen todas las actividades jurídicas típicas que desarrollan las Administraciones públicas. Es claro que es una fórmula amplísima, susceptible de abarcar cualquier clase de actividad administrativa y que, en la práctica, viene a identificar “régimen jurídico” con “bases del régimen jurídico”, permitiendo a la competencia estatal agotar un espacio normativo que, por mandato constitucional, habría de ser compartido entre el Estado y las Comunidades Autónomas.</w:t>
      </w:r>
    </w:p>
    <w:p w:rsidR="0026452D" w:rsidRDefault="0026452D" w:rsidP="0026452D">
      <w:pPr>
        <w:pStyle w:val="TextoNormal"/>
      </w:pPr>
    </w:p>
    <w:p w:rsidR="0026452D" w:rsidRDefault="0026452D" w:rsidP="0026452D">
      <w:pPr>
        <w:pStyle w:val="TextoNormal"/>
      </w:pPr>
      <w:r>
        <w:t xml:space="preserve">En segundo lugar, la Sentencia parece matizar, en ese mismo fundamento jurídico 6, la intensidad y la extensión variable de las bases según la distinción actividad externa/actividad interna, siguiendo la senda ya marcada por la STC 50/1999. Se recoge así el criterio de la doctrina constitucional según el cual el objetivo fundamental de las bases en esta materia es garantizar a los administrados un tratamiento común ante las Administraciones públicas. De nuevo esta aseveración no parece suficiente a la Sentencia de la mayoría que amplía, sin justificación, el alcance de este título competencial basándose en una mención de la STC 50/1999, FJ 3, que, manifiestamente, se refiere a una cuestión diferente a la que aquí se aplica. Allí se señala que “según establece el art. 149.1.18 CE, el objetivo fundamental, aunque no único, de las bases en esta materia es el de garantizar ‘a los administrados un </w:t>
      </w:r>
      <w:r>
        <w:lastRenderedPageBreak/>
        <w:t>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De allí se pasa a afirmar, sin mayores argumentos, que cabe que el establecimiento de las bases en esta materia “responda a otros intereses generales superiores a los de las respectivas Comunidades Autónomas, que hagan igualmente necesario y justificado el establecimiento de un común denominador normativo”, reintroduciendo el concepto de interés general como fundamentador de las competencias estatales.</w:t>
      </w:r>
    </w:p>
    <w:p w:rsidR="0026452D" w:rsidRDefault="0026452D" w:rsidP="0026452D">
      <w:pPr>
        <w:pStyle w:val="TextoNormal"/>
      </w:pPr>
    </w:p>
    <w:p w:rsidR="0026452D" w:rsidRDefault="0026452D" w:rsidP="0026452D">
      <w:pPr>
        <w:pStyle w:val="TextoNormal"/>
      </w:pPr>
      <w:r>
        <w:t>El hecho de que, quizás, pueda haber otros objetivos a los que sirva la competencia estatal en esta materia no habilita, en mi opinión, para considerar que los mismos son emanación del interés general que representa el Estado ni, muchísimo menos, para, directamente, saltar, como se hace, a identificar hasta diez intereses o fines constitucionales que justificarían una intervención normativa del Estado para la regulación del régimen subvencional de todas las Administraciones públicas. Así, se sostiene que tales objetivos —que en la terminología de la Sentencia hacen necesario y justificado el establecimiento de un común denominador normativo— son (FJ 6) “la asignación equitativa de los recursos a través del gasto público (art. 31.2 CE), la subordinación de toda la riqueza del país al interés general (art. 128.1 CE), la programación y ejecución del gasto público conforme a los principios de eficiencia y economía (art. 31.2 CE), la estabilidad presupuestaria (art. 135 CE), la prevención de eventuales distorsiones del funcionamiento del mercado, la coherencia y coordinación de la política subvencional de todas las Administraciones públicas, la lucha contra el fraude y la corrupción en la gestión de los fondos públicos, así como el incremento de la transparencia, el control y la evaluación del gasto subvencional”. Como se ve la Sentencia no tiene reparo alguno en identificar un amplio elenco de objetivos, todos ellos de marcado carácter económico y, en principio, ajenos, en su mayor parte, a la materia régimen jurídico de las Administraciones públicas.</w:t>
      </w:r>
    </w:p>
    <w:p w:rsidR="0026452D" w:rsidRDefault="0026452D" w:rsidP="0026452D">
      <w:pPr>
        <w:pStyle w:val="TextoNormal"/>
      </w:pPr>
    </w:p>
    <w:p w:rsidR="0026452D" w:rsidRDefault="0026452D" w:rsidP="0026452D">
      <w:pPr>
        <w:pStyle w:val="TextoNormal"/>
      </w:pPr>
      <w:r>
        <w:t xml:space="preserve">Además, dicha interpretación carece de apoyo alguno en decisiones anteriores de este Tribunal, o, al menos, no es la que se deduce de la doctrina que la Sentencia cita inmediatamente después en apoyo de su original tesis. Así, en cuanto a la referencia a la STC 89/2012, FJ 8, esa finalidad de asegurar la eficacia y eficiencia de las subvenciones, la asignación equitativa de los recursos públicos se realiza en un contexto sectorial muy concreto, alejado del carácter general que ahora pretende atribuírsele. Se trataba de ayudas convocadas por resolución del Instituto Nacional de Artes Escénicas y Musicales (INAEM), de 13 de marzo de 2008, dentro del programa de espacios escénicos de nueva generación. En relación con estas ayudas el Tribunal, tras encuadrarlas en la materia cultura, consideró que, al quedar instaladas las mismas “en el segundo de los supuestos previstos en el fundamento jurídico 8 de la STC 13/1992 conviene partir del principio de que los aspectos centrales o esenciales del régimen subvencional —entre los que se encuentran el objeto y finalidad de las ayudas, su modalidad técnica y los requisitos esenciales de acceso— pueden ser regulados por el Estado en ejercicio de su competencia </w:t>
      </w:r>
      <w:r w:rsidRPr="0026452D">
        <w:rPr>
          <w:i/>
        </w:rPr>
        <w:t>ex</w:t>
      </w:r>
      <w:r>
        <w:t xml:space="preserve"> art. 149.2 CE”. Por otra parte, la cita de la STC 99/2012 sí es correcta en cuanto al carácter básico de la publicidad de las subvenciones en atención a las finalidades que esa publicidad cumple, pero es evidente que tiene una directa relación con el art. 149.1.18 CE y muy poca con los objetivos señalados por la </w:t>
      </w:r>
      <w:r>
        <w:lastRenderedPageBreak/>
        <w:t>Sentencia como susceptibles de ser realizados con apoyo en esta vertiente del art. 149.1.18 CE.</w:t>
      </w:r>
    </w:p>
    <w:p w:rsidR="0026452D" w:rsidRDefault="0026452D" w:rsidP="0026452D">
      <w:pPr>
        <w:pStyle w:val="TextoNormal"/>
      </w:pPr>
    </w:p>
    <w:p w:rsidR="0026452D" w:rsidRDefault="0026452D" w:rsidP="0026452D">
      <w:pPr>
        <w:pStyle w:val="TextoNormal"/>
      </w:pPr>
      <w:r>
        <w:t>c) Los anteriores criterios sentados en la Sentencia mayoritaria, en sí mismos ya graves, palidecen, sin embargo, ante lo que, a mi juicio, es la principal y más criticable novedad de la Sentencia. El hallazgo o descubrimiento, bien que con la inestimable ayuda del Abogado del Estado que ya lo avanzaba en la contestación a la demanda, de una competencia estatal nueva desarrollada a partir del concepto “procedimiento subvencional común” o “procedimiento administrativo común singular”. Competencia hasta ahora desconocida, pues de ella no se había tenido noticia en los más de treinta años de doctrina constitucional. Así, la posibilidad de que el Estado pueda establecer una regulación común del procedimiento especial de otorgamiento de subvenciones se defiende señalando que el Estado puede regular, desde una perspectiva abstracta, el procedimiento mediante el cual se ejercen las distintas formas de la actividad administrativa, sin que con ello se invadan las competencias de autoorganización de las Comunidades Autónomas, ni sus competencias sobre sectores específicos o para regular los procedimientos especiale</w:t>
      </w:r>
      <w:r w:rsidRPr="0026452D">
        <w:rPr>
          <w:i/>
        </w:rPr>
        <w:t>s ratione materi</w:t>
      </w:r>
      <w:r>
        <w:t>ae.</w:t>
      </w:r>
    </w:p>
    <w:p w:rsidR="0026452D" w:rsidRDefault="0026452D" w:rsidP="0026452D">
      <w:pPr>
        <w:pStyle w:val="TextoNormal"/>
      </w:pPr>
    </w:p>
    <w:p w:rsidR="0026452D" w:rsidRDefault="0026452D" w:rsidP="0026452D">
      <w:pPr>
        <w:pStyle w:val="TextoNormal"/>
      </w:pPr>
      <w:r>
        <w:t xml:space="preserve">Esta original construcción se asienta en bases bastante frágiles. No creo, en primer lugar, que la aplicación del art. 149.1.18 CE sobre procedimientos </w:t>
      </w:r>
      <w:r w:rsidRPr="0026452D">
        <w:rPr>
          <w:i/>
        </w:rPr>
        <w:t>ratione materiae</w:t>
      </w:r>
      <w:r>
        <w:t xml:space="preserve"> pueda encontrar apoyo en la doctrina que se cita en el fundamento jurídico 8, ya que la STC 61/1997, FJ 25 c), se refería al establecimiento de un trámite de información pública y de audiencia a la Administración del Estado y a las entidades locales afectadas en relación con determinados planes urbanísticos. La mención al art. 149.1.18 CE se realiza en relación con el trámite de información pública (se entiende que a los ciudadanos) y se reconduce a lo siguiente: “En punto a la información pública de los ciudadanos el art. 113.2 TRLS constituye una reproducción expresa de lo que ya dispone el art. 105 a) CE, aunque éste no determina en modo alguno cómo ha de satisfacerse tal garantía ni cuál sea la Administración que haya de asegurarla. En todo caso, y ello es lo relevante, el Estado ostenta competencias exclusivas para dictar normas de procedimiento administrativo común (art. 149.1.18 CE), entre las que se incluyen aquellas garantías o derechos procedimentales que hayan de respetarse para la formulación de las disposiciones administrativas que afecten a los ciudadanos”. Como se aprecia no se justificó en que se trataba de una previsión específica </w:t>
      </w:r>
      <w:r w:rsidRPr="0026452D">
        <w:rPr>
          <w:i/>
        </w:rPr>
        <w:t>ratione materiae</w:t>
      </w:r>
      <w:r>
        <w:t>, como ahora se afirma.</w:t>
      </w:r>
    </w:p>
    <w:p w:rsidR="0026452D" w:rsidRDefault="0026452D" w:rsidP="0026452D">
      <w:pPr>
        <w:pStyle w:val="TextoNormal"/>
      </w:pPr>
    </w:p>
    <w:p w:rsidR="0026452D" w:rsidRDefault="0026452D" w:rsidP="0026452D">
      <w:pPr>
        <w:pStyle w:val="TextoNormal"/>
      </w:pPr>
      <w:r>
        <w:t>En todo caso, con esta innovación competencial entiendo que se desenfoca completamente el problema competencial que debíamos resolver, que, a mi juicio, era doble, de habilitación competencial, es decir, con base en qué título competencial se justifica la intervención estatal, y, directamente relacionado con eso, de límites de la regulación. Necesidad de justificar adecuadamente el título competencial habilitante tanto más necesaria en una materia que, a diferencia de otras como contratos y concesiones administrativas, expropiación forzosa o responsabilidad, no tiene reflejo expreso en el acervo competencial estatal del art. 149.1 CE, tal y como ya señaló tempranamente la doctrina constitucional (STC 144/1985, de 25 de octubre, FJ 4; con cita de la STC 39/1982, de 30 de junio, FFJJ 5 y 10).</w:t>
      </w:r>
    </w:p>
    <w:p w:rsidR="0026452D" w:rsidRDefault="0026452D" w:rsidP="0026452D">
      <w:pPr>
        <w:pStyle w:val="TextoNormal"/>
      </w:pPr>
    </w:p>
    <w:p w:rsidR="0026452D" w:rsidRDefault="0026452D" w:rsidP="0026452D">
      <w:pPr>
        <w:pStyle w:val="TextoNormal"/>
      </w:pPr>
      <w:r>
        <w:t xml:space="preserve">Insisto en que el problema no es, como pretende sugerir la Sentencia de la mayoría, el mayor o menor grado de abstracción de la regulación, ya que las competencias estatales que pretenden ejercerse no pueden implicar otra cosa que el establecimiento de una regulación general en relación con la institución de la subvención, sino, más en concreto, qué aspectos </w:t>
      </w:r>
      <w:r>
        <w:lastRenderedPageBreak/>
        <w:t>pueden ser objeto de regulación por el legislador estatal y con qué grado de detalle, pues no otro es el problema que se plantea. Si la subvención no es un título que delimita competencias, como tiene reiteradamente establecido la doctrina constitucional, la admisión de una regulación procedimental de carácter general establecida por el Estado y que se superponga a las competencias, tanto estatales como autonómicas, para regular las subvenciones en cada sector material solamente puede ser admitida si está sometida a estrictos límites, derivados del adecuado entendimiento de los títulos competenciales estatales en los que la regulación pretende fundarse. Para responder a ese problema el carácter abstracto o genérico de la regulación, en el que tanto énfasis hace la mayoría, nos proporcionaría, en todo caso, un punto de partida para el análisis de los títulos competenciales que amparan la actuación estatal pero no puede constituir la razón en la que se fundamenta el empleo de tales títulos, especialmente el relativo al procedimiento administrativo común.</w:t>
      </w:r>
    </w:p>
    <w:p w:rsidR="0026452D" w:rsidRDefault="0026452D" w:rsidP="0026452D">
      <w:pPr>
        <w:pStyle w:val="TextoNormal"/>
      </w:pPr>
    </w:p>
    <w:p w:rsidR="0026452D" w:rsidRDefault="0026452D" w:rsidP="0026452D">
      <w:pPr>
        <w:pStyle w:val="TextoNormal"/>
      </w:pPr>
      <w:r>
        <w:t xml:space="preserve">Por eso, la cuestión central es la de discernir si el Estado puede regular una institución, con el grado de detalle con el que lo pretende el legislador estatal, al amparo de una competencia para establecer el “procedimiento subvencional común” acerca de la que, como tal, nada había dicho, hasta ahora, la doctrina constitucional. La respuesta de la Sentencia es la transformación, mediante un puro decisionismo, de un procedimiento especial </w:t>
      </w:r>
      <w:r w:rsidRPr="0026452D">
        <w:rPr>
          <w:i/>
        </w:rPr>
        <w:t>ratione materiae</w:t>
      </w:r>
      <w:r>
        <w:t xml:space="preserve"> en lo que se califica como “procedimiento subvencional común”, vaciándose de contenido las competencias autonómicas en este ámbito, para lo que se sirve de esa nueva competencia estatal, la del procedimiento administrativo común subvencional, y obviando la doctrina constitucional que reserva a las Comunidades Autónomas la regulación de los procedimientos administrativos relativos a materias de su competencia.</w:t>
      </w:r>
    </w:p>
    <w:p w:rsidR="0026452D" w:rsidRDefault="0026452D" w:rsidP="0026452D">
      <w:pPr>
        <w:pStyle w:val="TextoNormal"/>
      </w:pPr>
    </w:p>
    <w:p w:rsidR="0026452D" w:rsidRDefault="0026452D" w:rsidP="0026452D">
      <w:pPr>
        <w:pStyle w:val="TextoNormal"/>
      </w:pPr>
      <w:r>
        <w:t xml:space="preserve">El modo de razonar de la Sentencia de la mayoría en el fundamento jurídico 8 parte de considerar, correctamente, que la subvención no es una materia, sino una técnica administrativa de fomento, esto es, una forma de actividad administrativa que, como tal actividad, requiere un </w:t>
      </w:r>
      <w:r w:rsidRPr="0026452D">
        <w:rPr>
          <w:i/>
        </w:rPr>
        <w:t>iter</w:t>
      </w:r>
      <w:r>
        <w:t xml:space="preserve"> procedimental y una regulación abstracta para lo que no vale o no basta la actual configuración constitucional del procedimiento administrativo común a la que, en la práctica, se le va a insertar una nueva categoría intermedia entre el procedimiento administrativo común y los procedimientos </w:t>
      </w:r>
      <w:r w:rsidRPr="0026452D">
        <w:rPr>
          <w:i/>
        </w:rPr>
        <w:t>ratione materiae</w:t>
      </w:r>
      <w:r>
        <w:t>, admitiendo, en contradicción con la anterior doctrina de este Tribunal (STC 227/1988, de 29 de noviembre, FJ 32) una regulación separada del régimen sustantivo de una actividad y su correspondiente procedimiento.</w:t>
      </w:r>
    </w:p>
    <w:p w:rsidR="0026452D" w:rsidRDefault="0026452D" w:rsidP="0026452D">
      <w:pPr>
        <w:pStyle w:val="TextoNormal"/>
      </w:pPr>
    </w:p>
    <w:p w:rsidR="0026452D" w:rsidRDefault="0026452D" w:rsidP="0026452D">
      <w:pPr>
        <w:pStyle w:val="TextoNormal"/>
      </w:pPr>
      <w:r>
        <w:t xml:space="preserve">La consecuencia de la ponencia es la anulación de la distinción estricta y tradicional entre procedimiento administrativo común y procedimiento especial </w:t>
      </w:r>
      <w:r w:rsidRPr="0026452D">
        <w:rPr>
          <w:i/>
        </w:rPr>
        <w:t>ratione materiae</w:t>
      </w:r>
      <w:r>
        <w:t xml:space="preserve">, pues toda actividad típica de la Administración requiere un procedimiento formalizado y pasaría a englobar el concepto de procedimiento administrativo común, obviando que, conforme a la anterior doctrina de este Tribunal (STC 227/1988), con esta última expresión no se hace referencia a un concepto de procedimiento administrativo tipo, mucho menos en una materia concreta. Por eso, en mi opinión, la construcción del “procedimiento subvencional común” incurre en una seria e importante contradicción —y no sólo semántica— con la previa doctrina constitucional que había afirmado tajantemente el carácter especial </w:t>
      </w:r>
      <w:r w:rsidRPr="0026452D">
        <w:rPr>
          <w:i/>
        </w:rPr>
        <w:t>ratione materiae</w:t>
      </w:r>
      <w:r>
        <w:t xml:space="preserve"> del procedimiento para el ejercicio de la potestad subvencionadora (por todas, STC 175/2003, de 30 de septiembre, FJ 10).</w:t>
      </w:r>
    </w:p>
    <w:p w:rsidR="0026452D" w:rsidRDefault="0026452D" w:rsidP="0026452D">
      <w:pPr>
        <w:pStyle w:val="TextoNormal"/>
      </w:pPr>
    </w:p>
    <w:p w:rsidR="0026452D" w:rsidRDefault="0026452D" w:rsidP="0026452D">
      <w:pPr>
        <w:pStyle w:val="TextoNormal"/>
      </w:pPr>
      <w:r>
        <w:lastRenderedPageBreak/>
        <w:t xml:space="preserve">La caracterización del procedimiento para el ejercicio de la potestad subvencionadora como un procedimiento especial </w:t>
      </w:r>
      <w:r w:rsidRPr="0026452D">
        <w:rPr>
          <w:i/>
        </w:rPr>
        <w:t>ratione materiae</w:t>
      </w:r>
      <w:r>
        <w:t xml:space="preserve"> no puede entenderse tampoco como excluyente de toda intervención del legislador estatal, en los aspectos de principios de procedimiento que se relacionen con el régimen jurídico de la actividad subvencionadora propiamente dicha, pero considero que, en la competencia estatal del art. 149.1.18 CE sobre procedimiento administrativo común, relativa a la definición de la “estructura general del </w:t>
      </w:r>
      <w:r w:rsidRPr="0026452D">
        <w:rPr>
          <w:i/>
        </w:rPr>
        <w:t>iter</w:t>
      </w:r>
      <w:r>
        <w:t xml:space="preserve"> procedimental que ha de seguirse para la realización de la actividad jurídica de la Administración”, no encaja la regulación de una “estructura general” procedimental en función de la potestad pública que se ejercite en cada caso.</w:t>
      </w:r>
    </w:p>
    <w:p w:rsidR="0026452D" w:rsidRDefault="0026452D" w:rsidP="0026452D">
      <w:pPr>
        <w:pStyle w:val="TextoNormal"/>
      </w:pPr>
    </w:p>
    <w:p w:rsidR="0026452D" w:rsidRDefault="0026452D" w:rsidP="0026452D">
      <w:pPr>
        <w:pStyle w:val="TextoNormal"/>
      </w:pPr>
      <w:r>
        <w:t xml:space="preserve">No creo, entonces, que deba admitirse la pretensión del legislador estatal de tratar a las subvenciones como las actuaciones administrativas que sí aparecen expresamente mencionadas en el texto constitucional, mediante la técnica de transformar lo que debería ser un procedimiento especial </w:t>
      </w:r>
      <w:r w:rsidRPr="0026452D">
        <w:rPr>
          <w:i/>
        </w:rPr>
        <w:t>ratione materiae</w:t>
      </w:r>
      <w:r>
        <w:t xml:space="preserve"> en un procedimiento común, basándose para ello simplemente en la potestad ejercida. De lo contrario, la decisión de convertir tales procedimientos especiales en “procedimiento administrativo común” quedaría en manos de la libérrima decisión del legislador estatal, vaciándose con ello sustancialmente de contenido las competencias autonómicas en cada ámbito material, posibilidad que ya descartó la doctrina constitucional en la STC 227/1988, FJ 32. Aplicado al ámbito específico de las subvenciones, esta construcción implica la ablación de las competencias autonómicas para establecer los procedimientos de tramitación de las subvenciones en los casos en los que ostenten competencias normativas, esto es, los dos primeros contemplados en el fundamento jurídico 8 de la STC 13/1992, de 6 de febrero, en el caso de fondos estatales, así como en aquellas subvenciones en materias de competencia autonómica financiadas por las Comunidades Autónomas, las cuales, pese a que la mayoría lo obvia, tienen un expreso reflejo estatutario.</w:t>
      </w:r>
    </w:p>
    <w:p w:rsidR="0026452D" w:rsidRDefault="0026452D" w:rsidP="0026452D">
      <w:pPr>
        <w:pStyle w:val="TextoNormal"/>
      </w:pPr>
    </w:p>
    <w:p w:rsidR="0026452D" w:rsidRDefault="0026452D" w:rsidP="0026452D">
      <w:pPr>
        <w:pStyle w:val="TextoNormal"/>
      </w:pPr>
      <w:r>
        <w:t xml:space="preserve">Esa es, en mi criterio, la segunda de las graves deficiencias de las que adolece esta original construcción del “procedimiento administrativo común singular”, pues la argumentación de la Sentencia elude confrontar la regulación procedimental de la Ley general de subvenciones, con las previsiones del reformado Estatuto de Autonomía de Aragón, aprobado por Ley Orgánica 5/2007, de 21 de abril. Así, pese a que se reconoce, en el fundamento jurídico 2 a), la aplicación a este caso de la doctrina del </w:t>
      </w:r>
      <w:r w:rsidRPr="0026452D">
        <w:rPr>
          <w:i/>
        </w:rPr>
        <w:t>ius superveniens</w:t>
      </w:r>
      <w:r>
        <w:t xml:space="preserve"> en procesos de carácter competencial, tal reconocimiento no pasa de ser retórico, a la vista del trato que luego se dispensa a la regulación estatutaria. Me refiero en concreto al art. 79 del Estatuto de Autonomía de Aragón, precepto que regula la actividad de fomento llevada a cabo por la Comunidad Autónoma. Se podría, quizás, argumentar que la Sentencia no contrasta la construcción del “procedimiento subvencional común” con esta previsión estatutaria porque considera que ese procedimiento es previo e informador de la actividad autonómica de fomento. Sin embargo ese argumento, además de que ni se menciona en la Sentencia, colisiona, en mi opinión, como mínimo, con el primer apartado del art. 79 del mencionado Estatuto de Autonomía que, en materias de competencia autonómica y con cargo a sus fondos (no los estatales), le atribuye plenas competencias, ya que no puede interpretarse de otro modo el inciso “regulando o, en su caso, desarrollando los objetivos y requisitos de otorgamiento y gestionando su tramitación y concesión”. Se trata, entonces, del clamoroso silencio que la Sentencia guarda ante el hecho de que la Comunidad Autónoma, en virtud del inciso inicial del art. 149.3 CE, ha ocupado estatutariamente este espacio normativo en relación con la concesión de subvenciones en su propio ámbito de competencias y con cargo a sus propios fondos. Pese a ello, ese ámbito autonómico de atribuciones se ve ahora dejado sin efecto o, </w:t>
      </w:r>
      <w:r>
        <w:lastRenderedPageBreak/>
        <w:t xml:space="preserve">cuando menos, intensamente modulado por mor de lo que, siendo benévolos, no puede sino calificarse como un excesivamente generoso entendimiento de los títulos competenciales estatales, en especial, de ese novedoso procedimiento administrativo común especial en materia de subvenciones, al que la doctrina de la Sentencia de la mayoría atribuye una </w:t>
      </w:r>
      <w:r w:rsidRPr="0026452D">
        <w:rPr>
          <w:i/>
        </w:rPr>
        <w:t>vis expansiva</w:t>
      </w:r>
      <w:r>
        <w:t xml:space="preserve"> tal que es capaz de dejar sin efecto, sin explicación alguna, una expresa previsión estatutaria.</w:t>
      </w:r>
    </w:p>
    <w:p w:rsidR="0026452D" w:rsidRDefault="0026452D" w:rsidP="0026452D">
      <w:pPr>
        <w:pStyle w:val="TextoNormal"/>
      </w:pPr>
    </w:p>
    <w:p w:rsidR="0026452D" w:rsidRDefault="0026452D" w:rsidP="0026452D">
      <w:pPr>
        <w:pStyle w:val="TextoNormal"/>
      </w:pPr>
      <w:r>
        <w:t>4. Me referiré ahora a mi segunda discrepancia genérica sobre la Sentencia, relacionada con la forma de abordar el enjuiciamiento de la Ley general de subvenciones.</w:t>
      </w:r>
    </w:p>
    <w:p w:rsidR="0026452D" w:rsidRDefault="0026452D" w:rsidP="0026452D">
      <w:pPr>
        <w:pStyle w:val="TextoNormal"/>
      </w:pPr>
    </w:p>
    <w:p w:rsidR="0026452D" w:rsidRDefault="0026452D" w:rsidP="0026452D">
      <w:pPr>
        <w:pStyle w:val="TextoNormal"/>
      </w:pPr>
      <w:r>
        <w:t>La Sentencia de la mayoría parece considerar que, puesto que la norma tiene vocación de regulación completa de la relación jurídica subvencional, no aborda una única cuestión, por lo que el encuadramiento de la misma ha de hacerse precepto o precepto y no de forma general.</w:t>
      </w:r>
    </w:p>
    <w:p w:rsidR="0026452D" w:rsidRDefault="0026452D" w:rsidP="0026452D">
      <w:pPr>
        <w:pStyle w:val="TextoNormal"/>
      </w:pPr>
    </w:p>
    <w:p w:rsidR="0026452D" w:rsidRDefault="0026452D" w:rsidP="0026452D">
      <w:pPr>
        <w:pStyle w:val="TextoNormal"/>
      </w:pPr>
      <w:r>
        <w:t>Al respecto estimo que esta forma de razonar no es la que se corresponde con la práctica usual del Tribunal Constitucional a la hora de solucionar discrepancias competenciales como la que aquí se plantea. En efecto, en la mayor parte de los casos en los que hay una controversia competencial, la fase inicial del enjuiciamiento se dedica al encuadramiento de la cuestión discutida en la materia competencial que le sea propia (así, por ejemplo, SSTC 48/2013, 245/2012, 236/2012, 170/2012 o 111/2012) para después concluir que la regulación a examinar ha de basarse en algún título sustantivo.</w:t>
      </w:r>
    </w:p>
    <w:p w:rsidR="0026452D" w:rsidRDefault="0026452D" w:rsidP="0026452D">
      <w:pPr>
        <w:pStyle w:val="TextoNormal"/>
      </w:pPr>
    </w:p>
    <w:p w:rsidR="0026452D" w:rsidRDefault="0026452D" w:rsidP="0026452D">
      <w:pPr>
        <w:pStyle w:val="TextoNormal"/>
      </w:pPr>
      <w:r>
        <w:t>La determinación del título prevalente es, en mi opinión, una operación necesaria como punto de partida del enjuiciamiento. Es ésta una operación no exenta de complejidad, en el sentido de que los títulos competenciales estales, invocados tanto por el legislador estatal en la disposición final primera de la Ley general de subvenciones como por el Abogado del Estado, pueden tener algún alcance complementario en función del concreto precepto de que se trate, siempre que ese entendimiento pueda insertarse con naturalidad en la materia específica que dichos títulos competenciales se refiere y sin desconocer, en todo caso, cuál de ellos, en función del encuadramiento material que se adopte, ha de considerarse el prevalente.</w:t>
      </w:r>
    </w:p>
    <w:p w:rsidR="0026452D" w:rsidRDefault="0026452D" w:rsidP="0026452D">
      <w:pPr>
        <w:pStyle w:val="TextoNormal"/>
      </w:pPr>
    </w:p>
    <w:p w:rsidR="0026452D" w:rsidRDefault="0026452D" w:rsidP="0026452D">
      <w:pPr>
        <w:pStyle w:val="TextoNormal"/>
      </w:pPr>
      <w:r>
        <w:t xml:space="preserve">La forma de proceder de este Tribunal en casos en los que, como en el presente, se proponen una concurrencia de títulos competenciales la sistematiza la STC 175/2011, FJ 3, en estos términos: “Sobre concurrencia de títulos competenciales nuestra doctrina podría resumirse en los siguientes: Primero, que ‘el orden de competencias y la definición de las que, en cada caso, se ejerzan, no pueden quedar a merced de las alegaciones de las partes, sino que deben ser determinadas en atención a los criterios objetivos que sobre cada materia establecen la Constitución, los Estatutos de Autonomía y las Leyes a las que éstos y aquélla se remitan’ (STC 69/1988, de 19 de abril, FJ 2). Segundo, que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Y, tercero, que, ‘como criterio general a tener en cuenta en los supuestos de </w:t>
      </w:r>
      <w:r>
        <w:lastRenderedPageBreak/>
        <w:t>concurrencia de títulos competenciales, el de la prevalencia de la regla competencial específica sobre el de la más genérica’ (así, en SSTC 87/1987, FJ 2 y 69/1988, FJ 4) … a este criterio no se le puede atribuir un valor absoluto (STC 213/1988, FJ 3) … ya que en ciertos sectores, las competencias específicas y las generales ‘han de ejercerse conjunta y armónicamente, cada cual dentro de su respectivo ámbito material de actuación, que será preciso delimitar en cada caso’” (STC 197/1996, de 28 de noviembre, FJ 4).</w:t>
      </w:r>
    </w:p>
    <w:p w:rsidR="0026452D" w:rsidRDefault="0026452D" w:rsidP="0026452D">
      <w:pPr>
        <w:pStyle w:val="TextoNormal"/>
      </w:pPr>
    </w:p>
    <w:p w:rsidR="0026452D" w:rsidRDefault="0026452D" w:rsidP="0026452D">
      <w:pPr>
        <w:pStyle w:val="TextoNormal"/>
      </w:pPr>
      <w:r>
        <w:t>A este respecto reitero que, puesto que se trata de la pretensión de regular el medio por excelencia a través del cual se materializa la función administrativa de fomento, nos encontraríamos, ante la falta de mención a la subvención como tal en el esquema constitucional de distribución de competencias, en una cuestión relacionada, no con un ámbito material concreto en el que se use la técnica subvencional, sino con el régimen jurídico de las Administraciones públicas, en la medida en que la subvención es un instrumento puesto al servicio de las Administraciones públicas para alcanzar sus fines. Se trata, en suma, del ejercicio de una potestad para incidir sobre la realidad y conseguir los fines a cuya consecución se dirige la actuación administrativa. Lo que, en un correcto entendimiento del orden competencial, la Ley general de subvenciones debería regular es la subvención como institución y para eso, desde la perspectiva competencial en la que el recurso nos sitúa, hay que tener en cuenta dos aspectos: a) que la subvención como tal no está contemplada en el texto constitucional; y b) que, por tanto, atendiendo a la consolidada doctrina constitucional, el objeto de la regulación ha de ser, esencialmente, el régimen jurídico de la institución, no el procedimiento mediante el cual se conceden las subvenciones.</w:t>
      </w:r>
    </w:p>
    <w:p w:rsidR="0026452D" w:rsidRDefault="0026452D" w:rsidP="0026452D">
      <w:pPr>
        <w:pStyle w:val="TextoNormal"/>
      </w:pPr>
    </w:p>
    <w:p w:rsidR="0026452D" w:rsidRDefault="0026452D" w:rsidP="0026452D">
      <w:pPr>
        <w:pStyle w:val="TextoNormal"/>
      </w:pPr>
      <w:r>
        <w:t>En suma, a mi entender, lo que podría ser objeto de una regulación homogénea son las pautas generales de la relación jurídica subvencional, esto es, la regulación de los principios esenciales que caracterizan y definen la subvención y las posiciones jurídicas fundamentales de los sujetos que intervienen en la relación. En ese caso sí se produce el sometimiento al régimen jurídico de una determinada actuación administrativa de indudable trascendencia para los particulares y que requiere un tratamiento común y uniforme para todas las Administraciones públicas. Conforme a dicho encuadramiento el Estado, al amparo del art. 149.1.18 CE, estaría habilitado para establecer una regulación general del ejercicio de esta potestad, fijando reglas y principios procedimentales comunes, siendo, por lo demás, el art. 149.1.18 CE el único que permite la regulación normativa de los aspectos básicos de la subvención.</w:t>
      </w:r>
    </w:p>
    <w:p w:rsidR="0026452D" w:rsidRDefault="0026452D" w:rsidP="0026452D">
      <w:pPr>
        <w:pStyle w:val="TextoNormal"/>
      </w:pPr>
    </w:p>
    <w:p w:rsidR="0026452D" w:rsidRDefault="0026452D" w:rsidP="0026452D">
      <w:pPr>
        <w:pStyle w:val="TextoNormal"/>
      </w:pPr>
      <w:r>
        <w:t xml:space="preserve">El problema que se plantea es que, conforme a dicho encuadramiento, es dudoso que sean básicos los 41 preceptos (de un total de 69) y dos disposiciones adicionales que como tales se declaran en la disposición final primera de la Ley general de subvenciones, muchos de los cuales han sido ahora impugnados precisamente por dicha razón. Sin embargo, la Sentencia de la mayoría parece compartir el afán del legislador estatal en el sentido de multiplicar y extender hasta el agotamiento los títulos competenciales estatales que proporcionarían cobertura a la norma. Acumulación de títulos que, además de conducir, en algunos casos, a resultados paradójicos [por ejemplo, de los argumentos de la Sentencia se deduce que los principios rectores del gasto público se apoyan en el art. 149.1.14 [FFJJ 5 y 9 F), en el 149.1.18 (FJ 6) y en el 149.1.13 (FJ 9 E), todos ellos de la Constitución] es, por lo demás, innecesaria, pues, salvo contadas excepciones, la valoración competencial de la norma se </w:t>
      </w:r>
      <w:r>
        <w:lastRenderedPageBreak/>
        <w:t>hace descansando especialmente en el art. 149.1.18 CE, bien que en relación con la novedosa construcción del procedimiento subvencional común, respecto de la que ya he expresado las razones de mi disentimiento.</w:t>
      </w:r>
    </w:p>
    <w:p w:rsidR="0026452D" w:rsidRDefault="0026452D" w:rsidP="0026452D">
      <w:pPr>
        <w:pStyle w:val="TextoNormal"/>
      </w:pPr>
    </w:p>
    <w:p w:rsidR="0026452D" w:rsidRDefault="0026452D" w:rsidP="0026452D">
      <w:pPr>
        <w:pStyle w:val="TextoNormal"/>
      </w:pPr>
      <w:r>
        <w:t>5. Abordo ahora la última parte de mi discrepancia, la que afecta a concretos preceptos enjuiciados, no sin antes advertir que, evidentemente, si no se comparte el presupuesto de partida tampoco ha de hacerlo su aplicación a los preceptos objeto del recurso, de suerte que, de haberse aceptado la tesis que defendí en la deliberación, se hubiera llegado a un resultado bien distinto del que ha llegado la mayoría en cuanto a la conformidad con el orden competencial de numerosas previsiones de la Ley general de subvenciones.</w:t>
      </w:r>
    </w:p>
    <w:p w:rsidR="0026452D" w:rsidRDefault="0026452D" w:rsidP="0026452D">
      <w:pPr>
        <w:pStyle w:val="TextoNormal"/>
      </w:pPr>
    </w:p>
    <w:p w:rsidR="0026452D" w:rsidRDefault="0026452D" w:rsidP="0026452D">
      <w:pPr>
        <w:pStyle w:val="TextoNormal"/>
      </w:pPr>
      <w:r>
        <w:t>No obstante, dejando sentado lo anterior y para no alargar en exceso el presente Voto particular, me limitaré ahora a señalar aquellos casos en los que mi discrepancia se fundamenta en razones distintas de las hasta ahora expuestas.</w:t>
      </w:r>
    </w:p>
    <w:p w:rsidR="0026452D" w:rsidRDefault="0026452D" w:rsidP="0026452D">
      <w:pPr>
        <w:pStyle w:val="TextoNormal"/>
      </w:pPr>
    </w:p>
    <w:p w:rsidR="0026452D" w:rsidRDefault="0026452D" w:rsidP="0026452D">
      <w:pPr>
        <w:pStyle w:val="TextoNormal"/>
      </w:pPr>
      <w:r>
        <w:t>a) No comparto el análisis del art. 3.4 a) que se efectúa en el fundamento jurídico 9 pues conduce a que esa previsión legal sea prescindible o irrelevante, cuando en realidad lo que lo hace prescindible es precisamente la interpretación de la Sentencia ya que, con la que se propone y se lleva al fallo, el precepto dice exactamente lo mismo que el art. 3.3.</w:t>
      </w:r>
    </w:p>
    <w:p w:rsidR="0026452D" w:rsidRDefault="0026452D" w:rsidP="0026452D">
      <w:pPr>
        <w:pStyle w:val="TextoNormal"/>
      </w:pPr>
    </w:p>
    <w:p w:rsidR="0026452D" w:rsidRDefault="0026452D" w:rsidP="0026452D">
      <w:pPr>
        <w:pStyle w:val="TextoNormal"/>
      </w:pPr>
      <w:r>
        <w:t>A mi entender es evidente que esa coincidencia no existe. El art. 3.3 de la Ley general de subvenciones (“Los preceptos de esta Ley serán de aplicación a la actividad subvencional de las Administraciones de las Comunidades Autónomas, así como a los organismos públicos y las restantes entidades de derecho público con personalidad jurídica propia vinculadas o dependientes de las mismas, de acuerdo con lo establecido en la disposición final primera.”), en sí mismo, es irreprochable. El art. 3.4 a) añade algo más, la pretensión de aplicar la totalidad de los preceptos de la Ley general de subvenciones a las subvenciones “establecidas en materias cuya regulación … básica corresponde al Estado”, lo que limita las posibilidades autonómicas para regular las subvenciones en las materias de su competencia únicamente a aquellos ámbitos en los que ostenten competencias exclusivas. Es esa pretensión, la de la plena aplicación de la norma en los casos en los que el Estado ostente competencias básicas, la que contradice abiertamente la doctrina constitucional, y, por tanto, ha de ser desechada y expulsada del ordenamiento. Sin entrar en juicios de técnica legislativa ni intentar averiguar cuáles fueron las intenciones del legislador al introducir esta previsión, lo cierto es que su tenor literal, en el que se omite cualquier referencia a la disposición final primera de la norma, permite concluir que el precepto, en su pretensión de extender el ámbito de aplicación de la totalidad de la Ley general de subvenciones a los supuestos en los que las Comunidades Autónomas ostentan competencias de desarrollo normativo, es contrario al orden constitucional de distribución de competencias.</w:t>
      </w:r>
    </w:p>
    <w:p w:rsidR="0026452D" w:rsidRDefault="0026452D" w:rsidP="0026452D">
      <w:pPr>
        <w:pStyle w:val="TextoNormal"/>
      </w:pPr>
    </w:p>
    <w:p w:rsidR="0026452D" w:rsidRDefault="0026452D" w:rsidP="0026452D">
      <w:pPr>
        <w:pStyle w:val="TextoNormal"/>
      </w:pPr>
      <w:r>
        <w:t xml:space="preserve">Tampoco me parece que una interpretación sistemática del precepto pueda consistir en que, sobre la base de que el precepto afirma en su encabezamiento que “Será igualmente aplicable esta Ley a las siguientes subvenciones”, haya que concluir que “dicha aplicación lo será en iguales términos que lo dispuesto en el apartado 3”, esto es, suplir lo que, implícitamente, se considera un olvido del legislador por no hacer referencia a la citada disposición final primera de la Ley general de subvenciones. Más bien lo que creo es que con la utilización de la expresión “Será igualmente aplicable esta Ley…”, lo que el legislador hace </w:t>
      </w:r>
      <w:r>
        <w:lastRenderedPageBreak/>
        <w:t>es exactamente lo que parece, establecer supuestos de aplicación de la Ley general subvenciones distintos de los contemplados en los apartados anteriores del art. 3 y al establecerlos incurriendo, al actuar así, en inconstitucionalidad.</w:t>
      </w:r>
    </w:p>
    <w:p w:rsidR="0026452D" w:rsidRDefault="0026452D" w:rsidP="0026452D">
      <w:pPr>
        <w:pStyle w:val="TextoNormal"/>
      </w:pPr>
    </w:p>
    <w:p w:rsidR="0026452D" w:rsidRDefault="0026452D" w:rsidP="0026452D">
      <w:pPr>
        <w:pStyle w:val="TextoNormal"/>
      </w:pPr>
      <w:r>
        <w:t>b) Finalmente, discrepo igualmente del enjuiciamiento del art. 6.2 que se contiene en el fundamento jurídico 9 C). Allí la Sentencia toma una doctrina sectorial, la de la STC 79/1992, de 28 de mayo, elaborada en relación con unas concretas ayudas en un específico sector económico, como la agricultura y ganadería, y la convierte en la doctrina general en la materia sin explicar sus relaciones, si las hay, con la doctrina de la supletoriedad del derecho estatal de las conocidas SSTC 118/1996, de 27 de junio, y 61/1997, de 20 de marzo.</w:t>
      </w:r>
    </w:p>
    <w:p w:rsidR="0026452D" w:rsidRDefault="0026452D" w:rsidP="0026452D">
      <w:pPr>
        <w:pStyle w:val="TextoNormal"/>
      </w:pPr>
    </w:p>
    <w:p w:rsidR="0026452D" w:rsidRDefault="0026452D" w:rsidP="0026452D">
      <w:pPr>
        <w:pStyle w:val="TextoNormal"/>
      </w:pPr>
      <w:r>
        <w:t>Las razones que aporta la Sentencia consisten, además de la cita del fundamento jurídico 3 de la STC 79/1992, en afirmar, lisa y llanamente, que “la aplicación de ‘los procedimientos de concesión y de control de las subvenciones regulados en esta Ley’ persigue garantizar la efectividad del Derecho de la Unión Europea en caso de pasividad de las Comunidades Autónomas”.</w:t>
      </w:r>
    </w:p>
    <w:p w:rsidR="0026452D" w:rsidRDefault="0026452D" w:rsidP="0026452D">
      <w:pPr>
        <w:pStyle w:val="TextoNormal"/>
      </w:pPr>
    </w:p>
    <w:p w:rsidR="0026452D" w:rsidRDefault="0026452D" w:rsidP="0026452D">
      <w:pPr>
        <w:pStyle w:val="TextoNormal"/>
      </w:pPr>
      <w:r>
        <w:t>No creo que esa sea la finalidad de la norma, que no traspone por sí misma norma comunitaria alguna, sino que se limita a establecer un orden de prelación de fuentes sobre aspectos instrumentales y parciales de las subvención (los procedimientos de concesión y control), cuestión muy distinta de la garantía de la efectividad de las norma europeas. Estimo, por eso, que la STC 79/1992 se refería a un caso distinto del que ahora se examina. Allí se trataba de la posibilidad de que las normas estatales preexistentes pudieran tener valor supletorio en ausencia de norma autonómica de trasposición o de desarrollo normativo del derecho comunitario, de modo que la actividad legislativa o reglamentaria autonómica posterior desplaza dicha norma estatal, relativa a la misma materia. Sin embargo la supletoriedad que ahora se proclama es la de una regulación general, la de la Ley general de subvenciones, que se contrapone a las normas de regulación directa de las subvenciones. Obsérvese que la supletoriedad de estos procedimientos se predica respecto de “las normas de aplicación directa a las subvenciones financiadas con cargo a fondos de la Unión Europea” y no, por ejemplo, de la ausencia de normas autonómicas aplicables. Es decir, el propio precepto legal presupone —a diferencia del caso de la STC 79/1992— que ya existen normas nacionales de desarrollo o trasposición de la normativa comunitaria y lo que dice es que, caso de existir lagunas en ellas en los aspectos relativos a los procedimientos de concesión y control, dichas lagunas van a ser colmadas aplicando lo previsto en la Ley general de subvenciones. Eso implica extender la aplicación, bien que con carácter supletorio, de la totalidad de los títulos primero y tercero de la Ley general de subvenciones a todas las subvenciones, total o parcialmente financiadas con fondos comunitarios y con independencia de cuál sea la competencia estatal que se relacione con la materia a la que las subvenciones se refieran.</w:t>
      </w:r>
    </w:p>
    <w:p w:rsidR="0026452D" w:rsidRDefault="0026452D" w:rsidP="0026452D">
      <w:pPr>
        <w:pStyle w:val="TextoNormal"/>
      </w:pPr>
    </w:p>
    <w:p w:rsidR="0026452D" w:rsidRDefault="0026452D" w:rsidP="0026452D">
      <w:pPr>
        <w:pStyle w:val="TextoNormal"/>
      </w:pPr>
      <w:r>
        <w:t>Y en ese sentido emito mi Voto particular.</w:t>
      </w:r>
    </w:p>
    <w:p w:rsidR="0026452D" w:rsidRDefault="0026452D" w:rsidP="0026452D">
      <w:pPr>
        <w:pStyle w:val="TextoNormal"/>
      </w:pPr>
    </w:p>
    <w:p w:rsidR="0026452D" w:rsidRDefault="0026452D" w:rsidP="0026452D">
      <w:pPr>
        <w:pStyle w:val="TextoNormal"/>
      </w:pPr>
      <w:r>
        <w:t>Madrid, a cuatro de junio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34" w:name="SENTENCIA_2013_131"/>
      <w:r>
        <w:lastRenderedPageBreak/>
        <w:t>SENTENCIA 131/2013, de 5 de junio de 2013</w:t>
      </w:r>
    </w:p>
    <w:bookmarkEnd w:id="134"/>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157, de 2 de julio de 2013)</w:t>
      </w:r>
    </w:p>
    <w:p w:rsidR="0026452D" w:rsidRDefault="0026452D" w:rsidP="0026452D">
      <w:pPr>
        <w:pStyle w:val="TtuloBOE"/>
      </w:pPr>
    </w:p>
    <w:p w:rsidR="0026452D" w:rsidRDefault="0026452D" w:rsidP="0026452D">
      <w:pPr>
        <w:pStyle w:val="SntesisDescriptiva"/>
      </w:pPr>
      <w:r>
        <w:t>ECLI:ES:TC:2013:131</w:t>
      </w:r>
    </w:p>
    <w:p w:rsidR="0026452D" w:rsidRDefault="0026452D" w:rsidP="0026452D">
      <w:pPr>
        <w:pStyle w:val="SntesisDescriptiva"/>
      </w:pPr>
    </w:p>
    <w:p w:rsidR="0026452D" w:rsidRDefault="0026452D" w:rsidP="0026452D">
      <w:pPr>
        <w:pStyle w:val="SntesisDescriptiva"/>
      </w:pPr>
      <w:r>
        <w:t>Recurso de inconstitucionalidad 1725-2002. Interpuesto por más de cincuenta Diputados de diferentes grupos parlamentarios en relación con diversos preceptos de la Ley Orgánica 6/2001, de 21 de diciembre, de universidades</w:t>
      </w:r>
    </w:p>
    <w:p w:rsidR="0026452D" w:rsidRDefault="0026452D" w:rsidP="0026452D">
      <w:pPr>
        <w:pStyle w:val="SntesisDescriptiva"/>
      </w:pPr>
    </w:p>
    <w:p w:rsidR="0026452D" w:rsidRDefault="0026452D" w:rsidP="0026452D">
      <w:pPr>
        <w:pStyle w:val="SntesisAnaltica"/>
      </w:pPr>
      <w:r>
        <w:t>Reserva de ley orgánica, autonomía universitaria, competencias sobre universidades: nulidad de la exención del requisito de ley de reconocimiento para las universidades fundadas por la Iglesia católica. Votos particulares.</w:t>
      </w:r>
    </w:p>
    <w:p w:rsidR="0026452D" w:rsidRDefault="0026452D" w:rsidP="0026452D">
      <w:pPr>
        <w:pStyle w:val="SntesisAnaltica"/>
      </w:pPr>
    </w:p>
    <w:p w:rsidR="0026452D" w:rsidRDefault="0026452D" w:rsidP="0026452D">
      <w:pPr>
        <w:pStyle w:val="Extracto"/>
      </w:pPr>
      <w:r>
        <w:t>1.</w:t>
      </w:r>
      <w:r>
        <w:tab/>
        <w:t xml:space="preserve">La exención establecida por la disposición adicional cuarta, en lo atinente a la ley de reconocimiento, para las universidades creadas por la Iglesia católica, desvirtúa el procedimiento administrativo de autorización de comienzo de las actividades del ente universitario, lo que entraña una real y efectiva diferencia de trato entre las universidades privadas en razón de por quién hayan sido creadas que carece de la justificación objetiva y razonable </w:t>
      </w:r>
      <w:r w:rsidRPr="0026452D">
        <w:rPr>
          <w:i/>
        </w:rPr>
        <w:t>ex</w:t>
      </w:r>
      <w:r>
        <w:t xml:space="preserve"> art. 14 CE, lo que conduce a la declaración de inconstitucionalidad de dicha disposición [FJ 10].</w:t>
      </w:r>
    </w:p>
    <w:p w:rsidR="0026452D" w:rsidRDefault="0026452D" w:rsidP="0026452D">
      <w:pPr>
        <w:pStyle w:val="Extracto"/>
      </w:pPr>
    </w:p>
    <w:p w:rsidR="0026452D" w:rsidRDefault="0026452D" w:rsidP="0026452D">
      <w:pPr>
        <w:pStyle w:val="Extracto"/>
      </w:pPr>
      <w:r>
        <w:t>2.</w:t>
      </w:r>
      <w:r>
        <w:tab/>
        <w:t>Doctrina sobre el principio de igualdad (SSTC 110/1993, 340/1993) [FJ 10].</w:t>
      </w:r>
    </w:p>
    <w:p w:rsidR="0026452D" w:rsidRDefault="0026452D" w:rsidP="0026452D">
      <w:pPr>
        <w:pStyle w:val="Extracto"/>
      </w:pPr>
    </w:p>
    <w:p w:rsidR="0026452D" w:rsidRDefault="0026452D" w:rsidP="0026452D">
      <w:pPr>
        <w:pStyle w:val="Extracto"/>
      </w:pPr>
      <w:r>
        <w:t>3.</w:t>
      </w:r>
      <w:r>
        <w:tab/>
        <w:t xml:space="preserve">El principio de seguridad jurídica, </w:t>
      </w:r>
      <w:r w:rsidRPr="0026452D">
        <w:rPr>
          <w:i/>
        </w:rPr>
        <w:t>ex</w:t>
      </w:r>
      <w:r>
        <w:t xml:space="preserve"> art. 9.3 CE, reclama la intangibilidad de las situaciones jurídicas consolidadas, no sólo las decididas con fuerza de cosa juzgada, sino también las situaciones administrativas firmes, por lo que la modulación del alcance de la declaración de inconstitucionalidad de la disposición adicional cuarta exige que sólo sea eficaz </w:t>
      </w:r>
      <w:r w:rsidRPr="0026452D">
        <w:rPr>
          <w:i/>
        </w:rPr>
        <w:t>pro futuro</w:t>
      </w:r>
      <w:r>
        <w:t xml:space="preserve"> (SSTC 54/2002, 365/2006) [FJ 10].</w:t>
      </w:r>
    </w:p>
    <w:p w:rsidR="0026452D" w:rsidRDefault="0026452D" w:rsidP="0026452D">
      <w:pPr>
        <w:pStyle w:val="Extracto"/>
      </w:pPr>
    </w:p>
    <w:p w:rsidR="0026452D" w:rsidRDefault="0026452D" w:rsidP="0026452D">
      <w:pPr>
        <w:pStyle w:val="Extracto"/>
      </w:pPr>
      <w:r>
        <w:t>4.</w:t>
      </w:r>
      <w:r>
        <w:tab/>
        <w:t>Si las funciones que se atribuyen al Consejo Social responden a su finalidad específica de ser el órgano de participación de la sociedad en las Universidades y no afectan al concierto esencial de la autonomía de éstas, la participación minoritaria de la comunidad universitaria no lesionará su autonomía (STC 26/1987) [FJ 8 a)].</w:t>
      </w:r>
    </w:p>
    <w:p w:rsidR="0026452D" w:rsidRDefault="0026452D" w:rsidP="0026452D">
      <w:pPr>
        <w:pStyle w:val="Extracto"/>
      </w:pPr>
    </w:p>
    <w:p w:rsidR="0026452D" w:rsidRDefault="0026452D" w:rsidP="0026452D">
      <w:pPr>
        <w:pStyle w:val="Extracto"/>
      </w:pPr>
      <w:r>
        <w:t>5.</w:t>
      </w:r>
      <w:r>
        <w:tab/>
        <w:t>La intervención del Consejo Social en el nombramiento del gerente de la universidad –inciso segundo del art. 23 LOU– no lesiona la autonomía universitaria dada la naturaleza no académica del cargo y las funciones de gestión de los servicios administrativos y económicos de la universidad encomendadas al mismo, todo ello sin perjuicio de que en dicho nombramiento no se excluye la intervención del rector [FJ 8 a)].</w:t>
      </w:r>
    </w:p>
    <w:p w:rsidR="0026452D" w:rsidRDefault="0026452D" w:rsidP="0026452D">
      <w:pPr>
        <w:pStyle w:val="Extracto"/>
      </w:pPr>
    </w:p>
    <w:p w:rsidR="0026452D" w:rsidRDefault="0026452D" w:rsidP="0026452D">
      <w:pPr>
        <w:pStyle w:val="Extracto"/>
      </w:pPr>
      <w:r>
        <w:t>6.</w:t>
      </w:r>
      <w:r>
        <w:tab/>
        <w:t>Al corresponder al Consejo Social la supervisión de las actividades económicas de la universidad y, entre ellas, las referidas a los actos de disposición patrimonial –dotación fundacional, aportación al capital social u otras–, resulta coherente arbitrar su participación en el proceso de creación de las fundaciones y otras personas jurídicas a las que alude el art. 84 LOU [FJ 8 a)]. [FJ 8 a)].</w:t>
      </w:r>
    </w:p>
    <w:p w:rsidR="0026452D" w:rsidRDefault="0026452D" w:rsidP="0026452D">
      <w:pPr>
        <w:pStyle w:val="Extracto"/>
      </w:pPr>
    </w:p>
    <w:p w:rsidR="0026452D" w:rsidRDefault="0026452D" w:rsidP="0026452D">
      <w:pPr>
        <w:pStyle w:val="Extracto"/>
      </w:pPr>
      <w:r>
        <w:t>7.</w:t>
      </w:r>
      <w:r>
        <w:tab/>
        <w:t>La aprobación, por el Consejo Social, de las normas sobre permanencia de los alumnos en las universidades públicas –inciso segundo del art. 46.4 LOU– no está exenta de justificación si se tiene en cuenta que una de sus funciones es la de supervisar el rendimiento de los servicios que presta la universidad, que incluye la de velar por que exista una adecuada relación entre la duración de los estudios y la permanencia de los alumnos en la universidad, ya que dicha permanencia implica la utilización de recursos públicos que son, por su propia naturaleza, limitados [FJ 8 a)].</w:t>
      </w:r>
    </w:p>
    <w:p w:rsidR="0026452D" w:rsidRDefault="0026452D" w:rsidP="0026452D">
      <w:pPr>
        <w:pStyle w:val="Extracto"/>
      </w:pPr>
    </w:p>
    <w:p w:rsidR="0026452D" w:rsidRDefault="0026452D" w:rsidP="0026452D">
      <w:pPr>
        <w:pStyle w:val="Extracto"/>
      </w:pPr>
      <w:r>
        <w:t>8.</w:t>
      </w:r>
      <w:r>
        <w:tab/>
        <w:t>La autonomía universitaria encuentra su razón de ser en la protección de la libertad académica, en su manifestación de libertad de enseñanza, estudio e investigación, frente a todo tipo de injerencias externas, de manera que la libertad de ciencia quede garantizada tanto en su vertiente individual como institucional, entendida ésta como la correspondiente a cada Universidad particular (STC 106/1990) [FJ 8 b)].</w:t>
      </w:r>
    </w:p>
    <w:p w:rsidR="0026452D" w:rsidRDefault="0026452D" w:rsidP="0026452D">
      <w:pPr>
        <w:pStyle w:val="Extracto"/>
      </w:pPr>
    </w:p>
    <w:p w:rsidR="0026452D" w:rsidRDefault="0026452D" w:rsidP="0026452D">
      <w:pPr>
        <w:pStyle w:val="Extracto"/>
      </w:pPr>
      <w:r>
        <w:t>9.</w:t>
      </w:r>
      <w:r>
        <w:tab/>
        <w:t>La exigencia de evaluación positiva para contratar personal docente, encomendada por los preceptos impugnados a la Agencia Nacional de Evaluación de la Calidad y Acreditación o a entes análogos de las Comunidades Autónomas –arts. 50 y 52 LOU– no vulnera la autonomía universitaria ya que difícilmente puede sostenerse que dicha exigencia de evaluación, por parte del órgano que legalmente tiene atribuida esa potestad, sea innecesaria y desproporcionada para asegurar la calidad del profesorado [FJ 8 b)].</w:t>
      </w:r>
    </w:p>
    <w:p w:rsidR="0026452D" w:rsidRDefault="0026452D" w:rsidP="0026452D">
      <w:pPr>
        <w:pStyle w:val="Extracto"/>
      </w:pPr>
    </w:p>
    <w:p w:rsidR="0026452D" w:rsidRDefault="0026452D" w:rsidP="0026452D">
      <w:pPr>
        <w:pStyle w:val="Extracto"/>
      </w:pPr>
      <w:r>
        <w:t>10.</w:t>
      </w:r>
      <w:r>
        <w:tab/>
        <w:t>La creación de centros universitarios privados y el establecimiento de su régimen jurídico no es manifestación de la autonomía universitaria, sino del reconocimiento a las personas físicas y jurídicas de la libertad de creación de centros docentes (STC 223/2012) [FJ 9 a)].</w:t>
      </w:r>
    </w:p>
    <w:p w:rsidR="0026452D" w:rsidRDefault="0026452D" w:rsidP="0026452D">
      <w:pPr>
        <w:pStyle w:val="Extracto"/>
      </w:pPr>
    </w:p>
    <w:p w:rsidR="0026452D" w:rsidRDefault="0026452D" w:rsidP="0026452D">
      <w:pPr>
        <w:pStyle w:val="Extracto"/>
      </w:pPr>
      <w:r>
        <w:t>11.</w:t>
      </w:r>
      <w:r>
        <w:tab/>
        <w:t>Debe desestimarse la impugnación del precepto que regula las normas de organización y funcionamiento de las universidades privadas –Art. 6.5 LOU– pues, a su tenor, la creación de estas universidades ha de hacerse dentro del respeto a los principios constitucionales; los poderes de dirección de sus promotores y titulares quedan sujetos a la garantía efectiva del principio de libertad académica; su organización queda asegurada mediante la participación adecuada de la comunidad universitaria; sus órganos de gobierno deben contar con una representación de los diferentes sectores de la comunidad universitaria; sus normas de organización y funcionamiento deben garantizar que las decisiones de naturaleza académica se adopten por órganos en los que el personal docente o investigador tenga una representación mayoritaria; y el personal docente o investigador debe ser oído en el nombramiento del Rector, lo que no desregulariza dicha organización y funcionamiento ni atribuye la misma a actores ajenos a la comunidad universitaria [FJ 9 a)].</w:t>
      </w:r>
    </w:p>
    <w:p w:rsidR="0026452D" w:rsidRDefault="0026452D" w:rsidP="0026452D">
      <w:pPr>
        <w:pStyle w:val="Extracto"/>
      </w:pPr>
    </w:p>
    <w:p w:rsidR="0026452D" w:rsidRDefault="0026452D" w:rsidP="0026452D">
      <w:pPr>
        <w:pStyle w:val="Extracto"/>
      </w:pPr>
      <w:r>
        <w:t>12.</w:t>
      </w:r>
      <w:r>
        <w:tab/>
        <w:t>Se desestima la impugnación del precepto relativo al profesorado de las universidades privadas –art. 72.2 LOU– que establece un porcentaje mínimo de profeso</w:t>
      </w:r>
      <w:r>
        <w:lastRenderedPageBreak/>
        <w:t>rado doctor en posesión de evaluación positiva de la actividad docente e investigadora dada la inadecuada conformación del término de comparación respecto a las universidades públicas, la falta de explicitación de los extremos que necesariamente habría de consignarse en la ley para impedir la lesión invocada, y la amplia modificación legislativa acontecida en 2007, que por sí misma bastaría para estimar su perdida sobrevenida de objeto [FJ 9 b)].</w:t>
      </w:r>
    </w:p>
    <w:p w:rsidR="0026452D" w:rsidRDefault="0026452D" w:rsidP="0026452D">
      <w:pPr>
        <w:pStyle w:val="Extracto"/>
      </w:pPr>
    </w:p>
    <w:p w:rsidR="0026452D" w:rsidRDefault="0026452D" w:rsidP="0026452D">
      <w:pPr>
        <w:pStyle w:val="Extracto"/>
      </w:pPr>
      <w:r>
        <w:t>13.</w:t>
      </w:r>
      <w:r>
        <w:tab/>
        <w:t xml:space="preserve">La determinación de las bases generales del régimen de conciertos entre las universidades y las instituciones sanitarias –disposición adicional séptima LOU– en atención a la formación práctica del alumnado en las profesiones que así lo requieran, por su carácter general y por afectar directamente a las enseñanzas necesarias para la obtención de los títulos, es una competencia estatal que hay que encuadrar en la regulación de las condiciones de obtención, expedición y homologación de títulos académicos y profesionales, </w:t>
      </w:r>
      <w:r w:rsidRPr="0026452D">
        <w:rPr>
          <w:i/>
        </w:rPr>
        <w:t>ex</w:t>
      </w:r>
      <w:r>
        <w:t xml:space="preserve"> art. 149.1.30 CE (STC 26/1987) [FJ 6 d)].</w:t>
      </w:r>
    </w:p>
    <w:p w:rsidR="0026452D" w:rsidRDefault="0026452D" w:rsidP="0026452D">
      <w:pPr>
        <w:pStyle w:val="Extracto"/>
      </w:pPr>
    </w:p>
    <w:p w:rsidR="0026452D" w:rsidRDefault="0026452D" w:rsidP="0026452D">
      <w:pPr>
        <w:pStyle w:val="Extracto"/>
      </w:pPr>
      <w:r>
        <w:t>14.</w:t>
      </w:r>
      <w:r>
        <w:tab/>
        <w:t>La ausencia de toda argumentación por parte de los recurrentes, en orden a indicar qué aspectos básicos, en lo relativo a la autorización de trabajos y contratos de colaboración del personal docente –art. 83.2 LOU–, han de quedar reservados al legislador, junto a la admisible intervención del normador reglamentario en la determinación de las bases, intervención que está especialmente justificada cuando la materia esté revestida de un carácter marcadamente técnico, ha de conducir a la desestimación del motivo de inconstitucionalidad alegado por los recurrentes (SSTC 31/2010, 4/2013) [FJ 6 c)].</w:t>
      </w:r>
    </w:p>
    <w:p w:rsidR="0026452D" w:rsidRDefault="0026452D" w:rsidP="0026452D">
      <w:pPr>
        <w:pStyle w:val="Extracto"/>
      </w:pPr>
    </w:p>
    <w:p w:rsidR="0026452D" w:rsidRDefault="0026452D" w:rsidP="0026452D">
      <w:pPr>
        <w:pStyle w:val="Extracto"/>
      </w:pPr>
      <w:r>
        <w:t>15.</w:t>
      </w:r>
      <w:r>
        <w:tab/>
        <w:t>Este Tribunal ha admitido la facultad del Estado para fijar las bases en materia de procedimientos de selección para el acceso a los centros universitarios –art. 42.3 LOU–, no estimando inconstitucional que su determinación fuera atribuida al Gobierno, correspondiendo su desarrollo a las Comunidades Autónomas con competencia plena en materia de educación  (SSTC 26/1987, 223/2012) [FFJJ 5, 6 b)].</w:t>
      </w:r>
    </w:p>
    <w:p w:rsidR="0026452D" w:rsidRDefault="0026452D" w:rsidP="0026452D">
      <w:pPr>
        <w:pStyle w:val="Extracto"/>
      </w:pPr>
    </w:p>
    <w:p w:rsidR="0026452D" w:rsidRDefault="0026452D" w:rsidP="0026452D">
      <w:pPr>
        <w:pStyle w:val="Extracto"/>
      </w:pPr>
      <w:r>
        <w:t>16.</w:t>
      </w:r>
      <w:r>
        <w:tab/>
        <w:t>La atribución al Gobierno de la determinación de los requisitos básicos para la creación y reconocimiento de Universidades –art. 4.3 LOU– no supone una deslegalización de la reserva de ley orgánica por cuanto no son incondicionadas las remisión reglamentarias, al obligar la ley a poner en relación dichos requisitos con el cumplimiento por las Universidades de las funciones que les son encomendadas, quedando con ello delimitada suficientemente la intervención reglamentaria [FFJJ 5, 6 a)].</w:t>
      </w:r>
    </w:p>
    <w:p w:rsidR="0026452D" w:rsidRDefault="0026452D" w:rsidP="0026452D">
      <w:pPr>
        <w:pStyle w:val="Extracto"/>
      </w:pPr>
    </w:p>
    <w:p w:rsidR="0026452D" w:rsidRDefault="0026452D" w:rsidP="0026452D">
      <w:pPr>
        <w:pStyle w:val="Extracto"/>
      </w:pPr>
      <w:r>
        <w:t>17.</w:t>
      </w:r>
      <w:r>
        <w:tab/>
        <w:t>Es posible, como elementos de la definición del contenido y alcance de la competencia atribuida al Estado cuando éste es el titular de la potestad de dictar las bases de la disciplina de una materia determinada, predicar el carácter básico de normas reglamentarias y de actos de ejecución del Estado y factible establecer en las mismas un diferente alcance en función del subsector de la materia sobre la que se proyecten e incluso sobre el territorio (SSTC 50/1990, 31/2010) [FJ 6 a)].</w:t>
      </w:r>
    </w:p>
    <w:p w:rsidR="0026452D" w:rsidRDefault="0026452D" w:rsidP="0026452D">
      <w:pPr>
        <w:pStyle w:val="Extracto"/>
      </w:pPr>
    </w:p>
    <w:p w:rsidR="0026452D" w:rsidRDefault="0026452D" w:rsidP="0026452D">
      <w:pPr>
        <w:pStyle w:val="Extracto"/>
      </w:pPr>
      <w:r>
        <w:t>18.</w:t>
      </w:r>
      <w:r>
        <w:tab/>
        <w:t xml:space="preserve">Es constitucionalmente legítimo que el legislador orgánico remita al Reglamento para completar el desarrollo normativo de las materias reservadas al mismo, si </w:t>
      </w:r>
      <w:r>
        <w:lastRenderedPageBreak/>
        <w:t>bien es necesario que la delegación se formule en condiciones que no contraríen materialmente la finalidad de la reserva y se limite a  complementar la regulación legal que sea indispensable por motivos técnicos o para optimizar el cumplimiento de las finalidades propuestas por la Constitución o por la propia Ley (SSTC 77/1985, 17/2013) [FFJJ 5, 6 a) y c)].</w:t>
      </w:r>
    </w:p>
    <w:p w:rsidR="0026452D" w:rsidRDefault="0026452D" w:rsidP="0026452D">
      <w:pPr>
        <w:pStyle w:val="Extracto"/>
      </w:pPr>
    </w:p>
    <w:p w:rsidR="0026452D" w:rsidRDefault="0026452D" w:rsidP="0026452D">
      <w:pPr>
        <w:pStyle w:val="Extracto"/>
      </w:pPr>
      <w:r>
        <w:t>19.</w:t>
      </w:r>
      <w:r>
        <w:tab/>
        <w:t>La atribución al Gobierno de la constitución de la Agencia Nacional de Evaluación de Calidad y Acreditación –art. 32 LOU– no supone una deslegalización de la reserva de ley orgánica por cuanto no se deriva del tenor del precepto que el Gobierno haya de regular, tal y como entienden los recurrentes, aspectos que inciden en el ámbito del derecho a la autonomía universitaria, en cuanto se le encomiendan a la Agencia facultades de evaluación de los planes de estudio, o del derecho de acceso a la función pública, dado que la intervención de la Agencia es decisiva para determinar la composición de las comisiones de habilitación a los cuerpos docentes universitarios [FJ 5)].</w:t>
      </w:r>
    </w:p>
    <w:p w:rsidR="0026452D" w:rsidRDefault="0026452D" w:rsidP="0026452D">
      <w:pPr>
        <w:pStyle w:val="Extracto"/>
      </w:pPr>
    </w:p>
    <w:p w:rsidR="0026452D" w:rsidRDefault="0026452D" w:rsidP="0026452D">
      <w:pPr>
        <w:pStyle w:val="Extracto"/>
      </w:pPr>
      <w:r>
        <w:t>20.</w:t>
      </w:r>
      <w:r>
        <w:tab/>
        <w:t>En la redacción vigente del art. 27.1 LOU, que regula el régimen de las normas de organización y funcionamiento de las universidades privadas, alude expresamente a que se garantice la presencia y participación de los miembros de las universidades privadas en los órganos de gobierno y, en todo caso que en las decisiones académicas el personal docente e investigador tenga representación mayoritaria, por lo que ha de concluirse que, este particular, el recurso ha perdido objeto [FJ 4 d)].</w:t>
      </w:r>
    </w:p>
    <w:p w:rsidR="0026452D" w:rsidRDefault="0026452D" w:rsidP="0026452D">
      <w:pPr>
        <w:pStyle w:val="Extracto"/>
      </w:pPr>
    </w:p>
    <w:p w:rsidR="0026452D" w:rsidRDefault="0026452D" w:rsidP="0026452D">
      <w:pPr>
        <w:pStyle w:val="Extracto"/>
      </w:pPr>
      <w:r>
        <w:t>21.</w:t>
      </w:r>
      <w:r>
        <w:tab/>
        <w:t>En la redacción vigente del art. 15.2 LOU, que impone la presencia en los consejos de gobierno de las universidades de tres miembros del correspondiente consejo social, se ha eliminado el carácter preceptivo de la referida presencia, por lo que, en consecuencia, el recurso, en este punto, ha perdido objeto (STC 223/2012) [FJ 4 b)].</w:t>
      </w:r>
    </w:p>
    <w:p w:rsidR="0026452D" w:rsidRDefault="0026452D" w:rsidP="0026452D">
      <w:pPr>
        <w:pStyle w:val="Extracto"/>
      </w:pPr>
    </w:p>
    <w:p w:rsidR="0026452D" w:rsidRDefault="0026452D" w:rsidP="0026452D">
      <w:pPr>
        <w:pStyle w:val="Extracto"/>
      </w:pPr>
      <w:r>
        <w:t>22.</w:t>
      </w:r>
      <w:r>
        <w:tab/>
        <w:t>En la redacción vigente del art. 9.2 LOU, referente a la creación, modificación y supresión de departamentos, ha desaparecido la atribución al Gobierno de la regulación básica y, con ello, el supuesto fáctico que fundamentaba la controversia, por lo que, en consecuencia, el recurso, en este punto, ha perdido objeto (STC 223/2012) [FJ 4 a)].</w:t>
      </w:r>
    </w:p>
    <w:p w:rsidR="0026452D" w:rsidRDefault="0026452D" w:rsidP="0026452D">
      <w:pPr>
        <w:pStyle w:val="Extracto"/>
      </w:pPr>
    </w:p>
    <w:p w:rsidR="0026452D" w:rsidRDefault="0026452D" w:rsidP="0026452D">
      <w:pPr>
        <w:pStyle w:val="Extracto"/>
      </w:pPr>
      <w:r>
        <w:t>23.</w:t>
      </w:r>
      <w:r>
        <w:tab/>
        <w:t xml:space="preserve">Respecto de la exigencia de evaluación positiva de la Agencia Nacional de Evaluación de la Calidad y Acreditación en las tres categorías contractuales de personal docente, ha de tenerse en cuenta que, en el caso de los profesores colaboradores, </w:t>
      </w:r>
      <w:r w:rsidRPr="0026452D">
        <w:rPr>
          <w:i/>
        </w:rPr>
        <w:t>ex</w:t>
      </w:r>
      <w:r>
        <w:t xml:space="preserve"> art. 51 LOU, no habrá de considerarse el reproche dirigido a que el Gobierno predetermine las áreas de conocimiento en las que podrán ser contratados, habida cuenta de que en la Ley Orgánica 4/2007 se omite cualquier referencia a la misma [FJ 8 b)].</w:t>
      </w:r>
    </w:p>
    <w:p w:rsidR="0026452D" w:rsidRDefault="0026452D" w:rsidP="0026452D">
      <w:pPr>
        <w:pStyle w:val="Extracto"/>
      </w:pPr>
    </w:p>
    <w:p w:rsidR="0026452D" w:rsidRDefault="0026452D" w:rsidP="0026452D">
      <w:pPr>
        <w:pStyle w:val="Extracto"/>
      </w:pPr>
      <w:r>
        <w:t>24.</w:t>
      </w:r>
      <w:r>
        <w:tab/>
        <w:t>Doctrina sobre la pérdida sobrevenida del objeto en el recurso de inconstitucionalidad (SSTC 61/1997, 111/2012, 223/2012) [FFJJ 3, 4].</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lastRenderedPageBreak/>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1725-2002, promovido por sesenta y cuatro Diputados del Grupo Parlamentario Socialista, ocho del Grupo Federal de Izquierda Unida y seis del Grupo Mixto, todos ellos en el Congreso de los Diputados, contra los artículos: 4.3, 6.5, 9.2, 15.2, 23, inciso segundo, 27.1, 32, 42.3, 46.3, inciso segundo, 50 último inciso, 51, 52 in fine, 72, 83.2, 84, inciso primero; disposiciones adicionales cuarta.2 y séptima; y disposición final cuarta de la Ley Orgánica 6/2001, de 21 de diciembre, de universidades. Ha intervenido la Abogada del Estado. Ha sido Ponente el Magistrado don Luis Ignacio Ortega Álvarez,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con fecha de 21 de marzo de 2002, por parte de don Roberto Granizo Palomeque, en nombre y representación de, sesenta y cuatro Diputados del grupo parlamentario socialista, ocho del grupo federal de Izquierda Unida y seis del grupo mixto, todos ellos en el Congreso de los Diputados, se interpuso recurso de inconstitucionalidad contra los artículos: 4.3, 6.5, 9.2, 15.2, 23, inciso segundo, 27.1, 32, 42.3, 46.3, inciso segundo, 50 último inciso, 51, 52 in fine, 72, 83.2, 84, inciso primero; disposiciones adicionales cuarta.2 y séptima; y disposición final cuarta de la Ley Orgánica 6/2001, de 21 de diciembre, de universidades (en adelante: LOU).</w:t>
      </w:r>
    </w:p>
    <w:p w:rsidR="0026452D" w:rsidRDefault="0026452D" w:rsidP="0026452D">
      <w:pPr>
        <w:pStyle w:val="TextoNormal"/>
      </w:pPr>
    </w:p>
    <w:p w:rsidR="0026452D" w:rsidRDefault="0026452D" w:rsidP="0026452D">
      <w:pPr>
        <w:pStyle w:val="TextoNormal"/>
      </w:pPr>
      <w:r>
        <w:t>El recurso se sustenta en los fundamentos que a continuación se resumen:</w:t>
      </w:r>
    </w:p>
    <w:p w:rsidR="0026452D" w:rsidRDefault="0026452D" w:rsidP="0026452D">
      <w:pPr>
        <w:pStyle w:val="TextoNormal"/>
      </w:pPr>
    </w:p>
    <w:p w:rsidR="0026452D" w:rsidRDefault="0026452D" w:rsidP="0026452D">
      <w:pPr>
        <w:pStyle w:val="TextoNormal"/>
      </w:pPr>
      <w:r>
        <w:t>Con carácter previo, los recurrentes manifiestan que el recurso se articula en orden a tres perspectivas de examen: la adecuación de los mandatos contenidos en la Ley con respecto del sistema constitucional de fuentes, especialmente en lo relativo a la exigencia de ley orgánica; la adecuación del contenido de la Ley al sistema de reparto de competencias entre el Estado y las Comunidades Autónomas; y, por último, a la eventual vulneración por parte de los preceptos impugnados de los derechos fundamentales a la autonomía universitaria, a la libertad académica y a su disfrute en condiciones de igualdad.</w:t>
      </w:r>
    </w:p>
    <w:p w:rsidR="0026452D" w:rsidRDefault="0026452D" w:rsidP="0026452D">
      <w:pPr>
        <w:pStyle w:val="TextoNormal"/>
      </w:pPr>
    </w:p>
    <w:p w:rsidR="0026452D" w:rsidRDefault="0026452D" w:rsidP="0026452D">
      <w:pPr>
        <w:pStyle w:val="TextoNormal"/>
      </w:pPr>
      <w:r>
        <w:t>a) Consideraciones relativas a la infracción por la Ley Orgánica de universidades del art. 53.1 CE y de la reserva de ley orgánica del art. 81.1 CE.</w:t>
      </w:r>
    </w:p>
    <w:p w:rsidR="0026452D" w:rsidRDefault="0026452D" w:rsidP="0026452D">
      <w:pPr>
        <w:pStyle w:val="TextoNormal"/>
      </w:pPr>
    </w:p>
    <w:p w:rsidR="0026452D" w:rsidRDefault="0026452D" w:rsidP="0026452D">
      <w:pPr>
        <w:pStyle w:val="TextoNormal"/>
      </w:pPr>
      <w:r>
        <w:t>El reproche de inconstitucionalidad se dirige, en este apartado, contra los arts. 4.3, 9.2 y 32 LOU, esencialmente, por excluir la regulación de determinadas materias de la Ley Orgánica a través de las correspondientes remisiones reglamentarias.</w:t>
      </w:r>
    </w:p>
    <w:p w:rsidR="0026452D" w:rsidRDefault="0026452D" w:rsidP="0026452D">
      <w:pPr>
        <w:pStyle w:val="TextoNormal"/>
      </w:pPr>
    </w:p>
    <w:p w:rsidR="0026452D" w:rsidRDefault="0026452D" w:rsidP="0026452D">
      <w:pPr>
        <w:pStyle w:val="TextoNormal"/>
      </w:pPr>
      <w:r>
        <w:t>En relación con el art. 4.3 LOU, que atribuye al Gobierno, previo informe del Consejo de Coordinación Universitaria, de los requisitos básicos para la creación y reconocimiento de universidades.</w:t>
      </w:r>
    </w:p>
    <w:p w:rsidR="0026452D" w:rsidRDefault="0026452D" w:rsidP="0026452D">
      <w:pPr>
        <w:pStyle w:val="TextoNormal"/>
      </w:pPr>
    </w:p>
    <w:p w:rsidR="0026452D" w:rsidRDefault="0026452D" w:rsidP="0026452D">
      <w:pPr>
        <w:pStyle w:val="TextoNormal"/>
      </w:pPr>
      <w:r>
        <w:t>A juicio de los recurrentes el precepto no se refiere a ningún aspecto accesorio, complementario o indirecto de la autonomía universitaria, sino a un elemento central y nuclear de la misma, la determinación de los “requisitos básicos” para la creación y reconocimiento de las universidades, pues se trata de requisitos medulares para el ejercicio de la autonomía universitaria y, por ende, de condiciones de ejercicio del derecho. Pero es que, además, la previsión impugnada altera el sistema de fuentes incidiendo en el ámbito de relaciones de los poderes del Estado, porque al corresponder al legislador estatal o autonómico la creación o reconocimiento de las universidades, resulta que la ley se convierte en un mero acto de aplicación de la norma reglamentaria. Si bien este tipo de leyes se conforman bajo la categoría de “leyes medida” no es aceptable que el marco jurídico de dichas leyes lo constituya una norma de rango reglamentario, sino en su caso la propia ley orgánica. Por último, ha de tenerse en cuenta que a lo largo de la ley orgánica, al margen de menciones puntuales, no se establecen condiciones para la creación de las universidades, por lo que no puede entenderse que el precepto impugnado se remite únicamente al reglamento sólo para desarrollar, completar o articular aspectos ya contenidos en la ley orgánica.</w:t>
      </w:r>
    </w:p>
    <w:p w:rsidR="0026452D" w:rsidRDefault="0026452D" w:rsidP="0026452D">
      <w:pPr>
        <w:pStyle w:val="TextoNormal"/>
      </w:pPr>
    </w:p>
    <w:p w:rsidR="0026452D" w:rsidRDefault="0026452D" w:rsidP="0026452D">
      <w:pPr>
        <w:pStyle w:val="TextoNormal"/>
      </w:pPr>
      <w:r>
        <w:t>Con respecto del art. 9.2 LOU referido a los departamentos universitarios y que atribuye al Gobierno la aprobación de las normas relativas a la creación, modificación y supresión de los departamentos universitarios.</w:t>
      </w:r>
    </w:p>
    <w:p w:rsidR="0026452D" w:rsidRDefault="0026452D" w:rsidP="0026452D">
      <w:pPr>
        <w:pStyle w:val="TextoNormal"/>
      </w:pPr>
    </w:p>
    <w:p w:rsidR="0026452D" w:rsidRDefault="0026452D" w:rsidP="0026452D">
      <w:pPr>
        <w:pStyle w:val="TextoNormal"/>
      </w:pPr>
      <w:r>
        <w:t>Los recurrentes parten de la centralidad que ocupan los departamentos en la estructura universitaria dado sus relevantes funciones en materia de enseñanza e investigación. Por ello ha de considerarse que los elementos básicos de dichas estructuras han de contenerse en la Ley Orgánica, lo cual no es el caso. El margen conferido de esta manera al Gobierno por parte de la Ley excede los límites del desarrollo para suponer una auténtica deslegalización de la materia lesiva de la reserva que se deduce de los arts. 53.1 y 81.1 CE.</w:t>
      </w:r>
    </w:p>
    <w:p w:rsidR="0026452D" w:rsidRDefault="0026452D" w:rsidP="0026452D">
      <w:pPr>
        <w:pStyle w:val="TextoNormal"/>
      </w:pPr>
    </w:p>
    <w:p w:rsidR="0026452D" w:rsidRDefault="0026452D" w:rsidP="0026452D">
      <w:pPr>
        <w:pStyle w:val="TextoNormal"/>
      </w:pPr>
      <w:r>
        <w:t>En lo que respecta al art. 32 LOU por el que se regula la Agencia Nacional de Evaluación.</w:t>
      </w:r>
    </w:p>
    <w:p w:rsidR="0026452D" w:rsidRDefault="0026452D" w:rsidP="0026452D">
      <w:pPr>
        <w:pStyle w:val="TextoNormal"/>
      </w:pPr>
    </w:p>
    <w:p w:rsidR="0026452D" w:rsidRDefault="0026452D" w:rsidP="0026452D">
      <w:pPr>
        <w:pStyle w:val="TextoNormal"/>
      </w:pPr>
      <w:r>
        <w:t xml:space="preserve">Dicho precepto atribuye al Consejo de Ministro, previo informe del Consejo de Coordinación Universitaria, la aprobación y, la autorización para la constitución de la Agencia Nacional de Control de la Calidad y Acreditación. Los recurrentes imputan a la norma que, según la misma, serán disposiciones reglamentarias las que regulen la composición y actividad de un ente administrativo cuya actividad incide sobre los derechos fundamentales. Concretamente: evaluación de planes de estudio a los efectos de una eventual revocación o suspensión por parte del Gobierno de la homologación de títulos (art. 35.5 y 6 LOU), la evaluación de los candidatos a diferentes categorías del profesorado universitario (arts. 50 a 52 LOU), la valoración de méritos para la asignación de complementos retributivos al personal docente e investigador contratado (art. 55.4 LOU), puede deducirse también del </w:t>
      </w:r>
      <w:r>
        <w:lastRenderedPageBreak/>
        <w:t>tenor de la norma que le corresponderá la evaluación de los integrantes de las comisiones encargadas de las pruebas de habilitación del profesorado (art. 57.4 LOU), la emisión del informe favorable para la exención de los requisitos para acceder a las pruebas de habilitación a cátedras de universidad (art. 60.1), la valoración de méritos para la asignación de complementos retributivos al personal docente e investigador funcionario (art. 69.4 LOU) y la evaluación positiva requerida al veinticinco por ciento del personal docente de las universidades privadas (art. 72.2 LOU).</w:t>
      </w:r>
    </w:p>
    <w:p w:rsidR="0026452D" w:rsidRDefault="0026452D" w:rsidP="0026452D">
      <w:pPr>
        <w:pStyle w:val="TextoNormal"/>
      </w:pPr>
    </w:p>
    <w:p w:rsidR="0026452D" w:rsidRDefault="0026452D" w:rsidP="0026452D">
      <w:pPr>
        <w:pStyle w:val="TextoNormal"/>
      </w:pPr>
      <w:r>
        <w:t>Tanto desde la óptica de la autonomía universitaria, en lo relativo a la evaluación de los planes de estudio, como en lo relativo a las condiciones que afectan al acceso a la función pública parece ineludible la reserva de ley orgánica. No puede enervarse la tacha aducida por el hecho de que la disposición final cuarta LOU confiera carácter orgánico a todo el título en el que se encuentra el precepto impugnado, pues la regulación en él contenida es de mínimos significando realmente una deslegalización de la materia.</w:t>
      </w:r>
    </w:p>
    <w:p w:rsidR="0026452D" w:rsidRDefault="0026452D" w:rsidP="0026452D">
      <w:pPr>
        <w:pStyle w:val="TextoNormal"/>
      </w:pPr>
    </w:p>
    <w:p w:rsidR="0026452D" w:rsidRDefault="0026452D" w:rsidP="0026452D">
      <w:pPr>
        <w:pStyle w:val="TextoNormal"/>
      </w:pPr>
      <w:r>
        <w:t>b) Preceptos de la Ley Orgánica 6/2001 que infringen el régimen de distribución de competencias entre el Estado y las Comunidades Autónomas derivado del art. 149.1, 8, 15 y 30 CE.</w:t>
      </w:r>
    </w:p>
    <w:p w:rsidR="0026452D" w:rsidRDefault="0026452D" w:rsidP="0026452D">
      <w:pPr>
        <w:pStyle w:val="TextoNormal"/>
      </w:pPr>
    </w:p>
    <w:p w:rsidR="0026452D" w:rsidRDefault="0026452D" w:rsidP="0026452D">
      <w:pPr>
        <w:pStyle w:val="TextoNormal"/>
      </w:pPr>
      <w:r>
        <w:t>Los recurrentes aducen que los arts. 4.3, 9.2, 42.3, 83.2 y la disposición adicional séptima LOU vulneran el reparto de competencias entre el Estado y las Comunidades Autónomas, extendiendo el campo de acción del poder central más allá de lo que permite el bloque de constitucionalidad según ha sido interpretado por la doctrina de este Tribunal. En este sentido, se achaca al legislador estatal que, lejos de fijar el contenido de las bases en las materias que le corresponde, se remite en este particular al Gobierno para que mediante real decreto ejerza tal función delimitadora.</w:t>
      </w:r>
    </w:p>
    <w:p w:rsidR="0026452D" w:rsidRDefault="0026452D" w:rsidP="0026452D">
      <w:pPr>
        <w:pStyle w:val="TextoNormal"/>
      </w:pPr>
    </w:p>
    <w:p w:rsidR="0026452D" w:rsidRDefault="0026452D" w:rsidP="0026452D">
      <w:pPr>
        <w:pStyle w:val="TextoNormal"/>
      </w:pPr>
      <w:r>
        <w:t>El art. 4.3 es impugnado también por la remisión que se realiza en favor del Gobierno para determinar los requisitos para crear y reconocer las universidades. Sin negar el carácter básico del precepto se reprocha que la determinación de las bases deba realizarla el Gobierno excediendo del ámbito que la jurisprudencia de este Tribunal atribuye al Ejecutivo en la materia y que ha de ceñirse a completar o concretar las bases. Tampoco se justifica la intervención gubernamental en la complejidad técnica de la materia, pues en realidad afecta medularmente al desarrollo del art. 27 CE y por ello tal determinación corresponde al legislador.</w:t>
      </w:r>
    </w:p>
    <w:p w:rsidR="0026452D" w:rsidRDefault="0026452D" w:rsidP="0026452D">
      <w:pPr>
        <w:pStyle w:val="TextoNormal"/>
      </w:pPr>
    </w:p>
    <w:p w:rsidR="0026452D" w:rsidRDefault="0026452D" w:rsidP="0026452D">
      <w:pPr>
        <w:pStyle w:val="TextoNormal"/>
      </w:pPr>
      <w:r>
        <w:t>Idéntica argumentación se destina, por parte de los recurrentes, a controvertir el art. 9.2 LOU por el que se encomienda al Gobierno la aprobación de las normas relativas a la creación, modificación y supresión de los departamentos universitarios.</w:t>
      </w:r>
    </w:p>
    <w:p w:rsidR="0026452D" w:rsidRDefault="0026452D" w:rsidP="0026452D">
      <w:pPr>
        <w:pStyle w:val="TextoNormal"/>
      </w:pPr>
    </w:p>
    <w:p w:rsidR="0026452D" w:rsidRDefault="0026452D" w:rsidP="0026452D">
      <w:pPr>
        <w:pStyle w:val="TextoNormal"/>
      </w:pPr>
      <w:r>
        <w:t>Se impugna el art. 42.3 LOU que atribuye al Gobierno la determinación de las normas básicas relativas a los procedimientos para la admisión de los estudiantes en las universidades. Nuevamente se critica la remisión incondicionada que efectúa la norma en favor el reglamento. En este sentido, la intervención del Ejecutivo no puede justificarse pues no se trata de una materia sujeta a cambios constantes, pues de lo que se trata es de fijar bases o criterios generales para la admisión de los estudiantes.</w:t>
      </w:r>
    </w:p>
    <w:p w:rsidR="0026452D" w:rsidRDefault="0026452D" w:rsidP="0026452D">
      <w:pPr>
        <w:pStyle w:val="TextoNormal"/>
      </w:pPr>
    </w:p>
    <w:p w:rsidR="0026452D" w:rsidRDefault="0026452D" w:rsidP="0026452D">
      <w:pPr>
        <w:pStyle w:val="TextoNormal"/>
      </w:pPr>
      <w:r>
        <w:lastRenderedPageBreak/>
        <w:t>Se impugna el art. 83.2 LOU, relativo a los procedimientos de autorización de los trabajos y contratos suscritos por grupos de investigación, departamentos universitarios y profesorado, así como la determinación de los criterios para fijar el destino de los bienes y recursos que se obtengan de los mismos. Nuevamente los recurrentes reprochan que el precepto encomiende al Gobierno que dicte las normas básicas sobre el particular. Reconociendo que esta materia tiene un mayor contenido técnico, que justifica la intervención reglamentaria, se niega que pueda excluirse cualquier intervención legislativa.</w:t>
      </w:r>
    </w:p>
    <w:p w:rsidR="0026452D" w:rsidRDefault="0026452D" w:rsidP="0026452D">
      <w:pPr>
        <w:pStyle w:val="TextoNormal"/>
      </w:pPr>
    </w:p>
    <w:p w:rsidR="0026452D" w:rsidRDefault="0026452D" w:rsidP="0026452D">
      <w:pPr>
        <w:pStyle w:val="TextoNormal"/>
      </w:pPr>
      <w:r>
        <w:t>A continuación se cuestiona la disposición adicional séptima atinente al régimen de los conciertos entre las universidades y las instituciones y establecimientos sanitarios. De acuerdo con el criterio anteriormente seguido se cuestiona que la norma excluya la intervención del legislador en la materia o que, por parte de la misma, se hubieran fijado por los menos las reglas generales.</w:t>
      </w:r>
    </w:p>
    <w:p w:rsidR="0026452D" w:rsidRDefault="0026452D" w:rsidP="0026452D">
      <w:pPr>
        <w:pStyle w:val="TextoNormal"/>
      </w:pPr>
    </w:p>
    <w:p w:rsidR="0026452D" w:rsidRDefault="0026452D" w:rsidP="0026452D">
      <w:pPr>
        <w:pStyle w:val="TextoNormal"/>
      </w:pPr>
      <w:r>
        <w:t>El apartado concluye cuestionando la disposición final cuarta LOU. En ella se indica qué preceptos de la Ley tienen carácter orgánico, pero nada se establece con respecto de los que tengan carácter básico de desarrollo del art. 27 CE. Con esta técnica se desvirtúa el espacio decisional de las Comunidades Autónomas al no establecer el marco de su intervención que no invada o lesione la competencia general del Estado. Dicha calificación básica, no es una mera facultad del Estado sino “un deber inherente a su función” (STC 179/1992, de 13 de noviembre).</w:t>
      </w:r>
    </w:p>
    <w:p w:rsidR="0026452D" w:rsidRDefault="0026452D" w:rsidP="0026452D">
      <w:pPr>
        <w:pStyle w:val="TextoNormal"/>
      </w:pPr>
    </w:p>
    <w:p w:rsidR="0026452D" w:rsidRDefault="0026452D" w:rsidP="0026452D">
      <w:pPr>
        <w:pStyle w:val="TextoNormal"/>
      </w:pPr>
      <w:r>
        <w:t>c) Alegaciones relativas a la infracción por la Ley Orgánica 6/2001, del derecho fundamental a la autonomía universitaria del art. 27.10 CE.</w:t>
      </w:r>
    </w:p>
    <w:p w:rsidR="0026452D" w:rsidRDefault="0026452D" w:rsidP="0026452D">
      <w:pPr>
        <w:pStyle w:val="TextoNormal"/>
      </w:pPr>
    </w:p>
    <w:p w:rsidR="0026452D" w:rsidRDefault="0026452D" w:rsidP="0026452D">
      <w:pPr>
        <w:pStyle w:val="TextoNormal"/>
      </w:pPr>
      <w:r>
        <w:t>Con carácter previo se recuerda que, sin perjuicio de que la jurisprudencia de este Tribunal ha conformado el derecho a la autonomía universitaria como un derecho de configuración legal, la discrecionalidad del legislador en la materia no es absoluta. Se sostiene que la intervención del legislador ha sobrepasado los límites del respeto a la autonomía universitaria.</w:t>
      </w:r>
    </w:p>
    <w:p w:rsidR="0026452D" w:rsidRDefault="0026452D" w:rsidP="0026452D">
      <w:pPr>
        <w:pStyle w:val="TextoNormal"/>
      </w:pPr>
    </w:p>
    <w:p w:rsidR="0026452D" w:rsidRDefault="0026452D" w:rsidP="0026452D">
      <w:pPr>
        <w:pStyle w:val="TextoNormal"/>
      </w:pPr>
      <w:r>
        <w:t>El primero de los preceptos impugnados en este apartado es el art. 15.2 LOU, al que se critica que imponga la presencia, en los consejos de gobierno de las universidades públicas de tres miembros del correspondiente consejo social que deberán ser ajenos a la comunidad universitaria. Se aduce que la norma, aun imponiendo una presencia de miembros ajenos a la universidad minoritaria supone una limitación en las facultades de autoorganización de las universidades, puesto que al contar con voto su presencia puede resultar determinante en la adopción de acuerdos estrictamente académicos.</w:t>
      </w:r>
    </w:p>
    <w:p w:rsidR="0026452D" w:rsidRDefault="0026452D" w:rsidP="0026452D">
      <w:pPr>
        <w:pStyle w:val="TextoNormal"/>
      </w:pPr>
    </w:p>
    <w:p w:rsidR="0026452D" w:rsidRDefault="0026452D" w:rsidP="0026452D">
      <w:pPr>
        <w:pStyle w:val="TextoNormal"/>
      </w:pPr>
      <w:r>
        <w:t>El art. 23, inciso segundo LOU que establece el nombramiento del gerente de la universidad por parte del rector de acuerdo con el consejo social, supone a juicio de los recurrentes imponer la concurrencia de voluntades para el citado nombramiento que sobrepasa las facultades de intervención de los consejos sociales, que podrían justificarse en cuanto el gerente es el responsable de los servicios administrativos y de gestión de la universidad, pero nunca llegar a conformarse como una imposición que restrinja el margen de discrecionalidad del rector.</w:t>
      </w:r>
    </w:p>
    <w:p w:rsidR="0026452D" w:rsidRDefault="0026452D" w:rsidP="0026452D">
      <w:pPr>
        <w:pStyle w:val="TextoNormal"/>
      </w:pPr>
    </w:p>
    <w:p w:rsidR="0026452D" w:rsidRDefault="0026452D" w:rsidP="0026452D">
      <w:pPr>
        <w:pStyle w:val="TextoNormal"/>
      </w:pPr>
      <w:r>
        <w:lastRenderedPageBreak/>
        <w:t>Por su parte, el art. 46.4, inciso segundo LOU está dedicado a las normas que han de regular el progreso y permanencia de los estudiantes en las universidades. Los recurrentes sostienen que la atribución a los consejos sociales de la facultad de aprobar dichas normas sin intervención alguna de los órganos académicos incide en un ámbito propio de la autonomía universitaria [art. 2.2 f) LOU]. Así, de acuerdo con la jurisprudencia de este Tribunal lesiona la autonomía universitaria la atribución a los consejos sociales de funciones estrictamente académicas (STC 26/1987). Se argumenta por los recurrentes en este sentido que a la postre, el precepto perturba la libertad académica, de cátedra de investigación y de estudio (libertades que fundamentan la propia autonomía universitaria), en definitiva “perturba la responsabilidad exclusiva que el ejercicio de su derecho a la docencia y al estudio corresponden al profesor y al alumno”.</w:t>
      </w:r>
    </w:p>
    <w:p w:rsidR="0026452D" w:rsidRDefault="0026452D" w:rsidP="0026452D">
      <w:pPr>
        <w:pStyle w:val="TextoNormal"/>
      </w:pPr>
    </w:p>
    <w:p w:rsidR="0026452D" w:rsidRDefault="0026452D" w:rsidP="0026452D">
      <w:pPr>
        <w:pStyle w:val="TextoNormal"/>
      </w:pPr>
      <w:r>
        <w:t>Seguidamente son objeto de impugnación los arts. 50, 51 y 52 LOU en lo relativo al régimen de la contratación de los profesores ayudantes doctores, profesores colaboradores y profesores contratados doctores, respectivamente. La argumentación para controvertir los tres preceptos se sustenta en que la norma impone como requisito previo a la contratación haber superado la evaluación por parte de la Agencia Nacional de Evaluación de la Calidad y Acreditación o, en su caso, del órgano de evaluación externo que en el ámbito de las Comunidades Autónomas establezca la correspondiente evaluación. La previsión supone condicionar la actuación de las universidades en la contratación del profesorado y resulta incompatible con la autonomía universitaria por desproporcionado e innecesario para asegurar los fines que se persiguen, en concreto asegurar la calidad del profesorado. No se excluye por sí misma la capacidad de evaluación del profesorado atribuida a las Administraciones autonómicas y del Estado, sino su carácter excluyente, pues sustituye la valoración de idoneidad que le corresponde realizar a cada universidad. En el caso de los profesores colaboradores (art. 51 LOU) se cuestiona que únicamente proceda su contratación, además, en aquellas áreas de conocimiento que establezca el Gobierno, teniendo en cuenta que la Ley no integra a los mismos en un cuerpo nacional, sino que se trata de una figura docente de carácter contractual.</w:t>
      </w:r>
    </w:p>
    <w:p w:rsidR="0026452D" w:rsidRDefault="0026452D" w:rsidP="0026452D">
      <w:pPr>
        <w:pStyle w:val="TextoNormal"/>
      </w:pPr>
    </w:p>
    <w:p w:rsidR="0026452D" w:rsidRDefault="0026452D" w:rsidP="0026452D">
      <w:pPr>
        <w:pStyle w:val="TextoNormal"/>
      </w:pPr>
      <w:r>
        <w:t>El apartado concluye con la impugnación del art. 84, inciso primero LOU por el que se regula la creación de empresas, fundaciones u otras personas jurídicas por parte de la universidad. La controversia se sustenta en que la Ley dispone que la creación sea aprobada por el correspondiente consejo social de la universidad. Dada la dimensión económica que puede comportar la creación de dichos entes, los recurrentes no niegan la participación del consejo social en el proceso, sino que la misma se sustancie mediante la prestación del necesario acuerdo para crearlos. De esta forma, la intensidad otorgada por el legislador a la intervención de los consejos sociales en la materia supone que queden absolutamente condicionadas las facultades de los órganos académicos, lesionándose en consecuencia su autonomía constitucionalmente garantizada.</w:t>
      </w:r>
    </w:p>
    <w:p w:rsidR="0026452D" w:rsidRDefault="0026452D" w:rsidP="0026452D">
      <w:pPr>
        <w:pStyle w:val="TextoNormal"/>
      </w:pPr>
    </w:p>
    <w:p w:rsidR="0026452D" w:rsidRDefault="0026452D" w:rsidP="0026452D">
      <w:pPr>
        <w:pStyle w:val="TextoNormal"/>
      </w:pPr>
      <w:r>
        <w:t>d) Alegaciones concernientes a la vulneración del derecho a la autonomía universitaria “y de los derechos a la igualdad y a la libertad de estudio, creación, investigación y docencia de los componentes de la Universidad en lo que se refiere a la regulación de las universidades privadas”.</w:t>
      </w:r>
    </w:p>
    <w:p w:rsidR="0026452D" w:rsidRDefault="0026452D" w:rsidP="0026452D">
      <w:pPr>
        <w:pStyle w:val="TextoNormal"/>
      </w:pPr>
    </w:p>
    <w:p w:rsidR="0026452D" w:rsidRDefault="0026452D" w:rsidP="0026452D">
      <w:pPr>
        <w:pStyle w:val="TextoNormal"/>
      </w:pPr>
      <w:r>
        <w:lastRenderedPageBreak/>
        <w:t>Los recurrentes realizan un reproche general en el sentido de que la regulación de los derechos fundamentales que integran la libertad académica de los miembros de la comunidad universitaria en las universidades privadas adolece de falta de garantías. Admitida la existencia de universidades privadas y de diferencias con respecto de las públicas al someterse éstas a un régimen de transparencia y control derivado de su integración en la Administración, los mandatos y principios constitucionales son aplicables tanto a unas como a otras. Pues bien, la autonomía universitaria se proyecta en los derechos y facultades que integran la libertad académica y que debe estar asegurada frente a injerencias externas de origen tanto público como privado. A continuación pasan a impugnar los siguientes preceptos:</w:t>
      </w:r>
    </w:p>
    <w:p w:rsidR="0026452D" w:rsidRDefault="0026452D" w:rsidP="0026452D">
      <w:pPr>
        <w:pStyle w:val="TextoNormal"/>
      </w:pPr>
    </w:p>
    <w:p w:rsidR="0026452D" w:rsidRDefault="0026452D" w:rsidP="0026452D">
      <w:pPr>
        <w:pStyle w:val="TextoNormal"/>
      </w:pPr>
      <w:r>
        <w:t>El art. 6.5 LOU sobre la aprobación de las normas de organización y funcionamiento de las universidades privadas. Se aduce que, dado la relevante naturaleza de este tipo de normas (los estatutos en las universidades públicas y las normas de organización en las universidades privadas) los requisitos que el legislador de forma expresa y exhaustiva ha previsto para los Estatutos de las universidades públicas son ignorados en el caso de las privadas a salvo de una genérica apelación a la participación en el art. 6.5 LOU. El resultado es que esta materia queda desregulada y en manos de “actores” ajenos a la universidad (las personas físicas o jurídicas promotoras de la creación de la universidad y titulares de la misma). Esta restricción de la autonomía universitaria en el caso de las universidades privadas provoca una situación de desigualdad de éstas con respecto de las públicas, creando dos categorías distintas en cuanto al ejercicio de derechos fundamentales. A juicio de los recurrentes el régimen de elaboración de las normas de las universidades privadas entraría en contradicción con los arts. 14, 20 b), 20 c), 27.1 y 27.10 CE.</w:t>
      </w:r>
    </w:p>
    <w:p w:rsidR="0026452D" w:rsidRDefault="0026452D" w:rsidP="0026452D">
      <w:pPr>
        <w:pStyle w:val="TextoNormal"/>
      </w:pPr>
    </w:p>
    <w:p w:rsidR="0026452D" w:rsidRDefault="0026452D" w:rsidP="0026452D">
      <w:pPr>
        <w:pStyle w:val="TextoNormal"/>
      </w:pPr>
      <w:r>
        <w:t>Con respecto del art. 27.1 LOU relativo a la autonomía organizativa de las universidades incurre en semejante defecto al apuntado en el anterior precepto impugnado, pues únicamente se refiere a que las normas de funcionamiento de las universidades privadas habrán de contemplar los órganos de gobierno así como los correspondientes procedimientos de designación y remoción, sin regulación añadida alguna en comparación con el exhaustivo régimen previsto en la materia para las universidades públicas. De esta forma, según se sostiene en el recurso, queda expedita la vía para introducir cualquier tipo de órganos de gobierno en las universidades privadas en los que no se garantice la presencia y participación en los mismos de los miembros de la comunidad universitaria. Se concluye igualmente denunciando que el precepto vulnera los arts. 14, 20 b), 20 c), 27.1 y 27.10 CE.</w:t>
      </w:r>
    </w:p>
    <w:p w:rsidR="0026452D" w:rsidRDefault="0026452D" w:rsidP="0026452D">
      <w:pPr>
        <w:pStyle w:val="TextoNormal"/>
      </w:pPr>
    </w:p>
    <w:p w:rsidR="0026452D" w:rsidRDefault="0026452D" w:rsidP="0026452D">
      <w:pPr>
        <w:pStyle w:val="TextoNormal"/>
      </w:pPr>
      <w:r>
        <w:t>Este apartado concluye impugnando el art. 72 LOU relativo al profesorado de las universidades privadas. Se denuncia un injustificado trato desigual en relación con las exigencias de cualificación previstas para el profesorado de las universidades privadas. Prácticamente, la única exigencia se limita, en el apartado segundo del precepto, a que al menos el 25 por 100 del profesorado se encuentre en posesión del título de doctor y haya obtenido la evaluación favorable de su actividad docente e investigadora, sin que se haga mención expresa a criterios de calidad para el restante setenta y cinco por ciento. Los recurrentes denuncian, en este particular, la vulneración de los arts. 14 y 27.1 CE.</w:t>
      </w:r>
    </w:p>
    <w:p w:rsidR="0026452D" w:rsidRDefault="0026452D" w:rsidP="0026452D">
      <w:pPr>
        <w:pStyle w:val="TextoNormal"/>
      </w:pPr>
    </w:p>
    <w:p w:rsidR="0026452D" w:rsidRDefault="0026452D" w:rsidP="0026452D">
      <w:pPr>
        <w:pStyle w:val="TextoNormal"/>
      </w:pPr>
      <w:r>
        <w:t>e) Alegaciones sobre la inconstitucionalidad de la disposición adicional cuarta, apartado segundo LOU por contradicción con el art. 14 CE.</w:t>
      </w:r>
    </w:p>
    <w:p w:rsidR="0026452D" w:rsidRDefault="0026452D" w:rsidP="0026452D">
      <w:pPr>
        <w:pStyle w:val="TextoNormal"/>
      </w:pPr>
    </w:p>
    <w:p w:rsidR="0026452D" w:rsidRDefault="0026452D" w:rsidP="0026452D">
      <w:pPr>
        <w:pStyle w:val="TextoNormal"/>
      </w:pPr>
      <w:r>
        <w:lastRenderedPageBreak/>
        <w:t>Se denuncia, por parte de los recurrentes, el establecimiento de un régimen especial de creación de las universidades de la Iglesia católica sustentado en un tratamiento desigual absolutamente injustificado y cuya característica más notoria es la exención de ley de reconocimiento para dichas universidades. Esta exención exime a las universidades favorecidas por la misma de toda comprobación de que cumplen los requisitos establecidos por el legislador para su creación y reconocimiento. Pues bien, de acuerdo con la jurisprudencia de este Tribunal, no se impide que el legislador incorpore eventualmente diferencias de trato, pero sí que su establecimiento o existencia debe justificarse en la persecución de fines lícitos. Así las cosas, no es posible encontrar justificación a dicho trato ni en el art. 16.3 CE, que se refiere a relaciones de cooperación en materia de libertad religiosa, lo que no es el caso. Tampoco es posible acudir al Acuerdo de 3 de enero de 1979 suscrito entre el Estado español y la Santa Sede sobre enseñanza y asuntos culturales, pues los tratados internacionales no son parámetro de constitucionalidad sino que, antes bien, están sujetos a la propia Constitución, de tal suerte que, en su caso, la declaración de inconstitucionalidad de una norma amparada en un tratado que le presta cobertura podría derivar, incluso, en la inconstitucionalidad del propio tratado internacional. Pero es que, ni siquiera una recta interpretación del citado acuerdo permite colegir que las universidades de la Iglesia puedan quedar eximidas por el legislador del cumplimiento del requisito general del reconocimiento de las universidades privadas, que por cierto fue la norma y no excepción hasta 1979. Se concluye, en consecuencia, la inexistencia de causa razonable para el trato desigual denunciado y se postula la inconstitucionalidad de la disposición adicional cuarta LOU, en su apartado segundo, por vulnerar el art. 14 CE.</w:t>
      </w:r>
    </w:p>
    <w:p w:rsidR="0026452D" w:rsidRDefault="0026452D" w:rsidP="0026452D">
      <w:pPr>
        <w:pStyle w:val="TextoNormal"/>
      </w:pPr>
    </w:p>
    <w:p w:rsidR="0026452D" w:rsidRDefault="0026452D" w:rsidP="0026452D">
      <w:pPr>
        <w:pStyle w:val="TextoNormal"/>
      </w:pPr>
      <w:r>
        <w:t>El escrito de demanda concluye suplicando se tenga por presentado y formalizado el recurso de inconstitucionalidad contra la Ley Orgánica 6/2001, de 21 de diciembre, de universidades y que, tras los correspondientes trámites procesales, se dicte Sentencia que declare la inconstitucionalidad de los preceptos referidos.</w:t>
      </w:r>
    </w:p>
    <w:p w:rsidR="0026452D" w:rsidRDefault="0026452D" w:rsidP="0026452D">
      <w:pPr>
        <w:pStyle w:val="TextoNormal"/>
      </w:pPr>
    </w:p>
    <w:p w:rsidR="0026452D" w:rsidRDefault="0026452D" w:rsidP="0026452D">
      <w:pPr>
        <w:pStyle w:val="TextoNormal"/>
      </w:pPr>
      <w:r w:rsidRPr="0026452D">
        <w:rPr>
          <w:rStyle w:val="NumeroAFNegritaCaracter"/>
        </w:rPr>
        <w:t>2</w:t>
      </w:r>
      <w:r>
        <w:t>. Mediante providencia de 23 de abril de 2002 la Sección Primera de este Tribunal acordó los siguientes extremos: primero, admitir el presente recurso de inconstitucionalidad; segundo,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que estimaran pertinentes; y, tercero, publicar la incoación del recurso en el “Boletín Oficial del Estado”.</w:t>
      </w:r>
    </w:p>
    <w:p w:rsidR="0026452D" w:rsidRDefault="0026452D" w:rsidP="0026452D">
      <w:pPr>
        <w:pStyle w:val="TextoNormal"/>
      </w:pPr>
    </w:p>
    <w:p w:rsidR="0026452D" w:rsidRDefault="0026452D" w:rsidP="0026452D">
      <w:pPr>
        <w:pStyle w:val="TextoNormal"/>
      </w:pPr>
      <w:r>
        <w:t>La providencia fue publicada en el “Boletín Oficial del Estado” núm. 112, de 10 de mayo de 2002.</w:t>
      </w:r>
    </w:p>
    <w:p w:rsidR="0026452D" w:rsidRDefault="0026452D" w:rsidP="0026452D">
      <w:pPr>
        <w:pStyle w:val="TextoNormal"/>
      </w:pPr>
    </w:p>
    <w:p w:rsidR="0026452D" w:rsidRDefault="0026452D" w:rsidP="0026452D">
      <w:pPr>
        <w:pStyle w:val="TextoNormal"/>
      </w:pPr>
      <w:r w:rsidRPr="0026452D">
        <w:rPr>
          <w:rStyle w:val="NumeroAFNegritaCaracter"/>
        </w:rPr>
        <w:t>3</w:t>
      </w:r>
      <w:r>
        <w:t>. Con fecha de 30 de abril de 2002 tuvo entrada en el Registro General de este Tribunal escrito de la Abogada del Estado en el que solicitaba se le tuviera por personada a la representación que legalmente ostenta en autos del presente recurso de inconstitucionalidad y la prórroga del plazo concedido para formular alegaciones por ocho días más.</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Con fecha de 7 de mayo de 2002 la Sección Primera de este Tribunal acordó tener por personado al Abogado del Estado, incorporando su escrito a las actuaciones, y prorrogar el </w:t>
      </w:r>
      <w:r>
        <w:lastRenderedPageBreak/>
        <w:t>plazo de alegaciones concedido por providencia de 23 de abril de 2002 en ocho días más a contar desde la expiración del ordinario.</w:t>
      </w:r>
    </w:p>
    <w:p w:rsidR="0026452D" w:rsidRDefault="0026452D" w:rsidP="0026452D">
      <w:pPr>
        <w:pStyle w:val="TextoNormal"/>
      </w:pPr>
    </w:p>
    <w:p w:rsidR="0026452D" w:rsidRDefault="0026452D" w:rsidP="0026452D">
      <w:pPr>
        <w:pStyle w:val="TextoNormal"/>
      </w:pPr>
      <w:r w:rsidRPr="0026452D">
        <w:rPr>
          <w:rStyle w:val="NumeroAFNegritaCaracter"/>
        </w:rPr>
        <w:t>5</w:t>
      </w:r>
      <w:r>
        <w:t>. El 10 de mayo de 2002 se recibió en el Registro General del Tribunal Constitucional escrito firmado por la Presidenta del Congreso de los Diputados en el que se daba cuenta del acuerdo adoptado por la Mesa de la Cámara, con fecha 7 de mayo de 2002, por el que comunicaba a este Tribunal que, aun cuando el Congreso de los Diputados no se personaba en el procedimiento ni formulaba alegaciones, ponía a disposición del Tribunal Constitucional actuaciones de la Cámara que pudiera precisar.</w:t>
      </w:r>
    </w:p>
    <w:p w:rsidR="0026452D" w:rsidRDefault="0026452D" w:rsidP="0026452D">
      <w:pPr>
        <w:pStyle w:val="TextoNormal"/>
      </w:pPr>
    </w:p>
    <w:p w:rsidR="0026452D" w:rsidRDefault="0026452D" w:rsidP="0026452D">
      <w:pPr>
        <w:pStyle w:val="TextoNormal"/>
      </w:pPr>
      <w:r>
        <w:t>Por su parte, el 20 de mayo de 2002 tuvo entrada en el Registro General de este Tribunal escrito firmado por la Presidenta del Senado en el que igualmente se daba cuenta del acuerdo adoptado por la Cámara el 7 de mayo de 2002 en el que se disponía dar por personada al Senado en el procedimiento y por ofrecida su colaboración a los efectos del art. 88.1 de la Ley Orgánica del Tribunal Constitucional.</w:t>
      </w:r>
    </w:p>
    <w:p w:rsidR="0026452D" w:rsidRDefault="0026452D" w:rsidP="0026452D">
      <w:pPr>
        <w:pStyle w:val="TextoNormal"/>
      </w:pPr>
    </w:p>
    <w:p w:rsidR="0026452D" w:rsidRDefault="0026452D" w:rsidP="0026452D">
      <w:pPr>
        <w:pStyle w:val="TextoNormal"/>
      </w:pPr>
      <w:r w:rsidRPr="0026452D">
        <w:rPr>
          <w:rStyle w:val="NumeroAFNegritaCaracter"/>
        </w:rPr>
        <w:t>6</w:t>
      </w:r>
      <w:r>
        <w:t>. Con fecha de 29 de mayo de 2002 se presentó en el Registro General del Tribunal Constitucional escrito de alegaciones firmado por la Abogada del Estado. Las alegaciones se articulan en dos grandes apartados. En el primero de ellos la Abogada del Estado realiza una serie de consideraciones generales sobre el alcance constitucional de la autonomía universitaria y sobre el régimen del reparto de competencias en la materia, pasando a continuación a examinar cada uno de los preceptos impugnados.</w:t>
      </w:r>
    </w:p>
    <w:p w:rsidR="0026452D" w:rsidRDefault="0026452D" w:rsidP="0026452D">
      <w:pPr>
        <w:pStyle w:val="TextoNormal"/>
      </w:pPr>
    </w:p>
    <w:p w:rsidR="0026452D" w:rsidRDefault="0026452D" w:rsidP="0026452D">
      <w:pPr>
        <w:pStyle w:val="TextoNormal"/>
      </w:pPr>
      <w:r>
        <w:t>En relación con la autonomía universitaria, la Abogada del Estado comienza recordando el tradicional debate doctrinal acerca de la conformación de la autonomía universitaria como derecho fundamental o como una garantía institucional, si bien recuerda que en la STC 26/1987 este Tribunal concluyó que no se trata de categorías incompatibles ni necesariamente excluyentes entre sí. En este sentido, la conformación de la autonomía universitaria como un derecho fundamental no impide la potestad del legislador para regular la organización de las universidades, sin perjuicio de que el ejercicio de tal potestad haya de realizarse respetando el contenido esencial de la autonomía constitucionalmente garantizada. No obstante dicho contenido esencial, integrado por todos los elementos necesarios para asegurar la libertad académica, la autonomía universitaria se encuentra sometida a limitaciones que corresponderá fijar al legislador.</w:t>
      </w:r>
    </w:p>
    <w:p w:rsidR="0026452D" w:rsidRDefault="0026452D" w:rsidP="0026452D">
      <w:pPr>
        <w:pStyle w:val="TextoNormal"/>
      </w:pPr>
    </w:p>
    <w:p w:rsidR="0026452D" w:rsidRDefault="0026452D" w:rsidP="0026452D">
      <w:pPr>
        <w:pStyle w:val="TextoNormal"/>
      </w:pPr>
      <w:r>
        <w:t>Seguidamente se realizan algunas consideraciones generales en relación con la reserva de ley orgánica, recordando el carácter excepcional de dicha norma. Carácter excepcional que afecta, no sólo a la reserva material, sino también al término “desarrollo” recogido en el art. 81.1 CE, con el objeto de no convertir el ordenamiento jurídico en un conjunto de leyes orgánicas con el pretexto de que la materia regulada afecte a los derechos fundamentales.</w:t>
      </w:r>
    </w:p>
    <w:p w:rsidR="0026452D" w:rsidRDefault="0026452D" w:rsidP="0026452D">
      <w:pPr>
        <w:pStyle w:val="TextoNormal"/>
      </w:pPr>
    </w:p>
    <w:p w:rsidR="0026452D" w:rsidRDefault="0026452D" w:rsidP="0026452D">
      <w:pPr>
        <w:pStyle w:val="TextoNormal"/>
      </w:pPr>
      <w:r>
        <w:t xml:space="preserve">A continuación, dentro aún del primer apartado, la Abogada del Estado examina los criterios relativos al reparto de competencias entre el Estado y las Comunidades Autónomas en la materia. Así, de acuerdo con lo prevenido en el art. 149.1.1 y 30 CE, las competencias estatales en materia de enseñanza son tanto normativas como ejecutivas, sin que pueda descartarse la incidencia de otros títulos, como los previstos en el art. 149.1.18 CE, a la hora de </w:t>
      </w:r>
      <w:r>
        <w:lastRenderedPageBreak/>
        <w:t>normar las pruebas de acceso a los cuerpos docentes universitarios. Sin embargo, la intervención estatal no excluye la de las Comunidades Autónomas, resultando, en el caso que nos ocupa, una triple dimensión competencial: la universitaria, en razón de su autonomía, la de la Comunidad Autónoma andaluza, en virtud del art. 19.1 de su Estatuto de Autonomía, y la del propio Estado.</w:t>
      </w:r>
    </w:p>
    <w:p w:rsidR="0026452D" w:rsidRDefault="0026452D" w:rsidP="0026452D">
      <w:pPr>
        <w:pStyle w:val="TextoNormal"/>
      </w:pPr>
    </w:p>
    <w:p w:rsidR="0026452D" w:rsidRDefault="0026452D" w:rsidP="0026452D">
      <w:pPr>
        <w:pStyle w:val="TextoNormal"/>
      </w:pPr>
      <w:r>
        <w:t>La Abogada del Estado clasifica las competencias que corresponden al Estado de la siguiente manera:</w:t>
      </w:r>
    </w:p>
    <w:p w:rsidR="0026452D" w:rsidRDefault="0026452D" w:rsidP="0026452D">
      <w:pPr>
        <w:pStyle w:val="TextoNormal"/>
      </w:pPr>
    </w:p>
    <w:p w:rsidR="0026452D" w:rsidRDefault="0026452D" w:rsidP="0026452D">
      <w:pPr>
        <w:pStyle w:val="TextoNormal"/>
      </w:pPr>
      <w:r>
        <w:t>En aplicación del art. 149.1.1 CE, condiciones básicas de acceso de los estudiantes a los centros universitarios y de movilidad y traslado entre universidades del alumnos y profesores; condiciones generales de permanencia de los estudiantes en los centros universitarios, con especial referencia al número máximo y mínimo de pruebas evaluatorias; y régimen disciplinario básico.</w:t>
      </w:r>
    </w:p>
    <w:p w:rsidR="0026452D" w:rsidRDefault="0026452D" w:rsidP="0026452D">
      <w:pPr>
        <w:pStyle w:val="TextoNormal"/>
      </w:pPr>
    </w:p>
    <w:p w:rsidR="0026452D" w:rsidRDefault="0026452D" w:rsidP="0026452D">
      <w:pPr>
        <w:pStyle w:val="TextoNormal"/>
      </w:pPr>
      <w:r>
        <w:t>En ejecución del art. 149.1.15 CE, medidas de fomento de la investigación universitaria y de su coordinación con otros centros de investigación científica y técnica extrauniversitarios.</w:t>
      </w:r>
    </w:p>
    <w:p w:rsidR="0026452D" w:rsidRDefault="0026452D" w:rsidP="0026452D">
      <w:pPr>
        <w:pStyle w:val="TextoNormal"/>
      </w:pPr>
    </w:p>
    <w:p w:rsidR="0026452D" w:rsidRDefault="0026452D" w:rsidP="0026452D">
      <w:pPr>
        <w:pStyle w:val="TextoNormal"/>
      </w:pPr>
      <w:r>
        <w:t>En desarrollo del art. 149.1.18 CE, la determinación de los aspectos básicos del régimen jurídico de las universidades, de sus funcionarios docentes y del procedimiento administrativo.</w:t>
      </w:r>
    </w:p>
    <w:p w:rsidR="0026452D" w:rsidRDefault="0026452D" w:rsidP="0026452D">
      <w:pPr>
        <w:pStyle w:val="TextoNormal"/>
      </w:pPr>
    </w:p>
    <w:p w:rsidR="0026452D" w:rsidRDefault="0026452D" w:rsidP="0026452D">
      <w:pPr>
        <w:pStyle w:val="TextoNormal"/>
      </w:pPr>
      <w:r>
        <w:t>En virtud del art. 149.1.30 CE, requisitos para obtener la condición del profesor universitario y sistema básico de selección del profesorado por parte de las universidades; contenido mínimo e indispensable de los planes de estudio; duración mínima de las enseñanzas; pruebas objetivas mínimas para la colación de títulos universitarios.</w:t>
      </w:r>
    </w:p>
    <w:p w:rsidR="0026452D" w:rsidRDefault="0026452D" w:rsidP="0026452D">
      <w:pPr>
        <w:pStyle w:val="TextoNormal"/>
      </w:pPr>
    </w:p>
    <w:p w:rsidR="0026452D" w:rsidRDefault="0026452D" w:rsidP="0026452D">
      <w:pPr>
        <w:pStyle w:val="TextoNormal"/>
      </w:pPr>
      <w:r>
        <w:t>Se concluye el primer apartado del escrito de alegaciones sosteniendo, con base en la STC 26/1987, que en materia de educación universitaria el núcleo fundamental del reparto tiene como partícipes al Estado y a las propias universidades, con lo que las competencias de desarrollo legislativo que ostentan sobre el particular las Comunidades Autónomas no pueden tener la misma entidad que en los supuestos de educación y enseñanzas no universitarias.</w:t>
      </w:r>
    </w:p>
    <w:p w:rsidR="0026452D" w:rsidRDefault="0026452D" w:rsidP="0026452D">
      <w:pPr>
        <w:pStyle w:val="TextoNormal"/>
      </w:pPr>
    </w:p>
    <w:p w:rsidR="0026452D" w:rsidRDefault="0026452D" w:rsidP="0026452D">
      <w:pPr>
        <w:pStyle w:val="TextoNormal"/>
      </w:pPr>
      <w:r>
        <w:t>A continuación se procede, por parte de la Abogada del Estado, al análisis de cada uno de los preceptos impugnados.</w:t>
      </w:r>
    </w:p>
    <w:p w:rsidR="0026452D" w:rsidRDefault="0026452D" w:rsidP="0026452D">
      <w:pPr>
        <w:pStyle w:val="TextoNormal"/>
      </w:pPr>
    </w:p>
    <w:p w:rsidR="0026452D" w:rsidRDefault="0026452D" w:rsidP="0026452D">
      <w:pPr>
        <w:pStyle w:val="TextoNormal"/>
      </w:pPr>
      <w:r>
        <w:t>a) Acerca de la impugnación del art. 4.3 LOU, relativo a los requisitos básicos para la creación y reconocimiento de las universidades.</w:t>
      </w:r>
    </w:p>
    <w:p w:rsidR="0026452D" w:rsidRDefault="0026452D" w:rsidP="0026452D">
      <w:pPr>
        <w:pStyle w:val="TextoNormal"/>
      </w:pPr>
    </w:p>
    <w:p w:rsidR="0026452D" w:rsidRDefault="0026452D" w:rsidP="0026452D">
      <w:pPr>
        <w:pStyle w:val="TextoNormal"/>
      </w:pPr>
      <w:r>
        <w:t xml:space="preserve">La Abogada del Estado reprocha a los recurrentes que hayan efectuado una lectura aislada del apartado del precepto impugnado, pues de haberla realizado de forma sistemática con respecto de la Ley Orgánica podría haberse advertido que la norma incorpora a lo largo de la misma multitud de aspectos concernientes a la creación y reconocimiento de las universidades: funciones que ha de desarrollar (art. 2 en relación con el art. 1 LOU), aseguramiento de la participación (art. 12.1), estructura que han de adoptar (arts. 7 a 11), denominación de los órganos unipersonales (art. 27.1), requisitos que ha de reunir el profesorado </w:t>
      </w:r>
      <w:r>
        <w:lastRenderedPageBreak/>
        <w:t>en universidades públicas (arts. 47 a 71) y privadas (art. 72), el título XI concreta el régimen financiero al que han de atenerse las universidades públicas, entre otros muchos aspectos. Por lo tanto se cubre sobradamente la reserva de ley que se deriva de los apartados del art. 27 CE que la Ley Orgánica regula en relación con los arts. 53.1 y 81.1 CE. Aunque no todos los preceptos tengan carácter orgánico ha de tenerse en cuenta que en determinadas materias no se trata de desarrollar el núcleo de derechos fundamentales sino de materias conexas a los mismos, lo cual es compatible con la doctrina constitucional.</w:t>
      </w:r>
    </w:p>
    <w:p w:rsidR="0026452D" w:rsidRDefault="0026452D" w:rsidP="0026452D">
      <w:pPr>
        <w:pStyle w:val="TextoNormal"/>
      </w:pPr>
    </w:p>
    <w:p w:rsidR="0026452D" w:rsidRDefault="0026452D" w:rsidP="0026452D">
      <w:pPr>
        <w:pStyle w:val="TextoNormal"/>
      </w:pPr>
      <w:r>
        <w:t>Igualmente, la alegante niega que la llamada al reglamento que se realiza en el precepto contradiga la doctrina sobre colaboración entre este tipo de normas y la ley. Nuevamente se reprocha a los recurrentes una lectura aislada del apartado, pues en el mismo precepto se advierte la orientación teleológica contenida en orden a garantizar la calidad de la docencia e investigación y, en conjunto, del sistema universitario y que encauza necesariamente la intervención del Gobierno. Además, el precepto delimita que los requisitos que han de fijarse por el Gobierno son los relativos a los medios y recursos necesarios para que las universidades cumplan los objetivos legalmente asignados. Se recuerda, en este sentido, que de acuerdo con la jurisprudencia de este Tribunal, el reglamento puede complementar a la ley (incluso a la ley orgánica) siempre que se cuente con habilitación expresa, como es el caso.</w:t>
      </w:r>
    </w:p>
    <w:p w:rsidR="0026452D" w:rsidRDefault="0026452D" w:rsidP="0026452D">
      <w:pPr>
        <w:pStyle w:val="TextoNormal"/>
      </w:pPr>
    </w:p>
    <w:p w:rsidR="0026452D" w:rsidRDefault="0026452D" w:rsidP="0026452D">
      <w:pPr>
        <w:pStyle w:val="TextoNormal"/>
      </w:pPr>
      <w:r>
        <w:t>La Abogada del Estado concluye el apartado indicando que los reproches que los alegantes dirigen al precepto, sustentados en motivos competenciales, carecen de argumentación en la que se expresan qué normas de la Constitución, de los Estatutos de Autonomía o concretas competencias de las Comunidades Autónomas han podido quedar lesionadas. En realidad se vuelven a expresar motivos que tienen que ver con la reserva de ley y que ya han sido contestados.</w:t>
      </w:r>
    </w:p>
    <w:p w:rsidR="0026452D" w:rsidRDefault="0026452D" w:rsidP="0026452D">
      <w:pPr>
        <w:pStyle w:val="TextoNormal"/>
      </w:pPr>
    </w:p>
    <w:p w:rsidR="0026452D" w:rsidRDefault="0026452D" w:rsidP="0026452D">
      <w:pPr>
        <w:pStyle w:val="TextoNormal"/>
      </w:pPr>
      <w:r>
        <w:t>b) En lo que hace al art. 6.5 LOU relativo al régimen jurídico de las universidades privadas.</w:t>
      </w:r>
    </w:p>
    <w:p w:rsidR="0026452D" w:rsidRDefault="0026452D" w:rsidP="0026452D">
      <w:pPr>
        <w:pStyle w:val="TextoNormal"/>
      </w:pPr>
    </w:p>
    <w:p w:rsidR="0026452D" w:rsidRDefault="0026452D" w:rsidP="0026452D">
      <w:pPr>
        <w:pStyle w:val="TextoNormal"/>
      </w:pPr>
      <w:r>
        <w:t>En contra de lo alegado por los recurrentes, la Ley Orgánica no está vacía de contenido en cuanto a la determinación de los requisitos en cuanto a la elaboración y contenido de las normas reguladoras de las universidades privadas. Así, se ha determinado el régimen de aprobación y contenido de las normas de organización y funcionamiento (art. 6.1 y 2), sin perjuicio de la debida observancia de los principios de libertad académica. La autonomía universitaria encuentra expresión en la potestad de autonormación de la que pueden hacer uso las universidades privadas cuyos concretos límites, que se conforman como exigencias para que puedan incardinarse en el sistema nacional universitario, se establecen en el Real Decreto 557/1991, de 12 de abril, sobre creación y reconocimiento de universidades y centros universitarios.</w:t>
      </w:r>
    </w:p>
    <w:p w:rsidR="0026452D" w:rsidRDefault="0026452D" w:rsidP="0026452D">
      <w:pPr>
        <w:pStyle w:val="TextoNormal"/>
      </w:pPr>
    </w:p>
    <w:p w:rsidR="0026452D" w:rsidRDefault="0026452D" w:rsidP="0026452D">
      <w:pPr>
        <w:pStyle w:val="TextoNormal"/>
      </w:pPr>
      <w:r>
        <w:t>Respecto a la vulneración del art. 20 CE, se recuerda la necesaria distinción, en el ámbito de los derechos educativos, entre centros públicos y privados. En consecuencia con la doctrina constitucional (STC 77/1985) debe reconocerse la existencia de un derecho a la dirección a los titulares de los centros privados y, por ello, no puede excluirse que en el acto de creación de la universidad privada se articule en la estructura institucional de la universidad la voluntad del titular fundador. De no reconocerse a los creadores de este tipo de universidades la potestad de dictar normas, al menos básicas, de organización y funcionamiento no habría verdadero acto de fundación o éste no estaría completo.</w:t>
      </w:r>
    </w:p>
    <w:p w:rsidR="0026452D" w:rsidRDefault="0026452D" w:rsidP="0026452D">
      <w:pPr>
        <w:pStyle w:val="TextoNormal"/>
      </w:pPr>
    </w:p>
    <w:p w:rsidR="0026452D" w:rsidRDefault="0026452D" w:rsidP="0026452D">
      <w:pPr>
        <w:pStyle w:val="TextoNormal"/>
      </w:pPr>
      <w:r>
        <w:t>Tampoco puede sostenerse, como pretenden los recurrentes, que la desigualdad de trato prevista por la Ley sobre el particular, en el sentido de que los integrantes de las universidades privadas cuentan con menor autonomía de autonormación con respecto de los creadores de las mimas que en el caso de las universidades públicas, vulnere el art. 14 CE. No puede olvidarse que a diferencia de las universidades públicas, en las de naturaleza privada concurre la presencia de un sujeto titular al que la Constitución garantiza derechos organizativos y de dirección.</w:t>
      </w:r>
    </w:p>
    <w:p w:rsidR="0026452D" w:rsidRDefault="0026452D" w:rsidP="0026452D">
      <w:pPr>
        <w:pStyle w:val="TextoNormal"/>
      </w:pPr>
    </w:p>
    <w:p w:rsidR="0026452D" w:rsidRDefault="0026452D" w:rsidP="0026452D">
      <w:pPr>
        <w:pStyle w:val="TextoNormal"/>
      </w:pPr>
      <w:r>
        <w:t>c) Alegaciones relativas a la impugnación del art. 9.2 LOU sobre los departamentos universitarios.</w:t>
      </w:r>
    </w:p>
    <w:p w:rsidR="0026452D" w:rsidRDefault="0026452D" w:rsidP="0026452D">
      <w:pPr>
        <w:pStyle w:val="TextoNormal"/>
      </w:pPr>
    </w:p>
    <w:p w:rsidR="0026452D" w:rsidRDefault="0026452D" w:rsidP="0026452D">
      <w:pPr>
        <w:pStyle w:val="TextoNormal"/>
      </w:pPr>
      <w:r>
        <w:t>El fundamento de la impugnación se sustenta en la deslegalización a que procede la Ley al encomendar al Gobierno la aprobación de las normas básicas sobre creación, modificación y supresión de los departamentos universitarios. Sin embargo, la Abogada del Estado cree que la cuestión se encuentra zanjada por la doctrina de este Tribunal, que en sus SSTC 26/1987, de 27 de febrero, y 156/1994, de 25 de abril, avalaron, en primer lugar, la existencia de normas estatales básicas en materia de departamentos, tanto en la Ley como establecidas ulteriormente por el Gobierno, aunque en la segunda resolución, incluso, se modula el criterio de flexibilidad introducido anteriormente, pues se introducen exigencias de homogeneidad inherentes al “servicio público universal entendido como sistema nacional” y al aseguramiento de una dimensión mínima en los departamentos. Por otra parte, se llama la atención de que la Ley recoge a lo largo de su articulado determinaciones muy puntuales lo cual se traduce en una amplia remisión a las normas estatutarias universitarias, mientras que la normativa básica estatal a la que se refiere la Ley Orgánica afecta a aspectos fragmentarios de competencia estatal.</w:t>
      </w:r>
    </w:p>
    <w:p w:rsidR="0026452D" w:rsidRDefault="0026452D" w:rsidP="0026452D">
      <w:pPr>
        <w:pStyle w:val="TextoNormal"/>
      </w:pPr>
    </w:p>
    <w:p w:rsidR="0026452D" w:rsidRDefault="0026452D" w:rsidP="0026452D">
      <w:pPr>
        <w:pStyle w:val="TextoNormal"/>
      </w:pPr>
      <w:r>
        <w:t>Finalmente se reprocha a los recurrentes que impugnen el precepto por motivos competenciales limitándose a reiterar argumentos relativos a la reserva constitucional de ley.</w:t>
      </w:r>
    </w:p>
    <w:p w:rsidR="0026452D" w:rsidRDefault="0026452D" w:rsidP="0026452D">
      <w:pPr>
        <w:pStyle w:val="TextoNormal"/>
      </w:pPr>
    </w:p>
    <w:p w:rsidR="0026452D" w:rsidRDefault="0026452D" w:rsidP="0026452D">
      <w:pPr>
        <w:pStyle w:val="TextoNormal"/>
      </w:pPr>
      <w:r>
        <w:t>d) Alegaciones concernientes al art. 15.2 LOU relativo a la composición de los consejos de gobierno de las universidades.</w:t>
      </w:r>
    </w:p>
    <w:p w:rsidR="0026452D" w:rsidRDefault="0026452D" w:rsidP="0026452D">
      <w:pPr>
        <w:pStyle w:val="TextoNormal"/>
      </w:pPr>
    </w:p>
    <w:p w:rsidR="0026452D" w:rsidRDefault="0026452D" w:rsidP="0026452D">
      <w:pPr>
        <w:pStyle w:val="TextoNormal"/>
      </w:pPr>
      <w:r>
        <w:t>El motivo de impugnación es por lesión de la autonomía universitaria, por cuanto en el inciso final se impone que formen parte de dichos órganos tres miembros del correspondiente consejo social no pertenecientes a la comunidad universitaria. Pues bien, la Abogada del Estado estima que carece de fundamento estimar que la presencia de miembros ajenos a la comunidad universitaria en los términos expuestos significa una injerencia externa en la autonomía universitaria. En primer lugar porque los consejos sociales son órganos de las propias universidades y, en segundo lugar, porque la participación de los miembros de los consejos sociales es muy minoritaria dentro del total de integrantes de los consejos de gobierno y, por ello, la autonomía universitaria expresada en el gobierno de la universidad no queda subordinada a la representación social. Pero es que, además, la presencia de miembros de los consejos sociales en los consejos de gobierno no menoscaba la autonomía universitaria y resulta acorde con el valor constitucional de la participación (arts. 9.2 y 27.5 CE), en este caso, de los representantes de los intereses de la sociedad en la universidad. Por todo ello, la Abogada del Estado estima infundada la impugnación del precepto.</w:t>
      </w:r>
    </w:p>
    <w:p w:rsidR="0026452D" w:rsidRDefault="0026452D" w:rsidP="0026452D">
      <w:pPr>
        <w:pStyle w:val="TextoNormal"/>
      </w:pPr>
    </w:p>
    <w:p w:rsidR="0026452D" w:rsidRDefault="0026452D" w:rsidP="0026452D">
      <w:pPr>
        <w:pStyle w:val="TextoNormal"/>
      </w:pPr>
      <w:r>
        <w:lastRenderedPageBreak/>
        <w:t>e) Alegaciones relativas a la impugnación del art. 23.2 LOU atinente al nombramiento del gerente de la universidad.</w:t>
      </w:r>
    </w:p>
    <w:p w:rsidR="0026452D" w:rsidRDefault="0026452D" w:rsidP="0026452D">
      <w:pPr>
        <w:pStyle w:val="TextoNormal"/>
      </w:pPr>
    </w:p>
    <w:p w:rsidR="0026452D" w:rsidRDefault="0026452D" w:rsidP="0026452D">
      <w:pPr>
        <w:pStyle w:val="TextoNormal"/>
      </w:pPr>
      <w:r>
        <w:t>Frente al cuestionamiento que se realiza en el recurso acerca de que la intervención de los consejos sociales en la materia, la Abogada del Estado recuerda las funciones tan específicas que la ley orgánica encomienda a los gerentes de las universidades (gestión de los servicios administrativos y económicos) y que en relación con dicho ámbito, los consejos sociales han de supervisar las actividades de carácter económico de la universidad y el rendimiento de sus servicios. De ahí que no sea irracional la intervención del consejo social prestando su acuerdo para el nombramiento del gerente. Ha de tenerse en cuenta que la intervención articulada por el legislador orgánico se conforma como una suerte de capacidad de “resistencia” frente a la propuesta efectuada por el rector y por lo tanto el consejo social carece de la facultad de iniciativa en esta materia.</w:t>
      </w:r>
    </w:p>
    <w:p w:rsidR="0026452D" w:rsidRDefault="0026452D" w:rsidP="0026452D">
      <w:pPr>
        <w:pStyle w:val="TextoNormal"/>
      </w:pPr>
    </w:p>
    <w:p w:rsidR="0026452D" w:rsidRDefault="0026452D" w:rsidP="0026452D">
      <w:pPr>
        <w:pStyle w:val="TextoNormal"/>
      </w:pPr>
      <w:r>
        <w:t>f) Alegaciones relativas a la impugnación del art. 27.2 LOU que se refiere a los órganos de gobierno y representación de las universidades privadas.</w:t>
      </w:r>
    </w:p>
    <w:p w:rsidR="0026452D" w:rsidRDefault="0026452D" w:rsidP="0026452D">
      <w:pPr>
        <w:pStyle w:val="TextoNormal"/>
      </w:pPr>
    </w:p>
    <w:p w:rsidR="0026452D" w:rsidRDefault="0026452D" w:rsidP="0026452D">
      <w:pPr>
        <w:pStyle w:val="TextoNormal"/>
      </w:pPr>
      <w:r>
        <w:t>Consideran los recurrentes lesivo de la igualdad y de las libertades académicas de los miembros de las universidades privadas al no hacer referencia en la materia los principios constitucionales. La Abogada del Estado incide en la naturaleza privada de las universidades concernidas por el precepto y que están amparadas por la libertad de organización en todo aquello no limitado por la Constitución o la ley en desarrollo de la misma.</w:t>
      </w:r>
    </w:p>
    <w:p w:rsidR="0026452D" w:rsidRDefault="0026452D" w:rsidP="0026452D">
      <w:pPr>
        <w:pStyle w:val="TextoNormal"/>
      </w:pPr>
    </w:p>
    <w:p w:rsidR="0026452D" w:rsidRDefault="0026452D" w:rsidP="0026452D">
      <w:pPr>
        <w:pStyle w:val="TextoNormal"/>
      </w:pPr>
      <w:r>
        <w:t>g) Alegaciones sobre la impugnación del art. 32 LOU relativo a la Agencia Nacional de Evaluación de la Calidad y Acreditación.</w:t>
      </w:r>
    </w:p>
    <w:p w:rsidR="0026452D" w:rsidRDefault="0026452D" w:rsidP="0026452D">
      <w:pPr>
        <w:pStyle w:val="TextoNormal"/>
      </w:pPr>
    </w:p>
    <w:p w:rsidR="0026452D" w:rsidRDefault="0026452D" w:rsidP="0026452D">
      <w:pPr>
        <w:pStyle w:val="TextoNormal"/>
      </w:pPr>
      <w:r>
        <w:t>Los reproches de constitucionalidad se sustentan en la encomienda que realiza la Ley Orgánica en favor del Consejo de Ministros para que, previo informe del Consejo de Coordinación Universitaria, autorice la constitución de la citada agencia, pues ello supone conferir rango normativo a una materia que entra dentro de la reserva de ley contenida en el juego de los arts. 53.1 y 81.1 CE. Frente a ello, la Abogada del Estado alega que se confunde el desarrollo de los derechos fundamentales con la conformación de un órgano de la Administración del Estado que ha de ejercer las funciones que le encomienda el art. 31 LOU, sin olvidar que es en la propia Ley Orgánica de universidades donde se ha determinado, a lo largo de distintos preceptos (p. ej. arts. 35.5, 50, 51, 52, 55.4, 60.1, entre otros), el alcance y efectos jurídicos de las evaluaciones realizadas por la Agencia, sin que, por lo tanto, del tenor de la Ley Orgánica pueda deducirse que la norma reglamentaria pueda innovar o conferir nuevos efectos a las evaluaciones.</w:t>
      </w:r>
    </w:p>
    <w:p w:rsidR="0026452D" w:rsidRDefault="0026452D" w:rsidP="0026452D">
      <w:pPr>
        <w:pStyle w:val="TextoNormal"/>
      </w:pPr>
    </w:p>
    <w:p w:rsidR="0026452D" w:rsidRDefault="0026452D" w:rsidP="0026452D">
      <w:pPr>
        <w:pStyle w:val="TextoNormal"/>
      </w:pPr>
      <w:r>
        <w:t>Frente a la alegación de que la Ley Orgánica no ha previsto por lo menos ninguna garantía de independencia u objetividad en relación con la composición y actuación de la agencia, la Abogada del Estado, dejando de un lado el hecho de que los recurrentes no hayan acreditado que esos extremos están reservado a la ley, recuerda que tal exigencia se deriva, para todo órgano administrativo, del art. 103.1 CE y del art. 3 de la Ley 30/1992, de régimen jurídico de las Administraciones públicas y del régimen jurídico común. Por lo demás, concluye la alegante, supone una garantía no menor el que el Gobierno deba contar en este particular con un informe previo del Consejo de Coordinación Universitaria.</w:t>
      </w:r>
    </w:p>
    <w:p w:rsidR="0026452D" w:rsidRDefault="0026452D" w:rsidP="0026452D">
      <w:pPr>
        <w:pStyle w:val="TextoNormal"/>
      </w:pPr>
    </w:p>
    <w:p w:rsidR="0026452D" w:rsidRDefault="0026452D" w:rsidP="0026452D">
      <w:pPr>
        <w:pStyle w:val="TextoNormal"/>
      </w:pPr>
      <w:r>
        <w:lastRenderedPageBreak/>
        <w:t>h) Alegaciones en relación con el art. 42.3 LOU atinente a los procedimientos de admisión de los estudiantes en los centros universitarios.</w:t>
      </w:r>
    </w:p>
    <w:p w:rsidR="0026452D" w:rsidRDefault="0026452D" w:rsidP="0026452D">
      <w:pPr>
        <w:pStyle w:val="TextoNormal"/>
      </w:pPr>
    </w:p>
    <w:p w:rsidR="0026452D" w:rsidRDefault="0026452D" w:rsidP="0026452D">
      <w:pPr>
        <w:pStyle w:val="TextoNormal"/>
      </w:pPr>
      <w:r>
        <w:t>La Abogada del Estado dedica sus alegaciones a negar que el artículo contradiga la reserva de ley orgánica del art. 81.1 CE. En este sentido, se recuerda la doctrina de este Tribunal (SSTC 160/1987 y 142/1993) sobre el carácter excepcional de dicha categoría normativa, de tal suerte que, si bien es cierto que la Constitución reserva determinadas materias a la ley orgánica, también lo es que las leyes orgánicas están reservadas a esas materias, no pudiendo excederse de las mismas. De la jurisprudencia citada, se deduce que ha de interpretarse restrictivamente el término “desarrollo” al referirse a los derechos fundamentales, pues en caso contrario, el ordenamiento jurídico quedaría conformado por este tipo de leyes, al no ser difícil encontrar conexiones más o menos remotas de una ley con algún derecho fundamental.</w:t>
      </w:r>
    </w:p>
    <w:p w:rsidR="0026452D" w:rsidRDefault="0026452D" w:rsidP="0026452D">
      <w:pPr>
        <w:pStyle w:val="TextoNormal"/>
      </w:pPr>
    </w:p>
    <w:p w:rsidR="0026452D" w:rsidRDefault="0026452D" w:rsidP="0026452D">
      <w:pPr>
        <w:pStyle w:val="TextoNormal"/>
      </w:pPr>
      <w:r>
        <w:t>Así mismo, está fuera de lugar la llamada que el artículo impugnado realiza al reglamento sea contraria a la Constitución, puesto que estas normas pueden perfectamente complementar la Ley Orgánica, siempre que no se trate de una remisión material en blanco y que el núcleo esencial de la regulación material permanezca en la Ley. Sobre el particular, la Abogada del Estado afirma que dicha remisión en blanco no existe en este caso, al recoger la Ley Orgánica de universidades determinados aspectos relativos al régimen de acceso de los alumnos a los centros universitarios, como son: la titulación necesaria para tal acceso (art. 42.2), la apelación a que las universidades han de respetar los principios de igualdad mérito y capacidad (art. 42.3, primer párrafo), que la oferta de plazas sea general para todo el Estado (art. 42.3), o el sistema de becas para garantizar las condiciones de igualdad en el ejercicio del derecho a la educación (art. 45).</w:t>
      </w:r>
    </w:p>
    <w:p w:rsidR="0026452D" w:rsidRDefault="0026452D" w:rsidP="0026452D">
      <w:pPr>
        <w:pStyle w:val="TextoNormal"/>
      </w:pPr>
    </w:p>
    <w:p w:rsidR="0026452D" w:rsidRDefault="0026452D" w:rsidP="0026452D">
      <w:pPr>
        <w:pStyle w:val="TextoNormal"/>
      </w:pPr>
      <w:r>
        <w:t>Tampoco puede rechazarse la remisión que realiza la norma para que el Gobierno fije la normativa básica complementaria, que consistirá en “marcar ciertas pautas mínimas de coordinación de los procedimientos de admisión que, en definitiva, ha[n] de ser fijado[s] por las Universidades”. Y, en relación con ello, no puede ser exigible mucho más detalle a la Ley Orgánica, habida cuenta del carácter eminentemente técnico de la materia.</w:t>
      </w:r>
    </w:p>
    <w:p w:rsidR="0026452D" w:rsidRDefault="0026452D" w:rsidP="0026452D">
      <w:pPr>
        <w:pStyle w:val="TextoNormal"/>
      </w:pPr>
    </w:p>
    <w:p w:rsidR="0026452D" w:rsidRDefault="0026452D" w:rsidP="0026452D">
      <w:pPr>
        <w:pStyle w:val="TextoNormal"/>
      </w:pPr>
      <w:r>
        <w:t>Concluye la Abogada del Estado manifestando que resulta “evidente por tanto que el Estado tiene competencias para establecer los procedimientos de selección para el ingreso en los centros universitarios con arreglo a lo dispuesto en los números 1 y 30 del art. 149.1 CE, pero limitada al contenido básico de los mismos, de acuerdo con dichas normas constitucionales. Su desarrollo corresponde a la Comunidad Autónoma, respetando las competencias que corresponden a las Universidades de su territorio, en virtud de su autonomía”.</w:t>
      </w:r>
    </w:p>
    <w:p w:rsidR="0026452D" w:rsidRDefault="0026452D" w:rsidP="0026452D">
      <w:pPr>
        <w:pStyle w:val="TextoNormal"/>
      </w:pPr>
    </w:p>
    <w:p w:rsidR="0026452D" w:rsidRDefault="0026452D" w:rsidP="0026452D">
      <w:pPr>
        <w:pStyle w:val="TextoNormal"/>
      </w:pPr>
      <w:r>
        <w:t>i) Alegaciones relativas al art. 46.3, inciso segundo, LOU sobre la facultad conferida al consejo social para aprobar las normas que regulen el progreso y la permanencia de los estudiantes en la universidad.</w:t>
      </w:r>
    </w:p>
    <w:p w:rsidR="0026452D" w:rsidRDefault="0026452D" w:rsidP="0026452D">
      <w:pPr>
        <w:pStyle w:val="TextoNormal"/>
      </w:pPr>
    </w:p>
    <w:p w:rsidR="0026452D" w:rsidRDefault="0026452D" w:rsidP="0026452D">
      <w:pPr>
        <w:pStyle w:val="TextoNormal"/>
      </w:pPr>
      <w:r>
        <w:t xml:space="preserve">La Abogada del Estado parte en su argumentación recordando la necesaria existencia de los consejos sociales en las universidades como órganos de participación de la sociedad en las mismas. A juicio de la alegante esta facultad es, por su parte, expresión de la competencia </w:t>
      </w:r>
      <w:r>
        <w:lastRenderedPageBreak/>
        <w:t>atribuida a estos entes por el art. 14 LOU en orden a supervisar el rendimiento de sus servicios, por lo que se concluye que no contraviene la autonomía universitaria constitucionalmente garantizada.</w:t>
      </w:r>
    </w:p>
    <w:p w:rsidR="0026452D" w:rsidRDefault="0026452D" w:rsidP="0026452D">
      <w:pPr>
        <w:pStyle w:val="TextoNormal"/>
      </w:pPr>
    </w:p>
    <w:p w:rsidR="0026452D" w:rsidRDefault="0026452D" w:rsidP="0026452D">
      <w:pPr>
        <w:pStyle w:val="TextoNormal"/>
      </w:pPr>
      <w:r>
        <w:t>j) Alegaciones en relación con los arts. 50 a 52 LOU que regulan la contratación de profesores ayudantes doctores, de profesores colaboradores y de profesores contratados doctores.</w:t>
      </w:r>
    </w:p>
    <w:p w:rsidR="0026452D" w:rsidRDefault="0026452D" w:rsidP="0026452D">
      <w:pPr>
        <w:pStyle w:val="TextoNormal"/>
      </w:pPr>
    </w:p>
    <w:p w:rsidR="0026452D" w:rsidRDefault="0026452D" w:rsidP="0026452D">
      <w:pPr>
        <w:pStyle w:val="TextoNormal"/>
      </w:pPr>
      <w:r>
        <w:t>La Abogada del Estado, en relación con la exigencia de una evaluación favorable de la actividad de los candidatos por parte de la Agencia Nacional de Evaluación de la Calidad y Acreditación u órganos análogos de las Comunidades Autónomas, entiende que se ha realizado una apreciación errónea de la trascendencia del requisito. Ciertamente se trata de un informe emitido por un órgano externo a la universidad, pero ésta conserva íntegras sus atribuciones para valorar y seleccionar a los candidatos más idóneos. Se trata, en este caso, de homogeneizar condiciones básicas para poder ser contratado como profesor universitario, en suma, no se trata de garantizar únicamente condiciones mínimas de calidad, sino de igualdad de acceso a puestos docentes y de investigación en régimen de mayor objetividad dada la desvinculación de la Agencia con respecto de las universidades.</w:t>
      </w:r>
    </w:p>
    <w:p w:rsidR="0026452D" w:rsidRDefault="0026452D" w:rsidP="0026452D">
      <w:pPr>
        <w:pStyle w:val="TextoNormal"/>
      </w:pPr>
    </w:p>
    <w:p w:rsidR="0026452D" w:rsidRDefault="0026452D" w:rsidP="0026452D">
      <w:pPr>
        <w:pStyle w:val="TextoNormal"/>
      </w:pPr>
      <w:r>
        <w:t>En cuanto a la impugnación relativa a la cláusula contenida en el art. 51 LOU relativa a que únicamente procederá la contratación de profesores colaboradores en las áreas de conocimiento previamente determinadas por el Gobierno y su eventual incompatibilidad con la autonomía universitaria, la Abogada del Estado comienza sus alegaciones recordando la diferente regulación de los títulos universitarios según se impartan en facultades o escuelas superiores, de un lado, o en las escuelas universitarias, de otro; dicha diferencia se proyecta en las distintas categorías de profesorado universitario y justifica que deban determinarse y acotarse, por parte del Gobierno, las áreas de conocimiento que impartirán docencia en función de cada tipo de estudio y, en consecuencia, qué categoría de profesorado les corresponde. Se trata, pues, de regulación sobre la función pública docente que trata de garantizar las condiciones de igualdad en el acceso según su distinta naturaleza y que encuentra cobertura en el art. 149.1.1, 18 y 30 CE. Por último, la Abogada del Estado recuerda la jurisprudencia de este Tribunal, en cuya virtud ha de existir “una homogeneidad real entre el objeto de conocimiento que sirva de base a la configuración de las áreas y las plazas” que se adscriban a las mismas [STC 26/1987, FJ 12.3 a)].</w:t>
      </w:r>
    </w:p>
    <w:p w:rsidR="0026452D" w:rsidRDefault="0026452D" w:rsidP="0026452D">
      <w:pPr>
        <w:pStyle w:val="TextoNormal"/>
      </w:pPr>
    </w:p>
    <w:p w:rsidR="0026452D" w:rsidRDefault="0026452D" w:rsidP="0026452D">
      <w:pPr>
        <w:pStyle w:val="TextoNormal"/>
      </w:pPr>
      <w:r>
        <w:t>k) Alegaciones concernientes al art. 72 LOU sobre profesorado en las universidades privadas.</w:t>
      </w:r>
    </w:p>
    <w:p w:rsidR="0026452D" w:rsidRDefault="0026452D" w:rsidP="0026452D">
      <w:pPr>
        <w:pStyle w:val="TextoNormal"/>
      </w:pPr>
    </w:p>
    <w:p w:rsidR="0026452D" w:rsidRDefault="0026452D" w:rsidP="0026452D">
      <w:pPr>
        <w:pStyle w:val="TextoNormal"/>
      </w:pPr>
      <w:r>
        <w:t xml:space="preserve">A juicio de la alegante no puede sostenerse que el menor porcentaje de profesores doctores en la universidad privada atente contra el derecho a la educación en condiciones de igualdad. Recuerda que, si bien en materia de enseñanza y títulos el régimen de las universidades privadas y públicas es análogo, en materia de organización y personal no es así, dada precisamente la distinta naturaleza entre ambas y en esa circunstancia ha de sustentarse el distinto régimen en materia de profesorado que la ley dispensa a unas y otras. Además, la ley lo que hace es establecer unos requisitos comunes mínimos sin que impida posteriormente al Gobierno por vía reglamentaria fijar mayores porcentajes. Finaliza su argumentación la Abogada del Estado recordando la licitud de las diversificaciones normativas cuando </w:t>
      </w:r>
      <w:r>
        <w:lastRenderedPageBreak/>
        <w:t>es posible discernir una finalidad no contradictoria con la Constitución (STC 209/1988, de 10 de noviembre, FJ 6).</w:t>
      </w:r>
    </w:p>
    <w:p w:rsidR="0026452D" w:rsidRDefault="0026452D" w:rsidP="0026452D">
      <w:pPr>
        <w:pStyle w:val="TextoNormal"/>
      </w:pPr>
    </w:p>
    <w:p w:rsidR="0026452D" w:rsidRDefault="0026452D" w:rsidP="0026452D">
      <w:pPr>
        <w:pStyle w:val="TextoNormal"/>
      </w:pPr>
      <w:r>
        <w:t>l) Alegaciones en relación con el art. 83.2 LOU en materia de autorizaciones de trabajos y de contratos de colaboración.</w:t>
      </w:r>
    </w:p>
    <w:p w:rsidR="0026452D" w:rsidRDefault="0026452D" w:rsidP="0026452D">
      <w:pPr>
        <w:pStyle w:val="TextoNormal"/>
      </w:pPr>
    </w:p>
    <w:p w:rsidR="0026452D" w:rsidRDefault="0026452D" w:rsidP="0026452D">
      <w:pPr>
        <w:pStyle w:val="TextoNormal"/>
      </w:pPr>
      <w:r>
        <w:t>Sustentada la impugnación en la deslegalización que hace el precepto de la materia, la Abogada del Estado indica que la norma hay que ponerla en relación con el art. 68 LOU referente a la dedicación del profesorado que establece la compatibilidad de la dedicación con la realización de trabajos en los términos del art. 83 LOU y de acuerdo con las normas básicas que dicte el Gobierno. Esta materia, aunque afecte a las libertades de los arts. 20 y 27 CE, ha de ponerse en relación con las obligaciones del profesorado, en la materia de personal, que si bien requiere de regulación básica de acuerdo con el art. 149.1.18 CE en absoluto está reservada a ley orgánica. No puede perderse de vista que la regulación que ha de acometer el Gobierno, afecta a aspectos procedimentales para los que ha de tomar en consideración la Ley 30/1992 o la legislación sobre incompatibilidades del personal al servicio de las Administraciones públicas. En cualquier caso, de una materia que no requiere de ley para la regulación de sus pormenores técnicos.</w:t>
      </w:r>
    </w:p>
    <w:p w:rsidR="0026452D" w:rsidRDefault="0026452D" w:rsidP="0026452D">
      <w:pPr>
        <w:pStyle w:val="TextoNormal"/>
      </w:pPr>
    </w:p>
    <w:p w:rsidR="0026452D" w:rsidRDefault="0026452D" w:rsidP="0026452D">
      <w:pPr>
        <w:pStyle w:val="TextoNormal"/>
      </w:pPr>
      <w:r>
        <w:t>m) Alegaciones sobre el art. 84, inciso primero LOU que regula la creación de fundaciones u otras personas jurídicas.</w:t>
      </w:r>
    </w:p>
    <w:p w:rsidR="0026452D" w:rsidRDefault="0026452D" w:rsidP="0026452D">
      <w:pPr>
        <w:pStyle w:val="TextoNormal"/>
      </w:pPr>
    </w:p>
    <w:p w:rsidR="0026452D" w:rsidRDefault="0026452D" w:rsidP="0026452D">
      <w:pPr>
        <w:pStyle w:val="TextoNormal"/>
      </w:pPr>
      <w:r>
        <w:t>Nuevamente, el motivo de impugnación radica en la exigencia de aprobación por parte del consejo social que se reputa lesiva de la autonomía universitaria por condicionar la decisión de las autoridades académicas en la materia. En relación con ello, la Abogada del Estado entiende que la facultad encaja la genérica capacidad de supervisión de la actividad económica de las universidades que se encomienda a estos órganos; actividad económica que está en la base de la creación de este tipo de entidades.</w:t>
      </w:r>
    </w:p>
    <w:p w:rsidR="0026452D" w:rsidRDefault="0026452D" w:rsidP="0026452D">
      <w:pPr>
        <w:pStyle w:val="TextoNormal"/>
      </w:pPr>
    </w:p>
    <w:p w:rsidR="0026452D" w:rsidRDefault="0026452D" w:rsidP="0026452D">
      <w:pPr>
        <w:pStyle w:val="TextoNormal"/>
      </w:pPr>
      <w:r>
        <w:t>n) Alegaciones relativas a la disposición adicional cuarta LOU sobre las universidades de la Iglesia católica.</w:t>
      </w:r>
    </w:p>
    <w:p w:rsidR="0026452D" w:rsidRDefault="0026452D" w:rsidP="0026452D">
      <w:pPr>
        <w:pStyle w:val="TextoNormal"/>
      </w:pPr>
    </w:p>
    <w:p w:rsidR="0026452D" w:rsidRDefault="0026452D" w:rsidP="0026452D">
      <w:pPr>
        <w:pStyle w:val="TextoNormal"/>
      </w:pPr>
      <w:r>
        <w:t>La Abogada del Estado basa sus alegaciones en que el Acuerdo suscrito entre España y la Santa Sede en 1979 en materia de enseñanza y asuntos sociales, establece, con respecto de las universidades, colegios universitarios, escuelas universitarias y otros centros universitarios que habrán de acomodarse a la legislación que se promulgue en cuanto al modo de ejercer sus actividades y también para el reconocimiento de efectos civiles a los estudios realizados en dichos centros. De tal enunciado concluye la alegante que la creación y reconocimiento de universidades de la Iglesia católica quedan fuera de la necesidad de acomodarse a la legislación en la materia. En suma, la existencia del Tratado internacional (en concreto del artículo X) hace innecesaria desde el punto de vista formal la existencia de una ley de reconocimiento para este tipo de universidades, ello no implica que, reconocida su creación sin necesidad de intermediación legislativa, estas universidades puedan desarrollar sus actividades sin someterse al ordenamiento jurídico del Estado o de las Comunidades Autónomas que disciplinan este ámbito.</w:t>
      </w:r>
    </w:p>
    <w:p w:rsidR="0026452D" w:rsidRDefault="0026452D" w:rsidP="0026452D">
      <w:pPr>
        <w:pStyle w:val="TextoNormal"/>
      </w:pPr>
    </w:p>
    <w:p w:rsidR="0026452D" w:rsidRDefault="0026452D" w:rsidP="0026452D">
      <w:pPr>
        <w:pStyle w:val="TextoNormal"/>
      </w:pPr>
      <w:r>
        <w:lastRenderedPageBreak/>
        <w:t>Se concluye que, innegable la existencia de la diferencia de trato, no es sin embargo inconstitucional, pues se sustenta en las especiales relaciones de colaboración entre el Estado y la Iglesia católica a las que alude el art. 16.3 CE.</w:t>
      </w:r>
    </w:p>
    <w:p w:rsidR="0026452D" w:rsidRDefault="0026452D" w:rsidP="0026452D">
      <w:pPr>
        <w:pStyle w:val="TextoNormal"/>
      </w:pPr>
    </w:p>
    <w:p w:rsidR="0026452D" w:rsidRDefault="0026452D" w:rsidP="0026452D">
      <w:pPr>
        <w:pStyle w:val="TextoNormal"/>
      </w:pPr>
      <w:r>
        <w:t>ñ) Alegaciones relativas a la disposición adicional séptima LOU en materia de conciertos entre las universidades e instituciones sanitarias.</w:t>
      </w:r>
    </w:p>
    <w:p w:rsidR="0026452D" w:rsidRDefault="0026452D" w:rsidP="0026452D">
      <w:pPr>
        <w:pStyle w:val="TextoNormal"/>
      </w:pPr>
    </w:p>
    <w:p w:rsidR="0026452D" w:rsidRDefault="0026452D" w:rsidP="0026452D">
      <w:pPr>
        <w:pStyle w:val="TextoNormal"/>
      </w:pPr>
      <w:r>
        <w:t>Se critica la atribución al Gobierno de la regulación de las bases en la materia, de forma incondicionada, a salvo de lo establecido en la misma disposición sobre la participación de los consejos de gobierno de las Comunidades Autónomas. La Abogada del Estado recuerda que la disposición sigue la técnica ya utilizada anteriormente en por la Ley de reforma universitaria de 1983. Sin perjuicio de ello, la propia Ley Orgánica, en su disposición final segunda, ha procedido a la modificación de la Ley general de sanidad, introduciendo determinados cambios en la normativa básica en materia de conciertos que condicionan la ulterior intervención reglamentaria del Gobierno en la materia y, por ello, se concluye que no existe la inconstitucionalidad denunciada.</w:t>
      </w:r>
    </w:p>
    <w:p w:rsidR="0026452D" w:rsidRDefault="0026452D" w:rsidP="0026452D">
      <w:pPr>
        <w:pStyle w:val="TextoNormal"/>
      </w:pPr>
    </w:p>
    <w:p w:rsidR="0026452D" w:rsidRDefault="0026452D" w:rsidP="0026452D">
      <w:pPr>
        <w:pStyle w:val="TextoNormal"/>
      </w:pPr>
      <w:r>
        <w:t>o) Alegaciones sobre la disposición final cuarta LOU en la que se establecen que preceptos tienen carácter orgánico.</w:t>
      </w:r>
    </w:p>
    <w:p w:rsidR="0026452D" w:rsidRDefault="0026452D" w:rsidP="0026452D">
      <w:pPr>
        <w:pStyle w:val="TextoNormal"/>
      </w:pPr>
    </w:p>
    <w:p w:rsidR="0026452D" w:rsidRDefault="0026452D" w:rsidP="0026452D">
      <w:pPr>
        <w:pStyle w:val="TextoNormal"/>
      </w:pPr>
      <w:r>
        <w:t>El reproche formulado es de orden competencial, por no determinarse qué preceptos contienen las normas básicas de desarrollo del art. 27 CE. Frente a esta tesis, la Abogada del Estado recuerda que la disposición final primera LOU establece que la norma se dicta al amparo de las competencias que corresponden al Estado en virtud del art. 149.1, 1, 15, 18 y 30 CE y todos los apartados del precepto constitucional habilitan al Estado para establecer un marco jurídico básico y en ciertos aspectos con carácter de regulación plena y exclusiva (en materia de titulaciones). Recuerda, por último, que de la STC 179/1992 se deduce que no es imprescindible la calificación formal y expresa del carácter básico de cada norma estatal si puede inferirse directa o indirectamente sin especial dificultad, que a juicio de la alegante es lo que sucede con esta Ley Orgánica. Por lo demás, carece de sentido impugnar por este motivo la disposición cuando el objeto de la misma es declarar el carácter orgánico de determinados preceptos de la Ley Orgánica 6/2001.</w:t>
      </w:r>
    </w:p>
    <w:p w:rsidR="0026452D" w:rsidRDefault="0026452D" w:rsidP="0026452D">
      <w:pPr>
        <w:pStyle w:val="TextoNormal"/>
      </w:pPr>
    </w:p>
    <w:p w:rsidR="0026452D" w:rsidRDefault="0026452D" w:rsidP="0026452D">
      <w:pPr>
        <w:pStyle w:val="TextoNormal"/>
      </w:pPr>
      <w:r>
        <w:t>La Abogada del Estado concluye su escrito de alegaciones suplicando que, una vez admitido y teniendo por formuladas las supracitadas alegaciones, tras la oportuna tramitación procesal dicte sentencia desestimatoria de la demanda presentada en la que se declare la plena constitucionalidad de la Ley Orgánica impugnada.</w:t>
      </w:r>
    </w:p>
    <w:p w:rsidR="0026452D" w:rsidRDefault="0026452D" w:rsidP="0026452D">
      <w:pPr>
        <w:pStyle w:val="TextoNormal"/>
      </w:pPr>
    </w:p>
    <w:p w:rsidR="0026452D" w:rsidRDefault="0026452D" w:rsidP="0026452D">
      <w:pPr>
        <w:pStyle w:val="TextoNormal"/>
      </w:pPr>
      <w:r w:rsidRPr="0026452D">
        <w:rPr>
          <w:rStyle w:val="NumeroAFNegritaCaracter"/>
        </w:rPr>
        <w:t>7</w:t>
      </w:r>
      <w:r>
        <w:t>. Por providencia de 4 de junio de 2013 se señaló para la deliberación y votación de la presente Sentencia el día 5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Constituyen el objeto del presente recurso de inconstitucionalidad los preceptos que se identifican en el encabezamiento de la presente resolución y que forman parte de la Ley Orgánica 6/2001, de 21 de diciembre, de universidades (LOU), siendo impugnados por se</w:t>
      </w:r>
      <w:r>
        <w:lastRenderedPageBreak/>
        <w:t>senta y cuatro Diputados integrantes de los grupos parlamentarios socialista, federal de Izquierda Unida y mixto en el Congreso de los Diputados. Sin perjuicio de las pertinentes precisiones que se harán más adelante, el grueso de los motivos de la controversia lo integran los reproches relativos a la vulneración de las reservas legales en materia de ley orgánica, la vulneración de la autonomía universitaria y de otras libertades educativas recogidas en el art. 27 CE y los motivos competenciales.</w:t>
      </w:r>
    </w:p>
    <w:p w:rsidR="0026452D" w:rsidRDefault="0026452D" w:rsidP="0026452D">
      <w:pPr>
        <w:pStyle w:val="TextoNormal"/>
      </w:pPr>
    </w:p>
    <w:p w:rsidR="0026452D" w:rsidRDefault="0026452D" w:rsidP="0026452D">
      <w:pPr>
        <w:pStyle w:val="TextoNormal"/>
      </w:pPr>
      <w:r>
        <w:t>Por su parte, la Abogada del Estado postula la constitucionalidad de la norma e interesa la plena desestimación de la demanda. Sin perjuicio de las concretas alegaciones que eleva frente a cada una de las impugnaciones de los recurrentes, con respecto de la autonomía universitaria sustenta sus alegaciones considerando que la conformación de la misma como un derecho fundamental no impide la potestad del legislador para regular la organización de las universidades, lo que no obsta a que el ejercicio de tal potestad haya de realizarse respetando el contenido esencial de la autonomía constitucionalmente garantizada. Asimismo recuerda el carácter excepcional de la reserva material de la ley orgánica y la doctrina de este Tribunal acerca de su alcance en lo que al desarrollo de los derechos fundamentales atañe. En cuanto al régimen relativo al reparto de competencias en la materia, la Abogada del Estado, de acuerdo con lo prevenido en el art. 149.1.1 y 30 CE, sostiene que las competencias estatales en materia de enseñanza son de carácter normativo y ejecutivo, sin que pueda descartarse la incidencia de otros títulos recogidos en dicho precepto. Sin embargo, la intervención estatal prevista en la Ley Orgánica no excluye la de las Comunidades Autónomas, resultando una triple dimensión competencial: la universitaria, en razón de su autonomía, la de las Comunidades Autónomas y la del propio Estado.</w:t>
      </w:r>
    </w:p>
    <w:p w:rsidR="0026452D" w:rsidRDefault="0026452D" w:rsidP="0026452D">
      <w:pPr>
        <w:pStyle w:val="TextoNormal"/>
      </w:pPr>
    </w:p>
    <w:p w:rsidR="0026452D" w:rsidRDefault="0026452D" w:rsidP="0026452D">
      <w:pPr>
        <w:pStyle w:val="TextoNormal"/>
      </w:pPr>
      <w:r w:rsidRPr="0026452D">
        <w:rPr>
          <w:rStyle w:val="NumeroAFNegritaCaracter"/>
        </w:rPr>
        <w:t>2</w:t>
      </w:r>
      <w:r>
        <w:t>. Siguiendo la técnica utilizada por los propios demandantes y, para una mejor comprensión del objeto del recurso, es preciso sistematizarlos en función de los motivos sobre los que se fundan.</w:t>
      </w:r>
    </w:p>
    <w:p w:rsidR="0026452D" w:rsidRDefault="0026452D" w:rsidP="0026452D">
      <w:pPr>
        <w:pStyle w:val="TextoNormal"/>
      </w:pPr>
    </w:p>
    <w:p w:rsidR="0026452D" w:rsidRDefault="0026452D" w:rsidP="0026452D">
      <w:pPr>
        <w:pStyle w:val="TextoNormal"/>
      </w:pPr>
      <w:r>
        <w:t>En este sentido, en la demanda se agrupan primeramente una serie de preceptos impugnados por entender que se contraviene la reserva de ley orgánica del art. 81.1 CE, dichos preceptos resultan ser: el art. 4.3, en cuanto atribuye al Gobierno el establecimiento de los requisitos básicos para la creación y reconocimiento de las universidades; art. 9.2, que atribuye igualmente al Gobierno la aprobación de las normas relativas a la creación, modificación y supresión de los departamentos universitarios y art 32, que atribuye al Consejo de Ministros la aprobación de la autorización para la constitución de la Agencia Nacional de Control de la Calidad y Acreditación.</w:t>
      </w:r>
    </w:p>
    <w:p w:rsidR="0026452D" w:rsidRDefault="0026452D" w:rsidP="0026452D">
      <w:pPr>
        <w:pStyle w:val="TextoNormal"/>
      </w:pPr>
    </w:p>
    <w:p w:rsidR="0026452D" w:rsidRDefault="0026452D" w:rsidP="0026452D">
      <w:pPr>
        <w:pStyle w:val="TextoNormal"/>
      </w:pPr>
      <w:r>
        <w:t xml:space="preserve">En un segundo grupo se incluirían aquellos preceptos de la norma que se impugnan por motivos competenciales. En particular son los siguientes: 4.3, que atribuye al Gobierno el establecimiento de los requisitos básicos para la creación y reconocimiento de las universidades; 9.2 que atribuye al Gobierno la aprobación de las normas relativas a la creación, modificación y supresión de los departamentos universitarios; 42.3 que atribuye al Gobierno la determinación de las normas básicas relativas a los procedimientos para la admisión de los estudiantes en las universidades; 83.2 que atribuye al Gobierno la determinación de las normas básicas relativas a los contratos para la realización de trabajos e investigación; la disposición adicional séptima relativa a la determinación de las bases para los conciertos entre las universidades y las instituciones y establecimientos sanitarios atribuida igualmente </w:t>
      </w:r>
      <w:r>
        <w:lastRenderedPageBreak/>
        <w:t>al Gobierno; y, por último se cuestiona que la disposición final cuarta LOU, al indicar qué preceptos tienen carácter orgánico, no fija cuáles son básicos.</w:t>
      </w:r>
    </w:p>
    <w:p w:rsidR="0026452D" w:rsidRDefault="0026452D" w:rsidP="0026452D">
      <w:pPr>
        <w:pStyle w:val="TextoNormal"/>
      </w:pPr>
    </w:p>
    <w:p w:rsidR="0026452D" w:rsidRDefault="0026452D" w:rsidP="0026452D">
      <w:pPr>
        <w:pStyle w:val="TextoNormal"/>
      </w:pPr>
      <w:r>
        <w:t>En tercer lugar, a una serie de preceptos se imputa la lesión de la autonomía universitaria del art. 27.10 CE, en particular: art. 15.2 LOU, que establece presencia obligada de tres miembros del correspondiente consejo social en los consejos de gobierno de las universidades; art. 23, inciso segundo, LOU que prescribe el acuerdo del consejo social para el nombramiento del gerente de la universidad; el art. 46.3 LOU que atribuye la aprobación de las normas sobre permanencia de los alumnos en las universidades por los consejos sociales; los arts. 50 a 52 que imponen la evaluación externa favorable como requisito para la contratación de determinadas categorías de profesorado y, en algún caso, la previa determinación por parte del Gobierno de las áreas de conocimiento en las que puede procederse a la contratación; art. 84, inciso primero, LOU que dispone que para la creación de fundaciones empresas u otras personas jurídicas se requiere el acuerdo del correspondiente consejo social.</w:t>
      </w:r>
    </w:p>
    <w:p w:rsidR="0026452D" w:rsidRDefault="0026452D" w:rsidP="0026452D">
      <w:pPr>
        <w:pStyle w:val="TextoNormal"/>
      </w:pPr>
    </w:p>
    <w:p w:rsidR="0026452D" w:rsidRDefault="0026452D" w:rsidP="0026452D">
      <w:pPr>
        <w:pStyle w:val="TextoNormal"/>
      </w:pPr>
      <w:r>
        <w:t>En cuarto lugar se encuentran las disposiciones impugnadas por vulneración de la autonomía universitaria en relación con otros preceptos constitucionales: art. 6.5 LOU relativo a la aprobación de las normas de las universidades privadas; art. 27.1 LOU relativo a la autonomía organizativa de las universidades privadas; y art. 72 LOU relativo al profesorado de las universidades privadas.</w:t>
      </w:r>
    </w:p>
    <w:p w:rsidR="0026452D" w:rsidRDefault="0026452D" w:rsidP="0026452D">
      <w:pPr>
        <w:pStyle w:val="TextoNormal"/>
      </w:pPr>
    </w:p>
    <w:p w:rsidR="0026452D" w:rsidRDefault="0026452D" w:rsidP="0026452D">
      <w:pPr>
        <w:pStyle w:val="TextoNormal"/>
      </w:pPr>
      <w:r>
        <w:t>Por último y, en quinto lugar, quedaría la denuncia de inconstitucionalidad de la disposición adicional cuarta, apartado segundo, LOU relativa al reconocimiento de las universidades de la Iglesia católica, por contravenir el art. 14 CE.</w:t>
      </w:r>
    </w:p>
    <w:p w:rsidR="0026452D" w:rsidRDefault="0026452D" w:rsidP="0026452D">
      <w:pPr>
        <w:pStyle w:val="TextoNormal"/>
      </w:pPr>
    </w:p>
    <w:p w:rsidR="0026452D" w:rsidRDefault="0026452D" w:rsidP="0026452D">
      <w:pPr>
        <w:pStyle w:val="TextoNormal"/>
      </w:pPr>
      <w:r w:rsidRPr="0026452D">
        <w:rPr>
          <w:rStyle w:val="NumeroAFNegritaCaracter"/>
        </w:rPr>
        <w:t>3</w:t>
      </w:r>
      <w:r>
        <w:t>. Tal y como ya se hizo en la STC 223/2012, de 29 de noviembre, por la que se ha resuelto el primero de los recursos planteados contra la Ley Orgánica 6/2001, ha de procederse a determinar la vigencia de la controversia en los términos en los que ha sido sustanciada, por cuanto la norma en la que se incluyen los preceptos referidos en el apartado anterior ha sido objeto de modificación ulterior a la presentación del presente recurso. En efecto, la Ley Orgánica 6/2001, de 21 de diciembre, ha sido ampliamente modificada por la Ley Orgánica 4/2007, de 12 de abril, con el resultado de que, algunos de los preceptos impugnados por el recurso que ahora se examina, han visto alterada su redacción inicial o han quedado incluso sin contenido. En fin, conviene dejar precisado, sin embargo, que, a los efectos del presente recurso, las modificaciones de la Ley Orgánica de universidades que, más recientemente, se han operado mediante el Real Decreto-ley 14/2012, de 20 de abril, de medidas urgentes de racionalización del gasto público en el ámbito educativo, en modo alguno afectan a los preceptos impugnados por los Diputados demandantes. Lo propio ocurre con la modificación del art. 84, operada por la Ley 14/2011, de 1 de junio, de la ciencia, la tecnología y la innovación, que no ha repercutido en lo que aquí se discute en relación con la intervención del consejo social de la universidad.</w:t>
      </w:r>
    </w:p>
    <w:p w:rsidR="0026452D" w:rsidRDefault="0026452D" w:rsidP="0026452D">
      <w:pPr>
        <w:pStyle w:val="TextoNormal"/>
      </w:pPr>
    </w:p>
    <w:p w:rsidR="0026452D" w:rsidRDefault="0026452D" w:rsidP="0026452D">
      <w:pPr>
        <w:pStyle w:val="TextoNormal"/>
      </w:pPr>
      <w:r>
        <w:t xml:space="preserve">Los criterios que viene manejando este Tribunal para determinar eventualmente una pérdida sobrevenida del objeto se expusieron amplia y analíticamente, en relación con la materia objeto de este recurso, en la citada STC 223/2012, FJ 2, a la que es preciso remitirse. En primer lugar, que no es posible proporcionar “una única respuesta, en términos generales y abstractos, a la cuestión que plantea la modificación, derogación o pérdida de vigencia </w:t>
      </w:r>
      <w:r>
        <w:lastRenderedPageBreak/>
        <w:t>sobrevenidas a la impugnación de una determinada norma, debiéndose estar a un examen concreto de la incidencia real de la circunstancia sobrevenida [STC 111/2012, de 24 de mayo, FJ 2 a) y jurisprudencia allí citada]”. En segundo lugar y en lo que atañe a los recursos de inconstitucionalidad se recordaba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(en un recurso abstracto, como el de inconstitucionalidad, dirigido a la depuración objetiva del ordenamiento jurídico), este Tribunal se pronunciase ‘sobre normas que el mismo legislador ha expulsado ya de dicho ordenamiento … de modo total, sin ultraactividad’, [por todas, STC 134/2011, de 20 de julio, FJ 2]. Ahora bien, ello no quita que para excluir toda aplicación posterior de la disposición legal controvertida, privándola así del vestigio de vigencia que pudiera resultar útil o conveniente su enjuiciamiento, aun cuando haya sido derogada (STC 19/2012, de 15 de febrero, FJ 2).” En tercer lugar se referían las excepciones a las que está sometida la pérdida sobrevenida de objeto y que tienen que ver con que la controversia se suscite sobre el carácter orgánico de un precepto (STC 124/2003, de 19 de junio, FJ 10) o sobre motivos competenciales “ya que la función de preservar los ámbitos respectivos de competencias no puede quedar enervada por la sola derogación o modificación de las disposiciones cuya adopción dio lugar al litigio (STC 61/1997, de 20 de marzo, FJ 2), si bien, ha de recordarse que, también con respecto de los motivos competenciales, el Tribunal ha precisado el alcance de esta excepción en función de la incidencia real que tenga sobre el precepto su derogación o modificación [SSTC 148/2012, de 5 de julio, FJ 2 b); y 133/2012, de 19 de junio, FJ 2, y jurisprudencia allí citada]”.</w:t>
      </w:r>
    </w:p>
    <w:p w:rsidR="0026452D" w:rsidRDefault="0026452D" w:rsidP="0026452D">
      <w:pPr>
        <w:pStyle w:val="TextoNormal"/>
      </w:pPr>
    </w:p>
    <w:p w:rsidR="0026452D" w:rsidRDefault="0026452D" w:rsidP="0026452D">
      <w:pPr>
        <w:pStyle w:val="TextoNormal"/>
      </w:pPr>
      <w:r>
        <w:t>Pues bien, los preceptos afectados por la reforma introducida por la Ley Orgánica 4/2007 son los siguientes:</w:t>
      </w:r>
    </w:p>
    <w:p w:rsidR="0026452D" w:rsidRDefault="0026452D" w:rsidP="0026452D">
      <w:pPr>
        <w:pStyle w:val="TextoNormal"/>
      </w:pPr>
    </w:p>
    <w:p w:rsidR="0026452D" w:rsidRDefault="0026452D" w:rsidP="0026452D">
      <w:pPr>
        <w:pStyle w:val="TextoNormal"/>
      </w:pPr>
      <w:r>
        <w:t>El art. 9.2, sobre creación, modificación y supresión de los departamentos universitarios; el art. 15.2 que regula la composición de los consejos de gobierno de las universidades; art. 23, inciso segundo, relativo al nombramiento del gerente de la universidad; art. 27.1, relativo a las normas de organización y funcionamiento de las universidades privadas; art. 32, referente a la Agencia Nacional de Evaluación de la Calidad y Acreditación; art. 42.3, en lo relativo a los procedimientos de acceso de los estudiantes a las universidades; arts. 50 a 52, por los que se regula la contratación de profesores en las universidades privadas; art. 72, sobre profesorado de las universidades privadas; y disposición final cuarta, sobre el carácter orgánico de la norma.</w:t>
      </w:r>
    </w:p>
    <w:p w:rsidR="0026452D" w:rsidRDefault="0026452D" w:rsidP="0026452D">
      <w:pPr>
        <w:pStyle w:val="TextoNormal"/>
      </w:pPr>
    </w:p>
    <w:p w:rsidR="0026452D" w:rsidRDefault="0026452D" w:rsidP="0026452D">
      <w:pPr>
        <w:pStyle w:val="TextoNormal"/>
      </w:pPr>
      <w:r w:rsidRPr="0026452D">
        <w:rPr>
          <w:rStyle w:val="NumeroAFNegritaCaracter"/>
        </w:rPr>
        <w:t>4</w:t>
      </w:r>
      <w:r>
        <w:t>. A la luz de lo expuesto procede determinar en qué grado la reforma operada por la Ley Orgánica 4/2007, de 12 de abril, ha afectado al objeto de la demanda y si, en función de los criterios sobre la pérdida sobrevenida de objeto extraídos de la doctrina de este Tribunal, es preciso contraer el inicial objeto del recurso descartando alguna de las impugnaciones planteadas.</w:t>
      </w:r>
    </w:p>
    <w:p w:rsidR="0026452D" w:rsidRDefault="0026452D" w:rsidP="0026452D">
      <w:pPr>
        <w:pStyle w:val="TextoNormal"/>
      </w:pPr>
    </w:p>
    <w:p w:rsidR="0026452D" w:rsidRDefault="0026452D" w:rsidP="0026452D">
      <w:pPr>
        <w:pStyle w:val="TextoNormal"/>
      </w:pPr>
      <w:r>
        <w:t xml:space="preserve">a) El art. 9.2 LOU está destinado a regular la creación, modificación y supresión de los departamentos universitarios y en su redacción inicial disponía: “La creación, modificación </w:t>
      </w:r>
      <w:r>
        <w:lastRenderedPageBreak/>
        <w:t>y supresión de Departamentos corresponde a la Universidad conforme a sus Estatutos, y de acuerdo con las normas básicas que apruebe el Gobierno previo informe del Consejo de Coordinación Universitaria”. Los motivos de la impugnación son por contravenirse la reserva de ley orgánica y por razones competenciales, por cuanto los recurrentes denuncian que la atribución al Gobierno de la regulación de las bases en la materia supone sustraer una facultad que pertenece al legislador por cuanto se trata de una “cuestión central y no meramente circunstancial ni cambiante del régimen jurídico de las Universidades”. Pues bien, lo cierto que, en su redacción vigente ha desaparecido la atribución al Gobierno de la regulación básica, remitiendo la regulación de esta materia a los estatutos universitarios: “La creación, modificación y supresión de departamentos corresponde a la universidad, conforme a sus estatutos”. Por lo tanto, no se trata ya únicamente de que haya desaparecido el supuesto fáctico que fundamentaba la controversia, la atribución incondicionada al Gobierno, a juicio de los recurrentes, de la facultad de fijar las bases en la materia, sino que en las alegaciones formuladas por éstos no se contiene argumentación alguna destinada al alcance de la cuestión sobre la autonomía universitaria, a la que parece haber quedado contraída el precepto, tanto desde la perspectiva de la reserva de ley orgánica como desde el punto de vista competencial. En consecuencia, dada la nueva redacción del precepto, el recurso, en este punto, ha perdido objeto.</w:t>
      </w:r>
    </w:p>
    <w:p w:rsidR="0026452D" w:rsidRDefault="0026452D" w:rsidP="0026452D">
      <w:pPr>
        <w:pStyle w:val="TextoNormal"/>
      </w:pPr>
    </w:p>
    <w:p w:rsidR="0026452D" w:rsidRDefault="0026452D" w:rsidP="0026452D">
      <w:pPr>
        <w:pStyle w:val="TextoNormal"/>
      </w:pPr>
      <w:r>
        <w:t>b) El art. 15.2 LOU es impugnado por imponer, la presencia en los consejos de gobierno de las universidades de tres miembros del correspondiente consejo social. Dicha prescripción, a juicio de los recurrentes afecta a la autonomía universitaria garantizada en el art. 27.10 CE pues aun siendo mínima en términos cuantitativos, supone que la presencia puede llegar a ser determinante para la adopción de acuerdos de naturaleza académica. La reforma de 2007 ha eliminado el carácter preceptivo de la referida presencia, que únicamente tendrá lugar si así lo establecen los estatutos de las universidades. Habiéndose planteado la cuestión en semejantes términos la STC 223/2012, de 13 de diciembre, es preciso remitirse a lo allí expuesto cuando se estableció que “[a]unque prima facie el recurrente excluye cualquier presencia, impuesta por el legislador, en los consejos de gobierno de las universidades de personas ajenas a la comunidad universitaria, habida cuenta de las funciones de gestión y decisorias en materia académica de estos órganos, la modificación expuesta remite a los estatutos de las distintas universidades que serán las normas que, en su caso, y, por lo tanto sin carácter prescriptivo alguno, dispongan la presencia de personas ajenas a la comunidad universitaria en los términos referidos” (FJ 4). La conclusión ha de ser la misma a la que se llegó allí, declarando la pérdida sobrevenida del objeto del recurso en este particular.</w:t>
      </w:r>
    </w:p>
    <w:p w:rsidR="0026452D" w:rsidRDefault="0026452D" w:rsidP="0026452D">
      <w:pPr>
        <w:pStyle w:val="TextoNormal"/>
      </w:pPr>
    </w:p>
    <w:p w:rsidR="0026452D" w:rsidRDefault="0026452D" w:rsidP="0026452D">
      <w:pPr>
        <w:pStyle w:val="TextoNormal"/>
      </w:pPr>
      <w:r>
        <w:t>c) El art. 23, inciso segundo LOU ha sido impugnado por establecer que el nombramiento del gerente por el rector de la universidad ha de contar con el acuerdo del consejo social, lo que restringiría el margen de discrecionalidad del rector para realizar dicho nombramiento. La modificación de la Ley Orgánica 4/2007, no ha afectado a lo controvertido por los recurrentes pues se limita a añadir que la propuesta de nombramiento del rector habrá de atender “a criterios de competencia profesional y experiencia”.</w:t>
      </w:r>
    </w:p>
    <w:p w:rsidR="0026452D" w:rsidRDefault="0026452D" w:rsidP="0026452D">
      <w:pPr>
        <w:pStyle w:val="TextoNormal"/>
      </w:pPr>
    </w:p>
    <w:p w:rsidR="0026452D" w:rsidRDefault="0026452D" w:rsidP="0026452D">
      <w:pPr>
        <w:pStyle w:val="TextoNormal"/>
      </w:pPr>
      <w:r>
        <w:t xml:space="preserve">d) El art. 27.1 LOU ha sido controvertido porque, según sostienen los recurrentes, al regularse lo relativo al régimen de las normas de organización y funcionamiento de las universidades privadas, el legislador a diferencia de lo que acontece con las públicas se limita a establecer su ámbito material, omitiendo cualquier garantía sobre presencia y participación </w:t>
      </w:r>
      <w:r>
        <w:lastRenderedPageBreak/>
        <w:t>en los órganos de gobierno de los integrantes de la comunidad universitaria en los establecimientos privados, con la siguiente falta de garantía de las libertades académicas reconocidas por la Constitución. El precepto en su redacción original se limitaba a establecer: “Las normas de organización y funcionamiento de las Universidades privadas establecerán sus órganos de gobierno y representación, así como los procedimientos para su designación y remoción”. Redacción que contrasta con la introducida por la Ley Orgánica 4/2007, de 4 de abril, al disponer: “Las normas de organización y funcionamiento de las universidades privadas establecerán sus órganos de gobierno y representación, así como los procedimientos para su designación y remoción, asegurando en dichos órganos, mediante una participación adecuada, la representación de los diferentes sectores de la comunidad universitaria de forma que propicie la presencia equilibrada entre mujeres y hombres. En todo caso, las normas de organización y funcionamiento de las universidades privadas deberán garantizar que las decisiones de naturaleza estrictamente académica se adopten por órganos en los que el personal docente o investigador tenga una representación mayoritaria. Igualmente, deberán garantizar que el personal docente o investigador sea oído en el nombramiento del Rector”. Habiendo hecho hincapié los recurrentes en la ausencia de concreción sobre la garantía de participación y representación de los miembros de las universidades privadas en sus órganos de gobierno, denunciando su trato desigual con las públicas aunque sin concretar expresamente en qué aspectos, se advierte que la nueva redacción del precepto alude expresamente a que se garantice la presencia y participación, incluso equilibrada entre hombre y mujeres, en los órganos de gobierno, haciendo mención “en todo caso” a que en las decisiones académicas el personal docente e investigador tenga representación mayoritaria. Así las cosas, ha de concluirse que, también en este particular, el recurso ha perdido objeto sobrevenidamente.</w:t>
      </w:r>
    </w:p>
    <w:p w:rsidR="0026452D" w:rsidRDefault="0026452D" w:rsidP="0026452D">
      <w:pPr>
        <w:pStyle w:val="TextoNormal"/>
      </w:pPr>
    </w:p>
    <w:p w:rsidR="0026452D" w:rsidRDefault="0026452D" w:rsidP="0026452D">
      <w:pPr>
        <w:pStyle w:val="TextoNormal"/>
      </w:pPr>
      <w:r>
        <w:t xml:space="preserve">e) El art. 32 LOU por el que se residencia en el oportuno acuerdo del Consejo de Ministros la autorización para constituir la Agencia Nacional de Evaluación de la Calidad y Acreditación es impugnado por contravenir la reserva de ley orgánica del art. 81.1 CE. En concreto, el precepto establecía entonces que: “Mediante acuerdo de Consejo de Ministros, previo informe del Consejo de Coordinación Universitaria, el Gobierno autorizará la constitución de la Agencia Nacional de Evaluación de la Calidad y Acreditación”. Los recurrentes deducían del tenor que el régimen de la citada Agencia habría de recogerse en normas reglamentarias (en particular lo referente a su composición y actividad), lo cual dada las funciones que la ley encomienda a la Agencia y su incidencia en el acceso a la función pública o en la autonomía universitaria supone una deslegalización patente de la materia, dada la redacción de mínimos del precepto y que no queda enervada por el hecho de que el precepto tenga carácter orgánico. También sobre este particular ha operado la Ley Orgánica 4/2007, de 4 de abril, con especial intensidad, que es la norma que dispone la autorización para la creación del órgano, remitiéndose a las previsiones de la Ley de agencias estatales para la mejora de los servicios públicos e incorporando un nuevo apartado al precepto en el que se detallan los principios bajo los cuales la agencia ha de desarrollar su actividad. Ello no obstante, lo cierto es que este Tribunal ha reservado a su conocimiento las controversias sustentadas en el carácter orgánico de la norma (en lo que ahora nos ocupa, más estrictamente, por deslegalizar el contenido de la materia propia de la ley orgánica a favor del reglamento), sin tomar en cuenta su vigencia, por entender que en estos casos el recurso reviste un carácter depurativo del ordenamiento frente a utilizaciones inadecuadas de la ley orgánica [véase la doctrina resumida en la STC 184/2012, de 17 de octubre, FJ 2 b) y jurisprudencia allí </w:t>
      </w:r>
      <w:r>
        <w:lastRenderedPageBreak/>
        <w:t>citada]. De acuerdo con dicha doctrina y no obstante la modificación del precepto ha de entenderse que la impugnación sobre el mismo subsiste.</w:t>
      </w:r>
    </w:p>
    <w:p w:rsidR="0026452D" w:rsidRDefault="0026452D" w:rsidP="0026452D">
      <w:pPr>
        <w:pStyle w:val="TextoNormal"/>
      </w:pPr>
    </w:p>
    <w:p w:rsidR="0026452D" w:rsidRDefault="0026452D" w:rsidP="0026452D">
      <w:pPr>
        <w:pStyle w:val="TextoNormal"/>
      </w:pPr>
      <w:r>
        <w:t>f) El art. 42.3 LOU se impugna por motivos competenciales. La razón de la controversia radica en que el precepto atribuye al Gobierno, de forma incondicionada a juicio de los recurrentes, el establecimiento de la normativa básica relativa a los procedimientos de admisión de los estudiantes en las universidades. Nuevamente se reprocha que se acuda a la norma reglamentaria para fijar las bases que afecten a las reglas generales que afecten a dichos procedimientos. Al sustentarse la argumentación en motivos competenciales ha de tomarse en cuenta la doctrina del Tribunal sobre la pervivencia de las impugnaciones de esta naturaleza, aún más cuando el precepto no ha sido derogado sino modificado, manteniendo la atribución al Gobierno para dictar las normas básicas para la admisión de los estudiantes que soliciten ingresar en los centros universitarios. Por lo tanto habrá de entrarse a enjuiciar la controversia en los términos alegados por los recurrentes.</w:t>
      </w:r>
    </w:p>
    <w:p w:rsidR="0026452D" w:rsidRDefault="0026452D" w:rsidP="0026452D">
      <w:pPr>
        <w:pStyle w:val="TextoNormal"/>
      </w:pPr>
    </w:p>
    <w:p w:rsidR="0026452D" w:rsidRDefault="0026452D" w:rsidP="0026452D">
      <w:pPr>
        <w:pStyle w:val="TextoNormal"/>
      </w:pPr>
      <w:r>
        <w:t>g) Los recurrentes impugnan la exigencia de evaluación positiva, por parte de la Agencia Nacional de Evaluación de la Calidad y Acreditación, para que las universidades puedan contratar profesores ayudantes doctores, profesores colaboradores y profesores contratados doctores y que contiene en los arts. 50, 51 y 52 LOU, respectivamente. En el caso de los profesores colaboradores se reprocha a la norma (art. 51) que disponga que únicamente sea posible la contratación de los profesores colaboradores en aquellas áreas de conocimiento previamente determinadas por el Gobierno. El motivo de la impugnación radica en esta ocasión en que se vulnera la autonomía universitaria al imponerse a las universidades públicas unos requisitos que desvirtúan su libertad para enjuiciar la idoneidad de los profesores que deseen contratar. En el caso de los profesores ayudantes doctores y en el de los contratados doctores (arts. 50 y 52), aunque ambos preceptos han resultado ampliamente modificados por la Ley Orgánica 4/2007, se advierte que subiste la exigencia de la evaluación positiva por lo que, descansando la articulación de las alegaciones en la incidencia de la misma en la autonomía universitaria constitucionalmente garantizada, ha de entenderse que pervive la impugnación. Cosa bien distinta sucede con los profesores colaboradores (art. 51), que formalmente desaparecen como categoría docente tras la reforma de 2007, por la que se deja sin contenido el art. 51 sin que aparezcan contemplados por el actual art. 48.2 LOU, que precisa las modalidades contractuales del personal docente. Sin embargo, de forma sorprendente, la disposición transitoria segunda de la Ley Orgánica 4/2007 establece ulteriormente que “el Gobierno, previo informe del Consejo de Universidades, establecerá reglamentariamente las condiciones y plazos en los que, de forma excepcional, las universidades podrán contratar profesores colaboradores entre diplomados, arquitectos técnicos o ingenieros técnicos que, en todo caso, deberán contar con informe favorable de la Agencia Nacional de Evaluación de la Calidad y la Acreditación o del órgano de evaluación externa que la Ley de la Comunidad Autónoma determine”. El colofón del panorama descrito es, a la postre, que pervive la impugnación con respecto de la exigencia de evaluación positiva de la Agencia Nacional de Evaluación de la Calidad y Acreditación en las tres categorías contractuales de personal docente a las que se ha hecho referencia con la precisión que, en el caso de los profesores colaboradores, no habrá de considerarse el reproche dirigido a que el Gobierno predetermine las áreas de conocimiento en las que podrán ser contratados, habida cuenta de que la disposición transitoria segunda de la Ley Orgánica 4/2007 omite cualquier referencia a la misma.</w:t>
      </w:r>
    </w:p>
    <w:p w:rsidR="0026452D" w:rsidRDefault="0026452D" w:rsidP="0026452D">
      <w:pPr>
        <w:pStyle w:val="TextoNormal"/>
      </w:pPr>
    </w:p>
    <w:p w:rsidR="0026452D" w:rsidRDefault="0026452D" w:rsidP="0026452D">
      <w:pPr>
        <w:pStyle w:val="TextoNormal"/>
      </w:pPr>
      <w:r>
        <w:lastRenderedPageBreak/>
        <w:t>h) El art. 72 LOU está destinado al personal docente de las universidades privadas es, según los recurrentes, contrario al derecho a la educación igual, por cuanto las distintas exigencias establecidas para el profesorado de las universidades públicas y privadas suponen una merma de la igualdad en la calidad de la educación con la consiguiente desprotección del alumnado. Tal y como se procedió en la precedente STC 223/2012, dado que en la impugnación no se concretan ni precisan los preceptos de contraste en lo que hace a los requisitos exigidos a los profesores de unas y otras universidades habrá de entrarse a enjuiciar el precepto, en su redacción dada por la Ley Orgánica 4/2007 a los efectos de determinar si la impugnación puede estimarse, por lo que, no obstante la modificación operada en cuanto al contenido del precepto, habrá de entrarse a considerar las alegaciones formuladas por los recurrentes.</w:t>
      </w:r>
    </w:p>
    <w:p w:rsidR="0026452D" w:rsidRDefault="0026452D" w:rsidP="0026452D">
      <w:pPr>
        <w:pStyle w:val="TextoNormal"/>
      </w:pPr>
    </w:p>
    <w:p w:rsidR="0026452D" w:rsidRDefault="0026452D" w:rsidP="0026452D">
      <w:pPr>
        <w:pStyle w:val="TextoNormal"/>
      </w:pPr>
      <w:r>
        <w:t>i) En último término, la reforma de 2007 ha afectado a la disposición final cuarta de la Ley Orgánica de universidades, igualmente impugnada. Sin perjuicio de que los reproches de inconstitucionalidad son de motivo competencial, la modificación en nada altera los términos de la controversia. Si en su redacción inicial la disposición final cuarta señalaba qué preceptos de la Ley carecían de carácter orgánico, la actual disposición final octava de la Ley Orgánica 4/2007 opera en sentido contrario, indicando cuáles son poseedores de tal naturaleza. Pero la disputa de inconstitucionalidad argüida no versa sobre el carácter orgánico de unos u otros preceptos, sino por lo que la norma ha dejado de establecer, esto es, qué disposiciones de la ley tienen carácter básico. Así planteada la cuestión y subsistiendo la omisión ha de entenderse que sobrevive la impugnación en este punto.</w:t>
      </w:r>
    </w:p>
    <w:p w:rsidR="0026452D" w:rsidRDefault="0026452D" w:rsidP="0026452D">
      <w:pPr>
        <w:pStyle w:val="TextoNormal"/>
      </w:pPr>
    </w:p>
    <w:p w:rsidR="0026452D" w:rsidRDefault="0026452D" w:rsidP="0026452D">
      <w:pPr>
        <w:pStyle w:val="TextoNormal"/>
      </w:pPr>
      <w:r>
        <w:t>En definitiva y una vez realizado el examen precedente únicamente es posible apreciar la pérdida sobrevenida de objeto en relación con la impugnación de los arts. 9.2, 15.2 y 27.1 LOU sin olvidar las precisiones que se han realizado a los efectos de delimitar la controversia en relación con el art. 51 LOU. Dado el elevado número de preceptos impugnados y, para una mejor ordenación de las cuestiones que han de abordarse, se agruparan los preceptos en orden a los motivos de impugnación siguiendo de este modo la articulación de la demanda seguida por los recurrentes.</w:t>
      </w:r>
    </w:p>
    <w:p w:rsidR="0026452D" w:rsidRDefault="0026452D" w:rsidP="0026452D">
      <w:pPr>
        <w:pStyle w:val="TextoNormal"/>
      </w:pPr>
    </w:p>
    <w:p w:rsidR="0026452D" w:rsidRDefault="0026452D" w:rsidP="0026452D">
      <w:pPr>
        <w:pStyle w:val="TextoNormal"/>
      </w:pPr>
      <w:r w:rsidRPr="0026452D">
        <w:rPr>
          <w:rStyle w:val="NumeroAFNegritaCaracter"/>
        </w:rPr>
        <w:t>5</w:t>
      </w:r>
      <w:r>
        <w:t>. Así, en primer lugar han de tratarse las cuestiones relativas a la vulneración de la reserva de ley orgánica y que se imputa por parte de los demandantes a los arts. 4.3 y 32 LOU una vez descartada la impugnación del art. 9.2 por pérdida sobrevenida del objeto según quedó expuesto en el fundamento anterior.</w:t>
      </w:r>
    </w:p>
    <w:p w:rsidR="0026452D" w:rsidRDefault="0026452D" w:rsidP="0026452D">
      <w:pPr>
        <w:pStyle w:val="TextoNormal"/>
      </w:pPr>
    </w:p>
    <w:p w:rsidR="0026452D" w:rsidRDefault="0026452D" w:rsidP="0026452D">
      <w:pPr>
        <w:pStyle w:val="TextoNormal"/>
      </w:pPr>
      <w:r>
        <w:t xml:space="preserve">El art. 4.3 LOU se refiere a los requisitos básicos para la creación y reconocimiento de las universidades, estableciendo: </w:t>
      </w:r>
    </w:p>
    <w:p w:rsidR="0026452D" w:rsidRDefault="0026452D" w:rsidP="0026452D">
      <w:pPr>
        <w:pStyle w:val="TextoNormal"/>
      </w:pPr>
    </w:p>
    <w:p w:rsidR="0026452D" w:rsidRDefault="0026452D" w:rsidP="0026452D">
      <w:pPr>
        <w:pStyle w:val="TextoNormal"/>
      </w:pPr>
      <w:r>
        <w:t>“Para garantizar la calidad de la docencia e investigación y, en general, del conjunto del sistema universitario, el Gobierno, previo informe del Consejo de Coordinación Universitaria, determinará, con carácter general, los requisitos básicos para la creación y reconocimiento de Universidades. Los mencionados requisitos contemplarán los medios y recursos adecuados para el cumplimiento por las Universidades de las funciones a que se refiere el apartado 2 del artículo 1.</w:t>
      </w:r>
    </w:p>
    <w:p w:rsidR="0026452D" w:rsidRDefault="0026452D" w:rsidP="0026452D">
      <w:pPr>
        <w:pStyle w:val="TextoNormal"/>
      </w:pPr>
    </w:p>
    <w:p w:rsidR="0026452D" w:rsidRDefault="0026452D" w:rsidP="0026452D">
      <w:pPr>
        <w:pStyle w:val="TextoNormal"/>
      </w:pPr>
      <w:r>
        <w:lastRenderedPageBreak/>
        <w:t>Las Universidades podrán impartir enseñanzas conducentes a la obtención de títulos de carácter oficial y validez en todo el territorio nacional en modalidad presencial y no presencial; en este último caso, de manera exclusiva o parcial. En el supuesto de la enseñanza no presencial, y en el marco de lo establecido en el párrafo anterior, se adecuarán las previsiones de la presente Ley a las especificidades de esta modalidad de enseñanza.”</w:t>
      </w:r>
    </w:p>
    <w:p w:rsidR="0026452D" w:rsidRDefault="0026452D" w:rsidP="0026452D">
      <w:pPr>
        <w:pStyle w:val="TextoNormal"/>
      </w:pPr>
    </w:p>
    <w:p w:rsidR="0026452D" w:rsidRDefault="0026452D" w:rsidP="0026452D">
      <w:pPr>
        <w:pStyle w:val="TextoNormal"/>
      </w:pPr>
      <w:r>
        <w:t>Por su parte el art. 32 LOU relativo a la Agencia Nacional de Evaluación de la Calidad y Acreditación disponía en su redacción original: “Mediante acuerdo de Consejo de Ministros, previo informe del Consejo de Coordinación Universitaria, el Gobierno autorizará la constitución de la Agencia Nacional de Evaluación de la Calidad y Acreditación.”</w:t>
      </w:r>
    </w:p>
    <w:p w:rsidR="0026452D" w:rsidRDefault="0026452D" w:rsidP="0026452D">
      <w:pPr>
        <w:pStyle w:val="TextoNormal"/>
      </w:pPr>
    </w:p>
    <w:p w:rsidR="0026452D" w:rsidRDefault="0026452D" w:rsidP="0026452D">
      <w:pPr>
        <w:pStyle w:val="TextoNormal"/>
      </w:pPr>
      <w:r>
        <w:t>En realidad los recurrentes entienden que, en ambos supuestos, la intervención normadora del Gobierno vía reglamento supone una deslegalización de la materia que contraviene la reserva de ley orgánica. En el caso del art. 4.3 LOU dado que se trata de una cuestión nuclear de la autonomía universitaria y en lo que hace al art. 32 LOU debido a la incidencia que tienen los informes de la agencia en el ámbito de los derechos fundamentales, más estrictamente, en el ámbito del derecho a la autonomía universitaria (en cuanto se le encomiendan facultades de evaluación de los planes de estudio) o del derecho de acceso a la función pública puesto que su intervención es decisiva para determinar la composición de las comisiones de habilitación a los cuerpos docentes universitarios.</w:t>
      </w:r>
    </w:p>
    <w:p w:rsidR="0026452D" w:rsidRDefault="0026452D" w:rsidP="0026452D">
      <w:pPr>
        <w:pStyle w:val="TextoNormal"/>
      </w:pPr>
    </w:p>
    <w:p w:rsidR="0026452D" w:rsidRDefault="0026452D" w:rsidP="0026452D">
      <w:pPr>
        <w:pStyle w:val="TextoNormal"/>
      </w:pPr>
      <w:r>
        <w:t xml:space="preserve">Realmente la colaboración entre la ley orgánica y el reglamento no ha quedado descartada por este Tribunal siempre que la remisión que se haga por parte de la ley a favor de la norma de desarrollo no desvirtúe la finalidad que tiene reservar determinadas materias en tan cualificado tipo de leyes: </w:t>
      </w:r>
    </w:p>
    <w:p w:rsidR="0026452D" w:rsidRDefault="0026452D" w:rsidP="0026452D">
      <w:pPr>
        <w:pStyle w:val="TextoNormal"/>
      </w:pPr>
    </w:p>
    <w:p w:rsidR="0026452D" w:rsidRDefault="0026452D" w:rsidP="0026452D">
      <w:pPr>
        <w:pStyle w:val="TextoNormal"/>
      </w:pPr>
      <w:r>
        <w:t>“De un lado, la introducción en nuestro ordenamiento constitucional de la categoría de Ley Orgánica, a la cual se reserva la regulación de determinadas materias, no altera las relaciones tradicionalmente establecidas entre la Ley y el Reglamento. En palabras de la STC 77/1985, ‘las peculiaridades de la Ley Orgánica —en especial la delimitación positiva de su ámbito de normación— en modo alguno justifican el que, respecto a este tipo de fuente, se hayan de considerar alteradas las relaciones entre Ley y Reglamento ejecutivo’, siendo, por ello, constitucionalmente legítimo que el legislador orgánico remita al Reglamento para completar el desarrollo normativo de las materias reservadas al mismo, lo cual en muchos casos será obligado y necesario, ya que ‘no hay Ley en la que se pueda dar entrada a todos los problemas imaginables, muchos de los cuales podrán tener solución particular y derivada en normas reglamentarias’. De acuerdo con ello, no cabe duda de que el párrafo segundo de la Disposición adicional tercera de la LOLS no es inconstitucional por el solo hecho de que permita al Reglamento ocuparse de materia reservada a Ley orgánica.</w:t>
      </w:r>
    </w:p>
    <w:p w:rsidR="0026452D" w:rsidRDefault="0026452D" w:rsidP="0026452D">
      <w:pPr>
        <w:pStyle w:val="TextoNormal"/>
      </w:pPr>
    </w:p>
    <w:p w:rsidR="0026452D" w:rsidRDefault="0026452D" w:rsidP="0026452D">
      <w:pPr>
        <w:pStyle w:val="TextoNormal"/>
      </w:pPr>
      <w:r>
        <w:t xml:space="preserve">De otro lado, lo expuesto no supone que la remisión a la regulación reglamentaria de materia reservada a Ley Orgánica sea, en todo caso, constitucionalmente legítima, abstracción hecha de los términos en que se realice, puesto que, muy al contrario, es preciso que la delegación se formule en condiciones que no contraríen materialmente la finalidad de la reserva, de la cual se derivan, según la STC 83/1984, ‘ciertas exigencias en cuanto al alcance de las remisiones o habilitaciones legales a la potestad reglamentaria, que pueden resumirse en el criterio de que las mismas sean tales que restrinjan efectivamente el ejercicio de esa </w:t>
      </w:r>
      <w:r>
        <w:lastRenderedPageBreak/>
        <w:t>potestad a un complemento de la regulación legal que sea indispensable por motivos técnicos o para optimizar el cumplimiento de las finalidades propuestas por la Constitución o por la propia Ley’.” (STC 101/1991, de 13 de mayo, FJ 3 y más recientemente STC 17/2013, de 31 de enero, FJ 4)</w:t>
      </w:r>
    </w:p>
    <w:p w:rsidR="0026452D" w:rsidRDefault="0026452D" w:rsidP="0026452D">
      <w:pPr>
        <w:pStyle w:val="TextoNormal"/>
      </w:pPr>
    </w:p>
    <w:p w:rsidR="0026452D" w:rsidRDefault="0026452D" w:rsidP="0026452D">
      <w:pPr>
        <w:pStyle w:val="TextoNormal"/>
      </w:pPr>
      <w:r>
        <w:t>Pues bien, la impugnación no puede admitirse en ninguno de los supuestos. En lo que respecta al art. 4.3 LOU, como bien ha apreciado la Abogada del Estado en sus alegaciones, porque los recurrentes han realizado una lectura aislada del precepto sin tener en cuenta de forma sistemática otros apartados o disposiciones de la ley, lo cual permite negar el carácter incondicionado de la remisión reglamentaria denunciada. En efecto, el propio art. 4.3 ya delimita materialmente, sin que esto sea cuestión menor, el contenido de los requisitos, al prescribir que los requisitos contemplen “los medios y recursos adecuados para el cumplimiento por las Universidades de las funciones a que se refiere el apartado 2 del artículo 1” y, por lo tanto, la ley obliga a que el reglamento ponga en relación los requisitos para la creación y reconocimiento de las universidades con las funciones legalmente contempladas que les son encomendadas. Pero es que además la Ley configura el procedimiento de creación de las universidades públicas y de reconocimiento de las privadas, en cuanto exige ley de las Cortes Generales o de la Asamblea legislativa de la correspondiente Comunidad Autónoma (apartado primero del art. 4 LOU) e informe preceptivo del consejo de coordinación universitaria, además, en el caso de las públicas (apartado segundo del mismo precepto), sin obviar que el art. 5 LOU configura los sujetos a quienes se atribuye la creación de universidades privadas. Así pues, y en contra de lo manifestado por los recurrentes, las cuestiones nucleares relativas a la creación y reconocimiento de las universidades sí aparecen determinadas por el legislador delimitando suficientemente la intervención reglamentaria.</w:t>
      </w:r>
    </w:p>
    <w:p w:rsidR="0026452D" w:rsidRDefault="0026452D" w:rsidP="0026452D">
      <w:pPr>
        <w:pStyle w:val="TextoNormal"/>
      </w:pPr>
    </w:p>
    <w:p w:rsidR="0026452D" w:rsidRDefault="0026452D" w:rsidP="0026452D">
      <w:pPr>
        <w:pStyle w:val="TextoNormal"/>
      </w:pPr>
      <w:r>
        <w:t>En lo que respecta al art. 32 LOU la impugnación ha de desestimarse porque la apreciación que realizan los recurrentes sobre la deslegalización de la reserva de ley orgánica es manifiestamente errónea. En efecto, según sostienen los recurrentes el precepto al remitirse al reglamento deslegaliza la regulación de cuestiones tan trascendentales como la composición y actividad de una entidad administrativa cuya actividad, en los términos anteriormente expuestos, incide directamente en algunos derechos fundamentales. Sin embargo, la norma cuestionada lo que hace es remitirse a un acuerdo del Consejo de Ministros a los únicos efectos de que el Gobierno autorice la constitución de la Agencia Nacional de Evaluación de la Calidad y de la Acreditación, sin que del tenor del precepto se derive que el Gobierno, mediante norma reglamentaria, haya de regular los aspectos a los que se alude en la demanda. Por lo demás, el marco funcional de la agencia se encuentra establecido por la ley a lo largo de su articulado en forma de informes o evaluaciones que debe emitir (arts. 31.3, 50, 52, 55.4 y 69.4, entre otros) y que le corresponden sin perjuicio de las que desarrollen los órganos de evaluación creados por las leyes de las Comunidades Autónomas en el ámbito de sus competencias u otras agencias de evaluación del Estado o de las Comunidades Autónomas.</w:t>
      </w:r>
    </w:p>
    <w:p w:rsidR="0026452D" w:rsidRDefault="0026452D" w:rsidP="0026452D">
      <w:pPr>
        <w:pStyle w:val="TextoNormal"/>
      </w:pPr>
    </w:p>
    <w:p w:rsidR="0026452D" w:rsidRDefault="0026452D" w:rsidP="0026452D">
      <w:pPr>
        <w:pStyle w:val="TextoNormal"/>
      </w:pPr>
      <w:r w:rsidRPr="0026452D">
        <w:rPr>
          <w:rStyle w:val="NumeroAFNegritaCaracter"/>
        </w:rPr>
        <w:t>6</w:t>
      </w:r>
      <w:r>
        <w:t>. Procede, a continuación, examinar los preceptos que se impugnan por motivos competenciales y que son los arts. 4.3, 42.3, 83.2, disposición adicional séptima y disposición final cuarta.</w:t>
      </w:r>
    </w:p>
    <w:p w:rsidR="0026452D" w:rsidRDefault="0026452D" w:rsidP="0026452D">
      <w:pPr>
        <w:pStyle w:val="TextoNormal"/>
      </w:pPr>
    </w:p>
    <w:p w:rsidR="0026452D" w:rsidRDefault="0026452D" w:rsidP="0026452D">
      <w:pPr>
        <w:pStyle w:val="TextoNormal"/>
      </w:pPr>
      <w:r>
        <w:t xml:space="preserve">Con excepción de la disposición final cuarta, la impugnación se sustenta, de forma semejante a lo examinado en el fundamento anterior, en que la Ley Orgánica deslegaliza la </w:t>
      </w:r>
      <w:r>
        <w:lastRenderedPageBreak/>
        <w:t>determinación de las bases en las materias a las que se refieren los distintos preceptos controvertidos. Esta circunstancia aconseja un tratamiento conjunto de dichos preceptos, sin que ello impida considerar las especificidades que se deriven de cada uno de ellos.</w:t>
      </w:r>
    </w:p>
    <w:p w:rsidR="0026452D" w:rsidRDefault="0026452D" w:rsidP="0026452D">
      <w:pPr>
        <w:pStyle w:val="TextoNormal"/>
      </w:pPr>
    </w:p>
    <w:p w:rsidR="0026452D" w:rsidRDefault="0026452D" w:rsidP="0026452D">
      <w:pPr>
        <w:pStyle w:val="TextoNormal"/>
      </w:pPr>
      <w:r>
        <w:t>Como quedó expuesto anteriormente, el art. 4.3 LOU, al referirse a la creación y reconocimiento de las universidades, establece en su inciso primero que: “Para garantizar la calidad de la docencia e investigación y, en general, del conjunto del sistema universitario, el Gobierno, previo informe del Consejo de Coordinación Universitaria, determinará, con carácter general, los requisitos básicos para la creación y reconocimiento de Universidades.”</w:t>
      </w:r>
    </w:p>
    <w:p w:rsidR="0026452D" w:rsidRDefault="0026452D" w:rsidP="0026452D">
      <w:pPr>
        <w:pStyle w:val="TextoNormal"/>
      </w:pPr>
    </w:p>
    <w:p w:rsidR="0026452D" w:rsidRDefault="0026452D" w:rsidP="0026452D">
      <w:pPr>
        <w:pStyle w:val="TextoNormal"/>
      </w:pPr>
      <w:r>
        <w:t>Por su parte, el art. 42.3 LOU, que regula la admisión de estudiantes en las universidades prescribe: “Las Universidades, de acuerdo con la normativa básica que establezca el Gobierno previo informe del Consejo de Coordinación Universitaria y teniendo en cuenta la programación de la oferta de plazas disponibles, establecerán los procedimientos para la admisión de los estudiantes que soliciten ingresar en centros de las mismas, siempre con respeto a los principios de igualdad, mérito y capacidad.”</w:t>
      </w:r>
    </w:p>
    <w:p w:rsidR="0026452D" w:rsidRDefault="0026452D" w:rsidP="0026452D">
      <w:pPr>
        <w:pStyle w:val="TextoNormal"/>
      </w:pPr>
    </w:p>
    <w:p w:rsidR="0026452D" w:rsidRDefault="0026452D" w:rsidP="0026452D">
      <w:pPr>
        <w:pStyle w:val="TextoNormal"/>
      </w:pPr>
      <w:r>
        <w:t>El art. 83.2 LOU se ocupa de la autorización de trabajos y contratos de colaboración del personal docente de las universidades en los siguientes términos: “Los Estatutos, en el marco de las normas básicas que dicte el Gobierno, establecerán los procedimientos de autorización de los trabajos y de celebración de los contratos previstos en el apartado anterior, así como los criterios para fijar el destino de los bienes y recursos que con ellos se obtengan.”</w:t>
      </w:r>
    </w:p>
    <w:p w:rsidR="0026452D" w:rsidRDefault="0026452D" w:rsidP="0026452D">
      <w:pPr>
        <w:pStyle w:val="TextoNormal"/>
      </w:pPr>
    </w:p>
    <w:p w:rsidR="0026452D" w:rsidRDefault="0026452D" w:rsidP="0026452D">
      <w:pPr>
        <w:pStyle w:val="TextoNormal"/>
      </w:pPr>
      <w:r>
        <w:t xml:space="preserve">Finalmente, la disposición adicional séptima LOU sobre el régimen de conciertos entre las universidades y las instituciones sanitarias también se refiere a la determinación de las normas básicas de la siguiente manera: </w:t>
      </w:r>
    </w:p>
    <w:p w:rsidR="0026452D" w:rsidRDefault="0026452D" w:rsidP="0026452D">
      <w:pPr>
        <w:pStyle w:val="TextoNormal"/>
      </w:pPr>
    </w:p>
    <w:p w:rsidR="0026452D" w:rsidRDefault="0026452D" w:rsidP="0026452D">
      <w:pPr>
        <w:pStyle w:val="TextoNormal"/>
      </w:pPr>
      <w:r>
        <w:t>“Corresponde al Gobierno, a propuesta de los Ministerios de Educación, Cultura y Deporte y de Sanidad y Consumo, previo informe del Consejo de Coordinación Universitaria, establecer las bases generales del régimen de conciertos entre las Universidades y las instituciones sanitarias y establecimientos sanitarios, en las que se deba impartir enseñanza universitaria, a efectos de garantizar la docencia práctica de Medicina, Farmacia y Enfermería y otras enseñanzas que así lo exigieran.</w:t>
      </w:r>
    </w:p>
    <w:p w:rsidR="0026452D" w:rsidRDefault="0026452D" w:rsidP="0026452D">
      <w:pPr>
        <w:pStyle w:val="TextoNormal"/>
      </w:pPr>
    </w:p>
    <w:p w:rsidR="0026452D" w:rsidRDefault="0026452D" w:rsidP="0026452D">
      <w:pPr>
        <w:pStyle w:val="TextoNormal"/>
      </w:pPr>
      <w:r>
        <w:t>En dichas bases generales, se preverá la participación de los Consejos de Gobierno de las Comunidades Autónomas en los conciertos singulares que, conforme a aquéllas, se suscriban entre Universidades e instituciones sanitarias.”</w:t>
      </w:r>
    </w:p>
    <w:p w:rsidR="0026452D" w:rsidRDefault="0026452D" w:rsidP="0026452D">
      <w:pPr>
        <w:pStyle w:val="TextoNormal"/>
      </w:pPr>
    </w:p>
    <w:p w:rsidR="0026452D" w:rsidRDefault="0026452D" w:rsidP="0026452D">
      <w:pPr>
        <w:pStyle w:val="TextoNormal"/>
      </w:pPr>
      <w:r>
        <w:t xml:space="preserve">a) Con respecto al reproche de que la Ley en los preceptos transcritos ha realizado una incondicionada remisión a favor del reglamento para la determinación de las bases ha de recordarse que la intervención de este tipo de norma no ha quedado vedada por la doctrina de este Tribunal, por cuanto “conforme a nuestra jurisprudencia, siendo aquél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w:t>
      </w:r>
      <w:r>
        <w:lastRenderedPageBreak/>
        <w:t>de 16 de diciembre), y son factibles en las bases un alcance diferente en función del subsector de la materia sobre la que se proyecten e incluso sobre el territorio (SSTC 50/1990, de 6 de abril y 147/1991, de 4 de julio, respectivamente). Y ello no como pura excepción al criterio que para el art. 111 EAC constituye la regla de principio (base principial o de mínimo normativo, formalizada como ley), sino como elementos de la definición del contenido y alcance de la competencia atribuida al Estado cuando éste es el titular de la potestad de dictar las bases de la disciplina de una materia determinada.” (STC 31/2010, de 28 de junio, FJ 60).</w:t>
      </w:r>
    </w:p>
    <w:p w:rsidR="0026452D" w:rsidRDefault="0026452D" w:rsidP="0026452D">
      <w:pPr>
        <w:pStyle w:val="TextoNormal"/>
      </w:pPr>
    </w:p>
    <w:p w:rsidR="0026452D" w:rsidRDefault="0026452D" w:rsidP="0026452D">
      <w:pPr>
        <w:pStyle w:val="TextoNormal"/>
      </w:pPr>
      <w:r>
        <w:t>Pues bien, como pone de manifiesto la Abogada del Estado en sus alegaciones, la fundamentación de la inconstitucionalidad del art. 4.3 LOU vuelve a reiterar los argumentos utilizados para denunciar que el precepto supone una deslegalización de los aspectos básicos en materia de creación y reconocimiento de las universidades, y si entonces se denunciaba la vulneración de la reserva material del art. 81.1 CE en relación con el art. 53.1 CE, ahora se critica tal remisión incondicional en relación con el art. 149.1.30 CE por cuanto no se acomete por ley el desarrollo de una materia que afecta al art. 27 CE, aunque el reproche se vuelva a alegar con el pretexto de una genérica vulneración competencial. Ante la similitud de los argumentos esgrimidos por los recurrentes sobre el particular habremos de remitirnos a lo expuesto en el fundamento anterior para desestimar este motivo.</w:t>
      </w:r>
    </w:p>
    <w:p w:rsidR="0026452D" w:rsidRDefault="0026452D" w:rsidP="0026452D">
      <w:pPr>
        <w:pStyle w:val="TextoNormal"/>
      </w:pPr>
    </w:p>
    <w:p w:rsidR="0026452D" w:rsidRDefault="0026452D" w:rsidP="0026452D">
      <w:pPr>
        <w:pStyle w:val="TextoNormal"/>
      </w:pPr>
      <w:r>
        <w:t>b) Por su parte en lo relativo al art. 42.3 LOU la cuestión se suscitó ya en la STC 223/2012, de 29 de noviembre, resultando desestimada, por lo que hemos de reiterar lo allí declarado: “Ya la jurisprudencia de este Tribunal ha admitido la facultad del Estado para fijar las bases en materia de procedimientos de selección para el acceso a los centros universitarios, no estimando inconstitucional que su determinación fuera atribuida al Gobierno, ya que, ‘en la interpretación que haya de darse a los procedimientos de selección para el ingreso en los Centros Universitarios, que con arreglo al apartado 1 de este artículo ha de establecer el Gobierno oído el Consejo de Universidades, están de acuerdo ambas partes. El Gobierno Vasco admite que, en virtud de las competencias del Estado (art. 149.1.1 y 30 CE), éste la tiene para establecer esos procedimientos, pero limitada al contenido básico de los mismos de acuerdo con dichas normas constitucionales. Su desarrollo corresponde a la Comunidad Autónoma del País Vasco en razón de la competencia plena que tiene en materia de educación conforme al art. 16 de su Estatuto … en consecuencia, los procedimientos de selección a que se refiere el precepto, de conformidad con las competencias que ejerce el Estado, 1 y 30 del art. 149.1 de la Constitución, habrán de establecer exclusivamente las condiciones o normas básicas de selección para el ingreso en los Centros universitarios, correspondiendo su desarrollo a las Comunidades Autónomas con competencia plena en materia de educación, como es el caso de la Comunidad Autónoma recurrente’ [STC 26/1987, de 27 de febrero, FJ 10 a)].” (FJ 12, comillas interiores suprimidas). El motivo de inconstitucionalidad planteado contra el art. 42.3 LOU queda, en consecuencia, desestimado.</w:t>
      </w:r>
    </w:p>
    <w:p w:rsidR="0026452D" w:rsidRDefault="0026452D" w:rsidP="0026452D">
      <w:pPr>
        <w:pStyle w:val="TextoNormal"/>
      </w:pPr>
    </w:p>
    <w:p w:rsidR="0026452D" w:rsidRDefault="0026452D" w:rsidP="0026452D">
      <w:pPr>
        <w:pStyle w:val="TextoNormal"/>
      </w:pPr>
      <w:r>
        <w:t xml:space="preserve">c) El reproche dirigido contra el art. 83.2 LOU relativo a las autorizaciones de los trabajos y contratos en el seno de las universidades tiene que ver nuevamente con la deslegalización de la determinación de las bases, si bien los recurrentes asumen el carácter técnico de la materia sobre la que incide y que responde a las atribuciones que la Constitución atribuye para establecer normas básicas en el art. 149.1.15, 18 y 30. La ausencia, por un lado, de toda argumentación por parte de los recurrentes, en orden a indicar qué aspectos básicos en esta </w:t>
      </w:r>
      <w:r>
        <w:lastRenderedPageBreak/>
        <w:t>materia han de quedar reservados al legislador, más allá de una genérica alusión a las “líneas centrales”. Por otro lado, la admisible intervención del normador reglamentario en la determinación de las bases, de acuerdo con nuestra doctrina (por todas la referida STC 31/2010, de 28 de junio, FJ 60), intervención que está especialmente justificada cuando la materia esté revestida de un “carácter marcadamente técnico” (SSTC 8/2012, de 18 de enero, FJ 6 y 4/2013, de 17 de enero, FJ 5, entre otras muchas) ha de conducir a la desestimación del motivo de inconstitucionalidad alegado por los recurrentes.</w:t>
      </w:r>
    </w:p>
    <w:p w:rsidR="0026452D" w:rsidRDefault="0026452D" w:rsidP="0026452D">
      <w:pPr>
        <w:pStyle w:val="TextoNormal"/>
      </w:pPr>
    </w:p>
    <w:p w:rsidR="0026452D" w:rsidRDefault="0026452D" w:rsidP="0026452D">
      <w:pPr>
        <w:pStyle w:val="TextoNormal"/>
      </w:pPr>
      <w:r>
        <w:t>d) Queda por examinar la vulneración atribuida a la disposición adicional séptima relativa al régimen de conciertos entre las universidades y las instituciones sanitarias a la que se reprocha igualmente el carácter incondicionado de la remisión. Sobre este particular es necesario remitirse a la STC 26/1987, de 27 de febrero, concretamente en su FJ 13 a) en el que se controvertía la disposición adicional sexta de la Ley de reforma universitaria (Ley Orgánica 11/1983, de 25 de agosto) que encomendaba al Gobierno la determinación de las bases en esta misma materia y con una redacción prácticamente idéntica a la de la disposición de la que aquí se trata. Al resolver si dicha determinación vulneraba el orden de competencias de la Comunidad Autónoma recurrente el Tribunal no puso reparo alguno a la intervención del Gobierno señalándose que “[s]e trata, por tanto, de prestar la debida atención a la formación práctica del alumnado en las profesiones que lo requieran y, concretamente, se contempla en la norma las de medicina y de enfermería por la más acusada importancia que revisten en estas actividades los conocimientos prácticos impartidos en las Instituciones sanitarias a que el precepto se refiere. La determinación de las ‘bases generales del régimen de conciertos’, por su carácter general y por afectar directamente a las enseñanzas necesarias para la obtención de los títulos, es una competencia estatal que hay que encuadrar en la ‘regulación de las condiciones de obtención, expedición y homologación de títulos académicos y profesionales’ a que se refiere el art. 149.1.30 de la Constitución”, para indicar a continuación que “[l]as bases generales, mientras no desborden el carácter de generalidad o de líneas directrices a que su denominación responde, no invaden las competencias que en los ‘conciertos singulares’ han de ejercer las Universidades en virtud de su autonomía con la participación que corresponda a las Comunidades Autónomas con competencia plena en materia de enseñanza”. En coherencia con dicha doctrina ha de desestimarse el motivo de inconstitucionalidad planteado contra la disposición adicional séptima LOU.</w:t>
      </w:r>
    </w:p>
    <w:p w:rsidR="0026452D" w:rsidRDefault="0026452D" w:rsidP="0026452D">
      <w:pPr>
        <w:pStyle w:val="TextoNormal"/>
      </w:pPr>
    </w:p>
    <w:p w:rsidR="0026452D" w:rsidRDefault="0026452D" w:rsidP="0026452D">
      <w:pPr>
        <w:pStyle w:val="TextoNormal"/>
      </w:pPr>
      <w:r w:rsidRPr="0026452D">
        <w:rPr>
          <w:rStyle w:val="NumeroAFNegritaCaracter"/>
        </w:rPr>
        <w:t>7</w:t>
      </w:r>
      <w:r>
        <w:t>. El elenco de preceptos impugnados por motivos competenciales concluye con la disposición final cuarta LOU, a la que se reprocha que, atribuyendo carácter orgánico a la norma con la excepción de los preceptos allí indicados (tras la reforma de 2007 se opera, por cierto, con técnica inversa indicando expresamente los que tal naturaleza poseen), no se haya explicitado por parte del legislador cuáles tienen carácter básico. Sin perjuicio de que, previamente, la Ley Orgánica en su disposición final primera haya indicado que la norma “se dicta al amparo de la competencia que corresponde al Estado conforme al artículo 149.1.1, 15, 18 y 30 de la Constitución” no se explica en virtud de qué razón, estando destinada la disposición a señalar el carácter orgánico de la ley señalando expresamente qué preceptos carecen del mismo, haya de incluirse en la misma la determinación de los apartados que cuentan con carácter básico ni se entiende la conexión material de ambas declaraciones. Por todo ello el motivo de inconstitucionalidad ha de desestimarse.</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8</w:t>
      </w:r>
      <w:r>
        <w:t>. De acuerdo con el orden de las impugnaciones contenidas en el recurso han de abordarse seguidamente los preceptos cuyo contenido se estima lesivo de la autonomía universitaria constitucionalmente garantizada en el art. 27.10 CE. Sobreviven, por dicho motivo, los reproches dirigidos contra los arts. 23, inciso segundo, 46.4, 50 a 52 y 84, inciso primero, LOU. Mientras en el caso de los arts. 23, 46.3 y 84 el problema radica en la intervención que la Ley confiere al consejo social de la universidad, en el caso de los arts. 50 a 52 la cuestión radica en la exigencia preceptiva de una evaluación positiva, emanada de un órgano externo a las universidades, como condición para que éstas pueden contratar al personal docente allí contemplado.</w:t>
      </w:r>
    </w:p>
    <w:p w:rsidR="0026452D" w:rsidRDefault="0026452D" w:rsidP="0026452D">
      <w:pPr>
        <w:pStyle w:val="TextoNormal"/>
      </w:pPr>
    </w:p>
    <w:p w:rsidR="0026452D" w:rsidRDefault="0026452D" w:rsidP="0026452D">
      <w:pPr>
        <w:pStyle w:val="TextoNormal"/>
      </w:pPr>
      <w:r>
        <w:t>a) La intervención del consejo social de la universidad ha sido considerada por este Tribunal poniendo en relación su composición, integrada mayoritariamente por miembros ajenos a la comunidad universitaria, y las funciones que teniendo encomendadas pudieran revestir carácter académico “[s]in embargo, la representación minoritaria que en su composición corresponde a la comunidad universitaria que queda por ello subordinada a la representación social impide que se atribuyan al Consejo Social decisiones propias de la autonomía universitaria. De ahí que, impugnados en el recurso los arts. 14.3 y 39.1 de la LRU, resultara procedente examinar y resolver la cuestión desde el ángulo de la autonomía universitaria. Porque, obviamente, si las funciones que se atribuyen al Consejo Social responden a su finalidad específica de ser el órgano de participación de la sociedad en las Universidades y no afectan al contenido esencial de la autonomía de éstas, la participación minoritaria de la comunidad universitaria no lesionará su autonomía. Pero si, pese a esa representación minoritaria, se atribuyen al Consejo Social funciones estrictamente académicas, entonces sí resultaría vulnerado el art. 27.10 de la Constitución.” [STC 26/1987, FJ 9 a)]</w:t>
      </w:r>
    </w:p>
    <w:p w:rsidR="0026452D" w:rsidRDefault="0026452D" w:rsidP="0026452D">
      <w:pPr>
        <w:pStyle w:val="TextoNormal"/>
      </w:pPr>
    </w:p>
    <w:p w:rsidR="0026452D" w:rsidRDefault="0026452D" w:rsidP="0026452D">
      <w:pPr>
        <w:pStyle w:val="TextoNormal"/>
      </w:pPr>
      <w:r>
        <w:t>En lo que hace al presente recurso, se alega que la intervención del consejo social incide directamente en ámbito reservado a la autonomía universitaria. En concreto, en primer lugar, con respecto del art. 23, inciso segundo, LOU que dispone que el gerente de la universidad “[s]erá propuesto por el Rector y nombrado por éste de acuerdo con el Consejo Social”, lo cual supone, a juicio de los recurrentes, una evidente restricción del margen de discrecionalidad del rector. En segundo lugar y, en lo que atañe al art. 46.4 LOU, ha quedado establecido, igualmente en el segundo inciso del apartado, y en lo que respecta a la permanencia de los estudiantes: “En las Universidades públicas, el Consejo Social, previo informe del Consejo de Coordinación Universitaria, aprobará las normas que regulen el progreso y la permanencia en la Universidad de los estudiantes, de acuerdo con las características de los respectivos estudios”, estimándose que la intervención del consejo social incide de lleno en un ámbito propio de la autonomía universitaria, sin dejar margen alguno para la intervención de los órganos académicos de las universidades, perturbando las libertades de cátedra, de estudio e investigación en que se expresa la libertad académica. En tercer lugar, el art. 84, en su párrafo primero, vuelve a contemplar la intervención del consejo social para la creación de fundaciones u otras personas jurídicas por parte de las universidades: “Para la promoción y desarrollo de sus fines, las Universidades, con la aprobación del Consejo Social, podrán crear, por sí solas o en colaboración con otras entidades públicas o privadas, empresas, fundaciones u otras personas jurídicas de acuerdo con la legislación general aplicable”, denunciándose que el precepto no establece una mera intervención del consejo social, sino su acuerdo, en definitiva, su autorización, con lo que tiene de limitación del margen de actuación de los órganos académicos al respecto.</w:t>
      </w:r>
    </w:p>
    <w:p w:rsidR="0026452D" w:rsidRDefault="0026452D" w:rsidP="0026452D">
      <w:pPr>
        <w:pStyle w:val="TextoNormal"/>
      </w:pPr>
    </w:p>
    <w:p w:rsidR="0026452D" w:rsidRDefault="0026452D" w:rsidP="0026452D">
      <w:pPr>
        <w:pStyle w:val="TextoNormal"/>
      </w:pPr>
      <w:r>
        <w:lastRenderedPageBreak/>
        <w:t>La Ley Orgánica de universidades configura al consejo social como el órgano de participación de la sociedad en la universidad (art. 14.1) encomendándole “la supervisión de las actividades de carácter económico de la Universidad y del rendimiento de sus servicios” (art. 14.2, párrafo primero) además de otras relativas a la aprobación de los presupuestos de la universidad y de las cuentas anuales de la misma (párrafo segundo del mismo apartado). Pues bien, en relación con el nombramiento del gerente, sin perjuicio de que la intervención del órgano de participación de la sociedad no excluye la de los órganos académicos, pues al rector cumple realizar la propuesta y el nombramiento, lo cierto es que la figura del gerente carece de naturaleza académica, pues se le atribuye “la gestión de los servicios administrativos y económicos de la universidad” (inciso primero del art. 23 LOU), teniendo precisamente vedado el ejercicio de funciones docentes (art. 23 in fine). Ambas circunstancias, la no exclusión del rector y la naturaleza no académica del cargo y las funciones encomendadas, conduce a estimar que el precepto no lesiona la autonomía universitaria.</w:t>
      </w:r>
    </w:p>
    <w:p w:rsidR="0026452D" w:rsidRDefault="0026452D" w:rsidP="0026452D">
      <w:pPr>
        <w:pStyle w:val="TextoNormal"/>
      </w:pPr>
    </w:p>
    <w:p w:rsidR="0026452D" w:rsidRDefault="0026452D" w:rsidP="0026452D">
      <w:pPr>
        <w:pStyle w:val="TextoNormal"/>
      </w:pPr>
      <w:r>
        <w:t>El mismo criterio ha de aplicarse a la impugnación del art. 84 LOU, en relación con la creación de fundaciones y otras personas jurídicas. Si bien en este caso no puede excluirse la incidencia académica de dichos sujetos, lo cierto es que, al margen de las señaladas funciones del consejo social relativas a la supervisión de las actividades económicas de la universidad, en este supuesto referidas a los actos de disposición patrimonial (dotación fundacional, aportación al capital social u otras) con cargo a los presupuestos de la universidad, la Ley establece expresamente que le corresponde a este órgano “[a]probar las cuentas anuales de la Universidad y las de las entidades que de ella puedan depender”, por lo que resulta coherente con esta función arbitrar la participación del consejo social en el proceso de creación de las entidades a las que alude la disposición si, como previene el precepto impugnado, la facultad no queda reservada en exclusiva al consejo social.</w:t>
      </w:r>
    </w:p>
    <w:p w:rsidR="0026452D" w:rsidRDefault="0026452D" w:rsidP="0026452D">
      <w:pPr>
        <w:pStyle w:val="TextoNormal"/>
      </w:pPr>
    </w:p>
    <w:p w:rsidR="0026452D" w:rsidRDefault="0026452D" w:rsidP="0026452D">
      <w:pPr>
        <w:pStyle w:val="TextoNormal"/>
      </w:pPr>
      <w:r>
        <w:t xml:space="preserve">Mayor relevancia académica parece revestir la aprobación de las normas sobre permanencia de los alumnos en las universidades públicas a que se refiere el inciso segundo del art. 46.3 LOU al prevenir que “[e]n las Universidades públicas, el Consejo Social, previo informe del Consejo de Coordinación Universitaria, aprobará las normas que regulen el progreso y la permanencia en la Universidad de los estudiantes, de acuerdo con las características de los respectivos estudios”. Los recurrentes se limitan a denunciar la vulneración de la autonomía universitaria por ausencia de los órganos académicos en el proceso. La intervención del consejo social en la materia —que, en una interpretación sistemática de la propia Ley Orgánica de universidades, debe reputarse distinta, si bien complementaria, a la que, desde la perspectiva estrictamente académica, integra la admisión, régimen de permanencia y verificación de conocimientos de los estudiantes en el ámbito de la autonomía universitaria, según su art. 2.2 f)— no está exenta de justificación si se tiene en cuenta que la Ley establece que le corresponde supervisar el rendimiento de los servicios que presta la universidad. Y dentro de esta supervisión no puede negarse que se encuentra la de velar por que exista una adecuada relación entre la duración de los estudios y la permanencia de los alumnos en la universidad si no se pierde de vista que dicha permanencia implica la utilización de recursos públicos que son, por su propia naturaleza, limitados. No obstante lo expuesto, ha de considerarse si la ausencia de intervención de órganos estrictamente académicos vulnera la autonomía académica. A este respecto baste indicar la presencia, aun minoritaria en el consejo social, de miembros de la comunidad universitaria (art. 14.3 LOU). A la luz de las consideraciones realizadas y teniendo en cuenta la escasa argumentación con </w:t>
      </w:r>
      <w:r>
        <w:lastRenderedPageBreak/>
        <w:t>la que los recurrentes acompañan la impugnación en este punto, la misma ha de ser desestimada.</w:t>
      </w:r>
    </w:p>
    <w:p w:rsidR="0026452D" w:rsidRDefault="0026452D" w:rsidP="0026452D">
      <w:pPr>
        <w:pStyle w:val="TextoNormal"/>
      </w:pPr>
    </w:p>
    <w:p w:rsidR="0026452D" w:rsidRDefault="0026452D" w:rsidP="0026452D">
      <w:pPr>
        <w:pStyle w:val="TextoNormal"/>
      </w:pPr>
      <w:r>
        <w:t>b) Han de abordarse dentro del presente apartado, las alegaciones relativas a la contratación de personal docente recogida en los arts. 50 (profesores ayudantes doctores) y 52 (profesores contratados doctores) de la Ley Orgánica 6/2001 y en la disposición transitoria segunda de la Ley Orgánica 4/2007 (profesores colaboradores, pues formalmente el art. 51 ha quedado sin contenido tras la reforma), de acuerdo con las precisiones que se realizaron anteriormente en el fundamento jurídico 4 f) de la presente resolución. La impugnación se dirige en los tres supuestos contra la exigencia de que, con carácter previo a la contratación, el personal docente allí contemplado cuente con la “evaluación positiva” de la Agencia Nacional de Evaluación de la Calidad y la Acreditación, por entender que dicha exigencia, en cuanto proviene de un órgano externo a la universidad condiciona de forma incompatible con la autonomía universitaria la decisión de las universidades y resulta desproporcionada e innecesaria para los fines relativos a asegurar la calidad del profesorado. En fin, el requisito es conformado por los recurrentes como un “veto administrativo” que desapodera a las universidades de una facultad inherente a su autonomía.</w:t>
      </w:r>
    </w:p>
    <w:p w:rsidR="0026452D" w:rsidRDefault="0026452D" w:rsidP="0026452D">
      <w:pPr>
        <w:pStyle w:val="TextoNormal"/>
      </w:pPr>
    </w:p>
    <w:p w:rsidR="0026452D" w:rsidRDefault="0026452D" w:rsidP="0026452D">
      <w:pPr>
        <w:pStyle w:val="TextoNormal"/>
      </w:pPr>
      <w:r>
        <w:t>Es cierto que la autonomía universitaria “encuentra su razón de ser en la protección de la libertad académica, en su manifestación de libertad de enseñanza, estudio e investigación, frente a todo tipo de injerencias externas, de manera que, en todo caso, la libertad de ciencia quede garantizada, tanto en su vertiente individual como institucional, entendida ésta, además, como la correspondiente a cada Universidad en particular” (STC 106/1990, de 6 de junio, FJ 6). Ahora bien, la cuestión se plantea por cuanto los recurrentes vinculan la obtención del informe favorable con el proceso propiamente de contratación del profesorado, debiendo sin embargo deslindarse, de un lado, la previsión legal de una serie de requisitos de idoneidad (titulación requerida y evaluación favorable, entre otros) del proceso de contratación en sí mismo considerado. Ha de recordarse, en este sentido, que la promoción de la calidad docente e investigadora figura entre los objetivos recogidos por la Ley Orgánica como fin esencial de la política universitaria [art. 31.1 c) LOU], que una de las maneras de cumplir los objetivos legales es la evaluación (art. 31.2 LOU), que las funciones de evaluación se encomiendan por la Ley a la Agencia Nacional de Evaluación de la Calidad y Acreditación o, en el ámbito de sus competencias, a entes análogos de las Comunidades Autónomas(art. 31.3 LOU) y que la evaluación de la actividad y dedicación docente y de la actividad y dedicación investigadora constituye un criterio relevante para determinar la eficiencia en el desarrollo de la actividad profesional (arts. 33.3 y 40.3 LOU, respectivamente). Con estos presupuestos, difícilmente puede sostenerse, sin aportar más razones de las que esgrimen los recurrentes, que la exigencia de una evaluación positiva por parte del órgano que legalmente tiene atribuida esta potestad sea innecesaria y desproporcionada para asegurar la calidad del profesorado. Desde el punto de vista de la autonomía universitaria constitucionalmente garantizada, pero legalmente configurada, la ley orgánica ha puesto especial atención, una vez determinados los requisitos de idoneidad, en atribuir estrictamente el proceso de contratación del personal docente a las universidades de acuerdo con los principios generales establecidos en la misma (art. 48 LOU). En atención a lo expuesto ha de desestimarse que la exigencia de evaluación positiva para contratar personal docente contemplada en los preceptos y disposición referida, vulnere la autonomía universitaria.</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9</w:t>
      </w:r>
      <w:r>
        <w:t>. El siguiente grupo de preceptos impugnados en el recurso se refieren a distintos aspectos del régimen de las universidades privadas y a los que se imputan la lesión de distintas libertades educativas del art. 27 CE y de la igualdad del art. 14 CE, en comparación con el régimen de las universidades públicas. Según la delimitación del objeto del recurso en atención a la pervivencia del mismo que se realizó en el fundamento jurídico 4 c) y g), las alegaciones quedan contraídas a los arts. 6.5 y 72 LOU.</w:t>
      </w:r>
    </w:p>
    <w:p w:rsidR="0026452D" w:rsidRDefault="0026452D" w:rsidP="0026452D">
      <w:pPr>
        <w:pStyle w:val="TextoNormal"/>
      </w:pPr>
    </w:p>
    <w:p w:rsidR="0026452D" w:rsidRDefault="0026452D" w:rsidP="0026452D">
      <w:pPr>
        <w:pStyle w:val="TextoNormal"/>
      </w:pPr>
      <w:r>
        <w:t xml:space="preserve">a) El art. 6.5 LOU se refiere a las normas de organización y funcionamiento de las universidades privadas: </w:t>
      </w:r>
    </w:p>
    <w:p w:rsidR="0026452D" w:rsidRDefault="0026452D" w:rsidP="0026452D">
      <w:pPr>
        <w:pStyle w:val="TextoNormal"/>
      </w:pPr>
    </w:p>
    <w:p w:rsidR="0026452D" w:rsidRDefault="0026452D" w:rsidP="0026452D">
      <w:pPr>
        <w:pStyle w:val="TextoNormal"/>
      </w:pPr>
      <w:r>
        <w:t>“Las Universidades privadas se regirán por las normas a que se refiere el apartado 1 anterior, por la Ley de su reconocimiento y por sus propias normas de organización y funcionamiento. Éstas incluirán las previsiones derivadas de lo dispuesto en el apartado 2 del artículo 2, y el carácter propio de la Universidad, si procede. A las Universidades privadas también les serán de aplicación las normas correspondientes a la clase de personalidad jurídica adoptada.</w:t>
      </w:r>
    </w:p>
    <w:p w:rsidR="0026452D" w:rsidRDefault="0026452D" w:rsidP="0026452D">
      <w:pPr>
        <w:pStyle w:val="TextoNormal"/>
      </w:pPr>
    </w:p>
    <w:p w:rsidR="0026452D" w:rsidRDefault="0026452D" w:rsidP="0026452D">
      <w:pPr>
        <w:pStyle w:val="TextoNormal"/>
      </w:pPr>
      <w:r>
        <w:t>Las normas de organización y funcionamiento de las Universidades privadas serán elaboradas y aprobadas por ellas mismas, con sujeción, en todo caso, a los principios constitucionales y con garantía efectiva del principio de libertad académica manifestada en las libertades de cátedra, de investigación y de estudio. El régimen de su aprobación será el previsto en el apartado 2 anterior.</w:t>
      </w:r>
    </w:p>
    <w:p w:rsidR="0026452D" w:rsidRDefault="0026452D" w:rsidP="0026452D">
      <w:pPr>
        <w:pStyle w:val="TextoNormal"/>
      </w:pPr>
    </w:p>
    <w:p w:rsidR="0026452D" w:rsidRDefault="0026452D" w:rsidP="0026452D">
      <w:pPr>
        <w:pStyle w:val="TextoNormal"/>
      </w:pPr>
      <w:r>
        <w:t>Las Universidades privadas se organizarán de forma que quede asegurada, mediante la participación adecuada de la comunidad universitaria, la vigencia efectiva en las mismas de los principios y libertades a que hace referencia el párrafo anterior.”</w:t>
      </w:r>
    </w:p>
    <w:p w:rsidR="0026452D" w:rsidRDefault="0026452D" w:rsidP="0026452D">
      <w:pPr>
        <w:pStyle w:val="TextoNormal"/>
      </w:pPr>
    </w:p>
    <w:p w:rsidR="0026452D" w:rsidRDefault="0026452D" w:rsidP="0026452D">
      <w:pPr>
        <w:pStyle w:val="TextoNormal"/>
      </w:pPr>
      <w:r>
        <w:t>A juicio de los recurrentes, la autonomía universitaria presupone un ámbito propio ajeno a instancias o poderes ajenos. A diferencia de los requisitos de participación y representación previstos para las universidades públicas nada se establece con respecto de las privadas a salvo de la genérica e imprecisa referencia del último párrafo del precepto. En definitiva, la regulación de la organización y funcionamiento de las universidades privadas queda desregulada y atribuida a actores ajenos a la comunidad universitaria, es decir, a las personas jurídicas y físicas promotoras y titulares de las mismas. Esta diferencia de trato del legislador ha provocado a la postre, siempre según los recurrentes, la existencia de dos categorías distintas sujetas a regímenes diferentes en cuanto al ejercicio de derechos fundamentales, sin que las referencias a los principios constitucionales y a la garantía de la libertad académica palíen la diferencia. Se denuncia, en concreto, la vulneración de los arts. 14, 20.1 b), 20.1 c), 27.2 y 27.10 CE.</w:t>
      </w:r>
    </w:p>
    <w:p w:rsidR="0026452D" w:rsidRDefault="0026452D" w:rsidP="0026452D">
      <w:pPr>
        <w:pStyle w:val="TextoNormal"/>
      </w:pPr>
    </w:p>
    <w:p w:rsidR="0026452D" w:rsidRDefault="0026452D" w:rsidP="0026452D">
      <w:pPr>
        <w:pStyle w:val="TextoNormal"/>
      </w:pPr>
      <w:r>
        <w:t xml:space="preserve">Los recurrentes omiten realizar cualquier consideración acerca de distinto origen de las universidades públicas y privadas a los efectos de poder justificar la existencia de un régimen no estrictamente igual entre ambas, hasta tal punto que, parecen sugerir que los sujetos titulares y promotores de las segundas, una vez ejercitada la iniciativa de la creación de la universidad han de entregar la misma a los integrantes de la comunidad universitaria quedando despojados de cualquier facultad de normación y organización en su condición de “actores ajenos” a dicha comunidad. Pues bien, no deben obviarse las consideraciones realizadas por este Tribunal recientemente en orden a que “la creación de centros universitarios </w:t>
      </w:r>
      <w:r>
        <w:lastRenderedPageBreak/>
        <w:t>privados y el establecimiento de su régimen jurídico no es manifestación de la autonomía universitaria consagrada en el art. 27.10 CE, sino del art. 27.6 de la norma fundamental, en cuanto reconoce a ‘las personas físicas y jurídicas la libertad de creación de centros docentes, dentro del respeto a los principios constitucionales’. En lógica consecuencia, la Ley Orgánica de universidades ha dispuesto en su art. 5.1 que la creación de estos centros docentes se hará ‘con sometimiento a lo dispuesto en esta ley y en las normas que, en su desarrollo, dicten el Estado y las Comunidades Autónomas en el ámbito de sus respectivas competencias’.” (STC 223/2012, FJ 6 con cita de otras); consideraciones que son trasladables a las universidades privadas pues así lo establece expresamente el art. 5.1 LOU.</w:t>
      </w:r>
    </w:p>
    <w:p w:rsidR="0026452D" w:rsidRDefault="0026452D" w:rsidP="0026452D">
      <w:pPr>
        <w:pStyle w:val="TextoNormal"/>
      </w:pPr>
    </w:p>
    <w:p w:rsidR="0026452D" w:rsidRDefault="0026452D" w:rsidP="0026452D">
      <w:pPr>
        <w:pStyle w:val="TextoNormal"/>
      </w:pPr>
      <w:r>
        <w:t>Pero es que, además, los poderes de dirección que pueda atribuirse a los promotores y titulares de las universidades no son tan incondicionados como pretenden los recurrentes. Al margen de las menciones contenidas en el precepto impugnado sobre la “sujeción, en todo caso, a los principios constitucionales y con garantía efectiva del principio de libertad académica manifestada en las libertades de cátedra, de investigación y de estudio” y que en su organización “quede asegurada, mediante la participación adecuada de la comunidad universitaria, la vigencia efectiva en las mismas de los principios y libertades a que hace referencia el párrafo anterior”. Ya en art. 5.1 LOU se prescribe que la creación de las universidades privadas ha de hacerse “dentro del respeto a los principios constitucionales” y podrá ser causa de la denegación de la conformidad para la realización de determinadas actividades por parte de la autoridad administrativa correspondiente (art. 5.3 LOU). Por su parte, de forma sobrevenida a la impugnación, la reforma de 2007 ha incorporado a los órganos de gobierno y representación de las universidades privadas garantías expresas de participación y representación de forma que aseguren “en dichos órganos, mediante una participación adecuada, la representación de los diferentes sectores de la comunidad universitaria de forma que propicie la presencia equilibrada entre mujeres y hombres. En todo caso, las normas de organización y funcionamiento de las universidades privadas deberán garantizar que las decisiones de naturaleza estrictamente académica se adopten por órganos en los que el personal docente o investigador tenga una representación mayoritaria. Igualmente, deberán garantizar que el personal docente o investigador sea oído en el nombramiento del Rector”. La conclusión a que deben conducir las consideraciones anteriores es la desestimación de la impugnación del art. 6.5 LOU.</w:t>
      </w:r>
    </w:p>
    <w:p w:rsidR="0026452D" w:rsidRDefault="0026452D" w:rsidP="0026452D">
      <w:pPr>
        <w:pStyle w:val="TextoNormal"/>
      </w:pPr>
    </w:p>
    <w:p w:rsidR="0026452D" w:rsidRDefault="0026452D" w:rsidP="0026452D">
      <w:pPr>
        <w:pStyle w:val="TextoNormal"/>
      </w:pPr>
      <w:r>
        <w:t>b) Se concluye el presente apartado de impugnaciones controvirtiendo el art. 72.2 LOU relativo al profesorado de las universidades privadas. Una vez más se denuncia la diferencia de trato con las públicas lo que afecta al derecho del alumnado a una educación igual. En particular se pone el acento en que el precepto únicamente establece un porcentaje mínimo de profesorado doctor en posesión de evaluación positiva de la actividad docente e investigadora sin referir cualificación alguna con respecto del resto del profesorado.</w:t>
      </w:r>
    </w:p>
    <w:p w:rsidR="0026452D" w:rsidRDefault="0026452D" w:rsidP="0026452D">
      <w:pPr>
        <w:pStyle w:val="TextoNormal"/>
      </w:pPr>
    </w:p>
    <w:p w:rsidR="0026452D" w:rsidRDefault="0026452D" w:rsidP="0026452D">
      <w:pPr>
        <w:pStyle w:val="TextoNormal"/>
      </w:pPr>
      <w:r>
        <w:t>El art. 72.2 LOU en su redacción inicial disponía: “Con independencia de las condiciones generales que se establezcan de conformidad con el apartado 3 del artículo 4, al menos el veinticinco por ciento del total de su profesorado deberá estar en posesión del título de Doctor y haber obtenido la evaluación positiva de su actividad docente e investigadora por parte de la Agencia Nacional de Evaluación de la Calidad y Acreditación o del órgano de evaluación externa que la Ley de la Comunidad Autónoma determine.”</w:t>
      </w:r>
    </w:p>
    <w:p w:rsidR="0026452D" w:rsidRDefault="0026452D" w:rsidP="0026452D">
      <w:pPr>
        <w:pStyle w:val="TextoNormal"/>
      </w:pPr>
    </w:p>
    <w:p w:rsidR="0026452D" w:rsidRDefault="0026452D" w:rsidP="0026452D">
      <w:pPr>
        <w:pStyle w:val="TextoNormal"/>
      </w:pPr>
      <w:r>
        <w:lastRenderedPageBreak/>
        <w:t>El contenido del artículo se ha visto alterado sustancialmente por la Ley Orgánica 4/2007, de 12 de abril, quedando redactado como sigue: “Con independencia de las condiciones generales que se establezcan de conformidad con el artículo 4.3, al menos el 50 por ciento del total del profesorado deberá estar en posesión del título de Doctor y, al menos, el 60 por ciento del total de su profesorado doctor deberá haber obtenido la evaluación positiva de la Agencia Nacional de Evaluación de la Calidad y Acreditación o del órgano de evaluación externa que la ley de la Comunidad Autónoma determine. A estos efectos, el número total de Profesores se computará sobre el equivalente en dedicación a tiempo completo. Los mismos requisitos serán de aplicación a los centros universitarios privados adscritos a universidades privadas”. Añadiéndose un nuevo apartado al precepto en materia de dedicación del profesorado: “El profesorado de las universidades privadas y de los centros privados de enseñanza universitaria adscritos a universidades, no podrá ser funcionario de un cuerpo docente universitario en situación de activo y destino en una universidad pública. La misma limitación se aplicará al personal docente e investigador a tiempo completo”.</w:t>
      </w:r>
    </w:p>
    <w:p w:rsidR="0026452D" w:rsidRDefault="0026452D" w:rsidP="0026452D">
      <w:pPr>
        <w:pStyle w:val="TextoNormal"/>
      </w:pPr>
    </w:p>
    <w:p w:rsidR="0026452D" w:rsidRDefault="0026452D" w:rsidP="0026452D">
      <w:pPr>
        <w:pStyle w:val="TextoNormal"/>
      </w:pPr>
      <w:r>
        <w:t>La amplia modificación del régimen del profesorado de las universidades privadas bastaría para estimar que la impugnación ha perdido objeto sobrevenidamente, pero en la medida en que los recurrentes no concretan los aspectos que a su juicio debería contemplar el legislador para no incurrir en las vulneraciones alegadas habrá de hacerse alguna consideración en sentido desestimatorio. La primera, se echa de menos en la demanda, toda vez que se apela al principio de igualdad, un mayor esfuerzo por identificar adecuadamente el tertium comparationis, teniendo en cuenta que personal docente de las universidades públicas, en una primera y básica aproximación puede distinguirse entre el personal integrante de los cuerpos docentes universitarios y el personal contratado; distinción que apenas queda apuntada en el recurso sin extraer consecuencia alguna de la misma. Desde luego, ni siquiera con la redacción inicial del precepto era posible extraer comparaciones entre los profesorados de ambos tipos de universidades en cuanto, con respecto de las públicas no se establecía en relación con los doctores mínimo alguno, tan solo se indicaba que el total del personal docente en investigador contratado podía exceder del 49 por 100 del total, sin que de ello pudiera colegirse que el restante 51 por 100 debiera ostentar la condición de doctor, pues “primero, porque no es cierto que, de acuerdo con las previsiones de la Ley Orgánica de universidades, todos los profesores funcionarios deban hallarse en la posesión del título de doctor para acceder a tal condición, pues tal exigencia no se predica de los profesores titulares de escuela universitaria, (art. 58.1 LOU). Segundo, porque tampoco puede deducirse, como así lo hace el recurrente, que a todo el personal docente e investigador contratado de las universidades públicas no le sea exigible la condición de doctor, por cuanto, entre dicho tipo de profesores, la Ley Orgánica de Universidades introdujo la categoría de profesor contratado doctor (art. 52 LOU)” (STC 223/2012, FJ 13). La no conformación adecuada y suficiente del término de comparación por parte de los recurrentes, ni la explicitación de los extremos que necesariamente habría de consignarse en la ley para impedir la lesión invocada, junto con la modificación legislativa acontecida en 2007 llevan a desestimar el recurso también en este punto.</w:t>
      </w:r>
    </w:p>
    <w:p w:rsidR="0026452D" w:rsidRDefault="0026452D" w:rsidP="0026452D">
      <w:pPr>
        <w:pStyle w:val="TextoNormal"/>
      </w:pPr>
    </w:p>
    <w:p w:rsidR="0026452D" w:rsidRDefault="0026452D" w:rsidP="0026452D">
      <w:pPr>
        <w:pStyle w:val="TextoNormal"/>
      </w:pPr>
      <w:r w:rsidRPr="0026452D">
        <w:rPr>
          <w:rStyle w:val="NumeroAFNegritaCaracter"/>
        </w:rPr>
        <w:t>10</w:t>
      </w:r>
      <w:r>
        <w:t xml:space="preserve">. Concluye el recurso con la impugnación de la disposición adicional cuarta LOU por cuanto introduce un régimen discriminatorio a favor de las universidades de la Iglesia católica en relación con el resto de las universidades privadas en lo que respecta al reconocimiento de las mismas. Así, si con carácter general el art. 4.1 LOU ha previsto la necesidad de una ley de reconocimiento para las universidades privadas, la disposición adicional </w:t>
      </w:r>
      <w:r>
        <w:lastRenderedPageBreak/>
        <w:t>cuarta, apartado segundo, en su párrafo primero dispone: “Las Universidades establecidas o que se establezcan en España por la Iglesia católica con posterioridad al Acuerdo entre el Estado español y la Santa Sede de 3 de enero de 1979, sobre Enseñanza y Asuntos Culturales, quedarán sometidas a lo previsto por esta Ley para las Universidades privadas, a excepción de la necesidad de Ley de reconocimiento”.</w:t>
      </w:r>
    </w:p>
    <w:p w:rsidR="0026452D" w:rsidRDefault="0026452D" w:rsidP="0026452D">
      <w:pPr>
        <w:pStyle w:val="TextoNormal"/>
      </w:pPr>
    </w:p>
    <w:p w:rsidR="0026452D" w:rsidRDefault="0026452D" w:rsidP="0026452D">
      <w:pPr>
        <w:pStyle w:val="TextoNormal"/>
      </w:pPr>
      <w:r>
        <w:t>Antes de acometer el análisis de la disposición impugnada es necesario advertir que no podremos remitirnos, ahora, a la consideraciones contenidas en la precedente STC 223/2012, de 29 de noviembre, en la que se resolvía el primero de los recursos planteados contra la Ley Orgánica 6/2001, aun habiéndose impugnando entonces la disposición adicional cuarta LOU. Allí, la controversia sobre la exención de ley de reconocimiento para las universidades creadas por la Iglesia católica se sustentaba estrictamente en términos competenciales, sin que la escueta mención a un trato desigual de este tipo de universidades con el resto de las privadas, desprovista de toda argumentación, posibilitara el enjuiciamiento de la disposición desde la perspectiva de la igualdad, del art. 14 CE, que es la que habrá de ocuparnos a continuación, pues en el presente recurso sí se encuentra exhaustivamente fundamentada.</w:t>
      </w:r>
    </w:p>
    <w:p w:rsidR="0026452D" w:rsidRDefault="0026452D" w:rsidP="0026452D">
      <w:pPr>
        <w:pStyle w:val="TextoNormal"/>
      </w:pPr>
    </w:p>
    <w:p w:rsidR="0026452D" w:rsidRDefault="0026452D" w:rsidP="0026452D">
      <w:pPr>
        <w:pStyle w:val="TextoNormal"/>
      </w:pPr>
      <w:r>
        <w:t>En el apartado primero, la disposición contempla que la aplicación de la ley a las universidades de la Iglesia católica se ajustará a lo recogido en los acuerdos entre el Estado español y la Santa Sede. Precisamente, en la interpretación del Acuerdo entre el Estado español y la Santa Sede sobre enseñanza y asuntos culturales, firmado en la Ciudad del Vaticano el 3 de enero 1979, se centra la discrepancia, ya que los recurrentes niegan que la norma convencional proporcione sustento para el tratamiento diferenciado, mientras que la Abogada del Estado llega a la conclusión contraria, sosteniendo igualmente que el art. 16.3 CE proporciona base para la diferencia en virtud de las tradicionales relaciones de cooperación entre nuestro país y la Iglesia católica, que justifican que la aptitud y capacidad acreditadas en la materia haya llevado a la ley a eximirlas de una ley de autorización, lo cual no implica que para su funcionamiento no deban someterse al resto del ordenamiento.</w:t>
      </w:r>
    </w:p>
    <w:p w:rsidR="0026452D" w:rsidRDefault="0026452D" w:rsidP="0026452D">
      <w:pPr>
        <w:pStyle w:val="TextoNormal"/>
      </w:pPr>
    </w:p>
    <w:p w:rsidR="0026452D" w:rsidRDefault="0026452D" w:rsidP="0026452D">
      <w:pPr>
        <w:pStyle w:val="TextoNormal"/>
      </w:pPr>
      <w:r>
        <w:t>La lectura del citado Acuerdo de 1979 revela que en el mismo no se contiene exención expresa del requisito de la ley de reconocimiento para las universidades creadas con posterioridad al mismo. Realmente el artículo X se remite a lo que disponga la legislación aplicable en cuanto al modo de ejercer las actividades y en cuanto al reconocimiento de los estudios realizados en dichas universidades:</w:t>
      </w:r>
    </w:p>
    <w:p w:rsidR="0026452D" w:rsidRDefault="0026452D" w:rsidP="0026452D">
      <w:pPr>
        <w:pStyle w:val="TextoNormal"/>
      </w:pPr>
    </w:p>
    <w:p w:rsidR="0026452D" w:rsidRDefault="0026452D" w:rsidP="0026452D">
      <w:pPr>
        <w:pStyle w:val="TextoNormal"/>
      </w:pPr>
      <w:r>
        <w:t>“1. Las universidades, colegios universitarios, escuelas universitarias y otros centros universitarios que se establezcan por la Iglesia católica se acomodarán a la legislación que se promulgue con carácter general, en cuanto al modo de ejercer sus actividades.</w:t>
      </w:r>
    </w:p>
    <w:p w:rsidR="0026452D" w:rsidRDefault="0026452D" w:rsidP="0026452D">
      <w:pPr>
        <w:pStyle w:val="TextoNormal"/>
      </w:pPr>
    </w:p>
    <w:p w:rsidR="0026452D" w:rsidRDefault="0026452D" w:rsidP="0026452D">
      <w:pPr>
        <w:pStyle w:val="TextoNormal"/>
      </w:pPr>
      <w:r>
        <w:t>2. Para el reconocimiento a efectos civiles de los estudios realizados en dichos centros se estará a lo que disponga la legislación vigente en la materia en cada momento.”</w:t>
      </w:r>
    </w:p>
    <w:p w:rsidR="0026452D" w:rsidRDefault="0026452D" w:rsidP="0026452D">
      <w:pPr>
        <w:pStyle w:val="TextoNormal"/>
      </w:pPr>
    </w:p>
    <w:p w:rsidR="0026452D" w:rsidRDefault="0026452D" w:rsidP="0026452D">
      <w:pPr>
        <w:pStyle w:val="TextoNormal"/>
      </w:pPr>
      <w:r>
        <w:t>Esa remisión podría dar a entender que habrá que estar a lo que discrecionalmente disponga el legislador nacional que, en este caso, ha optado por la exención de la ley de reconocimiento a favor de las universidades de la Iglesia católica. Sin embargo, en lo que ahora importa, no es esa la conclusión a la que ha de llegarse, ya que no es claro que pueda atri</w:t>
      </w:r>
      <w:r>
        <w:lastRenderedPageBreak/>
        <w:t>buirse al término “establecer” el significado de que implícitamente supone el reconocimiento de las universidades creadas por la Iglesia católica; creación que, por su parte, emana de la libertad contenida en el art. 27.6 CE. Y no lo es por cuanto dicho Acuerdo utiliza el término reconocimiento en otros casos, como cuando, con respecto de las universidades de la Iglesia establecidas en nuestro país en la fecha de la adopción del Acuerdo, indica que “[e]l Estado reconoce la existencia legal de las universidades de la Iglesia establecidas en España en el momento de entrada en vigor de este Acuerdo, cuyo Régimen Jurídico habrá de acomodarse a la legislación vigente, salvo lo previsto en el artículo XVII, 2”. Más bien, habrá de concluirse, entonces, en la absoluta neutralidad del Acuerdo en lo referente a la exigencia del reconocimiento de las universidades de la Iglesia católica, que es cuestión que conforma exclusivamente el legislador interno en los términos ya señalados.</w:t>
      </w:r>
    </w:p>
    <w:p w:rsidR="0026452D" w:rsidRDefault="0026452D" w:rsidP="0026452D">
      <w:pPr>
        <w:pStyle w:val="TextoNormal"/>
      </w:pPr>
    </w:p>
    <w:p w:rsidR="0026452D" w:rsidRDefault="0026452D" w:rsidP="0026452D">
      <w:pPr>
        <w:pStyle w:val="TextoNormal"/>
      </w:pPr>
      <w:r>
        <w:t>En segundo lugar porque “el modo de ejercer las actividades”, que junto con el reconocimiento de efectos civiles a los estudios realizados en este tipo de centros al que pretende constreñirse la remisión al legislador interno, implica desde luego el cumplimiento de los requisitos establecidos sobre el particular. Y es que aunque, como quedó expuesto en la STC 223/2012, de 29 de noviembre, a diferencia de lo que sucede con la ley de creación de universidades públicas, con un marcado componente fundacional, la ley de reconocimiento de las universidades privadas carece de carácter constitutivo y “tiene la naturaleza de una autorización, y esta naturaleza no se ve alterada por la intervención del legislador” (FJ 10), la exención de ley de reconocimiento para las universidades creadas por la Iglesia católica desvirtúa en buena medida el procedimiento administrativo de autorización de comienzo de las actividades del ente universitario. Procedimiento administrativo que no sólo se sustancia a través de la verificación del cumplimiento de los requisitos establecidos en la propia Ley Orgánica y normas de desarrollo en la materia (singularmente el Real Decreto 557/1991, de 12 de abril, sobre creación y reconocimiento de universidades y centros universitarios), sino de aquellos contenidos en la propia ley de reconocimiento (art. 4, apartados 4 y 5, LOU).</w:t>
      </w:r>
    </w:p>
    <w:p w:rsidR="0026452D" w:rsidRDefault="0026452D" w:rsidP="0026452D">
      <w:pPr>
        <w:pStyle w:val="TextoNormal"/>
      </w:pPr>
    </w:p>
    <w:p w:rsidR="0026452D" w:rsidRDefault="0026452D" w:rsidP="0026452D">
      <w:pPr>
        <w:pStyle w:val="TextoNormal"/>
      </w:pPr>
      <w:r>
        <w:t>Resulta de todo ello que esa decisión del legislador entraña una real y efectiva diferencia de trato entre las universidades privadas en razón de que hayan sido creadas o no por la Iglesia católica. Ciertamente, el trato desigual por sí mismo considerado no es necesariamente contrario a la Constitución, pues “no toda desigualdad de trato legislativo en la regulación de una materia entraña una vulneración del derecho fundamental a la igualdad ante la Ley del art. 14 CE, sino únicamente aquellas que introduzcan una diferencia de trato entre situaciones que puedan considerarse sustancialmente iguales y sin que posean una justificación objetiva y razonable. Por lo que dicho precepto constitucional, en cuanto límite al propio legislador, veda la utilización de elementos de diferenciación que quepa calificar de arbitrarios o carentes de una justificación objetiva y razonable. A lo que cabe agregar que también es necesario, para que la diferencia de trato sea constitucionalmente lícita, que las consecuencias jurídicas que se deriven de tal diferenciación sean proporcionadas a la finalidad perseguida por el legislador, de suerte que se eviten resultados excesivamente gravosos o desmedidos. Exigiendo el principio de igualdad, por tanto, no sólo ‘que la diferencia de trato resulte objetivamente justificada, sino también que supere un juicio de proporcionalidad en sede constitucional sobre la relación existente entre la medida adoptada, el resultado producido y la finalidad pretendida por el legislador’ (STC 110/1993, fundamento jurídico 4).” [STC 340/1993, de 16 de noviembre, FJ 4 c)].</w:t>
      </w:r>
    </w:p>
    <w:p w:rsidR="0026452D" w:rsidRDefault="0026452D" w:rsidP="0026452D">
      <w:pPr>
        <w:pStyle w:val="TextoNormal"/>
      </w:pPr>
    </w:p>
    <w:p w:rsidR="0026452D" w:rsidRDefault="0026452D" w:rsidP="0026452D">
      <w:pPr>
        <w:pStyle w:val="TextoNormal"/>
      </w:pPr>
      <w:r>
        <w:lastRenderedPageBreak/>
        <w:t>Llegados a este punto resulta que ni del tenor de la norma cuestionada, tomada aisladamente o leída de forma sistemática con el resto de preceptos de la Ley Orgánica de universidades, ni de la exposición de motivos —primero— de la Ley Orgánica 6/2001, de 21 de diciembre, que introduce la exención, ni del preámbulo —después— de la Ley Orgánica 4/2007, de 12 de abril, que deja inalterada la citada disposición adicional, es posible encontrar finalidad objetiva y razonable que justifique el establecimiento del tratamiento diferenciado al que se ha hecho referencia entre las distintas universidades privadas.</w:t>
      </w:r>
    </w:p>
    <w:p w:rsidR="0026452D" w:rsidRDefault="0026452D" w:rsidP="0026452D">
      <w:pPr>
        <w:pStyle w:val="TextoNormal"/>
      </w:pPr>
    </w:p>
    <w:p w:rsidR="0026452D" w:rsidRDefault="0026452D" w:rsidP="0026452D">
      <w:pPr>
        <w:pStyle w:val="TextoNormal"/>
      </w:pPr>
      <w:r>
        <w:t>Conviene tener presente que la exigencia de una ley de reconocimiento no es, ni mucho menos, una cuestión baladí, ya que, como ha establecido el propio legislador orgánico, el reconocimiento sirve para garantizar la calidad de la docencia e investigación y, en general, del conjunto del sistema universitario, así como para asegurar que las universidades disponen de los medios y recursos adecuados para el cumplimiento de las funciones que, en relación con la educación superior, les ha asignado ese mismo legislador orgánico y que se detallan en el art. 1.2 LOU. Igualmente conforme a dicha ley de reconocimiento ha de ser autorizado el comienzo de las actividades de la universidad por el órgano competente de la Comunidad Autónoma, tal como disponen el art. 4.5 en relación con el 4.4 LOU, y, finalmente, la ley de reconocimiento integra, junto a la LOU y las normas que dicten el Estado y las Comunidades Autónomas, en el ejercicio de sus respectivas competencias, el bloque normativo que, añadido a sus propias normas de organización y funcionamiento, ha de regir este tipo de universidades.</w:t>
      </w:r>
    </w:p>
    <w:p w:rsidR="0026452D" w:rsidRDefault="0026452D" w:rsidP="0026452D">
      <w:pPr>
        <w:pStyle w:val="TextoNormal"/>
      </w:pPr>
    </w:p>
    <w:p w:rsidR="0026452D" w:rsidRDefault="0026452D" w:rsidP="0026452D">
      <w:pPr>
        <w:pStyle w:val="TextoNormal"/>
      </w:pPr>
      <w:r>
        <w:t>Así pues, el resultado de la exención establecida por la disposición adicional impugnada, en lo atinente a la ley de reconocimiento, es la introducción de un trato diferenciado entre universidades privadas pues todas ellas, salvo las establecidas por la Iglesia católica, están sometidas a esa exigencia de ley de reconocimiento, con las implicaciones que acabamos de detallar. Diferencia que carece de la justificación objetiva y razonable que toda diferenciación normativa, por imperativo del art. 14 CE, debe poseer para ser considerada legítima, lo que conduce a la declaración de inconstitucionalidad de la disposición adicional cuarta impugnada en cuanto exime a las universidades de la Iglesia católica de ley de reconocimiento. Declaración de inconstitucionalidad que queda contraída al inciso final del párrafo primero, del apartado segundo, de la disposición adicional cuarta: “a excepción de la necesidad de Ley de reconocimiento”.</w:t>
      </w:r>
    </w:p>
    <w:p w:rsidR="0026452D" w:rsidRDefault="0026452D" w:rsidP="0026452D">
      <w:pPr>
        <w:pStyle w:val="TextoNormal"/>
      </w:pPr>
    </w:p>
    <w:p w:rsidR="0026452D" w:rsidRDefault="0026452D" w:rsidP="0026452D">
      <w:pPr>
        <w:pStyle w:val="TextoNormal"/>
      </w:pPr>
      <w:r>
        <w:t xml:space="preserve">Finalmente hemos de precisar el alcance en el tiempo de nuestra declaración de inconstitucionalidad, siguiendo en este punto la doctrina recogida, entre otras, en las SSTC 54/2002, de 27 de febrero, FJ 9; y 365/2006, de 21 de diciembre, FJ 8. En ellas declaramos que “en supuestos como el que ahora nos ocupa y atendiendo a la pluralidad de valores constitucionales que concurren ‘debemos traer a colación … el principio de seguridad jurídica (art. 9.3 CE), al que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Ahora bien,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sólo sea eficaz pro futuro, esto es, en relación con nuevos supuestos o con los procedimientos administrativos y procesos judiciales donde aún </w:t>
      </w:r>
      <w:r>
        <w:lastRenderedPageBreak/>
        <w:t>no haya recaído una resolución firme … El principio de seguridad jurídica (art. 9.3 CE) reclama la intangibilidad de las situaciones jurídicas consolidadas; no sólo las decididas con fuerza de cosa juzgada, sino también las situaciones administrativas firmes”.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Declarar que ha perdido objeto la impugnación de los arts. 9.2, 15.2 y 27.1 de la Ley Orgánica 6/2001, de 21 de diciembre, de universidades.</w:t>
      </w:r>
    </w:p>
    <w:p w:rsidR="0026452D" w:rsidRDefault="0026452D" w:rsidP="0026452D">
      <w:pPr>
        <w:pStyle w:val="TextoNormal"/>
      </w:pPr>
    </w:p>
    <w:p w:rsidR="0026452D" w:rsidRDefault="0026452D" w:rsidP="0026452D">
      <w:pPr>
        <w:pStyle w:val="TextoNormal"/>
      </w:pPr>
      <w:r>
        <w:t>2º Estimar parcialmente el recurso de inconstitucionalidad y declarar la inconstitucionalidad y nulidad, en los términos del fundamento jurídico 10, del inciso “a excepción de la necesidad de ley de reconocimiento” de la disposición adicional cuarta, apartado segundo, párrafo primero in fine.</w:t>
      </w:r>
    </w:p>
    <w:p w:rsidR="0026452D" w:rsidRDefault="0026452D" w:rsidP="0026452D">
      <w:pPr>
        <w:pStyle w:val="TextoNormal"/>
      </w:pPr>
    </w:p>
    <w:p w:rsidR="0026452D" w:rsidRDefault="0026452D" w:rsidP="0026452D">
      <w:pPr>
        <w:pStyle w:val="TextoNormal"/>
      </w:pPr>
      <w:r>
        <w:t>3º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cinco de junio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Ramón Rodríguez Arribas respecto a la Sentencia del Pleno de fecha 6 de junio de 2013 dictada en el recurso de inconstitucionalidad 1725-2002.</w:t>
      </w:r>
    </w:p>
    <w:p w:rsidR="0026452D" w:rsidRDefault="0026452D" w:rsidP="0026452D">
      <w:pPr>
        <w:pStyle w:val="TextoNormalNegritaCentrado"/>
        <w:keepNext/>
      </w:pPr>
    </w:p>
    <w:p w:rsidR="0026452D" w:rsidRDefault="0026452D" w:rsidP="0026452D">
      <w:pPr>
        <w:pStyle w:val="TextoNormal"/>
      </w:pPr>
      <w:r>
        <w:t>En el ejercicio de la facultad que nos confiere el art. 90.2 de la Ley Orgánica del Tribunal Constitucional y con el pleno respeto a la opinión de la mayoría, expreso mi discrepancia con la Sentencia que fundo en lo siguiente:</w:t>
      </w:r>
    </w:p>
    <w:p w:rsidR="0026452D" w:rsidRDefault="0026452D" w:rsidP="0026452D">
      <w:pPr>
        <w:pStyle w:val="TextoNormal"/>
      </w:pPr>
    </w:p>
    <w:p w:rsidR="0026452D" w:rsidRDefault="0026452D" w:rsidP="0026452D">
      <w:pPr>
        <w:pStyle w:val="TextoNormal"/>
      </w:pPr>
      <w:r>
        <w:t>1. El art. X del Convenio entre la Santa Sede y el Estado español, al decir que “Las universidades, colegios universitarios, escuelas universitarias y otros centros universitarios que se establezcan por la Iglesia Católica se acomodarán a la legislación que se promulgue con carácter general, en cuanto al modo de ejercer sus actividades”, lo que reconoce a la Iglesia católica, en el marco de un tratado internacional, es exclusivamente la facultad de establecer universidades, partiendo, evidentemente, de una presunción de solvencia económica y capacidad académica, que está incluso al margen de su condición de confesión religiosa.</w:t>
      </w:r>
    </w:p>
    <w:p w:rsidR="0026452D" w:rsidRDefault="0026452D" w:rsidP="0026452D">
      <w:pPr>
        <w:pStyle w:val="TextoNormal"/>
      </w:pPr>
    </w:p>
    <w:p w:rsidR="0026452D" w:rsidRDefault="0026452D" w:rsidP="0026452D">
      <w:pPr>
        <w:pStyle w:val="TextoNormal"/>
      </w:pPr>
      <w:r>
        <w:t xml:space="preserve">En aplicación de dicho Acuerdo, y dentro de su libertad de configuración, el legislador democrático (al que en otras ocasiones tanto se atiende por este Tribunal buscando incluso hasta interpretaciones conformes, que aquí no se han querido aceptar), en la disposición adicional cuarta, apartado 2 de la Ley 6/2001, de 21 de diciembre, de universidades, al decir que “Las Universidades establecidas o que se establezcan en España por la Iglesia Católica con posterioridad al Acuerdo entre el Estado español y la Santa Sede de 3 de enero de 1979, </w:t>
      </w:r>
      <w:r>
        <w:lastRenderedPageBreak/>
        <w:t>sobre Enseñanza y Asuntos Culturales, quedarán sometidas a lo previsto por esta Ley para las Universidades Privadas, a excepción de la necesidad de Ley de reconocimiento”, se ha limitado a excluir de la exigencia de ley formal la autorización de establecimiento de universidades a la Iglesia católica, en aplicación de aquella presunción, reconocida en un tratado, aunque fuera implícitamente, pues el hecho de que no se diga expresamente en un momento en el que ni siquiera eran necesarias las leyes de reconocimiento no puede conducir razonablemente, contra lo que se dice en el fundamento jurídico 10 de la Sentencia de la que discrepo, a afirmar que el acuerdo de 1979 no contiene “exención expresa del requisito de la ley de reconocimiento para las Universidades creadas con posterioridad al mismo”, cuando lo que sí es expreso es que “se acomodarán a la legislación que se promulgue con carácter general, en cuanto al modo de ejercer sus actividades”, subrayo que el sometimiento a la legislación general sobre universidades lo es en cuanto al modo de ejercer sus actividades que, lógicamente, no se han iniciado, ni se pueden físicamente iniciar, antes del establecimiento de la universidad.</w:t>
      </w:r>
    </w:p>
    <w:p w:rsidR="0026452D" w:rsidRDefault="0026452D" w:rsidP="0026452D">
      <w:pPr>
        <w:pStyle w:val="TextoNormal"/>
      </w:pPr>
    </w:p>
    <w:p w:rsidR="0026452D" w:rsidRDefault="0026452D" w:rsidP="0026452D">
      <w:pPr>
        <w:pStyle w:val="TextoNormal"/>
      </w:pPr>
      <w:r>
        <w:t>2. Esta distinción respecto de la Iglesia católica en cuanto a las demás universidades privadas y que tiene puro carácter formal, no está carente de fundamento objetivo, contra lo que también se afirma en la Sentencia de la mayoría, pues aparte de que absolutamente nadie, fuera del presente recurso, ha protestado por ello, tiene su origen en la doble condición del singular estatus internacional de la Iglesia, del que carece cualquier otra confesión religiosa, u otros eventuales promotores de universidades privadas, y de la circunstancia, históricamente contrastada, de que precisamente fue aquélla la creadora de las primeras universidades y de las que mantienen el máximo prestigio en la actualidad.</w:t>
      </w:r>
    </w:p>
    <w:p w:rsidR="0026452D" w:rsidRDefault="0026452D" w:rsidP="0026452D">
      <w:pPr>
        <w:pStyle w:val="TextoNormal"/>
      </w:pPr>
    </w:p>
    <w:p w:rsidR="0026452D" w:rsidRDefault="0026452D" w:rsidP="0026452D">
      <w:pPr>
        <w:pStyle w:val="TextoNormal"/>
      </w:pPr>
      <w:r>
        <w:t>No es posible adivinar en qué puede afectar al principio de igualdad una mínima diferencia formal entre quienes son evidentemente desiguales.</w:t>
      </w:r>
    </w:p>
    <w:p w:rsidR="0026452D" w:rsidRDefault="0026452D" w:rsidP="0026452D">
      <w:pPr>
        <w:pStyle w:val="TextoNormal"/>
      </w:pPr>
    </w:p>
    <w:p w:rsidR="0026452D" w:rsidRDefault="0026452D" w:rsidP="0026452D">
      <w:pPr>
        <w:pStyle w:val="TextoNormal"/>
      </w:pPr>
      <w:r>
        <w:t>3. Por último, el art. 16.3 CE cuando, después de establecer que ninguna confesión tendrá carácter estatal, proclama que “los poderes públicos tendrán en cuenta las creencias religiosas de la sociedad española y mantendrán las consiguientes relaciones de cooperación con la Iglesia Católica y las demás confesiones” no cita expresamente a la Iglesia católica como un ejemplo de confesión, como parece latir en algún pasaje de la Sentencia de la que me aparto, si no que ha de ponerse en relación con el mandato a los poderes públicos de tener en cuenta las creencias religiosas de los españoles, mayoritariamente asentadas en dicha institución religiosa, lo que también sirve de objetiva justificación para esa mínima consideración formal que ahora se anula, con innecesario agravio.</w:t>
      </w:r>
    </w:p>
    <w:p w:rsidR="0026452D" w:rsidRDefault="0026452D" w:rsidP="0026452D">
      <w:pPr>
        <w:pStyle w:val="TextoNormal"/>
      </w:pPr>
    </w:p>
    <w:p w:rsidR="0026452D" w:rsidRDefault="0026452D" w:rsidP="0026452D">
      <w:pPr>
        <w:pStyle w:val="TextoNormal"/>
      </w:pPr>
      <w:r>
        <w:t>Y en este sentido emito mi Voto particular porque, a mi parecer y reiterando el respeto que me merece la opinión contraria, debió desestimarse íntegramente el recurso.</w:t>
      </w:r>
    </w:p>
    <w:p w:rsidR="0026452D" w:rsidRDefault="0026452D" w:rsidP="0026452D">
      <w:pPr>
        <w:pStyle w:val="TextoNormal"/>
      </w:pPr>
    </w:p>
    <w:p w:rsidR="0026452D" w:rsidRDefault="0026452D" w:rsidP="0026452D">
      <w:pPr>
        <w:pStyle w:val="TextoNormal"/>
      </w:pPr>
      <w:r>
        <w:t>Madrid, a seis de junio de dos mil trece.</w:t>
      </w:r>
    </w:p>
    <w:p w:rsidR="0026452D" w:rsidRDefault="0026452D" w:rsidP="0026452D">
      <w:pPr>
        <w:pStyle w:val="TextoNormal"/>
      </w:pPr>
    </w:p>
    <w:p w:rsidR="0026452D" w:rsidRDefault="0026452D" w:rsidP="0026452D">
      <w:pPr>
        <w:pStyle w:val="TextoNormalNegritaCentrado"/>
        <w:keepNext/>
      </w:pPr>
      <w:r>
        <w:lastRenderedPageBreak/>
        <w:t>Voto particular que formula el Magistrado don Manuel Aragón Reyes, al que se adhiere el Magistrado don Francisco Pérez de los Cobos Orihuel, respecto de la Sentencia dictada en el recurso de inconstitucionalidad núm. 1725-2002.</w:t>
      </w:r>
    </w:p>
    <w:p w:rsidR="0026452D" w:rsidRDefault="0026452D" w:rsidP="0026452D">
      <w:pPr>
        <w:pStyle w:val="TextoNormalNegritaCentrado"/>
        <w:keepNext/>
      </w:pPr>
    </w:p>
    <w:p w:rsidR="0026452D" w:rsidRDefault="0026452D" w:rsidP="0026452D">
      <w:pPr>
        <w:pStyle w:val="TextoNormal"/>
      </w:pPr>
      <w:r>
        <w:t>En ejercicio de la facultad que me confiere el art. 90.2 de la Ley Orgánica del Tribunal Constitucional (LOTC), y con pleno respeto a la opinión de la mayoría del Pleno, formulo el presente Voto particular, al discrepar de parte de la fundamentación jurídica, y en consecuencia también, parcialmente, del fallo, de la Sentencia que ha resuelto el recurso de inconstitucionalidad interpuesto por más de cincuenta Diputados [art. 162.1 a) CE y art. 32.1 c) LOTC] contra diversos preceptos de la Ley Orgánica 6/2001, de 21 de diciembre, de universidades (en adelante, LOU).</w:t>
      </w:r>
    </w:p>
    <w:p w:rsidR="0026452D" w:rsidRDefault="0026452D" w:rsidP="0026452D">
      <w:pPr>
        <w:pStyle w:val="TextoNormal"/>
      </w:pPr>
    </w:p>
    <w:p w:rsidR="0026452D" w:rsidRDefault="0026452D" w:rsidP="0026452D">
      <w:pPr>
        <w:pStyle w:val="TextoNormal"/>
      </w:pPr>
      <w:r>
        <w:t>1. Mi discrepancia se circunscribe al enjuiciamiento que se realiza en el fundamento jurídico 10 de la Sentencia del segundo apartado de la disposición adicional cuarta LOU, en relación con el régimen específico de reconocimiento de Universidades de la Iglesia Católica, enjuiciamiento que conduce a la declaración de inconstitucionalidad y nulidad del inciso “a excepción de la necesidad de ley de reconocimiento” que se contiene en el párrafo primero in fine del referido apartado segundo.</w:t>
      </w:r>
    </w:p>
    <w:p w:rsidR="0026452D" w:rsidRDefault="0026452D" w:rsidP="0026452D">
      <w:pPr>
        <w:pStyle w:val="TextoNormal"/>
      </w:pPr>
    </w:p>
    <w:p w:rsidR="0026452D" w:rsidRDefault="0026452D" w:rsidP="0026452D">
      <w:pPr>
        <w:pStyle w:val="TextoNormal"/>
      </w:pPr>
      <w:r>
        <w:t>A mi entender, en virtud de los argumentos que defendí en la deliberación del Pleno y que resumidamente expongo a continuación, el recurso de inconstitucionalidad debió ser desestimado también en este punto, y ello por las razones que siguen.</w:t>
      </w:r>
    </w:p>
    <w:p w:rsidR="0026452D" w:rsidRDefault="0026452D" w:rsidP="0026452D">
      <w:pPr>
        <w:pStyle w:val="TextoNormal"/>
      </w:pPr>
    </w:p>
    <w:p w:rsidR="0026452D" w:rsidRDefault="0026452D" w:rsidP="0026452D">
      <w:pPr>
        <w:pStyle w:val="TextoNormal"/>
      </w:pPr>
      <w:r>
        <w:t>La Sentencia de la que discrepo sostiene en su fundamento jurídico 10 que la exención a las Universidades de la Iglesia Católica del requisito de la ley de reconocimiento, previsto con carácter general en el art. 4.1 LOU para las Universidades privadas, supone una diferencia de trato entre Universidades privadas, a favor de las Universidades de la Iglesia Católica, que “carece de la justificación objetiva y razonable que toda diferenciación normativa, por imperativo del art. 14 CE debe poseer para ser declarada legítima, lo que conduce a la declaración de inconstitucionalidad de la disposición adicional cuarta en cuanto exime a las Universidades de la Iglesia Católica de ley de reconocimiento”. Sin embargo, tal razonamiento y conclusión me parecen desacertados.</w:t>
      </w:r>
    </w:p>
    <w:p w:rsidR="0026452D" w:rsidRDefault="0026452D" w:rsidP="0026452D">
      <w:pPr>
        <w:pStyle w:val="TextoNormal"/>
      </w:pPr>
    </w:p>
    <w:p w:rsidR="0026452D" w:rsidRDefault="0026452D" w:rsidP="0026452D">
      <w:pPr>
        <w:pStyle w:val="TextoNormal"/>
      </w:pPr>
      <w:r>
        <w:t>Ciertamente, no cabe duda de que el segundo apartado de la disposición adicional cuarta LOU introduce una diferencia de trato entre Universidades privadas, al eximir a las Universidades de la Iglesia Católica del requisito de la ley de reconocimiento (estatal o autonómica), previsto con carácter general en el art. 4.1 LOU para el reconocimiento de las Universidades privadas, pero ni esa diferencia de trato carece de justificación objetiva y razonable, ni las consecuencias derivadas de esa diferenciación resultan desproporcionadas al fin perseguido por el legislador.</w:t>
      </w:r>
    </w:p>
    <w:p w:rsidR="0026452D" w:rsidRDefault="0026452D" w:rsidP="0026452D">
      <w:pPr>
        <w:pStyle w:val="TextoNormal"/>
      </w:pPr>
    </w:p>
    <w:p w:rsidR="0026452D" w:rsidRDefault="0026452D" w:rsidP="0026452D">
      <w:pPr>
        <w:pStyle w:val="TextoNormal"/>
      </w:pPr>
      <w:r>
        <w:t xml:space="preserve">2. Así, en primer lugar es necesario determinar el alcance real de esa diferencia normativa de trato entre Universidades privadas, que se contrae estrictamente al contenido necesario de la ley de reconocimiento de las Universidades privadas, destinado a constatar que las personas e instituciones privadas que pretenden crear centros para impartir enseñanzas universitarias cuentan para ello con la necesaria solvencia económica y profesional (esto es, con los “medios y recursos adecuados para el cumplimiento por las Universidades de sus </w:t>
      </w:r>
      <w:r>
        <w:lastRenderedPageBreak/>
        <w:t>funciones”, arts. 4.3 y 5.1 LOU), sin extenderse a otros contenidos eventuales que esa ley, estatal o autonómica, según corresponda, pueda establecer (art. 6 LOU). En efecto, de acuerdo con lo previsto en el segundo apartado de la disposición adicional cuarta LOU, en cumplimiento de lo establecido en los arts. X y XVII, 2 del Acuerdo entre la Santa Sede y el Estado español sobre enseñanza y asuntos culturales, de 3 de enero de 1979, a las Universidades establecidas en España por la Iglesia Católica se les exime del requisito del reconocimiento (art. 4.1 LOU), pero en todo lo restante “quedarán sometidas a lo previsto en esta Ley para las Universidades privadas”.</w:t>
      </w:r>
    </w:p>
    <w:p w:rsidR="0026452D" w:rsidRDefault="0026452D" w:rsidP="0026452D">
      <w:pPr>
        <w:pStyle w:val="TextoNormal"/>
      </w:pPr>
    </w:p>
    <w:p w:rsidR="0026452D" w:rsidRDefault="0026452D" w:rsidP="0026452D">
      <w:pPr>
        <w:pStyle w:val="TextoNormal"/>
      </w:pPr>
      <w:r>
        <w:t>Ello supone que las Universidades de la Iglesia Católica en España, establecidas de acuerdo con el principio de libertad de creación de centros docentes que garantiza el art. 27.6 CE, se regirán por lo dispuesto en la propia LOU y por las normas que dicten el Estado y las Comunidades Autónomas en el ejercicio de sus respectivas competencias y por sus propias normas de organización y funcionamiento (art. 6.1 y 5 LOU), normas estas que han de incluir las previsiones derivadas de lo dispuesto en el art. 2.2 LOU, en relación con el contenido de la autonomía universitaria garantizado por el art. 27.10 CE. Es decir, excluido el requisito de la ley de reconocimiento en su contenido necesario, las Universidades de la Iglesia Católica quedan sujetas en todo lo restante, como cualquier otra Universidad privada, a las exigencias establecidas por la ley.</w:t>
      </w:r>
    </w:p>
    <w:p w:rsidR="0026452D" w:rsidRDefault="0026452D" w:rsidP="0026452D">
      <w:pPr>
        <w:pStyle w:val="TextoNormal"/>
      </w:pPr>
    </w:p>
    <w:p w:rsidR="0026452D" w:rsidRDefault="0026452D" w:rsidP="0026452D">
      <w:pPr>
        <w:pStyle w:val="TextoNormal"/>
      </w:pPr>
      <w:r>
        <w:t>Por tanto, que las Universidades de la Iglesia Católica en España queden exentas del requisito formal de la ley de reconocimiento, por decisión del legislador estatal en aplicación del Acuerdo de 1979 entre la Santa Sede y el Estado español sobre enseñanza y asuntos culturales, no significa, en primer lugar, que no estén sujetas a la exigencia de contar con los medios y recursos adecuados para el cumplimiento de las funciones al servicio de la sociedad que a todas las Universidades, públicas y privadas, impone el art. 1.2 LOU, y para garantizar la calidad y docencia de la educación (art. 4.3, párrafo primero, LOU), de tal suerte que el comienzo de las actividades de las Universidades será autorizado por el órgano competente de la Comunidad Autónoma una vez comprobado el cumplimiento de los referidos requisitos (art. 4.4 LOU). En este sentido conviene recordar que, como ya dijimos en la STC 223/2012, de 29 de noviembre, FJ 10, “La ley de reconocimiento no tiene, pues, naturaleza constitutiva, en cuyo caso no podría prescindirse de ella, sino que propiamente tiene la naturaleza de una autorización, y esta naturaleza no se ve alterada por la intervención del legislador. En efecto, es el Gobierno estatal quien establece los requisitos básicos necesarios para la creación y reconocimiento de las Universidades públicas y privadas (art. 3.2 LOU) que, en la actualidad, están regulados en el Real Decreto 557/1991, de 12 de abril, sobre creación y reconocimiento de universidades y centros universitarios, siendo, en todo caso, necesaria para Universidades públicas y privadas la preceptiva autorización que, para el comienzo de sus actividades, otorgan las Comunidades Autónomas una vez comprobado el cumplimiento de los requisitos normativamente establecidos (art. 4.4 LOU)”.</w:t>
      </w:r>
    </w:p>
    <w:p w:rsidR="0026452D" w:rsidRDefault="0026452D" w:rsidP="0026452D">
      <w:pPr>
        <w:pStyle w:val="TextoNormal"/>
      </w:pPr>
    </w:p>
    <w:p w:rsidR="0026452D" w:rsidRDefault="0026452D" w:rsidP="0026452D">
      <w:pPr>
        <w:pStyle w:val="TextoNormal"/>
      </w:pPr>
      <w:r>
        <w:t xml:space="preserve">No puedo, en consecuencia, compartir la afirmación que se contiene en el fundamento jurídico 10 de la Sentencia de la que discrepo en cuanto a que la “la exención de ley de reconocimiento para las Universidades creadas por la Iglesia Católica desvirtúa en buena medida el procedimiento administrativo de autorización de comienzo de las actividades del ente universitario”. No hay tal desvirtuación, en modo alguno. Las Universidades de la Iglesia Católica, exentas del legislador del requisito formal de la ley singular de reconocimiento, carente de naturaleza constitutiva (STC 223/2012, FJ 10), quedan en todo caso sometidas, </w:t>
      </w:r>
      <w:r>
        <w:lastRenderedPageBreak/>
        <w:t>como el resto de Universidades privadas, a la exigencia de autorización de comienzo de las actividades por la Comunidad Autónoma una vez comprobado el cumplimiento de los requisitos referidos a contar con los medios y recursos adecuados para el cumplimiento de las funciones que a todas las universidades impone el art. 1.2 LOU y para garantizar la calidad y docencia de la educación (art. 4.4 LOU).</w:t>
      </w:r>
    </w:p>
    <w:p w:rsidR="0026452D" w:rsidRDefault="0026452D" w:rsidP="0026452D">
      <w:pPr>
        <w:pStyle w:val="TextoNormal"/>
      </w:pPr>
    </w:p>
    <w:p w:rsidR="0026452D" w:rsidRDefault="0026452D" w:rsidP="0026452D">
      <w:pPr>
        <w:pStyle w:val="TextoNormal"/>
      </w:pPr>
      <w:r>
        <w:t>En segundo lugar, las Universidades de la Iglesia Católica que deseen implantar en sus centros enseñanzas conducentes a la obtención de títulos de carácter oficial y validez en todo el territorio nacional habrán de atenerse, como el resto de Universidades, al catálogo de títulos universitarios oficiales que apruebe el Gobierno, así como a las directrices generales de los planes de estudios que deban cursarse para su obtención u homologación, aprobadas igualmente por el Gobierno, previo informe del Consejo de Coordinación Universitaria o a propuesta del mismo (arts. 4.3, 12.2, 34 y 35 LOU).</w:t>
      </w:r>
    </w:p>
    <w:p w:rsidR="0026452D" w:rsidRDefault="0026452D" w:rsidP="0026452D">
      <w:pPr>
        <w:pStyle w:val="TextoNormal"/>
      </w:pPr>
    </w:p>
    <w:p w:rsidR="0026452D" w:rsidRDefault="0026452D" w:rsidP="0026452D">
      <w:pPr>
        <w:pStyle w:val="TextoNormal"/>
      </w:pPr>
      <w:r>
        <w:t>En fin, pero sin ánimo de exhaustividad, las Universidades de la Iglesia Católica, al igual que el resto de Universidades privadas, han de establecer en sus normas de organización y funcionamiento los órganos de gobierno y representación de la Universidad, así como los procedimientos para su designación y remoción (art. 27 LOU).</w:t>
      </w:r>
    </w:p>
    <w:p w:rsidR="0026452D" w:rsidRDefault="0026452D" w:rsidP="0026452D">
      <w:pPr>
        <w:pStyle w:val="TextoNormal"/>
      </w:pPr>
    </w:p>
    <w:p w:rsidR="0026452D" w:rsidRDefault="0026452D" w:rsidP="0026452D">
      <w:pPr>
        <w:pStyle w:val="TextoNormal"/>
      </w:pPr>
      <w:r>
        <w:t>En suma, la exención de la intermediación legislativa en cuanto al reconocimiento de las Universidades de la Iglesia Católica no significa en modo alguno que estas Universidades puedan desarrollar sus actividades docentes e investigadoras sin someterse al régimen jurídico establecido en la propio LOU y las restantes normas que dicten el Estado y las Comunidades Autónomas en materia universitaria en el ejercicio de sus respectivas competencias. Ello resulta, por lo demás, plenamente conforme con las previsiones contenidas en el Acuerdo entre la Santa Sede y el Estado español sobre enseñanza y asuntos culturales, de 3 de enero de 1979, cuyo art. X,1, primer párrafo, determina que “Las Universidades, Colegios universitarios, Escuelas universitarias y otros Centros universitarios que se establezcan por la Iglesia Católica se acomodarán a la legislación que se promulgue con carácter general, en cuanto al modo de ejercer estas actividades”.</w:t>
      </w:r>
    </w:p>
    <w:p w:rsidR="0026452D" w:rsidRDefault="0026452D" w:rsidP="0026452D">
      <w:pPr>
        <w:pStyle w:val="TextoNormal"/>
      </w:pPr>
    </w:p>
    <w:p w:rsidR="0026452D" w:rsidRDefault="0026452D" w:rsidP="0026452D">
      <w:pPr>
        <w:pStyle w:val="TextoNormal"/>
      </w:pPr>
      <w:r>
        <w:t>3. Además, esa mínima diferenciación normativa de trato entre Universidades privadas, reducida estrictamente a la exención del requisito de la ley de reconocimiento para las Universidades de la Iglesia Católica, ha sido adoptada válidamente por el legislador estatal, que es el competente para ello (STC 223/2012, FJ 10), en desarrollo de las previsiones contenidas en los citados arts. X y XVII.2 del Acuerdo entre la Santa Sede y el Estado español sobre enseñanza y asuntos culturales, de 3 de enero de 1979.</w:t>
      </w:r>
    </w:p>
    <w:p w:rsidR="0026452D" w:rsidRDefault="0026452D" w:rsidP="0026452D">
      <w:pPr>
        <w:pStyle w:val="TextoNormal"/>
      </w:pPr>
    </w:p>
    <w:p w:rsidR="0026452D" w:rsidRDefault="0026452D" w:rsidP="0026452D">
      <w:pPr>
        <w:pStyle w:val="TextoNormal"/>
      </w:pPr>
      <w:r>
        <w:t>En efecto, que en este Acuerdo, que forma parte del ordenamiento interno español al igual que cualquier otro tratado internacional válidamente celebrado y publicado en el “Boletín Oficial del Estado” (art. 96.1 CE), no se establezca de manera expresa una exención del requisito formal de la ley de reconocimiento para las Universidades de la Iglesia Católica, como se señala en la Sentencia de la que discrepo, no significa que el legislador estatal no pueda, en una legítima interpretación de las previsiones contenidas en el Acuerdo, eximir a las Universidades de la Iglesia Católica del requisito de la ley de reconocimiento establecido con carácter general para las Universidades privadas (art. 4.1 LOU).</w:t>
      </w:r>
    </w:p>
    <w:p w:rsidR="0026452D" w:rsidRDefault="0026452D" w:rsidP="0026452D">
      <w:pPr>
        <w:pStyle w:val="TextoNormal"/>
      </w:pPr>
    </w:p>
    <w:p w:rsidR="0026452D" w:rsidRDefault="0026452D" w:rsidP="0026452D">
      <w:pPr>
        <w:pStyle w:val="TextoNormal"/>
      </w:pPr>
      <w:r>
        <w:lastRenderedPageBreak/>
        <w:t>Esa exención encuentra, desde luego, plena cobertura en el propio Acuerdo de 3 de enero de 1979 respecto de las Universidades de la Iglesia Católica que ya estaban establecidas en España antes de firmarse este Acuerdo, por cuanto su art. X,2 determina que “El Estado reconoce la existencia legal de las Universidades de la Iglesia establecidas en España en el momento de entrada en vigor de este Acuerdo, cuyo régimen jurídico habrá de acomodarse a la legislación vigente, salvo lo previsto en el artículo XVII,2” (precepto este que establece a su vez que “Quedan asegurados, no obstante, los derechos adquiridos de las Universidades de la Iglesia establecidas en España en el momento de la firma del presente Acuerdo, las cuales, sin embargo, podrán optar por su adaptación a la legislación general sobre Universidades no estatales”).</w:t>
      </w:r>
    </w:p>
    <w:p w:rsidR="0026452D" w:rsidRDefault="0026452D" w:rsidP="0026452D">
      <w:pPr>
        <w:pStyle w:val="TextoNormal"/>
      </w:pPr>
    </w:p>
    <w:p w:rsidR="0026452D" w:rsidRDefault="0026452D" w:rsidP="0026452D">
      <w:pPr>
        <w:pStyle w:val="TextoNormal"/>
      </w:pPr>
      <w:r>
        <w:t>Pero igualmente resulta una opción legislativa constitucionalmente válida la exención del requisito de la ley de reconocimiento para las Universidades de la Iglesia Católica que se establezcan en España con posterioridad a la firma del Acuerdo de 3 de enero de 1979, toda vez que es al legislador estatal al que le corresponde interpretar los términos concretos del Acuerdo, en el marco del mandato a los poderes públicos, contenido en el art. 16.3 CE junto a la proclamación de la aconfesionalidad del Estado, de mantener relaciones de cooperación con la Iglesia Católica, en coherencia con la inexcusable toma en consideración de las creencias religiosas que el mismo precepto constitucional exige. Esa especial referencia a la Iglesia Católica (a la que también se remite el Abogado del Estado para defender la constitucionalidad de la exención contenida en el segundo apartado de la disposición adicional cuarta LOU), le ha conducido en el pasado a este Tribunal a considerar constitucional ni más ni menos que la existencia del cuerpo de capellanes castrenses, razonando que “el hecho de que el Estado preste asistencia religiosa católica a los individuos de las Fuerzas Armadas no sólo no determina lesión constitucional, sino que ofrece, por el contrario, la posibilidad de hacer efectivo el derecho al culto de los individuos y comunidades” (STC 24/1982, de 13 de mayo, FJ 4). Resulta cuanto menos sorprendente que, ahora, una diferencia de mucha menor entidad que aquélla se repute inconstitucional.</w:t>
      </w:r>
    </w:p>
    <w:p w:rsidR="0026452D" w:rsidRDefault="0026452D" w:rsidP="0026452D">
      <w:pPr>
        <w:pStyle w:val="TextoNormal"/>
      </w:pPr>
    </w:p>
    <w:p w:rsidR="0026452D" w:rsidRDefault="0026452D" w:rsidP="0026452D">
      <w:pPr>
        <w:pStyle w:val="TextoNormal"/>
      </w:pPr>
      <w:r>
        <w:t xml:space="preserve">La diferencia de trato entre Universidades privadas que establece el apartado segundo de la disposición adicional cuarta LOU, limitada a eximir a las Universidades de la Iglesia Católica del requisito de ley de reconocimiento, con el contenido estrictamente necesario que esta ley ha de tener, obedece a una justificación objetiva y razonable, pues constituye una opción legislativa que interpreta las previsiones contenidas en los citados arts. X y XVII, 2 del Acuerdo entre la Santa Sede y el Estado español sobre enseñanza y asuntos culturales, de 3 de enero de 1979, y resulta acorde con el deber de cooperación del Estado con la Iglesia Católica (art. 16.3 CE). Siendo notoria la experiencia docente y la solvencia económica y profesional de las Universidades creadas en nuestro país por la Iglesia Católica desde hace siglos, no puede discutirse la razonabilidad y proporcionalidad de la dispensa de ley de reconocimiento a las Universidades de la Iglesia Católica que se contiene en el primer párrafo del apartado segundo de la disposición adicional cuarta LOU y que se refiere exclusivamente, como queda dicho, al contenido necesario (que no eventual) de la ley de reconocimiento. Las Universidades privadas creadas por otras instituciones o personas físicas en virtud de la libertad garantizada en el art. 27.6 CE no cabe presumir que gocen, por principio y en todo caso, de esa misma tradición secular de experiencia y solvencia en la impartición de enseñanzas universitarias que acreditan las Universidades de la Iglesia Católica, lo que explica y justifica la exigencia para esas otras Universidades privadas de una ley de reconocimiento, que, como ya se dijo, “no tiene naturaleza constitutiva …, sino que propiamente </w:t>
      </w:r>
      <w:r>
        <w:lastRenderedPageBreak/>
        <w:t>tiene la naturaleza de una autorización” (STC 223/2012, FJ 10), mediante la que se pueda constatar que esas Universidades cuentan con la solvencia económica financiera y profesional que resulta necesaria para garantizar la calidad de las enseñanzas universitarias que pretenden impartir.</w:t>
      </w:r>
    </w:p>
    <w:p w:rsidR="0026452D" w:rsidRDefault="0026452D" w:rsidP="0026452D">
      <w:pPr>
        <w:pStyle w:val="TextoNormal"/>
      </w:pPr>
    </w:p>
    <w:p w:rsidR="0026452D" w:rsidRDefault="0026452D" w:rsidP="0026452D">
      <w:pPr>
        <w:pStyle w:val="TextoNormal"/>
      </w:pPr>
      <w:r>
        <w:t>En suma, el tratamiento diferenciado entre Universidades privadas que introduce el apartado segundo de la disposición adicional cuarta LOU responde a una finalidad objetiva y razonable, y las consecuencias jurídicas derivadas de tal distinción resultan proporcionadas a la finalidad perseguida, lo que permite descartar que el precepto en cuestión entre en contradicción con la cláusula general de igualdad ante la ley del art. 14 CE (por todas, SSTC 22/1981, de 2 de julio, FJ 3; 49/1982, de 14 de julio, FJ 2; 340/1993, de 16 de noviembre, FJ 4; 117/1998, de 2 de junio, FJ 8; y 200/2001, de 4 de octubre, FJ 4, por todas). Así debió ser declarado por nuestra Sentencia, desestimando la impugnación de los Diputados recurrentes en este extremo.</w:t>
      </w:r>
    </w:p>
    <w:p w:rsidR="0026452D" w:rsidRDefault="0026452D" w:rsidP="0026452D">
      <w:pPr>
        <w:pStyle w:val="TextoNormal"/>
      </w:pPr>
    </w:p>
    <w:p w:rsidR="0026452D" w:rsidRDefault="0026452D" w:rsidP="0026452D">
      <w:pPr>
        <w:pStyle w:val="TextoNormal"/>
      </w:pPr>
      <w:r>
        <w:t>Y en este sentido emito mi Voto particular.</w:t>
      </w:r>
    </w:p>
    <w:p w:rsidR="0026452D" w:rsidRDefault="0026452D" w:rsidP="0026452D">
      <w:pPr>
        <w:pStyle w:val="TextoNormal"/>
      </w:pPr>
    </w:p>
    <w:p w:rsidR="0026452D" w:rsidRDefault="0026452D" w:rsidP="0026452D">
      <w:pPr>
        <w:pStyle w:val="TextoNormal"/>
      </w:pPr>
      <w:r>
        <w:t>Madrid, a cinco de junio de dos mil trece.</w:t>
      </w:r>
    </w:p>
    <w:p w:rsidR="0026452D" w:rsidRDefault="0026452D" w:rsidP="0026452D">
      <w:pPr>
        <w:pStyle w:val="TextoNormal"/>
      </w:pPr>
    </w:p>
    <w:p w:rsidR="0026452D" w:rsidRDefault="0026452D" w:rsidP="0026452D">
      <w:pPr>
        <w:pStyle w:val="TextoNormalNegritaCentrado"/>
        <w:keepNext/>
      </w:pPr>
      <w:r>
        <w:t>Voto particular que formula el Magistrado don Francisco José Hernando Santiago a la Sentencia que resuelve el recurso de inconstitucionalidad núm. 1725-2002.</w:t>
      </w:r>
    </w:p>
    <w:p w:rsidR="0026452D" w:rsidRDefault="0026452D" w:rsidP="0026452D">
      <w:pPr>
        <w:pStyle w:val="TextoNormalNegritaCentrado"/>
        <w:keepNext/>
      </w:pPr>
    </w:p>
    <w:p w:rsidR="0026452D" w:rsidRDefault="0026452D" w:rsidP="0026452D">
      <w:pPr>
        <w:pStyle w:val="TextoNormal"/>
      </w:pPr>
      <w:r>
        <w:t>Con el respeto que siempre profeso al parecer de la mayoría, creo necesario hacer uso de la facultad establecida en el art. 90.2 de la Ley Orgánica del Tribunal Constitucional de formular Voto particular, por disentir parcialmente de la Sentencia que resuelve el recurso de inconstitucionalidad núm. 1725-2002, en la medida en que declara inconstitucional el inciso de la disposición adicional cuarta de la Ley Orgánica 6/2001, de 21 de diciembre, de universidades, que dispensa de la necesidad de aprobación por una ley autonómica o estatal la creación o reconocimiento de universidades establecidas por la Iglesia católica.</w:t>
      </w:r>
    </w:p>
    <w:p w:rsidR="0026452D" w:rsidRDefault="0026452D" w:rsidP="0026452D">
      <w:pPr>
        <w:pStyle w:val="TextoNormal"/>
      </w:pPr>
    </w:p>
    <w:p w:rsidR="0026452D" w:rsidRDefault="0026452D" w:rsidP="0026452D">
      <w:pPr>
        <w:pStyle w:val="TextoNormal"/>
      </w:pPr>
      <w:r>
        <w:t>1. Mi primera discrepancia surge de que, así como para los seis Magistrados que han conformado la mayoría esa dispensa no está contemplada en el Acuerdo entre el Estado español y la Santa Sede de 3 de enero de 1979 sobre enseñanza y asuntos culturales, entiendo, por el contrario, que de su art. X.1 se deduce sin esfuerzo tal exención.</w:t>
      </w:r>
    </w:p>
    <w:p w:rsidR="0026452D" w:rsidRDefault="0026452D" w:rsidP="0026452D">
      <w:pPr>
        <w:pStyle w:val="TextoNormal"/>
      </w:pPr>
    </w:p>
    <w:p w:rsidR="0026452D" w:rsidRDefault="0026452D" w:rsidP="0026452D">
      <w:pPr>
        <w:pStyle w:val="TextoNormal"/>
      </w:pPr>
      <w:r>
        <w:t>Como reconoció la STC 187/1991, de 3 de octubre, FJ 1, el Acuerdo entre el Estado español y la Santa Sede sobre enseñanza y asuntos culturales es “un Tratado Internacional cuyo texto ha sido aprobado por las Cortes Generales y publicado oficialmente (‘Boletín Oficial del Estado’ de 15 de diciembre de 1979), lo que significa, en virtud de lo dispuesto en el art. 96 de la CE, que forma parte de nuestro ordenamiento jurídico interno” (en el mismo sentido, STC 66/1982, de 12 de noviembre, FJ 5).</w:t>
      </w:r>
    </w:p>
    <w:p w:rsidR="0026452D" w:rsidRDefault="0026452D" w:rsidP="0026452D">
      <w:pPr>
        <w:pStyle w:val="TextoNormal"/>
      </w:pPr>
    </w:p>
    <w:p w:rsidR="0026452D" w:rsidRDefault="0026452D" w:rsidP="0026452D">
      <w:pPr>
        <w:pStyle w:val="TextoNormal"/>
      </w:pPr>
      <w:r>
        <w:t xml:space="preserve">Pues bien, la libertad de creación de centros docentes, como específica manifestación de la libertad de enseñanza, es un derecho que, por venir reconocido constitucionalmente a las personas físicas y jurídicas (art. 27.6 CE) puede también ejercer, como es natural, la Iglesia católica. Es por esto que si el mencionado acuerdo internacional incorpora una disposición </w:t>
      </w:r>
      <w:r>
        <w:lastRenderedPageBreak/>
        <w:t>en la que se fija que “la Iglesia Católica podrá establecer Universidades, Colegios Universitarios, Escuelas Universitarias y otros Centros Universitarios, sin perjuicio de que los mismos se acomodarán a la legislación que se promulgue con carácter general, en cuanto al modo de ejercer estas actividades” (art. X.1), es razonable entender que tal precepto obedece a un designio más relevante que el de repetir lo que el artículo 27.6 de la Constitución ya dice, esto es, que existe libertad de creación de centros docentes. No en vano una de las manifestaciones de la regla de la buena fe, en cuanto principio de interpretación de los tratados internacionales, consiste en que, en la duda, “se supone que las partes hayan querido significar algo en vez de nada”. En el presente caso lo que el precepto aporta como contenido jurídico que justifica su existencia es precisamente que “sin perjuicio” de que estas universidades se acomodarán a la legislación que se promulgue con carácter general, la Iglesia Católica tiene la facultad de establecerlas.</w:t>
      </w:r>
    </w:p>
    <w:p w:rsidR="0026452D" w:rsidRDefault="0026452D" w:rsidP="0026452D">
      <w:pPr>
        <w:pStyle w:val="TextoNormal"/>
      </w:pPr>
    </w:p>
    <w:p w:rsidR="0026452D" w:rsidRDefault="0026452D" w:rsidP="0026452D">
      <w:pPr>
        <w:pStyle w:val="TextoNormal"/>
      </w:pPr>
      <w:r>
        <w:t>Este es el recto entendimiento que el Estado español ha venido dando al mencionado Acuerdo suscrito con la Santa Sede, como lo demuestra que ya se hayan constituido tres universidades católicas sin previa ley de autorización: las universidades católicas de Santa Teresa de Jesús de Ávila, San Antonio de Murcia y San Vicente Mártir de Valencia. Que así haya venido entendiéndose de modo reiterado no es jurídicamente irrelevante, pues, con arreglo al art. 31.3 del convenio de Viena, en la interpretación de los tratados “habrá de tenerse en cuenta: b) toda práctica ulteriormente seguida en la aplicación del tratado por la cual conste el acuerdo de las partes acerca de la interpretación del tratado”. Si ésta es la aplicación que mediante actos inconcusos ha venido dando el Estado español al art. X.1 del Acuerdo, llegando incluso a fijar en ley interna tal interpretación (la disposición adicional cuarta de la Ley Orgánica 6/2001, de 21 de diciembre, de universidades), no deja de ser preocupante que la Sentencia ahora aprobada modifique unilateralmente la interpretación del tratado internacional, obviando que con arreglo al artículo XVI del Acuerdo “la Santa Sede y el Gobierno español procederán de común acuerdo en la resolución de las dudas o dificultades que pudieran surgir en la interpretación o aplicación de cualquier cláusula del presente Acuerdo, inspirándose para ello en los principios que lo informan”.</w:t>
      </w:r>
    </w:p>
    <w:p w:rsidR="0026452D" w:rsidRDefault="0026452D" w:rsidP="0026452D">
      <w:pPr>
        <w:pStyle w:val="TextoNormal"/>
      </w:pPr>
    </w:p>
    <w:p w:rsidR="0026452D" w:rsidRDefault="0026452D" w:rsidP="0026452D">
      <w:pPr>
        <w:pStyle w:val="TextoNormal"/>
      </w:pPr>
      <w:r>
        <w:t>Es cierto que el art. 27.2 c) LOTC atribuye al Tribunal Constitucional competencia para examinar la posible contradicción con la Constitución Española de los tratados internacionales, incluso de los ya celebrados, pero acaso debiera sopesarse, como ha hecho la doctrina, que nuestra Ley Orgánica es anterior a la fecha de entrada en vigor en España, el 27 de enero de 1980, del convenio de Viena sobre el derecho de los tratados, cuyo artículo 27 dispone que “una parte no podrá invocar las disposiciones de su derecho interno como justificación del incumplimiento de un tratado”.</w:t>
      </w:r>
    </w:p>
    <w:p w:rsidR="0026452D" w:rsidRDefault="0026452D" w:rsidP="0026452D">
      <w:pPr>
        <w:pStyle w:val="TextoNormal"/>
      </w:pPr>
    </w:p>
    <w:p w:rsidR="0026452D" w:rsidRDefault="0026452D" w:rsidP="0026452D">
      <w:pPr>
        <w:pStyle w:val="TextoNormal"/>
      </w:pPr>
      <w:r>
        <w:t>2. Una segunda discrepancia con la Sentencia estriba en que aun cuando, a efectos meramente dialécticos, la dispensa de autorización legislativa no fuese consecuencia directa del cumplimiento de un acuerdo internacional, sino decisión libre del legislador orgánico español, resulta difícil compartir que la disposición impugnada vulnere el principio de igualdad.</w:t>
      </w:r>
    </w:p>
    <w:p w:rsidR="0026452D" w:rsidRDefault="0026452D" w:rsidP="0026452D">
      <w:pPr>
        <w:pStyle w:val="TextoNormal"/>
      </w:pPr>
    </w:p>
    <w:p w:rsidR="0026452D" w:rsidRDefault="0026452D" w:rsidP="0026452D">
      <w:pPr>
        <w:pStyle w:val="TextoNormal"/>
      </w:pPr>
      <w:r>
        <w:t xml:space="preserve">Con relación al alcance de este principio, la jurisprudencia constitucional ha venido reiterando que “las diferencias normativas son conformes con la igualdad cuando cabe discernir en ellas una finalidad no contradictoria con la Constitución y cuando, además, las normas de las que la diferencia nace muestran una estructura coherente, en términos de razonable </w:t>
      </w:r>
      <w:r>
        <w:lastRenderedPageBreak/>
        <w:t>proporcionalidad con el fin así perseguido”, de tal modo que “este Tribunal ha venido exigiendo para permitir el trato dispar de situaciones homologables la concurrencia de una doble garantía: a) La razonabilidad de la medida, pues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b) La proporcionalidad de la medida, pues el principio de igualdad no prohíbe al legislador cualquier desigualdad de trato sino sólo aquellas desigualdades en la que no existe relación de proporcionalidad entre los medios empleados y la finalidad perseguida, pues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(SSTC 96/2002, de 25 de abril, FJ 7; 179/2004, de 21 de octubre, FJ 5; 19/2012, de 15 de febrero, FJ 5; o en términos próximos, SSTC 87/2009, de 20 de abril, FJ 7; y 128/2010, de 29 de noviembre, FJ 4).</w:t>
      </w:r>
    </w:p>
    <w:p w:rsidR="0026452D" w:rsidRDefault="0026452D" w:rsidP="0026452D">
      <w:pPr>
        <w:pStyle w:val="TextoNormal"/>
      </w:pPr>
    </w:p>
    <w:p w:rsidR="0026452D" w:rsidRDefault="0026452D" w:rsidP="0026452D">
      <w:pPr>
        <w:pStyle w:val="TextoNormal"/>
      </w:pPr>
      <w:r>
        <w:t>Para la Sentencia de la que discrepo el legislador estableció una diferencia de trato entre las universidades privadas que es incompatible con el art. 14 CE, pues no es posible “encontrar finalidad objetiva y razonable que justifique el establecimiento del tratamiento diferenciado entre las distintas universidades privadas”. A mi juicio, la Sentencia no acierta en la elección del término de comparación, pues la norma anulada no contemplaba “un trato diferenciado entre Universidades privadas”, como se insiste repetidamente en la Sentencia; antes al contrario, lo que se establece es que las universidades de la Iglesia Católica “se acomodarán a la legislación que se promulgue con carácter general, en cuanto al modo de ejercer estas actividades” (art. X.1 de Acuerdo entre el Estado español y la Santa Sede). En realidad, lo que la disposición contempla es un trato diferenciado de los promotores de universidades privadas, de modo que la comparación debió establecerse entre la Iglesia Católica y el resto de personas, físicas o jurídicas, eventualmente promotoras de universidades privadas.</w:t>
      </w:r>
    </w:p>
    <w:p w:rsidR="0026452D" w:rsidRDefault="0026452D" w:rsidP="0026452D">
      <w:pPr>
        <w:pStyle w:val="TextoNormal"/>
      </w:pPr>
    </w:p>
    <w:p w:rsidR="0026452D" w:rsidRDefault="0026452D" w:rsidP="0026452D">
      <w:pPr>
        <w:pStyle w:val="TextoNormal"/>
      </w:pPr>
      <w:r>
        <w:t xml:space="preserve">Si, como recuerda la propia Sentencia, la “ley de reconocimiento” no tiene carácter constitutivo sino que posee propiamente la naturaleza de una autorización que “sirve para garantizar la calidad de la docencia e investigación y, en general, del conjunto del sistema universitario, así como para asegurar que las Universidades disponen de los medios y recursos adecuados para el cumplimiento de las funciones que, en relación con la educación superior, les ha asignado el legislador”, la consecuencia que debió obtenerse es que la dispensa tiene una justificación objetiva tan notoria como lo es la larga tradición de la Iglesia Católica en el campo de la enseñanza superior —hasta el punto de que la universidad como tal nace en el seno de la Iglesia— que le ha llevado a constituir múltiples universidades en numerosos países, pudiéndose afirmar que la Iglesia católica es, mundialmente, la institución con mayor dedicación a la educación universitaria. Esta especial cualificación ha sido obviada en la Sentencia, que no advierte ninguna diferencia en este campo entre la Iglesia Católica y cualquier particular que pretenda alumbrar una universidad. Pero puesto que la diferencia existe, debió aplicarse nuestra reiterada jurisprudencia según la cual “lo que prohíbe el principio de igualdad son, en suma, las desigualdades que resulten artificiosas o injustificadas </w:t>
      </w:r>
      <w:r>
        <w:lastRenderedPageBreak/>
        <w:t>por no venir fundadas en criterios objetivos y razonables según criterios o juicios de valor generalmente aceptados”.</w:t>
      </w:r>
    </w:p>
    <w:p w:rsidR="0026452D" w:rsidRDefault="0026452D" w:rsidP="0026452D">
      <w:pPr>
        <w:pStyle w:val="TextoNormal"/>
      </w:pPr>
    </w:p>
    <w:p w:rsidR="0026452D" w:rsidRDefault="0026452D" w:rsidP="0026452D">
      <w:pPr>
        <w:pStyle w:val="TextoNormal"/>
      </w:pPr>
      <w:r>
        <w:t>Al anterior elemento diferencial se une otro, de no menor relevancia constitucional y que la Sentencia también soslaya, cual es la explicitación en el art. 16.3 CE del deber de los poderes públicos de mantener relaciones de cooperación con la Iglesia Católica. Así lo pusimos de manifiesto en la STC 24/1982, de 13 de mayo, a propósito de la asistencia religiosa a las fuerzas armadas, quedando esclarecido que no hay situación de privilegio, sino de cooperación con las instituciones públicas del Estado, por el hecho de que se contemple y regule una determinada y singularizada participación de la Iglesia en el ámbito público.</w:t>
      </w:r>
    </w:p>
    <w:p w:rsidR="0026452D" w:rsidRDefault="0026452D" w:rsidP="0026452D">
      <w:pPr>
        <w:pStyle w:val="TextoNormal"/>
      </w:pPr>
    </w:p>
    <w:p w:rsidR="0026452D" w:rsidRDefault="0026452D" w:rsidP="0026452D">
      <w:pPr>
        <w:pStyle w:val="TextoNormal"/>
      </w:pPr>
      <w:r>
        <w:t>Por cuanto antecede, entiendo que debió desestimarse la impugnación de la disposición adicional cuarta de la Ley Orgánica 6/2001, de 21 de diciembre, de universidades.</w:t>
      </w:r>
    </w:p>
    <w:p w:rsidR="0026452D" w:rsidRDefault="0026452D" w:rsidP="0026452D">
      <w:pPr>
        <w:pStyle w:val="TextoNormal"/>
      </w:pPr>
    </w:p>
    <w:p w:rsidR="0026452D" w:rsidRDefault="0026452D" w:rsidP="0026452D">
      <w:pPr>
        <w:pStyle w:val="TextoNormal"/>
      </w:pPr>
      <w:r>
        <w:t>Y en este sentido emito mi Voto particular.</w:t>
      </w:r>
    </w:p>
    <w:p w:rsidR="0026452D" w:rsidRDefault="0026452D" w:rsidP="0026452D">
      <w:pPr>
        <w:pStyle w:val="TextoNormal"/>
      </w:pPr>
    </w:p>
    <w:p w:rsidR="0026452D" w:rsidRDefault="0026452D" w:rsidP="0026452D">
      <w:pPr>
        <w:pStyle w:val="TextoNormal"/>
      </w:pPr>
      <w:r>
        <w:t>Madrid, a cinco de junio de dos mil trece.</w:t>
      </w:r>
    </w:p>
    <w:p w:rsidR="0026452D" w:rsidRDefault="0026452D" w:rsidP="0026452D">
      <w:pPr>
        <w:pStyle w:val="TextoNormal"/>
      </w:pPr>
    </w:p>
    <w:p w:rsidR="0026452D" w:rsidRDefault="0026452D" w:rsidP="0026452D">
      <w:pPr>
        <w:pStyle w:val="TextoNormalNegritaCentrado"/>
        <w:keepNext/>
      </w:pPr>
      <w:r>
        <w:t>Voto particular que formula el Magistrado don Andrés Ollero Tassara, respecto a la Sentencia del Pleno de fecha 5 de junio de 2013 dictada en el recurso de inconstitucionalidad núm. 1725-2002.</w:t>
      </w:r>
    </w:p>
    <w:p w:rsidR="0026452D" w:rsidRDefault="0026452D" w:rsidP="0026452D">
      <w:pPr>
        <w:pStyle w:val="TextoNormalNegritaCentrado"/>
        <w:keepNext/>
      </w:pPr>
    </w:p>
    <w:p w:rsidR="0026452D" w:rsidRDefault="0026452D" w:rsidP="0026452D">
      <w:pPr>
        <w:pStyle w:val="TextoNormal"/>
      </w:pPr>
      <w:r>
        <w:t>En ejercicio de la facultad que nos confiere el art. 90.2 de la Ley Orgánica del Tribunal Constitucional y con el máximo respeto a la opinión de la mayoría del Pleno, dejo constancia de mi opinión discrepante, puesta ya de manifiesto durante su deliberación, de la Sentencia que ha resuelto el recurso de inconstitucionalidad promovido por sesenta y cuatro Diputados del Grupo Socialista, ocho del Grupo Federal de Izquierda Unida y seis del Grupo Mixto, todos ellos en el Congreso de los Diputados, contra los artículos: 4.3, 6.5, 9.2, 15.2, 23, inciso segundo, 27.1, 32, 42.3, 46.3, inciso segundo, 50 último inciso, 51, 52 in fine, 72, 83.2, 84, inciso primero; disposiciones adicionales cuarta.2 y séptima; y disposición final cuarta de la Ley Orgánica 6/2001, de 21 de diciembre, de universidades.</w:t>
      </w:r>
    </w:p>
    <w:p w:rsidR="0026452D" w:rsidRDefault="0026452D" w:rsidP="0026452D">
      <w:pPr>
        <w:pStyle w:val="TextoNormal"/>
      </w:pPr>
    </w:p>
    <w:p w:rsidR="0026452D" w:rsidRDefault="0026452D" w:rsidP="0026452D">
      <w:pPr>
        <w:pStyle w:val="TextoNormal"/>
      </w:pPr>
      <w:r>
        <w:t>1. Inevitablemente me veo ante todo obligado a lamentar muy profundamente que este Tribunal haya debido pronunciarse, más de once años después de su interposición, sobre este recurso de inconstitucionalidad. Añádase a ello que, para mayor esperpento, el acontecimiento se produce más de seis años después de que la Ley impugnada se haya visto “ampliamente modificada”, por no decir sin más sustituida, por otra posterior. Ello explica que, como ya ocurrió en la no muy lejana Sentencia 223/2012, de 29 de noviembre, haya perdido objeto la impugnación de buena parte de los preceptos sometidos a nuestra consideración.</w:t>
      </w:r>
    </w:p>
    <w:p w:rsidR="0026452D" w:rsidRDefault="0026452D" w:rsidP="0026452D">
      <w:pPr>
        <w:pStyle w:val="TextoNormal"/>
      </w:pPr>
    </w:p>
    <w:p w:rsidR="0026452D" w:rsidRDefault="0026452D" w:rsidP="0026452D">
      <w:pPr>
        <w:pStyle w:val="TextoNormal"/>
      </w:pPr>
      <w:r>
        <w:t xml:space="preserve">Entre las causas que explican dicha circunstancia, gravemente atentatoria al prestigio de este Tribunal, se encuentra la evidente falta de respeto hacia él de las Cámaras a las que nuestra Constitución atribuye la responsabilidad —que no el privilegio— de proceder a renovar en tiempo y forma los miembros del Tribunal y cubrir las vacantes que entre ellos puedan producirse. Como es bien sabido, el fallecimiento de uno de sus miembros, ocurrido en este lapso de tiempo, mermó el número de Magistrados durante estos años; el Congreso de los Diputados, por razones ajenas a toda consideración institucional, no se consideró </w:t>
      </w:r>
      <w:r>
        <w:lastRenderedPageBreak/>
        <w:t>obligado a proceder como es preceptivo a su inmediata sustitución, dilatándola incluso hasta año y medio después del término de su mandato.</w:t>
      </w:r>
    </w:p>
    <w:p w:rsidR="0026452D" w:rsidRDefault="0026452D" w:rsidP="0026452D">
      <w:pPr>
        <w:pStyle w:val="TextoNormal"/>
      </w:pPr>
    </w:p>
    <w:p w:rsidR="0026452D" w:rsidRDefault="0026452D" w:rsidP="0026452D">
      <w:pPr>
        <w:pStyle w:val="TextoNormal"/>
      </w:pPr>
      <w:r>
        <w:t>2. Mi discrepancia se centra en el fundamento jurídico 10 de la Sentencia, que considera inconstitucional la disposición adicional cuarta de la Ley recurrida. Se argumenta que habiéndose “previsto la necesidad de una ley de reconocimiento para las universidades privadas”, este precepto dispone en el apartado segundo, párrafo primero: “Las Universidades establecidas o que se establezcan en España por la Iglesia Católica con posterioridad al Acuerdo entre el Estado español y la Santa Sede de 3 de enero de 1979, sobre Enseñanza y Asuntos Culturales, quedarán sometidas a lo previsto por esta Ley para las Universidades privadas, a excepción de la necesidad de Ley de reconocimiento”.</w:t>
      </w:r>
    </w:p>
    <w:p w:rsidR="0026452D" w:rsidRDefault="0026452D" w:rsidP="0026452D">
      <w:pPr>
        <w:pStyle w:val="TextoNormal"/>
      </w:pPr>
    </w:p>
    <w:p w:rsidR="0026452D" w:rsidRDefault="0026452D" w:rsidP="0026452D">
      <w:pPr>
        <w:pStyle w:val="TextoNormal"/>
      </w:pPr>
      <w:r>
        <w:t>Debo reconocer mi dificultad para establecer el objeto de mi discrepancia, ya que a lo largo de diversos borradores se ha convertido en un blanco móvil apoyado en una sucesiva y versátil argumentación. Como luego podrá apreciarse, si aludo a ello no es por un descartable interés en desvelar aspectos de dicha deliberación, sino porque permitirá entender con más claridad mi postura. Lo normal en una deliberación suele ser que la ponencia vaya enriqueciéndose con las aportaciones argumentales de los Magistrados, mientras que en esta se ha producido más bien un sucesivo abandono de los argumentos sometidos a crítica, para sustituirlos por otros de alcance y fundamento bien distinto.</w:t>
      </w:r>
    </w:p>
    <w:p w:rsidR="0026452D" w:rsidRDefault="0026452D" w:rsidP="0026452D">
      <w:pPr>
        <w:pStyle w:val="TextoNormal"/>
      </w:pPr>
    </w:p>
    <w:p w:rsidR="0026452D" w:rsidRDefault="0026452D" w:rsidP="0026452D">
      <w:pPr>
        <w:pStyle w:val="TextoNormal"/>
      </w:pPr>
      <w:r>
        <w:t>Como es bien sabido, cuando en 1979 se suscriben los acuerdos entre el Estado español y la Santa Sede nuestro ordenamiento jurídico no contemplaba todavía la existencia de otras universidades privadas que las creadas por la Iglesia Católica. En consecuencia no podía producirse aún desigualdad alguna de trato respecto a tales entidades. Quizá por ello inicialmente se sugirió en la ponencia —apuntando ya a dictaminar una rechazable desigualdad en favor de la confesión mayoritaria en nuestro país— que tal discriminación se habría producido al contemplarse la exención del trámite legislativo solo para la Iglesia Católica y no para las “demás confesiones” a que alude el artículo 16.3 CE.</w:t>
      </w:r>
    </w:p>
    <w:p w:rsidR="0026452D" w:rsidRDefault="0026452D" w:rsidP="0026452D">
      <w:pPr>
        <w:pStyle w:val="TextoNormal"/>
      </w:pPr>
    </w:p>
    <w:p w:rsidR="0026452D" w:rsidRDefault="0026452D" w:rsidP="0026452D">
      <w:pPr>
        <w:pStyle w:val="TextoNormal"/>
      </w:pPr>
      <w:r>
        <w:t>Se ignoraba con ello paladinamente la doctrina sentada por la temprana Sentencia 24/1982, de 13 de mayo, relativa al recurso planteado por Diputados del Grupo Socialista del Congreso, que detectaban similar desigualdad de trato en la existencia de un confesional cuerpo de funcionarios, integrado por capellanes castrenses al servicio de los miembros de las fuerzas armadas. La Sentencia, rechazando toda “inconstitucionalidad por omisión”, recordaba que “el principio de igualdad es consecuencia del principio de libertad en esta materia”; descartaba en consecuencia todo previo condicionamiento de la libertad por razones de igualdad, como la que se argumentaba al sugerir que solo la existencia de otros cuerpos similares de diferente signo confesional haría admisible el ya existente. La Sentencia recordaba en lo relativo al principio de igualdad que “frente a su eventual vulneración, pueden los ciudadanos titulares de los mencionados derechos acudir en demanda de amparo ante este Tribunal”. No se presentó demanda en aquella ocasión por confesión religiosa alguna, como tampoco se ha producido en el último decenio por parte de ninguna universidad privada, de las muchas que —con bien conocida facilidad— han obtenido respaldo legal.</w:t>
      </w:r>
    </w:p>
    <w:p w:rsidR="0026452D" w:rsidRDefault="0026452D" w:rsidP="0026452D">
      <w:pPr>
        <w:pStyle w:val="TextoNormal"/>
      </w:pPr>
    </w:p>
    <w:p w:rsidR="0026452D" w:rsidRDefault="0026452D" w:rsidP="0026452D">
      <w:pPr>
        <w:pStyle w:val="TextoNormal"/>
      </w:pPr>
      <w:r>
        <w:t xml:space="preserve">3. La Sentencia de la que ahora discrepo renunció a replantear esta nítida doctrina del Tribunal, para pasar a sugerir que la desigualdad discriminatoria habría surgido en realidad respecto a las universidades privadas. Parecía apuntarse en esta segunda etapa a dictaminar </w:t>
      </w:r>
      <w:r>
        <w:lastRenderedPageBreak/>
        <w:t>la inconstitucionalidad sobrevenida de un bien conocido aspecto de uno de los Acuerdos entre el Estado español y la Santa Sede.</w:t>
      </w:r>
    </w:p>
    <w:p w:rsidR="0026452D" w:rsidRDefault="0026452D" w:rsidP="0026452D">
      <w:pPr>
        <w:pStyle w:val="TextoNormal"/>
      </w:pPr>
    </w:p>
    <w:p w:rsidR="0026452D" w:rsidRDefault="0026452D" w:rsidP="0026452D">
      <w:pPr>
        <w:pStyle w:val="TextoNormal"/>
      </w:pPr>
      <w:r>
        <w:t>También esta posibilidad acabó sin embargo pareciendo demasiado arriesgada y se opta sorprendentemente por proceder a una “lectura” del citado Acuerdo que lleve al no menos sorprendente resultado de que en realidad “en el mismo no se contiene exención expresa del requisito de la ley de reconocimiento para las universidades creadas con posterioridad”.</w:t>
      </w:r>
    </w:p>
    <w:p w:rsidR="0026452D" w:rsidRDefault="0026452D" w:rsidP="0026452D">
      <w:pPr>
        <w:pStyle w:val="TextoNormal"/>
      </w:pPr>
    </w:p>
    <w:p w:rsidR="0026452D" w:rsidRDefault="0026452D" w:rsidP="0026452D">
      <w:pPr>
        <w:pStyle w:val="TextoNormal"/>
      </w:pPr>
      <w:r>
        <w:t>Mi primera sorpresa deriva de la existencia de un claro epígrafe en el Acuerdo examinado, en el que se atribuye la eventual interpretación de su contenido a las partes que lo suscriben. En efecto, el artículo XVI del Acuerdo entre el Estado español y la Santa Sede sobre enseñanza y asuntos culturales, firmado en Ciudad del Vaticano en 3 de enero de 1979, establece que “La Santa Sede y el Gobierno español procederán de común acuerdo en la resolución de las dudas o dificultades que pudieran surgir en la interpretación o aplicación de cualquier cláusula del presente Acuerdo, inspirándose para ello en los principios que lo informan”. Doy por aceptado que la dirección de nuestras relaciones internacionales es competencia del Gobierno de la Nación, que puede sin duda —como ha hecho con ocasión de tratados europeos— solicitar de este Tribunal una Declaración sobre el alcance constitucional de sus previsiones. Así ha ocurrido también cuando ha solicitado al Consejo de Estado, en varias ocasiones, que dictamine sobre el alcance de la exención de trámite legislativo para la creación de universidades por la Iglesia Católica. Con motivo de la creada en Ávila, por ejemplo, el citado Consejo no tuvo particular dificultad para “leer” que “de la propia dicción literal del párrafo primero del artículo X apartado 1 de referencia, cabe razonablemente deducir el reconocimiento en favor de la Iglesia Católica de la capacidad para ‘establecer’ Centros Universitarios en general. En otras palabras, la Iglesia Católica podrá, en efecto, crear Centros Universitarios de acuerdo con sus normas propias, siendo así que a efectos civiles el Estado Español, a través de la interpretación de referencia del artículo X, reconoce tales Centros Universitarios. Ello equivale, por tanto, a que, desde un punto de vista estrictamente formal, sea innecesaria la aprobación de una Ley autonómica o estatal para la creación o reconocimiento de una Universidad ‘establecida’ por la Iglesia Católica, sino que se reconoce su existencia misma por virtud del artículo X del Acuerdo citado de 3 de enero de 1979, que constituye con rigor un Tratado Internacional suscrito por dos sujetos de derecho internacional, que como tal forma parte del ordenamiento jurídico interno español y es, por tanto, de obligado cumplimiento”. El Tribunal, sin embargo, parece discutir ahora al Gobierno sus competencias, al proceder —sin previa solicitud— a imponer su propia interpretación del Acuerdo, inaudita parte en lo que a la Iglesia Católica se refiere.</w:t>
      </w:r>
    </w:p>
    <w:p w:rsidR="0026452D" w:rsidRDefault="0026452D" w:rsidP="0026452D">
      <w:pPr>
        <w:pStyle w:val="TextoNormal"/>
      </w:pPr>
    </w:p>
    <w:p w:rsidR="0026452D" w:rsidRDefault="0026452D" w:rsidP="0026452D">
      <w:pPr>
        <w:pStyle w:val="TextoNormal"/>
      </w:pPr>
      <w:r>
        <w:t xml:space="preserve">Mi segundo motivo de sorpresa —que justifica alusiones anteriores aparentemente ajenas al caso— deriva del decidido propósito de la Sentencia de entender que lo que no hubiera constituido discriminación alguna para las “demás confesiones religiosas” sí cobra tal carácter respecto a las demás universidades privadas. Es obvio que las confesiones religiosas con significativo reflejo en las creencias de la sociedad española tienen derecho a beneficiarse de la “consiguiente” cooperación de los poderes públicos a que insta el art. 16.3 CE. No es fácil encontrar en el mismo texto constitucional pasaje alguno que dote de similar derecho a las universidades privadas. Lo que en el caso contemplado en la Sentencia anterior no daba pie a constatar un objetivo y razonable fundamento sobre la existencia de discriminación en favor de la Iglesia Católica se convierte ahora, de modo para mí misterioso, en </w:t>
      </w:r>
      <w:r>
        <w:lastRenderedPageBreak/>
        <w:t>fundamento de la por tantas vías argumentales sucesivamente perseguida discriminación de unas universidades privadas ajenas al recurso.</w:t>
      </w:r>
    </w:p>
    <w:p w:rsidR="0026452D" w:rsidRDefault="0026452D" w:rsidP="0026452D">
      <w:pPr>
        <w:pStyle w:val="TextoNormal"/>
      </w:pPr>
    </w:p>
    <w:p w:rsidR="0026452D" w:rsidRDefault="0026452D" w:rsidP="0026452D">
      <w:pPr>
        <w:pStyle w:val="TextoNormal"/>
      </w:pPr>
      <w:r>
        <w:t>No me parece quepa duda de que la “cooperación” con la Iglesia Católica, “consiguiente” a su presencia en las creencias de la sociedad española, reconocida en su momento como capaz de justificar la existencia de un cuerpo de funcionarios confesional, habilita con creces para reconocer solvencia para crear universidades a quien las inventó. Comprendo sin embargo que, desde la seráfica neutralidad propia de un laicismo ingenuamente neutralizador, se considere víctima de inconsciente parcialidad a quien sugiera que la existencia de un expreso mandato constitucional sea fundamento suficientemente objetivo y razonable como para descartar toda discriminación. Algo dejó escrito mi paisano Antonio Machado sobre “el celo sacerdotal de los incrédulos”.</w:t>
      </w:r>
    </w:p>
    <w:p w:rsidR="0026452D" w:rsidRDefault="0026452D" w:rsidP="0026452D">
      <w:pPr>
        <w:pStyle w:val="TextoNormal"/>
      </w:pPr>
    </w:p>
    <w:p w:rsidR="0026452D" w:rsidRDefault="0026452D" w:rsidP="0026452D">
      <w:pPr>
        <w:pStyle w:val="TextoNormal"/>
      </w:pPr>
      <w:r>
        <w:t>Como ya se indicó, ninguna universidad privada se ha considerado discriminada por el hecho de que “junto a las Universidades públicas y privadas aparece una tercera categoría de Universidades, las de la Iglesia Católica”. Tal sugerencia parece derivar del Informe que —a petición de la conferencia de rectores</w:t>
      </w:r>
      <w:r>
        <w:t> realizó en febrero de 2002 un conjunto de profesores de la Universidad Carlos III. No falta en los trabajos doctrinales que han abordado la cuestión quien haya señalado que ese texto, junto a otro informe elaborado por el Consell Consultiu de la Generalitat de Catalunya, es el que sirvió de falsilla al recurso ahora resuelto. El intento de la Sentencia de ignorar toda distinción entre la posibilidad de “establecer” autónomamente una universidad y la heterónoma regulación de su “modo de funcionamiento” me parece tan voluntarista como ajeno al ya citado Acuerdo. Quizá por ello, después de apuntar la Sentencia que la diferencia de trato debería ser —además de justificada— proporcional, no se encuentra en ella argumento alguno que permita considerar desproporcionada la diferencia impugnada.</w:t>
      </w:r>
    </w:p>
    <w:p w:rsidR="0026452D" w:rsidRDefault="0026452D" w:rsidP="0026452D">
      <w:pPr>
        <w:pStyle w:val="TextoNormal"/>
      </w:pPr>
    </w:p>
    <w:p w:rsidR="0026452D" w:rsidRDefault="0026452D" w:rsidP="0026452D">
      <w:pPr>
        <w:pStyle w:val="TextoNormal"/>
      </w:pPr>
      <w:r>
        <w:t>Partiendo de estas reflexiones, me veo obligado a emitir mi Voto particular.</w:t>
      </w:r>
    </w:p>
    <w:p w:rsidR="0026452D" w:rsidRDefault="0026452D" w:rsidP="0026452D">
      <w:pPr>
        <w:pStyle w:val="TextoNormal"/>
      </w:pPr>
    </w:p>
    <w:p w:rsidR="0026452D" w:rsidRDefault="0026452D" w:rsidP="0026452D">
      <w:pPr>
        <w:pStyle w:val="TextoNormal"/>
      </w:pPr>
      <w:r>
        <w:t>Madrid, a cinco de junio de dos mil trece.</w:t>
      </w:r>
    </w:p>
    <w:p w:rsidR="0026452D" w:rsidRDefault="0026452D" w:rsidP="0026452D">
      <w:pPr>
        <w:pStyle w:val="TextoNormal"/>
      </w:pPr>
    </w:p>
    <w:p w:rsidR="0026452D" w:rsidRDefault="0026452D" w:rsidP="0026452D">
      <w:pPr>
        <w:pStyle w:val="TextoNormalNegritaCentrado"/>
        <w:keepNext/>
      </w:pPr>
      <w:r>
        <w:t>Voto particular que emite el Magistrado don Juan José González Rivas en el recurso de inconstitucionalidad 1725-2002, respecto de la declaración de inconstitucionalidad de la disposición adicional cuarta de la Ley Orgánica de universidades.</w:t>
      </w:r>
    </w:p>
    <w:p w:rsidR="0026452D" w:rsidRDefault="0026452D" w:rsidP="0026452D">
      <w:pPr>
        <w:pStyle w:val="TextoNormalNegritaCentrado"/>
        <w:keepNext/>
      </w:pPr>
    </w:p>
    <w:p w:rsidR="0026452D" w:rsidRDefault="0026452D" w:rsidP="0026452D">
      <w:pPr>
        <w:pStyle w:val="TextoNormal"/>
      </w:pPr>
      <w:r>
        <w:t>Con pleno respeto a la posición mayoritaria y partiendo de la reiterada doctrina constitucional que concreta la idea fundamental consistente en subrayar que no toda desigualdad de trato legislativo en la regulación de una materia entraña una vulneración del derecho fundamental a la igualdad ante la ley del art. 14 CE, sino únicamente aquella que introduzca una diferencia de trato entre situaciones que puedan considerarse sustancialmente iguales y sin que posean una justificación objetiva y razonable, en el caso examinado no comparto la existencia de un trato diferenciado, prohibido por la Constitución Española, ante la exención de ley de reconocimiento para las universidades establecidas o que se establezcan en España por la Iglesia Católica, basándome en los siguientes razonamientos:</w:t>
      </w:r>
    </w:p>
    <w:p w:rsidR="0026452D" w:rsidRDefault="0026452D" w:rsidP="0026452D">
      <w:pPr>
        <w:pStyle w:val="TextoNormal"/>
      </w:pPr>
    </w:p>
    <w:p w:rsidR="0026452D" w:rsidRDefault="0026452D" w:rsidP="0026452D">
      <w:pPr>
        <w:pStyle w:val="TextoNormal"/>
      </w:pPr>
      <w:r>
        <w:lastRenderedPageBreak/>
        <w:t>1. La previsión que se contiene en el apartado segundo de la disposición adicional cuarta LOU al subrayar que “Las Universidades establecidas o que se establezcan en España por la Iglesia Católica con posterioridad al Acuerdo entre el Estado español y la Santa Sede de 3 de enero de 1979, sobre Enseñanza y Asuntos Culturales, quedarán sometidas a lo previsto por esta Ley para las Universidades privadas, a excepción de la necesidad de Ley de reconocimiento” no es, en mi opinión, un privilegio constitucionalmente prohibido, porque responde a una justificación objetiva y razonable que, además, tiene apoyo directo en el art. 16.3 CE, al reconocer que el Estado entable relaciones especiales de cooperación con la Iglesia Católica en atención a las singularidades que la caracterizan y distinguen del resto de confesiones religiosas con las que el Estado colabora.</w:t>
      </w:r>
    </w:p>
    <w:p w:rsidR="0026452D" w:rsidRDefault="0026452D" w:rsidP="0026452D">
      <w:pPr>
        <w:pStyle w:val="TextoNormal"/>
      </w:pPr>
    </w:p>
    <w:p w:rsidR="0026452D" w:rsidRDefault="0026452D" w:rsidP="0026452D">
      <w:pPr>
        <w:pStyle w:val="TextoNormal"/>
      </w:pPr>
      <w:r>
        <w:t>Esta posición de la Iglesia Católica, partiendo del dato histórico de la presencia principal de las universidades de la Iglesia Católica en la gestación y transmisión del conocimiento, determina la existencia de elementos diferenciales, suficientemente válidos, que introducen una justificación objetiva y razonable del trato legal diferente.</w:t>
      </w:r>
    </w:p>
    <w:p w:rsidR="0026452D" w:rsidRDefault="0026452D" w:rsidP="0026452D">
      <w:pPr>
        <w:pStyle w:val="TextoNormal"/>
      </w:pPr>
    </w:p>
    <w:p w:rsidR="0026452D" w:rsidRDefault="0026452D" w:rsidP="0026452D">
      <w:pPr>
        <w:pStyle w:val="TextoNormal"/>
      </w:pPr>
      <w:r>
        <w:t>2. En efecto, el Estado español, atendiendo a esta nota propia de las universidades fundadas por la Iglesia Católica y en uso de la amplia discrecionalidad que el art. 16.3 CE atribuye a los poderes públicos para mantener con ella las relaciones de cooperación que consideren oportunas, convino con la Iglesia Católica en el artículo X de los Acuerdos suscritos el 3 de enero de 1979 entre la Santa Sede y el Estado español integrados en un tratado internacional (art. 94 CE) que “1. Las Universidades, Colegios Universitarios, Escuelas Universitarias y otros Centros Universitarios que se establezcan por la Iglesia Católica se acomodarán a la legislación que se promulgue con carácter general, en cuanto al modo de ejercer estas actividades. Para el reconocimiento a efectos civiles de los estudios realizados en dichos Centros se estará a lo que disponga la legislación vigente en la materia en cada momento”.</w:t>
      </w:r>
    </w:p>
    <w:p w:rsidR="0026452D" w:rsidRDefault="0026452D" w:rsidP="0026452D">
      <w:pPr>
        <w:pStyle w:val="TextoNormal"/>
      </w:pPr>
    </w:p>
    <w:p w:rsidR="0026452D" w:rsidRDefault="0026452D" w:rsidP="0026452D">
      <w:pPr>
        <w:pStyle w:val="TextoNormal"/>
      </w:pPr>
      <w:r>
        <w:t>En suma, la creación de las universidades establecidas por ella o que establezca con posterioridad tendrían validez automática en Derecho español, debiendo acomodarse éstas a la legislación universitaria que se promulgue con carácter general solo en cuanto al modo de ejercer sus actividades y, en especial, a lo que se disponga en materia de reconocimiento a efectos civiles de los estudios realizados.</w:t>
      </w:r>
    </w:p>
    <w:p w:rsidR="0026452D" w:rsidRDefault="0026452D" w:rsidP="0026452D">
      <w:pPr>
        <w:pStyle w:val="TextoNormal"/>
      </w:pPr>
    </w:p>
    <w:p w:rsidR="0026452D" w:rsidRDefault="0026452D" w:rsidP="0026452D">
      <w:pPr>
        <w:pStyle w:val="TextoNormal"/>
      </w:pPr>
      <w:r>
        <w:t>Por eso, y con directa incidencia en la cuestión examinada, al interpretar el artículo X del Acuerdo de 1979, precisamente por ser plenamente conforme con la ponderación de la posición especial de la Iglesia Católica, el Consejo de Estado en su dictamen de 16 de octubre de 1997 distingue como planos distintos, de un lado, la creación de la universidad, en el que se atribuye plenos efectos civiles conforme al Derecho canónico recalcando, así, tal acto canónico de creación, conforme a su ordenamiento propio y de otro, su funcionamiento, en el que las universidades de la Iglesia Católica se sujetan enteramente, como cualquier otra universidad, a la legislación que promulgue el Estado con carácter general.</w:t>
      </w:r>
    </w:p>
    <w:p w:rsidR="0026452D" w:rsidRDefault="0026452D" w:rsidP="0026452D">
      <w:pPr>
        <w:pStyle w:val="TextoNormal"/>
      </w:pPr>
    </w:p>
    <w:p w:rsidR="0026452D" w:rsidRDefault="0026452D" w:rsidP="0026452D">
      <w:pPr>
        <w:pStyle w:val="TextoNormal"/>
      </w:pPr>
      <w:r>
        <w:t>3. De esta forma, la creación de una universidad de la Iglesia Católica, en la medida que se acomoda a las reglas del Derecho canónico, tiene virtualidad en el Derecho español sin necesidad de la ley de reconocimiento que el art. 4.1 LOU requiere para el resto de univer</w:t>
      </w:r>
      <w:r>
        <w:lastRenderedPageBreak/>
        <w:t>sidades privadas, habida cuenta de su solvencia y capacidad de gestión, todo ello sin perjuicio de las exigencias que le son de aplicación para su funcionamiento y, muy en especial, para el reconocimiento de los títulos por ellas expedidos.</w:t>
      </w:r>
    </w:p>
    <w:p w:rsidR="0026452D" w:rsidRDefault="0026452D" w:rsidP="0026452D">
      <w:pPr>
        <w:pStyle w:val="TextoNormal"/>
      </w:pPr>
    </w:p>
    <w:p w:rsidR="0026452D" w:rsidRDefault="0026452D" w:rsidP="0026452D">
      <w:pPr>
        <w:pStyle w:val="TextoNormal"/>
      </w:pPr>
      <w:r>
        <w:t>Sobre este punto, estimo que es cierto que el art. 27.6 CE reconoce a la Iglesia Católica, como al resto de personas físicas o jurídicas, el derecho a constituir centros universitarios, pero ésta no es la perspectiva de enjuiciamiento que corresponde al Tribunal Constitucional en el seno de un recurso de inconstitucional como el presente, que ha de limitarse a examinar si, por no estar sostenida en una justificación objetiva y razonable, la diferencia de trato en cuanto a su creación entre las universidades de la Iglesia Católica y las promovidas por otros sujetos privados vulnera el derecho a la igualdad ante la ley, ex art. 14 CE, diferencia injustificada que ya hemos visto que no se da, pues concurre un elemento singular suficientemente válido para excluir la discriminación reconocida en la Sentencia.</w:t>
      </w:r>
    </w:p>
    <w:p w:rsidR="0026452D" w:rsidRDefault="0026452D" w:rsidP="0026452D">
      <w:pPr>
        <w:pStyle w:val="TextoNormal"/>
      </w:pPr>
    </w:p>
    <w:p w:rsidR="0026452D" w:rsidRDefault="0026452D" w:rsidP="0026452D">
      <w:pPr>
        <w:pStyle w:val="TextoNormal"/>
      </w:pPr>
      <w:r>
        <w:t>4. Estimo que es función indeclinable del Estado la de garantizar la calidad de la docencia e investigación y, en general, el conjunto del sistema universitario, así como la de asegurar que las universidades dispongan de los medios y recursos adecuados para el cumplimiento de las funciones que, en relación con la educación superior, les ha asignado el legislador orgánico. Pero esta función, a mi juicio, y en esto disiento de la mayoría, la cumple el Estado plenamente con el sometimiento de las universidades de la Iglesia Católica a la legislación general que rige el funcionamiento de los centros universitarios, no siendo necesario a estos efectos que la intervención del Estado se proyecte sobre el momento de su creación.</w:t>
      </w:r>
    </w:p>
    <w:p w:rsidR="0026452D" w:rsidRDefault="0026452D" w:rsidP="0026452D">
      <w:pPr>
        <w:pStyle w:val="TextoNormal"/>
      </w:pPr>
    </w:p>
    <w:p w:rsidR="0026452D" w:rsidRDefault="0026452D" w:rsidP="0026452D">
      <w:pPr>
        <w:pStyle w:val="TextoNormal"/>
      </w:pPr>
      <w:r>
        <w:t>5. En conclusión, cuando la disposición adicional cuarta LOU exceptúa a las universidades de la Iglesia Católica de la ley de reconocimiento que requiere a las demás universidades privadas no está más que trasladando al ordenamiento jurídico la especial colaboración que consagra, con la cobertura del art. 16.3 CE, el artículo X del acuerdo entre el Estado español y la Santa Sede de 3 de enero de 1979, sobre enseñanza y asuntos culturales, por lo que ese trato desigual respecto del resto de universidades privadas no es un privilegio constitucionalmente prohibido, como ya reconociera este Tribunal en la precedente Sentencia 24/1982, de 13 de mayo, lo que hubiera determinado la constitucionalidad de la referida disposición y en este sentido formulo mi Voto particular.</w:t>
      </w:r>
    </w:p>
    <w:p w:rsidR="0026452D" w:rsidRDefault="0026452D" w:rsidP="0026452D">
      <w:pPr>
        <w:pStyle w:val="TextoNormal"/>
      </w:pPr>
    </w:p>
    <w:p w:rsidR="0026452D" w:rsidRDefault="0026452D" w:rsidP="0026452D">
      <w:pPr>
        <w:pStyle w:val="TextoNormal"/>
      </w:pPr>
      <w:r>
        <w:t>Madrid, a siete de junio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35" w:name="SENTENCIA_2013_132"/>
      <w:r>
        <w:lastRenderedPageBreak/>
        <w:t>SENTENCIA 132/2013, de 5 de junio de 2013</w:t>
      </w:r>
    </w:p>
    <w:bookmarkEnd w:id="135"/>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157, de 2 de julio de 2013)</w:t>
      </w:r>
    </w:p>
    <w:p w:rsidR="0026452D" w:rsidRDefault="0026452D" w:rsidP="0026452D">
      <w:pPr>
        <w:pStyle w:val="TtuloBOE"/>
      </w:pPr>
    </w:p>
    <w:p w:rsidR="0026452D" w:rsidRDefault="0026452D" w:rsidP="0026452D">
      <w:pPr>
        <w:pStyle w:val="SntesisDescriptiva"/>
      </w:pPr>
      <w:r>
        <w:t>ECLI:ES:TC:2013:132</w:t>
      </w:r>
    </w:p>
    <w:p w:rsidR="0026452D" w:rsidRDefault="0026452D" w:rsidP="0026452D">
      <w:pPr>
        <w:pStyle w:val="SntesisDescriptiva"/>
      </w:pPr>
    </w:p>
    <w:p w:rsidR="0026452D" w:rsidRDefault="0026452D" w:rsidP="0026452D">
      <w:pPr>
        <w:pStyle w:val="SntesisDescriptiva"/>
      </w:pPr>
      <w:r>
        <w:t>Recurso de inconstitucionalidad 4247-2002. Interpuesto por setenta y un Diputados del Grupo Parlamentario Socialista en el Congreso en relación con la Ley del Parlamento de Canarias 2/2002, de 27 de marzo, de establecimiento de normas tributarias y de medidas en materia de organización administrativa, de gestión, relativas al personal de la Comunidad Autónoma de Canarias y de carácter sancionador.</w:t>
      </w:r>
    </w:p>
    <w:p w:rsidR="0026452D" w:rsidRDefault="0026452D" w:rsidP="0026452D">
      <w:pPr>
        <w:pStyle w:val="SntesisDescriptiva"/>
      </w:pPr>
    </w:p>
    <w:p w:rsidR="0026452D" w:rsidRDefault="0026452D" w:rsidP="0026452D">
      <w:pPr>
        <w:pStyle w:val="SntesisAnaltica"/>
      </w:pPr>
      <w:r>
        <w:t>Leyes de contenido heterogéneo; principios de participación política y de seguridad jurídica; límites materiales a las leyes de presupuestos; competencias sobre procedimiento administrativo: inaplicabilidad a una ley ordinaria de los límites constitucionales establecidos para las leyes de presupuestos; ejercicio del derecho de enmienda y relación de homogeneidad entre enmiendas e iniciativa legislativa que se pretende modificar (STC 136/2011); reserva estatutaria de leyes específicas que no impide su reforma por otras leyes ordinarias; validez del precepto legal que faculta a los agentes de la autoridad para que ordenen la clausura temporal de establecimientos públicos que, careciendo de licencia de apertura, perturben la paz ciudadana. Voto particular.</w:t>
      </w:r>
    </w:p>
    <w:p w:rsidR="0026452D" w:rsidRDefault="0026452D" w:rsidP="0026452D">
      <w:pPr>
        <w:pStyle w:val="SntesisAnaltica"/>
      </w:pPr>
    </w:p>
    <w:p w:rsidR="0026452D" w:rsidRDefault="0026452D" w:rsidP="0026452D">
      <w:pPr>
        <w:pStyle w:val="Extracto"/>
      </w:pPr>
      <w:r>
        <w:t>1.</w:t>
      </w:r>
      <w:r>
        <w:tab/>
        <w:t>Para determinar cuáles son las reglas y principios aplicables a los instrumentos presupuestarios de las Comunidades Autónomas no sólo hay que acudir a la Constitución, sino también a lo previsto en sus respectivos Estatutos de Autonomía y en las leyes estatales que, dentro del marco constitucional, se hubiesen dictado para delimitar las competencias del Estado y las Comunidades Autónomas, singularmente la Ley Orgánica de Financiación de las Comunidades Autónomas (SSTC 3/2003, 74/2011) [FJ 2].</w:t>
      </w:r>
    </w:p>
    <w:p w:rsidR="0026452D" w:rsidRDefault="0026452D" w:rsidP="0026452D">
      <w:pPr>
        <w:pStyle w:val="Extracto"/>
      </w:pPr>
    </w:p>
    <w:p w:rsidR="0026452D" w:rsidRDefault="0026452D" w:rsidP="0026452D">
      <w:pPr>
        <w:pStyle w:val="Extracto"/>
      </w:pPr>
      <w:r>
        <w:t>2.</w:t>
      </w:r>
      <w:r>
        <w:tab/>
        <w:t xml:space="preserve">Las limitaciones materiales y temporales a que el constituyente ha sometido el instrumento presupuestario sólo a éste se refieren, no pudiendo extrapolarse a otras disposiciones generales que, no siendo fruto de la actividad presupuestaria de las Cortes, </w:t>
      </w:r>
      <w:r w:rsidRPr="0026452D">
        <w:rPr>
          <w:i/>
        </w:rPr>
        <w:t>ex</w:t>
      </w:r>
      <w:r>
        <w:t xml:space="preserve"> art. 134 CE, son el resultado del ejercicio genérico de su actividad legislativa, </w:t>
      </w:r>
      <w:r w:rsidRPr="0026452D">
        <w:rPr>
          <w:i/>
        </w:rPr>
        <w:t>ex</w:t>
      </w:r>
      <w:r>
        <w:t xml:space="preserve"> art. 66.2 CE (SSTC 136/2011, 209/2012) [FJ 2].</w:t>
      </w:r>
    </w:p>
    <w:p w:rsidR="0026452D" w:rsidRDefault="0026452D" w:rsidP="0026452D">
      <w:pPr>
        <w:pStyle w:val="Extracto"/>
      </w:pPr>
    </w:p>
    <w:p w:rsidR="0026452D" w:rsidRDefault="0026452D" w:rsidP="0026452D">
      <w:pPr>
        <w:pStyle w:val="Extracto"/>
      </w:pPr>
      <w:r>
        <w:t>3.</w:t>
      </w:r>
      <w:r>
        <w:tab/>
        <w:t>La limitación establecida en el art. 134.7 CE para la modificación de tributos por la Ley de presupuestos sin la previa habilitación de una ley tributaria sustantiva no resulta de aplicación a las leyes de presupuestos de las Comunidades Autónomas, salvo que lo impida alguna disposición integrada en el bloque de la constitucionalidad, singularmente la Ley Orgánica de financiación de las Comunidades Autónomas o el Estatuto de Autonomía (SSTC 116/1994, 7/2010) [FJ 2].</w:t>
      </w:r>
    </w:p>
    <w:p w:rsidR="0026452D" w:rsidRDefault="0026452D" w:rsidP="0026452D">
      <w:pPr>
        <w:pStyle w:val="Extracto"/>
      </w:pPr>
    </w:p>
    <w:p w:rsidR="0026452D" w:rsidRDefault="0026452D" w:rsidP="0026452D">
      <w:pPr>
        <w:pStyle w:val="Extracto"/>
      </w:pPr>
      <w:r>
        <w:t>4.</w:t>
      </w:r>
      <w:r>
        <w:tab/>
        <w:t xml:space="preserve">Las enmiendas al articulado del texto inicial de un proyecto de ley deben respetar una conexión mínima de homogeneidad con el texto enmendado, de manera que toda enmienda parcial tiene que tener un carácter subsidiario o incidental respecto del texto a enmendar, so pena de afectar a la función y fines asignados al </w:t>
      </w:r>
      <w:r>
        <w:lastRenderedPageBreak/>
        <w:t>ejercicio de la potestad legislativa por las Cámaras, provocando un vicio que podría alcanzar relevancia constitucional si alterase de forma sustancial el proceso de formación de voluntad en el seno de las Cámaras (SSTC 136/2011, 209/2012) [FJ 3].</w:t>
      </w:r>
    </w:p>
    <w:p w:rsidR="0026452D" w:rsidRDefault="0026452D" w:rsidP="0026452D">
      <w:pPr>
        <w:pStyle w:val="Extracto"/>
      </w:pPr>
    </w:p>
    <w:p w:rsidR="0026452D" w:rsidRDefault="0026452D" w:rsidP="0026452D">
      <w:pPr>
        <w:pStyle w:val="Extracto"/>
      </w:pPr>
      <w:r>
        <w:t>5.</w:t>
      </w:r>
      <w:r>
        <w:tab/>
        <w:t>La conexión de homogeneidad exigible a las enmiendas introducidas en las leyes de contenido heterogéneo ha de entenderse de modo flexible para que atienda a su funcionalidad, no teniendo que ser dicha conexión de identidad con las medidas previstas en el texto de la iniciativa sino de afinidad con las materias recogidas en el mismo (ATC 118/1999; SSTC 136/2011, 209/2012) [FJ 3].</w:t>
      </w:r>
    </w:p>
    <w:p w:rsidR="0026452D" w:rsidRDefault="0026452D" w:rsidP="0026452D">
      <w:pPr>
        <w:pStyle w:val="Extracto"/>
      </w:pPr>
    </w:p>
    <w:p w:rsidR="0026452D" w:rsidRDefault="0026452D" w:rsidP="0026452D">
      <w:pPr>
        <w:pStyle w:val="Extracto"/>
      </w:pPr>
      <w:r>
        <w:t>6.</w:t>
      </w:r>
      <w:r>
        <w:tab/>
        <w:t>Doctrina sobre el control constitucional de las normas de contenido heterogéneo (SSTC 136/2011, 36/2013) [FJ 1].</w:t>
      </w:r>
    </w:p>
    <w:p w:rsidR="0026452D" w:rsidRDefault="0026452D" w:rsidP="0026452D">
      <w:pPr>
        <w:pStyle w:val="Extracto"/>
      </w:pPr>
    </w:p>
    <w:p w:rsidR="0026452D" w:rsidRDefault="0026452D" w:rsidP="0026452D">
      <w:pPr>
        <w:pStyle w:val="Extracto"/>
      </w:pPr>
      <w:r>
        <w:t>7.</w:t>
      </w:r>
      <w:r>
        <w:tab/>
        <w:t>El hecho de que una materia concreta haya sido reservada por el Estatuto de Autonomía a una ley específica no puede implicar que, una vez acometida la regulación de esa materia, se produzca una congelación de su contenido, de manera que no pueda ser modificada por ninguna ley, salvo que sea otra específica, ya que la relación entre las leyes específicas y las restantes leyes ordinarias no puede confundirse con la estricta aplicación del criterio de sucesión temporal de leyes [FJ 4].</w:t>
      </w:r>
    </w:p>
    <w:p w:rsidR="0026452D" w:rsidRDefault="0026452D" w:rsidP="0026452D">
      <w:pPr>
        <w:pStyle w:val="Extracto"/>
      </w:pPr>
    </w:p>
    <w:p w:rsidR="0026452D" w:rsidRDefault="0026452D" w:rsidP="0026452D">
      <w:pPr>
        <w:pStyle w:val="Extracto"/>
      </w:pPr>
      <w:r>
        <w:t>8.</w:t>
      </w:r>
      <w:r>
        <w:tab/>
        <w:t>La cuestión planteada en relación a las funciones del gestor de la red de transmisión ha sido resuelta por la STC 123/2013, a cuyas conclusiones hemos de remitirnos [FJ 6].</w:t>
      </w:r>
    </w:p>
    <w:p w:rsidR="0026452D" w:rsidRDefault="0026452D" w:rsidP="0026452D">
      <w:pPr>
        <w:pStyle w:val="Extracto"/>
      </w:pPr>
    </w:p>
    <w:p w:rsidR="0026452D" w:rsidRDefault="0026452D" w:rsidP="0026452D">
      <w:pPr>
        <w:pStyle w:val="Extracto"/>
      </w:pPr>
      <w:r>
        <w:t>9.</w:t>
      </w:r>
      <w:r>
        <w:tab/>
        <w:t>Para apreciar vulneración competencial por inconstitucionalidad mediata o indirecta es preciso que la norma estatal infringida por la ley autonómica sea, en sentido material y formal, una norma básica y por tanto, dictada legítimamente al amparo del correspondiente título competencial que la Constitución haya reservado al Estado, y que la contradicción entre ambas normas, estatal y autonómica, sea efectiva e insalvable por vía interpretativa (SSTC 26/2012, 197/2012) [FJ 8 b)].</w:t>
      </w:r>
    </w:p>
    <w:p w:rsidR="0026452D" w:rsidRDefault="0026452D" w:rsidP="0026452D">
      <w:pPr>
        <w:pStyle w:val="Extracto"/>
      </w:pPr>
    </w:p>
    <w:p w:rsidR="0026452D" w:rsidRDefault="0026452D" w:rsidP="0026452D">
      <w:pPr>
        <w:pStyle w:val="Extracto"/>
      </w:pPr>
      <w:r>
        <w:t>10.</w:t>
      </w:r>
      <w:r>
        <w:tab/>
        <w:t>Aunque el art. 28.1 LOTC no mencione los reglamentos parlamentarios entre aquellas normas cuya infracción puede acarrear la inconstitucionalidad de la ley, no es dudoso que la inobservancia de los preceptos que regulan el procedimiento legislativo podría viciar de inconstitucionalidad la ley cuando esa inobservancia altere de modo sustancial el proceso de formación de voluntad en el seno de las Cámaras (SSTC 99/1987, 136/2011) [FJ 3].</w:t>
      </w:r>
    </w:p>
    <w:p w:rsidR="0026452D" w:rsidRDefault="0026452D" w:rsidP="0026452D">
      <w:pPr>
        <w:pStyle w:val="Extracto"/>
      </w:pPr>
    </w:p>
    <w:p w:rsidR="0026452D" w:rsidRDefault="0026452D" w:rsidP="0026452D">
      <w:pPr>
        <w:pStyle w:val="Extracto"/>
      </w:pPr>
      <w:r>
        <w:t>11.</w:t>
      </w:r>
      <w:r>
        <w:tab/>
        <w:t>El juicio de constitucionalidad no lo es de técnica legislativa, razón por la cual, no corresponde a la jurisdicción constitucional pronunciarse sobre la perfección técnica de las leyes, habida cuenta de que el control jurisdiccional de la ley nada tiene que ver con su depuración técnica (SSTC 136/2011, 102/2012) [FJ 1].</w:t>
      </w:r>
    </w:p>
    <w:p w:rsidR="0026452D" w:rsidRDefault="0026452D" w:rsidP="0026452D">
      <w:pPr>
        <w:pStyle w:val="Extracto"/>
      </w:pPr>
    </w:p>
    <w:p w:rsidR="0026452D" w:rsidRDefault="0026452D" w:rsidP="0026452D">
      <w:pPr>
        <w:pStyle w:val="Extracto"/>
      </w:pPr>
      <w:r>
        <w:t>12.</w:t>
      </w:r>
      <w:r>
        <w:tab/>
        <w:t xml:space="preserve">Cuando la competencia legislativa sobre una materia ha sido atribuida a una Comunidad Autónoma, a ésta cumple también la aprobación de las normas de procedimiento administrativo destinadas a ejecutarla, si bien deberán respetarse en </w:t>
      </w:r>
      <w:r>
        <w:lastRenderedPageBreak/>
        <w:t>todo caso las reglas del procedimiento establecidas en la legislación del Estado dentro del ámbito de sus competencias (SSTC 227/1988, 175/2003) [FJ 8 e)].</w:t>
      </w:r>
    </w:p>
    <w:p w:rsidR="0026452D" w:rsidRDefault="0026452D" w:rsidP="0026452D">
      <w:pPr>
        <w:pStyle w:val="Extracto"/>
      </w:pPr>
    </w:p>
    <w:p w:rsidR="0026452D" w:rsidRDefault="0026452D" w:rsidP="0026452D">
      <w:pPr>
        <w:pStyle w:val="Extracto"/>
      </w:pPr>
      <w:r>
        <w:t>13.</w:t>
      </w:r>
      <w:r>
        <w:tab/>
        <w:t>Doctrina sobre la pervivencia del objeto en los procesos de inconstitucionalidad pese a la derogación o modificación de la norma, cuando se trata de realizar un control sobre los vicios de validez que pudieran haber incidido sobre la propia aprobación de una norma, ya que en tal caso subsiste el interés constitucional de velar por el recto ejercicio de la potestad legislativa (SSTC 136/2011, 86/2013) [FFJJ 2 a 5].</w:t>
      </w:r>
    </w:p>
    <w:p w:rsidR="0026452D" w:rsidRDefault="0026452D" w:rsidP="0026452D">
      <w:pPr>
        <w:pStyle w:val="Extracto"/>
      </w:pPr>
    </w:p>
    <w:p w:rsidR="0026452D" w:rsidRDefault="0026452D" w:rsidP="0026452D">
      <w:pPr>
        <w:pStyle w:val="Extracto"/>
      </w:pPr>
      <w:r>
        <w:t>14.</w:t>
      </w:r>
      <w:r>
        <w:tab/>
        <w:t>Doctrina constitucional sobre la pérdida sobrevenida del objeto por derogación o sustitución del contenido de la norma en el recurso de inconstitucionalidad (SSTC 136/2011, 39/2013) [FFJJ 5, 7].</w:t>
      </w:r>
    </w:p>
    <w:p w:rsidR="0026452D" w:rsidRDefault="0026452D" w:rsidP="0026452D">
      <w:pPr>
        <w:pStyle w:val="Extracto"/>
      </w:pPr>
    </w:p>
    <w:p w:rsidR="0026452D" w:rsidRDefault="0026452D" w:rsidP="0026452D">
      <w:pPr>
        <w:pStyle w:val="Extracto"/>
      </w:pPr>
      <w:r>
        <w:t>15.</w:t>
      </w:r>
      <w:r>
        <w:tab/>
        <w:t>Doctrina sobre la pérdida o pervivencia del objeto pese a la derogación de la norma en procesos constitucionales de naturaleza competencial, según se mantenga viva o no la controversia competencial (SSTC 204/2011, 37/2013) [FJ 8 a)].</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4247-2002, interpuesto por setenta y un Diputados del Grupo Parlamentario Socialista en el Congreso contra la Ley 2/2002, de 27 de marzo, de establecimiento de normas tributarias y de medidas en materia de organización administrativa, de gestión, relativas al personal de la Comunidad Autónoma de Canarias y de carácter sancionador, al considerar que vulnera los arts. 1.1, 9.3, 66, y 134.2 y 7, todos ellos de la Constitución, y el art. 12 del Reglamento del Parlamento de Canarias. Han intervenido el Abogado del Estado, en la representación que ostenta, el Letrado-Secretario General del Parlamento de Canarias, en representación de esta Cámara, y la Directora General del servicio jurídico, en representación del Gobierno de Canarias. Ha sido Ponente el Magistrado don Ramón Rodríguez Arribas, quien expresa el parecer del Tribunal.</w:t>
      </w:r>
    </w:p>
    <w:p w:rsidR="0026452D" w:rsidRDefault="0026452D" w:rsidP="0026452D">
      <w:pPr>
        <w:pStyle w:val="TextoNormal"/>
      </w:pPr>
    </w:p>
    <w:p w:rsidR="0026452D" w:rsidRDefault="0026452D" w:rsidP="0026452D">
      <w:pPr>
        <w:pStyle w:val="TextoNormalNegritaCentrado"/>
        <w:keepNext/>
      </w:pPr>
      <w:r>
        <w:lastRenderedPageBreak/>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día 8 de julio de 2002 tuvo entrada en el Registro General de este Tribunal Constitucional un escrito del Procurador de los Tribunales don Roberto Granizo Palomeque, en nombre y representación de setenta y un Diputados del Grupo Parlamentario Socialista en el Congreso, por el que se interpone recurso de inconstitucionalidad contra la totalidad de la Ley 2/2002, de 27 de marzo, de establecimiento de normas tributarias y de medidas en materia de organización administrativa, de gestión, relativas al personal de la Comunidad Autónoma de Canarias y de carácter sancionador, al considerar que al considerar que vulnera los arts. 1.1, 9.3, 66, y 134.2 y 7, todos ellos de la Constitución y el art. 12 del Reglamento del Parlamento de Canarias.</w:t>
      </w:r>
    </w:p>
    <w:p w:rsidR="0026452D" w:rsidRDefault="0026452D" w:rsidP="0026452D">
      <w:pPr>
        <w:pStyle w:val="TextoNormal"/>
      </w:pPr>
    </w:p>
    <w:p w:rsidR="0026452D" w:rsidRDefault="0026452D" w:rsidP="0026452D">
      <w:pPr>
        <w:pStyle w:val="TextoNormal"/>
      </w:pPr>
      <w:r>
        <w:t>Subsidiariamente, el recurso se dirige también contra determinados preceptos de la citada Ley 2/2002, de 27 de marzo, y, concretamente, contra: a) los arts. 2 a 6, 10, 14 a 16, 18 a 31; disposiciones adicionales primera, tercera a sexta; disposiciones transitorias primera y segunda, al considerar que vulneran el art. 134.2 CE; b) los arts. 7 a 9, 11 a 13, 17; disposición adicional segunda y disposición derogatoria única, apartados 1 y 2, por infringir el art. 134.2 CE; c) el art. 1, apartados 1 a 6, por contradecir el art. 134.7 CE; d) los arts. 12, 13, 30; disposiciones adicionales primera a sexta y disposición transitoria segunda, por vulnerar el art. 1.1 CE; e) los arts. 14 y 30 por vulnerar los arts. 47.2 y 61.2 del Estatuto de Autonomía de Canarias (EACan); f) el art. 7.2 por vulnerar los arts. 133.4 CE, 61.1 a) EACan y 21.1 de la Ley Orgánica de financiación de las Comunidades Autónomas (LOFCA); g) el art. 16 por vulnerar los arts. 149.1.13 y 25 CE; h) el art. 21.1 k) por vulnerar el art. 25.1 CE; i) la disposición adicional cuarta por vulnerar el art. 72.2 de la Ley 30/1992, en relación con los arts. 54.1 d) y 136 del mismo texto legal, y el art. 36 de la Ley Orgánica 1/1992, de 21 de febrero, sobre protección de la seguridad ciudadana.</w:t>
      </w:r>
    </w:p>
    <w:p w:rsidR="0026452D" w:rsidRDefault="0026452D" w:rsidP="0026452D">
      <w:pPr>
        <w:pStyle w:val="TextoNormal"/>
      </w:pPr>
    </w:p>
    <w:p w:rsidR="0026452D" w:rsidRDefault="0026452D" w:rsidP="0026452D">
      <w:pPr>
        <w:pStyle w:val="TextoNormal"/>
      </w:pPr>
      <w:r>
        <w:t>Tras concretar los Diputados recurrentes algunos datos sobre los antecedentes de la Ley 2/2002 proceden a precisar la distinción entre principios y reglas constitucionales, a ubicar la Ley impugnada en el sistema de fuentes del ordenamiento constitucional, para terminar analizando la vulneración, a su juicio, del principio democrático y de pluralismo político (art. 1.1 CE), del principio de separación de poderes y de los derechos de las minorías (art. 66 CE), así como del principio de seguridad jurídica (art. 9.3 CE), en términos idénticos a como lo hicieron en los recursos de inconstitucionalidad núms. 1390-1999, 1827-2000 y 1848-2002.</w:t>
      </w:r>
    </w:p>
    <w:p w:rsidR="0026452D" w:rsidRDefault="0026452D" w:rsidP="0026452D">
      <w:pPr>
        <w:pStyle w:val="TextoNormal"/>
      </w:pPr>
    </w:p>
    <w:p w:rsidR="0026452D" w:rsidRDefault="0026452D" w:rsidP="0026452D">
      <w:pPr>
        <w:pStyle w:val="TextoNormal"/>
      </w:pPr>
      <w:r>
        <w:t xml:space="preserve">a) Tras destacar los recurrentes el valor normativo del texto constitucional y la diferencia entre principios y reglas constitucionales, subrayan que el art. 134 CE recoge una regla jurídica —o un conjunto de reglas— directamente vinculada al principio democrático del art. 1 CE, con su concreto supuesto de hecho y su determinada consecuencia jurídica, que se establece para un número indeterminado de actos o hechos (la aprobación de cada presupuesto), y sólo regula este supuesto, siendo esta regla y la norma que la contiene una a partir de las cuales se llega al principio democrático y al del pluralismo político del art. 1 CE. El ejercicio del poder legislativo o de su desdoblada potestad para aprobar el presupuesto (arts. 66.2 y 134 CE) por el órgano que tiene atribuida estas potestades —las Cortes Generales y los Parlamentos autonómicos— no puede dejar de cumplir el principio democrático, ni dejar de atender a otros principios constitucionales que dan cobertura positivizada a todo el Ordenamiento, como es el principio de seguridad jurídica (art. 9.3 CE). Y cuando se habla del </w:t>
      </w:r>
      <w:r>
        <w:lastRenderedPageBreak/>
        <w:t>ejercicio del poder legislativo y de sus límites constitucionales debe considerarse la técnica legislativa utilizada, con independencia de los contenidos regulados por el legislador en la ley, de tal manera que no es admisible cualquier forma de ejercicio o técnica legislativa utilizada, so pena de infringir principios constitucionales y, concretamente, los principios democrático (art. 1.1 CE) y de seguridad jurídica (art. 9.3 CE).</w:t>
      </w:r>
    </w:p>
    <w:p w:rsidR="0026452D" w:rsidRDefault="0026452D" w:rsidP="0026452D">
      <w:pPr>
        <w:pStyle w:val="TextoNormal"/>
      </w:pPr>
    </w:p>
    <w:p w:rsidR="0026452D" w:rsidRDefault="0026452D" w:rsidP="0026452D">
      <w:pPr>
        <w:pStyle w:val="TextoNormal"/>
      </w:pPr>
      <w:r>
        <w:t>Hecha la precisión que antecede, señalan a continuación los recurrentes que el Constituyente, cuando quiso, reconoció la existencia de leyes con función y objeto específico (así, por ejemplo, en los arts. 87.3, 116 y 122, todos ellos de la Constitución), como sucede con la Ley de presupuestos generales (art. 134 CE), a la que atribuye una función concreta y unos límites y condiciones que delimitan el ejercicio del poder legislativo. A su juicio, el constituyente no se planteó la existencia de una ley como la impugnada, razón por la cual no la prohibió. Pero que no la prohíba o que no haya establecido algún tipo de límites no puede llevar a concluir que la permite, cuando sí ha previsto límites para otras normas, como las presupuestarias, en orden a evitar perversiones. A su parecer, hubiese sido una novedad en el Derecho constitucional la existencia de una norma que hubiese dicho, aproximadamente, lo siguiente: “Las Cortes Generales no podrán ejercer la potestad legislativa del Estado a través de una Ley de contenido inespecífico, heterogéneo e indeterminado que se apruebe una vez al año, el día 30 de diciembre, y que pueda afectar a la totalidad de Leyes del ordenamiento jurídico vigente”.</w:t>
      </w:r>
    </w:p>
    <w:p w:rsidR="0026452D" w:rsidRDefault="0026452D" w:rsidP="0026452D">
      <w:pPr>
        <w:pStyle w:val="TextoNormal"/>
      </w:pPr>
    </w:p>
    <w:p w:rsidR="0026452D" w:rsidRDefault="0026452D" w:rsidP="0026452D">
      <w:pPr>
        <w:pStyle w:val="TextoNormal"/>
      </w:pPr>
      <w:r>
        <w:t>Lo que hay que justificar, añaden los Diputados recurrentes, no es que la Constitución Española no prohíba una ley de estas características o que no contenga habilitación para ella, sino en qué precepto constitucional se fundamenta. Y el único fundamento reside en que, siendo las Cortes Generales y las Asambleas legislativas las titulares de la potestad legislativa, aprueban una norma que se impone sobre el resto del ordenamiento jurídico en virtud de una regla no explicitada en la propia Constitución cual es que la norma posterior de igual rango modifica la anterior. No opera, pues, ni el principio de jerarquía ni el principio de competencia o función. Todo se fundamenta en la atribución de potestad y la existencia de una ley posterior.</w:t>
      </w:r>
    </w:p>
    <w:p w:rsidR="0026452D" w:rsidRDefault="0026452D" w:rsidP="0026452D">
      <w:pPr>
        <w:pStyle w:val="TextoNormal"/>
      </w:pPr>
    </w:p>
    <w:p w:rsidR="0026452D" w:rsidRDefault="0026452D" w:rsidP="0026452D">
      <w:pPr>
        <w:pStyle w:val="TextoNormal"/>
      </w:pPr>
      <w:r>
        <w:t xml:space="preserve">Se preguntan los Diputados recurrentes, a continuación, si nos encontramos ante una nueva categoría legislativa, ante una nueva fuente del Derecho, que pueda haberse creado por vía de costumbre. A su juicio, aunque una ley como la impugnada ofrece una “apariencia de buen derecho”, sin embargo, no es respetuosa con el principio de seguridad jurídica porque no sólo no se limita a modificar leyes preexistentes sino que, de un lado, añade normas nuevas con autonomía que no se integran en las leyes modificadas, y, de otro, deroga leyes de medidas de otros años anteriores. Pues bien, según el principio de competencia cada tipo de ley tiene reservado un contenido material en exclusiva por la Constitución, de forma que la ley de otro tipo que invadiera dicho contenido sería inconstitucional. De este modo, cada tipo de ley tiene un ámbito material reservado, tratando de materias distintas, por lo que una ley no puede invadir el ámbito de la otra. Así, para que opere el principio de jerarquía o el de </w:t>
      </w:r>
      <w:r w:rsidRPr="0026452D">
        <w:rPr>
          <w:i/>
        </w:rPr>
        <w:t>lex posterior</w:t>
      </w:r>
      <w:r>
        <w:t>, es requisito previo que se trate de una materia homogénea. Sin embargo, la Ley impugnada es una norma de igual rango de aquellas a las que afecta (deroga, adiciona, modifica, etc.), lo que implica que las consecuencias en las leyes afectadas se producen no en virtud de una función colaboradora de la citada norma legal con todas y cada una de ellas, ni de jerarquía normativa —al ser todas ordinarias—, sino simplemente en virtud del título de ser una ley posterior.</w:t>
      </w:r>
    </w:p>
    <w:p w:rsidR="0026452D" w:rsidRDefault="0026452D" w:rsidP="0026452D">
      <w:pPr>
        <w:pStyle w:val="TextoNormal"/>
      </w:pPr>
    </w:p>
    <w:p w:rsidR="0026452D" w:rsidRDefault="0026452D" w:rsidP="0026452D">
      <w:pPr>
        <w:pStyle w:val="TextoNormal"/>
      </w:pPr>
      <w:r>
        <w:t>b) A continuación examinan los Diputados recurrentes de qué manera la Ley 2/2002, de 27 de marzo, infringe el principio democrático del art. 1.1 CE y el art. 66 CE (pluralismo, separación de poderes y derechos de las minorías), a cuyo fin efectúan una serie de observaciones. En primer lugar, señalan que la potestad legislativa se ve reforzada en la Constitución Española a través del principio de reserva de ley con la cual se compensa la desconfianza hacia el poder ejecutivo, al igual que una cierta desconfianza hacia el poder legislativo se compensa con la introducción en nuestro sistema de la jurisdicción constitucional.</w:t>
      </w:r>
    </w:p>
    <w:p w:rsidR="0026452D" w:rsidRDefault="0026452D" w:rsidP="0026452D">
      <w:pPr>
        <w:pStyle w:val="TextoNormal"/>
      </w:pPr>
    </w:p>
    <w:p w:rsidR="0026452D" w:rsidRDefault="0026452D" w:rsidP="0026452D">
      <w:pPr>
        <w:pStyle w:val="TextoNormal"/>
      </w:pPr>
      <w:r>
        <w:t>En segundo lugar añaden que, si bien el poder legislativo es el órgano que refleja en mejor medida el principio democrático, el principio de reserva de ley con el que se ve reforzado en la Constitución no puede entenderse prescindiendo del poder ejecutivo. Ahora bien, como este principio de reserva no opera en el aire sino respecto de la relación de fuerzas parlamentarias representantes de los ciudadanos en las Cortes Generales, la ley aprobada en esta sede se independiza de su origen, es decir, de la mayoría que la aprobó y del procedimiento a través del cual lo hizo. El problema a efectos del principio democrático no es, pues, el que se da entre el legislativo (principio democrático) y el ejecutivo (principio monárquico), sino el que se da en sede parlamentaria entre mayorías y minorías. En efecto, el proceso legislativo ordinario es la vía para “la participación de las minorías” (STC 182/1997, FJ 3), pues el principio democrático exige que la minoría pueda hacer propuestas y pueda expresarse sobre las de la mayoría. No estamos, pues, ante problemas de técnica legislativa, sino ante problemas vinculados al contenido material y estructural y a la eficacia jurídica del principio democrático, dado que aun cuando las decisiones de un órgano representativo son, por definición, decisiones de la mayoría, no pueden ignorar los derechos de las minorías (STC 32/1985, FJ 2). La identificación del Gobierno con una mayoría parlamentaria no puede llevarse hasta extremos que suponga una identificación de todo el pueblo (Cortes Generales) con la mayoría de ese pueblo, razón por la cual, si bien el Gobierno es el órgano representativo de la mayoría parlamentaria que le da soporte, la mayoría parlamentaria al actuar como Gobierno en sede parlamentaria está desconociendo y abandonando su función en esa sede ya que actúa con independencia de la otra parte del Parlamento, es decir, de la representación popular de la minoría de ciudadanos. Cuando este es el funcionamiento, la reserva de ley se convierte en reserva del Gobierno a través de su mayoría, no sólo produciéndose un secuestro de parte de la soberanía popular —la de la minoría— por el Gobierno, sino que, al identificarse el Gobierno con su mayoría parlamentaria, se está sustituyendo el principio democrático por el principio monárquico.</w:t>
      </w:r>
    </w:p>
    <w:p w:rsidR="0026452D" w:rsidRDefault="0026452D" w:rsidP="0026452D">
      <w:pPr>
        <w:pStyle w:val="TextoNormal"/>
      </w:pPr>
    </w:p>
    <w:p w:rsidR="0026452D" w:rsidRDefault="0026452D" w:rsidP="0026452D">
      <w:pPr>
        <w:pStyle w:val="TextoNormal"/>
      </w:pPr>
      <w:r>
        <w:t xml:space="preserve">En tercer lugar, consideran que la confusión entre la elaboración normativa de la ley por el Parlamento y la elaboración normativa de esa misma ley por el Gobierno desemboca en que la Ley 2/2002, aunque sea una ley en sentido formal, está necesitada de la reintroducción de un concepto material de ley, pues ante el hecho de que se pueda llegar a identificar potestad reglamentaria con iniciativa parlamentaria del Gobierno a través de su mayoría parlamentaria, el principio de legalidad tiene que impedir un entendimiento puramente ritual o formal de este principio que lo considere cumplido con una simple “autorización” emanada del legislador, pues no es tanto la utilización del adjetivo “material” como referencia al ámbito propio de la ley (libertad y propiedad) cuanto como designación de la estructura necesaria de ésta (generalidad y abstracción). Con este razonamiento afirman que la Ley </w:t>
      </w:r>
      <w:r>
        <w:lastRenderedPageBreak/>
        <w:t>cuestionada es puramente formal, no sólo por aquella identificación entre Gobierno y mayoría parlamentaria sino también porque se está destruyendo una categoría básica del Estado de Derecho cual es la generalidad de la ley y su contenido normativo.</w:t>
      </w:r>
    </w:p>
    <w:p w:rsidR="0026452D" w:rsidRDefault="0026452D" w:rsidP="0026452D">
      <w:pPr>
        <w:pStyle w:val="TextoNormal"/>
      </w:pPr>
    </w:p>
    <w:p w:rsidR="0026452D" w:rsidRDefault="0026452D" w:rsidP="0026452D">
      <w:pPr>
        <w:pStyle w:val="TextoNormal"/>
      </w:pPr>
      <w:r>
        <w:t xml:space="preserve">c) Denuncian también los Diputados recurrentes que la Ley 2/2002 infringe el principio de seguridad jurídica del art. 9.3 CE, en el entendimiento que del mismo ha efectuado el Tribunal Constitucional (SSTC 27/1981, FJ 10; y 195/1994, FJ 2), tanto más cuando la mera existencia de una ley y de su publicación en el diario oficial correspondiente no implican, por sí mismas, que las normas en ella reguladas sean ciertas ni que sean conocidas, pues la seguridad jurídica o certeza en el Derecho exige, como punto de partida, seguridad por legitimidad de origen, y en una ley de contenido indefinido, sin objeto predeterminado, todo su contenido es </w:t>
      </w:r>
      <w:r w:rsidRPr="0026452D">
        <w:rPr>
          <w:i/>
        </w:rPr>
        <w:t>a priori</w:t>
      </w:r>
      <w:r>
        <w:t xml:space="preserve"> indefinido. En este sentido y tras concretar las exigencias que el art. 9.3 CE impone al legislador en diferentes supuestos analizados por la doctrina de este Tribunal Constitucional (concretamente, en las SSTC 76/1983, 40/1981, 179/1989, 46/1990, 150/1990 y 142/1993), destacan los recurrentes que a lo largo del texto de la Ley se pueden encontrar abundantes ejemplos que reflejan la contradicción con aquella doctrina. Y a tal fin ponen algunos ejemplos como el de los arts. 24 y 27, referente a la función pública canaria, o el del art. 30 relativo a la Audiencia de Cuentas.</w:t>
      </w:r>
    </w:p>
    <w:p w:rsidR="0026452D" w:rsidRDefault="0026452D" w:rsidP="0026452D">
      <w:pPr>
        <w:pStyle w:val="TextoNormal"/>
      </w:pPr>
    </w:p>
    <w:p w:rsidR="0026452D" w:rsidRDefault="0026452D" w:rsidP="0026452D">
      <w:pPr>
        <w:pStyle w:val="TextoNormal"/>
      </w:pPr>
      <w:r>
        <w:t>d) Pasan los Diputados recurrentes a continuación a analizar lo que denominan “las leyes de acompañamiento: un extraño caso de acuerdo doctrinal”, en el sentido de que, a su juicio, existe unanimidad en la doctrina científica, tanto del Derecho público como del privado, sobre las dudas constitucionales de esta forma de legislar, manifestando su rechazo y proclamando su incompatibilidad con el ordenamiento jurídico. Unanimidad doctrinal a la que debe unirse la opinión de órganos consultivos, tanto del Estado como de la Comunidad Autónoma de Canarias. Esta forma de legislar, la encajan los recurrentes en lo que denominan como “legislación de coyuntura” o de urgencia la cual, afirman, ha tomado fundamentalmente dos formas: la del Decreto-ley, imposible para las Comunidades Autónomas, y la de disposiciones en las leyes anuales de presupuestos generales de las Comunidades Autónomas, que exige para su inclusión la existencia de una conexión, bien con las previsiones de ingresos y habilitaciones de gasto, bien con los criterios de política general en que las previsiones presupuestarias se sustentan (art. 134.2 y 7 CE). Ahora bien, a su juicio, ha existido una patente confusión entre los supuestos de legislación coyuntural que no solo ha conducido a la utilización indiferenciada de uno y otro mecanismo, sino que ha implicado que, al amparo de estas normas legislativas dirigidas a situaciones coyunturales y por el valor formal de ley que tienen, se haya procedido a la regulación de otras materias que no estaban relacionadas directa ni indirectamente con los supuestos de hecho que les dieron origen y que son lo que únicamente pueden sustentar su legitimación y su justificación constitucional. La ley de medidas aparece, en cuanto fenómeno patológico, como el depósito residual de lo que estos dos tipos de normas no pueden hacer, aislada o conjuntamente, pues ni regula situaciones de extraordinaria y urgente necesidad, ni contiene normas para la ejecución de los presupuestos o de la política económica del Gobierno en el ejercicio, ni, en fin, hace frente a la ausencia de la ley anual de presupuestos generales del Estado.</w:t>
      </w:r>
    </w:p>
    <w:p w:rsidR="0026452D" w:rsidRDefault="0026452D" w:rsidP="0026452D">
      <w:pPr>
        <w:pStyle w:val="TextoNormal"/>
      </w:pPr>
    </w:p>
    <w:p w:rsidR="0026452D" w:rsidRDefault="0026452D" w:rsidP="0026452D">
      <w:pPr>
        <w:pStyle w:val="TextoNormal"/>
      </w:pPr>
      <w:r>
        <w:t xml:space="preserve">e) Describen los Diputados recurrentes después el procedimiento y vicisitudes de la tramitación del proyecto de la que luego sería la Ley impugnada, identificando algunas de las enmiendas parciales y a la totalidad que fueron presentadas, para concluir que la Ley 2/2002 es inconstitucional en su totalidad por motivos formales y, concretamente, por dos razones. </w:t>
      </w:r>
      <w:r>
        <w:lastRenderedPageBreak/>
        <w:t>En primer lugar, porque de conformidad con el art. 12.1 del Reglamento del Parlamento de Canarias, el Parlamento funcionará en pleno y en comisiones, reservando el art. 12.2 al Reglamento la regulación de su organización y funcionamiento y del procedimiento legislativo. Esta última previsión supone que el citado Reglamento es fuente del Derecho, conforme a la cual, los proyectos o proposiciones de ley tienen que ser objeto de una materia concreta o, si fuesen varias, debe existir entre ellas una conexión o relación de dependencia en la cual una será la principal y otras las accesorias. El Reglamento parlamentario sienta la regla de homogeneidad del objeto de la ley, siendo una exigencia instrumental al principio de seguridad jurídica del art. 9.3 CE. En consecuencia, la aprobación de un proyecto o proposición de ley con un contenido heterogéneo e inconexo no sólo es contrario al Reglamento parlamentario citado, sino también al principio de seguridad jurídica del art. 9.3 CE, lo que convierte a la ley resultante en inconstitucional. Y, en segundo lugar, porque una ley como la impugnada que regula materias inconexas y heterogéneas, modificando veinte leyes, que es debatida y aprobada por el procedimiento abreviado en el plazo de siete días, no es fruto de un debate parlamentario pleno y sin restricciones, habiendo afectado tal forma de aprobarse la ley al derecho de los Diputados a participar en la elaboración de la ley con vulneración de su derecho fundamental de participación política reconocido en el art. 23 CE, en relación con el art. 1.2 CE, que consagra el principio democrático.</w:t>
      </w:r>
    </w:p>
    <w:p w:rsidR="0026452D" w:rsidRDefault="0026452D" w:rsidP="0026452D">
      <w:pPr>
        <w:pStyle w:val="TextoNormal"/>
      </w:pPr>
    </w:p>
    <w:p w:rsidR="0026452D" w:rsidRDefault="0026452D" w:rsidP="0026452D">
      <w:pPr>
        <w:pStyle w:val="TextoNormal"/>
      </w:pPr>
      <w:r>
        <w:t>f) A juicio de los Diputados recurrentes, a leyes como la impugnada les son de aplicación los criterios y limitaciones que la jurisprudencia de este Tribunal Constitucional ha definido en relación con las Leyes de presupuestos generales del Estado (SSTC 174/1998 y 130/1999), bien por analogía, bien para evitar el fraude a la Constitución, razón por la cual, determinados preceptos de la Ley 2/2002 no resultan ajustados a la Constitución, en primer lugar, por no guardar ninguna relación con el presupuesto (art. 134.2 CE), lo que afecta, concretamente, a los arts. 2 a 6, 10, 14 a 16, 18 a 31, disposiciones adicionales primera, tercera a sexta, disposiciones transitorias primera y segunda. En segundo lugar, por no tener una relación directa con los presupuestos generales (art. 134.2 CE), que afectaría a los arts. 7 a 9, 11 a 13, 17, disposición adicional segunda, y disposición derogatoria única, apartados 1 y 2. Y, en tercer lugar, por crear tributos sin la existencia de una previa ley tributaria sustantiva que así lo prevea (art. 134.7 CE), como sucede con el art. 1, apartados 1 a 6.</w:t>
      </w:r>
    </w:p>
    <w:p w:rsidR="0026452D" w:rsidRDefault="0026452D" w:rsidP="0026452D">
      <w:pPr>
        <w:pStyle w:val="TextoNormal"/>
      </w:pPr>
    </w:p>
    <w:p w:rsidR="0026452D" w:rsidRDefault="0026452D" w:rsidP="0026452D">
      <w:pPr>
        <w:pStyle w:val="TextoNormal"/>
      </w:pPr>
      <w:r>
        <w:t>g) Para los Diputados recurrentes los arts. 12, 13 y 30, así como las disposiciones adicionales primera a sexta, y la disposición transitoria segunda de la Ley canaria 2/2002, son inconstitucionales por vulnerar el derecho de participación política del art. 1.1 CE, al derivar de enmiendas que no tenían ninguna relación con el texto del proyecto de ley. A su juicio, de la necesaria homogeneidad que es exigible al contenido del proyecto o proposiciones de ley se deriva una exigencia de homogeneidad de las enmiendas con el texto del citado proyecto o proposiciones, sin que se puedan introducir regulaciones ajenas a dicho contenido. La presentación de enmiendas con un contenido extraño al delimitado por el proyecto o proposición implica la vulneración del derecho de participación política de los Diputados y una alteración sustancial del procedimiento de formación de voluntad de la Cámara, con vulneración de pluralismo político, al no poder las minorías parlamentarias contraponer su propuesta y alternativas frente a la de la enmienda, debiendo limitarse a aceptarla o rechazarla.</w:t>
      </w:r>
    </w:p>
    <w:p w:rsidR="0026452D" w:rsidRDefault="0026452D" w:rsidP="0026452D">
      <w:pPr>
        <w:pStyle w:val="TextoNormal"/>
      </w:pPr>
    </w:p>
    <w:p w:rsidR="0026452D" w:rsidRDefault="0026452D" w:rsidP="0026452D">
      <w:pPr>
        <w:pStyle w:val="TextoNormal"/>
      </w:pPr>
      <w:r>
        <w:lastRenderedPageBreak/>
        <w:t>h) También son inconstitucionales, a juicio de los Diputados recurrentes, los arts. 14 (que modifica el art. 42 de la Ley 8/1987, de 28 de abril, de patrimonio de la Comunidad Autónoma de Canarias) y 30 (que modifica el art. 36.2 y 3 de la Ley 4/1989, de 2 de mayo, de la Audiencia de Cuentas de Canarias), esta vez por vulnerar los arts. 47.2 y 61.2 del Estatuto de Autonomía, puesto que uno y otro precepto estatutario se remiten, respectivamente, a una ley específica para regular el patrimonio autonómico, de un lado, y la organización y funcionamiento de la Audiencia de Cuentas, de otro, de manera que la ley que modifique esas leyes, al tiempo que regule otras materias, “se burla directamente del Estatuto e indirectamente de la Constitución”</w:t>
      </w:r>
    </w:p>
    <w:p w:rsidR="0026452D" w:rsidRDefault="0026452D" w:rsidP="0026452D">
      <w:pPr>
        <w:pStyle w:val="TextoNormal"/>
      </w:pPr>
    </w:p>
    <w:p w:rsidR="0026452D" w:rsidRDefault="0026452D" w:rsidP="0026452D">
      <w:pPr>
        <w:pStyle w:val="TextoNormal"/>
      </w:pPr>
      <w:r>
        <w:t>i) El art. 7.2 de la Ley del Parlamento de Canarias 2/2002, que introduce un apartado 7 al art. 37 de la Ley 7/1984, de 11 de diciembre (conforme al cual el Gobierno podrá autorizar gastos plurianuales) es inconstitucional para los Diputados recurrentes por vulnerar tanto el principio de legalidad del gasto público (art. 133.4 CE), como el principio de universalidad presupuestaria [arts. 61.1 a) EACan y 21.1 LOFCA], al permitir al Gobierno, sin límite alguno, autorizar gastos desvinculados de los presupuestos.</w:t>
      </w:r>
    </w:p>
    <w:p w:rsidR="0026452D" w:rsidRDefault="0026452D" w:rsidP="0026452D">
      <w:pPr>
        <w:pStyle w:val="TextoNormal"/>
      </w:pPr>
    </w:p>
    <w:p w:rsidR="0026452D" w:rsidRDefault="0026452D" w:rsidP="0026452D">
      <w:pPr>
        <w:pStyle w:val="TextoNormal"/>
      </w:pPr>
      <w:r>
        <w:t>j) El art. 16 de la Ley 2/2002, que añade un apartado 2 a la disposición adicional quinta de la Ley 11/1997, de 2 de diciembre, de regulación del sector eléctrico canario, con relación a las funciones que le corresponden al gestor de la red de transmisión [figura autonómica equivalente a la de gestor de la red de transporte que contempla la legislación básica en los arts. 9.1 f) y 35 de la Ley 54/1997, de 27 de noviembre, de ordenación del sistema eléctrico nacional] también es inconstitucional, según los Diputados recurrentes, por vulnerar los arts. 149.1.13 y 25 CE, en la medida que es competencia estatal regular la gestión económica y técnica del sistema y la actividad de suministro de energía eléctrica en las Comunidades Autónomas insulares y, sin embargo, el citado art. 16.2 entra a regular la gestión técnica del sistema.</w:t>
      </w:r>
    </w:p>
    <w:p w:rsidR="0026452D" w:rsidRDefault="0026452D" w:rsidP="0026452D">
      <w:pPr>
        <w:pStyle w:val="TextoNormal"/>
      </w:pPr>
    </w:p>
    <w:p w:rsidR="0026452D" w:rsidRDefault="0026452D" w:rsidP="0026452D">
      <w:pPr>
        <w:pStyle w:val="TextoNormal"/>
      </w:pPr>
      <w:r>
        <w:t>k) El siguiente precepto que es inconstitucional para los Diputados recurrentes es el art. 21.1 k) de la Ley 2/2002, que acota una materia, la de pesca en aguas interiores y marisqueo, por contradecir el art. 25.1 CE, al remitirse en la determinación de un tipo infractor a la “legislación vigente”, expresión esta que comprende también normas reglamentarias, sin poderse identificar en la Ley qué conductas serán sancionables.</w:t>
      </w:r>
    </w:p>
    <w:p w:rsidR="0026452D" w:rsidRDefault="0026452D" w:rsidP="0026452D">
      <w:pPr>
        <w:pStyle w:val="TextoNormal"/>
      </w:pPr>
    </w:p>
    <w:p w:rsidR="0026452D" w:rsidRDefault="0026452D" w:rsidP="0026452D">
      <w:pPr>
        <w:pStyle w:val="TextoNormal"/>
      </w:pPr>
      <w:r>
        <w:t>l) Por último, también es inconstitucional para los Diputados recurrentes, la disposición adicional cuarta (que introduce un apartado 3 al art. 60 de la Ley 1/1998, de 8 de enero, de régimen jurídico de los espectáculos públicos y actividades clasificadas), que permite a los agentes de la autoridad, sin motivación ni procedimiento, a clausurar un local (sanción de cierre durante cuarenta y ocho horas sin posibilidad de revocación por la autoridad competente) cuando se esté perturbando la paz ciudadana sin licencia de apertura, incumpliendo los horarios de apertura y cierre o de emisión de ruidos. A su juicio, se vulnera el art. 72.2 de la Ley 30/1992, de carácter básico, en relación con los arts. 54.1 d) y 136 del mismo texto legal, y el art. 36 de la Ley Orgánica 1/1992, de 21 de febrero, sobre protección de la seguridad ciudadana, que reservan al órgano competente para resolver los correspondientes procedimientos la adopción de medidas provisionalísimas antes de la iniciación de los procedimientos.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2</w:t>
      </w:r>
      <w:r>
        <w:t>. La Sección Segunda de este Tribunal acordó admitir a trámite el recurso mediante providencia de 16 de julio de 2002, dando traslado de la demanda y documentos presentados, conforme establece el art. 34 de la Ley Orgánica del Tribunal Constitucional (LOTC), al Congreso de los Diputados y al Senado, así como al Gobierno y al Parlamento de Canarias, por conducto de sus Presidentes, y al Gobierno de la Nación, a través del Ministerio de Justicia, para que, en el improrrogable plazo de quince días, pudieran personarse en el procedimiento y formular las alegaciones que estimasen convenientes. Todo ello con publicación en el “Boletín Oficial del Estado” (lo que se cumplimentó en el “BOE” núm. 181, de 30 de julio de 2002).</w:t>
      </w:r>
    </w:p>
    <w:p w:rsidR="0026452D" w:rsidRDefault="0026452D" w:rsidP="0026452D">
      <w:pPr>
        <w:pStyle w:val="TextoNormal"/>
      </w:pPr>
    </w:p>
    <w:p w:rsidR="0026452D" w:rsidRDefault="0026452D" w:rsidP="0026452D">
      <w:pPr>
        <w:pStyle w:val="TextoNormal"/>
      </w:pPr>
      <w:r w:rsidRPr="0026452D">
        <w:rPr>
          <w:rStyle w:val="NumeroAFNegritaCaracter"/>
        </w:rPr>
        <w:t>3</w:t>
      </w:r>
      <w:r>
        <w:t>. El día 26 de julio de 2002 presentó un escrito en el Registro General de este Tribunal el Abogado del Estado, en la representación que ostenta, señalando que puesto que el objeto del recurso se dirige contra la ley de medidas como vehículo normativo para modificar distintos aspectos del ordenamiento jurídico, coincidiendo con los recursos interpuestos contra las Leyes de medidas 50/1998 y 24/2001, tramitados con los núms. 1390-1999 y 1848-2002, con el objeto de evitar reiteraciones innecesarias se remite a las alegaciones formuladas en los citados recursos. Y con relación a los preceptos concretos de la Ley recurrida que se impugnan por infringir preceptos constitucionales, puesto que se trata de una Ley autonómica, no va a formular alegaciones por no afectar a los intereses y competencias del Estado.</w:t>
      </w:r>
    </w:p>
    <w:p w:rsidR="0026452D" w:rsidRDefault="0026452D" w:rsidP="0026452D">
      <w:pPr>
        <w:pStyle w:val="TextoNormal"/>
      </w:pPr>
    </w:p>
    <w:p w:rsidR="0026452D" w:rsidRDefault="0026452D" w:rsidP="0026452D">
      <w:pPr>
        <w:pStyle w:val="TextoNormal"/>
      </w:pPr>
      <w:r w:rsidRPr="0026452D">
        <w:rPr>
          <w:rStyle w:val="NumeroAFNegritaCaracter"/>
        </w:rPr>
        <w:t>4</w:t>
      </w:r>
      <w:r>
        <w:t>. Por escrito registrado el día 31 de julio de 2002 la Presidenta del Congreso de los Diputados comunicó a este Tribunal la decisión de la Mesa de la Cámara de no personarse en el procedimiento ni formular alegaciones, con remisión a la dirección de estudios y documentación de la Secretaría General.</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en este Tribunal el día 2 de septiembre de 2002, el Letrado-Secretario General del Parlamento de Canarias, en representación de esta Cámara, compareció ante este Tribunal solicitando, al amparo de lo previsto en el art. 34.2 LOTC, la ampliación del plazo concedido para formular alegaciones. Y mediante escrito registrado en este Tribunal el día 3 de septiembre siguiente, la Directora General del servicio jurídico del Gobierno de Canarias, se personó en el procedimiento suplicando la ampliación del plazo concedido para formular alegaciones por considerarlo insuficiente debido, de un lado, a la necesidad de recabar la posición al respecto del Gobierno de Canarias y, de otro, a la acumulación de asuntos pendientes en ese servicio jurídico.</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con fecha de 10 de septiembre de 2002, la Sección Segunda de este Tribunal acordó tener por personados al Letrado-Secretario General del Parlamento de Canarias y a la Directora General del servicio jurídico del Gobierno de Canarias, y concederles una prórroga de ocho días más a contar desde el día siguiente al de expiración del plazo ordinario concedido por la providencia de 16 de julio de 2002.</w:t>
      </w:r>
    </w:p>
    <w:p w:rsidR="0026452D" w:rsidRDefault="0026452D" w:rsidP="0026452D">
      <w:pPr>
        <w:pStyle w:val="TextoNormal"/>
      </w:pPr>
    </w:p>
    <w:p w:rsidR="0026452D" w:rsidRDefault="0026452D" w:rsidP="0026452D">
      <w:pPr>
        <w:pStyle w:val="TextoNormal"/>
      </w:pPr>
      <w:r w:rsidRPr="0026452D">
        <w:rPr>
          <w:rStyle w:val="NumeroAFNegritaCaracter"/>
        </w:rPr>
        <w:t>7</w:t>
      </w:r>
      <w:r>
        <w:t>. Mediante escrito presentado en el Registro General de este Tribunal el día 13 de septiembre de 2002, la Presidenta del Senado comunicó a este Tribunal el acuerdo de la Mesa de la Cámara de solicitar que se tenga por personada a esta Cámara y por ofrecida su colaboración a los efectos del art. 88.1 LOTC.</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8</w:t>
      </w:r>
      <w:r>
        <w:t>. Por escrito registrado el día 21 de septiembre de 2002 en este Tribunal, el Letrado-Secretario General del Parlamento de Canarias evacuó el trámite de alegaciones conferido, suplicando se dictase Sentencia en la que se declare la constitucionalidad de la norma impugnada. Tras precisar los antecedentes en la tramitación parlamentaria de la Ley 2/2002, de 27 de marzo, con relación a las alegaciones genéricas de los recurrentes subraya, en primer lugar, que dicha tramitación se adecuó a lo establecido en el Estatuto de Autonomía de Canarias y en el Reglamento del Parlamento, con participación activa de todos los grupos parlamentarios, sin menoscabo alguno a los intereses políticos; en segundo lugar, que el Reglamento de la Cámara no prohíbe, cual pretenden los recurrentes, que un proyecto o proposición de ley tenga por objeto materias heterogéneas, no necesitando el Parlamento una habilitación especial, pues en uso de su potestad legislativa genérica puede abordar cualquier tipo de regulación; en tercer lugar, que el contenido heterogéneo de la Ley impugnada no afecta a la seguridad jurídica pues sus mandatos se pueden interpretar de modo natural y no forzado, sin generar confusión normativa alguna y, por tanto, sin afectación de la seguridad jurídica; en cuarto lugar, que la Ley se aprobó democráticamente, sin desconocimiento de los derechos de las minorías, siendo una opción política de los grupos con representación parlamentaria mayoritaria y que, en definitiva, representan la voluntad del pueblo (art. 9 del Estatuto de Autonomía de Canarias); en quinto lugar, que no comprenden por qué las normas contenidas en la ley de acompañamiento deber tener cabida en la Ley de presupuestos, cuando una ley con un contenido constitucionalmente definido como es la Ley de presupuestos no puede contener más disposiciones que corresponden a su función institucional y, sin embargo, las medidas adoptadas se han canalizado en una ley ordinaria, que se tramita sin restricción alguna a las facultades del órgano legislativo; en sexto lugar, que la circunstancia de que se haya tramitado la ley por el procedimiento abreviado (que no de urgencia) no ha supuesto limitación alguna a los grupos parlamentarios que tuvieron tiempo suficiente para estudiar la iniciativa y plantear enmiendas, sin que el hecho de que el rechazo de la mayor parte de las enmiendas propuestas por la oposición suponga una merma de los derechos de participación política sino, antes al contrario, la esencia del sistema democrático que da prevalencia a la voluntad mayoritaria sobre la minoritaria; y, en fin, en último lugar, que las facultades de los diputados autonómicos con relación a las enmiendas no se han visto en modo alguno mermadas, ni siquiera por el dato de que su contenido divergiese del objeto del proyecto, pues ni por su objeto, ni por su contenido, existe límite alguno a la facultad de presentar enmiendas que tienen los miembros de las Cámaras.</w:t>
      </w:r>
    </w:p>
    <w:p w:rsidR="0026452D" w:rsidRDefault="0026452D" w:rsidP="0026452D">
      <w:pPr>
        <w:pStyle w:val="TextoNormal"/>
      </w:pPr>
    </w:p>
    <w:p w:rsidR="0026452D" w:rsidRDefault="0026452D" w:rsidP="0026452D">
      <w:pPr>
        <w:pStyle w:val="TextoNormal"/>
      </w:pPr>
      <w:r>
        <w:t>Respecto de los concretos preceptos de la Ley 2/2002, de 27 de marzo, que los recurrentes impugnan, señala el Parlamento de Canarias lo siguiente:</w:t>
      </w:r>
    </w:p>
    <w:p w:rsidR="0026452D" w:rsidRDefault="0026452D" w:rsidP="0026452D">
      <w:pPr>
        <w:pStyle w:val="TextoNormal"/>
      </w:pPr>
    </w:p>
    <w:p w:rsidR="0026452D" w:rsidRDefault="0026452D" w:rsidP="0026452D">
      <w:pPr>
        <w:pStyle w:val="TextoNormal"/>
      </w:pPr>
      <w:r>
        <w:t>a) Respecto de la impugnación de los arts. 2 a 31, disposiciones adicionales primera, tercera a sexta, disposiciones transitorias primera y segunda, y disposición derogatoria única, apartados 1 y 2, por su contradicción con el art. 134.2 CE, al considerar que no guardan relación alguna con el presupuesto, señala que no puede constatarse dicha contradicción al no ser de aplicación a este tipo de leyes ordinarias los límites fijados por la doctrina del Tribunal Constitucional a las Leyes de presupuestos, de la misma manera que tampoco les es de aplicación la prohibición prevista en el art. 134.7 CE, razón por la cual, no pueden considerase contrarios a esta previsión constitucional.</w:t>
      </w:r>
    </w:p>
    <w:p w:rsidR="0026452D" w:rsidRDefault="0026452D" w:rsidP="0026452D">
      <w:pPr>
        <w:pStyle w:val="TextoNormal"/>
      </w:pPr>
    </w:p>
    <w:p w:rsidR="0026452D" w:rsidRDefault="0026452D" w:rsidP="0026452D">
      <w:pPr>
        <w:pStyle w:val="TextoNormal"/>
      </w:pPr>
      <w:r>
        <w:t xml:space="preserve">b) Con relación a la impugnación de los arts. 12, 13 y 30, así como las disposiciones adicionales primera a sexta, y la disposición transitoria, por la vulneración del art. 12.2 del </w:t>
      </w:r>
      <w:r>
        <w:lastRenderedPageBreak/>
        <w:t>Estatuto de Autonomía de Canarias, al derivar de enmiendas que no tenían ninguna relación con el texto del proyecto de ley, considera que, de acuerdo con la doctrina de la Sentencia del Tribunal Constitucional de 11 de junio de 1987, “no existe ni en la CE ni en los Reglamentos del Congreso y Senado norma alguna que establezca una delimitación material entre enmienda y proposición de ley”, ni tampoco “por su objeto, ni por su contenido, hay límite alguno a la facultad que los miembros de las Cámaras tienen para presentar enmiendas, exceptuados los que tanto para las enmiendas como para las proposiciones de ley, fijan los arts. 84 y 134.6 CE”. Pues bien, de la lectura del Reglamento del Parlamento de Canarias no se deduce que exista limitación alguna a la hora de enmendar un proyecto de ley y así lo entendió la Mesa de la Cámara que calificó y admitió las enmiendas presentadas de conformidad con lo establecido en los arts. 119 y 140.3 del Reglamento.</w:t>
      </w:r>
    </w:p>
    <w:p w:rsidR="0026452D" w:rsidRDefault="0026452D" w:rsidP="0026452D">
      <w:pPr>
        <w:pStyle w:val="TextoNormal"/>
      </w:pPr>
    </w:p>
    <w:p w:rsidR="0026452D" w:rsidRDefault="0026452D" w:rsidP="0026452D">
      <w:pPr>
        <w:pStyle w:val="TextoNormal"/>
      </w:pPr>
      <w:r>
        <w:t>c) Con referencia a la impugnación de los arts. 14 y 30 por la vulneración de los arts. 47.2 y 61.2 del Estatuto de Autonomía, al remitirse éstos a una ley específica para la regulación tanto del patrimonio autonómico como de la organización y funcionamiento de la Audiencia de Cuentas, subraya que la reserva de ley no impone que una determinada materia se regule por un instrumento único, con prohibición de cualquier regulación incidental en otras leyes que no estuvieran consagradas de forma íntegra a ese objeto específico y concreto. No cabe duda, pues, de que el Parlamento de Canarias tiene la competencia para modificar la ley reguladora de una y otra materia.</w:t>
      </w:r>
    </w:p>
    <w:p w:rsidR="0026452D" w:rsidRDefault="0026452D" w:rsidP="0026452D">
      <w:pPr>
        <w:pStyle w:val="TextoNormal"/>
      </w:pPr>
    </w:p>
    <w:p w:rsidR="0026452D" w:rsidRDefault="0026452D" w:rsidP="0026452D">
      <w:pPr>
        <w:pStyle w:val="TextoNormal"/>
      </w:pPr>
      <w:r>
        <w:t>d) Con relación al art. 7.2, que regula la autorización para gastos plurianuales al margen de la Ley de presupuestos, que se considera inconstitucional por vulnerar tanto el principio de legalidad del gasto público (art. 133.4 CE) como el principio de universalidad presupuestaria [arts. 61.1 a) EACan y 21.1 LOFCA], al permitir al Gobierno, sin límite alguno, autorizar gastos desvinculados de los presupuestos, a juicio del Parlamento de Canarias, la efectividad de las subvenciones que el apartado contempla se hacen depender de una cláusula de salvaguarda relativa a la existencia de crédito adecuado y suficiente para la financiación de las obligaciones en los ejercicios correspondientes, manteniendo una total correspondencia con el art. 61.2 de la Ley general presupuestaria. Por otra parte, la inclusión o no de esta previsión en la ley de presupuestos es una decisión que corresponde en exclusiva al legislador.</w:t>
      </w:r>
    </w:p>
    <w:p w:rsidR="0026452D" w:rsidRDefault="0026452D" w:rsidP="0026452D">
      <w:pPr>
        <w:pStyle w:val="TextoNormal"/>
      </w:pPr>
    </w:p>
    <w:p w:rsidR="0026452D" w:rsidRDefault="0026452D" w:rsidP="0026452D">
      <w:pPr>
        <w:pStyle w:val="TextoNormal"/>
      </w:pPr>
      <w:r>
        <w:t>e) Respecto del art. 16, por su eventual contradicción con la normativa básica del Estado relativa al sector eléctrico, el Parlamento, por razones de economía procesal, se remite a las alegaciones efectuadas en el recurso de inconstitucionalidad núm. 4244-2002, en el que se impugna más específicamente este precepto.</w:t>
      </w:r>
    </w:p>
    <w:p w:rsidR="0026452D" w:rsidRDefault="0026452D" w:rsidP="0026452D">
      <w:pPr>
        <w:pStyle w:val="TextoNormal"/>
      </w:pPr>
    </w:p>
    <w:p w:rsidR="0026452D" w:rsidRDefault="0026452D" w:rsidP="0026452D">
      <w:pPr>
        <w:pStyle w:val="TextoNormal"/>
      </w:pPr>
      <w:r>
        <w:t>f) Con referencia al art. 21.1 k), por su eventual contradicción con el art. 25.1 CE, señala el Parlamento que es evidente que los elementos esenciales del ilícito administrativo y de las sanciones correspondientes quedan fijados en la norma legal, sin perjuicio de la remisión colaborativa y subordinada a la legislación de pesca en aguas interiores y marisqueo.</w:t>
      </w:r>
    </w:p>
    <w:p w:rsidR="0026452D" w:rsidRDefault="0026452D" w:rsidP="0026452D">
      <w:pPr>
        <w:pStyle w:val="TextoNormal"/>
      </w:pPr>
    </w:p>
    <w:p w:rsidR="0026452D" w:rsidRDefault="0026452D" w:rsidP="0026452D">
      <w:pPr>
        <w:pStyle w:val="TextoNormal"/>
      </w:pPr>
      <w:r>
        <w:t xml:space="preserve">g) Por último, en cuanto a la disposición adicional cuarta, que añade un apartado 3 al art. 60 de la Ley 1/1998, de 8 de enero, de régimen jurídico de los espectáculos públicos y actividades clasificadas, al que se imputa la vulneración de la normativa básica, a juicio del Parlamento canario, la actuación que se posibilita no tiene propiamente el carácter de medida cautelar para asegurar el objeto de un procedimiento sancionador o de otro tipo, sino </w:t>
      </w:r>
      <w:r>
        <w:lastRenderedPageBreak/>
        <w:t>que, bien tiende al cese inmediato de una actividad particular que, sometida a un régimen de intervención mediante la obligación de contar con una licencia administrativa, carece de ese título legitimador, bien tiende a imponer la adecuación de la actividad a las medidas correctoras que se deducen del permiso administrativo. Aunque es cierto que el precepto hubiera tenido un encaje más correcto en la función inspectora de la Administración y no en el título relativo al expediente sancionador, este defecto técnico no invalida la licitud y corrección de la regulación introducida.</w:t>
      </w:r>
    </w:p>
    <w:p w:rsidR="0026452D" w:rsidRDefault="0026452D" w:rsidP="0026452D">
      <w:pPr>
        <w:pStyle w:val="TextoNormal"/>
      </w:pPr>
    </w:p>
    <w:p w:rsidR="0026452D" w:rsidRDefault="0026452D" w:rsidP="0026452D">
      <w:pPr>
        <w:pStyle w:val="TextoNormal"/>
      </w:pPr>
      <w:r w:rsidRPr="0026452D">
        <w:rPr>
          <w:rStyle w:val="NumeroAFNegritaCaracter"/>
        </w:rPr>
        <w:t>9</w:t>
      </w:r>
      <w:r>
        <w:t>. Por escrito registrado en este Tribunal el día 27 de septiembre de 2002, la Directora General del servicio jurídico del Gobierno de Canarias, en la representación que ostenta, presentó sus alegaciones solicitando se dictase Sentencia desestimatoria del recurso de inconstitucionalidad. A tal fin, parte precisando que no es posible pretender la inconstitucionalidad de una ley con la sola afirmación de que vulnera el principio de seguridad jurídica del art. 9.3 CE o los límites previstos en el art. 134 CE, siendo una obligación de los recurrentes la de analizar la concurrencia de los vicios en cada uno de los preceptos de la misma. Dicho esto señala a renglón seguido que toda la fundamentación de los recurrentes descansa en una extrapolación de la doctrina sentada por el Tribunal Constitucional con relación a los límites constitucionales a las leyes de presupuestos, a las denominadas “leyes de medidas” o “leyes de acompañamiento”. Sin embargo, lo cierto es que dicha doctrina se ha elaborado específicamente para las leyes de presupuestos y no para otro tipo de leyes, careciendo las leyes de medidas de una referencia expresa en la Constitución y en los Estatutos de Autonomía, que son una modalidad legislativa creada por el legislador ordinario en el ejercicio de su libertad de configuración normativa. Por tanto, siendo las citadas “leyes de medidas” una categoría distinta de las leyes de presupuestos, la invocación de su inconstitucionalidad por la infracción del art. 134 CE y de la doctrina que a partir de ese precepto ha sentado el Tribunal Constitucional supone intentar aplicar a un tipo de ley los límites previstos para otro tipo.</w:t>
      </w:r>
    </w:p>
    <w:p w:rsidR="0026452D" w:rsidRDefault="0026452D" w:rsidP="0026452D">
      <w:pPr>
        <w:pStyle w:val="TextoNormal"/>
      </w:pPr>
    </w:p>
    <w:p w:rsidR="0026452D" w:rsidRDefault="0026452D" w:rsidP="0026452D">
      <w:pPr>
        <w:pStyle w:val="TextoNormal"/>
      </w:pPr>
      <w:r>
        <w:t>Respecto de la vulneración por la Ley impugnada del principio de seguridad jurídica del art. 9.3 CE, considera Directora General del servicio jurídico del Gobierno de Canarias que, con base en la doctrina del Tribunal Constitucional (SSTC 27/1981, 49/1988, 46/1990 y 150/1990), no puede decirse que la técnica empleada introduzca en el Ordenamiento jurídico una incertidumbre razonable. La inclusión en una sola ley de preceptos relativos a materias diversas es una opción legítima del legislador a la que no se puede formular reparo alguno desde el punto de vista constitucional, al producirse con todas la garantías de publicidad para sus destinatarios.</w:t>
      </w:r>
    </w:p>
    <w:p w:rsidR="0026452D" w:rsidRDefault="0026452D" w:rsidP="0026452D">
      <w:pPr>
        <w:pStyle w:val="TextoNormal"/>
      </w:pPr>
    </w:p>
    <w:p w:rsidR="0026452D" w:rsidRDefault="0026452D" w:rsidP="0026452D">
      <w:pPr>
        <w:pStyle w:val="TextoNormal"/>
      </w:pPr>
      <w:r>
        <w:t xml:space="preserve">Con relación a la vulneración del procedimiento legislativo recuerda la representante del Gobierno canario, que la misma se basa por los recurrentes en dos hechos. De un lado, por haberse tramitado por el procedimiento abreviado. De otro, por el hecho de que al no ser el contenido de la Ley homogéneo, sus preceptos no fueron examinados por la comisión competente por razón de la materia. Pues bien, señala a este respecto, antes que nada, que las eventuales infracciones reglamentarias sólo se consideran un vicio invalidante cuando alteran de forma sustancial el proceso de formación de voluntad de las Cámaras (SSTC 99/1987 y 57/1989). En consecuencia, el hecho de que la Ley 2/2002 se haya tramitado por el procedimiento abreviado no constituye ningún vicio procedimental, sino el ejercicio de una posibilidad prevista en los arts. 140 y 141 del Reglamento del Parlamento de Canarias. Y la </w:t>
      </w:r>
      <w:r>
        <w:lastRenderedPageBreak/>
        <w:t>circunstancia de que la Ley 2/2002 tenga un contenido heterogéneo no supone vicio procedimental alguno, ni vulnera el principio de especialidad de las comisiones, pues lo decisivo es que el texto fue debatido y aprobado por el Pleno del Parlamento.</w:t>
      </w:r>
    </w:p>
    <w:p w:rsidR="0026452D" w:rsidRDefault="0026452D" w:rsidP="0026452D">
      <w:pPr>
        <w:pStyle w:val="TextoNormal"/>
      </w:pPr>
    </w:p>
    <w:p w:rsidR="0026452D" w:rsidRDefault="0026452D" w:rsidP="0026452D">
      <w:pPr>
        <w:pStyle w:val="TextoNormal"/>
      </w:pPr>
      <w:r>
        <w:t>Por otra parte y con referencia a los concretos preceptos de la Ley 2/2002, de 27 de marzo, que los recurrentes impugnan, señala el Gobierno de Canarias lo siguiente:</w:t>
      </w:r>
    </w:p>
    <w:p w:rsidR="0026452D" w:rsidRDefault="0026452D" w:rsidP="0026452D">
      <w:pPr>
        <w:pStyle w:val="TextoNormal"/>
      </w:pPr>
    </w:p>
    <w:p w:rsidR="0026452D" w:rsidRDefault="0026452D" w:rsidP="0026452D">
      <w:pPr>
        <w:pStyle w:val="TextoNormal"/>
      </w:pPr>
      <w:r>
        <w:t>a) Respecto de los preceptos a los que se reprocha la vulneración del art. 134 CE, insiste en que no son de aplicación a las leyes de medidas los límites fijados por la doctrina del Tribunal Constitucional a las leyes de presupuestos.</w:t>
      </w:r>
    </w:p>
    <w:p w:rsidR="0026452D" w:rsidRDefault="0026452D" w:rsidP="0026452D">
      <w:pPr>
        <w:pStyle w:val="TextoNormal"/>
      </w:pPr>
    </w:p>
    <w:p w:rsidR="0026452D" w:rsidRDefault="0026452D" w:rsidP="0026452D">
      <w:pPr>
        <w:pStyle w:val="TextoNormal"/>
      </w:pPr>
      <w:r>
        <w:t>b) Con relación a los preceptos a los que se imputa la vulneración del Reglamento del Parlamento de Canarias al derivar de enmiendas que no tenían ninguna relación con el articulado originario, considera que dicha pretensión descansa sobre una interpretación del significado y límites de la potestad de enmendar que ha sido rechazada por el Tribunal Constitucional (STC 99/1987).</w:t>
      </w:r>
    </w:p>
    <w:p w:rsidR="0026452D" w:rsidRDefault="0026452D" w:rsidP="0026452D">
      <w:pPr>
        <w:pStyle w:val="TextoNormal"/>
      </w:pPr>
    </w:p>
    <w:p w:rsidR="0026452D" w:rsidRDefault="0026452D" w:rsidP="0026452D">
      <w:pPr>
        <w:pStyle w:val="TextoNormal"/>
      </w:pPr>
      <w:r>
        <w:t>c) Con referencia a la impugnación del art. 7.2 de la Ley 2/2002, por entender que vulnera los arts. 133.4 CE, 61.1 a) EACan y 21.1 LOFCA, subraya el Gobierno canario que la autorización de gastos plurianuales en transferencias corrientes y de capital por el Gobierno, cuando no se inicie el gasto en el ejercicio en que se convoquen subvenciones destinadas a la promoción empresarial y al fomento de empleo (la tramitación anticipada de subvenciones sin crédito en el ejercicio corriente era una posibilidad ya prevista en el Decreto 165/2001, de 30 de julio, cuya eficacia quedaba condicionada a la existencia del correspondiente crédito), constituye la única innovación pues ahora se habilita al Gobierno a autorizar gastos (compromisos de gasto) aunque no se inicie el gasto en el ejercicio en que se convoquen las subvenciones, cuando hasta la modificación operada los gastos plurianuales en transferencias de capital venían subordinados al crédito que para cada ejercicio autorizasen los respectivos presupuestos generales de la Comunidad Autónoma, permitiendo la adquisición de compromisos de gastos para ejercicios posteriores a aquel en el que fuesen autorizados, siempre que su ejecución se iniciara en el propio ejercicio. Y los gastos plurianuales en transferencias corrientes no se permitían con carácter general, salvo que se tratase de transferencias corrientes derivadas de normas con rango de ley o de los autorizados por el Gobierno dentro de los supuestos previstos en las leyes de presupuestos. La modificación operada por la Ley 2/2002 pretende que cuando se haya realizado y resuelto una convocatoria pública de subvenciones en un ejercicio, su abono pueda realizarse en el ejercicio presupuestario siguiente en los casos en los que el plazo para realizar o justificar la actividad subvencionada se extendiera al ejercicio siguiente.</w:t>
      </w:r>
    </w:p>
    <w:p w:rsidR="0026452D" w:rsidRDefault="0026452D" w:rsidP="0026452D">
      <w:pPr>
        <w:pStyle w:val="TextoNormal"/>
      </w:pPr>
    </w:p>
    <w:p w:rsidR="0026452D" w:rsidRDefault="0026452D" w:rsidP="0026452D">
      <w:pPr>
        <w:pStyle w:val="TextoNormal"/>
      </w:pPr>
      <w:r>
        <w:t xml:space="preserve">d) Respecto del art. 16 de la Ley 2/2002, por su eventual contradicción con la normativa básica del Estado relativa al sector eléctrico, no sólo supone, a juicio del Gobierno canario, una alegación retórica, sino que la Comunidad Autónoma tiene asumida, </w:t>
      </w:r>
      <w:r w:rsidRPr="0026452D">
        <w:rPr>
          <w:i/>
        </w:rPr>
        <w:t>ex</w:t>
      </w:r>
      <w:r>
        <w:t xml:space="preserve"> arts. 30.26, 31.4 y 32.9 EACan, la competencia exclusiva sobre instalaciones de producción, distribución y transporte de energía, de acuerdo con las bases del régimen minero y energético, como el desarrollo legislativo y la ejecución del régimen energético y minero, ajustado a sus singulares condiciones. Sin perjuicio de la competencia estatal para fijar las bases del régimen energético, en las que se tiene que tener en cuenta la insularidad y lejanía del archipiélago canario, el precepto impugnado se encuadra dentro del ámbito competencial específico de </w:t>
      </w:r>
      <w:r>
        <w:lastRenderedPageBreak/>
        <w:t>la Comunidad Autónoma de Canarias, sin que los recurrentes hayan justificado que se haya producido un exceso de la norma canaria respecto de las bases estatales. Por lo demás, la Ley 54/1997 introduce una nueva regulación que no puede aplicarse de modo uniforme en todo el territorio nacional, por demandar la singularidad geográfica de los territorios insulares y extrapeninsulares un régimen diferenciado. Aunque la disposición final primera declara el carácter básico de aquella Ley, el art. 12 prevé que las actividades de suministro eléctrico en los territorios insulares y extrapeninsulares “serán objeto de una reglamentación singular que atenderá a las especificidades derivadas de su ubicación territorial”, reglamentación que cinco años después aún no se había aprobado. Las disposiciones de la Ley 54/1997 que tengan razón de ser en un territorio insular no podrán tener el carácter básico pretendido.</w:t>
      </w:r>
    </w:p>
    <w:p w:rsidR="0026452D" w:rsidRDefault="0026452D" w:rsidP="0026452D">
      <w:pPr>
        <w:pStyle w:val="TextoNormal"/>
      </w:pPr>
    </w:p>
    <w:p w:rsidR="0026452D" w:rsidRDefault="0026452D" w:rsidP="0026452D">
      <w:pPr>
        <w:pStyle w:val="TextoNormal"/>
      </w:pPr>
      <w:r>
        <w:t>e) Con referencia al art. 21.1 k) de la Ley 2/2002, por su eventual contradicción con el art. 25.1 CE, señala el Gobierno canario que se trata de una cláusula residual o de cierre que delimita conductas típicas mediante una remisión a obligaciones y prohibiciones contenidas en la “la legislación vigente”, utilizando una cláusula admitida por la doctrina del Tribunal Constitucional, pues la delimitación del contenido básico del tipo está contenida en el art. 21.1 k) que acota cuál es la legislación vigente cuyo incumplimiento integra la conducta típica: la legislación de pesca y marisqueo. Eso sí, hay que interpretar que la expresión “legislación vigente” a la que se remite el precepto impugnado lo es a normas con rango de ley, como así ha entendido el Tribunal Constitucional al interpretar la expresión “legislación vigente” del art. 25.1 CE (SSTC 42/1987, FJ 2; 69/1989, FJ 1; 22/1990, FJ 7; y 61/1990, FJ 7).</w:t>
      </w:r>
    </w:p>
    <w:p w:rsidR="0026452D" w:rsidRDefault="0026452D" w:rsidP="0026452D">
      <w:pPr>
        <w:pStyle w:val="TextoNormal"/>
      </w:pPr>
    </w:p>
    <w:p w:rsidR="0026452D" w:rsidRDefault="0026452D" w:rsidP="0026452D">
      <w:pPr>
        <w:pStyle w:val="TextoNormal"/>
      </w:pPr>
      <w:r>
        <w:t>f) Tanto el art. 14 como el art. 30 de la Ley 2/2002, relativos al patrimonio de la Comunidad Autónoma y a la Audiencia de Cuentas de Canarias, se impugnan por motivos formales, al entenderse que vulneran los arts. 47.2 y 61.2 EACan, que establecen que una ley del Parlamento de Canarias regulará tanto el patrimonio de la Comunidad Autónoma como la organización y el funcionamiento de la citada Audiencia, afirmación esta de la que los Diputados recurrentes deducen que tiene que ser leyes específicas las que regulen y modifiquen esas materias. Para el Gobierno canario no puede admitirse esta visión de la reserva de ley, pues ello implicaría que las materias reservadas a la ley una vez reguladas por una norma con rango legal no podrían ser modificadas por otras leyes posteriores distintas que aquellas que tuviesen como único objeto y finalidad la modificación de aquéllas.</w:t>
      </w:r>
    </w:p>
    <w:p w:rsidR="0026452D" w:rsidRDefault="0026452D" w:rsidP="0026452D">
      <w:pPr>
        <w:pStyle w:val="TextoNormal"/>
      </w:pPr>
    </w:p>
    <w:p w:rsidR="0026452D" w:rsidRDefault="0026452D" w:rsidP="0026452D">
      <w:pPr>
        <w:pStyle w:val="TextoNormal"/>
      </w:pPr>
      <w:r>
        <w:t xml:space="preserve">g) En cuanto a la disposición adicional cuarta de la Ley 2/2002, que añade un apartado 3 al art. 60 de la Ley 1/1998, de 8 de enero, de régimen jurídico de los espectáculos públicos y actividades clasificadas, dedicado a la medidas cautelares en los procedimientos sancionadores, se considera inconstitucional porque, según señalan los Diputados recurrentes, contradice tanto el art. 72.2 de la Ley 30/1992, sobre régimen jurídico de las Administraciones públicas y del procedimiento administrativo común, como el art. 36 de la Ley Orgánica 1/1992, sobre protección de la seguridad ciudadana. Para el Gobierno canario los Diputados recurrentes desconocen el carácter supletorio de la Ley Orgánica 1/1992 en materia de espectáculos públicos y actividades recreativas, pues según la disposición final primera el art. 36 citado no tienen carácter orgánico sino ordinario, de manera que, según la disposición final segunda, las normas contenidas en la citada ley, en la materia citada, sólo serán de aplicación en defecto de las que puedan dictar las Comunidades Autónomas con competencia normativa en esta materia. Pues bien, teniendo la Comunidad Autónoma de Canarias </w:t>
      </w:r>
      <w:r>
        <w:lastRenderedPageBreak/>
        <w:t>competencia en materia de deporte, ocio y esparcimiento, y espectáculos (art. 30.20 EACan), la regulación de los espectáculos públicos y actividades recreativas contenida en la Ley Orgánica 1/1992 queda desplazada por la normativa autonómica y, concretamente, por la Ley 1/1998, que tipifica las infracciones y sanciones, regula el procedimiento sancionador y establece las medidas cautelares. Pero no sólo tiene legitimidad el legislador canario para establecer medidas cautelares, sino que siquiera existe la contradicción pretendida entre el art. 60.3 de Ley del Parlamento de Canarias 1/1998 y el art. 36.4 de la Ley Orgánica 1/1992, pues uno y otro se han dictado en el ejercicio de competencias diferentes, aquél en materia de locales de ocio, y éste con relación al depósito de los instrumentos o efectos utilizados para la comisión de infracciones (armas, explosivos, embarcaciones y drogas tóxicas, estupefacientes o sustancias psicotrópicas). De hecho, uno y otro se complementan, porque la disposición estatal no es excluyente o incompatible con otras medidas cautelares autonómicas.</w:t>
      </w:r>
    </w:p>
    <w:p w:rsidR="0026452D" w:rsidRDefault="0026452D" w:rsidP="0026452D">
      <w:pPr>
        <w:pStyle w:val="TextoNormal"/>
      </w:pPr>
    </w:p>
    <w:p w:rsidR="0026452D" w:rsidRDefault="0026452D" w:rsidP="0026452D">
      <w:pPr>
        <w:pStyle w:val="TextoNormal"/>
      </w:pPr>
      <w:r>
        <w:t>Por otra parte, para el Gobierno canario tampoco contradice la disposición adicional cuarta de la Ley 2/2002 el art. 72.2 de la Ley 30/1992, por el hecho de que se autorice la adopción de medidas cautelares provisionalísimas por órgano distinto del competente para resolver el procedimiento sancionador, pues la Ley 30/1992 se limita a establecer los principios del procedimiento sancionador, correspondiendo a la legislación sectorial, estatal o autonómica, la regulación del procedimiento en cada materia. Sin embargo, el art. art. 72.2 de la Ley 30/1992 no es aplicable al procedimiento sancionador, que tiene una norma especial como es el art. 136 de la misma Ley 30/1992, que establece un límite en materia de medidas cautelares que es respetado por el art. 60.3 de la Ley del Parlamento de Canarias 1/1998. Además, la Ley 30/1992 no contempla la existencia de medidas provisionalísimas, razón por la cual no contiene previsión alguna sobre la revocación de las mismas por la autoridad competente.</w:t>
      </w:r>
    </w:p>
    <w:p w:rsidR="0026452D" w:rsidRDefault="0026452D" w:rsidP="0026452D">
      <w:pPr>
        <w:pStyle w:val="TextoNormal"/>
      </w:pPr>
    </w:p>
    <w:p w:rsidR="0026452D" w:rsidRDefault="0026452D" w:rsidP="0026452D">
      <w:pPr>
        <w:pStyle w:val="TextoNormal"/>
      </w:pPr>
      <w:r w:rsidRPr="0026452D">
        <w:rPr>
          <w:rStyle w:val="NumeroAFNegritaCaracter"/>
        </w:rPr>
        <w:t>10</w:t>
      </w:r>
      <w:r>
        <w:t>. Por providencia de 4 de junio de 2013 se señaló para deliberación y votación de la presente Sentencia el día 5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objeto del presente recurso de inconstitucionalidad es analizar, en primer lugar, la inconstitucionalidad de la totalidad de la Ley 2/2002, de 27 de marzo, de establecimiento de normas tributarias y de medidas en materia de organización administrativa, de gestión, relativas al personal de la Comunidad Autónoma de Canarias y de carácter sancionador, al considerar los Diputados recurrentes que vulnera los arts. 1.1, 9.3, 66, y 134.2 y 7, todos ellos de la Constitución Española, y el art. 12 del Reglamento del Parlamento de Canarias.</w:t>
      </w:r>
    </w:p>
    <w:p w:rsidR="0026452D" w:rsidRDefault="0026452D" w:rsidP="0026452D">
      <w:pPr>
        <w:pStyle w:val="TextoNormal"/>
      </w:pPr>
    </w:p>
    <w:p w:rsidR="0026452D" w:rsidRDefault="0026452D" w:rsidP="0026452D">
      <w:pPr>
        <w:pStyle w:val="TextoNormal"/>
      </w:pPr>
      <w:r>
        <w:t xml:space="preserve">Antes de entrar a dar respuesta a las concretas cuestiones planteadas por los Diputados recurrentes en este primer bloque de alegaciones conviene realizar dos precisiones previas. De un lado, es conveniente subrayar, con carácter general, que el hecho de que algunos de los preceptos o disposiciones de la Ley impugnada hayan podido ser eventualmente modificados o derogados no priva de objeto al presente recurso, sino que, antes al contrario, “es necesario que este Tribunal Constitucional se pronuncie porque una parte importante de los motivos alegados por los Diputados recurrentes afectan al procedimiento legislativo de </w:t>
      </w:r>
      <w:r>
        <w:lastRenderedPageBreak/>
        <w:t>aprobación de la ley y a su contenido posible, por lo que la eventual derogación o modificación de alguna de las normas contenidas en esta disposición legal no incidiría en el control de los vicios de validez en que pudiera haberse incurrido al momento de su aprobación, con lo cual subsiste el interés constitucional de velar por el recto ejercicio de la potestad legislativa” (STC 136/2011, de 13 de septiembre, FJ 2, con relación a la Ley 50/1998, de 30 de diciembre, de medidas fiscales, administrativas y del orden social). Ello, no obstante, sin perjuicio de que cuando se impute a preceptos concretos la violación de las normas que integran el bloque de la constitucionalidad, se pueda entrar a delimitar los efectos que sobre el objeto del presente proceso constitucional pueda tener la eventual derogación o modificación de los mismos.</w:t>
      </w:r>
    </w:p>
    <w:p w:rsidR="0026452D" w:rsidRDefault="0026452D" w:rsidP="0026452D">
      <w:pPr>
        <w:pStyle w:val="TextoNormal"/>
      </w:pPr>
    </w:p>
    <w:p w:rsidR="0026452D" w:rsidRDefault="0026452D" w:rsidP="0026452D">
      <w:pPr>
        <w:pStyle w:val="TextoNormal"/>
      </w:pPr>
      <w:r>
        <w:t>De otro lado, es necesario subrayar que los problemas de constitucionalidad generales que se suscitan en el presente recurso contra la Ley 2/2002, de 27 de marzo, son iguales a los planteados en el recurso núm. 1390-1999 seguido contra la Ley 50/1998, de 30 de diciembre, de medidas fiscales, administrativas y del orden social, en el recurso núm. 1827-2000 interpuesto contra la Ley 55/1999, de 29 de diciembre, de medidas fiscales, administrativas y del orden social, y en el recurso núm. 1848-2002 promovido contra la Ley 24/2001, de 27 de diciembre, de medidas fiscales, administrativas y del orden social, que han sido resueltos en las SSTC 136/2011, de 13 de septiembre, 176/2011, de 8 de noviembre, y 209/2012, de 14 de noviembre, respectivamente, a cuyas conclusiones hemos de remitirnos ahora, sin perjuicio de hacer una breve referencia a las mismas. Los motivos que se aducían en estos recursos con relación a las leyes de contenido heterogéneo, sucintamente expuestos, así como la respuesta dada por este Tribunal, son los siguientes:</w:t>
      </w:r>
    </w:p>
    <w:p w:rsidR="0026452D" w:rsidRDefault="0026452D" w:rsidP="0026452D">
      <w:pPr>
        <w:pStyle w:val="TextoNormal"/>
      </w:pPr>
    </w:p>
    <w:p w:rsidR="0026452D" w:rsidRDefault="0026452D" w:rsidP="0026452D">
      <w:pPr>
        <w:pStyle w:val="TextoNormal"/>
      </w:pPr>
      <w:r>
        <w:t>a) La imposibilidad constitucional de la existencia de una ley ordinaria que, con carácter anual y contenido impredecible, operase sobre la totalidad del ordenamiento jurídico, respecto de la que concluimos que “ningún óbice existe desde el punto de vista constitucional que impida o limite la incorporación a un solo texto legislativo, para su tramitación conjunta en un solo procedimiento, de multitud de medidas normativas de carácter heterogéneo” [SSTC 136/2011, de 13 de septiembre, FJ 3; 176/2011, de 8 de noviembre, FJ 2 a); 120/2012, de 4 de junio, FJ 3; y 209/2012, de 14 de noviembre, FJ 2 a)].</w:t>
      </w:r>
    </w:p>
    <w:p w:rsidR="0026452D" w:rsidRDefault="0026452D" w:rsidP="0026452D">
      <w:pPr>
        <w:pStyle w:val="TextoNormal"/>
      </w:pPr>
    </w:p>
    <w:p w:rsidR="0026452D" w:rsidRDefault="0026452D" w:rsidP="0026452D">
      <w:pPr>
        <w:pStyle w:val="TextoNormal"/>
      </w:pPr>
      <w:r>
        <w:t>b) La alteración del sistema de fuentes, con relación a la cual señalamos que el contenido heterogéneo de las leyes de medidas fiscales, administrativas y del orden social “no modifica su naturaleza de ley ordinaria, ni, por ende, altera su relación con las demás normas que integran el Ordenamiento jurídico” porque no alteran el sistema de fuentes establecido por nuestra Constitución [STC 136/2011, de 13 de septiembre, FJ 4; 176/2011, de 8 de noviembre, FJ 2 b); y 209/2012, de 14 de noviembre, FJ 2 b)].</w:t>
      </w:r>
    </w:p>
    <w:p w:rsidR="0026452D" w:rsidRDefault="0026452D" w:rsidP="0026452D">
      <w:pPr>
        <w:pStyle w:val="TextoNormal"/>
      </w:pPr>
    </w:p>
    <w:p w:rsidR="0026452D" w:rsidRDefault="0026452D" w:rsidP="0026452D">
      <w:pPr>
        <w:pStyle w:val="TextoNormal"/>
      </w:pPr>
      <w:r>
        <w:t>c) La infracción del principio democrático, el pluralismo político, la separación de poderes y los derechos de las minorías, sobre la que concluimos que el principio democrático consagrado por nuestra Constitución (art. 1.1) impone que la formación de la voluntad de las Cortes Generales se articule “a través de un procedimiento cuyos rasgos estructurales ha prescrito el texto constitucional” y en el que opera el “principio mayoritario y, por tanto, la consecución de una determinada mayoría como fórmula para la integración de voluntades concurrentes” [SSTC 136/2011, de 13 de septiembre, FJ 5; 176/2011, de 8 de noviembre, FJ 2 c); y 209/2012, de 14 de noviembre, FJ 2 c)].</w:t>
      </w:r>
    </w:p>
    <w:p w:rsidR="0026452D" w:rsidRDefault="0026452D" w:rsidP="0026452D">
      <w:pPr>
        <w:pStyle w:val="TextoNormal"/>
      </w:pPr>
    </w:p>
    <w:p w:rsidR="0026452D" w:rsidRDefault="0026452D" w:rsidP="0026452D">
      <w:pPr>
        <w:pStyle w:val="TextoNormal"/>
      </w:pPr>
      <w:r>
        <w:lastRenderedPageBreak/>
        <w:t>d) La infracción del principio de seguridad jurídica (art. 9.3 CE) al tratarse de una ley de contenido indefinido y sin objeto predeterminado, respecto de la que afirmamos que la norma impugnada tenía un objeto que, “aunque heterogéneo, está perfectamente delimitado en el momento de presentación del proyecto al Congreso de los Diputados, teniendo todos sus eventuales destinatarios (operadores jurídicos y ciudadanos) conocimiento del mismo mediante su publicación en el ‘Diario Oficial de las Cortes Generales’, como finalmente tienen conocimiento del texto definitivo mediante su inserción en el ‘Boletín Oficial del Estado’” [SSTC 136/2011, de 13 de septiembre, FJ 9; 176/2011, de 8 de noviembre, FJ 2 e); 102/2012, de 8 de mayo, FJ 2; 120/2012, de 4 de junio, FJ 3; 209/2012, de 14 de noviembre, FJ 2 d); y 36/2013, de 14 de febrero, FJ 3].</w:t>
      </w:r>
    </w:p>
    <w:p w:rsidR="0026452D" w:rsidRDefault="0026452D" w:rsidP="0026452D">
      <w:pPr>
        <w:pStyle w:val="TextoNormal"/>
      </w:pPr>
    </w:p>
    <w:p w:rsidR="0026452D" w:rsidRDefault="0026452D" w:rsidP="0026452D">
      <w:pPr>
        <w:pStyle w:val="TextoNormal"/>
      </w:pPr>
      <w:r>
        <w:t>e) En fin, la infracción de una serie de reglas del procedimiento parlamentario, como que se había tramitado el proyecto de ley por el procedimiento de urgencia (en el caso actual, por el procedimiento abreviado), que fue rechazada no sólo por no haberse denunciado ante la Cámara sino, lo que es más importante, por no haberse acreditado que su alcance era de tal magnitud que hubiese alterado, “no de cualquier manera, sino de forma sustancial, el proceso de formación de la voluntad de una Cámara, habiendo afectado, en consecuencia, al ejercicio de la función representativa inherente al estatuto del parlamentario” [SSTC 136/2011, de 13 de septiembre, FJ 10; 176/2011, de 8 de noviembre, FJ 2 f); 209/2012, de 14 de noviembre, FJ 2 e); y 36/2013, de 14 de febrero, FJ 3].</w:t>
      </w:r>
    </w:p>
    <w:p w:rsidR="0026452D" w:rsidRDefault="0026452D" w:rsidP="0026452D">
      <w:pPr>
        <w:pStyle w:val="TextoNormal"/>
      </w:pPr>
    </w:p>
    <w:p w:rsidR="0026452D" w:rsidRDefault="0026452D" w:rsidP="0026452D">
      <w:pPr>
        <w:pStyle w:val="TextoNormal"/>
      </w:pPr>
      <w:r>
        <w:t>En suma, no es suficiente para considerar inconstitucional la Ley 2/2002, de 27 de marzo, objeto del presente proceso constitucional, “el que se haya recurrido al expediente de utilizar un solo vehículo que ampare preceptos en muchas materias y sectores, por muy desaconsejable que tal práctica parezca técnicamente. Al hacerlo el legislador ha optado por la tramitación y aprobación simultánea de un conjunto de normas jurídicas cada una de ellas con su propia virtualidad y fuerza innovadora del ordenamiento jurídico, lo que en sí mismo no vulnera el art. 9.3 CE”. Y es que dicha forma de proceder podrá ser, en su caso, “expresión de una mala técnica legislativa, más de dicha circunstancia no cabe inferir de modo necesario una infracción del mencionado principio constitucional”, dado que “el juicio de constitucionalidad no lo es de técnica legislativa”, razón por la cual, no “corresponde a la jurisdicción constitucional pronunciarse sobre la perfección técnica de las leyes”, habida cuenta de que “el control jurisdiccional de la ley nada tiene que ver con su depuración técnica” (SSTC 136/2011, de 13 de septiembre, FJ 9; y 102/2012, de 8 de mayo, FJ 2).</w:t>
      </w:r>
    </w:p>
    <w:p w:rsidR="0026452D" w:rsidRDefault="0026452D" w:rsidP="0026452D">
      <w:pPr>
        <w:pStyle w:val="TextoNormal"/>
      </w:pPr>
    </w:p>
    <w:p w:rsidR="0026452D" w:rsidRDefault="0026452D" w:rsidP="0026452D">
      <w:pPr>
        <w:pStyle w:val="TextoNormal"/>
      </w:pPr>
      <w:r>
        <w:t>Debe rechazarse, en consecuencia, este primer bloque de motivos de inconstitucionalidad de la Ley 2/2002, de 27 de marzo.</w:t>
      </w:r>
    </w:p>
    <w:p w:rsidR="0026452D" w:rsidRDefault="0026452D" w:rsidP="0026452D">
      <w:pPr>
        <w:pStyle w:val="TextoNormal"/>
      </w:pPr>
    </w:p>
    <w:p w:rsidR="0026452D" w:rsidRDefault="0026452D" w:rsidP="0026452D">
      <w:pPr>
        <w:pStyle w:val="TextoNormal"/>
      </w:pPr>
      <w:r w:rsidRPr="0026452D">
        <w:rPr>
          <w:rStyle w:val="NumeroAFNegritaCaracter"/>
        </w:rPr>
        <w:t>2</w:t>
      </w:r>
      <w:r>
        <w:t>. Los Diputados recurrentes solicitan de forma subsidiaria que se declare la inconstitucionalidad de una serie de preceptos de la misma Ley 2/2002, de 27 de marzo, por vulnerar esta vez los límites previstos en el art. 134.2 y 7 CE. Concretamente, consideran que son inconstitucionales y nulos, en primer lugar, por no guardar ninguna relación con el presupuesto, los arts. 2 a 6, 10, 14 a 16, 18 a 31, disposiciones adicionales primera, tercera a sexta, disposiciones transitorias primera y segunda. En segundo lugar, por no tener una relación directa con los presupuestos generales, los arts. 7 a 9, 11 a 13, 17, disposición adicional segunda, y disposición derogatoria única, apartados 1 y 2. Y, en tercer lugar, por crear tributos sin la existencia de una previa ley tributaria sustantiva que así lo prevea, el art. 1, apartados 1 a 6.</w:t>
      </w:r>
    </w:p>
    <w:p w:rsidR="0026452D" w:rsidRDefault="0026452D" w:rsidP="0026452D">
      <w:pPr>
        <w:pStyle w:val="TextoNormal"/>
      </w:pPr>
    </w:p>
    <w:p w:rsidR="0026452D" w:rsidRDefault="0026452D" w:rsidP="0026452D">
      <w:pPr>
        <w:pStyle w:val="TextoNormal"/>
      </w:pPr>
      <w:r>
        <w:t>Debe señalarse, antes que nada, que algunos de los preceptos que constituyen el objeto del recurso en este apartado han sido, a fecha de hoy, derogados. En efecto, los arts. 7, 8, 11, 12, 13, 17 y 9, que modificaban, respectivamente, los arts. 37, 30, 104, 52.11, 52.12 y 83, e introducían un nuevo art. 67 bis, en la Ley 7/1984, de 11 de diciembre, de la hacienda pública de la Comunidad Autónoma de Canarias, han perdido su vigencia al haber sido ésta sustituida y derogada por la Ley 11/2006, de 11 de diciembre, de la hacienda pública canaria; el art. 14, que daba nueva redacción al art. 42 de la ley 8/1987, de 28 de abril, de patrimonio de la Comunidad Autónoma de Canarias, ha perdido también su vigencia al haber sido derogada esta última norma por la Ley 6/2006, de 17 julio, del patrimonio de la Comunidad Autónoma de Canarias; el art. 18, que modificaba la redacción del art. 12 de la Ley 6/1999, de 26 de marzo, de juegos y apuestas, no está vigente tras las entrada en vigor de la Ley 8/2010, de 15 de julio, de los juegos y apuestas, que deroga expresamente aquella Ley; los arts. 20 a 23, que introducían un régimen sancionador en materia de pesca marítima en aguas interiores, marisqueo y acuicultura, han sido expresamente derogados por la Ley 17/2003, de 10 de abril, de pesca de Canarias; la disposición adicional cuarta, que introducía un apartado 3 al art. 60 de la Ley 1/1998, de 8 de enero, de régimen jurídico de los espectáculos públicos y actividades clasificadas, ha perdido su vigencia al haber sido esta norma derogada y sustituida por la Ley 7/2011, de 5 de abril, de actividades clasificadas y espectáculos públicos y otras medidas administrativas complementarias; y, en fin, la disposición adicional quinta, que modificaba la disposición adicional primera de la Ley 6/2001, de 23 de julio, de medidas urgentes en materia de ordenación del territorio y del turismo de Canarias, ha perdido su vigencia al haber sido derogada esta última por la Ley 19/2003, de 14 de abril, por la que se aprueban las directrices de ordenación general y las directrices de ordenación del turismo de Canarias.</w:t>
      </w:r>
    </w:p>
    <w:p w:rsidR="0026452D" w:rsidRDefault="0026452D" w:rsidP="0026452D">
      <w:pPr>
        <w:pStyle w:val="TextoNormal"/>
      </w:pPr>
    </w:p>
    <w:p w:rsidR="0026452D" w:rsidRDefault="0026452D" w:rsidP="0026452D">
      <w:pPr>
        <w:pStyle w:val="TextoNormal"/>
      </w:pPr>
      <w:r>
        <w:t>Por otra parte, debe añadirse que otros de los preceptos que constituyen también el objeto del recurso en este mismo apartado han sufrido alteraciones en su redacción, como ha sucedido con el art. 1.1, que introdujo un capítulo IX al título III del Decreto Legislativo 1/1994, de 29 de julio, por el que se aprueba el texto refundido de las disposiciones legales vigentes en materia de tasas y precios públicos de la Comunidad Autónoma de Canarias, que ha sido modificado, primero, por la Ley 12/2006, de 28 diciembre, de presupuestos generales de la Comunidad Autónoma de Canarias para 2007, y, luego, por la Ley 4/2012, de 25 junio, de medidas administrativas y fiscales; el art. 1.6, que modificaba el apartado 4 de la disposición adicional quinta del mismo Decreto Legislativo 1/1994, de 29 de julio, que se ha visto modificado por la Ley 9/2003, de 3 abril, de medidas tributarias y de financiación de las haciendas territoriales canarias; el art. 15, que modificaba el art. 18.1 de la Ley 7/1995, de 6 de abril, de ordenación del turismo de Canarias, que ha sido objeto de nueva redacción por la Ley 14/2009, de 30 de diciembre, por la que se modifica la Ley 7/1995, de 6 de abril, de ordenación del turismo de Canarias; o, en fin, la disposición adicional tercera, que modificaba, entre otros, los apartados 1 y 2 de la disposición transitoria segunda del Decreto Legislativo 1/2000, de 8 de mayo, por el que se aprueba el texto refundido de las leyes de ordenación del territorio de Canarias y de espacios naturales de Canarias, que han sido objeto de nueva redacción por la Ley 1/2006, de 7 de febrero, por la que se modifica la Ley 2/2003, de 30 de enero, de vivienda de Canarias.</w:t>
      </w:r>
    </w:p>
    <w:p w:rsidR="0026452D" w:rsidRDefault="0026452D" w:rsidP="0026452D">
      <w:pPr>
        <w:pStyle w:val="TextoNormal"/>
      </w:pPr>
    </w:p>
    <w:p w:rsidR="0026452D" w:rsidRDefault="0026452D" w:rsidP="0026452D">
      <w:pPr>
        <w:pStyle w:val="TextoNormal"/>
      </w:pPr>
      <w:r>
        <w:lastRenderedPageBreak/>
        <w:t>Pues bien, el hecho de que unos y otros preceptos hayan sido derogados o modificados no priva de objeto al presente recurso de inconstitucionalidad en lo que a este segundo bloque de alegaciones se refiere, en la medida que al imputárseles como vicio la afectación del contenido posible de la Ley impugnada, subsiste el interés constitucional de velar por el recto ejercicio de la potestad legislativa (STC 136/2011, de 13 de septiembre, FJ 2).</w:t>
      </w:r>
    </w:p>
    <w:p w:rsidR="0026452D" w:rsidRDefault="0026452D" w:rsidP="0026452D">
      <w:pPr>
        <w:pStyle w:val="TextoNormal"/>
      </w:pPr>
    </w:p>
    <w:p w:rsidR="0026452D" w:rsidRDefault="0026452D" w:rsidP="0026452D">
      <w:pPr>
        <w:pStyle w:val="TextoNormal"/>
      </w:pPr>
      <w:r>
        <w:t>Dicho lo que antecede, debe señalarse que con relación a los presupuestos de las Comunidades Autónomas este Tribunal ha señalado que “aunque de la literalidad del art. 134 CE examinado se deduce, en principio, que las reglas en él contenidas tienen como objeto directo la regulación de una institución estatal, de modo que ‘de los preceptos constitucionales que regulan las instituciones del Estado no pueden inferirse, sin más, reglas y principios de aplicación, por vía analógica, a las instituciones autonómicas homólogas’, es evidente que existen una serie de reglas y principios constitucionales que son predicables de toda institución presupuestaria, estatal o autonómica. En consecuencia, para determinar cuáles son esas reglas y principios aplicables a los instrumentos presupuestarios de las Comunidades Autónomas no sólo hay que acudir a la Constitución, sino también a lo previsto ‘en sus respectivos Estatutos de Autonomía’ y ‘en las leyes estatales que, dentro del marco constitucional, se hubiesen dictado para delimitar las competencias del Estado y las Comunidades Autónomas (singularmente la Ley Orgánica de Financiación de las Comunidades Autónomas)’” (STC 3/2003, de 16 de enero, FJ 6; y también SSTC 116/1994, de 18 de abril, FJ 5; 174/1998, de 23 de julio, FJ 6; 130/1999, de 1 de julio, FJ 5; 180/2000, de 29 de junio, FJ 5; 274/2000, de 15 de noviembre, FJ 5; 202/2003, de 17 de noviembre, FJ 10; 7/2010, de 27 de abril, FJ 3; y 74/2011, de 19 de mayo, FJ 3).</w:t>
      </w:r>
    </w:p>
    <w:p w:rsidR="0026452D" w:rsidRDefault="0026452D" w:rsidP="0026452D">
      <w:pPr>
        <w:pStyle w:val="TextoNormal"/>
      </w:pPr>
    </w:p>
    <w:p w:rsidR="0026452D" w:rsidRDefault="0026452D" w:rsidP="0026452D">
      <w:pPr>
        <w:pStyle w:val="TextoNormal"/>
      </w:pPr>
      <w:r>
        <w:t>Pues bien, el apartado 1 del art. 61 de la Ley Orgánica 10/1982, de 10 de agosto, del Estatuto de Autonomía de Canarias (en adelante, EACan), señala que los presupuestos generales de la Comunidad Autónoma “tendrán carácter anual e igual período que los del Estado”, incluyendo “la totalidad de los ingresos y gastos corrientes y de inversión” [letra b)]. Esta definición coincide sustancialmente con la recogida en el apartado 1 del art. 21 de la Ley Orgánica 8/1980, de 22 de septiembre, en la redacción dada por la Ley Orgánica 5/2001, de 13 de diciembre, de financiación de las Comunidades Autónomas (LOFCA), según la cual “[l]os presupuestos de las Comunidades Autónomas tendrá carácter anual e igual periodo que los del Estado, atenderán al cumplimiento del principio de estabilidad presupuestaria, incluirán la totalidad de los gastos e ingresos de los organismos y entidades integrantes de la misma, y en ellos se consignará el importe de los beneficios fiscales que afecten a los tributos atribuidos a las referidas Comunidades”. De una y otra regulación “se deduce la existencia de una sustancial identidad entre las normas que son aplicables a los presupuestos generales” de la Comunidad Autónoma canaria y lo dispuesto respecto de los del Estado en el art. 134.2 CE “como no podía ser de otro modo, dado que la norma constitucional y la estatutaria (así como las normas que las desarrollan) no hacen otra cosa que recoger una serie de principios que, como hemos dicho, son consustanciales a la institución presupuestaria y al sistema parlamentario (arts. 66 y 152.1, ambos de la Constitución)” (STC 3/2003, de 16 de enero, FJ 3).</w:t>
      </w:r>
    </w:p>
    <w:p w:rsidR="0026452D" w:rsidRDefault="0026452D" w:rsidP="0026452D">
      <w:pPr>
        <w:pStyle w:val="TextoNormal"/>
      </w:pPr>
    </w:p>
    <w:p w:rsidR="0026452D" w:rsidRDefault="0026452D" w:rsidP="0026452D">
      <w:pPr>
        <w:pStyle w:val="TextoNormal"/>
      </w:pPr>
      <w:r>
        <w:t xml:space="preserve">Ahora bien, del hecho de que a la institución presupuestaria, tanto del Estado como de la Comunidad Autónoma de Canarias, le sean de aplicación unos principios comunes no se puede deducir, como pretenden los recurrentes, que las reglas y límites que derivan de esos principios se deban extender a las leyes de medidas. Debemos recordar que dicha pretensión </w:t>
      </w:r>
      <w:r>
        <w:lastRenderedPageBreak/>
        <w:t>ya ha sido rechazada por este Tribunal al señalar que “debe afirmarse taxativamente que las limitaciones materiales y temporales a que el constituyente ha sometido el instrumento presupuestario sólo a éste se refieren, no pudiendo extrapolarse a otras disposiciones generales que, no siendo fruto de la actividad presupuestaria de las Cortes (art. 134 CE), son el resultado del ejercicio genérico de su actividad legislativa (art. 66.2 CE)” (SSTC 136/2011, de 13 de septiembre, FJ 11; 176/2011, de 8 de noviembre, FJ 3; y 209/2012, de 14 de noviembre, FJ 3).</w:t>
      </w:r>
    </w:p>
    <w:p w:rsidR="0026452D" w:rsidRDefault="0026452D" w:rsidP="0026452D">
      <w:pPr>
        <w:pStyle w:val="TextoNormal"/>
      </w:pPr>
    </w:p>
    <w:p w:rsidR="0026452D" w:rsidRDefault="0026452D" w:rsidP="0026452D">
      <w:pPr>
        <w:pStyle w:val="TextoNormal"/>
      </w:pPr>
      <w:r>
        <w:t>Por otra parte, debe precisarse también que del límite que consagra el inciso segundo del art. 134.7 CE “no puede inducirse un principio general de prohibición de modificar tributos por medio de las leyes de presupuestos autonómicas o forales sin la previa habilitación de una ley tributaria sustantiva” (STC 116/1994, de 18 de abril, FJ 5; 149/1994, de 12 de mayo, FJ único; 174/1998, de 23 de julio, FJ 6; 130/1999, de 1 de julio, FJ 5; 180/2000, de 29 de junio, FJ 5; 274/2000, de 15 de noviembre, FJ 5; 7/2010, de 27 de abril, FJ 3; y 136/2011, de 13 de septiembre, FJ 12), de manera que “esta limitación constitucional no resulta de aplicación a las leyes de presupuestos de las Comunidades Autónomas” (STC 7/2010, de 27 de abril, FJ 3), salvo que alguna disposición integrada en el bloque de la constitucionalidad (singularmente, la Ley Orgánica de financiación de las Comunidades Autónomas o el Estatuto de Autonomía), impida que una Comunidad Autónoma mediante ley de presupuestos generales de la Comunidad pueda modificar tributos (SSTC 116/1994, de 18 de abril, FJ 9; 180/2000, de 29 de junio, FJ 5; y 274/2000, de 15 de noviembre, FJ 5). Pues bien, puesto que el art. 60 EACan, a diferencia de lo que sucede con otros Estatutos de Autonomía (por ejemplo, el art. 190.6 de la Ley Orgánica 2/2007, de 19 de marzo, de reforma del Estatuto de Autonomía para Andalucía; el art. 212 de la Ley Orgánica 6/2006, de 19 de julio, de reforma del Estatuto de Autonomía de Cataluña; art. 78.6 de la Ley Orgánica 1/2011, de 28 de enero, de reforma del Estatuto de Autonomía de la Comunidad Autónoma de Extremadura; o el art. 56.5 de la Ley Orgánica 3/1982, de 9 de junio, de Estatuto de Autonomía de La Rioja), no contempla una limitación expresa de similar naturaleza a la prevista en el art. 134.7 CE, es claro que al instrumento presupuestario de la Comunidad Autónoma de Canarias no le sería de aplicación la citada prohibición.</w:t>
      </w:r>
    </w:p>
    <w:p w:rsidR="0026452D" w:rsidRDefault="0026452D" w:rsidP="0026452D">
      <w:pPr>
        <w:pStyle w:val="TextoNormal"/>
      </w:pPr>
    </w:p>
    <w:p w:rsidR="0026452D" w:rsidRDefault="0026452D" w:rsidP="0026452D">
      <w:pPr>
        <w:pStyle w:val="TextoNormal"/>
      </w:pPr>
      <w:r>
        <w:t>En consecuencia, como apuntan el Parlamento y el Gobierno de Canarias, no es posible aplicar a ese tipo de leyes ordinarias los límites fijados por la doctrina del Tribunal a las leyes de presupuestos, dado que, en tal caso, se estaría aplicando a un tipo de ley los límites previsto para otro tipo. Deben rechazarse, en consecuencia, los vicios denunciados desde esta perspectiva.</w:t>
      </w:r>
    </w:p>
    <w:p w:rsidR="0026452D" w:rsidRDefault="0026452D" w:rsidP="0026452D">
      <w:pPr>
        <w:pStyle w:val="TextoNormal"/>
      </w:pPr>
    </w:p>
    <w:p w:rsidR="0026452D" w:rsidRDefault="0026452D" w:rsidP="0026452D">
      <w:pPr>
        <w:pStyle w:val="TextoNormal"/>
      </w:pPr>
      <w:r w:rsidRPr="0026452D">
        <w:rPr>
          <w:rStyle w:val="NumeroAFNegritaCaracter"/>
        </w:rPr>
        <w:t>3</w:t>
      </w:r>
      <w:r>
        <w:t>. Para los Diputados recurrentes los arts. 12, 13 y 30, así como las disposiciones adicionales primera a sexta, y la disposición transitoria segunda de la Ley del Parlamento de Canarias 2/2002 son inconstitucionales por vulnerar el derecho de participación política del art. 1.1 CE, al derivar de enmiendas que no tenían ninguna relación con el texto del proyecto de ley. A su juicio, la presentación de enmiendas con un contenido extraño al delimitado por el proyecto o proposición implica la vulneración del derecho de participación política de los Diputados y una alteración sustancial del procedimiento de formación de voluntad de la Cámara. No comparten esta opinión ni el Parlamento ni el Gobierno de Canarias, para quienes del Reglamento de la Cámara no sólo no se deduce limitación alguna al ejercicio del derecho de enmienda, sino que la interpretación del significado y límites de la potestad de enmendar que hacen los recurrentes ha sido rechazada por el Tribunal Constitucional.</w:t>
      </w:r>
    </w:p>
    <w:p w:rsidR="0026452D" w:rsidRDefault="0026452D" w:rsidP="0026452D">
      <w:pPr>
        <w:pStyle w:val="TextoNormal"/>
      </w:pPr>
    </w:p>
    <w:p w:rsidR="0026452D" w:rsidRDefault="0026452D" w:rsidP="0026452D">
      <w:pPr>
        <w:pStyle w:val="TextoNormal"/>
      </w:pPr>
      <w:r>
        <w:t>Antes de entrar a analizar esta nueva cuestión planteada por los Diputados recurrentes, debe volver a insistirse en que los arts. 12 y 13, que modificaban, respectivamente, los arts. 52.11 y 52.12 de la Ley 7/1984, de 11 de diciembre, de la hacienda pública de la Comunidad Autónoma de Canarias, han perdido su vigencia al haber sido sustituida y derogada esta norma legal por la Ley 11/2006, de 11 de diciembre, de la hacienda pública canaria. Lo mismo ha sucedido con la disposición adicional cuarta, que introducía un apartado 3 al art. 60 de la Ley 1/1998, de 8 de enero, de régimen jurídico de los espectáculos públicos y actividades clasificadas, que ha perdido su vigencia al haber sido esta norma derogada y sustituida por la Ley 7/2011, de 5 de abril, de actividades clasificadas y espectáculos públicos y otras medidas administrativas complementarias. También la disposición adicional quinta, que modificaba la disposición adicional primera de la Ley 6/2001, de 23 de julio, de medidas urgentes en materia de ordenación del territorio y del turismo de Canarias, ha perdido su vigencia al haber sido derogada esta última por la Ley 19/2003, de 14 de abril, por la que se aprueban las directrices de ordenación general y las directrices de ordenación del turismo de Canarias. Y, en fin, la disposición adicional tercera, que modificaba, entre otros, los apartados 1 y 2 de la disposición transitoria segunda del Decreto Legislativo 1/2000, de 8 de mayo, por el que se aprueba el texto refundido de las Leyes de ordenación del territorio de Canarias y de espacios naturales de Canarias, han sido objeto de nueva redacción por la Ley 1/2006, de 7 de febrero, por la que se modifica la Ley 2/2003, de 30 de enero, de vivienda de Canarias.</w:t>
      </w:r>
    </w:p>
    <w:p w:rsidR="0026452D" w:rsidRDefault="0026452D" w:rsidP="0026452D">
      <w:pPr>
        <w:pStyle w:val="TextoNormal"/>
      </w:pPr>
    </w:p>
    <w:p w:rsidR="0026452D" w:rsidRDefault="0026452D" w:rsidP="0026452D">
      <w:pPr>
        <w:pStyle w:val="TextoNormal"/>
      </w:pPr>
      <w:r>
        <w:t>Pues bien, una vez más debe subrayarse que la derogación o modificación de los preceptos impugnados en este bloque de alegaciones no produce la extinción del proceso cuando lo que está en juego es el control de los vicios de validez que pudieran haber incidido sobre la propia aprobación de una norma, ya que en tal caso subsiste una vez más el interés constitucional de velar por el recto ejercicio de la potestad legislativa (SSTC 136/2011, de 13 de septiembre, FJ 2; y 86/2013, de 11 de abril, FJ 2).</w:t>
      </w:r>
    </w:p>
    <w:p w:rsidR="0026452D" w:rsidRDefault="0026452D" w:rsidP="0026452D">
      <w:pPr>
        <w:pStyle w:val="TextoNormal"/>
      </w:pPr>
    </w:p>
    <w:p w:rsidR="0026452D" w:rsidRDefault="0026452D" w:rsidP="0026452D">
      <w:pPr>
        <w:pStyle w:val="TextoNormal"/>
      </w:pPr>
      <w:r>
        <w:t xml:space="preserve">Para analizar la posición que ocupa el derecho de enmienda dentro del ejercicio de la potestad legislativa que el Estatuto de Autonomía de Canarias atribuye a su Parlamento (art. 13 EACan), no sólo debemos acudir a las disposiciones que sobre el particular recoge la norma estatutaria, sino también a aquellas otras que puedan estar integradas en el denominado “bloque de la constitucionalidad” y que, por tanto, se erigen en parámetro de apreciación de la constitucionalidad de las leyes, disposiciones o actos con fuerza de ley (SSTC 247/2007, de 12 de diciembre, FJ 6; y 136/2011, de 13 de septiembre, FJ 6). Entre esas disposiciones se encuentran las de los reglamentos parlamentarios, “que en algunos supuestos pueden ser considerados como normas interpuestas entre la Constitución y las leyes y, por ello, en tales casos, son condición de la validez constitucional de estas últimas” (SSTC 227/2004, de 29 de noviembre, FJ 2; y 136/2011, de 13 de septiembre, FJ 6). De esta manera, aunque el art. 28.1 de la Ley Orgánica del Tribunal Constitucional no mencione los reglamentos parlamentarios entre aquellas normas cuya infracción puede acarrear la inconstitucionalidad de la ley, “no es dudoso que, tanto por la invulnerabilidad de tales reglas de procedimiento frente a la acción del legislador como, sobre todo, por el carácter instrumental que esas reglas tienen respecto de uno de los valores superiores de nuestro ordenamiento, el del pluralismo político (art. 1.1 CE), la inobservancia de los preceptos que regulan el procedimiento legislativo podría viciar de inconstitucionalidad la ley cuando esa inobservancia altere de modo sustancial el proceso de formación de voluntad en el seno de las </w:t>
      </w:r>
      <w:r>
        <w:lastRenderedPageBreak/>
        <w:t>Cámaras” [SSTC 99/1987, de 11 de junio, FJ 1 a); 103/2008, de 11 de septiembre, FJ 5; y 136/2011, de 13 de septiembre, FJ 6].</w:t>
      </w:r>
    </w:p>
    <w:p w:rsidR="0026452D" w:rsidRDefault="0026452D" w:rsidP="0026452D">
      <w:pPr>
        <w:pStyle w:val="TextoNormal"/>
      </w:pPr>
    </w:p>
    <w:p w:rsidR="0026452D" w:rsidRDefault="0026452D" w:rsidP="0026452D">
      <w:pPr>
        <w:pStyle w:val="TextoNormal"/>
      </w:pPr>
      <w:r>
        <w:t>El Reglamento del Parlamento de Canarias de 17 de abril de 1991 regula la facultad de enmendar de los diputados y grupos parlamentarios (arts. 121 y siguientes), en términos similares a cómo se recoge en el Reglamento del Congreso para los diputados y grupos parlamentarios nacionales (arts. 109 y siguientes). Pues bien, este Tribunal ya ha tenido ocasión de pronunciarse con relación al ejercicio del derecho de enmienda al articulado y, concretamente, respecto de la introducción de enmiendas sin conexión con el texto inicial del proyecto de ley, habiendo señalado que las citadas enmiendas deben respetar una “conexión mínima de homogeneidad con el texto enmendado”, de manera que “toda enmienda parcial tiene que tener un carácter subsidiario o incidental respecto del texto a enmendar”, so pena de afectar, de modo contrario a la Constitución, tanto al derecho del autor de la iniciativa (art. 87 CE), como al carácter instrumental del procedimiento legislativo (art. 66.2 CE) y, en consecuencia, a la función y fines asignados al ejercicio de la potestad legislativa por las Cámaras, provocando un vicio en el desarrollo del citado procedimiento que podría alcanzar relevancia constitucional, si alterase de forma sustancial el proceso de formación de voluntad en el seno de las Cámaras [SSTC 136/2011, de 13 de septiembre, FJ 8; 176/2011, de 8 de noviembre, FJ 2 d); y 209/2012, de 14 de noviembre, FJ 4]. Eso sí, hemos precisado a renglón seguido que si bien los principios y valores que subyacen en el correcto ejercicio del derecho de enmienda dentro del procedimiento legislativo “han de ser respetados también en la tramitación de las leyes que, como la impugnada, tengan un contenido heterogéneo”, sin embargo, en el caso de leyes de contenido heterogéneo —como las de medidas fiscales, administrativas y del orden social— “la conexión de homogeneidad ha de entenderse de modo flexible que atienda también a su funcionalidad; y es que la pluralidad de las materias sobre las que versa en tales casos la iniciativa legislativa no las convierte en leyes de contenido indeterminado, ya que éste queda delimitado en el concreto texto presentado para su tramitación parlamentaria” (SSTC 136/2011, de 13 de septiembre, FJ 8; y 209/2012, de 14 de noviembre, FJ 4).</w:t>
      </w:r>
    </w:p>
    <w:p w:rsidR="0026452D" w:rsidRDefault="0026452D" w:rsidP="0026452D">
      <w:pPr>
        <w:pStyle w:val="TextoNormal"/>
      </w:pPr>
    </w:p>
    <w:p w:rsidR="0026452D" w:rsidRDefault="0026452D" w:rsidP="0026452D">
      <w:pPr>
        <w:pStyle w:val="TextoNormal"/>
      </w:pPr>
      <w:r>
        <w:t xml:space="preserve">Consideran los Diputados recurrentes que los arts. 12 [que modifica el art. 52.11 de la Ley 7/1984, de 11 de diciembre, de la hacienda pública de la Comunidad Autónoma de Canarias, para introducir un límite al uso de las subvenciones en operaciones vinculadas (fruto de la enmienda núm. 3 del Grupo Popular)], 13 [que modifica el art. 52.12 de la Ley 7/1984, de 11 de diciembre, de la hacienda pública de la Comunidad Autónoma de Canarias, como consecuencia de la alteración operada en el apartado anterior con relación al uso de los fondos recibidos en operaciones vinculadas (fruto de la enmienda núm. 4 del Grupo Popular)] y 30 [que modifica el art. 36.2 y 3 de la Ley 4/1989, de 2 de mayo, de la Audiencia de cuentas de Canarias, creando unos nuevos cuerpos y escalas (derivado de las enmiendas núms. 1 y 22 del Grupo Popular y Coalición Canaria, respectivamente)], así como las disposiciones adicionales primera [que modifica el art. 3 de la Ley 8/1989, de 13 de julio, de creación del cuerpo de agentes de medio ambiente de la Comunidad Autónoma de Canarias, con relación al título y forma de ingreso en el cuerpo (como consecuencia de las enmiendas núms. 5 y 18, del Grupo Popular y Coalición Canaria, respectivamente)], segunda [que modifica el art. 48.2 de la Ley 9/2001, de presupuestos generales de la Comunidad Autónoma de Canarias para 2002, en cuanto al límite máximo de avales de la Comunidad Autónoma a empresas públicas (fruto de la enmienda núm. 19 de Coalición Canaria)], tercera [que modifica la disposición transitoria segunda del Decreto Legislativo 1/2000, de 8 de mayo, por </w:t>
      </w:r>
      <w:r>
        <w:lastRenderedPageBreak/>
        <w:t>el que se aprueba el texto refundido de las Leyes de ordenación del territorio de Canarias y de espacios naturales de Canarias, con relación a los planes de ordenación territorial y urbanística y los instrumentos de gestión de los espacios naturales protegidos (introducida por la enmienda núm. 23 de Coalición Canaria)], cuarta [que añade un apartado 3 al art. 60 de la Ley 1/1998, de 8 de enero, de régimen jurídico de los espectáculos públicos y actividades clasificadas, relativo a la adopción de medidas de clausura de local o cese de actividades (objeto de la enmienda núm. 21 de Coalición Canaria)], quinta [que modifica la disposición final primera de la Ley 6/2001, de 23 de julio, de medidas urgentes en materia de ordenación del territorio y del turismo de Canarias, relativa al plazo para aprobar provisionalmente las directrices de ordenación general y del turismo (consecuencia de la enmienda núm. 24 de Coalición Canaria)], sexta [que modifica el art. 9 de la Ley 10/1990, de 23 de mayo, de colegios profesionales, relativo a la colegiación de los profesionales titulados vinculados con la Administración pública canaria (fruto de la enmienda núm. 25 de Coalición Canaria)] y la disposición transitoria segunda [que integra en los nuevos cuerpos y escalas de la Audiencia de cuentas de Canarias, a determinado personal de la Audiencia de cuentas de Canarias (derivada de la enmienda núm. 2 del Grupo Popular)], son contrarios al derecho de participación política del art. 1.1 CE por no guardar conexión alguna con el texto de la iniciativa legislativa presentada por el Gobierno canario en el Parlamento.</w:t>
      </w:r>
    </w:p>
    <w:p w:rsidR="0026452D" w:rsidRDefault="0026452D" w:rsidP="0026452D">
      <w:pPr>
        <w:pStyle w:val="TextoNormal"/>
      </w:pPr>
    </w:p>
    <w:p w:rsidR="0026452D" w:rsidRDefault="0026452D" w:rsidP="0026452D">
      <w:pPr>
        <w:pStyle w:val="TextoNormal"/>
      </w:pPr>
      <w:r>
        <w:t>Si la conexión de homogeneidad exigible a las leyes de contenido heterogéneo “ha de entenderse de modo flexible” para que “atienda también a su funcionalidad”, la introducción de las enmiendas citadas en materia de organización administrativa, gestión administrativa, regímenes sancionadores administrativos y personal al servicio de la Comunidad Autónoma canaria, precisamente en el texto de una iniciativa que hacía referencia a medidas de organización, gestión, regímenes sancionadores y personal de la Comunidad Autónoma, no sólo no está huérfana de la necesaria conexión material con el objeto de la iniciativa (STC 136/2011, de 13 de septiembre, FJ 8), sino que es congruente con su objeto, espíritu y fines esenciales (ATC 118/1999, de 10 de mayo, FJ 4), “tanto más cuando la conexión reclamada no tiene que ser de identidad con las medidas previstas en el texto de la iniciativa sino de afinidad con las materias recogidas en el mismo” [STC 209/2012, de 14 de noviembre, FJ 4 b)]. En efecto, basta con acudir al texto de la iniciativa legislativa que dio lugar a la Ley impugnada en el presente proceso constitucional, para comprobar cómo bajo el título de “Proyecto de Ley de establecimiento de normas tributarias y de medidas en materia de organización administrativa, de gestión, relativas al personal de la Comunidad Autónoma de Canarias y de carácter sancionador” (“Boletín Oficial del Parlamento de Canarias”, V Legislatura, núm. 39, 6 de febrero de 2002), para advertir que se produce la conexión referida, respecto de las enmiendas:</w:t>
      </w:r>
    </w:p>
    <w:p w:rsidR="0026452D" w:rsidRDefault="0026452D" w:rsidP="0026452D">
      <w:pPr>
        <w:pStyle w:val="TextoNormal"/>
      </w:pPr>
    </w:p>
    <w:p w:rsidR="0026452D" w:rsidRDefault="0026452D" w:rsidP="0026452D">
      <w:pPr>
        <w:pStyle w:val="TextoNormal"/>
      </w:pPr>
      <w:r>
        <w:t xml:space="preserve">a) Se introducían en el capítulo II (medidas en materia de organización administrativa) una serie de disposiciones que afectaban al art. 4 del Decreto Legislativo 1/2000, de 8 de mayo, por el que se aprueba el texto refundido de las Leyes de ordenación del territorio de canarias y de espacios naturales de Canarias (relativo a la organización y funciones de la comisión de valoraciones de Canarias), por lo que no se puede sostener que las enmiendas núm. 23 (que modificaba la disposición transitoria segunda del citado texto refundido con relación a los planes de ordenación e instrumentos de gestión) y núm. 24 (por la que se modificaba la disposición final primera de la Ley 6/2001, de 23 de julio, de medidas urgentes en materia de ordenación del territorio y del turismo de Canarias, relativa al plazo para </w:t>
      </w:r>
      <w:r>
        <w:lastRenderedPageBreak/>
        <w:t>aprobar provisionalmente las directrices de ordenación general y del turismo), no mantuviese la mínima y necesaria conexión con el objeto de la iniciativa legislativa.</w:t>
      </w:r>
    </w:p>
    <w:p w:rsidR="0026452D" w:rsidRDefault="0026452D" w:rsidP="0026452D">
      <w:pPr>
        <w:pStyle w:val="TextoNormal"/>
      </w:pPr>
    </w:p>
    <w:p w:rsidR="0026452D" w:rsidRDefault="0026452D" w:rsidP="0026452D">
      <w:pPr>
        <w:pStyle w:val="TextoNormal"/>
      </w:pPr>
      <w:r>
        <w:t>b) Se recogían dentro del capítulo III (medidas en materia de gestión) una serie de disposiciones que afectaban a los gastos de carácter plurianual (art. 9), ejercicio presupuestario (art. 10), operaciones de endeudamiento (art. 11), contratación (art. 13) e intervención de obligaciones o pagos (art. 17), regulados en la Ley 7/1984, de 11 de diciembre, de hacienda pública de la Comunidad Autónoma de Canarias, por lo que no se puede sostener con un mínimo de fundamento que las enmiendas núms. 3 y 4 (que modificaban diversos apartados del art. 52 de esa misma Ley, pero en materia de subvenciones), y núm. 19 (que modificaba el art. 48.2 de la Ley 9/2001, de presupuestos generales de la Comunidad Autónoma de Canarias para 2002, en cuanto al límite máximo de avales de la Comunidad Autónoma a empresas públicas), no guardaban la mínima y necesaria conexión con el objeto de la iniciativa legislativa.</w:t>
      </w:r>
    </w:p>
    <w:p w:rsidR="0026452D" w:rsidRDefault="0026452D" w:rsidP="0026452D">
      <w:pPr>
        <w:pStyle w:val="TextoNormal"/>
      </w:pPr>
    </w:p>
    <w:p w:rsidR="0026452D" w:rsidRDefault="0026452D" w:rsidP="0026452D">
      <w:pPr>
        <w:pStyle w:val="TextoNormal"/>
      </w:pPr>
      <w:r>
        <w:t>c) Se incorporaban dentro del capítulo IV (medidas en materia de regímenes sancionadores) unos regímenes sancionadores relativos a servicios sociales especializados (art. 19) y a pesca marítima en aguas interiores, marisqueo y acuicultura (arts. 20 a 23), por lo que la enmienda núm. 21 (que añade un apartado 3 al art. 60 de la Ley 1/1998, de 8 de enero, de régimen jurídico de los espectáculos públicos y actividades clasificadas, relativo a la adopción de la medida cautelar de clausura de local o cese de actividades del procedimiento sancionador en la materia), guarda la mínima conexión necesaria con el objeto de la iniciativa legislativa.</w:t>
      </w:r>
    </w:p>
    <w:p w:rsidR="0026452D" w:rsidRDefault="0026452D" w:rsidP="0026452D">
      <w:pPr>
        <w:pStyle w:val="TextoNormal"/>
      </w:pPr>
    </w:p>
    <w:p w:rsidR="0026452D" w:rsidRDefault="0026452D" w:rsidP="0026452D">
      <w:pPr>
        <w:pStyle w:val="TextoNormal"/>
      </w:pPr>
      <w:r>
        <w:t>d) Se preveían dentro del capítulo V (medidas relativas al personal), una serie de disposiciones que incidían en la función pública canaria (art. 24), en el cuerpo de técnicos auxiliares (art. 26) y en la funcionarización (art. 28), reguladas por la Ley 2/1987, de 30 de marzo, de la función pública; en el personal estadístico (art. 25) previsto en la Ley 1/1991, de 28 de enero, de estadística de la Comunidad Autónoma de Canarias; y en la escala de conservadores y restauradores (art. 27), que se incorpora a la Ley 4/1999, de 15 de marzo, de patrimonio histórico de Canarias. En consecuencia, las enmiendas núms. 1 y 22 (que modificaban los apartados 2 y 3 del art. 36.2 y 3 de la Ley 4/1989, de 2 de mayo, de la Audiencia de cuentas de Canarias, creando unos nuevos cuerpos y escalas), núm. 2 (que integraba en los nuevos cuerpos y escalas de la Audiencia de cuentas de Canarias a determinado personal), núms. 5 y 18 (que modificaban el art. 3 de la Ley 8/1989, de 13 de julio, de creación del cuerpo de agentes de medio ambiente de la Comunidad Autónoma de Canarias, con relación al título y forma de ingreso) y núm. 25 (que modificaba el art. 9 de la Ley 10/1990, de 23 de mayo, de colegios profesionales, relativo a la colegiación de los profesionales titulados vinculados con la Administración pública canaria), no carecen de una conexión mínima con el objeto de la iniciativa legislativa.</w:t>
      </w:r>
    </w:p>
    <w:p w:rsidR="0026452D" w:rsidRDefault="0026452D" w:rsidP="0026452D">
      <w:pPr>
        <w:pStyle w:val="TextoNormal"/>
      </w:pPr>
    </w:p>
    <w:p w:rsidR="0026452D" w:rsidRDefault="0026452D" w:rsidP="0026452D">
      <w:pPr>
        <w:pStyle w:val="TextoNormal"/>
      </w:pPr>
      <w:r>
        <w:t>En suma, ninguna de las medidas introducidas a través de las enmiendas controvertidas adolece de la necesaria conexión de homogeneidad con el texto enmendado, ni tampoco posee una entidad cualitativa tal que pudiera justificar la necesidad de la tramitación individualizada de una iniciativa legislativa, razón por la cual, debe rechazarse el vicio imputado a la norma impugnada.</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4</w:t>
      </w:r>
      <w:r>
        <w:t>. Los Diputados recurrentes imputan a continuación a los arts. 14 (que modifica el art. 42 de la Ley 8/1987, de 28 de abril, de patrimonio de la Comunidad Autónoma de Canarias, relativo a la enajenación de bienes muebles) y 30 (que modifica el art. 36.2 y 3 de la Ley 4/1989, de 2 de mayo, de la Audiencia de Cuentas de Canarias, referente al personal a su servicio) de la Ley 2/2002, la vulneración de los arts. 47.2 y 61.2 del Estatuto de Autonomía de Canarias, puesto que uno y otro precepto estatutario se remiten, respectivamente, a una ley específica para regular el patrimonio autonómico, de un lado, y la organización y funcionamiento de la Audiencia de Cuentas, de otro, de manera que la ley que modifique esas leyes, al tiempo que regule otras materias, “se burla directamente del Estatuto e indirectamente de la Constitución”. Para el Parlamento y el Gobierno de Canarias, sin embargo, la reserva de ley no impide la modificación de la ley reguladora de una determinada materia por otras normas que no estuvieran consagradas de forma íntegra a ese objeto específico y concreto.</w:t>
      </w:r>
    </w:p>
    <w:p w:rsidR="0026452D" w:rsidRDefault="0026452D" w:rsidP="0026452D">
      <w:pPr>
        <w:pStyle w:val="TextoNormal"/>
      </w:pPr>
    </w:p>
    <w:p w:rsidR="0026452D" w:rsidRDefault="0026452D" w:rsidP="0026452D">
      <w:pPr>
        <w:pStyle w:val="TextoNormal"/>
      </w:pPr>
      <w:r>
        <w:t>Nuevamente debe insistirse en que el art. 14, que daba nueva redacción al art. 42 de la ley 8/1987, de 28 de abril, de patrimonio de la Comunidad Autónoma de Canarias, ha perdido su vigencia al haber sido derogada esta disposición legal por la Ley 6/2006, 17 julio, del patrimonio de la Comunidad Autónoma de Canarias. Ahora bien, como hemos señalado con anterioridad, la modificación o derogación de tales preceptos no priva de objeto al presente recurso al afectar al contenido posible de la ley impugnada, con lo cual subsiste el interés constitucional de velar por el recto ejercicio de la potestad legislativa (SSTC 136/2011, de 13 de septiembre, FJ 2; y 86/2013, de 11 de abril, FJ 2).</w:t>
      </w:r>
    </w:p>
    <w:p w:rsidR="0026452D" w:rsidRDefault="0026452D" w:rsidP="0026452D">
      <w:pPr>
        <w:pStyle w:val="TextoNormal"/>
      </w:pPr>
    </w:p>
    <w:p w:rsidR="0026452D" w:rsidRDefault="0026452D" w:rsidP="0026452D">
      <w:pPr>
        <w:pStyle w:val="TextoNormal"/>
      </w:pPr>
      <w:r>
        <w:t>El hecho de que una materia concreta haya sido reservada por el Estatuto de Autonomía a una ley específica, no puede implicar, que una vez acometida la regulación de esa materia por la ley a la que llama la norma estatutaria, se produzca una congelación de su contenido, de manera que no pueda ser modificada por ninguna ley, salvo que sea otra específica. Aunque la relación entre las leyes específicas y las restantes leyes ordinarias se desenvuelve en términos del principio de competencia, de manera que no puede desarrollar una ley la materia cuya regulación ha sido reservada en exclusiva a otra, ello no puede confundirse con la estricta aplicación del criterio de sucesión temporal de leyes, conforme al cual, una ley posterior pueda modificar su contenido para adaptarlo a las circunstancias cambiantes. Esto es lo que ha sucedido en la norma que ahora se impugna, que en modo alguno aborda la regulación independiente de una materia que no le ha sido encomendada, sino que simplemente se limita a adaptar su contenido a las nuevas necesidades, sin alterar su esencia. Admitir lo contrario, esto es, asumir la necesidad de tramitar una iniciativa legislativa separada cada vez que fuese necesario modificar una ley específica, supondría introducir en el procedimiento parlamentario una carga innecesaria e insoportable, habida cuenta de la gran cantidad de reserva legales que contemplan tanto la Constitución como las normas estatutarias.</w:t>
      </w:r>
    </w:p>
    <w:p w:rsidR="0026452D" w:rsidRDefault="0026452D" w:rsidP="0026452D">
      <w:pPr>
        <w:pStyle w:val="TextoNormal"/>
      </w:pPr>
    </w:p>
    <w:p w:rsidR="0026452D" w:rsidRDefault="0026452D" w:rsidP="0026452D">
      <w:pPr>
        <w:pStyle w:val="TextoNormal"/>
      </w:pPr>
      <w:r>
        <w:t>Debe rechazarse, por tanto, la inconstitucionalidad de los preceptos impugnados desde esta perspectiva.</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El art. 7.2 de la Ley del Parlamento de Canarias 2/2002, que introduce un apartado 7 al art. 37 de la Ley 7/1984, de 11 de diciembre (conforme al cual el Gobierno autonómico podrá autorizar gastos plurianuales), es inconstitucional, para los Diputados recurrentes, por vulnerar tanto el principio de legalidad del gasto público (art. 133.4 CE), como el principio </w:t>
      </w:r>
      <w:r>
        <w:lastRenderedPageBreak/>
        <w:t>de universalidad presupuestaria [arts. 61.1 a) EACan y 21.1 LOFCA], al permitir al Gobierno, sin límite alguno, autorizar gastos desvinculados de los presupuestos.</w:t>
      </w:r>
    </w:p>
    <w:p w:rsidR="0026452D" w:rsidRDefault="0026452D" w:rsidP="0026452D">
      <w:pPr>
        <w:pStyle w:val="TextoNormal"/>
      </w:pPr>
    </w:p>
    <w:p w:rsidR="0026452D" w:rsidRDefault="0026452D" w:rsidP="0026452D">
      <w:pPr>
        <w:pStyle w:val="TextoNormal"/>
      </w:pPr>
      <w:r>
        <w:t>Como ya hemos tenido ocasión de precisar, la Ley 7/1984, de 11 de diciembre, de la hacienda pública de la Comunidad Autónoma de Canarias, ha sido sustituida y derogada por la Ley 11/2006, de 11 de diciembre, de la hacienda pública Canaria. En este sentido, es doctrina reiterada de este Tribunal que en lo que al recurso de inconstitucionalidad se refiere, la derogación formal o la sustitución del contenido de una disposición jurídica por otro tiene, como regla general, efecto extintivo del objeto, cuando pueda constatarse la exclusión de toda la aplicabilidad de la ley, pues, en tal caso carecería de sentido que (en un recurso abstracto, como el de inconstitucionalidad, dirigido a la depuración objetiva del ordenamiento jurídico) este Tribunal se pronunciase sobre normas que el mismo legislador ha expulsado ya de dicho ordenamiento, sin ultraactividad (por todas, SSTC 19/2012, de 15 de febrero, FJ 2; y 39/2013, de 14 de febrero, FJ 3). Pues bien, no siendo posible apreciar la ultraactividad de la norma derogada y no concurriendo, por lo demás, ninguna otra de las excepciones que aquella regla general consiente, como sucedería, por ejemplo, cuando lo que está en juego es el control de los vicios de validez que pudieran haber incidido sobre la propia aprobación de una norma (SSTC 136/2011, de 13 de septiembre, FJ 2; y 86/2013, de 11 de abril, FJ 2) o cuando el vicio que se imputa al precepto impugnado se plantea desde la perspectiva del correcto ejercicio del orden constitucional de competencias (por todas, SSTC 24/2013, de 31 de enero, FJ 2; 25/2013, de 31 de enero, FJ 2; 26/2013, de 31 de enero, FJ 2; y 37/2013, de 14 de febrero, FJ 3), no cabe sino declarar que la pérdida sobrevenida de la vigencia del precepto legal impugnado ha hecho desaparecer el objeto del presente proceso constitucional, en lo que a esta impugnación se refiere.</w:t>
      </w:r>
    </w:p>
    <w:p w:rsidR="0026452D" w:rsidRDefault="0026452D" w:rsidP="0026452D">
      <w:pPr>
        <w:pStyle w:val="TextoNormal"/>
      </w:pPr>
    </w:p>
    <w:p w:rsidR="0026452D" w:rsidRDefault="0026452D" w:rsidP="0026452D">
      <w:pPr>
        <w:pStyle w:val="TextoNormal"/>
      </w:pPr>
      <w:r w:rsidRPr="0026452D">
        <w:rPr>
          <w:rStyle w:val="NumeroAFNegritaCaracter"/>
        </w:rPr>
        <w:t>6</w:t>
      </w:r>
      <w:r>
        <w:t>. El art. 16 de la Ley 2/2002, que añade un apartado 2 a la disposición adicional quinta de la Ley 11/1997, de 2 de diciembre, de regulación del sector eléctrico canario, con relación a las funciones que le corresponden al gestor de la red de transmisión [figura autonómica equivalente a la de gestor de la red de transporte que contempla la legislación básica en los arts. 9.1 f) y 35 de la Ley 54/1997, de 27 de noviembre, del sector eléctrico] también es inconstitucional, según los Diputados recurrentes, por vulnerar los arts. 149.1.13 y 25 CE, en la medida que, a su juicio, corresponde al Estado regular la gestión económica y técnica del sistema y la actividad de suministro de energía eléctrica en las Comunidades Autónomas insulares.</w:t>
      </w:r>
    </w:p>
    <w:p w:rsidR="0026452D" w:rsidRDefault="0026452D" w:rsidP="0026452D">
      <w:pPr>
        <w:pStyle w:val="TextoNormal"/>
      </w:pPr>
    </w:p>
    <w:p w:rsidR="0026452D" w:rsidRDefault="0026452D" w:rsidP="0026452D">
      <w:pPr>
        <w:pStyle w:val="TextoNormal"/>
      </w:pPr>
      <w:r>
        <w:t xml:space="preserve">El apartado 1 de la citada disposición adicional quinta de la Ley autonómica 11/1997 prevé la figura del “gestor de la red de transmisión” y su designación por el Gobierno de Canarias, en conexión con la disposición adicional decimoquinta de la Ley 54/1997, de 27 de noviembre, del sector eléctrico (en la redacción que le dio la disposición adicional séptima de la Ley 34/1998, de 7 de octubre, del sector de hidrocarburos), en cuyo apartado 3 se dispone expresamente que “[l]a determinación del gestor o gestores de la red de las zonas eléctricas ubicadas en territorios insulares y extrapeninsulares corresponderá a la respectiva Administración Autonómica”. Por su parte, el nuevo apartado 2 de la misma disposición adicional quinta de la citada Ley 11/1997 concreta las funciones que se le asignan, sin que los Diputados recurrentes hayan justificado, más allá de la apelación genérica a la vulneración de las competencias del Estado previstas en el art. 149.1.13 y 25 CE, las razones por las que consideran que, siendo de la competencia autonómica la designación de aquél gestor, </w:t>
      </w:r>
      <w:r>
        <w:lastRenderedPageBreak/>
        <w:t>bien no le corresponde la determinación de sus funciones, bien todas o algunas de las funciones asignadas deben ser reguladas por el Estado por tratarse de normas básicas</w:t>
      </w:r>
    </w:p>
    <w:p w:rsidR="0026452D" w:rsidRDefault="0026452D" w:rsidP="0026452D">
      <w:pPr>
        <w:pStyle w:val="TextoNormal"/>
      </w:pPr>
    </w:p>
    <w:p w:rsidR="0026452D" w:rsidRDefault="0026452D" w:rsidP="0026452D">
      <w:pPr>
        <w:pStyle w:val="TextoNormal"/>
      </w:pPr>
      <w:r>
        <w:t>Pues bien, sobre este particular es necesario subrayar que la reciente STC 123/2013, de 23 de mayo, ha resuelto el recurso núm. 4244-2002 interpuesto por el Presidente del Gobierno contra el mismo art. 16 de la Ley 2/2002, declarando su inconstitucionalidad y nulidad por incidir directamente en el diseño institucional básico del sistema eléctrico diseñado por los arts. 34 y 35 de la Ley 54/1997, de 27 de noviembre, del sistema eléctrico, lo que resulta contrario al orden constitucional y estatutario de distribución de competencias en la materia. En consecuencia, habiéndose ya expulsado del ordenamiento jurídico el precepto impugnado con aquella declaración de inconstitucionalidad y nulidad, la cuestión aquí planteada ha perdido su objeto.</w:t>
      </w:r>
    </w:p>
    <w:p w:rsidR="0026452D" w:rsidRDefault="0026452D" w:rsidP="0026452D">
      <w:pPr>
        <w:pStyle w:val="TextoNormal"/>
      </w:pPr>
    </w:p>
    <w:p w:rsidR="0026452D" w:rsidRDefault="0026452D" w:rsidP="0026452D">
      <w:pPr>
        <w:pStyle w:val="TextoNormal"/>
      </w:pPr>
      <w:r w:rsidRPr="0026452D">
        <w:rPr>
          <w:rStyle w:val="NumeroAFNegritaCaracter"/>
        </w:rPr>
        <w:t>7</w:t>
      </w:r>
      <w:r>
        <w:t>. El siguiente precepto que sería inconstitucional para los Diputados recurrentes es el art. 21.1 k) de la Ley 2/2002, que acota una materia, infracciones en materia de pesca en aguas interiores y marisqueo, que, a su juicio, contradice el art. 25.1 CE, al remitirse en la determinación de un tipo infractor a la “legislación vigente”, expresión esta que, a su juicio, comprende también normas reglamentarias, sin poderse identificar en la Ley las conductas sancionables.</w:t>
      </w:r>
    </w:p>
    <w:p w:rsidR="0026452D" w:rsidRDefault="0026452D" w:rsidP="0026452D">
      <w:pPr>
        <w:pStyle w:val="TextoNormal"/>
      </w:pPr>
    </w:p>
    <w:p w:rsidR="0026452D" w:rsidRDefault="0026452D" w:rsidP="0026452D">
      <w:pPr>
        <w:pStyle w:val="TextoNormal"/>
      </w:pPr>
      <w:r>
        <w:t>El apartado impugnado dispone que constituyen una infracción leve “[l]as acciones u omisiones que supongan el incumplimiento de lo establecido en la legislación vigente en materia de pesca marítima o marisqueo no tipificado como infracción grave o muy grave”. Ahora bien, con anterioridad a la resolución de esta nueva causa de inconstitucionalidad debe valorarse el impacto que sobre la misma pueda haber tenido la aprobación de la Ley 17/2003, de 10 de abril, de pesca de Canarias, cuya disposición derogatoria única deroga la sección segunda (“Del régimen sancionador en materia de pesca marítima en aguas interiores, marisqueo y acuicultura”) del capítulo IV (“Medidas en materia de regímenes sancionadores”) de la Ley 2/2002, de 27 de marzo, en la que se integraba el apartado objeto de impugnación [y que pasa en el nuevo texto legal a coincidir con la previsión recogida en el art. 69 k)].</w:t>
      </w:r>
    </w:p>
    <w:p w:rsidR="0026452D" w:rsidRDefault="0026452D" w:rsidP="0026452D">
      <w:pPr>
        <w:pStyle w:val="TextoNormal"/>
      </w:pPr>
    </w:p>
    <w:p w:rsidR="0026452D" w:rsidRDefault="0026452D" w:rsidP="0026452D">
      <w:pPr>
        <w:pStyle w:val="TextoNormal"/>
      </w:pPr>
      <w:r>
        <w:t>Como hemos señalado con anterioridad, en lo que al recurso de inconstitucionalidad se refiere, la derogación formal o la sustitución del contenido de una disposición jurídica por otro tiene, como regla general, efecto extintivo del objeto, cuando pueda constatarse la exclusión de toda la aplicabilidad de la Ley, pues, en tal caso carecería de sentido que (en un recurso abstracto, como el de inconstitucionalidad, dirigido a la depuración objetiva del ordenamiento jurídico) este Tribunal se pronunciase sobre normas que el mismo legislador ha expulsado ya de dicho ordenamiento, sin ultraactividad (por todas, SSTC 19/2012, de 15 de febrero, FJ 2; y 39/2013, de 14 de febrero, FJ 3). Pues bien, una vez más, no concurriendo ninguna de las excepciones que aquella regla general consiente, no cabe sino declarar que la pérdida sobrevenida de la vigencia del precepto legal impugnado ha hecho desaparecer el objeto del presente proceso constitucional, en lo que a esta concreta impugnación se refiere.</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En último lugar imputan los Diputados recurrentes a la disposición adicional cuarta (que introduce un apartado 3 al art. 60 de la Ley 1/1998, de 8 de enero, de régimen jurídico de los espectáculos públicos y actividades clasificadas), la vulneración del art. 72.2 de la </w:t>
      </w:r>
      <w:r>
        <w:lastRenderedPageBreak/>
        <w:t>Ley 30/1992, de carácter básico, en relación con los arts. 54.1 d) y 136 del mismo texto legal, y del art. 36 de la Ley Orgánica 1/1992, de 21 de febrero, sobre protección de la seguridad ciudadana, que reservan al órgano competente para resolver los correspondientes procedimientos la adopción de medidas provisionalísimas antes de su iniciación, al permitir a los agentes de la autoridad, sin motivación ni procedimiento, la clausura de un local (sanción de cierre durante cuarenta y ocho horas sin posibilidad de revocación por la autoridad competente), cuando se esté perturbando la paz ciudadana sin licencia de apertura, incumpliendo los horarios de apertura y cierre o de emisión de ruidos.</w:t>
      </w:r>
    </w:p>
    <w:p w:rsidR="0026452D" w:rsidRDefault="0026452D" w:rsidP="0026452D">
      <w:pPr>
        <w:pStyle w:val="TextoNormal"/>
      </w:pPr>
    </w:p>
    <w:p w:rsidR="0026452D" w:rsidRDefault="0026452D" w:rsidP="0026452D">
      <w:pPr>
        <w:pStyle w:val="TextoNormal"/>
      </w:pPr>
      <w:r>
        <w:t>a) Puesto que el vicio que se imputa al precepto impugnado se plantea desde la perspectiva del correcto ejercicio del orden constitucional de competencias, antes de entrar a resolver la cuestión planteada debe señalarse que la Ley del Parlamento de Canarias 1/1998, de 8 de enero, de régimen jurídico de los espectáculos públicos y actividades clasificadas, ha sido derogada y sustituida por la Ley 7/2011, de 5 de abril, de actividades clasificadas y espectáculos públicos y otras medidas administrativas complementarias, razón por la cual, debe analizarse brevemente los efectos que dicha derogación tiene sobre el objeto del proceso, para lo cual es preciso determinar “si con esa expulsión ha cesado o no la controversia competencial, toda vez que poner fin a la misma a la luz del orden constitucional de reparto de competencias es el fin último al que sirven tales procesos” (por todas, SSTC 24/2013, de 31 de enero, FJ 2; 25/2013, de 31 de enero, FJ 2; 26/2013, de 31 de enero, FJ 2; y 37/2013, de 14 de febrero, FJ 3). De esta manera, si la normativa en torno a la cual se trabó el conflicto resulta sustituida “por otra que viene a plantear los mismos problemas competenciales la consecuencia será la no desaparición del conflicto” (por todas, SSTC 133/2012, de 19 de junio, FJ 2; 24/2013, de 31 de enero, FJ 2; y 26/2013, de 31 de enero, FJ 2). Y ello porque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[SSTC 204/2011, de 15 de diciembre, FJ 2 a); y 224/2012, de 29 de noviembre, FJ 2 a)].</w:t>
      </w:r>
    </w:p>
    <w:p w:rsidR="0026452D" w:rsidRDefault="0026452D" w:rsidP="0026452D">
      <w:pPr>
        <w:pStyle w:val="TextoNormal"/>
      </w:pPr>
    </w:p>
    <w:p w:rsidR="0026452D" w:rsidRDefault="0026452D" w:rsidP="0026452D">
      <w:pPr>
        <w:pStyle w:val="TextoNormal"/>
      </w:pPr>
      <w:r>
        <w:t>En aplicación de esa doctrina podemos afirmar que la disputa competencial permanece viva ya que la sustitución de la Ley 1/1998 (en la redacción que le dio la Ley 2/2002 aquí impugnada) por la Ley 7/2011 no ha afectado a la cuestión controvertida, pues lo discutido es la delimitación de competencias entre el Estado y la Comunidad Autónoma de Canarias en materia de seguridad de espectáculos públicos y actividades clasificadas y resulta que el art. 60.3 de aquélla norma gozaba de una redacción similar a la que en la actualidad contiene el art. 56.6 de la Ley 7/2011.</w:t>
      </w:r>
    </w:p>
    <w:p w:rsidR="0026452D" w:rsidRDefault="0026452D" w:rsidP="0026452D">
      <w:pPr>
        <w:pStyle w:val="TextoNormal"/>
      </w:pPr>
    </w:p>
    <w:p w:rsidR="0026452D" w:rsidRDefault="0026452D" w:rsidP="0026452D">
      <w:pPr>
        <w:pStyle w:val="TextoNormal"/>
      </w:pPr>
      <w:r>
        <w:t xml:space="preserve">b) Como puede comprobarse los Diputados recurrentes imputan a la disposición adicional impugnada un vicio de inconstitucionalidad mediata o indirecta, pues se le imputa la contradicción con el régimen estatal relativo al órgano competente para adoptar medidas provisionalísimas en los procedimientos administrativos, lo que supone que, para que la vulneración competencial exista, es preciso que concurran de dos circunstancias: que la norma estatal infringida por la ley autonómica sea, en el doble sentido material y formal, una norma básica y, por tanto, dictada legítimamente al amparo del correspondiente título competencial que la Constitución haya reservado al Estado; y, en segundo lugar, que la contradicción entre ambas normas, estatal y autonómica, sea efectiva e insalvable por vía </w:t>
      </w:r>
      <w:r>
        <w:lastRenderedPageBreak/>
        <w:t>interpretativa [SSTC 26/2012, de 1 de marzo, FJ 2 c); y 197/2012, de 6 de noviembre, FJ 12].</w:t>
      </w:r>
    </w:p>
    <w:p w:rsidR="0026452D" w:rsidRDefault="0026452D" w:rsidP="0026452D">
      <w:pPr>
        <w:pStyle w:val="TextoNormal"/>
      </w:pPr>
    </w:p>
    <w:p w:rsidR="0026452D" w:rsidRDefault="0026452D" w:rsidP="0026452D">
      <w:pPr>
        <w:pStyle w:val="TextoNormal"/>
      </w:pPr>
      <w:r>
        <w:t>c) Desde la óptica estatal, el art. 149.1.18 CE atribuye al Estado la competencia exclusiva en materia del “procedimiento administrativo común, sin perjuicio de las especialidades derivadas de la organización propia de las Comunidades Autónomas”. Al amparo de este título competencial estatal se dictó la Ley 30/1992, de 26 de noviembre, de régimen jurídico de las Administraciones públicas y del procedimiento administrativo común (en adelante, LPC), que establece y regula las bases, entre otras materias, del “procedimiento administrativo común” para las Administraciones públicas (art. 1). En el art. 72 (“Medidas provisionales”) del título VI (“De las disposiciones generales sobre los procedimientos administrativos”) se prevé, con carácter general, que con anterioridad a la iniciación del procedimiento administrativo “el órgano competente, de oficio o a instancia de parte, en los casos de urgencia y para la protección provisional de los intereses implicados, podrá adoptar las medidas correspondientes en los supuestos previstos expresamente por una norma de rango de Ley” (apartado 2). Más concretamente, pero esta vez con relación a los procedimientos sancionadores, el art. 136 LPC (“Medidas de carácter provisional”), dentro del título IX (“De la potestad sancionadora”), habilita a adoptar “mediante acuerdo motivado” y “[c]uando así esté previsto en las normas que regulen los procedimientos sancionadores … medidas de carácter provisional que aseguren la eficacia de la resolución final que pudiera recaer”. Y, en fin, el art. 54.1 d) LPC (“Motivación”), dentro del título V (“De las disposiciones y los actos administrativos”) insiste en la obligación de motivar, entre otros, “la adopción de medidas provisionales previstas en los artículo 72 y 136 de esta Ley”.</w:t>
      </w:r>
    </w:p>
    <w:p w:rsidR="0026452D" w:rsidRDefault="0026452D" w:rsidP="0026452D">
      <w:pPr>
        <w:pStyle w:val="TextoNormal"/>
      </w:pPr>
    </w:p>
    <w:p w:rsidR="0026452D" w:rsidRDefault="0026452D" w:rsidP="0026452D">
      <w:pPr>
        <w:pStyle w:val="TextoNormal"/>
      </w:pPr>
      <w:r>
        <w:t>Por otra parte, la Ley Orgánica 1/1992, de 21 de febrero, sobre protección de la seguridad ciudadana, dictada al amparo de las competencias estatales en materia de seguridad pública (arts. 149.1.29 y 104 CE), somete a los espectáculos y actividades recreativas de carácter público “a las medidas de policía administrativa que dicte el Gobierno” (art. 8.1 de la Ley Orgánica 1/1992), en orden, entre otros fines, a garantizar la seguridad ciudadana y la pacífica convivencia, o a impedir el ejercicio de actividades prohibidas (art. 8.1 de la citada Ley Orgánica). A tal fin, autoriza a “[l]as autoridades competentes” a “dictar las órdenes o prohibiciones y disponer las actuaciones policiales estrictamente necesarias” para asegurar la seguridad ciudadana (art. 14 de la Ley Orgánica 1/1992), pudiendo acordar “como medidas de seguridad extraordinarias, el cierre o desalojo de locales o establecimientos, la evacuación de inmuebles o el depósito de explosivos, en situaciones de emergencia que las circunstancias del caso hagan imprescindibles y mientras éstas duren” (art. 15 de la misma Ley Orgánica). De esta manera, permite la adopción de aquellas medidas cautelares que se consideren imprescindibles (art. 36.1 de la Ley Orgánica 1/1992), entre las cuales se encuentran “la adopción de medidas de acción preventiva” tales como “[l]a adopción de medidas provisionales de seguridad de las personas, los bienes, los establecimientos o las instalaciones que se encuentren en situación de peligro, a cargo de sus titulares” [art. 36.2 b) de la referida Ley Orgánica] o “[l]a suspensión o clausura preventiva de fábricas, locales o establecimientos” [art. 36.2 c) de la Ley Orgánica 1/1992].</w:t>
      </w:r>
    </w:p>
    <w:p w:rsidR="0026452D" w:rsidRDefault="0026452D" w:rsidP="0026452D">
      <w:pPr>
        <w:pStyle w:val="TextoNormal"/>
      </w:pPr>
    </w:p>
    <w:p w:rsidR="0026452D" w:rsidRDefault="0026452D" w:rsidP="0026452D">
      <w:pPr>
        <w:pStyle w:val="TextoNormal"/>
      </w:pPr>
      <w:r>
        <w:t xml:space="preserve">d) Desde el punto de vista autonómico, el art. 148.1 CE habilita a las Comunidades Autónomas a asumir competencias sobre corporaciones locales (2), protección del medio ambiente (9) y promoción del deporte y de adecuada utilización del ocio (19). Por su parte, la Ley Orgánica 10/1982, de 10 de agosto, de Estatuto de Autonomía de Canarias (EACan), </w:t>
      </w:r>
      <w:r>
        <w:lastRenderedPageBreak/>
        <w:t>no sólo atribuye a esta Comunidad Autónoma la competencia exclusiva en materia de deporte, ocio, esparcimiento y espectáculos (art. 30.20), sino el desarrollo legislativo y la ejecución tanto de las normas de procedimiento administrativo que se derivan de las especialidades del régimen administrativo canario (art. 32.14), como de la protección del medio ambiente (art. 32.12).</w:t>
      </w:r>
    </w:p>
    <w:p w:rsidR="0026452D" w:rsidRDefault="0026452D" w:rsidP="0026452D">
      <w:pPr>
        <w:pStyle w:val="TextoNormal"/>
      </w:pPr>
    </w:p>
    <w:p w:rsidR="0026452D" w:rsidRDefault="0026452D" w:rsidP="0026452D">
      <w:pPr>
        <w:pStyle w:val="TextoNormal"/>
      </w:pPr>
      <w:r>
        <w:t>Al amparo de unas y otras previsiones, constitucionales y estatutarias, se dictó la Ley del Parlamento de Canarias 1/1998, de 8 de enero, de régimen jurídico de los espectáculos públicos y actividades clasificadas (actualmente derogada y sustituida, como se ha dicho, por la Ley 7/2011, de 5 de abril, de actividades clasificadas y espectáculos públicos y otras medidas administrativas complementarias), que dentro del capítulo IV (procedimiento sancionador) de su título V (régimen Sancionador), preveía que “[l]a imposición de sanciones en materia de actividades clasificadas y espectáculos públicos se hará previo expediente” (art. 58, actual art. 69.1 de la Ley 7/2011), durante cuyo desarrollo “podrán adoptarse medidas provisionales” (art. 60.1; actual art. 71 de la Ley 7/2011), que pueden consistir tanto en “la suspensión temporal de la actividad, cierre del local o la instalación” como en la “adopción de medidas para garantizar la seguridad de personas y bienes” (art. 60.2; actual art. 57, de la Ley 7/2011).</w:t>
      </w:r>
    </w:p>
    <w:p w:rsidR="0026452D" w:rsidRDefault="0026452D" w:rsidP="0026452D">
      <w:pPr>
        <w:pStyle w:val="TextoNormal"/>
      </w:pPr>
    </w:p>
    <w:p w:rsidR="0026452D" w:rsidRDefault="0026452D" w:rsidP="0026452D">
      <w:pPr>
        <w:pStyle w:val="TextoNormal"/>
      </w:pPr>
      <w:r>
        <w:t>Posteriormente, la Ley 2/2002, de 27 de marzo, objeto del presente proceso constitucional, añadió un apartado 3 al art. 60 de la citada Ley 1/1998, de 8 de enero, conforme al cual los agentes de la autoridad, “previo requerimiento a los encargados y sin que éste sea atendido, procederán a la inmediata clausura de un local o al cese de la actividad cuando pueda derivarse riesgo grave para las personas o los bienes o cuando se esté perturbando gravemente la paz ciudadana, debido tanto a la inexistencia de licencia de apertura y cierre o de emisión de ruidos”, clausura o cese que “se pondrá en conocimiento de la autoridad competente, tendrá los mismos efectos que un precinto gubernativo y se prolongará durante cuarenta y ocho horas”.</w:t>
      </w:r>
    </w:p>
    <w:p w:rsidR="0026452D" w:rsidRDefault="0026452D" w:rsidP="0026452D">
      <w:pPr>
        <w:pStyle w:val="TextoNormal"/>
      </w:pPr>
    </w:p>
    <w:p w:rsidR="0026452D" w:rsidRDefault="0026452D" w:rsidP="0026452D">
      <w:pPr>
        <w:pStyle w:val="TextoNormal"/>
      </w:pPr>
      <w:r>
        <w:t xml:space="preserve">e) Como hemos visto con anterioridad, la Ley 30/1992, de 26 de noviembre, no imposibilita que las Comunidades Autónomas puedan adoptar medidas provisionales en los procedimientos administrativos que, </w:t>
      </w:r>
      <w:r w:rsidRPr="0026452D">
        <w:rPr>
          <w:i/>
        </w:rPr>
        <w:t>ratione materiae</w:t>
      </w:r>
      <w:r>
        <w:t>, regulen, sino que, antes al contrario, se lo permite, tanto con carácter general (art. 72 LPC), como dentro de los procedimientos sancionadores (art. 136 LPC), incluso con anterioridad a la iniciación del procedimiento administrativo, con carácter provisional, “en los casos de urgencia y para la protección provisional de los intereses implicados” en los supuestos “previstos expresamente por una norma de rango de Ley”, debiendo ser “confirmadas, modificadas o levantadas en el acuerdo de iniciación del procedimiento” (art. 72.2 LPC). Por su parte, la Ley Orgánica 1/1992, de 21 de febrero, no sólo habilita, con carácter general, a la autoridad competente para adoptar medidas de seguridad en establecimientos e instalaciones para garantizar la seguridad ciudadana (art. 14 de la Ley Orgánica 1/1992), incluso de carácter extraordinario, tales como “el cierre o desalojo de locales o establecimientos” cuando sea imprescindible (art. 15), sino que le autoriza, dentro del procedimiento sancionador, a la adopción de medidas de seguridad de acción preventiva [art. 36.2 b) de dicha Ley Orgánica], incluida “[l]a suspensión o clausura preventiva de fábricas, locales o establecimientos” [art. 36.2 c) de la Ley Orgánica 1/1992].</w:t>
      </w:r>
    </w:p>
    <w:p w:rsidR="0026452D" w:rsidRDefault="0026452D" w:rsidP="0026452D">
      <w:pPr>
        <w:pStyle w:val="TextoNormal"/>
      </w:pPr>
    </w:p>
    <w:p w:rsidR="0026452D" w:rsidRDefault="0026452D" w:rsidP="0026452D">
      <w:pPr>
        <w:pStyle w:val="TextoNormal"/>
      </w:pPr>
      <w:r>
        <w:lastRenderedPageBreak/>
        <w:t xml:space="preserve">Lo anterior supone que, sin necesidad de entrar a delimitar si las normas estatales que se dicen infringidas por el precepto autonómico tienen o no la condición de básicas, lo cierto es que, no existe la pretendida contradicción entre ambas normas, estatal y autonómica. En efecto, cuando el art. 60.3 de la Ley 1/1998, de 8 de enero, de régimen jurídico de los espectáculos públicos y actividades clasificadas, autoriza a los agentes de la autoridad a la adopción provisional de la medida de clausura de local o cese de actividad, en los supuestos en que pueda derivarse un riesgo grave para las personas o los bienes o cuando se esté perturbando gravemente la paz ciudadana, no está sino autorizando, mediante una norma con rango legal, la adopción de medidas de seguridad similares a las que recogen los arts. 72 y 136 LPC, y 36 de la Ley Orgánica 1/1992, pero en materias de competencia autonómica, todo ello, además, sin perjuicio de la garantía de impugnación de los actos de la Administración mediante la interposición por los interesados de los correspondientes recursos administrativos y jurisdiccionales. No hay que olvidar que, sin perjuicio del obligado respeto a los principios y reglas del procedimiento administrativo común, “coexisten numerosas reglas especiales de procedimiento aplicables a la realización de cada tipo de actividad administrativa </w:t>
      </w:r>
      <w:r w:rsidRPr="0026452D">
        <w:rPr>
          <w:i/>
        </w:rPr>
        <w:t>ratione materiae</w:t>
      </w:r>
      <w:r>
        <w:t>”, de manera que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 [SSTC 227/1988, de 29 de noviembre, FJ 32; 98/2001, de 5 de abril, FJ 8 b); y 175/2003, de 30 de septiembre, FJ 10 c)].</w:t>
      </w:r>
    </w:p>
    <w:p w:rsidR="0026452D" w:rsidRDefault="0026452D" w:rsidP="0026452D">
      <w:pPr>
        <w:pStyle w:val="TextoNormal"/>
      </w:pPr>
    </w:p>
    <w:p w:rsidR="0026452D" w:rsidRDefault="0026452D" w:rsidP="0026452D">
      <w:pPr>
        <w:pStyle w:val="TextoNormal"/>
      </w:pPr>
      <w:r>
        <w:t>No hay sobre este particular, entonces, invasión competencial alguna por parte de la Comunidad Autónoma de Canarias pues no existe la contradicción pretendida entre las normas estatales y la autonómica impugnada, lo que conduce a la desestimación también de este último motivo del recurso de inconstitucionalidad.</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Desestimar el presente recurso de inconstitucionalidad.</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cinco de junio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Manuel Aragón Reyes respecto de la Sentencia dictada en el recurso de inconstitucionalidad núm. 4247-2002.</w:t>
      </w:r>
    </w:p>
    <w:p w:rsidR="0026452D" w:rsidRDefault="0026452D" w:rsidP="0026452D">
      <w:pPr>
        <w:pStyle w:val="TextoNormalNegritaCentrado"/>
        <w:keepNext/>
      </w:pPr>
    </w:p>
    <w:p w:rsidR="0026452D" w:rsidRDefault="0026452D" w:rsidP="0026452D">
      <w:pPr>
        <w:pStyle w:val="TextoNormal"/>
      </w:pPr>
      <w:r>
        <w:t>En ejercicio de la facultad que me confiere el art. 90.2 de la Ley Orgánica del Tribunal Constitucional y con pleno respeto a la opinión de la mayoría del Pleno, expreso mi discrepancia con el fallo y la fundamentación jurídica de la Sentencia que ha desestimado el recurso de inconstitucionalidad interpuesto.</w:t>
      </w:r>
    </w:p>
    <w:p w:rsidR="0026452D" w:rsidRDefault="0026452D" w:rsidP="0026452D">
      <w:pPr>
        <w:pStyle w:val="TextoNormal"/>
      </w:pPr>
    </w:p>
    <w:p w:rsidR="0026452D" w:rsidRDefault="0026452D" w:rsidP="0026452D">
      <w:pPr>
        <w:pStyle w:val="TextoNormal"/>
      </w:pPr>
      <w:r>
        <w:t>A mi entender, en virtud de los argumentos que defendí en la deliberación del Pleno y que resumidamente expongo a continuación, el recurso de inconstitucionalidad debió de ser estimado.</w:t>
      </w:r>
    </w:p>
    <w:p w:rsidR="0026452D" w:rsidRDefault="0026452D" w:rsidP="0026452D">
      <w:pPr>
        <w:pStyle w:val="TextoNormal"/>
      </w:pPr>
    </w:p>
    <w:p w:rsidR="0026452D" w:rsidRDefault="0026452D" w:rsidP="0026452D">
      <w:pPr>
        <w:pStyle w:val="TextoNormal"/>
      </w:pPr>
      <w:r>
        <w:t xml:space="preserve">Tales argumentos son los que, </w:t>
      </w:r>
      <w:r w:rsidRPr="0026452D">
        <w:rPr>
          <w:i/>
        </w:rPr>
        <w:t>mutatis mutandis</w:t>
      </w:r>
      <w:r>
        <w:t>, expresé en mi Voto particular a la STC 136/2011, de 13 de septiembre. Entonces, como ahora, se trataba del mismo problema: el de las llamadas “leyes de acompañamiento”. La única diferencia sustancial radica en que entonces juzgábamos una ley de las Cortes Generales y ahora una de un Parlamento autonómico. No obstante, pese a que, por ello, las razones referidas al bicameralismo que en aquel Voto se contenían no pueden proyectarse al supuesto que ahora nos ocupa, que es el de un Parlamento unicameral, el resto de las razones que allí expresé son trasladables en su totalidad al caso ahora resuelto. Y esas razones descansaban en la vulneración indudable, a mi juicio, por ese tipo de leyes del principio democrático y de su proyección en la potestad legislativa parlamentaria, con la consiguiente desnaturalización del significado de la propia potestad legislativa, del procedimiento legislativo parlamentario y del concepto de ley constitucionalmente establecidos.</w:t>
      </w:r>
    </w:p>
    <w:p w:rsidR="0026452D" w:rsidRDefault="0026452D" w:rsidP="0026452D">
      <w:pPr>
        <w:pStyle w:val="TextoNormal"/>
      </w:pPr>
    </w:p>
    <w:p w:rsidR="0026452D" w:rsidRDefault="0026452D" w:rsidP="0026452D">
      <w:pPr>
        <w:pStyle w:val="TextoNormal"/>
      </w:pPr>
      <w:r>
        <w:t>De ahí que me baste, ahora, para fundamentar las razones de mi discrepancia respecto de la presente Sentencia, con remitirme al Voto particular que formulé en la ya citada STC 136/2011.</w:t>
      </w:r>
    </w:p>
    <w:p w:rsidR="0026452D" w:rsidRDefault="0026452D" w:rsidP="0026452D">
      <w:pPr>
        <w:pStyle w:val="TextoNormal"/>
      </w:pPr>
    </w:p>
    <w:p w:rsidR="0026452D" w:rsidRDefault="0026452D" w:rsidP="0026452D">
      <w:pPr>
        <w:pStyle w:val="TextoNormal"/>
      </w:pPr>
      <w:r>
        <w:t>Y en este sentido emito mi Voto particular.</w:t>
      </w:r>
    </w:p>
    <w:p w:rsidR="0026452D" w:rsidRDefault="0026452D" w:rsidP="0026452D">
      <w:pPr>
        <w:pStyle w:val="TextoNormal"/>
      </w:pPr>
    </w:p>
    <w:p w:rsidR="0026452D" w:rsidRDefault="0026452D" w:rsidP="0026452D">
      <w:pPr>
        <w:pStyle w:val="TextoNormal"/>
      </w:pPr>
      <w:r>
        <w:t>Madrid, a cinco de junio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36" w:name="SENTENCIA_2013_133"/>
      <w:r>
        <w:lastRenderedPageBreak/>
        <w:t>SENTENCIA 133/2013, de 5 de junio de 2013</w:t>
      </w:r>
    </w:p>
    <w:bookmarkEnd w:id="136"/>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157, de 2 de julio de 2013)</w:t>
      </w:r>
    </w:p>
    <w:p w:rsidR="0026452D" w:rsidRDefault="0026452D" w:rsidP="0026452D">
      <w:pPr>
        <w:pStyle w:val="TtuloBOE"/>
      </w:pPr>
    </w:p>
    <w:p w:rsidR="0026452D" w:rsidRDefault="0026452D" w:rsidP="0026452D">
      <w:pPr>
        <w:pStyle w:val="SntesisDescriptiva"/>
      </w:pPr>
      <w:r>
        <w:t>ECLI:ES:TC:2013:133</w:t>
      </w:r>
    </w:p>
    <w:p w:rsidR="0026452D" w:rsidRDefault="0026452D" w:rsidP="0026452D">
      <w:pPr>
        <w:pStyle w:val="SntesisDescriptiva"/>
      </w:pPr>
    </w:p>
    <w:p w:rsidR="0026452D" w:rsidRDefault="0026452D" w:rsidP="0026452D">
      <w:pPr>
        <w:pStyle w:val="SntesisDescriptiva"/>
      </w:pPr>
      <w:r>
        <w:t>Recurso de amparo 1091-2004. Promovido por don Manuel Jiménez de Parga y Cabrera y otras diez personas en relación con la Sentencia de la Sala de lo Civil del Tribunal Supremo que los condenó en proceso sobre responsabilidad civil.</w:t>
      </w:r>
    </w:p>
    <w:p w:rsidR="0026452D" w:rsidRDefault="0026452D" w:rsidP="0026452D">
      <w:pPr>
        <w:pStyle w:val="SntesisDescriptiva"/>
      </w:pPr>
    </w:p>
    <w:p w:rsidR="0026452D" w:rsidRDefault="0026452D" w:rsidP="0026452D">
      <w:pPr>
        <w:pStyle w:val="SntesisAnaltica"/>
      </w:pPr>
      <w:r>
        <w:t>Vulneración del derecho a la tutela judicial efectiva (resolución fundada en Derecho y motivada): Sentencia incurra en error fáctico y de motivación que no aplica ni valora razonadamente la existencia de una prohibición constitucional y legal de revisar y controlar el contenido de las resoluciones jurisdiccionales del Tribunal Constitucional por ningún otro órgano del Estado.</w:t>
      </w:r>
    </w:p>
    <w:p w:rsidR="0026452D" w:rsidRDefault="0026452D" w:rsidP="0026452D">
      <w:pPr>
        <w:pStyle w:val="SntesisAnaltica"/>
      </w:pPr>
    </w:p>
    <w:p w:rsidR="0026452D" w:rsidRDefault="0026452D" w:rsidP="0026452D">
      <w:pPr>
        <w:pStyle w:val="Extracto"/>
      </w:pPr>
      <w:r>
        <w:t>1.</w:t>
      </w:r>
      <w:r>
        <w:tab/>
        <w:t xml:space="preserve">La decisión judicial de proseguir un enjuiciamiento contra los recurrentes para pronunciarse sobre la eventual responsabilidad civil en que habrían incurrido por una supuesta incorrección jurídica en la interpretación de la LOTC, es una decisión irrazonable por no estar fundada en Derecho y, por tanto, lesiva del derecho a la tutela judicial efectiva, </w:t>
      </w:r>
      <w:r w:rsidRPr="0026452D">
        <w:rPr>
          <w:i/>
        </w:rPr>
        <w:t>ex</w:t>
      </w:r>
      <w:r>
        <w:t xml:space="preserve"> art. 24.1 CE, dado que dicha decisión no ha aplicado ni valorado razonadamente la existencia de una prohibición constitucional y legal de revisar y controlar el contenido de las resoluciones jurisdiccionales del Tribunal Constitucional por ningún otro órgano del Estado  [FJ 6].</w:t>
      </w:r>
    </w:p>
    <w:p w:rsidR="0026452D" w:rsidRDefault="0026452D" w:rsidP="0026452D">
      <w:pPr>
        <w:pStyle w:val="Extracto"/>
      </w:pPr>
    </w:p>
    <w:p w:rsidR="0026452D" w:rsidRDefault="0026452D" w:rsidP="0026452D">
      <w:pPr>
        <w:pStyle w:val="Extracto"/>
      </w:pPr>
      <w:r>
        <w:t>2.</w:t>
      </w:r>
      <w:r>
        <w:tab/>
        <w:t xml:space="preserve">Doctrina sobre la competencia del Tribunal Constitucional, en su función de supremo intérprete de la Constitución, para conocer del recurso de amparo, </w:t>
      </w:r>
      <w:r w:rsidRPr="0026452D">
        <w:rPr>
          <w:i/>
        </w:rPr>
        <w:t>ex</w:t>
      </w:r>
      <w:r>
        <w:t xml:space="preserve"> arts. 161.1 b) CE y 2.1 b) LOTC, en relación con el art. 53.2 CE  [FJ 6].</w:t>
      </w:r>
    </w:p>
    <w:p w:rsidR="0026452D" w:rsidRDefault="0026452D" w:rsidP="0026452D">
      <w:pPr>
        <w:pStyle w:val="Extracto"/>
      </w:pPr>
    </w:p>
    <w:p w:rsidR="0026452D" w:rsidRDefault="0026452D" w:rsidP="0026452D">
      <w:pPr>
        <w:pStyle w:val="Extracto"/>
      </w:pPr>
      <w:r>
        <w:t>3.</w:t>
      </w:r>
      <w:r>
        <w:tab/>
        <w:t xml:space="preserve">No es objetable la argumentación dirigida a concluir que no cabe apreciar una ausencia de responsabilidad de los Magistrados del Tribunal Constitucional y que la Sala de lo Civil del Tribunal Supremo tiene jurisdicción para conocer de la eventual responsabilidad civil en que pudieran aquéllos incurrir, pues dicha Sala tiene competencia para conocer sobre la eventual existencia de la declaración de responsabilidad civil por dolo como causa de cese de los Magistrados del Tribunal Constitucional, </w:t>
      </w:r>
      <w:r w:rsidRPr="0026452D">
        <w:rPr>
          <w:i/>
        </w:rPr>
        <w:t>ex</w:t>
      </w:r>
      <w:r>
        <w:t xml:space="preserve"> arts. 23.1 LOTC y 56.2 LOPJ  [FJ 6].</w:t>
      </w:r>
    </w:p>
    <w:p w:rsidR="0026452D" w:rsidRDefault="0026452D" w:rsidP="0026452D">
      <w:pPr>
        <w:pStyle w:val="Extracto"/>
      </w:pPr>
    </w:p>
    <w:p w:rsidR="0026452D" w:rsidRDefault="0026452D" w:rsidP="0026452D">
      <w:pPr>
        <w:pStyle w:val="Extracto"/>
      </w:pPr>
      <w:r>
        <w:t>4.</w:t>
      </w:r>
      <w:r>
        <w:tab/>
        <w:t>La circunstancia de que el cargo de Magistrados del Tribunal Constitucional ostentado por los recurrentes no tenga la consideración de cargo público representativo impide hacer una traslación directa de la doctrina constitucional en relación con la eventual afectación que para el art. 23.2 CE podría suponer el dictado la resolución impugnada careciendo el órgano judicial de jurisdicción para ello (SSTC 161/1988, 10/2013)  [FJ 4].</w:t>
      </w:r>
    </w:p>
    <w:p w:rsidR="0026452D" w:rsidRDefault="0026452D" w:rsidP="0026452D">
      <w:pPr>
        <w:pStyle w:val="Extracto"/>
      </w:pPr>
    </w:p>
    <w:p w:rsidR="0026452D" w:rsidRDefault="0026452D" w:rsidP="0026452D">
      <w:pPr>
        <w:pStyle w:val="Extracto"/>
      </w:pPr>
      <w:r>
        <w:t>5.</w:t>
      </w:r>
      <w:r>
        <w:tab/>
        <w:t xml:space="preserve">Al dirigirse la queja de los recurrentes a rebatir la interpretación y aplicación realizada por el órgano judicial sobre la no concurrencia de dos concretos óbices procesales —la imposibilidad de control y revisión de las resoluciones del Tribunal </w:t>
      </w:r>
      <w:r>
        <w:lastRenderedPageBreak/>
        <w:t xml:space="preserve">Constitucional por parte de ningún otro órgano del Estado y la inviolabilidad de los Magistrados del Tribunal Constitucional por las opiniones emitidas en el ejercicio de sus cargos—,el parámetro de control constitucional debe ser el del derecho a la tutela judicial efectiva, </w:t>
      </w:r>
      <w:r w:rsidRPr="0026452D">
        <w:rPr>
          <w:i/>
        </w:rPr>
        <w:t>ex</w:t>
      </w:r>
      <w:r>
        <w:t xml:space="preserve"> art. 24.1 CE, desde la perspectiva del derecho a la motivación de las resoluciones judiciales  [FJ 4].</w:t>
      </w:r>
    </w:p>
    <w:p w:rsidR="0026452D" w:rsidRDefault="0026452D" w:rsidP="0026452D">
      <w:pPr>
        <w:pStyle w:val="Extracto"/>
      </w:pPr>
    </w:p>
    <w:p w:rsidR="0026452D" w:rsidRDefault="0026452D" w:rsidP="0026452D">
      <w:pPr>
        <w:pStyle w:val="Extracto"/>
      </w:pPr>
      <w:r>
        <w:t>6.</w:t>
      </w:r>
      <w:r>
        <w:tab/>
        <w:t>El derecho a la tutela judicial efectiva puede considerarse vulnerado cuando el razonamiento resulte arbitrario, irrazonable o incurso en error patente en la determinación del material de hecho o del presupuesto sobre el que se asienta la decisión, siendo los requisitos necesarios para dotar a dicho error de relevancia constitucional que el mismo no sea imputable a la negligencia de parte, que pueda apreciarse inmediatamente de forma incontrovertible a partir de las actuaciones judiciales y que resulte determinante para la resolución, y asimismo cuando la resolución parta de un presupuesto fáctico que se manifiesta erróneo a la luz de un medio de prueba incorporado válidamente a las actuaciones (SSTC 13/1987, 211/2009) [FFJJ 5, 7].</w:t>
      </w:r>
    </w:p>
    <w:p w:rsidR="0026452D" w:rsidRDefault="0026452D" w:rsidP="0026452D">
      <w:pPr>
        <w:pStyle w:val="Extracto"/>
      </w:pPr>
    </w:p>
    <w:p w:rsidR="0026452D" w:rsidRDefault="0026452D" w:rsidP="0026452D">
      <w:pPr>
        <w:pStyle w:val="Extracto"/>
      </w:pPr>
      <w:r>
        <w:t>7.</w:t>
      </w:r>
      <w:r>
        <w:tab/>
        <w:t xml:space="preserve">Doctrina sobre el derecho a la tutela judicial efectiva desde la perspectiva del deber de motivación de las resoluciones judiciales, </w:t>
      </w:r>
      <w:r w:rsidRPr="0026452D">
        <w:rPr>
          <w:i/>
        </w:rPr>
        <w:t>ex</w:t>
      </w:r>
      <w:r>
        <w:t xml:space="preserve"> arts. 24.1 y 120.3 CE (SSTC 13/1987, 214/1999, 211/2009) [FFJJ 5, 7].</w:t>
      </w:r>
    </w:p>
    <w:p w:rsidR="0026452D" w:rsidRDefault="0026452D" w:rsidP="0026452D">
      <w:pPr>
        <w:pStyle w:val="Extracto"/>
      </w:pPr>
    </w:p>
    <w:p w:rsidR="0026452D" w:rsidRDefault="0026452D" w:rsidP="0026452D">
      <w:pPr>
        <w:pStyle w:val="Extracto"/>
      </w:pPr>
      <w:r>
        <w:t>8.</w:t>
      </w:r>
      <w:r>
        <w:tab/>
        <w:t>La resolución impugnada ha incurrido en un defecto constitucional de motivación, pues parte de un presupuesto fáctico erróneo, ya que la razón para concluir la inadmisión del recurso no fue sólo que los recurrentes se limitaron a señalar que el escrito iba dirigida a un hipotético Tribuna Constitucional, sino también que no se cumplían las exigencias de claridad y precisión del art. 49 LOTC entonces vigente y que concurría la circunstancia a la que se refiere el artículo 4.2 LOTC, por lo que no cabe afirmar que la respuesta contenida en la providencia de inadmisión no supuso la aplicación razonada de una causa legal de inadmisión del recurso de amparo (AATC 359/1988, 85/2006) [FJ 8].</w:t>
      </w:r>
    </w:p>
    <w:p w:rsidR="0026452D" w:rsidRDefault="0026452D" w:rsidP="0026452D">
      <w:pPr>
        <w:pStyle w:val="Extracto"/>
      </w:pPr>
    </w:p>
    <w:p w:rsidR="0026452D" w:rsidRDefault="0026452D" w:rsidP="0026452D">
      <w:pPr>
        <w:pStyle w:val="Extracto"/>
      </w:pPr>
      <w:r>
        <w:t>9.</w:t>
      </w:r>
      <w:r>
        <w:tab/>
        <w:t xml:space="preserve">Si los recurrentes, en tanto que miembros colegiados del Pleno del Tribunal Constitucional, conociendo de una competencia atribuida constitucionalmente, como es el recurso de amparo </w:t>
      </w:r>
      <w:r w:rsidRPr="0026452D">
        <w:rPr>
          <w:i/>
        </w:rPr>
        <w:t>ex</w:t>
      </w:r>
      <w:r>
        <w:t xml:space="preserve"> art. 161.1 b) CE, y con la exclusiva sujeción a la Constitución y a la LOTC, </w:t>
      </w:r>
      <w:r w:rsidRPr="0026452D">
        <w:rPr>
          <w:i/>
        </w:rPr>
        <w:t>ex</w:t>
      </w:r>
      <w:r>
        <w:t xml:space="preserve"> art. 1.1 LOTC, decidieron, de conformidad con el precepto legal que les habilitaba para ello, apreciar su falta de jurisdicción o competencia, es indubitado que tomaron una decisión que no sólo suponía la aplicación de una causa legal de inadmisión sino que, además, lo hicieron en el marco de una resolución judicial que revestía la forma de providencia que le imponía el art. 50.1 LOTC [FJ 8].</w:t>
      </w:r>
    </w:p>
    <w:p w:rsidR="0026452D" w:rsidRDefault="0026452D" w:rsidP="0026452D">
      <w:pPr>
        <w:pStyle w:val="Extracto"/>
      </w:pPr>
    </w:p>
    <w:p w:rsidR="0026452D" w:rsidRDefault="0026452D" w:rsidP="0026452D">
      <w:pPr>
        <w:pStyle w:val="Extracto"/>
      </w:pPr>
      <w:r>
        <w:t>10.</w:t>
      </w:r>
      <w:r>
        <w:tab/>
        <w:t xml:space="preserve">Las causas de abstención y recusación y, por tanto, la garantía de imparcialidad, aparecen referidas a las personas físicas que forman parte del órgano competente para resolver sobre las pretensiones formuladas y no a dicho órgano como institución, razón por la cual la circunstancia de que el Pleno del Tribunal Constitucional, entonces constituido por los recurrente en amparo, dictara un acuerdo reprobando la resolución judicial ahora impugnada, en nada compromete la imparcialidad de los Magistrados que actualmente conforman dicho Pleno, toda vez que </w:t>
      </w:r>
      <w:r>
        <w:lastRenderedPageBreak/>
        <w:t>ninguno de ellos formaba parte, en aquel momento, del Pleno de este Tribunal [FJ 2].</w:t>
      </w:r>
    </w:p>
    <w:p w:rsidR="0026452D" w:rsidRDefault="0026452D" w:rsidP="0026452D">
      <w:pPr>
        <w:pStyle w:val="Extracto"/>
      </w:pPr>
    </w:p>
    <w:p w:rsidR="0026452D" w:rsidRDefault="0026452D" w:rsidP="0026452D">
      <w:pPr>
        <w:pStyle w:val="Extracto"/>
      </w:pPr>
      <w:r>
        <w:t>11.</w:t>
      </w:r>
      <w:r>
        <w:tab/>
        <w:t xml:space="preserve">No cabe negar a los recurrentes la posibilidad de acudir al procedimiento de amparo constitucional, </w:t>
      </w:r>
      <w:r w:rsidRPr="0026452D">
        <w:rPr>
          <w:i/>
        </w:rPr>
        <w:t>ex</w:t>
      </w:r>
      <w:r>
        <w:t xml:space="preserve"> arts. 162.1 b) CE y 46.1 a) LOTC, contra una resolución judicial que les ha condenado al pago de una responsabilidad civil si consideran que con ello se han vulnerado derechos fundamentales susceptibles de ser protegidos a través de dicho procedimiento, no vulnerando con ello ningún deber de integridad ni de dignidad, por lo que no puede imputárseles ninguna actitud de aprovechamiento del cargo [FJ 2].</w:t>
      </w:r>
    </w:p>
    <w:p w:rsidR="0026452D" w:rsidRDefault="0026452D" w:rsidP="0026452D">
      <w:pPr>
        <w:pStyle w:val="Extracto"/>
      </w:pPr>
    </w:p>
    <w:p w:rsidR="0026452D" w:rsidRDefault="0026452D" w:rsidP="0026452D">
      <w:pPr>
        <w:pStyle w:val="Extracto"/>
      </w:pPr>
      <w:r>
        <w:t>12.</w:t>
      </w:r>
      <w:r>
        <w:tab/>
        <w:t>Con arreglo a los arts. 44.1 a) LOTC y 241.1 LOPJ, en la redacción aplicable al presente caso, sólo cabía acudir al incidente de nulidad de actuaciones cuando las vulneraciones aducidas se hubieran referido al vicio de incongruencia o a un defecto de forma causante de indefensión, por lo que dado que los recurrentes han invocado los arts. 23.2 y 24.1 CE, por vulneración de la garantía del ejercicio de sus cargos públicos sin perturbaciones ilegítimas y porque se habría incurrido en arbitrariedad e irrazonabilidad en su condena, no era preciso que dichas invocaciones hubieran sido alegadas en un improcedente incidente de nulidad de actuaciones, por lo que debe rechazarse que no se haya producido un correcto agotamiento de la vía judicial previa (SSTC 35/2011, 80/2011)  [FJ 3].</w:t>
      </w:r>
    </w:p>
    <w:p w:rsidR="0026452D" w:rsidRDefault="0026452D" w:rsidP="0026452D">
      <w:pPr>
        <w:pStyle w:val="Extracto"/>
      </w:pPr>
    </w:p>
    <w:p w:rsidR="0026452D" w:rsidRDefault="0026452D" w:rsidP="0026452D">
      <w:pPr>
        <w:pStyle w:val="Extracto"/>
      </w:pPr>
      <w:r>
        <w:t>13.</w:t>
      </w:r>
      <w:r>
        <w:tab/>
        <w:t xml:space="preserve">Procede la anulación de las resoluciones impugnadas por vulneración del derecho de los recurrentes a la tutela judicial efectiva, </w:t>
      </w:r>
      <w:r w:rsidRPr="0026452D">
        <w:rPr>
          <w:i/>
        </w:rPr>
        <w:t>ex</w:t>
      </w:r>
      <w:r>
        <w:t xml:space="preserve"> art. 24.1 CE, no siendo preciso que se acuerde la retroacción de las actuaciones para que el órgano judicial dicte una nueva resolución ya que, al tener como objeto la interpretación de preceptos de contenido jurisdiccional de la LOTC, de las que este Tribunal es supremo intérprete, no cabe una interpretación distinta a la proyectada en esta resolución [FFJJ 6, 8].</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amparo núm. 1091-2004, promovido por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Eugeni Gay Montalvo y doña Silvia María García-Calvo Haya —que lo hace por sucesión procesal en su condición de heredera de don Roberto García-Calvo y Montiel—, representados por la Procuradora de los Tribunales doña Isabel Juliá Corujo y bajo la dirección del Letrado don Luis Martí Mingarro, contra la Sentencia de la Sala de lo Civil del Tribunal Supremo de 23 de enero de 2004, aclarada por Auto de 27 de enero de 2004, dictada en los autos sobre responsabilidad civil núm. 1-2003. Ha comparecido don José Luis Mazón Costa, en su propio nombre y representación en su calidad de Licenciado en Derecho, bajo la dirección de la Letrada doña Encarnación Martínez Segado. Ha intervenido el Ministerio Fiscal. Ha sido Ponente el Presidente don Pascual Sala Sánchez,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23 de febrero de 2004, la Procuradora de los Tribunales doña Isabel Juliá Corujo, en nombre y representación de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 bajo la dirección del Letrado de don Luis Martí Mingarro, interpuso demanda de amparo contra la resolución judicial mencionada en el encabezamiento.</w:t>
      </w:r>
    </w:p>
    <w:p w:rsidR="0026452D" w:rsidRDefault="0026452D" w:rsidP="0026452D">
      <w:pPr>
        <w:pStyle w:val="TextoNormal"/>
      </w:pPr>
    </w:p>
    <w:p w:rsidR="0026452D" w:rsidRDefault="0026452D" w:rsidP="0026452D">
      <w:pPr>
        <w:pStyle w:val="TextoNormal"/>
      </w:pPr>
      <w:r w:rsidRPr="0026452D">
        <w:rPr>
          <w:rStyle w:val="NumeroAFNegritaCaracter"/>
        </w:rPr>
        <w:t>2</w:t>
      </w:r>
      <w:r>
        <w:t>. El recurso tiene su origen en los siguientes antecedentes:</w:t>
      </w:r>
    </w:p>
    <w:p w:rsidR="0026452D" w:rsidRDefault="0026452D" w:rsidP="0026452D">
      <w:pPr>
        <w:pStyle w:val="TextoNormal"/>
      </w:pPr>
    </w:p>
    <w:p w:rsidR="0026452D" w:rsidRDefault="0026452D" w:rsidP="0026452D">
      <w:pPr>
        <w:pStyle w:val="TextoNormal"/>
      </w:pPr>
      <w:r>
        <w:t>a) Don José Luis Mazón Costa interpuso ante la Sala de lo Contencioso-Administrativo del Tribunal Supremo sendas demandas, tramitadas con los núms. 1391-1999 y 2431-1999 por su Sección Séptima, en las que interesaba que se condenara al Tribunal Constitucional a convocar todas las plazas de Letrados de dicho Tribunal que estuvieran cubiertas por libre designación. Los recursos fueron acumulados y desestimados por Sentencia de 24 de junio de 2002.</w:t>
      </w:r>
    </w:p>
    <w:p w:rsidR="0026452D" w:rsidRDefault="0026452D" w:rsidP="0026452D">
      <w:pPr>
        <w:pStyle w:val="TextoNormal"/>
      </w:pPr>
    </w:p>
    <w:p w:rsidR="0026452D" w:rsidRDefault="0026452D" w:rsidP="0026452D">
      <w:pPr>
        <w:pStyle w:val="TextoNormal"/>
      </w:pPr>
      <w:r>
        <w:t>b) Don José Luis Mazón Costa presentó un escrito registrado el 10 de julio de 2002 en el Tribunal Constitucional con el núm. 4287-2002, dirigido “Al Tribunal Constitucional. Sustituido por formación que garantice un examen imparcial”, formulando “recurso de amparo ... contra el propio Tribunal Constitucional, litigante adversario en el proceso previo”. La petición contenida en el escrito era “1. La abstención de todos los magistrados del Tribunal por tener interés directo, subsidiariamente, su recusación. 2. La solicitud de una medida legislativa al Presidente del Gobierno para que solicite el [</w:t>
      </w:r>
      <w:r w:rsidRPr="0026452D">
        <w:rPr>
          <w:i/>
        </w:rPr>
        <w:t>sic</w:t>
      </w:r>
      <w:r>
        <w:t xml:space="preserve">] Parlamento la aprobación de un proyecto de ley que garantice el derecho constitucional a un examen imparcial del presente recurso de amparo. 3. Por la formación que prevea la medida legislativa y respete el </w:t>
      </w:r>
      <w:r>
        <w:lastRenderedPageBreak/>
        <w:t>derecho al juez imparcial, la estimación del presente amparo con declaración de nulidad de la sentencia impugnada y estimación del contenido de la demanda.”</w:t>
      </w:r>
    </w:p>
    <w:p w:rsidR="0026452D" w:rsidRDefault="0026452D" w:rsidP="0026452D">
      <w:pPr>
        <w:pStyle w:val="TextoNormal"/>
      </w:pPr>
    </w:p>
    <w:p w:rsidR="0026452D" w:rsidRDefault="0026452D" w:rsidP="0026452D">
      <w:pPr>
        <w:pStyle w:val="TextoNormal"/>
      </w:pPr>
      <w:r>
        <w:t>c) El Pleno del Tribunal Constitucional dictó providencia de 18 de julio de 2002 con el siguiente contenido: “El Pleno, en su reunión del día de hoy y a propuesta de la Sala Segunda, visto el escrito de 10 de julio de 2002 presentado por don José Luis Mazón Costa, acuerda por unanimidad la inadmisión del mismo, por cuanto el recurso no se dirige a este Tribunal Constitucional, sino a otro hipotético que le sustituya. En su consecuencia, procédase al archivo de las presentes actuaciones.”</w:t>
      </w:r>
    </w:p>
    <w:p w:rsidR="0026452D" w:rsidRDefault="0026452D" w:rsidP="0026452D">
      <w:pPr>
        <w:pStyle w:val="TextoNormal"/>
      </w:pPr>
    </w:p>
    <w:p w:rsidR="0026452D" w:rsidRDefault="0026452D" w:rsidP="0026452D">
      <w:pPr>
        <w:pStyle w:val="TextoNormal"/>
      </w:pPr>
      <w:r>
        <w:t>d) Don José Luis Mazón Costa dirigió al Pleno del Tribunal Constitucional un escrito formulando recurso de súplica, basado en la “infracción palmaria del deber de ejercer la jurisdicción y resolver los recursos de amparo que se presentan ante el Tribunal Constitucional”. En dicho escrito se interesaba que “Se dicte auto dejando sin efecto la resolución impugnada y se resuelva sobre el contenido del recurso de amparo, sobre la recusación de los magistrados del TC y en relación a la solicitud de proposición de medida legislativa que garantice un examen imparcial del recurso de amparo.”</w:t>
      </w:r>
    </w:p>
    <w:p w:rsidR="0026452D" w:rsidRDefault="0026452D" w:rsidP="0026452D">
      <w:pPr>
        <w:pStyle w:val="TextoNormal"/>
      </w:pPr>
    </w:p>
    <w:p w:rsidR="0026452D" w:rsidRDefault="0026452D" w:rsidP="0026452D">
      <w:pPr>
        <w:pStyle w:val="TextoNormal"/>
      </w:pPr>
      <w:r>
        <w:t>e) El Pleno del Tribunal Constitucional dictó providencia de 17 de septiembre de 2002 con el siguiente contenido: “Por recibido el escrito en que don José Luis Mazón Costa plantea Recurso de Súplica contra la providencia de archivo de las presentes actuaciones, de 18 de julio de 2002. Ha de destacarse, para resolver acerca de lo que en él se pide, que la presunta demanda de amparo iba dirigida ‘Al Tribunal Constitucional. Sustituido por formación que garantice un examen imparcial’, y en el suplico de la misma se contenían las siguientes peticiones: ‘l. La abstención de todos los magistrados del Tribunal por tener interés directo, subsidiariamente, su recusación. 2. La solicitud de una medida legislativa al Presidente del Gobierno para que solicite el [</w:t>
      </w:r>
      <w:r w:rsidRPr="0026452D">
        <w:rPr>
          <w:i/>
        </w:rPr>
        <w:t>sic</w:t>
      </w:r>
      <w:r>
        <w:t>] Parlamento la aprobación de un proyecto de ley que garantice el derecho constitucional a un examen imparcial del presente recurso de amparo. 3. Por la formación que prevea la medida legislativa y respete el derecho al juez imparcial, la estimación del presente amparo con declaración de nulidad de la sentencia impugnada y estimación del contenido de la demanda’. De todo ello se desprende con claridad que la supuesta demanda de amparo no se hallaba dirigida a este Tribunal y, en cualquier caso, que carecía de la claridad y precisión que el artículo 49 LOTC exige como requisitos esenciales de la demanda de amparo. De modo que no cabe admitir un recurso de súplica por parte de quien no ha iniciado ante este Tribunal procedimiento alguno. A lo que cabe decir que, aun si así no fuese, la providencia que se impugna sólo podría ser recurrida en súplica por el Ministerio Fiscal (art. 50.2 LOTC).”</w:t>
      </w:r>
    </w:p>
    <w:p w:rsidR="0026452D" w:rsidRDefault="0026452D" w:rsidP="0026452D">
      <w:pPr>
        <w:pStyle w:val="TextoNormal"/>
      </w:pPr>
    </w:p>
    <w:p w:rsidR="0026452D" w:rsidRDefault="0026452D" w:rsidP="0026452D">
      <w:pPr>
        <w:pStyle w:val="TextoNormal"/>
      </w:pPr>
      <w:r>
        <w:t>f) Don José Luis Mazón Costa formuló demanda de responsabilidad civil ante la Sala de lo Civil del Tribunal Supremo contra los Magistrados del Tribunal Constitucional que habían dictado las citadas providencias, solicitando su condena por “dolo civil o, subsidiariamente, por culpa grave, imponiéndoles solidariamente la obligación de indemnizar al demandante con la suma de once mil euros”. La demanda fue admitida a trámite por Auto de 24 de febrero de 2003, dando lugar a los autos de responsabilidad civil núm. 1-2003.</w:t>
      </w:r>
    </w:p>
    <w:p w:rsidR="0026452D" w:rsidRDefault="0026452D" w:rsidP="0026452D">
      <w:pPr>
        <w:pStyle w:val="TextoNormal"/>
      </w:pPr>
    </w:p>
    <w:p w:rsidR="0026452D" w:rsidRDefault="0026452D" w:rsidP="0026452D">
      <w:pPr>
        <w:pStyle w:val="TextoNormal"/>
      </w:pPr>
      <w:r>
        <w:t xml:space="preserve">g) El Abogado del Estado, que actuaba en defensa de los entonces demandados y ahora recurrentes en amparo, formuló una declinatorio de jurisdicción, argumentando que la Sala de lo Civil del Tribunal Supremo carecía de jurisdicción para resolver sobre la cuestión </w:t>
      </w:r>
      <w:r>
        <w:lastRenderedPageBreak/>
        <w:t>planteada, habida cuenta de la inviolabilidad de los Magistrados del Tribunal Constitucional por las opiniones expresadas en el ejercicio de su función [art. 22.2 de la Ley Orgánica del Tribunal Constitucional (LOTC)]. Igualmente, se destacaba que, atendiendo a la posición institucional del Tribunal Constitucional, al que todos los poderes públicos le están funcionalmente subordinados cuando ejerce su cometido de supremo intérprete de la Constitución (art. 1.1 LOTC), incluyendo al Tribunal Supremo en materia de garantías constitucionales (art. 123.1 CE), y a la prohibición de promover cuestión de jurisdicción o competencia (art. 4.1 LOTC), el “someter a juicio las decisiones adoptadas por los Magistrados constitucionales, a través de sus Sentencias, Autos o providencias, aunque fuera formalmente para apreciar si habían actuado con culpa o negligencia en el ejercicio de sus funciones con fines indemnizatorios, sería un modo de someter a revisión resoluciones frente a las que ‘no cabe recurso alguno’ (art. 164.1 CE, arts. 93 y 50 LOTC)”.</w:t>
      </w:r>
    </w:p>
    <w:p w:rsidR="0026452D" w:rsidRDefault="0026452D" w:rsidP="0026452D">
      <w:pPr>
        <w:pStyle w:val="TextoNormal"/>
      </w:pPr>
    </w:p>
    <w:p w:rsidR="0026452D" w:rsidRDefault="0026452D" w:rsidP="0026452D">
      <w:pPr>
        <w:pStyle w:val="TextoNormal"/>
      </w:pPr>
      <w:r>
        <w:t xml:space="preserve">h) Por Auto de 28 de abril de 2003 se desestimó la declinatoria de jurisdicción, afirmando que la independencia de los Magistrados del Tribunal Constitucional (art. 159.5 CE) y su sujeción exclusiva a la Constitución y su Ley Orgánica (art. 1.1 LOTC) no puede llevar “a una conclusión de la más rigurosa irresponsabilidad de los mismos por la violación de las normas a las que están subordinados. Y ello como una consecuencia emanada del principio de la soberanía popular y del desarrollo de un iusnaturalismo racionalista”. Igualmente, se destaca que la Constitución no proclama su inviolabilidad por el ejercicio de su función, tal como se hace con el Monarca o los Diputados, y que, sin embargo, existe base legal para sustentar su responsabilidad al reconocerse como causa de cese de los Magistrados del Tribunal Constitucional la declaración de responsabilidad civil por dolo (art. 23.1.7 LOTC) y la competencia de la Sala de lo Civil del Tribunal Supremo para conocer de las demandas de responsabilidad civil por hechos realizados en el ejercicio de sus cargos por el Presidente y demás Magistrados del Tribunal Constitucional art. 56.2 de la Ley Orgánica del Poder Judicial (LOPJ). Por último, también se pone de manifiesto, que a esta conclusión no cabe oponer el art. 22 LOTC, referido a que los Magistrados del Tribunal Constitucional no podrán ser perseguidos por las opiniones expresadas en el ejercicio de sus funciones, “pues una cosa son las opiniones —concepto que se forma de un evento— y otra son las decisiones judiciales en las que a través de una constatación de hechos y de una </w:t>
      </w:r>
      <w:r w:rsidRPr="0026452D">
        <w:rPr>
          <w:i/>
        </w:rPr>
        <w:t>ratio decidendi</w:t>
      </w:r>
      <w:r>
        <w:t xml:space="preserve"> se llega a una decisión que puede afectar a terceros de una manera torticera y por la cual si se pueden exigir responsabilidades como tarea profesional y no como manifestación de una idea” (fundamento de Derecho segundo).</w:t>
      </w:r>
    </w:p>
    <w:p w:rsidR="0026452D" w:rsidRDefault="0026452D" w:rsidP="0026452D">
      <w:pPr>
        <w:pStyle w:val="TextoNormal"/>
      </w:pPr>
    </w:p>
    <w:p w:rsidR="0026452D" w:rsidRDefault="0026452D" w:rsidP="0026452D">
      <w:pPr>
        <w:pStyle w:val="TextoNormal"/>
      </w:pPr>
      <w:r>
        <w:t xml:space="preserve">i) Por Sentencia de 23 de enero de 2004 se acordó estimar parcialmente la demanda y declarar incursos en responsabilidad civil a todos los demandados, condenando a cada uno de ellos al pago de quinientos euros. Por Auto de 27 de enero de 2004 se corrigió una omisión en el encabezamiento y hecho primero de la Sentencia condenatoria. En la Sentencia se señala, en primer lugar, que la posible responsabilidad civil de los demandados sólo puede producirse dentro del marco de la regulación de la responsabilidad civil extracontractual del art. 1902 del Código civil, al no resultar aplicable el régimen del art. 441 LOPJ, que aparece referido exclusivamente para Jueces y Magistrados que conforman los órganos del Poder Judicial, ni estar tampoco regulada dicha responsabilidad en su legislación orgánica propia (fundamento de Derecho tercero). A partir de ello, se afirma que los Magistrados del Tribunal Constitucional demandados “tuvieron una conducta absolutamente antijurídica” en sus resoluciones de 18 de julio y 17 de septiembre de 2002, ya que “se negaron lisa y llanamente a entrar a resolver una petición de amparo so pretexto de que iba dirigida a un </w:t>
      </w:r>
      <w:r>
        <w:lastRenderedPageBreak/>
        <w:t xml:space="preserve">hipotético tribunal, lo que implica un </w:t>
      </w:r>
      <w:r w:rsidRPr="0026452D">
        <w:rPr>
          <w:i/>
        </w:rPr>
        <w:t>non liquet</w:t>
      </w:r>
      <w:r>
        <w:t xml:space="preserve"> totalmente inadmisible”. Así, se expone, por un lado, que los demandados rechazaron el recurso de amparo “no porque no se comprendiera dentro de los casos y formas establecidos por la ley” sino porque iba dirigido a un hipotético Tribunal y no al Tribunal Constitucional “lo que es absolutamente incierto”. Y, por otro, que ésta es una “conducta antijurídica, con base en principios de legalidad ordinaria, puesto que el Código Civil en su art. 1.7 proclama, como principio de eficacia imperativa para todos los sectores del ordenamiento jurídico, que ‘los Jueces y Tribunales tienen el deber inexcusable de resolver en todo caso los asuntos de que conozcan ateniéndose a la sistema de fuentes establecido’”. En ese sentido, se afirma que el incumplimiento del deber de resolver “parte de una actitud de conducta negativa, fundada en una manifestación de que no se va a resolver sobre la pretensión ejercitada, sin aducir razón alguna que fundamente o motiva seriamente dicha posición negativa a dar la resolución procedente, salvo la existencia de un hipotético Tribunal” y que esa posición negativa “se puede producir en una resolución motivada cuya base no tenga apoyo legal o sea ilógica o arbitraria”, ya que si bien resulta posible, desde la perspectiva del art. 24.1 CE, una resolución de inadmisión, esta debe estar fundada en aplicación razonada de una causa legal. Por último, se señala que la conducta es también culpable, ya que en las resoluciones citadas, “al no dar respuesta lógica a la pretensión de amparo, los Magistrados demandados han actuado con una negligencia profesional grave, que supone, para el caso concreto, una ignorancia inexcusable, ya que la ilicitud o antijuridicidad tiene como base la violación de unas normas absolutamente imperativas” (fundamento de Derecho cuarto).</w:t>
      </w:r>
    </w:p>
    <w:p w:rsidR="0026452D" w:rsidRDefault="0026452D" w:rsidP="0026452D">
      <w:pPr>
        <w:pStyle w:val="TextoNormal"/>
      </w:pPr>
    </w:p>
    <w:p w:rsidR="0026452D" w:rsidRDefault="0026452D" w:rsidP="0026452D">
      <w:pPr>
        <w:pStyle w:val="TextoNormal"/>
      </w:pPr>
      <w:r w:rsidRPr="0026452D">
        <w:rPr>
          <w:rStyle w:val="NumeroAFNegritaCaracter"/>
        </w:rPr>
        <w:t>3</w:t>
      </w:r>
      <w:r>
        <w:t>. Los recurrentes aducen en su demanda de amparo que la resolución impugnada ha vulnerado sus derechos fundamentales de acceso a los cargos públicos (art. 23.2 CE) y a la tutela judicial efectiva (art. 24.1 CE), por lo que solicitan su anulación.</w:t>
      </w:r>
    </w:p>
    <w:p w:rsidR="0026452D" w:rsidRDefault="0026452D" w:rsidP="0026452D">
      <w:pPr>
        <w:pStyle w:val="TextoNormal"/>
      </w:pPr>
    </w:p>
    <w:p w:rsidR="0026452D" w:rsidRDefault="0026452D" w:rsidP="0026452D">
      <w:pPr>
        <w:pStyle w:val="TextoNormal"/>
      </w:pPr>
      <w:r>
        <w:t xml:space="preserve">Como cuestión previa, los recurrentes reconocen que la singularidad del caso va a suponer una necesaria demora en la resolución del recurso, al estar afectado el ejercicio de la jurisdicción constitucional de amparo por la composición subjetiva del Tribunal Constitucional en el momento de presentarse la demanda, lo que va a exigir esperar a sucesivas renovaciones de sus miembros hasta conseguir un adecuado </w:t>
      </w:r>
      <w:r w:rsidRPr="0026452D">
        <w:rPr>
          <w:i/>
        </w:rPr>
        <w:t>quorum</w:t>
      </w:r>
      <w:r>
        <w:t xml:space="preserve"> para su resolución.</w:t>
      </w:r>
    </w:p>
    <w:p w:rsidR="0026452D" w:rsidRDefault="0026452D" w:rsidP="0026452D">
      <w:pPr>
        <w:pStyle w:val="TextoNormal"/>
      </w:pPr>
    </w:p>
    <w:p w:rsidR="0026452D" w:rsidRDefault="0026452D" w:rsidP="0026452D">
      <w:pPr>
        <w:pStyle w:val="TextoNormal"/>
      </w:pPr>
      <w:r>
        <w:t>Entrando en el fondo de las invocaciones, los recurrentes ponen de manifiesto, en primer lugar, que se ha vulnerado el derecho de acceso a los cargos públicos (art. 23.2 CE) en relación con el derecho a la tutela judicial efectiva (art. 24.1 CE). Los recurrentes señalan, tras resumir la jurisprudencia constitucional en relación con el derecho al desempeño regular del cargo público, que si bien el art. 23.2 CE se ha centrado especialmente en los cargos públicos representativos, también garantiza la independencia y el ejercicio sin perturbaciones ilegítimas de las funciones propias de los Magistrados Constitucionales, como se desprende de la doctrina establecida en la STC 198/1989, de 27 de noviembre. En relación con ello invocan también el art. 24.1 CE, considerando que la resolución impugnada, en primer lugar, menoscaba el ejercicio independiente de las funciones jurisdiccionales constitucionales inherentes a la naturaleza del Tribunal Constitucional como órgano constitucional al que se atribuye la supremacía interpretativa de la Constitución y de su propia Ley Orgánica; y, en segundo lugar, quebranta la prerrogativa de inviolabilidad contenida en el art. 22 LOTC y, con ello, amenaza la independencia de sus Magistrados.</w:t>
      </w:r>
    </w:p>
    <w:p w:rsidR="0026452D" w:rsidRDefault="0026452D" w:rsidP="0026452D">
      <w:pPr>
        <w:pStyle w:val="TextoNormal"/>
      </w:pPr>
    </w:p>
    <w:p w:rsidR="0026452D" w:rsidRDefault="0026452D" w:rsidP="0026452D">
      <w:pPr>
        <w:pStyle w:val="TextoNormal"/>
      </w:pPr>
      <w:r>
        <w:lastRenderedPageBreak/>
        <w:t xml:space="preserve">Por lo que se refiere a la perturbación de las funciones de la justicia constitucional por desconocer la supremacía interpretativa del Tribunal Constitucional, se señala que la resolución judicial, al imputar a los recurrentes un </w:t>
      </w:r>
      <w:r w:rsidRPr="0026452D">
        <w:rPr>
          <w:i/>
        </w:rPr>
        <w:t>non liquet</w:t>
      </w:r>
      <w:r>
        <w:t xml:space="preserve">, “lo que realmente viene a manifestarse es que el contenido de ambas providencias no le parece a la Sala Primera del Tribunal Supremo motivación suficiente y adecuada”, poniendo de manifiesto un conflicto de apreciaciones entre el Tribunal Constitucional y la Sala Primera del Tribunal Supremo sobre cuál es la mínima motivación adecuada y suficiente para inadmitir y la calificación que correspondía darle al escrito al que se dio respuesta en esas providencias. A esos efectos, se señala en la demanda de amparo que para decidir sobre la acción de responsabilidad civil “la Sala Primera del Tribunal Supremo se atribuye a sí misma la función de determinar cómo tenía que haber interpretado y aplicado el Pleno del Tribunal Constitucional el art. 24 CE … a la hora de inadmitir una petición de amparo” y que, igualmente, se atribuye la función de determinar cómo se debe interpretar y aplicar la Ley Orgánica del Tribunal Constitucional en el concreto particular de la calificación que merecía el escrito que se había presentado para calificarlo como auténtica demanda dirigida al Tribunal Constitucional. Los recurrentes consideran que este enjuiciamiento y censura a partir de una interpretación propia del art. 24.1 CE implica una inversión de papeles entre el Tribunal Supremo y el Tribunal Constitucional que supone una grave perturbación del regular y legítimo ejercicio de las funciones jurisdiccionales constitucionales, ya que según la Constitución “no es el Tribunal Constitucional quien debe estar sometido al Tribunal Supremo en materia de </w:t>
      </w:r>
      <w:r w:rsidRPr="0026452D">
        <w:rPr>
          <w:i/>
        </w:rPr>
        <w:t>garantías constitucionales</w:t>
      </w:r>
      <w:r>
        <w:t xml:space="preserve"> (lo que muy principalmente incluye los derechos fundamentales), sino justo al revés: el Tribunal Constitucional es el intérprete supremo del derecho fundamental a la resolución judicial motivada ínsito en el art. 24.1 CE (art. 1.1 LOTC) y el Tribunal Supremo quien está subordinado al Tribunal Constitucional en esta materia (art. 123.1 </w:t>
      </w:r>
      <w:r w:rsidRPr="0026452D">
        <w:rPr>
          <w:i/>
        </w:rPr>
        <w:t>in fine</w:t>
      </w:r>
      <w:r>
        <w:t xml:space="preserve"> de la Constitución y arts. 5.1y 7.2 LOPJ)”.</w:t>
      </w:r>
    </w:p>
    <w:p w:rsidR="0026452D" w:rsidRDefault="0026452D" w:rsidP="0026452D">
      <w:pPr>
        <w:pStyle w:val="TextoNormal"/>
      </w:pPr>
    </w:p>
    <w:p w:rsidR="0026452D" w:rsidRDefault="0026452D" w:rsidP="0026452D">
      <w:pPr>
        <w:pStyle w:val="TextoNormal"/>
      </w:pPr>
      <w:r>
        <w:t xml:space="preserve">Del mismo modo, se insiste en que si bien el Tribunal Constitucional está también vinculado a los derechos fundamentales (art. 53.1 CE), es a este Tribunal al que compete precisar definitivamente el modo y grado de vinculación de los poderes públicos a los derechos fundamentales, señalando que “en materia constitucional todos los demás poderes públicos españoles están sometidos al Tribunal Constitucional y él mismo no puede ser juzgado por nadie” y que “ningún otro Tribunal español puede, por ninguna vía, imponerle su propia interpretación constitucional. Que es, en definitiva, lo que hace la Sentencia recurrida”. A esos efectos, también se pone de manifiesto que, una tesis similar vale para la interpretación y aplicación de la Ley Orgánica del Tribunal Constitucional, ya que “ningún otro Tribunal español puede enjuiciar el modo en que el Tribunal Constitucional aplica su propia Ley Orgánica. Contra sus sentencias no hay recurso ante ningún órgano interno (art. 164.1 CE y 93.1 LOTC). Y contra sus resoluciones interlocutorias sólo ante el propio Tribunal Constitucional en los términos que dispone la LOTC (arts. 50, apartados 2 y 4, y 93.2 LOTC). Ningún Tribunal puede cuestionar su jurisdicción y competencia por ninguna vía (art. 4.1 LOTC)”. De ese modo, los recurrentes concluyen que con la resolución impugnada la Sala de lo Civil del Tribunal Supremo no sólo ha violado la supremacía interpretativa del Tribunal Constitucional asumiendo la función de garante de la Constitución y la Ley Orgánica del Tribunal Constitucional frente al propio Pleno del Tribunal Constitucional, sino que también ha vulnerado la independencia de los Magistrados del Tribunal Constitucional —declarada desde el punto de vista del órgano, por el art. 1.1 LOTC, y desde el punto de vista de los Magistrados, por el art. 159.3 CE—, no prestando “la tutela judicial en la forma y </w:t>
      </w:r>
      <w:r>
        <w:lastRenderedPageBreak/>
        <w:t>dentro de los límites que la Constitución y la LOTC imponía a la Sala de lo Civil del Tribunal Supremo”.</w:t>
      </w:r>
    </w:p>
    <w:p w:rsidR="0026452D" w:rsidRDefault="0026452D" w:rsidP="0026452D">
      <w:pPr>
        <w:pStyle w:val="TextoNormal"/>
      </w:pPr>
    </w:p>
    <w:p w:rsidR="0026452D" w:rsidRDefault="0026452D" w:rsidP="0026452D">
      <w:pPr>
        <w:pStyle w:val="TextoNormal"/>
      </w:pPr>
      <w:r>
        <w:t>Por lo que se refiere al quebranto de la inviolabilidad de los Magistrados del Tribunal Constitucional por sus opiniones, los recurrentes ponen de manifiesto que la condena, al haberse centrado en el contenido de dos resoluciones jurisdiccionales del Tribunal Constitucional, supone un quebranto de la inviolabilidad de los Magistrados que dictaron dichas resoluciones por sus opiniones expresadas en el ejercicio de sus funciones (art. 22 LOTC) y, por tanto, de su independencia (art. 159.5 CE). Los recurrentes reconocen que la independencia proclamada en el art. 159.5 CE no implica una irresponsabilidad absoluta, ya que la propia Ley Orgánica del Tribunal Constitucional se refiere a la eventual responsabilidad penal y civil de los Magistrados del Tribunal Constitucional. Sin embargo, señalan que, a los efectos de la interpretación del art. 22 LOTC, la previsión de la imposibilidad de persecución de los Magistrados del Tribunal Constitucional por las opiniones expresadas en el ejercicio de su función se refiere, precisamente, al contenido de sus resoluciones jurisdiccionales, ya que “ninguna duda puede caber de que la opinión de cada Magistrado se expresa fundamentalmente en las deliberaciones y, sobre todo, en su voto en las diversas resoluciones jurisdiccionales. El art. 90.2 LOTC enlaza opinión y voto cuando dice que los Magistrados podrán ‘reflejar en un voto particular su opinión discrepante’. No cabe, pues, duda alguna que, en el art. 22 LOTC, la opinión incluye la manifestada tanto en las deliberaciones como en el voto de las resoluciones jurisdiccionales, y abarca a estas en su integridad: fijación de hechos, fundamentación jurídica y parte dispositiva”.</w:t>
      </w:r>
    </w:p>
    <w:p w:rsidR="0026452D" w:rsidRDefault="0026452D" w:rsidP="0026452D">
      <w:pPr>
        <w:pStyle w:val="TextoNormal"/>
      </w:pPr>
    </w:p>
    <w:p w:rsidR="0026452D" w:rsidRDefault="0026452D" w:rsidP="0026452D">
      <w:pPr>
        <w:pStyle w:val="TextoNormal"/>
      </w:pPr>
      <w:r>
        <w:t xml:space="preserve">En segundo lugar, los recurrentes alegan la vulneración del derecho a una resolución judicial fundada en Derecho y no arbitraria (art. 24.1 CE). Así, ponen de manifiesto que la resolución impugnada no podría considerarse expresión de la aplicación razonada del ordenamiento jurídico por carecer de la debida fundamentación, ya que la afirmación de que los recurrentes observaron una conducta “absolutamente antijurídica” al dictar las providencias de 18 de julio y 17 de diciembre de 2002, se fundamenta exclusivamente en unos “principios de legalidad ordinaria” que no especifica y en el art. 1.7 del Código civil. Por el contrario, los recurrentes alegan que en tal fundamentación no se hace mención del art. 50 LOTC, regulador de los requisitos de admisión del recurso de amparo, y, además, es incompatible con el mandato contenido en el art. 1 LOTC, que somete al Tribunal Constitucional únicamente a la Constitución y a su propia Ley Orgánica, la cual, desde la reforma operada por la Ley Orgánica 6/1988, de 9 de junio, permite la inadmisión de demandas de amparo sin necesidad de motivación. Al margen de ello, los recurrentes destacan que el órgano judicial no debía enjuiciar las providencias del Tribunal Constitucional desde la perspectiva de “principios de legalidad ordinaria” o con arreglo a la prohibición de </w:t>
      </w:r>
      <w:r w:rsidRPr="0026452D">
        <w:rPr>
          <w:i/>
        </w:rPr>
        <w:t>non liquet</w:t>
      </w:r>
      <w:r>
        <w:t>, sino verificar si concurría la responsabilidad civil denunciada por la parte actora. Respecto de ello, señalan que esta cuestión, para salvaguardar la supremacía del Tribunal Constitucional en materia de garantías constitucionales [art. 123 CE en relación con los arts. 162 b) CE y 2 LOTC], no puede resolverse enjuiciando la conformidad a Derecho de las resoluciones jurisdiccionales del Tribunal Constitucional, pues sus pronunciamientos son irrevisables por cualquier otro Tribunal, incluido el Supremo (arts. 164.1CE y 93.2 LOTC).</w:t>
      </w:r>
    </w:p>
    <w:p w:rsidR="0026452D" w:rsidRDefault="0026452D" w:rsidP="0026452D">
      <w:pPr>
        <w:pStyle w:val="TextoNormal"/>
      </w:pPr>
    </w:p>
    <w:p w:rsidR="0026452D" w:rsidRDefault="0026452D" w:rsidP="0026452D">
      <w:pPr>
        <w:pStyle w:val="TextoNormal"/>
      </w:pPr>
      <w:r>
        <w:t xml:space="preserve">Por último, los recurrentes alegan también la vulneración del derecho a la tutela judicial efectiva (art. 24.1 CE) por ser irrazonable la </w:t>
      </w:r>
      <w:r w:rsidRPr="0026452D">
        <w:rPr>
          <w:i/>
        </w:rPr>
        <w:t>ratio decidendi</w:t>
      </w:r>
      <w:r>
        <w:t xml:space="preserve"> de la Sentencia impugnada. A ese respecto, destacan que la fundamentación de la resolución impugnada no la constituyen </w:t>
      </w:r>
      <w:r>
        <w:lastRenderedPageBreak/>
        <w:t xml:space="preserve">los tres elementos que pueden servir de soporte a una declaración de responsabilidad, como son la antijuridicidad culpable, el daño y el nexo causal, sino que todo el peso de la decisión descansa en el presupuesto de que el Tribunal Constitucional inadmitió un escrito de forma antijurídica. Los recurrentes resaltan que la afirmación de que actuaron de forma antijurídica es manifiestamente irrazonable, pues no se les puede imputar haber incurrido en </w:t>
      </w:r>
      <w:r w:rsidRPr="0026452D">
        <w:rPr>
          <w:i/>
        </w:rPr>
        <w:t>non liquet</w:t>
      </w:r>
      <w:r>
        <w:t xml:space="preserve"> cuando, precisamente, lo que hicieron fue declarar que un determinado escrito era inadmisible </w:t>
      </w:r>
      <w:r w:rsidRPr="0026452D">
        <w:rPr>
          <w:i/>
        </w:rPr>
        <w:t>a limine</w:t>
      </w:r>
      <w:r>
        <w:t xml:space="preserve"> por estar dirigido a otro Tribunal. Hubo, pues, resolución, lo que excluye el </w:t>
      </w:r>
      <w:r w:rsidRPr="0026452D">
        <w:rPr>
          <w:i/>
        </w:rPr>
        <w:t>non liquet</w:t>
      </w:r>
      <w:r>
        <w:t>. También destacan que el órgano judicial habría obviado el contenido de la segunda de las providencias acordadas por el Pleno del Tribunal Constitucional, en la que se hacía referencia al incumplimiento del art. 49 LOTC, lo que sería motivo suficiente para justificar la inadmisión del escrito.</w:t>
      </w:r>
    </w:p>
    <w:p w:rsidR="0026452D" w:rsidRDefault="0026452D" w:rsidP="0026452D">
      <w:pPr>
        <w:pStyle w:val="TextoNormal"/>
      </w:pPr>
    </w:p>
    <w:p w:rsidR="0026452D" w:rsidRDefault="0026452D" w:rsidP="0026452D">
      <w:pPr>
        <w:pStyle w:val="TextoNormal"/>
      </w:pPr>
      <w:r w:rsidRPr="0026452D">
        <w:rPr>
          <w:rStyle w:val="NumeroAFNegritaCaracter"/>
        </w:rPr>
        <w:t>4</w:t>
      </w:r>
      <w:r>
        <w:t>. Los recurrentes, por escritos de 12, 22 y 23 de marzo de 2004 comunicaron su voluntad de abstenerse de toda intervención en el presente recurso y sus incidencias. El Presidente del Tribunal Constitucional, de conformidad con lo dispuesto en el art. 15 LOTC, acordó, con fecha 29 de marzo de 2004, al ser patente que no cabía resolver sobre las solicitudes de abstención, la suspensión de toda tramitación procesal del presente recurso de amparo, incluida la de las abstenciones solicitadas, hasta tanto fuera posible proveer sobre las mismas.</w:t>
      </w:r>
    </w:p>
    <w:p w:rsidR="0026452D" w:rsidRDefault="0026452D" w:rsidP="0026452D">
      <w:pPr>
        <w:pStyle w:val="TextoNormal"/>
      </w:pPr>
    </w:p>
    <w:p w:rsidR="0026452D" w:rsidRDefault="0026452D" w:rsidP="0026452D">
      <w:pPr>
        <w:pStyle w:val="TextoNormal"/>
      </w:pPr>
      <w:r w:rsidRPr="0026452D">
        <w:rPr>
          <w:rStyle w:val="NumeroAFNegritaCaracter"/>
        </w:rPr>
        <w:t>5</w:t>
      </w:r>
      <w:r>
        <w:t>. La Presidenta del Tribunal acordó, con fecha 4 de abril de 2005, designar como sustitutos de los Magistrados don Vicente Conde Martín de Hijas y doña Elisa Pérez Vera de la Sección Cuarta de este Tribunal a los Magistrados don Pascual Sala Sánchez y don Pablo Pérez Tremps, con el objeto de resolver sobre las abstenciones formuladas y, en su caso, la admisibilidad del recurso de amparo. Las solicitudes de abstención fueron resueltas por ATC 290/2005, de 4 de julio.</w:t>
      </w:r>
    </w:p>
    <w:p w:rsidR="0026452D" w:rsidRDefault="0026452D" w:rsidP="0026452D">
      <w:pPr>
        <w:pStyle w:val="TextoNormal"/>
      </w:pPr>
    </w:p>
    <w:p w:rsidR="0026452D" w:rsidRDefault="0026452D" w:rsidP="0026452D">
      <w:pPr>
        <w:pStyle w:val="TextoNormal"/>
      </w:pPr>
      <w:r w:rsidRPr="0026452D">
        <w:rPr>
          <w:rStyle w:val="NumeroAFNegritaCaracter"/>
        </w:rPr>
        <w:t>6</w:t>
      </w:r>
      <w:r>
        <w:t>. La Procuradora de los Tribunales doña María del Ángel Sanz Amaro, en nombre y representación de don José Luis Mazón Cuesta, y bajo la dirección de la Letrada doña Encarnación Martínez Segado, mediante diversos escritos registrados en este Tribunal el 27 de febrero de 2004, 18 de julio de 2005 y 13 de octubre de 2005, reiteró diferentes recusaciones, que fueron sucesivamente inadmitidas por sendas providencias de 4 de julio de 2005, 22 de julio de 2005 y 19 de octubre de 2005, al no poder tenerse en ese momento procesal por comparecido al solicitante a ningún efecto, conforme al art. 51.2 LOTC. Por Auto de 5 de octubre de 2005 se desestimó el recurso de súplica interpuesto, mediante escrito registrado el 11 de julio de 2005, contra la providencia de 4 de julio de 2005 y por ATC 428/2005, de 13 de diciembre, se inadmitió el recurso de súplica interpuesto, mediante escrito registrado el 28 de octubre de 2005, contra la providencia de 19 de octubre de 2005.</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La Sección Cuarta de este Tribunal, por providencia de 27 de abril de 2007, acordó admitir a trámite la demanda de amparo y, en aplicación de lo dispuesto en el art. 51 LOTC, requerir atentamente de la Sala de lo Civil del Tribunal Supremo la remisión del testimonio de las actuaciones correspondientes y el emplazamiento de quienes hubieran sido parte en el procedimiento, a excepción de los recurrentes, para que pudiesen comparecer en el plazo de diez días en el presente proceso de amparo. Igualmente se acordó, en relación con la dación de cuentas aprobada en providencias de 22 de julio y 19 de octubre de 2005, respecto de las recusaciones planeadas que se proveería sobre las mismas por quien correspondiera </w:t>
      </w:r>
      <w:r>
        <w:lastRenderedPageBreak/>
        <w:t>a resultas del cumplimiento de los requisitos necesarios de emplazamiento y demás determinantes de la adquisición de la condición de parte del solicitante.</w:t>
      </w:r>
    </w:p>
    <w:p w:rsidR="0026452D" w:rsidRDefault="0026452D" w:rsidP="0026452D">
      <w:pPr>
        <w:pStyle w:val="TextoNormal"/>
      </w:pPr>
    </w:p>
    <w:p w:rsidR="0026452D" w:rsidRDefault="0026452D" w:rsidP="0026452D">
      <w:pPr>
        <w:pStyle w:val="TextoNormal"/>
      </w:pPr>
      <w:r w:rsidRPr="0026452D">
        <w:rPr>
          <w:rStyle w:val="NumeroAFNegritaCaracter"/>
        </w:rPr>
        <w:t>8</w:t>
      </w:r>
      <w:r>
        <w:t>. Don José Luis Mazón Costa, por escrito registrado el 5 de junio de 2007, solicitó que, en su calidad de Licenciado en Derecho, se le tuviera por personado y parte en el presente recurso de amparo, lo que se acordó mediante diligencia de ordenación de la Secretaría de Justicia de la Sala Segunda de este Tribunal de 4 de julio de 2007. La parte comparecida, por un primer escrito registrado el 28 de junio de 2007, interpuso recurso de súplica contra la providencia de admisión a trámite y, por un segundo escrito registrado ese mismo día, solicitó la tramitación de los escritos de recusación planteados a los que se hacían referencia en la providencia de admisión. Por ATC 159/2008, de 19 de junio, se acordó inadmitir el recurso de súplica.</w:t>
      </w:r>
    </w:p>
    <w:p w:rsidR="0026452D" w:rsidRDefault="0026452D" w:rsidP="0026452D">
      <w:pPr>
        <w:pStyle w:val="TextoNormal"/>
      </w:pPr>
    </w:p>
    <w:p w:rsidR="0026452D" w:rsidRDefault="0026452D" w:rsidP="0026452D">
      <w:pPr>
        <w:pStyle w:val="TextoNormal"/>
      </w:pPr>
      <w:r w:rsidRPr="0026452D">
        <w:rPr>
          <w:rStyle w:val="NumeroAFNegritaCaracter"/>
        </w:rPr>
        <w:t>9</w:t>
      </w:r>
      <w:r>
        <w:t>. El 18 de mayo de 2008 se produjo la vacante como Magistrado del Tribunal Constitucional de don Roberto García-Calvo y Montiel por fallecimiento.</w:t>
      </w:r>
    </w:p>
    <w:p w:rsidR="0026452D" w:rsidRDefault="0026452D" w:rsidP="0026452D">
      <w:pPr>
        <w:pStyle w:val="TextoNormal"/>
      </w:pPr>
    </w:p>
    <w:p w:rsidR="0026452D" w:rsidRDefault="0026452D" w:rsidP="0026452D">
      <w:pPr>
        <w:pStyle w:val="TextoNormal"/>
      </w:pPr>
      <w:r w:rsidRPr="0026452D">
        <w:rPr>
          <w:rStyle w:val="NumeroAFNegritaCaracter"/>
        </w:rPr>
        <w:t>10</w:t>
      </w:r>
      <w:r>
        <w:t>. De conformidad con lo dispuesto en el art. 15, en relación con los arts. 7 y 8 LOTC, y el Acuerdo de 20 de enero de 2005, del Pleno del Tribunal Constitucional, por el que se regula la sustitución de Magistrados a los efectos previstos en el art. 14 LOTC, la Presidenta del Tribunal, acordó, con fecha 5 de diciembre de 2008, designar al Magistrado Sr. Aragón Reyes para completar la Sala Segunda, a la que correspondía pronunciarse sobre este amparo, para su resolución.</w:t>
      </w:r>
    </w:p>
    <w:p w:rsidR="0026452D" w:rsidRDefault="0026452D" w:rsidP="0026452D">
      <w:pPr>
        <w:pStyle w:val="TextoNormal"/>
      </w:pPr>
    </w:p>
    <w:p w:rsidR="0026452D" w:rsidRDefault="0026452D" w:rsidP="0026452D">
      <w:pPr>
        <w:pStyle w:val="TextoNormal"/>
      </w:pPr>
      <w:r w:rsidRPr="0026452D">
        <w:rPr>
          <w:rStyle w:val="NumeroAFNegritaCaracter"/>
        </w:rPr>
        <w:t>11</w:t>
      </w:r>
      <w:r>
        <w:t>. La Sala Segunda de este Tribunal, por providencia de 22 de diciembre de 2008, acordó respecto de las solicitudes de recusación formuladas que su resolución quedara pendiente hasta que se completara el proceso de renovación del Tribunal Constitucional, por ser notoria la falta de quórum en el Pleno para un pronunciamiento sobre el particular.</w:t>
      </w:r>
    </w:p>
    <w:p w:rsidR="0026452D" w:rsidRDefault="0026452D" w:rsidP="0026452D">
      <w:pPr>
        <w:pStyle w:val="TextoNormal"/>
      </w:pPr>
    </w:p>
    <w:p w:rsidR="0026452D" w:rsidRDefault="0026452D" w:rsidP="0026452D">
      <w:pPr>
        <w:pStyle w:val="TextoNormal"/>
      </w:pPr>
      <w:r w:rsidRPr="0026452D">
        <w:rPr>
          <w:rStyle w:val="NumeroAFNegritaCaracter"/>
        </w:rPr>
        <w:t>12</w:t>
      </w:r>
      <w:r>
        <w:t>. La Sala Segunda de este Tribunal, por providencia de 1 de marzo de 2011, acordó que se remitiera testimonio al Pleno del Tribunal de las recusaciones formuladas por la parte comparecida en los escritos de 18 de julio y 13 de octubre de 2005, de conformidad con lo dispuesto en el art. 10.1 k) LOTC, siendo resueltas por ATC 40/2011, de 12 de abril.</w:t>
      </w:r>
    </w:p>
    <w:p w:rsidR="0026452D" w:rsidRDefault="0026452D" w:rsidP="0026452D">
      <w:pPr>
        <w:pStyle w:val="TextoNormal"/>
      </w:pPr>
    </w:p>
    <w:p w:rsidR="0026452D" w:rsidRDefault="0026452D" w:rsidP="0026452D">
      <w:pPr>
        <w:pStyle w:val="TextoNormal"/>
      </w:pPr>
      <w:r w:rsidRPr="0026452D">
        <w:rPr>
          <w:rStyle w:val="NumeroAFNegritaCaracter"/>
        </w:rPr>
        <w:t>13</w:t>
      </w:r>
      <w:r>
        <w:t>. La Sala Segunda de este Tribunal, por providencia de 30 de mayo de 2011, acordó que, siendo notorio el fallecimiento de don Roberto García-Calvo y Montiel, se requiriera a su representante procesal para que en el plazo de diez días participara a la Sala si los herederos pretendían mantener el recurso de amparo. La Procuradora de los Tribunales doña Isabel Juliá Corujo, en nombre y representación de doña Silvia María García-Calvo, solicitó que, en su condición de heredera, se acordara la sucesión procesal y el mantenimiento de las pretensiones sustentadas en el presente recurso de amparo por don Roberto García-Calvo y Montiel.</w:t>
      </w:r>
    </w:p>
    <w:p w:rsidR="0026452D" w:rsidRDefault="0026452D" w:rsidP="0026452D">
      <w:pPr>
        <w:pStyle w:val="TextoNormal"/>
      </w:pPr>
    </w:p>
    <w:p w:rsidR="0026452D" w:rsidRDefault="0026452D" w:rsidP="0026452D">
      <w:pPr>
        <w:pStyle w:val="TextoNormal"/>
      </w:pPr>
      <w:r w:rsidRPr="0026452D">
        <w:rPr>
          <w:rStyle w:val="NumeroAFNegritaCaracter"/>
        </w:rPr>
        <w:t>14</w:t>
      </w:r>
      <w:r>
        <w:t xml:space="preserve">. La Secretaría de Justicia de la Sala Segunda de este Tribunal, por diligencia de ordenación de 5 de julio de 2011, acordó tener por personada y parte en el procedimiento a la Procuradora de los Tribunales doña Isabel Juliá Corujo, en nombre y representación de doña Silvia María García-Calvo, y, a tenor de lo dispuesto en el art. 52.1 LOTC, dar vista de las </w:t>
      </w:r>
      <w:r>
        <w:lastRenderedPageBreak/>
        <w:t>actuaciones por plazo común de veinte días al Ministerio Fiscal y las partes personadas para que, dentro de dicho término, pudiesen presentar las alegaciones que a su derecho conviniera.</w:t>
      </w:r>
    </w:p>
    <w:p w:rsidR="0026452D" w:rsidRDefault="0026452D" w:rsidP="0026452D">
      <w:pPr>
        <w:pStyle w:val="TextoNormal"/>
      </w:pPr>
    </w:p>
    <w:p w:rsidR="0026452D" w:rsidRDefault="0026452D" w:rsidP="0026452D">
      <w:pPr>
        <w:pStyle w:val="TextoNormal"/>
      </w:pPr>
      <w:r w:rsidRPr="0026452D">
        <w:rPr>
          <w:rStyle w:val="NumeroAFNegritaCaracter"/>
        </w:rPr>
        <w:t>15</w:t>
      </w:r>
      <w:r>
        <w:t>. La parte comparecida, en escrito registrado el 7 de septiembre de 2011, presentó sus alegaciones solicitando la inadmisión del recurso o, subsidiariamente, su desestimación.</w:t>
      </w:r>
    </w:p>
    <w:p w:rsidR="0026452D" w:rsidRDefault="0026452D" w:rsidP="0026452D">
      <w:pPr>
        <w:pStyle w:val="TextoNormal"/>
      </w:pPr>
    </w:p>
    <w:p w:rsidR="0026452D" w:rsidRDefault="0026452D" w:rsidP="0026452D">
      <w:pPr>
        <w:pStyle w:val="TextoNormal"/>
      </w:pPr>
      <w:r>
        <w:t>Considera que el recurso es inadmisible, en primer lugar, porque los recurrentes han contaminado al propio Tribunal Constitucional mediante el dictado del acuerdo de 3 de febrero de 2004 por el que se reprueba la Sentencia impugnada en el presente amparo, comprometiendo su posición institucional con la afirmación de que suponía una invasión competencial. La parte comparecida sostiene, en segundo lugar, que el recurso es también inadmisible por haber vulnerado los recurrentes sus deberes de integridad, dignidad e imparcialidad al formular el recurso de amparo, ya que han utilizado el cargo para obtener una posición ventajosa, dejando en una situación comprometedora a los Magistrados que deban resolver el recurso, de modo tal que el Tribunal Constitucional carecería de competencia para examinar este recurso. Como tercera causa de inadmisión, la parte comparecida alega que la demanda de amparo ha sido presentada con manifiesto abuso de derecho. En cuarto lugar, aduce que el recurso es inadmisible por falta de agotamiento de la vía judicial previa [art. 44.1 a) LOTC] al no haberse acudido al incidente de nulidad de actuaciones, que era un medio procesal apto para el eventual restablecimiento de los derechos invocados por haberse denunciado defectos de forma causantes de indefensión. Por último, la parte comparecida también considera inadmisible el recurso por falta de invocación previa del derecho vulnerado [art. 44.1 c) LOTC], toda vez que no fueron alegados por los recurrente las vulneraciones de los arts. 23.2 y 24.1 CE frente al Auto de admisión de la demanda contencioso-administrativa, ni en la contestación a la demanda, siendo insuficiente a estos efectos el planteamiento de la declinatoria de jurisdicción.</w:t>
      </w:r>
    </w:p>
    <w:p w:rsidR="0026452D" w:rsidRDefault="0026452D" w:rsidP="0026452D">
      <w:pPr>
        <w:pStyle w:val="TextoNormal"/>
      </w:pPr>
    </w:p>
    <w:p w:rsidR="0026452D" w:rsidRDefault="0026452D" w:rsidP="0026452D">
      <w:pPr>
        <w:pStyle w:val="TextoNormal"/>
      </w:pPr>
      <w:r>
        <w:t>En relación con la cuestión de fondo planteada en el recurso, la parte comparecida sostiene que basta una lectura de la resolución impugnada para comprobar que está fundada en Derecho aunque sea contraria a los intereses de los recurrentes, habiéndose razonado debidamente el carácter antijurídico de su conducta.</w:t>
      </w:r>
    </w:p>
    <w:p w:rsidR="0026452D" w:rsidRDefault="0026452D" w:rsidP="0026452D">
      <w:pPr>
        <w:pStyle w:val="TextoNormal"/>
      </w:pPr>
    </w:p>
    <w:p w:rsidR="0026452D" w:rsidRDefault="0026452D" w:rsidP="0026452D">
      <w:pPr>
        <w:pStyle w:val="TextoNormal"/>
      </w:pPr>
      <w:r w:rsidRPr="0026452D">
        <w:rPr>
          <w:rStyle w:val="NumeroAFNegritaCaracter"/>
        </w:rPr>
        <w:t>16</w:t>
      </w:r>
      <w:r>
        <w:t>. El Ministerio Fiscal, en escrito registrado el 8 de septiembre de 2011, interesó que se otorgara el amparo solicitado por vulneración de los derechos al acceso a los cargos públicos (art. 23.2 CE) y a la tutela judicial efectiva (art. 24.1 CE), con anulación de la resolución impugnada.</w:t>
      </w:r>
    </w:p>
    <w:p w:rsidR="0026452D" w:rsidRDefault="0026452D" w:rsidP="0026452D">
      <w:pPr>
        <w:pStyle w:val="TextoNormal"/>
      </w:pPr>
    </w:p>
    <w:p w:rsidR="0026452D" w:rsidRDefault="0026452D" w:rsidP="0026452D">
      <w:pPr>
        <w:pStyle w:val="TextoNormal"/>
      </w:pPr>
      <w:r>
        <w:t xml:space="preserve">El Ministerio Fiscal destaca, en relación con la invocación de los arts. 23.2 y 24.1 CE, por el menoscabo producido en el ejercicio independiente de las funciones jurisdiccionales de los recurrentes, que, conforme a la regulación entonces vigente, es incuestionable que las resoluciones del Tribunal Constitucional no son susceptibles de ningún recurso o control de legalidad por ningún órgano jurisdiccional. A partir de ello, también constata que la Sentencia impugnada tenía como único y exclusivo objeto el examen de dos resoluciones del Tribunal Constitucional. En este contexto, el Ministerio Fiscal considera que la mera referencia efectuada por el órgano judicial para justificar su competencia en el enjuiciamiento de estas resoluciones del Pleno del Tribunal Constitucional “puede ser válida para justificar la capacidad de enjuiciamiento de la responsabilidad civil, por acciones u omisiones, por </w:t>
      </w:r>
      <w:r>
        <w:lastRenderedPageBreak/>
        <w:t>los órganos de dicha jurisdicción, pero no es suficiente para rechazar la falta de competencia alegada”, ya que “la Sala de lo Civil del Tribunal Supremo se ha abstenido de considerar que la demanda ante ella presentada, se circunscribía a una discrepancia estrictamente jurídica con dos resoluciones dictadas, en el ejercicio exclusivo de sus funciones jurisdiccionales, por el Pleno del Tribunal Constitucional, en aplicación de la normativa específica que regula los requisitos que han de recurrir los escritos dirigidos al Tribunal Constitucional para su admisión”. De todo ello concluye que la Sala de lo Civil del Tribunal Supremo se ha atribuido la competencia para enjuiciar la corrección o incorrección de sendas resoluciones dictadas por el Pleno Tribunal Constitucional, cuyos miembros tienen garantizado tanto por la Constitución como por la Ley Orgánica del Tribunal Constitucional no sólo su independencia y su exclusividad jurisdiccional en los procesos constitucionales sino también su inviolabilidad y la imposibilidad de que sus resoluciones sean recurridas ante ningún otro tribunal interno, por lo que no se ha respetado ni su independencia ni el derecho al ejercicio de sus funciones sin perturbaciones ilegítimas.</w:t>
      </w:r>
    </w:p>
    <w:p w:rsidR="0026452D" w:rsidRDefault="0026452D" w:rsidP="0026452D">
      <w:pPr>
        <w:pStyle w:val="TextoNormal"/>
      </w:pPr>
    </w:p>
    <w:p w:rsidR="0026452D" w:rsidRDefault="0026452D" w:rsidP="0026452D">
      <w:pPr>
        <w:pStyle w:val="TextoNormal"/>
      </w:pPr>
      <w:r>
        <w:t xml:space="preserve">Por otro lado, el Ministerio Fiscal, entrando ya en el razonamiento vertido en la resolución impugnada para considerar antijurídica la conducta de los recurrentes, pone de manifiesto que la Sentencia combatida no ha analizado si, desde la normativa de aplicación, las decisiones inadmisorias del Tribunal Constitucional se acomodaban a la legalidad procesal constitucional, sustentando la condena de los recurrentes exclusivamente en que su negativa a resolver sobre el recurso de amparo se basaba en un hecho incierto como era que el escrito no estaba dirigido al Tribunal Constitucional. Frente a ello, el Ministerio Fiscal considera que ese dato “dista mucho de ser absolutamente incierto, como para obtener de él en exclusividad las conclusiones de antijuridicidad, culpabilidad y obligación de indemnizar que se han extraído, pues es evidente que el escrito con el que se pretendía iniciar un proceso de amparo, iba dirigido … al Tribunal Constitucional, sustituido por formación que garantice un estudio imparcial, por lo que el tenor literal de la providencia de 18 de julio de 2002 … se acomodaba al encabezamiento del escrito presentado ante el Tribunal, por lo que el único dato que ha sido tenido en cuenta por la Sentencia cuestionada para ser tildado de erróneo no es tal”. Además de ello, el Ministerio Fiscal también destaca que el órgano judicial tampoco tuvo en cuenta que el primer escrito dirigido al Tribunal Constitucional “era de una viabilidad procesal prácticamente nula por la manera en que de modo deliberado, o no se había construido, imposibilitando cualquier tipo de decisión del Tribunal Constitucional, al que se negaba toda capacidad de decisión procesal y solicitar, a la postre, un imposible nombramiento de otro Tribunal Constitucional </w:t>
      </w:r>
      <w:r w:rsidRPr="0026452D">
        <w:rPr>
          <w:i/>
        </w:rPr>
        <w:t>ad casum</w:t>
      </w:r>
      <w:r>
        <w:t>”.</w:t>
      </w:r>
    </w:p>
    <w:p w:rsidR="0026452D" w:rsidRDefault="0026452D" w:rsidP="0026452D">
      <w:pPr>
        <w:pStyle w:val="TextoNormal"/>
      </w:pPr>
    </w:p>
    <w:p w:rsidR="0026452D" w:rsidRDefault="0026452D" w:rsidP="0026452D">
      <w:pPr>
        <w:pStyle w:val="TextoNormal"/>
      </w:pPr>
      <w:r>
        <w:t>Por último, el Ministerio Fiscal también considera que la resolución impugnada ha incurrido en arbitrariedad, ya que en el análisis que efectuó de las resoluciones impugnadas obvió el hecho de que en la segunda providencia no sólo se exponían las razones de la inadmisión acordada en la primera, sino que se añadía otro motivo de inadmisión de la demanda.</w:t>
      </w:r>
    </w:p>
    <w:p w:rsidR="0026452D" w:rsidRDefault="0026452D" w:rsidP="0026452D">
      <w:pPr>
        <w:pStyle w:val="TextoNormal"/>
      </w:pPr>
    </w:p>
    <w:p w:rsidR="0026452D" w:rsidRDefault="0026452D" w:rsidP="0026452D">
      <w:pPr>
        <w:pStyle w:val="TextoNormal"/>
      </w:pPr>
      <w:r w:rsidRPr="0026452D">
        <w:rPr>
          <w:rStyle w:val="NumeroAFNegritaCaracter"/>
        </w:rPr>
        <w:t>17</w:t>
      </w:r>
      <w:r>
        <w:t xml:space="preserve">. Los recurrentes, en escrito registrado el 7 de septiembre de 2011, presentaron sus alegaciones ratificándose en lo expuesto en la demanda de amparo. Insisten, por un lado, en que el Tribunal Constitucional tiene competencia y jurisdicción para resolver sobre el presente recurso al tratarse de la impugnación de una resolución judicial firme por vulneración de derechos fundamentales, y, por otro, en que no resultaba posible acudir al incidente de nulidad de actuaciones, ya que el art. 240 LOPJ, en la redacción entonces vigente, limitaba </w:t>
      </w:r>
      <w:r>
        <w:lastRenderedPageBreak/>
        <w:t xml:space="preserve">este remedio procesal a los supuestos de incongruencia y defectos de forma causantes de indefensión, lo que no es el caso. Igualmente, reiteran que la resolución impugnada ha sido dictada careciendo el órgano judicial de competencia pues tenía como objeto una decisión jurisdiccional de inadmisión del Tribunal Constitucional y, por tanto, ha sido dictada en contradicción con lo previsto en los arts. 4.2 y 22 LOTC al enjuiciar una opinión emitida por los recurrentes en el ejercicio de sus funciones como Magistrados del Tribunal Constitucional. De ello concluyen que se ha producido un quebrantamiento del contenido legalmente articulado de su </w:t>
      </w:r>
      <w:r w:rsidRPr="0026452D">
        <w:rPr>
          <w:i/>
        </w:rPr>
        <w:t>ius in officium</w:t>
      </w:r>
      <w:r>
        <w:t xml:space="preserve"> y, por tanto, del art. 23.2 CE, en relación con el art. 24.1 CE. Por último, también reiteran el carácter no fundado en Derecho de la Sentencia impugnada al quebrantar el marco normativo y jurisprudencial aplicable al supuesto de hecho.</w:t>
      </w:r>
    </w:p>
    <w:p w:rsidR="0026452D" w:rsidRDefault="0026452D" w:rsidP="0026452D">
      <w:pPr>
        <w:pStyle w:val="TextoNormal"/>
      </w:pPr>
    </w:p>
    <w:p w:rsidR="0026452D" w:rsidRDefault="0026452D" w:rsidP="0026452D">
      <w:pPr>
        <w:pStyle w:val="TextoNormal"/>
      </w:pPr>
      <w:r w:rsidRPr="0026452D">
        <w:rPr>
          <w:rStyle w:val="NumeroAFNegritaCaracter"/>
        </w:rPr>
        <w:t>18</w:t>
      </w:r>
      <w:r>
        <w:t>. El Pleno del Tribunal Constitucional, por providencia de 12 de marzo de 2013, de conformidad con lo que establece el art. 10.1 n) LOTC y a propuesta de la Sala Segunda acordó recabar para sí el conocimiento del recurso de amparo.</w:t>
      </w:r>
    </w:p>
    <w:p w:rsidR="0026452D" w:rsidRDefault="0026452D" w:rsidP="0026452D">
      <w:pPr>
        <w:pStyle w:val="TextoNormal"/>
      </w:pPr>
    </w:p>
    <w:p w:rsidR="0026452D" w:rsidRDefault="0026452D" w:rsidP="0026452D">
      <w:pPr>
        <w:pStyle w:val="TextoNormal"/>
      </w:pPr>
      <w:r w:rsidRPr="0026452D">
        <w:rPr>
          <w:rStyle w:val="NumeroAFNegritaCaracter"/>
        </w:rPr>
        <w:t>19</w:t>
      </w:r>
      <w:r>
        <w:t>. Por providencia de fecha 4 de junio 2013 se señaló para deliberación y votación de la presente Sentencia el día 5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objeto del presente recurso es determinar si la resolución judicial impugnada ha vulnerado los derechos de los recurrentes al acceso a los cargos públicos (art. 23.2), en su dimensión de garantía del ejercicio de dichos cargos sin perturbaciones ilegítimas, en relación con el derecho a la tutela judicial efectiva (art. 24.1 CE), por haber procedido a desarrollar un procedimiento judicial de responsabilidad civil contra los recurrentes careciendo de jurisdicción para ello. Igualmente, es objeto del presente recurso analizar si la resolución judicial impugnada ha vulnerado el derecho de los recurrentes a la tutela judicial efectiva (art. 24.1 CE), en su dimensión de deber de motivación de las resoluciones judiciales, por haber declarado su responsabilidad civil sin ajustarse a los parámetros constitucionales de motivación.</w:t>
      </w:r>
    </w:p>
    <w:p w:rsidR="0026452D" w:rsidRDefault="0026452D" w:rsidP="0026452D">
      <w:pPr>
        <w:pStyle w:val="TextoNormal"/>
      </w:pPr>
    </w:p>
    <w:p w:rsidR="0026452D" w:rsidRDefault="0026452D" w:rsidP="0026452D">
      <w:pPr>
        <w:pStyle w:val="TextoNormal"/>
      </w:pPr>
      <w:r>
        <w:t>Tal como se ha expuesto en los antecedentes, el inicial pronunciamiento judicial rechazando la carencia de jurisdicción para conocer del procedimiento de responsabilidad civil se produjo en el Auto de 28 de abril de 2003, limitándose la Sentencia de 23 de enero de 2004 a confirmar dicho rechazo por remisión a aquél. Por tanto, tomando en consideración que una de las quejas planteadas en este amparo se fundamenta en la ausencia de jurisdicción, si bien en el encabezamiento del recurso y en el suplico se cita únicamente la Sentencia como resolución que pone fin a la vía judicial, debe entenderse que también es objeto de impugnación el mencionado Auto de 28 de abril de 2003.</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Con carácter previo, resulta necesario dar respuesta a las causas de inadmisión opuestas por la parte comparecida, que considera inadmisible el recurso argumentando, en primer lugar, que los propios recurrentes han contaminado al Tribunal Constitucional mediante el dictado del acuerdo de 3 de febrero de 2004 por el que se reprueba la Sentencia impugnada </w:t>
      </w:r>
      <w:r>
        <w:lastRenderedPageBreak/>
        <w:t>en el presente amparo, ya que supuso comprometer su posición institucional con la afirmación de que suponía una invasión competencial. En relación con ello, sostiene la parte comparecida que el recurso sería también inadmisible por haber vulnerado los recurrentes sus deberes de integridad, dignidad e imparcialidad al formular el recurso de amparo, ya que han utilizado el cargo para obtener una posición ventajosa, dejando en una situación comprometedora a los Magistrados que deban resolver el recurso, de modo tal que el Tribunal Constitucional carecería de competencia para examinar este recurso.</w:t>
      </w:r>
    </w:p>
    <w:p w:rsidR="0026452D" w:rsidRDefault="0026452D" w:rsidP="0026452D">
      <w:pPr>
        <w:pStyle w:val="TextoNormal"/>
      </w:pPr>
    </w:p>
    <w:p w:rsidR="0026452D" w:rsidRDefault="0026452D" w:rsidP="0026452D">
      <w:pPr>
        <w:pStyle w:val="TextoNormal"/>
      </w:pPr>
      <w:r>
        <w:t>En los términos en que están expuestas estas argumentaciones, se pone de manifiesto que no hacen referencia a causas de inadmisión del recurso de amparo establecidas en el art. 50.1 de la Ley Orgánica del Tribunal Constitucional (LOTC), sino a circunstancias relativas a la eventual pérdida de imparcialidad de los Magistrados que han de resolver el presente recurso. En relación con ello, debe recordarse que las causas de abstención y recusación —y, por tanto, la garantía de imparcialidad— aparecen referidas a las personas físicas que forman parte del órgano competente para resolver sobre las pretensiones formuladas y no a dicho órgano como institución. En ese sentido, la circunstancia de que el Pleno del Tribunal Constitucional, entonces constituido por los propios recurrente en amparo, dictara el acuerdo de 3 de febrero de 2004, reprobando la resolución judicial ahora impugnada, en nada compromete la imparcialidad de los Magistrados que actualmente conforman el Pleno del Tribunal Constitucional y que están dictando esta resolución, toda vez que, como ya se ha expuesto, ninguno de ellos formaba parte en aquel momento del Pleno de este Tribunal.</w:t>
      </w:r>
    </w:p>
    <w:p w:rsidR="0026452D" w:rsidRDefault="0026452D" w:rsidP="0026452D">
      <w:pPr>
        <w:pStyle w:val="TextoNormal"/>
      </w:pPr>
    </w:p>
    <w:p w:rsidR="0026452D" w:rsidRDefault="0026452D" w:rsidP="0026452D">
      <w:pPr>
        <w:pStyle w:val="TextoNormal"/>
      </w:pPr>
      <w:r>
        <w:t>Del mismo modo, la afirmación relativa a que los recurrentes hayan sido Magistrados en activo de este Tribunal supondría una pérdida de imparcialidad de los Magistrados que en la actualidad componen el Pleno del Tribunal que está dictando esta resolución —tanto si se pretende fundamentar en la parcial coincidencia temporal en el cumplimiento de funciones con algunos de ellos como en el propio objeto del recurso— también debe ser rechazada. A esos efectos, habida cuenta de que ambos aspectos ya recibieron cumplida respuesta en el ATC 40/2011, de 12 de abril, bastará con remitirse íntegramente a lo que en dicho Auto se expuso y se resolvió de manera definitiva y firme. En todo caso, para despejar cualquier duda respecto de la eventual influencia que sobre la garantía de imparcialidad pudiera tener la circunstancia de que el recurso se hubiera resuelto con quórum suficiente pero estando todavía en el cumplimiento de su función de Magistrados algunos de los recurrentes se ha considerado más adecuado esperar a la total renovación de los Magistrados, a pesar de la demora que ello ha supuesto en la resolución de este recurso, y que, tal como se pone de manifiesto en los antecedentes, ha sido mayor de la que cabía prever por la inicial actitud procesal de la parte comparecida y los retrasos en el cumplimiento del deber constitucional de renovación del Tribunal por el Senado y el Congreso de los Diputados en los plazos constitucionalmente establecidos.</w:t>
      </w:r>
    </w:p>
    <w:p w:rsidR="0026452D" w:rsidRDefault="0026452D" w:rsidP="0026452D">
      <w:pPr>
        <w:pStyle w:val="TextoNormal"/>
      </w:pPr>
    </w:p>
    <w:p w:rsidR="0026452D" w:rsidRDefault="0026452D" w:rsidP="0026452D">
      <w:pPr>
        <w:pStyle w:val="TextoNormal"/>
      </w:pPr>
      <w:r>
        <w:t xml:space="preserve">Por último, no cabe aceptar la afirmación de que los recurrentes han vulnerado sus deberes de integridad y dignidad, ni tampoco que se haya producido un aprovechamiento del cargo para obtener una posición ventajosa. Tanto el art. 162.1 b) CE como el art. 46.1 a) LOTC legitiman para la interposición del recurso de amparo a toda persona natural o jurídica que invoque un interés legítimo y que se vea directamente afectada por decisiones, actos o resoluciones a que se refieren los arts. 42 a 44 LOTC. De ese modo, no cabe negar a los recurrentes la posibilidad de acudir al procedimiento de amparo constitucional contra </w:t>
      </w:r>
      <w:r>
        <w:lastRenderedPageBreak/>
        <w:t>una resolución judicial que les ha condenado al pago de una responsabilidad civil si consideran que con ello se han vulnerado derechos fundamentales susceptibles de ser protegidos a través de dicho procedimiento. Y, también es obvio decirlo, quien solicita la activación de los mecanismos de garantía legalmente previstos para la protección de un derecho fundamental no vulnera ningún deber de integridad ni de dignidad ni puede imputársele ninguna actitud de aprovechamiento del cargo.</w:t>
      </w:r>
    </w:p>
    <w:p w:rsidR="0026452D" w:rsidRDefault="0026452D" w:rsidP="0026452D">
      <w:pPr>
        <w:pStyle w:val="TextoNormal"/>
      </w:pPr>
    </w:p>
    <w:p w:rsidR="0026452D" w:rsidRDefault="0026452D" w:rsidP="0026452D">
      <w:pPr>
        <w:pStyle w:val="TextoNormal"/>
      </w:pPr>
      <w:r w:rsidRPr="0026452D">
        <w:rPr>
          <w:rStyle w:val="NumeroAFNegritaCaracter"/>
        </w:rPr>
        <w:t>3</w:t>
      </w:r>
      <w:r>
        <w:t>. La parte comparecida, además, alega como causas de inadmisión concurrentes en el presente recurso la falta de agotamiento de la vía judicial previa [art. 44.1 a) LOTC], por no haberse acudido al incidente de nulidad de actuaciones, que era un medio procesal apto para el eventual restablecimiento de los derechos invocados por haberse denunciado defectos de forma causantes de indefensión, y la falta de invocación previa del derecho vulnerado [art. 44.1 c) LOTC], toda vez que no fueron alegados por los recurrente las vulneraciones de los arts. 23.2 y 24.1 CE frente al Auto de admisión de la demanda contencioso-administrativa, ni en la contestación a la demanda, siendo insuficiente a estos efectos el planteamiento de la declinatoria de jurisdicción.</w:t>
      </w:r>
    </w:p>
    <w:p w:rsidR="0026452D" w:rsidRDefault="0026452D" w:rsidP="0026452D">
      <w:pPr>
        <w:pStyle w:val="TextoNormal"/>
      </w:pPr>
    </w:p>
    <w:p w:rsidR="0026452D" w:rsidRDefault="0026452D" w:rsidP="0026452D">
      <w:pPr>
        <w:pStyle w:val="TextoNormal"/>
      </w:pPr>
      <w:r>
        <w:t>Ninguna de estas causas de inadmisión concurre en este caso. Con arreglo a los arts. 44.1 a) LOTC y 241.1 de la Ley Orgánica del Poder Judicial (LOPJ), en la redacción anterior a la Ley Orgánica 6/2007, de 24 de mayo, que es la aplicable al presente caso en virtud de lo dispuesto en su disposición transitoria tercera (por todas, STC 80/2011, de 6 de junio, FJ 2), y como ha sido reiterado por este Tribunal, sólo cabía acudir al incidente de nulidad de actuaciones como remedio procesal necesario para agotar la vía judicial previa cuando las vulneraciones aducidas se referían al vicio de incongruencia o a un defecto de forma causante de indefensión (por todas, STC 35/2011, de 28 de marzo, FJ 2). En el presente caso, tal como ya se ha expuesto, los recurrentes han invocado los arts. 23.2 y 24.1 CE, con fundamento en que se había vulnerado la garantía del ejercicio de sus cargos públicos sin perturbaciones ilegítimas al carecer el órgano judicial de jurisdicción, y nuevamente el art. 24.1 CE, con fundamento en que se habría incurrido en arbitrariedad e irrazonabilidad en su condena como responsables civiles. Pues bien, ninguna de ambas invocaciones, por no referirse ni a defectos de forma causantes de indefensión ni a incongruencia, era preciso que hubieran sido alegadas en aquel momento en un improcedente incidente de nulidad de actuaciones, por lo que debe rechazarse que no se haya producido un correcto agotamiento de la vía judicial previa.</w:t>
      </w:r>
    </w:p>
    <w:p w:rsidR="0026452D" w:rsidRDefault="0026452D" w:rsidP="0026452D">
      <w:pPr>
        <w:pStyle w:val="TextoNormal"/>
      </w:pPr>
    </w:p>
    <w:p w:rsidR="0026452D" w:rsidRDefault="0026452D" w:rsidP="0026452D">
      <w:pPr>
        <w:pStyle w:val="TextoNormal"/>
      </w:pPr>
      <w:r>
        <w:t>Del mismo modo, teniendo en cuenta que el procedimiento judicial que trae causa a este amparo se produjo en única instancia, tampoco cabe considerar que hubo una falta de invocación en la vía judicial previa respecto de ninguna de las quejas formuladas en este amparo por los recurrentes. En relación con la queja sobre la carencia de jurisdicción, dicha cuestión, aunque no resulten necesarias las invocaciones preventivas, fue incluso planteada por los recurrentes al órgano judicial, inmediatamente tras su emplazamiento, como declinatoria de jurisdicción, siendo efectivamente resuelta mediante Auto de 28 de abril de 2003. Y, en relación con la aducida vulneración del art. 24.1 CE, porque habiéndose imputado el defecto de motivación a la Sentencia firme que puso fin al proceso judicial y no siendo procedente, en los términos ya expuestos, su eventual reparación mediante el incidente de nulidad de actuaciones, no hubo posibilidad procesal para invocarlo en la vía judicial.</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4</w:t>
      </w:r>
      <w:r>
        <w:t>. Entrando ya al fondo de las vulneraciones aducidas por los recurrentes, el análisis debe de comenzar, conforme al orden por el que han sido planteadas, por la queja fundada en que se ha seguido un procedimiento judicial a pesar de carecer el órgano judicial de jurisdicción para ello.</w:t>
      </w:r>
    </w:p>
    <w:p w:rsidR="0026452D" w:rsidRDefault="0026452D" w:rsidP="0026452D">
      <w:pPr>
        <w:pStyle w:val="TextoNormal"/>
      </w:pPr>
    </w:p>
    <w:p w:rsidR="0026452D" w:rsidRDefault="0026452D" w:rsidP="0026452D">
      <w:pPr>
        <w:pStyle w:val="TextoNormal"/>
      </w:pPr>
      <w:r>
        <w:t>Como ya se ha expuesto, tanto los recurrentes como el Ministerio Fiscal consideran que la resolución judicial impugnada ha vulnerado el derecho de los recurrentes al acceso a las funciones y cargos públicos (art. 23.2 CE) —en su dimensión del derecho al ejercicio de dichos puestos sin perturbaciones ilegítimas—, en relación con el derecho a la tutela judicial efectiva (art. 24.1 CE), en primer lugar, porque el procedimiento judicial desarrollado ha tenido como objeto el control de resoluciones jurisdiccionales de este Tribunal que están excluidas de cualquier posible revisión por ningún otro órgano; y, en segundo lugar, porque ha quebrantado la prerrogativa de inviolabilidad contenida en el art. 22 LOTC.</w:t>
      </w:r>
    </w:p>
    <w:p w:rsidR="0026452D" w:rsidRDefault="0026452D" w:rsidP="0026452D">
      <w:pPr>
        <w:pStyle w:val="TextoNormal"/>
      </w:pPr>
    </w:p>
    <w:p w:rsidR="0026452D" w:rsidRDefault="0026452D" w:rsidP="0026452D">
      <w:pPr>
        <w:pStyle w:val="TextoNormal"/>
      </w:pPr>
      <w:r>
        <w:t>Habida cuenta de que los recurrentes identifican como vulnerado el art. 23.2 CE, es preciso recordar que este Tribunal, si bien ha reiterado que dentro del ámbito de aplicación del derecho a acceder en condiciones de igualdad a las funciones y cargos públicos se incluye la garantía de su ejercicio sin perturbaciones ilegítimas y su desempeño de conformidad con la ley, lo ha hecho en relación con los cargos electivos de representación política de entes territoriales, argumentando el estrecho vínculo que une este derecho con el de participación de todos los ciudadanos en los asuntos públicos por medio de representantes (art. 23.1 CE) y que la norma constitucional perdería toda eficacia si, respetado el acceso a la función o cargo público en condiciones de igualdad, su ejercicio pudiera resultar mediatizado o impedido sin remedio jurídico (por todas, STC 161/1988, de 20 de septiembre, FJ 6, o, entre las últimas, STC 10/2013, de 28 de enero, FJ 3). La circunstancia de que el cargo ostentado por los recurrentes no tenga la consideración de cargo público representativo impide hacer una traslación directa de la doctrina constitucional expuesta en relación con la eventual afectación que para el art. 23.2 CE podría suponer el dictado de la resolución impugnada careciendo el órgano judicial de jurisdicción para ello. En principio, tal como ha sido defendido en la demanda de amparo y ha sido apoyado por el Ministerio Fiscal, no cabe excluir la existencia de argumentos constitucionales para la extensión de la garantía del ejercicio sin perturbaciones ilegítimas a los cargos públicos electivos no representativos, cuando aparezcan expresamente establecidos en la propia Constitución —como es el caso, entre otros, de los Magistrados del Tribunal Constitucional— y, por tanto, la eventual afectación del art. 23.2 CE de los recurrentes.</w:t>
      </w:r>
    </w:p>
    <w:p w:rsidR="0026452D" w:rsidRDefault="0026452D" w:rsidP="0026452D">
      <w:pPr>
        <w:pStyle w:val="TextoNormal"/>
      </w:pPr>
    </w:p>
    <w:p w:rsidR="0026452D" w:rsidRDefault="0026452D" w:rsidP="0026452D">
      <w:pPr>
        <w:pStyle w:val="TextoNormal"/>
      </w:pPr>
      <w:r>
        <w:t xml:space="preserve">Ahora bien, tomando en consideración que la queja de los recurrentes se dirige a rebatir la interpretación y aplicación realizada por el órgano judicial sobre la no concurrencia de dos concretos óbices procesales —la imposibilidad de control y revisión de las resoluciones del Tribunal Constitucional por parte de ningún otro órgano del Estado y la inviolabilidad de los Magistrados del Tribunal Constitucional por las opiniones emitidas en el ejercicio de sus cargos— el parámetro de control constitucional a proyectar en este caso es el del derecho a la tutela judicial efectiva (art. 24.1 CE), desde la perspectiva del derecho a la motivación de las resoluciones judiciales. A esos efectos, debe incidirse en que si bien este Tribunal ha abordado los problemas constitucionales implicados en los supuestos de interpretación y aplicación de los óbices procesales normalmente desde la perspectiva de quien, por su concurrencia, ve obstaculizado su acceso a la jurisdicción, la inaplicación de dichos óbices procesales, cuando una parte procesal considere que concurren los presupuestos legales para </w:t>
      </w:r>
      <w:r>
        <w:lastRenderedPageBreak/>
        <w:t>ello, no puede quedar al margen de las mismas exigencias de motivación en relación con la interpretación y aplicación de cualquier otra institución jurídica.</w:t>
      </w:r>
    </w:p>
    <w:p w:rsidR="0026452D" w:rsidRDefault="0026452D" w:rsidP="0026452D">
      <w:pPr>
        <w:pStyle w:val="TextoNormal"/>
      </w:pPr>
    </w:p>
    <w:p w:rsidR="0026452D" w:rsidRDefault="0026452D" w:rsidP="0026452D">
      <w:pPr>
        <w:pStyle w:val="TextoNormal"/>
      </w:pPr>
      <w:r w:rsidRPr="0026452D">
        <w:rPr>
          <w:rStyle w:val="NumeroAFNegritaCaracter"/>
        </w:rPr>
        <w:t>5</w:t>
      </w:r>
      <w:r>
        <w:t>. Este Tribunal ha reiterado, desde temprana jurisprudencia, que la obligación de motivar las resoluciones judiciales no es sólo una obligación impuesta a los órganos judiciales por el art. 120.3 CE, sino también, y principalmente, un derecho de los intervinientes en el proceso que forma parte del derecho fundamental a la tutela judicial efectiva proclamado por el art. 24.1 CE, que únicamente se satisface si la resolución judicial, de modo explícito o implícito, contiene los elementos de juicio suficientes para que el destinatario y, eventualmente, los órganos encargados de revisar sus decisiones puedan conocer cuáles han sido los criterios jurídicos que fundamentan la decisión. De ese modo, se constituye en una garantía esencial para el justiciable mediante la cual es posible comprobar que la decisión judicial es consecuencia de la aplicación razonada del ordenamiento jurídico y no el fruto de la arbitrariedad (por todas, STC 13/1987, de 5 de febrero, FJ 3).</w:t>
      </w:r>
    </w:p>
    <w:p w:rsidR="0026452D" w:rsidRDefault="0026452D" w:rsidP="0026452D">
      <w:pPr>
        <w:pStyle w:val="TextoNormal"/>
      </w:pPr>
    </w:p>
    <w:p w:rsidR="0026452D" w:rsidRDefault="0026452D" w:rsidP="0026452D">
      <w:pPr>
        <w:pStyle w:val="TextoNormal"/>
      </w:pPr>
      <w:r>
        <w:t>Del mismo modo, también es doctrina constitucional reiterada que, desde la perspectiva del deber de motivación de las resoluciones judiciales, podrá considerarse que se vulnera el derecho a la tutela judicial efectiva cuando el razonamiento que funda dicha resolución resulte arbitrario, irrazonable o incurso en error patente. Así, se señala que este Tribunal incurriría en exceso de formalismo si admitiese como decisiones motivadas y razonadas aquellas en que se compruebe que parten de premisas inexistentes o patentemente erróneas o que siguen un desarrollo argumental incurso en quiebras lógicas de tal magnitud que conduzcan a la evidencia de no poder considerarse basadas en ninguna de las razones aducidas (por todas, STC 214/1999, de 29 de noviembre, FJ 4).</w:t>
      </w:r>
    </w:p>
    <w:p w:rsidR="0026452D" w:rsidRDefault="0026452D" w:rsidP="0026452D">
      <w:pPr>
        <w:pStyle w:val="TextoNormal"/>
      </w:pPr>
    </w:p>
    <w:p w:rsidR="0026452D" w:rsidRDefault="0026452D" w:rsidP="0026452D">
      <w:pPr>
        <w:pStyle w:val="TextoNormal"/>
      </w:pPr>
      <w:r>
        <w:t>En el presente caso, tal como se ha expuesto más ampliamente en los antecedentes, ha quedado acreditado que el único objeto del procedimiento de responsabilidad civil interpuesto contra los recurrentes era la eventual corrección de la interpretación de concretas previsiones de la Ley Orgánica del Tribunal Constitucional, efectuada en dos resoluciones jurisdiccionales del Pleno del Tribunal Constitucional del que formaban parte, por las que se inadmitía un recurso de amparo y un recurso de súplica contra la anterior inadmisión del recurso de amparo.</w:t>
      </w:r>
    </w:p>
    <w:p w:rsidR="0026452D" w:rsidRDefault="0026452D" w:rsidP="0026452D">
      <w:pPr>
        <w:pStyle w:val="TextoNormal"/>
      </w:pPr>
    </w:p>
    <w:p w:rsidR="0026452D" w:rsidRDefault="0026452D" w:rsidP="0026452D">
      <w:pPr>
        <w:pStyle w:val="TextoNormal"/>
      </w:pPr>
      <w:r>
        <w:t>Igualmente, también ha quedado acreditado que los ahora recurrentes en amparo formularon una declinatoria de jurisdicción, argumentando que la Sala de lo Civil del Tribunal Supremo carecía de jurisdicción para resolver sobre la cuestión planteada, toda vez que someter a juicio la corrección de las decisiones jurisdiccionales adoptadas por los Magistrados constitucionales, aunque fuera formalmente a través de un procedimiento de responsabilidad civil para apreciar si habían actuado con culpa o negligencia en el ejercicio de sus funciones, sería un modo de someter a revisión resoluciones frente a las que “no cabe recurso alguno” (art. 164.1 CE, arts. 93 y 50 LOTC), en un contexto normativo en que el Tribunal Constitucional es el supremo intérprete de la Constitución (art. 1.1 LOTC), al que todos los poderes públicos le están funcionalmente subordinados cuando ejerce dicho cometido, en que existe la prohibición de promover cuestión de jurisdicción o competencia respecto del mismo (art. 4.1 LOTC) y se establece la inviolabilidad de los Magistrados del Tribunal Constitucional por las opiniones expresadas en el ejercicio de su función (art. 22 LOTC).</w:t>
      </w:r>
    </w:p>
    <w:p w:rsidR="0026452D" w:rsidRDefault="0026452D" w:rsidP="0026452D">
      <w:pPr>
        <w:pStyle w:val="TextoNormal"/>
      </w:pPr>
    </w:p>
    <w:p w:rsidR="0026452D" w:rsidRDefault="0026452D" w:rsidP="0026452D">
      <w:pPr>
        <w:pStyle w:val="TextoNormal"/>
      </w:pPr>
      <w:r>
        <w:lastRenderedPageBreak/>
        <w:t xml:space="preserve">Por último, también se pone de manifiesto que fue rechazada la declinatoria de jurisdicción, argumentando que la independencia de los Magistrados del Tribunal Constitucional (art. 159.5 CE) y su sujeción exclusiva a la Constitución y su Ley Orgánica (art. 1.1 LOTC) no puede llevar a una conclusión de la más rigurosa irresponsabilidad de los mismos por la violación de las normas a las que están subordinados. Igualmente, se destaca que la Constitución no proclama su inviolabilidad por el ejercicio de su función y que existe base legal para sustentar su responsabilidad al reconocerse como causa de cese de los Magistrados del Tribunal Constitucional la declaración de responsabilidad civil por dolo (art. 23.1.7 LOTC) y la competencia de la Sala de lo Civil del Tribunal Supremo para conocer de las demandas de responsabilidad civil por hechos realizados en el ejercicio de sus cargos por el Presidente y demás Magistrados del Tribunal Constitucional (art. 56.2 LOPJ). Por último, también se pone de manifiesto, que a esta conclusión no cabe oponer el art. 22 LOTC, referido a que los Magistrados del Tribunal Constitucional no podrán ser perseguidos por las opiniones expresadas en el ejercicio de sus funciones, “pues una cosa son las opiniones —concepto que se forma de un evento— y otra son las decisiones judiciales en las que a través de una constatación de hechos y de una </w:t>
      </w:r>
      <w:r w:rsidRPr="0026452D">
        <w:rPr>
          <w:i/>
        </w:rPr>
        <w:t>ratio decidendi</w:t>
      </w:r>
      <w:r>
        <w:t xml:space="preserve"> se llega a una decisión que puede afectar a terceros de una manera torticera y por la cual si se pueden exigir responsabilidades como tarea profesional y no como manifestación de una idea” (fundamento de Derecho segundo).</w:t>
      </w:r>
    </w:p>
    <w:p w:rsidR="0026452D" w:rsidRDefault="0026452D" w:rsidP="0026452D">
      <w:pPr>
        <w:pStyle w:val="TextoNormal"/>
      </w:pPr>
    </w:p>
    <w:p w:rsidR="0026452D" w:rsidRDefault="0026452D" w:rsidP="0026452D">
      <w:pPr>
        <w:pStyle w:val="TextoNormal"/>
      </w:pPr>
      <w:r w:rsidRPr="0026452D">
        <w:rPr>
          <w:rStyle w:val="NumeroAFNegritaCaracter"/>
        </w:rPr>
        <w:t>6</w:t>
      </w:r>
      <w:r>
        <w:t>. En atención a lo expuesto, dos son las cuestiones a abordar desde el prisma del deber de motivación de las resoluciones judiciales. La primera es la relativa al razonamiento desarrollado en las resoluciones impugnadas para sustentar la conclusión sobre la existencia de jurisdicción de la Sala de lo Civil del Tribunal Supremo para conocer de la responsabilidad civil de los Magistrados del Tribunal Constitucional. La segunda es la relativa a la decisión de proyectar dicha jurisdicción al control, por la vía de la eventual responsabilidad civil de los Magistrados del Tribunal Constitucional, de la corrección del contenido de las resoluciones jurisdiccionales de este Tribunal.</w:t>
      </w:r>
    </w:p>
    <w:p w:rsidR="0026452D" w:rsidRDefault="0026452D" w:rsidP="0026452D">
      <w:pPr>
        <w:pStyle w:val="TextoNormal"/>
      </w:pPr>
    </w:p>
    <w:p w:rsidR="0026452D" w:rsidRDefault="0026452D" w:rsidP="0026452D">
      <w:pPr>
        <w:pStyle w:val="TextoNormal"/>
      </w:pPr>
      <w:r>
        <w:t>No es objetable, desde la perspectiva constitucional, la argumentación dirigida a concluir que no cabe apreciar una ausencia de responsabilidad de los Magistrados del Tribunal Constitucional y que la Sala de lo Civil del Tribunal Supremo tiene jurisdicción para conocer de la eventual responsabilidad civil en que pudieran aquéllos incurrir, habida cuenta de que dicha argumentación se justifica en el hecho de que la aludida irresponsabilidad no resulta necesaria para el ejercicio independiente de la jurisdicción constitucional; aparte de que la única irresponsabilidad que está reconocida constitucionalmente con ese alcance general queda reservada en el art. 56.3 CE para la persona del Rey. Además, la posible existencia de la declaración de responsabilidad civil por dolo como causa de cese de los Magistrados del Tribunal Constitucional incluso está prevista en la propia Ley reguladora del Tribunal (art. 23.1.7 LOTC); y la competencia de la Sala de lo Civil del Tribunal Supremo para conocer de las demandas al respecto se encuentra establecida en la Ley Orgánica del Poder Judicial (art. 56.2 LOPJ).</w:t>
      </w:r>
    </w:p>
    <w:p w:rsidR="0026452D" w:rsidRDefault="0026452D" w:rsidP="0026452D">
      <w:pPr>
        <w:pStyle w:val="TextoNormal"/>
      </w:pPr>
    </w:p>
    <w:p w:rsidR="0026452D" w:rsidRDefault="0026452D" w:rsidP="0026452D">
      <w:pPr>
        <w:pStyle w:val="TextoNormal"/>
      </w:pPr>
      <w:r>
        <w:t xml:space="preserve">Ahora bien, tal como también sostiene el Ministerio Fiscal, la decisión judicial de proseguir un enjuiciamiento contra los recurrentes para pronunciarse sobre la eventual responsabilidad civil en que habrían incurrido por una supuesta incorrección jurídica de la interpretación de concretas disposiciones de la Ley Orgánica del Tribunal Constitucional, contenida en dos resoluciones jurisdiccionales del Tribunal Constitucional dictadas en el ejercicio exclusivo de sus competencias, es una decisión irrazonable por no estar fundada en Derecho </w:t>
      </w:r>
      <w:r>
        <w:lastRenderedPageBreak/>
        <w:t>y, por tanto, lesiva del derecho a la tutela judicial efectiva (art. 24.1 CE). Y ello porque dicha decisión no ha aplicado ni valorado razonadamente la existencia de una prohibición constitucional y legal de revisar y controlar el contenido de las resoluciones jurisdiccionales del Tribunal Constitucional por ningún otro órgano del Estado.</w:t>
      </w:r>
    </w:p>
    <w:p w:rsidR="0026452D" w:rsidRDefault="0026452D" w:rsidP="0026452D">
      <w:pPr>
        <w:pStyle w:val="TextoNormal"/>
      </w:pPr>
    </w:p>
    <w:p w:rsidR="0026452D" w:rsidRDefault="0026452D" w:rsidP="0026452D">
      <w:pPr>
        <w:pStyle w:val="TextoNormal"/>
      </w:pPr>
      <w:r>
        <w:t>En efecto, la normativa reguladora del Tribunal Constitucional determina que, como intérprete supremo de la Constitución, es único en su orden, independiente de los demás órganos constitucionales y sometido exclusivamente a la Constitución y a su Ley Orgánica (art. 1 LOTC), siendo sus Magistrados independientes en el ejercicio de su mandato (art. 159.5 CE). En relación con ello, en su función de supremo intérprete de la Constitución, es competente para conocer, entre otras cuestiones, del recurso de amparo por violación de los derechos y libertades públicas reconocidos en el art. 14 y la sección primera del capítulo segundo del título primero de la Constitución [arts. 161.1 b) CE y 2.1 b) LOTC, en relación con el art. 53.2 CE]. Esta competencia en materia de recurso de amparo, si bien es compartida y subsidiaria con la tutela que se puede recabar ante los tribunales ordinarios (art. 53.2 CE), es una jurisdicción superior a la ejercida por cualquier otro órgano jurisdiccional del Estado, incluyendo al Tribunal Supremo (art. 123.1 CE), y con unos efectos vinculantes no sólo para el caso concreto por el valor de cosa juzgada (art. 164.1 CE) sino por la obligación de que los derechos susceptible de ser tutelados a través de la jurisdicción de amparo ante el Tribunal Constitucional sean reconocidos de conformidad con su contenido constitucionalmente declarado (art. 7.2 LOPJ).</w:t>
      </w:r>
    </w:p>
    <w:p w:rsidR="0026452D" w:rsidRDefault="0026452D" w:rsidP="0026452D">
      <w:pPr>
        <w:pStyle w:val="TextoNormal"/>
      </w:pPr>
    </w:p>
    <w:p w:rsidR="0026452D" w:rsidRDefault="0026452D" w:rsidP="0026452D">
      <w:pPr>
        <w:pStyle w:val="TextoNormal"/>
      </w:pPr>
      <w:r>
        <w:t>Del mismo modo, con el fin de garantizar esa supremacía institucional como supremo intérprete de la Constitución, también en lo referido a la tutela de los derechos fundamentales, se establece el carácter irrecurrible de las decisiones jurisdiccionales del Tribunal Constitucional ante cualquier otro órgano —jurisdiccional o no— del Estado (arts. 164.1 CE y 93 LOTC), incluyendo las providencias de inadmisión del recurso de amparo que solamente podrán ser recurridas en súplica por el Ministerio Fiscal (art. 50.2 LOTC, en la redacción dada por la Ley Orgánica 6/1988, de 9 de junio, vigente en el momento en que se dicta la resolución impugnada, y art. 50.3 LOTC, en la redacción actualmente vigente dada por la Ley Orgánica 6/2007, de 24 de mayo). E, igualmente, en garantía de esa supremacía, se establecía ya en la redacción originaria del art. 4 LOTC, vigente en el momento en que se dictan las providencias enjuiciadas, tanto la imposibilidad de que pudiera promoverse cuestión de jurisdicción o de competencia al Tribunal Constitucional como la posibilidad de que se aprecie de oficio o a instancia de parte su falta de competencia o jurisdicción. Esta normativa pone de manifiesto no sólo la irrecurribilidad de las decisiones jurisdiccionales del Tribunal Constitucional por ningún otro órgano del Estado sino la imposibilidad misma de que sea objeto de enjuiciamiento la corrección jurídica de la interpretación que realice de la Constitución o de su Ley Orgánica en sus resoluciones jurisdiccionales. Aspecto, este último, que si bien ha venido a ser recogido expresamente en la nueva redacción dada al art. 4.2 LOTC por la Ley Orgánica 6/2007, ya estaba implícito en la regulación vigente en el momento en que se dictó la resolución ahora impugnada en amparo.</w:t>
      </w:r>
    </w:p>
    <w:p w:rsidR="0026452D" w:rsidRDefault="0026452D" w:rsidP="0026452D">
      <w:pPr>
        <w:pStyle w:val="TextoNormal"/>
      </w:pPr>
    </w:p>
    <w:p w:rsidR="0026452D" w:rsidRDefault="0026452D" w:rsidP="0026452D">
      <w:pPr>
        <w:pStyle w:val="TextoNormal"/>
      </w:pPr>
      <w:r>
        <w:t xml:space="preserve">Por tanto, la conclusión judicial de que cabía sustanciar un procedimiento de responsabilidad civil individual contra cada uno de los Magistrados del Tribunal Constitucional basado en una supuesta incorrección jurídica de la interpretación de concretos preceptos de la Ley Orgánica del Tribunal Constitucional realizada en dos resoluciones jurisdiccionales del </w:t>
      </w:r>
      <w:r>
        <w:lastRenderedPageBreak/>
        <w:t xml:space="preserve">Pleno del Tribunal Constitucional —resoluciones que estaban dictadas en el legítimo ejercicio de la función jurisdiccional de amparo que corresponde a dicho Tribunal—, no resulta compatible con la interdicción constitucional, </w:t>
      </w:r>
      <w:r w:rsidRPr="0026452D">
        <w:rPr>
          <w:i/>
        </w:rPr>
        <w:t>ex</w:t>
      </w:r>
      <w:r>
        <w:t xml:space="preserve"> art. 24.1 CE, de incurrir en una argumentación irrazonable. En consecuencia, sin necesidad de entrar en la alegación referida a la inviolabilidad del art. 22 LOTC, las resoluciones impugnadas deben ser anuladas, no siendo preciso que se acuerde la retroacción de actuaciones para que el órgano judicial dicte una nueva resolución con respeto al derecho fundamental vulnerado, ya que, al tener como objeto la interpretación de preceptos de contenido jurisdiccional de la Ley Orgánica del Tribunal Constitucional, de las que este Tribunal es supremo intérprete, no cabe una interpretación distinta a la proyectada en esta resolución.</w:t>
      </w:r>
    </w:p>
    <w:p w:rsidR="0026452D" w:rsidRDefault="0026452D" w:rsidP="0026452D">
      <w:pPr>
        <w:pStyle w:val="TextoNormal"/>
      </w:pPr>
    </w:p>
    <w:p w:rsidR="0026452D" w:rsidRDefault="0026452D" w:rsidP="0026452D">
      <w:pPr>
        <w:pStyle w:val="TextoNormal"/>
      </w:pPr>
      <w:r w:rsidRPr="0026452D">
        <w:rPr>
          <w:rStyle w:val="NumeroAFNegritaCaracter"/>
        </w:rPr>
        <w:t>7</w:t>
      </w:r>
      <w:r>
        <w:t>. Lo hasta ahora expuesto, haría también innecesario analizar la segunda de las quejas planteada por los recurrentes, relativa a la eventual vulneración del derecho a la tutela judicial efectiva (art. 24.1 CE), desde la perspectiva del derecho a la motivación de las resoluciones judiciales, en relación con la declaración de que los recurrentes habrían incurrido en responsabilidad civil por incumplimiento de su deber de resolución. Ahora bien, la mera existencia de esta declaración judicial exige, para una completa restauración del derecho invocado, que se entre también en el análisis de esta segunda invocación.</w:t>
      </w:r>
    </w:p>
    <w:p w:rsidR="0026452D" w:rsidRDefault="0026452D" w:rsidP="0026452D">
      <w:pPr>
        <w:pStyle w:val="TextoNormal"/>
      </w:pPr>
    </w:p>
    <w:p w:rsidR="0026452D" w:rsidRDefault="0026452D" w:rsidP="0026452D">
      <w:pPr>
        <w:pStyle w:val="TextoNormal"/>
      </w:pPr>
      <w:r>
        <w:t xml:space="preserve">Los recurrentes, como se ha expuesto más detalladamente en los antecedentes, alegan la vulneración del derecho a la tutela judicial efectiva (art. 24.1 CE), desde la perspectiva del deber de motivación de las resoluciones judiciales, destacando que la afirmación de que actuaron de forma antijurídica es manifiestamente irrazonable, pues no se les puede imputar haber incurrido en una </w:t>
      </w:r>
      <w:r w:rsidRPr="0026452D">
        <w:rPr>
          <w:i/>
        </w:rPr>
        <w:t>non liquet</w:t>
      </w:r>
      <w:r>
        <w:t xml:space="preserve"> cuando existieron dos resoluciones expresas poniendo de manifiesto las razones para el rechazo de las peticiones contenidas en los respectivos escritos, como era, en la primera, declarar que un determinado escrito era inadmisible </w:t>
      </w:r>
      <w:r w:rsidRPr="0026452D">
        <w:rPr>
          <w:i/>
        </w:rPr>
        <w:t>a limine</w:t>
      </w:r>
      <w:r>
        <w:t xml:space="preserve"> por estar dirigido a otro Tribunal, y la segunda en la que, además, se hacía referencia al incumplimiento del art. 49 LOTC como motivo añadido y suficiente para justificar la inadmisión del escrito.</w:t>
      </w:r>
    </w:p>
    <w:p w:rsidR="0026452D" w:rsidRDefault="0026452D" w:rsidP="0026452D">
      <w:pPr>
        <w:pStyle w:val="TextoNormal"/>
      </w:pPr>
    </w:p>
    <w:p w:rsidR="0026452D" w:rsidRDefault="0026452D" w:rsidP="0026452D">
      <w:pPr>
        <w:pStyle w:val="TextoNormal"/>
      </w:pPr>
      <w:r>
        <w:t>La doctrina constitucional sobre el derecho a la tutela judicial efectiva (art. 24.1 CE), desde la perspectiva del deber de motivación de las resoluciones judiciales, ha sido ya expuesta anteriormente en lo relativo a la inclusión y alcance del deber de motivación como una de las garantías inherentes al derecho a la tutela judicial efectiva, y en lo referido a la irrazonabilidad, como uno de los defectos constitucionales de motivación. De ese modo, sólo bastaría recordar ahora que, en relación con el defecto constitucional de motivación por error patente, este Tribunal ha reiterado que también se produce una vulneración del art. 24.1 CE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destacándose que los requisitos necesarios para dotar de relevancia constitucional a dicho error son que no sea imputable a la negligencia de la parte sino atribuible al órgano judicial, que pueda apreciarse inmediatamente de forma incontrovertible a partir de las actuaciones judiciales y que resulte determinante de la decisión adoptada por constituir el soporte único o básico —</w:t>
      </w:r>
      <w:r w:rsidRPr="0026452D">
        <w:rPr>
          <w:i/>
        </w:rPr>
        <w:t>ratio decidendi</w:t>
      </w:r>
      <w:r>
        <w:t xml:space="preserve">— de la resolución. Igualmente, este Tribunal ha señalado que concurre error patente en aquellos supuestos en que las resoluciones judiciales parten de un presupuesto fáctico que se manifiesta erróneo a la luz de un medio de prueba incorporado </w:t>
      </w:r>
      <w:r>
        <w:lastRenderedPageBreak/>
        <w:t>válidamente a las actuaciones cuyo contenido no hubiera sido tomado en consideración (por todas, STC 211/2009, de 26 de noviembre, FJ 2).</w:t>
      </w:r>
    </w:p>
    <w:p w:rsidR="0026452D" w:rsidRDefault="0026452D" w:rsidP="0026452D">
      <w:pPr>
        <w:pStyle w:val="TextoNormal"/>
      </w:pPr>
    </w:p>
    <w:p w:rsidR="0026452D" w:rsidRDefault="0026452D" w:rsidP="0026452D">
      <w:pPr>
        <w:pStyle w:val="TextoNormal"/>
      </w:pPr>
      <w:r>
        <w:t>En el presente caso, tal como se ha detallado en los antecedentes, han quedado acreditados los siguientes extremos: en primer lugar, que fue presentado un escrito en el Tribunal Constitucional dirigido “Al Tribunal Constitucional. Sustituido por formación que garantice un examen imparcial”, afirmando que se formulaba recurso de amparo, incluyendo entre sus pedimentos “La solicitud de una medida legislativa al Presidente del Gobierno para que solicite el [</w:t>
      </w:r>
      <w:r w:rsidRPr="0026452D">
        <w:rPr>
          <w:i/>
        </w:rPr>
        <w:t>sic</w:t>
      </w:r>
      <w:r>
        <w:t>] Parlamento la aprobación de un proyecto de ley que garantice el derecho constitucional a un examen imparcial del presente recurso de amparo. 3. Por la formación que prevea la medida legislativa y respete el derecho al juez imparcial, la estimación del presente amparo con declaración de nulidad de la sentencia impugnada y estimación del contenido de la demanda”. En segundo lugar, también queda acreditado que el Pleno del Tribunal Constitucional dictó providencia de 18 de julio de 2002 en la que en respuesta a dicho escrito se “acuerda por unanimidad la inadmisión del mismo, por cuanto el recurso no se dirige a este Tribunal Constitucional, sino a otro hipotético que le sustituya. En su consecuencia, procédase al archivo de las presentes actuaciones”. Esta providencia fue notificada al Ministerio Fiscal que no interpuso recurso de súplica. En tercer lugar, se constata que, frente a la citada providencia de inadmisión, se formuló por el peticionario recurso de súplica, que fue resuelto por providencia del Pleno del Tribunal Constitucional de 17 de septiembre de 2002, reiterando que, en atención del contenido del escrito, se desprende que la supuesta demanda de amparo no se hallaba dirigida a dicho Tribunal y, además, señalando “que carecía de la claridad y precisión que el artículo 49 LOTC exige como requisitos esenciales de la demanda de amparo”.</w:t>
      </w:r>
    </w:p>
    <w:p w:rsidR="0026452D" w:rsidRDefault="0026452D" w:rsidP="0026452D">
      <w:pPr>
        <w:pStyle w:val="TextoNormal"/>
      </w:pPr>
    </w:p>
    <w:p w:rsidR="0026452D" w:rsidRDefault="0026452D" w:rsidP="0026452D">
      <w:pPr>
        <w:pStyle w:val="TextoNormal"/>
      </w:pPr>
      <w:r>
        <w:t>Por último, cabe apreciar que la resolución impugnada fundamenta la afirmación de que los ahora recurrentes en amparo mostraron una conducta antijurídica en sus resoluciones de 18 de julio y 17 de septiembre de 2002, por un lado, en que el art. 1.7 del Código civil establece que los “los Jueces y Tribunales tienen el deber inexcusable de resolver en todo caso los asuntos de que conozcan ateniéndose al sistema de fuentes establecido” y, por otro, en que si bien resulta posible dar cumplimiento a ese deber de resolución mediante una decisión de inadmisión, ésta debe estar fundada en la aplicación razonada de una causa legal, de modo tal que su incumplimiento puede producirse con una resolución motivada cuya base no tenga apoyo legal o sea ilógica o arbitraria, que sería lo acontecido en este caso en que los recurrentes, según la Sentencia impugnada, “se negaron lisa y llanamente a entrar a resolver una petición de amparo so pretexto de que iba dirigida a un hipotético tribunal”, siendo ese extremo “absolutamente incierto”.</w:t>
      </w:r>
    </w:p>
    <w:p w:rsidR="0026452D" w:rsidRDefault="0026452D" w:rsidP="0026452D">
      <w:pPr>
        <w:pStyle w:val="TextoNormal"/>
      </w:pPr>
    </w:p>
    <w:p w:rsidR="0026452D" w:rsidRDefault="0026452D" w:rsidP="0026452D">
      <w:pPr>
        <w:pStyle w:val="TextoNormal"/>
      </w:pPr>
      <w:r w:rsidRPr="0026452D">
        <w:rPr>
          <w:rStyle w:val="NumeroAFNegritaCaracter"/>
        </w:rPr>
        <w:t>8</w:t>
      </w:r>
      <w:r>
        <w:t>. En atención a lo expuesto, y teniendo en cuenta la doctrina constitucional que sobre el deber de motivación de las resoluciones judiciales ya ha sido detallada, hay que concluir, de conformidad con lo que también interesa el Ministerio Fiscal, que la resolución impugnada ha incurrido en defectos constitucionales de motivación del art. 24.1 CE, al argumentar que los recurrentes han incumplido el deber inexcusable de resolver los asuntos de que conozcan ateniéndose al sistema de fuentes establecido.</w:t>
      </w:r>
    </w:p>
    <w:p w:rsidR="0026452D" w:rsidRDefault="0026452D" w:rsidP="0026452D">
      <w:pPr>
        <w:pStyle w:val="TextoNormal"/>
      </w:pPr>
    </w:p>
    <w:p w:rsidR="0026452D" w:rsidRDefault="0026452D" w:rsidP="0026452D">
      <w:pPr>
        <w:pStyle w:val="TextoNormal"/>
      </w:pPr>
      <w:r>
        <w:t xml:space="preserve">La regulación de la admisibilidad del recurso de amparo vigente en el momento que se dictaron las resoluciones de inadmisión que dieron lugar a la condena por responsabilidad civil era la establecida por la Ley Orgánica 6/1988, de 9 de junio. De conformidad con ella, </w:t>
      </w:r>
      <w:r>
        <w:lastRenderedPageBreak/>
        <w:t>la decisión de inadmisión de un recurso de amparo podría acordarse mediante providencia, entre otras razones, cuando la demanda incumpliera de manera manifiesta e insubsanable alguno de los requisitos contenidos en los artículos 41 a 46 o concurriera en la misma el caso al que se refiere el art. 4.2 LOTC (art. 50.1 LOTC), bastando con que se indicaría la causa de inadmisión, y que dicha decisión sólo era recurrible en súplica por el Ministerio Fiscal (art. 50.2 LOTC). Pues bien, en este contexto normativo, la argumentación contenida en la resolución judicial para concluir que la respuesta aportada por los recurrentes no estaba fundada en la aplicación razonada de una causa legal de inadmisión, consistente en que los recurrentes se limitaron a señalar que el escrito iba dirigida a un hipotético Tribunal, siendo ese extremo absolutamente incierto, por un lado, incurre en error patente y, por otro, es también una decisión no fundada en Derecho.</w:t>
      </w:r>
    </w:p>
    <w:p w:rsidR="0026452D" w:rsidRDefault="0026452D" w:rsidP="0026452D">
      <w:pPr>
        <w:pStyle w:val="TextoNormal"/>
      </w:pPr>
    </w:p>
    <w:p w:rsidR="0026452D" w:rsidRDefault="0026452D" w:rsidP="0026452D">
      <w:pPr>
        <w:pStyle w:val="TextoNormal"/>
      </w:pPr>
      <w:r>
        <w:t>En efecto, tal como también ha destacado el Ministerio Fiscal, la resolución judicial impugnada incurre en un primer defecto constitucional de motivación, consistente en un error patente por haberse partido en el razonamiento de un presupuesto fáctico que se manifiesta erróneo a la luz de un medio de prueba incorporado válidamente a las actuaciones cuyo contenido no ha sido tomado en consideración. Ciertamente, la contestación aportada en la primera providencia de 18 de julio de 2002 quedaba limitada a señalar como causa de inadmisión que “el recurso no se dirige a este Tribunal Constitucional, sino a otro hipotético que le sustituya”. No obstante, tal como se reconoce incluso en el fundamento de derecho primero de la resolución impugnada, calificándolo como dato absolutamente constatado, en la providencia de 17 de septiembre de 2002 también se señalaba, además de la claridad de que la supuesta demanda no estaba dirigida a ese Tribunal, que, en cualquier caso, “carecía de la claridad y precisión que el artículo 49 LOTC exige como requisitos esenciales de las demandas de amparo”.</w:t>
      </w:r>
    </w:p>
    <w:p w:rsidR="0026452D" w:rsidRDefault="0026452D" w:rsidP="0026452D">
      <w:pPr>
        <w:pStyle w:val="TextoNormal"/>
      </w:pPr>
    </w:p>
    <w:p w:rsidR="0026452D" w:rsidRDefault="0026452D" w:rsidP="0026452D">
      <w:pPr>
        <w:pStyle w:val="TextoNormal"/>
      </w:pPr>
      <w:r>
        <w:t>Así pues, cabe apreciarse de manera incontrovertible en las actuaciones judiciales a partir de una simple lectura de la providencia de 17 de septiembre de 2002 que la razón para concluir la inadmisión del recurso no fue sólo la eventual indeterminación del órgano al que iba dirigido sino también que no se cumplía con las exigencias derivadas de la redacción entonces vigente del art. 49 LOTC. En ese sentido, queda acreditado que la resolución judicial impugnada incurrió en un error fáctico. Este error fáctico cumple también con todos los requisitos para ser considerado un error con relevancia constitucional, toda vez que no es imputable a la negligencia de los recurrentes sino exclusivamente atribuible al órgano judicial y, además, ha sido determinante de la decisión adoptada. Respecto de este último requisito, debe recordarse que, en aplicación de la normativa entonces vigente sobre admisibilidad del recurso de amparo, este Tribunal tenía establecida una doctrina constitucional reiterada conforme a la cual una demanda de amparo también estaba incursa en causa legal de inadmisión cuando se incumplieran las exigencias derivadas del art. 49 LOTC, conforme a las cuales en la demanda se expondrían con claridad y concisión los hechos que la fundamenten, cita de los preceptos constitucionales que se estimaran infringidos y fijación con precisión del amparo que se solicitaba (por todos, AATC 290/2004, de 19 de julio, FJ 1; 39/2005, de 31 de enero, FJ 3, o 146/2005 de 18 de abril, FJ 2).</w:t>
      </w:r>
    </w:p>
    <w:p w:rsidR="0026452D" w:rsidRDefault="0026452D" w:rsidP="0026452D">
      <w:pPr>
        <w:pStyle w:val="TextoNormal"/>
      </w:pPr>
    </w:p>
    <w:p w:rsidR="0026452D" w:rsidRDefault="0026452D" w:rsidP="0026452D">
      <w:pPr>
        <w:pStyle w:val="TextoNormal"/>
      </w:pPr>
      <w:r>
        <w:t xml:space="preserve">Al margen de lo anterior, y tal como también señala el Ministerio Fiscal, todavía cabe apreciar un segundo defecto constitucional de motivación en la resolución impugnada, ya que no cabe afirmar, como se hace en ella, que la respuesta contenida en la providencia de inadmisión de que el recurso de amparo no se dirigía a este Tribunal Constitucional, sino a </w:t>
      </w:r>
      <w:r>
        <w:lastRenderedPageBreak/>
        <w:t>otro hipotético que le sustituya, no supuso la aplicación razonada de una causa legal de inadmisión del recurso de amparo. En los términos antes expuestos, la normativa entonces vigente sobre la admisibilidad del recurso de amparo establecía expresamente en el art. 50.1 a) LOTC que también cabía apreciar la inadmisión por providencia de un recurso de amparo cuando concurriera en la misma el caso al que se refiere el artículo 4.2 LOTC. Dicho precepto, en la redacción originaria de la Ley Orgánica 2/1979, de 3 de octubre, tras la contundente afirmación del art. 4.1 LOTC de que “[e]n ningún caso se podrá promover cuestión de jurisdicción o competencia al Tribunal Constitucional”, lo que establecía era que “[e]l Tribunal Constitucional apreciará, de oficio o a instancia de parte, su falta de jurisdicción o competencia”. En aplicación de esta previsión existían reiterados pronunciamientos de inadmisión de recursos de amparo (así, AATC 359/1988, de 16 de marzo; 218/1996, de 22 de julio; 45/1997, de 12 de febrero; 17/1997, de 27 de enero, 65/1997, de 10 de marzo; 228/2005, de 1 de junio; o 85/2006, de 15 de marzo).</w:t>
      </w:r>
    </w:p>
    <w:p w:rsidR="0026452D" w:rsidRDefault="0026452D" w:rsidP="0026452D">
      <w:pPr>
        <w:pStyle w:val="TextoNormal"/>
      </w:pPr>
    </w:p>
    <w:p w:rsidR="0026452D" w:rsidRDefault="0026452D" w:rsidP="0026452D">
      <w:pPr>
        <w:pStyle w:val="TextoNormal"/>
      </w:pPr>
      <w:r>
        <w:t>En ese sentido, si los recurrentes, en tanto que miembros colegiados del máximo órgano del Tribunal Constitucional, que es el Pleno, conociendo de una competencia atribuida constitucionalmente, como es el recurso de amparo [art. 161.1 b) CE], y con la exclusiva sujeción a la Constitución y a la Ley Orgánica del Tribunal Constitucional que proclama el art. 1.1 LOTC, decidieron, de conformidad con un concreto precepto de su Ley Orgánica que les habilitaba legalmente para ello, apreciar su falta de jurisdicción o competencia, es indubitado que tomaron una decisión que no sólo suponía la aplicación de una causa legal de inadmisión del recurso de amparo sino que, además, lo hicieron en el marco de una resolución judicial que revestía la forma de providencia que le imponía el art. 50.1 LOTC y sin que el Ministerio Fiscal, como único legitimado para impugnarla, formulara recurso de súplica.</w:t>
      </w:r>
    </w:p>
    <w:p w:rsidR="0026452D" w:rsidRDefault="0026452D" w:rsidP="0026452D">
      <w:pPr>
        <w:pStyle w:val="TextoNormal"/>
      </w:pPr>
    </w:p>
    <w:p w:rsidR="0026452D" w:rsidRDefault="0026452D" w:rsidP="0026452D">
      <w:pPr>
        <w:pStyle w:val="TextoNormal"/>
      </w:pPr>
      <w:r>
        <w:t>Por tanto, más allá de las discrepancias que pudieran establecerse sobre si el escrito del entonces recurrente en amparo estaba o no dirigido al Tribunal Constitucional, con la conformación subjetiva que entonces tenía, o a un hipotético tribunal, por la forma en que se pretendía dotarlo de una nueva conformación subjetiva a través de un procedimiento que claramente quedaba al margen de la competencias constitucional y legalmente atribuidas al Tribunal Constitucional, la afirmación contenida en la resolución impugnada de que la respuesta aportada no implicaba la aplicación de una causa legal de inadmisión del recurso de amparo es una decisión no fundada en derecho a la vista del art. 50.1 c), en relación con el art. 4.2 LOTC, en la redacción entonces vigente. Ello es determinante de que también por este motivo se concluya que la resolución judicial impugnada vulneró el derecho de los recurrentes a la tutela judicial efectiva (art. 24.1 CE), en relación con el pronunciamiento relativo a que habían incurrido en responsabilidad civil por incumplimiento de su deber de resolver.</w:t>
      </w:r>
    </w:p>
    <w:p w:rsidR="0026452D" w:rsidRDefault="0026452D" w:rsidP="0026452D">
      <w:pPr>
        <w:pStyle w:val="TextoNormal"/>
      </w:pPr>
    </w:p>
    <w:p w:rsidR="0026452D" w:rsidRDefault="0026452D" w:rsidP="0026452D">
      <w:pPr>
        <w:pStyle w:val="TextoNormal"/>
      </w:pPr>
      <w:r>
        <w:t>Todo ello sin perjuicio de que haya de afirmarse, también como conclusión, que la eventual responsabilidad civil en que pudieran incurrir los Magistrados del Tribunal Constitucional en ningún caso podrá deducirse del enjuiciamiento de las resoluciones jurisdiccionales que el mismo dicte.</w:t>
      </w:r>
    </w:p>
    <w:p w:rsidR="0026452D" w:rsidRDefault="0026452D" w:rsidP="0026452D">
      <w:pPr>
        <w:pStyle w:val="TextoNormal"/>
      </w:pPr>
    </w:p>
    <w:p w:rsidR="0026452D" w:rsidRDefault="0026452D" w:rsidP="0026452D">
      <w:pPr>
        <w:pStyle w:val="TextoNormalCentrado"/>
        <w:keepNext/>
      </w:pPr>
      <w:r>
        <w:lastRenderedPageBreak/>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Otorgar el amparo solicitado por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Eugeni Gay Montalvo y doña Silvia María García-Calvo Haya, y en su virtud:</w:t>
      </w:r>
    </w:p>
    <w:p w:rsidR="0026452D" w:rsidRDefault="0026452D" w:rsidP="0026452D">
      <w:pPr>
        <w:pStyle w:val="TextoNormal"/>
      </w:pPr>
    </w:p>
    <w:p w:rsidR="0026452D" w:rsidRDefault="0026452D" w:rsidP="0026452D">
      <w:pPr>
        <w:pStyle w:val="TextoNormal"/>
      </w:pPr>
      <w:r>
        <w:t>1º Declarar que se ha vulnerado su derecho a la tutela judicial efectiva (art. 24.1 CE).</w:t>
      </w:r>
    </w:p>
    <w:p w:rsidR="0026452D" w:rsidRDefault="0026452D" w:rsidP="0026452D">
      <w:pPr>
        <w:pStyle w:val="TextoNormal"/>
      </w:pPr>
    </w:p>
    <w:p w:rsidR="0026452D" w:rsidRDefault="0026452D" w:rsidP="0026452D">
      <w:pPr>
        <w:pStyle w:val="TextoNormal"/>
      </w:pPr>
      <w:r>
        <w:t>2º Restablecerlos en la integridad de su derecho y, a tal fin, declarar la nulidad del Auto de la Sala de lo Civil del Tribunal Supremo de 28 de abril de 2003 y de la Sentencia de 23 de enero de 2004, aclarada por Auto de 27 de enero de 2004, dictados en los autos sobre responsabilidad civil núm. 1-2003.</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Madrid, a cinco de junio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37" w:name="SENTENCIA_2013_134"/>
      <w:r>
        <w:lastRenderedPageBreak/>
        <w:t>SENTENCIA 134/2013, de 6 de junio de 2013</w:t>
      </w:r>
    </w:p>
    <w:bookmarkEnd w:id="137"/>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157, de 2 de julio de 2013)</w:t>
      </w:r>
    </w:p>
    <w:p w:rsidR="0026452D" w:rsidRDefault="0026452D" w:rsidP="0026452D">
      <w:pPr>
        <w:pStyle w:val="TtuloBOE"/>
      </w:pPr>
    </w:p>
    <w:p w:rsidR="0026452D" w:rsidRDefault="0026452D" w:rsidP="0026452D">
      <w:pPr>
        <w:pStyle w:val="SntesisDescriptiva"/>
      </w:pPr>
      <w:r>
        <w:t>ECLI:ES:TC:2013:134</w:t>
      </w:r>
    </w:p>
    <w:p w:rsidR="0026452D" w:rsidRDefault="0026452D" w:rsidP="0026452D">
      <w:pPr>
        <w:pStyle w:val="SntesisDescriptiva"/>
      </w:pPr>
    </w:p>
    <w:p w:rsidR="0026452D" w:rsidRDefault="0026452D" w:rsidP="0026452D">
      <w:pPr>
        <w:pStyle w:val="SntesisDescriptiva"/>
      </w:pPr>
      <w:r>
        <w:t>Recurso de inconstitucionalidad 1810-2002. Interpuesto por el Gobierno de la Junta de Andalucía en relación con diversos preceptos de la Ley Orgánica 6/2001, de 21 de diciembre, de universidades.</w:t>
      </w:r>
    </w:p>
    <w:p w:rsidR="0026452D" w:rsidRDefault="0026452D" w:rsidP="0026452D">
      <w:pPr>
        <w:pStyle w:val="SntesisDescriptiva"/>
      </w:pPr>
    </w:p>
    <w:p w:rsidR="0026452D" w:rsidRDefault="0026452D" w:rsidP="0026452D">
      <w:pPr>
        <w:pStyle w:val="SntesisAnaltica"/>
      </w:pPr>
      <w:r>
        <w:t>Principio de seguridad jurídica; autonomía universitaria y competencias sobre universidades: validez de los preceptos legales sobre creación y reconocimiento de universidades, Agencia nacional de evaluación de la calidad, nombramiento de gerentes y funciones de los consejos sociales universitarios (STC 131/2013).</w:t>
      </w:r>
    </w:p>
    <w:p w:rsidR="0026452D" w:rsidRDefault="0026452D" w:rsidP="0026452D">
      <w:pPr>
        <w:pStyle w:val="SntesisAnaltica"/>
      </w:pPr>
    </w:p>
    <w:p w:rsidR="0026452D" w:rsidRDefault="0026452D" w:rsidP="0026452D">
      <w:pPr>
        <w:pStyle w:val="Extracto"/>
      </w:pPr>
      <w:r>
        <w:t>1.</w:t>
      </w:r>
      <w:r>
        <w:tab/>
        <w:t>La intervención del Consejo Social en el nombramiento del gerente de la universidad –art. 23 LOU– no lesiona la autonomía universitaria dada la naturaleza no académica del cargo, las funciones encomendadas a dicho Consejo y la no exclusión de la intervención del rector en dicho nombramiento (STC 131/2013) [FJ 5].</w:t>
      </w:r>
    </w:p>
    <w:p w:rsidR="0026452D" w:rsidRDefault="0026452D" w:rsidP="0026452D">
      <w:pPr>
        <w:pStyle w:val="Extracto"/>
      </w:pPr>
    </w:p>
    <w:p w:rsidR="0026452D" w:rsidRDefault="0026452D" w:rsidP="0026452D">
      <w:pPr>
        <w:pStyle w:val="Extracto"/>
      </w:pPr>
      <w:r>
        <w:t>2.</w:t>
      </w:r>
      <w:r>
        <w:tab/>
        <w:t>La atribución al Gobierno de la constitución de la Agencia Nacional de Evaluación de Calidad y Acreditación –art. 32 LOU– no supone una deslegalización de la reserva de ley orgánica por cuanto no se deriva, del tenor del precepto, que el Gobierno haya de regular, mediante norma reglamentaria, aspectos que inciden en el ámbito del derecho a la autonomía universitaria, al encomendarse a la Agencia facultades de informe o evaluación sin perjuicio de las que desarrollen los órganos creados por las Comunidades Autónomas en el ámbito de sus competencias (STC 131/2013)  [FJ 6].</w:t>
      </w:r>
    </w:p>
    <w:p w:rsidR="0026452D" w:rsidRDefault="0026452D" w:rsidP="0026452D">
      <w:pPr>
        <w:pStyle w:val="Extracto"/>
      </w:pPr>
    </w:p>
    <w:p w:rsidR="0026452D" w:rsidRDefault="0026452D" w:rsidP="0026452D">
      <w:pPr>
        <w:pStyle w:val="Extracto"/>
      </w:pPr>
      <w:r>
        <w:t>3.</w:t>
      </w:r>
      <w:r>
        <w:tab/>
        <w:t>La aprobación, por el Consejo Social, de las normas sobre permanencia de los alumnos en la universidad –art. 46.3 LOU– no está exenta de justificación si se tiene en cuenta que una de sus funciones es la de supervisar el rendimiento de los servicios que presta la universidad, que incluye la de velar por que exista una adecuada relación entre la duración de los estudios y la permanencia de los alumnos en la universidad, ya que dicha permanencia implica la utilización de recursos públicos que son, por su propia naturaleza, limitados (STC 131/2013)  [FJ 7].</w:t>
      </w:r>
    </w:p>
    <w:p w:rsidR="0026452D" w:rsidRDefault="0026452D" w:rsidP="0026452D">
      <w:pPr>
        <w:pStyle w:val="Extracto"/>
      </w:pPr>
    </w:p>
    <w:p w:rsidR="0026452D" w:rsidRDefault="0026452D" w:rsidP="0026452D">
      <w:pPr>
        <w:pStyle w:val="Extracto"/>
      </w:pPr>
      <w:r>
        <w:t>4.</w:t>
      </w:r>
      <w:r>
        <w:tab/>
        <w:t xml:space="preserve">La participación del Consejo Social en la adscripción mediante convenio a una universidad pública de centros docentes de titularidad pública o privada para impartir estudios conducentes a la obtención de títulos de carácter oficial y validez en todo el territorio nacional, </w:t>
      </w:r>
      <w:r w:rsidRPr="0026452D">
        <w:rPr>
          <w:i/>
        </w:rPr>
        <w:t>ex</w:t>
      </w:r>
      <w:r>
        <w:t xml:space="preserve"> art. 11.1 LOU, no supone un exceso en el ejercicio de las funciones que se le atribuyen por la Ley Orgánica, al responder a su finalidad específica de ser el órgano de participación de la sociedad en las universidades y no afectar al contenido esencial de la autonomía de éstas [FJ 8]. </w:t>
      </w:r>
    </w:p>
    <w:p w:rsidR="0026452D" w:rsidRDefault="0026452D" w:rsidP="0026452D">
      <w:pPr>
        <w:pStyle w:val="Extracto"/>
      </w:pPr>
    </w:p>
    <w:p w:rsidR="0026452D" w:rsidRDefault="0026452D" w:rsidP="0026452D">
      <w:pPr>
        <w:pStyle w:val="Extracto"/>
      </w:pPr>
      <w:r>
        <w:t>5.</w:t>
      </w:r>
      <w:r>
        <w:tab/>
        <w:t xml:space="preserve">La atribución al Gobierno de la determinación de los requisitos básicos para la creación y reconocimiento de Universidades –art. 4.3 LOU– no supone una lesión </w:t>
      </w:r>
      <w:r>
        <w:lastRenderedPageBreak/>
        <w:t xml:space="preserve">de la reserva de ley, </w:t>
      </w:r>
      <w:r w:rsidRPr="0026452D">
        <w:rPr>
          <w:i/>
        </w:rPr>
        <w:t>ex</w:t>
      </w:r>
      <w:r>
        <w:t xml:space="preserve"> arts. 27, 53.1 y 149.1.30 CE, por cuanto una lectura sistemática permite negar el carácter incondicionado de la remisión reglamentaria, al obligar la ley a poner en relación dichos requisitos con el cumplimiento por las universidades de las funciones que les son encomendadas, quedando con ello delimitada suficientemente la intervención reglamentaria (STC 131/2013)  [FJ 4].</w:t>
      </w:r>
    </w:p>
    <w:p w:rsidR="0026452D" w:rsidRDefault="0026452D" w:rsidP="0026452D">
      <w:pPr>
        <w:pStyle w:val="Extracto"/>
      </w:pPr>
    </w:p>
    <w:p w:rsidR="0026452D" w:rsidRDefault="0026452D" w:rsidP="0026452D">
      <w:pPr>
        <w:pStyle w:val="Extracto"/>
      </w:pPr>
      <w:r>
        <w:t>6.</w:t>
      </w:r>
      <w:r>
        <w:tab/>
        <w:t>La derogación o modificación de preceptos impugnados por motivos no competenciales hace desaparecer el objeto del recurso de inconstitucionalidad en lo que a ellos se refiere, por lo que el proceso ha perdido objeto en relación con los preceptos afectado por la Ley Orgánica 4/2007 –arts. 15.2 in fine, 35.6 y 51 LOU– impugnados por considerarse lesivos a la autonomía universitaria (STC 223/2012)  [FJ 3].</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1810-2002, promovido por la Junta de Andalucía, representada por la Letrada de la Junta de Andalucía, contra los artículos 4.3, 11.1, 15.2, 23, 32, 35.6, 46.3 y 51 de la Ley Orgánica 6/2001, de 21 de diciembre, de universidades. Han intervenido el Abogado del Estado y el Letrado de las Cortes Generales en nombre y representación del Senado. Ha sido Ponente el Magistrado don Pablo Pérez Tremps,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presentado en el Registro General de este Tribunal, el 25 de marzo de 2002, la Letrada de la Junta de Andalucía, en la representación que por su cargo ostenta, de conformidad con lo dispuesto en el art. 82.2 Ley Orgánica del Tribunal Constitucional (LOTC), y previo acuerdo del Consejo de Gobierno de la Comunidad Autónoma de Andalucía, de 19 de marzo de 2002, interpuso recurso de inconstitucionalidad contra el art. 4.3 de la Ley Orgánica 6/2001, de 21 de diciembre, de universidades (LOU), por vulnerar el art. 149.1.30 CE en relación con los arts. 27 y 53.1 CE; contra los arts. 11.1, 15.2, 23, 46.3 y 51 LOU por vulnerar el art. 27.10 CE; contra el art. 32 LOU por vulnerar el art. 27.10 CE en </w:t>
      </w:r>
      <w:r>
        <w:lastRenderedPageBreak/>
        <w:t>relación con los arts. 53.1 y 81.1 CE; y contra el art. 35.6 LOU por vulnerar los arts. 9.3, 27.1 y 53.1 todos ellos de la Constitución.</w:t>
      </w:r>
    </w:p>
    <w:p w:rsidR="0026452D" w:rsidRDefault="0026452D" w:rsidP="0026452D">
      <w:pPr>
        <w:pStyle w:val="TextoNormal"/>
      </w:pPr>
    </w:p>
    <w:p w:rsidR="0026452D" w:rsidRDefault="0026452D" w:rsidP="0026452D">
      <w:pPr>
        <w:pStyle w:val="TextoNormal"/>
      </w:pPr>
      <w:r>
        <w:t>El recurso se sustenta en los siguientes fundamentos de derecho:</w:t>
      </w:r>
    </w:p>
    <w:p w:rsidR="0026452D" w:rsidRDefault="0026452D" w:rsidP="0026452D">
      <w:pPr>
        <w:pStyle w:val="TextoNormal"/>
      </w:pPr>
    </w:p>
    <w:p w:rsidR="0026452D" w:rsidRDefault="0026452D" w:rsidP="0026452D">
      <w:pPr>
        <w:pStyle w:val="TextoNormal"/>
      </w:pPr>
      <w:r>
        <w:t>a) Una vez expuesto el cumplimiento de los requisitos procesales relativos a competencia, legitimación y plazo de presentación del recurso de inconstitucionalidad, la representación procesal de la Junta de Andalucía establece el marco del reparto competencial que afecta a las materias a que se refieren los preceptos impugnados de la Ley Orgánica de universidades.</w:t>
      </w:r>
    </w:p>
    <w:p w:rsidR="0026452D" w:rsidRDefault="0026452D" w:rsidP="0026452D">
      <w:pPr>
        <w:pStyle w:val="TextoNormal"/>
      </w:pPr>
    </w:p>
    <w:p w:rsidR="0026452D" w:rsidRDefault="0026452D" w:rsidP="0026452D">
      <w:pPr>
        <w:pStyle w:val="TextoNormal"/>
      </w:pPr>
      <w:r>
        <w:t>Así, recuerda que el art. 149.1.30 CE reserva en exclusiva al Estado la “regulación de las condiciones de obtención, expedición y homologación de títulos académicos y profesionales y normas básicas para el desarrollo del artículo 27 de la Constitución a fin de garantizar el cumplimiento de las obligaciones de los poderes públicos en esta materia”, mientras que existen otros títulos competenciales del Estado a los que también se refiere la disposición final primera LOU para dar cobertura a la norma, como los apartados 1, 15 y 18 del art. 149.1 CE. Junto a lo anterior el art. 27.10 CE reconoce “la autonomía de las Universidades en los términos que la Ley establezca”, habiendo dado la jurisprudencia constitucional un amplio alcance a la autonomía universitaria (con cita de las SSTC 26/1987, 55/1989, 187/1991, 156/1994 y 75/1997). A su vez, se invoca el art. 19 del Estatuto de Autonomía de Andalucía (vigente entonces), que establecía que corresponde a la Comunidad Autónoma “la regulación y administración de la enseñanza en toda su extensión, niveles y grados, modalidades y especialidades en el ámbito de sus competencias, sin perjuicio de lo dispuesto en el artículo 27 de la Constitución y Leyes Orgánicas que, conforme al apartado 1, del artículo 81 de la misma, lo desarrollen; de las facultades que atribuye al Estado el número 30 del apartado 1, del artículo 149 de la Constitución y de la alta inspección necesaria para su cumplimiento y garantía”.</w:t>
      </w:r>
    </w:p>
    <w:p w:rsidR="0026452D" w:rsidRDefault="0026452D" w:rsidP="0026452D">
      <w:pPr>
        <w:pStyle w:val="TextoNormal"/>
      </w:pPr>
    </w:p>
    <w:p w:rsidR="0026452D" w:rsidRDefault="0026452D" w:rsidP="0026452D">
      <w:pPr>
        <w:pStyle w:val="TextoNormal"/>
      </w:pPr>
      <w:r>
        <w:t>La Letrada de la Junta de Andalucía deduce del juego de los anteriores preceptos que el sistema de distribución de competencias en materia universitaria es complejo porque son tres las entidades que proyectan sus competencias en este ámbito: el Estado, que dispone de la competencia para dictar las bases en la materia; las Comunidades Autónomas con competencias de desarrollo normativo legislativo y reglamentario, de ejecución y de gestión; y las universidades, con potestades normativas y ejecutivas propias en ejercicio de su autonomía y capacidad de autogobierno (con cita de las SSTC 146/1989 y 235/1991). Dentro de este sistema, la Comunidad Autónoma puede ver reducida la dimensión real de su competencia si se dilata artificiosamente el ámbito competencial del Estado que es lo que, a juicio del recurrente, sucede en este caso, amén de que pueden ponerse de manifiesto otras deficiencias constitucionales de la norma recurrida.</w:t>
      </w:r>
    </w:p>
    <w:p w:rsidR="0026452D" w:rsidRDefault="0026452D" w:rsidP="0026452D">
      <w:pPr>
        <w:pStyle w:val="TextoNormal"/>
      </w:pPr>
    </w:p>
    <w:p w:rsidR="0026452D" w:rsidRDefault="0026452D" w:rsidP="0026452D">
      <w:pPr>
        <w:pStyle w:val="TextoNormal"/>
      </w:pPr>
      <w:r>
        <w:t xml:space="preserve">Añade el escrito de interposición del recurso de inconstitucionalidad, que la exigencia de que el desarrollo de la materia educativa se realice a través de Ley Orgánica, dada la afectación de derechos fundamentales, no impide que la Comunidad Autónoma pueda ostentar su propia capacidad normativa, como reconoce el propio Tribunal Constitucional en pronunciamientos como la STC 173/1998. En este sentido se insiste en que es necesario indagar cuáles de entre las disposiciones contenidas en la Ley Orgánica encierran normas básicas para el desarrollo del art. 27 CE, porque únicamente este marco es el límite infranqueable </w:t>
      </w:r>
      <w:r>
        <w:lastRenderedPageBreak/>
        <w:t>para las disposiciones autonómicas, indagación tanto más necesaria por cuanto la LOU, pese a haber especificado en la disposición final cuarta qué preceptos tienen carácter de ley orgánica, no ha hecho lo propio con los preceptos que tienen carácter básico (con cita de las SSTC 69/1988, 80/1988, 227/1998, 16/1989, 132/1989, y 147/1991).</w:t>
      </w:r>
    </w:p>
    <w:p w:rsidR="0026452D" w:rsidRDefault="0026452D" w:rsidP="0026452D">
      <w:pPr>
        <w:pStyle w:val="TextoNormal"/>
      </w:pPr>
    </w:p>
    <w:p w:rsidR="0026452D" w:rsidRDefault="0026452D" w:rsidP="0026452D">
      <w:pPr>
        <w:pStyle w:val="TextoNormal"/>
      </w:pPr>
      <w:r>
        <w:t>b) Establecido el marco competencial, la Letrada de la Junta se detiene en el examen de la autonomía universitaria que reconoce el art. 27.10 CE, y que la jurisprudencia constitucional configura como un derecho fundamental cuyo desarrollo habrá de efectuarse por ley orgánica (con cita de las SSTC 26/1987, 55/1989, y 75/1997). Esa misma jurisprudencia reitera que corresponde al legislador precisar y desarrollar la autonomía reconociendo a las universidades las facultades precisas para asegurar la libertad académica (STC 106/1989). Este alcance de la autonomía universitaria exige analizar los preceptos impugnados de la Ley Orgánica de universidades para comprobar si el legislador estatal ha respetado, no sólo el ámbito competencial de la Comunidad Autónoma de Andalucía, sino además la esfera de protección que debe garantizarse al ejercicio de la autonomía universitaria.</w:t>
      </w:r>
    </w:p>
    <w:p w:rsidR="0026452D" w:rsidRDefault="0026452D" w:rsidP="0026452D">
      <w:pPr>
        <w:pStyle w:val="TextoNormal"/>
      </w:pPr>
    </w:p>
    <w:p w:rsidR="0026452D" w:rsidRDefault="0026452D" w:rsidP="0026452D">
      <w:pPr>
        <w:pStyle w:val="TextoNormal"/>
      </w:pPr>
      <w:r>
        <w:t>c) Entrando al análisis particular de los preceptos impugnados, el escrito de alegaciones expone los argumentos de la parte refiriéndose a cada uno de esos preceptos y a los vicios de constitucionalidad que a ellos se vinculan.</w:t>
      </w:r>
    </w:p>
    <w:p w:rsidR="0026452D" w:rsidRDefault="0026452D" w:rsidP="0026452D">
      <w:pPr>
        <w:pStyle w:val="TextoNormal"/>
      </w:pPr>
    </w:p>
    <w:p w:rsidR="0026452D" w:rsidRDefault="0026452D" w:rsidP="0026452D">
      <w:pPr>
        <w:pStyle w:val="TextoNormal"/>
      </w:pPr>
      <w:r>
        <w:t>La Junta de Andalucía reprocha al art. 4.3 LOU que, previo informe del Consejo de Coordinación Universitaria, remite en su totalidad al desarrollo reglamentario del Gobierno la regulación de los requisitos básicos para la creación y reconocimiento de las universidades, tal delegación genérica e indeterminada a la norma reglamentaria. Entiende el recurrente que si bien ninguna tacha podría oponerse a que la Ley Orgánica remita al Gobierno el desarrollo reglamentario de una concreta materia relacionada con la creación de universidades, en el presente caso se observa que esa remisión se hace sin sujeción alguna a una regulación legal previa que predetermine los principios y criterios de carácter general a los que deba sujetarse tal desarrollo reglamentario. La delegación normativa realizada por el precepto impugnado evidencia la subordinación fáctica entre el legislativo y ejecutivo, y es particularmente lesivo de la posición de las Asambleas Legislativas autonómicas en el caso de que estemos ante el reconocimiento de una universidad privada, porque en estos supuestos en legislador autonómico estaría en situación de dependencia del Gobierno central, viéndose obligado a emitir la ley de reconocimiento de la universidad privada una vez se comprobara el cumplimiento de los requisitos libremente establecidos por el Gobierno.</w:t>
      </w:r>
    </w:p>
    <w:p w:rsidR="0026452D" w:rsidRDefault="0026452D" w:rsidP="0026452D">
      <w:pPr>
        <w:pStyle w:val="TextoNormal"/>
      </w:pPr>
    </w:p>
    <w:p w:rsidR="0026452D" w:rsidRDefault="0026452D" w:rsidP="0026452D">
      <w:pPr>
        <w:pStyle w:val="TextoNormal"/>
      </w:pPr>
      <w:r>
        <w:t>Entiende además la representación procesal de la Junta de Andalucía que deferir, como lo hace el precepto impugnado, de manera genérica al desarrollo reglamentario el establecimiento de los “requisitos básicos para la creación y reconocimiento de Universidades”, es una llamada al reglamento estatal para que el Ejecutivo elabore directamente normas básicas, lo que supone contravenir la doctrina constitucional en materia de determinación de las bases que tienen, en principio y como regla general, que expresarse y concretarse mediante ley formal que determine los principios y criterios de aplicación uniforme y sólo excepcionalmente por la vía reglamentaria (con cita de las SSTC 69/1988, 147/1991 y 131/1996).</w:t>
      </w:r>
    </w:p>
    <w:p w:rsidR="0026452D" w:rsidRDefault="0026452D" w:rsidP="0026452D">
      <w:pPr>
        <w:pStyle w:val="TextoNormal"/>
      </w:pPr>
    </w:p>
    <w:p w:rsidR="0026452D" w:rsidRDefault="0026452D" w:rsidP="0026452D">
      <w:pPr>
        <w:pStyle w:val="TextoNormal"/>
      </w:pPr>
      <w:r>
        <w:t>Si bien la Letrada de la Junta de Andalucía reconoce que existen excepciones que permiten admitir que el Gobierno pueda regular por real decreto aspectos básicos de una determi</w:t>
      </w:r>
      <w:r>
        <w:lastRenderedPageBreak/>
        <w:t>nada materia, entiende que la remisión que opera el art. 4.3 LOU no se acomoda a las exigencias de la jurisprudencia constitucional al respecto (con cita de las SSTC 227/1988, 15/1989 y 131/1996), dados los términos genéricos e insuficientes con que se fijan los criterios o directrices de lo básico en este caso. Se insiste en la idea de que la LOU ha hecho dejación del establecimiento de esos requisitos básicos, remitiéndolos sin más al Gobierno, sin tan siquiera explicitar criterios o principios generales para el establecimiento de tales requisitos, que son decisivos y trascendentes para garantizar que las universidades que van a crearse o reconocerse respondan estructural y funcionalmente a la calidad necesaria, y para asegurar el espacio competencial propio que al respecto corresponde a las Comunidades Autónomas.</w:t>
      </w:r>
    </w:p>
    <w:p w:rsidR="0026452D" w:rsidRDefault="0026452D" w:rsidP="0026452D">
      <w:pPr>
        <w:pStyle w:val="TextoNormal"/>
      </w:pPr>
    </w:p>
    <w:p w:rsidR="0026452D" w:rsidRDefault="0026452D" w:rsidP="0026452D">
      <w:pPr>
        <w:pStyle w:val="TextoNormal"/>
      </w:pPr>
      <w:r>
        <w:t>En síntesis se entiende que el art. 4.3 LOU lesiona la reserva de ley que deriva de la regla contenida en el art. 149.1.30 CE en relación con los arts. 27 y 53.1 CE.</w:t>
      </w:r>
    </w:p>
    <w:p w:rsidR="0026452D" w:rsidRDefault="0026452D" w:rsidP="0026452D">
      <w:pPr>
        <w:pStyle w:val="TextoNormal"/>
      </w:pPr>
    </w:p>
    <w:p w:rsidR="0026452D" w:rsidRDefault="0026452D" w:rsidP="0026452D">
      <w:pPr>
        <w:pStyle w:val="TextoNormal"/>
      </w:pPr>
      <w:r>
        <w:t>d) Por lo que hace a los arts. 11.1 (apartado primero), 15.2 y 46.3 LOU, la Letrada de la Junta de Andalucía entiende que los mismos vulneran la autonomía universitaria contenida en el art. 27.10 CE por el grado de intervención que se da al consejo social en la adopción de decisiones pertenecientes al estricto ámbito académico.</w:t>
      </w:r>
    </w:p>
    <w:p w:rsidR="0026452D" w:rsidRDefault="0026452D" w:rsidP="0026452D">
      <w:pPr>
        <w:pStyle w:val="TextoNormal"/>
      </w:pPr>
    </w:p>
    <w:p w:rsidR="0026452D" w:rsidRDefault="0026452D" w:rsidP="0026452D">
      <w:pPr>
        <w:pStyle w:val="TextoNormal"/>
      </w:pPr>
      <w:r>
        <w:t xml:space="preserve">El art. 11.1 LOU prevé que la adscripción de centros de enseñanza universitaria a las universidades públicas ha de contar con “propuesta del Consejo Social”. El art. 15.2 LOU establece que formarán parte del consejo de gobierno de las universidades “tres miembros del Consejo Social no pertenecientes a la propia comunidad universitaria”. Y el art. 46.3 LOU implica al consejo social en la aprobación de “las normas que regulen el progreso y la permanencia en la Universidad de los estudiantes, de acuerdo con las características de los respectivos estudios”. Entiende la representación procesal de la Junta que estos preceptos afectan de forma grave al principio de autonomía universitaria consagrado en el art. 27.10 CE desde el momento en que le asignan al consejo social funciones que exceden de las que le son propias, —esto es la supervisión de las actividades de carácter económico y el rendimiento de sus servicios, programación plurianual, aprobación del presupuesto y de las cuentas anuales (art. 14 LOU)—, y que pertenecen al ámbito académico al que es ajeno el consejo social, órgano no perteneciente a la comunidad universitaria. A este respecto se recuerda en el escrito de interposición del recurso que la STC 26/1987, aplicable a este supuesto </w:t>
      </w:r>
      <w:r w:rsidRPr="0026452D">
        <w:rPr>
          <w:i/>
        </w:rPr>
        <w:t>mutatis mutandis</w:t>
      </w:r>
      <w:r>
        <w:t>, declaró contraria a la autonomía universitaria la asunción de determinadas competencias académicas por el Consejo Social.</w:t>
      </w:r>
    </w:p>
    <w:p w:rsidR="0026452D" w:rsidRDefault="0026452D" w:rsidP="0026452D">
      <w:pPr>
        <w:pStyle w:val="TextoNormal"/>
      </w:pPr>
    </w:p>
    <w:p w:rsidR="0026452D" w:rsidRDefault="0026452D" w:rsidP="0026452D">
      <w:pPr>
        <w:pStyle w:val="TextoNormal"/>
      </w:pPr>
      <w:r>
        <w:t xml:space="preserve">e) La Junta de Andalucía entiende que tampoco es respetuoso con la autonomía universitaria el art. 23 LOU, que prevé que el gerente de la universidad haya de ser nombrado por el rector de acuerdo con el consejo social. En este caso se justifica la participación del consejo social en el nombramiento del gerente, en la medida en que se trata de un órgano de participación de la sociedad en la universidad (art. 14.1 LOU) y el gerente tiene como atribuciones la gestión de los servicios económicos y administrativos de la universidad. No obstante se entiende que sería suficiente con que el rector oyera al consejo con carácter previo al nombramiento del gerente, sin necesidad de que contase con su acuerdo para efectuar el nombramiento, que es lo que exige la norma impugnada. Entiende el recurrente que esta vinculación merma la capacidad decisoria de la máxima autoridad académica, limitando el ejercicio de las funciones que le competen en defensa de la autonomía universitaria </w:t>
      </w:r>
      <w:r w:rsidRPr="0026452D">
        <w:rPr>
          <w:i/>
        </w:rPr>
        <w:t>ex</w:t>
      </w:r>
      <w:r>
        <w:t xml:space="preserve"> art. 27 CE, que, según el art. 2.2 b) LOU comprende también “la elección, designación y </w:t>
      </w:r>
      <w:r>
        <w:lastRenderedPageBreak/>
        <w:t>remoción de los correspondientes órganos de gobierno y representación”, estando el gerente entre esos órganos de gobierno [art. 13 b) LOU].</w:t>
      </w:r>
    </w:p>
    <w:p w:rsidR="0026452D" w:rsidRDefault="0026452D" w:rsidP="0026452D">
      <w:pPr>
        <w:pStyle w:val="TextoNormal"/>
      </w:pPr>
    </w:p>
    <w:p w:rsidR="0026452D" w:rsidRDefault="0026452D" w:rsidP="0026452D">
      <w:pPr>
        <w:pStyle w:val="TextoNormal"/>
      </w:pPr>
      <w:r>
        <w:t>f) El art. 32 LOU, referido a la Agencia Nacional de Evaluación de la Calidad y Acreditación remite la regulación de este órgano en su totalidad al reglamento. Afirma la representación procesal de la Junta de Andalucía que del examen del articulado de la LOU se pueden deducir las funciones cruciales que se asignan a la Agencia Nacional de Evaluación de la Calidad y Acreditación y su proyección sobre las universidades y el profesorado (arts. 31.2, 35.5, 35.6, 50, 51, 52, 57, 60, 69.4, 72.2 LOU), y es precisamente esa trascendencia y su proyección sobre la autonomía de las universidades y sobre el estatuto del profesorado lo que exige que, siendo normativa de desarrollo básico del art. 27 CE, la composición, estructura, garantías y todos los elementos centrales de la configuración de esta agencia sean regulados y predeterminados por la Ley, no pudiendo la misma remitirse genéricamente, sin más, a la libre decisión del Gobierno. Por tanto el art. 32 LOU, vulnera la garantía de reserva de ley orgánica que nace del art. 27.10 en relación con los arts. 53.1 y 81.1 CE.</w:t>
      </w:r>
    </w:p>
    <w:p w:rsidR="0026452D" w:rsidRDefault="0026452D" w:rsidP="0026452D">
      <w:pPr>
        <w:pStyle w:val="TextoNormal"/>
      </w:pPr>
    </w:p>
    <w:p w:rsidR="0026452D" w:rsidRDefault="0026452D" w:rsidP="0026452D">
      <w:pPr>
        <w:pStyle w:val="TextoNormal"/>
      </w:pPr>
      <w:r>
        <w:t>g) Según el art. 35.6 LOU “el Gobierno establecerá el procedimiento y los criterios para la suspensión o revocación de la homologación del título que, en su caso, pueda proceder por el incumplimiento de los requisitos o de las directrices generales a las que se ha hecho mención en los apartados 1 y 2, así como las consecuencias de la suspensión”. A este respecto, el recurrente, reiterando el motivo de impugnación referido al art. 32 LOU, entiende que el precepto realiza una remisión al reglamento que permite la regulación íntegra por el Gobierno de esta cuestión, sin sometimiento a unos criterios legalmente predeterminados, tratándose de un artículo de ley orgánica conforme a lo dispuesto en la disposición final 4 LOU. Entiende la Letrada de la Junta que, siento el art. 35 LOU norma con rango de ley orgánica, la remisión a normas reglamentarias debe hacerse con más rigor, en términos tales que el reglamento actúe sólo como complemento de la legislación, sin que le esté permitida una regulación al margen de la norma legal. Se entiende, por tanto, que este precepto vulnera los arts. 27.1 y 53.1 CE, además del principio de seguridad jurídica consagrado en el art. 9.3 CE, al no quedar garantizada en términos ciertos y predeterminados la protección de un título obtenido conforme a unos planes de estudio válidos en su momento.</w:t>
      </w:r>
    </w:p>
    <w:p w:rsidR="0026452D" w:rsidRDefault="0026452D" w:rsidP="0026452D">
      <w:pPr>
        <w:pStyle w:val="TextoNormal"/>
      </w:pPr>
    </w:p>
    <w:p w:rsidR="0026452D" w:rsidRDefault="0026452D" w:rsidP="0026452D">
      <w:pPr>
        <w:pStyle w:val="TextoNormal"/>
      </w:pPr>
      <w:r>
        <w:t>h) Por último, el art. 51 LOU se refiere a la figura del profesor colaborador, y difiere al Gobierno la determinación de las áreas de conocimiento, de entre las ya creadas, en que podrán impartir enseñanzas los profesores colaboradores. Este precepto falta a las competencias autonómicas derivadas del bloque de constitucionalidad, al marginar cualquier capacidad de decisión de las Comunidades Autónomas respecto del diseño de sus políticas propias de formación universitaria. La decisión respecto de cuáles son las áreas en las que podrían impartir docencia este tipo de profesores puede ser adoptada, en virtud de las necesidades de cada Comunidad Autónoma, por los ejecutivos autonómicos. En ese sentido el art. 19.2 del Estatuto de Autonomía de Andalucía (vigente en el momento de interposición del recurso) dirige a los poderes públicos un mandato para que velen porque los contenidos de la enseñanza y la investigación guarden una esencial conexión con las “realidades, tradiciones, problemas y necesidades del pueblo andaluz”, lo que avala que la decisión a la que se refiere el art. 51 LOU deba corresponder a la propia Comunidad Autónoma. Al mismo tiempo, y para concluir, la Letrada de la Junta entiende que se cercena cualquier margen decisorio por parte de las universidades en materias que afectan a su organización académica, vulnerándose por consiguiente el art. 27.10 CE.</w:t>
      </w:r>
    </w:p>
    <w:p w:rsidR="0026452D" w:rsidRDefault="0026452D" w:rsidP="0026452D">
      <w:pPr>
        <w:pStyle w:val="TextoNormal"/>
      </w:pPr>
    </w:p>
    <w:p w:rsidR="0026452D" w:rsidRDefault="0026452D" w:rsidP="0026452D">
      <w:pPr>
        <w:pStyle w:val="TextoNormal"/>
      </w:pPr>
      <w:r w:rsidRPr="0026452D">
        <w:rPr>
          <w:rStyle w:val="NumeroAFNegritaCaracter"/>
        </w:rPr>
        <w:t>2</w:t>
      </w:r>
      <w:r>
        <w:t>. La Sección Tercera del Tribunal Constitucional, mediante providencia de 23 de abril de 2002, acordó admitir a trámite el recurso de inconstitucionalidad promovido por el Consejo de Gobierno de la Junta de Andalucía, y dar traslado de la demanda y documentos presentados, conforme dispone el art. 34 LOTC, al Congreso de los Diputados y al Senado, por conducto de sus Presidentes, y al Gobierno, a través del Ministro de Justicia, al objeto de que, en el plazo de quince días, pudieran personarse en el proceso y formular las alegaciones que estimaran pertinentes. Por último también se insta a publicar la incoación del recurso en el “Boletín Oficial del Estado”, haciéndose efectiva tal publicación en el “Boletín Oficial del Estado”, núm. 112 de 10 de mayo de 2002.</w:t>
      </w:r>
    </w:p>
    <w:p w:rsidR="0026452D" w:rsidRDefault="0026452D" w:rsidP="0026452D">
      <w:pPr>
        <w:pStyle w:val="TextoNormal"/>
      </w:pPr>
    </w:p>
    <w:p w:rsidR="0026452D" w:rsidRDefault="0026452D" w:rsidP="0026452D">
      <w:pPr>
        <w:pStyle w:val="TextoNormal"/>
      </w:pPr>
      <w:r w:rsidRPr="0026452D">
        <w:rPr>
          <w:rStyle w:val="NumeroAFNegritaCaracter"/>
        </w:rPr>
        <w:t>3</w:t>
      </w:r>
      <w:r>
        <w:t>. El 16 de mayo de 2002 tuvo entrada en el Registro General de este Tribunal escrito firmado por el Letrado de las Cortes Generales, jefe de la asesoría jurídica del Senado, en representación y defensa de la Cámara, en relación con el recurso de inconstitucionalidad núm. 1671-2002, planteado por el Parlamento de Andalucía contra diversos preceptos de la Ley Orgánica 6/2001, de universidades. Este escrito daba cuenta del acuerdo adoptado por la Cámara el 14 de mayo de 2002, en el que se disponía la voluntad de personación del Senado en el procedimiento, la formulación de alegaciones en todos los recursos que se pudieran presentar contra la LOU, y la solicitud de la acumulación de los mismos, al estimar concurrentes los requisitos establecidos por el art. 83 LOTC. Esta solicitud de acumulación afectaría a los recursos de inconstitucionalidad núms. 1671-2002, 1735-2002, 1756-2002, 1762-2002, 1777-2002, 1788-2002 y 1810-2002.</w:t>
      </w:r>
    </w:p>
    <w:p w:rsidR="0026452D" w:rsidRDefault="0026452D" w:rsidP="0026452D">
      <w:pPr>
        <w:pStyle w:val="TextoNormal"/>
      </w:pPr>
    </w:p>
    <w:p w:rsidR="0026452D" w:rsidRDefault="0026452D" w:rsidP="0026452D">
      <w:pPr>
        <w:pStyle w:val="TextoNormal"/>
      </w:pPr>
      <w:r w:rsidRPr="0026452D">
        <w:rPr>
          <w:rStyle w:val="NumeroAFNegritaCaracter"/>
        </w:rPr>
        <w:t>4</w:t>
      </w:r>
      <w:r>
        <w:t>. El Pleno del Tribunal Constitucional, en fecha de 4 de junio de 2002, dispuso tener por personado al Senado en el recurso de inconstitucionalidad núm. 1671-2002, así como en los demás identificados en su escrito y acceder a la suspensión del plazo de alegaciones hasta que resolviera sobre la acumulación de los recursos de inconstitucionalidad presentados contra la Ley Orgánica de universidades (art. 83 LOTC). Por último se decidió conferir un plazo de diez días al resto de recurrentes y partes personadas para que alegaran sobre la acumulación solicitada, y llevar testimonio del escrito y de la resolución del Pleno al resto de recursos de inconstitucionalidad presentados.</w:t>
      </w:r>
    </w:p>
    <w:p w:rsidR="0026452D" w:rsidRDefault="0026452D" w:rsidP="0026452D">
      <w:pPr>
        <w:pStyle w:val="TextoNormal"/>
      </w:pPr>
    </w:p>
    <w:p w:rsidR="0026452D" w:rsidRDefault="0026452D" w:rsidP="0026452D">
      <w:pPr>
        <w:pStyle w:val="TextoNormal"/>
      </w:pPr>
      <w:r w:rsidRPr="0026452D">
        <w:rPr>
          <w:rStyle w:val="NumeroAFNegritaCaracter"/>
        </w:rPr>
        <w:t>5</w:t>
      </w:r>
      <w:r>
        <w:t>. Mediante escrito registrado ante el Tribunal el 4 de junio de 2002, el Abogado del Estado, en la representación que legalmente ostenta, formula sus alegaciones frente al recurso de inconstitucionalidad planteado por el Consejo de Gobierno de la Junta de Andalucía. Las alegaciones se articulan en dos apartados, refiriéndose el primero al alcance constitucional de la autonomía universitaria y al régimen del reparto de competencias en la materia, y el segundo al examen de las impugnaciones relativas a cada uno de los preceptos objeto del recurso de inconstitucionalidad.</w:t>
      </w:r>
    </w:p>
    <w:p w:rsidR="0026452D" w:rsidRDefault="0026452D" w:rsidP="0026452D">
      <w:pPr>
        <w:pStyle w:val="TextoNormal"/>
      </w:pPr>
    </w:p>
    <w:p w:rsidR="0026452D" w:rsidRDefault="0026452D" w:rsidP="0026452D">
      <w:pPr>
        <w:pStyle w:val="TextoNormal"/>
      </w:pPr>
      <w:r>
        <w:t xml:space="preserve">a) En relación con la autonomía universitaria, tal y como se resumía en el antecedente 6 de la STC 223/2012, de 29 de noviembre, a cuya lectura se hace completa remisión, el Abogado del Estado afirma que su conformación como derecho fundamental no impide la potestad del legislador para regular la organización de las universidades, siempre y cuando se respete su contenido esencial. Y por lo que hace al examen del reparto de competencias entre el Estado y las Comunidades Autónomas en la materia, se dice que en el caso que nos ocupa existe una triple dimensión competencial: la universitaria, en razón de su autonomía </w:t>
      </w:r>
      <w:r>
        <w:lastRenderedPageBreak/>
        <w:t>(art. 27.10 CE), la de la Comunidad Autónoma andaluza, en virtud del art. 19.1 de su Estatuto de Autonomía (Ley Orgánica 6/1981, de 30 de diciembre), y la del propio Estado vinculada al art. 149.1 apartados 1 y 30 CE. Así, en materia de educación superior, tiene lugar un particular reparto de competencias que deriva de la conjunción de la autonomía universitaria y de las Comunidades Autónomas, resultando que el núcleo fundamental del reparto de poderes tiene como partícipes al Estado y a la propia universidad, pudiendo afirmarse que las competencias de desarrollo legislativo que en la materia ostentan las Comunidades Autónomas no pueden tener la entidad que en otros supuestos, como sería el de educación y enseñanzas no universitarias (véase el antecedente 6 de la STC 223/2012, en la medida en que, en este punto el escrito de alegaciones del Abogado del Estado en respuesta a los distintos recursos de inconstitucionalidad planteados contra la LOU es sustancialmente coincidente).</w:t>
      </w:r>
    </w:p>
    <w:p w:rsidR="0026452D" w:rsidRDefault="0026452D" w:rsidP="0026452D">
      <w:pPr>
        <w:pStyle w:val="TextoNormal"/>
      </w:pPr>
    </w:p>
    <w:p w:rsidR="0026452D" w:rsidRDefault="0026452D" w:rsidP="0026452D">
      <w:pPr>
        <w:pStyle w:val="TextoNormal"/>
      </w:pPr>
      <w:r>
        <w:t>b) Pasando al examen de los preceptos impugnados, y deteniéndose en primer término en las alegaciones relativas a la inconstitucionalidad del art. 4.3 CE, el Abogado del Estado afirma que la LOU regula las condiciones o requisitos generales para la creación o reconocimiento de universidades, como se desprende de la lectura, entre otros, de los arts. 1, 2, 4.3, 5.2, 6.5, 7 a 11, 12.1, 13 a 26, 27.2, 47 a 71 y 72 LOU. Se entiende, por tanto, que todo este conjunto de disposiciones determinan indudablemente, en diversos aspectos y con bastante detalle, múltiples condiciones para la existencia y funcionamiento de las universidades y para el ejercicio de la autonomía que la Constitución les reconoce, cubriendo sobradamente las exigencias de la reserva de ley establecida a este respecto en los arts. 53.1 y 81.1 CE, en relación con el art. 27.10 CE, pero también con los apartados 5, 6 y 1 b) y c) del mismo art. 27 CE.</w:t>
      </w:r>
    </w:p>
    <w:p w:rsidR="0026452D" w:rsidRDefault="0026452D" w:rsidP="0026452D">
      <w:pPr>
        <w:pStyle w:val="TextoNormal"/>
      </w:pPr>
    </w:p>
    <w:p w:rsidR="0026452D" w:rsidRDefault="0026452D" w:rsidP="0026452D">
      <w:pPr>
        <w:pStyle w:val="TextoNormal"/>
      </w:pPr>
      <w:r>
        <w:t>La Abogacía del Estado tampoco reconoce que la llamada al reglamento contenida en el art. 4.3 LOU contradiga la doctrina sobre la colaboración del reglamento con la ley que satisface una reserva constitucional (con cita, entre otras, de la STC 83/1984). Insiste el Abogado del Estado en que no cabe interpretar el número 3 del art. 4 LOU fuera del contexto del propio precepto y desconectándolo de los arts.1 y 2 de la propia LOU, porque esa interpretación aislada, fragmentada y literal no es correcta. El reglamento puede entrar a complementar a la ley, incluso a la ley orgánica, siempre que disponga de habilitación o remisión legal suficiente y expresa, como es aquí el caso, siendo el reglamento un complemento de la ordenación material contenida en la ley en aquellos aspectos en que pueda requerirse una apreciación técnica o la inclusión de circunstancias concretas variables que convenga separar de la regulación abstracta de la propia ley.</w:t>
      </w:r>
    </w:p>
    <w:p w:rsidR="0026452D" w:rsidRDefault="0026452D" w:rsidP="0026452D">
      <w:pPr>
        <w:pStyle w:val="TextoNormal"/>
      </w:pPr>
    </w:p>
    <w:p w:rsidR="0026452D" w:rsidRDefault="0026452D" w:rsidP="0026452D">
      <w:pPr>
        <w:pStyle w:val="TextoNormal"/>
      </w:pPr>
      <w:r>
        <w:t>Junto a lo anterior, el escrito de alegaciones responde a la consideración de que el art. 4.3 LOU no garantiza el espacio competencial que corresponde a las Comunidades Autónomas, afirmando que el escrito de interposición del recurso no indica precepto alguno del Estatutos de Autonomía que puedan entenderse lesionados, ni señala las competencias que podrían estimarse desconocidas, no proporcionando por tanto razón alguna de su inconstitucionalidad por esta supuesta lesión competencial autonómica.</w:t>
      </w:r>
    </w:p>
    <w:p w:rsidR="0026452D" w:rsidRDefault="0026452D" w:rsidP="0026452D">
      <w:pPr>
        <w:pStyle w:val="TextoNormal"/>
      </w:pPr>
    </w:p>
    <w:p w:rsidR="0026452D" w:rsidRDefault="0026452D" w:rsidP="0026452D">
      <w:pPr>
        <w:pStyle w:val="TextoNormal"/>
      </w:pPr>
      <w:r>
        <w:t xml:space="preserve">c) El examen de las impugnaciones relativas al art. 11.1 y 46.3 LOU se realiza de manera conjunta, partiendo los argumentos del Abogado del Estado de un exhaustivo análisis del consejo social como órgano colegiado de necesaria presencia en las universidades, de su </w:t>
      </w:r>
      <w:r>
        <w:lastRenderedPageBreak/>
        <w:t>composición y competencias (arts. 13 y 14 LOU, entre otros), que son siempre “no académicas”. A partir de esta constatación se analiza el contenido del art. 11.1 LOU, para concluir que la adscripción mediante convenio a una universidad pública de centros de enseñanza universitaria a que se refiere no constituye una función estrictamente académica, comportando una adscripción de este tipo toda una serie de consecuencias económicas y organizativas que no se pueden encuadrar en el ámbito de lo “estrictamente académico” y que requieren de la intervención del consejo social.</w:t>
      </w:r>
    </w:p>
    <w:p w:rsidR="0026452D" w:rsidRDefault="0026452D" w:rsidP="0026452D">
      <w:pPr>
        <w:pStyle w:val="TextoNormal"/>
      </w:pPr>
    </w:p>
    <w:p w:rsidR="0026452D" w:rsidRDefault="0026452D" w:rsidP="0026452D">
      <w:pPr>
        <w:pStyle w:val="TextoNormal"/>
      </w:pPr>
      <w:r>
        <w:t>Por lo que hace al art. 46.3 LOU, el Abogado del Estado entiende que este se refiere tanto a cuestiones estrictamente académicas (“procedimientos de verificación de los conocimientos”) como a cuestiones que no lo son (“normas que regulen el progreso y permanencia en la Universidad”). Allí donde la toma de decisiones exige tener en cuenta factores de índole económica, de oferta de plazas, etc., se desborda, a juicio de la Abogacía del Estado, lo académico en sentido estricto, y se justifica la intervención del consejo social. Se suma a este argumento el que desdice que la mera posibilidad de soluciones divergentes respecto de la continuidad de los alumnos en la universidad, entre una universidad y otra, vulnere los arts. 149.1.1 CE en relación con los arts. 14 y 27.1 CE, vulneración que sólo se daría si las normas de permanencia establecidas no fueran razonables.</w:t>
      </w:r>
    </w:p>
    <w:p w:rsidR="0026452D" w:rsidRDefault="0026452D" w:rsidP="0026452D">
      <w:pPr>
        <w:pStyle w:val="TextoNormal"/>
      </w:pPr>
    </w:p>
    <w:p w:rsidR="0026452D" w:rsidRDefault="0026452D" w:rsidP="0026452D">
      <w:pPr>
        <w:pStyle w:val="TextoNormal"/>
      </w:pPr>
      <w:r>
        <w:t xml:space="preserve">d) Respecto de la impugnación del art. 15.2 LOU, el Abogado del Estado reproduce las alegaciones contenidas en el escrito relativo al recurso de inconstitucionalidad núm. 1671-2002, y que se reproducen </w:t>
      </w:r>
      <w:r w:rsidRPr="0026452D">
        <w:rPr>
          <w:i/>
        </w:rPr>
        <w:t>in extenso</w:t>
      </w:r>
      <w:r>
        <w:t xml:space="preserve"> en el antecedente 6 d) de la STC 233/2012, a cuya lectura se hace remisión. En síntesis la Abogacía del Estado afirma que la regulación prevista para el consejo de gobierno de las universidades en la LOU no rebasa ni desconoce la autonomía universitaria ni vulnera su contenido esencial; que la presencia en el consejo de gobierno de una representación del consejo social no implica tampoco desconocimiento de esa autonomía en la medida en que esa representación es minoritaria respecto de la de los restantes miembros del consejo de gobierno pertenecientes a la comunidad universitaria, y que la presencia minoritaria referida que supone la representación en la universidad de los intereses de la sociedad, puede permitir que se conjugue el respeto a la autonomía universitaria con las exigencias que para ésta se derivan del servicio público y el servicio a la sociedad que la universidad ha de cumplir.</w:t>
      </w:r>
    </w:p>
    <w:p w:rsidR="0026452D" w:rsidRDefault="0026452D" w:rsidP="0026452D">
      <w:pPr>
        <w:pStyle w:val="TextoNormal"/>
      </w:pPr>
    </w:p>
    <w:p w:rsidR="0026452D" w:rsidRDefault="0026452D" w:rsidP="0026452D">
      <w:pPr>
        <w:pStyle w:val="TextoNormal"/>
      </w:pPr>
      <w:r>
        <w:t>e) El art. 23.2 LOU, relativo al nombramiento del gerente de la universidad, interpretado por el recurrente como una exigencia de acuerdo de voluntades entre el rector y el consejo social para hacer efectivo el nombramiento, es entendido por la Abogacía del Estado en sentido menos restrictivo. Así, se afirma que la forma de nombramiento del gerente no restringe la autoridad del rector de la universidad, a quien corresponde en exclusiva la capacidad de propuesta de nombramiento, puesto que el consejo solo tiene una capacidad de “resistencia” a la propuesta que hace el rector, miembro, por lo demás del propio consejo social (art. 14.3 LOU), quedando justificada esa capacidad por las funciones atribuidas al cargo de gerente, de modo que la atribución impugnada se encuentra claramente inscrita dentro de la genérica capacidad de intervención del consejo social en la supervisión de las actividades económicas de la universidad.</w:t>
      </w:r>
    </w:p>
    <w:p w:rsidR="0026452D" w:rsidRDefault="0026452D" w:rsidP="0026452D">
      <w:pPr>
        <w:pStyle w:val="TextoNormal"/>
      </w:pPr>
    </w:p>
    <w:p w:rsidR="0026452D" w:rsidRDefault="0026452D" w:rsidP="0026452D">
      <w:pPr>
        <w:pStyle w:val="TextoNormal"/>
      </w:pPr>
      <w:r>
        <w:t xml:space="preserve">f) Por lo que hace al art. 32 LOU referido a la Agencia Nacional de Evaluación de la Calidad y Acreditación e impugnado por inobservancia del principio de reserva de ley, el </w:t>
      </w:r>
      <w:r>
        <w:lastRenderedPageBreak/>
        <w:t>Abogado del Estado entiende que el escrito de interposición del recurso confunde la regulación de la autonomía universitaria con lo que sólo es regulación conformadora de un órgano de la Administración General del Estado que ha de ejercer una serie de funciones contenidas en el art. 31 LOU y vinculadas a la evaluación y acreditación de la calidad de las universidades o de su personal. El hecho de que esta actividad evaluadora y acreditadora pueda repercutir en las universidades y, por ende, en la autonomía universitaria no significa que la regulación de aquella suponga regulación de los derechos y libertades del personal académico, o de la autonomía universitaria. Por lo demás la lectura del art. 31.2 a) LOU y preceptos conexos pone de relieve que los efectos jurídicos de las evaluaciones y acreditaciones de la nueva Agencia tienen un alcance limitado y claramente determinado en la propia Ley Orgánica, así como que la Ley no atribuye a la  Agencia Nacional de Evaluación de la Calidad y Acreditación en régimen de monopolio las funciones de evaluación y acreditación, sino que el art. 31.3 LOU y concordantes reconocen también la posibilidad de que existan órganos de evaluación autonómicos, que actúen en el ámbito de las competencias autonómicas.</w:t>
      </w:r>
    </w:p>
    <w:p w:rsidR="0026452D" w:rsidRDefault="0026452D" w:rsidP="0026452D">
      <w:pPr>
        <w:pStyle w:val="TextoNormal"/>
      </w:pPr>
    </w:p>
    <w:p w:rsidR="0026452D" w:rsidRDefault="0026452D" w:rsidP="0026452D">
      <w:pPr>
        <w:pStyle w:val="TextoNormal"/>
      </w:pPr>
      <w:r>
        <w:t>Por otra parte se insiste en el hecho de que no hay nada en la Constitución que obligue a entender que existe reserva de ley respecto de la regulación de la composición y actuación de la Agencia, a lo que se añade que la necesidad de que el Gobierno deba contar, para acometer esta regulación, con el informe previo del Consejo de Coordinación Universitaria, formado por representantes de las universidades y de las Comunidades Autónomas, constituye una garantía de que la reglamentación de la Agencia Nacional de Evaluación de la Calidad y Acreditación recogerá suficientemente la garantía de su efectiva independencia valorativa y de su objetividad.</w:t>
      </w:r>
    </w:p>
    <w:p w:rsidR="0026452D" w:rsidRDefault="0026452D" w:rsidP="0026452D">
      <w:pPr>
        <w:pStyle w:val="TextoNormal"/>
      </w:pPr>
    </w:p>
    <w:p w:rsidR="0026452D" w:rsidRDefault="0026452D" w:rsidP="0026452D">
      <w:pPr>
        <w:pStyle w:val="TextoNormal"/>
      </w:pPr>
      <w:r>
        <w:t>g) En el escrito de interposición del recurso se afirmaba que la regulación contenida en el art. 35.6 LOU consentía apreciar una “remisión al Reglamento que permite la regulación íntegra por el gobierno sin sometimiento a unos criterios legalmente predeterminados”. A juicio del Abogado del Estado el precepto impugnado pone de manifiesto el ejercicio de la competencia estatal sobre homologación de títulos contenida en el art. 149.1.30 CE. Dicho precepto no contiene una remisión en blanco al reglamento, pues vincula expresamente los criterios para la suspensión o revocación de los títulos al incumplimiento de los requisitos o de las directrices generales de los planes de estudios conducentes a la obtención de los títulos universitarios que tengan carácter oficial y validez en todo el territorio nacional. En esta materia tan técnica no es posible exigir a la LOU una mayor concreción en su propio texto. La misma posibilidad de revocación, en los términos en que se plantea en la Ley Orgánica hace que no resulte vulnerado el principio de seguridad jurídica y su propia existencia es requisito para que el estado pueda ejercer verdaderamente sus competencias constitucionales sobre homologación de títulos.</w:t>
      </w:r>
    </w:p>
    <w:p w:rsidR="0026452D" w:rsidRDefault="0026452D" w:rsidP="0026452D">
      <w:pPr>
        <w:pStyle w:val="TextoNormal"/>
      </w:pPr>
    </w:p>
    <w:p w:rsidR="0026452D" w:rsidRDefault="0026452D" w:rsidP="0026452D">
      <w:pPr>
        <w:pStyle w:val="TextoNormal"/>
      </w:pPr>
      <w:r>
        <w:t>h) Por último, el Abogado del Estado responde a los argumentos que sostienen la impugnación del art. 51 LOU, relativo a la categoría de profesores colaboradores, reproduciendo los argumentos empleados al efecto en el escrito de alegaciones al recurso de inconstitucionalidad núm. 1671-2002, recogidas en el antecedente 6 h) de la STC 223/2012, a cuya lectura se hace completa remisión.</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En uso del plazo concedido mediante providencia de 4 de junio, a la que se ha hecho referencia en el antecedente 3, tuvieron entrada en el Registro General de este Tribunal los </w:t>
      </w:r>
      <w:r>
        <w:lastRenderedPageBreak/>
        <w:t>escritos de alegaciones de todas las partes personadas en los recursos de inconstitucionalidad planteados contra la Ley Orgánica 6/2001, no mostrándose oposición, en ninguno de ellos, a la acumulación solicitada por la representación del Senado. En este sentido se pronuncian los escritos de alegaciones de 20 de junio de 2002, de la Abogada del Estado; de 27 de junio de 2002, de la Letrada de la Junta de Andalucía; de 1 de julio de 2002, del Letrado de la Junta de Comunidades de Castilla-La Mancha; de 2 de julio de 2002, del Letrado de la Asamblea de Extremadura; de 2 de julio de 2002, del Letrado jefe del Departamento jurídico de la Comunidad Autónoma de las Illes Balears; de 2 de julio de 2002, de la Letrada de las Cortes de Aragón; de 4 de julio de 2002, del Presidente del Parlamento de Andalucía; y de 5 de julio de 2002, de la Letrada del Parlamento de Navarra.</w:t>
      </w:r>
    </w:p>
    <w:p w:rsidR="0026452D" w:rsidRDefault="0026452D" w:rsidP="0026452D">
      <w:pPr>
        <w:pStyle w:val="TextoNormal"/>
      </w:pPr>
    </w:p>
    <w:p w:rsidR="0026452D" w:rsidRDefault="0026452D" w:rsidP="0026452D">
      <w:pPr>
        <w:pStyle w:val="TextoNormal"/>
      </w:pPr>
      <w:r w:rsidRPr="0026452D">
        <w:rPr>
          <w:rStyle w:val="NumeroAFNegritaCaracter"/>
        </w:rPr>
        <w:t>7</w:t>
      </w:r>
      <w:r>
        <w:t>. Mediante ATC 216/2002, de 29 de octubre, se dispuso la no acumulación de los recursos planteados contra la Ley Orgánica 6/2001, de universidades, al no ser “totalmente coincidentes los preceptos concretamente impugnados de la Ley en cada uno de los recursos, siendo, además, sólo parciales las analogías advertidas en las fundamentaciones contenidas en las respectivas demandas”, lo que, añadido a la “excesiva complejidad que necesariamente habría de tener la sentencia única, dado el elevado número de recursos presentados y la diversidad aludida en los preceptos de la Ley cuestionados” (ATC 216/2002, FJ 2), no justifica la unidad de tramitación y decisión solicitada por la representación del Senado.</w:t>
      </w:r>
    </w:p>
    <w:p w:rsidR="0026452D" w:rsidRDefault="0026452D" w:rsidP="0026452D">
      <w:pPr>
        <w:pStyle w:val="TextoNormal"/>
      </w:pPr>
    </w:p>
    <w:p w:rsidR="0026452D" w:rsidRDefault="0026452D" w:rsidP="0026452D">
      <w:pPr>
        <w:pStyle w:val="TextoNormal"/>
      </w:pPr>
      <w:r w:rsidRPr="0026452D">
        <w:rPr>
          <w:rStyle w:val="NumeroAFNegritaCaracter"/>
        </w:rPr>
        <w:t>8</w:t>
      </w:r>
      <w:r>
        <w:t>. El 14 de noviembre de 2002, el Letrado de las Cortes Generales jefe de la asesoría jurídica del Senado, presentó en el Registro General del Tribunal Constitucional escrito de alegaciones en los términos en que a continuación se resumen.</w:t>
      </w:r>
    </w:p>
    <w:p w:rsidR="0026452D" w:rsidRDefault="0026452D" w:rsidP="0026452D">
      <w:pPr>
        <w:pStyle w:val="TextoNormal"/>
      </w:pPr>
    </w:p>
    <w:p w:rsidR="0026452D" w:rsidRDefault="0026452D" w:rsidP="0026452D">
      <w:pPr>
        <w:pStyle w:val="TextoNormal"/>
      </w:pPr>
      <w:r>
        <w:t>En primer término se indica que las alegaciones de la Junta de Andalucía tienen una naturaleza heterogénea, dividiéndose sus argumentos entre los que se refieren a la hipotética alteración por parte de la LOU de las reglas derivadas del bloque de la constitucionalidad sobre la distribución de competencias entre el Estado y las Comunidades Autónomas, y los relativos a la lesión por parte de la ley impugnada del derecho a la autonomía universitaria constitucionalmente reconocida.</w:t>
      </w:r>
    </w:p>
    <w:p w:rsidR="0026452D" w:rsidRDefault="0026452D" w:rsidP="0026452D">
      <w:pPr>
        <w:pStyle w:val="TextoNormal"/>
      </w:pPr>
    </w:p>
    <w:p w:rsidR="0026452D" w:rsidRDefault="0026452D" w:rsidP="0026452D">
      <w:pPr>
        <w:pStyle w:val="TextoNormal"/>
      </w:pPr>
      <w:r>
        <w:t>Respecto de los preceptos que se impugnan por razones competenciales, el Letrado del Senado realiza una observación general introductoria, afirmando que la distribución de competencias que aparece en la LOU responde al nuevo papel que corresponde al Estado una vez consumado el traspaso de funciones y servicios a las Comunidades Autónomas en materia de enseñanza universitaria, en la medida en que ha pasado de ser gestor a ser responsable de la cohesión y vertebración del sistema universitario. En respuesta a los argumentos expuestos en el escrito de interposición del recurso de inconstitucionalidad, la representación procesal del Senado afirma que en lugar de hablar de una “posición central”, expresión con la que la Junta de Andalucía se refiere a la situación que ocupan las Comunidades Autónomas en relación con el Estado y con las universidades, habría que aludir a una “posición intermedia”, adoptando el criterio del ámbito territorial de los entes afectados, puesto que la idea de “posición central” introduce un elemento cualitativo inexistente en el sistema de distribución de competencias aquí analizado. Se entiende que el Estado, las Comunidades Autónomas y las universidades cuentan cada uno con sus propias competencias, estando el problema en determinar, caso por caso, a quien corresponde la titularidad de cada una de ellas.</w:t>
      </w:r>
    </w:p>
    <w:p w:rsidR="0026452D" w:rsidRDefault="0026452D" w:rsidP="0026452D">
      <w:pPr>
        <w:pStyle w:val="TextoNormal"/>
      </w:pPr>
    </w:p>
    <w:p w:rsidR="0026452D" w:rsidRDefault="0026452D" w:rsidP="0026452D">
      <w:pPr>
        <w:pStyle w:val="TextoNormal"/>
      </w:pPr>
      <w:r>
        <w:lastRenderedPageBreak/>
        <w:t>En lo relativo a los preceptos impugnados por supuesta vulneración del art. 27.10 CE, el Letrado de las Cortes Generales entiende que el alcance de este derecho debe respetar la “estructura peculiar” que le impone la presencia de tres sujetos titulares de competencias en materia educativa, las universidades, el Estado y las Comunidades Autónomas, porque no es razonable interpretar extensivamente la autonomía universitaria cuando se quiere con ello limitar las competencias del Estado y restringirla, en cambio, cuando se trata de defender competencias de las Comunidades Autónomas. A este argumento se añade el relativo a que una comparación entre la LOU y la Ley Orgánica 11/1983, de 25 de agosto, de reforma universitaria refleja que las universidades incrementan sus competencias con la nueva regulación.</w:t>
      </w:r>
    </w:p>
    <w:p w:rsidR="0026452D" w:rsidRDefault="0026452D" w:rsidP="0026452D">
      <w:pPr>
        <w:pStyle w:val="TextoNormal"/>
      </w:pPr>
    </w:p>
    <w:p w:rsidR="0026452D" w:rsidRDefault="0026452D" w:rsidP="0026452D">
      <w:pPr>
        <w:pStyle w:val="TextoNormal"/>
      </w:pPr>
      <w:r>
        <w:t>A continuación procede a examinar los distintos preceptos impugnados.</w:t>
      </w:r>
    </w:p>
    <w:p w:rsidR="0026452D" w:rsidRDefault="0026452D" w:rsidP="0026452D">
      <w:pPr>
        <w:pStyle w:val="TextoNormal"/>
      </w:pPr>
    </w:p>
    <w:p w:rsidR="0026452D" w:rsidRDefault="0026452D" w:rsidP="0026452D">
      <w:pPr>
        <w:pStyle w:val="TextoNormal"/>
      </w:pPr>
      <w:r>
        <w:t>a) La representación procesal del Senado, entiende que los defectos que se vinculan a la delegación normativa prevista en el art. 4.3 LOU no pueden ser considerados como vicios de inconstitucionalidad. Partiendo de la base de que el principio de reserva de ley no excluye la posibilidad de que las leyes contengan remisiones a normas reglamentarias (con cita de las SSTC 83/1984, y 178/1989) siempre y cuando la ley determine, en sentido amplio, el contenido del reglamento, se analiza en el escrito de alegaciones que la remisión de la Ley Orgánica 6/2001 a la potestad reglamentaria del Gobierno es perfectamente lícita, y no implica una degradación del principio de reserva de ley porque contiene el núcleo esencial de la regulación de la materia, enunciando los criterios que debe utilizar necesariamente el Gobierno, a través de un “marco sistemático de remisión” que exige no sólo observar lo dispuesto en el art. 4.3 LOU sino también lo contenido en el art. 1.2 LOU al que aquel se remite, y cuya lectura ilustra sobre el parámetro al que debe sujetarse la potestad reglamentaria del Gobierno.</w:t>
      </w:r>
    </w:p>
    <w:p w:rsidR="0026452D" w:rsidRDefault="0026452D" w:rsidP="0026452D">
      <w:pPr>
        <w:pStyle w:val="TextoNormal"/>
      </w:pPr>
    </w:p>
    <w:p w:rsidR="0026452D" w:rsidRDefault="0026452D" w:rsidP="0026452D">
      <w:pPr>
        <w:pStyle w:val="TextoNormal"/>
      </w:pPr>
      <w:r>
        <w:t>A lo dicho añade la representación procesal del Senado que, en ningún caso, existe invasión de las competencias autonómicas a causa de la intervención del Ejecutivo. En su caso una vez el Gobierno dicte el reglamento, si se entiende que el mismo extiende su regulación más allá de la habilitación legal o en aspectos no básicos, las Comunidades Autónomas podrán plantear conflictos de competencias.</w:t>
      </w:r>
    </w:p>
    <w:p w:rsidR="0026452D" w:rsidRDefault="0026452D" w:rsidP="0026452D">
      <w:pPr>
        <w:pStyle w:val="TextoNormal"/>
      </w:pPr>
    </w:p>
    <w:p w:rsidR="0026452D" w:rsidRDefault="0026452D" w:rsidP="0026452D">
      <w:pPr>
        <w:pStyle w:val="TextoNormal"/>
      </w:pPr>
      <w:r>
        <w:t>b) Respecto de la impugnación de los arts. 11.1, 15.2 y 46.3 LOU por entender que los mismos vulneran la autonomía universitaria al otorgar determinadas competencias al consejo social y disponer la presencia de miembros del mismo en el consejo de gobierno de las universidades, el Letrado entiende que carece de todo fundamento. En primer término porque la autonomía universitaria es un derecho de configuración legal, por lo que el legislador la regulará de la manera que estime más conveniente dentro del marco de la Constitución y del respeto a su contenido esencial, y en segunda instancia porque la participación que la Ley Orgánica reserva al consejo social en el consejo de gobierno de la universidad es minoritaria, quedando las decisiones académicas en manos de la mayoría de personas que lo integran y que se vinculan al ámbito académico, y siendo esa presencia del consejo económico y social una fórmula legítima para canalizar la participación social en el gobierno de las universidades.</w:t>
      </w:r>
    </w:p>
    <w:p w:rsidR="0026452D" w:rsidRDefault="0026452D" w:rsidP="0026452D">
      <w:pPr>
        <w:pStyle w:val="TextoNormal"/>
      </w:pPr>
    </w:p>
    <w:p w:rsidR="0026452D" w:rsidRDefault="0026452D" w:rsidP="0026452D">
      <w:pPr>
        <w:pStyle w:val="TextoNormal"/>
      </w:pPr>
      <w:r>
        <w:lastRenderedPageBreak/>
        <w:t>c) Por lo que hace a la impugnación del art. 23 LOU entiende el Letrado de las Cortes Generales que la parte recurrente no aporta argumentos sustancialmente distintos a los planteados respecto de la impugnación de los arts. 11.1, 15.2 y 46.3 LOU, por lo se remite a sus anteriores alegaciones añadiendo únicamente que, en este caso concreto, es más notoria la coherencia del legislador al atribuir competencias al consejo social para la designación de una figura, el gerente, cuyas atribuciones son las de “gestión de los servicios administrativos y económicos de la Universidad” y que no podrá ejercer funciones docentes (art. 23 LOU).</w:t>
      </w:r>
    </w:p>
    <w:p w:rsidR="0026452D" w:rsidRDefault="0026452D" w:rsidP="0026452D">
      <w:pPr>
        <w:pStyle w:val="TextoNormal"/>
      </w:pPr>
    </w:p>
    <w:p w:rsidR="0026452D" w:rsidRDefault="0026452D" w:rsidP="0026452D">
      <w:pPr>
        <w:pStyle w:val="TextoNormal"/>
      </w:pPr>
      <w:r>
        <w:t>d) La impugnación del art. 32 LOU también es rechazada por el representante del Senado, remitiendo a los argumentos empleados para descartar la impugnación del art. 4.3 LOU, puesto que el reproche en este caso también se refería a la articulación de las relaciones entre ley y reglamento. Se añade además que, en este caso concreto, nos movemos en el ámbito de la organización administrativa en el cual la potestad reglamentaria encuentra su ámbito más característico de actuación. Corresponde por tanto al Gobierno determinar los aspectos organizativos y estructurales de la Agencia Nacional de Evaluación.</w:t>
      </w:r>
    </w:p>
    <w:p w:rsidR="0026452D" w:rsidRDefault="0026452D" w:rsidP="0026452D">
      <w:pPr>
        <w:pStyle w:val="TextoNormal"/>
      </w:pPr>
    </w:p>
    <w:p w:rsidR="0026452D" w:rsidRDefault="0026452D" w:rsidP="0026452D">
      <w:pPr>
        <w:pStyle w:val="TextoNormal"/>
      </w:pPr>
      <w:r>
        <w:t>e) En quinto término el escrito de alegaciones de la representación procesal del Senado se refiere a la impugnación del art. 35.6 LOU, afirmando que el escrito de interposición del recurso se limita a argumentar muy brevemente acerca de este precepto, y a remitirse a lo ya dicho en fundamentos anteriores, por lo que esta representación procesal hace lo propio, añadiendo únicamente que, en este caso concreto, el marco sistemático de la remisión se contiene en el resto de los apartados del propio art. 35 LOU. Respecto de la invocación del art. 9.3 CE, se recuerda que la jurisprudencia del Tribunal Constitucional (con cita de la STC 14/1998) indica que la seguridad jurídica no queda dañada por el hecho de que la ley se remita a otros instrumentos normativos que concreten su regulación general.</w:t>
      </w:r>
    </w:p>
    <w:p w:rsidR="0026452D" w:rsidRDefault="0026452D" w:rsidP="0026452D">
      <w:pPr>
        <w:pStyle w:val="TextoNormal"/>
      </w:pPr>
    </w:p>
    <w:p w:rsidR="0026452D" w:rsidRDefault="0026452D" w:rsidP="0026452D">
      <w:pPr>
        <w:pStyle w:val="TextoNormal"/>
      </w:pPr>
      <w:r>
        <w:t>f) Por último, y en referencia al art. 51 LOU, el Letrado de las Cortes Generales niega que la disposición impugnada lesione la autonomía universitaria. Si bien se reconoce que la LOU marca un cambio de orientación en cuanto a la estructura del profesorado universitario que tiene su amparo constitucional en los arts. 27 y 149.1, 18 y 30 CE, se entiende que estos mismos preceptos constitucionales legitiman las fórmulas de acceso del profesorado en lo que respecta a los profesores colaboradores (art. 51 LOU). Entiende la representación procesal del Senado que la regulación contenida en la LOU no limita las facultades del personal docente y de investigación hasta el punto de impedir la libertad académica, entendida como núcleo de la autonomía universitaria, asegurando, en cambio el derecho de acceso de los ciudadanos a los puestos de trabajo en condiciones de igualdad. Además se añade que las previsiones normativas exigen que las decisiones del Gobierno en la materia cuenten con el preceptivo informe del Consejo de Coordinación Universitaria, de la Agencia Nacional de Evaluación de la Calidad y Acreditación u órgano de evaluación externa análogo de las correspondiente Comunidad Autónoma, según los casos.</w:t>
      </w:r>
    </w:p>
    <w:p w:rsidR="0026452D" w:rsidRDefault="0026452D" w:rsidP="0026452D">
      <w:pPr>
        <w:pStyle w:val="TextoNormal"/>
      </w:pPr>
    </w:p>
    <w:p w:rsidR="0026452D" w:rsidRDefault="0026452D" w:rsidP="0026452D">
      <w:pPr>
        <w:pStyle w:val="TextoNormal"/>
      </w:pPr>
      <w:r w:rsidRPr="0026452D">
        <w:rPr>
          <w:rStyle w:val="NumeroAFNegritaCaracter"/>
        </w:rPr>
        <w:t>9</w:t>
      </w:r>
      <w:r>
        <w:t>. Por providencia de 4 de junio de 2013 se señaló para la deliberación y votación de la presente Sentencia el día 6 del mismo mes y año.</w:t>
      </w:r>
    </w:p>
    <w:p w:rsidR="0026452D" w:rsidRDefault="0026452D" w:rsidP="0026452D">
      <w:pPr>
        <w:pStyle w:val="TextoNormal"/>
      </w:pPr>
    </w:p>
    <w:p w:rsidR="0026452D" w:rsidRDefault="0026452D" w:rsidP="0026452D">
      <w:pPr>
        <w:pStyle w:val="TextoNormalNegritaCentrado"/>
        <w:keepNext/>
      </w:pPr>
      <w:r>
        <w:lastRenderedPageBreak/>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Constituyen el objeto del presente recurso de inconstitucionalidad el art. 4.3 de la Ley Orgánica 6/2001, de 21 de diciembre, de universidades (LOU), por vulnerar el art. 149.1.30 CE en relación con los arts. 27 y 53.1 CE; los arts. 11.1, 15.2, 23, 46.3 y 51 LOU por vulnerar el art. 27.10 CE; el art. 32 LOU por vulnerar el art. 27.10 CE en relación con los arts. 53.1 y 81.1 CE; y el art. 35.6 LOU por vulnerar los arts. 9.3, 27.1 y 53.1 todos ellos de la Constitución.</w:t>
      </w:r>
    </w:p>
    <w:p w:rsidR="0026452D" w:rsidRDefault="0026452D" w:rsidP="0026452D">
      <w:pPr>
        <w:pStyle w:val="TextoNormal"/>
      </w:pPr>
    </w:p>
    <w:p w:rsidR="0026452D" w:rsidRDefault="0026452D" w:rsidP="0026452D">
      <w:pPr>
        <w:pStyle w:val="TextoNormal"/>
      </w:pPr>
      <w:r w:rsidRPr="0026452D">
        <w:rPr>
          <w:rStyle w:val="NumeroAFNegritaCaracter"/>
        </w:rPr>
        <w:t>2</w:t>
      </w:r>
      <w:r>
        <w:t>. Este recurso de inconstitucionalidad pertenece a una serie, integrada por siete recursos de inconstitucionalidad, planteados por distintos legitimados contra diversos preceptos de la Ley Orgánica 6/2001, de 21 de diciembre, de universidades. Se trata de los recursos de inconstitucionalidad núm. 1671-2002, interpuesto por el Presidente del Parlamento de Andalucía y resuelto mediante la STC 223/2012, de 29 de noviembre; 1725-2002, interpuesto por más de cincuenta Diputados de los Grupos Parlamentarios Socialista, Federal de Izquierda Unida y Mixto, resuelto mediante la STC 131/2013, de 5 de junio; 1735-2002, interpuesto por el Parlamento de Navarra; 1756-2002, interpuesto por las Cortes de Aragón; 1762-2002 interpuesto por el Consejo de Gobierno de las Illes Balears; 1777-2002, interpuesto por la Asamblea de Extremadura; y 1788-2002, interpuesto por el Consejo de Gobierno de la Junta de Comunidades de Castilla-La Mancha.</w:t>
      </w:r>
    </w:p>
    <w:p w:rsidR="0026452D" w:rsidRDefault="0026452D" w:rsidP="0026452D">
      <w:pPr>
        <w:pStyle w:val="TextoNormal"/>
      </w:pPr>
    </w:p>
    <w:p w:rsidR="0026452D" w:rsidRDefault="0026452D" w:rsidP="0026452D">
      <w:pPr>
        <w:pStyle w:val="TextoNormal"/>
      </w:pPr>
      <w:r w:rsidRPr="0026452D">
        <w:rPr>
          <w:rStyle w:val="NumeroAFNegritaCaracter"/>
        </w:rPr>
        <w:t>3</w:t>
      </w:r>
      <w:r>
        <w:t>. Con anterioridad al análisis de cada uno de los preceptos impugnados es preciso recordar dos cuestiones relevantes para la resolución del presente recurso de inconstitucionalidad.</w:t>
      </w:r>
    </w:p>
    <w:p w:rsidR="0026452D" w:rsidRDefault="0026452D" w:rsidP="0026452D">
      <w:pPr>
        <w:pStyle w:val="TextoNormal"/>
      </w:pPr>
    </w:p>
    <w:p w:rsidR="0026452D" w:rsidRDefault="0026452D" w:rsidP="0026452D">
      <w:pPr>
        <w:pStyle w:val="TextoNormal"/>
      </w:pPr>
      <w:r>
        <w:t>a) En primer término, el Estatuto de Autonomía de Andalucía (EAAnd) ha recibido nueva redacción, tras la presentación del recurso de inconstitucionalidad, mediante Ley Orgánica 2/2007, de 19 de marzo, de reforma del Estatuto de Autonomía para Andalucía. Así pues, la referencia contenida en el escrito de interposición del recurso de inconstitucionalidad al art. 19.1 correspondiente a la anterior redacción del Estatuto, presentado como parámetro de constitucionalidad de la norma impugnada por el recurrente, ha de ser reconducida por este Tribunal en su razonamiento, tal y como dispone reiterada jurisprudencia (por todas STC 207/2011, de 20 de diciembre, FJ 3), a la mención de los arts. 52 y 53 EAAnd en su redacción actualmente vigente. De estos, el que interesa particularmente al actual recurso de inconstitucional es el 53 EAAnd, que establece la competencia autonómica en materia de universidades en los siguientes términos:</w:t>
      </w:r>
    </w:p>
    <w:p w:rsidR="0026452D" w:rsidRDefault="0026452D" w:rsidP="0026452D">
      <w:pPr>
        <w:pStyle w:val="TextoNormal"/>
      </w:pPr>
    </w:p>
    <w:p w:rsidR="0026452D" w:rsidRDefault="0026452D" w:rsidP="0026452D">
      <w:pPr>
        <w:pStyle w:val="TextoNormal"/>
      </w:pPr>
      <w:r>
        <w:t>“1. Corresponde a la Comunidad Autónoma, en materia de enseñanza universitaria, sin perjuicio de la autonomía universitaria, la competencia exclusiva sobre:</w:t>
      </w:r>
    </w:p>
    <w:p w:rsidR="0026452D" w:rsidRDefault="0026452D" w:rsidP="0026452D">
      <w:pPr>
        <w:pStyle w:val="TextoNormal"/>
      </w:pPr>
    </w:p>
    <w:p w:rsidR="0026452D" w:rsidRDefault="0026452D" w:rsidP="0026452D">
      <w:pPr>
        <w:pStyle w:val="TextoNormal"/>
      </w:pPr>
      <w:r>
        <w:t>a) La programación y la coordinación del sistema universitario andaluz en el marco de la coordinación general.</w:t>
      </w:r>
    </w:p>
    <w:p w:rsidR="0026452D" w:rsidRDefault="0026452D" w:rsidP="0026452D">
      <w:pPr>
        <w:pStyle w:val="TextoNormal"/>
      </w:pPr>
    </w:p>
    <w:p w:rsidR="0026452D" w:rsidRDefault="0026452D" w:rsidP="0026452D">
      <w:pPr>
        <w:pStyle w:val="TextoNormal"/>
      </w:pPr>
      <w:r>
        <w:t>b) La creación de universidades públicas y la autorización de las privadas.</w:t>
      </w:r>
    </w:p>
    <w:p w:rsidR="0026452D" w:rsidRDefault="0026452D" w:rsidP="0026452D">
      <w:pPr>
        <w:pStyle w:val="TextoNormal"/>
      </w:pPr>
    </w:p>
    <w:p w:rsidR="0026452D" w:rsidRDefault="0026452D" w:rsidP="0026452D">
      <w:pPr>
        <w:pStyle w:val="TextoNormal"/>
      </w:pPr>
      <w:r>
        <w:t>c) La aprobación de los estatutos de las universidades públicas y de las normas de organización y funcionamiento de las universidades privadas.</w:t>
      </w:r>
    </w:p>
    <w:p w:rsidR="0026452D" w:rsidRDefault="0026452D" w:rsidP="0026452D">
      <w:pPr>
        <w:pStyle w:val="TextoNormal"/>
      </w:pPr>
    </w:p>
    <w:p w:rsidR="0026452D" w:rsidRDefault="0026452D" w:rsidP="0026452D">
      <w:pPr>
        <w:pStyle w:val="TextoNormal"/>
      </w:pPr>
      <w:r>
        <w:t>d) La coordinación de los procedimientos de acceso a las universidades.</w:t>
      </w:r>
    </w:p>
    <w:p w:rsidR="0026452D" w:rsidRDefault="0026452D" w:rsidP="0026452D">
      <w:pPr>
        <w:pStyle w:val="TextoNormal"/>
      </w:pPr>
    </w:p>
    <w:p w:rsidR="0026452D" w:rsidRDefault="0026452D" w:rsidP="0026452D">
      <w:pPr>
        <w:pStyle w:val="TextoNormal"/>
      </w:pPr>
      <w:r>
        <w:t>e) El marco jurídico de los títulos propios de las universidades.</w:t>
      </w:r>
    </w:p>
    <w:p w:rsidR="0026452D" w:rsidRDefault="0026452D" w:rsidP="0026452D">
      <w:pPr>
        <w:pStyle w:val="TextoNormal"/>
      </w:pPr>
    </w:p>
    <w:p w:rsidR="0026452D" w:rsidRDefault="0026452D" w:rsidP="0026452D">
      <w:pPr>
        <w:pStyle w:val="TextoNormal"/>
      </w:pPr>
      <w:r>
        <w:t>f) La financiación propia de las universidades y, si procede, la gestión de los fondos estatales en materia de enseñanza universitaria.</w:t>
      </w:r>
    </w:p>
    <w:p w:rsidR="0026452D" w:rsidRDefault="0026452D" w:rsidP="0026452D">
      <w:pPr>
        <w:pStyle w:val="TextoNormal"/>
      </w:pPr>
    </w:p>
    <w:p w:rsidR="0026452D" w:rsidRDefault="0026452D" w:rsidP="0026452D">
      <w:pPr>
        <w:pStyle w:val="TextoNormal"/>
      </w:pPr>
      <w:r>
        <w:t>g) La regulación y la gestión del sistema propio de becas y ayudas a la formación universitaria y, si procede, la regulación y la gestión de los fondos estatales en esta materia.</w:t>
      </w:r>
    </w:p>
    <w:p w:rsidR="0026452D" w:rsidRDefault="0026452D" w:rsidP="0026452D">
      <w:pPr>
        <w:pStyle w:val="TextoNormal"/>
      </w:pPr>
    </w:p>
    <w:p w:rsidR="0026452D" w:rsidRDefault="0026452D" w:rsidP="0026452D">
      <w:pPr>
        <w:pStyle w:val="TextoNormal"/>
      </w:pPr>
      <w:r>
        <w:t>h) El régimen retributivo del personal docente e investigador contratado de las universidades públicas y el establecimiento de las retribuciones adicionales del personal docente funcionario.</w:t>
      </w:r>
    </w:p>
    <w:p w:rsidR="0026452D" w:rsidRDefault="0026452D" w:rsidP="0026452D">
      <w:pPr>
        <w:pStyle w:val="TextoNormal"/>
      </w:pPr>
    </w:p>
    <w:p w:rsidR="0026452D" w:rsidRDefault="0026452D" w:rsidP="0026452D">
      <w:pPr>
        <w:pStyle w:val="TextoNormal"/>
      </w:pPr>
      <w:r>
        <w:t>2. Corresponde a la Comunidad Autónoma, en materia de enseñanza universitaria, sin perjuicio de la autonomía universitaria, la competencia compartida sobre todo aquello a que no hace referencia el apartado 1, que incluye en todo caso:</w:t>
      </w:r>
    </w:p>
    <w:p w:rsidR="0026452D" w:rsidRDefault="0026452D" w:rsidP="0026452D">
      <w:pPr>
        <w:pStyle w:val="TextoNormal"/>
      </w:pPr>
    </w:p>
    <w:p w:rsidR="0026452D" w:rsidRDefault="0026452D" w:rsidP="0026452D">
      <w:pPr>
        <w:pStyle w:val="TextoNormal"/>
      </w:pPr>
      <w:r>
        <w:t>a) La regulación de los requisitos para la creación y el reconocimiento de universidades y centros universitarios y la adscripción de estos centros a las universidades.</w:t>
      </w:r>
    </w:p>
    <w:p w:rsidR="0026452D" w:rsidRDefault="0026452D" w:rsidP="0026452D">
      <w:pPr>
        <w:pStyle w:val="TextoNormal"/>
      </w:pPr>
    </w:p>
    <w:p w:rsidR="0026452D" w:rsidRDefault="0026452D" w:rsidP="0026452D">
      <w:pPr>
        <w:pStyle w:val="TextoNormal"/>
      </w:pPr>
      <w:r>
        <w:t>b) El régimen jurídico de la organización y el funcionamiento de las universidades públicas, incluyendo los órganos de gobierno y representación.</w:t>
      </w:r>
    </w:p>
    <w:p w:rsidR="0026452D" w:rsidRDefault="0026452D" w:rsidP="0026452D">
      <w:pPr>
        <w:pStyle w:val="TextoNormal"/>
      </w:pPr>
    </w:p>
    <w:p w:rsidR="0026452D" w:rsidRDefault="0026452D" w:rsidP="0026452D">
      <w:pPr>
        <w:pStyle w:val="TextoNormal"/>
      </w:pPr>
      <w:r>
        <w:t>c) La adscripción de centros docentes públicos o privados para impartir títulos universitarios oficiales y la creación, la modificación y la supresión de centros universitarios en universidades públicas, así como el reconocimiento de estos centros en universidades privadas y la implantación y la supresión de enseñanzas.</w:t>
      </w:r>
    </w:p>
    <w:p w:rsidR="0026452D" w:rsidRDefault="0026452D" w:rsidP="0026452D">
      <w:pPr>
        <w:pStyle w:val="TextoNormal"/>
      </w:pPr>
    </w:p>
    <w:p w:rsidR="0026452D" w:rsidRDefault="0026452D" w:rsidP="0026452D">
      <w:pPr>
        <w:pStyle w:val="TextoNormal"/>
      </w:pPr>
      <w:r>
        <w:t>d) La regulación del régimen de acceso a las universidades.</w:t>
      </w:r>
    </w:p>
    <w:p w:rsidR="0026452D" w:rsidRDefault="0026452D" w:rsidP="0026452D">
      <w:pPr>
        <w:pStyle w:val="TextoNormal"/>
      </w:pPr>
    </w:p>
    <w:p w:rsidR="0026452D" w:rsidRDefault="0026452D" w:rsidP="0026452D">
      <w:pPr>
        <w:pStyle w:val="TextoNormal"/>
      </w:pPr>
      <w:r>
        <w:t>e) La regulación del régimen del profesorado docente e investigador contratado y funcionario.</w:t>
      </w:r>
    </w:p>
    <w:p w:rsidR="0026452D" w:rsidRDefault="0026452D" w:rsidP="0026452D">
      <w:pPr>
        <w:pStyle w:val="TextoNormal"/>
      </w:pPr>
    </w:p>
    <w:p w:rsidR="0026452D" w:rsidRDefault="0026452D" w:rsidP="0026452D">
      <w:pPr>
        <w:pStyle w:val="TextoNormal"/>
      </w:pPr>
      <w:r>
        <w:t>f) La evaluación y la garantía de la calidad y de la excelencia de la enseñanza universitaria, así como del personal docente e investigador.</w:t>
      </w:r>
    </w:p>
    <w:p w:rsidR="0026452D" w:rsidRDefault="0026452D" w:rsidP="0026452D">
      <w:pPr>
        <w:pStyle w:val="TextoNormal"/>
      </w:pPr>
    </w:p>
    <w:p w:rsidR="0026452D" w:rsidRDefault="0026452D" w:rsidP="0026452D">
      <w:pPr>
        <w:pStyle w:val="TextoNormal"/>
      </w:pPr>
      <w:r>
        <w:t>3. Corresponde a la Comunidad Autónoma la competencia de ejecución en la expedición de títulos universitarios.”</w:t>
      </w:r>
    </w:p>
    <w:p w:rsidR="0026452D" w:rsidRDefault="0026452D" w:rsidP="0026452D">
      <w:pPr>
        <w:pStyle w:val="TextoNormal"/>
      </w:pPr>
    </w:p>
    <w:p w:rsidR="0026452D" w:rsidRDefault="0026452D" w:rsidP="0026452D">
      <w:pPr>
        <w:pStyle w:val="TextoNormal"/>
      </w:pPr>
      <w:r>
        <w:t xml:space="preserve">b) En segundo lugar, es preciso determinar la vigencia de la controversia en los términos en los que ha sido suscitada, por cuanto la norma en la que se incluyen dichos preceptos ha sido objeto de modificación ulterior a la presentación del presente recurso. “La Ley Orgánica 6/2001, de 21 de diciembre, ha sido ampliamente modificada por la Ley Orgánica 4/2007, de 12 de abril, con el resultado de que algunos de los preceptos impugnados por el recurso que ahora se examina, han visto alterada su redacción inicial o han quedado incluso sin contenido. En fin, conviene precisar, sin embargo, que, a los efectos de la controversia </w:t>
      </w:r>
      <w:r>
        <w:lastRenderedPageBreak/>
        <w:t>que nos ocupa, las modificaciones de la Ley Orgánica de universidades que, más recientemente se han operado mediante el Real Decreto-ley 14/2012, de 20 de abril, de medidas urgentes de racionalización del gasto público en el ámbito educativo, en modo alguno afectan a los preceptos recurridos” (STC 223/2012, FJ 3).</w:t>
      </w:r>
    </w:p>
    <w:p w:rsidR="0026452D" w:rsidRDefault="0026452D" w:rsidP="0026452D">
      <w:pPr>
        <w:pStyle w:val="TextoNormal"/>
      </w:pPr>
    </w:p>
    <w:p w:rsidR="0026452D" w:rsidRDefault="0026452D" w:rsidP="0026452D">
      <w:pPr>
        <w:pStyle w:val="TextoNormal"/>
      </w:pPr>
      <w:r>
        <w:t>Sin necesidad de reiterar aquí toda nuestra consolidada jurisprudencia sobre la pérdida o el mantenimiento de la vigencia de la controversia en los supuestos de modificación de la norma impugnada con posterioridad a la presentación del recurso de inconstitucionalidad, y remitiendo a la lectura del fundamento jurídico 3 de la STC 223/2012, baste con decir, para el supuesto que nos ocupa, que el art. 4.3 LOU, el único impugnado por razones competenciales, no ha sido modificado o derogado por la Ley Orgánica 4/2007, por lo cual, respecto de tal precepto, el presente recurso sigue conservando su objeto.</w:t>
      </w:r>
    </w:p>
    <w:p w:rsidR="0026452D" w:rsidRDefault="0026452D" w:rsidP="0026452D">
      <w:pPr>
        <w:pStyle w:val="TextoNormal"/>
      </w:pPr>
    </w:p>
    <w:p w:rsidR="0026452D" w:rsidRDefault="0026452D" w:rsidP="0026452D">
      <w:pPr>
        <w:pStyle w:val="TextoNormal"/>
      </w:pPr>
      <w:r>
        <w:t>Por tanto, es preciso revisar si el resto de preceptos impugnados, que lo han sido por motivos no competenciales, han sido o no modificados por la Ley Orgánica 4/2007, y si los términos de la modificación o derogación suponen la pérdida de la vigencia de la controversia. El único precepto impugnado y no modificado es el art. 46.3 LOU, en relación con el cual, por tanto, se mantiene vivo el recurso. Los arts. 11.1, 15.2, 23 y 32 LOU han sido modificados, y los arts. 35.6 y 51 LOU han sido suprimidos.</w:t>
      </w:r>
    </w:p>
    <w:p w:rsidR="0026452D" w:rsidRDefault="0026452D" w:rsidP="0026452D">
      <w:pPr>
        <w:pStyle w:val="TextoNormal"/>
      </w:pPr>
    </w:p>
    <w:p w:rsidR="0026452D" w:rsidRDefault="0026452D" w:rsidP="0026452D">
      <w:pPr>
        <w:pStyle w:val="TextoNormal"/>
      </w:pPr>
      <w:r>
        <w:t xml:space="preserve">Respecto de los arts. 15.2 </w:t>
      </w:r>
      <w:r w:rsidRPr="0026452D">
        <w:rPr>
          <w:i/>
        </w:rPr>
        <w:t>in fine</w:t>
      </w:r>
      <w:r>
        <w:t xml:space="preserve"> y 51 LOU ya se pronunció la STC 223/2012, a cuyo fundamento jurídico, 4 remitimos. En síntesis se dijo entonces que en la medida en que el art. 15.2 </w:t>
      </w:r>
      <w:r w:rsidRPr="0026452D">
        <w:rPr>
          <w:i/>
        </w:rPr>
        <w:t>in fine</w:t>
      </w:r>
      <w:r>
        <w:t xml:space="preserve"> LOU es considerado contrario al art. 27.10 CE por cuanto impone la presencia de tres miembros de los consejos sociales ajenos a la comunidad universitaria, en los consejos de gobierno de las universidades, el hecho de que la nueva redacción del inciso final del precepto, operada por la Ley Orgánica 4/2007, configure con carácter facultativo aquella presencia, y prevea que la misma quede contemplada para el supuesto de que las normas estatutarias de las universidades así lo recojan, deja a salvo la autonomía universitaria, único motivo de inconstitucionalidad alegado respecto de este precepto. Por tanto la modificación hace decaer el motivo del recurso en este punto y perder el objeto del mismo. Con respecto al art. 51 LOU, controvertido en cuanto que la contratación de profesores colaboradores únicamente era posible en aquellas áreas de conocimiento establecidas por el Gobierno previo informe del Consejo de Coordinación Universitaria, estimándose la restricción, por parte del recurrente, lesiva de la autonomía universitaria, la reforma de 2007 ha dejado sin contenido al precepto en este punto, por lo que ha de estimarse que el recurso ha perdido su objeto en este particular.</w:t>
      </w:r>
    </w:p>
    <w:p w:rsidR="0026452D" w:rsidRDefault="0026452D" w:rsidP="0026452D">
      <w:pPr>
        <w:pStyle w:val="TextoNormal"/>
      </w:pPr>
    </w:p>
    <w:p w:rsidR="0026452D" w:rsidRDefault="0026452D" w:rsidP="0026452D">
      <w:pPr>
        <w:pStyle w:val="TextoNormal"/>
      </w:pPr>
      <w:r>
        <w:t xml:space="preserve">Respecto del art. 32 LOU, también existe previo pronunciamiento en la STC 131/2013, de 5 de junio. Como decíamos allí, este precepto que residencia en el oportuno acuerdo del Consejo de Ministros la autorización para constituir la Agencia Nacional de Evaluación de la Calidad y Acreditación, y que es impugnado por contravenir el art. 27.10 CE en relación con los arts. 53.1 y 81.1 CE, sufre una modificación notable operada por la Ley Orgánica 4/2007, de 12 de abril. El art. 32 impugnado establecía que “[m]ediante acuerdo de Consejo de Ministros, previo informe del Consejo de Coordinación Universitaria, el Gobierno autorizará la constitución de la Agencia Nacional de Evaluación de la Calidad y Acreditación”. La redacción actual del precepto, en concreto de su apartado 1, establece: “Se autoriza la creación de la Agencia Nacional de Evaluación de la Calidad y Acreditación, de acuerdo con las previsiones de la Ley de Agencias Estatales para la mejora de los servicios públicos, </w:t>
      </w:r>
      <w:r>
        <w:lastRenderedPageBreak/>
        <w:t>a la que corresponden las funciones que le atribuye la presente Ley y la de elevar informes al ministerio competente en materia de universidades y al Consejo de Universidades sobre el desarrollo de los procesos de evaluación, certificación y acreditación en España, a cuyos efectos podrá solicitar y prestar colaboración a los órganos de evaluación que, en su caso, existan en las Comunidades Autónomas”. Además, el nuevo art. 32, incorpora un apartado al precepto en el que se detallan los principios bajo los cuales la agencia ha de desarrollar su actividad. Ello no obstante, “lo cierto es que este Tribunal ha reservado a su conocimiento las controversias sustentadas en el carácter orgánico de la norma (en lo que ahora nos ocupa, más estrictamente, por deslegalizar el contenido de la materia propia de la ley orgánica a favor del reglamento), sin tomar en cuenta su vigencia, por entender que en estos casos el recurso reviste un carácter depurativo del ordenamiento frente a utilizaciones inadecuadas de la ley orgánica [véase la doctrina resumida en la STC 184/2012, de 17 de octubre, FJ 2 b) y jurisprudencia allí citada]. De acuerdo con dicha doctrina y no obstante la modificación del precepto ha de entenderse que la impugnación sobre el mismo subsiste” [STC 131/2013, de 5 de junio, FJ 4 e)].</w:t>
      </w:r>
    </w:p>
    <w:p w:rsidR="0026452D" w:rsidRDefault="0026452D" w:rsidP="0026452D">
      <w:pPr>
        <w:pStyle w:val="TextoNormal"/>
      </w:pPr>
    </w:p>
    <w:p w:rsidR="0026452D" w:rsidRDefault="0026452D" w:rsidP="0026452D">
      <w:pPr>
        <w:pStyle w:val="TextoNormal"/>
      </w:pPr>
      <w:r>
        <w:t xml:space="preserve">El art. 11.1 LOU, impugnado en este caso por vulneración de la autonomía universitaria contenida en el art. 27.10 CE, en su redacción original establecía que “la adscripción mediante convenio a una Universidad pública de centros docentes de titularidad pública o privada para impartir estudios conducentes a la obtención de títulos de carácter oficial y validez en todo el territorio nacional, requerirá la aprobación de la Comunidad Autónoma, a propuesta del Consejo Social, previo informe del Consejo de Gobierno de la Universidad. El centro adscrito deberá estar establecido en el ámbito territorial de la correspondiente Comunidad Autónoma”. La nueva redacción modifica parcialmente la anterior, estableciendo que la misma adscripción a la que antes se hacía referencia “requerirá la aprobación de la Comunidad Autónoma, a propuesta del Consejo de Gobierno de la universidad, previo informe favorable de su Consejo Social”. Por tanto, y si se recuerda que el escrito de interposición del recurso de inconstitucionalidad, entendía que el motivo de impugnación del art. 11.1 LOU radicaba en que el excesivo grado de intervención que se da al consejo social en la adopción de decisiones pertenecientes al estricto ámbito académico lesiona la autonomía universitaria </w:t>
      </w:r>
      <w:r w:rsidRPr="0026452D">
        <w:rPr>
          <w:i/>
        </w:rPr>
        <w:t>ex</w:t>
      </w:r>
      <w:r>
        <w:t xml:space="preserve"> art. 27.10 CE, la modificación introducida por la Ley Orgánica 4/2007 no supone un cambio que haga decaer el motivo de la impugnación, puesto que se prevé de nuevo la intervención vinculante del consejo social, esta vez bajo la forma de informe previo favorable, en la toma de una decisión que, a juicio del recurrente, es estrictamente académica. Por tanto, el recurso no ha perdido su objeto en relación con el art. 11.1 LOU.</w:t>
      </w:r>
    </w:p>
    <w:p w:rsidR="0026452D" w:rsidRDefault="0026452D" w:rsidP="0026452D">
      <w:pPr>
        <w:pStyle w:val="TextoNormal"/>
      </w:pPr>
    </w:p>
    <w:p w:rsidR="0026452D" w:rsidRDefault="0026452D" w:rsidP="0026452D">
      <w:pPr>
        <w:pStyle w:val="TextoNormal"/>
      </w:pPr>
      <w:r>
        <w:t>El art. 23.2 LOU, cuya causa de impugnación en el recurso que nos ocupa coincide plenamente con la relativa al art. 11.1 LOU, se refería en su redacción original al hecho de que “al Gerente le corresponde la gestión de los servicios administrativos y económicos de la Universidad. Será propuesto por el Rector y nombrado por éste de acuerdo con el Consejo Social. El Gerente no podrá ejercer funciones docentes”. Tras la redacción dada por la Ley Orgánica 4/2007, el art. 23.2, prevé que puede tratarse de un o una gerente, y que su nombramiento debe atender a los criterios de competencia profesional y experiencia. No habiéndose modificado, por tanto, la intervención del consejo social en el nombramiento del gerente, no hay razón alguna para entender que el recurso ha perdido objeto en este punto.</w:t>
      </w:r>
    </w:p>
    <w:p w:rsidR="0026452D" w:rsidRDefault="0026452D" w:rsidP="0026452D">
      <w:pPr>
        <w:pStyle w:val="TextoNormal"/>
      </w:pPr>
    </w:p>
    <w:p w:rsidR="0026452D" w:rsidRDefault="0026452D" w:rsidP="0026452D">
      <w:pPr>
        <w:pStyle w:val="TextoNormal"/>
      </w:pPr>
      <w:r>
        <w:t xml:space="preserve">Por último el art. 35.6 LOU, que preveía que “el Gobierno establecerá el procedimiento y los criterios para la suspensión o revocación de la homologación del título que, en su caso, </w:t>
      </w:r>
      <w:r>
        <w:lastRenderedPageBreak/>
        <w:t>pueda proceder por el incumplimiento de los requisitos o de las directrices generales a las que se ha hecho mención en los apartados 1 y 2, así como las consecuencias de la suspensión”, ha desaparecido en esos términos en la redacción que da la Ley Orgánica 4/2007 al nuevo art. 35 LOU, así pues, habiendo desaparecido la previsión de que el Gobierno pueda establecer un procedimiento para la suspensión o revocación de la homologación de un título universitario, es preciso entender que el objeto del recurso de inconstitucionalidad, en este punto, ha desaparecido. No existiendo la previsión de la figura de suspensión o revocación, pierde sentido la delegación al Gobierno para regular la misma, y por tanto deja de tener interés la impugnación realizada por el Gobierno de la Junta de Andalucía.</w:t>
      </w:r>
    </w:p>
    <w:p w:rsidR="0026452D" w:rsidRDefault="0026452D" w:rsidP="0026452D">
      <w:pPr>
        <w:pStyle w:val="TextoNormal"/>
      </w:pPr>
    </w:p>
    <w:p w:rsidR="0026452D" w:rsidRDefault="0026452D" w:rsidP="0026452D">
      <w:pPr>
        <w:pStyle w:val="TextoNormal"/>
      </w:pPr>
      <w:r>
        <w:t xml:space="preserve">En definitiva, el proceso ha perdido objeto en relación a los arts. 15.2 </w:t>
      </w:r>
      <w:r w:rsidRPr="0026452D">
        <w:rPr>
          <w:i/>
        </w:rPr>
        <w:t>in fine</w:t>
      </w:r>
      <w:r>
        <w:t>, 35.6 y 51 LOU, y se mantiene dicho objeto respecto de los arts. 4.3, y 46.3 LOU, no modificados, así como respecto de los arts. 11.1, 23 y 32 LOU, que, a pesar de haber sido modificados, contemplan una nueva redacción en la que se reiteran las dudas de inconstitucionalidad planteadas por el recurrente en su escrito de interposición del recurso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4</w:t>
      </w:r>
      <w:r>
        <w:t>. Entrando al análisis de las impugnaciones particulares, siempre en relación con los preceptos respecto de los cuales hemos afirmado la pervivencia del objeto del recurso, nos detenemos en primer lugar en el art. 4.3 LOU, relativo a los requisitos básicos para la creación y reconocimiento de las universidades, sobre cuyo ajuste constitucional acabamos de pronunciarnos en la STC 131/2013, de 5 de junio.</w:t>
      </w:r>
    </w:p>
    <w:p w:rsidR="0026452D" w:rsidRDefault="0026452D" w:rsidP="0026452D">
      <w:pPr>
        <w:pStyle w:val="TextoNormal"/>
      </w:pPr>
    </w:p>
    <w:p w:rsidR="0026452D" w:rsidRDefault="0026452D" w:rsidP="0026452D">
      <w:pPr>
        <w:pStyle w:val="TextoNormal"/>
      </w:pPr>
      <w:r>
        <w:t xml:space="preserve">La Junta de Andalucía centraba su reproche de inconstitucionalidad en que el precepto realiza una delegación genérica e indeterminada a la norma reglamentaria, poniendo de manifiesto esa delegación normativa una subordinación fáctica entre el legislativo y el ejecutivo, y es particularmente lesivo de la posición de las Asambleas Legislativas autonómicas en el caso de que estemos ante el reconocimiento de una universidad privada, porque en estos supuestos el legislador autonómico estaría en situación de dependencia del Gobierno de la Nación, viéndose obligado a emitir la ley de reconocimiento de la universidad privada una vez se comprobara el cumplimiento de los requisitos libremente establecidos por el Gobierno. Por tanto el art. 4.3 LOU estaría lesionando la reserva de ley que deriva de la regla contenida en el art. 149.1.30 CE en relación con los arts. 27 y 53.1 CE. Pues bien, hemos de reconocer aquí, como lo hacíamos en la ya citada STC 131/2013, remitiéndonos entre otras a la STC 77/1985, de 27 de junio, FJ 14, que siendo posible la colaboración entre ley orgánica y reglamento eso no significa que la remisión a la regulación reglamentaria de materia reservada a ley orgánica sea, en todo caso, constitucionalmente legítima, abstracción hecha de los términos en que se realice, puesto que, muy al contrario, es preciso que la delegación se formule en condiciones que no contraríen materialmente la finalidad de la reserva (en este sentido, entre otras SSTC 83/1984, de 24 de julio, FJ 4; y 101/1991, de 13 de mayo , FJ 3). Llevando este razonamiento genérico a la valoración del art. 4.3 LOU este no puede ser leído de forma aislada como hacen los recurrentes, sin tener en cuenta de forma sistemática otros apartados o disposiciones de la ley. Una lectura sistemática permite, en cambio, negar el carácter incondicionado de la remisión reglamentaria denunciada. “En efecto, el propio art. 4.3 ya delimita materialmente, sin que esto sea cuestión menor, el contenido de los requisitos, al prescribir que los requisitos contemplen “los medios y recursos adecuados para el cumplimiento por las Universidades de las funciones a que se refiere el apartado 2 del artículo 1” y, por lo tanto, la ley obliga a que el reglamento ponga en relación </w:t>
      </w:r>
      <w:r>
        <w:lastRenderedPageBreak/>
        <w:t>los requisitos para la creación y reconocimiento de las universidades con las funciones legalmente contempladas que les son encomendadas. Pero es que además la Ley configura el procedimiento de creación de las universidades públicas y de reconocimiento de las privadas, en cuanto exige ley de las Cortes Generales o de la Asamblea legislativa de la correspondiente Comunidad Autónoma (apartado primero del art. 4 LOU) e informe preceptivo del Consejo de Coordinación Universitaria, además, en el caso de las públicas (apartado segundo del mismo precepto), sin obviar que el art. 5 LOU configura los sujetos a quienes se atribuye la creación de universidades privadas. Así pues, y en contra de lo manifestado por los recurrentes, las cuestiones nucleares relativas a la creación y reconocimiento de las universidades sí aparecen determinadas por el legislador delimitando suficientemente la intervención reglamentaria” (STC 131/2013, de 5 de junio, FJ 5).</w:t>
      </w:r>
    </w:p>
    <w:p w:rsidR="0026452D" w:rsidRDefault="0026452D" w:rsidP="0026452D">
      <w:pPr>
        <w:pStyle w:val="TextoNormal"/>
      </w:pPr>
    </w:p>
    <w:p w:rsidR="0026452D" w:rsidRDefault="0026452D" w:rsidP="0026452D">
      <w:pPr>
        <w:pStyle w:val="TextoNormal"/>
      </w:pPr>
      <w:r>
        <w:t>Por tanto hay que desestimar la impugnación del art. 4.3 LOU.</w:t>
      </w:r>
    </w:p>
    <w:p w:rsidR="0026452D" w:rsidRDefault="0026452D" w:rsidP="0026452D">
      <w:pPr>
        <w:pStyle w:val="TextoNormal"/>
      </w:pPr>
    </w:p>
    <w:p w:rsidR="0026452D" w:rsidRDefault="0026452D" w:rsidP="0026452D">
      <w:pPr>
        <w:pStyle w:val="TextoNormal"/>
      </w:pPr>
      <w:r w:rsidRPr="0026452D">
        <w:rPr>
          <w:rStyle w:val="NumeroAFNegritaCaracter"/>
        </w:rPr>
        <w:t>5</w:t>
      </w:r>
      <w:r>
        <w:t xml:space="preserve">. Al art. 23 LOU le reprochaba el escrito de interposición del recurso de la Junta de Andalucía que fuese poco respetuoso con la autonomía universitaria, al prever que el gerente de la universidad sea nombrado por el rector, de acuerdo con el consejo social, por entender que un mero trámite de audiencia del rector al consejo social con carácter previo al nombramiento del gerente, sería más que suficiente para garantizar la participación del consejo en este nombramiento, y mermaría menos la capacidad decisoria de la máxima autoridad académica y las funciones que le competen en defensa de la autonomía universitaria </w:t>
      </w:r>
      <w:r w:rsidRPr="0026452D">
        <w:rPr>
          <w:i/>
        </w:rPr>
        <w:t>ex</w:t>
      </w:r>
      <w:r>
        <w:t xml:space="preserve"> art. 27 CE.</w:t>
      </w:r>
    </w:p>
    <w:p w:rsidR="0026452D" w:rsidRDefault="0026452D" w:rsidP="0026452D">
      <w:pPr>
        <w:pStyle w:val="TextoNormal"/>
      </w:pPr>
    </w:p>
    <w:p w:rsidR="0026452D" w:rsidRDefault="0026452D" w:rsidP="0026452D">
      <w:pPr>
        <w:pStyle w:val="TextoNormal"/>
      </w:pPr>
      <w:r>
        <w:t xml:space="preserve">La respuesta a la cuestión de fondo aquí planteada, esto es a la definición de unos límites, respetuosos con la autonomía universitaria, de la actuación del consejo social de la universidad, ha sido resuelta por la STC 131/2013, de 5 de junio, partiendo nuestro razonamiento allí de la configuración que la LOU da al consejo social como órgano de participación de la sociedad en la universidad (art. 14.1) encomendándole “la supervisión de las actividades de carácter económico de la Universidad y del rendimiento de sus servicios” (art. 14.2, párrafo primero) además de otras relativas a la aprobación de los presupuestos de la universidad y de las cuentas anuales de la misma (párrafo segundo del mismo apartado). Esta configuración habilitaría la participación del consejo social en el nombramiento del gerente, sin invadir por ello los límites impuestos por el respeto a la autonomía universitaria. Además la figura del gerente carece de naturaleza académica, pues se le atribuye “la gestión de los servicios administrativos y económicos de la universidad” (inciso primero del art. 23 LOU), teniendo precisamente vedado el ejercicio de funciones docentes (art. 23, </w:t>
      </w:r>
      <w:r w:rsidRPr="0026452D">
        <w:rPr>
          <w:i/>
        </w:rPr>
        <w:t>in fine</w:t>
      </w:r>
      <w:r>
        <w:t>). Dicho esto, la STC 131/2013, de 5 de junio, en su FJ 8 a) concluye afirmando que “ambas circunstancias, la no exclusión del Rector y la naturaleza no académica del cargo y las funciones encomendadas, conduce a estimar que el precepto no lesiona la autonomía universitaria”.</w:t>
      </w:r>
    </w:p>
    <w:p w:rsidR="0026452D" w:rsidRDefault="0026452D" w:rsidP="0026452D">
      <w:pPr>
        <w:pStyle w:val="TextoNormal"/>
      </w:pPr>
    </w:p>
    <w:p w:rsidR="0026452D" w:rsidRDefault="0026452D" w:rsidP="0026452D">
      <w:pPr>
        <w:pStyle w:val="TextoNormal"/>
      </w:pPr>
      <w:r w:rsidRPr="0026452D">
        <w:rPr>
          <w:rStyle w:val="NumeroAFNegritaCaracter"/>
        </w:rPr>
        <w:t>6</w:t>
      </w:r>
      <w:r>
        <w:t xml:space="preserve">. Por lo que hace al art. 32 LOU, referido a la Agencia Nacional de Evaluación de la Calidad y Acreditación y que remite la regulación de este órgano en su totalidad al reglamento, la representación procesal de la Junta de Andalucía afirma en el escrito de interposición del recurso de inconstitucionalidad que las funciones asignadas por la Ley Orgánica a esta agencia, así como su proyección sobre la autonomía de las universidades y sobre el estatuto del profesorado exigen que la composición, estructura, garantías y todos los elementos centrales de su configuración sean predeterminados por la ley, vulnerando por tanto </w:t>
      </w:r>
      <w:r>
        <w:lastRenderedPageBreak/>
        <w:t>el art. 32 LOU la garantía de reserva de ley orgánica que nace del art. 27.10 en relación con los arts. 53.1 y 81.1 CE.</w:t>
      </w:r>
    </w:p>
    <w:p w:rsidR="0026452D" w:rsidRDefault="0026452D" w:rsidP="0026452D">
      <w:pPr>
        <w:pStyle w:val="TextoNormal"/>
      </w:pPr>
    </w:p>
    <w:p w:rsidR="0026452D" w:rsidRDefault="0026452D" w:rsidP="0026452D">
      <w:pPr>
        <w:pStyle w:val="TextoNormal"/>
      </w:pPr>
      <w:r>
        <w:t>La respuesta a esta cuestión, formulada ya por la STC 131/2013, de 5 de junio, ha de ser desestimatoria de la pretensión del recurrente. La apreciación que este realiza sobre la deslegalización de la reserva de ley orgánica es manifiestamente errónea, porque lo que hace la norma cuestionada es “remitirse a un acuerdo del Consejo de Ministros a los únicos efectos de que el Gobierno autorice la constitución de la Agencia Nacional de Evaluación de la Calidad y de la Acreditación, sin que del tenor del precepto se derive que el Gobierno, mediante norma reglamentaria, haya de regular los aspectos a los que se alude en la demanda. Por lo demás, el marco funcional de la agencia se encuentra establecido por la ley a lo largo de su articulado en forma de informes o evaluaciones que debe emitir (arts. 31.3, 50, 52, 55.4, 69.4, entre otros) y que le corresponden sin perjuicio de las que desarrollen los órganos de evaluación creados por las leyes de las Comunidades Autónomas en el ámbito de sus competencias u otras agencias de evaluación del Estado o de las Comunidades Autónomas” (STC 131/2013, de 5 de junio, FJ 5).</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Por lo que hace a la impugnación del art. 46.3 LOU, vinculada a las de los arts. 11.1 y 15.2 LOU, ésta se refiere a que la implicación del consejo social en la aprobación de “las normas que regulen el progreso y la permanencia en la Universidad de los estudiantes, de acuerdo con las características de los respectivos estudios”, supone una impropia participación del consejo en la toma de decisiones académicas, que lesionaría la autonomía universitaria </w:t>
      </w:r>
      <w:r w:rsidRPr="0026452D">
        <w:rPr>
          <w:i/>
        </w:rPr>
        <w:t>ex</w:t>
      </w:r>
      <w:r>
        <w:t xml:space="preserve"> art. 27.10 CE. Decíamos ya en la STC 131/2013, que resuelve en primer término esta cuestión que tiene mayor relevancia académica la aprobación de las normas sobre permanencia de los alumnos en las universidades públicas que la intervención en el nombramiento del gerente analizada anteriormente (art. 23 LOU), pero no lo es menos que “la intervención del Consejo Social en la materia —que, en una interpretación sistemática de la propia LOU, debe reputarse distinta, si bien complementaria, a la que, desde la perspectiva estrictamente académica, integra la admisión, régimen de permanencia y verificación de conocimientos de los estudiantes en el ámbito de la autonomía universitaria, según su art. 2.2 f)— no está exenta de justificación si se tiene en cuenta que la ley establece que le corresponde supervisar el rendimiento de los servicios que presta la universidad. Y dentro de esta supervisión no puede negarse que se encuentra la de velar por que exista una adecuada relación entre la duración de los estudios y la permanencia de los alumnos en la universidad si no se pierde de vista que dicha permanencia implica la utilización de recursos públicos que son, por su propia naturaleza, limitados. No obstante lo expuesto, ha de considerarse si la ausencia de intervención de órganos estrictamente académicos vulnera la autonomía académica. A este respecto baste indicar la presencia, aun minoritaria en el consejo social, de miembros de la comunidad universitaria (art. 14.3 LOU).” [STC 131/2013, de 5 de junio, FJ 8 a)].</w:t>
      </w:r>
    </w:p>
    <w:p w:rsidR="0026452D" w:rsidRDefault="0026452D" w:rsidP="0026452D">
      <w:pPr>
        <w:pStyle w:val="TextoNormal"/>
      </w:pPr>
    </w:p>
    <w:p w:rsidR="0026452D" w:rsidRDefault="0026452D" w:rsidP="0026452D">
      <w:pPr>
        <w:pStyle w:val="TextoNormal"/>
      </w:pPr>
      <w:r>
        <w:t>Los anteriores argumentos llevan a desestimar la impugnación del art. 46.3 LOU.</w:t>
      </w:r>
    </w:p>
    <w:p w:rsidR="0026452D" w:rsidRDefault="0026452D" w:rsidP="0026452D">
      <w:pPr>
        <w:pStyle w:val="TextoNormal"/>
      </w:pPr>
    </w:p>
    <w:p w:rsidR="0026452D" w:rsidRDefault="0026452D" w:rsidP="0026452D">
      <w:pPr>
        <w:pStyle w:val="TextoNormal"/>
      </w:pPr>
      <w:r w:rsidRPr="0026452D">
        <w:rPr>
          <w:rStyle w:val="NumeroAFNegritaCaracter"/>
        </w:rPr>
        <w:t>8</w:t>
      </w:r>
      <w:r>
        <w:t xml:space="preserve">. Por último ha de hacerse referencia a la impugnación del art. 11.1 LOU, la única que, conteniéndose en el recurso de inconstitucionalidad que nos ocupa, no se incluye en ninguno otro de los escritos de interposición de recursos de inconstitucionalidad dirigidos contra la Ley Orgánica 6/2001, de 21 de diciembre, de universidades. Este precepto establece que “la adscripción mediante convenio a una Universidad pública de centros docentes de titularidad </w:t>
      </w:r>
      <w:r>
        <w:lastRenderedPageBreak/>
        <w:t>pública o privada para impartir estudios conducentes a la obtención de títulos de carácter oficial y validez en todo el territorio nacional, requerirá la aprobación de la Comunidad Autónoma, a propuesta del Consejo Social, previo informe del Consejo de Gobierno de la Universidad. El centro adscrito deberá estar establecido en el ámbito territorial de la correspondiente Comunidad Autónoma”. Entiende la representación procesal de la Junta que este precepto afecta de forma grave al principio de autonomía universitaria consagrado en el art. 27.10 CE desde el momento en que le asigna al consejo social funciones que exceden de las que le son propias, y que pertenecen al ámbito académico al que es ajeno el consejo social.</w:t>
      </w:r>
    </w:p>
    <w:p w:rsidR="0026452D" w:rsidRDefault="0026452D" w:rsidP="0026452D">
      <w:pPr>
        <w:pStyle w:val="TextoNormal"/>
      </w:pPr>
    </w:p>
    <w:p w:rsidR="0026452D" w:rsidRDefault="0026452D" w:rsidP="0026452D">
      <w:pPr>
        <w:pStyle w:val="TextoNormal"/>
      </w:pPr>
      <w:r>
        <w:t>Para responder a esta impugnación es preciso partir de la posición y función del consejo social de la universidad en virtud de lo dispuesto en la LOU, y de las consideraciones previas de nuestra jurisprudencia en torno a la intervención del consejo social de la universidad en la actividad universitaria.</w:t>
      </w:r>
    </w:p>
    <w:p w:rsidR="0026452D" w:rsidRDefault="0026452D" w:rsidP="0026452D">
      <w:pPr>
        <w:pStyle w:val="TextoNormal"/>
      </w:pPr>
    </w:p>
    <w:p w:rsidR="0026452D" w:rsidRDefault="0026452D" w:rsidP="0026452D">
      <w:pPr>
        <w:pStyle w:val="TextoNormal"/>
      </w:pPr>
      <w:r>
        <w:t>Así, es preciso tener en cuenta que la Ley Orgánica 6/2001, establece en la redacción original de su art. 14, por lo demás no impugnado, que el consejo social es el órgano de participación de la sociedad en la universidad (apartado 1), y que a este le corresponde “la supervisión de las actividades de carácter económico de la Universidad y del rendimiento de sus servicios; promover la colaboración de la sociedad en la financiación de la Universidad, y las relaciones entre ésta y su entorno cultural, profesional, económico y social al servicio de la calidad de la actividad universitaria … la aprobación del presupuesto y de la programación plurianual de la Universidad, a propuesta del Consejo de Gobierno”, y con carácter previo al trámite de rendición de cuentas a que se refieren los artículos 81 y 84, “le corresponde aprobar las cuentas anuales de la Universidad y las de las entidades que de ella puedan depender”. Así pues, cualquier función que le atribuya un precepto de la LOU o de las normas autonómicas de desarrollo que pueda considerarse desarrollo de las transcritas, ha de considerarse, en principio y sin perjuicio de lo que se dirá a continuación, incluida dentro del ámbito de sus potestades.</w:t>
      </w:r>
    </w:p>
    <w:p w:rsidR="0026452D" w:rsidRDefault="0026452D" w:rsidP="0026452D">
      <w:pPr>
        <w:pStyle w:val="TextoNormal"/>
      </w:pPr>
    </w:p>
    <w:p w:rsidR="0026452D" w:rsidRDefault="0026452D" w:rsidP="0026452D">
      <w:pPr>
        <w:pStyle w:val="TextoNormal"/>
      </w:pPr>
      <w:r>
        <w:t>Junto a lo anterior, es preciso tener en cuenta que la intervención del consejo social de la universidad en la actividad universitaria, ha sido limitada por la jurisprudencia de este Tribunal, en virtud de su composición, integrada mayoritariamente por miembros ajenos a la comunidad universitaria, a aquellas decisiones que no sean propias de la autonomía universitaria, porque “obviamente, si las funciones que se atribuyen al Consejo Social responden a su finalidad específica de ser el órgano de participación de la sociedad en las Universidades y no afectan al contenido esencial de la autonomía de éstas, la participación minoritaria de la comunidad universitaria no lesionará su autonomía. Pero si, pese a esa representación minoritaria, se atribuyen al Consejo Social funciones estrictamente académicas, entonces sí resultaría vulnerado el art. 27.10 de la Constitución” [STC 26/1987, de 27 de febrero, FJ 9 a)].</w:t>
      </w:r>
    </w:p>
    <w:p w:rsidR="0026452D" w:rsidRDefault="0026452D" w:rsidP="0026452D">
      <w:pPr>
        <w:pStyle w:val="TextoNormal"/>
      </w:pPr>
    </w:p>
    <w:p w:rsidR="0026452D" w:rsidRDefault="0026452D" w:rsidP="0026452D">
      <w:pPr>
        <w:pStyle w:val="TextoNormal"/>
      </w:pPr>
      <w:r>
        <w:t xml:space="preserve">En lo que hace al precepto que nos ocupa, la intervención del consejo social determinará que se abra el procedimiento de adscripción a una universidad pública, mediante convenio, de centros docentes de titularidad pública o privada para impartir estudios conducentes a la obtención de títulos de carácter oficial y validez en todo el territorio nacional. En ese procedimiento, además de intervenir la Comunidad Autónoma, que es finalmente la que debe aprobar el convenio, interviene también el Consejo de Gobierno. La redacción que da a este precepto la Ley Orgánica 4/2007, no está de más recordarlo, modifica ligeramente el tipo </w:t>
      </w:r>
      <w:r>
        <w:lastRenderedPageBreak/>
        <w:t>de participación del consejo social, que no tiene ya la iniciativa del procedimiento de reconocimiento del convenio, pero a quien se le exige “previo informe favorable” para que tal procedimiento se pueda iniciar a instancias, en este caso del consejo de gobierno. Sea como sea, la intervención del consejo social se justifica porque la decisión sobre la adscripción a la universidad de centros docentes con capacidad para impartir estudios conducentes a la obtención de títulos de carácter oficial, puede tener consecuencias económicas y relativas al rendimiento de los servicios de la universidad, puesto que estos centros docentes otorgarán títulos avalados por la universidad pública con la que firman el convenio, siendo relevante para esta última cómo funcionen en origen los servicios de esos centros, y cuál sea la eficacia económica de los mismos. Además, este tipo de convenios suponen una vinculación entre la universidad pública de que se trate, y centros que serán centros adscritos, que con distintos perfiles, líneas pedagógicas, estilo educativo, etc. representan fórmulas distintas de educación universitaria, y suponen una proyección de esas fórmulas hacia la universidad pública, y a la inversa, con lo cual, el consejo social debe tener algún grado de intervención en la firma de estos convenios, en la medida en que se trata del órgano de participación de la sociedad en las universidades.</w:t>
      </w:r>
    </w:p>
    <w:p w:rsidR="0026452D" w:rsidRDefault="0026452D" w:rsidP="0026452D">
      <w:pPr>
        <w:pStyle w:val="TextoNormal"/>
      </w:pPr>
    </w:p>
    <w:p w:rsidR="0026452D" w:rsidRDefault="0026452D" w:rsidP="0026452D">
      <w:pPr>
        <w:pStyle w:val="TextoNormal"/>
      </w:pPr>
      <w:r>
        <w:t>Por tanto ha de concluirse que la participación del consejo social en la adscripción mediante convenio a una universidad pública de centros docentes de titularidad pública o privada, no supone un exceso en el ejercicio de las funciones que se atribuyen por la Ley Orgánica al consejo social, respondiendo a su finalidad específica de ser el órgano de participación de la sociedad en las universidades y no afectando al contenido esencial de la autonomía de éstas.</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 xml:space="preserve">1º Declarar que ha perdido objeto la impugnación de los arts. 15.2 </w:t>
      </w:r>
      <w:r w:rsidRPr="0026452D">
        <w:rPr>
          <w:i/>
        </w:rPr>
        <w:t>in fine</w:t>
      </w:r>
      <w:r>
        <w:t>; 35.6 y 51 de la Ley Orgánica 6/2001, de 21 de diciembre, de universidades.</w:t>
      </w:r>
    </w:p>
    <w:p w:rsidR="0026452D" w:rsidRDefault="0026452D" w:rsidP="0026452D">
      <w:pPr>
        <w:pStyle w:val="TextoNormal"/>
      </w:pPr>
    </w:p>
    <w:p w:rsidR="0026452D" w:rsidRDefault="0026452D" w:rsidP="0026452D">
      <w:pPr>
        <w:pStyle w:val="TextoNormal"/>
      </w:pPr>
      <w:r>
        <w:t>2º Desestimar el recurso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Toledo, a seis de junio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38" w:name="SENTENCIA_2013_135"/>
      <w:r>
        <w:lastRenderedPageBreak/>
        <w:t>SENTENCIA 135/2013, de 6 de junio de 2013</w:t>
      </w:r>
    </w:p>
    <w:bookmarkEnd w:id="138"/>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157, de 2 de julio de 2013)</w:t>
      </w:r>
    </w:p>
    <w:p w:rsidR="0026452D" w:rsidRDefault="0026452D" w:rsidP="0026452D">
      <w:pPr>
        <w:pStyle w:val="TtuloBOE"/>
      </w:pPr>
    </w:p>
    <w:p w:rsidR="0026452D" w:rsidRDefault="0026452D" w:rsidP="0026452D">
      <w:pPr>
        <w:pStyle w:val="SntesisDescriptiva"/>
      </w:pPr>
      <w:r>
        <w:t>ECLI:ES:TC:2013:135</w:t>
      </w:r>
    </w:p>
    <w:p w:rsidR="0026452D" w:rsidRDefault="0026452D" w:rsidP="0026452D">
      <w:pPr>
        <w:pStyle w:val="SntesisDescriptiva"/>
      </w:pPr>
    </w:p>
    <w:p w:rsidR="0026452D" w:rsidRDefault="0026452D" w:rsidP="0026452D">
      <w:pPr>
        <w:pStyle w:val="SntesisDescriptiva"/>
      </w:pPr>
      <w:r>
        <w:t>Recurso de inconstitucionalidad 964-2004. Interpuesto por el Parlamento de Cataluña en relación con diversos preceptos de la Ley 38/2003, de 17 de noviembre, general de subvenciones.</w:t>
      </w:r>
    </w:p>
    <w:p w:rsidR="0026452D" w:rsidRDefault="0026452D" w:rsidP="0026452D">
      <w:pPr>
        <w:pStyle w:val="SntesisDescriptiva"/>
      </w:pPr>
    </w:p>
    <w:p w:rsidR="0026452D" w:rsidRDefault="0026452D" w:rsidP="0026452D">
      <w:pPr>
        <w:pStyle w:val="SntesisAnaltica"/>
      </w:pPr>
      <w:r>
        <w:t>Competencias sobre ordenación general de la economía, hacienda pública y procedimiento administrativo: interpretación conforme con la Constitución de varios preceptos legales (STC 130/2013). Voto particular.</w:t>
      </w:r>
    </w:p>
    <w:p w:rsidR="0026452D" w:rsidRDefault="0026452D" w:rsidP="0026452D">
      <w:pPr>
        <w:pStyle w:val="SntesisAnaltica"/>
      </w:pPr>
    </w:p>
    <w:p w:rsidR="0026452D" w:rsidRDefault="0026452D" w:rsidP="0026452D">
      <w:pPr>
        <w:pStyle w:val="Extracto"/>
      </w:pPr>
      <w:r>
        <w:t>1.</w:t>
      </w:r>
      <w:r>
        <w:tab/>
        <w:t>El art. 149.1.13 CE atribuye al Estado una competencia para la ordenación general de la economía que abarca la definición de las líneas de actuación tendentes a alcanzar los objetivos de política económica global o sectorial fijados por la propia Constitución, así como la adopción de las medidas precisas para garantizar la realización de los mismos, lo que presupone la existencia de competencias autonómicas, que deben ser respetadas (SSTC 186/1988, 130/2013) [FJ 3 a)].</w:t>
      </w:r>
    </w:p>
    <w:p w:rsidR="0026452D" w:rsidRDefault="0026452D" w:rsidP="0026452D">
      <w:pPr>
        <w:pStyle w:val="Extracto"/>
      </w:pPr>
    </w:p>
    <w:p w:rsidR="0026452D" w:rsidRDefault="0026452D" w:rsidP="0026452D">
      <w:pPr>
        <w:pStyle w:val="Extracto"/>
      </w:pPr>
      <w:r>
        <w:t>2.</w:t>
      </w:r>
      <w:r>
        <w:tab/>
        <w:t>Corresponde al Estado regular no sólo el régimen jurídico de la ordenación de los gastos de la Administración del Estado, sino también el establecimiento de las normas y principios comunes de la actividad financiera de las distintas haciendas que tiendan a asegurar los principios constitucionales que han de regir el gasto público (SSTC 134/2011, 130/2013)  [FJ 3 b)].</w:t>
      </w:r>
    </w:p>
    <w:p w:rsidR="0026452D" w:rsidRDefault="0026452D" w:rsidP="0026452D">
      <w:pPr>
        <w:pStyle w:val="Extracto"/>
      </w:pPr>
    </w:p>
    <w:p w:rsidR="0026452D" w:rsidRDefault="0026452D" w:rsidP="0026452D">
      <w:pPr>
        <w:pStyle w:val="Extracto"/>
      </w:pPr>
      <w:r>
        <w:t>3.</w:t>
      </w:r>
      <w:r>
        <w:tab/>
        <w:t xml:space="preserve">Dado que la actividad de gasto la desarrollan las Administraciones públicas, no resulta fácil deslindar las normas de simple régimen jurídico de las Administraciones públicas que el Estado puede establecer </w:t>
      </w:r>
      <w:r w:rsidRPr="0026452D">
        <w:rPr>
          <w:i/>
        </w:rPr>
        <w:t>ex</w:t>
      </w:r>
      <w:r>
        <w:t xml:space="preserve"> art. 149.1.18 CE de las normas comunes sobre el gasto público subvencional que el Estado puede dictar al amparo del art. 149.1.14 CE, por lo que para proceder a una calificación competencial correcta deberá estarse tanto al sentido o finalidad de los títulos competenciales en juego como al contenido del propio precepto controvertido (SSTC 153/1989, 130/2013)  [FJ 3 c)].</w:t>
      </w:r>
    </w:p>
    <w:p w:rsidR="0026452D" w:rsidRDefault="0026452D" w:rsidP="0026452D">
      <w:pPr>
        <w:pStyle w:val="Extracto"/>
      </w:pPr>
    </w:p>
    <w:p w:rsidR="0026452D" w:rsidRDefault="0026452D" w:rsidP="0026452D">
      <w:pPr>
        <w:pStyle w:val="Extracto"/>
      </w:pPr>
      <w:r>
        <w:t>4.</w:t>
      </w:r>
      <w:r>
        <w:tab/>
        <w:t>Tanto cuando las bases responden a la necesidad de garantizar un tratamiento común a los administrados como a la consecución de otros intereses generales, el Estado no puede establecer el común denominador normativo que encierran las bases con un grado tal de detalle y de forma tan acabada que prácticamente impida la adopción por parte de las Comunidades Autónomas de políticas propias en la materia mediante el ejercicio de sus competencias de desarrollo legislativo (SSTC 49/1988, 130/2013) [FJ 3 d)].</w:t>
      </w:r>
    </w:p>
    <w:p w:rsidR="0026452D" w:rsidRDefault="0026452D" w:rsidP="0026452D">
      <w:pPr>
        <w:pStyle w:val="Extracto"/>
      </w:pPr>
    </w:p>
    <w:p w:rsidR="0026452D" w:rsidRDefault="0026452D" w:rsidP="0026452D">
      <w:pPr>
        <w:pStyle w:val="Extracto"/>
      </w:pPr>
      <w:r>
        <w:t>5.</w:t>
      </w:r>
      <w:r>
        <w:tab/>
        <w:t xml:space="preserve">La Ley impugnada aborda la regulación de un procedimiento administrativo común singular, en función de la forma de actividad administrativa, y no un procedimiento administrativo especial </w:t>
      </w:r>
      <w:r w:rsidRPr="0026452D">
        <w:rPr>
          <w:i/>
        </w:rPr>
        <w:t>ratione materiae</w:t>
      </w:r>
      <w:r>
        <w:t xml:space="preserve">, siendo, por tanto, compatible </w:t>
      </w:r>
      <w:r>
        <w:lastRenderedPageBreak/>
        <w:t>con las regulaciones especiales de los procedimientos de otorgamiento de subvenciones en determinados campos de actividad, que corresponderá establecer bien al Estado, bien a las Comunidades Autónomas, en función de la distribución de competencias prevista para cada sector concreto en la Constitución (STC 130/2013) [FJ 3 e)].</w:t>
      </w:r>
    </w:p>
    <w:p w:rsidR="0026452D" w:rsidRDefault="0026452D" w:rsidP="0026452D">
      <w:pPr>
        <w:pStyle w:val="Extracto"/>
      </w:pPr>
    </w:p>
    <w:p w:rsidR="0026452D" w:rsidRDefault="0026452D" w:rsidP="0026452D">
      <w:pPr>
        <w:pStyle w:val="Extracto"/>
      </w:pPr>
      <w:r>
        <w:t>6.</w:t>
      </w:r>
      <w:r>
        <w:tab/>
        <w:t>El precepto impugnado que dispone que la Ley será aplicable a las subvenciones establecidas en materias cuya regulación básica corresponde al Estado debe interpretarse en el sentido de que, en el ámbito de las Comunidades Autónomas, la Ley impugnada no es aplicable en su totalidad, sino únicamente en aquellas partes dictadas por el Estado al amparo de lo dispuesto en los apartados 13, 14 y 18 del art. 149.1 CE (STC 130/2013)  [FJ 4 a)].</w:t>
      </w:r>
    </w:p>
    <w:p w:rsidR="0026452D" w:rsidRDefault="0026452D" w:rsidP="0026452D">
      <w:pPr>
        <w:pStyle w:val="Extracto"/>
      </w:pPr>
    </w:p>
    <w:p w:rsidR="0026452D" w:rsidRDefault="0026452D" w:rsidP="0026452D">
      <w:pPr>
        <w:pStyle w:val="Extracto"/>
      </w:pPr>
      <w:r>
        <w:t>7.</w:t>
      </w:r>
      <w:r>
        <w:tab/>
        <w:t>La aplicación de los procedimientos de concesión y control de las subvenciones regulados en la Ley impugnada persigue garantizar la efectividad del Derecho de la Unión Europea en caso de pasividad de las Comunidades Autónomas, lo que se adecua a la Constitución (SSTC 15/1989, 130/2013) [FJ 4 b)].</w:t>
      </w:r>
    </w:p>
    <w:p w:rsidR="0026452D" w:rsidRDefault="0026452D" w:rsidP="0026452D">
      <w:pPr>
        <w:pStyle w:val="Extracto"/>
      </w:pPr>
    </w:p>
    <w:p w:rsidR="0026452D" w:rsidRDefault="0026452D" w:rsidP="0026452D">
      <w:pPr>
        <w:pStyle w:val="Extracto"/>
      </w:pPr>
      <w:r>
        <w:t>8.</w:t>
      </w:r>
      <w:r>
        <w:tab/>
        <w:t>El legislador estatal ha actuado dentro del margen que le confiere el art. 149.1.18 CE al regular tanto la subcontratación en el ámbito subvencional como las reglas especiales en materia de amortización de los bienes inventariables, no siendo función de este Tribunal dilucidar si existen otras configuraciones posibles de las bases que pudieran dar más espacio de actuación normativa a las Comunidades Autónomas  [FJ 4 c), e)].</w:t>
      </w:r>
    </w:p>
    <w:p w:rsidR="0026452D" w:rsidRDefault="0026452D" w:rsidP="0026452D">
      <w:pPr>
        <w:pStyle w:val="Extracto"/>
      </w:pPr>
    </w:p>
    <w:p w:rsidR="0026452D" w:rsidRDefault="0026452D" w:rsidP="0026452D">
      <w:pPr>
        <w:pStyle w:val="Extracto"/>
      </w:pPr>
      <w:r>
        <w:t>9.</w:t>
      </w:r>
      <w:r>
        <w:tab/>
        <w:t>El precepto que establece, en los supuestos de adquisición de bienes inmuebles, que ha de aportarse certificado de tasador independiente debidamente acreditado e inscrito en el correspondiente registro oficial, ha de considerarse como norma formal y materialmente básica, dictada al amparo del título competencial del art. 149.1.18 CE, que deja espacio suficiente para una regulación autonómica más detallada del contenido y alcance del informe del tasador (STC 130/2013) [FJ 4 d)].</w:t>
      </w:r>
    </w:p>
    <w:p w:rsidR="0026452D" w:rsidRDefault="0026452D" w:rsidP="0026452D">
      <w:pPr>
        <w:pStyle w:val="Extracto"/>
      </w:pPr>
    </w:p>
    <w:p w:rsidR="0026452D" w:rsidRDefault="0026452D" w:rsidP="0026452D">
      <w:pPr>
        <w:pStyle w:val="Extracto"/>
      </w:pPr>
      <w:r>
        <w:t>10.</w:t>
      </w:r>
      <w:r>
        <w:tab/>
        <w:t xml:space="preserve">Tanto la determinación de los documentos precisos para acreditar los gastos realizados como el establecimiento de un sistema común de sellado y validación son instrumentos que garantizan la veracidad en la justificación de los gastos subvencionados, constituyendo un elemento principal de la relación jurídica subvencional que se inscriben en las bases del régimen jurídico de las Administraciones públicas que corresponden fijar al Estado </w:t>
      </w:r>
      <w:r w:rsidRPr="0026452D">
        <w:rPr>
          <w:i/>
        </w:rPr>
        <w:t>ex</w:t>
      </w:r>
      <w:r>
        <w:t xml:space="preserve"> art. 149.1.18 CE [FJ 4 d)].</w:t>
      </w:r>
    </w:p>
    <w:p w:rsidR="0026452D" w:rsidRDefault="0026452D" w:rsidP="0026452D">
      <w:pPr>
        <w:pStyle w:val="Extracto"/>
      </w:pPr>
    </w:p>
    <w:p w:rsidR="0026452D" w:rsidRDefault="0026452D" w:rsidP="0026452D">
      <w:pPr>
        <w:pStyle w:val="Extracto"/>
      </w:pPr>
      <w:r>
        <w:t>11.</w:t>
      </w:r>
      <w:r>
        <w:tab/>
        <w:t>Habiendo declarado este Tribunal que lo que sea básico puede establecerse en normas reglamentarias cuando ello esté justificado por su carácter complementario, la remisión del precepto impugnado al reglamento no constituye en sí misma una vulneración competencial, lo que no excluye que su contenido, una vez conocido, habida cuenta del carácter preventivo de la impugnación, pueda ser examinado sobre su carácter básico (SSTC 235/1999, 31/2010)  [FJ 4 d)].</w:t>
      </w:r>
    </w:p>
    <w:p w:rsidR="0026452D" w:rsidRDefault="0026452D" w:rsidP="0026452D">
      <w:pPr>
        <w:pStyle w:val="Extracto"/>
      </w:pPr>
    </w:p>
    <w:p w:rsidR="0026452D" w:rsidRDefault="0026452D" w:rsidP="0026452D">
      <w:pPr>
        <w:pStyle w:val="Extracto"/>
      </w:pPr>
      <w:r>
        <w:lastRenderedPageBreak/>
        <w:t>12.</w:t>
      </w:r>
      <w:r>
        <w:tab/>
        <w:t xml:space="preserve">El precepto impugnado configura un deber de los beneficiarios de subvenciones públicas, cuando el importe del gasto subvencionable supere determinadas cuantías, con la finalidad de asegurarles un tratamiento común, lo que, al mismo tiempo, persigue garantizar que se respeten principios básicos del gasto público, que podrían eludirse mediante la contratación libre por parte del subvencionado pese a operar con dinero público, debiendo entenderse, por tanto, dictado en ejercicio de las competencias estatales, </w:t>
      </w:r>
      <w:r w:rsidRPr="0026452D">
        <w:rPr>
          <w:i/>
        </w:rPr>
        <w:t>ex</w:t>
      </w:r>
      <w:r>
        <w:t xml:space="preserve"> apartados 14 y 18 del art. 149.1 CE (STC 130/2013) [FJ 4 e)].</w:t>
      </w:r>
    </w:p>
    <w:p w:rsidR="0026452D" w:rsidRDefault="0026452D" w:rsidP="0026452D">
      <w:pPr>
        <w:pStyle w:val="Extracto"/>
      </w:pPr>
    </w:p>
    <w:p w:rsidR="0026452D" w:rsidRDefault="0026452D" w:rsidP="0026452D">
      <w:pPr>
        <w:pStyle w:val="Extracto"/>
      </w:pPr>
      <w:r>
        <w:t>13.</w:t>
      </w:r>
      <w:r>
        <w:tab/>
        <w:t xml:space="preserve">Los preceptos impugnados encuentran cobertura en el art. 149.1.18 CE, puesto que regulan, con carácter básico, la obligación de destino de los bienes inventariables al fin subvencional, estableciendo reglas comunes respetuosas con el margen de regulación de los procedimientos subvencionales </w:t>
      </w:r>
      <w:r w:rsidRPr="0026452D">
        <w:rPr>
          <w:i/>
        </w:rPr>
        <w:t>ratione materiae</w:t>
      </w:r>
      <w:r>
        <w:t xml:space="preserve"> que corresponde a las Comunidades Autónomas (STC 130/2013) [FJ 4 e)].</w:t>
      </w:r>
    </w:p>
    <w:p w:rsidR="0026452D" w:rsidRDefault="0026452D" w:rsidP="0026452D">
      <w:pPr>
        <w:pStyle w:val="Extracto"/>
      </w:pPr>
    </w:p>
    <w:p w:rsidR="0026452D" w:rsidRDefault="0026452D" w:rsidP="0026452D">
      <w:pPr>
        <w:pStyle w:val="Extracto"/>
      </w:pPr>
      <w:r>
        <w:t>14.</w:t>
      </w:r>
      <w:r>
        <w:tab/>
        <w:t>Los preceptos impugnados que establecen las reglas comunes sobre el carácter subvencionable de los gastos de amortización y de los costes indirectos de una actividad, junto con el marco normativo para considerar o no otros gastos como subvencionables, han sido dictados en ejercicio del art. 149.1.18 CE, puesto que contienen criterios nucleares de las relaciones entre las Administraciones públicas y los ciudadanos que pretenden acceder a las subvenciones [FJ 4 e)].</w:t>
      </w:r>
    </w:p>
    <w:p w:rsidR="0026452D" w:rsidRDefault="0026452D" w:rsidP="0026452D">
      <w:pPr>
        <w:pStyle w:val="Extracto"/>
      </w:pPr>
    </w:p>
    <w:p w:rsidR="0026452D" w:rsidRDefault="0026452D" w:rsidP="0026452D">
      <w:pPr>
        <w:pStyle w:val="Extracto"/>
      </w:pPr>
      <w:r>
        <w:t>15.</w:t>
      </w:r>
      <w:r>
        <w:tab/>
        <w:t>Los controles que prevé la Ley impugnada por parte de la Intervención General de la Administración del Estado a las gestiones realizadas por las Comunidades Autónomas están concebidos de forma genérica, quedando su concreción remitida al plan anual, por lo que la eventual invasión competencial se produciría por el contenido concreto del plan anual, pudiendo ser entonces objeto de control por este Tribunal  (STC 130/2013) [FJ 4 f)].</w:t>
      </w:r>
    </w:p>
    <w:p w:rsidR="0026452D" w:rsidRDefault="0026452D" w:rsidP="0026452D">
      <w:pPr>
        <w:pStyle w:val="Extracto"/>
      </w:pPr>
    </w:p>
    <w:p w:rsidR="0026452D" w:rsidRDefault="0026452D" w:rsidP="0026452D">
      <w:pPr>
        <w:pStyle w:val="Extracto"/>
      </w:pPr>
      <w:r>
        <w:t>16.</w:t>
      </w:r>
      <w:r>
        <w:tab/>
        <w:t>El precepto impugnado no pretende que la tipificación de conductas que hace esta ley sea exhaustiva, no obstaculizando que las Comunidades Autónomas en ejercicio de sus competencias puedan prever nuevos tipos o concretar los que la Ley estatal establece, por lo que debe considerarse constitucional siempre que se interprete que no impide que las Comunidades Autónomas amplíen el catálogo de las infracciones [FJ 4 g)].</w:t>
      </w:r>
    </w:p>
    <w:p w:rsidR="0026452D" w:rsidRDefault="0026452D" w:rsidP="0026452D">
      <w:pPr>
        <w:pStyle w:val="Extracto"/>
      </w:pPr>
    </w:p>
    <w:p w:rsidR="0026452D" w:rsidRDefault="0026452D" w:rsidP="0026452D">
      <w:pPr>
        <w:pStyle w:val="Extracto"/>
      </w:pPr>
      <w:r>
        <w:t>17.</w:t>
      </w:r>
      <w:r>
        <w:tab/>
        <w:t>La mera ausencia de una referencia expresa a la posible existencia de legislación autonómica de desarrollo no implica que el precepto impugnado pretenda vedar ese desarrollo autonómico, así pues nada impide que las Comunidades Autónomas, en ejercicio de sus competencias y siempre que no introduzcan divergencias irrazonables o desproporcionadas, puedan proceder también a regular las infracciones introduciendo nuevos tipos o concretando los que la Ley estatal establece [FJ 4 g)].</w:t>
      </w:r>
    </w:p>
    <w:p w:rsidR="0026452D" w:rsidRDefault="0026452D" w:rsidP="0026452D">
      <w:pPr>
        <w:pStyle w:val="Extracto"/>
      </w:pPr>
    </w:p>
    <w:p w:rsidR="0026452D" w:rsidRDefault="0026452D" w:rsidP="0026452D">
      <w:pPr>
        <w:pStyle w:val="Extracto"/>
      </w:pPr>
      <w:r>
        <w:t>18.</w:t>
      </w:r>
      <w:r>
        <w:tab/>
        <w:t xml:space="preserve">Las competencias son indisponibles e irrenunciables, tanto para el legislador del Estado como para el de las Comunidades Autónomas y operan </w:t>
      </w:r>
      <w:r w:rsidRPr="0026452D">
        <w:rPr>
          <w:i/>
        </w:rPr>
        <w:t>ope Constitutionis</w:t>
      </w:r>
      <w:r>
        <w:t>, con independencia de que uno u otro legislador hagan invocación explícita de las mismas (SSTC 133/1997, 130/2013) [FJ 5].</w:t>
      </w:r>
    </w:p>
    <w:p w:rsidR="0026452D" w:rsidRDefault="0026452D" w:rsidP="0026452D">
      <w:pPr>
        <w:pStyle w:val="Extracto"/>
      </w:pPr>
    </w:p>
    <w:p w:rsidR="0026452D" w:rsidRDefault="0026452D" w:rsidP="0026452D">
      <w:pPr>
        <w:pStyle w:val="Extracto"/>
      </w:pPr>
      <w:r>
        <w:t>19.</w:t>
      </w:r>
      <w:r>
        <w:tab/>
        <w:t>El precepto impugnado no regula la tipificación de los supuestos que determinan la sanción consistente en la pérdida de la posibilidad de obtener subvenciones sino que tan sólo expresa que cuando haya recaído dicha sanción no podrán los implicados obtener la correspondiente subvención, prohibición que más que estar orientada a la represión de la conducta del sujeto privado que pretendiese ser beneficiario de la ayuda pública persigue asegurar el logro de los fines de la actividad de fomento, lo que no conlleva vulneración del art. 25 CE (STC 130/2013) [FJ 6].</w:t>
      </w:r>
    </w:p>
    <w:p w:rsidR="0026452D" w:rsidRDefault="0026452D" w:rsidP="0026452D">
      <w:pPr>
        <w:pStyle w:val="Extracto"/>
      </w:pPr>
    </w:p>
    <w:p w:rsidR="0026452D" w:rsidRDefault="0026452D" w:rsidP="0026452D">
      <w:pPr>
        <w:pStyle w:val="Extracto"/>
      </w:pPr>
      <w:r>
        <w:t>20.</w:t>
      </w:r>
      <w:r>
        <w:tab/>
        <w:t>El concepto de sanción como ámbito del principio de legalidad ex art. 25.1 CE, no comprende toda medida restrictiva de derechos o simplemente desfavorable, sino tan solo aquéllas que tienen una finalidad meramente represiva o de castigo (SSTC 239/1988, 164/1995) [FJ 6].</w:t>
      </w:r>
    </w:p>
    <w:p w:rsidR="0026452D" w:rsidRDefault="0026452D" w:rsidP="0026452D">
      <w:pPr>
        <w:pStyle w:val="Extracto"/>
      </w:pPr>
    </w:p>
    <w:p w:rsidR="0026452D" w:rsidRDefault="0026452D" w:rsidP="0026452D">
      <w:pPr>
        <w:pStyle w:val="Extracto"/>
      </w:pPr>
      <w:r>
        <w:t>21.</w:t>
      </w:r>
      <w:r>
        <w:tab/>
        <w:t xml:space="preserve">Aplica la doctrina sobre el </w:t>
      </w:r>
      <w:r w:rsidRPr="0026452D">
        <w:rPr>
          <w:i/>
        </w:rPr>
        <w:t>ius superveniens</w:t>
      </w:r>
      <w:r>
        <w:t xml:space="preserve"> en procesos de naturaleza competencial, que establece que el control de normas impugnadas por incurrir en un posible exceso competencial ha de hacerse de acuerdo con el bloque de constitucionalidad y con las demás normas que operan de parámetro de enjuiciamiento que estén vigentes en el momento de dictar Sentencia (SSTC 137/1986, 130/2013) [FJ 2 a)].</w:t>
      </w:r>
    </w:p>
    <w:p w:rsidR="0026452D" w:rsidRDefault="0026452D" w:rsidP="0026452D">
      <w:pPr>
        <w:pStyle w:val="Extracto"/>
      </w:pPr>
    </w:p>
    <w:p w:rsidR="0026452D" w:rsidRDefault="0026452D" w:rsidP="0026452D">
      <w:pPr>
        <w:pStyle w:val="Extracto"/>
      </w:pPr>
      <w:r>
        <w:t>22.</w:t>
      </w:r>
      <w:r>
        <w:tab/>
        <w:t>La eventual apreciación de la pérdida de objeto del proceso dependerá de la incidencia real que sobre el mismo tenga la derogación, sustitución o modificación de la norma, pues lo relevante en recursos de inconstitucionalidad de naturaleza competencial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(SSTC 18/2011, 130/2013) [FJ 2 b)].</w:t>
      </w:r>
    </w:p>
    <w:p w:rsidR="0026452D" w:rsidRDefault="0026452D" w:rsidP="0026452D">
      <w:pPr>
        <w:pStyle w:val="Extracto"/>
      </w:pPr>
    </w:p>
    <w:p w:rsidR="0026452D" w:rsidRDefault="0026452D" w:rsidP="0026452D">
      <w:pPr>
        <w:pStyle w:val="Extracto"/>
      </w:pPr>
      <w:r>
        <w:t>23.</w:t>
      </w:r>
      <w:r>
        <w:tab/>
        <w:t>Reitera la doctrina sobre la delimitación competencial entre el Estado y las Comunidades Autónomas en relación con el ejercicio de la potestad subvencional de gasto público, de la STC 130/2013 [FFJJ 3 a 6].</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lastRenderedPageBreak/>
        <w:t>SENTENCIA</w:t>
      </w:r>
    </w:p>
    <w:p w:rsidR="0026452D" w:rsidRDefault="0026452D" w:rsidP="0026452D">
      <w:pPr>
        <w:pStyle w:val="TextoNormalCentrado"/>
        <w:keepNext/>
      </w:pPr>
    </w:p>
    <w:p w:rsidR="0026452D" w:rsidRDefault="0026452D" w:rsidP="0026452D">
      <w:pPr>
        <w:pStyle w:val="TextoNormal"/>
      </w:pPr>
      <w:r>
        <w:t>En el recurso de inconstitucionalidad núm. 964-2004, promovido por el Parlamento de Cataluña contra los arts. 3.4 letra a), en cuanto a la expresión “o básica”; 6.2; 13.3 y 5; 45.2 c), en cuanto a la expresión “o de otra índole”; 52; y el apartado 1 de la disposición final primera, en tanto que declara el carácter básico de los apartados 3 del art. 29, 3 y 5 del art. 30, y 3 a 9, ambos inclusive, del art. 31, todos ellos de la Ley 38/2003, de 17 de noviembre, general de subvenciones. Ha comparecido el Abogado del Estado. Ha sido Ponente el Magistrado don Juan José González Rivas,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el 18 de febrero de 2004, los Letrados del Parlamento de Cataluña, en la representación que ostentan, promovieron recurso de inconstitucionalidad contra los arts. 3.4 letra a), en cuanto a la expresión “o básica”; 6.2; 13.3 y 5; 45.2 c), en cuanto a la expresión “o de otra índole”; 52; y el apartado 1 de la disposición final primera, en tanto que declara el carácter básico de los apartados 3 del art. 29, 3 y 5 del art. 30, y 3 a 9, ambos inclusive, del art. 31, todos ellos de la Ley 38/2003, de 17 de noviembre, general de subvenciones.</w:t>
      </w:r>
    </w:p>
    <w:p w:rsidR="0026452D" w:rsidRDefault="0026452D" w:rsidP="0026452D">
      <w:pPr>
        <w:pStyle w:val="TextoNormal"/>
      </w:pPr>
    </w:p>
    <w:p w:rsidR="0026452D" w:rsidRDefault="0026452D" w:rsidP="0026452D">
      <w:pPr>
        <w:pStyle w:val="TextoNormal"/>
      </w:pPr>
      <w:r>
        <w:t>El escrito de interposición contiene la fundamentación que a continuación, resumidamente, se expone:</w:t>
      </w:r>
    </w:p>
    <w:p w:rsidR="0026452D" w:rsidRDefault="0026452D" w:rsidP="0026452D">
      <w:pPr>
        <w:pStyle w:val="TextoNormal"/>
      </w:pPr>
    </w:p>
    <w:p w:rsidR="0026452D" w:rsidRDefault="0026452D" w:rsidP="0026452D">
      <w:pPr>
        <w:pStyle w:val="TextoNormal"/>
      </w:pPr>
      <w:r>
        <w:t>a) No existe ni en los listados de los arts. 148 y 149 CE ni en los respectivos Estatutos de Autonomía mención alguna al reparto competencial respecto de la regulación y ejercicio de la potestad subvencionadora. Este silencio y la rica conflictividad competencial generada en esta materia ha determinado que el Tribunal Constitucional delimitase tal reparto. La doctrina constitucional, desarrollada en numerosas Sentencias (SSTC 39/1982, de 30 de junio; 179/1985, de 19 de diciembre y 146/1986, de 25 de noviembre) y codificada en la STC 13/1992, de 6 de febrero, considera que la actividad subvencional no constituye en sí misma un título competencial autónomo ni para el Estado ni para las Comunidades Autónomas. Es, por el contrario, según dicha doctrina, una atribución de naturaleza instrumental, que podrán ejercer las distintas Administraciones públicas en la medida en que incida en los ámbitos materiales en que dispongan de título habilitante de naturaleza competencial.</w:t>
      </w:r>
    </w:p>
    <w:p w:rsidR="0026452D" w:rsidRDefault="0026452D" w:rsidP="0026452D">
      <w:pPr>
        <w:pStyle w:val="TextoNormal"/>
      </w:pPr>
    </w:p>
    <w:p w:rsidR="0026452D" w:rsidRDefault="0026452D" w:rsidP="0026452D">
      <w:pPr>
        <w:pStyle w:val="TextoNormal"/>
      </w:pPr>
      <w:r>
        <w:t>Esa doctrina constitucional se complementa con otra idea. El poder de gasto del Estado, manifestación del ejercicio de la potestad legislativa atribuida a las Cortes Generales (arts. 66.2 y 134 CE), no se define por conexión con el reparto competencial de materias que la Constitución fija. Ahora bien, aunque la soberanía financiera del Estado le permite asignar fondos a cualquier finalidad, la competencia para regular y gestionar las ayudas públicas así acordadas será de quien ostente la competencia sobre la materia en que recae la subvención.</w:t>
      </w:r>
    </w:p>
    <w:p w:rsidR="0026452D" w:rsidRDefault="0026452D" w:rsidP="0026452D">
      <w:pPr>
        <w:pStyle w:val="TextoNormal"/>
      </w:pPr>
    </w:p>
    <w:p w:rsidR="0026452D" w:rsidRDefault="0026452D" w:rsidP="0026452D">
      <w:pPr>
        <w:pStyle w:val="TextoNormal"/>
      </w:pPr>
      <w:r>
        <w:t xml:space="preserve">Así, continúan diciendo los recurrentes, “la doctrina sentada por la jurisprudencia constitucional respecto de las competencias estatales y autonómicas en el ámbito de la actividad subvencional podría resumirse de la siguiente manera: a) el legislador estatal es competente para regular el régimen jurídico y el procedimiento de la actividad administrativa de fomento cuando recae sobre materias de competencia exclusiva estatal y gestionadas por la </w:t>
      </w:r>
      <w:r>
        <w:lastRenderedPageBreak/>
        <w:t>Administración general del Estado; b) también lo es cuando la actividad subvencional se refiere a materias en que dispone de competencia normativa plena (legislativa y reglamentaria), aunque su ejecución pueda corresponder a las comunidades autónomas. En tales supuestos deberá respetarse la potestad autonómica de autoorganización de los servicios, en cuanto no afecte a los administrados; c) respecto a las subvenciones establecidas en los presupuestos generales del Estado relativas a materias de competencia normativa total o parcial de las comunidades autónomas, -bien porque el Estado sólo ostente un título competencial genérico, bien porque su competencia únicamente le permita dictar las bases o normas básicas, bien porque ejerza su poder de gasto de forma excepcional al amparo de su potestad de autorización presupuestaria en materias que son de competencia exclusiva de las comunidades autónomas-, la normativa procedimental y de régimen jurídico estatal sólo deberá aplicarse en las fases del procedimiento que corresponda gestionar a la Administración General del Estado y no en las que la gestión corresponda a las comunidades autónomas, que sin embargo deberán respetar los principios básicos del procedimiento general; d) finalmente, las comunidades autónomas son competentes para establecer el régimen jurídico y las reglas procedimentales aplicables a las subvenciones y las ayudas públicas acordadas por las mismas en materias de su exclusiva competencia, así como respecto a las fases procedimentales de las subvenciones acordadas por el Estado cuya gestión se les encomiende, de acuerdo con lo apuntado en el apartado anterior.”</w:t>
      </w:r>
    </w:p>
    <w:p w:rsidR="0026452D" w:rsidRDefault="0026452D" w:rsidP="0026452D">
      <w:pPr>
        <w:pStyle w:val="TextoNormal"/>
      </w:pPr>
    </w:p>
    <w:p w:rsidR="0026452D" w:rsidRDefault="0026452D" w:rsidP="0026452D">
      <w:pPr>
        <w:pStyle w:val="TextoNormal"/>
      </w:pPr>
      <w:r>
        <w:t>b) Según los Letrados del Parlamento de Cataluña, mientras el Reglamento de procedimiento para la concesión de subvenciones públicas, aprobado mediante Real Decreto 2225/1993, de 17 de diciembre, reproducía fielmente estas reglas de aplicación, la Ley 38/2003, de 17 de noviembre, general de subvenciones opera una importante innovación, pues prevé que el régimen jurídico y el procedimiento de concesión de las subvenciones acordadas y gestionadas íntegramente por las Comunidades Autónomas en materia de su exclusiva competencia, así como de las que total o parcialmente gestionan éstas pero inciden en materias cuya regulación plena o básica compete al Estado, deberán sujetarse a ciertas normas establecidas por el legislador estatal.</w:t>
      </w:r>
    </w:p>
    <w:p w:rsidR="0026452D" w:rsidRDefault="0026452D" w:rsidP="0026452D">
      <w:pPr>
        <w:pStyle w:val="TextoNormal"/>
      </w:pPr>
    </w:p>
    <w:p w:rsidR="0026452D" w:rsidRDefault="0026452D" w:rsidP="0026452D">
      <w:pPr>
        <w:pStyle w:val="TextoNormal"/>
      </w:pPr>
      <w:r>
        <w:t xml:space="preserve">Llegados a este punto, el escrito de interposición analiza los títulos competenciales aducidos por el legislador estatal para dictar una regulación como la de la ley parcialmente recurrida. El “régimen jurídico de las Administraciones Públicas” </w:t>
      </w:r>
      <w:r w:rsidRPr="0026452D">
        <w:rPr>
          <w:i/>
        </w:rPr>
        <w:t>ex</w:t>
      </w:r>
      <w:r>
        <w:t xml:space="preserve"> art. 149.1.18 CE, comienza diciendo, incluye un núcleo duro sobre la organización básica común de todas las Administraciones públicas, en orden a garantizar un tratamiento común a los administrados y una adecuada relación con las restantes Administraciones, núcleo que, sin embargo, debe respetar la posibilidad de desarrollo legislativo por las Comunidades Autónomas. Por su parte, el “procedimiento administrativo común”, que es el otro inciso del art. 149.1.18 CE relevante, es una materia de la competencia exclusiva del Estado que comprende las reglas básicas aplicables a todo tipo de procedimientos administrativos, a fin de asegurar un tratamiento común a los administrados en todo el Estado. Por tanto, toda normación que resulte esencial para garantizar los derechos y las situaciones jurídicas de los interesados se integra naturalmente en este núcleo “común”, tanto respecto del procedimiento ordinario como respecto de los procedimientos especiales (STC 227/1988, de 29 de noviembre). De otro lado, “este Tribunal no ha reducido el alcance de esta materia competencial a la regulación del procedimiento, entendido en sentido estricto, que tiene que seguirse para la realización de la actividad jurídica de la Administración … sino que en ella] se han incluido también los principios y normas que ‘prescriben la forma de elaboración de los actos, los requisitos de </w:t>
      </w:r>
      <w:r>
        <w:lastRenderedPageBreak/>
        <w:t>validez y eficacia, los modos de revisión y los medios de ejecución de los actos administrativos, incluyendo señaladamente las garantías generales de los particulares en el seno del procedimiento’” (STC 227/1988, de 29 de noviembre). Sin embargo, apostillan los Letrados del Parlamento de Cataluña, la STC 50/1999, de 6 de abril, precisó que “de ello no puede deducirse que forme parte de esta materia competencial toda regulación que de forma indirecta pueda tener alguna repercusión o incidencia en el procedimiento así entendido o cuyo incumplimiento pueda tener como consecuencia la invalidez del acto”.</w:t>
      </w:r>
    </w:p>
    <w:p w:rsidR="0026452D" w:rsidRDefault="0026452D" w:rsidP="0026452D">
      <w:pPr>
        <w:pStyle w:val="TextoNormal"/>
      </w:pPr>
    </w:p>
    <w:p w:rsidR="0026452D" w:rsidRDefault="0026452D" w:rsidP="0026452D">
      <w:pPr>
        <w:pStyle w:val="TextoNormal"/>
      </w:pPr>
      <w:r>
        <w:t>El art. 149.1.13 CE ampara, en lo que el recurrente considera una interpretación expansiva de la jurisprudencia constitucional, no solo la planificación general sino cualquier tipo de planes o programas sectoriales, e incluso la llamada “ordenación general de la economía”. No obstante, sigue el recurrente, este título competencial no presenta un especial interés para definir la competencia del Estado en las materias tratadas en la Ley recurrida pues la subvención, además de fines económicos, también puede perseguir otros de tipo social, cultural, asistencial o de cualquiera otra naturaleza, y en estos casos en que las ayudas no inciden directamente sobre la actividad económica de los agentes económicos difícilmente se puede invocar la ordenación general de la economía como título habilitante del Estado. En la misma línea, aun en los casos que las subvenciones constituyan parte importante de planes y programas de ordenación y desarrollo económico, ello no afecta a la Ley parcialmente recurrida, puesto que la misma no otorga subvención alguna ni programa concretas actividades subvencionales, pues su objetivo es establecer un régimen jurídico sistematizado para todo tipo de subvención. Con ello no quiere decirse que este título competencial sea completamente ajeno a la regulación establecida por la Ley general de subvenciones, pues es cierto que alguno de sus artículos, como por ejemplo el art. 8, encuentra en él su fundamento, sin embargo sí debe relativizarse su importancia en el conjunto de la Ley.</w:t>
      </w:r>
    </w:p>
    <w:p w:rsidR="0026452D" w:rsidRDefault="0026452D" w:rsidP="0026452D">
      <w:pPr>
        <w:pStyle w:val="TextoNormal"/>
      </w:pPr>
    </w:p>
    <w:p w:rsidR="0026452D" w:rsidRDefault="0026452D" w:rsidP="0026452D">
      <w:pPr>
        <w:pStyle w:val="TextoNormal"/>
      </w:pPr>
      <w:r>
        <w:t xml:space="preserve">Finalmente, para delimitar el título competencial de “hacienda general” (149.1.14 CE) “parte del carácter finalista del precepto: si el constituyente mantuvo esta materia entre las competencias exclusivas del Estado, lo hizo porque consideró necesario garantizar la plena aplicación de los principias constitucionales respecto a la hacienda pública, tanto en su vertiente de ingresos como en la de gastos”. Ello le lleva a concluir que este título comprende “las prescripciones referidas al régimen jurídico común a todas las haciendas públicas” en la medida en que sean necesarias para hacer efectivos los principios constitucionales que vinculan los ingresos y gastos públicos. La amplitud de ese régimen común ha de tener menor alcance respecto a la potestad de gasto de los poderes públicos, que es en la que se incardinan las subvenciones, pues la competencia autonómica en materia de gasto sólo conoce el límite constitucional del art. 31.2 CE y el derivado de la coordinación estatal </w:t>
      </w:r>
      <w:r w:rsidRPr="0026452D">
        <w:rPr>
          <w:i/>
        </w:rPr>
        <w:t>ex</w:t>
      </w:r>
      <w:r>
        <w:t xml:space="preserve"> art. 156.1 CE. Tanto así es que hasta que no se aprobó la Ley 18/2001, de 12 de diciembre, general de estabilidad presupuestaria, el legislador estatal no se había amparado en el titulo competencial de hacienda general para intervenir en el poder de gasto de las Comunidades Autónomas. Aunando estos conceptos, sostiene el recurrente que el art. 149.1.14 CE atribuye al Estado como materia reservada en exclusiva el régimen jurídico común a todas las haciendas públicas al efecto de asegurar una conformación del gasto público basada en los siguientes criterios: a) en la asignación de los recursos públicos de acuerdo con criterios de equidad, eficiencia y economía (art. 31 CE); b) en el tratamiento común a los ciudadanos en sus relaciones con la administración financiera; y c) en una cierta unidad estructural en las formas de intervención y organización de estas Administraciones que permitan una fluidez adecuada en sus relaciones de cooperación y colaboración.</w:t>
      </w:r>
    </w:p>
    <w:p w:rsidR="0026452D" w:rsidRDefault="0026452D" w:rsidP="0026452D">
      <w:pPr>
        <w:pStyle w:val="TextoNormal"/>
      </w:pPr>
    </w:p>
    <w:p w:rsidR="0026452D" w:rsidRDefault="0026452D" w:rsidP="0026452D">
      <w:pPr>
        <w:pStyle w:val="TextoNormal"/>
      </w:pPr>
      <w:r>
        <w:t>c) El resto de alegaciones tratan de los preceptos que se impugnan, principiando por el art. 3.4 a), en su inciso “o básica”. Sobre este punto, se subraya en la demanda que el ámbito de aplicación subjetiva de la Ley general de subvenciones prevé en su art. 3, cuyos apartados 3 y 4 amplían, respecto a lo previsto por el Real Decreto 2225/1993, los casos en los que la actividad subvencional autonómica se sujeta a la normativa estatal. El art. 3.3 prevé que “los preceptos de esta ley serán de aplicación a la actividad subvencionadora de las Administraciones de las comunidades autónomas, así como a los organismos públicos y las restantes entidades de derecho público con personalidad jurídica propia vinculadas o dependientes de las mismas, de acuerdo con lo establecido en la disposición final primera”, cuyo apartado 1 contiene una lista de los preceptos que constituyen legislación básica del Estado. Dado que la subvención supone una relación entre la Administración y los ciudadanos, en la que es preciso garantizar un tratamiento común en todo el territorio del Estado a través de unas prescripciones básicas de organización y actuación, los recurrentes no objetan que el art. 3.3 sujete las subvenciones acordadas por las Comunidades Autónomas a la normativa básica estatal. El art. 3.4 a) de la Ley general de subvenciones, en cambio, alude a subvenciones con origen en una decisión estatal basada en su soberanía financiera, que a su vez son de dos tipos, según recaigan sobre materias en que el Estado tiene competencia legislativa plena o sobre materias en que solo le compete fijar las bases, disponiendo que en ambos supuestos la Ley general de subvenciones se aplica en su integridad y no solo en los preceptos calificados de básicos.</w:t>
      </w:r>
    </w:p>
    <w:p w:rsidR="0026452D" w:rsidRDefault="0026452D" w:rsidP="0026452D">
      <w:pPr>
        <w:pStyle w:val="TextoNormal"/>
      </w:pPr>
    </w:p>
    <w:p w:rsidR="0026452D" w:rsidRDefault="0026452D" w:rsidP="0026452D">
      <w:pPr>
        <w:pStyle w:val="TextoNormal"/>
      </w:pPr>
      <w:r>
        <w:t>La demanda, partiendo de la doctrina constitucional ya expuesta (en especial, la STC 13/1992, de 6 de febrero), según la cual es competente para fijar las reglas procedimentales la instancia que lo es para el régimen sustantivo de cada actividad, consideran que esta aplicación íntegra prevista en el art. 3.4 a) de la Ley general de subvenciones es constitucional solo respecto del primero de los supuestos, siendo inconstitucional respecto del segundo. En efecto, si el Estado tiene competencia legislativa plena sobre la materia en que incide la subvención nada se puede objetar a que el régimen jurídico y procedimental de la subvención sea el fijado en una norma estatal. Ahora bien, en caso que el Estado sobre la actividad a que se refiera la subvención solo esté facultado para señalar las bases, la regulación estatal del régimen jurídico y procedimental de la subvención debe limitarse también a lo básico, dejando a las Comunidades Autónomas espacio para desarrollar las mismas, concluyendo que el art. 3.4 a) en su inciso “o básica” es inconstitucional por no respetar esa limitación.</w:t>
      </w:r>
    </w:p>
    <w:p w:rsidR="0026452D" w:rsidRDefault="0026452D" w:rsidP="0026452D">
      <w:pPr>
        <w:pStyle w:val="TextoNormal"/>
      </w:pPr>
    </w:p>
    <w:p w:rsidR="0026452D" w:rsidRDefault="0026452D" w:rsidP="0026452D">
      <w:pPr>
        <w:pStyle w:val="TextoNormal"/>
      </w:pPr>
      <w:r>
        <w:t xml:space="preserve">Los demandantes impugnan, en segundo lugar, el art. 6.2 de la Ley general de subvenciones que contiene el siguiente tenor literal: “[L]os procedimientos de concesión y de control de las subvenciones regulados en esta Ley tendrán carácter supletorio respecto de las normas de aplicación directa a las subvenciones financiadas con cargo a fondos de la Unión Europea”. Su pretensión se basa en numerosa y constante jurisprudencia constitucional, citando como ejemplo la STC 79/1992, de 28 de mayo, que resolvió un conflicto relativo a la gestión del Fondo Europeo de Orientación y de Garantía Agrícola, según la cual ni el Estado ni las Comunidades Autónomas ven alterado su propio ámbito de competencias por la conexión comunitaria de la materia implicada. A partir de tal doctrina constitucional, sostienen que “la aplicación de las reglas sobre procedimientos de concesión y de control de las subvenciones ha de operar de acuerdo con los principios establecidos en el artículo 3 de la LGS [Ley general de subvenciones], conectadas con la competencia que tiene cada Administración pública sobre la materia objeto de la subvención; sin embargo el articulo 6.2 propugna </w:t>
      </w:r>
      <w:r>
        <w:lastRenderedPageBreak/>
        <w:t>precisamente la solución contraria e impone la aplicación de la normativa estatal en todo lo no previsto en la normativa comunitaria, pues tal es el sentido que parece desprenderse de la expresión ‘normas de aplicación directa a las subvenciones financiadas con cargo a fondos de la Unión Europea’. Por tanto, se produce un desplazamiento de la normativa autonómica, que por razón de la materia es aplicable al procedimiento de concesión y control de subvenciones, sustituyéndola in totum por el mero hecho de tratarse de una subvención financiada con cargo a fondos de la Unión Europea”.</w:t>
      </w:r>
    </w:p>
    <w:p w:rsidR="0026452D" w:rsidRDefault="0026452D" w:rsidP="0026452D">
      <w:pPr>
        <w:pStyle w:val="TextoNormal"/>
      </w:pPr>
    </w:p>
    <w:p w:rsidR="0026452D" w:rsidRDefault="0026452D" w:rsidP="0026452D">
      <w:pPr>
        <w:pStyle w:val="TextoNormal"/>
      </w:pPr>
      <w:r>
        <w:t xml:space="preserve">También se insta la declaración de inconstitucionalidad del art. 13.3 de la Ley general de subvenciones, que prohíbe que puedan obtener la condición de beneficiario o entidad colaboradora las asociaciones incursas en la causa de prohibición </w:t>
      </w:r>
      <w:r w:rsidRPr="0026452D">
        <w:rPr>
          <w:i/>
        </w:rPr>
        <w:t>ex</w:t>
      </w:r>
      <w:r>
        <w:t xml:space="preserve"> art. 4.6 de la Ley Orgánica 1/2002, de 22 de marzo, reguladora del derecho de asociación, pretensión que se basa en que el precepto remitido es, a su juicio, inconstitucional, en tanto que presume </w:t>
      </w:r>
      <w:r w:rsidRPr="0026452D">
        <w:rPr>
          <w:i/>
        </w:rPr>
        <w:t>iuris et de iure</w:t>
      </w:r>
      <w:r>
        <w:t xml:space="preserve"> que la condena por delito de pertenencia, colaboración o actuación al servicio de banda armada dictada contra cualquiera de sus miembros activos presupone que se imputa automáticamente a la asociación la realización de las actividades descritas, aun cuando no las haya realizado realmente e incluso en el supuesto de que la conducta delictiva no tenga ninguna relación con la condición de asociado del condenado, previsión normativa que parece al recurrente tan exagerada que le lleva a calificar esta norma de arbitraria y desproporcionada y, por tanto, vedada por el art. 9.3 CE.</w:t>
      </w:r>
    </w:p>
    <w:p w:rsidR="0026452D" w:rsidRDefault="0026452D" w:rsidP="0026452D">
      <w:pPr>
        <w:pStyle w:val="TextoNormal"/>
      </w:pPr>
    </w:p>
    <w:p w:rsidR="0026452D" w:rsidRDefault="0026452D" w:rsidP="0026452D">
      <w:pPr>
        <w:pStyle w:val="TextoNormal"/>
      </w:pPr>
      <w:r>
        <w:t>Se dirige igualmente el recurso contra el art. 13.5 de la Ley general de subvenciones. De un lado, porque la previsión que contiene acerca de la fijación del alcance de la prohibición prevista en el art. 13.2 a) de la Ley general de subvenciones constituye “una intervención del legislador en materias propias de la potestad jurisdiccional, que no puede cubrirse desde el principio de exclusividad judicial consagrado por el art. 117.3 CE … No es posible aceptar el supuesto de una sentencia condenatoria que no fije el alcance de la condena, y que tampoco lo haga mediante recurso de aclaración o en ejecución de sentencia … En suma, no parece aceptable que mediante una norma de rango reglamentario se pueda fijar el alcance de una pena”; de otro, porque, en cuanto a la previsión que contiene acerca de la fijación del alcance de la prohibición prevista en el art. 13.2 h) de la Ley general de subvenciones, “lo que en realidad establece el precepto es que la resolución sancionadora no determine el alcance de la sanción, haciéndolo posteriormente una norma de rango reglamentario; norma que incumple las garantías y requisitos exigibles a toda decisión sancionadora”.</w:t>
      </w:r>
    </w:p>
    <w:p w:rsidR="0026452D" w:rsidRDefault="0026452D" w:rsidP="0026452D">
      <w:pPr>
        <w:pStyle w:val="TextoNormal"/>
      </w:pPr>
    </w:p>
    <w:p w:rsidR="0026452D" w:rsidRDefault="0026452D" w:rsidP="0026452D">
      <w:pPr>
        <w:pStyle w:val="TextoNormal"/>
      </w:pPr>
      <w:r>
        <w:t xml:space="preserve">Asimismo plantean la inconstitucionalidad del párrafo c) de la segunda parte del apartado 2 del art. 45 de la Ley general de subvenciones, que asigna a la Intervención General del Estado la actuación de los “controles previstos en el plan anual cuando razones de orden territorial o de otra índole así lo aconsejen”, si de él “se pretendiera derivar la competencia de la Intervención General del Estado para realizar en cualquier momento o circunstancia controles específicos sobre empresas agrarias, cuando ella misma apreciase la existencia de estos criterios, sin más requisitos”. Más adelante contraen su solicitud a la expresión “razones de otra índole”, pues “mientras que la constitucionalidad de la referencia a ‘razones de orden territorial’ puede salvarse si se entiende referida únicamente a los controles sobre empresas agrícolas que no ejerzan su actividad económica, ni tan solo principalmente en una sola Comunidad Autónoma, la expresión ‘razones de otra índole’ es más ambigua, y permite la realización de actuaciones de control por parte de la Intervención General del Estado que ignoren totalmente las competencias ejecutivas autonómicas. Es cierto que estos </w:t>
      </w:r>
      <w:r>
        <w:lastRenderedPageBreak/>
        <w:t>controles deben estar previstos en el plan anual, como así lo exige la misma letra c) del art. 45.2 de la LGS y que este plan anual se elabora en coordinación con los órganos de control de las comunidades autónomas, pero ello no es garantía suficiente, pues sin duda los planes serán decididos, en última instancia, por la Intervención General del Estado”.</w:t>
      </w:r>
    </w:p>
    <w:p w:rsidR="0026452D" w:rsidRDefault="0026452D" w:rsidP="0026452D">
      <w:pPr>
        <w:pStyle w:val="TextoNormal"/>
      </w:pPr>
    </w:p>
    <w:p w:rsidR="0026452D" w:rsidRDefault="0026452D" w:rsidP="0026452D">
      <w:pPr>
        <w:pStyle w:val="TextoNormal"/>
      </w:pPr>
      <w:r>
        <w:t>A juicio de los recurrentes, la redacción del art. 52 de la Ley general de subvenciones, que prevé que “constituyen infracciones administrativas en materia de subvenciones las acciones y omisiones tipificadas en esta Ley y serán sancionables incluso a título de simple negligencia”, es inconstitucional porque “parece indiscutible que la misma define un catálogo cerrado de infracciones que no puede ser objeto de ampliación, precisión o modulación por parte del legislador autonómico, contraviniendo así la doctrina constitucional sobre la distribución de competencias entre el Estado y las comunidades autónomas en materia sancionadora”, según la cual, con cita literal de la STC 156/1995, de 26 de octubre, “la potestad sancionadora no constituye un título competencial autónomo y, por ello, hemos dicho que ‘las Comunidades Autónomas pueden adoptar normas administrativas sancionadoras cuando, teniendo competencia sobre la materia sustantiva de que se trate, tales disposiciones … no introduzcan divergencias irrazonables y desproporcionadas al fin perseguido respecto del régimen jurídico aplicable en otras partes del territorio (art. 149.1.1)”, no pudiendo el legislador estatal más que, según la misma Sentencia, “con la finalidad de garantizar unos mínimos de protección comunes a todo el territorio nacional, el Estado pueda establecer con carácter básico un catálogo mínimo de conductas —ampliable por el legislador autonómico— que en todo caso se deberán considerar infracciones administrativas (art. 38 LCEN); asimismo, que pueda determinar que algunas de esas conductas tendrán siempre la calificación de infracciones graves (art. 39.2) y. por último, que pueda establecer los criterios generalas para la determinación de la gravedad de las infracciones”.</w:t>
      </w:r>
    </w:p>
    <w:p w:rsidR="0026452D" w:rsidRDefault="0026452D" w:rsidP="0026452D">
      <w:pPr>
        <w:pStyle w:val="TextoNormal"/>
      </w:pPr>
    </w:p>
    <w:p w:rsidR="0026452D" w:rsidRDefault="0026452D" w:rsidP="0026452D">
      <w:pPr>
        <w:pStyle w:val="TextoNormal"/>
      </w:pPr>
      <w:r>
        <w:t>Finalmente, los recurrentes sostienen que el apartado 1 de la disposición final primera es inconstitucional. De un lado, le reprochan que ampare la Ley impugnada en la invocación conjunta de los títulos competenciales estatales reconocidos en los números 13, 14 y 18 del art. 149.1 CE, pues de ese modo, a su juicio, se infringe el principio de seguridad jurídica (art. 9.3 CE), especialmente cuando, como es el caso, el alcance de los títulos invocados es distinto. De otro, resulta inconstitucional por declarar básicos artículos que no tienen materialmente este carácter, en particular los siguientes:</w:t>
      </w:r>
    </w:p>
    <w:p w:rsidR="0026452D" w:rsidRDefault="0026452D" w:rsidP="0026452D">
      <w:pPr>
        <w:pStyle w:val="TextoNormal"/>
      </w:pPr>
    </w:p>
    <w:p w:rsidR="0026452D" w:rsidRDefault="0026452D" w:rsidP="0026452D">
      <w:pPr>
        <w:pStyle w:val="TextoNormal"/>
      </w:pPr>
      <w:r>
        <w:t>El art. 29 de la Ley general de subvenciones, que incluye reglas sobre la subcontratación de actividades subvencionadas, no podría ampararse más que en el título Hacienda general, y solo “a condición de que se considere que la concertación de la ejecución de la actividad subvencionadora con personas diferentes del beneficiario pueda afectar la correcta gestión de los fondos públicos entregados a éste”. Además, los apartados 3 a), que impone la forma escrita para la subcontratación cuando el importe exceda de una determinada cuantía y 3 b), que hace necesaria una autorización especial para la subcontratación, incurren en excesivo detallismo al señalar la cuantía concreta a partir de la cual operan las exigencias que prevén, cuando “debe ser la misma normativa autonómica o, mejor aún, las bases que regulen cada subvención las que, en función de los parámetros que concurran, establezcan esta cuantía, que no tiene porqué ser siempre idéntica”.</w:t>
      </w:r>
    </w:p>
    <w:p w:rsidR="0026452D" w:rsidRDefault="0026452D" w:rsidP="0026452D">
      <w:pPr>
        <w:pStyle w:val="TextoNormal"/>
      </w:pPr>
    </w:p>
    <w:p w:rsidR="0026452D" w:rsidRDefault="0026452D" w:rsidP="0026452D">
      <w:pPr>
        <w:pStyle w:val="TextoNormal"/>
      </w:pPr>
      <w:r>
        <w:lastRenderedPageBreak/>
        <w:t>El art. 30 de la Ley, que contiene reglas precisas y detalladas sobre la justificación de la subvención, es constitucional en tanto que impone el principio de la justificación de la subvención y señala criterios generales que aseguran que no se somete a los beneficiarios a formas de justificación innecesarias y, a la vez, que la Administración competente practica una fiscalización suficiente. En cambio, los demás aspectos son accesorios, y no tienen por qué ser incorporados a la norma básica. Así, es inconstitucional el art. 30.3 pues remite al reglamento la determinación de los documentos precisos para acreditar los gastos realizados cuando ya el mismo precepto establece que tales documentos deben tener valor probatorio equivalente en el tráfico jurídico mercantil o eficacia administrativa. Y también lo es porque remite al reglamento el establecimiento de un sistema común de sellado y validación de los documentos, dado que el objetivo legítimo de prevenir la utilización fraudulenta de documentos en diferentes subvenciones, que incluso pueden haber sido otorgadas por diversas Administraciones u organismos públicos, puede ser logrado de múltiples formas, como muestran las soluciones adoptadas en otros ámbitos de la acción administrativa. Es igualmente inconstitucional, a su juicio, el art. 30.5, pues el aporte del certificado de tasador independiente ofrece suficientes garantías, sin que sean necesarias más precisiones sobre su acreditación e inscripción en registro oficial. En conclusión, “las frases ‘en los términos establecidos reglamentariamente’ del apartado 3 y ‘debidamente acreditado e inscrito en el correspondiente registro oficial’ del apartado 5 del art. 30 no tienen carácter básico, y por ende resulta inconstitucional la disposición final primera.1 que los califica de tales”.</w:t>
      </w:r>
    </w:p>
    <w:p w:rsidR="0026452D" w:rsidRDefault="0026452D" w:rsidP="0026452D">
      <w:pPr>
        <w:pStyle w:val="TextoNormal"/>
      </w:pPr>
    </w:p>
    <w:p w:rsidR="0026452D" w:rsidRDefault="0026452D" w:rsidP="0026452D">
      <w:pPr>
        <w:pStyle w:val="TextoNormal"/>
      </w:pPr>
      <w:r>
        <w:t>El art. 31 de la Ley general de subvenciones, relativo a los gastos subvencionables, contiene, según los recurrentes, “una regulación extraordinariamente detallada y minuciosa, más propia de las bases reguladoras de cada subvención concreta que de un texto legal o reglamentario. Para garantizar el común denominador normativo basta con los criterios conceptuales de los apartados l y 2, con la determinación de gastos subvencionables efectuada por el apartado 7, que por cierto remite a las bases reguladoras y deja margen suficiente a la normativa autonómica, y con el apartado 8 sobre el carácter de gasto subvencionable de los tributos. Consecuentemente los apartados 3 a 9 (ambos inclusive) del art. 31 no tienen carácter básico y por ello es inconstitucional la disposición final primera. 1 en la medida en que así los califica”.</w:t>
      </w:r>
    </w:p>
    <w:p w:rsidR="0026452D" w:rsidRDefault="0026452D" w:rsidP="0026452D">
      <w:pPr>
        <w:pStyle w:val="TextoNormal"/>
      </w:pPr>
    </w:p>
    <w:p w:rsidR="0026452D" w:rsidRDefault="0026452D" w:rsidP="0026452D">
      <w:pPr>
        <w:pStyle w:val="TextoNormal"/>
      </w:pPr>
      <w:r w:rsidRPr="0026452D">
        <w:rPr>
          <w:rStyle w:val="NumeroAFNegritaCaracter"/>
        </w:rPr>
        <w:t>2</w:t>
      </w:r>
      <w:r>
        <w:t>. En providencia de 23 de marzo de 2004 se acordó admitir a trámite el recurso, dar traslado de la demanda y documentos presentados al Congreso de los Diputados, al Senado y al Gobierno al objeto de que puedan personarse en el proceso y formular las alegaciones que estimaren convenientes, y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El 5 de abril de 2004 la Presidenta del Congreso de los Diputados comunicó el acuerdo de la Mesa de la Cámara de no personarse en el proceso ni formular alegaciones, poniéndose a disposición del Tribunal.</w:t>
      </w:r>
    </w:p>
    <w:p w:rsidR="0026452D" w:rsidRDefault="0026452D" w:rsidP="0026452D">
      <w:pPr>
        <w:pStyle w:val="TextoNormal"/>
      </w:pPr>
    </w:p>
    <w:p w:rsidR="0026452D" w:rsidRDefault="0026452D" w:rsidP="0026452D">
      <w:pPr>
        <w:pStyle w:val="TextoNormal"/>
      </w:pPr>
      <w:r w:rsidRPr="0026452D">
        <w:rPr>
          <w:rStyle w:val="NumeroAFNegritaCaracter"/>
        </w:rPr>
        <w:t>4</w:t>
      </w:r>
      <w:r>
        <w:t>. El 20 de abril de 2004 el Abogado del Estado se personó en el recurso y formuló las alegaciones que sustentaron su petición de que fuera desestimado.</w:t>
      </w:r>
    </w:p>
    <w:p w:rsidR="0026452D" w:rsidRDefault="0026452D" w:rsidP="0026452D">
      <w:pPr>
        <w:pStyle w:val="TextoNormal"/>
      </w:pPr>
    </w:p>
    <w:p w:rsidR="0026452D" w:rsidRDefault="0026452D" w:rsidP="0026452D">
      <w:pPr>
        <w:pStyle w:val="TextoNormal"/>
      </w:pPr>
      <w:r>
        <w:lastRenderedPageBreak/>
        <w:t>a) En primer lugar expone el orden constitucional de competencias respecto al régimen jurídico de la relación subvencional. Afirma que la exposición de motivos de la Ley impugnada de forma expresa resume la doctrina del Tribunal Constitucional respecto al art. 149.1.18 CE, precepto que, asignando al Estado competencia exclusiva sobre las bases del régimen jurídico de las Administraciones públicas y sobre el procedimiento administrativo común, le permite establecer el régimen jurídico común de la relación subvencional. Este régimen jurídico común viene exigido, además, por la naturaleza de la subvención como una modalidad de gasto público, siéndole de aplicación los principios contenidos en diversos preceptos de la Constitución, en concreto los arts. 31.2 (asignación equitativa de los recursos a través del gasto público), 128.1 (subordinación de toda riqueza del país, sea cual fuere su titularidad, al interés general), 131.1 (planificación por el Estado de la actividad económica general) y 134.2 (inclusión en los presupuestos generales del Estado de la totalidad del gasto y, en concreto, de las subvenciones). De aquí la invocación de los títulos competenciales previstos en el art. 149.1.13 y 14 CE. Y que, conforme con tal reparto competencial resultante de la doctrina del Tribunal Constitucional, el Estado:</w:t>
      </w:r>
    </w:p>
    <w:p w:rsidR="0026452D" w:rsidRDefault="0026452D" w:rsidP="0026452D">
      <w:pPr>
        <w:pStyle w:val="TextoNormal"/>
      </w:pPr>
    </w:p>
    <w:p w:rsidR="0026452D" w:rsidRDefault="0026452D" w:rsidP="0026452D">
      <w:pPr>
        <w:pStyle w:val="TextoNormal"/>
      </w:pPr>
      <w:r>
        <w:t>- Puede establecer, de acuerdo con su competencia de regulación de las bases del régimen jurídico de las Administraciones públicas, principios y reglas básicas sobre aspectos organizativos y de funcionamiento de todas las Administraciones públicas, determinando los elementos esenciales que garantizan un régimen jurídico unitario aplicable a todas ellas (SSTC 32/1981, de 28 de julio; 227/1988, de 29 de noviembre y 50/1999, de 6 de abril).</w:t>
      </w:r>
    </w:p>
    <w:p w:rsidR="0026452D" w:rsidRDefault="0026452D" w:rsidP="0026452D">
      <w:pPr>
        <w:pStyle w:val="TextoNormal"/>
      </w:pPr>
    </w:p>
    <w:p w:rsidR="0026452D" w:rsidRDefault="0026452D" w:rsidP="0026452D">
      <w:pPr>
        <w:pStyle w:val="TextoNormal"/>
      </w:pPr>
      <w:r>
        <w:t>- Puede regular el procedimiento administrativo común, que se extiende no sólo a la regulación de aquél, sino también a los principios y normas que prescriben la forma de elaboración de los actos, los requisitos de validez y eficacia, los modos de revisión y los medios de ejecución de los actos administrativos, incluyendo las garantías de los particulares en el seno del procedimiento (SSTC 227/1988, de 29 de noviembre y 50/1999, de 6 de abril).</w:t>
      </w:r>
    </w:p>
    <w:p w:rsidR="0026452D" w:rsidRDefault="0026452D" w:rsidP="0026452D">
      <w:pPr>
        <w:pStyle w:val="TextoNormal"/>
      </w:pPr>
    </w:p>
    <w:p w:rsidR="0026452D" w:rsidRDefault="0026452D" w:rsidP="0026452D">
      <w:pPr>
        <w:pStyle w:val="TextoNormal"/>
      </w:pPr>
      <w:r>
        <w:t>- En relación con la potestad sancionadora, puede regular con carácter básico los tipos ilícitos administrativos, los criterios para la calificación de su gravedad y los límites máximos y mínimos de las correspondientes sanciones, sin perjuicio de la legislación sancionadora que puedan establecer las Comunidades Autónomas para modular tipos y sanciones en el marco de aquellas normas básicas.</w:t>
      </w:r>
    </w:p>
    <w:p w:rsidR="0026452D" w:rsidRDefault="0026452D" w:rsidP="0026452D">
      <w:pPr>
        <w:pStyle w:val="TextoNormal"/>
      </w:pPr>
    </w:p>
    <w:p w:rsidR="0026452D" w:rsidRDefault="0026452D" w:rsidP="0026452D">
      <w:pPr>
        <w:pStyle w:val="TextoNormal"/>
      </w:pPr>
      <w:r>
        <w:t>Como consecuencia de todo ello, el Abogado del Estado considera que constituyen legislación básica, junto a la definición del ámbito de aplicación de la Ley general de subvenciones, las disposiciones comunes que definen los elementos objetivos y subjetivos de la relación jurídica subvencional, el régimen de coordinación de la actuación de las diferentes Administraciones públicas, las normas del procedimiento de gestión y justificación de las subvenciones, la invalidez de la resolución de concesión, las causas y obligados al reintegro de las subvenciones, el régimen material de las infracciones y las reglas básicas de las infracciones en el orden subvencional. Por tanto, concluye, los preceptos impugnados que estén anudados a este contenido tienen carácter básico.</w:t>
      </w:r>
    </w:p>
    <w:p w:rsidR="0026452D" w:rsidRDefault="0026452D" w:rsidP="0026452D">
      <w:pPr>
        <w:pStyle w:val="TextoNormal"/>
      </w:pPr>
    </w:p>
    <w:p w:rsidR="0026452D" w:rsidRDefault="0026452D" w:rsidP="0026452D">
      <w:pPr>
        <w:pStyle w:val="TextoNormal"/>
      </w:pPr>
      <w:r>
        <w:t>b) Seguidamente, el Abogado del Estado procede al examen de los preceptos legales impugnados de acuerdo con el criterio indicado. Y así:</w:t>
      </w:r>
    </w:p>
    <w:p w:rsidR="0026452D" w:rsidRDefault="0026452D" w:rsidP="0026452D">
      <w:pPr>
        <w:pStyle w:val="TextoNormal"/>
      </w:pPr>
    </w:p>
    <w:p w:rsidR="0026452D" w:rsidRDefault="0026452D" w:rsidP="0026452D">
      <w:pPr>
        <w:pStyle w:val="TextoNormal"/>
      </w:pPr>
      <w:r>
        <w:lastRenderedPageBreak/>
        <w:t>- Rechaza la impugnación dirigida contra el art. 3.4 a). Siendo el argumento de la demanda que este precepto viola las competencias de las Comunidades Autónomas en las materias en las que corresponde al Estado la legislación básica y a aquéllas el desarrollo legislativo y la ejecución, aduce el Abogado del Estado que el precepto no impide que las Comunidades Autónomas desarrollen su competencia para concretar con mayor detalle la afectación o destino o, al menos, para desarrollar y complementar la regulación de las condiciones de otorgamiento de las ayudas y su tramitación (STC 13/1992, de 6 de febrero).</w:t>
      </w:r>
    </w:p>
    <w:p w:rsidR="0026452D" w:rsidRDefault="0026452D" w:rsidP="0026452D">
      <w:pPr>
        <w:pStyle w:val="TextoNormal"/>
      </w:pPr>
    </w:p>
    <w:p w:rsidR="0026452D" w:rsidRDefault="0026452D" w:rsidP="0026452D">
      <w:pPr>
        <w:pStyle w:val="TextoNormal"/>
      </w:pPr>
      <w:r>
        <w:t>- En cuanto al art. 6.2, parte el Abogado del Estado de la premisa de que el apartado primero del precepto prevé que las subvenciones financiadas con cargo a fondos de la Unión Europea se rigen por la normativa comunitaria correspondiente y por las normas nacionales de desarrollo o transposición de aquélla, que pueden ser estatales o autonómicas.</w:t>
      </w:r>
    </w:p>
    <w:p w:rsidR="0026452D" w:rsidRDefault="0026452D" w:rsidP="0026452D">
      <w:pPr>
        <w:pStyle w:val="TextoNormal"/>
      </w:pPr>
    </w:p>
    <w:p w:rsidR="0026452D" w:rsidRDefault="0026452D" w:rsidP="0026452D">
      <w:pPr>
        <w:pStyle w:val="TextoNormal"/>
      </w:pPr>
      <w:r>
        <w:t>De acuerdo con ello, el apartado segundo impugnado, establece el carácter supletorio de la Ley general de subvenciones sólo en cuanto a los procedimientos de concesión y control de las subvenciones respecto a las normas de aplicación directa a dichas subvenciones con cargo a fondos europeos. O sea, para que el precepto sea de aplicación será necesario: en primer lugar, que exista una laguna legal, presupuesto exigido para que opere la supletoriedad; y en segundo lugar, la declaración de supletoriedad no se proyecta sobre los aspectos sustantivos de la materia en la que se concreta la actividad subvencional, lo que no estaría amparado por la jurisprudencia constitucional, sino solamente sobre los procedimientos de concesión y control de las subvenciones, lo que no altera el reparto competencial.</w:t>
      </w:r>
    </w:p>
    <w:p w:rsidR="0026452D" w:rsidRDefault="0026452D" w:rsidP="0026452D">
      <w:pPr>
        <w:pStyle w:val="TextoNormal"/>
      </w:pPr>
    </w:p>
    <w:p w:rsidR="0026452D" w:rsidRDefault="0026452D" w:rsidP="0026452D">
      <w:pPr>
        <w:pStyle w:val="TextoNormal"/>
      </w:pPr>
      <w:r>
        <w:t>- El Abogado del Estado discrepa de que el art. 13.5 suponga una intervención del legislador en el ejercicio de la actividad jurisdiccional. La lectura del precepto impugnado —sostiene el Abogado del Estado— permite entender que las prohibiciones contenidas en el apartado 2 a) y h) del mismo se apreciarán de forma automática con el alcance de la prohibición que determine la Sentencia o resolución firme que la imponga. Solo en el caso, difícil de producirse, de que en la Sentencia o resolución firme no se fije el alcance de la prohibición, es cuando el reglamento deberá regular no el alcance mismo, sino el procedimiento para fijarlo. Además, en caso de que la prohibición no derive de Sentencia, se fija un límite máximo de cinco años, que coincide con la máxima sanción prevista en la propia Ley general de subvenciones. El recurso de inconstitucionalidad es preventivo o anticipatorio en este punto, “pues sin conocer el procedimiento a regular por el Reglamento no puede decirse que a través de esta fuente normativa se está sustituyendo el ejercicio de la potestad jurisdiccional, pues el contenido del futuro Reglamento se referirá al procedimiento de actuación de la Administración que juzga el cumplimiento de los requisitos de la condición de beneficiario o entidad reguladora, pero no que será ella por sí misma la que fije el alcance de la prohibición”.</w:t>
      </w:r>
    </w:p>
    <w:p w:rsidR="0026452D" w:rsidRDefault="0026452D" w:rsidP="0026452D">
      <w:pPr>
        <w:pStyle w:val="TextoNormal"/>
      </w:pPr>
    </w:p>
    <w:p w:rsidR="0026452D" w:rsidRDefault="0026452D" w:rsidP="0026452D">
      <w:pPr>
        <w:pStyle w:val="TextoNormal"/>
      </w:pPr>
      <w:r>
        <w:t>Rechaza igualmente la impugnación relativa al art. 13.3. Dice respecto de ella que “las alegaciones son las que en su momento hizo a la citada Ley el Consejo Consultivo de la Generalidad pero que no se vieron vertidas en la demanda de recurso de inconstitucionalidad contra la misma, ya que dicho precepto no fue impugnado (Véase recurso de inconstitucionalidad 3974-2002)”.</w:t>
      </w:r>
    </w:p>
    <w:p w:rsidR="0026452D" w:rsidRDefault="0026452D" w:rsidP="0026452D">
      <w:pPr>
        <w:pStyle w:val="TextoNormal"/>
      </w:pPr>
    </w:p>
    <w:p w:rsidR="0026452D" w:rsidRDefault="0026452D" w:rsidP="0026452D">
      <w:pPr>
        <w:pStyle w:val="TextoNormal"/>
      </w:pPr>
      <w:r>
        <w:t xml:space="preserve">- El reproche formulado al art. 45.2 c) tiene, según el Abogado del Estado, carácter preventivo, pues sin ningún esfuerzo cabe una interpretación acorde con el orden competencial </w:t>
      </w:r>
      <w:r>
        <w:lastRenderedPageBreak/>
        <w:t>del inciso “de otra índole”, sin que pueda entenderse que conlleva controles por parte de la Intervención General de la Administración del Estado que lesionen las competencias de las Comunidades Autónomas. Si se acepta que estos controles forman parte de las funciones de coordinación —controles que deben estar previstos en el plan anual en cuya elaboración participan las Comunidades Autónomas— no hay que atribuir intenciones aviesas a dicho inciso, pues, en todo caso, las actuaciones concretas pueden impugnarse a través del conflicto positivo de competencia si efectivamente se produjera una invasión competencial.</w:t>
      </w:r>
    </w:p>
    <w:p w:rsidR="0026452D" w:rsidRDefault="0026452D" w:rsidP="0026452D">
      <w:pPr>
        <w:pStyle w:val="TextoNormal"/>
      </w:pPr>
    </w:p>
    <w:p w:rsidR="0026452D" w:rsidRDefault="0026452D" w:rsidP="0026452D">
      <w:pPr>
        <w:pStyle w:val="TextoNormal"/>
      </w:pPr>
      <w:r>
        <w:t>- En cuanto al art. 52, no supone para el Abogado del Estado vulneración de las competencias de las Comunidades Autónomas en el ejercicio de su potestad sancionadora en las materias sustantivas en las que ostentan competencias, pues no impide que aquéllas puedan modular los tipos y las sanciones, con lo que les resta intacta la facultad de regular las infracciones y sanciones sin más límite que el respeto a los principios básicos de tipicidad, legalidad y culpabilidad que el Estado establece en ese art. 52 con apoyo, de acuerdo con la jurisprudencia constitucional invocada en la primera alegación, en el art. 149.1.1 CE.</w:t>
      </w:r>
    </w:p>
    <w:p w:rsidR="0026452D" w:rsidRDefault="0026452D" w:rsidP="0026452D">
      <w:pPr>
        <w:pStyle w:val="TextoNormal"/>
      </w:pPr>
    </w:p>
    <w:p w:rsidR="0026452D" w:rsidRDefault="0026452D" w:rsidP="0026452D">
      <w:pPr>
        <w:pStyle w:val="TextoNormal"/>
      </w:pPr>
      <w:r>
        <w:t>- Rechaza que el apartado 1 de la disposición final primera vulnere el principio de seguridad jurídica (art. 9.3 CE), pues “es bien conocido que el Tribunal Constitucional ha admitido la concurrencia de una pluralidad de títulos competenciales con proyección sobre un determinado sector de la actividad de los poderes públicos, que inevitablemente concernidos inciden al mismo tiempo en dos o más ámbitos categoriales diversos, lo que está muy lejos de constituir una vulneración de la seguridad jurídica cuando son invocados en la norma de controversia y aunque ello lleve, incluso, en el caso de incidencia de la actividad considerada en otros ámbitos, a tomar en consideración por el propio Tribunal Constitucional diversos títulos competenciales distintos”.</w:t>
      </w:r>
    </w:p>
    <w:p w:rsidR="0026452D" w:rsidRDefault="0026452D" w:rsidP="0026452D">
      <w:pPr>
        <w:pStyle w:val="TextoNormal"/>
      </w:pPr>
    </w:p>
    <w:p w:rsidR="0026452D" w:rsidRDefault="0026452D" w:rsidP="0026452D">
      <w:pPr>
        <w:pStyle w:val="TextoNormal"/>
      </w:pPr>
      <w:r>
        <w:t>Por lo que hace al controvertido carácter básico que este precepto atribuye a ciertos artículos, el Abogado del Estado lo justifica en que “forman parte de un mínimo normativo común exigido para que el régimen jurídico de la relación subvencional sea homogéneo en toda España”. En primer lugar, partiendo de que la figura de la subcontratación de las actividades subvencionadas forma parte del núcleo esencial de la relación jurídica subvencional, resulta razonable que el art. 29.3 someta a aquélla a algunos requisitos (forma escrita del contrato y autorización de la Administración concedente) que buscan evitar que los beneficiarios se conviertan en meros intermediarios. Además, las Comunidades Autónomas tienen margen para desarrollar este mínimo normativo, incrementando los requisitos formales de la subcontratación tanto en su legislación propia como en las bases reguladoras de la convocatoria.</w:t>
      </w:r>
    </w:p>
    <w:p w:rsidR="0026452D" w:rsidRDefault="0026452D" w:rsidP="0026452D">
      <w:pPr>
        <w:pStyle w:val="TextoNormal"/>
      </w:pPr>
    </w:p>
    <w:p w:rsidR="0026452D" w:rsidRDefault="0026452D" w:rsidP="0026452D">
      <w:pPr>
        <w:pStyle w:val="TextoNormal"/>
      </w:pPr>
      <w:r>
        <w:t xml:space="preserve">En segundo lugar, según la Abogacía del Estado forma parte también del mínimo común normativo la regulación que hacen el art. 30.3 de los medios de prueba de los gastos y del sistema común de validación en todo el territorio nacional, pues permite el control de la concurrencia de subvenciones a pesar de la pluralidad de Administraciones otorgantes, así como la regulación que hace el art. 30.5 de la exigencia de una tasación independiente de un tasador oficial en el caso de adquisición de inmuebles, por ser una prueba esencial para comprobar la adecuación al fin de la subvención. Además, argumenta que los documentos y su validez en el seno de un procedimiento administrativo forman parte de los principios y normas que prescriben la forma de elaboración de los actos administrativos y por ello de un procedimiento administrativo común en todo el territorio nacional, y razona que la remisión </w:t>
      </w:r>
      <w:r>
        <w:lastRenderedPageBreak/>
        <w:t>a un desarrollo reglamentario futuro no supone en sí mismo una vulneración competencial, pues una disposición de este rango en tanto que esté justificado su carácter complementario puede contener preceptos de carácter básico, sin perjuicio de que su contenido, una vez conocido, pueda ser enjuiciado sobre su carácter básico.</w:t>
      </w:r>
    </w:p>
    <w:p w:rsidR="0026452D" w:rsidRDefault="0026452D" w:rsidP="0026452D">
      <w:pPr>
        <w:pStyle w:val="TextoNormal"/>
      </w:pPr>
    </w:p>
    <w:p w:rsidR="0026452D" w:rsidRDefault="0026452D" w:rsidP="0026452D">
      <w:pPr>
        <w:pStyle w:val="TextoNormal"/>
      </w:pPr>
      <w:r>
        <w:t>En fin, respecto del art. 31, “de las alegaciones de la demanda de recurso se desprende la aceptación implícita del carácter básico de los apartados 7 y 8. Los restantes apartados impugnados forman parte del mínimo común normativo. La concurrencia de ofertas para la prestación de servicios, ejecución de obra o suministro de equipos como gastos subvencionable, teniendo en cuenta que la financiación es pública; los criterios de cumplimiento de la obligación de destino; el carácter subvencionable de los gastos de amortización y la imputación de los costes indirectos son cuestiones cuyos principios y normas deben homogéneamente extenderse en su vigencia a todo el territorio nacional dada la importancia de estos criterios comunes para que la relación jurídica subvencional, en tanto que instrumento de la actividad financiera del sector público, sea también homogénea”.</w:t>
      </w:r>
    </w:p>
    <w:p w:rsidR="0026452D" w:rsidRDefault="0026452D" w:rsidP="0026452D">
      <w:pPr>
        <w:pStyle w:val="TextoNormal"/>
      </w:pPr>
    </w:p>
    <w:p w:rsidR="0026452D" w:rsidRDefault="0026452D" w:rsidP="0026452D">
      <w:pPr>
        <w:pStyle w:val="TextoNormal"/>
      </w:pPr>
      <w:r>
        <w:t>Por todo lo expuesto, el Abogado del Estado solicita al Tribunal la desestimación del recurso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5</w:t>
      </w:r>
      <w:r>
        <w:t>. Por providencia de 4 de junio de 2013 señaló para deliberación y votación del presente recurso el día 6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presente recurso de inconstitucionalidad se interpone por el Parlamento de Cataluña contra los arts. 3.4 letra a), en cuanto a la expresión “o básica”; 6.2; 13.3 y 5; 45.2 c), en cuanto a la expresión “o de otra índole”; 52; y el apartado 1 de la disposición final primera, en tanto que declara el carácter básico de los apartados 3 del art. 29, 3 y 5 del art. 30, y 3 a 9, ambos inclusive, del art. 31, todos ellos de la Ley 38/2003, de 17 de noviembre, general de subvenciones.</w:t>
      </w:r>
    </w:p>
    <w:p w:rsidR="0026452D" w:rsidRDefault="0026452D" w:rsidP="0026452D">
      <w:pPr>
        <w:pStyle w:val="TextoNormal"/>
      </w:pPr>
    </w:p>
    <w:p w:rsidR="0026452D" w:rsidRDefault="0026452D" w:rsidP="0026452D">
      <w:pPr>
        <w:pStyle w:val="TextoNormal"/>
      </w:pPr>
      <w:r>
        <w:t>Para los Letrados del Parlamento de Cataluña, de un modo similar a las alegaciones de representación procesal del Gobierno de Aragón en el recurso de inconstitucionalidad 931-2004, resuelto por STC 130/2013, de 4 de junio, la Ley impugnada excede de las competencias que el Estado tiene constitucionalmente atribuidas respecto de la relación subvencional. Por el contrario, el Abogado del Estado considera, como también sostuvo en el citado asunto, que los títulos que la Ley general de subvenciones invoca (art. 149.1.13, 14 y 18 CE) justifican su contenido.</w:t>
      </w:r>
    </w:p>
    <w:p w:rsidR="0026452D" w:rsidRDefault="0026452D" w:rsidP="0026452D">
      <w:pPr>
        <w:pStyle w:val="TextoNormal"/>
      </w:pPr>
    </w:p>
    <w:p w:rsidR="0026452D" w:rsidRDefault="0026452D" w:rsidP="0026452D">
      <w:pPr>
        <w:pStyle w:val="TextoNormal"/>
      </w:pPr>
      <w:r>
        <w:t xml:space="preserve">Además de esta impugnación de contenido competencial, la representación procesal de la parte recurrente califica la regulación del art. 13.3 de arbitraria y desproporcionada vedada por el art. 9.3 CE y mantiene que la previsión art. 13.5 atribuye a la Administración una actividad que integra la función jurisdiccional que corresponde exclusivamente a Jueces y Tribunales </w:t>
      </w:r>
      <w:r w:rsidRPr="0026452D">
        <w:rPr>
          <w:i/>
        </w:rPr>
        <w:t>ex</w:t>
      </w:r>
      <w:r>
        <w:t xml:space="preserve"> art. 117.3 CE.</w:t>
      </w:r>
    </w:p>
    <w:p w:rsidR="0026452D" w:rsidRDefault="0026452D" w:rsidP="0026452D">
      <w:pPr>
        <w:pStyle w:val="TextoNormal"/>
      </w:pPr>
    </w:p>
    <w:p w:rsidR="0026452D" w:rsidRDefault="0026452D" w:rsidP="0026452D">
      <w:pPr>
        <w:pStyle w:val="TextoNormal"/>
      </w:pPr>
      <w:r>
        <w:t>El Abogado del Estado se opone en los términos precisados en los antecedentes.</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2</w:t>
      </w:r>
      <w:r>
        <w:t>. Con carácter previo al examen de fondo de los preceptos impugnados procede efectuar determinadas precisiones de orden procesal.</w:t>
      </w:r>
    </w:p>
    <w:p w:rsidR="0026452D" w:rsidRDefault="0026452D" w:rsidP="0026452D">
      <w:pPr>
        <w:pStyle w:val="TextoNormal"/>
      </w:pPr>
    </w:p>
    <w:p w:rsidR="0026452D" w:rsidRDefault="0026452D" w:rsidP="0026452D">
      <w:pPr>
        <w:pStyle w:val="TextoNormal"/>
      </w:pPr>
      <w:r>
        <w:t xml:space="preserve">a) En primer lugar, es necesario tener en cuenta que, de acuerdo con nuestra doctrina sobre el </w:t>
      </w:r>
      <w:r w:rsidRPr="0026452D">
        <w:rPr>
          <w:i/>
        </w:rPr>
        <w:t>ius superveniens</w:t>
      </w:r>
      <w:r>
        <w:t>, en los recursos de inconstitucionalidad el control de las normas impugnadas ha de hacerse de acuerdo con el bloque de constitucionalidad y con las demás normas que operan de parámetro de enjuiciamiento que estén vigentes en el momento de dictar Sentencia (por todas, SSTC 137/1986, de 6 de noviembre, FJ 2, y 83/2012, de 18 de abril, FJ 2). Procede, por ello, señalar que este pronunciamiento se realizará a la luz de la delimitación de competencias resultante de la reforma del Estatuto de Autonomía de Cataluña llevada a cabo por la Ley Orgánica 6/2006, de 19 de julio, (en adelante, EAC), apreciando el alcance que sus prescripciones puedan tener, en su caso, sobre la controversia trabada, así como los criterios tenidos en cuenta por este Tribunal en la STC 31/2010, de 28 de junio, que examinó la constitucionalidad del referido Estatuto.</w:t>
      </w:r>
    </w:p>
    <w:p w:rsidR="0026452D" w:rsidRDefault="0026452D" w:rsidP="0026452D">
      <w:pPr>
        <w:pStyle w:val="TextoNormal"/>
      </w:pPr>
    </w:p>
    <w:p w:rsidR="0026452D" w:rsidRDefault="0026452D" w:rsidP="0026452D">
      <w:pPr>
        <w:pStyle w:val="TextoNormal"/>
      </w:pPr>
      <w:r>
        <w:t>b) En segundo lugar es preciso hacer constar que la Ley general de subvenciones, objeto de este recurso, ha sido modificada tras su entrada en vigor por las siguientes normas legales: Ley 24/2005, de 18 de noviembre; Ley 42/2006, de 28 de diciembre; Ley 2/2008, de 23 de diciembre; Real Decreto-ley 6/2010, de 9 de abril; Ley 39/2010, de 22 de diciembre; Ley 14/2011, de 1 de junio; y Ley 17/2012, de 27 de diciembre. Ahora bien, solo guarda relación con el objeto de este proceso la modificación contenida en la disposición final quinta de la Ley 14/2011, de 1 de junio (que afecta al art. 31.3 impugnado en este recurso).</w:t>
      </w:r>
    </w:p>
    <w:p w:rsidR="0026452D" w:rsidRDefault="0026452D" w:rsidP="0026452D">
      <w:pPr>
        <w:pStyle w:val="TextoNormal"/>
      </w:pPr>
    </w:p>
    <w:p w:rsidR="0026452D" w:rsidRDefault="0026452D" w:rsidP="0026452D">
      <w:pPr>
        <w:pStyle w:val="TextoNormal"/>
      </w:pPr>
      <w:r>
        <w:t>La incidencia de la citada reforma sobre el objeto de este recurso de inconstitucionalidad debe ser analizada teniendo en cuenta que, en relación con las modificaciones normativas en procesos constitucionales de naturaleza competencial, pues el art. 31.3 se impugna en el presente recurso por razones competenciales, este Tribunal ha afirmado reiteradamente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18/2011, de 3 de marzo, FJ 3, y las allí citadas). De modo que si la normativa en torno a la cual se trabó el conflicto resulta parcialmente modificada por otra que viene a plantear los mismos problemas competenciales la consecuencia será la no desaparición del conflicto (por todas, STC 133/2012, de 19 de junio, FJ 2).</w:t>
      </w:r>
    </w:p>
    <w:p w:rsidR="0026452D" w:rsidRDefault="0026452D" w:rsidP="0026452D">
      <w:pPr>
        <w:pStyle w:val="TextoNormal"/>
      </w:pPr>
    </w:p>
    <w:p w:rsidR="0026452D" w:rsidRDefault="0026452D" w:rsidP="0026452D">
      <w:pPr>
        <w:pStyle w:val="TextoNormal"/>
      </w:pPr>
      <w:r>
        <w:t xml:space="preserve">Como dijimos en la STC 130/2013, de 4 de junio, al resolver el recurso de inconstitucionalidad 931-2004, esto es precisamente lo que ocurre en este caso, en el que, como ha quedado señalado, el art. 31.3 de la Ley general de subvenciones fue modificado por la Ley 14/2011, de 1 de junio, si bien esta modificación, que pretende acomodar la redacción del precepto impugnado a las previsiones de la Ley 30/2007, de 30 de octubre, de contratos del sector público (que sustituyó al texto refundido de la Ley de contratos de las Administraciones públicas, aprobado por Real Decreto Legislativo 2/2000, de 16 de junio, y que ha sido sustituida a su vez por el vigente texto refundido de la Ley de contratos del sector público, aprobado por Real Decreto Legislativo 3/2011, de 14 de noviembre), no afecta a la </w:t>
      </w:r>
      <w:r>
        <w:lastRenderedPageBreak/>
        <w:t>controversia planteada en el presente recurso, por lo que debemos proceder al enjuiciamiento del precepto referido, al persistir el problema de la determinación de la titularidad de las competencias controvertidas.</w:t>
      </w:r>
    </w:p>
    <w:p w:rsidR="0026452D" w:rsidRDefault="0026452D" w:rsidP="0026452D">
      <w:pPr>
        <w:pStyle w:val="TextoNormal"/>
      </w:pPr>
    </w:p>
    <w:p w:rsidR="0026452D" w:rsidRDefault="0026452D" w:rsidP="0026452D">
      <w:pPr>
        <w:pStyle w:val="TextoNormal"/>
      </w:pPr>
      <w:r w:rsidRPr="0026452D">
        <w:rPr>
          <w:rStyle w:val="NumeroAFNegritaCaracter"/>
        </w:rPr>
        <w:t>3</w:t>
      </w:r>
      <w:r>
        <w:t>. Entrando en el fondo del asunto, hemos de partir de la STC 130/2013, que ha resuelto una impugnación que coincide con esta en la mayoría de los preceptos recurridos y en muchos de los argumentos que la sostienen, en la que nos hemos pronunciado acerca del encuadre competencial de la materia sobre la que versan los preceptos impugnados en los términos que a continuación resumimos.</w:t>
      </w:r>
    </w:p>
    <w:p w:rsidR="0026452D" w:rsidRDefault="0026452D" w:rsidP="0026452D">
      <w:pPr>
        <w:pStyle w:val="TextoNormal"/>
      </w:pPr>
    </w:p>
    <w:p w:rsidR="0026452D" w:rsidRDefault="0026452D" w:rsidP="0026452D">
      <w:pPr>
        <w:pStyle w:val="TextoNormal"/>
      </w:pPr>
      <w:r>
        <w:t>a) “El art. 149.1.13 CE atribuye al Estado las bases y coordinación de la planificación de la actividad económica, esto es, una competencia para ‘la ordenación general de la economía’ que ‘responde al principio de unidad económica y abarca la definición de las líneas de actuación tendentes a alcanzar los objetivos de política económica global o sectorial fijados por la propia Constitución, así como la adopción de las medidas precisas para garantizar la realización de los mismos’ (STC 186/1988, de 17 de octubre, FJ 2). Se trata, pues, de una regla de carácter transversal en el orden económico que responde a la ‘necesaria coherencia de la política económica’ y que ‘exige decisiones unitarias que aseguren un tratamiento uniforme de determinados problemas en orden a la consecución de dicho objetivos y evite que, dada la interdependencia de las actuaciones llevadas a cabo en la distintas partes del territorio, se produzcan resultados disfuncionales y disgregadores’ (STC 186/1988, de 17 de octubre, FJ 2). La competencia estatal alcanza no sólo a las bases, sino también a la coordinación, correspondiéndole al Estado ‘una facultad que presupone lógicamente la existencia de competencias autonómicas, aun de mera ejecución, que deben ser respetadas, y con la que se persigue, en esencia, la integración de las diversas partes del sistema en el conjunto del mismo mediante la adopción por el Estado de medios y sistemas de relación, bien tras la correspondiente intervención económica bien incluso de carácter preventivo, para asegurar la información recíproca, la homogeneidad técnica en ciertos aspectos y la acción conjunta de las autoridades estatales y autonómicas en el ejercicio de sus respectivas competencias’ (STC 197/1996, de 28 de noviembre, FJ 4)”.</w:t>
      </w:r>
    </w:p>
    <w:p w:rsidR="0026452D" w:rsidRDefault="0026452D" w:rsidP="0026452D">
      <w:pPr>
        <w:pStyle w:val="TextoNormal"/>
      </w:pPr>
    </w:p>
    <w:p w:rsidR="0026452D" w:rsidRDefault="0026452D" w:rsidP="0026452D">
      <w:pPr>
        <w:pStyle w:val="TextoNormal"/>
      </w:pPr>
      <w:r>
        <w:t>b) Con apoyo en el art. 149.1.14 CE, “corresponde al Estado no sólo el régimen jurídico de la ordenación de los gastos de la Administración del Estado, sino también el establecimiento de las normas y principios comunes de la actividad financiera de las distintas haciendas que tiendan a asegurar los principios constitucionales que, conforme a nuestra Constitución, han de regir el gasto público: legalidad (art. 133.4 CE); eficiencia y economía (art. 31.2 CE), asignación equitativa de los recursos públicos (art. 31.2 CE); subordinación de la riqueza nacional al interés general (art. 128.1), estabilidad presupuestaria (art. 135 CE; STC 134/2011, de 20 de julio) y control (art. 136 CE). Ello en modo alguno resulta contrario a la autonomía consagrada a favor de las Comunidades Autónomas pues éstas ‘gozarán de autonomía financiera (de gasto) en la medida en que puedan elegir y realizar sus propios objetivos políticos, administrativos, sociales o económicos’, es decir, en que puedan decidir a qué objetivos destinan sus recursos sin condicionamientos indebidos (STC 192/2000, FJ 6 y las allí citadas)”.</w:t>
      </w:r>
    </w:p>
    <w:p w:rsidR="0026452D" w:rsidRDefault="0026452D" w:rsidP="0026452D">
      <w:pPr>
        <w:pStyle w:val="TextoNormal"/>
      </w:pPr>
    </w:p>
    <w:p w:rsidR="0026452D" w:rsidRDefault="0026452D" w:rsidP="0026452D">
      <w:pPr>
        <w:pStyle w:val="TextoNormal"/>
      </w:pPr>
      <w:r>
        <w:t xml:space="preserve">c) “Es preciso advertir que, dado que la actividad de gasto la desarrollan las Administraciones Públicas, no resulta fácil deslindar las normas de simple régimen jurídico de las Administraciones Públicas que el Estado puede establecer </w:t>
      </w:r>
      <w:r w:rsidRPr="0026452D">
        <w:rPr>
          <w:i/>
        </w:rPr>
        <w:t>ex</w:t>
      </w:r>
      <w:r>
        <w:t xml:space="preserve"> art. 149.1.18 CE de las normas </w:t>
      </w:r>
      <w:r>
        <w:lastRenderedPageBreak/>
        <w:t>comunes sobre el gasto público subvencional que el Estado puede dictar al amparo del art. 149.1.14 CE, por lo que para proceder a una calificación competencial correcta deberá estarse tanto al sentido o finalidad de los títulos competenciales en juego, como al carácter, sentido y finalidad de los preceptos impugnados, es decir, al contenido del propio precepto controvertido (por todas, STC 153/1989, de 5 de octubre, FJ 5). Y a estos efectos, tendremos en cuenta como criterio interpretativo que, cuando se esté abordando la regulación de los derechos y obligaciones de contenido económico de las Administraciones públicas o cuando el objeto de la regulación sea la protección o preservación de los recursos públicos que integran las haciendas, nos encontraremos ante preceptos que tienen su anclaje en el art. 149.1.14 CE”.</w:t>
      </w:r>
    </w:p>
    <w:p w:rsidR="0026452D" w:rsidRDefault="0026452D" w:rsidP="0026452D">
      <w:pPr>
        <w:pStyle w:val="TextoNormal"/>
      </w:pPr>
    </w:p>
    <w:p w:rsidR="0026452D" w:rsidRDefault="0026452D" w:rsidP="0026452D">
      <w:pPr>
        <w:pStyle w:val="TextoNormal"/>
      </w:pPr>
      <w:r>
        <w:t>d) “En cualquier caso, tanto cuando las bases responden a la necesidad de garantizar un tratamiento común a los administrados como a la consecución de otros intereses generales, debe recordarse que “el Estado al establecer el común denominador normativo que encierran las bases, y a partir del cual cada Comunidad Autónoma con competencias de desarrollo legislativo puede regular la materia con arreglo a sus peculiaridades e intereses (por todas, SSTC 49/1988, de 22 de marzo, FJ 3; 225/1993, de 8 de junio, FJ 3 y 197/1996, de 28 de noviembre, FJ 5), no puede hacerlo con un grado tal de detalle y de forma tan acabada o completa que prácticamente impida la adopción por parte de las Comunidades Autónomas de políticas propias en la materia mediante el ejercicio de sus competencias de desarrollo legislativo” (STC 50/1999, FJ 3), sin que puedan, por otra parte, considerarse incluidas en el marco estatal básico “aquellas normas que no resulten justificadas por el objetivo de garantizar los principios básicos que informan el modelo organizativo diseñado por el legislador estatal” (por todas, STC 227/1988, de 29 de noviembre, FJ 24, y las allí citadas)”.</w:t>
      </w:r>
    </w:p>
    <w:p w:rsidR="0026452D" w:rsidRDefault="0026452D" w:rsidP="0026452D">
      <w:pPr>
        <w:pStyle w:val="TextoNormal"/>
      </w:pPr>
    </w:p>
    <w:p w:rsidR="0026452D" w:rsidRDefault="0026452D" w:rsidP="0026452D">
      <w:pPr>
        <w:pStyle w:val="TextoNormal"/>
      </w:pPr>
      <w:r>
        <w:t xml:space="preserve">e) “La Ley 38/2003 aborda la regulación de un procedimiento administrativo común singular en función de la forma de actividad administrativa; no regula un procedimiento administrativo especial </w:t>
      </w:r>
      <w:r w:rsidRPr="0026452D">
        <w:rPr>
          <w:i/>
        </w:rPr>
        <w:t>ratione materiae</w:t>
      </w:r>
      <w:r>
        <w:t xml:space="preserve"> y es, por tanto, en principio, y siempre que el Estado, en su regulación, se mueva dentro de los límites de su esfera competencial, compatible con la existencia de regulaciones especiales </w:t>
      </w:r>
      <w:r w:rsidRPr="0026452D">
        <w:rPr>
          <w:i/>
        </w:rPr>
        <w:t>ratione materiae</w:t>
      </w:r>
      <w:r>
        <w:t xml:space="preserve"> de los procedimientos de otorgamiento de subvenciones en determinados campos de actividad (agricultura, medio ambiente, asistencia social…), que corresponderá establecer bien al Estado, bien a las Comunidades Autónomas, en función de la distribución de competencias prevista para cada sector concreto en la Constitución”.</w:t>
      </w:r>
    </w:p>
    <w:p w:rsidR="0026452D" w:rsidRDefault="0026452D" w:rsidP="0026452D">
      <w:pPr>
        <w:pStyle w:val="TextoNormal"/>
      </w:pPr>
    </w:p>
    <w:p w:rsidR="0026452D" w:rsidRDefault="0026452D" w:rsidP="0026452D">
      <w:pPr>
        <w:pStyle w:val="TextoNormal"/>
      </w:pPr>
      <w:r w:rsidRPr="0026452D">
        <w:rPr>
          <w:rStyle w:val="NumeroAFNegritaCaracter"/>
        </w:rPr>
        <w:t>4</w:t>
      </w:r>
      <w:r>
        <w:t>. Delimitado el ámbito competencial respectivo en esta materia, es el momento en que, conforme a él, examinemos los preceptos legales recurridos por motivos competenciales, dejando para un momento posterior el análisis de las impugnaciones fundadas en razones de orden no competencial.</w:t>
      </w:r>
    </w:p>
    <w:p w:rsidR="0026452D" w:rsidRDefault="0026452D" w:rsidP="0026452D">
      <w:pPr>
        <w:pStyle w:val="TextoNormal"/>
      </w:pPr>
    </w:p>
    <w:p w:rsidR="0026452D" w:rsidRDefault="0026452D" w:rsidP="0026452D">
      <w:pPr>
        <w:pStyle w:val="TextoNormal"/>
      </w:pPr>
      <w:r>
        <w:t>a) Respecto de la impugnación del art. 3.4 letra a) sostienen los recurrentes, en síntesis, que no se acepta la aplicación de la ley al segundo de los supuestos incluidos en el apartado a) relativo a aquellas subvenciones en las que el Estado tiene competencia normativa básica y corresponde a las Comunidades Autónomas la legislación de desarrollo, la potestad reglamentaria y la ejecución, por lo que la expresión “o básica” del artículo 3.4 a) opera una ampliación injustificada del ámbito de aplicación de la normativa estatal y vulnera el orden de distribución de competencias, por lo que, a su juicio, resultaría inconstitucional.</w:t>
      </w:r>
    </w:p>
    <w:p w:rsidR="0026452D" w:rsidRDefault="0026452D" w:rsidP="0026452D">
      <w:pPr>
        <w:pStyle w:val="TextoNormal"/>
      </w:pPr>
    </w:p>
    <w:p w:rsidR="0026452D" w:rsidRDefault="0026452D" w:rsidP="0026452D">
      <w:pPr>
        <w:pStyle w:val="TextoNormal"/>
      </w:pPr>
      <w:r>
        <w:lastRenderedPageBreak/>
        <w:t>Hemos de rechazar la primera de las impugnaciones, pues, como resolvimos en la STC 130/2013, de 4 de junio “es posible otra interpretación del art. 3.4 a) acomodada al orden constitucional de competencias. Ha de observarse que el art. 3.3 de la Ley 38/2003 determina que los preceptos de la misma son de aplicación a las subvenciones financiadas por las Comunidades Autónomas con fondos propios ‘de acuerdo con lo establecido en la disposición final primera’. Pues bien, cuando el art. 3.4 expresa en su encabezamiento que ‘será igualmente aplicable esta Ley’ a las subvenciones ‘establecidas en materias cuya regulación … básica corresponda al Estado’, ha de entenderse que dicha aplicación lo será en iguales términos que lo dispuesto en el apartado 3 del art. 3, es decir, de acuerdo con el enunciado de preceptos contenido en la disposición final primera, de suerte que, en el ámbito de las Comunidades Autónomas, la Ley 38/2003 no es aplicable en su totalidad, sino únicamente en aquellas partes dictadas por el Estado al amparo de lo dispuesto en el art. 149.1.13, 14 y 18 CE”.</w:t>
      </w:r>
    </w:p>
    <w:p w:rsidR="0026452D" w:rsidRDefault="0026452D" w:rsidP="0026452D">
      <w:pPr>
        <w:pStyle w:val="TextoNormal"/>
      </w:pPr>
    </w:p>
    <w:p w:rsidR="0026452D" w:rsidRDefault="0026452D" w:rsidP="0026452D">
      <w:pPr>
        <w:pStyle w:val="TextoNormal"/>
      </w:pPr>
      <w:r>
        <w:t xml:space="preserve">Esta interpretación del art. 3.4 a) se llevará al fallo y resulta adecuada al reparto competencial, pues en las materias que al Estado le corresponda establecer las bases de la subvención pueden concurrir los preceptos de la Ley general de subvenciones dictados </w:t>
      </w:r>
      <w:r w:rsidRPr="0026452D">
        <w:rPr>
          <w:i/>
        </w:rPr>
        <w:t>ex</w:t>
      </w:r>
      <w:r>
        <w:t xml:space="preserve"> arts. 149.1.13, 14 y 18 CE.</w:t>
      </w:r>
    </w:p>
    <w:p w:rsidR="0026452D" w:rsidRDefault="0026452D" w:rsidP="0026452D">
      <w:pPr>
        <w:pStyle w:val="TextoNormal"/>
      </w:pPr>
    </w:p>
    <w:p w:rsidR="0026452D" w:rsidRDefault="0026452D" w:rsidP="0026452D">
      <w:pPr>
        <w:pStyle w:val="TextoNormal"/>
      </w:pPr>
      <w:r>
        <w:t>b) Respecto del art. 6.2, procede subrayar que tal precepto establece en su párrafo segundo que “los procedimientos de concesión y de control de las subvenciones reguladas en esta ley tendrán carácter supletorio respecto de las normas de aplicación directa a las subvenciones financiadas con cargo a los fondos de la Unión Europea”, lo que produce, según los recurrentes, un desplazamiento de la normativa autonómica que por razón de la materia es aplicable al procedimiento de concesión, sustituyéndola por el mero hecho de tratarse de una subvención financiada con cargo a los fondos de la Unión Europea, ya que entienden que el legislador autonómico es el competente para dictar las normas procedimentales sobre concesión y control y sólo después actuará la supletoriedad del Estado, por aplicación del artículo 149.3 CE.</w:t>
      </w:r>
    </w:p>
    <w:p w:rsidR="0026452D" w:rsidRDefault="0026452D" w:rsidP="0026452D">
      <w:pPr>
        <w:pStyle w:val="TextoNormal"/>
      </w:pPr>
    </w:p>
    <w:p w:rsidR="0026452D" w:rsidRDefault="0026452D" w:rsidP="0026452D">
      <w:pPr>
        <w:pStyle w:val="TextoNormal"/>
      </w:pPr>
      <w:r>
        <w:t xml:space="preserve">La doctrina constitucional que ha de guiar nuestro enjuiciamiento es la establecida en la STC 79/1992, de 28 de mayo, FJ 3, según la cual “en casos como los que contemplamos, las disposiciones del Estado que establezcan reglas destinadas a permitir la ejecución de los Reglamentos comunitarios en España y que no puedan considerarse normas básicas o de coordinación, tienen un carácter supletorio de las que pueden dictar las Comunidades Autónomas para los mismos fines en el ámbito de sus competencias. Sin olvidar que la cláusula de supletoriedad del art. 149.3 CE no constituye una cláusula universal atributiva de competencias (SSTC15/1989, de 26 de enero; 103/1989 de 8 de junio y147/1991, de 4 de julio), en tales casos la posibilidad de que el Estado dicte normas innovadoras de carácter supletorio está plenamente justificada. Primero, porque se trata de una materia -la agricultura y la ganadería- en la que existen competencias estatales concurrentes de ordenación general del sector en todo el territorio nacional lo que legitima esa intervención normativa estatal, al menos con alcance supletorio (STC 147/1991, de 4 de julio). Segundo, porque, a falta de la consiguiente actividad legislativa o reglamentaria de las Comunidades Autónomas, esa normativa estatal supletoria puede ser necesaria para garantizar el cumplimiento del Derecho derivado europeo, función que corresponde a las Cortes Generales o al Gobierno, según los casos (art. 93 CE, conforme al que ha de interpretarse también al alcance de la cláusula de supletoriedad del art. 149.3 CE). Tercero, porque de lo contrario podría llegarse (y de hecho </w:t>
      </w:r>
      <w:r>
        <w:lastRenderedPageBreak/>
        <w:t>se hubiera llegado) a la absurda conclusión de que, ante la pasividad normativa de todas o algunas Comunidades Autónomas, los agricultores y ganaderos de las mismas no podrían percibir las ayudas que les corresponden según la reglamentación comunitaria aplicable”.</w:t>
      </w:r>
    </w:p>
    <w:p w:rsidR="0026452D" w:rsidRDefault="0026452D" w:rsidP="0026452D">
      <w:pPr>
        <w:pStyle w:val="TextoNormal"/>
      </w:pPr>
    </w:p>
    <w:p w:rsidR="0026452D" w:rsidRDefault="0026452D" w:rsidP="0026452D">
      <w:pPr>
        <w:pStyle w:val="TextoNormal"/>
      </w:pPr>
      <w:r>
        <w:t>Como subrayamos en la STC 130/2013, de 4 de junio, “hemos de apreciar que el precepto recurrido se adecua a la Constitución, pues la aplicación de ‘los procedimientos de concesión y control de las subvenciones regulados en esta Ley’ persigue garantizar la efectividad del Derecho de la Unión Europea en caso de pasividad de las Comunidades Autónomas”.</w:t>
      </w:r>
    </w:p>
    <w:p w:rsidR="0026452D" w:rsidRDefault="0026452D" w:rsidP="0026452D">
      <w:pPr>
        <w:pStyle w:val="TextoNormal"/>
      </w:pPr>
    </w:p>
    <w:p w:rsidR="0026452D" w:rsidRDefault="0026452D" w:rsidP="0026452D">
      <w:pPr>
        <w:pStyle w:val="TextoNormal"/>
      </w:pPr>
      <w:r>
        <w:t>Por tanto, procede desestimar la impugnación del art. 6.2.</w:t>
      </w:r>
    </w:p>
    <w:p w:rsidR="0026452D" w:rsidRDefault="0026452D" w:rsidP="0026452D">
      <w:pPr>
        <w:pStyle w:val="TextoNormal"/>
      </w:pPr>
    </w:p>
    <w:p w:rsidR="0026452D" w:rsidRDefault="0026452D" w:rsidP="0026452D">
      <w:pPr>
        <w:pStyle w:val="TextoNormal"/>
      </w:pPr>
      <w:r>
        <w:t>c) La impugnación del art. 29.3 a) sobre la existencia de firma escrita para la subcontratación en que la actividad concertada con terceros exceda del 20 por 100 del importe de la subvención y dicho importe sea superior a 60.000 euros y la determinación cerrada de la cuantía se entiende por los recurrentes que no deben constar en una norma básica, pues debe dejarse a la normativa autonómica o a las bases reguladoras de cada subvención la determinación de la cuantía a partir de la que es necesaria una autorización especial para la subcontratación.</w:t>
      </w:r>
    </w:p>
    <w:p w:rsidR="0026452D" w:rsidRDefault="0026452D" w:rsidP="0026452D">
      <w:pPr>
        <w:pStyle w:val="TextoNormal"/>
      </w:pPr>
    </w:p>
    <w:p w:rsidR="0026452D" w:rsidRDefault="0026452D" w:rsidP="0026452D">
      <w:pPr>
        <w:pStyle w:val="TextoNormal"/>
      </w:pPr>
      <w:r>
        <w:t>La referida impugnación del art. 29.3, en sus dos párrafos a) y b), ha de ser desestimada, pues, como tuvimos ocasión de resaltar en la invocada STC 130/2013, de 4 de junio, “regula, efectivamente, la subcontratación en el ámbito subvencional imponiendo límites y requisitos a la misma (contrato escrito y autorización previa de la Administración concedente) con la finalidad de que la Administración concedente pueda controlar que la viabilidad y el buen fin de la actividad subvencionada que no será puesta en peligro por la subcontratación. Los preceptos establecen, por tanto, bases del régimen jurídico de las Administraciones públicas (art. 149.1.18 CE), al perfilar la relación jurídica subvencional imponiendo límites y deberes para el beneficiario de la subvención, así como reglas básicas de funcionamiento para las Administraciones concedentes de subvenciones, sin agotar por otra parte la regulación de la materia y dejando, por tanto, un margen para el desarrollo legislativo autonómico”.</w:t>
      </w:r>
    </w:p>
    <w:p w:rsidR="0026452D" w:rsidRDefault="0026452D" w:rsidP="0026452D">
      <w:pPr>
        <w:pStyle w:val="TextoNormal"/>
      </w:pPr>
    </w:p>
    <w:p w:rsidR="0026452D" w:rsidRDefault="0026452D" w:rsidP="0026452D">
      <w:pPr>
        <w:pStyle w:val="TextoNormal"/>
      </w:pPr>
      <w:r>
        <w:t>En este punto, el legislador estatal ha actuado dentro del ámbito del art. 149.1.18 CE, al dictar la regulación básica contenida en los incisos a) y b) del art. 29.3 y no es función de este Tribunal dilucidar si existen otras configuraciones posibles de las bases que pudieran dar más espacio de actuación normativa a las Comunidades Autónomas.</w:t>
      </w:r>
    </w:p>
    <w:p w:rsidR="0026452D" w:rsidRDefault="0026452D" w:rsidP="0026452D">
      <w:pPr>
        <w:pStyle w:val="TextoNormal"/>
      </w:pPr>
    </w:p>
    <w:p w:rsidR="0026452D" w:rsidRDefault="0026452D" w:rsidP="0026452D">
      <w:pPr>
        <w:pStyle w:val="TextoNormal"/>
      </w:pPr>
      <w:r>
        <w:t>d) Se impugna igualmente el carácter básico de los arts. 30.3 y 30.5, concretamente las frases “en los términos establecidos reglamentariamente” del apartado 3 y “debidamente acreditado e inscrito en el correspondiente registro oficial” del apartado 5.</w:t>
      </w:r>
    </w:p>
    <w:p w:rsidR="0026452D" w:rsidRDefault="0026452D" w:rsidP="0026452D">
      <w:pPr>
        <w:pStyle w:val="TextoNormal"/>
      </w:pPr>
    </w:p>
    <w:p w:rsidR="0026452D" w:rsidRDefault="0026452D" w:rsidP="0026452D">
      <w:pPr>
        <w:pStyle w:val="TextoNormal"/>
      </w:pPr>
      <w:r>
        <w:t>A juicio de los recurrentes es la normativa autonómica la que determina las formas concretas y los documentos que deben ser aportados. De una parte, porque el art. 30.3 al imponer que los gastos se acreditarán mediante facturas y otros documentos de valor probatorio equivalente, con validez en el tráfico jurídico mercantil o con eficacia administrativa, están ya cubiertas las exigencias básicas, lo que también sucede respecto del sistema de validación y estampillado de los justificantes de gasto. Por otro lado, el art. 30.5 ya ofrece suficientes garantías con la exigencia de aportación de un certificado de tasador independiente en el supuesto de adquisición de bienes inmuebles.</w:t>
      </w:r>
    </w:p>
    <w:p w:rsidR="0026452D" w:rsidRDefault="0026452D" w:rsidP="0026452D">
      <w:pPr>
        <w:pStyle w:val="TextoNormal"/>
      </w:pPr>
    </w:p>
    <w:p w:rsidR="0026452D" w:rsidRDefault="0026452D" w:rsidP="0026452D">
      <w:pPr>
        <w:pStyle w:val="TextoNormal"/>
      </w:pPr>
      <w:r>
        <w:t>Sobre el reproche dirigido contra el art. 30.5 y en aplicación de la doctrina sentada en la STC 130/2013, de 4 de junio, afirmamos la constitucionalidad del conjunto del precepto, pues “el art. 30.5 ha de considerarse como norma formal y materialmente básica, dictada al amparo del título competencial del art. 149.1.18 CE, en su dimensión material de bases del régimen jurídico de las Administraciones públicas, puesto que el precepto regula el alcance de un deber del beneficiario que persigue dar a los administrados un tratamiento común ante las Administraciones Públicas, reforzar la seguridad jurídica en las relaciones entre los beneficiarios de subvenciones y la Administración concedente y establecer una garantía de veracidad en la justificación de las adquisiciones de bienes inmuebles. El precepto, por otra parte, no agota la regulación de la materia, pues deja espacio suficiente para una regulación autonómica más detallada del contenido y alcance del informe del tasador al que se refiere el precepto”.</w:t>
      </w:r>
    </w:p>
    <w:p w:rsidR="0026452D" w:rsidRDefault="0026452D" w:rsidP="0026452D">
      <w:pPr>
        <w:pStyle w:val="TextoNormal"/>
      </w:pPr>
    </w:p>
    <w:p w:rsidR="0026452D" w:rsidRDefault="0026452D" w:rsidP="0026452D">
      <w:pPr>
        <w:pStyle w:val="TextoNormal"/>
      </w:pPr>
      <w:r>
        <w:t>De este modo, rechazada la impugnación del art. 30.5, esta misma doctrina ha de guiar el enjuiciamiento del art. 30.3.</w:t>
      </w:r>
    </w:p>
    <w:p w:rsidR="0026452D" w:rsidRDefault="0026452D" w:rsidP="0026452D">
      <w:pPr>
        <w:pStyle w:val="TextoNormal"/>
      </w:pPr>
    </w:p>
    <w:p w:rsidR="0026452D" w:rsidRDefault="0026452D" w:rsidP="0026452D">
      <w:pPr>
        <w:pStyle w:val="TextoNormal"/>
      </w:pPr>
      <w:r>
        <w:t xml:space="preserve">En efecto, hemos de destacar que tanto determinar los documentos precisos para acreditar los gastos realizados como establecer un sistema común de sellado y validación de los documentos son instrumentos que garantizan la veracidad en la justificación de los gastos subvencionados, previniendo la utilización fraudulenta de documentos en diferentes subvenciones, con lo cual constituyen un deber esencial del beneficiario y, por ende, tales documentos constituyen un elemento principal de la relación jurídica subvencional, con lo que se inscriben de un modo natural en las bases del régimen jurídico de las Administraciones públicas que corresponden fijar al Estado </w:t>
      </w:r>
      <w:r w:rsidRPr="0026452D">
        <w:rPr>
          <w:i/>
        </w:rPr>
        <w:t>ex</w:t>
      </w:r>
      <w:r>
        <w:t xml:space="preserve"> art. 149.1.18 CE. Por otro lado, habiendo declarado este Tribunal que lo que sea básico puede establecerse en normas reglamentarias cuando ello esté justificado por su carácter complementario (SSTC 235/1999, de 20 de diciembre, FJ 15; 31/2010, 28 de junio, FJ 60), la remisión de este art. 30.3 al reglamento no constituye en sí misma una vulneración competencial, lo que no excluye que su contenido, una vez conocido, habida cuenta del carácter preventivo de la impugnación, pueda ser examinado sobre su carácter básico.</w:t>
      </w:r>
    </w:p>
    <w:p w:rsidR="0026452D" w:rsidRDefault="0026452D" w:rsidP="0026452D">
      <w:pPr>
        <w:pStyle w:val="TextoNormal"/>
      </w:pPr>
    </w:p>
    <w:p w:rsidR="0026452D" w:rsidRDefault="0026452D" w:rsidP="0026452D">
      <w:pPr>
        <w:pStyle w:val="TextoNormal"/>
      </w:pPr>
      <w:r>
        <w:t>Los razonamientos precedentes conducen a la desestimación de la impugnación del art. 30.3 y 5, reconociendo su plena constitucionalidad.</w:t>
      </w:r>
    </w:p>
    <w:p w:rsidR="0026452D" w:rsidRDefault="0026452D" w:rsidP="0026452D">
      <w:pPr>
        <w:pStyle w:val="TextoNormal"/>
      </w:pPr>
    </w:p>
    <w:p w:rsidR="0026452D" w:rsidRDefault="0026452D" w:rsidP="0026452D">
      <w:pPr>
        <w:pStyle w:val="TextoNormal"/>
      </w:pPr>
      <w:r>
        <w:t>e) El recurso también reprocha a los apartados 3 a 9 del art. 31 su excesivo grado de detalle, sobrepasando así el ámbito de lo básico, pues consideran que su regulación es propia de las bases reguladoras de cada subvención concreta y no de un texto legal o reglamentario, siendo suficiente los criterios conceptuales de los apartados 1 y 2, con la determinación de los gastos subvencionables del apartado 7 y con el apartado 8 sobre el carácter de gasto subvencionable de los tributos. En consecuencia, es necesario, en primer lugar, precisar que de la argumentación que sostiene la impugnación se desprende que los recurrentes admiten el carácter básico de los apartados 7 y 8 del art. 31, de modo que debemos entender que el recurso se ciñe a sus apartados 3, 4, 5, 6 y 9.</w:t>
      </w:r>
    </w:p>
    <w:p w:rsidR="0026452D" w:rsidRDefault="0026452D" w:rsidP="0026452D">
      <w:pPr>
        <w:pStyle w:val="TextoNormal"/>
      </w:pPr>
    </w:p>
    <w:p w:rsidR="0026452D" w:rsidRDefault="0026452D" w:rsidP="0026452D">
      <w:pPr>
        <w:pStyle w:val="TextoNormal"/>
      </w:pPr>
      <w:r>
        <w:t xml:space="preserve">El art. 31.3 ha sido modificado por la disposición final quinta de la Ley 14/2011, de 1 de junio, si bien esta modificación, que pretende acomodar la redacción del precepto impugnado a las previsiones de la Ley 30/2007, de 30 de octubre, de contratos del sector público </w:t>
      </w:r>
      <w:r>
        <w:lastRenderedPageBreak/>
        <w:t>(que ha sido sustituida a su vez por el vigente texto refundido de la Ley de contratos del sector público, aprobado por Real Decreto Legislativo 3/2011, de 14 de noviembre), no afecta a la controversia trabada en el presente recurso, lo que determina que no excluyamos el análisis de esta impugnación.</w:t>
      </w:r>
    </w:p>
    <w:p w:rsidR="0026452D" w:rsidRDefault="0026452D" w:rsidP="0026452D">
      <w:pPr>
        <w:pStyle w:val="TextoNormal"/>
      </w:pPr>
    </w:p>
    <w:p w:rsidR="0026452D" w:rsidRDefault="0026452D" w:rsidP="0026452D">
      <w:pPr>
        <w:pStyle w:val="TextoNormal"/>
      </w:pPr>
      <w:r>
        <w:t>Como también hemos resuelto en la STC 130/2013, de 4 de junio, reiteramos ahora que “el apartado 3 del art. 31 establece el principio de competencia en la contratación que realice el beneficiario cuando el importe del gasto subvencionable supere determinadas cuantías [30.000 euros en el supuesto de coste por ejecución de obra, o de 12.000 euros en el supuesto de suministro de bienes de equipo o prestaciones de servicios por empresas de consultoría o asistencia técnica] configurando, por tanto, un deber que sólo admite excepción en dos supuestos previstos en el precepto [salvo que por las especiales características de los gastos subvencionables no exista en el mercado suficiente número de entidades que lo suministren o presten, o salvo que el gasto se hubiera realizado con anterioridad a la solicitud de la subvención]. Se trata de una regulación que configura el régimen de deberes de los beneficiarios de subvenciones públicas con la finalidad de asegurarles un tratamiento común y que, al mismo tiempo, persigue garantizar que se respeten principios básicos del gasto público (igualdad, concurrencia, eficiencia en el uso de los recursos públicos) que podrían eludirse mediante la contratación libre por parte del subvencionado pese a operar con dinero público. La regulación ha de entenderse, por tanto, dictada en ejercicio de las competencias estatale</w:t>
      </w:r>
      <w:r w:rsidRPr="0026452D">
        <w:rPr>
          <w:i/>
        </w:rPr>
        <w:t xml:space="preserve">s </w:t>
      </w:r>
      <w:r>
        <w:t>ex arts. 149.1.18 y 149.1.14 CE”.</w:t>
      </w:r>
    </w:p>
    <w:p w:rsidR="0026452D" w:rsidRDefault="0026452D" w:rsidP="0026452D">
      <w:pPr>
        <w:pStyle w:val="TextoNormal"/>
      </w:pPr>
    </w:p>
    <w:p w:rsidR="0026452D" w:rsidRDefault="0026452D" w:rsidP="0026452D">
      <w:pPr>
        <w:pStyle w:val="TextoNormal"/>
      </w:pPr>
      <w:r>
        <w:t xml:space="preserve">Respecto a la impugnación de los arts. 31.4 sobre el régimen jurídico de la adquisición, construcción, rehabilitación y mejora de bienes inventariables (en especial, periodo del destino del bien) y 31.5 sobre obligación de destino del bien, según conste inscrito o no en un registro público, como ha reconocido este Tribunal en STC 130/2013, de 4 de junio, “los apartados 4 y 5 del art. 31 encuentran cobertura, de manera general, en el art. 149.1.18 CE, puesto que regulan, con carácter básico, asegurando un tratamiento común a los beneficiarios de las subvenciones, la obligación de destino de los bienes inventariables al fin subvencional, estableciendo a estos efectos reglas comunes que no agotan la regulación y que son, por tanto, respetuosas con el margen de regulación de los procedimientos subvencionales específicos o </w:t>
      </w:r>
      <w:r w:rsidRPr="0026452D">
        <w:rPr>
          <w:i/>
        </w:rPr>
        <w:t>ratione materiae</w:t>
      </w:r>
      <w:r>
        <w:t xml:space="preserve"> que corresponde a las Comunidades Autónomas. Es más, la regla b) del apartado 4 —en el supuesto de incumplimiento de la obligación de destino que se produzca con la enajenación o el gravamen del bien que será causa de reintegro— y el inciso final de la regla b) del apartado 5 del art. 31, al configurar el incumplimiento de la obligación de destino como una causa de reintegro, regulando, por tanto, un derecho de crédito a favor de las haciendas públicas, y disponer además, en garantía de la integridad de las mismas, que el bien inventariable queda afecto al pago del reintegro, con independencia de quién sea su poseedor, salvo en determinados supuestos, se enmarcan también en la competencia estatal </w:t>
      </w:r>
      <w:r w:rsidRPr="0026452D">
        <w:rPr>
          <w:i/>
        </w:rPr>
        <w:t>ex</w:t>
      </w:r>
      <w:r>
        <w:t xml:space="preserve"> art. 149.1.14 CE, al establecer una regla común para todas las haciendas públicas”.</w:t>
      </w:r>
    </w:p>
    <w:p w:rsidR="0026452D" w:rsidRDefault="0026452D" w:rsidP="0026452D">
      <w:pPr>
        <w:pStyle w:val="TextoNormal"/>
      </w:pPr>
    </w:p>
    <w:p w:rsidR="0026452D" w:rsidRDefault="0026452D" w:rsidP="0026452D">
      <w:pPr>
        <w:pStyle w:val="TextoNormal"/>
      </w:pPr>
      <w:r>
        <w:t xml:space="preserve">En cuanto a la impugnación del art. 31.6, que contiene las reglas especiales en materia de amortización de los bienes inventariables consistentes en que las subvenciones no hayan contribuido a la compra de bienes (a) y que la amortización se calcule de conformidad con las normas de contabilidad aceptadas (b), y la del art. 31.7, que incluye los gastos financieros, de asesoría jurídica o financiera, notariales y registrales, los periciales y de administración específicos como subvencionables si están directamente relacionados con la actividad </w:t>
      </w:r>
      <w:r>
        <w:lastRenderedPageBreak/>
        <w:t>o son indispensables para su ejecución, excluyendo, como tales, los intereses deudores de las cuentas bancarias (a), los intereses, recargos y sanciones administrativas y penales (b) y los gastos de procedimientos judiciales (c), estos aspectos ya fueron aludidos en la STC 130/2013, de 4 de junio, que subrayó como “han sido dictados en ejercicio del art. 149.1.18 CE, puesto que las regulaciones que contienen constituyen criterios nucleares de las relaciones entre las Administraciones Públicas y los ciudadanos que pretenden acceder a las subvenciones. Además, lo dispuesto en los apartados 6 y 7 del art. 31 deja espacio suficiente a la regulación de las Comunidades Autónomas competentes para, en su caso, establecer reglas especiales mediante las bases reguladoras de las concretas subvenciones (tanto sobre el carácter subvencionable de los gastos de amortización, como el de los diversos gastos a los que se refiere el apartado 7 del art. 31), no siendo función de este Tribunal, una vez constatado que el legislador estatal ha actuado dentro del margen que le confiere el referido título competencial, analizar si existen otras configuraciones posibles de la normativa estatal que pudieran dar más campo de actuación normativa a las Comunidades Autónomas”.</w:t>
      </w:r>
    </w:p>
    <w:p w:rsidR="0026452D" w:rsidRDefault="0026452D" w:rsidP="0026452D">
      <w:pPr>
        <w:pStyle w:val="TextoNormal"/>
      </w:pPr>
    </w:p>
    <w:p w:rsidR="0026452D" w:rsidRDefault="0026452D" w:rsidP="0026452D">
      <w:pPr>
        <w:pStyle w:val="TextoNormal"/>
      </w:pPr>
      <w:r>
        <w:t>Sobre la impugnación del artículo 31.9 que imputa a la actividad subvencionada los costes indirectos, de acuerdo con los principios y las normas de contabilidad y en la medida en que tales costes correspondan al periodo en que efectivamente se realiza la actividad, se mantiene su carácter básico, con idéntico fundamento.</w:t>
      </w:r>
    </w:p>
    <w:p w:rsidR="0026452D" w:rsidRDefault="0026452D" w:rsidP="0026452D">
      <w:pPr>
        <w:pStyle w:val="TextoNormal"/>
      </w:pPr>
    </w:p>
    <w:p w:rsidR="0026452D" w:rsidRDefault="0026452D" w:rsidP="0026452D">
      <w:pPr>
        <w:pStyle w:val="TextoNormal"/>
      </w:pPr>
      <w:r>
        <w:t>En efecto, este precepto, en la medida que prevé la regla conforme a la que los costes indirectos de una actividad pueden computarse como gasto subvencionable, está disciplinando un elemento nuclear de las relaciones entre las Administraciones públicas y los ciudadanos que pretenden acceder a las subvenciones, estableciéndose en el articulado criterios comunes que han de ser homogéneos, como reconoce, en este punto, el Abogado del Estado.</w:t>
      </w:r>
    </w:p>
    <w:p w:rsidR="0026452D" w:rsidRDefault="0026452D" w:rsidP="0026452D">
      <w:pPr>
        <w:pStyle w:val="TextoNormal"/>
      </w:pPr>
    </w:p>
    <w:p w:rsidR="0026452D" w:rsidRDefault="0026452D" w:rsidP="0026452D">
      <w:pPr>
        <w:pStyle w:val="TextoNormal"/>
      </w:pPr>
      <w:r>
        <w:t>En conclusión, procede desestimar la impugnación de los apartados 3, 4, 5, 6, y 9 del art. 31.</w:t>
      </w:r>
    </w:p>
    <w:p w:rsidR="0026452D" w:rsidRDefault="0026452D" w:rsidP="0026452D">
      <w:pPr>
        <w:pStyle w:val="TextoNormal"/>
      </w:pPr>
    </w:p>
    <w:p w:rsidR="0026452D" w:rsidRDefault="0026452D" w:rsidP="0026452D">
      <w:pPr>
        <w:pStyle w:val="TextoNormal"/>
      </w:pPr>
      <w:r>
        <w:t>f) Del título III (del control financiero de las subvenciones) se recurre en este proceso constitucional el art. 45.2 c) del tercer párrafo y se sostiene por los recurrentes que han sido vulneradas las competencias autonómicas cuando al referirse a los controles previstos en el plan anual en las ayudas financiadas por el Fondo europeo de orientación y garantía agraria, la Intervención General del Estado los efectuará (art. 11 del Reglamento CEE núm. 4045/89 del Consejo de las Comunidades Europeas de 21 de diciembre de 1989) cuando razones de orden territorial “o de otra índole” así lo aconsejen, ignorando las competencias ejecutivas autonómicas, por lo que los planes serán decididos por la Intervención.</w:t>
      </w:r>
    </w:p>
    <w:p w:rsidR="0026452D" w:rsidRDefault="0026452D" w:rsidP="0026452D">
      <w:pPr>
        <w:pStyle w:val="TextoNormal"/>
      </w:pPr>
    </w:p>
    <w:p w:rsidR="0026452D" w:rsidRDefault="0026452D" w:rsidP="0026452D">
      <w:pPr>
        <w:pStyle w:val="TextoNormal"/>
      </w:pPr>
      <w:r>
        <w:t>El art. 45.2 precisa en su párrafo tercero que la Intervención General de la Administración del Estado actuará como “servicio específico” para la aplicación del referido reglamento comunitario, aspecto éste que responde perfectamente a la interlocución única con las instituciones de la Unión Europea y a la competencia del Estado en materia de ordenación económica del sector agrario (art. 149.1.13 CE), puesto que el servicio específico —encargado de vigilar la aplicación del Reglamento CE núm. 485/2008, en su función de control o coordinación de los controles que se realicen, en cualquiera de las modalidades previstas en cada Estado miembro— tiene atribuidas en todo caso funciones de coordinación según la normativa comunitaria y dichas funciones de coordinación son también propias de la competencia estatal implicada.</w:t>
      </w:r>
    </w:p>
    <w:p w:rsidR="0026452D" w:rsidRDefault="0026452D" w:rsidP="0026452D">
      <w:pPr>
        <w:pStyle w:val="TextoNormal"/>
      </w:pPr>
    </w:p>
    <w:p w:rsidR="0026452D" w:rsidRDefault="0026452D" w:rsidP="0026452D">
      <w:pPr>
        <w:pStyle w:val="TextoNormal"/>
      </w:pPr>
      <w:r>
        <w:t>La controvertida letra c) del párrafo tercero del art. 45.2 prevé que la Intervención General de la Administración del Estado, además de la función de coordinación de toda la actividad de control de las subvenciones, pueda realizar también funciones específicas de control “cuando razones de orden territorial o de otra índole así lo aconsejen”.</w:t>
      </w:r>
    </w:p>
    <w:p w:rsidR="0026452D" w:rsidRDefault="0026452D" w:rsidP="0026452D">
      <w:pPr>
        <w:pStyle w:val="TextoNormal"/>
      </w:pPr>
    </w:p>
    <w:p w:rsidR="0026452D" w:rsidRDefault="0026452D" w:rsidP="0026452D">
      <w:pPr>
        <w:pStyle w:val="TextoNormal"/>
      </w:pPr>
      <w:r>
        <w:t>Los supuestos que habilitan para prever un control de la Intervención General de la Administración del Estado están concebidos, pues, ciertamente de forma genérica o indeterminada, pero su concreción queda remitida al plan anual y cabe, como ha señalado el Abogado del Estado, que en esa concreción se prevean controles que sean acordes con la distribución constitucional de competencia y con la doctrina ya establecida por este Tribunal a partir de la STC 13/1992, de 6 de febrero, FJ 8, que dice: “es posible que se establezca un gestión centralizada y, por tanto, un control estatal en supuestos en los que concurran elementos de supraterritorialidad sin que sea posible fijar un punto de conexión o que esa centralización esté justificada porque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w:t>
      </w:r>
    </w:p>
    <w:p w:rsidR="0026452D" w:rsidRDefault="0026452D" w:rsidP="0026452D">
      <w:pPr>
        <w:pStyle w:val="TextoNormal"/>
      </w:pPr>
    </w:p>
    <w:p w:rsidR="0026452D" w:rsidRDefault="0026452D" w:rsidP="0026452D">
      <w:pPr>
        <w:pStyle w:val="TextoNormal"/>
      </w:pPr>
      <w:r>
        <w:t>Y tales razones nos condujeron a concluir en la STC 130/2013, de 4 de junio, que “la eventual invasión competencial se produciría por el contenido concreto del plan anual, pudiendo ser entonces objeto de control por este Tribunal. Así interpretado lo dispuesto en la letra c) del párrafo tercero del art. 45.2 de la Ley 38/2003, no se aprecia en esta regulación la invasión de la competencia de la Comunidad Autónoma”. Esta interpretación se llevará al fallo.</w:t>
      </w:r>
    </w:p>
    <w:p w:rsidR="0026452D" w:rsidRDefault="0026452D" w:rsidP="0026452D">
      <w:pPr>
        <w:pStyle w:val="TextoNormal"/>
      </w:pPr>
    </w:p>
    <w:p w:rsidR="0026452D" w:rsidRDefault="0026452D" w:rsidP="0026452D">
      <w:pPr>
        <w:pStyle w:val="TextoNormal"/>
      </w:pPr>
      <w:r>
        <w:t>g) Del título IV de la Ley general de subvenciones (infracciones y sanciones administrativas en materia de subvenciones) se impugna solo el art. 52 que define el concepto de infracción al indicar que: “constituyen infracciones administrativas en materia de subvenciones las acciones y omisiones tipificadas en esta Ley y serán sancionables incluso a título de simple negligencia”.</w:t>
      </w:r>
    </w:p>
    <w:p w:rsidR="0026452D" w:rsidRDefault="0026452D" w:rsidP="0026452D">
      <w:pPr>
        <w:pStyle w:val="TextoNormal"/>
      </w:pPr>
    </w:p>
    <w:p w:rsidR="0026452D" w:rsidRDefault="0026452D" w:rsidP="0026452D">
      <w:pPr>
        <w:pStyle w:val="TextoNormal"/>
      </w:pPr>
      <w:r>
        <w:t xml:space="preserve">El único argumento con el que los recurrentes sostienen la impugnación de este precepto consiste en que, a su juicio, “define un catálogo cerrado de infracciones que no puede ser objeto de ampliación, precisión o modulación por parte del legislador autonómico” y, a su juicio, contraviene la doctrina constitucional sobre distribución de competencias entre el Estado y las Comunidades Autónomas en materia sancionadora, haciendo referencia a la STC 156/1995, de 26 de octubre. Tal impugnación ha de ser rechazada porque como ya pusimos de relieve en la STC 130/2013, de 4 de junio, con motivo de enjuiciar el art. 56 que señalaba como “constituyen infracciones leves los incumplimientos de las obligaciones recogidas en esta Ley y en las bases reguladoras de subvenciones” consideraba que “la mera ausencia de esta referencia expresa [a la posible existencia de legislación autonómica de desarrollo] no implica que el precepto pretenda vedar ese desarrollo autonómico; nada impide que las Comunidades Autónomas, en ejercicio de sus competencias y siempre que no introduzcan divergencias irrazonables o desproporcionadas, puedan proceder también a regular las infracciones introduciendo nuevos tipos o concretando los que la Ley estatal establece. De hecho, la regulación estatal, al establecer tipos de carácter genérico o abierto deja, </w:t>
      </w:r>
      <w:r>
        <w:lastRenderedPageBreak/>
        <w:t>con claridad, un espacio para la legislación autonómica, por lo que debe rechazarse la alegación de que la regulación estatal desciende a un nivel de detalle que excede de lo básico”.</w:t>
      </w:r>
    </w:p>
    <w:p w:rsidR="0026452D" w:rsidRDefault="0026452D" w:rsidP="0026452D">
      <w:pPr>
        <w:pStyle w:val="TextoNormal"/>
      </w:pPr>
    </w:p>
    <w:p w:rsidR="0026452D" w:rsidRDefault="0026452D" w:rsidP="0026452D">
      <w:pPr>
        <w:pStyle w:val="TextoNormal"/>
      </w:pPr>
      <w:r>
        <w:t>Hay que insistir en que para desestimar esta concreta impugnación, debido al limitado planteamiento que hacen los recurrentes, no es necesario examinar si “las acciones y omisiones tipificadas en esta Ley” se corresponden con ámbitos materiales en que el Estado tiene competencia en virtud de los apartados 13, 14 o 18 del art. 149.1, como exigiría la doctrina constitucional que vincula la competencia para establecer infracciones y sanciones con la competencia para regular la materia sobre la que versan las mismas. Y no lo es porque la demanda no contiene ninguna alegación en este sentido, pues, en lugar de sostener que las acciones y omisiones tipificadas en esta Ley no encuentran conexión precisa con preceptos sustantivos asentados en competencias del Estado, lo que sostiene es que, al agotar la materia sancionadora en el ámbito de las subvenciones, impide que las Comunidades Autónomas regulen los tipos infractores relacionados con los sectores materiales de su competencia. Por ello, para confirmar la constitucionalidad de este precepto basta con exponer que el mismo no pretende que la tipificación de conductas que hace esta ley sea exhaustiva, no obstaculizando que las Comunidades Autónomas en ejercicio de sus competencias puedan prever nuevos tipos o concretar los que la Ley estatal establece, pues como subrayan alternativamente los recurrentes, el precepto sería constitucional siempre que se interprete que no impide que las Comunidades Autónomas amplíen el catálogo de las infracciones.</w:t>
      </w:r>
    </w:p>
    <w:p w:rsidR="0026452D" w:rsidRDefault="0026452D" w:rsidP="0026452D">
      <w:pPr>
        <w:pStyle w:val="TextoNormal"/>
      </w:pPr>
    </w:p>
    <w:p w:rsidR="0026452D" w:rsidRDefault="0026452D" w:rsidP="0026452D">
      <w:pPr>
        <w:pStyle w:val="TextoNormal"/>
      </w:pPr>
      <w:r>
        <w:t>Los razonamientos expuestos conducen a desestimar la impugnación del art. 52.</w:t>
      </w:r>
    </w:p>
    <w:p w:rsidR="0026452D" w:rsidRDefault="0026452D" w:rsidP="0026452D">
      <w:pPr>
        <w:pStyle w:val="TextoNormal"/>
      </w:pPr>
    </w:p>
    <w:p w:rsidR="0026452D" w:rsidRDefault="0026452D" w:rsidP="0026452D">
      <w:pPr>
        <w:pStyle w:val="TextoNormal"/>
      </w:pPr>
      <w:r w:rsidRPr="0026452D">
        <w:rPr>
          <w:rStyle w:val="NumeroAFNegritaCaracter"/>
        </w:rPr>
        <w:t>5</w:t>
      </w:r>
      <w:r>
        <w:t>. También hay que abordar en este primer grupo de impugnaciones, pues aunque no es de contenido estrictamente competencial sí tiene una cierta conexión con esta materia, el reproche que la demanda hace al apartado 1 de la disposición final primera por dar cobertura a la ley impugnada conjuntamente en los títulos competenciales estatales reconocidos en los núms. 13, 14 y 18 del art. 149.1 CE, dado que con ello, especialmente en este caso en que el alcance de los títulos invocados es distinto, se infringe el principio de seguridad jurídica (art. 9.3 CE), en la medida en que no explicita cuales son aplicables a cada supuesto y el alcance de dichos títulos que reconocen al Estado potestad para dictar normas básicas, lo que es distinto de aquellos supuestos en los que la potestad no se define por la función sino por la materia sobre la que recae.</w:t>
      </w:r>
    </w:p>
    <w:p w:rsidR="0026452D" w:rsidRDefault="0026452D" w:rsidP="0026452D">
      <w:pPr>
        <w:pStyle w:val="TextoNormal"/>
      </w:pPr>
    </w:p>
    <w:p w:rsidR="0026452D" w:rsidRDefault="0026452D" w:rsidP="0026452D">
      <w:pPr>
        <w:pStyle w:val="TextoNormal"/>
      </w:pPr>
      <w:r>
        <w:t xml:space="preserve">En el examen de esta impugnación debemos partir de lo que afirmamos en la STC 233/1999, de 16 de diciembre, FJ 4 a), cuando señalamos que “de entrada hay que comenzar recordando lo que afirmamos en la STC 133/1997, de 16 de julio, FJ 6 a propósito de la exigencia del principio de ley formal en la determinación de las bases. Dijimos entonces que de dicho principio ‘no se deriva para el legislador la obligación de invocar expresamente el título competencial que ampara sus Leyes’. Y añadíamos a continuación: ‘las competencias son indisponibles e irrenunciables, tanto para el legislador del Estado como para el de las Comunidades Autónomas; operan </w:t>
      </w:r>
      <w:r w:rsidRPr="0026452D">
        <w:rPr>
          <w:i/>
        </w:rPr>
        <w:t>ope Constitutionis</w:t>
      </w:r>
      <w:r>
        <w:t>, con independencia de que uno u otro legislador hagan invocación explícita de las mismas’”.</w:t>
      </w:r>
    </w:p>
    <w:p w:rsidR="0026452D" w:rsidRDefault="0026452D" w:rsidP="0026452D">
      <w:pPr>
        <w:pStyle w:val="TextoNormal"/>
      </w:pPr>
    </w:p>
    <w:p w:rsidR="0026452D" w:rsidRDefault="0026452D" w:rsidP="0026452D">
      <w:pPr>
        <w:pStyle w:val="TextoNormal"/>
      </w:pPr>
      <w:r>
        <w:t xml:space="preserve">A la luz de esta doctrina no podemos declarar inconstitucional, como pretenden los recurrentes, el apartado 1 de la disposición final primera por no haber explicitado cuáles de los preceptos que enuncia como aplicables a toda subvención encuentran cobertura en uno u otro de los tres títulos competenciales estatales que menciona, porque cada uno de ellos </w:t>
      </w:r>
      <w:r>
        <w:lastRenderedPageBreak/>
        <w:t>amparan el dictado de esos artículos por el legislador estatal de acuerdo con su propio alcance, según resulta éste de la Constitución y de la doctrina constitucional que la interpreta, no existiendo por tanto ninguna falta de certeza que no se pueda salvar atendiendo a dichos criterios delimitadores del alcance de esos títulos competenciales estatales, que por lo demás, han sido analizados en el fundamento jurídico 3 de esta resolución.</w:t>
      </w:r>
    </w:p>
    <w:p w:rsidR="0026452D" w:rsidRDefault="0026452D" w:rsidP="0026452D">
      <w:pPr>
        <w:pStyle w:val="TextoNormal"/>
      </w:pPr>
    </w:p>
    <w:p w:rsidR="0026452D" w:rsidRDefault="0026452D" w:rsidP="0026452D">
      <w:pPr>
        <w:pStyle w:val="TextoNormal"/>
      </w:pPr>
      <w:r w:rsidRPr="0026452D">
        <w:rPr>
          <w:rStyle w:val="NumeroAFNegritaCaracter"/>
        </w:rPr>
        <w:t>6</w:t>
      </w:r>
      <w:r>
        <w:t>. La primera de las impugnaciones de contenido sustantivo, concretamente por contener una previsión arbitraria y desproporcionada contraria al art. 9.3 CE, se dirige contra el art. 13.3, en la medida que reproduce las previsiones del apartado 6 del art. 4 de la Ley Orgánica 1/2002, de 22 de marzo, reguladora del derecho de asociación, que no ha sido recurrida, por lo que resulta improcedente tal impugnación, al amparo de la taxativa prohibición del art. 39.1 de la Ley Orgánica del Tribunal Constitucional (en coherencia con reiterada jurisprudencia constitucional, por todas SSTC 45/1991, de 28 de febrero; 195/2006, de 22 de junio y 297/2006, de 11 de octubre).</w:t>
      </w:r>
    </w:p>
    <w:p w:rsidR="0026452D" w:rsidRDefault="0026452D" w:rsidP="0026452D">
      <w:pPr>
        <w:pStyle w:val="TextoNormal"/>
      </w:pPr>
    </w:p>
    <w:p w:rsidR="0026452D" w:rsidRDefault="0026452D" w:rsidP="0026452D">
      <w:pPr>
        <w:pStyle w:val="TextoNormal"/>
      </w:pPr>
      <w:r>
        <w:t>La otra impugnación de contenido sustantivo se dirige contra el art. 13.5, que dispone:</w:t>
      </w:r>
    </w:p>
    <w:p w:rsidR="0026452D" w:rsidRDefault="0026452D" w:rsidP="0026452D">
      <w:pPr>
        <w:pStyle w:val="TextoNormal"/>
      </w:pPr>
    </w:p>
    <w:p w:rsidR="0026452D" w:rsidRDefault="0026452D" w:rsidP="0026452D">
      <w:pPr>
        <w:pStyle w:val="TextoNormal"/>
      </w:pPr>
      <w:r>
        <w:t>“5. Las prohibiciones contenidas en los párrafos a) y h) del apartado 2 de este artículo se apreciarán de forma automática. El alcance de la prohibición será el que determine la sentencia o resolución firme. En su defecto, el alcance se fijará de acuerdo con el procedimiento determinado reglamentariamente, sin que pueda exceder de cinco años en caso de que la prohibición no derive de sentencia firme.”</w:t>
      </w:r>
    </w:p>
    <w:p w:rsidR="0026452D" w:rsidRDefault="0026452D" w:rsidP="0026452D">
      <w:pPr>
        <w:pStyle w:val="TextoNormal"/>
      </w:pPr>
    </w:p>
    <w:p w:rsidR="0026452D" w:rsidRDefault="0026452D" w:rsidP="0026452D">
      <w:pPr>
        <w:pStyle w:val="TextoNormal"/>
      </w:pPr>
      <w:r>
        <w:t>La demanda sostiene que este precepto vulnera el art. 117.3 CE, en tanto se refiere a la pena de prohibición de obtener subvenciones impuesta por Sentencia firme [13.2 a)], y los principios sancionadores consagrados en la Constitución, en cuanto alude a la sanción de prohibición de obtener subvenciones decidida en resolución administrativa firme y entiende que la remisión reglamentaria no puede ser aceptada por suponer una intervención del legislador en materias propias de la potestad jurisdiccional en cuanto a la fijación del alcance de una pena.</w:t>
      </w:r>
    </w:p>
    <w:p w:rsidR="0026452D" w:rsidRDefault="0026452D" w:rsidP="0026452D">
      <w:pPr>
        <w:pStyle w:val="TextoNormal"/>
      </w:pPr>
    </w:p>
    <w:p w:rsidR="0026452D" w:rsidRDefault="0026452D" w:rsidP="0026452D">
      <w:pPr>
        <w:pStyle w:val="TextoNormal"/>
      </w:pPr>
      <w:r>
        <w:t>Este precepto también fue recurrido en el proceso resuelto por la STC 130/2013, de 4 de junio, donde la vulneración constitucional que se alegaba era la afectación al art. 25.1 CE derivada de que las reglas que establece inciden en la determinación de penas y sanciones sin respetar las exigencia del principio de legalidad. En aquella Sentencia se descartó tal reproche constitucional argumentando que se sitúan en planos distintos, de un lado, la imposición en Sentencia firme de una pena de prohibición de obtener subvenciones o en resolución administrativa firme de una sanción análoga y, de otro, las consecuencias que en clave de prohibición de obtener subvenciones derive el órgano administrativo subvencionador. Así, en aquella Sentencia excluimos la aplicabilidad a este art. 13.5 del art. 25.1 CE diciendo que “abordando el art. 13.5 a partir de su conexión con el art. 13.2 a) y h), se aprecia que este último precepto no regula la tipificación de los supuestos que determinan la pena o la sanción consistente en la pérdida de la posibilidad de obtener subvenciones, sino que tan sólo expresa que cuando hayan recaído dichas pena o sanción —que tendrán su regulación específica— no podrán los implicados obtener la correspondiente subvención, de lo que se deriva que el art. 13.5 … no conlleva vulneración del art. 25 CE”.</w:t>
      </w:r>
    </w:p>
    <w:p w:rsidR="0026452D" w:rsidRDefault="0026452D" w:rsidP="0026452D">
      <w:pPr>
        <w:pStyle w:val="TextoNormal"/>
      </w:pPr>
    </w:p>
    <w:p w:rsidR="0026452D" w:rsidRDefault="0026452D" w:rsidP="0026452D">
      <w:pPr>
        <w:pStyle w:val="TextoNormal"/>
      </w:pPr>
      <w:r>
        <w:lastRenderedPageBreak/>
        <w:t xml:space="preserve">Este doble plano, que resalta la distinción entre la pena o sanción de prohibición de obtener una subvención y la prohibición de obtener una ayuda pública apreciada por el órgano sancionador, es conforme a la doctrina constitucional que, al delimitar el concepto de sanción como ámbito del principio de legalidad </w:t>
      </w:r>
      <w:r w:rsidRPr="0026452D">
        <w:rPr>
          <w:i/>
        </w:rPr>
        <w:t>ex</w:t>
      </w:r>
      <w:r>
        <w:t xml:space="preserve"> art. 25.1 CE, admite que no se comprende en él toda medida restrictiva de derechos o simplemente desfavorable, sino que solo tienen naturaleza propiamente sancionadora aquéllas que tienen una finalidad meramente represiva o de castigo (SSTC 239/1988, de 14 de diciembre, FJ 2; 164/1995, de 13 de noviembre, FJ 2). En este contexto las prohibiciones para obtener ayudas públicas que en aplicación de la ley acuerde el órgano subvencionador se orientan, no al castigo del afectado por la prohibición, sino a asegurar que, en lugar de verse frustrada por haber escogido como beneficiario a quien no reunía las condiciones necesarias, la actividad de fomento alcanza sus objetivos.</w:t>
      </w:r>
    </w:p>
    <w:p w:rsidR="0026452D" w:rsidRDefault="0026452D" w:rsidP="0026452D">
      <w:pPr>
        <w:pStyle w:val="TextoNormal"/>
      </w:pPr>
    </w:p>
    <w:p w:rsidR="0026452D" w:rsidRDefault="0026452D" w:rsidP="0026452D">
      <w:pPr>
        <w:pStyle w:val="TextoNormal"/>
      </w:pPr>
      <w:r>
        <w:t xml:space="preserve">Esta lógica del doble plano determina también la desestimación de la presente impugnación. En efecto, los incisos del art. 13.5 a los que se refiere el reproche de inconstitucionalidad </w:t>
      </w:r>
      <w:r w:rsidRPr="0026452D">
        <w:rPr>
          <w:i/>
        </w:rPr>
        <w:t>ex</w:t>
      </w:r>
      <w:r>
        <w:t xml:space="preserve"> art. 117.3 CE no regularían la imposición o la cuantía de la pena de prohibición de obtener subvenciones, cuestión esta que el primer inciso del art. 13.5 y sobre todo el art. 13.2 a) reservarían a los Jueces y Tribunales que hubieren dictado la Sentencia firme, respetando por tanto la exclusividad jurisdiccional prevista en el art. 117.3 CE. Lo que disciplinarían esos incisos del art. 13.5 es la actividad del órgano subvencionador para definir el alcance de la prohibición propiamente dicha de obtener subvenciones, prohibición que, como venimos diciendo, más que estar orientada a la represión de la conducta del sujeto privado que pretendiese ser beneficiario de la ayuda pública, persigue asegurar el logro de los fines de la actividad de fomento. Además, el art. 13.5 impone que el órgano subvencionador, en la realización de la actividad descrita, se ajuste a lo resuelto en la Sentencia firme a que aluden los art. 13.2 a) y 13.5 en todo aquello que la pena de prohibición de obtener subvenciones impuesta en la misma se superponga con la prohibición cuya apreciación se encarga, según venimos razonando, al órgano subvencionador.</w:t>
      </w:r>
    </w:p>
    <w:p w:rsidR="0026452D" w:rsidRDefault="0026452D" w:rsidP="0026452D">
      <w:pPr>
        <w:pStyle w:val="TextoNormal"/>
      </w:pPr>
    </w:p>
    <w:p w:rsidR="0026452D" w:rsidRDefault="0026452D" w:rsidP="0026452D">
      <w:pPr>
        <w:pStyle w:val="TextoNormal"/>
      </w:pPr>
      <w:r>
        <w:t>La otra parte de la impugnación del art. 13.5, la que sostiene que en la medida que este precepto se refiere a la sanción de prohibición de obtener subvenciones impuesta por una resolución administrativa firme vulnera los principios sancionadores consagrados en la Constitución, es análoga a la anterior, pues suscita la cuestión de la intervención del órgano subvencionador para precisar el alcance de lo que es propiamente una sanción. Pues bien, la misma argumentación, que distingue la prohibición como sanción, que estaría reservada al órgano sancionador, de la prohibición que tiende a evitar que la actividad de fomento se frustre por escoger a un beneficiario inadecuado, ámbito este que sería el único al que se aplicarían los incisos impugnados, conduce a la desestimación del recurso también en este punto.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lastRenderedPageBreak/>
        <w:t>Ha decidido</w:t>
      </w:r>
    </w:p>
    <w:p w:rsidR="0026452D" w:rsidRDefault="0026452D" w:rsidP="0026452D">
      <w:pPr>
        <w:pStyle w:val="TextoNormalCentrado"/>
        <w:keepNext/>
      </w:pPr>
    </w:p>
    <w:p w:rsidR="0026452D" w:rsidRDefault="0026452D" w:rsidP="0026452D">
      <w:pPr>
        <w:pStyle w:val="TextoNormal"/>
      </w:pPr>
      <w:r>
        <w:t>1º Declarar que los siguientes preceptos de la Ley 38/2003, de 17 de noviembre, general de subvenciones, no son contrarios a la Constitución, siempre que se interpreten en los términos establecidos en el fundamento jurídico cuarto de la presente Sentencia: letra a) del apartado cuarto del art. 3, según lo indicado en el fundamento jurídico 4 a) y párrafo tercero, letra c) del apartado segundo del art. 45, según lo indicado en el fundamento jurídico 4 f).</w:t>
      </w:r>
    </w:p>
    <w:p w:rsidR="0026452D" w:rsidRDefault="0026452D" w:rsidP="0026452D">
      <w:pPr>
        <w:pStyle w:val="TextoNormal"/>
      </w:pPr>
    </w:p>
    <w:p w:rsidR="0026452D" w:rsidRDefault="0026452D" w:rsidP="0026452D">
      <w:pPr>
        <w:pStyle w:val="TextoNormal"/>
      </w:pPr>
      <w:r>
        <w:t>2º Desestimar el recurso de inconstitucionalidad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Toledo, a seis de junio de dos mil trece.</w:t>
      </w:r>
    </w:p>
    <w:p w:rsidR="0026452D" w:rsidRDefault="0026452D" w:rsidP="0026452D">
      <w:pPr>
        <w:pStyle w:val="ParrafoNormal"/>
      </w:pPr>
    </w:p>
    <w:p w:rsidR="0026452D" w:rsidRDefault="0026452D" w:rsidP="0026452D">
      <w:pPr>
        <w:pStyle w:val="TextoNormalNegritaCentrado"/>
        <w:keepNext/>
      </w:pPr>
      <w:r>
        <w:t>Voto particular que formula el Magistrado don Luis Ignacio Ortega Álvarez al que se adhieren las Magistradas doña Adela Asua Batarrita, doña Encarnación Roca Trías y el Magistrado don Fernando Valdés Dal-Ré respecto de la Sentencia dictada en el recurso de inconstitucionalidad núm. 964-2004.</w:t>
      </w:r>
    </w:p>
    <w:p w:rsidR="0026452D" w:rsidRDefault="0026452D" w:rsidP="0026452D">
      <w:pPr>
        <w:pStyle w:val="TextoNormalNegritaCentrado"/>
        <w:keepNext/>
      </w:pPr>
    </w:p>
    <w:p w:rsidR="0026452D" w:rsidRDefault="0026452D" w:rsidP="0026452D">
      <w:pPr>
        <w:pStyle w:val="TextoNormal"/>
      </w:pPr>
      <w:r>
        <w:t xml:space="preserve">En el ejercicio de la facultad que me confiere el art. 90.2 de la Ley Orgánica del Tribunal Constitucional y con el máximo respeto a los Magistrados que han conformado la opinión de la mayoría del Tribunal recogida en la Sentencia, formulo el presente Voto particular. Los fundamentos y el fallo del Auto cuya intangibilidad se analiza en esta Sentencia son de redacción idéntica a los examinados en el recurso de inconstitucionalidad núm. 931-2004, sobre el que formulé Voto particular disidente, cuyo contenido interpretativo de la </w:t>
      </w:r>
      <w:r w:rsidRPr="0026452D">
        <w:rPr>
          <w:i/>
        </w:rPr>
        <w:t>ratio decidendi</w:t>
      </w:r>
      <w:r>
        <w:t xml:space="preserve"> del mismo, así como los criterios de convencimiento sobre la corrección de la interpretación de dicha </w:t>
      </w:r>
      <w:r w:rsidRPr="0026452D">
        <w:rPr>
          <w:i/>
        </w:rPr>
        <w:t>ratio decidendi</w:t>
      </w:r>
      <w:r>
        <w:t>, son trasladables a este caso.</w:t>
      </w:r>
    </w:p>
    <w:p w:rsidR="0026452D" w:rsidRDefault="0026452D" w:rsidP="0026452D">
      <w:pPr>
        <w:pStyle w:val="TextoNormal"/>
      </w:pPr>
    </w:p>
    <w:p w:rsidR="0026452D" w:rsidRDefault="0026452D" w:rsidP="0026452D">
      <w:pPr>
        <w:pStyle w:val="TextoNormal"/>
      </w:pPr>
      <w:r>
        <w:t>Y en ese sentido emito mi Voto particular.</w:t>
      </w:r>
    </w:p>
    <w:p w:rsidR="0026452D" w:rsidRDefault="0026452D" w:rsidP="0026452D">
      <w:pPr>
        <w:pStyle w:val="TextoNormal"/>
      </w:pPr>
    </w:p>
    <w:p w:rsidR="0026452D" w:rsidRDefault="0026452D" w:rsidP="0026452D">
      <w:pPr>
        <w:pStyle w:val="TextoNormal"/>
      </w:pPr>
      <w:r>
        <w:t>Toledo, a seis de junio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39" w:name="SENTENCIA_2013_136"/>
      <w:r>
        <w:lastRenderedPageBreak/>
        <w:t>SENTENCIA 136/2013, de 6 de junio de 2013</w:t>
      </w:r>
    </w:p>
    <w:bookmarkEnd w:id="139"/>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157, de 2 de julio de 2013)</w:t>
      </w:r>
    </w:p>
    <w:p w:rsidR="0026452D" w:rsidRDefault="0026452D" w:rsidP="0026452D">
      <w:pPr>
        <w:pStyle w:val="TtuloBOE"/>
      </w:pPr>
    </w:p>
    <w:p w:rsidR="0026452D" w:rsidRDefault="0026452D" w:rsidP="0026452D">
      <w:pPr>
        <w:pStyle w:val="SntesisDescriptiva"/>
      </w:pPr>
      <w:r>
        <w:t>ECLI:ES:TC:2013:136</w:t>
      </w:r>
    </w:p>
    <w:p w:rsidR="0026452D" w:rsidRDefault="0026452D" w:rsidP="0026452D">
      <w:pPr>
        <w:pStyle w:val="SntesisDescriptiva"/>
      </w:pPr>
    </w:p>
    <w:p w:rsidR="0026452D" w:rsidRDefault="0026452D" w:rsidP="0026452D">
      <w:pPr>
        <w:pStyle w:val="SntesisDescriptiva"/>
      </w:pPr>
      <w:r>
        <w:t>Recurso de inconstitucionalidad 2082-2005. Interpuesto por el Presidente del Gobierno en relación con la Ley de las Cortes de Castilla y León 8/2004, de 22 de diciembre, por la que se modifica la Ley 12/2002, de 11 de julio, del patrimonio cultural de Castilla y León.</w:t>
      </w:r>
    </w:p>
    <w:p w:rsidR="0026452D" w:rsidRDefault="0026452D" w:rsidP="0026452D">
      <w:pPr>
        <w:pStyle w:val="SntesisDescriptiva"/>
      </w:pPr>
    </w:p>
    <w:p w:rsidR="0026452D" w:rsidRDefault="0026452D" w:rsidP="0026452D">
      <w:pPr>
        <w:pStyle w:val="SntesisAnaltica"/>
      </w:pPr>
      <w:r>
        <w:t>Competencias sobre archivos: nulidad del precepto legal que declara bien de interés cultural documentación obrante en archivos de titularidad estatal radicados en el territorio autonómico (STC 38/2013).</w:t>
      </w:r>
    </w:p>
    <w:p w:rsidR="0026452D" w:rsidRDefault="0026452D" w:rsidP="0026452D">
      <w:pPr>
        <w:pStyle w:val="SntesisAnaltica"/>
      </w:pPr>
    </w:p>
    <w:p w:rsidR="0026452D" w:rsidRDefault="0026452D" w:rsidP="0026452D">
      <w:pPr>
        <w:pStyle w:val="Extracto"/>
      </w:pPr>
      <w:r>
        <w:t>1.</w:t>
      </w:r>
      <w:r>
        <w:tab/>
        <w:t>La cuestión planteada sobre el régimen competencial en relación con los archivos de titularidad estatal radicados en Castilla y León ya ha sido resuelta en la STC 38/2013  [FFJJ 3 a 5].</w:t>
      </w:r>
    </w:p>
    <w:p w:rsidR="0026452D" w:rsidRDefault="0026452D" w:rsidP="0026452D">
      <w:pPr>
        <w:pStyle w:val="Extracto"/>
      </w:pPr>
    </w:p>
    <w:p w:rsidR="0026452D" w:rsidRDefault="0026452D" w:rsidP="0026452D">
      <w:pPr>
        <w:pStyle w:val="Extracto"/>
      </w:pPr>
      <w:r>
        <w:t>2.</w:t>
      </w:r>
      <w:r>
        <w:tab/>
        <w:t xml:space="preserve">El precepto impugnado, que declara bien de interés cultural la documentación recogida en determinados Archivos, vulnera las competencias del Estado, </w:t>
      </w:r>
      <w:r w:rsidRPr="0026452D">
        <w:rPr>
          <w:i/>
        </w:rPr>
        <w:t>ex</w:t>
      </w:r>
      <w:r>
        <w:t xml:space="preserve"> arts. 149.1.28 y 149.2 CE, al no contemplar una exclusión de los archivos de titularidad estatal, debiendo por ello ser declarado inconstitucional y nulo [FJ 5].</w:t>
      </w:r>
    </w:p>
    <w:p w:rsidR="0026452D" w:rsidRDefault="0026452D" w:rsidP="0026452D">
      <w:pPr>
        <w:pStyle w:val="Extracto"/>
      </w:pPr>
    </w:p>
    <w:p w:rsidR="0026452D" w:rsidRDefault="0026452D" w:rsidP="0026452D">
      <w:pPr>
        <w:pStyle w:val="Extracto"/>
      </w:pPr>
      <w:r>
        <w:t>3.</w:t>
      </w:r>
      <w:r>
        <w:tab/>
        <w:t>Corresponde a la Comunidad Autónoma, en relación a los archivos históricos provinciales cuya gestión haya transferido el Estado, la ejecución de la normativa aprobada por el Estado, conforme al correspondiente convenio de traspaso de competencias, careciendo la Comunidad Autónoma de una potestad reglamentaria de alcance general, estando limitada a la emanación de reglamentos de organización interna y de ordenación funcional de la competencia ejecutiva autonómica (SSTC 31/2010, 14/2013) [FJ 4].</w:t>
      </w:r>
    </w:p>
    <w:p w:rsidR="0026452D" w:rsidRDefault="0026452D" w:rsidP="0026452D">
      <w:pPr>
        <w:pStyle w:val="Extracto"/>
      </w:pPr>
    </w:p>
    <w:p w:rsidR="0026452D" w:rsidRDefault="0026452D" w:rsidP="0026452D">
      <w:pPr>
        <w:pStyle w:val="Extracto"/>
      </w:pPr>
      <w:r>
        <w:t>4.</w:t>
      </w:r>
      <w:r>
        <w:tab/>
        <w:t>No contradice el art. 149.1.28 CE, en relación con el art. 149.2 CE, que los fondos ubicados en archivos de titularidad estatal se integren en sistemas archivísticos de las Comunidades Autónomas, en cuanto ello implique una calificación que sólo añada una sobreprotección a dichos fondos, pero sin incidencia en la regulación, disposición o gestión de los fondos documentales ni de los archivos en que se ubican (SSTC 31/2010, 48/2010) [FJ 4].</w:t>
      </w:r>
    </w:p>
    <w:p w:rsidR="0026452D" w:rsidRDefault="0026452D" w:rsidP="0026452D">
      <w:pPr>
        <w:pStyle w:val="Extracto"/>
      </w:pPr>
    </w:p>
    <w:p w:rsidR="0026452D" w:rsidRDefault="0026452D" w:rsidP="0026452D">
      <w:pPr>
        <w:pStyle w:val="Extracto"/>
      </w:pPr>
      <w:r>
        <w:t>5.</w:t>
      </w:r>
      <w:r>
        <w:tab/>
        <w:t>Ha de distinguirse la competencia para definir e integrar los elementos que componen el patrimonio documental y la competencia sobre los archivos que contienen dichos documentos, ya que la calificación de documentos y la ordenación de archivos son intervenciones legislativas diferentes (SSTC 103/1988, 38/2013) [FJ 4].</w:t>
      </w:r>
    </w:p>
    <w:p w:rsidR="0026452D" w:rsidRDefault="0026452D" w:rsidP="0026452D">
      <w:pPr>
        <w:pStyle w:val="Extracto"/>
      </w:pPr>
    </w:p>
    <w:p w:rsidR="0026452D" w:rsidRDefault="0026452D" w:rsidP="0026452D">
      <w:pPr>
        <w:pStyle w:val="Extracto"/>
      </w:pPr>
      <w:r>
        <w:t>6.</w:t>
      </w:r>
      <w:r>
        <w:tab/>
        <w:t xml:space="preserve">Las competencias autonómicas sobre patrimonio histórico incluyen la capacidad para definir los elementos integrantes del mismo, y ello aun en el caso de que los documentos de interés para la Comunidad Autónoma se integren en archivos de </w:t>
      </w:r>
      <w:r>
        <w:lastRenderedPageBreak/>
        <w:t>titularidad estatal, siendo la Comunidad Autónoma la que puede establecer la definición y los elementos integrantes de su patrimonio documental con independencia de la titularidad de los documentos y del archivo en que se hallen ubicados (SSTC 103/1988, 14/2013) [FJ 4].</w:t>
      </w:r>
    </w:p>
    <w:p w:rsidR="0026452D" w:rsidRDefault="0026452D" w:rsidP="0026452D">
      <w:pPr>
        <w:pStyle w:val="Extracto"/>
      </w:pPr>
    </w:p>
    <w:p w:rsidR="0026452D" w:rsidRDefault="0026452D" w:rsidP="0026452D">
      <w:pPr>
        <w:pStyle w:val="Extracto"/>
      </w:pPr>
      <w:r>
        <w:t>7.</w:t>
      </w:r>
      <w:r>
        <w:tab/>
        <w:t>En la noción constitucional de ‘archivo’ concurren dos significados, el referido a los fondos documentales y el que atañe a las entidades o instituciones responsables de la custodia, conservación y tratamiento de tales fondos, lo que permite que las Comunidades Autónomas, en el ejercicio de sus competencias sobre patrimonio cultural, puedan otorgar una determinada calificación a fondos documentales de su interés integrados en archivos de titularidad estatal, a los efectos de su protección, pero sin que esa calificación confiera facultades de disposición u ordenación sobre los fondos documentales ni sobre los archivos en que se ubican (STC 14/2013) [FJ 4].</w:t>
      </w:r>
    </w:p>
    <w:p w:rsidR="0026452D" w:rsidRDefault="0026452D" w:rsidP="0026452D">
      <w:pPr>
        <w:pStyle w:val="Extracto"/>
      </w:pPr>
    </w:p>
    <w:p w:rsidR="0026452D" w:rsidRDefault="0026452D" w:rsidP="0026452D">
      <w:pPr>
        <w:pStyle w:val="Extracto"/>
      </w:pPr>
      <w:r>
        <w:t>8.</w:t>
      </w:r>
      <w:r>
        <w:tab/>
        <w:t>La categoría legal de los bienes de interés cultural dentro del Patrimonio Histórico Español está integrada por los más relevantes del mismo, normalmente situados en alguna de las Comunidades Autónomas, y a ellas, en cuanto la tengan asumida estatutariamente, debe corresponder la competencia para emitir su declaración formal, sin perjuicio de la del Estado en los supuestos singulares en que a éste le viene atribuida por la Constitución y se señalan en la Ley del patrimonio histórico español (STC 17/1991)  [FJ 4].</w:t>
      </w:r>
    </w:p>
    <w:p w:rsidR="0026452D" w:rsidRDefault="0026452D" w:rsidP="0026452D">
      <w:pPr>
        <w:pStyle w:val="Extracto"/>
      </w:pPr>
    </w:p>
    <w:p w:rsidR="0026452D" w:rsidRDefault="0026452D" w:rsidP="0026452D">
      <w:pPr>
        <w:pStyle w:val="Extracto"/>
      </w:pPr>
      <w:r>
        <w:t>9.</w:t>
      </w:r>
      <w:r>
        <w:tab/>
        <w:t>El control de las normas que incurren en un posible exceso competencial debe hacerse de acuerdo con las normas del bloque de la constitucionalidad vigentes en el momento de dictar Sentencia (SSTC 135/2006, 5/2012)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 xml:space="preserve">En el recurso de inconstitucionalidad núm. 2082-2005, interpuesto por el Presidente del Gobierno, representado por el Abogado del Estado, contra el artículo único de la Ley de la Comunidad Autónoma de Castilla y León 8/2004, de 22 de diciembre, por la que se modifica la Ley 12/2002, de 11 de julio, del patrimonio cultural de Castilla y León. Han comparecido y formulado alegaciones la Junta de Castilla y León, representada por el Procurador de los </w:t>
      </w:r>
      <w:r>
        <w:lastRenderedPageBreak/>
        <w:t>Tribunales don Federico J. Olivares Santiago y asistido por el Letrado don Tomás R. Fernández Rodríguez, y las Cortes de Castilla y León, representadas por su Letrado. Ha sido Ponente la Magistrada doña Adela Asua Batarrita,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registrado en este Tribunal el 23 de marzo de 2005, el Abogado del Estado, en la representación que ostenta, interpuso recurso de inconstitucionalidad contra el artículo único de la Ley de la Comunidad Autónoma de Castilla y León 8/2004, de 22 de diciembre, que introduce una disposición adicional séptima en la Ley 12/2002, de 11 de julio, del patrimonio cultural de Castilla y León, en cuanto declara bien de interés cultural como colección la documentación recogida en “el Archivo General de Simancas, el Archivo de la Real Chancillería de Valladolid, el Archivo General de la Guerra Civil Española con sede en Salamanca y, en general, todos los archivos históricos de titularidad estatal y de interés para la Comunidad de Castilla y León existentes en el territorio de ésta”.</w:t>
      </w:r>
    </w:p>
    <w:p w:rsidR="0026452D" w:rsidRDefault="0026452D" w:rsidP="0026452D">
      <w:pPr>
        <w:pStyle w:val="TextoNormal"/>
      </w:pPr>
    </w:p>
    <w:p w:rsidR="0026452D" w:rsidRDefault="0026452D" w:rsidP="0026452D">
      <w:pPr>
        <w:pStyle w:val="TextoNormal"/>
      </w:pPr>
      <w:r>
        <w:t>El recurso comienza haciendo referencia a la publicación de la norma impugnada, y afirmando que es inconstitucional por vulnerar las competencias estatales en materia de museos, bibliotecas y archivos de titularidad estatal (art. 149.1.28 CE), y en materia de cultura (art. 149.2 CE). En cuanto al reparto competencial en la materia, se señala que, de acuerdo con la doctrina constitucional, existe una competencia concurrente del Estado y las Comunidades Autónomas en materia de cultura, con una acción autonómica específica, pero también estatal, contando el Estado con potestad para legislar en la materia relativa al patrimonio histórico-artístico (STC 17/1991, de 31 de enero, FJ 3). En materia de archivos, según sostiene el Abogado del Estado, éste actúa con un doble título competencial: el genérico sobre la cultura y el específico sobre archivos, ostentando, con base en el art. 149 CE, apartados 1.28 y 2, una competencia exclusiva sobre los archivos de titularidad estatal, que implica tanto la facultad legislativa como la de desarrollo y ejecución, aunque su gestión pueda ser atribuida a las Comunidades Autónomas, en los términos que el Estado considere oportunos.</w:t>
      </w:r>
    </w:p>
    <w:p w:rsidR="0026452D" w:rsidRDefault="0026452D" w:rsidP="0026452D">
      <w:pPr>
        <w:pStyle w:val="TextoNormal"/>
      </w:pPr>
    </w:p>
    <w:p w:rsidR="0026452D" w:rsidRDefault="0026452D" w:rsidP="0026452D">
      <w:pPr>
        <w:pStyle w:val="TextoNormal"/>
      </w:pPr>
      <w:r>
        <w:t xml:space="preserve">Por otro lado, razona que el Estatuto de Autonomía de Castilla y León atribuye a la Comunidad Autónoma competencia exclusiva en materia de “museos, bibliotecas, hemerotecas, archivos y otros centros culturales y de depósito de interés para la Comunidad y que no sean de titularidad estatal” (art. 32.1.13), y, entre las de ejecución, la “gestión de museos, archivos, bibliotecas y colecciones de naturaleza análoga de titularidad estatal que no se reserve el Estado”, fijándose los términos de la gestión mediante convenio (art. 36.4). O sea, que también del Estatuto resulta claro que los archivos de titularidad estatal son de competencia exclusiva del Estado. En relación con este régimen, ha señalado el Tribunal Constitucional que las competencias autonómicas alcanzan con carácter exclusivo a los museos, bibliotecas y archivos de titularidad autonómica, correspondiendo al Estado la misma competencia exclusiva sobre los archivos de titularidad estatal (STC 109/1996, en cuanto a la competencia subvencional sobre museos autonómicos). El punto de partida esencial para dilucidar cual haya de ser el reparto de competencias es que el Estado tiene reconocida una amplia capacidad para determinar cuáles son los museos y, en general, los bienes y establecimientos que requieren una actuación unificada, por lo que la clave en la distribución competencial se halla en la titularidad del elemento. Y, de acuerdo con este régimen, el Estado </w:t>
      </w:r>
      <w:r>
        <w:lastRenderedPageBreak/>
        <w:t xml:space="preserve">puede determinar qué archivos son de titularidad estatal y, por tanto, quedan sometidos a su competencia exclusiva </w:t>
      </w:r>
      <w:r w:rsidRPr="0026452D">
        <w:rPr>
          <w:i/>
        </w:rPr>
        <w:t>ex</w:t>
      </w:r>
      <w:r>
        <w:t xml:space="preserve"> art. 149.1.28 CE; competencia que no se ve alterada por la referencia a la gestión por parte de las Comunidades Autónomas, que lo único que pretende es reconocer al Estado la facultad exclusiva de atribuir a aquéllas la gestión, instrumentándola a través de un convenio. Por tanto, cualquier regulación autonómica sobre esta materia supone una invasión competencial inconstitucional, tal y como se recogió en la STC 103/1988.</w:t>
      </w:r>
    </w:p>
    <w:p w:rsidR="0026452D" w:rsidRDefault="0026452D" w:rsidP="0026452D">
      <w:pPr>
        <w:pStyle w:val="TextoNormal"/>
      </w:pPr>
    </w:p>
    <w:p w:rsidR="0026452D" w:rsidRDefault="0026452D" w:rsidP="0026452D">
      <w:pPr>
        <w:pStyle w:val="TextoNormal"/>
      </w:pPr>
      <w:r>
        <w:t>Para fundamentar la inconstitucionalidad de la norma impugnada, destaca el Abogado del Estado la singular importancia dentro de los archivos de titularidad estatal del Archivo de Simancas, del Archivo de la Real Chancillería de Valladolid y del Archivo de la Guerra Civil Española, que son archivos nacionales, dada la excepcional trascendencia histórica de sus fondos documentales en el proceso de formación de la España actual, constituyendo un patrimonio documental comunitario que requiere la atención y cuidado por parte del Estado. Por su gran interés general para España exigen el tratamiento único y general que les confieren la titularidad y la gestión estatal, conclusión que no es controvertida ni siquiera para el legislador autonómico, como se reconoce en la exposición de motivos de la ley 7/2004, de 22 de diciembre, de modificación de la Ley 6/1991, de archivos y patrimonio documental de Castilla y León. Por otra parte, no existe ni decisión de atribuir a la Comunidad Autónoma la competencia de ejecución, ni convenio que establezca los términos de la gestión, tal y como se reconoce en la disposición adicional sexta de la Ley 6/1991, de 19 de abril.</w:t>
      </w:r>
    </w:p>
    <w:p w:rsidR="0026452D" w:rsidRDefault="0026452D" w:rsidP="0026452D">
      <w:pPr>
        <w:pStyle w:val="TextoNormal"/>
      </w:pPr>
    </w:p>
    <w:p w:rsidR="0026452D" w:rsidRDefault="0026452D" w:rsidP="0026452D">
      <w:pPr>
        <w:pStyle w:val="TextoNormal"/>
      </w:pPr>
      <w:r>
        <w:t>En este contexto se dicta la Ley 8/2004, de 22 de diciembre, cuyo artículo único introduce una disposición adicional séptima en la Ley 12/2002, declarando bien de interés cultural, como colección, a los efectos de dicha ley, la documentación recogida en el Archivo General de Simancas, en el Archivo de la Real Chancillería de Valladolid, en el Archivo General de la Guerra Civil Española con sede en Salamanca y, en general, en todos los archivos históricos de titularidad estatal y de interés para la Comunidad Autónoma de Castilla y León existentes en el territorio de ésta. Pues bien, la Ley de patrimonio histórico español regula en su art. 9 la declaración de un bien como de interés cultural, que podrá hacerse por ministerio de la ley o mediante real decreto, previo el correspondiente expediente. Esta segunda forma de declaración se considera competencia de ejecución, correspondiendo a la Administración que tenga asumidas competencias de ejecución sobre el bien objeto de la declaración (STC 17/1991, de 31 de enero, FJ 10). Y, en este punto, advierte el Abogado del Estado que éste ya ha ejercido legislativamente la competencia de declarar bien de interés cultural los archivos que nos ocupan y sus fondos documentales [art. 60 de la Ley del patrimonio histórico español (LPHE)]. Podría pensarse que la norma impugnada no es más que reproducción de la previsión de la declaración contenida la normativa estatal, pero ésta es una peligrosa técnica legislativa, criticada por el Tribunal Constitucional, que no puede obviar ni subsanar el hecho de que la Comunidad legisle sin competencia (STC 62/1991, FJ 4).</w:t>
      </w:r>
    </w:p>
    <w:p w:rsidR="0026452D" w:rsidRDefault="0026452D" w:rsidP="0026452D">
      <w:pPr>
        <w:pStyle w:val="TextoNormal"/>
      </w:pPr>
    </w:p>
    <w:p w:rsidR="0026452D" w:rsidRDefault="0026452D" w:rsidP="0026452D">
      <w:pPr>
        <w:pStyle w:val="TextoNormal"/>
      </w:pPr>
      <w:r>
        <w:t xml:space="preserve">A partir de estas premisas, se afirma en el recurso, en primer lugar, que al tener todas las competencias sobre los archivos de titularidad estatal, es lógico que haya sido el Estado quien haya efectuado la declaración de bien de interés cultural de los archivos objeto del presente recurso, por lo que resulta sorprendente que se pretenda incidir en su régimen jurídico o en su organización a través de una norma autonómica, por mucho que se invoque el título del art. 32.1.12 del Estatuto de Autonomía de Castilla y León (EACL). La competencia que ha de servir para resolver el presente proceso es la relativa a archivos, de la que no </w:t>
      </w:r>
      <w:r>
        <w:lastRenderedPageBreak/>
        <w:t>puede escindirse la referida a los documentos que los integran, sin los cuales el archivo no es nada, ya que éste, tal y como se define en el art. 59.1 LPHE y en el propio art. 3 de la Ley de archivos y patrimonio documental de Castilla y León, es la suma organizada de los documentos que lo integran. Por tanto, parece claro que la atribución de la competencia en materia de archivos comprende la del fondo documental que lo integra, sentido último de la STC 103/1988 en cuanto a la cláusula del art. 149.1.28 CE. Para el Abogado del Estado la ley impugnada resulta manifiestamente inconstitucional; en cuanto a los archivos nacionales, porque son de titularidad y gestión estatal, reteniendo el Estado todas las competencias sobre los mismos. A igual conclusión cabría llegar respecto de los provinciales cuya gestión se haya transferido. Por una parte, porque la declaración de bienes de interés cultural por ministerio de la ley excede del ejercicio de facultades de ejecución. Por otra, porque, aunque se entendiera que se ejerce una competencia de ejecución, el régimen de la gestión debe establecerse por convenio entre el Estado y la Comunidad Autónoma (art. 36.4 EACL), por lo que no procede modificación alguna del régimen de gestión de los archivos por la simple voluntad de la Comunidad Autónoma.</w:t>
      </w:r>
    </w:p>
    <w:p w:rsidR="0026452D" w:rsidRDefault="0026452D" w:rsidP="0026452D">
      <w:pPr>
        <w:pStyle w:val="TextoNormal"/>
      </w:pPr>
    </w:p>
    <w:p w:rsidR="0026452D" w:rsidRDefault="0026452D" w:rsidP="0026452D">
      <w:pPr>
        <w:pStyle w:val="TextoNormal"/>
      </w:pPr>
      <w:r>
        <w:t>En segundo lugar se afirma en el recurso que, aunque se aceptara la separación entre la competencia sobre el archivo y sobre cada uno de los documentos que lo integran, ha de recordarse que el Tribunal Constitucional ha dejado claro que el límite de tal competencia se encuentra en la no afectación a archivos de titularidad estatal, respecto de los cuales no puede invocar la Comunidad competencia alguna (STC 103/1988, FJ 4). Por tanto, el límite de las potestades de calificación que pudieran corresponder a la Comunidad está en sus consecuencias. En este caso, la ley impugnada tiene una clara incidencia en archivos de titularidad estatal pues, mientras el art. 60.1 LPHE somete los archivos de titularidad estatal al régimen que la propia ley establece para los bienes de interés cultural, la norma autonómica impugnada somete a aquellos archivos al régimen previsto en los arts. 32 y siguientes de la Ley 12/2002, que prescriben la necesaria autorización de la consejería competente en materia de cultura para realizar cualquier actuación de cierta trascendencia sobre tales bienes (arts. 45 a 47). En definitiva, se está ejerciendo la función legislativa sobre una materia en la que la Comunidad Autónoma carece de toda competencia, desbordando indudablemente la competencia en la que pretende ampararse.</w:t>
      </w:r>
    </w:p>
    <w:p w:rsidR="0026452D" w:rsidRDefault="0026452D" w:rsidP="0026452D">
      <w:pPr>
        <w:pStyle w:val="TextoNormal"/>
      </w:pPr>
    </w:p>
    <w:p w:rsidR="0026452D" w:rsidRDefault="0026452D" w:rsidP="0026452D">
      <w:pPr>
        <w:pStyle w:val="TextoNormal"/>
      </w:pPr>
      <w:r>
        <w:t>Finalmente, se señala en la demanda que, para el caso de que se entendiera que la competencia ejercida es la de patrimonio histórico, y que se trata de simple ejercicio de una competencia ejecutiva, la disposición seguiría siendo inconstitucional, ya que el régimen aplicable es el que resulta de la interpretación que la STC 17/1991 ha dado a los arts. 9 y 6 LPHE, correspondiendo al Estado la declaración de bien de interés cultural sobre el patrimonio adscrito al archivo en los archivos nacionales y en los provinciales que siga gestionando y, en cuanto a los provinciales de gestión atribuida a la Comunidad Autónoma, no cabría una modificación unilateral del régimen de gestión.</w:t>
      </w:r>
    </w:p>
    <w:p w:rsidR="0026452D" w:rsidRDefault="0026452D" w:rsidP="0026452D">
      <w:pPr>
        <w:pStyle w:val="TextoNormal"/>
      </w:pPr>
    </w:p>
    <w:p w:rsidR="0026452D" w:rsidRDefault="0026452D" w:rsidP="0026452D">
      <w:pPr>
        <w:pStyle w:val="TextoNormal"/>
      </w:pPr>
      <w:r>
        <w:t>De acuerdo con todo lo expuesto, concluye el recurso solicitando que se declare la inconstitucionalidad del precepto legal impugnado. Asimismo, y por medio de otrosí, se invoca el art. 161.2 CE a los efectos de la suspensión de la vigencia de la norma recurrida como consecuencia de la interposición del recurso de inconstitucionalidad.</w:t>
      </w:r>
    </w:p>
    <w:p w:rsidR="0026452D" w:rsidRDefault="0026452D" w:rsidP="0026452D">
      <w:pPr>
        <w:pStyle w:val="TextoNormal"/>
      </w:pPr>
    </w:p>
    <w:p w:rsidR="0026452D" w:rsidRDefault="0026452D" w:rsidP="0026452D">
      <w:pPr>
        <w:pStyle w:val="TextoNormal"/>
      </w:pPr>
      <w:r w:rsidRPr="0026452D">
        <w:rPr>
          <w:rStyle w:val="NumeroAFNegritaCaracter"/>
        </w:rPr>
        <w:t>2</w:t>
      </w:r>
      <w:r>
        <w:t xml:space="preserve">. Mediante providencia de 19 de abril de 2005, la Sección Tercera de este Tribunal acordó admitir a trámite el recurso de inconstitucionalidad y dar traslado de la demanda y </w:t>
      </w:r>
      <w:r>
        <w:lastRenderedPageBreak/>
        <w:t>documentos presentados al Congreso de los Diputados y al Senado, por conducto de sus Presidentes, así como a la Junta y a las Cortes de Castilla y León, al objeto de que en el plazo de quince días pudieran personarse en el procedimiento y formular las alegaciones que estimaran convenientes. Asimismo, se acordó tener por invocado por el Presidente del Gobierno el art. 161.2 CE, con la consiguiente suspensión de la vigencia y aplicación de los preceptos impugnados, y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En escrito recibido el 9 de mayo de 2005 la Presidenta en funciones del Congreso de los Diputados comunicó a este Tribunal que la Mesa del Congreso había acordado no personarse en el procedimiento ni formular alegaciones, así como remitir el recurso a la dirección de estudios y documentación y al departamento de asesoría jurídica de la Secretaría General.</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escrito presentado el 11 de mayo de 2005, el Procurador de los Tribunales don Federico J. Olivares Santiago, en representación de la Junta de Castilla y León, formuló sus alegaciones, solicitando la desestimación del recurso. El escrito comienza por precisar el significado y alcance del artículo único de la Ley 8/2004, de 22 de diciembre, al entender que el recurso los desconoce. En este sentido, señala que las Cortes de Castilla y León han resuelto declarar que toda la documentación que integra cada uno de los archivos a los que se refiere el precepto tiene el carácter de bien de interés cultural, con la consiguiente protección que la legislación dispensa a este tipo de bienes, para evitar que en una coyuntura determinada la integridad de cada una de las tres colecciones que los referidos archivos albergan pueda sufrir merma. Se muestra de acuerdo con el Abogado del Estado en que el valor de la documentación integrante de cada una de las colecciones es indiscutible, y también lo está en que esa documentación forma parte del patrimonio documental de Castilla y León (arts. 4 y 5 de la Ley de archivos de Castilla y León), que es parte, a su vez, del patrimonio histórico español. Estando de acuerdo en ambas cosas, hay que estarlo también necesariamente en que la Comunidad Autónoma no puede ser de ninguna manera ajena ni permanecer apartada de su protección, por lo que hay que descartar la conclusión del recurso de que “cualquier regulación” autonómica sobre esta materia supone una invasión competencial.</w:t>
      </w:r>
    </w:p>
    <w:p w:rsidR="0026452D" w:rsidRDefault="0026452D" w:rsidP="0026452D">
      <w:pPr>
        <w:pStyle w:val="TextoNormal"/>
      </w:pPr>
    </w:p>
    <w:p w:rsidR="0026452D" w:rsidRDefault="0026452D" w:rsidP="0026452D">
      <w:pPr>
        <w:pStyle w:val="TextoNormal"/>
      </w:pPr>
      <w:r>
        <w:t>Se reconoce en el escrito de alegaciones que los referidos archivos son de titularidad estatal y que, en tanto que lo son, la Comunidad Autónoma carece de toda competencia sobre ellos, competencia que en absoluto se ha arrogado. El precepto recurrido no refiere la declaración de bien de interés cultural a los archivos, sino a la documentación que aquéllos contienen en este momento, pues documentación y archivos no son la misma cosa, como la STC 103/1988, de 8 de junio, subrayó tempranamente. A su juicio, ésta es una aclaración fundamental, pues la declaración de bienes de interés cultural (art. 60.1 LPHE) se refiere a los archivos de titularidad estatal y a los bienes muebles en ellos custodiados, pero sólo cubre indirectamente a los documentos mismos, en la medida en que sigan custodiados en ellos y que los propios archivos sigan siendo de titularidad estatal. El precepto legal impugnado pretende cubrir el vacío que se produce si un archivo pierde la condición de estatal, o si una parte de los documentos que en él se custodian sale del mismo.</w:t>
      </w:r>
    </w:p>
    <w:p w:rsidR="0026452D" w:rsidRDefault="0026452D" w:rsidP="0026452D">
      <w:pPr>
        <w:pStyle w:val="TextoNormal"/>
      </w:pPr>
    </w:p>
    <w:p w:rsidR="0026452D" w:rsidRDefault="0026452D" w:rsidP="0026452D">
      <w:pPr>
        <w:pStyle w:val="TextoNormal"/>
      </w:pPr>
      <w:r>
        <w:lastRenderedPageBreak/>
        <w:t xml:space="preserve">Bajo esta perspectiva, considera el escrito de alegaciones que no puede negarse a las Cortes de Castilla y León competencia para aprobar el precepto recurrido, ni puede afirmarse que invada la competencia que corresponde al Estado según la Constitución. Ésta descansa sobre una declaración gubernativa de la titularidad estatal de ciertos archivos, que es algo coyuntural y contingente. De esta forma, la titularidad estatal de un archivo y la conservación en él de un documento son los únicos límites a la competencia de una Comunidad Autónoma en lo que respecta al patrimonio histórico documental y a su protección, competencia que constitucionalmente corresponde </w:t>
      </w:r>
      <w:r w:rsidRPr="0026452D">
        <w:rPr>
          <w:i/>
        </w:rPr>
        <w:t>prima facie</w:t>
      </w:r>
      <w:r>
        <w:t xml:space="preserve"> a las Comunidades Autónomas, como resulta de la STC 103/1988, FJ 5, doctrina que es aplicable a la Comunidad Autónoma de Castilla y León, de acuerdo con los apartados 12 y 13 del art. 32 de su Estatuto de Autonomía. Por consiguiente, la Comunidad de Castilla y León es constitucional y estatutariamente competente sin ninguna duda para declarar que la documentación integrante de cada una de las tres colecciones afectadas es </w:t>
      </w:r>
      <w:r w:rsidRPr="0026452D">
        <w:rPr>
          <w:i/>
        </w:rPr>
        <w:t>per se</w:t>
      </w:r>
      <w:r>
        <w:t xml:space="preserve"> valiosa para la Comunidad Autónoma y merecedora en sí misma de la declaración de bien de interés cultural, con independencia de que continúe o no formando parte de archivos de titularidad estatal; declaración que no invade la competencia estatal, porque ésta se refiere a los archivos en cuanto tales, a su organización y gestión, que es algo diferenciable de la calificación de los documentos.</w:t>
      </w:r>
    </w:p>
    <w:p w:rsidR="0026452D" w:rsidRDefault="0026452D" w:rsidP="0026452D">
      <w:pPr>
        <w:pStyle w:val="TextoNormal"/>
      </w:pPr>
    </w:p>
    <w:p w:rsidR="0026452D" w:rsidRDefault="0026452D" w:rsidP="0026452D">
      <w:pPr>
        <w:pStyle w:val="TextoNormal"/>
      </w:pPr>
      <w:r>
        <w:t>Además, hace notar la representación de la Junta de Castilla y León que la eficacia del precepto impugnado empieza donde acaba la competencia en materia de archivos que corresponde al Estado, esto es, a partir del momento en el que dejan de ser de titularidad estatal o en que una parte de los documentos que contienen sale de ellos por decisión voluntaria de las autoridades del Estado. En consecuencia, el precepto legal recurrido completa la protección que merecen todos los documentos que integran las colecciones conservadas en los tres archivos, cumpliendo así con el mandato que a todos los poderes públicos impone el art. 46 CE.</w:t>
      </w:r>
    </w:p>
    <w:p w:rsidR="0026452D" w:rsidRDefault="0026452D" w:rsidP="0026452D">
      <w:pPr>
        <w:pStyle w:val="TextoNormal"/>
      </w:pPr>
    </w:p>
    <w:p w:rsidR="0026452D" w:rsidRDefault="0026452D" w:rsidP="0026452D">
      <w:pPr>
        <w:pStyle w:val="TextoNormal"/>
      </w:pPr>
      <w:r>
        <w:t>A modo de conclusión, señala el escrito de alegaciones que el constituyente quiso con toda evidencia reconocer a las diferentes Comunidades Autónomas una amplia esfera de despliegue para la gestión y defensa del patrimonio histórico, dejando para el Estado la función de garante último de la defensa de dicho patrimonio contra la exportación y la expoliación, si bien no pensó, sin duda, en que fuesen las propias autoridades del Estado quienes desfallecieran en el ejercicio de esa función, y no estableció por ello expresamente mecanismo alguno para custodiar al custodio, como ocurre con la reclamación de determinados documentos del Archivo General de la Guerra Civil Española establecido en Salamanca. No se pretende discutir el proyecto de ley aprobado por el Gobierno a tal efecto, ni las razones políticas, pero sí se quiere destacar que el precepto legal objeto del presente recurso permite cubrir el vacío de protección que el voluntario desapoderamiento por parte de las autoridades del Estado puede producir.</w:t>
      </w:r>
    </w:p>
    <w:p w:rsidR="0026452D" w:rsidRDefault="0026452D" w:rsidP="0026452D">
      <w:pPr>
        <w:pStyle w:val="TextoNormal"/>
      </w:pPr>
    </w:p>
    <w:p w:rsidR="0026452D" w:rsidRDefault="0026452D" w:rsidP="0026452D">
      <w:pPr>
        <w:pStyle w:val="TextoNormal"/>
      </w:pPr>
      <w:r w:rsidRPr="0026452D">
        <w:rPr>
          <w:rStyle w:val="NumeroAFNegritaCaracter"/>
        </w:rPr>
        <w:t>5</w:t>
      </w:r>
      <w:r>
        <w:t>. A través de escrito registrado el 13 de mayo de 2005, el Presidente del Senado comunicó que la Cámara solicitaba su personación en el proceso ofreciendo su colaboración a los efectos del art. 88.1 de la Ley Orgánica del Tribunal Constitucional.</w:t>
      </w:r>
    </w:p>
    <w:p w:rsidR="0026452D" w:rsidRDefault="0026452D" w:rsidP="0026452D">
      <w:pPr>
        <w:pStyle w:val="TextoNormal"/>
      </w:pPr>
    </w:p>
    <w:p w:rsidR="0026452D" w:rsidRDefault="0026452D" w:rsidP="0026452D">
      <w:pPr>
        <w:pStyle w:val="TextoNormal"/>
      </w:pPr>
      <w:r w:rsidRPr="0026452D">
        <w:rPr>
          <w:rStyle w:val="NumeroAFNegritaCaracter"/>
        </w:rPr>
        <w:t>6</w:t>
      </w:r>
      <w:r>
        <w:t>. El 17 de mayo de 2005 tuvo entrada en el Registro General de este Tribunal el escrito de alegaciones del Letrado de las Cortes de Castilla y León, en el que solicita la desestimación del recurso de inconstitucionalidad, así como el levantamiento inmediato de la suspensión acordada al amparo del art. 161.2 CE.</w:t>
      </w:r>
    </w:p>
    <w:p w:rsidR="0026452D" w:rsidRDefault="0026452D" w:rsidP="0026452D">
      <w:pPr>
        <w:pStyle w:val="TextoNormal"/>
      </w:pPr>
    </w:p>
    <w:p w:rsidR="0026452D" w:rsidRDefault="0026452D" w:rsidP="0026452D">
      <w:pPr>
        <w:pStyle w:val="TextoNormal"/>
      </w:pPr>
      <w:r>
        <w:t>Aborda el escrito en primer lugar el análisis del régimen de distribución de competencias entre el Estado y la Comunidad Autónoma en la materia, señalando que ésta ha de enmarcarse en el ámbito de la cultura, en el cual existe un título competencial concurrente nacido de la obligación de colaboración del Estado y de las Comunidades Autónomas, sin que sea necesario fundamentarlo en preceptos concretos, como los arts. 44, 46 y 149.2 CE, de los que indudablemente deriva tal carácter. Más específicamente, se refiere al título en materia de patrimonio histórico, indicando que, según la jurisprudencia del Tribunal Constitucional, el patrimonio documental puede formar parte de aquél. Y en materia de patrimonio histórico la Comunidad Autónoma tiene competencia exclusiva (art. 32.1.12 EACL), título aquí invocado. Es cierto que hay que considerar otros títulos competenciales para poder determinar si se produce o no una vulneración de la distribución constitucional de competencias, como el referido a archivos, en el que la competencia se delimita en función de la titularidad, aspecto que la Comunidad Autónoma no pretende desconocer.</w:t>
      </w:r>
    </w:p>
    <w:p w:rsidR="0026452D" w:rsidRDefault="0026452D" w:rsidP="0026452D">
      <w:pPr>
        <w:pStyle w:val="TextoNormal"/>
      </w:pPr>
    </w:p>
    <w:p w:rsidR="0026452D" w:rsidRDefault="0026452D" w:rsidP="0026452D">
      <w:pPr>
        <w:pStyle w:val="TextoNormal"/>
      </w:pPr>
      <w:r>
        <w:t>A partir de esa exposición de los títulos competenciales, afirma el escrito, en primer lugar, que la competencia para definir el patrimonio documental es una competencia exclusiva de la Comunidad Autónoma (STC 103/1988, FJ 3). En segundo lugar, sostiene que son las Comunidades Autónomas las que, como regla general, tienen competencia para declarar un bien como de interés cultural, aunque ello no impida, en determinados casos, que la declaración se haga por el Estado, si bien no se comparte la tesis de que tal declaración corresponde exclusivamente a quien ostenta la titularidad, citando en su apoyo la STC 17/1991, de 31 de enero, FJ 10. En tercer lugar, el tema competencial, en materia de archivos, no es sino un aspecto colateral del problema planteado, por lo que centrar el debate en él es una manera de desenfocarlo, pues hay que considerar que, en estas materias, la cooperación es un deber exigido y exigible a todos los poderes públicos, lo que conduce a una consideración concurrente de las competencias, salvando los respectivos ámbitos exclusivos. Finalmente, entiende el Letrado de las Cortes de Castilla y León que el problema no se puede centrar en la carencia de título competencial de la Comunidad Autónoma para la regulación que efectúa, sino en examinar si las consecuencias de la regulación jurídica que la Ley realiza suponen o no una efectiva invasión de competencias del Estado.</w:t>
      </w:r>
    </w:p>
    <w:p w:rsidR="0026452D" w:rsidRDefault="0026452D" w:rsidP="0026452D">
      <w:pPr>
        <w:pStyle w:val="TextoNormal"/>
      </w:pPr>
    </w:p>
    <w:p w:rsidR="0026452D" w:rsidRDefault="0026452D" w:rsidP="0026452D">
      <w:pPr>
        <w:pStyle w:val="TextoNormal"/>
      </w:pPr>
      <w:r>
        <w:t xml:space="preserve">En relación con el segundo apartado del recurso se opone que la ley impugnada no declara bien de interés cultural algún archivo, sino que tal declaración se hace respecto de la documentación contenida en los archivos a los que se refiere, y que sea de interés para la Comunidad; todo ello sin desconocer la relación posible entre la documentación y el archivo. En este sentido, se remite a la doctrina sentada en la STC 103/1988, y señala que es aspiración declarada de la Comunidad Autónoma de Castilla y León acceder a la gestión de los archivos cuya documentación se declara bien de interés cultural. Sin embargo, el problema que se plantea en el presente recurso sólo puede tener una correcta solución a la luz del examen de los preceptos de la Ley 12/2002, de 11 de julio, de patrimonio cultural de Castilla y León, que no ha sido objeto de impugnación por el Estado. La citada ley evidencia, desde su inicio, el deseo de no invadir competencias ajenas, estableciendo su art. 3 el principio de cooperación con otras Administraciones. En cuanto a las consecuencias jurídicas de la declaración concreta de bien de interés cultural, como colección, que efectúa la ley impugnada, se señala que la Ley 12/2002, siguiendo la normativa estatal, establece diversos niveles de protección para los bienes que integran el patrimonio cultural, otorgándose el máximo nivel a los declarados bienes de interés cultural (art. 32.1). Por otro lado, el recurso </w:t>
      </w:r>
      <w:r>
        <w:lastRenderedPageBreak/>
        <w:t>del Presidente del Gobierno silencia la existencia del art. 47 de la Ley, referido a los fondos de archivos y museos, que es el supuesto específico y concreto sobre el que incidiría la Ley impugnada.</w:t>
      </w:r>
    </w:p>
    <w:p w:rsidR="0026452D" w:rsidRDefault="0026452D" w:rsidP="0026452D">
      <w:pPr>
        <w:pStyle w:val="TextoNormal"/>
      </w:pPr>
    </w:p>
    <w:p w:rsidR="0026452D" w:rsidRDefault="0026452D" w:rsidP="0026452D">
      <w:pPr>
        <w:pStyle w:val="TextoNormal"/>
      </w:pPr>
      <w:r>
        <w:t>Se alega que, dado que los archivos mencionados no son objeto de gestión por parte de la Comunidad Autónoma, la aplicabilidad del artículo citado no puede ofrecer ninguna duda al intérprete. Además, la regulación del patrimonio documental habría de completarse con las previsiones de la Ley 6/1991, de 19 de abril, de archivos y patrimonio documental de Castilla y León, tampoco impugnada en su redacción inicial, dentro de la cual se destaca el art. 11.2, donde se complementa la regulación jurídica de los documentos históricos conservados en archivos de titularidad estatal. De la lectura de la Ley 8/2004 no se deriva nada que permita concluir que amplía el marco competencial en el que se produjo la Ley 12/2002. La única conclusión posible es que, mediante ella, la Comunidad Autónoma de Castilla y León intenta resaltar la importancia que tiene su patrimonio, perteneciente al patrimonio español, para así posibilitar y reforzar su deber de colaboración con la Administración titular de los archivos, y su deber de protección de los bienes ante una eventual asunción de la gestión de los mismos. Por otra parte, tampoco cabe desconocer la posibilidad de que, en esa distinción entre documento y archivo, alguno o algunos de los documentos pudieran salir de los archivos donde actualmente se encuentran, con pérdida automática de la competencia del Estado sobre los mismos, y, en dicha situación, algo tendría que decidir la Comunidad Autónoma respecto a bienes de su patrimonio documental. De esta forma, la declaración de bien de interés cultural por parte de la Comunidad Autónoma serviría como garantía de futuro reforzando su presencia ante posibles actuaciones futuras. Así pues, la regulación de la Ley 12/2002 y de la impugnada en materia de bienes de interés cultural en nada incide sobre las competencias exclusivas del Estado. La conclusión sólo puede ser de constitucionalidad de la ley impugnada.</w:t>
      </w:r>
    </w:p>
    <w:p w:rsidR="0026452D" w:rsidRDefault="0026452D" w:rsidP="0026452D">
      <w:pPr>
        <w:pStyle w:val="TextoNormal"/>
      </w:pPr>
    </w:p>
    <w:p w:rsidR="0026452D" w:rsidRDefault="0026452D" w:rsidP="0026452D">
      <w:pPr>
        <w:pStyle w:val="TextoNormal"/>
      </w:pPr>
      <w:r w:rsidRPr="0026452D">
        <w:rPr>
          <w:rStyle w:val="NumeroAFNegritaCaracter"/>
        </w:rPr>
        <w:t>7</w:t>
      </w:r>
      <w:r>
        <w:t>. Solicitado por el Letrado de las Cortes de Castilla y León el levantamiento anticipado de la suspensión del precepto impugnado, el Tribunal, tras oír a las partes, acordó en el ATC 336/2005, de 15 de septiembre, mantener la suspensión de la vigencia del precepto legal recurrido.</w:t>
      </w:r>
    </w:p>
    <w:p w:rsidR="0026452D" w:rsidRDefault="0026452D" w:rsidP="0026452D">
      <w:pPr>
        <w:pStyle w:val="TextoNormal"/>
      </w:pPr>
    </w:p>
    <w:p w:rsidR="0026452D" w:rsidRDefault="0026452D" w:rsidP="0026452D">
      <w:pPr>
        <w:pStyle w:val="TextoNormal"/>
      </w:pPr>
      <w:r w:rsidRPr="0026452D">
        <w:rPr>
          <w:rStyle w:val="NumeroAFNegritaCaracter"/>
        </w:rPr>
        <w:t>8</w:t>
      </w:r>
      <w:r>
        <w:t>. Por providencia de 4 de junio de 2013, se señaló para deliberación y votación de la presente Sentencia el día 6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Presidente del Gobierno interpuso recurso de inconstitucionalidad contra el artículo único de la Ley de la Comunidad Autónoma de Castilla y León 8/2004, de 22 de diciembre, que introduce una disposición adicional séptima en la Ley 12/2002, de 11 de julio, del patrimonio cultural de Castilla y León. El precepto impugnado declara bien de interés cultural, como colección, a los efectos de la Ley del patrimonio cultural de Castilla y León, “la documentación recogida en el Archivo General de Simancas, en el Archivo de la Real Chancillería de Valladolid, en el Archivo General de la Guerra Civil Española con sede en Salamanca y, en general, en todos los archivos históricos de titularidad estatal y de interés para la Comunidad de Castilla y León existentes en el territorio de ésta”.</w:t>
      </w:r>
    </w:p>
    <w:p w:rsidR="0026452D" w:rsidRDefault="0026452D" w:rsidP="0026452D">
      <w:pPr>
        <w:pStyle w:val="TextoNormal"/>
      </w:pPr>
    </w:p>
    <w:p w:rsidR="0026452D" w:rsidRDefault="0026452D" w:rsidP="0026452D">
      <w:pPr>
        <w:pStyle w:val="TextoNormal"/>
      </w:pPr>
      <w:r>
        <w:lastRenderedPageBreak/>
        <w:t>Sostiene el Abogado del Estado que esa previsión legal es inconstitucional por vulnerar la competencia exclusiva del Estado en materia de museos, bibliotecas y archivos de titularidad estatal, prevista en el art. 149.1.28 CE, en relación con el apartado 2 del mismo precepto, que comprende la declaración como bien de interés cultural de aquéllos, competencia que ya ha ejercido el Estado, sin que haya lugar a la declaración efectuada en la norma autonómica discutida, en cuanto que supone la sumisión de los archivos de titularidad estatal al régimen previsto en la Ley 12/2002.</w:t>
      </w:r>
    </w:p>
    <w:p w:rsidR="0026452D" w:rsidRDefault="0026452D" w:rsidP="0026452D">
      <w:pPr>
        <w:pStyle w:val="TextoNormal"/>
      </w:pPr>
    </w:p>
    <w:p w:rsidR="0026452D" w:rsidRDefault="0026452D" w:rsidP="0026452D">
      <w:pPr>
        <w:pStyle w:val="TextoNormal"/>
      </w:pPr>
      <w:r>
        <w:t>Por su parte, la Junta y las Cortes de Castilla y León, reconociendo la titularidad estatal de los referidos archivos y las competencias que sobre ellos confieren al Estado los apartados 1.28 y 2 del art. 149 CE, defienden que la norma impugnada no altera el régimen de distribución de competencias sobre esta materia. Invocan la competencia de la Comunidad Autónoma en materia de patrimonio histórico y documental, y recalcan la relevancia y el interés que dicho patrimonio documental tiene para la Comunidad Autónoma de Castilla y León, por lo cual ésta no puede ser ajena a su protección, completando con la declaración de bien de interés cultural la protección que merecen los documentos integrados en tales archivos, como una garantía de futuro para el caso de que alguno de ellos salga de los mismos, con la consiguiente desaparición de la competencia estatal.</w:t>
      </w:r>
    </w:p>
    <w:p w:rsidR="0026452D" w:rsidRDefault="0026452D" w:rsidP="0026452D">
      <w:pPr>
        <w:pStyle w:val="TextoNormal"/>
      </w:pPr>
    </w:p>
    <w:p w:rsidR="0026452D" w:rsidRDefault="0026452D" w:rsidP="0026452D">
      <w:pPr>
        <w:pStyle w:val="TextoNormal"/>
      </w:pPr>
      <w:r w:rsidRPr="0026452D">
        <w:rPr>
          <w:rStyle w:val="NumeroAFNegritaCaracter"/>
        </w:rPr>
        <w:t>2</w:t>
      </w:r>
      <w:r>
        <w:t>. Una vez que han quedado expuestos el objeto del recurso y la posición de las partes, hemos de proceder, antes de abordar el examen de la constitucionalidad del precepto impugnado, a la determinación del parámetro de constitucionalidad del que hemos de servirnos a tal efecto, que viene dado, en primer lugar, por los apartados 1.28 y 2 del art. 149 CE. Conforme al primero de ellos, el Estado tiene competencia exclusiva sobre “museos, bibliotecas y archivos de titularidad estatal, sin perjuicio de su gestión por parte de las Comunidades Autónomas”. Añade el art. 149.2 CE que “sin perjuicio de las competencias que podrán asumir las Comunidades Autónomas, el Estado considerará el servicio de la cultura como deber y atribución esencial y facilitará la comunicación cultural entre las Comunidades Autónomas, de acuerdo con ellas”.</w:t>
      </w:r>
    </w:p>
    <w:p w:rsidR="0026452D" w:rsidRDefault="0026452D" w:rsidP="0026452D">
      <w:pPr>
        <w:pStyle w:val="TextoNormal"/>
      </w:pPr>
    </w:p>
    <w:p w:rsidR="0026452D" w:rsidRDefault="0026452D" w:rsidP="0026452D">
      <w:pPr>
        <w:pStyle w:val="TextoNormal"/>
      </w:pPr>
      <w:r>
        <w:t>En segundo lugar, debemos tomar en consideración el Estatuto de Autonomía de Castilla y León, pero advirtiendo que, como ya señalamos en la STC 38/2013, de 14 de febrero, FJ 2, con posterioridad a la admisión a trámite de este recurso de inconstitucionalidad se ha producido la aprobación de la Ley Orgánica 14/2007, de 30 de noviembre, de reforma de dicho Estatuto de Autonomía. Por lo cual, de acuerdo con nuestra reiterada doctrina, el control de las normas que incurren en un posible exceso competencial debe hacerse de acuerdo con las normas del bloque de la constitucionalidad vigentes en el momento de dictar Sentencia [por todas SSTC 135/2006, de 27 de abril, FJ 3 a); 1/2011, de 14 de febrero, FJ 2; y 5/2012, de 17 de enero, FJ 3, y doctrina en ellas citada], lo cual debe llevarnos a analizar la constitucionalidad del precepto impugnado a la luz de las nuevas prescripciones estatutarias que puedan ser de aplicación.</w:t>
      </w:r>
    </w:p>
    <w:p w:rsidR="0026452D" w:rsidRDefault="0026452D" w:rsidP="0026452D">
      <w:pPr>
        <w:pStyle w:val="TextoNormal"/>
      </w:pPr>
    </w:p>
    <w:p w:rsidR="0026452D" w:rsidRDefault="0026452D" w:rsidP="0026452D">
      <w:pPr>
        <w:pStyle w:val="TextoNormal"/>
      </w:pPr>
      <w:r>
        <w:t>No obstante, debe advertirse que los preceptos estatutarios con incidencia en el presente proceso constitucional solamente han sido objeto de una nueva numeración por la mencionada Ley Orgánica 14/2007, de 30 de noviembre. Así, el art. 70.1.31 d) y e), que mantiene igual redacción que el precedente art. 32.1.12 y 13 del Estatuto de Autonomía, atribuye a la Comunidad Autónoma de Castilla y León competencia exclusiva en materia de cultura re</w:t>
      </w:r>
      <w:r>
        <w:lastRenderedPageBreak/>
        <w:t>ferida, en primer lugar, a “patrimonio histórico, artístico, monumental, arqueológico, arquitectónico y científico de interés para la Comunidad, sin perjuicio de la competencia del Estado para su defensa contra la exportación y la expoliación”, y, en segundo lugar, a “museos, bibliotecas, hemerotecas, archivos y otros centros culturales y de depósito de interés para la Comunidad y que no sean de titularidad estatal”. Por su parte, el art. 76.4 —con igual redacción que el precedente art. 36.4— atribuye a la Comunidad Autónoma de Castilla y León, en los términos que establezcan las leyes y las normas reglamentarias estatales, la función ejecutiva en materia de “gestión de museos, archivos, bibliotecas y colecciones de naturaleza análoga de titularidad estatal que no se reserve el Estado. Los términos de la gestión serán fijados mediante convenios”.</w:t>
      </w:r>
    </w:p>
    <w:p w:rsidR="0026452D" w:rsidRDefault="0026452D" w:rsidP="0026452D">
      <w:pPr>
        <w:pStyle w:val="TextoNormal"/>
      </w:pPr>
    </w:p>
    <w:p w:rsidR="0026452D" w:rsidRDefault="0026452D" w:rsidP="0026452D">
      <w:pPr>
        <w:pStyle w:val="TextoNormal"/>
      </w:pPr>
      <w:r w:rsidRPr="0026452D">
        <w:rPr>
          <w:rStyle w:val="NumeroAFNegritaCaracter"/>
        </w:rPr>
        <w:t>3</w:t>
      </w:r>
      <w:r>
        <w:t>. Delimitado ya el régimen competencial en la materia, hemos de referirnos, al igual que en la STC 38/2013 —en la que se analizó una impugnación análoga a la que nos ocupa—, a la plasmación que el régimen competencial expuesto ha tenido en relación con los archivos de titularidad estatal radicados en Castilla y León.</w:t>
      </w:r>
    </w:p>
    <w:p w:rsidR="0026452D" w:rsidRDefault="0026452D" w:rsidP="0026452D">
      <w:pPr>
        <w:pStyle w:val="TextoNormal"/>
      </w:pPr>
    </w:p>
    <w:p w:rsidR="0026452D" w:rsidRDefault="0026452D" w:rsidP="0026452D">
      <w:pPr>
        <w:pStyle w:val="TextoNormal"/>
      </w:pPr>
      <w:r>
        <w:t xml:space="preserve">Como señalamos en el fundamento jurídico 3 de dicha Sentencia, con apoyo en la competencia estatal </w:t>
      </w:r>
      <w:r w:rsidRPr="0026452D">
        <w:rPr>
          <w:i/>
        </w:rPr>
        <w:t>ex</w:t>
      </w:r>
      <w:r>
        <w:t xml:space="preserve"> art. 149.1.28 CE —plasmada en el art. 61 de la Ley 16/1985, de 25 de junio, del patrimonio histórico español, y en el art. 10.1, letra l) del Real Decreto 257/2012, de 27 de enero— existen en la actualidad doce archivos de titularidad estatal en Castilla y León: el Archivo General de Simancas, el Archivo de la Real Chancillería de Valladolid, el Centro Documental de la Memoria Histórica (antiguo Archivo General de la Guerra Civil Española) y los archivos históricos provinciales de Ávila, Burgos, León, Palencia, Salamanca, Segovia, Soria, Valladolid y Zamora. Y añadimos que la gestión de estos archivos de titularidad estatal puede quedar reservada al Estado o, en su caso, ser transferida a las Comunidades Autónomas, habiéndose reservado el Estado, particularmente, la gestión del Archivo General de Simancas, del Archivo de la Real Chancillería de Valladolid y del Centro Documental de la Memoria Histórica. En cuanto a los demás archivos de titularidad estatal, el Real Decreto 3019/1983, de 21 de septiembre, sobre traspaso de funciones y servicios del Estado en materia de cultura a la Comunidad de Castilla y León, dispuso que mediante convenio entre el Ministerio de Cultura y la Comunidad Autónoma se establecieran los términos de los derechos y obligaciones de ambas partes en materia de gestión de museos, archivos y bibliotecas de titularidad estatal; convenio que fue publicado en el “Boletín Oficial del Estado” de 3 de julio de 1986, en virtud de resolución de 9 de junio de 1986, de la Secretaría General Técnica del Ministerio de Cultura.</w:t>
      </w:r>
    </w:p>
    <w:p w:rsidR="0026452D" w:rsidRDefault="0026452D" w:rsidP="0026452D">
      <w:pPr>
        <w:pStyle w:val="TextoNormal"/>
      </w:pPr>
    </w:p>
    <w:p w:rsidR="0026452D" w:rsidRDefault="0026452D" w:rsidP="0026452D">
      <w:pPr>
        <w:pStyle w:val="TextoNormal"/>
      </w:pPr>
      <w:r>
        <w:t>Todos esos archivos, bajo la calificación de archivos históricos, forman parte del sistema de archivos de la Administración General del Estado que, a su vez, se integra en el sistema español de archivos, constituido y regulado por el Real Decreto 1708/2011, de 18 de noviembre, comprendiendo los archivos de la Administración General del Estado, así como el resto de los archivos públicos y privados que se vinculen al sistema mediante los correspondientes instrumentos de cooperación.</w:t>
      </w:r>
    </w:p>
    <w:p w:rsidR="0026452D" w:rsidRDefault="0026452D" w:rsidP="0026452D">
      <w:pPr>
        <w:pStyle w:val="TextoNormal"/>
      </w:pPr>
    </w:p>
    <w:p w:rsidR="0026452D" w:rsidRDefault="0026452D" w:rsidP="0026452D">
      <w:pPr>
        <w:pStyle w:val="TextoNormal"/>
      </w:pPr>
      <w:r>
        <w:t xml:space="preserve">Por otro lado, y en directa conexión con el objeto de la norma impugnada, se ha de señalar que el art. 60.1 de la Ley del patrimonio histórico español (LPHE) somete al régimen que dicha ley establece para los bienes de interés cultural a los inmuebles destinados a la instalación de archivos de titularidad estatal “así como los bienes muebles integrantes del Patrimonio Histórico Español en ellos custodiados”, lo que implica que gozan de la especial </w:t>
      </w:r>
      <w:r>
        <w:lastRenderedPageBreak/>
        <w:t>protección y tutela a que se refiere el art. 9.1 LPHE, contenida especialmente en el título primero de la propia ley y, en cuanto afecta a los bienes integrantes del patrimonio documental y bibliográfico, a las determinaciones del título VII y, en lo no previsto en el mismo, a las establecidas en cuanto al régimen de los bienes muebles en el título III (art. 48 LPHE).</w:t>
      </w:r>
    </w:p>
    <w:p w:rsidR="0026452D" w:rsidRDefault="0026452D" w:rsidP="0026452D">
      <w:pPr>
        <w:pStyle w:val="TextoNormal"/>
      </w:pPr>
    </w:p>
    <w:p w:rsidR="0026452D" w:rsidRDefault="0026452D" w:rsidP="0026452D">
      <w:pPr>
        <w:pStyle w:val="TextoNormal"/>
      </w:pPr>
      <w:r>
        <w:t>Por su parte, la Ley 12/2002, de 11 de julio, de patrimonio cultural de Castilla y León, que tiene por objeto “el conocimiento, protección, acrecentamiento y difusión del Patrimonio Cultural de Castilla y León, así como su investigación y transmisión a las generaciones futuras” (art. 1.1), integra dentro de dicho patrimonio, entre otros bienes, “el patrimonio documental, bibliográfico y lingüístico” (art. 1.2). A la regulación del patrimonio documental y bibliográfico dedica la ley el título V (arts. 66 a 69), si bien remite el régimen del patrimonio documental a la Ley 6/1991, de 19 de abril, de los archivos y del patrimonio documental de Castilla y León y las disposición que la modifiquen o desarrollen, aplicándose, en lo no previsto en ella, cuanto se dispone con carácter general en la propia Ley 12/2002, especialmente las previsiones relativas a los bienes muebles (art. 66). En cuanto a su régimen de protección, el art. 68.2 de la Ley de patrimonio cultural de Castilla y León dispone que los bienes integrantes del patrimonio bibliográfico y documental “podrán ser declarados como Bienes de Interés Cultural o inventariados, conforme a lo establecido para los bienes muebles en esta Ley”. Como quiera que la Ley de archivos y patrimonio documental de Castilla y León no contiene una regulación relativa a la declaración de dicho patrimonio como bien de interés cultural, habrá de estarse a tales efectos al régimen que para los bienes así declarados contiene la propia Ley de patrimonio cultural tanto en cuanto a su declaración (capítulo I del título primero) como en relación a las normas establecidas para su protección y tutela (capítulo II del título II), que alcanza el máximo nivel en cuanto a los bienes que hayan recibido la declaración de interés cultural (art. 32.1), figurando las reglas que afectan a los bienes muebles —y, por consiguiente, al patrimonio documental— en los artículos 45 a 47, que contienen las normas de intervención administrativa respecto a las actuaciones que tengan por objeto los bienes muebles declarados de interés cultural.</w:t>
      </w:r>
    </w:p>
    <w:p w:rsidR="0026452D" w:rsidRDefault="0026452D" w:rsidP="0026452D">
      <w:pPr>
        <w:pStyle w:val="TextoNormal"/>
      </w:pPr>
    </w:p>
    <w:p w:rsidR="0026452D" w:rsidRDefault="0026452D" w:rsidP="0026452D">
      <w:pPr>
        <w:pStyle w:val="TextoNormal"/>
      </w:pPr>
      <w:r w:rsidRPr="0026452D">
        <w:rPr>
          <w:rStyle w:val="NumeroAFNegritaCaracter"/>
        </w:rPr>
        <w:t>4</w:t>
      </w:r>
      <w:r>
        <w:t>. Examinado a grandes rasgos el régimen al que se encontraría sujeta la documentación declarada bien de interés cultural por el precepto legal impugnado, podemos abordar ya el examen de la cuestión que se controvierte en el presente proceso constitucional, referida a si esa declaración, relativa a la documentación custodiada en determinados archivos de titularidad estatal existentes en el territorio de la Comunidad Autónoma de Castilla y León, altera el régimen competencial que quedó expuesto. Y para dar respuesta a esta cuestión y a las tesis antagónicas defendidas por las partes hemos de acudir a la doctrina establecida por este Tribunal en anteriores pronunciamientos estrechamente vinculados a la cuestión enjuiciada.</w:t>
      </w:r>
    </w:p>
    <w:p w:rsidR="0026452D" w:rsidRDefault="0026452D" w:rsidP="0026452D">
      <w:pPr>
        <w:pStyle w:val="TextoNormal"/>
      </w:pPr>
    </w:p>
    <w:p w:rsidR="0026452D" w:rsidRDefault="0026452D" w:rsidP="0026452D">
      <w:pPr>
        <w:pStyle w:val="TextoNormal"/>
      </w:pPr>
      <w:r>
        <w:t xml:space="preserve">Hay que destacar aquí, ante todo, que esa declaración como bien de interés cultural no se refiere a los archivos de titularidad estatal en sí mismos considerados, sino a los documentos que se encuentran recogidos en los mismos. En este sentido, ha de recordarse que en la STC 103/1988, de 8 de junio, valoramos como intervenciones legislativas diferentes la calificación de documentos y la ordenación de archivos, distinguiendo la competencia para definir e integrar los elementos que componen el patrimonio documental y la competencia sobre los archivos que contienen dichos documentos. Como ya hemos señalado recientemente en las SSTC 14/2013, de 31 de enero, FJ 5, y 38/2013, de 14 de febrero, FJ 4, en cuanto a la primera intervención, las competencias autonómicas sobre patrimonio histórico incluyen la </w:t>
      </w:r>
      <w:r>
        <w:lastRenderedPageBreak/>
        <w:t>capacidad para definir los elementos integrantes del mismo, y ello aun en el caso de que los documentos de interés para la Comunidad Autónoma se integren en archivos de titularidad estatal, siendo la Comunidad Autónoma la que puede establecer la definición y los elementos integrantes de su patrimonio documental con independencia de la titularidad de los documentos y del archivo en que se hallen ubicados (STC 103/1988, FJ 3). Por el contrario, si la legislación autonómica contuviera referencias a los archivos de titularidad estatal, en el sentido de llevar a cabo regulaciones reservadas a la competencia legislativa del Estado, se rebasarían los límites competenciales que derivan del art. 149.1.28 CE y, eventualmente, del Estatuto de Autonomía; mientras que si las disposiciones de la Ley se refieren o pueden entenderse referidas únicamente a los archivos de competencia de la Comunidad Autónoma, no se habría traspasado, evidentemente, ese límite competencial (STC 103/1988, FJ 4).</w:t>
      </w:r>
    </w:p>
    <w:p w:rsidR="0026452D" w:rsidRDefault="0026452D" w:rsidP="0026452D">
      <w:pPr>
        <w:pStyle w:val="TextoNormal"/>
      </w:pPr>
    </w:p>
    <w:p w:rsidR="0026452D" w:rsidRDefault="0026452D" w:rsidP="0026452D">
      <w:pPr>
        <w:pStyle w:val="TextoNormal"/>
      </w:pPr>
      <w:r>
        <w:t>Esta doctrina, señala la STC 14/2013, FJ 5, “se asienta en la concurrencia de dos significados en la noción constitucional de ‘archivo’: de un lado, el referido a los fondos documentales, como conjuntos orgánicos de documentos; y, de otro, el que atañe a las entidades o instituciones responsables de la custodia, conservación y tratamiento de tales fondos. Esta distinción, que está plenamente asentada en la legislación, tanto estatal como autonómica … permite que las Comunidades Autónomas, en el ejercicio de sus competencias sobre patrimonio cultural … puedan otorgar una determinada calificación a fondos documentales de su interés integrados en archivos de titularidad estatal, a los efectos de su protección, pero sin que esa calificación confiera a la Comunidad Autónoma facultades de disposición u ordenación sobre los fondos documentales ni sobre los archivos en que se ubican”.</w:t>
      </w:r>
    </w:p>
    <w:p w:rsidR="0026452D" w:rsidRDefault="0026452D" w:rsidP="0026452D">
      <w:pPr>
        <w:pStyle w:val="TextoNormal"/>
      </w:pPr>
    </w:p>
    <w:p w:rsidR="0026452D" w:rsidRDefault="0026452D" w:rsidP="0026452D">
      <w:pPr>
        <w:pStyle w:val="TextoNormal"/>
      </w:pPr>
      <w:r>
        <w:t xml:space="preserve">Hemos de traer también a colación la doctrina sentada en la STC 17/1991, de 31 de enero, recaída en recursos de inconstitucionalidad interpuestos contra diversos preceptos de la Ley del patrimonio histórico español, en la que, entre otros aspectos, se abordó la cuestión relativa a la declaración de bienes de interés cultural a que se refiere el art. 9 de la citada Ley, señalando la importancia que tal calificación tiene para su protección, al afirmar que “[l]a calificación formal como bienes de interés cultural de ‘los más relevantes’ del Patrimonio Histórico Español (art. 1.3 de la Ley) constituye un requisito para que puedan gozar de singular protección y tutela (art. 9.1) y también por tanto para su defensa contra la exportación y la expoliación; pero lo es asimismo para la sumisión a un régimen singular derivado de su importancia cultural y que en su propia complejidad abarca medidas de estricta protección y defensa junto a otras que no lo son y tienen naturaleza jurídica variada”, de suerte que, por su amplitud de consecuencias, esa declaración tiene un alcance general respecto a todo el régimen aplicable a los bienes de interés cultural. Por tal razón, “[l]a categoría legal de los bienes de interés cultural dentro del Patrimonio Histórico Español está integrada por los más relevantes del mismo, normalmente situados en alguna de las Comunidades Autónomas. Y a ellas, en cuanto la tengan asumida estatutariamente, debe corresponder la competencia para emitir su declaración formal, sin perjuicio de la del Estado en los supuestos singulares en que a éste le viene atribuida por la Constitución y se señalan en el apartado b) del citado art. 6” (FJ 10). Ahora bien, esta doctrina se refiere exclusivamente a los supuestos de declaración de bien de interés cultural por medio de Real Decreto, pues como en la misma Sentencia se advierte, cuestión distinta es la declaración “por ministerio de esta Ley” (art. 9.1 LPHE), puesto que se trata de una medida legislativa cuyo objeto es el de remitirse a supuestos concretos contenidos en la propia Ley (que no fueron impugnados), donde se definen las categorías de esos bienes, entre los que se incluyen, como ya se expuso anteriormente, los archivos de titularidad estatal y los bienes muebles custodiados en los mismos, </w:t>
      </w:r>
      <w:r>
        <w:lastRenderedPageBreak/>
        <w:t>que quedaron sometidos al régimen de los bienes de interés cultural por disposición del art. 60.1 LPHE.</w:t>
      </w:r>
    </w:p>
    <w:p w:rsidR="0026452D" w:rsidRDefault="0026452D" w:rsidP="0026452D">
      <w:pPr>
        <w:pStyle w:val="TextoNormal"/>
      </w:pPr>
    </w:p>
    <w:p w:rsidR="0026452D" w:rsidRDefault="0026452D" w:rsidP="0026452D">
      <w:pPr>
        <w:pStyle w:val="TextoNormal"/>
      </w:pPr>
      <w:r>
        <w:t>Singular importancia ofrecen los pronunciamientos de la STC 31/2010, de 28 de junio, en la que se concluye que no contradice el art. 149.1.28 CE, en relación con el apartado 2 del mismo artículo, que los fondos ubicados en archivos de titularidad estatal se integren en sistemas archivísticos de las Comunidades Autónomas, en cuanto ello implique una calificación que sólo añada una sobreprotección a dichos fondos, pero sin incidencia en la regulación, disposición o gestión de los fondos documentales ni de los archivos en que se ubican. Esta apreciación fue reiterada en las Sentencias que resolvieron los recursos de inconstitucionalidad promovidos contra la disposición adicional decimotercera del Estatuto de Autonomía de Cataluña por el Consejo de Gobierno de la Diputación General de Aragón (STC 46/2010, de 8 de septiembre), el Consejo de Gobierno de la Comunidad Autónoma de las Illes Balears (STC 47/2010, de 8 de septiembre) y la Generalitat de la Comunidad Valenciana (STC 48/2010, de 9 de septiembre), llegando a la conclusión de que no se veían afectadas las previsiones de sus respectivos Estatutos de Autonomía en los tres casos.</w:t>
      </w:r>
    </w:p>
    <w:p w:rsidR="0026452D" w:rsidRDefault="0026452D" w:rsidP="0026452D">
      <w:pPr>
        <w:pStyle w:val="TextoNormal"/>
      </w:pPr>
    </w:p>
    <w:p w:rsidR="0026452D" w:rsidRDefault="0026452D" w:rsidP="0026452D">
      <w:pPr>
        <w:pStyle w:val="TextoNormal"/>
      </w:pPr>
      <w:r>
        <w:t>Finalmente, hemos de tomar en consideración dos pronunciamientos recientes, ya mencionados, que han llegado a dos decisiones distintas en relación con dos leyes autonómicas diversas. Así, en primer lugar, en la STC 14/2013, de 31 de enero, nos pronunciamos a favor de la constitucionalidad de la inclusión por la Ley del Parlamento catalán 10/2001, de 13 de julio, de ciertos archivos de titularidad estatal en el sistema archivístico de Cataluña. En ella reiteramos que la legislación autonómica no es aplicable a los archivos de titularidad estatal, incluso aunque éstos custodien fondos que la legislación autonómica declare ahora o en el futuro como pertenecientes al patrimonio documental autonómico, y señalamos que la inclusión de los archivos de titularidad estatal en el sistema de archivos de Cataluña debe entenderse vinculada a la protección añadida que la Comunidad Autónoma pueda dispensar a fondos documentales obrantes en tales archivos, al ser el de la protección de los fondos documentales uno de los fines que la ley asigna al sistema de archivos de Cataluña (FJ 6). Por ello concluimos, en relación con el Archivo de la Corona de Aragón, en cuanto archivo cuya gestión tiene reservada el Estado, que la Comunidad Autónoma de Cataluña carece de competencias sobre el mismo, sin perjuicio de su participación en el Patronato del Archivo de la Corona de Aragón constituido por el Real Decreto 1267/2006, de 8 de noviembre. Y, asimismo, indicamos que, en lo tocante a los archivos históricos provinciales cuya gestión ha transferido el Estado a la Comunidad Autónoma, corresponde a ésta la ejecución de la normativa —legal y reglamentaria— aprobada por el Estado, conforme al correspondiente convenio de traspaso de competencias, careciendo la Comunidad Autónoma en este ámbito de una potestad reglamentaria de alcance general, estando limitada a la emanación de reglamentos de organización interna y de ordenación funcional de la competencia ejecutiva autonómica, de acuerdo con lo que dicho en el fundamento jurídico 61 de la misma STC 31/2010, de 28 de junio.</w:t>
      </w:r>
    </w:p>
    <w:p w:rsidR="0026452D" w:rsidRDefault="0026452D" w:rsidP="0026452D">
      <w:pPr>
        <w:pStyle w:val="TextoNormal"/>
      </w:pPr>
    </w:p>
    <w:p w:rsidR="0026452D" w:rsidRDefault="0026452D" w:rsidP="0026452D">
      <w:pPr>
        <w:pStyle w:val="TextoNormal"/>
      </w:pPr>
      <w:r>
        <w:t xml:space="preserve">En cambio, en la STC 38/2013, de 14 de febrero, declaramos la inconstitucionalidad del artículo único de la Ley de Castilla y León 7/2004, que dio nueva redacción al art. 47 de la Ley 6/1991, de 19 de abril, de archivos y patrimonio documental de Castilla y León, incorporando al sistema de archivos de dicha Comunidad Autónoma el Archivo General de Simancas, el Archivo de la Real Chancillería de Valladolid, el Archivo General de la Guerra </w:t>
      </w:r>
      <w:r>
        <w:lastRenderedPageBreak/>
        <w:t>Civil Española con sede en Salamanca y, en general, todos los archivos históricos de titularidad estatal y de interés para la Comunidad de Castilla y León existentes en el territorio de ésta; esto es, los mismos archivos a cuya documentación alcanza la declaración de bien de interés cultural efectuado en el precepto legal impugnado en el presente recurso de inconstitucionalidad. En dicha Sentencia partimos del canon de constitucionalidad acogido en la STC 103/1988, FJ 4, indicando que, a diferencia de los supuestos resueltos por dicha Sentencia y por la STC 14/2013, en los que las normas autonómicas excluían la competencia exclusiva de la Comunidad Autónoma sobre los archivos de titularidad estatal, en el caso examinado por la STC 38/2013 la Ley castellano-leonesa enjuiciada no contemplaba igual exclusión, de donde se seguía que a los archivos estatales contemplados en el nuevo apartado 1 del art. 47 de la Ley 6/1991 les sería de aplicación la normativa autonómica en todo lo que no fuera expresamente excepcionado en cada caso, lo que conducía a una alteración del orden constitucional de distribución de competencias en la materia. En el mismo sentido la STC 66/2013, de 14 de marzo.</w:t>
      </w:r>
    </w:p>
    <w:p w:rsidR="0026452D" w:rsidRDefault="0026452D" w:rsidP="0026452D">
      <w:pPr>
        <w:pStyle w:val="TextoNormal"/>
      </w:pPr>
    </w:p>
    <w:p w:rsidR="0026452D" w:rsidRDefault="0026452D" w:rsidP="0026452D">
      <w:pPr>
        <w:pStyle w:val="TextoNormal"/>
      </w:pPr>
      <w:r w:rsidRPr="0026452D">
        <w:rPr>
          <w:rStyle w:val="NumeroAFNegritaCaracter"/>
        </w:rPr>
        <w:t>5</w:t>
      </w:r>
      <w:r>
        <w:t>. A continuación, debemos contrastar la anterior doctrina constitucional con el contenido de la Ley de Castilla y León 8/2004, de 22 de diciembre, que introduce una disposición adicional séptima en la Ley 12/2002, de 11 de julio, del patrimonio cultural de Castilla y León, para determinar si, como defiende el recurso del Presidente del Gobierno de la Nación, la declaración como bien de interés cultural de la documentación que se contiene en los archivos de titularidad estatal a que se refiere el precepto impugnado, conlleva la sujeción de tales documentos al régimen que establece la Ley 12/2002, con el consiguiente menoscabo de las competencias estatales. Se trata de determinar, en definitiva, si se ha procedido a establecer una regulación que pertenece a aquellas reservadas a la competencia legislativa del Estado, en cuyo caso se habrían rebasado los límites competenciales que derivan del art. 149.1.28 CE y, eventualmente, del Estatuto de Autonomía.</w:t>
      </w:r>
    </w:p>
    <w:p w:rsidR="0026452D" w:rsidRDefault="0026452D" w:rsidP="0026452D">
      <w:pPr>
        <w:pStyle w:val="TextoNormal"/>
      </w:pPr>
    </w:p>
    <w:p w:rsidR="0026452D" w:rsidRDefault="0026452D" w:rsidP="0026452D">
      <w:pPr>
        <w:pStyle w:val="TextoNormal"/>
      </w:pPr>
      <w:r>
        <w:t>Pues bien, en este caso, la Ley 8/2004 ha efectuado la declaración de bien de interés cultural de la documentación custodiada en determinados archivos de titularidad estatal, sobre los que, por tener tal carácter, la competencia quedaba reservada al Estado en virtud del art. 149.1.28 CE, lo que implica la atribución al mismo de la legislación, el desarrollo y la ejecución en relación con tales archivos, sin perjuicio de la posibilidad de atribuir la competencia de gestión a la Comunidad Autónoma, en los términos que el propio Estado considerara oportunos. Lo cual, en este caso, se había llevado a cabo, como ya se expuso anteriormente, tan sólo en relación con determinados archivos radicados en el territorio de la Comunidad Autónoma de Castilla y León. Junto a ello, se ha de señalar que todos los archivos estatales a los que se refiere el artículo único de la Ley 8/2004 y la documentación que en ellos se custodia habían recibido ya la declaración de bien de interés cultural por ministerio de la ley (art. 60.1 LPHE), con la consiguiente aplicación del régimen de protección que la Ley del patrimonio histórico-español dispensa a tal tipo de bienes.</w:t>
      </w:r>
    </w:p>
    <w:p w:rsidR="0026452D" w:rsidRDefault="0026452D" w:rsidP="0026452D">
      <w:pPr>
        <w:pStyle w:val="TextoNormal"/>
      </w:pPr>
    </w:p>
    <w:p w:rsidR="0026452D" w:rsidRDefault="0026452D" w:rsidP="0026452D">
      <w:pPr>
        <w:pStyle w:val="TextoNormal"/>
      </w:pPr>
      <w:r>
        <w:t xml:space="preserve">En principio, podría pensarse que no hay problema en la atribución de la condición de bien de interés cultural por la Comunidad Autónoma de Castilla y León a la documentación recogida en los archivos de titularidad estatal radicados en su territorio y que se explicitan en la Ley 8/2004, siempre y cuando esa calificación supusiera, únicamente, añadir una sobreprotección a dichos fondos documentales, sin menoscabar o perturbar el lícito ejercicio de sus competencias por parte del Estado en cuanto a la regulación, disposición y gestión de esos archivos de su titularidad, y sin que implicara establecer, por parte de la Comunidad </w:t>
      </w:r>
      <w:r>
        <w:lastRenderedPageBreak/>
        <w:t>Autónoma, una regulación aplicable a tales bienes de titularidad estatal. Sin embargo, y a pesar de ser una de las finalidades de la Ley 12/2002 la protección del patrimonio cultural de Castilla y León (art. 1.1), lo que se cohonesta con la declaración efectuada en la Ley 8/2004, lo cierto es que, al igual que sucedía en el supuesto resuelto por la STC 38/2013, la Ley 12/2002, a cuyo régimen se someten los bienes que hayan obtenido la declaración de interés cultural para la Comunidad Autónoma de Castilla y León, no contiene una exclusión respecto a la aplicación de dicho régimen en cuanto a los archivos de titularidad estatal y a los documentos que en ellos se encuentran recogidos. Esto implica que la declaración de bien de interés cultural, efectuada en virtud del precepto impugnado, supone la sujeción al régimen de protección de los bienes muebles de dicha Ley, y, por consiguiente, a la necesidad de obtener la autorización de la Consejería competente en materia de cultura de la Comunidad Autónoma de Castilla y León para llevar a cabo cualquier actuación que suponga la modificación, restauración, traslado o alteración de la documentación protegida en los archivos de titularidad estatal a la que afecta la declaración de bien de interés cultural (arts. 32.2 y 45). Esto es, con tal declaración se condiciona el libre ejercicio de las competencias estatales sobre la documentación referida, con lo que se produce un menoscabo respecto de éstas que contradice el orden constitucional de distribución de competencias; situación que es predicable respecto de la documentación albergada en todos los archivos de titularidad estatal existentes en la Comunidad Autónoma de Castilla y León, incluso de aquellos cuya gestión fue objeto de atribución en virtud de convenio suscrito el 5 de junio de 1986, pues, con independencia de que la Comunidad Autónoma pueda ejercer funciones de gestión, ni puede alterar unilateralmente el convenio, ni tiene más facultades normativas, ni puede dictar otras normas que los reglamentos internos de organización de los servicios correspondientes, en la medida en que éstos sean necesarios para la mera estructuración interna de la organización administrativa (STC 14/2013, de 14 de febrero, FJ 6).</w:t>
      </w:r>
    </w:p>
    <w:p w:rsidR="0026452D" w:rsidRDefault="0026452D" w:rsidP="0026452D">
      <w:pPr>
        <w:pStyle w:val="TextoNormal"/>
      </w:pPr>
    </w:p>
    <w:p w:rsidR="0026452D" w:rsidRDefault="0026452D" w:rsidP="0026452D">
      <w:pPr>
        <w:pStyle w:val="TextoNormal"/>
      </w:pPr>
      <w:r>
        <w:t xml:space="preserve">Por consiguiente, y en atención a cuanto aquí se ha expuesto, procede declarar que el artículo único de la Ley de la Comunidad Autónoma Castilla y León 8/2004, de 22 de diciembre, que introduce una disposición adicional séptima en la Ley 12/2002, de 11 de julio, del patrimonio cultural de Castilla y León, vulnera las competencias del Estado en la materia, </w:t>
      </w:r>
      <w:r w:rsidRPr="0026452D">
        <w:rPr>
          <w:i/>
        </w:rPr>
        <w:t>ex</w:t>
      </w:r>
      <w:r>
        <w:t xml:space="preserve"> apartados 1.28 y 2 del art. 149 CE, por lo que debe ser declarado inconstitucional y nulo.</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Estimar el presente recurso de inconstitucionalidad y, en consecuencia, declarar inconstitucional y nulo el artículo único de la Ley de la Comunidad Autónoma Castilla y León 8/2004, de 22 de diciembre.</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Toledo, a seis de junio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40" w:name="SENTENCIA_2013_137"/>
      <w:r>
        <w:lastRenderedPageBreak/>
        <w:t>SENTENCIA 137/2013, de 6 de junio de 2013</w:t>
      </w:r>
    </w:p>
    <w:bookmarkEnd w:id="140"/>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157, de 2 de julio de 2013)</w:t>
      </w:r>
    </w:p>
    <w:p w:rsidR="0026452D" w:rsidRDefault="0026452D" w:rsidP="0026452D">
      <w:pPr>
        <w:pStyle w:val="TtuloBOE"/>
      </w:pPr>
    </w:p>
    <w:p w:rsidR="0026452D" w:rsidRDefault="0026452D" w:rsidP="0026452D">
      <w:pPr>
        <w:pStyle w:val="SntesisDescriptiva"/>
      </w:pPr>
      <w:r>
        <w:t>ECLI:ES:TC:2013:137</w:t>
      </w:r>
    </w:p>
    <w:p w:rsidR="0026452D" w:rsidRDefault="0026452D" w:rsidP="0026452D">
      <w:pPr>
        <w:pStyle w:val="SntesisDescriptiva"/>
      </w:pPr>
    </w:p>
    <w:p w:rsidR="0026452D" w:rsidRDefault="0026452D" w:rsidP="0026452D">
      <w:pPr>
        <w:pStyle w:val="SntesisDescriptiva"/>
      </w:pPr>
      <w:r>
        <w:t>Cuestión de inconstitucionalidad 4764-2007. Planteada por la Sala de lo Contencioso-Administrativo del Tribunal Supremo en relación con diversos preceptos de la Ley Foral 12/2000, de 16 de noviembre, de atención farmacéutica.</w:t>
      </w:r>
    </w:p>
    <w:p w:rsidR="0026452D" w:rsidRDefault="0026452D" w:rsidP="0026452D">
      <w:pPr>
        <w:pStyle w:val="SntesisDescriptiva"/>
      </w:pPr>
    </w:p>
    <w:p w:rsidR="0026452D" w:rsidRDefault="0026452D" w:rsidP="0026452D">
      <w:pPr>
        <w:pStyle w:val="SntesisAnaltica"/>
      </w:pPr>
      <w:r>
        <w:t>Competencias sobre condiciones básicas de igualdad, sanidad, productos farmacéuticos y seguridad social: nulidad de los preceptos legales forales que alteran el deber de dispensación de medicamentos impuesto a los titulares de las oficinas de farmacia por la normativa básica estatal; interpretación conforme del precepto legal que hace referencia a las condiciones económicas de la atención farmacéutica como objeto susceptible de concertación entre los titulares de las oficinas de farmacia y el Servicio Navarro de Salud-Osasunbidea (STC 136/2012).</w:t>
      </w:r>
    </w:p>
    <w:p w:rsidR="0026452D" w:rsidRDefault="0026452D" w:rsidP="0026452D">
      <w:pPr>
        <w:pStyle w:val="SntesisAnaltica"/>
      </w:pPr>
    </w:p>
    <w:p w:rsidR="0026452D" w:rsidRDefault="0026452D" w:rsidP="0026452D">
      <w:pPr>
        <w:pStyle w:val="Extracto"/>
      </w:pPr>
      <w:r>
        <w:t>1.</w:t>
      </w:r>
      <w:r>
        <w:tab/>
        <w:t>El régimen de conciertos con las oficinas de farmacia previsto en la norma cuestionada no sólo no entra en contradicción con la legislación básica estatal, sino que es uno de los instrumentos que ésta contempla en el ámbito de la colaboración de las farmacias con el Sistema Nacional de Salud (STC 109/2003)  [FJ 5].</w:t>
      </w:r>
    </w:p>
    <w:p w:rsidR="0026452D" w:rsidRDefault="0026452D" w:rsidP="0026452D">
      <w:pPr>
        <w:pStyle w:val="Extracto"/>
      </w:pPr>
    </w:p>
    <w:p w:rsidR="0026452D" w:rsidRDefault="0026452D" w:rsidP="0026452D">
      <w:pPr>
        <w:pStyle w:val="Extracto"/>
      </w:pPr>
      <w:r>
        <w:t>2.</w:t>
      </w:r>
      <w:r>
        <w:tab/>
        <w:t xml:space="preserve">La normativa de desarrollo del deber básico de dispensación de medicamentos por las oficinas de farmacia deviene imprescindible para garantizar la asistencia farmacéutica que deriva del derecho a obtener medicamentos en condiciones de igualdad efectiva en todo el territorio nacional y del derecho a la protección de la salud, </w:t>
      </w:r>
      <w:r w:rsidRPr="0026452D">
        <w:rPr>
          <w:i/>
        </w:rPr>
        <w:t>ex</w:t>
      </w:r>
      <w:r>
        <w:t xml:space="preserve"> art. 43.1 CE, lo que obliga a los poderes públicos al despliegue de la correspondiente acción administrativa prestacional y a desarrollar la acción normativa que resulte necesaria para asegurar el cumplimiento de esos mandatos constitucionales (STC 113/1989) [FJ 5].</w:t>
      </w:r>
    </w:p>
    <w:p w:rsidR="0026452D" w:rsidRDefault="0026452D" w:rsidP="0026452D">
      <w:pPr>
        <w:pStyle w:val="Extracto"/>
      </w:pPr>
    </w:p>
    <w:p w:rsidR="0026452D" w:rsidRDefault="0026452D" w:rsidP="0026452D">
      <w:pPr>
        <w:pStyle w:val="Extracto"/>
      </w:pPr>
      <w:r>
        <w:t>3.</w:t>
      </w:r>
      <w:r>
        <w:tab/>
        <w:t>Incurren en inconstitucionalidad los preceptos impugnados que reconocen un derecho de concertación vinculado a la dispensación de medicamentos y productos sanitarios prescritos por los facultativos del Sistema Nacional de Salud, enervando de esta manera el cumplimiento del deber legal de dispensación, que queda al arbitrio de la libre y voluntaria decisión de los propietarios titulares de las oficinas de farmacia, en abierta contradicción con lo previsto en la normativa básica [FJ 5].</w:t>
      </w:r>
    </w:p>
    <w:p w:rsidR="0026452D" w:rsidRDefault="0026452D" w:rsidP="0026452D">
      <w:pPr>
        <w:pStyle w:val="Extracto"/>
      </w:pPr>
    </w:p>
    <w:p w:rsidR="0026452D" w:rsidRDefault="0026452D" w:rsidP="0026452D">
      <w:pPr>
        <w:pStyle w:val="Extracto"/>
      </w:pPr>
      <w:r>
        <w:t>4.</w:t>
      </w:r>
      <w:r>
        <w:tab/>
        <w:t>La fijación mediante concierto de las condiciones económicas en la atención farmacéutica y de la provisión de los medicamentos a los ciudadanos no resulta inconstitucional, siempre que dichas condiciones se refieran a aspectos distintos de las condiciones económicas sobre aportación del beneficiario establecidas en la legislación básica estatal [FJ 6 a)].</w:t>
      </w:r>
    </w:p>
    <w:p w:rsidR="0026452D" w:rsidRDefault="0026452D" w:rsidP="0026452D">
      <w:pPr>
        <w:pStyle w:val="Extracto"/>
      </w:pPr>
    </w:p>
    <w:p w:rsidR="0026452D" w:rsidRDefault="0026452D" w:rsidP="0026452D">
      <w:pPr>
        <w:pStyle w:val="Extracto"/>
      </w:pPr>
      <w:r>
        <w:lastRenderedPageBreak/>
        <w:t>5.</w:t>
      </w:r>
      <w:r>
        <w:tab/>
        <w:t>El acceso a la prestación farmacéutica del Sistema Nacional de Salud en condiciones de igualdad presupone necesariamente una regulación uniforme mínima y de vigencia en todo el territorio español que establezca un sistema de precios de referencia a los efectos de determinar el alcance de su financiación pública, de tal modo que quede garantizado a todos los ciudadanos, con independencia de la Comunidad Autónoma en que residan, el disfrute de medicamentos financiados públicamente al menos en un mismo porcentaje mínimo, susceptible de ser incrementado en virtud de las disponibilidades financieras de cada Comunidad Autónoma (SSTC 98/2004, 136/2012) [FJ 6 a)].</w:t>
      </w:r>
    </w:p>
    <w:p w:rsidR="0026452D" w:rsidRDefault="0026452D" w:rsidP="0026452D">
      <w:pPr>
        <w:pStyle w:val="Extracto"/>
      </w:pPr>
    </w:p>
    <w:p w:rsidR="0026452D" w:rsidRDefault="0026452D" w:rsidP="0026452D">
      <w:pPr>
        <w:pStyle w:val="Extracto"/>
      </w:pPr>
      <w:r>
        <w:t>6.</w:t>
      </w:r>
      <w:r>
        <w:tab/>
        <w:t>La previsión de un régimen concertado sobre los horarios, turnos de guardia o vacaciones de las oficinas de farmacia en el ámbito territorial de la Comunidad Foral de Navarra no resulta inconstitucional al no resultar incompatible con el régimen general establecido en la normativa básica [FJ 6 b)].</w:t>
      </w:r>
    </w:p>
    <w:p w:rsidR="0026452D" w:rsidRDefault="0026452D" w:rsidP="0026452D">
      <w:pPr>
        <w:pStyle w:val="Extracto"/>
      </w:pPr>
    </w:p>
    <w:p w:rsidR="0026452D" w:rsidRDefault="0026452D" w:rsidP="0026452D">
      <w:pPr>
        <w:pStyle w:val="Extracto"/>
      </w:pPr>
      <w:r>
        <w:t>7.</w:t>
      </w:r>
      <w:r>
        <w:tab/>
        <w:t>El contenido del concierto en relación con aspectos tales como los programas de calidad, el uso racional del medicamento, la educación sanitaria o la promoción de medicamentos genéricos, se integra con naturalidad en el ámbito de colaboración de las oficinas de farmacia, en su condición de establecimientos sanitarios, para garantizar el uso racional de los medicamentos en la atención primaria a la salud, no hallándose contradicción alguna entre las previsiones de la normativa básica y el contenido mínimo del concierto [FJ 6 b)].</w:t>
      </w:r>
    </w:p>
    <w:p w:rsidR="0026452D" w:rsidRDefault="0026452D" w:rsidP="0026452D">
      <w:pPr>
        <w:pStyle w:val="Extracto"/>
      </w:pPr>
    </w:p>
    <w:p w:rsidR="0026452D" w:rsidRDefault="0026452D" w:rsidP="0026452D">
      <w:pPr>
        <w:pStyle w:val="Extracto"/>
      </w:pPr>
      <w:r>
        <w:t>8.</w:t>
      </w:r>
      <w:r>
        <w:tab/>
        <w:t>No resulta incompatible con la legislación básica estatal el precepto impugnado toda vez que se limita a regular con carácter general los requisitos y causas de extinción de los conciertos que suscriban las oficinas de farmacia con el Servicio Navarro de Salud-Osasunbidea, siendo, tal concertación, una posibilidad expresamente contemplada por la Ley del medicamento, siempre que no afecte al deber de dispensación [FJ 6 c)].</w:t>
      </w:r>
    </w:p>
    <w:p w:rsidR="0026452D" w:rsidRDefault="0026452D" w:rsidP="0026452D">
      <w:pPr>
        <w:pStyle w:val="Extracto"/>
      </w:pPr>
    </w:p>
    <w:p w:rsidR="0026452D" w:rsidRDefault="0026452D" w:rsidP="0026452D">
      <w:pPr>
        <w:pStyle w:val="Extracto"/>
      </w:pPr>
      <w:r>
        <w:t>9.</w:t>
      </w:r>
      <w:r>
        <w:tab/>
        <w:t>La regulación de la composición de la Comisión de Atención Farmacéutica de Navarra, órgano de participación y consulta en el ámbito de las competencias de la Comunidad Foral, es manifestación de su potestad de autoorganización, por lo que no es susceptible de reproche de inconstitucionalidad [FJ 7 a)].</w:t>
      </w:r>
    </w:p>
    <w:p w:rsidR="0026452D" w:rsidRDefault="0026452D" w:rsidP="0026452D">
      <w:pPr>
        <w:pStyle w:val="Extracto"/>
      </w:pPr>
    </w:p>
    <w:p w:rsidR="0026452D" w:rsidRDefault="0026452D" w:rsidP="0026452D">
      <w:pPr>
        <w:pStyle w:val="Extracto"/>
      </w:pPr>
      <w:r>
        <w:t>10.</w:t>
      </w:r>
      <w:r>
        <w:tab/>
        <w:t xml:space="preserve">Doctrina sobre distribución de competencias en materia de sanidad, en cuya virtud corresponde al Estado la competencia de dictar las bases y ejercer funciones de coordinación general, </w:t>
      </w:r>
      <w:r w:rsidRPr="0026452D">
        <w:rPr>
          <w:i/>
        </w:rPr>
        <w:t>ex</w:t>
      </w:r>
      <w:r>
        <w:t xml:space="preserve"> art. 149.1.16 CE, en tanto que a la Comunidad Autónoma que posea competencia en materia sanitaria establecer medidas de desarrollo legislativo y añadir, a los requisitos mínimos determinados por el Estado, otros que entienda oportunos o especialmente adecuados (SSTC 32/1983, 109/2003) [FJ 3].</w:t>
      </w:r>
    </w:p>
    <w:p w:rsidR="0026452D" w:rsidRDefault="0026452D" w:rsidP="0026452D">
      <w:pPr>
        <w:pStyle w:val="Extracto"/>
      </w:pPr>
    </w:p>
    <w:p w:rsidR="0026452D" w:rsidRDefault="0026452D" w:rsidP="0026452D">
      <w:pPr>
        <w:pStyle w:val="Extracto"/>
      </w:pPr>
      <w:r>
        <w:t>11.</w:t>
      </w:r>
      <w:r>
        <w:tab/>
        <w:t xml:space="preserve">En tanto que el precepto impugnado se refiere a la fijación del sistema de financiación pública de una de las prestaciones –los medicamentos– proporcionadas por el Sistema Nacional de Salud, nuestro control de la constitucionalidad determina </w:t>
      </w:r>
      <w:r>
        <w:lastRenderedPageBreak/>
        <w:t xml:space="preserve">que el marco conceptual y competencial específico aplicable aquí sea el de la ‘sanidad’, </w:t>
      </w:r>
      <w:r w:rsidRPr="0026452D">
        <w:rPr>
          <w:i/>
        </w:rPr>
        <w:t>ex</w:t>
      </w:r>
      <w:r>
        <w:t xml:space="preserve"> art. 149.1.16 CE, y no el de la ‘Seguridad Social’, </w:t>
      </w:r>
      <w:r w:rsidRPr="0026452D">
        <w:rPr>
          <w:i/>
        </w:rPr>
        <w:t>ex</w:t>
      </w:r>
      <w:r>
        <w:t xml:space="preserve"> art. 149.1.17 CE (STC 98/2004) [FJ 3].</w:t>
      </w:r>
    </w:p>
    <w:p w:rsidR="0026452D" w:rsidRDefault="0026452D" w:rsidP="0026452D">
      <w:pPr>
        <w:pStyle w:val="Extracto"/>
      </w:pPr>
    </w:p>
    <w:p w:rsidR="0026452D" w:rsidRDefault="0026452D" w:rsidP="0026452D">
      <w:pPr>
        <w:pStyle w:val="Extracto"/>
      </w:pPr>
      <w:r>
        <w:t>12.</w:t>
      </w:r>
      <w:r>
        <w:tab/>
        <w:t>La dimensión material de las normas básicas permite deducir bases normativas de la legislación preconstitucional, sirviendo así de parámetro de contraste en el proceso constitucional, aunque dicha operación ha de realizarse con suma cautela y teniendo siempre presentes las categorías contenidas en la Constitución respecto del reparto constitucional de competencias y el alcance de las mismas (STC 251/2006) [FJ 2].</w:t>
      </w:r>
    </w:p>
    <w:p w:rsidR="0026452D" w:rsidRDefault="0026452D" w:rsidP="0026452D">
      <w:pPr>
        <w:pStyle w:val="Extracto"/>
      </w:pPr>
    </w:p>
    <w:p w:rsidR="0026452D" w:rsidRDefault="0026452D" w:rsidP="0026452D">
      <w:pPr>
        <w:pStyle w:val="Extracto"/>
      </w:pPr>
      <w:r>
        <w:t>13.</w:t>
      </w:r>
      <w:r>
        <w:tab/>
        <w:t xml:space="preserve">Dado que la doctrina del </w:t>
      </w:r>
      <w:r w:rsidRPr="0026452D">
        <w:rPr>
          <w:i/>
        </w:rPr>
        <w:t>ius superveniens</w:t>
      </w:r>
      <w:r>
        <w:t xml:space="preserve"> no resulta aplicable a las cuestiones de inconstitucionalidad, la regla general es la utilización, como canon de enjuiciamiento, de la legislación vigente en el momento de referencia para la aplicación por el órgano judicial </w:t>
      </w:r>
      <w:r w:rsidRPr="0026452D">
        <w:rPr>
          <w:i/>
        </w:rPr>
        <w:t>a quo</w:t>
      </w:r>
      <w:r>
        <w:t xml:space="preserve"> de la norma cuestionada (SSTC 178/2004, 191/2012)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la cuestión de inconstitucionalidad núm. 4764-2007, planteada por la Sección Cuarta de la Sala de lo Contencioso-Administrativo del Tribunal Supremo en relación con los arts. 28, 1 y 3, 29, 30.4, 31.2 y 32 de la Ley Foral 12/2000, de 16 de noviembre, de atención farmacéutica, por posible vulneración de los arts. 149.1, apartados 1, 16 y 17 CE, así como de los arts. 53.1 y 54.1.a) de la Ley Orgánica de reintegración y amejoramiento del Fuero de Navarra. Han intervenido y formulado alegaciones el Abogado del Estado, el Parlamento de Navarra y el Gobierno de Navarra, así como el Fiscal General del Estado. Ha sido Ponente el Magistrado don Fernando Valdés Dal-Ré,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xml:space="preserve">. Mediante escrito registrado en este Tribunal el día 25 de mayo de 2007, complementado por otro de fecha 18 de junio de 2007, tuvo entrada el Auto de la Sección Cuarta de la Sala de lo Contencioso-Administrativo del Tribunal Supremo, por el que se acuerda plantear </w:t>
      </w:r>
      <w:r>
        <w:lastRenderedPageBreak/>
        <w:t>cuestión de inconstitucionalidad respecto de los arts. 28, 1 y 3, 29, 30.4, 31.2 y 32 de la Ley Foral 12/2000, de 16 de noviembre, de atención farmacéutica, por posible vulneración de los arts. 149.1, apartados 1, 16 y 17 CE, así como de los arts. 53.1 y 54.1 a) de la Ley Orgánica de reintegración y amejoramiento del Fuero de Navarra (LORAFNA). Se acompaña testimonio del recurso de casación núm. 4018-2004 que se tramita ante dicha Sección.</w:t>
      </w:r>
    </w:p>
    <w:p w:rsidR="0026452D" w:rsidRDefault="0026452D" w:rsidP="0026452D">
      <w:pPr>
        <w:pStyle w:val="TextoNormal"/>
      </w:pPr>
    </w:p>
    <w:p w:rsidR="0026452D" w:rsidRDefault="0026452D" w:rsidP="0026452D">
      <w:pPr>
        <w:pStyle w:val="TextoNormal"/>
      </w:pPr>
      <w:r w:rsidRPr="0026452D">
        <w:rPr>
          <w:rStyle w:val="NumeroAFNegritaCaracter"/>
        </w:rPr>
        <w:t>2</w:t>
      </w:r>
      <w:r>
        <w:t>. Los hechos de los que trae causa esta cuestión de inconstitucionalidad son los siguientes:</w:t>
      </w:r>
    </w:p>
    <w:p w:rsidR="0026452D" w:rsidRDefault="0026452D" w:rsidP="0026452D">
      <w:pPr>
        <w:pStyle w:val="TextoNormal"/>
      </w:pPr>
    </w:p>
    <w:p w:rsidR="0026452D" w:rsidRDefault="0026452D" w:rsidP="0026452D">
      <w:pPr>
        <w:pStyle w:val="TextoNormal"/>
      </w:pPr>
      <w:r>
        <w:t>a) En el recurso contencioso-administrativo tramitado con el núm. 1168-2002, interpuesto contra el acuerdo del Gobierno de Navarra de 13 de mayo de 2002, por el que se aprueba el acuerdo marco de concertación con las oficinas de farmacia, se interesó el planteamiento de cuestión de inconstitucionalidad en relación con los arts. 29.2, 30.4 y 31.2 de la Ley Foral 12/2000.</w:t>
      </w:r>
    </w:p>
    <w:p w:rsidR="0026452D" w:rsidRDefault="0026452D" w:rsidP="0026452D">
      <w:pPr>
        <w:pStyle w:val="TextoNormal"/>
      </w:pPr>
    </w:p>
    <w:p w:rsidR="0026452D" w:rsidRDefault="0026452D" w:rsidP="0026452D">
      <w:pPr>
        <w:pStyle w:val="TextoNormal"/>
      </w:pPr>
      <w:r>
        <w:t>b) El recurso fue desestimado por Sentencia de la Sala de lo Contencioso-Administrativo del Tribunal Superior de Justicia de Navarra, de fecha 15 de febrero de 2004, con el Voto particular de uno de los Magistrados integrantes de la Sala, que consideró que debió haberse planteado la indicada cuestión de inconstitucionalidad.</w:t>
      </w:r>
    </w:p>
    <w:p w:rsidR="0026452D" w:rsidRDefault="0026452D" w:rsidP="0026452D">
      <w:pPr>
        <w:pStyle w:val="TextoNormal"/>
      </w:pPr>
    </w:p>
    <w:p w:rsidR="0026452D" w:rsidRDefault="0026452D" w:rsidP="0026452D">
      <w:pPr>
        <w:pStyle w:val="TextoNormal"/>
      </w:pPr>
      <w:r>
        <w:t>c) En otrosí al escrito de formalización del recurso de casación interpuesto contra dicha Sentencia, tramitado con el núm. 4018-2004, se interesa nuevamente el planteamiento de la cuestión de inconstitucionalidad, ahora en relación con los arts. 28 a 32 de la Ley Foral 12/2000, por considerar que el acuerdo marco de concertación con las oficinas de farmacia es concreción y aplicación de los citados preceptos legales, que se consideran viciados de inconstitucionalidad por vulneración de la legislación estatal básica, en concreto de los arts. 107.4 de la Ley general de Seguridad Social, 93 y 97 de la Ley 25/1990, de 20 de diciembre, del medicamento, y 33 de la Ley 16/2003, de 28 de mayo, de cohesión y calidad del Sistema Nacional de Salud, y en consecuencia por vulneración del art. 149.1, apartados 1, 16 y 17, CE, y de los arts. 53.1 y 54.1 a) LORAFNA.</w:t>
      </w:r>
    </w:p>
    <w:p w:rsidR="0026452D" w:rsidRDefault="0026452D" w:rsidP="0026452D">
      <w:pPr>
        <w:pStyle w:val="TextoNormal"/>
      </w:pPr>
    </w:p>
    <w:p w:rsidR="0026452D" w:rsidRDefault="0026452D" w:rsidP="0026452D">
      <w:pPr>
        <w:pStyle w:val="TextoNormal"/>
      </w:pPr>
      <w:r>
        <w:t>d) Una vez concluida la tramitación del recurso de casación, y estando el proceso en trámite de Sentencia, la Sección, mediante providencia de 5 de diciembre de 2006, acordó conferir plazo común de diez días a las partes y al Ministerio Fiscal para que alegasen sobre la pertinencia de plantear cuestión de inconstitucionalidad, de conformidad con el art. 35.2 de la Ley Orgánica del Tribunal Constitucional (LOTC).</w:t>
      </w:r>
    </w:p>
    <w:p w:rsidR="0026452D" w:rsidRDefault="0026452D" w:rsidP="0026452D">
      <w:pPr>
        <w:pStyle w:val="TextoNormal"/>
      </w:pPr>
    </w:p>
    <w:p w:rsidR="0026452D" w:rsidRDefault="0026452D" w:rsidP="0026452D">
      <w:pPr>
        <w:pStyle w:val="TextoNormal"/>
      </w:pPr>
      <w:r>
        <w:t>e) Evacuado dicho trámite, por Auto de 17 de abril de 2007 la Sección Cuarta de la Sala de lo Contencioso-Administrativo del Tribunal Supremo acordó plantear cuestión de inconstitucionalidad respecto de los arts. 28, 1 y 3, 29, 30.4, 31.2 y 32 de la Ley Foral 12/2000, de 16 de noviembre, de atención farmacéutica, por posible vulneración de los arts. 149.1, apartados 1, 16 y 17 CE, así como de los arts. 53.1 y 54.1 a) LORAFNA.</w:t>
      </w:r>
    </w:p>
    <w:p w:rsidR="0026452D" w:rsidRDefault="0026452D" w:rsidP="0026452D">
      <w:pPr>
        <w:pStyle w:val="TextoNormal"/>
      </w:pPr>
    </w:p>
    <w:p w:rsidR="0026452D" w:rsidRDefault="0026452D" w:rsidP="0026452D">
      <w:pPr>
        <w:pStyle w:val="TextoNormal"/>
      </w:pPr>
      <w:r w:rsidRPr="0026452D">
        <w:rPr>
          <w:rStyle w:val="NumeroAFNegritaCaracter"/>
        </w:rPr>
        <w:t>3</w:t>
      </w:r>
      <w:r>
        <w:t>. El Auto de la Sección Cuarta de la Sala de lo Contencioso-Administrativo del Tribunal Supremo, de 17 de abril de 2007, fundamenta el planteamiento de la cuestión de inconstitucionalidad en las consideraciones que, resumidamente, se exponen a continuación.</w:t>
      </w:r>
    </w:p>
    <w:p w:rsidR="0026452D" w:rsidRDefault="0026452D" w:rsidP="0026452D">
      <w:pPr>
        <w:pStyle w:val="TextoNormal"/>
      </w:pPr>
    </w:p>
    <w:p w:rsidR="0026452D" w:rsidRDefault="0026452D" w:rsidP="0026452D">
      <w:pPr>
        <w:pStyle w:val="TextoNormal"/>
      </w:pPr>
      <w:r>
        <w:lastRenderedPageBreak/>
        <w:t xml:space="preserve">a) El acuerdo marco de concertación de las oficinas de farmacia aprobado por el Gobierno de Navarra el 13 de mayo de 2002, objeto de la </w:t>
      </w:r>
      <w:r w:rsidRPr="0026452D">
        <w:rPr>
          <w:i/>
        </w:rPr>
        <w:t>litis</w:t>
      </w:r>
      <w:r>
        <w:t>, se limita a desarrollar y dar cumplimiento a los arts. 28 a 32 de la Ley Foral 12/2000, cumpliéndose por tanto los requisitos establecidos por el art. 35 LOTC.</w:t>
      </w:r>
    </w:p>
    <w:p w:rsidR="0026452D" w:rsidRDefault="0026452D" w:rsidP="0026452D">
      <w:pPr>
        <w:pStyle w:val="TextoNormal"/>
      </w:pPr>
    </w:p>
    <w:p w:rsidR="0026452D" w:rsidRDefault="0026452D" w:rsidP="0026452D">
      <w:pPr>
        <w:pStyle w:val="TextoNormal"/>
      </w:pPr>
      <w:r>
        <w:t>b) El Estado dispone de competencia exclusiva en la regulación de las condiciones básicas que garanticen la igualdad de todos los españoles en el ejercicio de sus derechos y en el cumplimiento de sus deberes constitucionales (art. 149.1.1 CE), en el establecimiento de las bases y coordinación general de la sanidad (art. 149.1.16 CE), y en materia de legislación básica y régimen económico de la Seguridad Social (art. 149.1.17 CE). Por su parte, según el art. 54 LORAFNA, a la Comunidad Foral de Navarra le corresponde el desarrollo legislativo y la ejecución de la legislación básica del Estado, salvo las normas que configuran el régimen económico de la Seguridad Social, y la gestión de dicho régimen económico.</w:t>
      </w:r>
    </w:p>
    <w:p w:rsidR="0026452D" w:rsidRDefault="0026452D" w:rsidP="0026452D">
      <w:pPr>
        <w:pStyle w:val="TextoNormal"/>
      </w:pPr>
    </w:p>
    <w:p w:rsidR="0026452D" w:rsidRDefault="0026452D" w:rsidP="0026452D">
      <w:pPr>
        <w:pStyle w:val="TextoNormal"/>
      </w:pPr>
      <w:r>
        <w:t>El Estado ha ejercido las citadas competencias mediante lo dispuesto, entre otros, en el art. 107 del texto refundido de la Ley general de Seguridad Social (LGSS) de 30 de mayo de 1974, precepto vigente según la disposición derogatoria única a 1) de la Ley general de la Seguridad Social, texto refundido aprobado por Real Decreto Legislativo 1/1994, de 20 de junio, y la disposición adicional séptima de la Ley 25/1990, de 20 de diciembre, del medicamento. Dicho art. 107 establece que la dispensación de los medicamentos se efectuará a través de las oficinas de farmacia legalmente establecidas, que estarán obligadas a efectuar tal dispensación, y que la Seguridad Social concertará con laboratorios y farmacias, a través de sus representantes legales sindicales y corporativos, los precios y demás condiciones económicas.</w:t>
      </w:r>
    </w:p>
    <w:p w:rsidR="0026452D" w:rsidRDefault="0026452D" w:rsidP="0026452D">
      <w:pPr>
        <w:pStyle w:val="TextoNormal"/>
      </w:pPr>
    </w:p>
    <w:p w:rsidR="0026452D" w:rsidRDefault="0026452D" w:rsidP="0026452D">
      <w:pPr>
        <w:pStyle w:val="TextoNormal"/>
      </w:pPr>
      <w:r>
        <w:t>La competencia estatal se ha ejercido, asimismo, mediante los arts. 93 y 97 de la Ley 25/1990, de 20 de diciembre, del medicamento, que reconocen el derecho de todos a obtener medicamentos en condiciones de igualdad en todo el territorio nacional, estableciendo que los mismos se dispensarán por las oficinas de farmacia.</w:t>
      </w:r>
    </w:p>
    <w:p w:rsidR="0026452D" w:rsidRDefault="0026452D" w:rsidP="0026452D">
      <w:pPr>
        <w:pStyle w:val="TextoNormal"/>
      </w:pPr>
    </w:p>
    <w:p w:rsidR="0026452D" w:rsidRDefault="0026452D" w:rsidP="0026452D">
      <w:pPr>
        <w:pStyle w:val="TextoNormal"/>
      </w:pPr>
      <w:r>
        <w:t>Completa el régimen estatal el art. 33 de la Ley 16/2003, de 28 de mayo, de cohesión y calidad del Sistema Nacional de Salud, que atribuye al Ministerio de Sanidad y Consumo, previo acuerdo del Consejo Interterritorial del Sistema Nacional de Salud, el establecimiento de los criterios generales y comunes para el desarrollo de la colaboración de las oficinas de farmacia, por medio de conciertos que garanticen a los ciudadanos la dispensación en condiciones de igualdad efectiva en todo el territorio nacional, independientemente de su comunidad autónoma de residencia.</w:t>
      </w:r>
    </w:p>
    <w:p w:rsidR="0026452D" w:rsidRDefault="0026452D" w:rsidP="0026452D">
      <w:pPr>
        <w:pStyle w:val="TextoNormal"/>
      </w:pPr>
    </w:p>
    <w:p w:rsidR="0026452D" w:rsidRDefault="0026452D" w:rsidP="0026452D">
      <w:pPr>
        <w:pStyle w:val="TextoNormal"/>
      </w:pPr>
      <w:r>
        <w:t>Con cita de las SSTC 124/1989, de 7 de julio, y 195/1996, de 28 de noviembre, y de la propia doctrina del Tribunal Supremo en relación con el art. 107.4 LGSS de 1974, deduce el Auto que, mediante la regulación citada, el Estado ha establecido un sistema de concertación general y universal para determinar las condiciones económicas en las que las oficinas de farmacia deberán dispensar los medicamentos financiados por el sistema público de Seguridad Social. Esa concertación, que ha de realizarse con los representantes de los farmacéuticos y que tiene carácter vinculante, persigue un doble objetivo: de un lado, evitar que los beneficiarios de la Seguridad Social tengan que adelantar en el acto de la dispensa</w:t>
      </w:r>
      <w:r>
        <w:lastRenderedPageBreak/>
        <w:t>ción del medicamento el importe total del mismo y, de otro, paliar la gran carga que representaría para la Seguridad Social atender al reembolso individualizado de todo o parte del precio de cada receta que se encuentre financiada por el seguro público.</w:t>
      </w:r>
    </w:p>
    <w:p w:rsidR="0026452D" w:rsidRDefault="0026452D" w:rsidP="0026452D">
      <w:pPr>
        <w:pStyle w:val="TextoNormal"/>
      </w:pPr>
    </w:p>
    <w:p w:rsidR="0026452D" w:rsidRDefault="0026452D" w:rsidP="0026452D">
      <w:pPr>
        <w:pStyle w:val="TextoNormal"/>
      </w:pPr>
      <w:r>
        <w:t>c) Dicho régimen se ve sustancialmente alterado por los arts. 28 a 32 de la Ley Foral 12/2000, en diversos aspectos. El art. 28, al regular la Comisión de Atención Farmacéutica, no establece la composición paritaria entre farmacéuticos elegidos por el Colegio Oficial de Farmacéuticos de Navarra y los demás miembros, según dispone el art. 107.4 LGSS 1974. Además, al regular la subcomisión negociadora del acuerdo marco, aunque se establece la composición paritaria, ésta se refiere a los representantes de los farmacéuticos con oficina de farmacia y no a los representantes elegidos por el Colegio, cuando la legislación estatal se refiere a los representantes elegidos por el Consejo General de Colegios Oficiales Farmacéuticos.</w:t>
      </w:r>
    </w:p>
    <w:p w:rsidR="0026452D" w:rsidRDefault="0026452D" w:rsidP="0026452D">
      <w:pPr>
        <w:pStyle w:val="TextoNormal"/>
      </w:pPr>
    </w:p>
    <w:p w:rsidR="0026452D" w:rsidRDefault="0026452D" w:rsidP="0026452D">
      <w:pPr>
        <w:pStyle w:val="TextoNormal"/>
      </w:pPr>
      <w:r>
        <w:t>El art. 29 reconoce a los farmacéuticos un derecho a la concertación, cuando en la materia tienen obligaciones ineludibles, y refiere la eficacia y el valor de la concertación únicamente a los propietarios titulares que se hayan adherido voluntariamente al acuerdo marco. Con ello se altera el sistema establecido por la legislación estatal, que regula un sistema unitario y universal que garantice a todos los ciudadanos la dispensación de medicamentos en condiciones de efectiva igualdad, sin olvidar que no se regula la situación en que quedarían las farmacias que no se adhieran al acuerdo marco, ni la forma en que esas farmacias dispensarían los medicamentos, ni si los usuarios pueden acudir a ellas, y en qué condiciones.</w:t>
      </w:r>
    </w:p>
    <w:p w:rsidR="0026452D" w:rsidRDefault="0026452D" w:rsidP="0026452D">
      <w:pPr>
        <w:pStyle w:val="TextoNormal"/>
      </w:pPr>
    </w:p>
    <w:p w:rsidR="0026452D" w:rsidRDefault="0026452D" w:rsidP="0026452D">
      <w:pPr>
        <w:pStyle w:val="TextoNormal"/>
      </w:pPr>
      <w:r>
        <w:t>El art. 30, además de referirse a los órganos regulados en el art. 28 cuya composición no resulta conforme con la normativa estatal, mantiene la distinción entre farmacias adheridas y no adheridas, sin previsión alguna para las farmacias no adheridas en caso de desacuerdo total o ausencia de acuerdo marco, lo que no resulta compatible con el régimen unitario y universal establecido en la legislación estatal.</w:t>
      </w:r>
    </w:p>
    <w:p w:rsidR="0026452D" w:rsidRDefault="0026452D" w:rsidP="0026452D">
      <w:pPr>
        <w:pStyle w:val="TextoNormal"/>
      </w:pPr>
    </w:p>
    <w:p w:rsidR="0026452D" w:rsidRDefault="0026452D" w:rsidP="0026452D">
      <w:pPr>
        <w:pStyle w:val="TextoNormal"/>
      </w:pPr>
      <w:r>
        <w:t>El art. 31 extiende el concierto a materias no previstas en el art. 107.4 LGSS, que se refiere únicamente a los precios y demás condiciones económicas, y, al incluir en el concierto aspectos tales como el horario de apertura y cierre y los turnos de guardia, deja sin regulación sobre estas cuestiones a las farmacias no adheridas al acuerdo marco.</w:t>
      </w:r>
    </w:p>
    <w:p w:rsidR="0026452D" w:rsidRDefault="0026452D" w:rsidP="0026452D">
      <w:pPr>
        <w:pStyle w:val="TextoNormal"/>
      </w:pPr>
    </w:p>
    <w:p w:rsidR="0026452D" w:rsidRDefault="0026452D" w:rsidP="0026452D">
      <w:pPr>
        <w:pStyle w:val="TextoNormal"/>
      </w:pPr>
      <w:r>
        <w:t>Por último, el art. 32, además de insistir en la diferencia entre farmacias concertadas o no concertadas, excluye del concierto a las farmacias cuyos titulares se encuentren en determinados supuestos, posibilitando nuevas excepciones al régimen unitario, general y universal establecido por la normativa estatal.</w:t>
      </w:r>
    </w:p>
    <w:p w:rsidR="0026452D" w:rsidRDefault="0026452D" w:rsidP="0026452D">
      <w:pPr>
        <w:pStyle w:val="TextoNormal"/>
      </w:pPr>
    </w:p>
    <w:p w:rsidR="0026452D" w:rsidRDefault="0026452D" w:rsidP="0026452D">
      <w:pPr>
        <w:pStyle w:val="TextoNormal"/>
      </w:pPr>
      <w:r w:rsidRPr="0026452D">
        <w:rPr>
          <w:rStyle w:val="NumeroAFNegritaCaracter"/>
        </w:rPr>
        <w:t>4</w:t>
      </w:r>
      <w:r>
        <w:t xml:space="preserve">. Mediante providencia de 3 de julio de 2007, el Pleno, a propuesta de la Sección Tercera de este Tribunal, acordó admitir a trámite la cuestión de inconstitucionalidad núm. 4764-2007 y reservarse para sí el conocimiento de la misma, así como dar traslado de las actuaciones recibidas, de conformidad con el art. 37.3 LOTC, al Congreso de los Diputados y al Senado, al Gobierno, y al Fiscal General del Estado, así como al Gobierno y al Parlamento de Navarra, al objeto de que, en el plazo de quince días, pudieran personarse en el proceso y formular las alegaciones que estimasen convenientes. Igualmente se acordó comunicar esta resolución a la Sección proponente a efectos de lo dispuesto en el art. 35.3 </w:t>
      </w:r>
      <w:r>
        <w:lastRenderedPageBreak/>
        <w:t>LOTC, y publicar la incoación de la cuestión en el “Boletín Oficial del Estado” y en el “Boletín Oficial de Navarra”.</w:t>
      </w:r>
    </w:p>
    <w:p w:rsidR="0026452D" w:rsidRDefault="0026452D" w:rsidP="0026452D">
      <w:pPr>
        <w:pStyle w:val="TextoNormal"/>
      </w:pPr>
    </w:p>
    <w:p w:rsidR="0026452D" w:rsidRDefault="0026452D" w:rsidP="0026452D">
      <w:pPr>
        <w:pStyle w:val="TextoNormal"/>
      </w:pPr>
      <w:r w:rsidRPr="0026452D">
        <w:rPr>
          <w:rStyle w:val="NumeroAFNegritaCaracter"/>
        </w:rPr>
        <w:t>5</w:t>
      </w:r>
      <w:r>
        <w:t>. El Presidente del Senado comunicó a este Tribunal, mediante escrito registrado con fecha 5 de septiembre de 2007, que la Mesa de la Cámara adoptó el acuerdo de personarse en el proceso, ofreciendo su colaboración a los efectos del art. 88.1 LOTC. Idéntica comunicación efectuó el Presidente del Congreso de los Diputados mediante escrito registrado en este Tribunal con fecha 13 de septiembre de 2007.</w:t>
      </w:r>
    </w:p>
    <w:p w:rsidR="0026452D" w:rsidRDefault="0026452D" w:rsidP="0026452D">
      <w:pPr>
        <w:pStyle w:val="TextoNormal"/>
      </w:pPr>
    </w:p>
    <w:p w:rsidR="0026452D" w:rsidRDefault="0026452D" w:rsidP="0026452D">
      <w:pPr>
        <w:pStyle w:val="TextoNormal"/>
      </w:pPr>
      <w:r w:rsidRPr="0026452D">
        <w:rPr>
          <w:rStyle w:val="NumeroAFNegritaCaracter"/>
        </w:rPr>
        <w:t>6</w:t>
      </w:r>
      <w:r>
        <w:t>. Mediante providencia de 11 de septiembre de 2007, el Pleno acordó, a solicitud del Letrado del Parlamento de Navarra, solicitar a la Sección Cuarta de la Sala de lo Contencioso-Administrativo del Tribunal Supremo testimonio de las actuaciones correspondientes al recurso contencioso-administrativo núm. 1168-2002, de la Sala de lo Contencioso-Administrativo del Tribunal Superior de Justicia de Navarra, y una vez recibido dar traslado a las partes personadas, concediéndoles un plazo adicional de quince días para completar, en su caso, las alegaciones formuladas.</w:t>
      </w:r>
    </w:p>
    <w:p w:rsidR="0026452D" w:rsidRDefault="0026452D" w:rsidP="0026452D">
      <w:pPr>
        <w:pStyle w:val="TextoNormal"/>
      </w:pPr>
    </w:p>
    <w:p w:rsidR="0026452D" w:rsidRDefault="0026452D" w:rsidP="0026452D">
      <w:pPr>
        <w:pStyle w:val="TextoNormal"/>
      </w:pPr>
      <w:r w:rsidRPr="0026452D">
        <w:rPr>
          <w:rStyle w:val="NumeroAFNegritaCaracter"/>
        </w:rPr>
        <w:t>7</w:t>
      </w:r>
      <w:r>
        <w:t>. El Abogado del Estado se personó en el presente proceso constitucional en nombre del Gobierno y formuló alegaciones mediante escrito registrado el 10 de septiembre de 2007, solicitando que se dictase Sentencia declarando la inconstitucionalidad de los preceptos cuestionados, por las razones que se resumen a continuación.</w:t>
      </w:r>
    </w:p>
    <w:p w:rsidR="0026452D" w:rsidRDefault="0026452D" w:rsidP="0026452D">
      <w:pPr>
        <w:pStyle w:val="TextoNormal"/>
      </w:pPr>
    </w:p>
    <w:p w:rsidR="0026452D" w:rsidRDefault="0026452D" w:rsidP="0026452D">
      <w:pPr>
        <w:pStyle w:val="TextoNormal"/>
      </w:pPr>
      <w:r>
        <w:t>a) Siguiendo la doctrina recogida en la STC 98/2004, de 25 de mayo, FJ 5, considera que la cuestión relativa a los precios de los medicamentos que se suministran a cargo (al menos parcialmente) del Sistema Nacional de Salud, como prestación sanitaria, se encuadra en el título competencial recogido en el art. 149.1.16 CE, en el inciso que reserva al Estado la competencia exclusiva sobre “bases y coordinación general de la sanidad” y en el art. 53.1 LORAFNA, que atribuye a la Comunidad Foral la competencia de desarrollo legislativo y ejecución. Expone las líneas generales de la doctrina general de este Tribunal sobre la caracterización formal y material de las bases, y la doctrina específica en materia de sanidad, concretamente la recogida en la ya citada STC 98/2004 en relación con el sistema de precios de referencia de los medicamentos.</w:t>
      </w:r>
    </w:p>
    <w:p w:rsidR="0026452D" w:rsidRDefault="0026452D" w:rsidP="0026452D">
      <w:pPr>
        <w:pStyle w:val="TextoNormal"/>
      </w:pPr>
    </w:p>
    <w:p w:rsidR="0026452D" w:rsidRDefault="0026452D" w:rsidP="0026452D">
      <w:pPr>
        <w:pStyle w:val="TextoNormal"/>
      </w:pPr>
      <w:r>
        <w:t>b) Aborda a continuación el análisis de la legislación estatal vigente en la materia, señalando en primer lugar que la Ley 25/1990, de 20 de diciembre, del medicamento, citada en el Auto de planteamiento, ha sido expresamente derogada por la Ley 29/2006, de 26 de julio, de garantías y uso racional de los medicamentos y productos sanitarios, norma con la que debe contrastarse la norma autonómica cuestionada, en atención a la doctrina recogida en la STC 167/1997, de 2 de octubre, FJ 7.</w:t>
      </w:r>
    </w:p>
    <w:p w:rsidR="0026452D" w:rsidRDefault="0026452D" w:rsidP="0026452D">
      <w:pPr>
        <w:pStyle w:val="TextoNormal"/>
      </w:pPr>
    </w:p>
    <w:p w:rsidR="0026452D" w:rsidRDefault="0026452D" w:rsidP="0026452D">
      <w:pPr>
        <w:pStyle w:val="TextoNormal"/>
      </w:pPr>
      <w:r>
        <w:t xml:space="preserve">La legislación estatal está integrada, además, por la Ley 16/2003, de 28 de mayo, de cohesión y calidad del Sistema Nacional de Salud, que tiene como objetivo la equidad del Sistema, en la línea de desarrollo del principio constitucional de igualdad, que garantice el acceso a las prestaciones y, de esta manera, el derecho a la protección de la salud en condiciones de igualdad efectiva en todo el territorio, según su exposición de motivos, lo que se plasma en el principio general de prestación de los servicios a los usuarios del Sistema Nacional de Salud en condiciones de igualdad efectiva y calidad, recogido en el art. 2 a) y </w:t>
      </w:r>
      <w:r>
        <w:lastRenderedPageBreak/>
        <w:t>desarrollado en el art. 23. Por su parte, el art. 30 atribuye al Ministerio de Sanidad y Consumo la decisión sobre la financiación pública y la fijación del precio de los medicamentos y productos sanitarios, estableciendo su art. 33 que las oficinas de farmacia colaborarán con el Sistema Nacional de Salud en el desempeño de la prestación farmacéutica, correspondiendo al Ministerio, previo acuerdo del Consejo Interterritorial del Sistema Nacional de Salud, establecer los criterios generales y comunes para el desarrollo de dicha colaboración, por medio de conciertos que garanticen a los ciudadanos la dispensación en condiciones de igualdad efectiva en todo el territorio nacional, independientemente de su Comunidad Autónoma de residencia. Por tanto, en aplicación del principio general de igualdad en el acceso a las prestaciones sanitarias, de cuyo catálogo forma parte la prestación farmacéutica (art. 7.1), se impone a los conciertos con las oficinas de farmacia y, en consecuencia, a la normativa que los regule, que garanticen a los ciudadanos la dispensación de los medicamentos en condiciones de igualdad efectiva, de modo que una normativa autonómica que no asegure la realización de ese principio esencial devendría inconstitucional por vulnerar el mínimo común básico.</w:t>
      </w:r>
    </w:p>
    <w:p w:rsidR="0026452D" w:rsidRDefault="0026452D" w:rsidP="0026452D">
      <w:pPr>
        <w:pStyle w:val="TextoNormal"/>
      </w:pPr>
    </w:p>
    <w:p w:rsidR="0026452D" w:rsidRDefault="0026452D" w:rsidP="0026452D">
      <w:pPr>
        <w:pStyle w:val="TextoNormal"/>
      </w:pPr>
      <w:r>
        <w:t>Por su parte, la Ley 29/2006, al regular la receta médica en el art. 77.8, dispone que el Gobierno determinará con carácter básico sus requisitos mínimos, con el fin de asegurar la accesibilidad de todos los ciudadanos, en condiciones de igualdad efectiva, a la prestación farmacéutica del Sistema Nacional de Salud, recogiendo una concreción del principio básico que inspira todo el modelo diseñado por el legislador estatal. En el mismo sentido, el art. 88.1 de esta Ley establece el derecho de todos los ciudadanos a obtener medicamentos en condiciones de igualdad en todo el Sistema Nacional de Salud, sin perjuicio de las medidas tendentes a racionalizar la prescripción y la utilización de los medicamentos y productos sanitarios que puedan adoptar las Comunidades Autónomas en ejercicio de sus competencias. Recuerda asimismo que el precio de venta al público de los medicamentos incluidos en la prestación farmacéutica del Sistema Nacional de Salud es único en todo el territorio nacional y se fija por el Ministerio de Sanidad y Consumo por agregación de los costes de la comercialización al precio industrial máximo (art. 90.4), regulándose en el art. 93 la financiación pública a través de los precios de referencia y su forma de determinación.</w:t>
      </w:r>
    </w:p>
    <w:p w:rsidR="0026452D" w:rsidRDefault="0026452D" w:rsidP="0026452D">
      <w:pPr>
        <w:pStyle w:val="TextoNormal"/>
      </w:pPr>
    </w:p>
    <w:p w:rsidR="0026452D" w:rsidRDefault="0026452D" w:rsidP="0026452D">
      <w:pPr>
        <w:pStyle w:val="TextoNormal"/>
      </w:pPr>
      <w:r>
        <w:t>En cuanto a la concertación con las oficinas de farmacia, el art. 96 de la Ley 29/2006 prevé la concertación con las oficinas de farmacia, pero con dos requisitos inexcusables: (i) siempre quedarán sometidas a las obligaciones establecidas en la ley y su normativa de desarrollo, y tales obligaciones no pueden ser objeto de concertación; y (ii) la concertación con el Sistema Nacional de Salud ha de realizarse conforme a los criterios establecidos en el art. 88 de la propia Ley.</w:t>
      </w:r>
    </w:p>
    <w:p w:rsidR="0026452D" w:rsidRDefault="0026452D" w:rsidP="0026452D">
      <w:pPr>
        <w:pStyle w:val="TextoNormal"/>
      </w:pPr>
    </w:p>
    <w:p w:rsidR="0026452D" w:rsidRDefault="0026452D" w:rsidP="0026452D">
      <w:pPr>
        <w:pStyle w:val="TextoNormal"/>
      </w:pPr>
      <w:r>
        <w:t>Siendo principio y obligación derivado de la legislación básica estatal el establecimiento de garantías para la igualdad de todos los ciudadanos en el acceso a la prestación farmacéutica, no sería pues conforme con aquélla un sistema de concertación que no lo garantice suficientemente.</w:t>
      </w:r>
    </w:p>
    <w:p w:rsidR="0026452D" w:rsidRDefault="0026452D" w:rsidP="0026452D">
      <w:pPr>
        <w:pStyle w:val="TextoNormal"/>
      </w:pPr>
    </w:p>
    <w:p w:rsidR="0026452D" w:rsidRDefault="0026452D" w:rsidP="0026452D">
      <w:pPr>
        <w:pStyle w:val="TextoNormal"/>
      </w:pPr>
      <w:r>
        <w:t xml:space="preserve">Señala que el art. 2.1 de la Ley 29/2006 fija la obligación de las oficinas de farmacia de suministrar y dispensar los medicamentos y productos sanitarios que se les soliciten en las condiciones legal y reglamentariamente establecidas, añadiendo el art. 84.3 que dichas oficinas vienen obligadas a dispensar los medicamentos que se les demanden tanto por los </w:t>
      </w:r>
      <w:r>
        <w:lastRenderedPageBreak/>
        <w:t>ciudadanos como por el Sistema Nacional de Salud en las condiciones reglamentarias establecidas.</w:t>
      </w:r>
    </w:p>
    <w:p w:rsidR="0026452D" w:rsidRDefault="0026452D" w:rsidP="0026452D">
      <w:pPr>
        <w:pStyle w:val="TextoNormal"/>
      </w:pPr>
    </w:p>
    <w:p w:rsidR="0026452D" w:rsidRDefault="0026452D" w:rsidP="0026452D">
      <w:pPr>
        <w:pStyle w:val="TextoNormal"/>
      </w:pPr>
      <w:r>
        <w:t>Por último, en el bloque de la legislación estatal aplicable, analiza el art. 107 del texto refundido de la Ley general de la Seguridad Social de 1974, precepto declarado vigente por la disposición derogatoria única a) 2 del Real Decreto Legislativo 1/1994, de 20 de junio, por el que se aprueba el texto refundido de la Ley general de la Seguridad Social. Se trata de un precepto preconstitucional, respecto del cual sería legítimo dudar acerca de su carácter básico a la luz de la doctrina constitucional (STC 37/2002, de 14 de febrero, FJ 9), dado que el legislador básico estatal ha ejercitado su competencia con aparente plenitud mediante las Leyes 16/2003 y 29/2006. No obstante, considera que, como complemento indispensable de la legislación básica postconstitucional, participa de ese carácter, teniendo presente que las citadas leyes postconstitucionales no contienen regulación de los conciertos, sin duda por considerarlo innecesario, dada la vigencia del citado art. 107, también con carácter básico.</w:t>
      </w:r>
    </w:p>
    <w:p w:rsidR="0026452D" w:rsidRDefault="0026452D" w:rsidP="0026452D">
      <w:pPr>
        <w:pStyle w:val="TextoNormal"/>
      </w:pPr>
    </w:p>
    <w:p w:rsidR="0026452D" w:rsidRDefault="0026452D" w:rsidP="0026452D">
      <w:pPr>
        <w:pStyle w:val="TextoNormal"/>
      </w:pPr>
      <w:r>
        <w:t>No cabe duda de que, para garantizar la igualdad en el acceso a la prestación farmacéutica del Sistema Nacional de Salud, resulta imprescindible el contenido de dicho precepto, que disciplina el modelo de concertación estableciendo los principios básicos del mismo para garantizar un mínimo común denominador en todo el territorio nacional, que se concretan en los cuatro siguientes: (i) total gratuidad de los medicamentos dispensados directamente en los tratamientos que se realicen en el Sistema Nacional de Salud, (ii) obligación del beneficiario de pagar una parte de los medicamentos que se suministren a través de las oficinas de farmacia mediante recetas, (iii) obligación de las oficinas de farmacia de dispensar dichos medicamentos, y (iv) carácter vinculante de los conciertos, que fijan de modo obligatorio las condiciones económicas para la prestación farmacéutica.</w:t>
      </w:r>
    </w:p>
    <w:p w:rsidR="0026452D" w:rsidRDefault="0026452D" w:rsidP="0026452D">
      <w:pPr>
        <w:pStyle w:val="TextoNormal"/>
      </w:pPr>
    </w:p>
    <w:p w:rsidR="0026452D" w:rsidRDefault="0026452D" w:rsidP="0026452D">
      <w:pPr>
        <w:pStyle w:val="TextoNormal"/>
      </w:pPr>
      <w:r>
        <w:t>La composición de la Comisión es una cuestión puramente organizativa, que admite divergencias autonómicas sin perturbar la vigencia de dichos principios, que son complemento indispensable, básico, del sistema, porque sin la imperatividad para todas las oficinas de farmacia de las condiciones económicas concertadas se rompería la esencial garantía de acceso universal a la prestación farmacéutica en condiciones de igualdad.</w:t>
      </w:r>
    </w:p>
    <w:p w:rsidR="0026452D" w:rsidRDefault="0026452D" w:rsidP="0026452D">
      <w:pPr>
        <w:pStyle w:val="TextoNormal"/>
      </w:pPr>
    </w:p>
    <w:p w:rsidR="0026452D" w:rsidRDefault="0026452D" w:rsidP="0026452D">
      <w:pPr>
        <w:pStyle w:val="TextoNormal"/>
      </w:pPr>
      <w:r>
        <w:t>En definitiva, el modelo básico estatal, en garantía del acceso igualitario a la prestación farmacéutica, se funda en dos pilares: los criterios generales y comunes establecidos por el Estado, previo acuerdo del Consejo Interterritorial del Sistema Nacional de Salud, que vinculan a los distintos servicios de salud en la concertación con las oficinas de farmacia (art. 31.2 Ley 16/2003); y el carácter vinculante del concierto que se celebre por cada servicio de Salud con las representaciones de las oficinas de farmacia, sin necesidad de adhesión o negociación individual [arts. 2 a) y 23 de la Ley 16/2003, 88.1 de la Ley 29/2006 y 107 LGSS 1974].</w:t>
      </w:r>
    </w:p>
    <w:p w:rsidR="0026452D" w:rsidRDefault="0026452D" w:rsidP="0026452D">
      <w:pPr>
        <w:pStyle w:val="TextoNormal"/>
      </w:pPr>
    </w:p>
    <w:p w:rsidR="0026452D" w:rsidRDefault="0026452D" w:rsidP="0026452D">
      <w:pPr>
        <w:pStyle w:val="TextoNormal"/>
      </w:pPr>
      <w:r>
        <w:t>c) En la concertación con las oficinas de farmacia, los preceptos cuestionados establecen una regulación que rompe gravemente con el modelo básico.</w:t>
      </w:r>
    </w:p>
    <w:p w:rsidR="0026452D" w:rsidRDefault="0026452D" w:rsidP="0026452D">
      <w:pPr>
        <w:pStyle w:val="TextoNormal"/>
      </w:pPr>
    </w:p>
    <w:p w:rsidR="0026452D" w:rsidRDefault="0026452D" w:rsidP="0026452D">
      <w:pPr>
        <w:pStyle w:val="TextoNormal"/>
      </w:pPr>
      <w:r>
        <w:t xml:space="preserve">El art. 30.4 determina que las condiciones del acuerdo marco o las que, en su defecto, fije el Gobierno de Navarra, otorgan a las oficinas de farmacia la posibilidad de adherirse voluntariamente a tales condiciones. Respecto de las oficinas voluntariamente adheridas, el </w:t>
      </w:r>
      <w:r>
        <w:lastRenderedPageBreak/>
        <w:t>art. 29.2 dispone que el servicio de salud viene obligado a concertar la dispensación con los propietarios-titulares de las farmacias abiertas al público. El carácter voluntario e individual de esta concertación resulta también del art. 29.1, cuando proclama el derecho de los propietarios titulares de concertar, y del art. 32.2 b), que prevé la modificación de la titularidad de la oficina de farmacia como causa de extinción del concierto. La regulación cuestionada agrava las consecuencias de su aplicación si se tiene en cuenta la amplitud de las condiciones generales de la concertación, que se extiende no sólo a las condiciones económicas, sino también al horario de apertura o a los turnos de guardia [art. 31.1 a), f) y h)].</w:t>
      </w:r>
    </w:p>
    <w:p w:rsidR="0026452D" w:rsidRDefault="0026452D" w:rsidP="0026452D">
      <w:pPr>
        <w:pStyle w:val="TextoNormal"/>
      </w:pPr>
    </w:p>
    <w:p w:rsidR="0026452D" w:rsidRDefault="0026452D" w:rsidP="0026452D">
      <w:pPr>
        <w:pStyle w:val="TextoNormal"/>
      </w:pPr>
      <w:r>
        <w:t>Queda así sometido a la voluntad individual de cada oficina de farmacia la garantía del acceso en Navarra a la prestación farmacéutica, prestación pública de carácter vital. Es obligación del legislador básico estatal establecer un sistema sanitario que garantice un nivel mínimo homogéneo de acceso a la prestación farmacéutica, pudiendo las Comunidades Autónomas incorporar mejoras en función de sus disponibilidades financieras (STC 98/2004). No cabe, sin embargo, que éstas rompan el modelo básico estatal en perjuicio de los perceptores de la prestación y de la igualdad de acceso a la prestación farmacéutica, como resulta de los preceptos cuestionados en este proceso, que devienen inconstitucionales.</w:t>
      </w:r>
    </w:p>
    <w:p w:rsidR="0026452D" w:rsidRDefault="0026452D" w:rsidP="0026452D">
      <w:pPr>
        <w:pStyle w:val="TextoNormal"/>
      </w:pPr>
    </w:p>
    <w:p w:rsidR="0026452D" w:rsidRDefault="0026452D" w:rsidP="0026452D">
      <w:pPr>
        <w:pStyle w:val="TextoNormal"/>
      </w:pPr>
      <w:r w:rsidRPr="0026452D">
        <w:rPr>
          <w:rStyle w:val="NumeroAFNegritaCaracter"/>
        </w:rPr>
        <w:t>8</w:t>
      </w:r>
      <w:r>
        <w:t>. Con fecha 10 de septiembre de 2007, el Letrado de la Comunidad Foral de Navarra se personó en nombre del Gobierno de Navarra y formuló alegaciones, complementadas mediante escrito presentado con fecha 8 de noviembre de 2007, que concluye interesando que se dicte Sentencia desestimatoria, en atención a los argumentos que seguidamente se sintetizan.</w:t>
      </w:r>
    </w:p>
    <w:p w:rsidR="0026452D" w:rsidRDefault="0026452D" w:rsidP="0026452D">
      <w:pPr>
        <w:pStyle w:val="TextoNormal"/>
      </w:pPr>
    </w:p>
    <w:p w:rsidR="0026452D" w:rsidRDefault="0026452D" w:rsidP="0026452D">
      <w:pPr>
        <w:pStyle w:val="TextoNormal"/>
      </w:pPr>
      <w:r>
        <w:t>a) De la mera lectura de los preceptos cuestionados se infiere con claridad que la materia sobre la que versa la presente cuestión de inconstitucionalidad se refiere a la gestión de una prestación sanitaria, cual es la dispensación de medicamentos y productos sanitarios, cuya prestación y financiación corresponde a la Comunidad Foral de Navarra. No se refiere por tanto a derechos de los ciudadanos ni al régimen económico de la Seguridad Social, sino que trata de articular la colaboración de los farmacéuticos con el Servicio Navarro de Salud en relación con dicha prestación sanitaria de dispensación de medicamentos.</w:t>
      </w:r>
    </w:p>
    <w:p w:rsidR="0026452D" w:rsidRDefault="0026452D" w:rsidP="0026452D">
      <w:pPr>
        <w:pStyle w:val="TextoNormal"/>
      </w:pPr>
    </w:p>
    <w:p w:rsidR="0026452D" w:rsidRDefault="0026452D" w:rsidP="0026452D">
      <w:pPr>
        <w:pStyle w:val="TextoNormal"/>
      </w:pPr>
      <w:r>
        <w:t>Descartando la aplicación del resto de los títulos competenciales citados en el Auto de planteamiento, encuadra las competencias estatales y autonómicas en el ámbito del art. 149.1.16 CE, que atribuye al Estado la competencia exclusiva sobre las bases y la coordinación general de la sanidad, y de los arts. 53.1 y 58.1 g) LORAFNA, en cuya virtud corresponde a la Comunidad Foral la competencia, bien exclusiva, bien de desarrollo legislativo y ejecución, en materia de sanidad y productos farmacéuticos, incluyendo la concertación con titulares de oficinas de farmacia para la dispensación de medicamentos y productos sanitarios, en cuyo ejercicio habrá de respetar las normas básicas que dicte el Estado sobre la materia.</w:t>
      </w:r>
    </w:p>
    <w:p w:rsidR="0026452D" w:rsidRDefault="0026452D" w:rsidP="0026452D">
      <w:pPr>
        <w:pStyle w:val="TextoNormal"/>
      </w:pPr>
    </w:p>
    <w:p w:rsidR="0026452D" w:rsidRDefault="0026452D" w:rsidP="0026452D">
      <w:pPr>
        <w:pStyle w:val="TextoNormal"/>
      </w:pPr>
      <w:r>
        <w:t>El art. 33 de la Ley 16/2003 no puede constituir en ningún caso parámetro de constitucionalidad de los preceptos cuestionados, toda vez que dicha ley entró en vigor con posterioridad a la Ley Foral 12/2000, siendo evidente que ésta no pudo tener en cuenta aquella regulación.</w:t>
      </w:r>
    </w:p>
    <w:p w:rsidR="0026452D" w:rsidRDefault="0026452D" w:rsidP="0026452D">
      <w:pPr>
        <w:pStyle w:val="TextoNormal"/>
      </w:pPr>
    </w:p>
    <w:p w:rsidR="0026452D" w:rsidRDefault="0026452D" w:rsidP="0026452D">
      <w:pPr>
        <w:pStyle w:val="TextoNormal"/>
      </w:pPr>
      <w:r>
        <w:lastRenderedPageBreak/>
        <w:t>De la Ley 25/1990 se deriva la competencia de la Comunidad Foral de Navarra para dictar normas sobre concertación entre titulares de oficinas de farmacia y el Servicio Navarro de Salud para la dispensación de medicamentos. Y los preceptos cuestionados han respetado la legislación básica estatal contemplada en los arts. 107.4 LGSS 1974 y 93 y 97 de la Ley 25/1990.</w:t>
      </w:r>
    </w:p>
    <w:p w:rsidR="0026452D" w:rsidRDefault="0026452D" w:rsidP="0026452D">
      <w:pPr>
        <w:pStyle w:val="TextoNormal"/>
      </w:pPr>
    </w:p>
    <w:p w:rsidR="0026452D" w:rsidRDefault="0026452D" w:rsidP="0026452D">
      <w:pPr>
        <w:pStyle w:val="TextoNormal"/>
      </w:pPr>
      <w:r>
        <w:t>b) La regulación que establece el art. 97 de la Ley 25/1990, que tiene carácter básico, presenta algunas diferencias con la que contenía el art. 107.4 LGSS 1974, que si bien no ha sido derogado expresamente por el Real Decreto Legislativo 1/1994, únicamente se mantiene vigente en lo que no se oponga al art. 94 de la Ley 25/1990, de acuerdo con la disposición adicional séptima de este texto legal.</w:t>
      </w:r>
    </w:p>
    <w:p w:rsidR="0026452D" w:rsidRDefault="0026452D" w:rsidP="0026452D">
      <w:pPr>
        <w:pStyle w:val="TextoNormal"/>
      </w:pPr>
    </w:p>
    <w:p w:rsidR="0026452D" w:rsidRDefault="0026452D" w:rsidP="0026452D">
      <w:pPr>
        <w:pStyle w:val="TextoNormal"/>
      </w:pPr>
      <w:r>
        <w:t>Del contraste entre ambas regulaciones, se extraen dos diferencias fundamentales: en primer lugar, la Ley 25/1990 configura la concertación con carácter opcional, frente al carácter necesario previsto en el texto refundido de la Ley general de la Seguridad Social de 1974; y, en segundo lugar, la Ley 25/1990 contempla la concertación con las oficinas de farmacia, a diferencia del citado texto refundido de 1974, que preveía la concertación a través de los colegios oficiales de farmacéuticos, limitándola a los precios y las condiciones económicas. A la vista de tales diferencias, cabe concluir que la regulación estatal básica en materia de conciertos está recogida en el art. 97.2 de la Ley 25/1990. Esta regulación prevé la concertación, de carácter opcional, entre el Sistema Nacional de Salud y las oficinas de farmacia, sin limitar el contenido de los conciertos únicamente a las condiciones económicas.</w:t>
      </w:r>
    </w:p>
    <w:p w:rsidR="0026452D" w:rsidRDefault="0026452D" w:rsidP="0026452D">
      <w:pPr>
        <w:pStyle w:val="TextoNormal"/>
      </w:pPr>
    </w:p>
    <w:p w:rsidR="0026452D" w:rsidRDefault="0026452D" w:rsidP="0026452D">
      <w:pPr>
        <w:pStyle w:val="TextoNormal"/>
      </w:pPr>
      <w:r>
        <w:t>La Ley Foral 12/2000 no prevé dos tipos de farmacias, sino que reconoce el derecho de todos los propietarios-titulares de oficinas de farmacia abiertas al público a la concertación con el Servicio Navarro de Salud (art. 29.1), así como la obligación de dicho servicio de concertar con todos los que se hayan adherido voluntariamente al acuerdo marco sobre condiciones para dicha concertación (art. 29.2). La concertación con los propietarios-titulares es equiparable a la concertación con las oficinas de farmacia, ya que la legislación básica estatal ha consagrado la titularidad exclusiva de los licenciados en Farmacia (arts. 29 y 32).</w:t>
      </w:r>
    </w:p>
    <w:p w:rsidR="0026452D" w:rsidRDefault="0026452D" w:rsidP="0026452D">
      <w:pPr>
        <w:pStyle w:val="TextoNormal"/>
      </w:pPr>
    </w:p>
    <w:p w:rsidR="0026452D" w:rsidRDefault="0026452D" w:rsidP="0026452D">
      <w:pPr>
        <w:pStyle w:val="TextoNormal"/>
      </w:pPr>
      <w:r>
        <w:t xml:space="preserve">Tampoco el art. 32 prevé dos tipos de farmacias, siendo de aplicación las consideraciones realizadas precedentemente respecto del art. 29.2 del mismo texto legal. En cuanto al establecimiento de varias causas para la extinción del concierto, no son contrarias al supuesto régimen unitario, universal y general establecido por la legislación básica estatal, pues no puede entenderse que estemos ante un </w:t>
      </w:r>
      <w:r w:rsidRPr="0026452D">
        <w:rPr>
          <w:i/>
        </w:rPr>
        <w:t>numerus clausus</w:t>
      </w:r>
      <w:r>
        <w:t xml:space="preserve"> de causas de extinción. El art. 49.1 d) LORAFNA reconoce a la Comunidad Foral de Navarra competencia exclusiva sobre contratos y concesiones, sin más límite que el respeto a los principios esenciales de la legislación básica del Estado, entre los que no se cuentan las causas de extinción. En desarrollo de esta competencia, la Ley Foral 6/2006, de contratos públicos, a la que remite expresamente el art. 32 de la Ley Foral 12/2000, establece una serie de causas de extinción que no coincide con las indicadas en la legislación estatal.</w:t>
      </w:r>
    </w:p>
    <w:p w:rsidR="0026452D" w:rsidRDefault="0026452D" w:rsidP="0026452D">
      <w:pPr>
        <w:pStyle w:val="TextoNormal"/>
      </w:pPr>
    </w:p>
    <w:p w:rsidR="0026452D" w:rsidRDefault="0026452D" w:rsidP="0026452D">
      <w:pPr>
        <w:pStyle w:val="TextoNormal"/>
      </w:pPr>
      <w:r>
        <w:t>El art. 31 de la Ley foral tampoco es contrario al art. 107.4 LGSS 1974. El precepto estatal se refiere a la concertación de la Seguridad Social con laboratorios y farmacias de los precios y demás condiciones económicas sobre adquisición y dispensación de medica</w:t>
      </w:r>
      <w:r>
        <w:lastRenderedPageBreak/>
        <w:t>mentos, en tanto que el precepto cuestionado en ningún caso regula precios de los medicamentos o márgenes comerciales de los farmacéuticos, sino aspectos relacionados con la gestión de la prestación farmacéutica. De ahí que se extienda a una serie de cuestiones que no exceden de su objeto, sino que se encuentran estrechamente vinculadas con dicha prestación, tales como el horario de apertura o la calidad de prestación del servicio, respecto de los farmacéuticos que se adhieran a la concertación. No queda sin regulación el horario y turnos de guardia de las farmacias no adheridas, como se deduce del art. 22 de la Ley Foral 12/2000.</w:t>
      </w:r>
    </w:p>
    <w:p w:rsidR="0026452D" w:rsidRDefault="0026452D" w:rsidP="0026452D">
      <w:pPr>
        <w:pStyle w:val="TextoNormal"/>
      </w:pPr>
    </w:p>
    <w:p w:rsidR="0026452D" w:rsidRDefault="0026452D" w:rsidP="0026452D">
      <w:pPr>
        <w:pStyle w:val="TextoNormal"/>
      </w:pPr>
      <w:r>
        <w:t>El art. 28, al regular la composición de la Comisión de Atención Farmacéutica, no vulnera la legislación estatal. Es un órgano de encuentro de todos los implicados en la prestación farmacéutica, que no tiene las mismas funciones que la Comisión de Atención Farmacéutica estatal, y que constituye manifestación de la potestad organizativa de la Comunidad Foral. También son extensibles estas consideraciones al art. 30.</w:t>
      </w:r>
    </w:p>
    <w:p w:rsidR="0026452D" w:rsidRDefault="0026452D" w:rsidP="0026452D">
      <w:pPr>
        <w:pStyle w:val="TextoNormal"/>
      </w:pPr>
    </w:p>
    <w:p w:rsidR="0026452D" w:rsidRDefault="0026452D" w:rsidP="0026452D">
      <w:pPr>
        <w:pStyle w:val="TextoNormal"/>
      </w:pPr>
      <w:r w:rsidRPr="0026452D">
        <w:rPr>
          <w:rStyle w:val="NumeroAFNegritaCaracter"/>
        </w:rPr>
        <w:t>9</w:t>
      </w:r>
      <w:r>
        <w:t>. Mediante escrito que tuvo entrada en el Registro General de este Tribunal el 7 de septiembre de 2007, complementado por otro escrito presentado el 14 de noviembre de 2007, la representación procesal del Parlamento de Navarra se personó en nombre del mismo y formuló las alegaciones que se resumen a continuación.</w:t>
      </w:r>
    </w:p>
    <w:p w:rsidR="0026452D" w:rsidRDefault="0026452D" w:rsidP="0026452D">
      <w:pPr>
        <w:pStyle w:val="TextoNormal"/>
      </w:pPr>
    </w:p>
    <w:p w:rsidR="0026452D" w:rsidRDefault="0026452D" w:rsidP="0026452D">
      <w:pPr>
        <w:pStyle w:val="TextoNormal"/>
      </w:pPr>
      <w:r>
        <w:t>a) La regulación cuestionada contiene como elementos más destacados el reconocimiento legal expreso del derecho de los propietarios-titulares de oficinas de farmacia abiertas al público a la concertación con la Administración, la cual a su vez queda obligada a concertar la dispensación de los medicamentos con cobertura pública del Sistema Nacional de Salud, en el ámbito de un acuerdo marco que previamente ha establecido las condiciones de dicha concertación. En un plano estrictamente organizativo, las condiciones de la concertación son negociables a través de una Subcomisión paritaria, cuyos acuerdos han de ser ratificados por la Comisión de Atención Farmacéutica de Navarra, configurada como un órgano de encuentro de todos los implicados en materia de prestación farmacéutica.</w:t>
      </w:r>
    </w:p>
    <w:p w:rsidR="0026452D" w:rsidRDefault="0026452D" w:rsidP="0026452D">
      <w:pPr>
        <w:pStyle w:val="TextoNormal"/>
      </w:pPr>
    </w:p>
    <w:p w:rsidR="0026452D" w:rsidRDefault="0026452D" w:rsidP="0026452D">
      <w:pPr>
        <w:pStyle w:val="TextoNormal"/>
      </w:pPr>
      <w:r>
        <w:t>El marco normativo básico que afecta a las oficinas de farmacia aparece integrado por la Ley 14/1986, de 25 de abril, general de Sanidad, cuyo título IV establece la regulación básica de los conciertos sanitarios, la Ley 16/1997, de 5 de abril, por la que se regulan los servicios de oficinas de farmacia, y la Ley 29/2006, de 26 de julio, de garantías y uso racional de los medicamentos, que ha sustituido a la Ley 25/1990, de 20 de diciembre, del medicamento.</w:t>
      </w:r>
    </w:p>
    <w:p w:rsidR="0026452D" w:rsidRDefault="0026452D" w:rsidP="0026452D">
      <w:pPr>
        <w:pStyle w:val="TextoNormal"/>
      </w:pPr>
    </w:p>
    <w:p w:rsidR="0026452D" w:rsidRDefault="0026452D" w:rsidP="0026452D">
      <w:pPr>
        <w:pStyle w:val="TextoNormal"/>
      </w:pPr>
      <w:r>
        <w:t xml:space="preserve">Dentro del Sistema Nacional de Salud se integra una serie de prestaciones públicas tendentes a hacer efectivo el derecho constitucional a la protección de la salud, entre ellos el derecho a obtener medicamentos y productos sanitarios (art. 10 de la Ley 14/1986), si bien la prestación farmacéutica, como prestación pública sanitaria, comprende asimismo el conjunto de actuaciones precisas para que los beneficiarios reciban y utilicen adecuadamente aquéllos, con la información precisa y al menor coste posible. Esta concepción integral es la que preside el régimen legal específico de la colaboración con las oficinas de farmacia (art. 96 de la Ley 29/2006), que se materializa tanto a través de determinaciones normativas como mediante el mecanismo del concierto sanitario, porque las oficinas de farmacia son establecimientos sanitarios pero de titularidad privada y, en consecuencia (art. 90 de la Ley 14/1986), para la dispensación de medicamentos sujetos a algún tipo de cobertura pública </w:t>
      </w:r>
      <w:r>
        <w:lastRenderedPageBreak/>
        <w:t>sanitaria, resulta preciso instrumentar la colaboración a través del concierto, que será el que determine las condiciones de la misma en todos los aspectos que afectan a la dispensación de medicamentos incluidos en la prestación farmacéutica.</w:t>
      </w:r>
    </w:p>
    <w:p w:rsidR="0026452D" w:rsidRDefault="0026452D" w:rsidP="0026452D">
      <w:pPr>
        <w:pStyle w:val="TextoNormal"/>
      </w:pPr>
    </w:p>
    <w:p w:rsidR="0026452D" w:rsidRDefault="0026452D" w:rsidP="0026452D">
      <w:pPr>
        <w:pStyle w:val="TextoNormal"/>
      </w:pPr>
      <w:r>
        <w:t>La regulación foral cuestionada tiene un sólido anclaje en la normativa estatal y respeta el marco básico, desarrollando las competencias de la Comunidad Foral (arts. 53 y 54 LORAFNA) al concretar las condiciones para la prestación del servicio farmacéutico a través de la figura del acuerdo marco, bajo el principio del reconocimiento expreso del derecho a la concertación.</w:t>
      </w:r>
    </w:p>
    <w:p w:rsidR="0026452D" w:rsidRDefault="0026452D" w:rsidP="0026452D">
      <w:pPr>
        <w:pStyle w:val="TextoNormal"/>
      </w:pPr>
    </w:p>
    <w:p w:rsidR="0026452D" w:rsidRDefault="0026452D" w:rsidP="0026452D">
      <w:pPr>
        <w:pStyle w:val="TextoNormal"/>
      </w:pPr>
      <w:r>
        <w:t>b) Con independencia de su grado de vigencia y aplicabilidad (disposición adicional séptima de la Ley 25/1990), resulta inexacto considerar que el art. 107 LGSS 1974 sea desarrollo de las competencias estatales enunciadas en el Auto de planteamiento, por su naturaleza preconstitucional, por la no integración de sus contenidos en ninguna de las normas dictadas por el Estado en desarrollo del art. 149.1.16 CE y, en definitiva, por no reunir los requisitos de índole formal y material exigidos por la jurisprudencia constitucional (SSTC 98/2004, de 25 de mayo, y 101/2005, de 5 de abril), ya que ni está calificado como básico ni regula cuestiones esenciales y fundamentales en materia de sanidad. Cabe deducir que pudiera haber estado temporalmente vigente como mera legislación estatal aplicable en el ámbito de competencias de la Administración estatal hasta que culminó la plena descentralización de la asistencia sanitaria y, a lo sumo, como Derecho supletorio (art. 149.3 CE), habiendo sido desplazado en la Comunidad Foral de Navarra con la aprobación de la Ley Foral 12/2000.</w:t>
      </w:r>
    </w:p>
    <w:p w:rsidR="0026452D" w:rsidRDefault="0026452D" w:rsidP="0026452D">
      <w:pPr>
        <w:pStyle w:val="TextoNormal"/>
      </w:pPr>
    </w:p>
    <w:p w:rsidR="0026452D" w:rsidRDefault="0026452D" w:rsidP="0026452D">
      <w:pPr>
        <w:pStyle w:val="TextoNormal"/>
      </w:pPr>
      <w:r>
        <w:t>El régimen de control e intervención de los precios de los medicamentos se concreta en la actualidad en los arts. 90 y siguientes de la Ley 29/2006, atribuyendo a órganos estatales el régimen general de fijación de los precios de los medicamentos y productos sanitarios incluidos en la prestación farmacéutica, las cuantías económicas correspondientes a su distribución y dispensación, y la determinación del precio de venta al público. Por tanto, el régimen del art. 107.4 LGSS 1974 quiebra ya en su pieza esencial, su objeto. De estar vigente, se ha visto profundamente afectado por el art. 97 de la Ley 25/1990, que suprime el carácter obligatorio de la concertación, modifica las previsiones sobre los sujetos llamados a suscribir los conciertos y omite cualquier referencia a la representación corporativa. Su alcance y finalidad no sería ya concertar los precios de los medicamentos, sino la articulación de un mecanismo por el que el farmacéutico, sin cobrar el importe íntegro de las recetas del Sistema Nacional de Salud, recupera después este importe de la Administración, y ello reduce el objeto a un procedimiento de facturación y reintegro.</w:t>
      </w:r>
    </w:p>
    <w:p w:rsidR="0026452D" w:rsidRDefault="0026452D" w:rsidP="0026452D">
      <w:pPr>
        <w:pStyle w:val="TextoNormal"/>
      </w:pPr>
    </w:p>
    <w:p w:rsidR="0026452D" w:rsidRDefault="0026452D" w:rsidP="0026452D">
      <w:pPr>
        <w:pStyle w:val="TextoNormal"/>
      </w:pPr>
      <w:r>
        <w:t>Lo anterior excluye que el precepto tenga incidencia alguna sobre el régimen económico de la Seguridad Social, como tampoco la tienen los arts. 28 a 32 de la Ley Foral 12/2000, porque su contenido no guarda relación con la financiación pública de los medicamentos ni con el alcance de la aportación económica de los usuarios del Sistema Nacional de Salud, y tampoco tiene vinculación con el derecho a la prestación farmacéutica en condiciones de igualdad efectiva, con el que no guarda ninguna conexión objetiva.</w:t>
      </w:r>
    </w:p>
    <w:p w:rsidR="0026452D" w:rsidRDefault="0026452D" w:rsidP="0026452D">
      <w:pPr>
        <w:pStyle w:val="TextoNormal"/>
      </w:pPr>
    </w:p>
    <w:p w:rsidR="0026452D" w:rsidRDefault="0026452D" w:rsidP="0026452D">
      <w:pPr>
        <w:pStyle w:val="TextoNormal"/>
      </w:pPr>
      <w:r>
        <w:t xml:space="preserve">La prestación farmacéutica no es una prestación de la Seguridad Social, y por ello no cabe integrarla en el régimen económico de la Seguridad Social, al no financiarse con cargo a sus fondos y ser, como disponen los arts. 7, 10 y 16 de la Ley 16/2003, una prestación </w:t>
      </w:r>
      <w:r>
        <w:lastRenderedPageBreak/>
        <w:t>sanitaria del Sistema Nacional de Salud, cuya responsabilidad financiera corresponde a las Comunidades Autónomas. Este planteamiento ha sido ratificado por la STC 98/2004, FJ 9.</w:t>
      </w:r>
    </w:p>
    <w:p w:rsidR="0026452D" w:rsidRDefault="0026452D" w:rsidP="0026452D">
      <w:pPr>
        <w:pStyle w:val="TextoNormal"/>
      </w:pPr>
    </w:p>
    <w:p w:rsidR="0026452D" w:rsidRDefault="0026452D" w:rsidP="0026452D">
      <w:pPr>
        <w:pStyle w:val="TextoNormal"/>
      </w:pPr>
      <w:r>
        <w:t>c) Los arts. 93 y 97 de la Ley 25/1990 actualmente encuentran su correspondencia en los arts. 88 y 96 de la Ley 29/2006, de los que no es posible deducir contradicción alguna con la normativa navarra. Tampoco existe colisión entre las previsiones de la Ley Foral y las funciones atribuidas al Consejo Interterritorial del Sistema Nacional de Salud en dicho art. 88 o las que el art. 33 de la Ley 16/2003 atribuye al Ministerio de Sanidad.</w:t>
      </w:r>
    </w:p>
    <w:p w:rsidR="0026452D" w:rsidRDefault="0026452D" w:rsidP="0026452D">
      <w:pPr>
        <w:pStyle w:val="TextoNormal"/>
      </w:pPr>
    </w:p>
    <w:p w:rsidR="0026452D" w:rsidRDefault="0026452D" w:rsidP="0026452D">
      <w:pPr>
        <w:pStyle w:val="TextoNormal"/>
      </w:pPr>
      <w:r>
        <w:t>Desde la perspectiva del art. 149.1.1 CE, si bien cabría relacionar la regulación estatal con el principio de igualdad efectiva en las prestaciones básicas de salud, esa conexión es indirecta, instrumental, porque se refiere más a aspectos organizativos que prestacionales. Tanto el art. 96 de la Ley 29/2006 como el art. 33 de la Ley 16/2003 se encuadran, fundamentalmente, en las bases y coordinación general de la sanidad del art. 149.1.16 CE. Para contrastar una regulación autonómica con la regla del art. 149.1.1 CE, habría que acudir necesariamente a aquellas normas estatales que recojan los contenidos mínimos y sustantivos que conforman la prestación sanitaria de que se trate, y el derecho del ciudadano a recibirla. Y ese contenido remite al catálogo de prestaciones, a los derechos reconocidos en relación con la prestación farmacéutica y a las garantías necesarias para hacerlos efectivos, esto es, a los arts. 7, 10, 12, 16 y 23, entre otros, de la Ley 16 /2003, sin que parezca necesario verificar la adecuación de la regulación foral a este régimen prestacional básico, porque los preceptos que lo integran no han sido invocados en el Auto de planteamiento, faltando así el canon de referencia para realizar el juicio de constitucionalidad (SSTC 61/1997, de 20 de marzo, 109/2003, de 5 de junio, 152/2003, de 17 de julio, y 98/2004, de 25 de mayo).</w:t>
      </w:r>
    </w:p>
    <w:p w:rsidR="0026452D" w:rsidRDefault="0026452D" w:rsidP="0026452D">
      <w:pPr>
        <w:pStyle w:val="TextoNormal"/>
      </w:pPr>
    </w:p>
    <w:p w:rsidR="0026452D" w:rsidRDefault="0026452D" w:rsidP="0026452D">
      <w:pPr>
        <w:pStyle w:val="TextoNormal"/>
      </w:pPr>
      <w:r>
        <w:t>d) Entrando en el análisis individualizado de los preceptos cuestionados, el art. 28, apartados 1 y 3, regula un órgano colegiado que busca el equilibrio de intereses entre la representación social y corporativa de los farmacéuticos, y que la Comunidad Foral ha creado en ejercicio de sus facultades de autoorganización (STC 251/2006, de 25 de julio) y de la competencia que tiene atribuida en virtud del art. 53, apartados 1 y 2, LORAFNA. Ni siquiera resulta posible llevar a cabo un juicio comparativo con el art. 107.4 LGSS 1974, ya que éste no prevé órgano colegiado alguno, salvo en caso de desacuerdo para el concierto o por imposibilidad de su aplicación. Tras la entrada en vigor de la Constitución, con un reconocimiento pleno del derecho de asociación, la representación de intereses no puede ser monopolizada por las organizaciones corporativas, habiendo sido derogado el art. 5.c) de la Ley 2/1974, de 13 de febrero, de colegios profesionales, que les atribuía la función de servir de vía de participación orgánica en las tareas de interés general. Hoy los colegios profesionales tienen la función representativa que establezcan las leyes, concepto referido tanto a las estatales como a las autonómicas, siempre que se dicten en el ámbito de sus respectivas competencias.</w:t>
      </w:r>
    </w:p>
    <w:p w:rsidR="0026452D" w:rsidRDefault="0026452D" w:rsidP="0026452D">
      <w:pPr>
        <w:pStyle w:val="TextoNormal"/>
      </w:pPr>
    </w:p>
    <w:p w:rsidR="0026452D" w:rsidRDefault="0026452D" w:rsidP="0026452D">
      <w:pPr>
        <w:pStyle w:val="TextoNormal"/>
      </w:pPr>
      <w:r>
        <w:t xml:space="preserve">El carácter voluntario de la adhesión al acuerdo marco recogido en el art. 29.2 no entra en contradicción con la normativa básica reguladora de los conciertos, ni con el régimen jurídico básico aplicable a las oficinas de farmacia. No cabe objetar que la dispensación de medicamentos es un deber legal que se impone a las oficinas de farmacia, con el efecto del automatismo en la concertación. Las pretendidas diferencias entre el carácter voluntario u obligatorio de la concertación no existen, pues tanto en la regulación estatal (art. 97 de la </w:t>
      </w:r>
      <w:r>
        <w:lastRenderedPageBreak/>
        <w:t>Ley 25/1990) como en la autonómica se configura como obligatorio para el sujeto público, y como voluntaria para el farmacéutico. La obligación de dispensación es genérica y se predica de las oficinas de farmacia; pero, en todo caso, la responsabilidad en relación con la prestación farmacéutica es pública, y corresponde al Sistema Nacional de Salud hacerla efectiva, sin que se transfiera el deber de prestación a la oficina de farmacia, cuya función se circunscribe al ámbito de la colaboración necesaria que permita materializar la prestación. No obstante, tal colaboración no es incondicionada ni automática, sino que debe realizarse cumpliendo los requisitos legales, entre los que se encuentran los vinculados al régimen de concertación. Al titular de la oficina de farmacia se le podrá reconocer en abstracto un derecho-deber en relación con la dispensación de medicamentos, pero no la obligación de atender las recetas del Sistema Nacional de Salud si no ha concertado con la Administración sanitaria y, por ello, no se encuentra en la situación de poder exigir el importe económico de la aportación pública.</w:t>
      </w:r>
    </w:p>
    <w:p w:rsidR="0026452D" w:rsidRDefault="0026452D" w:rsidP="0026452D">
      <w:pPr>
        <w:pStyle w:val="TextoNormal"/>
      </w:pPr>
    </w:p>
    <w:p w:rsidR="0026452D" w:rsidRDefault="0026452D" w:rsidP="0026452D">
      <w:pPr>
        <w:pStyle w:val="TextoNormal"/>
      </w:pPr>
      <w:r>
        <w:t>El carácter voluntario de la concertación para las oficinas de farmacia no choca con el deber de prestación farmacéutica, que subsiste como deber general, con independencia del sistema (voluntariamente concertado o no) de articulación de dicha prestación, como se deduce del art. 97 de la Ley 25/1990.</w:t>
      </w:r>
    </w:p>
    <w:p w:rsidR="0026452D" w:rsidRDefault="0026452D" w:rsidP="0026452D">
      <w:pPr>
        <w:pStyle w:val="TextoNormal"/>
      </w:pPr>
    </w:p>
    <w:p w:rsidR="0026452D" w:rsidRDefault="0026452D" w:rsidP="0026452D">
      <w:pPr>
        <w:pStyle w:val="TextoNormal"/>
      </w:pPr>
      <w:r>
        <w:t>Tampoco el carácter voluntario del concierto puede producir efectos perjudiciales al beneficiario de la prestación, puesto que el sistema de planificación establecido en la Ley Foral permite garantizar las prestaciones y su accesibilidad, mediante el incremento del número de farmacias (art. 26.2).</w:t>
      </w:r>
    </w:p>
    <w:p w:rsidR="0026452D" w:rsidRDefault="0026452D" w:rsidP="0026452D">
      <w:pPr>
        <w:pStyle w:val="TextoNormal"/>
      </w:pPr>
    </w:p>
    <w:p w:rsidR="0026452D" w:rsidRDefault="0026452D" w:rsidP="0026452D">
      <w:pPr>
        <w:pStyle w:val="TextoNormal"/>
      </w:pPr>
      <w:r>
        <w:t>Afirmar la exigencia de concierto corporativo supone negar a los titulares de las oficinas de farmacia derechos elementalísimos como el de contratar o el de percibir directamente los ingresos que se deriven de su actividad, sin necesidad de intermediación colegial, que impone restricciones a la libertad que no encuentran cobertura alguna en la legislación sobre colegios profesionales. La discrepancia real estriba en una cuestión burocrática: si se factura individualmente o a través del colegio profesional. Y dicha discrepancia carece de contenido constitucional, teniendo en cuenta además que esa función colegial ha sido sustancialmente modificada por la Ley 7/1997, de 14 de abril, de medidas liberalizadoras en materia de suelo y de colegios profesionales, que modifica el art. 5 p) de la Ley 2/1974 para establecer que los colegios podrán encargarse del cobro de las percepciones, remuneraciones u honorarios profesionales sólo cuando el colegiado lo solicite libre y expresamente.</w:t>
      </w:r>
    </w:p>
    <w:p w:rsidR="0026452D" w:rsidRDefault="0026452D" w:rsidP="0026452D">
      <w:pPr>
        <w:pStyle w:val="TextoNormal"/>
      </w:pPr>
    </w:p>
    <w:p w:rsidR="0026452D" w:rsidRDefault="0026452D" w:rsidP="0026452D">
      <w:pPr>
        <w:pStyle w:val="TextoNormal"/>
      </w:pPr>
      <w:r>
        <w:t>En cuanto al régimen de las farmacias no adheridas, como todas las demás, por su consideración como servicio de interés público, están sometidas a la legislación vigente tanto estatal como autonómica, por lo que quedarían únicamente exceptuadas de las obligaciones directamente vinculadas a la concertación, pero manteniéndose en plenitud el régimen de intervención administrativa que disciplina la actividad. Así lo dispone el art. 22 de la Ley Foral 12/2000 y el Decreto Foral 129/2003, de 26 de mayo.</w:t>
      </w:r>
    </w:p>
    <w:p w:rsidR="0026452D" w:rsidRDefault="0026452D" w:rsidP="0026452D">
      <w:pPr>
        <w:pStyle w:val="TextoNormal"/>
      </w:pPr>
    </w:p>
    <w:p w:rsidR="0026452D" w:rsidRDefault="0026452D" w:rsidP="0026452D">
      <w:pPr>
        <w:pStyle w:val="TextoNormal"/>
      </w:pPr>
      <w:r>
        <w:t xml:space="preserve">Finalmente, la regulación del art. 32 no guarda relación con el proceso </w:t>
      </w:r>
      <w:r w:rsidRPr="0026452D">
        <w:rPr>
          <w:i/>
        </w:rPr>
        <w:t>a quo</w:t>
      </w:r>
      <w:r>
        <w:t>, por lo que no resulta necesario su enjuiciamiento por el Tribunal.</w:t>
      </w:r>
    </w:p>
    <w:p w:rsidR="0026452D" w:rsidRDefault="0026452D" w:rsidP="0026452D">
      <w:pPr>
        <w:pStyle w:val="TextoNormal"/>
      </w:pPr>
    </w:p>
    <w:p w:rsidR="0026452D" w:rsidRDefault="0026452D" w:rsidP="0026452D">
      <w:pPr>
        <w:pStyle w:val="TextoNormal"/>
      </w:pPr>
      <w:r>
        <w:t xml:space="preserve">Concluye el primer escrito de alegaciones solicitando la inadmisión de la cuestión en relación con los arts. 28, 1 y 3, 29.1 y 32, y la desestimación en lo demás, si bien el segundo </w:t>
      </w:r>
      <w:r>
        <w:lastRenderedPageBreak/>
        <w:t>solicita la inadmisión de la cuestión de inconstitucionalidad, y la declaración de constitucionalidad de todos los artículos afectados por el Auto de planteamiento.</w:t>
      </w:r>
    </w:p>
    <w:p w:rsidR="0026452D" w:rsidRDefault="0026452D" w:rsidP="0026452D">
      <w:pPr>
        <w:pStyle w:val="TextoNormal"/>
      </w:pPr>
    </w:p>
    <w:p w:rsidR="0026452D" w:rsidRDefault="0026452D" w:rsidP="0026452D">
      <w:pPr>
        <w:pStyle w:val="TextoNormal"/>
      </w:pPr>
      <w:r w:rsidRPr="0026452D">
        <w:rPr>
          <w:rStyle w:val="NumeroAFNegritaCaracter"/>
        </w:rPr>
        <w:t>10</w:t>
      </w:r>
      <w:r>
        <w:t>. El Fiscal General del Estado presentó su escrito de alegaciones ante este Tribunal con fecha 28 de septiembre de 2007, interesando la estimación parcial de la presente cuestión de inconstitucionalidad, concretamente en lo que se refiere a los arts. 29, 31.2 f) y 32 de la Ley Foral 12/2000, por los motivos que se resumen a continuación.</w:t>
      </w:r>
    </w:p>
    <w:p w:rsidR="0026452D" w:rsidRDefault="0026452D" w:rsidP="0026452D">
      <w:pPr>
        <w:pStyle w:val="TextoNormal"/>
      </w:pPr>
    </w:p>
    <w:p w:rsidR="0026452D" w:rsidRDefault="0026452D" w:rsidP="0026452D">
      <w:pPr>
        <w:pStyle w:val="TextoNormal"/>
      </w:pPr>
      <w:r>
        <w:t>a) Tras constatar que no concurren óbices procesales, y que no existe duda alguna respecto del juicio de relevancia efectuado en el Auto de planteamiento, inicia el estudio de fondo sobre las dudas de inconstitucionalidad exponiendo el contenido de la legislación estatal aplicable (arts. 107.4 LGSS 1974, 93 de la Ley 25/1990 y 33.2 de la Ley 16/2003) y la doctrina constitucional relativa a la normativa básica, con cita de la STC 109/2003, de 1 de julio, FJ 4, entre otras, para concluir que los arts. 93 de la Ley 25/1990 y 33.2 de la Ley 16/2003 han sido formalmente identificados por las Cortes Generales como preceptos básicos, deduciéndose igualmente tal condición de su contenido, desde una perspectiva material, en la medida en que regulan un núcleo de interés general a modo de común denominador regulativo de la materia afectada, la dispensación de medicamentos a los ciudadanos en condiciones de igualdad en todo el territorio nacional, principio ahora explicitado en el art. 88 de la Ley 29/2006.</w:t>
      </w:r>
    </w:p>
    <w:p w:rsidR="0026452D" w:rsidRDefault="0026452D" w:rsidP="0026452D">
      <w:pPr>
        <w:pStyle w:val="TextoNormal"/>
      </w:pPr>
    </w:p>
    <w:p w:rsidR="0026452D" w:rsidRDefault="0026452D" w:rsidP="0026452D">
      <w:pPr>
        <w:pStyle w:val="TextoNormal"/>
      </w:pPr>
      <w:r>
        <w:t>Sin embargo, en lo que respecta al art. 107.4 LGSS 1974, su carácter de norma preconstitucional y la falta de pronunciamiento explícito del legislador al respecto, hace que el entendimiento de este precepto como norma básica deba abordarse con cautela y precise de matizaciones de partida. Entiende que, pese a no haber sido derogado expresamente, el precepto no se ha visto confirmado en su totalidad por la normativa postconstitucional e incluso es opuesto en cierta medida a ella y, en cualquier caso, no articula un modelo único de concertación en cuanto a contenido y sujetos concertantes que necesariamente deba ser reproducido a nivel autonómico. Concretamente, considera que, en cuanto a la obligación de las oficinas de farmacia de dispensar los medicamentos, el contenido del precepto ha sido confirmado por el legislador postconstitucional [arts. 88.1 d) y 93.2 de la Ley 25/1990 y 84.3 de la Ley 29/2006].</w:t>
      </w:r>
    </w:p>
    <w:p w:rsidR="0026452D" w:rsidRDefault="0026452D" w:rsidP="0026452D">
      <w:pPr>
        <w:pStyle w:val="TextoNormal"/>
      </w:pPr>
    </w:p>
    <w:p w:rsidR="0026452D" w:rsidRDefault="0026452D" w:rsidP="0026452D">
      <w:pPr>
        <w:pStyle w:val="TextoNormal"/>
      </w:pPr>
      <w:r>
        <w:t>No es el caso del segundo de los aspectos regulados por el precepto, el modelo de concierto con laboratorios y farmacias a través de sus representaciones legales sindicales y corporativas, que resulta determinante para la inconstitucionalidad de las normas autonómicas cuestionadas. En este caso, el legislador postconstitucional ha establecido criterios no coincidentes (arts. 93.3, 94.6 97.2 de la Ley 25/1990 y 96.2 de la Ley 29/2006), que conducen a estimar que el modelo de concertación que establece ni es único ni forzosamente ha de ser reproducido a nivel autonómico, resultando más bien ya inaplicable como tal modelo. Al margen de que ello afectase al carácter obligatorio de la concertación y a los sujetos concertantes, lo cierto es que el sistema de precios que instauró la Ley 25/1990 y desarrolló el Real Decreto 1035/1999, de 18 de junio, por el que se regula el sistema de precios de referencia en la financiación de medicamentos con cargo a fondos de la Seguridad Social o a fondos estatales afectos a la sanidad, ha sido derogado por la Ley 29/2006, que introduce una regulación detallada en sus arts. 90 a 93, y el Real Decreto 1338/2006, de 21 de noviembre, dictado al amparo de la competencia estatal sobre legislación de productos farmacéuticos, de acuerdo con lo dispuesto por el art. 149.1.16 CE.</w:t>
      </w:r>
    </w:p>
    <w:p w:rsidR="0026452D" w:rsidRDefault="0026452D" w:rsidP="0026452D">
      <w:pPr>
        <w:pStyle w:val="TextoNormal"/>
      </w:pPr>
    </w:p>
    <w:p w:rsidR="0026452D" w:rsidRDefault="0026452D" w:rsidP="0026452D">
      <w:pPr>
        <w:pStyle w:val="TextoNormal"/>
      </w:pPr>
      <w:r>
        <w:t>En el ordenamiento vigente (art. 90 de la Ley 29/2006), corresponde al Consejo de Ministros establecer el régimen general de fijación de los precios industriales y las cuantías económicas correspondientes a su distribución y dispensación, a la Comisión Interministerial de Precios de los Medicamentos fijar el precio industrial máximo, y al Ministerio de Sanidad y Consumo establecer el precio de venta al público mediante agregación de los anteriores. Considerado como legislación sobre productos farmacéuticos dictada al amparo del art. 149.1.16 CE, no cabe abrigar dudas acerca de tal carácter y de su condición, en el peor de los casos, de común denominador normativo necesario para asegurar la unidad fundamental prevista por las normas del bloque de la constitucionalidad que establecen la distribución de competencias.</w:t>
      </w:r>
    </w:p>
    <w:p w:rsidR="0026452D" w:rsidRDefault="0026452D" w:rsidP="0026452D">
      <w:pPr>
        <w:pStyle w:val="TextoNormal"/>
      </w:pPr>
    </w:p>
    <w:p w:rsidR="0026452D" w:rsidRDefault="0026452D" w:rsidP="0026452D">
      <w:pPr>
        <w:pStyle w:val="TextoNormal"/>
      </w:pPr>
      <w:r>
        <w:t>El art. 88 de la Ley 29/2006 reconoce el derecho de todos los ciudadanos a obtener medicamentos en condiciones de igualdad en todo el Sistema Nacional de Salud, sin perjuicio de las medidas tendentes a racionalizar su prescripción y utilización que puedan adoptar las Comunidades Autónomas, y de todo ello cabe deducir que la materia atinente al precio de los medicamentos es cuestión de exclusiva competencia estatal, sea entendida como legislación farmacéutica (art. 149.1.16 CE) o como elemento a incluir en el régimen económico de la Seguridad Social (art. 149.1.17 CE), con lo que ello implica conforme a la STC 195/1996, de 28 de noviembre, citada en el Auto de planteamiento. Por tanto, sobre esta materia no cabe reconocer competencias normativas a las Comunidades Autónomas ni disponibilidad que permita a éstas concertar sobre tal aspecto con laboratorios u oficinas de farmacia, por lo que la referencia al art. 107.4 LGSS 1974 en este aspecto y el pretendido empleo de su contenido para sostener que ello se pueda hacer por la Comunidad Autónoma, y necesariamente con la representación corporativa de las oficinas de farmacia, simplemente no debe entenderse admisible desde la perspectiva constitucional, recordando al respecto que el art. 54.1 LORAFNA sólo concede a Navarra competencia en materia de gestión del régimen económico de la Seguridad Social.</w:t>
      </w:r>
    </w:p>
    <w:p w:rsidR="0026452D" w:rsidRDefault="0026452D" w:rsidP="0026452D">
      <w:pPr>
        <w:pStyle w:val="TextoNormal"/>
      </w:pPr>
    </w:p>
    <w:p w:rsidR="0026452D" w:rsidRDefault="0026452D" w:rsidP="0026452D">
      <w:pPr>
        <w:pStyle w:val="TextoNormal"/>
      </w:pPr>
      <w:r>
        <w:t>b) De tales premisas cabe deducir la inconstitucionalidad del art. 31.2 f) de la Ley Foral 12/2000, relativo a las condiciones económicas de la atención farmacéutica y de provisión de medicamentos a los ciudadanos a incluir en el concierto, salvo que se entendiera que las mismas no tienen relación alguna con el precio de los medicamentos, lo cual es harto difícil de sostener sin introducir una indeseable ambigüedad, origen de conflictos y desigualdades respecto del derecho de todos a obtener medicamentos en condiciones de igualdad dentro del Sistema Nacional de Salud (arts. 93.1 de la Ley 25/1990 y 88.1 de la Ley 29/2006), que, por su conexión con el derecho a la salud (art. 43 CE), afectaría al art. 149.1.1 CE y supondría un riesgo de quiebra del sistema unitario y universal, perteneciente a la esfera de competencia exclusiva estatal para garantizar las debidas condiciones de igualdad en materia de obtención de medicamentos, dentro del régimen público general de Seguridad Social para todos los ciudadanos (art. 41 CE).</w:t>
      </w:r>
    </w:p>
    <w:p w:rsidR="0026452D" w:rsidRDefault="0026452D" w:rsidP="0026452D">
      <w:pPr>
        <w:pStyle w:val="TextoNormal"/>
      </w:pPr>
    </w:p>
    <w:p w:rsidR="0026452D" w:rsidRDefault="0026452D" w:rsidP="0026452D">
      <w:pPr>
        <w:pStyle w:val="TextoNormal"/>
      </w:pPr>
      <w:r>
        <w:t xml:space="preserve">En otro orden de consideraciones, aunque el art. 107.4 LGSS 1974 sólo contempla la concertación sobre precio y condiciones económicas, y aunque dialécticamente se planteara y admitiera su vigencia, no puede concluirse que sólo está autorizada la concertación sobre esta concreta materia. Para el resto, el régimen aplicable dispone que las oficinas de farmacia podrán ser objeto de concertación en el Sistema Nacional de Salud, de acuerdo con el </w:t>
      </w:r>
      <w:r>
        <w:lastRenderedPageBreak/>
        <w:t>sistema general de contratación administrativa y conforme a los criterios generales del derogado art. 93.3 de la Ley 25/1990 y del actual art. 88.2 de la Ley 29/2006 y, en su caso, de las condiciones generales acordadas por el Consejo Interterritorial del Sistema Nacional de Salud (art. 88.2 de la Ley 29/2006).</w:t>
      </w:r>
    </w:p>
    <w:p w:rsidR="0026452D" w:rsidRDefault="0026452D" w:rsidP="0026452D">
      <w:pPr>
        <w:pStyle w:val="TextoNormal"/>
      </w:pPr>
    </w:p>
    <w:p w:rsidR="0026452D" w:rsidRDefault="0026452D" w:rsidP="0026452D">
      <w:pPr>
        <w:pStyle w:val="TextoNormal"/>
      </w:pPr>
      <w:r>
        <w:t>En consecuencia, las Comunidades Autónomas pueden concertar sobre materias no excluidas de la concertación y, desde la perspectiva constitucional, no se deriva la consecuencia obligada de que la representación de las oficinas de farmacia haya de ser —en los supuestos en los que proceda la concertación— necesariamente atribuida a la proporcionada por el Colegio de Farmacéuticos, pudiendo caber otras soluciones válidas, cuya pertinencia parece más bien una cuestión de legalidad ordinaria. En definitiva, aunque en el modelo estatal la concertación se realizase con dicha representación corporativa, ello no es una cuestión de relevancia constitucional; y mucho menos cabe entender que dicho modelo deba ser reproducido por las Comunidades Autónomas, pues ello contravendría su capacidad de autoorganización.</w:t>
      </w:r>
    </w:p>
    <w:p w:rsidR="0026452D" w:rsidRDefault="0026452D" w:rsidP="0026452D">
      <w:pPr>
        <w:pStyle w:val="TextoNormal"/>
      </w:pPr>
    </w:p>
    <w:p w:rsidR="0026452D" w:rsidRDefault="0026452D" w:rsidP="0026452D">
      <w:pPr>
        <w:pStyle w:val="TextoNormal"/>
      </w:pPr>
      <w:r>
        <w:t>Por ello se entiende que el art. 28.1 de la Ley Foral 12/2000, que diseña la Comisión de Atención Farmacéutica y establece su composición, no invade ni constituye una quiebra de la normativa básica estatal, sino que es mera expresión de las facultades de autoorganización administrativa, invocando al respecto la STC 364/2006, de 20 de diciembre. Y, por idéntica razón, tampoco el art. 28.3 presentaría contenido contrario a la Constitución.</w:t>
      </w:r>
    </w:p>
    <w:p w:rsidR="0026452D" w:rsidRDefault="0026452D" w:rsidP="0026452D">
      <w:pPr>
        <w:pStyle w:val="TextoNormal"/>
      </w:pPr>
    </w:p>
    <w:p w:rsidR="0026452D" w:rsidRDefault="0026452D" w:rsidP="0026452D">
      <w:pPr>
        <w:pStyle w:val="TextoNormal"/>
      </w:pPr>
      <w:r>
        <w:t>Por el contrario, procede la declaración de inconstitucionalidad del art. 29, en la medida en que refiere la eficacia y el valor de la concertación únicamente a los propietarios titulares de oficinas de farmacia que se hayan adherido voluntariamente al acuerdo marco, estableciendo así dos tipos de farmacias en colisión con lo dispuesto por la normativa estatal, y sin regular, como advierte el Auto de planteamiento, la situación de las farmacias no adheridas, dejando en la mayor incertidumbre la garantía del derecho de todos los ciudadanos a obtener medicamentos en condiciones de igualdad dentro del Sistema Nacional de Salud.</w:t>
      </w:r>
    </w:p>
    <w:p w:rsidR="0026452D" w:rsidRDefault="0026452D" w:rsidP="0026452D">
      <w:pPr>
        <w:pStyle w:val="TextoNormal"/>
      </w:pPr>
    </w:p>
    <w:p w:rsidR="0026452D" w:rsidRDefault="0026452D" w:rsidP="0026452D">
      <w:pPr>
        <w:pStyle w:val="TextoNormal"/>
      </w:pPr>
      <w:r>
        <w:t>Salvados los aspectos anteriormente reseñados, no se advierte en el art. 30 una contradicción con la normativa básica estatal, pudiendo ser interpretado constitucionalmente, en la medida en que no deriva del mismo necesariamente un régimen distinto para farmacias concertadas y no concertadas, pues cabe interpretar que, ante la inexistencia de acuerdo o desacuerdo parcial, las condiciones mínimas de la prestación farmacéutica son comunes a todas ellas.</w:t>
      </w:r>
    </w:p>
    <w:p w:rsidR="0026452D" w:rsidRDefault="0026452D" w:rsidP="0026452D">
      <w:pPr>
        <w:pStyle w:val="TextoNormal"/>
      </w:pPr>
    </w:p>
    <w:p w:rsidR="0026452D" w:rsidRDefault="0026452D" w:rsidP="0026452D">
      <w:pPr>
        <w:pStyle w:val="TextoNormal"/>
      </w:pPr>
      <w:r>
        <w:t>Por lo que atañe al art. 31, salvedad hecha de lo ya expuesto en el apartado 2 f) en cuanto a las condiciones económicas en la atención farmacéutica y la provisión de medicamentos a todos los ciudadanos, es admisible la concertación sobre el resto de los aspectos contemplados en el precepto, de contenido no económico, en la medida en que una interpretación contraria podría vaciar de contenido la competencia autonómica en materia de desarrollo de la legislación básica, de ejecución de los servicios sanitarios y, más particularmente, de medidas tendentes a racionalizar la prescripción y utilización de los medicamentos (STC 109/2003, de 5 de junio, FJ 3, y las allí citadas).</w:t>
      </w:r>
    </w:p>
    <w:p w:rsidR="0026452D" w:rsidRDefault="0026452D" w:rsidP="0026452D">
      <w:pPr>
        <w:pStyle w:val="TextoNormal"/>
      </w:pPr>
    </w:p>
    <w:p w:rsidR="0026452D" w:rsidRDefault="0026452D" w:rsidP="0026452D">
      <w:pPr>
        <w:pStyle w:val="TextoNormal"/>
      </w:pPr>
      <w:r>
        <w:t xml:space="preserve">Finalmente, comparte las razones del Auto de planteamiento para considerar inconstitucional el art. 32, por partir de la existencia de dos tipos de farmacias, concertadas y no </w:t>
      </w:r>
      <w:r>
        <w:lastRenderedPageBreak/>
        <w:t>concertadas, alterando el régimen unitario, universal y general establecido en la referida normativa básica estatal, al excluir del convenio, por extinción, a las farmacias cuyos titulares se encuentren en determinados supuestos. Como apunta el órgano judicial proponente, algunas de esas causas pudieran motivar la privación o suspensión de derechos al farmacéutico, o incluso el cierre de la farmacia, al igual que sucede en la normativa estatal, tras el oportuno expediente sancionador y por el tiempo que la ley autorice, pero no es aceptable que ello pueda ocurrir de forma definitiva y por la mera aplicación del concierto.</w:t>
      </w:r>
    </w:p>
    <w:p w:rsidR="0026452D" w:rsidRDefault="0026452D" w:rsidP="0026452D">
      <w:pPr>
        <w:pStyle w:val="TextoNormal"/>
      </w:pPr>
    </w:p>
    <w:p w:rsidR="0026452D" w:rsidRDefault="0026452D" w:rsidP="0026452D">
      <w:pPr>
        <w:pStyle w:val="TextoNormal"/>
      </w:pPr>
      <w:r w:rsidRPr="0026452D">
        <w:rPr>
          <w:rStyle w:val="NumeroAFNegritaCaracter"/>
        </w:rPr>
        <w:t>11</w:t>
      </w:r>
      <w:r>
        <w:t>. Por providencia de 4 de junio de 2013 se señaló para deliberación y votación del presente recurso el día 6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La Sección Cuarta de la Sala de lo Contencioso-Administrativo del Tribunal Supremo considera en la cuestión de inconstitucionalidad núm. 4764-2007 que los arts. 28, 1 y 3, 29, 30.4, 31.2 y 32 de la Ley Foral 12/2000, de 16 de noviembre, de atención farmacéutica, pueden ser contrarios a los arts. 149.1, apartados 1, 16 y 17 CE, y a los arts. 53.1 y 54.1 a) de la Ley Orgánica de reintegración y amejoramiento del Fuero de Navarra (LORAFNA).</w:t>
      </w:r>
    </w:p>
    <w:p w:rsidR="0026452D" w:rsidRDefault="0026452D" w:rsidP="0026452D">
      <w:pPr>
        <w:pStyle w:val="TextoNormal"/>
      </w:pPr>
    </w:p>
    <w:p w:rsidR="0026452D" w:rsidRDefault="0026452D" w:rsidP="0026452D">
      <w:pPr>
        <w:pStyle w:val="TextoNormal"/>
      </w:pPr>
      <w:r>
        <w:t>Entiende el órgano judicial que en dichos preceptos se altera sustancialmente el régimen establecido en la legislación básica estatal, consistente en un modelo de concertación general y universal para la dispensación de medicamentos por parte de las oficinas de farmacia, que garantiza la efectiva igualdad de todos los ciudadanos, fijando las condiciones económicas en las que aquéllas deberán suministrar los medicamentos financiados por el sistema público de Seguridad Social, concertación que tiene carácter vinculante y que ha de realizarse con los representantes colegiales de los farmacéuticos.</w:t>
      </w:r>
    </w:p>
    <w:p w:rsidR="0026452D" w:rsidRDefault="0026452D" w:rsidP="0026452D">
      <w:pPr>
        <w:pStyle w:val="TextoNormal"/>
      </w:pPr>
    </w:p>
    <w:p w:rsidR="0026452D" w:rsidRDefault="0026452D" w:rsidP="0026452D">
      <w:pPr>
        <w:pStyle w:val="TextoNormal"/>
      </w:pPr>
      <w:r>
        <w:t>El Abogado del Estado considera que la regulación cuestionada resulta inconstitucional por quebrar el modelo sanitario básico que, en garantía del acceso igualitario a la prestación farmacéutica, se funda en los criterios generales y comunes establecidos por el Estado, previo acuerdo del Consejo Interterritorial del Sistema Nacional de Salud y en el carácter vinculante del concierto que se celebre por cada servicio de salud con las representaciones de las oficinas de farmacia, sin necesidad de adhesión o negociación individual.</w:t>
      </w:r>
    </w:p>
    <w:p w:rsidR="0026452D" w:rsidRDefault="0026452D" w:rsidP="0026452D">
      <w:pPr>
        <w:pStyle w:val="TextoNormal"/>
      </w:pPr>
    </w:p>
    <w:p w:rsidR="0026452D" w:rsidRDefault="0026452D" w:rsidP="0026452D">
      <w:pPr>
        <w:pStyle w:val="TextoNormal"/>
      </w:pPr>
      <w:r>
        <w:t>El Fiscal General del Estado interesa la estimación parcial de la presente cuestión de inconstitucionalidad, concretamente en lo que se refiere a los arts. 29, 31.2 f) y 32, al considerar que se establecen dos tipos de farmacias en colisión con lo dispuesto en la normativa estatal, dejando sin regulación la situación de las farmacias no adheridas al concierto, y que la materia atinente al precio de los medicamentos es cuestión de exclusiva competencia estatal.</w:t>
      </w:r>
    </w:p>
    <w:p w:rsidR="0026452D" w:rsidRDefault="0026452D" w:rsidP="0026452D">
      <w:pPr>
        <w:pStyle w:val="TextoNormal"/>
      </w:pPr>
    </w:p>
    <w:p w:rsidR="0026452D" w:rsidRDefault="0026452D" w:rsidP="0026452D">
      <w:pPr>
        <w:pStyle w:val="TextoNormal"/>
      </w:pPr>
      <w:r>
        <w:t>Por su parte, las representaciones procesales del Gobierno y del Parlamento de Navarra estiman que la Ley Foral 12/2000 se ha dictado en ejercicio de las competencias que corresponden a la Comunidad Foral en materia de sanidad, habiéndose respetado la legislación básica estatal.</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2</w:t>
      </w:r>
      <w:r>
        <w:t>. En los términos que han quedado sucintamente expuestos, y extensamente detallados en los antecedentes, la cuestión de inconstitucionalidad sometida a nuestro juicio es de carácter mediato o indirecto, en cuanto que la infracción del orden constitucional de distribución de competencias en que pudiera haber incurrido la Ley Foral 12/2000 derivaría, en su caso, de su efectiva contradicción con la normativa estatal básica.</w:t>
      </w:r>
    </w:p>
    <w:p w:rsidR="0026452D" w:rsidRDefault="0026452D" w:rsidP="0026452D">
      <w:pPr>
        <w:pStyle w:val="TextoNormal"/>
      </w:pPr>
    </w:p>
    <w:p w:rsidR="0026452D" w:rsidRDefault="0026452D" w:rsidP="0026452D">
      <w:pPr>
        <w:pStyle w:val="TextoNormal"/>
      </w:pPr>
      <w:r>
        <w:t>Resulta por tanto obligado abordar en primer lugar algunas cuestiones relativas a la determinación de la normativa estatal que ha de servir como parámetro de la constitucionalidad mediata de la Ley Foral 12/2000 objeto de este proceso constitucional, sobre el que las partes expresan diversas discrepancias.</w:t>
      </w:r>
    </w:p>
    <w:p w:rsidR="0026452D" w:rsidRDefault="0026452D" w:rsidP="0026452D">
      <w:pPr>
        <w:pStyle w:val="TextoNormal"/>
      </w:pPr>
    </w:p>
    <w:p w:rsidR="0026452D" w:rsidRDefault="0026452D" w:rsidP="0026452D">
      <w:pPr>
        <w:pStyle w:val="TextoNormal"/>
      </w:pPr>
      <w:r>
        <w:t xml:space="preserve">a) Es criterio reiterado de este Tribunal que “la doctrina del </w:t>
      </w:r>
      <w:r w:rsidRPr="0026452D">
        <w:rPr>
          <w:i/>
        </w:rPr>
        <w:t>ius superveniens</w:t>
      </w:r>
      <w:r>
        <w:t xml:space="preserve">, según la cual el control de las normas que incurren en un posible exceso competencial debe hacerse de acuerdo con las normas del bloque de la constitucionalidad vigentes al momento de dictar Sentencia (por todas, STC 184/2011, de 23 de noviembre, FJ 3; y las allí citadas), no resulta aplicable, como ha precisado este Tribunal, a las cuestiones de inconstitucionalidad (SSTC 4/2011, de 14 de febrero, FJ 3; 184/2011, de 23 de noviembre, FJ 3; y 86/2012, de 18 de abril, FJ 3)” (STC 191/2012, de 20 de octubre, FJ 2). Como razonamos en la STC 178/2004, de 21 de octubre, la regla general en las cuestiones de inconstitucionalidad es la utilización, como canon de enjuiciamiento, de la legislación vigente en el momento de referencia para la aplicación por el órgano judicial </w:t>
      </w:r>
      <w:r w:rsidRPr="0026452D">
        <w:rPr>
          <w:i/>
        </w:rPr>
        <w:t>a quo</w:t>
      </w:r>
      <w:r>
        <w:t xml:space="preserve"> de la norma cuestionada, considerando que la “frecuente explicación de la cuestión de inconstitucionalidad con apoyo en la idea de la ‘prejudicialidad’ y de la ‘colaboración’ entre los Tribunales ordinarios y el Tribunal Constitucional fundamenta la diferencia de los criterios generales sobre el canon de enjuiciamiento aplicable a la cuestión y al recurso de inconstitucionalidad” (FJ 5).</w:t>
      </w:r>
    </w:p>
    <w:p w:rsidR="0026452D" w:rsidRDefault="0026452D" w:rsidP="0026452D">
      <w:pPr>
        <w:pStyle w:val="TextoNormal"/>
      </w:pPr>
    </w:p>
    <w:p w:rsidR="0026452D" w:rsidRDefault="0026452D" w:rsidP="0026452D">
      <w:pPr>
        <w:pStyle w:val="TextoNormal"/>
      </w:pPr>
      <w:r>
        <w:t xml:space="preserve">Por tanto, la evolución legislativa estatal posterior “no afecta al juicio de constitucionalidad que hemos de efectuar sobre los preceptos impugnados, los cuales se conectan con su aplicación a un concreto proceso en el que el órgano judicial proponente de la cuestión ha de resolver sobre la pretensión ejercitada a la luz de la normativa vigente y aplicable en el concreto momento en el que se suscitó el proceso </w:t>
      </w:r>
      <w:r w:rsidRPr="0026452D">
        <w:rPr>
          <w:i/>
        </w:rPr>
        <w:t>a quo</w:t>
      </w:r>
      <w:r>
        <w:t>” [por todas, STC 196/2012, de 31 de octubre, FJ 1 c)].</w:t>
      </w:r>
    </w:p>
    <w:p w:rsidR="0026452D" w:rsidRDefault="0026452D" w:rsidP="0026452D">
      <w:pPr>
        <w:pStyle w:val="TextoNormal"/>
      </w:pPr>
    </w:p>
    <w:p w:rsidR="0026452D" w:rsidRDefault="0026452D" w:rsidP="0026452D">
      <w:pPr>
        <w:pStyle w:val="TextoNormal"/>
      </w:pPr>
      <w:r>
        <w:t>Según consta en el testimonio del recurso de casación que acompaña al Auto de planteamiento de la presente cuestión de inconstitucionalidad, el recurso contencioso-administrativo contra el acuerdo del Gobierno de Navarra de 13 de mayo de 2002, por el que se aprueba el acuerdo marco de concertación con las oficinas de farmacia (publicado en el “Boletín Oficial de Navarra” de 9 de agosto de 2002), fue interpuesto con fecha 24 de octubre de 2002. Por tanto, en razón a su posterior entrada en vigor, la doctrina expuesta determina que, en este proceso constitucional, queden excluidas de nuestro análisis tanto la Ley 16/2003, de 28 de mayo, de cohesión y calidad del Sistema Nacional de Salud, como la Ley 29/2006, de 26 de julio, de garantías y uso racional de los medicamentos y productos sanitarios.</w:t>
      </w:r>
    </w:p>
    <w:p w:rsidR="0026452D" w:rsidRDefault="0026452D" w:rsidP="0026452D">
      <w:pPr>
        <w:pStyle w:val="TextoNormal"/>
      </w:pPr>
    </w:p>
    <w:p w:rsidR="0026452D" w:rsidRDefault="0026452D" w:rsidP="0026452D">
      <w:pPr>
        <w:pStyle w:val="TextoNormal"/>
      </w:pPr>
      <w:r>
        <w:t xml:space="preserve">b) El carácter preconstitucional del art. 107 del texto refundido de la Ley general de la Seguridad Social (LGSS), aprobado por Decreto 2065/1974, de 30 de mayo, no excluye </w:t>
      </w:r>
      <w:r w:rsidRPr="0026452D">
        <w:rPr>
          <w:i/>
        </w:rPr>
        <w:t>a radice</w:t>
      </w:r>
      <w:r>
        <w:t xml:space="preserve"> su relevancia en este proceso constitucional, ya que “es doctrina consolidada que la </w:t>
      </w:r>
      <w:r>
        <w:lastRenderedPageBreak/>
        <w:t>dimensión material de las normas básicas permite que pueda extraerse de las normas preconstitucionales (que, obviamente, no pueden atender a la exigencia de explicitación formal como normas básicas) los principios o criterios que pudieran tener tal carácter … sirviendo, así, de parámetro de contraste con la norma objeto de la presente cuestión” (STC 251/2006, de 25 de julio, FJ 9). No obstante y en esta misma Sentencia hemos advertido que “la operación de deducir bases normativas de la legislación preconstitucional ha de realizarse con suma cautela y teniendo siempre presentes las categorías contenidas en la Constitución respecto del reparto constitucional y el alcance de las mismas” [FJ 10 b)].</w:t>
      </w:r>
    </w:p>
    <w:p w:rsidR="0026452D" w:rsidRDefault="0026452D" w:rsidP="0026452D">
      <w:pPr>
        <w:pStyle w:val="TextoNormal"/>
      </w:pPr>
    </w:p>
    <w:p w:rsidR="0026452D" w:rsidRDefault="0026452D" w:rsidP="0026452D">
      <w:pPr>
        <w:pStyle w:val="TextoNormal"/>
      </w:pPr>
      <w:r>
        <w:t>En consecuencia, y en los antedichos términos, no cabe excluir de antemano que el art. 107 LGSS 1974 integre el bloque normativo que ha de servir como parámetro de la constitucionalidad mediata de la Ley Foral 12/2000, sin perjuicio de lo que resulte de su análisis material, inexcusable para dilucidar en qué medida cabe inferir de dicho precepto estatal bases normativas que sean relevantes en este proceso constitucional.</w:t>
      </w:r>
    </w:p>
    <w:p w:rsidR="0026452D" w:rsidRDefault="0026452D" w:rsidP="0026452D">
      <w:pPr>
        <w:pStyle w:val="TextoNormal"/>
      </w:pPr>
    </w:p>
    <w:p w:rsidR="0026452D" w:rsidRDefault="0026452D" w:rsidP="0026452D">
      <w:pPr>
        <w:pStyle w:val="TextoNormal"/>
      </w:pPr>
      <w:r w:rsidRPr="0026452D">
        <w:rPr>
          <w:rStyle w:val="NumeroAFNegritaCaracter"/>
        </w:rPr>
        <w:t>3</w:t>
      </w:r>
      <w:r>
        <w:t>. En relación con el ámbito material en el que debe incardinarse la regulación cuestionada, dijimos ya en la STC 109/2003, de 5 de junio, que la configuración de las oficinas de farmacia como “establecimientos sanitarios” (art. 103.2 de la Ley 14/1986, de 25 de abril, general de sanidad) lleva al encuadramiento competencial de las normas que regulen su régimen jurídico en la materia regida por el art. 149.1.16 CE. Confirmamos así los pronunciamientos de las SSTC 32/1983, de 28 de abril, y 80/1984, de 20 de julio, “al señalar que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 debe entenderse como una competencia de fijación de bases, que es, por tanto, en virtud del mandato del art. 149.1.16 de la Constitución, de titularidad estatal en cuanto trata de establecer características comunes en los centros, servicios y actividades de dichos centros. En la citada Sentencia [STC 32/1983] se decía también que tales requisitos y competencias debían considerarse siempre como mínimos y que, por consiguiente, por encima de ellos, cada Comunidad Autónoma que posea competencia en materia sanitaria ... puede establecer medidas de desarrollo legislativo y puede añadir, a los requisitos mínimos determinados con carácter general por el Estado, otros que entienda oportunos o especialmente adecuados’ (STC 80/1984, FJ 1)” (FJ 3).</w:t>
      </w:r>
    </w:p>
    <w:p w:rsidR="0026452D" w:rsidRDefault="0026452D" w:rsidP="0026452D">
      <w:pPr>
        <w:pStyle w:val="TextoNormal"/>
      </w:pPr>
    </w:p>
    <w:p w:rsidR="0026452D" w:rsidRDefault="0026452D" w:rsidP="0026452D">
      <w:pPr>
        <w:pStyle w:val="TextoNormal"/>
      </w:pPr>
      <w:r>
        <w:t xml:space="preserve">Por su parte, la STC 98/2004, de 25 de mayo, abordó específicamente el análisis de la prestación farmacéutica, en su dimensión de prestación sanitaria del Sistema Nacional de Salud, tomando en consideración lo dispuesto por los arts. 93 y 94 de la Ley 25/1990. Rechazamos entonces su encuadramiento en el régimen económico de la Seguridad Social (art. 149.1.17 CE), “pues en tanto que el precepto aquí impugnado se refiere a la fijación del sistema de financiación pública de una de las prestaciones (los medicamentos) proporcionadas por el ‘Sistema Nacional de Salud’, nuestro control de la constitucionalidad determina que el marco conceptual y competencial específico aplicable aquí sea el de la ‘sanidad’ (art. 149.1.16 CE) y no el de la ‘Seguridad Social’ (art. 149.1.17 CE). En efecto, el ‘Sistema Nacional de Salud’ tiene por objeto y finalidad garantizar la protección de la salud de los ciudadanos, cometido que se instrumentaliza a través de un conjunto de servicios y prestaciones sanitarias de carácter preventivo, terapéutico, de diagnóstico, de rehabilitación, así como de promoción y mantenimiento de la salud. De este modo, proporciona a todos los ciudadanos una serie de prestaciones de atención sanitaria de índole diversa”, entre las que </w:t>
      </w:r>
      <w:r>
        <w:lastRenderedPageBreak/>
        <w:t>se incluye “la ‘prestación farmacéutica’ (configurada tanto por los ‘medicamentos’ como por los ‘productos sanitarios’ necesarios para conservar o restablecer la salud de acuerdo con las concretas necesidades clínicas de los usuarios), siendo esta última a la que el precepto impugnado se refiere, al regular uno de los aspectos que garantizan el acceso a ella a través de la financiación pública selectiva del medicamento”. Por tanto, pese a “la indiscutible vinculación entre la protección de la salud y el sistema público de Seguridad Social … no cabe subsumir la materia aquí cuestionada en el título competencial relativo a ella (art. 149.1.17 CE). Como se ha dicho con anterioridad, el precepto impugnado no se circunscribe a la asistencia sanitaria que es dispensada por el sistema de Seguridad Social a favor de los beneficiarios que se encuentran dentro de su campo de aplicación, sino, más ampliamente, a la financiación pública de una prestación sanitaria (el medicamento) proporcionada por el Sistema Nacional de Salud con carácter universalista a todos los ciudadanos”, añadiendo que “ello resulta avalado porque la descentralización de la gestión de los servicios sanitarios y el traspaso de servicios y funciones efectuada por la Administración del Estado en materia de sanidad a favor de las distintas Comunidades Autónomas se ha visto acompañada de una nueva forma de financiación de la asistencia sanitaria, que abandonando la específica partida presupuestaria de la Seguridad Social se ha integrado en el sistema general de financiación autonómica junto al resto de las partidas presupuestarias” (FJ 5).</w:t>
      </w:r>
    </w:p>
    <w:p w:rsidR="0026452D" w:rsidRDefault="0026452D" w:rsidP="0026452D">
      <w:pPr>
        <w:pStyle w:val="TextoNormal"/>
      </w:pPr>
    </w:p>
    <w:p w:rsidR="0026452D" w:rsidRDefault="0026452D" w:rsidP="0026452D">
      <w:pPr>
        <w:pStyle w:val="TextoNormal"/>
      </w:pPr>
      <w:r>
        <w:t>En lo relativo a la invocación del 149.1.1 CE, “dada la función uniformadora que ha de cumplir la normativa básica, ha de señalarse que tal competencia queda absorbida por la que le corresponde al Estado en la regulación de las bases de la sanidad, que es más específica y puede dotarse también de un mayor contenido” (STC 109/2003, FJ 3).</w:t>
      </w:r>
    </w:p>
    <w:p w:rsidR="0026452D" w:rsidRDefault="0026452D" w:rsidP="0026452D">
      <w:pPr>
        <w:pStyle w:val="TextoNormal"/>
      </w:pPr>
    </w:p>
    <w:p w:rsidR="0026452D" w:rsidRDefault="0026452D" w:rsidP="0026452D">
      <w:pPr>
        <w:pStyle w:val="TextoNormal"/>
      </w:pPr>
      <w:r>
        <w:t xml:space="preserve">En consecuencia, habremos de analizar la constitucionalidad de los preceptos objeto de la presente cuestión de inconstitucionalidad desde la perspectiva de la distribución de competencias en materia de sanidad, en cuya virtud corresponde al Estado la competencia de dictar las bases y ejercer funciones de coordinación general, </w:t>
      </w:r>
      <w:r w:rsidRPr="0026452D">
        <w:rPr>
          <w:i/>
        </w:rPr>
        <w:t>ex</w:t>
      </w:r>
      <w:r>
        <w:t xml:space="preserve"> art. 149.1.16 CE, en tanto que el art. 53 LORAFNA dispone que en “materia de sanidad interior e higiene, corresponden a Navarra las facultades y competencias que actualmente ostenta, y además, el desarrollo legislativo y la ejecución de la legislación básica del Estado” (apartado primero), precisando el apartado segundo que, dentro de su territorio , “Navarra podrá organizar y administrar todos los servicios correspondientes a la materia a la que se refiere el apartado anterior y ejercitará la tutela de las instituciones, entidades y fundaciones relacionadas con las mismas”.</w:t>
      </w:r>
    </w:p>
    <w:p w:rsidR="0026452D" w:rsidRDefault="0026452D" w:rsidP="0026452D">
      <w:pPr>
        <w:pStyle w:val="TextoNormal"/>
      </w:pPr>
    </w:p>
    <w:p w:rsidR="0026452D" w:rsidRDefault="0026452D" w:rsidP="0026452D">
      <w:pPr>
        <w:pStyle w:val="TextoNormal"/>
      </w:pPr>
      <w:r>
        <w:t>Así encuadrado el debate, y como recordamos en la STC 109/2003, de 5 de junio, al ser la inconstitucionalidad denunciada “de naturaleza mediata o indirecta … por derivar, no de una contradicción formal con la Constitución, sino de la colisión con un precepto pretendidamente básico, este Tribunal debe determinar inicialmente si la norma estatal que opera como canon en el control de constitucionalidad de la ley autonómica tiene, en efecto, carácter básico … Y es que, según indicamos en la STC 156/1995, refiriéndonos a las disposiciones autonómicas presuntamente vulneradoras del orden competencial, en el caso de las leyes que desarrollan legislación básica del Estado, tal vulneración sólo se produce cuando la propia ley básica es respetuosa con dicho orden (STC 109/1998, de 21 de mayo, FJ 3)” (FJ 7).</w:t>
      </w:r>
    </w:p>
    <w:p w:rsidR="0026452D" w:rsidRDefault="0026452D" w:rsidP="0026452D">
      <w:pPr>
        <w:pStyle w:val="TextoNormal"/>
      </w:pPr>
    </w:p>
    <w:p w:rsidR="0026452D" w:rsidRDefault="0026452D" w:rsidP="0026452D">
      <w:pPr>
        <w:pStyle w:val="TextoNormal"/>
      </w:pPr>
      <w:r w:rsidRPr="0026452D">
        <w:rPr>
          <w:rStyle w:val="NumeroAFNegritaCaracter"/>
        </w:rPr>
        <w:lastRenderedPageBreak/>
        <w:t>4</w:t>
      </w:r>
      <w:r>
        <w:t>. Antes de iniciar el examen de los preceptos cuestionados, y en aras de la claridad expositiva, conviene resumir de modo sistemático los rasgos principales del régimen establecido por la Ley Foral 12/2000 para la dispensación de medicamentos y productos sanitarios prescritos por los facultativos del Sistema Nacional de Salud.</w:t>
      </w:r>
    </w:p>
    <w:p w:rsidR="0026452D" w:rsidRDefault="0026452D" w:rsidP="0026452D">
      <w:pPr>
        <w:pStyle w:val="TextoNormal"/>
      </w:pPr>
    </w:p>
    <w:p w:rsidR="0026452D" w:rsidRDefault="0026452D" w:rsidP="0026452D">
      <w:pPr>
        <w:pStyle w:val="TextoNormal"/>
      </w:pPr>
      <w:r>
        <w:t>Se establece con carácter general que los profesionales implicados en la atención farmacéutica tienen, entre otras, las obligaciones de suministrar o dispensar los medicamentos que se les soliciten en las condiciones legal o reglamentariamente establecidas [art. 11.2 a)] así como de atender las recetas oficiales prescritas por los facultativos del Sistema Nacional de Salud, percibiendo en el acto de dispensación únicamente la aportación establecida con cargo al beneficiario en la normativa del Sistema Nacional de Salud o en el concierto acordado con la representación de los titulares-propietarios de las oficinas de farmacia [art. 11.2 j)].</w:t>
      </w:r>
    </w:p>
    <w:p w:rsidR="0026452D" w:rsidRDefault="0026452D" w:rsidP="0026452D">
      <w:pPr>
        <w:pStyle w:val="TextoNormal"/>
      </w:pPr>
    </w:p>
    <w:p w:rsidR="0026452D" w:rsidRDefault="0026452D" w:rsidP="0026452D">
      <w:pPr>
        <w:pStyle w:val="TextoNormal"/>
      </w:pPr>
      <w:r>
        <w:t>El concierto al que hace referencia el art. 11.2 j) se regula en la sección cuarta del capítulo II del título II, bajo la rúbrica “Comisión de Atención Farmacéutica y concertación de los propietarios-titulares de oficinas de farmacia con el Servicio Navarro de Salud-Osasunbidea”, de la que forman parte los preceptos que constituyen el objeto de este proceso constitucional. Conforme a lo previsto en dicha sección, la dispensación de los medicamentos y productos sanitarios prescritos por los facultativos del Sistema Nacional de Salud se rige por el sistema de concierto. Se reconoce a los propietarios-titulares de oficinas de farmacia abiertas al público en Navarra el derecho de concertación (art. 29.1), y se establece el correlativo deber del Servicio Navarro de Salud-Osasunbidea de concertar con aquellos propietarios-titulares que se hayan adherido voluntariamente al acuerdo marco sobre condiciones para dicha dispensación, aprobado por el Departamento de Salud (art. 29.2).</w:t>
      </w:r>
    </w:p>
    <w:p w:rsidR="0026452D" w:rsidRDefault="0026452D" w:rsidP="0026452D">
      <w:pPr>
        <w:pStyle w:val="TextoNormal"/>
      </w:pPr>
    </w:p>
    <w:p w:rsidR="0026452D" w:rsidRDefault="0026452D" w:rsidP="0026452D">
      <w:pPr>
        <w:pStyle w:val="TextoNormal"/>
      </w:pPr>
      <w:r>
        <w:t>El mencionado acuerdo marco es objeto de negociación en una subcomisión creada en el seno de la Comisión de Atención Farmacéutica (art. 28.3), a partir de la propuesta general elaborada por el Departamento de Salud, que contendrá los elementos a considerar en el mismo, así como aquellos condicionantes cuya inclusión se considere necesaria para una adecuada asistencia farmacéutica (art. 30.1). La subcomisión, de carácter paritario, estará compuesta por tres miembros de la Comisión de Atención Farmacéutica que representan al Servicio Navarro de Salud-Osasunbidea y otros tres designados entre los representantes de los farmacéuticos con oficina de farmacia (art. 28.3).</w:t>
      </w:r>
    </w:p>
    <w:p w:rsidR="0026452D" w:rsidRDefault="0026452D" w:rsidP="0026452D">
      <w:pPr>
        <w:pStyle w:val="TextoNormal"/>
      </w:pPr>
    </w:p>
    <w:p w:rsidR="0026452D" w:rsidRDefault="0026452D" w:rsidP="0026452D">
      <w:pPr>
        <w:pStyle w:val="TextoNormal"/>
      </w:pPr>
      <w:r>
        <w:t>En caso de alcanzarse un consenso sobre el contenido del acuerdo marco, éste será vinculante para la Comisión de Atención Farmacéutica y para el propio Departamento de Salud [art. 30.3 a)]. Corresponde a este último su formalización, aprobando y publicando las condiciones para los conciertos de las oficinas de farmacia, y otorgando a los titulares-propietarios la posibilidad de adherirse a las mismas mediante la formalización de un concierto con el Servicio Navarro de Salud-Osasunbidea (art. 30.4), siempre que reúnan los requisitos establecidos en el art. 78 de la Ley Foral 10/1990, de 23 de noviembre, de salud (art. 32).</w:t>
      </w:r>
    </w:p>
    <w:p w:rsidR="0026452D" w:rsidRDefault="0026452D" w:rsidP="0026452D">
      <w:pPr>
        <w:pStyle w:val="TextoNormal"/>
      </w:pPr>
    </w:p>
    <w:p w:rsidR="0026452D" w:rsidRDefault="0026452D" w:rsidP="0026452D">
      <w:pPr>
        <w:pStyle w:val="TextoNormal"/>
      </w:pPr>
      <w:r>
        <w:t xml:space="preserve">El concierto que se formalice en este marco deberá cumplir las condiciones generales contempladas en el art. 30.1, por remisión a la citada Ley Foral 10/1990, y comprenderá los siguientes aspectos: horario de apertura al público; calidad en la prestación del servicio (número de farmacéuticos que presten atención farmacéutica, en relación con el volumen de dispensación de medicamentos y productos sanitarios); recursos materiales (adecuación de </w:t>
      </w:r>
      <w:r>
        <w:lastRenderedPageBreak/>
        <w:t>las existencias de medicamentos, efectos y accesorios existentes en la oficina de farmacia al perfil de utilización existente en la zona básica de salud); acreditación para la elaboración de fórmulas magistrales y preparados oficinales de acuerdo con las normas de correcta elaboración; participación en los programas de uso racional del medicamento y educación sanitaria a la población que establezca la zona básica de salud; condiciones económicas en la atención farmacéutica y de la provisión de medicamentos a los ciudadanos; promoción de la utilización de medicamentos genéricos; realización de los turnos de guardia que establezca el Departamento de Salud; y colaboración en los programas que promuevan las Administraciones sanitarias sobre garantía de calidad de la atención farmacéutica y sanitaria en general, promoción y protección de la salud, prevención de la enfermedad y educación sanitaria (art. 31.2).</w:t>
      </w:r>
    </w:p>
    <w:p w:rsidR="0026452D" w:rsidRDefault="0026452D" w:rsidP="0026452D">
      <w:pPr>
        <w:pStyle w:val="TextoNormal"/>
      </w:pPr>
    </w:p>
    <w:p w:rsidR="0026452D" w:rsidRDefault="0026452D" w:rsidP="0026452D">
      <w:pPr>
        <w:pStyle w:val="TextoNormal"/>
      </w:pPr>
      <w:r>
        <w:t>En caso de desacuerdo total o ausencia de acuerdo marco, el Gobierno de Navarra, a propuesta del Departamento de Salud, establecerá con carácter provisional las condiciones mínimas de la provisión de las prestaciones farmacéuticas, con los efectos previstos en el art. 30.4, es decir, abriendo la posibilidad de adhesión de los propietarios-titulares en los términos anteriormente descritos (art. 30.5).</w:t>
      </w:r>
    </w:p>
    <w:p w:rsidR="0026452D" w:rsidRDefault="0026452D" w:rsidP="0026452D">
      <w:pPr>
        <w:pStyle w:val="TextoNormal"/>
      </w:pPr>
    </w:p>
    <w:p w:rsidR="0026452D" w:rsidRDefault="0026452D" w:rsidP="0026452D">
      <w:pPr>
        <w:pStyle w:val="TextoNormal"/>
      </w:pPr>
      <w:r w:rsidRPr="0026452D">
        <w:rPr>
          <w:rStyle w:val="NumeroAFNegritaCaracter"/>
        </w:rPr>
        <w:t>5</w:t>
      </w:r>
      <w:r>
        <w:t>. Expuesta la regulación autonómica, analizaremos en primer lugar si el derecho de concertación reconocido en los arts. 29 y 30.4 resulta compatible con la legislación básica estatal.</w:t>
      </w:r>
    </w:p>
    <w:p w:rsidR="0026452D" w:rsidRDefault="0026452D" w:rsidP="0026452D">
      <w:pPr>
        <w:pStyle w:val="TextoNormal"/>
      </w:pPr>
    </w:p>
    <w:p w:rsidR="0026452D" w:rsidRDefault="0026452D" w:rsidP="0026452D">
      <w:pPr>
        <w:pStyle w:val="TextoNormal"/>
      </w:pPr>
      <w:r>
        <w:t>a) De acuerdo con la doctrina de este Tribunal, “la Ley general de sanidad regula, junto a actividades sanitarias públicas, otras privadas, para cuyos establecimientos reconoce tanto la incidencia del interés público cuanto la libertad de empresa a la que aquel interés puede sujetar a restricciones diversas. Pues bien, los distintos modelos de organización que derivan de los distintos grados y formas que puede asumir la libertad de empresa en este ámbito inciden directamente sobre el modo y la forma en que los establecimientos sanitarios privados sirven al interés público sanitario (la dispensación de medicamentos en el caso de las farmacias). De modo que, cuando se trate de elementos estructurales de un determinado diseño de la empresa farmacéutica, estaremos, indudablemente, ante materia propia de las bases y, por lo tanto, competencia del Estado” (STC 109/2003, FJ 8).</w:t>
      </w:r>
    </w:p>
    <w:p w:rsidR="0026452D" w:rsidRDefault="0026452D" w:rsidP="0026452D">
      <w:pPr>
        <w:pStyle w:val="TextoNormal"/>
      </w:pPr>
    </w:p>
    <w:p w:rsidR="0026452D" w:rsidRDefault="0026452D" w:rsidP="0026452D">
      <w:pPr>
        <w:pStyle w:val="TextoNormal"/>
      </w:pPr>
      <w:r>
        <w:t>De la normativa estatal se desprende que el régimen de concierto con las oficinas de farmacia no sólo no está vedado, sino que forma parte del ámbito de colaboración público-privado en el que se desenvuelve la prestación del servicio farmacéutico en el Sistema Nacional de Salud. En efecto, de acuerdo con el art. 103.2 de la Ley 14/1986, de 25 de abril, general de sanidad, las oficinas de farmacia abiertas al público se consideran establecimientos sanitarios a los efectos previstos en su título IV, en el que está expresamente contemplado el régimen de concierto para la prestación de servicios sanitarios (art. 90.1). Esta apreciación se corrobora mediante la lectura del art. 97.2 de la Ley 25/1990, de 20 de diciembre, del medicamento, que dispone que, con independencia de las obligaciones legal y reglamentariamente establecidas, las oficinas de farmacia podrán ser objeto de concertación en el Sistema Nacional de Salud, de acuerdo con el sistema general de contratación administrativa y conforme a los criterios generales del art. 93.3. Tal normativa resulta básica tanto desde la perspectiva formal (arts. 2.1 de la Ley 14/1986 y 2.2 de la Ley 25/1990) como material, al incorporar un modelo de concertación voluntaria directamente conectado con el servicio al interés público sanitario, al que hicimos referencia en la citada STC 109/2003.</w:t>
      </w:r>
    </w:p>
    <w:p w:rsidR="0026452D" w:rsidRDefault="0026452D" w:rsidP="0026452D">
      <w:pPr>
        <w:pStyle w:val="TextoNormal"/>
      </w:pPr>
    </w:p>
    <w:p w:rsidR="0026452D" w:rsidRDefault="0026452D" w:rsidP="0026452D">
      <w:pPr>
        <w:pStyle w:val="TextoNormal"/>
      </w:pPr>
      <w:r>
        <w:t>Por su parte, el art. 93.3 de la Ley 25/1990 prevé que el Consejo Interterritorial del Sistema Nacional de Salud podrá acordar las condiciones generales de planificación, coordinación, contratación, adquisición y suministro de medicamentos en el Sistema Nacional de Salud. Es oportuno precisar al respecto que tales acuerdos, adoptados en el seno de un órgano de cooperación y coordinación, deben ser interpretados en los términos de la STC 76/1983, de 5 de agosto, en la que determinamos que “[l]a necesidad de hacer compatibles los principios de unidad y autonomía en que se apoya la organización territorial del Estado constitucionalmente establecida implica la creación de instrumentos que permitan articular la actuación de las diversas Administraciones públicas, entre los que se encuentran las Conferencias sectoriales”, sin que el legislador estatal pueda incidir “en el ejercicio de las competencias que, de acuerdo con el esquema constitucional de distribución de las mismas, hayan asumido las Comunidades Autónomas. De aquí que dichas conferencias no puedan sustituir a los órganos propios de las Comunidades, ni sus decisiones puedan anular las facultades decisorias de los mismos; las conferencias sectoriales han de ser órganos de encuentro para el examen de problemas comunes y para la discusión de las oportunas líneas de acción … No obstante, es preciso señalar que entre las competencias estatales figura de forma explícita la coordinación en diversos preceptos de la Constitución, con el alcance previsto en cada uno de ellos, y, en estos casos en que existe una atribución constitucional expresa, el alcance de los acuerdos de los órganos coordinadores será el que se derive del ejercicio de la correspondiente competencia” (FJ 13).</w:t>
      </w:r>
    </w:p>
    <w:p w:rsidR="0026452D" w:rsidRDefault="0026452D" w:rsidP="0026452D">
      <w:pPr>
        <w:pStyle w:val="TextoNormal"/>
      </w:pPr>
    </w:p>
    <w:p w:rsidR="0026452D" w:rsidRDefault="0026452D" w:rsidP="0026452D">
      <w:pPr>
        <w:pStyle w:val="TextoNormal"/>
      </w:pPr>
      <w:r>
        <w:t xml:space="preserve">No obstante, importa destacar que, a efectos de este proceso constitucional, no nos corresponde examinar si el acuerdo objeto del proceso </w:t>
      </w:r>
      <w:r w:rsidRPr="0026452D">
        <w:rPr>
          <w:i/>
        </w:rPr>
        <w:t>a quo</w:t>
      </w:r>
      <w:r>
        <w:t xml:space="preserve"> resulta contrario a un eventual acuerdo del Consejo Interterritorial del Sistema Nacional de Salud que, por su contenido, pudiera tener la naturaleza coordinadora que, en los términos de la citada Sentencia, deriva del propio art. 149.1.16 CE, lo que habría de ser, en su caso, objeto de un juicio de legalidad ordinaria. Lo relevante aquí es que el marco básico descrito despeja la primera duda acerca de la constitucionalidad de la Ley Foral 12/2000, toda vez que el régimen de conciertos con las oficinas de farmacia previsto en la misma no sólo no entra en contradicción con la legislación básica estatal, sino que es uno de los instrumentos que ésta contempla en el ámbito de la colaboración de las farmacias con el Sistema Nacional de Salud, como reza la rúbrica del citado art. 97 de la Ley 25/1990.</w:t>
      </w:r>
    </w:p>
    <w:p w:rsidR="0026452D" w:rsidRDefault="0026452D" w:rsidP="0026452D">
      <w:pPr>
        <w:pStyle w:val="TextoNormal"/>
      </w:pPr>
    </w:p>
    <w:p w:rsidR="0026452D" w:rsidRDefault="0026452D" w:rsidP="0026452D">
      <w:pPr>
        <w:pStyle w:val="TextoNormal"/>
      </w:pPr>
      <w:r>
        <w:t>b) En este contexto, y avanzando un paso más, procede ahora examinar si la dispensación de medicamentos puede ser objeto específico del régimen de concierto o, si por el contrario, se trata de una obligación de origen legal que no consiente la adhesión voluntaria.</w:t>
      </w:r>
    </w:p>
    <w:p w:rsidR="0026452D" w:rsidRDefault="0026452D" w:rsidP="0026452D">
      <w:pPr>
        <w:pStyle w:val="TextoNormal"/>
      </w:pPr>
    </w:p>
    <w:p w:rsidR="0026452D" w:rsidRDefault="0026452D" w:rsidP="0026452D">
      <w:pPr>
        <w:pStyle w:val="TextoNormal"/>
      </w:pPr>
      <w:r>
        <w:t>De acuerdo con el art. 107.3 LGSS 1974, la dispensación de medicamentos para su aplicación fuera de las instituciones propias o concertadas de la Seguridad Social “se efectuará a través de las oficinas de farmacia legalmente establecidas, que estarán obligadas a efectuar su dispensación”. A estos efectos el apartado 4 del mismo precepto previó un sistema de concierto entre la Seguridad Social y los laboratorios y farmacias, a través de sus representaciones legales sindicales y corporativas, regulando asimismo el procedimiento a seguir en los casos de falta de acuerdo o falta de aceptación del régimen pactado por parte de uno o varios laboratorios.</w:t>
      </w:r>
    </w:p>
    <w:p w:rsidR="0026452D" w:rsidRDefault="0026452D" w:rsidP="0026452D">
      <w:pPr>
        <w:pStyle w:val="TextoNormal"/>
      </w:pPr>
    </w:p>
    <w:p w:rsidR="0026452D" w:rsidRDefault="0026452D" w:rsidP="0026452D">
      <w:pPr>
        <w:pStyle w:val="TextoNormal"/>
      </w:pPr>
      <w:r>
        <w:lastRenderedPageBreak/>
        <w:t>Sin embargo, tal régimen de concertación general fue establecido en relación con la prestación farmacéutica de la Seguridad Social en sentido estricto, formando así parte de un ámbito material ajeno al encuadramiento competencial de este debate procesal, como ha quedado expuesto en el fundamento jurídico 3. Baste pues señalar, sin entrar a dilucidar la vigencia total o parcial del art. 107 LGSS 1974, que, a la vista de la posterior evolución legislativa, no es posible identificar las prestaciones farmacéuticas de la Seguridad Social y del actual Sistema Nacional de Salud, en el contexto de descentralización autonómica de la prestación del servicio sanitario. Hito de esta transición es el art. 3.2 de la Ley general de sanidad, al extender la asistencia sanitaria pública a toda la población española y proclamar que el acceso y las prestaciones sanitarias se realizarán en condiciones de igualdad efectiva y, en concreto y en lo que aquí interesa, al reconocer el derecho de todos a obtener los medicamentos y productos sanitarios que se consideren necesarios para promover, conservar o restablecer su salud, en los términos que reglamentariamente se establezcan por la Administración del Estado (art. 10.14). En la misma línea, el art. 93.1 de la Ley 25/1990 reconoce el derecho de todos a obtener medicamentos en condiciones de igualdad en todo el territorio nacional, dentro del Sistema Nacional de Salud.</w:t>
      </w:r>
    </w:p>
    <w:p w:rsidR="0026452D" w:rsidRDefault="0026452D" w:rsidP="0026452D">
      <w:pPr>
        <w:pStyle w:val="TextoNormal"/>
      </w:pPr>
    </w:p>
    <w:p w:rsidR="0026452D" w:rsidRDefault="0026452D" w:rsidP="0026452D">
      <w:pPr>
        <w:pStyle w:val="TextoNormal"/>
      </w:pPr>
      <w:r>
        <w:t>Este derecho tiene su deber reflejo en el art. 88.1 de la misma Ley 25/1990, que remite a las Administraciones sanitarias competentes la ordenación de las oficinas de farmacia, debiendo tener en cuenta, entre otros criterios, el previsto en su apartado d), a cuyo tenor las oficinas de farmacia “vienen obligadas a dispensar los medicamentos que se les demanden tanto por los particulares como por el Sistema Nacional de Salud en las condiciones reglamentarias establecidas”. La efectividad del deber de dispensación aparece por tanto condicionada en el propio precepto básico, al requerir un complemento normativo sin el cual no podría exigirse su cumplimiento, por elementales razones de seguridad jurídica. Así lo hemos señalado previamente, indicando que el art. 88.1 d), “amén de establecer ese núcleo esencial, también hace mención expresa a que la obligación de dispensación lo sea en ‘las condiciones reglamentariamente establecidas’, lo que implica, obviamente, una explicita remisión a la colaboración reglamentaria”, estando las Comunidades Autónomas “habilitadas por el propio art. 88.1 de la Ley del medicamento, que establece que las Administraciones sanitarias con competencias en ordenación farmacéutica realizarán la de las oficinas de farmacia conforme, entre otros, al criterio de garantizar la adecuada asistencia farmacéutica” (STC 242/2005, de 10 de octubre, FJ 3). Tal consideración resulta también válida, evidentemente, para la normativa autonómica de rango legal, pues como determinamos en la STC 161/2011, de 19 de octubre, “el titular de un establecimiento de farmacia presta un servicio público en las condiciones que a la Comunidad Autónoma compete establecer y con las obligaciones que de dicha condición se derivan” (FJ 3).</w:t>
      </w:r>
    </w:p>
    <w:p w:rsidR="0026452D" w:rsidRDefault="0026452D" w:rsidP="0026452D">
      <w:pPr>
        <w:pStyle w:val="TextoNormal"/>
      </w:pPr>
    </w:p>
    <w:p w:rsidR="0026452D" w:rsidRDefault="0026452D" w:rsidP="0026452D">
      <w:pPr>
        <w:pStyle w:val="TextoNormal"/>
      </w:pPr>
      <w:r>
        <w:t xml:space="preserve">La normativa de desarrollo del deber básico establecido en el art. 88.1 d) de la Ley 25/1990 deviene así imprescindible para colmar la garantía de la asistencia farmacéutica que deriva del derecho de todos a obtener medicamentos en condiciones de igualdad efectiva en todo el territorio nacional y, en última instancia, del derecho a la protección de la salud que, como principio rector, reconoce el art. 43.1 CE, que obliga a los poderes públicos “no sólo al despliegue de la correspondiente acción administrativa prestacional, sino además a desarrollar la acción normativa que resulte necesaria para asegurar el cumplimiento de esos mandatos constitucionales” (STC 113/1989, de 22 de junio, FJ 3). En este sentido, es necesario resaltar que el art. 43.2 CE llama a los poderes públicos a organizar y tutelar la salud pública a través de medidas preventivas y de las prestaciones y servicios necesarios, </w:t>
      </w:r>
      <w:r>
        <w:lastRenderedPageBreak/>
        <w:t>debiendo ser la ley la que establezca los derechos y deberes de todos al respecto. Incumbe por tanto a los poderes públicos, en el ámbito de sus respectivas competencias, adoptar las medidas necesarias para que no se produzca un déficit normativo que deje reducido el deber de dispensación del art. 88.1 d) de la Ley 25/1990 a una proclamación legal vacía de contenido efectivo.</w:t>
      </w:r>
    </w:p>
    <w:p w:rsidR="0026452D" w:rsidRDefault="0026452D" w:rsidP="0026452D">
      <w:pPr>
        <w:pStyle w:val="TextoNormal"/>
      </w:pPr>
    </w:p>
    <w:p w:rsidR="0026452D" w:rsidRDefault="0026452D" w:rsidP="0026452D">
      <w:pPr>
        <w:pStyle w:val="TextoNormal"/>
      </w:pPr>
      <w:r>
        <w:t>Al abordar este desarrollo normativo, necesariamente habrá de respetarse el núcleo esencial del deber de dispensación, que es de naturaleza legal y de indiscutible naturaleza básica, por estar vinculado al interés público sanitario y a la garantía de acceso a la prestación farmacéutica del Sistema Nacional de Salud en condiciones de igualdad efectiva para todos los ciudadanos. Ello supone que la Comunidad Foral de Navarra, competente para el desarrollo de este precepto básico, podrá y deberá fijar las condiciones en que deberá efectuarse la dispensación de medicamentos y productos sanitarios prescritos por los facultativos del Sistema Nacional de Salud, pero tal normativa de desarrollo no puede poner en entredicho la existencia misma del deber legal de dispensación, ya que con ello se vulnera la normativa básica. Así sucede con el derecho de concertación que la Ley Foral 12/2000 reconoce a los propietarios titulares de oficina de farmacia, que incluye la dispensación de los medicamentos y productos sanitarios en el ámbito del Sistema Nacional de Salud, dando lugar a un régimen dual que aparece descrito en su exposición de motivos en los siguientes términos: “[l]a doble condición de las oficinas de farmacia como establecimientos privados de interés público se refleja en la presente Ley Foral en la distinción de unas disposiciones de carácter general aplicables a todas las oficinas de farmacia, en cuanto a requisitos a cumplir para obtener la oportuna licencia de apertura, y de otras condiciones más específicas en relación al modo, manera y condiciones de prestación farmacéutica, y cuya concertación compete al Servicio Navarro de Salud-Osasunbidea como responsable de la gestión de las prestaciones del Sistema Nacional de Salud en el ámbito de la Comunidad Foral de Navarra”.</w:t>
      </w:r>
    </w:p>
    <w:p w:rsidR="0026452D" w:rsidRDefault="0026452D" w:rsidP="0026452D">
      <w:pPr>
        <w:pStyle w:val="TextoNormal"/>
      </w:pPr>
    </w:p>
    <w:p w:rsidR="0026452D" w:rsidRDefault="0026452D" w:rsidP="0026452D">
      <w:pPr>
        <w:pStyle w:val="TextoNormal"/>
      </w:pPr>
      <w:r>
        <w:t>Se enerva de esta manera el cumplimiento del deber legal de dispensación, que queda al arbitrio de la libre y voluntaria decisión de los propietarios-titulares de las oficinas de farmacia, en abierta contradicción con lo previsto en el art. 88.1 d) de la Ley 25/1990. Por este motivo, incurre en inconstitucionalidad el art. 29 de la Ley Foral 12/2000, al reconocer su apartado 1 un derecho de concertación directamente vinculado, en su apartado 2, a la dispensación de medicamentos y productos sanitarios prescritos por los facultativos del Sistema Nacional de Salud, que se hace así depender de la adhesión voluntaria de los propietarios titulares de las oficinas de farmacia al acuerdo marco tantas veces mencionado. Por el mismo motivo, resulta asimismo inconstitucional el art. 30.4, en el inciso “y otorgará la posibilidad de que los titulares-propietarios puedan adherirse a las mismas mediante su formalización con el Servicio Navarro de Salud-Osasunbidea”, dado que reitera el indicado régimen de adhesión voluntaria.</w:t>
      </w:r>
    </w:p>
    <w:p w:rsidR="0026452D" w:rsidRDefault="0026452D" w:rsidP="0026452D">
      <w:pPr>
        <w:pStyle w:val="TextoNormal"/>
      </w:pPr>
    </w:p>
    <w:p w:rsidR="0026452D" w:rsidRDefault="0026452D" w:rsidP="0026452D">
      <w:pPr>
        <w:pStyle w:val="TextoNormal"/>
      </w:pPr>
      <w:r w:rsidRPr="0026452D">
        <w:rPr>
          <w:rStyle w:val="NumeroAFNegritaCaracter"/>
        </w:rPr>
        <w:t>6</w:t>
      </w:r>
      <w:r>
        <w:t>. De la conclusión alcanzada en el fundamento jurídico anterior, empero, no cabe deducir la inconstitucionalidad del entero régimen de concertación establecido por la Ley Foral 12/2000. Así lo impone el principio de conservación de la ley, que obliga a “apurar todas las posibilidades de interpretar los preceptos de conformidad con la Constitución y apreciar la invalidez sólo de aquellos cuya incompatibilidad resulte indudable por ser imposible llevar a cabo dicha interpretación” (por todas, STC 148/2011, de 28 de septiembre, FJ 7).</w:t>
      </w:r>
    </w:p>
    <w:p w:rsidR="0026452D" w:rsidRDefault="0026452D" w:rsidP="0026452D">
      <w:pPr>
        <w:pStyle w:val="TextoNormal"/>
      </w:pPr>
    </w:p>
    <w:p w:rsidR="0026452D" w:rsidRDefault="0026452D" w:rsidP="0026452D">
      <w:pPr>
        <w:pStyle w:val="TextoNormal"/>
      </w:pPr>
      <w:r>
        <w:lastRenderedPageBreak/>
        <w:t>Como ya hemos tenido ocasión de señalar, la legislación básica estatal ha optado por fijar un modelo basado en dos pilares: un genérico deber de dispensación cuya efectividad requiere de norma heterónoma [art. 88.1 d) de la Ley 25/1990], y un régimen de concertación potestativo con las oficinas de farmacia, “con independencia de las obligaciones establecidas en esta Ley y las que reglamentariamente se determinen”, como expresamente se recoge en el art. 97.2 de la Ley 25/1990. Por tanto, una vez que la Ley Foral 12/2000 ha quedado depurada de la inconstitucionalidad derivada de la infracción del primero de dichos pilares, y constatando que la normativa básica abre la posibilidad de concertación voluntaria siempre que quede al margen de la misma el cumplimiento de las obligaciones de origen legal, nos corresponde analizar bajo esta óptica el resto de los preceptos cuestionados, que no se refieren expresamente a la dispensación de medicamentos y productos sanitarios en el ámbito del Sistema Nacional de Salud.</w:t>
      </w:r>
    </w:p>
    <w:p w:rsidR="0026452D" w:rsidRDefault="0026452D" w:rsidP="0026452D">
      <w:pPr>
        <w:pStyle w:val="TextoNormal"/>
      </w:pPr>
    </w:p>
    <w:p w:rsidR="0026452D" w:rsidRDefault="0026452D" w:rsidP="0026452D">
      <w:pPr>
        <w:pStyle w:val="TextoNormal"/>
      </w:pPr>
      <w:r>
        <w:t>a) Entre los aspectos que quedan comprendidos en el concierto, el art. 31.2 f) incluye las “condiciones económicas en la atención farmacéutica y de la provisión de los medicamentos a los ciudadanos”, lo que se reputa contrario al régimen de precios establecido por la legislación básica estatal en relación con la financiación de especialidades farmacéuticas en el Sistema Nacional de Salud.</w:t>
      </w:r>
    </w:p>
    <w:p w:rsidR="0026452D" w:rsidRDefault="0026452D" w:rsidP="0026452D">
      <w:pPr>
        <w:pStyle w:val="TextoNormal"/>
      </w:pPr>
    </w:p>
    <w:p w:rsidR="0026452D" w:rsidRDefault="0026452D" w:rsidP="0026452D">
      <w:pPr>
        <w:pStyle w:val="TextoNormal"/>
      </w:pPr>
      <w:r>
        <w:t>Al respecto, hemos de recordar que en la STC 98/2004, antes citada, afirmamos el carácter formal y materialmente básico de la normativa estatal que regula la prestación farmacéutica y su financiación pública, aludiendo concretamente a la Ley 16/2003, de 28 de mayo, de cohesión y calidad del Sistema Nacional de Salud, cuyo art. 16 remite a lo dispuesto en la Ley 25/1990, que constituye la norma relevante para determinar la constitucionalidad indirecta o mediata en este proceso constitucional, según lo razonado en el precedente fundamento jurídico 2 a). Dijimos entonces que “la financiación pública del medicamento, a través del establecimiento de precios de referencia o sistema equivalente, es, ciertamente, un aspecto esencial o nuclear de la regulación de la prestación farmacéutica, al ser un presupuesto necesario para el acceso de los ciudadanos a los medicamentos en condiciones de igualdad, a precio razonable y con un precio público ajustado … De esta forma se garantiza una uniformidad mínima en las condiciones de acceso a los medicamentos con independencia del lugar en el que dentro del territorio nacional se resida y se evita la introducción de factores de desigualdad en la protección básica de la salud” (FJ 7).</w:t>
      </w:r>
    </w:p>
    <w:p w:rsidR="0026452D" w:rsidRDefault="0026452D" w:rsidP="0026452D">
      <w:pPr>
        <w:pStyle w:val="TextoNormal"/>
      </w:pPr>
    </w:p>
    <w:p w:rsidR="0026452D" w:rsidRDefault="0026452D" w:rsidP="0026452D">
      <w:pPr>
        <w:pStyle w:val="TextoNormal"/>
      </w:pPr>
      <w:r>
        <w:t xml:space="preserve">Pero también precisamos a continuación que “esa necesaria uniformidad mínima, que corresponde establecer al Estado, asegurando así un nivel mínimo homogéneo o nivel de suficiencia de las prestaciones sanitarias públicas, puede ser susceptible de mejora, en su caso, por parte de las Comunidades Autónomas, en virtud de su competencia sustantiva y de su autonomía financiera, siempre y cuando, con ello, no se contravengan las exigencias que impone el principio de solidaridad (arts. 2 y 138 CE)”. Por tanto, el acceso a la prestación farmacéutica del Sistema Nacional de Salud en condiciones de igualdad “presupone necesariamente una regulación uniforme mínima y de vigencia en todo el territorio español que establezca un sistema de precios de referencia a los efectos de determinar el alcance de su financiación pública, de tal modo que quede garantizado a todos los ciudadanos, con independencia de la Comunidad Autónoma en que residan, el disfrute de medicamentos financiados públicamente al menos en un mismo porcentaje mínimo, susceptible, como ha quedado ya dicho, de ser incrementado en virtud de las disponibilidades financieras de cada </w:t>
      </w:r>
      <w:r>
        <w:lastRenderedPageBreak/>
        <w:t>Comunidad en cuestión” (FJ 7). A partir de este razonamiento, concluimos en dicha Sentencia en una interpretación de conformidad, entendiendo que la facultad atribuida en aquel caso al Gobierno de Canarias “lo es sólo para fijar precios de referencia, siempre que respeten los mínimos establecidos por la norma básica estatal” (FJ 8).</w:t>
      </w:r>
    </w:p>
    <w:p w:rsidR="0026452D" w:rsidRDefault="0026452D" w:rsidP="0026452D">
      <w:pPr>
        <w:pStyle w:val="TextoNormal"/>
      </w:pPr>
    </w:p>
    <w:p w:rsidR="0026452D" w:rsidRDefault="0026452D" w:rsidP="0026452D">
      <w:pPr>
        <w:pStyle w:val="TextoNormal"/>
      </w:pPr>
      <w:r>
        <w:t>Precisamos asimismo en la STC 136/2012, de 19 de junio, que “la definición de la modalidad de financiación aplicable a las diferentes prestaciones sanitarias, 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 (FJ 5).</w:t>
      </w:r>
    </w:p>
    <w:p w:rsidR="0026452D" w:rsidRDefault="0026452D" w:rsidP="0026452D">
      <w:pPr>
        <w:pStyle w:val="TextoNormal"/>
      </w:pPr>
    </w:p>
    <w:p w:rsidR="0026452D" w:rsidRDefault="0026452D" w:rsidP="0026452D">
      <w:pPr>
        <w:pStyle w:val="TextoNormal"/>
      </w:pPr>
      <w:r>
        <w:t>En atención a esta doctrina, el precepto admite una interpretación conforme, con apoyo adicional en el art. 47.4 s) de la propia Ley Foral, que en la tipificación de las infracciones distingue nítidamente entre el incumplimiento de las condiciones económicas sobre aportación del beneficiario establecidas por la legislación estatal, y otras condiciones económicas comprendidas en el acuerdo marco que sirve de base a los conciertos. Procede entender, por tanto, que la fijación mediante concierto de las “condiciones económicas en la atención farmacéutica y de la provisión de los medicamentos a los ciudadanos” no resulta inconstitucional, siempre que dichas condiciones se refieran a aspectos distintos de las condiciones económicas sobre aportación del beneficiario establecidas en la legislación estatal.</w:t>
      </w:r>
    </w:p>
    <w:p w:rsidR="0026452D" w:rsidRDefault="0026452D" w:rsidP="0026452D">
      <w:pPr>
        <w:pStyle w:val="TextoNormal"/>
      </w:pPr>
    </w:p>
    <w:p w:rsidR="0026452D" w:rsidRDefault="0026452D" w:rsidP="0026452D">
      <w:pPr>
        <w:pStyle w:val="TextoNormal"/>
      </w:pPr>
      <w:r>
        <w:t>Así interpretado, el precepto no vulnera la legislación básica estatal, y así se dispondrá en el fallo.</w:t>
      </w:r>
    </w:p>
    <w:p w:rsidR="0026452D" w:rsidRDefault="0026452D" w:rsidP="0026452D">
      <w:pPr>
        <w:pStyle w:val="TextoNormal"/>
      </w:pPr>
    </w:p>
    <w:p w:rsidR="0026452D" w:rsidRDefault="0026452D" w:rsidP="0026452D">
      <w:pPr>
        <w:pStyle w:val="TextoNormal"/>
      </w:pPr>
      <w:r>
        <w:t>b) Los restantes elementos que deben formar parte del contenido del concierto, según el art. 31.2, encajan sin ninguna dificultad en las previsiones de la legislación básica estatal.</w:t>
      </w:r>
    </w:p>
    <w:p w:rsidR="0026452D" w:rsidRDefault="0026452D" w:rsidP="0026452D">
      <w:pPr>
        <w:pStyle w:val="TextoNormal"/>
      </w:pPr>
    </w:p>
    <w:p w:rsidR="0026452D" w:rsidRDefault="0026452D" w:rsidP="0026452D">
      <w:pPr>
        <w:pStyle w:val="TextoNormal"/>
      </w:pPr>
      <w:r>
        <w:t>En lo relativo a los horarios, turnos de guardia o vacaciones, el art. 6.1 de la Ley 16/1997, de 25 de abril, de regulación de servicios de las oficinas de farmacia, dispone que las oficinas de farmacia “prestarán sus servicios en régimen de libertad y flexibilidad, sin perjuicio del cumplimiento de los horarios oficiales y normas sobre guardias, vacaciones, urgencias y demás circunstancias derivadas de la naturaleza de su servicio, fijadas por las Comunidades Autónomas, al objeto de garantizar la continuidad de la asistencia”. Tal precepto básico tiene su reflejo en el art. 22.1 de la Ley Foral 12/2000, que ha sido desarrollado mediante la aprobación del Decreto Foral 129/2003, de 26 de mayo, por el que se establece el horario de atención al público, el servicio de guardia y el cierre temporal por vacaciones de las oficinas de farmacia, de aplicación a todas las oficinas de farmacia autorizadas en el ámbito territorial de la Comunidad Foral de Navarra (art. 1). Ello preserva la atención farmacéutica prestada por el conjunto de las oficinas de farmacia, sin que resulte incompatible con este régimen general la previsión de un régimen concertado sobre estos aspectos.</w:t>
      </w:r>
    </w:p>
    <w:p w:rsidR="0026452D" w:rsidRDefault="0026452D" w:rsidP="0026452D">
      <w:pPr>
        <w:pStyle w:val="TextoNormal"/>
      </w:pPr>
    </w:p>
    <w:p w:rsidR="0026452D" w:rsidRDefault="0026452D" w:rsidP="0026452D">
      <w:pPr>
        <w:pStyle w:val="TextoNormal"/>
      </w:pPr>
      <w:r>
        <w:t xml:space="preserve">En lo demás, el contenido del concierto en relación con aspectos tales como los programas de calidad, el uso racional del medicamento, la educación sanitaria o la promoción de medicamentos genéricos, se integra con naturalidad en el ámbito de colaboración de las oficinas de farmacia, en su condición de establecimientos sanitarios, para garantizar el uso racional de los medicamentos en la atención primaria a la salud (arts. 87 y 97.1 de la Ley </w:t>
      </w:r>
      <w:r>
        <w:lastRenderedPageBreak/>
        <w:t>25/1990). Es más, según el art. 93.1 de la Ley 25/1990, el derecho de todos a obtener medicamentos en condiciones de igualdad en el Sistema Nacional de Salud se reconoce “sin perjuicio de las medidas tendentes a racionalizar la utilización de medicamentos que puedan adoptar las Comunidades Autónomas en el ejercicio de sus competencias”, por lo que no es posible hallar contradicción alguna entre las previsiones de la normativa básica y el contenido mínimo del concierto previsto en este precepto de la Ley Foral 12/2000.</w:t>
      </w:r>
    </w:p>
    <w:p w:rsidR="0026452D" w:rsidRDefault="0026452D" w:rsidP="0026452D">
      <w:pPr>
        <w:pStyle w:val="TextoNormal"/>
      </w:pPr>
    </w:p>
    <w:p w:rsidR="0026452D" w:rsidRDefault="0026452D" w:rsidP="0026452D">
      <w:pPr>
        <w:pStyle w:val="TextoNormal"/>
      </w:pPr>
      <w:r>
        <w:t>c) En atención al mismo principio de conservación de la ley, tampoco resulta incompatible con la legislación básica estatal el art. 32 de la Ley Foral 12/2000, toda vez que se limita a regular con carácter general los requisitos y causas de extinción de los conciertos que suscriban las oficinas de farmacia con el Servicio Navarro de Salud-Osasunbidea, y como ha quedado expuesto, tal concertación es una posibilidad expresamente contemplada por el art. 97.2 de la Ley 25/1990, siempre que no afecte al deber de dispensación.</w:t>
      </w:r>
    </w:p>
    <w:p w:rsidR="0026452D" w:rsidRDefault="0026452D" w:rsidP="0026452D">
      <w:pPr>
        <w:pStyle w:val="TextoNormal"/>
      </w:pPr>
    </w:p>
    <w:p w:rsidR="0026452D" w:rsidRDefault="0026452D" w:rsidP="0026452D">
      <w:pPr>
        <w:pStyle w:val="TextoNormal"/>
      </w:pPr>
      <w:r w:rsidRPr="0026452D">
        <w:rPr>
          <w:rStyle w:val="NumeroAFNegritaCaracter"/>
        </w:rPr>
        <w:t>7</w:t>
      </w:r>
      <w:r>
        <w:t>. Procede, por último, examinar los aspectos organizativos que han sido cuestionados en el Auto de planteamiento, por apartarse de lo dispuesto en el art. 107.4 LGSS 1974, a cuyo tenor los precios y demás condiciones económicas de la adquisición y dispensación de productos y especialidades farmacéuticas se concertarán por la Seguridad Social con laboratorios y farmacias, “a través de sus representaciones legales sindicales y corporativas”.</w:t>
      </w:r>
    </w:p>
    <w:p w:rsidR="0026452D" w:rsidRDefault="0026452D" w:rsidP="0026452D">
      <w:pPr>
        <w:pStyle w:val="TextoNormal"/>
      </w:pPr>
    </w:p>
    <w:p w:rsidR="0026452D" w:rsidRDefault="0026452D" w:rsidP="0026452D">
      <w:pPr>
        <w:pStyle w:val="TextoNormal"/>
      </w:pPr>
      <w:r>
        <w:t>a) Debemos señalar en primer lugar que no es posible confrontar la composición de la Comisión de Atención Farmacéutica de Navarra establecida en el art. 28.1 de la Ley Foral 12/2000 con las previsiones del art. 107.4 LGSS 1974, si se repara en que las funciones de aquélla no se circunscriben a la concertación de los precios y demás condiciones económicas de la adquisición y dispensación de productos farmacéuticos, sino que, según el apartado 2 del mismo precepto, alcanzan también a otras funciones de carácter consultivo, en relación con aspectos tales como la atención farmacéutica continuada, los proyectos de normas reglamentarias, la revisión de la planificación farmacéutica, o los expedientes sancionadores, entre otros.</w:t>
      </w:r>
    </w:p>
    <w:p w:rsidR="0026452D" w:rsidRDefault="0026452D" w:rsidP="0026452D">
      <w:pPr>
        <w:pStyle w:val="TextoNormal"/>
      </w:pPr>
    </w:p>
    <w:p w:rsidR="0026452D" w:rsidRDefault="0026452D" w:rsidP="0026452D">
      <w:pPr>
        <w:pStyle w:val="TextoNormal"/>
      </w:pPr>
      <w:r>
        <w:t>Se configura así un órgano de participación y consulta en el ámbito de las competencias de la Comunidad Foral, que es manifestación de su potestad de autoorganización, por lo que no es susceptible de reproche de inconstitucionalidad.</w:t>
      </w:r>
    </w:p>
    <w:p w:rsidR="0026452D" w:rsidRDefault="0026452D" w:rsidP="0026452D">
      <w:pPr>
        <w:pStyle w:val="TextoNormal"/>
      </w:pPr>
    </w:p>
    <w:p w:rsidR="0026452D" w:rsidRDefault="0026452D" w:rsidP="0026452D">
      <w:pPr>
        <w:pStyle w:val="TextoNormal"/>
      </w:pPr>
      <w:r>
        <w:t>b) La duda que se nos ha planteado debe pues enfocarse únicamente sobre el art. 28.3, que crea la subcomisión negociadora del acuerdo marco sobre las condiciones de concertación de las oficinas de farmacia, compuesta por los tres miembros de la Comisión de Atención Farmacéutica que representan al Servicio Navarro de Salud-Osasunbidea y otros tres designados entre los representantes de los farmacéuticos con oficina de farmacia.</w:t>
      </w:r>
    </w:p>
    <w:p w:rsidR="0026452D" w:rsidRDefault="0026452D" w:rsidP="0026452D">
      <w:pPr>
        <w:pStyle w:val="TextoNormal"/>
      </w:pPr>
    </w:p>
    <w:p w:rsidR="0026452D" w:rsidRDefault="0026452D" w:rsidP="0026452D">
      <w:pPr>
        <w:pStyle w:val="TextoNormal"/>
      </w:pPr>
      <w:r>
        <w:t xml:space="preserve">Si bien, como hemos señalado previamente, el carácter preconstitucional de la norma estatal de contraste no excluye la posible inferencia de criterios materialmente básicos, tratándose de una norma organizativa, es preciso traer a colación la doctrina recopilada en la STC 251/2006, de 25 de julio, FFJJ 9 y 10, en la que hemos recordado que, en esta esfera, conformar libremente la estructura orgánica de su aparato administrativo, y establecer cuáles son los órganos e instituciones que configuran las respectivas Administraciones, son </w:t>
      </w:r>
      <w:r>
        <w:lastRenderedPageBreak/>
        <w:t>decisiones que corresponden únicamente a las Comunidades Autónomas y, en consecuencia, el Estado debe abstenerse de cualquier intervención en este ámbito. (SSTC 35/1982, de 14 de junio, FJ 2, 165/1986, de 18 de diciembre, FJ 6, y 50/1999, de 6 de abril, FJ 3)”.</w:t>
      </w:r>
    </w:p>
    <w:p w:rsidR="0026452D" w:rsidRDefault="0026452D" w:rsidP="0026452D">
      <w:pPr>
        <w:pStyle w:val="TextoNormal"/>
      </w:pPr>
    </w:p>
    <w:p w:rsidR="0026452D" w:rsidRDefault="0026452D" w:rsidP="0026452D">
      <w:pPr>
        <w:pStyle w:val="TextoNormal"/>
      </w:pPr>
      <w:r>
        <w:t>Ciertamente, en la STC 251/2006 admitimos también que el Estado “puede establecer, desde la competencia sobre bases del régimen jurídico de las Administraciones públicas del art. 149.1.18 CE, principios y reglas básicas sobre aspectos organizativos y de funcionamiento de todas las Administraciones públicas … de modo que el establecimiento de normas básicas sobre la estructura o composición de estos órganos [colegiados], aunque pueda en determinados supuestos concretarse, sólo resultará legítima en su perspectiva constitucional cuando ello resulte imprescindible para garantizar la igualdad de trato de los ciudadanos en el segmento correspondiente de actividad administrativa, es decir, cuando dicha igualdad no quede garantizada, como será la regla habitual, mediante la sujeción de la actuación del órgano colegiado a las reglas jurídicas sustantivas de aplicación en dicho segmento de actividad” (FJ 10).</w:t>
      </w:r>
    </w:p>
    <w:p w:rsidR="0026452D" w:rsidRDefault="0026452D" w:rsidP="0026452D">
      <w:pPr>
        <w:pStyle w:val="TextoNormal"/>
      </w:pPr>
    </w:p>
    <w:p w:rsidR="0026452D" w:rsidRDefault="0026452D" w:rsidP="0026452D">
      <w:pPr>
        <w:pStyle w:val="TextoNormal"/>
      </w:pPr>
      <w:r>
        <w:t>No es éste, sin embargo, el caso del art. 107.4 LGSS 1974. A lo que ya hemos señalado en el precedente fundamento jurídico 5 b), procede añadir ahora que, pese a no haber sido derogado expresamente (disposición derogatoria única a 2 del texto refundido de la Ley general de la Seguridad Social aprobado por Real Decreto Legislativo 1/1994, de 20 de junio), el precepto no se ha visto confirmado en su totalidad por la normativa postconstitucional, como señala el Fiscal General del Estado. En cualquier caso, de la discutida y discutible derogación tácita, no cabría inferir conclusiones diferentes. Baste pues con afirmar que carecería de sentido deducir del citado art. 107.4 LGSS 1974 un modelo organizativo que pudiera considerarse básico, si se tiene en cuenta que, de las tres partes llamadas a la concertación en el mismo, en la vertiente administrativa la competencia no corresponde ya a la Seguridad Social, y en la vertiente sindical resulta obvio que el precepto alude a la representación asignada a la antigua Organización Sindical que fue suprimida ya en la etapa preconstitucional, como advertimos en la STC 51/1984, de 25 de abril, FJ 2. Por sí sola, esta constatación sería suficiente para descartar que el elemento restante del modelo, la representación corporativa, un aspecto meramente parcial y fragmentario del mismo, pueda considerarse básico, ya que ni los restantes sujetos ni, sobre todo, el propio objeto de la concertación son coincidentes con los examinados en este proceso constitucional.</w:t>
      </w:r>
    </w:p>
    <w:p w:rsidR="0026452D" w:rsidRDefault="0026452D" w:rsidP="0026452D">
      <w:pPr>
        <w:pStyle w:val="TextoNormal"/>
      </w:pPr>
    </w:p>
    <w:p w:rsidR="0026452D" w:rsidRDefault="0026452D" w:rsidP="0026452D">
      <w:pPr>
        <w:pStyle w:val="TextoNormal"/>
      </w:pPr>
      <w:r>
        <w:t>En definitiva, la profunda transformación del ordenamiento aplicable, tanto en la vertiente del tránsito de la prestación farmacéutica desde del sistema de Seguridad Social al Sistema Nacional de Salud, como en la vertiente de la descentralización y consiguiente asunción de la gestión de los servicios sanitarios por parte de las Comunidades Autónomas, impide que consideremos aplicable, como normativa básica, un modelo organizativo regulado a partir de una concepción sindical-corporativa ajena por completo a los principios de libertad de asociación, libertad sindical y pluralismo constitucionalmente consagrados, con los que resulta manifiestamente incompatible.</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lastRenderedPageBreak/>
        <w:t>Ha decidido</w:t>
      </w:r>
    </w:p>
    <w:p w:rsidR="0026452D" w:rsidRDefault="0026452D" w:rsidP="0026452D">
      <w:pPr>
        <w:pStyle w:val="TextoNormalCentrado"/>
        <w:keepNext/>
      </w:pPr>
    </w:p>
    <w:p w:rsidR="0026452D" w:rsidRDefault="0026452D" w:rsidP="0026452D">
      <w:pPr>
        <w:pStyle w:val="TextoNormal"/>
      </w:pPr>
      <w:r>
        <w:t>1º Declarar inconstitucionales y nulos los arts. 29 y 30.4, en el inciso “y otorgará la posibilidad de que los titulares-propietarios puedan adherirse a las mismas mediante su formalización con el Servicio Navarro de Salud-Osasunbidea”, de la Ley Foral 12/2000, de 16 de noviembre, de atención farmacéutica.</w:t>
      </w:r>
    </w:p>
    <w:p w:rsidR="0026452D" w:rsidRDefault="0026452D" w:rsidP="0026452D">
      <w:pPr>
        <w:pStyle w:val="TextoNormal"/>
      </w:pPr>
    </w:p>
    <w:p w:rsidR="0026452D" w:rsidRDefault="0026452D" w:rsidP="0026452D">
      <w:pPr>
        <w:pStyle w:val="TextoNormal"/>
      </w:pPr>
      <w:r>
        <w:t>2º Declarar que el art. 31.2 f) de la Ley Foral 12/2000, de 16 de noviembre, de atención farmacéutica, no es inconstitucional, siempre que se interprete en los términos establecidos en el fundamento jurídico 6 a) de esta Sentencia.</w:t>
      </w:r>
    </w:p>
    <w:p w:rsidR="0026452D" w:rsidRDefault="0026452D" w:rsidP="0026452D">
      <w:pPr>
        <w:pStyle w:val="TextoNormal"/>
      </w:pPr>
    </w:p>
    <w:p w:rsidR="0026452D" w:rsidRDefault="0026452D" w:rsidP="0026452D">
      <w:pPr>
        <w:pStyle w:val="TextoNormal"/>
      </w:pPr>
      <w:r>
        <w:t>3º Desestimar la cuestión de inconstitucionalidad núm. 4764-2007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26452D">
      <w:pPr>
        <w:pStyle w:val="TextoNormal"/>
      </w:pPr>
      <w:r>
        <w:t>Dada en Toledo, a seis de junio de dos mil trece.</w:t>
      </w:r>
    </w:p>
    <w:p w:rsidR="0026452D" w:rsidRDefault="0026452D">
      <w:pPr>
        <w:spacing w:after="160" w:line="259" w:lineRule="auto"/>
        <w:rPr>
          <w:rFonts w:ascii="Times New Roman" w:eastAsia="Times New Roman" w:hAnsi="Times New Roman" w:cs="Times New Roman"/>
          <w:sz w:val="24"/>
          <w:szCs w:val="24"/>
          <w:lang w:eastAsia="es-ES"/>
        </w:rPr>
      </w:pPr>
      <w:r>
        <w:br w:type="page"/>
      </w:r>
    </w:p>
    <w:p w:rsidR="0026452D" w:rsidRDefault="0026452D" w:rsidP="0026452D">
      <w:pPr>
        <w:pStyle w:val="TtuloResolucin"/>
      </w:pPr>
      <w:bookmarkStart w:id="141" w:name="SENTENCIA_2013_138"/>
      <w:r>
        <w:lastRenderedPageBreak/>
        <w:t>SENTENCIA 138/2013, de 6 de junio de 2013</w:t>
      </w:r>
    </w:p>
    <w:bookmarkEnd w:id="141"/>
    <w:p w:rsidR="0026452D" w:rsidRDefault="0026452D" w:rsidP="0026452D">
      <w:pPr>
        <w:pStyle w:val="TtuloResolucin"/>
      </w:pPr>
      <w:r>
        <w:t>Pleno</w:t>
      </w:r>
    </w:p>
    <w:p w:rsidR="0026452D" w:rsidRDefault="0026452D" w:rsidP="0026452D">
      <w:pPr>
        <w:pStyle w:val="TtuloResolucin"/>
      </w:pPr>
    </w:p>
    <w:p w:rsidR="0026452D" w:rsidRDefault="0026452D" w:rsidP="0026452D">
      <w:pPr>
        <w:pStyle w:val="TtuloBOE"/>
      </w:pPr>
      <w:r>
        <w:t>("BOE" núm. 157, de 2 de julio de 2013)</w:t>
      </w:r>
    </w:p>
    <w:p w:rsidR="0026452D" w:rsidRDefault="0026452D" w:rsidP="0026452D">
      <w:pPr>
        <w:pStyle w:val="TtuloBOE"/>
      </w:pPr>
    </w:p>
    <w:p w:rsidR="0026452D" w:rsidRDefault="0026452D" w:rsidP="0026452D">
      <w:pPr>
        <w:pStyle w:val="SntesisDescriptiva"/>
      </w:pPr>
      <w:r>
        <w:t>ECLI:ES:TC:2013:138</w:t>
      </w:r>
    </w:p>
    <w:p w:rsidR="0026452D" w:rsidRDefault="0026452D" w:rsidP="0026452D">
      <w:pPr>
        <w:pStyle w:val="SntesisDescriptiva"/>
      </w:pPr>
    </w:p>
    <w:p w:rsidR="0026452D" w:rsidRDefault="0026452D" w:rsidP="0026452D">
      <w:pPr>
        <w:pStyle w:val="SntesisDescriptiva"/>
      </w:pPr>
      <w:r>
        <w:t>Recurso de inconstitucionalidad 2155-2008. Interpuesto por el Gobierno de la Comunidad de Madrid en relación con diversos preceptos de la Ley 42/2007, de 13 de diciembre, del patrimonio natural y de la biodiversidad.</w:t>
      </w:r>
    </w:p>
    <w:p w:rsidR="0026452D" w:rsidRDefault="0026452D" w:rsidP="0026452D">
      <w:pPr>
        <w:pStyle w:val="SntesisDescriptiva"/>
      </w:pPr>
    </w:p>
    <w:p w:rsidR="0026452D" w:rsidRDefault="0026452D" w:rsidP="0026452D">
      <w:pPr>
        <w:pStyle w:val="SntesisAnaltica"/>
      </w:pPr>
      <w:r>
        <w:t>Competencias sobre medio ambiente: interpretación conforme del precepto legal que atribuye funciones de coordinación al Comité MaB español (STC 69/2013).</w:t>
      </w:r>
    </w:p>
    <w:p w:rsidR="0026452D" w:rsidRDefault="0026452D" w:rsidP="0026452D">
      <w:pPr>
        <w:pStyle w:val="SntesisAnaltica"/>
      </w:pPr>
    </w:p>
    <w:p w:rsidR="0026452D" w:rsidRDefault="0026452D" w:rsidP="0026452D">
      <w:pPr>
        <w:pStyle w:val="Extracto"/>
      </w:pPr>
      <w:r>
        <w:t>1.</w:t>
      </w:r>
      <w:r>
        <w:tab/>
        <w:t>Aplica la doctrina sobre los criterios constitucionales para valorar si una norma estatal es legislación básica medioambiental, así como sobre el objeto, principios, finalidades y técnicas de la Ley 42/2007, del patrimonio natural y de la biodiversidad, de la STC 69/2013, cuyos fundamentos jurídicos 1 y 2 damos por reproducidos [FJ 1].</w:t>
      </w:r>
    </w:p>
    <w:p w:rsidR="0026452D" w:rsidRDefault="0026452D" w:rsidP="0026452D">
      <w:pPr>
        <w:pStyle w:val="Extracto"/>
      </w:pPr>
    </w:p>
    <w:p w:rsidR="0026452D" w:rsidRDefault="0026452D" w:rsidP="0026452D">
      <w:pPr>
        <w:pStyle w:val="Extracto"/>
      </w:pPr>
      <w:r>
        <w:t>2.</w:t>
      </w:r>
      <w:r>
        <w:tab/>
        <w:t>La necesidad de que existan ciertos registros o catálogos, la configuración de su contenido y la determinación de su eficacia pueden ser tenidos sin dificultad por básicos, siendo posible, desde la perspectiva del orden constitucional de competencias, que la Administración General del Estado establezca un registro único para todo el territorio español que centralice los datos sobre el sector con la doble función complementaria de información propia y publicidad para los demás (STC 102/1995) [FJ 4].</w:t>
      </w:r>
    </w:p>
    <w:p w:rsidR="0026452D" w:rsidRDefault="0026452D" w:rsidP="0026452D">
      <w:pPr>
        <w:pStyle w:val="Extracto"/>
      </w:pPr>
    </w:p>
    <w:p w:rsidR="0026452D" w:rsidRDefault="0026452D" w:rsidP="0026452D">
      <w:pPr>
        <w:pStyle w:val="Extracto"/>
      </w:pPr>
      <w:r>
        <w:t>3.</w:t>
      </w:r>
      <w:r>
        <w:tab/>
        <w:t>Sin perjuicio de que el art. 149.1.23 CE atribuye el Estado competencias medioambientales que pueden válidamente condicionar la toma de decisiones de las Comunidades Autónomas, es claro que los preceptos impugnados regulan instrumentos de mero conocimiento y análisis con el fin, no de constreñir indebidamente la capacidad autonómica de acción, sino de ayudar a un mejor diseño de las políticas públicas, proporcionando datos y valoraciones que la variedad de actores involucrados en la conservación del medio ambiente puede tener en cuenta [FJ 4].</w:t>
      </w:r>
    </w:p>
    <w:p w:rsidR="0026452D" w:rsidRDefault="0026452D" w:rsidP="0026452D">
      <w:pPr>
        <w:pStyle w:val="Extracto"/>
      </w:pPr>
    </w:p>
    <w:p w:rsidR="0026452D" w:rsidRDefault="0026452D" w:rsidP="0026452D">
      <w:pPr>
        <w:pStyle w:val="Extracto"/>
      </w:pPr>
      <w:r>
        <w:t>4.</w:t>
      </w:r>
      <w:r>
        <w:tab/>
        <w:t>Los instrumentos previstos en los artículos controvertidos para sintetizar y valorar la información ambiental producida por diferentes instancias son fundamentales para implicar a la población general en la protección del patrimonio natural y la biodiversidad y expresan la apuesta del legislador básico, adoptada dentro del contexto europeo e internacional, por una concreta política medioambiental, que confía en la iniciativa de los propios ciudadanos para luchar contra la degradación del medio y de la biodiversidad, por lo que debe entenderse que estos preceptos están amparados en el art. 149.1.23 CE [FJ 4].</w:t>
      </w:r>
    </w:p>
    <w:p w:rsidR="0026452D" w:rsidRDefault="0026452D" w:rsidP="0026452D">
      <w:pPr>
        <w:pStyle w:val="Extracto"/>
      </w:pPr>
    </w:p>
    <w:p w:rsidR="0026452D" w:rsidRDefault="0026452D" w:rsidP="0026452D">
      <w:pPr>
        <w:pStyle w:val="Extracto"/>
      </w:pPr>
      <w:r>
        <w:t>5.</w:t>
      </w:r>
      <w:r>
        <w:tab/>
        <w:t xml:space="preserve">En el marco de la planificación ecológica, la aparición de cualquier ‘factor de perturbación’ que pueda amenazar la conservación de una zona provoca dos efectos </w:t>
      </w:r>
      <w:r>
        <w:lastRenderedPageBreak/>
        <w:t>compatibles entre sí, la elaboración del Plan de Ordenación de los Recursos Naturales de la Zona y el establecimiento de un régimen de protección preventiva como medida cautelar y, por tanto, transitoria o temporal hasta que se apruebe el Plan, que se corresponde a la imagen de lo básico, sin que se invada el ámbito de actuación de las Comunidades Autónomas (STC 102/1995) [FJ 7].</w:t>
      </w:r>
    </w:p>
    <w:p w:rsidR="0026452D" w:rsidRDefault="0026452D" w:rsidP="0026452D">
      <w:pPr>
        <w:pStyle w:val="Extracto"/>
      </w:pPr>
    </w:p>
    <w:p w:rsidR="0026452D" w:rsidRDefault="0026452D" w:rsidP="0026452D">
      <w:pPr>
        <w:pStyle w:val="Extracto"/>
      </w:pPr>
      <w:r>
        <w:t>6.</w:t>
      </w:r>
      <w:r>
        <w:tab/>
        <w:t>Doctrina sobre el carácter básico de la planificación medioambiental y sus directrices para la ordenación de los recursos naturales (SSTC 102/1995, 69/2013) [FFJJ 5, 6].</w:t>
      </w:r>
    </w:p>
    <w:p w:rsidR="0026452D" w:rsidRDefault="0026452D" w:rsidP="0026452D">
      <w:pPr>
        <w:pStyle w:val="Extracto"/>
      </w:pPr>
    </w:p>
    <w:p w:rsidR="0026452D" w:rsidRDefault="0026452D" w:rsidP="0026452D">
      <w:pPr>
        <w:pStyle w:val="Extracto"/>
      </w:pPr>
      <w:r>
        <w:t>7.</w:t>
      </w:r>
      <w:r>
        <w:tab/>
        <w:t>El precepto impugnado, que determina los efectos de la inclusión de un hábitat en el Catálogo Español de Hábitats en Peligro de Desaparición, no desborda el ámbito de lo básico, limitándose así a un mandato genérico justificado por la función tuitiva a la que responde, abriendo para ello un amplísimo abanico de opciones, pues no se predetermina ni la figura de protección o el instrumento de gestión a utilizar, ni las medidas concretas a adoptar para frenar la recesión o eliminar el riesgo de desaparición del hábitat así protegido, lo que permite a la Comunidad Autónoma ejercer en plenitud sus competencias (STC 69/2013)  [FJ 8].</w:t>
      </w:r>
    </w:p>
    <w:p w:rsidR="0026452D" w:rsidRDefault="0026452D" w:rsidP="0026452D">
      <w:pPr>
        <w:pStyle w:val="Extracto"/>
      </w:pPr>
    </w:p>
    <w:p w:rsidR="0026452D" w:rsidRDefault="0026452D" w:rsidP="0026452D">
      <w:pPr>
        <w:pStyle w:val="Extracto"/>
      </w:pPr>
      <w:r>
        <w:t>8.</w:t>
      </w:r>
      <w:r>
        <w:tab/>
        <w:t>La previsión de mecanismos de colaboración y coordinación resulta, no sólo conforme al sistema de distribución competencial, sino particularmente conveniente para favorecer el ejercicio de las competencias sectoriales implicadas por la afectación transversal que es consustancial a la legislación básica de protección del medio ambiente, por lo que las Estrategias y Planes de conservación y restauración pueden fácilmente reconducirse a las atribuciones que el art. 149.1.23 CE reconoce al Estado (STC 101/2005, 69/2013)  [FJ 8].</w:t>
      </w:r>
    </w:p>
    <w:p w:rsidR="0026452D" w:rsidRDefault="0026452D" w:rsidP="0026452D">
      <w:pPr>
        <w:pStyle w:val="Extracto"/>
      </w:pPr>
    </w:p>
    <w:p w:rsidR="0026452D" w:rsidRDefault="0026452D" w:rsidP="0026452D">
      <w:pPr>
        <w:pStyle w:val="Extracto"/>
      </w:pPr>
      <w:r>
        <w:t>9.</w:t>
      </w:r>
      <w:r>
        <w:tab/>
        <w:t>El precepto impugnado, que establece medidas de conservación de la Red Natura 2000, resulta plenamente respetuoso con la competencia autonómica, al estar formulado en términos absolutamente genéricos y de formulación abstracta, tanto en la finalidad de las medidas a adoptar, que responderán a las exigencias ecológicas de los tipos de hábitats naturales, como en su concreción, no existiendo pues extralimitación competencial por parte del legislador estatal  [FJ 9].</w:t>
      </w:r>
    </w:p>
    <w:p w:rsidR="0026452D" w:rsidRDefault="0026452D" w:rsidP="0026452D">
      <w:pPr>
        <w:pStyle w:val="Extracto"/>
      </w:pPr>
    </w:p>
    <w:p w:rsidR="0026452D" w:rsidRDefault="0026452D" w:rsidP="0026452D">
      <w:pPr>
        <w:pStyle w:val="Extracto"/>
      </w:pPr>
      <w:r>
        <w:t>10.</w:t>
      </w:r>
      <w:r>
        <w:tab/>
        <w:t>El modelo diseñado para realizar las evaluaciones de cada Reserva de la Biosfera en el seno del Comité MaB, en cuya designación intervienen las Comunidades Autónomas, se justifica en la facultad de coordinación que corresponde al Estado, que pone a su disposición tanto la estructura organizativa como los medios necesarios para que la evaluación se realice con las garantías de rigor técnico, objetividad y comparabilidad, asegurando un adecuado equilibrio entre el respeto de las autonomías territoriales y la necesidad de evitar que éstas conduzcan a separaciones o compartimentaciones que desconozcan la propia unidad del sistema (STC 329/1993, 69/2013) [FJ 11].</w:t>
      </w:r>
    </w:p>
    <w:p w:rsidR="0026452D" w:rsidRDefault="0026452D" w:rsidP="0026452D">
      <w:pPr>
        <w:pStyle w:val="Extracto"/>
      </w:pPr>
    </w:p>
    <w:p w:rsidR="0026452D" w:rsidRDefault="0026452D" w:rsidP="0026452D">
      <w:pPr>
        <w:pStyle w:val="Extracto"/>
      </w:pPr>
      <w:r>
        <w:t>11.</w:t>
      </w:r>
      <w:r>
        <w:tab/>
        <w:t xml:space="preserve">Corresponda al Estado la legislación básica medioambiental, </w:t>
      </w:r>
      <w:r w:rsidRPr="0026452D">
        <w:rPr>
          <w:i/>
        </w:rPr>
        <w:t>ex</w:t>
      </w:r>
      <w:r>
        <w:t xml:space="preserve"> art. 149.1.23 CE, que es una ordenación común para todo el territorio nacional, sin perjuicio del necesario margen de desarrollo autonómico (STC 101/2005) [FJ 3].</w:t>
      </w:r>
    </w:p>
    <w:p w:rsidR="0026452D" w:rsidRDefault="0026452D" w:rsidP="0026452D">
      <w:pPr>
        <w:pStyle w:val="Extracto"/>
      </w:pPr>
    </w:p>
    <w:p w:rsidR="0026452D" w:rsidRDefault="0026452D" w:rsidP="0026452D">
      <w:pPr>
        <w:pStyle w:val="Extracto"/>
      </w:pPr>
      <w:r>
        <w:lastRenderedPageBreak/>
        <w:t>12.</w:t>
      </w:r>
      <w:r>
        <w:tab/>
        <w:t>Las bases medioambientales pueden afectar, no ya al desarrollo legislativo y ejecución en este campo, sino también a las competencias sectoriales de las Comunidades Autónomas con las que se entrecruzan y que están directamente implicadas –ordenación del territorio, caza, pesca fluvial y lacustre, pesca en aguas interiores, marisqueo, turismo, ocio y tiempo libre, desarrollo comunitario e investigación, entre otras– (STC 101/2005, 69/2013)  [FJ 10].</w:t>
      </w:r>
    </w:p>
    <w:p w:rsidR="0026452D" w:rsidRDefault="0026452D" w:rsidP="0026452D">
      <w:pPr>
        <w:pStyle w:val="Extracto"/>
      </w:pPr>
    </w:p>
    <w:p w:rsidR="0026452D" w:rsidRDefault="0026452D" w:rsidP="0026452D">
      <w:pPr>
        <w:pStyle w:val="Extracto"/>
      </w:pPr>
      <w:r>
        <w:t>13.</w:t>
      </w:r>
      <w:r>
        <w:tab/>
        <w:t>Cuando los procesos constitucionales tienen por objeto disputas competenciales que tengan su origen en la trasposición al Derecho interno de una Directiva comunitaria, no corresponde a este Tribunal decidir si la Directiva ha sido o no correctamente incorporada al ordenamiento interno ni, en su caso, si está siendo correctamente aplicada (SSTC 64/1991, 1/2012) [FJ 9].</w:t>
      </w:r>
    </w:p>
    <w:p w:rsidR="0026452D" w:rsidRDefault="0026452D" w:rsidP="0026452D">
      <w:pPr>
        <w:pStyle w:val="Extracto"/>
      </w:pPr>
    </w:p>
    <w:p w:rsidR="0026452D" w:rsidRDefault="0026452D" w:rsidP="0026452D">
      <w:pPr>
        <w:pStyle w:val="Extracto"/>
      </w:pPr>
      <w:r>
        <w:t>14.</w:t>
      </w:r>
      <w:r>
        <w:tab/>
        <w:t>Doctrina sobre la pérdida o pervivencia del objeto pese a la modificación de la norma en procesos constitucionales de naturaleza competencial, según se mantenga viva o no la disputa sobre la titularidad competencial (SSTC 133/2012, 102/2013)  [FJ 2].</w:t>
      </w:r>
    </w:p>
    <w:p w:rsidR="0026452D" w:rsidRDefault="0026452D" w:rsidP="0026452D">
      <w:pPr>
        <w:pStyle w:val="Extracto"/>
      </w:pPr>
    </w:p>
    <w:p w:rsidR="0026452D" w:rsidRDefault="0026452D" w:rsidP="0026452D">
      <w:pPr>
        <w:pStyle w:val="Extracto"/>
      </w:pPr>
    </w:p>
    <w:p w:rsidR="0026452D" w:rsidRDefault="0026452D" w:rsidP="0026452D">
      <w:pPr>
        <w:pStyle w:val="TextoNormal"/>
      </w:pPr>
      <w: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0026452D" w:rsidRDefault="0026452D" w:rsidP="0026452D">
      <w:pPr>
        <w:pStyle w:val="TextoNormal"/>
      </w:pPr>
    </w:p>
    <w:p w:rsidR="0026452D" w:rsidRDefault="0026452D" w:rsidP="0026452D">
      <w:pPr>
        <w:pStyle w:val="TextoNormalCentrado"/>
        <w:keepNext/>
      </w:pPr>
      <w:r>
        <w:t>EN NOMBRE DEL REY</w:t>
      </w:r>
    </w:p>
    <w:p w:rsidR="0026452D" w:rsidRDefault="0026452D" w:rsidP="0026452D">
      <w:pPr>
        <w:pStyle w:val="TextoNormalCentrado"/>
        <w:keepNext/>
      </w:pPr>
    </w:p>
    <w:p w:rsidR="0026452D" w:rsidRDefault="0026452D" w:rsidP="0026452D">
      <w:pPr>
        <w:pStyle w:val="TextoNormalCentrado"/>
        <w:keepNext/>
      </w:pPr>
    </w:p>
    <w:p w:rsidR="0026452D" w:rsidRDefault="0026452D" w:rsidP="0026452D">
      <w:pPr>
        <w:pStyle w:val="TextoNormal"/>
      </w:pPr>
      <w:r>
        <w:t>la siguiente</w:t>
      </w:r>
    </w:p>
    <w:p w:rsidR="0026452D" w:rsidRDefault="0026452D" w:rsidP="0026452D">
      <w:pPr>
        <w:pStyle w:val="TextoNormal"/>
      </w:pPr>
    </w:p>
    <w:p w:rsidR="0026452D" w:rsidRDefault="0026452D" w:rsidP="0026452D">
      <w:pPr>
        <w:pStyle w:val="TextoNormalCentrado"/>
        <w:keepNext/>
      </w:pPr>
      <w:r>
        <w:t>SENTENCIA</w:t>
      </w:r>
    </w:p>
    <w:p w:rsidR="0026452D" w:rsidRDefault="0026452D" w:rsidP="0026452D">
      <w:pPr>
        <w:pStyle w:val="TextoNormalCentrado"/>
        <w:keepNext/>
      </w:pPr>
    </w:p>
    <w:p w:rsidR="0026452D" w:rsidRDefault="0026452D" w:rsidP="0026452D">
      <w:pPr>
        <w:pStyle w:val="TextoNormal"/>
      </w:pPr>
      <w:r>
        <w:t>En el recurso de inconstitucionalidad núm. 2155-2008, interpuesto por el Gobierno de la Comunidad de Madrid contra los arts. 4, 9, 10, 11, 16.2, 20, 23 b 1), 24, 25, 26, 45.1, 62.3 j), 66.2 y 72 de la Ley 42/2007, de 13 de diciembre, del patrimonio natural y de la biodiversidad. Ha comparecido y formulado alegaciones el Abogado del Estado. Ha sido Ponente el Magistrado don Andrés Ollero Tassara, quien expresa el parecer del Tribunal.</w:t>
      </w:r>
    </w:p>
    <w:p w:rsidR="0026452D" w:rsidRDefault="0026452D" w:rsidP="0026452D">
      <w:pPr>
        <w:pStyle w:val="TextoNormal"/>
      </w:pPr>
    </w:p>
    <w:p w:rsidR="0026452D" w:rsidRDefault="0026452D" w:rsidP="0026452D">
      <w:pPr>
        <w:pStyle w:val="TextoNormalNegritaCentrado"/>
        <w:keepNext/>
      </w:pPr>
      <w:r>
        <w:t>I. Antecedentes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Mediante escrito presentado en el Registro General de este Tribunal el 14 de marzo de 2008, la representación procesal del Consejo de Gobierno de la Comunidad de Madrid promueve recurso de inconstitucionalidad contra los arts. 4, 9, 10, 11, 16.2, 20, 23 b 1), 24, 25, 26, 45.1, 62.3 j), 66.2 y 72 de la Ley 42/2007, de 13 de diciembre, del patrimonio natural y de la biodiversidad.</w:t>
      </w:r>
    </w:p>
    <w:p w:rsidR="0026452D" w:rsidRDefault="0026452D" w:rsidP="0026452D">
      <w:pPr>
        <w:pStyle w:val="TextoNormal"/>
      </w:pPr>
    </w:p>
    <w:p w:rsidR="0026452D" w:rsidRDefault="0026452D" w:rsidP="0026452D">
      <w:pPr>
        <w:pStyle w:val="TextoNormal"/>
      </w:pPr>
      <w:r>
        <w:lastRenderedPageBreak/>
        <w:t>Tras una sucinta referencia a los preceptos que en materia de medio ambiente distribuyen competencias entre el Estado y la Comunidad Madrid (art. 149.1.23 CE y art. 27.7 del Estatuto de Autonomía de esta Comunidad), la demanda expone los concretos motivos de impugnación, que se resumen a continuación.</w:t>
      </w:r>
    </w:p>
    <w:p w:rsidR="0026452D" w:rsidRDefault="0026452D" w:rsidP="0026452D">
      <w:pPr>
        <w:pStyle w:val="TextoNormal"/>
      </w:pPr>
    </w:p>
    <w:p w:rsidR="0026452D" w:rsidRDefault="0026452D" w:rsidP="0026452D">
      <w:pPr>
        <w:pStyle w:val="TextoNormal"/>
      </w:pPr>
      <w:r>
        <w:t>a) El Letrado autonómico impugna conjuntamente los arts. 4 y 72. El primero prevé el fomento de acuerdos voluntarios con los propietarios y usuarios para la planificación y gestión de espacios naturales protegidos y especies amenazadas. El segundo, que las Administraciones impulsarán la custodia del terreno, entre entidades y propietarios de fincas, con el fin de conservar el patrimonio natural y la biodiversidad; la Administración General del Estado podrá asimismo ceder total o parcialmente la gestión de los terrenos de los que sea titular mediante convenios plurianuales. Estas previsiones supondrían una interferencia estatal en la gestión medioambiental autonómica, es decir, la imposición de una concreta política a las Comunidades Autónomas que se considera basada sobre el presupuesto de que los propietarios no saben o no tienen interés en la conservación de los valores medioambientales existentes en sus terrenos. La Ley 42/2007 impediría que la Comunidad de Madrid desarrollara una política basada en la concepción opuesta: que los propietarios son quienes mejor pueden conservar tales valores. En consecuencia, la titularidad dominical de terrenos situados en espacios naturales no debería permitir al Estado realizar una gestión medioambiental al margen de las competencias autonómicas.</w:t>
      </w:r>
    </w:p>
    <w:p w:rsidR="0026452D" w:rsidRDefault="0026452D" w:rsidP="0026452D">
      <w:pPr>
        <w:pStyle w:val="TextoNormal"/>
      </w:pPr>
    </w:p>
    <w:p w:rsidR="0026452D" w:rsidRDefault="0026452D" w:rsidP="0026452D">
      <w:pPr>
        <w:pStyle w:val="TextoNormal"/>
      </w:pPr>
      <w:r>
        <w:t>b) La demanda impugna conjuntamente los arts. 9, 10 y 11 por entender que generan un inaceptable escenario de tutelas y controles de la gestión medioambiental autonómica por parte del Ministerio de Medio Ambiente.</w:t>
      </w:r>
    </w:p>
    <w:p w:rsidR="0026452D" w:rsidRDefault="0026452D" w:rsidP="0026452D">
      <w:pPr>
        <w:pStyle w:val="TextoNormal"/>
      </w:pPr>
    </w:p>
    <w:p w:rsidR="0026452D" w:rsidRDefault="0026452D" w:rsidP="0026452D">
      <w:pPr>
        <w:pStyle w:val="TextoNormal"/>
      </w:pPr>
      <w:r>
        <w:t>El primero de tales artículos encomienda al Ministerio indicado, con la colaboración de las Comunidades Autónomas y organizaciones científicas, la elaboración y actualización de un inventario español del patrimonio natural y de la biodiversidad que ha de incluir, al menos, información de una serie de catálogos, inventarios y listados de contenido más específico. El Letrado autonómico admite que la STC 102/1995, de 26 de junio, reconoció el carácter básico de los inventarios regulados en la Ley 4/1989, pero insiste en que ese pronunciamiento declaró que la legislación estatal no puede llegar a tal grado de detalle que impida un desarrollo autonómico en materia de medio-ambiente; el voto particular de esa Sentencia reputaba en todo caso inconstitucionales los preceptos reguladores del catálogo general de especies amenazadas bajo la consideración de que la “coordinación siempre deseable y benéfica no es título habilitante de la competencia del Estado y puede ser conseguida mediante esquemas orgánicos y funcionales de corte horizontal, en pie de igualdad y hasta con talante convencional o negociador”. La Ley 42/2007 habría ido más allá que su predecesora, creando una red absolutamente exhaustiva de catálogos que impide que las Comunidades Autónomas establezcan inventarios propios y —lo que es más importante— orientarlos a finalidades específicas que consideren convenientes en el marco de sus competencias medioambientales.</w:t>
      </w:r>
    </w:p>
    <w:p w:rsidR="0026452D" w:rsidRDefault="0026452D" w:rsidP="0026452D">
      <w:pPr>
        <w:pStyle w:val="TextoNormal"/>
      </w:pPr>
    </w:p>
    <w:p w:rsidR="0026452D" w:rsidRDefault="0026452D" w:rsidP="0026452D">
      <w:pPr>
        <w:pStyle w:val="TextoNormal"/>
      </w:pPr>
      <w:r>
        <w:t xml:space="preserve">El art. 10 prevé, dentro del inventario español del patrimonio natural y de la biodiversidad, un sistema de indicadores que, elaborado con participación autonómica, expresará de forma sintética sus resultados con el fin de trasmitirlos al conjunto de la sociedad, incorporarlos a los procesos de toma de decisiones e integrarlos a escala supranacional. Según el Letrado autonómico, los indicadores serían “criterios de actuación” diseñados por el Estado </w:t>
      </w:r>
      <w:r>
        <w:lastRenderedPageBreak/>
        <w:t>para condicionar la acción autonómica, por más que la Ley disponga que puedan incorporarse a los procesos de toma de decisiones.</w:t>
      </w:r>
    </w:p>
    <w:p w:rsidR="0026452D" w:rsidRDefault="0026452D" w:rsidP="0026452D">
      <w:pPr>
        <w:pStyle w:val="TextoNormal"/>
      </w:pPr>
    </w:p>
    <w:p w:rsidR="0026452D" w:rsidRDefault="0026452D" w:rsidP="0026452D">
      <w:pPr>
        <w:pStyle w:val="TextoNormal"/>
      </w:pPr>
      <w:r>
        <w:t>Conforme al art. 11, el Ministerio de Medio Ambiente elaborará anualmente con las Comunidades Autónomas un informe para la descripción del estado y la evolución del patrimonio natural y de la biodiversidad, la evaluación de los resultados de las principales políticas adoptadas y la aprobación de nuevas iniciativas de conservación. Se trataría, sin embargo, de un control completamente genérico y de oportunidad contrario a la doctrina constitucional (STC 4/1981, de 2 de febrero).</w:t>
      </w:r>
    </w:p>
    <w:p w:rsidR="0026452D" w:rsidRDefault="0026452D" w:rsidP="0026452D">
      <w:pPr>
        <w:pStyle w:val="TextoNormal"/>
      </w:pPr>
    </w:p>
    <w:p w:rsidR="0026452D" w:rsidRDefault="0026452D" w:rsidP="0026452D">
      <w:pPr>
        <w:pStyle w:val="TextoNormal"/>
      </w:pPr>
      <w:r>
        <w:t>c) El art. 16.2 atribuye al Ministerio de Medio Ambiente la competencia para elaborar —en el marco del plan estratégico estatal del patrimonio nacional y de la biodiversidad— unas “directrices de ordenación de los recursos naturales a las que, en todo caso, deberán sujetarse los Planes de Ordenación de los Recursos Naturales que aprueben las Comunidades Autónomas”. Tales directrices se aprueban por real decreto con participación autonómica y previo informe del Consejo Estatal para el Patrimonio Natural y la Biodiversidad. El Letrado autonómico admite que tales directrices pueden ser necesarias y que la STC 102/1995 las declaró constitucionales. No obstante, invita a una reconsideración de esta calificación, partiendo de que unas directrices básicas aprobadas en normas de rango reglamentario sólo pueden ser constitucionales si resultan imprescindibles y su contenido es técnico o estacionario (SSTC 149/1991, 102/1995, 306/2000); si son aprobadas con el acuerdo de las Comunidades Autónomas y no con su mera participación. No deben pues agotar la regulación de la materia, salvaguardando un margen autonómico para el establecimiento de normas adicionales de protección, como destacó el voto particular a la STC 102/1995.</w:t>
      </w:r>
    </w:p>
    <w:p w:rsidR="0026452D" w:rsidRDefault="0026452D" w:rsidP="0026452D">
      <w:pPr>
        <w:pStyle w:val="TextoNormal"/>
      </w:pPr>
    </w:p>
    <w:p w:rsidR="0026452D" w:rsidRDefault="0026452D" w:rsidP="0026452D">
      <w:pPr>
        <w:pStyle w:val="TextoNormal"/>
      </w:pPr>
      <w:r>
        <w:t>d) Conforme al art. 20, la planificación ambiental o de ordenación de recursos naturales de las Administraciones públicas asegurará la “conectividad ecológica” del territorio mediante el establecimiento, o restablecimiento, de “corredores”; se trata de una técnica de intervención que facilita el movimiento de especies con el fin de garantizar la diversidad del flujo genético y evitar la consanguineidad. A juicio del Letrado autonómico, el precepto, en lugar de obligar al cumplimiento de una finalidad ambiental (mantenimiento de la diversidad genética) a través de las técnicas que la Comunidad Autónoma valore más adecuadas en función de las circunstancias, impone directamente un determinado instrumento —los corredores— cuya utilidad es científicamente discutida, como reconoce el propio Ministerio de Medio Ambiente en su página web. Con ello, nuevamente, la Ley 42/2007 precisa el contenido de los planes de ordenación de recursos naturales con un grado tal de detalle que vulneraría la competencia autonómica para elegir la política medioambiental más adecuada a los fines de conservación.</w:t>
      </w:r>
    </w:p>
    <w:p w:rsidR="0026452D" w:rsidRDefault="0026452D" w:rsidP="0026452D">
      <w:pPr>
        <w:pStyle w:val="TextoNormal"/>
      </w:pPr>
    </w:p>
    <w:p w:rsidR="0026452D" w:rsidRDefault="0026452D" w:rsidP="0026452D">
      <w:pPr>
        <w:pStyle w:val="TextoNormal"/>
      </w:pPr>
      <w:r>
        <w:t>e) Según el art. 23 b 1), las Administraciones competentes iniciarán de inmediato el plan de ordenación de los recursos naturales de confirmarse que una zona bien conservada está amenazada por un factor de perturbación. Se trataría de una medida drástica de protección que congelaría la utilización de la zona por sus propietarios y que condicionaría la política autonómica de conservación. De este modo, la Ley 42/2007 no se limitaría a establecer una regulación de mínimos de las medidas cautelares de protección, sino que invadiría la competencia autonómica para fijar la específica jerarquía entre la diversidad de medidas posibles.</w:t>
      </w:r>
    </w:p>
    <w:p w:rsidR="0026452D" w:rsidRDefault="0026452D" w:rsidP="0026452D">
      <w:pPr>
        <w:pStyle w:val="TextoNormal"/>
      </w:pPr>
    </w:p>
    <w:p w:rsidR="0026452D" w:rsidRDefault="0026452D" w:rsidP="0026452D">
      <w:pPr>
        <w:pStyle w:val="TextoNormal"/>
      </w:pPr>
      <w:r>
        <w:lastRenderedPageBreak/>
        <w:t>f) El art. 24 crea el catálogo español de hábitats en peligro de desaparición como instrumento de carácter administrativo y ámbito estatal dependiente del Ministerio de Medio Ambiente, que incluye los hábitats que decida este Departamento a propuesta de la Comisión Estatal para el Patrimonio Natural y la Biodiversidad, previa iniciativa de las Comunidades Autónomas o del propio Ministerio. Conforme al art. 25, dicha inclusión conlleva la aplicación de algún instrumento de gestión o figura de protección de espacios naturales y la obligación de las Comunidades Autónomas de definir y tomar las medidas necesarias para frenar la recesión y eliminar el riesgo de desaparición de estos hábitats. De acuerdo con el art. 26, la Conferencia Sectorial de Medio Ambiente, a propuesta de la Comisión Estatal para el Patrimonio Natural y la Biodiversidad y previo informe del Consejo Estatal para el Patrimonio Natural y la Biodiversidad, aprobará estrategias de conservación y restauración que incluirán al menos un diagnóstico de la situación, de las principales amenazas y de acciones a emprender. Según el Letrado autonómico, las dudas de constitucionalidad que ya plantea la existencia misma del indicado catálogo, se multiplican a la vista de la regulación extractada. La inclusión de hábitats en el catálogo constituye una actividad de gestión y, según la Ley controvertida, el Estado podría llevarla a cabo sin iniciativa autonómica, lo que es contrario al sistema competencial. A su vez, los efectos asignados a tal inclusión invadirían las competencias autonómicas, al llevar consigo la obligación de adoptar medidas específicas de gestión. Esta actuación directa del Estado culminaría con las estrategias de conservación y restauración fijadas por un órgano de la Administración General del Estado, que define las acciones a emprender, todo ello en contra de los criterios de distribución competencial que resultan de la doctrina constitucional (SSTC 101/2005 y 331/2005).</w:t>
      </w:r>
    </w:p>
    <w:p w:rsidR="0026452D" w:rsidRDefault="0026452D" w:rsidP="0026452D">
      <w:pPr>
        <w:pStyle w:val="TextoNormal"/>
      </w:pPr>
    </w:p>
    <w:p w:rsidR="0026452D" w:rsidRDefault="0026452D" w:rsidP="0026452D">
      <w:pPr>
        <w:pStyle w:val="TextoNormal"/>
      </w:pPr>
      <w:r>
        <w:t>g) El art. 45.1 obliga a las Comunidades Autónomas a adoptar determinadas medidas de protección de las zonas especiales de conservación y de las zonas de especial protección para las aves. Este precepto vulneraría la Constitución, al determinar de forma obligatoria las medidas de gestión de los espacios Red Natura 2000 que las Comunidades Autónomas deben adoptar, sin dejar un margen de apreciación; a diferencia de la Directiva 92/43/CEE, del Consejo, de 21 de mayo de 1992 (la llamada Directiva hábitats), que se refiere, en su caso, a planes de gestión y a medidas administrativas, reglamentarias y contractuales. El margen de actuación que la Directiva garantiza a los Estados miembros para la selección de las medidas de conservación de las zonas especiales es, conforme al sistema interno de distribución competencial (STC 91/2001), un margen de acción autonómica, pues corresponde a las Comunidades Autónomas elegir las medidas de gestión más adecuadas. Sin embargo, la Ley 42/2007 habría optado por imponer como medida exclusiva una que la Directiva configura como potestativa.</w:t>
      </w:r>
    </w:p>
    <w:p w:rsidR="0026452D" w:rsidRDefault="0026452D" w:rsidP="0026452D">
      <w:pPr>
        <w:pStyle w:val="TextoNormal"/>
      </w:pPr>
    </w:p>
    <w:p w:rsidR="0026452D" w:rsidRDefault="0026452D" w:rsidP="0026452D">
      <w:pPr>
        <w:pStyle w:val="TextoNormal"/>
      </w:pPr>
      <w:r>
        <w:t>h) El art. 62.3 j) prohíbe la tenencia y el uso de munición que contenga plomo, durante el ejercicio de la caza y el tiro deportivo en determinadas zonas húmedas. Partiendo de la STC 102/1995, de 26 de junio, y de las SSTS de 21 de mayo de 2001 y 25 de noviembre de 2002, el Letrado autonómico denuncia que la previsión es excesivamente concreta, precisa y superadora del ámbito de lo básico y que establece una prohibición absoluta, que no admite modulaciones en su aplicación por parte de las Comunidades Autónomas, en contra del sistema constitucional de distribución competencial.</w:t>
      </w:r>
    </w:p>
    <w:p w:rsidR="0026452D" w:rsidRDefault="0026452D" w:rsidP="0026452D">
      <w:pPr>
        <w:pStyle w:val="TextoNormal"/>
      </w:pPr>
    </w:p>
    <w:p w:rsidR="0026452D" w:rsidRDefault="0026452D" w:rsidP="0026452D">
      <w:pPr>
        <w:pStyle w:val="TextoNormal"/>
      </w:pPr>
      <w:r>
        <w:t xml:space="preserve">i) En relación con la ordenación de las reservas de biosfera, regidas por el Marco Estatutario aprobado por la Conferencia General de la UNESCO (programa </w:t>
      </w:r>
      <w:r w:rsidRPr="0026452D">
        <w:rPr>
          <w:i/>
        </w:rPr>
        <w:t>Man and Biosphere</w:t>
      </w:r>
      <w:r>
        <w:t xml:space="preserve">, MaB), el artículo 66.2 regula el Comité MaB español como órgano colegiado de carácter </w:t>
      </w:r>
      <w:r>
        <w:lastRenderedPageBreak/>
        <w:t>asesor y científico adscrito al Ministerio de Medio Ambiente, al que corresponden las evaluaciones preceptivas de cada reserva de biosfera así como, en su caso, la propuesta de correcciones de aspectos contradictorios. El Letrado autonómico admite que el establecimiento con carácter obligatorio de la evaluación indicada entra dentro “de lo básico”, pero no la estatalidad de esa función, a tenor de la doctrina constitucional (SSTC 79/1992 y 194/2004). La función atribuida al comité habría podido calificarse de básica en relación con la red española de reservas de la biosfera, pero no respecto de cada reserva en concreto, como hace el art. 66.2.</w:t>
      </w:r>
    </w:p>
    <w:p w:rsidR="0026452D" w:rsidRDefault="0026452D" w:rsidP="0026452D">
      <w:pPr>
        <w:pStyle w:val="TextoNormal"/>
      </w:pPr>
    </w:p>
    <w:p w:rsidR="0026452D" w:rsidRDefault="0026452D" w:rsidP="0026452D">
      <w:pPr>
        <w:pStyle w:val="TextoNormal"/>
      </w:pPr>
      <w:r w:rsidRPr="0026452D">
        <w:rPr>
          <w:rStyle w:val="NumeroAFNegritaCaracter"/>
        </w:rPr>
        <w:t>2</w:t>
      </w:r>
      <w:r>
        <w:t>. Por providencia de 15 de abril de 2008, el Pleno acordó admitir a trámite el recurso y, de conformidad con lo establecido en el art. 34 de la Ley Orgánica del Tribunal Constitucional (LOTC), dar traslado de la demanda al Congreso de los Diputados, al Senado y al Gobierno, al objeto de que pudieran personarse en el proceso y formular alegaciones en el plazo de quince días. Asimismo, ordenó publicar la incoación del recurso en el “Boletín Oficial del Estado”.</w:t>
      </w:r>
    </w:p>
    <w:p w:rsidR="0026452D" w:rsidRDefault="0026452D" w:rsidP="0026452D">
      <w:pPr>
        <w:pStyle w:val="TextoNormal"/>
      </w:pPr>
    </w:p>
    <w:p w:rsidR="0026452D" w:rsidRDefault="0026452D" w:rsidP="0026452D">
      <w:pPr>
        <w:pStyle w:val="TextoNormal"/>
      </w:pPr>
      <w:r w:rsidRPr="0026452D">
        <w:rPr>
          <w:rStyle w:val="NumeroAFNegritaCaracter"/>
        </w:rPr>
        <w:t>3</w:t>
      </w:r>
      <w:r>
        <w:t>. El 23 de abril de 2008, la Abogada del Estado se personó en el proceso en nombre del Gobierno, solicitando una prórroga en el plazo concedido para formular alegaciones, que le fue concedida por providencia del Pleno de 24 de abril de 2008.</w:t>
      </w:r>
    </w:p>
    <w:p w:rsidR="0026452D" w:rsidRDefault="0026452D" w:rsidP="0026452D">
      <w:pPr>
        <w:pStyle w:val="TextoNormal"/>
      </w:pPr>
    </w:p>
    <w:p w:rsidR="0026452D" w:rsidRDefault="0026452D" w:rsidP="0026452D">
      <w:pPr>
        <w:pStyle w:val="TextoNormal"/>
      </w:pPr>
      <w:r w:rsidRPr="0026452D">
        <w:rPr>
          <w:rStyle w:val="NumeroAFNegritaCaracter"/>
        </w:rPr>
        <w:t>4</w:t>
      </w:r>
      <w:r>
        <w:t>. Mediante escrito presentado el 30 de abril de 2008, el Presidente del Senado comunicó el acuerdo de la Mesa de la Cámara de personarse en el proceso, ofreciendo su colaboración a los efectos del art. 88.1 LOTC. El 8 de mayo de 2008 se registró escrito del Presidente del Congreso de los Diputados comunicando acuerdo de la Mesa de la Cámara en el mismo sentido.</w:t>
      </w:r>
    </w:p>
    <w:p w:rsidR="0026452D" w:rsidRDefault="0026452D" w:rsidP="0026452D">
      <w:pPr>
        <w:pStyle w:val="TextoNormal"/>
      </w:pPr>
    </w:p>
    <w:p w:rsidR="0026452D" w:rsidRDefault="0026452D" w:rsidP="0026452D">
      <w:pPr>
        <w:pStyle w:val="TextoNormal"/>
      </w:pPr>
      <w:r w:rsidRPr="0026452D">
        <w:rPr>
          <w:rStyle w:val="NumeroAFNegritaCaracter"/>
        </w:rPr>
        <w:t>5</w:t>
      </w:r>
      <w:r>
        <w:t>. La Abogada del Estado, en la representación que legalmente ostenta, presentó su escrito de alegaciones el 28 de mayo de 2008, instando la desestimación del recurso. Tras referirse brevemente a la Ley controvertida, explica la distribución competencial en materia de medio ambiente, que, de acuerdo con los arts. 149.1.23 CE y 27.7 del Estatuto de Autonomía de la Comunidad de Madrid, responde al esquema bases-desarrollo; y centra la controversia en la determinación de si los preceptos impugnados pueden o no merecer la consideración de básicos a la vista de la doctrina constitucional (SSTC 102/1995, 306/2000, 109/2003 y 101/2005). Sentadas estas premisas, solicita la desestimación de la demanda con base en los siguientes motivos:</w:t>
      </w:r>
    </w:p>
    <w:p w:rsidR="0026452D" w:rsidRDefault="0026452D" w:rsidP="0026452D">
      <w:pPr>
        <w:pStyle w:val="TextoNormal"/>
      </w:pPr>
    </w:p>
    <w:p w:rsidR="0026452D" w:rsidRDefault="0026452D" w:rsidP="0026452D">
      <w:pPr>
        <w:pStyle w:val="TextoNormal"/>
      </w:pPr>
      <w:r>
        <w:t xml:space="preserve">a) Los arts. 4 y 72.2 serían constitucionales, al contener una mera exhortación no vinculante para la realización de la función social del patrimonio natural y la biodiversidad. A través de la referencia a los acuerdos voluntarios, la Ley 42/2007 quiere implicar a los propietarios y usuarios de espacios y recursos naturales en las políticas de conservación, sin alterar la titularidad de los bienes. No habría ablación de derechos ni invasión competencial alguna; el Estado, al tener reservada la legislación básica sobre protección del medio ambiente, puede fijar los criterios fundamentales que rigen la actividad de fomento de las Comunidades Autónomas. Por lo demás, el art. 72.2 carece de carácter básico de acuerdo con la disposición final segunda de la Ley. A su vez, tal precepto permite al Estado ceder la gestión de terrenos en su calidad de propietario, en cuanto destinatario de las obligaciones </w:t>
      </w:r>
      <w:r>
        <w:lastRenderedPageBreak/>
        <w:t>legales por ostentar la titularidad, lo que no afecta en modo alguno a las competencias autonómicas.</w:t>
      </w:r>
    </w:p>
    <w:p w:rsidR="0026452D" w:rsidRDefault="0026452D" w:rsidP="0026452D">
      <w:pPr>
        <w:pStyle w:val="TextoNormal"/>
      </w:pPr>
    </w:p>
    <w:p w:rsidR="0026452D" w:rsidRDefault="0026452D" w:rsidP="0026452D">
      <w:pPr>
        <w:pStyle w:val="TextoNormal"/>
      </w:pPr>
      <w:r>
        <w:t>b) La Abogada del Estado rechaza igualmente la impugnación conjunta de los arts. 9, 10 y 11 por la doble razón de que el rótulo del título I (“Instrumentos para el conocimiento y la planificación del patrimonio natural y de la biodiversidad”) y los propios preceptos restan toda fuerza a los argumentos esgrimidos; la Ley recoge expresamente la necesaria participación y colaboración de las Comunidades Autónomas.</w:t>
      </w:r>
    </w:p>
    <w:p w:rsidR="0026452D" w:rsidRDefault="0026452D" w:rsidP="0026452D">
      <w:pPr>
        <w:pStyle w:val="TextoNormal"/>
      </w:pPr>
    </w:p>
    <w:p w:rsidR="0026452D" w:rsidRDefault="0026452D" w:rsidP="0026452D">
      <w:pPr>
        <w:pStyle w:val="TextoNormal"/>
      </w:pPr>
      <w:r>
        <w:t>En relación con la impugnación del art. 9, partiendo del dictamen 913/2007 del Consejo de Estado sobre el anteproyecto de Ley, la Abogada del Estado razona que la creación de múltiples catálogos, listados e inventarios expresa, no una invasión competencial, sino el mayor grado de madurez de las políticas públicas de conservación de la naturaleza. El carácter básico de esta previsión resulta claramente de la doctrina sentada en la STC 102/1995,  que confirmó la constitucionalidad tanto del censo nacional de caza y pesca como del registro nacional de infractores. Por lo demás, contrarresta los argumentos del recurso recordando el valor relativo de los votos particulares y juzga completamente inapropiada la cita de la STC 306/2000 porque, aunque el pronunciamiento se refiere a un plan de ordenación de los recursos naturales (negándole carácter básico por impedir el ejercicio de las competencias autonómicas de desarrollo), en modo alguno cabe apreciar un grado similar de detalle en las previsiones relativas al inventario español del patrimonio natural y de la biodiversidad.</w:t>
      </w:r>
    </w:p>
    <w:p w:rsidR="0026452D" w:rsidRDefault="0026452D" w:rsidP="0026452D">
      <w:pPr>
        <w:pStyle w:val="TextoNormal"/>
      </w:pPr>
    </w:p>
    <w:p w:rsidR="0026452D" w:rsidRDefault="0026452D" w:rsidP="0026452D">
      <w:pPr>
        <w:pStyle w:val="TextoNormal"/>
      </w:pPr>
      <w:r>
        <w:t>Respecto de los reproches dirigidos contra el art. 10, la Abogada del Estado destaca el inusitado esfuerzo del recurrente por ofrecer una interpretación netamente apartada de su tenor literal y verdadero espíritu. Los indicadores a que hace referencia el precepto son claramente orientadores, sin que, por tanto, condicionen en modo alguno las competencias autonómicas de ejecución.</w:t>
      </w:r>
    </w:p>
    <w:p w:rsidR="0026452D" w:rsidRDefault="0026452D" w:rsidP="0026452D">
      <w:pPr>
        <w:pStyle w:val="TextoNormal"/>
      </w:pPr>
    </w:p>
    <w:p w:rsidR="0026452D" w:rsidRDefault="0026452D" w:rsidP="0026452D">
      <w:pPr>
        <w:pStyle w:val="TextoNormal"/>
      </w:pPr>
      <w:r>
        <w:t>En cuanto a la impugnación del art. 11, la Abogada del Estado destaca que, dado el carácter marcadamente trasfronterizo de la materia “medio ambiente”, el informe al que hace referencia el precepto constituye una herramienta esencial que en cierto modo concreta la obligación de las Administraciones públicas de poner a disposición del ciudadano la información ambiental. La circunstancia de que las Comunidades Autónomas participen en la elaboración del informe haría en todo caso poco verosímil la vulneración de competencia autonómica alguna.</w:t>
      </w:r>
    </w:p>
    <w:p w:rsidR="0026452D" w:rsidRDefault="0026452D" w:rsidP="0026452D">
      <w:pPr>
        <w:pStyle w:val="TextoNormal"/>
      </w:pPr>
    </w:p>
    <w:p w:rsidR="0026452D" w:rsidRDefault="0026452D" w:rsidP="0026452D">
      <w:pPr>
        <w:pStyle w:val="TextoNormal"/>
      </w:pPr>
      <w:r>
        <w:t>c) La impugnación del art. 16.2 sobre directrices de ordenación de recursos naturales adolece de innegable intención preventiva, según la Abogacía del Estado. El carácter técnico y mínimo de tales directrices es, en efecto, un presupuesto para su consideración como legislación básica, pero su concurrencia sólo podrá verificarse al examinar las concretamente aprobadas. Por lo demás, este precepto reproduce el art. 8 de la Ley 4/1989 —añadiendo sólo la participación autonómica—, norma cuya inconstitucionalidad fue expresamente descartada por el Tribunal Constitucional por el carácter preventivo de su impugnación (STC 102/1995).</w:t>
      </w:r>
    </w:p>
    <w:p w:rsidR="0026452D" w:rsidRDefault="0026452D" w:rsidP="0026452D">
      <w:pPr>
        <w:pStyle w:val="TextoNormal"/>
      </w:pPr>
    </w:p>
    <w:p w:rsidR="0026452D" w:rsidRDefault="0026452D" w:rsidP="0026452D">
      <w:pPr>
        <w:pStyle w:val="TextoNormal"/>
      </w:pPr>
      <w:r>
        <w:t xml:space="preserve">d) Destaca la Abogacía del Estado que la impugnación del art. 20 desarrolla argumentos relativos exclusivamente a su primer apartado, sobre corredores ecológicos, pese a que el </w:t>
      </w:r>
      <w:r>
        <w:lastRenderedPageBreak/>
        <w:t>recurso cuestiona formalmente la totalidad del precepto. Centrada así la controversia, entiende que no merece reproche alguno el contenido de ese primer apartado, desde el momento en que el Estado tiene competencia para establecer con carácter básico el contenido mínimo de los instrumentos de planificación ambiental (STC 102/1995, FJ 13). Por lo demás, corresponde a la Comunidad Autónoma (mediante la planificación ambiental o los planes de ordenación de recurso naturales) establecer la exacta trascendencia de la inclusión de corredores entre los mecanismos para lograr la conectividad ecológica del territorio, que en todo caso habrá de ajustarse al art. 10 de la Directiva hábitats.</w:t>
      </w:r>
    </w:p>
    <w:p w:rsidR="0026452D" w:rsidRDefault="0026452D" w:rsidP="0026452D">
      <w:pPr>
        <w:pStyle w:val="TextoNormal"/>
      </w:pPr>
    </w:p>
    <w:p w:rsidR="0026452D" w:rsidRDefault="0026452D" w:rsidP="0026452D">
      <w:pPr>
        <w:pStyle w:val="TextoNormal"/>
      </w:pPr>
      <w:r>
        <w:t>e) El art. 23 de la Ley 42/2007 reproduce el art. 24 de la Ley 4/1989, que fue declarado constitucional (STC 102/1995), por lo que, según la Abogada del Estado, procede rechazar igualmente esta impugnación. En todo caso, el señalado artículo se limitaría a establecer las grandes líneas de la protección preventiva ante la presencia de factores de perturbación, dejando un amplio margen al legislador autonómico para desarrollarlas y adaptarlas a las circunstancias de cada Comunidad Autónoma.</w:t>
      </w:r>
    </w:p>
    <w:p w:rsidR="0026452D" w:rsidRDefault="0026452D" w:rsidP="0026452D">
      <w:pPr>
        <w:pStyle w:val="TextoNormal"/>
      </w:pPr>
    </w:p>
    <w:p w:rsidR="0026452D" w:rsidRDefault="0026452D" w:rsidP="0026452D">
      <w:pPr>
        <w:pStyle w:val="TextoNormal"/>
      </w:pPr>
      <w:r>
        <w:t>f) Respecto de la impugnación conjunta de los arts. 24, 25 y 26, la Abogada del Estado reenvía a los argumentos a favor de su constitucionalidad que resultan del dictamen 913/2007 del Consejo de Estado y de los fundamentos jurídicos, 3 y 25 de la STC 102/1995.</w:t>
      </w:r>
    </w:p>
    <w:p w:rsidR="0026452D" w:rsidRDefault="0026452D" w:rsidP="0026452D">
      <w:pPr>
        <w:pStyle w:val="TextoNormal"/>
      </w:pPr>
    </w:p>
    <w:p w:rsidR="0026452D" w:rsidRDefault="0026452D" w:rsidP="0026452D">
      <w:pPr>
        <w:pStyle w:val="TextoNormal"/>
      </w:pPr>
      <w:r>
        <w:t>La Abogada del Estado califica de verdaderamente sorprendente la impugnación del art. 24 habida cuenta de que resulta incuestionable que el Estado puede instar a la Comisión Estatal para el Patrimonio Natural y de la Biodiversidad a formular propuestas de inclusión de elementos en el catálogo español de hábitats en peligro de desaparición. Ha de tenerse en cuenta, en primer lugar, que dicha Comisión es un órgano consultivo y de cooperación entre el Estado y las Comunidades Autónomas (art. 7.2); en segundo lugar, que el Tribunal Constitucional ha admitido que la inscripción registral, aunque es un acto administrativo típicamente ejecutivo, debe en estos casos corresponder al Estado para garantizar la consecución de los fines inherentes a la regulación básica medioambiental (STC 102/1995, FJ 25).</w:t>
      </w:r>
    </w:p>
    <w:p w:rsidR="0026452D" w:rsidRDefault="0026452D" w:rsidP="0026452D">
      <w:pPr>
        <w:pStyle w:val="TextoNormal"/>
      </w:pPr>
    </w:p>
    <w:p w:rsidR="0026452D" w:rsidRDefault="0026452D" w:rsidP="0026452D">
      <w:pPr>
        <w:pStyle w:val="TextoNormal"/>
      </w:pPr>
      <w:r>
        <w:t>La regulación en el art. 25 de los efectos de la inclusión de hábitats en el mencionado catálogo debe reputarse básica, una vez que el Tribunal Constitucional ha asignado ese carácter al régimen jurídico del catálogo nacional de especies amenazadas. La previsión de una obligación autonómica de aplicar instrumentos de gestión o figuras de protección, así como de tomar medidas necesarias para la conservación de los hábitats incluidos en el catálogo no interfiere en modo alguno en la esfera autonómica, pues la Ley no crea un específico plan ni determina su contenido. El art. 25, si incidiera efectivamente sobre las competencias autonómicas, estaría llevando a cabo una afectación trasversal constitucionalmente admisible, al consistir en límites mínimos y puntuales dirigidos a evitar la desaparición de hábitats en peligro.</w:t>
      </w:r>
    </w:p>
    <w:p w:rsidR="0026452D" w:rsidRDefault="0026452D" w:rsidP="0026452D">
      <w:pPr>
        <w:pStyle w:val="TextoNormal"/>
      </w:pPr>
    </w:p>
    <w:p w:rsidR="0026452D" w:rsidRDefault="0026452D" w:rsidP="0026452D">
      <w:pPr>
        <w:pStyle w:val="TextoNormal"/>
      </w:pPr>
      <w:r>
        <w:t>El art. 26 tampoco merecería reproche alguno en la medida en que delimita con toda claridad el alcance jurídico de las estrategias, atribuyéndoles un valor orientador y un contenido mínimo que no usurpa ni menoscaba las competencias autonómicas.</w:t>
      </w:r>
    </w:p>
    <w:p w:rsidR="0026452D" w:rsidRDefault="0026452D" w:rsidP="0026452D">
      <w:pPr>
        <w:pStyle w:val="TextoNormal"/>
      </w:pPr>
    </w:p>
    <w:p w:rsidR="0026452D" w:rsidRDefault="0026452D" w:rsidP="0026452D">
      <w:pPr>
        <w:pStyle w:val="TextoNormal"/>
      </w:pPr>
      <w:r>
        <w:t xml:space="preserve">g) La Abogacía del Estado descarta igualmente la afirmada inconstitucionalidad del art. 45.1 por referencia a la STC 102/1995, FJ 13; en relación con los planes de ordenación de </w:t>
      </w:r>
      <w:r>
        <w:lastRenderedPageBreak/>
        <w:t>los recursos naturales previstos en la Ley 4/1989, declaró que el mandato de planificar se acomoda sin esfuerzo alguno al concepto de lo básico. Destaca, además, que el alcance prescriptivo del art. 45.1 es más reducido que el de aquella Ley, ya que consiste en muy generales previsiones que en modo alguno impiden a las Comunidades Autónomas pormenorizar el contenido mínimo de los planes o instrumentos de gestión ni agregar nuevas determinaciones. Por otra parte, afirma que es cierto, como destaca el recurrente, que la competencia para ejecutar el derecho comunitario (en este caso, la llamada Directiva hábitats) depende de las reglas internas de reparto, pero no cabría dudar de que, conforme a esas reglas, corresponde al Estado concretar el contenido mínimo de las medidas de conservación autonómicas, al tratarse de legislación básica medioambiental.</w:t>
      </w:r>
    </w:p>
    <w:p w:rsidR="0026452D" w:rsidRDefault="0026452D" w:rsidP="0026452D">
      <w:pPr>
        <w:pStyle w:val="TextoNormal"/>
      </w:pPr>
    </w:p>
    <w:p w:rsidR="0026452D" w:rsidRDefault="0026452D" w:rsidP="0026452D">
      <w:pPr>
        <w:pStyle w:val="TextoNormal"/>
      </w:pPr>
      <w:r>
        <w:t>h) La prohibición de tenencia y uso de munición con plomo en la práctica de tiro deportivo o caza en determinadas zonas húmedas, prevista en el art. 62.3 j), estaría igualmente amparada en el art. 149.1.23 CE. Se trataría de una norma de protección del medio ambiente de carácter transversal que, al consistir en restricciones puntuales, se convertiría en límite válido de las competencias autonómicas, incluso las exclusivas. Tal conclusión resultaría de la STC 102/1995, FJ 26, que juzgó constitucional la norma estatal que prohibía la caza de determinadas especies. Este pronunciamiento llegó a la conclusión contraria al examinar un listado de métodos prohibidos de captura y transporte, al entender que su casuismo superaba el marco de la protección de la fauna para invadir el de la caza, donde juega la competencia exclusiva de las Comunidades Autónomas. No obstante, la inclusión del anexo en la Ley 42/2007 responde a una finalidad distinta, que es la incorporación de los métodos enumerados en las directivas medioambientales y atender a las demandas de la Comisión en el procedimiento de infracción 2003/2080 abierto por mala transposición de la Directiva hábitat, lo que determinaría su constitucionalidad, según la Abogacía del Estado.</w:t>
      </w:r>
    </w:p>
    <w:p w:rsidR="0026452D" w:rsidRDefault="0026452D" w:rsidP="0026452D">
      <w:pPr>
        <w:pStyle w:val="TextoNormal"/>
      </w:pPr>
    </w:p>
    <w:p w:rsidR="0026452D" w:rsidRDefault="0026452D" w:rsidP="0026452D">
      <w:pPr>
        <w:pStyle w:val="TextoNormal"/>
      </w:pPr>
      <w:r>
        <w:t>i) Según la Abogada del Estado, las evaluaciones preceptivas de cada reserva de biosfera, atribuidas por el art. 66.2 al Comité MaB, son conformes al orden competencial; se corresponden con las funciones de coordinación, propuesta y enlace (vinculadas a la proyección internacional de la red de reservas de la biosfera) concretadas en el Real Decreto 342/2007, de 9 de marzo. En todo caso, la Ley no excluiría que esas evaluaciones se basen en las realizadas por las propias Comunidades Autónomas, a través de los correspondientes mecanismos de colaboración; no debería olvidarse que el Tribunal Constitucional confirmó la constitucionalidad de la norma estatal que atribuía similares funciones al organismo autónomo de parques naturales (STC 101/2005, FJ 13).</w:t>
      </w:r>
    </w:p>
    <w:p w:rsidR="0026452D" w:rsidRDefault="0026452D" w:rsidP="0026452D">
      <w:pPr>
        <w:pStyle w:val="TextoNormal"/>
      </w:pPr>
    </w:p>
    <w:p w:rsidR="0026452D" w:rsidRDefault="0026452D" w:rsidP="0026452D">
      <w:pPr>
        <w:pStyle w:val="TextoNormal"/>
      </w:pPr>
      <w:r w:rsidRPr="0026452D">
        <w:rPr>
          <w:rStyle w:val="NumeroAFNegritaCaracter"/>
        </w:rPr>
        <w:t>6</w:t>
      </w:r>
      <w:r>
        <w:t>. Por providencia de 4 de junio de 2013 se señaló para deliberación y votación del presente recurso el día 6 del mismo mes y año.</w:t>
      </w:r>
    </w:p>
    <w:p w:rsidR="0026452D" w:rsidRDefault="0026452D" w:rsidP="0026452D">
      <w:pPr>
        <w:pStyle w:val="TextoNormal"/>
      </w:pPr>
    </w:p>
    <w:p w:rsidR="0026452D" w:rsidRDefault="0026452D" w:rsidP="0026452D">
      <w:pPr>
        <w:pStyle w:val="TextoNormalNegritaCentrado"/>
        <w:keepNext/>
      </w:pPr>
      <w:r>
        <w:t>II. Fundamentos jurídicos</w:t>
      </w:r>
    </w:p>
    <w:p w:rsidR="0026452D" w:rsidRDefault="0026452D" w:rsidP="0026452D">
      <w:pPr>
        <w:pStyle w:val="TextoNormalNegritaCentrado"/>
        <w:keepNext/>
      </w:pPr>
    </w:p>
    <w:p w:rsidR="0026452D" w:rsidRDefault="0026452D" w:rsidP="0026452D">
      <w:pPr>
        <w:pStyle w:val="TextoNormal"/>
      </w:pPr>
      <w:r w:rsidRPr="0026452D">
        <w:rPr>
          <w:rStyle w:val="NumeroAFNegritaCaracter"/>
        </w:rPr>
        <w:t>1</w:t>
      </w:r>
      <w:r>
        <w:t>. El Gobierno de la Comunidad de Madrid interpone el presente recurso de inconstitucionalidad contra los arts. 4, 9, 10, 11, 16.2, 20, 23 b 1), 24, 25, 26, 45.1, 62.3 j), 66.2 y 72 de la Ley 42/2007, de 13 de diciembre, del patrimonio natural y de la biodiversidad.</w:t>
      </w:r>
    </w:p>
    <w:p w:rsidR="0026452D" w:rsidRDefault="0026452D" w:rsidP="0026452D">
      <w:pPr>
        <w:pStyle w:val="TextoNormal"/>
      </w:pPr>
    </w:p>
    <w:p w:rsidR="0026452D" w:rsidRDefault="0026452D" w:rsidP="0026452D">
      <w:pPr>
        <w:pStyle w:val="TextoNormal"/>
      </w:pPr>
      <w:r>
        <w:t xml:space="preserve">Todas las impugnaciones se fundamentan en motivos competenciales que, como proponen las partes, deben examinarse a la luz del art. 149.1.23 CE, que atribuye al Estado la </w:t>
      </w:r>
      <w:r>
        <w:lastRenderedPageBreak/>
        <w:t>“legislación básica sobre protección del medio ambiente, sin perjuicio de las facultades de las Comunidades Autónomas de establecer normas adicionales de protección”; y del art. 27.7 del Estatuto de Autonomía de la Comunidad de Madrid, que asigna a esta Comunidad el desarrollo tanto legislativo como reglamentario de esa legislación básica así como las funciones de ejecución sobre “protección del medio ambiente”, sin perjuicio de la posibilidad de “establecer normas adicionales de protección”.</w:t>
      </w:r>
    </w:p>
    <w:p w:rsidR="0026452D" w:rsidRDefault="0026452D" w:rsidP="0026452D">
      <w:pPr>
        <w:pStyle w:val="TextoNormal"/>
      </w:pPr>
    </w:p>
    <w:p w:rsidR="0026452D" w:rsidRDefault="0026452D" w:rsidP="0026452D">
      <w:pPr>
        <w:pStyle w:val="TextoNormal"/>
      </w:pPr>
      <w:r>
        <w:t>La Ley controvertida ha declarado formalmente el carácter básico de todos los preceptos impugnados, con la excepción del art. 72.2, aplicable únicamente a la Administración General del Estado así como a sus organismos públicos y agencias (disposición final segunda). Consecuentemente, el enjuiciamiento que nos corresponde consiste esencialmente en determinar si los preceptos recurridos cumplen los requisitos de orden material para su calificación como legislación básica. Se trata de un enjuiciamiento exactamente igual al realizado en la reciente STC 69/2013, de 14 de marzo, resolutoria del recurso de inconstitucionalidad interpuesto por el Consejo de Gobierno de Castilla y León contra la Ley objeto del presente proceso constitucional. Ciertamente, no hay plena coincidencia objetiva entre aquel recurso y el presente, este último referido a un número mayor de preceptos. No obstante, la doctrina de la STC 69/2013, de 14 de marzo, resulta enteramente aplicable a este proceso, desde luego en lo relativo tanto a los criterios constitucionales para valorar si una norma estatal es legislación básica medioambiental (FJ 1) como a la serie de reflexiones preliminares sobre el objeto, los principios, las finalidades y las técnicas de la Ley 42/2007 (FJ 2). Por esta razón procede dar aquí por reproducidos los fundamentos jurídicos 1 y 2 de aquella Sentencia, pues han de enmarcar también la resolución del presente recurso.</w:t>
      </w:r>
    </w:p>
    <w:p w:rsidR="0026452D" w:rsidRDefault="0026452D" w:rsidP="0026452D">
      <w:pPr>
        <w:pStyle w:val="TextoNormal"/>
      </w:pPr>
    </w:p>
    <w:p w:rsidR="0026452D" w:rsidRDefault="0026452D" w:rsidP="0026452D">
      <w:pPr>
        <w:pStyle w:val="TextoNormal"/>
      </w:pPr>
      <w:r w:rsidRPr="0026452D">
        <w:rPr>
          <w:rStyle w:val="NumeroAFNegritaCaracter"/>
        </w:rPr>
        <w:t>2</w:t>
      </w:r>
      <w:r>
        <w:t>. Antes de abordar cada una de las impugnaciones debemos aún pronunciarnos sobre el modo en que dos reformas posteriores al planteamiento de la demanda afectan al objeto de este proceso. Conforme a nuestra doctrina, al tratarse de un recurso de inconstitucionalidad que plantea una controversia exclusivamente competencial, atenderemos ante todo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(STC 102/2013, de 23 de abril, FJ 2, remitiéndose a la STC 133/2012, de 19 de junio, FJ 2).</w:t>
      </w:r>
    </w:p>
    <w:p w:rsidR="0026452D" w:rsidRDefault="0026452D" w:rsidP="0026452D">
      <w:pPr>
        <w:pStyle w:val="TextoNormal"/>
      </w:pPr>
    </w:p>
    <w:p w:rsidR="0026452D" w:rsidRDefault="0026452D" w:rsidP="0026452D">
      <w:pPr>
        <w:pStyle w:val="TextoNormal"/>
      </w:pPr>
      <w:r>
        <w:t xml:space="preserve">El art. 36 de la Ley 25/2009, de 22 de diciembre, de modificación de diversas leyes para su adaptación a la Ley sobre el libre acceso a las actividades de servicios y su ejercicio, ha dado nueva redacción al art. 72.2, relativo a los acuerdos por los que la Administración General del Estado puede ceder a una entidad de custodia la gestión de terrenos situados en espacios naturales. Tras la reforma, el precepto precisa que la selección de esas entidades habrá de ajustarse a los principios de publicidad, objetividad, imparcialidad, transparencia y concurrencia competitiva; y que los acuerdos tendrán una duración limitada, no darán lugar a renovaciones automáticas ni conllevarán tras su extinción género alguno de ventaja para el anterior cesionario o persona vinculada a él. La modificación afecta esencialmente al modo en que la Administración realizará los acuerdos para ceder la gestión de los terrenos situados en espacios naturales, pero no a la posibilidad en sí de que los adopte, que es lo que discute el Gobierno de la Comunidad de Madrid, por entender que el Estado carece de competencia para condicionar así las políticas autonómicas medioambientales. Comoquiera que </w:t>
      </w:r>
      <w:r>
        <w:lastRenderedPageBreak/>
        <w:t>la reforma no ha variado los términos en que el recurso ha planteado la controversia competencial, el presente proceso constitucional no ha perdido objeto en este punto.</w:t>
      </w:r>
    </w:p>
    <w:p w:rsidR="0026452D" w:rsidRDefault="0026452D" w:rsidP="0026452D">
      <w:pPr>
        <w:pStyle w:val="TextoNormal"/>
      </w:pPr>
    </w:p>
    <w:p w:rsidR="0026452D" w:rsidRDefault="0026452D" w:rsidP="0026452D">
      <w:pPr>
        <w:pStyle w:val="TextoNormal"/>
      </w:pPr>
      <w:r>
        <w:t>El art. 2.2 de la Ley 11/2012, de 19 de diciembre, de medidas urgentes en materia de medio ambiente, ha dado nueva redacción a la letra a) del art. 45.1, que prevé, entre las medidas de conservación necesarias que deben adoptar las Comunidades Autónomas en determinadas zonas, adecuados “planes o instrumentos de gestión”. La reforma se ha limitado a añadir un inciso (“Estos planes deberán tener en especial consideración las necesidades de aquellos municipios incluidos en su totalidad o en un gran porcentaje de su territorio en estos lugares”) que no altera los términos de la controversia competencial que plantea el recurso por lo que también en este punto subsiste el objeto del proceso en consonancia con lo declarado en la STC 69/2013, de 14 de marzo, FJ 5, que llegó a la misma conclusión al examinar los efectos de la reforma sobre la misma impugnación planteada por el Gobierno de la Junta de Castilla y León.</w:t>
      </w:r>
    </w:p>
    <w:p w:rsidR="0026452D" w:rsidRDefault="0026452D" w:rsidP="0026452D">
      <w:pPr>
        <w:pStyle w:val="TextoNormal"/>
      </w:pPr>
    </w:p>
    <w:p w:rsidR="0026452D" w:rsidRDefault="0026452D" w:rsidP="0026452D">
      <w:pPr>
        <w:pStyle w:val="TextoNormal"/>
      </w:pPr>
      <w:r w:rsidRPr="0026452D">
        <w:rPr>
          <w:rStyle w:val="NumeroAFNegritaCaracter"/>
        </w:rPr>
        <w:t>3</w:t>
      </w:r>
      <w:r>
        <w:t xml:space="preserve">. La demanda recurre conjuntamente los arts. 4 y 72. El primero consta de tres apartados relativos, respectivamente, a la función social del patrimonio natural y la biodiversidad (apartado primero), a la declaración de utilidad pública o interés social de actividades encaminadas a determinados fines (apartado segundo) y al fomento de los acuerdos voluntarios con propietarios y usuarios de los recursos naturales en la planificación y gestión de los espacios protegidos (apartado tercero). El recurso se dirige formalmente contra la totalidad del artículo, pero sólo razona la posible inconstitucionalidad del último apartado, por lo que, ajustándonos a la doctrina constitucional (por todas, STC 240/2012, de 13 de diciembre, FJ 2), a él quedará circunscrito nuestro enjuiciamiento. En todo caso, conviene hacer constar que hemos declarado que “el art. 4.1 de la Ley refleja la evolucionada consideración del patrimonio natural y de la biodiversidad como bienes de interés público, categoría que, según la doctrina científica, acoge a aquéllos cuyo régimen jurídico, con independencia de su titularidad pública o privada, o incluso de su naturaleza de </w:t>
      </w:r>
      <w:r w:rsidRPr="0026452D">
        <w:rPr>
          <w:i/>
        </w:rPr>
        <w:t>res nullius</w:t>
      </w:r>
      <w:r>
        <w:t>, queda vinculado al interés general, con la finalidad de garantizar su restauración y conservación, y el derecho de todos a disfrutarlos. Por tanto, al proclamar que los mismos ‘desempeñan una función social relevante por su estrecha vinculación con el desarrollo, la salud y el bienestar de las personas y por su aportación al desarrollo social y económico’, el citado precepto conecta con el art. 128.1 CE, que subordina toda la riqueza del país en sus distintas formas, y sea cual fuere su titularidad, al interés general” [STC 69/2013, FJ 2 e)].</w:t>
      </w:r>
    </w:p>
    <w:p w:rsidR="0026452D" w:rsidRDefault="0026452D" w:rsidP="0026452D">
      <w:pPr>
        <w:pStyle w:val="TextoNormal"/>
      </w:pPr>
    </w:p>
    <w:p w:rsidR="0026452D" w:rsidRDefault="0026452D" w:rsidP="0026452D">
      <w:pPr>
        <w:pStyle w:val="TextoNormal"/>
      </w:pPr>
      <w:r>
        <w:t xml:space="preserve">El art. 72 tiene dos apartados. El primero dispone que las “Administraciones Públicas fomentarán la custodia del territorio mediante acuerdos entre entidades de custodia y propietarios de fincas privadas o públicas que tengan por objetivo principal la conservación del patrimonio natural y la biodiversidad”. El apartado siguiente (en su redacción originaria, que es la que nos corresponde tomar en consideración conforme a lo razonado en el fundamento jurídico 2) carece de carácter básico y resulta exclusivamente aplicable a la Administración General del Estado así como a sus organismos públicos y agencias (disposición final segunda de la Ley). Conforme a su tenor literal, la “Administración General del Estado, cuando sea titular de terrenos situados en espacios naturales, podrá llevar a cabo el desarrollo de acuerdos de cesión de su gestión, total o parcial de los mismos, a entidades de custodia del terreno. Estos acuerdos para la cesión de la gestión, se establecerán por escrito en forma de convenio administrativo plurianual que preverá el sistema de financiación para su desarrollo, bien mediante aportaciones económicas, edificaciones, equipamientos, maquinaria, </w:t>
      </w:r>
      <w:r>
        <w:lastRenderedPageBreak/>
        <w:t>vehículos o cualquier otro bien o servicio, así como las directrices mínimas de gestión, fijadas en un precedente plan de gestión”.</w:t>
      </w:r>
    </w:p>
    <w:p w:rsidR="0026452D" w:rsidRDefault="0026452D" w:rsidP="0026452D">
      <w:pPr>
        <w:pStyle w:val="TextoNormal"/>
      </w:pPr>
    </w:p>
    <w:p w:rsidR="0026452D" w:rsidRDefault="0026452D" w:rsidP="0026452D">
      <w:pPr>
        <w:pStyle w:val="TextoNormal"/>
      </w:pPr>
      <w:r>
        <w:t>Según el recurrente, ambos artículos impondrían una concreta política medioambiental montada sobre el presupuesto de que los propietarios no saben o no tienen interés en la conservación de los valores medioambientales existentes en sus terrenos, impidiendo que la Comunidad de Madrid ejerza sus competencias estatutarias para desarrollar otra que parta de la premisa opuesta de que los propietarios son quienes mejor pueden conservar tales valores. Además, la titularidad dominical de terrenos situados en espacios naturales no debería permitir al Estado realizar una gestión medioambiental al margen de las competencias autonómicas.</w:t>
      </w:r>
    </w:p>
    <w:p w:rsidR="0026452D" w:rsidRDefault="0026452D" w:rsidP="0026452D">
      <w:pPr>
        <w:pStyle w:val="TextoNormal"/>
      </w:pPr>
    </w:p>
    <w:p w:rsidR="0026452D" w:rsidRDefault="0026452D" w:rsidP="0026452D">
      <w:pPr>
        <w:pStyle w:val="TextoNormal"/>
      </w:pPr>
      <w:r>
        <w:t>La impugnación debe ser desestimada. La circunstancia de que estas previsiones puedan llegar a condicionar las políticas medioambientales autonómicas no implica por sí vulneración competencial alguna, pues en eso consiste, justamente, que corresponda al Estado la legislación básica medioambiental (art. 149.1.23 CE), que es una ordenación común para todo el territorio nacional, sin perjuicio del necesario margen de desarrollo autonómico (STC 101/2005, de 20 de abril, FJ 5). En todo caso, el art. 4.3 constituye una simple e inconcreta llamada a la colaboración entre los poderes públicos y la ciudadanía insusceptible en cuanto tal de condicionar estrictamente las políticas que la Comunidad Autónoma desarrolle.</w:t>
      </w:r>
    </w:p>
    <w:p w:rsidR="0026452D" w:rsidRDefault="0026452D" w:rsidP="0026452D">
      <w:pPr>
        <w:pStyle w:val="TextoNormal"/>
      </w:pPr>
    </w:p>
    <w:p w:rsidR="0026452D" w:rsidRDefault="0026452D" w:rsidP="0026452D">
      <w:pPr>
        <w:pStyle w:val="TextoNormal"/>
      </w:pPr>
      <w:r>
        <w:t>El art. 72 establece ya con más detalle una fórmula de colaboración, que es el acuerdo con una entidad de custodia para la conservación de terrenos ecológicamente interesantes. Ahora bien, el apartado 1 sigue siendo una mera exhortación, como la califica la Abogada del Estado, pues no impone a los propietarios privados la cesión de la gestión de sus terrenos a las entidades de esta naturaleza; se limita a prever el fomento de fórmulas en todo caso convencionales, es decir, acuerdos voluntarios entre unos y otras, lo que por razones obvias no pone en riesgo las competencias autonómicas.</w:t>
      </w:r>
    </w:p>
    <w:p w:rsidR="0026452D" w:rsidRDefault="0026452D" w:rsidP="0026452D">
      <w:pPr>
        <w:pStyle w:val="TextoNormal"/>
      </w:pPr>
    </w:p>
    <w:p w:rsidR="0026452D" w:rsidRDefault="0026452D" w:rsidP="0026452D">
      <w:pPr>
        <w:pStyle w:val="TextoNormal"/>
      </w:pPr>
      <w:r>
        <w:t>El apartado 2 del artículo se refiere, en particular, a los acuerdos que lleva a cabo la Administración General del Estado con el fin de conservar el patrimonio natural y la biodiversidad, pero siempre que la gestión cedida se refiera a terrenos de titularidad estatal. Según hemos declarado en la STC 52/1994, de 24 de febrero, FFJJ 5 y 6 (en relación con el acuerdo del Consejo de Ministros de enajenación al Instituto para la Conservación de la Naturaleza de la entidad La Almoraima, S.A., titular de un finca de más de catorce mil hectáreas en Cádiz), el Estado no está habilitado para utilizar los inmuebles de su propiedad “para cumplir funciones o tareas públicas que sean de la competencia de la Comunidad Autónoma”; puede naturalmente llevar a cabo “actos de disposición” que no expresen “más poder jurídico que el que deriva de su condición de titular”. En el caso, la previsión controvertida permite al Estado ceder la gestión de terrenos en su calidad de propietario, en cuanto destinatario de las obligaciones legales que le afectan por ostentar la titularidad patrimonial, lo que no supone en modo alguno incidencia en las competencias autonómicas medioambientales.</w:t>
      </w:r>
    </w:p>
    <w:p w:rsidR="0026452D" w:rsidRDefault="0026452D" w:rsidP="0026452D">
      <w:pPr>
        <w:pStyle w:val="TextoNormal"/>
      </w:pPr>
    </w:p>
    <w:p w:rsidR="0026452D" w:rsidRDefault="0026452D" w:rsidP="0026452D">
      <w:pPr>
        <w:pStyle w:val="TextoNormal"/>
      </w:pPr>
      <w:r w:rsidRPr="0026452D">
        <w:rPr>
          <w:rStyle w:val="NumeroAFNegritaCaracter"/>
        </w:rPr>
        <w:t>4</w:t>
      </w:r>
      <w:r>
        <w:t>. El recurso impugna conjuntamente los arts. 9, 10 y 11. El primero, sobre “Objetivos y contenido del Inventario Español del Patrimonio Natural y de la Biodiversidad”, dispone lo siguiente:</w:t>
      </w:r>
    </w:p>
    <w:p w:rsidR="0026452D" w:rsidRDefault="0026452D" w:rsidP="0026452D">
      <w:pPr>
        <w:pStyle w:val="TextoNormal"/>
      </w:pPr>
    </w:p>
    <w:p w:rsidR="0026452D" w:rsidRDefault="0026452D" w:rsidP="0026452D">
      <w:pPr>
        <w:pStyle w:val="TextoNormal"/>
      </w:pPr>
      <w:r>
        <w:t>“1. El Ministerio de Medio Ambiente, con la colaboración de las Comunidades autónomas y de las instituciones y organizaciones de carácter científico, elaborará y mantendrá actualizado un Inventario Español del Patrimonio Natural y de la Biodiversidad que recogerá la distribución, abundancia, estado de conservación y la utilización, así como cualquier otra información que se considere necesaria, de todos los elementos terrestres y marinos integrantes del patrimonio natural, con especial atención a los que precisen medidas específicas de conservación o hayan sido declarados de interés comunitario.</w:t>
      </w:r>
    </w:p>
    <w:p w:rsidR="0026452D" w:rsidRDefault="0026452D" w:rsidP="0026452D">
      <w:pPr>
        <w:pStyle w:val="TextoNormal"/>
      </w:pPr>
    </w:p>
    <w:p w:rsidR="0026452D" w:rsidRDefault="0026452D" w:rsidP="0026452D">
      <w:pPr>
        <w:pStyle w:val="TextoNormal"/>
      </w:pPr>
      <w:r>
        <w:t>2. El contenido y estructura del Inventario Español del Patrimonio Natural y de la Biodiversidad se determinarán reglamentariamente, previa consulta con las Comunidades autónomas, debiendo formar parte del mismo, al menos, la información relativa a:</w:t>
      </w:r>
    </w:p>
    <w:p w:rsidR="0026452D" w:rsidRDefault="0026452D" w:rsidP="0026452D">
      <w:pPr>
        <w:pStyle w:val="TextoNormal"/>
      </w:pPr>
    </w:p>
    <w:p w:rsidR="0026452D" w:rsidRDefault="0026452D" w:rsidP="0026452D">
      <w:pPr>
        <w:pStyle w:val="TextoNormal"/>
      </w:pPr>
      <w:r>
        <w:t>1.º El Catálogo Español de Hábitats en Peligro de Desaparición.</w:t>
      </w:r>
    </w:p>
    <w:p w:rsidR="0026452D" w:rsidRDefault="0026452D" w:rsidP="0026452D">
      <w:pPr>
        <w:pStyle w:val="TextoNormal"/>
      </w:pPr>
    </w:p>
    <w:p w:rsidR="0026452D" w:rsidRDefault="0026452D" w:rsidP="0026452D">
      <w:pPr>
        <w:pStyle w:val="TextoNormal"/>
      </w:pPr>
      <w:r>
        <w:t>2.º El Listado de Especies Silvestres en Régimen de Protección Especial incluyendo el Catálogo Español de Especies Silvestres Amenazadas.</w:t>
      </w:r>
    </w:p>
    <w:p w:rsidR="0026452D" w:rsidRDefault="0026452D" w:rsidP="0026452D">
      <w:pPr>
        <w:pStyle w:val="TextoNormal"/>
      </w:pPr>
    </w:p>
    <w:p w:rsidR="0026452D" w:rsidRDefault="0026452D" w:rsidP="0026452D">
      <w:pPr>
        <w:pStyle w:val="TextoNormal"/>
      </w:pPr>
      <w:r>
        <w:t>3.º El catálogo español de especies exóticas invasoras.</w:t>
      </w:r>
    </w:p>
    <w:p w:rsidR="0026452D" w:rsidRDefault="0026452D" w:rsidP="0026452D">
      <w:pPr>
        <w:pStyle w:val="TextoNormal"/>
      </w:pPr>
    </w:p>
    <w:p w:rsidR="0026452D" w:rsidRDefault="0026452D" w:rsidP="0026452D">
      <w:pPr>
        <w:pStyle w:val="TextoNormal"/>
      </w:pPr>
      <w:r>
        <w:t>4.º El Inventario Español de Espacios Naturales Protegidos, Red Natura 2000 y Áreas protegidas por instrumentos internacionales.</w:t>
      </w:r>
    </w:p>
    <w:p w:rsidR="0026452D" w:rsidRDefault="0026452D" w:rsidP="0026452D">
      <w:pPr>
        <w:pStyle w:val="TextoNormal"/>
      </w:pPr>
    </w:p>
    <w:p w:rsidR="0026452D" w:rsidRDefault="0026452D" w:rsidP="0026452D">
      <w:pPr>
        <w:pStyle w:val="TextoNormal"/>
      </w:pPr>
      <w:r>
        <w:t>5.º El Inventario y la Estadística Forestal Española.</w:t>
      </w:r>
    </w:p>
    <w:p w:rsidR="0026452D" w:rsidRDefault="0026452D" w:rsidP="0026452D">
      <w:pPr>
        <w:pStyle w:val="TextoNormal"/>
      </w:pPr>
    </w:p>
    <w:p w:rsidR="0026452D" w:rsidRDefault="0026452D" w:rsidP="0026452D">
      <w:pPr>
        <w:pStyle w:val="TextoNormal"/>
      </w:pPr>
      <w:r>
        <w:t>6.º El Inventario Español de Bancos de Material Genético referido a especies silvestres.</w:t>
      </w:r>
    </w:p>
    <w:p w:rsidR="0026452D" w:rsidRDefault="0026452D" w:rsidP="0026452D">
      <w:pPr>
        <w:pStyle w:val="TextoNormal"/>
      </w:pPr>
    </w:p>
    <w:p w:rsidR="0026452D" w:rsidRDefault="0026452D" w:rsidP="0026452D">
      <w:pPr>
        <w:pStyle w:val="TextoNormal"/>
      </w:pPr>
      <w:r>
        <w:t>7.º El Inventario Español de Caza y Pesca.</w:t>
      </w:r>
    </w:p>
    <w:p w:rsidR="0026452D" w:rsidRDefault="0026452D" w:rsidP="0026452D">
      <w:pPr>
        <w:pStyle w:val="TextoNormal"/>
      </w:pPr>
    </w:p>
    <w:p w:rsidR="0026452D" w:rsidRDefault="0026452D" w:rsidP="0026452D">
      <w:pPr>
        <w:pStyle w:val="TextoNormal"/>
      </w:pPr>
      <w:r>
        <w:t>8.º El Inventario Español de Parques Zoológicos.</w:t>
      </w:r>
    </w:p>
    <w:p w:rsidR="0026452D" w:rsidRDefault="0026452D" w:rsidP="0026452D">
      <w:pPr>
        <w:pStyle w:val="TextoNormal"/>
      </w:pPr>
    </w:p>
    <w:p w:rsidR="0026452D" w:rsidRDefault="0026452D" w:rsidP="0026452D">
      <w:pPr>
        <w:pStyle w:val="TextoNormal"/>
      </w:pPr>
      <w:r>
        <w:t>9.º El Inventario Español de los Conocimientos Tradicionales relativos al patrimonio natural y la biodiversidad.</w:t>
      </w:r>
    </w:p>
    <w:p w:rsidR="0026452D" w:rsidRDefault="0026452D" w:rsidP="0026452D">
      <w:pPr>
        <w:pStyle w:val="TextoNormal"/>
      </w:pPr>
    </w:p>
    <w:p w:rsidR="0026452D" w:rsidRDefault="0026452D" w:rsidP="0026452D">
      <w:pPr>
        <w:pStyle w:val="TextoNormal"/>
      </w:pPr>
      <w:r>
        <w:t>10.º Un Inventario de Lugares de Interés Geológico representativo, de al menos, las unidades y contextos geológicos recogidos en el Anexo VIII.</w:t>
      </w:r>
    </w:p>
    <w:p w:rsidR="0026452D" w:rsidRDefault="0026452D" w:rsidP="0026452D">
      <w:pPr>
        <w:pStyle w:val="TextoNormal"/>
      </w:pPr>
    </w:p>
    <w:p w:rsidR="0026452D" w:rsidRDefault="0026452D" w:rsidP="0026452D">
      <w:pPr>
        <w:pStyle w:val="TextoNormal"/>
      </w:pPr>
      <w:r>
        <w:t>11.º Un Inventario Español de Hábitats y Especies marinos.</w:t>
      </w:r>
    </w:p>
    <w:p w:rsidR="0026452D" w:rsidRDefault="0026452D" w:rsidP="0026452D">
      <w:pPr>
        <w:pStyle w:val="TextoNormal"/>
      </w:pPr>
    </w:p>
    <w:p w:rsidR="0026452D" w:rsidRDefault="0026452D" w:rsidP="0026452D">
      <w:pPr>
        <w:pStyle w:val="TextoNormal"/>
      </w:pPr>
      <w:r>
        <w:t>3. Formará igualmente parte del Inventario Español del Patrimonio Natural y de la Biodiversidad un Inventario Español de Zonas Húmedas, a fin de conocer su evolución y, en su caso, indicar las medidas de protección que deben recoger los Planes Hidrológicos de Demarcación de la ley de aguas.”</w:t>
      </w:r>
    </w:p>
    <w:p w:rsidR="0026452D" w:rsidRDefault="0026452D" w:rsidP="0026452D">
      <w:pPr>
        <w:pStyle w:val="TextoNormal"/>
      </w:pPr>
    </w:p>
    <w:p w:rsidR="0026452D" w:rsidRDefault="0026452D" w:rsidP="0026452D">
      <w:pPr>
        <w:pStyle w:val="TextoNormal"/>
      </w:pPr>
      <w:r>
        <w:t>El art. 10 lleva el rótulo de “Sistema de Indicadores” y dispone:</w:t>
      </w:r>
    </w:p>
    <w:p w:rsidR="0026452D" w:rsidRDefault="0026452D" w:rsidP="0026452D">
      <w:pPr>
        <w:pStyle w:val="TextoNormal"/>
      </w:pPr>
    </w:p>
    <w:p w:rsidR="0026452D" w:rsidRDefault="0026452D" w:rsidP="0026452D">
      <w:pPr>
        <w:pStyle w:val="TextoNormal"/>
      </w:pPr>
      <w:r>
        <w:t xml:space="preserve">“En el Inventario Español del Patrimonio Natural y de la Biodiversidad se establecerá un Sistema de Indicadores para expresar de forma sintética sus resultados, de forma que puedan </w:t>
      </w:r>
      <w:r>
        <w:lastRenderedPageBreak/>
        <w:t>ser transmitidos al conjunto de la sociedad, incorporados a los procesos de toma de decisiones e integrados a escala supranacional. Los indicadores se elaborarán con la participación de las Comunidades autónomas.</w:t>
      </w:r>
    </w:p>
    <w:p w:rsidR="0026452D" w:rsidRDefault="0026452D" w:rsidP="0026452D">
      <w:pPr>
        <w:pStyle w:val="TextoNormal"/>
      </w:pPr>
    </w:p>
    <w:p w:rsidR="0026452D" w:rsidRDefault="0026452D" w:rsidP="0026452D">
      <w:pPr>
        <w:pStyle w:val="TextoNormal"/>
      </w:pPr>
      <w:r>
        <w:t>Los Indicadores más significativos se incorporarán al Inventario de Operaciones Estadísticas del Ministerio de Medio Ambiente y al Plan Estadístico Nacional.”</w:t>
      </w:r>
    </w:p>
    <w:p w:rsidR="0026452D" w:rsidRDefault="0026452D" w:rsidP="0026452D">
      <w:pPr>
        <w:pStyle w:val="TextoNormal"/>
      </w:pPr>
    </w:p>
    <w:p w:rsidR="0026452D" w:rsidRDefault="0026452D" w:rsidP="0026452D">
      <w:pPr>
        <w:pStyle w:val="TextoNormal"/>
      </w:pPr>
      <w:r>
        <w:t>El art. 11 bajo el rótulo de “Informe sobre el estado del Patrimonio Natural y de la Biodiversidad”, dispone:</w:t>
      </w:r>
    </w:p>
    <w:p w:rsidR="0026452D" w:rsidRDefault="0026452D" w:rsidP="0026452D">
      <w:pPr>
        <w:pStyle w:val="TextoNormal"/>
      </w:pPr>
    </w:p>
    <w:p w:rsidR="0026452D" w:rsidRDefault="0026452D" w:rsidP="0026452D">
      <w:pPr>
        <w:pStyle w:val="TextoNormal"/>
      </w:pPr>
      <w:r>
        <w:t>“Partiendo de los datos del Inventario Español del Patrimonio Natural y de la Biodiversidad y del Sistema de Indicadores, el Ministerio de Medio Ambiente elaborará, con las Comunidades autónomas, anualmente un Informe sobre el estado y la evolución del Patrimonio Natural y de la Biodiversidad así como de las iniciativas adoptadas para mantenerlo en buen estado de conservación. El informe contendrá una evaluación de los resultados alcanzados por las principales políticas adoptadas. Este informe será presentado al Consejo Estatal para el Patrimonio Natural y la Biodiversidad, a la Comisión Estatal para el Patrimonio Natural y la Biodiversidad y a la Conferencia Sectorial de Medio Ambiente, antes de hacerse público.”</w:t>
      </w:r>
    </w:p>
    <w:p w:rsidR="0026452D" w:rsidRDefault="0026452D" w:rsidP="0026452D">
      <w:pPr>
        <w:pStyle w:val="TextoNormal"/>
      </w:pPr>
    </w:p>
    <w:p w:rsidR="0026452D" w:rsidRDefault="0026452D" w:rsidP="0026452D">
      <w:pPr>
        <w:pStyle w:val="TextoNormal"/>
      </w:pPr>
      <w:r>
        <w:t>El recurrente no discute, en principio, el carácter básico del art. 9, pero afirma que llega a un grado tal de detalle que impide el ejercicio de las competencias autonómicas en materia de medio ambiente; crea una red exhaustiva de catálogos que no permite a las Comunidades Autónomas establecer inventarios propios ni dotarles de las finalidades específicas que ellas estimen convenientes. Los arts. 10 y 11 se apoyarían en el inventario español del patrimonio natural y de la biodiversidad previsto en el artículo anterior para establecer un sistema de tutelas contrario a las competencias estatutarias de la Comunidad de Madrid. Los indicadores serían “criterios de actuación” diseñados por el Estado para limitar la capacidad de acción autonómica; y el informe ocultaría un control completamente genérico y de oportunidad contrario a la doctrina constitucional.</w:t>
      </w:r>
    </w:p>
    <w:p w:rsidR="0026452D" w:rsidRDefault="0026452D" w:rsidP="0026452D">
      <w:pPr>
        <w:pStyle w:val="TextoNormal"/>
      </w:pPr>
    </w:p>
    <w:p w:rsidR="0026452D" w:rsidRDefault="0026452D" w:rsidP="0026452D">
      <w:pPr>
        <w:pStyle w:val="TextoNormal"/>
      </w:pPr>
      <w:r>
        <w:t xml:space="preserve">La impugnación de estos tres artículos debe ser desestimada. Respecto del art. 9, debemos recordar lo declarado en la STC 102/1995: aun cuando “a la lista, enumeración o catálogo se le haya achacado un excesivo casuismo, tal reproche no resulta, sin embargo, aceptable. Ante todo es preciso recordar, como ya se ha hecho anteriormente que en materia de medio ambiente el deber estatal de dejar un margen de desarrollo de la legislación básica por la normativa autonómica es menor que en otros ámbitos” (FJ 13). Señalábamos, además, que no “se requiere excesiva argumentación para comprender que la necesidad de que existan ciertos registros o catálogos, la configuración de su contenido (datos inscribibles) y la determinación de su eficacia pueden ser tenidos sin dificultad por básicos como también la ordenación y regulación del servicio en sus líneas maestras” y que “es posible, desde la perspectiva del orden constitucional de competencias, que la Administración General del Estado establezca un registro único para todo el territorio español que centralice los datos sobre el sector con la doble función complementaria de información propia y publicidad para los demás”, máxime cuando la catalogación ha de conectarse con los planes y viene también exigida por normativa europea e internacional (FJ 25). Hicimos esta afirmación respecto del catálogo de especies amenazadas y la hemos retomado después en la STC 69/2013, FJ 4, al referirnos al catálogo de hábitats en peligro de desaparición, por lo que es </w:t>
      </w:r>
      <w:r>
        <w:lastRenderedPageBreak/>
        <w:t>lógicamente extensible a la totalidad del inventario español del patrimonio natural y de la biodiversidad. Además, como afirma la Abogada del Estado apoyándose en el dictamen 913/2007 del Consejo de Estado, la previsión de múltiples catálogos, listados e inventarios expresa, no una invasión competencial, sino el mayor grado de madurez de las políticas públicas de conservación de la naturaleza.</w:t>
      </w:r>
    </w:p>
    <w:p w:rsidR="0026452D" w:rsidRDefault="0026452D" w:rsidP="0026452D">
      <w:pPr>
        <w:pStyle w:val="TextoNormal"/>
      </w:pPr>
    </w:p>
    <w:p w:rsidR="0026452D" w:rsidRDefault="0026452D" w:rsidP="0026452D">
      <w:pPr>
        <w:pStyle w:val="TextoNormal"/>
      </w:pPr>
      <w:r>
        <w:t>El razonamiento en que se apoyan específicamente las impugnaciones de los arts. 10 y 11 es rechazable, pues consiste en hacer decir a las normas lo que claramente no dicen para plantear después una posible invasión de las competencias de la Comunidad Autónoma de Madrid. Sin perjuicio de que el art. 149.1.23 CE atribuye el Estado competencias medioambientales que pueden válidamente condicionar la toma de decisiones de las Comunidades Autónomas, es claro que ambos preceptos regulan instrumentos de mero conocimiento y análisis con el fin, no de constreñir indebidamente la capacidad autonómica de acción, sino de ayudar a un mejor diseño de las políticas públicas, proporcionando datos y valoraciones que la variedad de actores involucrados en la conservación del medio ambiente puede tener en cuenta. Por eso el sistema de indicadores previsto en el art. 10 no puede entrañar una vulneración de las competencias estatutarias de la Comunidad de Madrid ni la elaboración de un informe que incluya evaluaciones de los resultados alcanzados por las políticas públicas puede asimilarse en modo alguno a un control de oportunidad. Tan es así que en este caso no es preciso siquiera insistir en que las previsiones impugnadas prevén explícitamente la participación autonómica en la elaboración tanto de los indicadores como del mencionado informe. Por lo demás, la incorporación de los indicadores más significativos tanto al plan estadístico nacional como al inventario de operaciones estadísticas de medio ambiente (art. 10, párrafo segundo) puede entenderse amparada también por el art. 149.1.31 CE, que atribuye al Estado la competencia exclusiva sobre “estadística para fines estatales”, “lo que le habilita para instrumentar directamente, y no a través de las Comunidades Autónomas, dicha estadística” (STC 31/2010, de 28 de junio, FJ 81).</w:t>
      </w:r>
    </w:p>
    <w:p w:rsidR="0026452D" w:rsidRDefault="0026452D" w:rsidP="0026452D">
      <w:pPr>
        <w:pStyle w:val="TextoNormal"/>
      </w:pPr>
    </w:p>
    <w:p w:rsidR="0026452D" w:rsidRDefault="0026452D" w:rsidP="0026452D">
      <w:pPr>
        <w:pStyle w:val="TextoNormal"/>
      </w:pPr>
      <w:r>
        <w:t xml:space="preserve">Por otra parte, no puede perderse de vista el carácter crucial para la protección del medio ambiente de los instrumentos de análisis y conocimiento previstos en los tres artículos controvertidos (inventarios, indicadores e informe). En el marco del Convenio de Aarhus de 1998 y de la legislación comunitaria, la Ley 27/2006, de 18 de julio, establece el derecho de todos a acceder “a la información ambiental que obre en poder de las autoridades públicas o en el de otros sujetos que la posean en su nombre” [art. 1.1 a)], junto a la obligación positiva de las autoridades públicas de difundirla amplia y sistemáticamente (art. 6.1: “las autoridades públicas adoptarán las medidas oportunas para asegurar la paulatina difusión de la información ambiental y su puesta a disposición del público de la manera más amplia y sistemática posible”). Estas previsiones se concretan en la elaboración y publicación de informes y evaluaciones (arts. 7 y 9), entre otros instrumentos. Se trata de que los ciudadanos puedan contribuir eficazmente a la protección del medio ambiente, para lo cual resulta fundamental la transparencia sin que las Administraciones públicas puedan dejar de proporcionar o difundir información ambiental escudándose en que se refiere a asuntos que no son de su competencia. En este sentido, los instrumentos previstos en los artículos controvertidos de la Ley 42/2007 para sintetizar y valorar la información ambiental producida por diferentes instancias son fundamentales para implicar a la población general en la protección del patrimonio natural y la biodiversidad. Expresan la apuesta del legislador básico (adoptada, por lo demás, dentro del contexto europeo e internacional) por una concreta política medioambiental, que es la que confía en la iniciativa de los propios ciudadanos para luchar </w:t>
      </w:r>
      <w:r>
        <w:lastRenderedPageBreak/>
        <w:t>contra la degradación del medio y de la biodiversidad. Por eso debe entenderse que también por esta razón los tres preceptos examinados están amparados en el art. 149.1.23 CE.</w:t>
      </w:r>
    </w:p>
    <w:p w:rsidR="0026452D" w:rsidRDefault="0026452D" w:rsidP="0026452D">
      <w:pPr>
        <w:pStyle w:val="TextoNormal"/>
      </w:pPr>
    </w:p>
    <w:p w:rsidR="0026452D" w:rsidRDefault="0026452D" w:rsidP="0026452D">
      <w:pPr>
        <w:pStyle w:val="TextoNormal"/>
      </w:pPr>
      <w:r w:rsidRPr="0026452D">
        <w:rPr>
          <w:rStyle w:val="NumeroAFNegritaCaracter"/>
        </w:rPr>
        <w:t>5</w:t>
      </w:r>
      <w:r>
        <w:t>. El art. 16 se refiere a las “directrices para la ordenación de los recursos naturales” cuyo objeto es “el establecimiento y definición de criterios y normas generales de carácter básico que regulen la gestión y uso de los recursos naturales, de acuerdo con lo establecido por la presente ley” (apartado, 3). El recurso impugna específicamente el apartado 2 de este artículo, que establece:</w:t>
      </w:r>
    </w:p>
    <w:p w:rsidR="0026452D" w:rsidRDefault="0026452D" w:rsidP="0026452D">
      <w:pPr>
        <w:pStyle w:val="TextoNormal"/>
      </w:pPr>
    </w:p>
    <w:p w:rsidR="0026452D" w:rsidRDefault="0026452D" w:rsidP="0026452D">
      <w:pPr>
        <w:pStyle w:val="TextoNormal"/>
      </w:pPr>
      <w:r>
        <w:t>“El Ministerio de Medio Ambiente, con la participación de las Comunidades autónomas, elaborará, en el marco del Plan Estratégico Estatal del Patrimonio Natural y de la Biodiversidad, unas directrices para la ordenación de los recursos naturales a las que, en todo caso, deberán ajustarse los Planes de Ordenación de los Recursos Naturales que aprueben las Comunidades autónomas. Dichas directrices se aprobarán mediante Real Decreto, en un plazo máximo de dos años, previo informe del Consejo Estatal para el Patrimonio Natural y la Biodiversidad.”</w:t>
      </w:r>
    </w:p>
    <w:p w:rsidR="0026452D" w:rsidRDefault="0026452D" w:rsidP="0026452D">
      <w:pPr>
        <w:pStyle w:val="TextoNormal"/>
      </w:pPr>
    </w:p>
    <w:p w:rsidR="0026452D" w:rsidRDefault="0026452D" w:rsidP="0026452D">
      <w:pPr>
        <w:pStyle w:val="TextoNormal"/>
      </w:pPr>
      <w:r>
        <w:t>El Letrado autonómico admite que esas directrices pueden ser necesarias y que la STC 102/1995 ya las declaró constitucionales. No obstante, invita a una reconsideración de esta calificación, partiendo de que unas directrices básicas aprobadas en normas de rango reglamentario sólo pueden ser constitucionales si resultan imprescindibles y su contenido es técnico o estacionario; si son aprobadas con el acuerdo de las Comunidades Autónomas, no con su mera participación, siempre que no agoten la regulación de la materia, salvaguardando un margen autonómico para el establecimiento de normas adicionales de protección.</w:t>
      </w:r>
    </w:p>
    <w:p w:rsidR="0026452D" w:rsidRDefault="0026452D" w:rsidP="0026452D">
      <w:pPr>
        <w:pStyle w:val="TextoNormal"/>
      </w:pPr>
    </w:p>
    <w:p w:rsidR="0026452D" w:rsidRDefault="0026452D" w:rsidP="0026452D">
      <w:pPr>
        <w:pStyle w:val="TextoNormal"/>
      </w:pPr>
      <w:r>
        <w:t>La impugnación tampoco puede ser acogida. Como reconoce el propio recurrente, hemos tenido ya oportunidad de pronunciarnos en la STC 102/1995, FJ 13, sobre el precepto equivalente de la Ley predecesora de la controvertida (art. 8 de la Ley 4/1989). En aquella ocasión declaramos que la “planificación de los recursos naturales no es sino una forma de poner orden y concierto para conseguir la utilización racional que exige la Constitución (art. 45.1)… El mandato de planificar… se acomoda sin esfuerzo alguno al concepto de lo básico y en su ámbito encuentra su sede propia la determinación de los objetivos así como del contenido mínimo de los Planes de Ordenación de los Recursos Naturales… En esta misma línea se sitúan por su naturaleza intrínseca y su función las Directrices para la Ordenación de los Recursos Naturales (art. 8) que se configuran materialmente como el escalón superior de la planificación ecológica y por tanto, de los Planes homónimos, cuyo ámbito espacial puede ser una zona concreta o el territorio entero, por qué no, de la Comunidad Autónoma correspondiente. Son el vértice de la estructura piramidal que termina, por abajo en los Planes Rectores de Uso y Gestión de los Parques Naturales (art. 19)… El contenido de esta norma no extravasa tal ámbito, como pone de relieve su encuadramiento explícito en el marco de esta Ley. Sin embargo, la necesidad de que existan esas Directrices, básica en sí misma, no puede conllevar el carácter básico anticipado de las reglas concretas que se dicten al amparo del precepto, cuya impugnación, en su día, queda abierta.”</w:t>
      </w:r>
    </w:p>
    <w:p w:rsidR="0026452D" w:rsidRDefault="0026452D" w:rsidP="0026452D">
      <w:pPr>
        <w:pStyle w:val="TextoNormal"/>
      </w:pPr>
    </w:p>
    <w:p w:rsidR="0026452D" w:rsidRDefault="0026452D" w:rsidP="0026452D">
      <w:pPr>
        <w:pStyle w:val="TextoNormal"/>
      </w:pPr>
      <w:r>
        <w:t xml:space="preserve">Esta doctrina sobre la planificación ambiental está estrechamente vinculada a la percepción que tuvimos entonces de que el medioambiente requiere invariablemente de acciones coordinadas que consigan “reconducir a la unidad los diversos componentes de una realidad en peligro” (STC 102/1995, FJ 7). En la medida en que esta percepción no ha cambiado, </w:t>
      </w:r>
      <w:r>
        <w:lastRenderedPageBreak/>
        <w:t>siendo ahora aún más evidente la importancia de una política medioambiental global dado el carácter inequívocamente trasfronterizo de esta materia y la importancia de los valores en juego, no puede cambiar tampoco nuestra doctrina sobre la planificación medioambiental y sus directrices para la ordenación de los recursos naturales. Estas últimas son expresión de la muy justificada preocupación del legislador por afrontar las particulares necesidades de coordinación inherentes a esta materia vinculadas a “la prioritaria atención que merece la protección del medio ambiente, en su dimensión específica de protección del patrimonio natural y de la biodiversidad, cuya creciente fragilidad queda de manifiesto en las cifras y tendencias, contrastadas científicamente” [STC 69/2013, FJ 2 c)].</w:t>
      </w:r>
    </w:p>
    <w:p w:rsidR="0026452D" w:rsidRDefault="0026452D" w:rsidP="0026452D">
      <w:pPr>
        <w:pStyle w:val="TextoNormal"/>
      </w:pPr>
    </w:p>
    <w:p w:rsidR="0026452D" w:rsidRDefault="0026452D" w:rsidP="0026452D">
      <w:pPr>
        <w:pStyle w:val="TextoNormal"/>
      </w:pPr>
      <w:r w:rsidRPr="0026452D">
        <w:rPr>
          <w:rStyle w:val="NumeroAFNegritaCaracter"/>
        </w:rPr>
        <w:t>6</w:t>
      </w:r>
      <w:r>
        <w:t>. El art. 20, bajo el rótulo de “Corredores ecológicos y Áreas de montaña” establece:</w:t>
      </w:r>
    </w:p>
    <w:p w:rsidR="0026452D" w:rsidRDefault="0026452D" w:rsidP="0026452D">
      <w:pPr>
        <w:pStyle w:val="TextoNormal"/>
      </w:pPr>
    </w:p>
    <w:p w:rsidR="0026452D" w:rsidRDefault="0026452D" w:rsidP="0026452D">
      <w:pPr>
        <w:pStyle w:val="TextoNormal"/>
      </w:pPr>
      <w:r>
        <w:t>“Las Administraciones Públicas preverán, en su planificación ambiental o en los Planes de Ordenación de los Recursos Naturales, mecanismos para lograr la conectividad ecológica del territorio, estableciendo o restableciendo corredores, en particular entre los espacios protegidos Red Natura 2000 y entre aquellos espacios naturales de singular relevancia para la biodiversidad. Para ello se otorgará un papel prioritario a los cursos fluviales, las vías pecuarias, las áreas de montaña y otros elementos del territorio, lineales y continuos, o que actúan como puntos de enlace, con independencia de que tengan la condición de espacios naturales protegidos.</w:t>
      </w:r>
    </w:p>
    <w:p w:rsidR="0026452D" w:rsidRDefault="0026452D" w:rsidP="0026452D">
      <w:pPr>
        <w:pStyle w:val="TextoNormal"/>
      </w:pPr>
    </w:p>
    <w:p w:rsidR="0026452D" w:rsidRDefault="0026452D" w:rsidP="0026452D">
      <w:pPr>
        <w:pStyle w:val="TextoNormal"/>
      </w:pPr>
      <w:r>
        <w:t>Las Administraciones Públicas promoverán unas directrices de conservación de las áreas de montaña que atiendan, como mínimo, a los valores paisajísticos, hídricos y ambientales de las mismas.”</w:t>
      </w:r>
    </w:p>
    <w:p w:rsidR="0026452D" w:rsidRDefault="0026452D" w:rsidP="0026452D">
      <w:pPr>
        <w:pStyle w:val="TextoNormal"/>
      </w:pPr>
    </w:p>
    <w:p w:rsidR="0026452D" w:rsidRDefault="0026452D" w:rsidP="0026452D">
      <w:pPr>
        <w:pStyle w:val="TextoNormal"/>
      </w:pPr>
      <w:r>
        <w:t>El recurso se dirige formalmente contra la totalidad del artículo, pero nada razona respecto del párrafo segundo, que ha de quedar en consecuencia al margen de nuestro enjuiciamiento conforme la doctrina constitucional expuesta en el fundamento jurídico 2 de esta Sentencia. En cuanto al primer párrafo, el Letrado autonómico considera que la legislación estatal debería limitarse a obligar al cumplimiento de la finalidad ambiental de protección de la diversidad genética, permitiendo a las Comunidades Autónomas decidir las técnicas que resulten al efecto más adecuadas. El precepto, al imponer directamente un determinado instrumento (los corredores), estaría invadiendo el ámbito competencial que corresponde a las Comunidades Autónomas.</w:t>
      </w:r>
    </w:p>
    <w:p w:rsidR="0026452D" w:rsidRDefault="0026452D" w:rsidP="0026452D">
      <w:pPr>
        <w:pStyle w:val="TextoNormal"/>
      </w:pPr>
    </w:p>
    <w:p w:rsidR="0026452D" w:rsidRDefault="0026452D" w:rsidP="0026452D">
      <w:pPr>
        <w:pStyle w:val="TextoNormal"/>
      </w:pPr>
      <w:r>
        <w:t>La impugnación debe ser desestimada, pues, según lo razonado en el fundamento jurídico anterior, resulta justificada la competencia estatal para establecer en concepto de legislación básica condicionamientos a la planificación ambiental de las Comunidades Autónomas. En todo caso, el condicionamiento establecido es lo suficientemente flexible como para permitir que la planificación correspondiente concrete la exacta trascendencia del corredor como mecanismo para lograr la conectividad ecológica del territorio.</w:t>
      </w:r>
    </w:p>
    <w:p w:rsidR="0026452D" w:rsidRDefault="0026452D" w:rsidP="0026452D">
      <w:pPr>
        <w:pStyle w:val="TextoNormal"/>
      </w:pPr>
    </w:p>
    <w:p w:rsidR="0026452D" w:rsidRDefault="0026452D" w:rsidP="0026452D">
      <w:pPr>
        <w:pStyle w:val="TextoNormal"/>
      </w:pPr>
      <w:r w:rsidRPr="0026452D">
        <w:rPr>
          <w:rStyle w:val="NumeroAFNegritaCaracter"/>
        </w:rPr>
        <w:t>7</w:t>
      </w:r>
      <w:r>
        <w:t xml:space="preserve">. El art. 23, sobre “los espacios naturales sometidos a régimen de protección preventiva”, establece en su apartado b) 1 que, ante la confirmación de la presencia de factores de perturbación de una zona bien conservada, se “iniciará de inmediato el Plan de Ordenación de los Recursos Naturales de la zona, de no estar ya iniciado”. Según el Letrado autonómico, </w:t>
      </w:r>
      <w:r>
        <w:lastRenderedPageBreak/>
        <w:t>el precepto controvertido impondría una medida drástica y concreta de protección invadiendo el ámbito competencial de la Comunidad de Madrid, al no limitarse a establecer una regulación de mínimos de las medidas cautelares potencialmente adoptables.</w:t>
      </w:r>
    </w:p>
    <w:p w:rsidR="0026452D" w:rsidRDefault="0026452D" w:rsidP="0026452D">
      <w:pPr>
        <w:pStyle w:val="TextoNormal"/>
      </w:pPr>
    </w:p>
    <w:p w:rsidR="0026452D" w:rsidRDefault="0026452D" w:rsidP="0026452D">
      <w:pPr>
        <w:pStyle w:val="TextoNormal"/>
      </w:pPr>
      <w:r>
        <w:t>La impugnación debe ser desestimada por las mismas razones que llevaron a la STC 102/1995, FJ 14, a rechazar la del precepto equivalente de la Ley 4/1989 (art. 24): “En este marco de la planificación ecológica, se prevé la aparición de cualquier ‘factor de perturbación’ que pueda amenazar la conservación de una zona y una vez comprobada la realidad del caso, tal circunstancia provoca dos efectos compatibles entre sí (art. 24). Uno, el actuar como desencadenante de la elaboración del Plan de Ordenación de los Recursos Naturales de la Zona y otra el establecimiento de un régimen de protección preventiva como medida cautelar y, por tanto, transitoria o temporal hasta que se apruebe el Plan. Corresponde a la imagen de lo básico no sólo la previsión del factor de perturbación y sus efectos jurídicos, sino éstos en concreto. Por una parte, la imperatividad de la planificación como instrumento protector y como carga inherente a la competencia, que es una función con la doble cara del derecho y del deber, sin que por tanto se invada el ámbito de actuación de las Comunidades Autónomas. Por la otra, la configuración de unas reglas subsidiarias y mínimas que habiliten la actuación inmediata de los órganos de ejecución, sin perjuicio de las normas adicionales que para su desarrollo puedan dictar precisamente las Comunidades Autónomas. Este es el juego de la articulación competencial en la materia que el art. 24 de la Ley respeta escrupulosamente”.</w:t>
      </w:r>
    </w:p>
    <w:p w:rsidR="0026452D" w:rsidRDefault="0026452D" w:rsidP="0026452D">
      <w:pPr>
        <w:pStyle w:val="TextoNormal"/>
      </w:pPr>
    </w:p>
    <w:p w:rsidR="0026452D" w:rsidRDefault="0026452D" w:rsidP="0026452D">
      <w:pPr>
        <w:pStyle w:val="TextoNormal"/>
      </w:pPr>
      <w:r>
        <w:t>Cabe añadir a lo declarado entonces que la medida cautelar impuesta carece de la intensidad que denuncia el recurrente, habida cuenta de que el precepto adjudica un amplio margen a las Comunidades Autónomas para el establecimiento y desarrollo de las técnicas de protección que consideren adecuadas dentro del plan de ordenación de los recursos naturales de la zona; plan cuya elaboración y aprobación corresponde a las propias Comunidades Autónomas (art. 21 de la Ley).</w:t>
      </w:r>
    </w:p>
    <w:p w:rsidR="0026452D" w:rsidRDefault="0026452D" w:rsidP="0026452D">
      <w:pPr>
        <w:pStyle w:val="TextoNormal"/>
      </w:pPr>
    </w:p>
    <w:p w:rsidR="0026452D" w:rsidRDefault="0026452D" w:rsidP="0026452D">
      <w:pPr>
        <w:pStyle w:val="TextoNormal"/>
      </w:pPr>
      <w:r w:rsidRPr="0026452D">
        <w:rPr>
          <w:rStyle w:val="NumeroAFNegritaCaracter"/>
        </w:rPr>
        <w:t>8</w:t>
      </w:r>
      <w:r>
        <w:t>. El capítulo I (“Catalogación de hábitats en peligro de desaparición”) del título II de la Ley se resuelve en tres artículos (arts. 24, 26), todos ellos objeto de impugnación.</w:t>
      </w:r>
    </w:p>
    <w:p w:rsidR="0026452D" w:rsidRDefault="0026452D" w:rsidP="0026452D">
      <w:pPr>
        <w:pStyle w:val="TextoNormal"/>
      </w:pPr>
    </w:p>
    <w:p w:rsidR="0026452D" w:rsidRDefault="0026452D" w:rsidP="0026452D">
      <w:pPr>
        <w:pStyle w:val="TextoNormal"/>
      </w:pPr>
      <w:r>
        <w:t>El art. 24, sobre el “Catálogo Español de Hábitats en Peligro de Desaparición”, establece:</w:t>
      </w:r>
    </w:p>
    <w:p w:rsidR="0026452D" w:rsidRDefault="0026452D" w:rsidP="0026452D">
      <w:pPr>
        <w:pStyle w:val="TextoNormal"/>
      </w:pPr>
    </w:p>
    <w:p w:rsidR="0026452D" w:rsidRDefault="0026452D" w:rsidP="0026452D">
      <w:pPr>
        <w:pStyle w:val="TextoNormal"/>
      </w:pPr>
      <w:r>
        <w:t>“1. Bajo la dependencia del Ministerio de Medio Ambiente, con carácter administrativo y ámbito estatal, se crea el Catálogo Español de Hábitats en Peligro de Desaparición, que se instrumentará reglamentariamente, y en el que se incluirán los hábitats en peligro de desaparición, cuya conservación o, en su caso, restauración exija medidas específicas de protección y conservación, por hallarse, al menos, en alguna de las siguientes circunstancias:</w:t>
      </w:r>
    </w:p>
    <w:p w:rsidR="0026452D" w:rsidRDefault="0026452D" w:rsidP="0026452D">
      <w:pPr>
        <w:pStyle w:val="TextoNormal"/>
      </w:pPr>
    </w:p>
    <w:p w:rsidR="0026452D" w:rsidRDefault="0026452D" w:rsidP="0026452D">
      <w:pPr>
        <w:pStyle w:val="TextoNormal"/>
      </w:pPr>
      <w:r>
        <w:t>1.ª Tener su área de distribución muy reducida y en disminución.</w:t>
      </w:r>
    </w:p>
    <w:p w:rsidR="0026452D" w:rsidRDefault="0026452D" w:rsidP="0026452D">
      <w:pPr>
        <w:pStyle w:val="TextoNormal"/>
      </w:pPr>
    </w:p>
    <w:p w:rsidR="0026452D" w:rsidRDefault="0026452D" w:rsidP="0026452D">
      <w:pPr>
        <w:pStyle w:val="TextoNormal"/>
      </w:pPr>
      <w:r>
        <w:t>2.ª Haber sido destruidos en la mayor parte de su área de distribución natural.</w:t>
      </w:r>
    </w:p>
    <w:p w:rsidR="0026452D" w:rsidRDefault="0026452D" w:rsidP="0026452D">
      <w:pPr>
        <w:pStyle w:val="TextoNormal"/>
      </w:pPr>
    </w:p>
    <w:p w:rsidR="0026452D" w:rsidRDefault="0026452D" w:rsidP="0026452D">
      <w:pPr>
        <w:pStyle w:val="TextoNormal"/>
      </w:pPr>
      <w:r>
        <w:t>3.ª Haber sufrido un drástico deterioro de su composición, estructura o funciones ecológicas en la mayor parte de su área de distribución natural.</w:t>
      </w:r>
    </w:p>
    <w:p w:rsidR="0026452D" w:rsidRDefault="0026452D" w:rsidP="0026452D">
      <w:pPr>
        <w:pStyle w:val="TextoNormal"/>
      </w:pPr>
    </w:p>
    <w:p w:rsidR="0026452D" w:rsidRDefault="0026452D" w:rsidP="0026452D">
      <w:pPr>
        <w:pStyle w:val="TextoNormal"/>
      </w:pPr>
      <w:r>
        <w:lastRenderedPageBreak/>
        <w:t>4.ª Encontrarse en alto riesgo de transformación irreversible a corto o medio plazo en una parte significativa de su área de distribución.</w:t>
      </w:r>
    </w:p>
    <w:p w:rsidR="0026452D" w:rsidRDefault="0026452D" w:rsidP="0026452D">
      <w:pPr>
        <w:pStyle w:val="TextoNormal"/>
      </w:pPr>
    </w:p>
    <w:p w:rsidR="0026452D" w:rsidRDefault="0026452D" w:rsidP="0026452D">
      <w:pPr>
        <w:pStyle w:val="TextoNormal"/>
      </w:pPr>
      <w:r>
        <w:t>2. La inclusión de hábitats en el Catálogo Español de Hábitats en Peligro de Desaparición se llevará a cabo por el Ministerio de Medio Ambiente, a propuesta de la Comisión Estatal para el Patrimonio Natural y la Biodiversidad, previa iniciativa de las Comunidades autónomas o del propio Ministerio, cuando exista información técnica o científica que así lo aconseje.</w:t>
      </w:r>
    </w:p>
    <w:p w:rsidR="0026452D" w:rsidRDefault="0026452D" w:rsidP="0026452D">
      <w:pPr>
        <w:pStyle w:val="TextoNormal"/>
      </w:pPr>
    </w:p>
    <w:p w:rsidR="0026452D" w:rsidRDefault="0026452D" w:rsidP="0026452D">
      <w:pPr>
        <w:pStyle w:val="TextoNormal"/>
      </w:pPr>
      <w:r>
        <w:t>3. Cualquier ciudadano u organización podrá solicitar la iniciación del procedimiento de inclusión acompañando a la correspondiente solicitud una argumentación científica de la medida propuesta.”</w:t>
      </w:r>
    </w:p>
    <w:p w:rsidR="0026452D" w:rsidRDefault="0026452D" w:rsidP="0026452D">
      <w:pPr>
        <w:pStyle w:val="TextoNormal"/>
      </w:pPr>
    </w:p>
    <w:p w:rsidR="0026452D" w:rsidRDefault="0026452D" w:rsidP="0026452D">
      <w:pPr>
        <w:pStyle w:val="TextoNormal"/>
      </w:pPr>
      <w:r>
        <w:t>El art. 25, bajo el rótulo “Efectos”, dispone:</w:t>
      </w:r>
    </w:p>
    <w:p w:rsidR="0026452D" w:rsidRDefault="0026452D" w:rsidP="0026452D">
      <w:pPr>
        <w:pStyle w:val="TextoNormal"/>
      </w:pPr>
    </w:p>
    <w:p w:rsidR="0026452D" w:rsidRDefault="0026452D" w:rsidP="0026452D">
      <w:pPr>
        <w:pStyle w:val="TextoNormal"/>
      </w:pPr>
      <w:r>
        <w:t>“La inclusión de un hábitat en el Catálogo Español de Hábitats en Peligro de Desaparición, surtirá los siguientes efectos:</w:t>
      </w:r>
    </w:p>
    <w:p w:rsidR="0026452D" w:rsidRDefault="0026452D" w:rsidP="0026452D">
      <w:pPr>
        <w:pStyle w:val="TextoNormal"/>
      </w:pPr>
    </w:p>
    <w:p w:rsidR="0026452D" w:rsidRDefault="0026452D" w:rsidP="0026452D">
      <w:pPr>
        <w:pStyle w:val="TextoNormal"/>
      </w:pPr>
      <w:r>
        <w:t>a) Una superficie adecuada será incluida en algún instrumento de gestión o figura de protección de espacios naturales, nueva o ya existente.</w:t>
      </w:r>
    </w:p>
    <w:p w:rsidR="0026452D" w:rsidRDefault="0026452D" w:rsidP="0026452D">
      <w:pPr>
        <w:pStyle w:val="TextoNormal"/>
      </w:pPr>
    </w:p>
    <w:p w:rsidR="0026452D" w:rsidRDefault="0026452D" w:rsidP="0026452D">
      <w:pPr>
        <w:pStyle w:val="TextoNormal"/>
      </w:pPr>
      <w:r>
        <w:t>b) Las Comunidades autónomas definirán y tomarán las medidas necesarias para frenar la recesión y eliminar el riesgo de desaparición de estos hábitats en los instrumentos de planificación y de otro tipo adecuados a estos fines.”</w:t>
      </w:r>
    </w:p>
    <w:p w:rsidR="0026452D" w:rsidRDefault="0026452D" w:rsidP="0026452D">
      <w:pPr>
        <w:pStyle w:val="TextoNormal"/>
      </w:pPr>
    </w:p>
    <w:p w:rsidR="0026452D" w:rsidRDefault="0026452D" w:rsidP="0026452D">
      <w:pPr>
        <w:pStyle w:val="TextoNormal"/>
      </w:pPr>
      <w:r>
        <w:t>El art. 26, sobre “Estrategias y Planes de conservación y restauración”, establece:</w:t>
      </w:r>
    </w:p>
    <w:p w:rsidR="0026452D" w:rsidRDefault="0026452D" w:rsidP="0026452D">
      <w:pPr>
        <w:pStyle w:val="TextoNormal"/>
      </w:pPr>
    </w:p>
    <w:p w:rsidR="0026452D" w:rsidRDefault="0026452D" w:rsidP="0026452D">
      <w:pPr>
        <w:pStyle w:val="TextoNormal"/>
      </w:pPr>
      <w:r>
        <w:t>“La Conferencia Sectorial de Medio Ambiente, a propuesta de la Comisión Estatal para el Patrimonio Natural y la Biodiversidad y con informe previo del Consejo Estatal para el Patrimonio Natural y la Biodiversidad, aprobará Estrategias de Conservación y Restauración de los hábitats en peligro de desaparición.</w:t>
      </w:r>
    </w:p>
    <w:p w:rsidR="0026452D" w:rsidRDefault="0026452D" w:rsidP="0026452D">
      <w:pPr>
        <w:pStyle w:val="TextoNormal"/>
      </w:pPr>
    </w:p>
    <w:p w:rsidR="0026452D" w:rsidRDefault="0026452D" w:rsidP="0026452D">
      <w:pPr>
        <w:pStyle w:val="TextoNormal"/>
      </w:pPr>
      <w:r>
        <w:t>Estas estrategias, que constituirán el marco orientativo de los Planes o instrumentos de gestión adoptados para la conservación y restauración, incluirán al menos un diagnóstico de la situación y de las principales amenazas, y las acciones a emprender.”</w:t>
      </w:r>
    </w:p>
    <w:p w:rsidR="0026452D" w:rsidRDefault="0026452D" w:rsidP="0026452D">
      <w:pPr>
        <w:pStyle w:val="TextoNormal"/>
      </w:pPr>
    </w:p>
    <w:p w:rsidR="0026452D" w:rsidRDefault="0026452D" w:rsidP="0026452D">
      <w:pPr>
        <w:pStyle w:val="TextoNormal"/>
      </w:pPr>
      <w:r>
        <w:t>Según el Letrado autonómico, las dudas de constitucionalidad que ya plantea la existencia misma del indicado catálogo se multiplican a la vista de la regulación expuesta. La inclusión de hábitats en el catálogo constituiría una actividad de gestión y, según la Ley controvertida, el Estado podría llevarla a cabo sin la iniciativa autonómica, lo que es contrario al sistema competencial. A su vez, los efectos asignados a tal inclusión invadirían igualmente las competencias autonómicas, al consistir en la obligación autonómica de adoptar medidas específicas de gestión. Esta actuación directa del Estado culminaría con las estrategias de conservación y restauración de un órgano de la Administración General del Estado, que define las acciones a emprender, todo ello en contra del sistema constitucional de distribución competencial.</w:t>
      </w:r>
    </w:p>
    <w:p w:rsidR="0026452D" w:rsidRDefault="0026452D" w:rsidP="0026452D">
      <w:pPr>
        <w:pStyle w:val="TextoNormal"/>
      </w:pPr>
    </w:p>
    <w:p w:rsidR="0026452D" w:rsidRDefault="0026452D" w:rsidP="0026452D">
      <w:pPr>
        <w:pStyle w:val="TextoNormal"/>
      </w:pPr>
      <w:r>
        <w:lastRenderedPageBreak/>
        <w:t xml:space="preserve">En primer lugar abordaremos la impugnación de los arts. 24 y 25, desestimándola. Según lo razonado en el fundamento jurídico 4 de esta Sentencia, las bases cuya aprobación corresponde al Estado incluyen la creación de inventarios, listados o catálogos; la regulación de los efectos de la inscripción e, incluso, la inscripción registral en sí porque, aunque se está en este último caso ante una acción típicamente ejecutiva </w:t>
      </w:r>
      <w:r w:rsidRPr="0026452D">
        <w:rPr>
          <w:i/>
        </w:rPr>
        <w:t>prima facie</w:t>
      </w:r>
      <w:r>
        <w:t xml:space="preserve"> atribuida a las Comunidades Autónomas, se pone claramente al servicio de los fines inherentes a la regulación básica medioambiental (STC 102/1995, FJ 25). Los mecanismos para la síntesis y análisis de la información ambiental han sido previstos dentro del contexto europeo e internacional tanto para ayudar a una mejor configuración de las políticas públicas, como para implicar a los ciudadanos en la lucha contra la degradación del medio y de la biodiversidad, por lo que, según lo razonado ya, pueden reconducirse sin dificultad a las bases medioambientales que la Constitución asigna al Estado (art. 149.1.23).</w:t>
      </w:r>
    </w:p>
    <w:p w:rsidR="0026452D" w:rsidRDefault="0026452D" w:rsidP="0026452D">
      <w:pPr>
        <w:pStyle w:val="TextoNormal"/>
      </w:pPr>
    </w:p>
    <w:p w:rsidR="0026452D" w:rsidRDefault="0026452D" w:rsidP="0026452D">
      <w:pPr>
        <w:pStyle w:val="TextoNormal"/>
      </w:pPr>
      <w:r>
        <w:t>En todo caso, los efectos previstos en el art. 25 no afectan a las competencias de la Comunidad Autónoma de Madrid con la intensidad denunciada, pues la Ley le asegura un amplio margen para decidir cuáles son los instrumentos adecuados para “frenar la recesión y eliminar el riesgo de desaparición de estos hábitats en los instrumentos de planificación y de otro tipo adecuados a estos fines”. Por lo demás, hemos tenido ya la oportunidad de declarar que desde “la perspectiva material, el precepto no desborda en modo alguno el ámbito de lo básico”, “limitándose así a un mandato genérico, que está justificado por la función tuitiva a la que responde, y que permite a la Comunidad Autónoma recurrente ejercer en plenitud sus competencias, abriendo para ello un amplísimo abanico de opciones, pues no se predetermina ni la figura de protección o el instrumento de gestión a utilizar, ni las medidas concretas a adoptar para frenar la recesión o eliminar el riesgo de desaparición del hábitat así protegido” (STC 69/2013, de 14 de marzo, FJ 4).</w:t>
      </w:r>
    </w:p>
    <w:p w:rsidR="0026452D" w:rsidRDefault="0026452D" w:rsidP="0026452D">
      <w:pPr>
        <w:pStyle w:val="TextoNormal"/>
      </w:pPr>
    </w:p>
    <w:p w:rsidR="0026452D" w:rsidRDefault="0026452D" w:rsidP="0026452D">
      <w:pPr>
        <w:pStyle w:val="TextoNormal"/>
      </w:pPr>
      <w:r>
        <w:t>Los reproches dirigidos al art. 26 deben rechazarse por razones similares a las que nos han llevado a descartar la impugnación de los arts. 10 y 11 (fundamento jurídico 4 de esta Sentencia). Las estrategias de conservación y restauración de los hábitats en peligro de desaparición son, no una regulación estatal de detalle impuesta a las Comunidades Autónomas, sino un “marco orientativo” para la toma de decisiones que adopta el Estado conjuntamente con las Comunidades Autónomas en el marco de una conferencia sectorial; pretenden mejorar las políticas medioambientales proporcionando diagnósticos, proponiendo soluciones y promoviendo la transparencia y las acciones conjuntas, que son esenciales en este ámbito, pues la satisfacción de las finalidades medioambientales exige la cooperación de la variedad de agentes involucrados. Hemos dicho en este sentido que la previsión de mecanismos de colaboración y coordinación resulta, no sólo conforme al sistema de distribución competencial, sino particularmente “conveniente para favorecer el ejercicio de las competencias sectoriales implicadas por la afectación transversal que es consustancial a la legislación básica de protección del medio ambiente” [STC 69/2013, FJ 7, citando la STC 101/2005, de 20 de abril, FJ 5 c)]. Por eso tales estrategias pueden fácilmente reconducirse a las atribuciones que el art. 149.1.23 CE reconoce al Estado.</w:t>
      </w:r>
    </w:p>
    <w:p w:rsidR="0026452D" w:rsidRDefault="0026452D" w:rsidP="0026452D">
      <w:pPr>
        <w:pStyle w:val="TextoNormal"/>
      </w:pPr>
    </w:p>
    <w:p w:rsidR="0026452D" w:rsidRDefault="0026452D" w:rsidP="0026452D">
      <w:pPr>
        <w:pStyle w:val="TextoNormal"/>
      </w:pPr>
      <w:r w:rsidRPr="0026452D">
        <w:rPr>
          <w:rStyle w:val="NumeroAFNegritaCaracter"/>
        </w:rPr>
        <w:t>9</w:t>
      </w:r>
      <w:r>
        <w:t xml:space="preserve">. El art. 45, bajo el rótulo “Medidas de conservación de la Red Natura 2000”, obliga a las Comunidades Autónomas a adoptar medidas de protección de las zonas especiales de conservación y de las zonas de especial protección para las aves, que habrán de responder a las exigencias ecológicas de los tipos de hábitats naturales y de las especies presentes en </w:t>
      </w:r>
      <w:r>
        <w:lastRenderedPageBreak/>
        <w:t>tales áreas. Su apartado 1 (en su redacción originaria, que es la que debemos tomar en consideración conforme a lo razonado en el fundamento jurídico 2) especifica que tales medidas implicarán:</w:t>
      </w:r>
    </w:p>
    <w:p w:rsidR="0026452D" w:rsidRDefault="0026452D" w:rsidP="0026452D">
      <w:pPr>
        <w:pStyle w:val="TextoNormal"/>
      </w:pPr>
    </w:p>
    <w:p w:rsidR="0026452D" w:rsidRDefault="0026452D" w:rsidP="0026452D">
      <w:pPr>
        <w:pStyle w:val="TextoNormal"/>
      </w:pPr>
      <w:r>
        <w:t>“a) Adecuados planes o instrumentos de gestión, específicos a los lugares o integrados en otros planes de desarrollo que incluyan, al menos, los objetivos de conservación del lugar y las medidas apropiadas para mantener los espacios en un estado de conservación favorable.</w:t>
      </w:r>
    </w:p>
    <w:p w:rsidR="0026452D" w:rsidRDefault="0026452D" w:rsidP="0026452D">
      <w:pPr>
        <w:pStyle w:val="TextoNormal"/>
      </w:pPr>
    </w:p>
    <w:p w:rsidR="0026452D" w:rsidRDefault="0026452D" w:rsidP="0026452D">
      <w:pPr>
        <w:pStyle w:val="TextoNormal"/>
      </w:pPr>
      <w:r>
        <w:t>b) Apropiadas medidas reglamentarias, administrativas o contractuales.”</w:t>
      </w:r>
    </w:p>
    <w:p w:rsidR="0026452D" w:rsidRDefault="0026452D" w:rsidP="0026452D">
      <w:pPr>
        <w:pStyle w:val="TextoNormal"/>
      </w:pPr>
    </w:p>
    <w:p w:rsidR="0026452D" w:rsidRDefault="0026452D" w:rsidP="0026452D">
      <w:pPr>
        <w:pStyle w:val="TextoNormal"/>
      </w:pPr>
      <w:r>
        <w:t>Según el Letrado autonómico, este precepto vulneraría la Constitución al determinar de forma obligatoria las medidas de gestión de los espacios Red Natura 2000 que las Comunidades Autónomas deben adoptar, sin dejar un margen de apreciación, a diferencia de la Directiva 92/43/CEE, del Consejo, de 21 de mayo de 1992, que se refiere, en su caso, a planes de gestión y a medidas administrativas, reglamentarias y contractuales.</w:t>
      </w:r>
    </w:p>
    <w:p w:rsidR="0026452D" w:rsidRDefault="0026452D" w:rsidP="0026452D">
      <w:pPr>
        <w:pStyle w:val="TextoNormal"/>
      </w:pPr>
    </w:p>
    <w:p w:rsidR="0026452D" w:rsidRDefault="0026452D" w:rsidP="0026452D">
      <w:pPr>
        <w:pStyle w:val="TextoNormal"/>
      </w:pPr>
      <w:r>
        <w:t xml:space="preserve">La impugnación debe igualmente desestimarse. Como hemos tenido oportunidad de observar en la STC 69/2013, FJ 5, el “precepto resulta plenamente respetuoso con la competencia autonómica, al estar formulado en términos absolutamente genéricos y de formulación abstracta, tanto en la finalidad de las medidas a adoptar, que responderán a las exigencias ecológicas de los tipos de hábitats naturales, como en su concreción... No cabe hallar en la abierta y flexible redacción del precepto recurrido aspecto alguno que se aparte de esta doctrina y contravenga la noción material de legislación básica de protección del medio ambiente, o impida o condicione indebidamente la competencia autonómica. Antes bien, resulta difícil entender el reproche que se dirige a este precepto, cuando de sus propios términos se deduce con naturalidad que el legislador básico estatal prácticamente ha reenviado a la legislación autonómica de desarrollo la íntegra definición de las medidas de conservación a adoptar en las zonas especiales de conservación y las zonas de especial protección para las aves que conforman la Red Natura 2000, cuya declaración, por otra parte, corresponde a las propias Comunidades Autónomas (art. 44 de la Ley del patrimonio natural y la biodiversidad), y cuya consideración como espacios protegidos tendrá el ‘alcance y las limitaciones que las Comunidades Autónomas establezcan en su legislación y en los correspondientes instrumentos de planificación’ (art. 41.2 de la Ley). No existe pues extralimitación competencial por parte del legislador estatal, ni es relevante a los efectos de este proceso constitucional la hipotética diferencia que pueda existir entre lo dispuesto en el art. 45.1 de la Ley y el texto de la ya citada Directiva 92/43/CEE. Como ya hemos tenido ocasión de afirmar en tantas ocasiones, ‘el presente recurso no versa sobre la recta aplicación del Derecho de la Unión Europea por los poderes públicos nacionales, que como ya hemos declarado anteriormente es en principio una cuestión que, procesalmente, no tiene rango constitucional (por todas STC 58/2004, de 19 de abril, FJ 10), sino sobre la recta aplicación de la Constitución, por un órgano constitucional, en el desarrollo normativo del Derecho de la Unión Europea. Como afirmamos en la STC 13/1998, de 22 de enero, FJ 3), cuando los procesos constitucionales ‘tienen por objeto disputas competenciales que tengan su origen en la trasposición al Derecho interno de una Directiva comunitaria, como en el caso enjuiciado, no corresponde a este Tribunal decidir si la Directiva ha sido o no correctamente incorporada al ordenamiento interno ni, en su caso, si está siendo correctamente aplicada </w:t>
      </w:r>
      <w:r>
        <w:lastRenderedPageBreak/>
        <w:t>(SSTC 64/1991, fundamento jurídico 4, y 147/1996, fundamento jurídico 3) (STC 1/2012, de 13 de enero, FJ 9)”.</w:t>
      </w:r>
    </w:p>
    <w:p w:rsidR="0026452D" w:rsidRDefault="0026452D" w:rsidP="0026452D">
      <w:pPr>
        <w:pStyle w:val="TextoNormal"/>
      </w:pPr>
    </w:p>
    <w:p w:rsidR="0026452D" w:rsidRDefault="0026452D" w:rsidP="0026452D">
      <w:pPr>
        <w:pStyle w:val="TextoNormal"/>
      </w:pPr>
      <w:r w:rsidRPr="0026452D">
        <w:rPr>
          <w:rStyle w:val="NumeroAFNegritaCaracter"/>
        </w:rPr>
        <w:t>10</w:t>
      </w:r>
      <w:r>
        <w:t>. El art. 62.3 j) “prohíbe la tenencia y el uso de munición que contenga plomo durante el ejercicio de la caza y el tiro deportivo, cuando estas actividades se ejerzan en zonas húmedas incluidas en la Lista del Convenio relativo a Humedales de Importancia Internacional, en las de la Red Natura 2000 y en las incluidas en espacios naturales protegidos”. Según el recurrente, la previsión es excesivamente concreta, precisa y superadora del ámbito de lo básico; establece una prohibición absoluta que no admite modulaciones en su aplicación por parte de las Comunidades Autónomas en contra del sistema constitucional de distribución competencial.</w:t>
      </w:r>
    </w:p>
    <w:p w:rsidR="0026452D" w:rsidRDefault="0026452D" w:rsidP="0026452D">
      <w:pPr>
        <w:pStyle w:val="TextoNormal"/>
      </w:pPr>
    </w:p>
    <w:p w:rsidR="0026452D" w:rsidRDefault="0026452D" w:rsidP="0026452D">
      <w:pPr>
        <w:pStyle w:val="TextoNormal"/>
      </w:pPr>
      <w:r>
        <w:t>La impugnación debe desestimarse pues es idéntica a la examinada y rechazada en la STC 69/2013. Las Comunidades Autónomas han asumido competencias exclusivas en las materias sobre las que incide el precepto. Ahora bien, las bases medioambientales pueden afectar, no ya al desarrollo legislativo y ejecución en este específico campo, sino también a “las competencias sectoriales de las Comunidades Autónomas con las que se entrecruzan y que están directamente implicadas (ordenación del territorio, caza, pesca fluvial y lacustre, pesca en aguas interiores, marisqueo, turismo, ocio y tiempo libre, desarrollo comunitario e investigación, entre otras)” (FJ 1, citando la STC 101/2005, FJ 5). Esta doctrina nos llevó a declarar la constitucionalidad de las letras a) —prohibición de tenencia, utilización y comercialización de procedimientos de captura o muerte de animales— y g) —exigencia de homologación y acreditación individual de métodos de captura de predadores— del art. 62.3 [FJ 6 b) y c)]. Respecto de la letra j), que es la controvertida en este proceso, la señalada doctrina nos condujo a la siguiente declaración, que hemos de reiterar aquí: “Tal prohibición reviste las mismas características que nos han llevado a considerar constitucionalmente legítimas las anteriormente examinadas. En efecto, de acuerdo con la Convención relativa a los humedales de importancia internacional, especialmente como hábitat de aves acuáticas (Convención de Ramsar, 1971), los humedales se incluyen en la citada lista en atención a sus funciones ecológicas fundamentales, como reguladores de los regímenes hidrológicos y como hábitat de una flora y fauna características, singularmente de las aves acuáticas, que, por sus hábitos migratorios, tienen la consideración de recurso internacional. La finalidad protectora de estas aves, que justifica la consideración del art. 62.3 j) como norma básica de protección del medio ambiente, se desprende con toda claridad del preámbulo del Real Decreto 581/2001, de 1 de junio, antecedente directo del precepto legal aquí examinado, según el cual ‘la intoxicación por plomo es responsable de una creciente mortalidad de aves acuáticas, debido a la ingestión por éstas de perdigones procedentes de las actividades de la caza y el tiro deportivo’ siendo su impacto ‘especialmente acusado en las zonas húmedas de nuestro territorio, estimándose que cada año se produce una elevada mortandad de ejemplares por dicha causa, que es especialmente grave en el caso de algunas de las especies afectadas por estar incluidas en el Catálogo Nacional de Especies Amenazadas’” [FJ 6 d)].</w:t>
      </w:r>
    </w:p>
    <w:p w:rsidR="0026452D" w:rsidRDefault="0026452D" w:rsidP="0026452D">
      <w:pPr>
        <w:pStyle w:val="TextoNormal"/>
      </w:pPr>
    </w:p>
    <w:p w:rsidR="0026452D" w:rsidRDefault="0026452D" w:rsidP="0026452D">
      <w:pPr>
        <w:pStyle w:val="TextoNormal"/>
      </w:pPr>
      <w:r w:rsidRPr="0026452D">
        <w:rPr>
          <w:rStyle w:val="NumeroAFNegritaCaracter"/>
        </w:rPr>
        <w:t>11</w:t>
      </w:r>
      <w:r>
        <w:t xml:space="preserve">. En relación con la ordenación de las reservas de biosfera, regidas por el Marco Estatutario aprobado por la Conferencia General de la UNESCO (programa </w:t>
      </w:r>
      <w:r w:rsidRPr="0026452D">
        <w:rPr>
          <w:i/>
        </w:rPr>
        <w:t>Man and Biosphere</w:t>
      </w:r>
      <w:r>
        <w:t>, MaB), el artículo 66.2 establece:</w:t>
      </w:r>
    </w:p>
    <w:p w:rsidR="0026452D" w:rsidRDefault="0026452D" w:rsidP="0026452D">
      <w:pPr>
        <w:pStyle w:val="TextoNormal"/>
      </w:pPr>
    </w:p>
    <w:p w:rsidR="0026452D" w:rsidRDefault="0026452D" w:rsidP="0026452D">
      <w:pPr>
        <w:pStyle w:val="TextoNormal"/>
      </w:pPr>
      <w:r>
        <w:t xml:space="preserve">“El Comité MaB español es el órgano colegiado de carácter asesor y científico, adscrito al Ministerio de Medio Ambiente, cuya composición, contenidos y funciones se definirán </w:t>
      </w:r>
      <w:r>
        <w:lastRenderedPageBreak/>
        <w:t>reglamentariamente. El Comité MaB realizará las evaluaciones preceptivas de cada Reserva de la Biosfera, valorando su adecuación a los objetivos y exigencias establecidas y, en su caso, proponiendo la corrección de los aspectos contradictorios.”</w:t>
      </w:r>
    </w:p>
    <w:p w:rsidR="0026452D" w:rsidRDefault="0026452D" w:rsidP="0026452D">
      <w:pPr>
        <w:pStyle w:val="TextoNormal"/>
      </w:pPr>
    </w:p>
    <w:p w:rsidR="0026452D" w:rsidRDefault="0026452D" w:rsidP="0026452D">
      <w:pPr>
        <w:pStyle w:val="TextoNormal"/>
      </w:pPr>
      <w:r>
        <w:t>El Letrado autonómico admite que el establecimiento con carácter obligatorio de las evaluaciones a que hace referencia el precepto entra dentro “de lo básico”, pero no la estatalidad de esa función, a tenor de la doctrina constitucional. La función atribuida al Comité habría podido calificarse de básica en relación con la red española de reservas de la biosfera, pero no respecto de cada reserva en concreto, como hace el art. 66.2.</w:t>
      </w:r>
    </w:p>
    <w:p w:rsidR="0026452D" w:rsidRDefault="0026452D" w:rsidP="0026452D">
      <w:pPr>
        <w:pStyle w:val="TextoNormal"/>
      </w:pPr>
    </w:p>
    <w:p w:rsidR="0026452D" w:rsidRDefault="0026452D" w:rsidP="0026452D">
      <w:pPr>
        <w:pStyle w:val="TextoNormal"/>
      </w:pPr>
      <w:r>
        <w:t xml:space="preserve">Al afrontar esta misma impugnación, la STC 69/2013, FJ 7, estableció una interpretación de conformidad que permitió declarar la constitucionalidad del precepto y que procede reiterar ahora, llevándola también al fallo: “la evaluación a la que alude el precepto impugnado constituye, sustancialmente, un mecanismo de ‘revisión por pares’ (o </w:t>
      </w:r>
      <w:r w:rsidRPr="0026452D">
        <w:rPr>
          <w:i/>
        </w:rPr>
        <w:t>peer review</w:t>
      </w:r>
      <w:r>
        <w:t>), característico de la existencia de la red de reservas de la biosfera españolas, que a su vez constituye un subconjunto de la red mundial (art. 65 de la Ley). El modelo diseñado para realizar las evaluaciones en el seno del Comité MaB se justifica, por tanto, en la facultad de coordinación que corresponde al Estado, que pone a disposición de los citados órganos, en cuya designación intervienen las Comunidades Autónomas, tanto la estructura organizativa como los medios necesarios para que la evaluación se realice con las garantías de rigor técnico, objetividad y comparabilidad que faciliten el cumplimiento de los estándares del programa, definidos por la UNESCO, ‘asegurando un adecuado equilibrio entre el respeto de las autonomías territoriales y la necesidad de evitar que éstas conduzcan a separaciones o compartimentaciones que desconozcan la propia unidad del sistema’ (STC 329/1993, de 12 de noviembre, FJ 4). Dicha función de coordinación no es excluyente de las funciones que corresponden al propio órgano de gestión de cada reserva de la biosfera, que como dispone el art. 67 c) de la misma ley, es ‘responsable del desarrollo de las estrategias, líneas de acción y programas”, lo cual implica necesariamente “valorar el grado de cumplimiento de los objetivos del Programa MaB’ [art. 67 b)]. Así interpretado, el precepto examinado no resulta inconstitucional, si bien procede advertir que tal interpretación de conformidad se llevará al fallo, por cuanto la misma deriva en buena medida del desarrollo contenido en la disposición reglamentaria a la que se ha hecho referencia”.</w:t>
      </w:r>
    </w:p>
    <w:p w:rsidR="0026452D" w:rsidRDefault="0026452D" w:rsidP="0026452D">
      <w:pPr>
        <w:pStyle w:val="TextoNormal"/>
      </w:pPr>
    </w:p>
    <w:p w:rsidR="0026452D" w:rsidRDefault="0026452D" w:rsidP="0026452D">
      <w:pPr>
        <w:pStyle w:val="TextoNormalCentrado"/>
        <w:keepNext/>
      </w:pPr>
      <w:r>
        <w:t>FALLO</w:t>
      </w:r>
    </w:p>
    <w:p w:rsidR="0026452D" w:rsidRDefault="0026452D" w:rsidP="0026452D">
      <w:pPr>
        <w:pStyle w:val="TextoNormalCentrado"/>
        <w:keepNext/>
      </w:pPr>
    </w:p>
    <w:p w:rsidR="0026452D" w:rsidRDefault="0026452D" w:rsidP="0026452D">
      <w:pPr>
        <w:pStyle w:val="TextoNormal"/>
      </w:pPr>
      <w:r>
        <w:t>En atención a todo lo expuesto, el Tribunal Constitucional, POR LA AUTORIDAD QUE LE CONFIERE LA CONSTITUCIÓN DE LA NACIÓN ESPAÑOLA,</w:t>
      </w:r>
    </w:p>
    <w:p w:rsidR="0026452D" w:rsidRDefault="0026452D" w:rsidP="0026452D">
      <w:pPr>
        <w:pStyle w:val="TextoNormal"/>
      </w:pPr>
    </w:p>
    <w:p w:rsidR="0026452D" w:rsidRDefault="0026452D" w:rsidP="0026452D">
      <w:pPr>
        <w:pStyle w:val="TextoNormalCentrado"/>
        <w:keepNext/>
      </w:pPr>
      <w:r>
        <w:t>Ha decidido</w:t>
      </w:r>
    </w:p>
    <w:p w:rsidR="0026452D" w:rsidRDefault="0026452D" w:rsidP="0026452D">
      <w:pPr>
        <w:pStyle w:val="TextoNormalCentrado"/>
        <w:keepNext/>
      </w:pPr>
    </w:p>
    <w:p w:rsidR="0026452D" w:rsidRDefault="0026452D" w:rsidP="0026452D">
      <w:pPr>
        <w:pStyle w:val="TextoNormal"/>
      </w:pPr>
      <w:r>
        <w:t>1º Declarar que el art. 66.2 de la Ley 42/2007, de 13 de diciembre, del patrimonio natural y la biodiversidad, no es inconstitucional, siempre que se interprete en los términos establecidos en el fundamento jurídico 11.</w:t>
      </w:r>
    </w:p>
    <w:p w:rsidR="0026452D" w:rsidRDefault="0026452D" w:rsidP="0026452D">
      <w:pPr>
        <w:pStyle w:val="TextoNormal"/>
      </w:pPr>
    </w:p>
    <w:p w:rsidR="0026452D" w:rsidRDefault="0026452D" w:rsidP="0026452D">
      <w:pPr>
        <w:pStyle w:val="TextoNormal"/>
      </w:pPr>
      <w:r>
        <w:t>2º Desestimar el recurso de inconstitucionalidad en todo lo demás.</w:t>
      </w:r>
    </w:p>
    <w:p w:rsidR="0026452D" w:rsidRDefault="0026452D" w:rsidP="0026452D">
      <w:pPr>
        <w:pStyle w:val="TextoNormal"/>
      </w:pPr>
    </w:p>
    <w:p w:rsidR="0026452D" w:rsidRDefault="0026452D" w:rsidP="0026452D">
      <w:pPr>
        <w:pStyle w:val="TextoNormal"/>
      </w:pPr>
      <w:r>
        <w:t>Publíquese esta Sentencia en el “Boletín Oficial del Estado”.</w:t>
      </w:r>
    </w:p>
    <w:p w:rsidR="0026452D" w:rsidRDefault="0026452D" w:rsidP="00BE7FB3">
      <w:pPr>
        <w:pStyle w:val="TextoNormal"/>
      </w:pPr>
      <w:r>
        <w:lastRenderedPageBreak/>
        <w:t>Dada en Toledo, a seis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26452D">
      <w:pPr>
        <w:pStyle w:val="ParrafoNormal"/>
      </w:pPr>
    </w:p>
    <w:p w:rsidR="00BE7FB3" w:rsidRDefault="00BE7FB3" w:rsidP="00BE7FB3">
      <w:pPr>
        <w:pStyle w:val="ParrafoNormal"/>
      </w:pPr>
    </w:p>
    <w:p w:rsidR="00BE7FB3" w:rsidRDefault="00BE7FB3" w:rsidP="00BE7FB3">
      <w:pPr>
        <w:pStyle w:val="ParrafoNormal"/>
      </w:pPr>
    </w:p>
    <w:p w:rsidR="00BE7FB3" w:rsidRDefault="00BE7FB3" w:rsidP="00BE7FB3">
      <w:pPr>
        <w:pStyle w:val="ParrafoNormal"/>
      </w:pPr>
    </w:p>
    <w:p w:rsidR="00BE7FB3" w:rsidRDefault="00BE7FB3" w:rsidP="00BE7FB3">
      <w:pPr>
        <w:pStyle w:val="ParrafoNormal"/>
      </w:pPr>
    </w:p>
    <w:p w:rsidR="00BE7FB3" w:rsidRDefault="00BE7FB3" w:rsidP="00BE7FB3">
      <w:pPr>
        <w:pStyle w:val="ParrafoNormal"/>
      </w:pPr>
    </w:p>
    <w:p w:rsidR="00BE7FB3" w:rsidRDefault="00BE7FB3" w:rsidP="00BE7FB3">
      <w:pPr>
        <w:pStyle w:val="ParrafoNormal"/>
      </w:pPr>
    </w:p>
    <w:p w:rsidR="00BE7FB3" w:rsidRDefault="00BE7FB3" w:rsidP="00BE7FB3">
      <w:pPr>
        <w:pStyle w:val="ParrafoNormal"/>
      </w:pPr>
    </w:p>
    <w:p w:rsidR="00BE7FB3" w:rsidRDefault="00BE7FB3" w:rsidP="00BE7FB3">
      <w:pPr>
        <w:pStyle w:val="ParrafoNormal"/>
      </w:pPr>
    </w:p>
    <w:p w:rsidR="00BE7FB3" w:rsidRDefault="00BE7FB3" w:rsidP="00BE7FB3">
      <w:pPr>
        <w:pStyle w:val="ParrafoNormal"/>
      </w:pPr>
    </w:p>
    <w:p w:rsidR="00BE7FB3" w:rsidRDefault="00BE7FB3" w:rsidP="00BE7FB3">
      <w:pPr>
        <w:pStyle w:val="ParrafoNormal"/>
      </w:pPr>
    </w:p>
    <w:p w:rsidR="00BE7FB3" w:rsidRDefault="00BE7FB3" w:rsidP="00BE7FB3">
      <w:pPr>
        <w:pStyle w:val="ParrafoNormal"/>
      </w:pPr>
    </w:p>
    <w:p w:rsidR="00BE7FB3" w:rsidRDefault="00BE7FB3" w:rsidP="00BE7FB3">
      <w:pPr>
        <w:pStyle w:val="ParrafoNormal"/>
      </w:pPr>
    </w:p>
    <w:p w:rsidR="00BE7FB3" w:rsidRDefault="00BE7FB3" w:rsidP="00BE7FB3">
      <w:pPr>
        <w:pStyle w:val="CabeceraApartado"/>
      </w:pPr>
      <w:r>
        <w:t>AUTOS</w:t>
      </w:r>
    </w:p>
    <w:p w:rsidR="00BE7FB3" w:rsidRDefault="00BE7FB3">
      <w:pPr>
        <w:spacing w:after="160" w:line="259" w:lineRule="auto"/>
        <w:rPr>
          <w:rFonts w:ascii="Times New Roman" w:eastAsia="Times New Roman" w:hAnsi="Times New Roman" w:cs="Times New Roman"/>
          <w:sz w:val="48"/>
          <w:szCs w:val="24"/>
          <w:lang w:eastAsia="es-ES"/>
        </w:rPr>
      </w:pPr>
      <w:r>
        <w:br w:type="page"/>
      </w:r>
    </w:p>
    <w:p w:rsidR="00BE7FB3" w:rsidRDefault="00BE7FB3" w:rsidP="00BE7FB3">
      <w:pPr>
        <w:pStyle w:val="TtuloResolucin"/>
      </w:pPr>
      <w:bookmarkStart w:id="142" w:name="AUTO_2013_1"/>
      <w:r>
        <w:lastRenderedPageBreak/>
        <w:t>AUTO 1/2013, de 8 de enero de 2013</w:t>
      </w:r>
    </w:p>
    <w:bookmarkEnd w:id="142"/>
    <w:p w:rsidR="00BE7FB3" w:rsidRDefault="00BE7FB3" w:rsidP="00BE7FB3">
      <w:pPr>
        <w:pStyle w:val="TtuloResolucin"/>
      </w:pPr>
      <w:r>
        <w:t>Sección Tercera</w:t>
      </w:r>
    </w:p>
    <w:p w:rsidR="00BE7FB3" w:rsidRDefault="00BE7FB3" w:rsidP="00BE7FB3">
      <w:pPr>
        <w:pStyle w:val="TtuloResolucin"/>
      </w:pPr>
    </w:p>
    <w:p w:rsidR="00BE7FB3" w:rsidRDefault="00BE7FB3" w:rsidP="00BE7FB3">
      <w:pPr>
        <w:pStyle w:val="SntesisDescriptiva"/>
      </w:pPr>
      <w:r>
        <w:t>ECLI:ES:TC:2013:1A</w:t>
      </w:r>
    </w:p>
    <w:p w:rsidR="00BE7FB3" w:rsidRDefault="00BE7FB3" w:rsidP="00BE7FB3">
      <w:pPr>
        <w:pStyle w:val="SntesisDescriptiva"/>
      </w:pPr>
    </w:p>
    <w:p w:rsidR="00BE7FB3" w:rsidRDefault="00BE7FB3" w:rsidP="00BE7FB3">
      <w:pPr>
        <w:pStyle w:val="SntesisDescriptiva"/>
      </w:pPr>
      <w:r>
        <w:t>Excms. Srs. don Ramón Rodríguez Arribas, don Luis Ignacio Ortega Álvarez y doña Encarnación Roca Trías.</w:t>
      </w:r>
    </w:p>
    <w:p w:rsidR="00BE7FB3" w:rsidRDefault="00BE7FB3" w:rsidP="00BE7FB3">
      <w:pPr>
        <w:pStyle w:val="SntesisDescriptiva"/>
      </w:pPr>
    </w:p>
    <w:p w:rsidR="00BE7FB3" w:rsidRDefault="00BE7FB3" w:rsidP="00BE7FB3">
      <w:pPr>
        <w:pStyle w:val="SntesisDescriptiva"/>
      </w:pPr>
      <w:r>
        <w:t>Acuerda el desistimiento en el recurso de amparo 3719-2012, promovido en proceso de habeas corpus.</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143" w:name="AUTO_2013_2"/>
      <w:r>
        <w:lastRenderedPageBreak/>
        <w:t>AUTO 2/2013, de 9 de enero de 2013</w:t>
      </w:r>
    </w:p>
    <w:bookmarkEnd w:id="143"/>
    <w:p w:rsidR="00BE7FB3" w:rsidRDefault="00BE7FB3" w:rsidP="00BE7FB3">
      <w:pPr>
        <w:pStyle w:val="TtuloResolucin"/>
      </w:pPr>
      <w:r>
        <w:t>Sección Segunda</w:t>
      </w:r>
    </w:p>
    <w:p w:rsidR="00BE7FB3" w:rsidRDefault="00BE7FB3" w:rsidP="00BE7FB3">
      <w:pPr>
        <w:pStyle w:val="TtuloResolucin"/>
      </w:pPr>
    </w:p>
    <w:p w:rsidR="00BE7FB3" w:rsidRDefault="00BE7FB3" w:rsidP="00BE7FB3">
      <w:pPr>
        <w:pStyle w:val="SntesisDescriptiva"/>
      </w:pPr>
      <w:r>
        <w:t>ECLI:ES:TC:2013:2A</w:t>
      </w:r>
    </w:p>
    <w:p w:rsidR="00BE7FB3" w:rsidRDefault="00BE7FB3" w:rsidP="00BE7FB3">
      <w:pPr>
        <w:pStyle w:val="SntesisDescriptiva"/>
      </w:pPr>
    </w:p>
    <w:p w:rsidR="00BE7FB3" w:rsidRDefault="00BE7FB3" w:rsidP="00BE7FB3">
      <w:pPr>
        <w:pStyle w:val="SntesisDescriptiva"/>
      </w:pPr>
      <w:r>
        <w:t>Excms. Srs. don Manuel Aragón Reyes, don Andrés Ollero Tassara y don Fernando Valdés Dal-Ré.</w:t>
      </w:r>
    </w:p>
    <w:p w:rsidR="00BE7FB3" w:rsidRDefault="00BE7FB3" w:rsidP="00BE7FB3">
      <w:pPr>
        <w:pStyle w:val="SntesisDescriptiva"/>
      </w:pPr>
    </w:p>
    <w:p w:rsidR="00BE7FB3" w:rsidRDefault="00BE7FB3" w:rsidP="00BE7FB3">
      <w:pPr>
        <w:pStyle w:val="SntesisDescriptiva"/>
      </w:pPr>
      <w:r>
        <w:t>Desestima el recurso de súplica del Ministerio Fiscal sobre inadmisión del recurso de amparo 5330-2012, promovido por don Oktay Gazanfar Mameladiev Domingo, en proceso de extradición.</w:t>
      </w:r>
    </w:p>
    <w:p w:rsidR="00BE7FB3" w:rsidRDefault="00BE7FB3" w:rsidP="00BE7FB3">
      <w:pPr>
        <w:pStyle w:val="SntesisDescriptiva"/>
      </w:pPr>
    </w:p>
    <w:p w:rsidR="00BE7FB3" w:rsidRDefault="00BE7FB3" w:rsidP="00BE7FB3">
      <w:pPr>
        <w:pStyle w:val="SntesisAnaltica"/>
      </w:pPr>
      <w:r>
        <w:t>Derecho a la tutela judicial efectiva: canon de constitucionalidad reforzado. Extradición: convenio europeo de extradición; derecho a la tutela judicial efectiva; extradición de nacional español; motivación de las resoluciones judiciales; principio de legalidad extradicional; principio de reciprocidad; tratados internacionales. Recurso de súplica: desestimación de recurso de súplica.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que tuvo entrada en el Registro General de este Tribunal el 21 de septiembre de 2102, el Procurador de los Tribunales don Luis Pidal Allendesalazar, en nombre y representación de don Oktay Gazanfar Mameladiev Domingo, presentó recurso de amparo contra el Auto de 25 de julio de 2012 del Pleno de la Sala de lo Penal de la Audiencia Nacional, por el que se desestima el recurso de súplica interpuesto contra el Auto de la Sección Segunda de la misma Sala de 21 de junio de 2012, recaído en el rollo de Sala núm. 12-2012, dimanante del procedimiento de extradición núm. 2-2012.</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en que se fundamenta la demanda de amparo son los siguientes:</w:t>
      </w:r>
    </w:p>
    <w:p w:rsidR="00BE7FB3" w:rsidRDefault="00BE7FB3" w:rsidP="00BE7FB3">
      <w:pPr>
        <w:pStyle w:val="TextoNormal"/>
      </w:pPr>
    </w:p>
    <w:p w:rsidR="00BE7FB3" w:rsidRDefault="00BE7FB3" w:rsidP="00BE7FB3">
      <w:pPr>
        <w:pStyle w:val="TextoNormal"/>
      </w:pPr>
      <w:r>
        <w:t>a) Por Auto de la Sección Segunda de la Sala de lo Penal de la Audiencia Nacional de 21 de junio de 2012 se acordó autorizar la extradición del demandante de amparo a las autoridades rusas para cumplir una condena de ocho años de prisión, condicionando la entrega a que el reclamado —si así lo solicitare— sea trasladado a España para el cumplimiento de la condena e igualmente a que la Federación Rusa ofrezca garantías expresas, en un plazo de cuarenta y cinco días, de que se le dará al reclamado —si así lo solicita— derecho a un nuevo proceso que salvaguarde los derechos de defensa, en el que pueda estar presente y ser defendido por abogado.</w:t>
      </w:r>
    </w:p>
    <w:p w:rsidR="00BE7FB3" w:rsidRDefault="00BE7FB3" w:rsidP="00BE7FB3">
      <w:pPr>
        <w:pStyle w:val="TextoNormal"/>
      </w:pPr>
    </w:p>
    <w:p w:rsidR="00BE7FB3" w:rsidRDefault="00BE7FB3" w:rsidP="00BE7FB3">
      <w:pPr>
        <w:pStyle w:val="TextoNormal"/>
      </w:pPr>
      <w:r>
        <w:t>Contra dicho Auto interpuso el demandante de amparo recurso de súplica, que fue desestimado por Auto de 25 de julio de 2012</w:t>
      </w:r>
    </w:p>
    <w:p w:rsidR="00BE7FB3" w:rsidRDefault="00BE7FB3" w:rsidP="00BE7FB3">
      <w:pPr>
        <w:pStyle w:val="TextoNormal"/>
      </w:pPr>
    </w:p>
    <w:p w:rsidR="00BE7FB3" w:rsidRDefault="00BE7FB3" w:rsidP="00BE7FB3">
      <w:pPr>
        <w:pStyle w:val="TextoNormal"/>
      </w:pPr>
      <w:r>
        <w:lastRenderedPageBreak/>
        <w:t xml:space="preserve">b) En los referidos Autos se razona que el reclamado, de origen ruso, adquirió la nacionalidad española por opción en 1996, pero ha hecho con posterioridad ejercicio efectivo de la nacionalidad rusa al obtener pasaportes rusos y desempeñar actividades comerciales en Rusia, en las que se produjeron los hechos delictivos que dieron lugar a su condena por diversos delitos patrimoniales. En atención a ello se argumenta que el Convenio europeo de extradición —instrumento jurídico que regula esta petición extradicional— faculta a los Estados para denegar la extradición de nacionales (art. 6) y que la Sala viene interpretando que el ejercicio de una doble nacionalidad </w:t>
      </w:r>
      <w:r w:rsidRPr="00BE7FB3">
        <w:rPr>
          <w:i/>
        </w:rPr>
        <w:t>de facto</w:t>
      </w:r>
      <w:r>
        <w:t xml:space="preserve"> permite considerar que no existe en estos casos un impedimento absoluto de la extradición de nacionales (art. 3.1 de la Ley de extradición pasiva), siendo potestativo para la Sala acordarla o denegarla atendiendo a las circunstancias concurrentes. Esa valoración —concluye la Sala— conduce en este caso a una decisión favorable a la entrega del reclamado, teniendo en cuenta que este ha mantenido un fuerte vínculo con su Estado de origen (Rusia), que los delitos por los que se le reclama fueron cometidos mediante el ejercicio de la actividad empresarial desarrollada en dicho Estado, y que se trata de delitos complejos, cuyo nuevo enjuiciamiento, en su caso, hace aconsejable que se lleve a cabo en el mismo lugar en que sucedieron los hechos, por razones probatorias. Por otra parte, la Sala señala que no consta que exista prohibición de extradición de nacionales rusos por parte de la Federación Rusa, lo que hace decaer el alegato de ausencia de reciprocidad.</w:t>
      </w:r>
    </w:p>
    <w:p w:rsidR="00BE7FB3" w:rsidRDefault="00BE7FB3" w:rsidP="00BE7FB3">
      <w:pPr>
        <w:pStyle w:val="TextoNormal"/>
      </w:pPr>
    </w:p>
    <w:p w:rsidR="00BE7FB3" w:rsidRDefault="00BE7FB3" w:rsidP="00BE7FB3">
      <w:pPr>
        <w:pStyle w:val="TextoNormal"/>
      </w:pPr>
      <w:r>
        <w:t>Asimismo rechaza la Sala que la extradición deba ser denegada porque el reclamado fuera juzgado en rebeldía en Rusia, toda vez que la entrega se supedita, de conformidad con el art. 3 del segundo protocolo del Convenio europeo de extradición, a que la Federación Rusa ofrezca garantías expresas de conceder al reclamado —si así lo solicita— el derecho a un nuevo proceso que salvaguarde los derechos de defensa, en el que pueda estar presente y ser defendido por un Abogado de su confianza.</w:t>
      </w:r>
    </w:p>
    <w:p w:rsidR="00BE7FB3" w:rsidRDefault="00BE7FB3" w:rsidP="00BE7FB3">
      <w:pPr>
        <w:pStyle w:val="TextoNormal"/>
      </w:pPr>
    </w:p>
    <w:p w:rsidR="00BE7FB3" w:rsidRDefault="00BE7FB3" w:rsidP="00BE7FB3">
      <w:pPr>
        <w:pStyle w:val="TextoNormal"/>
      </w:pPr>
      <w:r>
        <w:t>En cuanto al alegato relativo a la denegación de pruebas testificales de familiares del reclamado sobre las supuestas amenazas y coacciones y sufridas por aquel y sus familiares en Rusia, se argumenta el carácter irrelevante de tales testimonios, por la menor eficacia probatoria derivada del parentesco directo y por no aportarse por el reclamado ningún elemento objetivo externo de corroboración de las supuestas amenazas.</w:t>
      </w:r>
    </w:p>
    <w:p w:rsidR="00BE7FB3" w:rsidRDefault="00BE7FB3" w:rsidP="00BE7FB3">
      <w:pPr>
        <w:pStyle w:val="TextoNormal"/>
      </w:pPr>
    </w:p>
    <w:p w:rsidR="00BE7FB3" w:rsidRDefault="00BE7FB3" w:rsidP="00BE7FB3">
      <w:pPr>
        <w:pStyle w:val="TextoNormal"/>
      </w:pPr>
      <w:r>
        <w:t>De igual modo se rechaza el argumento referido a la enfermedad como óbice a la extradición, atendiendo a que el informe del Médico forense refleja que el estado de salud del reclamado es estable y puede hacer vida normal.</w:t>
      </w:r>
    </w:p>
    <w:p w:rsidR="00BE7FB3" w:rsidRDefault="00BE7FB3" w:rsidP="00BE7FB3">
      <w:pPr>
        <w:pStyle w:val="TextoNormal"/>
      </w:pPr>
    </w:p>
    <w:p w:rsidR="00BE7FB3" w:rsidRDefault="00BE7FB3" w:rsidP="00BE7FB3">
      <w:pPr>
        <w:pStyle w:val="TextoNormal"/>
      </w:pPr>
      <w:r>
        <w:t>Por último, se desestima la alegación referida a la defectuosa traducción al español de la documentación extradicional, por entender que —sin perjuicio de que el ruso sea la lengua de origen del reclamado— la traducción aportada es suficiente para ejercer el derecho de defensa, como ha quedado acreditado a lo largo del procedimiento.</w:t>
      </w:r>
    </w:p>
    <w:p w:rsidR="00BE7FB3" w:rsidRDefault="00BE7FB3" w:rsidP="00BE7FB3">
      <w:pPr>
        <w:pStyle w:val="TextoNormal"/>
      </w:pPr>
    </w:p>
    <w:p w:rsidR="00BE7FB3" w:rsidRDefault="00BE7FB3" w:rsidP="00BE7FB3">
      <w:pPr>
        <w:pStyle w:val="TextoNormal"/>
      </w:pPr>
      <w:r w:rsidRPr="00BE7FB3">
        <w:rPr>
          <w:rStyle w:val="NumeroAFNegritaCaracter"/>
        </w:rPr>
        <w:t>3</w:t>
      </w:r>
      <w:r>
        <w:t>. En la demanda de amparo, tras los alegatos destinados a justificar la especial trascendencia constitucional del recurso, se sostiene, como queja principal, que los Autos impugnados en amparo han vulnerado el derecho a la igualdad (art. 14 CE) del recurrente, porque se ha accedido a su extradición a Rusia sin tener en cuenta su nacionalidad española y sin aplicar el principio de reciprocidad (por cuanto, según el recurrente, Rusia no extradita en ningún caso a sus nacionales por delitos cometidos en España).</w:t>
      </w:r>
    </w:p>
    <w:p w:rsidR="00BE7FB3" w:rsidRDefault="00BE7FB3" w:rsidP="00BE7FB3">
      <w:pPr>
        <w:pStyle w:val="TextoNormal"/>
      </w:pPr>
    </w:p>
    <w:p w:rsidR="00BE7FB3" w:rsidRDefault="00BE7FB3" w:rsidP="00BE7FB3">
      <w:pPr>
        <w:pStyle w:val="TextoNormal"/>
      </w:pPr>
      <w:r>
        <w:t>Asimismo se alega la vulneración del derecho a la tutela judicial efectiva sin indefensión (art. 24.1 CE) porque se ha acordado la extradición sin que la Federación Rusa haya dado garantías de que el reclamado será sometido a un nuevo juicio, afirmándose por el recurrente que las condiciones impuestas al respecto en los Autos impugnados no tienen ningún valor una vez que se halle en Rusia.</w:t>
      </w:r>
    </w:p>
    <w:p w:rsidR="00BE7FB3" w:rsidRDefault="00BE7FB3" w:rsidP="00BE7FB3">
      <w:pPr>
        <w:pStyle w:val="TextoNormal"/>
      </w:pPr>
    </w:p>
    <w:p w:rsidR="00BE7FB3" w:rsidRDefault="00BE7FB3" w:rsidP="00BE7FB3">
      <w:pPr>
        <w:pStyle w:val="TextoNormal"/>
      </w:pPr>
      <w:r>
        <w:t>Por otra parte aduce el recurrente que los Autos impugnados le provocan indefensión porque la Audiencia Nacional no ha tenido en cuenta la existencia de razones humanitarias para denegar la extradición, pues su estado de salud ha empeorado desde su detención e ingreso en prisión, lo que hace desaconsejable su traslado a Rusia, ya que no estaría en condiciones de defenderse en un nuevo juicio.</w:t>
      </w:r>
    </w:p>
    <w:p w:rsidR="00BE7FB3" w:rsidRDefault="00BE7FB3" w:rsidP="00BE7FB3">
      <w:pPr>
        <w:pStyle w:val="TextoNormal"/>
      </w:pPr>
    </w:p>
    <w:p w:rsidR="00BE7FB3" w:rsidRDefault="00BE7FB3" w:rsidP="00BE7FB3">
      <w:pPr>
        <w:pStyle w:val="TextoNormal"/>
      </w:pPr>
      <w:r>
        <w:t>Alega también la vulneración del derecho a la tutela judicial efectiva sin indefensión (art. 24.1 CE), en relación con el derecho a la prueba (art. 24.2 CE), porque la Audiencia Nacional ha denegado la práctica de las pruebas testificales propuestas para acreditar las amenazas de muerte y coacciones sufridas por él y sus familiares en Rusia; y asimismo en relación con el derecho a la defensa (art. 24.2 CE), porque la situación de prisión provisional que viene sufriendo el recurrente durante el procedimiento extradicional habría impedido un contacto directo con el abogado que posibilitara preparar una defensa adecuada para oponerse a la extradición. También aduce el recurrente la lesión de los derechos a la defensa, a la prueba y a un proceso con todas las garantías (art. 24.2 CE) por entender que no se ha traducido correctamente al castellano la documentación de la extradición remitida desde Rusia.</w:t>
      </w:r>
    </w:p>
    <w:p w:rsidR="00BE7FB3" w:rsidRDefault="00BE7FB3" w:rsidP="00BE7FB3">
      <w:pPr>
        <w:pStyle w:val="TextoNormal"/>
      </w:pPr>
    </w:p>
    <w:p w:rsidR="00BE7FB3" w:rsidRDefault="00BE7FB3" w:rsidP="00BE7FB3">
      <w:pPr>
        <w:pStyle w:val="TextoNormal"/>
      </w:pPr>
      <w:r>
        <w:t>Por otrosí interesa la suspensión de la ejecución de los Autos impugnados.</w:t>
      </w:r>
    </w:p>
    <w:p w:rsidR="00BE7FB3" w:rsidRDefault="00BE7FB3" w:rsidP="00BE7FB3">
      <w:pPr>
        <w:pStyle w:val="TextoNormal"/>
      </w:pPr>
    </w:p>
    <w:p w:rsidR="00BE7FB3" w:rsidRDefault="00BE7FB3" w:rsidP="00BE7FB3">
      <w:pPr>
        <w:pStyle w:val="TextoNormal"/>
      </w:pPr>
      <w:r w:rsidRPr="00BE7FB3">
        <w:rPr>
          <w:rStyle w:val="NumeroAFNegritaCaracter"/>
        </w:rPr>
        <w:t>4</w:t>
      </w:r>
      <w:r>
        <w:t>. La Sección Primera de este Tribunal acordó no admitir el recurso de amparo mediante providencia de 15 de octubre de 2012, dada la manifiesta inexistencia de violación de un derecho fundamental tutelable en amparo, violación que, de acuerdo con el art. 44.1 de la Ley Orgánica del Tribunal Constitucional (LOTC), es condición para que este Tribunal pueda ejercer dicha tutela.</w:t>
      </w:r>
    </w:p>
    <w:p w:rsidR="00BE7FB3" w:rsidRDefault="00BE7FB3" w:rsidP="00BE7FB3">
      <w:pPr>
        <w:pStyle w:val="TextoNormal"/>
      </w:pPr>
    </w:p>
    <w:p w:rsidR="00BE7FB3" w:rsidRDefault="00BE7FB3" w:rsidP="00BE7FB3">
      <w:pPr>
        <w:pStyle w:val="TextoNormal"/>
      </w:pPr>
      <w:r w:rsidRPr="00BE7FB3">
        <w:rPr>
          <w:rStyle w:val="NumeroAFNegritaCaracter"/>
        </w:rPr>
        <w:t>5</w:t>
      </w:r>
      <w:r>
        <w:t xml:space="preserve">. Contra la referida providencia de inadmisión interpone recurso de súplica el Ministerio Fiscal, solicitando que se deje sin efecto y se dicte otra admitiendo a trámite el presente recurso de amparo. Y ello porque, a juicio del Fiscal, al tratarse de un asunto en el que se plantea la posible vulneración de los derechos a la tutela judicial efectiva (art. 24.1 CE) y a la igualdad de trato (art. 14 CE) como consecuencia de la autorización judicial de extradición a la Federación Rusa de un ciudadano de origen ruso que ha adquirido la nacionalidad española por opción, estaríamos ante un caso semejante a otros recientes recursos de amparo admitidos a trámite (concretamente los recursos núms. 3250-2012, 3251-2012 y 3252-2012) en los que se plantea el mismo problema (la extradición de personas que, según la Audiencia Nacional, ostentan doble nacionalidad </w:t>
      </w:r>
      <w:r w:rsidRPr="00BE7FB3">
        <w:rPr>
          <w:i/>
        </w:rPr>
        <w:t>de facto</w:t>
      </w:r>
      <w:r>
        <w:t xml:space="preserve">, la de origen del Estado requirente y la española adquirida), por lo que no cabría apreciar en el presente supuesto la manifiesta inexistencia de violación de los derechos fundamentales invocados por el recurrente. En consecuencia, sostiene el Ministerio Fiscal que debería admitirse a trámite el recurso de amparo </w:t>
      </w:r>
      <w:r>
        <w:lastRenderedPageBreak/>
        <w:t>para, a la vista del estudio particularizado del caso con el examen de las actuaciones, comprobar si concurren los requisitos procesales y de fondo para dictar la Sentencia que proceda.</w:t>
      </w:r>
    </w:p>
    <w:p w:rsidR="00BE7FB3" w:rsidRDefault="00BE7FB3" w:rsidP="00BE7FB3">
      <w:pPr>
        <w:pStyle w:val="TextoNormal"/>
      </w:pPr>
    </w:p>
    <w:p w:rsidR="00BE7FB3" w:rsidRDefault="00BE7FB3" w:rsidP="00BE7FB3">
      <w:pPr>
        <w:pStyle w:val="TextoNormal"/>
      </w:pPr>
      <w:r w:rsidRPr="00BE7FB3">
        <w:rPr>
          <w:rStyle w:val="NumeroAFNegritaCaracter"/>
        </w:rPr>
        <w:t>6</w:t>
      </w:r>
      <w:r>
        <w:t>. Por diligencia de ordenación del Secretario de Justicia de la Sala Primera de este Tribunal de 26 de octubre de 2012 se acordó dar traslado del recurso de súplica del Fiscal al Procurador del demandante de amparo para que, de conformidad con el art. 93.2 LOTC, alegara en el plazo de tres días lo que estimara pertinente. Con fecha 22 de noviembre de 2012, fuera del plazo conferido, el Procurador del demandante presentó escrito de alegaciones, adhiriéndose al recurso de súplica del Ministerio Fiscal y solicitando la admisión a trámite del recurso de amparo, con suspensión de la ejecución de los Autos impugnados.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xml:space="preserve">. En contra de lo que sostiene el Ministerio Fiscal en su recurso de súplica, cabe perfectamente en este trámite, sin necesidad de recabar el testimonio de todo lo actuado en el proceso extradicional </w:t>
      </w:r>
      <w:r w:rsidRPr="00BE7FB3">
        <w:rPr>
          <w:i/>
        </w:rPr>
        <w:t>a quo</w:t>
      </w:r>
      <w:r>
        <w:t xml:space="preserve">, descartar </w:t>
      </w:r>
      <w:r w:rsidRPr="00BE7FB3">
        <w:rPr>
          <w:i/>
        </w:rPr>
        <w:t>ictu oculi</w:t>
      </w:r>
      <w:r>
        <w:t xml:space="preserve"> a la vista de los Autos impugnados y del contenido de la demanda de amparo, la verosimilitud de la pretendida lesión de los derechos fundamentales que alega el recurrente.</w:t>
      </w:r>
    </w:p>
    <w:p w:rsidR="00BE7FB3" w:rsidRDefault="00BE7FB3" w:rsidP="00BE7FB3">
      <w:pPr>
        <w:pStyle w:val="TextoNormal"/>
      </w:pPr>
    </w:p>
    <w:p w:rsidR="00BE7FB3" w:rsidRDefault="00BE7FB3" w:rsidP="00BE7FB3">
      <w:pPr>
        <w:pStyle w:val="TextoNormal"/>
      </w:pPr>
      <w:r w:rsidRPr="00BE7FB3">
        <w:rPr>
          <w:rStyle w:val="NumeroAFNegritaCaracter"/>
        </w:rPr>
        <w:t>2</w:t>
      </w:r>
      <w:r>
        <w:t>. En efecto, aunque en la demanda de amparo se aduce, como queja principal, que la extradición del recurrente a la Federación Rusa vulnera el art. 14 CE, lo cierto es que el recurrente no acierta siquiera a ofrecer un término válido de comparación en el que sustentar el juicio de igualdad, pues se limita a sostener que, dada su condición de español y de acuerdo con el principio de reciprocidad, no cabe su entrega a las autoridades rusas, toda vez que —según afirma— la Federación Rusa no extradita a sus nacionales por delitos cometidos en España.</w:t>
      </w:r>
    </w:p>
    <w:p w:rsidR="00BE7FB3" w:rsidRDefault="00BE7FB3" w:rsidP="00BE7FB3">
      <w:pPr>
        <w:pStyle w:val="TextoNormal"/>
      </w:pPr>
    </w:p>
    <w:p w:rsidR="00BE7FB3" w:rsidRDefault="00BE7FB3" w:rsidP="00BE7FB3">
      <w:pPr>
        <w:pStyle w:val="TextoNormal"/>
      </w:pPr>
      <w:r>
        <w:t xml:space="preserve">Así planteada, la queja resulta por completo ajena al principio de igualdad (art. 14 CE), pues lo que en realidad se formula es una discrepancia —tan legítima como carente de sustrato constitucional— respecto de la interpretación de la legalidad ordinaria efectuada por la Audiencia Nacional en los Autos impugnados. En efecto, la Audiencia Nacional no discute que el recurrente posea la nacionalidad española, ni hace descansar ninguna consecuencia jurídica en el hecho de que el recurrente accediera a la nacionalidad española de forma derivativa, sino que fundamenta su decisión favorable a la extradición en una interpretación del instrumento jurídico regulador de esta extradición (el Convenio europeo de extradición), de la que se ha dejado constancia en los antecedentes de la presente resolución, que satisface cumplidamente el canon de motivación reforzada exigido por nuestra doctrina en esta materia (entre otras, SSTC 87/2000, de 27 de marzo, FJ 6; 11/2004, de 9 de febrero, FJ 2; 292/2005, de 10 de noviembre, FJ 2; y 30/2006, de 30 de enero, FJ 5) y que no puede tildarse de arbitraria o irrazonable, sin que, por lo demás, corresponda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pues una cosa es la garantía de los derechos fundamentales, tal y como le está encomendada a este Tribunal, y otra, muy distinta, la de la máxima irradiación de los contenidos constitucionales en todos </w:t>
      </w:r>
      <w:r>
        <w:lastRenderedPageBreak/>
        <w:t>y cada uno de los supuestos de la interpretación de la legalidad (por todas, SSTC 77/2002, de 8 de abril, FJ 3; 103/2003, de 2 de junio, FJ 3; 45/2004, de 23 de marzo, FJ 4; y 65/2011, de 16 de mayo, FJ 2).</w:t>
      </w:r>
    </w:p>
    <w:p w:rsidR="00BE7FB3" w:rsidRDefault="00BE7FB3" w:rsidP="00BE7FB3">
      <w:pPr>
        <w:pStyle w:val="TextoNormal"/>
      </w:pPr>
    </w:p>
    <w:p w:rsidR="00BE7FB3" w:rsidRDefault="00BE7FB3" w:rsidP="00BE7FB3">
      <w:pPr>
        <w:pStyle w:val="TextoNormal"/>
      </w:pPr>
      <w:r>
        <w:t>Debe recordarse que, conforme a reiterada doctrina de este Tribunal, “en ausencia de Tratado, la prohibición de extraditar nacionales contenida en la Ley de extradición pasiva cobraría su fuerza vinculante y, en consecuencia, su relevancia constitucional en el marco del derecho a la tutela judicial efectiva, dado el taxativo tenor literal de su art. 3.1, pues difícilmente podría considerarse razonable o no arbitraria una resolución que a pesar del mismo acceda a la extradición de un nacional” (STC 87/2000, de 27 de marzo, FJ 5; y en el mismo sentido SSTC 102/2000, de 10 de abril, FJ 7; 181/2004, de 2 de noviembre, FJ 10; y 30/2006, de 30 de enero, FJ 7).</w:t>
      </w:r>
    </w:p>
    <w:p w:rsidR="00BE7FB3" w:rsidRDefault="00BE7FB3" w:rsidP="00BE7FB3">
      <w:pPr>
        <w:pStyle w:val="TextoNormal"/>
      </w:pPr>
    </w:p>
    <w:p w:rsidR="00BE7FB3" w:rsidRDefault="00BE7FB3" w:rsidP="00BE7FB3">
      <w:pPr>
        <w:pStyle w:val="TextoNormal"/>
      </w:pPr>
      <w:r>
        <w:t xml:space="preserve">A distinta conclusión se llega, sin embargo, partiendo de esa misma doctrina constitucional, cuando la normativa aplicable a la extradición sea un Tratado que no establezca tal prohibición, como sucede con el Convenio europeo de extradición, cuyo art. 6 —al que España no opuso reserva alguna— faculta a los Estados para entregar a sus nacionales reclamados por otro Estado parte en el Convenio. Si a ello se añade que el principio de reciprocidad carece de virtualidad para erigirse en estos casos en obstáculo a la entrega de nacionales, al no aparecer vinculado dicho principio a derechos fundamentales distintos de los inherentes a la propia decisión de entrega, debe concluirse que la extradición de un nacional español, satisfecha la garantía de la legalidad extradicional (art. 13.3 CE), carece </w:t>
      </w:r>
      <w:r w:rsidRPr="00BE7FB3">
        <w:rPr>
          <w:i/>
        </w:rPr>
        <w:t>per se</w:t>
      </w:r>
      <w:r>
        <w:t xml:space="preserve"> de relevancia constitucional.</w:t>
      </w:r>
    </w:p>
    <w:p w:rsidR="00BE7FB3" w:rsidRDefault="00BE7FB3" w:rsidP="00BE7FB3">
      <w:pPr>
        <w:pStyle w:val="TextoNormal"/>
      </w:pPr>
    </w:p>
    <w:p w:rsidR="00BE7FB3" w:rsidRDefault="00BE7FB3" w:rsidP="00BE7FB3">
      <w:pPr>
        <w:pStyle w:val="TextoNormal"/>
      </w:pPr>
      <w:r>
        <w:t>No estamos, pues, frente a lo que viene a sostener el Fiscal en su recurso de súplica, ante un supuesto coincidente con el planteado en los recursos de amparo núms. 3250-2012, 3251-2012 y 3252-2012, resueltos por las recientes SSTC 205/2012 y 206/2012, de 12 de noviembre ambas, y la STC 232/2012, de 10 de diciembre. En efecto, a diferencia de lo que sucede en el presente asunto, regido por el Convenio europeo de extradición, que no impide la extradición de nacionales, en los casos resueltos por las citadas SSTC 205/2012, 206/2012 y 232/2012 la extradición, al no existir Tratado, se rige por la legislación española (art. 13.3 CE), lo que determinó que este Tribunal entendiese que la decisión judicial de entrega a la República Árabe de Egipto de los españoles reclamados (de origen egipcio, pero que habían adquirido la nacionalidad española por residencia), en contra de la taxativa prohibición de extraditar nacionales contenida en el art. 3.1 de la Ley de extradición pasiva, vulnera el derecho a la tutela judicial efectiva (art. 24.1 CE).</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Por lo que refiere a las restantes quejas que se formulan en la demanda de amparo, la respuesta obtenida por el recurrente en los Autos impugnados evidencia que, tal como declaramos en la providencia de inadmisión de 15 de octubre de 2012, resulta manifiesta la inexistencia de vulneración de ninguno de los derechos fundamentales invocados. Es patente que el recurrente no ha sufrido indefensión alguna durante la sustanciación del proceso de extradición —ha tenido oportuno conocimiento del informe del Médico forense sobre su estado de salud; las pruebas denegadas no son relevantes en términos de defensa; la prisión provisional no ha impedido el efectivo ejercicio de su derecho de defensa, como tampoco la supuesta deficiente traducción de la documentación extradicional— y la extradición ha sido concedida por la Audiencia Nacional bajo la condición de que Rusia ofrezca garantías expresas, en el plazo estipulado, de que se le dará al recurrente —si así lo solicita— derecho </w:t>
      </w:r>
      <w:r>
        <w:lastRenderedPageBreak/>
        <w:t>a un nuevo proceso con plenas garantías de defensa y de que, en su caso, el recurrente sea trasladado a España para el cumplimiento de la condena, sin que existan razones objetivas para dudar de que tales condiciones no serán cumplidas por Rusia.</w:t>
      </w:r>
    </w:p>
    <w:p w:rsidR="00BE7FB3" w:rsidRDefault="00BE7FB3" w:rsidP="00BE7FB3">
      <w:pPr>
        <w:pStyle w:val="TextoNormal"/>
      </w:pPr>
    </w:p>
    <w:p w:rsidR="00BE7FB3" w:rsidRDefault="00BE7FB3" w:rsidP="00BE7FB3">
      <w:pPr>
        <w:pStyle w:val="TextoNormal"/>
      </w:pPr>
      <w:r w:rsidRPr="00BE7FB3">
        <w:rPr>
          <w:rStyle w:val="NumeroAFNegritaCaracter"/>
        </w:rPr>
        <w:t>4</w:t>
      </w:r>
      <w:r>
        <w:t>. En suma, examinados los argumentos del recurso de súplica interpuesto por el Ministerio Fiscal, la Sección confirma su decisión de no admitir el recurso de amparo, dada la manifiesta inexistencia de violación de un derecho fundamental tutelable en amparo, violación que, de acuerdo con el art. 44.1 de la Ley Orgánica del Tribunal Constitucional, es condición para que este Tribunal pueda ejercer dicha tutela.</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Desestimar el recurso de súplica interpuesto por el Ministerio Fiscal y, en consecuencia, confirmar en su integridad la providencia de 15 de octubre de 2012.</w:t>
      </w:r>
    </w:p>
    <w:p w:rsidR="00BE7FB3" w:rsidRDefault="00BE7FB3" w:rsidP="00BE7FB3">
      <w:pPr>
        <w:pStyle w:val="TextoNormal"/>
      </w:pPr>
    </w:p>
    <w:p w:rsidR="00BE7FB3" w:rsidRDefault="00BE7FB3" w:rsidP="00BE7FB3">
      <w:pPr>
        <w:pStyle w:val="TextoNormal"/>
      </w:pPr>
      <w:r>
        <w:t>Madrid, a nueve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44" w:name="AUTO_2013_3"/>
      <w:r>
        <w:lastRenderedPageBreak/>
        <w:t>AUTO 3/2013, de 14 de enero de 2013</w:t>
      </w:r>
    </w:p>
    <w:bookmarkEnd w:id="144"/>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ECLI:ES:TC:2013:3A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y don Fernando Valdés Dal-Ré.</w:t>
      </w:r>
    </w:p>
    <w:p w:rsidR="00BE7FB3" w:rsidRDefault="00BE7FB3" w:rsidP="00BE7FB3">
      <w:pPr>
        <w:pStyle w:val="SntesisDescriptiva"/>
      </w:pPr>
    </w:p>
    <w:p w:rsidR="00BE7FB3" w:rsidRDefault="00BE7FB3" w:rsidP="00BE7FB3">
      <w:pPr>
        <w:pStyle w:val="SntesisDescriptiva"/>
      </w:pPr>
      <w:r>
        <w:t>Acepta una abstención en el recurso de amparo 9138-2008, promovido por Centro de Iniciativas para la Formación Agraria, S.A., (CIFASA)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21 de noviembre de 2008, el Procurador de los Tribunales don Juan Luis Cárdenas Porras, en nombre y representación de Centro de Iniciativas para la Formación Agraria, S.A. (Cifasa), y bajo la dirección del Letrado don Valeriano Hernández-Tavera, interpuso demanda de amparo contra el Decreto de la Comunidad de Castilla La Mancha 22/2004, de 2 de marzo, sobre admisión de alumnos en centros docentes no universitarios sostenidos con fondos públicos.</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8 de enero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en su condición de Magistrado de la Sala de lo Contencioso-Administrativo del Tribunal Supremo en la resolución impugnada.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establecida en el artículo 219.11 LOPJ.</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9138-2008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catorce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45" w:name="AUTO_2013_4"/>
      <w:r>
        <w:lastRenderedPageBreak/>
        <w:t>AUTO 4/2013, de 14 de enero de 2013</w:t>
      </w:r>
    </w:p>
    <w:bookmarkEnd w:id="145"/>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ECLI:ES:TC:2013:4A</w:t>
      </w:r>
    </w:p>
    <w:p w:rsidR="00BE7FB3" w:rsidRDefault="00BE7FB3" w:rsidP="00BE7FB3">
      <w:pPr>
        <w:pStyle w:val="SntesisDescriptiva"/>
      </w:pPr>
    </w:p>
    <w:p w:rsidR="00BE7FB3" w:rsidRDefault="00BE7FB3" w:rsidP="00BE7FB3">
      <w:pPr>
        <w:pStyle w:val="SntesisDescriptiva"/>
      </w:pPr>
      <w:r>
        <w:t>Excms. Srs. don Ramón Rodríguez Arribas, don Pablo Pérez Tremps, don Luis Ignacio Ortega Álvarez y don Francisco Pérez de los Cobos Orihuel.</w:t>
      </w:r>
    </w:p>
    <w:p w:rsidR="00BE7FB3" w:rsidRDefault="00BE7FB3" w:rsidP="00BE7FB3">
      <w:pPr>
        <w:pStyle w:val="SntesisDescriptiva"/>
      </w:pPr>
    </w:p>
    <w:p w:rsidR="00BE7FB3" w:rsidRDefault="00BE7FB3" w:rsidP="00BE7FB3">
      <w:pPr>
        <w:pStyle w:val="SntesisDescriptiva"/>
      </w:pPr>
      <w:r>
        <w:t>Acepta una abstención en el recurso de amparo 2741-2010, promovido por doña Maider Ziganda Población y otras personas en proceso de ilegalización de partidos políticos.</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30 de marzo de 2010 la Procuradora de los Tribunales doña Ana Lobera Arguelles, en representación de doña Maider Ziganda Población, doña Obdulia Lorenzo de Dios, doña Edurne Baztarrica Bilbao, don Ander Poza Olabide, don Iñaki Garmendia Agirregabiria, don Alvaro Ricon Rivera y don Iosu Bengoechea Echeverría, todos ellos concejales del Ayuntamiento de Pasajes, integrantes del grupo político Pasaiako Eusko Abertzale Ekintza/Acción Nacionalista Vasca, interpuso recurso de amparo contra el Auto de la Sala Especial del Tribunal Supremo del artículo 61 de la Ley Orgánica del Poder Judicial de 19 de enero de 2010 recaído en el proceso de ejecución 2-2008, dimanante de los Autos acumulados 5/2008 y 6/2008 sobre declaración de legalidad del partido político Acción Nacionalista Vasca/Eusko Abertzale Ekintza (ANV/EAE), que se desestima el recurso de reposición interpuesto contra el Auto de 16 de julio de 2009 que acordó la disolución del grupo municipal ANV/EAE.</w:t>
      </w:r>
    </w:p>
    <w:p w:rsidR="00BE7FB3" w:rsidRDefault="00BE7FB3" w:rsidP="00BE7FB3">
      <w:pPr>
        <w:pStyle w:val="TextoNormal"/>
      </w:pPr>
    </w:p>
    <w:p w:rsidR="00BE7FB3" w:rsidRDefault="00BE7FB3" w:rsidP="00BE7FB3">
      <w:pPr>
        <w:pStyle w:val="TextoNormal"/>
      </w:pPr>
      <w:r w:rsidRPr="00BE7FB3">
        <w:rPr>
          <w:rStyle w:val="NumeroAFNegritaCaracter"/>
        </w:rPr>
        <w:t>2</w:t>
      </w:r>
      <w:r>
        <w:t>. Habiendo correspondido el conocimiento del recurso de amparo a la Sala Segunda de este Tribunal Constitucional, mediante escrito fechado el 17 de diciembre de 2012 la Excma. Sra. doña Encarnación Roca Trías expresó que en su anterior condición de Magistrada del Tribunal Supremo formó parte de la Sala que dictó los Autos impugnados en el presente proceso de amparo; y que era por ello que entendía que el referido hecho pudiera integrar la causa de abstención 11 del art. 219 de la Ley Orgánica del Poder Judicial, en relación con el art. 80 de la Ley Orgánica del Tribunal Constitucional.</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la Excma. Sra. doña Encarnación Roca Trías, Magistrada de este Tribunal, en virtud de lo previsto en los arts. 80 de la Ley Orgánica del Tribunal Constitucional y 221.4 de la Ley Orgánica del Poder Judicial (LOPJ) procede </w:t>
      </w:r>
      <w:r>
        <w:lastRenderedPageBreak/>
        <w:t>estimar justificada la causa de abstención formulada, puesto que la mencionada Magistrada, en atención a haber formado parte del órgano judicial que dictó las resoluciones impugnadas en amparo, está incursa en la causa 11 del art. 219 LOPJ.</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la Magistrada Excma. Sra. doña Encarnación Roca Trías en el recurso de amparo núm. 2741-2010, apartándole definitivamente del conocimiento del mismo.</w:t>
      </w:r>
    </w:p>
    <w:p w:rsidR="00BE7FB3" w:rsidRDefault="00BE7FB3" w:rsidP="00BE7FB3">
      <w:pPr>
        <w:pStyle w:val="TextoNormal"/>
      </w:pPr>
    </w:p>
    <w:p w:rsidR="00BE7FB3" w:rsidRDefault="00BE7FB3" w:rsidP="00BE7FB3">
      <w:pPr>
        <w:pStyle w:val="TextoNormal"/>
      </w:pPr>
      <w:r>
        <w:t>Madrid, a catorce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46" w:name="AUTO_2013_5"/>
      <w:r>
        <w:lastRenderedPageBreak/>
        <w:t>AUTO 5/2013, de 14 de enero de 2013</w:t>
      </w:r>
    </w:p>
    <w:bookmarkEnd w:id="146"/>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ECLI:ES:TC:2013:5A</w:t>
      </w:r>
    </w:p>
    <w:p w:rsidR="00BE7FB3" w:rsidRDefault="00BE7FB3" w:rsidP="00BE7FB3">
      <w:pPr>
        <w:pStyle w:val="SntesisDescriptiva"/>
      </w:pPr>
    </w:p>
    <w:p w:rsidR="00BE7FB3" w:rsidRDefault="00BE7FB3" w:rsidP="00BE7FB3">
      <w:pPr>
        <w:pStyle w:val="SntesisDescriptiva"/>
      </w:pPr>
      <w:r>
        <w:t>Excms. Srs. don Ramón Rodríguez Arribas, don Pablo Pérez Tremps,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acumulación del recurso de amparo 5548-2011 al 5375-2011, promovidos ambos en causas penales.</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147" w:name="AUTO_2013_6"/>
      <w:r>
        <w:lastRenderedPageBreak/>
        <w:t>AUTO 6/2013, de 14 de enero de 2013</w:t>
      </w:r>
    </w:p>
    <w:bookmarkEnd w:id="147"/>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ECLI:ES:TC:2013:6A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por pérdida de objeto del recurso de amparo 5714-2011, promovido  por la Universidad Rey Juan Carlos.</w:t>
      </w:r>
    </w:p>
    <w:p w:rsidR="00BE7FB3" w:rsidRDefault="00BE7FB3" w:rsidP="00BE7FB3">
      <w:pPr>
        <w:pStyle w:val="SntesisDescriptiva"/>
      </w:pPr>
    </w:p>
    <w:p w:rsidR="00BE7FB3" w:rsidRDefault="00BE7FB3" w:rsidP="00BE7FB3">
      <w:pPr>
        <w:pStyle w:val="SntesisAnaltica"/>
      </w:pPr>
      <w:r>
        <w:t>Recurso de amparo: pérdida sobrevenida de objeto del recurso de amparo.</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el 21 de octubre de 2011, la Universidad Rey Juan Carlos, representada por el Procurador de los Tribunales don Ignacio Aguilar Fernández y asistida por el Letrado don José María González Bustillo, interpuso recurso de amparo contra la Sentencia de la Sección Octava de la Sala de lo Contencioso-Administrativo del Tribunal Superior de Justicia de Madrid recaída el 3 de junio de 2011 en el rollo de apelación núm. 160-2011 y contra el Auto de 7 de octubre de 2011.</w:t>
      </w:r>
    </w:p>
    <w:p w:rsidR="00BE7FB3" w:rsidRDefault="00BE7FB3" w:rsidP="00BE7FB3">
      <w:pPr>
        <w:pStyle w:val="TextoNormal"/>
      </w:pPr>
    </w:p>
    <w:p w:rsidR="00BE7FB3" w:rsidRDefault="00BE7FB3" w:rsidP="00BE7FB3">
      <w:pPr>
        <w:pStyle w:val="TextoNormal"/>
      </w:pPr>
      <w:r w:rsidRPr="00BE7FB3">
        <w:rPr>
          <w:rStyle w:val="NumeroAFNegritaCaracter"/>
        </w:rPr>
        <w:t>2</w:t>
      </w:r>
      <w:r>
        <w:t>. En fecha 29 de octubre de 2012, se dictó Sentencia por este Tribunal número 192/2012, en el recurso de amparo núm. 5822-2011, interpuesto contra la misma Sentencia de la Sección Octava de la Sala de lo Contencioso-Administrativo del Tribunal Superior de Justicia de Madrid recaída el 3 de junio de 2011 en el rollo de apelación núm. 160-2011 y contra el Auto de 7 de octubre de 2011, en la cual se otorgaba el amparo solicitado y se anulaba las citadas resoluciones judiciales.</w:t>
      </w:r>
    </w:p>
    <w:p w:rsidR="00BE7FB3" w:rsidRDefault="00BE7FB3" w:rsidP="00BE7FB3">
      <w:pPr>
        <w:pStyle w:val="TextoNormal"/>
      </w:pPr>
    </w:p>
    <w:p w:rsidR="00BE7FB3" w:rsidRDefault="00BE7FB3" w:rsidP="00BE7FB3">
      <w:pPr>
        <w:pStyle w:val="TextoNormal"/>
      </w:pPr>
      <w:r w:rsidRPr="00BE7FB3">
        <w:rPr>
          <w:rStyle w:val="NumeroAFNegritaCaracter"/>
        </w:rPr>
        <w:t>3</w:t>
      </w:r>
      <w:r>
        <w:t>. Mediante providencia de 26 de noviembre de 2012, al haberse dictado por la Sala Segunda de este Tribunal la referida Sentencia 192/2012, se acordó dar traslado al Ministerio Fiscal y a las partes personadas por cinco días para que alegaran lo que a su derecho conviniera sobre la pérdida sobrevenida de objeto de este recurso.</w:t>
      </w:r>
    </w:p>
    <w:p w:rsidR="00BE7FB3" w:rsidRDefault="00BE7FB3" w:rsidP="00BE7FB3">
      <w:pPr>
        <w:pStyle w:val="TextoNormal"/>
      </w:pPr>
    </w:p>
    <w:p w:rsidR="00BE7FB3" w:rsidRDefault="00BE7FB3" w:rsidP="00BE7FB3">
      <w:pPr>
        <w:pStyle w:val="TextoNormal"/>
      </w:pPr>
      <w:r w:rsidRPr="00BE7FB3">
        <w:rPr>
          <w:rStyle w:val="NumeroAFNegritaCaracter"/>
        </w:rPr>
        <w:t>4</w:t>
      </w:r>
      <w:r>
        <w:t>. La representación procesal del demandante de amparo, la de la Universidad Rey Juan Carlos y el Ministerio Fiscal formularon alegaciones mostrando su conformidad con la finalización del proceso por la pérdida sobrevenida de objeto, en tanto que la representación procesal de don David Ríos Insúa formuló alegaciones interesando que la continuación del proceso para que el Tribunal se pronuncie sobre los motivos de especial trascendencia constitucional de este recurso.</w:t>
      </w:r>
    </w:p>
    <w:p w:rsidR="00BE7FB3" w:rsidRDefault="00BE7FB3" w:rsidP="00BE7FB3">
      <w:pPr>
        <w:pStyle w:val="TextoNormal"/>
      </w:pPr>
    </w:p>
    <w:p w:rsidR="00BE7FB3" w:rsidRDefault="00BE7FB3" w:rsidP="00BE7FB3">
      <w:pPr>
        <w:pStyle w:val="TextoNormalNegritaCentrado"/>
        <w:keepNext/>
      </w:pPr>
      <w:r>
        <w:lastRenderedPageBreak/>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Según reiterada doctrina de este Tribunal, la desaparición sobrevenida del objeto es una de las formas de terminación de los distintos procesos constitucionales, entre ellos el recurso de amparo, puesto que circunstancias acaecidas con posterioridad a la presentación de la demanda pueden hacer innecesario un pronunciamiento del Tribunal Constitucional (AATC 43/1985, de 23 de enero; 243/2007, de 21 de mayo; 285/2008, de 22 de septiembre; y 287/2008, de 22 de septiembre, por todos).</w:t>
      </w:r>
    </w:p>
    <w:p w:rsidR="00BE7FB3" w:rsidRDefault="00BE7FB3" w:rsidP="00BE7FB3">
      <w:pPr>
        <w:pStyle w:val="TextoNormal"/>
      </w:pPr>
    </w:p>
    <w:p w:rsidR="00BE7FB3" w:rsidRDefault="00BE7FB3" w:rsidP="00BE7FB3">
      <w:pPr>
        <w:pStyle w:val="TextoNormal"/>
      </w:pPr>
      <w:r>
        <w:t>En tales supuestos, deja de tener objeto la demanda de amparo toda vez que se actúa directamente sobre el acto que se impugna ante el Tribunal, de modo que la reparación de la lesión del derecho por otra instancia distinta de éste, y con anterioridad a que se emita decisión alguna, hace perder sentido a un pronunciamiento del Tribunal Constitucional al carecer ya de vulneración sobre el que realizarlo, salvo que, como también ha afirmado reiteradamente nuestra jurisprudencia, a pesar de haber desaparecido formalmente el acto lesivo, debieran tenerse en cuenta otros elementos de juicio que siguieran haciendo precisa nuestra respuesta (por todas, STC 118/2002, de 20 de mayo, FJ 2). En los mismos términos, el recurso pierde su objeto cuando la reparación del acto lesivo procede de este mismo Tribunal.</w:t>
      </w:r>
    </w:p>
    <w:p w:rsidR="00BE7FB3" w:rsidRDefault="00BE7FB3" w:rsidP="00BE7FB3">
      <w:pPr>
        <w:pStyle w:val="TextoNormal"/>
      </w:pPr>
    </w:p>
    <w:p w:rsidR="00BE7FB3" w:rsidRDefault="00BE7FB3" w:rsidP="00BE7FB3">
      <w:pPr>
        <w:pStyle w:val="TextoNormal"/>
      </w:pPr>
      <w:r w:rsidRPr="00BE7FB3">
        <w:rPr>
          <w:rStyle w:val="NumeroAFNegritaCaracter"/>
        </w:rPr>
        <w:t>2</w:t>
      </w:r>
      <w:r>
        <w:t>. En el presente supuesto, el pronunciamiento de la STC 192/2012, de 29 de octubre, deja desprovistas de objeto las pretensiones de la demandante de amparo, cuyo fin último era la nulidad de la Sentencia de la Sección Octava de la Sala del Tribunal Superior de Justicia de Madrid, la cual ha sido resuelta por la citada sentencia constitucional.</w:t>
      </w:r>
    </w:p>
    <w:p w:rsidR="00BE7FB3" w:rsidRDefault="00BE7FB3" w:rsidP="00BE7FB3">
      <w:pPr>
        <w:pStyle w:val="TextoNormal"/>
      </w:pPr>
    </w:p>
    <w:p w:rsidR="00BE7FB3" w:rsidRDefault="00BE7FB3" w:rsidP="00BE7FB3">
      <w:pPr>
        <w:pStyle w:val="TextoNormal"/>
      </w:pPr>
      <w:r>
        <w:t>La representación del señor Ríos Insúa plantea la necesidad de continuar el proceso para que el Tribunal explique la trascendencia constitucional de este recurso. Sin embargo, y al margen de que la STC 192/2012 ya analiza la conexión de las resoluciones impugnadas en este recurso con la posible vulneración del derecho a a la autonomía universitaria del artículo 27.10 CE (FJ 5), no cabe apreciar que la pretensión de continuar el proceso a estos efectos satisfaga ningún interés, al haber sido anulado el acto lesivo y carecer de otra proyección la fundamentación que sobre esta cuestión pudiera realizarse, en tanto que la lesión se imputaba exclusivamente a las resoluciones judiciales anuladas.</w:t>
      </w:r>
    </w:p>
    <w:p w:rsidR="00BE7FB3" w:rsidRDefault="00BE7FB3" w:rsidP="00BE7FB3">
      <w:pPr>
        <w:pStyle w:val="TextoNormal"/>
      </w:pPr>
    </w:p>
    <w:p w:rsidR="00BE7FB3" w:rsidRDefault="00BE7FB3" w:rsidP="00BE7FB3">
      <w:pPr>
        <w:pStyle w:val="TextoNormal"/>
      </w:pPr>
      <w:r w:rsidRPr="00BE7FB3">
        <w:rPr>
          <w:rStyle w:val="NumeroAFNegritaCaracter"/>
        </w:rPr>
        <w:t>3</w:t>
      </w:r>
      <w:r>
        <w:t>. Los razonamientos expuestos conducen a declarar la pérdida de objeto del presente recurso, de conformidad con lo dispuesto en los arts. 80 y 86.1 de la Ley Orgánica del Tribunal Constitucional, en relación con el art. 22 de la Ley de enjuiciamiento civil.</w:t>
      </w:r>
    </w:p>
    <w:p w:rsidR="00BE7FB3" w:rsidRDefault="00BE7FB3" w:rsidP="00BE7FB3">
      <w:pPr>
        <w:pStyle w:val="TextoNormal"/>
      </w:pPr>
    </w:p>
    <w:p w:rsidR="00BE7FB3" w:rsidRDefault="00BE7FB3" w:rsidP="00BE7FB3">
      <w:pPr>
        <w:pStyle w:val="TextoNormal"/>
      </w:pPr>
      <w:r>
        <w:t>En aplicación de lo establecido en el art. 95.2 LOTC, y no apreciándose temeridad ni mala fe, ni el mantenimiento de posiciones infundadas, no concurre motivo alguno para hacer un especial pronunciamiento en costas.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la extinción del recurso por la pérdida de objeto del amparo interpuesto.</w:t>
      </w:r>
    </w:p>
    <w:p w:rsidR="00BE7FB3" w:rsidRDefault="00BE7FB3" w:rsidP="00BE7FB3">
      <w:pPr>
        <w:pStyle w:val="TextoNormal"/>
      </w:pPr>
    </w:p>
    <w:p w:rsidR="00BE7FB3" w:rsidRDefault="00BE7FB3" w:rsidP="00BE7FB3">
      <w:pPr>
        <w:pStyle w:val="TextoNormal"/>
      </w:pPr>
      <w:r>
        <w:t>Madrid, a catorce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48" w:name="AUTO_2013_7"/>
      <w:r>
        <w:lastRenderedPageBreak/>
        <w:t>AUTO 7/2013, de 14 de enero de 2013</w:t>
      </w:r>
    </w:p>
    <w:bookmarkEnd w:id="148"/>
    <w:p w:rsidR="00BE7FB3" w:rsidRDefault="00BE7FB3" w:rsidP="00BE7FB3">
      <w:pPr>
        <w:pStyle w:val="TtuloResolucin"/>
      </w:pPr>
      <w:r>
        <w:t>Sección Cuarta</w:t>
      </w:r>
    </w:p>
    <w:p w:rsidR="00BE7FB3" w:rsidRDefault="00BE7FB3" w:rsidP="00BE7FB3">
      <w:pPr>
        <w:pStyle w:val="TtuloResolucin"/>
      </w:pPr>
    </w:p>
    <w:p w:rsidR="00BE7FB3" w:rsidRDefault="00BE7FB3" w:rsidP="00BE7FB3">
      <w:pPr>
        <w:pStyle w:val="SntesisDescriptiva"/>
      </w:pPr>
      <w:r>
        <w:t>ECLI:ES:TC:2013:7A</w:t>
      </w:r>
    </w:p>
    <w:p w:rsidR="00BE7FB3" w:rsidRDefault="00BE7FB3" w:rsidP="00BE7FB3">
      <w:pPr>
        <w:pStyle w:val="SntesisDescriptiva"/>
      </w:pPr>
    </w:p>
    <w:p w:rsidR="00BE7FB3" w:rsidRDefault="00BE7FB3" w:rsidP="00BE7FB3">
      <w:pPr>
        <w:pStyle w:val="SntesisDescriptiva"/>
      </w:pPr>
      <w:r>
        <w:t>Excms. Srs. don Pablo Pérez Tremps, don Francisco José Hernando Santiago y don Francisco Pérez de los Cobos Orihuel.</w:t>
      </w:r>
    </w:p>
    <w:p w:rsidR="00BE7FB3" w:rsidRDefault="00BE7FB3" w:rsidP="00BE7FB3">
      <w:pPr>
        <w:pStyle w:val="SntesisDescriptiva"/>
      </w:pPr>
    </w:p>
    <w:p w:rsidR="00BE7FB3" w:rsidRDefault="00BE7FB3" w:rsidP="00BE7FB3">
      <w:pPr>
        <w:pStyle w:val="SntesisDescriptiva"/>
      </w:pPr>
      <w:r>
        <w:t>Acuerda el desistimiento en el recurso de amparo 4265-2012, promovido en pleito civil.</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149" w:name="AUTO_2013_8"/>
      <w:r>
        <w:lastRenderedPageBreak/>
        <w:t>AUTO 8/2013, de 15 de enero de 2013</w:t>
      </w:r>
    </w:p>
    <w:bookmarkEnd w:id="149"/>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ECLI:ES:TC:2013:8A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Plantea cuestión interna de inconstitucionalidad respecto del artículo 174.1 de la Ley general de la Seguridad Social en el recurso de amparo 6704-2004. Voto particular.</w:t>
      </w:r>
    </w:p>
    <w:p w:rsidR="00BE7FB3" w:rsidRDefault="00BE7FB3" w:rsidP="00BE7FB3">
      <w:pPr>
        <w:pStyle w:val="SntesisDescriptiva"/>
      </w:pPr>
    </w:p>
    <w:p w:rsidR="00BE7FB3" w:rsidRDefault="00BE7FB3" w:rsidP="00BE7FB3">
      <w:pPr>
        <w:pStyle w:val="SntesisAnaltica"/>
      </w:pPr>
      <w:r>
        <w:t>Planteamiento de cuestión interna de inconstitucionalidad. Votos particulares: formulado uno.</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xml:space="preserve">. Mediante demanda que tuvo entrada en el Registro General de este Tribunal el día 12 de noviembre de 2004, el Procurador de los Tribunales don C. H. S. interpuso recurso de amparo en nombre y representación de don Arturo F. L., contra la Sentencia de la Sala de lo Social del Tribunal Superior de Justicia de Asturias, de 8 de octubre de 2004, considerando que vulnera el art. 14 en relación con el art. 39 CE. </w:t>
      </w:r>
    </w:p>
    <w:p w:rsidR="00BE7FB3" w:rsidRDefault="00BE7FB3" w:rsidP="00BE7FB3">
      <w:pPr>
        <w:pStyle w:val="TextoNormal"/>
      </w:pPr>
    </w:p>
    <w:p w:rsidR="00BE7FB3" w:rsidRDefault="00BE7FB3" w:rsidP="00BE7FB3">
      <w:pPr>
        <w:pStyle w:val="TextoNormal"/>
      </w:pPr>
      <w:r>
        <w:t>Los hechos de los que trae causa la demanda de amparo son, en síntesis, los siguientes. Don Arturo F. L., y don Manuel A. G., convivieron interrumpidamente más de cuarenta años hasta el fallecimiento de don Manuel A. G., el día 6 de agosto de 2002. En esa fecha tenía la condición de pensionista de jubilación. El demandante de amparo solicitó del Instituto Nacional de la Seguridad Social (INSS) el reconocimiento del derecho a pensión de viudedad, entendiendo que había de ser incluido por analogía dentro del art. 174 de la Ley general de la Seguridad Social, aprobada por Real Decreto Legislativo 1/1994, de 20 de junio (LGSS), lo que fue denegado en resolución de 14 de octubre de 2002 al no acreditar el solicitante matrimonio con el fallecido. Formalizó reclamación previa reiterando su pretensión, que resultó igualmente desestimada por resolución de 11 de diciembre de 2002.</w:t>
      </w:r>
    </w:p>
    <w:p w:rsidR="00BE7FB3" w:rsidRDefault="00BE7FB3" w:rsidP="00BE7FB3">
      <w:pPr>
        <w:pStyle w:val="TextoNormal"/>
      </w:pPr>
    </w:p>
    <w:p w:rsidR="00BE7FB3" w:rsidRDefault="00BE7FB3" w:rsidP="00BE7FB3">
      <w:pPr>
        <w:pStyle w:val="TextoNormal"/>
      </w:pPr>
      <w:r>
        <w:t xml:space="preserve">El día 9 de enero de 2003 el recurrente en amparo presentó demanda para el reconocimiento de su derecho, que fue turnada al Juzgado de lo Social núm. 3 de Gijón, el cual dictó Sentencia el 15 de mayo de 2003 desestimando la pretensión por entender que el demandante no cumplía el requisito de la previa relación conyugal predicable de quien pretende ser beneficiario de una pensión de viudedad. Formalizado recurso de suplicación fundado en un único motivo, la violación por no aplicación de lo dispuesto en el art. 174 LGSS, en relación con los arts. 14, 32.1, 39.1, 41 y 53.3 CE, y todo ello en concordancia con los arts. 44 a 47 del Código civil y con los criterios de aplicación de las normas jurídicas contenidas </w:t>
      </w:r>
      <w:r>
        <w:lastRenderedPageBreak/>
        <w:t>en los arts. 3.1 y 4.1 de dicha norma. Dictó Sentencia la Sala de lo Social del Tribunal Superior de Justicia de Asturias, el día 8 de octubre de 2004, desestimando el recurso de suplicación con fundamento en la falta de cobertura legal de la pretensión del actor, ya que el art. 174 LGSS, al regular el reconocimiento de la prestación de viudedad, no contempla el supuesto litigioso, sin que sea posible la aplicación analógica que el demandante invoca.</w:t>
      </w:r>
    </w:p>
    <w:p w:rsidR="00BE7FB3" w:rsidRDefault="00BE7FB3" w:rsidP="00BE7FB3">
      <w:pPr>
        <w:pStyle w:val="TextoNormal"/>
      </w:pPr>
    </w:p>
    <w:p w:rsidR="00BE7FB3" w:rsidRDefault="00BE7FB3" w:rsidP="00BE7FB3">
      <w:pPr>
        <w:pStyle w:val="TextoNormal"/>
      </w:pPr>
      <w:r w:rsidRPr="00BE7FB3">
        <w:rPr>
          <w:rStyle w:val="NumeroAFNegritaCaracter"/>
        </w:rPr>
        <w:t>2</w:t>
      </w:r>
      <w:r>
        <w:t>. El demandante de amparo aduce que se ha vulnerado su derecho fundamental a la igualdad y a la no discriminación (art. 14 CE) en relación con el art. 39 del texto constitucional. A su juicio, la denegación de la pensión de viudedad a la persona supérstite de una pareja homosexual que convivió ininterrumpidamente más de cuarenta años como si de un matrimonio se tratase supone una desigualdad de trato respecto de las parejas heterosexuales, y por tanto una discriminación por exclusiva razón de sexo, toda vez que al no existir posibilidad legal de contraer matrimonio entre personas del mismo sexo nunca pueden éstas encontrarse en la situación legal del art. 174 LGSS, en la medida en que dicho precepto sólo reconoce la pensión de viudedad al cónyuge supérstite. Por lo demás, afirma, el art. 174 LGSS viene a establecer una diferencia de trato entre miembros supervivientes de uniones estables según haya existido o no vínculo matrimonial, independientemente de la duración de la convivencia, la situación de necesidad o del desequilibrio económico causado por el fallecimiento, lo que contradice la consideración de un régimen público de la Seguridad Social para todos los ciudadanos que garantice la asistencia y prestaciones sociales suficientes ante situaciones de necesidad pues la norma protectora relativa a las pensiones de viudedad tiene como fin compensar frente a un daño y afrontar las repercusiones económicas negativas, y tal daño en las uniones estables se produce con independencia de que exista o no vínculo matrimonial.</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Por providencia de 19 de julio de 2006, la Sección Primera de este Tribunal acordó, de conformidad con lo dispuesto en el art. 50.3 de la Ley Orgánica del Tribunal Constitucional (LOTC), conceder a la parte demandante de amparo y al Ministerio Fiscal el plazo común de diez días para formular, con las aportaciones documentales que procedieran, las alegaciones que estimaran oportunas en relación con la carencia manifiesta de contenido constitucional de la demanda [art. 50.1 c) LOTC]. </w:t>
      </w:r>
    </w:p>
    <w:p w:rsidR="00BE7FB3" w:rsidRDefault="00BE7FB3" w:rsidP="00BE7FB3">
      <w:pPr>
        <w:pStyle w:val="TextoNormal"/>
      </w:pPr>
    </w:p>
    <w:p w:rsidR="00BE7FB3" w:rsidRDefault="00BE7FB3" w:rsidP="00BE7FB3">
      <w:pPr>
        <w:pStyle w:val="TextoNormal"/>
      </w:pPr>
      <w:r>
        <w:t xml:space="preserve">El recurrente, en escrito presentado en este Tribunal el día 7 de septiembre de 2006, solicitó la admisión a trámite de la demanda. </w:t>
      </w:r>
    </w:p>
    <w:p w:rsidR="00BE7FB3" w:rsidRDefault="00BE7FB3" w:rsidP="00BE7FB3">
      <w:pPr>
        <w:pStyle w:val="TextoNormal"/>
      </w:pPr>
    </w:p>
    <w:p w:rsidR="00BE7FB3" w:rsidRDefault="00BE7FB3" w:rsidP="00BE7FB3">
      <w:pPr>
        <w:pStyle w:val="TextoNormal"/>
      </w:pPr>
      <w:r>
        <w:t xml:space="preserve">El Ministerio Fiscal, por su parte, evacuó el trámite mediante escrito registrado el 14 de septiembre de 2006, interesando la inadmisión del recurso por falta de contenido constitucional. Afirma que la obtención de una pensión de viudedad queda condicionada por la legislación vigente a la existencia de vínculo matrimonial, lo que posee una justificación que se basa en criterios razonables y no artificiosos, siendo además la medida proporcional al fin que se pretende conseguir, cual es el de un especial reconocimiento del matrimonio, tal y como postula el art. 32.1 CE. En suma, la imposibilidad de contraer matrimonio en los casos de uniones de hecho entre personas del mismo sexo no deriva de ninguna norma contraria a los actuales valores constitucionales, habiéndose mantenido tal imposibilidad no sólo durante el régimen político anterior, sino también en la época democrática en la que sólo a partir de la Ley 13/2005, de 1 de julio, por la que se modifica el Código civil en materia de derecho a contraer matrimonio, se ha reconocido en el ámbito de la legalidad ordinaria dicha posibilidad. El demandante identifica interesadamente la falta de capacidad </w:t>
      </w:r>
      <w:r>
        <w:lastRenderedPageBreak/>
        <w:t>para contraer matrimonio —prosigue el Ministerio público— con la imposibilidad de contraerlo aun disponiendo de dicha capacidad conforme a patrones constitucionales. Pero, de llevarse este argumento a sus últimas consecuencias, resultaría que cualquier circunstancia determinante de la falta de capacidad para concluir el negocio jurídico en que el matrimonio consiste (edad, parentesco, ligamen, crimen, discapacidad psíquica…), al erigirse en circunstancia que “imposibilita” su celebración, constituiría —si fuere acompañada de convivencia personal— otra situación “impeditiva”, y por ende justificaría el reconocimiento de tales convivencias como sustrato legítimo de la pretensión de una pensión de viudedad. De este modo, se daría la paradoja de que una prestación de seguridad social, prevista precisamente en favor del matrimonio, vería transmutada su naturaleza, convirtiéndose en una prestación para aquellos convivientes que por la razón que fuere no pudieren contraerlo.</w:t>
      </w:r>
    </w:p>
    <w:p w:rsidR="00BE7FB3" w:rsidRDefault="00BE7FB3" w:rsidP="00BE7FB3">
      <w:pPr>
        <w:pStyle w:val="TextoNormal"/>
      </w:pPr>
    </w:p>
    <w:p w:rsidR="00BE7FB3" w:rsidRDefault="00BE7FB3" w:rsidP="00BE7FB3">
      <w:pPr>
        <w:pStyle w:val="TextoNormal"/>
      </w:pPr>
      <w:r w:rsidRPr="00BE7FB3">
        <w:rPr>
          <w:rStyle w:val="NumeroAFNegritaCaracter"/>
        </w:rPr>
        <w:t>4</w:t>
      </w:r>
      <w:r>
        <w:t>. Por providencia de 8 de noviembre de 2006, la Sección Primera de este Tribunal admitió a trámite el recurso de amparo y, en aplicación del art. 51 LOTC, acordó requerir el testimonio de las actuaciones al Tribunal Superior de Justicia de Asturias y Juzgado de lo Social núm. 3 de Gijón, interesándose al propio tiempo el emplazamiento de quienes fueron parte en el procedimiento, con excepción del recurrente en amparo, para que en el plazo de diez días pudieran comparecer en este proceso constitucional, con traslado a dichos efectos de copia de la demanda presentada.</w:t>
      </w:r>
    </w:p>
    <w:p w:rsidR="00BE7FB3" w:rsidRDefault="00BE7FB3" w:rsidP="00BE7FB3">
      <w:pPr>
        <w:pStyle w:val="TextoNormal"/>
      </w:pPr>
    </w:p>
    <w:p w:rsidR="00BE7FB3" w:rsidRDefault="00BE7FB3" w:rsidP="00BE7FB3">
      <w:pPr>
        <w:pStyle w:val="TextoNormal"/>
      </w:pPr>
      <w:r w:rsidRPr="00BE7FB3">
        <w:rPr>
          <w:rStyle w:val="NumeroAFNegritaCaracter"/>
        </w:rPr>
        <w:t>5</w:t>
      </w:r>
      <w:r>
        <w:t>. El día 4 de diciembre de 2006 tuvo entrada en este Tribunal escrito del Letrado de la Administración de la Seguridad Social en el que solicitaba se le tuviera por personado en el procedimiento de amparo en nombre del INSS. La posterior diligencia de ordenación, de 19 de diciembre de 2006, tuvo por recibidos los testimonios de las actuaciones, acordó en el sentido solicitado por el Letrado de la Administración de la Seguridad Social y concedió un plazo de veinte días a las partes personadas y al Ministerio Fiscal para que presentaran las alegaciones que estimaran pertinentes (art. 52.1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día 24 de enero de 2007 evacuó el trámite el INSS. Considera que no procede otorgar el amparo por las siguientes razones: a) Debe valorarse la norma aplicable en la fecha del hecho causante. Las sucesivas alteraciones de los preceptos rectores de las prestaciones pasivas, de signo progresivamente favorable a los beneficiarios, ha obligado permanentemente a la fijación de determinadas fechas como límite temporal que posibilite o no este tipo de nuevas y más favorables percepciones, sin que ello vulnere el artículo 14 CE; b) Existe extensa doctrina sobre la constitucionalidad de la exigencia del vínculo del matrimonio como presupuesto para acceder a la pensión de viudedad; c) Partiendo de la anterior premisa, es decir, de la constitucionalidad de la exigencia del requisito del matrimonio como presupuesto de la pensión de viudedad, el Tribunal se ha pronunciado en el Auto de 11 de julio de 1994 sobre la cuestión planteada, esto es, sobre si el no reconocimiento del derecho a la pensión de viudedad que trae origen mediato en la imposibilidad legal de los homosexuales de contraer matrimonio —ya que el artículo 44 del Código civil sólo se refiere al matrimonio de dos personas de distinto sexo— vulnera el principio constitucional de igualdad, habiendo extendido a esos supuestos la doctrina que declara constitucional la exigencia del vínculo matrimonial como presupuesto para acceder a la pensión.</w:t>
      </w:r>
    </w:p>
    <w:p w:rsidR="00BE7FB3" w:rsidRDefault="00BE7FB3" w:rsidP="00BE7FB3">
      <w:pPr>
        <w:pStyle w:val="TextoNormal"/>
      </w:pPr>
    </w:p>
    <w:p w:rsidR="00BE7FB3" w:rsidRDefault="00BE7FB3" w:rsidP="00BE7FB3">
      <w:pPr>
        <w:pStyle w:val="TextoNormal"/>
      </w:pPr>
      <w:r>
        <w:t xml:space="preserve">En definitiva, el reconocimiento del derecho a las uniones de convivencia entre homosexuales requiere de previsión legal. Y esa determinación legal se ha establecido en la Ley </w:t>
      </w:r>
      <w:r>
        <w:lastRenderedPageBreak/>
        <w:t>13/2005, de 1 de julio, por la que se modifica el Código civil en materia de derecho a contraer matrimonio, sin efectos retroactivos, de modo que por disposición del art. 2.3 del Código civil no puede aplicarse a la situación enjuiciada.</w:t>
      </w:r>
    </w:p>
    <w:p w:rsidR="00BE7FB3" w:rsidRDefault="00BE7FB3" w:rsidP="00BE7FB3">
      <w:pPr>
        <w:pStyle w:val="TextoNormal"/>
      </w:pPr>
    </w:p>
    <w:p w:rsidR="00BE7FB3" w:rsidRDefault="00BE7FB3" w:rsidP="00BE7FB3">
      <w:pPr>
        <w:pStyle w:val="TextoNormal"/>
      </w:pPr>
      <w:r w:rsidRPr="00BE7FB3">
        <w:rPr>
          <w:rStyle w:val="NumeroAFNegritaCaracter"/>
        </w:rPr>
        <w:t>7</w:t>
      </w:r>
      <w:r>
        <w:t>. El Ministerio Fiscal registró su escrito de alegaciones el día 29 de enero de 2007, interesando la desestimación del recurso de amparo. Reitera los contenidos del escrito de alegaciones del trámite de audiencia del art. 50.3 LOTC, y añade que, con independencia de lo que haya de resolver en su día ese Tribunal acerca de la constitucionalidad de la Ley 13/2005, de 1 de julio, a la fecha actual no puede sostenerse de forma categórica e indubitada que el matrimonio al que se refiere el art. 32.1 CE sea tanto el celebrado entre personas de distinto sexo como el celebrado entre personas pertenecientes al mismo sexo. Sólo en el caso de que esta última aseveración pudiere efectuarse ahora de manera inconcusa, podría decirse que el matrimonio homosexual constituye, al igual que el heterosexual, un valor constitucional digno de protección. Por otra parte indica que las resoluciones judiciales combatidas se dictan con anterioridad a la promulgación de la mencionada Ley 13/2005, de 1 de julio, de modo que al tiempo de la resolución por los órganos judiciales de la pretensión deducida ni siquiera cabía una interpretación analógica de la disposición adicional décima de la Ley 30/1981, de 7 de julio, aplicada a un entonces inexistente reconocimiento del matrimonio entre personas del mismo sexo.</w:t>
      </w:r>
    </w:p>
    <w:p w:rsidR="00BE7FB3" w:rsidRDefault="00BE7FB3" w:rsidP="00BE7FB3">
      <w:pPr>
        <w:pStyle w:val="TextoNormal"/>
      </w:pPr>
    </w:p>
    <w:p w:rsidR="00BE7FB3" w:rsidRDefault="00BE7FB3" w:rsidP="00BE7FB3">
      <w:pPr>
        <w:pStyle w:val="TextoNormal"/>
      </w:pPr>
      <w:r w:rsidRPr="00BE7FB3">
        <w:rPr>
          <w:rStyle w:val="NumeroAFNegritaCaracter"/>
        </w:rPr>
        <w:t>8</w:t>
      </w:r>
      <w:r>
        <w:t>. La representación del demandante en amparo no presentó escrito de alegaciones, según se hace constar en diligencia de 17 de abril de 2007.</w:t>
      </w:r>
    </w:p>
    <w:p w:rsidR="00BE7FB3" w:rsidRDefault="00BE7FB3" w:rsidP="00BE7FB3">
      <w:pPr>
        <w:pStyle w:val="TextoNormal"/>
      </w:pPr>
    </w:p>
    <w:p w:rsidR="00BE7FB3" w:rsidRDefault="00BE7FB3" w:rsidP="00BE7FB3">
      <w:pPr>
        <w:pStyle w:val="TextoNormal"/>
      </w:pPr>
      <w:r w:rsidRPr="00BE7FB3">
        <w:rPr>
          <w:rStyle w:val="NumeroAFNegritaCaracter"/>
        </w:rPr>
        <w:t>9</w:t>
      </w:r>
      <w:r>
        <w:t>. Por providencia del Pleno de este Tribunal de 11 de marzo de 2008, y de conformidad con lo dispuesto en el art. 10 n) LOTC, se acordó, a propuesta de la Sala Primera de este Tribunal, recabar para el mismo el conocimiento del presente recurso de amparo.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art. 55.2 de la Ley Orgánica del Tribunal Constitucional, tras la reforma operada por la Ley Orgánica 6/2007, de 24 de mayo, dispone que “en el supuesto de que el recurso de amparo debiera ser estimado porque a juicio de la Sala o, en su caso, de la Sección, la Ley aplicada lesione derechos fundamentales o libertades públicas, se elevará la cuestión al Pleno con suspensión del plazo para dictar Sentencia, de conformidad con lo prevenido en los artículos 35 y siguientes”. Tal previsión es aplicable con independencia de la fecha de iniciación del proceso de amparo (disposición transitoria cuarta de la Ley Orgánica 6/2007, de 24 de mayo) y cuando, como en el presente caso, haya correspondido al Pleno el conocimiento del presente recurso de amparo.</w:t>
      </w:r>
    </w:p>
    <w:p w:rsidR="00BE7FB3" w:rsidRDefault="00BE7FB3" w:rsidP="00BE7FB3">
      <w:pPr>
        <w:pStyle w:val="TextoNormal"/>
      </w:pPr>
    </w:p>
    <w:p w:rsidR="00BE7FB3" w:rsidRDefault="00BE7FB3" w:rsidP="00BE7FB3">
      <w:pPr>
        <w:pStyle w:val="TextoNormal"/>
      </w:pPr>
      <w:r>
        <w:t xml:space="preserve">Como ha quedado expuesto en los antecedentes de esta resolución, el demandante de amparo imputa a las resoluciones impugnadas la vulneración de sus derechos fundamentales a la igualdad y a la no discriminación (art. 14 CE). Ambas resoluciones confirman la previa decisión de la Administración de la Seguridad Social aplicando el art. 174.1 de la Ley general de la Seguridad Social, aprobada por Real Decreto Legislativo 1/1994, de 20 de junio (LGSS), precepto que sólo reconoce la pensión de viudedad al cónyuge supérstite. Aduce el demandante de amparo, por una parte, que el reconocimiento expreso de la institución </w:t>
      </w:r>
      <w:r>
        <w:lastRenderedPageBreak/>
        <w:t>matrimonial y del derecho a contraer matrimonio en el art. 32 CE, implica una protección constitucional de esa institución, pero que esa habilitación constitucional no puede entenderse como la posibilidad ilimitada de establecer tratamientos favorables para un conjunto de ciudadanos, por el hecho de estar o haber estado casados, frente a los que no ostentan esa condición, resultando que las prestaciones de la Seguridad Social no se configuran como elementos naturalmente integradores del régimen del matrimonio o como técnicas de protección de la institución matrimonial, por lo que no es razonable introducir ese requisito para determinar si procede o no una determinada prestación. En segundo lugar, afirma que la denegación de la pensión de viudedad a la persona supérstite de una pareja homosexual, que convivió ininterrumpidamente más de cuarenta años con el fallecido como si de un matrimonio se tratase, supone una vulneración del art. 14 CE, al llevar consigo una desigualdad de trato respecto de las parejas heterosexuales, y por tanto una discriminación por exclusiva razón de sexo o por cualquier otra condición o circunstancia personal o social, toda vez que al no existir en aquel momento posibilidad legal de contraer matrimonio entre personas del mismo sexo las parejas estables homosexuales nunca podían encontrarse en la situación legal del art. 174.1 LGSS, en la medida en que dicho precepto sólo reconoce la pensión de viudedad al cónyuge supérstite.</w:t>
      </w:r>
    </w:p>
    <w:p w:rsidR="00BE7FB3" w:rsidRDefault="00BE7FB3" w:rsidP="00BE7FB3">
      <w:pPr>
        <w:pStyle w:val="TextoNormal"/>
      </w:pPr>
    </w:p>
    <w:p w:rsidR="00BE7FB3" w:rsidRDefault="00BE7FB3" w:rsidP="00BE7FB3">
      <w:pPr>
        <w:pStyle w:val="TextoNormal"/>
      </w:pPr>
      <w:r>
        <w:t xml:space="preserve">Esta última perspectiva de la cuestión sitúa la lesión denunciada en la misma norma legal, de ahí que resulte procedente el planteamiento de cuestión de inconstitucionalidad sobre el art. 174.1 de la Ley general de la Seguridad Social, aprobada por Real Decreto Legislativo 1/1994, de 20 de junio, en la redacción vigente en el momento de plantearse la solicitud, esto es, la dada al citado precepto legal por el art. 32.1 de la Ley 50/1998, de 30 de diciembre, de medidas fiscales, administrativas y del orden social, por cuanto, al no existir en aquel momento posibilidad legal de contraer matrimonio entre personas del mismo sexo, las parejas estables homosexuales nunca podían encontrarse en la situación legal prevista por el art. 174.1 LGSS, lo cual podría suponer una discriminación en razón de la orientación sexual del solicitante vedada por el art. 14 CE </w:t>
      </w:r>
      <w:r w:rsidRPr="00BE7FB3">
        <w:rPr>
          <w:i/>
        </w:rPr>
        <w:t>in fine</w:t>
      </w:r>
      <w:r>
        <w:t>, aunque el enjuiciamiento final sobre este asunto corresponde realizarlo libremente al Pleno de este Tribunal en su posterior sentencia.</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Plantear cuestión interna de inconstitucionalidad respecto del art. 174.1 de la Ley general de la Seguridad Social, aprobada por Real Decreto Legislativo 1/1994, de 20 de junio, en la redacción dada por el art. 32.1 de la Ley 50/1998, de 30 de diciembre, de medidas fiscales, administrativas y del orden social, por oposición al art. 14.2 CE, con suspensión del plazo para dictar Sentencia en el presente recurso de amparo.</w:t>
      </w:r>
    </w:p>
    <w:p w:rsidR="00BE7FB3" w:rsidRDefault="00BE7FB3" w:rsidP="00BE7FB3">
      <w:pPr>
        <w:pStyle w:val="TextoNormal"/>
      </w:pPr>
    </w:p>
    <w:p w:rsidR="00BE7FB3" w:rsidRDefault="00BE7FB3" w:rsidP="00BE7FB3">
      <w:pPr>
        <w:pStyle w:val="TextoNormal"/>
      </w:pPr>
      <w:r>
        <w:t>Madrid, a quince de enero de dos mil trece.</w:t>
      </w:r>
    </w:p>
    <w:p w:rsidR="00BE7FB3" w:rsidRDefault="00BE7FB3" w:rsidP="00BE7FB3">
      <w:pPr>
        <w:pStyle w:val="ParrafoNormal"/>
      </w:pPr>
    </w:p>
    <w:p w:rsidR="00BE7FB3" w:rsidRDefault="00BE7FB3" w:rsidP="00BE7FB3">
      <w:pPr>
        <w:pStyle w:val="TextoNormalNegritaCentrado"/>
        <w:keepNext/>
      </w:pPr>
      <w:r>
        <w:lastRenderedPageBreak/>
        <w:t>Voto particular que formula el Magistrado don Andrés Ollero Tassara respecto al Auto de fecha 15 de enero de 2013 dictado en el recurso de amparo núm. 6704-2004 avocado al Pleno.</w:t>
      </w:r>
    </w:p>
    <w:p w:rsidR="00BE7FB3" w:rsidRDefault="00BE7FB3" w:rsidP="00BE7FB3">
      <w:pPr>
        <w:pStyle w:val="TextoNormalNegritaCentrado"/>
        <w:keepNext/>
      </w:pPr>
    </w:p>
    <w:p w:rsidR="00BE7FB3" w:rsidRDefault="00BE7FB3" w:rsidP="00BE7FB3">
      <w:pPr>
        <w:pStyle w:val="TextoNormal"/>
      </w:pPr>
      <w:r>
        <w:t>En el ejercicio de la facultad que nos confiere el art. 90.2 de la Ley Orgánica del Tribunal Constitucional y con el máximo respeto a la opinión de la mayoría, dejo constancia de mi opinión discrepante puesta ya de manifiesto durante la deliberación del Auto.</w:t>
      </w:r>
    </w:p>
    <w:p w:rsidR="00BE7FB3" w:rsidRDefault="00BE7FB3" w:rsidP="00BE7FB3">
      <w:pPr>
        <w:pStyle w:val="TextoNormal"/>
      </w:pPr>
    </w:p>
    <w:p w:rsidR="00BE7FB3" w:rsidRDefault="00BE7FB3" w:rsidP="00BE7FB3">
      <w:pPr>
        <w:pStyle w:val="TextoNormal"/>
      </w:pPr>
      <w:r>
        <w:t xml:space="preserve">1. El artículo 35.1 de la Ley Orgánica 2/1979 reguladora de la actividad de este Tribunal señala que cuando un Juez o Tribunal “considere que una norma con rango de Ley aplicable al caso y de cuya aplicación dependa el fallo pueda ser contraria a la Constitución, planteará la cuestión al Tribunal”. Éste suele mostrarse exigente a la hora de constatar el juicio de relevancia realizado por el Juez </w:t>
      </w:r>
      <w:r w:rsidRPr="00BE7FB3">
        <w:rPr>
          <w:i/>
        </w:rPr>
        <w:t>a quo</w:t>
      </w:r>
      <w:r>
        <w:t>, lo que le lleva en más de una ocasión a rechazar, de acuerdo con el artículo 37.1, la cuestión planteada por considerarla notoriamente infundada”</w:t>
      </w:r>
    </w:p>
    <w:p w:rsidR="00BE7FB3" w:rsidRDefault="00BE7FB3" w:rsidP="00BE7FB3">
      <w:pPr>
        <w:pStyle w:val="TextoNormal"/>
      </w:pPr>
    </w:p>
    <w:p w:rsidR="00BE7FB3" w:rsidRDefault="00BE7FB3" w:rsidP="00BE7FB3">
      <w:pPr>
        <w:pStyle w:val="TextoNormal"/>
      </w:pPr>
      <w:r>
        <w:t>Por otra parte, el artículo 55.2 de la misma Ley Orgánica establece que “En el supuesto de que el recurso de amparo debiera ser estimado porque, a juicio de la Sala o, en su caso, la Sección, la ley aplicada lesione derechos fundamentales o libertades públicas, se elevará la cuestión al Pleno”, como ha ocurrido en el caso que nos ocupa.</w:t>
      </w:r>
    </w:p>
    <w:p w:rsidR="00BE7FB3" w:rsidRDefault="00BE7FB3" w:rsidP="00BE7FB3">
      <w:pPr>
        <w:pStyle w:val="TextoNormal"/>
      </w:pPr>
    </w:p>
    <w:p w:rsidR="00BE7FB3" w:rsidRDefault="00BE7FB3" w:rsidP="00BE7FB3">
      <w:pPr>
        <w:pStyle w:val="TextoNormal"/>
      </w:pPr>
      <w:r>
        <w:t>Mi discrepancia deriva de no encontrar motivo de duda sobre la constitucionalidad del art. 174.1 del texto refundido de la Ley general de la Seguridad Social, aprobada por Real Decreto Legislativo 1/1994, de 20 de junio, en la redacción dada por el art. 32Uno de la Ley 50/1998, de 30 de diciembre, de medidas fiscales, administrativas y del orden social, interpretado de acuerdo con la doctrina establecida de modo reiterado e incluso muy reciente sobre el particular.</w:t>
      </w:r>
    </w:p>
    <w:p w:rsidR="00BE7FB3" w:rsidRDefault="00BE7FB3" w:rsidP="00BE7FB3">
      <w:pPr>
        <w:pStyle w:val="TextoNormal"/>
      </w:pPr>
    </w:p>
    <w:p w:rsidR="00BE7FB3" w:rsidRDefault="00BE7FB3" w:rsidP="00BE7FB3">
      <w:pPr>
        <w:pStyle w:val="TextoNormal"/>
      </w:pPr>
      <w:r>
        <w:t>2. La STC 184/1990, de 28 de febrero, FJ 2, establece en efecto que “el libre desarrollo de la personalidad no resulta impedido ni coartado porque al supérstite de una unión de hecho la Ley no le reconozca una pensión de viudedad”, reconociendo la constitucionalidad de “aquellas medidas de los poderes públicos que otorguen un trato distinto y más favorable a la unidad familiar basada en el matrimonio que a otras unidades convivenciales, ni aquellas otras medidas que faciliten o favorezcan el ejercicio del derecho constitucional a contraer matrimonio”. Recordaba a la vez cómo esta doctrina se halla ya presente en el ATC 156/1987, que afirmaba que “el matrimonio y la convivencia extramatrimonial no son situaciones equivalentes, siendo posible, por ello, que el legislador, dentro de su amplísima libertad de decisión, deduzca razonablemente consecuencias de la diferente situación de partida”, apostillando: “y ello también respecto de las pensiones de viudedad”.</w:t>
      </w:r>
    </w:p>
    <w:p w:rsidR="00BE7FB3" w:rsidRDefault="00BE7FB3" w:rsidP="00BE7FB3">
      <w:pPr>
        <w:pStyle w:val="TextoNormal"/>
      </w:pPr>
    </w:p>
    <w:p w:rsidR="00BE7FB3" w:rsidRDefault="00BE7FB3" w:rsidP="00BE7FB3">
      <w:pPr>
        <w:pStyle w:val="TextoNormal"/>
      </w:pPr>
      <w:r>
        <w:t xml:space="preserve">Años después, en la STC 66/1994, de 28 de febrero, FJ 3, el Tribunal considera de nuevo “admitida la constitucionalidad del vínculo matrimonial como presupuesto legítimo para que el legislador haga derivar de aquél determinados efectos —como el de conceder las pensiones de viudedad”. No menos elocuente al respecto se muestra el ATC 222/1994, de 11 de julio, FJ 2, al señalar que “la unión entre personas del mismo sexo biológico no es una institución jurídicamente regulada, ni existe un derecho constitucional a su establecimiento; todo lo contrario al matrimonio entre un hombre y una mujer, que es un derecho constitucional que genera </w:t>
      </w:r>
      <w:r w:rsidRPr="00BE7FB3">
        <w:rPr>
          <w:i/>
        </w:rPr>
        <w:t>ope legis</w:t>
      </w:r>
      <w:r>
        <w:t xml:space="preserve"> una pluralidad de derechos y deberes”.</w:t>
      </w:r>
    </w:p>
    <w:p w:rsidR="00BE7FB3" w:rsidRDefault="00BE7FB3" w:rsidP="00BE7FB3">
      <w:pPr>
        <w:pStyle w:val="TextoNormal"/>
      </w:pPr>
    </w:p>
    <w:p w:rsidR="00BE7FB3" w:rsidRDefault="00BE7FB3" w:rsidP="00BE7FB3">
      <w:pPr>
        <w:pStyle w:val="TextoNormal"/>
      </w:pPr>
      <w:r>
        <w:lastRenderedPageBreak/>
        <w:t xml:space="preserve">Más recientemente aún, precisamente cuando este Tribunal decide con no escasas discrepancias admitir la posibilidad de un matrimonio homosexual, en la STC 198/2012, de 6 de noviembre, dejando claro que se trata de una opción “escogida por el legislador español, en uso de su libertad de configuración de la institución matrimonial”, “dentro del margen de apreciación que la Constitución le reconoce”. Recordaba cómo el ATC 204/2003, de 16 de junio, FJ 3, había resaltado la unión </w:t>
      </w:r>
      <w:r w:rsidRPr="00BE7FB3">
        <w:rPr>
          <w:i/>
        </w:rPr>
        <w:t>more uxorio</w:t>
      </w:r>
      <w:r>
        <w:t xml:space="preserve"> no “ni es una institución jurídicamente garantizada ni hay un derecho constitucional expreso a su establecimiento”. Menos aún lo habría para contraer matrimonio. En efecto la Sentencia se refiere siempre a una “opción legislativa” sin reconocer en modo alguno un derecho constitucional a contraer matrimonio con persona del mismo sexo que derivara de exigencias del artículo 14 CE.</w:t>
      </w:r>
    </w:p>
    <w:p w:rsidR="00BE7FB3" w:rsidRDefault="00BE7FB3" w:rsidP="00BE7FB3">
      <w:pPr>
        <w:pStyle w:val="TextoNormal"/>
      </w:pPr>
    </w:p>
    <w:p w:rsidR="00BE7FB3" w:rsidRDefault="00BE7FB3" w:rsidP="00BE7FB3">
      <w:pPr>
        <w:pStyle w:val="TextoNormal"/>
      </w:pPr>
      <w:r>
        <w:t>No cabe pues tampoco estimar existencia de discriminación alguna, difícilmente apreciable cuando no se niega derecho alguno. Las posibles consecuencias menos favorables son simple fruto de situaciones generadas por innovaciones o modificaciones normativas, como las analizadas en las SSTC 70/1983, de 26 de julio, FJ 2, o la 121/1984, de 12 de diciembre, FJ 2.</w:t>
      </w:r>
    </w:p>
    <w:p w:rsidR="00BE7FB3" w:rsidRDefault="00BE7FB3" w:rsidP="00BE7FB3">
      <w:pPr>
        <w:pStyle w:val="TextoNormal"/>
      </w:pPr>
    </w:p>
    <w:p w:rsidR="00BE7FB3" w:rsidRDefault="00BE7FB3" w:rsidP="00BE7FB3">
      <w:pPr>
        <w:pStyle w:val="TextoNormal"/>
      </w:pPr>
      <w:r>
        <w:t>3. El legislador pudo, como ha hecho en otras ocasiones, contemplar la situación objeto de este recurso de amparo, atribuyéndole consecuencias más favorables. No lo hizo, sin que ello pueda extrañar. No en vano la memoria económica, que acompañaba al proyecto de la futura Ley 13/2005, de 1 de julio, por la que modifica el Código civil en materia de derecho a contraer matrimonio, estimaba que no generaría incremento alguno de gasto al no llevar consigo repercusión en el régimen de pensiones. Sin perjuicio de la viabilidad práctica que cupiera atribuir a tal pronóstico, la intención del legislador —que es lo que resulta en nuestro contexto relevante— queda fuera de toda duda.</w:t>
      </w:r>
    </w:p>
    <w:p w:rsidR="00BE7FB3" w:rsidRDefault="00BE7FB3" w:rsidP="00BE7FB3">
      <w:pPr>
        <w:pStyle w:val="TextoNormal"/>
      </w:pPr>
    </w:p>
    <w:p w:rsidR="00BE7FB3" w:rsidRDefault="00BE7FB3" w:rsidP="00BE7FB3">
      <w:pPr>
        <w:pStyle w:val="TextoNormal"/>
      </w:pPr>
      <w:r>
        <w:t>4. No siendo posible estimar desigualdad de trato falta de fundamento objetivo y racional —ni en consecuencia discriminación, se la aprecie de modo directo o indirecto— no creo que pueda considerarse notoriamente fundado dudar de la constitucionalidad de la Ley 40/2007, de 4 de diciembre, salvo que lo que se cuestione sea la aludida doctrina expresada de modo reiterado por este Tribunal a lo largo de los años, sobre la cual la mayoría de los miembros del Tribunal que —con no pocos votos discrepantes— ha propiciado esta cuestión interna de constitucionalidad no ha expresado duda alguna.</w:t>
      </w:r>
    </w:p>
    <w:p w:rsidR="00BE7FB3" w:rsidRDefault="00BE7FB3" w:rsidP="00BE7FB3">
      <w:pPr>
        <w:pStyle w:val="TextoNormal"/>
      </w:pPr>
    </w:p>
    <w:p w:rsidR="00BE7FB3" w:rsidRDefault="00BE7FB3" w:rsidP="00BE7FB3">
      <w:pPr>
        <w:pStyle w:val="TextoNormal"/>
      </w:pPr>
      <w:r>
        <w:t>Y en este sentido emito mi Voto particular.</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50" w:name="AUTO_2013_9"/>
      <w:r>
        <w:lastRenderedPageBreak/>
        <w:t>AUTO 9/2013, de 15 de enero de 2013</w:t>
      </w:r>
    </w:p>
    <w:bookmarkEnd w:id="150"/>
    <w:p w:rsidR="00BE7FB3" w:rsidRDefault="00BE7FB3" w:rsidP="00BE7FB3">
      <w:pPr>
        <w:pStyle w:val="TtuloResolucin"/>
      </w:pPr>
      <w:r>
        <w:t>Pleno</w:t>
      </w:r>
    </w:p>
    <w:p w:rsidR="00BE7FB3" w:rsidRDefault="00BE7FB3" w:rsidP="00BE7FB3">
      <w:pPr>
        <w:pStyle w:val="TtuloResolucin"/>
      </w:pPr>
    </w:p>
    <w:p w:rsidR="00BE7FB3" w:rsidRDefault="00BE7FB3" w:rsidP="00BE7FB3">
      <w:pPr>
        <w:pStyle w:val="TtuloBOE"/>
      </w:pPr>
      <w:r>
        <w:t>("BOE" núm. 37, de 12 de febrero de 2013)</w:t>
      </w:r>
    </w:p>
    <w:p w:rsidR="00BE7FB3" w:rsidRDefault="00BE7FB3" w:rsidP="00BE7FB3">
      <w:pPr>
        <w:pStyle w:val="TtuloBOE"/>
      </w:pPr>
    </w:p>
    <w:p w:rsidR="00BE7FB3" w:rsidRDefault="00BE7FB3" w:rsidP="00BE7FB3">
      <w:pPr>
        <w:pStyle w:val="SntesisDescriptiva"/>
      </w:pPr>
      <w:r>
        <w:t>ECLI:ES:TC:2013:9A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Inadmite a trámite el conflicto en defensa de la autonomía local 4038-2011, planteado por treinta y seis municipios de la Comunidad Autónoma de Canarias en relación con el artículo 1 de la Ley del Parlamento de Canarias 2/2011, de 26 de enero, por el que se modifica el artículo 6 bis de la Ley 11/1997, de 2 de diciembre, de regulación del sector eléctrico canario.</w:t>
      </w:r>
    </w:p>
    <w:p w:rsidR="00BE7FB3" w:rsidRDefault="00BE7FB3" w:rsidP="00BE7FB3">
      <w:pPr>
        <w:pStyle w:val="SntesisDescriptiva"/>
      </w:pPr>
    </w:p>
    <w:p w:rsidR="00BE7FB3" w:rsidRDefault="00BE7FB3" w:rsidP="00BE7FB3">
      <w:pPr>
        <w:pStyle w:val="SntesisAnaltica"/>
      </w:pPr>
      <w:r>
        <w:t>Autonomía local: entes locales. Canarias: competencias en materia de energía eléctrica. Conflictos en defensa de la autonomía local: legislación autonómica. Energía: energía eléctrica. Entes locales: potestad tributaria. Inadmisión de conflictos en defensa de la autonomía local: conflictos en defensa de la autonomía local notoriamente infundados. Licencias administrativas: licencias urbanísticas.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Constitucional el 11 de julio de 2011, completado por otros dos presentados el 29 de julio y el 2 de septiembre del mismo año, don José Carlos Caballero Ballesteros, Procurador de los Tribunales, actuando en nombre y representación de treinta y seis municipios de la Comunidad Autónoma de Canarias, con la asistencia del Letrado don Ignacio Calatayud Prats, plantea conflicto en defensa de la autonomía local en relación con el art. 1 de la Ley del Parlamento de Canarias 2/2011, de 26 de enero, por el que se modifica el art. 6 bis de la Ley 11/1997, de 2 de diciembre, de regulación del sector eléctrico canario, en la redacción que había recibido por Ley 8/2005, de 21 de diciembre.</w:t>
      </w:r>
    </w:p>
    <w:p w:rsidR="00BE7FB3" w:rsidRDefault="00BE7FB3" w:rsidP="00BE7FB3">
      <w:pPr>
        <w:pStyle w:val="TextoNormal"/>
      </w:pPr>
    </w:p>
    <w:p w:rsidR="00BE7FB3" w:rsidRDefault="00BE7FB3" w:rsidP="00BE7FB3">
      <w:pPr>
        <w:pStyle w:val="TextoNormal"/>
      </w:pPr>
      <w:r w:rsidRPr="00BE7FB3">
        <w:rPr>
          <w:rStyle w:val="NumeroAFNegritaCaracter"/>
        </w:rPr>
        <w:t>2</w:t>
      </w:r>
      <w:r>
        <w:t>. El precepto objeto del conflicto promovido en defensa de la autonomía local dispone lo siguiente:</w:t>
      </w:r>
    </w:p>
    <w:p w:rsidR="00BE7FB3" w:rsidRDefault="00BE7FB3" w:rsidP="00BE7FB3">
      <w:pPr>
        <w:pStyle w:val="TextoNormal"/>
      </w:pPr>
    </w:p>
    <w:p w:rsidR="00BE7FB3" w:rsidRDefault="00BE7FB3" w:rsidP="00BE7FB3">
      <w:pPr>
        <w:pStyle w:val="TextoNormal"/>
      </w:pPr>
      <w:r>
        <w:t>“Artículo Primero. Se modifica el artículo 6 bis de la Ley 11/1997, de 2 de diciembre, de regulación del Sector Eléctrico Canario, en la redacción dada por la Ley 8/2005, de 21 de diciembre, quedando redactado en los siguientes términos:</w:t>
      </w:r>
    </w:p>
    <w:p w:rsidR="00BE7FB3" w:rsidRDefault="00BE7FB3" w:rsidP="00BE7FB3">
      <w:pPr>
        <w:pStyle w:val="TextoNormal"/>
      </w:pPr>
    </w:p>
    <w:p w:rsidR="00BE7FB3" w:rsidRDefault="00BE7FB3" w:rsidP="00BE7FB3">
      <w:pPr>
        <w:pStyle w:val="TextoNormal"/>
      </w:pPr>
      <w:r>
        <w:t>‘Artículo 6 bis. Procedimiento excepcional para obras de interés general para el suministro de energía eléctrica</w:t>
      </w:r>
    </w:p>
    <w:p w:rsidR="00BE7FB3" w:rsidRDefault="00BE7FB3" w:rsidP="00BE7FB3">
      <w:pPr>
        <w:pStyle w:val="TextoNormal"/>
      </w:pPr>
    </w:p>
    <w:p w:rsidR="00BE7FB3" w:rsidRDefault="00BE7FB3" w:rsidP="00BE7FB3">
      <w:pPr>
        <w:pStyle w:val="TextoNormal"/>
      </w:pPr>
      <w:r>
        <w:t>1. Cuando razones justificadas de urgencia o excepcional interés aconsejen la modernización o el establecimiento de instalaciones de generación, transporte o distribución eléctrica, la consejería competente en materia de energía podrá declarar el interés general de las obras necesarias para la ejecución de dichas instalaciones.</w:t>
      </w:r>
    </w:p>
    <w:p w:rsidR="00BE7FB3" w:rsidRDefault="00BE7FB3" w:rsidP="00BE7FB3">
      <w:pPr>
        <w:pStyle w:val="TextoNormal"/>
      </w:pPr>
    </w:p>
    <w:p w:rsidR="00BE7FB3" w:rsidRDefault="00BE7FB3" w:rsidP="00BE7FB3">
      <w:pPr>
        <w:pStyle w:val="TextoNormal"/>
      </w:pPr>
      <w:r>
        <w:t>2. Los proyectos de construcción, modificación y ampliación de las instalaciones a que se refiere el apartado anterior, se someterán a un régimen especial de autorización y no estarán sujetos a licencia urbanística ordinaria o a cualquier otro acto de control preventivo municipal o insular. No obstante, serán remitidos al ayuntamiento por el órgano competente para su autorización y también al cabildo insular correspondiente para que, en el plazo de un mes, informen sobre la conformidad o disconformidad de tales proyectos con el planeamiento territorial o urbanístico en vigor, transcurrido el cual se entenderá evacuado el trámite y continuará el procedimiento.</w:t>
      </w:r>
    </w:p>
    <w:p w:rsidR="00BE7FB3" w:rsidRDefault="00BE7FB3" w:rsidP="00BE7FB3">
      <w:pPr>
        <w:pStyle w:val="TextoNormal"/>
      </w:pPr>
    </w:p>
    <w:p w:rsidR="00BE7FB3" w:rsidRDefault="00BE7FB3" w:rsidP="00BE7FB3">
      <w:pPr>
        <w:pStyle w:val="TextoNormal"/>
      </w:pPr>
      <w:r>
        <w:t>La conformidad municipal llevará implícita la autorización especial a que se hace referencia en el párrafo anterior.</w:t>
      </w:r>
    </w:p>
    <w:p w:rsidR="00BE7FB3" w:rsidRDefault="00BE7FB3" w:rsidP="00BE7FB3">
      <w:pPr>
        <w:pStyle w:val="TextoNormal"/>
      </w:pPr>
    </w:p>
    <w:p w:rsidR="00BE7FB3" w:rsidRDefault="00BE7FB3" w:rsidP="00BE7FB3">
      <w:pPr>
        <w:pStyle w:val="TextoNormal"/>
      </w:pPr>
      <w:r>
        <w:t>3. En caso de disconformidad con el planeamiento o en ausencia de éste, se elevará el proyecto al Gobierno de Canarias, el cual decidirá si procede o no su ejecución y, en el primer caso, precisará los términos de la ejecución y ordenará la iniciación del procedimiento de modificación o revisión del planeamiento territorial o urbanístico.</w:t>
      </w:r>
    </w:p>
    <w:p w:rsidR="00BE7FB3" w:rsidRDefault="00BE7FB3" w:rsidP="00BE7FB3">
      <w:pPr>
        <w:pStyle w:val="TextoNormal"/>
      </w:pPr>
    </w:p>
    <w:p w:rsidR="00BE7FB3" w:rsidRDefault="00BE7FB3" w:rsidP="00BE7FB3">
      <w:pPr>
        <w:pStyle w:val="TextoNormal"/>
      </w:pPr>
      <w:r>
        <w:t>4. La conformidad de las administraciones públicas consultadas o, en su defecto, el acuerdo favorable del Gobierno de Canarias al que se refiere el apartado anterior, legitimarán por sí mismos la ejecución de los actos de construcción, edificación y uso del suelo incluidos en los correspondientes proyectos de instalaciones de generación, transporte y distribución, sin necesidad de ningún otro instrumento de planificación territorial o urbanística y tendrán el carácter de autorización especial equivalente a la licencia urbanística municipal, a los efectos de lo previsto en el artículo 100.1 del Texto Refundido de la Ley Reguladora de las Haciendas Locales, aprobado por Real Decreto Legislativo 2/2004, de 5 de marzo, con relación al devengo y a la liquidación municipal de oficio o a la autoliquidación del Impuesto sobre Construcciones, Instalaciones y Obras’.”</w:t>
      </w:r>
    </w:p>
    <w:p w:rsidR="00BE7FB3" w:rsidRDefault="00BE7FB3" w:rsidP="00BE7FB3">
      <w:pPr>
        <w:pStyle w:val="TextoNormal"/>
      </w:pPr>
    </w:p>
    <w:p w:rsidR="00BE7FB3" w:rsidRDefault="00BE7FB3" w:rsidP="00BE7FB3">
      <w:pPr>
        <w:pStyle w:val="TextoNormal"/>
      </w:pPr>
      <w:r w:rsidRPr="00BE7FB3">
        <w:rPr>
          <w:rStyle w:val="NumeroAFNegritaCaracter"/>
        </w:rPr>
        <w:t>3</w:t>
      </w:r>
      <w:r>
        <w:t>. El conflicto se formaliza, en primer lugar, por entender sus promotores que los apartados 1, 2 y 3 del precepto transcrito vulneran el principio constitucional de la autonomía local, desconociendo lo dispuesto en los arts. 137, 140 y 142 CE, en cuanto regulan un procedimiento que excepciona a las obras de modernización o de establecimiento de instalaciones de generación, transporte o distribución eléctrica, de la preceptiva solicitud de licencia urbanística ordinaria o cualquier otro acto de control preventivo municipal o insular, atentando igualmente contra el principio de suficiencia financiera de las haciendas locales.</w:t>
      </w:r>
    </w:p>
    <w:p w:rsidR="00BE7FB3" w:rsidRDefault="00BE7FB3" w:rsidP="00BE7FB3">
      <w:pPr>
        <w:pStyle w:val="TextoNormal"/>
      </w:pPr>
    </w:p>
    <w:p w:rsidR="00BE7FB3" w:rsidRDefault="00BE7FB3" w:rsidP="00BE7FB3">
      <w:pPr>
        <w:pStyle w:val="TextoNormal"/>
      </w:pPr>
      <w:r>
        <w:t xml:space="preserve">Tras aludir al cumplimiento de los requisitos exigidos por la Ley Orgánica del Tribunal Constitucional (LOTC) para la formulación de un proceso de esta naturaleza, el escrito de </w:t>
      </w:r>
      <w:r>
        <w:lastRenderedPageBreak/>
        <w:t xml:space="preserve">promoción del conflicto expone que el control de las actuaciones urbanísticas sobre el territorio es una tarea comprendida en el ámbito de intereses del municipio y sobre la que se proyectan, de manera especialmente intensa, las exigencias de la autonomía municipal, concretada en el derecho a participar, a través de órganos propios, en el gobierno y administración de cuantos asuntos le atañen, entre los que se encuentra el urbanismo, conforme al art. 25.2 d) de la Ley 7/1985, de 2 de abril, de bases del régimen local. </w:t>
      </w:r>
    </w:p>
    <w:p w:rsidR="00BE7FB3" w:rsidRDefault="00BE7FB3" w:rsidP="00BE7FB3">
      <w:pPr>
        <w:pStyle w:val="TextoNormal"/>
      </w:pPr>
    </w:p>
    <w:p w:rsidR="00BE7FB3" w:rsidRDefault="00BE7FB3" w:rsidP="00BE7FB3">
      <w:pPr>
        <w:pStyle w:val="TextoNormal"/>
      </w:pPr>
      <w:r>
        <w:t>Los promotores del conflicto reconocen que esa intervención local no ha de producirse siempre a través del otorgamiento de la correspondiente licencia urbanística, pero señalan que el Tribunal Constitucional y el Tribunal Supremo han configurado una serie de requisitos que han de concurrir para que sea admisible la limitación de la autonomía local en la intervención administrativa de las actividades de edificación y uso del suelo. A su juicio, tales requisitos son cuatro. El primero de ellos sería el que la obra exenta de licencia sea promovida por una Administración pública o un ente instrumental de ella (con cita de las SSTC 40/1998, de 19 de febrero y 204/2002, de 3 de octubre; y del ATC 251/2009, de 13 de octubre); de lo cual deducen que, en los casos en los que el sujeto promotor de la obra es privado y la titularidad de la obra es también privada, no está justificada la exención de licencia, criterio adoptado por el propio legislador canario en el Decreto Legislativo 1/2000, de 8 de mayo, por el que se aprueba el texto refundido de las Leyes de ordenación del territorio de Canarias y de espacios naturales de Canarias (arts. 11, 166 y 167); y en el mismo sentido se pronuncia la legislación estatal (art. 8 y disposición adicional décima del Real Decreto Legislativo 2/2008, de 20 de junio, por el que se aprueba el texto refundido de la Ley de suelo). En segundo lugar, con cita del ATC 251/2009, de 13 de octubre y de la STC 51/2004, de 13 de abril, se señala que la obra ha de ir dirigida a la satisfacción de intereses regionales, por tratarse de obras que se proyectan territorialmente en un ámbito supramunicipal y que se dirigen a satisfacer intereses regionales conectados específicamente con el uso de infraestructuras básicas de uso y dominio público. En tercer lugar, como consecuencia de los dos anteriores, la obra ha de ser pública, promovida y de titularidad de la Administración estatal o autonómica, cuya finalidad sea satisfacer intereses supramunicipales vinculados a un modelo territorial superior. Finalmente, como cuarto requisito, ha de garantizarse algún modo de intervención del ente local, intervención que puede consistir en la emisión de un informe sobre la adecuación de las obras previstas.</w:t>
      </w:r>
    </w:p>
    <w:p w:rsidR="00BE7FB3" w:rsidRDefault="00BE7FB3" w:rsidP="00BE7FB3">
      <w:pPr>
        <w:pStyle w:val="TextoNormal"/>
      </w:pPr>
    </w:p>
    <w:p w:rsidR="00BE7FB3" w:rsidRDefault="00BE7FB3" w:rsidP="00BE7FB3">
      <w:pPr>
        <w:pStyle w:val="TextoNormal"/>
      </w:pPr>
      <w:r>
        <w:t xml:space="preserve">Así delimitados los requisitos que, según los promotores del conflicto, serían necesarios para entender que no se menoscaba la autonomía local constitucionalmente garantizada, se analiza a continuación si el precepto impugnado se ajusta a tales criterios. En este sentido, se indica que la norma establece la exención de la solicitud de licencia de toda obra de modernización o establecimiento de instalaciones de generación, transporte o distribución eléctrica con independencia del sujeto que la promueva, sea público o privado. Tampoco concurriría el requisito de que las obras a realizar estén conectadas con intereses supramunicipales, pues únicamente se exige que concurran razones justificadas de urgencia o excepcional interés que aconsejen la modernización o el establecimiento de instalaciones, lo que no permite constatar que, en todo caso, se trate de actuaciones que se proyecten territorialmente en un ámbito supramunicipal y dirigidas a satisfacer intereses supralocales. De esta manera resultaría que el único requisito que puede entenderse cumplido es el relativo a la garantía de la intervención de la entidad local mediante la emisión de un informe. Por ello concluye que en el caso del precepto impugnado no existen razones que justifiquen la lesión de la autonomía local, por cuanto la restricción de la misma no está justificada ni resulta, </w:t>
      </w:r>
      <w:r>
        <w:lastRenderedPageBreak/>
        <w:t>por tanto, proporcional. Así, se afirma que lo pretendido por la norma impugnada es reducir la duración de los procesos reglamentarios de larga tramitación en situaciones de urgencia, duración fijada en tres meses en las normas aplicables, finalidad que puede conseguirse, de modo más respetuoso con la autonomía local, reduciendo el aludido plazo de tres meses, sin necesidad de exonerar a compañías privadas de la obligación de solicitar la correspondiente licencia.</w:t>
      </w:r>
    </w:p>
    <w:p w:rsidR="00BE7FB3" w:rsidRDefault="00BE7FB3" w:rsidP="00BE7FB3">
      <w:pPr>
        <w:pStyle w:val="TextoNormal"/>
      </w:pPr>
    </w:p>
    <w:p w:rsidR="00BE7FB3" w:rsidRDefault="00BE7FB3" w:rsidP="00BE7FB3">
      <w:pPr>
        <w:pStyle w:val="TextoNormal"/>
      </w:pPr>
      <w:r>
        <w:t>El segundo motivo que impulsa el planteamiento del conflicto afecta al apartado 4 del nuevo art. 6 bis de la Ley 11/1997, de 2 de diciembre. Para los promotores del conflicto este precepto lesiona la suficiencia financiera de los entes locales, en la medida en que modifica el hecho imponible del impuesto local sobre construcciones, instalaciones y obras, cuya regulación compete al Estado. En particular, el art. 100.1 del texto refundido de la Ley reguladora de las haciendas locales considera realizado el hecho imponible en aquellos supuestos en los que la licencia municipal resulte exigible; sin embargo, el apartado 4 del mencionado art. 6 bis sujeta también a este impuesto los informes sobre la conformidad o disconformidad con el planeamiento territorial o urbanístico de las obras vinculadas a las instalaciones de generación, transporte o distribución eléctrica a que se refiere el propio precepto. Además, dado que si no hay licencia no resulta posible exigir el tributo, estiman que la exención de licencia llevada a cabo por el legislador autonómico produciría una merma en la hacienda local que determina la vulneración de la suficiencia financiera de los entes locales, merma reconocida por el propio legislador canario cuando trata de compensarla, estableciendo una inconstitucional ampliación del hecho imponible del impuesto sobre construcciones, instalaciones y obras.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presente conflicto en defensa de la autonomía local tiene por objeto el art. 1 de la Ley del Parlamento de Canarias 2/2011, de 26 de enero, por el que se modifica el art. 6 bis de la Ley 11/1997, de 2 de diciembre, de regulación del sector eléctrico canario, en la redacción que había recibido por Ley 8/2005, de 21 de diciembre.</w:t>
      </w:r>
    </w:p>
    <w:p w:rsidR="00BE7FB3" w:rsidRDefault="00BE7FB3" w:rsidP="00BE7FB3">
      <w:pPr>
        <w:pStyle w:val="TextoNormal"/>
      </w:pPr>
    </w:p>
    <w:p w:rsidR="00BE7FB3" w:rsidRDefault="00BE7FB3" w:rsidP="00BE7FB3">
      <w:pPr>
        <w:pStyle w:val="TextoNormal"/>
      </w:pPr>
      <w:r>
        <w:t xml:space="preserve">El escrito de promoción del conflicto sustenta la vulneración del principio constitucional de autonomía local (arts. 137, 140 y 142 CE) en la consideración de que en los apartados 1, 2 y 3 del nuevo art. 6 bis de la Ley 11/1997, de 2 de diciembre, regulan un procedimiento administrativo que excepciona a las obras de modernización o de establecimiento de instalaciones de generación, transporte o distribución eléctrica, de la preceptiva solicitud de licencia urbanística ordinaria o cualquier otro acto de control preventivo municipal o insular, que se sustituye por la emisión de un informe municipal. Ello supondría una limitación de las facultades de intervención administrativa en las actividades de edificación y uso del suelo, sin que se den los requisitos exigidos por la jurisprudencia constitucional para que esa ablación competencial resulte justificada o sea proporcional al sacrificio impuesto a las entidades locales. </w:t>
      </w:r>
    </w:p>
    <w:p w:rsidR="00BE7FB3" w:rsidRDefault="00BE7FB3" w:rsidP="00BE7FB3">
      <w:pPr>
        <w:pStyle w:val="TextoNormal"/>
      </w:pPr>
    </w:p>
    <w:p w:rsidR="00BE7FB3" w:rsidRDefault="00BE7FB3" w:rsidP="00BE7FB3">
      <w:pPr>
        <w:pStyle w:val="TextoNormal"/>
      </w:pPr>
      <w:r>
        <w:t xml:space="preserve">Junto a ello, se reprocha al apartado 4 del mismo art. 6 bis que lesione la autonomía local en su vertiente de suficiencia financiera, en la medida en que para compensar la pérdida de recaudación que sufrirán los municipios, la Comunidad Autónoma de Canarias, pese a carecer de competencia para regular los impuestos locales, modifica el hecho imponible del </w:t>
      </w:r>
      <w:r>
        <w:lastRenderedPageBreak/>
        <w:t>impuesto municipal sobre construcciones, instalaciones y obras, en lugar de acudir a mecanismos de compensación a las entidades locales por la supresión de una fuente de recursos, cuales son las licencias.</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Comenzando por el examen de las condiciones exigidas para el planteamiento del conflicto en defensa de la autonomía local establecidas en el capítulo IV del título IV de la Ley Orgánica del Tribunal Constitucional (LOTC), debemos anticipar que su adecuado cumplimiento sólo alcanza a uno de los dos motivos en los que se sustenta. </w:t>
      </w:r>
    </w:p>
    <w:p w:rsidR="00BE7FB3" w:rsidRDefault="00BE7FB3" w:rsidP="00BE7FB3">
      <w:pPr>
        <w:pStyle w:val="TextoNormal"/>
      </w:pPr>
    </w:p>
    <w:p w:rsidR="00BE7FB3" w:rsidRDefault="00BE7FB3" w:rsidP="00BE7FB3">
      <w:pPr>
        <w:pStyle w:val="TextoNormal"/>
      </w:pPr>
      <w:r>
        <w:t>El precepto objeto del conflicto tiene el rango normativo exigido por el art. 75 bis.1 LOTC. Además, el número de municipios que lo promueven supone más de un séptimo de los existentes en el ámbito territorial de aplicación de la norma impugnada —la Comunidad Autónoma de Canarias— y representan a más de un sexto de la población oficial de dicha Comunidad Autónoma [art. 75 ter.1 b) LOTC]. Los acuerdos plenarios exigidos por el art. 75 ter.2 LOTC han sido válidamente adoptados, excepto el del Ayuntamiento de La Matanza de Acentejo, que no fue tomado por el Pleno de la corporación sino por la Junta de Gobierno Local. Con todo, siendo claro que el ámbito territorial de aplicación de la norma impugnada se extiende a la totalidad de la Comunidad Autónoma de Canarias, en la cual existen, tal como se indica en el escrito promotor del conflicto, ochenta y ocho municipios con una población total de 2.118.519 habitantes, este requisito ha de darse por cumplido ya que, en todo caso, para promover válidamente el conflicto serían necesarios un mínimo de trece municipios que agrupasen al menos a un sexto de la población de Canarias —353.087 habitantes—, cifras ambas que se superan por los municipios que promueven válidamente el conflicto.</w:t>
      </w:r>
    </w:p>
    <w:p w:rsidR="00BE7FB3" w:rsidRDefault="00BE7FB3" w:rsidP="00BE7FB3">
      <w:pPr>
        <w:pStyle w:val="TextoNormal"/>
      </w:pPr>
    </w:p>
    <w:p w:rsidR="00BE7FB3" w:rsidRDefault="00BE7FB3" w:rsidP="00BE7FB3">
      <w:pPr>
        <w:pStyle w:val="TextoNormal"/>
      </w:pPr>
      <w:r>
        <w:t>También se ha aportado el correspondiente dictamen del Consejo Consultivo de Canarias (art. 75 ter.3 LOTC), el cual se solicitó en el plazo establecido en el art. 75 quater.1 LOTC. Y, finalmente, el conflicto ha sido planteado en el plazo previsto en el art. 75 quater.2 LOTC.</w:t>
      </w:r>
    </w:p>
    <w:p w:rsidR="00BE7FB3" w:rsidRDefault="00BE7FB3" w:rsidP="00BE7FB3">
      <w:pPr>
        <w:pStyle w:val="TextoNormal"/>
      </w:pPr>
    </w:p>
    <w:p w:rsidR="00BE7FB3" w:rsidRDefault="00BE7FB3" w:rsidP="00BE7FB3">
      <w:pPr>
        <w:pStyle w:val="TextoNormal"/>
      </w:pPr>
      <w:r w:rsidRPr="00BE7FB3">
        <w:rPr>
          <w:rStyle w:val="NumeroAFNegritaCaracter"/>
        </w:rPr>
        <w:t>3</w:t>
      </w:r>
      <w:r>
        <w:t>. Ahora bien, según ha quedado expuesto, el escrito de planteamiento del conflicto contempla dos diferentes lesiones de la autonomía local: una, es la que se atribuye a los tres primeros apartados del nuevo art. 6 bis, en cuanto exoneran de la necesidad de licencia urbanística municipal determinadas obras; y, otra, que alude a la suficiencia financiera de los entes locales canarios, en la medida en que el apartado 4 del precepto, para compensar la pérdida de recaudación que sufrirán los entes locales afectados, amplía el hecho imponible del impuesto municipal sobre construcciones, instalaciones y obras, cuya regulación corresponde al Estado. Pues bien, esta segunda pretensión no fue objeto de consideración por los acuerdos plenarios adoptados por las corporaciones locales que promueven el conflicto, acuerdos que presentan el siguiente contenido común:</w:t>
      </w:r>
    </w:p>
    <w:p w:rsidR="00BE7FB3" w:rsidRDefault="00BE7FB3" w:rsidP="00BE7FB3">
      <w:pPr>
        <w:pStyle w:val="TextoNormal"/>
      </w:pPr>
    </w:p>
    <w:p w:rsidR="00BE7FB3" w:rsidRDefault="00BE7FB3" w:rsidP="00BE7FB3">
      <w:pPr>
        <w:pStyle w:val="TextoNormal"/>
      </w:pPr>
      <w:r>
        <w:t>“Habiéndose publicado el pasado 4 de febrero de 2011 en el ‘Boletín Oficial de Canarias’ la Ley 2/2011, de 26 de enero, por la que se modifican la Ley 11/1997, de 2 de diciembre, de regulación del Sector Eléctrico Canario y la Ley 19/2003, de 14 de abril, por la que se aprueban las Directrices de Ordenación General y las Directrices de Ordenación del Turismo de Canarias.</w:t>
      </w:r>
    </w:p>
    <w:p w:rsidR="00BE7FB3" w:rsidRDefault="00BE7FB3" w:rsidP="00BE7FB3">
      <w:pPr>
        <w:pStyle w:val="TextoNormal"/>
      </w:pPr>
    </w:p>
    <w:p w:rsidR="00BE7FB3" w:rsidRDefault="00BE7FB3" w:rsidP="00BE7FB3">
      <w:pPr>
        <w:pStyle w:val="TextoNormal"/>
      </w:pPr>
      <w:r>
        <w:lastRenderedPageBreak/>
        <w:t>Entendiendo que dicha Ley regula un procedimiento excepcional en el que la Consejería competente en materia de energía podrá declarar el interés general de las obras necesarias para la ejecución de instalaciones de generación, transporte o distribución eléctrica con un régimen especial de autorización que no estarán sujetos a licencia urbanística ordinaria o a cualquier otro acto de control preventivo municipal o insular.</w:t>
      </w:r>
    </w:p>
    <w:p w:rsidR="00BE7FB3" w:rsidRDefault="00BE7FB3" w:rsidP="00BE7FB3">
      <w:pPr>
        <w:pStyle w:val="TextoNormal"/>
      </w:pPr>
      <w:r>
        <w:t xml:space="preserve"> </w:t>
      </w:r>
    </w:p>
    <w:p w:rsidR="00BE7FB3" w:rsidRDefault="00BE7FB3" w:rsidP="00BE7FB3">
      <w:pPr>
        <w:pStyle w:val="TextoNormal"/>
      </w:pPr>
      <w:r>
        <w:t>Considerando que se hace necesario defender con contundencia la autonomía y las competencias del municipalismo canario, conculcadas gravemente, por obviar los planeamientos en vigor y las licencias preceptivas para los proyectos de construcción, modificación y ampliación de las instalaciones de generación y transporte de energía. Suponiendo ello una vulneración total del principio constitucional de autonomía local.”</w:t>
      </w:r>
    </w:p>
    <w:p w:rsidR="00BE7FB3" w:rsidRDefault="00BE7FB3" w:rsidP="00BE7FB3">
      <w:pPr>
        <w:pStyle w:val="TextoNormal"/>
      </w:pPr>
    </w:p>
    <w:p w:rsidR="00BE7FB3" w:rsidRDefault="00BE7FB3" w:rsidP="00BE7FB3">
      <w:pPr>
        <w:pStyle w:val="TextoNormal"/>
      </w:pPr>
      <w:r>
        <w:t xml:space="preserve">Como es obvio, los acuerdos adoptados en cumplimiento del art. 75 ter.2 LOTC expresan la voluntad de las corporaciones locales de promover el conflicto en defensa de la autonomía local, exigiéndose para su validez el voto favorable de la mayoría absoluta de los miembros que integran el Pleno de la correspondiente corporación. Ya en el ATC 419/2003, de 16 de diciembre (FJ 3), rechazamos la validez de aquellos acuerdos que se limiten a manifestar el rechazo a la ley o al proyecto de ley de que se trate; de modo que ha de resultar inequívoca la voluntad de promover el conflicto, sustentado en la vulneración de la autonomía local constitucionalmente garantizada. </w:t>
      </w:r>
    </w:p>
    <w:p w:rsidR="00BE7FB3" w:rsidRDefault="00BE7FB3" w:rsidP="00BE7FB3">
      <w:pPr>
        <w:pStyle w:val="TextoNormal"/>
      </w:pPr>
    </w:p>
    <w:p w:rsidR="00BE7FB3" w:rsidRDefault="00BE7FB3" w:rsidP="00BE7FB3">
      <w:pPr>
        <w:pStyle w:val="TextoNormal"/>
      </w:pPr>
      <w:r>
        <w:t>En el presente caso, los acuerdos plenarios adoptados consignan un único motivo de inconstitucionalidad, el cual afecta a los tres primeros apartados del nuevo art. 6 bis de la Ley: la exoneración a las obras de modernización o de establecimiento de instalaciones de generación, transporte o distribución eléctrica, de la preceptiva licencia urbanística municipal, que se sustituye por la emisión de un informe municipal. Sin embargo en el escrito de formulación del conflicto se incorpora un segundo motivo de inconstitucionalidad —la afectación de la suficiencia financiera de los entes locales por modificarse el hecho imponible del impuesto local sobre construcciones, instalaciones y obras— que se proyecta sobre el apartado 4 del indicado art. 6 bis, pretensión sobre la que, por tanto, no pudo pronunciarse el dictamen emitido por el Consejo Consultivo de Canarias en cumplimiento del art. 75 ter.3 LOTC.</w:t>
      </w:r>
    </w:p>
    <w:p w:rsidR="00BE7FB3" w:rsidRDefault="00BE7FB3" w:rsidP="00BE7FB3">
      <w:pPr>
        <w:pStyle w:val="TextoNormal"/>
      </w:pPr>
    </w:p>
    <w:p w:rsidR="00BE7FB3" w:rsidRDefault="00BE7FB3" w:rsidP="00BE7FB3">
      <w:pPr>
        <w:pStyle w:val="TextoNormal"/>
      </w:pPr>
      <w:r>
        <w:t>Consiguientemente, debemos excluir de nuestro examen la eventual vulneración de la autonomía local constitucionalmente garantizada que en el escrito promotor se vincula al apartado 4 del art. 6 bis de la Ley 11/1997, de 2 de diciembre, del sector eléctrico canario.</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Una vez delimitado el objeto de nuestro enjuiciamiento, procede recordar que, conforme al art. 75 quinquies.1 LOTC, este Tribunal también podrá acordar, mediante Auto motivado, la inadmisión del conflicto en defensa de la autonomía local cuando, entre otros motivos, estime notoriamente infundada la controversia suscitada. De esta facultad hicimos ya uso en el ATC 251/2009, de 13 de octubre, en el que declaramos que la doctrina elaborada acerca del concepto de cuestión de inconstitucionalidad “notoriamente infundada” contemplado en el art. 37.1 LOTC es trasladable al supuesto previsto en el art. 75 quinquies.1 LOTC. Por ello, del mismo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w:t>
      </w:r>
      <w:r>
        <w:lastRenderedPageBreak/>
        <w:t>resolver la cuestión en la primera fase procesal” (por todos, ATC 123/2009, de 28 de abril, FJ 1), también es posible que desde la ponderación inicial de los términos en que se suscita el conflicto en defensa de la autonomía local, quepa ya apreciar que éste no puede prosperar, en cuyo caso podrá este Tribunal decidir su inadmisión a trámite sin esperar a su desestimación en la correspondiente Sentencia.</w:t>
      </w:r>
    </w:p>
    <w:p w:rsidR="00BE7FB3" w:rsidRDefault="00BE7FB3" w:rsidP="00BE7FB3">
      <w:pPr>
        <w:pStyle w:val="TextoNormal"/>
      </w:pPr>
    </w:p>
    <w:p w:rsidR="00BE7FB3" w:rsidRDefault="00BE7FB3" w:rsidP="00BE7FB3">
      <w:pPr>
        <w:pStyle w:val="TextoNormal"/>
      </w:pPr>
      <w:r w:rsidRPr="00BE7FB3">
        <w:rPr>
          <w:rStyle w:val="NumeroAFNegritaCaracter"/>
        </w:rPr>
        <w:t>5</w:t>
      </w:r>
      <w:r>
        <w:t>. Como se ha expuesto, los promotores del conflicto reputan inconstitucional la sustitución de la preceptiva licencia municipal por la emisión de un informe, en los procedimientos de autorización de obras declaradas de interés general para la modernización o el establecimiento de instalaciones de generación, transporte o distribución eléctrica.</w:t>
      </w:r>
    </w:p>
    <w:p w:rsidR="00BE7FB3" w:rsidRDefault="00BE7FB3" w:rsidP="00BE7FB3">
      <w:pPr>
        <w:pStyle w:val="TextoNormal"/>
      </w:pPr>
    </w:p>
    <w:p w:rsidR="00BE7FB3" w:rsidRDefault="00BE7FB3" w:rsidP="00BE7FB3">
      <w:pPr>
        <w:pStyle w:val="TextoNormal"/>
      </w:pPr>
      <w:r>
        <w:t xml:space="preserve">Ciertamente, como recuerda la STC 240/2006, de 20 de julio (FJ 10), la autonomía local se proyecta sobre intereses locales y competencias municipales, siendo indiscutiblemente el urbanismo un asunto de interés de los municipios sobre el cual, por tanto, se extienden sus competencias (STC 40/1998, de 19 de febrero, FJ 39) tal y como se desprende del art. 25.2 d) y f) de la Ley reguladora de las bases del régimen local (LBRL), si bien la extensión o amplitud que hayan de tener dichas competencias locales depende de la ley estatal o autonómica, pues “sólo la Ley determina las competencias municipales en las materias enunciadas en este artículo” (art. 25.3 y su explícita remisión al art. 2, ambos LBRL). Por su parte, la Comunidad Autónoma de Canarias ostenta competencia exclusiva en materia de instalaciones de producción, distribución y transporte de energía, de acuerdo con las bases del régimen minero y energético (art. 30.26) y competencia de desarrollo legislativo y ejecución del régimen energético y minero ajustado a sus singulares condiciones, en especial, la seguridad en la minería del agua (art. 32.9). Por tanto, así establecida la competencia autonómica en la materia, lo que debe determinarse es si la regulación impugnada incurre en la vulneración del principio de autonomía local denunciada por los promotores del conflicto, que la residencian esencialmente en destacar que, frente a los supuestos resueltos ya por la doctrina constitucional (con cita de las SSTC 40/1998, de 19 de febrero, y 204/2002, de 3 de octubre, y del ATC 251/2009, de 13 de octubre) en este caso no se trata de obras promovidas por una Administración pública o entidad dependiente de ella sino de obras que tienen por objeto el establecimiento de instalaciones de generación, transporte y distribución de energía eléctrica que van a ser realizadas por personas privadas, dado que el art. 2.1 de la Ley estatal 54/1997, de 27 de noviembre, del sector eléctrico, reconoce la libre iniciativa empresarial para el ejercicio de las actividades destinadas al suministro de energía eléctrica. </w:t>
      </w:r>
    </w:p>
    <w:p w:rsidR="00BE7FB3" w:rsidRDefault="00BE7FB3" w:rsidP="00BE7FB3">
      <w:pPr>
        <w:pStyle w:val="TextoNormal"/>
      </w:pPr>
    </w:p>
    <w:p w:rsidR="00BE7FB3" w:rsidRDefault="00BE7FB3" w:rsidP="00BE7FB3">
      <w:pPr>
        <w:pStyle w:val="TextoNormal"/>
      </w:pPr>
      <w:r>
        <w:t xml:space="preserve">Conviene precisar que, en principio, la sustitución de la preceptiva licencia municipal por la emisión de un informe sobre la conformidad o disconformidad de tales proyectos con el planeamiento territorial o urbanístico en vigor no implica necesariamente que esa sustitución sea disconforme con la doctrina constitucional. En efecto, como recuerda el ATC 251/2009, de 13 de octubre, FJ 3, el principio general del sometimiento a licencia de todas las obras que se realicen en el término municipal, incluso cuando se llevan a cabo por los órganos de otra Administración pública, admite modulaciones tal como resulta de la doctrina de las SSTC 40/1998, de 19 de febrero, FJ 39; y 204/2002, de 3 de octubre, FJ 13, apreciando en consecuencia que “la posibilidad de que las competencias sectoriales de otras Administraciones públicas y, por tanto, de las Comunidades Autónomas, incidan sobre la competencia urbanística municipal determinando la exclusión de la licencia que, en otro caso, sería preceptiva, exige que se garantice algún modo de intervención del ente local, intervención que puede consistir en la emisión de un informe sobre la adecuación de las </w:t>
      </w:r>
      <w:r>
        <w:lastRenderedPageBreak/>
        <w:t xml:space="preserve">obras previstas a los planes de ordenación urbanística” (ATC 251/2009, de 13 de octubre, FJ 5). </w:t>
      </w:r>
    </w:p>
    <w:p w:rsidR="00BE7FB3" w:rsidRDefault="00BE7FB3" w:rsidP="00BE7FB3">
      <w:pPr>
        <w:pStyle w:val="TextoNormal"/>
      </w:pPr>
    </w:p>
    <w:p w:rsidR="00BE7FB3" w:rsidRDefault="00BE7FB3" w:rsidP="00BE7FB3">
      <w:pPr>
        <w:pStyle w:val="TextoNormal"/>
      </w:pPr>
      <w:r>
        <w:t xml:space="preserve">Ahora bien, en el fundamento jurídico 6 de ese mismo Auto se consideraba que dicha exclusión de licencia se justificaba por tratarse de obras declaradas legalmente como de interés general de la Comunidad Autónoma que tenían por objeto actuaciones definidas por relación a los instrumentos autonómicos de ordenación del territorio y caracterizadas, por tanto, por su proyección territorial en un ámbito supramunicipal y por estar dirigidas a satisfacer intereses regionales conectados específicamente con el uso de infraestructuras básicas de uso y dominio público. La cuestión, por tanto, se centra en determinar si el supuesto que ahora regula el precepto autonómico cuestionado es equiparable a los anteriormente citados, lo que conduciría a descartar la denunciada vulneración del principio constitucional de autonomía local. </w:t>
      </w:r>
    </w:p>
    <w:p w:rsidR="00BE7FB3" w:rsidRDefault="00BE7FB3" w:rsidP="00BE7FB3">
      <w:pPr>
        <w:pStyle w:val="TextoNormal"/>
      </w:pPr>
    </w:p>
    <w:p w:rsidR="00BE7FB3" w:rsidRDefault="00BE7FB3" w:rsidP="00BE7FB3">
      <w:pPr>
        <w:pStyle w:val="TextoNormal"/>
      </w:pPr>
      <w:r>
        <w:t xml:space="preserve">Pues bien, el hecho de que no estemos aquí ante actuaciones directamente realizadas por una Administración pública no tiene, atendiendo a la regulación específica del sector eléctrico, el carácter determinante que los promotores del conflicto le atribuyen. Así, conforme al art. 2.2 de la Ley estatal 54/1997, de 27 de noviembre, del sector eléctrico, las actividades destinadas al suministro de energía eléctrica tendrán la consideración de servicio esencial, lo que, entre otros extremos se traduce en que, conforme a su art. 5.2, cuando razones justificadas de urgencia o excepcional interés para el suministro de energía eléctrica aconsejen el establecimiento de instalaciones de distribución, se estará a lo dispuesto en el art. 244 del texto refundido de la Ley sobre el régimen del suelo y ordenación urbana, aprobado por el Real Decreto Legislativo 1/1992, de 26 de junio, o al texto autonómico que corresponda. Una regulación similar para el caso de las instalaciones de transporte se encuentra en la Ley 13/2003, de 23 de mayo, reguladora del contrato de concesión de obras públicas (disposición adicional duodécima en relación con las adicionales segunda y tercera de la misma norma). </w:t>
      </w:r>
    </w:p>
    <w:p w:rsidR="00BE7FB3" w:rsidRDefault="00BE7FB3" w:rsidP="00BE7FB3">
      <w:pPr>
        <w:pStyle w:val="TextoNormal"/>
      </w:pPr>
    </w:p>
    <w:p w:rsidR="00BE7FB3" w:rsidRDefault="00BE7FB3" w:rsidP="00BE7FB3">
      <w:pPr>
        <w:pStyle w:val="TextoNormal"/>
      </w:pPr>
      <w:r>
        <w:t xml:space="preserve">Por su parte, conforme a la legislación autonómica (Ley del Parlamento de Canarias 11/1997, de 2 de diciembre) las actividades de generación, transporte y distribución de energía se desarrollan en régimen de “libre iniciativa empresarial”, aunque condicionada (arts. 3 y 4.1) y sin perjuicio de que a fin de garantizar el suministro se imponga a las empresas que concurra a los procesos de adjudicación de autorización de nuevas instalaciones de generación, transmisión o distribución “obligaciones de servicio público en áreas determinadas del archipiélago” (art. 4.3). Asimismo, la “disponibilidad de suelo adecuado física y urbanísticamente” es una exigencia que deberá cumplir todo interesado en una autorización administrativa de cualquiera de las instalaciones de generación de energía eléctrica [art. 9.4.d)]; los Planes insulares de ordenación deberán recoger previsiones necesarias sobre reserva de suelo para las instalaciones de generación de determinada potencia y los criterios aplicables a las redes de transporte de energía eléctrica y localización de trazados posibles de interconexión entre las instalaciones de generación y las de transformación o distribución (art. 7.1). En conexión con ello, la autorización de las redes de transporte no perjudicará el cumplimiento de “las normas urbanísticas y medioambientales en la Comunidad Autónoma” (art. 12.1 de la Ley 54/1997, de 27 de noviembre, del sector eléctrico); al igual que ocurre con las instalaciones de distribución (art. 15.1 de la misma Ley). </w:t>
      </w:r>
    </w:p>
    <w:p w:rsidR="00BE7FB3" w:rsidRDefault="00BE7FB3" w:rsidP="00BE7FB3">
      <w:pPr>
        <w:pStyle w:val="TextoNormal"/>
      </w:pPr>
    </w:p>
    <w:p w:rsidR="00BE7FB3" w:rsidRDefault="00BE7FB3" w:rsidP="00BE7FB3">
      <w:pPr>
        <w:pStyle w:val="TextoNormal"/>
      </w:pPr>
      <w:r>
        <w:lastRenderedPageBreak/>
        <w:t xml:space="preserve">Del régimen que se ha expuesto se desprende que no resulta desconocido, tanto por las normas estatales como autonómicas, la necesidad de articular procedimientos para asegurar la continuidad del suministro eléctrico y solucionar las eventuales discrepancias que, eventualmente, pudieran surgir entre esa perseguida garantía de la continuidad, seguridad y calidad del servicio, con el planeamiento territorial o urbanístico. En ese sentido ha de considerarse que el precepto cumple con los criterios de la doctrina constitucional en torno a esta cuestión, ya que garantiza una intervención municipal por la vía de informe y, en la línea de las disposiciones estatales que se han citado, prevé un mecanismo para resolver las eventuales discrepancias que pudieran surgir. De hecho, tal era el tenor del inicial art. 6 bis de la Ley 11/1997, de 2 de diciembre, el cual introducido por el artículo único de la Ley 8/2005, de 21 de diciembre, presenta, en la cuestión examinada, únicamente diferencias de detalle respecto a la redacción que ahora se cuestiona. </w:t>
      </w:r>
    </w:p>
    <w:p w:rsidR="00BE7FB3" w:rsidRDefault="00BE7FB3" w:rsidP="00BE7FB3">
      <w:pPr>
        <w:pStyle w:val="TextoNormal"/>
      </w:pPr>
    </w:p>
    <w:p w:rsidR="00BE7FB3" w:rsidRDefault="00BE7FB3" w:rsidP="00BE7FB3">
      <w:pPr>
        <w:pStyle w:val="TextoNormal"/>
      </w:pPr>
      <w:r>
        <w:t xml:space="preserve">Igualmente, de la regulación autonómica que se ha expuesto se deriva sin dificultad que, en principio, las necesidades ordinarias de mejora de las prestaciones del sector eléctrico se satisfacen a través de la técnica de planificación eléctrica, de manera que la introducción del procedimiento excepcional que se cuestiona sólo sería posible cuando, conforme a lo previsto por la normativa autonómica del sector eléctrico, la necesidad de garantizar el suministro no se pueda satisfacer con la aplicación de los citados instrumentos de planificación, lo que evita el riesgo de una excesiva discrecionalidad en este aspecto, extremo que, en todo caso, y al igual que acontecía en el supuesto examinado en el ATC 251/2009, de 13 de octubre, deberá valorarse en cada caso concreto, de haber lugar a ello, por la jurisdicción ordinaria.  </w:t>
      </w:r>
    </w:p>
    <w:p w:rsidR="00BE7FB3" w:rsidRDefault="00BE7FB3" w:rsidP="00BE7FB3">
      <w:pPr>
        <w:pStyle w:val="TextoNormal"/>
      </w:pPr>
    </w:p>
    <w:p w:rsidR="00BE7FB3" w:rsidRDefault="00BE7FB3" w:rsidP="00BE7FB3">
      <w:pPr>
        <w:pStyle w:val="TextoNormal"/>
      </w:pPr>
      <w:r>
        <w:t>Consecuentemente, atendidas las razones aducidas en el escrito de planteamiento del conflicto, ha de concluirse que el art. 6 bis de la Ley 11/1997, de 2 de diciembre, de regulación del sector eléctrico Canario, en la nueva redacción dada por el art. 1  de la Ley del Parlamento de Canarias 2/2011, de 26 de enero, no vulnera el principio constitucional de autonomía local, por lo que el presente conflicto resulta notoriamente infundado, en los términos del art. 75 quinquies.1 LOTC.</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Inadmitir el presente conflicto en defensa de la autonomía local.</w:t>
      </w:r>
    </w:p>
    <w:p w:rsidR="00BE7FB3" w:rsidRDefault="00BE7FB3" w:rsidP="00BE7FB3">
      <w:pPr>
        <w:pStyle w:val="TextoNormal"/>
      </w:pPr>
    </w:p>
    <w:p w:rsidR="00BE7FB3" w:rsidRDefault="00BE7FB3" w:rsidP="00BE7FB3">
      <w:pPr>
        <w:pStyle w:val="TextoNormal"/>
      </w:pPr>
      <w:r>
        <w:t>Madrid, a quince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51" w:name="AUTO_2013_10"/>
      <w:r>
        <w:lastRenderedPageBreak/>
        <w:t>AUTO 10/2013, de 15 de enero de 2013</w:t>
      </w:r>
    </w:p>
    <w:bookmarkEnd w:id="151"/>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ECLI:ES:TC:2013:10A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Levanta la suspensión en el recurso de inconstitucionalidad 5491-2012, interpuesto por el Presidente del Gobierno en relación con el artículo 114 de la Ley 9/2011, de 29 de diciembre, de promoción de la actividad económica de Cataluña</w:t>
      </w:r>
    </w:p>
    <w:p w:rsidR="00BE7FB3" w:rsidRDefault="00BE7FB3" w:rsidP="00BE7FB3">
      <w:pPr>
        <w:pStyle w:val="SntesisDescriptiva"/>
      </w:pPr>
    </w:p>
    <w:p w:rsidR="00BE7FB3" w:rsidRDefault="00BE7FB3" w:rsidP="00BE7FB3">
      <w:pPr>
        <w:pStyle w:val="SntesisAnaltica"/>
      </w:pPr>
      <w:r>
        <w:t>Levantamiento de la suspensión de disposiciones de las Comunidades Autónomas.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el día 1 de octubre de 2012, el Abogado del Estado, en nombre del Presidente del Gobierno, presentó escrito de interposición de recurso de inconstitucionalidad contra el art. 114 de la Ley 9/2011, de 29 de diciembre, de promoción de la actividad económica de Cataluña, por el que se modifican los apartados 3 y 4 del art. 9 del Decreto-ley 1/2009, de 22 de diciembre, de ordenación de equipamientos comerciales de Cataluña. El Abogado del Estado invocó el art. 161.2 CE, a fin de que se acordara la suspensión del artículo recurrido.</w:t>
      </w:r>
    </w:p>
    <w:p w:rsidR="00BE7FB3" w:rsidRDefault="00BE7FB3" w:rsidP="00BE7FB3">
      <w:pPr>
        <w:pStyle w:val="TextoNormal"/>
      </w:pPr>
    </w:p>
    <w:p w:rsidR="00BE7FB3" w:rsidRDefault="00BE7FB3" w:rsidP="00BE7FB3">
      <w:pPr>
        <w:pStyle w:val="TextoNormal"/>
      </w:pPr>
      <w:r w:rsidRPr="00BE7FB3">
        <w:rPr>
          <w:rStyle w:val="NumeroAFNegritaCaracter"/>
        </w:rPr>
        <w:t>2</w:t>
      </w:r>
      <w:r>
        <w:t>. Mediante providencia de 16 de octubre de 2012, el Pleno, a propuesta de la Sección Primera, admitió a trámite el referido recurso de inconstitucionalidad y acordó dar traslado de la demanda y documentos presentados, de acuerdo con el art. 34 de la Ley Orgánica del Tribunal Constitucional (LOTC), al Congreso de los Diputados y al Senado, así como al Parlamento y al Gobierno de Cataluña, al objeto de que puedan personarse en el proceso y formular alegaciones. Asimismo, acordó tener por invocado por el Presidente del Gobierno el art. 161.2 CE, lo que produce la suspensión de la vigencia y aplicación del precepto impugnado, y publicar la incoación del recurso y la suspensión efectuada en el “Boletín Oficial del Estado” y en el diario oficial de la Comunidad Autónoma.</w:t>
      </w:r>
    </w:p>
    <w:p w:rsidR="00BE7FB3" w:rsidRDefault="00BE7FB3" w:rsidP="00BE7FB3">
      <w:pPr>
        <w:pStyle w:val="TextoNormal"/>
      </w:pPr>
    </w:p>
    <w:p w:rsidR="00BE7FB3" w:rsidRDefault="00BE7FB3" w:rsidP="00BE7FB3">
      <w:pPr>
        <w:pStyle w:val="TextoNormal"/>
      </w:pPr>
      <w:r w:rsidRPr="00BE7FB3">
        <w:rPr>
          <w:rStyle w:val="NumeroAFNegritaCaracter"/>
        </w:rPr>
        <w:t>3</w:t>
      </w:r>
      <w:r>
        <w:t>. Mediante escrito registrado el día 24 de octubre de 2012, el Presidente del Congreso de los Diputados solicita al Tribunal que se tenga por personada a la Cámara en el recurso de inconstitucionalidad y ofrece su colaboración.</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4</w:t>
      </w:r>
      <w:r>
        <w:t>. El Presidente del Senado, en escrito registrado el día 31 de octubre de 2012, solicita al Tribunal que se tenga por personada a la Cámara en el recurso de inconstitucionalidad y ofrece su colaboración.</w:t>
      </w:r>
    </w:p>
    <w:p w:rsidR="00BE7FB3" w:rsidRDefault="00BE7FB3" w:rsidP="00BE7FB3">
      <w:pPr>
        <w:pStyle w:val="TextoNormal"/>
      </w:pPr>
    </w:p>
    <w:p w:rsidR="00BE7FB3" w:rsidRDefault="00BE7FB3" w:rsidP="00BE7FB3">
      <w:pPr>
        <w:pStyle w:val="TextoNormal"/>
      </w:pPr>
      <w:r w:rsidRPr="00BE7FB3">
        <w:rPr>
          <w:rStyle w:val="NumeroAFNegritaCaracter"/>
        </w:rPr>
        <w:t>5</w:t>
      </w:r>
      <w:r>
        <w:t>. En escrito registrado el día 6 de noviembre de 2012, la Letrada del Parlamento de Cataluña, en la representación que ostenta, solicita del Tribunal que se le tenga por personada en el procedimiento y se le conceda una prórroga del plazo para presentar sus alegaciones.</w:t>
      </w:r>
    </w:p>
    <w:p w:rsidR="00BE7FB3" w:rsidRDefault="00BE7FB3" w:rsidP="00BE7FB3">
      <w:pPr>
        <w:pStyle w:val="TextoNormal"/>
      </w:pPr>
    </w:p>
    <w:p w:rsidR="00BE7FB3" w:rsidRDefault="00BE7FB3" w:rsidP="00BE7FB3">
      <w:pPr>
        <w:pStyle w:val="TextoNormal"/>
      </w:pPr>
      <w:r w:rsidRPr="00BE7FB3">
        <w:rPr>
          <w:rStyle w:val="NumeroAFNegritaCaracter"/>
        </w:rPr>
        <w:t>6</w:t>
      </w:r>
      <w:r>
        <w:t>. El Pleno, por providencia de 6 de noviembre de 2012, acuerda tener por personado a la Letrada del Parlamento de Cataluña en representación de dicha Cámara y le concede la prórroga solicitada por término de ocho días.</w:t>
      </w:r>
    </w:p>
    <w:p w:rsidR="00BE7FB3" w:rsidRDefault="00BE7FB3" w:rsidP="00BE7FB3">
      <w:pPr>
        <w:pStyle w:val="TextoNormal"/>
      </w:pPr>
    </w:p>
    <w:p w:rsidR="00BE7FB3" w:rsidRDefault="00BE7FB3" w:rsidP="00BE7FB3">
      <w:pPr>
        <w:pStyle w:val="TextoNormal"/>
      </w:pPr>
      <w:r w:rsidRPr="00BE7FB3">
        <w:rPr>
          <w:rStyle w:val="NumeroAFNegritaCaracter"/>
        </w:rPr>
        <w:t>7</w:t>
      </w:r>
      <w:r>
        <w:t>. Mediante escrito registrado el día 14 de noviembre de 2012, la Abogada de la Generalitat de Cataluña comparece y formula alegaciones, instando del Tribunal que en su día dicte Sentencia rechazando el recurso de inconstitucionalidad y declarando la constitucionalidad de la ley impugnada, solicitando también, mediante otrosí, que, estando suspendida la aplicación de la ley recurrida, se proceda a acordar el levantamiento inmediato de la suspensión de la ley impugnada, sin esperar al transcurso del plazo de cinco meses desde que dicha suspensión fue acordada, formulando, a tal fin, las alegaciones siguientes de modo extractado:</w:t>
      </w:r>
    </w:p>
    <w:p w:rsidR="00BE7FB3" w:rsidRDefault="00BE7FB3" w:rsidP="00BE7FB3">
      <w:pPr>
        <w:pStyle w:val="TextoNormal"/>
      </w:pPr>
    </w:p>
    <w:p w:rsidR="00BE7FB3" w:rsidRDefault="00BE7FB3" w:rsidP="00BE7FB3">
      <w:pPr>
        <w:pStyle w:val="TextoNormal"/>
      </w:pPr>
      <w:r>
        <w:t>a) El levantamiento anticipado de la suspensión, sin esperar al transcurso de los cinco meses previstos en el art. 161.2 CE, es una posibilidad admitida por el Tribunal Constitucional, pues los cinco meses a los que hace referencia el citado precepto constitucional son, precisamente, el límite máximo inicialmente previsto para la suspensión, incluyéndose entre las potestades de este Tribunal la de ratificar o levantar la suspensión dentro de ese plazo (AATC 154/1994, de 3 de mayo, 75/2010, de 30 de junio y 95/2011, de 21 de junio).</w:t>
      </w:r>
    </w:p>
    <w:p w:rsidR="00BE7FB3" w:rsidRDefault="00BE7FB3" w:rsidP="00BE7FB3">
      <w:pPr>
        <w:pStyle w:val="TextoNormal"/>
      </w:pPr>
    </w:p>
    <w:p w:rsidR="00BE7FB3" w:rsidRDefault="00BE7FB3" w:rsidP="00BE7FB3">
      <w:pPr>
        <w:pStyle w:val="TextoNormal"/>
      </w:pPr>
      <w:r>
        <w:t>b) La decisión sobre el mantenimiento o el levantamiento de la suspensión del art. 114 de la Ley 9/2011, de 29 de diciembre, debe adoptarse: a) partiendo de la presunción de constitucionalidad del precepto impugnado, que deriva del principio democrático y que determina que la suspensión de su vigencia constituya una medida excepcional (entre otros, ATC 88/2008, de 2 de abril); b) al margen de la viabilidad de las pretensiones formuladas en la demanda (entre otros, ATC 114/2011, de 19 de julio); c) en base a la ponderación de los intereses públicos y privados en presencia así como de los daños, reales y presentes, de difícil o imposible reparación que se derivaría del mantenimiento de su vigencia y aplicación a lo largo del proceso constitucional (ATC 69/2012, de 17 de abril), según resulte del estricto examen de las condiciones de hecho creadas (ATC 42/2011, de 12 de abril), correspondiendo al Abogado del Estado la carga de probar su existencia (ATC 85/2012, de 8 de mayo).</w:t>
      </w:r>
    </w:p>
    <w:p w:rsidR="00BE7FB3" w:rsidRDefault="00BE7FB3" w:rsidP="00BE7FB3">
      <w:pPr>
        <w:pStyle w:val="TextoNormal"/>
      </w:pPr>
    </w:p>
    <w:p w:rsidR="00BE7FB3" w:rsidRDefault="00BE7FB3" w:rsidP="00BE7FB3">
      <w:pPr>
        <w:pStyle w:val="TextoNormal"/>
      </w:pPr>
      <w:r>
        <w:t xml:space="preserve">c) El mantenimiento de la suspensión de la vigencia del art. 114 de la Ley 9/2011 de modificación de los apartados 3 y 4 del art. 9 del Decreto-ley 1/2009, de 22 de diciembre, causaría daños reales y efectivos a los intereses públicos urbanísticos y medioambientales y a los derechos de los consumidores, pues afecta profundamente al régimen general de </w:t>
      </w:r>
      <w:r>
        <w:lastRenderedPageBreak/>
        <w:t xml:space="preserve">ordenación territorial de los equipamientos comerciales, ya que, a pesar de que dicho precepto se ha limitado a introducir dos modificaciones puntuales relativas a la localización de los establecimientos comerciales tipo medianos establecimientos comerciales, grandes establecimientos comerciales y grandes establecimientos comerciales territoriales, el hecho de que el mencionado art. 114 de la Ley 9/2011, en aras a su mejor comprensión y en pro de la seguridad jurídica, haya optado por reproducir el contenido íntegro de los referidos apartados 3 y 4 del art. 9 del Decreto-ley 1/2009,, según resulta de tales modificaciones lleva consigo que la suspensión automática del art. 114 de la Ley 9/2011, determinaría que la localización de los establecimientos comerciales tipo medianos establecimientos comerciales, grandes establecimientos comerciales y grandes establecimientos comerciales territoriales quedaría huérfana de regulación, sin que para colmar dicho vacío normativo, arguye la Abogada de la Generalitat, sea viable acudir a la regulación anterior, ya derogada y no revivida por obra de la suspensión, ni tampoco sea posible aplicar una inexistente regulación estatal supletoria. </w:t>
      </w:r>
    </w:p>
    <w:p w:rsidR="00BE7FB3" w:rsidRDefault="00BE7FB3" w:rsidP="00BE7FB3">
      <w:pPr>
        <w:pStyle w:val="TextoNormal"/>
      </w:pPr>
    </w:p>
    <w:p w:rsidR="00BE7FB3" w:rsidRDefault="00BE7FB3" w:rsidP="00BE7FB3">
      <w:pPr>
        <w:pStyle w:val="TextoNormal"/>
      </w:pPr>
      <w:r>
        <w:t>Por todo ello, según la Abogada de la Generalitat, el mantenimiento de la suspensión del precepto impugnado supondría que, mientras los establecimientos tipo PEC (pequeños establecimientos comerciales) y ECS (establecimientos comerciales singulares) seguirían rigiéndose por lo dispuesto en los apartados 2 y 5, respectivamente, del art. 9 del Decreto-ley 1/2009, la ubicación física de los medianos establecimientos comerciales, grandes establecimientos comerciales y grandes establecimientos comerciales territoriales quedaría completamente desregulada y, por tanto, tales establecimientos podría emplazarse en cualquier lugar del territorio de Cataluña en que el planeamiento urbanístico no haya prohibido el uso comercial. Esta situación, además de consagrar un régimen de localización dispar según se trate de establecimientos comerciales de un tipo o de otro, produce perjuicios de otros dos órdenes: a) de un lado “comporta graves perjuicios para los intereses urbanísticos, medioambientales y para los derechos de los consumidores que constituyen las razones imperiosas de interés general aducidas por el DLOEC [Decreto-ley 1/2009] para fijar los requisitos de localización de los establecimientos comerciales tipos MEC [medianos establecimientos comerciales] GEC [grandes establecimientos comerciales] y GECT [grandes establecimientos y centros comerciales] en las TUC [tramas urbanas consolidadas] de los municipios de un determinado tamaño poblacional, ya que la ausencia de pautas de localización propiciará su implantación diseminada sobre el territorio e inevitablemente desordenada”; b) de otro, “crea una situación de inseguridad jurídica que afecta tanto a los propios operadores y agentes comerciales, como a las autoridades municipales, ya que … se permitirá la construcción y apertura de unos establecimientos comerciales que, en el supuesto de que la Sentencia que finalice este proceso confirme la constitucionalidad del artículo 114 de la LPAE [Ley 9/2011], carecerán de cobertura legal, lo que determinará la procedencia de su clausura y derribo, con los perjuicios patrimoniales que tales medidas de reposición de la legalidad supondrán para las finanzas municipales y para los propios agentes comerciales”.</w:t>
      </w:r>
    </w:p>
    <w:p w:rsidR="00BE7FB3" w:rsidRDefault="00BE7FB3" w:rsidP="00BE7FB3">
      <w:pPr>
        <w:pStyle w:val="TextoNormal"/>
      </w:pPr>
    </w:p>
    <w:p w:rsidR="00BE7FB3" w:rsidRDefault="00BE7FB3" w:rsidP="00BE7FB3">
      <w:pPr>
        <w:pStyle w:val="TextoNormal"/>
      </w:pPr>
      <w:r>
        <w:t>d) El levantamiento de la suspensión, por el contrario, no ocasionaría daños irreversibles o de difícil reparación a los intereses generales o a los de terceros.</w:t>
      </w:r>
    </w:p>
    <w:p w:rsidR="00BE7FB3" w:rsidRDefault="00BE7FB3" w:rsidP="00BE7FB3">
      <w:pPr>
        <w:pStyle w:val="TextoNormal"/>
      </w:pPr>
    </w:p>
    <w:p w:rsidR="00BE7FB3" w:rsidRDefault="00BE7FB3" w:rsidP="00BE7FB3">
      <w:pPr>
        <w:pStyle w:val="TextoNormal"/>
      </w:pPr>
      <w:r>
        <w:t xml:space="preserve">Comienza diciendo que, dado que la carga de alegar y probar dichos daños recae en el Abogado del Estado, si éste no los acreditase en el correspondiente trámite de audiencia, “‘habrá de desaparecer la suspensión excepcional creada por el automatismo’ (ATC 75/2010, de 30 de julio, FJ 7) del art. 161.2 CE”. </w:t>
      </w:r>
    </w:p>
    <w:p w:rsidR="00BE7FB3" w:rsidRDefault="00BE7FB3" w:rsidP="00BE7FB3">
      <w:pPr>
        <w:pStyle w:val="TextoNormal"/>
      </w:pPr>
    </w:p>
    <w:p w:rsidR="00BE7FB3" w:rsidRDefault="00BE7FB3" w:rsidP="00BE7FB3">
      <w:pPr>
        <w:pStyle w:val="TextoNormal"/>
      </w:pPr>
      <w:r>
        <w:t>A continuación, la Abogada de la Generalidad dice que el levantamiento de la suspensión resulta pertinente no solo por la falta de acreditación de los daños reales y efectivos sino porque, lisa y llanamente, tales daños son inexistentes. Para justificarlo parte de describir el contenido normativo del precepto impugnado. Afirma que la necesidad de implantar los medianos establecimientos comerciales, grandes establecimientos comerciales y grandes establecimientos comerciales territoriales en la trama urbana consolidada de los municipios de una determinada población fue establecida en la versión inicial de los apartados 3 y 4 del art. 9 del Decreto-ley 1/2009, de 22 de diciembre, si bien con dos excepciones: a) la relativa a las zonas colindantes a la trama urbana consolidada; b) la relativa a las zonas de acceso restringido a los grandes sistemas de comunicaciones. Por su parte, el art. 114 de la Ley 9/2011, de 29 de diciembre, suprime la primera excepción respecto de los medianos establecimientos comerciales y grandes establecimientos comerciales y elimina las dos respecto de los grandes establecimientos comerciales territoriales. Así las cosas, el levantamiento de la suspensión “no tendría mayor efecto que el de restituir la vigencia de la regla general que ha regido pacíficamente desde el 29 de diciembre de 2009 y el de otorgar eficacia a las modificaciones menores introducidas por el art. 114 LPAE”. Y más adelante precisa que la supresión de dichas excepciones no causa daños al interés general, pues contribuye a una mayor preservación de los intereses públicos urbanísticos y medioambientales en presencia, ni tampoco a los terceros, pues la disposición transitoria sexta deja a salvo de tal supresión las solicitudes de licencia formuladas con anterioridad a la entrada en vigor de la Ley 9/2011, de 29 de diciembre, de modo que la supresión solo tiene eficacia “pro futuro” y, en consecuencia, solo afecta a meras expectativas.</w:t>
      </w:r>
    </w:p>
    <w:p w:rsidR="00BE7FB3" w:rsidRDefault="00BE7FB3" w:rsidP="00BE7FB3">
      <w:pPr>
        <w:pStyle w:val="TextoNormal"/>
      </w:pPr>
    </w:p>
    <w:p w:rsidR="00BE7FB3" w:rsidRDefault="00BE7FB3" w:rsidP="00BE7FB3">
      <w:pPr>
        <w:pStyle w:val="TextoNormal"/>
      </w:pPr>
      <w:r>
        <w:t>e) La Abogada de la Generalitat recuerda que en el ATC 42/2011, de 12 de abril, FJ 3, al analizar un supuesto análogo al presente, en que se planteaba la discrepancia entre la normativa estatal básica de transposición de la Directiva 2006/123/CE (esto es, las Leyes 17/2009 y 25/2009) y una norma autonómica que así mismo incorporaba esa directiva al derecho interno, el Tribunal Constitucional precisó que “tampoco puede ser acogido el perjuicio relativo a la apertura de un eventual procedimiento de infracción al Reino de España por vulneración del principio de libre circulación de servicios pues el mismo no presenta, en este momento, el grado de certeza necesario para su consideración como tal, al no ser más que una hipótesis que no se ha materializado, sin perjuicio de señalar que, caso de abrirse dicho procedimiento, el eventual perjuicio podría ser evitado atendiendo, en su caso, a las indicaciones de la Comisión Europea respecto a los preceptos en cuestión a fin de evitar una, también en este momento eventual, impugnación ante el Tribunal de Luxemburgo, todo ello sin perjuicio, llegado el caso, de la aplicación de lo previsto en la disposición final cuarta de la ya mencionada Ley 17/2009 la cual prevé que las Administraciones públicas que, en el ejercicio de sus competencias, incumplieran lo dispuesto en la misma o en el Derecho comunitario, dando lugar a que el Reino de España sea sancionado por las instituciones europeas asumirán, en la parte que les sea imputable, las responsabilidades que de tal incumplimiento se hubieran derivado”.</w:t>
      </w:r>
    </w:p>
    <w:p w:rsidR="00BE7FB3" w:rsidRDefault="00BE7FB3" w:rsidP="00BE7FB3">
      <w:pPr>
        <w:pStyle w:val="TextoNormal"/>
      </w:pPr>
    </w:p>
    <w:p w:rsidR="00BE7FB3" w:rsidRDefault="00BE7FB3" w:rsidP="00BE7FB3">
      <w:pPr>
        <w:pStyle w:val="TextoNormal"/>
      </w:pPr>
      <w:r>
        <w:t xml:space="preserve">f) La Abogada de la Generalitat solicita para terminar que, en caso de que el Tribunal no haga suyas las alegaciones anteriores y opte por mantener la suspensión de la vigencia y aplicación del precepto impugnado, no prorrogue la suspensión de todo él sino solo de aquella parte de él que implica una modificación respecto de la versión original de los apartados </w:t>
      </w:r>
      <w:r>
        <w:lastRenderedPageBreak/>
        <w:t>3 y 4 del art. 9 del Decreto-ley 1/2009, de 22 de diciembre, de ordenación de equipamientos comerciales de Cataluña.</w:t>
      </w:r>
    </w:p>
    <w:p w:rsidR="00BE7FB3" w:rsidRDefault="00BE7FB3" w:rsidP="00BE7FB3">
      <w:pPr>
        <w:pStyle w:val="TextoNormal"/>
      </w:pPr>
    </w:p>
    <w:p w:rsidR="00BE7FB3" w:rsidRDefault="00BE7FB3" w:rsidP="00BE7FB3">
      <w:pPr>
        <w:pStyle w:val="TextoNormal"/>
      </w:pPr>
      <w:r w:rsidRPr="00BE7FB3">
        <w:rPr>
          <w:rStyle w:val="NumeroAFNegritaCaracter"/>
        </w:rPr>
        <w:t>8</w:t>
      </w:r>
      <w:r>
        <w:t xml:space="preserve">. El día 23 de noviembre de 2012 se registra en el Tribunal el escrito de alegaciones presentado por la Letrada del Parlamento de Cataluña en representación de dicha Cámara, en el que solicita, además de la desestimación del recurso de inconstitucionalidad, que se proceda a acordar el levantamiento inmediato de la suspensión de la ley impugnada, sin esperar al transcurso del plazo de cinco meses desde que dicha suspensión fue acordada, exponiendo, a tal fin, los motivos siguientes. </w:t>
      </w:r>
    </w:p>
    <w:p w:rsidR="00BE7FB3" w:rsidRDefault="00BE7FB3" w:rsidP="00BE7FB3">
      <w:pPr>
        <w:pStyle w:val="TextoNormal"/>
      </w:pPr>
    </w:p>
    <w:p w:rsidR="00BE7FB3" w:rsidRDefault="00BE7FB3" w:rsidP="00BE7FB3">
      <w:pPr>
        <w:pStyle w:val="TextoNormal"/>
      </w:pPr>
      <w:r>
        <w:t xml:space="preserve">En primer lugar, y en similares términos a como lo hizo la Abogada de la Generalitat, reseña la doctrina constitucional sobre la posibilidad de levantar de inmediato la suspensión automática </w:t>
      </w:r>
      <w:r w:rsidRPr="00BE7FB3">
        <w:rPr>
          <w:i/>
        </w:rPr>
        <w:t>ex</w:t>
      </w:r>
      <w:r>
        <w:t xml:space="preserve"> art. 161.2 CE y sobre cuáles son los criterios que han de guiar la decisión sobre mantener o levantar dicha suspensión automática.</w:t>
      </w:r>
    </w:p>
    <w:p w:rsidR="00BE7FB3" w:rsidRDefault="00BE7FB3" w:rsidP="00BE7FB3">
      <w:pPr>
        <w:pStyle w:val="TextoNormal"/>
      </w:pPr>
    </w:p>
    <w:p w:rsidR="00BE7FB3" w:rsidRDefault="00BE7FB3" w:rsidP="00BE7FB3">
      <w:pPr>
        <w:pStyle w:val="TextoNormal"/>
      </w:pPr>
      <w:r>
        <w:t>En segundo lugar, luego de precisar el alcance normativo del precepto impugnado, pondera los intereses en presencia, concluyendo que únicamente se producen daños reales y perjuicios de imposible o difícil reparación si se mantiene la suspensión del mismo. En efecto, según la Letrada del Parlamento de Cataluña, mantener la suspensión del precepto impugnado daría lugar a un vacío normativo en materia de emplazamiento de establecimientos comerciales de gran formato que conllevaría perjuicios de difícil o imposible reparación porque dichos establecimientos podrían implantarse de un modo indiscriminado en todo el territorio de Cataluña, con los correspondientes efectos negativos que, de forma irreversible, afectarían a la ordenación urbanística, al medio ambiente y a la protección del patrimonio histórico y artístico. Por el contrario, el levantamiento de la suspensión no produce, a su juicio, ningún perjuicio, pues “en caso de acordar en un futuro la inconstitucionalidad del precepto impugnado, no se van a ver afectados ningún derecho público o general, a saber la preservación de los intereses estrechamente vinculados con las razones imperiosas de interés general, ni ningún interés particular o privado, toda vez que … la declaración de inconstitucionalidad lo único que va a producir será una ampliación  pro futuro de sus expectativas de negocio”.</w:t>
      </w:r>
    </w:p>
    <w:p w:rsidR="00BE7FB3" w:rsidRDefault="00BE7FB3" w:rsidP="00BE7FB3">
      <w:pPr>
        <w:pStyle w:val="TextoNormal"/>
      </w:pPr>
    </w:p>
    <w:p w:rsidR="00BE7FB3" w:rsidRDefault="00BE7FB3" w:rsidP="00BE7FB3">
      <w:pPr>
        <w:pStyle w:val="TextoNormal"/>
      </w:pPr>
      <w:r w:rsidRPr="00BE7FB3">
        <w:rPr>
          <w:rStyle w:val="NumeroAFNegritaCaracter"/>
        </w:rPr>
        <w:t>9</w:t>
      </w:r>
      <w:r>
        <w:t>. Por providencia de 26 de noviembre de 2012, el Pleno acuerda dar traslado al Abogado del Estado de los escritos de alegaciones recibidos del Parlamento y del Gobierno de Cataluña en los que se interesa el levantamiento de la suspensión del precepto objeto del presente recurso, concediéndole un plazo de cinco días para que exponga lo que estime procedente al respecto.</w:t>
      </w:r>
    </w:p>
    <w:p w:rsidR="00BE7FB3" w:rsidRDefault="00BE7FB3" w:rsidP="00BE7FB3">
      <w:pPr>
        <w:pStyle w:val="TextoNormal"/>
      </w:pPr>
    </w:p>
    <w:p w:rsidR="00BE7FB3" w:rsidRDefault="00BE7FB3" w:rsidP="00BE7FB3">
      <w:pPr>
        <w:pStyle w:val="TextoNormal"/>
      </w:pPr>
      <w:r w:rsidRPr="00BE7FB3">
        <w:rPr>
          <w:rStyle w:val="NumeroAFNegritaCaracter"/>
        </w:rPr>
        <w:t>10</w:t>
      </w:r>
      <w:r>
        <w:t xml:space="preserve">. El Abogado del Estado presenta, con fecha 11 de diciembre de 2012, sus alegaciones acerca del mantenimiento o levantamiento de la suspensión del artículo recurrido de la Ley 9/2011. </w:t>
      </w:r>
    </w:p>
    <w:p w:rsidR="00BE7FB3" w:rsidRDefault="00BE7FB3" w:rsidP="00BE7FB3">
      <w:pPr>
        <w:pStyle w:val="TextoNormal"/>
      </w:pPr>
    </w:p>
    <w:p w:rsidR="00BE7FB3" w:rsidRDefault="00BE7FB3" w:rsidP="00BE7FB3">
      <w:pPr>
        <w:pStyle w:val="TextoNormal"/>
      </w:pPr>
      <w:r>
        <w:t>a) Comienza recordando, en términos análogos a cómo lo habían hecho los escritos de alegaciones anteriores, la doctrina constitucional acerca de este tipo de incidentes.</w:t>
      </w:r>
    </w:p>
    <w:p w:rsidR="00BE7FB3" w:rsidRDefault="00BE7FB3" w:rsidP="00BE7FB3">
      <w:pPr>
        <w:pStyle w:val="TextoNormal"/>
      </w:pPr>
    </w:p>
    <w:p w:rsidR="00BE7FB3" w:rsidRDefault="00BE7FB3" w:rsidP="00BE7FB3">
      <w:pPr>
        <w:pStyle w:val="TextoNormal"/>
      </w:pPr>
      <w:r>
        <w:t xml:space="preserve">b) A continuación, precisa que el presente recurso de inconstitucionalidad se dirige contra el art. 114 de la Ley 9/2011, de 29 de diciembre, de modificación de los apartados 3 y 4 </w:t>
      </w:r>
      <w:r>
        <w:lastRenderedPageBreak/>
        <w:t xml:space="preserve">del art. 9 del Decreto-ley 1/2009, de 22 de diciembre, que quedan redactados del siguiente modo: </w:t>
      </w:r>
    </w:p>
    <w:p w:rsidR="00BE7FB3" w:rsidRDefault="00BE7FB3" w:rsidP="00BE7FB3">
      <w:pPr>
        <w:pStyle w:val="TextoNormal"/>
      </w:pPr>
    </w:p>
    <w:p w:rsidR="00BE7FB3" w:rsidRDefault="00BE7FB3" w:rsidP="00BE7FB3">
      <w:pPr>
        <w:pStyle w:val="TextoNormal"/>
      </w:pPr>
      <w:r>
        <w:t>“3. Los medianos establecimientos comerciales y los grandes establecimientos comerciales sólo pueden implantarse en la trama urbana consolidada de los municipios de más de 5.000 habitantes o asimilables a éstos o que sean capital de comarca, Se entiende por municipio asimilable a uno de más de 5.000 habitantes el que dispone de una población equivalente a tiempo completo anual (ETCA) superior a esta cantidad, según los últimos datos oficiales del Instituto de Estadística de Cataluña (Idescat).</w:t>
      </w:r>
    </w:p>
    <w:p w:rsidR="00BE7FB3" w:rsidRDefault="00BE7FB3" w:rsidP="00BE7FB3">
      <w:pPr>
        <w:pStyle w:val="TextoNormal"/>
      </w:pPr>
    </w:p>
    <w:p w:rsidR="00BE7FB3" w:rsidRDefault="00BE7FB3" w:rsidP="00BE7FB3">
      <w:pPr>
        <w:pStyle w:val="TextoNormal"/>
      </w:pPr>
      <w:r>
        <w:t>Excepcionalmente, los medianos establecimientos comerciales y los grandes establecimientos comerciales pueden implantarse también fuera de la trama urbana consolidada si la implantación se produce dentro de las zonas de acceso restringido de las estaciones de líneas transfronterizas y transregionales del sistema ferroviario que acogen el tren de alta velocidad o líneas de largo recorrido, de los puertos clasificados de interés general y de los aeropuertos con categoría de aeropuertos comerciales según el plan de aeropuertos, aeródromos y helipuertos de Cataluña 2009-2015.</w:t>
      </w:r>
    </w:p>
    <w:p w:rsidR="00BE7FB3" w:rsidRDefault="00BE7FB3" w:rsidP="00BE7FB3">
      <w:pPr>
        <w:pStyle w:val="TextoNormal"/>
      </w:pPr>
    </w:p>
    <w:p w:rsidR="00BE7FB3" w:rsidRDefault="00BE7FB3" w:rsidP="00BE7FB3">
      <w:pPr>
        <w:pStyle w:val="TextoNormal"/>
      </w:pPr>
      <w:r>
        <w:t>4. Los grandes establecimientos comerciales territoriales pueden implantarse únicamente en la trama urbana consolidada de los municipios de más de 50.000 habitantes o los asimilables a éstos o que sean capital de comarca. Se entiende por municipio asimilable a uno de más de 50.000 habitantes el que dispone de una población equivalente a tiempo completo anual (ETCA) superior a esta cantidad, según los últimos datos oficiales del Instituto de Estadística de Cataluña (Idescat).”</w:t>
      </w:r>
    </w:p>
    <w:p w:rsidR="00BE7FB3" w:rsidRDefault="00BE7FB3" w:rsidP="00BE7FB3">
      <w:pPr>
        <w:pStyle w:val="TextoNormal"/>
      </w:pPr>
    </w:p>
    <w:p w:rsidR="00BE7FB3" w:rsidRDefault="00BE7FB3" w:rsidP="00BE7FB3">
      <w:pPr>
        <w:pStyle w:val="TextoNormal"/>
      </w:pPr>
      <w:r>
        <w:t xml:space="preserve">El Abogado del Estado señala que a este precepto se le reprocha una inconstitucionalidad mediata en cuanto se produce por indirecta vulneración de la competencia estatal atribuida en el art. 149.1.13 CE y ejercitada a través de la Ley 7/1996, de 15 de enero, de ordenación del comercio minorista, modificada por la Ley 1/2010, de 1 de marzo, y de la Ley 17/2009, de 23 noviembre, de libre acceso a las actividades de servicios y su ejercicio. </w:t>
      </w:r>
    </w:p>
    <w:p w:rsidR="00BE7FB3" w:rsidRDefault="00BE7FB3" w:rsidP="00BE7FB3">
      <w:pPr>
        <w:pStyle w:val="TextoNormal"/>
      </w:pPr>
    </w:p>
    <w:p w:rsidR="00BE7FB3" w:rsidRDefault="00BE7FB3" w:rsidP="00BE7FB3">
      <w:pPr>
        <w:pStyle w:val="TextoNormal"/>
      </w:pPr>
      <w:r>
        <w:t>En efecto, dicha normativa estatal prevé, como criterio básico de ordenación de un sector económico, la libertad de establecimiento en el mercado de la distribución comercial minorista, si bien aceptando excepciones fundadas en razones imperiosas de interés general. Frente a ello la norma autonómica impugnada somete la implantación de ciertos tipos de establecimiento comerciales a restricciones, relativas a la población o a la ubicación dentro de la trama urbana consolidada, que no están justificadas en razones imperiosas de interés general.</w:t>
      </w:r>
    </w:p>
    <w:p w:rsidR="00BE7FB3" w:rsidRDefault="00BE7FB3" w:rsidP="00BE7FB3">
      <w:pPr>
        <w:pStyle w:val="TextoNormal"/>
      </w:pPr>
    </w:p>
    <w:p w:rsidR="00BE7FB3" w:rsidRDefault="00BE7FB3" w:rsidP="00BE7FB3">
      <w:pPr>
        <w:pStyle w:val="TextoNormal"/>
      </w:pPr>
      <w:r>
        <w:t>c) Así descrito el alcance normativo del precepto impugnado, levantar la suspensión automática de su vigencia y aplicación perjudicaría a los comerciantes, pues verían seriamente limitadas las posibilidades de poner en funcionamiento establecimientos comerciales de determinado tamaño, con lo que se resentiría la economía en el ámbito autonómico y en el nacional, dificultando la necesaria reactivación económica. También dañaría a los particulares, pues la limitación de la libre competencia merma el acceso a establecimientos comerciales de cierto formato, que son los que practican los precios más bajos del mercado.</w:t>
      </w:r>
    </w:p>
    <w:p w:rsidR="00BE7FB3" w:rsidRDefault="00BE7FB3" w:rsidP="00BE7FB3">
      <w:pPr>
        <w:pStyle w:val="TextoNormal"/>
      </w:pPr>
    </w:p>
    <w:p w:rsidR="00BE7FB3" w:rsidRDefault="00BE7FB3" w:rsidP="00BE7FB3">
      <w:pPr>
        <w:pStyle w:val="TextoNormal"/>
      </w:pPr>
      <w:r>
        <w:lastRenderedPageBreak/>
        <w:t>Además, en el caso de levantarse la suspensión, la Unión Europea volverá a iniciar un expediente sancionador al Reino de España por incumplimiento de la normativa comunitaria, pues ya fue condenada en la STJUE de 24 de marzo de 2011, asunto C-400-2008, porque el art. 4.1 de la Ley 18/2005, de 27 de diciembre, de equipamientos comerciales de Cataluña, imponía que los grandes establecimientos comerciales, individuales o colectivos, solo podían implantarse en las tramas urbanas consolidadas de los municipios que fueran capital de provincia o cuya población fuera superior a los 25.000 habitantes o asimilables por motivo de flujos turísticos, de acuerdo con las determinaciones del plan territorial sectorial de equipamientos comerciales. Este precepto, según la citada STJUE de 24 de marzo de 2011, producía un efecto discriminatorio al favorecer el establecimiento de centros comerciales de menor tamaño, sin que ello pudiera justificarse por razones de orden público, seguridad o salud públicas (artículo 46 del Tratado constitutivo de la Comunidad Europea) ni por razones de protección de los consumidores.</w:t>
      </w:r>
    </w:p>
    <w:p w:rsidR="00BE7FB3" w:rsidRDefault="00BE7FB3" w:rsidP="00BE7FB3">
      <w:pPr>
        <w:pStyle w:val="TextoNormal"/>
      </w:pPr>
    </w:p>
    <w:p w:rsidR="00BE7FB3" w:rsidRDefault="00BE7FB3" w:rsidP="00BE7FB3">
      <w:pPr>
        <w:pStyle w:val="TextoNormal"/>
      </w:pPr>
      <w:r>
        <w:t>El Decreto-ley 1/2009 vino a derogar la Ley 18/2005, suprimiendo la limitación territorial de implantación de establecimientos comerciales que contenía (art. 4.1 Ley 18/2005) y permitiendo excepcionalmente en su art. 9 (3 y 4) la implantación fuera de la trama urbana consolidada de un establecimiento individual cuando se cumplieran determinadas condiciones. Sin embargo, la nueva redacción que el art. 114 de la Ley 9/2011, de 29 de diciembre, confiere a los apartados 3 y 4 del art. 9 Decreto-ley 1/2009 viene a restablecer, aunque con diferente baremo poblacional, la limitación prevista en la Ley 18/2005 y supeditar al cumplimiento de requisitos espaciales —trama urbana consolidada- y poblacionales -de municipios de más de 5.000 o 50.000 habitantes, respectivamente-, la implantación de los medianos y grandes establecimientos comerciales y de los grandes establecimientos comerciales territoriales.</w:t>
      </w:r>
    </w:p>
    <w:p w:rsidR="00BE7FB3" w:rsidRDefault="00BE7FB3" w:rsidP="00BE7FB3">
      <w:pPr>
        <w:pStyle w:val="TextoNormal"/>
      </w:pPr>
    </w:p>
    <w:p w:rsidR="00BE7FB3" w:rsidRDefault="00BE7FB3" w:rsidP="00BE7FB3">
      <w:pPr>
        <w:pStyle w:val="TextoNormal"/>
      </w:pPr>
      <w:r>
        <w:t>d) El mantenimiento de la suspensión, por el contrario, no conlleva ningún perjuicio, pues, lejos de conducir al vacío normativo que alegan la Abogada de la Generalidad y la Letrada del Parlamento de Cataluña, supondría la directa aplicación de los criterios establecidos como básicos en la normativa estatal.</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objeto de esta resolución es determinar, de acuerdo con el art. 161.2 CE, si procede mantener o levantar la suspensión de la vigencia que afecta al art. 114 de la Ley 9/2011, de 29 de diciembre, de promoción de la actividad económica de Cataluña, por el que se modifican los apartados 3 y 4 del art. 9 del Decreto-ley 1/2009, de 22 de diciembre, de ordenación de equipamientos comerciales de Cataluña. Dicho precepto dispone que los establecimientos comerciales tipo medianos establecimientos comerciales, grandes establecimientos comerciales y grandes establecimientos comerciales territoriales únicamente podrán instalarse dentro de la trama urbana consolidada de los municipios que alcancen un cierto umbral de población, exceptuándose respecto de los medianos establecimientos comerciales y grandes establecimientos comerciales su posible ubicación dentro de las zonas de acceso restringido a los grandes sistemas de comunicación.</w:t>
      </w:r>
    </w:p>
    <w:p w:rsidR="00BE7FB3" w:rsidRDefault="00BE7FB3" w:rsidP="00BE7FB3">
      <w:pPr>
        <w:pStyle w:val="TextoNormal"/>
      </w:pPr>
    </w:p>
    <w:p w:rsidR="00BE7FB3" w:rsidRDefault="00BE7FB3" w:rsidP="00BE7FB3">
      <w:pPr>
        <w:pStyle w:val="TextoNormal"/>
      </w:pPr>
      <w:r>
        <w:lastRenderedPageBreak/>
        <w:t>Antes de resolver acerca del alcance y contenido de esta pieza cautelar, procede subrayar que sobre este tipo de incidentes de suspensión existe una consolidada doctrina constitucional,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161/2012, de 13 de septiembre, FJ 2).</w:t>
      </w:r>
    </w:p>
    <w:p w:rsidR="00BE7FB3" w:rsidRDefault="00BE7FB3" w:rsidP="00BE7FB3">
      <w:pPr>
        <w:pStyle w:val="TextoNormal"/>
      </w:pPr>
    </w:p>
    <w:p w:rsidR="00BE7FB3" w:rsidRDefault="00BE7FB3" w:rsidP="00BE7FB3">
      <w:pPr>
        <w:pStyle w:val="TextoNormal"/>
      </w:pPr>
      <w:r w:rsidRPr="00BE7FB3">
        <w:rPr>
          <w:rStyle w:val="NumeroAFNegritaCaracter"/>
        </w:rPr>
        <w:t>2</w:t>
      </w:r>
      <w:r>
        <w:t>. En el caso examinado, según el Abogado del Estado los perjuicios concretos que se derivarían del levantamiento de la suspensión del precepto recurrido serían, en esencia, los producidos por una restricción de la libre competencia en el mercado de la distribución comercial minorista, que afectaría, de un lado a los comerciantes, pues las limitaciones a su libertad de establecimiento redundarían negativa e irreparablemente en los resultados económicos de sus negocios y en su cuota de mercado; y, de otro, a los particulares, a quienes la limitación de la competencia privaría de aquellos formatos comerciales que practican los precios más bajos del mercado; y, en fin, como corolario de todo ello, a la economía en general, dificultando el efecto que esta liberalización pudiera tener en la reactivación económica.</w:t>
      </w:r>
    </w:p>
    <w:p w:rsidR="00BE7FB3" w:rsidRDefault="00BE7FB3" w:rsidP="00BE7FB3">
      <w:pPr>
        <w:pStyle w:val="TextoNormal"/>
      </w:pPr>
    </w:p>
    <w:p w:rsidR="00BE7FB3" w:rsidRDefault="00BE7FB3" w:rsidP="00BE7FB3">
      <w:pPr>
        <w:pStyle w:val="TextoNormal"/>
      </w:pPr>
      <w:r>
        <w:t>Este Tribunal se pronunció en el ATC 20/2002, de 12 de febrero, acerca de un asunto análogo. Allí se planteaba si procedía levantar o mantener la suspensión de la vigencia y aplicación del art. 14.1 de la Ley 11/2001, de 15 de junio, de ordenación de la actividad comercial en las Illes Balears, que establecía una correlación entre la superficie de los establecimientos comerciales y el número de habitantes de los municipios del archipiélago balear, prohibiendo la instalación o ampliación de dichos establecimientos cuando superasen la superficie correspondiente a la población de que se trate. El Abogado del Estado presentó como perjuicios graves que ocasionaría el levantamiento de la suspensión que “los comerciantes no podrán abrir grandes establecimientos que, en concreto, no podrán ser superiores a 1.300 m2, lo que les discrimina con relación al resto de España”, que “los consumidores también experimentarán los correspondientes perjuicios, puesto que los precios ofertados en los grandes establecimientos resultan ventajosos” y, en fin, apuntó que “la propia competencia se menoscaba, perjudicando a la economía general”.</w:t>
      </w:r>
    </w:p>
    <w:p w:rsidR="00BE7FB3" w:rsidRDefault="00BE7FB3" w:rsidP="00BE7FB3">
      <w:pPr>
        <w:pStyle w:val="TextoNormal"/>
      </w:pPr>
    </w:p>
    <w:p w:rsidR="00BE7FB3" w:rsidRDefault="00BE7FB3" w:rsidP="00BE7FB3">
      <w:pPr>
        <w:pStyle w:val="TextoNormal"/>
      </w:pPr>
      <w:r>
        <w:t>Este Tribunal rechazó en esa ocasión que los indicados detrimentos para los comerciantes, para los particulares y para la economía en general pudieran considerarse perjuicios de difícil o imposible reparación, acordando en consecuencia el levantamiento de la suspensión.</w:t>
      </w:r>
    </w:p>
    <w:p w:rsidR="00BE7FB3" w:rsidRDefault="00BE7FB3" w:rsidP="00BE7FB3">
      <w:pPr>
        <w:pStyle w:val="TextoNormal"/>
      </w:pPr>
    </w:p>
    <w:p w:rsidR="00BE7FB3" w:rsidRDefault="00BE7FB3" w:rsidP="00BE7FB3">
      <w:pPr>
        <w:pStyle w:val="TextoNormal"/>
      </w:pPr>
      <w:r>
        <w:t xml:space="preserve">Además, en el asunto resuelto en el citado ATC 20/2002, de 12 de febrero, sostuvimos que “las consecuencias del mantenimiento de la suspensión han de estimarse más negativas que las del levantamiento de la misma, por sus efectos irreversibles en las infraestructuras </w:t>
      </w:r>
      <w:r>
        <w:lastRenderedPageBreak/>
        <w:t>complementarias, en el caso de que el examen de fondo nos condujera a una declaración de constitucionalidad del precepto”.</w:t>
      </w:r>
    </w:p>
    <w:p w:rsidR="00BE7FB3" w:rsidRDefault="00BE7FB3" w:rsidP="00BE7FB3">
      <w:pPr>
        <w:pStyle w:val="TextoNormal"/>
      </w:pPr>
    </w:p>
    <w:p w:rsidR="00BE7FB3" w:rsidRDefault="00BE7FB3" w:rsidP="00BE7FB3">
      <w:pPr>
        <w:pStyle w:val="TextoNormal"/>
      </w:pPr>
      <w:r>
        <w:t>Pues bien, en este caso, para valorar los efectos que se seguirían de un eventual mantenimiento de la suspensión, hay que partir de que, contrariamente a lo alegado por la Abogada de la Generalitat y por la Letrada del Parlamento de Cataluña, dicho mantenimiento no supondría un vacío normativo en materia de implantación de establecimientos comerciales de un cierto formato (medianos establecimientos comerciales, grandes establecimientos comerciales y grandes establecimientos comerciales territoriales), pues en todo caso serían de aplicación los preceptos estatales que constituyen la normativa básica en la materia (arts. 10 y 11 de la Ley 17/2009 y art. 6 de la Ley 7/1996, de 15 de enero, de ordenación del comercio minorista, en la redacción dada por la Ley 1/2010). No obstante, a pesar de que procede descartar la referida alegación de vacío normativo, es cierto que el mantenimiento de la suspensión haría posible que ciertos tipos de establecimientos comerciales, concretamente los medianos establecimientos comerciales, grandes establecimientos comerciales y grandes establecimientos comerciales territoriales, se ubicasen en lugares que la legislación autonómica suspendida, de estar vigente, no permitiría. Esto, como declaramos en el citado ATC 20/2002, produciría efectos irreversibles tanto sobre los propios establecimientos, en la medida que al momento de instalarse tendrían la necesaria cobertura normativa, lo que justificaría su pervivencia aun cuando el precepto autonómico impugnado fuese finalmente declarado constitucional, como sobre las infraestructuras complementarias que dichos establecimientos comerciales llevasen aparejadas.</w:t>
      </w:r>
    </w:p>
    <w:p w:rsidR="00BE7FB3" w:rsidRDefault="00BE7FB3" w:rsidP="00BE7FB3">
      <w:pPr>
        <w:pStyle w:val="TextoNormal"/>
      </w:pPr>
    </w:p>
    <w:p w:rsidR="00BE7FB3" w:rsidRDefault="00BE7FB3" w:rsidP="00BE7FB3">
      <w:pPr>
        <w:pStyle w:val="TextoNormal"/>
      </w:pPr>
      <w:r w:rsidRPr="00BE7FB3">
        <w:rPr>
          <w:rStyle w:val="NumeroAFNegritaCaracter"/>
        </w:rPr>
        <w:t>3</w:t>
      </w:r>
      <w:r>
        <w:t>. Por otra parte, el perjuicio grave que, según el Abogado del Estado, se seguiría del levantamiento de la suspensión del precepto recurrido, que es la incoación por la Comisión Europea de un procedimiento de infracción del Derecho comunitario europeo contra España, posibilidad cierta a su juicio dado que la norma autonómica impugnada tiene un contenido normativo similar al del art. 4.1 de la Ley del Parlamento de Cataluña 18/2005 que motivó la condena al Reino de España por la STJUE de 24 de marzo de 2011, asunto C-400-2008, tampoco puede justificar el mantenimiento de la suspensión del precepto impugnado dado que, como dijimos en el ATC 42/2011, de 12 de abril, FJ 3, “tampoco puede ser acogido el perjuicio relativo a la apertura de un eventual procedimiento de infracción al Reino de España por vulneración del principio de libre circulación de servicios pues el mismo no presenta, en este momento, el grado de certeza necesario para su consideración como tal, al no ser más que una hipótesis que no se ha materializado, sin perjuicio de señalar que, caso de abrirse dicho procedimiento, el eventual perjuicio podría ser evitado atendiendo, en su caso, a las indicaciones de la Comisión Europea respecto a los preceptos en cuestión a fin de evitar una, también en este momento eventual, impugnación ante el Tribunal de Luxemburgo, todo ello sin perjuicio, llegado el caso, de la aplicación de lo previsto en la disposición final cuarta de la ya mencionada Ley 17/2009 la cual prevé que las Administraciones públicas que, en el ejercicio de sus competencias, incumplieran lo dispuesto en la misma o en el Derecho comunitario, dando lugar a que el Reino de España sea sancionado por las instituciones europeas asumirán, en la parte que les sea imputable, las responsabilidades que de tal incumplimiento se hubieran derivado”.</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En suma, siendo cierto que la STJUE de 24 de marzo de 2011 (asunto C-400-2008) determinó la condena del Reino de España en tanto que la Ley 18/2005, de 27 de diciembre, </w:t>
      </w:r>
      <w:r>
        <w:lastRenderedPageBreak/>
        <w:t>sobre equipamientos comerciales de Cataluña, imponía la implantación de dichos establecimientos dentro de la trama urbana consolidada, también lo es que tal disposición fue derogada por el Decreto-ley 1/2009, de acuerdo con la Directiva 2006/123/CE.</w:t>
      </w:r>
    </w:p>
    <w:p w:rsidR="00BE7FB3" w:rsidRDefault="00BE7FB3" w:rsidP="00BE7FB3">
      <w:pPr>
        <w:pStyle w:val="TextoNormal"/>
      </w:pPr>
    </w:p>
    <w:p w:rsidR="00BE7FB3" w:rsidRDefault="00BE7FB3" w:rsidP="00BE7FB3">
      <w:pPr>
        <w:pStyle w:val="TextoNormal"/>
      </w:pPr>
      <w:r>
        <w:t xml:space="preserve">La nueva redacción de los apartados 3 y 4 del art. 9 del Decreto-ley 1/2009, precedente del art. 114 de la Ley 9/2011, no excluye </w:t>
      </w:r>
      <w:r w:rsidRPr="00BE7FB3">
        <w:rPr>
          <w:i/>
        </w:rPr>
        <w:t>a priori</w:t>
      </w:r>
      <w:r>
        <w:t>, pues ese es precisamente el objeto de la resolución de fondo que en su día dicte el Tribunal, que la protección del medioambiente y el entorno urbano, la ordenación del territorio y la conservación del patrimonio histórico, cultural y artístico sean los criterios que persigue dicha regulación y que permiten imponer requisitos a la instalación de establecimientos comerciales, pues lo contrario puede afectar grave e irreversiblemente a tal objeto protegido. Por ello, el necesario test de razonabilidad, y sin prejuzgar en este momento procesal el fondo del asunto, unido a una presunción de constitucionalidad de la ley, impone el levantamiento de la medida suspensiva, pues el juicio de ponderación efectuado lleva a la conclusión que son más negativas las consecuencias que se derivarían del mantenimiento de la suspensión.</w:t>
      </w:r>
    </w:p>
    <w:p w:rsidR="00BE7FB3" w:rsidRDefault="00BE7FB3" w:rsidP="00BE7FB3">
      <w:pPr>
        <w:pStyle w:val="TextoNormal"/>
      </w:pPr>
    </w:p>
    <w:p w:rsidR="00BE7FB3" w:rsidRDefault="00BE7FB3" w:rsidP="00BE7FB3">
      <w:pPr>
        <w:pStyle w:val="TextoNormal"/>
      </w:pPr>
      <w:r>
        <w:t>Todo ello se entiende sin excluir la posibilidad, siempre abierta, de solicitar, aportando a tal efecto nuevos datos relevantes a este Tribunal, la reconsideración de la decisión adoptada en ese incidente cautelar.</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Levantar la suspensión del art. 114 de la Ley 9/2011, de 29 de diciembre, de promoción de la actividad económica de Cataluña, por el que se modifican los apartados 3 y 4 del art. 9 del Decreto-ley 1/2009, de 22 de diciembre, de ordenación de equipamientos comerciales de Cataluña.</w:t>
      </w:r>
    </w:p>
    <w:p w:rsidR="00BE7FB3" w:rsidRDefault="00BE7FB3" w:rsidP="00BE7FB3">
      <w:pPr>
        <w:pStyle w:val="TextoNormal"/>
      </w:pPr>
    </w:p>
    <w:p w:rsidR="00BE7FB3" w:rsidRDefault="00BE7FB3" w:rsidP="00BE7FB3">
      <w:pPr>
        <w:pStyle w:val="TextoNormal"/>
      </w:pPr>
      <w:r>
        <w:t>Madrid, a quince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52" w:name="AUTO_2013_11"/>
      <w:r>
        <w:lastRenderedPageBreak/>
        <w:t>AUTO 11/2013, de 16 de enero de 2013</w:t>
      </w:r>
    </w:p>
    <w:bookmarkEnd w:id="152"/>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ECLI:ES:TC:2013:11A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5740-2012, promovido por doña María Luisa Cavas Moreno y otras personas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11 de octubre de 2012, la Procuradora de los Tribunales doña Isabel Cañedo Vega, en nombre y representación de doña María Luisa Cavas Moreno, don Juan Manuel Laorden Nuñez, doña María Mercedes Escribano Piqueras, don José Gerardo Espinosa Martínez, don Fernando Javier Bernad Guerrero, doña María Concepción Serrano Jiménez, doña Juana Catalina Ros Martínez, don Andrés Carrillo González, don Vicente Braojos López, don Jesús Lorenzo Martín Aguado, doña Carmen Martínez Abellan, doña María Isabel Santos Ortuño, doña Isabel Teresa Beltran Valenzuela, doña María Jesús Mouliaa Correas, y don Julian Pérez Charco, bajo la dirección del Letrado don Julian Pérez Charco, interpuso demanda de amparo contra providencia y Sentencia de la Sección Séptima de la Sala de lo Contencioso-Administrativo del Tribunal Supremo recaída en recurso de casación núm. 78-2009 contra la dictada por la Sección Séptima del Tribunal Superior de Justicia de Madrid en recurso núm. 738-2004.</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8 de enero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en su condición de Magistrado de la Sala de lo Contencioso-Administrativo del Tribunal Supremo, que formó parte de la Sección Séptima de la Sala Tercera del Tribunal Supremo, que dictó la Sentencia de fecha 28 de noviembre de 2011, recurrida en amparo.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LOTC y 221.4 de la Ley Orgánica del Poder Judicial, se estima justificada </w:t>
      </w:r>
      <w:r>
        <w:lastRenderedPageBreak/>
        <w:t>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5740-2012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dieciséis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53" w:name="AUTO_2013_12"/>
      <w:r>
        <w:lastRenderedPageBreak/>
        <w:t>AUTO 12/2013, de 16 de enero de 2013</w:t>
      </w:r>
    </w:p>
    <w:bookmarkEnd w:id="153"/>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ECLI:ES:TC:2013:12A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6512-2012, promovido por Klewerman Canarias Inversiones Inmobiliarias, S.A.,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19 de noviembre de 2012, la Procuradora de los Tribunales doña Ana Díaz Cañizares, en nombre y representación de Klewerman Canarias Inversiones Inmobiliarias, S.L., interpuso demanda de amparo contra Autos de la Sección Primera de la Sala de lo Contencioso-Administrativo del Tribunal Supremo recaídos en recurso de casación núm. 6498-2011, contra Sentencia dictada por la Sala de lo Contencioso-Administrativo de la Audiencia Nacional en recurso núm. 180-2010.</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14 de diciembre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en su condición de Magistrado de la Sala de lo Contencioso-Administrativo del Tribunal Supremo que dictó el Auto de 19 de abril de 2012, recurrido en el presente recurso de amparo.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6512-2012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dieciséis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54" w:name="AUTO_2013_13"/>
      <w:r>
        <w:lastRenderedPageBreak/>
        <w:t>AUTO 13/2013, de 17 de enero de 2013</w:t>
      </w:r>
    </w:p>
    <w:bookmarkEnd w:id="154"/>
    <w:p w:rsidR="00BE7FB3" w:rsidRDefault="00BE7FB3" w:rsidP="00BE7FB3">
      <w:pPr>
        <w:pStyle w:val="TtuloResolucin"/>
      </w:pPr>
      <w:r>
        <w:t>Sección Segunda</w:t>
      </w:r>
    </w:p>
    <w:p w:rsidR="00BE7FB3" w:rsidRDefault="00BE7FB3" w:rsidP="00BE7FB3">
      <w:pPr>
        <w:pStyle w:val="TtuloResolucin"/>
      </w:pPr>
    </w:p>
    <w:p w:rsidR="00BE7FB3" w:rsidRDefault="00BE7FB3" w:rsidP="00BE7FB3">
      <w:pPr>
        <w:pStyle w:val="SntesisDescriptiva"/>
      </w:pPr>
      <w:r>
        <w:t>ECLI:ES:TC:2013:13A</w:t>
      </w:r>
    </w:p>
    <w:p w:rsidR="00BE7FB3" w:rsidRDefault="00BE7FB3" w:rsidP="00BE7FB3">
      <w:pPr>
        <w:pStyle w:val="SntesisDescriptiva"/>
      </w:pPr>
    </w:p>
    <w:p w:rsidR="00BE7FB3" w:rsidRDefault="00BE7FB3" w:rsidP="00BE7FB3">
      <w:pPr>
        <w:pStyle w:val="SntesisDescriptiva"/>
      </w:pPr>
      <w:r>
        <w:t>Excms. Srs. don Manuel Aragón Reyes, don Andrés Ollero Tassara y don Fernando Valdés Dal-Ré.</w:t>
      </w:r>
    </w:p>
    <w:p w:rsidR="00BE7FB3" w:rsidRDefault="00BE7FB3" w:rsidP="00BE7FB3">
      <w:pPr>
        <w:pStyle w:val="SntesisDescriptiva"/>
      </w:pPr>
    </w:p>
    <w:p w:rsidR="00BE7FB3" w:rsidRDefault="00BE7FB3" w:rsidP="00BE7FB3">
      <w:pPr>
        <w:pStyle w:val="SntesisDescriptiva"/>
      </w:pPr>
      <w:r>
        <w:t>Acuerda el desistimiento en el recurso de amparo 5783-2012, promovido en litigio social.</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155" w:name="AUTO_2013_14"/>
      <w:r>
        <w:lastRenderedPageBreak/>
        <w:t>AUTO 14/2013, de 23 de enero de 2013</w:t>
      </w:r>
    </w:p>
    <w:bookmarkEnd w:id="155"/>
    <w:p w:rsidR="00BE7FB3" w:rsidRDefault="00BE7FB3" w:rsidP="00BE7FB3">
      <w:pPr>
        <w:pStyle w:val="TtuloResolucin"/>
      </w:pPr>
      <w:r>
        <w:t>Sección Tercera</w:t>
      </w:r>
    </w:p>
    <w:p w:rsidR="00BE7FB3" w:rsidRDefault="00BE7FB3" w:rsidP="00BE7FB3">
      <w:pPr>
        <w:pStyle w:val="TtuloResolucin"/>
      </w:pPr>
    </w:p>
    <w:p w:rsidR="00BE7FB3" w:rsidRDefault="00BE7FB3" w:rsidP="00BE7FB3">
      <w:pPr>
        <w:pStyle w:val="SntesisDescriptiva"/>
      </w:pPr>
      <w:r>
        <w:t>ECLI:ES:TC:2013:14A</w:t>
      </w:r>
    </w:p>
    <w:p w:rsidR="00BE7FB3" w:rsidRDefault="00BE7FB3" w:rsidP="00BE7FB3">
      <w:pPr>
        <w:pStyle w:val="SntesisDescriptiva"/>
      </w:pPr>
    </w:p>
    <w:p w:rsidR="00BE7FB3" w:rsidRDefault="00BE7FB3" w:rsidP="00BE7FB3">
      <w:pPr>
        <w:pStyle w:val="SntesisDescriptiva"/>
      </w:pPr>
      <w:r>
        <w:t>Excms. Srs. don Ramón Rodríguez Arribas, don Luis Ignacio Ortega Álvarez y doña Encarnación Roca Trías.</w:t>
      </w:r>
    </w:p>
    <w:p w:rsidR="00BE7FB3" w:rsidRDefault="00BE7FB3" w:rsidP="00BE7FB3">
      <w:pPr>
        <w:pStyle w:val="SntesisDescriptiva"/>
      </w:pPr>
    </w:p>
    <w:p w:rsidR="00BE7FB3" w:rsidRDefault="00BE7FB3" w:rsidP="00BE7FB3">
      <w:pPr>
        <w:pStyle w:val="SntesisDescriptiva"/>
      </w:pPr>
      <w:r>
        <w:t>Acuerda el desistimiento en el recurso de amparo 5382-2012, promovido en causa penal.</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156" w:name="AUTO_2013_15"/>
      <w:r>
        <w:lastRenderedPageBreak/>
        <w:t>AUTO 15/2013, de 23 de enero de 2013</w:t>
      </w:r>
    </w:p>
    <w:bookmarkEnd w:id="156"/>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ECLI:ES:TC:2013:15A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5622-2012, promovido por el Consorcio de la Zona Franca de Vigo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5 de octubre de 2012, el Procurador de los Tribunales don Juan Carlos Estévez Fernández-Novoa, en nombre y representación del Consorcio de la Zona Franca de Vigo, interpuso demanda de amparo contra providencia y Sentencia de la Sección Séptima de la Sala de lo Contencioso-Administrativo del Tribunal Supremo recaído en recurso de casación núm. 306-2009, contra Sentencia dictada por la Sala de lo Contencioso-Administrativo del Tribunal Superior de Justicia de Galicia en recurso núm. 7714-2006.</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8 de enero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en su condición de Magistrado de la Sala de lo Contencioso-Administrativo del Tribunal Supremo que dictó las resoluciones recurridas.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se estima justificada la causa de abstención formulada, puesto que el mencionado Magistrado, en atención a haber formado parte del órgano judicial que dictó las resoluciones impugnadas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5622-2012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veintitrés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57" w:name="AUTO_2013_16"/>
      <w:r>
        <w:lastRenderedPageBreak/>
        <w:t>AUTO 16/2013, de 28 de enero de 2013</w:t>
      </w:r>
    </w:p>
    <w:bookmarkEnd w:id="157"/>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ECLI:ES:TC:2013:16A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y don Francisco Pérez de los Cobos Orihuel.</w:t>
      </w:r>
    </w:p>
    <w:p w:rsidR="00BE7FB3" w:rsidRDefault="00BE7FB3" w:rsidP="00BE7FB3">
      <w:pPr>
        <w:pStyle w:val="SntesisDescriptiva"/>
      </w:pPr>
    </w:p>
    <w:p w:rsidR="00BE7FB3" w:rsidRDefault="00BE7FB3" w:rsidP="00BE7FB3">
      <w:pPr>
        <w:pStyle w:val="SntesisDescriptiva"/>
      </w:pPr>
      <w:r>
        <w:t>Acepta una abstención en el recurso de amparo 1783-2010, promovido por don Francisco Álvarez Cascos y doña María Porto Sánchez en pleito civil.</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3 de marzo de 2010 la Procuradora de los Tribunales doña Margarita López Jiménez, en representación de don Francisco Álvarez-Cascos Fernández y doña María Porto Sánchez, interpuso recurso de amparo contra la Sentencia de la Sala de lo Civil del Tribunal Supremo de 16 de noviembre de 2009, dictada en el recurso de casación núm. 2041-2006. Dicho recurso fue registrado con el núm. 1783-2010 y su conocimiento correspondió, por turno de reparto, a la Sala Segunda de este Tribunal, que lo admitió a trámite por providencia de 22 de julio de 2010.</w:t>
      </w:r>
    </w:p>
    <w:p w:rsidR="00BE7FB3" w:rsidRDefault="00BE7FB3" w:rsidP="00BE7FB3">
      <w:pPr>
        <w:pStyle w:val="TextoNormal"/>
      </w:pPr>
    </w:p>
    <w:p w:rsidR="00BE7FB3" w:rsidRDefault="00BE7FB3" w:rsidP="00BE7FB3">
      <w:pPr>
        <w:pStyle w:val="TextoNormal"/>
      </w:pPr>
      <w:r w:rsidRPr="00BE7FB3">
        <w:rPr>
          <w:rStyle w:val="NumeroAFNegritaCaracter"/>
        </w:rPr>
        <w:t>2</w:t>
      </w:r>
      <w:r>
        <w:t>. De conformidad con el acuerdo de 24 de julio de 2012 del Pleno del Tribunal Constitucional, por el que se dispone la composición de las Salas y Secciones del Tribunal Constitucional (“Boletín Oficial del Estado” de 26 de julio de 2012), a partir de la referida fecha la Sala Segunda, presidida por el Vicepresidente del Tribunal, está integrada por los Magistrados don Ramón Rodríguez Arribas, don Pablo Pérez Tremps, don Francisco José Hernando Santiago, don Francisco Pérez de los Cobos, don Luis Ignacio Ortega Álvarez y doña Encarnación Roca Trías (art. 2.1).</w:t>
      </w:r>
    </w:p>
    <w:p w:rsidR="00BE7FB3" w:rsidRDefault="00BE7FB3" w:rsidP="00BE7FB3">
      <w:pPr>
        <w:pStyle w:val="TextoNormal"/>
      </w:pPr>
    </w:p>
    <w:p w:rsidR="00BE7FB3" w:rsidRDefault="00BE7FB3" w:rsidP="00BE7FB3">
      <w:pPr>
        <w:pStyle w:val="TextoNormal"/>
      </w:pPr>
      <w:r w:rsidRPr="00BE7FB3">
        <w:rPr>
          <w:rStyle w:val="NumeroAFNegritaCaracter"/>
        </w:rPr>
        <w:t>3</w:t>
      </w:r>
      <w:r>
        <w:t>. Mediante escrito de 17 de enero de 2013, la Magistrada doña Encarnación Roca Trías comunicó su voluntad de abstenerse de intervenir en el recurso de amparo núm. 1783-2010 por entender que concurre en su persona la causa prevista en el art. 219.11 de la Ley Orgánica del Poder Judicial, en relación con el art. 80 de la Ley Orgánica del Tribunal Constitucional, habida cuenta de que formó parte de la Sala de lo Civil del Tribunal Supremo que dictó la Sentencia de casación impugnada en el presente proceso de amparo.</w:t>
      </w:r>
    </w:p>
    <w:p w:rsidR="00BE7FB3" w:rsidRDefault="00BE7FB3" w:rsidP="00BE7FB3">
      <w:pPr>
        <w:pStyle w:val="TextoNormal"/>
      </w:pPr>
    </w:p>
    <w:p w:rsidR="00BE7FB3" w:rsidRDefault="00BE7FB3" w:rsidP="00BE7FB3">
      <w:pPr>
        <w:pStyle w:val="TextoNormalNegritaCentrado"/>
        <w:keepNext/>
      </w:pPr>
      <w:r>
        <w:lastRenderedPageBreak/>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la Magistrada doña Encarnación Roca Trías, en virtud de lo previsto en los arts. 80 de la Ley Orgánica del Tribunal Constitucional y 221.4 de la Ley Orgánica del Poder Judicial (LOPJ), procede estimar justificada la causa de abstención formulada, puesto que, en atención a haber formado parte del órgano judicial que dictó la resolución de casación impugnada en este recurso de amparo, está incursa en la causa 11 del art. 219 LOPJ.</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la Magistrada doña Encarnación Roca Trías en el recurso de amparo núm. 1783-2010, apartándola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veintiocho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58" w:name="AUTO_2013_17"/>
      <w:r>
        <w:lastRenderedPageBreak/>
        <w:t>AUTO 17/2013, de 28 de enero de 2013</w:t>
      </w:r>
    </w:p>
    <w:bookmarkEnd w:id="158"/>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ECLI:ES:TC:2013:17A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y don Francisco Pérez de los Cobos Orihuel.</w:t>
      </w:r>
    </w:p>
    <w:p w:rsidR="00BE7FB3" w:rsidRDefault="00BE7FB3" w:rsidP="00BE7FB3">
      <w:pPr>
        <w:pStyle w:val="SntesisDescriptiva"/>
      </w:pPr>
    </w:p>
    <w:p w:rsidR="00BE7FB3" w:rsidRDefault="00BE7FB3" w:rsidP="00BE7FB3">
      <w:pPr>
        <w:pStyle w:val="SntesisDescriptiva"/>
      </w:pPr>
      <w:r>
        <w:t>Acepta una abstención en el recurso de amparo 1110-2011, promovido por el Fiscal ante el Tribunal Constitucional en pleito civil.</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24 de febrero de 2011, el Fiscal ante el Tribunal Constitucional, por la legitimación que le atribuyen los arts. 162.1 b) CE y 46.1 b) de la Ley Orgánica del Tribunal Constitucional (LOTC), interpuso recurso de amparo contra la Sentencia de fecha 19 de enero de 2010, dictada por la Sala Primera del Tribunal Supremo en los Autos de recurso de casación núm. 747-2006, así como contra el Auto de fecha 10 de enero de 2011, dictado por el mismo órgano jurisdiccional, por el que se declara no haber lugar a la pretensión de nulidad instada por el Ministerio Fiscal con arreglo a lo previsto en el art. 241 de la Ley Orgánica del Poder Judicial (LOPJ), según redacción dada por la Ley Orgánica 6/2007, de 24 de mayo.</w:t>
      </w:r>
    </w:p>
    <w:p w:rsidR="00BE7FB3" w:rsidRDefault="00BE7FB3" w:rsidP="00BE7FB3">
      <w:pPr>
        <w:pStyle w:val="TextoNormal"/>
      </w:pPr>
    </w:p>
    <w:p w:rsidR="00BE7FB3" w:rsidRDefault="00BE7FB3" w:rsidP="00BE7FB3">
      <w:pPr>
        <w:pStyle w:val="TextoNormal"/>
      </w:pPr>
      <w:r w:rsidRPr="00BE7FB3">
        <w:rPr>
          <w:rStyle w:val="NumeroAFNegritaCaracter"/>
        </w:rPr>
        <w:t>2</w:t>
      </w:r>
      <w:r>
        <w:t>. Habiendo correspondido el conocimiento del recurso de amparo a la Sala Segunda de este Tribunal Constitucional, mediante escrito fechado el 14 de enero de 2013 la Excma. Sra. doña Encarnación Roca Trías expresó que en su anterior condición de Magistrada del Tribunal Supremo formó parte del Pleno de la Sala de lo Civil del Tribunal Supremo que dictó el Auto impugnado en el presente proceso de amparo; y que era por ello que entendía que el referido hecho pudiera integrar la causa de abstención 11 del art. 219 LOPJ, en relación con el art. 80 LOTC.</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la Excma. Sra. doña Encarnación Roca Trías, Magistrada de este Tribunal, en virtud de lo previsto en los arts. 80 de la Ley Orgánica del Tribunal Constitucional y 221.4 de la Ley Orgánica del Poder Judicial (LOPJ) procede estimar justificada la causa de abstención formulada, puesto que la mencionada Magistrada, </w:t>
      </w:r>
      <w:r>
        <w:lastRenderedPageBreak/>
        <w:t>en atención a haber formado parte del órgano judicial que dictó las resoluciones impugnadas en amparo, está incursa en la causa 11 del art. 219 LOPJ.</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la Magistrada Excma. Sra. doña Encarnación Roca Trías en el recurso de amparo núm. 1110-2011, apartándola definitivamente del conocimiento del mismo.</w:t>
      </w:r>
    </w:p>
    <w:p w:rsidR="00BE7FB3" w:rsidRDefault="00BE7FB3" w:rsidP="00BE7FB3">
      <w:pPr>
        <w:pStyle w:val="TextoNormal"/>
      </w:pPr>
    </w:p>
    <w:p w:rsidR="00BE7FB3" w:rsidRDefault="00BE7FB3" w:rsidP="00BE7FB3">
      <w:pPr>
        <w:pStyle w:val="TextoNormal"/>
      </w:pPr>
      <w:r>
        <w:t>Madrid, a veintiocho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59" w:name="AUTO_2013_18"/>
      <w:r>
        <w:lastRenderedPageBreak/>
        <w:t>AUTO 18/2013, de 28 de enero de 2013</w:t>
      </w:r>
    </w:p>
    <w:bookmarkEnd w:id="159"/>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ECLI:ES:TC:2013:18A</w:t>
      </w:r>
    </w:p>
    <w:p w:rsidR="00BE7FB3" w:rsidRDefault="00BE7FB3" w:rsidP="00BE7FB3">
      <w:pPr>
        <w:pStyle w:val="SntesisDescriptiva"/>
      </w:pPr>
    </w:p>
    <w:p w:rsidR="00BE7FB3" w:rsidRDefault="00BE7FB3" w:rsidP="00BE7FB3">
      <w:pPr>
        <w:pStyle w:val="SntesisDescriptiva"/>
      </w:pPr>
      <w:r>
        <w:t>Excms. Srs. don Pascual Sala Sánchez,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el archivo, por pérdida de objeto, de la pieza separada de suspensión en el recurso de amparo 563-2012, promovido por Newell 2000, S.L., y Cartney Trans, S.L.</w:t>
      </w:r>
    </w:p>
    <w:p w:rsidR="00BE7FB3" w:rsidRDefault="00BE7FB3" w:rsidP="00BE7FB3">
      <w:pPr>
        <w:pStyle w:val="SntesisDescriptiva"/>
      </w:pPr>
    </w:p>
    <w:p w:rsidR="00BE7FB3" w:rsidRDefault="00BE7FB3" w:rsidP="00BE7FB3">
      <w:pPr>
        <w:pStyle w:val="SntesisAnaltica"/>
      </w:pPr>
      <w:r>
        <w:t>Suspensión cautelar de Sentencias penales: pérdida sobrevenida de objeto del incidente de suspensión cautelar.</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31 de enero de 2012, la Procuradora de los Tribunales doña Virginia Camacho Villa, en nombre y representación de las sociedades mercantiles Newell 2000, S.L., y Cartney Trans, S.L., interpuso demanda de amparo contra la providencia de fecha 15 de diciembre de 2011 que inadmitía el incidente de nulidad de actuaciones contra la Sentencia de la Sección Tercera de la Audiencia Provincial de Oviedo de 31 de octubre de 2011, por la que se estimaba el recurso de apelación (rollo núm. 92-2011) interpuesto contra la Sentencia dictada el 31 de marzo de 2011 por el Juzgado de lo Penal núm. 1 de Avilés en procedimiento abreviado núm. 12-2010, la cual fue admitida a trámite.</w:t>
      </w:r>
    </w:p>
    <w:p w:rsidR="00BE7FB3" w:rsidRDefault="00BE7FB3" w:rsidP="00BE7FB3">
      <w:pPr>
        <w:pStyle w:val="TextoNormal"/>
      </w:pPr>
    </w:p>
    <w:p w:rsidR="00BE7FB3" w:rsidRDefault="00BE7FB3" w:rsidP="00BE7FB3">
      <w:pPr>
        <w:pStyle w:val="TextoNormal"/>
      </w:pPr>
      <w:r w:rsidRPr="00BE7FB3">
        <w:rPr>
          <w:rStyle w:val="NumeroAFNegritaCaracter"/>
        </w:rPr>
        <w:t>2</w:t>
      </w:r>
      <w:r>
        <w:t>. Mediante escrito de fecha 27 de noviembre de 2012, la Procuradora de los Tribunales doña Virginia Camacho Villa, en nombre y representación de las sociedades mercantiles Newell 2000, S.L., y Cartney Trans, S.L., solicitó la suspensión de las penas de prisión y patrimoniales impuestas por la Sentencia impugnada en amparo.</w:t>
      </w:r>
    </w:p>
    <w:p w:rsidR="00BE7FB3" w:rsidRDefault="00BE7FB3" w:rsidP="00BE7FB3">
      <w:pPr>
        <w:pStyle w:val="TextoNormal"/>
      </w:pPr>
    </w:p>
    <w:p w:rsidR="00BE7FB3" w:rsidRDefault="00BE7FB3" w:rsidP="00BE7FB3">
      <w:pPr>
        <w:pStyle w:val="TextoNormal"/>
      </w:pPr>
      <w:r w:rsidRPr="00BE7FB3">
        <w:rPr>
          <w:rStyle w:val="NumeroAFNegritaCaracter"/>
        </w:rPr>
        <w:t>3</w:t>
      </w:r>
      <w:r>
        <w:t>. La Sala Primera de este Tribunal, mediante providencia dictada el 10 de diciembre de 2012, acordó, de conformidad con lo prevenido en el art. 56 de la Ley Orgánica del Tribunal Constitucional (LOTC), formar pieza separada de suspensión y conceder un plazo común de tres días al Ministerio Fiscal y a las partes personadas para que dentro de dicho término alegaran lo que estimen pertinente en relación con la petición de suspensión interesada.</w:t>
      </w:r>
    </w:p>
    <w:p w:rsidR="00BE7FB3" w:rsidRDefault="00BE7FB3" w:rsidP="00BE7FB3">
      <w:pPr>
        <w:pStyle w:val="TextoNormal"/>
      </w:pPr>
    </w:p>
    <w:p w:rsidR="00BE7FB3" w:rsidRDefault="00BE7FB3" w:rsidP="00BE7FB3">
      <w:pPr>
        <w:pStyle w:val="TextoNormal"/>
      </w:pPr>
      <w:r w:rsidRPr="00BE7FB3">
        <w:rPr>
          <w:rStyle w:val="NumeroAFNegritaCaracter"/>
        </w:rPr>
        <w:t>4</w:t>
      </w:r>
      <w:r>
        <w:t>. El Abogado del Estado y el Ministerio Fiscal presentaron escrito de alegaciones oponiéndose a las medidas cautelares solicitadas. La representación procesal de don Manuel López Ron se adhirió a la solicitud de suspensión.</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5</w:t>
      </w:r>
      <w:r>
        <w:t>. El 14 de enero de 2013 la Sala Primera de este Tribunal dictó Sentencia resolviendo el presente recurso de amparo núm. 563-2012, en cuya parte dispositiva acordó:</w:t>
      </w:r>
    </w:p>
    <w:p w:rsidR="00BE7FB3" w:rsidRDefault="00BE7FB3" w:rsidP="00BE7FB3">
      <w:pPr>
        <w:pStyle w:val="TextoNormal"/>
      </w:pPr>
    </w:p>
    <w:p w:rsidR="00BE7FB3" w:rsidRDefault="00BE7FB3" w:rsidP="00BE7FB3">
      <w:pPr>
        <w:pStyle w:val="TextoNormal"/>
      </w:pPr>
      <w:r>
        <w:t xml:space="preserve">“Otorgar el amparo solicitado por las entidades Newell 2000, S.L., y por Cartney Trans, S.L., respectivamente, y, en consecuencia: </w:t>
      </w:r>
    </w:p>
    <w:p w:rsidR="00BE7FB3" w:rsidRDefault="00BE7FB3" w:rsidP="00BE7FB3">
      <w:pPr>
        <w:pStyle w:val="TextoNormal"/>
      </w:pPr>
    </w:p>
    <w:p w:rsidR="00BE7FB3" w:rsidRDefault="00BE7FB3" w:rsidP="00BE7FB3">
      <w:pPr>
        <w:pStyle w:val="TextoNormal"/>
      </w:pPr>
      <w:r>
        <w:t>1º) Reconocer su derecho a la tutela judicial efectiva (art. 24.1 CE).</w:t>
      </w:r>
    </w:p>
    <w:p w:rsidR="00BE7FB3" w:rsidRDefault="00BE7FB3" w:rsidP="00BE7FB3">
      <w:pPr>
        <w:pStyle w:val="TextoNormal"/>
      </w:pPr>
    </w:p>
    <w:p w:rsidR="00BE7FB3" w:rsidRDefault="00BE7FB3" w:rsidP="00BE7FB3">
      <w:pPr>
        <w:pStyle w:val="TextoNormal"/>
      </w:pPr>
      <w:r>
        <w:t>2º) Declarar la nulidad de la Sentencia de la Sección Tercera de la Audiencia Provincial de Oviedo, de 26 de febrero de 2009 (recaída en el recurso de apelación núm. 90-2008), en relación con el pronunciamiento de responsabilidad civil contra las citadas entidades demandantes de amparo derivado de los tres delitos fiscales correspondientes al IVA del ejercicio de 2000.</w:t>
      </w:r>
    </w:p>
    <w:p w:rsidR="00BE7FB3" w:rsidRDefault="00BE7FB3" w:rsidP="00BE7FB3">
      <w:pPr>
        <w:pStyle w:val="TextoNormal"/>
      </w:pPr>
    </w:p>
    <w:p w:rsidR="00BE7FB3" w:rsidRDefault="00BE7FB3" w:rsidP="00BE7FB3">
      <w:pPr>
        <w:pStyle w:val="TextoNormal"/>
      </w:pPr>
      <w:r>
        <w:t>3º) Desestimar el recurso en todo lo demás.”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art. 56 de la Ley Orgánica del Tribunal Constitucional faculta a este Tribunal para disponer la suspensión, total o parcial, de los efectos del acto o Sentencia impugnados cuando su ejecución “produzca un perjuicio al recurrente que pudiera hacer perder al amparo su finalidad”, circunstancia que no concurre en el presente caso, habida cuenta de que la Sentencia de 14 de enero de 2013 ha puesto fin al presente recurso de amparo, resolviendo en cuanto al fondo y definitivamente la controversia planteada.</w:t>
      </w:r>
    </w:p>
    <w:p w:rsidR="00BE7FB3" w:rsidRDefault="00BE7FB3" w:rsidP="00BE7FB3">
      <w:pPr>
        <w:pStyle w:val="TextoNormal"/>
      </w:pPr>
    </w:p>
    <w:p w:rsidR="00BE7FB3" w:rsidRDefault="00BE7FB3" w:rsidP="00BE7FB3">
      <w:pPr>
        <w:pStyle w:val="TextoNormal"/>
      </w:pPr>
      <w:r>
        <w:t>En consecuencia, se ha producido una pérdida sobrevenida del objeto de la pretensión cautelar formulada, por lo que debe acordarse la finalización y archivo de la presente pieza.</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El archivo de esta pieza separada por pérdida de objeto de la pretensión cautelar formulada.</w:t>
      </w:r>
    </w:p>
    <w:p w:rsidR="00BE7FB3" w:rsidRDefault="00BE7FB3" w:rsidP="00BE7FB3">
      <w:pPr>
        <w:pStyle w:val="TextoNormal"/>
      </w:pPr>
    </w:p>
    <w:p w:rsidR="00BE7FB3" w:rsidRDefault="00BE7FB3" w:rsidP="00BE7FB3">
      <w:pPr>
        <w:pStyle w:val="TextoNormal"/>
      </w:pPr>
      <w:r>
        <w:t>Madrid, a veintiocho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60" w:name="AUTO_2013_19"/>
      <w:r>
        <w:lastRenderedPageBreak/>
        <w:t>AUTO 19/2013, de 28 de enero de 2013</w:t>
      </w:r>
    </w:p>
    <w:bookmarkEnd w:id="160"/>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ECLI:ES:TC:2013:19A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Deniega la suspensión en el recurso de amparo 1721-2012, promovido por don Santos Berganza Zendegi en causa penal.</w:t>
      </w:r>
    </w:p>
    <w:p w:rsidR="00BE7FB3" w:rsidRDefault="00BE7FB3" w:rsidP="00BE7FB3">
      <w:pPr>
        <w:pStyle w:val="SntesisDescriptiva"/>
      </w:pPr>
    </w:p>
    <w:p w:rsidR="00BE7FB3" w:rsidRDefault="00BE7FB3" w:rsidP="00BE7FB3">
      <w:pPr>
        <w:pStyle w:val="SntesisAnaltica"/>
      </w:pPr>
      <w:r>
        <w:t>Suspensión cautelar de resoluciones penales: fijación de fecha de licenciamiento definitivo, no suspende.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23 de marzo de 2012, el Procurador de los Tribunales don Javier Cuevas Rivas, en nombre y representación de don Santos Berganza Zendegi, y bajo la dirección del Letrado don Iker Urbina Fernández, interpuso recurso de amparo contra el Auto de la Sección Segunda de la Sala de lo Penal de la Audiencia Nacional de 10 de junio de 2011, dictado en la ejecutoria núm. 31-1994, rollo y sumario 71-1985, y Sentencia de 30 de enero de 2012 y Auto de 1 de marzo de 2012, dictado por la Sala Segunda del Tribunal Supremo en el recurso de casación 11442-2011, por el que se desestima el citado recurso y confirma como fecha de licenciamiento definitivo del recurrente el día 17 de septiembre de 2019.</w:t>
      </w:r>
    </w:p>
    <w:p w:rsidR="00BE7FB3" w:rsidRDefault="00BE7FB3" w:rsidP="00BE7FB3">
      <w:pPr>
        <w:pStyle w:val="TextoNormal"/>
      </w:pPr>
    </w:p>
    <w:p w:rsidR="00BE7FB3" w:rsidRDefault="00BE7FB3" w:rsidP="00BE7FB3">
      <w:pPr>
        <w:pStyle w:val="TextoNormal"/>
      </w:pPr>
      <w:r>
        <w:t>En la demanda de amparo se solicita por otrosí la suspensión de la ejecución de las resoluciones judiciales impugnadas en la parte correspondiente a la aplicación de los ocho años de condena que se ha retrasado el licenciamiento definitivo del recurrente, fundado en el hecho de que en el presente caso, la ejecución de las resoluciones impugnadas implica el cumplimiento de la pena privativa de libertad cuestionada, ocasionando un perjuicio en modo alguno compensable, que haría perder al amparo su finalidad, caso de otorgarse. Añade que de la suspensión no se deriva una perturbación grave de los intereses generales, pues en el caso de denegarse finalmente el amparo, tan sólo se produciría una demora en el cumplimiento de la mencionada pena.</w:t>
      </w:r>
    </w:p>
    <w:p w:rsidR="00BE7FB3" w:rsidRDefault="00BE7FB3" w:rsidP="00BE7FB3">
      <w:pPr>
        <w:pStyle w:val="TextoNormal"/>
      </w:pPr>
    </w:p>
    <w:p w:rsidR="00BE7FB3" w:rsidRDefault="00BE7FB3" w:rsidP="00BE7FB3">
      <w:pPr>
        <w:pStyle w:val="TextoNormal"/>
      </w:pPr>
      <w:r>
        <w:t xml:space="preserve">El demandante de amparo, a la vista de la Sentencia de 10 de julio de 2012, dictada por el Tribunal Europeo de Derechos Humanos en el asunto </w:t>
      </w:r>
      <w:r w:rsidRPr="00BE7FB3">
        <w:rPr>
          <w:i/>
        </w:rPr>
        <w:t>Del Rio contra España</w:t>
      </w:r>
      <w:r>
        <w:t xml:space="preserve">, que estimaba la demanda por vulneración de los arts. 7 y 5.1 del Convenio europeo para la protección de los derechos humanos y de las libertades fundamentales (CEDH), interesó de nuevo, mediante escrito presentado ante este Tribunal el 18 de julio de 2012, por tratarse de un supuesto similar, la suspensión de la condena y la puesta en libertad con efectos de la fecha inicial de propuesta de licenciamiento definitivo de la prisión que lo fue en fecha 15 de junio </w:t>
      </w:r>
      <w:r>
        <w:lastRenderedPageBreak/>
        <w:t>de 2011, por ser, en su consideración, dicha fecha la que debe operar a consecuencia de la extensión de efectos de aquella Sentencia del Tribunal Europeo de Derechos Humanos.</w:t>
      </w:r>
    </w:p>
    <w:p w:rsidR="00BE7FB3" w:rsidRDefault="00BE7FB3" w:rsidP="00BE7FB3">
      <w:pPr>
        <w:pStyle w:val="TextoNormal"/>
      </w:pPr>
    </w:p>
    <w:p w:rsidR="00BE7FB3" w:rsidRDefault="00BE7FB3" w:rsidP="00BE7FB3">
      <w:pPr>
        <w:pStyle w:val="TextoNormal"/>
      </w:pPr>
      <w:r w:rsidRPr="00BE7FB3">
        <w:rPr>
          <w:rStyle w:val="NumeroAFNegritaCaracter"/>
        </w:rPr>
        <w:t>2</w:t>
      </w:r>
      <w:r>
        <w:t>. La Sala Segunda de este Tribunal, por providencia de 13 de diciembre de 2012, acordó, respectivamente, la admisión a trámite de la demanda de amparo y la formación de pieza separada para la tramitación del incidente sobre la suspensión solicitada; asimismo, acordó conceder a la parte recurrente y al Ministerio Fiscal el plazo común de tres días para que alegasen lo que estimasen pertinente sobre dicha suspensión.</w:t>
      </w:r>
    </w:p>
    <w:p w:rsidR="00BE7FB3" w:rsidRDefault="00BE7FB3" w:rsidP="00BE7FB3">
      <w:pPr>
        <w:pStyle w:val="TextoNormal"/>
      </w:pPr>
    </w:p>
    <w:p w:rsidR="00BE7FB3" w:rsidRDefault="00BE7FB3" w:rsidP="00BE7FB3">
      <w:pPr>
        <w:pStyle w:val="TextoNormal"/>
      </w:pPr>
      <w:r w:rsidRPr="00BE7FB3">
        <w:rPr>
          <w:rStyle w:val="NumeroAFNegritaCaracter"/>
        </w:rPr>
        <w:t>3</w:t>
      </w:r>
      <w:r>
        <w:t>. El Ministerio Fiscal, por escrito registrado en este Tribunal el 28 de diciembre de 2012, presentó alegaciones solicitando la denegación de la suspensión instada.</w:t>
      </w:r>
    </w:p>
    <w:p w:rsidR="00BE7FB3" w:rsidRDefault="00BE7FB3" w:rsidP="00BE7FB3">
      <w:pPr>
        <w:pStyle w:val="TextoNormal"/>
      </w:pPr>
    </w:p>
    <w:p w:rsidR="00BE7FB3" w:rsidRDefault="00BE7FB3" w:rsidP="00BE7FB3">
      <w:pPr>
        <w:pStyle w:val="TextoNormal"/>
      </w:pPr>
      <w:r>
        <w:t xml:space="preserve">Comienza su motivación señalando que la presente petición de suspensión es la primera referida a la extensión de efectos de la Sentencia </w:t>
      </w:r>
      <w:r w:rsidRPr="00BE7FB3">
        <w:rPr>
          <w:i/>
        </w:rPr>
        <w:t>Del Rio Prada</w:t>
      </w:r>
      <w:r>
        <w:t>, ya que la anterior se hizo de modo genérico en el otrosí de la demanda de amparo. Para el Fiscal, sin embargo, la Sentencia estimatoria dictada por el Tribunal Europeo de Derechos Humanos no provoca un verdadero cambio de circunstancias merecedor de una distinta ponderación por parte del Tribunal Constitucional a los efectos de conceder o denegar la suspensión. En primer lugar, considera que la Sentencia del Tribunal Europeo de Derechos Humanos no es “definitiva”, pues, con arreglo a lo dispuesto en los arts. 43 y 44 CEDH, cualquier parte puede solicitar que se remita el caso a la Gran Sala del Tribunal en el plazo de tres meses. Entiende también que “la previsión de que el citado Tribunal dicte una sentencia favorable a la pretensión de amparo del recurrente, a la vista del contenido de la STEDH, no deja de ser, también, una hipótesis de futuro”. Y recuerda que “la mayor o menor probabilidad de éxito o prosperabilidad de la pretensión de amparo es un factor no determinante, según la propia doctrina constitucional, para pronunciarse sobre la suspensión o no de las resoluciones judiciales impugnadas, pues supondría un adelantamiento del juicio de fondo, improcedente en el momento de pronunciarse sobre la suspensión solicitada”.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recurso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00BE7FB3" w:rsidRDefault="00BE7FB3" w:rsidP="00BE7FB3">
      <w:pPr>
        <w:pStyle w:val="TextoNormal"/>
      </w:pPr>
    </w:p>
    <w:p w:rsidR="00BE7FB3" w:rsidRDefault="00BE7FB3" w:rsidP="00BE7FB3">
      <w:pPr>
        <w:pStyle w:val="TextoNormal"/>
      </w:pPr>
      <w:r>
        <w:t xml:space="preserve">Este Tribunal ya ha reiterado en casos como en el presente, en el que se solicita la suspensión de la ejecución de las resoluciones judiciales relativas a la aprobación del licenciamiento definitivo en aplicación de la doctrina establecida en la Sentencia de la Sala de lo </w:t>
      </w:r>
      <w:r>
        <w:lastRenderedPageBreak/>
        <w:t>Penal del Tribunal Supremo núm. 197/2006, de 28 de febrero, que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 (ATC 94/2012, de 21 de mayo, FJ único).</w:t>
      </w:r>
    </w:p>
    <w:p w:rsidR="00BE7FB3" w:rsidRDefault="00BE7FB3" w:rsidP="00BE7FB3">
      <w:pPr>
        <w:pStyle w:val="TextoNormal"/>
      </w:pPr>
    </w:p>
    <w:p w:rsidR="00BE7FB3" w:rsidRDefault="00BE7FB3" w:rsidP="00BE7FB3">
      <w:pPr>
        <w:pStyle w:val="TextoNormal"/>
      </w:pPr>
      <w:r>
        <w:t xml:space="preserve">Por tanto, debe ser rechazada la solicitud de suspensión, ya que se trata del cumplimiento de penas graves cuyo límite se ha establecido en treinta años y su concesión supondría la puesta en libertad del recurrente y, con ello, un parcial otorgamiento anticipado del amparo, sin que la circunstancia sobrevenida de la Sentencia estimatoria dictada por el Tribunal Europeo de Derechos Humanos en el asunto </w:t>
      </w:r>
      <w:r w:rsidRPr="00BE7FB3">
        <w:rPr>
          <w:i/>
        </w:rPr>
        <w:t>Del Rio Prada contra España</w:t>
      </w:r>
      <w:r>
        <w:t>, similar al presente, altere el juicio de ponderación de intereses que fue realizado por este Tribunal en el citado asunto (ATC 94/2012, de 21 de mayo, FJ único). Además, y como recuerda el Fiscal, nos encontramos ante una Sentencia no definitiva al haber sido admitida la demanda de revisión del asunto presentada por el Gobierno español a la Gran Sala (arts. 43 y 4 del Convenio europeo para la protección de los derechos humanos y de las libertades fundamentales), sin que todavía se haya pronunciado al respecto.</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Denegar la suspensión solicitada en el recurso de amparo núm. 1721-2012.</w:t>
      </w:r>
    </w:p>
    <w:p w:rsidR="00BE7FB3" w:rsidRDefault="00BE7FB3" w:rsidP="00BE7FB3">
      <w:pPr>
        <w:pStyle w:val="TextoNormal"/>
      </w:pPr>
    </w:p>
    <w:p w:rsidR="00BE7FB3" w:rsidRDefault="00BE7FB3" w:rsidP="00BE7FB3">
      <w:pPr>
        <w:pStyle w:val="TextoNormal"/>
      </w:pPr>
      <w:r>
        <w:t>Madrid, a veintiocho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61" w:name="AUTO_2013_20"/>
      <w:r>
        <w:lastRenderedPageBreak/>
        <w:t>AUTO 20/2013, de 28 de enero de 2013</w:t>
      </w:r>
    </w:p>
    <w:bookmarkEnd w:id="161"/>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ECLI:ES:TC:2013:20A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Deniega la suspensión en el recurso de amparo 2434-2012, promovido por don Josep Palol Sunyer en proceso contencioso-administrativo.</w:t>
      </w:r>
    </w:p>
    <w:p w:rsidR="00BE7FB3" w:rsidRDefault="00BE7FB3" w:rsidP="00BE7FB3">
      <w:pPr>
        <w:pStyle w:val="SntesisDescriptiva"/>
      </w:pPr>
    </w:p>
    <w:p w:rsidR="00BE7FB3" w:rsidRDefault="00BE7FB3" w:rsidP="00BE7FB3">
      <w:pPr>
        <w:pStyle w:val="SntesisAnaltica"/>
      </w:pPr>
      <w:r>
        <w:t>Suspensión cautelar de Sentencias contencioso-administrativas: cese de actividad económica, no suspende.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24 de abril de 2012, el Procurador de los Tribunales don Adolfo Morales Hernández-Sanjuan, en nombre y representación de don Josep Palol Sunyer, y bajo la dirección del Letrado don Xavier Hors Presas, interpuso recurso de amparo contra la Sentencia de la Sección Tercera de la Sala de lo Contencioso-Administrativo del Tribunal Superior de Justicia de Cataluña de 13 de febrero de 2012, por la que se estima en parte el recurso de apelación núm. 390-2009 interpuesto contra la Sentencia del Juzgado de lo Contencioso-Administrativo núm. 3 de Girona de 4 de septiembre de 2009, dictada en el procedimiento ordinario núm. 147-2008, confirmando la orden “de cese de uso y la actividad a que se destina la nave de la Granja La Pomareda que la certificación complementaria de final de obras de abril de 2003 denomina ‘nave de nueva planta’ de superficie 53,06 x 19,00 metros”.</w:t>
      </w:r>
    </w:p>
    <w:p w:rsidR="00BE7FB3" w:rsidRDefault="00BE7FB3" w:rsidP="00BE7FB3">
      <w:pPr>
        <w:pStyle w:val="TextoNormal"/>
      </w:pPr>
    </w:p>
    <w:p w:rsidR="00BE7FB3" w:rsidRDefault="00BE7FB3" w:rsidP="00BE7FB3">
      <w:pPr>
        <w:pStyle w:val="TextoNormal"/>
      </w:pPr>
      <w:r w:rsidRPr="00BE7FB3">
        <w:rPr>
          <w:rStyle w:val="NumeroAFNegritaCaracter"/>
        </w:rPr>
        <w:t>2</w:t>
      </w:r>
      <w:r>
        <w:t>. La Sala Segunda de este Tribunal, por providencia de 20 de septiembre de 2010, acordó la admisión a trámite de la demanda de amparo.</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El recurrente, mediante escrito registrado en este Tribunal el 7 de noviembre de 2012, solicitó la suspensión de la ejecución de la resolución impugnada en lo relativo a la orden de cese de la actividad de la nave de nueva planta. A esos efectos, argumenta que la granja es una nave de ciclo cerrado para el desarrollo de la actividad de cubrimiento, gestación, cría y cebo de cerdos, de modo tal que el cese de actividad en la nave de nueva planta, que es donde están las cerdas parteras y se realiza la gestación y el destete de lechones, supondría la ruptura del ciclo al perderse la actividad reproductiva de la granja y, por tanto, comportaría el irremediable cierre de la actividad, tal como se pone de manifiesto en el informe veterinario que consta en las actuaciones en relación con la afectación que comportaría el derribo de la nave a la actividad productiva de la granja. Igualmente destaca que esta granja es el único medio de vida del recurrente y que de llevarse a cabo la ejecución de la resolución </w:t>
      </w:r>
      <w:r>
        <w:lastRenderedPageBreak/>
        <w:t>impugnada se llegaría a una situación de irreversibilidad del cierre que haría ilusoria una eventual estimación del amparo. Por último, también se incide en que la suspensión de la ejecución no implica una perturbación grave a ningún interés constitucional protegido o a derechos de terceros al tratarse de una actividad que viene desarrollando desde 1973.</w:t>
      </w:r>
    </w:p>
    <w:p w:rsidR="00BE7FB3" w:rsidRDefault="00BE7FB3" w:rsidP="00BE7FB3">
      <w:pPr>
        <w:pStyle w:val="TextoNormal"/>
      </w:pPr>
    </w:p>
    <w:p w:rsidR="00BE7FB3" w:rsidRDefault="00BE7FB3" w:rsidP="00BE7FB3">
      <w:pPr>
        <w:pStyle w:val="TextoNormal"/>
      </w:pPr>
      <w:r w:rsidRPr="00BE7FB3">
        <w:rPr>
          <w:rStyle w:val="NumeroAFNegritaCaracter"/>
        </w:rPr>
        <w:t>4</w:t>
      </w:r>
      <w:r>
        <w:t>. La Sala Segunda de este Tribunal, mediante sendas providencias de 19 de noviembre de 2012, acordó la formación de pieza separada para la tramitación del incidente sobre la suspensión solicitada y conceder al recurrente y al Ministerio Fiscal el plazo común de tres días para que alegasen lo que estimasen pertinente sobre dicha suspensión.</w:t>
      </w:r>
    </w:p>
    <w:p w:rsidR="00BE7FB3" w:rsidRDefault="00BE7FB3" w:rsidP="00BE7FB3">
      <w:pPr>
        <w:pStyle w:val="TextoNormal"/>
      </w:pPr>
    </w:p>
    <w:p w:rsidR="00BE7FB3" w:rsidRDefault="00BE7FB3" w:rsidP="00BE7FB3">
      <w:pPr>
        <w:pStyle w:val="TextoNormal"/>
      </w:pPr>
      <w:r w:rsidRPr="00BE7FB3">
        <w:rPr>
          <w:rStyle w:val="NumeroAFNegritaCaracter"/>
        </w:rPr>
        <w:t>5</w:t>
      </w:r>
      <w:r>
        <w:t>. El Ministerio Fiscal, por escrito registrado el 29 de noviembre de 2012, presentó alegaciones en las que, enunciando la jurisprudencia de este Tribunal sobre el particular, interesó que se denegara la suspensión solicitada. Así, señala que la suspensión tiene un contenido económico referido al cese del uso y actividad de la nueva nave de una granja que ya venía funcionando con anterioridad y que, si bien el recurrente ha alegado que dicho cese afectaría al resto de la explotación, que es su único medio de vida, hasta implicar su cierre, sin embargo, nada se acredita ni sobre dichas consecuencias económicas personales ni sobre el condicionamiento existente entre la nueva nave y el resto de la explotación como determinante del cese total de la misma.</w:t>
      </w:r>
    </w:p>
    <w:p w:rsidR="00BE7FB3" w:rsidRDefault="00BE7FB3" w:rsidP="00BE7FB3">
      <w:pPr>
        <w:pStyle w:val="TextoNormal"/>
      </w:pPr>
    </w:p>
    <w:p w:rsidR="00BE7FB3" w:rsidRDefault="00BE7FB3" w:rsidP="00BE7FB3">
      <w:pPr>
        <w:pStyle w:val="TextoNormal"/>
      </w:pPr>
      <w:r w:rsidRPr="00BE7FB3">
        <w:rPr>
          <w:rStyle w:val="NumeroAFNegritaCaracter"/>
        </w:rPr>
        <w:t>6</w:t>
      </w:r>
      <w:r>
        <w:t>. El recurrente no ha presentado alegaciones.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 En atención a esta previsión legal, el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de tal modo que la adopción de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(por todos, ATC 124/2012, de 18 de junio, FJ 1). Igualmente se ha hecho especial incidencia, por un lado, en que la acreditación del perjuicio es carga del recurrente, quien debe precisar los concretos perjuicios que de la ejecución se deriven, así como justificar o argumentar razonadamente la irreparabilidad de los mismos; y, por otro, que el perjuicio irreparable debe ser real, sin que sea posible alegar un perjuicio futuro o hipotético o un simple temor y que la pérdida de la finalidad del amparo no puede equipararse a la mayor o menor dificultad, molestia o incomodidad para el recurrente (por todos, ATC 81/2012, de 7 de mayo, FJ 3).</w:t>
      </w:r>
    </w:p>
    <w:p w:rsidR="00BE7FB3" w:rsidRDefault="00BE7FB3" w:rsidP="00BE7FB3">
      <w:pPr>
        <w:pStyle w:val="TextoNormal"/>
      </w:pPr>
    </w:p>
    <w:p w:rsidR="00BE7FB3" w:rsidRDefault="00BE7FB3" w:rsidP="00BE7FB3">
      <w:pPr>
        <w:pStyle w:val="TextoNormal"/>
      </w:pPr>
      <w:r>
        <w:t>Asimismo este Tribunal ha establecido el criterio de que la ejecución de las resoluciones judiciales cuyos efectos son fundamentalmente patrimoniales o de contenido económico, con carácter general, ni causa un perjuicio irreparable al obligado al pago, ni puede hacer perder al amparo su finalidad, al ser posible la restitución íntegra de lo ejecutado. De ese modo, sólo se ha accedido a la suspensión en supuestos excepcionales en los que la ejecución de las resoluciones recurridas en amparo acarrearía perjuicios económicos muy difícilmente reparables por su entidad o por la irreversibilidad de las situaciones jurídicas que puedan producirse (por todos, ATC 81/2012, de 7 de mayo, FJ 2). A ese respecto, cabe destacar que este Tribunal ha otorgado la suspensión en casos en los que la ejecución comportaba el cierre de una explotación ganadera por entender que, dada la situación económica de la empresa propietaria de la referida explotación, tal medida acarreaba su quiebra y la pérdida de empleo de sus trabajadores (ATC 110/1998, de 18 de mayo); la suspensión de la concesión de una expendeduría de tabacos durante setenta y cinco días, al considerar que el cierre temporal de un negocio ocasiona unos perjuicios irreparables no sólo porque durante ese tiempo no se puede ejercer la actividad negocial, sino porque también se afecta a otros elementos inmateriales del negocio, como son el mantenimiento de la clientela y la buena fama del establecimiento (ATC 250/2001, de 17 de septiembre); la demolición de locales de negocios que se encontraban arrendados en atención a los perjuicios que se ocasionaría a los arrendatarios de los referidos locales (ATC 263/2003, de 15 de julio); el cierre de un local de negocio durante doce meses, ya que ello suponía que la recurrente no pudiera ejercer la actividad empresarial que desempeñaba en el referido local y tuviera que despedir a los trabajadores que prestaban servicios en el mismo (ATC 333/2004, de 13 de septiembre); o la demolición de un edificio en el que se ubicaba un restaurante, al implicar el cierre del negocio (ATC 154/2005, de 18 de abril).</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En el presente caso, tal como ha sido desarrollado más ampliamente en los antecedentes, el recurrente fundamenta la solicitud de suspensión en el hecho de que el cese de la actividad en la nave de nueva planta construida dentro del complejo de la granja de explotación porcina, que actualmente se destina a alojar a las cerdas parteras, implicaría irremediablemente el fin de toda la actividad productiva de la granja por tratarse de una explotación de ciclo cerrado. </w:t>
      </w:r>
    </w:p>
    <w:p w:rsidR="00BE7FB3" w:rsidRDefault="00BE7FB3" w:rsidP="00BE7FB3">
      <w:pPr>
        <w:pStyle w:val="TextoNormal"/>
      </w:pPr>
    </w:p>
    <w:p w:rsidR="00BE7FB3" w:rsidRDefault="00BE7FB3" w:rsidP="00BE7FB3">
      <w:pPr>
        <w:pStyle w:val="TextoNormal"/>
      </w:pPr>
      <w:r>
        <w:t xml:space="preserve">En atención a lo expuesto, y tal como también ha interesado el Ministerio Fiscal, no procede acceder a la suspensión solicitada. A pesar de la pretensión del recurrente de hacer una traslación directa de la doctrina constitucional citada sobre la suspensión en casos de demolición de locales de negocio u ordenación de ceses de actividades, debe destacarse que en el presente caso la suspensión no aparece referida a una orden de cese de un negocio, sino, meramente, ante una orden de cese de una concreta actividad que se está desarrollando dentro de una también concreta nave que forma parte del complejo de la explotación porcina. A partir de ello, la sola alegación de que el cese de esa concreta actividad supondrá el cierre de toda la explotación no deja de ser una afirmación hipotética carente de la necesaria acreditación, especialmente tomando en consideración que, más allá de las eventuales molestias que ello podría implicar, no aparece suficientemente justificada la imposibilidad de una reubicación de esta concreta actividad bien en otros espacios de la granja, bien en cualquier otro lugar que cuente con la necesaria licencia de actividad. </w:t>
      </w:r>
    </w:p>
    <w:p w:rsidR="00BE7FB3" w:rsidRDefault="00BE7FB3" w:rsidP="00BE7FB3">
      <w:pPr>
        <w:pStyle w:val="TextoNormal"/>
      </w:pPr>
    </w:p>
    <w:p w:rsidR="00BE7FB3" w:rsidRDefault="00BE7FB3" w:rsidP="00BE7FB3">
      <w:pPr>
        <w:pStyle w:val="TextoNormal"/>
      </w:pPr>
      <w:r>
        <w:lastRenderedPageBreak/>
        <w:t>Por otro lado, en el momento de valorar la eventual perturbación que tendría la suspensión sobre un interés constitucionalmente protegido o a los derechos fundamentales o libertades públicas de otra persona, también deben ponderarse las circunstancias de la naturaleza misma de la actividad cuyo cese se ha ordenado, por sus implicaciones medioambientales y sanitarias, y las razones por las que judicialmente se ha acordado dicho cese. A esos, efectos cabe incidir en lo señalado en la resolución de apelación impugnada de que “por más que el apelante pudiese disponer de una licencia o licencias de actividad otorgada en su momento …, no puede pretender extender sus efectos a cualquier actividad, ni idéntica ni diferente, que desarrolle en la actualidad, cuando no constan en autos que, transcurrido con exceso todos los plazos al efecto prevenidos en las disposiciones transitorias de la Ley 3/1998, de 27 de febrero, de la intervención integral de la Administración ambiental en Cataluña (y su normativa de desarrollo), haya obtenido licencia para la adecuación de tal actividad a las disposiciones de esta … ni el correspondiente control inicial previa a su inicio, con lo que la única conclusión factible es la de que carece de licencia de actividad alguna” (fundamento de Derecho quinto). De ese modo, la circunstancia de que se trate de una actividad que judicialmente se considera que no cuenta con la necesaria cobertura de una licencia que garantice un control de la misma, también debe ser determinante para rechazar suspender la orden de cesar en la misma.</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Denegar la suspensión solicitada en el recurso de amparo núm. 2434-2012.</w:t>
      </w:r>
    </w:p>
    <w:p w:rsidR="00BE7FB3" w:rsidRDefault="00BE7FB3" w:rsidP="00BE7FB3">
      <w:pPr>
        <w:pStyle w:val="TextoNormal"/>
      </w:pPr>
    </w:p>
    <w:p w:rsidR="00BE7FB3" w:rsidRDefault="00BE7FB3" w:rsidP="00BE7FB3">
      <w:pPr>
        <w:pStyle w:val="TextoNormal"/>
      </w:pPr>
      <w:r>
        <w:t>Madrid, a veintiocho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62" w:name="AUTO_2013_21"/>
      <w:r>
        <w:lastRenderedPageBreak/>
        <w:t>AUTO 21/2013, de 28 de enero de 2013</w:t>
      </w:r>
    </w:p>
    <w:bookmarkEnd w:id="162"/>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ECLI:ES:TC:2013:21A</w:t>
      </w:r>
    </w:p>
    <w:p w:rsidR="00BE7FB3" w:rsidRDefault="00BE7FB3" w:rsidP="00BE7FB3">
      <w:pPr>
        <w:pStyle w:val="SntesisDescriptiva"/>
      </w:pPr>
    </w:p>
    <w:p w:rsidR="00BE7FB3" w:rsidRDefault="00BE7FB3" w:rsidP="00BE7FB3">
      <w:pPr>
        <w:pStyle w:val="SntesisDescriptiva"/>
      </w:pPr>
      <w:r>
        <w:t>Excms. Srs. don Pascual Sala Sánchez,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Inadmite a trámite el recurso de amparo 3898-2012, promovido por don Iker Moreno Ibáñez, sobre archivo de causa penal.</w:t>
      </w:r>
    </w:p>
    <w:p w:rsidR="00BE7FB3" w:rsidRDefault="00BE7FB3" w:rsidP="00BE7FB3">
      <w:pPr>
        <w:pStyle w:val="SntesisDescriptiva"/>
      </w:pPr>
    </w:p>
    <w:p w:rsidR="00BE7FB3" w:rsidRDefault="00BE7FB3" w:rsidP="00BE7FB3">
      <w:pPr>
        <w:pStyle w:val="SntesisAnaltica"/>
      </w:pPr>
      <w:r>
        <w:t>Inadmisión de recurso de amparo: falta de invocación del derecho vulnerado; inadmisión de recurso de amparo por Auto.</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el 26 de junio de 2011, la Procuradora de los Tribunales doña Ana Isabel Lobera Argüelles, actuando en nombre y representación de don Iker Moreno Ibáñez, interpuso recurso de amparo frente a las resoluciones citadas en el encabezamiento.</w:t>
      </w:r>
    </w:p>
    <w:p w:rsidR="00BE7FB3" w:rsidRDefault="00BE7FB3" w:rsidP="00BE7FB3">
      <w:pPr>
        <w:pStyle w:val="TextoNormal"/>
      </w:pPr>
    </w:p>
    <w:p w:rsidR="00BE7FB3" w:rsidRDefault="00BE7FB3" w:rsidP="00BE7FB3">
      <w:pPr>
        <w:pStyle w:val="TextoNormal"/>
      </w:pPr>
      <w:r w:rsidRPr="00BE7FB3">
        <w:rPr>
          <w:rStyle w:val="NumeroAFNegritaCaracter"/>
        </w:rPr>
        <w:t>2</w:t>
      </w:r>
      <w:r>
        <w:t>. El recurso tiene su origen en los siguientes antecedentes:</w:t>
      </w:r>
    </w:p>
    <w:p w:rsidR="00BE7FB3" w:rsidRDefault="00BE7FB3" w:rsidP="00BE7FB3">
      <w:pPr>
        <w:pStyle w:val="TextoNormal"/>
      </w:pPr>
    </w:p>
    <w:p w:rsidR="00BE7FB3" w:rsidRDefault="00BE7FB3" w:rsidP="00BE7FB3">
      <w:pPr>
        <w:pStyle w:val="TextoNormal"/>
      </w:pPr>
      <w:r>
        <w:t>a) Don Iker Moreno Ibáñez formuló denuncia contra los agentes de la guardia civil que procedieron a su traslado a Madrid desde Pamplona el 18 de enero de 2011, cuando fue detenido, y por lo acaecido en los sucesivos interrogatorios realizados durante el tiempo en que permaneció incomunicado. Denunciaba diversos actos que serían expresivos de malos tratos y torturas y solicitaba diligencias de prueba para acreditarlos que, como posteriormente se relatará, sólo fueron practicadas parcialmente. Afirmaba también, en varias ocasiones, que durante su incomunicación dio cuenta de aquellos hechos al médico forense.</w:t>
      </w:r>
    </w:p>
    <w:p w:rsidR="00BE7FB3" w:rsidRDefault="00BE7FB3" w:rsidP="00BE7FB3">
      <w:pPr>
        <w:pStyle w:val="TextoNormal"/>
      </w:pPr>
    </w:p>
    <w:p w:rsidR="00BE7FB3" w:rsidRDefault="00BE7FB3" w:rsidP="00BE7FB3">
      <w:pPr>
        <w:pStyle w:val="TextoNormal"/>
      </w:pPr>
      <w:r>
        <w:t>b) Admitida a trámite la denuncia, se practicaron las diligencias consistentes en la toma de declaración al denunciante, la unión a los autos de su declaración como detenido en dependencias de la Guardia Civil y la incorporación de los informes medico-forenses. El informe de 18 de enero de 2011, de la clínica forense de Pamplona, objetivaba equimosis en dorso de ambas muñecas, erosión con costra de 2 centímetros en rodilla derecha y erosión con costra de 2 centímetros en rodilla izquierda, sin lesiones traumáticas añadidas en el resto de la superficie corporal. Se incorporaron, asimismo, los informes médico-forenses de 18 de enero, 19 de enero, 20 de enero y 21 de enero de 2011, realizados en dependencias de la Dirección General de la Guardia Civil en Madrid, que indican, sucesivamente, lo siguiente:</w:t>
      </w:r>
    </w:p>
    <w:p w:rsidR="00BE7FB3" w:rsidRDefault="00BE7FB3" w:rsidP="00BE7FB3">
      <w:pPr>
        <w:pStyle w:val="TextoNormal"/>
      </w:pPr>
    </w:p>
    <w:p w:rsidR="00BE7FB3" w:rsidRDefault="00BE7FB3" w:rsidP="00BE7FB3">
      <w:pPr>
        <w:pStyle w:val="TextoNormal"/>
      </w:pPr>
      <w:r>
        <w:lastRenderedPageBreak/>
        <w:t>- “Se observa normocoloreado, con puntos erosivos antiguos en dorso de manos (dice que este fin de semana estuvo en el monte y se pinchó con zarzas). Está consciente, orientado en tiempo y espacio, lenguaje y discurso coherentes, porte tranquilo.”</w:t>
      </w:r>
    </w:p>
    <w:p w:rsidR="00BE7FB3" w:rsidRDefault="00BE7FB3" w:rsidP="00BE7FB3">
      <w:pPr>
        <w:pStyle w:val="TextoNormal"/>
      </w:pPr>
    </w:p>
    <w:p w:rsidR="00BE7FB3" w:rsidRDefault="00BE7FB3" w:rsidP="00BE7FB3">
      <w:pPr>
        <w:pStyle w:val="TextoNormal"/>
      </w:pPr>
      <w:r>
        <w:t>- “Se observa normocoloreado, está consciente, orientado en tiempo y espacio, lenguaje y discurso coherentes, porte tranquilo. Presenta una buena coloración de piel y mucosas, pupilas isocóricas y normoreactivas, leve saburra lengua, no fetor. TA 120770, 70 p.m., auscultación C-P normal. En zona acromial de hombro derecho presenta un área equimótica irregular así como otra en zona de trapecio derecho, evolucionadas. Extremidades inferiores en movilidad funcional conservada, no apreciándose contracturas. Resto de la superficie corporal sin signos de violencia. No se descubre partes íntimas. Está consciente, orientado en tiempo y espacio, lenguaje y discurso coherentes, porte tranquilo.”</w:t>
      </w:r>
    </w:p>
    <w:p w:rsidR="00BE7FB3" w:rsidRDefault="00BE7FB3" w:rsidP="00BE7FB3">
      <w:pPr>
        <w:pStyle w:val="TextoNormal"/>
      </w:pPr>
    </w:p>
    <w:p w:rsidR="00BE7FB3" w:rsidRDefault="00BE7FB3" w:rsidP="00BE7FB3">
      <w:pPr>
        <w:pStyle w:val="TextoNormal"/>
      </w:pPr>
      <w:r>
        <w:t>- “Refiere estar tranquilo, algo dolorido, que cenó un bocadillo de jamón y queso y ha desayunado un café con leche y dos magdalenas, sí ha dormido, que no ha sufrido maltrato desde el último reconocimiento. Preguntado si quiere ser reconocido, manifiesta que no. Se observa normocoloreado, está consciente, orientado en tiempo y espacio, lenguaje y discurso coherentes, porte tranquilo.”</w:t>
      </w:r>
    </w:p>
    <w:p w:rsidR="00BE7FB3" w:rsidRDefault="00BE7FB3" w:rsidP="00BE7FB3">
      <w:pPr>
        <w:pStyle w:val="TextoNormal"/>
      </w:pPr>
    </w:p>
    <w:p w:rsidR="00BE7FB3" w:rsidRDefault="00BE7FB3" w:rsidP="00BE7FB3">
      <w:pPr>
        <w:pStyle w:val="TextoNormal"/>
      </w:pPr>
      <w:r>
        <w:t>- “Que ha declarado con abogado de oficio sobre las 19:15-19:50 horas. Preguntado, si quiere ser reconocido, manifiesta que no, solo se descubre extremidades inferiores, no apreciándose patología. (Signo del cajón negativo, no alteración movilidad, no edemas). Se observa normocoloreado, está consciente, orientado en tiempo y espacio, lenguaje y discurso coherentes, porte tranquilo. Se indica que se le facilite un paracetamol.”</w:t>
      </w:r>
    </w:p>
    <w:p w:rsidR="00BE7FB3" w:rsidRDefault="00BE7FB3" w:rsidP="00BE7FB3">
      <w:pPr>
        <w:pStyle w:val="TextoNormal"/>
      </w:pPr>
    </w:p>
    <w:p w:rsidR="00BE7FB3" w:rsidRDefault="00BE7FB3" w:rsidP="00BE7FB3">
      <w:pPr>
        <w:pStyle w:val="TextoNormal"/>
      </w:pPr>
      <w:r>
        <w:t>- “Refiere estar bien, que cenó un bocadillo de chorizo y agua y ha desayunado café con leche y dos magdalenas. Que no ha sufrido maltrato. Dice que le sigue molestando la rodilla derecha. Se indica que se le facilite un analgésico. Preguntado, si quiere ser reconocido, manifiesta que no. Se observa normocoloreado, está consciente, orientado en tiempo y espacio, lenguaje y discurso coherentes, porte tranquilo. Desde el punto de vista médico-legal sí reúne condiciones para prestar declaración.”</w:t>
      </w:r>
    </w:p>
    <w:p w:rsidR="00BE7FB3" w:rsidRDefault="00BE7FB3" w:rsidP="00BE7FB3">
      <w:pPr>
        <w:pStyle w:val="TextoNormal"/>
      </w:pPr>
    </w:p>
    <w:p w:rsidR="00BE7FB3" w:rsidRDefault="00BE7FB3" w:rsidP="00BE7FB3">
      <w:pPr>
        <w:pStyle w:val="TextoNormal"/>
      </w:pPr>
      <w:r>
        <w:t xml:space="preserve">c) Por Auto de 2 de marzo de 2012, se acordó el sobreseimiento provisional y el archivo de la causa, </w:t>
      </w:r>
      <w:r w:rsidRPr="00BE7FB3">
        <w:rPr>
          <w:i/>
        </w:rPr>
        <w:t>ex</w:t>
      </w:r>
      <w:r>
        <w:t xml:space="preserve"> artículo 641-1 de la Ley de enjuiciamiento criminal, dado que de lo actuado —decía escuetamente la resolución—, no aparecía debidamente justificada la perpetración del delito que diera lugar a la formación de la causa.</w:t>
      </w:r>
    </w:p>
    <w:p w:rsidR="00BE7FB3" w:rsidRDefault="00BE7FB3" w:rsidP="00BE7FB3">
      <w:pPr>
        <w:pStyle w:val="TextoNormal"/>
      </w:pPr>
    </w:p>
    <w:p w:rsidR="00BE7FB3" w:rsidRDefault="00BE7FB3" w:rsidP="00BE7FB3">
      <w:pPr>
        <w:pStyle w:val="TextoNormal"/>
      </w:pPr>
      <w:r>
        <w:t>d) El citado Auto fue recurrido en apelación por la representación procesal del recurrente en amparo. Solicitaba que se dejase esa resolución sin efecto y se procediese a “acordar lo necesario para que prosiga la instrucción de las actuaciones en garantía de los derechos que asisten a mi representado como víctima del delito de torturas y malos tratos”. A tal fin, reprochaba que la actividad probatoria desplegada no respondió ni a las necesidades de investigación ni a la solicitud de la parte denunciante, como era preciso ante la especial gravedad de los hechos, y que el sobreseimiento resultaba, en consecuencia, anticipado, con la consiguiente lesión de los arts. 24.1, 24.2 y 15 CE.</w:t>
      </w:r>
    </w:p>
    <w:p w:rsidR="00BE7FB3" w:rsidRDefault="00BE7FB3" w:rsidP="00BE7FB3">
      <w:pPr>
        <w:pStyle w:val="TextoNormal"/>
      </w:pPr>
    </w:p>
    <w:p w:rsidR="00BE7FB3" w:rsidRDefault="00BE7FB3" w:rsidP="00BE7FB3">
      <w:pPr>
        <w:pStyle w:val="TextoNormal"/>
      </w:pPr>
      <w:r>
        <w:t xml:space="preserve">Para sustentar tales quejas, el recurso mantenía que las declaraciones del afectado eran indicativas del delito y que los informes médicos aportados lo confirmaban. Más allá de </w:t>
      </w:r>
      <w:r>
        <w:lastRenderedPageBreak/>
        <w:t>ello, concretaba su pretensión en aquella petición genérica que transcribimos en el párrafo anterior “acordar lo necesario para que prosiga la instrucción”, resaltando explícitamente, eso sí, la aptitud probatoria de tres diligencias de prueba no practicadas; a saber: la aportación de las actas de los registros domiciliarios efectuados, la declaración judicial prestada ante el Juez en la Audiencia Nacional y la toma de declaración al médico forense. No se aludía, en cambio, a otras pruebas que se citaban en la denuncia inicial; señaladamente, la realización de un nuevo examen médico; la aportación de las grabaciones que se hubieran practicado durante los días de su incomunicación; la información sobre las diligencias llevadas a cabo en ese período; la solicitud de declaración del abogado de oficio o, en fin, la identificación de los guardias civiles que participaron en los hechos.</w:t>
      </w:r>
    </w:p>
    <w:p w:rsidR="00BE7FB3" w:rsidRDefault="00BE7FB3" w:rsidP="00BE7FB3">
      <w:pPr>
        <w:pStyle w:val="TextoNormal"/>
      </w:pPr>
    </w:p>
    <w:p w:rsidR="00BE7FB3" w:rsidRDefault="00BE7FB3" w:rsidP="00BE7FB3">
      <w:pPr>
        <w:pStyle w:val="TextoNormal"/>
      </w:pPr>
      <w:r>
        <w:t>La Sección Primera de la Audiencia Provincial de Navarra, por Auto de 15 de mayo de 2012, dictado en el rollo de apelación núm. 124-2012, desestimó el recurso. Razona el Tribunal que resulta improcedente continuar un proceso penal para la práctica de diligencias que no supongan un avance relevante en la investigación, como sería el caso puesto que, tras la revisión de los autos, se constata que durante el tiempo de la detención del denunciante, en el que relata se produjeron las torturas, no constan indicios de la perpetración del maltrato policial. Al objeto de razonarlo, subraya que los reconocimientos médicos que tuvieron lugar no revelan ningún indicio de lo alegado; que no existe constatación de las lesiones en ninguno de los casos en que se manifestaron los médicos; que el médico forense no apreció ninguna lesión física ni psíquica reveladora de dichas agresiones policiales, por lo que éstas carecen de medio alguno de corroboración; y que tan solo consta la declaración del denunciante, cuya eficacia, a falta de corroboraciones periféricas, no puede revelarse suficiente para justificar la continuación del procedimiento.</w:t>
      </w:r>
    </w:p>
    <w:p w:rsidR="00BE7FB3" w:rsidRDefault="00BE7FB3" w:rsidP="00BE7FB3">
      <w:pPr>
        <w:pStyle w:val="TextoNormal"/>
      </w:pPr>
    </w:p>
    <w:p w:rsidR="00BE7FB3" w:rsidRDefault="00BE7FB3" w:rsidP="00BE7FB3">
      <w:pPr>
        <w:pStyle w:val="TextoNormal"/>
      </w:pPr>
      <w:r>
        <w:t>Destaca después que el apelante interesa que el procedimiento continúe, pero no expresa qué diligencias considera indispensables para la averiguación. En concreto —dice el Auto de la Audiencia Provincial—, en la denuncia se interesó la incorporación de las grabaciones realizadas por videocámara durante los días que estuvo incomunicado y la declaración del Abogado de oficio; diligencias ambas que considera inocuas para el fin pretendido, ya que, de una parte, no se grabarían las supuestas torturas denunciadas, y, de otra parte, el Letrado de oficio hubiera denunciado, en su caso, los hechos que se denuncian. Finalmente, declara que no se ha aportado ningún informe que avale que pueda el denunciante padecer algún tipo de menoscabo psíquico, por lo que no procedería tampoco acordar una pericial médico-forense en relación a una patología no acreditada.</w:t>
      </w:r>
    </w:p>
    <w:p w:rsidR="00BE7FB3" w:rsidRDefault="00BE7FB3" w:rsidP="00BE7FB3">
      <w:pPr>
        <w:pStyle w:val="TextoNormal"/>
      </w:pPr>
    </w:p>
    <w:p w:rsidR="00BE7FB3" w:rsidRDefault="00BE7FB3" w:rsidP="00BE7FB3">
      <w:pPr>
        <w:pStyle w:val="TextoNormal"/>
      </w:pPr>
      <w:r w:rsidRPr="00BE7FB3">
        <w:rPr>
          <w:rStyle w:val="NumeroAFNegritaCaracter"/>
        </w:rPr>
        <w:t>3</w:t>
      </w:r>
      <w:r>
        <w:t>. El recurrente aduce en su demanda de amparo que se han vulnerado sus derechos a la integridad física y moral (art. 15 CE), a la tutela judicial efectiva (art. 24.1 CE) y a un proceso con todas la garantías y al uso de los medios pertinentes de prueba para la defensa (art. 24.2 CE).</w:t>
      </w:r>
    </w:p>
    <w:p w:rsidR="00BE7FB3" w:rsidRDefault="00BE7FB3" w:rsidP="00BE7FB3">
      <w:pPr>
        <w:pStyle w:val="TextoNormal"/>
      </w:pPr>
    </w:p>
    <w:p w:rsidR="00BE7FB3" w:rsidRDefault="00BE7FB3" w:rsidP="00BE7FB3">
      <w:pPr>
        <w:pStyle w:val="TextoNormal"/>
      </w:pPr>
      <w:r>
        <w:t>La primera queja la fundamenta en la propia denuncia interpuesta en su momento, que comprende agresiones físicas de diferente intensidad, humillaciones y agresiones de carácter sexual, coacciones, amenazas, así como maltratos de palabra lesivos para su integridad moral, indicando que la vulneración deviene de la inexistencia de un procedimiento judicial que haya permitido una reparación jurídica suficiente.</w:t>
      </w:r>
    </w:p>
    <w:p w:rsidR="00BE7FB3" w:rsidRDefault="00BE7FB3" w:rsidP="00BE7FB3">
      <w:pPr>
        <w:pStyle w:val="TextoNormal"/>
      </w:pPr>
    </w:p>
    <w:p w:rsidR="00BE7FB3" w:rsidRDefault="00BE7FB3" w:rsidP="00BE7FB3">
      <w:pPr>
        <w:pStyle w:val="TextoNormal"/>
      </w:pPr>
      <w:r>
        <w:lastRenderedPageBreak/>
        <w:t>La segunda de las quejas se encabeza con la cita del art. 24 CE y de diversas Sentencias de este Tribunal Constitucional y del Tribunal Europeo de Derechos Humanos. Defiende que la limitación de la investigación es más que evidente en el presente caso, ya que de todas las diligencias propuestas únicamente se llevaron a cabo por el Juzgado instructor dos de ellas, con cuya valoración la parte recurrente discrepa, habiéndose obviado las restantes. En suma, a su juicio se ha dictado el sobreseimiento y archivo de las actuaciones sin una indagación suficiente.</w:t>
      </w:r>
    </w:p>
    <w:p w:rsidR="00BE7FB3" w:rsidRDefault="00BE7FB3" w:rsidP="00BE7FB3">
      <w:pPr>
        <w:pStyle w:val="TextoNormal"/>
      </w:pPr>
    </w:p>
    <w:p w:rsidR="00BE7FB3" w:rsidRDefault="00BE7FB3" w:rsidP="00BE7FB3">
      <w:pPr>
        <w:pStyle w:val="TextoNormal"/>
      </w:pPr>
      <w:r>
        <w:t>En la demanda se expone la importancia que tiene la declaración del denunciante en este tipo de delitos, admitiéndose que la misma fue practicada. Sin embargo, reprocha que no se otorgara credibilidad a su testimonio a pesar de venir acompañado de corroboraciones periféricas de carácter objetivo, que lo dotaban de aptitud probatoria y verosimilitud, y subraya la persistencia en la incriminación sin ambigüedades, contradicciones o fisuras, con la misma versión a lo largo de toda la causa.</w:t>
      </w:r>
    </w:p>
    <w:p w:rsidR="00BE7FB3" w:rsidRDefault="00BE7FB3" w:rsidP="00BE7FB3">
      <w:pPr>
        <w:pStyle w:val="TextoNormal"/>
      </w:pPr>
    </w:p>
    <w:p w:rsidR="00BE7FB3" w:rsidRDefault="00BE7FB3" w:rsidP="00BE7FB3">
      <w:pPr>
        <w:pStyle w:val="TextoNormal"/>
      </w:pPr>
      <w:r>
        <w:t>Se queja también, como se adelantó, de que no se practicaran todas las pruebas solicitadas. Así, en concreto, el denunciante no fue reconocido física y psicológicamente para valorar las lesiones y secuelas; no se procedió a la toma de declaración de los médicos forenses que realizaron los informes; no se aportaron a la causa las grabaciones —que dice— realizadas por videocámara durante los días en que permaneció incomunicado, como tampoco la declaración judicial que efectuó cuando fue puesto a disposición judicial en la Audiencia Nacional o la información relativa a las diligencias practicadas durante los cinco días que permaneció incomunicado; no se aportaron las copias de las actas de los registros domiciliarios del día de su detención, 18 de enero de 2011; no se tomó declaración al Abogado que le asistió de oficio, tanto en dependencias de la Guardia Civil como en la Audiencia Nacional; y, finalmente, no se ofició a las dependencias de la Guardia Civil en las que el recurrente permaneció incomunicado para que se informara acerca de las personas que participaron en la detención, o bajo cuya custodia hubiera permanecido durante la misma. En relación con esto último, aclara que la identificación de los agentes actuantes tenía como razón de ser hacer que los mismos prestasen declaración, lo que era de vital importancia para valorar la credibilidad y verosimilitud del testimonio del denunciante. Interrogar a los agentes encargados de su transferencia y vigilancia durante la detención preventiva habría podido contribuir, dice, a la explicación de los hechos y al castigo de los posibles responsables.</w:t>
      </w:r>
    </w:p>
    <w:p w:rsidR="00BE7FB3" w:rsidRDefault="00BE7FB3" w:rsidP="00BE7FB3">
      <w:pPr>
        <w:pStyle w:val="TextoNormal"/>
      </w:pPr>
    </w:p>
    <w:p w:rsidR="00BE7FB3" w:rsidRDefault="00BE7FB3" w:rsidP="00BE7FB3">
      <w:pPr>
        <w:pStyle w:val="TextoNormal"/>
      </w:pPr>
      <w:r>
        <w:t>Todo ello evidenciaría una vulneración del art. 24.2 CE, pues dichas diligencias eran absolutamente indispensables, sensatas, prudentes y convenientes para adoptar la decisión de dar continuidad a la causa u optar por el sobreseimiento libre y archivo de la misma en un delito de tal gravedad. Por lo demás, en su opinión, la perpetración del delito quedaba suficientemente acreditada con sus declaraciones, en contra de lo que declaró sin motivación el Juzgado instructor en su Auto de 2 de marzo de 2012, o de lo que concluyó el Auto dictado por la Sección Primera de la Audiencia Provincial de Navarra, de 15 de mayo de 2012, que negó la existencia de indicios sin tener en cuenta que la ausencia de signos de agresiones físicas carece de la fuerza suficiente para despejar toda sospecha; sin tomar en consideración la brevedad de los informes realizados por el médico forense y, en fin, sin advertir que no cumplían los formularios estandarizados y legalmente vigentes, otorgando a dichos informes, en suma, una calidad que no poseían.</w:t>
      </w:r>
    </w:p>
    <w:p w:rsidR="00BE7FB3" w:rsidRDefault="00BE7FB3" w:rsidP="00BE7FB3">
      <w:pPr>
        <w:pStyle w:val="TextoNormal"/>
      </w:pPr>
    </w:p>
    <w:p w:rsidR="00BE7FB3" w:rsidRDefault="00BE7FB3" w:rsidP="00BE7FB3">
      <w:pPr>
        <w:pStyle w:val="TextoNormal"/>
      </w:pPr>
      <w:r>
        <w:lastRenderedPageBreak/>
        <w:t>Con esta lógica, concluye, el ejercido de la acción penal en denuncia de un delito de torturas se convierte en un verdadero calvario, donde a la parte denunciante le corresponde ofrecer indicios o pruebas que, sin la ayuda de la labor instructora, no puede obtener. Por todo lo cual, interesa la estimación del recurso con revocación de los Autos del Juzgado de Instrucción núm. 3 de Pamplona, de 2 de marzo de 2012, y de la Audiencia Provincial de Navarra, de 15 de mayo de 2012, y la reapertura de la causa para la práctica de las diligencias de prueba necesarias al objeto del total esclarecimiento de los hechos.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xml:space="preserve">. El presente recurso de amparo se interpone contra el Auto de la Sección Primera de la Audiencia Provincial de Navarra, de 15 de mayo de 2012, dictado en el recurso de apelación núm. 124-2012, formulado contra el Auto del Juzgado de Instrucción núm. 3 de Pamplona, de 2 de marzo de 2012, en procedimiento de diligencias previas núm.2189-2011, de los que se ha derivado el sobreseimiento provisional y el archivo de la causa, </w:t>
      </w:r>
      <w:r w:rsidRPr="00BE7FB3">
        <w:rPr>
          <w:i/>
        </w:rPr>
        <w:t>ex</w:t>
      </w:r>
      <w:r>
        <w:t xml:space="preserve"> artículo 641-1 de la Ley de enjuiciamiento criminal, al no aparecer debidamente justificada la perpetración del denunciado delito de torturas.</w:t>
      </w:r>
    </w:p>
    <w:p w:rsidR="00BE7FB3" w:rsidRDefault="00BE7FB3" w:rsidP="00BE7FB3">
      <w:pPr>
        <w:pStyle w:val="TextoNormal"/>
      </w:pPr>
    </w:p>
    <w:p w:rsidR="00BE7FB3" w:rsidRDefault="00BE7FB3" w:rsidP="00BE7FB3">
      <w:pPr>
        <w:pStyle w:val="TextoNormal"/>
      </w:pPr>
      <w:r>
        <w:t>La queja articulada es, por tanto, la de quien denuncia haber sido víctima de torturas o malos tratos durante la detención y que, tras acudir sin éxito a la jurisdicción penal con la pretensión de que se condene a los agentes que le agredieron, pretende en amparo la revocación de aquellas resoluciones, que considera contrarias a los arts. 24.1, 24.2 y 15 CE, en su vertiente éste de prohibición de tortura y trato inhumano o degradante.</w:t>
      </w:r>
    </w:p>
    <w:p w:rsidR="00BE7FB3" w:rsidRDefault="00BE7FB3" w:rsidP="00BE7FB3">
      <w:pPr>
        <w:pStyle w:val="TextoNormal"/>
      </w:pPr>
    </w:p>
    <w:p w:rsidR="00BE7FB3" w:rsidRDefault="00BE7FB3" w:rsidP="00BE7FB3">
      <w:pPr>
        <w:pStyle w:val="TextoNormal"/>
      </w:pPr>
      <w:r w:rsidRPr="00BE7FB3">
        <w:rPr>
          <w:rStyle w:val="NumeroAFNegritaCaracter"/>
        </w:rPr>
        <w:t>2</w:t>
      </w:r>
      <w:r>
        <w:t>. Centrado así el objeto del debate, debemos comenzar recordando que este Tribunal ha tenido ocasión de pronunciarse reiteradamente acerca de las exigencias constitucionales derivadas tanto del art. 15 CE, como del art. 24 CE, en relación con decisiones judiciales de sobreseimiento y archivo de instrucciones penales incoadas por denuncia de torturas o tratos inhumanos o degradantes (por ejemplo, SSTC 224/2007, de 22 de enero, 34/2008, de 25 de febrero, 52/2008, de 14 de abril, 63/2008, de 26 de mayo, 69/2008, de 23 de junio, 107/2008, de 22 de septiembre, 40/2010, de 19 de julio, 63/2010, de 18 de octubre, 131/2012, de 18 de junio, o 182/2012, de 17 de octubre).</w:t>
      </w:r>
    </w:p>
    <w:p w:rsidR="00BE7FB3" w:rsidRDefault="00BE7FB3" w:rsidP="00BE7FB3">
      <w:pPr>
        <w:pStyle w:val="TextoNormal"/>
      </w:pPr>
    </w:p>
    <w:p w:rsidR="00BE7FB3" w:rsidRDefault="00BE7FB3" w:rsidP="00BE7FB3">
      <w:pPr>
        <w:pStyle w:val="TextoNormal"/>
      </w:pPr>
      <w:r>
        <w:t xml:space="preserve">Dicha línea jurisprudencial, siguiendo la del Tribunal Europeo de Derechos Humanos sobre este particular (por todas, SSTEDH de 16 de diciembre de 2003, </w:t>
      </w:r>
      <w:r w:rsidRPr="00BE7FB3">
        <w:rPr>
          <w:i/>
        </w:rPr>
        <w:t>Kmetty c. Hungría</w:t>
      </w:r>
      <w:r>
        <w:t xml:space="preserve">; 2 de noviembre de 2004, </w:t>
      </w:r>
      <w:r w:rsidRPr="00BE7FB3">
        <w:rPr>
          <w:i/>
        </w:rPr>
        <w:t>Martínez Sala y otros c. España</w:t>
      </w:r>
      <w:r>
        <w:t xml:space="preserve">; o 16 de octubre de 2012, </w:t>
      </w:r>
      <w:r w:rsidRPr="00BE7FB3">
        <w:rPr>
          <w:i/>
        </w:rPr>
        <w:t>Otamendi Egiguren c. España</w:t>
      </w:r>
      <w:r>
        <w:t>), se concreta en la exigencia a las resoluciones de sobreseimiento y archivo de una motivación reforzada y acorde con la prohibición absoluta de torturas o actos inhumanos o degradantes. Se trata, por tanto, de una tutela judicial doblemente reforzada, que no encuentra parangón en otras demandas de auxilio judicial, pues se pide frente a la vulneración de un derecho fundamental absoluto y cuya indemnidad depende esencialmente de ella.</w:t>
      </w:r>
    </w:p>
    <w:p w:rsidR="00BE7FB3" w:rsidRDefault="00BE7FB3" w:rsidP="00BE7FB3">
      <w:pPr>
        <w:pStyle w:val="TextoNormal"/>
      </w:pPr>
    </w:p>
    <w:p w:rsidR="00BE7FB3" w:rsidRDefault="00BE7FB3" w:rsidP="00BE7FB3">
      <w:pPr>
        <w:pStyle w:val="TextoNormal"/>
      </w:pPr>
      <w:r>
        <w:t xml:space="preserve">Esa conclusión no impone, sin embargo, la apertura de la instrucción en todo caso, ni impide la hipótesis de la clausura temprana de la misma. Tampoco impone la realización de todas las diligencias de investigación posibles o propuestas. Tales obligaciones, si se exigieran sin excepción o por defecto, conducirían muchas veces a instrucciones inútiles en </w:t>
      </w:r>
      <w:r>
        <w:lastRenderedPageBreak/>
        <w:t>perjuicio de los intereses de los imputados y de una racional gestión de los recursos de la Administración de Justicia. En ese sentido, hemos dicho que “resulta inútil, e incluso improcedente, cualquier medida investigadora que, ya sin poder alterar la convicción del Juez, prolongase indebidamente la causa, contrariando los propios derechos constitucionales que obligan a no alargar innecesariamente la fase sumarial en perjuicio de los querellados” (por todas, STC 182/2012, de 17 de octubre, FJ 3).</w:t>
      </w:r>
    </w:p>
    <w:p w:rsidR="00BE7FB3" w:rsidRDefault="00BE7FB3" w:rsidP="00BE7FB3">
      <w:pPr>
        <w:pStyle w:val="TextoNormal"/>
      </w:pPr>
    </w:p>
    <w:p w:rsidR="00BE7FB3" w:rsidRDefault="00BE7FB3" w:rsidP="00BE7FB3">
      <w:pPr>
        <w:pStyle w:val="TextoNormal"/>
      </w:pPr>
      <w:r>
        <w:t xml:space="preserve">Recordábamos en esa STC 182/2012, de 17 de octubre, que el Tribunal Europeo de Derechos Humanos afirma que las acusaciones de malos tratos deben estar apoyadas por elementos de prueba apropiados (STEDH de 22 de septiembre de 1993, </w:t>
      </w:r>
      <w:r w:rsidRPr="00BE7FB3">
        <w:rPr>
          <w:i/>
        </w:rPr>
        <w:t>Klaas c. Alemania</w:t>
      </w:r>
      <w:r>
        <w:t xml:space="preserve">) y que para el establecimiento de los hechos se sirve del criterio de la prueba “más allá de toda duda razonable”, pudiendo dicha prueba resultar de una serie de indicios o presunciones no refutadas, suficientemente graves, precisas y concordantes (SSTEDH de 18 enero de 1978, </w:t>
      </w:r>
      <w:r w:rsidRPr="00BE7FB3">
        <w:rPr>
          <w:i/>
        </w:rPr>
        <w:t>Irlanda c. Reino Unido</w:t>
      </w:r>
      <w:r>
        <w:t xml:space="preserve"> y de 8 de noviembre de 2011, </w:t>
      </w:r>
      <w:r w:rsidRPr="00BE7FB3">
        <w:rPr>
          <w:i/>
        </w:rPr>
        <w:t>Halat c. Turquía</w:t>
      </w:r>
      <w:r>
        <w:t xml:space="preserve">). En otras ocasiones, el Tribunal Europeo de Derechos Humanos ha utilizado como patrón de la exigencia de una investigación de malos tratos, bien que “las denuncias de malos tratos deben ir apoyadas de pruebas adecuadas” (STEDH de 10 mayo de 2011, </w:t>
      </w:r>
      <w:r w:rsidRPr="00BE7FB3">
        <w:rPr>
          <w:i/>
        </w:rPr>
        <w:t>Gladovic c. Croacia</w:t>
      </w:r>
      <w:r>
        <w:t xml:space="preserve">, § 48), bien que “un individuo afirme de manera defendible” su existencia (por todas, STEDH de 8 de marzo de 2011, </w:t>
      </w:r>
      <w:r w:rsidRPr="00BE7FB3">
        <w:rPr>
          <w:i/>
        </w:rPr>
        <w:t>Beristain Ukar c. España</w:t>
      </w:r>
      <w:r>
        <w:t xml:space="preserve">, § 28 y de 24 julio de 2012, </w:t>
      </w:r>
      <w:r w:rsidRPr="00BE7FB3">
        <w:rPr>
          <w:i/>
        </w:rPr>
        <w:t>B.S. c. España</w:t>
      </w:r>
      <w:r>
        <w:t xml:space="preserve">, § 40); o utiliza las locuciones “afirmación creíble” o “alegaciones serias de maltrato” (en STEDH 13 de julio de 2010, </w:t>
      </w:r>
      <w:r w:rsidRPr="00BE7FB3">
        <w:rPr>
          <w:i/>
        </w:rPr>
        <w:t>Parnov c. Moldavia</w:t>
      </w:r>
      <w:r>
        <w:t xml:space="preserve">, § 32 y § 33) o “cuando un individuo hace una declaración creíble” (en STEDH 10 de abril de 2008, </w:t>
      </w:r>
      <w:r w:rsidRPr="00BE7FB3">
        <w:rPr>
          <w:i/>
        </w:rPr>
        <w:t>Dzeladinov y otros c. Macedonia</w:t>
      </w:r>
      <w:r>
        <w:t xml:space="preserve"> § 69); o bien que exista una “sospecha razonable” (por todas, STEDH de 26 mayo de 2009, </w:t>
      </w:r>
      <w:r w:rsidRPr="00BE7FB3">
        <w:rPr>
          <w:i/>
        </w:rPr>
        <w:t>Naíf Demirci c. Turquía</w:t>
      </w:r>
      <w:r>
        <w:t xml:space="preserve">, § 23); o una “queja razonable” (STEDH de 11 abril de 2000, </w:t>
      </w:r>
      <w:r w:rsidRPr="00BE7FB3">
        <w:rPr>
          <w:i/>
        </w:rPr>
        <w:t>Sevtap Veznedaroglu c. Turquía</w:t>
      </w:r>
      <w:r>
        <w:t xml:space="preserve">, § 32), descartando la vulneración cuando “las quejas presentadas por el demandante no revelan apariencia alguna de violación” (en STEDH de 20 de septiembre de 2005, </w:t>
      </w:r>
      <w:r w:rsidRPr="00BE7FB3">
        <w:rPr>
          <w:i/>
        </w:rPr>
        <w:t>Frik c. Turquía</w:t>
      </w:r>
      <w:r>
        <w:t xml:space="preserve"> § 36).</w:t>
      </w:r>
    </w:p>
    <w:p w:rsidR="00BE7FB3" w:rsidRDefault="00BE7FB3" w:rsidP="00BE7FB3">
      <w:pPr>
        <w:pStyle w:val="TextoNormal"/>
      </w:pPr>
    </w:p>
    <w:p w:rsidR="00BE7FB3" w:rsidRDefault="00BE7FB3" w:rsidP="00BE7FB3">
      <w:pPr>
        <w:pStyle w:val="TextoNormal"/>
      </w:pPr>
      <w:r>
        <w:t xml:space="preserve">Desde el punto de vista de las concretas pruebas tomadas en consideración, enseña la jurisprudencia constitucional y la dimanante del Tribunal Europeo de Derechos Humanos que los reconocimientos médicos efectuados desde que se produce la detención constituyen un elemento especialmente relevante. En tal sentido, se ha afirmado que “un examen médico, junto con el derecho de acceso a la asistencia letrada y el derecho a informar a un tercero de la detención, constituyen salvaguardas fundamentales ante el maltrato de las personas detenidas que pueden ser aplicadas desde el primer momento de la privación de libertad” (en SSTEDH de 18 de septiembre de 2008, </w:t>
      </w:r>
      <w:r w:rsidRPr="00BE7FB3">
        <w:rPr>
          <w:i/>
        </w:rPr>
        <w:t>Türkan c. Turquía</w:t>
      </w:r>
      <w:r>
        <w:t xml:space="preserve">, y 13 de julio de 2010, </w:t>
      </w:r>
      <w:r w:rsidRPr="00BE7FB3">
        <w:rPr>
          <w:i/>
        </w:rPr>
        <w:t>Parnov c. Moldavia</w:t>
      </w:r>
      <w:r>
        <w:t xml:space="preserve">). Por su parte, la trascendencia de la declaración del denunciante se ha destacado con singular acento en la muy reciente STEDH, de 16 de octubre de 2012, </w:t>
      </w:r>
      <w:r w:rsidRPr="00BE7FB3">
        <w:rPr>
          <w:i/>
        </w:rPr>
        <w:t>Otamendi Egiguren c. España</w:t>
      </w:r>
      <w:r>
        <w:t>.</w:t>
      </w:r>
    </w:p>
    <w:p w:rsidR="00BE7FB3" w:rsidRDefault="00BE7FB3" w:rsidP="00BE7FB3">
      <w:pPr>
        <w:pStyle w:val="TextoNormal"/>
      </w:pPr>
    </w:p>
    <w:p w:rsidR="00BE7FB3" w:rsidRDefault="00BE7FB3" w:rsidP="00BE7FB3">
      <w:pPr>
        <w:pStyle w:val="TextoNormal"/>
      </w:pPr>
      <w:r>
        <w:t xml:space="preserve">Todas esas garantías se han cumplido debidamente en el presente caso. Como expusimos en los antecedentes de este pronunciamiento, las resoluciones impugnadas acordaron el archivo del procedimiento por falta de indicios del delito que dotasen de credibilidad a la denuncia y a las declaraciones posteriores del denunciante, al no resistir su contraste con los datos obrantes en los informes médicos que se realizaron en el curso de la detención, de los que no se deducía sospecha alguna. Se ofrecían, junto a ello, razones para rechazar la práctica de las restantes diligencias de prueba interesadas, que no permitirían variar el juicio </w:t>
      </w:r>
      <w:r>
        <w:lastRenderedPageBreak/>
        <w:t>alcanzado. Y, en efecto, de los antecedentes obrantes en la causa, sustancialmente la denuncia, la declaración del demandante de amparo ante el Juzgado de instrucción —que se practicó en debida forma según reconoce el propio recurrente en la página 11 de su demanda— y los informes médicos emitidos, cabe concluir, como hicieran los órganos judiciales, que no existía una “sospecha razonable” o una “afirmación defendible” en los términos que define la STEDH de 16 de octubre de 2012 (</w:t>
      </w:r>
      <w:r w:rsidRPr="00BE7FB3">
        <w:rPr>
          <w:i/>
        </w:rPr>
        <w:t>Otamendi Egiguren c. España</w:t>
      </w:r>
      <w:r>
        <w:t>) que convierta en inconstitucional el cierre anticipado de la instrucción. Por el contrario, la investigación fue efectiva y suficiente: se escuchó al denunciante; se consideraron —aunque no se acogieran sus alegaciones a falta de datos que las corroboraran— los términos de su extensa denuncia, y se recabaron los informes médicos, en los que, lejos de apreciarse indicios de malos tratos y torturas, se advierte que el denunciante se opuso a ser reconocido en varias ocasiones y negó expresamente haber sido maltratado, como destacan los hechos probados de las resoluciones recurridas en amparo. Por lo demás, desde el punto de vista de la motivación, el Auto de apelación puso de manifiesto razones suficientes e individualizadas, ajustadas a las circunstancias del caso concreto, que justificaban el cierre de la causa, explicándose asimismo la inutilidad de desarrollar otros medios de indagación.</w:t>
      </w:r>
    </w:p>
    <w:p w:rsidR="00BE7FB3" w:rsidRDefault="00BE7FB3" w:rsidP="00BE7FB3">
      <w:pPr>
        <w:pStyle w:val="TextoNormal"/>
      </w:pPr>
    </w:p>
    <w:p w:rsidR="00BE7FB3" w:rsidRDefault="00BE7FB3" w:rsidP="00BE7FB3">
      <w:pPr>
        <w:pStyle w:val="TextoNormal"/>
      </w:pPr>
      <w:r w:rsidRPr="00BE7FB3">
        <w:rPr>
          <w:rStyle w:val="NumeroAFNegritaCaracter"/>
        </w:rPr>
        <w:t>3</w:t>
      </w:r>
      <w:r>
        <w:t>. Debe resaltarse, de otra parte, que en el recurso de apelación se articulaba una petición genérica (“acordar lo necesario para que prosiga la instrucción”), sin que el recurrente procediera a reiterar la pretensión de la práctica de ciertas pruebas solicitadas en el escrito de denuncia, como por ejemplo la realización de un nuevo examen médico; la aportación de las grabaciones —que dice— realizadas por videocámara durante los días de incomunicación; la comunicación de las diligencias llevadas a cabo durante el tiempo de aquélla, la solicitud de declaración del abogado de oficio o, en particular, la identificación de los guardias civiles que participaron en los hechos (únicamente su identificación, pues nunca llegó a solicitarse el interrogatorio de los mismos). Pese a ello, ahora, en el procedimiento de amparo, retoma dichas pretensiones; denuncia el supuesto déficit probatorio y recalca las consecuencias aparejadas que observa en los derechos fundamentales aducidos. Omite, sin embargo, que tal pretensión fue abandonada en su recurso de apelación. Es llamativo, por tanto, que se imputen a los órganos judiciales quiebras en las garantías constitucionales ante hechos tan graves como los denunciados cuando el recurrente ni siquiera utilizó los recursos judiciales previstos en el ordenamiento procesal español para hacerlas valer.</w:t>
      </w:r>
    </w:p>
    <w:p w:rsidR="00BE7FB3" w:rsidRDefault="00BE7FB3" w:rsidP="00BE7FB3">
      <w:pPr>
        <w:pStyle w:val="TextoNormal"/>
      </w:pPr>
    </w:p>
    <w:p w:rsidR="00BE7FB3" w:rsidRDefault="00BE7FB3" w:rsidP="00BE7FB3">
      <w:pPr>
        <w:pStyle w:val="TextoNormal"/>
      </w:pPr>
      <w:r>
        <w:t>Es obvio que quien formula denuncias de este tipo debe encontrar en los órganos judiciales una respuesta activa de indagación e investigación comprometida frente a hechos tan nefandos, asegurando las garantías de la doctrina expuesta en el fundamento jurídico anterior, pero es igualmente insoslayable la exigencia de una debida diligencia en la formulación de la queja, lo que incluye el empleo procedente de los remedios y recursos procesales a su alcance, pues de otro modo la reparación de la lesión, de haberse producido, se convierte en inviable en el cauce procesal regulado.</w:t>
      </w:r>
    </w:p>
    <w:p w:rsidR="00BE7FB3" w:rsidRDefault="00BE7FB3" w:rsidP="00BE7FB3">
      <w:pPr>
        <w:pStyle w:val="TextoNormal"/>
      </w:pPr>
    </w:p>
    <w:p w:rsidR="00BE7FB3" w:rsidRDefault="00BE7FB3" w:rsidP="00BE7FB3">
      <w:pPr>
        <w:pStyle w:val="TextoNormal"/>
      </w:pPr>
      <w:r>
        <w:t xml:space="preserve">Desde ese punto de vista, y a tenor de las disposiciones de la Ley Orgánica del Tribunal Constitucional (LOTC), en lo referente a la queja formulada por limitación de medios de prueba (art. 24.2 CE), no se cumplieron los requisitos de acceso al recurso de amparo, pues la exigencia de invocación del art. 44.1 c) LOTC incluye el deber de reiteración de la denuncia en la cadena de recursos (por todas, STC 62/1999, de 26 de abril, FJ 3). Como quiera que el propio recurrente considera esenciales esas pruebas no cumplimentadas, el defecto procesal reseñado alcanza a todo el recurso de amparo, al no haberse dado oportunidad a la </w:t>
      </w:r>
      <w:r>
        <w:lastRenderedPageBreak/>
        <w:t>Audiencia Provincial, a través de dichas pruebas y en caso de estimarlas procedentes, para reparar la lesión eventualmente causada.</w:t>
      </w:r>
    </w:p>
    <w:p w:rsidR="00BE7FB3" w:rsidRDefault="00BE7FB3" w:rsidP="00BE7FB3">
      <w:pPr>
        <w:pStyle w:val="TextoNormal"/>
      </w:pPr>
    </w:p>
    <w:p w:rsidR="00BE7FB3" w:rsidRDefault="00BE7FB3" w:rsidP="00BE7FB3">
      <w:pPr>
        <w:pStyle w:val="TextoNormal"/>
      </w:pPr>
      <w:r>
        <w:t>Conforme a las anteriores consideraciones —tanto las relativas al fondo del asunto como las enunciadas en atención al principio de subsidiariedad del amparo— se entiende procedente inadmitir este recurso.</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Inadmitir el presente recurso de amparo.</w:t>
      </w:r>
    </w:p>
    <w:p w:rsidR="00BE7FB3" w:rsidRDefault="00BE7FB3" w:rsidP="00BE7FB3">
      <w:pPr>
        <w:pStyle w:val="TextoNormal"/>
      </w:pPr>
    </w:p>
    <w:p w:rsidR="00BE7FB3" w:rsidRDefault="00BE7FB3" w:rsidP="00BE7FB3">
      <w:pPr>
        <w:pStyle w:val="TextoNormal"/>
      </w:pPr>
      <w:r>
        <w:t>Madrid, a veintiocho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63" w:name="AUTO_2013_22"/>
      <w:r>
        <w:lastRenderedPageBreak/>
        <w:t>AUTO 22/2013, de 28 de enero de 2013</w:t>
      </w:r>
    </w:p>
    <w:bookmarkEnd w:id="163"/>
    <w:p w:rsidR="00BE7FB3" w:rsidRDefault="00BE7FB3" w:rsidP="00BE7FB3">
      <w:pPr>
        <w:pStyle w:val="TtuloResolucin"/>
      </w:pPr>
      <w:r>
        <w:t>Sección Cuarta</w:t>
      </w:r>
    </w:p>
    <w:p w:rsidR="00BE7FB3" w:rsidRDefault="00BE7FB3" w:rsidP="00BE7FB3">
      <w:pPr>
        <w:pStyle w:val="TtuloResolucin"/>
      </w:pPr>
    </w:p>
    <w:p w:rsidR="00BE7FB3" w:rsidRDefault="00BE7FB3" w:rsidP="00BE7FB3">
      <w:pPr>
        <w:pStyle w:val="SntesisDescriptiva"/>
      </w:pPr>
      <w:r>
        <w:t>ECLI:ES:TC:2013:22A</w:t>
      </w:r>
    </w:p>
    <w:p w:rsidR="00BE7FB3" w:rsidRDefault="00BE7FB3" w:rsidP="00BE7FB3">
      <w:pPr>
        <w:pStyle w:val="SntesisDescriptiva"/>
      </w:pPr>
    </w:p>
    <w:p w:rsidR="00BE7FB3" w:rsidRDefault="00BE7FB3" w:rsidP="00BE7FB3">
      <w:pPr>
        <w:pStyle w:val="SntesisDescriptiva"/>
      </w:pPr>
      <w:r>
        <w:t>Excms. Srs. don Pablo Pérez Tremps, don Francisco José Hernando Santiago y don Francisco Pérez de los Cobos Orihuel.</w:t>
      </w:r>
    </w:p>
    <w:p w:rsidR="00BE7FB3" w:rsidRDefault="00BE7FB3" w:rsidP="00BE7FB3">
      <w:pPr>
        <w:pStyle w:val="SntesisDescriptiva"/>
      </w:pPr>
    </w:p>
    <w:p w:rsidR="00BE7FB3" w:rsidRDefault="00BE7FB3" w:rsidP="00BE7FB3">
      <w:pPr>
        <w:pStyle w:val="SntesisDescriptiva"/>
      </w:pPr>
      <w:r>
        <w:t>Estima el recurso de súplica del Ministerio Fiscal sobre inadmisión del recurso de amparo 4307-2012, promovido por don A. Estrada en causa penal.</w:t>
      </w:r>
    </w:p>
    <w:p w:rsidR="00BE7FB3" w:rsidRDefault="00BE7FB3" w:rsidP="00BE7FB3">
      <w:pPr>
        <w:pStyle w:val="SntesisDescriptiva"/>
      </w:pPr>
    </w:p>
    <w:p w:rsidR="00BE7FB3" w:rsidRDefault="00BE7FB3" w:rsidP="00BE7FB3">
      <w:pPr>
        <w:pStyle w:val="SntesisAnaltica"/>
      </w:pPr>
      <w:r>
        <w:t>Estimación de recurso de súplica contra providencias de inadmisión del Tribunal Constitucional. Plazos del recurso de amparo: cómputo de plazos en el recurso de amparo; incidente de nulidad de actuaciones.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el 12 de julio de 2012, se dedujo recurso de amparo frente a la Sentencia de 23 de abril de 2012, dictada por la Sección Tercera de la Audiencia Provincial de Pontevedra en el recurso de apelación 705-2011, dimanante del procedimiento ordinario núm. 514-2003 del Juzgado de Primera Instancia núm. 1 de A. Estrada, así como frente a las providencias de 29 de mayo y 7 de junio de 2012 por las que se inadmitieron sendos incidentes de nulidad de actuaciones.</w:t>
      </w:r>
    </w:p>
    <w:p w:rsidR="00BE7FB3" w:rsidRDefault="00BE7FB3" w:rsidP="00BE7FB3">
      <w:pPr>
        <w:pStyle w:val="TextoNormal"/>
      </w:pPr>
    </w:p>
    <w:p w:rsidR="00BE7FB3" w:rsidRDefault="00BE7FB3" w:rsidP="00BE7FB3">
      <w:pPr>
        <w:pStyle w:val="TextoNormal"/>
      </w:pPr>
      <w:r>
        <w:t>Por providencia de la Sección Cuarta, de 14 de noviembre de 2012, se inadmitió la demanda de amparo por extemporaneidad a causa de haberse prolongado improcedente la vía judicial previa mediante la interposición de un incidente de nulidad (el deducido en segundo lugar) manifiestamente improcedente.</w:t>
      </w:r>
    </w:p>
    <w:p w:rsidR="00BE7FB3" w:rsidRDefault="00BE7FB3" w:rsidP="00BE7FB3">
      <w:pPr>
        <w:pStyle w:val="TextoNormal"/>
      </w:pPr>
    </w:p>
    <w:p w:rsidR="00BE7FB3" w:rsidRDefault="00BE7FB3" w:rsidP="00BE7FB3">
      <w:pPr>
        <w:pStyle w:val="TextoNormal"/>
      </w:pPr>
      <w:r>
        <w:t>Contra dicha providencia interpone recurso de súplica el Ministerio Fiscal por considerar que la demanda fue interpuesta dentro del plazo de treinta días previsto legalmente</w:t>
      </w:r>
    </w:p>
    <w:p w:rsidR="00BE7FB3" w:rsidRDefault="00BE7FB3" w:rsidP="00BE7FB3">
      <w:pPr>
        <w:pStyle w:val="TextoNormal"/>
      </w:pPr>
    </w:p>
    <w:p w:rsidR="00BE7FB3" w:rsidRDefault="00BE7FB3" w:rsidP="00BE7FB3">
      <w:pPr>
        <w:pStyle w:val="TextoNormal"/>
      </w:pPr>
      <w:r w:rsidRPr="00BE7FB3">
        <w:rPr>
          <w:rStyle w:val="NumeroAFNegritaCaracter"/>
        </w:rPr>
        <w:t>2</w:t>
      </w:r>
      <w:r>
        <w:t>. Los antecedentes procesales relevantes para la resolución del presente recurso son, sucintamente expuestos, los siguientes:</w:t>
      </w:r>
    </w:p>
    <w:p w:rsidR="00BE7FB3" w:rsidRDefault="00BE7FB3" w:rsidP="00BE7FB3">
      <w:pPr>
        <w:pStyle w:val="TextoNormal"/>
      </w:pPr>
    </w:p>
    <w:p w:rsidR="00BE7FB3" w:rsidRDefault="00BE7FB3" w:rsidP="00BE7FB3">
      <w:pPr>
        <w:pStyle w:val="TextoNormal"/>
      </w:pPr>
      <w:r>
        <w:t>Tras el dictado de la Sentencia de la Sección Tercera de la Audiencia Provincial de Pontevedra, de 23 de abril de 2012, los demandantes de amparo dedujeron incidente de nulidad de actuaciones que fue inadmitido por providencia de 29 de mayo de 2012, notificada telemáticamente a su representación procesal el 30 de mayo de 2012.</w:t>
      </w:r>
    </w:p>
    <w:p w:rsidR="00BE7FB3" w:rsidRDefault="00BE7FB3" w:rsidP="00BE7FB3">
      <w:pPr>
        <w:pStyle w:val="TextoNormal"/>
      </w:pPr>
    </w:p>
    <w:p w:rsidR="00BE7FB3" w:rsidRDefault="00BE7FB3" w:rsidP="00BE7FB3">
      <w:pPr>
        <w:pStyle w:val="TextoNormal"/>
      </w:pPr>
      <w:r>
        <w:t>Interpuesto un nuevo incidente de nulidad de actuaciones, fue inadmitido por providencia de 7 de junio de 2012, notificada el día 9 siguiente.</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3</w:t>
      </w:r>
      <w:r>
        <w:t>. El Ministerio Fiscal aduce en su recurso que, aun cuando el segundo incidente de nulidad de actuaciones fuese improcedente, la demanda de amparo fue presentada el último día del plazo de treinta días contados desde la notificación de la providencia de inadmisión del incidente de nulidad primeramente intentado. Parte para ello de que la notificación fue efectuada el día 31 de mayo de 2012, según se sostiene en el escrito de demanda de amparo.</w:t>
      </w:r>
    </w:p>
    <w:p w:rsidR="00BE7FB3" w:rsidRDefault="00BE7FB3" w:rsidP="00BE7FB3">
      <w:pPr>
        <w:pStyle w:val="TextoNormal"/>
      </w:pPr>
    </w:p>
    <w:p w:rsidR="00BE7FB3" w:rsidRDefault="00BE7FB3" w:rsidP="00BE7FB3">
      <w:pPr>
        <w:pStyle w:val="TextoNormal"/>
      </w:pPr>
      <w:r>
        <w:t>La representación procesal de los demandantes de amparo formuló alegaciones haciendo suyas las del Ministerio Fiscal y aportando justificación de que la providenciad de 29 de mayo de 2012, fue notificada telemáticamente a su representación procesal el 30 de mayo de 2012, por lo que, de conformidad con lo dispuesto por los arts. 151.1 y 162.1 de la Ley de enjuiciamiento civil, ha de tenerse por practicada al día siguiente, 31 de mayo de 2012.</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En el presente recurso de súplica sostiene el Ministerio Fiscal que la demanda de amparo fue presentada el último día del plazo de treinta días previsto legalmente para los recursos formulados frente a resoluciones judiciales, plazo que habría de computarse desde el 31 de mayo de 2012 en que se notificó la providencia de inadmisión del incidente de nulidad de actuaciones deducido contra la Sentencia de la Audiencia Provincial frente a la que se demanda amparo y sin que en el cómputo de dicho plazo haya interferido la interposición de un segundo incidente de nulidad de actuaciones.</w:t>
      </w:r>
    </w:p>
    <w:p w:rsidR="00BE7FB3" w:rsidRDefault="00BE7FB3" w:rsidP="00BE7FB3">
      <w:pPr>
        <w:pStyle w:val="TextoNormal"/>
      </w:pPr>
    </w:p>
    <w:p w:rsidR="00BE7FB3" w:rsidRDefault="00BE7FB3" w:rsidP="00BE7FB3">
      <w:pPr>
        <w:pStyle w:val="TextoNormal"/>
      </w:pPr>
      <w:r w:rsidRPr="00BE7FB3">
        <w:rPr>
          <w:rStyle w:val="NumeroAFNegritaCaracter"/>
        </w:rPr>
        <w:t>2</w:t>
      </w:r>
      <w:r>
        <w:t>. Asiste la razón al Ministerio Fiscal, pues, en efecto, la interposición de un segundo incidente de nulidad de actuaciones manifiestamente improcedente no interrumpe el plazo de caducidad previsto legalmente para la interposición del recurso de amparo. De modo que, computado desde el 31 de mayo de 2012 en que se notificó la providencia desestimatoria del incidente de nulidad de actuaciones, el plazo vencía el día 12 de julio en que se presentó la demanda de amparo. A lo que ha de añadirse que, dado que en tal fecha el segundo incidente de nulidad de actuaciones ya se había resuelto, tampoco puede calificarse de prematuro el recurso de amparo interpuesto, pues la vía judicial había ya concluido.</w:t>
      </w:r>
    </w:p>
    <w:p w:rsidR="00BE7FB3" w:rsidRDefault="00BE7FB3" w:rsidP="00BE7FB3">
      <w:pPr>
        <w:pStyle w:val="TextoNormal"/>
      </w:pPr>
    </w:p>
    <w:p w:rsidR="00BE7FB3" w:rsidRDefault="00BE7FB3" w:rsidP="00BE7FB3">
      <w:pPr>
        <w:pStyle w:val="TextoNormal"/>
      </w:pPr>
      <w:r>
        <w:t>Consecuentemente, la demanda de amparo se presentó dentro del término de treinta días previsto legalmente, resultando procedente dejar sin efecto la providencia de inadmisión de 14 de noviembre de 2012.</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el recurso de súplica interpuesto por el Ministerio Fiscal y, en consecuencia, dejar sin efecto la providencia de inadmisión de 14 de noviembre de 2012.</w:t>
      </w:r>
    </w:p>
    <w:p w:rsidR="00BE7FB3" w:rsidRDefault="00BE7FB3" w:rsidP="00BE7FB3">
      <w:pPr>
        <w:pStyle w:val="TextoNormal"/>
      </w:pPr>
    </w:p>
    <w:p w:rsidR="00BE7FB3" w:rsidRDefault="00BE7FB3" w:rsidP="00BE7FB3">
      <w:pPr>
        <w:pStyle w:val="TextoNormal"/>
      </w:pPr>
      <w:r>
        <w:t>Madrid, a veintiocho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64" w:name="AUTO_2013_23"/>
      <w:r>
        <w:lastRenderedPageBreak/>
        <w:t>AUTO 23/2013, de 29 de enero de 2013</w:t>
      </w:r>
    </w:p>
    <w:bookmarkEnd w:id="164"/>
    <w:p w:rsidR="00BE7FB3" w:rsidRDefault="00BE7FB3" w:rsidP="00BE7FB3">
      <w:pPr>
        <w:pStyle w:val="TtuloResolucin"/>
      </w:pPr>
      <w:r>
        <w:t>Pleno</w:t>
      </w:r>
    </w:p>
    <w:p w:rsidR="00BE7FB3" w:rsidRDefault="00BE7FB3" w:rsidP="00BE7FB3">
      <w:pPr>
        <w:pStyle w:val="TtuloResolucin"/>
      </w:pPr>
    </w:p>
    <w:p w:rsidR="00BE7FB3" w:rsidRDefault="00BE7FB3" w:rsidP="00BE7FB3">
      <w:pPr>
        <w:pStyle w:val="TtuloBOE"/>
      </w:pPr>
      <w:r>
        <w:t>("BOE" núm. 49, de 26 de febrero de 2013)</w:t>
      </w:r>
    </w:p>
    <w:p w:rsidR="00BE7FB3" w:rsidRDefault="00BE7FB3" w:rsidP="00BE7FB3">
      <w:pPr>
        <w:pStyle w:val="TtuloBOE"/>
      </w:pPr>
    </w:p>
    <w:p w:rsidR="00BE7FB3" w:rsidRDefault="00BE7FB3" w:rsidP="00BE7FB3">
      <w:pPr>
        <w:pStyle w:val="SntesisDescriptiva"/>
      </w:pPr>
      <w:r>
        <w:t>ECLI:ES:TC:2013:23A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Inadmite a trámite la cuestión de inconstitucionalidad 6898-2011, planteada por la Sala de lo Contencioso-Administrativo del Tribunal Superior de Justicia del País Vasco en relación con el artículo 55.1 de la Ley del Parlamento Vasco 3/1998, de 27 de febrero, de protección del medio ambiente.</w:t>
      </w:r>
    </w:p>
    <w:p w:rsidR="00BE7FB3" w:rsidRDefault="00BE7FB3" w:rsidP="00BE7FB3">
      <w:pPr>
        <w:pStyle w:val="SntesisDescriptiva"/>
      </w:pPr>
    </w:p>
    <w:p w:rsidR="00BE7FB3" w:rsidRDefault="00BE7FB3" w:rsidP="00BE7FB3">
      <w:pPr>
        <w:pStyle w:val="SntesisAnaltica"/>
      </w:pPr>
      <w:r>
        <w:t>Inadmisión de cuestión de inconstitucionalidad por falta de requisitos procesales. Licencias administrativas: licencia de apertura. Medio ambiente: protección del medio ambiente.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19 de diciembre de 2011 tiene entrada en el Registro General de este Tribunal escrito de la Sala de lo Contencioso-Administrativo del Tribunal Superior de Justicia del País Vasco, al que se acompaña, junto con el testimonio del procedimiento ordinario núm. 1801-10-2, el Auto de 13 de octubre de 2011, que acuerda plantear cuestión de inconstitucionalidad respecto del art. 55.1 de la Ley 3/1998, de 27 de febrero, general de protección del medio ambiente del País Vasco, en relación con el anexo II J) actividades hosteleras, ante su posible contradicción con los números 1, 13 y 18 del apartado primero del art. 149 CE en relación con el art. 5 de la Ley 17/2009, de 23 de noviembre, sobre libre acceso a las actividades de servicio y su ejercicio, y los arts. 1 y 2 de la Ley 25/2009, de 22 de diciembre, de modificación de diversas leyes para su adaptación a la ley anterior.</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de los que trae causa la cuestión de inconstitucionalidad planteada son, en síntesis, los siguientes:</w:t>
      </w:r>
    </w:p>
    <w:p w:rsidR="00BE7FB3" w:rsidRDefault="00BE7FB3" w:rsidP="00BE7FB3">
      <w:pPr>
        <w:pStyle w:val="TextoNormal"/>
      </w:pPr>
    </w:p>
    <w:p w:rsidR="00BE7FB3" w:rsidRDefault="00BE7FB3" w:rsidP="00BE7FB3">
      <w:pPr>
        <w:pStyle w:val="TextoNormal"/>
      </w:pPr>
      <w:r>
        <w:t xml:space="preserve">a) El 20 de diciembre de 2010, la asociación de comerciantes de hostelería del País Vasco interpone recurso ante la Sala de lo Contencioso-Administrativo del Tribunal Superior de Justicia del País Vasco contra el acuerdo de aprobación definitiva de la ordenanza municipal de establecimientos públicos de hostelería del Ayuntamiento de Vitoria-Gasteiz. Concretamente, impugna los arts. 8, 11 y 13 que, al someter las actividades de hostelería al régimen de licencia de actividad y licencia de apertura, contradicen la Directiva 2006/123/CE y la </w:t>
      </w:r>
      <w:r>
        <w:lastRenderedPageBreak/>
        <w:t>Ley 17/2009, de 23 de noviembre, que traspone la anterior. En la contestación a la demanda, el Ayuntamiento de Vitoria-Gasteiz sostiene, por el contrario, que la ordenanza es acorde al ordenamiento jurídico por ajustarse a la Ley 3/1998, de 27 de febrero, general de protección del medio ambiente del País Vasco, cuyo art. 55 en relación con el anexo II J) caracteriza las actividades de hostelería como “clasificadas”, sujetándolas al régimen de licencia preceptiva y previa.</w:t>
      </w:r>
    </w:p>
    <w:p w:rsidR="00BE7FB3" w:rsidRDefault="00BE7FB3" w:rsidP="00BE7FB3">
      <w:pPr>
        <w:pStyle w:val="TextoNormal"/>
      </w:pPr>
    </w:p>
    <w:p w:rsidR="00BE7FB3" w:rsidRDefault="00BE7FB3" w:rsidP="00BE7FB3">
      <w:pPr>
        <w:pStyle w:val="TextoNormal"/>
      </w:pPr>
      <w:r>
        <w:t>b) Solicitada únicamente por el Ayuntamiento de Vitoria-Gasteiz la formulación de conclusiones y no habiéndose practicado prueba alguna, la Sala, mediante diligencia de ordenación de 29 de junio de 2011, declara que no ha lugar a acordar el trámite de conclusiones, quedando los autos pendientes de señalamiento de día para votación y fallo, que se fija, posteriormente, mediante providencia de 21 de julio de 2011.</w:t>
      </w:r>
    </w:p>
    <w:p w:rsidR="00BE7FB3" w:rsidRDefault="00BE7FB3" w:rsidP="00BE7FB3">
      <w:pPr>
        <w:pStyle w:val="TextoNormal"/>
      </w:pPr>
    </w:p>
    <w:p w:rsidR="00BE7FB3" w:rsidRDefault="00BE7FB3" w:rsidP="00BE7FB3">
      <w:pPr>
        <w:pStyle w:val="TextoNormal"/>
      </w:pPr>
      <w:r>
        <w:t>c) El 9 de septiembre de 2011, la Sala dicta providencia por la que, al amparo del art. 35 de la Ley Orgánica del Tribunal Constitucional (LOTC) y con suspensión del plazo para dictar sentencia, da traslado a las partes y al Ministerio Fiscal para que emitan informe acerca de la pertinencia de plantear cuestión de inconstitucionalidad en relación con el art. 55.1 de la Ley 3/1998, de 27 de febrero, general de protección del medio ambiente del País Vasco.</w:t>
      </w:r>
    </w:p>
    <w:p w:rsidR="00BE7FB3" w:rsidRDefault="00BE7FB3" w:rsidP="00BE7FB3">
      <w:pPr>
        <w:pStyle w:val="TextoNormal"/>
      </w:pPr>
    </w:p>
    <w:p w:rsidR="00BE7FB3" w:rsidRDefault="00BE7FB3" w:rsidP="00BE7FB3">
      <w:pPr>
        <w:pStyle w:val="TextoNormal"/>
      </w:pPr>
      <w:r>
        <w:t>d) La Fiscal emite informe con fecha de 22 de septiembre de 2011 no oponiéndose al planteamiento de la cuestión de inconstitucionalidad. Considera que es necesaria, de acuerdo con la doctrina constitucional (STC 162/2009, de 29 de junio), al suscitarse un conflicto entre una ley autonómica y otra estatal de carácter básico, y que satisface los requisitos de aplicabilidad del precepto cuestionado y de relevancia para el proceso</w:t>
      </w:r>
      <w:r w:rsidRPr="00BE7FB3">
        <w:rPr>
          <w:i/>
        </w:rPr>
        <w:t xml:space="preserve"> a qu</w:t>
      </w:r>
      <w:r>
        <w:t>o.</w:t>
      </w:r>
    </w:p>
    <w:p w:rsidR="00BE7FB3" w:rsidRDefault="00BE7FB3" w:rsidP="00BE7FB3">
      <w:pPr>
        <w:pStyle w:val="TextoNormal"/>
      </w:pPr>
    </w:p>
    <w:p w:rsidR="00BE7FB3" w:rsidRDefault="00BE7FB3" w:rsidP="00BE7FB3">
      <w:pPr>
        <w:pStyle w:val="TextoNormal"/>
      </w:pPr>
      <w:r>
        <w:t>El Ayuntamiento de Vitoria-Gasteiz, en escrito registrado el 23 de septiembre de 2011, alega que le consta que el Parlamento Vasco está tramitando una modificación de la Ley 3/1998, de 27 de febrero, general de protección del medio ambiente, para adecuarla a la directiva 2006/123/CE, pero que no se opone a la presentación de la cuestión de inconstitucionalidad.</w:t>
      </w:r>
    </w:p>
    <w:p w:rsidR="00BE7FB3" w:rsidRDefault="00BE7FB3" w:rsidP="00BE7FB3">
      <w:pPr>
        <w:pStyle w:val="TextoNormal"/>
      </w:pPr>
    </w:p>
    <w:p w:rsidR="00BE7FB3" w:rsidRDefault="00BE7FB3" w:rsidP="00BE7FB3">
      <w:pPr>
        <w:pStyle w:val="TextoNormal"/>
      </w:pPr>
      <w:r>
        <w:t>La asociación de comerciantes de hostelería del País Vasco, en escrito registrado el 27 de septiembre de 2011, admite que los preceptos reglamentarios controvertidos cumplen con lo dispuesto en el art. 55.1 en relación con el anexo II J) de la Ley 3/1998, de 27 de febrero, general de protección del medio ambiente del País Vasco. Sin embargo, destaca que la ordenanza fue aprobada encontrándose en vigor el art. 5 de la Ley 17/2009, de 23 de noviembre, sobre el libre acceso a las actividades de servicios y su ejercicio; ley que tiene carácter básico. Por ello, afirma, la ordenanza debió adaptarse a la mencionada ley, no habiéndolo hecho dentro del plazo fijado por la disposición final quinta. En su opinión, los preceptos impugnados, al tener rango reglamentario, pueden ser directamente anulados por la Sala, al incumplir la Directiva 2006/123/CE y la legislación básica estatal, sin necesidad de plantear cuestión de inconstitucionalidad. No obstante, afirma que “al no haberse adaptado la legislación vasca a la Directiva europea, hacerlo así podría generar problemas de inseguridad jurídica, por lo que parece aconsejable plantear la cuestión de inconstitucionalidad de los preceptos de la Ley Vasca 3/1998” por inconstitucionalidad sobrevenida en relación con los arts. 149.1, 13 y 18 CE, “compartiendo… la totalidad de los razonamientos realizados por la Sala en la providencia notificada”.</w:t>
      </w:r>
    </w:p>
    <w:p w:rsidR="00BE7FB3" w:rsidRDefault="00BE7FB3" w:rsidP="00BE7FB3">
      <w:pPr>
        <w:pStyle w:val="TextoNormal"/>
      </w:pPr>
    </w:p>
    <w:p w:rsidR="00BE7FB3" w:rsidRDefault="00BE7FB3" w:rsidP="00BE7FB3">
      <w:pPr>
        <w:pStyle w:val="TextoNormal"/>
      </w:pPr>
      <w:r>
        <w:t>e) La Sala de lo Contencioso-Administrativo del Tribunal Superior de Justicia del País Vasco dicta Auto de 13 de octubre de 2011 acordando “plantear cuestión de inconstitucionalidad del art. 55.1 de la Ley 3/1998, de 27 de febrero, General de Protección del Medio Ambiente del País Vasco, en relación con el Anexo II. J) Actividades hosteleras (excepto hoteles y similares), por posible inconstitucionalidad sobrevenida en relación con el art. 5 de la Ley 17/2009, de 22 de diciembre, en relación con los arts. 149.1.1, 149.1.13 y 149.1.18 de la Constitución Española”.</w:t>
      </w:r>
    </w:p>
    <w:p w:rsidR="00BE7FB3" w:rsidRDefault="00BE7FB3" w:rsidP="00BE7FB3">
      <w:pPr>
        <w:pStyle w:val="TextoNormal"/>
      </w:pPr>
    </w:p>
    <w:p w:rsidR="00BE7FB3" w:rsidRDefault="00BE7FB3" w:rsidP="00BE7FB3">
      <w:pPr>
        <w:pStyle w:val="TextoNormal"/>
      </w:pPr>
      <w:r w:rsidRPr="00BE7FB3">
        <w:rPr>
          <w:rStyle w:val="NumeroAFNegritaCaracter"/>
        </w:rPr>
        <w:t>3</w:t>
      </w:r>
      <w:r>
        <w:t>. En el citado Auto, la Sala fundamenta el planteamiento de la cuestión de inconstitucionalidad en las consideraciones que seguidamente, y de forma resumida, se indican.</w:t>
      </w:r>
    </w:p>
    <w:p w:rsidR="00BE7FB3" w:rsidRDefault="00BE7FB3" w:rsidP="00BE7FB3">
      <w:pPr>
        <w:pStyle w:val="TextoNormal"/>
      </w:pPr>
    </w:p>
    <w:p w:rsidR="00BE7FB3" w:rsidRDefault="00BE7FB3" w:rsidP="00BE7FB3">
      <w:pPr>
        <w:pStyle w:val="TextoNormal"/>
      </w:pPr>
      <w:r>
        <w:t>La Sala argumenta que, a la hora de dictar sentencia en el recurso dirigido contra varios preceptos de la ordenanza municipal de establecimientos públicos de hostelería del Ayuntamiento de Vitoria-Gasteiz, resulta determinante la aplicación del art. 55.1 de la Ley del Parlamento Vasco 3/1998, en conexión con su anexo II j). Razona que este precepto legal establece un régimen de licencia previa inconciliable con la regulación del acceso y ejercicio de actividades de servicios de las Leyes 17/2009, de 23 de noviembre, y 25/2009, de 22 de diciembre, ambas estatales y de carácter básico. La Sala señala que, de acuerdo con la disposición final quinta de la primera, a fin de dar cumplimiento a la Directiva 2006/123/CE, las Comunidades Autónomas y las entidades locales debían comunicar antes de 26 de diciembre de 2009 a la Administración General del Estado las disposiciones legales y reglamentarias que hubieran modificado para adaptar su contenido al nuevo régimen. Sin embargo, no se ha producido la adaptación del contenido de la Ley 3/1998. De esta forma, según la Sala, el art. 55.1 Ley 3/1998 mantiene un régimen de autorización preceptivo que no está debidamente justificado en términos de proporcionalidad. La ordenanza, al ajustarse a esa ley autonómica, es contraria igualmente al régimen constitucional de distribución competencial.</w:t>
      </w:r>
    </w:p>
    <w:p w:rsidR="00BE7FB3" w:rsidRDefault="00BE7FB3" w:rsidP="00BE7FB3">
      <w:pPr>
        <w:pStyle w:val="TextoNormal"/>
      </w:pPr>
    </w:p>
    <w:p w:rsidR="00BE7FB3" w:rsidRDefault="00BE7FB3" w:rsidP="00BE7FB3">
      <w:pPr>
        <w:pStyle w:val="TextoNormal"/>
      </w:pPr>
      <w:r>
        <w:t>La Sala entiende que resulta necesario y justificado plantear la cuestión de inconstitucionalidad porque la contradicción entre las normas señaladas no puede salvarse por vía interpretativa ni mediante el criterio cronológico o de sucesión de normas en el tiempo. La Sala recuerda que, de acuerdo con la doctrina establecida en, entre otras, las SSTC 1/2003, de 16 de enero; y 162/2009, de 29 de junio, la jurisdicción ordinaria no puede salvar la contradicción entre una norma autonómica y otra estatal de carácter básico mediante el recurso a las reglas del art. 2 del Código civil; debe plantear una cuestión de inconstitucionalidad respecto al precepto autonómico aplicable al caso.</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providencia de 5 de junio de 2012, la Sección Cuarta de este Tribunal acuerda, a los efectos que determina el art. 37.1 LOTC, oír al Fiscal General del Estado para que, en el plazo de diez días, alegue lo que estime conveniente acerca de la admisibilidad de la presente cuestión de inconstitucionalidad, por si fuera notoriamente infundada.</w:t>
      </w:r>
    </w:p>
    <w:p w:rsidR="00BE7FB3" w:rsidRDefault="00BE7FB3" w:rsidP="00BE7FB3">
      <w:pPr>
        <w:pStyle w:val="TextoNormal"/>
      </w:pPr>
    </w:p>
    <w:p w:rsidR="00BE7FB3" w:rsidRDefault="00BE7FB3" w:rsidP="00BE7FB3">
      <w:pPr>
        <w:pStyle w:val="TextoNormal"/>
      </w:pPr>
      <w:r w:rsidRPr="00BE7FB3">
        <w:rPr>
          <w:rStyle w:val="NumeroAFNegritaCaracter"/>
        </w:rPr>
        <w:t>5</w:t>
      </w:r>
      <w:r>
        <w:t xml:space="preserve">. El Fiscal General del Estado evacua el trámite conferido mediante escrito registrado el 9 de julio de 2012, considerando inadmisible la cuestión de inconstitucionalidad por ser notoriamente infundada. Tras un exhaustivo análisis de la Ley 17/2009 y de las modificaciones introducidas en las Leyes 7/1985, de 2 de abril, reguladora de las bases del régimen </w:t>
      </w:r>
      <w:r>
        <w:lastRenderedPageBreak/>
        <w:t>local (LBRL) y 30/1992, de 26 de noviembre, de régimen jurídico de las Administraciones públicas y del procedimiento administrativo común por parte de la Ley 25/2009, llega a la conclusión de que el precepto cuestionado no incurre en inconstitucionalidad mediata. El sometimiento de las actividades hosteleras al régimen de licencia administrativa (de actividad y apertura) responde, tal como dispone el propio art. 55.1 Ley del Parlamento Vasco 3/1998, a que estas actividades son “susceptibles de causar molestias o producir riesgos a las personas o sus bienes, así como originar daños al medio ambiente”. Se trata, a juicio del Fiscal General, de un régimen excepcional que puede insertarse en la previsión asimismo excepcional del art. 5 Ley 17/2009, de 23 de noviembre, en relación con el art. 84 LBRL, conforme a la que pueden someterse a licencia o control preventivo aquellas actividades que afecten a “la protección del medio ambiente o del patrimonio histórico-artístico” o a “la seguridad o salud públicas”.</w:t>
      </w:r>
    </w:p>
    <w:p w:rsidR="00BE7FB3" w:rsidRDefault="00BE7FB3" w:rsidP="00BE7FB3">
      <w:pPr>
        <w:pStyle w:val="TextoNormal"/>
      </w:pPr>
    </w:p>
    <w:p w:rsidR="00BE7FB3" w:rsidRDefault="00BE7FB3" w:rsidP="00BE7FB3">
      <w:pPr>
        <w:pStyle w:val="TextoNormal"/>
      </w:pPr>
      <w:r>
        <w:t>Concluye, en consecuencia, que la norma autonómica se ajusta a los límites de la normativa básica estatal sobrevenida, sin que, por tanto, vulnere ninguno de los preceptos mencionados por la Sala de lo Contencioso-Administrativo del Tribunal Superior de Justicia del País Vasco.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xml:space="preserve">. La Sala de lo Contencioso-Administrativo del Tribunal Superior de Justicia del País Vasco plantea cuestión de inconstitucionalidad respecto al 55.1 de la Ley 3/1998, de 27 de febrero, general de protección del medio ambiente del País Vasco, en relación con el anexo II J) “actividades hosteleras”, por posible vulneración de los números 1, 13 y 18 del art. 149.1 CE en conexión con, por un lado, el art. 5 Ley 17/2009, de 23 de noviembre, sobre libre acceso a las actividades de servicios y su ejercicio y, por otro, los arts. 1 y 2 Ley 25/2009, de 22 de diciembre, que reformó el art. 84 de la Ley 7/1985, de 2 de abril, reguladora de las bases del régimen local (LBRL) y añadió el art. 71 </w:t>
      </w:r>
      <w:r w:rsidRPr="00BE7FB3">
        <w:rPr>
          <w:i/>
        </w:rPr>
        <w:t>bis</w:t>
      </w:r>
      <w:r>
        <w:t xml:space="preserve"> a la Ley 30/1992, de 26 de noviembre, de régimen jurídico de las Administraciones públicas y del procedimiento administrativo común.</w:t>
      </w:r>
    </w:p>
    <w:p w:rsidR="00BE7FB3" w:rsidRDefault="00BE7FB3" w:rsidP="00BE7FB3">
      <w:pPr>
        <w:pStyle w:val="TextoNormal"/>
      </w:pPr>
    </w:p>
    <w:p w:rsidR="00BE7FB3" w:rsidRDefault="00BE7FB3" w:rsidP="00BE7FB3">
      <w:pPr>
        <w:pStyle w:val="TextoNormal"/>
      </w:pPr>
      <w:r w:rsidRPr="00BE7FB3">
        <w:rPr>
          <w:rStyle w:val="NumeroAFNegritaCaracter"/>
        </w:rPr>
        <w:t>2</w:t>
      </w:r>
      <w:r>
        <w:t>. Conviene empezar delimitando adecuadamente el objeto del debate. El apartado 1 del art. 55 de la Ley 3/1998, general de protección del medio ambiente del País Vasco, dispone que “las actividades e instalaciones públicas o privadas, contenidas en el Anexo II de la presente Ley, que fueran susceptibles de causar molestias o producir riesgos a las personas o sus bienes, así como originar daños al medio ambiente, deberán sujetarse al régimen de licencia administrativa contemplado en los artículos siguientes, con carácter preceptivo y previo a su puesta en funcionamiento”, calificándose dichas actividades como “actividades clasificadas”. El apartado J) del anexo II incluye, entre estas actividades, las hosteleras.</w:t>
      </w:r>
    </w:p>
    <w:p w:rsidR="00BE7FB3" w:rsidRDefault="00BE7FB3" w:rsidP="00BE7FB3">
      <w:pPr>
        <w:pStyle w:val="TextoNormal"/>
      </w:pPr>
    </w:p>
    <w:p w:rsidR="00BE7FB3" w:rsidRDefault="00BE7FB3" w:rsidP="00BE7FB3">
      <w:pPr>
        <w:pStyle w:val="TextoNormal"/>
      </w:pPr>
      <w:r>
        <w:t xml:space="preserve">Por su parte, el art. 5 de la Ley estatal básica 17/2009, al trasponer la Directiva 2006/123/CE conforme al criterio nuclear de reducir las trabas injustificadas o desproporcionadas al acceso y ejercicio de las actividades de servicios, dispone que “la normativa reguladora del acceso a una actividad de servicios o del ejercicio de la misma no podrá imponer a los prestadores un régimen de autorización, salvo excepcionalmente y siempre que concurran las siguientes condiciones, que habrán de motivarse suficientemente en la ley </w:t>
      </w:r>
      <w:r>
        <w:lastRenderedPageBreak/>
        <w:t xml:space="preserve">que establezca dicho régimen”. Las condiciones señaladas por la Ley son: “a) no discriminación: que el régimen de autorización no resulte discriminatorio ni directa ni indirectamente en función de la nacionalidad o de que el establecimiento se encuentre o no en el territorio de la autoridad competente o, por lo que se refiere a sociedades, por razón del lugar de ubicación del domicilio social, b) necesidad: que el régimen de autorización esté justificado por una razón imperiosa de interés general, y c) proporcionalidad: que dicho régimen sea el instrumento más adecuado para garantizar la consecución del objetivo que se persigue porque no existen otras medidas menos restrictivas que permitan obtener el mismo resultado, en particular cuando un control </w:t>
      </w:r>
      <w:r w:rsidRPr="00BE7FB3">
        <w:rPr>
          <w:i/>
        </w:rPr>
        <w:t>a posteriori</w:t>
      </w:r>
      <w:r>
        <w:t xml:space="preserve"> se produjese demasiado tarde para ser realmente eficaz”. De acuerdo con esta idea de proporcionalidad, el art. 5 establece también que “en ningún caso, el acceso a una actividad de servicios o su ejercicio se sujetarán a un régimen de autorización cuando sea suficiente una comunicación o una declaración responsable del prestador mediante la que se manifieste, en su caso, el cumplimiento de los requisitos exigidos y se facilite la información necesaria a la autoridad competente para el control de la actividad.”</w:t>
      </w:r>
    </w:p>
    <w:p w:rsidR="00BE7FB3" w:rsidRDefault="00BE7FB3" w:rsidP="00BE7FB3">
      <w:pPr>
        <w:pStyle w:val="TextoNormal"/>
      </w:pPr>
    </w:p>
    <w:p w:rsidR="00BE7FB3" w:rsidRDefault="00BE7FB3" w:rsidP="00BE7FB3">
      <w:pPr>
        <w:pStyle w:val="TextoNormal"/>
      </w:pPr>
      <w:r>
        <w:t>A su vez, la Ley estatal 25/2009, de 22 de diciembre, modificó la Ley 30/1992 y la Ley reguladora de las bases de régimen local. El art. 71 bis de la primera regula ahora tanto la declaración responsable como la comunicación previa. El art. 84 LBRL, por su parte, regula los instrumentos de intervención de que disponen los entes locales respecto a la actividad de los ciudadanos, entre los cuales se recogen la declaración responsable y la comunicación previa, pero también la previa licencia y otros actos de control preventivo. No obstante, señala que, cuando se trate del acceso y ejercicio de actividades de servicios incluidas en el ámbito de aplicación de la Ley 17/2009, de 23 de noviembre, “se estará a lo dispuesto en la misma”. Estas últimas normas —arts.71 bis de la Ley 30/92 y 84 LBRL— se limitan así a establecer una regulación abstracta de la declaración responsable y la comunicación previa o a regular los instrumentos de intervención con que cuentan los entes locales remitiendo a la Ley 17/2009 en cuanto al uso de las licencias en el sector servicios.</w:t>
      </w:r>
    </w:p>
    <w:p w:rsidR="00BE7FB3" w:rsidRDefault="00BE7FB3" w:rsidP="00BE7FB3">
      <w:pPr>
        <w:pStyle w:val="TextoNormal"/>
      </w:pPr>
    </w:p>
    <w:p w:rsidR="00BE7FB3" w:rsidRDefault="00BE7FB3" w:rsidP="00BE7FB3">
      <w:pPr>
        <w:pStyle w:val="TextoNormal"/>
      </w:pPr>
      <w:r>
        <w:t>El problema de constitucionalidad del art. 55.1 Ley del Parlamento vasco 3/1998 en relación con su anexo II J) se circunscribe de este modo a su conformidad o no con la Ley estatal básica 17/2009, que es la que regula los criterios que han de guiar el sometimiento o no de una determinada actividad a previa licencia. A su vez, la incompatibilidad afirmada en el Auto de planteamiento se refiere sólo a un específico aspecto del art. 5 de esa ley. El órgano judicial no reprocha a la regulación cuestionada la ausencia de razones imperiosas de interés general o la utilización de criterios discriminatorios. Centra el debate en torno a si la ley autonómica establece un régimen de licencia previa contrario al principio de proporcionalidad en los términos en que está establecido en la letra c) del art. 5 de la Ley 17/2009.</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Delimitado el objeto del debate, antes de entrar en el fondo, hay que señalar que, con posterioridad al Auto de planteamiento de la cuestión de 13 de octubre de 2011, el Parlamento Vasco ha aprobado la Ley 7/2012, de 23 de abril. Esta ley ha modificado el art. 55 y el anexo II de la Ley 3/1998, que constituyen el objeto de la presente cuestión de inconstitucionalidad; y ha podido afectar a la vigencia de la ordenanza municipal de establecimientos públicos de hostelería del Ayuntamiento de Vitoria-Gasteiz, impugnada por recurso directo en el procedimiento judicial </w:t>
      </w:r>
      <w:r w:rsidRPr="00BE7FB3">
        <w:rPr>
          <w:i/>
        </w:rPr>
        <w:t>a quo</w:t>
      </w:r>
      <w:r>
        <w:t>.</w:t>
      </w:r>
    </w:p>
    <w:p w:rsidR="00BE7FB3" w:rsidRDefault="00BE7FB3" w:rsidP="00BE7FB3">
      <w:pPr>
        <w:pStyle w:val="TextoNormal"/>
      </w:pPr>
    </w:p>
    <w:p w:rsidR="00BE7FB3" w:rsidRDefault="00BE7FB3" w:rsidP="00BE7FB3">
      <w:pPr>
        <w:pStyle w:val="TextoNormal"/>
      </w:pPr>
      <w:r>
        <w:lastRenderedPageBreak/>
        <w:t xml:space="preserve">Tras la reforma de 2012, el art. 55 de la Ley 3/1998 dispone que las actividades clasificadas (susceptibles de originar daños al medio ambiente, a las personas o a sus bienes, así como de generar riesgos de producir tales daños o causar molestias a las personas) se sujetarán al régimen de licencia administrativa o de comunicación previa, con carácter preceptivo y anterior a su puesta en funcionamiento, ampliación o reforma; todo ello “en función de la mayor o menor afección que las mismas puedan causar al medio ambiente, a las personas o a sus bienes”. En consecuencia, tal como señala el apartado 3 del propio art. 55, el anexo II recoge el listado de actividades e instalaciones sujetas al régimen de licencia o de comunicación previa según “la mayor o menor afección de las actividades e instalaciones” y “teniendo en cuenta los siguientes aspectos: a) la dimensión y capacidad de producción de la instalación, b) el consumo de agua, energía y otros recursos, c) la cantidad, peso y tipología de los recursos generados, d) el riesgo de accidente, y e) el uso de sustancias peligrosas”. De conformidad con estos criterios, el anexo II sujeta ahora a licencia de actividad los establecimientos destinados a salas de baile y fiestas, clubes, discotecas, disco-bares, karaokes, </w:t>
      </w:r>
      <w:r w:rsidRPr="00BE7FB3">
        <w:rPr>
          <w:i/>
        </w:rPr>
        <w:t>pubs</w:t>
      </w:r>
      <w:r>
        <w:t xml:space="preserve"> o similares, así como otros establecimientos de hostelería y restauración, de espectáculos públicos o actividades recreativas, siempre y cuando, en todos los casos, cumplan alguno de los siguientes requisitos: disponer de una capacidad o aforo igual o superior a 300 personas; o de un equipo de música que tenga una potencia eficaz superior a 50 vatios para una carga estándar de cuatro ohmios. Todos los demás establecimientos de hostelería y restauración, de espectáculos públicos o actividades recreativas quedan sujetos al régimen de comunicación previa.</w:t>
      </w:r>
    </w:p>
    <w:p w:rsidR="00BE7FB3" w:rsidRDefault="00BE7FB3" w:rsidP="00BE7FB3">
      <w:pPr>
        <w:pStyle w:val="TextoNormal"/>
      </w:pPr>
    </w:p>
    <w:p w:rsidR="00BE7FB3" w:rsidRDefault="00BE7FB3" w:rsidP="00BE7FB3">
      <w:pPr>
        <w:pStyle w:val="TextoNormal"/>
      </w:pPr>
      <w:r>
        <w:t xml:space="preserve">Por otra parte, la ordenanza municipal de establecimientos públicos de hostelería del Ayuntamiento de Vitoria-Gasteiz impugnada en el procedimiento judicial </w:t>
      </w:r>
      <w:r w:rsidRPr="00BE7FB3">
        <w:rPr>
          <w:i/>
        </w:rPr>
        <w:t>a quo</w:t>
      </w:r>
      <w:r>
        <w:t xml:space="preserve"> al someter todas las actividades de hostelería al régimen de licencias de actividad y apertura conforme a la antigua versión del art. 55.1 y del anexo II J) de la Ley del Parlamento Vasco 3/1998, podría haber resultado afectada en razón del principio de jerarquía normativa (art. 9.3 CE). En particular, la disposición derogatoria de la Ley 7/2012 deroga “cuantas disposiciones de igual o inferior rango se opongan a lo dispuesto en la presente Ley”.</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Según hemos dicho, la Ley del Parlamento Vasco 7/2012 podría haber afectado a la vigencia de los preceptos impugnados de la ordenanza municipal, por lo que es posible que se produzca la extinción del proceso </w:t>
      </w:r>
      <w:r w:rsidRPr="00BE7FB3">
        <w:rPr>
          <w:i/>
        </w:rPr>
        <w:t>a quo</w:t>
      </w:r>
      <w:r>
        <w:t xml:space="preserve"> y, con ello, la desaparición del objeto del presente proceso constitucional.</w:t>
      </w:r>
    </w:p>
    <w:p w:rsidR="00BE7FB3" w:rsidRDefault="00BE7FB3" w:rsidP="00BE7FB3">
      <w:pPr>
        <w:pStyle w:val="TextoNormal"/>
      </w:pPr>
    </w:p>
    <w:p w:rsidR="00BE7FB3" w:rsidRDefault="00BE7FB3" w:rsidP="00BE7FB3">
      <w:pPr>
        <w:pStyle w:val="TextoNormal"/>
      </w:pPr>
      <w:r>
        <w:t xml:space="preserve">Este Tribunal ha señalado reiteradamente que la desaparición sobrevenida de objeto del proceso constitucional, aunque no está expresamente contemplada en el art. 86.1 de la Ley Orgánica del Tribunal Constitucional (LOTC) como una de las causas de terminación extraordinaria, puede darse, provocando la conclusión del proceso sin que sea necesario un pronunciamiento sobre el reproche de inconstitucionalidad planteado (por todas, STC 6/2010, de 14 de abril, FJ 2; AATC 311/2007, de 19 de junio, FJ único; y 29/2009, de 27 de enero, FJ 1). Hemos dicho reiteradamente que la estrecha vinculación entre toda cuestión de inconstitucionalidad y el proceso judicial de que dimana da lugar a que determinadas incidencias que acaecen en este puedan afectar a la subsistencia del proceso constitucional (por todas, SSTC 22/2010, de 27 de abril, FJ 2; 87/2012, de 18 de abril, FJ 3). En particular, la extinción del proceso judicial </w:t>
      </w:r>
      <w:r w:rsidRPr="00BE7FB3">
        <w:rPr>
          <w:i/>
        </w:rPr>
        <w:t>a quo</w:t>
      </w:r>
      <w:r>
        <w:t xml:space="preserve"> constituye una de esas incidencias (entre muchos, AATC 945/1985, de 19 de diciembre; 107/1986, de 30 de enero; 41/1998, de 18 de febrero; y 191/2002, de 15 de octubre).</w:t>
      </w:r>
    </w:p>
    <w:p w:rsidR="00BE7FB3" w:rsidRDefault="00BE7FB3" w:rsidP="00BE7FB3">
      <w:pPr>
        <w:pStyle w:val="TextoNormal"/>
      </w:pPr>
    </w:p>
    <w:p w:rsidR="00BE7FB3" w:rsidRDefault="00BE7FB3" w:rsidP="00BE7FB3">
      <w:pPr>
        <w:pStyle w:val="TextoNormal"/>
      </w:pPr>
      <w:r>
        <w:t xml:space="preserve">Hay que partir de que el proceso contencioso-administrativo de recurso directo contra reglamentos puede extinguirse cuando resulta sobrevenidamente derogada o modificada la disposición impugnada. Conforme al art. 22 de la Ley de enjuiciamiento civil, de aplicación supletoria en sede contencioso-administrativa (disposición final primera de la Ley reguladora de esta jurisdicción), los órganos judiciales afirman que, si la norma reglamentaria directamente impugnada ha sido derogada o modificada y no conserva género alguno de ultraactividad, procede declarar la desaparición del objeto del procedimiento judicial. Pues bien, en el presente caso, si se hubiera producido la derogación o modificación del reglamento, podría llegar a extinguirse el proceso judicial </w:t>
      </w:r>
      <w:r w:rsidRPr="00BE7FB3">
        <w:rPr>
          <w:i/>
        </w:rPr>
        <w:t>a quo</w:t>
      </w:r>
      <w:r>
        <w:t xml:space="preserve">, lo que podría dar lugar a la desaparición del objeto de la cuestión de inconstitucionalidad planteada contra la norma legal de cobertura. Ninguna utilidad tendría un pronunciamiento de este Tribunal para un proceso judicial extinguido. En este sentido, hemos tenido en cuenta en un supuesto similar la derogación sobrevenida de las disposiciones reglamentarias impugnadas en el procedimiento judicial </w:t>
      </w:r>
      <w:r w:rsidRPr="00BE7FB3">
        <w:rPr>
          <w:i/>
        </w:rPr>
        <w:t>a quo</w:t>
      </w:r>
      <w:r>
        <w:t xml:space="preserve"> de recurso directo para inadmitir la cuestión planteada contra la Ley que les daba soporte (Así, la STC 147/2012, de 5 de julio, FJ 2, que tiene en cuenta también y sobre todo el hecho de que la norma legal cuestionada había sido derogada). Ahora bien, el examen que este Tribunal debe realizar sobre la posible extinción del proceso judicial ordinario debe ser de evidencias y a los solos fines de la admisibilidad de la cuestión planteada, sin sustituir al órgano judicial en la aplicación e interpretación de la legalidad ordinaria. En definitiva, sólo si la pérdida de objeto del procedimiento judicial ordinario es clara y manifiesta, puede este Tribunal declarar la extinción de la cuestión de inconstitucionalidad por esta razón.</w:t>
      </w:r>
    </w:p>
    <w:p w:rsidR="00BE7FB3" w:rsidRDefault="00BE7FB3" w:rsidP="00BE7FB3">
      <w:pPr>
        <w:pStyle w:val="TextoNormal"/>
      </w:pPr>
    </w:p>
    <w:p w:rsidR="00BE7FB3" w:rsidRDefault="00BE7FB3" w:rsidP="00BE7FB3">
      <w:pPr>
        <w:pStyle w:val="TextoNormal"/>
      </w:pPr>
      <w:r>
        <w:t xml:space="preserve">En el presente caso, a la vista del señalado examen, este Tribunal no puede afirmar que el procedimiento judicial del que trae causa la cuestión haya perdido objeto ni que, en consecuencia, lo haya perdido asimismo este proceso constitucional. Las consecuencias que tiene la incidencia de la ley señalada sobre la vigencia de la ordenanza municipal y, con ello, sobre el objeto del proceso judicial ordinario no son evidentes, sin que corresponda a este Tribunal determinarlas. Hay que tener en cuenta, para empezar, que la extinción del procedimiento judicial, en casos de recurso directo contra reglamentos sobrevenidamente derogados o modificados, no está expresamente prevista en la ley, aunque sea conforme a una jurisprudencia contencioso-administrativa consolidada. Además, en el presente asunto habría de ser el órgano judicial </w:t>
      </w:r>
      <w:r w:rsidRPr="00BE7FB3">
        <w:rPr>
          <w:i/>
        </w:rPr>
        <w:t>a quo</w:t>
      </w:r>
      <w:r>
        <w:t xml:space="preserve"> quien establezca si los preceptos de la ordenanza municipal que exigen la licencia previa en actividades hosteleras conservan vigencia o si, en cambio, han sido eventualmente derogados por la Ley 7/2012, en razón de su disposición derogatoria y el principio de jerarquía normativa; y, si así fuera, considerar desaparecido el objeto de su proceso, o si por el contrario pervive, por mantener tales preceptos algún tipo de ultraactividad. En definitiva, no es este Tribunal quien puede establecer que el procedimiento judicial </w:t>
      </w:r>
      <w:r w:rsidRPr="00BE7FB3">
        <w:rPr>
          <w:i/>
        </w:rPr>
        <w:t>a quo</w:t>
      </w:r>
      <w:r>
        <w:t xml:space="preserve"> ha perdido manifiestamente objeto en lo relativo a los artículos de la ordenanza impugnada que exigen licencia previa, ni que lo haya perdido también por este motivo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5</w:t>
      </w:r>
      <w:r>
        <w:t>. Por otra parte, La Ley del Parlamento Vasco 7/2012, al modificar el contenido de las normas legales cuestionadas, podría determinar la desaparición del objeto del presente proceso constitucional.</w:t>
      </w:r>
    </w:p>
    <w:p w:rsidR="00BE7FB3" w:rsidRDefault="00BE7FB3" w:rsidP="00BE7FB3">
      <w:pPr>
        <w:pStyle w:val="TextoNormal"/>
      </w:pPr>
    </w:p>
    <w:p w:rsidR="00BE7FB3" w:rsidRDefault="00BE7FB3" w:rsidP="00BE7FB3">
      <w:pPr>
        <w:pStyle w:val="TextoNormal"/>
      </w:pPr>
      <w:r>
        <w:lastRenderedPageBreak/>
        <w:t xml:space="preserve">Hay que partir de que “puede resultar afectada la subsistencia de la cuestión de inconstitucionalidad, obviamente, por la derogación o modificación de la disposición legal sobre la que se haya planteado la duda de constitucionalidad, en cuyo caso la supervivencia del proceso constitucional se supedita a que la norma cuestionada resulte todavía aplicable en el proceso </w:t>
      </w:r>
      <w:r w:rsidRPr="00BE7FB3">
        <w:rPr>
          <w:i/>
        </w:rPr>
        <w:t>a quo</w:t>
      </w:r>
      <w:r>
        <w:t xml:space="preserve"> y que de su validez dependa la decisión a adoptar en éste” (así, la STC 6/2010, de 14 de abril, con cita de las SSTC 385/1993, de 23 de diciembre, FJ 2; 274/2000, de 15 de noviembre, FJ 3; 63/2003, de 27 de marzo, FJ 3; y 101/2009, de 27 de abril, FJ 2).</w:t>
      </w:r>
    </w:p>
    <w:p w:rsidR="00BE7FB3" w:rsidRDefault="00BE7FB3" w:rsidP="00BE7FB3">
      <w:pPr>
        <w:pStyle w:val="TextoNormal"/>
      </w:pPr>
    </w:p>
    <w:p w:rsidR="00BE7FB3" w:rsidRDefault="00BE7FB3" w:rsidP="00BE7FB3">
      <w:pPr>
        <w:pStyle w:val="TextoNormal"/>
      </w:pPr>
      <w:r>
        <w:t xml:space="preserve">Debe tenerse en cuenta, en particular, la aplicación que de esta doctrina hemos realizado en cuestiones de inconstitucionalidad contra la norma legal de cobertura de un reglamento, cuando se plantea dentro de un procedimiento judicial exclusivamente destinado a controlar abstractamente su legalidad en razón del recurso directo interpuesto contra él. No hemos descartado que pueda desaparecer el objeto de la cuestión si concurre la modificación o la derogación sobrevenida del precepto legal cuestionado. Esto puede ocurrir por las características del recurso contencioso-administrativo directo contra reglamentos, que da lugar a un proceso destinado a depurar el ordenamiento jurídico de normas infralegales contrarias a Derecho y no a proteger situaciones jurídicas individualizadas. Así, hemos declarado que, al tratarse de un recurso de este tipo, “en el proceso </w:t>
      </w:r>
      <w:r w:rsidRPr="00BE7FB3">
        <w:rPr>
          <w:i/>
        </w:rPr>
        <w:t>a quo</w:t>
      </w:r>
      <w:r>
        <w:t xml:space="preserve"> no se planteaba la conformidad a derecho de un concreto acto” y que, no existiendo “intereses particulares de terceros que puedan verse directamente concernidos por la resolución del proceso </w:t>
      </w:r>
      <w:r w:rsidRPr="00BE7FB3">
        <w:rPr>
          <w:i/>
        </w:rPr>
        <w:t>a quo</w:t>
      </w:r>
      <w:r>
        <w:t xml:space="preserve">”, “el enjuiciamiento constitucional de la norma legal cuestionada no proyectaría su resultado sobre el concreto aspecto del litigio por el que se planteó la cuestión, convirtiéndose así en un juicio de constitucionalidad en abstracto, desligado del proceso </w:t>
      </w:r>
      <w:r w:rsidRPr="00BE7FB3">
        <w:rPr>
          <w:i/>
        </w:rPr>
        <w:t>a quo</w:t>
      </w:r>
      <w:r>
        <w:t>, lo que, cabalmente, no puede constituir nunca el objeto de un procedimiento constitucional de este tipo, ‘pues sin perjuicio de la existencia de un notorio interés público y general en la depuración del Ordenamiento jurídico y en la conformidad con la Constitución de las normas que lo integran, el constituyente ha configurado la cuestión de inconstitucionalidad en estrecha relación con el proceso judicial en el que la aplicación de la norma cuestionada sea necesaria, hasta el punto de que de su validez dependa el fallo que ha de recaer’.” (STC 147/2012, de 5 de julio, FJ 3, con cita de la STC 6/2010, FJ 2).</w:t>
      </w:r>
    </w:p>
    <w:p w:rsidR="00BE7FB3" w:rsidRDefault="00BE7FB3" w:rsidP="00BE7FB3">
      <w:pPr>
        <w:pStyle w:val="TextoNormal"/>
      </w:pPr>
    </w:p>
    <w:p w:rsidR="00BE7FB3" w:rsidRDefault="00BE7FB3" w:rsidP="00BE7FB3">
      <w:pPr>
        <w:pStyle w:val="TextoNormal"/>
      </w:pPr>
      <w:r>
        <w:t>En el presente asunto, según hemos visto, los preceptos cuestionados [art. 55.1 y anexo II J), actividades hosteleras, de la Ley del Parlamento Vasco 3/1998], en su redacción inicial, han sido modificados por la Ley del Parlamento Vasco 7/2012, eliminándose la exigencia de licencia previa en relación con determinadas actividades hosteleras. La versión original de estos preceptos podría conservar un grado muy tenue de ultraactividad. Conforme a la disposición transitoria primera de la citada ley, la legislación derogada se aplica sólo a los procedimientos de autorización iniciados antes de la entrada en vigor de esa ley y únicamente en el supuesto de que el interesado no haya desistido de su solicitud, eligiendo la aplicación de la nueva normativa. Es más, puede apreciarse que las Administraciones han dejado prácticamente de aplicar la norma legal discutida, pues han transcurrido los seis meses establecidos en el art. 60 de la Ley 3/1998 como plazo máximo para resolver, que es el aplicable a tales solicitudes. Por tanto, la ultraactividad que, en su caso, podría tener la normativa cuestionada es fundamentalmente la resultante de su aplicación judicial en los recursos contencioso-administrativos pendientes de resolución que se hayan interpuesto contra actos singulares de aplicación anteriores a la Ley del Parlamento Vasco 7/2012, si es que existen; actividad jurisdiccional que no ha sido sometida a nuestra consideración.</w:t>
      </w:r>
    </w:p>
    <w:p w:rsidR="00BE7FB3" w:rsidRDefault="00BE7FB3" w:rsidP="00BE7FB3">
      <w:pPr>
        <w:pStyle w:val="TextoNormal"/>
      </w:pPr>
    </w:p>
    <w:p w:rsidR="00BE7FB3" w:rsidRDefault="00BE7FB3" w:rsidP="00BE7FB3">
      <w:pPr>
        <w:pStyle w:val="TextoNormal"/>
      </w:pPr>
      <w:r>
        <w:lastRenderedPageBreak/>
        <w:t xml:space="preserve">Conforme a la doctrina constitucional expuesta, esta ultraactividad, aunque es muy limitada, podría propiciar la pervivencia del objeto de la cuestión de inconstitucionalidad planteada, si la legislación derogada siguiera siendo aplicable en el proceso </w:t>
      </w:r>
      <w:r w:rsidRPr="00BE7FB3">
        <w:rPr>
          <w:i/>
        </w:rPr>
        <w:t>a quo</w:t>
      </w:r>
      <w:r>
        <w:t xml:space="preserve"> por referirse este a actos singulares dictados en procedimientos administrativos incoados antes de la entrada en vigor de la Ley del Parlamento Vasco 7/2012. Ahora bien, en el presente asunto, el proceso </w:t>
      </w:r>
      <w:r w:rsidRPr="00BE7FB3">
        <w:rPr>
          <w:i/>
        </w:rPr>
        <w:t>a quo</w:t>
      </w:r>
      <w:r>
        <w:t xml:space="preserve"> no es ya que no tenga por objeto un procedimiento anterior a la nueva ley; es que no se refiere a procedimiento de autorización alguno. Lo que se trata de resolver es un recurso directo interpuesto contra un reglamento; en particular, la ordenanza municipal de establecimientos públicos de hostelería del Ayuntamiento de Vitoria-Gasteiz. Así pues, la cuestión de inconstitucionalidad respecto del precepto legal luego modificado se ha formulado en el seno de un proceso judicial que tiene como finalidad nuclear depurar el Ordenamiento jurídico de normas reglamentarias contrarias a Derecho y no resolver acerca de pretensiones individualizadas que de su aplicación pudieran derivarse.</w:t>
      </w:r>
    </w:p>
    <w:p w:rsidR="00BE7FB3" w:rsidRDefault="00BE7FB3" w:rsidP="00BE7FB3">
      <w:pPr>
        <w:pStyle w:val="TextoNormal"/>
      </w:pPr>
    </w:p>
    <w:p w:rsidR="00BE7FB3" w:rsidRDefault="00BE7FB3" w:rsidP="00BE7FB3">
      <w:pPr>
        <w:pStyle w:val="TextoNormal"/>
      </w:pPr>
      <w:r>
        <w:t xml:space="preserve">Si, en razón de las características señaladas del proceso judicial </w:t>
      </w:r>
      <w:r w:rsidRPr="00BE7FB3">
        <w:rPr>
          <w:i/>
        </w:rPr>
        <w:t>a quo</w:t>
      </w:r>
      <w:r>
        <w:t xml:space="preserve">, la norma aplicable dentro del mismo fuera la versión resultante de la Ley del Parlamento Vasco 7/2012, este Tribunal no podría pronunciarse sobre su conformidad con la legislación básica de contraste habida cuenta de que, según tiene declarado, “la doctrina del </w:t>
      </w:r>
      <w:r w:rsidRPr="00BE7FB3">
        <w:rPr>
          <w:i/>
        </w:rPr>
        <w:t>ius superveniens</w:t>
      </w:r>
      <w:r>
        <w:t xml:space="preserve">, según la cual el control de las normas que incurren en un posible exceso competencial debe hacerse de acuerdo con las normas del bloque de la constitucionalidad vigentes al momento de dictar sentencia [entre otras, SSTC 137/1986, de 6 de noviembre, FJ 4; 170/1989, de 19 de octubre, FJ 3; 1/2003, de 16 de enero, FJ 9; 109/2003, de 5 de junio, FJ 6; 14/2004, de 12 de febrero, FJ 8; 47/2004, de 25 de marzo, FJ 7; y 135/2006, de 27 de abril, FJ 3 a)], no resulta aplicable a las cuestiones de inconstitucionalidad” (por todas, STC 184/2011, de 23 de noviembre de 2011, FJ 3; y las que allí se citan). Mediante estas, este Tribunal controla la constitucionalidad de una norma con rango de ley que resulta aplicable en el procedimiento judicial </w:t>
      </w:r>
      <w:r w:rsidRPr="00BE7FB3">
        <w:rPr>
          <w:i/>
        </w:rPr>
        <w:t>a quo</w:t>
      </w:r>
      <w:r>
        <w:t xml:space="preserve">, aunque haya sido derogada o modificada, siempre que el juzgador haya argumentado razonablemente el juicio de relevancia. El problema es que el Auto de planteamiento de 13 de octubre de 2011 no ha podido pronunciarse sobre la aplicabilidad, dentro del proceso de recurso directo contra reglamento, de la versión originaria del art. 55. 1 y del anexo II J) de la Ley del Parlamento Vasco 3/1998, una vez que ha sido profundamente modificada por una ley aprobada con posterioridad, la Ley 7/2012, de 23 de abril. Esta ausencia no es evidentemente imputable al juzgador, pero lo cierto es que impide a este Tribunal acceder a la justificación que exige el art. 35.2 LOTC sobre la relación de dependencia entre el fallo del procedimiento </w:t>
      </w:r>
      <w:r w:rsidRPr="00BE7FB3">
        <w:rPr>
          <w:i/>
        </w:rPr>
        <w:t>a quo</w:t>
      </w:r>
      <w:r>
        <w:t xml:space="preserve"> y la validez de los preceptos discutidos, que sólo pueden ser el art. 55.1 y el anexo II J) en su redacción derogada. Por tanto, la cuestión de inconstitucionalidad debe inadmitirse.</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Inadmitir a trámite la cuestión de inconstitucionalidad.</w:t>
      </w:r>
    </w:p>
    <w:p w:rsidR="00BE7FB3" w:rsidRDefault="00BE7FB3" w:rsidP="00BE7FB3">
      <w:pPr>
        <w:pStyle w:val="TextoNormal"/>
      </w:pPr>
    </w:p>
    <w:p w:rsidR="00BE7FB3" w:rsidRDefault="00BE7FB3" w:rsidP="00BE7FB3">
      <w:pPr>
        <w:pStyle w:val="TextoNormal"/>
      </w:pPr>
      <w:r>
        <w:t>Publíquese este Auto en el “Boletín Oficial del Estado”.</w:t>
      </w:r>
    </w:p>
    <w:p w:rsidR="00BE7FB3" w:rsidRDefault="00BE7FB3" w:rsidP="00BE7FB3">
      <w:pPr>
        <w:pStyle w:val="TextoNormal"/>
      </w:pPr>
    </w:p>
    <w:p w:rsidR="00BE7FB3" w:rsidRDefault="00BE7FB3" w:rsidP="00BE7FB3">
      <w:pPr>
        <w:pStyle w:val="TextoNormal"/>
      </w:pPr>
      <w:r>
        <w:t>Madrid, a veintinueve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lastRenderedPageBreak/>
        <w:br w:type="page"/>
      </w:r>
    </w:p>
    <w:p w:rsidR="00BE7FB3" w:rsidRDefault="00BE7FB3" w:rsidP="00BE7FB3">
      <w:pPr>
        <w:pStyle w:val="TtuloResolucin"/>
      </w:pPr>
      <w:bookmarkStart w:id="165" w:name="AUTO_2013_24"/>
      <w:r>
        <w:lastRenderedPageBreak/>
        <w:t>AUTO 24/2013, de 29 de enero de 2013</w:t>
      </w:r>
    </w:p>
    <w:bookmarkEnd w:id="165"/>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ECLI:ES:TC:2013:24A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Inadmite a trámite la cuestión de inconstitucionalidad 3545-2012, planteada por el Juzgado de lo Mercantil núm. 1 de Oviedo en relación con el artículo 170.1 de la Ley 22/2003, de 9 de julio, concursal.</w:t>
      </w:r>
    </w:p>
    <w:p w:rsidR="00BE7FB3" w:rsidRDefault="00BE7FB3" w:rsidP="00BE7FB3">
      <w:pPr>
        <w:pStyle w:val="SntesisDescriptiva"/>
      </w:pPr>
    </w:p>
    <w:p w:rsidR="00BE7FB3" w:rsidRDefault="00BE7FB3" w:rsidP="00BE7FB3">
      <w:pPr>
        <w:pStyle w:val="SntesisAnaltica"/>
      </w:pPr>
      <w:r>
        <w:t>Inadmisión de cuestión de inconstitucionalidad por falta de requisitos procesales. Procedimiento concursal: calificación del concurso.</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Constitucional el día 13 de junio de 2012 el Juzgado de lo Mercantil núm. 1 de Oviedo plantea cuestión de inconstitucionalidad respecto del art. 170.1 de la Ley 22/2003, de 9 de julio, concursal, en relación con el art. 168.1 (en la redacción dada por el Real Decreto-ley 3/2009, de 27 de marzo) acompañándose el testimonio de las actuaciones y el Auto de planteamiento de 30 de mayo de 2012.</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de los que trae causa la cuestión de inconstitucionalidad planteada son, en síntesis, los siguientes:</w:t>
      </w:r>
    </w:p>
    <w:p w:rsidR="00BE7FB3" w:rsidRDefault="00BE7FB3" w:rsidP="00BE7FB3">
      <w:pPr>
        <w:pStyle w:val="TextoNormal"/>
      </w:pPr>
    </w:p>
    <w:p w:rsidR="00BE7FB3" w:rsidRDefault="00BE7FB3" w:rsidP="00BE7FB3">
      <w:pPr>
        <w:pStyle w:val="TextoNormal"/>
      </w:pPr>
      <w:r>
        <w:t xml:space="preserve">a) Por Auto del Juzgado de lo Mercantil núm. 1 de Oviedo de 26 de octubre de 2007 se declaró en concurso voluntario a un deudor. </w:t>
      </w:r>
    </w:p>
    <w:p w:rsidR="00BE7FB3" w:rsidRDefault="00BE7FB3" w:rsidP="00BE7FB3">
      <w:pPr>
        <w:pStyle w:val="TextoNormal"/>
      </w:pPr>
    </w:p>
    <w:p w:rsidR="00BE7FB3" w:rsidRDefault="00BE7FB3" w:rsidP="00BE7FB3">
      <w:pPr>
        <w:pStyle w:val="TextoNormal"/>
      </w:pPr>
      <w:r>
        <w:t>b) Mediante escrito presentado el 10 de febrero de 2010 el mencionado deudor solicitó la liquidación del concurso y por Auto del Juzgado de 24 de febrero de 2010 se declaró finalizada la fase común del procedimiento concursal y se acordó abrir la fase de liquidación y formar la sección sexta de calificación del concurso, recordándose a las partes el contenido del art. 168.1 de la Ley concursal, a los efectos de personarse en la citada sección sexta.</w:t>
      </w:r>
    </w:p>
    <w:p w:rsidR="00BE7FB3" w:rsidRDefault="00BE7FB3" w:rsidP="00BE7FB3">
      <w:pPr>
        <w:pStyle w:val="TextoNormal"/>
      </w:pPr>
    </w:p>
    <w:p w:rsidR="00BE7FB3" w:rsidRDefault="00BE7FB3" w:rsidP="00BE7FB3">
      <w:pPr>
        <w:pStyle w:val="TextoNormal"/>
      </w:pPr>
      <w:r>
        <w:t xml:space="preserve">c) En las actuaciones se personaron como acreedor Caja España de Inversiones, C.A.M.P., y el Abogado del Estado, en representación de la Agencia Estatal de la Administración Tributaria, teniendo el Juzgado a ambos por personados por sendas providencias de 12 de marzo y 24 de marzo de 2010. En el escrito del Abogado del Estado en el que se </w:t>
      </w:r>
      <w:r>
        <w:lastRenderedPageBreak/>
        <w:t>solicitaba la personación en el proceso, se alegó también que el concurso debía ser calificado como culpable, por lo que, el Juzgado, en la citada providencia de 24 de marzo de 2010 tuvo por formuladas las pretensiones de condena contenidas en el escrito y dio traslado del mismo a la administración concursal y al Ministerio Fiscal.</w:t>
      </w:r>
    </w:p>
    <w:p w:rsidR="00BE7FB3" w:rsidRDefault="00BE7FB3" w:rsidP="00BE7FB3">
      <w:pPr>
        <w:pStyle w:val="TextoNormal"/>
      </w:pPr>
    </w:p>
    <w:p w:rsidR="00BE7FB3" w:rsidRDefault="00BE7FB3" w:rsidP="00BE7FB3">
      <w:pPr>
        <w:pStyle w:val="TextoNormal"/>
      </w:pPr>
      <w:r>
        <w:t>d) La administración concursal, por escrito de 26 de marzo de 2010, entendió que el concurso debía calificarse como fortuito. Por providencia del Juzgado de 6 de abril de 2010, se tuvo por presentado el escrito, uniéndose a su sección sexta y, de conformidad con el art. 169.2 de la Ley 22/2003, se acordó pasar la sección sexta al Ministerio Fiscal a fin de que en el plazo de diez días emitiera informe.</w:t>
      </w:r>
    </w:p>
    <w:p w:rsidR="00BE7FB3" w:rsidRDefault="00BE7FB3" w:rsidP="00BE7FB3">
      <w:pPr>
        <w:pStyle w:val="TextoNormal"/>
      </w:pPr>
    </w:p>
    <w:p w:rsidR="00BE7FB3" w:rsidRDefault="00BE7FB3" w:rsidP="00BE7FB3">
      <w:pPr>
        <w:pStyle w:val="TextoNormal"/>
      </w:pPr>
      <w:r>
        <w:t>e) Por diligencia de ordenación de 26 de mayo de 2011, no constando notificada la providencia de 6 de abril de 2010 a los Procuradores personados en la sección sexta, se acordó notificarles nuevamente y, de conformidad con lo acordado en la citada resolución, remitir las actuaciones al Ministerio Fiscal para que emitiera dictamen, el cual, por escrito de 21 de junio de 2011, sostuvo que el concurso se declarase como fortuito.</w:t>
      </w:r>
    </w:p>
    <w:p w:rsidR="00BE7FB3" w:rsidRDefault="00BE7FB3" w:rsidP="00BE7FB3">
      <w:pPr>
        <w:pStyle w:val="TextoNormal"/>
      </w:pPr>
    </w:p>
    <w:p w:rsidR="00BE7FB3" w:rsidRDefault="00BE7FB3" w:rsidP="00BE7FB3">
      <w:pPr>
        <w:pStyle w:val="TextoNormal"/>
      </w:pPr>
      <w:r>
        <w:t>f) Por providencia de 6 de julio de 2011, visto que el Ministerio Fiscal y la Administración concursal coincidieron en calificar el concurso como fortuito, se requirió a la Agencia Tributaria para que en el plazo de tres días manifestara si persistía su interés en instar la calificación como culpable o si interesaba el archivo de la sección. Por escrito de 20 de julio de 2011 el Abogado del Estado manifestó su interés en la calificación del concurso como culpable.</w:t>
      </w:r>
    </w:p>
    <w:p w:rsidR="00BE7FB3" w:rsidRDefault="00BE7FB3" w:rsidP="00BE7FB3">
      <w:pPr>
        <w:pStyle w:val="TextoNormal"/>
      </w:pPr>
    </w:p>
    <w:p w:rsidR="00BE7FB3" w:rsidRDefault="00BE7FB3" w:rsidP="00BE7FB3">
      <w:pPr>
        <w:pStyle w:val="TextoNormal"/>
      </w:pPr>
      <w:r>
        <w:t>g) Por providencia de 29 de julio de 2011 se dio audiencia al deudor, a los efectos del art. 170.2 de la Ley concursal, el cual, por escrito presentado el 14 de septiembre de 2011, sostuvo la condición de fortuito del concurso.</w:t>
      </w:r>
    </w:p>
    <w:p w:rsidR="00BE7FB3" w:rsidRDefault="00BE7FB3" w:rsidP="00BE7FB3">
      <w:pPr>
        <w:pStyle w:val="TextoNormal"/>
      </w:pPr>
    </w:p>
    <w:p w:rsidR="00BE7FB3" w:rsidRDefault="00BE7FB3" w:rsidP="00BE7FB3">
      <w:pPr>
        <w:pStyle w:val="TextoNormal"/>
      </w:pPr>
      <w:r>
        <w:t>h) Por providencia de 28 de septiembre de 2011 se acordó tener por presentado el anterior escrito y unirse a la sección sexta y, con carácter previo a señalar vista, se acordó requerir a todos los acreedores personados al amparo del art. 168 de la Ley concursal que hubieran formulado concretas pretensiones de condena para que propusieran prueba. Transcurrido el plazo sin que ninguna parte hubiera verificado dicho trámite, por diligencia de ordenación de 7 de marzo de 2012 las actuaciones quedaron conclusas para Sentencia.</w:t>
      </w:r>
    </w:p>
    <w:p w:rsidR="00BE7FB3" w:rsidRDefault="00BE7FB3" w:rsidP="00BE7FB3">
      <w:pPr>
        <w:pStyle w:val="TextoNormal"/>
      </w:pPr>
    </w:p>
    <w:p w:rsidR="00BE7FB3" w:rsidRDefault="00BE7FB3" w:rsidP="00BE7FB3">
      <w:pPr>
        <w:pStyle w:val="TextoNormal"/>
      </w:pPr>
      <w:r>
        <w:t>i) Por providencia de esa misma fecha, 7 de marzo de 2012, del siguiente tenor literal, se abrió trámite para promover la cuestión de inconstitucionalidad del art. 170.1 de la Ley concursal: “Apreciando este juzgador una posible inconstitucionalidad del art. 170.1 en relación con el art. 168.1 de la LC, dese traslado por plazo común de 10 días a las partes personadas en la presente sección sexta y al Ministerio Fiscal para que puedan alegar lo que deseen sobre la pertinencia de plantear la cuestión de inconstitucionalidad a los efectos del art. 35 LOTC”.</w:t>
      </w:r>
    </w:p>
    <w:p w:rsidR="00BE7FB3" w:rsidRDefault="00BE7FB3" w:rsidP="00BE7FB3">
      <w:pPr>
        <w:pStyle w:val="TextoNormal"/>
      </w:pPr>
    </w:p>
    <w:p w:rsidR="00BE7FB3" w:rsidRDefault="00BE7FB3" w:rsidP="00BE7FB3">
      <w:pPr>
        <w:pStyle w:val="TextoNormal"/>
      </w:pPr>
      <w:r>
        <w:t>j) Frente a la anterior providencia el Abogado del Estado interpuso recurso de reposición con fecha 15 de marzo de 2012, por entender que la misma no era ajustada a derecho, al no precisar cuál es el precepto constitucional que se considera infringido por los artículos citados ni en qué medida la decisión del proceso dependía de la validez de la norma en cuestión.</w:t>
      </w:r>
    </w:p>
    <w:p w:rsidR="00BE7FB3" w:rsidRDefault="00BE7FB3" w:rsidP="00BE7FB3">
      <w:pPr>
        <w:pStyle w:val="TextoNormal"/>
      </w:pPr>
    </w:p>
    <w:p w:rsidR="00BE7FB3" w:rsidRDefault="00BE7FB3" w:rsidP="00BE7FB3">
      <w:pPr>
        <w:pStyle w:val="TextoNormal"/>
      </w:pPr>
      <w:r>
        <w:lastRenderedPageBreak/>
        <w:t>k) No obstante, antes de la resolución del recurso de reposición, el Fiscal y el Abogado del Estado presentaron sus informes sobre la pertinencia de plantear cuestión de inconstitucionalidad del art. 170.1 de la Ley concursal. El Fiscal, en su informe de 30 de marzo de 2011, se opuso al planteamiento de la cuestión de inconstitucionalidad, pues, si bien el art. 170.1 dispone que si el informe de la administración concursal y el dictamen del Ministerio Fiscal coinciden en calificar el concurso como fortuito, el Juez, sin más trámite, ordenará el archivo de las actuaciones mediante Auto, contra el que no cabrá recurso alguno, las limitaciones que de ello se derivan para los legitimados activamente respetan el derecho a acceder a la jurisdicción (art. 24.1 CE) y resultan proporcionadas a la consecución de finalidades constitucionalmente lícitas.</w:t>
      </w:r>
    </w:p>
    <w:p w:rsidR="00BE7FB3" w:rsidRDefault="00BE7FB3" w:rsidP="00BE7FB3">
      <w:pPr>
        <w:pStyle w:val="TextoNormal"/>
      </w:pPr>
    </w:p>
    <w:p w:rsidR="00BE7FB3" w:rsidRDefault="00BE7FB3" w:rsidP="00BE7FB3">
      <w:pPr>
        <w:pStyle w:val="TextoNormal"/>
      </w:pPr>
      <w:r>
        <w:t>Por su parte, el Abogado del Estado, en representación de la Agencia tributaria, se posicionó a favor del planteamiento de la cuestión de inconstitucionalidad en su escrito de 23 de marzo de 2012, por entender que los arts. 168.1 y 170.1 de la Ley concursal restringen la plenitud de los derechos reconocidos como núcleo esencial del derecho a la tutela judicial efectiva y, en concreto, el derecho a la articulación del proceso debido, el derecho al pronunciamiento sobre el fondo de la pretensión, así como el derecho a promover los recursos procedentes.</w:t>
      </w:r>
    </w:p>
    <w:p w:rsidR="00BE7FB3" w:rsidRDefault="00BE7FB3" w:rsidP="00BE7FB3">
      <w:pPr>
        <w:pStyle w:val="TextoNormal"/>
      </w:pPr>
    </w:p>
    <w:p w:rsidR="00BE7FB3" w:rsidRDefault="00BE7FB3" w:rsidP="00BE7FB3">
      <w:pPr>
        <w:pStyle w:val="TextoNormal"/>
      </w:pPr>
      <w:r>
        <w:t>l) Por Auto de 30 de mayo de 2012 se desestimó el recurso de reposición interpuesto por el Abogado del Estado contra la providencia de 7 de marzo de 2012, pues “pese a que la providencia recurrida no cumplía en sus propios términos el mandato legislativo, de su contenido y del resto de la sección sexta se deducía sin dificultad cuál era el precepto constitucional afectado (obviamente el art. 24 CE) y en qué medida la decisión sobre la calificación dependía del valor que se diera a las alegaciones de la Agencia tributaria. De hecho de la lectura de las alegaciones de la Abogacía del Estado se desprende que esta omisión no impidió en modo alguno, ni tan siquiera dificultó, dicho trámite”.</w:t>
      </w:r>
    </w:p>
    <w:p w:rsidR="00BE7FB3" w:rsidRDefault="00BE7FB3" w:rsidP="00BE7FB3">
      <w:pPr>
        <w:pStyle w:val="TextoNormal"/>
      </w:pPr>
    </w:p>
    <w:p w:rsidR="00BE7FB3" w:rsidRDefault="00BE7FB3" w:rsidP="00BE7FB3">
      <w:pPr>
        <w:pStyle w:val="TextoNormal"/>
      </w:pPr>
      <w:r>
        <w:t>En esa misma fecha, 30 de mayo de 2012, el Juez dictó Auto planteando cuestión de inconstitucionalidad sobre el art. 170.1 en relación con el art. 168.1 de la Ley concursal.</w:t>
      </w:r>
    </w:p>
    <w:p w:rsidR="00BE7FB3" w:rsidRDefault="00BE7FB3" w:rsidP="00BE7FB3">
      <w:pPr>
        <w:pStyle w:val="TextoNormal"/>
      </w:pPr>
    </w:p>
    <w:p w:rsidR="00BE7FB3" w:rsidRDefault="00BE7FB3" w:rsidP="00BE7FB3">
      <w:pPr>
        <w:pStyle w:val="TextoNormal"/>
      </w:pPr>
      <w:r w:rsidRPr="00BE7FB3">
        <w:rPr>
          <w:rStyle w:val="NumeroAFNegritaCaracter"/>
        </w:rPr>
        <w:t>3</w:t>
      </w:r>
      <w:r>
        <w:t>. El Auto de 30 de mayo de 2012 del Juzgado de lo Mercantil núm. 1 de Oviedo fundamenta el planteamiento de la cuestión de inconstitucionalidad en las consideraciones que seguidamente, y de forma resumida, se indican.</w:t>
      </w:r>
    </w:p>
    <w:p w:rsidR="00BE7FB3" w:rsidRDefault="00BE7FB3" w:rsidP="00BE7FB3">
      <w:pPr>
        <w:pStyle w:val="TextoNormal"/>
      </w:pPr>
    </w:p>
    <w:p w:rsidR="00BE7FB3" w:rsidRDefault="00BE7FB3" w:rsidP="00BE7FB3">
      <w:pPr>
        <w:pStyle w:val="TextoNormal"/>
      </w:pPr>
      <w:r>
        <w:t xml:space="preserve">Tras la exposición del contenido del art. 35 de la Ley Orgánica del Tribunal Constitucional (LOTC) y del art. 168.1 de la Ley concursal, relativo, este último, a la personación y condición de parte de los terceros que aducen interés legítimo en la sección de calificación del concurso, comienza el órgano judicial exponiendo las dudas que suscita el precepto mencionado de la Ley concursal en relación con la condición de parte que haya de reconocerse en la pieza de calificación a los acreedores y terceros legítimamente interesados. Seguidamente examina la evolución que dicha posición ha experimentado desde el viejo régimen legal contenido en el Código de comercio (art. 859.2), pasando por los sucesivos anteproyectos de reforma de la legislación codificada y por la redacción original del art. 168.1 de la Ley 22/2003, que no hacía referencia expresa a la condición de parte de los personados en la sección de calificación, y la jurisprudencia menor que se hacía eco de dicha circunstancia. Concluye con el examen de la reforma operada por el Real Decreto-ley 3/2009, de 27 de marzo, que introduce una novedad en el art. 168 al reconocer al tercero personado la </w:t>
      </w:r>
      <w:r>
        <w:lastRenderedPageBreak/>
        <w:t>condición de parte. Esta reforma, a su juicio, excede de una mera corrección de estilo y obliga a aceptar su condición de parte plena, salvo que se entienda que la alusión a la condición de parte, tanto en la letra del precepto como su rúbrica, es superflua por redundante, o se desnude la condición de parte de los atributos que le son propios. Sin embargo, insiste en que la defectuosa técnica legislativa no permite cerrar el debate, antes al contrario, y es que el art. 170, cuya constitucionalidad se cuestiona, incomprensiblemente sigue diciendo que en caso de coincidir la administración concursal y el Ministerio Fiscal en calificar el concurso como fortuito se procederá, sin más, al archivo de la sección y, además, sin posibilidad de ulterior recurso, lo que parece contravenir la condición de parte que atribuye a los terceros el art. 168.1 de la Ley concursal. Además, añade que tras la Ley 38/2011 la cuestión se hace más compleja si tenemos en cuenta que en fase de apelación y ejecución se vuelve a hacer hincapié en el papel de los terceros.</w:t>
      </w:r>
    </w:p>
    <w:p w:rsidR="00BE7FB3" w:rsidRDefault="00BE7FB3" w:rsidP="00BE7FB3">
      <w:pPr>
        <w:pStyle w:val="TextoNormal"/>
      </w:pPr>
    </w:p>
    <w:p w:rsidR="00BE7FB3" w:rsidRDefault="00BE7FB3" w:rsidP="00BE7FB3">
      <w:pPr>
        <w:pStyle w:val="TextoNormal"/>
      </w:pPr>
      <w:r>
        <w:t>Seguidamente el órgano judicial proponente realiza un extenso repaso de los fundamentos de las posturas doctrinales y jurisprudenciales enfrentadas en la exégesis de dichos preceptos de la Ley concursal a propósito de la interpretación que haya de darse a la atribución de la condición de parte a los terceros personados en la pieza de calificación, distinguiendo entre una postura restrictiva mayoritaria, que concibe la intervención de los terceros personados en la pieza de calificación de manera limitada, y otra minoritaria, que reconoce la plena condición de parte procesal a los mismos. A ello sigue una reseña de la jurisprudencia constitucional relativa al contenido del derecho fundamental a la tutela judicial efectiva en sus vertientes de derecho de acceso a la jurisdicción, incluido en el derecho a la obtención de una resolución sobre el fondo fundada en derecho, y el de acceso a los recursos que se incorpora al mencionado derecho fundamental en su precisa configuración legal.</w:t>
      </w:r>
    </w:p>
    <w:p w:rsidR="00BE7FB3" w:rsidRDefault="00BE7FB3" w:rsidP="00BE7FB3">
      <w:pPr>
        <w:pStyle w:val="TextoNormal"/>
      </w:pPr>
    </w:p>
    <w:p w:rsidR="00BE7FB3" w:rsidRDefault="00BE7FB3" w:rsidP="00BE7FB3">
      <w:pPr>
        <w:pStyle w:val="TextoNormal"/>
      </w:pPr>
      <w:r>
        <w:t xml:space="preserve">A continuación, señala el órgano judicial que salvo que aceptemos que la Ley concursal, al configurar la participación de terceros en la sección de calificación, innova un concepto jurídico procesal de parte hasta ahora desconocido, habremos de convenir que esa participación habrá de tener encaje en una de las dos categorías que a tal efecto reconoce la Ley de enjuiciamiento civil (LEC): la condición de parte procesal legítima (art. 10) o la de interviniente (arts. 13 y 14). En la tarea de hallar el recto sentido de la norma considera más sencillo comenzar diciendo qué posición no ostenta el tercero. Así, afirma que es claro que su participación es voluntaria, luego debe excluirse la intervención provocada o </w:t>
      </w:r>
      <w:r w:rsidRPr="00BE7FB3">
        <w:rPr>
          <w:i/>
        </w:rPr>
        <w:t>litis denuntiatio</w:t>
      </w:r>
      <w:r>
        <w:t xml:space="preserve"> del art. 14. Por lo que se refiere a si las alegaciones de terceros encuentran anclaje en la intervención regulada en el art. 13.1 LEC, indica que en el caso comentado la concurrencia del interés legítimo es palmario, aunque más discutible es que sea directo. Sin embargo, considera que aunque no se admitiera el carácter “directo” del interés de los terceros en la calificación, el art. 13.1 ha de interpretarse, como la totalidad de nuestro ordenamiento, de conformidad con la Constitución, que en el art. 24.1 reconoce el derecho fundamental a obtener una tutela judicial efectiva a quien sea titular de un interés “legítimo”, sin más calificativos, por lo que ante la posibilidad de cercenar un derecho fundamental, debería admitirse su intervención en el proceso. Ahora bien, añade, si por el interés que el tercero titula podría admitírsele como interviniente, la asimetría con que está diseñada la sección sexta imposibilita acudir a esta figura, por cuanto el proceso, entendiendo por tal, no el concurso en su generalidad, sino la calificación, realmente no está pendiente, sino que se inicia precisamente con el trámite de alegaciones de los terceros, por lo que decae la razón de ser de este instituto. Pero, continua, aunque admitiéramos a efectos polémicos que el tercero en la sección de calificación es un interviniente, ello no implica que sea un mero coadyuvante. El </w:t>
      </w:r>
      <w:r>
        <w:lastRenderedPageBreak/>
        <w:t>tercero, al intervenir, persigue evitar unos perjuicios; en algunos casos su actuación puede limitarse a coadyuvar a la victoria de una de las partes, apoyándola con alegaciones y medios de prueba, pero en otros tendrá que suplir la inactividad de la parte originaria e incluso es posible que tenga que enfrentarse a ella cuando se trate de un proceso fraudulento o simulado.</w:t>
      </w:r>
    </w:p>
    <w:p w:rsidR="00BE7FB3" w:rsidRDefault="00BE7FB3" w:rsidP="00BE7FB3">
      <w:pPr>
        <w:pStyle w:val="TextoNormal"/>
      </w:pPr>
    </w:p>
    <w:p w:rsidR="00BE7FB3" w:rsidRDefault="00BE7FB3" w:rsidP="00BE7FB3">
      <w:pPr>
        <w:pStyle w:val="TextoNormal"/>
      </w:pPr>
      <w:r>
        <w:t>Descartada la posibilidad de la intervención, señala que la única categoría que resta es la de “parte procesal legítima”, pues la Ley de enjuiciamiento civil no contempla al coadyuvante, que se caracteriza, positivamente, por ser un auxiliador o amparador y, negativamente, por no ser parte. Afirma que la calificación concursal, a pesar del escalonamiento en las posiciones de demandante y demandado, es un proceso plenario que responde al esquema declarativo típico: demanda-contestación-vista. A su juicio, la circunstancia de que la Ley concursal restrinja aparentemente su participación a la alegación de hechos relevantes para fundar la calificación culpable del concurso es un argumento de suma debilidad para negar su condición de parte plena, pues la Ley concursal no destaca por su acierto en la regulación del contenido de los escritos de la administración concursal o del Ministerio Fiscal.</w:t>
      </w:r>
    </w:p>
    <w:p w:rsidR="00BE7FB3" w:rsidRDefault="00BE7FB3" w:rsidP="00BE7FB3">
      <w:pPr>
        <w:pStyle w:val="TextoNormal"/>
      </w:pPr>
    </w:p>
    <w:p w:rsidR="00BE7FB3" w:rsidRDefault="00BE7FB3" w:rsidP="00BE7FB3">
      <w:pPr>
        <w:pStyle w:val="TextoNormal"/>
      </w:pPr>
      <w:r>
        <w:t>Por todo ello considera que el art. 168.1 de la Ley concursal supone equiparar procesalmente a los interesados con el resto de partes de la pieza de calificación, con plena autonomía para formular pretensiones, participar en la vista, proponer prueba o recurrir. No cabe, a su juicio, otra posibilidad, salvo que se desnaturalice la cualidad de parte, privándola de los atributos que en esencia le son propios. Por este motivo afirma que en caso de que existan interesados personados en la sección sexta y hayan formulado concretas pretensiones en la misma, debería emplazarse a la concursada y, en su caso, a las personas afectadas por la calificación o cómplices, aun cuando la administración concursal y el Ministerio Fiscal hayan coincido en calificar como fortuito el concurso, siendo suficiente la existencia de aquéllas para la continuación de la tramitación de la sección. Si, por el contrario, la calificación pretendida por el acreedor coexiste con la de la Administración concursal o el Ministerio Fiscal, debería darse traslado de la misma, a su juicio, en primer término, a esas mismas partes demandantes, por si desean incorporar a sus escritos rectores alguno de sus contenidos, y, posteriormente, a la concursada, personas afectadas por la calificación y, en su caso, cómplices, a fin de que puedan ejercitar adecuadamente su derecho de defensa.</w:t>
      </w:r>
    </w:p>
    <w:p w:rsidR="00BE7FB3" w:rsidRDefault="00BE7FB3" w:rsidP="00BE7FB3">
      <w:pPr>
        <w:pStyle w:val="TextoNormal"/>
      </w:pPr>
    </w:p>
    <w:p w:rsidR="00BE7FB3" w:rsidRDefault="00BE7FB3" w:rsidP="00BE7FB3">
      <w:pPr>
        <w:pStyle w:val="TextoNormal"/>
      </w:pPr>
      <w:r>
        <w:t>Concluye afirmando que el propio Tribunal Constitucional, en reciente Sentencia de 12 de febrero de 2012, parece reconocer a los terceros la posibilidad de intervenir como parte en el proceso. Sin embargo, no resuelve todas las dudas que se plantean en este Auto, de ahí la necesidad de plantear la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providencia de 13 de noviembre de 2012, la Sección Cuarta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BE7FB3" w:rsidRDefault="00BE7FB3" w:rsidP="00BE7FB3">
      <w:pPr>
        <w:pStyle w:val="TextoNormal"/>
      </w:pPr>
    </w:p>
    <w:p w:rsidR="00BE7FB3" w:rsidRDefault="00BE7FB3" w:rsidP="00BE7FB3">
      <w:pPr>
        <w:pStyle w:val="TextoNormal"/>
      </w:pPr>
      <w:r w:rsidRPr="00BE7FB3">
        <w:rPr>
          <w:rStyle w:val="NumeroAFNegritaCaracter"/>
        </w:rPr>
        <w:t>5</w:t>
      </w:r>
      <w:r>
        <w:t xml:space="preserve">. El Fiscal General del Estado evacuó el trámite conferido mediante escrito registrado el 29 de noviembre de 2012, en el que considera que la cuestión de inconstitucionalidad es </w:t>
      </w:r>
      <w:r>
        <w:lastRenderedPageBreak/>
        <w:t>inadmisible por falta de cumplimiento de los requisitos procesales y por ser notoriamente infundada.</w:t>
      </w:r>
    </w:p>
    <w:p w:rsidR="00BE7FB3" w:rsidRDefault="00BE7FB3" w:rsidP="00BE7FB3">
      <w:pPr>
        <w:pStyle w:val="TextoNormal"/>
      </w:pPr>
    </w:p>
    <w:p w:rsidR="00BE7FB3" w:rsidRDefault="00BE7FB3" w:rsidP="00BE7FB3">
      <w:pPr>
        <w:pStyle w:val="TextoNormal"/>
      </w:pPr>
      <w:r>
        <w:t>a) Por lo que se refiere al cumplimiento de los requisitos procesales, comienza el Fiscal haciendo referencia al trámite de audiencia a las partes. Señala que en el presente caso no se ha observado el art. 35.2 LOTC, porque en la providencia de 7 de marzo de 2012, en la que da traslado a las partes para que informen sobre la constitucionalidad de dos preceptos de la Ley concursal, no se menciona ningún artículo de la Constitución Española a los que pudieran oponerse los citados preceptos. Recuerda que contra esta providencia se interpuso recurso de reposición por el Abogado del Estado el 15 de marzo de 2012, pero este recurso no se resolvió hasta el 30 de mayo de 2012, en la misma fecha del Auto de planteamiento de la cuestión de inconstitucionalidad, y se hizo en sentido desestimatorio. Tal tardanza en la resolución, a su juicio, no se cohonesta con el trámite que exige que la resolución del recurso sea anterior al informe de las partes, lo que podrá orientar, sea estimatorio o no, sobre el contenido de su informe.</w:t>
      </w:r>
    </w:p>
    <w:p w:rsidR="00BE7FB3" w:rsidRDefault="00BE7FB3" w:rsidP="00BE7FB3">
      <w:pPr>
        <w:pStyle w:val="TextoNormal"/>
      </w:pPr>
    </w:p>
    <w:p w:rsidR="00BE7FB3" w:rsidRDefault="00BE7FB3" w:rsidP="00BE7FB3">
      <w:pPr>
        <w:pStyle w:val="TextoNormal"/>
      </w:pPr>
      <w:r>
        <w:t>Indica que aunque es conocido el entendimiento flexible por el Tribunal Constitucional sobre tal requisito, en el sentido de que se pueda considerar cumplido el mismo cuando resulta obvio el artículo de la Constitución Española que se considera infringido, a su juicio el cumplimiento del requisito y su incidencia en el posterior informe no puede dejarse a la sagacidad de las partes o a sus dotes predictivas y así se hizo en el presente caso posponiendo la delimitación de la materia de informe a los propios informes de las partes con una mutilación sustancial relativa al precepto constitucional infringido.</w:t>
      </w:r>
    </w:p>
    <w:p w:rsidR="00BE7FB3" w:rsidRDefault="00BE7FB3" w:rsidP="00BE7FB3">
      <w:pPr>
        <w:pStyle w:val="TextoNormal"/>
      </w:pPr>
    </w:p>
    <w:p w:rsidR="00BE7FB3" w:rsidRDefault="00BE7FB3" w:rsidP="00BE7FB3">
      <w:pPr>
        <w:pStyle w:val="TextoNormal"/>
      </w:pPr>
      <w:r>
        <w:t>b) Por lo que se refiere al juicio de relevancia, señala el Fiscal que no consta la más mínima referencia al efecto en la providencia de traslado a las partes. Entiende el Fiscal que el llamado juicio de relevancia debe venir desarrollado en el Auto de planteamiento, pero también hay que entender que, al venir mencionado en el art. 35.2 LOTC con anterioridad al informe de las partes, ha de venir indicado en la providencia con algún elemento indiciario de conocimiento por las partes, lo que en este caso no ocurre. Además, señala que en el Auto de planteamiento se echa de menos una referencia expresa y separada al juicio de relevancia con el correspondiente esquema argumental, como exige la jurisprudencia del Tribunal Constitucional.</w:t>
      </w:r>
    </w:p>
    <w:p w:rsidR="00BE7FB3" w:rsidRDefault="00BE7FB3" w:rsidP="00BE7FB3">
      <w:pPr>
        <w:pStyle w:val="TextoNormal"/>
      </w:pPr>
    </w:p>
    <w:p w:rsidR="00BE7FB3" w:rsidRDefault="00BE7FB3" w:rsidP="00BE7FB3">
      <w:pPr>
        <w:pStyle w:val="TextoNormal"/>
      </w:pPr>
      <w:r>
        <w:t xml:space="preserve">c) Por lo que se refiere al momento procesal de planteamiento, considera el Fiscal que la cuestión de inconstitucionalidad no se plantea ante un conflicto dubitativo del Juez sobre la constitucionalidad de los artículos cuestionados; y es que uno de ellos, el art. 168.1 de la Ley 22/2003, ha sido aplicado por el Juez en la pieza sexta del concurso. Afirma que, al menos por lo que respecta al art. 168.1 de la Ley concursal, la cuestión de inconstitucionalidad ha sido planteada extemporáneamente ya que, si se tienen dudas sobre su constitucionalidad las mismas quedan desvanecidas por la acción del Juez consistente en aplicar su opción interpretativa, que es la de permitir todo tipo de alegaciones y pruebas a las partes y no optar por el planteamiento de la cuestión de inconstitucionalidad en ese momento como alternativa a la aplicación. </w:t>
      </w:r>
    </w:p>
    <w:p w:rsidR="00BE7FB3" w:rsidRDefault="00BE7FB3" w:rsidP="00BE7FB3">
      <w:pPr>
        <w:pStyle w:val="TextoNormal"/>
      </w:pPr>
    </w:p>
    <w:p w:rsidR="00BE7FB3" w:rsidRDefault="00BE7FB3" w:rsidP="00BE7FB3">
      <w:pPr>
        <w:pStyle w:val="TextoNormal"/>
      </w:pPr>
      <w:r>
        <w:t xml:space="preserve">d) Por último, en relación con la notoria falta de fundamento de la cuestión de inconstitucionalidad, considera el Fiscal que los acreedores a los que se concede en el art. 168.1 el derecho a personarse y ser parte tienen constreñida su actuación a la alegación sobre la </w:t>
      </w:r>
      <w:r>
        <w:lastRenderedPageBreak/>
        <w:t>calificación del convenio sin que puedan gozar de la posición del administrador concursal y el Ministerio Fiscal, siendo una libre elección del legislador apoyada en razones de interés general. Señala que la participación supone el acceso al proceso, en la sección de calificación sin que por ello pueda considerarse lesionado el derecho de acceso al proceso que no implica necesariamente una determinada densidad de actuación procesal de los interesados en un proceso sean parte o no. Añade que, derivadamente, la opción del legislador en el art. 170.1 de la Ley c fue en su día, no de singularizada parte, decretar el archivo del procedimiento en su sección de calificación cuando el Ministerio Fiscal y el administrador concursal así lo soliciten.</w:t>
      </w:r>
    </w:p>
    <w:p w:rsidR="00BE7FB3" w:rsidRDefault="00BE7FB3" w:rsidP="00BE7FB3">
      <w:pPr>
        <w:pStyle w:val="TextoNormal"/>
      </w:pPr>
    </w:p>
    <w:p w:rsidR="00BE7FB3" w:rsidRDefault="00BE7FB3" w:rsidP="00BE7FB3">
      <w:pPr>
        <w:pStyle w:val="TextoNormal"/>
      </w:pPr>
      <w:r>
        <w:t>Por todo ello, interesa que se dicte auto de inadmisión de la cuestión de inconstitucionalidad por falta de requisitos procesales y por ser notoriamente infundada.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Constituye el objeto de la presente cuestión de inconstitucionalidad el art. 170.1 de la Ley 22/2003, de 9 de julio, concursal, —en cuanto ordena el archivo de la sección de calificación del concurso cuando la administración concursal y el Ministerio Fiscal coincidan en calificarlo como fortuito— en relación con el art. 168.1 del mismo texto legal, en la redacción dada a este último por el Real Decreto-ley 3/2009, de 27 de marzo, relativo a la condición de parte de los terceros personados en la sección sexta de calificación del concurso. A juicio del órgano cuestionante, el precepto podría incurrir en inconstitucionalidad por contradecir el contenido del derecho fundamental a la tutela judicial efectiva (art. 24.1 CE).</w:t>
      </w:r>
    </w:p>
    <w:p w:rsidR="00BE7FB3" w:rsidRDefault="00BE7FB3" w:rsidP="00BE7FB3">
      <w:pPr>
        <w:pStyle w:val="TextoNormal"/>
      </w:pPr>
    </w:p>
    <w:p w:rsidR="00BE7FB3" w:rsidRDefault="00BE7FB3" w:rsidP="00BE7FB3">
      <w:pPr>
        <w:pStyle w:val="TextoNormal"/>
      </w:pPr>
      <w:r>
        <w:t>Por su parte, el Ministerio Fiscal ha interesado la inadmisión de la cuestión de inconstitucionalidad por incumplimiento de los requisitos procesales exigidos por la Ley Orgánica del Tribunal Constitucional (LOTC) y por ser notoriamente infundada.</w:t>
      </w:r>
    </w:p>
    <w:p w:rsidR="00BE7FB3" w:rsidRDefault="00BE7FB3" w:rsidP="00BE7FB3">
      <w:pPr>
        <w:pStyle w:val="TextoNormal"/>
      </w:pPr>
    </w:p>
    <w:p w:rsidR="00BE7FB3" w:rsidRDefault="00BE7FB3" w:rsidP="00BE7FB3">
      <w:pPr>
        <w:pStyle w:val="TextoNormal"/>
      </w:pPr>
      <w:r w:rsidRPr="00BE7FB3">
        <w:rPr>
          <w:rStyle w:val="NumeroAFNegritaCaracter"/>
        </w:rPr>
        <w:t>2</w:t>
      </w:r>
      <w:r>
        <w:t>.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Pues bien, el análisis de la presente cuestión de inconstitucionalidad pone de manifiesto que en la misma concurre el primer motivo de inadmisión, dado que el trámite de audiencia a las partes y al Ministerio Fiscal, previsto en el art. 35.2 LOTC, no se ha desarrollado correctamente.</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En las actuaciones remitidas por el órgano judicial se advierte que en la providencia por la que, en cumplimiento del art. 35.2 LOTC, se acordó oír al Ministerio Fiscal y a las partes personadas sobre la procedencia de plantear la cuestión de inconstitucionalidad, el órgano judicial dispuso darles traslado para alegar sobre la “posible inconstitucionalidad del art. 170.1 en relación con el art. 168.1 de la LC”, pero sin expresar cuáles serían el precepto o los preceptos constitucionales que, a su juicio, podrían verse vulnerados. De acuerdo con la jurisprudencia de este Tribunal, recientemente recogida en la STC 222/2012, de 27 de noviembre, FJ 3, “la providencia por la que se otorgue el trámite de audiencia a las partes y al Ministerio Fiscal ha de especificar los preceptos legales cuestionados y los preceptos constitucionales que se consideren vulnerados, o bien, a falta de una cita concreta de los </w:t>
      </w:r>
      <w:r>
        <w:lastRenderedPageBreak/>
        <w:t>preceptos constitucionales supuestamente vulnerados,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Finalmente es preciso que en el Auto de planteamiento de la cuestión no se introduzcan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(STC 166/2007, de 4 de julio, FJ 6).”</w:t>
      </w:r>
    </w:p>
    <w:p w:rsidR="00BE7FB3" w:rsidRDefault="00BE7FB3" w:rsidP="00BE7FB3">
      <w:pPr>
        <w:pStyle w:val="TextoNormal"/>
      </w:pPr>
    </w:p>
    <w:p w:rsidR="00BE7FB3" w:rsidRDefault="00BE7FB3" w:rsidP="00BE7FB3">
      <w:pPr>
        <w:pStyle w:val="TextoNormal"/>
      </w:pPr>
      <w:r>
        <w:t xml:space="preserve">En el presente caso, el Abogado del Estado, en representación de la Agencia Estatal de la Administración Tributaria, planteó recurso de reposición por considerar insuficiente la providencia por la que se le había dado audiencia, al no especificar el precepto constitucional que se considera infringido ni en qué medida la decisión del proceso dependía de la validez de la norma en cuestión, pero el recurso fue desestimado por Auto de 30 de mayo de 2012 al entender el órgano judicial que, a pesar de que la providencia recurrida “no cumplía en sus propios términos el mandato legislativo, de su contenido y del resto de la sección sexta se deducía sin dificultad cuál era el precepto constitucional afectado (obviamente el art. 24 CE)”. </w:t>
      </w:r>
    </w:p>
    <w:p w:rsidR="00BE7FB3" w:rsidRDefault="00BE7FB3" w:rsidP="00BE7FB3">
      <w:pPr>
        <w:pStyle w:val="TextoNormal"/>
      </w:pPr>
    </w:p>
    <w:p w:rsidR="00BE7FB3" w:rsidRDefault="00BE7FB3" w:rsidP="00BE7FB3">
      <w:pPr>
        <w:pStyle w:val="TextoNormal"/>
      </w:pPr>
      <w:r>
        <w:t>Con tal respuesta el órgano judicial reconoce haber omitido la necesaria identificación del precepto o preceptos constitucionales lesionados, por lo que hubiera sido coherente la estimación del recurso de reposición y dar nuevo traslado a las partes para que pudieran alegar acerca de la posible vulneración del art. 24.1 CE. No obstante, atendidas las circunstancias del caso, el defecto advertido no impidió al Abogado del Estado y al Fiscal situar la duda de inconstitucionalidad en sus términos exactos, toda vez que centraron sus alegaciones en el citado precepto constitucional.</w:t>
      </w:r>
    </w:p>
    <w:p w:rsidR="00BE7FB3" w:rsidRDefault="00BE7FB3" w:rsidP="00BE7FB3">
      <w:pPr>
        <w:pStyle w:val="TextoNormal"/>
      </w:pPr>
    </w:p>
    <w:p w:rsidR="00BE7FB3" w:rsidRDefault="00BE7FB3" w:rsidP="00BE7FB3">
      <w:pPr>
        <w:pStyle w:val="TextoNormal"/>
      </w:pPr>
      <w:r>
        <w:t xml:space="preserve">Ahora bien, aun cuando el defecto procesal señalado pudiera ser obviado al no haber impedido a las partes identificar la duda de constitucionalidad, conclusión distinta debemos extraer en relación al cumplimiento del deber de dar el traslado para alegaciones a la totalidad de las partes del proceso. Se advierte, de la lectura de las actuaciones que acompañan al Auto de planteamiento de la cuestión de inconstitucionalidad, que no todas las partes personadas han tenido la oportunidad de exponer su criterio sobre la pertinencia de plantear la cuestión de inconstitucionalidad. En efecto, la providencia por la que se acordó oír al Ministerio Fiscal y a las partes personadas fue notificada al Abogado del Estado como representante procesal de la Agencia Estatal de la Administración Tributaria y al Ministerio Fiscal, pero no consta que se haya notificado ni al concursado ni a Caja España de Inversiones, C.A.M.P., que también se había personado como acreedora en el proceso. </w:t>
      </w:r>
    </w:p>
    <w:p w:rsidR="00BE7FB3" w:rsidRDefault="00BE7FB3" w:rsidP="00BE7FB3">
      <w:pPr>
        <w:pStyle w:val="TextoNormal"/>
      </w:pPr>
    </w:p>
    <w:p w:rsidR="00BE7FB3" w:rsidRDefault="00BE7FB3" w:rsidP="00BE7FB3">
      <w:pPr>
        <w:pStyle w:val="TextoNormal"/>
      </w:pPr>
      <w:r>
        <w:t xml:space="preserve">En este sentido debemos recordar que es doctrina reiterada de este Tribunal que la omisión del trámite de audiencia de una de las partes constituye sin duda una irregularidad del procedimiento que debe llevar a considerarlo incorrectamente tramitado (ATC 299/2005, de 5 de julio, FJ 3). Como hemos señalado en la STC 222/2012, de 27 de noviembre, FJ 4, </w:t>
      </w:r>
      <w:r>
        <w:lastRenderedPageBreak/>
        <w:t xml:space="preserve">la audiencia previa a las partes no es una secuencia del proceso </w:t>
      </w:r>
      <w:r w:rsidRPr="00BE7FB3">
        <w:rPr>
          <w:i/>
        </w:rPr>
        <w:t>a quo</w:t>
      </w:r>
      <w:r>
        <w:t>, sino una pieza preliminar del posterior y eventual proceso constitucional, ya que, como también hemos indicado en el ATC 220/2012, de 27 de noviembre, está en juego la posibilidad de alegar sobre la pertinencia de plantear la cuestión, de modo que lo determinante es que las partes, comparecidas o no ante el órgano judicial, tengan la opción de ser oídas y expresar su parecer sobre una decisión de tanta entidad como el planteamiento de una cuestión de inconstitucionalidad.</w:t>
      </w:r>
    </w:p>
    <w:p w:rsidR="00BE7FB3" w:rsidRDefault="00BE7FB3" w:rsidP="00BE7FB3">
      <w:pPr>
        <w:pStyle w:val="TextoNormal"/>
      </w:pPr>
    </w:p>
    <w:p w:rsidR="00BE7FB3" w:rsidRDefault="00BE7FB3" w:rsidP="00BE7FB3">
      <w:pPr>
        <w:pStyle w:val="TextoNormal"/>
      </w:pPr>
      <w:r>
        <w:t xml:space="preserve">La concurrencia del defecto apreciado constituye una irregularidad del procedimiento que debe llevar a considerarlo incorrectamente tramitado, incumpliendo así lo establecido en el art. 35.2 LOTC y determinando la inadmisión </w:t>
      </w:r>
      <w:r w:rsidRPr="00BE7FB3">
        <w:rPr>
          <w:i/>
        </w:rPr>
        <w:t>a limine</w:t>
      </w:r>
      <w:r>
        <w:t xml:space="preserve"> de la presente cuestión de inconstitucionalidad.</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Inadmitir a trámite la cuestión de inconstitucionalidad núm. 3545-2012 planteada por el Juzgado de lo Mercantil núm. 1 de Oviedo.</w:t>
      </w:r>
    </w:p>
    <w:p w:rsidR="00BE7FB3" w:rsidRDefault="00BE7FB3" w:rsidP="00BE7FB3">
      <w:pPr>
        <w:pStyle w:val="TextoNormal"/>
      </w:pPr>
    </w:p>
    <w:p w:rsidR="00BE7FB3" w:rsidRDefault="00BE7FB3" w:rsidP="00BE7FB3">
      <w:pPr>
        <w:pStyle w:val="TextoNormal"/>
      </w:pPr>
      <w:r>
        <w:t>Madrid, a veintinueve de enero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66" w:name="AUTO_2013_25"/>
      <w:r>
        <w:lastRenderedPageBreak/>
        <w:t>AUTO 25/2013, de 6 de febrero de 2013</w:t>
      </w:r>
    </w:p>
    <w:bookmarkEnd w:id="166"/>
    <w:p w:rsidR="00BE7FB3" w:rsidRDefault="00BE7FB3" w:rsidP="00BE7FB3">
      <w:pPr>
        <w:pStyle w:val="TtuloResolucin"/>
      </w:pPr>
      <w:r>
        <w:t>Sección Tercera</w:t>
      </w:r>
    </w:p>
    <w:p w:rsidR="00BE7FB3" w:rsidRDefault="00BE7FB3" w:rsidP="00BE7FB3">
      <w:pPr>
        <w:pStyle w:val="TtuloResolucin"/>
      </w:pPr>
    </w:p>
    <w:p w:rsidR="00BE7FB3" w:rsidRDefault="00BE7FB3" w:rsidP="00BE7FB3">
      <w:pPr>
        <w:pStyle w:val="SntesisDescriptiva"/>
      </w:pPr>
      <w:r>
        <w:t>ECLI:ES:TC:2013:25A</w:t>
      </w:r>
    </w:p>
    <w:p w:rsidR="00BE7FB3" w:rsidRDefault="00BE7FB3" w:rsidP="00BE7FB3">
      <w:pPr>
        <w:pStyle w:val="SntesisDescriptiva"/>
      </w:pPr>
    </w:p>
    <w:p w:rsidR="00BE7FB3" w:rsidRDefault="00BE7FB3" w:rsidP="00BE7FB3">
      <w:pPr>
        <w:pStyle w:val="SntesisDescriptiva"/>
      </w:pPr>
      <w:r>
        <w:t>Excms. Srs. don Ramón Rodríguez Arribas, don Luis Ignacio Ortega Álvarez y doña Encarnación Roca Trías.</w:t>
      </w:r>
    </w:p>
    <w:p w:rsidR="00BE7FB3" w:rsidRDefault="00BE7FB3" w:rsidP="00BE7FB3">
      <w:pPr>
        <w:pStyle w:val="SntesisDescriptiva"/>
      </w:pPr>
    </w:p>
    <w:p w:rsidR="00BE7FB3" w:rsidRDefault="00BE7FB3" w:rsidP="00BE7FB3">
      <w:pPr>
        <w:pStyle w:val="SntesisDescriptiva"/>
      </w:pPr>
      <w:r>
        <w:t>Inadmite a trámite el recurso de amparo 403-2012, promovido por don Antonio Cano Godoy en causa penal.</w:t>
      </w:r>
    </w:p>
    <w:p w:rsidR="00BE7FB3" w:rsidRDefault="00BE7FB3" w:rsidP="00BE7FB3">
      <w:pPr>
        <w:pStyle w:val="SntesisDescriptiva"/>
      </w:pPr>
    </w:p>
    <w:p w:rsidR="00BE7FB3" w:rsidRDefault="00BE7FB3" w:rsidP="00BE7FB3">
      <w:pPr>
        <w:pStyle w:val="SntesisAnaltica"/>
      </w:pPr>
      <w:r>
        <w:t>Derecho al secreto de las comunicaciones: intervención telefónica. Inadmisión de recurso de amparo: carencia de especial trascendencia constitucional; falta de agotamiento de la vía judicial.</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Por escrito registrado en este Tribunal el 25 de enero de 2012, doña Ana de la Corte Macías, Procuradora de los Tribunales, en nombre y representación de don Antonio Cano Godoy, interpuso recurso de amparo contra la Sentencia dictada en fecha de 8 de noviembre de 2011 en el recurso de casación núm. 589-2011 por la Sala de lo Penal del Tribunal Supremo, notificada el 13 de diciembre de 2011, y que trae causa del recurso interpuesto por el Ministerio Fiscal frente a la Sentencia de 12 de noviembre de 2010, dictada por la Audiencia Provincial de Valencia, Sección Tercera, en el procedimiento abreviado núm. 61-2009, en la que se absolvió al hoy demandante de amparo del delito que venía siéndole imputado por el Ministerio Fiscal de torturas (art. 174.1 del Código penal: CP). Considera el demandante de amparo que se han vulnerado su derecho fundamental a la intimidad y al secreto de las comunicaciones (art. 18 CE) y el derecho a la defensa (art. 24 CE).</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Los hechos en que se fundamenta la pretensión de amparo son, en síntesis, los siguientes: </w:t>
      </w:r>
    </w:p>
    <w:p w:rsidR="00BE7FB3" w:rsidRDefault="00BE7FB3" w:rsidP="00BE7FB3">
      <w:pPr>
        <w:pStyle w:val="TextoNormal"/>
      </w:pPr>
    </w:p>
    <w:p w:rsidR="00BE7FB3" w:rsidRDefault="00BE7FB3" w:rsidP="00BE7FB3">
      <w:pPr>
        <w:pStyle w:val="TextoNormal"/>
      </w:pPr>
      <w:r>
        <w:t xml:space="preserve">a) Ante la Sección Tercera de la Audiencia Provincial de Valencia, se siguió proceso abreviado núm. 61-2009 contra el aquí recurrente en amparo, agente de la Guardia Civil, y otros dos acusados, uno de ellos perteneciente al citado cuerpo, por la presunta comisión de un delito de torturas del art. 174.1 CP. Originalmente, en el marco de una investigación abierta por el Juzgado de Instrucción núm. 14 de Valencia por la posible comisión de delitos contra la salud pública y blanqueo de capitales en el que se encontraban implicados agentes de la Guardia Civil, se autorizó por dicho Juzgado mediante Auto de 14 de enero de 2008, la intervención de las comunicaciones que se produjeran en el interior del vehículo oficial utilizado. </w:t>
      </w:r>
    </w:p>
    <w:p w:rsidR="00BE7FB3" w:rsidRDefault="00BE7FB3" w:rsidP="00BE7FB3">
      <w:pPr>
        <w:pStyle w:val="TextoNormal"/>
      </w:pPr>
    </w:p>
    <w:p w:rsidR="00BE7FB3" w:rsidRDefault="00BE7FB3" w:rsidP="00BE7FB3">
      <w:pPr>
        <w:pStyle w:val="TextoNormal"/>
      </w:pPr>
      <w:r>
        <w:lastRenderedPageBreak/>
        <w:t>b) Como resultado de la audición de las conversaciones grabadas en el interior del vehículo, se descubrió la posible comisión de un delito de torturas por parte del aquí recurrente en amparo y otro agente de la Guardia Civil, sobre un detenido que trasladaban al cuartel de la localidad de Tabernes, siendo sometido este último a vejaciones, amenazas y golpes por ambos agentes, con la complicidad del también coacusado en la causa por torturas, vigilante de seguridad de un centro comercial que había aprehendido a esta persona. Las grabaciones son de fecha de 26 enero de 2008 y 29 de enero de 2008 y, con base en ellas, se dedujo el correspondiente testimonio de particulares un año después de cometerse los hechos.</w:t>
      </w:r>
    </w:p>
    <w:p w:rsidR="00BE7FB3" w:rsidRDefault="00BE7FB3" w:rsidP="00BE7FB3">
      <w:pPr>
        <w:pStyle w:val="TextoNormal"/>
      </w:pPr>
    </w:p>
    <w:p w:rsidR="00BE7FB3" w:rsidRDefault="00BE7FB3" w:rsidP="00BE7FB3">
      <w:pPr>
        <w:pStyle w:val="TextoNormal"/>
      </w:pPr>
      <w:r>
        <w:t xml:space="preserve">c) El 12 de noviembre de 2010, la Sección dictó Sentencia, que fue aclarada por Auto de 15 de noviembre de 2010, absolviendo a los acusados, al haber declarado la nulidad de todas las grabaciones puesto que el Auto de 14 de enero de 2008 del Juez instructor que las autorizaba, no fijaba la duración de la medida, lo que constituía una lesión del derecho al secreto de las comunicaciones. Por ello, la interceptación de conversaciones fue declarada inconstitucional. Cuestión en relación con la legitimidad de la obtención de las conversaciones, que, junto a otras, fueron puestas de manifiesto por el hoy demandante en el procedimiento. En concreto, y por lo que al presente recurso de amparo importa, se denunció la tardanza en abrir la causa desde que se conoció el contenido de las conversaciones debatidas. </w:t>
      </w:r>
    </w:p>
    <w:p w:rsidR="00BE7FB3" w:rsidRDefault="00BE7FB3" w:rsidP="00BE7FB3">
      <w:pPr>
        <w:pStyle w:val="TextoNormal"/>
      </w:pPr>
    </w:p>
    <w:p w:rsidR="00BE7FB3" w:rsidRDefault="00BE7FB3" w:rsidP="00BE7FB3">
      <w:pPr>
        <w:pStyle w:val="TextoNormal"/>
      </w:pPr>
      <w:r>
        <w:t>d) Por el Ministerio Fiscal se interpuso recurso de casación por infracción de precepto constitucional contra la citada Sentencia por vulneración del derecho a la tutela judicial efectiva, a un proceso con todas las garantías y a utilizar los medios de prueba pertinentes (art. 24.1 y 2 CE), alegando que la falta de expresión del plazo de la intervención no respondía sino a una irregularidad en la documentación de la causa que fue subsanada por el Auto dictado al día siguiente, con fecha de 15 de enero.</w:t>
      </w:r>
    </w:p>
    <w:p w:rsidR="00BE7FB3" w:rsidRDefault="00BE7FB3" w:rsidP="00BE7FB3">
      <w:pPr>
        <w:pStyle w:val="TextoNormal"/>
      </w:pPr>
    </w:p>
    <w:p w:rsidR="00BE7FB3" w:rsidRDefault="00BE7FB3" w:rsidP="00BE7FB3">
      <w:pPr>
        <w:pStyle w:val="TextoNormal"/>
      </w:pPr>
      <w:r>
        <w:t xml:space="preserve">e) El 8 de noviembre de 2011 la Sala Segunda del Tribunal Supremo estimó el recurso, anulando la Sentencia recurrida, con retroacción de las actuaciones al momento anterior a la fase de plenario, “con distinta conformación de la Sala” para el nuevo enjuiciamiento del caso. La Sala Segunda, en su fundamento jurídico único, aprecia el motivo de la Fiscalía en apoyo a la licitud de las grabaciones realizadas, esgrimiendo dos argumentos para ello: primero, que el plazo para la vigencia de la medida ha de considerarse en todo caso de un mes, porque cuando se dictó el Auto, ya se había decretado el secreto de las actuaciones, por lo que debía entenderse aplicable, por analogía, el mismo régimen temporal que existe para éste. Y segundo, porque como aclara el Ministerio Fiscal, el Juzgado instructor dictó un segundo Auto al día siguiente del anterior, subsanando la omisión indicada y fijando que la medida duraría un mes, sólo que por error en la confección del testimonio, no se remitió a la Audiencia. Por ello se consideró que no había existido vulneración constitucional, sino una mera irregularidad “susceptible de ser subsanada”. </w:t>
      </w:r>
    </w:p>
    <w:p w:rsidR="00BE7FB3" w:rsidRDefault="00BE7FB3" w:rsidP="00BE7FB3">
      <w:pPr>
        <w:pStyle w:val="TextoNormal"/>
      </w:pPr>
    </w:p>
    <w:p w:rsidR="00BE7FB3" w:rsidRDefault="00BE7FB3" w:rsidP="00BE7FB3">
      <w:pPr>
        <w:pStyle w:val="TextoNormal"/>
      </w:pPr>
      <w:r>
        <w:t>f) Notificada la Sentencia de casación, la defensa del acusado don Antonio promueve el presente recurso de amparo, mediante demanda presentada en el Registro General de este Tribunal el 25 de enero de 2012.</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La demanda de amparo alega la infracción del derecho fundamental a la intimidad y al secreto de las comunicaciones (art. 18 CE). Considera, por un lado, que la Sentencia de casación dio validez a las grabaciones realizadas, teniendo en cuenta que el Auto de 14 de </w:t>
      </w:r>
      <w:r>
        <w:lastRenderedPageBreak/>
        <w:t xml:space="preserve">enero de 2008 no fija el límite temporal de la intervención, contrariando así la doctrina constitucional y la jurisprudencia del Tribunal Europeo de Derechos Humanos. Cuestiona además el argumento dado por la Sala Segunda del Tribunal Supremo para estimar el recurso del Fiscal, en el sentido de que ha de aplicarse por analogía el plazo del art. 302 de la Ley de enjuiciamiento criminal (LECrim) para el secreto de las actuaciones, lo que el recurrente rechaza, debiendo más bien entenderse con base en el art. 579 LECrim, que la medida siempre ha de concretarse en cuanto a su duración, la cual, además, añade no tiene que alcanzar siempre el tope legal. Y que en todo caso, el Auto de 14 de enero de 2008 no cita el art. 302 LECrim para considerarlo como base de la decisión. </w:t>
      </w:r>
    </w:p>
    <w:p w:rsidR="00BE7FB3" w:rsidRDefault="00BE7FB3" w:rsidP="00BE7FB3">
      <w:pPr>
        <w:pStyle w:val="TextoNormal"/>
      </w:pPr>
    </w:p>
    <w:p w:rsidR="00BE7FB3" w:rsidRDefault="00BE7FB3" w:rsidP="00BE7FB3">
      <w:pPr>
        <w:pStyle w:val="TextoNormal"/>
      </w:pPr>
      <w:r>
        <w:t>También denuncia la falta de validez de la grabación realizada el 29 de enero de 2008, por vulneración del art. 18.3 CE, por el modo prácticamente indiscriminado en que se realizaron las escuchas, programándose el inicio de la grabación de modo automático sin verificar quiénes estaban en ese momento en el interior del vehículo, siendo que éste era utilizado por todo el personal del área de investigación; resultando así que en la fecha indicada se registraron conversaciones habidas entre terceras personas no investigadas, no efectuándose tampoco un control judicial posterior, con invocación de las SSTC 49/1996, de 26 de marzo, en relación con grabaciones realizadas a terceros, y 239/1999, de 20 de diciembre, respecto de los hallazgos casuales, insistiendo en que se trata de una intervención indiscriminada, y por ello totalmente desproporcionada.</w:t>
      </w:r>
    </w:p>
    <w:p w:rsidR="00BE7FB3" w:rsidRDefault="00BE7FB3" w:rsidP="00BE7FB3">
      <w:pPr>
        <w:pStyle w:val="TextoNormal"/>
      </w:pPr>
    </w:p>
    <w:p w:rsidR="00BE7FB3" w:rsidRDefault="00BE7FB3" w:rsidP="00BE7FB3">
      <w:pPr>
        <w:pStyle w:val="TextoNormal"/>
      </w:pPr>
      <w:r>
        <w:t>También se queja el demandante de amparo de vulneración del art. 24 CE, por no haberse abierto las diligencias contra él al mismo tiempo en que se obtuvieron las grabaciones sino pasado un año, lo que impidió conocer la identidad del detenido sobre el que se dice que se produjeron las torturas y el poder tener acceso a las actuaciones.</w:t>
      </w:r>
    </w:p>
    <w:p w:rsidR="00BE7FB3" w:rsidRDefault="00BE7FB3" w:rsidP="00BE7FB3">
      <w:pPr>
        <w:pStyle w:val="TextoNormal"/>
      </w:pPr>
    </w:p>
    <w:p w:rsidR="00BE7FB3" w:rsidRDefault="00BE7FB3" w:rsidP="00BE7FB3">
      <w:pPr>
        <w:pStyle w:val="TextoNormal"/>
      </w:pPr>
      <w:r w:rsidRPr="00BE7FB3">
        <w:rPr>
          <w:rStyle w:val="NumeroAFNegritaCaracter"/>
        </w:rPr>
        <w:t>4</w:t>
      </w:r>
      <w:r>
        <w:t>. Por providencia de 15 de marzo de 2012, la Sección Tercera de este Tribunal acordó, antes de entrar a resolver sobre la admisibilidad del recurso, dirigir atenta comunicación a los Juzgados de Instrucción núms. 14 de Valencia y 2 de Moncada, a fin de que se remitiera certificación o fotocopia adverada de las actuaciones correspondientes a las diligencias previas núm. 6004-2007/sumario 13-2009, incluyendo todas las actuaciones que se tengan de las grabaciones acordadas en el interior del vehículo oficial, por Auto de 14 de enero de 2008, así como Auto de 15 de enero siguiente, precisando el plazo de vigencia de medida, el Juzgado de Valencia y al procedimiento abreviado núm. 61-2009, incluyendo todas las actuaciones que se tengan de las grabaciones remitidas del Juzgado de Instrucción núm. 14 de Valencia y en su caso el Auto de 15 de enero de 2008 precisando el plazo de vigencia de la medida.</w:t>
      </w:r>
    </w:p>
    <w:p w:rsidR="00BE7FB3" w:rsidRDefault="00BE7FB3" w:rsidP="00BE7FB3">
      <w:pPr>
        <w:pStyle w:val="TextoNormal"/>
      </w:pPr>
    </w:p>
    <w:p w:rsidR="00BE7FB3" w:rsidRDefault="00BE7FB3" w:rsidP="00BE7FB3">
      <w:pPr>
        <w:pStyle w:val="TextoNormal"/>
      </w:pPr>
      <w:r w:rsidRPr="00BE7FB3">
        <w:rPr>
          <w:rStyle w:val="NumeroAFNegritaCaracter"/>
        </w:rPr>
        <w:t>5</w:t>
      </w:r>
      <w:r>
        <w:t>. Por escrito registrado en este Tribunal el 28 de marzo de 2008, el demandante de amparo solicitó la suspensión de la ejecución del fallo de la Sentencia recurrida del Tribunal Supremo en cuanto ordena la repetición del juicio oral, hasta que se pronuncia el Tribunal Constitucional.</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xml:space="preserve">. El presente recurso de amparo se interpone contra la Sentencia de 8 de noviembre de 2012 dictada en casación por la Sala Segunda del Tribunal Supremo, que anuló la Sentencia </w:t>
      </w:r>
      <w:r>
        <w:lastRenderedPageBreak/>
        <w:t>de 12 de noviembre de 2010, dictada por la Sección Tercera de la Audiencia Provincial de Valencia, que absolvió al hoy demandante de amparo por apreciar el motivo esgrimido por la Fiscalía sobre la licitud de las grabaciones realizadas, decidiendo la retroacción de las actuaciones al momento anterior a la fase de plenario para el nuevo enjuiciamiento del caso.</w:t>
      </w:r>
    </w:p>
    <w:p w:rsidR="00BE7FB3" w:rsidRDefault="00BE7FB3" w:rsidP="00BE7FB3">
      <w:pPr>
        <w:pStyle w:val="TextoNormal"/>
      </w:pPr>
    </w:p>
    <w:p w:rsidR="00BE7FB3" w:rsidRDefault="00BE7FB3" w:rsidP="00BE7FB3">
      <w:pPr>
        <w:pStyle w:val="TextoNormal"/>
      </w:pPr>
      <w:r>
        <w:t xml:space="preserve">La demanda de amparo combate, por tanto, la Sentencia de casación dictada en el primer proceso, que resuelve de manera específica el problema de la validez de las grabaciones realizadas, al discutirse si la medida venía autorizada con fijación de un límite temporal, por vulneración del art. 18 CE. Se dirige también contra otro aspecto de las mismas grabaciones que no fue ventilado en ese recurso de casación, el del carácter indiscriminado de la intervención y los límites del hallazgo casual. </w:t>
      </w:r>
    </w:p>
    <w:p w:rsidR="00BE7FB3" w:rsidRDefault="00BE7FB3" w:rsidP="00BE7FB3">
      <w:pPr>
        <w:pStyle w:val="TextoNormal"/>
      </w:pPr>
    </w:p>
    <w:p w:rsidR="00BE7FB3" w:rsidRDefault="00BE7FB3" w:rsidP="00BE7FB3">
      <w:pPr>
        <w:pStyle w:val="TextoNormal"/>
      </w:pPr>
      <w:r>
        <w:t>Por último se alega por el demandante de amparo la lesión del derecho a la defensa (art. 24.1 CE) por el tiempo transcurrido desde que se realizan las grabaciones hasta que se abren las diligencias por esos hechos, y por las dificultades para conocer la identidad del testigo protegido.</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En primer lugar, y respecto de la primera queja —lesión del art. 18.3 CE por falta de límite temporal de la medida de intervención de las comunicaciones— dirigida contra la Sentencia del Tribunal Supremo, debemos comenzar por dilucidar sobre si era procedente o no promover recurso de amparo contra la Sentencia de casación, como así hizo el demandante de amparo, sin esperar a que se desarrollara y resolviera el segundo proceso. </w:t>
      </w:r>
    </w:p>
    <w:p w:rsidR="00BE7FB3" w:rsidRDefault="00BE7FB3" w:rsidP="00BE7FB3">
      <w:pPr>
        <w:pStyle w:val="TextoNormal"/>
      </w:pPr>
    </w:p>
    <w:p w:rsidR="00BE7FB3" w:rsidRDefault="00BE7FB3" w:rsidP="00BE7FB3">
      <w:pPr>
        <w:pStyle w:val="TextoNormal"/>
      </w:pPr>
      <w:r>
        <w:t xml:space="preserve">Con carácter general este Tribunal proscribe la posibilidad de interponer amparos para conocer de lesiones de derechos fundamentales que todavía pueden ser reparadas en la vía judicial, porque el proceso se halla abierto en alguna de sus fases o grados. Y es que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(STC 171/2009, de 9 de julio, FJ 2). Pero, precisamente este entendimiento de la subsidiariedad del recurso de amparo nos ha llevado también en diversas ocasiones “a apreciar que la vía judicial estaba ya agotada cuando, sin haber concluido el proceso judicial, el seguimiento exhaustivo del itinerario procesal previo implicaría una injustificada perpetuación en el tiempo de la lesión del derecho fundamental o se consumaría definitivamente la violación, haciéndose imposible o dificultándose gravemente el restablecimiento </w:t>
      </w:r>
      <w:r w:rsidRPr="00BE7FB3">
        <w:rPr>
          <w:i/>
        </w:rPr>
        <w:t>in integrum</w:t>
      </w:r>
      <w:r>
        <w:t xml:space="preserve"> por este Tribunal Constitucional del derecho fundamental vulnerado” (STC 171/2009, FJ 2; y las allí citadas). Así lo hemos entendido entre otras y por lo que al caso interesa, en la STC 23/2008, de 11 de febrero, FJ 2, en la que hemos afirmado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w:t>
      </w:r>
    </w:p>
    <w:p w:rsidR="00BE7FB3" w:rsidRDefault="00BE7FB3" w:rsidP="00BE7FB3">
      <w:pPr>
        <w:pStyle w:val="TextoNormal"/>
      </w:pPr>
      <w:r>
        <w:t xml:space="preserve">Así, en el ATC 139/2001, de 4 de junio, consideramos el recurso de amparo como prematuro difiriendo el conocimiento por este Tribunal a la terminación del segundo proceso, momento que sería de considerar, y no antes, como de correcto agotamiento de la vía judicial. Sin embargo, en el más reciente ATC 33/2010, de 8 de marzo, FJ 2, optamos por la decisión contraria, imponiendo a la parte recurrente la carga de venir en amparo en el plazo </w:t>
      </w:r>
      <w:r>
        <w:lastRenderedPageBreak/>
        <w:t>legal (art. 44.2 de la Ley Orgánica del Tribunal Constitucional: LOTC) desde la notificación de la resolución judicial de alzada que zanjaba el debate judicial sobre dicha ilicitud y, consecuentemente, considerar extemporáneo el recurso sin aguardar hasta la resolución de cierre del segundo proceso para su interposición ante este Tribunal, sin bien por cuanto el “único motivo” articulado por el recurrente en su demanda de amparo, falta de motivación de los Autos habilitantes de las escuchas, fue la misma que la resuelta con los efectos de cosa juzgada por una Sentencia de casación anterior a la que se recurrió en amparo.</w:t>
      </w:r>
    </w:p>
    <w:p w:rsidR="00BE7FB3" w:rsidRDefault="00BE7FB3" w:rsidP="00BE7FB3">
      <w:pPr>
        <w:pStyle w:val="TextoNormal"/>
      </w:pPr>
    </w:p>
    <w:p w:rsidR="00BE7FB3" w:rsidRDefault="00BE7FB3" w:rsidP="00BE7FB3">
      <w:pPr>
        <w:pStyle w:val="TextoNormal"/>
      </w:pPr>
      <w:r w:rsidRPr="00BE7FB3">
        <w:rPr>
          <w:rStyle w:val="NumeroAFNegritaCaracter"/>
        </w:rPr>
        <w:t>3</w:t>
      </w:r>
      <w:r>
        <w:t>. En el presente caso, el demandante interpuso el recurso de amparo optando por una de las posibilidades que le otorgaba la jurisprudencia constitucional respecto del agotamiento de la vía.</w:t>
      </w:r>
    </w:p>
    <w:p w:rsidR="00BE7FB3" w:rsidRDefault="00BE7FB3" w:rsidP="00BE7FB3">
      <w:pPr>
        <w:pStyle w:val="TextoNormal"/>
      </w:pPr>
    </w:p>
    <w:p w:rsidR="00BE7FB3" w:rsidRDefault="00BE7FB3" w:rsidP="00BE7FB3">
      <w:pPr>
        <w:pStyle w:val="TextoNormal"/>
      </w:pPr>
      <w:r>
        <w:t xml:space="preserve">Dicho esto, conviene advertir, no obstante, que en este caso concreto si bien es cierto que, como denuncia el recurrente, pudo producirse por la Sentencia de casación impugnada una vulneración constitucional, no lo es menos que, como pone de manifiesto el propio recurrente en la demanda de amparo, frente al Auto de 1 de enero de 2008, que ordenó la instalación de los medios técnicos necesarios para realizar las escuchas de las conversaciones, se formula una queja más: la lesión del art. 18.3 CE por haberse realizado grabaciones indiscriminadas a terceras personas, a propósito de un hallazgo casual derivado de otra investigación. Motivo que de ser alegado de nuevo dentro del segundo proceso, es decir, ante la Audiencia y, si fuera necesario, en un eventual recurso de casación ante la Sala Segunda del Alto Tribunal, podría confirmar la absolución decretada por la Audiencia Provincial al considerar ilegal —aun cuando lo fuera por motivo distinto— el Auto, lo cual nos permite concluir que es la actuación del propio recurrente la que no ha dado por finalizada la vía judicial previa respecto de la queja de vulneración del art. 18.3 CE. </w:t>
      </w:r>
    </w:p>
    <w:p w:rsidR="00BE7FB3" w:rsidRDefault="00BE7FB3" w:rsidP="00BE7FB3">
      <w:pPr>
        <w:pStyle w:val="TextoNormal"/>
      </w:pPr>
    </w:p>
    <w:p w:rsidR="00BE7FB3" w:rsidRDefault="00BE7FB3" w:rsidP="00BE7FB3">
      <w:pPr>
        <w:pStyle w:val="TextoNormal"/>
      </w:pPr>
      <w:r>
        <w:t xml:space="preserve">Esta circunstancia, es decir, que dicha queja sea aun susceptible de ser alegada ante la jurisdicción ordinaria, es lo que nos lleva a considerar, a efectos del presente recurso de amparo, como prematuras tanto la alegada lesión del art. 18.3 CE por haberse realizado grabaciones indiscriminadas a terceras personas, como la denunciada vulneración del art. 24.1 CE, por entender el demandante de amparo que sus facultades de defensa se vieron afectadas al no abrirse diligencias justo al tiempo en el que se obtuvieron las grabaciones, sino pasado un año. </w:t>
      </w:r>
    </w:p>
    <w:p w:rsidR="00BE7FB3" w:rsidRDefault="00BE7FB3" w:rsidP="00BE7FB3">
      <w:pPr>
        <w:pStyle w:val="TextoNormal"/>
      </w:pPr>
    </w:p>
    <w:p w:rsidR="00BE7FB3" w:rsidRDefault="00BE7FB3" w:rsidP="00BE7FB3">
      <w:pPr>
        <w:pStyle w:val="TextoNormal"/>
      </w:pPr>
      <w:r>
        <w:t>Por todo lo expuesto, la demanda de amparo incurre respecto de las quejas analizadas en el óbice de falta de agotamiento de la vía judicial del art. 44.1 a) LOTC.</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Dicho lo anterior, se debe poner de manifiesto que, en cualquier caso, el demandante de amparo no ha satisfecho la ineludible exigencia impuesta por el art. 49.1 </w:t>
      </w:r>
      <w:r w:rsidRPr="00BE7FB3">
        <w:rPr>
          <w:i/>
        </w:rPr>
        <w:t>in fine</w:t>
      </w:r>
      <w:r>
        <w:t xml:space="preserve"> LOTC de justificar de manera suficiente en la demanda la especial trascendencia constitucional del recurso (AATC 188/2008, de 21 de julio, FJ 1; 289/2008 y 290/2008, ambos de 22 de septiembre, FJ 1; y STC 155/2009, de 25 de junio, FJ 2).  </w:t>
      </w:r>
    </w:p>
    <w:p w:rsidR="00BE7FB3" w:rsidRDefault="00BE7FB3" w:rsidP="00BE7FB3">
      <w:pPr>
        <w:pStyle w:val="TextoNormal"/>
      </w:pPr>
    </w:p>
    <w:p w:rsidR="00BE7FB3" w:rsidRDefault="00BE7FB3" w:rsidP="00BE7FB3">
      <w:pPr>
        <w:pStyle w:val="TextoNormal"/>
      </w:pPr>
      <w:r>
        <w:t xml:space="preserve">Como hemos recordado en la STC 178/2012, de 15 de octubre, FJ 3, “aunque la indicada previsión del art. 49.1 </w:t>
      </w:r>
      <w:r w:rsidRPr="00BE7FB3">
        <w:rPr>
          <w:i/>
        </w:rPr>
        <w:t>in fine</w:t>
      </w:r>
      <w:r>
        <w:t xml:space="preserve"> LOTC se configura como una carga procesal de la parte, es también un instrumento de colaboración con la Justicia constitucional, habida cuenta de que el legislador ha querido que la valoración del Tribunal acerca de la especial trascendencia constitucional de cada recurso venga siempre precedida de la iniciativa y apreciaciones de </w:t>
      </w:r>
      <w:r>
        <w:lastRenderedPageBreak/>
        <w:t>la parte, recogidas en su escrito de demanda”, y hemos precisado que “aunque no existe un modelo rígido al que haya de ajustarse la redacción de las demandas de amparo, es claro que debe responder a los cánones propios de este tipo de escritos procesales” (SSTC 17/2011, de 28 de febrero, FJ 2; y 69/2011, de 16 de mayo, FJ 3). En este sentido, hemos afirmado que la carga de justificar la especial trascendencia constitucional del recurso de amparo es algo distinto a razonar la existencia de la vulneración de un derecho fundamental (STC 69/2011, FJ 3; y Autos allí citados) y que, por consiguiente, es necesario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BE7FB3" w:rsidRDefault="00BE7FB3" w:rsidP="00BE7FB3">
      <w:pPr>
        <w:pStyle w:val="TextoNormal"/>
      </w:pPr>
    </w:p>
    <w:p w:rsidR="00BE7FB3" w:rsidRDefault="00BE7FB3" w:rsidP="00BE7FB3">
      <w:pPr>
        <w:pStyle w:val="TextoNormal"/>
      </w:pPr>
      <w:r>
        <w:t>A la parte recurrente le es exigible un “esfuerzo argumental” (ATC 154/2010, de 15 de noviembre, FJ 4) que ponga en conexión las vulneraciones constitucionales que alega con los criterios establecidos en el art. 50.1 b) LOTC. No bastará para dar por cumplimentada la carga justificativa, con una simple o abstracta mención en la demanda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(ATC 187/2010, de 29 de noviembre, FJ único).</w:t>
      </w:r>
    </w:p>
    <w:p w:rsidR="00BE7FB3" w:rsidRDefault="00BE7FB3" w:rsidP="00BE7FB3">
      <w:pPr>
        <w:pStyle w:val="TextoNormal"/>
      </w:pPr>
    </w:p>
    <w:p w:rsidR="00BE7FB3" w:rsidRDefault="00BE7FB3" w:rsidP="00BE7FB3">
      <w:pPr>
        <w:pStyle w:val="TextoNormal"/>
      </w:pPr>
      <w:r>
        <w:t>Pues bien, conforme a lo dicho, debe constatarse que el recurrente en amparo “no trasciende en su razonamiento la mera justificación de la existencia de la lesión subjetiva denunciada, sin justificar en modo alguno la proyección objetiva del amparo solicitado, que traduzca en el plano formal (art. 49.1 LOTC) la exigencia material de la especial trascendencia constitucional del recurso de amparo establecida por el art. 50.1 b) LOTC como requisito de procedibilidad de la demanda” (ATC 264/2009, de 16 de noviembre, FJ único), al limitarse a afirmar, sin referirse textualmente a la especial trascendencia constitucional, que el recurso cuenta con un “evidente contenido constitucional” por vulnerarse el derecho a la intimidad y al secreto de las comunicaciones, cuando las escuchas fueron consideras inconstitucionales tanto “por un Magistrado de la Sala de lo Penal del Tribunal Supremo, como por tres Magistrados de la Audiencia Provincial de Valencia”.</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Inadmitir el presente recurso de amparo.</w:t>
      </w:r>
    </w:p>
    <w:p w:rsidR="00BE7FB3" w:rsidRDefault="00BE7FB3" w:rsidP="00BE7FB3">
      <w:pPr>
        <w:pStyle w:val="TextoNormal"/>
      </w:pPr>
    </w:p>
    <w:p w:rsidR="00BE7FB3" w:rsidRDefault="00BE7FB3" w:rsidP="00BE7FB3">
      <w:pPr>
        <w:pStyle w:val="TextoNormal"/>
      </w:pPr>
      <w:r>
        <w:t>Madrid, a seis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67" w:name="AUTO_2013_26"/>
      <w:r>
        <w:lastRenderedPageBreak/>
        <w:t>AUTO 26/2013, de 7 de febrero de 2013</w:t>
      </w:r>
    </w:p>
    <w:bookmarkEnd w:id="167"/>
    <w:p w:rsidR="00BE7FB3" w:rsidRDefault="00BE7FB3" w:rsidP="00BE7FB3">
      <w:pPr>
        <w:pStyle w:val="TtuloResolucin"/>
      </w:pPr>
      <w:r>
        <w:t>Sección Segunda</w:t>
      </w:r>
    </w:p>
    <w:p w:rsidR="00BE7FB3" w:rsidRDefault="00BE7FB3" w:rsidP="00BE7FB3">
      <w:pPr>
        <w:pStyle w:val="TtuloResolucin"/>
      </w:pPr>
    </w:p>
    <w:p w:rsidR="00BE7FB3" w:rsidRDefault="00BE7FB3" w:rsidP="00BE7FB3">
      <w:pPr>
        <w:pStyle w:val="SntesisDescriptiva"/>
      </w:pPr>
      <w:r>
        <w:t>ECLI:ES:TC:2013:26A</w:t>
      </w:r>
    </w:p>
    <w:p w:rsidR="00BE7FB3" w:rsidRDefault="00BE7FB3" w:rsidP="00BE7FB3">
      <w:pPr>
        <w:pStyle w:val="SntesisDescriptiva"/>
      </w:pPr>
    </w:p>
    <w:p w:rsidR="00BE7FB3" w:rsidRDefault="00BE7FB3" w:rsidP="00BE7FB3">
      <w:pPr>
        <w:pStyle w:val="SntesisDescriptiva"/>
      </w:pPr>
      <w:r>
        <w:t>Excms. Srs. don Manuel Aragón Reyes, don Andrés Ollero Tassara y don Fernando Valdés Dal-Ré.</w:t>
      </w:r>
    </w:p>
    <w:p w:rsidR="00BE7FB3" w:rsidRDefault="00BE7FB3" w:rsidP="00BE7FB3">
      <w:pPr>
        <w:pStyle w:val="SntesisDescriptiva"/>
      </w:pPr>
    </w:p>
    <w:p w:rsidR="00BE7FB3" w:rsidRDefault="00BE7FB3" w:rsidP="00BE7FB3">
      <w:pPr>
        <w:pStyle w:val="SntesisDescriptiva"/>
      </w:pPr>
      <w:r>
        <w:t>Acuerda el desistimiento en el recurso de amparo 6376-2012, promovido en proceso contencioso-administrativo.</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168" w:name="AUTO_2013_27"/>
      <w:r>
        <w:lastRenderedPageBreak/>
        <w:t>AUTO 27/2013, de 11 de febrero de 2013</w:t>
      </w:r>
    </w:p>
    <w:bookmarkEnd w:id="168"/>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ECLI:ES:TC:2013:27A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del recurso de inconstitucionalidad 2393-2008, interpuesto por el Defensor del Pueblo en relación con la disposición adicional sexagésima de la Ley 51/2007, de 26 de diciembre, de presupuestos generales del Estado.</w:t>
      </w:r>
    </w:p>
    <w:p w:rsidR="00BE7FB3" w:rsidRDefault="00BE7FB3" w:rsidP="00BE7FB3">
      <w:pPr>
        <w:pStyle w:val="SntesisDescriptiva"/>
      </w:pPr>
    </w:p>
    <w:p w:rsidR="00BE7FB3" w:rsidRDefault="00BE7FB3" w:rsidP="00BE7FB3">
      <w:pPr>
        <w:pStyle w:val="SntesisAnaltica"/>
      </w:pPr>
      <w:r>
        <w:t>Cuestión de inconstitucionalidad: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27 de marzo de 2008, el Defensor del Pueblo interpuso recurso de inconstitucionalidad contra la disposición adicional sexagésima de la Ley 51/2007, de 26 de diciembre, de presupuestos generales del Estado para 2008, publicada en el “Boletín Oficial del Estado” de 27 de diciembre de 2007, que regula los requisitos que han de cumplir los aspirantes a plazas del cuerpo superior de Auditores del Tribunal de Cuentas.</w:t>
      </w:r>
    </w:p>
    <w:p w:rsidR="00BE7FB3" w:rsidRDefault="00BE7FB3" w:rsidP="00BE7FB3">
      <w:pPr>
        <w:pStyle w:val="TextoNormal"/>
      </w:pPr>
    </w:p>
    <w:p w:rsidR="00BE7FB3" w:rsidRDefault="00BE7FB3" w:rsidP="00BE7FB3">
      <w:pPr>
        <w:pStyle w:val="TextoNormal"/>
      </w:pPr>
      <w:r>
        <w:t>Comienza el escrito con una exposición de la doctrina del Tribunal Constitucional sobre el contenido y límites de las leyes de presupuestos de la que se derivan una serie de límites a este tipo de normas. En concreto, en las SSTC 234/1999, de 16 de diciembre, y 32/2000, de 3 de febrero, se sienta una doctrina que resulta de aplicación al presente caso, pues de ella se deriva que si bien el régimen retributivo de los funcionarios puede encontrar cabida en el denominado “contenido eventual” de las leyes de presupuestos, las normas que regulan los procedimientos de acceso a los distintos cuerpos no encuentran cabida en el contenido constitucionalmente posible de este tipo de normas, ya que se trata de regulaciones sustantivas de la función pública, sin que tenga suficiente conexión con la materia presupuestaria. En consecuencia, se interesa la inconstitucionalidad de la disposición adicional sexagésima de la citada Ley 51/2007, al considerar que se vulneran los artículos 9.3 y 134.2 de la Constitución al regular una materia que pertenece al ámbito del derecho funcionarial, y excede por ello del contenido posible o eventual de las leyes de presupuestos.</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Por providencia de 15 de abril de 2008, el Pleno del Tribunal acordó admitir a trámite el recurso de inconstitucionalidad promovido por el Defensor del Pueblo, contra la disposición adicional sexagésima de la Ley 51/2007, de 26 de diciembre, de presupuestos generales del Estado para 2008. Asimismo, y de conformidad con lo dispuesto en el artículo 10.2 de </w:t>
      </w:r>
      <w:r>
        <w:lastRenderedPageBreak/>
        <w:t>la Ley Orgánica del Tribunal Constitucional (LOTC) acordó atribuir a la Sala Primera, a la que por turno objetivo le ha correspondido, el conocimiento del recurso, señalando de aplicación la doctrina constitucional contenida en las SSTC 238/2007, de 21 de noviembre, y 248/2007, de 13 de diciembre. Finalmente, se acordó dar traslado de la demanda y documentos presentados, conforme al art. 34 LOTC, al Congreso de los Diputados y al Senado, por conducto de sus Presidentes, y al Gobierno, a través del Ministro de Justicia, al objeto de que en el plazo de quince días pudieran personarse en el proceso y formular las alegaciones que estimen convenientes, así como publicar la incoación del proceso en el “Boletín Oficial del Estado”, lo que se llevó a efecto en el de 25 de abril de 2008 (núm. 100).</w:t>
      </w:r>
    </w:p>
    <w:p w:rsidR="00BE7FB3" w:rsidRDefault="00BE7FB3" w:rsidP="00BE7FB3">
      <w:pPr>
        <w:pStyle w:val="TextoNormal"/>
      </w:pPr>
    </w:p>
    <w:p w:rsidR="00BE7FB3" w:rsidRDefault="00BE7FB3" w:rsidP="00BE7FB3">
      <w:pPr>
        <w:pStyle w:val="TextoNormal"/>
      </w:pPr>
      <w:r w:rsidRPr="00BE7FB3">
        <w:rPr>
          <w:rStyle w:val="NumeroAFNegritaCaracter"/>
        </w:rPr>
        <w:t>3</w:t>
      </w:r>
      <w:r>
        <w:t>. El 30 de abril de 2008 tuvo entrada en el Registro General de este Tribunal un escrito del Presidente del Senado por el que se comunicó el acuerdo adoptado por la Mesa de la Cámara de personarse en el procedimiento y ofrecer su colaboración a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escrito presentado en el Registro General de este Tribunal con fecha de 8 de mayo de 2008, el Presidente del Congreso de los Diputados comunicó a este Tribunal el acuerdo de la Mesa de la Cámara de personarse en el procedimiento y ofrecer su colaboración a los efectos del art. 88.1 LOTC. Asimismo, acordó la remisión de los documentos recibidos a la Dirección de estudios, análisis y publicaciones y a la asesoría jurídica de la Secretaría General.</w:t>
      </w:r>
    </w:p>
    <w:p w:rsidR="00BE7FB3" w:rsidRDefault="00BE7FB3" w:rsidP="00BE7FB3">
      <w:pPr>
        <w:pStyle w:val="TextoNormal"/>
      </w:pPr>
    </w:p>
    <w:p w:rsidR="00BE7FB3" w:rsidRDefault="00BE7FB3" w:rsidP="00BE7FB3">
      <w:pPr>
        <w:pStyle w:val="TextoNormal"/>
      </w:pPr>
      <w:r w:rsidRPr="00BE7FB3">
        <w:rPr>
          <w:rStyle w:val="NumeroAFNegritaCaracter"/>
        </w:rPr>
        <w:t>5</w:t>
      </w:r>
      <w:r>
        <w:t>. El 14 de mayo de 2008 se registró en este Tribunal el escrito del Abogado del Estado, en la representación que legalmente ostenta, con las alegaciones que resumidamente se exponen y que coinciden en lo esencial con las presentadas en el recurso de inconstitucionalidad núm. 2159-2008, promovido por 57 Diputados del Grupo Parlamentario Popular en el Congreso de los Diputados contra la disposición adicional sexagésima de la Ley 51/2007, de 26 de diciembre, de presupuestos generales del Estado para 2008, al considerar que se vulneran los artículos 66.2 y 134.2 de la Constitución, que ha sido resuelto por la reciente STC 9/2013, de 21 de enero, dictada en el recurso de inconstitucionalidad núm. 2159-2008.</w:t>
      </w:r>
    </w:p>
    <w:p w:rsidR="00BE7FB3" w:rsidRDefault="00BE7FB3" w:rsidP="00BE7FB3">
      <w:pPr>
        <w:pStyle w:val="TextoNormal"/>
      </w:pPr>
    </w:p>
    <w:p w:rsidR="00BE7FB3" w:rsidRDefault="00BE7FB3" w:rsidP="00BE7FB3">
      <w:pPr>
        <w:pStyle w:val="TextoNormal"/>
      </w:pPr>
      <w:r>
        <w:t xml:space="preserve">Comienza el Abogado del Estado exponiendo la doctrina recogida en las SSTC 238/2007, de 21 de noviembre, FJ 4; y 248/2007, de 13 de diciembre, FJ 4. Estas Sentencias reiteran la doctrina ya sentada por este Tribunal acerca del contenido que la Constitución impone o permite a la Ley de presupuestos, si bien añaden un matiz nuevo, contenido en el fundamento jurídico 4 de la STC 248/2007, que dispone que “una vez admitido que la Ley de Presupuestos generales del Estado puede abordar una modificación directa y expresa de cualquier otra noma legal, insistimos, en tanto en cuanto dicha modificación respete los condicionamientos que para su incorporación al contenido eventual del instrumento presupuestario ha exigido este Tribunal cabe añadir, a renglón seguido,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La Ley de Presupuestos, como previsión de ingresos y autorización de gastos para un ejercicio dado, debe respetar, en tanto no las modifique expresamente, las exigencias previstas en el ordenamiento jurídico cuya ejecución responde, so pena de poder provocar, con su desconocimiento, situaciones de inseguridad jurídica contrarias al art. 9.3 CE”. A partir de </w:t>
      </w:r>
      <w:r>
        <w:lastRenderedPageBreak/>
        <w:t>lo anterior, precisa el Abogado del Estado que la disposición impugnada satisface el requisito de modificación expresa mediante ley prexistente, toda vez que la disposición adicional cuarta.2 de la Ley de funcionamiento del Tribunal de Cuentas (Ley 7/1988, de 5 de abril) es modificada expresamente para ampliar la titulación de acceso al cuerpo de Auditores del Tribunal de Cuentas.</w:t>
      </w:r>
    </w:p>
    <w:p w:rsidR="00BE7FB3" w:rsidRDefault="00BE7FB3" w:rsidP="00BE7FB3">
      <w:pPr>
        <w:pStyle w:val="TextoNormal"/>
      </w:pPr>
    </w:p>
    <w:p w:rsidR="00BE7FB3" w:rsidRDefault="00BE7FB3" w:rsidP="00BE7FB3">
      <w:pPr>
        <w:pStyle w:val="TextoNormal"/>
      </w:pPr>
      <w:r>
        <w:t>En cuanto a la conexión entre la norma impugnada, que establece la titulación precisa para acceder a un determinado cuerpo de funcionarios, y el objeto de la Ley de presupuestos, se alega en el escrito que la doctrina de este Tribunal exige no sólo una conexión con los ingresos y gastos, con la política económica del Gobierno o con la mayor inteligencia o mejor ejecución presupuestaria sino que, además, dicha conexión debe ser “directa”. Así acontece en este supuesto, pues la modificación de la citada disposición adicional cuarta.2 de la Ley de funcionamiento del Tribunal de Cuentas tiene como objetivo ampliar las titulaciones de acceso al citado cuerpo de Auditores, homogeneizando las titulaciones entre quienes sirven unos mismos puestos. De esta manera, la disposición adicional sexagésima que se reputa inconstitucional, en la medida en que supone una mejor política de personal en relación con los auditores, ha de traducirse en una mayor perfección en la función de control de ingresos y gastos estatales y de la gestión presupuestaria que corresponde al Tribunal de Cuentas. Y dada la relevancia constitucional que para la mejor ejecución presupuestaria revisten las funciones que desempeña dicho Tribunal, debe entenderse que “cualquier extremo relativo a su funcionamiento —como es la regulación del acceso al Cuerpo Superior de Auditores— guarda conexión directa con la mejor ejecución presupuestaria”, toda vez que resulta evidente que las técnicas de auditoría, que constituyen la esencial cualificación profesional de los citados auditores superiores, son necesarias para el ejercicio de la función fiscalizadora.</w:t>
      </w:r>
    </w:p>
    <w:p w:rsidR="00BE7FB3" w:rsidRDefault="00BE7FB3" w:rsidP="00BE7FB3">
      <w:pPr>
        <w:pStyle w:val="TextoNormal"/>
      </w:pPr>
    </w:p>
    <w:p w:rsidR="00BE7FB3" w:rsidRDefault="00BE7FB3" w:rsidP="00BE7FB3">
      <w:pPr>
        <w:pStyle w:val="TextoNormal"/>
      </w:pPr>
      <w:r>
        <w:t>A partir de los anteriores argumentos, se solicita la desestimación del recurso y, subsidiariamente, la limitación de los efectos de la eventual declaración de inconstitucionalidad, consistente en que la posible eficacia invalidante quede diferida hasta, como mínimo, la publicación de la sentencia, lo que se justifica en la protección de la seguridad jurídica, citándose en ese sentido las SSTC, por todas, 195/1998, de 1 de octubre, FJ 5; y 194/2004, de 10 de noviembre, FJ 24.</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objeto del presente recurso de inconstitucionalidad coincide con el resuelto en nuestra STC 9/2013, de 21 de enero, relativa al recurso de inconstitucionalidad núm. 2159-2008, promovido por 57 Diputados del Grupo Parlamentario Popular en el Congreso de los Diputados contra la disposición adicional sexagésima de la Ley 51/2007, de 26 de diciembre, de presupuestos generales del Estado para 2008, al considerar que se vulneran los artículos 66.2 y 134.2 de la Constitución. En el caso que nos ocupa, el recurso de inconstitucionalidad núm. 2393-2008, promovido por el Defensor del Pueblo, se dirige contra la misma disposición adicional sexagésima de la Ley 51/2007, de 26 de diciembre, de presupuestos generales del Estado para 2008, por considerar vulnerados los artículos 9.3 y 134.2 de la Constitución.</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De acuerdo con nuestra doctrina, la finalidad última de los procesos de inconstitucionalidad es depurar el ordenamiento jurídico (STC 216/2012, de 14 de noviembre, FJ 2, con </w:t>
      </w:r>
      <w:r>
        <w:lastRenderedPageBreak/>
        <w:t>cita de otras muchas), de manera que este Tribunal no deberá pronunciarse sobre aquellas normas que hayan sido expulsadas de dicho ordenamiento. Esto es precisamente lo que sucede en este caso, pues la STC 9/2013 ha declarado la inconstitucionalidad y nulidad de la disposición adicional que aquí se impugna. Debemos, en consecuencia, declarar que el presente recurso de inconstitucionalidad ha perdido su objeto de forma sobrevenida, por haber sido la norma que se impugna expulsada ya del ordenamiento jurídico.</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extinguido por pérdida de objeto el recurso de inconstitucionalidad núm. 2393-2008, en relación con la disposición adicional sexagésima de la Ley 51/2007, de 26 de diciembre, de presupuestos generales del Estado para 2008.</w:t>
      </w:r>
    </w:p>
    <w:p w:rsidR="00BE7FB3" w:rsidRDefault="00BE7FB3" w:rsidP="00BE7FB3">
      <w:pPr>
        <w:pStyle w:val="TextoNormal"/>
      </w:pPr>
    </w:p>
    <w:p w:rsidR="00BE7FB3" w:rsidRDefault="00BE7FB3" w:rsidP="00BE7FB3">
      <w:pPr>
        <w:pStyle w:val="TextoNormal"/>
      </w:pPr>
      <w:r>
        <w:t>Madrid, a once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69" w:name="AUTO_2013_28"/>
      <w:r>
        <w:lastRenderedPageBreak/>
        <w:t>AUTO 28/2013, de 11 de febrero de 2013</w:t>
      </w:r>
    </w:p>
    <w:bookmarkEnd w:id="169"/>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TtuloBOE"/>
      </w:pPr>
      <w:r>
        <w:t>("BOE" núm. 61, de 12 de marzo de 2013)</w:t>
      </w:r>
    </w:p>
    <w:p w:rsidR="00BE7FB3" w:rsidRDefault="00BE7FB3" w:rsidP="00BE7FB3">
      <w:pPr>
        <w:pStyle w:val="TtuloBOE"/>
      </w:pPr>
    </w:p>
    <w:p w:rsidR="00BE7FB3" w:rsidRDefault="00BE7FB3" w:rsidP="00BE7FB3">
      <w:pPr>
        <w:pStyle w:val="SntesisDescriptiva"/>
      </w:pPr>
      <w:r>
        <w:t>ECLI:ES:TC:2013:28A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Inadmite a trámite el recurso de amparo 5469-2012, promovido por doña Micaela Alcántara Torres sobre archivo de causa penal. Voto particular.</w:t>
      </w:r>
    </w:p>
    <w:p w:rsidR="00BE7FB3" w:rsidRDefault="00BE7FB3" w:rsidP="00BE7FB3">
      <w:pPr>
        <w:pStyle w:val="SntesisDescriptiva"/>
      </w:pPr>
    </w:p>
    <w:p w:rsidR="00BE7FB3" w:rsidRDefault="00BE7FB3" w:rsidP="00BE7FB3">
      <w:pPr>
        <w:pStyle w:val="SntesisAnaltica"/>
      </w:pPr>
      <w:r>
        <w:t>Especial trascendencia constitucional del recurso de amparo: doctrina constitucional; especial trascendencia constitucional versus vulneración de derecho fundamental; justificación de la especial trascendencia constitucional. Inadmisión de recurso de amparo: carencia de justificación de la especial trascendencia constitucional. Prescripción de infracciones penales: derecho a la tutela judicial efectiva; prescripción de delitos. Votos particulares: formulado uno.</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el día 28 de septiembre de 2012, don Antonio Esteban Sánchez, Procurador de los Tribunales, en representación de doña Micaela Alcántara Torres, defendida por el Letrado don Enrique J. Vila Torres, interpone recurso de amparo contra el Auto de 2 de julio de 2012, dictado por la Sección Segunda de la Audiencia Provincial de Málaga que desestima el recurso de apelación (rollo núm. 354-2012) interpuesto contra el Auto del Juzgado de Instrucción núm. 8 de Málaga de 23 de mayo de 2012 por el que se acuerda el sobreseimiento libre de las actuaciones seguidas en las diligencias previas núm. 8070-2011.</w:t>
      </w:r>
    </w:p>
    <w:p w:rsidR="00BE7FB3" w:rsidRDefault="00BE7FB3" w:rsidP="00BE7FB3">
      <w:pPr>
        <w:pStyle w:val="TextoNormal"/>
      </w:pPr>
    </w:p>
    <w:p w:rsidR="00BE7FB3" w:rsidRDefault="00BE7FB3" w:rsidP="00BE7FB3">
      <w:pPr>
        <w:pStyle w:val="TextoNormal"/>
      </w:pPr>
      <w:r w:rsidRPr="00BE7FB3">
        <w:rPr>
          <w:rStyle w:val="NumeroAFNegritaCaracter"/>
        </w:rPr>
        <w:t>2</w:t>
      </w:r>
      <w:r>
        <w:t>. La demanda de amparo contiene el siguiente relato de hechos que, resumidamente, a continuación se expresa:</w:t>
      </w:r>
    </w:p>
    <w:p w:rsidR="00BE7FB3" w:rsidRDefault="00BE7FB3" w:rsidP="00BE7FB3">
      <w:pPr>
        <w:pStyle w:val="TextoNormal"/>
      </w:pPr>
    </w:p>
    <w:p w:rsidR="00BE7FB3" w:rsidRDefault="00BE7FB3" w:rsidP="00BE7FB3">
      <w:pPr>
        <w:pStyle w:val="TextoNormal"/>
      </w:pPr>
      <w:r>
        <w:t>a) La demandante formuló denuncia ante la Fiscalía Provincial de Málaga, por la supuesta sustracción de un recién nacido en el Hospital Civil de Málaga, que dio lugar a la incoación de diligencias previas por el Juzgado de Instrucción núm. 8 de Málaga. Por Auto de 23 de mayo de 2012 dicho Juzgado acordó el sobreseimiento libre de las actuaciones al considerar que no había quedado acreditada infracción penal alguna y que, si los hechos penales denunciados se hubieran demostrado, la responsabilidad penal estaría prescrita. Contra dicho Auto la demandante interpuso recurso de apelación que fue desestimado por Auto de la Sección Segunda de la Audiencia Provincial de Málaga de 2 de julio de 2012.</w:t>
      </w:r>
    </w:p>
    <w:p w:rsidR="00BE7FB3" w:rsidRDefault="00BE7FB3" w:rsidP="00BE7FB3">
      <w:pPr>
        <w:pStyle w:val="TextoNormal"/>
      </w:pPr>
    </w:p>
    <w:p w:rsidR="00BE7FB3" w:rsidRDefault="00BE7FB3" w:rsidP="00BE7FB3">
      <w:pPr>
        <w:pStyle w:val="TextoNormal"/>
      </w:pPr>
      <w:r>
        <w:t>b) Dicho Auto califica los hechos denunciados como constitutivos de los delitos de falsedad documental, suposición de parto, alteración de la paternidad, estado o condición del menor. Tras ello, considera que esos delitos ya han prescrito. Aduce en este sentido que se trata de delitos instantáneos, distintos de los permanentes en que el agente continúa realizando la acción típica. El delito de falsedad se consuma una vez elaborado el documento y los demás denunciados una vez entregado el menor o sustituido por otro. No se está ante delitos permanentes, aunque puedan prolongarse sus efectos, por lo mismo el delito de lesiones no pasa a ser permanente mientras se produce la sanidad o persistan las secuelas: “En nuestro caso nos encontramos ante lo que se ha venido a llamar delitos instantáneos de efectos permanentes.”</w:t>
      </w:r>
    </w:p>
    <w:p w:rsidR="00BE7FB3" w:rsidRDefault="00BE7FB3" w:rsidP="00BE7FB3">
      <w:pPr>
        <w:pStyle w:val="TextoNormal"/>
      </w:pPr>
    </w:p>
    <w:p w:rsidR="00BE7FB3" w:rsidRDefault="00BE7FB3" w:rsidP="00BE7FB3">
      <w:pPr>
        <w:pStyle w:val="TextoNormal"/>
      </w:pPr>
      <w:r>
        <w:t>c) La demandante sostiene que no puede apreciarse la prescripción por tratarse, bien de un delito contra la humanidad, bien de un delito permanente, por perdurar en la actualidad la situación ilícita iniciada hace cuarenta años. En apoyo de su posición reproduce un fragmento de un artículo doctrinal y cita un Auto de la Audiencia Provincial de Huelva de 20 de abril de 2012 señalando que “esta es una cuestión tan debatida”, que dicho Auto en un supuesto similar decide no archivar por prescripción. Afirma que ha existido un error en la interpretación de instituto de la prescripción, que vulnera el derecho a investigar los hechos denunciados (art. 24 CE), causándole indefensión al impedirse “el conocimiento del fondo de la cuestión”. Expone la vulneración del derecho en los siguientes términos:</w:t>
      </w:r>
    </w:p>
    <w:p w:rsidR="00BE7FB3" w:rsidRDefault="00BE7FB3" w:rsidP="00BE7FB3">
      <w:pPr>
        <w:pStyle w:val="TextoNormal"/>
      </w:pPr>
    </w:p>
    <w:p w:rsidR="00BE7FB3" w:rsidRDefault="00BE7FB3" w:rsidP="00BE7FB3">
      <w:pPr>
        <w:pStyle w:val="TextoNormal"/>
      </w:pPr>
      <w:r>
        <w:t>“Segundo.- El Auto recurrido cierra un proceso en el que a todas luces se ha vulnerado el derecho de mi mandante a la tutela judicial efectiva.</w:t>
      </w:r>
    </w:p>
    <w:p w:rsidR="00BE7FB3" w:rsidRDefault="00BE7FB3" w:rsidP="00BE7FB3">
      <w:pPr>
        <w:pStyle w:val="TextoNormal"/>
      </w:pPr>
    </w:p>
    <w:p w:rsidR="00BE7FB3" w:rsidRDefault="00BE7FB3" w:rsidP="00BE7FB3">
      <w:pPr>
        <w:pStyle w:val="TextoNormal"/>
      </w:pPr>
      <w:r>
        <w:t>Queda claro que la Audiencia Provincial de Málaga, ratifica el archivo libre de las actuaciones penales decretado por el Juzgado de Instrucción 8 de Málaga, no porque considere suficientes las actuaciones probatorias realizadas, o porque considere que no se ha acreditado la comisión de un ilícito penal, sino porque directamente, dicen los magistrados de la Audiencia Provincial, al considerar prescrita la responsabilidad penal de los hechos denunciados, no ha lugar a entrar en el motivo de apelación referente a la falta de pruebas para esclarecer la comisión del delito.</w:t>
      </w:r>
    </w:p>
    <w:p w:rsidR="00BE7FB3" w:rsidRDefault="00BE7FB3" w:rsidP="00BE7FB3">
      <w:pPr>
        <w:pStyle w:val="TextoNormal"/>
      </w:pPr>
    </w:p>
    <w:p w:rsidR="00BE7FB3" w:rsidRDefault="00BE7FB3" w:rsidP="00BE7FB3">
      <w:pPr>
        <w:pStyle w:val="TextoNormal"/>
      </w:pPr>
      <w:r>
        <w:t>Así pues, el error en la interpretación del instituto de la prescripción, respecto al delito supuestamente cometido al sustraer el bebé de mi mandante, hace que se vulnere directamente el derecho a investigar sobre los hechos acaecidos, y por tanto se vulnere su derecho constitucional reconocido en el artículo 24 de la Carta Magna.</w:t>
      </w:r>
    </w:p>
    <w:p w:rsidR="00BE7FB3" w:rsidRDefault="00BE7FB3" w:rsidP="00BE7FB3">
      <w:pPr>
        <w:pStyle w:val="TextoNormal"/>
      </w:pPr>
    </w:p>
    <w:p w:rsidR="00BE7FB3" w:rsidRDefault="00BE7FB3" w:rsidP="00BE7FB3">
      <w:pPr>
        <w:pStyle w:val="TextoNormal"/>
      </w:pPr>
      <w:r>
        <w:t>Esta parte así, ha quedado en una situación de absoluta indefensión que debe ser corregida por este Alto Tribunal. Sencillamente, tanto el Juzgado de Instrucción 8 de Málaga, como la Audiencia Provincial de Málaga, dejan de practicar las pruebas oportunas para esclarecer los hechos enjuiciados, porque según ellos, la responsabilidad penal ha prescrito, cosa que como argumentamos en el cuerpo de este recurso es falso, y como así mismo recogen otras Audiencias Provinciales como la de Huelva.</w:t>
      </w:r>
    </w:p>
    <w:p w:rsidR="00BE7FB3" w:rsidRDefault="00BE7FB3" w:rsidP="00BE7FB3">
      <w:pPr>
        <w:pStyle w:val="TextoNormal"/>
      </w:pPr>
    </w:p>
    <w:p w:rsidR="00BE7FB3" w:rsidRDefault="00BE7FB3" w:rsidP="00BE7FB3">
      <w:pPr>
        <w:pStyle w:val="TextoNormal"/>
      </w:pPr>
      <w:r>
        <w:t>De esta forma, deja de entrarse en el fondo del asunto, es decir no se investigan los hechos presuntamente delictivos. No es preciso recordar que, en una constante doctrina de este Tribunal de la que es muestra la Sentencia número 42/1988, de 15 de mayo, ha reconocido que:</w:t>
      </w:r>
    </w:p>
    <w:p w:rsidR="00BE7FB3" w:rsidRDefault="00BE7FB3" w:rsidP="00BE7FB3">
      <w:pPr>
        <w:pStyle w:val="TextoNormal"/>
      </w:pPr>
    </w:p>
    <w:p w:rsidR="00BE7FB3" w:rsidRDefault="00BE7FB3" w:rsidP="00BE7FB3">
      <w:pPr>
        <w:pStyle w:val="TextoNormal"/>
      </w:pPr>
      <w:r>
        <w:t>ʻ…La falta de respuesta a todos y cada uno de los motivos aducidos en la reclamación inicial, ha de catalogarse no sólo como incongruencia, sino también como la denegación técnica de justicia y, por tanto, como vulneración del derecho a la tutela judicial efectiva; tal ocurre cuando el motivo silenciado puede incidir en el contenido del fallo judicial …ʼ</w:t>
      </w:r>
    </w:p>
    <w:p w:rsidR="00BE7FB3" w:rsidRDefault="00BE7FB3" w:rsidP="00BE7FB3">
      <w:pPr>
        <w:pStyle w:val="TextoNormal"/>
      </w:pPr>
    </w:p>
    <w:p w:rsidR="00BE7FB3" w:rsidRDefault="00BE7FB3" w:rsidP="00BE7FB3">
      <w:pPr>
        <w:pStyle w:val="TextoNormal"/>
      </w:pPr>
      <w:r>
        <w:t>En definitiva, la indefensión a que alude el artículo 24.1 CE, en cuanto a la incongruencia, se basa en la inadecuación entre el contenido del fallo o parte dispositiva de la resolución y las peticiones o pretensiones de las partes, lo que determina la vulneración del derecho consagrado en el artículo 24.1 CE, y, en consecuencia, la trascendencia constitucional del referido desajuste, como resulta reconocido en la Sentencia dictada por ese Alto Tribunal número 142/1987, de 23 de julio.</w:t>
      </w:r>
    </w:p>
    <w:p w:rsidR="00BE7FB3" w:rsidRDefault="00BE7FB3" w:rsidP="00BE7FB3">
      <w:pPr>
        <w:pStyle w:val="TextoNormal"/>
      </w:pPr>
    </w:p>
    <w:p w:rsidR="00BE7FB3" w:rsidRDefault="00BE7FB3" w:rsidP="00BE7FB3">
      <w:pPr>
        <w:pStyle w:val="TextoNormal"/>
      </w:pPr>
      <w:r>
        <w:t>En el caso de mi representada, queda en un estado patente indefensión, pues al considerar tanto el Juzgado de Instrucción como la Audiencia Provincial de Málaga, que la responsabilidad penal por los hechos investigados ha prescrito, se impide así la práctica de la mínima actividad probatoria en orden a esclarecer los mismos y determinar los imputados o responsables de los delitos que en nuestra opinión, si se cometieron y no han prescrito, como se ha argumentado en el cuerpo central de este recurso, argumentos además compartidos por la Audiencia Provincial de Huelva.</w:t>
      </w:r>
    </w:p>
    <w:p w:rsidR="00BE7FB3" w:rsidRDefault="00BE7FB3" w:rsidP="00BE7FB3">
      <w:pPr>
        <w:pStyle w:val="TextoNormal"/>
      </w:pPr>
    </w:p>
    <w:p w:rsidR="00BE7FB3" w:rsidRDefault="00BE7FB3" w:rsidP="00BE7FB3">
      <w:pPr>
        <w:pStyle w:val="TextoNormal"/>
      </w:pPr>
      <w:r>
        <w:t>En definitiva, ha de considerarse ajustado a derecho la imprescriptibilidad de los delitos cometidos, y por lo tanto ha de ordenarse la reapertura de las diligencias previas en el Juzgado de Instrucción, para continuar con la práctica de las pruebas que esta parte proponga o las que el Juzgador estime oportunas, para la imputación, enjuiciamiento y condena de los responsables de la comisión de los mismos.</w:t>
      </w:r>
    </w:p>
    <w:p w:rsidR="00BE7FB3" w:rsidRDefault="00BE7FB3" w:rsidP="00BE7FB3">
      <w:pPr>
        <w:pStyle w:val="TextoNormal"/>
      </w:pPr>
    </w:p>
    <w:p w:rsidR="00BE7FB3" w:rsidRDefault="00BE7FB3" w:rsidP="00BE7FB3">
      <w:pPr>
        <w:pStyle w:val="TextoNormal"/>
      </w:pPr>
      <w:r>
        <w:t>De lo contrario, insistimos, la errónea aplicación procesal técnico, como el de la prescripción, impediría el conocimiento del fondo de la cuestión, y situaría a mi mandante, y a todos los que se encuentren en su situación, ante una falta de tutela judicial que viene consagrada por el artículo 24 CE como derecho fundamental.”</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La admisión a trámite del presente recurso de amparo, interpuesto tras la entrada en vigor de la reforma introducida en la Ley Orgánica de este Tribunal (LOTC) por la Ley Orgánica 6/2007, de 24 de mayo, exige verificar si la demanda de amparo cumple los requisitos establecidos en el art. 50.1 LOTC, en la redacción resultante de dicha reforma.</w:t>
      </w:r>
    </w:p>
    <w:p w:rsidR="00BE7FB3" w:rsidRDefault="00BE7FB3" w:rsidP="00BE7FB3">
      <w:pPr>
        <w:pStyle w:val="TextoNormal"/>
      </w:pPr>
    </w:p>
    <w:p w:rsidR="00BE7FB3" w:rsidRDefault="00BE7FB3" w:rsidP="00BE7FB3">
      <w:pPr>
        <w:pStyle w:val="TextoNormal"/>
      </w:pPr>
      <w:r>
        <w:t xml:space="preserve">Debemos comprobar, en particular, si el recurrente ha cumplido “de acuerdo con lo dispuesto en el art. 49.1 </w:t>
      </w:r>
      <w:r w:rsidRPr="00BE7FB3">
        <w:rPr>
          <w:i/>
        </w:rPr>
        <w:t>in fine</w:t>
      </w:r>
      <w:r>
        <w:t xml:space="preserve"> LOTC, la carga de justificar en la demanda la especial trascendencia constitucional del recurso” (STC 155/2009, de 25 de junio, FJ 2, citando los AATC 188/2008, de 21 de julio; 289/2008 y 290/2008, de 22 de septiembre). Este requisito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w:t>
      </w:r>
      <w:r>
        <w:lastRenderedPageBreak/>
        <w:t>su escrito de demanda” (STC 69/2011, de 16 de mayo, FJ 3). Su ausencia es insubsanable toda vez que “la interposición del recurso de amparo está sujeta a plazos de caducidad preclusivos, que no pueden ser reabiertos para dar cumplimiento a un requisito que afecta directamente a la determinación misma de la pretensión deducida en el recurso de amparo” (STC 176/2012, de 15 de octubre, FJ 3, citando el ATC 188/2008, de 21 de julio, FJ 3).</w:t>
      </w:r>
    </w:p>
    <w:p w:rsidR="00BE7FB3" w:rsidRDefault="00BE7FB3" w:rsidP="00BE7FB3">
      <w:pPr>
        <w:pStyle w:val="TextoNormal"/>
      </w:pPr>
    </w:p>
    <w:p w:rsidR="00BE7FB3" w:rsidRDefault="00BE7FB3" w:rsidP="00BE7FB3">
      <w:pPr>
        <w:pStyle w:val="TextoNormal"/>
      </w:pPr>
      <w:r>
        <w:t>Para satisfacer esta exigencia, la demanda de amparo no tiene que ajustarse a un modelo rígido, pero sí responder a los “cánones propios de este tipo de escritos procesales” (STC 17/2011, de 28 de febrero, FJ 2) y “tener en cuenta las precisiones que, con relación a esa específica carga, ha ido efectuando este Tribunal a través de diversas resoluciones que despejan las posibles dudas sobre el modo en el que se tiene que hacer efectiva” (STC 69/2011, de 16 de mayo, FJ 3). En particular, la STC 155/2009, de 25 de junio, FJ 2, avanzó en la interpretación del art. 50.1 b) LOTC identificando una serie no exhaustiva de casos en que “cabe apreciar que el contenido del recurso de amparo justifica una decisión sobre el fondo en razón de su especial trascendencia constitucional”. Hemos precisado también que la carga de justificar esta especial trascendencia consiste en un “esfuerzo argumental” (ATC 154/2010, de 15 de noviembre, FJ 4) que ponga en conexión las vulneraciones constitucionales alegadas con los criterios del art. 50.1 b) LOTC, explicitando la “proyección objetiva del amparo solicitado” y traduciendo en el plano formal (art. 49.1 LOTC) la exigencia material de la especial trascendencia constitucional del asunto (ATC 264/2009, de 16 de noviembre, FJ único).</w:t>
      </w:r>
    </w:p>
    <w:p w:rsidR="00BE7FB3" w:rsidRDefault="00BE7FB3" w:rsidP="00BE7FB3">
      <w:pPr>
        <w:pStyle w:val="TextoNormal"/>
      </w:pPr>
    </w:p>
    <w:p w:rsidR="00BE7FB3" w:rsidRDefault="00BE7FB3" w:rsidP="00BE7FB3">
      <w:pPr>
        <w:pStyle w:val="TextoNormal"/>
      </w:pPr>
      <w:r>
        <w:t>Por esta razón, no basta razonar la existencia de la vulneración de un derecho fundamental (SSTC 17/2011, de 28 de febrero, FJ 2; 69/2011, de 16 de mayo, FJ 3; 143/2011, de 26 de septiembre, FJ 2;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(STC 69/2011, de 16 de mayo, FJ 3, citando el ATC 187/2010, de 29 de noviembre, FJ único).</w:t>
      </w:r>
    </w:p>
    <w:p w:rsidR="00BE7FB3" w:rsidRDefault="00BE7FB3" w:rsidP="00BE7FB3">
      <w:pPr>
        <w:pStyle w:val="TextoNormal"/>
      </w:pPr>
    </w:p>
    <w:p w:rsidR="00BE7FB3" w:rsidRDefault="00BE7FB3" w:rsidP="00BE7FB3">
      <w:pPr>
        <w:pStyle w:val="TextoNormal"/>
      </w:pPr>
      <w:r>
        <w:t xml:space="preserve">Ciertamente, este Tribunal, a fin de evitar un excesivo formalismo, ha aplicado un criterio de flexibilidad para valorar las demandas de amparo anteriores a la publicación en el “Boletín Oficial del Estado” de 28 de julio de 2009 de la STC 155/2009, que acotó el perfil abierto del concepto de “especial trascendencia constitucional” y, con ello, facilitó a los recurrentes el cumplimiento de la carga justificativa que les exige el art. 49.1 LOTC tras la </w:t>
      </w:r>
      <w:r>
        <w:lastRenderedPageBreak/>
        <w:t>entrada en vigor de la Ley Orgánica 6/2007, de 24 de mayo (inicialmente AATC 4/2010 y 5/2010, de 14 de enero, FJ único; posteriormente citados en el ATC 42/2012, de 7 de marzo, FJ 3; y en las SSTC 15/2011, de 28 de febrero, FJ 3; 69/2011, de 16 de mayo, FJ 3; 143/2011, de 26 de septiembre, FJ 2; 176/2012, de 15 de octubre , FJ 4; y 178/2012, de 15 de octubre, FJ 4).</w:t>
      </w:r>
    </w:p>
    <w:p w:rsidR="00BE7FB3" w:rsidRDefault="00BE7FB3" w:rsidP="00BE7FB3">
      <w:pPr>
        <w:pStyle w:val="TextoNormal"/>
      </w:pPr>
    </w:p>
    <w:p w:rsidR="00BE7FB3" w:rsidRDefault="00BE7FB3" w:rsidP="00BE7FB3">
      <w:pPr>
        <w:pStyle w:val="TextoNormal"/>
      </w:pPr>
      <w:r>
        <w:t>El rigor en la valoración de esta exigencia no puede atemperarse, sin embargo, cuando el recurrente formula la demanda de amparo en fecha posterior a la referida Sentencia. Así lo hemos reafirmado en varias ocasiones, dando lugar a pronunciamientos de inadmisión de las demandas presentadas los días 5 de noviembre de 2010, 7 de julio de 2010 y 23 de noviembre de 2009 (SSTC 178/2012, de 15 de octubre, FJ 3; 69/2011, de 16 de mayo, FFJJ 3 y 4; 176/2012, de 15 de octubre, FFJJ 3 y 4, respectivamente). Además, como hemos declarado en la última de las Sentencias citadas, FJ 3, “cuando, por razón de la fecha de la interposición del recurso de amparo, quepa aplicar ese criterio flexible, en modo alguno este puede llegar a ‘desvirtuar el requisito, ni puede tampoco suponer una excepción del deber de cumplimiento de la carga justificativa en los supuestos en los que se produce aquel tipo de relación temporal entre la fecha de interposición de la demanda y la de la publicación, el 28 de julio de 2009, de la STC 155/2009, de 25 de junio’. Tal es la doctrina de la STC 143/2011, de 26 de septiembre, FJ 2, que declara la inadmisibilidad de un recurso formulado antes de la STC 155/2009 porque el demandante ‘no ha ofrecido … razonamiento alguno que permita advertir por qué el contenido del recurso de amparo justifica una decisión sobre el fondo en atención a su importancia para la interpretación, aplicación o eficacia general de la Constitución o para la determinación del contenido y alcance de los derechos fundamentales que se alegan’.”</w:t>
      </w:r>
    </w:p>
    <w:p w:rsidR="00BE7FB3" w:rsidRDefault="00BE7FB3" w:rsidP="00BE7FB3">
      <w:pPr>
        <w:pStyle w:val="TextoNormal"/>
      </w:pPr>
    </w:p>
    <w:p w:rsidR="00BE7FB3" w:rsidRDefault="00BE7FB3" w:rsidP="00BE7FB3">
      <w:pPr>
        <w:pStyle w:val="TextoNormal"/>
      </w:pPr>
      <w:r w:rsidRPr="00BE7FB3">
        <w:rPr>
          <w:rStyle w:val="NumeroAFNegritaCaracter"/>
        </w:rPr>
        <w:t>2</w:t>
      </w:r>
      <w:r>
        <w:t>. Aplicando la doctrina expuesta al caso de autos, hemos de afirmar que la demanda de amparo no contiene la necesaria justificación de su especial trascendencia constitucional conforme al art. 49.1 LOTC. La demanda, no es ya que carezca de un apartado sobre su especial trascendencia constitucional, es que no desarrolla esfuerzo argumental alguno destinado a vincular la vulneración constitucional alegada con los criterios del art. 50.1 b) LOTC. La demanda desconoce pura y simplemente que, tras la entrada en vigor de la Ley Orgánica 6/2007, de 24 de mayo, pesa sobre quien recurre la carga de argumentar explícitamente que el amparo solicitado tiene una proyección objetiva.</w:t>
      </w:r>
    </w:p>
    <w:p w:rsidR="00BE7FB3" w:rsidRDefault="00BE7FB3" w:rsidP="00BE7FB3">
      <w:pPr>
        <w:pStyle w:val="TextoNormal"/>
      </w:pPr>
    </w:p>
    <w:p w:rsidR="00BE7FB3" w:rsidRDefault="00BE7FB3" w:rsidP="00BE7FB3">
      <w:pPr>
        <w:pStyle w:val="TextoNormal"/>
      </w:pPr>
      <w:r>
        <w:t>La demanda, bajo la rúbrica de “antecedentes” (págs. 1 a 25), expone en primer lugar los hitos procesales acontecidos en la vía ordinaria previa —antecedentes primero a tercero. Posteriormente explicita los argumentos por los que entiende que los delitos denunciados no han prescrito— antecedente 4 (págs. 4 a 25). A continuación, dentro de los “fundamentos de derecho” (págs. 25 a 29), desarrolla un fundamento “primero” al “cumplimiento de los requisitos procesales impuestos por la Ley Orgánica del Tribunal Constitucional para la impugnación de los actos de los órganos judiciales”. Allí identifica las resoluciones judiciales impugnadas, afirma tener legitimación para interponer la demanda conforme al art. 46.1 b) LOTC y haber cumplido el plazo previsto en el art. 44.2 LOTC y razona que ha agotado la vía jurisdiccional previa por no ser el Auto impugnado susceptible de casación.</w:t>
      </w:r>
    </w:p>
    <w:p w:rsidR="00BE7FB3" w:rsidRDefault="00BE7FB3" w:rsidP="00BE7FB3">
      <w:pPr>
        <w:pStyle w:val="TextoNormal"/>
      </w:pPr>
    </w:p>
    <w:p w:rsidR="00BE7FB3" w:rsidRDefault="00BE7FB3" w:rsidP="00BE7FB3">
      <w:pPr>
        <w:pStyle w:val="TextoNormal"/>
      </w:pPr>
      <w:r>
        <w:t>Posteriormente dedica el apartado “segundo” —reproducido literalmente en los antecedentes— a identificar el derecho fundamental vulnerado. Enmarca la vulneración en el de</w:t>
      </w:r>
      <w:r>
        <w:lastRenderedPageBreak/>
        <w:t>recho fundamental a la tutela judicial efectiva (art. 24.1 CE), circunscribiéndola inicialmente al cierre anticipado del proceso penal, si bien, posteriormente, con cita de las SSTC 42/1988, de 15 de mayo, y 142/1987, de 23 de julio, identifica la eventual lesión con la incongruencia por “inadecuación entre el contenido del fallo o parte dispositiva de la resolución y las peticiones o pretensiones de las partes, lo que determina la vulneración del derecho consagrado en el artículo 24.1 de la CE, y, en consecuencia, la trascendencia constitucional del referido desajuste, como resulta reconocido en la sentencia dictada por ese Alto Tribunal número 142/1987 de 23 de julio.”.</w:t>
      </w:r>
    </w:p>
    <w:p w:rsidR="00BE7FB3" w:rsidRDefault="00BE7FB3" w:rsidP="00BE7FB3">
      <w:pPr>
        <w:pStyle w:val="TextoNormal"/>
      </w:pPr>
    </w:p>
    <w:p w:rsidR="00BE7FB3" w:rsidRDefault="00BE7FB3" w:rsidP="00BE7FB3">
      <w:pPr>
        <w:pStyle w:val="TextoNormal"/>
      </w:pPr>
      <w:r>
        <w:t>De lo expuesto se desprende que la locución “trascendencia constitucional del referido desajuste”, es utilizada, no a los efectos de argumentar la proyección objetiva del recurso interpuesto, como requisito procesal que exige ahora la Ley Orgánica del Tribunal Constitucional (art. 49.1), sino para razonar la existencia de vulneración de un derecho fundamental. Se hace referencia a la “trascendencia constitucional” en relación con la afirmada “inadecuación entre el contenido del fallo o parte dispositiva de la resolución y las peticiones o pretensiones de las partes, lo que determina la vulneración del derecho”. La recurrente se hace eco en este sentido de la ya antigua doctrina constitucional acuñada en múltiples pronunciamientos de este Tribunal, que han distinguido entre las irregularidades procesales que lesionan el derecho fundamental a la tutela judicial efectiva, por tener “trascendencia constitucional” al causar indefensión y las de naturaleza meramente procesal, “sin trascendencia constitucional” (por todas STC 75/1986, de 4 de junio, FJ 4). Se trata del criterio que sintéticamente recoge la STC 206/1987, de 21 de diciembre, FJ 4, entre otras, al afirmar que “con arreglo a la doctrina de este Tribunal (SSTC 20/1982, 15/1984, 109/1985 y 183/1985, entre otras) existe incongruencia cuando falta el ajuste o adecuación entre la parte dispositiva de las Sentencias y los términos en que las partes han formulado sus peticiones o pretensiones —y así, en caso de dar más de lo pedido en la demanda, menos de lo admitido u otorgando cosa distinta—; mas no toda incongruencia tiene por si sola trascendencia constitucional, sino sólo cuando se incurre en infracción del principio de contradicción y lesión del derecho de defensa, porque el desvío o desajuste sea modificador de los términos del debate, no permitiendo y faltando concreto debate y oposición, con posibilidad de alegaciones y prueba, sobre el exceso, aminoración o desviación”.</w:t>
      </w:r>
    </w:p>
    <w:p w:rsidR="00BE7FB3" w:rsidRDefault="00BE7FB3" w:rsidP="00BE7FB3">
      <w:pPr>
        <w:pStyle w:val="TextoNormal"/>
      </w:pPr>
    </w:p>
    <w:p w:rsidR="00BE7FB3" w:rsidRDefault="00BE7FB3" w:rsidP="00BE7FB3">
      <w:pPr>
        <w:pStyle w:val="TextoNormal"/>
      </w:pPr>
      <w:r>
        <w:t xml:space="preserve">Consecuentemente, este Tribunal no puede examinar la proyección que sobre el contenido del derecho fundamental a la tutela judicial efectiva (art. 24.1 CE) ha tenido la decisión de cierre anticipado de la investigación penal de unos hechos que, por su naturaleza, han tenido una notable resonancia mediática, además de haber podido causar un grave quebranto a los perjudicados. Conforme a lo dispuesto en el art. 50.1 a) LOTC, la demanda no puede admitirse al no cumplir la ineludible exigencia impuesta por el art. 49.1 </w:t>
      </w:r>
      <w:r w:rsidRPr="00BE7FB3">
        <w:rPr>
          <w:i/>
        </w:rPr>
        <w:t>in fine</w:t>
      </w:r>
      <w:r>
        <w:t xml:space="preserve"> LOTC de justificar de manera expresa en la demanda de amparo la especial trascendencia constitucional del recurso. En tal sentido, “la recurrente en amparo no trasciende en su razonamiento la mera justificación de la existencia de la lesión subjetiva denunciada, sin justificar en modo alguno la proyección objetiva del amparo solicitado, que traduzca en el plano formal (art. 49.1 LOTC) la exigencia material de la especial trascendencia constitucional del recurso de amparo establecida por el art. 50.1 b) LOTC como requisito de procedibilidad de la demanda” (ATC 264/2009, de 16 de noviembre, FJ único).</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lastRenderedPageBreak/>
        <w:t>ACUERDA</w:t>
      </w:r>
    </w:p>
    <w:p w:rsidR="00BE7FB3" w:rsidRDefault="00BE7FB3" w:rsidP="00BE7FB3">
      <w:pPr>
        <w:pStyle w:val="TextoNormalCentrado"/>
      </w:pPr>
    </w:p>
    <w:p w:rsidR="00BE7FB3" w:rsidRDefault="00BE7FB3" w:rsidP="00BE7FB3">
      <w:pPr>
        <w:pStyle w:val="TextoNormal"/>
      </w:pPr>
      <w:r>
        <w:t>Inadmitir el presente recurso de amparo.</w:t>
      </w:r>
    </w:p>
    <w:p w:rsidR="00BE7FB3" w:rsidRDefault="00BE7FB3" w:rsidP="00BE7FB3">
      <w:pPr>
        <w:pStyle w:val="TextoNormal"/>
      </w:pPr>
    </w:p>
    <w:p w:rsidR="00BE7FB3" w:rsidRDefault="00BE7FB3" w:rsidP="00BE7FB3">
      <w:pPr>
        <w:pStyle w:val="TextoNormal"/>
      </w:pPr>
      <w:r>
        <w:t>Publíquese este Auto en el “Boletín Oficial del Estado”.</w:t>
      </w:r>
    </w:p>
    <w:p w:rsidR="00BE7FB3" w:rsidRDefault="00BE7FB3" w:rsidP="00BE7FB3">
      <w:pPr>
        <w:pStyle w:val="TextoNormal"/>
      </w:pPr>
    </w:p>
    <w:p w:rsidR="00BE7FB3" w:rsidRDefault="00BE7FB3" w:rsidP="00BE7FB3">
      <w:pPr>
        <w:pStyle w:val="TextoNormal"/>
      </w:pPr>
      <w:r>
        <w:t>Madrid, a once de febrero de dos mil trece.</w:t>
      </w:r>
    </w:p>
    <w:p w:rsidR="00BE7FB3" w:rsidRDefault="00BE7FB3" w:rsidP="00BE7FB3">
      <w:pPr>
        <w:pStyle w:val="ParrafoNormal"/>
      </w:pPr>
    </w:p>
    <w:p w:rsidR="00BE7FB3" w:rsidRDefault="00BE7FB3" w:rsidP="00BE7FB3">
      <w:pPr>
        <w:pStyle w:val="TextoNormalNegritaCentrado"/>
        <w:keepNext/>
      </w:pPr>
      <w:r>
        <w:t>Voto particular que formula el Magistrado don Fernando Valdés Dal-Ré al Auto de la Sala Primera por el que se inadmite a trámite el recurso de amparo núm. 5469-2012.</w:t>
      </w:r>
    </w:p>
    <w:p w:rsidR="00BE7FB3" w:rsidRDefault="00BE7FB3" w:rsidP="00BE7FB3">
      <w:pPr>
        <w:pStyle w:val="TextoNormalNegritaCentrado"/>
        <w:keepNext/>
      </w:pPr>
    </w:p>
    <w:p w:rsidR="00BE7FB3" w:rsidRDefault="00BE7FB3" w:rsidP="00BE7FB3">
      <w:pPr>
        <w:pStyle w:val="TextoNormal"/>
      </w:pPr>
      <w:r>
        <w:t>1. Haciendo uso de la facultad que me atribuye el art. 90.2 de la Ley Orgánica del Tribunal Constitucional (LOTC) y con el máximo respeto a la opinión mayoritaria, deseo dejar constancia de mi posición discrepante con la fundamentación y el fallo de la resolución que declara la inadmisión del recurso de amparo núm. 5469-2012, promovido por doña Micaela Alcántara Torres.</w:t>
      </w:r>
    </w:p>
    <w:p w:rsidR="00BE7FB3" w:rsidRDefault="00BE7FB3" w:rsidP="00BE7FB3">
      <w:pPr>
        <w:pStyle w:val="TextoNormal"/>
      </w:pPr>
    </w:p>
    <w:p w:rsidR="00BE7FB3" w:rsidRDefault="00BE7FB3" w:rsidP="00BE7FB3">
      <w:pPr>
        <w:pStyle w:val="TextoNormal"/>
      </w:pPr>
      <w:r>
        <w:t>2. La Sala funda su decisión de inadmisión en que la parte recurrente no ha dado cumplimiento a la ineludible exigencia impuesta ex art. 49.1 in fine LOTC de justificar en la demanda de amparo presentada la especial trascendencia constitucional. A fin de llegar a esta conclusión y tras resumir genéricamente la doctrina de este Tribunal sobre el sentido y alcance de esa carga procesal, el Auto pasa a examinar las referencias puntuales que el escrito realiza sobre la misma, razonando, en unos términos que comparto, que la noción “trascendencia constitucional”, cuando es utilizada por la demandante, no se emplea con vistas a fundamentar la proyección objetiva de la demanda interpuesta, como requisito procesal que exige ahora la LOTC (art. 49.1), sino como cauce para argumentar la existencia de lesión de un derecho fundamental. Como ya es lugar común y determinación invariable y constante en nuestra doctrina, este modo de proceder desemboca en la inobservancia del deber de justificación del mencionado precepto legal, que no consiente la confusión entre vulneración del derecho invocado y especial trascendencia constitucional del recurso.</w:t>
      </w:r>
    </w:p>
    <w:p w:rsidR="00BE7FB3" w:rsidRDefault="00BE7FB3" w:rsidP="00BE7FB3">
      <w:pPr>
        <w:pStyle w:val="TextoNormal"/>
      </w:pPr>
    </w:p>
    <w:p w:rsidR="00BE7FB3" w:rsidRDefault="00BE7FB3" w:rsidP="00BE7FB3">
      <w:pPr>
        <w:pStyle w:val="TextoNormal"/>
      </w:pPr>
      <w:r>
        <w:t>No obstante y como seguidamente procuraré razonar, detenerse, en el caso a examen, en una declaración de inadmisión revela un juicio en exceso formalista, expresivo, en mi opinión, de una rigurosa inteligencia jurídica y concreción aplicativa de los requisitos de recurribilidad en amparo.</w:t>
      </w:r>
    </w:p>
    <w:p w:rsidR="00BE7FB3" w:rsidRDefault="00BE7FB3" w:rsidP="00BE7FB3">
      <w:pPr>
        <w:pStyle w:val="TextoNormal"/>
      </w:pPr>
    </w:p>
    <w:p w:rsidR="00BE7FB3" w:rsidRDefault="00BE7FB3" w:rsidP="00BE7FB3">
      <w:pPr>
        <w:pStyle w:val="TextoNormal"/>
      </w:pPr>
      <w:r>
        <w:t>3. Con la entrada en vigor de la Ley Orgánica 6/2007, de 24 de mayo, que modificó la Ley Orgánica 2/1979, de 3 de octubre, del Tribunal Constitucional (LOTC), el proceso constitucional de amparo ha sido objeto de una profunda revisión. La “caracterización más distintiva” de su nuevo diseño, dijo la STC 155/2009, de 25 de junio, es el requisito sustantivo de la “especial trascendencia constitucional”, que impone el art. 50.1 b) LOTC para la admisión del recurso. Formulada la idea desde un enfoque práctico, la reforma supone que la lesión de un derecho fundamental o libertad pública susceptible de amparo ya no es suficiente para superar la fase de admisibilidad, debiendo concurrir adicionalmente aquella otra exigencia.</w:t>
      </w:r>
    </w:p>
    <w:p w:rsidR="00BE7FB3" w:rsidRDefault="00BE7FB3" w:rsidP="00BE7FB3">
      <w:pPr>
        <w:pStyle w:val="TextoNormal"/>
      </w:pPr>
    </w:p>
    <w:p w:rsidR="00BE7FB3" w:rsidRDefault="00BE7FB3" w:rsidP="00BE7FB3">
      <w:pPr>
        <w:pStyle w:val="TextoNormal"/>
      </w:pPr>
      <w:r>
        <w:lastRenderedPageBreak/>
        <w:t xml:space="preserve">En la medida en que no es el requisito del art. 50.1 b) LOTC el que se ha considerado incumplido por el Auto aquí objetado, sino el de la justificación por la recurrente de dicha especial trascendencia constitucional (art. 49.1 </w:t>
      </w:r>
      <w:r w:rsidRPr="00BE7FB3">
        <w:rPr>
          <w:i/>
        </w:rPr>
        <w:t>in fine</w:t>
      </w:r>
      <w:r>
        <w:t>), me bastará recordar, a fin de cumplir los propósitos argumentales que persigo, que la Constitución dispone que cualquier ciudadano podrá recabar la tutela de las libertades públicas y derechos fundamentales ante los Tribunales ordinarios, pero es al Tribunal Constitucional al que corresponde actuar como garante último de esos derechos, erigiéndose en su máximo intérprete (arts. 53.2 y 123.1 CE y 1.1 LOTC). Y es también este Tribunal el que viene llamado, aun con ese carácter de última instancia, no sólo a precisar los contenidos de esos derechos o a perfilarlos y delimitarlos en términos generales y objetivos, sino a garantizar la cobertura y tutela singular de los mismos. Esta tutela, sin duda alguna, constituye el nervio central del art. 53.2 CE, que no alude a los derechos fundamentales y libertades públicas en abstracto o en su dimensión objetiva; antes al contrario, los hace objeto de un procedimiento de reclamación frente a vulneraciones producidas. Cualquier interpretación que soslaye esa función preferente de protección, haciendo prioritarias otras hasta convertir aquélla en accesoria o por completo condicionada por éstas, se aleja del mandato constitucional.</w:t>
      </w:r>
    </w:p>
    <w:p w:rsidR="00BE7FB3" w:rsidRDefault="00BE7FB3" w:rsidP="00BE7FB3">
      <w:pPr>
        <w:pStyle w:val="TextoNormal"/>
      </w:pPr>
    </w:p>
    <w:p w:rsidR="00BE7FB3" w:rsidRDefault="00BE7FB3" w:rsidP="00BE7FB3">
      <w:pPr>
        <w:pStyle w:val="TextoNormal"/>
      </w:pPr>
      <w:r>
        <w:t xml:space="preserve">En otras palabras, los intentos de dotar de una estricta objetivación al proceso de amparo, elaborados con el designio de arrumbar la tutela subjetiva, carecen, a mi juicio, de acomodo en el art. 53.2 CE; y tampoco encuentran una razonable explicación sistemática en el propio texto constitucional. Desde luego, no pretendo objetar una reforma —y tampoco una interpretación de la llevada a cabo en 2007— destinada a estructurar con mayor rigor el proceso constitucional de amparo, a fortalecer el papel de la jurisdicción ordinaria en la tutela de los derechos fundamentales, a articular el amparo constitucional como una vía verdaderamente extraordinaria y última o, en fin, a formular unas exigentes condiciones de acceso y agotamiento de los otros cauces reparadores previos; una reforma que, incluso, añada requisitos de objetivación del recurso mismo. Todo ello, resulta razonable; incluso imprescindible, seguramente, para la posición institucional del propio Tribunal Constitucional y para el cumplimiento ordenado de sus complejas funciones. Pero me distancio de manera abierta de una interpretación de la reforma legal de 2007 (o de otras posteriores) que termine convirtiendo al amparo, </w:t>
      </w:r>
      <w:r w:rsidRPr="00BE7FB3">
        <w:rPr>
          <w:i/>
        </w:rPr>
        <w:t>de facto</w:t>
      </w:r>
      <w:r>
        <w:t>, en un proceso en el que la tutela subjetiva sea residual. Una comprensión semejante desnaturaliza el proceso de amparo, tal y como el mismo ha quedado constitucionalmente diseñado.</w:t>
      </w:r>
    </w:p>
    <w:p w:rsidR="00BE7FB3" w:rsidRDefault="00BE7FB3" w:rsidP="00BE7FB3">
      <w:pPr>
        <w:pStyle w:val="TextoNormal"/>
      </w:pPr>
    </w:p>
    <w:p w:rsidR="00BE7FB3" w:rsidRDefault="00BE7FB3" w:rsidP="00BE7FB3">
      <w:pPr>
        <w:pStyle w:val="TextoNormal"/>
      </w:pPr>
      <w:r>
        <w:t>En todo caso y por lo demás, los anteriores razonamientos vienen motivados por la progresiva contracción de la dimensión subjetiva del recurso de amparo que estoy apreciando en las más recientes decisiones de admisibilidad de la Sala del Tribunal de la que formo parte, como ocurre con ésta de la que discrepo.</w:t>
      </w:r>
    </w:p>
    <w:p w:rsidR="00BE7FB3" w:rsidRDefault="00BE7FB3" w:rsidP="00BE7FB3">
      <w:pPr>
        <w:pStyle w:val="TextoNormal"/>
      </w:pPr>
    </w:p>
    <w:p w:rsidR="00BE7FB3" w:rsidRDefault="00BE7FB3" w:rsidP="00BE7FB3">
      <w:pPr>
        <w:pStyle w:val="TextoNormal"/>
      </w:pPr>
      <w:r>
        <w:t>4. La preocupación enunciada sobre el art. 50.1 b) LOTC la quiero trasladar ahora a nuestras decisiones relativas al art. 49.1 in fine de este mismo texto legal. La misma contracción que constato en la aplicación de los requisitos sustantivos, como el de la especial trascendencia constitucional, la advierto en el examen de los requisitos procesales. El Auto del que me distancio ilustra de manera ejemplar mi inquietud.</w:t>
      </w:r>
    </w:p>
    <w:p w:rsidR="00BE7FB3" w:rsidRDefault="00BE7FB3" w:rsidP="00BE7FB3">
      <w:pPr>
        <w:pStyle w:val="TextoNormal"/>
      </w:pPr>
    </w:p>
    <w:p w:rsidR="00BE7FB3" w:rsidRDefault="00BE7FB3" w:rsidP="00BE7FB3">
      <w:pPr>
        <w:pStyle w:val="TextoNormal"/>
      </w:pPr>
      <w:r>
        <w:t xml:space="preserve">El art. 49.1 </w:t>
      </w:r>
      <w:r w:rsidRPr="00BE7FB3">
        <w:rPr>
          <w:i/>
        </w:rPr>
        <w:t>in fine</w:t>
      </w:r>
      <w:r>
        <w:t xml:space="preserve"> LOTC dispone que “[e]n todo caso, la demanda justificará la especial trascendencia constitucional del recurso”. A mi juicio, deberá darse por cumplida la obligación si del conjunto de los razonamientos de la demanda se infiere aquélla, incluso cuando </w:t>
      </w:r>
      <w:r>
        <w:lastRenderedPageBreak/>
        <w:t xml:space="preserve">el recurso la plasme de manera asistemática. De no ser así, el requisito quedaría desvirtuado materialmente, mudando en una exigencia formalista de mera y simple perfección técnica. Si aplicáramos nuestro propio canon de acceso a la jurisdicción (art. 24.1 CE), aquél que manejamos en la verificación de las decisiones de cierre del proceso por parte de los órganos judiciales, no serían infrecuentes las ocasiones en las que, en contra de lo que con habitualidad razonamos, terminásemos declarando la admisión de la demanda con base en el art. 49.1 </w:t>
      </w:r>
      <w:r w:rsidRPr="00BE7FB3">
        <w:rPr>
          <w:i/>
        </w:rPr>
        <w:t>in fine</w:t>
      </w:r>
      <w:r>
        <w:t xml:space="preserve"> LOTC. Esta hipótesis resulta, cuanto menos, paradójica.</w:t>
      </w:r>
    </w:p>
    <w:p w:rsidR="00BE7FB3" w:rsidRDefault="00BE7FB3" w:rsidP="00BE7FB3">
      <w:pPr>
        <w:pStyle w:val="TextoNormal"/>
      </w:pPr>
    </w:p>
    <w:p w:rsidR="00BE7FB3" w:rsidRDefault="00BE7FB3" w:rsidP="00BE7FB3">
      <w:pPr>
        <w:pStyle w:val="TextoNormal"/>
      </w:pPr>
      <w:r>
        <w:t>Tal es lo que acontece en esta ocasión, en la que cabe inferir, de un examen del conjunto de la demanda, el cumplimiento material del requisito. En efecto: el recurso describe una compleja interpretación que alcanza a la prescripción del delito de robo de bebes en su concreta proyección sobre el derecho de acceso a la jurisdicción que integra el derecho a la tutela judicial efectiva (art. 24.1 CE), particular éste sobre el que el Tribunal no tiene jurisprudencia reseñable. La recurrente trasciende el caso concreto tanto cuando argumenta en general sobre los conceptos de delito permanente y prescripción, como cuando lo hace sobre su proyección al delito concreto que en su caso considera cometido, momento en el que, lejos de detenerse en la lesión singular, hace planteamientos globales. De hecho, la demanda apenas resalta las peculiaridades del caso concreto. La mejor prueba de ello está en sus páginas 10 in fine y 11, en las que en tres ordinales se formula una tesis sobre la imprescriptibilidad de todos los delitos de sustracción de niños, fundada en la intención de los autores del delito de que su acto perdure en el tiempo, en los efectos permanentes de esa conducta voluntaria y en la posibilidad de la paralización de esa situación ilícita, que sin embargo no se produce. Se formula, en suma, un problema claramente conectado con el art. 24.1 CE, sobre el que no existe doctrina de este Tribunal, de carácter objetivo, supraindividual y que desborda abiertamente la mera denuncia de la lesión.</w:t>
      </w:r>
    </w:p>
    <w:p w:rsidR="00BE7FB3" w:rsidRDefault="00BE7FB3" w:rsidP="00BE7FB3">
      <w:pPr>
        <w:pStyle w:val="TextoNormal"/>
      </w:pPr>
    </w:p>
    <w:p w:rsidR="00BE7FB3" w:rsidRDefault="00BE7FB3" w:rsidP="00BE7FB3">
      <w:pPr>
        <w:pStyle w:val="TextoNormal"/>
      </w:pPr>
      <w:r>
        <w:t>En razón de lo expuesto, entiendo que la inadmisión se construye en el Auto conforme a un concepto formalista de la carga de justificación del art. 49.1 LOTC. Y no era ésa, sin embargo, la única solución posible. El propio Tribunal, en la STC 143/2011, de 26 de septiembre, introdujo el criterio de la justificación “material” de la especial trascendencia constitucional. Ese precedente habilitaba la demanda de amparo desde el prisma del art. 49.1 LOTC. Sin embargo, el Auto del que me aparto ni siquiera se ocupa de tales planteamientos alternativos, favorecedores de la admisión y, por tanto, de un pronunciamiento sobre el fondo del asunto planteado.</w:t>
      </w:r>
    </w:p>
    <w:p w:rsidR="00BE7FB3" w:rsidRDefault="00BE7FB3" w:rsidP="00BE7FB3">
      <w:pPr>
        <w:pStyle w:val="TextoNormal"/>
      </w:pPr>
    </w:p>
    <w:p w:rsidR="00BE7FB3" w:rsidRDefault="00BE7FB3" w:rsidP="00BE7FB3">
      <w:pPr>
        <w:pStyle w:val="TextoNormal"/>
      </w:pPr>
      <w:r>
        <w:t xml:space="preserve">5. En conclusión, la admisión resultaba procedente por estas tres razones: 1) porque permitía aclarar la doble dimensión formal y material de la carga de justificación del art. 49.1 </w:t>
      </w:r>
      <w:r w:rsidRPr="00BE7FB3">
        <w:rPr>
          <w:i/>
        </w:rPr>
        <w:t>in fine</w:t>
      </w:r>
      <w:r>
        <w:t xml:space="preserve"> LOTC, si es que cupiera hablar en esos términos; 2) porque el tema de fondo afectaba al acceso al proceso (art. 24.1 CE) en una vertiente, la del delito permanente y la prescripción, que no ha sido despejada hasta el momento por nuestra jurisprudencia y 3) porque el caso, además, planteaba un tema jurídicamente relevante y de innegable atención social, consistente, en suma, en aclarar la posibilidad de acceder al proceso penal a fin de perseguir ciertos delitos en los que es difícil obtener pruebas y en los que perviven en el tiempo los efectos sobre las personas afectadas.</w:t>
      </w:r>
    </w:p>
    <w:p w:rsidR="00BE7FB3" w:rsidRDefault="00BE7FB3" w:rsidP="00BE7FB3">
      <w:pPr>
        <w:pStyle w:val="TextoNormal"/>
      </w:pPr>
    </w:p>
    <w:p w:rsidR="00BE7FB3" w:rsidRDefault="00BE7FB3" w:rsidP="00BE7FB3">
      <w:pPr>
        <w:pStyle w:val="TextoNormal"/>
      </w:pPr>
      <w:r>
        <w:t>Con todo el respeto que me merece el parecer mayoritario de mis compañeros, una decisión de inadmisión como la adoptada debilita nuestra función de tutela.</w:t>
      </w:r>
    </w:p>
    <w:p w:rsidR="00BE7FB3" w:rsidRDefault="00BE7FB3" w:rsidP="00BE7FB3">
      <w:pPr>
        <w:pStyle w:val="TextoNormal"/>
      </w:pPr>
    </w:p>
    <w:p w:rsidR="00BE7FB3" w:rsidRDefault="00BE7FB3" w:rsidP="00BE7FB3">
      <w:pPr>
        <w:pStyle w:val="TextoNormal"/>
      </w:pPr>
      <w:r>
        <w:lastRenderedPageBreak/>
        <w:t>En ese sentido emito mi Voto particular.</w:t>
      </w:r>
    </w:p>
    <w:p w:rsidR="00BE7FB3" w:rsidRDefault="00BE7FB3" w:rsidP="00BE7FB3">
      <w:pPr>
        <w:pStyle w:val="TextoNormal"/>
      </w:pPr>
    </w:p>
    <w:p w:rsidR="00BE7FB3" w:rsidRDefault="00BE7FB3" w:rsidP="00BE7FB3">
      <w:pPr>
        <w:pStyle w:val="TextoNormal"/>
      </w:pPr>
      <w:r>
        <w:t>Madrid, a once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70" w:name="AUTO_2013_29"/>
      <w:r>
        <w:lastRenderedPageBreak/>
        <w:t>AUTO 29/2013, de 11 de febrero de 2013</w:t>
      </w:r>
    </w:p>
    <w:bookmarkEnd w:id="170"/>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ECLI:ES:TC:2013:29A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y don Fernando Valdés Dal-Ré.</w:t>
      </w:r>
    </w:p>
    <w:p w:rsidR="00BE7FB3" w:rsidRDefault="00BE7FB3" w:rsidP="00BE7FB3">
      <w:pPr>
        <w:pStyle w:val="SntesisDescriptiva"/>
      </w:pPr>
    </w:p>
    <w:p w:rsidR="00BE7FB3" w:rsidRDefault="00BE7FB3" w:rsidP="00BE7FB3">
      <w:pPr>
        <w:pStyle w:val="SntesisDescriptiva"/>
      </w:pPr>
      <w:r>
        <w:t>Acepta una abstención en el recurso de amparo 299-2013, promovido por don Francisco de Asís Serrano Castro en causa penal.</w:t>
      </w:r>
    </w:p>
    <w:p w:rsidR="00BE7FB3" w:rsidRDefault="00BE7FB3" w:rsidP="00BE7FB3">
      <w:pPr>
        <w:pStyle w:val="SntesisDescriptiva"/>
      </w:pPr>
    </w:p>
    <w:p w:rsidR="00BE7FB3" w:rsidRDefault="00BE7FB3" w:rsidP="00BE7FB3">
      <w:pPr>
        <w:pStyle w:val="SntesisAnaltica"/>
      </w:pPr>
      <w:r>
        <w:t>Abstención de Magistrados del Tribunal Constitucional: participación en el asunto objeto del proceso, acepta.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En fecha 17 de enero de 2013 ha tenido entrada en este Tribunal el recurso de amparo, registrado con el núm. 299-2013, interpuesto por don Francisco de Asís Serrano Castro, contra las Sentencias penales que le condenaron inicialmente por un delito de prevaricación imprudente en la Sentencia dictada por la Sala de lo Civil y Penal del Tribunal Superior de Justicia de Andalucía, con sede en Granada, de fecha 13 de octubre de 2011 y posteriormente por un delito de prevaricación dolosa en Sentencia de la Sala Segunda del Tribunal Supremo de fecha 29 de junio de 2012, con posterior incidente de nulidad de actuaciones de 30 de octubre de 2012. Dicho recurso ha sido turnado a la Sección Primera del Tribunal Constitucional del que he sido designado ponente.</w:t>
      </w:r>
    </w:p>
    <w:p w:rsidR="00BE7FB3" w:rsidRDefault="00BE7FB3" w:rsidP="00BE7FB3">
      <w:pPr>
        <w:pStyle w:val="TextoNormal"/>
      </w:pPr>
    </w:p>
    <w:p w:rsidR="00BE7FB3" w:rsidRDefault="00BE7FB3" w:rsidP="00BE7FB3">
      <w:pPr>
        <w:pStyle w:val="TextoNormal"/>
      </w:pPr>
      <w:r w:rsidRPr="00BE7FB3">
        <w:rPr>
          <w:rStyle w:val="NumeroAFNegritaCaracter"/>
        </w:rPr>
        <w:t>2</w:t>
      </w:r>
      <w:r>
        <w:t>. En fecha 31 de marzo de 2011, fue ponente como Magistrado de la Sala Tercera del Tribunal Supremo de una Sentencia que tenía por objeto el recurso contencioso-administrativo interpuesto contra el acuerdo adoptado el 6 de julio de 2010 por la comisión disciplinaria del Consejo General del Poder Judicial en la información previa núm. 396-2010 seguida contra el ahora demandante de amparo, en aquel entonces Magistrado-Juez titular del Juzgado de Primera Instancia núm. 7 de Sevilla.</w:t>
      </w:r>
    </w:p>
    <w:p w:rsidR="00BE7FB3" w:rsidRDefault="00BE7FB3" w:rsidP="00BE7FB3">
      <w:pPr>
        <w:pStyle w:val="TextoNormal"/>
      </w:pPr>
    </w:p>
    <w:p w:rsidR="00BE7FB3" w:rsidRDefault="00BE7FB3" w:rsidP="00BE7FB3">
      <w:pPr>
        <w:pStyle w:val="TextoNormal"/>
      </w:pPr>
      <w:r w:rsidRPr="00BE7FB3">
        <w:rPr>
          <w:rStyle w:val="NumeroAFNegritaCaracter"/>
        </w:rPr>
        <w:t>3</w:t>
      </w:r>
      <w:r>
        <w:t>. El conocimiento del mencionado recurso contencioso-administrativo tenía como objeto la impugnación del acuerdo del Consejo General del Poder Judicial por el que se archivaba la información previa seguida contra el demandante de amparo como consecuencia de haber dictado el Auto de 30 de marzo de 2010 por el que luego fue condenado por las resoluciones que ahora impugna.</w:t>
      </w:r>
    </w:p>
    <w:p w:rsidR="00BE7FB3" w:rsidRDefault="00BE7FB3" w:rsidP="00BE7FB3">
      <w:pPr>
        <w:pStyle w:val="TextoNormal"/>
      </w:pPr>
    </w:p>
    <w:p w:rsidR="00BE7FB3" w:rsidRDefault="00BE7FB3" w:rsidP="00BE7FB3">
      <w:pPr>
        <w:pStyle w:val="TextoNormalNegritaCentrado"/>
        <w:keepNext/>
      </w:pPr>
      <w:r>
        <w:lastRenderedPageBreak/>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artículos 80 de la Ley Orgánica del Tribunal Constitucional y 219.13 de la Ley Orgánica del Poder Judicial, que en su literalidad obliga a la abstención cuando con ocasión de haber ocupado un cargo público o desempeñado empleo o ejercido profesión se haya participado en un asunto relacionado con el objeto del pleito o causa, procede estimar la causa de abstención formulada.</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la causa de abstención formulada por don Juan José González Rivas en el recurso de amparo núm. 299-2013, apartándole definitivamente del conocimiento del asunto.</w:t>
      </w:r>
    </w:p>
    <w:p w:rsidR="00BE7FB3" w:rsidRDefault="00BE7FB3" w:rsidP="00BE7FB3">
      <w:pPr>
        <w:pStyle w:val="TextoNormal"/>
      </w:pPr>
    </w:p>
    <w:p w:rsidR="00BE7FB3" w:rsidRDefault="00BE7FB3" w:rsidP="00BE7FB3">
      <w:pPr>
        <w:pStyle w:val="TextoNormal"/>
      </w:pPr>
      <w:r>
        <w:t>Madrid, a once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71" w:name="AUTO_2013_30"/>
      <w:r>
        <w:lastRenderedPageBreak/>
        <w:t>AUTO 30/2013, de 12 de febrero de 2013</w:t>
      </w:r>
    </w:p>
    <w:bookmarkEnd w:id="171"/>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ECLI:ES:TC:2013:30A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1571-2002, planteada por la Sala de lo Contencioso-Administrativo de la Audiencia Nacional en relación con la disposición adicional vigésima tercera de la Ley 24/2001, de 27 de diciembre, de medidas fiscales, administrativas y del orden social.</w:t>
      </w:r>
    </w:p>
    <w:p w:rsidR="00BE7FB3" w:rsidRDefault="00BE7FB3" w:rsidP="00BE7FB3">
      <w:pPr>
        <w:pStyle w:val="SntesisDescriptiva"/>
      </w:pPr>
    </w:p>
    <w:p w:rsidR="00BE7FB3" w:rsidRDefault="00BE7FB3" w:rsidP="00BE7FB3">
      <w:pPr>
        <w:pStyle w:val="SntesisAnaltica"/>
      </w:pPr>
      <w:r>
        <w:t>Cuestión de inconstitucionalidad: extinción de cuestión de inconstitucionalidad; juicio de relevancia; pérdida sobrevenida de objeto por pérdida de relevancia. Partidos políticos: ilegalización de partidos políticos.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15 de marzo de 2002 tuvo entrada en el Registro General de este Tribunal escrito de la Sección Primera de la Sala de lo Contencioso Administrativo de la Audiencia Nacional al que se acompaña, junto al testimonio de las actuaciones del procedimiento ordinario núm. 19121-1989, el Auto de 22 de febrero de 2002 del referido órgano judicial, por el que se acuerda plantear cuestión de inconstitucionalidad respecto de la disposición adicional vigésimo tercera, “pago de subvenciones a partidos políticos”, de la Ley 24/2001, de 27 de diciembre, de medidas fiscales, administrativas y del orden social, por su posible contradicción con el art. 81.1 CE, “al modificar mediante ley ordinaria materias objeto de Ley Orgánica”, con el art. 9.3 CE “al establecerse la retroactividad de la norma con afección del principio de seguridad jurídica” y del art. 24.1 CE “en relación con los arts. 117.3, 118 y 33.3 de la misma norma”.</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La cuestión trae causa del procedimiento de ejecución de la Sentencia de la Sección Primera de la Sala de lo Contencioso Administrativo de la Audiencia Nacional que, mediante Sentencia de 25 de octubre de 1991, había estimado la pretensión de la agrupación de electores Herri Batasuna de que se le abonara la cantidad de 11.816.418 pesetas, más los intereses legales, en concepto de subvención por los gastos derivados de las elecciones generales celebradas en 1986 en la provincia de Guipúzcoa. Frente a la alegación del Abogado del Estado de que la no adquisición de la plena condición de diputado por la negativa a acatar la Constitución privaba a los recurrentes del derecho a obtener las subvenciones devengadas en el período electoral, la Sala que ahora eleva la cuestión consideró entonces que </w:t>
      </w:r>
      <w:r>
        <w:lastRenderedPageBreak/>
        <w:t>el requisito para la percepción de dichas subvenciones era la simple participación en el proceso electoral y la obtención de escaño, resultando jurídicamente indiferente la actitud ulterior de quienes resultaron elegidos diputados cuando no prestasen el oportuno juramento o promesa de acatamiento a la Constitución. Lo razonaba en que las subvenciones electorales se destinan a subvenir los gastos electorales en sentido estricto.</w:t>
      </w:r>
    </w:p>
    <w:p w:rsidR="00BE7FB3" w:rsidRDefault="00BE7FB3" w:rsidP="00BE7FB3">
      <w:pPr>
        <w:pStyle w:val="TextoNormal"/>
      </w:pPr>
    </w:p>
    <w:p w:rsidR="00BE7FB3" w:rsidRDefault="00BE7FB3" w:rsidP="00BE7FB3">
      <w:pPr>
        <w:pStyle w:val="TextoNormal"/>
      </w:pPr>
      <w:r>
        <w:t>Contra dicha Sentencia el Abogado del Estado se alzó apelación que fue desestimada por Sentencia, de 18 de febrero de 1997, de la Sección Sexta de la Sala Tercera del Tribunal Supremo que confirmó la Sentencia de la Audiencia Nacional en todos sus pronunciamientos.</w:t>
      </w:r>
    </w:p>
    <w:p w:rsidR="00BE7FB3" w:rsidRDefault="00BE7FB3" w:rsidP="00BE7FB3">
      <w:pPr>
        <w:pStyle w:val="TextoNormal"/>
      </w:pPr>
    </w:p>
    <w:p w:rsidR="00BE7FB3" w:rsidRDefault="00BE7FB3" w:rsidP="00BE7FB3">
      <w:pPr>
        <w:pStyle w:val="TextoNormal"/>
      </w:pPr>
      <w:r>
        <w:t>El representante legal de la agrupación de electores, mediante escrito presentado ante la Audiencia Nacional el 26 de febrero de 1999, instó la ejecución de la Sentencia de referencia en sus propios términos, a la que no se opuso el Abogado del Estado. En su virtud, la Sección Primera de la Sala de lo Contencioso-Administrativo de la Audiencia Nacional, mediante providencia de 12 de mayo de 1999, acordó requerir al Ministerio de Interior para proceder a la inmediata ejecución de la Sentencia.</w:t>
      </w:r>
    </w:p>
    <w:p w:rsidR="00BE7FB3" w:rsidRDefault="00BE7FB3" w:rsidP="00BE7FB3">
      <w:pPr>
        <w:pStyle w:val="TextoNormal"/>
      </w:pPr>
    </w:p>
    <w:p w:rsidR="00BE7FB3" w:rsidRDefault="00BE7FB3" w:rsidP="00BE7FB3">
      <w:pPr>
        <w:pStyle w:val="TextoNormal"/>
      </w:pPr>
      <w:r>
        <w:t>Mediante escrito de 4 de junio de 1999, el Subsecretario de Interior comunicó que se estaba, para la ejecución de la Sentencia, a lo que informase la Junta Electoral Central acerca de si las subvenciones debían ser abonadas a alguna entidad financiera y en qué orden de prelación.</w:t>
      </w:r>
    </w:p>
    <w:p w:rsidR="00BE7FB3" w:rsidRDefault="00BE7FB3" w:rsidP="00BE7FB3">
      <w:pPr>
        <w:pStyle w:val="TextoNormal"/>
      </w:pPr>
    </w:p>
    <w:p w:rsidR="00BE7FB3" w:rsidRDefault="00BE7FB3" w:rsidP="00BE7FB3">
      <w:pPr>
        <w:pStyle w:val="TextoNormal"/>
      </w:pPr>
      <w:r>
        <w:t>Evacuado el correspondiente trámite de alegaciones, la representación legal de la agrupación de electores presentó escrito en la Audiencia Nacional el 2 de julio de 1999, en el que, tras poner de manifiesto la actitud de la Administración, solicitó se requiriera a la Subsecretaría del Ministerio del Interior para que informara de qué trámites faltaban para la realización del pago efectivo y cumplimiento de total de la Sentencia. La solicitud fue atendida por la Sección Primera de la Sala de lo Contencioso-Administrativo de la Audiencia Nacional que, por providencia de 25 de noviembre de 1999, requirió al Ministerio del Interior para que informara sobre los trámites y actuaciones practicadas para el pago de las cantidades reconocidas por sentencia. A dicho requerimiento se contestó, mediante escrito del Subsecretario del Ministerio del Interior, de 27 de diciembre de 1999, manifestando que se había ampliado la solicitud de información cursada a la Junta Electoral Central inquiriendo si entre los dos créditos suscritos por sendas entidades financieras respecto de las elecciones generales de 1986 existía prelación alguna.</w:t>
      </w:r>
    </w:p>
    <w:p w:rsidR="00BE7FB3" w:rsidRDefault="00BE7FB3" w:rsidP="00BE7FB3">
      <w:pPr>
        <w:pStyle w:val="TextoNormal"/>
      </w:pPr>
    </w:p>
    <w:p w:rsidR="00BE7FB3" w:rsidRDefault="00BE7FB3" w:rsidP="00BE7FB3">
      <w:pPr>
        <w:pStyle w:val="TextoNormal"/>
      </w:pPr>
      <w:r>
        <w:t>El Abogado del Estado, por escrito de 4 de diciembre de 2000, puso en conocimiento de la Sala ejecutante las dificultades con las que se estaba encontrando la Administración para la ejecución de la referida Sentencia. En concreto se hizo referencia al carácter efímero de las agrupaciones de electores; señalando el hecho de que, en el momento en que se había requerido la ejecución, la agrupación de electores Herri Batasuna ya había desaparecido, con lo que esto implicaba el cese de le representación de sus representantes procesales, de modo que no se les podía abonar a ellos la subvención litigiosa ni tampoco lo hubieran permitido las normas sobre fiscalización emanadas del Tribunal de Cuentas. Concluía su escrito pidiendo de la Sala que dictara resolución acordando la forma de llevar a efecto el fallo.</w:t>
      </w:r>
    </w:p>
    <w:p w:rsidR="00BE7FB3" w:rsidRDefault="00BE7FB3" w:rsidP="00BE7FB3">
      <w:pPr>
        <w:pStyle w:val="TextoNormal"/>
      </w:pPr>
    </w:p>
    <w:p w:rsidR="00BE7FB3" w:rsidRDefault="00BE7FB3" w:rsidP="00BE7FB3">
      <w:pPr>
        <w:pStyle w:val="TextoNormal"/>
      </w:pPr>
      <w:r>
        <w:lastRenderedPageBreak/>
        <w:t>Mediante providencia de 15 de diciembre de 2000, la Sección Primera de la Sala de lo Contencioso-Administrativo dispuso que se diera traslado a la parte demandante del citado escrito y se suspendieran los requerimientos de información dirigidos a la Administración anteriormente, con fechas de 12 de mayo y de 25 de noviembre de 1999. La representación legal de la agrupación de electores presentó escrito de alegaciones con fecha de registro de 10 de enero de 2001, en el que se oponía a lo solicitado por el Abogado del Estado, y solicitaba, por un lado, que se revocara la providencia de 15 de noviembre de 2000 con el objeto de que se mantuvieran en vigor los citados requerimientos de información dirigidos a la Administración y, de otro lado, se requiriera a la misma la entrega del importe de la indemnización fijada en Sentencia.</w:t>
      </w:r>
    </w:p>
    <w:p w:rsidR="00BE7FB3" w:rsidRDefault="00BE7FB3" w:rsidP="00BE7FB3">
      <w:pPr>
        <w:pStyle w:val="TextoNormal"/>
      </w:pPr>
    </w:p>
    <w:p w:rsidR="00BE7FB3" w:rsidRDefault="00BE7FB3" w:rsidP="00BE7FB3">
      <w:pPr>
        <w:pStyle w:val="TextoNormal"/>
      </w:pPr>
      <w:r>
        <w:t>La Sección Primera de la Sala de lo Contencioso-Administrativo resolvió la solicitud del Abogado del Estado mediante Auto de 28 de febrero de 2001 que mantenía el requerimiento anterior y fijaba la manera de cumplir la sentencia mediante el abono de la indemnización fijada, más los intereses computados desde la fecha de la Sentencia de instancia a la entidad Guipuzkoa Donostia Kutxa.</w:t>
      </w:r>
    </w:p>
    <w:p w:rsidR="00BE7FB3" w:rsidRDefault="00BE7FB3" w:rsidP="00BE7FB3">
      <w:pPr>
        <w:pStyle w:val="TextoNormal"/>
      </w:pPr>
    </w:p>
    <w:p w:rsidR="00BE7FB3" w:rsidRDefault="00BE7FB3" w:rsidP="00BE7FB3">
      <w:pPr>
        <w:pStyle w:val="TextoNormal"/>
      </w:pPr>
      <w:r>
        <w:t>Tras diversos requerimientos judiciales, la Subsecretaria del Ministerio del Interior, mediante escrito ingresado el 27 de noviembre de 2001 ante la Audiencia Nacional, comunica que, antes de realizar el pago, se ha solicitado de la Junta Electoral Central certificación de las notificaciones realizadas por la agrupación de electores Herri Batasuna sobre los créditos afectados por la subvención, así como de la entidad bancaria, sus datos fiscales.</w:t>
      </w:r>
    </w:p>
    <w:p w:rsidR="00BE7FB3" w:rsidRDefault="00BE7FB3" w:rsidP="00BE7FB3">
      <w:pPr>
        <w:pStyle w:val="TextoNormal"/>
      </w:pPr>
    </w:p>
    <w:p w:rsidR="00BE7FB3" w:rsidRDefault="00BE7FB3" w:rsidP="00BE7FB3">
      <w:pPr>
        <w:pStyle w:val="TextoNormal"/>
      </w:pPr>
      <w:r>
        <w:t>El 20 de diciembre de 2001, la Sección Primera de la Sala de lo Contencioso Administrativo de la Audiencia Nacional dictó Auto por el que se impuso a la Excma. Sra. Subsecretaria del Interior multa de 50.000 pesetas, requiriéndola nuevamente a que procediera a dar cumplimiento a la Sentencia, advirtiéndole de que en su caso podría procederse a la imposición de una nueva multa. Contra el Auto se solicitó por parte de la sancionada audiencia en justicia, al amparo del art. 48.8 de la Ley reguladora de la jurisdicción contencioso-administrativa (LJCA), y asimismo se presentó, por parte del Abogado del Estado, recurso de súplica en el que, entre otras consideraciones, se ponía de manifiesto la aprobación de la Ley 24/2001, de 27 de diciembre, de medidas fiscales, administrativas y del orden social, cuya disposición adicional vigésima tercera podía afectar a la ejecución de la Sentencia de la que traía causa la sanción impuesta, por lo que solicitaba la suspensión de la ejecución del Auto recurrido. Mediante sendos Autos de 17 de enero de 2002 y de 24 de enero de 2001, la citada Sección Primera de la Sala de lo Contencioso-Administrativo de la Audiencia Nacional dispuso, de un lado, la ratificación de la sanción acordada y, de otro lado, con estimación del recurso de súplica planteado, dejar sin efecto la parte dispositiva de la resolución impugnada en lo relativo a los requerimientos dirigidos a las autoridades del Ministerio del Interior con el objeto de que se cumpliera la Sentencia de 25 de octubre de 1991.</w:t>
      </w:r>
    </w:p>
    <w:p w:rsidR="00BE7FB3" w:rsidRDefault="00BE7FB3" w:rsidP="00BE7FB3">
      <w:pPr>
        <w:pStyle w:val="TextoNormal"/>
      </w:pPr>
    </w:p>
    <w:p w:rsidR="00BE7FB3" w:rsidRDefault="00BE7FB3" w:rsidP="00BE7FB3">
      <w:pPr>
        <w:pStyle w:val="TextoNormal"/>
      </w:pPr>
      <w:r>
        <w:t xml:space="preserve">Paralelamente al recurso de súplica contra el Auto de 20 de diciembre de 2001, el 4 de enero de 2002 el Abogado del Estado presentó ante la Audiencia Nacional escrito en el que daba cuenta de la publicación en el “Boletín Oficial del Estado” de 31 de diciembre de 2001 de la Ley 24/2001, de 27 de diciembre, de medidas fiscales, administrativas y del orden social, cuya disposición adicional vigésima tercera, dedicada al “pago de subvenciones a partidos políticos”, hacía imposible la ejecución de la Sentencia, por lo que, conforme al </w:t>
      </w:r>
      <w:r>
        <w:lastRenderedPageBreak/>
        <w:t>art. 105.2 LJCA, solicitaba que se acordase la concurrencia de causa de imposibilidad legal de ejecución del fallo, sin indemnización.</w:t>
      </w:r>
    </w:p>
    <w:p w:rsidR="00BE7FB3" w:rsidRDefault="00BE7FB3" w:rsidP="00BE7FB3">
      <w:pPr>
        <w:pStyle w:val="TextoNormal"/>
      </w:pPr>
    </w:p>
    <w:p w:rsidR="00BE7FB3" w:rsidRDefault="00BE7FB3" w:rsidP="00BE7FB3">
      <w:pPr>
        <w:pStyle w:val="TextoNormal"/>
      </w:pPr>
      <w:r>
        <w:t>La Sección Primera de la Sala de lo Contencioso Administrativo de la Audiencia Nacional consideró que el citado precepto pudiera contravenir varios preceptos de la Constitución, por lo que, en aplicación del art. 35 de la Ley Orgánica del Tribunal Constitucional (LOTC), abrió, mediante providencia de 24 de enero de 2002, un plazo de diez días para que las partes y el Ministerio Fiscal pudieran alegar al respecto lo que a su derecho conviniera.</w:t>
      </w:r>
    </w:p>
    <w:p w:rsidR="00BE7FB3" w:rsidRDefault="00BE7FB3" w:rsidP="00BE7FB3">
      <w:pPr>
        <w:pStyle w:val="TextoNormal"/>
      </w:pPr>
    </w:p>
    <w:p w:rsidR="00BE7FB3" w:rsidRDefault="00BE7FB3" w:rsidP="00BE7FB3">
      <w:pPr>
        <w:pStyle w:val="TextoNormal"/>
      </w:pPr>
      <w:r>
        <w:t>La representación de la sucesión procesal de la agrupación de electores formuló sus alegaciones realizando las siguientes consideraciones: en primer lugar, que la norma cuya validez debe discutirse no es la disposición adicional reseñada, en su globalidad, sino tan sólo en su apartado primero. En cualquier caso considera que de todas formas la norma no es aplicable al caso. Lo funda en que el precepto cuestionado no establece sus efectos retroactivos ni éstos pueden deducirse de la disposición transitoria sexta de la Ley de enjuiciamiento civil, por no tratarse de un supuesto de ejecución forzosa. La norma sólo puede referirse a resoluciones judiciales que se dicten con posterioridad a su entrada en vigor. En todo caso cree que sería constitucionalmente ilegítima una interpretación de la norma que conllevara su incidencia en efectos jurídicos ya producidos. En segundo lugar, alega que no cabe centrar el debate procesal en si la subvención se devengó o no pese a no haber tomado posesión los electos, pues eso supondría retomar el debate central del procedimiento previo, en contra del principio de cosa juzgada. En tercer lugar, y con carácter subsidiario, considera que la norma, aun no siendo aplicable, vulnera el art. 81 CE al regular mediante ley ordinaria materias objeto de ley orgánica, esencialmente el derecho de participación política, y el art. 24.1 CE, en cuanto la ejecución de las Sentencias forma parte del derecho fundamental a la tutela judicial efectiva. También argumenta que se lesiona el art. 33 CE dado el carácter expropiatorio de la norma, que no incluye la correspondiente indemnización.</w:t>
      </w:r>
    </w:p>
    <w:p w:rsidR="00BE7FB3" w:rsidRDefault="00BE7FB3" w:rsidP="00BE7FB3">
      <w:pPr>
        <w:pStyle w:val="TextoNormal"/>
      </w:pPr>
    </w:p>
    <w:p w:rsidR="00BE7FB3" w:rsidRDefault="00BE7FB3" w:rsidP="00BE7FB3">
      <w:pPr>
        <w:pStyle w:val="TextoNormal"/>
      </w:pPr>
      <w:r>
        <w:t>Por su parte, el Abogado del Estado rechaza la inconstitucionalidad de la norma, señalando que ningún precepto constitucional establece que la materia deba ser regulada por ley orgánica. Entiende que no hay expropiación pues se trata de una subvención pública que puede restringirse libremente. Niega también que tenga carácter retroactivo constitucionalmente vedado. El Fiscal, en sus alegaciones, sin prejuzgar sobre el fondo de la cuestión, consideró oportuno el planteamiento de la cuestión por la Sala al tratarse de una norma aplicable en el caso.</w:t>
      </w:r>
    </w:p>
    <w:p w:rsidR="00BE7FB3" w:rsidRDefault="00BE7FB3" w:rsidP="00BE7FB3">
      <w:pPr>
        <w:pStyle w:val="TextoNormal"/>
      </w:pPr>
    </w:p>
    <w:p w:rsidR="00BE7FB3" w:rsidRDefault="00BE7FB3" w:rsidP="00BE7FB3">
      <w:pPr>
        <w:pStyle w:val="TextoNormal"/>
      </w:pPr>
      <w:r>
        <w:t>Asimismo, mediante providencia de 24 de enero de 2002 la Sección Primera de la Sala de lo Contencioso Administrativo de la Audiencia Nacional, a la vista de lo establecido en la disposición adicional vigésima tercera de la Ley 24/2001, y atendiendo a la incidencia que dicha norma pueda tener respecto a la ejecución de la Sentencia, acordó dejar en suspenso la efectividad de la multa coercitiva impuesta.</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La Sección Primera de la Sala de lo Contencioso Administrativo de la Audiencia Nacional, mediante Auto de 22 de febrero de 2002, acordó “plantear cuestión de inconstitucionalidad respecto de la ‘Disposición adicional vigésimo tercera, pago de subvenciones a partidos políticos’ de la ley 24/2001, de 27 de diciembre, de medidas Fiscales, Administrativas y del Orden Social, al dudarse de la constitucionalidad de la norma por las siguientes razones: A) Vulneración del art. 81.1 CE, al regular y modificar mediante ley ordinaria materias </w:t>
      </w:r>
      <w:r>
        <w:lastRenderedPageBreak/>
        <w:t>objeto de Ley Orgánica, B) Vulneración del art. 9.3 de la CE al establecerse la retroactividad de la norma con afección del principio de seguridad jurídica, C) Vulneración del art. 24.1 de la CE en relación con el art. 117.3, 118 y 33.3 de la misma norma.”</w:t>
      </w:r>
    </w:p>
    <w:p w:rsidR="00BE7FB3" w:rsidRDefault="00BE7FB3" w:rsidP="00BE7FB3">
      <w:pPr>
        <w:pStyle w:val="TextoNormal"/>
      </w:pPr>
    </w:p>
    <w:p w:rsidR="00BE7FB3" w:rsidRDefault="00BE7FB3" w:rsidP="00BE7FB3">
      <w:pPr>
        <w:pStyle w:val="TextoNormal"/>
      </w:pPr>
      <w:r>
        <w:t>En los razonamientos jurídicos de la resolución se indicaba que la cuestión se limita al apartado primero de la disposición reseñada. La finalidad del precepto es la de no pagar en ningún caso subvenciones devengadas o que se devenguen a las formaciones que no justifiquen la adquisición por los electos pertenecientes a las mismas de la condición plena, en nuestro caso, de diputado o senador. Y ello aunque el devengo derive de su reconocimiento por sentencia judicial firme. Del texto del precepto se infiere que el legislador quiere excluir el pago de la subvención intemporalmente, aunque esté reconocido por sentencia firme anterior al dictado de la norma.</w:t>
      </w:r>
    </w:p>
    <w:p w:rsidR="00BE7FB3" w:rsidRDefault="00BE7FB3" w:rsidP="00BE7FB3">
      <w:pPr>
        <w:pStyle w:val="TextoNormal"/>
      </w:pPr>
    </w:p>
    <w:p w:rsidR="00BE7FB3" w:rsidRDefault="00BE7FB3" w:rsidP="00BE7FB3">
      <w:pPr>
        <w:pStyle w:val="TextoNormal"/>
      </w:pPr>
      <w:r>
        <w:t>En cuanto a la reserva de ley orgánica, la Sala entiende que la regulación del régimen de subvenciones de la financiación electoral constituye un elemento esencial del sistema, en cuanto contribuye a garantizar la transparencia e igualdad de concurrencia en el proceso electoral y que, por ello, debería ser regulado por ley orgánica. Se trata, la norma cuestionada, de una regulación que altera sustancialmente el sistema de subvenciones electorales. Junto a ello considera que, en cuanto se opone a lo establecido en el art. 18.2 de la Ley Orgánica del Poder Judicial (LOPJ), también queda sometido a la indicada reserva. En efecto, la Sala entiende que dicho artículo regula la ejecución de Sentencias, que forma parte del derecho a la tutela judicial efectiva. Frente a ello, el precepto cuestionado no se limita a establecer una nueva causa legal de imposibilidad de ejecución, sino que además lo hace “sin indemnización alguna”, alterando la esencia del desarrollo legislativo del derecho fundamental, por lo que debió tener carácter de ley orgánica.</w:t>
      </w:r>
    </w:p>
    <w:p w:rsidR="00BE7FB3" w:rsidRDefault="00BE7FB3" w:rsidP="00BE7FB3">
      <w:pPr>
        <w:pStyle w:val="TextoNormal"/>
      </w:pPr>
    </w:p>
    <w:p w:rsidR="00BE7FB3" w:rsidRDefault="00BE7FB3" w:rsidP="00BE7FB3">
      <w:pPr>
        <w:pStyle w:val="TextoNormal"/>
      </w:pPr>
      <w:r>
        <w:t>Por otro lado el Auto considera que el precepto podría violar el art. 9.3 CE pues si bien es cierto que el legislador goza de un amplio margen de libertad a la hora de determinar el alcance retroactivo de las leyes, también lo es que la Constitución establece ciertos límites a dicha retroactividad. En concreto, al dejar sin contenido un derecho ya consumado conforme a la normativa anterior, el nuevo precepto viene a lesionar la seguridad jurídica. Citando la doctrina de la STC 65/1987, la Sala recuerda que la Constitución prohíbe la retroactividad entendida como incidencia de la nueva Ley en los efectos ya producidos de situaciones anteriores. Esta retroactividad plena lesiona el principio de seguridad jurídica conforme a las SSTC 173/1996 y 234/2001. En el caso, además, a la vista de que el objetivo de la norma se orienta al futuro, para potenciar la participación política de quienes resulten efectivamente elegidos, el órgano que plantea la cuestión de inconstitucionalidad considera que la limitación no era necesaria para la protección de intereses públicos de preferente atención ni proporcionada.</w:t>
      </w:r>
    </w:p>
    <w:p w:rsidR="00BE7FB3" w:rsidRDefault="00BE7FB3" w:rsidP="00BE7FB3">
      <w:pPr>
        <w:pStyle w:val="TextoNormal"/>
      </w:pPr>
    </w:p>
    <w:p w:rsidR="00BE7FB3" w:rsidRDefault="00BE7FB3" w:rsidP="00BE7FB3">
      <w:pPr>
        <w:pStyle w:val="TextoNormal"/>
      </w:pPr>
      <w:r>
        <w:t xml:space="preserve">Por último el Auto aborda la vulneración del art. 24.1 CE. En virtud de este precepto constitucional, puesto en relación con los arts. 118 y 117.3 CE, la obligatoriedad del cumplimiento de las resoluciones judiciales vincula a los poderes públicos de tal manera que, en aplicación del principio de exclusividad del Poder Judicial en el ejercicio de la función jurisdiccional impide que el legislador pueda interferir en la resolución de litigios fenecidos. Con cita de la STC 73/2000, la Sala argumenta que el sacrificio de situaciones subjetivas amparadas por la cosa juzgada exige un interés legal que exija proporcionadamente tal sacrificio, lo que no se da en este caso, y exige también la garantía expropiatoria contenida en </w:t>
      </w:r>
      <w:r>
        <w:lastRenderedPageBreak/>
        <w:t>el art. 33.3 CE, prevista para la ablación tanto de la propiedad como de bienes y derechos individuales.</w:t>
      </w:r>
    </w:p>
    <w:p w:rsidR="00BE7FB3" w:rsidRDefault="00BE7FB3" w:rsidP="00BE7FB3">
      <w:pPr>
        <w:pStyle w:val="TextoNormal"/>
      </w:pPr>
    </w:p>
    <w:p w:rsidR="00BE7FB3" w:rsidRDefault="00BE7FB3" w:rsidP="00BE7FB3">
      <w:pPr>
        <w:pStyle w:val="TextoNormal"/>
      </w:pPr>
      <w:r w:rsidRPr="00BE7FB3">
        <w:rPr>
          <w:rStyle w:val="NumeroAFNegritaCaracter"/>
        </w:rPr>
        <w:t>4</w:t>
      </w:r>
      <w:r>
        <w:t>. La Sección Tercera del Tribunal Constitucional, por providencia del día 7 de mayo de 2002, acordó admitir a trámite la presente cuestión de inconstitucionalidad y dar traslado de las actuaciones recibidas, conforme al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Se ordenó también la publicación de la incoación de la cuestión en el “Boletín Oficial del Estado”, lo que tuvo lugar en el “BOE” núm. 121 de 21 de mayo de 2002.</w:t>
      </w:r>
    </w:p>
    <w:p w:rsidR="00BE7FB3" w:rsidRDefault="00BE7FB3" w:rsidP="00BE7FB3">
      <w:pPr>
        <w:pStyle w:val="TextoNormal"/>
      </w:pPr>
    </w:p>
    <w:p w:rsidR="00BE7FB3" w:rsidRDefault="00BE7FB3" w:rsidP="00BE7FB3">
      <w:pPr>
        <w:pStyle w:val="TextoNormal"/>
      </w:pPr>
      <w:r w:rsidRPr="00BE7FB3">
        <w:rPr>
          <w:rStyle w:val="NumeroAFNegritaCaracter"/>
        </w:rPr>
        <w:t>5</w:t>
      </w:r>
      <w:r>
        <w:t>. La Mesa del Congreso de los Diputados, mediante escrito de su Presidenta, ingresado el día 23 de mayo de 2002 en el Registro General de este Tribunal, dio traslado del acuerdo adoptado el 21 de mayo de 2002 en orden a comunicar al Tribunal Constitucional que, aun cuando no se personaría en el presente procedimiento ni formularía alegaciones, ponía a disposición cuantas actuaciones se puedan precisar.</w:t>
      </w:r>
    </w:p>
    <w:p w:rsidR="00BE7FB3" w:rsidRDefault="00BE7FB3" w:rsidP="00BE7FB3">
      <w:pPr>
        <w:pStyle w:val="TextoNormal"/>
      </w:pPr>
    </w:p>
    <w:p w:rsidR="00BE7FB3" w:rsidRDefault="00BE7FB3" w:rsidP="00BE7FB3">
      <w:pPr>
        <w:pStyle w:val="TextoNormal"/>
      </w:pPr>
      <w:r w:rsidRPr="00BE7FB3">
        <w:rPr>
          <w:rStyle w:val="NumeroAFNegritaCaracter"/>
        </w:rPr>
        <w:t>6</w:t>
      </w:r>
      <w:r>
        <w:t>. Mediante escrito ingresado en el Registro General de este Tribunal el día 23 de mayo de 2002, se dio oportuna cuenta del acuerdo adoptado por la Mesa del Senado disponiendo dar por personada a la Cámara en el presente procedimiento y por ofrecida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en la representación que legalmente ostenta, presentó el día 31 de mayo de 2002 ante el Registro General de este Tribunal escrito de alegaciones oponiéndose a la presente cuestión de inconstitucionalidad. En el mismo comienza señalando que, delimitada la cuestión en el sentido de que se refiere al apartado primero del precepto cuestionado, no existe objeción formal alguna a su admisibilidad desde el punto de vista del requisito de la relevancia.</w:t>
      </w:r>
    </w:p>
    <w:p w:rsidR="00BE7FB3" w:rsidRDefault="00BE7FB3" w:rsidP="00BE7FB3">
      <w:pPr>
        <w:pStyle w:val="TextoNormal"/>
      </w:pPr>
    </w:p>
    <w:p w:rsidR="00BE7FB3" w:rsidRDefault="00BE7FB3" w:rsidP="00BE7FB3">
      <w:pPr>
        <w:pStyle w:val="TextoNormal"/>
      </w:pPr>
      <w:r>
        <w:t>Entrando, por tanto, en el fondo, comienza por exponer que, a su parecer, de la jurisprudencia constitucional no se deriva que la exigencia de ley orgánica se amplíe a cualquier norma jurídica relacionada con las elecciones sino tan sólo a aquellos extremos que son imprescindibles al propio proceso electoral y sin el cual éste no podría ser reconocido como legítimo. Considera que las subvenciones dadas a los partidos políticos son instrumentos complementarios pero bien diferenciados del mecanismo electoral propiamente dicho, sin que su previsión ni su cuantía afecten de manera primaria y nuclear a la libertad de sufragio ni a la fidelidad de sus resultados. Si todo lo que contribuye a garantizar la igualdad en la concurrencia electoral quedara reservado a la ley orgánica, no habría materia electoral alguna que no se incluyera en tal reserva. Considera también el Abogado del Estado que del planteamiento de la Sentencia del Tribunal Supremo en el asunto de autos se desprende que la subvención constituye un crédito común para determinados gastos, desconectado de toda finalidad electoral. En cuanto a las argumentaciones del Auto relativas a la conexión entre el precepto cuestionado y el art. 18 LOPJ, el escrito señala que se remiten en realidad al derecho a la propiedad (art. 33.3 CE) y no al de la tutela judicial efectiva (art. 24.2 CE).</w:t>
      </w:r>
    </w:p>
    <w:p w:rsidR="00BE7FB3" w:rsidRDefault="00BE7FB3" w:rsidP="00BE7FB3">
      <w:pPr>
        <w:pStyle w:val="TextoNormal"/>
      </w:pPr>
    </w:p>
    <w:p w:rsidR="00BE7FB3" w:rsidRDefault="00BE7FB3" w:rsidP="00BE7FB3">
      <w:pPr>
        <w:pStyle w:val="TextoNormal"/>
      </w:pPr>
      <w:r>
        <w:lastRenderedPageBreak/>
        <w:t>Por lo que hace a la posible vulneración del art. 9.3 CE, el Abogado del Estado sostiene que el reproche de inconstitucionalidad se basa en la seguridad jurídica, de modo que se trata de indagar sobre el daño causado a los beneficiarios de la subvención en cuanto pudieron creer en la misma y decidirse, por ello, a participar en la elección. Al respecto señala que las precisiones subvencionales de los textos legales no pueden aislarse de la finalidad última perseguida por la ordenación del derecho de sufragio, que atiende a una función esencial para la organización del Estado. A la luz de las previsiones del decreto ley de 1977 y de la ley de 1988 aplicables a las elecciones, al Abogado del Estado no le cabe duda de que nadie podría representarse la idea de que la subvención constituía un objetivo puramente compensador de unos gastos derivados de la participación en una elección, dejando de considerar que todo proceso electoral persigue un fin de ordenación e integración de las instituciones. A su juicio, el hecho de que la Audiencia Nacional y el Tribunal Supremo interpretaran después la Ley en el sentido de que no era exigible tal integración no afecta en nada, pues lo importante es la previsibilidad que se desprendía del texto legal.</w:t>
      </w:r>
    </w:p>
    <w:p w:rsidR="00BE7FB3" w:rsidRDefault="00BE7FB3" w:rsidP="00BE7FB3">
      <w:pPr>
        <w:pStyle w:val="TextoNormal"/>
      </w:pPr>
    </w:p>
    <w:p w:rsidR="00BE7FB3" w:rsidRDefault="00BE7FB3" w:rsidP="00BE7FB3">
      <w:pPr>
        <w:pStyle w:val="TextoNormal"/>
      </w:pPr>
      <w:r>
        <w:t>Por último el escrito de alegaciones aborda el tercer reproche de inconstitucionalidad de la Sala y al respecto señala que el hecho de que un derecho haya sido declarado en Sentencia firme no le confiere ningún privilegio de inmunidad comparativamente a otros derechos de idéntico contenido que hayan merecido un reconocimiento espontáneo y no hayan tenido que ser ejercitados judicialmente. La santidad de la cosa juzgada excluye la modificación de lo sentenciado por la acción revisora de los Tribunales pero no garantiza la permanencia del contenido del derecho frente a las innovaciones legislativas. Respecto a la supuesta desproporción entre el sacrificio impuesto al derecho del particular y el interés general, entiende que el Auto de planteamiento la hace descansar no en la relación entre el fin de la subvención y el efecto de su supresión sino en el decaimiento del fin de la subvención por el transcurso de los plazos que confirman la imposibilidad de cumplir con su fin. Por otro lado, no cabría entender propiamente que ha habido una actuación expropiatoria, pues la privación de la subvención se funda en la frustración de la utilidad pública por cuya causa fue concedida.</w:t>
      </w:r>
    </w:p>
    <w:p w:rsidR="00BE7FB3" w:rsidRDefault="00BE7FB3" w:rsidP="00BE7FB3">
      <w:pPr>
        <w:pStyle w:val="TextoNormal"/>
      </w:pPr>
    </w:p>
    <w:p w:rsidR="00BE7FB3" w:rsidRDefault="00BE7FB3" w:rsidP="00BE7FB3">
      <w:pPr>
        <w:pStyle w:val="TextoNormal"/>
      </w:pPr>
      <w:r>
        <w:t>Por todo ello, el Abogado del Estado interesa la desestimación de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8</w:t>
      </w:r>
      <w:r>
        <w:t>. El Fiscal General del Estado formuló alegaciones mediante escrito ingresado en el Registro General de este Tribunal el día 11 de junio de 2002. En las mismas comienza precisando el objeto de la presente cuestión de inconstitucionalidad, que entiende limitado, tomando en cuenta el supuesto de hecho que dio lugar a la misma, exclusivamente al primer apartado de la disposición adicional vigésima tercera de la Ley 24/2001 en lo que se refiere a las subvenciones concedidas por sentencia firme; se trata, además, tan sólo de aquéllas subvenciones devengadas conforme a los arts. 127 y 175.1 de la Ley Orgánica 5/1985, para las candidaturas que hubieran adoptado la forma de agrupación de electores.</w:t>
      </w:r>
    </w:p>
    <w:p w:rsidR="00BE7FB3" w:rsidRDefault="00BE7FB3" w:rsidP="00BE7FB3">
      <w:pPr>
        <w:pStyle w:val="TextoNormal"/>
      </w:pPr>
    </w:p>
    <w:p w:rsidR="00BE7FB3" w:rsidRDefault="00BE7FB3" w:rsidP="00BE7FB3">
      <w:pPr>
        <w:pStyle w:val="TextoNormal"/>
      </w:pPr>
      <w:r>
        <w:t xml:space="preserve">Por lo que hace a la admisibilidad de la cuestión de inconstitucionalidad, el Fiscal General del Estado pone de manifiesto la existencia de un Voto particular que acompaña al Auto de planteamiento de la cuestión y que señala que el precepto cuestionado no establece de manera inequívoca la eficacia retroactiva de la norma cuestionada. Al respecto, el Fiscal General del Estado indica, no obstante, que no comparte tal interpretación a la vista de la indudable vocación atemporal de la ley. Junto a ello destaca que es clara la relevancia del asunto a los efectos del art. 35 LOTC, habida cuenta de que ha quedado demostrado que </w:t>
      </w:r>
      <w:r>
        <w:lastRenderedPageBreak/>
        <w:t>parlamentarios electos en las elecciones generales del 22 de junio de 1986 no adquirieron su condición plena.</w:t>
      </w:r>
    </w:p>
    <w:p w:rsidR="00BE7FB3" w:rsidRDefault="00BE7FB3" w:rsidP="00BE7FB3">
      <w:pPr>
        <w:pStyle w:val="TextoNormal"/>
      </w:pPr>
    </w:p>
    <w:p w:rsidR="00BE7FB3" w:rsidRDefault="00BE7FB3" w:rsidP="00BE7FB3">
      <w:pPr>
        <w:pStyle w:val="TextoNormal"/>
      </w:pPr>
      <w:r>
        <w:t>Entrando ya en el fondo de la cuestión, considera que el precepto cuestionado no ha vulnerado la reserva de ley orgánica, ante todo porque al haberse aplicado para conceder una norma preconstitucional, no cabe exigir retroactivamente la reserva de ley orgánica para anular sus disposiciones. En segundo término, porque entiende que el devengo y reconocimiento de subvenciones no se puede reputar como elemento esencial del régimen electoral general y, en todo caso porque incluso de reputarse así, la norma no se refiere a aspectos esenciales del sistema de subvenciones, sino a aspectos complementarios del mismo.</w:t>
      </w:r>
    </w:p>
    <w:p w:rsidR="00BE7FB3" w:rsidRDefault="00BE7FB3" w:rsidP="00BE7FB3">
      <w:pPr>
        <w:pStyle w:val="TextoNormal"/>
      </w:pPr>
    </w:p>
    <w:p w:rsidR="00BE7FB3" w:rsidRDefault="00BE7FB3" w:rsidP="00BE7FB3">
      <w:pPr>
        <w:pStyle w:val="TextoNormal"/>
      </w:pPr>
      <w:r>
        <w:t>Respecto a la tacha de inconstitucionalidad por contradicción con el principio de seguridad jurídica del art. 9.3 CE, señala el escrito que éste implica la certeza sobre el ordenamiento jurídico aplicable y los intereses jurídicamente tutelados, si bien permite cierta discrecionalidad al legislador para regular las relaciones de convivencia humana respondiendo a la realidad de cada momento. En este punto el escrito de alegaciones considera necesario examinar si la norma ha restringido retroactivamente algún derecho individual, llegando a una conclusión negativa.</w:t>
      </w:r>
    </w:p>
    <w:p w:rsidR="00BE7FB3" w:rsidRDefault="00BE7FB3" w:rsidP="00BE7FB3">
      <w:pPr>
        <w:pStyle w:val="TextoNormal"/>
      </w:pPr>
    </w:p>
    <w:p w:rsidR="00BE7FB3" w:rsidRDefault="00BE7FB3" w:rsidP="00BE7FB3">
      <w:pPr>
        <w:pStyle w:val="TextoNormal"/>
      </w:pPr>
      <w:r>
        <w:t>Entrando en la tercera duda de inconstitucionalidad, relativa a la lesión del art. 24.1 CE, el Fiscal General entiende que en ella se vienen a reunir diversas quejas formuladas como diferentes, tanto por lesión del art. 9.3 CE como del art. 18.2 LOPJ. Respecto a todo ello considera que la norma carece de efectos retroactivos pues se limita a introducir un requisito que estaba ya implícito en la legislación anterior, si bien no fue reconocido así por los Tribunales. En este sentido, entiende que de la normativa aplicable se desprende implícitamente que sólo se devenga el derecho a subvención cuando se perfecciona y ejercita efectivamente la representación parlamentaria obtenida. El escrito de alegaciones incluye en este punto una amplia serie de razonamientos en torno a la soberanía popular tal y como se plasma en la Constitución, de los que concluye que el sistema democrático representativo sólo puede amparar el acto de presentarse a las elecciones cuando ulteriormente se ejercen las funciones representativas. Por todo ello estima que el precepto cuestionado no se ha introducido ex novo, sino que se limita a dar forma a un deber positivo preexistente en el ordenamiento jurídico.</w:t>
      </w:r>
    </w:p>
    <w:p w:rsidR="00BE7FB3" w:rsidRDefault="00BE7FB3" w:rsidP="00BE7FB3">
      <w:pPr>
        <w:pStyle w:val="TextoNormal"/>
      </w:pPr>
    </w:p>
    <w:p w:rsidR="00BE7FB3" w:rsidRDefault="00BE7FB3" w:rsidP="00BE7FB3">
      <w:pPr>
        <w:pStyle w:val="TextoNormal"/>
      </w:pPr>
      <w:r>
        <w:t xml:space="preserve">Alternativamente considera que la no concesión de una subvención, o su revocación por incumplimiento de las condiciones legales, en ningún caso puede considerarse como una consecuencia sancionadora. Las subvenciones son una manifestación de la actividad de fomento del Estado que depende del cumplimiento de unos requisitos legales, de modo que no puede afirmarse en el supuesto ahora en cuestión la existencia de unos derechos consolidados. En todo caso señala que en la Constitución ningún derecho se configura como ilimitado, sino que pueden ceder ante otros intereses constitucionales o legalmente protegidos, con el límite siempre de la debida proporcionalidad. Para el examen de la misma hay que tener en cuenta, según el Fiscal General del Estado, el valor del pluralismo político y el mandato representativo democrático garantizado por el art. 23.1 CE. En tal sentido, la decisión de los representantes electos de la agrupación de electores en cuestión de no tomar posesión de sus escaños entraña notables perjuicios para el Estado pues impide presentarse a otras candidaturas y no justifica en absoluto la concesión de una subvención, de modo que los intereses generales deberán primar en su caso sobre la seguridad jurídica. A la vista de </w:t>
      </w:r>
      <w:r>
        <w:lastRenderedPageBreak/>
        <w:t>todo ello, el Fiscal General del Estado concluye postulado la desestimación de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9</w:t>
      </w:r>
      <w:r>
        <w:t>. Por diligencia de 11 de junio de 2002 se hizo constar la personación en el proceso del Abogado del Estado y del Fiscal General del Estado, dejando constancia de la presentación de las correspondientes alegaciones, y de que el proceso quedaba pendiente de deliberación y votación sin perjuicio del art. 84 LOTC.</w:t>
      </w:r>
    </w:p>
    <w:p w:rsidR="00BE7FB3" w:rsidRDefault="00BE7FB3" w:rsidP="00BE7FB3">
      <w:pPr>
        <w:pStyle w:val="TextoNormal"/>
      </w:pPr>
    </w:p>
    <w:p w:rsidR="00BE7FB3" w:rsidRDefault="00BE7FB3" w:rsidP="00BE7FB3">
      <w:pPr>
        <w:pStyle w:val="TextoNormal"/>
      </w:pPr>
      <w:r w:rsidRPr="00BE7FB3">
        <w:rPr>
          <w:rStyle w:val="NumeroAFNegritaCaracter"/>
        </w:rPr>
        <w:t>10</w:t>
      </w:r>
      <w:r>
        <w:t>. El Abogado del Estado presentó escrito en el Registro General de este Tribunal, con fecha de 20 de julio de 2012, en el que al amparo del art. 286 de la Ley de enjuiciamiento civil (LEC) ponía de manifiesto determinadas circunstancias acontecidas tras el plazo de alegaciones y que podrían tener relevancia para la resolución del pleito. En particular, se indica que el 31 de marzo de 2003, en cumplimiento de lo resuelto por el Sala Especial del art. 61 LOPJ del Tribunal Supremo en su sentencia de 27 de marzo del mismo año, se procedió a la cancelación del registro del partido político Herri Batasuna en el correspondiente libro de inscripciones y cancelaciones del registro de partidos políticos. Igualmente, en su escrito, el Abogado da cuenta del proceso de liquidación patrimonial del citado partido político culminado a través del Auto de la Sala Especial del art. 61 LOPJ del Tribunal Supremo, de 20 de noviembre de 2008.</w:t>
      </w:r>
    </w:p>
    <w:p w:rsidR="00BE7FB3" w:rsidRDefault="00BE7FB3" w:rsidP="00BE7FB3">
      <w:pPr>
        <w:pStyle w:val="TextoNormal"/>
      </w:pPr>
    </w:p>
    <w:p w:rsidR="00BE7FB3" w:rsidRDefault="00BE7FB3" w:rsidP="00BE7FB3">
      <w:pPr>
        <w:pStyle w:val="TextoNormal"/>
      </w:pPr>
      <w:r>
        <w:t>En relación con lo expuesto, se alude a la doctrina que emana del ATC 520/2005, de 20 de diciembre, reiterada en la STC 138/2012, de 20 de junio, en cuya fundamentación jurídica se señala que la extinción de la personalidad jurídico-civil del partido político, o lo que es lo mismo, que el partido político Herri Batasuna ha dejado de ser “sujeto en Derecho y sujeto de derechos”. Como consecuencia, la entidad disuelta carece de capacidad jurídica para actuar en defensa de sus intereses y se ha producido la extinción de su “círculo jurídico, esto es, del haz de derechos y facultades que configuraban la propia existencia jurídica de la entidad disuelta”.</w:t>
      </w:r>
    </w:p>
    <w:p w:rsidR="00BE7FB3" w:rsidRDefault="00BE7FB3" w:rsidP="00BE7FB3">
      <w:pPr>
        <w:pStyle w:val="TextoNormal"/>
      </w:pPr>
    </w:p>
    <w:p w:rsidR="00BE7FB3" w:rsidRDefault="00BE7FB3" w:rsidP="00BE7FB3">
      <w:pPr>
        <w:pStyle w:val="TextoNormal"/>
      </w:pPr>
      <w:r>
        <w:t xml:space="preserve">A continuación se trae a colación la jurisprudencia de este Tribunal acerca de la desaparición sobrevenida del objeto en los procesos constitucionales recordando, en lo que a las cuestiones de inconstitucionalidad atañe, la vinculación del precepto impugnado con el proceso del que trae causa y, por ende, la necesaria existencia de dicho proceso. Es por ello que, según la doctrina de este Tribunal, la desaparición del proceso </w:t>
      </w:r>
      <w:r w:rsidRPr="00BE7FB3">
        <w:rPr>
          <w:i/>
        </w:rPr>
        <w:t>a quo</w:t>
      </w:r>
      <w:r>
        <w:t xml:space="preserve"> ha de conducir a la extinción del propio proceso constitucional. No es óbice para el alegante que la parte actora reclamante en el proceso de ejecución sea la agrupación de electores Herri Batasuna y no el estrictamente el partido político Herri Batasuna, pues por parte de la representación procesal de la agrupación de electores en otros procesos con objeto similar se ha reconocido la identidad de la misma y del partido político, que no pudo constituirse como tal hasta 1986.</w:t>
      </w:r>
    </w:p>
    <w:p w:rsidR="00BE7FB3" w:rsidRDefault="00BE7FB3" w:rsidP="00BE7FB3">
      <w:pPr>
        <w:pStyle w:val="TextoNormal"/>
      </w:pPr>
    </w:p>
    <w:p w:rsidR="00BE7FB3" w:rsidRDefault="00BE7FB3" w:rsidP="00BE7FB3">
      <w:pPr>
        <w:pStyle w:val="TextoNormal"/>
      </w:pPr>
      <w:r>
        <w:t xml:space="preserve">Como colofón, el Abogado del Estado estima que el art. 9 LEC permite al juzgador en cualquier momento apreciar la ausencia de la falta de capacidad procesal para ser parte, constituyendo dicho supuesto una cuestión incidental de previo pronunciamiento (art. 391 LEC) y, si bien en el proceso </w:t>
      </w:r>
      <w:r w:rsidRPr="00BE7FB3">
        <w:rPr>
          <w:i/>
        </w:rPr>
        <w:t>a quo</w:t>
      </w:r>
      <w:r>
        <w:t xml:space="preserve"> podría haberse resulto incidentalmente su terminación por pérdida de la capacidad actora, nada impide que por parte de este Tribunal se declare conclusa la cuestión de inconstitucionalidad por la extinción en el proceso </w:t>
      </w:r>
      <w:r w:rsidRPr="00BE7FB3">
        <w:rPr>
          <w:i/>
        </w:rPr>
        <w:t>a quo</w:t>
      </w:r>
      <w:r>
        <w:t xml:space="preserve"> de uno de los elementos esenciales para la constitución de la relación jurídico-procesal, la capacidad del demandante para ser parte.</w:t>
      </w:r>
    </w:p>
    <w:p w:rsidR="00BE7FB3" w:rsidRDefault="00BE7FB3" w:rsidP="00BE7FB3">
      <w:pPr>
        <w:pStyle w:val="TextoNormal"/>
      </w:pPr>
    </w:p>
    <w:p w:rsidR="00BE7FB3" w:rsidRDefault="00BE7FB3" w:rsidP="00BE7FB3">
      <w:pPr>
        <w:pStyle w:val="TextoNormal"/>
      </w:pPr>
      <w:r>
        <w:t>Concluye el Abogado del Estado su escrito interesando su admisión y que se dicte Auto declarando la terminación de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11</w:t>
      </w:r>
      <w:r>
        <w:t>. El Pleno del Tribunal Constitucional, mediante providencia, de 13 de septiembre de 2012, acordó incorporar a las actuaciones el escrito del Abogado del Estado y conferir plazo de diez días al Ministerio Fiscal para que alegara lo que estimara conveniente.</w:t>
      </w:r>
    </w:p>
    <w:p w:rsidR="00BE7FB3" w:rsidRDefault="00BE7FB3" w:rsidP="00BE7FB3">
      <w:pPr>
        <w:pStyle w:val="TextoNormal"/>
      </w:pPr>
    </w:p>
    <w:p w:rsidR="00BE7FB3" w:rsidRDefault="00BE7FB3" w:rsidP="00BE7FB3">
      <w:pPr>
        <w:pStyle w:val="TextoNormal"/>
      </w:pPr>
      <w:r w:rsidRPr="00BE7FB3">
        <w:rPr>
          <w:rStyle w:val="NumeroAFNegritaCaracter"/>
        </w:rPr>
        <w:t>12</w:t>
      </w:r>
      <w:r>
        <w:t>. El 29 de octubre de 2012 tuvo entrada en el Registro General de este Tribunal escrito del Fiscal General del Estado en el que se daba cumplida cuenta del trámite de alegaciones conferido elevando las siguientes consideraciones. El Ministerio Fiscal recuerda que, si bien el planteamiento de la cuestión de inconstitucionalidad implica para el órgano promotor la suspensión del proceso del que trae causa, no provoca la pérdida de su plena capacidad para decidir, de oficio o a instancia de parte, acerca de la eventual extinción de aquél. Habida cuenta de dicha circunstancia el alegante estima que la cuestión planteada por el Abogado del Estado en sus alegaciones, esto es, la pérdida de la capacidad procesal de la parte actora del proceso de ejecución, hubo de promoverse ante la Audiencia Nacional y no ante este Tribunal. A juicio del Ministerio Fiscal el Tribunal Constitucional únicamente puede pronunciarse sobre el correcto planteamiento del proceso (en este caso la cuestión de inconstitucionalidad) que ante él pende, pero no puede entrar a determinar si el proceso a quo continúa pendiendo ante el órgano promotor de la cuestión, pues en caso contrario estaría sustituyendo a éste en sus facultades jurisdiccionales.</w:t>
      </w:r>
    </w:p>
    <w:p w:rsidR="00BE7FB3" w:rsidRDefault="00BE7FB3" w:rsidP="00BE7FB3">
      <w:pPr>
        <w:pStyle w:val="TextoNormal"/>
      </w:pPr>
    </w:p>
    <w:p w:rsidR="00BE7FB3" w:rsidRDefault="00BE7FB3" w:rsidP="00BE7FB3">
      <w:pPr>
        <w:pStyle w:val="TextoNormal"/>
      </w:pPr>
      <w:r>
        <w:t>En atención a lo expuesto, el Fiscal General concluye solicitando se dicte resolución desestimatoria de la pretensión planteada por el Abogado del Estado en su escrito de alegaciones.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La presente cuestión de inconstitucionalidad ha sido promovida por la Sección Primera de la Sala de lo Contencioso-Administrativo de la Audiencia Nacional respecto de la disposición adicional vigésima tercera de la Ley 24/2001, de 27 de diciembre, de medidas fiscales, administrativas y del orden social, por entender que vulnera la reserva de ley orgánica del art. 81.1 CE, la seguridad jurídica garantizada en el art. 9.3 CE y la tutela judicial efectiva del art. 24.1 CE, en relación con los arts. 117.3, 118 y 33.3 CE, en su vertiente de obligatoriedad de cumplimiento de las resoluciones judiciales.</w:t>
      </w:r>
    </w:p>
    <w:p w:rsidR="00BE7FB3" w:rsidRDefault="00BE7FB3" w:rsidP="00BE7FB3">
      <w:pPr>
        <w:pStyle w:val="TextoNormal"/>
      </w:pPr>
    </w:p>
    <w:p w:rsidR="00BE7FB3" w:rsidRDefault="00BE7FB3" w:rsidP="00BE7FB3">
      <w:pPr>
        <w:pStyle w:val="TextoNormal"/>
      </w:pPr>
      <w:r>
        <w:t xml:space="preserve">El Auto de planteamiento de la cuestión, limita la duda de constitucionalidad al apartado primero del precepto, cuyo tenor literal es el siguiente: </w:t>
      </w:r>
    </w:p>
    <w:p w:rsidR="00BE7FB3" w:rsidRDefault="00BE7FB3" w:rsidP="00BE7FB3">
      <w:pPr>
        <w:pStyle w:val="TextoNormal"/>
      </w:pPr>
    </w:p>
    <w:p w:rsidR="00BE7FB3" w:rsidRDefault="00BE7FB3" w:rsidP="00BE7FB3">
      <w:pPr>
        <w:pStyle w:val="TextoNormal"/>
      </w:pPr>
      <w:r>
        <w:t>“1. No habrá lugar al pago a los partidos políticos, federaciones, coaliciones o agrupaciones de electores, o a cualquier otra persona o entidad a las que, por cualquier título, se hubiere transmitido el crédito correspondiente, de las subvenciones devengadas o que se devenguen conforme a lo previsto en los artículos 127 de la Ley Orgánica 5/1985, de 19 de junio, de Régimen Electoral General y 3 de la Ley Orgánica 3/1987, de 2 de julio, sobre Financiación de los Partidos Políticos, mientras no se justifique la adquisición por los elec</w:t>
      </w:r>
      <w:r>
        <w:lastRenderedPageBreak/>
        <w:t>tos pertenecientes a dichas formaciones políticas de la condición plena de Diputado, Senador, miembro del Parlamento europeo o miembro de la correspondiente Corporación local y el ejercicio efectivo del cargo para el que hubiesen sido elegidos y por cuya elección y desempeño se hayan devengado o se devenguen las citadas subvenciones, aun cuando este devengo derive de su reconocimiento por sentencia judicial firme.</w:t>
      </w:r>
    </w:p>
    <w:p w:rsidR="00BE7FB3" w:rsidRDefault="00BE7FB3" w:rsidP="00BE7FB3">
      <w:pPr>
        <w:pStyle w:val="TextoNormal"/>
      </w:pPr>
    </w:p>
    <w:p w:rsidR="00BE7FB3" w:rsidRDefault="00BE7FB3" w:rsidP="00BE7FB3">
      <w:pPr>
        <w:pStyle w:val="TextoNormal"/>
      </w:pPr>
      <w:r>
        <w:t>El supuesto a que se refiere el apartado anterior constituirá, a los efectos previstos en el artículo 105 de la Ley 29/1998, de 13 de julio, reguladora de la jurisdicción contencioso-administrativa, causa de imposibilidad legal de ejecutar las sentencias que reconozcan el derecho a percibir las referidas subvenciones, sin que tal inejecución dé lugar a indemnización alguna.”</w:t>
      </w:r>
    </w:p>
    <w:p w:rsidR="00BE7FB3" w:rsidRDefault="00BE7FB3" w:rsidP="00BE7FB3">
      <w:pPr>
        <w:pStyle w:val="TextoNormal"/>
      </w:pPr>
    </w:p>
    <w:p w:rsidR="00BE7FB3" w:rsidRDefault="00BE7FB3" w:rsidP="00BE7FB3">
      <w:pPr>
        <w:pStyle w:val="TextoNormal"/>
      </w:pPr>
      <w:r>
        <w:t>Tanto el Abogado del Estado como el Fiscal General del Estado, como se ha dejado constancia en los antecedentes, interesan la desestimación de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No puede acogerse la pretensión del Abogado del Estado, elevada en su escrito de ampliación de alegaciones, con fecha de registro ante este Tribunal de 20 de julio de 2012, de declarar terminado el presente proceso sobre la base de que la parte reclamante en el proceso ejecutivo </w:t>
      </w:r>
      <w:r w:rsidRPr="00BE7FB3">
        <w:rPr>
          <w:i/>
        </w:rPr>
        <w:t>a quo</w:t>
      </w:r>
      <w:r>
        <w:t xml:space="preserve"> ha perdido la capacidad procesal como consecuencia de la disolución del partido político Herri Batasuna dispuesta por la Sala Especial del art. 61 de la Ley Orgánica del Poder Judicial (LOPJ) del Tribunal Supremo en su Sentencia de 27 de marzo de 2003.</w:t>
      </w:r>
    </w:p>
    <w:p w:rsidR="00BE7FB3" w:rsidRDefault="00BE7FB3" w:rsidP="00BE7FB3">
      <w:pPr>
        <w:pStyle w:val="TextoNormal"/>
      </w:pPr>
    </w:p>
    <w:p w:rsidR="00BE7FB3" w:rsidRDefault="00BE7FB3" w:rsidP="00BE7FB3">
      <w:pPr>
        <w:pStyle w:val="TextoNormal"/>
      </w:pPr>
      <w:r>
        <w:t>Como atinadamente considera el Ministerio Fiscal en su escrito de contestación, tal cuestión no puede ser resuelta en el curso de este proceso constitucional en que el reclamante en el procedimiento de ejecución ni siquiera es parte de acuerdo con la regulación de la Ley Orgánica del Tribunal Constitucional (LOTC) vigente en el momento en el que se planteó la presente impugnación (AATC 309/1987, de 12 de marzo, FJ 1, y 174/1995, de 6 de junio, FJ 4). Dicha circunstancia hubo de ser planteada, en su caso, ante el órgano juzgador de la ejecución y resuelta por el mismo, sin quepa a este Tribunal pronunciarse sobre la misma.</w:t>
      </w:r>
    </w:p>
    <w:p w:rsidR="00BE7FB3" w:rsidRDefault="00BE7FB3" w:rsidP="00BE7FB3">
      <w:pPr>
        <w:pStyle w:val="TextoNormal"/>
      </w:pPr>
    </w:p>
    <w:p w:rsidR="00BE7FB3" w:rsidRDefault="00BE7FB3" w:rsidP="00BE7FB3">
      <w:pPr>
        <w:pStyle w:val="TextoNormal"/>
      </w:pPr>
      <w:r w:rsidRPr="00BE7FB3">
        <w:rPr>
          <w:rStyle w:val="NumeroAFNegritaCaracter"/>
        </w:rPr>
        <w:t>3</w:t>
      </w:r>
      <w:r>
        <w:t>. Sin perjuicio de lo expuesto, por parte de este Tribunal debe examinarse una serie de circunstancias que, de forma sobrevenida a la admisión de la presente cuestión de inconstitucionalidad, pueden afectar a los presupuestos procesales necesarios para el planteamiento de este tipo de impugnaciones y, por ello, a la pervivencia del proceso constitucional, ya que aunque sea al órgano judicial al que corresponde apreciar inicialmente la relevancia de la norma cuestionada, este Tribunal Constitucional debe preservar la función de control concreto de constitucionalidad que caracteriza a la cuestión de inconstitucionalidad (como se desprende de las SSTC 17/1981, de 1 de junio, FJ 1 y 55/2010, de 4 de octubre, FJ 2, entre otras).</w:t>
      </w:r>
    </w:p>
    <w:p w:rsidR="00BE7FB3" w:rsidRDefault="00BE7FB3" w:rsidP="00BE7FB3">
      <w:pPr>
        <w:pStyle w:val="TextoNormal"/>
      </w:pPr>
    </w:p>
    <w:p w:rsidR="00BE7FB3" w:rsidRDefault="00BE7FB3" w:rsidP="00BE7FB3">
      <w:pPr>
        <w:pStyle w:val="TextoNormal"/>
      </w:pPr>
      <w:r>
        <w:t xml:space="preserve">Pues bien, las circunstancias que han de considerase tienen que ver con la disolución del partido político Herri Batasuna y la posterior liquidación de su patrimonio ventiladas ante la Sala Especial del artículo 61 de la Ley Orgánica del Poder Judicial (LOPJ) del Tribunal Supremo. Así, en su Sentencia de 27 de marzo de 2003, por la que se resolvió la ilegalización de los partidos políticos Herri Batasuna, Euskal Herritarrok y Batasuna la citada Sala, por un lado, declaró probado que el partido político Herri Batasuna, con carácter previo a </w:t>
      </w:r>
      <w:r>
        <w:lastRenderedPageBreak/>
        <w:t xml:space="preserve">su constitución e inscripción en el registro de partidos políticos dependiente del Ministerio del Interior en fecha 5 de junio de 1986 en cumplimiento de la Sentencia de la Sala Primera del Tribunal Supremo de 31 de mayo de 1986, había adoptado la forma de agrupación de electores con el objeto de concurrir a los distintos procesos electorales [hecho probado 1.1 B)] y, en este sentido, la parte actora en el procedimiento ejecutivo </w:t>
      </w:r>
      <w:r w:rsidRPr="00BE7FB3">
        <w:rPr>
          <w:i/>
        </w:rPr>
        <w:t>a quo</w:t>
      </w:r>
      <w:r>
        <w:t xml:space="preserve"> del que dimana la presente cuestión de inconstitucionalidad es la agrupación de electores Herri Batasuna que concurrió en las elecciones generales de 1986 por la circunscripción de Guipúzcoa. Por otro lado, la citada resolución, además de declarar la ilegalidad de dichas formaciones, dispuso: “la apertura de un proceso de liquidación patrimonial de Herri Batasuna, Euskal Herritarrok y Batasuna en la forma que se establece en el art. 12.1 c) de la Ley Orgánica 6/2002, de Partidos Políticos, lo que se llevará a cabo en ejecución de la presente sentencia” (apartado quinto del fallo).</w:t>
      </w:r>
    </w:p>
    <w:p w:rsidR="00BE7FB3" w:rsidRDefault="00BE7FB3" w:rsidP="00BE7FB3">
      <w:pPr>
        <w:pStyle w:val="TextoNormal"/>
      </w:pPr>
    </w:p>
    <w:p w:rsidR="00BE7FB3" w:rsidRDefault="00BE7FB3" w:rsidP="00BE7FB3">
      <w:pPr>
        <w:pStyle w:val="TextoNormal"/>
      </w:pPr>
      <w:r>
        <w:t>Sustanciado el incidente de ejecución, la Sala supracitada acordó, mediante Auto de 16 de octubre de 2003, despachar ejecución de los pronunciamientos contenidos en el fallo de la anterior Sentencia de ilegalización y abrir el correspondiente proceso de liquidación del partido político Herri Batasuna, decretando, a tal efecto, el embargo de, entre otros bienes, toda clase de subvenciones estatales y nombrando para llevar a cabo dicho proceso a los correspondientes liquidadores. Por último, en el Auto de 20 de noviembre de 2008 la Sala Especial del artículo 61 LOPJ procedió a la aprobación del balance de liquidación de los citados partidos políticos ilegalizados y, en el párrafo segundo correspondiente al fundamento jurídico décimo de esta resolución, el Tribunal Supremo aborda el destino que ha de darse al activo patrimonial de aquéllos indicando que: “[el] activo de Herri Batasuna, que alcanza el importe de 1.946.625,52 euros, correspondiente a las subvenciones procedentes del Ministerio del Interior, devengadas por razón de diversos procesos electorales”, por lo que las cantidades adeudadas por la Administración en concepto de subvenciones electorales ya han sido puestas a disposición del órgano liquidador.</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Procede, una vez expuestas las anteriores circunstancias, determinar de qué manera afectan a la relevancia del precepto cuestionado para resolver el proceso </w:t>
      </w:r>
      <w:r w:rsidRPr="00BE7FB3">
        <w:rPr>
          <w:i/>
        </w:rPr>
        <w:t>a quo</w:t>
      </w:r>
      <w:r>
        <w:t xml:space="preserve">. Relevancia que se erige como un requisito, no sólo para resolver sobre la admisibilidad de las cuestiones de inconstitucionalidad, sino, en su caso, para determinar su pervivencia, pues como tiene declarado este Tribunal: “[m]ás detenido ha de ser nuestro examen acerca de si la disposición cuestionada es relevante para la resolución del proceso penal </w:t>
      </w:r>
      <w:r w:rsidRPr="00BE7FB3">
        <w:rPr>
          <w:i/>
        </w:rPr>
        <w:t>a quo</w:t>
      </w:r>
      <w:r>
        <w:t xml:space="preserve">, esto es, si como exige el art. 163 CE y recuerda el art. 35.1 LOTC, la norma cuestionada es aplicable al caso ventilado en el proceso en el que la cuestión se suscita y si, además, de su validez depende el fallo que el órgano judicial haya de dictar. En este sentido es de advertir que frente a la flexibilidad con que debe acogerse la apreciación del órgano judicial acerca de la inclusión de la disposición cuestionada en el elenco de normas que hayan de ser tomadas en consideración para resolver el litigio —esto es, su aplicabilidad— hasta el punto de que sólo cuando de manera evidente, sin necesidad de análisis de fondo, la norma cuestionada sea, según principios jurídicos básicos, inaplicable al caso en donde la cuestión se suscita, sólo entonces, cabrá declarar inadmisible por esta razón una cuestión de inconstitucionalidad; por el contrario, mayor rigor debemos emplear para calificar a la disposición cuestionada como norma determinante del fallo, pues sin perjuicio de que también sea al órgano judicial al que </w:t>
      </w:r>
      <w:r w:rsidRPr="00BE7FB3">
        <w:rPr>
          <w:i/>
        </w:rPr>
        <w:t>prima facie</w:t>
      </w:r>
      <w:r>
        <w:t xml:space="preserve"> compete apreciar el valor decisorio de la norma cuestionada, no es menos cierto que corresponde a este Tribunal Constitucional preservar la función de control concreto de </w:t>
      </w:r>
      <w:r>
        <w:lastRenderedPageBreak/>
        <w:t>constitucionalidad que caracteriza a la cuestión de inconstitucionalidad” (STC 55/2010, de 4 de octubre, FJ 2).</w:t>
      </w:r>
    </w:p>
    <w:p w:rsidR="00BE7FB3" w:rsidRDefault="00BE7FB3" w:rsidP="00BE7FB3">
      <w:pPr>
        <w:pStyle w:val="TextoNormal"/>
      </w:pPr>
    </w:p>
    <w:p w:rsidR="00BE7FB3" w:rsidRDefault="00BE7FB3" w:rsidP="00BE7FB3">
      <w:pPr>
        <w:pStyle w:val="TextoNormal"/>
      </w:pPr>
      <w:r>
        <w:t xml:space="preserve">Ha de indicarse que la norma cuestionada ante este Tribunal ha dejado de ser determinante para la resolución del proceso </w:t>
      </w:r>
      <w:r w:rsidRPr="00BE7FB3">
        <w:rPr>
          <w:i/>
        </w:rPr>
        <w:t>a quo</w:t>
      </w:r>
      <w:r>
        <w:t xml:space="preserve"> tras la disolución del partido político Herri Batasuna acordada por la Sala Especial del art. 61 LOPJ del Tribunal Supremo pues, a partir de la apertura del subsiguiente proceso de liquidación patrimonial de la formación, el Tribunal Supremo ha acordado que la cantidad correspondiente a la subvención electoral reclamada en vía ejecutiva ante la Audiencia Nacional en ningún caso puede abonarse a la parte reclamante, la agrupación de electores Herri Batasuna (reconocida antecesora del partido disuelto por el Tribunal Supremo), sino que ha de ser puesta a disposición de la citada Sala Especial a los efectos de la liquidación patrimonial acordada como, por cierto, se deduce que ha ocurrido a partir de la lectura del Auto de 20 de noviembre de 2008, en el que se expresa que el activo patrimonial del partido político estaba conformado por la cantidad de 1.946.625,52 euros, correspondiente a las subvenciones procedentes del Ministerio del Interior, devengadas por razón de diversos procesos electorales, tal y como ha quedado expuesto en el último párrafo del fundamento jurídico anterior.</w:t>
      </w:r>
    </w:p>
    <w:p w:rsidR="00BE7FB3" w:rsidRDefault="00BE7FB3" w:rsidP="00BE7FB3">
      <w:pPr>
        <w:pStyle w:val="TextoNormal"/>
      </w:pPr>
    </w:p>
    <w:p w:rsidR="00BE7FB3" w:rsidRDefault="00BE7FB3" w:rsidP="00BE7FB3">
      <w:pPr>
        <w:pStyle w:val="TextoNormal"/>
      </w:pPr>
      <w:r>
        <w:t>Así las cosas, el objeto de la disposición adicional vigésimo tercera, “pago de subvenciones a partidos políticos”, de la ley 24/2001, de 27 de diciembre, de medidas fiscales, administrativas y del orden social, era evitar el “pago a los partidos políticos, federaciones, coaliciones o agrupaciones de electores, o a cualquier otra persona o entidad a las que, por cualquier título, se hubiere transmitido el crédito correspondiente” de las subvenciones electorales en los supuestos de que las formaciones políticas beneficiarias no acreditaran que los candidatos electos hubieran adquirido plenamente su plena condición representativa, aun en el caso de que el cobro de las correspondientes cantidades deviniera de su reconocimiento por sentencia firma, como es el caso. Sin embargo, como se ha referido anteriormente, el destino de la cantidad cuya abono se reclamaba en el procedimiento de ejecución que está en el origen de la presente cuestión de inconstitucionalidad ya no es el pago a la parte reclamante sino su afectación a un procedimiento judicial de liquidación patrimonial.</w:t>
      </w:r>
    </w:p>
    <w:p w:rsidR="00BE7FB3" w:rsidRDefault="00BE7FB3" w:rsidP="00BE7FB3">
      <w:pPr>
        <w:pStyle w:val="TextoNormal"/>
      </w:pPr>
    </w:p>
    <w:p w:rsidR="00BE7FB3" w:rsidRDefault="00BE7FB3" w:rsidP="00BE7FB3">
      <w:pPr>
        <w:pStyle w:val="TextoNormal"/>
      </w:pPr>
      <w:r>
        <w:t>En consecuencia, la inclusión de la cantidad adeudada en el procedimiento de liquidación concluido por Auto de 20 de noviembre de 2008 determina que ya no resulte de aplicación la disposición adicional cuyo enjuiciamiento por este Tribunal se pretendía, si bien por causas sobrevenidas al momento del planteamiento y admisión de la presente cuestión de inconstitucionalidad, pero que implican una desaparición sobrevenida de los presupuestos de apertura del presente proceso constitucional y que ha de provocar su extinción, ya que, como tiene declarado este Tribunal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 Extinción del proceso constitucional que no conlleva pronunciamiento alguno acerca de la suerte que ha de correr el procedimiento del que pende la presente cuestión de inconstitucionalidad y cuya resolución cumple exclusivamente al órgano promotor de la misma.</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la extinción de la cuestión de inconstitucionalidad núm. 1571-2002, por desaparición sobrevenida de su objeto.</w:t>
      </w:r>
    </w:p>
    <w:p w:rsidR="00BE7FB3" w:rsidRDefault="00BE7FB3" w:rsidP="00BE7FB3">
      <w:pPr>
        <w:pStyle w:val="TextoNormal"/>
      </w:pPr>
    </w:p>
    <w:p w:rsidR="00BE7FB3" w:rsidRDefault="00BE7FB3" w:rsidP="00BE7FB3">
      <w:pPr>
        <w:pStyle w:val="TextoNormal"/>
      </w:pPr>
      <w:r>
        <w:t>Madrid, a doce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72" w:name="AUTO_2013_31"/>
      <w:r>
        <w:lastRenderedPageBreak/>
        <w:t>AUTO 31/2013, de 12 de febrero de 2013</w:t>
      </w:r>
    </w:p>
    <w:bookmarkEnd w:id="172"/>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ECLI:ES:TC:2013:31A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1572-2002, planteada por la Sala de lo Contencioso-Administrativo de la Audiencia Nacional en relación con la disposición adicional vigésima tercera de la Ley 24/2001, de 27 de diciembre, de medidas fiscales, administrativas y del orden social.</w:t>
      </w:r>
    </w:p>
    <w:p w:rsidR="00BE7FB3" w:rsidRDefault="00BE7FB3" w:rsidP="00BE7FB3">
      <w:pPr>
        <w:pStyle w:val="SntesisDescriptiva"/>
      </w:pPr>
    </w:p>
    <w:p w:rsidR="00BE7FB3" w:rsidRDefault="00BE7FB3" w:rsidP="00BE7FB3">
      <w:pPr>
        <w:pStyle w:val="SntesisAnaltica"/>
      </w:pPr>
      <w:r>
        <w:t>Extinción de cuestión de inconstitucionalidad: ATC 30/2013; juicio de relevancia; pérdida sobrevenida de objeto por pérdida de relevancia. Partidos políticos: ilegalización de partidos políticos.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15 de marzo de 2002 tuvo entrada en el Registro General de este Tribunal escrito de la Sección Primera de la Sala de lo Contencioso Administrativo de la Audiencia Nacional al que se acompaña, junto al testimonio de las actuaciones del procedimiento ordinario núm. 19122-1989, el Auto de 22 de febrero de 2002 del referido órgano judicial, por el que se acuerda plantear cuestión de inconstitucionalidad respecto de la disposición adicional vigésima tercera, “pago de subvenciones a partidos políticos”, de la Ley 24/2001, de 27 de diciembre, de medidas fiscales, administrativas y del orden social, por su posible contradicción con el art. 81.1 CE, “al modificar mediante ley ordinaria materias objeto de Ley Orgánica”, con el art. 9.3 CE “al establecerse la retroactividad de la norma con afección del principio de seguridad jurídica” y del art. 24.1 CE “en relación con los arts. 117.3, 118 y 33.3 de la misma norma”.</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La cuestión trae causa del procedimiento de ejecución de la Sentencia de la Sección Primera de la Sala de lo Contencioso-Administrativo de la Audiencia Nacional que, mediante Sentencia de 28 de octubre de 1991, había estimado la pretensión de la agrupación de electores Herri Batasuna de que se le abonara la cantidad de 9.581.380 pesetas, más los intereses legales, en concepto de subvención por los gastos derivados de las elecciones generales celebradas en 1986 en la provincia de Vizcaya. Frente a la alegación del Abogado del Estado de que la no adquisición de la plena condición de diputado por la negativa a acatar la Constitución privaba a los recurrentes del derecho a obtener las subvenciones devengadas en el período electoral, la Sala que ahora eleva la cuestión consideró entonces que </w:t>
      </w:r>
      <w:r>
        <w:lastRenderedPageBreak/>
        <w:t>el requisito para la percepción de dichas subvenciones era la simple participación en el proceso electoral y la obtención de escaño, resultando jurídicamente indiferente la actitud ulterior de quienes resultaron elegidos diputados cuando no prestasen el oportuno juramento o promesa de acatamiento a la Constitución. Lo razonaba en que las subvenciones electorales se destinan a subvenir los gastos electorales en sentido estricto.</w:t>
      </w:r>
    </w:p>
    <w:p w:rsidR="00BE7FB3" w:rsidRDefault="00BE7FB3" w:rsidP="00BE7FB3">
      <w:pPr>
        <w:pStyle w:val="TextoNormal"/>
      </w:pPr>
    </w:p>
    <w:p w:rsidR="00BE7FB3" w:rsidRDefault="00BE7FB3" w:rsidP="00BE7FB3">
      <w:pPr>
        <w:pStyle w:val="TextoNormal"/>
      </w:pPr>
      <w:r>
        <w:t>Contra dicha Sentencia el Abogado del Estado se alzó apelación que fue desestimada por Sentencia, de 19 de mayo de 1997, de la Sección Sexta de la Sala Tercera del Tribunal Supremo que confirmó la Sentencia de la Audiencia Nacional en todos sus pronunciamientos.</w:t>
      </w:r>
    </w:p>
    <w:p w:rsidR="00BE7FB3" w:rsidRDefault="00BE7FB3" w:rsidP="00BE7FB3">
      <w:pPr>
        <w:pStyle w:val="TextoNormal"/>
      </w:pPr>
    </w:p>
    <w:p w:rsidR="00BE7FB3" w:rsidRDefault="00BE7FB3" w:rsidP="00BE7FB3">
      <w:pPr>
        <w:pStyle w:val="TextoNormal"/>
      </w:pPr>
      <w:r>
        <w:t>El representante legal de la agrupación de electores, mediante escrito presentado ante la Audiencia Nacional el 16 de septiembre de 1997, instó la ejecución de la Sentencia de referencia en sus propios términos, a la que no se opuso el Abogado del Estado. En su virtud, la Sección Primera de la Sala de lo Contencioso-Administrativo de la Audiencia Nacional, mediante providencia de 14 de octubre de 1997, acordó requerir al Ministerio de Interior para por término de un mes comunicara las medidas adoptadas en ejecución de la Sentencia.</w:t>
      </w:r>
    </w:p>
    <w:p w:rsidR="00BE7FB3" w:rsidRDefault="00BE7FB3" w:rsidP="00BE7FB3">
      <w:pPr>
        <w:pStyle w:val="TextoNormal"/>
      </w:pPr>
    </w:p>
    <w:p w:rsidR="00BE7FB3" w:rsidRDefault="00BE7FB3" w:rsidP="00BE7FB3">
      <w:pPr>
        <w:pStyle w:val="TextoNormal"/>
      </w:pPr>
      <w:r>
        <w:t>La representación legal de la agrupación de electores presentó escrito en la Audiencia Nacional el 18 de febrero de 1999, en el que, tras poner de manifiesto la actitud de la Administración, solicitó se instara de la Administración la inmediata ejecución de la Sentencia. La solicitud fue atendida por la Sección Primera de la Sala de lo Contencioso-Administrativo de la Audiencia Nacional que, por providencia de 1 de junio de 1999, requirió al Ministerio del Interior para que informara sobre los trámites y actuaciones practicadas para el pago de las cantidades reconocidas por sentencia. A dicho requerimiento se contestó, mediante escrito del Subsecretario del Ministerio del Interior, de 13 de julio de 1999, manifestando que se había ampliado la solicitud de información cursada a la Junta Electoral Central inquiriendo si entre los dos créditos suscritos por sendas entidades financieras respecto de las elecciones generales de 1986 existía prelación alguna.</w:t>
      </w:r>
    </w:p>
    <w:p w:rsidR="00BE7FB3" w:rsidRDefault="00BE7FB3" w:rsidP="00BE7FB3">
      <w:pPr>
        <w:pStyle w:val="TextoNormal"/>
      </w:pPr>
    </w:p>
    <w:p w:rsidR="00BE7FB3" w:rsidRDefault="00BE7FB3" w:rsidP="00BE7FB3">
      <w:pPr>
        <w:pStyle w:val="TextoNormal"/>
      </w:pPr>
      <w:r>
        <w:t>El Abogado del Estado, por escrito de 4 de diciembre de 2000, puso en conocimiento de la Sala ejecutante las dificultades con las que se estaba encontrando la Administración para la ejecución de la referida Sentencia. En concreto se hizo referencia al carácter efímero de las agrupaciones de electores; señalando el hecho de que, en el momento en que se había requerido la ejecución, la agrupación de electores Herri Batasuna ya había desaparecido, con lo que esto implicaba el cese de le representación de sus representantes procesales, de modo que no se les podía abonar a ellos la subvención litigiosa ni tampoco lo hubieran permitido las normas sobre fiscalización emanadas del Tribunal de Cuentas. Concluía su escrito pidiendo de la Sala que dictara resolución acordando la forma de llevar a efecto el fallo.</w:t>
      </w:r>
    </w:p>
    <w:p w:rsidR="00BE7FB3" w:rsidRDefault="00BE7FB3" w:rsidP="00BE7FB3">
      <w:pPr>
        <w:pStyle w:val="TextoNormal"/>
      </w:pPr>
    </w:p>
    <w:p w:rsidR="00BE7FB3" w:rsidRDefault="00BE7FB3" w:rsidP="00BE7FB3">
      <w:pPr>
        <w:pStyle w:val="TextoNormal"/>
      </w:pPr>
      <w:r>
        <w:t xml:space="preserve">Mediante providencia de 12 de diciembre de 2000, la Sección Primera de la Sala de lo Contencioso-Administrativo dispuso que se diera traslado a la parte demandante del citado escrito y se dejara sin efecto el requerimiento de información dirigido a la Administración anteriormente, con fecha de 18 de septiembre de 2000. La representación legal de la agrupación de electores presentó escrito de alegaciones con fecha de registro de 17 de enero de 2001, en el que se oponía a lo solicitado por el Abogado del Estado, y solicitaba, por un lado, que se revocara la providencia de 12 de diciembre de 2000 con el objeto de que se </w:t>
      </w:r>
      <w:r>
        <w:lastRenderedPageBreak/>
        <w:t>mantuviera en vigor el citado requerimiento de información dirigido a la Administración y, de otro lado, se requiriera a la misma la entrega del importe de la indemnización fijada en Sentencia.</w:t>
      </w:r>
    </w:p>
    <w:p w:rsidR="00BE7FB3" w:rsidRDefault="00BE7FB3" w:rsidP="00BE7FB3">
      <w:pPr>
        <w:pStyle w:val="TextoNormal"/>
      </w:pPr>
    </w:p>
    <w:p w:rsidR="00BE7FB3" w:rsidRDefault="00BE7FB3" w:rsidP="00BE7FB3">
      <w:pPr>
        <w:pStyle w:val="TextoNormal"/>
      </w:pPr>
      <w:r>
        <w:t>La Sección Primera de la Sala de lo Contencioso-Administrativo resolvió la solicitud del Abogado del Estado mediante Auto de 28 de febrero de 2001, que mantenía el requerimiento anterior y fijaba la manera de cumplir la sentencia mediante el abono de la indemnización fijada, más los intereses computados desde la fecha de la Sentencia de instancia a la entidad Guipuzkoa Donostia Kutxa.</w:t>
      </w:r>
    </w:p>
    <w:p w:rsidR="00BE7FB3" w:rsidRDefault="00BE7FB3" w:rsidP="00BE7FB3">
      <w:pPr>
        <w:pStyle w:val="TextoNormal"/>
      </w:pPr>
    </w:p>
    <w:p w:rsidR="00BE7FB3" w:rsidRDefault="00BE7FB3" w:rsidP="00BE7FB3">
      <w:pPr>
        <w:pStyle w:val="TextoNormal"/>
      </w:pPr>
      <w:r>
        <w:t>Tras diversos requerimientos judiciales, la Subsecretaria del Ministerio del Interior, mediante escrito ingresado el 27 de noviembre de 2001 ante la Audiencia Nacional, comunica que, antes de realizar el pago, se ha solicitado de la Junta Electoral Central certificación de las notificaciones realizadas por la agrupación de electores Herri Batasuna sobre los créditos afectados por la subvención, así como de la entidad bancaria, sus datos fiscales.</w:t>
      </w:r>
    </w:p>
    <w:p w:rsidR="00BE7FB3" w:rsidRDefault="00BE7FB3" w:rsidP="00BE7FB3">
      <w:pPr>
        <w:pStyle w:val="TextoNormal"/>
      </w:pPr>
    </w:p>
    <w:p w:rsidR="00BE7FB3" w:rsidRDefault="00BE7FB3" w:rsidP="00BE7FB3">
      <w:pPr>
        <w:pStyle w:val="TextoNormal"/>
      </w:pPr>
      <w:r>
        <w:t>El 20 de diciembre de 2001, la Sección Primera de la Sala de lo Contencioso-Administrativo de la Audiencia Nacional dictó Auto por el que se impuso a la Excma. Sra. Subsecretaria del interior multa de 50.000 pesetas, requiriéndola nuevamente a que procediera a dar cumplimiento a la Sentencia, advirtiéndole de que en su caso podría procederse a la imposición de una nueva multa. Contra el Auto se solicitó por parte de la sancionada audiencia en justicia, al amparo del art. 48.8 de la Ley reguladora de la jurisdicción contencioso-administrativa (LJCA), y asimismo se presentó, por parte del Abogado del Estado, recurso de súplica en el que, entre otras consideraciones, se ponía de manifiesto la aprobación de la Ley 24/2001, de 27 de diciembre, de medidas fiscales, administrativas y del orden social, cuya disposición adicional vigésimo tercera podía afectar a la ejecución de la Sentencia de la que traía causa la sanción impuesta, por lo que solicitaba la suspensión de la ejecución del Auto recurrido. Mediante sendos Autos de 17 de enero de 2002 y de 24 de enero de 2001, la citada Sección Primera de la Sala de lo Contencioso-Administrativo de la Audiencia Nacional dispuso, de un lado, la ratificación de la sanción acordada y, de otro lado, con estimación del recurso de súplica planteado, dejar sin efecto la parte dispositiva de la resolución impugnada en lo relativo a los requerimientos dirigidos a las autoridades del Ministerio del Interior con el objeto de que se cumpliera la Sentencia de 25 de octubre de 1991.</w:t>
      </w:r>
    </w:p>
    <w:p w:rsidR="00BE7FB3" w:rsidRDefault="00BE7FB3" w:rsidP="00BE7FB3">
      <w:pPr>
        <w:pStyle w:val="TextoNormal"/>
      </w:pPr>
    </w:p>
    <w:p w:rsidR="00BE7FB3" w:rsidRDefault="00BE7FB3" w:rsidP="00BE7FB3">
      <w:pPr>
        <w:pStyle w:val="TextoNormal"/>
      </w:pPr>
      <w:r>
        <w:t>Paralelamente al recurso de súplica contra el Auto de 20 de diciembre de 2001, el 4 de enero de 2002 el Abogado del Estado presentó ante la Audiencia Nacional escrito en el que daba cuenta de la publicación en el “Boletín Oficial del Estado” de 31 de diciembre de 2001 de la Ley 24/2001, de 27 de diciembre, de medidas fiscales, administrativas y del orden social, cuya disposición adicional vigésima tercera, dedicada al “pago de subvenciones a partidos políticos”, hacía imposible la ejecución de la Sentencia, por lo que, conforme al art. 105.2 LJCA, solicitaba que se acordase la concurrencia de causa de imposibilidad legal de ejecución del fallo, sin indemnización.</w:t>
      </w:r>
    </w:p>
    <w:p w:rsidR="00BE7FB3" w:rsidRDefault="00BE7FB3" w:rsidP="00BE7FB3">
      <w:pPr>
        <w:pStyle w:val="TextoNormal"/>
      </w:pPr>
    </w:p>
    <w:p w:rsidR="00BE7FB3" w:rsidRDefault="00BE7FB3" w:rsidP="00BE7FB3">
      <w:pPr>
        <w:pStyle w:val="TextoNormal"/>
      </w:pPr>
      <w:r>
        <w:t xml:space="preserve">La Sección Primera de la Sala de lo Contencioso-Administrativo de la Audiencia Nacional consideró que el citado precepto pudiera contravenir varios preceptos de la Constitución, por lo que, en aplicación del art. 35 de la Ley Orgánica del Tribunal Constitucional (LOTC), </w:t>
      </w:r>
      <w:r>
        <w:lastRenderedPageBreak/>
        <w:t>abrió, mediante providencia de 24 de enero de 2002, un plazo de diez días para que las partes y el Ministerio Fiscal pudieran alegar al respecto lo que a su derecho conviniera.</w:t>
      </w:r>
    </w:p>
    <w:p w:rsidR="00BE7FB3" w:rsidRDefault="00BE7FB3" w:rsidP="00BE7FB3">
      <w:pPr>
        <w:pStyle w:val="TextoNormal"/>
      </w:pPr>
    </w:p>
    <w:p w:rsidR="00BE7FB3" w:rsidRDefault="00BE7FB3" w:rsidP="00BE7FB3">
      <w:pPr>
        <w:pStyle w:val="TextoNormal"/>
      </w:pPr>
      <w:r>
        <w:t>La representación de la sucesión procesal de la agrupación de electores formuló sus alegaciones realizando las siguientes consideraciones: en primer lugar, que la norma cuya validez debe discutirse no es la disposición adicional reseñada, en su globalidad, sino tan sólo en su apartado primero. En cualquier caso considera que de todas formas la norma no es aplicable al caso. Lo funda en que el precepto cuestionado no establece sus efectos retroactivos ni éstos pueden deducirse de la disposición transitoria sexta de la Ley de enjuiciamiento civil (LEC), por no tratarse de un supuesto de ejecución forzosa. La norma sólo puede referirse a resoluciones judiciales que se dicten con posterioridad a su entrada en vigor. En todo caso cree que sería constitucionalmente ilegítima una interpretación de la norma que conllevara su incidencia en efectos jurídicos ya producidos. En segundo lugar, alega que no cabe centrar el debate procesal en si la subvención se devengó o no pese a no haber tomado posesión los electos, pues eso supondría retomar el debate central del procedimiento previo, en contra del principio de cosa juzgada. En tercer lugar, y con carácter subsidiario, considera que la norma, aun no siendo aplicable, vulnera el art. 81 CE al regular mediante ley ordinaria materias objeto de ley orgánica, esencialmente el derecho de participación política, y el art. 24.1 CE, en cuanto la ejecución de las Sentencias forma parte del derecho fundamental a la tutela judicial efectiva. También argumenta que se lesiona el art. 33 CE dado el carácter expropiatorio de la norma, que no incluye la correspondiente indemnización.</w:t>
      </w:r>
    </w:p>
    <w:p w:rsidR="00BE7FB3" w:rsidRDefault="00BE7FB3" w:rsidP="00BE7FB3">
      <w:pPr>
        <w:pStyle w:val="TextoNormal"/>
      </w:pPr>
    </w:p>
    <w:p w:rsidR="00BE7FB3" w:rsidRDefault="00BE7FB3" w:rsidP="00BE7FB3">
      <w:pPr>
        <w:pStyle w:val="TextoNormal"/>
      </w:pPr>
      <w:r>
        <w:t>Por su parte, el Abogado del Estado rechaza la inconstitucionalidad de la norma, señalando que ningún precepto constitucional establece que la materia deba ser regulada por ley orgánica. Entiende que no hay expropiación pues se trata de una subvención pública que puede restringirse libremente. Niega también que tenga carácter retroactivo constitucionalmente vedado. El Fiscal, en sus alegaciones, sin prejuzgar sobre el fondo de la cuestión, consideró oportuno el planteamiento de la cuestión por la Sala al tratarse de una norma aplicable en el caso.</w:t>
      </w:r>
    </w:p>
    <w:p w:rsidR="00BE7FB3" w:rsidRDefault="00BE7FB3" w:rsidP="00BE7FB3">
      <w:pPr>
        <w:pStyle w:val="TextoNormal"/>
      </w:pPr>
    </w:p>
    <w:p w:rsidR="00BE7FB3" w:rsidRDefault="00BE7FB3" w:rsidP="00BE7FB3">
      <w:pPr>
        <w:pStyle w:val="TextoNormal"/>
      </w:pPr>
      <w:r>
        <w:t>Asimismo, mediante providencia de 24 de enero de 2002 la Sección Primera de la Sala de lo Contencioso-Administrativo de la Audiencia Nacional, a la vista de lo establecido en la disposición adicional vigésima tercera de la Ley 24/2001, y atendiendo a la incidencia que dicha norma pueda tener respecto a la ejecución de la Sentencia, acordó dejar en suspenso la efectividad de la multa coercitiva impuesta.</w:t>
      </w:r>
    </w:p>
    <w:p w:rsidR="00BE7FB3" w:rsidRDefault="00BE7FB3" w:rsidP="00BE7FB3">
      <w:pPr>
        <w:pStyle w:val="TextoNormal"/>
      </w:pPr>
    </w:p>
    <w:p w:rsidR="00BE7FB3" w:rsidRDefault="00BE7FB3" w:rsidP="00BE7FB3">
      <w:pPr>
        <w:pStyle w:val="TextoNormal"/>
      </w:pPr>
      <w:r w:rsidRPr="00BE7FB3">
        <w:rPr>
          <w:rStyle w:val="NumeroAFNegritaCaracter"/>
        </w:rPr>
        <w:t>3</w:t>
      </w:r>
      <w:r>
        <w:t>. La Sección Primera de la Sala de lo Contencioso-Administrativo de la Audiencia Nacional, mediante Auto de 22 de febrero de 2002, acordó “plantear cuestión de inconstitucionalidad respecto de la ‘Disposición adicional vigésimo tercera, pago de subvenciones a partidos políticos’ de la ley 24/2001, de 27 de diciembre, de medidas Fiscales, Administrativas y del Orden Social, al dudarse de la constitucionalidad de la norma por las siguientes razones: A) Vulneración del art. 81.1 CE, al regular y modificar mediante ley ordinaria materias objeto de Ley Orgánica, B) Vulneración del art. 9.3 de la CE al establecerse la retroactividad de la norma con afección del principio de seguridad jurídica, C) Vulneración del art. 24.1 de la CE en relación con el art. 117.3, 118 y 33.3 de la misma norma.”</w:t>
      </w:r>
    </w:p>
    <w:p w:rsidR="00BE7FB3" w:rsidRDefault="00BE7FB3" w:rsidP="00BE7FB3">
      <w:pPr>
        <w:pStyle w:val="TextoNormal"/>
      </w:pPr>
    </w:p>
    <w:p w:rsidR="00BE7FB3" w:rsidRDefault="00BE7FB3" w:rsidP="00BE7FB3">
      <w:pPr>
        <w:pStyle w:val="TextoNormal"/>
      </w:pPr>
      <w:r>
        <w:lastRenderedPageBreak/>
        <w:t>En los razonamientos jurídicos de la resolución se indicaba que la cuestión se limita al apartado primero de la disposición reseñada. La finalidad del precepto es la de no pagar en ningún caso subvenciones devengadas o que se devenguen a las formaciones que no justifiquen la adquisición por los electos pertenecientes a las mismas de la condición plena, en nuestro caso, de diputado o senador. Y ello aunque el devengo derive de su reconocimiento por sentencia judicial firme. Del texto del precepto se infiere que el legislador quiere excluir el pago de la subvención intemporalmente, aunque esté reconocido por sentencia firme anterior al dictado de la norma.</w:t>
      </w:r>
    </w:p>
    <w:p w:rsidR="00BE7FB3" w:rsidRDefault="00BE7FB3" w:rsidP="00BE7FB3">
      <w:pPr>
        <w:pStyle w:val="TextoNormal"/>
      </w:pPr>
    </w:p>
    <w:p w:rsidR="00BE7FB3" w:rsidRDefault="00BE7FB3" w:rsidP="00BE7FB3">
      <w:pPr>
        <w:pStyle w:val="TextoNormal"/>
      </w:pPr>
      <w:r>
        <w:t>En cuanto a la reserva de ley orgánica, la Sala entiende que la regulación del régimen de subvenciones de la financiación electoral constituye un elemento esencial del sistema, en cuanto contribuye a garantizar la transparencia e igualdad de concurrencia en el proceso electoral y que, por ello, debería ser regulado por ley orgánica. Se trata, la norma cuestionada, de una regulación que altera sustancialmente el sistema de subvenciones electorales. Junto a ello considera que, en cuanto se opone a lo establecido en el art. 18.2 de la Ley Orgánica del Poder Judicial (LOPJ), también queda sometido a la indicada reserva. En efecto, la Sala entiende que dicho artículo regula la ejecución de Sentencias, que forma parte del derecho a la tutela judicial efectiva. Frente a ello, el precepto cuestionado no se limita a establecer una nueva causa legal de imposibilidad de ejecución, sino que además lo hace “sin indemnización alguna”, alterando la esencia del desarrollo legislativo del derecho fundamental, por lo que debió tener carácter de ley orgánica.</w:t>
      </w:r>
    </w:p>
    <w:p w:rsidR="00BE7FB3" w:rsidRDefault="00BE7FB3" w:rsidP="00BE7FB3">
      <w:pPr>
        <w:pStyle w:val="TextoNormal"/>
      </w:pPr>
    </w:p>
    <w:p w:rsidR="00BE7FB3" w:rsidRDefault="00BE7FB3" w:rsidP="00BE7FB3">
      <w:pPr>
        <w:pStyle w:val="TextoNormal"/>
      </w:pPr>
      <w:r>
        <w:t>Por otro lado el Auto considera que el precepto podría violar el art. 9.3 CE pues si bien es cierto que el legislador goza de un amplio margen de libertad a la hora de determinar el alcance retroactivo de las leyes, también lo es que la Constitución establece ciertos límites a dicha retroactividad. En concreto, al dejar sin contenido un derecho ya consumado conforme a la normativa anterior, el nuevo precepto viene a lesionar la seguridad jurídica. Citando la doctrina de la STC 65/1987, la Sala recuerda que la Constitución prohíbe la retroactividad entendida como incidencia de la nueva Ley en los efectos ya producidos de situaciones anteriores. Esta retroactividad plena lesiona el principio de seguridad jurídica conforme a las SSTC 173/1996 y 234/2001. En el caso, además, a la vista de que el objetivo de la norma se orienta al futuro, para potenciar la participación política de quienes resulten efectivamente elegidos, el órgano que plantea la cuestión de inconstitucionalidad considera que la limitación no era necesaria para la protección de intereses públicos de preferente atención ni proporcionada.</w:t>
      </w:r>
    </w:p>
    <w:p w:rsidR="00BE7FB3" w:rsidRDefault="00BE7FB3" w:rsidP="00BE7FB3">
      <w:pPr>
        <w:pStyle w:val="TextoNormal"/>
      </w:pPr>
    </w:p>
    <w:p w:rsidR="00BE7FB3" w:rsidRDefault="00BE7FB3" w:rsidP="00BE7FB3">
      <w:pPr>
        <w:pStyle w:val="TextoNormal"/>
      </w:pPr>
      <w:r>
        <w:t>Por último el Auto aborda la vulneración del art. 24.1 CE. En virtud de este precepto constitucional, puesto en relación con los arts. 118 y 117.3 CE, la obligatoriedad del cumplimiento de las resoluciones judiciales vincula a los poderes públicos de tal manera que, en aplicación del principio de exclusividad del Poder Judicial en el ejercicio de la función jurisdiccional impide que el legislador pueda interferir en la resolución de litigios fenecidos. Con cita de la STC 73/2000, la Sala argumenta que el sacrificio de situaciones subjetivas amparadas por la cosa juzgada exige un interés legal que exija proporcionadamente tal sacrificio, lo que no se da en este caso, y exige también la garantía expropiatoria contenida en el art. 33.3 CE, prevista para la ablación tanto de la propiedad como de bienes y derechos individuales.</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4</w:t>
      </w:r>
      <w:r>
        <w:t>. La Sección Tercera del Tribunal Constitucional, por providencia del día 7 de mayo de 2002, acordó admitir a trámite la presente cuestión de inconstitucionalidad y dar traslado de las actuaciones recibidas, conforme al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Se ordenó también la publicación de la incoación de la cuestión en el “Boletín Oficial del Estado”, lo que tuvo lugar en el “BOE” núm. 121, de 21 de mayo de 2002.</w:t>
      </w:r>
    </w:p>
    <w:p w:rsidR="00BE7FB3" w:rsidRDefault="00BE7FB3" w:rsidP="00BE7FB3">
      <w:pPr>
        <w:pStyle w:val="TextoNormal"/>
      </w:pPr>
    </w:p>
    <w:p w:rsidR="00BE7FB3" w:rsidRDefault="00BE7FB3" w:rsidP="00BE7FB3">
      <w:pPr>
        <w:pStyle w:val="TextoNormal"/>
      </w:pPr>
      <w:r w:rsidRPr="00BE7FB3">
        <w:rPr>
          <w:rStyle w:val="NumeroAFNegritaCaracter"/>
        </w:rPr>
        <w:t>5</w:t>
      </w:r>
      <w:r>
        <w:t>. La Mesa del Congreso de los Diputados, mediante escrito de su Presidenta, ingresado el día 23 de mayo de 2002 en el Registro General de este Tribunal, dio traslado del acuerdo adoptado el 21 de mayo de 2002 en orden a comunicar al Tribunal Constitucional que, aun cuando no se personaría en el presente procedimiento ni formularía alegaciones, ponía a disposición cuantas actuaciones se puedan precisar.</w:t>
      </w:r>
    </w:p>
    <w:p w:rsidR="00BE7FB3" w:rsidRDefault="00BE7FB3" w:rsidP="00BE7FB3">
      <w:pPr>
        <w:pStyle w:val="TextoNormal"/>
      </w:pPr>
    </w:p>
    <w:p w:rsidR="00BE7FB3" w:rsidRDefault="00BE7FB3" w:rsidP="00BE7FB3">
      <w:pPr>
        <w:pStyle w:val="TextoNormal"/>
      </w:pPr>
      <w:r w:rsidRPr="00BE7FB3">
        <w:rPr>
          <w:rStyle w:val="NumeroAFNegritaCaracter"/>
        </w:rPr>
        <w:t>6</w:t>
      </w:r>
      <w:r>
        <w:t>. Mediante escrito ingresado en el Registro General de este Tribunal el día 23 de mayo de 2002, se dio oportuna cuenta del acuerdo adoptado por la Mesa del Senado disponiendo dar por personada a la Cámara en el presente procedimiento y por ofrecida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en la representación que legalmente ostenta, presentó el día 31 de mayo de 2002 ante el Registro General de este Tribunal escrito de alegaciones oponiéndose a la presente cuestión de inconstitucionalidad. En el mismo comienza señalando que, delimitada la cuestión en el sentido de que se refiere al apartado primero del precepto cuestionado, no existe objeción formal alguna a su admisibilidad desde el punto de vista del requisito de la relevancia.</w:t>
      </w:r>
    </w:p>
    <w:p w:rsidR="00BE7FB3" w:rsidRDefault="00BE7FB3" w:rsidP="00BE7FB3">
      <w:pPr>
        <w:pStyle w:val="TextoNormal"/>
      </w:pPr>
    </w:p>
    <w:p w:rsidR="00BE7FB3" w:rsidRDefault="00BE7FB3" w:rsidP="00BE7FB3">
      <w:pPr>
        <w:pStyle w:val="TextoNormal"/>
      </w:pPr>
      <w:r>
        <w:t>Entrando, por tanto, en el fondo, comienza por exponer que, a su parecer, de la jurisprudencia constitucional no se deriva que la exigencia de ley orgánica se amplíe a cualquier norma jurídica relacionada con las elecciones sino tan sólo a aquellos extremos que son imprescindibles al propio proceso electoral y sin el cual éste no podría ser reconocido como legítimo. Considera que las subvenciones dadas a los partidos políticos son instrumentos complementarios pero bien diferenciados del mecanismo electoral propiamente dicho, sin que su previsión ni su cuantía afecten de manera primaria y nuclear a la libertad de sufragio ni a la fidelidad de sus resultados. Si todo lo que contribuye a garantizar la igualdad en la concurrencia electoral quedara reservado a la ley orgánica, no habría materia electoral alguna que no se incluyera en tal reserva. Considera también el Abogado del Estado que del planteamiento de la Sentencia del Tribunal Supremo en el asunto de autos se desprende que la subvención constituye un crédito común para determinados gastos, desconectado de toda finalidad electoral. En cuanto a las argumentaciones del Auto relativas a la conexión entre el precepto cuestionado y el art. 18 LOPJ, el escrito señala que se remiten en realidad al derecho a la propiedad (art. 33.3 CE) y no al de la tutela judicial efectiva (art. 24.2 CE).</w:t>
      </w:r>
    </w:p>
    <w:p w:rsidR="00BE7FB3" w:rsidRDefault="00BE7FB3" w:rsidP="00BE7FB3">
      <w:pPr>
        <w:pStyle w:val="TextoNormal"/>
      </w:pPr>
    </w:p>
    <w:p w:rsidR="00BE7FB3" w:rsidRDefault="00BE7FB3" w:rsidP="00BE7FB3">
      <w:pPr>
        <w:pStyle w:val="TextoNormal"/>
      </w:pPr>
      <w:r>
        <w:t xml:space="preserve">Por lo que hace a la posible vulneración del art. 9.3 CE, el Abogado del Estado sostiene que el reproche de inconstitucionalidad se basa en la seguridad jurídica, de modo que se trata de indagar sobre el daño causado a los beneficiarios de la subvención en cuanto pudieron creer en la misma y decidirse, por ello, a participar en la elección. Al respecto señala </w:t>
      </w:r>
      <w:r>
        <w:lastRenderedPageBreak/>
        <w:t>que las precisiones subvencionales de los textos legales no pueden aislarse de la finalidad última perseguida por la ordenación del derecho de sufragio, que atiende a una función esencial para la organización del Estado. A la luz de las previsiones del decreto ley de 1977 y de la ley de 1988 aplicables a las elecciones, al Abogado del Estado no le cabe duda de que nadie podría representarse la idea de que la subvención constituía un objetivo puramente compensador de unos gastos derivados de la participación en una elección, dejando de considerar que todo proceso electoral persigue un fin de ordenación e integración de las instituciones. A su juicio, el hecho de que la Audiencia Nacional y el Tribunal Supremo interpretaran después la Ley en el sentido de que no era exigible tal integración no afecta en nada, pues lo importante es la previsibilidad que se desprendía del texto legal.</w:t>
      </w:r>
    </w:p>
    <w:p w:rsidR="00BE7FB3" w:rsidRDefault="00BE7FB3" w:rsidP="00BE7FB3">
      <w:pPr>
        <w:pStyle w:val="TextoNormal"/>
      </w:pPr>
    </w:p>
    <w:p w:rsidR="00BE7FB3" w:rsidRDefault="00BE7FB3" w:rsidP="00BE7FB3">
      <w:pPr>
        <w:pStyle w:val="TextoNormal"/>
      </w:pPr>
      <w:r>
        <w:t>Por último el escrito de alegaciones aborda el tercer reproche de inconstitucionalidad de la Sala y al respecto señala que el hecho de que un derecho haya sido declarado en Sentencia firme no le confiere ningún privilegio de inmunidad comparativamente a otros derechos de idéntico contenido que hayan merecido un reconocimiento espontáneo y no hayan tenido que ser ejercitados judicialmente. La santidad de la cosa juzgada excluye la modificación de lo sentenciado por la acción revisora de los Tribunales pero no garantiza la permanencia del contenido del derecho frente a las innovaciones legislativas. Respecto a la supuesta desproporción entre el sacrificio impuesto al derecho del particular y el interés general, entiende que el Auto de planteamiento la hace descansar no en la relación entre el fin de la subvención y el efecto de su supresión sino en el decaimiento del fin de la subvención por el transcurso de los plazos que confirman la imposibilidad de cumplir con su fin. Por otro lado, no cabría entender propiamente que ha habido una actuación expropiatoria, pues la privación de la subvención se funda en la frustración de la utilidad pública por cuya causa fue concedida.</w:t>
      </w:r>
    </w:p>
    <w:p w:rsidR="00BE7FB3" w:rsidRDefault="00BE7FB3" w:rsidP="00BE7FB3">
      <w:pPr>
        <w:pStyle w:val="TextoNormal"/>
      </w:pPr>
    </w:p>
    <w:p w:rsidR="00BE7FB3" w:rsidRDefault="00BE7FB3" w:rsidP="00BE7FB3">
      <w:pPr>
        <w:pStyle w:val="TextoNormal"/>
      </w:pPr>
      <w:r>
        <w:t>Por todo ello, el Abogado del Estado interesa la desestimación de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8</w:t>
      </w:r>
      <w:r>
        <w:t>. El Fiscal General del Estado formuló alegaciones mediante escrito ingresado en el Registro General de este Tribunal el día 11 de junio de 2002. En las mismas comienza precisando el objeto de la presente cuestión de inconstitucionalidad, que entiende limitado, tomando en cuenta el supuesto de hecho que dio lugar a la misma, exclusivamente al primer apartado de la disposición adicional vigésimo tercera de la Ley 24/2001 en lo que se refiere a las subvenciones concedidas por sentencia firme; se trata, además, tan sólo de aquéllas subvenciones devengadas conforme a los arts. 127 y 175.1 de la Ley Orgánica 5/1985, para las candidaturas que hubieran adoptado la forma de agrupación de electores.</w:t>
      </w:r>
    </w:p>
    <w:p w:rsidR="00BE7FB3" w:rsidRDefault="00BE7FB3" w:rsidP="00BE7FB3">
      <w:pPr>
        <w:pStyle w:val="TextoNormal"/>
      </w:pPr>
    </w:p>
    <w:p w:rsidR="00BE7FB3" w:rsidRDefault="00BE7FB3" w:rsidP="00BE7FB3">
      <w:pPr>
        <w:pStyle w:val="TextoNormal"/>
      </w:pPr>
      <w:r>
        <w:t>Por lo que hace a la admisibilidad de la cuestión de inconstitucionalidad, el Fiscal General del Estado pone de manifiesto la existencia de un Voto particular que acompaña al Auto de planteamiento de la cuestión y que señala que el precepto cuestionado no establece de manera inequívoca la eficacia retroactiva de la norma cuestionada. Al respecto, el Fiscal General del Estado indica, no obstante, que no comparte tal interpretación a la vista de la indudable vocación atemporal de la ley. Junto a ello destaca que es clara la relevancia del asunto a los efectos del art. 35 LOTC, habida cuenta de que ha quedado demostrado que parlamentarios electos en las elecciones generales del 22 de junio de 1986 no adquirieron su condición plena.</w:t>
      </w:r>
    </w:p>
    <w:p w:rsidR="00BE7FB3" w:rsidRDefault="00BE7FB3" w:rsidP="00BE7FB3">
      <w:pPr>
        <w:pStyle w:val="TextoNormal"/>
      </w:pPr>
    </w:p>
    <w:p w:rsidR="00BE7FB3" w:rsidRDefault="00BE7FB3" w:rsidP="00BE7FB3">
      <w:pPr>
        <w:pStyle w:val="TextoNormal"/>
      </w:pPr>
      <w:r>
        <w:lastRenderedPageBreak/>
        <w:t>Entrando ya en el fondo de la cuestión, considera que el precepto cuestionado no ha vulnerado la reserva de ley orgánica, ante todo porque al haberse aplicado para conceder una norma preconstitucional, no cabe exigir retroactivamente la reserva de ley orgánica para anular sus disposiciones. En segundo término, porque entiende que el devengo y reconocimiento de subvenciones no se puede reputar como elemento esencial del régimen electoral general y, en todo caso, porque incluso de reputarse así, la norma no se refiere a aspectos esenciales del sistema de subvenciones, sino a aspectos complementarios del mismo.</w:t>
      </w:r>
    </w:p>
    <w:p w:rsidR="00BE7FB3" w:rsidRDefault="00BE7FB3" w:rsidP="00BE7FB3">
      <w:pPr>
        <w:pStyle w:val="TextoNormal"/>
      </w:pPr>
    </w:p>
    <w:p w:rsidR="00BE7FB3" w:rsidRDefault="00BE7FB3" w:rsidP="00BE7FB3">
      <w:pPr>
        <w:pStyle w:val="TextoNormal"/>
      </w:pPr>
      <w:r>
        <w:t>Respecto a la tacha de inconstitucionalidad por contradicción con el principio de seguridad jurídica del art. 9.3 CE, señala el escrito que éste implica la certeza sobre el ordenamiento jurídico aplicable y los intereses jurídicamente tutelados, si bien permite cierta discrecionalidad al legislador para regular las relaciones de convivencia humana respondiendo a la realidad de cada momento. En este punto el escrito de alegaciones considera necesario examinar si la norma ha restringido retroactivamente algún derecho individual, llegando a una conclusión negativa.</w:t>
      </w:r>
    </w:p>
    <w:p w:rsidR="00BE7FB3" w:rsidRDefault="00BE7FB3" w:rsidP="00BE7FB3">
      <w:pPr>
        <w:pStyle w:val="TextoNormal"/>
      </w:pPr>
    </w:p>
    <w:p w:rsidR="00BE7FB3" w:rsidRDefault="00BE7FB3" w:rsidP="00BE7FB3">
      <w:pPr>
        <w:pStyle w:val="TextoNormal"/>
      </w:pPr>
      <w:r>
        <w:t xml:space="preserve">Entrando en la tercera duda de inconstitucionalidad, relativa a la lesión del art. 24.1 CE, el Fiscal General entiende que en ella se vienen a reunir diversas quejas formuladas como diferentes, tanto por lesión del art. 9.3 CE como del art. 18.2 LOPJ. Respecto a todo ello considera que la norma carece de efectos retroactivos pues se limita a introducir un requisito que estaba ya implícito en la legislación anterior, si bien no fue reconocido así por los Tribunales. En este sentido, entiende que de la normativa aplicable se desprende implícitamente que sólo se devenga el derecho a subvención cuando se perfecciona y ejercita efectivamente la representación parlamentaria obtenida. El escrito de alegaciones incluye en este punto una amplia serie de razonamientos en torno a la soberanía popular tal y como se plasma en la Constitución, de los que concluye que el sistema democrático representativo sólo puede amparar el acto de presentarse a las elecciones cuando ulteriormente se ejercen las funciones representativas. Por todo ello estima que el precepto cuestionado no se ha introducido </w:t>
      </w:r>
      <w:r w:rsidRPr="00BE7FB3">
        <w:rPr>
          <w:i/>
        </w:rPr>
        <w:t>ex novo</w:t>
      </w:r>
      <w:r>
        <w:t>, sino que se limita a dar forma a un deber positivo preexistente en el ordenamiento jurídico.</w:t>
      </w:r>
    </w:p>
    <w:p w:rsidR="00BE7FB3" w:rsidRDefault="00BE7FB3" w:rsidP="00BE7FB3">
      <w:pPr>
        <w:pStyle w:val="TextoNormal"/>
      </w:pPr>
    </w:p>
    <w:p w:rsidR="00BE7FB3" w:rsidRDefault="00BE7FB3" w:rsidP="00BE7FB3">
      <w:pPr>
        <w:pStyle w:val="TextoNormal"/>
      </w:pPr>
      <w:r>
        <w:t>Alternativamente considera que la no concesión de una subvención, o su revocación por incumplimiento de las condiciones legales, en ningún caso puede considerarse como una consecuencia sancionadora. Las subvenciones son una manifestación de la actividad de fomento del Estado que depende del cumplimiento de unos requisitos legales, de modo que no puede afirmarse en el supuesto ahora en cuestión la existencia de unos derechos consolidados. En todo caso señala que en la Constitución ningún derecho se configura como ilimitado, sino que pueden ceder ante otros intereses constitucionales o legalmente protegidos, con el límite siempre de la debida proporcionalidad. Para el examen de la misma hay que tener en cuenta, según el Fiscal General del Estado, el valor del pluralismo político y el mandato representativo democrático garantizado por el art. 23.1 CE. En tal sentido, la decisión de los representantes electos de la agrupación de electores en cuestión de no tomar posesión de sus escaños entraña notables perjuicios para el Estado pues impide presentarse a otras candidaturas y no justifica en absoluto la concesión de una subvención, de modo que los intereses generales deberán primar en su caso sobre la seguridad jurídica. A la vista de todo ello, el Fiscal General del Estado concluye postulado la desestimación de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9</w:t>
      </w:r>
      <w:r>
        <w:t>. Por diligencia de 11 de junio de 2002 se hizo constar la personación en el proceso del Abogado del Estado y del Fiscal General del Estado, dejando constancia de la presentación de las correspondientes alegaciones, y de que el proceso quedaba pendiente de deliberación y votación sin perjuicio del art. 84 LOTC.</w:t>
      </w:r>
    </w:p>
    <w:p w:rsidR="00BE7FB3" w:rsidRDefault="00BE7FB3" w:rsidP="00BE7FB3">
      <w:pPr>
        <w:pStyle w:val="TextoNormal"/>
      </w:pPr>
    </w:p>
    <w:p w:rsidR="00BE7FB3" w:rsidRDefault="00BE7FB3" w:rsidP="00BE7FB3">
      <w:pPr>
        <w:pStyle w:val="TextoNormal"/>
      </w:pPr>
      <w:r w:rsidRPr="00BE7FB3">
        <w:rPr>
          <w:rStyle w:val="NumeroAFNegritaCaracter"/>
        </w:rPr>
        <w:t>10</w:t>
      </w:r>
      <w:r>
        <w:t>. El Abogado del Estado presentó escrito en el Registro General de este Tribunal, con fecha de 20 de julio de 2012, en el que al amparo del art. 286 LEC ponía de manifiesto determinadas circunstancias acontecidas tras el plazo de alegaciones y que podrían tener relevancia para la resolución del pleito. En particular, se indica que el 31 de marzo de 2003, en cumplimiento de lo resuelto por el Sala Especial del art. 61 LOPJ del Tribunal Supremo en su Sentencia de 27 de marzo del mismo año, se procedió a la cancelación del registro del partido político Herri Batasuna en el correspondiente libro de inscripciones y cancelaciones del registro de partidos políticos. Igualmente, en su escrito, el Abogado da cuenta del proceso de liquidación patrimonial del citado partido político culminado a través del Auto de la Sala Especial del art. 61 LOPJ del Tribunal Supremo, de 20 de noviembre de 2008.</w:t>
      </w:r>
    </w:p>
    <w:p w:rsidR="00BE7FB3" w:rsidRDefault="00BE7FB3" w:rsidP="00BE7FB3">
      <w:pPr>
        <w:pStyle w:val="TextoNormal"/>
      </w:pPr>
    </w:p>
    <w:p w:rsidR="00BE7FB3" w:rsidRDefault="00BE7FB3" w:rsidP="00BE7FB3">
      <w:pPr>
        <w:pStyle w:val="TextoNormal"/>
      </w:pPr>
      <w:r>
        <w:t>En relación con lo expuesto, se alude a la doctrina que emana del ATC 520/2005, de 20 de diciembre, reiterada en la STC 138/2012, de 20 de junio, en cuya fundamentación jurídica se señala que la extinción de la personalidad jurídico-civil del partido político, o lo que es lo mismo, que el partido político Herri Batasuna ha dejado de ser “sujeto en Derecho y sujeto de derechos”. Como consecuencia, la entidad disuelta carece de capacidad jurídica para actuar en defensa de sus intereses y se ha producido la extinción de su “círculo jurídico, esto es, del haz de derechos y facultades que configuraban la propia existencia jurídica de la entidad disuelta”.</w:t>
      </w:r>
    </w:p>
    <w:p w:rsidR="00BE7FB3" w:rsidRDefault="00BE7FB3" w:rsidP="00BE7FB3">
      <w:pPr>
        <w:pStyle w:val="TextoNormal"/>
      </w:pPr>
    </w:p>
    <w:p w:rsidR="00BE7FB3" w:rsidRDefault="00BE7FB3" w:rsidP="00BE7FB3">
      <w:pPr>
        <w:pStyle w:val="TextoNormal"/>
      </w:pPr>
      <w:r>
        <w:t>A continuación se trae a colación la jurisprudencia de este Tribunal acerca de la desaparición sobrevenida del objeto en los procesos constitucionales recordando, en lo que a las cuestiones de inconstitucionalidad atañe, la vinculación del precepto impugnado con el proceso del que trae causa y, por ende, la necesaria existencia de dicho proceso. Es por ello que, según la doctrina de este Tribunal, la desaparición del proceso a quo ha de conducir a la extinción del propio proceso constitucional. No es óbice para el alegante que la parte actora reclamante en el proceso de ejecución sea la agrupación de electores Herri Batasuna y no el estrictamente el partido político Herri Batasuna, pues por parte de la representación procesal de la agrupación de electores en otros procesos con objeto similar se ha reconocido la identidad de la misma y del partido político, que no pudo constituirse como tal hasta 1986.</w:t>
      </w:r>
    </w:p>
    <w:p w:rsidR="00BE7FB3" w:rsidRDefault="00BE7FB3" w:rsidP="00BE7FB3">
      <w:pPr>
        <w:pStyle w:val="TextoNormal"/>
      </w:pPr>
    </w:p>
    <w:p w:rsidR="00BE7FB3" w:rsidRDefault="00BE7FB3" w:rsidP="00BE7FB3">
      <w:pPr>
        <w:pStyle w:val="TextoNormal"/>
      </w:pPr>
      <w:r>
        <w:t xml:space="preserve">Como colofón, el Abogado del Estado estima que el art. 9 LEC permite al juzgador en cualquier momento apreciar la ausencia de la falta de capacidad procesal para ser parte, constituyendo dicho supuesto una cuestión incidental de previo pronunciamiento (art. 391 LEC) y, si bien en el proceso </w:t>
      </w:r>
      <w:r w:rsidRPr="00BE7FB3">
        <w:rPr>
          <w:i/>
        </w:rPr>
        <w:t>a quo</w:t>
      </w:r>
      <w:r>
        <w:t xml:space="preserve"> podría haberse resulto incidentalmente su terminación por pérdida de la capacidad actora, nada impide que por parte de este Tribunal se declare conclusa la cuestión de inconstitucionalidad por la extinción en el proceso </w:t>
      </w:r>
      <w:r w:rsidRPr="00BE7FB3">
        <w:rPr>
          <w:i/>
        </w:rPr>
        <w:t>a quo</w:t>
      </w:r>
      <w:r>
        <w:t xml:space="preserve"> de uno de los elementos esenciales para la constitución de la relación jurídico-procesal, la capacidad del demandante para ser parte.</w:t>
      </w:r>
    </w:p>
    <w:p w:rsidR="00BE7FB3" w:rsidRDefault="00BE7FB3" w:rsidP="00BE7FB3">
      <w:pPr>
        <w:pStyle w:val="TextoNormal"/>
      </w:pPr>
    </w:p>
    <w:p w:rsidR="00BE7FB3" w:rsidRDefault="00BE7FB3" w:rsidP="00BE7FB3">
      <w:pPr>
        <w:pStyle w:val="TextoNormal"/>
      </w:pPr>
      <w:r>
        <w:t>Concluye el Abogado del Estado su escrito interesando su admisión y que se dicte Auto declarando la terminación de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11</w:t>
      </w:r>
      <w:r>
        <w:t>. El Pleno del Tribunal Constitucional, mediante providencia, de 13 de septiembre de 2012, acordó incorporar a las actuaciones el escrito del Abogado del Estado y conferir plazo de diez días al Ministerio Fiscal para que alegara lo que estimara conveniente.</w:t>
      </w:r>
    </w:p>
    <w:p w:rsidR="00BE7FB3" w:rsidRDefault="00BE7FB3" w:rsidP="00BE7FB3">
      <w:pPr>
        <w:pStyle w:val="TextoNormal"/>
      </w:pPr>
    </w:p>
    <w:p w:rsidR="00BE7FB3" w:rsidRDefault="00BE7FB3" w:rsidP="00BE7FB3">
      <w:pPr>
        <w:pStyle w:val="TextoNormal"/>
      </w:pPr>
      <w:r w:rsidRPr="00BE7FB3">
        <w:rPr>
          <w:rStyle w:val="NumeroAFNegritaCaracter"/>
        </w:rPr>
        <w:t>12</w:t>
      </w:r>
      <w:r>
        <w:t xml:space="preserve">. El 29 de octubre de 2012 tuvo entrada en el Registro General de este Tribunal escrito del Fiscal General del Estado en el que se daba cumplida cuenta del trámite de alegaciones conferido elevando las siguientes consideraciones. El Ministerio Fiscal recuerda que, si bien el planteamiento de la cuestión de inconstitucionalidad implica para el órgano promotor la suspensión del proceso del que trae causa, no provoca la pérdida de su plena capacidad para decidir, de oficio o a instancia de parte, acerca de la eventual extinción de aquél. Habida cuenta de dicha circunstancia el alegante estima que la cuestión planteada por el Abogado del Estado en sus alegaciones, esto es, la pérdida de la capacidad procesal de la parte actora del proceso de ejecución, hubo de promoverse ante la Audiencia Nacional y no ante este Tribunal. A juicio del Ministerio Fiscal el Tribunal Constitucional únicamente puede pronunciarse sobre el correcto planteamiento del proceso (en este caso la cuestión de inconstitucionalidad) que ante él pende, pero no puede entrar a determinar si el proceso </w:t>
      </w:r>
      <w:r w:rsidRPr="00BE7FB3">
        <w:rPr>
          <w:i/>
        </w:rPr>
        <w:t>a quo</w:t>
      </w:r>
      <w:r>
        <w:t xml:space="preserve"> continúa pendiendo ante el órgano promotor de la cuestión, pues en caso contrario estaría sustituyendo a éste en sus facultades jurisdiccionales.</w:t>
      </w:r>
    </w:p>
    <w:p w:rsidR="00BE7FB3" w:rsidRDefault="00BE7FB3" w:rsidP="00BE7FB3">
      <w:pPr>
        <w:pStyle w:val="TextoNormal"/>
      </w:pPr>
    </w:p>
    <w:p w:rsidR="00BE7FB3" w:rsidRDefault="00BE7FB3" w:rsidP="00BE7FB3">
      <w:pPr>
        <w:pStyle w:val="TextoNormal"/>
      </w:pPr>
      <w:r>
        <w:t>En atención a lo expuesto, el Fiscal General concluye solicitando se dicte resolución desestimatoria de la pretensión planteada por el Abogado del Estado en su escrito de alegaciones.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La presente cuestión de inconstitucionalidad ha sido promovida por la Sección Primera de la Sala de lo Contencioso-Administrativo de la Audiencia Nacional respecto de la disposición adicional vigésima tercera de la Ley 24/2001, de 27 de diciembre, de medidas fiscales, administrativas y del orden social, por entender que vulnera la reserva de ley orgánica del art. 81.1 CE, la seguridad jurídica garantizada en el art. 9.3 CE y la tutela judicial efectiva del art. 24.1 CE, en relación con los arts. 117.3, 118 y 33.3 CE, en su vertiente de obligatoriedad de cumplimiento de las resoluciones judiciales.</w:t>
      </w:r>
    </w:p>
    <w:p w:rsidR="00BE7FB3" w:rsidRDefault="00BE7FB3" w:rsidP="00BE7FB3">
      <w:pPr>
        <w:pStyle w:val="TextoNormal"/>
      </w:pPr>
    </w:p>
    <w:p w:rsidR="00BE7FB3" w:rsidRDefault="00BE7FB3" w:rsidP="00BE7FB3">
      <w:pPr>
        <w:pStyle w:val="TextoNormal"/>
      </w:pPr>
      <w:r>
        <w:t xml:space="preserve">El Auto de planteamiento de la cuestión limita la duda de constitucionalidad al apartado primero del precepto, cuyo tenor literal es el siguiente: </w:t>
      </w:r>
    </w:p>
    <w:p w:rsidR="00BE7FB3" w:rsidRDefault="00BE7FB3" w:rsidP="00BE7FB3">
      <w:pPr>
        <w:pStyle w:val="TextoNormal"/>
      </w:pPr>
    </w:p>
    <w:p w:rsidR="00BE7FB3" w:rsidRDefault="00BE7FB3" w:rsidP="00BE7FB3">
      <w:pPr>
        <w:pStyle w:val="TextoNormal"/>
      </w:pPr>
      <w:r>
        <w:t>“1. No habrá lugar al pago a los partidos políticos, federaciones, coaliciones o agrupaciones de electores, o a cualquier otra persona o entidad a las que, por cualquier título, se hubiere transmitido el crédito correspondiente, de las subvenciones devengadas o que se devenguen conforme a lo previsto en los artículos 127 de la Ley Orgánica 5/1985, de 19 de junio, de Régimen Electoral General y 3 de la Ley Orgánica 3/1987, de 2 de julio, sobre Financiación de los Partidos Políticos, mientras no se justifique la adquisición por los electos pertenecientes a dichas formaciones políticas de la condición plena de Diputado, Senador, miembro del Parlamento europeo o miembro de la correspondiente Corporación local y el ejercicio efectivo del cargo para el que hubiesen sido elegidos y por cuya elección y desempeño se hayan devengado o se devenguen las citadas subvenciones, aun cuando este devengo derive de su reconocimiento por sentencia judicial firme.</w:t>
      </w:r>
    </w:p>
    <w:p w:rsidR="00BE7FB3" w:rsidRDefault="00BE7FB3" w:rsidP="00BE7FB3">
      <w:pPr>
        <w:pStyle w:val="TextoNormal"/>
      </w:pPr>
    </w:p>
    <w:p w:rsidR="00BE7FB3" w:rsidRDefault="00BE7FB3" w:rsidP="00BE7FB3">
      <w:pPr>
        <w:pStyle w:val="TextoNormal"/>
      </w:pPr>
      <w:r>
        <w:t>El supuesto a que se refiere el apartado anterior constituirá, a los efectos previstos en el artículo 105 de la Ley 29/1998, de 13 de julio, reguladora de la jurisdicción contencioso-administrativa, causa de imposibilidad legal de ejecutar las sentencias que reconozcan el derecho a percibir las referidas subvenciones, sin que tal inejecución dé lugar a indemnización alguna.”</w:t>
      </w:r>
    </w:p>
    <w:p w:rsidR="00BE7FB3" w:rsidRDefault="00BE7FB3" w:rsidP="00BE7FB3">
      <w:pPr>
        <w:pStyle w:val="TextoNormal"/>
      </w:pPr>
    </w:p>
    <w:p w:rsidR="00BE7FB3" w:rsidRDefault="00BE7FB3" w:rsidP="00BE7FB3">
      <w:pPr>
        <w:pStyle w:val="TextoNormal"/>
      </w:pPr>
      <w:r>
        <w:t>Tanto el Abogado del Estado como el Fiscal General del Estado, como se ha dejado constancia en los antecedentes, interesan la desestimación de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No puede acogerse la pretensión del Abogado del Estado, elevada en su escrito de ampliación de alegaciones, con fecha de registro ante este Tribunal de 20 de julio de 2012, de declarar terminado el presente proceso sobre la base de que la parte reclamante en el proceso ejecutivo </w:t>
      </w:r>
      <w:r w:rsidRPr="00BE7FB3">
        <w:rPr>
          <w:i/>
        </w:rPr>
        <w:t>a quo</w:t>
      </w:r>
      <w:r>
        <w:t xml:space="preserve"> ha perdido la capacidad procesal como consecuencia de la disolución del partido político Herri Batasuna dispuesta por la Sala Especial del art. 61 de la Ley Orgánica del Poder Judicial (LOPJ) del Tribunal Supremo en su Sentencia de 27 de marzo de 2003.</w:t>
      </w:r>
    </w:p>
    <w:p w:rsidR="00BE7FB3" w:rsidRDefault="00BE7FB3" w:rsidP="00BE7FB3">
      <w:pPr>
        <w:pStyle w:val="TextoNormal"/>
      </w:pPr>
    </w:p>
    <w:p w:rsidR="00BE7FB3" w:rsidRDefault="00BE7FB3" w:rsidP="00BE7FB3">
      <w:pPr>
        <w:pStyle w:val="TextoNormal"/>
      </w:pPr>
      <w:r>
        <w:t>Como atinadamente considera el Ministerio Fiscal en su escrito de contestación, tal cuestión no puede ser resuelta en el curso de este proceso constitucional en que el reclamante en el procedimiento de ejecución ni siquiera es parte de acuerdo con la regulación de la Ley Orgánica del Tribunal Constitucional (LOTC) vigente en el momento en el que se planteó la presente impugnación (AATC 309/1987, de 12 de marzo, FJ 1; y 174/1995, de 6 de junio, FJ 4). Dicha circunstancia hubo de ser planteada, en su caso, ante el órgano que conoce de la ejecución y resuelta por el mismo, sin quepa a este Tribunal pronunciarse sobre la misma.</w:t>
      </w:r>
    </w:p>
    <w:p w:rsidR="00BE7FB3" w:rsidRDefault="00BE7FB3" w:rsidP="00BE7FB3">
      <w:pPr>
        <w:pStyle w:val="TextoNormal"/>
      </w:pPr>
    </w:p>
    <w:p w:rsidR="00BE7FB3" w:rsidRDefault="00BE7FB3" w:rsidP="00BE7FB3">
      <w:pPr>
        <w:pStyle w:val="TextoNormal"/>
      </w:pPr>
      <w:r w:rsidRPr="00BE7FB3">
        <w:rPr>
          <w:rStyle w:val="NumeroAFNegritaCaracter"/>
        </w:rPr>
        <w:t>3</w:t>
      </w:r>
      <w:r>
        <w:t>. Sin perjuicio de lo expuesto, por parte de este Tribunal debe examinarse una serie de circunstancias que, de forma sobrevenida a la admisión de la presente cuestión de inconstitucionalidad, pueden afectar a los presupuestos procesales necesarios para promover este tipo de procesos y, por ello, a la pervivencia del proceso constitucional, ya que aunque sea al órgano judicial al que corresponde apreciar inicialmente la relevancia de la norma cuestionada, este Tribunal Constitucional debe preservar la función de control concreto de constitucionalidad que caracteriza a la cuestión de inconstitucionalidad (como se desprende de las SSTC 17/1981, de 1 de junio, FJ 1; y 55/2010, de 4 de octubre, FJ 2, entre otras).</w:t>
      </w:r>
    </w:p>
    <w:p w:rsidR="00BE7FB3" w:rsidRDefault="00BE7FB3" w:rsidP="00BE7FB3">
      <w:pPr>
        <w:pStyle w:val="TextoNormal"/>
      </w:pPr>
    </w:p>
    <w:p w:rsidR="00BE7FB3" w:rsidRDefault="00BE7FB3" w:rsidP="00BE7FB3">
      <w:pPr>
        <w:pStyle w:val="TextoNormal"/>
      </w:pPr>
      <w:r>
        <w:t xml:space="preserve">Pues bien, las circunstancias que han de considerase tienen que ver con la disolución del partido político Herri Batasuna y la posterior liquidación de su patrimonio ventiladas ante la Sala Especial del art. 61 LOPJ del Tribunal Supremo. Así, en su Sentencia de 27 de marzo de 2003, por la que se resolvió la ilegalización de los partidos políticos Herri Batasuna, Euskal Herritarrok y Batasuna, la citada Sala, por un lado, declaró probado que el partido político Herri Batasuna, con carácter previo a su constitución e inscripción en el registro de partidos políticos dependiente del Ministerio del Interior en fecha 5 de junio de 1986 en cumplimiento de la Sentencia de la Sala Primera del Tribunal Supremo de 31 de mayo de 1986, había adoptado la forma de agrupación de electores con el objeto de concurrir a los distintos procesos electorales [hecho probado 1.1 B)] y, en este sentido, la parte actora en el procedimiento ejecutivo </w:t>
      </w:r>
      <w:r w:rsidRPr="00BE7FB3">
        <w:rPr>
          <w:i/>
        </w:rPr>
        <w:t>a quo</w:t>
      </w:r>
      <w:r>
        <w:t xml:space="preserve"> del que dimana la presente cuestión de inconstitucionalidad es la agrupación de electores Herri Batasuna que concurrió en las elecciones generales de </w:t>
      </w:r>
      <w:r>
        <w:lastRenderedPageBreak/>
        <w:t>1986 por la circunscripción de Vizcaya. Por otro lado, la citada resolución, además de declarar la ilegalidad de dichas formaciones, dispuso: “la apertura de un proceso de liquidación patrimonial de Herri Batasuna, Euskal Herritarrok y Batasuna en la forma que se establece en el art. 12.1 c) de la Ley Orgánica 6/2002, de Partidos Políticos, lo que se llevará a cabo en ejecución de la presente sentencia” (apartado quinto del fallo).</w:t>
      </w:r>
    </w:p>
    <w:p w:rsidR="00BE7FB3" w:rsidRDefault="00BE7FB3" w:rsidP="00BE7FB3">
      <w:pPr>
        <w:pStyle w:val="TextoNormal"/>
      </w:pPr>
    </w:p>
    <w:p w:rsidR="00BE7FB3" w:rsidRDefault="00BE7FB3" w:rsidP="00BE7FB3">
      <w:pPr>
        <w:pStyle w:val="TextoNormal"/>
      </w:pPr>
      <w:r>
        <w:t>Sustanciado el incidente de ejecución, la Sala supracitada acordó, mediante Auto de 16 de octubre de 2003, despachar ejecución de los pronunciamientos contenidos en el fallo de la anterior Sentencia de ilegalización y abrir el correspondiente proceso de liquidación del partido político Herri Batasuna, decretando, a tal efecto, el embargo de, entre otros bienes, toda clase de subvenciones estatales y nombrando para llevar a cabo dicho proceso a los correspondientes liquidadores. Por último, en el Auto de 20 de noviembre de 2008 la Sala Especial del art. 61 LOPJ procedió a la aprobación del balance de liquidación de los citados partidos políticos ilegalizados y, en el párrafo segundo correspondiente al fundamento jurídico décimo de esta resolución, el Tribunal Supremo aborda el destino que ha de darse al activo patrimonial de aquéllos indicando que: “[el] activo de Herri Batasuna, que alcanza el importe de 1.946.625,52 euros, correspondiente a las subvenciones procedentes del Ministerio del Interior, devengadas por razón de diversos procesos electorales …”, por lo que las cantidades adeudadas por la Administración en concepto de subvenciones electorales ya han sido puestas a disposición del órgano liquidador.</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Procede, una vez expuestas las anteriores circunstancias, determinar de qué manera afectan a la relevancia del precepto cuestionado para resolver el proceso </w:t>
      </w:r>
      <w:r w:rsidRPr="00BE7FB3">
        <w:rPr>
          <w:i/>
        </w:rPr>
        <w:t>a quo</w:t>
      </w:r>
      <w:r>
        <w:t xml:space="preserve">. Relevancia que se erige como un requisito, no sólo para resolver sobre la admisibilidad de las cuestiones de inconstitucionalidad, sino, en su caso, para determinar su pervivencia, pues como tiene declarado este Tribunal: “[m]ás detenido ha de ser nuestro examen acerca de si la disposición cuestionada es relevante para la resolución del proceso penal </w:t>
      </w:r>
      <w:r w:rsidRPr="00BE7FB3">
        <w:rPr>
          <w:i/>
        </w:rPr>
        <w:t>a quo</w:t>
      </w:r>
      <w:r>
        <w:t xml:space="preserve">, esto es, si como exige el art. 163 CE y recuerda el art. 35.1 LOTC, la norma cuestionada es aplicable al caso ventilado en el proceso en el que la cuestión se suscita y si, además, de su validez depende el fallo que el órgano judicial haya de dictar. En este sentido es de advertir que frente a la flexibilidad con que debe acogerse la apreciación del órgano judicial acerca de la inclusión de la disposición cuestionada en el elenco de normas que hayan de ser tomadas en consideración para resolver el litigio —esto es, su aplicabilidad— hasta el punto de que sólo cuando de manera evidente, sin necesidad de análisis de fondo, la norma cuestionada sea, según principios jurídicos básicos, inaplicable al caso en donde la cuestión se suscita, sólo entonces, cabrá declarar inadmisible por esta razón una cuestión de inconstitucionalidad; por el contrario, mayor rigor debemos emplear para calificar a la disposición cuestionada como norma determinante del fallo, pues sin perjuicio de que también sea al órgano judicial al que </w:t>
      </w:r>
      <w:r w:rsidRPr="00BE7FB3">
        <w:rPr>
          <w:i/>
        </w:rPr>
        <w:t>prima facie</w:t>
      </w:r>
      <w:r>
        <w:t xml:space="preserve"> compete apreciar el valor decisorio de la norma cuestionada, no es menos cierto que corresponde a este Tribunal Constitucional preservar la función de control concreto de constitucionalidad que caracteriza a la cuestión de inconstitucionalidad” (STC 55/2010, de 4 de octubre, FJ 2).</w:t>
      </w:r>
    </w:p>
    <w:p w:rsidR="00BE7FB3" w:rsidRDefault="00BE7FB3" w:rsidP="00BE7FB3">
      <w:pPr>
        <w:pStyle w:val="TextoNormal"/>
      </w:pPr>
    </w:p>
    <w:p w:rsidR="00BE7FB3" w:rsidRDefault="00BE7FB3" w:rsidP="00BE7FB3">
      <w:pPr>
        <w:pStyle w:val="TextoNormal"/>
      </w:pPr>
      <w:r>
        <w:t xml:space="preserve">Ha de indicarse que la norma cuestionada ante este Tribunal ha dejado de ser determinante para la resolución del proceso </w:t>
      </w:r>
      <w:r w:rsidRPr="00BE7FB3">
        <w:rPr>
          <w:i/>
        </w:rPr>
        <w:t>a quo</w:t>
      </w:r>
      <w:r>
        <w:t xml:space="preserve"> tras la disolución del partido político Herri Batasuna acordada por la Sala Especial del art. 61 LOPJ del Tribunal Supremo pues, a partir de la apertura del subsiguiente proceso de liquidación patrimonial de la formación, el Tribunal Supremo ha acordado que la cantidad correspondiente a la subvención electoral reclamada </w:t>
      </w:r>
      <w:r>
        <w:lastRenderedPageBreak/>
        <w:t>en vía ejecutiva ante la Audiencia Nacional en ningún caso puede abonarse a la parte reclamante, la agrupación de electores Herri Batasuna (reconocida antecesora del partido disuelto por el Tribunal Supremo), sino que ha de ser puesta a disposición de la citada Sala Especial a los efectos de la liquidación patrimonial acordada como, por cierto, se deduce que ha ocurrido a partir de la lectura del Auto de 20 de noviembre de 2008, en el que se expresa que el activo patrimonial del partido político estaba conformado por la cantidad de 1.946.625,52 euros, correspondiente a las subvenciones procedentes del Ministerio del Interior, devengadas por razón de diversos procesos electorales, tal y como ha quedado expuesto en el último párrafo del fundamento jurídico anterior.</w:t>
      </w:r>
    </w:p>
    <w:p w:rsidR="00BE7FB3" w:rsidRDefault="00BE7FB3" w:rsidP="00BE7FB3">
      <w:pPr>
        <w:pStyle w:val="TextoNormal"/>
      </w:pPr>
    </w:p>
    <w:p w:rsidR="00BE7FB3" w:rsidRDefault="00BE7FB3" w:rsidP="00BE7FB3">
      <w:pPr>
        <w:pStyle w:val="TextoNormal"/>
      </w:pPr>
      <w:r>
        <w:t>Así las cosas, el objeto de la disposición adicional vigésimo tercera, “pago de subvenciones a partidos políticos”, de la ley 24/2001, de 27 de diciembre, de medidas fiscales, administrativas y del orden social, era evitar el “pago a los partidos políticos, federaciones, coaliciones o agrupaciones de electores, o a cualquier otra persona o entidad a las que, por cualquier título, se hubiere transmitido el crédito correspondiente” de las subvenciones electorales en los supuestos de que las formaciones políticas beneficiarias no acreditaran que los candidatos electos hubieran adquirido plenamente su plena condición representativa, aun en el caso de que el cobro de las correspondientes cantidades deviniera de su reconocimiento por sentencia firme, como es el caso. Sin embargo, como se ha referido anteriormente, el destino de la cantidad cuya abono se reclamaba en el procedimiento de ejecución que está en el origen de la presente cuestión de inconstitucionalidad ya no es el pago a la parte reclamante sino su afectación a un procedimiento judicial de liquidación patrimonial.</w:t>
      </w:r>
    </w:p>
    <w:p w:rsidR="00BE7FB3" w:rsidRDefault="00BE7FB3" w:rsidP="00BE7FB3">
      <w:pPr>
        <w:pStyle w:val="TextoNormal"/>
      </w:pPr>
    </w:p>
    <w:p w:rsidR="00BE7FB3" w:rsidRDefault="00BE7FB3" w:rsidP="00BE7FB3">
      <w:pPr>
        <w:pStyle w:val="TextoNormal"/>
      </w:pPr>
      <w:r>
        <w:t>En consecuencia, la inclusión de la cantidad adeudada en el procedimiento de liquidación concluido por Auto de 20 de noviembre de 2008 determina que ya no resulte de aplicación la disposición adicional cuyo enjuiciamiento por este Tribunal se pretendía, si bien por causas sobrevenidas al momento del planteamiento y admisión de la presente cuestión de inconstitucionalidad, pero que implican una desaparición sobrevenida de los presupuestos de apertura del presente proceso constitucional y que ha de provocar su extinción, ya que, como tiene declarado este Tribunal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 Extinción del proceso constitucional que no conlleva pronunciamiento alguno acerca de la suerte que ha de correr el procedimiento del que pende la presente cuestión de inconstitucionalidad y cuya resolución cumple exclusivamente al órgano promotor de la misma.</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la extinción de la cuestión de inconstitucionalidad núm. 1572-2002, por desaparición sobrevenida de su objeto.</w:t>
      </w:r>
    </w:p>
    <w:p w:rsidR="00BE7FB3" w:rsidRDefault="00BE7FB3" w:rsidP="00BE7FB3">
      <w:pPr>
        <w:pStyle w:val="TextoNormal"/>
      </w:pPr>
    </w:p>
    <w:p w:rsidR="00BE7FB3" w:rsidRDefault="00BE7FB3" w:rsidP="00BE7FB3">
      <w:pPr>
        <w:pStyle w:val="TextoNormal"/>
      </w:pPr>
      <w:r>
        <w:t>Madrid, a doce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73" w:name="AUTO_2013_32"/>
      <w:r>
        <w:lastRenderedPageBreak/>
        <w:t>AUTO 32/2013, de 12 de febrero de 2013</w:t>
      </w:r>
    </w:p>
    <w:bookmarkEnd w:id="173"/>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ECLI:ES:TC:2013:32A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1573-2002, planteada por la Sala de lo Contencioso-Administrativo de la Audiencia Nacional en relación con la disposición adicional vigésimo tercera de la Ley 24/2001, de 27 de diciembre, de medidas fiscales, administrativas y del orden social.</w:t>
      </w:r>
    </w:p>
    <w:p w:rsidR="00BE7FB3" w:rsidRDefault="00BE7FB3" w:rsidP="00BE7FB3">
      <w:pPr>
        <w:pStyle w:val="SntesisDescriptiva"/>
      </w:pPr>
    </w:p>
    <w:p w:rsidR="00BE7FB3" w:rsidRDefault="00BE7FB3" w:rsidP="00BE7FB3">
      <w:pPr>
        <w:pStyle w:val="SntesisAnaltica"/>
      </w:pPr>
      <w:r>
        <w:t>Extinción de cuestión de inconstitucionalidad: ATC 30/2013; juicio de relevancia; pérdida sobrevenida de objeto por pérdida de relevancia. Partidos políticos: ilegalización de partidos políticos.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15 de marzo de 2002 tuvo entrada en el Registro General de este Tribunal escrito de la Sección Primera de la Sala de lo Contencioso-Administrativo de la Audiencia Nacional al que se acompaña, junto al testimonio de las actuaciones del procedimiento ordinario núm. 19123-1989, el Auto de 22 de febrero de 2002 del referido órgano judicial, por el que se acuerda plantear cuestión de inconstitucionalidad respecto de la disposición adicional vigésimo tercera, “pago de subvenciones a partidos políticos”, de la Ley 24/2001, de 27 de diciembre, de medidas fiscales, administrativas y del orden social, por su posible contradicción con el art. 81.1 CE, “al modificar mediante ley ordinaria materias objeto de Ley Orgánica”, con el art. 9.3 CE “al establecerse la retroactividad de la norma con afección del principio de seguridad jurídica” y del art. 24.1 CE “en relación con los arts. 117.3, 118 y 33.3 de la misma norma”.</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La cuestión trae causa del procedimiento de ejecución de la Sentencia de la Sección Primera de la Sala de lo Contencioso-Administrativo de la Audiencia Nacional que, mediante Sentencia de 28 de octubre de 1991, había estimado la pretensión de la agrupación de electores Herri Batasuna de que se le abonara la cantidad de 4.099.000 pesetas, más los intereses legales, en concepto de subvención por los gastos derivados de las elecciones generales celebradas en 1986 en la provincia de Navarra. Frente a la alegación del Abogado del Estado de que la no adquisición de la plena condición de diputado por la negativa a acatar la Constitución privaba a los recurrentes del derecho a obtener las subvenciones devengadas en el período electoral, la Sala que ahora eleva la cuestión consideró entonces que </w:t>
      </w:r>
      <w:r>
        <w:lastRenderedPageBreak/>
        <w:t>el requisito para la percepción de dichas subvenciones era la simple participación en el proceso electoral y la obtención de escaño, resultando jurídicamente indiferente la actitud ulterior de quienes resultaron elegidos diputados cuando no prestasen el oportuno juramento o promesa de acatamiento a la Constitución. Lo razonaba en que las subvenciones electorales se destinan a subvenir los gastos electorales en sentido estricto.</w:t>
      </w:r>
    </w:p>
    <w:p w:rsidR="00BE7FB3" w:rsidRDefault="00BE7FB3" w:rsidP="00BE7FB3">
      <w:pPr>
        <w:pStyle w:val="TextoNormal"/>
      </w:pPr>
    </w:p>
    <w:p w:rsidR="00BE7FB3" w:rsidRDefault="00BE7FB3" w:rsidP="00BE7FB3">
      <w:pPr>
        <w:pStyle w:val="TextoNormal"/>
      </w:pPr>
      <w:r>
        <w:t>Contra dicha Sentencia el Abogado del Estado se alzó apelación que fue desestimada por Sentencia, de 19 de febrero de 1997, de la Sección Sexta de la Sala Tercera del Tribunal Supremo que confirmó la Sentencia de la Audiencia Nacional en todos sus pronunciamientos.</w:t>
      </w:r>
    </w:p>
    <w:p w:rsidR="00BE7FB3" w:rsidRDefault="00BE7FB3" w:rsidP="00BE7FB3">
      <w:pPr>
        <w:pStyle w:val="TextoNormal"/>
      </w:pPr>
    </w:p>
    <w:p w:rsidR="00BE7FB3" w:rsidRDefault="00BE7FB3" w:rsidP="00BE7FB3">
      <w:pPr>
        <w:pStyle w:val="TextoNormal"/>
      </w:pPr>
      <w:r>
        <w:t>El representante legal de la agrupación de electores, mediante escrito presentado ante la Audiencia Nacional el 26 de mayo de 1997, instó la ejecución de la Sentencia de referencia en sus propios términos, a la que no se opuso el Abogado del Estado. En su virtud, la Sección Primera de la Sala de lo Contencioso-Administrativo de la Audiencia Nacional, mediante providencia de 7 de julio de 1997, acordó requerir al Ministerio de Interior para por término de un mes comunicara las medidas adoptadas en ejecución de la sentencia.</w:t>
      </w:r>
    </w:p>
    <w:p w:rsidR="00BE7FB3" w:rsidRDefault="00BE7FB3" w:rsidP="00BE7FB3">
      <w:pPr>
        <w:pStyle w:val="TextoNormal"/>
      </w:pPr>
    </w:p>
    <w:p w:rsidR="00BE7FB3" w:rsidRDefault="00BE7FB3" w:rsidP="00BE7FB3">
      <w:pPr>
        <w:pStyle w:val="TextoNormal"/>
      </w:pPr>
      <w:r>
        <w:t>La Sección Primera de la Sala de lo Contencioso-Administrativo de la Audiencia Nacional por providencia de 7 de diciembre de 1998, requirió al Ministerio del Interior para que informara sobre los trámites y actuaciones practicadas para el pago de las cantidades reconocidas por sentencia. Por su parte, el representante legal de la agrupación de electores puso de manifiesto por escrito de 22 de febrero de 1999 la inactividad de la Administración, instando de nuevo la ejecución de la demanda.</w:t>
      </w:r>
    </w:p>
    <w:p w:rsidR="00BE7FB3" w:rsidRDefault="00BE7FB3" w:rsidP="00BE7FB3">
      <w:pPr>
        <w:pStyle w:val="TextoNormal"/>
      </w:pPr>
    </w:p>
    <w:p w:rsidR="00BE7FB3" w:rsidRDefault="00BE7FB3" w:rsidP="00BE7FB3">
      <w:pPr>
        <w:pStyle w:val="TextoNormal"/>
      </w:pPr>
      <w:r>
        <w:t>El Abogado del Estado, por escrito de 4 de diciembre de 2000, puso en conocimiento de la Sala ejecutante las dificultades con las que se estaba encontrando la Administración para la ejecución de la referida Sentencia. En concreto se hizo referencia al carácter efímero de las agrupaciones de electores; señalando el hecho de que, en el momento en que se había requerido la ejecución, la agrupación de electores “Herri Batasuna” ya había desaparecido, con lo que esto implicaba el cese de le representación de sus representantes procesales, de modo que no se les podía abonar a ellos la subvención litigiosa ni tampoco lo hubieran permitido las normas sobre fiscalización emanadas del Tribunal de Cuentas. Concluía su escrito pidiendo de la Sala que dictara resolución acordando la forma de llevar a efecto el fallo.</w:t>
      </w:r>
    </w:p>
    <w:p w:rsidR="00BE7FB3" w:rsidRDefault="00BE7FB3" w:rsidP="00BE7FB3">
      <w:pPr>
        <w:pStyle w:val="TextoNormal"/>
      </w:pPr>
    </w:p>
    <w:p w:rsidR="00BE7FB3" w:rsidRDefault="00BE7FB3" w:rsidP="00BE7FB3">
      <w:pPr>
        <w:pStyle w:val="TextoNormal"/>
      </w:pPr>
      <w:r>
        <w:t>Mediante providencia de 24 de enero de 2001, la Sección Primera de la Sala de lo Contencioso-Administrativo dispuso que se diera traslado a la parte demandante del citado escrito y se dejara sin efecto el requerimiento de información dirigido a la Administración anteriormente, con fecha de 24 de junio de 1999. La representación legal de la agrupación de electores presentó escrito de alegaciones con fecha de registro de 6 de febrero de 2001, en el que se oponía a lo solicitado por el Abogado del Estado, y solicitaba, por un lado, que se revocara la providencia de 24 de enero de 2001 con el objeto de que se mantuviera en vigor el citado requerimiento de información dirigido a la Administración y, de otro lado, se requiriera a la misma la entrega del importe de la indemnización fijada en Sentencia.</w:t>
      </w:r>
    </w:p>
    <w:p w:rsidR="00BE7FB3" w:rsidRDefault="00BE7FB3" w:rsidP="00BE7FB3">
      <w:pPr>
        <w:pStyle w:val="TextoNormal"/>
      </w:pPr>
    </w:p>
    <w:p w:rsidR="00BE7FB3" w:rsidRDefault="00BE7FB3" w:rsidP="00BE7FB3">
      <w:pPr>
        <w:pStyle w:val="TextoNormal"/>
      </w:pPr>
      <w:r>
        <w:t xml:space="preserve">La Sección Primera de la Sala de lo Contencioso-Administrativo resolvió la solicitud del Abogado del Estado mediante Auto de 28 de febrero de 2001 que mantenía el requerimiento </w:t>
      </w:r>
      <w:r>
        <w:lastRenderedPageBreak/>
        <w:t>anterior y fijaba la manera de cumplir la sentencia mediante el abono de la indemnización fijada, más los intereses computados desde la fecha de la Sentencia de instancia a la entidad Guipuzkoa Donostia Kutxa.</w:t>
      </w:r>
    </w:p>
    <w:p w:rsidR="00BE7FB3" w:rsidRDefault="00BE7FB3" w:rsidP="00BE7FB3">
      <w:pPr>
        <w:pStyle w:val="TextoNormal"/>
      </w:pPr>
    </w:p>
    <w:p w:rsidR="00BE7FB3" w:rsidRDefault="00BE7FB3" w:rsidP="00BE7FB3">
      <w:pPr>
        <w:pStyle w:val="TextoNormal"/>
      </w:pPr>
      <w:r>
        <w:t>Tras diversos requerimientos judiciales, la Subsecretaria del Ministerio del Interior, mediante escrito ingresado el 21 de septiembre de 2001 ante la Audiencia Nacional, comunica que se han iniciado los trámites para el abono de la cantidad adeudada solicitando informe de la Abogacía del Estado relativo al cálculo de los intereses legales.</w:t>
      </w:r>
    </w:p>
    <w:p w:rsidR="00BE7FB3" w:rsidRDefault="00BE7FB3" w:rsidP="00BE7FB3">
      <w:pPr>
        <w:pStyle w:val="TextoNormal"/>
      </w:pPr>
    </w:p>
    <w:p w:rsidR="00BE7FB3" w:rsidRDefault="00BE7FB3" w:rsidP="00BE7FB3">
      <w:pPr>
        <w:pStyle w:val="TextoNormal"/>
      </w:pPr>
      <w:r>
        <w:t>El 20 de diciembre de 2001, la Sección Primera de la Sala de lo Contencioso-Administrativo de la Audiencia Nacional dictó Auto por el que se impuso a la Excma. Sra. Subsecretaria del Interior multa de 50.000 pesetas, requiriéndola nuevamente a que procediera a dar cumplimiento a la sentencia, advirtiéndole de que en su caso podría procederse a la imposición de una nueva multa. Contra el Auto se solicitó por parte de la sancionada audiencia en justicia, al amparo del art. 48.8 de la Ley reguladora de la jurisdicción contencioso-administrativa (LJCA), y asimismo se presentó, por parte del Abogado del Estado, recurso de súplica en el que, entre otras consideraciones, se ponía de manifiesto la aprobación de la Ley 24/2001, de 27 de diciembre, de medidas fiscales, administrativas y del orden social, cuya disposición adicional vigésimo tercera podía afectar a la ejecución de la sentencia de la que traía causa la sanción impuesta, por lo que solicitaba la suspensión de la ejecución del Auto recurrido. Mediante sendos Autos de 17 de enero de 2002 y de 24 de enero de 2001, la citada Sección Primera de la Sala de lo Contencioso-Administrativo de la Audiencia Nacional dispuso, de un lado, la ratificación de la sanción acordada y, de otro lado, con estimación del recurso de súplica planteado, dejar sin efecto la parte dispositiva de la resolución impugnada en lo relativo a los requerimientos dirigidos a las autoridades del Ministerio del Interior con el objeto de que se cumpliera la Sentencia de 25 de octubre de 1991.</w:t>
      </w:r>
    </w:p>
    <w:p w:rsidR="00BE7FB3" w:rsidRDefault="00BE7FB3" w:rsidP="00BE7FB3">
      <w:pPr>
        <w:pStyle w:val="TextoNormal"/>
      </w:pPr>
    </w:p>
    <w:p w:rsidR="00BE7FB3" w:rsidRDefault="00BE7FB3" w:rsidP="00BE7FB3">
      <w:pPr>
        <w:pStyle w:val="TextoNormal"/>
      </w:pPr>
      <w:r>
        <w:t>Paralelamente al recurso de súplica contra el Auto de 20 de diciembre de 2001, el 4 de enero de 2002 el Abogado del Estado presentó ante la Audiencia Nacional escrito en el que daba cuenta de la publicación en el “Boletín Oficial del Estado” de 31 de diciembre de 2001 de la Ley 24/2001, de 27 de diciembre, de medidas fiscales, administrativas y del orden social, cuya disposición adicional vigésima tercera, dedicada al “pago de subvenciones a partidos políticos”, hacía imposible la ejecución de la Sentencia, por lo que, conforme al art. 105.2 LJCA, solicitaba que se acordase la concurrencia de causa de imposibilidad legal de ejecución del fallo, sin indemnización.</w:t>
      </w:r>
    </w:p>
    <w:p w:rsidR="00BE7FB3" w:rsidRDefault="00BE7FB3" w:rsidP="00BE7FB3">
      <w:pPr>
        <w:pStyle w:val="TextoNormal"/>
      </w:pPr>
    </w:p>
    <w:p w:rsidR="00BE7FB3" w:rsidRDefault="00BE7FB3" w:rsidP="00BE7FB3">
      <w:pPr>
        <w:pStyle w:val="TextoNormal"/>
      </w:pPr>
      <w:r>
        <w:t>La Sección Primera de la Sala de lo Contencioso-Administrativo de la Audiencia Nacional consideró que el citado precepto pudiera contravenir varios preceptos de la Constitución, por lo que, en aplicación del art. 35 de la Ley Orgánica del Tribunal Constitucional (LOTC), abrió, mediante providencia de 24 de enero de 2002, un plazo de diez días para que las partes y el Ministerio Fiscal pudieran alegar al respecto lo que a su derecho conviniera.</w:t>
      </w:r>
    </w:p>
    <w:p w:rsidR="00BE7FB3" w:rsidRDefault="00BE7FB3" w:rsidP="00BE7FB3">
      <w:pPr>
        <w:pStyle w:val="TextoNormal"/>
      </w:pPr>
    </w:p>
    <w:p w:rsidR="00BE7FB3" w:rsidRDefault="00BE7FB3" w:rsidP="00BE7FB3">
      <w:pPr>
        <w:pStyle w:val="TextoNormal"/>
      </w:pPr>
      <w:r>
        <w:t xml:space="preserve">La representación de la sucesión procesal de la agrupación de electores formuló sus alegaciones realizando las siguientes consideraciones: en primer lugar, que la norma cuya validez debe discutirse no es la disposición adicional reseñada, en su globalidad, sino tan sólo en su apartado primero. En cualquier caso considera que de todas formas la norma no es </w:t>
      </w:r>
      <w:r>
        <w:lastRenderedPageBreak/>
        <w:t>aplicable al caso. Lo funda en que el precepto cuestionado no establece sus efectos retroactivos ni éstos pueden deducirse de la disposición transitoria sexta de la Ley de enjuiciamiento civil (LEC), por no tratarse de un supuesto de ejecución forzosa. La norma sólo puede referirse a resoluciones judiciales que se dicten con posterioridad a su entrada en vigor. En todo caso cree que sería constitucionalmente ilegítima una interpretación de la norma que conllevara su incidencia en efectos jurídicos ya producidos. En segundo lugar, alega que no cabe centrar el debate procesal en si la subvención se devengó o no pese a no haber tomado posesión los electos, pues eso supondría retomar el debate central del procedimiento previo, en contra del principio de cosa juzgada. En tercer lugar, y con carácter subsidiario, considera que la norma, aun no siendo aplicable, vulnera el art. 81 CE al regular mediante ley ordinaria materias objeto de ley orgánica, esencialmente el derecho de participación política y, el art. 24.1 CE, en cuanto la ejecución de las sentencias forma parte del derecho fundamental a la tutela judicial efectiva. También argumenta que se lesiona el art. 33 CE dado el carácter expropiatorio de la norma, que no incluye la correspondiente indemnización.</w:t>
      </w:r>
    </w:p>
    <w:p w:rsidR="00BE7FB3" w:rsidRDefault="00BE7FB3" w:rsidP="00BE7FB3">
      <w:pPr>
        <w:pStyle w:val="TextoNormal"/>
      </w:pPr>
    </w:p>
    <w:p w:rsidR="00BE7FB3" w:rsidRDefault="00BE7FB3" w:rsidP="00BE7FB3">
      <w:pPr>
        <w:pStyle w:val="TextoNormal"/>
      </w:pPr>
      <w:r>
        <w:t xml:space="preserve">Por su parte, el Abogado del Estado rechaza la inconstitucionalidad de la norma, señalando que ningún precepto constitucional establece que la materia deba ser regulada por ley orgánica. Entiende que no hay expropiación pues se trata de una subvención pública que puede restringirse libremente. Niega también que tenga carácter retroactivo constitucionalmente vedado. </w:t>
      </w:r>
      <w:r>
        <w:tab/>
        <w:t>El Fiscal, en sus alegaciones, sin prejuzgar sobre el fondo de la cuestión, consideró oportuno el planteamiento de la cuestión por la Sala al tratarse de una norma aplicable en el caso.</w:t>
      </w:r>
    </w:p>
    <w:p w:rsidR="00BE7FB3" w:rsidRDefault="00BE7FB3" w:rsidP="00BE7FB3">
      <w:pPr>
        <w:pStyle w:val="TextoNormal"/>
      </w:pPr>
    </w:p>
    <w:p w:rsidR="00BE7FB3" w:rsidRDefault="00BE7FB3" w:rsidP="00BE7FB3">
      <w:pPr>
        <w:pStyle w:val="TextoNormal"/>
      </w:pPr>
      <w:r>
        <w:t>Asimismo, mediante providencia de 24 de enero de 2002 la Sección Primera de la Sala de lo Contencioso-Administrativo de la Audiencia Nacional, a la vista de lo establecido en la disposición adicional vigésima tercera de la Ley 24/2001, y atendiendo a la incidencia que dicha norma pueda tener respecto a la ejecución de la Sentencia, acordó dejar en suspenso la efectividad de la multa coercitiva impuesta.</w:t>
      </w:r>
    </w:p>
    <w:p w:rsidR="00BE7FB3" w:rsidRDefault="00BE7FB3" w:rsidP="00BE7FB3">
      <w:pPr>
        <w:pStyle w:val="TextoNormal"/>
      </w:pPr>
    </w:p>
    <w:p w:rsidR="00BE7FB3" w:rsidRDefault="00BE7FB3" w:rsidP="00BE7FB3">
      <w:pPr>
        <w:pStyle w:val="TextoNormal"/>
      </w:pPr>
      <w:r w:rsidRPr="00BE7FB3">
        <w:rPr>
          <w:rStyle w:val="NumeroAFNegritaCaracter"/>
        </w:rPr>
        <w:t>3</w:t>
      </w:r>
      <w:r>
        <w:t>. La Sección Primera de la Sala de lo Contencioso-Administrativo de la Audiencia Nacional, mediante Auto de 22 de febrero de 2002, acordó “plantear cuestión de inconstitucionalidad respecto de la ‘Disposición adicional vigésimo tercera, pago de subvenciones a partidos políticos’ de la ley 24/2001, de 27 de diciembre, de medidas Fiscales, Administrativas y del Orden Social, al dudarse de la constitucionalidad de la norma por las siguientes razones: A) Vulneración del art. 81.1 CE, al regular y modificar mediante ley ordinaria materias objeto de Ley Orgánica, B) Vulneración del art. 9.3 de la CE al establecerse la retroactividad de la norma con afección del principio de seguridad jurídica, C) Vulneración del art. 24.1 de la CE en relación con el art. 117.3, 118 y 33.3 de la misma norma.”</w:t>
      </w:r>
    </w:p>
    <w:p w:rsidR="00BE7FB3" w:rsidRDefault="00BE7FB3" w:rsidP="00BE7FB3">
      <w:pPr>
        <w:pStyle w:val="TextoNormal"/>
      </w:pPr>
    </w:p>
    <w:p w:rsidR="00BE7FB3" w:rsidRDefault="00BE7FB3" w:rsidP="00BE7FB3">
      <w:pPr>
        <w:pStyle w:val="TextoNormal"/>
      </w:pPr>
      <w:r>
        <w:t>En los razonamientos jurídicos de la resolución se indicaba que la cuestión se limita al apartado primero de la disposición reseñada. La finalidad del precepto es la de no pagar en ningún caso subvenciones devengadas o que se devenguen a las formaciones que no justifiquen la adquisición por los electos pertenecientes a las mismas de la condición plena, en nuestro caso, de diputado o senador. Y ello aunque el devengo derive de su reconocimiento por sentencia judicial firme. Del texto del precepto se infiere que el legislador quiere excluir el pago de la subvención intemporalmente, aunque esté reconocido por sentencia firme anterior al dictado de la norma.</w:t>
      </w:r>
    </w:p>
    <w:p w:rsidR="00BE7FB3" w:rsidRDefault="00BE7FB3" w:rsidP="00BE7FB3">
      <w:pPr>
        <w:pStyle w:val="TextoNormal"/>
      </w:pPr>
    </w:p>
    <w:p w:rsidR="00BE7FB3" w:rsidRDefault="00BE7FB3" w:rsidP="00BE7FB3">
      <w:pPr>
        <w:pStyle w:val="TextoNormal"/>
      </w:pPr>
      <w:r>
        <w:t>En cuanto a la reserva de ley orgánica, la Sala entiende que la regulación del régimen de subvenciones de la financiación electoral constituye un elemento esencial del sistema, en cuanto contribuye a garantizar la transparencia e igualdad de concurrencia en el proceso electoral y que, por ello, debería ser regulado por ley orgánica. Se trata, la norma cuestionada, de una regulación que altera sustancialmente el sistema de subvenciones electorales. Junto a ello considera que, en cuanto se opone a lo establecido en el art. 18.2 de la Ley Orgánica del Poder Judicial (LOPJ), también queda sometido a la indicada reserva. En efecto, la Sala entiende que dicho artículo regula la ejecución de Sentencias, que forma parte del derecho a la tutela judicial efectiva. Frente a ello, el precepto cuestionado no se limita a establecer una nueva causa legal de imposibilidad de ejecución, sino que además lo hace “sin indemnización alguna”, alterando la esencia del desarrollo legislativo del derecho fundamental, por lo que debió tener carácter de ley orgánica.</w:t>
      </w:r>
    </w:p>
    <w:p w:rsidR="00BE7FB3" w:rsidRDefault="00BE7FB3" w:rsidP="00BE7FB3">
      <w:pPr>
        <w:pStyle w:val="TextoNormal"/>
      </w:pPr>
    </w:p>
    <w:p w:rsidR="00BE7FB3" w:rsidRDefault="00BE7FB3" w:rsidP="00BE7FB3">
      <w:pPr>
        <w:pStyle w:val="TextoNormal"/>
      </w:pPr>
      <w:r>
        <w:t>Por otro lado el Auto considera que el precepto podría violar el art. 9.3 CE pues si bien es cierto que el legislador goza de un amplio margen de libertad a la hora de determinar el alcance retroactivo de las leyes, también lo es que la Constitución establece ciertos límites a dicha retroactividad. En concreto, al dejar sin contenido un derecho ya consumado conforme a la normativa anterior, el nuevo precepto viene a lesionar la seguridad jurídica. Citando la doctrina de la STC 65/1987, la Sala recuerda que la Constitución prohíbe la retroactividad entendida como incidencia de la nueva ley en los efectos ya producidos de situaciones anteriores. Esta retroactividad plena lesiona el principio de seguridad jurídica conforme a las SSTC 173/1996 y 234/2001. En el caso, además, a la vista de que el objetivo de la norma se orienta al futuro, para potenciar la participación política de quienes resulten efectivamente elegidos, el órgano que plantea la cuestión de inconstitucionalidad considera que la limitación no era necesaria para la protección de intereses públicos de preferente atención ni proporcionada.</w:t>
      </w:r>
    </w:p>
    <w:p w:rsidR="00BE7FB3" w:rsidRDefault="00BE7FB3" w:rsidP="00BE7FB3">
      <w:pPr>
        <w:pStyle w:val="TextoNormal"/>
      </w:pPr>
    </w:p>
    <w:p w:rsidR="00BE7FB3" w:rsidRDefault="00BE7FB3" w:rsidP="00BE7FB3">
      <w:pPr>
        <w:pStyle w:val="TextoNormal"/>
      </w:pPr>
      <w:r>
        <w:t>Por último el Auto aborda la vulneración del art. 24.1 CE. En virtud de este precepto constitucional, puesto en relación con los arts. 118 y 117.3 CE, la obligatoriedad del cumplimiento de las resoluciones judiciales vincula a los poderes públicos de tal manera que, en aplicación del principio de exclusividad del Poder Judicial en el ejercicio de la función jurisdiccional impide que el legislador pueda interferir en la resolución de litigios fenecidos. Con cita de la STC 73/2000, la Sala argumenta que el sacrificio de situaciones subjetivas amparadas por la cosa juzgada exige un interés legal que exija proporcionadamente tal sacrificio, lo que no se da en este caso, y exige también la garantía expropiatoria contenida en el art. 33.3 CE, prevista para la ablación tanto de la propiedad como de bienes y derechos individuales.</w:t>
      </w:r>
    </w:p>
    <w:p w:rsidR="00BE7FB3" w:rsidRDefault="00BE7FB3" w:rsidP="00BE7FB3">
      <w:pPr>
        <w:pStyle w:val="TextoNormal"/>
      </w:pPr>
    </w:p>
    <w:p w:rsidR="00BE7FB3" w:rsidRDefault="00BE7FB3" w:rsidP="00BE7FB3">
      <w:pPr>
        <w:pStyle w:val="TextoNormal"/>
      </w:pPr>
      <w:r w:rsidRPr="00BE7FB3">
        <w:rPr>
          <w:rStyle w:val="NumeroAFNegritaCaracter"/>
        </w:rPr>
        <w:t>4</w:t>
      </w:r>
      <w:r>
        <w:t>. La Sección Tercera del Tribunal Constitucional, por providencia del día 7 de mayo de 2002, acordó admitir a trámite la presente cuestión de inconstitucionalidad y dar traslado de las actuaciones recibidas, conforme al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Se ordenó también la publicación de la incoación de la cuestión en el “Boletín Oficial del Estado”, lo que tuvo lugar en el “BOE” núm. 121 de 21 de mayo de 2002.</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5</w:t>
      </w:r>
      <w:r>
        <w:t>. El Pleno del Tribunal Constitucional, previa solicitud del interesado, aceptó la abstención del Excmo. Sr. don Pablo García Manzano mediante acuerdo de 21 de mayo de 2002.</w:t>
      </w:r>
    </w:p>
    <w:p w:rsidR="00BE7FB3" w:rsidRDefault="00BE7FB3" w:rsidP="00BE7FB3">
      <w:pPr>
        <w:pStyle w:val="TextoNormal"/>
      </w:pPr>
    </w:p>
    <w:p w:rsidR="00BE7FB3" w:rsidRDefault="00BE7FB3" w:rsidP="00BE7FB3">
      <w:pPr>
        <w:pStyle w:val="TextoNormal"/>
      </w:pPr>
      <w:r w:rsidRPr="00BE7FB3">
        <w:rPr>
          <w:rStyle w:val="NumeroAFNegritaCaracter"/>
        </w:rPr>
        <w:t>6</w:t>
      </w:r>
      <w:r>
        <w:t>. La Mesa del Congreso de los Diputados, mediante escrito de su Presidenta, ingresado el día 23 de mayo de 2002, en el Registro General de este Tribunal, dio traslado del acuerdo adoptado el 21 de mayo de 2002 en orden a comunicar al Tribunal Constitucional que, aun cuando no se personaría en el presente procedimiento ni formularía alegaciones, ponía a disposición cuantas actuaciones se puedan precisar.</w:t>
      </w:r>
    </w:p>
    <w:p w:rsidR="00BE7FB3" w:rsidRDefault="00BE7FB3" w:rsidP="00BE7FB3">
      <w:pPr>
        <w:pStyle w:val="TextoNormal"/>
      </w:pPr>
    </w:p>
    <w:p w:rsidR="00BE7FB3" w:rsidRDefault="00BE7FB3" w:rsidP="00BE7FB3">
      <w:pPr>
        <w:pStyle w:val="TextoNormal"/>
      </w:pPr>
      <w:r w:rsidRPr="00BE7FB3">
        <w:rPr>
          <w:rStyle w:val="NumeroAFNegritaCaracter"/>
        </w:rPr>
        <w:t>7</w:t>
      </w:r>
      <w:r>
        <w:t>. Mediante escrito ingresado en el Registro General de este Tribunal el día 23 de mayo de 2002 se dio oportuna cuenta del acuerdo adoptado por la Mesa del Senado disponiendo dar por personada a la Cámara en el presente procedimiento y por ofrecida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8</w:t>
      </w:r>
      <w:r>
        <w:t>. El Abogado del Estado, en la representación que legalmente ostenta, presentó el día 31 de mayo de 2002 ante el Registro General de este Tribunal escrito de alegaciones oponiéndose a la presente cuestión de inconstitucionalidad. En el mismo comienza señalando que, delimitada la cuestión en el sentido de que se refiere al apartado primero del precepto cuestionado, no existe objeción formal alguna a su admisibilidad desde el punto de vista del requisito de la relevancia.</w:t>
      </w:r>
    </w:p>
    <w:p w:rsidR="00BE7FB3" w:rsidRDefault="00BE7FB3" w:rsidP="00BE7FB3">
      <w:pPr>
        <w:pStyle w:val="TextoNormal"/>
      </w:pPr>
    </w:p>
    <w:p w:rsidR="00BE7FB3" w:rsidRDefault="00BE7FB3" w:rsidP="00BE7FB3">
      <w:pPr>
        <w:pStyle w:val="TextoNormal"/>
      </w:pPr>
      <w:r>
        <w:t>Entrando, por tanto, en el fondo, comienza por exponer que, a su parecer, de la jurisprudencia constitucional no se deriva que la exigencia de ley orgánica se amplíe a cualquier norma jurídica relacionada con las elecciones sino tan sólo a aquellos extremos que son imprescindibles al propio proceso electoral y sin el cual éste no podría ser reconocido como legítimo. Considera que las subvenciones dadas a los partidos políticos son instrumentos complementarios pero bien diferenciados del mecanismo electoral propiamente dicho, sin que su previsión ni su cuantía afecten de manera primaria y nuclear a la libertad de sufragio ni a la fidelidad de sus resultados. Si todo lo que contribuye a garantizar la igualdad en la concurrencia electoral quedara reservado a la ley orgánica, no habría materia electoral alguna que no se incluyera en tal reserva. Considera también el Abogado del Estado que del planteamiento de la Sentencia del Tribunal Supremo en el asunto de autos se desprende que la subvención constituye un crédito común para determinados gastos, desconectado de toda finalidad electoral. En cuanto a las argumentaciones del Auto relativas a la conexión entre el precepto cuestionado y el art. 18 LOPJ, el escrito señala que se remiten en realidad al derecho a la propiedad (art. 33.3 CE) y no al de la tutela judicial efectiva (art. 24.2 CE).</w:t>
      </w:r>
    </w:p>
    <w:p w:rsidR="00BE7FB3" w:rsidRDefault="00BE7FB3" w:rsidP="00BE7FB3">
      <w:pPr>
        <w:pStyle w:val="TextoNormal"/>
      </w:pPr>
    </w:p>
    <w:p w:rsidR="00BE7FB3" w:rsidRDefault="00BE7FB3" w:rsidP="00BE7FB3">
      <w:pPr>
        <w:pStyle w:val="TextoNormal"/>
      </w:pPr>
      <w:r>
        <w:t xml:space="preserve">Por lo que hace a la posible vulneración del art. 9.3 CE, el Abogado del Estado sostiene que el reproche de inconstitucionalidad se basa en la seguridad jurídica, de modo que se trata de indagar sobre el daño causado a los beneficiarios de la subvención en cuanto pudieron creer en la misma y decidirse, por ello, a participar en la elección. Al respecto señala que las precisiones subvencionales de los textos legales no pueden aislarse de la finalidad última perseguida por la ordenación del derecho de sufragio, que atiende a una función esencial para la organización del Estado. A la luz de las previsiones del decreto ley de 1977 y de la ley de 1988 aplicables a las elecciones, al Abogado del Estado no le cabe duda de que nadie podría representarse la idea de que la subvención constituía un objetivo puramente </w:t>
      </w:r>
      <w:r>
        <w:lastRenderedPageBreak/>
        <w:t>compensador de unos gastos derivados de la participación en una elección, dejando de considerar que todo proceso electoral persigue un fin de ordenación e integración de las instituciones. A su juicio, el hecho de que la Audiencia Nacional y el Tribunal Supremo interpretaran después la Ley en el sentido de que no era exigible tal integración no afecta en nada, pues lo importante es la previsibilidad que se desprendía del texto legal.</w:t>
      </w:r>
    </w:p>
    <w:p w:rsidR="00BE7FB3" w:rsidRDefault="00BE7FB3" w:rsidP="00BE7FB3">
      <w:pPr>
        <w:pStyle w:val="TextoNormal"/>
      </w:pPr>
    </w:p>
    <w:p w:rsidR="00BE7FB3" w:rsidRDefault="00BE7FB3" w:rsidP="00BE7FB3">
      <w:pPr>
        <w:pStyle w:val="TextoNormal"/>
      </w:pPr>
      <w:r>
        <w:t>Por último el escrito de alegaciones aborda el tercer reproche de inconstitucionalidad de la Sala y al respecto señala que el hecho de que un derecho haya sido declarado en Sentencia firme no le confiere ningún privilegio de inmunidad comparativamente a otros derechos de idéntico contenido que hayan merecido un reconocimiento espontáneo y no hayan tenido que ser ejercitados judicialmente. La santidad de la cosa juzgada excluye la modificación de lo sentenciado por la acción revisora de los Tribunales pero no garantiza la permanencia del contenido del derecho frente a las innovaciones legislativas. Respecto a la supuesta desproporción entre el sacrificio impuesto al derecho del particular y el interés general, entiende que el Auto de planteamiento la hace descansar no en la relación entre el fin de la subvención y el efecto de su supresión sino en el decaimiento del fin de la subvención por el transcurso de los plazos que confirman la imposibilidad de cumplir con su fin. Por otro lado, no cabría entender propiamente que ha habido una actuación expropiatoria, pues la privación de la subvención se funda en la frustración de la utilidad pública por cuya causa fue concedida.</w:t>
      </w:r>
    </w:p>
    <w:p w:rsidR="00BE7FB3" w:rsidRDefault="00BE7FB3" w:rsidP="00BE7FB3">
      <w:pPr>
        <w:pStyle w:val="TextoNormal"/>
      </w:pPr>
    </w:p>
    <w:p w:rsidR="00BE7FB3" w:rsidRDefault="00BE7FB3" w:rsidP="00BE7FB3">
      <w:pPr>
        <w:pStyle w:val="TextoNormal"/>
      </w:pPr>
      <w:r>
        <w:t>Por todo ello, el Abogado del Estado interesa la desestimación de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9</w:t>
      </w:r>
      <w:r>
        <w:t>. El Fiscal General del Estado formuló alegaciones mediante escrito ingresado en el Registro General de este Tribunal el día 11 de junio de 2002. En las mismas comienza precisando el objeto de la presente cuestión de inconstitucionalidad, que entiende limitado, tomando en cuenta el supuesto de hecho que dio lugar a la misma, exclusivamente al primer apartado de la disposición adicional vigésimo tercera de la Ley 24/2001 en lo que se refiere a las subvenciones concedidas por sentencia firme; se trata, además, tan sólo de aquéllas subvenciones devengadas conforme a los arts. 127 y 175.1 de la Ley Orgánica 5/1985, para las candidaturas que hubieran adoptado la forma de agrupación de electores.</w:t>
      </w:r>
    </w:p>
    <w:p w:rsidR="00BE7FB3" w:rsidRDefault="00BE7FB3" w:rsidP="00BE7FB3">
      <w:pPr>
        <w:pStyle w:val="TextoNormal"/>
      </w:pPr>
    </w:p>
    <w:p w:rsidR="00BE7FB3" w:rsidRDefault="00BE7FB3" w:rsidP="00BE7FB3">
      <w:pPr>
        <w:pStyle w:val="TextoNormal"/>
      </w:pPr>
      <w:r>
        <w:t>Por lo que hace a la admisibilidad de la cuestión de inconstitucionalidad, el Fiscal General del Estado pone de manifiesto la existencia de un Voto particular que acompaña al Auto de planteamiento de la cuestión y que señala que el precepto cuestionado no establece de manera inequívoca la eficacia retroactiva de la norma cuestionada. Al respecto, el Fiscal General del Estado indica, no obstante, que no comparte tal interpretación a la vista de la indudable vocación atemporal de la ley. Junto a ello destaca que es clara la relevancia del asunto a los efectos del art. 35 LOTC, habida cuenta de que ha quedado demostrado que parlamentarios electos en las elecciones generales del 22 de junio de 1986 no adquirieron su condición plena.</w:t>
      </w:r>
    </w:p>
    <w:p w:rsidR="00BE7FB3" w:rsidRDefault="00BE7FB3" w:rsidP="00BE7FB3">
      <w:pPr>
        <w:pStyle w:val="TextoNormal"/>
      </w:pPr>
    </w:p>
    <w:p w:rsidR="00BE7FB3" w:rsidRDefault="00BE7FB3" w:rsidP="00BE7FB3">
      <w:pPr>
        <w:pStyle w:val="TextoNormal"/>
      </w:pPr>
      <w:r>
        <w:t xml:space="preserve">Entrando ya en el fondo de la cuestión, considera que el precepto cuestionado no ha vulnerado la reserva de ley orgánica, ante todo porque al haberse aplicado para conceder una norma preconstitucional, no cabe exigir retroactivamente la reserva de ley orgánica para anular sus disposiciones. En segundo término, porque entiende que el devengo y reconocimiento de subvenciones no se puede reputar como elemento esencial del régimen electoral </w:t>
      </w:r>
      <w:r>
        <w:lastRenderedPageBreak/>
        <w:t>general y, en todo caso, porque incluso de reputarse así, la norma no se refiere a aspectos esenciales del sistema de subvenciones, sino a aspectos complementarios del mismo.</w:t>
      </w:r>
    </w:p>
    <w:p w:rsidR="00BE7FB3" w:rsidRDefault="00BE7FB3" w:rsidP="00BE7FB3">
      <w:pPr>
        <w:pStyle w:val="TextoNormal"/>
      </w:pPr>
    </w:p>
    <w:p w:rsidR="00BE7FB3" w:rsidRDefault="00BE7FB3" w:rsidP="00BE7FB3">
      <w:pPr>
        <w:pStyle w:val="TextoNormal"/>
      </w:pPr>
      <w:r>
        <w:t>Respecto a la tacha de inconstitucionalidad por contradicción con el principio de seguridad jurídica del art. 9.3 CE, señala el escrito que éste implica la certeza sobre el ordenamiento jurídico aplicable y los intereses jurídicamente tutelados, si bien permite cierta discrecionalidad al legislador para regular las relaciones de convivencia humana respondiendo a la realidad de cada momento. En este punto el escrito de alegaciones considera necesario examinar si la norma ha restringido retroactivamente algún derecho individual, llegando a una conclusión negativa.</w:t>
      </w:r>
    </w:p>
    <w:p w:rsidR="00BE7FB3" w:rsidRDefault="00BE7FB3" w:rsidP="00BE7FB3">
      <w:pPr>
        <w:pStyle w:val="TextoNormal"/>
      </w:pPr>
    </w:p>
    <w:p w:rsidR="00BE7FB3" w:rsidRDefault="00BE7FB3" w:rsidP="00BE7FB3">
      <w:pPr>
        <w:pStyle w:val="TextoNormal"/>
      </w:pPr>
      <w:r>
        <w:t xml:space="preserve">Entrando en la tercera duda de inconstitucionalidad, relativa a la lesión del art. 24.1 CE, el Fiscal General entiende que en ella se vienen a reunir diversas quejas formuladas como diferentes, tanto por lesión del art. 9.3 CE como del art. 18.2 LOPJ. Respecto a todo ello considera que la norma carece de efectos retroactivos pues se limita a introducir un requisito que estaba ya implícito en la legislación anterior, si bien no fue reconocido así por los Tribunales. En este sentido, entiende que de la normativa aplicable se desprende implícitamente que sólo se devenga el derecho a subvención cuando se perfecciona y ejercita efectivamente la representación parlamentaria obtenida. El escrito de alegaciones incluye en este punto una amplia serie de razonamientos en torno a la soberanía popular tal y como se plasma en la Constitución, de los que concluye que el sistema democrático representativo sólo puede amparar el acto de presentarse a las elecciones cuando ulteriormente se ejercen las funciones representativas. Por todo ello estima que el precepto cuestionado no se ha introducido </w:t>
      </w:r>
      <w:r w:rsidRPr="00BE7FB3">
        <w:rPr>
          <w:i/>
        </w:rPr>
        <w:t>ex novo</w:t>
      </w:r>
      <w:r>
        <w:t>, sino que se limita a dar forma a un deber positivo preexistente en el ordenamiento jurídico.</w:t>
      </w:r>
    </w:p>
    <w:p w:rsidR="00BE7FB3" w:rsidRDefault="00BE7FB3" w:rsidP="00BE7FB3">
      <w:pPr>
        <w:pStyle w:val="TextoNormal"/>
      </w:pPr>
    </w:p>
    <w:p w:rsidR="00BE7FB3" w:rsidRDefault="00BE7FB3" w:rsidP="00BE7FB3">
      <w:pPr>
        <w:pStyle w:val="TextoNormal"/>
      </w:pPr>
      <w:r>
        <w:t>Alternativamente considera que la no concesión de una subvención, o su revocación por incumplimiento de las condiciones legales, en ningún caso puede considerarse como una consecuencia sancionadora. Las subvenciones son una manifestación de la actividad de fomento del Estado que depende del cumplimiento de unos requisitos legales, de modo que no puede afirmarse en el supuesto ahora en cuestión la existencia de unos derechos consolidados. En todo caso señala que en la Constitución ningún derecho se configura como ilimitado, sino que pueden ceder ante otros intereses constitucionales o legalmente protegidos, con el límite siempre de la debida proporcionalidad. Para el examen de la misma hay que tener en cuenta, según el Fiscal General del Estado, el valor del pluralismo político y el mandato representativo democrático garantizado por el art. 23.1 CE. En tal sentido, la decisión de los representantes electos de la agrupación de electores en cuestión de no tomar posesión de sus escaños entraña notables perjuicios para el Estado pues impide presentarse a otras candidaturas y no justifica en absoluto la concesión de una subvención, de modo que los intereses generales deberán primar en su caso sobre la seguridad jurídica. A la vista de todo ello, el Fiscal General del Estado concluye postulado la desestimación de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10</w:t>
      </w:r>
      <w:r>
        <w:t>. Por diligencia de 11 de junio de 2002 se hizo constar la personación en el proceso del Abogado del Estado y del Fiscal General del Estado, dejando constancia de la presentación de las correspondientes alegaciones, y de que el proceso quedaba pendiente de deliberación y votación sin perjuicio del art. 84 LOTC.</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11</w:t>
      </w:r>
      <w:r>
        <w:t>. El Abogado del Estado presentó escrito en el Registro General de este Tribunal, con fecha de 20 de julio de 2012, en el que al amparo del art. 286 de la Ley de enjuiciamiento civil (LEC) ponía de manifiesto determinadas circunstancias acontecidas tras el plazo de alegaciones y que podrían tener relevancia para la resolución del pleito. En particular, se indica que el 31 de marzo de 2003, en cumplimiento de lo resuelto por el Sala Especial del art. 61 LOPJ del Tribunal Supremo en su Sentencia de 27 de marzo del mismo año, se procedió a la cancelación del registro del partido político Herri Batasuna en el correspondiente libro de inscripciones y cancelaciones del registro de partidos políticos. Igualmente, en su escrito, el Abogado da cuenta del proceso de liquidación patrimonial del citado partido político culminado a través del Auto de la Sala Especial del art. 61 LOPJ del Tribunal Supremo, de 20 de noviembre de 2008.</w:t>
      </w:r>
    </w:p>
    <w:p w:rsidR="00BE7FB3" w:rsidRDefault="00BE7FB3" w:rsidP="00BE7FB3">
      <w:pPr>
        <w:pStyle w:val="TextoNormal"/>
      </w:pPr>
    </w:p>
    <w:p w:rsidR="00BE7FB3" w:rsidRDefault="00BE7FB3" w:rsidP="00BE7FB3">
      <w:pPr>
        <w:pStyle w:val="TextoNormal"/>
      </w:pPr>
      <w:r>
        <w:t>En relación con lo expuesto, se alude a la doctrina que emana del ATC 520/2005, de 20 de diciembre, reiterada en la STC 138/2012, de 20 de junio, en cuya fundamentación jurídica se señala que la extinción de la personalidad jurídico-civil del partido político, o lo que es lo mismo, que el partido político Herri Batasuna ha dejado de ser “sujeto en Derecho y sujeto de derechos”. Como consecuencia, la entidad disuelta carece de capacidad jurídica para actuar en defensa de sus intereses y se ha producido la extinción de su “círculo jurídico, esto es, del haz de derechos y facultades que configuraban la propia existencia jurídica de la entidad disuelta”.</w:t>
      </w:r>
    </w:p>
    <w:p w:rsidR="00BE7FB3" w:rsidRDefault="00BE7FB3" w:rsidP="00BE7FB3">
      <w:pPr>
        <w:pStyle w:val="TextoNormal"/>
      </w:pPr>
    </w:p>
    <w:p w:rsidR="00BE7FB3" w:rsidRDefault="00BE7FB3" w:rsidP="00BE7FB3">
      <w:pPr>
        <w:pStyle w:val="TextoNormal"/>
      </w:pPr>
      <w:r>
        <w:t xml:space="preserve">A continuación se trae a colación la jurisprudencia de este Tribunal acerca de la desaparición sobrevenida del objeto en los procesos constitucionales recordando, en lo que a las cuestiones de inconstitucionalidad atañe, la vinculación del precepto impugnado con el proceso del que trae causa y, por ende, la necesaria existencia de dicho proceso. Es por ello que, según la doctrina de este Tribunal, la desaparición del proceso </w:t>
      </w:r>
      <w:r w:rsidRPr="00BE7FB3">
        <w:rPr>
          <w:i/>
        </w:rPr>
        <w:t>a quo</w:t>
      </w:r>
      <w:r>
        <w:t xml:space="preserve"> ha de conducir a la extinción del propio proceso constitucional. No es óbice para el alegante que la parte actora reclamante en el proceso de ejecución sea la agrupación de electores Herri Batasuna y no el estrictamente el partido político Herri Batasuna, pues por parte de la representación procesal de la agrupación de electores en otros procesos con objeto similar se ha reconocido la identidad de la misma y del partido político, que no pudo constituirse como tal hasta 1986.</w:t>
      </w:r>
    </w:p>
    <w:p w:rsidR="00BE7FB3" w:rsidRDefault="00BE7FB3" w:rsidP="00BE7FB3">
      <w:pPr>
        <w:pStyle w:val="TextoNormal"/>
      </w:pPr>
    </w:p>
    <w:p w:rsidR="00BE7FB3" w:rsidRDefault="00BE7FB3" w:rsidP="00BE7FB3">
      <w:pPr>
        <w:pStyle w:val="TextoNormal"/>
      </w:pPr>
      <w:r>
        <w:t xml:space="preserve">Como colofón, el Abogado del Estado estima que el art. 9 LEC permite al juzgador en cualquier momento apreciar la ausencia de la falta de capacidad procesal para ser parte, constituyendo dicho supuesto una cuestión incidental de previo pronunciamiento (art. 391 LEC) y, si bien en el proceso </w:t>
      </w:r>
      <w:r w:rsidRPr="00BE7FB3">
        <w:rPr>
          <w:i/>
        </w:rPr>
        <w:t>a quo</w:t>
      </w:r>
      <w:r>
        <w:t xml:space="preserve"> podría haberse resulto incidentalmente su terminación por pérdida de la capacidad actora, nada impide que por parte de este Tribunal se declare conclusa la cuestión de inconstitucionalidad por la extinción en el proceso </w:t>
      </w:r>
      <w:r w:rsidRPr="00BE7FB3">
        <w:rPr>
          <w:i/>
        </w:rPr>
        <w:t>a quo</w:t>
      </w:r>
      <w:r>
        <w:t xml:space="preserve"> de uno de los elementos esenciales para la constitución de la relación jurídico-procesal, la capacidad del demandante para ser parte.</w:t>
      </w:r>
    </w:p>
    <w:p w:rsidR="00BE7FB3" w:rsidRDefault="00BE7FB3" w:rsidP="00BE7FB3">
      <w:pPr>
        <w:pStyle w:val="TextoNormal"/>
      </w:pPr>
    </w:p>
    <w:p w:rsidR="00BE7FB3" w:rsidRDefault="00BE7FB3" w:rsidP="00BE7FB3">
      <w:pPr>
        <w:pStyle w:val="TextoNormal"/>
      </w:pPr>
      <w:r>
        <w:t>Concluye el Abogado del Estado su escrito interesando su admisión y que se dicte Auto declarando la terminación de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12</w:t>
      </w:r>
      <w:r>
        <w:t>. El Pleno del Tribunal Constitucional, mediante providencia, de 13 de septiembre de 2012, acordó incorporar a las actuaciones el escrito del Abogado del Estado y conferir plazo de diez días al Ministerio Fiscal para que alegara lo que estimara conveniente.</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13</w:t>
      </w:r>
      <w:r>
        <w:t xml:space="preserve">. El 29 de octubre de 2012 tuvo entrada en el Registro General de este Tribunal escrito del Fiscal General del Estado en el que se daba cumplida cuenta del trámite de alegaciones conferido elevando las siguientes consideraciones. El Ministerio Fiscal recuerda que, si bien el planteamiento de la cuestión de inconstitucionalidad implica para el órgano promotor la suspensión del proceso del que trae causa, no provoca la pérdida de su plena capacidad para decidir, de oficio o a instancia de parte, acerca de la eventual extinción de aquél. Habida cuenta de dicha circunstancia el alegante estima que la cuestión planteada por el Abogado del Estado en sus alegaciones, esto es, la pérdida de la capacidad procesal de la parte actora del proceso de ejecución, hubo de promoverse ante la Audiencia Nacional y no ante este Tribunal. A juicio del Ministerio Fiscal el Tribunal Constitucional únicamente puede pronunciarse sobre el correcto planteamiento del proceso (en este caso la cuestión de inconstitucionalidad) que ante él pende, pero no puede entrar a determinar si el proceso </w:t>
      </w:r>
      <w:r w:rsidRPr="00BE7FB3">
        <w:rPr>
          <w:i/>
        </w:rPr>
        <w:t>a quo</w:t>
      </w:r>
      <w:r>
        <w:t xml:space="preserve"> continúa pendiendo ante el órgano promotor de la cuestión, pues en caso contrario estaría sustituyendo a éste en sus facultades jurisdiccionales.</w:t>
      </w:r>
    </w:p>
    <w:p w:rsidR="00BE7FB3" w:rsidRDefault="00BE7FB3" w:rsidP="00BE7FB3">
      <w:pPr>
        <w:pStyle w:val="TextoNormal"/>
      </w:pPr>
    </w:p>
    <w:p w:rsidR="00BE7FB3" w:rsidRDefault="00BE7FB3" w:rsidP="00BE7FB3">
      <w:pPr>
        <w:pStyle w:val="TextoNormal"/>
      </w:pPr>
      <w:r>
        <w:t>En atención a lo expuesto, el Fiscal General concluye solicitando se dicte resolución desestimatoria de la pretensión planteada por el Abogado del Estado en su escrito de alegaciones.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La presente cuestión de inconstitucionalidad ha sido promovida por la Sección Primera de la Sala de lo Contencioso-Administrativo de la Audiencia Nacional respecto de la disposición adicional vigésimo tercera de la Ley 24/2001, de 27 de diciembre, de medidas fiscales, administrativas y del orden social, por entender que vulnera la reserva de ley orgánica del art. 81.1 CE, la seguridad jurídica garantizada en el art. 9.3 CE y la tutela judicial efectiva del art. 24.1 CE, en relación con los arts. 117.3, 118 y 33.3 CE, en su vertiente de obligatoriedad de cumplimiento de las resoluciones judiciales.</w:t>
      </w:r>
    </w:p>
    <w:p w:rsidR="00BE7FB3" w:rsidRDefault="00BE7FB3" w:rsidP="00BE7FB3">
      <w:pPr>
        <w:pStyle w:val="TextoNormal"/>
      </w:pPr>
    </w:p>
    <w:p w:rsidR="00BE7FB3" w:rsidRDefault="00BE7FB3" w:rsidP="00BE7FB3">
      <w:pPr>
        <w:pStyle w:val="TextoNormal"/>
      </w:pPr>
      <w:r>
        <w:t xml:space="preserve">El Auto de planteamiento de la cuestión limita la duda de constitucionalidad al apartado primero del precepto, cuyo tenor literal es el siguiente: </w:t>
      </w:r>
    </w:p>
    <w:p w:rsidR="00BE7FB3" w:rsidRDefault="00BE7FB3" w:rsidP="00BE7FB3">
      <w:pPr>
        <w:pStyle w:val="TextoNormal"/>
      </w:pPr>
    </w:p>
    <w:p w:rsidR="00BE7FB3" w:rsidRDefault="00BE7FB3" w:rsidP="00BE7FB3">
      <w:pPr>
        <w:pStyle w:val="TextoNormal"/>
      </w:pPr>
      <w:r>
        <w:t>“1. No habrá lugar al pago a los partidos políticos, federaciones, coaliciones o agrupaciones de electores, o a cualquier otra persona o entidad a las que, por cualquier título, se hubiere transmitido el crédito correspondiente, de las subvenciones devengadas o que se devenguen conforme a lo previsto en los artículos 127 de la Ley Orgánica 5/1985, de 19 de junio, de Régimen Electoral General y 3 de la Ley Orgánica 3/1987, de 2 de julio, sobre Financiación de los Partidos Políticos, mientras no se justifique la adquisición por los electos pertenecientes a dichas formaciones políticas de la condición plena de Diputado, Senador, miembro del Parlamento europeo o miembro de la correspondiente Corporación local y el ejercicio efectivo del cargo para el que hubiesen sido elegidos y por cuya elección y desempeño se hayan devengado o se devenguen las citadas subvenciones, aun cuando este devengo derive de su reconocimiento por sentencia judicial firme.</w:t>
      </w:r>
    </w:p>
    <w:p w:rsidR="00BE7FB3" w:rsidRDefault="00BE7FB3" w:rsidP="00BE7FB3">
      <w:pPr>
        <w:pStyle w:val="TextoNormal"/>
      </w:pPr>
    </w:p>
    <w:p w:rsidR="00BE7FB3" w:rsidRDefault="00BE7FB3" w:rsidP="00BE7FB3">
      <w:pPr>
        <w:pStyle w:val="TextoNormal"/>
      </w:pPr>
      <w:r>
        <w:t xml:space="preserve">El supuesto a que se refiere el apartado anterior constituirá, a los efectos previstos en el artículo 105 de la Ley 29/1998, de 13 de julio, reguladora de la jurisdicción contencioso-administrativa, causa de imposibilidad legal de ejecutar las sentencias que reconozcan el </w:t>
      </w:r>
      <w:r>
        <w:lastRenderedPageBreak/>
        <w:t>derecho a percibir las referidas subvenciones, sin que tal inejecución dé lugar a indemnización alguna.”</w:t>
      </w:r>
    </w:p>
    <w:p w:rsidR="00BE7FB3" w:rsidRDefault="00BE7FB3" w:rsidP="00BE7FB3">
      <w:pPr>
        <w:pStyle w:val="TextoNormal"/>
      </w:pPr>
    </w:p>
    <w:p w:rsidR="00BE7FB3" w:rsidRDefault="00BE7FB3" w:rsidP="00BE7FB3">
      <w:pPr>
        <w:pStyle w:val="TextoNormal"/>
      </w:pPr>
      <w:r>
        <w:t>Tanto el Abogado del Estado como el Fiscal General del Estado, como se ha dejado constancia en los antecedentes, interesan la desestimación de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No puede acogerse la pretensión del Abogado del Estado, elevada en su escrito de ampliación de alegaciones, con fecha de registro ante este Tribunal de 20 de julio de 2012, de declarar terminado el presente proceso sobre la base de que la parte reclamante en el proceso ejecutivo </w:t>
      </w:r>
      <w:r w:rsidRPr="00BE7FB3">
        <w:rPr>
          <w:i/>
        </w:rPr>
        <w:t>a quo</w:t>
      </w:r>
      <w:r>
        <w:t xml:space="preserve"> ha perdido la capacidad procesal como consecuencia de la disolución del partido político Herri Batasuna dispuesta por la Sala Especial del art. 61 de la Ley Orgánica del Poder Judicial (LOPJ) del Tribunal Supremo en su Sentencia de 27 de marzo de 2003.</w:t>
      </w:r>
    </w:p>
    <w:p w:rsidR="00BE7FB3" w:rsidRDefault="00BE7FB3" w:rsidP="00BE7FB3">
      <w:pPr>
        <w:pStyle w:val="TextoNormal"/>
      </w:pPr>
    </w:p>
    <w:p w:rsidR="00BE7FB3" w:rsidRDefault="00BE7FB3" w:rsidP="00BE7FB3">
      <w:pPr>
        <w:pStyle w:val="TextoNormal"/>
      </w:pPr>
      <w:r>
        <w:t>Como atinadamente considera el Ministerio Fiscal en su escrito de contestación, tal cuestión no puede ser resuelta en el curso de este proceso constitucional en que el reclamante en el procedimiento de ejecución ni siquiera es parte de acuerdo con la regulación de la Ley Orgánica del Tribunal Constitucional (LOTC) vigente en el momento en el que se planteó la presente impugnación (AATC 309/1987, de 12 de marzo, FJ 1; y 174/1995, de 6 de junio, FJ 4). Dicha circunstancia hubo de ser planteada, en su caso, ante el órgano que conoce de la ejecución y resuelta por el mismo, sin quepa a este Tribunal pronunciarse sobre la misma.</w:t>
      </w:r>
    </w:p>
    <w:p w:rsidR="00BE7FB3" w:rsidRDefault="00BE7FB3" w:rsidP="00BE7FB3">
      <w:pPr>
        <w:pStyle w:val="TextoNormal"/>
      </w:pPr>
    </w:p>
    <w:p w:rsidR="00BE7FB3" w:rsidRDefault="00BE7FB3" w:rsidP="00BE7FB3">
      <w:pPr>
        <w:pStyle w:val="TextoNormal"/>
      </w:pPr>
      <w:r w:rsidRPr="00BE7FB3">
        <w:rPr>
          <w:rStyle w:val="NumeroAFNegritaCaracter"/>
        </w:rPr>
        <w:t>3</w:t>
      </w:r>
      <w:r>
        <w:t>. Sin perjuicio de lo expuesto, por parte de este Tribunal debe examinarse una serie de circunstancias que, de forma sobrevenida a la admisión de la presente cuestión de inconstitucionalidad, pueden afectar a los presupuestos procesales necesarios para promover este tipo de procesos y, por ello, a la pervivencia del proceso constitucional, ya que aunque sea al órgano judicial al que corresponde apreciar inicialmente la relevancia de la norma cuestionada, este Tribunal Constitucional debe preservar la función de control concreto de constitucionalidad que caracteriza a la cuestión de inconstitucionalidad (como se desprende de las SSTC 17/1981, de 1 de junio, FJ 1; y 55/2010, de 4 de octubre, FJ 2, entre otras).</w:t>
      </w:r>
    </w:p>
    <w:p w:rsidR="00BE7FB3" w:rsidRDefault="00BE7FB3" w:rsidP="00BE7FB3">
      <w:pPr>
        <w:pStyle w:val="TextoNormal"/>
      </w:pPr>
    </w:p>
    <w:p w:rsidR="00BE7FB3" w:rsidRDefault="00BE7FB3" w:rsidP="00BE7FB3">
      <w:pPr>
        <w:pStyle w:val="TextoNormal"/>
      </w:pPr>
      <w:r>
        <w:t xml:space="preserve">Pues bien, las circunstancias que han de considerase tienen que ver con la disolución del partido político Herri Batasuna y la posterior liquidación de su patrimonio ventiladas ante la Sala Especial del art. 61 de la Ley Orgánica del Poder Judicial (LOPJ) del Tribunal Supremo. Así, en su Sentencia de 27 de marzo de 2003, por la que se resolvió la ilegalización de los partidos políticos Herri Batasuna, Euskal Herritarrok y Batasuna, la citada Sala, por un lado, declaró probado que el partido político Herri Batasuna, con carácter previo a su constitución e inscripción en el registro de partidos políticos dependiente del Ministerio del Interior en fecha 5 de junio de 1986 en cumplimiento de la Sentencia de la Sala Primera del Tribunal Supremo de 31 de mayo de 1986, había adoptado la forma de agrupación de electores con el objeto de concurrir a los distintos procesos electorales [hecho probado 1.1 B)] y, en este sentido, la parte actora en el procedimiento ejecutivo </w:t>
      </w:r>
      <w:r w:rsidRPr="00BE7FB3">
        <w:rPr>
          <w:i/>
        </w:rPr>
        <w:t>a quo</w:t>
      </w:r>
      <w:r>
        <w:t xml:space="preserve"> del que dimana la presente cuestión de inconstitucionalidad es la agrupación de electores Herri Batasuna que concurrió en las elecciones generales de 1986 por la circunscripción de Navarra. Por otro lado, la citada resolución, además de declarar la ilegalidad de dichas formaciones, dispuso: “la apertura de un proceso de liquidación patrimonial de Herri Batasuna, Euskal Herritarrok y Batasuna en la forma que se establece en el art. 12.1 c) de la Ley Orgánica 6/2002, de </w:t>
      </w:r>
      <w:r>
        <w:lastRenderedPageBreak/>
        <w:t>partidos políticos, lo que se llevará a cabo en ejecución de la presente sentencia” (apartado quinto del fallo).</w:t>
      </w:r>
    </w:p>
    <w:p w:rsidR="00BE7FB3" w:rsidRDefault="00BE7FB3" w:rsidP="00BE7FB3">
      <w:pPr>
        <w:pStyle w:val="TextoNormal"/>
      </w:pPr>
    </w:p>
    <w:p w:rsidR="00BE7FB3" w:rsidRDefault="00BE7FB3" w:rsidP="00BE7FB3">
      <w:pPr>
        <w:pStyle w:val="TextoNormal"/>
      </w:pPr>
      <w:r>
        <w:t>Sustanciado el incidente de ejecución, la Sala supracitada acordó, mediante Auto de 16 de octubre de 2003, despachar ejecución de los pronunciamientos contenidos en el fallo de la anterior Sentencia de ilegalización y abrir el correspondiente proceso de liquidación del partido político Herri Batasuna, decretando, a tal efecto, el embargo de, entre otros bienes, toda clase de subvenciones estatales y nombrando para llevar a cabo dicho proceso a los correspondientes liquidadores. Por último, en el Auto de 20 de noviembre de 2008 la Sala Especial del art. 61 LOPJ procedió a la aprobación del balance de liquidación de los citados partidos políticos ilegalizados y, en el párrafo segundo correspondiente al fundamento jurídico décimo de esta resolución, el Tribunal Supremo aborda el destino que ha de darse al activo patrimonial de aquéllos indicando que: “[el] activo de Herri Batasuna, que alcanza el importe de 1.946.625,52 euros, correspondiente a las subvenciones procedentes del Ministerio del Interior, devengadas por razón de diversos procesos electorales”, por lo que las cantidades adeudadas por la Administración en concepto de subvenciones electorales ya han sido puestas a disposición del órgano liquidador.</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Procede, una vez expuestas las anteriores circunstancias, determinar de qué manera afectan a la relevancia del precepto cuestionado para resolver el proceso </w:t>
      </w:r>
      <w:r w:rsidRPr="00BE7FB3">
        <w:rPr>
          <w:i/>
        </w:rPr>
        <w:t>a quo</w:t>
      </w:r>
      <w:r>
        <w:t xml:space="preserve">. Relevancia que se erige como un requisito, no sólo para resolver sobre la admisibilidad de las cuestiones de inconstitucionalidad, sino, en su caso, para determinar su pervivencia, pues como tiene declarado este Tribunal: “[m]ás detenido ha de ser nuestro examen acerca de si la disposición cuestionada es relevante para la resolución del proceso penal </w:t>
      </w:r>
      <w:r w:rsidRPr="00BE7FB3">
        <w:rPr>
          <w:i/>
        </w:rPr>
        <w:t>a quo</w:t>
      </w:r>
      <w:r>
        <w:t xml:space="preserve">, esto es, si como exige el art. 163 CE y recuerda el art. 35.1 LOTC, la norma cuestionada es aplicable al caso ventilado en el proceso en el que la cuestión se suscita y si, además, de su validez depende el fallo que el órgano judicial haya de dictar. En este sentido es de advertir que frente a la flexibilidad con que debe acogerse la apreciación del órgano judicial acerca de la inclusión de la disposición cuestionada en el elenco de normas que hayan de ser tomadas en consideración para resolver el litigio —esto es, su aplicabilidad— hasta el punto de que sólo cuando de manera evidente, sin necesidad de análisis de fondo, la norma cuestionada sea, según principios jurídicos básicos, inaplicable al caso en donde la cuestión se suscita, sólo entonces, cabrá declarar inadmisible por esta razón una cuestión de inconstitucionalidad; por el contrario, mayor rigor debemos emplear para calificar a la disposición cuestionada como norma determinante del fallo, pues sin perjuicio de que también sea al órgano judicial al que </w:t>
      </w:r>
      <w:r w:rsidRPr="00BE7FB3">
        <w:rPr>
          <w:i/>
        </w:rPr>
        <w:t>prima facie</w:t>
      </w:r>
      <w:r>
        <w:t xml:space="preserve"> compete apreciar el valor decisorio de la norma cuestionada, no es menos cierto que corresponde a este Tribunal Constitucional preservar la función de control concreto de constitucionalidad que caracteriza a la cuestión de inconstitucionalidad” (STC 55/2010, de 4 de octubre, FJ 2).</w:t>
      </w:r>
    </w:p>
    <w:p w:rsidR="00BE7FB3" w:rsidRDefault="00BE7FB3" w:rsidP="00BE7FB3">
      <w:pPr>
        <w:pStyle w:val="TextoNormal"/>
      </w:pPr>
    </w:p>
    <w:p w:rsidR="00BE7FB3" w:rsidRDefault="00BE7FB3" w:rsidP="00BE7FB3">
      <w:pPr>
        <w:pStyle w:val="TextoNormal"/>
      </w:pPr>
      <w:r>
        <w:t xml:space="preserve">Ha de indicarse que la norma cuestionada ante este Tribunal ha dejado de ser determinante para la resolución del proceso </w:t>
      </w:r>
      <w:r w:rsidRPr="00BE7FB3">
        <w:rPr>
          <w:i/>
        </w:rPr>
        <w:t>a quo</w:t>
      </w:r>
      <w:r>
        <w:t xml:space="preserve"> tras la disolución del partido político Herri Batasuna acordada por la Sala Especial del art. 61 LOPJ del Tribunal Supremo pues, a partir de la apertura del subsiguiente proceso de liquidación patrimonial de la formación, el Tribunal Supremo ha acordado que la cantidad correspondiente a la subvención electoral reclamada en vía ejecutiva ante la Audiencia Nacional en ningún caso puede abonarse a la parte reclamante, la agrupación de electores Herri Batasuna (reconocida antecesora del partido disuelto por el Tribunal Supremo), sino que ha de ser puesta a disposición de la citada Sala Especial </w:t>
      </w:r>
      <w:r>
        <w:lastRenderedPageBreak/>
        <w:t>a los efectos de la liquidación patrimonial acordada como, por cierto, se deduce que ha ocurrido a partir de la lectura del Auto de 20 de noviembre de 2008, en el que se expresa que el activo patrimonial del partido político estaba conformado por la cantidad de 1.946.625,52 euros, correspondiente a las subvenciones procedentes del Ministerio del Interior, devengadas por razón de diversos procesos electorales, tal y como ha quedado expuesto en el último párrafo del fundamento jurídico anterior.</w:t>
      </w:r>
    </w:p>
    <w:p w:rsidR="00BE7FB3" w:rsidRDefault="00BE7FB3" w:rsidP="00BE7FB3">
      <w:pPr>
        <w:pStyle w:val="TextoNormal"/>
      </w:pPr>
    </w:p>
    <w:p w:rsidR="00BE7FB3" w:rsidRDefault="00BE7FB3" w:rsidP="00BE7FB3">
      <w:pPr>
        <w:pStyle w:val="TextoNormal"/>
      </w:pPr>
      <w:r>
        <w:t>Así las cosas, el objeto de la disposición adicional vigésimo tercera, “pago de subvenciones a partidos políticos”, de la ley 24/2001, de 27 de diciembre, de medidas fiscales, administrativas y del orden social, era evitar el “pago a los partidos políticos, federaciones, coaliciones o agrupaciones de electores, o a cualquier otra persona o entidad a las que, por cualquier título, se hubiere transmitido el crédito correspondiente” de las subvenciones electorales en los supuestos de que las formaciones políticas beneficiarias no acreditaran que los candidatos electos hubieran adquirido plenamente su plena condición representativa, aun en el caso de que el cobro de las correspondientes cantidades deviniera de su reconocimiento por sentencia firme, como es el caso. Sin embargo, como se ha referido anteriormente, el destino de la cantidad cuya abono se reclamaba en el procedimiento de ejecución que está en el origen de la presente cuestión de inconstitucionalidad ya no es el pago a la parte reclamante sino su afectación a un procedimiento judicial de liquidación patrimonial.</w:t>
      </w:r>
    </w:p>
    <w:p w:rsidR="00BE7FB3" w:rsidRDefault="00BE7FB3" w:rsidP="00BE7FB3">
      <w:pPr>
        <w:pStyle w:val="TextoNormal"/>
      </w:pPr>
    </w:p>
    <w:p w:rsidR="00BE7FB3" w:rsidRDefault="00BE7FB3" w:rsidP="00BE7FB3">
      <w:pPr>
        <w:pStyle w:val="TextoNormal"/>
      </w:pPr>
      <w:r>
        <w:t>En consecuencia, la inclusión de la cantidad adeudada en el procedimiento de liquidación concluido por Auto de 20 de noviembre de 2008 determina que ya no resulte de aplicación la disposición adicional cuyo enjuiciamiento por este Tribunal se pretendía, si bien por causas sobrevenidas al momento del planteamiento y admisión de la presente cuestión de inconstitucionalidad, pero que implican una desaparición sobrevenida de los presupuestos de apertura del presente proceso constitucional y que ha de provocar su extinción, ya que, como tiene declarado este Tribunal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 Extinción del proceso constitucional que no conlleva pronunciamiento alguno acerca de la suerte que ha de correr el procedimiento del que pende la presente cuestión de inconstitucionalidad y cuya resolución cumple exclusivamente al órgano promotor de la misma.</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la extinción de la cuestión de inconstitucionalidad núm. 1573-2002, por desaparición sobrevenida de su objeto.</w:t>
      </w:r>
    </w:p>
    <w:p w:rsidR="00BE7FB3" w:rsidRDefault="00BE7FB3" w:rsidP="00BE7FB3">
      <w:pPr>
        <w:pStyle w:val="TextoNormal"/>
      </w:pPr>
    </w:p>
    <w:p w:rsidR="00BE7FB3" w:rsidRDefault="00BE7FB3" w:rsidP="00BE7FB3">
      <w:pPr>
        <w:pStyle w:val="TextoNormal"/>
      </w:pPr>
      <w:r>
        <w:t>Madrid, a doce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74" w:name="AUTO_2013_33"/>
      <w:r>
        <w:lastRenderedPageBreak/>
        <w:t>AUTO 33/2013, de 12 de febrero de 2013</w:t>
      </w:r>
    </w:p>
    <w:bookmarkEnd w:id="174"/>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ECLI:ES:TC:2013:33A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del conflicto positivo de competencia 6329-2003, planteado por la Generalitat de Cataluña en relación con diversos preceptos del Real Decreto 829/2003, de 27 de junio, por el que se establecen las enseñanzas comunes de la educación infantil.</w:t>
      </w:r>
    </w:p>
    <w:p w:rsidR="00BE7FB3" w:rsidRDefault="00BE7FB3" w:rsidP="00BE7FB3">
      <w:pPr>
        <w:pStyle w:val="SntesisDescriptiva"/>
      </w:pPr>
    </w:p>
    <w:p w:rsidR="00BE7FB3" w:rsidRDefault="00BE7FB3" w:rsidP="00BE7FB3">
      <w:pPr>
        <w:pStyle w:val="SntesisAnaltica"/>
      </w:pPr>
      <w:r>
        <w:t>Cataluña: competencias en materia de educación. Conflictos positivos de competencia: pérdida sobrevenida de objeto por derogación de la norma. Inadmisión de conflictos positivos de competencia: objeto del conflicto positivo de competencia. Sistema educativo: educación infantil.</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día 24 de octubre de 2003 el Letrado de la Generalitat de Cataluña, en la representación que legalmente ostenta, promueve conflicto positivo de competencia contra los arts. 5, 6 y 10, la disposición final primera y el anexo del Real Decreto 829/2003, de 27 de junio, por el que se establecen las enseñanzas comunes de la educación infantil.</w:t>
      </w:r>
    </w:p>
    <w:p w:rsidR="00BE7FB3" w:rsidRDefault="00BE7FB3" w:rsidP="00BE7FB3">
      <w:pPr>
        <w:pStyle w:val="TextoNormal"/>
      </w:pPr>
    </w:p>
    <w:p w:rsidR="00BE7FB3" w:rsidRDefault="00BE7FB3" w:rsidP="00BE7FB3">
      <w:pPr>
        <w:pStyle w:val="TextoNormal"/>
      </w:pPr>
      <w:r>
        <w:t>El Letrado de la Generalitat de Cataluña comienza su escrito de alegaciones refiriéndose al requerimiento de incompetencia presentado por acuerdo del Gobierno de la Generalitat de Cataluña de 22 de julio de 2003 frente a los arts. 5, 6 y 10, disposición final primera y segunda y anexo del Real Decreto 829/2003. Tal requerimiento sería rechazado por el Gobierno del Estado mediante acuerdo de 3 de octubre de 2003 al entender que no estaba fundado, pese a lo cual se interpreta la disposición final segunda en el sentido de que en el territorio de Cataluña corresponde a la Generalitat desarrollar y ejecutar el Real Decreto. A la vista de la respuesta del Gobierno, la Generalitat entendió que el requerimiento no había obtenido satisfacción salvo en lo referido a la disposición final segunda del Real Decreto 829/2003, por lo que decidió plantear conflicto de competencia respecto de los demás preceptos.</w:t>
      </w:r>
    </w:p>
    <w:p w:rsidR="00BE7FB3" w:rsidRDefault="00BE7FB3" w:rsidP="00BE7FB3">
      <w:pPr>
        <w:pStyle w:val="TextoNormal"/>
      </w:pPr>
    </w:p>
    <w:p w:rsidR="00BE7FB3" w:rsidRDefault="00BE7FB3" w:rsidP="00BE7FB3">
      <w:pPr>
        <w:pStyle w:val="TextoNormal"/>
      </w:pPr>
      <w:r>
        <w:t>Los motivos que sustentan la interposición del conflicto de competencias respecto de los arts. 5, 6 y 10, disposición final primera y anexo del Real Decreto 829/2003 son, sucintamente expuestos, los siguientes:</w:t>
      </w:r>
    </w:p>
    <w:p w:rsidR="00BE7FB3" w:rsidRDefault="00BE7FB3" w:rsidP="00BE7FB3">
      <w:pPr>
        <w:pStyle w:val="TextoNormal"/>
      </w:pPr>
    </w:p>
    <w:p w:rsidR="00BE7FB3" w:rsidRDefault="00BE7FB3" w:rsidP="00BE7FB3">
      <w:pPr>
        <w:pStyle w:val="TextoNormal"/>
      </w:pPr>
      <w:r>
        <w:lastRenderedPageBreak/>
        <w:t xml:space="preserve">El primero recuerda que la nueva ordenación del sistema educativo, también la contenida en el Real Decreto 829/2003, de 27 de junio, adolece de los vicios de inconstitucionalidad que fueron puestos de manifiesto en el recurso de inconstitucionalidad planteado en relación a la Ley Orgánica 10/2002, de 23 de diciembre, de calidad de la educación, y que se sintetizan afirmando que la Ley Orgánica 10/2002 ignora las competencias de la Generalitat de Cataluña en materia educativa, al convertir las enseñanzas “mínimas” en enseñanzas “comunes”, fijando los </w:t>
      </w:r>
      <w:r w:rsidRPr="00BE7FB3">
        <w:rPr>
          <w:i/>
        </w:rPr>
        <w:t>curricula</w:t>
      </w:r>
      <w:r>
        <w:t xml:space="preserve"> de dichas enseñanzas e, incluso, identificando de los días en que deben impartirse. Así, en la medida en que el Real Decreto 829/2003 desarrolla y aplica la Ley Orgánica 10/2002, incurre en los mismos vicios de inconstitucionalidad por incompetencia que esta, vulnerando las competencias de la Generalitat en materia educativa (art. 15 del Estatuto de Autonomía de Cataluña entonces vigente)</w:t>
      </w:r>
    </w:p>
    <w:p w:rsidR="00BE7FB3" w:rsidRDefault="00BE7FB3" w:rsidP="00BE7FB3">
      <w:pPr>
        <w:pStyle w:val="TextoNormal"/>
      </w:pPr>
    </w:p>
    <w:p w:rsidR="00BE7FB3" w:rsidRDefault="00BE7FB3" w:rsidP="00BE7FB3">
      <w:pPr>
        <w:pStyle w:val="TextoNormal"/>
      </w:pPr>
      <w:r>
        <w:t>En segundo término el Letrado de la Generalitat descarta que los arts. 149.1.1 y 149.1.30, CE que el Estado menciona en la disposición final primera del Decreto para justificar la regulación efectuada y otorgarle el carácter de norma básica, le den efectivamente cobertura competencial. Entiende la representación procesal de la Generalitat que el art. 149.1.1 CE, no puede configurarse como título aplicable en esta materia (con cita de la STC 188/2001); y que el art. 149.1.30 CE, no permite al Estado dictar una regulación básica de la educación infantil, puesto que la misma no ha sido incluida en la propia Ley Orgánica 10/2002 entre las enseñanzas escolares obligatorias, por lo que no cabe afirmar que su regulación corresponda al desarrollo del derecho fundamental en los términos en que ha sido definido en el art. 27 CE, razón en la que abunda el hecho de que no se atribuya a la regulación de la educación infantil el carácter de orgánica.</w:t>
      </w:r>
    </w:p>
    <w:p w:rsidR="00BE7FB3" w:rsidRDefault="00BE7FB3" w:rsidP="00BE7FB3">
      <w:pPr>
        <w:pStyle w:val="TextoNormal"/>
      </w:pPr>
    </w:p>
    <w:p w:rsidR="00BE7FB3" w:rsidRDefault="00BE7FB3" w:rsidP="00BE7FB3">
      <w:pPr>
        <w:pStyle w:val="TextoNormal"/>
      </w:pPr>
      <w:r>
        <w:t>Partiendo de la idea de que la enseñanza infantil no forma parte de las enseñanzas obligatorias, tratándose por tanto de una etapa educativa de carácter voluntario, el Letrado de la Generalitat entiende que esto supone que los alumnos pueden incorporarse a la siguiente etapa, ya obligatoria, sin haber cursado esta etapa previa. De los argumentos previos se deriva que no pueden establecerse con carácter básico más que la definición de los objetivos de la etapa, habida cuenta de que los contenidos ni siquiera han de ser alcanzados por los alumnos para pasar a la siguiente etapa, con lo que el objetivo de alcanzar una formación común, que justifica el establecimiento de las enseñanzas mínimas en los términos en que ha sido definida por la jurisprudencia constitucional (STC 88/1983, FJ 3), o de lograr que los títulos académicos se correspondan con unos determinados contenidos mínimos, no justifica en este caso el carácter básico de la regulación.</w:t>
      </w:r>
    </w:p>
    <w:p w:rsidR="00BE7FB3" w:rsidRDefault="00BE7FB3" w:rsidP="00BE7FB3">
      <w:pPr>
        <w:pStyle w:val="TextoNormal"/>
      </w:pPr>
    </w:p>
    <w:p w:rsidR="00BE7FB3" w:rsidRDefault="00BE7FB3" w:rsidP="00BE7FB3">
      <w:pPr>
        <w:pStyle w:val="TextoNormal"/>
      </w:pPr>
      <w:r>
        <w:t>Respecto de la impugnación de los arts. 5 y 6 del Real Decreto, el Letrado de la Generalitat argumenta que la determinación de los elementos básicos del currículo en los términos en que estos preceptos lo hacen impide a la Comunidad Autónoma el ejercicio de sus propias competencias, lo que se deduce en particular de dos factores: la detallada regulación de los aspectos que configuran el contenido básico de la etapa, máxime teniendo en cuenta que se trata de una etapa educativa no obligatoria, y la necesidad de que dichos elementos básicos que configuran el currículo se impartan “en sus propios términos”.</w:t>
      </w:r>
    </w:p>
    <w:p w:rsidR="00BE7FB3" w:rsidRDefault="00BE7FB3" w:rsidP="00BE7FB3">
      <w:pPr>
        <w:pStyle w:val="TextoNormal"/>
      </w:pPr>
    </w:p>
    <w:p w:rsidR="00BE7FB3" w:rsidRDefault="00BE7FB3" w:rsidP="00BE7FB3">
      <w:pPr>
        <w:pStyle w:val="TextoNormal"/>
      </w:pPr>
      <w:r>
        <w:t xml:space="preserve">El Letrado de la Generalitat recuerda que ya en el recurso de inconstitucionalidad formulado contra la Ley Orgánica 10/2002 por el Gobierno de la Generalitat se entendía que uno de los principales cambios introducidos por esta ley tenía que ver con la sustitución de </w:t>
      </w:r>
      <w:r>
        <w:lastRenderedPageBreak/>
        <w:t>las “enseñanzas mínimas” que recogía la Ley Orgánica 1/1990, de 3 de octubre, de ordenación general del sistema educativo (LOGSE), por las “enseñanzas comunes”. Se considera que este cambio de concepto es sustantivo porque encierra una variación de concepción y una extensión de lo básico, que deja de ser un mínimo común y se convierte en una regulación homogeneizadora, que ya no responde a objetivos de formación común, sino que se extiende a todo el espacio regulador. Lo anterior implica pasar de un sistema en el que la regla de mínimos marcaba el contenido de la formación común que debía ser impartida a todos los alumnos, a otro en el cual el contenido de esa formación pretende ser determinada unilateralmente por el Estado, tal y como se deduce de la lectura del apartado 3 del art. 8 de la Ley Orgánica 10/2002, y del art. 6 del Real Decreto impugnado. Tal situación contrasta, a juicio de la representación procesal de la Generalitat, con la que se producía durante la vigencia de la LOGSE, en la que la determinación de los contenidos educativos se producía de forma más flexible, tal como ponía de manifiesto el Real Decreto 1330/1991, de 6 de septiembre, por el cual se establecen los aspectos básicos del currículo de educación infantil y, para Cataluña, el Real Decreto 94/1992, de 28 de abril.</w:t>
      </w:r>
    </w:p>
    <w:p w:rsidR="00BE7FB3" w:rsidRDefault="00BE7FB3" w:rsidP="00BE7FB3">
      <w:pPr>
        <w:pStyle w:val="TextoNormal"/>
      </w:pPr>
    </w:p>
    <w:p w:rsidR="00BE7FB3" w:rsidRDefault="00BE7FB3" w:rsidP="00BE7FB3">
      <w:pPr>
        <w:pStyle w:val="TextoNormal"/>
      </w:pPr>
      <w:r>
        <w:t>Actualmente, en cambio, la necesidad de que las enseñanzas comunes se incluyan “en sus propios términos” en el currículo (art. 6 Real Decreto 829/2003) y el detalle con el que se han establecido los contenidos correspondientes a cada una de las áreas curriculares y los criterios de evaluación, deja un escaso margen de diseño curricular a las Comunidades Autónomas que no podrán organizar ni desarrollar ese contenido curricular, adaptándolo a las necesidades educativas de la población, lo cual es particularmente grave en esta etapa educativa en la que, según la exposición de motivos del Real Decreto 829/2003, la educación debe ser individualizada y personalizada. Entiende la representación procesal de la Generalitat que, en lugar de delimitar los contenidos, el Estado debería haberse circunscrito a establecer las competencias básicas.</w:t>
      </w:r>
    </w:p>
    <w:p w:rsidR="00BE7FB3" w:rsidRDefault="00BE7FB3" w:rsidP="00BE7FB3">
      <w:pPr>
        <w:pStyle w:val="TextoNormal"/>
      </w:pPr>
    </w:p>
    <w:p w:rsidR="00BE7FB3" w:rsidRDefault="00BE7FB3" w:rsidP="00BE7FB3">
      <w:pPr>
        <w:pStyle w:val="TextoNormal"/>
      </w:pPr>
      <w:r>
        <w:t>El último argumento que expone la representación procesal de la Generalitat se refiere a la impugnación del art. 10 del Real Decreto, que, según el Letrado no se limita a determinar las horas necesarias para que sean impartidas las enseñanzas comunes, lo que tampoco tendría sentido en una etapa de educación voluntaria, sino que fija el calendario escolar al establecer que éste comprenderá un mínimo de 175 días lectivos y que en ningún caso el inicio del curso escolar se producirá antes del uno de septiembre, ni el final de las actividades lectivas después del treinta de junio de cada año académico. Dicha regulación, como ya se indicó en el recurso interpuesto contra la Ley Orgánica 10/2002, excede de las competencias del Estado y no se encuentra vinculada al desarrollo del derecho fundamental a la educación, puesto que la determinación del calendario escolar es una materia típicamente organizativa que se enmarca en la competencia autonómica sobre educación.</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Por providencia de la Sección Tercera del Tribunal Constitucional de 2 de diciembre de 2003 se acordó admitir a trámite el conflicto positivo de competencia en relación con los arts. 5, 6, 10, disposición final primera y anexo del Real Decreto 829/2003, de 27 de junio, por el que se establecen las enseñanzas comunes de la educación infantil, así como dar traslado de la demanda y documentos presentados al Gobierno, por conducto de su Presidente, para que en el plazo de veinte días y, por medio de la representación procesal que determina el art. 82.2 de la Ley Orgánica del Tribunal Constitucional (LOTC), pueda aportar cuantos documentos y alegaciones considere convenientes. Asimismo se acuerda comunicar la incoación del conflicto a la Sala de lo Contencioso-Administrativo del Tribunal Supremo, por </w:t>
      </w:r>
      <w:r>
        <w:lastRenderedPageBreak/>
        <w:t>si ante la misma estuvieran impugnados o se impugnaren los citados preceptos, en cuyo caso se habría de suspenderse el curso del proceso hasta la resolución del conflicto, según dispone el art. 61.2 LOTC. Por último se acuerda publicar la incoación del conflicto en el “Boletín Oficial del Estado” y en el “Diario Oficial de la Generalitat de Cataluña”.</w:t>
      </w:r>
    </w:p>
    <w:p w:rsidR="00BE7FB3" w:rsidRDefault="00BE7FB3" w:rsidP="00BE7FB3">
      <w:pPr>
        <w:pStyle w:val="TextoNormal"/>
      </w:pPr>
    </w:p>
    <w:p w:rsidR="00BE7FB3" w:rsidRDefault="00BE7FB3" w:rsidP="00BE7FB3">
      <w:pPr>
        <w:pStyle w:val="TextoNormal"/>
      </w:pPr>
      <w:r w:rsidRPr="00BE7FB3">
        <w:rPr>
          <w:rStyle w:val="NumeroAFNegritaCaracter"/>
        </w:rPr>
        <w:t>3</w:t>
      </w:r>
      <w:r>
        <w:t>. El Abogado del Estado, en la representación que legalmente ostenta, se personó en el proceso mediante escrito registrado el día 30 de diciembre de 2003, instando la desestimación del conflicto conforme a los siguientes argumentos.</w:t>
      </w:r>
    </w:p>
    <w:p w:rsidR="00BE7FB3" w:rsidRDefault="00BE7FB3" w:rsidP="00BE7FB3">
      <w:pPr>
        <w:pStyle w:val="TextoNormal"/>
      </w:pPr>
    </w:p>
    <w:p w:rsidR="00BE7FB3" w:rsidRDefault="00BE7FB3" w:rsidP="00BE7FB3">
      <w:pPr>
        <w:pStyle w:val="TextoNormal"/>
      </w:pPr>
      <w:r>
        <w:t>El escrito de alegaciones parte de la afirmación de que la educación infantil forma parte del sistema educativo al que se refiere el art. 27 CE, debiendo entenderse que el mismo es un instrumento para el ejercicio del derecho a la educación en tanto que constituye una actividad encaminada de modo sistemático y con un mínimo de continuidad a la transmisión de un determinado cuerpo de conocimientos y valores (STC 5/1981). Partiendo de esta idea se afirma que la obligación que la Constitución impone a los poderes públicos de homologar el sistema educativo (art. 27.8 CE) se refiere precisamente a eso, al sistema educativo, y no a la enseñanza básica que es un concepto distinto, y añade que tal homologación corresponde al Estado, en los términos definidos por la jurisprudencia del Tribunal Constitucional.</w:t>
      </w:r>
    </w:p>
    <w:p w:rsidR="00BE7FB3" w:rsidRDefault="00BE7FB3" w:rsidP="00BE7FB3">
      <w:pPr>
        <w:pStyle w:val="TextoNormal"/>
      </w:pPr>
    </w:p>
    <w:p w:rsidR="00BE7FB3" w:rsidRDefault="00BE7FB3" w:rsidP="00BE7FB3">
      <w:pPr>
        <w:pStyle w:val="TextoNormal"/>
      </w:pPr>
      <w:r>
        <w:t>Seguidamente la Abogacía del Estado, refiriéndose a la cobertura competencial del Decreto a que se refiere la disposición final primera, afirma que, de conformidad con el art. 149.1.30 CE, corresponde al Estado elaborar la normativa básica para el desarrollo del art. 27 CE, así como la homologación del sistema educativo en todo el territorio del Estado para garantizar la igualdad de derechos que la Constitución reconoce a todos los españoles. La norma impugnada, según el Abogado del Estado, tiene un contenido sustancialmente normativo a partir del cual la Comunidad Autónoma debe hacer efectivos los propósitos, principios, objetivos y métodos enunciados en la norma básica mediante su desarrollo normativo o aplicación ejecutiva (con mención de la STC 6/1982, FJ 4). A lo anterior se añade que el art. 149.1.1 CE cumple, en el ámbito educativo, una función habilitante de competencias vinculadas a derechos fundamentales y a su vez opera como instrumento de garantía de que las condiciones de ejercicio del derecho a la educación son iguales para todos los ciudadanos en todo el territorio del Estado. Ello justifica el nivel de concreción de las condiciones mínimas exigidas, sin que su nivel de detalle sea tal que le haga perder su calificación como norma básica. Así pues, el título competencial del art. 149.1.1 CE se une al título competencial estatal por razón de la materia que contiene el art. 149.1.30 CE, sin que ello impida a la Comunidad Autónoma ejercer la competencia, estatutariamente atribuida, de desarrollo normativo y ejecución en materia educativa.</w:t>
      </w:r>
    </w:p>
    <w:p w:rsidR="00BE7FB3" w:rsidRDefault="00BE7FB3" w:rsidP="00BE7FB3">
      <w:pPr>
        <w:pStyle w:val="TextoNormal"/>
      </w:pPr>
    </w:p>
    <w:p w:rsidR="00BE7FB3" w:rsidRDefault="00BE7FB3" w:rsidP="00BE7FB3">
      <w:pPr>
        <w:pStyle w:val="TextoNormal"/>
      </w:pPr>
      <w:r>
        <w:t>En cuarto término el Abogado del Estado afirma que, tal y como se deduce de la jurisprudencia constitucional, la regulación reglamentaria de materias básicas resulta acorde con la Constitución en este caso porque existe una habilitación legal y porque el rango reglamentario viene justificado por la singularidad de la materia. Al anterior alegato se une el relativo a que la habilitación contenida en la disposición final segunda del Real Decreto para que el Ministro de Educación, Cultura y Deporte, dentro del ámbito de sus competencias, pueda desarrollar y ejecutar el Decreto no vulnera en sí misma competencia alguna, siendo un análisis tal, indiciario, conjetural o hipotético, en la medida en que la norma no existe.</w:t>
      </w:r>
    </w:p>
    <w:p w:rsidR="00BE7FB3" w:rsidRDefault="00BE7FB3" w:rsidP="00BE7FB3">
      <w:pPr>
        <w:pStyle w:val="TextoNormal"/>
      </w:pPr>
    </w:p>
    <w:p w:rsidR="00BE7FB3" w:rsidRDefault="00BE7FB3" w:rsidP="00BE7FB3">
      <w:pPr>
        <w:pStyle w:val="TextoNormal"/>
      </w:pPr>
      <w:r>
        <w:lastRenderedPageBreak/>
        <w:t>Respondiendo a la impugnación de los arts. 5 y 6 y el anexo del Real Decreto 829/2003, afirma que los mismos establecen las enseñanzas comunes que constituyen los elementos básicos del currículo, los objetivos, contenidos y criterios de evaluación del mismo, siendo competencia de las Administraciones educativas el establecimiento del currículo en que deben incluirse las enseñanzas mínimas. A juicio del Abogado del Estado, la sustitución del término “enseñanzas comunes” por el de “enseñanzas mínimas” no modifica la interpretación constitucional previa, porque del examen particularizado del anexo se desprende que su contenido se incardina en el mínimo común normativo que respecto al concepto de normas básicas establece la interpretación del Tribunal Constitucional, es decir, el nivel mínimo de homogeneidad en la formación de los escolares (STC 87/1983 FJ 4; y STC 88/1983, FJ 3) y cuya concreción se justifica por la finalidad de la competencia estatal, esto es la formación sustancialmente común de todos los escolares dentro del sistema educativo español, con independencia del lugar de residencia de cada uno.</w:t>
      </w:r>
    </w:p>
    <w:p w:rsidR="00BE7FB3" w:rsidRDefault="00BE7FB3" w:rsidP="00BE7FB3">
      <w:pPr>
        <w:pStyle w:val="TextoNormal"/>
      </w:pPr>
    </w:p>
    <w:p w:rsidR="00BE7FB3" w:rsidRDefault="00BE7FB3" w:rsidP="00BE7FB3">
      <w:pPr>
        <w:pStyle w:val="TextoNormal"/>
      </w:pPr>
      <w:r>
        <w:t>Por último, y respecto de las alegaciones referidas al exceso competencial del art. 10 del Decreto, el Abogado del Estado afirma que este precepto no fija el calendario escolar, en la medida en que esa fijación corresponde a las Administraciones educativas, sino que se limita a determinar un mínimo de ciento setenta y cinco días lectivos y una horquilla de inicio y final de las actividades lectivas, en calidad de mínimo normativo, que va entre el 1 de septiembre y el 30 de junio de cada año académico. Dentro de estos mínimos, que pese a su carácter organizativo constituyen elementos básicos de la ordenación general de la enseñanza, el número de días lectivos y el inicio y final de las actividades lectivas serán fijados por la Comunidad Autónoma que tenga atribuidas las competencias educativas.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Gobierno de la Generalitat de Cataluña plantea conflicto positivo de competencias contra los arts. 5, 6 y 10, la disposición final primera y el anexo del Real Decreto 829/2003, de 27 de junio, por el que se establecen las enseñanzas comunes de la educación infantil. Entiende la Generalitat que los preceptos impugnados invaden las competencias de la Comunidad Autónoma de Cataluña en materia educativa al desarrollar una normativa básica que excede de los límites competenciales impuestos al Estado en el bloque de la constitucionalidad, y que no encuentra sustento, tal y como se ha expuesto en los antecedentes, ni en el art. 149.1.1 CE, ni en el art. 149.1.30 CE, en particular porque el Real Decreto impugnado regula un período educativo que no es obligatorio, y en el que la intervención del Estado debería ser menor.</w:t>
      </w:r>
    </w:p>
    <w:p w:rsidR="00BE7FB3" w:rsidRDefault="00BE7FB3" w:rsidP="00BE7FB3">
      <w:pPr>
        <w:pStyle w:val="TextoNormal"/>
      </w:pPr>
    </w:p>
    <w:p w:rsidR="00BE7FB3" w:rsidRDefault="00BE7FB3" w:rsidP="00BE7FB3">
      <w:pPr>
        <w:pStyle w:val="TextoNormal"/>
      </w:pPr>
      <w:r>
        <w:t>Frente a esta posición el Abogado del Estado, en representación del Gobierno, sostiene que los apartados 1 y 30 del art. 149.1 CE dan sustento suficiente al Real Decreto 829/2003, que se limita a desarrollar la legislación básica, dejando margen suficiente a las Comunidades Autónomas para ejercitar de manera adecuada sus propias competencias, respetando la posición del Estado de garante de la igualdad de todos los ciudadanos en el ejercicio de los derechos fundamentales (art. 149.1.1 CE, en conexión con el art. 27 CE).</w:t>
      </w:r>
    </w:p>
    <w:p w:rsidR="00BE7FB3" w:rsidRDefault="00BE7FB3" w:rsidP="00BE7FB3">
      <w:pPr>
        <w:pStyle w:val="TextoNormal"/>
      </w:pPr>
    </w:p>
    <w:p w:rsidR="00BE7FB3" w:rsidRDefault="00BE7FB3" w:rsidP="00BE7FB3">
      <w:pPr>
        <w:pStyle w:val="TextoNormal"/>
      </w:pPr>
      <w:r w:rsidRPr="00BE7FB3">
        <w:rPr>
          <w:rStyle w:val="NumeroAFNegritaCaracter"/>
        </w:rPr>
        <w:t>2</w:t>
      </w:r>
      <w:r>
        <w:t>. Con carácter previo a cualquier otra consideración es preciso poner de manifiesto ciertas modificaciones normativas que podrían incidir en la pervivencia del presente conflicto positivo de competencias.</w:t>
      </w:r>
    </w:p>
    <w:p w:rsidR="00BE7FB3" w:rsidRDefault="00BE7FB3" w:rsidP="00BE7FB3">
      <w:pPr>
        <w:pStyle w:val="TextoNormal"/>
      </w:pPr>
    </w:p>
    <w:p w:rsidR="00BE7FB3" w:rsidRDefault="00BE7FB3" w:rsidP="00BE7FB3">
      <w:pPr>
        <w:pStyle w:val="TextoNormal"/>
      </w:pPr>
      <w:r>
        <w:t>Durante la pendencia del presente conflicto, el Real Decreto 829/2003, que estuvo vigente desde el 2 de julio de 2003 hasta el 15 de julio de 2006, fue derogado expresamente por la disposición derogatoria única del Real Decreto 806/2006, de 30 de junio, por el que se fija el calendario de aplicación de la nueva ordenación del sistema educativo, establecida por la Ley Orgánica 2/2006, de 3 de mayo, de educación, publicado en el “Boletín Oficial del Estado” núm. 167, de 14 de julio de 2006.</w:t>
      </w:r>
    </w:p>
    <w:p w:rsidR="00BE7FB3" w:rsidRDefault="00BE7FB3" w:rsidP="00BE7FB3">
      <w:pPr>
        <w:pStyle w:val="TextoNormal"/>
      </w:pPr>
    </w:p>
    <w:p w:rsidR="00BE7FB3" w:rsidRDefault="00BE7FB3" w:rsidP="00BE7FB3">
      <w:pPr>
        <w:pStyle w:val="TextoNormal"/>
      </w:pPr>
      <w:r>
        <w:t>Posteriormente, el Real Decreto 1630/2006, de 29 de diciembre, por el que se establecen las enseñanzas mínimas del segundo ciclo de educación infantil, vino a sustituir materialmente el Real Decreto ahora impugnado, desarrollando lo dispuesto en el art. 6.2 de la Ley Orgánica 2/2006, de 3 de mayo, de educación, que establece que corresponde al Gobierno fijar las enseñanzas mínimas a las que se refiere la disposición adicional primera, apartado 2, letra c) de la Ley Orgánica 8/1985, de 3 de julio, reguladora del derecho a la educación.</w:t>
      </w:r>
    </w:p>
    <w:p w:rsidR="00BE7FB3" w:rsidRDefault="00BE7FB3" w:rsidP="00BE7FB3">
      <w:pPr>
        <w:pStyle w:val="TextoNormal"/>
      </w:pPr>
    </w:p>
    <w:p w:rsidR="00BE7FB3" w:rsidRDefault="00BE7FB3" w:rsidP="00BE7FB3">
      <w:pPr>
        <w:pStyle w:val="TextoNormal"/>
      </w:pPr>
      <w:r w:rsidRPr="00BE7FB3">
        <w:rPr>
          <w:rStyle w:val="NumeroAFNegritaCaracter"/>
        </w:rPr>
        <w:t>3</w:t>
      </w:r>
      <w:r>
        <w:t>. Resultando, por tanto, evidente, que la norma impugnada ha sido derogada expresamente, y posteriormente un nuevo real decreto se ha ocupado de la regulación básica de la enseñanza en el período de educación infantil, en desarrollo de una ley orgánica posterior a la que, en su día, desarrollara el Real Decreto impugnado, es preciso analizar los efectos que tienen estas modificaciones normativas sucesivas sobre la pervivencia del proceso, teniendo en cuenta nuestra doctrina sobre la pérdida sobrevenida del objeto en los procesos constitucionales, y particularmente la jurisprudencia más reciente sobre el particular contenida en los AATC 244/2012 y 245/2012, ambos de 18 de diciembre.</w:t>
      </w:r>
    </w:p>
    <w:p w:rsidR="00BE7FB3" w:rsidRDefault="00BE7FB3" w:rsidP="00BE7FB3">
      <w:pPr>
        <w:pStyle w:val="TextoNormal"/>
      </w:pPr>
    </w:p>
    <w:p w:rsidR="00BE7FB3" w:rsidRDefault="00BE7FB3" w:rsidP="00BE7FB3">
      <w:pPr>
        <w:pStyle w:val="TextoNormal"/>
      </w:pPr>
      <w:r>
        <w:t>Como se deduce de nuestra reiterada doctrina, la mera derogación de la norma impugnada no tiene por qué suponer la pérdida automática de objeto del, en este caso, conflicto positivo de competencia, porque en las controversias de alcance competencial es necesario “apreciar los efectos que tiene sobre el conflicto la entrada en vigor de nueva normativa reguladora de algunos de los aspectos en discusión, aunque no se haya impugnado” (STC 194/2012, FJ 2, y jurisprudencia allí citada).</w:t>
      </w:r>
    </w:p>
    <w:p w:rsidR="00BE7FB3" w:rsidRDefault="00BE7FB3" w:rsidP="00BE7FB3">
      <w:pPr>
        <w:pStyle w:val="TextoNormal"/>
      </w:pPr>
    </w:p>
    <w:p w:rsidR="00BE7FB3" w:rsidRDefault="00BE7FB3" w:rsidP="00BE7FB3">
      <w:pPr>
        <w:pStyle w:val="TextoNormal"/>
      </w:pPr>
      <w:r>
        <w:t>Por tanto, es preciso atender a las circunstancias “concurrentes en cada caso, y, ante todo, a la pervivencia de la controversia competencial, esto es, a si la disputa sobre la titularidad competencial sigue o no viva entre las partes” (STC 147/1998, FJ 3, y jurisprudencia allí citada). Para valorar la pervivencia de la controversia se atenderá al hecho de que la norma impugnada no haya sido simplemente derogada “sino parcialmente sustituida por otra que viene a plantear en esencia los mismos problemas competenciales” [STC 194/2012, FJ 2, con cita de la STC 134/2011, de 20 de julio, FJ 2 b)], en cuyo caso la doctrina de este Tribunal avala la conclusión de la no desaparición del objeto del conflicto.</w:t>
      </w:r>
    </w:p>
    <w:p w:rsidR="00BE7FB3" w:rsidRDefault="00BE7FB3" w:rsidP="00BE7FB3">
      <w:pPr>
        <w:pStyle w:val="TextoNormal"/>
      </w:pPr>
    </w:p>
    <w:p w:rsidR="00BE7FB3" w:rsidRDefault="00BE7FB3" w:rsidP="00BE7FB3">
      <w:pPr>
        <w:pStyle w:val="TextoNormal"/>
      </w:pPr>
      <w:r w:rsidRPr="00BE7FB3">
        <w:rPr>
          <w:rStyle w:val="NumeroAFNegritaCaracter"/>
        </w:rPr>
        <w:t>4</w:t>
      </w:r>
      <w:r>
        <w:t>. Conforme con la doctrina expuesta, es preciso valorar ahora las consecuencias que la aprobación del Real Decreto 1630/2006, de 29 de diciembre, tiene sobre la pervivencia del conflicto planteado contra su predecesor, el Real Decreto 829/2003.</w:t>
      </w:r>
    </w:p>
    <w:p w:rsidR="00BE7FB3" w:rsidRDefault="00BE7FB3" w:rsidP="00BE7FB3">
      <w:pPr>
        <w:pStyle w:val="TextoNormal"/>
      </w:pPr>
    </w:p>
    <w:p w:rsidR="00BE7FB3" w:rsidRDefault="00BE7FB3" w:rsidP="00BE7FB3">
      <w:pPr>
        <w:pStyle w:val="TextoNormal"/>
      </w:pPr>
      <w:r>
        <w:t xml:space="preserve">La Generalitat de Cataluña ha impugnado el art. 5 del Real Decreto 829/2003, en el que se establece que “las enseñanzas comunes, que constituyen los elementos básicos del currículo en lo que se refiere a objetivos, contenidos y criterios de evaluación, son las que se especifican en el anexo de este Real Decreto”, y el art. 6 en la medida en que afirma que </w:t>
      </w:r>
      <w:r>
        <w:lastRenderedPageBreak/>
        <w:t>“las Administraciones educativas establecerán el currículo de la Educación Infantil, que incluirá, en sus propios términos, las enseñanzas comunes contenidas en este Real Decreto”. Habida cuenta de que estos preceptos remiten al anexo, también éste es recurrido, puesto que contiene el desarrollo de lo que son las enseñanzas comunes que deben indefectiblemente integrar el currículo de la educación infantil.</w:t>
      </w:r>
    </w:p>
    <w:p w:rsidR="00BE7FB3" w:rsidRDefault="00BE7FB3" w:rsidP="00BE7FB3">
      <w:pPr>
        <w:pStyle w:val="TextoNormal"/>
      </w:pPr>
    </w:p>
    <w:p w:rsidR="00BE7FB3" w:rsidRDefault="00BE7FB3" w:rsidP="00BE7FB3">
      <w:pPr>
        <w:pStyle w:val="TextoNormal"/>
      </w:pPr>
      <w:r>
        <w:t>Pues bien, respecto de la regulación contenida en los arts. 5 y 6, la misma es sustituida por la que se contempla en el art. 5 del Real Decreto 1630/2006, de 29 de diciembre, que, en sus apartados 1 y 2, establece que las administraciones educativas determinarán los contenidos educativos del primer ciclo de la educación con arreglo a los principios, fines, objetivos y áreas fijados en el Real Decreto, y el currículo del segundo ciclo teniendo en cuenta las enseñanzas mínimas fijadas en este Real Decreto, que formarán parte, en todo caso, del mismo. A su vez el art. 6 del Real Decreto 1630/2006 establece cuáles son las enseñanzas mínimas del segundo ciclo de educación infantil, estableciendo tres áreas de conocimiento —conocimiento de sí mismo y autonomía personal, conocimiento del entorno, y lenguajes: comunicación y representación— cuyos objetivos, contenidos y criterios de evaluación se contienen en el anexo al Real Decreto.</w:t>
      </w:r>
    </w:p>
    <w:p w:rsidR="00BE7FB3" w:rsidRDefault="00BE7FB3" w:rsidP="00BE7FB3">
      <w:pPr>
        <w:pStyle w:val="TextoNormal"/>
      </w:pPr>
    </w:p>
    <w:p w:rsidR="00BE7FB3" w:rsidRDefault="00BE7FB3" w:rsidP="00BE7FB3">
      <w:pPr>
        <w:pStyle w:val="TextoNormal"/>
      </w:pPr>
      <w:r>
        <w:t>De la simple comparación de los arts. 5 y 6 de los dos decretos y de los correspondientes anexos se deduce que la regulación actualmente vigente no hace referencia ya a las denominadas “enseñanzas comunes”, sino que recupera la anterior denominación de “enseñanzas mínimas”, y tampoco se refiere a la necesidad de que consten aquéllas en el currículo en sus propios términos, lo que, habida cuenta de las alegaciones de las partes, suponía el elemento esencial de la controversia competencial.</w:t>
      </w:r>
    </w:p>
    <w:p w:rsidR="00BE7FB3" w:rsidRDefault="00BE7FB3" w:rsidP="00BE7FB3">
      <w:pPr>
        <w:pStyle w:val="TextoNormal"/>
      </w:pPr>
    </w:p>
    <w:p w:rsidR="00BE7FB3" w:rsidRDefault="00BE7FB3" w:rsidP="00BE7FB3">
      <w:pPr>
        <w:pStyle w:val="TextoNormal"/>
      </w:pPr>
      <w:r>
        <w:t>Por lo que hace al impugnado art. 10 del Real Decreto 829/2003, el Real Decreto 1630/2006, no contiene precepto alguno relativo a la determinación del calendario escolar, que será, por tanto, determinado por las Comunidades Autónomas.</w:t>
      </w:r>
    </w:p>
    <w:p w:rsidR="00BE7FB3" w:rsidRDefault="00BE7FB3" w:rsidP="00BE7FB3">
      <w:pPr>
        <w:pStyle w:val="TextoNormal"/>
      </w:pPr>
    </w:p>
    <w:p w:rsidR="00BE7FB3" w:rsidRDefault="00BE7FB3" w:rsidP="00BE7FB3">
      <w:pPr>
        <w:pStyle w:val="TextoNormal"/>
      </w:pPr>
      <w:r>
        <w:t>Procede, por tanto, considerar que la controversia relativa a los arts. 5, 6 y 10 y al anexo del Decreto 829/2003 ha desaparecido en la medida en que el Estado muestra, en la regulación que viene a reemplazar a la impugnada, que no mantiene su voluntad de determinar las cuestiones controvertidas (en el mismo sentido, STC 99/2012, FJ 8) en los términos y con la extensión con que lo hacía en el Real Decreto impugnado.</w:t>
      </w:r>
    </w:p>
    <w:p w:rsidR="00BE7FB3" w:rsidRDefault="00BE7FB3" w:rsidP="00BE7FB3">
      <w:pPr>
        <w:pStyle w:val="TextoNormal"/>
      </w:pPr>
    </w:p>
    <w:p w:rsidR="00BE7FB3" w:rsidRDefault="00BE7FB3" w:rsidP="00BE7FB3">
      <w:pPr>
        <w:pStyle w:val="TextoNormal"/>
      </w:pPr>
      <w:r w:rsidRPr="00BE7FB3">
        <w:rPr>
          <w:rStyle w:val="NumeroAFNegritaCaracter"/>
        </w:rPr>
        <w:t>5</w:t>
      </w:r>
      <w:r>
        <w:t>. Por lo que hace a la impugnación de la disposición final primera, en realidad la queja referida a este precepto no es autónoma en cuanto que con ella se pone de manifiesto la falta de cobertura competencial que se reprocha a los restantes contenidos del Real Decreto 829/2003 que han sido impugnados. En consecuencia, en tanto que se trata de una impugnación conexa a la referida a los arts. 5, 6, 10 y anexo, habiendo determinado la pérdida de objeto respecto de esta última, hemos de entender que decae también aquélla, puesto que la demanda fundaba el reproche a la disposición final primera en su conexión con el resto de los contenidos del Real Decreto 829/2003 que han sido examinados en los términos que han quedado expuestos.</w:t>
      </w:r>
    </w:p>
    <w:p w:rsidR="00BE7FB3" w:rsidRDefault="00BE7FB3" w:rsidP="00BE7FB3">
      <w:pPr>
        <w:pStyle w:val="TextoNormal"/>
      </w:pPr>
    </w:p>
    <w:p w:rsidR="00BE7FB3" w:rsidRDefault="00BE7FB3" w:rsidP="00BE7FB3">
      <w:pPr>
        <w:pStyle w:val="TextoNormal"/>
      </w:pPr>
      <w:r w:rsidRPr="00BE7FB3">
        <w:rPr>
          <w:rStyle w:val="NumeroAFNegritaCaracter"/>
        </w:rPr>
        <w:t>6</w:t>
      </w:r>
      <w:r>
        <w:t xml:space="preserve">. Todo lo anterior cabe afirmarlo sin perjuicio de añadir que las impugnaciones planteadas en este conflicto de competencias, así como los argumentos expuestos por las partes, están estrechamente relacionadas con el recurso de inconstitucionalidad interpuesto por la </w:t>
      </w:r>
      <w:r>
        <w:lastRenderedPageBreak/>
        <w:t>Generalitat de Cataluña contra la Ley Orgánica 10/2002, de 23 de diciembre, de calidad de la educación, objeto de la STC 212/2012, de 14 de noviembre, que da respuesta a todas y cada una de las cuestiones que aquí se plantean, tanto por parte de la Generalitat de Cataluña como por parte del Gobierno, por lo que tampoco subsiste aquí necesidad alguna de preservar los ámbitos respectivos de competencia.</w:t>
      </w:r>
    </w:p>
    <w:p w:rsidR="00BE7FB3" w:rsidRDefault="00BE7FB3" w:rsidP="00BE7FB3">
      <w:pPr>
        <w:pStyle w:val="TextoNormal"/>
      </w:pPr>
    </w:p>
    <w:p w:rsidR="00BE7FB3" w:rsidRDefault="00BE7FB3" w:rsidP="00BE7FB3">
      <w:pPr>
        <w:pStyle w:val="TextoNormal"/>
      </w:pPr>
      <w:r>
        <w:t>No podemos, entonces, sino concluir que ha desaparecido de forma sobrevenida el objeto del conflicto positivo de competencia deducido contra determinados preceptos contra los arts. 5, 6 y 10, la disposición final primera y el anexo del Real Decreto 829/2003, de 27 de junio, por el que se establecen las enseñanzas comunes de la educación infantil y, consecuentemente, ha quedado extinguido el proceso, lo que hace innecesario pronunciarse sobre las cuestiones planteadas en el suplico del escrito de interposición de este conflicto positivo de competencias.</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extinguido el presente conflicto positivo de competencias por desaparición sobrevenida de su objeto.</w:t>
      </w:r>
    </w:p>
    <w:p w:rsidR="00BE7FB3" w:rsidRDefault="00BE7FB3" w:rsidP="00BE7FB3">
      <w:pPr>
        <w:pStyle w:val="TextoNormal"/>
      </w:pPr>
    </w:p>
    <w:p w:rsidR="00BE7FB3" w:rsidRDefault="00BE7FB3" w:rsidP="00BE7FB3">
      <w:pPr>
        <w:pStyle w:val="TextoNormal"/>
      </w:pPr>
      <w:r>
        <w:t>Madrid, a doce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75" w:name="AUTO_2013_34"/>
      <w:r>
        <w:lastRenderedPageBreak/>
        <w:t>AUTO 34/2013, de 12 de febrero de 2013</w:t>
      </w:r>
    </w:p>
    <w:bookmarkEnd w:id="175"/>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ECLI:ES:TC:2013:34A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Acepta una abstención en la cuestión de inconstitucionalidad 9200-2008, planteada por el Juzgado de Primera Instancia núm. 1 de Lleida en relación con el artículo 121.21 d) de la primera ley del Código civil.</w:t>
      </w:r>
    </w:p>
    <w:p w:rsidR="00BE7FB3" w:rsidRDefault="00BE7FB3" w:rsidP="00BE7FB3">
      <w:pPr>
        <w:pStyle w:val="SntesisDescriptiva"/>
      </w:pPr>
    </w:p>
    <w:p w:rsidR="00BE7FB3" w:rsidRDefault="00BE7FB3" w:rsidP="00BE7FB3">
      <w:pPr>
        <w:pStyle w:val="SntesisAnaltica"/>
      </w:pPr>
      <w:r>
        <w:t>Abstención de Magistrados del Tribunal Constitucional: acepta.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Ante este Tribunal se sigue la cuestión de inconstitucionalidad núm. 9200-2008, planteada por el Juzgado de Primera Instancia núm.1 de Lleida, en relación con el art. 121.21 d) de la primera Ley del Código civil de Cataluña, aprobada por Ley del Parlamento de Cataluña 29/2002, de 30 de diciembre, por posible vulneración de los arts. 14, 149.1.6 y 8 de la Constitución.</w:t>
      </w:r>
    </w:p>
    <w:p w:rsidR="00BE7FB3" w:rsidRDefault="00BE7FB3" w:rsidP="00BE7FB3">
      <w:pPr>
        <w:pStyle w:val="TextoNormal"/>
      </w:pPr>
    </w:p>
    <w:p w:rsidR="00BE7FB3" w:rsidRDefault="00BE7FB3" w:rsidP="00BE7FB3">
      <w:pPr>
        <w:pStyle w:val="TextoNormal"/>
      </w:pPr>
      <w:r w:rsidRPr="00BE7FB3">
        <w:rPr>
          <w:rStyle w:val="NumeroAFNegritaCaracter"/>
        </w:rPr>
        <w:t>2</w:t>
      </w:r>
      <w:r>
        <w:t>. Mediante escrito fechado el 6 de febrero de 2013, dirigido al Excmo. Sr. Presidente del Tribunal Constitucional, la Magistrada Excma. Sra. doña Encarnación Roca Trías comunicó a los efectos oportunos que se abstenía de intervenir en dicho asunto, de conformidad con lo dispuesto en el art. 219.6 de la Ley Orgánica del Poder Judicial, por hacerse referencia en el procedimiento a un dictamen jurídico sobre “la prescripción y la caducidad en el Código Civil de Cataluña” elaborado por ella, en relación con el anteproyecto de ley, que fue presentado posteriormente como proyecto de ley ante el Parlamento de Cataluña.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doña Encarnación Roca Trías, Magistrada de este Tribunal, en virtud de lo previsto en los arts. 80 de la Ley Orgánica del Tribunal Constitucional y 219.6 de la Ley Orgánica del Poder Judicial, procede estimar la causa de abstención formulada, puesto que la mencionada Magistrada elaboró un dictamen a petición de la Conselleria de Justícia de la Generalitat de Catalunya sobre el anteproyecto de ley de la norma respecto de la que se plantea la cuestión de inconstitucionalidad.</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la causa de abstención formulada por doña Encarnación Roca Trías en la cuestión de inconstitucionalidad núm. 9200-2008, apartándola definitivamente del conocimiento de la misma.</w:t>
      </w:r>
    </w:p>
    <w:p w:rsidR="00BE7FB3" w:rsidRDefault="00BE7FB3" w:rsidP="00BE7FB3">
      <w:pPr>
        <w:pStyle w:val="TextoNormal"/>
      </w:pPr>
    </w:p>
    <w:p w:rsidR="00BE7FB3" w:rsidRDefault="00BE7FB3" w:rsidP="00BE7FB3">
      <w:pPr>
        <w:pStyle w:val="TextoNormal"/>
      </w:pPr>
      <w:r>
        <w:t>Madrid, a doce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76" w:name="AUTO_2013_35"/>
      <w:r>
        <w:lastRenderedPageBreak/>
        <w:t>AUTO 35/2013, de 12 de febrero de 2013</w:t>
      </w:r>
    </w:p>
    <w:bookmarkEnd w:id="176"/>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ECLI:ES:TC:2013:35A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Inadmite a trámite la cuestión de inconstitucionalidad 3318-2012, planteada por el Juzgado de Primera Instancia e Instrucción núm. 2 de Estella/Lizarra en relación con la ley 71 del Fuero Nuevo de Navarra.</w:t>
      </w:r>
    </w:p>
    <w:p w:rsidR="00BE7FB3" w:rsidRDefault="00BE7FB3" w:rsidP="00BE7FB3">
      <w:pPr>
        <w:pStyle w:val="SntesisDescriptiva"/>
      </w:pPr>
    </w:p>
    <w:p w:rsidR="00BE7FB3" w:rsidRDefault="00BE7FB3" w:rsidP="00BE7FB3">
      <w:pPr>
        <w:pStyle w:val="SntesisAnaltica"/>
      </w:pPr>
      <w:r>
        <w:t>Cuestión de inconstitucionalidad: juicio de aplicabilidad; momento procesal para plantear la cuestión de inconstitucionalidad. Filiación: reclamación de filiación extramatrimonial. Inadmisión de cuestión de inconstitucionalidad por falta de requisitos procesales: trámite de audiencia defectuoso. Prueba biológica: denegación de prueba.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5 de junio de 2012 tuvo entrada en el Registro General de este Tribunal un escrito del Juzgado de Primera Instancia e Instrucción núm. 2 de Estella/Lizarra, al que se acompaña, junto con el testimonio de las actuaciones del procedimiento de filiación núm. 601-2011 que se tramita ante dicho Juzgado, el Auto de 24 de mayo de 2012, por el que se acuerda plantear cuestión de inconstitucionalidad respecto de la ley 71 del Fuero Nuevo de Navarra, por posible vulneración de los arts. 24.1 y 39.2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de los que trae causa la cuestión de inconstitucionalidad planteada son, en síntesis, los siguientes:</w:t>
      </w:r>
    </w:p>
    <w:p w:rsidR="00BE7FB3" w:rsidRDefault="00BE7FB3" w:rsidP="00BE7FB3">
      <w:pPr>
        <w:pStyle w:val="TextoNormal"/>
      </w:pPr>
    </w:p>
    <w:p w:rsidR="00BE7FB3" w:rsidRDefault="00BE7FB3" w:rsidP="00BE7FB3">
      <w:pPr>
        <w:pStyle w:val="TextoNormal"/>
      </w:pPr>
      <w:r>
        <w:t xml:space="preserve">a) Mediante demanda que tuvo entrada el 6 de julio de 2011 en el Juzgado de Primera Instancia e Instrucción núm. 2 de Estella, don A.B. interpuso acción de reclamación de paternidad no matrimonial respecto del menor I.V.R., al que considera su hijo, y acumuladamente se ejercita acción para la adopción de las medidas que regulan la relación paterno-filial entre ambos, en relación con su patria potestad, guarda y custodia, comunicaciones y visitas, y pensión alimenticia. Dicha demanda se presentó frente a doña M.E.V.R. —madre del menor— y frente a I.V.R. </w:t>
      </w:r>
    </w:p>
    <w:p w:rsidR="00BE7FB3" w:rsidRDefault="00BE7FB3" w:rsidP="00BE7FB3">
      <w:pPr>
        <w:pStyle w:val="TextoNormal"/>
      </w:pPr>
    </w:p>
    <w:p w:rsidR="00BE7FB3" w:rsidRDefault="00BE7FB3" w:rsidP="00BE7FB3">
      <w:pPr>
        <w:pStyle w:val="TextoNormal"/>
      </w:pPr>
      <w:r>
        <w:t xml:space="preserve">Como fundamentos de Derecho de su demanda se alude a lo dispuesto en la ley 70 y concordantes del Fuero Nuevo de Navarra, y en cuanto resultaren de aplicación, en los arts. </w:t>
      </w:r>
      <w:r>
        <w:lastRenderedPageBreak/>
        <w:t>131 y ss. del Código civil —en adelante, CC—. Expresamente el actor indica estar legitimado activamente en virtud de la Ley 71 del Fuero Nuevo de Navarra y el art. 133 de la Ley de enjuiciamiento civil, debiendo tenerse en cuenta lo establecido en la STC 273/2005, de 27 de octubre, que legitima activamente al progenitor no matrimonial y sin posesión de estado para el ejercicio de la acción de reclamación de paternidad.</w:t>
      </w:r>
    </w:p>
    <w:p w:rsidR="00BE7FB3" w:rsidRDefault="00BE7FB3" w:rsidP="00BE7FB3">
      <w:pPr>
        <w:pStyle w:val="TextoNormal"/>
      </w:pPr>
    </w:p>
    <w:p w:rsidR="00BE7FB3" w:rsidRDefault="00BE7FB3" w:rsidP="00BE7FB3">
      <w:pPr>
        <w:pStyle w:val="TextoNormal"/>
      </w:pPr>
      <w:r>
        <w:t>Mediante otrosí, el demandante solicitó prueba pericial biológica para la determinación de la paternidad.</w:t>
      </w:r>
    </w:p>
    <w:p w:rsidR="00BE7FB3" w:rsidRDefault="00BE7FB3" w:rsidP="00BE7FB3">
      <w:pPr>
        <w:pStyle w:val="TextoNormal"/>
      </w:pPr>
    </w:p>
    <w:p w:rsidR="00BE7FB3" w:rsidRDefault="00BE7FB3" w:rsidP="00BE7FB3">
      <w:pPr>
        <w:pStyle w:val="TextoNormal"/>
      </w:pPr>
      <w:r>
        <w:t>b) Por Decreto de 14 de octubre de 2011 del Secretario Judicial del Juzgado de Primera Instancia e Instrucción núm. 2 de Estella/Lizarra, se declaró la admisión a trámite de la indicada demanda, sustanciándose ésta por los trámites del juicio verbal, con las especialidades previstas en el art. 753 de la Ley de enjuiciamiento civil, y ordenando dar traslado de dicha demanda a la parte demandada y al Ministerio Fiscal.</w:t>
      </w:r>
    </w:p>
    <w:p w:rsidR="00BE7FB3" w:rsidRDefault="00BE7FB3" w:rsidP="00BE7FB3">
      <w:pPr>
        <w:pStyle w:val="TextoNormal"/>
      </w:pPr>
    </w:p>
    <w:p w:rsidR="00BE7FB3" w:rsidRDefault="00BE7FB3" w:rsidP="00BE7FB3">
      <w:pPr>
        <w:pStyle w:val="TextoNormal"/>
      </w:pPr>
      <w:r>
        <w:t>c) Mediante escrito registrado el 21 de octubre de 2011, el Ministerio Fiscal se personó y procedió a la contestación de la demanda, interesando la práctica anticipada de la prueba pericial biológica.</w:t>
      </w:r>
    </w:p>
    <w:p w:rsidR="00BE7FB3" w:rsidRDefault="00BE7FB3" w:rsidP="00BE7FB3">
      <w:pPr>
        <w:pStyle w:val="TextoNormal"/>
      </w:pPr>
    </w:p>
    <w:p w:rsidR="00BE7FB3" w:rsidRDefault="00BE7FB3" w:rsidP="00BE7FB3">
      <w:pPr>
        <w:pStyle w:val="TextoNormal"/>
      </w:pPr>
      <w:r>
        <w:t xml:space="preserve">d) Mediante escrito registrado el 16 de noviembre de 2011, se procedió a la contestación a la demanda por parte de la demandada, que entre otras alegaciones aducía la falta de legitimación activa del actor en virtud de la ley 71 del Fuero Nuevo de Navarra. </w:t>
      </w:r>
    </w:p>
    <w:p w:rsidR="00BE7FB3" w:rsidRDefault="00BE7FB3" w:rsidP="00BE7FB3">
      <w:pPr>
        <w:pStyle w:val="TextoNormal"/>
      </w:pPr>
    </w:p>
    <w:p w:rsidR="00BE7FB3" w:rsidRDefault="00BE7FB3" w:rsidP="00BE7FB3">
      <w:pPr>
        <w:pStyle w:val="TextoNormal"/>
      </w:pPr>
      <w:r>
        <w:t>e) Por diligencia de ordenación de 1 de diciembre de 2011 se convocó a las partes a la celebración de la vista principal el día 23 de abril de 2012.</w:t>
      </w:r>
    </w:p>
    <w:p w:rsidR="00BE7FB3" w:rsidRDefault="00BE7FB3" w:rsidP="00BE7FB3">
      <w:pPr>
        <w:pStyle w:val="TextoNormal"/>
      </w:pPr>
    </w:p>
    <w:p w:rsidR="00BE7FB3" w:rsidRDefault="00BE7FB3" w:rsidP="00BE7FB3">
      <w:pPr>
        <w:pStyle w:val="TextoNormal"/>
      </w:pPr>
      <w:r>
        <w:t>f) En escrito registrado el 14 de diciembre de 2011, el demandante solicitó que, con carácter anticipado a la celebración de la vista principal del juicio, se procediera a la designación judicial de perito para la práctica pericial biológica de determinación de la paternidad.</w:t>
      </w:r>
    </w:p>
    <w:p w:rsidR="00BE7FB3" w:rsidRDefault="00BE7FB3" w:rsidP="00BE7FB3">
      <w:pPr>
        <w:pStyle w:val="TextoNormal"/>
      </w:pPr>
    </w:p>
    <w:p w:rsidR="00BE7FB3" w:rsidRDefault="00BE7FB3" w:rsidP="00BE7FB3">
      <w:pPr>
        <w:pStyle w:val="TextoNormal"/>
      </w:pPr>
      <w:r>
        <w:t>g) Mediante providencia de 19 de diciembre de 2011 se acordó la práctica de la prueba pericial biológica para la determinación de la paternidad de I.V.R. Frente a esta resolución, se interpuso recurso de reposición por la parte demandada, a fin de solicitar la inadmisión de la prueba pericial biológica, alegando nuevamente la falta de legitimación activa del actor en atención a la ley 71 del Fuero Nuevo de Navarra. Trasladado el recurso a las demás partes personadas, el Ministerio Fiscal interesó su estimación y la parte actora solicitó, en cambio, su desestimación, alegando en favor de la legitimación del demandante el contenido de la STC 273/2005. Finalmente, mediante Auto de 9 de enero de 2012, se estimó el recurso de reposición en atención a lo dispuesto en la ley 71 del Fuero Nuevo de Navarra, aduciendo al efecto el contenido de la Sentencia del Tribunal Superior de Justicia de Navarra núm. 21/1994, de 22 de diciembre, en que se afirma que, conforme a dicho precepto, son los hijos no matrimoniales —o, en su caso, sus descendientes— quienes gozan de legitimación activa para el ejercicio de la acción de declaración de paternidad, sin extender la facultad a otros sujetos. En consecuencia, y previa indicación de que procedía la estimación del recurso “sin perjuicio de las demás cuestiones que se puedan solventar en cuanto al fondo y que deberán ser vistas en el plenario”, el citado Auto de 9 de enero de 2012 dejó sin efecto la providencia de 19 de diciembre de 2011.</w:t>
      </w:r>
    </w:p>
    <w:p w:rsidR="00BE7FB3" w:rsidRDefault="00BE7FB3" w:rsidP="00BE7FB3">
      <w:pPr>
        <w:pStyle w:val="TextoNormal"/>
      </w:pPr>
    </w:p>
    <w:p w:rsidR="00BE7FB3" w:rsidRDefault="00BE7FB3" w:rsidP="00BE7FB3">
      <w:pPr>
        <w:pStyle w:val="TextoNormal"/>
      </w:pPr>
      <w:r>
        <w:lastRenderedPageBreak/>
        <w:t xml:space="preserve">h) Celebrada la vista, y siendo ésta grabada en soporte apto para su reproducción, el Secretario Judicial, por escrito de 24 de abril de 2012, certificó que el documento generado constituye el acta a todos los efectos. </w:t>
      </w:r>
    </w:p>
    <w:p w:rsidR="00BE7FB3" w:rsidRDefault="00BE7FB3" w:rsidP="00BE7FB3">
      <w:pPr>
        <w:pStyle w:val="TextoNormal"/>
      </w:pPr>
    </w:p>
    <w:p w:rsidR="00BE7FB3" w:rsidRDefault="00BE7FB3" w:rsidP="00BE7FB3">
      <w:pPr>
        <w:pStyle w:val="TextoNormal"/>
      </w:pPr>
      <w:r>
        <w:t xml:space="preserve">i) Mediante providencia dictada también el 24 de abril de 2012 se acordó que, dado que quedaban por cumplimentar determinadas pruebas, se dejaba sin efecto el plazo concedido en la vista para realizar las alegaciones sobre la cuestión de constitucionalidad hasta que constase realizada toda la prueba, momento en que se daría traslado a las partes durante diez días para formular las mencionadas alegaciones conforme al art. 35 de la Ley Orgánica del Tribunal Constitucional (LOTC). </w:t>
      </w:r>
    </w:p>
    <w:p w:rsidR="00BE7FB3" w:rsidRDefault="00BE7FB3" w:rsidP="00BE7FB3">
      <w:pPr>
        <w:pStyle w:val="TextoNormal"/>
      </w:pPr>
    </w:p>
    <w:p w:rsidR="00BE7FB3" w:rsidRDefault="00BE7FB3" w:rsidP="00BE7FB3">
      <w:pPr>
        <w:pStyle w:val="TextoNormal"/>
      </w:pPr>
      <w:r>
        <w:t xml:space="preserve">j) Una vez unidas las pruebas pendientes, se dictó nueva providencia en fecha 4 de mayo de 2012, en la que, con suspensión provisional de las actuaciones, se acordó, conforme al art. 35 LOTC, dar traslado a las partes y al Ministerio Fiscal para que en el plazo común e improrrogable de diez días alegaran sobre la pertinencia de plantear la cuestión de inconstitucionalidad o sobre el fondo de ésta. </w:t>
      </w:r>
    </w:p>
    <w:p w:rsidR="00BE7FB3" w:rsidRDefault="00BE7FB3" w:rsidP="00BE7FB3">
      <w:pPr>
        <w:pStyle w:val="TextoNormal"/>
      </w:pPr>
    </w:p>
    <w:p w:rsidR="00BE7FB3" w:rsidRDefault="00BE7FB3" w:rsidP="00BE7FB3">
      <w:pPr>
        <w:pStyle w:val="TextoNormal"/>
      </w:pPr>
      <w:r>
        <w:t>k) Mediante escrito registrado el 10 de mayo de 2012, la demandada presentó sus alegaciones, solicitando se acordase la improcedencia de plantear la cuestión de inconstitucionalidad. Reiterando la argumentación ya expuesta en la contestación de la demanda y en el recurso de reposición, insiste en que el actor carece de legitimación activa en virtud de la ley 71 del Fuero Nuevo de Navarra, sin que proceda apelar a la vulneración de derechos fundamentales. En apoyo de su posición cita la Sentencia de la Audiencia Provincial de Navarra, Sección Primera, de 12 de mayo de 1994, la Sentencia de la Sala de lo Civil del Tribunal Superior de Navarra de 22 de diciembre de 1994, y asimismo, transcribe un extracto de la STC 236/2000, de 16 de octubre.</w:t>
      </w:r>
    </w:p>
    <w:p w:rsidR="00BE7FB3" w:rsidRDefault="00BE7FB3" w:rsidP="00BE7FB3">
      <w:pPr>
        <w:pStyle w:val="TextoNormal"/>
      </w:pPr>
    </w:p>
    <w:p w:rsidR="00BE7FB3" w:rsidRDefault="00BE7FB3" w:rsidP="00BE7FB3">
      <w:pPr>
        <w:pStyle w:val="TextoNormal"/>
      </w:pPr>
      <w:r>
        <w:t xml:space="preserve">l) Mediante escrito registrado el 11 de mayo de 2012, el Fiscal afirmó que nada oponía al planteamiento de la cuestión de inconstitucionalidad.  </w:t>
      </w:r>
    </w:p>
    <w:p w:rsidR="00BE7FB3" w:rsidRDefault="00BE7FB3" w:rsidP="00BE7FB3">
      <w:pPr>
        <w:pStyle w:val="TextoNormal"/>
      </w:pPr>
    </w:p>
    <w:p w:rsidR="00BE7FB3" w:rsidRDefault="00BE7FB3" w:rsidP="00BE7FB3">
      <w:pPr>
        <w:pStyle w:val="TextoNormal"/>
      </w:pPr>
      <w:r>
        <w:t>m) Mediante escrito registrado el 22 de mayo de 2012, el demandante presentó sus alegaciones, en las que muestra su opinión favorable al planteamiento de la cuestión de inconstitucionalidad sobre la ley 71 del Fuero Nuevo de Navarra, en tanto esta norma, en la acción de reclamación de filiación no matrimonial, sólo concede legitimación activa a los hijos, quedando excluidos los progenitores. Al respecto empieza haciendo referencia a la STC 236/2000, de 16 de octubre, por la que se resolvió el recurso de amparo interpuesto frente a la Sentencia del Tribunal Superior de Justicia de Navarra de 21 (</w:t>
      </w:r>
      <w:r w:rsidRPr="00BE7FB3">
        <w:rPr>
          <w:i/>
        </w:rPr>
        <w:t>sic</w:t>
      </w:r>
      <w:r>
        <w:t xml:space="preserve">) de diciembre de 1994 —dictada en el recurso formulado contra la Sentencia de la Audiencia Provincial de Navarra de 12 de mayo de 1994—, poniendo de relieve que, en este pronunciamiento, el Tribunal Constitucional señaló que la aplicación de la ley 71 de la compilación de Derecho civil foral y su diferencia con el régimen común no conlleva una desigualdad ante la ley. No obstante, también destaca que el objeto de esta Sentencia fue un recurso de amparo y que su único objeto fue el de dilucidar si la aplicación de dicha ley 71 implicaba una vulneración del principio de igualdad por causa de la vecindad civil del hijo, pero sin valorar si la privación de legitimación activa al progenitor no matrimonial para el ejercicio de la acción de filiación suponía la vulneración de otros derechos fundamentales. Además, respecto a este último aspecto, alega la existencia de las SSTC 273/2005, de 27 de octubre, y 52/2006, de 16 de </w:t>
      </w:r>
      <w:r>
        <w:lastRenderedPageBreak/>
        <w:t xml:space="preserve">febrero, en las que se resolvieron sendas cuestiones de inconstitucionalidad respecto al párrafo primero del art. 133 CC, y en las que se decidió que, en la medida en que este precepto no reconoce al progenitor no matrimonial legitimación activa para el ejercicio de las acciones de filiación cuando no existe posesión de estado, procedía declarar su inconstitucionalidad por vulneración del derecho a un proceso con todas las garantías (art. 24 CE) en relación con los principios constitucionales de protección a la familia y a la infancia recogidos en el art. 39 CE. A juicio de la parte demandante, estos mismos razonamientos del Tribunal Constitucional sobre el art. 133 CC son aplicables a la ley 71 de la compilación de Derecho civil foral de Navarra. </w:t>
      </w:r>
    </w:p>
    <w:p w:rsidR="00BE7FB3" w:rsidRDefault="00BE7FB3" w:rsidP="00BE7FB3">
      <w:pPr>
        <w:pStyle w:val="TextoNormal"/>
      </w:pPr>
    </w:p>
    <w:p w:rsidR="00BE7FB3" w:rsidRDefault="00BE7FB3" w:rsidP="00BE7FB3">
      <w:pPr>
        <w:pStyle w:val="TextoNormal"/>
      </w:pPr>
      <w:r>
        <w:t>n) El Juzgado de Primera Instancia e Instrucción núm. 2 de Estella/Lizarra dictó el Auto de 24 de mayo de 2012, por el que se acuerda plantear cuestión de inconstitucionalidad de la Ley 71 del Fuero Nuevo de Navarra, por posible vulneración del derecho a la investigación de la paternidad y del derecho de acceso a la justicia (arts. 39.2 y 24 CE).</w:t>
      </w:r>
    </w:p>
    <w:p w:rsidR="00BE7FB3" w:rsidRDefault="00BE7FB3" w:rsidP="00BE7FB3">
      <w:pPr>
        <w:pStyle w:val="TextoNormal"/>
      </w:pPr>
    </w:p>
    <w:p w:rsidR="00BE7FB3" w:rsidRDefault="00BE7FB3" w:rsidP="00BE7FB3">
      <w:pPr>
        <w:pStyle w:val="TextoNormal"/>
      </w:pPr>
      <w:r w:rsidRPr="00BE7FB3">
        <w:rPr>
          <w:rStyle w:val="NumeroAFNegritaCaracter"/>
        </w:rPr>
        <w:t>3</w:t>
      </w:r>
      <w:r>
        <w:t>. En el citado Auto de 24 de mayo de 2012, el Juzgado fundamenta el planteamiento de la cuestión de inconstitucionalidad en las consideraciones que seguidamente, y de forma resumida, se indican.</w:t>
      </w:r>
    </w:p>
    <w:p w:rsidR="00BE7FB3" w:rsidRDefault="00BE7FB3" w:rsidP="00BE7FB3">
      <w:pPr>
        <w:pStyle w:val="TextoNormal"/>
      </w:pPr>
    </w:p>
    <w:p w:rsidR="00BE7FB3" w:rsidRDefault="00BE7FB3" w:rsidP="00BE7FB3">
      <w:pPr>
        <w:pStyle w:val="TextoNormal"/>
      </w:pPr>
      <w:r>
        <w:t>a) Tras una breve síntesis de los antecedentes, el Auto de planteamiento pone de relieve que, conforme a la interpretación realizada por la Sentencia del Tribunal Superior de Justicia de Navarra núm. 21/2004 (</w:t>
      </w:r>
      <w:r w:rsidRPr="00BE7FB3">
        <w:rPr>
          <w:i/>
        </w:rPr>
        <w:t>sic</w:t>
      </w:r>
      <w:r>
        <w:t xml:space="preserve">) de 22 de diciembre, la ley 71 del Fuero Nuevo de Navarra presenta diferencias respecto a las previsiones del Código civil en materia de reclamación de la filiación y, concretamente, dispone que son los hijos no matrimoniales —o, en su caso, sus descendientes— quienes se hallan facultados para ejercitar la acción conducente a la declaración de paternidad o maternidad, considerando que se trata de un sistema completo y cerrado, respecto al que no procede su integración por el Derecho supletorio, razón por la que la citada Sentencia procedió a confirmar la resolución recurrida que había negado legitimación activa al actor </w:t>
      </w:r>
      <w:r w:rsidRPr="00BE7FB3">
        <w:rPr>
          <w:i/>
        </w:rPr>
        <w:t>presunto progenitor</w:t>
      </w:r>
      <w:r>
        <w:t xml:space="preserve"> en el ejercicio de la acción de declaración de paternidad. </w:t>
      </w:r>
    </w:p>
    <w:p w:rsidR="00BE7FB3" w:rsidRDefault="00BE7FB3" w:rsidP="00BE7FB3">
      <w:pPr>
        <w:pStyle w:val="TextoNormal"/>
      </w:pPr>
    </w:p>
    <w:p w:rsidR="00BE7FB3" w:rsidRDefault="00BE7FB3" w:rsidP="00BE7FB3">
      <w:pPr>
        <w:pStyle w:val="TextoNormal"/>
      </w:pPr>
      <w:r>
        <w:t xml:space="preserve">Expone el Juzgado promotor que la citada ley 71 y el criterio seguido por el Tribunal Superior de Justicia de Navarra chocan con la doctrina del Tribunal Constitucional sentada en la STC 52/2006, de 16 de febrero, de cuyo contenido transcribe literalmente algunos pasajes en que se remite a lo dicho en la STC 273/2005, de 27 de octubre, en que se examinó la constitucionalidad del párrafo primero del art. 133 CC, previsión que, en ausencia de posesión de estado, sólo otorga legitimación para reclamar la filiación no matrimonial al hijo, y bajo determinadas condiciones, también a sus herederos, pero que no la reconoce a los progenitores. En dichos fragmentos se indica cómo la citada STC 273/2005 no apreció que dicho precepto vulnerara los arts. 14 y 39.1 CE, pero sí se estimó su incompatibilidad con el mandato del art. 39.2 CE de hacer posible la investigación de la paternidad y, por tanto, con el derecho a la tutela judicial efectiva reconocido en el art. 24.1 CE. Según se señala, a tal conclusión se llegó por cuanto la norma ignoraba por completo el eventual interés del progenitor en la declaración de la paternidad no matrimonial, poniéndose de relieve que la eliminación del derecho a la tutela judicial efectiva, en su vertiente de acceso a la jurisdicción, no guardaba la necesaria proporcionalidad con la finalidad perseguida de proteger el interés del hijo y de salvaguardar la seguridad jurídica en el estado civil de las </w:t>
      </w:r>
      <w:r>
        <w:lastRenderedPageBreak/>
        <w:t>personas. Se deja constancia también de que la citada STC 273/2005 declaró la inconstitucionalidad del precepto cuestionado, pero no su nulidad, por cuanto se trataba de una omisión de la norma.</w:t>
      </w:r>
    </w:p>
    <w:p w:rsidR="00BE7FB3" w:rsidRDefault="00BE7FB3" w:rsidP="00BE7FB3">
      <w:pPr>
        <w:pStyle w:val="TextoNormal"/>
      </w:pPr>
    </w:p>
    <w:p w:rsidR="00BE7FB3" w:rsidRDefault="00BE7FB3" w:rsidP="00BE7FB3">
      <w:pPr>
        <w:pStyle w:val="TextoNormal"/>
      </w:pPr>
      <w:r>
        <w:t xml:space="preserve">b) Vistas las consideraciones realizadas en las SSTC 273/2005 y 52/2006, el Juzgado promotor manifiesta que la ley 71 del Fuero Nuevo de Navarra, en la interpretación hecha por el Tribunal Superior de Justicia de Navarra, supone negar a los presuntos progenitores de hijos no matrimoniales la posibilidad de reclamar su filiación, sin que exista justificación alguna en el ámbito del </w:t>
      </w:r>
      <w:r w:rsidRPr="00BE7FB3">
        <w:rPr>
          <w:i/>
        </w:rPr>
        <w:t>favor filii</w:t>
      </w:r>
      <w:r>
        <w:t xml:space="preserve"> para limitar el derecho constitucional a la investigación de la paternidad y de acceso a la justicia. Asimismo, junto a una breve referencia a la STC 236/2000, el órgano judicial añade que la citada ley 71 constituye un precepto que es aplicable al caso, del que depende la resolución del pleito, y que condiciona la legitimación activa para la reclamación de la filiación no matrimonial, estando en contradicción con la jurisprudencia establecida por el Tribunal Constitucional con referencia al Derecho común y que es contraria a la normativa foral. Por todo ello, el Auto indica que procede elevar cuestión de inconstitucionalidad ante el Tribunal Constitucional en relación a la ley 71 del Fuero Nuevo de Navarra, a fin de que se pronuncie sobre su constitucionalidad y la aplicación que se ha venido haciendo de esta norma, quedando suspendido el procedimiento hasta su resolución.</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providencia de 16 de julio de 2012,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w:t>
      </w:r>
    </w:p>
    <w:p w:rsidR="00BE7FB3" w:rsidRDefault="00BE7FB3" w:rsidP="00BE7FB3">
      <w:pPr>
        <w:pStyle w:val="TextoNormal"/>
      </w:pPr>
    </w:p>
    <w:p w:rsidR="00BE7FB3" w:rsidRDefault="00BE7FB3" w:rsidP="00BE7FB3">
      <w:pPr>
        <w:pStyle w:val="TextoNormal"/>
      </w:pPr>
      <w:r w:rsidRPr="00BE7FB3">
        <w:rPr>
          <w:rStyle w:val="NumeroAFNegritaCaracter"/>
        </w:rPr>
        <w:t>5</w:t>
      </w:r>
      <w:r>
        <w:t xml:space="preserve">. El Fiscal General del Estado evacuó el trámite conferido mediante escrito registrado el 19 de septiembre de 2012, en el que interesa que por este Tribunal se dicte resolución acordando la inadmisión de la presente cuestión de inconstitucionalidad por apreciar defectos en su tramitación. </w:t>
      </w:r>
    </w:p>
    <w:p w:rsidR="00BE7FB3" w:rsidRDefault="00BE7FB3" w:rsidP="00BE7FB3">
      <w:pPr>
        <w:pStyle w:val="TextoNormal"/>
      </w:pPr>
    </w:p>
    <w:p w:rsidR="00BE7FB3" w:rsidRDefault="00BE7FB3" w:rsidP="00BE7FB3">
      <w:pPr>
        <w:pStyle w:val="TextoNormal"/>
      </w:pPr>
      <w:r>
        <w:t xml:space="preserve">a) Como primer óbice de admisibilidad, el Fiscal advierte que el precepto cuya constitucionalidad se cuestiona fue objeto de aplicación efectiva por el Juez </w:t>
      </w:r>
      <w:r w:rsidRPr="00BE7FB3">
        <w:rPr>
          <w:i/>
        </w:rPr>
        <w:t>a quo</w:t>
      </w:r>
      <w:r>
        <w:t xml:space="preserve"> durante la tramitación del procedimiento, cuando, en su Auto de 9 de enero de 2012, estimó el recurso de reposición presentado por la demandada frente a la decisión del Juzgado de proceder a la práctica de la prueba pericial biológica de paternidad. Recuerda el Fiscal que dicho Auto dejó sin efecto la práctica de la referida prueba pericial, con fundamento en la propia ley 71 de la compilación de Derecho civil foral de Navarra, según interpretación dada por la Sentencia núm. 21/1994, de 22 de diciembre, del Tribunal Superior de Justicia de Navarra, ante la falta de legitimación activa del presunto progenitor. En consecuencia, en tanto el órgano judicial ya aplicó la norma cuya constitucionalidad plantea, el Fiscal manifiesta que esta forma de actuar encierra una </w:t>
      </w:r>
      <w:r w:rsidRPr="00BE7FB3">
        <w:rPr>
          <w:i/>
        </w:rPr>
        <w:t>contradictio in terminis</w:t>
      </w:r>
      <w:r>
        <w:t xml:space="preserve">, constituyendo un proceder que resulta contrario a la propia filosofía que inspira la regulación de las cuestiones de inconstitucionalidad y su carácter intrínsecamente prejudicial, pues su diseño constitucional y legal parte del presupuesto esencial de que cuando la norma que deba ser objeto de aplicación genera dudas de inconstitucionalidad en el órgano judicial debe abstenerse de aplicarla y, tras el trámite previsto en el art. 35.2 LOTC, elevar cuestión ante el Tribunal Constitucional suspendiendo la tramitación del proceso (AATC 184/2009, 134/2006, y 361/2004). Por ello, </w:t>
      </w:r>
      <w:r>
        <w:lastRenderedPageBreak/>
        <w:t xml:space="preserve">en relación al caso, el Fiscal afirma que no resulta coherente con este modelo que el órgano judicial aplique la norma, dejando sin efecto la práctica de la prueba pericial biológica sobre la base de la falta de legitimación activa del actor, y después, </w:t>
      </w:r>
      <w:r w:rsidRPr="00BE7FB3">
        <w:rPr>
          <w:i/>
        </w:rPr>
        <w:t>a posteriori</w:t>
      </w:r>
      <w:r>
        <w:t xml:space="preserve">, plantee dudas sobre su inconstitucionalidad. </w:t>
      </w:r>
    </w:p>
    <w:p w:rsidR="00BE7FB3" w:rsidRDefault="00BE7FB3" w:rsidP="00BE7FB3">
      <w:pPr>
        <w:pStyle w:val="TextoNormal"/>
      </w:pPr>
    </w:p>
    <w:p w:rsidR="00BE7FB3" w:rsidRDefault="00BE7FB3" w:rsidP="00BE7FB3">
      <w:pPr>
        <w:pStyle w:val="TextoNormal"/>
      </w:pPr>
      <w:r>
        <w:t xml:space="preserve">b) En segundo término, el Fiscal aprecia que en el caso concurren defectos procesales trascendentes en la realización del trámite de audiencia, concretamente en relación con la exigencia inexcusable, según la doctrina constitucional, de que, en dicho trámite, el juez </w:t>
      </w:r>
      <w:r w:rsidRPr="00BE7FB3">
        <w:rPr>
          <w:i/>
        </w:rPr>
        <w:t>a quo</w:t>
      </w:r>
      <w:r>
        <w:t xml:space="preserve"> identifique con absoluta precisión el precepto o preceptos legales sobre cuya constitucionalidad alberga dudas, así como el precepto o preceptos de la Constitución que se consideran violados (ATC 85/2011). </w:t>
      </w:r>
    </w:p>
    <w:p w:rsidR="00BE7FB3" w:rsidRDefault="00BE7FB3" w:rsidP="00BE7FB3">
      <w:pPr>
        <w:pStyle w:val="TextoNormal"/>
      </w:pPr>
    </w:p>
    <w:p w:rsidR="00BE7FB3" w:rsidRDefault="00BE7FB3" w:rsidP="00BE7FB3">
      <w:pPr>
        <w:pStyle w:val="TextoNormal"/>
      </w:pPr>
      <w:r>
        <w:t xml:space="preserve">Respecto al primer elemento, remarca que ni la providencia de 4 de mayo de 2012 —por la que se abre el trámite de audiencia—, ni la providencia previa de 24 de abril de 2012, incluyen mención alguna al precepto legal cuya constitucionalidad se pretende cuestionar. No obstante, considera el Fiscal que, en el presente caso, este defecto sería susceptible de ser subsanado, por cuanto, a la vista de los términos del debate suscitado en el proceso </w:t>
      </w:r>
      <w:r w:rsidRPr="00BE7FB3">
        <w:rPr>
          <w:i/>
        </w:rPr>
        <w:t>a quo</w:t>
      </w:r>
      <w:r>
        <w:t>, pude concluirse, sin duda alguna, que el precepto legal cuestionado es la ley 71 de la compilación de Derecho civil foral de Navarra, concretamente en su punto b), en cuanto que regula la legitimación activa para el ejercicio de la acción de declaración de la filiación no matrimonial, omitiendo la cita de los progenitores.</w:t>
      </w:r>
    </w:p>
    <w:p w:rsidR="00BE7FB3" w:rsidRDefault="00BE7FB3" w:rsidP="00BE7FB3">
      <w:pPr>
        <w:pStyle w:val="TextoNormal"/>
      </w:pPr>
    </w:p>
    <w:p w:rsidR="00BE7FB3" w:rsidRDefault="00BE7FB3" w:rsidP="00BE7FB3">
      <w:pPr>
        <w:pStyle w:val="TextoNormal"/>
      </w:pPr>
      <w:r>
        <w:t xml:space="preserve">En cuanto al segundo elemento exigido, y tras recordar los márgenes de flexibilidad introducidos al respecto por la jurisprudencia constitucional (ATC 85/2011), el Fiscal subraya que la providencia de 4 de mayo de 2012, por la que se abre el trámite de audiencia, omite cualquier mención expresa al precepto o preceptos constitucionales que se estiman vulnerados, sin que su contenido, excesivamente indeterminado y genérico, permitiera tampoco identificar con la deseable exactitud la duda de constitucionalidad para que las partes pudieran pronunciarse sobre la misma (ATC 30/2010). Por tal razón, considera que no puede darse por cumplido satisfactoriamente dicho trámite de audiencia, ni siquiera en los términos flexibles admitidos por este Tribunal, dado que se produjo una total ausencia de manifestación o indicación, por mínima que fuera, que hubiera posibilitado a las partes del proceso identificar los términos de la cuestión de inconstitucionalidad que se pretendía plantear, no habiendo podido conocer los motivos sobre los que el órgano judicial fundaba su duda (ATC 50/2007). Como consecuencia de esta irregularidad, indica el Fiscal, resulta imposible cumplir con la función vinculante que los términos de planteamiento del trámite de audiencia ejercen sobre el órgano judicial y que, conforme a la doctrina constitucional, impiden a éste introducir en el posterior Auto de planteamiento elementos nuevos que los sujetos interesados en el proceso no hayan podido previamente conocer. Finalmente, el Fiscal apunta que estas deficiencias puestas de manifiesto no quedarían subsanadas por las eventuales alegaciones que hubieran realizado las partes durante el proceso </w:t>
      </w:r>
      <w:r w:rsidRPr="00BE7FB3">
        <w:rPr>
          <w:i/>
        </w:rPr>
        <w:t>a quo</w:t>
      </w:r>
      <w:r>
        <w:t xml:space="preserve"> con carácter previo a la apertura del trámite de audiencia, recordando al respecto que es al Juez a quien corresponde exteriorizar sus propias dudas de constitucionalidad, sin que ello pueda ser sustituido por una simple remisión a las alegaciones de las partes que cuestionaron el precepto (ATC 127/2008).</w:t>
      </w:r>
    </w:p>
    <w:p w:rsidR="00BE7FB3" w:rsidRDefault="00BE7FB3" w:rsidP="00BE7FB3">
      <w:pPr>
        <w:pStyle w:val="TextoNormal"/>
      </w:pPr>
    </w:p>
    <w:p w:rsidR="00BE7FB3" w:rsidRDefault="00BE7FB3" w:rsidP="00BE7FB3">
      <w:pPr>
        <w:pStyle w:val="TextoNormal"/>
      </w:pPr>
      <w:r w:rsidRPr="00BE7FB3">
        <w:rPr>
          <w:rStyle w:val="NumeroAFNegritaCaracter"/>
        </w:rPr>
        <w:t>6</w:t>
      </w:r>
      <w:r>
        <w:t xml:space="preserve">. Previo requerimiento por este Tribunal, el Juzgado de Primera Instancia e Instrucción núm. 2 de Estella/Lizarra remitió DVD de grabación de la vista del procedimiento </w:t>
      </w:r>
      <w:r w:rsidRPr="00BE7FB3">
        <w:rPr>
          <w:i/>
        </w:rPr>
        <w:t>a quo</w:t>
      </w:r>
      <w:r>
        <w:t xml:space="preserve">, </w:t>
      </w:r>
      <w:r>
        <w:lastRenderedPageBreak/>
        <w:t xml:space="preserve">que tuvo entrada el 29 de octubre de 2012 y cuya recepción se hizo constar mediante diligencia de la misma fecha de la Secretaria de Justicia del Pleno. </w:t>
      </w:r>
    </w:p>
    <w:p w:rsidR="00BE7FB3" w:rsidRDefault="00BE7FB3" w:rsidP="00BE7FB3">
      <w:pPr>
        <w:pStyle w:val="TextoNormal"/>
      </w:pPr>
    </w:p>
    <w:p w:rsidR="00BE7FB3" w:rsidRDefault="00BE7FB3" w:rsidP="00BE7FB3">
      <w:pPr>
        <w:pStyle w:val="TextoNormal"/>
      </w:pPr>
      <w:r>
        <w:t xml:space="preserve">En dicho DVD se aprecia que, solicitada de nuevo por el demandante en el acto de la vista la práctica de la prueba pericial biológica, la Magistrada se remitió en su resolución a lo ya dicho en el Auto previo relativo a esta misma solicitud. Formulado recurso por la parte actora, se procedió asimismo a su desestimación por reenvío al mismo Auto y a la Sentencia del Tribunal Superior de Justicia de 1994 a la que en él se aludía. </w:t>
      </w:r>
    </w:p>
    <w:p w:rsidR="00BE7FB3" w:rsidRDefault="00BE7FB3" w:rsidP="00BE7FB3">
      <w:pPr>
        <w:pStyle w:val="TextoNormal"/>
      </w:pPr>
    </w:p>
    <w:p w:rsidR="00BE7FB3" w:rsidRDefault="00BE7FB3" w:rsidP="00BE7FB3">
      <w:pPr>
        <w:pStyle w:val="TextoNormal"/>
      </w:pPr>
      <w:r>
        <w:t>Asimismo, la grabación de la vista permite constatar que, previo anuncio en sus alegaciones iniciales, la parte demandante, en el trámite de conclusiones, solicitó al órgano judicial el planteamiento de cuestión de inconstitucionalidad en relación con la ley 71 del Fuero Nuevo de Navarra por su paralelismo con el art. 133 CC, declarado por las SSTC 273/2005 y 52/2006 como contrario al derecho a la tutela judicial efectiva y a un proceso con todas las garantías, en relación con el art. 39.2 CE, sobre protección a la infancia. También se aprecia que, tras oír las conclusiones de la parte demandada y del Ministerio Fiscal, la Magistrada declaró que, a la vista de las alegaciones de las partes, se suspendía el plazo para dictar Sentencia, confiriendo un plazo de diez días para presentar las alegaciones que estimaran pertinentes respecto a la cuestión de inconstitucionalidad.</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Juzgado de Primera Instancia e Instrucción núm. 2 de Estella/Lizarra plantea cuestión de inconstitucionalidad respecto de la ley 71 del Fuero Nuevo de Navarra, relativa a la acción de declaración de filiación, por posible vulneración de los arts. 24.1 y 39.2 CE.</w:t>
      </w:r>
    </w:p>
    <w:p w:rsidR="00BE7FB3" w:rsidRDefault="00BE7FB3" w:rsidP="00BE7FB3">
      <w:pPr>
        <w:pStyle w:val="TextoNormal"/>
      </w:pPr>
    </w:p>
    <w:p w:rsidR="00BE7FB3" w:rsidRDefault="00BE7FB3" w:rsidP="00BE7FB3">
      <w:pPr>
        <w:pStyle w:val="TextoNormal"/>
      </w:pPr>
      <w:r>
        <w:t xml:space="preserve">El órgano judicial centra su duda de constitucionalidad en la regulación de la filiación no matrimonial, respecto a la que la ley 71 del Fuero Nuevo de Navarra sólo reconoce legitimación para ejercitar la acción de declaración de paternidad o maternidad a los propios hijos y, en determinadas circunstancias, a los descendientes de éstos. En su argumentación expone que esta previsión contrasta con el criterio seguido por las SSTC 273/2005, de 27 de octubre, y 52/2006, de 16 de febrero, que, en relación al párrafo primero del art. 133 del Código civil (CC), declararon que la negación al progenitor de legitimación para reclamar la paternidad no matrimonial cuando no exista posesión de estado resulta incompatible con el mandato del art. 39.2 CE de hacer posible la investigación de la paternidad y con el derecho a la tutela judicial efectiva </w:t>
      </w:r>
      <w:r w:rsidRPr="00BE7FB3">
        <w:rPr>
          <w:i/>
        </w:rPr>
        <w:t>ex</w:t>
      </w:r>
      <w:r>
        <w:t xml:space="preserve"> art. 24.1 CE. Por ello, respecto a la paralela negación de legitimación contenida en la ley 71 del Fuero Nuevo de Navarra, el Auto de planteamiento de la cuestión de inconstitucionalidad pone de relieve que no existe justificación alguna en el ámbito del </w:t>
      </w:r>
      <w:r w:rsidRPr="00BE7FB3">
        <w:rPr>
          <w:i/>
        </w:rPr>
        <w:t>favor filii</w:t>
      </w:r>
      <w:r>
        <w:t xml:space="preserve"> para que el precepto limite los derechos constitucionales a la investigación de la paternidad y al acceso a la justicia.</w:t>
      </w:r>
    </w:p>
    <w:p w:rsidR="00BE7FB3" w:rsidRDefault="00BE7FB3" w:rsidP="00BE7FB3">
      <w:pPr>
        <w:pStyle w:val="TextoNormal"/>
      </w:pPr>
    </w:p>
    <w:p w:rsidR="00BE7FB3" w:rsidRDefault="00BE7FB3" w:rsidP="00BE7FB3">
      <w:pPr>
        <w:pStyle w:val="TextoNormal"/>
      </w:pPr>
      <w:r>
        <w:t>El Fiscal General del Estado, por las razones de las que se ha dejado constancia en los antecedentes, se opone a la admisión a trámite de la cuestión de inconstitucionalidad planteada por apreciar el incumplimiento de los requisitos procesales para su promoción (art. 37.1 de la Ley Orgánica del Tribunal Constitucional: LOTC).</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2</w:t>
      </w:r>
      <w:r>
        <w:t>.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Es por ello que, inicialmente, procede analizar los defectos de tramitación denunciados.</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En concreto, como primer óbice de admisibilidad, el Fiscal General del Estado pone de relieve el incorrecto planteamiento de la cuestión de inconstitucionalidad por haberse aplicado previamente en el procedimiento </w:t>
      </w:r>
      <w:r w:rsidRPr="00BE7FB3">
        <w:rPr>
          <w:i/>
        </w:rPr>
        <w:t>a quo</w:t>
      </w:r>
      <w:r>
        <w:t xml:space="preserve"> la norma cuestionada. A su juicio, constituye una </w:t>
      </w:r>
      <w:r w:rsidRPr="00BE7FB3">
        <w:rPr>
          <w:i/>
        </w:rPr>
        <w:t>contradictio in terminis</w:t>
      </w:r>
      <w:r>
        <w:t xml:space="preserve"> dictar primero el Auto de 9 de enero de 2012, por el que se dejaba sin efecto la providencia previa por la que se había acordado la práctica de la prueba pericial biológica, con fundamento en la falta de legitimación activa del actor derivada de la ley 71 del Fuero Nuevo de Navarra, y después, </w:t>
      </w:r>
      <w:r w:rsidRPr="00BE7FB3">
        <w:rPr>
          <w:i/>
        </w:rPr>
        <w:t>a posteriori</w:t>
      </w:r>
      <w:r>
        <w:t xml:space="preserve">, plantear dudas sobre la inconstitucionalidad de este precepto. Tal forma de proceder, entiende, resulta contraria a la filosofía que inspira la regulación legal de las cuestiones de inconstitucionalidad y a su carácter intrínsecamente prejudicial. </w:t>
      </w:r>
    </w:p>
    <w:p w:rsidR="00BE7FB3" w:rsidRDefault="00BE7FB3" w:rsidP="00BE7FB3">
      <w:pPr>
        <w:pStyle w:val="TextoNormal"/>
      </w:pPr>
    </w:p>
    <w:p w:rsidR="00BE7FB3" w:rsidRDefault="00BE7FB3" w:rsidP="00BE7FB3">
      <w:pPr>
        <w:pStyle w:val="TextoNormal"/>
      </w:pPr>
      <w:r>
        <w:t>Con relación a esta alegación, cabe empezar recordando que, conforme al art. 35.2 LOTC, el órgano judicial sólo podrá plantear la cuestión de inconstitucionalidad una vez concluso el procedimiento y dentro del plazo para dictar Sentencia o la resolución jurisdiccional que procediese. Con todo, la jurisprudencia constitucional ha sostenido “la necesidad de hacer una interpretación flexible de dicho requisito en casos excepcionales, limitados, como regla general, a las leyes procesales, considerándolo admisible también en el caso de leyes sustantivas cuando la ulterior tramitación del proceso hasta Sentencia no pudiera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(por todos, ATC 17/2007, de 16 de enero, FJ 2). Ahora bien, tal y como hemos aplicado en algunos pronunciamientos constitucionales, la posibilidad de interposición previa no significa necesariamente tener que declarar la improcedencia de la cuestión de inconstitucionalidad planteada con posterioridad, cuando se mantiene el requisito de que la validez de la norma cuestionada resulte relevante para la resolución judicial a dictar (SSTC 54/1983, de 21 de junio, FJ 3; 186/1990, de 15 de noviembre, FJ 2). El mantenimiento de dicha relevancia en el proceso constituye, además, elemento clave en la respuesta a proporcionar a la alegación del Fiscal relativa a la aplicación previa de la norma cuestionada.</w:t>
      </w:r>
    </w:p>
    <w:p w:rsidR="00BE7FB3" w:rsidRDefault="00BE7FB3" w:rsidP="00BE7FB3">
      <w:pPr>
        <w:pStyle w:val="TextoNormal"/>
      </w:pPr>
    </w:p>
    <w:p w:rsidR="00BE7FB3" w:rsidRDefault="00BE7FB3" w:rsidP="00BE7FB3">
      <w:pPr>
        <w:pStyle w:val="TextoNormal"/>
      </w:pPr>
      <w:r>
        <w:t xml:space="preserve">Respecto a ella, es cierto que, en determinadas situaciones, este Tribunal ha declarado que la cuestión de inconstitucionalidad presenta en nuestro ordenamiento carácter prejudicial y que, por tanto, su planteamiento en relación con una norma que ya ha sido aplicada en el propio proceso por el órgano proponente conduce a su inadmisión (AATC 361/2004, de 21 de septiembre, FJ único; 134/2006, de 4 de abril, FJ 2; 184/2009, de 15 de junio, FJ 2; 127/2012, de 19 de junio, FJ 3; y 220/2012, de 27 de noviembre, FJ 3). Ahora bien, en comparación con el supuesto general que ha determinado esta doctrina, la cuestión de inconstitucionalidad que ahora nos ocupa tiene la particularidad de que la norma cuestionada ya aplicada sigue gozando de relevancia en el proceso a efectos diversos a los ya resueltos, pues, en el curso del litigio, su contenido aparece como determinante en dos momentos procesales distintos y con finalidades diferentes: por un lado, la resolución respecto a la </w:t>
      </w:r>
      <w:r>
        <w:lastRenderedPageBreak/>
        <w:t xml:space="preserve">solicitud de la práctica de la prueba, pero también, por otro lado, la posterior resolución final de la acción presentada.  </w:t>
      </w:r>
    </w:p>
    <w:p w:rsidR="00BE7FB3" w:rsidRDefault="00BE7FB3" w:rsidP="00BE7FB3">
      <w:pPr>
        <w:pStyle w:val="TextoNormal"/>
      </w:pPr>
    </w:p>
    <w:p w:rsidR="00BE7FB3" w:rsidRDefault="00BE7FB3" w:rsidP="00BE7FB3">
      <w:pPr>
        <w:pStyle w:val="TextoNormal"/>
      </w:pPr>
      <w:r>
        <w:t xml:space="preserve">En efecto, en el litigio analizado, es verdad que, con anterioridad a elevarse la presente cuestión de inconstitucionalidad, la norma cuestionada —la ley 71 del Fuero Nuevo de Navarra— constituyó el fundamento por el que el órgano judicial procedió a denegar la práctica de la prueba pericial biológica para la determinación de la paternidad, primero en el Auto de 9 de enero de 2012 y después, por remisión a éste, en el acto de la vista. No obstante, ya en el citado Auto se advertía que esta decisión se adoptaba “sin perjuicio de las demás cuestiones que se puedan solventar en cuanto al fondo y que deberán ser vistas en el plenario”; y no está de más recordar que, conforme hemos indicado en pronunciamientos previos, “la legitimación, en tanto que relación jurídico-material que liga a las partes con el objeto procesal, pertenece al fondo del asunto” (SSTC 214/1991, de 11 de noviembre, FJ 5; y 191/2005, de 18 de julio, FJ 4). Pues bien, dado que la citada ley 71 versa sobre la legitimación para la interposición de la acción de declaración de la filiación, es obvio que estamos ante una previsión que no agota su aplicación en el anterior aspecto indicado —la decisión sobre la referida prueba—, sino que mantiene todavía su relevancia en la propia resolución final del proceso </w:t>
      </w:r>
      <w:r w:rsidRPr="00BE7FB3">
        <w:rPr>
          <w:i/>
        </w:rPr>
        <w:t>a quo</w:t>
      </w:r>
      <w:r>
        <w:t>, resultando por ello determinante para el fallo del litigio la decisión de este Tribunal sobre su constitucionalidad o no. Por tal razón, en la medida en que el carácter relevante de la validez o no de la previsión cuestionada persiste en el litigio (STC 186/1990, de 15 de noviembre, FJ 2), consideramos que la aplicación previa de dicha norma en las circunstancias descritas no es causa suficiente, por sí sola, para inadmitir la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Sucede, sin embargo, que el anterior no es el único óbice de admisibilidad aducido por el Fiscal General del Estado, que también denuncia el incumplimiento en el presente supuesto de la exigencia inexcusable, según doctrina constitucional, de que, en el trámite de audiencia, el órgano promotor identifique con precisión tanto la norma o normas cuestionadas —que, no obstante, entiende el Fiscal, en este caso podría llegar a inferirse—, como el precepto o preceptos constitucionales que se consideran vulnerados. </w:t>
      </w:r>
    </w:p>
    <w:p w:rsidR="00BE7FB3" w:rsidRDefault="00BE7FB3" w:rsidP="00BE7FB3">
      <w:pPr>
        <w:pStyle w:val="TextoNormal"/>
      </w:pPr>
    </w:p>
    <w:p w:rsidR="00BE7FB3" w:rsidRDefault="00BE7FB3" w:rsidP="00BE7FB3">
      <w:pPr>
        <w:pStyle w:val="TextoNormal"/>
      </w:pPr>
      <w:r>
        <w:t xml:space="preserve">En efecto, reiteradamente este Tribunal ha puesto de relieve “la importancia del trámite de audiencia, que deriva del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por tal razón, “hemos destacado también que el mismo no puede minimizarse reduciéndolo a un simple trámite carente de más trascendencia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Es, por lo tanto, un requisito inexcusable, cuya eventual omisión constituye un defecto en el modo de proposición de la cuestión de constitucionalidad que ha de determinar, tras el trámite previsto en el art. 37.1 LOTC, la inadmisión de la cuestión (por todas, SSTC 120/2000, de 10 de mayo, FJ 2; y 140/2008, de 28 de octubre, FJ 2)” (SSTC 146/2012, de 5 de julio, FJ 2; o 222/2012, de 27 de noviembre, FJ 3). </w:t>
      </w:r>
    </w:p>
    <w:p w:rsidR="00BE7FB3" w:rsidRDefault="00BE7FB3" w:rsidP="00BE7FB3">
      <w:pPr>
        <w:pStyle w:val="TextoNormal"/>
      </w:pPr>
    </w:p>
    <w:p w:rsidR="00BE7FB3" w:rsidRDefault="00BE7FB3" w:rsidP="00BE7FB3">
      <w:pPr>
        <w:pStyle w:val="TextoNormal"/>
      </w:pPr>
      <w:r>
        <w:lastRenderedPageBreak/>
        <w:t xml:space="preserve">En el procedimiento que ahora se examina, no es posible entender satisfactoriamente cumplida la exigencia indicada. Siguiendo el orden cronológico de las actuaciones procesales, en primer lugar puede constatarse que, en el acto de la vista, es la parte demandante la que inicialmente solicita el planteamiento de la cuestión de inconstitucionalidad sobre la ley 71 del Fuero Nuevo de Navarra con fundamento en las SSTC 273/2005 y 52/2006 que habían considerado el párrafo primero del art. 133 CC como contrario a los arts. 24 y 39.2 CE, limitándose el órgano judicial, con posterioridad y una vez oídas las conclusiones de las partes, a conferir un plazo de diez días para presentar las alegaciones pertinentes respecto a la cuestión de inconstitucionalidad, pero sin concretar su objeto, ni en cuanto a la norma cuestionada ni en cuanto a los preceptos constitucionales eventualmente vulnerados. Pues bien, este Tribunal ya ha declarado que, aun cuando el trámite de audiencia puede entenderse satisfecho cuando el órgano judicial proceda a su apertura en la vista oral, sin mediar la usual providencia, requisito para entender debidamente cumplido el trámite es que éste se haya formalizado conforme a las exigencias de la doctrina constitucional, entre las que, como hemos dicho, se encuentra la necesidad de indicar los preceptos legales que pudieran contrariar la Constitución y los artículos de esta última a los que afectara la infracción (ATC 456/2007, de 12 de diciembre, FJ 2). En este caso, ni una ni otra mención se expresaron por el órgano judicial en el acto de la vista, así como tampoco se hizo con posterioridad ni en la providencia de 24 de abril de 2012, por la que se dejaba sin efecto el plazo concedido en la vista para formular alegaciones hasta que constase realizada toda la prueba, ni en la providencia de 4 de mayo de 2012, en la que, una vez unidas las pruebas pendientes, se acordó nuevamente dar traslado a las partes y al Ministerio Fiscal para que en el plazo de diez días presentaran alegaciones sobre la cuestión de inconstitucionalidad, siguiendo sin incluir ninguna referencia a la norma cuestionada y a los posibles preceptos constitucionales vulnerados —y respecto a estos últimos, sin ni siquiera identificar mínimamente la duda de constitucionalidad, conforme al criterio flexible admitido por este Tribunal (STC 166/2007, de 4 de julio, FJ 6). </w:t>
      </w:r>
    </w:p>
    <w:p w:rsidR="00BE7FB3" w:rsidRDefault="00BE7FB3" w:rsidP="00BE7FB3">
      <w:pPr>
        <w:pStyle w:val="TextoNormal"/>
      </w:pPr>
    </w:p>
    <w:p w:rsidR="00BE7FB3" w:rsidRDefault="00BE7FB3" w:rsidP="00BE7FB3">
      <w:pPr>
        <w:pStyle w:val="TextoNormal"/>
      </w:pPr>
      <w:r>
        <w:t>El único conocimiento por las partes y el Ministerio Fiscal sobre el posible objeto de la cuestión de inconstitucionalidad tenía origen, exclusivamente, en la solicitud de planteamiento que el demandante había formulado en el acto de la vista, con apoyo en las citadas STC 273/2005 —ya referida en sus escritos de demanda y de impugnación del recurso de reposición— y STC 52/2006. El supuesto, pues, resulta análogo a aquellos en que este Tribunal ha considerado incumplido el trámite de audiencia por entender que la omisión del órgano judicial no puede ser salvada mediante el análisis de la demanda en que se solicita el planteamiento de la cuestión de inconstitucionalidad, siendo criterio reiterado de nuestra doctrina rechazar tal posibilidad dado que en dicha demanda “no se contenía la opinión del órgano judicial al respecto, que es sobre la que se consulta a las partes, y la que debe quedar explícitamente formulada” (AATC 299/2005, de 5 de julio, FJ 3; o 128/2012, de 19 de junio, FJ 2), “resultando exigible que el órgano judicial exprese su propia duda de constitucionalidad y la traslade a las partes y al Ministerio Fiscal en un incidente autónomo” (AATC 456/2007, de 12 de diciembre, FJ 2; o 184/2011, de 20 de diciembre, FJ 2). En consecuencia, la traslación de esta doctrina al presente procedimiento, en que, como se ha dicho, tampoco el órgano judicial ha concretado su propia duda de constitucionalidad en cuanto a las normas cuestionadas y vulneradas, lleva a concluir que no se han cumplido las exigencias establecidas por el art. 35.2 LOTC respecto al trámite de audiencia, en los términos exigidos por la jurisprudencia constitucional. Por tal razón, y sin entrar en valoraciones sobre el fondo, procede inadmitir la cuestión de inconstitucionalidad planteada.</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Inadmitir a trámite la presente cuestión de inconstitucionalidad.</w:t>
      </w:r>
    </w:p>
    <w:p w:rsidR="00BE7FB3" w:rsidRDefault="00BE7FB3" w:rsidP="00BE7FB3">
      <w:pPr>
        <w:pStyle w:val="TextoNormal"/>
      </w:pPr>
    </w:p>
    <w:p w:rsidR="00BE7FB3" w:rsidRDefault="00BE7FB3" w:rsidP="00BE7FB3">
      <w:pPr>
        <w:pStyle w:val="TextoNormal"/>
      </w:pPr>
      <w:r>
        <w:t>Madrid, a doce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77" w:name="AUTO_2013_36"/>
      <w:r>
        <w:lastRenderedPageBreak/>
        <w:t>AUTO 36/2013, de 13 de febrero de 2013</w:t>
      </w:r>
    </w:p>
    <w:bookmarkEnd w:id="177"/>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ECLI:ES:TC:2013:36A</w:t>
      </w:r>
    </w:p>
    <w:p w:rsidR="00BE7FB3" w:rsidRDefault="00BE7FB3" w:rsidP="00BE7FB3">
      <w:pPr>
        <w:pStyle w:val="SntesisDescriptiva"/>
      </w:pPr>
    </w:p>
    <w:p w:rsidR="00BE7FB3" w:rsidRDefault="00BE7FB3" w:rsidP="00BE7FB3">
      <w:pPr>
        <w:pStyle w:val="SntesisDescriptiva"/>
      </w:pPr>
      <w:r>
        <w:t>Excms. Srs. don Pascual Sala Sánchez, doña Adela Asua Batarrita y don Juan José González Rivas.</w:t>
      </w:r>
    </w:p>
    <w:p w:rsidR="00BE7FB3" w:rsidRDefault="00BE7FB3" w:rsidP="00BE7FB3">
      <w:pPr>
        <w:pStyle w:val="SntesisDescriptiva"/>
      </w:pPr>
    </w:p>
    <w:p w:rsidR="00BE7FB3" w:rsidRDefault="00BE7FB3" w:rsidP="00BE7FB3">
      <w:pPr>
        <w:pStyle w:val="SntesisDescriptiva"/>
      </w:pPr>
      <w:r>
        <w:t>Acuerda el desistimiento en el recurso de amparo 1493-2012, promovido en pleito civil.</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178" w:name="AUTO_2013_37"/>
      <w:r>
        <w:lastRenderedPageBreak/>
        <w:t>AUTO 37/2013, de 13 de febrero de 2013</w:t>
      </w:r>
    </w:p>
    <w:bookmarkEnd w:id="178"/>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ECLI:ES:TC:2013:37A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4014-2012, promovido por Euroheco, S.A.,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 de julio de 2012, el Procurador de los Tribunales don Argimiro Vázquez Guillén, en nombre y representación de la entidad Eurohueco, S.A., y bajo la dirección del Letrado don Jorge Herranz Piñón, interpuso demanda de amparo contra Auto de la Sección Primera de la Sala de lo Contencioso-Administrativo del Tribunal Supremo en recurso de casación núm. 197-2011 contra la Sentencia de la Sección Séptima de la Sala de igual orden de la Audiencia Nacional en procedimiento ordinario núm. 964-2006.</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5 de febrero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toda vez que en su condición de Magistrado de la Sala de lo Contencioso-Administrativo del Tribunal Supremo formó parte de la Sección Primera de la Sala Tercera del Tribunal Supremo, que dictó el Auto de 3 de noviembre de 2011, que ha sido recurrido en el recurso de amparo núm. 4014-2012.</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4014-2012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trece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79" w:name="AUTO_2013_38"/>
      <w:r>
        <w:lastRenderedPageBreak/>
        <w:t>AUTO 38/2013, de 13 de febrero de 2013</w:t>
      </w:r>
    </w:p>
    <w:bookmarkEnd w:id="179"/>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ECLI:ES:TC:2013:38A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5254-2012, promovido por don Sotero Ramón Rodríguez Umpiérrez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19 de septiembre de 2012, la Procuradora de los Tribunales doña Sonia Alba Monteserín, en nombre y representación de don Sotero Ramón Rodríguez Umpierrez, interpuso demanda de amparo contra providencia y Auto de la Sección Primera de la Sala de lo Contencioso-Administrativo del Tribunal Supremo recaído en recurso de casación núm. 3251-2011, contra Sentencia dictada por el Tribunal Superior de Justicia de Canarias en recurso núm. 124-2008.</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26 de octubre de 2012, el Magistrado Excmo. Sr. don Juan José González Rivas manifestó su voluntad de abstenerse en el presente recurso de amparo y todas sus incidencias, por entender que concurría la causa establecida en el artículo 219.11 de la Ley Orgánica del Poder Judicial (LOPJ), supletoria de la Ley Orgánica 2/1979 (artículo 80), al haber intervenido en instancia anterior en su condición de Magistrado de la Sala de lo Contencioso-Administrativo del Tribunal Supremo que dictó las resoluciones recurridas.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las resoluciones impugnadas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lastRenderedPageBreak/>
        <w:t>Estimar justificada la abstención formulada por el Magistrado Excmo. Sr. don Juan José González Rivas en el recurso de amparo núm. 5254-12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trece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80" w:name="AUTO_2013_39"/>
      <w:r>
        <w:lastRenderedPageBreak/>
        <w:t>AUTO 39/2013, de 13 de febrero de 2013</w:t>
      </w:r>
    </w:p>
    <w:bookmarkEnd w:id="180"/>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ECLI:ES:TC:2013:39A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6044-2012, promovido por doña Genoveva Alamar Arce y otras personas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26 de octubre de 2012, la Procuradora de los Tribunales doña Pilar Azorín Albiñana López, en nombre y representación de doña Genoveva Alamar Arce y otros, interpuso demanda de amparo contra Auto de la Sección Primera de la Sala de lo Contencioso-Administrativo del Tribunal Supremo recaído en recurso de casación núm. 4123-2011 contra Sentencia dictada por el Tribunal Superior de Justicia de la Comunidad Valenciana en recurso contencioso-administrativo núm. 1529-2008.</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5 de febrero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toda vez que en su condición de Magistrado de la Sala de lo Contencioso-Administrativo del Tribunal Supremo formó parte de la Sección Primera de la Sala Tercera del Tribunal Supremo, que dictó el Auto de 14 de junio de 2012, que ha sido recurrido en el recurso de amparo núm. 6044-2012.</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6044-2012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trece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81" w:name="AUTO_2013_40"/>
      <w:r>
        <w:lastRenderedPageBreak/>
        <w:t>AUTO 40/2013, de 14 de febrero de 2013</w:t>
      </w:r>
    </w:p>
    <w:bookmarkEnd w:id="181"/>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ECLI:ES:TC:2013:40A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suspensión en el recurso de amparo 4416-2012, promovido por don Álvaro Ramírez Montoya en causa penal.</w:t>
      </w:r>
    </w:p>
    <w:p w:rsidR="00BE7FB3" w:rsidRDefault="00BE7FB3" w:rsidP="00BE7FB3">
      <w:pPr>
        <w:pStyle w:val="SntesisDescriptiva"/>
      </w:pPr>
    </w:p>
    <w:p w:rsidR="00BE7FB3" w:rsidRDefault="00BE7FB3" w:rsidP="00BE7FB3">
      <w:pPr>
        <w:pStyle w:val="SntesisAnaltica"/>
      </w:pPr>
      <w:r>
        <w:t>Suspensión cautelar de resoluciones penales: inhabilitación especial para el derecho de sufragio pasivo y prisión de un año, suspende.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Por escrito registrado en este Tribunal el día 17 de julio de 2012, el Procurador de los Tribunales don Marco Aurelio Labajo González, en nombre y representación de don Álvaro Ramírez Montoya, interpuso recurso de amparo, contra el Auto de la Sección Primera de la Audiencia Provincial de A Coruña, de 4 de junio de 2012, dictado en el rollo de apelación núm. 438-2011, y contra el Auto del Juzgado de lo penal núm. 5 de A Coruña, de 17 de febrero de 2012, dictado en el procedimiento abreviado 609-2003.</w:t>
      </w:r>
    </w:p>
    <w:p w:rsidR="00BE7FB3" w:rsidRDefault="00BE7FB3" w:rsidP="00BE7FB3">
      <w:pPr>
        <w:pStyle w:val="TextoNormal"/>
      </w:pPr>
    </w:p>
    <w:p w:rsidR="00BE7FB3" w:rsidRDefault="00BE7FB3" w:rsidP="00BE7FB3">
      <w:pPr>
        <w:pStyle w:val="TextoNormal"/>
      </w:pPr>
      <w:r>
        <w:t>Los Autos desestimaron la solicitud de prescripción de la pena de un año de prisión impuesta por Sentencia firme que condenó al demandante como autor de un delito de hurto, con la accesoria de inhabilitación especial para el derecho de sufragio pasivo durante el tiempo de la condena, y con la condena al pago en concepto de responsabilidad civil de 1.800 euros y del coste de reposición de la tarjeta que sustrajo.</w:t>
      </w:r>
    </w:p>
    <w:p w:rsidR="00BE7FB3" w:rsidRDefault="00BE7FB3" w:rsidP="00BE7FB3">
      <w:pPr>
        <w:pStyle w:val="TextoNormal"/>
      </w:pPr>
    </w:p>
    <w:p w:rsidR="00BE7FB3" w:rsidRDefault="00BE7FB3" w:rsidP="00BE7FB3">
      <w:pPr>
        <w:pStyle w:val="TextoNormal"/>
      </w:pPr>
      <w:r w:rsidRPr="00BE7FB3">
        <w:rPr>
          <w:rStyle w:val="NumeroAFNegritaCaracter"/>
        </w:rPr>
        <w:t>2</w:t>
      </w:r>
      <w:r>
        <w:t>. El demandante aduce que las resoluciones judiciales impugnadas han vulnerado derechos garantizados en los arts. 24.1, 17.1 y 25.1 CE.</w:t>
      </w:r>
    </w:p>
    <w:p w:rsidR="00BE7FB3" w:rsidRDefault="00BE7FB3" w:rsidP="00BE7FB3">
      <w:pPr>
        <w:pStyle w:val="TextoNormal"/>
      </w:pPr>
    </w:p>
    <w:p w:rsidR="00BE7FB3" w:rsidRDefault="00BE7FB3" w:rsidP="00BE7FB3">
      <w:pPr>
        <w:pStyle w:val="TextoNormal"/>
      </w:pPr>
      <w:r>
        <w:t>Por medio de otrosí, solicita en su demanda la suspensión de la ejecución de la condena, con el fin de evitar daños y perjuicios de imposible reparación al ser la libertad personal del demandante el derecho fundamental implicado en la impugnación.</w:t>
      </w:r>
    </w:p>
    <w:p w:rsidR="00BE7FB3" w:rsidRDefault="00BE7FB3" w:rsidP="00BE7FB3">
      <w:pPr>
        <w:pStyle w:val="TextoNormal"/>
      </w:pPr>
    </w:p>
    <w:p w:rsidR="00BE7FB3" w:rsidRDefault="00BE7FB3" w:rsidP="00BE7FB3">
      <w:pPr>
        <w:pStyle w:val="TextoNormal"/>
      </w:pPr>
      <w:r w:rsidRPr="00BE7FB3">
        <w:rPr>
          <w:rStyle w:val="NumeroAFNegritaCaracter"/>
        </w:rPr>
        <w:t>3</w:t>
      </w:r>
      <w:r>
        <w:t>. La Sala Primera de este Tribunal, por providencia de 28 de enero de 2013, admitió a trámite la demanda de amparo y acordó la formación de pieza separada para la tramitación del incidente de suspensión, y se concedió un plazo común de tres días a la parte recurrente y al Ministerio Fiscal para que alegaran lo que estimasen pertinente sobre dicha suspensión.</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4</w:t>
      </w:r>
      <w:r>
        <w:t>. Por medio de escrito registrado en este Tribunal el 4 de febrero de 2013, la representación procesal del demandante reiteró la solicitud de suspensión hecha en su escrito de demanda, al poder ocasionar la ejecución de la condena un perjuicio grave y de imposible o muy difícil reparación.</w:t>
      </w:r>
    </w:p>
    <w:p w:rsidR="00BE7FB3" w:rsidRDefault="00BE7FB3" w:rsidP="00BE7FB3">
      <w:pPr>
        <w:pStyle w:val="TextoNormal"/>
      </w:pPr>
    </w:p>
    <w:p w:rsidR="00BE7FB3" w:rsidRDefault="00BE7FB3" w:rsidP="00BE7FB3">
      <w:pPr>
        <w:pStyle w:val="TextoNormal"/>
      </w:pPr>
      <w:r w:rsidRPr="00BE7FB3">
        <w:rPr>
          <w:rStyle w:val="NumeroAFNegritaCaracter"/>
        </w:rPr>
        <w:t>5</w:t>
      </w:r>
      <w:r>
        <w:t>. Mediante escrito registrado el 12 de febrero de 2013, el Fiscal ante el Tribunal Constitucional, tras exponer la doctrina constitucional relativa a la suspensión de las resoluciones judiciales informó de forma favorable a la suspensión de la pena privativa de libertad de un año de prisión, única solicitada por el demandante, y de la accesoria impuesta.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La solicitud de suspensión mediante otrosí está limitada a la pena de un año de prisión al vincular exclusivamente y de forma sintética la petición con el derecho a la libertad personal del demandante.</w:t>
      </w:r>
    </w:p>
    <w:p w:rsidR="00BE7FB3" w:rsidRDefault="00BE7FB3" w:rsidP="00BE7FB3">
      <w:pPr>
        <w:pStyle w:val="TextoNormal"/>
      </w:pPr>
    </w:p>
    <w:p w:rsidR="00BE7FB3" w:rsidRDefault="00BE7FB3" w:rsidP="00BE7FB3">
      <w:pPr>
        <w:pStyle w:val="TextoNormal"/>
      </w:pPr>
      <w:r>
        <w:t>El ATC 8/2011, de 14 de febrero, contiene la interpretación que este Tribunal ha realizado del art. 56.1 de la Ley Orgánica del Tribunal Constitucional, en la redacción dada por la Ley Orgánica 6/2007, de 24 de mayo, que afirma “que procederá, en principio, acordar la suspensión de resoluciones judiciales que afectan a bienes o derechos del recurrente de amparo de imposible o muy difícil restitución a su estado anterior” (ATC 130/2010, de 4 de octubre, FJ 1).</w:t>
      </w:r>
    </w:p>
    <w:p w:rsidR="00BE7FB3" w:rsidRDefault="00BE7FB3" w:rsidP="00BE7FB3">
      <w:pPr>
        <w:pStyle w:val="TextoNormal"/>
      </w:pPr>
    </w:p>
    <w:p w:rsidR="00BE7FB3" w:rsidRDefault="00BE7FB3" w:rsidP="00BE7FB3">
      <w:pPr>
        <w:pStyle w:val="TextoNormal"/>
      </w:pPr>
      <w:r>
        <w:t>El criterio de suspensión expuesto concurre en la ejecución de fallos judiciales que condenan a penas privativas de libertad, ya que “la libertad constituye un derecho cuya naturaleza convierte el perjuicio irrogado en irreparable, en caso de estimarse el amparo una vez cumplida parcial o totalmente la pena” (por todos ATC 15/2010, de 1 de febrero, FJ 1). Si bien este criterio no es absoluto, ya que en dichos supuestos “deben también ponderarse otras circunstancias relevantes como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(ATC 22/2009, de 26 de enero, FJ 2); “significativamente destaca la duración y gravedad de la pena impuesta, porque, en ella se expresa la reprobación que el ordenamiento asigna al hecho delictivo y, por consiguiente, la magnitud del interés general en su ejecución” (por todos, ATC 109/2008, de 14 de abril, FJ 2).</w:t>
      </w:r>
    </w:p>
    <w:p w:rsidR="00BE7FB3" w:rsidRDefault="00BE7FB3" w:rsidP="00BE7FB3">
      <w:pPr>
        <w:pStyle w:val="TextoNormal"/>
      </w:pPr>
    </w:p>
    <w:p w:rsidR="00BE7FB3" w:rsidRDefault="00BE7FB3" w:rsidP="00BE7FB3">
      <w:pPr>
        <w:pStyle w:val="TextoNormal"/>
      </w:pPr>
      <w:r w:rsidRPr="00BE7FB3">
        <w:rPr>
          <w:rStyle w:val="NumeroAFNegritaCaracter"/>
        </w:rPr>
        <w:t>2</w:t>
      </w:r>
      <w:r>
        <w:t>. En el presente caso, de acuerdo con la tesis del Ministerio Fiscal, procede estimar la pretensión de suspensión de la Sentencia impugnada en cuanto al cumplimiento de la pena privativa de libertad, porque su ejecución puede ocasionar al demandante un perjuicio irreparable que haría perder su finalidad al recurso de amparo, teniendo en cuenta que en el presente caso la duración de la pena impuesta es de un año de prisión (AATC 59/2008, de 20 de febrero, FJ 2; y 172/2008, de 23 de junio, FJ 2). Al acceder a la suspensión no se ocasiona perturbación grave de los intereses generales ni se está afectando a derechos fundamentales o libertades públicas de terceros.</w:t>
      </w:r>
    </w:p>
    <w:p w:rsidR="00BE7FB3" w:rsidRDefault="00BE7FB3" w:rsidP="00BE7FB3">
      <w:pPr>
        <w:pStyle w:val="TextoNormal"/>
      </w:pPr>
    </w:p>
    <w:p w:rsidR="00BE7FB3" w:rsidRDefault="00BE7FB3" w:rsidP="00BE7FB3">
      <w:pPr>
        <w:pStyle w:val="TextoNormal"/>
      </w:pPr>
      <w:r>
        <w:lastRenderedPageBreak/>
        <w:t>La misma suerte debe correr la pena accesoria de inhabilitación para el derecho al sufragio pasivo, que, de acuerdo con la doctrina consolidada de este Tribunal, debe seguir a la pena principal cuando ésta es de privación de libertad (por todos, AATC 144/1984, de 25 de enero, 793/1988, de 20 de junio, 267/1995, de 2 de octubre, y 97/1997, de 7 de abril).</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Otorgar la suspensión solicitada de la ejecución de la pena privativa de libertad de un año de prisión y accesoria de inhabilitación especial para el derecho de sufragio pasivo durante el tiempo de condena, impuesta a don Álvaro Ramírez Montoya.</w:t>
      </w:r>
    </w:p>
    <w:p w:rsidR="00BE7FB3" w:rsidRDefault="00BE7FB3" w:rsidP="00BE7FB3">
      <w:pPr>
        <w:pStyle w:val="TextoNormal"/>
      </w:pPr>
    </w:p>
    <w:p w:rsidR="00BE7FB3" w:rsidRDefault="00BE7FB3" w:rsidP="00BE7FB3">
      <w:pPr>
        <w:pStyle w:val="TextoNormal"/>
      </w:pPr>
      <w:r>
        <w:t>Madrid, a catorce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82" w:name="AUTO_2013_41"/>
      <w:r>
        <w:lastRenderedPageBreak/>
        <w:t>AUTO 41/2013, de 16 de febrero de 2013</w:t>
      </w:r>
    </w:p>
    <w:bookmarkEnd w:id="182"/>
    <w:p w:rsidR="00BE7FB3" w:rsidRDefault="00BE7FB3" w:rsidP="00BE7FB3">
      <w:pPr>
        <w:pStyle w:val="TtuloResolucin"/>
      </w:pPr>
      <w:r>
        <w:t>Sección Tercera</w:t>
      </w:r>
    </w:p>
    <w:p w:rsidR="00BE7FB3" w:rsidRDefault="00BE7FB3" w:rsidP="00BE7FB3">
      <w:pPr>
        <w:pStyle w:val="TtuloResolucin"/>
      </w:pPr>
    </w:p>
    <w:p w:rsidR="00BE7FB3" w:rsidRDefault="00BE7FB3" w:rsidP="00BE7FB3">
      <w:pPr>
        <w:pStyle w:val="SntesisDescriptiva"/>
      </w:pPr>
      <w:r>
        <w:t>ECLI:ES:TC:2013:41A</w:t>
      </w:r>
    </w:p>
    <w:p w:rsidR="00BE7FB3" w:rsidRDefault="00BE7FB3" w:rsidP="00BE7FB3">
      <w:pPr>
        <w:pStyle w:val="SntesisDescriptiva"/>
      </w:pPr>
    </w:p>
    <w:p w:rsidR="00BE7FB3" w:rsidRDefault="00BE7FB3" w:rsidP="00BE7FB3">
      <w:pPr>
        <w:pStyle w:val="SntesisDescriptiva"/>
      </w:pPr>
      <w:r>
        <w:t>Excms. Srs. don Ramón Rodríguez Arribas, don Luis Ignacio Ortega Álvarez y doña Encarnación Roca Trías.</w:t>
      </w:r>
    </w:p>
    <w:p w:rsidR="00BE7FB3" w:rsidRDefault="00BE7FB3" w:rsidP="00BE7FB3">
      <w:pPr>
        <w:pStyle w:val="SntesisDescriptiva"/>
      </w:pPr>
    </w:p>
    <w:p w:rsidR="00BE7FB3" w:rsidRDefault="00BE7FB3" w:rsidP="00BE7FB3">
      <w:pPr>
        <w:pStyle w:val="SntesisDescriptiva"/>
      </w:pPr>
      <w:r>
        <w:t>Acuerda el desistimiento en el recurso de amparo 2418-2012, promovido en causa penal.</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183" w:name="AUTO_2013_42"/>
      <w:r>
        <w:lastRenderedPageBreak/>
        <w:t>AUTO 42/2013, de 19 de febrero de 2013</w:t>
      </w:r>
    </w:p>
    <w:bookmarkEnd w:id="183"/>
    <w:p w:rsidR="00BE7FB3" w:rsidRDefault="00BE7FB3" w:rsidP="00BE7FB3">
      <w:pPr>
        <w:pStyle w:val="TtuloResolucin"/>
      </w:pPr>
      <w:r>
        <w:t>Sección Tercera</w:t>
      </w:r>
    </w:p>
    <w:p w:rsidR="00BE7FB3" w:rsidRDefault="00BE7FB3" w:rsidP="00BE7FB3">
      <w:pPr>
        <w:pStyle w:val="TtuloResolucin"/>
      </w:pPr>
    </w:p>
    <w:p w:rsidR="00BE7FB3" w:rsidRDefault="00BE7FB3" w:rsidP="00BE7FB3">
      <w:pPr>
        <w:pStyle w:val="SntesisDescriptiva"/>
      </w:pPr>
      <w:r>
        <w:t>ECLI:ES:TC:2013:42A</w:t>
      </w:r>
    </w:p>
    <w:p w:rsidR="00BE7FB3" w:rsidRDefault="00BE7FB3" w:rsidP="00BE7FB3">
      <w:pPr>
        <w:pStyle w:val="SntesisDescriptiva"/>
      </w:pPr>
    </w:p>
    <w:p w:rsidR="00BE7FB3" w:rsidRDefault="00BE7FB3" w:rsidP="00BE7FB3">
      <w:pPr>
        <w:pStyle w:val="SntesisDescriptiva"/>
      </w:pPr>
      <w:r>
        <w:t>Excms. Srs. don Ramón Rodríguez Arribas, don Luis Ignacio Ortega Álvarez y doña Encarnación Roca Trías.</w:t>
      </w:r>
    </w:p>
    <w:p w:rsidR="00BE7FB3" w:rsidRDefault="00BE7FB3" w:rsidP="00BE7FB3">
      <w:pPr>
        <w:pStyle w:val="SntesisDescriptiva"/>
      </w:pPr>
    </w:p>
    <w:p w:rsidR="00BE7FB3" w:rsidRDefault="00BE7FB3" w:rsidP="00BE7FB3">
      <w:pPr>
        <w:pStyle w:val="SntesisDescriptiva"/>
      </w:pPr>
      <w:r>
        <w:t>Estima el recurso de súplica del Ministerio Fiscal sobre inadmisión del recurso de amparo 5921-2012, promovido por don Olech Yurchenco.</w:t>
      </w:r>
    </w:p>
    <w:p w:rsidR="00BE7FB3" w:rsidRDefault="00BE7FB3" w:rsidP="00BE7FB3">
      <w:pPr>
        <w:pStyle w:val="SntesisDescriptiva"/>
      </w:pPr>
    </w:p>
    <w:p w:rsidR="00BE7FB3" w:rsidRDefault="00BE7FB3" w:rsidP="00BE7FB3">
      <w:pPr>
        <w:pStyle w:val="SntesisAnaltica"/>
      </w:pPr>
      <w:r>
        <w:t>Estimación de recurso de súplica contra providencias de inadmisión del Tribunal Constitucional.</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Por escrito presentado en el Registro General de este Tribunal el 16 de octubre de 2012, don Oleh Yurchenco solicitaba la anulación de determinadas resoluciones administrativas y judiciales que, a su juicio, vulneraban diversos derechos fundamentales.</w:t>
      </w:r>
    </w:p>
    <w:p w:rsidR="00BE7FB3" w:rsidRDefault="00BE7FB3" w:rsidP="00BE7FB3">
      <w:pPr>
        <w:pStyle w:val="TextoNormal"/>
      </w:pPr>
    </w:p>
    <w:p w:rsidR="00BE7FB3" w:rsidRDefault="00BE7FB3" w:rsidP="00BE7FB3">
      <w:pPr>
        <w:pStyle w:val="TextoNormal"/>
      </w:pPr>
      <w:r w:rsidRPr="00BE7FB3">
        <w:rPr>
          <w:rStyle w:val="NumeroAFNegritaCaracter"/>
        </w:rPr>
        <w:t>2</w:t>
      </w:r>
      <w:r>
        <w:t>. Mediante diligencia de ordenación se requirió al recurrente para que comunicara la fecha de notificación de la Sentencia que pretendía recurrir en amparo. El recurrente aportó certificado del Secretario de Justicia del Tribunal Superior de Justicia de Navarra por el que se acredita que la Sentencia que se pretende recurrir en amparo, fue notificada el 2 de julio de 2012 al representante procesal del ahora recurrente.</w:t>
      </w:r>
    </w:p>
    <w:p w:rsidR="00BE7FB3" w:rsidRDefault="00BE7FB3" w:rsidP="00BE7FB3">
      <w:pPr>
        <w:pStyle w:val="TextoNormal"/>
      </w:pPr>
    </w:p>
    <w:p w:rsidR="00BE7FB3" w:rsidRDefault="00BE7FB3" w:rsidP="00BE7FB3">
      <w:pPr>
        <w:pStyle w:val="TextoNormal"/>
      </w:pPr>
      <w:r w:rsidRPr="00BE7FB3">
        <w:rPr>
          <w:rStyle w:val="NumeroAFNegritaCaracter"/>
        </w:rPr>
        <w:t>3</w:t>
      </w:r>
      <w:r>
        <w:t>. Mediante providencia de 19 de diciembre de 2012, la Sección Tercera del Tribunal Constitucional, acordó inadmitir el escrito presentado por don Oleh Yurchenco de conformidad con lo dispuesto en el art. 50.1 a) de la Ley Orgánica del Tribunal Constitucional (LOTC), en relación con su art. 44.2 y el art. 4.4 apartado 1 del acuerdo de 18 de junio de 1996, del Pleno del Tribunal Constitucional sobre asistencia jurídica gratuita en procesos de amparo, al ser dicho escrito extemporáneo.</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escrito de 24 de enero de 2013, el Ministerio Fiscal presentó recurso de súplica frente a la providencia de inadmisión. Considera el Fiscal que en el proceso origen del presente recurso se dieron determinadas circunstancias que permitirían que el Tribunal Constitucional considerara que la notificación de la Sentencia que se pretende recurrir no fue correctamente llevada a cabo y por ello, se podría considerar que el escrito presentado por el recurrente se realizó dentro del plazo de treinta días desde que se le notificó personalmente la Sentencia.</w:t>
      </w:r>
    </w:p>
    <w:p w:rsidR="00BE7FB3" w:rsidRDefault="00BE7FB3" w:rsidP="00BE7FB3">
      <w:pPr>
        <w:pStyle w:val="TextoNormal"/>
      </w:pPr>
    </w:p>
    <w:p w:rsidR="00BE7FB3" w:rsidRDefault="00BE7FB3" w:rsidP="00BE7FB3">
      <w:pPr>
        <w:pStyle w:val="TextoNormal"/>
      </w:pPr>
      <w:r>
        <w:lastRenderedPageBreak/>
        <w:t xml:space="preserve">Explica el Ministerio público que en el proceso </w:t>
      </w:r>
      <w:r w:rsidRPr="00BE7FB3">
        <w:rPr>
          <w:i/>
        </w:rPr>
        <w:t>a quo</w:t>
      </w:r>
      <w:r>
        <w:t>, si bien compareció como Procuradora doña Concepción Molina Larrondo, no constaba en las actuaciones documento alguno que acreditase tal representación, por lo que trascurrido el plazo conferido para acreditar la misma no se la tuvo por personada en las actuaciones. Que según consta en una nueva certificación expedida con fecha 23 de enero de 2013 por la señora Secretaria Judicial de la Sala de lo Contencioso-Administrativo del Tribunal Superior de Justicia de Navarra, la notificación de la Sentencia de 15 de junio de 2012, fue notificada el pasado 4 de julio de 2012, de forma telemática a la “representación procesal” del recurrente, doña María Rosario Fraguas Pérez; sin embargo, no se ha acreditado que doña María Rosario Fraguas Pérez, además de intervenir como Abogada en la apelación, actuara como representante procesal del recurrente.</w:t>
      </w:r>
    </w:p>
    <w:p w:rsidR="00BE7FB3" w:rsidRDefault="00BE7FB3" w:rsidP="00BE7FB3">
      <w:pPr>
        <w:pStyle w:val="TextoNormal"/>
      </w:pPr>
    </w:p>
    <w:p w:rsidR="00BE7FB3" w:rsidRDefault="00BE7FB3" w:rsidP="00BE7FB3">
      <w:pPr>
        <w:pStyle w:val="TextoNormal"/>
      </w:pPr>
      <w:r>
        <w:t>En definitiva, la Sentencia de 15 de junio de 2012, que se pretende recurrir, fue puesta en comunicación de la Letrada del recurrente, pero no constaba documentación que acreditase la representación de Procurador, siendo preceptiva su intervención y siendo destinatario de las notificaciones. Por ello, estima el Fiscal, que resulta cuando menos dudosa la eficacia de dicha notificación a quien no tiene acreditada la representación, cuando es preceptiva la intervención de Procurador, provocando en el recurrente la indefensión que implica no tener conocimiento del contenido de una resolución ni directamente ni a través de su Procurador, habilitado para recibir la notificación.</w:t>
      </w:r>
    </w:p>
    <w:p w:rsidR="00BE7FB3" w:rsidRDefault="00BE7FB3" w:rsidP="00BE7FB3">
      <w:pPr>
        <w:pStyle w:val="TextoNormal"/>
      </w:pPr>
    </w:p>
    <w:p w:rsidR="00BE7FB3" w:rsidRDefault="00BE7FB3" w:rsidP="00BE7FB3">
      <w:pPr>
        <w:pStyle w:val="TextoNormal"/>
      </w:pPr>
      <w:r>
        <w:t>Según el recurrente, tuvo noticia de la Sentencia el 12 de septiembre de 2012, manifestando su intención de recurrir, si bien a través de un escrito de queja con alusión a la vulneración del Convenio europeo para la protección de los derechos humanos y de las libertades fundamentales, presentado con fecha 17 de septiembre de 2012 ante el Ilmo. Sr. Presidente del Tribunal Superior de Justicia de Navarra, cuyo archivo fue acordado por resolución de 19 de septiembre de 2012.</w:t>
      </w:r>
    </w:p>
    <w:p w:rsidR="00BE7FB3" w:rsidRDefault="00BE7FB3" w:rsidP="00BE7FB3">
      <w:pPr>
        <w:pStyle w:val="TextoNormal"/>
      </w:pPr>
    </w:p>
    <w:p w:rsidR="00BE7FB3" w:rsidRDefault="00BE7FB3" w:rsidP="00BE7FB3">
      <w:pPr>
        <w:pStyle w:val="TextoNormal"/>
      </w:pPr>
      <w:r w:rsidRPr="00BE7FB3">
        <w:rPr>
          <w:rStyle w:val="NumeroAFNegritaCaracter"/>
        </w:rPr>
        <w:t>5</w:t>
      </w:r>
      <w:r>
        <w:t>. Mediante diligencia de ordenación de 29 de enero de 2013, la Sección Tercera del Tribunal Constitucional tuvo por recibido el recurso del Ministerio Fiscal y, de conformidad con el art. 50.3 LOTC, acordó dar traslado al recurrente por el plazo de tres días para que alegara lo que estimara oportuno. El recurrente, mediante escrito de 8 de febrero de 2013, reiteró su solicitud para que se considerara que su petición se realizó dentro del plazo legal desde que le fue notificada personalmente la Sentencia que pretende recurrir en amparo.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A la vista de la documentación aportada por el Ministerio Fiscal con su recurso de súplica, procede su estimación. En efecto, las irregularidades que, en la notificación de la Sentencia que se pretende impugnar en amparo, se pudieron producir, no pueden perjudicar el derecho del recurrente. Según consta en las actuaciones, la Procuradora que inicialmente ostentó la representación procesal del recurrente, posteriormente se la tuvo por no personada, mediante Decreto del Secretario de Justicia del Tribunal Superior de Justicia de Navarra de 30 de abril de 2012. Consta asimismo que la notificación de la Sentencia se efectuó el 4 de julio de 2012 a la representación procesal del recurrente, representante procesal que no podía ser la Procuradora inicialmente designada por no haber cumplimentado correctamente su representación. Tampoco el Letrado que asistió técnicamente al recurrente </w:t>
      </w:r>
      <w:r>
        <w:lastRenderedPageBreak/>
        <w:t>podría haber realizado las funciones de representación procesal —que sí pudo desarrollar en primera instancia, en virtud del art. 23 de la Ley reguladora de la jurisdicción contencioso-administrativa—, por lo que la irregular notificación de la Sentencia implica que este Tribunal deba estar a lo manifestado por el recurrente en su queja planteada ante el Tribunal Superior de Justicia de Navarra. En ella afirmaba haber tenido noticia de la Sentencia el 12 de septiembre de 2012, por lo que la presentación del escrito en el Tribunal Constitucional el 16 de octubre de 2012, debe considerarse dentro del plazo de treinta días establecido en el art. 4.4 apartado 1 del acuerdo de 18 de junio de 1996, del Pleno del Tribunal Constitucional sobre asistencia jurídica gratuita en procesos de amparo.</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el recurso de súplica interpuesto por el Ministerio Fiscal contra la providencia de 19 de diciembre de 2012, dejando sin efecto la misma. Procédase a recabar la designación de Abogado y Procurador del turno de oficio, a fin de que pueda formalizarse el escrito de demanda.</w:t>
      </w:r>
    </w:p>
    <w:p w:rsidR="00BE7FB3" w:rsidRDefault="00BE7FB3" w:rsidP="00BE7FB3">
      <w:pPr>
        <w:pStyle w:val="TextoNormal"/>
      </w:pPr>
    </w:p>
    <w:p w:rsidR="00BE7FB3" w:rsidRDefault="00BE7FB3" w:rsidP="00BE7FB3">
      <w:pPr>
        <w:pStyle w:val="TextoNormal"/>
      </w:pPr>
      <w:r>
        <w:t>Madrid, a diecinueve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84" w:name="AUTO_2013_43"/>
      <w:r>
        <w:lastRenderedPageBreak/>
        <w:t>AUTO 43/2013, de 20 de febrero de 2013</w:t>
      </w:r>
    </w:p>
    <w:bookmarkEnd w:id="184"/>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ECLI:ES:TC:2013:43A</w:t>
      </w:r>
    </w:p>
    <w:p w:rsidR="00BE7FB3" w:rsidRDefault="00BE7FB3" w:rsidP="00BE7FB3">
      <w:pPr>
        <w:pStyle w:val="SntesisDescriptiva"/>
      </w:pPr>
    </w:p>
    <w:p w:rsidR="00BE7FB3" w:rsidRDefault="00BE7FB3" w:rsidP="00BE7FB3">
      <w:pPr>
        <w:pStyle w:val="SntesisDescriptiva"/>
      </w:pPr>
      <w:r>
        <w:t>Excms. Srs. don Pascual Sala Sánchez, doña Adela Asua Batarrita y don Juan José González Rivas.</w:t>
      </w:r>
    </w:p>
    <w:p w:rsidR="00BE7FB3" w:rsidRDefault="00BE7FB3" w:rsidP="00BE7FB3">
      <w:pPr>
        <w:pStyle w:val="SntesisDescriptiva"/>
      </w:pPr>
    </w:p>
    <w:p w:rsidR="00BE7FB3" w:rsidRDefault="00BE7FB3" w:rsidP="00BE7FB3">
      <w:pPr>
        <w:pStyle w:val="SntesisDescriptiva"/>
      </w:pPr>
      <w:r>
        <w:t>Acuerda el desistimiento en el recurso de amparo 5617-2011, promovido en litigio social.</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185" w:name="AUTO_2013_44"/>
      <w:r>
        <w:lastRenderedPageBreak/>
        <w:t>AUTO 44/2013, de 20 de febrero de 2013</w:t>
      </w:r>
    </w:p>
    <w:bookmarkEnd w:id="185"/>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ECLI:ES:TC:2013:44A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6040-2012, promovido por la Junta Administrativa de Trespuentes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26 de octubre de 2012, la Procuradora de los Tribunales doña Andrea de Dorremochea Guiot, en nombre y representación de la entidad Junta Administrativa de Trespuentes, interpuso recurso de amparo contra el Auto de la Sala de lo Contencioso-Administrativo del Tribunal Supremo de fecha 26 de abril de 2012, recaído en recurso de casación núm. 6456-2011, contra Sentencia dictada por la Sala de lo Contencioso-Administrativo, Sección Segunda, del Tribunal Superior de Justicia del País Vasco de 11 de noviembre de 2011.</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18 de febrero de 2013, el Magistrado Excmo. Sr. don Juan José González Rivas manifestó su voluntad de abstenerse en el presente recurso de amparo y todas sus incidencias, por entender que concurría la causa establecida en el artículo 219.11 de la Ley Orgánica del Poder Judicial (LOPJ), supletoria de la Ley Orgánica 2/1979 (artículo 80), al haber intervenido en instancia anterior en su condición de Magistrado de la Sala de lo Contencioso-Administrativo del Tribunal Supremo que dictó las resoluciones recurridas.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las resoluciones impugnadas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6040-2012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veinte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86" w:name="AUTO_2013_45"/>
      <w:r>
        <w:lastRenderedPageBreak/>
        <w:t>AUTO 45/2013, de 20 de febrero de 2013</w:t>
      </w:r>
    </w:p>
    <w:bookmarkEnd w:id="186"/>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ECLI:ES:TC:2013:45A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6635-2012, promovido por don Carlos Hernández Lozoya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23 de noviembre de 2012, el Procurador de los Tribunales don Eduardo Codes Feijoo, en nombre y representación de don Carlos Hernández Lozoya, interpuso recurso de amparo contra la Sentencia de 19 de junio de 2012 de la Sección Cuarta, Sala de lo Contencioso-Administrativo del Tribunal Supremo, recaída en recurso de casación núm. 3034-2010, contra la Sentencia dictada por la Sala de lo Contencioso-Administrativo de la Audiencia Nacional de fecha 12 de mayo de 2010.</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19 de febrero de 2013, el Magistrado Excmo. Sr. don Juan José González Rivas manifestó su voluntad de abstenerse en el presente recurso de amparo y todas sus incidencias, por entender que concurría la causa establecida en el artículo 219.11 de la Ley Orgánica del Poder Judicial (LOPJ), supletoria de la Ley Orgánica 2/1979 (artículo 80), al haber intervenido en instancia anterior en su condición de Magistrado de la Sala de lo Contencioso-Administrativo del Tribunal Supremo que dictó las resoluciones recurridas.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las resoluciones impugnadas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lastRenderedPageBreak/>
        <w:t>Estimar justificada la abstención formulada por el Magistrado Excmo. Sr. don Juan José González Rivas en el recurso de amparo núm. 6635-2012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veinte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87" w:name="AUTO_2013_46"/>
      <w:r>
        <w:lastRenderedPageBreak/>
        <w:t>AUTO 46/2013, de 21 de febrero de 2013</w:t>
      </w:r>
    </w:p>
    <w:bookmarkEnd w:id="187"/>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ECLI:ES:TC:2013:46A</w:t>
      </w:r>
    </w:p>
    <w:p w:rsidR="00BE7FB3" w:rsidRDefault="00BE7FB3" w:rsidP="00BE7FB3">
      <w:pPr>
        <w:pStyle w:val="SntesisDescriptiva"/>
      </w:pPr>
    </w:p>
    <w:p w:rsidR="00BE7FB3" w:rsidRDefault="00BE7FB3" w:rsidP="00BE7FB3">
      <w:pPr>
        <w:pStyle w:val="SntesisDescriptiva"/>
      </w:pPr>
      <w:r>
        <w:t>Excms. Srs. don Pascual Sala Sánchez, doña Adela Asua Batarrita y don Juan José González Rivas.</w:t>
      </w:r>
    </w:p>
    <w:p w:rsidR="00BE7FB3" w:rsidRDefault="00BE7FB3" w:rsidP="00BE7FB3">
      <w:pPr>
        <w:pStyle w:val="SntesisDescriptiva"/>
      </w:pPr>
    </w:p>
    <w:p w:rsidR="00BE7FB3" w:rsidRDefault="00BE7FB3" w:rsidP="00BE7FB3">
      <w:pPr>
        <w:pStyle w:val="SntesisDescriptiva"/>
      </w:pPr>
      <w:r>
        <w:t>Declara la falta de competencia del Tribunal Constitucional para conocer de la impugnación de la resolución de la Comisión central de asistencia jurídica gratuita dictada el 13 de julio de 2012 dictada con ocasión del recurso de amparo 2712-2012, promovido por don Eduardo Molina Bas y doña Fernanda Triviño Gómez en pleito civil.</w:t>
      </w:r>
    </w:p>
    <w:p w:rsidR="00BE7FB3" w:rsidRDefault="00BE7FB3" w:rsidP="00BE7FB3">
      <w:pPr>
        <w:pStyle w:val="SntesisDescriptiva"/>
      </w:pPr>
    </w:p>
    <w:p w:rsidR="00BE7FB3" w:rsidRDefault="00BE7FB3" w:rsidP="00BE7FB3">
      <w:pPr>
        <w:pStyle w:val="SntesisAnaltica"/>
      </w:pPr>
      <w:r>
        <w:t>Competencias del Tribunal Constitucional: declaración de incompetencia del Tribunal Constitucional. Justicia gratuita: derecho a la asistencia letrada.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recibido por fax en este Tribunal el 7 de mayo de 2012 don Eduardo Molina Bas y doña Fernanda Triviño Gómez manifestaron su intención de interponer recurso de amparo y solicitaron que se les nombraran Abogado y Procurador del turno de oficio a tal efecto.</w:t>
      </w:r>
    </w:p>
    <w:p w:rsidR="00BE7FB3" w:rsidRDefault="00BE7FB3" w:rsidP="00BE7FB3">
      <w:pPr>
        <w:pStyle w:val="TextoNormal"/>
      </w:pPr>
    </w:p>
    <w:p w:rsidR="00BE7FB3" w:rsidRDefault="00BE7FB3" w:rsidP="00BE7FB3">
      <w:pPr>
        <w:pStyle w:val="TextoNormal"/>
      </w:pPr>
      <w:r w:rsidRPr="00BE7FB3">
        <w:rPr>
          <w:rStyle w:val="NumeroAFNegritaCaracter"/>
        </w:rPr>
        <w:t>2</w:t>
      </w:r>
      <w:r>
        <w:t>. Por diligencia de ordenación de 17 de mayo de 2012, la Secretaría de la Sala Primera de este Tribunal requirió a los recurrentes para que acreditaran haber gozado de asistencia jurídica gratuita en la vía judicial previa, indicándoles que, en caso contrario, deberían solicitarla al servicio de orientación jurídica del Ilustre Colegio de Abogados de Madrid.</w:t>
      </w:r>
    </w:p>
    <w:p w:rsidR="00BE7FB3" w:rsidRDefault="00BE7FB3" w:rsidP="00BE7FB3">
      <w:pPr>
        <w:pStyle w:val="TextoNormal"/>
      </w:pPr>
    </w:p>
    <w:p w:rsidR="00BE7FB3" w:rsidRDefault="00BE7FB3" w:rsidP="00BE7FB3">
      <w:pPr>
        <w:pStyle w:val="TextoNormal"/>
      </w:pPr>
      <w:r>
        <w:t>Mediante escrito remitido por fax el 5 de junio de 2012, los recurrentes atendieron el anterior requerimiento, aportando copia de la solicitud de designación de Abogado y Procurador, presentada ante el Ilustre Colegio de Abogados de Madrid.</w:t>
      </w:r>
    </w:p>
    <w:p w:rsidR="00BE7FB3" w:rsidRDefault="00BE7FB3" w:rsidP="00BE7FB3">
      <w:pPr>
        <w:pStyle w:val="TextoNormal"/>
      </w:pPr>
    </w:p>
    <w:p w:rsidR="00BE7FB3" w:rsidRDefault="00BE7FB3" w:rsidP="00BE7FB3">
      <w:pPr>
        <w:pStyle w:val="TextoNormal"/>
      </w:pPr>
      <w:r w:rsidRPr="00BE7FB3">
        <w:rPr>
          <w:rStyle w:val="NumeroAFNegritaCaracter"/>
        </w:rPr>
        <w:t>3</w:t>
      </w:r>
      <w:r>
        <w:t>. Comunicado por la Secretaría de la Sala Primera de este Tribunal al Ilustre Colegio de Abogados de Madrid el número asignado al recurso de amparo, dicha corporación, a través de oficio recibido en este Tribunal el 3 de julio de 2012, informó que había dado traslado del expediente a la Comisión de asistencia jurídica gratuita, sin designación provisional de Abogado de oficio, por entender que existía abuso de derecho y ejercicio antisocial del mismo por parte del interesado.</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La Comisión central de asistencia jurídica gratuita dictó resolución con fecha 13 de julio de 2012 denegando a los actores el derecho de asistencia jurídica gratuita por manifiesto abuso y ejercicio antisocial del derecho a la misma. Los demandantes de amparo impugnaron la resolución denegatoria del beneficio de asistencia jurídica gratuita, poniendo </w:t>
      </w:r>
      <w:r>
        <w:lastRenderedPageBreak/>
        <w:t>dicho extremo en conocimiento de este Tribunal la Comisión central de asistencia jurídica gratuita a través de oficio recibido el 23 de agosto de 2012, en el que indicaba que había dado traslado de la impugnación y del expediente al Decanato de los Juzgados de Primera Instancia e Instrucción de Madrid para su resolución.</w:t>
      </w:r>
    </w:p>
    <w:p w:rsidR="00BE7FB3" w:rsidRDefault="00BE7FB3" w:rsidP="00BE7FB3">
      <w:pPr>
        <w:pStyle w:val="TextoNormal"/>
      </w:pPr>
    </w:p>
    <w:p w:rsidR="00BE7FB3" w:rsidRDefault="00BE7FB3" w:rsidP="00BE7FB3">
      <w:pPr>
        <w:pStyle w:val="TextoNormal"/>
      </w:pPr>
      <w:r w:rsidRPr="00BE7FB3">
        <w:rPr>
          <w:rStyle w:val="NumeroAFNegritaCaracter"/>
        </w:rPr>
        <w:t>5</w:t>
      </w:r>
      <w:r>
        <w:t>. Turnada dicha impugnación al Juzgado de Instrucción núm. 31 de Madrid, éste acordó por Auto de 3 de septiembre de 2012 remitir las diligencias al Tribunal Constitucional, al referirse el expediente a una solicitud de asistencia jurídica gratuita para un recurso de amparo.</w:t>
      </w:r>
    </w:p>
    <w:p w:rsidR="00BE7FB3" w:rsidRDefault="00BE7FB3" w:rsidP="00BE7FB3">
      <w:pPr>
        <w:pStyle w:val="TextoNormal"/>
      </w:pPr>
    </w:p>
    <w:p w:rsidR="00BE7FB3" w:rsidRDefault="00BE7FB3" w:rsidP="00BE7FB3">
      <w:pPr>
        <w:pStyle w:val="TextoNormal"/>
      </w:pPr>
      <w:r w:rsidRPr="00BE7FB3">
        <w:rPr>
          <w:rStyle w:val="NumeroAFNegritaCaracter"/>
        </w:rPr>
        <w:t>6</w:t>
      </w:r>
      <w:r>
        <w:t>. Mediante diligencia de ordenación de 24 de septiembre de 2012, la Secretaría de Justicia de la Sala Primera tuvo por recibidas las comunicaciones de la Comisión de asistencia jurídica gratuita. Asimismo, acordó unir a los autos las actuaciones remitidas por el Juzgado de Instrucción núm. 31 de Madrid, y conceder un plazo de tres días a los recurrentes y al Abogado del Estado para que se pronunciaran sobre la competencia de este Tribunal en orden a conocer de la impugnación a la que se refiere el art. 20 de la Ley 1/1996, de 10 de enero, de asistencia jurídica gratuita.</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mediante escrito que tuvo entrada en el Registro General de este Tribunal el 28 de septiembre de 2012, solicitó que se dictara Auto declarando la incompetencia del Tribunal Constitucional para resolver la impugnación promovida por los recurrentes contra la resolución de la Comisión central de asistencia jurídica gratuita y que se devolvieran al Juzgado de Instrucción núm. 31 de Madrid las actuaciones del procedimiento impugnatorio de la citada resolución.</w:t>
      </w:r>
    </w:p>
    <w:p w:rsidR="00BE7FB3" w:rsidRDefault="00BE7FB3" w:rsidP="00BE7FB3">
      <w:pPr>
        <w:pStyle w:val="TextoNormal"/>
      </w:pPr>
    </w:p>
    <w:p w:rsidR="00BE7FB3" w:rsidRDefault="00BE7FB3" w:rsidP="00BE7FB3">
      <w:pPr>
        <w:pStyle w:val="TextoNormal"/>
      </w:pPr>
      <w:r>
        <w:t>Explica el Abogado del Estado que los actores solicitaron la asistencia jurídica gratuita en el escrito de interposición del recurso de amparo, pero no han justificado que su pretendida insuficiencia económica pueda considerarse sobrevenida después de dicha interposición, y, en este sentido, recuerda que la insuficiencia económica sobrevenida “con posterioridad a la interposición del recurso de amparo” es el único supuesto en el que correspondería al Tribunal Constitucional resolver la impugnación del acto denegatorio de asistencia jurídica gratuita (AATC 138/1997 de 7 de mayo, FJ 3; 204/1997 de 4 de junio, FJ 3; 120/2011 de 19 de septiembre, FJ 2 y 3; 54/2012, de 26 de marzo, FFJJ 3 y ss; 80/2012, de 7 de mayo, FJ 2; y 112/2012, de 31 de mayo, FJ 2). Por tanto, de conformidad con los arts. 9 y 10 del acuerdo plenario de 18 de junio de 1996, en relación con el art. 4.1 LOTC, procede que el Tribunal declare su incompetencia para resolver la impugnación.</w:t>
      </w:r>
    </w:p>
    <w:p w:rsidR="00BE7FB3" w:rsidRDefault="00BE7FB3" w:rsidP="00BE7FB3">
      <w:pPr>
        <w:pStyle w:val="TextoNormal"/>
      </w:pPr>
    </w:p>
    <w:p w:rsidR="00BE7FB3" w:rsidRDefault="00BE7FB3" w:rsidP="00BE7FB3">
      <w:pPr>
        <w:pStyle w:val="TextoNormal"/>
      </w:pPr>
      <w:r w:rsidRPr="00BE7FB3">
        <w:rPr>
          <w:rStyle w:val="NumeroAFNegritaCaracter"/>
        </w:rPr>
        <w:t>8</w:t>
      </w:r>
      <w:r>
        <w:t>. Los recurrentes presentaron escrito de alegaciones el 17 de octubre de 2012, manifestando que el Colegio de Abogados de Madrid no había contestado a su solicitud, así como su extrañeza por la cita del Juzgado de Instrucción núm. 31 de Madrid, por entender que no es competente para conocer de una impugnación de justicia gratuita. Igualmente, muestran su discrepancia con la consideración de que existe un ejercicio antisocial del derecho a la asistencia jurídica gratuita, criticando a las profesiones jurídicas que no cumplen con su función, sino que actúan contra los justiciables que se atreven a denunciar o demandar por sus abusos o fraudes procesales.</w:t>
      </w:r>
    </w:p>
    <w:p w:rsidR="00BE7FB3" w:rsidRDefault="00BE7FB3" w:rsidP="00BE7FB3">
      <w:pPr>
        <w:pStyle w:val="TextoNormal"/>
      </w:pPr>
    </w:p>
    <w:p w:rsidR="00BE7FB3" w:rsidRDefault="00BE7FB3" w:rsidP="00BE7FB3">
      <w:pPr>
        <w:pStyle w:val="TextoNormalNegritaCentrado"/>
        <w:keepNext/>
      </w:pPr>
      <w:r>
        <w:lastRenderedPageBreak/>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Como se ha indicado en los antecedentes de esta resolución, los actores presentaron un escrito ante este Tribunal en el que manifestaban su intención de interponer recurso de amparo, solicitando que se les designaran Abogado y Procurador del turno de oficio. Efectuada por los actores dicha solicitud ante el Ilustre Colegio de Abogados de Madrid, la referida corporación dio traslado del expediente a la Comisión central de asistencia jurídica gratuita, sin designación provisional de Abogado de oficio, por considerar que existía abuso de derecho y ejercicio antisocial del mismo por parte de los interesados. La citada comisión dictó resolución con fecha 13 de julio de 2012, por la que denegó a los actores el derecho de asistencia jurídica gratuita por manifiesto abuso y ejercicio antisocial del derecho a la misma. Dicha resolución fue impugnada por el señor Molina Bas y la señora Triviño Gómez a través de la vía prevista en el art. 20 de la Ley 1/1996, mas el Juzgado de Instrucción núm. 31 de Madrid, al que por turno de reparto había correspondido conocer de la misma, remitió las diligencias relativas al expediente de impugnación a este Tribunal, al referirse a una solicitud de asistencia jurídica gratuita instada para un recurso de amparo.</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Este Tribunal ha resuelto supuestos análogos al que nos ocupa en los AATC 120/2011, de 19 de septiembre, 54/2012, de 26 de marzo, 80/2012, de 7 de mayo, 112/2012, de 31 de mayo, y 212/2012, de 13 de noviembre, en los que ha recordado que el Tribunal Constitucional será competente para resolver este tipo de impugnaciones solamente cuando la insuficiencia económica del solicitante se ocasione después de haber interpuesto el recurso de amparo. </w:t>
      </w:r>
    </w:p>
    <w:p w:rsidR="00BE7FB3" w:rsidRDefault="00BE7FB3" w:rsidP="00BE7FB3">
      <w:pPr>
        <w:pStyle w:val="TextoNormal"/>
      </w:pPr>
    </w:p>
    <w:p w:rsidR="00BE7FB3" w:rsidRDefault="00BE7FB3" w:rsidP="00BE7FB3">
      <w:pPr>
        <w:pStyle w:val="TextoNormal"/>
      </w:pPr>
      <w:r>
        <w:t>En este sentido, debe recordarse que el art.1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de asistencia jurídica gratuita,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caso, esto es, cuando se solicita el beneficio de justicia gratuita una vez iniciado el procedimiento, la competencia para resolver estas impugnaciones corresponde al Juzgado o Tribunal que esté conociendo del procedimiento. En el segundo supuesto, es decir, cuando todavía no se haya iniciado el procedimiento para cuya tramitación se solicitó este beneficio, la competencia para la resolución de estas impugnaciones le corresponde al Juez de Primera Instancia que por turno de reparto corresponda.</w:t>
      </w:r>
    </w:p>
    <w:p w:rsidR="00BE7FB3" w:rsidRDefault="00BE7FB3" w:rsidP="00BE7FB3">
      <w:pPr>
        <w:pStyle w:val="TextoNormal"/>
      </w:pPr>
    </w:p>
    <w:p w:rsidR="00BE7FB3" w:rsidRDefault="00BE7FB3" w:rsidP="00BE7FB3">
      <w:pPr>
        <w:pStyle w:val="TextoNormal"/>
      </w:pPr>
      <w:r>
        <w:t xml:space="preserve">Pues bien, como se señalaba en el ATC 120/2011, de 19 de septiembre, FJ 2, “[e]l acuerdo del Pleno de este Tribunal de 18 de junio de 1996, cuando regula la concesión de este beneficio para la tramitación de los recursos de amparo previstos en los arts. 43 y 44 de la Ley Orgánica del Tribunal Constitucional, diferencia, por una parte, entre los supuestos de insuficiencia económica originaria (sección 1 del capítulo III) y aquellos en los que la </w:t>
      </w:r>
      <w:r>
        <w:lastRenderedPageBreak/>
        <w:t>insuficiencia económica es sobrevenida (sección 2 del capítulo III). En este último caso, que es el que ahora interesa …, el acuerdo distingue entre los supuestos en los que se pretende interponer recurso de amparo (art. 8) y aquellos otros en los que ‘la situación de insuficiencia económica sobreviene con posterioridad a la interposición del recurso de amparo’ (art. 9). Estableciendo expresamente el art 10 que ‘en el caso previsto en el artículo anterior’, que es, como se acaba de indicar, el supuesto en el que la insuficiencia económica sobreviene con posterioridad a la interposición del recurso de amparo, ‘la persona a quien se hubiera desestimado la solicitud de reconocimiento del derecho de asistencia jurídica gratuita podrá formular la impugnación a que se refiere el art. 20 de la Ley de asistencia jurídica gratuita, que será resuelta por el Tribunal’. Resulta, por tanto, que, según lo dispuesto en el acuerdo del Pleno de este Tribunal de 18 de junio de 1996, en consonancia con lo dispuesto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00BE7FB3" w:rsidRDefault="00BE7FB3" w:rsidP="00BE7FB3">
      <w:pPr>
        <w:pStyle w:val="TextoNormal"/>
      </w:pPr>
    </w:p>
    <w:p w:rsidR="00BE7FB3" w:rsidRDefault="00BE7FB3" w:rsidP="00BE7FB3">
      <w:pPr>
        <w:pStyle w:val="TextoNormal"/>
      </w:pPr>
      <w:r w:rsidRPr="00BE7FB3">
        <w:rPr>
          <w:rStyle w:val="NumeroAFNegritaCaracter"/>
        </w:rPr>
        <w:t>3</w:t>
      </w:r>
      <w:r>
        <w:t>. En el presente caso, la solicitud de nombramiento de Abogado y Procurador del turno de oficio se efectuó en el escrito por el que se anunciaba la interposición del recurso de amparo, aunque se formalizara por los actores posteriormente, a requerimiento de la Secretaría de la Sala Primera de este Tribunal, en escrito que dirigieron al Ilustre Colegio de Abogados de Madrid. Por consiguiente, resulta claro que la situación de insuficiencia económica no sobrevino con posterioridad a la presentación del escrito inicial, sino con anterioridad a la misma, lo que conlleva, como se acaba de indicar, que este Tribunal carezca de competencia para resolver la impugnación formulada contra la resolución de la Comisión central de asistencia jurídica gratuita que denegó este beneficio a los recurrentes.</w:t>
      </w:r>
    </w:p>
    <w:p w:rsidR="00BE7FB3" w:rsidRDefault="00BE7FB3" w:rsidP="00BE7FB3">
      <w:pPr>
        <w:pStyle w:val="TextoNormal"/>
      </w:pPr>
    </w:p>
    <w:p w:rsidR="00BE7FB3" w:rsidRDefault="00BE7FB3" w:rsidP="00BE7FB3">
      <w:pPr>
        <w:pStyle w:val="TextoNormal"/>
      </w:pPr>
      <w:r>
        <w:t>En consecuencia, procede devolver las actuaciones para la resolución de la impugnación al Juzgado de Instrucción núm. 31 de Madrid al que por reparto correspondió su resolución, de conformidad con lo previsto en el art. 20, párrafo segundo, de la Ley de asistencia jurídica gratuita.</w:t>
      </w:r>
    </w:p>
    <w:p w:rsidR="00BE7FB3" w:rsidRDefault="00BE7FB3" w:rsidP="00BE7FB3">
      <w:pPr>
        <w:pStyle w:val="TextoNormal"/>
      </w:pPr>
    </w:p>
    <w:p w:rsidR="00BE7FB3" w:rsidRDefault="00BE7FB3" w:rsidP="00BE7FB3">
      <w:pPr>
        <w:pStyle w:val="TextoNormal"/>
      </w:pPr>
      <w:r>
        <w:t>Por todo ello, de acuerdo con lo previsto en los arts. 9 y 10 del acuerdo del Pleno del Tribunal Constitucional de 18 de junio de 1996 y el art. 4.1 de la Ley Orgánica del Tribunal Constitucional.</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lastRenderedPageBreak/>
        <w:t>1º Declararse incompetente para el enjuiciamiento de la impugnación de la resolución de la Comisión Central de Asistencia Jurídica Gratuita de 13 de julio de 2012, formulada por don Eduardo Molina Bas y doña Fernanda Triviño Gómez.</w:t>
      </w:r>
    </w:p>
    <w:p w:rsidR="00BE7FB3" w:rsidRDefault="00BE7FB3" w:rsidP="00BE7FB3">
      <w:pPr>
        <w:pStyle w:val="TextoNormal"/>
      </w:pPr>
    </w:p>
    <w:p w:rsidR="00BE7FB3" w:rsidRDefault="00BE7FB3" w:rsidP="00BE7FB3">
      <w:pPr>
        <w:pStyle w:val="TextoNormal"/>
      </w:pPr>
      <w:r>
        <w:t>2º Devolver al Juzgado de Instrucción núm. 31 de Madrid las actuaciones que en su día fueron remitidas a este Tribunal.</w:t>
      </w:r>
    </w:p>
    <w:p w:rsidR="00BE7FB3" w:rsidRDefault="00BE7FB3" w:rsidP="00BE7FB3">
      <w:pPr>
        <w:pStyle w:val="TextoNormal"/>
      </w:pPr>
    </w:p>
    <w:p w:rsidR="00BE7FB3" w:rsidRDefault="00BE7FB3" w:rsidP="00BE7FB3">
      <w:pPr>
        <w:pStyle w:val="TextoNormal"/>
      </w:pPr>
      <w:r>
        <w:t>Madrid, a veintiuno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88" w:name="AUTO_2013_47"/>
      <w:r>
        <w:lastRenderedPageBreak/>
        <w:t>AUTO 47/2013, de 25 de febrero de 2013</w:t>
      </w:r>
    </w:p>
    <w:bookmarkEnd w:id="188"/>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ECLI:ES:TC:2013:47A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Desestima diversos recursos de súplica sobre denegación de personación en el recurso de amparo 956-2008, promovido por la Asociación para la defensa de inversores y clientes en causa penal.</w:t>
      </w:r>
    </w:p>
    <w:p w:rsidR="00BE7FB3" w:rsidRDefault="00BE7FB3" w:rsidP="00BE7FB3">
      <w:pPr>
        <w:pStyle w:val="SntesisDescriptiva"/>
      </w:pPr>
    </w:p>
    <w:p w:rsidR="00BE7FB3" w:rsidRDefault="00BE7FB3" w:rsidP="00BE7FB3">
      <w:pPr>
        <w:pStyle w:val="SntesisAnaltica"/>
      </w:pPr>
      <w:r>
        <w:t>Personación: denegación de personación. Recurso de amparo: personación. Recurso de súplica contra providencias de inadmisión del Tribunal Constitucional: desestimación de recurso de súplica contra providencias de inadmisión del Tribunal Constitucional.</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4 de febrero de 2008, el Procurador de los Tribunales don Luis José García Barrenechea, en nombre y representación de la Asociación para la defensa de inversores y clientes, y bajo la dirección del Letrado don Virgilio Iván Hernández Urraburu, interpuso recurso de amparo contra la Sentencia de la Sala de lo Penal del Tribunal Supremo núm. 1045/2007, de 17 de diciembre, por la que se desestima el recurso de casación núm. 315-2007 interpuesto contra el Auto de la Sección Primera de la Sala de lo Penal de la Audiencia Nacional de 20 de diciembre de 2006, dictado en el rollo núm. 4-2006, en el que se acuerda el sobreseimiento libre de las actuaciones.</w:t>
      </w:r>
    </w:p>
    <w:p w:rsidR="00BE7FB3" w:rsidRDefault="00BE7FB3" w:rsidP="00BE7FB3">
      <w:pPr>
        <w:pStyle w:val="TextoNormal"/>
      </w:pPr>
    </w:p>
    <w:p w:rsidR="00BE7FB3" w:rsidRDefault="00BE7FB3" w:rsidP="00BE7FB3">
      <w:pPr>
        <w:pStyle w:val="TextoNormal"/>
      </w:pPr>
      <w:r w:rsidRPr="00BE7FB3">
        <w:rPr>
          <w:rStyle w:val="NumeroAFNegritaCaracter"/>
        </w:rPr>
        <w:t>2</w:t>
      </w:r>
      <w:r>
        <w:t>. La Sala Primera de este Tribunal, por providencia de 18 de octubre de 2010, acordó admitir a trámite la demanda de amparo y dirigir atenta comunicación a los órganos judiciales para la remisión de copia testimoniada de las actuaciones y el emplazamiento a quienes hubieran sido parte en este procedimiento para que pudieran comparecer en el mismo.</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La Secretaría de Justicia de la Sala Primera de este Tribunal, por diligencia de ordenación de 10 de enero de 2012, tuvo por recibido testimonio de las actuaciones y por personados al Abogado del Estado; al Procurador de los Tribunales don José Luis Pinto Marabotto, en nombre y representación de don Francisco Edo Cuevas; a la Procuradora de los Tribunales doña Esther Rodríguez Pérez, en nombre y representación de la federación de partidos políticos Iniciativa per Catalunya-Verds; al Procurador de los Tribunales don Cesáreo Hidalgo Senén, en nombre y representación de don Emilio Botín-Sanz de Sautuola y García de los Rios, don Rodrigo Echenique Gordillo, don José Ignacio Ucles Romero y don Ricardo Alonso Clavel; a la Procuradora de los Tribunales doña Teresa Castro Rodríguez, en nombre y representación de don Gabriel Murias Murias; a la Procuradora de los Tribunales doña </w:t>
      </w:r>
      <w:r>
        <w:lastRenderedPageBreak/>
        <w:t>Carmen Azpeitia Bello, en nombre y representación de don Andrés Roig Pol; al Procurador de los Tribunales don Julián Caballero Aguado, en nombre y representación de don Guillermo Pol Ferrer; a la Procuradora de los Tribunales doña Amparo Alonso León, en nombre y representación de don Francisco Javier Goñi Arruabarrena; al Procurador de los Tribunales don Carlos José Navarro Gutiérrez, en nombre y representación de don Juan Antonio Peraza Marrero; y a la Procuradora de los Tribunales doña María Dolores Ortega Agudelo, en nombre y representación de don Antonio Saavedra Ramos. Igualmente, se acordó, a tenor del art. 52 de la Ley Orgánica del Tribunal Constitucional (LOTC), dar vista de las actuaciones al Ministerio Fiscal y a las partes personadas por plazo común de veinte días para que pudieran presentar las alegaciones que estimasen pertinentes.</w:t>
      </w:r>
    </w:p>
    <w:p w:rsidR="00BE7FB3" w:rsidRDefault="00BE7FB3" w:rsidP="00BE7FB3">
      <w:pPr>
        <w:pStyle w:val="TextoNormal"/>
      </w:pPr>
    </w:p>
    <w:p w:rsidR="00BE7FB3" w:rsidRDefault="00BE7FB3" w:rsidP="00BE7FB3">
      <w:pPr>
        <w:pStyle w:val="TextoNormal"/>
      </w:pPr>
      <w:r w:rsidRPr="00BE7FB3">
        <w:rPr>
          <w:rStyle w:val="NumeroAFNegritaCaracter"/>
        </w:rPr>
        <w:t>4</w:t>
      </w:r>
      <w:r>
        <w:t>. La Secretaría de Justicia de la Sala Primera de este Tribunal, mediante diligencia de 8 de marzo de 2012, hizo constar haberse recibido diversos escritos de alegaciones formulados de conformidad con el art. 52 LOTC y que el presente recurso de amparo quedaba pendiente para deliberación cuando por turno correspondiera.</w:t>
      </w:r>
    </w:p>
    <w:p w:rsidR="00BE7FB3" w:rsidRDefault="00BE7FB3" w:rsidP="00BE7FB3">
      <w:pPr>
        <w:pStyle w:val="TextoNormal"/>
      </w:pPr>
    </w:p>
    <w:p w:rsidR="00BE7FB3" w:rsidRDefault="00BE7FB3" w:rsidP="00BE7FB3">
      <w:pPr>
        <w:pStyle w:val="TextoNormal"/>
      </w:pPr>
      <w:r w:rsidRPr="00BE7FB3">
        <w:rPr>
          <w:rStyle w:val="NumeroAFNegritaCaracter"/>
        </w:rPr>
        <w:t>5</w:t>
      </w:r>
      <w:r>
        <w:t>. La asociación demandante de amparo, mediante escrito registrado en este Tribunal el 24 de septiembre de 2012, solicitó que se la tuviera como apartada y desistida del presente recurso de amparo, adjuntando poder especial al efecto.</w:t>
      </w:r>
    </w:p>
    <w:p w:rsidR="00BE7FB3" w:rsidRDefault="00BE7FB3" w:rsidP="00BE7FB3">
      <w:pPr>
        <w:pStyle w:val="TextoNormal"/>
      </w:pPr>
    </w:p>
    <w:p w:rsidR="00BE7FB3" w:rsidRDefault="00BE7FB3" w:rsidP="00BE7FB3">
      <w:pPr>
        <w:pStyle w:val="TextoNormal"/>
      </w:pPr>
      <w:r w:rsidRPr="00BE7FB3">
        <w:rPr>
          <w:rStyle w:val="NumeroAFNegritaCaracter"/>
        </w:rPr>
        <w:t>6</w:t>
      </w:r>
      <w:r>
        <w:t>. La Procuradora de los Tribunales doña Mónica Paloma Fente Delegado, en nombre y representación del partido político Soberanía de la Razón, y bajo la dirección de la Letrada doña Encarnación Martínez Segado, mediante escrito registrado el 26 de octubre de 2012, solicitó que se le tuviera por personado y parte en este procedimiento como codemandante de amparo de conformidad con el art. 13 de la Ley de enjuiciamiento civil (LEC), alegando tener un interés legítimo en que se continúe con la resolución del presente recurso como partido político defensor de los derechos de los ciudadanos, y teniéndosele por opuesto al desistimiento.</w:t>
      </w:r>
    </w:p>
    <w:p w:rsidR="00BE7FB3" w:rsidRDefault="00BE7FB3" w:rsidP="00BE7FB3">
      <w:pPr>
        <w:pStyle w:val="TextoNormal"/>
      </w:pPr>
    </w:p>
    <w:p w:rsidR="00BE7FB3" w:rsidRDefault="00BE7FB3" w:rsidP="00BE7FB3">
      <w:pPr>
        <w:pStyle w:val="TextoNormal"/>
      </w:pPr>
      <w:r w:rsidRPr="00BE7FB3">
        <w:rPr>
          <w:rStyle w:val="NumeroAFNegritaCaracter"/>
        </w:rPr>
        <w:t>7</w:t>
      </w:r>
      <w:r>
        <w:t>. El Licenciado en Derecho don José Luis Mazón Costa, en su propio nombre y representación, mediante escrito registrado el 26 de octubre de 2012, solicitó que se le tuviera por personado y parte en este procedimiento como codemandante de amparo de conformidad con el art. 13 LEC, alegando tener un interés legítimo en que se continúe con la resolución del presente recurso como Abogado y ciudadano que puede ejercer la acción popular, y teniéndosele por opuesto al desistimiento. Igualmente, afirma haberse cursado denuncia penal por el desistimiento formulado, adjuntando copia de la misma. Por posterior escrito de fecha 12 de noviembre de 2012, registrado el 16 de noviembre de 2012, se hace constar que la denuncia se ha aportado a los efectos de que se declare la prejudicialidad penal con carácter subsidiario para el caso de rechazarse la personación.</w:t>
      </w:r>
    </w:p>
    <w:p w:rsidR="00BE7FB3" w:rsidRDefault="00BE7FB3" w:rsidP="00BE7FB3">
      <w:pPr>
        <w:pStyle w:val="TextoNormal"/>
      </w:pPr>
    </w:p>
    <w:p w:rsidR="00BE7FB3" w:rsidRDefault="00BE7FB3" w:rsidP="00BE7FB3">
      <w:pPr>
        <w:pStyle w:val="TextoNormal"/>
      </w:pPr>
      <w:r w:rsidRPr="00BE7FB3">
        <w:rPr>
          <w:rStyle w:val="NumeroAFNegritaCaracter"/>
        </w:rPr>
        <w:t>8</w:t>
      </w:r>
      <w:r>
        <w:t>. El Procurador de los Tribunales don Arturo Molina Santiago, en nombre y representación del Licenciado en Derecho don Eduardo Martín-Duarte Rosa, mediante escrito registrado el 31 de octubre de 2012, solicitó que se le tuviera por personado y parte en este procedimiento, argumentando que ha tenido conocimiento del desistimiento formulado por la asociación recurrente y que es su interés comparecer en las presentes actuaciones de amparo como ciudadano afectado por el perjuicio patrimonial irrogado al estado.</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9</w:t>
      </w:r>
      <w:r>
        <w:t>. La Sala Primera de este Tribunal, mediante sendas providencias de 12 de noviembre de 2012, acordó no tener por personados a la Procuradora de los Tribunales doña Mónica Paloma Fente Delegado, en nombre y representación del partido político Soberanía de la Razón; al Licenciado en Derecho don José Luis Mazón Costa y al Procurador de los Tribunales don Arturo Molina Santiago, en nombre y representación del Licenciado en Derecho don Eduardo Martín-Duarte Rosa, al no cumplir ninguno de ellos la exigencia prevista en el art. 51.2 LOTC de que hubiera sido parte en el proceso judicial que trae causa a este recurso de amparo.</w:t>
      </w:r>
    </w:p>
    <w:p w:rsidR="00BE7FB3" w:rsidRDefault="00BE7FB3" w:rsidP="00BE7FB3">
      <w:pPr>
        <w:pStyle w:val="TextoNormal"/>
      </w:pPr>
    </w:p>
    <w:p w:rsidR="00BE7FB3" w:rsidRDefault="00BE7FB3" w:rsidP="00BE7FB3">
      <w:pPr>
        <w:pStyle w:val="TextoNormal"/>
      </w:pPr>
      <w:r w:rsidRPr="00BE7FB3">
        <w:rPr>
          <w:rStyle w:val="NumeroAFNegritaCaracter"/>
        </w:rPr>
        <w:t>10</w:t>
      </w:r>
      <w:r>
        <w:t>. El Licenciado en Derecho don José Luis Mazón Costa, mediante escrito registrado el 20 de noviembre de 2012, interpuso recurso de súplica contra la providencia de 12 de noviembre de 2012 alegando que se ha hecho una aplicación aislada del art. 51.2 LOTC que no tiene en cuenta el art. 13 LEC, en que se establece que mientras se halle pendiente un proceso podrá ser admitido como demandante o demandado, quien acredite tener interés directo legítimo en la causa. Por posterior escrito registrado el 23 de noviembre de 2012, se comunica que se ha producido la ratificación de la denuncia presentada por lo que solicita que se acuerde la prejudicialidad penal del recurso de amparo y que se suspenda el procedimiento de amparo en tanto se resuelva sobre la denuncia formulada. Por posterior escrito de 3 de diciembre de 2012, registrado el 4 de diciembre de 2012, se aporta información complementaria sobre procedimiento penal consistente en providencia citando en calidad de imputado a determinas personas.</w:t>
      </w:r>
    </w:p>
    <w:p w:rsidR="00BE7FB3" w:rsidRDefault="00BE7FB3" w:rsidP="00BE7FB3">
      <w:pPr>
        <w:pStyle w:val="TextoNormal"/>
      </w:pPr>
    </w:p>
    <w:p w:rsidR="00BE7FB3" w:rsidRDefault="00BE7FB3" w:rsidP="00BE7FB3">
      <w:pPr>
        <w:pStyle w:val="TextoNormal"/>
      </w:pPr>
      <w:r w:rsidRPr="00BE7FB3">
        <w:rPr>
          <w:rStyle w:val="NumeroAFNegritaCaracter"/>
        </w:rPr>
        <w:t>11</w:t>
      </w:r>
      <w:r>
        <w:t>. La Procuradora de los Tribunales doña Mónica Paloma Fente Delegado, mediante escrito registrado el 16 de noviembre de 2012, interpuso recurso de súplica contra la providencia de 12 de noviembre de 2012 alegando que se ha infringido lo dispuesto en el art. 13 LEC, en el que se establece que mientras se halle pendiente un proceso podrá ser admitido como demandante o demandado, quien acredite tener interés directo legítimo en la causa.</w:t>
      </w:r>
    </w:p>
    <w:p w:rsidR="00BE7FB3" w:rsidRDefault="00BE7FB3" w:rsidP="00BE7FB3">
      <w:pPr>
        <w:pStyle w:val="TextoNormal"/>
      </w:pPr>
    </w:p>
    <w:p w:rsidR="00BE7FB3" w:rsidRDefault="00BE7FB3" w:rsidP="00BE7FB3">
      <w:pPr>
        <w:pStyle w:val="TextoNormal"/>
      </w:pPr>
      <w:r w:rsidRPr="00BE7FB3">
        <w:rPr>
          <w:rStyle w:val="NumeroAFNegritaCaracter"/>
        </w:rPr>
        <w:t>12</w:t>
      </w:r>
      <w:r>
        <w:t>. El Procurador de los Tribunales don Arturo Molina Santiago, mediante escrito registrado el 21 de noviembre de 2012, interpuso recurso de súplica contra la providencia de 12 de noviembre de 2012 alegando que el art. 47.1 LOTC dispone la posibilidad de comparecer en el proceso de amparo con solo ostentar un interés legítimo en el mismo, pero sin exigir que se hubiera sido parte en el proceso judicial previo.</w:t>
      </w:r>
    </w:p>
    <w:p w:rsidR="00BE7FB3" w:rsidRDefault="00BE7FB3" w:rsidP="00BE7FB3">
      <w:pPr>
        <w:pStyle w:val="TextoNormal"/>
      </w:pPr>
    </w:p>
    <w:p w:rsidR="00BE7FB3" w:rsidRDefault="00BE7FB3" w:rsidP="00BE7FB3">
      <w:pPr>
        <w:pStyle w:val="TextoNormal"/>
      </w:pPr>
      <w:r w:rsidRPr="00BE7FB3">
        <w:rPr>
          <w:rStyle w:val="NumeroAFNegritaCaracter"/>
        </w:rPr>
        <w:t>13</w:t>
      </w:r>
      <w:r>
        <w:t>. La Sala Primera de este Tribunal, mediante providencia de 10 de diciembre de 2012, acordó dar traslado a las partes personadas y recurrentes en súplica para que en un plazo común de tres días alegaran lo que estimaran pertinente en relación con los recursos de súplica formulados. Igualmente, se tuvieron por recibidos los escritos presentados por don José Luis Mazón Costa de fechas 12 de noviembre, 23 de noviembre y 3 de diciembre de 2012.</w:t>
      </w:r>
    </w:p>
    <w:p w:rsidR="00BE7FB3" w:rsidRDefault="00BE7FB3" w:rsidP="00BE7FB3">
      <w:pPr>
        <w:pStyle w:val="TextoNormal"/>
      </w:pPr>
    </w:p>
    <w:p w:rsidR="00BE7FB3" w:rsidRDefault="00BE7FB3" w:rsidP="00BE7FB3">
      <w:pPr>
        <w:pStyle w:val="TextoNormal"/>
      </w:pPr>
      <w:r w:rsidRPr="00BE7FB3">
        <w:rPr>
          <w:rStyle w:val="NumeroAFNegritaCaracter"/>
        </w:rPr>
        <w:t>14</w:t>
      </w:r>
      <w:r>
        <w:t xml:space="preserve">. El Abogado del Estado, por escrito registrado el 17 de diciembre de 2012, formuló sus alegaciones, solicitando la desestimación de los recursos, con fundamento en que no resulta de aplicación supletoria las reglas de personación previstas en el art. 13 LEC por existir una norma expresa sobre el particular en el art. 51.2 LOTC que excluye la posibilidad de personación de quienes no hayan sido parte en la vía judicial previa. Igualmente, destaca </w:t>
      </w:r>
      <w:r>
        <w:lastRenderedPageBreak/>
        <w:t>la existencia de doctrina constitucional reiterada respecto de la inexistencia de una acción pública en el recurso de amparo.</w:t>
      </w:r>
    </w:p>
    <w:p w:rsidR="00BE7FB3" w:rsidRDefault="00BE7FB3" w:rsidP="00BE7FB3">
      <w:pPr>
        <w:pStyle w:val="TextoNormal"/>
      </w:pPr>
    </w:p>
    <w:p w:rsidR="00BE7FB3" w:rsidRDefault="00BE7FB3" w:rsidP="00BE7FB3">
      <w:pPr>
        <w:pStyle w:val="TextoNormal"/>
      </w:pPr>
      <w:r w:rsidRPr="00BE7FB3">
        <w:rPr>
          <w:rStyle w:val="NumeroAFNegritaCaracter"/>
        </w:rPr>
        <w:t>15</w:t>
      </w:r>
      <w:r>
        <w:t>. El Licenciado en Derecho don José Luis Mazón Costa, mediante escrito registrado el 17 de diciembre de 2012, presentó sus alegaciones solicitando que fueran estimados los recursos de súplica interpuestos, insistiendo en la aplicabilidad al caso del art. 13 LEC.</w:t>
      </w:r>
    </w:p>
    <w:p w:rsidR="00BE7FB3" w:rsidRDefault="00BE7FB3" w:rsidP="00BE7FB3">
      <w:pPr>
        <w:pStyle w:val="TextoNormal"/>
      </w:pPr>
    </w:p>
    <w:p w:rsidR="00BE7FB3" w:rsidRDefault="00BE7FB3" w:rsidP="00BE7FB3">
      <w:pPr>
        <w:pStyle w:val="TextoNormal"/>
      </w:pPr>
      <w:r w:rsidRPr="00BE7FB3">
        <w:rPr>
          <w:rStyle w:val="NumeroAFNegritaCaracter"/>
        </w:rPr>
        <w:t>16</w:t>
      </w:r>
      <w:r>
        <w:t>. El Procurador de los Tribunales don Julián Caballero Aguado, por escrito registrado el 18 de diciembre de 2012, presentó sus alegaciones solicitando que se rechacen los recursos de súplica interpuestos al ser las providencia impugnadas ajustadas a derecho.</w:t>
      </w:r>
    </w:p>
    <w:p w:rsidR="00BE7FB3" w:rsidRDefault="00BE7FB3" w:rsidP="00BE7FB3">
      <w:pPr>
        <w:pStyle w:val="TextoNormal"/>
      </w:pPr>
    </w:p>
    <w:p w:rsidR="00BE7FB3" w:rsidRDefault="00BE7FB3" w:rsidP="00BE7FB3">
      <w:pPr>
        <w:pStyle w:val="TextoNormal"/>
      </w:pPr>
      <w:r w:rsidRPr="00BE7FB3">
        <w:rPr>
          <w:rStyle w:val="NumeroAFNegritaCaracter"/>
        </w:rPr>
        <w:t>17</w:t>
      </w:r>
      <w:r>
        <w:t>. El Procurador de los Tribunales don Arturo Molina Santiago, mediante escrito registrado el 18 de diciembre de 2012, presentó sus alegaciones adhiriéndose a los escritos de los recursos de súplica formulados por los otros dos recurrentes.</w:t>
      </w:r>
    </w:p>
    <w:p w:rsidR="00BE7FB3" w:rsidRDefault="00BE7FB3" w:rsidP="00BE7FB3">
      <w:pPr>
        <w:pStyle w:val="TextoNormal"/>
      </w:pPr>
    </w:p>
    <w:p w:rsidR="00BE7FB3" w:rsidRDefault="00BE7FB3" w:rsidP="00BE7FB3">
      <w:pPr>
        <w:pStyle w:val="TextoNormal"/>
      </w:pPr>
      <w:r w:rsidRPr="00BE7FB3">
        <w:rPr>
          <w:rStyle w:val="NumeroAFNegritaCaracter"/>
        </w:rPr>
        <w:t>18</w:t>
      </w:r>
      <w:r>
        <w:t>. El Procurador de los Tribunales don Cesáreo Hidalgo Senén, por escrito registrado el 19 de diciembre de 2012, presentó sus alegaciones solicitando que se desestimen los recursos formulados y se confirme la decisión de no tenerlos por personados y parte, con fundamento en que no resulta de aplicación supletoria a la cuestión debatida el art. 13 LEC por existir una norma expresa en el art. 51.2 LOTC.</w:t>
      </w:r>
    </w:p>
    <w:p w:rsidR="00BE7FB3" w:rsidRDefault="00BE7FB3" w:rsidP="00BE7FB3">
      <w:pPr>
        <w:pStyle w:val="TextoNormal"/>
      </w:pPr>
    </w:p>
    <w:p w:rsidR="00BE7FB3" w:rsidRDefault="00BE7FB3" w:rsidP="00BE7FB3">
      <w:pPr>
        <w:pStyle w:val="TextoNormal"/>
      </w:pPr>
      <w:r w:rsidRPr="00BE7FB3">
        <w:rPr>
          <w:rStyle w:val="NumeroAFNegritaCaracter"/>
        </w:rPr>
        <w:t>19</w:t>
      </w:r>
      <w:r>
        <w:t>. El Procurador de los Tribunales don Luis José García Barrenechea, por escrito registrado el 20 de diciembre de 2012, puso en conocimiento del Tribunal la disolución de la asociación recurrente en fecha 15 de octubre de 2012.</w:t>
      </w:r>
    </w:p>
    <w:p w:rsidR="00BE7FB3" w:rsidRDefault="00BE7FB3" w:rsidP="00BE7FB3">
      <w:pPr>
        <w:pStyle w:val="TextoNormal"/>
      </w:pPr>
    </w:p>
    <w:p w:rsidR="00BE7FB3" w:rsidRDefault="00BE7FB3" w:rsidP="00BE7FB3">
      <w:pPr>
        <w:pStyle w:val="TextoNormal"/>
      </w:pPr>
      <w:r w:rsidRPr="00BE7FB3">
        <w:rPr>
          <w:rStyle w:val="NumeroAFNegritaCaracter"/>
        </w:rPr>
        <w:t>20</w:t>
      </w:r>
      <w:r>
        <w:t>. La Procuradora de los Tribunales doña Maria del Carmen Azpeitia Bello, por escrito registrado el 20 de diciembre de 2012, presentó sus alegaciones solicitando que se rechacen los recursos de súplica interpuestos.</w:t>
      </w:r>
    </w:p>
    <w:p w:rsidR="00BE7FB3" w:rsidRDefault="00BE7FB3" w:rsidP="00BE7FB3">
      <w:pPr>
        <w:pStyle w:val="TextoNormal"/>
      </w:pPr>
    </w:p>
    <w:p w:rsidR="00BE7FB3" w:rsidRDefault="00BE7FB3" w:rsidP="00BE7FB3">
      <w:pPr>
        <w:pStyle w:val="TextoNormal"/>
      </w:pPr>
      <w:r w:rsidRPr="00BE7FB3">
        <w:rPr>
          <w:rStyle w:val="NumeroAFNegritaCaracter"/>
        </w:rPr>
        <w:t>21</w:t>
      </w:r>
      <w:r>
        <w:t>. El Ministerio Fiscal, por escrito registrado el 11 de enero de 2013, presentó sus alegaciones, interesando la desestimación de los recursos, con fundamento en que la intervención adhesiva al lado del demandante de amparo exige la concurrencia del requisito de haber sido parte en el proceso judicial correspondiente, no siendo aplicable al caso lo previsto en el art. 47.1 LOTC que se refiere exclusivamente a la posibilidad de comparecer como demandado o coadyuvante de éste.</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Los recursos de súplica interpuestos contra las providencias de 12 de noviembre de 2012, por las que se denegó la personación a diversos solicitantes por no cumplir ninguno de ellos la exigencia prevista en el art. 51.2 de la Ley Orgánica del Tribunal Constitucional (LOTC) de que hubiera sido parte en el proceso judicial que trae causa a este recurso de amparo, deben ser desestimados.</w:t>
      </w:r>
    </w:p>
    <w:p w:rsidR="00BE7FB3" w:rsidRDefault="00BE7FB3" w:rsidP="00BE7FB3">
      <w:pPr>
        <w:pStyle w:val="TextoNormal"/>
      </w:pPr>
    </w:p>
    <w:p w:rsidR="00BE7FB3" w:rsidRDefault="00BE7FB3" w:rsidP="00BE7FB3">
      <w:pPr>
        <w:pStyle w:val="TextoNormal"/>
      </w:pPr>
      <w:r>
        <w:lastRenderedPageBreak/>
        <w:t>Este Tribunal ha reiterado que la supletoriedad prevista en el art. 80 LOTC sólo cabe aplicarse en defecto de una específica previsión o regulación en dicha Ley Orgánica o en los acuerdos adoptados por el Tribunal en ejercicio de sus específicas competencias y que esta aplicación supletoria sólo será posible en la medida en que no vaya contra la Ley Orgánica y sus principios inspiradores (por todas, STC 230/2006, de 17 de julio, FJ 2). En atención a ello, la invocación que hacen los recurrentes en súplica a la aplicabilidad del art. 13.1 de la Ley de enjuiciamiento civil (LEC) al procedimiento de amparo no puede ser atendida. No sólo es que la Ley Orgánica del Tribunal Constitucional cuente con una detallada regulación sobre la capacidad para comparecer en el recurso de amparo como coadyuvante, sino que, además, el citado art. 13.1 LEC regula un supuesto distinto al que ahora es objeto de debate, ya que se refiere a la posibilidad de comparecer como demandante o demandado, pero no como parte coadyuvante.</w:t>
      </w:r>
    </w:p>
    <w:p w:rsidR="00BE7FB3" w:rsidRDefault="00BE7FB3" w:rsidP="00BE7FB3">
      <w:pPr>
        <w:pStyle w:val="TextoNormal"/>
      </w:pPr>
    </w:p>
    <w:p w:rsidR="00BE7FB3" w:rsidRDefault="00BE7FB3" w:rsidP="00BE7FB3">
      <w:pPr>
        <w:pStyle w:val="TextoNormal"/>
      </w:pPr>
      <w:r>
        <w:t>Del mismo modo, tampoco cabe aceptar la eventual aplicación a este caso de las previsiones de los arts. 46.2 y 47.1 LOTC, toda vez que, tal como ya ha puesto de manifiesto este Tribunal (así, ATC 146/1996, de 10 de junio), lo que contemplan explícitamente dichos preceptos son los supuestos de comparecencias, el primero, de los posibles agraviados en los supuestos de recursos de amparo promovidos por el Defensor del Pueblo o el Ministerio Fiscal y, el segundo, de coadyuvancia del demandado, lo que no es el caso ahora debatido.</w:t>
      </w:r>
    </w:p>
    <w:p w:rsidR="00BE7FB3" w:rsidRDefault="00BE7FB3" w:rsidP="00BE7FB3">
      <w:pPr>
        <w:pStyle w:val="TextoNormal"/>
      </w:pPr>
    </w:p>
    <w:p w:rsidR="00BE7FB3" w:rsidRDefault="00BE7FB3" w:rsidP="00BE7FB3">
      <w:pPr>
        <w:pStyle w:val="TextoNormal"/>
      </w:pPr>
      <w:r>
        <w:t>Por tanto, debe reiterarse que el art. 51.2 LOTC, si bien establece la posibilidad de que puedan comparecer en el procedimiento de amparo personas distintas al demandante, establece el doble condicionamiento de que quien pretenda comparecer haya sido parte en el procedimiento antecedente y que lo haga en un plazo de diez días desde que fuera emplazado para ello. De ese modo, este Tribunal ya ha rechazado en ocasiones precedentes que puedan comparecer en el recurso de amparo quienes no hayan sido parte en el proceso antecedente, incluso alegando un concreto interés legítimo, poniendo de manifiesto que el alcance de las normas rectoras del proceso constitucional de amparo, como la consignada en el citado art. 51.2 LOTC, ha de ser aplicado de manera estricta en atención al tenor literal de las mismas y por su carácter de derecho necesario afectante al orden público procesal, de modo tal que “no consiente, por no cohonestarse con su esencia, interpretaciones analógicas que redunden, por su carácter expansivo, en una indebida ampliación del ámbito a que presta cobertura el enunciado normativo” (AATC 188/1996, de 8 de julio, FJ 3, y 81/1998, de 30 de marzo, FJ 3).</w:t>
      </w:r>
    </w:p>
    <w:p w:rsidR="00BE7FB3" w:rsidRDefault="00BE7FB3" w:rsidP="00BE7FB3">
      <w:pPr>
        <w:pStyle w:val="TextoNormal"/>
      </w:pPr>
    </w:p>
    <w:p w:rsidR="00BE7FB3" w:rsidRDefault="00BE7FB3" w:rsidP="00BE7FB3">
      <w:pPr>
        <w:pStyle w:val="TextoNormal"/>
      </w:pPr>
      <w:r>
        <w:t>La desestimación de los recursos de súplica determina el carácter firme e irrecurrible de las decisiones de no tener por personados a los solicitantes en este procedimiento de amparo a ningún efecto, por lo que este Tribunal tampoco puede pronunciarse sobre ningún otro tipo de pedimento realizado por quienes han visto rechazada la posibilidad misma de ser parte.</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 xml:space="preserve">Desestimar los recursos de súplica interpuestos por la Procuradora de los Tribunales doña Mónica Paloma Fente Delegado, en nombre y representación del partido político Soberanía de la Razón; el Licenciado en Derecho don José Luis Mazón Costa; y el Procurador de los </w:t>
      </w:r>
      <w:r>
        <w:lastRenderedPageBreak/>
        <w:t>Tribunales don Arturo Molina Santiago, en nombre y representación del Licenciado en Derecho don Eduardo Martín-Duarte Rosa, contra sendas providencias de 12 de noviembre de 2012.</w:t>
      </w:r>
    </w:p>
    <w:p w:rsidR="00BE7FB3" w:rsidRDefault="00BE7FB3" w:rsidP="00BE7FB3">
      <w:pPr>
        <w:pStyle w:val="TextoNormal"/>
      </w:pPr>
    </w:p>
    <w:p w:rsidR="00BE7FB3" w:rsidRDefault="00BE7FB3" w:rsidP="00BE7FB3">
      <w:pPr>
        <w:pStyle w:val="TextoNormal"/>
      </w:pPr>
      <w:r>
        <w:t>Madrid, a veinticinco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89" w:name="AUTO_2013_48"/>
      <w:r>
        <w:lastRenderedPageBreak/>
        <w:t>AUTO 48/2013, de 25 de febrero de 2013</w:t>
      </w:r>
    </w:p>
    <w:bookmarkEnd w:id="189"/>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ECLI:ES:TC:2013:48A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el desistimiento en el recurso de amparo 956-2008, promovido por la Asociación para la defensa de inversores y clientes en causa penal.</w:t>
      </w:r>
    </w:p>
    <w:p w:rsidR="00BE7FB3" w:rsidRDefault="00BE7FB3" w:rsidP="00BE7FB3">
      <w:pPr>
        <w:pStyle w:val="SntesisDescriptiva"/>
      </w:pPr>
    </w:p>
    <w:p w:rsidR="00BE7FB3" w:rsidRDefault="00BE7FB3" w:rsidP="00BE7FB3">
      <w:pPr>
        <w:pStyle w:val="SntesisAnaltica"/>
      </w:pPr>
      <w:r>
        <w:t>Desistimiento de recurso de amparo: procede.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4 de febrero de 2008, el Procurador de los Tribunales don Luis José García Barrenechea, en nombre y representación de la asociación para la defensa de inversores y clientes, y bajo la dirección del Letrado don Virgilio Iván Hernández Urraburu, interpuso recurso de amparo contra la Sentencia de la Sala de lo Penal del Tribunal Supremo núm. 1045/2007, de 17 de diciembre, por la que se desestima el recurso de casación núm. 315-2007 interpuesto contra el Auto de la Sección Primera de la Sala de lo Penal de la Audiencia Nacional de 20 de diciembre de 2006, dictado en el rollo núm. 4-2006, en el que se acuerda el sobreseimiento libre de las actuaciones.</w:t>
      </w:r>
    </w:p>
    <w:p w:rsidR="00BE7FB3" w:rsidRDefault="00BE7FB3" w:rsidP="00BE7FB3">
      <w:pPr>
        <w:pStyle w:val="TextoNormal"/>
      </w:pPr>
    </w:p>
    <w:p w:rsidR="00BE7FB3" w:rsidRDefault="00BE7FB3" w:rsidP="00BE7FB3">
      <w:pPr>
        <w:pStyle w:val="TextoNormal"/>
      </w:pPr>
      <w:r w:rsidRPr="00BE7FB3">
        <w:rPr>
          <w:rStyle w:val="NumeroAFNegritaCaracter"/>
        </w:rPr>
        <w:t>2</w:t>
      </w:r>
      <w:r>
        <w:t>. La Sala Primera de este Tribunal, por providencia de 18 de octubre de 2010, acordó admitir a trámite la demanda de amparo y dirigir atenta comunicación a los órganos judiciales para la remisión de copia testimoniada de las actuaciones y el emplazamiento a quienes hubieran sido parte en este procedimiento para que pudieran comparecer en el mismo.</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La Secretaría de Justicia de la Sala Primera de este Tribunal, por diligencia de ordenación de 10 de enero de 2012, tuvo por recibido testimonio de las actuaciones y por personados al Abogado del Estado; al Procurador de los Tribunales don José Luis Pinto Marabotto, en nombre y representación de don Francisco Edo Cuevas; a la Procuradora de los Tribunales doña Esther Rodríguez Pérez, en nombre y representación de la federación de partidos políticos Iniciativa per Catalunya-Verds; al Procurador de los Tribunales don Cesáreo Hidalgo Senén, en nombre y representación de don Emilio Botín-Sanz de Sautuola y García de los Rios, don Rodrigo Echenique Gordillo, don José Ignacio Ucles Romero y don Ricardo Alonso Clavel; a la Procuradora de los Tribunales doña Teresa Castro Rodríguez, en nombre y representación de don Gabriel Murias Murias; a la Procuradora de los Tribunales doña Carmen Azpeitia Bello, en nombre y representación de don Andrés Roig Pol; al Procurador de los Tribunales don Julián Caballero Aguado, en nombre y representación de don Guillermo Pol Ferrer; a la Procuradora de los Tribunales doña Amparo Alonso León, en nombre </w:t>
      </w:r>
      <w:r>
        <w:lastRenderedPageBreak/>
        <w:t>y representación de don Francisco Javier Goñi Arruabarrena; al Procurador de los Tribunales don Carlos José Navarro Gutiérrez, en nombre y representación de don Juan Antonio Peraza Marrero; y a la Procuradora de los Tribunales doña María Dolores Ortega Agudelo, en nombre y representación de don Antonio Saavedra Ramos. Igualmente, se acordó, a tenor del art. 52 de la Ley Orgánica del Tribunal Constitucional (LOTC), dar vista de las actuaciones al Ministerio Fiscal y a las partes personadas por plazo común de veinte días para que pudieran presentar las alegaciones que estimasen pertinentes.</w:t>
      </w:r>
    </w:p>
    <w:p w:rsidR="00BE7FB3" w:rsidRDefault="00BE7FB3" w:rsidP="00BE7FB3">
      <w:pPr>
        <w:pStyle w:val="TextoNormal"/>
      </w:pPr>
    </w:p>
    <w:p w:rsidR="00BE7FB3" w:rsidRDefault="00BE7FB3" w:rsidP="00BE7FB3">
      <w:pPr>
        <w:pStyle w:val="TextoNormal"/>
      </w:pPr>
      <w:r w:rsidRPr="00BE7FB3">
        <w:rPr>
          <w:rStyle w:val="NumeroAFNegritaCaracter"/>
        </w:rPr>
        <w:t>4</w:t>
      </w:r>
      <w:r>
        <w:t>. La Secretaría de Justicia de la Sala Primera de este Tribunal, mediante diligencia de 8 de marzo de 2012, hizo constar haberse recibido diversos escritos de alegaciones formulados de conformidad con el art. 52 LOTC y que el presente recurso de amparo quedaba pendiente para deliberación cuando por turno correspondiera.</w:t>
      </w:r>
    </w:p>
    <w:p w:rsidR="00BE7FB3" w:rsidRDefault="00BE7FB3" w:rsidP="00BE7FB3">
      <w:pPr>
        <w:pStyle w:val="TextoNormal"/>
      </w:pPr>
    </w:p>
    <w:p w:rsidR="00BE7FB3" w:rsidRDefault="00BE7FB3" w:rsidP="00BE7FB3">
      <w:pPr>
        <w:pStyle w:val="TextoNormal"/>
      </w:pPr>
      <w:r w:rsidRPr="00BE7FB3">
        <w:rPr>
          <w:rStyle w:val="NumeroAFNegritaCaracter"/>
        </w:rPr>
        <w:t>5</w:t>
      </w:r>
      <w:r>
        <w:t>. La asociación demandante de amparo, mediante escrito registrado en este Tribunal el 24 de septiembre de 2012, solicitó que se la tuviera como apartada y desistida del presente recurso de amparo, adjuntando poder especial al efecto.</w:t>
      </w:r>
    </w:p>
    <w:p w:rsidR="00BE7FB3" w:rsidRDefault="00BE7FB3" w:rsidP="00BE7FB3">
      <w:pPr>
        <w:pStyle w:val="TextoNormal"/>
      </w:pPr>
    </w:p>
    <w:p w:rsidR="00BE7FB3" w:rsidRDefault="00BE7FB3" w:rsidP="00BE7FB3">
      <w:pPr>
        <w:pStyle w:val="TextoNormal"/>
      </w:pPr>
      <w:r w:rsidRPr="00BE7FB3">
        <w:rPr>
          <w:rStyle w:val="NumeroAFNegritaCaracter"/>
        </w:rPr>
        <w:t>6</w:t>
      </w:r>
      <w:r>
        <w:t>. La Secretaría de Justicia de la Sala Primera de este Tribunal, mediante diligencia de ordenación de 25 de septiembre de 2012, acordó dar vista del escrito de desistimiento al Ministerio Fiscal y demás partes personadas a fin de que en el plazo de tres días formularan las alegaciones que estimaran pertinentes.</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por escrito registrado el 28 de septiembre de 2012, formuló alegaciones haciendo constar que nada tiene que oponer al desistimiento de la parte actora.</w:t>
      </w:r>
    </w:p>
    <w:p w:rsidR="00BE7FB3" w:rsidRDefault="00BE7FB3" w:rsidP="00BE7FB3">
      <w:pPr>
        <w:pStyle w:val="TextoNormal"/>
      </w:pPr>
    </w:p>
    <w:p w:rsidR="00BE7FB3" w:rsidRDefault="00BE7FB3" w:rsidP="00BE7FB3">
      <w:pPr>
        <w:pStyle w:val="TextoNormal"/>
      </w:pPr>
      <w:r w:rsidRPr="00BE7FB3">
        <w:rPr>
          <w:rStyle w:val="NumeroAFNegritaCaracter"/>
        </w:rPr>
        <w:t>8</w:t>
      </w:r>
      <w:r>
        <w:t>. El Procurador de los Tribunales don Cesáreo Hidalgo Senén, por escrito registrado el 3 de octubre de 2012, presentó sus alegaciones solicitando que se acuerde tener por desistida a la asociación recurrente.</w:t>
      </w:r>
    </w:p>
    <w:p w:rsidR="00BE7FB3" w:rsidRDefault="00BE7FB3" w:rsidP="00BE7FB3">
      <w:pPr>
        <w:pStyle w:val="TextoNormal"/>
      </w:pPr>
    </w:p>
    <w:p w:rsidR="00BE7FB3" w:rsidRDefault="00BE7FB3" w:rsidP="00BE7FB3">
      <w:pPr>
        <w:pStyle w:val="TextoNormal"/>
      </w:pPr>
      <w:r w:rsidRPr="00BE7FB3">
        <w:rPr>
          <w:rStyle w:val="NumeroAFNegritaCaracter"/>
        </w:rPr>
        <w:t>9</w:t>
      </w:r>
      <w:r>
        <w:t>. La Procuradora de los Tribunales doña María del Carmen Azpeitia Bello, por escrito registrado el 4 de octubre de 2012, presentó sus alegaciones solicitando que se acuerde tener por desistida a la asociación recurrente con imposición de costas.</w:t>
      </w:r>
    </w:p>
    <w:p w:rsidR="00BE7FB3" w:rsidRDefault="00BE7FB3" w:rsidP="00BE7FB3">
      <w:pPr>
        <w:pStyle w:val="TextoNormal"/>
      </w:pPr>
    </w:p>
    <w:p w:rsidR="00BE7FB3" w:rsidRDefault="00BE7FB3" w:rsidP="00BE7FB3">
      <w:pPr>
        <w:pStyle w:val="TextoNormal"/>
      </w:pPr>
      <w:r w:rsidRPr="00BE7FB3">
        <w:rPr>
          <w:rStyle w:val="NumeroAFNegritaCaracter"/>
        </w:rPr>
        <w:t>10</w:t>
      </w:r>
      <w:r>
        <w:t>. El Ministerio Fiscal, por escrito registrado el 23 de octubre de 2012, presentó sus alegaciones haciendo constar que no concurriendo interés público que justifique la continuación del procedimiento no se opone a que se acuerde el desistimiento.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art. 86.1 de la Ley Orgánica del Tribunal Constitucional (LOTC) prevé expresamente el desistimiento como una de las formas de terminación del recurso de amparo, al que, como ha reiterado este Tribunal, resulta de aplicación supletoria la legislación procesal ordinaria, de conformidad con el art. 80 LOTC (por todos, ATC 164/2012, de 17 de septiembre).</w:t>
      </w:r>
    </w:p>
    <w:p w:rsidR="00BE7FB3" w:rsidRDefault="00BE7FB3" w:rsidP="00BE7FB3">
      <w:pPr>
        <w:pStyle w:val="TextoNormal"/>
      </w:pPr>
    </w:p>
    <w:p w:rsidR="00BE7FB3" w:rsidRDefault="00BE7FB3" w:rsidP="00BE7FB3">
      <w:pPr>
        <w:pStyle w:val="TextoNormal"/>
      </w:pPr>
      <w:r>
        <w:lastRenderedPageBreak/>
        <w:t>En el presente caso, la solicitud de desistimiento formulada por la asociación demandante en amparo aparece revestida de los requisitos legales. Por otro lado, no existe oposición de ninguna de las partes comparecidas en este procedimiento y tampoco cabe apreciar perjuicio de parte ni daño para el interés general o público.</w:t>
      </w:r>
    </w:p>
    <w:p w:rsidR="00BE7FB3" w:rsidRDefault="00BE7FB3" w:rsidP="00BE7FB3">
      <w:pPr>
        <w:pStyle w:val="TextoNormal"/>
      </w:pPr>
    </w:p>
    <w:p w:rsidR="00BE7FB3" w:rsidRDefault="00BE7FB3" w:rsidP="00BE7FB3">
      <w:pPr>
        <w:pStyle w:val="TextoNormal"/>
      </w:pPr>
      <w:r>
        <w:t>Por tanto, resulta procedente acceder a la voluntad de la parte recurrente de desistir de presente proceso de amparo con la consecuencia del archivo de las actuaciones.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Tener por desistido del presente recurso de amparo a la asociación para la defensa de inversores y clientes y archivar las presentes actuaciones.</w:t>
      </w:r>
    </w:p>
    <w:p w:rsidR="00BE7FB3" w:rsidRDefault="00BE7FB3" w:rsidP="00BE7FB3">
      <w:pPr>
        <w:pStyle w:val="TextoNormal"/>
      </w:pPr>
    </w:p>
    <w:p w:rsidR="00BE7FB3" w:rsidRDefault="00BE7FB3" w:rsidP="00BE7FB3">
      <w:pPr>
        <w:pStyle w:val="TextoNormal"/>
      </w:pPr>
      <w:r>
        <w:t>Madrid, a veinticinco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90" w:name="AUTO_2013_49"/>
      <w:r>
        <w:lastRenderedPageBreak/>
        <w:t>AUTO 49/2013, de 25 de febrero de 2013</w:t>
      </w:r>
    </w:p>
    <w:bookmarkEnd w:id="190"/>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ECLI:ES:TC:2013:49A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y don Francisco Pérez de los Cobos Orihuel.</w:t>
      </w:r>
    </w:p>
    <w:p w:rsidR="00BE7FB3" w:rsidRDefault="00BE7FB3" w:rsidP="00BE7FB3">
      <w:pPr>
        <w:pStyle w:val="SntesisDescriptiva"/>
      </w:pPr>
    </w:p>
    <w:p w:rsidR="00BE7FB3" w:rsidRDefault="00BE7FB3" w:rsidP="00BE7FB3">
      <w:pPr>
        <w:pStyle w:val="SntesisDescriptiva"/>
      </w:pPr>
      <w:r>
        <w:t>Acepta una abstención en el recurso de amparo 6237-2011, promovido por doña Susana Pérez-Alonso García-Scheredre en pleito civil.</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En fecha 17 de noviembre de 2011, la Procuradora de los Tribunales, doña Isabel Juliá Corujo, en nombre y representación de doña Susana Pérez-Alonso García-Scheredre, interpuso recurso de amparo contra la Sentencia de 27 de septiembre de 2011, dictada en el recurso de casación 805-2008, sobre derechos fundamentales, por la Sala de lo Civil de Tribunal Supremo.</w:t>
      </w:r>
    </w:p>
    <w:p w:rsidR="00BE7FB3" w:rsidRDefault="00BE7FB3" w:rsidP="00BE7FB3">
      <w:pPr>
        <w:pStyle w:val="TextoNormal"/>
      </w:pPr>
    </w:p>
    <w:p w:rsidR="00BE7FB3" w:rsidRDefault="00BE7FB3" w:rsidP="00BE7FB3">
      <w:pPr>
        <w:pStyle w:val="TextoNormal"/>
      </w:pPr>
      <w:r w:rsidRPr="00BE7FB3">
        <w:rPr>
          <w:rStyle w:val="NumeroAFNegritaCaracter"/>
        </w:rPr>
        <w:t>2</w:t>
      </w:r>
      <w:r>
        <w:t>. Habiendo correspondido el conocimiento del recurso de amparo a la Sala Segunda de este Tribunal Constitucional, mediante escrito fechado el 13 de febrero de 2013 la Excma. Sra. doña Encarnación Roca Trías expresó que en su anterior condición de Magistrada del Tribunal Supremo formó parte de la Sala que dictó el Auto impugnado en el presente proceso de amparo; y que era por ello que entendía que el referido hecho pudiera integrar la causa de abstención 11 del art. 219 de la Ley Orgánica del Poder Judicial, en relación con el art. 80 de la Ley Orgánica del Tribunal Constitucional.</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la Excma. Sra. doña Encarnación Roca Trías, Magistrada de este Tribunal, en virtud de lo previsto en los arts. 80 de la Ley Orgánica del Tribunal Constitucional y 221.4 de la Ley Orgánica del Poder Judicial (LOPJ) procede estimar justificada la causa de abstención formulada, puesto que la mencionada Magistrada, en atención a haber formado parte del órgano judicial que dictó las resoluciones impugnadas en amparo, está incursa en la causa 11 del art. 219 LOPJ.</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lastRenderedPageBreak/>
        <w:t>ACUERDA</w:t>
      </w:r>
    </w:p>
    <w:p w:rsidR="00BE7FB3" w:rsidRDefault="00BE7FB3" w:rsidP="00BE7FB3">
      <w:pPr>
        <w:pStyle w:val="TextoNormalCentrado"/>
      </w:pPr>
    </w:p>
    <w:p w:rsidR="00BE7FB3" w:rsidRDefault="00BE7FB3" w:rsidP="00BE7FB3">
      <w:pPr>
        <w:pStyle w:val="TextoNormal"/>
      </w:pPr>
      <w:r>
        <w:t>Estimar justificada la abstención formulada por la Magistrada Excma. Sra. doña Encarnación Roca Trías en el recurso de amparo núm. 6237-2011, apartándole definitivamente del conocimiento del mismo.</w:t>
      </w:r>
    </w:p>
    <w:p w:rsidR="00BE7FB3" w:rsidRDefault="00BE7FB3" w:rsidP="00BE7FB3">
      <w:pPr>
        <w:pStyle w:val="TextoNormal"/>
      </w:pPr>
    </w:p>
    <w:p w:rsidR="00BE7FB3" w:rsidRDefault="00BE7FB3" w:rsidP="00BE7FB3">
      <w:pPr>
        <w:pStyle w:val="TextoNormal"/>
      </w:pPr>
      <w:r>
        <w:t>Madrid, a veinticinco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91" w:name="AUTO_2013_50"/>
      <w:r>
        <w:lastRenderedPageBreak/>
        <w:t>AUTO 50/2013, de 25 de febrero de 2013</w:t>
      </w:r>
    </w:p>
    <w:bookmarkEnd w:id="191"/>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ECLI:ES:TC:2013:50A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2219-2012, planteada por la Sala de lo Contencioso-Administrativo del Tribunal Superior de Justicia de Madrid en relación con el apartado 7 del artículo 16.2 b) de la Ley 20/1998, de 27 de noviembre, de ordenación y coordinación de los transportes urbanos de la Comunidad de Madrid.</w:t>
      </w:r>
    </w:p>
    <w:p w:rsidR="00BE7FB3" w:rsidRDefault="00BE7FB3" w:rsidP="00BE7FB3">
      <w:pPr>
        <w:pStyle w:val="SntesisDescriptiva"/>
      </w:pPr>
    </w:p>
    <w:p w:rsidR="00BE7FB3" w:rsidRDefault="00BE7FB3" w:rsidP="00BE7FB3">
      <w:pPr>
        <w:pStyle w:val="SntesisAnaltica"/>
      </w:pPr>
      <w:r>
        <w:t>Cuestión de inconstitucionalidad: extinción de cuestión de inconstitucionalidad;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17 de abril de 2012 tuvo entrada en el Registro General de este Tribunal oficio de la Sección Segunda de la Sala de lo Contencioso-Administrativo del Tribunal Superior de Justicia de Madrid, al que se acompaña, junto con el testimonio del recurso de apelación núm. 644-2010 que se tramita ante dicha Sala, el Auto de 21 de febrero de 2012, por el que se acuerda plantear cuestión de inconstitucionalidad respecto del apartado 7 del art. 16.2 b) de la Ley 20/1998, de 27 de noviembre, de ordenación y coordinación de los transportes urbanos de la Comunidad de Madrid, por posible vulneración del art. 25.1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de los que trae causa la presente cuestión de inconstitucionalidad son, sucintamente expuestos, los siguientes:</w:t>
      </w:r>
    </w:p>
    <w:p w:rsidR="00BE7FB3" w:rsidRDefault="00BE7FB3" w:rsidP="00BE7FB3">
      <w:pPr>
        <w:pStyle w:val="TextoNormal"/>
      </w:pPr>
    </w:p>
    <w:p w:rsidR="00BE7FB3" w:rsidRDefault="00BE7FB3" w:rsidP="00BE7FB3">
      <w:pPr>
        <w:pStyle w:val="TextoNormal"/>
      </w:pPr>
      <w:r>
        <w:t>a) Por Decreto de 22 de enero de 2008 (confirmado en reposición por resolución de 22 de octubre de 2008), el Delegado de Área de Gobierno de Seguridad y Movilidad del Ayuntamiento de Madrid impuso una sanción de 2.000 euros a un taxista, con suspensión de la licencia de auto-taxi durante seis meses, por esperar y recoger viajeros fuera de la parada oficial; lo que constituye infracción administrativa conforme al art. 16 de la Ley 20/1998, de 27 de noviembre, de ordenación y coordinación de los transportes urbanos de la Comunidad de Madrid, en relación con el art. 60 b) 7 del Decreto 74/2005, de 28 de julio, por el que se aprueba el Reglamento de los servicios de transporte público urbano en automóviles de turismo.</w:t>
      </w:r>
    </w:p>
    <w:p w:rsidR="00BE7FB3" w:rsidRDefault="00BE7FB3" w:rsidP="00BE7FB3">
      <w:pPr>
        <w:pStyle w:val="TextoNormal"/>
      </w:pPr>
    </w:p>
    <w:p w:rsidR="00BE7FB3" w:rsidRDefault="00BE7FB3" w:rsidP="00BE7FB3">
      <w:pPr>
        <w:pStyle w:val="TextoNormal"/>
      </w:pPr>
      <w:r>
        <w:t>b) Contra las referidas resoluciones el interesado interpuso recurso contencioso-administrativo, que fue desestimado por Sentencia de 8 de marzo de 2010 del Juzgado de lo Contencioso-Administrativo núm. 27 de Madrid.</w:t>
      </w:r>
    </w:p>
    <w:p w:rsidR="00BE7FB3" w:rsidRDefault="00BE7FB3" w:rsidP="00BE7FB3">
      <w:pPr>
        <w:pStyle w:val="TextoNormal"/>
      </w:pPr>
    </w:p>
    <w:p w:rsidR="00BE7FB3" w:rsidRDefault="00BE7FB3" w:rsidP="00BE7FB3">
      <w:pPr>
        <w:pStyle w:val="TextoNormal"/>
      </w:pPr>
      <w:r>
        <w:t>c) La Sentencia fue recurrida en apelación (recurso núm. 644-2010). La Sección Segunda de la Sala de lo Contencioso-Administrativo del Tribunal Superior de Justicia de Madrid, por providencia de 28 de octubre de 2011, otorgó un plazo de diez días a las partes y al Ministerio Fiscal para efectuar alegaciones sobre la pertinencia de plantear cuestión de inconstitucionalidad (art. 35.2 de la Ley Orgánica del Tribunal Constitucional: LOTC) en relación con el apartado 7 del art. 16.2 b) de la Ley 20/1998, de 27 de noviembre, de ordenación y coordinación de los transportes urbanos de la Comunidad de Madrid, al considerar que este precepto podría vulnerar el principio de legalidad sancionadora (art. 25.1 CE).</w:t>
      </w:r>
    </w:p>
    <w:p w:rsidR="00BE7FB3" w:rsidRDefault="00BE7FB3" w:rsidP="00BE7FB3">
      <w:pPr>
        <w:pStyle w:val="TextoNormal"/>
      </w:pPr>
    </w:p>
    <w:p w:rsidR="00BE7FB3" w:rsidRDefault="00BE7FB3" w:rsidP="00BE7FB3">
      <w:pPr>
        <w:pStyle w:val="TextoNormal"/>
      </w:pPr>
      <w:r>
        <w:t>El Letrado del Ayuntamiento de Madrid formuló alegaciones aduciendo que, en su opinión, no procedía plantear la cuestión de inconstitucionalidad. Por el contrario, el Ministerio Fiscal estimó pertinente su planteamiento. La parte recurrente no formuló alegaciones.</w:t>
      </w:r>
    </w:p>
    <w:p w:rsidR="00BE7FB3" w:rsidRDefault="00BE7FB3" w:rsidP="00BE7FB3">
      <w:pPr>
        <w:pStyle w:val="TextoNormal"/>
      </w:pPr>
    </w:p>
    <w:p w:rsidR="00BE7FB3" w:rsidRDefault="00BE7FB3" w:rsidP="00BE7FB3">
      <w:pPr>
        <w:pStyle w:val="TextoNormal"/>
      </w:pPr>
      <w:r w:rsidRPr="00BE7FB3">
        <w:rPr>
          <w:rStyle w:val="NumeroAFNegritaCaracter"/>
        </w:rPr>
        <w:t>3</w:t>
      </w:r>
      <w:r>
        <w:t>. Por Auto 21 de febrero de 2012, la Sección Segunda de la Sala de lo Contencioso-Administrativo del Tribunal Superior de Justicia de la Comunidad de Madrid acordó plantear la presente cuestión de inconstitucionalidad respecto del apartado 7 del art. 16.2 b) de la Ley 20/1998, de 27 de noviembre, de ordenación y coordinación de los transportes urbanos de la Comunidad de Madrid.</w:t>
      </w:r>
    </w:p>
    <w:p w:rsidR="00BE7FB3" w:rsidRDefault="00BE7FB3" w:rsidP="00BE7FB3">
      <w:pPr>
        <w:pStyle w:val="TextoNormal"/>
      </w:pPr>
    </w:p>
    <w:p w:rsidR="00BE7FB3" w:rsidRDefault="00BE7FB3" w:rsidP="00BE7FB3">
      <w:pPr>
        <w:pStyle w:val="TextoNormal"/>
      </w:pPr>
      <w:r>
        <w:t xml:space="preserve">El órgano judicial, invocando la doctrina de las SSTC 341/1993, de 18 de noviembre, y 26/2005, de 14 de febrero, considera que el precepto cuestionado vulnera el principio de legalidad sancionadora establecido en el art. 25.1 CE, en cuanto que efectúa una remisión en blanco a un reglamento para la configuración </w:t>
      </w:r>
      <w:r w:rsidRPr="00BE7FB3">
        <w:rPr>
          <w:i/>
        </w:rPr>
        <w:t>ex novo</w:t>
      </w:r>
      <w:r>
        <w:t xml:space="preserve"> de obligaciones o prohibiciones cuya contravención da origen a una infracción sancionable; en efecto, el inciso inicial del referido art. 16.2 b) dispone que “tendrá la consideración de infracción grave el incumplimiento de las condiciones esenciales de la licencia, salvo que deba considerarse como infracción muy grave”, y establece seguidamente —en el apartado 7 del mismo precepto— que entre esas condiciones esenciales se incluirán, además de las expresamente previstas en el mismo precepto, “cualesquiera otras que puedan establecerse reglamentariamente”.</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providencia de 22 de mayo de 2012 el Pleno del Tribunal Constitucional acordó admitir a trámite la cuestión de inconstitucionalidad y deferir el conocimiento de la misma a la Sala Primera, a la que por turno objetivo le había correspondido; a la vez, de conformidad con el art. 37.3 LOTC, dar traslado de las actuaciones recibidas al Congreso de los Diputados, al Senado, al Gobierno y al Fiscal General del Estado, así como al Gobierno y a la Asamblea de la Comunidad de Madrid, al objeto de que, en el improrrogable plazo de quince días, pudieran personarse y formular las alegaciones que estimaran convenientes. De igual modo, acordó comunicar la providencia a la Sección Segunda de la Sala de lo Contencioso-Administrativo del Tribunal Superior de Justicia de Madrid a los efectos previstos en el art. 35.3 LOTC y publicar la incoación de la cuestión en el “Boletín Oficial del Estado” y en el “Boletín Oficial de la Comunidad de Madrid”.</w:t>
      </w:r>
    </w:p>
    <w:p w:rsidR="00BE7FB3" w:rsidRDefault="00BE7FB3" w:rsidP="00BE7FB3">
      <w:pPr>
        <w:pStyle w:val="TextoNormal"/>
      </w:pPr>
    </w:p>
    <w:p w:rsidR="00BE7FB3" w:rsidRDefault="00BE7FB3" w:rsidP="00BE7FB3">
      <w:pPr>
        <w:pStyle w:val="TextoNormal"/>
      </w:pPr>
      <w:r w:rsidRPr="00BE7FB3">
        <w:rPr>
          <w:rStyle w:val="NumeroAFNegritaCaracter"/>
        </w:rPr>
        <w:t>5</w:t>
      </w:r>
      <w:r>
        <w:t>. El Presidente del Senado, mediante escrito registrado en este Tribunal el 6 de junio de 2012, comunicó que dicha Cámara había adoptado el acuerdo de personarse en el proceso,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6</w:t>
      </w:r>
      <w:r>
        <w:t>. El Presidente del Congreso de los Diputados, mediante escrito registrado en este Tribunal el 8 de junio de 2012, comunicó a su vez que la Cámara había adoptado el acuerdo de personarse en el proceso,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por escrito presentado en el Registro General de este Tribunal el 13 de junio de 2012, se personó y formuló alegaciones, interesando la desestimación de la presente cuestión, por entender que la colaboración del reglamento para deslindar condiciones esenciales y no esenciales de las licencias o autorizaciones de auto-taxi reguladas por la Ley de la Asamblea de Madrid 20/1998 no vulnera el art. 25.1 CE.</w:t>
      </w:r>
    </w:p>
    <w:p w:rsidR="00BE7FB3" w:rsidRDefault="00BE7FB3" w:rsidP="00BE7FB3">
      <w:pPr>
        <w:pStyle w:val="TextoNormal"/>
      </w:pPr>
    </w:p>
    <w:p w:rsidR="00BE7FB3" w:rsidRDefault="00BE7FB3" w:rsidP="00BE7FB3">
      <w:pPr>
        <w:pStyle w:val="TextoNormal"/>
      </w:pPr>
      <w:r w:rsidRPr="00BE7FB3">
        <w:rPr>
          <w:rStyle w:val="NumeroAFNegritaCaracter"/>
        </w:rPr>
        <w:t>8</w:t>
      </w:r>
      <w:r>
        <w:t>. Mediante escrito registrado en este Tribunal el 14 de junio de 2012, el Presidente de la Asamblea de la Comunidad de Madrid comunicó que dicha Cámara no se personaría en el proceso ni formularía alegaciones.</w:t>
      </w:r>
    </w:p>
    <w:p w:rsidR="00BE7FB3" w:rsidRDefault="00BE7FB3" w:rsidP="00BE7FB3">
      <w:pPr>
        <w:pStyle w:val="TextoNormal"/>
      </w:pPr>
    </w:p>
    <w:p w:rsidR="00BE7FB3" w:rsidRDefault="00BE7FB3" w:rsidP="00BE7FB3">
      <w:pPr>
        <w:pStyle w:val="TextoNormal"/>
      </w:pPr>
      <w:r w:rsidRPr="00BE7FB3">
        <w:rPr>
          <w:rStyle w:val="NumeroAFNegritaCaracter"/>
        </w:rPr>
        <w:t>9</w:t>
      </w:r>
      <w:r>
        <w:t>. Por escrito presentado en el Registro General de este Tribunal el 18 de junio de 2012, la Letrada de la Comunidad de Madrid se personó en este proceso en representación del Gobierno de dicha Comunidad Autónoma y formuló alegaciones, interesando igualmente que se dicte Sentencia que declare la constitucionalidad del precepto cuestionado, por entender que no infringe el principio de legalidad sancionadora del art. 25.1 CE.</w:t>
      </w:r>
    </w:p>
    <w:p w:rsidR="00BE7FB3" w:rsidRDefault="00BE7FB3" w:rsidP="00BE7FB3">
      <w:pPr>
        <w:pStyle w:val="TextoNormal"/>
      </w:pPr>
    </w:p>
    <w:p w:rsidR="00BE7FB3" w:rsidRDefault="00BE7FB3" w:rsidP="00BE7FB3">
      <w:pPr>
        <w:pStyle w:val="TextoNormal"/>
      </w:pPr>
      <w:r w:rsidRPr="00BE7FB3">
        <w:rPr>
          <w:rStyle w:val="NumeroAFNegritaCaracter"/>
        </w:rPr>
        <w:t>10</w:t>
      </w:r>
      <w:r>
        <w:t>. El Fiscal General del Estado presentó su escrito de alegaciones en este Tribunal el 27 de junio de 2012, razonando que el precepto legal cuestionado contiene una remisión en blanco a la potestad reglamentaria que vulnera el principio de legalidad sancionadora del art. 25.1 CE. En consecuencia, interesó que se declarase la inconstitucionalidad y nulidad del apartado 7 del art. 16.2 b) de la Ley de la Asamblea de Madrid 20/1998.</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Sección Segunda de la Sala de lo Contencioso-Administrativo del Tribunal Superior de Justicia de Madrid plantea cuestión de inconstitucionalidad respecto del apartado 7 del art. 16.2 b) de la Ley 20/1998, de 27 de noviembre, de ordenación y coordinación de los transportes urbanos de la Comunidad de Madrid. Este precepto ha sido declarado inconstitucional y nulo por la STC 13/2013, de 28 de enero (que resuelve la cuestión de inconstitucionalidad núm. 5371-2011, promovida por el mismo órgano judicial).</w:t>
      </w:r>
    </w:p>
    <w:p w:rsidR="00BE7FB3" w:rsidRDefault="00BE7FB3" w:rsidP="00BE7FB3">
      <w:pPr>
        <w:pStyle w:val="TextoNormal"/>
      </w:pPr>
    </w:p>
    <w:p w:rsidR="00BE7FB3" w:rsidRDefault="00BE7FB3" w:rsidP="00BE7FB3">
      <w:pPr>
        <w:pStyle w:val="TextoNormal"/>
      </w:pPr>
      <w:r>
        <w:t>Se sigue de ello que, una vez anulado por inconstitucional, el precepto cuestionado ha sido expulsado del ordenamiento jurídico, lo que impone ahora apreciar, conforme a reiterada jurisprudencia de este Tribunal (por todos, AATC 271/2005, de 21 de junio, FJ único; 290/2007, de 19 de junio, FJ único; y 231/2012, de 10 de diciembre, FJ único) la desaparición sobrevenida del objeto de la presente cuestión, al haber quedado disipada la duda de constitucionalidad planteada por el órgano judicial.</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2219-2012, por desaparición sobrevenida de su objeto.</w:t>
      </w:r>
    </w:p>
    <w:p w:rsidR="00BE7FB3" w:rsidRDefault="00BE7FB3" w:rsidP="00BE7FB3">
      <w:pPr>
        <w:pStyle w:val="TextoNormal"/>
      </w:pPr>
    </w:p>
    <w:p w:rsidR="00BE7FB3" w:rsidRDefault="00BE7FB3" w:rsidP="00BE7FB3">
      <w:pPr>
        <w:pStyle w:val="TextoNormal"/>
      </w:pPr>
      <w:r>
        <w:t>Madrid, a veinticinco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92" w:name="AUTO_2013_51"/>
      <w:r>
        <w:lastRenderedPageBreak/>
        <w:t>AUTO 51/2013, de 25 de febrero de 2013</w:t>
      </w:r>
    </w:p>
    <w:bookmarkEnd w:id="192"/>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ECLI:ES:TC:2013:51A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3154-2012, planteada por la Sala de lo Contencioso-Administrativo del Tribunal Superior de Justicia de Madrid en relación con el artículo 16.2 b) 7 de la Ley 20/1998, de 27 de noviembre, de ordenación y coordinación de los transportes urbanos de la Comunidad de Madrid.</w:t>
      </w:r>
    </w:p>
    <w:p w:rsidR="00BE7FB3" w:rsidRDefault="00BE7FB3" w:rsidP="00BE7FB3">
      <w:pPr>
        <w:pStyle w:val="SntesisDescriptiva"/>
      </w:pPr>
    </w:p>
    <w:p w:rsidR="00BE7FB3" w:rsidRDefault="00BE7FB3" w:rsidP="00BE7FB3">
      <w:pPr>
        <w:pStyle w:val="SntesisAnaltica"/>
      </w:pPr>
      <w:r>
        <w:t>Extinción de cuestión de inconstitucionalidad: ATC 50/2013;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29 de mayo de 2012 tuvo entrada en el Registro General de este Tribunal oficio de la Sección Segunda de la Sala de lo Contencioso-Administrativo del Tribunal Superior de Justicia de Madrid, al que se acompaña, junto con el testimonio del recurso de apelación núm. 909-2010 que se tramita ante dicha Sala, el Auto de 30 de marzo de 2012, por el que se acuerda plantear cuestión de inconstitucionalidad respecto del apartado 7 del art. 16.2 b) de la Ley 20/1998, de 27 de noviembre, de ordenación y coordinación de los transportes urbanos de la Comunidad de Madrid, por posible vulneración del art. 25.1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de los que trae causa la presente cuestión de inconstitucionalidad son, sucintamente expuestos, los siguientes:</w:t>
      </w:r>
    </w:p>
    <w:p w:rsidR="00BE7FB3" w:rsidRDefault="00BE7FB3" w:rsidP="00BE7FB3">
      <w:pPr>
        <w:pStyle w:val="TextoNormal"/>
      </w:pPr>
    </w:p>
    <w:p w:rsidR="00BE7FB3" w:rsidRDefault="00BE7FB3" w:rsidP="00BE7FB3">
      <w:pPr>
        <w:pStyle w:val="TextoNormal"/>
      </w:pPr>
      <w:r>
        <w:t>a) Por Decreto de 30 julio de 2008 (confirmado en reposición por resolución de 2 de abril de 2009), el Delegado de Área de Gobierno de Seguridad y Movilidad del Ayuntamiento de Madrid impuso una sanción de 2.000 euros a un taxista, con suspensión de la licencia de auto-taxi durante seis meses, por esperar y recoger viajeros fuera de la parada oficial; lo que constituye infracción administrativa conforme al art. 16 de la Ley 20/1998, de 27 de noviembre, de ordenación y coordinación de los transportes urbanos de la Comunidad de Madrid, en relación con el art. 60 b) 7 del Decreto 74/2005, de 28 de julio, por el que se aprueba el Reglamento de los servicios de transporte público urbano en automóviles de turismo.</w:t>
      </w:r>
    </w:p>
    <w:p w:rsidR="00BE7FB3" w:rsidRDefault="00BE7FB3" w:rsidP="00BE7FB3">
      <w:pPr>
        <w:pStyle w:val="TextoNormal"/>
      </w:pPr>
    </w:p>
    <w:p w:rsidR="00BE7FB3" w:rsidRDefault="00BE7FB3" w:rsidP="00BE7FB3">
      <w:pPr>
        <w:pStyle w:val="TextoNormal"/>
      </w:pPr>
      <w:r>
        <w:t>b) Contra las referidas resoluciones el interesado interpuso recurso contencioso-administrativo, que fue desestimado por Sentencia de 19 de mayo de 2010 del Juzgado de lo Contencioso-Administrativo núm. 20 de Madrid.</w:t>
      </w:r>
    </w:p>
    <w:p w:rsidR="00BE7FB3" w:rsidRDefault="00BE7FB3" w:rsidP="00BE7FB3">
      <w:pPr>
        <w:pStyle w:val="TextoNormal"/>
      </w:pPr>
    </w:p>
    <w:p w:rsidR="00BE7FB3" w:rsidRDefault="00BE7FB3" w:rsidP="00BE7FB3">
      <w:pPr>
        <w:pStyle w:val="TextoNormal"/>
      </w:pPr>
      <w:r>
        <w:lastRenderedPageBreak/>
        <w:t>c) La Sentencia fue recurrida en apelación (recurso núm. 909-2010). La Sección Segunda de la Sala de lo Contencioso-Administrativo del Tribunal Superior de Justicia de Madrid, por providencia de 16 de febrero de 2012, otorgó un plazo de diez días a las partes y al Ministerio Fiscal para efectuar alegaciones sobre la pertinencia de plantear cuestión de inconstitucionalidad (art. 35.2 de la Ley Orgánica del Tribunal Constitucional: LOTC) en relación con el apartado 7 del art. 16.2 b) de la Ley 20/1998, de 27 de noviembre, de ordenación y coordinación de los transportes urbanos de la Comunidad de Madrid, al considerar que este precepto podría vulnerar el principio de legalidad sancionadora (art. 25.1 CE).</w:t>
      </w:r>
    </w:p>
    <w:p w:rsidR="00BE7FB3" w:rsidRDefault="00BE7FB3" w:rsidP="00BE7FB3">
      <w:pPr>
        <w:pStyle w:val="TextoNormal"/>
      </w:pPr>
    </w:p>
    <w:p w:rsidR="00BE7FB3" w:rsidRDefault="00BE7FB3" w:rsidP="00BE7FB3">
      <w:pPr>
        <w:pStyle w:val="TextoNormal"/>
      </w:pPr>
      <w:r>
        <w:t>El Letrado del Ayuntamiento de Madrid formuló alegaciones aduciendo que, en su opinión, no procedía plantear la cuestión de inconstitucionalidad. Por el contrario, el Ministerio Fiscal y la parte recurrente estimaron pertinente su planteamiento.</w:t>
      </w:r>
    </w:p>
    <w:p w:rsidR="00BE7FB3" w:rsidRDefault="00BE7FB3" w:rsidP="00BE7FB3">
      <w:pPr>
        <w:pStyle w:val="TextoNormal"/>
      </w:pPr>
    </w:p>
    <w:p w:rsidR="00BE7FB3" w:rsidRDefault="00BE7FB3" w:rsidP="00BE7FB3">
      <w:pPr>
        <w:pStyle w:val="TextoNormal"/>
      </w:pPr>
      <w:r w:rsidRPr="00BE7FB3">
        <w:rPr>
          <w:rStyle w:val="NumeroAFNegritaCaracter"/>
        </w:rPr>
        <w:t>3</w:t>
      </w:r>
      <w:r>
        <w:t>. Por Auto de 30 de marzo de 2012, la Sección Segunda de la Sala de lo Contencioso-Administrativo del Tribunal Superior de Justicia de la Comunidad de Madrid acordó plantear la presente cuestión de inconstitucionalidad respecto del apartado 7 del art. 16.2 b) de la Ley 20/1998, de 27 de noviembre, de ordenación y coordinación de los transportes urbanos de la Comunidad de Madrid.</w:t>
      </w:r>
    </w:p>
    <w:p w:rsidR="00BE7FB3" w:rsidRDefault="00BE7FB3" w:rsidP="00BE7FB3">
      <w:pPr>
        <w:pStyle w:val="TextoNormal"/>
      </w:pPr>
    </w:p>
    <w:p w:rsidR="00BE7FB3" w:rsidRDefault="00BE7FB3" w:rsidP="00BE7FB3">
      <w:pPr>
        <w:pStyle w:val="TextoNormal"/>
      </w:pPr>
      <w:r>
        <w:t xml:space="preserve">El órgano judicial, invocando la doctrina de las SSTC 341/1993, de 18 de noviembre, y 26/2005, de 14 de febrero, considera que el precepto cuestionado vulnera el principio de legalidad sancionadora establecido en el art. 25.1 CE, en cuanto que efectúa una remisión en blanco a un reglamento para la configuración </w:t>
      </w:r>
      <w:r w:rsidRPr="00BE7FB3">
        <w:rPr>
          <w:i/>
        </w:rPr>
        <w:t>ex novo</w:t>
      </w:r>
      <w:r>
        <w:t xml:space="preserve"> de obligaciones o prohibiciones cuya contravención da origen a una infracción sancionable; en efecto, el inciso inicial del referido art. 16.2 b) dispone que “tendrá la consideración de infracción grave el incumplimiento de las condiciones esenciales de la licencia, salvo que deba considerarse como infracción muy grave”, y establece seguidamente —en el apartado 7 del mismo precepto— que entre esas condiciones esenciales se incluirán, además de las expresamente previstas en el mismo precepto, “cualesquiera otras que puedan establecerse reglamentariamente”.</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providencia de 19 de junio de 2012 el Pleno del Tribunal Constitucional acordó admitir a trámite la cuestión de inconstitucionalidad y deferir el conocimiento de la misma a la Sala Primera, a la que por turno objetivo le había correspondido; a la vez, de conformidad con el art. 37.3 LOTC, dar traslado de las actuaciones recibidas al Congreso de los Diputados, al Senado, al Gobierno y al Fiscal General del Estado, así como al Gobierno y a la Asamblea de la Comunidad de Madrid, al objeto de que, en el improrrogable plazo de quince días, pudieran personarse y formular las alegaciones que estimaran convenientes. De igual modo, acordó comunicar la providencia a la Sección Segunda de la Sala de lo Contencioso-Administrativo del Tribunal Superior de Justicia de Madrid a los efectos previstos en el art. 35.3 LOTC y publicar la incoación de la cuestión en el “Boletín Oficial del Estado” y en el “Boletín Oficial de la Comunidad de Madrid”.</w:t>
      </w:r>
    </w:p>
    <w:p w:rsidR="00BE7FB3" w:rsidRDefault="00BE7FB3" w:rsidP="00BE7FB3">
      <w:pPr>
        <w:pStyle w:val="TextoNormal"/>
      </w:pPr>
    </w:p>
    <w:p w:rsidR="00BE7FB3" w:rsidRDefault="00BE7FB3" w:rsidP="00BE7FB3">
      <w:pPr>
        <w:pStyle w:val="TextoNormal"/>
      </w:pPr>
      <w:r w:rsidRPr="00BE7FB3">
        <w:rPr>
          <w:rStyle w:val="NumeroAFNegritaCaracter"/>
        </w:rPr>
        <w:t>5</w:t>
      </w:r>
      <w:r>
        <w:t>. El Presidente del Congreso de los Diputados, mediante escrito registrado en este Tribunal el 28 de junio de 2012, comunicó que la Cámara había adoptado el acuerdo de personarse en el proceso,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6</w:t>
      </w:r>
      <w:r>
        <w:t>. Por escrito presentado en el Registro General de este Tribunal el 4 de julio de 2012, la Letrada de la Comunidad de Madrid se personó en este proceso en representación del Gobierno de dicha Comunidad Autónoma y formuló alegaciones, interesando que se dicte Sentencia que declare la constitucionalidad del precepto cuestionado, por entender que no infringe el principio de legalidad sancionadora del art. 25.1 CE.</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por escrito presentado en el Registro General de este Tribunal el 6 de julio de 2012, se personó y formuló alegaciones, interesando la desestimación de la presente cuestión, por entender que la colaboración del reglamento para deslindar condiciones esenciales y no esenciales de las licencias o autorizaciones de auto-taxi reguladas por la Ley de la Asamblea de Madrid 20/1998 no vulnera el art. 25.1 CE.</w:t>
      </w:r>
    </w:p>
    <w:p w:rsidR="00BE7FB3" w:rsidRDefault="00BE7FB3" w:rsidP="00BE7FB3">
      <w:pPr>
        <w:pStyle w:val="TextoNormal"/>
      </w:pPr>
    </w:p>
    <w:p w:rsidR="00BE7FB3" w:rsidRDefault="00BE7FB3" w:rsidP="00BE7FB3">
      <w:pPr>
        <w:pStyle w:val="TextoNormal"/>
      </w:pPr>
      <w:r w:rsidRPr="00BE7FB3">
        <w:rPr>
          <w:rStyle w:val="NumeroAFNegritaCaracter"/>
        </w:rPr>
        <w:t>8</w:t>
      </w:r>
      <w:r>
        <w:t>. Mediante escrito registrado en este Tribunal el 13 de julio de 2012, el Presidente de la Asamblea de la Comunidad de Madrid comunicó que dicha Cámara no se personaría en el proceso ni formularía alegaciones.</w:t>
      </w:r>
    </w:p>
    <w:p w:rsidR="00BE7FB3" w:rsidRDefault="00BE7FB3" w:rsidP="00BE7FB3">
      <w:pPr>
        <w:pStyle w:val="TextoNormal"/>
      </w:pPr>
    </w:p>
    <w:p w:rsidR="00BE7FB3" w:rsidRDefault="00BE7FB3" w:rsidP="00BE7FB3">
      <w:pPr>
        <w:pStyle w:val="TextoNormal"/>
      </w:pPr>
      <w:r w:rsidRPr="00BE7FB3">
        <w:rPr>
          <w:rStyle w:val="NumeroAFNegritaCaracter"/>
        </w:rPr>
        <w:t>9</w:t>
      </w:r>
      <w:r>
        <w:t>. El Presidente del Senado, mediante escrito registrado en este Tribunal el 13 de julio de 2012, comunicó que dicha Cámara había adoptado el acuerdo de personarse en el proceso,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10</w:t>
      </w:r>
      <w:r>
        <w:t>. El Fiscal General del Estado presentó su escrito de alegaciones en este Tribunal el 19 de julio de 2012, razonando que el precepto legal cuestionado contiene una remisión en blanco a la potestad reglamentaria, que vulnera el principio de legalidad sancionadora del art. 25.1 CE. En consecuencia, interesó que se declarase la inconstitucionalidad y nulidad del apartado 7 del art. 16.2 b) de la Ley de la Asamblea de Madrid 20/1998.</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La Sección Segunda de la Sala de lo Contencioso-Administrativo del Tribunal Superior de Justicia de Madrid plantea cuestión de inconstitucionalidad respecto del apartado 7 del art. 16.2 b) de la Ley 20/1998, de 27 de noviembre, de ordenación y coordinación de los transportes urbanos de la Comunidad de Madrid. Este precepto ha sido declarado inconstitucional y nulo por la STC 13/2013, de 28 de enero (que resuelve la cuestión de inconstitucionalidad núm. 5371-2011, promovida por el mismo órgano judicial).</w:t>
      </w:r>
    </w:p>
    <w:p w:rsidR="00BE7FB3" w:rsidRDefault="00BE7FB3" w:rsidP="00BE7FB3">
      <w:pPr>
        <w:pStyle w:val="TextoNormal"/>
      </w:pPr>
    </w:p>
    <w:p w:rsidR="00BE7FB3" w:rsidRDefault="00BE7FB3" w:rsidP="00BE7FB3">
      <w:pPr>
        <w:pStyle w:val="TextoNormal"/>
      </w:pPr>
      <w:r>
        <w:t>Se sigue de ello que, una vez anulado por inconstitucional, el precepto cuestionado ha sido expulsado del ordenamiento jurídico, lo que impone ahora apreciar, conforme a reiterada jurisprudencia de este Tribunal (por todos, AATC 271/2005, de 21 de junio, FJ único; 290/2007, de 19 de junio, FJ único; y 231/2012, de 10 de diciembre, FJ único) la desaparición sobrevenida del objeto de la presente cuestión, al haber quedado disipada la duda de constitucionalidad planteada por el órgano judicial.</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3154-2012, por desaparición sobrevenida de su objeto.</w:t>
      </w:r>
    </w:p>
    <w:p w:rsidR="00BE7FB3" w:rsidRDefault="00BE7FB3" w:rsidP="00BE7FB3">
      <w:pPr>
        <w:pStyle w:val="TextoNormal"/>
      </w:pPr>
    </w:p>
    <w:p w:rsidR="00BE7FB3" w:rsidRDefault="00BE7FB3" w:rsidP="00BE7FB3">
      <w:pPr>
        <w:pStyle w:val="TextoNormal"/>
      </w:pPr>
      <w:r>
        <w:t>Madrid, a veinticinco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93" w:name="AUTO_2013_52"/>
      <w:r>
        <w:lastRenderedPageBreak/>
        <w:t>AUTO 52/2013, de 25 de febrero de 2013</w:t>
      </w:r>
    </w:p>
    <w:bookmarkEnd w:id="193"/>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ECLI:ES:TC:2013:52A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3669-2012, planteada por la Sala de lo Contencioso-Administrativo del Tribunal Superior de Justicia de Madrid en relación con el artículo 16.2 b) 7 de la Ley 20/1998, de 27 de noviembre, de ordenación y coordinación de los transportes urbanos de la Comunidad de Madrid.</w:t>
      </w:r>
    </w:p>
    <w:p w:rsidR="00BE7FB3" w:rsidRDefault="00BE7FB3" w:rsidP="00BE7FB3">
      <w:pPr>
        <w:pStyle w:val="SntesisDescriptiva"/>
      </w:pPr>
    </w:p>
    <w:p w:rsidR="00BE7FB3" w:rsidRDefault="00BE7FB3" w:rsidP="00BE7FB3">
      <w:pPr>
        <w:pStyle w:val="SntesisAnaltica"/>
      </w:pPr>
      <w:r>
        <w:t>Extinción de cuestión de inconstitucionalidad: ATC 50/2013;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día 19 de junio de 2012 tuvo entrada en el Registro General del este Tribunal un escrito de la Sección Segunda de Sala de lo Contencioso-Administrativo del Tribunal Superior de Justicia de Madrid, al que se acompaña, junto con el Auto de la referida Sección de 24 de mayo de 2012, por el que se acuerda elevar a este Tribunal cuestión de inconstitucionalidad en relación con el apartado 2 b) núm. 7 del art. 16 de la Ley 20/1998, de 27 de noviembre, de ordenación y coordinación de los transportes urbanos de la Comunidad de Madrid, testimonio del rollo de apelación núm. 1020-2010, del procedimiento ordinario núm. 65-2009 del Juzgado de lo Contencioso-Administrativo núm. 19 de Madrid y del correspondiente expediente administrativo.</w:t>
      </w:r>
    </w:p>
    <w:p w:rsidR="00BE7FB3" w:rsidRDefault="00BE7FB3" w:rsidP="00BE7FB3">
      <w:pPr>
        <w:pStyle w:val="TextoNormal"/>
      </w:pPr>
    </w:p>
    <w:p w:rsidR="00BE7FB3" w:rsidRDefault="00BE7FB3" w:rsidP="00BE7FB3">
      <w:pPr>
        <w:pStyle w:val="TextoNormal"/>
      </w:pPr>
      <w:r w:rsidRPr="00BE7FB3">
        <w:rPr>
          <w:rStyle w:val="NumeroAFNegritaCaracter"/>
        </w:rPr>
        <w:t>2</w:t>
      </w:r>
      <w:r>
        <w:t>. Los antecedentes de la presente cuestión de inconstitucionalidad son, sucintamente expuestos, los siguientes:</w:t>
      </w:r>
    </w:p>
    <w:p w:rsidR="00BE7FB3" w:rsidRDefault="00BE7FB3" w:rsidP="00BE7FB3">
      <w:pPr>
        <w:pStyle w:val="TextoNormal"/>
      </w:pPr>
    </w:p>
    <w:p w:rsidR="00BE7FB3" w:rsidRDefault="00BE7FB3" w:rsidP="00BE7FB3">
      <w:pPr>
        <w:pStyle w:val="TextoNormal"/>
      </w:pPr>
      <w:r>
        <w:t>a) Por resolución del Delegado de Área de Gobierno de Seguridad y Movilidad del Ayuntamiento de Madrid, de 28 de enero de 2008, se impuso una sanción de 2.000 € y suspensión de la licencia durante tres meses a una taxista, por infracción del art. 16 de la Ley 20/1998, de 27 de noviembre, de ordenación y coordinación de los transportes urbanos de la Comunidad de Madrid en relación con el art. 60 b) 7 del Decreto 74/2005, de 28 de julio, que aprueba el Reglamento de los servicios de transporte público urbano en automóviles de turismo, por “cargar viajeros fuera de la parada oficial”.</w:t>
      </w:r>
    </w:p>
    <w:p w:rsidR="00BE7FB3" w:rsidRDefault="00BE7FB3" w:rsidP="00BE7FB3">
      <w:pPr>
        <w:pStyle w:val="TextoNormal"/>
      </w:pPr>
    </w:p>
    <w:p w:rsidR="00BE7FB3" w:rsidRDefault="00BE7FB3" w:rsidP="00BE7FB3">
      <w:pPr>
        <w:pStyle w:val="TextoNormal"/>
      </w:pPr>
      <w:r>
        <w:t>b) Contra dicha resolución se interpuso recurso contencioso-administrativo. El Juzgado de lo Contencioso-Administrativo núm. 19 de Madrid, por Sentencia de 16 junio de 2010, estimó el recurso.</w:t>
      </w:r>
    </w:p>
    <w:p w:rsidR="00BE7FB3" w:rsidRDefault="00BE7FB3" w:rsidP="00BE7FB3">
      <w:pPr>
        <w:pStyle w:val="TextoNormal"/>
      </w:pPr>
    </w:p>
    <w:p w:rsidR="00BE7FB3" w:rsidRDefault="00BE7FB3" w:rsidP="00BE7FB3">
      <w:pPr>
        <w:pStyle w:val="TextoNormal"/>
      </w:pPr>
      <w:r>
        <w:t>c) La Sentencia fue recurrida en apelación. La Sección Segunda el Tribunal Superior de Justicia de Madrid, mediante providencias de 21 de febrero y 20 de marzo de 2012, otorgó un plazo de diez días, respectivamente, a las partes y al Ministerio Fiscal, para que pudieran efectuar alegaciones sobre la pertinencia de plantear cuestión de inconstitucionalidad en relación con el “art. 16.2 b) de la Ley 20/98”, adjuntando copia del Auto de fecha 15 de julio de 2011 de la misma Sección, en el que planteó, en otro procedimiento, cuestión de inconstitucionalidad. El Letrado del Ayuntamiento de Madrid formuló alegaciones aduciendo que, en su opinión, no procedía plantear la cuestión de inconstitucionalidad. No constan alegaciones de la parte recurrente ni del Ministerio Fiscal.</w:t>
      </w:r>
    </w:p>
    <w:p w:rsidR="00BE7FB3" w:rsidRDefault="00BE7FB3" w:rsidP="00BE7FB3">
      <w:pPr>
        <w:pStyle w:val="TextoNormal"/>
      </w:pPr>
    </w:p>
    <w:p w:rsidR="00BE7FB3" w:rsidRDefault="00BE7FB3" w:rsidP="00BE7FB3">
      <w:pPr>
        <w:pStyle w:val="TextoNormal"/>
      </w:pPr>
      <w:r>
        <w:t>d) El Ministerio Fiscal recurrió la providencia de 20 de marzo de 2012 en reposición, al considerar que no se cumplía en ella el requisito de citar los preceptos constitucionales presuntamente infringidos. En la documentación que figura en el procedimiento de la presente cuestión de inconstitucionalidad no consta que dicho recurso haya sido resuelto.</w:t>
      </w:r>
    </w:p>
    <w:p w:rsidR="00BE7FB3" w:rsidRDefault="00BE7FB3" w:rsidP="00BE7FB3">
      <w:pPr>
        <w:pStyle w:val="TextoNormal"/>
      </w:pPr>
    </w:p>
    <w:p w:rsidR="00BE7FB3" w:rsidRDefault="00BE7FB3" w:rsidP="00BE7FB3">
      <w:pPr>
        <w:pStyle w:val="TextoNormal"/>
      </w:pPr>
      <w:r>
        <w:t>e) Por Auto de 24 de mayo de 2012, la Sección Segunda de la Sala de lo Contencioso-Administrativo del Tribunal Superior de Justicia de la Comunidad de Madrid acordó plantear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3</w:t>
      </w:r>
      <w:r>
        <w:t>. El órgano judicial fundamenta el planteamiento de la cuestión en que el art. 16.2 b) de la Ley 20/1998, al disponer que tendrá la consideración de infracción grave el incumplimiento de las condiciones esenciales de la licencia salvo que deba considerarse como infracción muy grave, y establecer en su apartado séptimo que entre esas condiciones esenciales se incluirán, además de las expresamente previstas en el referido precepto, “cualesquiera otras que puedan establecerse reglamentariamente” podría vulnerar el art. 25.1 CE, en cuanto que “viene a efectuar una remisión a una norma reglamentaria sin que previamente determine suficientemente los elementos esenciales de la conducta antijurídica”.</w:t>
      </w:r>
    </w:p>
    <w:p w:rsidR="00BE7FB3" w:rsidRDefault="00BE7FB3" w:rsidP="00BE7FB3">
      <w:pPr>
        <w:pStyle w:val="TextoNormal"/>
      </w:pPr>
    </w:p>
    <w:p w:rsidR="00BE7FB3" w:rsidRDefault="00BE7FB3" w:rsidP="00BE7FB3">
      <w:pPr>
        <w:pStyle w:val="TextoNormal"/>
      </w:pPr>
      <w:r w:rsidRPr="00BE7FB3">
        <w:rPr>
          <w:rStyle w:val="NumeroAFNegritaCaracter"/>
        </w:rPr>
        <w:t>4</w:t>
      </w:r>
      <w:r>
        <w:t>. Por providencia del Pleno de este Tribunal de 16 de julio de 2012, se acordó admitir a trámite la cuestión de inconstitucionalidad. En esta misma resolución, en atención a lo dispuesto en el art. 10.1 c) de la Ley Orgánica del Tribunal Constitucional (LOTC), se acordó deferir a la Sala Primera, a la que por turno objetivo le ha correspondido, el conocimiento de la misma y, a tenor de lo establecido en el art. 37.3 LOTC, se dio traslado de las actuaciones recibidas al Congreso de los Diputados y al Senado, por conducto de sus Presidentes, al Gobierno, por conducto del Ministro de Justicia, y al Fiscal General del Estado, así como al Gobierno de la Comunidad de Madrid y a la Asamblea de la Comunidad de Madrid, por conducto de sus Presidentes, al objeto de que, en el improrrogable plazo de quince días, pudieran personarse en el proceso y formular las alegaciones que estimaran convenientes. De igual modo, se comunicó la referida resolución a la Sección Segunda de la Sala de lo Contencioso-Administrativo del Tribunal Superior de Justicia de Madrid a fin de que, de conformidad con lo dispuesto en el art. 35.3 LOTC, permanezca suspendido el proceso hasta que este Tribunal resuelva definitivamente la presente cuestión, y se acordó publicar la incoación de la misma en el “Boletín Oficial del Estado”, lo que tuvo lugar el día 24 de julio de 2012, y en el “Boletín Oficial de la Comunidad de Madrid”.</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5</w:t>
      </w:r>
      <w:r>
        <w:t>. El 27 de julio de 2012, el Presidente del Congreso comunicó a este Tribunal la decisión de la Mesa de la Cámara adoptada el día 24 anterior, por la que acuerda personarse en este procedimiento y ofrecer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5 de septiembre de 2012, el Presidente del Senado dio traslado de la decisión adoptada el día anterior por la Mesa de la Cámara, por la que se acuerda su personación en el procedimiento y el ofrecimiento de colaboración a los efectos establecidos en el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El 6 de septiembre de 2012, se registró en el Tribunal el escrito de la Mesa de la Asamblea de Madrid por el que se acordó, de conformidad con lo dispuesto en el art. 222 del Reglamento de la Asamblea de Madrid, no proponer a la Junta de Portavoces su elevación al Pleno de la Cámara, en orden a personarse y formular alegaciones en este procedimiento.</w:t>
      </w:r>
    </w:p>
    <w:p w:rsidR="00BE7FB3" w:rsidRDefault="00BE7FB3" w:rsidP="00BE7FB3">
      <w:pPr>
        <w:pStyle w:val="TextoNormal"/>
      </w:pPr>
    </w:p>
    <w:p w:rsidR="00BE7FB3" w:rsidRDefault="00BE7FB3" w:rsidP="00BE7FB3">
      <w:pPr>
        <w:pStyle w:val="TextoNormal"/>
      </w:pPr>
      <w:r w:rsidRPr="00BE7FB3">
        <w:rPr>
          <w:rStyle w:val="NumeroAFNegritaCaracter"/>
        </w:rPr>
        <w:t>8</w:t>
      </w:r>
      <w:r>
        <w:t>. El Abogado del Estado, por escrito de 26 de julio de 2012, se personó en este procedimiento en nombre del Gobierno, formuló alegaciones y solicitó la desestimación de la presente cuestión de inconstitucionalidad, considerando que la colaboración del reglamento para deslindar condiciones esenciales y no esenciales de las licencias o autorizaciones de auto-taxi reguladas por la Ley de la Asamblea de Madrid 20/1998, según la doctrina establecida en la STC 104/2009, no puede estimarse que vulnere el art. 25.1 CE.</w:t>
      </w:r>
    </w:p>
    <w:p w:rsidR="00BE7FB3" w:rsidRDefault="00BE7FB3" w:rsidP="00BE7FB3">
      <w:pPr>
        <w:pStyle w:val="TextoNormal"/>
      </w:pPr>
    </w:p>
    <w:p w:rsidR="00BE7FB3" w:rsidRDefault="00BE7FB3" w:rsidP="00BE7FB3">
      <w:pPr>
        <w:pStyle w:val="TextoNormal"/>
      </w:pPr>
      <w:r w:rsidRPr="00BE7FB3">
        <w:rPr>
          <w:rStyle w:val="NumeroAFNegritaCaracter"/>
        </w:rPr>
        <w:t>9</w:t>
      </w:r>
      <w:r>
        <w:t>. Por escrito presentado en el Registro General del Tribunal Constitucional el 30 de julio de 2012, la Letrada de la Comunidad de Madrid se personó en este procedimiento y formuló alegaciones solicitando que se dicte Sentencia declarando la conformidad del precepto cuestionado con la Constitución.</w:t>
      </w:r>
    </w:p>
    <w:p w:rsidR="00BE7FB3" w:rsidRDefault="00BE7FB3" w:rsidP="00BE7FB3">
      <w:pPr>
        <w:pStyle w:val="TextoNormal"/>
      </w:pPr>
    </w:p>
    <w:p w:rsidR="00BE7FB3" w:rsidRDefault="00BE7FB3" w:rsidP="00BE7FB3">
      <w:pPr>
        <w:pStyle w:val="TextoNormal"/>
      </w:pPr>
      <w:r w:rsidRPr="00BE7FB3">
        <w:rPr>
          <w:rStyle w:val="NumeroAFNegritaCaracter"/>
        </w:rPr>
        <w:t>10</w:t>
      </w:r>
      <w:r>
        <w:t>. El 26 de septiembre de 2012 el Fiscal General del Estado presentó su escrito de alegaciones en el Registro General del Tribunal Constitucional. A su juicio, el precepto legal cuestionado no prevé elemento alguno que defina cuándo unos hechos o circunstancias son condiciones esenciales de la licencia o autorización, sino que contiene una remisión genérica al reglamento que permite a esta norma tipificar autónomamente nuevas conductas merecedoras de sanción. Por ello considera que la remisión al reglamento que efectúa este precepto excede de la colaboración reglamentaria permitida por el art. 25.1 CE, solicitando que se inadmita la presente cuestión de inconstitucionalidad o, subsidiariamente, se estime la misma y, en consecuencia, se anule el apartado 7 del art. 16.2 b) de la Ley de la Asamblea de Madrid 20/1998, de 27 de noviembre.</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Sección Segunda de la Sala de lo Contencioso-Administrativo del Tribunal Superior de Justicia de Madrid plantea cuestión de inconstitucionalidad respecto del apartado 7 del art. 16.2 b) de la Ley 20/1998, de 27 de noviembre, de ordenación y coordinación de los transportes urbanos de la Comunidad de Madrid. Este precepto ha sido declarado </w:t>
      </w:r>
      <w:r>
        <w:lastRenderedPageBreak/>
        <w:t>inconstitucional y nulo por la STC 13/2013, de 28 de enero (que resuelve la cuestión de inconstitucionalidad núm. 5371-2011, promovida por el mismo órgano judicial).</w:t>
      </w:r>
    </w:p>
    <w:p w:rsidR="00BE7FB3" w:rsidRDefault="00BE7FB3" w:rsidP="00BE7FB3">
      <w:pPr>
        <w:pStyle w:val="TextoNormal"/>
      </w:pPr>
    </w:p>
    <w:p w:rsidR="00BE7FB3" w:rsidRDefault="00BE7FB3" w:rsidP="00BE7FB3">
      <w:pPr>
        <w:pStyle w:val="TextoNormal"/>
      </w:pPr>
      <w:r>
        <w:t>Se sigue de ello que, una vez anulado por inconstitucional, el precepto cuestionado ha sido expulsado del ordenamiento jurídico, lo que impone ahora apreciar, conforme a reiterada jurisprudencia de este Tribunal (por todos, AATC 271/2005, de 21 de junio, FJ único; 290/2007, de 19 de junio, FJ único; y 231/2012, de 10 de diciembre, FJ único) la desaparición sobrevenida del objeto de la presente cuestión, al haber quedado disipada la duda de constitucionalidad planteada por el órgano judicial.</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3669-2012, por desaparición sobrevenida de su objeto.</w:t>
      </w:r>
    </w:p>
    <w:p w:rsidR="00BE7FB3" w:rsidRDefault="00BE7FB3" w:rsidP="00BE7FB3">
      <w:pPr>
        <w:pStyle w:val="TextoNormal"/>
      </w:pPr>
    </w:p>
    <w:p w:rsidR="00BE7FB3" w:rsidRDefault="00BE7FB3" w:rsidP="00BE7FB3">
      <w:pPr>
        <w:pStyle w:val="TextoNormal"/>
      </w:pPr>
      <w:r>
        <w:t>Madrid, a veinticinco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94" w:name="AUTO_2013_53"/>
      <w:r>
        <w:lastRenderedPageBreak/>
        <w:t>AUTO 53/2013, de 25 de febrero de 2013</w:t>
      </w:r>
    </w:p>
    <w:bookmarkEnd w:id="194"/>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ECLI:ES:TC:2013:53A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4839-2012, planteada por la Sala de lo Contencioso-Administrativo del Tribunal Superior de Justicia de Madrid en relación con el artículo 16.2 b) 7 de la Ley 20/1998, de 27 de noviembre, de ordenación y coordinación de los transportes urbanos de la Comunidad de Madrid.</w:t>
      </w:r>
    </w:p>
    <w:p w:rsidR="00BE7FB3" w:rsidRDefault="00BE7FB3" w:rsidP="00BE7FB3">
      <w:pPr>
        <w:pStyle w:val="SntesisDescriptiva"/>
      </w:pPr>
    </w:p>
    <w:p w:rsidR="00BE7FB3" w:rsidRDefault="00BE7FB3" w:rsidP="00BE7FB3">
      <w:pPr>
        <w:pStyle w:val="SntesisAnaltica"/>
      </w:pPr>
      <w:r>
        <w:t>Extinción de cuestión de inconstitucionalidad: ATC 50/2013;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día 6 de agosto de 2012 tuvo entrada en el Registro General del este Tribunal un escrito de la Sección Segunda de Sala de lo Contencioso-Administrativo del Tribunal Superior de Justicia de Madrid, al que se acompaña, junto con el Auto de la referida Sección de 26 de junio de 2012, por el que se acuerda elevar a este Tribunal cuestión de inconstitucionalidad en relación con el apartado 2 b) núm. 7 del art. 16 de la Ley 20/1998, de 27 de noviembre, de ordenación y coordinación de los transportes urbanos de la Comunidad de Madrid, testimonio del rollo de apelación núm. 165-2011, del procedimiento ordinario núm. 150-2009 del Juzgado de lo Contencioso-Administrativo núm. 30 de Madrid, de la pieza separada de suspensión núm.19-2010 y del correspondiente expediente administrativo.</w:t>
      </w:r>
    </w:p>
    <w:p w:rsidR="00BE7FB3" w:rsidRDefault="00BE7FB3" w:rsidP="00BE7FB3">
      <w:pPr>
        <w:pStyle w:val="TextoNormal"/>
      </w:pPr>
    </w:p>
    <w:p w:rsidR="00BE7FB3" w:rsidRDefault="00BE7FB3" w:rsidP="00BE7FB3">
      <w:pPr>
        <w:pStyle w:val="TextoNormal"/>
      </w:pPr>
      <w:r w:rsidRPr="00BE7FB3">
        <w:rPr>
          <w:rStyle w:val="NumeroAFNegritaCaracter"/>
        </w:rPr>
        <w:t>2</w:t>
      </w:r>
      <w:r>
        <w:t>. Los antecedentes de la presente cuestión de inconstitucionalidad son, sucintamente expuestos, los siguientes:</w:t>
      </w:r>
    </w:p>
    <w:p w:rsidR="00BE7FB3" w:rsidRDefault="00BE7FB3" w:rsidP="00BE7FB3">
      <w:pPr>
        <w:pStyle w:val="TextoNormal"/>
      </w:pPr>
    </w:p>
    <w:p w:rsidR="00BE7FB3" w:rsidRDefault="00BE7FB3" w:rsidP="00BE7FB3">
      <w:pPr>
        <w:pStyle w:val="TextoNormal"/>
      </w:pPr>
      <w:r>
        <w:t>a) Por resolución del Delegado de Área de Gobierno de Seguridad y Movilidad del Ayuntamiento de Madrid, de 9 de septiembre de 2009, se impuso una sanción de 2.000 € y suspensión de la licencia durante tres meses a una taxista, por infracción del art. 16 de la Ley 20/1998, de 27 de noviembre, de ordenación y coordinación de los transportes urbanos de la Comunidad de Madrid en relación con el art. 60 b) 7 del Decreto 74/2005, de 28 de julio, que aprueba el Reglamento de los servicios de transporte público urbano en automóviles de turismo, por “buscar viajeros fuera de la parada oficial establecida con el aparato taxímetro en marcha”. Este acto administrativo fue recurrido, dictándose resolución del Delegado de Área de Gobierno de Seguridad y Movilidad del Ayuntamiento de Madrid, de 10 de septiembre de 2009, que lo confirmaba.</w:t>
      </w:r>
    </w:p>
    <w:p w:rsidR="00BE7FB3" w:rsidRDefault="00BE7FB3" w:rsidP="00BE7FB3">
      <w:pPr>
        <w:pStyle w:val="TextoNormal"/>
      </w:pPr>
    </w:p>
    <w:p w:rsidR="00BE7FB3" w:rsidRDefault="00BE7FB3" w:rsidP="00BE7FB3">
      <w:pPr>
        <w:pStyle w:val="TextoNormal"/>
      </w:pPr>
      <w:r>
        <w:lastRenderedPageBreak/>
        <w:t>b) Contra estas resoluciones se interpuso recurso contencioso-administrativo. El Juzgado de lo Contencioso-Administrativo núm. 30 de Madrid, por Sentencia de 19 de octubre de 2010, desestimó el recurso.</w:t>
      </w:r>
    </w:p>
    <w:p w:rsidR="00BE7FB3" w:rsidRDefault="00BE7FB3" w:rsidP="00BE7FB3">
      <w:pPr>
        <w:pStyle w:val="TextoNormal"/>
      </w:pPr>
    </w:p>
    <w:p w:rsidR="00BE7FB3" w:rsidRDefault="00BE7FB3" w:rsidP="00BE7FB3">
      <w:pPr>
        <w:pStyle w:val="TextoNormal"/>
      </w:pPr>
      <w:r>
        <w:t>c) La Sentencia fue recurrida en apelación. La Sección Segunda el Tribunal Superior de Justicia de Madrid, mediante providencia de 7 de junio de 2012, otorgó un plazo de diez días a las partes y al Ministerio Fiscal para que pudieran efectuar alegaciones sobre la pertinencia de plantear cuestión de inconstitucionalidad en relación con el apartado 7 del artículo 16.2 b) de la Ley 20/1998, al considerar que este precepto legal podría vulnerar el art. 25.1 CE. El Letrado del Ayuntamiento de Madrid formuló alegaciones aduciendo que, en su opinión, no procedía plantear la cuestión de inconstitucionalidad. La parte recurrente, por el contrario, lo estimó pertinente. En las actuaciones remitidas constan incompletas las alegaciones del Ministerio Fiscal.</w:t>
      </w:r>
    </w:p>
    <w:p w:rsidR="00BE7FB3" w:rsidRDefault="00BE7FB3" w:rsidP="00BE7FB3">
      <w:pPr>
        <w:pStyle w:val="TextoNormal"/>
      </w:pPr>
    </w:p>
    <w:p w:rsidR="00BE7FB3" w:rsidRDefault="00BE7FB3" w:rsidP="00BE7FB3">
      <w:pPr>
        <w:pStyle w:val="TextoNormal"/>
      </w:pPr>
      <w:r>
        <w:t>d) Por Auto de 26 de junio de 2012, la Sección Segunda de la Sala de lo Contencioso-Administrativo del Tribunal Superior de Justicia de la Comunidad de Madrid acordó plantear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3</w:t>
      </w:r>
      <w:r>
        <w:t>. El órgano judicial fundamenta el planteamiento de la cuestión en que el art. 16.2 b) de la Ley 20/1998, al disponer que tendrá la consideración de infracción grave el incumplimiento de las condiciones esenciales de la licencia, salvo que deba considerarse como infracción muy grave, y establecer en su apartado séptimo que entre esas condiciones esenciales se incluirán, además de las expresamente previstas en el referido precepto, “cualesquiera otras que puedan establecerse reglamentariamente” podría vulnerar el art. 25.1 CE, en cuanto que “viene a efectuar una remisión a una norma reglamentaria sin que previamente determine suficientemente los elementos esenciales de la conducta antijurídica”.</w:t>
      </w:r>
    </w:p>
    <w:p w:rsidR="00BE7FB3" w:rsidRDefault="00BE7FB3" w:rsidP="00BE7FB3">
      <w:pPr>
        <w:pStyle w:val="TextoNormal"/>
      </w:pPr>
    </w:p>
    <w:p w:rsidR="00BE7FB3" w:rsidRDefault="00BE7FB3" w:rsidP="00BE7FB3">
      <w:pPr>
        <w:pStyle w:val="TextoNormal"/>
      </w:pPr>
      <w:r w:rsidRPr="00BE7FB3">
        <w:rPr>
          <w:rStyle w:val="NumeroAFNegritaCaracter"/>
        </w:rPr>
        <w:t>4</w:t>
      </w:r>
      <w:r>
        <w:t>. Por providencia del Pleno de este Tribunal de 19 de septiembre de 2012, se acordó admitir a trámite la cuestión de inconstitucionalidad. En esta misma resolución, en atención a lo dispuesto en el art. 10.1 c) de la Ley Orgánica del Tribunal Constitucional (LOTC), se acordó deferir a la Sala Primera, a la que por turno objetivo le ha correspondido, el conocimiento de la misma y, a tenor de lo establecido en el art. 37.3 LOTC, se dio traslado de las actuaciones recibidas al Congreso de los Diputados y al Senado, por conducto de sus Presidentes, al Gobierno, por conducto del Ministro de Justicia, y al Fiscal General del Estado, así como al Gobierno de la Comunidad de Madrid y a la Asamblea de la Comunidad de Madrid, por conducto de sus Presidentes, al objeto de que, en el improrrogable plazo de quince días, pudieran personarse en el proceso y formular las alegaciones que estimaran convenientes. De igual modo, se comunicó la referida resolución a la Sección Segunda de la Sala de lo Contencioso-Administrativo del Tribunal Superior de Justicia de Madrid a fin de que, de conformidad con lo dispuesto en el art. 35.3 LOTC, permanezca suspendido el proceso hasta que este Tribunal resuelva definitivamente la presente cuestión y se acordó publicar la incoación de la misma en el “Boletín Oficial del Estado”, lo que tuvo lugar el día 28 de septiembre de 2012, y en el “Boletín Oficial de la Comunidad de Madrid”.</w:t>
      </w:r>
    </w:p>
    <w:p w:rsidR="00BE7FB3" w:rsidRDefault="00BE7FB3" w:rsidP="00BE7FB3">
      <w:pPr>
        <w:pStyle w:val="TextoNormal"/>
      </w:pPr>
    </w:p>
    <w:p w:rsidR="00BE7FB3" w:rsidRDefault="00BE7FB3" w:rsidP="00BE7FB3">
      <w:pPr>
        <w:pStyle w:val="TextoNormal"/>
      </w:pPr>
      <w:r w:rsidRPr="00BE7FB3">
        <w:rPr>
          <w:rStyle w:val="NumeroAFNegritaCaracter"/>
        </w:rPr>
        <w:t>5</w:t>
      </w:r>
      <w:r>
        <w:t>. El 4 de octubre de 2012, el Presidente del Senado dio traslado de la decisión adoptada el día anterior por la Mesa de la Cámara, por la que se acuerda su personación en el procedimiento y el ofrecimiento de colaboración a los efectos establecidos en 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9 de octubre de 2012, el Presidente del Congreso comunicó a este Tribunal la decisión de la Mesa de la Cámara adoptada en dicha fecha, por la que acuerda personarse en este procedimiento y ofrecer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Mediante diligencia de ordenación de 8 de octubre de 2012, se tuvo por personado en este procedimiento al Procurador de los Tribunales don Ignacio Batllo Ripoll, en nombre y representación de don Jorge Lejo García. No ha presentado alegaciones.</w:t>
      </w:r>
    </w:p>
    <w:p w:rsidR="00BE7FB3" w:rsidRDefault="00BE7FB3" w:rsidP="00BE7FB3">
      <w:pPr>
        <w:pStyle w:val="TextoNormal"/>
      </w:pPr>
    </w:p>
    <w:p w:rsidR="00BE7FB3" w:rsidRDefault="00BE7FB3" w:rsidP="00BE7FB3">
      <w:pPr>
        <w:pStyle w:val="TextoNormal"/>
      </w:pPr>
      <w:r w:rsidRPr="00BE7FB3">
        <w:rPr>
          <w:rStyle w:val="NumeroAFNegritaCaracter"/>
        </w:rPr>
        <w:t>8</w:t>
      </w:r>
      <w:r>
        <w:t>. El 10 de octubre de 2012, se registró en el Tribunal el escrito de la Mesa de la Asamblea de Madrid por el que se acordó, de conformidad con lo dispuesto en el art. 222 del Reglamento de la Asamblea de Madrid, no proponer a la Junta de portavoces su elevación al Pleno de la Cámara, en orden a personarse y formular alegaciones en este procedimiento.</w:t>
      </w:r>
    </w:p>
    <w:p w:rsidR="00BE7FB3" w:rsidRDefault="00BE7FB3" w:rsidP="00BE7FB3">
      <w:pPr>
        <w:pStyle w:val="TextoNormal"/>
      </w:pPr>
    </w:p>
    <w:p w:rsidR="00BE7FB3" w:rsidRDefault="00BE7FB3" w:rsidP="00BE7FB3">
      <w:pPr>
        <w:pStyle w:val="TextoNormal"/>
      </w:pPr>
      <w:r w:rsidRPr="00BE7FB3">
        <w:rPr>
          <w:rStyle w:val="NumeroAFNegritaCaracter"/>
        </w:rPr>
        <w:t>9</w:t>
      </w:r>
      <w:r>
        <w:t>. El Abogado del Estado, por escrito de 5 de octubre de 2012, se personó en este procedimiento en nombre del Gobierno, formuló alegaciones y solicitó la desestimación de la presente cuestión de inconstitucionalidad, considerando que la colaboración del reglamento para deslindar condiciones esenciales y no esenciales de las licencias o autorizaciones de auto-taxi reguladas por la Ley de la Asamblea de Madrid 20/1998, según la doctrina establecida en la STC 104/2009, no puede estimarse que vulnere el art. 25.1 CE.</w:t>
      </w:r>
    </w:p>
    <w:p w:rsidR="00BE7FB3" w:rsidRDefault="00BE7FB3" w:rsidP="00BE7FB3">
      <w:pPr>
        <w:pStyle w:val="TextoNormal"/>
      </w:pPr>
    </w:p>
    <w:p w:rsidR="00BE7FB3" w:rsidRDefault="00BE7FB3" w:rsidP="00BE7FB3">
      <w:pPr>
        <w:pStyle w:val="TextoNormal"/>
      </w:pPr>
      <w:r w:rsidRPr="00BE7FB3">
        <w:rPr>
          <w:rStyle w:val="NumeroAFNegritaCaracter"/>
        </w:rPr>
        <w:t>10</w:t>
      </w:r>
      <w:r>
        <w:t>. Por escrito presentado en el Registro General del Tribunal Constitucional el 8 de octubre de 2012, la Letrada de la Comunidad de Madrid se personó en este procedimiento y formuló alegaciones solicitando que se dicte Sentencia declarando la conformidad del precepto cuestionado con la Constitución.</w:t>
      </w:r>
    </w:p>
    <w:p w:rsidR="00BE7FB3" w:rsidRDefault="00BE7FB3" w:rsidP="00BE7FB3">
      <w:pPr>
        <w:pStyle w:val="TextoNormal"/>
      </w:pPr>
    </w:p>
    <w:p w:rsidR="00BE7FB3" w:rsidRDefault="00BE7FB3" w:rsidP="00BE7FB3">
      <w:pPr>
        <w:pStyle w:val="TextoNormal"/>
      </w:pPr>
      <w:r w:rsidRPr="00BE7FB3">
        <w:rPr>
          <w:rStyle w:val="NumeroAFNegritaCaracter"/>
        </w:rPr>
        <w:t>11</w:t>
      </w:r>
      <w:r>
        <w:t>. El 25 de octubre de 2012 el Fiscal General del Estado presentó su escrito de alegaciones en el Registro General del Tribunal Constitucional. A su juicio, el precepto legal cuestionado no prevé elemento alguno que defina cuándo unos hechos o circunstancias son condiciones esenciales de la licencia o autorización, sino que contiene una remisión genérica al reglamento que permite a esta norma tipificar autónomamente nuevas conductas merecedoras de sanción. Por ello considera que la remisión al reglamento que efectúa este precepto excede de la colaboración reglamentaria permitida por el art. 25.1 CE, solicitando que se estime la presente cuestión de inconstitucionalidad y, en consecuencia, que se anule el apartado 7 del art. 16.2 b) de la Ley de la Asamblea de Madrid 20/1998, de 27 de noviembre.</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Sección Segunda de la Sala de lo Contencioso-Administrativo del Tribunal Superior de Justicia de Madrid plantea cuestión de inconstitucionalidad respecto del apartado 7 del art. 16.2 b) de la Ley 20/1998, de 27 de noviembre, de ordenación y coordinación de los transportes urbanos de la Comunidad de Madrid. Este precepto ha sido declarado inconstitucional y nulo por la STC 13/2013, de 28 de enero (que resuelve la cuestión de inconstitucionalidad núm. 5371-2011, promovida por el mismo órgano judicial).</w:t>
      </w:r>
    </w:p>
    <w:p w:rsidR="00BE7FB3" w:rsidRDefault="00BE7FB3" w:rsidP="00BE7FB3">
      <w:pPr>
        <w:pStyle w:val="TextoNormal"/>
      </w:pPr>
    </w:p>
    <w:p w:rsidR="00BE7FB3" w:rsidRDefault="00BE7FB3" w:rsidP="00BE7FB3">
      <w:pPr>
        <w:pStyle w:val="TextoNormal"/>
      </w:pPr>
      <w:r>
        <w:t>Se sigue de ello que, una vez anulado por inconstitucional, el precepto cuestionado ha sido expulsado del ordenamiento jurídico, lo que impone ahora apreciar, conforme a reiterada jurisprudencia de este Tribunal (por todos, AATC 271/2005, de 21 de junio, FJ único; 290/2007, de 19 de junio, FJ único; y 231/2012, de 10 de diciembre, FJ único) la desaparición sobrevenida del objeto de la presente cuestión, al haber quedado disipada la duda de constitucionalidad planteada por el órgano judicial.</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4839-2012, por desaparición sobrevenida de su objeto.</w:t>
      </w:r>
    </w:p>
    <w:p w:rsidR="00BE7FB3" w:rsidRDefault="00BE7FB3" w:rsidP="00BE7FB3">
      <w:pPr>
        <w:pStyle w:val="TextoNormal"/>
      </w:pPr>
    </w:p>
    <w:p w:rsidR="00BE7FB3" w:rsidRDefault="00BE7FB3" w:rsidP="00BE7FB3">
      <w:pPr>
        <w:pStyle w:val="TextoNormal"/>
      </w:pPr>
      <w:r>
        <w:t>Madrid, a veinticinco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95" w:name="AUTO_2013_54"/>
      <w:r>
        <w:lastRenderedPageBreak/>
        <w:t>AUTO 54/2013, de 25 de febrero de 2013</w:t>
      </w:r>
    </w:p>
    <w:bookmarkEnd w:id="195"/>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ECLI:ES:TC:2013:54A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4840-2012, planteada por la Sala de lo Contencioso-Administrativo del Tribunal Superior de Justicia de Madrid en relación con el artículo 16.2 b) 7 de la Ley 20/1998, de 27 de noviembre, de ordenación y coordinación de los transportes urbanos de la Comunidad de Madrid.</w:t>
      </w:r>
    </w:p>
    <w:p w:rsidR="00BE7FB3" w:rsidRDefault="00BE7FB3" w:rsidP="00BE7FB3">
      <w:pPr>
        <w:pStyle w:val="SntesisDescriptiva"/>
      </w:pPr>
    </w:p>
    <w:p w:rsidR="00BE7FB3" w:rsidRDefault="00BE7FB3" w:rsidP="00BE7FB3">
      <w:pPr>
        <w:pStyle w:val="SntesisAnaltica"/>
      </w:pPr>
      <w:r>
        <w:t>Extinción de cuestión de inconstitucionalidad: ATC 50/2013;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6 de agosto de 2012 tuvo entrada en el Registro General de este Tribunal oficio de la Sección Segunda de la Sala de lo Contencioso-Administrativo del Tribunal Superior de Justicia de Madrid, al que se acompaña, junto con el testimonio del recurso de apelación núm. 214-2011 que se tramita ante dicha Sala, el Auto de 27 de junio de 2012, por el que se acuerda plantear cuestión de inconstitucionalidad respecto del apartado 7 del art. 16.2 b) de la Ley 20/1998, de 27 de noviembre, de ordenación y coordinación de los transportes urbanos de la Comunidad de Madrid, por posible vulneración del art. 25.1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de los que trae causa la presente cuestión de inconstitucionalidad son, sucintamente expuestos, los siguientes:</w:t>
      </w:r>
    </w:p>
    <w:p w:rsidR="00BE7FB3" w:rsidRDefault="00BE7FB3" w:rsidP="00BE7FB3">
      <w:pPr>
        <w:pStyle w:val="TextoNormal"/>
      </w:pPr>
    </w:p>
    <w:p w:rsidR="00BE7FB3" w:rsidRDefault="00BE7FB3" w:rsidP="00BE7FB3">
      <w:pPr>
        <w:pStyle w:val="TextoNormal"/>
      </w:pPr>
      <w:r>
        <w:t>a) Por resolución de 9 de octubre de 2008 (confirmada en reposición por resolución de 2 de abril de 2009), el Delegado de Área de Gobierno de Seguridad y Movilidad del Ayuntamiento de Madrid impuso una sanción de 2.000 euros a un taxista, con suspensión de la licencia de auto-taxi durante seis meses, por infracción del art. 16 de la Ley 20/1998, de 27 de noviembre, de ordenación y coordinación de los transportes urbanos de la Comunidad de Madrid, en relación con el art. 60 b) 7 del Decreto 74/2005, de 28 de julio, por el que se aprueba el Reglamento de los servicios de transporte público urbano en automóviles de turismo, y ello como consecuencia de la denuncia formulada por agentes municipales por “cargar viajeros fuera de la parada”.</w:t>
      </w:r>
    </w:p>
    <w:p w:rsidR="00BE7FB3" w:rsidRDefault="00BE7FB3" w:rsidP="00BE7FB3">
      <w:pPr>
        <w:pStyle w:val="TextoNormal"/>
      </w:pPr>
    </w:p>
    <w:p w:rsidR="00BE7FB3" w:rsidRDefault="00BE7FB3" w:rsidP="00BE7FB3">
      <w:pPr>
        <w:pStyle w:val="TextoNormal"/>
      </w:pPr>
      <w:r>
        <w:t>b) Contra las referidas resoluciones el interesado interpuso recurso contencioso-administrativo, que fue desestimado por Sentencia de 18 de octubre de 2010 del Juzgado de lo Contencioso-Administrativo núm. 18 de Madrid.</w:t>
      </w:r>
    </w:p>
    <w:p w:rsidR="00BE7FB3" w:rsidRDefault="00BE7FB3" w:rsidP="00BE7FB3">
      <w:pPr>
        <w:pStyle w:val="TextoNormal"/>
      </w:pPr>
    </w:p>
    <w:p w:rsidR="00BE7FB3" w:rsidRDefault="00BE7FB3" w:rsidP="00BE7FB3">
      <w:pPr>
        <w:pStyle w:val="TextoNormal"/>
      </w:pPr>
      <w:r>
        <w:t>c) La Sentencia fue recurrida en apelación (recurso núm. 214-2011). La Sección Segunda de la Sala de lo Contencioso-Administrativo del Tribunal Superior de Justicia de Madrid, por providencia de 7 de junio de 2012, otorgó un plazo de diez días a las partes y al Ministerio Fiscal para efectuar alegaciones sobre la pertinencia de plantear cuestión de inconstitucionalidad (art. 35.2 de la Ley Orgánica del Tribunal Constitucional: LOTC) en relación con el apartado 7 del art. 16.2 b) de la Ley 20/1998, de 27 de noviembre, de ordenación y coordinación de los transportes urbanos de la Comunidad de Madrid, al considerar que este precepto podría vulnerar el principio de legalidad sancionadora (art. 25.1 CE).</w:t>
      </w:r>
    </w:p>
    <w:p w:rsidR="00BE7FB3" w:rsidRDefault="00BE7FB3" w:rsidP="00BE7FB3">
      <w:pPr>
        <w:pStyle w:val="TextoNormal"/>
      </w:pPr>
    </w:p>
    <w:p w:rsidR="00BE7FB3" w:rsidRDefault="00BE7FB3" w:rsidP="00BE7FB3">
      <w:pPr>
        <w:pStyle w:val="TextoNormal"/>
      </w:pPr>
      <w:r>
        <w:t>El Letrado del Ayuntamiento de Madrid formuló alegaciones aduciendo que, en su opinión, no procedía plantear la cuestión de inconstitucionalidad. Por el contrario, el Ministerio Fiscal estimó pertinente su planteamiento. La parte recurrente no formuló alegaciones.</w:t>
      </w:r>
    </w:p>
    <w:p w:rsidR="00BE7FB3" w:rsidRDefault="00BE7FB3" w:rsidP="00BE7FB3">
      <w:pPr>
        <w:pStyle w:val="TextoNormal"/>
      </w:pPr>
    </w:p>
    <w:p w:rsidR="00BE7FB3" w:rsidRDefault="00BE7FB3" w:rsidP="00BE7FB3">
      <w:pPr>
        <w:pStyle w:val="TextoNormal"/>
      </w:pPr>
      <w:r w:rsidRPr="00BE7FB3">
        <w:rPr>
          <w:rStyle w:val="NumeroAFNegritaCaracter"/>
        </w:rPr>
        <w:t>3</w:t>
      </w:r>
      <w:r>
        <w:t>. Por Auto de 27 de junio de 2012, la Sección Segunda de la Sala de lo Contencioso-Administrativo del Tribunal Superior de Justicia de la Comunidad de Madrid acordó plantear la presente cuestión de inconstitucionalidad respecto del apartado 7 del art. 16.2 b) de la Ley 20/1998, de 27 de noviembre, de ordenación y coordinación de los transportes urbanos de la Comunidad de Madrid.</w:t>
      </w:r>
    </w:p>
    <w:p w:rsidR="00BE7FB3" w:rsidRDefault="00BE7FB3" w:rsidP="00BE7FB3">
      <w:pPr>
        <w:pStyle w:val="TextoNormal"/>
      </w:pPr>
    </w:p>
    <w:p w:rsidR="00BE7FB3" w:rsidRDefault="00BE7FB3" w:rsidP="00BE7FB3">
      <w:pPr>
        <w:pStyle w:val="TextoNormal"/>
      </w:pPr>
      <w:r>
        <w:t xml:space="preserve">El órgano judicial, invocando la doctrina de las SSTC 341/1993, de 18 de noviembre, y 26/2005, de 14 de febrero, considera que el precepto cuestionado vulnera el principio de legalidad sancionadora establecido en el art. 25.1 CE, en cuanto que efectúa una remisión en blanco a un reglamento para la configuración </w:t>
      </w:r>
      <w:r w:rsidRPr="00BE7FB3">
        <w:rPr>
          <w:i/>
        </w:rPr>
        <w:t>ex novo</w:t>
      </w:r>
      <w:r>
        <w:t xml:space="preserve"> de obligaciones o prohibiciones cuya contravención da origen a una infracción sancionable; en efecto, el inciso inicial del referido art. 16.2 b) dispone que “tendrá la consideración de infracción grave el incumplimiento de las condiciones esenciales de la licencia, salvo que deba considerarse como infracción muy grave”, y establece seguidamente —en el apartado 7 del mismo precepto— que entre esas condiciones esenciales se incluirán, además de las expresamente previstas en el mismo precepto, “cualesquiera otras que puedan establecerse reglamentariamente”.</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providencia de 19 de septiembre de 2012 el Pleno del Tribunal Constitucional acordó admitir a trámite la cuestión de inconstitucionalidad y deferir el conocimiento de la misma a la Sala Primera, a la que por turno objetivo le había correspondido; a la vez, de conformidad con el art. 37.3 LOTC, dar traslado de las actuaciones recibidas al Congreso de los Diputados, al Senado, al Gobierno y al Fiscal General del Estado, así como al Gobierno y a la Asamblea de la Comunidad de Madrid, al objeto de que, en el improrrogable plazo de quince días, pudieran personarse y formular las alegaciones que estimaran convenientes. De igual modo, acordó comunicar la providencia a la Sección Segunda de la Sala de lo Contencioso-Administrativo del Tribunal Superior de Justicia de Madrid a los efectos previstos en el art. 35.3 LOTC y publicar la incoación de la cuestión en el “Boletín Oficial del Estado” y en el “Boletín Oficial de la Comunidad de Madrid”.</w:t>
      </w:r>
    </w:p>
    <w:p w:rsidR="00BE7FB3" w:rsidRDefault="00BE7FB3" w:rsidP="00BE7FB3">
      <w:pPr>
        <w:pStyle w:val="TextoNormal"/>
      </w:pPr>
    </w:p>
    <w:p w:rsidR="00BE7FB3" w:rsidRDefault="00BE7FB3" w:rsidP="00BE7FB3">
      <w:pPr>
        <w:pStyle w:val="TextoNormal"/>
      </w:pPr>
      <w:r w:rsidRPr="00BE7FB3">
        <w:rPr>
          <w:rStyle w:val="NumeroAFNegritaCaracter"/>
        </w:rPr>
        <w:t>5</w:t>
      </w:r>
      <w:r>
        <w:t>. El Presidente del Senado, mediante escrito registrado en este Tribunal el 4 de octubre de 2012, comunicó que dicha Cámara había adoptado el acuerdo de personarse en el proceso,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6</w:t>
      </w:r>
      <w:r>
        <w:t>. El Abogado del Estado, por escrito presentado en el registro general de este Tribunal el 5 de octubre de 2012, se personó y formuló alegaciones, interesando la desestimación de la presente cuestión, por entender que la colaboración del reglamento para deslindar condiciones esenciales y no esenciales de las licencias o autorizaciones de auto-taxi reguladas por la Ley de la Asamblea de Madrid 20/1998 no vulnera el art. 25.1 CE.</w:t>
      </w:r>
    </w:p>
    <w:p w:rsidR="00BE7FB3" w:rsidRDefault="00BE7FB3" w:rsidP="00BE7FB3">
      <w:pPr>
        <w:pStyle w:val="TextoNormal"/>
      </w:pPr>
    </w:p>
    <w:p w:rsidR="00BE7FB3" w:rsidRDefault="00BE7FB3" w:rsidP="00BE7FB3">
      <w:pPr>
        <w:pStyle w:val="TextoNormal"/>
      </w:pPr>
      <w:r w:rsidRPr="00BE7FB3">
        <w:rPr>
          <w:rStyle w:val="NumeroAFNegritaCaracter"/>
        </w:rPr>
        <w:t>7</w:t>
      </w:r>
      <w:r>
        <w:t>. Por escrito presentado en el Registro General de este Tribunal el 8 de octubre de 2012, la Letrada de la Comunidad de Madrid se personó en este proceso en representación del Gobierno de dicha Comunidad Autónoma y formuló alegaciones, interesando igualmente que se dictase Sentencia que declare la constitucionalidad del precepto cuestionado, por entender que no infringe el principio de legalidad sancionadora del art. 25.1 CE.</w:t>
      </w:r>
    </w:p>
    <w:p w:rsidR="00BE7FB3" w:rsidRDefault="00BE7FB3" w:rsidP="00BE7FB3">
      <w:pPr>
        <w:pStyle w:val="TextoNormal"/>
      </w:pPr>
    </w:p>
    <w:p w:rsidR="00BE7FB3" w:rsidRDefault="00BE7FB3" w:rsidP="00BE7FB3">
      <w:pPr>
        <w:pStyle w:val="TextoNormal"/>
      </w:pPr>
      <w:r w:rsidRPr="00BE7FB3">
        <w:rPr>
          <w:rStyle w:val="NumeroAFNegritaCaracter"/>
        </w:rPr>
        <w:t>8</w:t>
      </w:r>
      <w:r>
        <w:t>. Mediante escrito registrado en este Tribunal el 10 de octubre de 2012, el Presidente de la Asamblea de la Comunidad de Madrid comunicó que dicha Cámara no se personaría en el proceso ni formularía alegaciones.</w:t>
      </w:r>
    </w:p>
    <w:p w:rsidR="00BE7FB3" w:rsidRDefault="00BE7FB3" w:rsidP="00BE7FB3">
      <w:pPr>
        <w:pStyle w:val="TextoNormal"/>
      </w:pPr>
    </w:p>
    <w:p w:rsidR="00BE7FB3" w:rsidRDefault="00BE7FB3" w:rsidP="00BE7FB3">
      <w:pPr>
        <w:pStyle w:val="TextoNormal"/>
      </w:pPr>
      <w:r w:rsidRPr="00BE7FB3">
        <w:rPr>
          <w:rStyle w:val="NumeroAFNegritaCaracter"/>
        </w:rPr>
        <w:t>9</w:t>
      </w:r>
      <w:r>
        <w:t>. El Presidente del Congreso de los Diputados, mediante escrito registrado en este Tribunal el 15 de octubre de 2012, comunicó a su vez que la Cámara había adoptado el acuerdo de personarse en el proceso,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10</w:t>
      </w:r>
      <w:r>
        <w:t>. El Fiscal General del Estado presentó su escrito de alegaciones en este Tribunal el 25 de octubre de 2012, razonando que el precepto legal cuestionado contiene una remisión en blanco a la potestad reglamentaria, que vulnera el principio de legalidad sancionadora del art. 25.1 CE. En consecuencia, interesa que se declare la inconstitucionalidad y nulidad del apartado 7 del art. 16.2 b) de la Ley de la Asamblea de Madrid 20/1998.</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Sección Segunda de la Sala de lo Contencioso-Administrativo del Tribunal Superior de Justicia de Madrid plantea cuestión de inconstitucionalidad respecto del apartado 7 del art. 16.2 b) de la Ley 20/1998, de 27 de noviembre, de ordenación y coordinación de los transportes urbanos de la Comunidad de Madrid. Este precepto ha sido declarado inconstitucional y nulo por la STC 13/2013, de 28 de enero (que resuelve la cuestión de inconstitucionalidad núm. 5371-2011, promovida por el mismo órgano judicial).</w:t>
      </w:r>
    </w:p>
    <w:p w:rsidR="00BE7FB3" w:rsidRDefault="00BE7FB3" w:rsidP="00BE7FB3">
      <w:pPr>
        <w:pStyle w:val="TextoNormal"/>
      </w:pPr>
    </w:p>
    <w:p w:rsidR="00BE7FB3" w:rsidRDefault="00BE7FB3" w:rsidP="00BE7FB3">
      <w:pPr>
        <w:pStyle w:val="TextoNormal"/>
      </w:pPr>
      <w:r>
        <w:t>Se sigue de ello que, una vez anulado por inconstitucional, el precepto cuestionado ha sido expulsado del ordenamiento jurídico, lo que impone ahora apreciar, conforme a reiterada jurisprudencia de este Tribunal (por todos, AATC 271/2005, de 21 de junio, FJ único; 290/2007, de 19 de junio, FJ único; y 231/2012, de 10 de diciembre, FJ único) la desaparición sobrevenida del objeto de la presente cuestión, al haber quedado disipada la duda de constitucionalidad planteada por el órgano judicial.</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4840-2012, por desaparición sobrevenida de su objeto.</w:t>
      </w:r>
    </w:p>
    <w:p w:rsidR="00BE7FB3" w:rsidRDefault="00BE7FB3" w:rsidP="00BE7FB3">
      <w:pPr>
        <w:pStyle w:val="TextoNormal"/>
      </w:pPr>
    </w:p>
    <w:p w:rsidR="00BE7FB3" w:rsidRDefault="00BE7FB3" w:rsidP="00BE7FB3">
      <w:pPr>
        <w:pStyle w:val="TextoNormal"/>
      </w:pPr>
      <w:r>
        <w:t>Madrid, a veinticinco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96" w:name="AUTO_2013_55"/>
      <w:r>
        <w:lastRenderedPageBreak/>
        <w:t>AUTO 55/2013, de 25 de febrero de 2013</w:t>
      </w:r>
    </w:p>
    <w:bookmarkEnd w:id="196"/>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ECLI:ES:TC:2013:55A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extinción de la cuestión de inconstitucionalidad 4951-2012, planteada por la Sala de lo Contencioso-Administrativo del Tribunal Superior de Justicia de Madrid en relación con el artículo 16.2 b) 7 de la Ley 20/1998, de 27 de noviembre, de ordenación y coordinación de los transportes urbanos de la Comunidad de Madrid.</w:t>
      </w:r>
    </w:p>
    <w:p w:rsidR="00BE7FB3" w:rsidRDefault="00BE7FB3" w:rsidP="00BE7FB3">
      <w:pPr>
        <w:pStyle w:val="SntesisDescriptiva"/>
      </w:pPr>
    </w:p>
    <w:p w:rsidR="00BE7FB3" w:rsidRDefault="00BE7FB3" w:rsidP="00BE7FB3">
      <w:pPr>
        <w:pStyle w:val="SntesisAnaltica"/>
      </w:pPr>
      <w:r>
        <w:t>Extinción de cuestión de inconstitucionalidad: ATC 50/2013;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4 de septiembre de 2012 tuvo entrada en el Registro General de este Tribunal oficio de la Sección Segunda de la Sala de lo Contencioso-Administrativo del Tribunal Superior de Justicia de Madrid, al que se acompaña, junto con el testimonio del recurso de apelación núm. 778-2010 que se tramita ante dicha Sala, el Auto de 2 de julio de 2012, por el que se acuerda plantear cuestión de inconstitucionalidad respecto del apartado 7 del art. 16.2 b) de la Ley 20/1998, de 27 de noviembre, de ordenación y coordinación de los transportes urbanos de la Comunidad de Madrid, por posible vulneración del art. 25.1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de los que trae causa la presente cuestión de inconstitucionalidad son, sucintamente expuestos, los siguientes:</w:t>
      </w:r>
    </w:p>
    <w:p w:rsidR="00BE7FB3" w:rsidRDefault="00BE7FB3" w:rsidP="00BE7FB3">
      <w:pPr>
        <w:pStyle w:val="TextoNormal"/>
      </w:pPr>
    </w:p>
    <w:p w:rsidR="00BE7FB3" w:rsidRDefault="00BE7FB3" w:rsidP="00BE7FB3">
      <w:pPr>
        <w:pStyle w:val="TextoNormal"/>
      </w:pPr>
      <w:r>
        <w:t>a) Por resolución del Delegado de Área de Gobierno de Seguridad y Movilidad del Ayuntamiento de Madrid de 27 de noviembre de 2007 se impuso una sanción de 2.000 euros a un taxista por infracción del art. 16 de la Ley 20/1998, de 27 de noviembre, de ordenación y coordinación de los transportes urbanos de la Comunidad de Madrid, en relación con el art. 60 b) 7 del Decreto 74/2005, de 28 de julio, por el que se aprueba el Reglamento de los servicios de transporte público urbano en automóviles de turismo, por incumplimiento de las condiciones de prestación del servicio relativas al régimen de paradas, al haber esperado y recogido viajeros fuera de la parada oficial. Este acto administrativo fue recurrido en reposición, recurso que fue desestimado por resolución del Delegado de Área de Gobierno de Seguridad y Movilidad del Ayuntamiento de Madrid de 5 de septiembre de 2008.</w:t>
      </w:r>
    </w:p>
    <w:p w:rsidR="00BE7FB3" w:rsidRDefault="00BE7FB3" w:rsidP="00BE7FB3">
      <w:pPr>
        <w:pStyle w:val="TextoNormal"/>
      </w:pPr>
    </w:p>
    <w:p w:rsidR="00BE7FB3" w:rsidRDefault="00BE7FB3" w:rsidP="00BE7FB3">
      <w:pPr>
        <w:pStyle w:val="TextoNormal"/>
      </w:pPr>
      <w:r>
        <w:lastRenderedPageBreak/>
        <w:t>b) Contra las referidas resoluciones el interesado interpuso recurso contencioso-administrativo, que fue estimado por Sentencia de 31 de marzo de 2010 del Juzgado de lo Contencioso-Administrativo núm. 10 de Madrid.</w:t>
      </w:r>
    </w:p>
    <w:p w:rsidR="00BE7FB3" w:rsidRDefault="00BE7FB3" w:rsidP="00BE7FB3">
      <w:pPr>
        <w:pStyle w:val="TextoNormal"/>
      </w:pPr>
    </w:p>
    <w:p w:rsidR="00BE7FB3" w:rsidRDefault="00BE7FB3" w:rsidP="00BE7FB3">
      <w:pPr>
        <w:pStyle w:val="TextoNormal"/>
      </w:pPr>
      <w:r>
        <w:t>c) La Sentencia fue recurrida en apelación (recurso núm. 778-2010). La Sección Segunda de la Sala de lo Contencioso-Administrativo del Tribunal Superior de Justicia de Madrid, por providencia de 7 de junio de 2012, otorgó un plazo de diez días a las partes y al Ministerio Fiscal para efectuar alegaciones sobre la pertinencia de plantear cuestión de inconstitucionalidad (art. 35.2 de la Ley Orgánica del Tribunal Constitucional: LOTC) en relación con el apartado 7 del art. 16.2 b) de la Ley 20/1998, de 27 de noviembre, de ordenación y coordinación de los transportes urbanos de la Comunidad de Madrid, al considerar que este precepto podría vulnerar el principio de legalidad sancionadora (art. 25.1 CE).</w:t>
      </w:r>
    </w:p>
    <w:p w:rsidR="00BE7FB3" w:rsidRDefault="00BE7FB3" w:rsidP="00BE7FB3">
      <w:pPr>
        <w:pStyle w:val="TextoNormal"/>
      </w:pPr>
    </w:p>
    <w:p w:rsidR="00BE7FB3" w:rsidRDefault="00BE7FB3" w:rsidP="00BE7FB3">
      <w:pPr>
        <w:pStyle w:val="TextoNormal"/>
      </w:pPr>
      <w:r>
        <w:t>El Letrado del Ayuntamiento de Madrid formuló alegaciones aduciendo que, en su opinión, no procedía plantear la cuestión de inconstitucionalidad. Por el contrario, la parte recurrente y el Ministerio Fiscal estimaron pertinente su planteamiento.</w:t>
      </w:r>
    </w:p>
    <w:p w:rsidR="00BE7FB3" w:rsidRDefault="00BE7FB3" w:rsidP="00BE7FB3">
      <w:pPr>
        <w:pStyle w:val="TextoNormal"/>
      </w:pPr>
    </w:p>
    <w:p w:rsidR="00BE7FB3" w:rsidRDefault="00BE7FB3" w:rsidP="00BE7FB3">
      <w:pPr>
        <w:pStyle w:val="TextoNormal"/>
      </w:pPr>
      <w:r w:rsidRPr="00BE7FB3">
        <w:rPr>
          <w:rStyle w:val="NumeroAFNegritaCaracter"/>
        </w:rPr>
        <w:t>3</w:t>
      </w:r>
      <w:r>
        <w:t>. Por Auto de 2 de julio de 2012 la Sección Segunda de la Sala de lo Contencioso-Administrativo del Tribunal Superior de Justicia de la Comunidad de Madrid acordó plantear la presente cuestión de inconstitucionalidad respecto del apartado 7 del art. 16.2 b) de la Ley 20/1998, de 27 de noviembre, de ordenación y coordinación de los transportes urbanos de la Comunidad de Madrid.</w:t>
      </w:r>
    </w:p>
    <w:p w:rsidR="00BE7FB3" w:rsidRDefault="00BE7FB3" w:rsidP="00BE7FB3">
      <w:pPr>
        <w:pStyle w:val="TextoNormal"/>
      </w:pPr>
    </w:p>
    <w:p w:rsidR="00BE7FB3" w:rsidRDefault="00BE7FB3" w:rsidP="00BE7FB3">
      <w:pPr>
        <w:pStyle w:val="TextoNormal"/>
      </w:pPr>
      <w:r>
        <w:t xml:space="preserve">El órgano judicial, invocando la doctrina de las SSTC 341/1993, de 18 de noviembre y 26/2005, de 14 de febrero, considera que el precepto cuestionado vulnera el principio de legalidad sancionadora establecido en el art. 25.1 CE en cuanto que efectúa una remisión en blanco a un reglamento para la configuración </w:t>
      </w:r>
      <w:r w:rsidRPr="00BE7FB3">
        <w:rPr>
          <w:i/>
        </w:rPr>
        <w:t>ex novo</w:t>
      </w:r>
      <w:r>
        <w:t xml:space="preserve"> de obligaciones o prohibiciones cuya contravención da origen a una infracción sancionable, al disponer el inciso inicial del referido art. 16.2 b) que “tendrá la consideración de infracción grave el incumplimiento de las condiciones esenciales de la licencia, salvo que deba considerarse como infracción muy grave”, y establecer seguidamente —en el apartado 7 del mismo precepto— que entre esas condiciones esenciales se incluirán, además de las expresamente previstas en el mismo precepto , “cualesquiera otras que puedan establecerse reglamentariamente”.</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providencia de 2 de octubre de 2012 el Pleno del Tribunal Constitucional acordó admitir a trámite la cuestión de inconstitucionalidad y deferir el conocimiento de la misma a la Sala Segunda, a la que por turno objetivo le ha correspondido; asimismo se acordó, de conformidad con lo establecido en el art. 37.3 LOTC, dar traslado de las actuaciones recibidas al Congreso de los Diputados, al Senado, al Gobierno y al Fiscal General del Estado, así como al Gobierno y a la Asamblea de la Comunidad de Madrid, al objeto de que, en el improrrogable plazo de quince días pudieran personarse y formular las alegaciones que estimaran convenientes. De igual modo, se acordó comunicar la providencia a la Sección Segunda de la Sala de lo Contencioso-Administrativo del Tribunal Superior de Justicia de Madrid a los efectos previstos en el art. 35.3 LOTC y publicar la incoación de la cuestión en el “Boletín Oficial del Estado” y en el “Boletín Oficial de la Comunidad de Madrid”.</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5</w:t>
      </w:r>
      <w:r>
        <w:t>. El Presidente del Congreso de los Diputados, mediante escrito registrado en este Tribunal el 17 de octubre de 2012, comunicó que la Cámara ha adoptado el acuerdo de personarse en el proceso,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Presidente del Senado, mediante escrito registrado en este Tribunal el 17 de octubre de 2012 comunicó a su vez que dicha Cámara había adoptado el acuerdo de personarse en el proceso,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El Presidente de la Asamblea de la Comunidad de Madrid comunicó al Tribunal el 25 de octubre de 2012 que dicha Cámara no se personaría en el proceso ni formularía alegaciones.</w:t>
      </w:r>
    </w:p>
    <w:p w:rsidR="00BE7FB3" w:rsidRDefault="00BE7FB3" w:rsidP="00BE7FB3">
      <w:pPr>
        <w:pStyle w:val="TextoNormal"/>
      </w:pPr>
    </w:p>
    <w:p w:rsidR="00BE7FB3" w:rsidRDefault="00BE7FB3" w:rsidP="00BE7FB3">
      <w:pPr>
        <w:pStyle w:val="TextoNormal"/>
      </w:pPr>
      <w:r w:rsidRPr="00BE7FB3">
        <w:rPr>
          <w:rStyle w:val="NumeroAFNegritaCaracter"/>
        </w:rPr>
        <w:t>8</w:t>
      </w:r>
      <w:r>
        <w:t>. El Abogado del Estado, por escrito presentado en el Registro General de este Tribunal el 25 de octubre de 2012, se personó y formuló alegaciones, interesando la desestimación de la presente cuestión, por entender que la colaboración del reglamento para deslindar condiciones esenciales y no esenciales de las licencias o autorizaciones de auto-taxi reguladas por la Ley de la Asamblea de Madrid 20/1998, no puede estimarse que vulnere el art. 25.1 CE.</w:t>
      </w:r>
    </w:p>
    <w:p w:rsidR="00BE7FB3" w:rsidRDefault="00BE7FB3" w:rsidP="00BE7FB3">
      <w:pPr>
        <w:pStyle w:val="TextoNormal"/>
      </w:pPr>
    </w:p>
    <w:p w:rsidR="00BE7FB3" w:rsidRDefault="00BE7FB3" w:rsidP="00BE7FB3">
      <w:pPr>
        <w:pStyle w:val="TextoNormal"/>
      </w:pPr>
      <w:r w:rsidRPr="00BE7FB3">
        <w:rPr>
          <w:rStyle w:val="NumeroAFNegritaCaracter"/>
        </w:rPr>
        <w:t>9</w:t>
      </w:r>
      <w:r>
        <w:t>. Por escrito presentado en el registro general de este Tribunal el 29 de octubre de 2012, la Letrada de la Comunidad de Madrid se personó en este proceso en representación del Gobierno de la Comunidad de Madrid y formuló alegaciones, interesando que se dicte Sentencia declarando la constitucionalidad del precepto cuestionado, por entender que no infringe el principio de legalidad sancionadora del art. 25.1 CE.</w:t>
      </w:r>
    </w:p>
    <w:p w:rsidR="00BE7FB3" w:rsidRDefault="00BE7FB3" w:rsidP="00BE7FB3">
      <w:pPr>
        <w:pStyle w:val="TextoNormal"/>
      </w:pPr>
    </w:p>
    <w:p w:rsidR="00BE7FB3" w:rsidRDefault="00BE7FB3" w:rsidP="00BE7FB3">
      <w:pPr>
        <w:pStyle w:val="TextoNormal"/>
      </w:pPr>
      <w:r w:rsidRPr="00BE7FB3">
        <w:rPr>
          <w:rStyle w:val="NumeroAFNegritaCaracter"/>
        </w:rPr>
        <w:t>10</w:t>
      </w:r>
      <w:r>
        <w:t>. El Fiscal General del Estado presentó su escrito de alegaciones en este Tribunal el 12 de noviembre de 2012, razonando que el precepto legal cuestionado contiene una remisión en blanco a la potestad reglamentaria, que vulnera el principio de legalidad sancionadora del art. 25.1 CE. En consecuencia, interesa que se declare la inconstitucionalidad y nulidad del apartado 7 del art. 16.2 b) de la Ley 20/1998, de 27 de noviembre, de ordenación y coordinación de los transportes urbanos de la Comunidad de Madrid.</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Sección Segunda de la Sala de lo Contencioso-Administrativo del Tribunal Superior de Justicia de Madrid plantea cuestión de inconstitucionalidad respecto del apartado 7 del art. 16.2 b) de la Ley 20/1998, de 27 de noviembre, de ordenación y coordinación de los transportes urbanos de la Comunidad de Madrid, precepto que ha sido declarado inconstitucional y nulo por la STC 13/2013, de 28 de enero (que resuelve la cuestión de inconstitucionalidad núm. 5371-2011, promovida por el mismo órgano judicial. Se sigue de ello que, una vez anulado por inconstitucional, el precepto cuestionado ha sido expulsado del ordenamiento jurídico, lo que impone ahora apreciar, conforme a reiterada doctrina de este Tribunal (por todos, AATC 271/2005, de 21 de junio, FJ único; 290/2007, de 19 de junio, FJ único; y 231/2012, de 10 de diciembre, FJ único) la desaparición sobrevenida del </w:t>
      </w:r>
      <w:r>
        <w:lastRenderedPageBreak/>
        <w:t>objeto de la presente cuestión, al haber quedado disipada la duda de constitucionalidad planteada por el órgano judicial.</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4951-2012, por desaparición sobrevenida de su objeto.</w:t>
      </w:r>
    </w:p>
    <w:p w:rsidR="00BE7FB3" w:rsidRDefault="00BE7FB3" w:rsidP="00BE7FB3">
      <w:pPr>
        <w:pStyle w:val="TextoNormal"/>
      </w:pPr>
    </w:p>
    <w:p w:rsidR="00BE7FB3" w:rsidRDefault="00BE7FB3" w:rsidP="00BE7FB3">
      <w:pPr>
        <w:pStyle w:val="TextoNormal"/>
      </w:pPr>
      <w:r>
        <w:t>Madrid, a veinticinco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97" w:name="AUTO_2013_56"/>
      <w:r>
        <w:lastRenderedPageBreak/>
        <w:t>AUTO 56/2013, de 25 de febrero de 2013</w:t>
      </w:r>
    </w:p>
    <w:bookmarkEnd w:id="197"/>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ECLI:ES:TC:2013:56A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suspensión en el recurso de amparo 6076-2012, promovido por don José Luis Calvo Picallo en procedimiento de ejecución hipotecaria.</w:t>
      </w:r>
    </w:p>
    <w:p w:rsidR="00BE7FB3" w:rsidRDefault="00BE7FB3" w:rsidP="00BE7FB3">
      <w:pPr>
        <w:pStyle w:val="SntesisDescriptiva"/>
      </w:pPr>
    </w:p>
    <w:p w:rsidR="00BE7FB3" w:rsidRDefault="00BE7FB3" w:rsidP="00BE7FB3">
      <w:pPr>
        <w:pStyle w:val="SntesisAnaltica"/>
      </w:pPr>
      <w:r>
        <w:t>Suspensión cautelar de resoluciones civiles: subasta de bienes embargados, suspende.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el 29 de octubre de 2012, don José Luis Calvo Picallo e Instalaciones Climatización de Galicia, S.L., representados por el Procurador de los Tribunales don Argimiro Vázquez Guillén y asistidos por el Letrado don Manuel Arias Eibe, interpusieron recurso de amparo contra el Auto dictado el 9 de octubre de 2012 por el Juzgado de Primera Instancia núm. 5 de Ferrol, que desestimó la petición de nulidad de actuaciones promovida en el proceso de ejecución hipotecaria núm. 228-2011. La demanda de amparo solicita se dicte Sentencia declarando que se ha vulnerado el derecho de la parte recurrente a la tutela judicial efectiva y, a tal fin, se insta la anulación del Auto de 9 de octubre de 2012 recurrido, con retroacción de actuaciones al momento del emplazamiento y requerimiento.</w:t>
      </w:r>
    </w:p>
    <w:p w:rsidR="00BE7FB3" w:rsidRDefault="00BE7FB3" w:rsidP="00BE7FB3">
      <w:pPr>
        <w:pStyle w:val="TextoNormal"/>
      </w:pPr>
    </w:p>
    <w:p w:rsidR="00BE7FB3" w:rsidRDefault="00BE7FB3" w:rsidP="00BE7FB3">
      <w:pPr>
        <w:pStyle w:val="TextoNormal"/>
      </w:pPr>
      <w:r>
        <w:t>Mediante otrosí se solicita, al amparo de lo dispuesto en el art. 56 de la Ley Orgánica del Tribunal Constitucional (LOTC), la suspensión de la resolución impugnada.</w:t>
      </w:r>
    </w:p>
    <w:p w:rsidR="00BE7FB3" w:rsidRDefault="00BE7FB3" w:rsidP="00BE7FB3">
      <w:pPr>
        <w:pStyle w:val="TextoNormal"/>
      </w:pPr>
    </w:p>
    <w:p w:rsidR="00BE7FB3" w:rsidRDefault="00BE7FB3" w:rsidP="00BE7FB3">
      <w:pPr>
        <w:pStyle w:val="TextoNormal"/>
      </w:pPr>
      <w:r w:rsidRPr="00BE7FB3">
        <w:rPr>
          <w:rStyle w:val="NumeroAFNegritaCaracter"/>
        </w:rPr>
        <w:t>2</w:t>
      </w:r>
      <w:r>
        <w:t>. Sucintamente expuestos, los hechos relevantes para resolver la pretensión de que se adopte la medida cautelar solicitada son los siguientes:</w:t>
      </w:r>
    </w:p>
    <w:p w:rsidR="00BE7FB3" w:rsidRDefault="00BE7FB3" w:rsidP="00BE7FB3">
      <w:pPr>
        <w:pStyle w:val="TextoNormal"/>
      </w:pPr>
    </w:p>
    <w:p w:rsidR="00BE7FB3" w:rsidRDefault="00BE7FB3" w:rsidP="00BE7FB3">
      <w:pPr>
        <w:pStyle w:val="TextoNormal"/>
      </w:pPr>
      <w:r>
        <w:t>a) A instancia de la entidad BBVA, el Juzgado de Primera Instancia núm. 5 de Ferrol inició procedimiento de ejecución hipotecaria número 228-2011, en fecha 21 de noviembre de 2011, contra don José Luis Calvo Picallo e Instalaciones Climatización de Galicia, S.L., y sobre la finca registral hipotecada núm. 8178, inscrita en el Registro de la Propiedad de Pontedeume.</w:t>
      </w:r>
    </w:p>
    <w:p w:rsidR="00BE7FB3" w:rsidRDefault="00BE7FB3" w:rsidP="00BE7FB3">
      <w:pPr>
        <w:pStyle w:val="TextoNormal"/>
      </w:pPr>
    </w:p>
    <w:p w:rsidR="00BE7FB3" w:rsidRDefault="00BE7FB3" w:rsidP="00BE7FB3">
      <w:pPr>
        <w:pStyle w:val="TextoNormal"/>
      </w:pPr>
      <w:r>
        <w:t>b) El Juzgado practicó el requerimiento de pago en el domicilio que constaba en la escritura de hipoteca y en el Registro, con resultado negativo, tras lo cual se practicó el requerimiento de pago mediante edictos en la forma prevista en el art. 164 de la Ley de enjuiciamiento civil, e igualmente notificó por edictos la convocatoria de subasta.</w:t>
      </w:r>
    </w:p>
    <w:p w:rsidR="00BE7FB3" w:rsidRDefault="00BE7FB3" w:rsidP="00BE7FB3">
      <w:pPr>
        <w:pStyle w:val="TextoNormal"/>
      </w:pPr>
    </w:p>
    <w:p w:rsidR="00BE7FB3" w:rsidRDefault="00BE7FB3" w:rsidP="00BE7FB3">
      <w:pPr>
        <w:pStyle w:val="TextoNormal"/>
      </w:pPr>
      <w:r>
        <w:t>c) Habiendo tenido conocimiento del procedimiento los demandantes en fecha 10 de julio de 2012, según manifiestan, se personaron en autos y plantearon incidente de nulidad de actuaciones, que fue desestimado por el Auto impugnado de fecha 9 de octubre de 2012.</w:t>
      </w:r>
    </w:p>
    <w:p w:rsidR="00BE7FB3" w:rsidRDefault="00BE7FB3" w:rsidP="00BE7FB3">
      <w:pPr>
        <w:pStyle w:val="TextoNormal"/>
      </w:pPr>
    </w:p>
    <w:p w:rsidR="00BE7FB3" w:rsidRDefault="00BE7FB3" w:rsidP="00BE7FB3">
      <w:pPr>
        <w:pStyle w:val="TextoNormal"/>
      </w:pPr>
      <w:r w:rsidRPr="00BE7FB3">
        <w:rPr>
          <w:rStyle w:val="NumeroAFNegritaCaracter"/>
        </w:rPr>
        <w:t>3</w:t>
      </w:r>
      <w:r>
        <w:t>. En la demanda de amparo se alega la vulneración del derecho a obtener la tutela judicial efectiva sin indefensión (art. 24.1 CE) al no haber sido emplazados ni requeridos de pago en su domicilio real, y que de la documentación aportada a la demanda de ejecución se desprendía otro domicilio —el real en la localidad de A Capela— sin que el órgano jurisdiccional realizara ninguna diligencia previa a la comunicación edictal para emplazar a los demandantes en su verdadero domicilio que constaba en autos.</w:t>
      </w:r>
    </w:p>
    <w:p w:rsidR="00BE7FB3" w:rsidRDefault="00BE7FB3" w:rsidP="00BE7FB3">
      <w:pPr>
        <w:pStyle w:val="TextoNormal"/>
      </w:pPr>
    </w:p>
    <w:p w:rsidR="00BE7FB3" w:rsidRDefault="00BE7FB3" w:rsidP="00BE7FB3">
      <w:pPr>
        <w:pStyle w:val="TextoNormal"/>
      </w:pPr>
      <w:r>
        <w:t>Por otrosí, en la misma demanda, de acuerdo con lo previsto en el art. 56.3 LOTC, los demandantes solicitan la suspensión de la ejecución de la resolución recurrida que se concreta en el Auto del Juzgado de Primera Instancia núm. 5 de El Ferrol, de fecha 8 de octubre de 2012, con el objeto de poder garantizar la defensa de sus derechos fundamentales en el proceso civil, sin hacer perder la finalidad del recurso, ya que de lo contrario no se podría restituir la propiedad, de ejecutarse la subasta.</w:t>
      </w:r>
    </w:p>
    <w:p w:rsidR="00BE7FB3" w:rsidRDefault="00BE7FB3" w:rsidP="00BE7FB3">
      <w:pPr>
        <w:pStyle w:val="TextoNormal"/>
      </w:pPr>
    </w:p>
    <w:p w:rsidR="00BE7FB3" w:rsidRDefault="00BE7FB3" w:rsidP="00BE7FB3">
      <w:pPr>
        <w:pStyle w:val="TextoNormal"/>
      </w:pPr>
      <w:r w:rsidRPr="00BE7FB3">
        <w:rPr>
          <w:rStyle w:val="NumeroAFNegritaCaracter"/>
        </w:rPr>
        <w:t>4</w:t>
      </w:r>
      <w:r>
        <w:t>. La Sala Primera de este Tribunal acordó en providencia de 28 de enero de 2013 la admisión a trámite de la demanda de amparo, acordándose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BE7FB3" w:rsidRDefault="00BE7FB3" w:rsidP="00BE7FB3">
      <w:pPr>
        <w:pStyle w:val="TextoNormal"/>
      </w:pPr>
    </w:p>
    <w:p w:rsidR="00BE7FB3" w:rsidRDefault="00BE7FB3" w:rsidP="00BE7FB3">
      <w:pPr>
        <w:pStyle w:val="TextoNormal"/>
      </w:pPr>
      <w:r w:rsidRPr="00BE7FB3">
        <w:rPr>
          <w:rStyle w:val="NumeroAFNegritaCaracter"/>
        </w:rPr>
        <w:t>5</w:t>
      </w:r>
      <w:r>
        <w:t>. La representación procesal del recurrente presentó escrito el 4 de febrero de 2013, en el que se ratifica en la petición de suspensión solicitada en su día.</w:t>
      </w:r>
    </w:p>
    <w:p w:rsidR="00BE7FB3" w:rsidRDefault="00BE7FB3" w:rsidP="00BE7FB3">
      <w:pPr>
        <w:pStyle w:val="TextoNormal"/>
      </w:pPr>
    </w:p>
    <w:p w:rsidR="00BE7FB3" w:rsidRDefault="00BE7FB3" w:rsidP="00BE7FB3">
      <w:pPr>
        <w:pStyle w:val="TextoNormal"/>
      </w:pPr>
      <w:r w:rsidRPr="00BE7FB3">
        <w:rPr>
          <w:rStyle w:val="NumeroAFNegritaCaracter"/>
        </w:rPr>
        <w:t>6</w:t>
      </w:r>
      <w:r>
        <w:t>. En su escrito presentado el 8 de febrero de 2013, el Ministerio Fiscal interesa que se dicte Auto acordando la suspensión de la resolución recurrida en la demanda de amparo.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objeto de esta pieza cautelar de suspensión se concreta en determinar la procedencia de acordar la suspensión del Auto dictado por el Juzgado de Primera Instancia núm. 5 de El Ferrol de 9 de octubre de 2012 que desestimó la petición de nulidad instada en el proceso de ejecución hipotecaria núm. 228-2011. La pretensión formulada se inserta en la facultad de este Tribunal Constitucional de adoptar medidas cautelares en los procesos de amparo, reconocida en el art. 56 de la Ley Orgánica del Tribunal Constitucional (LOTC) y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BE7FB3" w:rsidRDefault="00BE7FB3" w:rsidP="00BE7FB3">
      <w:pPr>
        <w:pStyle w:val="TextoNormal"/>
      </w:pPr>
    </w:p>
    <w:p w:rsidR="00BE7FB3" w:rsidRDefault="00BE7FB3" w:rsidP="00BE7FB3">
      <w:pPr>
        <w:pStyle w:val="TextoNormal"/>
      </w:pPr>
      <w:r>
        <w:t xml:space="preserve">También en relación con la clase de medidas cautelares susceptibles de adoptarse en tales supuestos, junto a la suspensión del acto o resolución impugnados (art. 56.2 LOTC), se </w:t>
      </w:r>
      <w:r>
        <w:lastRenderedPageBreak/>
        <w:t>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00BE7FB3" w:rsidRDefault="00BE7FB3" w:rsidP="00BE7FB3">
      <w:pPr>
        <w:pStyle w:val="TextoNormal"/>
      </w:pPr>
    </w:p>
    <w:p w:rsidR="00BE7FB3" w:rsidRDefault="00BE7FB3" w:rsidP="00BE7FB3">
      <w:pPr>
        <w:pStyle w:val="TextoNormal"/>
      </w:pPr>
      <w:r w:rsidRPr="00BE7FB3">
        <w:rPr>
          <w:rStyle w:val="NumeroAFNegritaCaracter"/>
        </w:rPr>
        <w:t>2</w:t>
      </w:r>
      <w:r>
        <w:t>. En el presente caso se solicita la suspensión de la ejecución del Auto impugnado, lo que conllevaría la suspensión del señalamiento de subasta del inmueble, concretada en la finca hipotecada en el procedimiento ejecutivo núm. 228-2011 seguido en el Juzgado de Primera Instancia núm. 5 de El Ferrol.</w:t>
      </w:r>
    </w:p>
    <w:p w:rsidR="00BE7FB3" w:rsidRDefault="00BE7FB3" w:rsidP="00BE7FB3">
      <w:pPr>
        <w:pStyle w:val="TextoNormal"/>
      </w:pPr>
    </w:p>
    <w:p w:rsidR="00BE7FB3" w:rsidRDefault="00BE7FB3" w:rsidP="00BE7FB3">
      <w:pPr>
        <w:pStyle w:val="TextoNormal"/>
      </w:pPr>
      <w:r>
        <w:t>La doctrina de este Tribunal, en ocasiones precedentes, en los supuestos en que la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ha admitido la viabilidad de “suspender la ejecución de aquellas resoluciones judiciales que impliquen la continuación de la vía de apremio con la consiguiente subasta judicial en ciertos supuestos excepcionales, cuando conlleven la desposesión de bienes embargados y su adquisición por un tercero puede producir situaciones irreversibles o de muy difícil vuelta a la situación anterior” (así, por todos, en AATC 220/2008, de 14 de julio, FJ 2; 64/2009, de 23 de febrero, FJ 2, entre otros).</w:t>
      </w:r>
    </w:p>
    <w:p w:rsidR="00BE7FB3" w:rsidRDefault="00BE7FB3" w:rsidP="00BE7FB3">
      <w:pPr>
        <w:pStyle w:val="TextoNormal"/>
      </w:pPr>
    </w:p>
    <w:p w:rsidR="00BE7FB3" w:rsidRDefault="00BE7FB3" w:rsidP="00BE7FB3">
      <w:pPr>
        <w:pStyle w:val="TextoNormal"/>
      </w:pPr>
      <w:r w:rsidRPr="00BE7FB3">
        <w:rPr>
          <w:rStyle w:val="NumeroAFNegritaCaracter"/>
        </w:rPr>
        <w:t>3</w:t>
      </w:r>
      <w:r>
        <w:t>. Los demandantes de amparo refieren la indefensión que han sufrido a no haberles sido comunicada la existencia del proceso de ejecución hipotecaria, el cual está pendiente de señalamiento de subasta sobre la vivienda de su propiedad y en la demanda de amparo se solicita la anulación del Auto de fecha 9 de octubre de 2012 que desestimó el incidente de nulidad de actuaciones que plantearon los demandantes, así como la de todos los actos procesales desde el momento anterior al emplazamiento y requerimiento de pago.</w:t>
      </w:r>
    </w:p>
    <w:p w:rsidR="00BE7FB3" w:rsidRDefault="00BE7FB3" w:rsidP="00BE7FB3">
      <w:pPr>
        <w:pStyle w:val="TextoNormal"/>
      </w:pPr>
    </w:p>
    <w:p w:rsidR="00BE7FB3" w:rsidRDefault="00BE7FB3" w:rsidP="00BE7FB3">
      <w:pPr>
        <w:pStyle w:val="TextoNormal"/>
      </w:pPr>
      <w:r>
        <w:t>La suspensión interesada trasciende de la resolución formalmente impugnada, que es un Auto desestimatorio del incidente de nulidad de actuaciones y la parte recurrente en amparo, pretende la retroacción de actuaciones y una nueva tramitación del proceso de ejecución hipotecaria desde su inicio, por lo que, si no se adoptase una medida cautelar se podría materializar la transmisión del dominio del inmueble en cuestión si fuera subastado, creando una situación difícilmente reversible que menoscabaría los fines del presente recurso, debiendo ponderarse asimismo que el demandante señor Calvo justifica que la finca hipotecada constituye su residencia habitual y la de su familia, con dos hijos menores de edad, lo cual permite identificar unos perjuicios de mayor intensidad derivados de la ejecución de la resolución impugnada.</w:t>
      </w:r>
    </w:p>
    <w:p w:rsidR="00BE7FB3" w:rsidRDefault="00BE7FB3" w:rsidP="00BE7FB3">
      <w:pPr>
        <w:pStyle w:val="TextoNormal"/>
      </w:pPr>
    </w:p>
    <w:p w:rsidR="00BE7FB3" w:rsidRDefault="00BE7FB3" w:rsidP="00BE7FB3">
      <w:pPr>
        <w:pStyle w:val="TextoNormal"/>
      </w:pPr>
      <w:r>
        <w:t>Además, no se percibe en este momento procesal, atendidas las circunstancias del presente caso, que la suspensión de la ejecución de la resolución judicial entrañe un perjuicio notorio al interés público, habida cuenta de los elementos concurrentes, pues la desposesión del bien embargado y su adquisición por terceros puede originar una situación de marcada irreversibilidad, en coherencia con la doctrina de este Tribunal.</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Los razonamientos expuestos, sin prejuzgar la decisión de fondo del recurso, conducen a reconocer la suspensión solicitada, que en este caso ha de entenderse también referida </w:t>
      </w:r>
      <w:r>
        <w:lastRenderedPageBreak/>
        <w:t>al señalamiento de la subasta sobre la finca hipotecada en el procedimiento ejecutivo núm. 228-2011.</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Suspender la ejecución del Auto de 9 de octubre de 2012, dictado por el Juzgado de Primera Instancia núm. 5 de Ferrol y el señalamiento de la subasta sobre la finca hipotecada en el procedimiento de ejecución hipotecaria núm. 228-2011.</w:t>
      </w:r>
    </w:p>
    <w:p w:rsidR="00BE7FB3" w:rsidRDefault="00BE7FB3" w:rsidP="00BE7FB3">
      <w:pPr>
        <w:pStyle w:val="TextoNormal"/>
      </w:pPr>
    </w:p>
    <w:p w:rsidR="00BE7FB3" w:rsidRDefault="00BE7FB3" w:rsidP="00BE7FB3">
      <w:pPr>
        <w:pStyle w:val="TextoNormal"/>
      </w:pPr>
      <w:r>
        <w:t>Madrid, a veinticinco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98" w:name="AUTO_2013_57"/>
      <w:r>
        <w:lastRenderedPageBreak/>
        <w:t>AUTO 57/2013, de 25 de febrero de 2013</w:t>
      </w:r>
    </w:p>
    <w:bookmarkEnd w:id="198"/>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ECLI:ES:TC:2013:57A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6807-2012, planteada por la Sala de lo Contencioso-Administrativo del Tribunal Superior de Justicia de Madrid en relación con el artículo 16.2 b) 7 de la Ley 20/1998, de 27 de noviembre, de ordenación y coordinación de los transportes urbanos de la Comunidad de Madrid.</w:t>
      </w:r>
    </w:p>
    <w:p w:rsidR="00BE7FB3" w:rsidRDefault="00BE7FB3" w:rsidP="00BE7FB3">
      <w:pPr>
        <w:pStyle w:val="SntesisDescriptiva"/>
      </w:pPr>
    </w:p>
    <w:p w:rsidR="00BE7FB3" w:rsidRDefault="00BE7FB3" w:rsidP="00BE7FB3">
      <w:pPr>
        <w:pStyle w:val="SntesisAnaltica"/>
      </w:pPr>
      <w:r>
        <w:t>Extinción de cuestión de inconstitucionalidad: ATC 50/2013;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4 de diciembre de 2012 tuvo entrada en el Registro General de este Tribunal oficio de la Sección Segunda de la Sala de lo Contencioso-Administrativo del Tribunal Superior de Justicia de Madrid, al que se acompaña, junto con el testimonio del recurso de apelación núm. 823-2011 que se tramita ante dicha Sala, el Auto de 24 de octubre de 2012, por el que se acuerda plantear cuestión de inconstitucionalidad respecto del apartado 7 del art. 16.2 b) de la Ley 20/1998, de 27 de noviembre, de ordenación y coordinación de los transportes urbanos de la Comunidad de Madrid, por posible vulneración del art. 25.1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de los que trae causa la presente cuestión de inconstitucionalidad son, sucintamente expuestos, los siguientes:</w:t>
      </w:r>
    </w:p>
    <w:p w:rsidR="00BE7FB3" w:rsidRDefault="00BE7FB3" w:rsidP="00BE7FB3">
      <w:pPr>
        <w:pStyle w:val="TextoNormal"/>
      </w:pPr>
    </w:p>
    <w:p w:rsidR="00BE7FB3" w:rsidRDefault="00BE7FB3" w:rsidP="00BE7FB3">
      <w:pPr>
        <w:pStyle w:val="TextoNormal"/>
      </w:pPr>
      <w:r>
        <w:t>a) Por resolución del Delegado de Área de Gobierno de Seguridad y Movilidad del Ayuntamiento de Madrid de 29 de febrero de 2008 se impuso una sanción de 2.000 euros a un taxista por infracción del art. 16 de la Ley 20/1998, de 27 de noviembre, de ordenación y coordinación de los transportes urbanos de la Comunidad de Madrid, en relación con el art. 60 b) 7 del Decreto 74/2005, de 28 de julio, por el que se aprueba el Reglamento de los servicios de transporte público urbano en automóviles de turismo, por incumplimiento de las condiciones de prestación del servicio relativas al régimen de paradas, al haber esperado y recogido viajeros fuera de la parada oficial. Este acto administrativo fue recurrido en reposición, recurso que fue desestimado por resolución del Delegado de Área de Gobierno de Seguridad y Movilidad del Ayuntamiento de Madrid de 17 de febrero de 2009.</w:t>
      </w:r>
    </w:p>
    <w:p w:rsidR="00BE7FB3" w:rsidRDefault="00BE7FB3" w:rsidP="00BE7FB3">
      <w:pPr>
        <w:pStyle w:val="TextoNormal"/>
      </w:pPr>
    </w:p>
    <w:p w:rsidR="00BE7FB3" w:rsidRDefault="00BE7FB3" w:rsidP="00BE7FB3">
      <w:pPr>
        <w:pStyle w:val="TextoNormal"/>
      </w:pPr>
      <w:r>
        <w:lastRenderedPageBreak/>
        <w:t>b) Contra las referidas resoluciones el interesado interpuso recurso contencioso-administrativo, que fue desestimado por Sentencia de 21 de febrero de 2011 del Juzgado de lo Contencioso-Administrativo núm. 9 de Madrid.</w:t>
      </w:r>
    </w:p>
    <w:p w:rsidR="00BE7FB3" w:rsidRDefault="00BE7FB3" w:rsidP="00BE7FB3">
      <w:pPr>
        <w:pStyle w:val="TextoNormal"/>
      </w:pPr>
    </w:p>
    <w:p w:rsidR="00BE7FB3" w:rsidRDefault="00BE7FB3" w:rsidP="00BE7FB3">
      <w:pPr>
        <w:pStyle w:val="TextoNormal"/>
      </w:pPr>
      <w:r>
        <w:t>c) La Sentencia fue recurrida en apelación (recurso núm. 823-2011). La Sección Segunda de la Sala de lo Contencioso-Administrativo del Tribunal Superior de Justicia de Madrid, por providencia de 8 de junio de 2012, otorgó un plazo de diez días a las partes y al Ministerio Fiscal para efectuar alegaciones sobre la pertinencia de plantear cuestión de inconstitucionalidad (art. 35.2 de la Ley Orgánica del Tribunal Constitucional: LOTC) en relación con el apartado 7 del art. 16.2 b) de la Ley 20/1998, de 27 de noviembre, de ordenación y coordinación de los transportes urbanos de la Comunidad de Madrid, al considerar que este precepto podría vulnerar el principio de legalidad sancionadora (art. 25.1 CE).</w:t>
      </w:r>
    </w:p>
    <w:p w:rsidR="00BE7FB3" w:rsidRDefault="00BE7FB3" w:rsidP="00BE7FB3">
      <w:pPr>
        <w:pStyle w:val="TextoNormal"/>
      </w:pPr>
    </w:p>
    <w:p w:rsidR="00BE7FB3" w:rsidRDefault="00BE7FB3" w:rsidP="00BE7FB3">
      <w:pPr>
        <w:pStyle w:val="TextoNormal"/>
      </w:pPr>
      <w:r>
        <w:t>El Letrado del Ayuntamiento de Madrid formuló alegaciones aduciendo que, en su opinión, no procedía plantear la cuestión de inconstitucionalidad. Por el contrario, la parte recurrente y el Ministerio Fiscal estimaron pertinente su planteamiento.</w:t>
      </w:r>
    </w:p>
    <w:p w:rsidR="00BE7FB3" w:rsidRDefault="00BE7FB3" w:rsidP="00BE7FB3">
      <w:pPr>
        <w:pStyle w:val="TextoNormal"/>
      </w:pPr>
    </w:p>
    <w:p w:rsidR="00BE7FB3" w:rsidRDefault="00BE7FB3" w:rsidP="00BE7FB3">
      <w:pPr>
        <w:pStyle w:val="TextoNormal"/>
      </w:pPr>
      <w:r w:rsidRPr="00BE7FB3">
        <w:rPr>
          <w:rStyle w:val="NumeroAFNegritaCaracter"/>
        </w:rPr>
        <w:t>3</w:t>
      </w:r>
      <w:r>
        <w:t>. Por Auto de 24 de octubre de 2012 la Sección Segunda de la Sala de lo Contencioso-Administrativo del Tribunal Superior de Justicia de la Comunidad de Madrid acordó plantear la presente cuestión de inconstitucionalidad respecto del apartado 7 del art. 16.2 b) de la Ley 20/1998, de 27 de noviembre, de ordenación y coordinación de los transportes urbanos de la Comunidad de Madrid.</w:t>
      </w:r>
    </w:p>
    <w:p w:rsidR="00BE7FB3" w:rsidRDefault="00BE7FB3" w:rsidP="00BE7FB3">
      <w:pPr>
        <w:pStyle w:val="TextoNormal"/>
      </w:pPr>
    </w:p>
    <w:p w:rsidR="00BE7FB3" w:rsidRDefault="00BE7FB3" w:rsidP="00BE7FB3">
      <w:pPr>
        <w:pStyle w:val="TextoNormal"/>
      </w:pPr>
      <w:r>
        <w:t xml:space="preserve">El órgano judicial, invocando la doctrina de las SSTC 341/1993, de 18 de noviembre, y 26/2005, de 14 de febrero, considera que el precepto cuestionado vulnera el principio de legalidad sancionadora establecido en el art. 25.1 CE en cuanto que efectúa una remisión en blanco a un reglamento para la configuración </w:t>
      </w:r>
      <w:r w:rsidRPr="00BE7FB3">
        <w:rPr>
          <w:i/>
        </w:rPr>
        <w:t>ex novo</w:t>
      </w:r>
      <w:r>
        <w:t xml:space="preserve"> de obligaciones o prohibiciones cuya contravención da origen a una infracción sancionable, al disponer el inciso inicial del referido art. 16.2 b) que “tendrá la consideración de infracción grave el incumplimiento de las condiciones esenciales de la licencia, salvo que deba considerarse como infracción muy grave”, y establecer seguidamente —en el apartado 7 del mismo precepto— que entre esas condiciones esenciales se incluirán, además de las expresamente previstas en el mismo precepto , “cualesquiera otras que puedan establecerse reglamentariamente”.</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providencia de 18 de diciembre de 2012 el Pleno del Tribunal Constitucional acordó admitir a trámite la cuestión de inconstitucionalidad y deferir el conocimiento de la misma a la Sala Primera, a la que por turno objetivo le ha correspondido; asimismo se acordó, de conformidad con lo establecido en el art. 37.3 LOTC, dar traslado de las actuaciones recibidas al Congreso de los Diputados, al Senado, al Gobierno y al Fiscal General del Estado, así como al Gobierno y a la Asamblea de la Comunidad de Madrid, al objeto de que, en el improrrogable plazo de quince días pudieran personarse y formular las alegaciones que estimaran convenientes. De igual modo, se acordó comunicar la providencia a la Sección Segunda de la Sala de lo Contencioso-Administrativo del Tribunal Superior de Justicia de Madrid a los efectos previstos en el art. 35.3 LOTC y publicar la incoación de la cuestión en el “Boletín Oficial del Estado” y en el “Boletín Oficial de la Comunidad de Madrid”.</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5</w:t>
      </w:r>
      <w:r>
        <w:t>. Por escrito presentado en el Registro General de este Tribunal el 28 de diciembre de 2012, la Letrada de la Comunidad de Madrid se personó en este proceso en representación del Gobierno de la Comunidad de Madrid y formuló alegaciones, interesando que se dicte Sentencia que declare la constitucionalidad del precepto cuestionado, por entender que no infringe el principio de legalidad sancionadora del art. 25.1 CE.</w:t>
      </w:r>
    </w:p>
    <w:p w:rsidR="00BE7FB3" w:rsidRDefault="00BE7FB3" w:rsidP="00BE7FB3">
      <w:pPr>
        <w:pStyle w:val="TextoNormal"/>
      </w:pPr>
    </w:p>
    <w:p w:rsidR="00BE7FB3" w:rsidRDefault="00BE7FB3" w:rsidP="00BE7FB3">
      <w:pPr>
        <w:pStyle w:val="TextoNormal"/>
      </w:pPr>
      <w:r w:rsidRPr="00BE7FB3">
        <w:rPr>
          <w:rStyle w:val="NumeroAFNegritaCaracter"/>
        </w:rPr>
        <w:t>6</w:t>
      </w:r>
      <w:r>
        <w:t>. El Presidente de la Asamblea de la Comunidad de Madrid comunicó al Tribunal el 9 de enero de 2013 que dicha Cámara no se personaría en el proceso ni formularía alegaciones.</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por escrito presentado en el Registro General de este Tribunal el 9 de enero de 2013, se personó y formuló alegaciones, interesando igualmente la desestimación de la presente cuestión, por entender que la colaboración del Reglamento para deslindar condiciones esenciales y no esenciales de las licencias o autorizaciones de auto-taxi reguladas por la Ley de Madrid 20/1998, no puede estimarse que vulnere el art. 25.1 CE.</w:t>
      </w:r>
    </w:p>
    <w:p w:rsidR="00BE7FB3" w:rsidRDefault="00BE7FB3" w:rsidP="00BE7FB3">
      <w:pPr>
        <w:pStyle w:val="TextoNormal"/>
      </w:pPr>
    </w:p>
    <w:p w:rsidR="00BE7FB3" w:rsidRDefault="00BE7FB3" w:rsidP="00BE7FB3">
      <w:pPr>
        <w:pStyle w:val="TextoNormal"/>
      </w:pPr>
      <w:r w:rsidRPr="00BE7FB3">
        <w:rPr>
          <w:rStyle w:val="NumeroAFNegritaCaracter"/>
        </w:rPr>
        <w:t>8</w:t>
      </w:r>
      <w:r>
        <w:t>. El Presidente del Senado, mediante escrito registrado en este Tribunal el 11 de enero de 2013, comunicó que dicha Cámara ha adoptado el acuerdo de personarse en el proceso,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9</w:t>
      </w:r>
      <w:r>
        <w:t>. El Presidente del Congreso de los Diputados, mediante escrito registrado en este Tribunal el 14 de enero de 2013, comunicó a su vez que la Cámara ha adoptado el acuerdo de personarse en el proceso,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10</w:t>
      </w:r>
      <w:r>
        <w:t>. El Fiscal General del Estado presentó su escrito de alegaciones en este Tribunal el 21 de enero de 2013, razonando que el precepto legal cuestionado contiene una remisión en blanco a la potestad reglamentaria, que vulnera el principio de legalidad sancionadora del art. 25.1 CE. En consecuencia, interesa que se declare la inconstitucionalidad y nulidad del apartado 7 del art. 16.2 b) de la Ley de la Asamblea de Madrid 20/1998.</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Sección Segunda de la Sala de lo Contencioso-Administrativo del Tribunal Superior de Justicia de Madrid plantea cuestión de inconstitucionalidad respecto del apartado 7 del art. 16.2 b) de la Ley 20/1998, de 27 de noviembre, de ordenación y coordinación de los transportes urbanos de la Comunidad de Madrid. Este precepto ha sido declarado inconstitucional y nulo por la STC 13/2013, de 28 de enero (que resuelve la cuestión de inconstitucionalidad núm. 5371-2011, promovida por el mismo órgano judicial).</w:t>
      </w:r>
    </w:p>
    <w:p w:rsidR="00BE7FB3" w:rsidRDefault="00BE7FB3" w:rsidP="00BE7FB3">
      <w:pPr>
        <w:pStyle w:val="TextoNormal"/>
      </w:pPr>
    </w:p>
    <w:p w:rsidR="00BE7FB3" w:rsidRDefault="00BE7FB3" w:rsidP="00BE7FB3">
      <w:pPr>
        <w:pStyle w:val="TextoNormal"/>
      </w:pPr>
      <w:r>
        <w:t>Se sigue de ello que, una vez anulado por inconstitucional, el precepto cuestionado ha sido expulsado del ordenamiento jurídico, lo que impone ahora apreciar, conforme a reiterada jurisprudencia de este Tribunal (por todos, AATC 271/2005, de 21 de junio, FJ único; 290/2007, de 19 de junio, FJ único; y 231/2012, de 10 de diciembre, FJ único) la desaparición sobrevenida del objeto de la presente cuestión, al haber quedado disipada la duda de constitucionalidad planteada por el órgano judicial.</w:t>
      </w:r>
    </w:p>
    <w:p w:rsidR="00BE7FB3" w:rsidRDefault="00BE7FB3" w:rsidP="00BE7FB3">
      <w:pPr>
        <w:pStyle w:val="TextoNormal"/>
      </w:pPr>
    </w:p>
    <w:p w:rsidR="00BE7FB3" w:rsidRDefault="00BE7FB3" w:rsidP="00BE7FB3">
      <w:pPr>
        <w:pStyle w:val="TextoNormal"/>
      </w:pPr>
      <w:r>
        <w:lastRenderedPageBreak/>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6807-2012, por desaparición sobrevenida de su objeto.</w:t>
      </w:r>
    </w:p>
    <w:p w:rsidR="00BE7FB3" w:rsidRDefault="00BE7FB3" w:rsidP="00BE7FB3">
      <w:pPr>
        <w:pStyle w:val="TextoNormal"/>
      </w:pPr>
    </w:p>
    <w:p w:rsidR="00BE7FB3" w:rsidRDefault="00BE7FB3" w:rsidP="00BE7FB3">
      <w:pPr>
        <w:pStyle w:val="TextoNormal"/>
      </w:pPr>
      <w:r>
        <w:t>Madrid, a veinticinco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199" w:name="AUTO_2013_58"/>
      <w:r>
        <w:lastRenderedPageBreak/>
        <w:t>AUTO 58/2013, de 26 de febrero de 2013</w:t>
      </w:r>
    </w:p>
    <w:bookmarkEnd w:id="199"/>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ECLI:ES:TC:2013:58A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del conflicto positivo de competencia 6421-2003, planteado por la Generalitat de Cataluña en relación con diversos preceptos del Real Decreto 942/2003, de 18 de julio, por el que se determinan las condiciones básicas que deben reunir las pruebas para la obtención de los títulos de técnico y técnico superior de formación profesional específica.</w:t>
      </w:r>
    </w:p>
    <w:p w:rsidR="00BE7FB3" w:rsidRDefault="00BE7FB3" w:rsidP="00BE7FB3">
      <w:pPr>
        <w:pStyle w:val="SntesisDescriptiva"/>
      </w:pPr>
    </w:p>
    <w:p w:rsidR="00BE7FB3" w:rsidRDefault="00BE7FB3" w:rsidP="00BE7FB3">
      <w:pPr>
        <w:pStyle w:val="SntesisAnaltica"/>
      </w:pPr>
      <w:r>
        <w:t>Competencias de las Comunidades Autónomas: formación profesional. Conflictos positivos de competencia: pérdida sobrevenida de objeto por derogación de la norma. Formación profesional: orden constitucional de competencias. Títulos oficiales: certificado de profesionalidad.</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día 29 de octubre de 2003 el Abogado de la Generalitat de Cataluña, en la representación que legalmente ostenta, promueve conflicto positivo de competencia contra los arts. 2, en su inciso final; 4; 5.2; 7.2, 3 y 4; 9.2 y 3; y las disposiciones finales primera y segunda del Real Decreto 942/2003, de 18 de julio, por el que se determinan las condiciones básicas que deben reunir las pruebas para la obtención de los títulos de técnico y técnico superior de formación profesional específica.</w:t>
      </w:r>
    </w:p>
    <w:p w:rsidR="00BE7FB3" w:rsidRDefault="00BE7FB3" w:rsidP="00BE7FB3">
      <w:pPr>
        <w:pStyle w:val="TextoNormal"/>
      </w:pPr>
    </w:p>
    <w:p w:rsidR="00BE7FB3" w:rsidRDefault="00BE7FB3" w:rsidP="00BE7FB3">
      <w:pPr>
        <w:pStyle w:val="TextoNormal"/>
      </w:pPr>
      <w:r>
        <w:t>El Abogado de la Generalitat de Cataluña basa su impugnación en los siguientes criterios:</w:t>
      </w:r>
    </w:p>
    <w:p w:rsidR="00BE7FB3" w:rsidRDefault="00BE7FB3" w:rsidP="00BE7FB3">
      <w:pPr>
        <w:pStyle w:val="TextoNormal"/>
      </w:pPr>
    </w:p>
    <w:p w:rsidR="00BE7FB3" w:rsidRDefault="00BE7FB3" w:rsidP="00BE7FB3">
      <w:pPr>
        <w:pStyle w:val="TextoNormal"/>
      </w:pPr>
      <w:r>
        <w:t xml:space="preserve">a) Comienza señalando que la normativa legal habilitante del Real Decreto 942/2003 objeto de este conflicto son, de un lado, el art. 54.5 de la Ley Orgánica 10/2002, de 23 de diciembre, de calidad de la educación, que prevé que “las Administraciones educativas organizarán pruebas, de acuerdo con las condiciones básicas que el Gobierno establezca, para obtener los títulos de Formación Profesional”, y, de otro, el art. 8 de la Ley Orgánica 5/2002, de 19 de junio, de las cualificaciones y de la formación profesional, cuyo apartado segundo establece que “la evaluación y la acreditación de las competencias profesionales adquiridas a través de la experiencia laboral o de vías no formales de formación, tendrá como referente el Catálogo Nacional de Cualificaciones Profesionales y se desarrollará siguiendo en todo caso criterios que garanticen la fiabilidad, objetividad y rigor técnico de la evaluación” y cuyo apartado tercero dispone que “el reconocimiento de las competencias profesionales así </w:t>
      </w:r>
      <w:r>
        <w:lastRenderedPageBreak/>
        <w:t>evaluadas, cuando no completen las cualificaciones recogidas en algún título de formación profesional o certificado de profesionalidad, se realizará a través de una acreditación parcial acumulable con la finalidad, en su caso, de completar la formación conducente a la obtención del correspondiente título o certificado”.</w:t>
      </w:r>
    </w:p>
    <w:p w:rsidR="00BE7FB3" w:rsidRDefault="00BE7FB3" w:rsidP="00BE7FB3">
      <w:pPr>
        <w:pStyle w:val="TextoNormal"/>
      </w:pPr>
    </w:p>
    <w:p w:rsidR="00BE7FB3" w:rsidRDefault="00BE7FB3" w:rsidP="00BE7FB3">
      <w:pPr>
        <w:pStyle w:val="TextoNormal"/>
      </w:pPr>
      <w:r>
        <w:t>Y acto seguido anticipa el motivo de la impugnación, diciendo que pese a que el enunciado del Real Decreto 942/2003 “se refiera a las ‘condiciones básicas’ que deben reunir las pruebas, el contenido de la misma no se ha ceñido a establecer dichas condiciones sino que ha venido a fijar un régimen completo y acabado del sistema de pruebas con el resultado de que, entre lo dispuesto por el reglamento estatal y el acto administrativo autonómico que realice las oportunas convocatorias de las pruebas, ya no resulta necesaria, ni cabe, normativa alguna autonómica que venga a desarrollar y concretar las detalladas previsiones de aquél”.</w:t>
      </w:r>
    </w:p>
    <w:p w:rsidR="00BE7FB3" w:rsidRDefault="00BE7FB3" w:rsidP="00BE7FB3">
      <w:pPr>
        <w:pStyle w:val="TextoNormal"/>
      </w:pPr>
    </w:p>
    <w:p w:rsidR="00BE7FB3" w:rsidRDefault="00BE7FB3" w:rsidP="00BE7FB3">
      <w:pPr>
        <w:pStyle w:val="TextoNormal"/>
      </w:pPr>
      <w:r>
        <w:t>b) Las siguientes alegaciones se destinan a fundamentar el motivo que justifica el planteamiento del conflicto. En ellas se parte de encuadrar la disputa en la materia de educación, lo que conlleva que el marco competencial relevante venga determinado por el art. 149.1.30 CE y el art. 15 del Estatuto de Autonomía de Cataluña (EAC).</w:t>
      </w:r>
    </w:p>
    <w:p w:rsidR="00BE7FB3" w:rsidRDefault="00BE7FB3" w:rsidP="00BE7FB3">
      <w:pPr>
        <w:pStyle w:val="TextoNormal"/>
      </w:pPr>
    </w:p>
    <w:p w:rsidR="00BE7FB3" w:rsidRDefault="00BE7FB3" w:rsidP="00BE7FB3">
      <w:pPr>
        <w:pStyle w:val="TextoNormal"/>
      </w:pPr>
      <w:r>
        <w:t>En tal sentido la demanda de conflicto rechaza que la norma discutida pueda sostenerse en el art. 149.1.1 CE, pues el derecho a la obtención de un título de formación profesional en condiciones especiales es un derecho de configuración legal y no un derecho constitucional. Añade que, según el propio Tribunal (STC 188/2001, FJ 6), la competencia genérica ha de ceder ante la más específica y “la mayor especificidad del art. 149.1.30 CE se deriva de que mientras que la regla 1 del art. 149.1 CE se proyecta de modo genérico sobre todos los derechos fundamentales, el art. 149.1.30 CE, lo hace, de modo específico, sobre el derecho a la educación”.</w:t>
      </w:r>
    </w:p>
    <w:p w:rsidR="00BE7FB3" w:rsidRDefault="00BE7FB3" w:rsidP="00BE7FB3">
      <w:pPr>
        <w:pStyle w:val="TextoNormal"/>
      </w:pPr>
    </w:p>
    <w:p w:rsidR="00BE7FB3" w:rsidRDefault="00BE7FB3" w:rsidP="00BE7FB3">
      <w:pPr>
        <w:pStyle w:val="TextoNormal"/>
      </w:pPr>
      <w:r>
        <w:t xml:space="preserve">También para fundar la inaplicabilidad al caso del art. 149.1.1 CE, recuerda la doctrina constitucional (con cita literal de la STC 188/2001, de 20 de septiembre, FJ 12) sobre la delimitación positiva y negativa del significado de la cláusula “condiciones básicas” </w:t>
      </w:r>
      <w:r w:rsidRPr="00BE7FB3">
        <w:rPr>
          <w:i/>
        </w:rPr>
        <w:t>ex</w:t>
      </w:r>
      <w:r>
        <w:t xml:space="preserve"> art. 149.1.1 CE, concluyendo que tal título competencial no permite al Estado el diseño completo y acabado del régimen jurídico de un derecho sino la regulación de las posiciones jurídicas fundamentales en orden la igualdad básica en su ejercicio.</w:t>
      </w:r>
    </w:p>
    <w:p w:rsidR="00BE7FB3" w:rsidRDefault="00BE7FB3" w:rsidP="00BE7FB3">
      <w:pPr>
        <w:pStyle w:val="TextoNormal"/>
      </w:pPr>
    </w:p>
    <w:p w:rsidR="00BE7FB3" w:rsidRDefault="00BE7FB3" w:rsidP="00BE7FB3">
      <w:pPr>
        <w:pStyle w:val="TextoNormal"/>
      </w:pPr>
      <w:r>
        <w:t>c) Por otro lado, el Abogado de la Generalitat de Cataluña entiende que, de acuerdo al art. 149.1.30 CE, el Gobierno del Estado podía establecer las condiciones básicas que debe reunir las pruebas a las que se refiere el Real Decreto 942/2003, pero que los aspectos procedimentales de esas pruebas quedan más allá de lo que es básico, aludiendo en su apoyo a la STC 188/2001, de 20 de septiembre, FJ 11, que dice que “la regulación de todos estos aspectos no constituyen normas básicas para el desarrollo del art. 27 CE, sino normas reguladoras del procedimiento de gestión de las ayudas que se inscribe en el ámbito de la competencia de la Generalitat en materia de enseñanza”.</w:t>
      </w:r>
    </w:p>
    <w:p w:rsidR="00BE7FB3" w:rsidRDefault="00BE7FB3" w:rsidP="00BE7FB3">
      <w:pPr>
        <w:pStyle w:val="TextoNormal"/>
      </w:pPr>
    </w:p>
    <w:p w:rsidR="00BE7FB3" w:rsidRDefault="00BE7FB3" w:rsidP="00BE7FB3">
      <w:pPr>
        <w:pStyle w:val="TextoNormal"/>
      </w:pPr>
      <w:r>
        <w:t xml:space="preserve">Añade que la desmesurada extensión de lo básico en que incurre la norma impugnada no puede justificarse porque las pruebas se orienten a la obtención de los títulos de formación profesional, pues esos títulos son los mismos que se pueden lograr siguiendo la formación profesional reglada, para cuya determinación el Estado dicta las condiciones mínimas de </w:t>
      </w:r>
      <w:r>
        <w:lastRenderedPageBreak/>
        <w:t>obligado cumplimiento que son completadas por la normativa de cada Comunidad Autónoma. Y tampoco puede apoyarse en la relación de dichos títulos de formación profesional con el acceso al trabajo, puesto que las pruebas que regula el Real Decreto 942/2003 van dirigidas a los adultos que a través de su experiencia laboral han conseguido la necesaria capacidad y competencia, lo que supone que quienes participan en ellas ya están en el mundo del trabajo y no que mediante ellas se va a acceder al mismo.</w:t>
      </w:r>
    </w:p>
    <w:p w:rsidR="00BE7FB3" w:rsidRDefault="00BE7FB3" w:rsidP="00BE7FB3">
      <w:pPr>
        <w:pStyle w:val="TextoNormal"/>
      </w:pPr>
    </w:p>
    <w:p w:rsidR="00BE7FB3" w:rsidRDefault="00BE7FB3" w:rsidP="00BE7FB3">
      <w:pPr>
        <w:pStyle w:val="TextoNormal"/>
      </w:pPr>
      <w:r>
        <w:t>d) De acuerdo con lo expuesto, el Abogado de la Generalitat entiende que el Gobierno se ha excedido de su competencia para dictar normativa básica en los arts. 2, en su inciso final; 4; 5.2, 7.2, 3 y 4; 9.2 y 3; así como en las disposiciones finales primera y segunda, todos ellos del Real Decreto 942/2003, por el que se determinan las condiciones básicas que deben reunir las pruebas para la obtención de los títulos de técnico y técnico superior de formación profesional específica.</w:t>
      </w:r>
    </w:p>
    <w:p w:rsidR="00BE7FB3" w:rsidRDefault="00BE7FB3" w:rsidP="00BE7FB3">
      <w:pPr>
        <w:pStyle w:val="TextoNormal"/>
      </w:pPr>
    </w:p>
    <w:p w:rsidR="00BE7FB3" w:rsidRDefault="00BE7FB3" w:rsidP="00BE7FB3">
      <w:pPr>
        <w:pStyle w:val="TextoNormal"/>
      </w:pPr>
      <w:r>
        <w:t>En concreto, la impugnación del art. 2 se refiere a que se impone a las Administraciones educativas que las pruebas se celebren en “centros públicos autorizados para impartir estas enseñanzas”, previsión que, según el recurrente, no responde a ninguna finalidad que justifique una regulación y ejecución idénticas en cualquier parte del territorio, de modo que ha de ser la Administración educativa catalana quien ha de poder decidir libremente el lugar que considere más adecuado atendiendo a sus circunstancias concretas.</w:t>
      </w:r>
    </w:p>
    <w:p w:rsidR="00BE7FB3" w:rsidRDefault="00BE7FB3" w:rsidP="00BE7FB3">
      <w:pPr>
        <w:pStyle w:val="TextoNormal"/>
      </w:pPr>
    </w:p>
    <w:p w:rsidR="00BE7FB3" w:rsidRDefault="00BE7FB3" w:rsidP="00BE7FB3">
      <w:pPr>
        <w:pStyle w:val="TextoNormal"/>
      </w:pPr>
      <w:r>
        <w:t>Del trámite de matrícula se impugna que el art. 4 disponga que “deberá formalizarse en los centros docentes públicos” (art. 4.1), así como que “podrá realizarse por módulos profesionales o por ciclo formativo completo” (art. 4.2) y que no se admiten ciertas duplicidades de matrícula (“durante un mismo curso académico un alumno no podrá estar matriculado en las enseñanzas conducentes a un título y, simultáneamente, en las pruebas que se regulan en esta norma si éstas tienen por objeto la obtención del mismo título. Asimismo, durante un mismo curso académico un alumno no podrá matricularse para estas pruebas del mismo ciclo formativo en dos centros diferentes”, art. 4.3), alegando que son aspectos que, lejos de afectar al igual disfrute del derecho a la educación, dependen de criterios de organización de las pruebas y de asignación de los recursos disponibles. El conflicto también se dirige contra el art. 4.4 (“los aspirantes que a través de aprendizajes no formales o de experiencia laboral hayan adquirido competencias profesionales que formen parte de unidades de competencia contenidas en los títulos, podrán solicitar su evaluación y reconocimiento en el momento de realizar la matrícula. Para ello, aportarán la documentación acreditativa que estimen conveniente, de acuerdo con los modelos que reglamentariamente se establezcan”), que según el recurrente responde a cuestiones de índole puramente procedimental.</w:t>
      </w:r>
    </w:p>
    <w:p w:rsidR="00BE7FB3" w:rsidRDefault="00BE7FB3" w:rsidP="00BE7FB3">
      <w:pPr>
        <w:pStyle w:val="TextoNormal"/>
      </w:pPr>
    </w:p>
    <w:p w:rsidR="00BE7FB3" w:rsidRDefault="00BE7FB3" w:rsidP="00BE7FB3">
      <w:pPr>
        <w:pStyle w:val="TextoNormal"/>
      </w:pPr>
      <w:r>
        <w:t>También es objeto del conflicto el art.5.2 en tanto que prevé que “se confeccionará una prueba para cada uno de los módulos profesionales que componen los ciclos formativos, excepto para el módulo de formación en centros de trabajo”, pues la decisión sobre si ha de haber una prueba por módulo o, eventualmente, puede haber más, es una decisión de orden organizativo-procedimental.</w:t>
      </w:r>
    </w:p>
    <w:p w:rsidR="00BE7FB3" w:rsidRDefault="00BE7FB3" w:rsidP="00BE7FB3">
      <w:pPr>
        <w:pStyle w:val="TextoNormal"/>
      </w:pPr>
    </w:p>
    <w:p w:rsidR="00BE7FB3" w:rsidRDefault="00BE7FB3" w:rsidP="00BE7FB3">
      <w:pPr>
        <w:pStyle w:val="TextoNormal"/>
      </w:pPr>
      <w:r>
        <w:t xml:space="preserve">Por otro lado, sostiene el recurrente que respecto de las comisiones de evaluación, tratándose de órganos autonómicos, ha de corresponder a las Comunidades Autónomas no solo su nombramiento sino también determinar su composición y normas de funcionamiento. En </w:t>
      </w:r>
      <w:r>
        <w:lastRenderedPageBreak/>
        <w:t>cambio, al establecer el art. 7.2 que “las comisiones de evaluación estarán formadas, al menos, por cinco miembros”, se está decidiendo de hecho su composición. Además, las previsiones del art. 7.3 (“las distintas comisiones de evaluación podrán proponer la incorporación, a éstas, como asesores, de profesionales cualificados, que serán nombrados, si procede, por la Administración educativa correspondiente”) y del art. 7.4 ( “las comisiones de evaluación, procederán con carácter previo a las pruebas, a la valoración de la documentación aportada por los candidatos a la que se refiere el artículo 4.4 y podrán requerir al interesado, si ello fuera necesario, la aportación de otra documentación complementaria que evidencie la adquisición de las competencias, que solicita le sean reconocidas”) aluden a aspectos procedimentales relativos a la organización de las pruebas.</w:t>
      </w:r>
    </w:p>
    <w:p w:rsidR="00BE7FB3" w:rsidRDefault="00BE7FB3" w:rsidP="00BE7FB3">
      <w:pPr>
        <w:pStyle w:val="TextoNormal"/>
      </w:pPr>
    </w:p>
    <w:p w:rsidR="00BE7FB3" w:rsidRDefault="00BE7FB3" w:rsidP="00BE7FB3">
      <w:pPr>
        <w:pStyle w:val="TextoNormal"/>
      </w:pPr>
      <w:r>
        <w:t>El mismo criterio, sigue diciendo el Abogado de la Generalitat, ha de servir para negar el carácter básico a los apartados 2 y 3 del art. 9 relativos al momento en que deben solicitarse las convalidaciones (art. 9.2) y a las actuaciones de las comisiones de evaluación en orden a la exención parcial de las pruebas (art. 9.3), sin olvidar que la regulación detallada contenida en ellos hace imposible cualquier desarrollo normativo.</w:t>
      </w:r>
    </w:p>
    <w:p w:rsidR="00BE7FB3" w:rsidRDefault="00BE7FB3" w:rsidP="00BE7FB3">
      <w:pPr>
        <w:pStyle w:val="TextoNormal"/>
      </w:pPr>
    </w:p>
    <w:p w:rsidR="00BE7FB3" w:rsidRDefault="00BE7FB3" w:rsidP="00BE7FB3">
      <w:pPr>
        <w:pStyle w:val="TextoNormal"/>
      </w:pPr>
      <w:r>
        <w:t xml:space="preserve">En cuanto a la disposición final primera la impugnación se apoya en la indebida mención del art. 149.1.1 CE de acuerdo a los argumentos expuestos </w:t>
      </w:r>
      <w:r w:rsidRPr="00BE7FB3">
        <w:rPr>
          <w:i/>
        </w:rPr>
        <w:t>ut supra</w:t>
      </w:r>
      <w:r>
        <w:t xml:space="preserve"> y, también, en la medida en que se pretende que el art. 149.1.30 CE pueda dar amparo como normativa básica a los preceptos mencionados.</w:t>
      </w:r>
    </w:p>
    <w:p w:rsidR="00BE7FB3" w:rsidRDefault="00BE7FB3" w:rsidP="00BE7FB3">
      <w:pPr>
        <w:pStyle w:val="TextoNormal"/>
      </w:pPr>
    </w:p>
    <w:p w:rsidR="00BE7FB3" w:rsidRDefault="00BE7FB3" w:rsidP="00BE7FB3">
      <w:pPr>
        <w:pStyle w:val="TextoNormal"/>
      </w:pPr>
      <w:r>
        <w:t>Por último, a la disposición final segunda, que apodera al Ministro de Educación, Cultura y Deporte para dictar cuantas disposiciones sean precisas para el desarrollo de lo establecido en este real decreto, se le imputa que la prolongación indefinida de la cadena de lo básico es contraria al reparto competencial, pues no se olvide que son las Comunidades Autónomas quienes han asumido las competencia para el desarrollo normativo de lo básico.</w:t>
      </w:r>
    </w:p>
    <w:p w:rsidR="00BE7FB3" w:rsidRDefault="00BE7FB3" w:rsidP="00BE7FB3">
      <w:pPr>
        <w:pStyle w:val="TextoNormal"/>
      </w:pPr>
    </w:p>
    <w:p w:rsidR="00BE7FB3" w:rsidRDefault="00BE7FB3" w:rsidP="00BE7FB3">
      <w:pPr>
        <w:pStyle w:val="TextoNormal"/>
      </w:pPr>
      <w:r w:rsidRPr="00BE7FB3">
        <w:rPr>
          <w:rStyle w:val="NumeroAFNegritaCaracter"/>
        </w:rPr>
        <w:t>2</w:t>
      </w:r>
      <w:r>
        <w:t>. Por providencia de la Sección Primera del Tribunal Constitucional de 2 de diciembre de 2003 se acordó admitir a trámite el conflicto positivo de competencia en relación con los arts. 2, en su inciso final; 4; 5.2; 7.2, 3 y 4; 9.2 y 3; y las disposiciones finales primera y segunda del Real Decreto 942/2003, de 18 de julio, por el que se determinan las condiciones básicas que deben reunir las pruebas para la obtención de los títulos de técnico y técnico superior de formación profesional específica, así como dar traslado de la demanda y documentos presentados al Gobierno, por conducto de su Presidente, para que en el plazo de veinte días y, por medio de la representación procesal que determina el art. 82.2 de la Ley Orgánica del Tribunal Constitucional (LOTC), pueda aportar cuantos documentos y alegaciones considere convenientes. Asimismo se acuerda comunicar la incoación del conflicto a la Sala de lo Contencioso-Administrativo del Tribunal Supremo, por si ante la misma estuvieran impugnados o se impugnaren los citados preceptos, en cuyo caso se habría de suspenderse el curso del proceso hasta la resolución del conflicto, según dispone el art. 61.2 LOTC. Por último se acuerda publicar la incoación del conflicto en el “Boletín Oficial del Estado” y en el “Diario Oficial de la Generalitat de Cataluña”.</w:t>
      </w:r>
    </w:p>
    <w:p w:rsidR="00BE7FB3" w:rsidRDefault="00BE7FB3" w:rsidP="00BE7FB3">
      <w:pPr>
        <w:pStyle w:val="TextoNormal"/>
      </w:pPr>
    </w:p>
    <w:p w:rsidR="00BE7FB3" w:rsidRDefault="00BE7FB3" w:rsidP="00BE7FB3">
      <w:pPr>
        <w:pStyle w:val="TextoNormal"/>
      </w:pPr>
      <w:r w:rsidRPr="00BE7FB3">
        <w:rPr>
          <w:rStyle w:val="NumeroAFNegritaCaracter"/>
        </w:rPr>
        <w:t>3</w:t>
      </w:r>
      <w:r>
        <w:t>. El Abogado del Estado, en la representación que legalmente ostenta, se personó en el proceso mediante escrito registrado el día 30 de diciembre de 2003, instando la desestimación del conflicto conforme a los siguientes argumentos:</w:t>
      </w:r>
    </w:p>
    <w:p w:rsidR="00BE7FB3" w:rsidRDefault="00BE7FB3" w:rsidP="00BE7FB3">
      <w:pPr>
        <w:pStyle w:val="TextoNormal"/>
      </w:pPr>
    </w:p>
    <w:p w:rsidR="00BE7FB3" w:rsidRDefault="00BE7FB3" w:rsidP="00BE7FB3">
      <w:pPr>
        <w:pStyle w:val="TextoNormal"/>
      </w:pPr>
      <w:r>
        <w:lastRenderedPageBreak/>
        <w:t>a) La disposición impugnada se limita a regular las condiciones de obtención de un cierto tipo de títulos académicos, lo que resulta atribución del Estado en virtud del primer inciso del art. 149.1.30 CE. Y precisa que los preceptos impugnados no bajan a un nivel de detalle que impida el desarrollo normativo y la ejecución que competen a la instancia autonómica y, aunque pudieran considerarse detallistas, son necesarios para el fin pretendido, por lo que no pierden su carácter básico.</w:t>
      </w:r>
    </w:p>
    <w:p w:rsidR="00BE7FB3" w:rsidRDefault="00BE7FB3" w:rsidP="00BE7FB3">
      <w:pPr>
        <w:pStyle w:val="TextoNormal"/>
      </w:pPr>
    </w:p>
    <w:p w:rsidR="00BE7FB3" w:rsidRDefault="00BE7FB3" w:rsidP="00BE7FB3">
      <w:pPr>
        <w:pStyle w:val="TextoNormal"/>
      </w:pPr>
      <w:r>
        <w:t>De otro lado, estando implicado el derecho a la educación, en su vertiente de acceso a un título académico, lo que conlleva posibles consecuencias de acceso a un determinado trabajo, la regulación controvertida también encuentra amparo en las competencias estatales, derivadas del art. 149.1.1 CE, orientadas a garantizar la igualdad de todos en el ejercicio de los derechos constitucionales.</w:t>
      </w:r>
    </w:p>
    <w:p w:rsidR="00BE7FB3" w:rsidRDefault="00BE7FB3" w:rsidP="00BE7FB3">
      <w:pPr>
        <w:pStyle w:val="TextoNormal"/>
      </w:pPr>
    </w:p>
    <w:p w:rsidR="00BE7FB3" w:rsidRDefault="00BE7FB3" w:rsidP="00BE7FB3">
      <w:pPr>
        <w:pStyle w:val="TextoNormal"/>
      </w:pPr>
      <w:r>
        <w:t>b) El Abogado del Estado luego se refiere uno por uno a los preceptos impugnados en particular. Respecto de la disposición final segunda, comienza razonando que “desarrollado cumplidamente por el legislador el derecho fundamental la remisión al reglamento no solo no es inconstitucional sino que puede resultar obligada por la naturaleza de las cosas para dar lugar a una regulación singularizada sobre materias concretas que exija el uso de la potestad reglamentaria de modo complementario, sin que por ello pierda su naturaleza de legislación básica, dada la noción de bases en sentido material (STC 77/1985, FFJJ 14, 15 y 16)”. Y más adelante concluye que “la habilitación en la norma impugnada para que el Ministerio competente pueda desarrollar y ejecutar aquélla (disposición final segunda) no deja de ser, vista la posibilidad de que las normas básicas puedan estar incluidas en disposiciones reglamentarias de cualquier rango siempre que exista una justificación material de su condición básica, un juicio de probable vulneración competencial de carácter indiciario, conjetural o hipotético, que supone un análisis implícito sobre la norma futura … por lo que no puede ser objeto de vulneración constitucional al no ser misión del Tribunal Constitucional prevenir conflictos sino eliminar transgresiones concretas y efectivas de los respectivos ámbitos competenciales”.</w:t>
      </w:r>
    </w:p>
    <w:p w:rsidR="00BE7FB3" w:rsidRDefault="00BE7FB3" w:rsidP="00BE7FB3">
      <w:pPr>
        <w:pStyle w:val="TextoNormal"/>
      </w:pPr>
    </w:p>
    <w:p w:rsidR="00BE7FB3" w:rsidRDefault="00BE7FB3" w:rsidP="00BE7FB3">
      <w:pPr>
        <w:pStyle w:val="TextoNormal"/>
      </w:pPr>
      <w:r>
        <w:t>La imposición de que las pruebas se celebren en “centros públicos autorizados para impartir estas enseñanzas” (art. 2) se conecta, no tanto con aspectos organizatorios de la prueba, sino con la capacidad del centro para celebrar las pruebas respecto de cada título.</w:t>
      </w:r>
    </w:p>
    <w:p w:rsidR="00BE7FB3" w:rsidRDefault="00BE7FB3" w:rsidP="00BE7FB3">
      <w:pPr>
        <w:pStyle w:val="TextoNormal"/>
      </w:pPr>
    </w:p>
    <w:p w:rsidR="00BE7FB3" w:rsidRDefault="00BE7FB3" w:rsidP="00BE7FB3">
      <w:pPr>
        <w:pStyle w:val="TextoNormal"/>
      </w:pPr>
      <w:r>
        <w:t>En cuanto a la matrícula, la representación del Gobierno del Estado considera que el apartado 1 (“deberá formalizarse en los centros docentes públicos que determinen las respectivas Administraciones educativas convocantes”) es un mínimo normativo necesario para garantizar la igualdad de condiciones en la celebración de las citadas pruebas y que los apartados 2 (podrá realizarse por módulos profesionales o por ciclo formativo completo), 3 (se prohíbe la duplicidad de matriculación) y 4 (al tiempo de la matrícula se podrá solicitar la evaluación de competencias profesionales adquiridas a través de aprendizajes no formales o de experiencia laboral, debiendo acompañar la documentación acreditativa) contienen previsiones vinculadas a las condiciones de obtención del título.</w:t>
      </w:r>
    </w:p>
    <w:p w:rsidR="00BE7FB3" w:rsidRDefault="00BE7FB3" w:rsidP="00BE7FB3">
      <w:pPr>
        <w:pStyle w:val="TextoNormal"/>
      </w:pPr>
    </w:p>
    <w:p w:rsidR="00BE7FB3" w:rsidRDefault="00BE7FB3" w:rsidP="00BE7FB3">
      <w:pPr>
        <w:pStyle w:val="TextoNormal"/>
      </w:pPr>
      <w:r>
        <w:t>Constituye también un mínimo normativo, a su juicio, la necesidad de que se confeccione una prueba por cada uno de los módulos profesionales (art. 5.2), pues esa es la unidad en que se estructura cada ciclo formativo.</w:t>
      </w:r>
    </w:p>
    <w:p w:rsidR="00BE7FB3" w:rsidRDefault="00BE7FB3" w:rsidP="00BE7FB3">
      <w:pPr>
        <w:pStyle w:val="TextoNormal"/>
      </w:pPr>
    </w:p>
    <w:p w:rsidR="00BE7FB3" w:rsidRDefault="00BE7FB3" w:rsidP="00BE7FB3">
      <w:pPr>
        <w:pStyle w:val="TextoNormal"/>
      </w:pPr>
      <w:r>
        <w:lastRenderedPageBreak/>
        <w:t xml:space="preserve">El Abogado del Estado entiende que el art. 7.2, en la medida que exige que las comisiones de evaluación estén integradas por al menos cinco miembros, es igualmente un mínimo normativo que es básico, esta vez orientado a evitar la concentración en pocas personas del examen del mérito y capacidad de los aspirantes. Por otro lado, la posibilidad de que las comisiones propongan la incorporación de asesores profesionales (art. 7.3) no invade competencia autonómica alguna porque es una mera propuesta que debe ser acogida, en su caso, por la Comunidad Autónoma. En fin, la obligación que el art. 7.4 impone a las comisiones de evaluación de valorar, con carácter previo a las pruebas, la documentación aportada por los aspirantes sobre aprendizajes no formales y experiencia laboral constituye un mínimo normativo necesario para homogeneizar la valoración de las pruebas en todo el territorio del Estado. En definitiva, estos apartados del art. 7 se refieren a aspectos organizativos de las comisiones de evaluación que tienen una clara eficacia </w:t>
      </w:r>
      <w:r w:rsidRPr="00BE7FB3">
        <w:rPr>
          <w:i/>
        </w:rPr>
        <w:t>ad extra</w:t>
      </w:r>
      <w:r>
        <w:t>, lo que justifica su naturaleza básica (STC 50/1999, FJ 3).</w:t>
      </w:r>
    </w:p>
    <w:p w:rsidR="00BE7FB3" w:rsidRDefault="00BE7FB3" w:rsidP="00BE7FB3">
      <w:pPr>
        <w:pStyle w:val="TextoNormal"/>
      </w:pPr>
    </w:p>
    <w:p w:rsidR="00BE7FB3" w:rsidRDefault="00BE7FB3" w:rsidP="00BE7FB3">
      <w:pPr>
        <w:pStyle w:val="TextoNormal"/>
      </w:pPr>
      <w:r>
        <w:t>Los arts. 9.2 y 9.3, en su opinión, tampoco invaden el ámbito de atribuciones autonómicas porque forma parte de las condiciones básicas para la obtención del título académico la regulación de las solicitudes de convalidación y exención y su justificación documental, incluida la exención de realizar pruebas sobre determinadas competencias profesionales que se juzgan adquiridas, sin que la exigencia de que la solicitud se haga al momento de hacer la matrícula pueda considerarse invasión de las competencias autonómicas, pues solo pretende que el modelo de la solicitud sea similar en todo el territorio del Estado en tanto que las convalidaciones y exenciones requieren un tratamiento igual al afectar al nivel de exigencia sobre el mérito y la capacidad de los aspirantes.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Gobierno de la Generalitat de Cataluña plantea conflicto positivo de competencias contra los arts. 2, en su inciso final; 4; 5.2; 7.2, 3 y 4; 9.2 y 3; y las disposiciones finales primera y segunda del Real Decreto 942/2003, de 18 de julio, por el que se determinan las condiciones básicas que deben reunir las pruebas para la obtención de los títulos de técnico y técnico superior de formación profesional específica.</w:t>
      </w:r>
    </w:p>
    <w:p w:rsidR="00BE7FB3" w:rsidRDefault="00BE7FB3" w:rsidP="00BE7FB3">
      <w:pPr>
        <w:pStyle w:val="TextoNormal"/>
      </w:pPr>
    </w:p>
    <w:p w:rsidR="00BE7FB3" w:rsidRDefault="00BE7FB3" w:rsidP="00BE7FB3">
      <w:pPr>
        <w:pStyle w:val="TextoNormal"/>
      </w:pPr>
      <w:r>
        <w:t>Entiende la Generalitat que los preceptos impugnados invaden las competencias de la Comunidad Autónoma de Cataluña en materia educativa al establecer una normativa básica que excede de los límites competenciales impuestos al Estado en el bloque de la constitucionalidad, y que no encuentra sustento, tal y como se ha expuesto en los antecedentes, ni en el art. 149.1.1 CE, que no es aplicable al caso, ni en el art. 149.1.30 CE, en particular porque el Real Decreto impugnado, en lugar de prever un mínimo normativo incardinable en la noción de bases, contiene una regulación detallada que no deja espacio a las competencias autonómicas de desarrollo y condiciona las que le asisten en el ámbito de la ejecución.</w:t>
      </w:r>
    </w:p>
    <w:p w:rsidR="00BE7FB3" w:rsidRDefault="00BE7FB3" w:rsidP="00BE7FB3">
      <w:pPr>
        <w:pStyle w:val="TextoNormal"/>
      </w:pPr>
    </w:p>
    <w:p w:rsidR="00BE7FB3" w:rsidRDefault="00BE7FB3" w:rsidP="00BE7FB3">
      <w:pPr>
        <w:pStyle w:val="TextoNormal"/>
      </w:pPr>
      <w:r>
        <w:t xml:space="preserve">Frente a esta posición el Abogado del Estado, en representación del Gobierno, sostiene, en los términos reseñados en los antecedentes, que los apartados 1 y 30 del art. 149.1 CE dan sustento adecuado y suficiente al Real Decreto 942/2003, que se ciñe a establecer normativa materialmente básica y referida a aspectos vinculados a las condiciones de obtención de títulos académicos, dejando margen bastante a las Comunidades Autónomas para que </w:t>
      </w:r>
      <w:r>
        <w:lastRenderedPageBreak/>
        <w:t>ejerciten sus propias competencias en toda su amplitud, sin perjuicio del respeto a la posición del Estado como garante de la igualdad de todos los ciudadanos en el ejercicio de los derechos fundamentales (art. 149.1.1 CE en conexión con el art. 27 CE).</w:t>
      </w:r>
    </w:p>
    <w:p w:rsidR="00BE7FB3" w:rsidRDefault="00BE7FB3" w:rsidP="00BE7FB3">
      <w:pPr>
        <w:pStyle w:val="TextoNormal"/>
      </w:pPr>
    </w:p>
    <w:p w:rsidR="00BE7FB3" w:rsidRDefault="00BE7FB3" w:rsidP="00BE7FB3">
      <w:pPr>
        <w:pStyle w:val="TextoNormal"/>
      </w:pPr>
      <w:r w:rsidRPr="00BE7FB3">
        <w:rPr>
          <w:rStyle w:val="NumeroAFNegritaCaracter"/>
        </w:rPr>
        <w:t>2</w:t>
      </w:r>
      <w:r>
        <w:t>. Con carácter previo a cualquier otra consideración es preciso poner de manifiesto ciertas modificaciones normativas que inciden en la pervivencia del presente conflicto positivo de competencias.</w:t>
      </w:r>
    </w:p>
    <w:p w:rsidR="00BE7FB3" w:rsidRDefault="00BE7FB3" w:rsidP="00BE7FB3">
      <w:pPr>
        <w:pStyle w:val="TextoNormal"/>
      </w:pPr>
    </w:p>
    <w:p w:rsidR="00BE7FB3" w:rsidRDefault="00BE7FB3" w:rsidP="00BE7FB3">
      <w:pPr>
        <w:pStyle w:val="TextoNormal"/>
      </w:pPr>
      <w:r>
        <w:t>Durante la pendencia del presente conflicto, la Ley Orgánica 10/2002, de 23 de diciembre, de calidad de la educación, en cuyo art. 54.5 se preveía la organización de las pruebas para obtener los títulos de formación profesional, fue sustituida por la Ley Orgánica 2/2006, de 3 de mayo, de educación, que no contempla ese cauce para obtener dichos títulos. Consecuentemente, el Real Decreto 942/2003, de 18 de julio, fue derogado expresamente por la disposición derogatoria única del Real Decreto 1538/2006, de 15 de diciembre, por el que se establece la ordenación general de la formación profesional del sistema educativo, cuyo párrafo segundo prevé que “queda derogado el Real Decreto 942/2003, de 18 de julio, por el que se determinan las condiciones básicas que deben reunir las pruebas para la obtención de los títulos de Técnico y Técnico Superior de formación profesional específica, excepto la facultad de evaluar y reconocer competencias profesionales adquiridas a través de la experiencia laboral o de vías no formales de formación hasta la publicación de la norma que establezca el procedimiento a que se refiere el artículo 8.3 de la Ley 5/2002, de 19 de junio, de las Cualificaciones y de la Formación Profesional”.</w:t>
      </w:r>
    </w:p>
    <w:p w:rsidR="00BE7FB3" w:rsidRDefault="00BE7FB3" w:rsidP="00BE7FB3">
      <w:pPr>
        <w:pStyle w:val="TextoNormal"/>
      </w:pPr>
    </w:p>
    <w:p w:rsidR="00BE7FB3" w:rsidRDefault="00BE7FB3" w:rsidP="00BE7FB3">
      <w:pPr>
        <w:pStyle w:val="TextoNormal"/>
      </w:pPr>
      <w:r>
        <w:t>Posteriormente, desarrollando el citado art. 8 de la Ley Orgánica 5/2002, de las cualificaciones y la formación profesional, se aprobó el Real Decreto 1224/2009, de 17 de junio, de reconocimiento de las competencias profesionales adquiridas por experiencia laboral, cuya disposición derogatoria única dispone que “quedan derogadas cuantas disposiciones de igual o inferior rango se opongan a lo establecido en este real decreto y, en particular la disposición transitoria única del Real Decreto 942/2003, de 18 de julio, por el que se determinan las condiciones básicas que deben reunir las pruebas para la obtención de los Títulos de Técnico y Técnico Superior de Formación Profesional Específica”.</w:t>
      </w:r>
    </w:p>
    <w:p w:rsidR="00BE7FB3" w:rsidRDefault="00BE7FB3" w:rsidP="00BE7FB3">
      <w:pPr>
        <w:pStyle w:val="TextoNormal"/>
      </w:pPr>
    </w:p>
    <w:p w:rsidR="00BE7FB3" w:rsidRDefault="00BE7FB3" w:rsidP="00BE7FB3">
      <w:pPr>
        <w:pStyle w:val="TextoNormal"/>
      </w:pPr>
      <w:r w:rsidRPr="00BE7FB3">
        <w:rPr>
          <w:rStyle w:val="NumeroAFNegritaCaracter"/>
        </w:rPr>
        <w:t>3</w:t>
      </w:r>
      <w:r>
        <w:t>. Partiendo de estos precedentes normativos hemos de verificar si los preceptos impugnados del Real Decreto 942/2003 conservan alguna vigencia o están derogados. El punto de partida es que, como se señaló en los antecedentes, el Real Decreto impugnado desarrolla, de un lado, el art. 54.5 de la Ley Orgánica 10/2002, de calidad de la educación, que se refiere a la organización de las pruebas para para obtener los títulos de formación profesional, y, de otro, el art. 8 de la Ley Orgánica 5/2002, de las cualificaciones y la formación profesional, que regula la evaluación y reconocimiento de las competencias profesionales adquiridas a través de la experiencia laboral o de vías no formales de formación.</w:t>
      </w:r>
    </w:p>
    <w:p w:rsidR="00BE7FB3" w:rsidRDefault="00BE7FB3" w:rsidP="00BE7FB3">
      <w:pPr>
        <w:pStyle w:val="TextoNormal"/>
      </w:pPr>
    </w:p>
    <w:p w:rsidR="00BE7FB3" w:rsidRDefault="00BE7FB3" w:rsidP="00BE7FB3">
      <w:pPr>
        <w:pStyle w:val="TextoNormal"/>
      </w:pPr>
      <w:r>
        <w:t xml:space="preserve">Paralelamente, el Real Decreto 942/2003, tiene dos partes. De un lado, la precisión y detalle de la organización de las citadas pruebas </w:t>
      </w:r>
      <w:r w:rsidRPr="00BE7FB3">
        <w:rPr>
          <w:i/>
        </w:rPr>
        <w:t>ex</w:t>
      </w:r>
      <w:r>
        <w:t xml:space="preserve"> art. 54.5 de la invocada Ley Orgánica 10/2002, previéndose además que los matriculados para realizar esas pruebas solicitasen, dentro del mismo procedimiento y ante la comisión de evaluación que iba a juzgar las mismas, el reconocimiento de haber adquirido determinadas competencias profesionales a través de la experiencia laboral o de vías no formales de formación, al efecto de ser eximidos de la realización de la parte correspondiente de las pruebas.</w:t>
      </w:r>
    </w:p>
    <w:p w:rsidR="00BE7FB3" w:rsidRDefault="00BE7FB3" w:rsidP="00BE7FB3">
      <w:pPr>
        <w:pStyle w:val="TextoNormal"/>
      </w:pPr>
    </w:p>
    <w:p w:rsidR="00BE7FB3" w:rsidRDefault="00BE7FB3" w:rsidP="00BE7FB3">
      <w:pPr>
        <w:pStyle w:val="TextoNormal"/>
      </w:pPr>
      <w:r>
        <w:t>De otro lado, y diferente de lo anterior, su disposición transitoria única tiene por rúbrica “Evaluación de las competencias profesionales” y en ella se establece:</w:t>
      </w:r>
    </w:p>
    <w:p w:rsidR="00BE7FB3" w:rsidRDefault="00BE7FB3" w:rsidP="00BE7FB3">
      <w:pPr>
        <w:pStyle w:val="TextoNormal"/>
      </w:pPr>
    </w:p>
    <w:p w:rsidR="00BE7FB3" w:rsidRDefault="00BE7FB3" w:rsidP="00BE7FB3">
      <w:pPr>
        <w:pStyle w:val="TextoNormal"/>
      </w:pPr>
      <w:r>
        <w:t>“1. La evaluación de las competencias profesionales adquiridas a través de aprendizajes no formales o de experiencia laboral se efectuará atendiendo a las correspondientes cualificaciones profesionales incluidas en el Catálogo Nacional de Cualificaciones Profesionales, creado por la Ley Orgánica 5/2002, de 19 de junio.</w:t>
      </w:r>
    </w:p>
    <w:p w:rsidR="00BE7FB3" w:rsidRDefault="00BE7FB3" w:rsidP="00BE7FB3">
      <w:pPr>
        <w:pStyle w:val="TextoNormal"/>
      </w:pPr>
    </w:p>
    <w:p w:rsidR="00BE7FB3" w:rsidRDefault="00BE7FB3" w:rsidP="00BE7FB3">
      <w:pPr>
        <w:pStyle w:val="TextoNormal"/>
      </w:pPr>
      <w:r>
        <w:t>2. Hasta que no se incluya en el catálogo la correspondiente cualificación profesional, la evaluación de las competencias a que se refiere el apartado anterior, se efectuará atendiendo a las unidades de competencia establecidas en los títulos de Técnico y Técnico Superior de formación profesional específica.</w:t>
      </w:r>
    </w:p>
    <w:p w:rsidR="00BE7FB3" w:rsidRDefault="00BE7FB3" w:rsidP="00BE7FB3">
      <w:pPr>
        <w:pStyle w:val="TextoNormal"/>
      </w:pPr>
    </w:p>
    <w:p w:rsidR="00BE7FB3" w:rsidRDefault="00BE7FB3" w:rsidP="00BE7FB3">
      <w:pPr>
        <w:pStyle w:val="TextoNormal"/>
      </w:pPr>
      <w:r>
        <w:t>3. La expedición de los títulos de formación profesional y, en su caso, la acreditación parcial de las competencias profesionales asociadas a los mismos a que la evaluación correspondiente pudiera dar lugar, corresponderá al Ministerio de Educación, Cultura y Deporte o al órgano competente de la comunidad autónoma.”</w:t>
      </w:r>
    </w:p>
    <w:p w:rsidR="00BE7FB3" w:rsidRDefault="00BE7FB3" w:rsidP="00BE7FB3">
      <w:pPr>
        <w:pStyle w:val="TextoNormal"/>
      </w:pPr>
    </w:p>
    <w:p w:rsidR="00BE7FB3" w:rsidRDefault="00BE7FB3" w:rsidP="00BE7FB3">
      <w:pPr>
        <w:pStyle w:val="TextoNormal"/>
      </w:pPr>
      <w:r>
        <w:t>Como se ha reseñado en el fundamento jurídico anterior, esta disposición transitoria única del Real Decreto 942/2003 es la norma que el Real Decreto 1224/2009 deroga expresamente, lo que significa que es este el precepto que la disposición derogatoria única del Real Decreto 1538/2006 dejaba vigente cuando disponía la derogación Real Decreto 942/2003 “excepto la facultad de evaluar y reconocer competencias profesionales adquiridas a través de la experiencia laboral o de vías no formales de formación hasta la publicación de la norma que establezca el procedimiento a que se refiere el art. 8.3 de la Ley 5/2002, de 19 de junio, de las cualificaciones y de la Formación Profesional”.</w:t>
      </w:r>
    </w:p>
    <w:p w:rsidR="00BE7FB3" w:rsidRDefault="00BE7FB3" w:rsidP="00BE7FB3">
      <w:pPr>
        <w:pStyle w:val="TextoNormal"/>
      </w:pPr>
    </w:p>
    <w:p w:rsidR="00BE7FB3" w:rsidRDefault="00BE7FB3" w:rsidP="00BE7FB3">
      <w:pPr>
        <w:pStyle w:val="TextoNormal"/>
      </w:pPr>
      <w:r>
        <w:t>De lo razonado se deduce que, con la sola excepción de su disposición transitoria única, el Real Decreto 942/2003, de 18 de julio, quedó enteramente derogado por la disposición derogatoria única del Real Decreto 1538/2006, de 15 de diciembre, sin que se sustituyera por ninguna otra norma. El Real Decreto 1224/2009, de 17 de junio, de reconocimiento de las competencias profesionales adquiridas por experiencia laboral, solo viene a sustituir a la disposición transitoria única del Real Decreto 942/2003, la cual a su vez deroga expresamente. Por todo ello, hemos de concluir que todos y cada uno de los preceptos del Real Decreto 942/2003 impugnados en este conflicto han perdido su vigencia y no han sido sustituidos por otros.</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Al objeto de analizar los efectos que tienen estas modificaciones normativas sobre la pervivencia del proceso hay que tener en cuenta nuestra doctrina sobre la pérdida sobrevenida del objeto en los procesos constitucionales, y particularmente la jurisprudencia más reciente sobre el particular (STC 194/2012, de 31 de octubre, FJ 2, y jurisprudencia allí citada), de la que se deduce, que es preciso atender a las circunstancias “concurrentes en cada caso, y, ante todo, a la pervivencia de la controversia competencial, esto es, a si la disputa sobre la titularidad competencial sigue o no viva entre las partes” (STC 147/1998, de 2 de julio, FJ 3; y jurisprudencia allí citada). Para valorar la pervivencia de la controversia se atenderá al hecho de que la norma impugnada no haya sido simplemente derogada “sino </w:t>
      </w:r>
      <w:r>
        <w:lastRenderedPageBreak/>
        <w:t>parcialmente sustituida por otra que viene a plantear en esencia los mismos problemas competenciales” [STC 194/2012, de 31 de octubre, FJ 2, con cita de la STC 134/2011, de 20 de julio, FJ 2 b)], en cuyo caso la doctrina de este Tribunal avala la conclusión de la no desaparición del objeto del conflicto.</w:t>
      </w:r>
    </w:p>
    <w:p w:rsidR="00BE7FB3" w:rsidRDefault="00BE7FB3" w:rsidP="00BE7FB3">
      <w:pPr>
        <w:pStyle w:val="TextoNormal"/>
      </w:pPr>
    </w:p>
    <w:p w:rsidR="00BE7FB3" w:rsidRDefault="00BE7FB3" w:rsidP="00BE7FB3">
      <w:pPr>
        <w:pStyle w:val="TextoNormal"/>
      </w:pPr>
      <w:r w:rsidRPr="00BE7FB3">
        <w:rPr>
          <w:rStyle w:val="NumeroAFNegritaCaracter"/>
        </w:rPr>
        <w:t>5</w:t>
      </w:r>
      <w:r>
        <w:t>. Conforme con la doctrina expuesta, es preciso valorar ahora las consecuencias que la aprobación del Real Decreto 1538/2006, de 15 de diciembre, tiene sobre la pervivencia del conflicto planteado contra el Real Decreto 942/2003, de 18 de julio.</w:t>
      </w:r>
    </w:p>
    <w:p w:rsidR="00BE7FB3" w:rsidRDefault="00BE7FB3" w:rsidP="00BE7FB3">
      <w:pPr>
        <w:pStyle w:val="TextoNormal"/>
      </w:pPr>
    </w:p>
    <w:p w:rsidR="00BE7FB3" w:rsidRDefault="00BE7FB3" w:rsidP="00BE7FB3">
      <w:pPr>
        <w:pStyle w:val="TextoNormal"/>
      </w:pPr>
      <w:r>
        <w:t>Como se razonó en los fundamentos jurídicos segundo y tercero, todos y cada uno de los preceptos del Real Decreto 942/2003 fueron derogados por la disposición derogatoria única del Real Decreto 1538/2006 y, además, no fueron sustituidos por otra regulación de esa materia, lo que nos lleva a concluir que la controversia competencial planteada en este proceso constitucional ha desaparecido por completo, con lo que el mismo ha perdido sobrevenidamente su objeto.</w:t>
      </w:r>
    </w:p>
    <w:p w:rsidR="00BE7FB3" w:rsidRDefault="00BE7FB3" w:rsidP="00BE7FB3">
      <w:pPr>
        <w:pStyle w:val="TextoNormal"/>
      </w:pPr>
    </w:p>
    <w:p w:rsidR="00BE7FB3" w:rsidRDefault="00BE7FB3" w:rsidP="00BE7FB3">
      <w:pPr>
        <w:pStyle w:val="TextoNormal"/>
      </w:pPr>
      <w:r>
        <w:t>A mayor abundamiento, es oportuno precisar que el Real Decreto 1224/2009, de reconocimiento de las competencias profesionales adquiridas por experiencia laboral, disciplina una materia distinta, cual es la evaluación y reconocimiento de las competencias profesionales adquiridas por experiencia laboral o por aprendizajes no formales sin realización de pruebas orientadas a la obtención de títulos de formación profesional. Además, este Real Decreto 1224/2009, en la regulación de esta nueva materia distinta de las pruebas para la obtención de títulos de formación profesional, tampoco contiene preceptos semejantes a los que, por suscitar la controversia competencial entre el Estado y la Generalitat de Cataluña, son objeto de este proceso constitucional.</w:t>
      </w:r>
    </w:p>
    <w:p w:rsidR="00BE7FB3" w:rsidRDefault="00BE7FB3" w:rsidP="00BE7FB3">
      <w:pPr>
        <w:pStyle w:val="TextoNormal"/>
      </w:pPr>
    </w:p>
    <w:p w:rsidR="00BE7FB3" w:rsidRDefault="00BE7FB3" w:rsidP="00BE7FB3">
      <w:pPr>
        <w:pStyle w:val="TextoNormal"/>
      </w:pPr>
      <w:r>
        <w:t>No podemos, entonces, sino concluir que ha desaparecido de forma sobrevenida el objeto del conflicto positivo de competencia deducido contra determinados preceptos contra los arts. 2, en su inciso final; 4; 5.2; 7.2, 3 y 4; 9.2 y 3; y las disposiciones finales primera y segunda del Real Decreto 942/2003, de 18 de julio, por el que se determinan las condiciones básicas que deben reunir las pruebas para la obtención de los títulos de técnico y técnico superior de formación profesional específica, y, consecuentemente, ha quedado extinguido el proceso, lo que hace innecesario pronunciarse sobre las cuestiones planteadas en el suplico del escrito de interposición de este conflicto positivo de competencias.</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extinguido el presente conflicto positivo de competencias por desaparición sobrevenida de su objeto.</w:t>
      </w:r>
    </w:p>
    <w:p w:rsidR="00BE7FB3" w:rsidRDefault="00BE7FB3" w:rsidP="00BE7FB3">
      <w:pPr>
        <w:pStyle w:val="TextoNormal"/>
      </w:pPr>
    </w:p>
    <w:p w:rsidR="00BE7FB3" w:rsidRDefault="00BE7FB3" w:rsidP="00BE7FB3">
      <w:pPr>
        <w:pStyle w:val="TextoNormal"/>
      </w:pPr>
      <w:r>
        <w:t>Madrid, a veintiséis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00" w:name="AUTO_2013_59"/>
      <w:r>
        <w:lastRenderedPageBreak/>
        <w:t>AUTO 59/2013, de 26 de febrero de 2013</w:t>
      </w:r>
    </w:p>
    <w:bookmarkEnd w:id="200"/>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ECLI:ES:TC:2013:59A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Inadmite a trámite la cuestión de inconstitucionalidad 5354-2012, planteada por el Juzgado de lo Penal núm. 15 de Barcelona en relación con la disposición adicional quinta, norma segunda, de la Ley Orgánica del Poder Judicial.</w:t>
      </w:r>
    </w:p>
    <w:p w:rsidR="00BE7FB3" w:rsidRDefault="00BE7FB3" w:rsidP="00BE7FB3">
      <w:pPr>
        <w:pStyle w:val="SntesisDescriptiva"/>
      </w:pPr>
    </w:p>
    <w:p w:rsidR="00BE7FB3" w:rsidRDefault="00BE7FB3" w:rsidP="00BE7FB3">
      <w:pPr>
        <w:pStyle w:val="SntesisAnaltica"/>
      </w:pPr>
      <w:r>
        <w:t>Cuestión de inconstitucionalidad: identificación de los preceptos constitucionales; planteamiento temporáneo. Inadmisión de cuestión de inconstitucionalidad por falta de requisitos procesales.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24 de septiembre de 2012 tuvo entrada en el Registro General de este Tribunal un oficio del Juzgado de lo Penal núm. 15 de Barcelona, al que se adjuntaba testimonio de la ejecutoria núm. 1300-2007. La documentación aportada incluye el Auto de 18 de septiembre de 2012, en el que se acuerda plantear cuestión de inconstitucionalidad sobre la disposición adicional quinta, norma segunda, de la Ley Orgánica del Poder Judicial (LOPJ), ante su posible contradicción con los arts. 14 y 24.1 CE.</w:t>
      </w:r>
    </w:p>
    <w:p w:rsidR="00BE7FB3" w:rsidRDefault="00BE7FB3" w:rsidP="00BE7FB3">
      <w:pPr>
        <w:pStyle w:val="TextoNormal"/>
      </w:pPr>
    </w:p>
    <w:p w:rsidR="00BE7FB3" w:rsidRDefault="00BE7FB3" w:rsidP="00BE7FB3">
      <w:pPr>
        <w:pStyle w:val="TextoNormal"/>
      </w:pPr>
      <w:r>
        <w:t>La disposición cuestionada establece:</w:t>
      </w:r>
    </w:p>
    <w:p w:rsidR="00BE7FB3" w:rsidRDefault="00BE7FB3" w:rsidP="00BE7FB3">
      <w:pPr>
        <w:pStyle w:val="TextoNormal"/>
      </w:pPr>
    </w:p>
    <w:p w:rsidR="00BE7FB3" w:rsidRDefault="00BE7FB3" w:rsidP="00BE7FB3">
      <w:pPr>
        <w:pStyle w:val="TextoNormal"/>
      </w:pPr>
      <w:r>
        <w:t>“Las resoluciones del Juez de Vigilancia Penitenciaria en materia de ejecución de penas serán recurribles en apelación y queja ante el Tribunal sentenciador, excepto cuando se hayan dictado resolviendo un recurso de apelación contra resolución administrativa que no se refiera a la clasificación del penado.</w:t>
      </w:r>
    </w:p>
    <w:p w:rsidR="00BE7FB3" w:rsidRDefault="00BE7FB3" w:rsidP="00BE7FB3">
      <w:pPr>
        <w:pStyle w:val="TextoNormal"/>
      </w:pPr>
    </w:p>
    <w:p w:rsidR="00BE7FB3" w:rsidRDefault="00BE7FB3" w:rsidP="00BE7FB3">
      <w:pPr>
        <w:pStyle w:val="TextoNormal"/>
      </w:pPr>
      <w:r>
        <w:t>En el caso de que el penado se halle cumpliendo varias penas, la competencia para resolver el recurso corresponderá al Juzgado o Tribunal que haya impuesto la pena privativa de libertad más grave, y en el supuesto de que coincida que varios Juzgados o Tribunales hubieran impuesto pena de igual gravedad, la competencia corresponderá al que de ellos la hubiera impuesto en último lugar.”</w:t>
      </w:r>
    </w:p>
    <w:p w:rsidR="00BE7FB3" w:rsidRDefault="00BE7FB3" w:rsidP="00BE7FB3">
      <w:pPr>
        <w:pStyle w:val="TextoNormal"/>
      </w:pPr>
    </w:p>
    <w:p w:rsidR="00BE7FB3" w:rsidRDefault="00BE7FB3" w:rsidP="00BE7FB3">
      <w:pPr>
        <w:pStyle w:val="TextoNormal"/>
      </w:pPr>
      <w:r w:rsidRPr="00BE7FB3">
        <w:rPr>
          <w:rStyle w:val="NumeroAFNegritaCaracter"/>
        </w:rPr>
        <w:t>2</w:t>
      </w:r>
      <w:r>
        <w:t>. Los antecedentes procesales de la cuestión de inconstitucionalidad planteada son, sucintamente expuestos, los siguientes:</w:t>
      </w:r>
    </w:p>
    <w:p w:rsidR="00BE7FB3" w:rsidRDefault="00BE7FB3" w:rsidP="00BE7FB3">
      <w:pPr>
        <w:pStyle w:val="TextoNormal"/>
      </w:pPr>
    </w:p>
    <w:p w:rsidR="00BE7FB3" w:rsidRDefault="00BE7FB3" w:rsidP="00BE7FB3">
      <w:pPr>
        <w:pStyle w:val="TextoNormal"/>
      </w:pPr>
      <w:r>
        <w:t>a) El 25 de mayo de 2012 el Juzgado de Vigilancia Penitenciaria núm. 5 de Cataluña, con fundamento en el art. 93 del Código penal y previo informe favorable del Ministerio Fiscal, dictó Auto revocando el beneficio de libertad condicional del que venía disfrutando un penado, como consecuencia del incumplimiento de las reglas de conducta establecidas en el programa de libertad condicional.</w:t>
      </w:r>
    </w:p>
    <w:p w:rsidR="00BE7FB3" w:rsidRDefault="00BE7FB3" w:rsidP="00BE7FB3">
      <w:pPr>
        <w:pStyle w:val="TextoNormal"/>
      </w:pPr>
    </w:p>
    <w:p w:rsidR="00BE7FB3" w:rsidRDefault="00BE7FB3" w:rsidP="00BE7FB3">
      <w:pPr>
        <w:pStyle w:val="TextoNormal"/>
      </w:pPr>
      <w:r>
        <w:t xml:space="preserve">b) La Letrada del penado interpuso recurso de apelación, que fue admitido a trámite por el órgano judicial, el cual, una vez realizado el pertinente traslado para alegaciones a las partes, remitió las actuaciones a la Sección Vigesimoprimera de la Audiencia Provincial de Barcelona que, sin embargo, por providencia de 28 de junio de 2012, rechazó ser competente para resolverlo, afirmando la competencia del órgano sentenciador de la causa penal, en este caso el Juzgado de lo Penal núm. 15 de Barcelona. </w:t>
      </w:r>
    </w:p>
    <w:p w:rsidR="00BE7FB3" w:rsidRDefault="00BE7FB3" w:rsidP="00BE7FB3">
      <w:pPr>
        <w:pStyle w:val="TextoNormal"/>
      </w:pPr>
    </w:p>
    <w:p w:rsidR="00BE7FB3" w:rsidRDefault="00BE7FB3" w:rsidP="00BE7FB3">
      <w:pPr>
        <w:pStyle w:val="TextoNormal"/>
      </w:pPr>
      <w:r>
        <w:t xml:space="preserve">c) Recibidas las actuaciones por el indicado Juzgado de lo Penal, mediante providencia de 9 de julio de 2012 acordó abrir el trámite previsto en el 35.2 de la Ley Orgánica del Tribunal Constitucional (LOTC), oyendo a las partes y al Ministerio Fiscal acerca de la pertinencia de plantear cuestión de inconstitucionalidad sobre la disposición adicional quinta, norma segunda de la Ley Orgánica del Poder Judicial, por posible contradicción con los arts. 14 y 24.1 CE. La defensa del penado no formuló alegaciones en este trámite, pero sí lo hizo el Ministerio Fiscal, mediante escrito presentado el 30 de julio de 2012, en el que se abstuvo de pronunciarse sobre la posible inconstitucionalidad del precepto, por entender reservada al Fiscal General del Estado la emisión de informe al respecto; pero apreció que la norma era aplicable y relevante para la resolución del proceso, por lo que sostuvo la procedencia de plantear la cuestión de inconstitucionalidad. </w:t>
      </w:r>
    </w:p>
    <w:p w:rsidR="00BE7FB3" w:rsidRDefault="00BE7FB3" w:rsidP="00BE7FB3">
      <w:pPr>
        <w:pStyle w:val="TextoNormal"/>
      </w:pPr>
    </w:p>
    <w:p w:rsidR="00BE7FB3" w:rsidRDefault="00BE7FB3" w:rsidP="00BE7FB3">
      <w:pPr>
        <w:pStyle w:val="TextoNormal"/>
      </w:pPr>
      <w:r>
        <w:t>d) El 18 de septiembre de 2012 se dictó Auto promoviendo la cuestión de inconstitucionalidad, en el que el órgano judicial aprecia que la disposición adicional quinta, norma segunda, de la Ley Orgánica del Poder Judicial atribuye a los órganos judiciales sentenciadores la competencia para resolver recursos de apelación contra resoluciones de los Jueces de Vigilancia Penitenciaria en materia de ejecución de penas; añadiendo que ningún problema existe cuando el órgano sentenciador ha sido una Audiencia Provincial, pero sí cuando lo es un órgano unipersonal que no tenga la consideración de superior procesal del Juez de Vigilancia Penitenciaria, como ocurre con los Jueces de lo Penal, de Instrucción, o de Paz. El Juez promotor de la cuestión entiende que sólo las Audiencias Provinciales pueden resolver este tipo de recursos, pero sin que exista una práctica uniforme al respecto, pues mientras que unas Audiencias Provinciales consideran que la competencia corresponde en todo caso a las propias Audiencias, otras entienden que también los Jueces de lo Penal pueden resolver tales recursos de apelación. A juicio del Juez proponente, esta disparidad de criterios vulnera los arts. 14 y 24.1 CE, en relación con el art. 2.1 del protocolo núm. 7 del Convenio europeo para la protección de los derechos humanos y de las libertades fundamentales.</w:t>
      </w:r>
    </w:p>
    <w:p w:rsidR="00BE7FB3" w:rsidRDefault="00BE7FB3" w:rsidP="00BE7FB3">
      <w:pPr>
        <w:pStyle w:val="TextoNormal"/>
      </w:pPr>
    </w:p>
    <w:p w:rsidR="00BE7FB3" w:rsidRDefault="00BE7FB3" w:rsidP="00BE7FB3">
      <w:pPr>
        <w:pStyle w:val="TextoNormal"/>
      </w:pPr>
      <w:r w:rsidRPr="00BE7FB3">
        <w:rPr>
          <w:rStyle w:val="NumeroAFNegritaCaracter"/>
        </w:rPr>
        <w:t>3</w:t>
      </w:r>
      <w:r>
        <w:t>. Por resolución de 18 de diciembre de 2012, la Sección Cuarta de este Tribunal acordó oír al Fiscal General del Estado, a los efectos que determina el art. 37.1 LOTC, para que alegase lo que considerase conveniente acerca de la admisibilidad de la presente cuestión de inconstitucionalidad, en relación con el cumplimiento de los requisitos procesales exigidos por el art. 35.2 LOTC y por si fuere notoriamente infundada (art. 37.1 LOTC).</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4</w:t>
      </w:r>
      <w:r>
        <w:t xml:space="preserve">. . Mediante escrito registrado el 21 de enero de 2003, el Fiscal General del Estado solicita la inadmisión de la cuestión de inconstitucionalidad por las siguientes razones: </w:t>
      </w:r>
    </w:p>
    <w:p w:rsidR="00BE7FB3" w:rsidRDefault="00BE7FB3" w:rsidP="00BE7FB3">
      <w:pPr>
        <w:pStyle w:val="TextoNormal"/>
      </w:pPr>
    </w:p>
    <w:p w:rsidR="00BE7FB3" w:rsidRDefault="00BE7FB3" w:rsidP="00BE7FB3">
      <w:pPr>
        <w:pStyle w:val="TextoNormal"/>
      </w:pPr>
      <w:r>
        <w:t xml:space="preserve">En primer lugar, el órgano promotor debió, con carácter previo a plantear la cuestión de inconstitucionalidad, hacer uso de la vía que le concede el art. 759.2 de la Ley de enjuiciamiento criminal, exponiendo a la Audiencia Provincial las razones por las cuales estimaba que el conocimiento del asunto correspondía a este último órgano judicial. Sólo una vez resuelta la cuestión, y para el caso de que se confirmara la competencia del órgano </w:t>
      </w:r>
      <w:r w:rsidRPr="00BE7FB3">
        <w:rPr>
          <w:i/>
        </w:rPr>
        <w:t>a quo</w:t>
      </w:r>
      <w:r>
        <w:t>, se estaría en condiciones de plantear la cuestión de inconstitucionalidad.</w:t>
      </w:r>
    </w:p>
    <w:p w:rsidR="00BE7FB3" w:rsidRDefault="00BE7FB3" w:rsidP="00BE7FB3">
      <w:pPr>
        <w:pStyle w:val="TextoNormal"/>
      </w:pPr>
    </w:p>
    <w:p w:rsidR="00BE7FB3" w:rsidRDefault="00BE7FB3" w:rsidP="00BE7FB3">
      <w:pPr>
        <w:pStyle w:val="TextoNormal"/>
      </w:pPr>
      <w:r>
        <w:t xml:space="preserve">Un segundo motivo de inadmisión, añade el Fiscal General del Estado, deriva de que el Auto de planteamiento de la cuestión se limita a mencionar que la norma legal de cuya constitucionalidad se duda es aplicable al caso, pero sin exteriorizar las razones en las que sustenta dicho juicio. Al anterior déficit se une un enfoque incorrecto del juicio de relevancia, al ser uno de los fundamentos del planteamiento de la cuestión de inconstitucionalidad el que el precepto cuestionado puede dar lugar a que el conocimiento del recurso de apelación contra una resolución del Juzgado de Vigilancia Penitenciaria corresponda a un Juzgado de Instrucción o de Paz, lo cual no guarda relación alguna con las circunstancias concurrentes en el proceso </w:t>
      </w:r>
      <w:r w:rsidRPr="00BE7FB3">
        <w:rPr>
          <w:i/>
        </w:rPr>
        <w:t>a quo</w:t>
      </w:r>
      <w:r>
        <w:t xml:space="preserve">. </w:t>
      </w:r>
    </w:p>
    <w:p w:rsidR="00BE7FB3" w:rsidRDefault="00BE7FB3" w:rsidP="00BE7FB3">
      <w:pPr>
        <w:pStyle w:val="TextoNormal"/>
      </w:pPr>
    </w:p>
    <w:p w:rsidR="00BE7FB3" w:rsidRDefault="00BE7FB3" w:rsidP="00BE7FB3">
      <w:pPr>
        <w:pStyle w:val="TextoNormal"/>
      </w:pPr>
      <w:r>
        <w:t>De otra parte, entiende el Fiscal General del Estado que la cuestión de inconstitucionalidad resulta notoriamente infundada. En primer lugar, la referencia al art. 2.1 del protocolo núm. 7 del Convenio europeo de derechos humanos es improcedente para fundamentar una cuestión de inconstitucionalidad, pues el objeto de la misma es determinar si una norma legal contradice algún precepto constitucional. En relación con la supuesta vulneración del art. 14 CE, pone de manifiesto que el órgano promotor no razona en absoluto cuál de los criterios discriminatorios que contempla el art. 14 CE estaría en la base de la pretendida situación de desigualdad que denuncia. En todo caso, añade, la disparidad de criterios por parte de las Audiencias Provinciales acerca del órgano competente para conocer y decidir los recursos de apelación contra las decisiones de los Juzgados de Vigilancia Penitenciaria no implica, por sí misma, una vulneración del art. 14 CE; dichas discrepancias se enmarcan dentro del ámbito de la legalidad ordinaria cuya interpretación corresponde a los Jueces y Tribunales (art. 117 CE). Tienen, además, su vía de solución adecuada a través de los diferentes recursos previstos legalmente y, en última instancia, mediante la doctrina que establezca el Tribunal Supremo, como órgano supremo de interpretación de la legalidad ordinaria (art. 123.1 CE). A lo dicho cabría añadir que la cuestión de inconstitucionalidad no es una vía adecuada para obtener una unificación de criterios judiciales en la interpretación de una norma legal, como en última instancia pretende el órgano promotor.</w:t>
      </w:r>
    </w:p>
    <w:p w:rsidR="00BE7FB3" w:rsidRDefault="00BE7FB3" w:rsidP="00BE7FB3">
      <w:pPr>
        <w:pStyle w:val="TextoNormal"/>
      </w:pPr>
    </w:p>
    <w:p w:rsidR="00BE7FB3" w:rsidRDefault="00BE7FB3" w:rsidP="00BE7FB3">
      <w:pPr>
        <w:pStyle w:val="TextoNormal"/>
      </w:pPr>
      <w:r>
        <w:t xml:space="preserve">Por último, en relación con la pretendida vulneración del art. 24.1 CE, señala el Fiscal General del Estado que el órgano judicial se limita a transcribir </w:t>
      </w:r>
      <w:r w:rsidRPr="00BE7FB3">
        <w:rPr>
          <w:i/>
        </w:rPr>
        <w:t>in totum</w:t>
      </w:r>
      <w:r>
        <w:t xml:space="preserve"> el contenido del precepto constitucional, sin precisión alguna acerca de qué manifestación del derecho a la tutela judicial efectiva estima vulnerada. En todo caso, si, agotando las posibilidades interpretativas, habría de inferirse que la vertiente del derecho fundamental que el órgano judicial estima vulnerada es el derecho a la segunda instancia penal, lo cierto es que esta garantía se predica con carácter necesario —por exigencias del art. 14.5 del Pacto internacional de de</w:t>
      </w:r>
      <w:r>
        <w:lastRenderedPageBreak/>
        <w:t xml:space="preserve">rechos civiles y políticos— sólo de las resoluciones penales condenatorias, sin que se extienda a cualquier otra resolución judicial que pueda dictarse en un proceso penal, incluyendo las de la fase de ejecución. </w:t>
      </w:r>
    </w:p>
    <w:p w:rsidR="00BE7FB3" w:rsidRDefault="00BE7FB3" w:rsidP="00BE7FB3">
      <w:pPr>
        <w:pStyle w:val="TextoNormal"/>
      </w:pPr>
    </w:p>
    <w:p w:rsidR="00BE7FB3" w:rsidRDefault="00BE7FB3" w:rsidP="00BE7FB3">
      <w:pPr>
        <w:pStyle w:val="TextoNormal"/>
      </w:pPr>
      <w:r>
        <w:t>En definitiva, concluye el Fiscal General del Estado, la cuestión suscitada en relación con el órgano funcionalmente competente para conocer del recurso de apelación contra una decisión de un Juzgado de Vigilancia Penitenciaria revocatoria del beneficio de libertad condicional, no excede del ámbito de la legalidad ordinaria, sin que comprometa los derechos fundamentales invocados en el Auto de planteamiento, por lo que la cuestión de inconstitucionalidad planteada resulta notoriamente infundada.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La cuestión de inconstitucionalidad planteada por el Juzgado de lo Penal núm. 15 de Barcelona, mediante Auto de 18 de septiembre de 2012, tiene por objeto la disposición adicional quinta, norma segunda, de la Ley Orgánica del Poder Judicial (LOPJ), ante su posible contradicción con los arts. 14 y 24.1 CE. La disposición cuestionada establece:</w:t>
      </w:r>
    </w:p>
    <w:p w:rsidR="00BE7FB3" w:rsidRDefault="00BE7FB3" w:rsidP="00BE7FB3">
      <w:pPr>
        <w:pStyle w:val="TextoNormal"/>
      </w:pPr>
    </w:p>
    <w:p w:rsidR="00BE7FB3" w:rsidRDefault="00BE7FB3" w:rsidP="00BE7FB3">
      <w:pPr>
        <w:pStyle w:val="TextoNormal"/>
      </w:pPr>
      <w:r>
        <w:t>“Las resoluciones del Juez de Vigilancia Penitenciaria en materia de ejecución de penas serán recurribles en apelación y queja ante el Tribunal sentenciador, excepto cuando se hayan dictado resolviendo un recurso de apelación contra resolución administrativa que no se refiera a la clasificación del penado.</w:t>
      </w:r>
    </w:p>
    <w:p w:rsidR="00BE7FB3" w:rsidRDefault="00BE7FB3" w:rsidP="00BE7FB3">
      <w:pPr>
        <w:pStyle w:val="TextoNormal"/>
      </w:pPr>
    </w:p>
    <w:p w:rsidR="00BE7FB3" w:rsidRDefault="00BE7FB3" w:rsidP="00BE7FB3">
      <w:pPr>
        <w:pStyle w:val="TextoNormal"/>
      </w:pPr>
      <w:r>
        <w:t>En el caso de que el penado se halle cumpliendo varias penas, la competencia para resolver el recurso corresponderá al Juzgado o Tribunal que haya impuesto la pena privativa de libertad más grave, y en el supuesto de que coincida que varios Juzgados o Tribunales hubieran impuesto pena de igual gravedad, la competencia corresponderá al que de ellos la hubiera impuesto en último lugar.”</w:t>
      </w:r>
    </w:p>
    <w:p w:rsidR="00BE7FB3" w:rsidRDefault="00BE7FB3" w:rsidP="00BE7FB3">
      <w:pPr>
        <w:pStyle w:val="TextoNormal"/>
      </w:pPr>
    </w:p>
    <w:p w:rsidR="00BE7FB3" w:rsidRDefault="00BE7FB3" w:rsidP="00BE7FB3">
      <w:pPr>
        <w:pStyle w:val="TextoNormal"/>
      </w:pPr>
      <w:r>
        <w:t>El Fiscal General del Estado, por las razones de las que se ha dejado constancia en los antecedentes de esta resolución, se opone a la admisión a trámite de la cuestión de inconstitucionalidad por los defectos procesales que aprecia en su planteamiento y por resultar notoriamente infundada.</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Ciertamente, conforme a lo dispuesto en el art. 37.1 de la Ley Orgánica del Tribunal Constitucional (LOTC), este Tribunal puede rechazar en trámite de admisión y mediante Auto aquellas cuestiones de inconstitucionalidad que adolezcan de la falta de los necesarios requisitos procesales o que fueren notoriamente infundadas. </w:t>
      </w:r>
    </w:p>
    <w:p w:rsidR="00BE7FB3" w:rsidRDefault="00BE7FB3" w:rsidP="00BE7FB3">
      <w:pPr>
        <w:pStyle w:val="TextoNormal"/>
      </w:pPr>
    </w:p>
    <w:p w:rsidR="00BE7FB3" w:rsidRDefault="00BE7FB3" w:rsidP="00BE7FB3">
      <w:pPr>
        <w:pStyle w:val="TextoNormal"/>
      </w:pPr>
      <w:r>
        <w:t xml:space="preserve">Debemos comenzar, pues, por examinar el primer reparo manifestado por el Fiscal General del Estado, para quien el planteamiento de la cuestión de inconstitucionalidad resulta prematuro, ya que el órgano promotor debió previamente hacer uso de la vía que le permite el art. 759.2 de la Ley de enjuiciamiento criminal, exponiendo a la Audiencia Provincial las razones por las cuales estimaba que el conocimiento del asunto correspondía a la misma; sólo una vez resuelta la cuestión, y para el caso de que se confirmara la competencia del órgano </w:t>
      </w:r>
      <w:r w:rsidRPr="00BE7FB3">
        <w:rPr>
          <w:i/>
        </w:rPr>
        <w:t>a quo</w:t>
      </w:r>
      <w:r>
        <w:t>, se estaría en condiciones de plantear la cuestión de inconstitucionalidad.</w:t>
      </w:r>
    </w:p>
    <w:p w:rsidR="00BE7FB3" w:rsidRDefault="00BE7FB3" w:rsidP="00BE7FB3">
      <w:pPr>
        <w:pStyle w:val="TextoNormal"/>
      </w:pPr>
    </w:p>
    <w:p w:rsidR="00BE7FB3" w:rsidRDefault="00BE7FB3" w:rsidP="00BE7FB3">
      <w:pPr>
        <w:pStyle w:val="TextoNormal"/>
      </w:pPr>
      <w:r>
        <w:lastRenderedPageBreak/>
        <w:t>Indudablemente, el planteamiento de la cuestión de inconstitucional ha de satisfacer el presupuesto de haber sido formulada en el momento procesal fijado por el art. 35.2 LOTC, no obstante lo cual tal exigencia no ha resultado incumplida en el presente caso, en el que acontece que el Juzgado de Vigilancia Penitenciaria remitió inicialmente las actuaciones a la Audiencia Provincial de Barcelona, la cual rechazó conocer del recurso planteado, afirmando la competencia del Juzgado de lo Penal núm. 15 de Barcelona, en cuanto órgano sentenciador de la causa penal. Es por ello que, fijado ya el criterio de la Audiencia Provincial, no resultaba exigible que el Juzgado de lo Penal prosiguiera discutiendo la competencia.</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Sin salir todavía del ámbito de los requisitos procesales, sí cabe apreciar, como también ha puesto de manifiesto el Fiscal General del Estado, una defectuosa formulación de la duda de constitucionalidad. A este respecto conviene recordar que el deber impuesto por el art. 35.2 LOTC al órgano judicial de concretar los preceptos constitucionales que, a su juicio, han resultado infringidos, no supone tan sólo que el Auto en que se plantee la cuestión contenga la cita de tales preceptos, sino que es preciso también que el órgano judicial exteriorice el razonamiento que le ha llevado a cuestionar la constitucionalidad de la norma; de modo que no puede el Juez limitarse a manifestar la existencia de su propia duda sin aducir las razones que la abonan, ya que la decisión del Tribunal Constitucional únicamente es posible como respuesta a las razones por las que los órganos judiciales vienen a dudar, en un caso concreto, de la congruencia entre la Constitución y una norma con rango de ley (por todas, STC 126/1987, de 16 de julio, FJ 3). </w:t>
      </w:r>
    </w:p>
    <w:p w:rsidR="00BE7FB3" w:rsidRDefault="00BE7FB3" w:rsidP="00BE7FB3">
      <w:pPr>
        <w:pStyle w:val="TextoNormal"/>
      </w:pPr>
    </w:p>
    <w:p w:rsidR="00BE7FB3" w:rsidRDefault="00BE7FB3" w:rsidP="00BE7FB3">
      <w:pPr>
        <w:pStyle w:val="TextoNormal"/>
      </w:pPr>
      <w:r>
        <w:t>En este sentido, lo primero que debe descartarse es la suficiencia de la invocación del art. 2.1 del protocolo núm. 7 del Convenio europeo para la protección de los derechos humanos y de las libertades fundamentales pues, sin perjuicio de la obligación hermenéutica derivada del art. 10.2 CE, el Convenio europeo no se convierte en sí mismo en canon de constitucionalidad del precepto cuestionado, pues las normas legales impugnadas deben ser contrastadas con los correspondientes preceptos constitucionales; en consecuencia, sólo podrá declarar su inconstitucionalidad si aquellas normas con rango de ley vulneran el contenido constitucionalmente declarado de tales derechos y libertades (STC 236/2007, de 7 de noviembre, FJ 5).</w:t>
      </w:r>
    </w:p>
    <w:p w:rsidR="00BE7FB3" w:rsidRDefault="00BE7FB3" w:rsidP="00BE7FB3">
      <w:pPr>
        <w:pStyle w:val="TextoNormal"/>
      </w:pPr>
    </w:p>
    <w:p w:rsidR="00BE7FB3" w:rsidRDefault="00BE7FB3" w:rsidP="00BE7FB3">
      <w:pPr>
        <w:pStyle w:val="TextoNormal"/>
      </w:pPr>
      <w:r>
        <w:t xml:space="preserve">En segundo lugar, debe consignarse que en el presente caso no es posible encontrar en el Auto de planteamiento de la cuestión ningún razonamiento referido a la vulneración del art. 24.1 CE. Ni aun siquiera resulta posible identificar la vertiente del derecho a la tutela judicial efectiva concernida, por lo que en relación con dicho precepto constitucional hemos de considerarse radicalmente incumplido el deber de formular adecuadamente la duda de constitucionalidad. </w:t>
      </w:r>
    </w:p>
    <w:p w:rsidR="00BE7FB3" w:rsidRDefault="00BE7FB3" w:rsidP="00BE7FB3">
      <w:pPr>
        <w:pStyle w:val="TextoNormal"/>
      </w:pPr>
    </w:p>
    <w:p w:rsidR="00BE7FB3" w:rsidRDefault="00BE7FB3" w:rsidP="00BE7FB3">
      <w:pPr>
        <w:pStyle w:val="TextoNormal"/>
      </w:pPr>
      <w:r>
        <w:t xml:space="preserve">También en lo que atañe a la eventual lesión del art. 14 CE cabe apreciar una defectuosa formulación de la duda de constitucionalidad, pues más allá de no concretarse cuál de los criterios discriminatorios que contempla el art. 14 CE está en la base de la pretendida situación de desigualdad, se aprecia también una completa carencia de argumentación específica acerca de la incompatibilidad de la propia disposición legal cuestionada con el art. 14 CE, ya que el reproche de inconstitucionalidad formulado se dirige contra la existencia de interpretaciones divergentes realizadas por diversas Audiencias Provinciales, que producen, a juicio del órgano judicial, desigualdad entre los justiciables. </w:t>
      </w:r>
    </w:p>
    <w:p w:rsidR="00BE7FB3" w:rsidRDefault="00BE7FB3" w:rsidP="00BE7FB3">
      <w:pPr>
        <w:pStyle w:val="TextoNormal"/>
      </w:pPr>
    </w:p>
    <w:p w:rsidR="00BE7FB3" w:rsidRDefault="00BE7FB3" w:rsidP="00BE7FB3">
      <w:pPr>
        <w:pStyle w:val="TextoNormal"/>
      </w:pPr>
      <w:r>
        <w:t xml:space="preserve">Lo cierto es que la finalidad de la cuestión de inconstitucionalidad no estriba en resolver controversias interpretativas sobre la legalidad o dudas sobre el alcance de determinado precepto legal, para lo cual el ordenamiento jurídico dispone de otros cauces. Precisamente, en el propio Auto de planteamiento de la cuestión de inconstitucionalidad se reproduce literalmente un Auto de la Sala de lo Penal del Tribunal Supremo, de 14 de junio de 2005, dictado en otro caso, pero en el que viene, justamente, a resolverse igual controversia mediante una interpretación conjunta de la normativa aplicable, con el resultado de considerar competente para resolver estos recursos de apelación a la Audiencia de la provincia correspondiente al órgano sentenciador de la causa penal. El órgano proponente comparte este criterio del Tribunal Supremo, pero al no haber sido el acogido en este caso por la Audiencia Provincial de Barcelona, plantea la cuestión de inconstitucionalidad. </w:t>
      </w:r>
    </w:p>
    <w:p w:rsidR="00BE7FB3" w:rsidRDefault="00BE7FB3" w:rsidP="00BE7FB3">
      <w:pPr>
        <w:pStyle w:val="TextoNormal"/>
      </w:pPr>
    </w:p>
    <w:p w:rsidR="00BE7FB3" w:rsidRDefault="00BE7FB3" w:rsidP="00BE7FB3">
      <w:pPr>
        <w:pStyle w:val="TextoNormal"/>
      </w:pPr>
      <w:r>
        <w:t>Sin embargo, la cuestión de inconstitucionalidad “no puede ser instrumentada al modo de un cauce consultivo mediante el cual la jurisdicción constitucional vendría a despejar las dudas que abrigara el órgano judicial no ya sobre la constitucionalidad de un precepto legal, sino sobre cuál fuera, de entre las varias posibles, su interpretación y aplicación más acomodada a la Constitución” [STC 222/1992, de 11 de diciembre, FJ 2 b)]. En particular, hemos afirmado reiteradamente que la interpretación de las normas sobre competencia de los órganos judiciales corresponde en exclusiva a la jurisdicción ordinaria, sin que deba trasladarse al Tribunal Constitucional el problema de la determinación del Juez del caso, cuyo discernimiento no le compete (SSTC 23/1986, de 14 de febrero, FJ 3; 93/1988, de 24 de mayo, FJ 2; 224/1993, de 1 de julio, FJ 3; 126/2000, de 16 de mayo, FJ 4; y 191/2011, de 12 de diciembre, FJ 5). Y es también reiterada nuestra jurisprudencia afirmando que la disparidad de criterios interpretativos de los órganos judiciales carece por sí misma de relevancia constitucional, pues es fruto de la independencia judicial en la interpretación y aplicación de las leyes; sólo es apreciable la vulneración del derecho a la igualdad en la aplicación de la ley (art. 14 CE) cuando un mismo órgano judicial resuelve de manera contradictoria casos sustancialmente iguales, sin ofrecer justificación para apartarse de sus propios precedentes (por todas, STC 13/2011, de 28 de febrero, FJ 3), situación ajena al presente caso.</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Inadmitir la presente cuestión de inconstitucionalidad.</w:t>
      </w:r>
    </w:p>
    <w:p w:rsidR="00BE7FB3" w:rsidRDefault="00BE7FB3" w:rsidP="00BE7FB3">
      <w:pPr>
        <w:pStyle w:val="TextoNormal"/>
      </w:pPr>
    </w:p>
    <w:p w:rsidR="00BE7FB3" w:rsidRDefault="00BE7FB3" w:rsidP="00BE7FB3">
      <w:pPr>
        <w:pStyle w:val="TextoNormal"/>
      </w:pPr>
      <w:r>
        <w:t>Madrid, a veintiséis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01" w:name="AUTO_2013_60"/>
      <w:r>
        <w:lastRenderedPageBreak/>
        <w:t>AUTO 60/2013, de 26 de febrero de 2013</w:t>
      </w:r>
    </w:p>
    <w:bookmarkEnd w:id="201"/>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ECLI:ES:TC:2013:60A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Levanta la suspensión en el recurso de inconstitucionalidad 6687-2012, interpuesto por el Presidente del Gobierno en relación con los artículos 7, 9 y 10 de la Ley del Parlamento de Cataluña 2/2012, de 22 de febrero, de modificación de varias leyes en materia audiovisual.</w:t>
      </w:r>
    </w:p>
    <w:p w:rsidR="00BE7FB3" w:rsidRDefault="00BE7FB3" w:rsidP="00BE7FB3">
      <w:pPr>
        <w:pStyle w:val="SntesisDescriptiva"/>
      </w:pPr>
    </w:p>
    <w:p w:rsidR="00BE7FB3" w:rsidRDefault="00BE7FB3" w:rsidP="00BE7FB3">
      <w:pPr>
        <w:pStyle w:val="SntesisAnaltica"/>
      </w:pPr>
      <w:r>
        <w:t>Cataluña: competencias en materia de medios de comunicación. Levantamiento de la suspensión de disposiciones de las Comunidades Autónomas.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el día 27 de noviembre de 2012, el Abogado del Estado, actuando en la representación que legalmente ostenta, interpuso recurso de inconstitucionalidad contra los artículos 7, 9 y 10 de la Ley del Parlamento de Cataluña 2/2012, de 22 de febrero, de modificación de varias leyes en materia audiovisual. El Abogado del Estado invocó el art. 161.2 CE, a fin de que se acordara la suspensión de los preceptos legales recurridos.</w:t>
      </w:r>
    </w:p>
    <w:p w:rsidR="00BE7FB3" w:rsidRDefault="00BE7FB3" w:rsidP="00BE7FB3">
      <w:pPr>
        <w:pStyle w:val="TextoNormal"/>
      </w:pPr>
    </w:p>
    <w:p w:rsidR="00BE7FB3" w:rsidRDefault="00BE7FB3" w:rsidP="00BE7FB3">
      <w:pPr>
        <w:pStyle w:val="TextoNormal"/>
      </w:pPr>
      <w:r w:rsidRPr="00BE7FB3">
        <w:rPr>
          <w:rStyle w:val="NumeroAFNegritaCaracter"/>
        </w:rPr>
        <w:t>2</w:t>
      </w:r>
      <w:r>
        <w:t>. Mediante providencia de 11 de diciembre de 2012 el Pleno de este Tribunal acordó admitir a trámite el recurso de inconstitucionalidad, dar traslado de la demanda y documentos presentados al Congreso de los Diputados y al Senado, así como al Parlamento y a la Generalidad de Cataluña, por conducto de sus presidentes, para que en el plazo de quince días pudieran personarse y formular las alegaciones que estimaran convenientes. Asimismo, acordó tener por invocado por el Presidente del Gobierno el art. 161.2 CE, lo que, conforme al art. 30 de la Ley Orgánica del Tribunal Constitucional (LOTC), produce la suspensión de la vigencia y aplicación de los preceptos impugnados. Por último, también se decidió publicar la incoación del recurso en el “Boletín Oficial del Estado” y en el “Diario Oficial de la Generalitat de Cataluña”. Dicha publicación se llevó a cabo en el “Boletín Oficial del Estado” núm. 302, de 17 de diciembre de 2012, y en el “Diario Oficial de la Generalitat de Cataluña” núm. 6279, de 21 de diciembre de 2012.</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Con fecha 19 de diciembre de 2012 tuvo entrada en este Tribunal un escrito del Presidente del Congreso de los Diputados comunicando el acuerdo de la Mesa de la Cámara de personarse en el procedimiento y de ofrecer su colaboración a los efectos del art. 88.1 </w:t>
      </w:r>
      <w:r>
        <w:lastRenderedPageBreak/>
        <w:t>LOTC, así como de remitir la documentación recibida a la Dirección General de Estudios, Análisis y Publicaciones y a la asesoría general de la Secretaría General.</w:t>
      </w:r>
    </w:p>
    <w:p w:rsidR="00BE7FB3" w:rsidRDefault="00BE7FB3" w:rsidP="00BE7FB3">
      <w:pPr>
        <w:pStyle w:val="TextoNormal"/>
      </w:pPr>
    </w:p>
    <w:p w:rsidR="00BE7FB3" w:rsidRDefault="00BE7FB3" w:rsidP="00BE7FB3">
      <w:pPr>
        <w:pStyle w:val="TextoNormal"/>
      </w:pPr>
      <w:r>
        <w:t>Por otro lado, el 19 de diciembre de 2012 se registró en este Tribunal un escrito del Presidente del Senado comunicando el acuerdo de la Mesa de la Cámara de personarse en el procedimiento y de ofrecer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4</w:t>
      </w:r>
      <w:r>
        <w:t>. La Abogada de la Generalidad de Cataluña formuló alegaciones mediante escrito presentado en el Registro General de este Tribunal el 20 de diciembre de 2012. Después de exponer pormenorizadamente las razones por las que solicita la desestimación del recurso de inconstitucionalidad, en el primer otrosí interesa el levantamiento de la suspensión.</w:t>
      </w:r>
    </w:p>
    <w:p w:rsidR="00BE7FB3" w:rsidRDefault="00BE7FB3" w:rsidP="00BE7FB3">
      <w:pPr>
        <w:pStyle w:val="TextoNormal"/>
      </w:pPr>
    </w:p>
    <w:p w:rsidR="00BE7FB3" w:rsidRDefault="00BE7FB3" w:rsidP="00BE7FB3">
      <w:pPr>
        <w:pStyle w:val="TextoNormal"/>
      </w:pPr>
      <w:r>
        <w:t xml:space="preserve">La Abogada de la Generalitat de Cataluña llama la atención de este Tribunal sobre la falta de precisión con la que el recurso acota los preceptos objeto de impugnación. La argumentación de la inconstitucionalidad no alcanza a la totalidad de los preceptos impugnados sino a partes o incisos de los mismos, por lo que la impugnación y, en consecuencia, la suspensión debería quedar limitada a los apartados, incisos o menciones cuya injerencia en las competencias estatales trata de argumentarse en el escrito de interposición del recurso. Por ello, si el Tribunal decidiera no levantar la suspensión antes de agotar el plazo de cinco meses, debería proceder a acotar los efectos de la suspensión respecto a los apartados concretos sobre los que versa la tacha de inconstitucionalidad. En caso contrario se estarían suspendiendo, sin argumentación alguna y sólo como consecuencia de un defecto en la formulación del </w:t>
      </w:r>
      <w:r w:rsidRPr="00BE7FB3">
        <w:rPr>
          <w:i/>
        </w:rPr>
        <w:t>petitum</w:t>
      </w:r>
      <w:r>
        <w:t>, preceptos de la ley catalana que en nada afectan al sistema de distribución de competencias.</w:t>
      </w:r>
    </w:p>
    <w:p w:rsidR="00BE7FB3" w:rsidRDefault="00BE7FB3" w:rsidP="00BE7FB3">
      <w:pPr>
        <w:pStyle w:val="TextoNormal"/>
      </w:pPr>
    </w:p>
    <w:p w:rsidR="00BE7FB3" w:rsidRDefault="00BE7FB3" w:rsidP="00BE7FB3">
      <w:pPr>
        <w:pStyle w:val="TextoNormal"/>
      </w:pPr>
      <w:r>
        <w:t>Más allá de la petición de acotación de la suspensión a los incisos efectivamente impugnados, la representación de la Generalitat justifica el levantamiento de la suspensión en la presunción de legitimidad de las normas con rango de ley, pues la ley autonómica emana de un órgano cuya voluntad tiene una conexión directa con la voluntad popular; y en el carácter abstracto de la ley, lo que hace más difícil acreditar perjuicios concretos y no meramente hipotéticos.</w:t>
      </w:r>
    </w:p>
    <w:p w:rsidR="00BE7FB3" w:rsidRDefault="00BE7FB3" w:rsidP="00BE7FB3">
      <w:pPr>
        <w:pStyle w:val="TextoNormal"/>
      </w:pPr>
    </w:p>
    <w:p w:rsidR="00BE7FB3" w:rsidRDefault="00BE7FB3" w:rsidP="00BE7FB3">
      <w:pPr>
        <w:pStyle w:val="TextoNormal"/>
      </w:pPr>
      <w:r>
        <w:t>Entrando en la ponderación de intereses en juego y de los hipotéticos perjuicios de imposible o difícil reparación, la Abogada de la Generalitat señala que las funciones previstas en los artículos impugnados [que modifican las funciones reguladas en los arts. 111.2 j) y 127.2 de la Ley 22/2005] sobre inspección y control de aspectos técnicos de la prestación de servicios de comunicación audiovisual no parecen comportar un perjuicio al interés general ni producir situaciones de hecho irreversibles, puesto que son funciones que la Generalitat ya venía ejerciendo antes de aprobarse la Ley 22/2005 y que ha seguido ejerciendo sin que ello haya comportado daños para la seguridad jurídica.</w:t>
      </w:r>
    </w:p>
    <w:p w:rsidR="00BE7FB3" w:rsidRDefault="00BE7FB3" w:rsidP="00BE7FB3">
      <w:pPr>
        <w:pStyle w:val="TextoNormal"/>
      </w:pPr>
    </w:p>
    <w:p w:rsidR="00BE7FB3" w:rsidRDefault="00BE7FB3" w:rsidP="00BE7FB3">
      <w:pPr>
        <w:pStyle w:val="TextoNormal"/>
      </w:pPr>
      <w:r>
        <w:t>La Abogada de la Generalitat recuerda a este respecto que el posible daño a la seguridad jurídica fue precisamente lo que alegó la representación del Gobierno del Estado en el incidente de levantamiento de la suspensión formulado por la representación de la Generalitat en el recurso de inconstitucionalidad núm. 8112-2006, para fundamentar el mantenimiento de la suspensión del inciso que determinaba la facultad del Gobierno de la Generalitat para la inspección y control de los aspectos técnicos de la prestación de servicios de comunica</w:t>
      </w:r>
      <w:r>
        <w:lastRenderedPageBreak/>
        <w:t>ción audiovisual. Sin embargo, el ATC 18/2007, de 18 de enero, consideró que “una incidencia sobre la seguridad jurídica como la apuntada carece de entidad para mantener la suspensión del precepto, en virtud de la doctrina sintetizada en los AATC 398/2005, de 8 de noviembre, FJ 6; y 303/2006, de 12 de septiembre, FJ 5”, y acordó, en consecuencia, el levantamiento de la suspensión. Estas razones y la experiencia de más de siete años de aplicación de los artículos de la Ley 22/2005 deben conducir a este Tribunal a la misma conclusión.</w:t>
      </w:r>
    </w:p>
    <w:p w:rsidR="00BE7FB3" w:rsidRDefault="00BE7FB3" w:rsidP="00BE7FB3">
      <w:pPr>
        <w:pStyle w:val="TextoNormal"/>
      </w:pPr>
    </w:p>
    <w:p w:rsidR="00BE7FB3" w:rsidRDefault="00BE7FB3" w:rsidP="00BE7FB3">
      <w:pPr>
        <w:pStyle w:val="TextoNormal"/>
      </w:pPr>
      <w:r>
        <w:t>Por lo que respecta al art. 10 de la Ley 2/2012, dicho precepto modifica la letra a) del art. 132 de la Ley 22/2005, y ha sido impugnado porque incluye entre los sujetos responsables de la prestación de servicios de comunicación sin disponer de licencia o sin efectuar la preceptiva comunicación, a los prestadores de servicios de apoyo a los servicios de difusión y a los distribuidores de comunicación audiovisual, en su condición de cooperadores necesarios. A juicio de la representación de la Generalitat, no parece que la previsión de responsabilidad por la participación en una actuación que constituye un ilícito administrativo se derive una distorsión del mercado de las telecomunicaciones cuya regulación corresponde al Estado.</w:t>
      </w:r>
    </w:p>
    <w:p w:rsidR="00BE7FB3" w:rsidRDefault="00BE7FB3" w:rsidP="00BE7FB3">
      <w:pPr>
        <w:pStyle w:val="TextoNormal"/>
      </w:pPr>
    </w:p>
    <w:p w:rsidR="00BE7FB3" w:rsidRDefault="00BE7FB3" w:rsidP="00BE7FB3">
      <w:pPr>
        <w:pStyle w:val="TextoNormal"/>
      </w:pPr>
      <w:r>
        <w:t>Por todo ello, solicita que se acuerde el levantamiento de la suspensión de la vigencia de los arts. 7, 9 y 10 de la Ley del Parlamento de Cataluña 2/2012, de 29 de febrero, o que, subsidiariamente, se delimite el alcance de la suspensión acordada por providencia de 11 de diciembre de 2012 a la parte efectivamente impugnada de dichos preceptos: esto es, a la mención de los “aspectos técnicos” y al último inciso “En ejercicio de estas potestades, puede tomar las medidas de protección activa del espectro, de acuerdo con la normativa vigente” del art. 7; a la mención relativa a los “aspectos técnicos” del art. 9; y a la mención “como prestadoras de los servicios de apoyo a los servicios de difusión, como distribuidoras de servicios de comunicación audiovisual” del art. 10.</w:t>
      </w:r>
    </w:p>
    <w:p w:rsidR="00BE7FB3" w:rsidRDefault="00BE7FB3" w:rsidP="00BE7FB3">
      <w:pPr>
        <w:pStyle w:val="TextoNormal"/>
      </w:pPr>
    </w:p>
    <w:p w:rsidR="00BE7FB3" w:rsidRDefault="00BE7FB3" w:rsidP="00BE7FB3">
      <w:pPr>
        <w:pStyle w:val="TextoNormal"/>
      </w:pPr>
      <w:r w:rsidRPr="00BE7FB3">
        <w:rPr>
          <w:rStyle w:val="NumeroAFNegritaCaracter"/>
        </w:rPr>
        <w:t>5</w:t>
      </w:r>
      <w:r>
        <w:t>. Por escrito que tuvo entrada en este Tribunal el 18 de diciembre de 2012, la Letrada del Parlamento de Cataluña comunicó el acuerdo de la Mesa de la Diputación Permanente de dicha Cámara de personarse en el procedimiento, para lo que solicitó una prórroga del plazo para formular alegaciones.</w:t>
      </w:r>
    </w:p>
    <w:p w:rsidR="00BE7FB3" w:rsidRDefault="00BE7FB3" w:rsidP="00BE7FB3">
      <w:pPr>
        <w:pStyle w:val="TextoNormal"/>
      </w:pPr>
    </w:p>
    <w:p w:rsidR="00BE7FB3" w:rsidRDefault="00BE7FB3" w:rsidP="00BE7FB3">
      <w:pPr>
        <w:pStyle w:val="TextoNormal"/>
      </w:pPr>
      <w:r>
        <w:t>Por providencia de 20 de diciembre de 2012 se le prorrogó en ocho días más el plazo concedido para formular alegaciones, a contar desde el día siguiente al de expiración del plazo ordinario.</w:t>
      </w:r>
    </w:p>
    <w:p w:rsidR="00BE7FB3" w:rsidRDefault="00BE7FB3" w:rsidP="00BE7FB3">
      <w:pPr>
        <w:pStyle w:val="TextoNormal"/>
      </w:pPr>
    </w:p>
    <w:p w:rsidR="00BE7FB3" w:rsidRDefault="00BE7FB3" w:rsidP="00BE7FB3">
      <w:pPr>
        <w:pStyle w:val="TextoNormal"/>
      </w:pPr>
      <w:r>
        <w:t>La representación del Parlamento de Cataluña formuló alegaciones que se registraron en este Tribunal el 21 de enero de 2013, interesando la desestimación íntegra del recurso de inconstitucionalidad. Asimismo, por otrosí y con una argumentación sustancialmente coincidente con la empleada por la representación del Gobierno de la Generalitat de Cataluña, solicita el levantamiento de la suspensión antes de que transcurran los cinco meses establecidos en el art. 161.2 CE.</w:t>
      </w:r>
    </w:p>
    <w:p w:rsidR="00BE7FB3" w:rsidRDefault="00BE7FB3" w:rsidP="00BE7FB3">
      <w:pPr>
        <w:pStyle w:val="TextoNormal"/>
      </w:pPr>
    </w:p>
    <w:p w:rsidR="00BE7FB3" w:rsidRDefault="00BE7FB3" w:rsidP="00BE7FB3">
      <w:pPr>
        <w:pStyle w:val="TextoNormal"/>
      </w:pPr>
      <w:r w:rsidRPr="00BE7FB3">
        <w:rPr>
          <w:rStyle w:val="NumeroAFNegritaCaracter"/>
        </w:rPr>
        <w:t>6</w:t>
      </w:r>
      <w:r>
        <w:t xml:space="preserve">. Por providencia de 22 de enero de 2013, el Pleno del Tribunal Constitucional acordó dar traslado al Abogado del Estado de los escritos presentados por la Abogada de la Generalitat de Cataluña y por la Letrada del Parlamento de Cataluña, en los que se interesa el </w:t>
      </w:r>
      <w:r>
        <w:lastRenderedPageBreak/>
        <w:t>levantamiento inmediato de la suspensión de los preceptos objeto del recurso de inconstitucionalidad núm. 6687-2012, concediéndole un plazo de cinco días para que expusiera lo que estimara procedente al respecto.</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presentó su escrito de alegaciones en el Registro General de este Tribunal el 30 de enero de 2013.</w:t>
      </w:r>
    </w:p>
    <w:p w:rsidR="00BE7FB3" w:rsidRDefault="00BE7FB3" w:rsidP="00BE7FB3">
      <w:pPr>
        <w:pStyle w:val="TextoNormal"/>
      </w:pPr>
    </w:p>
    <w:p w:rsidR="00BE7FB3" w:rsidRDefault="00BE7FB3" w:rsidP="00BE7FB3">
      <w:pPr>
        <w:pStyle w:val="TextoNormal"/>
      </w:pPr>
      <w:r>
        <w:t>a) Comienza el Abogado del Estado sintetizando la doctrina elaborada por este Tribunal Constitucional con ocasión de la resolución del incidente de mantenimiento o levantamiento de la suspensión de las leyes autonómicas. Arguye que ha de procederse a una ponderación de la gravedad de los perjuicios que ocasionarían las situaciones de hecho que previsiblemente se producirían en el caso de que se levantara o se mantuviera la suspensión; se trata de situaciones que habrán de materializarse con un elevado grado de previsibilidad pues la suspensión de la vigencia de la ley impugnada impide que dicha materialización haya tenido lugar.</w:t>
      </w:r>
    </w:p>
    <w:p w:rsidR="00BE7FB3" w:rsidRDefault="00BE7FB3" w:rsidP="00BE7FB3">
      <w:pPr>
        <w:pStyle w:val="TextoNormal"/>
      </w:pPr>
    </w:p>
    <w:p w:rsidR="00BE7FB3" w:rsidRDefault="00BE7FB3" w:rsidP="00BE7FB3">
      <w:pPr>
        <w:pStyle w:val="TextoNormal"/>
      </w:pPr>
      <w:r>
        <w:t>b) A continuación precisa el objeto del recurso de inconstitucionalidad. El presente recurso se dirige contra los artículos 7, 9 y 10 de la Ley de del Parlamento de Cataluña 2/2012, de 22 de febrero, de modificación de varias leyes en materia audiovisual, en cuanto, respectivamente, daban nueva redacción a los artículos 111.2 j), 127.2 y 132 de la Ley 22/2005, de 29 de diciembre, de la comunicación audiovisual de Cataluña. Los artículos 111 y 127.2 de la Ley 22/2005, en su redacción original, fueron objeto del recurso de inconstitucionalidad núm. 8112-2006, que pende ante el Tribunal Constitucional. En ese proceso se dictó el ATC 18/2007, de 18 enero, que acuerda “mantener la suspensión del art. 56 y de la disposición transitoria segunda de la Ley del Parlamento de Cataluña 22/2005, de 29 de diciembre, de la comunicación audiovisual de Cataluña” y “levantar la suspensión de todos los demás preceptos impugnados en este recurso de inconstitucionalidad”.</w:t>
      </w:r>
    </w:p>
    <w:p w:rsidR="00BE7FB3" w:rsidRDefault="00BE7FB3" w:rsidP="00BE7FB3">
      <w:pPr>
        <w:pStyle w:val="TextoNormal"/>
      </w:pPr>
    </w:p>
    <w:p w:rsidR="00BE7FB3" w:rsidRDefault="00BE7FB3" w:rsidP="00BE7FB3">
      <w:pPr>
        <w:pStyle w:val="TextoNormal"/>
      </w:pPr>
      <w:r>
        <w:t xml:space="preserve">El artículo 7 de la Ley 2/2012 reforma el artículo 111.2 j) de la Ley 22/2005. En el nuevo artículo 111.2 j) LCAC se atribuye al Gobierno de la Generalitat competencia para “ejercer las potestades de inspección, control y sanción en los aspectos técnicos de la prestación de servicios de comunicación audiovisual” —hasta aquí se mantiene la redacción inicial del precepto objeto del recurso de inconstitucionalidad 8112-2006— “y en la prestación de dichos servicios sin el título habilitante al que se refiere el artículo 37.2. En ejercicio de estas potestades, puede tomar las medidas de protección activa del espectro, de acuerdo con la normativa vigente”. La Ley 2/2012 añade estas dos últimas frases. El presente recurso de inconstitucionalidad se dirige contra el inciso del precepto que mantiene la redacción originaria y contra la parte introducida </w:t>
      </w:r>
      <w:r w:rsidRPr="00BE7FB3">
        <w:rPr>
          <w:i/>
        </w:rPr>
        <w:t>ex novo</w:t>
      </w:r>
      <w:r>
        <w:t>. Es decir, contra la facultad que se atribuye a la Generalitat de tomar medidas de protección activa del espectro radioeléctrico.</w:t>
      </w:r>
    </w:p>
    <w:p w:rsidR="00BE7FB3" w:rsidRDefault="00BE7FB3" w:rsidP="00BE7FB3">
      <w:pPr>
        <w:pStyle w:val="TextoNormal"/>
      </w:pPr>
    </w:p>
    <w:p w:rsidR="00BE7FB3" w:rsidRDefault="00BE7FB3" w:rsidP="00BE7FB3">
      <w:pPr>
        <w:pStyle w:val="TextoNormal"/>
      </w:pPr>
      <w:r>
        <w:t>El artículo 9 modifica el artículo 127.2 de la Ley 22/2005. En este precepto únicamente se discute la constitucionalidad del inciso por el que se atribuye a la Generalitat competencia inspectora sobre los aspectos técnicos de la prestación de servicios de comunicación audiovisual. Esta parte del precepto mantiene la misma redacción original que se estableció por la Ley 22/2005.</w:t>
      </w:r>
    </w:p>
    <w:p w:rsidR="00BE7FB3" w:rsidRDefault="00BE7FB3" w:rsidP="00BE7FB3">
      <w:pPr>
        <w:pStyle w:val="TextoNormal"/>
      </w:pPr>
    </w:p>
    <w:p w:rsidR="00BE7FB3" w:rsidRDefault="00BE7FB3" w:rsidP="00BE7FB3">
      <w:pPr>
        <w:pStyle w:val="TextoNormal"/>
      </w:pPr>
      <w:r>
        <w:t xml:space="preserve">Por último, el artículo 10 modifica la letra a) del artículo 132 de la Ley 22/2005. El artículo 132 de la Ley 22/2005 no fue objeto de impugnación constitucional en su redacción </w:t>
      </w:r>
      <w:r>
        <w:lastRenderedPageBreak/>
        <w:t>originaria, pero tras la reforma se añade la definición de “la colaboración necesaria para la prestación de estos servicios”, incluyendo en el concepto de colaboradores necesarios a “las personas cuya intervención es necesaria o trascendente para dicha prestación, ya sea como prestadoras de los servicios de apoyo a los servicios de difusión, como distribuidoras de servicios de comunicación audiovisual o como propietarias de los inmuebles desde los que se realizan las actividades de difusión ilegal”. La nueva redacción del artículo se impugna en cuanto, inconstitucionalmente, extiende el régimen de infracciones y sanciones autonómicas no solo a los responsables del medio de comunicación que emite sin contar con el correspondiente título habilitante; sino también a otros sujetos, entre los que se incluyen operadores de telecomunicaciones en su condición de prestadores de los servicios de apoyo a los servicios de difusión o de distribuidores de servicios de comunicación audiovisual.</w:t>
      </w:r>
    </w:p>
    <w:p w:rsidR="00BE7FB3" w:rsidRDefault="00BE7FB3" w:rsidP="00BE7FB3">
      <w:pPr>
        <w:pStyle w:val="TextoNormal"/>
      </w:pPr>
    </w:p>
    <w:p w:rsidR="00BE7FB3" w:rsidRDefault="00BE7FB3" w:rsidP="00BE7FB3">
      <w:pPr>
        <w:pStyle w:val="TextoNormal"/>
      </w:pPr>
      <w:r>
        <w:t>c) Antes de exponer los graves e irreparables perjuicios que habría de ocasionar el levantamiento de la suspensión de la vigencia de los preceptos impugnados, el Abogado del Estado comienza exponiendo una serie de consideraciones generales acerca de la configuración del espacio radioeléctrico en nuestro país, su planificación, gestión, inspección y control, siguiendo el informe emitido por la Dirección General de Telecomunicaciones y Tecnologías de la Información del Ministerio de Industria, Energía y Turismo, que adjunta a sus alegaciones.</w:t>
      </w:r>
    </w:p>
    <w:p w:rsidR="00BE7FB3" w:rsidRDefault="00BE7FB3" w:rsidP="00BE7FB3">
      <w:pPr>
        <w:pStyle w:val="TextoNormal"/>
      </w:pPr>
    </w:p>
    <w:p w:rsidR="00BE7FB3" w:rsidRDefault="00BE7FB3" w:rsidP="00BE7FB3">
      <w:pPr>
        <w:pStyle w:val="TextoNormal"/>
      </w:pPr>
      <w:r>
        <w:t>La planificación y gestión del espectro radioeléctrico tiene que contemplarse de manera global y conjunta pues, por un lado, al llevar a cabo la planificación de una banda de frecuencias para un servicio determinado deben tenerse en cuenta las estaciones radioeléctricas autorizadas para la prestación de los diferentes servicios de radiocomunicaciones con unos parámetros técnicos concretos y, por otro, cuando se autorizan las estaciones radioeléctricas de los diversos servicios con sus parámetros técnicos asociados debe asegurarse la compatibilidad radioeléctrica con el resto de estaciones autorizadas y con las planificaciones de cada uno de los servicios.</w:t>
      </w:r>
    </w:p>
    <w:p w:rsidR="00BE7FB3" w:rsidRDefault="00BE7FB3" w:rsidP="00BE7FB3">
      <w:pPr>
        <w:pStyle w:val="TextoNormal"/>
      </w:pPr>
    </w:p>
    <w:p w:rsidR="00BE7FB3" w:rsidRDefault="00BE7FB3" w:rsidP="00BE7FB3">
      <w:pPr>
        <w:pStyle w:val="TextoNormal"/>
      </w:pPr>
      <w:r>
        <w:t>La planificación debe partir de lo limitado del espectro radioeléctrico y, por tanto, su distribución coordinada y de acuerdo con las diversas fases. En el caso de las bandas de frecuencias utilizadas para los servicios de radiodifusión existe una primera fase, consistente en la atribución por el Reglamento de radiocomunicaciones de la Unión Internacional de Telecomunicaciones (UIT) de cada una de las bandas de frecuencias a los diferentes tipos de radiocomunicaciones. En una segunda fase las conferencias regionales de la UIT aprueban los planes conforme a los cuales los Estados expresan sus necesidades de frecuencias y coordinan y acuerdan el reparto de frecuencias conforme al principio de acceso equitativo a los recursos del espectro.</w:t>
      </w:r>
    </w:p>
    <w:p w:rsidR="00BE7FB3" w:rsidRDefault="00BE7FB3" w:rsidP="00BE7FB3">
      <w:pPr>
        <w:pStyle w:val="TextoNormal"/>
      </w:pPr>
    </w:p>
    <w:p w:rsidR="00BE7FB3" w:rsidRDefault="00BE7FB3" w:rsidP="00BE7FB3">
      <w:pPr>
        <w:pStyle w:val="TextoNormal"/>
      </w:pPr>
      <w:r>
        <w:t xml:space="preserve">En una tercera fase se aprueban los planes técnicos nacionales, donde se adjudican los diferentes canales radioeléctricos para ser utilizados en una zona geográfica determinada y con las condiciones generales en ellos plasmadas. Dichos planes se aprueban por Real Decreto, teniendo en cuenta que todas las Comunidades Autónomas tienen idéntico derecho al acceso a los recursos del espectro radioeléctrico. En la cuarta fase se convocan los correspondientes concursos públicos para la adjudicación de las licencias administrativas para la prestación del servicio. Ya en la quinta fase se asigna a los adjudicatarios el espectro necesario para dicha prestación, previa aprobación administrativa de sus proyectos técnicos; la </w:t>
      </w:r>
      <w:r>
        <w:lastRenderedPageBreak/>
        <w:t>puesta en funcionamiento de las estaciones queda supeditada a la realización de la correspondiente inspección de los servicios técnicos de la Administración del Estado.</w:t>
      </w:r>
    </w:p>
    <w:p w:rsidR="00BE7FB3" w:rsidRDefault="00BE7FB3" w:rsidP="00BE7FB3">
      <w:pPr>
        <w:pStyle w:val="TextoNormal"/>
      </w:pPr>
    </w:p>
    <w:p w:rsidR="00BE7FB3" w:rsidRDefault="00BE7FB3" w:rsidP="00BE7FB3">
      <w:pPr>
        <w:pStyle w:val="TextoNormal"/>
      </w:pPr>
      <w:r>
        <w:t>De lo anterior se concluye que la atribución por la Ley 2/2012 al gobierno catalán de competencias en materia de protección e inspección del espectro radioeléctrico acarrearía la subordinación de la planificación y gestión del espacio radioeléctrico a nivel nacional a las necesidades del régimen jurídico audiovisual en Cataluña, cuando de acuerdo con la normativa estatal y comunitaria, primero hay que realizar una planificación eficiente del espectro, para luego asignar eficazmente las distintas bandas a los distintos servicios.</w:t>
      </w:r>
    </w:p>
    <w:p w:rsidR="00BE7FB3" w:rsidRDefault="00BE7FB3" w:rsidP="00BE7FB3">
      <w:pPr>
        <w:pStyle w:val="TextoNormal"/>
      </w:pPr>
    </w:p>
    <w:p w:rsidR="00BE7FB3" w:rsidRDefault="00BE7FB3" w:rsidP="00BE7FB3">
      <w:pPr>
        <w:pStyle w:val="TextoNormal"/>
      </w:pPr>
      <w:r>
        <w:t>d) Seguidamente se examinan los perjuicios que se derivarían de la suspensión de la vigencia de los preceptos impugnados.</w:t>
      </w:r>
    </w:p>
    <w:p w:rsidR="00BE7FB3" w:rsidRDefault="00BE7FB3" w:rsidP="00BE7FB3">
      <w:pPr>
        <w:pStyle w:val="TextoNormal"/>
      </w:pPr>
    </w:p>
    <w:p w:rsidR="00BE7FB3" w:rsidRDefault="00BE7FB3" w:rsidP="00BE7FB3">
      <w:pPr>
        <w:pStyle w:val="TextoNormal"/>
      </w:pPr>
      <w:r>
        <w:t>El Abogado del Estado comienza analizando los perjuicios que se derivarían del levantamiento de la suspensión del inciso del art. 7 de la Ley 2/2012 relativo a la protección activa del espectro radioeléctrico. Destaca que el ATC 18/2007 no se pronunció sobre la suspensión del inciso del art. 7 de la Ley 2/2012 relativo a la protección activa del espectro radioeléctrico, porque no se incluía en la redacción original de la Ley 22/2005. Dicho inciso atribuye a la Generalitat una potestad de extraordinario poder distorsionador del correcto funcionamiento del espectro radioeléctrico, pues incluye la facultad de realizar emisiones que interfieran con otras que hayan invadido ilegítimamente ese dominio público. Esa atribución tiene la potencialidad de crear graves e irreparables perjuicios, en caso de levantamiento de la suspensión de la vigencia del precepto impugnado:</w:t>
      </w:r>
    </w:p>
    <w:p w:rsidR="00BE7FB3" w:rsidRDefault="00BE7FB3" w:rsidP="00BE7FB3">
      <w:pPr>
        <w:pStyle w:val="TextoNormal"/>
      </w:pPr>
    </w:p>
    <w:p w:rsidR="00BE7FB3" w:rsidRDefault="00BE7FB3" w:rsidP="00BE7FB3">
      <w:pPr>
        <w:pStyle w:val="TextoNormal"/>
      </w:pPr>
      <w:r>
        <w:t>- En primer lugar, se alegan perjuicios para los medios y operadores directamente afectados por la interferencia, pues, a diferencia de lo que ocurre en el Estado, la mencionada facultad se ejercitaría de forma directa y automática a través de la actuación material de la Administración catalana, sin tramitación de procedimiento previo alguno, al margen de la planificación general del espectro y sin posibilidad de impugnar previamente la decisión o de solicitar su suspensión cautelar.</w:t>
      </w:r>
    </w:p>
    <w:p w:rsidR="00BE7FB3" w:rsidRDefault="00BE7FB3" w:rsidP="00BE7FB3">
      <w:pPr>
        <w:pStyle w:val="TextoNormal"/>
      </w:pPr>
    </w:p>
    <w:p w:rsidR="00BE7FB3" w:rsidRDefault="00BE7FB3" w:rsidP="00BE7FB3">
      <w:pPr>
        <w:pStyle w:val="TextoNormal"/>
      </w:pPr>
      <w:r>
        <w:t>- En segundo lugar, se alegan perjuicios para otros operadores y medios que emitan en bandas adyacentes, pues, no conociendo la planificación de las frecuencias que realiza el Estado, las emisiones de protección activa del espectro que realice la Generalitat pueden suponer emisiones fuera de banda de intensidad aleatoria que pueden interferir gravemente en bandas adyacentes, que emiten con todos los requisitos legales, con merma de clientes finales y de ingresos de publicidad. También se pueden generar los llamados productos de intermodulación, es decir, emisiones cuya frecuencia resulta de una combinación de la frecuencia de la emisión interferente con otra u otras emisiones en la misma zona geográfica y que tienen como consecuencia la producción de interferencias en otros canales dentro de una misma banda de frecuencias. Para evitar esas interferencias el Estado se reserva no sólo la planificación del espectro radioeléctrico, sino también su gestión y, singularmente, su protección activa.</w:t>
      </w:r>
    </w:p>
    <w:p w:rsidR="00BE7FB3" w:rsidRDefault="00BE7FB3" w:rsidP="00BE7FB3">
      <w:pPr>
        <w:pStyle w:val="TextoNormal"/>
      </w:pPr>
    </w:p>
    <w:p w:rsidR="00BE7FB3" w:rsidRDefault="00BE7FB3" w:rsidP="00BE7FB3">
      <w:pPr>
        <w:pStyle w:val="TextoNormal"/>
      </w:pPr>
      <w:r>
        <w:t xml:space="preserve">- En tercer lugar, se alegan perjuicios en la planificación y gestión del espectro. La planificación, gestión, inspección y control del espectro radioeléctrico constituye un todo sin posibilidad de desgajar cada una de estas actividades. La fragmentación interna, que resultaría de levantarse la suspensión del art. 7 de la Ley 2/2012, conllevaría con toda seguridad </w:t>
      </w:r>
      <w:r>
        <w:lastRenderedPageBreak/>
        <w:t>una gestión ineficaz y distorsionada del espectro radioeléctrico, que, en definitiva, se traduciría en una menor calidad de los servicios ofertados al ciudadano.</w:t>
      </w:r>
    </w:p>
    <w:p w:rsidR="00BE7FB3" w:rsidRDefault="00BE7FB3" w:rsidP="00BE7FB3">
      <w:pPr>
        <w:pStyle w:val="TextoNormal"/>
      </w:pPr>
    </w:p>
    <w:p w:rsidR="00BE7FB3" w:rsidRDefault="00BE7FB3" w:rsidP="00BE7FB3">
      <w:pPr>
        <w:pStyle w:val="TextoNormal"/>
      </w:pPr>
      <w:r>
        <w:t>- Finalmente, se advierte que la generalización de la competencia de protección activa del espectro al resto de Comunidades Autónomas ocasionaría un verdadero caos en la gestión del espacio radioeléctrico. El Tribunal Constitucional ha admitido que en los incidentes de suspensión puede ponderarse “el riesgo de una posible extensión de las normas cuestionadas a otras Administraciones Públicas” (citando, entre otras, el ATC 87/2012, de 10 de mayo, FJ 4). A juicio del Abogado del Estado, los perjuicios a los particulares de imposible o muy difícil reparación que justificaron “el mantenimiento de la suspensión del art. 56 de la Ley 22/2005 (ATC 18/2007, FJ 7), han de determinar también el mantenimiento de la suspensión del art. 7 de la Ley 2/2012.</w:t>
      </w:r>
    </w:p>
    <w:p w:rsidR="00BE7FB3" w:rsidRDefault="00BE7FB3" w:rsidP="00BE7FB3">
      <w:pPr>
        <w:pStyle w:val="TextoNormal"/>
      </w:pPr>
    </w:p>
    <w:p w:rsidR="00BE7FB3" w:rsidRDefault="00BE7FB3" w:rsidP="00BE7FB3">
      <w:pPr>
        <w:pStyle w:val="TextoNormal"/>
      </w:pPr>
      <w:r>
        <w:t>Posteriormente, el Abogado del Estado analiza los perjuicios que se derivarían del levantamiento de la suspensión de los incisos de los arts. 7 y 9 de la Ley 2/2012 relativos a las potestades de protección, inspección y sanción sobre los aspectos técnicos del espectro. Ciertamente el ATC 18/2007, FJ 5, levantó la suspensión de la vigencia del artículo 111.2 j) de la Ley 22/2005. No obstante, se alega que entonces no se sometieron a la consideración del Tribunal los perjuicios que se invocan a continuación.</w:t>
      </w:r>
    </w:p>
    <w:p w:rsidR="00BE7FB3" w:rsidRDefault="00BE7FB3" w:rsidP="00BE7FB3">
      <w:pPr>
        <w:pStyle w:val="TextoNormal"/>
      </w:pPr>
    </w:p>
    <w:p w:rsidR="00BE7FB3" w:rsidRDefault="00BE7FB3" w:rsidP="00BE7FB3">
      <w:pPr>
        <w:pStyle w:val="TextoNormal"/>
      </w:pPr>
      <w:r>
        <w:t>Las competencias sobre inspección, control y sanción en materia de espectro radioeléctrico están atribuidas a la Administración del Estado a través de la Ley 32/2003, de 3 de noviembre, general de telecomunicaciones, en virtud de la competencia exclusiva que el art. 149.1.21 CE reserva al Estado. La competencia que se atribuye en los artículos 7 y 9 a la Generalitat supondría duplicar el régimen de inspección, control y sanción sobre una misma materia, con graves consecuencias para los intereses públicos y privados afectados.</w:t>
      </w:r>
    </w:p>
    <w:p w:rsidR="00BE7FB3" w:rsidRDefault="00BE7FB3" w:rsidP="00BE7FB3">
      <w:pPr>
        <w:pStyle w:val="TextoNormal"/>
      </w:pPr>
    </w:p>
    <w:p w:rsidR="00BE7FB3" w:rsidRDefault="00BE7FB3" w:rsidP="00BE7FB3">
      <w:pPr>
        <w:pStyle w:val="TextoNormal"/>
      </w:pPr>
      <w:r>
        <w:t>Si la Generalitat se arroga la facultad de inspección y control de los aspectos técnicos de la prestación de los servicios y, en particular, de las condiciones de uso del espectro radioeléctrico, la quinta fase antes mencionada, esencial para el correcto funcionamiento del espectro, queda completamente desarticulada. Así, al amparo de la legislación autonómica impugnada, quienes hubieran obtenido la correspondiente licencia y la concesión estatal del espectro necesario, podrían presentar el proyecto técnico a la Comunidad Autónoma, recibir la aprobación y la inspección de ésta y comenzar a operar sin que (i) el Estado haya verificado que el proyecto técnico se ajusta a la planificación estatal del espectro; y (ii) sin que el Estado haya comprobado, mediante la imprescindible inspección, que la instalación cumple con las necesarias exigencias derivadas de la planificación estatal. El ejercicio de esta potestad por la Generalitat habrá de producir graves perjuicios en el correcto funcionamiento del espectro en esa Comunidad, en regiones adyacentes e incluso en otros países como Francia.</w:t>
      </w:r>
    </w:p>
    <w:p w:rsidR="00BE7FB3" w:rsidRDefault="00BE7FB3" w:rsidP="00BE7FB3">
      <w:pPr>
        <w:pStyle w:val="TextoNormal"/>
      </w:pPr>
    </w:p>
    <w:p w:rsidR="00BE7FB3" w:rsidRDefault="00BE7FB3" w:rsidP="00BE7FB3">
      <w:pPr>
        <w:pStyle w:val="TextoNormal"/>
      </w:pPr>
      <w:r>
        <w:t xml:space="preserve">Por otro lado, los perjuicios derivados de la duplicidad de procedimientos sancionadores no pueden considerarse como una simple “consecuencia inherente a toda situación de pendencia de un recurso de inconstitucionalidad”. Estamos ante la posibilidad de la apertura por parte de la Generalitat de expedientes sancionadores a operadores de telecomunicaciones con graves consecuencias punitivas. Recuérdese que el artículo 136 de la de la Ley 22/2005, en sus apartados 1 a) y 2, permite la imposición de sanciones económicas de hasta </w:t>
      </w:r>
      <w:r>
        <w:lastRenderedPageBreak/>
        <w:t>300.000 euros, la suspensión de la actividad por un plazo máximo de tres meses, e incluso, en caso de reiteración, el cese definitivo de la prestación de servicios.</w:t>
      </w:r>
    </w:p>
    <w:p w:rsidR="00BE7FB3" w:rsidRDefault="00BE7FB3" w:rsidP="00BE7FB3">
      <w:pPr>
        <w:pStyle w:val="TextoNormal"/>
      </w:pPr>
    </w:p>
    <w:p w:rsidR="00BE7FB3" w:rsidRDefault="00BE7FB3" w:rsidP="00BE7FB3">
      <w:pPr>
        <w:pStyle w:val="TextoNormal"/>
      </w:pPr>
      <w:r>
        <w:t>Los AATC 398/2005 y 303/2006, citados en el ATC 18/2007, FJ 5, para justificar el levantamiento de la suspensión del artículo 111.2 j) de la Ley 22/2005, no se referían a supuestos en que el levantamiento de la suspensión pudiera suponer el ejercicio por la Comunidad Autónoma de la potestad sancionadora con tan graves consecuencias para la actividad de los operadores afectados.</w:t>
      </w:r>
    </w:p>
    <w:p w:rsidR="00BE7FB3" w:rsidRDefault="00BE7FB3" w:rsidP="00BE7FB3">
      <w:pPr>
        <w:pStyle w:val="TextoNormal"/>
      </w:pPr>
    </w:p>
    <w:p w:rsidR="00BE7FB3" w:rsidRDefault="00BE7FB3" w:rsidP="00BE7FB3">
      <w:pPr>
        <w:pStyle w:val="TextoNormal"/>
      </w:pPr>
      <w:r>
        <w:t>Por último, el Abogado del Estado analiza los perjuicios que se derivarían del levantamiento de la suspensión de la vigencia del art. 10 de la Ley 2/2012. La nueva redacción del artículo extiende el régimen de infracciones y sanciones no solo a los responsables del medio de comunicación que emite sin contar con título habilitante; sino también a otros sujetos, entre los que se incluyen los operadores de telecomunicaciones en su condición de prestadores de los servicios de apoyo a los servicios de difusión o de distribuidores de servicios de comunicación audiovisual. Por ello, son aplicables a este precepto autonómico los perjuicios relativos a las graves consecuencias punitivas que se han invocado anteriormente.</w:t>
      </w:r>
    </w:p>
    <w:p w:rsidR="00BE7FB3" w:rsidRDefault="00BE7FB3" w:rsidP="00BE7FB3">
      <w:pPr>
        <w:pStyle w:val="TextoNormal"/>
      </w:pPr>
    </w:p>
    <w:p w:rsidR="00BE7FB3" w:rsidRDefault="00BE7FB3" w:rsidP="00BE7FB3">
      <w:pPr>
        <w:pStyle w:val="TextoNormal"/>
      </w:pPr>
      <w:r>
        <w:t>Asimismo, se alude a la existencia de un único mercado de telecomunicaciones en el seno de la Unión Europea, sometido a reglas comunes para todos los Estados miembros y se alega que, en ese esquema de funcionamiento, la norma catalana produce distorsiones, dentro y fuera del territorio nacional, que sitúan a unos operadores con ventaja o desventaja sobre otros competidores a la hora de prestar sus servicios en el mercado único europeo, de forma automática por la entrada en vigor de la norma, ya que el régimen sancionador para los operadores audiovisuales que operen en Cataluña será más severo que en el resto del mercado único, incrementando así las barreras de acceso a ese mercado.</w:t>
      </w:r>
    </w:p>
    <w:p w:rsidR="00BE7FB3" w:rsidRDefault="00BE7FB3" w:rsidP="00BE7FB3">
      <w:pPr>
        <w:pStyle w:val="TextoNormal"/>
      </w:pPr>
    </w:p>
    <w:p w:rsidR="00BE7FB3" w:rsidRDefault="00BE7FB3" w:rsidP="00BE7FB3">
      <w:pPr>
        <w:pStyle w:val="TextoNormal"/>
      </w:pPr>
      <w:r>
        <w:t>El escrito se cierra con la petición de que se acuerde el mantenimiento de la suspensión de los arts. 7, 9 y 10 de la Ley del Parlamento de Cataluña 2/2012, de 22 de febrero, de modificación de varias leyes en materia audiovisual.</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Esta resolución tiene por objeto determinar si, de acuerdo con el art. 161.2 CE, procede levantar o mantener la suspensión de la vigencia que afecta a los arts. 7, 9 y 10 de la Ley del Parlamento de Cataluña 2/2012, de 22 de febrero, de modificación de varias leyes en materia audiovisual impugnados en el presente recurso de inconstitucionalidad. Las representaciones del Gobierno de la Generalitat de Cataluña y del Parlamento de Cataluña han solicitado el levantamiento anticipado de la suspensión de los preceptos recurridos sin esperar el transcurso de los cinco meses previstos en el citado precepto constitucional. Por su parte, el Abogado del Estado ha interesado el mantenimiento de la suspensión.</w:t>
      </w:r>
    </w:p>
    <w:p w:rsidR="00BE7FB3" w:rsidRDefault="00BE7FB3" w:rsidP="00BE7FB3">
      <w:pPr>
        <w:pStyle w:val="TextoNormal"/>
      </w:pPr>
    </w:p>
    <w:p w:rsidR="00BE7FB3" w:rsidRDefault="00BE7FB3" w:rsidP="00BE7FB3">
      <w:pPr>
        <w:pStyle w:val="TextoNormal"/>
      </w:pPr>
      <w:r w:rsidRPr="00BE7FB3">
        <w:rPr>
          <w:rStyle w:val="NumeroAFNegritaCaracter"/>
        </w:rPr>
        <w:t>2</w:t>
      </w:r>
      <w:r>
        <w:t>. La solicitud de levantamiento anticipado de la suspensión sin esperar al transcurso de los cinco meses previstos en el art. 161.2 CE constituye una solicitud viable procesalmente, pues, conforme a nuestra doctrina, los cinco meses a los que hace referencia el citado precepto constitucional son, precisamente, el límite máximo inicialmente previsto para la sus</w:t>
      </w:r>
      <w:r>
        <w:lastRenderedPageBreak/>
        <w:t>pensión, incluyéndose entre las potestades de este Tribunal la de ratificar o levantar la suspensión dentro de ese plazo (por todos, AATC 75/2010, de 30 de junio, FJ 2; y 238/2012, de 12 de diciembre, FJ 2).</w:t>
      </w:r>
    </w:p>
    <w:p w:rsidR="00BE7FB3" w:rsidRDefault="00BE7FB3" w:rsidP="00BE7FB3">
      <w:pPr>
        <w:pStyle w:val="TextoNormal"/>
      </w:pPr>
    </w:p>
    <w:p w:rsidR="00BE7FB3" w:rsidRDefault="00BE7FB3" w:rsidP="00BE7FB3">
      <w:pPr>
        <w:pStyle w:val="TextoNormal"/>
      </w:pPr>
      <w:r>
        <w:t>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y 239/2012, de 12 de diciembre, FJ 2).</w:t>
      </w:r>
    </w:p>
    <w:p w:rsidR="00BE7FB3" w:rsidRDefault="00BE7FB3" w:rsidP="00BE7FB3">
      <w:pPr>
        <w:pStyle w:val="TextoNormal"/>
      </w:pPr>
    </w:p>
    <w:p w:rsidR="00BE7FB3" w:rsidRDefault="00BE7FB3" w:rsidP="00BE7FB3">
      <w:pPr>
        <w:pStyle w:val="TextoNormal"/>
      </w:pPr>
      <w:r w:rsidRPr="00BE7FB3">
        <w:rPr>
          <w:rStyle w:val="NumeroAFNegritaCaracter"/>
        </w:rPr>
        <w:t>3</w:t>
      </w:r>
      <w:r>
        <w:t>. Las posiciones defendidas por las diversas partes personadas en este proceso constitucional respecto del objeto de este incidente son las siguientes:</w:t>
      </w:r>
    </w:p>
    <w:p w:rsidR="00BE7FB3" w:rsidRDefault="00BE7FB3" w:rsidP="00BE7FB3">
      <w:pPr>
        <w:pStyle w:val="TextoNormal"/>
      </w:pPr>
    </w:p>
    <w:p w:rsidR="00BE7FB3" w:rsidRDefault="00BE7FB3" w:rsidP="00BE7FB3">
      <w:pPr>
        <w:pStyle w:val="TextoNormal"/>
      </w:pPr>
      <w:r>
        <w:t>a) Las representaciones del Gobierno de la Generalitat y del Parlamento de Cataluña han postulado el levantamiento de la suspensión de los preceptos legales impugnados o, subsidiariamente, una más precisa delimitación de la suspensión, porque en el escrito rector de este proceso constitucional se efectúa una invocación en exceso genérica del art. 161.2 CE, que no se corresponde con la delimitación del objeto de la impugnación, por lo que habría que adecuar el alcance de la suspensión a los incisos y partes de los preceptos legales efectivamente controvertidos. En cuanto a la petición de levantamiento de la suspensión, señalan que las funciones previstas en los artículos impugnados [que modifican las funciones reguladas en los arts. 111.2 j) y 127.2 de la Ley 22/2005] sobre inspección y control de aspectos técnicos de la prestación de servicios de comunicación audiovisual no parecen comportar un perjuicio al interés general ni producir situaciones de hecho irreversibles, puesto que son funciones que la Generalitat ya venía ejerciendo antes de aprobarse la Ley 22/2005 y que ha seguido ejerciendo sin que ello haya comportado daños para la seguridad jurídica. Igualmente, excluyen que de la previsión de responsabilidad contenida en el art. 10 de la Ley 2/2012 [que modifica la letra a) del art. 132 de la Ley 22/2005] por la participación en una actuación que constituye un ilícito administrativo se derive una distorsión del mercado de las telecomunicaciones cuya regulación corresponde al Estado.</w:t>
      </w:r>
    </w:p>
    <w:p w:rsidR="00BE7FB3" w:rsidRDefault="00BE7FB3" w:rsidP="00BE7FB3">
      <w:pPr>
        <w:pStyle w:val="TextoNormal"/>
      </w:pPr>
    </w:p>
    <w:p w:rsidR="00BE7FB3" w:rsidRDefault="00BE7FB3" w:rsidP="00BE7FB3">
      <w:pPr>
        <w:pStyle w:val="TextoNormal"/>
      </w:pPr>
      <w:r>
        <w:t>b) A su vez, el Abogado del Estado defiende el mantenimiento de la suspensión de los tres preceptos impugnados con base en los argumentos que se han recogido con detalle en los antecedentes y que se pueden sintetizar de la siguiente forma.</w:t>
      </w:r>
    </w:p>
    <w:p w:rsidR="00BE7FB3" w:rsidRDefault="00BE7FB3" w:rsidP="00BE7FB3">
      <w:pPr>
        <w:pStyle w:val="TextoNormal"/>
      </w:pPr>
    </w:p>
    <w:p w:rsidR="00BE7FB3" w:rsidRDefault="00BE7FB3" w:rsidP="00BE7FB3">
      <w:pPr>
        <w:pStyle w:val="TextoNormal"/>
      </w:pPr>
      <w:r>
        <w:t xml:space="preserve">La atribución a la Generalitat de competencias en materia de inspección, control y sanción en los aspectos técnicos de la prestación de servicios de comunicación audiovisual (arts. 7 y 9) invade la competencia exclusiva del Estado </w:t>
      </w:r>
      <w:r w:rsidRPr="00BE7FB3">
        <w:rPr>
          <w:i/>
        </w:rPr>
        <w:t>ex</w:t>
      </w:r>
      <w:r>
        <w:t xml:space="preserve"> art. 149.1.21 CE y duplica el </w:t>
      </w:r>
      <w:r>
        <w:lastRenderedPageBreak/>
        <w:t>régimen de inspección, control y sanción sobre una misma materia, con graves consecuencias para los intereses públicos y privados afectados, pues los expedientes sancionadores que se abran a los operadores de telecomunicaciones tienen graves consecuencias punitivas.</w:t>
      </w:r>
    </w:p>
    <w:p w:rsidR="00BE7FB3" w:rsidRDefault="00BE7FB3" w:rsidP="00BE7FB3">
      <w:pPr>
        <w:pStyle w:val="TextoNormal"/>
      </w:pPr>
    </w:p>
    <w:p w:rsidR="00BE7FB3" w:rsidRDefault="00BE7FB3" w:rsidP="00BE7FB3">
      <w:pPr>
        <w:pStyle w:val="TextoNormal"/>
      </w:pPr>
      <w:r>
        <w:t>La atribución a la Generalitat de la facultad de la protección activa del espectro (art. 7) reviste un extraordinario poder distorsionador del correcto funcionamiento del espectro radioeléctrico, pues incluye la facultad de realizar emisiones que interfieran con otras que hayan invadido ilegítimamente ese dominio público, y dicha actuación material puede perjudicar a los propios medios y operadores que emiten sin título habilitante, a otros operadores y medios que emitan en bandas adyacentes y a la planificación y gestión del espectro.</w:t>
      </w:r>
    </w:p>
    <w:p w:rsidR="00BE7FB3" w:rsidRDefault="00BE7FB3" w:rsidP="00BE7FB3">
      <w:pPr>
        <w:pStyle w:val="TextoNormal"/>
      </w:pPr>
    </w:p>
    <w:p w:rsidR="00BE7FB3" w:rsidRDefault="00BE7FB3" w:rsidP="00BE7FB3">
      <w:pPr>
        <w:pStyle w:val="TextoNormal"/>
      </w:pPr>
      <w:r>
        <w:t>La extensión del régimen de responsabilidad por la emisión sin título habilitante a los prestadores de los servicios de apoyo a los servicios de difusión o a los distribuidores (art. 10) tiene graves consecuencias punitivas y afecta al funcionamiento normal del mercado único de telecomunicaciones.</w:t>
      </w:r>
    </w:p>
    <w:p w:rsidR="00BE7FB3" w:rsidRDefault="00BE7FB3" w:rsidP="00BE7FB3">
      <w:pPr>
        <w:pStyle w:val="TextoNormal"/>
      </w:pPr>
    </w:p>
    <w:p w:rsidR="00BE7FB3" w:rsidRDefault="00BE7FB3" w:rsidP="00BE7FB3">
      <w:pPr>
        <w:pStyle w:val="TextoNormal"/>
      </w:pPr>
      <w:r w:rsidRPr="00BE7FB3">
        <w:rPr>
          <w:rStyle w:val="NumeroAFNegritaCaracter"/>
        </w:rPr>
        <w:t>4</w:t>
      </w:r>
      <w:r>
        <w:t>. Como han señalado las partes en sus escritos de alegaciones, los preceptos impugnados en este proceso constitucional proporcionan nueva redacción a diversos artículos [arts. 112.2 j), 127.2 y 132] de la Ley 22/2005, de 29 de diciembre, de la comunicación audiovisual de Cataluña, que fueron objeto del recurso de inconstitucionalidad núm. 8112-2006 que se halla pendiente ante este Tribunal. Debemos recordar que en dicho proceso constitucional adoptamos el ATC 18/2007, de 18 de enero, por el cual se acordó “mantener la suspensión del art. 56 y de la disposición transitoria segunda de la Ley del Parlamento de Cataluña 22/2005, de 29 de diciembre, de la comunicación audiovisual de Cataluña” y “levantar la suspensión de todos los demás preceptos impugnados en este recurso de inconstitucionalidad”.</w:t>
      </w:r>
    </w:p>
    <w:p w:rsidR="00BE7FB3" w:rsidRDefault="00BE7FB3" w:rsidP="00BE7FB3">
      <w:pPr>
        <w:pStyle w:val="TextoNormal"/>
      </w:pPr>
    </w:p>
    <w:p w:rsidR="00BE7FB3" w:rsidRDefault="00BE7FB3" w:rsidP="00BE7FB3">
      <w:pPr>
        <w:pStyle w:val="TextoNormal"/>
      </w:pPr>
      <w:r>
        <w:t xml:space="preserve">En el presente proceso constitucional se impugnan incisos introducidos </w:t>
      </w:r>
      <w:r w:rsidRPr="00BE7FB3">
        <w:rPr>
          <w:i/>
        </w:rPr>
        <w:t>ex novo</w:t>
      </w:r>
      <w:r>
        <w:t xml:space="preserve"> e incisos que ya se contenían en la redacción original de los preceptos impugnados y cuya suspensión de vigencia levantamos en el ATC 18/2007. Por lo tanto, a la hora de examinar las peticiones de mantenimiento o de levantamiento anticipado de la suspensión de los preceptos impugnados, nuestro punto de partida en este proceso constitucional será la ponderación de intereses que realizamos en el citado ATC 18/2007, sin perjuicio de que analicemos los nuevos motivos que nos han planteado las partes.</w:t>
      </w:r>
    </w:p>
    <w:p w:rsidR="00BE7FB3" w:rsidRDefault="00BE7FB3" w:rsidP="00BE7FB3">
      <w:pPr>
        <w:pStyle w:val="TextoNormal"/>
      </w:pPr>
    </w:p>
    <w:p w:rsidR="00BE7FB3" w:rsidRDefault="00BE7FB3" w:rsidP="00BE7FB3">
      <w:pPr>
        <w:pStyle w:val="TextoNormal"/>
      </w:pPr>
      <w:r>
        <w:t>De acuerdo con la jurisprudencia de este Tribunal,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12/2006, de 17 de enero, FJ 5, y las resoluciones allí citadas).</w:t>
      </w:r>
    </w:p>
    <w:p w:rsidR="00BE7FB3" w:rsidRDefault="00BE7FB3" w:rsidP="00BE7FB3">
      <w:pPr>
        <w:pStyle w:val="TextoNormal"/>
      </w:pPr>
    </w:p>
    <w:p w:rsidR="00BE7FB3" w:rsidRDefault="00BE7FB3" w:rsidP="00BE7FB3">
      <w:pPr>
        <w:pStyle w:val="TextoNormal"/>
      </w:pPr>
      <w:r w:rsidRPr="00BE7FB3">
        <w:rPr>
          <w:rStyle w:val="NumeroAFNegritaCaracter"/>
        </w:rPr>
        <w:t>5</w:t>
      </w:r>
      <w:r>
        <w:t>. Una vez precisado lo anterior examinaremos seguidamente la petición de levantamiento anticipado de la suspensión de los preceptos controvertidos.</w:t>
      </w:r>
    </w:p>
    <w:p w:rsidR="00BE7FB3" w:rsidRDefault="00BE7FB3" w:rsidP="00BE7FB3">
      <w:pPr>
        <w:pStyle w:val="TextoNormal"/>
      </w:pPr>
    </w:p>
    <w:p w:rsidR="00BE7FB3" w:rsidRDefault="00BE7FB3" w:rsidP="00BE7FB3">
      <w:pPr>
        <w:pStyle w:val="TextoNormal"/>
      </w:pPr>
      <w:r>
        <w:t xml:space="preserve">a) En cuanto a la atribución a la Generalitat de competencias en materia de inspección, control y sanción en los aspectos técnicos de la prestación de servicios de comunicación </w:t>
      </w:r>
      <w:r>
        <w:lastRenderedPageBreak/>
        <w:t xml:space="preserve">audiovisual (arts. 7 y 9), el Abogado del Estado ha solicitado el mantenimiento de la suspensión de los preceptos porque dicha atribución invade la competencia exclusiva del Estado </w:t>
      </w:r>
      <w:r w:rsidRPr="00BE7FB3">
        <w:rPr>
          <w:i/>
        </w:rPr>
        <w:t>ex</w:t>
      </w:r>
      <w:r>
        <w:t xml:space="preserve"> art. 149.1.21 CE y porque duplica el régimen de inspección, control y sanción sobre una misma materia, con graves consecuencias para los intereses públicos y privados afectados, pues los expedientes sancionadores que se abran a los operadores de telecomunicaciones tienen graves consecuencias punitivas.</w:t>
      </w:r>
    </w:p>
    <w:p w:rsidR="00BE7FB3" w:rsidRDefault="00BE7FB3" w:rsidP="00BE7FB3">
      <w:pPr>
        <w:pStyle w:val="TextoNormal"/>
      </w:pPr>
    </w:p>
    <w:p w:rsidR="00BE7FB3" w:rsidRDefault="00BE7FB3" w:rsidP="00BE7FB3">
      <w:pPr>
        <w:pStyle w:val="TextoNormal"/>
      </w:pPr>
      <w:r>
        <w:t>Debemos señalar que los citados aspectos controvertidos de los arts. 7 y 9 se refieren a incisos que ya se contenían en la redacción original de los preceptos de la Ley 22/2005, que se hallan impugnados ante este Tribunal y cuya suspensión acordamos levantar en el citado ATC 18/2007. La única modificación introducida en el artículo 7 —la precisión de que las potestades de inspección, control y sanción se extienden también a la prestación de servicios sin título habilitante— no tiene fuerza suficiente para alterar la ponderación de intereses en juego que efectuamos en el ATC 18/2007.</w:t>
      </w:r>
    </w:p>
    <w:p w:rsidR="00BE7FB3" w:rsidRDefault="00BE7FB3" w:rsidP="00BE7FB3">
      <w:pPr>
        <w:pStyle w:val="TextoNormal"/>
      </w:pPr>
    </w:p>
    <w:p w:rsidR="00BE7FB3" w:rsidRDefault="00BE7FB3" w:rsidP="00BE7FB3">
      <w:pPr>
        <w:pStyle w:val="TextoNormal"/>
      </w:pPr>
      <w:r>
        <w:t>Tampoco el Abogado del Estado ha proporcionado motivos nuevos que sustenten el mantenimiento de la suspensión de la vigencia de tales preceptos. En efecto, el motivo referido a la invasión competencial atiende a la defensa de la titularidad de la competencia controvertida, pero carece de entidad para alegar o acreditar, por sí mismo, los perjuicios irreparables o de difícil reparación que se producirían por la vigencia de los artículos discutido. Y respecto al motivo referido a las consecuencias derivadas de la duplicidad del régimen de inspección, control y sanción sobre una misma materia o de las graves consecuencias punitivas para los operadores de telecomunicaciones, reiteramos lo que afirmamos en el ATC 18/2007, FJ 5:</w:t>
      </w:r>
    </w:p>
    <w:p w:rsidR="00BE7FB3" w:rsidRDefault="00BE7FB3" w:rsidP="00BE7FB3">
      <w:pPr>
        <w:pStyle w:val="TextoNormal"/>
      </w:pPr>
    </w:p>
    <w:p w:rsidR="00BE7FB3" w:rsidRDefault="00BE7FB3" w:rsidP="00BE7FB3">
      <w:pPr>
        <w:pStyle w:val="TextoNormal"/>
      </w:pPr>
      <w:r>
        <w:t>“[L]os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(ATC 12/1992, de 23 de enero, FJ 2. En igual sentido, AATC 208/1986, de 6 de marzo, FJ 1; y 88/1991, de 12 de marzo, FJ 2)’ (AATC 398/2005, de 8 de noviembre, FJ 6; y 303/2006, de 12 de septiembre, FJ 5). Pues bien, en esta ocasión, el criterio determinante del levantamiento de la suspensión debe ser el mismo que utilizamos en los AATC 253/1992, de 9 de septiembre, y 417/1997, de 16 de diciembre, esto es, que ‘en supuestos como el presente es determinante el hecho de que los sujetos pasivos del impuesto sean poco numerosos y perfectamente identificables, ya que, en tal hipótesis —y así sucede con toda evidencia en relación con el tributo recurrido—, no serían excesivamente onerosas las cargas, molestias y costes que, en su caso, conllevarían las operaciones de devolución de las cantidades ya ingresadas’ (FJ 5 de la última resolución citada).”</w:t>
      </w:r>
    </w:p>
    <w:p w:rsidR="00BE7FB3" w:rsidRDefault="00BE7FB3" w:rsidP="00BE7FB3">
      <w:pPr>
        <w:pStyle w:val="TextoNormal"/>
      </w:pPr>
    </w:p>
    <w:p w:rsidR="00BE7FB3" w:rsidRDefault="00BE7FB3" w:rsidP="00BE7FB3">
      <w:pPr>
        <w:pStyle w:val="TextoNormal"/>
      </w:pPr>
      <w:r>
        <w:lastRenderedPageBreak/>
        <w:t>Dicha consideración, que realizamos a propósito del levantamiento de la suspensión de la vigencia de un precepto del mismo cuerpo normativo que exigía el abono de una tasa autonómica a los titulares de una licencia, la reiteramos después en la misma resolución y mismo fundamento jurídico con respecto a la competencia de la Generalitat para ejercer las potestades de inspección, control y sanción en los aspectos técnicos de la prestación de servicios de comunicación audiovisual prevista en el art. 111.2 j) de la Ley 22/2005, señalando que “como ya hemos avanzado anteriormente, una incidencia sobre la seguridad jurídica como la apuntada carece de entidad para mantener la suspensión del precepto, en virtud de la doctrina sintetizada en los AATC 398/2005, de 8 de noviembre, FJ 6; y 303/2006, de 12 de septiembre, FJ 5”. Así pues, como declaramos en el ATC 18/2007, la eventualidad de que se inicien y tramiten dos procedimientos por Administraciones distintas respecto de unos mismos hechos y con el mismo fundamento sancionador no genera perjuicios irreparables o de difícil reparación, pues los destinatarios de tales procedimientos sancionadores serían “poco numerosos y perfectamente identificables” y “no serían excesivamente onerosas las cargas, molestias y costes que, en su caso, conllevarían las operaciones de devolución” de las sanciones impuestas y ya satisfechas.</w:t>
      </w:r>
    </w:p>
    <w:p w:rsidR="00BE7FB3" w:rsidRDefault="00BE7FB3" w:rsidP="00BE7FB3">
      <w:pPr>
        <w:pStyle w:val="TextoNormal"/>
      </w:pPr>
    </w:p>
    <w:p w:rsidR="00BE7FB3" w:rsidRDefault="00BE7FB3" w:rsidP="00BE7FB3">
      <w:pPr>
        <w:pStyle w:val="TextoNormal"/>
      </w:pPr>
      <w:r>
        <w:t>Procede, por consiguiente, el levantamiento de la suspensión del art. 9.</w:t>
      </w:r>
    </w:p>
    <w:p w:rsidR="00BE7FB3" w:rsidRDefault="00BE7FB3" w:rsidP="00BE7FB3">
      <w:pPr>
        <w:pStyle w:val="TextoNormal"/>
      </w:pPr>
    </w:p>
    <w:p w:rsidR="00BE7FB3" w:rsidRDefault="00BE7FB3" w:rsidP="00BE7FB3">
      <w:pPr>
        <w:pStyle w:val="TextoNormal"/>
      </w:pPr>
      <w:r>
        <w:t>b) Por lo que respecta a la atribución a la Generalitat de la facultad de protección activa del espectro radioeléctrico contenida en el art. 7 (“En ejercicio de estas potestades, puede tomar las medidas de protección activa del espectro, de acuerdo con la normativa vigente”), el Abogado del Estado ha solicitado el mantenimiento de la suspensión del citado precepto porque dicha facultad constituye un extraordinario poder distorsionador del correcto funcionamiento del espectro radioeléctrico, pues incluye la facultad de realizar emisiones que interfieran con otras que hayan invadido ilegítimamente ese dominio público y dicha actuación material puede perjudicar: i) a los propios medios y operadores que emiten sin título habilitante; ii) a otros operadores y medios que emitan en bandas adyacentes; y iii) a la planificación y gestión del espectro.</w:t>
      </w:r>
    </w:p>
    <w:p w:rsidR="00BE7FB3" w:rsidRDefault="00BE7FB3" w:rsidP="00BE7FB3">
      <w:pPr>
        <w:pStyle w:val="TextoNormal"/>
      </w:pPr>
    </w:p>
    <w:p w:rsidR="00BE7FB3" w:rsidRDefault="00BE7FB3" w:rsidP="00BE7FB3">
      <w:pPr>
        <w:pStyle w:val="TextoNormal"/>
      </w:pPr>
      <w:r>
        <w:t>Cabe precisar, por una parte, que el precepto controvertido contempla la adopción de medidas de protección activa del espectro como una facultad que complementa las potestades de inspección, control y sanción de los aspectos técnicos de la prestación de servicios de comunicación audiovisual así como de la prestación de dichos servicios sin título habilitante; y, por otra parte, que el precepto no define las medidas a tomar sino que remite a la normativa vigente.</w:t>
      </w:r>
    </w:p>
    <w:p w:rsidR="00BE7FB3" w:rsidRDefault="00BE7FB3" w:rsidP="00BE7FB3">
      <w:pPr>
        <w:pStyle w:val="TextoNormal"/>
      </w:pPr>
    </w:p>
    <w:p w:rsidR="00BE7FB3" w:rsidRDefault="00BE7FB3" w:rsidP="00BE7FB3">
      <w:pPr>
        <w:pStyle w:val="TextoNormal"/>
      </w:pPr>
      <w:r>
        <w:t xml:space="preserve">La ponderación de perjuicios que se nos demanda debe partir de nuestra doctrina, afirmada en el ATC 181/2011, de 13 de diciembre, FJ 4, según la cual los intereses privados “no pueden prevalecer sobre la presunción de legitimidad constitucional que caracteriza a la ley autonómica hasta que nos pronunciemos sobre el fondo de la cuestión. Además, tales perjuicios se formulan de un modo marcadamente hipotético ya que en ningún momento se aportan datos concretos o estimación cuantitativa que permita su ponderación, de modo que no es posible considerar que su aplicación genere per se perjuicios ciertos y efectivos que justifiquen el mantenimiento de su suspensión frente a la presunción de validez y constitucionalidad de la que el precepto legal goza en atención a su origen. En suma, no existe aquí un perjuicio verdaderamente irreparable o de muy difícil reparación, pues, en todo caso, los perjuicios a los intereses particulares que se alegan son de carácter patrimonial y, por tanto, </w:t>
      </w:r>
      <w:r>
        <w:lastRenderedPageBreak/>
        <w:t>susceptibles de reparación ya que, en caso de que el precepto fuera en su día declarado inconstitucional, los —en este momento eventuales— perjuicios experimentados por los particulares serían susceptibles de ser evaluados y, en su caso, indemnizados”.</w:t>
      </w:r>
    </w:p>
    <w:p w:rsidR="00BE7FB3" w:rsidRDefault="00BE7FB3" w:rsidP="00BE7FB3">
      <w:pPr>
        <w:pStyle w:val="TextoNormal"/>
      </w:pPr>
    </w:p>
    <w:p w:rsidR="00BE7FB3" w:rsidRDefault="00BE7FB3" w:rsidP="00BE7FB3">
      <w:pPr>
        <w:pStyle w:val="TextoNormal"/>
      </w:pPr>
      <w:r>
        <w:t>En el presente caso los perjuicios a los intereses particulares que se alegan son de carácter patrimonial y, por tanto, susceptibles de reparación; y, en consecuencia, no pueden prevalecer sobre la presunción de legitimidad constitucional de la ley autonómica. Además, la relevancia de esos perjuicios, a los efectos del mantenimiento de la suspensión, puede ser también descartada con arreglo a las siguientes consideraciones. En cuanto a los perjuicios que la adopción de medidas de protección activa del espectro pudiera causar a los operadores y medios que lo invadan ilegítimamente, es evidente que tales perjuicios no tendrían carácter antijurídico sino que derivarían en todo caso del carácter ilegítimo de la actividad previa de dichos operadores y medios. Y en cuanto a los perjuicios que la facultad de adopción de medidas de protección activa del espectro pudiera causar a otros operadores y medios que emitan en bandas adyacentes, debe señalarse que esos perjuicios son marcadamente hipotéticos y que, en todo caso, serán achacables al instrumento técnico empleado para la protección activa del espectro, pero no a la facultad reconocida por el precepto autonómico, que no predetermina en sí misma el modo de realización.</w:t>
      </w:r>
    </w:p>
    <w:p w:rsidR="00BE7FB3" w:rsidRDefault="00BE7FB3" w:rsidP="00BE7FB3">
      <w:pPr>
        <w:pStyle w:val="TextoNormal"/>
      </w:pPr>
    </w:p>
    <w:p w:rsidR="00BE7FB3" w:rsidRDefault="00BE7FB3" w:rsidP="00BE7FB3">
      <w:pPr>
        <w:pStyle w:val="TextoNormal"/>
      </w:pPr>
      <w:r>
        <w:t>Por último, nos resta ponderar los perjuicios al interés general que se alegan. A este respecto debemos señalar, como hicimos en el ATC 18/2007, FJ 5, que la afectación a la planificación y gestión estatal del espectro derivada de la actividad autonómica de protección activa del espectro, caso de existir, “no supone, al contrario de lo que sucediera en el ATC 336/2005, de 15 de septiembre, que la ley autonómica tenga una ‘capacidad de bloqueo’ del ejercicio de las competencias atribuidas al Estado por el bloque de constitucionalidad que exceda de las ‘situaciones normales de controversia competencial, por cuanto incluso podría poner en cuestión, hasta eliminarla o desvirtuarla, una competencia estatal claramente reconocida por la Norma fundamental’ (FJ 5). Esa ‘capacidad de bloqueo’ del ejercicio de las competencias estatales en que se concreta el perjuicio para los intereses generales aducido por el Abogado del Estado no resulta inmediatamente de lo dispuesto en este precepto legal sino que precisa, para su materialización, de medidas que, yendo más allá de la simple aplicación de la norma, complementen desde una perspectiva general las previsiones legales. Ello es lo que sucede en este asunto, puesto que la ley prevé la elaboración y aprobación de los planes técnicos de la radio y de la televisión en Cataluña, susceptibles, en su caso, de obstruir el ejercicio por el Estado de sus competencias en este materia y cuyo contenido podría, en tal hipótesis, ser sometido al juicio de este Tribunal Constitucional (en similares términos, ATC 79/2003, de 6 de marzo, FJ 7, y las resoluciones allí citadas)”.</w:t>
      </w:r>
    </w:p>
    <w:p w:rsidR="00BE7FB3" w:rsidRDefault="00BE7FB3" w:rsidP="00BE7FB3">
      <w:pPr>
        <w:pStyle w:val="TextoNormal"/>
      </w:pPr>
    </w:p>
    <w:p w:rsidR="00BE7FB3" w:rsidRDefault="00BE7FB3" w:rsidP="00BE7FB3">
      <w:pPr>
        <w:pStyle w:val="TextoNormal"/>
      </w:pPr>
      <w:r>
        <w:t>Así pues, debemos declarar que la protección activa del espectro frente a emisiones sin título habilitante o emisiones que no respeten los condiciones técnicas preceptivas, prevista por la ley autonómica en el precepto controvertido, no es susceptible, de forma inmediata o automática, de obstruir el ejercicio por el Estado de sus competencias de planificación y gestión en este materia; que el riesgo aducido de distorsión del espectro radioeléctrico es meramente hipotético, pues su materialización requiere de medidas que vayan más allá de la simple aplicación de la norma; y que, ante la eventualidad de un bloqueo de las competencias estatales o de una distorsión efectiva de la gestión del espectro radioeléctrico, el Estado siempre podrá acudir al juicio de este Tribunal Constitucional por las vías procesales establecidas al efecto en nuestro ordenamiento jurídico.</w:t>
      </w:r>
    </w:p>
    <w:p w:rsidR="00BE7FB3" w:rsidRDefault="00BE7FB3" w:rsidP="00BE7FB3">
      <w:pPr>
        <w:pStyle w:val="TextoNormal"/>
      </w:pPr>
    </w:p>
    <w:p w:rsidR="00BE7FB3" w:rsidRDefault="00BE7FB3" w:rsidP="00BE7FB3">
      <w:pPr>
        <w:pStyle w:val="TextoNormal"/>
      </w:pPr>
      <w:r>
        <w:t>Procede, por consiguiente, el levantamiento de la suspensión del art. 7.</w:t>
      </w:r>
    </w:p>
    <w:p w:rsidR="00BE7FB3" w:rsidRDefault="00BE7FB3" w:rsidP="00BE7FB3">
      <w:pPr>
        <w:pStyle w:val="TextoNormal"/>
      </w:pPr>
    </w:p>
    <w:p w:rsidR="00BE7FB3" w:rsidRDefault="00BE7FB3" w:rsidP="00BE7FB3">
      <w:pPr>
        <w:pStyle w:val="TextoNormal"/>
      </w:pPr>
      <w:r>
        <w:t>c) En cuanto a la extensión del régimen de responsabilidad por la emisión sin título habilitante a las personas cuya intervención es necesaria o trascendente para dicha prestación, ya sea como prestadoras de los servicios de apoyo a los servicios de difusión, como distribuidoras de servicios de comunicación audiovisual o como propietarias de los inmuebles desde los que se realizan las actividades de difusión ilegal (art. 10), el Abogado del Estado ha solicitado el mantenimiento de la suspensión de la vigencia de la disposición impugnada porque acarrea graves consecuencias punitivas y porque afecta al funcionamiento normal del mercado único de telecomunicaciones.</w:t>
      </w:r>
    </w:p>
    <w:p w:rsidR="00BE7FB3" w:rsidRDefault="00BE7FB3" w:rsidP="00BE7FB3">
      <w:pPr>
        <w:pStyle w:val="TextoNormal"/>
      </w:pPr>
    </w:p>
    <w:p w:rsidR="00BE7FB3" w:rsidRDefault="00BE7FB3" w:rsidP="00BE7FB3">
      <w:pPr>
        <w:pStyle w:val="TextoNormal"/>
      </w:pPr>
      <w:r>
        <w:t>No obstante, con arreglo a las consideraciones que hemos realizado anteriormente los perjuicios a los que alude el Abogado del Estado no pueden prevalecer sobre la presunción de legitimidad constitucional de la ley autonómica. En efecto, por una parte, los perjuicios a los particulares que se alegan en el ámbito punitivo no son irreparables o de difícil reparación, tal como se ha razonado anteriormente en relación con la eventual imposición de sanciones con fundamento en la norma legal catalana. Por otra parte, por lo que respecta al perjuicio relativo a la afectación del funcionamiento normal del mercado de las telecomunicaciones, no tiene fuerza suficiente para desvirtuar la presunción de legitimidad de la ley autonómica. Una norma que, como la controvertida, se limita a extender el régimen de responsabilidad administrativa por emisión ilegal no es idónea para incidir negativamente sobre los intereses generales invocados por el Abogado del Estado. Y si, como ya hemos indicado, la alegación quiere apuntar a una “capacidad de bloqueo” del ejercicio de las competencias atribuidas al Estado por el bloque de constitucionalidad, dicha “capacidad de bloqueo” “no resulta inmediatamente de lo dispuesto en el precepto legal controvertido, sino que precisa, para su materialización, de medidas que, yendo más allá de la simple aplicación de la norma, complementen desde una perspectiva general las previsiones legales” (en este sentido, ATC 18/2007, FJ 5).</w:t>
      </w:r>
    </w:p>
    <w:p w:rsidR="00BE7FB3" w:rsidRDefault="00BE7FB3" w:rsidP="00BE7FB3">
      <w:pPr>
        <w:pStyle w:val="TextoNormal"/>
      </w:pPr>
    </w:p>
    <w:p w:rsidR="00BE7FB3" w:rsidRDefault="00BE7FB3" w:rsidP="00BE7FB3">
      <w:pPr>
        <w:pStyle w:val="TextoNormal"/>
      </w:pPr>
      <w:r>
        <w:t>Procede, por consiguiente, el levantamiento de la suspensión del art. 10.</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Levantar la suspensión de los arts. 7, 9 y 10 de la Ley del Parlamento de Cataluña 2/2012, de 22 de febrero, de modificación de varias leyes en materia audiovisual.</w:t>
      </w:r>
    </w:p>
    <w:p w:rsidR="00BE7FB3" w:rsidRDefault="00BE7FB3" w:rsidP="00BE7FB3">
      <w:pPr>
        <w:pStyle w:val="TextoNormal"/>
      </w:pPr>
    </w:p>
    <w:p w:rsidR="00BE7FB3" w:rsidRDefault="00BE7FB3" w:rsidP="00BE7FB3">
      <w:pPr>
        <w:pStyle w:val="TextoNormal"/>
      </w:pPr>
      <w:r>
        <w:t>Madrid, a veintiséis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02" w:name="AUTO_2013_61"/>
      <w:r>
        <w:lastRenderedPageBreak/>
        <w:t>AUTO 61/2013, de 27 de febrero de 2013</w:t>
      </w:r>
    </w:p>
    <w:bookmarkEnd w:id="202"/>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ECLI:ES:TC:2013:61A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suspensión de la ejecución en el recurso de amparo 162-2012, promovido por don José María González Vidal en causa penal.</w:t>
      </w:r>
    </w:p>
    <w:p w:rsidR="00BE7FB3" w:rsidRDefault="00BE7FB3" w:rsidP="00BE7FB3">
      <w:pPr>
        <w:pStyle w:val="SntesisDescriptiva"/>
      </w:pPr>
    </w:p>
    <w:p w:rsidR="00BE7FB3" w:rsidRDefault="00BE7FB3" w:rsidP="00BE7FB3">
      <w:pPr>
        <w:pStyle w:val="SntesisAnaltica"/>
      </w:pPr>
      <w:r>
        <w:t>Suspensión cautelar de Sentencias penales: prisión de cuatro años, suspende.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9 de enero de 2012, la Procuradora de los Tribunales doña María Isabel Torres Ruíz, en nombre y representación de José María González Vidal, y bajo la dirección del Letrado don Manuel Morales Morales, interpuso recurso de amparo contra la Sentencia 29 de junio de 2011, que, dictada por la Sección Primera de la Audiencia Provincial de Sevilla, estimó el recurso de apelación interpuesto por la acusación particular y el Ministerio Fiscal, y revocó la Sentencia absolutoria de 27 de diciembre de 2010 dictada por el Juzgado de lo Penal núm. 1, condenando en segunda instancia al recurrente, hoy demandante de amparo, como cooperador necesario de un delito de robo con violencia e intimidación a una pena de cuatro años y seis meses de prisión. Asimismo se presenta contra el Auto de 2 de noviembre de 2011, dictado por la misma Sección, que declaró no haber lugar a la nulidad de actuaciones solicitada.</w:t>
      </w:r>
    </w:p>
    <w:p w:rsidR="00BE7FB3" w:rsidRDefault="00BE7FB3" w:rsidP="00BE7FB3">
      <w:pPr>
        <w:pStyle w:val="TextoNormal"/>
      </w:pPr>
    </w:p>
    <w:p w:rsidR="00BE7FB3" w:rsidRDefault="00BE7FB3" w:rsidP="00BE7FB3">
      <w:pPr>
        <w:pStyle w:val="TextoNormal"/>
      </w:pPr>
      <w:r>
        <w:t xml:space="preserve">En la demanda de amparo se solicita por otrosí, </w:t>
      </w:r>
      <w:r w:rsidRPr="00BE7FB3">
        <w:rPr>
          <w:i/>
        </w:rPr>
        <w:t>ex</w:t>
      </w:r>
      <w:r>
        <w:t xml:space="preserve"> art. 56.2 de la Ley Orgánica del Tribunal Constitucional (LOTC), la suspensión de la ejecución de las resoluciones judiciales o, en su caso, de la pena privativa de libertad impuesta al demandante de amparo, por cuanto podría causar un perjuicio tal que haría perder la finalidad del presente recurso de amparo, sin que dicha suspensión ocasione perturbación grave a ningún derecho constitucionalmente protegido.</w:t>
      </w:r>
    </w:p>
    <w:p w:rsidR="00BE7FB3" w:rsidRDefault="00BE7FB3" w:rsidP="00BE7FB3">
      <w:pPr>
        <w:pStyle w:val="TextoNormal"/>
      </w:pPr>
    </w:p>
    <w:p w:rsidR="00BE7FB3" w:rsidRDefault="00BE7FB3" w:rsidP="00BE7FB3">
      <w:pPr>
        <w:pStyle w:val="TextoNormal"/>
      </w:pPr>
      <w:r w:rsidRPr="00BE7FB3">
        <w:rPr>
          <w:rStyle w:val="NumeroAFNegritaCaracter"/>
        </w:rPr>
        <w:t>2</w:t>
      </w:r>
      <w:r>
        <w:t>. La Sala Segunda de este Tribunal, por providencia de 31 de enero de 2013, y tras admitir el recurso por providencia fechada en el mismo día, acordó la formación de pieza separada para la tramitación del incidente sobre la suspensión solicitada: asimismo, conceder a la parte recurrente y al Ministerio Fiscal el plazo común de tres días para que alegasen lo que estimasen pertinente sobre dicha suspensión.</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La representación del recurrente presentó escrito de alegaciones con fecha 11 de febrero de 2013, reiterándose en la petición de suspensión solicitada. Tras recordar en él la </w:t>
      </w:r>
      <w:r>
        <w:lastRenderedPageBreak/>
        <w:t>jurisprudencia del Tribunal Constitucional, hace referencia a las circunstancias personales del recurrente que deben ser tenidas en cuenta en orden a la concesión de la suspensión: carece de antecedentes penales y ha estado en todo momento a disposición del Juzgado de Instrucción y del Juzgado de lo Penal; su desempeño profesional como vigilante de seguridad ha merecido el reconocimiento de la Jefatura Superior de Policía de Andalucía Occidental; ha sido condenado a una pena de cuatro años y seis meses de la que ya tendría cumplidos ciento cuarenta y dos días al haberse encontrado privado de libertad desde su detención el 7 de julio de 2009, hasta su puesta en libertad sin fianza el 25 de noviembre de 2009; ha cumplido rigurosamente con la obligación de presentación en el Juzgado durante la tramitación del proceso que le impuso el Auto que decretó la libertad sin fianza; y su trabajo, como vigilante de seguridad, es el único sostén de su familia. Por último, solicita que se tramite la suspensión por el trámite previsto en el art. 56.6 LOTC, dado que por Auto de 4 de febrero de 2013, el órgano judicial acordó requerir al recurrente para su ingreso voluntario en el plazo de diez días en el centro penitenciario, y ha sido citado para el día 14 de febrero de 2013, para practicarle personalmente el requerimiento al que el Auto se refiere.</w:t>
      </w:r>
    </w:p>
    <w:p w:rsidR="00BE7FB3" w:rsidRDefault="00BE7FB3" w:rsidP="00BE7FB3">
      <w:pPr>
        <w:pStyle w:val="TextoNormal"/>
      </w:pPr>
    </w:p>
    <w:p w:rsidR="00BE7FB3" w:rsidRDefault="00BE7FB3" w:rsidP="00BE7FB3">
      <w:pPr>
        <w:pStyle w:val="TextoNormal"/>
      </w:pPr>
      <w:r w:rsidRPr="00BE7FB3">
        <w:rPr>
          <w:rStyle w:val="NumeroAFNegritaCaracter"/>
        </w:rPr>
        <w:t>4</w:t>
      </w:r>
      <w:r>
        <w:t>. El Ministerio Fiscal, por escrito registrado en este Tribunal el 15 de febrero de 2013, presentó alegaciones solicitando se acceda a la suspensión de la ejecución que ha sido solicitada.</w:t>
      </w:r>
    </w:p>
    <w:p w:rsidR="00BE7FB3" w:rsidRDefault="00BE7FB3" w:rsidP="00BE7FB3">
      <w:pPr>
        <w:pStyle w:val="TextoNormal"/>
      </w:pPr>
    </w:p>
    <w:p w:rsidR="00BE7FB3" w:rsidRDefault="00BE7FB3" w:rsidP="00BE7FB3">
      <w:pPr>
        <w:pStyle w:val="TextoNormal"/>
      </w:pPr>
      <w:r>
        <w:t>En el escrito de alegaciones se pone de manifiesto que si bien es cierto que es jurisprudencia constitucional reiterada que la suspensión de la ejecución de las resoluciones firmes es una medida excepcional, no lo es menos que dicha doctrina ha sido matizada por el propio Tribunal Constitucional (al respecto, se cita el ATC 44/2012, de 12 de marzo, FJ 2). A su juicio, en el presente caso, y aplicada la doctrina señalada, el Fiscal considera que debe valorarse que “los hechos delictivos por los que ha sido condenado el recurrente constituyen un delito de robo con violencia e intimidación que lesiona el derecho de propiedad” y que “[l]a pena de prisión del recurrente es de cuatro años y seis meses, de los que procederá descontar el tiempo de prisión preventiva sufrido en la causa … por lo que quedaría pendiente el cumplimiento de una pena algo inferior a cuatro años y dos meses de prisión”, siendo jurisprudencia constitucional que las penas inferiores a cinco años de prisión son susceptibles de suspensión dado el promedio de tramitación del recurso constitucional y la necesidad de garantizar el mismo (AATC 18/2011 y 44/2012). Igualmente estima que debe tenerse en consideración que la entrada en prisión haría perder al recurrente su puesto de trabajo de vigilante de seguridad y, por tanto, su medio de vida y el de su familia, así como el hecho de que haya permanecido en libertad durante la tramitación del proceso de origen. Por último, considera que el interés patrimonial de la entidad propietaria del establecimiento en el que se produjo el robo y el de sus empleados en obtener la restitución del dinero y efectos sustraídos, puede quedar garantizado con las correspondientes medidas cautelares.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xml:space="preserve">.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w:t>
      </w:r>
      <w:r>
        <w:lastRenderedPageBreak/>
        <w:t>interés constitucionalmente protegido, ni a los derechos fundamentales o libertades de otra persona”.</w:t>
      </w:r>
    </w:p>
    <w:p w:rsidR="00BE7FB3" w:rsidRDefault="00BE7FB3" w:rsidP="00BE7FB3">
      <w:pPr>
        <w:pStyle w:val="TextoNormal"/>
      </w:pPr>
    </w:p>
    <w:p w:rsidR="00BE7FB3" w:rsidRDefault="00BE7FB3" w:rsidP="00BE7FB3">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1/2010, de 11 de enero, y 18/2011, de 28 de febrero,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12/2009, de 26 de enero; 112/2011, de 18 de julio).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(ATC 44/2012, de 12 de marzo, FJ 1).</w:t>
      </w:r>
    </w:p>
    <w:p w:rsidR="00BE7FB3" w:rsidRDefault="00BE7FB3" w:rsidP="00BE7FB3">
      <w:pPr>
        <w:pStyle w:val="TextoNormal"/>
      </w:pPr>
    </w:p>
    <w:p w:rsidR="00BE7FB3" w:rsidRDefault="00BE7FB3" w:rsidP="00BE7FB3">
      <w:pPr>
        <w:pStyle w:val="TextoNormal"/>
      </w:pPr>
      <w:r w:rsidRPr="00BE7FB3">
        <w:rPr>
          <w:rStyle w:val="NumeroAFNegritaCaracter"/>
        </w:rPr>
        <w:t>2</w:t>
      </w:r>
      <w:r>
        <w:t>. Más concretamente, este Tribunal, como recuerdan los AATC 112/2011, de 18 de julio, FJ 1; y 44/2012, de 12 de marzo,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w:t>
      </w:r>
    </w:p>
    <w:p w:rsidR="00BE7FB3" w:rsidRDefault="00BE7FB3" w:rsidP="00BE7FB3">
      <w:pPr>
        <w:pStyle w:val="TextoNormal"/>
      </w:pPr>
    </w:p>
    <w:p w:rsidR="00BE7FB3" w:rsidRDefault="00BE7FB3" w:rsidP="00BE7FB3">
      <w:pPr>
        <w:pStyle w:val="TextoNormal"/>
      </w:pPr>
      <w:r>
        <w:t xml:space="preserve">No obstante, este criterio no es absoluto, ni determina la suspensión automática de tales resoluciones, pues el art. 56 LOTC “responde a la necesidad de mantener un equilibrio entre los intereses del recurrente, los generales de la sociedad y los derechos de terceros (AATC 369/2005, de 24 de octubre, FJ 2; 214/2007, de 16 de abril, FJ 2; 287/2007, de 18 de junio, FJ 2; 18/2011, de 28 de febrero, FJ 2) y, deben también ponderarse, en consecuencia,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w:t>
      </w:r>
      <w:r>
        <w:lastRenderedPageBreak/>
        <w:t>junio, FJ 1). En relación con este criterio de gravedad de la pena, este Tribunal viene aplicando como directriz inicial la de que la pena se sitúe por encima o por debajo de la frontera de los cinco años de prisión (AATC 16/2009, de 26 de enero; 18/2011, de 28 de febrero, FJ 2), que es la que le sirve al legislador penal para diferenciar entre las penas graves y las menos graves (art. 33 del Código penal: CP)” (ATC 44/2012, FJ 2), al que se ha añadido “el relativo al tiempo de cumplimiento efectivo de la pena, ya sea por haber estado en prisión preventiva o por haberse ejecutado tras ser firme la condena (ATC 221/2000), así como la trayectoria, acreditada documentalmente por el recurrente, posterior a su condena (ATC 270/2002)” (ATC 39/2004, de 9 de febrero, FJ 3).</w:t>
      </w:r>
    </w:p>
    <w:p w:rsidR="00BE7FB3" w:rsidRDefault="00BE7FB3" w:rsidP="00BE7FB3">
      <w:pPr>
        <w:pStyle w:val="TextoNormal"/>
      </w:pPr>
    </w:p>
    <w:p w:rsidR="00BE7FB3" w:rsidRDefault="00BE7FB3" w:rsidP="00BE7FB3">
      <w:pPr>
        <w:pStyle w:val="TextoNormal"/>
      </w:pPr>
      <w:r w:rsidRPr="00BE7FB3">
        <w:rPr>
          <w:rStyle w:val="NumeroAFNegritaCaracter"/>
        </w:rPr>
        <w:t>3</w:t>
      </w:r>
      <w:r>
        <w:t>. Aplicada la doctrina expuesta al presente caso, procede la suspensión instada por el recurrente, tal y como solicita el Fiscal, pues la duración de la condena de privación de libertad recaída —cuatro años y seis meses— se halla por debajo del margen de gravedad con que, como regla general, opera este Tribunal. Además, y dada la naturaleza del delito no parece que pueda reputarse de los que causan especial alarma social, debiéndose, igualmente, tener en consideración el hecho de que el recurrente haya permanecido en libertad durante la tramitación del proceso de origen, y que de la concesión de la suspensión no se deriva perturbación grave de los intereses generales ni de los derechos fundamentales o libertades públicas de un tercero, más allá del genérico que toda inejecución de una resolución judicial comporta.</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Suspender la ejecución de la Sentencia de 29 de junio de 2011 dictada por la Sección Primera de la Audiencia Provincial de Sevilla, en cuanto a la pena de cuatro años y seis meses de prisión.</w:t>
      </w:r>
    </w:p>
    <w:p w:rsidR="00BE7FB3" w:rsidRDefault="00BE7FB3" w:rsidP="00BE7FB3">
      <w:pPr>
        <w:pStyle w:val="TextoNormal"/>
      </w:pPr>
    </w:p>
    <w:p w:rsidR="00BE7FB3" w:rsidRDefault="00BE7FB3" w:rsidP="00BE7FB3">
      <w:pPr>
        <w:pStyle w:val="TextoNormal"/>
      </w:pPr>
      <w:r>
        <w:t>Madrid, a veintisiete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03" w:name="AUTO_2013_62"/>
      <w:r>
        <w:lastRenderedPageBreak/>
        <w:t>AUTO 62/2013, de 27 de febrero de 2013</w:t>
      </w:r>
    </w:p>
    <w:bookmarkEnd w:id="203"/>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ECLI:ES:TC:2013:62A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6494-2012, promovido por don Joaquín Arrocha Caraballo y otras personas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16 de noviembre de 2012, la Procuradora de los Tribunales doña María Bellón Marín, en nombre y representación de don Joaquín Arrocha Caraballo y otros, y bajo la dirección del Letrado don Francisco de Borja Pascual Godoy, interpuso demanda de amparo contra la Sentencia de la Sección Cuarta de la Sala de lo Contencioso-Administrativo del Tribunal Supremo recaída en recurso de casación núm. 786-2010 contra la dictada por la Sección Tercera del Tribunal Superior de Justicia de Madrid en recurso núm. 446-2006.</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19 de febrero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toda vez que formó parte de la Sección Primera de la Sala Tercera del Tribunal Supremo, que dictó el Auto de 23 de septiembre de 2010 por el que se declaró la inadmisión del recurso de casación interpuesto por la representación procesal de la Administración del Estado contra la Sentencia de 15 de octubre de 2008 dictada por la Sala de lo Contencioso-Administrativo del Tribunal Superior de Justicia de Madrid. La Sentencia dictada por el Tribunal Supremo ha sido recurrida en el citado recurso de amparo.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6494-2012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veintisiete de febrero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04" w:name="AUTO_2013_63"/>
      <w:r>
        <w:lastRenderedPageBreak/>
        <w:t>AUTO 63/2013, de 11 de marzo de 2013</w:t>
      </w:r>
    </w:p>
    <w:bookmarkEnd w:id="204"/>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ECLI:ES:TC:2013:63A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el desistimiento en el recurso de amparo 3605-2011, promovido en proceso contencioso-administrativo.</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205" w:name="AUTO_2013_64"/>
      <w:r>
        <w:lastRenderedPageBreak/>
        <w:t>AUTO 64/2013, de 11 de marzo de 2013</w:t>
      </w:r>
    </w:p>
    <w:bookmarkEnd w:id="205"/>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ECLI:ES:TC:2013:64A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Deniega la suspensión en el recurso de amparo 6112-2012, promovido por don Abdelkader Castellanos de la Fuente y otras personas en proceso contencioso-administrativo.</w:t>
      </w:r>
    </w:p>
    <w:p w:rsidR="00BE7FB3" w:rsidRDefault="00BE7FB3" w:rsidP="00BE7FB3">
      <w:pPr>
        <w:pStyle w:val="SntesisDescriptiva"/>
      </w:pPr>
    </w:p>
    <w:p w:rsidR="00BE7FB3" w:rsidRDefault="00BE7FB3" w:rsidP="00BE7FB3">
      <w:pPr>
        <w:pStyle w:val="SntesisAnaltica"/>
      </w:pPr>
      <w:r>
        <w:t>Suspensión cautelar de resoluciones contencioso-administrativas: contenido patrimonial, no suspende; Suspensión de la ejecución del acto que origina el amparo: doctrina constitucional.</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30 de octubre de 2012, el Procurador de los Tribunales don Carlos Piñeira de Campos en nombre y representación de don Abdelkader Castellanos de la Fuente y otros, y bajo la dirección del Letrado don Javier Cremades García, interpuso recurso de amparo contra el Auto del Juzgado Central de lo Contencioso-Administrativo núm. 1 de 17 de septiembre de 2012, dictado en el procedimiento abreviado núm. 81-2012, por el que se desestima el recurso de reposición interpuesto contra la providencia de 19 de junio de 2012, en la que se acuerda que deben interponerse por separado el recurso contencioso-administrativo formulado de manera conjunta por más de quince mil afectados contra las resoluciones las denegaciones de responsabilidad patrimonial de la Administración por cierre del espacio aéreo.</w:t>
      </w:r>
    </w:p>
    <w:p w:rsidR="00BE7FB3" w:rsidRDefault="00BE7FB3" w:rsidP="00BE7FB3">
      <w:pPr>
        <w:pStyle w:val="TextoNormal"/>
      </w:pPr>
    </w:p>
    <w:p w:rsidR="00BE7FB3" w:rsidRDefault="00BE7FB3" w:rsidP="00BE7FB3">
      <w:pPr>
        <w:pStyle w:val="TextoNormal"/>
      </w:pPr>
      <w:r>
        <w:t>En la demanda de amparo se solicita por otrosí la suspensión de la ejecución de las resoluciones judiciales impugnadas. A esos efectos, se expone que cada día que avanzan los procedimientos abiertos debido al cumplimiento de lo acordado en las resoluciones impugnadas se hace más difícil e imposible una reparación de la desacumulación.</w:t>
      </w:r>
    </w:p>
    <w:p w:rsidR="00BE7FB3" w:rsidRDefault="00BE7FB3" w:rsidP="00BE7FB3">
      <w:pPr>
        <w:pStyle w:val="TextoNormal"/>
      </w:pPr>
    </w:p>
    <w:p w:rsidR="00BE7FB3" w:rsidRDefault="00BE7FB3" w:rsidP="00BE7FB3">
      <w:pPr>
        <w:pStyle w:val="TextoNormal"/>
      </w:pPr>
      <w:r w:rsidRPr="00BE7FB3">
        <w:rPr>
          <w:rStyle w:val="NumeroAFNegritaCaracter"/>
        </w:rPr>
        <w:t>2</w:t>
      </w:r>
      <w:r>
        <w:t>. La Sala Segunda de este Tribunal, por sendas providencias de 14 de febrero de 2013, acordó, respectivamente, la admisión a trámite de la demanda de amparo y la formación de pieza separada para la tramitación del incidente sobre la suspensión solicitada y conceder a los recurrentes y al Ministerio Fiscal el plazo común de tres días para que alegasen lo que estimasen pertinente sobre dicha suspensión.</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El Ministerio Fiscal, por escrito registrado el 25 de febrero de 2013, presentó alegaciones en las que, enunciando la jurisprudencia de este Tribunal sobre el particular, interesó </w:t>
      </w:r>
      <w:r>
        <w:lastRenderedPageBreak/>
        <w:t>que se denegara la suspensión solicitada, argumentando que las decisiones judiciales impugnadas constituyen resoluciones de mero contenido negativo al denegar la posibilidad de una interposición conjunta de un recurso contencioso-administrativo por parte de todos los recurrentes en amparo, por lo que su suspensión equivaldría a una anticipación del otorgamiento del recurso de amparo. Por otro lado, también destaca el Ministerio Fiscal, por lo que se refiere a una eventual pérdida de finalidad del procedimiento de amparo, que la restauración en la integridad del derecho que se afirma vulnerado podría lograrse declarando la nulidad de las decisiones recurridas.</w:t>
      </w:r>
    </w:p>
    <w:p w:rsidR="00BE7FB3" w:rsidRDefault="00BE7FB3" w:rsidP="00BE7FB3">
      <w:pPr>
        <w:pStyle w:val="TextoNormal"/>
      </w:pPr>
    </w:p>
    <w:p w:rsidR="00BE7FB3" w:rsidRDefault="00BE7FB3" w:rsidP="00BE7FB3">
      <w:pPr>
        <w:pStyle w:val="TextoNormal"/>
      </w:pPr>
      <w:r w:rsidRPr="00BE7FB3">
        <w:rPr>
          <w:rStyle w:val="NumeroAFNegritaCaracter"/>
        </w:rPr>
        <w:t>4</w:t>
      </w:r>
      <w:r>
        <w:t>. Los recurrentes, por escrito registrado el 22 de febrero de 2013, presentaron alegaciones insistiendo en la necesidad de la suspensión de las resoluciones impugnadas por los graves perjuicios que supone que el conocimiento de los diversos recursos esté recayendo en los distintos Juzgados Centrales de lo Contencioso-Administrativo, lo que está provocando criterios y fallos dispares tanto en lo referido al pago de tasas judiciales, como a la posibilidad de actuar de manera acumulada varios recurrente, alcanzando actualmente, incluso, al fallo de las diversas Sentencias pronunciadas y las condenas en costas, lo que está causando graves perjuicios económicos. Igualmente, se destaca que la suspensión no ocasionaría ninguna perturbación grave a un interés constitucional o los derechos de terceros.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 En atención a esta previsión legal, el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de tal modo que la adopción de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(por todos, ATC 124/2012, de 18 de junio, FJ 1). Igualmente, también se ha hecho especial incidencia, por un lado, en que la acreditación del perjuicio es carga del recurrente, quien debe precisar los concretos perjuicios que de la ejecución se deriven, así como justificar o argumentar razonadamente la irreparabilidad de los mismos; y, por otro, que el perjuicio irreparable debe ser real, sin que sea posible alegar un perjuicio futuro o hipotético o un simple temor y que la pérdida de la finalidad del amparo no puede equipararse a la mayor o menor dificultad, molestia o incomodidad para el recurrente (por todos, ATC 81/2012, de 7 de mayo, FJ 3).</w:t>
      </w:r>
    </w:p>
    <w:p w:rsidR="00BE7FB3" w:rsidRDefault="00BE7FB3" w:rsidP="00BE7FB3">
      <w:pPr>
        <w:pStyle w:val="TextoNormal"/>
      </w:pPr>
    </w:p>
    <w:p w:rsidR="00BE7FB3" w:rsidRDefault="00BE7FB3" w:rsidP="00BE7FB3">
      <w:pPr>
        <w:pStyle w:val="TextoNormal"/>
      </w:pPr>
      <w:r>
        <w:t xml:space="preserve">Asimismo este Tribunal ha establecido el criterio de que la ejecución de las resoluciones judiciales cuyos efectos son fundamentalmente patrimoniales o de contenido económico, con carácter general, ni causa un perjuicio irreparable al obligado al pago, ni puede hacer </w:t>
      </w:r>
      <w:r>
        <w:lastRenderedPageBreak/>
        <w:t>perder al amparo su finalidad, al ser posible la restitución íntegra de lo ejecutado. De ese modo, sólo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(por todos, ATC 81/2012, de 7 de mayo, FJ 2).</w:t>
      </w:r>
    </w:p>
    <w:p w:rsidR="00BE7FB3" w:rsidRDefault="00BE7FB3" w:rsidP="00BE7FB3">
      <w:pPr>
        <w:pStyle w:val="TextoNormal"/>
      </w:pPr>
    </w:p>
    <w:p w:rsidR="00BE7FB3" w:rsidRDefault="00BE7FB3" w:rsidP="00BE7FB3">
      <w:pPr>
        <w:pStyle w:val="TextoNormal"/>
      </w:pPr>
      <w:r w:rsidRPr="00BE7FB3">
        <w:rPr>
          <w:rStyle w:val="NumeroAFNegritaCaracter"/>
        </w:rPr>
        <w:t>2</w:t>
      </w:r>
      <w:r>
        <w:t>. En el presente caso, la decisión judicial cuya suspensión se insta es la referida a la negativa de que los recurrentes puedan formular de manera acumulada la impugnación judicial de la denegación de la responsabilidad patrimonial de la Administración por el cierre del espacio aéreo. Frente a dicha decisión y la consecuencia de que se haya tenido que proceder a demandar de manera individualizada por los diferentes recurrentes, se alega que ello provoca un perjuicio irreparable derivado de la disparidad de criterios sobre aspectos como la necesidad del pago de tasas judiciales, posibilidad de actuar de manera acumulada varios recurrente, e incluso sobre la cuestión de fondo respecto de la existencia de responsabilidad patrimonial y las condenas en costas.</w:t>
      </w:r>
    </w:p>
    <w:p w:rsidR="00BE7FB3" w:rsidRDefault="00BE7FB3" w:rsidP="00BE7FB3">
      <w:pPr>
        <w:pStyle w:val="TextoNormal"/>
      </w:pPr>
    </w:p>
    <w:p w:rsidR="00BE7FB3" w:rsidRDefault="00BE7FB3" w:rsidP="00BE7FB3">
      <w:pPr>
        <w:pStyle w:val="TextoNormal"/>
      </w:pPr>
      <w:r>
        <w:t>En atención a lo expuesto, debe concluirse que, por la propia naturaleza de la acción ejercitada por los recurrentes en la vía judicial ordinaria, se pone de manifiesto que los perjuicios alegados son todos de naturaleza económica y que, por tanto, no son susceptibles de causar un perjuicio irreparable que hiciera perder al amparo su finalidad, al ser posible su restitución económica íntegra. Al margen de ello, además, tampoco en las alegaciones de los recurrentes se acredita que esos perjuicios económicos alegados sean de tal magnitud o entidad para cada uno de los afectados que resulte necesario excepcionar la regla general de no suspensión.</w:t>
      </w:r>
    </w:p>
    <w:p w:rsidR="00BE7FB3" w:rsidRDefault="00BE7FB3" w:rsidP="00BE7FB3">
      <w:pPr>
        <w:pStyle w:val="TextoNormal"/>
      </w:pPr>
    </w:p>
    <w:p w:rsidR="00BE7FB3" w:rsidRDefault="00BE7FB3" w:rsidP="00BE7FB3">
      <w:pPr>
        <w:pStyle w:val="TextoNormal"/>
      </w:pPr>
      <w:r>
        <w:t>Por otra parte, tal como también destaca el Ministerio Fiscal, el contenido negativo de la decisión judicial impugnada determinaría que de accederse a la suspensión la consecuencia inmediata sería la procedencia de continuar con la acción conjunta iniciada por los recurrentes lo que, en última instancia, implicaría una otorgamiento anticipado del amparo, desnaturalizando la naturaleza cautelar de la medida (por todos, AATC 314/2006, de 25 de septiembre, FJ 2; o 43/2008, de 11 de febrero, FJ 2).</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Denegar la suspensión solicitada en el recurso de amparo núm. 6112-2012.</w:t>
      </w:r>
    </w:p>
    <w:p w:rsidR="00BE7FB3" w:rsidRDefault="00BE7FB3" w:rsidP="00BE7FB3">
      <w:pPr>
        <w:pStyle w:val="TextoNormal"/>
      </w:pPr>
    </w:p>
    <w:p w:rsidR="00BE7FB3" w:rsidRDefault="00BE7FB3" w:rsidP="00BE7FB3">
      <w:pPr>
        <w:pStyle w:val="TextoNormal"/>
      </w:pPr>
      <w:r>
        <w:t>Madrid, a once de marzo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06" w:name="AUTO_2013_65"/>
      <w:r>
        <w:lastRenderedPageBreak/>
        <w:t>AUTO 65/2013, de 11 de marzo de 2013</w:t>
      </w:r>
    </w:p>
    <w:bookmarkEnd w:id="206"/>
    <w:p w:rsidR="00BE7FB3" w:rsidRDefault="00BE7FB3" w:rsidP="00BE7FB3">
      <w:pPr>
        <w:pStyle w:val="TtuloResolucin"/>
      </w:pPr>
      <w:r>
        <w:t>Sección Cuarta</w:t>
      </w:r>
    </w:p>
    <w:p w:rsidR="00BE7FB3" w:rsidRDefault="00BE7FB3" w:rsidP="00BE7FB3">
      <w:pPr>
        <w:pStyle w:val="TtuloResolucin"/>
      </w:pPr>
    </w:p>
    <w:p w:rsidR="00BE7FB3" w:rsidRDefault="00BE7FB3" w:rsidP="00BE7FB3">
      <w:pPr>
        <w:pStyle w:val="SntesisDescriptiva"/>
      </w:pPr>
      <w:r>
        <w:t>ECLI:ES:TC:2013:65A</w:t>
      </w:r>
    </w:p>
    <w:p w:rsidR="00BE7FB3" w:rsidRDefault="00BE7FB3" w:rsidP="00BE7FB3">
      <w:pPr>
        <w:pStyle w:val="SntesisDescriptiva"/>
      </w:pPr>
    </w:p>
    <w:p w:rsidR="00BE7FB3" w:rsidRDefault="00BE7FB3" w:rsidP="00BE7FB3">
      <w:pPr>
        <w:pStyle w:val="SntesisDescriptiva"/>
      </w:pPr>
      <w:r>
        <w:t>Excms. Srs. don Pablo Pérez Tremps, don Francisco José Hernando Santiago y don Francisco Pérez de los Cobos Orihuel.</w:t>
      </w:r>
    </w:p>
    <w:p w:rsidR="00BE7FB3" w:rsidRDefault="00BE7FB3" w:rsidP="00BE7FB3">
      <w:pPr>
        <w:pStyle w:val="SntesisDescriptiva"/>
      </w:pPr>
    </w:p>
    <w:p w:rsidR="00BE7FB3" w:rsidRDefault="00BE7FB3" w:rsidP="00BE7FB3">
      <w:pPr>
        <w:pStyle w:val="SntesisDescriptiva"/>
      </w:pPr>
      <w:r>
        <w:t>Acuerda el desistimiento en el recurso de amparo 6883-2012, promovido en causa penal.</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207" w:name="AUTO_2013_66"/>
      <w:r>
        <w:lastRenderedPageBreak/>
        <w:t>AUTO 66/2013, de 12 de marzo de 2013</w:t>
      </w:r>
    </w:p>
    <w:bookmarkEnd w:id="207"/>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ECLI:ES:TC:2013:66A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Deniega la aclaración de la Sentencia 4/2013, de 17 de enero, dictada en el recurso de inconstitucionalidad 4573-2002, interpuesto por el Presidente del Gobierno en relación con diversos preceptos de la Ley de la Asamblea de Extremadura 2/2002, de 25 de abril, de protección de la calidad del suministro eléctrico en Extremadura.</w:t>
      </w:r>
    </w:p>
    <w:p w:rsidR="00BE7FB3" w:rsidRDefault="00BE7FB3" w:rsidP="00BE7FB3">
      <w:pPr>
        <w:pStyle w:val="SntesisDescriptiva"/>
      </w:pPr>
    </w:p>
    <w:p w:rsidR="00BE7FB3" w:rsidRDefault="00BE7FB3" w:rsidP="00BE7FB3">
      <w:pPr>
        <w:pStyle w:val="SntesisAnaltica"/>
      </w:pPr>
      <w:r>
        <w:t>Aclaración de Sentencias del Tribunal Constitucional: aclaración improcedente.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En el recurso de inconstitucionalidad 4573-2002, interpuesto por el Presidente del Gobierno contra los arts. 2, 7.3 a) y 9.5 de la Ley de la Asamblea de Extremadura 2/2002, de 25 de abril, de protección de la calidad del suministro eléctrico en Extremadura se ha dictado la STC 4/2013, de 17 de enero, notificada a las partes en esa misma fecha y publicada en el “Boletín Oficial del Estado”, núm. 37, de 12 de febrero. En el apartado 1 b) del fallo se declara “que el art. 7.3 a) de la Ley de Extremadura 2/2002, de 25 de abril, de protección de la calidad del suministro eléctrico en Extremadura, no vulnera las competencias del Estado, interpretado en los términos del fundamento jurídico 8”.</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Mediante escrito presentado en el Registro General de este Tribunal el día 15 de febrero de 2013 el Letrado de la Junta de Extremadura solicita la aclaración de la citada Sentencia señalando que el punto 1 de la letra b) del fallo establece que el art. 7.3 a) de la Ley 2/2002 no vulnera las competencias estatales interpretado en los términos del fundamento jurídico 8. Para la representación procesal de la Junta de Extremadura surgen dudas a la hora de interpretar el mencionado fundamento jurídico. Así, tras aludir al contenido de la norma autonómica y de la norma estatal con la que se relaciona, estima necesario aclarar el alcance de la expresión “la duración de una concreta interrupción en un contexto previo de superación de los índices de continuidad del suministro”, planteando a tal efecto dos alternativas respecto al entendimiento de dicha expresión. La primera de ellas, que es la asumida por la Administración, señala que la reducción de la facturación a abonar por los consumidores que el precepto establece se producirá en el caso de variaciones de tensión o interrupciones de suministro de duración superior a 1 hora, con independencia de que se superen o no los valores de calidad de la continuidad del suministro que establece el art. 104.2 del </w:t>
      </w:r>
      <w:r>
        <w:lastRenderedPageBreak/>
        <w:t>Real Decreto 1955/2000. La segunda es que dicha reducción en la facturación se aplicará únicamente una vez que exista un incumplimiento de los índices de continuidad establecidos en el ya citado art. 104.2 del Real Decreto 1955/2000, para las interrupciones consideradas en el cómputo anual, que superen la duración de una hora.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art. 93.1 de la Ley Orgánica del Tribunal Constitucional (LOTC) establece que en el plazo de dos días, a contar desde la notificación, las partes podrán solicitar la aclaración de la Sentencia. Esta actuación judicial, de acuerdo con el art. 267.1 de la Ley Orgánica del Poder Judicial (LOPJ), deberá limitarse a “aclarar algún concepto oscuro y suplir cualquier omisión que contengan” sobre puntos discutidos en el litigio, siendo posible también rectificar los errores materiales manifiestos y los aritméticos allí contenidos, pero no podrá suponer, sin embargo, variación o modificación de la Sentencia (entre otros, AATC 363/2007, de 11 de septiembre; 439/2006, de 11 de diciembre; 70/2008, de 26 de febrero, y 32/2010, de 2 de marzo).</w:t>
      </w:r>
    </w:p>
    <w:p w:rsidR="00BE7FB3" w:rsidRDefault="00BE7FB3" w:rsidP="00BE7FB3">
      <w:pPr>
        <w:pStyle w:val="TextoNormal"/>
      </w:pPr>
    </w:p>
    <w:p w:rsidR="00BE7FB3" w:rsidRDefault="00BE7FB3" w:rsidP="00BE7FB3">
      <w:pPr>
        <w:pStyle w:val="TextoNormal"/>
      </w:pPr>
      <w:r w:rsidRPr="00BE7FB3">
        <w:rPr>
          <w:rStyle w:val="NumeroAFNegritaCaracter"/>
        </w:rPr>
        <w:t>2</w:t>
      </w:r>
      <w:r>
        <w:t>. La solicitud de aclaración se ha formulado de manera extemporánea. Como ha quedado expuesto en lo antecedentes, dicha resolución se presentó en el Registro General de este Tribunal Constitucional el día 15 de febrero de 2013, cuando, según consta en autos, la STC 4/2013 se notificó oficialmente por correo certificado al servicio jurídico de la Junta de Extremadura el día 17 de enero, constando asimismo en autos la recepción de dicha notificación el día 28 de enero. Debe entenderse que el cómputo del plazo de dos días para la solicitud de aclaración de las Sentencias de este Tribunal comienza desde la notificación en forma de la resolución impugnada, que en este caso se produjo, como queda dicho, el 28 de enero, lo que conduce a la conclusión de que el escrito de solicitud de aclaración está fuera del mencionado plazo legal, pues el plazo de dos días a contar desde la notificación que señala el art. 93.1 LOTC había sobradamente transcurrido el día 15 de febrero, fecha en la que se presenta la solicitud de aclaración.</w:t>
      </w:r>
    </w:p>
    <w:p w:rsidR="00BE7FB3" w:rsidRDefault="00BE7FB3" w:rsidP="00BE7FB3">
      <w:pPr>
        <w:pStyle w:val="TextoNormal"/>
      </w:pPr>
    </w:p>
    <w:p w:rsidR="00BE7FB3" w:rsidRDefault="00BE7FB3" w:rsidP="00BE7FB3">
      <w:pPr>
        <w:pStyle w:val="TextoNormal"/>
      </w:pPr>
      <w:r>
        <w:t>Siendo lo anterior motivo suficiente para estimar que no procede acceder a la pretensión de aclaración efectuada por el Letrado de la Junta de Extremadura, también es preciso señalar que, atendiendo a los términos en los que la solicitud se formula, se aprecia que, en realidad, bajo la denominación de solicitud de aclaración, se nos pide ahora un nuevo pronunciamiento acerca del precepto impugnado, lo que obviamente es improcedente en este momento procesal. En efecto, no procede hacer manifestación alguna que pueda conllevar alteración de la fundamentación o de la decisión de la Sentencia, dado que no existe concepto oscuro que aclarar para garantizar la integridad de lo resuelto. El fallo se corresponde con lo razonado en el fundamento jurídico 8 de la Sentencia, y es ahí donde la parte ha de encontrar la aclaración a sus dudas.</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que no ha lugar a la aclaración pretendida.</w:t>
      </w:r>
    </w:p>
    <w:p w:rsidR="00BE7FB3" w:rsidRDefault="00BE7FB3" w:rsidP="00BE7FB3">
      <w:pPr>
        <w:pStyle w:val="TextoNormal"/>
      </w:pPr>
    </w:p>
    <w:p w:rsidR="00BE7FB3" w:rsidRDefault="00BE7FB3" w:rsidP="00BE7FB3">
      <w:pPr>
        <w:pStyle w:val="TextoNormal"/>
      </w:pPr>
      <w:r>
        <w:t>Madrid, a doce de marzo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08" w:name="AUTO_2013_67"/>
      <w:r>
        <w:lastRenderedPageBreak/>
        <w:t>AUTO 67/2013, de 12 de marzo de 2013</w:t>
      </w:r>
    </w:p>
    <w:bookmarkEnd w:id="208"/>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ECLI:ES:TC:2013:67A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4569-2004, planteada por el Juzgado de lo Contencioso-Administrativo núm. 1 de Cáceres en relación con el artículo 17.1 de la Ley de la Asamblea de Extremadura 11/2001, de 12 de diciembre, de colegios y consejos profesionales.</w:t>
      </w:r>
    </w:p>
    <w:p w:rsidR="00BE7FB3" w:rsidRDefault="00BE7FB3" w:rsidP="00BE7FB3">
      <w:pPr>
        <w:pStyle w:val="SntesisDescriptiva"/>
      </w:pPr>
    </w:p>
    <w:p w:rsidR="00BE7FB3" w:rsidRDefault="00BE7FB3" w:rsidP="00BE7FB3">
      <w:pPr>
        <w:pStyle w:val="SntesisAnaltica"/>
      </w:pPr>
      <w:r>
        <w:t>Cuestión de inconstitucionalidad: extinción de cuestión de inconstitucionalidad;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día 14 de julio de 2004 tuvo entrada en el Registro General de este Tribunal Constitucional, escrito del Juzgado de lo Contencioso-Administrativo núm. 1 de Cáceres al que se acompaña, junto con el testimonio de todo lo actuado en el recurso contencioso-administrativo núm. 175-2003 tramitado ante este Juzgado, Auto de 5 de julio de 2004 por el que se acuerda elevar a este Tribunal Constitucional cuestión de inconstitucionalidad en relación con el inciso “o para la realización de actividades propias de su profesión por cuenta de aquellas” del núm. 1 del art. 17 de la Ley 11/2002, de 12 de diciembre, de colegios y consejos profesionales de Extremadura, por considerarlo contrario al art. 149.1.18 CE.</w:t>
      </w:r>
    </w:p>
    <w:p w:rsidR="00BE7FB3" w:rsidRDefault="00BE7FB3" w:rsidP="00BE7FB3">
      <w:pPr>
        <w:pStyle w:val="TextoNormal"/>
      </w:pPr>
    </w:p>
    <w:p w:rsidR="00BE7FB3" w:rsidRDefault="00BE7FB3" w:rsidP="00BE7FB3">
      <w:pPr>
        <w:pStyle w:val="TextoNormal"/>
      </w:pPr>
      <w:r w:rsidRPr="00BE7FB3">
        <w:rPr>
          <w:rStyle w:val="NumeroAFNegritaCaracter"/>
        </w:rPr>
        <w:t>2</w:t>
      </w:r>
      <w:r>
        <w:t>. Los antecedentes de la presente cuestión de inconstitucionalidad son los siguientes:</w:t>
      </w:r>
    </w:p>
    <w:p w:rsidR="00BE7FB3" w:rsidRDefault="00BE7FB3" w:rsidP="00BE7FB3">
      <w:pPr>
        <w:pStyle w:val="TextoNormal"/>
      </w:pPr>
    </w:p>
    <w:p w:rsidR="00BE7FB3" w:rsidRDefault="00BE7FB3" w:rsidP="00BE7FB3">
      <w:pPr>
        <w:pStyle w:val="TextoNormal"/>
      </w:pPr>
      <w:r>
        <w:t>a) Con fecha de 14 de enero de 2003, doña Ana María Pérez Camisón, funcionaria del cuerpo de titulados médicos de la Junta de Extremadura y colegiada del Ilustre Colegio de Enfermería de Cáceres, dirigió escrito a este colegio solicitando causar baja en el mismo, en aplicación de lo dispuesto en el art. 17.1 de la Ley 11/2002, de 12 de diciembre, de colegios y consejos profesionales de Extremadura, que exime del requisito de la colegiación obligatoria al personal funcionario, estatutario o laboral de las Administraciones públicas de Extremadura “para el ejercicio de sus funciones o para la realización de actividades propias de su profesión por cuenta de aquéllas”.</w:t>
      </w:r>
    </w:p>
    <w:p w:rsidR="00BE7FB3" w:rsidRDefault="00BE7FB3" w:rsidP="00BE7FB3">
      <w:pPr>
        <w:pStyle w:val="TextoNormal"/>
      </w:pPr>
    </w:p>
    <w:p w:rsidR="00BE7FB3" w:rsidRDefault="00BE7FB3" w:rsidP="00BE7FB3">
      <w:pPr>
        <w:pStyle w:val="TextoNormal"/>
      </w:pPr>
      <w:r>
        <w:t xml:space="preserve">b) Recibida la solicitud en el colegio el 16 de enero de 2003, y tramitado el oportuno expediente, la Junta de Gobierno del Colegio Oficial de Enfermería de Cáceres dictó la </w:t>
      </w:r>
      <w:r>
        <w:lastRenderedPageBreak/>
        <w:t>resolución 16/2003, de 13 de febrero, por la que denegó lo solicitado al entender que la normativa básica del Estado, en concreto la Ley 2/1974, de 13 de febrero, sobre colegios profesionales y el Real Decreto 1231/2001, de 8 de noviembre, por el que se aprueban los Estatutos generales de la organización colegial de enfermería de España, del Consejo general y de ordenación de la actividad profesional de enfermería, determina la obligatoriedad de la colegiación para el ejercicio de la profesión de enfermera.</w:t>
      </w:r>
    </w:p>
    <w:p w:rsidR="00BE7FB3" w:rsidRDefault="00BE7FB3" w:rsidP="00BE7FB3">
      <w:pPr>
        <w:pStyle w:val="TextoNormal"/>
      </w:pPr>
    </w:p>
    <w:p w:rsidR="00BE7FB3" w:rsidRDefault="00BE7FB3" w:rsidP="00BE7FB3">
      <w:pPr>
        <w:pStyle w:val="TextoNormal"/>
      </w:pPr>
      <w:r>
        <w:t>c) La interesada planteó el 8 de abril de 2003 recurso contencioso-administrativo contra la anterior resolución, quedando éste registrado con el núm. 175-2003 y siendo formalizada la demanda mediante escrito registrado el 28 de mayo de 2003 en el Juzgado de lo Contencioso-Administrativo núm. 1 de Cáceres.</w:t>
      </w:r>
    </w:p>
    <w:p w:rsidR="00BE7FB3" w:rsidRDefault="00BE7FB3" w:rsidP="00BE7FB3">
      <w:pPr>
        <w:pStyle w:val="TextoNormal"/>
      </w:pPr>
    </w:p>
    <w:p w:rsidR="00BE7FB3" w:rsidRDefault="00BE7FB3" w:rsidP="00BE7FB3">
      <w:pPr>
        <w:pStyle w:val="TextoNormal"/>
      </w:pPr>
      <w:r>
        <w:t>d) Declaradas conclusas las actuaciones mediante providencia de ordenación de 9 de julio de 2003, la representación procesal de la demandante solicitó del Juzgado la suspensión del procedimiento, habida cuenta de la admisión por parte del Tribunal Constitucional, el 29 de abril de 2003, del recurso de inconstitucionalidad interpuesto por el Presidente del Gobierno contra el inciso “o para la realización de actividades propias de su profesión por cuenta de aquéllas”, del art. 17.1 de la Ley 11/2002, de 12 de diciembre, de colegios y de consejos de colegios profesionales de Extremadura. Presentadas por el colegio de enfermería las correspondientes alegaciones respecto de la solicitud de suspensión, el Juzgado, mediante providencia de 31 de julio de 2003 acordó, sin mayor aclaración, lo siguiente: “Visto el contenido de las presentes actuaciones y de las alegaciones formuladas por las partes, dese traslado al Ministerio Fiscal a fin de que en el plazo de diez días informe sobre la posibilidad de plantear la cuestión de inconstitucionalidad del presente recurso”.</w:t>
      </w:r>
    </w:p>
    <w:p w:rsidR="00BE7FB3" w:rsidRDefault="00BE7FB3" w:rsidP="00BE7FB3">
      <w:pPr>
        <w:pStyle w:val="TextoNormal"/>
      </w:pPr>
    </w:p>
    <w:p w:rsidR="00BE7FB3" w:rsidRDefault="00BE7FB3" w:rsidP="00BE7FB3">
      <w:pPr>
        <w:pStyle w:val="TextoNormal"/>
      </w:pPr>
      <w:r>
        <w:t>e) Mediante escrito de alegaciones fechado el 9 de septiembre de 2003, el Fiscal consideró oportuno el planteamiento de la cuestión de inconstitucionalidad, al entender incompatibles la normativa autonómica contenida en el art. 17.1 de la Ley de la Asamblea de Extremadura 11/2002 y la normativa estatal contenida en el art. 7 del Real Decreto 1231/2001.</w:t>
      </w:r>
    </w:p>
    <w:p w:rsidR="00BE7FB3" w:rsidRDefault="00BE7FB3" w:rsidP="00BE7FB3">
      <w:pPr>
        <w:pStyle w:val="TextoNormal"/>
      </w:pPr>
    </w:p>
    <w:p w:rsidR="00BE7FB3" w:rsidRDefault="00BE7FB3" w:rsidP="00BE7FB3">
      <w:pPr>
        <w:pStyle w:val="TextoNormal"/>
      </w:pPr>
      <w:r>
        <w:t>f) Por providencia de 29 de septiembre de 2003 el mismo órgano judicial acordó que, “visto el contenido de las presentes actuaciones y habiéndose omitido en la resolución de 31 de julio el dar traslado de la posible inconstitucionalidad a las partes personadas, dese traslado a las mismas a tal efecto por plazo común de diez días”.</w:t>
      </w:r>
    </w:p>
    <w:p w:rsidR="00BE7FB3" w:rsidRDefault="00BE7FB3" w:rsidP="00BE7FB3">
      <w:pPr>
        <w:pStyle w:val="TextoNormal"/>
      </w:pPr>
    </w:p>
    <w:p w:rsidR="00BE7FB3" w:rsidRDefault="00BE7FB3" w:rsidP="00BE7FB3">
      <w:pPr>
        <w:pStyle w:val="TextoNormal"/>
      </w:pPr>
      <w:r>
        <w:t>g) El 6 de octubre de 2003 la representación procesal del Ilustre Colegio Oficial de Enfermería de Cáceres reiteró su petición, contenida en la contestación a la demanda del proceso entablado, de que se formulase cuestión de inconstitucionalidad, al entender que la norma autonómica en virtud de la cual la demandante solicita su baja en el censo colegial es manifiestamente inconstitucional, por lo que el Tribunal Constitucional debería determinar cuál es la norma aplicable pues de dicha solución dependería el fallo del recurso contencioso-administrativo. Por su parte, mediante escrito fechado el día 9 de octubre de 2003 y presentado en el registro del Juzgado al día siguiente, la representación procesal de doña Ana María Pérez Camisón cumplimentó el trámite conferido, manifestando la procedencia del planteamiento de la cuestión de inconstitucionalidad.</w:t>
      </w:r>
    </w:p>
    <w:p w:rsidR="00BE7FB3" w:rsidRDefault="00BE7FB3" w:rsidP="00BE7FB3">
      <w:pPr>
        <w:pStyle w:val="TextoNormal"/>
      </w:pPr>
    </w:p>
    <w:p w:rsidR="00BE7FB3" w:rsidRDefault="00BE7FB3" w:rsidP="00BE7FB3">
      <w:pPr>
        <w:pStyle w:val="TextoNormal"/>
      </w:pPr>
      <w:r>
        <w:lastRenderedPageBreak/>
        <w:t xml:space="preserve">h) El día 28 de octubre de 2003 tuvo entrada en el Registro General del Tribunal Constitucional el Auto de 17 de octubre de 2003 del Juzgado de lo Contencioso-Administrativo núm. 1 de Cáceres por el que se plantea cuestión de inconstitucionalidad en relación con el inciso “o para la realización de actividades propias de su profesión por cuenta de aquellas” del núm. 1 del art. 17 de la Ley 11/2002, de 12 de diciembre, de colegios y consejos de colegios profesionales de Extremadura. Dicha cuestión fue inadmitida a trámite mediante el Auto 96/2004, de 23 de marzo de 2004, al no darse, con arreglo a lo previsto en el art. 37.1 de la Ley Orgánica del Tribunal Constitucional (LOTC), las condiciones procesales exigibles para su admisión, al no haberse cumplimentado adecuadamente el trámite de audiencia a las partes en el proceso </w:t>
      </w:r>
      <w:r w:rsidRPr="00BE7FB3">
        <w:rPr>
          <w:i/>
        </w:rPr>
        <w:t>a quo</w:t>
      </w:r>
      <w:r>
        <w:t xml:space="preserve"> habida cuenta de las inconcreciones presentes en las providencias que daban traslado a las partes y al Fiscal de la necesidad de plantear una cuestión de inconstitucionalidad.</w:t>
      </w:r>
    </w:p>
    <w:p w:rsidR="00BE7FB3" w:rsidRDefault="00BE7FB3" w:rsidP="00BE7FB3">
      <w:pPr>
        <w:pStyle w:val="TextoNormal"/>
      </w:pPr>
    </w:p>
    <w:p w:rsidR="00BE7FB3" w:rsidRDefault="00BE7FB3" w:rsidP="00BE7FB3">
      <w:pPr>
        <w:pStyle w:val="TextoNormal"/>
      </w:pPr>
      <w:r>
        <w:t>i) Recibida notificación del Auto de inadmisión del Tribunal Constitucional, el Juzgado de lo Contencioso-Administrativo núm. 1 de Cáceres mediante providencia de 14 de abril de 2004, decidió retrotraer las actuaciones al momento anterior a la providencia de 31 de julio de 2003, para que, de conformidad con el art. 35 LOTC, se oyera a las partes y al Ministerio Fiscal, a quienes se otorga un plazo común e improrrogable de diez días para alegar lo que estimaran conveniente sobre la pertinencia de plantear cuestión de inconstitucionalidad sobre el inciso “o para la realización de actividades propias de su profesión por cuenta de aquellas” del núm. 1 del art. 17 de la Ley 11/2002, de 12 de diciembre, de colegios y consejos de colegios profesionales de Extremadura, por posible vulneración del art. 149.1.18 CE, “por cuanto la exoneración del requisito de la colegiación obligatoria del personal funcionario, estatutario o laboral de las Administraciones Públicas de Extremadura para la realización de actividades propias de su profesión por cuenta de aquellas, puede suponer una extralimitación competencial, al corresponder a la legislación estatal fijar los principios y reglas básicas de los Colegios Profesionales”.</w:t>
      </w:r>
    </w:p>
    <w:p w:rsidR="00BE7FB3" w:rsidRDefault="00BE7FB3" w:rsidP="00BE7FB3">
      <w:pPr>
        <w:pStyle w:val="TextoNormal"/>
      </w:pPr>
    </w:p>
    <w:p w:rsidR="00BE7FB3" w:rsidRDefault="00BE7FB3" w:rsidP="00BE7FB3">
      <w:pPr>
        <w:pStyle w:val="TextoNormal"/>
      </w:pPr>
      <w:r>
        <w:t>j) Mediante escrito registrado en el Juzgado el 21 de abril de 2004, el Fiscal comparece y, reiterando las alegaciones contenidas en su escrito de 9 de septiembre de 2003, interesa el planteamiento de la cuestión de inconstitucionalidad.</w:t>
      </w:r>
    </w:p>
    <w:p w:rsidR="00BE7FB3" w:rsidRDefault="00BE7FB3" w:rsidP="00BE7FB3">
      <w:pPr>
        <w:pStyle w:val="TextoNormal"/>
      </w:pPr>
    </w:p>
    <w:p w:rsidR="00BE7FB3" w:rsidRDefault="00BE7FB3" w:rsidP="00BE7FB3">
      <w:pPr>
        <w:pStyle w:val="TextoNormal"/>
      </w:pPr>
      <w:r>
        <w:t>k) La representación procesal del Ilustre Colegio Oficial de Enfermería de Cáceres, mediante escrito registrado en el Juzgado el 30 de abril de 2004, y reiterando lo expuesto en el escrito de 6 de octubre de 2003, solicita la desestimación del recurso contencioso-administrativo o, en su defecto, el planteamiento de la cuestión de inconstitucionalidad.</w:t>
      </w:r>
    </w:p>
    <w:p w:rsidR="00BE7FB3" w:rsidRDefault="00BE7FB3" w:rsidP="00BE7FB3">
      <w:pPr>
        <w:pStyle w:val="TextoNormal"/>
      </w:pPr>
    </w:p>
    <w:p w:rsidR="00BE7FB3" w:rsidRDefault="00BE7FB3" w:rsidP="00BE7FB3">
      <w:pPr>
        <w:pStyle w:val="TextoNormal"/>
      </w:pPr>
      <w:r>
        <w:t>l) Por último, el 3 de mayo de 2004, ingresa en el Juzgado de lo Contencioso-Administrativo núm. 1 de Cáceres escrito de la representación procesal de doña Ana María Pérez Camisón, considerando inoportuno el planteamiento de la cuestión de inconstitucionalidad que pretende el Juzgado. Entiende esta parte que, además de la Constitución, existe jurisprudencia constitucional y normativa comunitaria que avala la constitucionalidad de la Ley 11/2002 (con cita de la STC 283/1988). Se afirma, además, que la colegiación obligatoria que pretende el Colegio Oficial de Enfermería de Cáceres para la demandante, que actúa en exclusiva para la Administración sanitaria, no viene establecida en ningún precepto del Real Decreto 1231/2001, por lo que se llega a la conclusión de que la colegiación forzosa vulnera el derecho a la libre asociación.</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3</w:t>
      </w:r>
      <w:r>
        <w:t>. El Auto de 5 de julio de 2004 del Juzgado de lo Contencioso-Administrativo núm. 1 de Cáceres, registrado en este Tribunal el día 14 de julio de 2004, promovió por segunda vez la cuestión de inconstitucionalidad ante este Tribunal, bajo los siguientes argumentos:</w:t>
      </w:r>
    </w:p>
    <w:p w:rsidR="00BE7FB3" w:rsidRDefault="00BE7FB3" w:rsidP="00BE7FB3">
      <w:pPr>
        <w:pStyle w:val="TextoNormal"/>
      </w:pPr>
    </w:p>
    <w:p w:rsidR="00BE7FB3" w:rsidRDefault="00BE7FB3" w:rsidP="00BE7FB3">
      <w:pPr>
        <w:pStyle w:val="TextoNormal"/>
      </w:pPr>
      <w:r>
        <w:t xml:space="preserve">a) En primer lugar el órgano judicial entiende que el fallo de la Sentencia a dictar en el procedimiento </w:t>
      </w:r>
      <w:r w:rsidRPr="00BE7FB3">
        <w:rPr>
          <w:i/>
        </w:rPr>
        <w:t>a quo</w:t>
      </w:r>
      <w:r>
        <w:t xml:space="preserve"> depende de la validez del art 17.1 </w:t>
      </w:r>
      <w:r w:rsidRPr="00BE7FB3">
        <w:rPr>
          <w:i/>
        </w:rPr>
        <w:t>in fine</w:t>
      </w:r>
      <w:r>
        <w:t xml:space="preserve"> de la Ley 11/2002, de 12 de diciembre, de colegios y consejos profesionales de Extremadura que establece, como excepción al régimen general de colegiación obligatoria establecido en el art. 16.3 de la propia norma, que la misma no será exigible para el personal funcionario, estatutario o laboral de las Administraciones públicas de Extremadura para la realización de actividades propias de su profesión por cuenta de aquéllas. El Auto expone que la aplicación del precepto en cuestión al caso de autos llevaría a la estimación del recurso contencioso-administrativo y a la anulación de la resolución recurrida, siendo el fallo desestimatorio en caso de aplicarse la Ley 2/1974, de 13 de febrero, sobre colegios profesionales y el Real Decreto 1231/2001, de 8 de noviembre, por el que se aprueban los estatutos generales de la organización colegial de enfermería de España, del Consejo general y de ordenación de la actividad profesional de enfermería, al no prever esta normativa excepción alguna al régimen de colegiación obligatoria.</w:t>
      </w:r>
    </w:p>
    <w:p w:rsidR="00BE7FB3" w:rsidRDefault="00BE7FB3" w:rsidP="00BE7FB3">
      <w:pPr>
        <w:pStyle w:val="TextoNormal"/>
      </w:pPr>
    </w:p>
    <w:p w:rsidR="00BE7FB3" w:rsidRDefault="00BE7FB3" w:rsidP="00BE7FB3">
      <w:pPr>
        <w:pStyle w:val="TextoNormal"/>
      </w:pPr>
      <w:r>
        <w:t xml:space="preserve">b) En segundo término el Auto plantea que el art. 17.1 objeto de la cuestión, supone una extralimitación competencial de la Comunidad Autónoma de Extremadura al disponer la dispensa de colegiación, cuando esta dispensa es propia de la competencia estatal prevista en el art. 149.1.18 CE. Se expone, además que el bloque de constitucionalidad viene a atribuir al Estado la competencia para fijar los principios básicos de la organización y competencias de estas corporaciones de Derecho público, y, consecuentemente, para regular el régimen de colegiación obligatoria (con cita de las SSTC 330/1994 y 20/1998). De acuerdo con estos argumentos, el Auto de promoción de la cuestión considera que la dispensa de colegiación para el ejercicio de la correspondiente profesión es competencia del Estado </w:t>
      </w:r>
      <w:r w:rsidRPr="00BE7FB3">
        <w:rPr>
          <w:i/>
        </w:rPr>
        <w:t>ex</w:t>
      </w:r>
      <w:r>
        <w:t xml:space="preserve"> art. 149.1.18 CE , razón por la cual el precepto cuestionado supone una extralimitación competencial, por cuanto exime del requisito de la colegiación obligatoria al personal funcionario, estatutario o laboral, de las Administraciones públicas de Extremadura para la realización de actividades propias de su profesión por cuenta de aquellas.</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providencia de la Sección Segunda del Tribunal Constitucional, de 5 de octubre de 2004, se acuerda admitir a trámite la cuestión que plantea el Juzgado de lo Contencioso-Administrativo núm. 1 de Cáceres, en relación con el inciso “o para la realización de actividades propias de su profesión por cuenta de aquéllas” del núm. 1 del artículo 17 de la Ley 11/2002, de colegios y consejos de colegios profesionales de Extremadura por posible vulneración del art. 149.1.18 CE. A su vez se acuerda dar traslado de las actuaciones recibidas, conforme establece el art. 37.2 LOTC, al Congreso de los Diputados y al Senado, a la Asamblea y al Consejo de Gobierno de la Junta de Extremadura, por conducto de sus Presidentes, al Gobierno, por conducto del Ministro de Justicia, y al Fiscal General del Estado, al objeto de que, en el improrrogable plazo de quince días, puedan personarse en el proceso y formular las alegaciones que estimen convenientes. Por último se resuelve publicar la incoación de la cuestión en el “Boletín Oficial del Estado” y en el “Diario Oficial de Extremadura”.</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5</w:t>
      </w:r>
      <w:r>
        <w:t>. Por escrito que tuvo entrada en este Tribunal el 26 de octubre de 2004, el Abogado del Estado se persona en el procedimiento y plantea sus alegaciones, suplicando la estimación de la cuestión de inconstitucionalidad y la consiguiente anulación del precepto cuestionado. Una vez el Abogado del Estado manifiesta su conformidad con el juicio de relevancia y aplicabilidad realizado en el Auto de planteamiento de la cuestión por el Juzgado de lo Contencioso-Administrativo núm. 1 de Cáceres y con el juicio de inconstitucionalidad del art. 17.1 de la Ley de la Asamblea de Extremadura 11/2002, expone que el inciso del precepto cuestionado en este procedimiento ha sido ya impugnado por la Abogacía del Estado en el recurso de inconstitucionalidad núm. 1174-2003, mediante escrito de 27 de febrero de 2003, al cual remite en su integridad, hallándose éste resumido en el antecedente 1 de la Sentencia que resuelve el recurso de inconstitucionalidad núm. 1174-2003.</w:t>
      </w:r>
    </w:p>
    <w:p w:rsidR="00BE7FB3" w:rsidRDefault="00BE7FB3" w:rsidP="00BE7FB3">
      <w:pPr>
        <w:pStyle w:val="TextoNormal"/>
      </w:pPr>
    </w:p>
    <w:p w:rsidR="00BE7FB3" w:rsidRDefault="00BE7FB3" w:rsidP="00BE7FB3">
      <w:pPr>
        <w:pStyle w:val="TextoNormal"/>
      </w:pPr>
      <w:r w:rsidRPr="00BE7FB3">
        <w:rPr>
          <w:rStyle w:val="NumeroAFNegritaCaracter"/>
        </w:rPr>
        <w:t>6</w:t>
      </w:r>
      <w:r>
        <w:t>. El mismo 26 de octubre de 2004 se registra en el Tribunal Constitucional escrito del Letrado de la Junta de Extremadura en el que expone sus alegaciones en defensa de la constitucionalidad del artículo impugnado. Tras exponer el marco constitucional y estatutario de la ordenación de los colegios profesionales, remitiéndose a los arts. 36 CE, 15.2 de la Ley 12/1983, de 14 de octubre, de armonización del proceso autonómico, y 8 apartados 5 y 6 del Estatuto de Autonomía de Extremadura, así como a las SSTC 76/1983 y 20/1988, el Letrado de la Junta deduce de las disposiciones citadas que el reparto de competencias en materia de colegios profesionales deja en manos del legislador la ordenación de las peculiaridades propias del régimen jurídico de los colegios profesionales y el ejercicio de las profesiones tituladas, sin especificar si se trata del legislador estatal o del legislador autonómico.</w:t>
      </w:r>
    </w:p>
    <w:p w:rsidR="00BE7FB3" w:rsidRDefault="00BE7FB3" w:rsidP="00BE7FB3">
      <w:pPr>
        <w:pStyle w:val="TextoNormal"/>
      </w:pPr>
    </w:p>
    <w:p w:rsidR="00BE7FB3" w:rsidRDefault="00BE7FB3" w:rsidP="00BE7FB3">
      <w:pPr>
        <w:pStyle w:val="TextoNormal"/>
      </w:pPr>
      <w:r>
        <w:t xml:space="preserve">Entiende la representación procesal de la Comunidad Autónoma que mientras que el art. 149.1 CE no determina de forma expresa competencia estatal alguna en materia de colegios profesionales y profesiones tituladas, el Estatuto de Autonomía sí le atribuye a la Comunidad Autónoma de Extremadura competencias, en el marco de la legislación básica del Estado, de desarrollo legislativo y ejecución en materia de colegios profesionales y ejercicio de profesiones tituladas. Junto a lo anterior en el escrito de alegaciones también se reconocen las competencias del Estado, </w:t>
      </w:r>
      <w:r w:rsidRPr="00BE7FB3">
        <w:rPr>
          <w:i/>
        </w:rPr>
        <w:t>ex</w:t>
      </w:r>
      <w:r>
        <w:t xml:space="preserve"> art. 149.1.18 CE, para establecer los criterios básicos en materia de organización y competencias de las corporaciones de Derecho público que representen intereses profesionales, ciñéndose esa competencia estatal a la determinación de las bases relativas a la constitución de sus órganos, así como a su actividad en los limitados aspectos en que realicen funciones administrativas.</w:t>
      </w:r>
    </w:p>
    <w:p w:rsidR="00BE7FB3" w:rsidRDefault="00BE7FB3" w:rsidP="00BE7FB3">
      <w:pPr>
        <w:pStyle w:val="TextoNormal"/>
      </w:pPr>
    </w:p>
    <w:p w:rsidR="00BE7FB3" w:rsidRDefault="00BE7FB3" w:rsidP="00BE7FB3">
      <w:pPr>
        <w:pStyle w:val="TextoNormal"/>
      </w:pPr>
      <w:r>
        <w:t xml:space="preserve">Respecto de la obligatoriedad de la colegiación, el Letrado de la Junta de Extremadura cita los pronunciamientos del Tribunal Constitucional en que se reconoce que la misma no es contraria a la libertad de asociación en su dimensión negativa (STC 89/1989) y que, sin embargo, es necesaria para el ejercicio de determinadas profesiones, afirmando que la Ley de la Asamblea de Extremadura 11/2002 respeta estos postulados, reflejados particularmente en el art. 16.3. No obstante, esta representación procesal entiende también que caben excepciones al requisito de la colegiación obligatoria —tal y como se deduce del art. 1.3 de la Ley 2/1974 y de la jurisprudencia constitucional (con cita de las SSTC 131/1989, 194/1998, y 237/2002)— respecto de quienes ejerzan la profesión colegiada siempre que lo hagan como funcionarios o en el ámbito exclusivo de la Administración pública. Por último el Letrado de la Junta afirma que corresponde regular sobre estas excepciones al legislador </w:t>
      </w:r>
      <w:r>
        <w:lastRenderedPageBreak/>
        <w:t>o a la Administración pública competente en razón de la relación funcionarial subyacente en la prestación del servicio.</w:t>
      </w:r>
    </w:p>
    <w:p w:rsidR="00BE7FB3" w:rsidRDefault="00BE7FB3" w:rsidP="00BE7FB3">
      <w:pPr>
        <w:pStyle w:val="TextoNormal"/>
      </w:pPr>
    </w:p>
    <w:p w:rsidR="00BE7FB3" w:rsidRDefault="00BE7FB3" w:rsidP="00BE7FB3">
      <w:pPr>
        <w:pStyle w:val="TextoNormal"/>
      </w:pPr>
      <w:r>
        <w:t>El Letrado de la Junta de Extremadura, siguiendo su línea argumental, manifiesta en su escrito de alegaciones que no se produce invasión competencial alguna por parte de la normativa autonómica impugnada, puesto que la misma encuentra sustento en su competencia en materia de personal al servicio de la Administración de la Comunidad Autónoma de Extremadura (art. 8.5 del Estatuto de Autonomía de Extremadura: EAE), y no tanto en la relativa a colegios profesionales (art. 8.6 EAE). Por tanto, la determinación del establecimiento de excepciones a la colegiación obligatoria, cuando del ejercicio de una profesión al servicio de la Administración se trata, trae su causa de la relación funcionarial (estatutaria o laboral) que une a la Administración y al profesional, debiendo ser la Comunidad Autónoma la que decida si sus funcionarios han de quedar sometidos a la organización colegial o por si el contrario las facultades de naturaleza pública que el colegio profesional ejerce por delegación, son avocadas y ejercitadas directamente por la propia Administración empleadora.</w:t>
      </w:r>
    </w:p>
    <w:p w:rsidR="00BE7FB3" w:rsidRDefault="00BE7FB3" w:rsidP="00BE7FB3">
      <w:pPr>
        <w:pStyle w:val="TextoNormal"/>
      </w:pPr>
    </w:p>
    <w:p w:rsidR="00BE7FB3" w:rsidRDefault="00BE7FB3" w:rsidP="00BE7FB3">
      <w:pPr>
        <w:pStyle w:val="TextoNormal"/>
      </w:pPr>
      <w:r>
        <w:t>Por último el Letrado de la Junta de Extremadura discrepa de la consideración de que la norma autonómica cuestionada es contraria a las bases estatales, configuradas por los arts. 1.3 y 3.2 de la Ley 2/1974 que se establece la obligatoriedad de la colegiación, afirmando en cambio que, reconocida la base estatal, el art. 1.3 de la propia Ley sobre colegios profesionales permite establecer excepciones a la misma en los supuestos de relación funcionarial de los profesionales. Entiende el Letrado de la Junta que la actividad de los colegios profesionales en la prosecución de los fines que se le encomiendan por las Administraciones competentes en cada caso, decae y cede cuando esa finalidad sea asumida directamente la Administración respecto del personal a su servicio (con cita de la STC 131/1989).</w:t>
      </w:r>
    </w:p>
    <w:p w:rsidR="00BE7FB3" w:rsidRDefault="00BE7FB3" w:rsidP="00BE7FB3">
      <w:pPr>
        <w:pStyle w:val="TextoNormal"/>
      </w:pPr>
    </w:p>
    <w:p w:rsidR="00BE7FB3" w:rsidRDefault="00BE7FB3" w:rsidP="00BE7FB3">
      <w:pPr>
        <w:pStyle w:val="TextoNormal"/>
      </w:pPr>
      <w:r>
        <w:t>Mediante otrosí digo, el Letrado de la Junta de Extremadura solicita la acumulación de esta cuestión de inconstitucionalidad al recurso de inconstitucionalidad núm. 1174-2003, promovido por el Presidente del Gobierno frente a idéntico inciso del precepto de la Ley 11/2002.</w:t>
      </w:r>
    </w:p>
    <w:p w:rsidR="00BE7FB3" w:rsidRDefault="00BE7FB3" w:rsidP="00BE7FB3">
      <w:pPr>
        <w:pStyle w:val="TextoNormal"/>
      </w:pPr>
    </w:p>
    <w:p w:rsidR="00BE7FB3" w:rsidRDefault="00BE7FB3" w:rsidP="00BE7FB3">
      <w:pPr>
        <w:pStyle w:val="TextoNormal"/>
      </w:pPr>
      <w:r w:rsidRPr="00BE7FB3">
        <w:rPr>
          <w:rStyle w:val="NumeroAFNegritaCaracter"/>
        </w:rPr>
        <w:t>7</w:t>
      </w:r>
      <w:r>
        <w:t>. El 5 de noviembre de 2004 se registra en el Tribunal Constitucional escrito de la Letrada de la Asamblea de Extremadura en el que, además de dar parte del acuerdo de la Asamblea de Extremadura de 3 de noviembre de 2004 de personarse en la cuestión de inconstitucionalidad núm. 4569-2004, presenta las alegaciones correspondientes relativas al fondo de la cuestión de inconstitucionalidad.</w:t>
      </w:r>
    </w:p>
    <w:p w:rsidR="00BE7FB3" w:rsidRDefault="00BE7FB3" w:rsidP="00BE7FB3">
      <w:pPr>
        <w:pStyle w:val="TextoNormal"/>
      </w:pPr>
    </w:p>
    <w:p w:rsidR="00BE7FB3" w:rsidRDefault="00BE7FB3" w:rsidP="00BE7FB3">
      <w:pPr>
        <w:pStyle w:val="TextoNormal"/>
      </w:pPr>
      <w:r>
        <w:t>Tales alegaciones, que parten de una exposición general sobre el reparto de competencias entre el Estado y las Comunidades Autónomas en las competencias compartidas y sobre la noción de bases, afirman que no es norma básica la excepción a la colegiación obligatoria para el personal funcionario, estatutario o laboral de las Administraciones públicas caso de realizar actividades propias de su profesión por cuenta de aquellas, siendo prueba de ello la regulación desarrollada por distintas Comunidades Autónomas en este mismo sentido.</w:t>
      </w:r>
    </w:p>
    <w:p w:rsidR="00BE7FB3" w:rsidRDefault="00BE7FB3" w:rsidP="00BE7FB3">
      <w:pPr>
        <w:pStyle w:val="TextoNormal"/>
      </w:pPr>
    </w:p>
    <w:p w:rsidR="00BE7FB3" w:rsidRDefault="00BE7FB3" w:rsidP="00BE7FB3">
      <w:pPr>
        <w:pStyle w:val="TextoNormal"/>
      </w:pPr>
      <w:r>
        <w:t xml:space="preserve">A este argumento se suma la afirmación de que el art. 1.3 de la Ley 2/1974 sobre colegios profesionales hace expresa salvedad a las competencias de la Administración pública, lo que permite entender que, en determinadas situaciones, cedan las exigencias de obligatoria </w:t>
      </w:r>
      <w:r>
        <w:lastRenderedPageBreak/>
        <w:t>colegiación establecidas con carácter general (con cita de la STC 131/1989). Recordando el Voto particular del Magistrado don Eugenio Díaz Eimil en el recurso de amparo resuelto por la STC 283/1988, se afirma que la colegiación obligatoria de los profesionales que se limitan exclusivamente a prestar sus servicios en la Administración como funcionarios o como personal estatutario, sometidos a una relación administrativa de sujeción especial, no tiene razón de ser y no encuentra justificación como medida necesaria para que la organización colegial cumpla sus fines. Para concluir el Letrado de la Asamblea autonómica afirma que la colegiación obligatoria de profesionales que actúan exclusivamente en el ámbito de la función pública no viene establecida en ningún precepto expreso e inequívoco de la Ley de colegios profesionales, como es exigible para entender lícitamente impuesta una limitación legal a un derecho fundamental, mientras que sí se hace expresa salvedad a las competencias de la Administración pública por razón de la función funcionarial en el art. 1.3 de la Ley 2/1974.</w:t>
      </w:r>
    </w:p>
    <w:p w:rsidR="00BE7FB3" w:rsidRDefault="00BE7FB3" w:rsidP="00BE7FB3">
      <w:pPr>
        <w:pStyle w:val="TextoNormal"/>
      </w:pPr>
    </w:p>
    <w:p w:rsidR="00BE7FB3" w:rsidRDefault="00BE7FB3" w:rsidP="00BE7FB3">
      <w:pPr>
        <w:pStyle w:val="TextoNormal"/>
      </w:pPr>
      <w:r w:rsidRPr="00BE7FB3">
        <w:rPr>
          <w:rStyle w:val="NumeroAFNegritaCaracter"/>
        </w:rPr>
        <w:t>8</w:t>
      </w:r>
      <w:r>
        <w:t xml:space="preserve">. Mediante escrito registrado en este Tribunal el día 8 de noviembre de 2004, el Fiscal General del Estado presenta sus alegaciones en la cuestión de inconstitucionalidad que nos ocupa. Tras exponer los hechos, concretar el contenido de la duda de constitucionalidad planteada por el órgano judicial </w:t>
      </w:r>
      <w:r w:rsidRPr="00BE7FB3">
        <w:rPr>
          <w:i/>
        </w:rPr>
        <w:t>a quo</w:t>
      </w:r>
      <w:r>
        <w:t>, y la doctrina previa del Tribunal Constitucional en materia de colegios profesionales (con cita de las SSTC 20/1988, 89/1989 y 131/1989), el Fiscal plantea sus alegaciones respecto de la cuestión de si el legislador autonómico extremeño ha invadido o no competencias del Estado en un aspecto que, en el parecer del órgano judicial, se ha considerado como básico por la doctrina del Tribunal Constitucional.</w:t>
      </w:r>
    </w:p>
    <w:p w:rsidR="00BE7FB3" w:rsidRDefault="00BE7FB3" w:rsidP="00BE7FB3">
      <w:pPr>
        <w:pStyle w:val="TextoNormal"/>
      </w:pPr>
    </w:p>
    <w:p w:rsidR="00BE7FB3" w:rsidRDefault="00BE7FB3" w:rsidP="00BE7FB3">
      <w:pPr>
        <w:pStyle w:val="TextoNormal"/>
      </w:pPr>
      <w:r>
        <w:t>En ese sentido la Fiscalía establece, ante todo, el marco constitucional de reparto de competencias entre Estado y Comunidades Autónomas en materia de colegios profesionales, determinando que “corresponde a la legislación estatal fijar los principios y reglas básicas a que han de ajustar su organización y competencias las corporaciones de derecho público representativas de intereses profesionales” (STC 76/1983, FJ 26), dando al término ley que figura en el art. 36 CE la interpretación de ley estatal. De esta interpretación cabe deducir que la regulación básica sobre colegios profesionales es competencia del Estado, tal y como se deriva del art. 149.1.18 CE (con cita de las SSTC 20/1988 y 330/1994), debiendo centrarse esa normativa básica en la denominación de los colegios, el régimen de adscripción voluntaria a los mismos y el establecimiento de consejos generales de ámbito nacional, y quedando reservado a la competencia autonómica la regulación de desarrollo sobre la organización y el funcionamiento de los colegios profesionales, así como la ejecución, en caso de que así lo hubieran asumido los Estatutos de Autonomía, lo que sucede, sin lugar a dudas en el caso de la Comunidad Autónoma de Extremadura (con cita de la Ley Orgánica 9/1992, de 23 de diciembre, y del art. 8.6 de la Ley Orgánica 12/1999, de 6 de mayo, de modificación parcial del Estatuto de Autonomía de Extremadura).</w:t>
      </w:r>
    </w:p>
    <w:p w:rsidR="00BE7FB3" w:rsidRDefault="00BE7FB3" w:rsidP="00BE7FB3">
      <w:pPr>
        <w:pStyle w:val="TextoNormal"/>
      </w:pPr>
    </w:p>
    <w:p w:rsidR="00BE7FB3" w:rsidRDefault="00BE7FB3" w:rsidP="00BE7FB3">
      <w:pPr>
        <w:pStyle w:val="TextoNormal"/>
      </w:pPr>
      <w:r>
        <w:t>Expuestos los anteriores argumentos, el Fiscal entiende que el Auto que plantea la cuestión de inconstitucionalidad, como sucedía en las cuestiones inadmitidas por los AATC 237/2002 y 268/2002, no desarrolla un hilo argumental que permita fundamentar en qué medida el precepto legal cuestionado resulta contrario a la normativa básica estatal sobre la materia, considerando por tanto que la cuestión debe ser desestimada.</w:t>
      </w:r>
    </w:p>
    <w:p w:rsidR="00BE7FB3" w:rsidRDefault="00BE7FB3" w:rsidP="00BE7FB3">
      <w:pPr>
        <w:pStyle w:val="TextoNormal"/>
      </w:pPr>
    </w:p>
    <w:p w:rsidR="00BE7FB3" w:rsidRDefault="00BE7FB3" w:rsidP="00BE7FB3">
      <w:pPr>
        <w:pStyle w:val="TextoNormal"/>
      </w:pPr>
      <w:r>
        <w:t xml:space="preserve">El primer argumento que sustenta la solicitud de desestimación es que el art. 1.3 de la Ley 2/1974, de 13 de febrero, sobre colegios profesionales, contempla la posibilidad de que </w:t>
      </w:r>
      <w:r>
        <w:lastRenderedPageBreak/>
        <w:t>la Administración pública pueda, en el ámbito de sus competencias y por la relación que le une con sus empleados públicos, establecer supuestos de exclusión del régimen general de colegiación obligatoria cuando los mismos desarrollen su actividad profesional titulada para la propia Administración y por cuenta de ella (con cita de las SSTC 89/1989 y 131/1989). A juicio del Fiscal lo que hace la normativa autonómica es establecer un régimen legal complementario y de ejecución de la normativa estatal, que no especifica cual sea la Administración pública competente para regular las excepciones a la colegiación obligatoria.</w:t>
      </w:r>
    </w:p>
    <w:p w:rsidR="00BE7FB3" w:rsidRDefault="00BE7FB3" w:rsidP="00BE7FB3">
      <w:pPr>
        <w:pStyle w:val="TextoNormal"/>
      </w:pPr>
    </w:p>
    <w:p w:rsidR="00BE7FB3" w:rsidRDefault="00BE7FB3" w:rsidP="00BE7FB3">
      <w:pPr>
        <w:pStyle w:val="TextoNormal"/>
      </w:pPr>
      <w:r>
        <w:t>A juicio del Fiscal el órgano judicial que plantea la cuestión interpreta equivocadamente la doctrina constitucional, porque lo que esta establece, particularmente en la muy citada STC 330/1994, es que el establecimiento de un régimen de voluntariedad para la incorporación a un colegio profesional es un rasgo básico del régimen jurídico de los colegios profesionales que es competencia del Estado, no teniendo nada que ver esta competencia con la circunstancia de que, partiendo del reconocimiento de la obligatoriedad de colegiación de una profesión titulada pueda establecerse mediante ley autonómica un régimen de excepciones que afecte a los profesionales que prestan sus servicios para la Administración pública.</w:t>
      </w:r>
    </w:p>
    <w:p w:rsidR="00BE7FB3" w:rsidRDefault="00BE7FB3" w:rsidP="00BE7FB3">
      <w:pPr>
        <w:pStyle w:val="TextoNormal"/>
      </w:pPr>
    </w:p>
    <w:p w:rsidR="00BE7FB3" w:rsidRDefault="00BE7FB3" w:rsidP="00BE7FB3">
      <w:pPr>
        <w:pStyle w:val="TextoNormal"/>
      </w:pPr>
      <w:r>
        <w:t>En conclusión, a juicio del Fiscal General del Estado, la ley autonómica en que se ubica el precepto impugnado no invade la competencia estatal básica porque no dispone un régimen de incorporación voluntaria de los profesionales titulados a los colegios correspondientes, sino que establece el requisito previo de la colegiación obligatoria como criterio general, prescribiendo una excepción para los supuestos que contempla el art. 17.1 de la Ley 11/2002, de 12 de diciembre, de colegios y consejos profesionales de Extremadura.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Juzgado de lo Contencioso-Administrativo núm. 1 de Cáceres, plantea ante este Tribunal cuestión de inconstitucionalidad en relación con el inciso “o para la realización de actividades propias de su profesión por cuenta de aquellas” del núm. 1 del art. 17 de la Ley 11/2002, de 12 de diciembre, de colegios y consejos profesionales de Extremadura, por considerarlo contrario al art. 149.1.18 CE, al entender que vulnera la normativa básica en materia de colegiación contenida en la Ley 2/1974, de 13 de febrero, sobre colegios profesionales y en el Real Decreto 1231/2001, de 8 de noviembre, por el que se aprueban los estatutos generales de la organización colegial de enfermería de España, del Consejo general y de ordenación de la actividad profesional de enfermería.</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Como se ha descrito en los antecedentes la cuestión de inconstitucionalidad surge, en el proceso </w:t>
      </w:r>
      <w:r w:rsidRPr="00BE7FB3">
        <w:rPr>
          <w:i/>
        </w:rPr>
        <w:t>a quo</w:t>
      </w:r>
      <w:r>
        <w:t>, de resultas de la admisión por parte del Tribunal Constitucional del recurso de inconstitucionalidad interpuesto por el Presidente del Gobierno contra el inciso “o para la realización de actividades propias de su profesión por cuenta de aquéllas”, del art. 17.1 de la Ley 11/2002, de 12 de diciembre, de colegios y de consejos de colegios profesionales de Extremadura, esto es, exactamente el mismo que es objeto de la cuestión de inconstitucionalidad que nos ocupa.</w:t>
      </w:r>
    </w:p>
    <w:p w:rsidR="00BE7FB3" w:rsidRDefault="00BE7FB3" w:rsidP="00BE7FB3">
      <w:pPr>
        <w:pStyle w:val="TextoNormal"/>
      </w:pPr>
    </w:p>
    <w:p w:rsidR="00BE7FB3" w:rsidRDefault="00BE7FB3" w:rsidP="00BE7FB3">
      <w:pPr>
        <w:pStyle w:val="TextoNormal"/>
      </w:pPr>
      <w:r>
        <w:t xml:space="preserve">Pues bien, la STC 46/2013, de 28 de febrero, recaída en el recurso de inconstitucionalidad núm. 1174-2003 ha declarado ya la inconstitucionalidad y nulidad del inciso arriba apuntado </w:t>
      </w:r>
      <w:r>
        <w:lastRenderedPageBreak/>
        <w:t>del art. 17.1 de la Ley 11/2002, de 12 de diciembre, de colegios y de consejos de colegios profesionales de Extremadura, por vulneración del reparto constitucional de competencias en materia de colegios profesionales, con remisión expresa a la argumentación que, al respecto, se contiene a su vez en la STC 3/2013, de 17 de enero. Esta última que resuelve el recurso de inconstitucionalidad núm. 1893-2002, en el que el Presidente del Gobierno impugnó el inciso “o para la realización de actividades propias de su profesión por cuenta de aquéllas” incluido en el art. 30.2 de la Ley 15/2001, de 26 de diciembre, del Parlamento de Andalucía, el cual contenía, como lo hace el precepto que es objeto de la presente cuestión de inconstitucionalidad, una excepción a la colegiación forzosa de los empleados públicos.</w:t>
      </w:r>
    </w:p>
    <w:p w:rsidR="00BE7FB3" w:rsidRDefault="00BE7FB3" w:rsidP="00BE7FB3">
      <w:pPr>
        <w:pStyle w:val="TextoNormal"/>
      </w:pPr>
    </w:p>
    <w:p w:rsidR="00BE7FB3" w:rsidRDefault="00BE7FB3" w:rsidP="00BE7FB3">
      <w:pPr>
        <w:pStyle w:val="TextoNormal"/>
      </w:pPr>
      <w:r>
        <w:t xml:space="preserve">Una vez que la norma que es objeto de la cuestión de inconstitucionalidad ya ha sido declarada nula por la Sentencia indicada, que vincula a todos los poderes públicos (arts. 38.1 y 39.1 de la Ley Orgánica del Tribunal Constitucional: LOTC), y que tal Sentencia ya ha sido publicada en el “Boletín Oficial del Estado”, momento a partir del cual produce sus efectos conforme a lo dispuesto en los arts. 164.1 CE y 38.1 LOTC (ATC 126/2011, de 17 de octubre, FJ único), cumple declarar extinguido el presente proceso constitucional, por desaparición sobrevenida de su objeto (STC 387/1993, de 23 de diciembre, FJ único), en particular teniendo en cuenta la naturaleza de la cuestión de inconstitucionalidad, y que la norma cuestionada por el órgano judicial </w:t>
      </w:r>
      <w:r w:rsidRPr="00BE7FB3">
        <w:rPr>
          <w:i/>
        </w:rPr>
        <w:t>a quo</w:t>
      </w:r>
      <w:r>
        <w:t xml:space="preserve"> ya no puede ser aplicada en los autos de los que deriva la cuestión (por todas SSTC 38/1993, de 23 de diciembre, FJ único; 166/1994, de 26 de mayo, FJ 2; y ATC 488/2004, 30 de noviembre de 2004, FJ único).</w:t>
      </w:r>
    </w:p>
    <w:p w:rsidR="00BE7FB3" w:rsidRDefault="00BE7FB3" w:rsidP="00BE7FB3">
      <w:pPr>
        <w:pStyle w:val="TextoNormal"/>
      </w:pPr>
    </w:p>
    <w:p w:rsidR="00BE7FB3" w:rsidRDefault="00BE7FB3" w:rsidP="00BE7FB3">
      <w:pPr>
        <w:pStyle w:val="TextoNormal"/>
      </w:pPr>
      <w:r>
        <w:t>Es reiterada nuestra jurisprudencia respecto a que la figura de la extinción procesal se integra dentro de nuestro sistema de justicia constitucional, pese al silencio de la Ley Orgánica del Tribunal Constitucional, en razón a la virtualidad propia de los principios que inspiran la institución procesal (AATC 14/1996, de 17 de enero, FJ único; y 88/2011, de 20 de junio, FJ único), razón por la cual no nos queda más que proclamar la extinción de la presente cuestión de inconstitucionalidad.</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la extinción de la cuestión de inconstitucionalidad núm. 4569-2004, por desaparición sobrevenida de su objeto.</w:t>
      </w:r>
    </w:p>
    <w:p w:rsidR="00BE7FB3" w:rsidRDefault="00BE7FB3" w:rsidP="00BE7FB3">
      <w:pPr>
        <w:pStyle w:val="TextoNormal"/>
      </w:pPr>
    </w:p>
    <w:p w:rsidR="00BE7FB3" w:rsidRDefault="00BE7FB3" w:rsidP="00BE7FB3">
      <w:pPr>
        <w:pStyle w:val="TextoNormal"/>
      </w:pPr>
      <w:r>
        <w:t>Madrid, a doce de marzo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09" w:name="AUTO_2013_68"/>
      <w:r>
        <w:lastRenderedPageBreak/>
        <w:t>AUTO 68/2013, de 12 de marzo de 2013</w:t>
      </w:r>
    </w:p>
    <w:bookmarkEnd w:id="209"/>
    <w:p w:rsidR="00BE7FB3" w:rsidRDefault="00BE7FB3" w:rsidP="00BE7FB3">
      <w:pPr>
        <w:pStyle w:val="TtuloResolucin"/>
      </w:pPr>
      <w:r>
        <w:t>Pleno</w:t>
      </w:r>
    </w:p>
    <w:p w:rsidR="00BE7FB3" w:rsidRDefault="00BE7FB3" w:rsidP="00BE7FB3">
      <w:pPr>
        <w:pStyle w:val="TtuloResolucin"/>
      </w:pPr>
    </w:p>
    <w:p w:rsidR="00BE7FB3" w:rsidRDefault="00BE7FB3" w:rsidP="00BE7FB3">
      <w:pPr>
        <w:pStyle w:val="TtuloBOE"/>
      </w:pPr>
      <w:r>
        <w:t>("BOE" núm. 86, de 10 de abril de 2013)</w:t>
      </w:r>
    </w:p>
    <w:p w:rsidR="00BE7FB3" w:rsidRDefault="00BE7FB3" w:rsidP="00BE7FB3">
      <w:pPr>
        <w:pStyle w:val="TtuloBOE"/>
      </w:pPr>
    </w:p>
    <w:p w:rsidR="00BE7FB3" w:rsidRDefault="00BE7FB3" w:rsidP="00BE7FB3">
      <w:pPr>
        <w:pStyle w:val="SntesisDescriptiva"/>
      </w:pPr>
      <w:r>
        <w:t>ECLI:ES:TC:2013:68A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Aclara la Sentencia 22/2013, de 31 de enero, dictada en el recurso de amparo 8928-2006, promovido por don Pablo Queralto Gómez en relación con la Sentencia de la Audiencia Provincial de Madrid que le condenó por dos delitos de homicidio imprudente en concurso con un delito contra la seguridad de los trabajadores.</w:t>
      </w:r>
    </w:p>
    <w:p w:rsidR="00BE7FB3" w:rsidRDefault="00BE7FB3" w:rsidP="00BE7FB3">
      <w:pPr>
        <w:pStyle w:val="SntesisDescriptiva"/>
      </w:pPr>
    </w:p>
    <w:p w:rsidR="00BE7FB3" w:rsidRDefault="00BE7FB3" w:rsidP="00BE7FB3">
      <w:pPr>
        <w:pStyle w:val="SntesisAnaltica"/>
      </w:pPr>
      <w:r>
        <w:t>Aclaración de resoluciones del Tribunal Constitucional: aclaración procedente; rectificación de error material.</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con fecha de 27 de septiembre de 2006, el Procurador de los Tribunales don Alberto Hidalgo Martínez, en representación de don Pablo Queralto Gómez y asistido por el Abogado don Antonio Villar Rodríguez, interpuso recurso de amparo contra la Sentencia núm. 279/2006, de 20 de julio, dictada por la Sección Segunda de la Audiencia Provincial de Madrid, recaída en el recurso de apelación núm. 148-2005, que revoca la Sentencia absolutoria núm. 353/2004, de 3 de septiembre, dictada por el Juzgado de lo Penal núm. 19 de Madrid en el procedimiento abreviado núm. 423-2003, condenando al recurrente como autor de dos delitos de homicidio imprudente en concurso con un delito contra la seguridad de los trabajadores, a la pena privativa de libertad de dos años y seis meses de prisión, con inhabilitación especial para el ejercicio de la profesión de arquitecto técnico durante el mismo tiempo, así como al pago de una indemnización.</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Dicho recurso fue tramitado con el número 8928-2006 y resuelto, una vez cumplidos los trámites procesales, por la STC 22/2013, de 31 de enero, cuya parte dispositiva es del siguiente tenor: </w:t>
      </w:r>
    </w:p>
    <w:p w:rsidR="00BE7FB3" w:rsidRDefault="00BE7FB3" w:rsidP="00BE7FB3">
      <w:pPr>
        <w:pStyle w:val="TextoNormal"/>
      </w:pPr>
    </w:p>
    <w:p w:rsidR="00BE7FB3" w:rsidRDefault="00BE7FB3" w:rsidP="00BE7FB3">
      <w:pPr>
        <w:pStyle w:val="TextoNormal"/>
      </w:pPr>
      <w:r>
        <w:t>“Otorgar el amparo solicitado por don Pablo Queralto Gómez y, en su virtud:</w:t>
      </w:r>
    </w:p>
    <w:p w:rsidR="00BE7FB3" w:rsidRDefault="00BE7FB3" w:rsidP="00BE7FB3">
      <w:pPr>
        <w:pStyle w:val="TextoNormal"/>
      </w:pPr>
    </w:p>
    <w:p w:rsidR="00BE7FB3" w:rsidRDefault="00BE7FB3" w:rsidP="00BE7FB3">
      <w:pPr>
        <w:pStyle w:val="TextoNormal"/>
      </w:pPr>
      <w:r>
        <w:t>1º Declarar que se ha vulnerado el derecho fundamental del recurrente a la presunción de inocencia (art. 24.2.CE).</w:t>
      </w:r>
    </w:p>
    <w:p w:rsidR="00BE7FB3" w:rsidRDefault="00BE7FB3" w:rsidP="00BE7FB3">
      <w:pPr>
        <w:pStyle w:val="TextoNormal"/>
      </w:pPr>
    </w:p>
    <w:p w:rsidR="00BE7FB3" w:rsidRDefault="00BE7FB3" w:rsidP="00BE7FB3">
      <w:pPr>
        <w:pStyle w:val="TextoNormal"/>
      </w:pPr>
      <w:r>
        <w:t>2º Restablecerlo en su derecho y, a tal fin, anular la Sentencia de 20 de julio de 2006 de la Sección Segunda de la Audiencia Provincial de Madrid.”</w:t>
      </w:r>
    </w:p>
    <w:p w:rsidR="00BE7FB3" w:rsidRDefault="00BE7FB3" w:rsidP="00BE7FB3">
      <w:pPr>
        <w:pStyle w:val="TextoNormal"/>
      </w:pPr>
    </w:p>
    <w:p w:rsidR="00BE7FB3" w:rsidRDefault="00BE7FB3" w:rsidP="00BE7FB3">
      <w:pPr>
        <w:pStyle w:val="TextoNormal"/>
      </w:pPr>
      <w:r w:rsidRPr="00BE7FB3">
        <w:rPr>
          <w:rStyle w:val="NumeroAFNegritaCaracter"/>
        </w:rPr>
        <w:t>3</w:t>
      </w:r>
      <w:r>
        <w:t>. En fecha 14 de febrero de 2013, el Procurador de los Tribunales don Juan Escrivá de Romaní y Vereterra, en nombre y representación de doña María del Carmen Martinez Soriano, en calidad de parte personada en el presente recurso de amparo, solicitó aclaración de la Sentencia dictada el 31 de enero de 2013, en los términos que constan en el citado escrito.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Siendo varios los condenados por la Sentencia de 20 de julio de 2006 de la Sección Segunda de la Audiencia Provincial de Madrid, en el fundamento jurídico segundo de la STC 22/2013, de 31 de enero, se establece literalmente que “en ningún caso sería posible acceder a la pretensión formulada por distintas partes personadas de que los efectos de un eventual otorgamiento del amparo se extiendan a la nulidad de sus condenas dictadas en la Sentencia que ahora se recurre”.</w:t>
      </w:r>
    </w:p>
    <w:p w:rsidR="00BE7FB3" w:rsidRDefault="00BE7FB3" w:rsidP="00BE7FB3">
      <w:pPr>
        <w:pStyle w:val="TextoNormal"/>
      </w:pPr>
    </w:p>
    <w:p w:rsidR="00BE7FB3" w:rsidRDefault="00BE7FB3" w:rsidP="00BE7FB3">
      <w:pPr>
        <w:pStyle w:val="TextoNormal"/>
      </w:pPr>
      <w:r>
        <w:t>Advertida la existencia de error material por omisión en el apartado segundo del fallo de la referida Sentencia de este Tribunal de 31 de enero, en el sentido de que en el mismo no consta de manera expresa que la anulación de la Sentencia de la Audiencia Provincial de Madrid se refiere exclusivamente al recurrente en amparo, este Tribunal procede, de conformidad con lo previsto en el art. 80 de la Ley Orgánica del Tribunal Constitucional, en relación con el art. 267 de la Ley Orgánica del Poder Judicial, a su corrección, en los términos que seguidamente se precisan.</w:t>
      </w:r>
    </w:p>
    <w:p w:rsidR="00BE7FB3" w:rsidRDefault="00BE7FB3" w:rsidP="00BE7FB3">
      <w:pPr>
        <w:pStyle w:val="TextoNormal"/>
      </w:pPr>
    </w:p>
    <w:p w:rsidR="00BE7FB3" w:rsidRDefault="00BE7FB3" w:rsidP="00BE7FB3">
      <w:pPr>
        <w:pStyle w:val="TextoNormal"/>
      </w:pPr>
      <w:r>
        <w:t>Donde dice: “2º Restablecerlo en su derecho y, a tal fin, anular la Sentencia de 20 de julio de 2006 de la Sección Segunda de la Audiencia Provincial de Madrid”, debe decir: “2º Restablecerlo en su derecho y, a tal fin, anular la Sentencia de 20 de julio de 2006 de la Sección Segunda de la Audiencia Provincial de Madrid exclusivamente en lo referido al recurrente”.</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Corregir el error padecido en el inciso segundo del fallo de la STC 22/2013, de 31 de enero, en los siguientes términos: “2º Restablecerlo en su derecho y, a tal fin, anular la Sentencia de 20 de julio de 2006 de la Sección Segunda de la Audiencia Provincial de Madrid exclusivamente en lo referido al recurrente”.</w:t>
      </w:r>
    </w:p>
    <w:p w:rsidR="00BE7FB3" w:rsidRDefault="00BE7FB3" w:rsidP="00BE7FB3">
      <w:pPr>
        <w:pStyle w:val="TextoNormal"/>
      </w:pPr>
    </w:p>
    <w:p w:rsidR="00BE7FB3" w:rsidRDefault="00BE7FB3" w:rsidP="00BE7FB3">
      <w:pPr>
        <w:pStyle w:val="TextoNormal"/>
      </w:pPr>
      <w:r>
        <w:t>Publíquese en el “Boletín Oficial del Estado”.</w:t>
      </w:r>
    </w:p>
    <w:p w:rsidR="00BE7FB3" w:rsidRDefault="00BE7FB3" w:rsidP="00BE7FB3">
      <w:pPr>
        <w:pStyle w:val="TextoNormal"/>
      </w:pPr>
    </w:p>
    <w:p w:rsidR="00BE7FB3" w:rsidRDefault="00BE7FB3" w:rsidP="00BE7FB3">
      <w:pPr>
        <w:pStyle w:val="TextoNormal"/>
      </w:pPr>
      <w:r>
        <w:t>Madrid, a doce de marzo de un mil trece. a doce de marzo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10" w:name="AUTO_2013_69"/>
      <w:r>
        <w:lastRenderedPageBreak/>
        <w:t>AUTO 69/2013, de 12 de marzo de 2013</w:t>
      </w:r>
    </w:p>
    <w:bookmarkEnd w:id="210"/>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ECLI:ES:TC:2013:69A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6391-2010, planteada por el Tribunal Superior de Justicia de Murcia en relación con la disposición adicional tercera c) de la Ley 40/2007, de 4 de diciembre, de medidas en materia de Seguridad Social.</w:t>
      </w:r>
    </w:p>
    <w:p w:rsidR="00BE7FB3" w:rsidRDefault="00BE7FB3" w:rsidP="00BE7FB3">
      <w:pPr>
        <w:pStyle w:val="SntesisDescriptiva"/>
      </w:pPr>
    </w:p>
    <w:p w:rsidR="00BE7FB3" w:rsidRDefault="00BE7FB3" w:rsidP="00BE7FB3">
      <w:pPr>
        <w:pStyle w:val="SntesisAnaltica"/>
      </w:pPr>
      <w:r>
        <w:t>Cuestión de inconstitucionalidad: extinción de cuestión de inconstitucionalidad;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30 de agosto de 2010 tuvo entrada en el Registro General de este Tribunal Constitucional oficio de la Sala de lo Social del Tribunal Superior de Justicia de Murcia por el que eleva testimonio de las actuaciones correspondientes al recurso de suplicación núm. 191-2010, en cumplimiento del Auto del mismo órgano jurisdiccional de 5 de julio de 2010, que se acompaña, por el que se acuerda plantear cuestión de inconstitucionalidad en relación con la disposición adicional tercera c) de la Ley 40/2007, de 4 de diciembre, de medidas en materia de Seguridad Social (en adelante, Ley 40/2007), por posible vulneración del art. 14 CE.</w:t>
      </w:r>
    </w:p>
    <w:p w:rsidR="00BE7FB3" w:rsidRDefault="00BE7FB3" w:rsidP="00BE7FB3">
      <w:pPr>
        <w:pStyle w:val="TextoNormal"/>
      </w:pPr>
    </w:p>
    <w:p w:rsidR="00BE7FB3" w:rsidRDefault="00BE7FB3" w:rsidP="00BE7FB3">
      <w:pPr>
        <w:pStyle w:val="TextoNormal"/>
      </w:pPr>
      <w:r w:rsidRPr="00BE7FB3">
        <w:rPr>
          <w:rStyle w:val="NumeroAFNegritaCaracter"/>
        </w:rPr>
        <w:t>2</w:t>
      </w:r>
      <w:r>
        <w:t>. El planteamiento de la cuestión tiene su origen en el recurso de suplicación formulado por don Antonio García Jiménez frente a la Sentencia del Juzgado de lo Social núm. 2 de Murcia, de 24 de noviembre de 2009, que desestimó su solicitud de pensión de viudedad por no cumplirse el requisito previsto en el apartado c) de la disposición adicional tercera de la citada Ley 40/2007, que requiere “que el causante y el beneficiario hubieran tenido hijos comunes”. En el recurso de suplicación, la parte demandante solicitaba el planteamiento por la Sala de una cuestión de inconstitucionalidad con relación al citado apartado de esa disposición adicional por posible vulneración del derecho a la igualdad y no discriminación (art. 14 CE), al exigir un requisito para percibir la pensión de viudedad de imposible cumplimiento en parejas formadas por dos hombres, que no pueden tener hijos en común ni por naturaleza ni por adopción.</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Por Auto de 24 de mayo de 2010, la Sala de lo Social del Tribunal Superior de Justicia de Murcia acordó conceder a las partes y al Ministerio Fiscal un plazo de diez días para que </w:t>
      </w:r>
      <w:r>
        <w:lastRenderedPageBreak/>
        <w:t>pudieran formular las alegaciones que estimasen oportunas sobre la pertinencia de plantear cuestión de inconstitucionalidad frente a la disposición adicional tercera c) de la Ley 40/2007, por posible vulneración del art. 14 CE. Este trámite fue sustanciado conforme a lo dispuesto en el art. 35.2 de la Ley Orgánica del Tribunal Constitucional (LOTC).</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La Sala de lo Social del Tribunal Superior de Justicia de Murcia, mediante Auto de 5 de julio de 2010, acordó plantear la cuestión de inconstitucionalidad sobre el apartado c) de la disposición adicional tercera de la Ley 40/2007, al entender que el principio de igualdad y de no discriminación que consagra el art. 14 CE podían verse afectados por la citada disposición al exigir unos requisitos que pueden discriminar claramente a las parejas </w:t>
      </w:r>
      <w:r w:rsidRPr="00BE7FB3">
        <w:rPr>
          <w:i/>
        </w:rPr>
        <w:t>more uxorio</w:t>
      </w:r>
      <w:r>
        <w:t xml:space="preserve"> del mismo sexo, a efectos del acceso a percibir una prestación por viudedad. En este sentido, señala que, al momento del fallecimiento del causante de dicha pensión, las parejas homosexuales no podían adoptar a menores de edad, pues solo podían hacerlo las parejas casadas y heterosexuales, así como personas solas. Si a ello se le adiciona la imposibilidad física de tener hijos entre sí de forma natural, la Sala aprecia que es evidente que se produce una discriminación y una conculcación del principio de igualdad constitucional para las parejas de hecho del mismo sexo cuando fallece uno de sus miembros, y el otro no puede cobrar la pensión de viudedad por no ser una pareja heterosexual. A lo anterior, añade que el hecho de que se trate de una regulación retroactiva o transitoria no significa que no deba cumplir los cánones constitucionales y respetar los derechos fundamentales. Finalmente, señala que sobre esta misma materia está planteada ante este Tribunal la cuestión de inconstitucionalidad núm. 8970-2008.</w:t>
      </w:r>
    </w:p>
    <w:p w:rsidR="00BE7FB3" w:rsidRDefault="00BE7FB3" w:rsidP="00BE7FB3">
      <w:pPr>
        <w:pStyle w:val="TextoNormal"/>
      </w:pPr>
    </w:p>
    <w:p w:rsidR="00BE7FB3" w:rsidRDefault="00BE7FB3" w:rsidP="00BE7FB3">
      <w:pPr>
        <w:pStyle w:val="TextoNormal"/>
      </w:pPr>
      <w:r w:rsidRPr="00BE7FB3">
        <w:rPr>
          <w:rStyle w:val="NumeroAFNegritaCaracter"/>
        </w:rPr>
        <w:t>5</w:t>
      </w:r>
      <w:r>
        <w:t xml:space="preserve">. El Pleno de este Tribunal, mediante providencia de 5 de octubre de 2010 acordó admitir a trámite la cuestión de inconstitucionalidad, reservando para sí el conocimiento de la misma conforme a lo dispuesto en el art. 10.1 c) LOTC (en la redacción dada por la Ley Orgánica 6/2007, de 24 de mayo). También, dar traslado, de conformidad con el art. 37.3 LOTC, de las actuaciones recibidas al Congreso de los Diputados y al Senado, al Gobierno, y al Fiscal General del Estado, al objeto de que pudieran personarse en el proceso y formular las alegaciones que estimasen convenientes; comunicar esa resolución a la Sala de lo Social del Tribunal Superior de Justicia a fin de que, de conformidad con lo dispuesto en el art. 35.3 LOTC, permaneciese suspendido el proceso hasta que este Tribunal resolviese la cuestión; y, finalmente, que se publicase la incoación de la cuestión en el “Boletín Oficial del Estado” (lo que se produjo en el “BOE” núm. 254, de 20 de octubre de 2010). </w:t>
      </w:r>
    </w:p>
    <w:p w:rsidR="00BE7FB3" w:rsidRDefault="00BE7FB3" w:rsidP="00BE7FB3">
      <w:pPr>
        <w:pStyle w:val="TextoNormal"/>
      </w:pPr>
    </w:p>
    <w:p w:rsidR="00BE7FB3" w:rsidRDefault="00BE7FB3" w:rsidP="00BE7FB3">
      <w:pPr>
        <w:pStyle w:val="TextoNormal"/>
      </w:pPr>
      <w:r>
        <w:t>Además, por diligencia de ordenación de la Secretaría de Justicia del Pleno del Tribunal Constitucional, de 5 de octubre de 2010, se manifiesta que de conformidad con lo establecido en el art. 37.2 LOTC, quienes sean parte en el recurso de suplicación núm. 191-2010 podrán personarse ante este Tribunal.</w:t>
      </w:r>
    </w:p>
    <w:p w:rsidR="00BE7FB3" w:rsidRDefault="00BE7FB3" w:rsidP="00BE7FB3">
      <w:pPr>
        <w:pStyle w:val="TextoNormal"/>
      </w:pPr>
    </w:p>
    <w:p w:rsidR="00BE7FB3" w:rsidRDefault="00BE7FB3" w:rsidP="00BE7FB3">
      <w:pPr>
        <w:pStyle w:val="TextoNormal"/>
      </w:pPr>
      <w:r w:rsidRPr="00BE7FB3">
        <w:rPr>
          <w:rStyle w:val="NumeroAFNegritaCaracter"/>
        </w:rPr>
        <w:t>6</w:t>
      </w:r>
      <w:r>
        <w:t>. Mediante escrito que tuvo entrada en este Tribunal el 20 de octubre de 2010, el Presidente del Senado pone en conocimiento el acuerdo de la Mesa de la Cámara que decide dar por personada a esa Cámara en el procedimiento. Y con fecha de registro de 21 de octubre de 2010, se recibe escrito del Presidente del Congreso de los Diputados comunicando el acuerdo sobre la personación de esa Cámara en el procedimiento y ofreciendo su colaboración a los efectos del art. 88.1 de la Ley Orgánica del Tribunal Constitucional.</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7</w:t>
      </w:r>
      <w:r>
        <w:t>. Por medio de escrito con fecha de registro de 22 de octubre de 2010, la Letrada de la Administración de la Seguridad Social, doña Pilar García Perea, se personó en nombre y representación del Instituto Nacional de la Seguridad Social (INSS) de conformidad con lo establecido en el art. 37.2 LOTC al haber sido parte en el recurso de suplicación.</w:t>
      </w:r>
    </w:p>
    <w:p w:rsidR="00BE7FB3" w:rsidRDefault="00BE7FB3" w:rsidP="00BE7FB3">
      <w:pPr>
        <w:pStyle w:val="TextoNormal"/>
      </w:pPr>
    </w:p>
    <w:p w:rsidR="00BE7FB3" w:rsidRDefault="00BE7FB3" w:rsidP="00BE7FB3">
      <w:pPr>
        <w:pStyle w:val="TextoNormal"/>
      </w:pPr>
      <w:r w:rsidRPr="00BE7FB3">
        <w:rPr>
          <w:rStyle w:val="NumeroAFNegritaCaracter"/>
        </w:rPr>
        <w:t>8</w:t>
      </w:r>
      <w:r>
        <w:t>. Por diligencia de ordenación de 3 de noviembre de 2010 de la Secretaría de Justicia del Pleno de este Tribunal, se acordó tener por personado y parte al INSS a través de su representación procesal y concederle, conforme al art. 37.2 LOTC, un plazo de quince días para que formulase las alegaciones que estimase convenientes.</w:t>
      </w:r>
    </w:p>
    <w:p w:rsidR="00BE7FB3" w:rsidRDefault="00BE7FB3" w:rsidP="00BE7FB3">
      <w:pPr>
        <w:pStyle w:val="TextoNormal"/>
      </w:pPr>
    </w:p>
    <w:p w:rsidR="00BE7FB3" w:rsidRDefault="00BE7FB3" w:rsidP="00BE7FB3">
      <w:pPr>
        <w:pStyle w:val="TextoNormal"/>
      </w:pPr>
      <w:r w:rsidRPr="00BE7FB3">
        <w:rPr>
          <w:rStyle w:val="NumeroAFNegritaCaracter"/>
        </w:rPr>
        <w:t>9</w:t>
      </w:r>
      <w:r>
        <w:t>. El Abogado del Estado formuló alegaciones mediante escrito registrado el 28 de octubre de 2010, interesando la desestimación de la cuestión planteada al considerar que la norma controvertida no vulnera el art. 14 CE desde la perspectiva del derecho a la no discriminación, dado que el requisito de “hijos comunes” para acceder de forma excepcional a la pensión de viudedad afecta a todas las parejas de hecho, tanto heterosexuales como homosexuales, y, por consiguiente, no se asienta en la orientación sexual de la pareja como factor determinante. Tampoco aprecia la existencia de lesión, enfocando el problema desde el prisma de la cláusula general de la igualdad, al concurrir una finalidad lícita y razonable (limitar la eficacia retroactiva a parejas de hecho de existencia indiscutible, demostrada por la existencia de descendencia común para evitar abusos y fraudes), acorde con el art. 31.2 y art. 39 CE. Finalmente, añade que las consecuencias jurídicas de la diferenciación no pueden tacharse de desproporcionadas, en tanto que la existencia de hijos comunes ayuda a definir el supuesto de hecho de situación de necesidad y demanda mayor protección. Siendo los recursos financieros limitados, es razonable y proporcionado, por lo tanto, que el legislador haya reservado el acceso a la prestación excepcional regulada en la disposición adicional discutida a las parejas de hecho con hijos comunes, esto es, a las que tienen mayor necesidad de protección.</w:t>
      </w:r>
    </w:p>
    <w:p w:rsidR="00BE7FB3" w:rsidRDefault="00BE7FB3" w:rsidP="00BE7FB3">
      <w:pPr>
        <w:pStyle w:val="TextoNormal"/>
      </w:pPr>
    </w:p>
    <w:p w:rsidR="00BE7FB3" w:rsidRDefault="00BE7FB3" w:rsidP="00BE7FB3">
      <w:pPr>
        <w:pStyle w:val="TextoNormal"/>
      </w:pPr>
      <w:r w:rsidRPr="00BE7FB3">
        <w:rPr>
          <w:rStyle w:val="NumeroAFNegritaCaracter"/>
        </w:rPr>
        <w:t>10</w:t>
      </w:r>
      <w:r>
        <w:t>. Mediante escrito que tuvo entrada en este Tribunal con fecha de 17 de noviembre de 2010, presentó escrito de alegaciones el Fiscal General del Estado interesando un pronunciamiento de este Tribunal de carácter desestimatorio, al considerar que la norma cuestionada no vulnera el art. 14 CE teniendo en cuenta su naturaleza excepcional y el carácter mixto de la prestación que regula, en tanto en cuanto revelaría la persecución de una finalidad protectora hacia los hijos habidos en las uniones de hecho. En definitiva, la existencia de hijos comunes no tendría como exclusiva finalidad la de indicar una previa convivencia entre sus progenitores, sino también serviría para identificar una concreta necesidad familiar precisada de ayuda económica (esto es, el reconocimiento de la pensión vendría justificada por la necesidad de ayudar al levantamiento de las cargas familiares).</w:t>
      </w:r>
    </w:p>
    <w:p w:rsidR="00BE7FB3" w:rsidRDefault="00BE7FB3" w:rsidP="00BE7FB3">
      <w:pPr>
        <w:pStyle w:val="TextoNormal"/>
      </w:pPr>
    </w:p>
    <w:p w:rsidR="00BE7FB3" w:rsidRDefault="00BE7FB3" w:rsidP="00BE7FB3">
      <w:pPr>
        <w:pStyle w:val="TextoNormal"/>
      </w:pPr>
      <w:r w:rsidRPr="00BE7FB3">
        <w:rPr>
          <w:rStyle w:val="NumeroAFNegritaCaracter"/>
        </w:rPr>
        <w:t>11</w:t>
      </w:r>
      <w:r>
        <w:t xml:space="preserve">. Con fecha de entrada en este Tribunal de 30 de noviembre de 2010, se presenta por la representación procesal del INSS escrito interesando que se declare la constitucionalidad de la norma cuestionada al no vulnerar el art. 14 CE. En este sentido, afirma que la exigencia de hijos comunes como requisito constitutivo del excepcional y retroactivo reconocimiento de la pensión de viudedad responde a una equiparación jurídica de los hijos nacidos dentro y fuera del matrimonio y a un tipo de familia, la monoparental, producida a consecuencia del fallecimiento de uno de los progenitores. En definitiva, siendo la justificación de la norma la atención a la concreta situación de necesidad producida por la existencia de un </w:t>
      </w:r>
      <w:r>
        <w:lastRenderedPageBreak/>
        <w:t>único sustentador de la familia ocasionada por el fallecimiento de uno de los progenitores del hijo común, concluye que lejos de producirse una discriminación indirecta por razón de orientación sexual en realidad sirve al principio de igualdad material en tanto que promueve las condiciones para que la misma sea real y efectiva.</w:t>
      </w:r>
    </w:p>
    <w:p w:rsidR="00BE7FB3" w:rsidRDefault="00BE7FB3" w:rsidP="00BE7FB3">
      <w:pPr>
        <w:pStyle w:val="TextoNormal"/>
      </w:pPr>
    </w:p>
    <w:p w:rsidR="00BE7FB3" w:rsidRDefault="00BE7FB3" w:rsidP="00BE7FB3">
      <w:pPr>
        <w:pStyle w:val="TextoNormal"/>
      </w:pPr>
      <w:r w:rsidRPr="00BE7FB3">
        <w:rPr>
          <w:rStyle w:val="NumeroAFNegritaCaracter"/>
        </w:rPr>
        <w:t>12</w:t>
      </w:r>
      <w:r>
        <w:t>. Mediante diligencia de ordenación de 1 de diciembre de 2010 se hace constar que dentro del plazo conferido en la providencia de admisión a trámite del presente proceso se han personado en el mismo y formulado escrito de alegaciones el Abogado del Estado, el Fiscal General del Estado y la representación legal del Instituto Nacional de la Seguridad Social, quedando pendiente para deliberación y votación de la Sentencia, sin perjuicio de lo dispuesto en el art. 84 LOTC.</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presente cuestión de inconstitucionalidad ha sido promovida por la Sala de lo Social del Tribunal Superior de Justicia de Murcia respecto a la disposición adicional tercera, apartado c), de la Ley 40/2007, de 4 de diciembre, de medidas en materia de Seguridad Social, que prevé como requisito para poder causar derecho a la pensión de viudedad en supuestos de parejas de hecho en las que el fallecimiento del causante se produjo antes de la entrada en vigor de esa Ley, “que el causante y el beneficiario hubieran tenido hijos en común”. Tal norma, a juicio de esa Sala, podría vulnerar el art. 14 CE por establecer un requisito que podría discriminar a las parejas </w:t>
      </w:r>
      <w:r w:rsidRPr="00BE7FB3">
        <w:rPr>
          <w:i/>
        </w:rPr>
        <w:t>more uxorio</w:t>
      </w:r>
      <w:r>
        <w:t xml:space="preserve"> del mismo sexo a efectos del acceso a la pensión de viudedad, por resultar de muy difícil o imposible cumplimiento, tanto por la imposibilidad de tener hijos como por la de poder adoptarlos. La cuestión de inconstitucionalidad planteada en este caso es sustancialmente idéntica (tanto por el precepto legal cuestionado como por los motivos de inconstitucionalidad que se aducen) a la tramitada con el núm. 8970-2008, promovida por el Juzgado de lo Social núm. 33 de Barcelona y resuelta por el Pleno de este Tribunal en su reciente STC 41/2013, de 14 de febrero, dictada con posterioridad a que la presente cuestión de inconstitucionalidad fuera admitida a trámite. En esta Sentencia hemos declarado inconstitucional y nula la letra c) de la disposición adicional tercera que en este proceso constitucional se cuestiona, por vulneración del principio de igualdad ante la ley del art. 14 CE. Se sigue de ello que el precepto cuestionado ha sido expulsado del Ordenamiento, una vez anulado por inconstitucional, lo que impone ahora apreciar, conforme a reiterada jurisprudencia de este Tribunal, la desaparición sobrevenida del objeto de la presente cuestión, al haber quedado disipada la duda de constitucionalidad planteada por el órgano judicial (AATC 45/2010, de 14 de abril, FJ único; 88/2011, de 20 de junio, FJ único; y 199/2012, de 29 de octubre, FJ único).</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la extinción de la cuestión de inconstitucionalidad núm. 6391-2010, por desaparición sobrevenida de su objeto.</w:t>
      </w:r>
    </w:p>
    <w:p w:rsidR="00BE7FB3" w:rsidRDefault="00BE7FB3" w:rsidP="00BE7FB3">
      <w:pPr>
        <w:pStyle w:val="TextoNormal"/>
      </w:pPr>
    </w:p>
    <w:p w:rsidR="00BE7FB3" w:rsidRDefault="00BE7FB3" w:rsidP="00BE7FB3">
      <w:pPr>
        <w:pStyle w:val="TextoNormal"/>
      </w:pPr>
      <w:r>
        <w:t>Madrid, a doce de marzo de dos mil trece.</w:t>
      </w:r>
    </w:p>
    <w:p w:rsidR="00BE7FB3" w:rsidRDefault="00BE7FB3">
      <w:pPr>
        <w:spacing w:after="160" w:line="259" w:lineRule="auto"/>
        <w:rPr>
          <w:rFonts w:ascii="Times New Roman" w:eastAsia="Times New Roman" w:hAnsi="Times New Roman" w:cs="Times New Roman"/>
          <w:sz w:val="24"/>
          <w:szCs w:val="24"/>
          <w:lang w:eastAsia="es-ES"/>
        </w:rPr>
      </w:pPr>
      <w:r>
        <w:lastRenderedPageBreak/>
        <w:br w:type="page"/>
      </w:r>
    </w:p>
    <w:p w:rsidR="00BE7FB3" w:rsidRDefault="00BE7FB3" w:rsidP="00BE7FB3">
      <w:pPr>
        <w:pStyle w:val="TtuloResolucin"/>
      </w:pPr>
      <w:bookmarkStart w:id="211" w:name="AUTO_2013_70"/>
      <w:r>
        <w:lastRenderedPageBreak/>
        <w:t>AUTO 70/2013, de 12 de marzo de 2013</w:t>
      </w:r>
    </w:p>
    <w:bookmarkEnd w:id="211"/>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ECLI:ES:TC:2013:70A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el desistimiento en el recurso de amparo 7815-2010, promovido en proceso contencioso-administrativo.</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212" w:name="AUTO_2013_71"/>
      <w:r>
        <w:lastRenderedPageBreak/>
        <w:t>AUTO 71/2013, de 13 de marzo de 2013</w:t>
      </w:r>
    </w:p>
    <w:bookmarkEnd w:id="212"/>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ECLI:ES:TC:2013:71A</w:t>
      </w:r>
    </w:p>
    <w:p w:rsidR="00BE7FB3" w:rsidRDefault="00BE7FB3" w:rsidP="00BE7FB3">
      <w:pPr>
        <w:pStyle w:val="SntesisDescriptiva"/>
      </w:pPr>
    </w:p>
    <w:p w:rsidR="00BE7FB3" w:rsidRDefault="00BE7FB3" w:rsidP="00BE7FB3">
      <w:pPr>
        <w:pStyle w:val="SntesisDescriptiva"/>
      </w:pPr>
      <w:r>
        <w:t>Excms. Srs. don Pascual Sala Sánchez, doña Adela Asua Batarrita y don Juan José González Rivas.</w:t>
      </w:r>
    </w:p>
    <w:p w:rsidR="00BE7FB3" w:rsidRDefault="00BE7FB3" w:rsidP="00BE7FB3">
      <w:pPr>
        <w:pStyle w:val="SntesisDescriptiva"/>
      </w:pPr>
    </w:p>
    <w:p w:rsidR="00BE7FB3" w:rsidRDefault="00BE7FB3" w:rsidP="00BE7FB3">
      <w:pPr>
        <w:pStyle w:val="SntesisDescriptiva"/>
      </w:pPr>
      <w:r>
        <w:t>Acuerda el desistimiento en el recurso de amparo 3333-2012, promovido en pleito civil.</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213" w:name="AUTO_2013_72"/>
      <w:r>
        <w:lastRenderedPageBreak/>
        <w:t>AUTO 72/2013, de 13 de marzo de 2013</w:t>
      </w:r>
    </w:p>
    <w:bookmarkEnd w:id="213"/>
    <w:p w:rsidR="00BE7FB3" w:rsidRDefault="00BE7FB3" w:rsidP="00BE7FB3">
      <w:pPr>
        <w:pStyle w:val="TtuloResolucin"/>
      </w:pPr>
      <w:r>
        <w:t>Sección Segunda</w:t>
      </w:r>
    </w:p>
    <w:p w:rsidR="00BE7FB3" w:rsidRDefault="00BE7FB3" w:rsidP="00BE7FB3">
      <w:pPr>
        <w:pStyle w:val="TtuloResolucin"/>
      </w:pPr>
    </w:p>
    <w:p w:rsidR="00BE7FB3" w:rsidRDefault="00BE7FB3" w:rsidP="00BE7FB3">
      <w:pPr>
        <w:pStyle w:val="SntesisDescriptiva"/>
      </w:pPr>
      <w:r>
        <w:t>ECLI:ES:TC:2013:72A</w:t>
      </w:r>
    </w:p>
    <w:p w:rsidR="00BE7FB3" w:rsidRDefault="00BE7FB3" w:rsidP="00BE7FB3">
      <w:pPr>
        <w:pStyle w:val="SntesisDescriptiva"/>
      </w:pPr>
    </w:p>
    <w:p w:rsidR="00BE7FB3" w:rsidRDefault="00BE7FB3" w:rsidP="00BE7FB3">
      <w:pPr>
        <w:pStyle w:val="SntesisDescriptiva"/>
      </w:pPr>
      <w:r>
        <w:t>Excms. Srs. don Manuel Aragón Reyes, don Andrés Ollero Tassara y don Fernando Valdés Dal-Ré.</w:t>
      </w:r>
    </w:p>
    <w:p w:rsidR="00BE7FB3" w:rsidRDefault="00BE7FB3" w:rsidP="00BE7FB3">
      <w:pPr>
        <w:pStyle w:val="SntesisDescriptiva"/>
      </w:pPr>
    </w:p>
    <w:p w:rsidR="00BE7FB3" w:rsidRDefault="00BE7FB3" w:rsidP="00BE7FB3">
      <w:pPr>
        <w:pStyle w:val="SntesisDescriptiva"/>
      </w:pPr>
      <w:r>
        <w:t>Acuerda el desistimiento en el recurso de amparo 6825-2012, promovido en litigio social.</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214" w:name="AUTO_2013_73"/>
      <w:r>
        <w:lastRenderedPageBreak/>
        <w:t>AUTO 73/2013, de 8 de abril de 2013</w:t>
      </w:r>
    </w:p>
    <w:bookmarkEnd w:id="214"/>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ECLI:ES:TC:2013:73A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extinción, por desaparición sobrevenida de su objeto, de la cuestión de inconstitucionalidad 9020-2007, planteada por el Juzgado de lo Social núm. 2 de Jaén en relación con la disposición adicional séptima del texto refundido de la Ley general de la Seguridad Social.</w:t>
      </w:r>
    </w:p>
    <w:p w:rsidR="00BE7FB3" w:rsidRDefault="00BE7FB3" w:rsidP="00BE7FB3">
      <w:pPr>
        <w:pStyle w:val="SntesisDescriptiva"/>
      </w:pPr>
    </w:p>
    <w:p w:rsidR="00BE7FB3" w:rsidRDefault="00BE7FB3" w:rsidP="00BE7FB3">
      <w:pPr>
        <w:pStyle w:val="SntesisAnaltica"/>
      </w:pPr>
      <w:r>
        <w:t>Cuestión de inconstitucionalidad: extinción de cuestión de inconstitucionalidad;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día 21 de noviembre de 2007 tuvo entrada en el Registro General de este Tribunal escrito del Juzgado de lo Social núm. 2 de Jaén al que se acompañaba, junto con el testimonio de las actuaciones correspondientes al procedimiento de incapacidad 405-2007, el Auto de 16 de noviembre de 2007 por el que se acuerda plantear cuestión de inconstitucionalidad respecto de la disposición adicional séptima, segunda, de la Ley general de la Seguridad Social, texto refundido aprobado por Real Decreto Legislativo 1/1994, de 20 de junio (en adelante, LGSS), por presunta vulneración de los arts. 1, 9.3, 14 y 41 de la Constitución.</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de los que trae causa la cuestión de inconstitucionalidad planteada son, en síntesis, los siguientes:</w:t>
      </w:r>
    </w:p>
    <w:p w:rsidR="00BE7FB3" w:rsidRDefault="00BE7FB3" w:rsidP="00BE7FB3">
      <w:pPr>
        <w:pStyle w:val="TextoNormal"/>
      </w:pPr>
    </w:p>
    <w:p w:rsidR="00BE7FB3" w:rsidRDefault="00BE7FB3" w:rsidP="00BE7FB3">
      <w:pPr>
        <w:pStyle w:val="TextoNormal"/>
      </w:pPr>
      <w:r>
        <w:t>a) Doña María Dolores Martos Cruz interpuso demanda en reclamación de reconocimiento de incapacidad permanente absoluta para todo trabajo, tras la desestimación de su reclamación administrativa previa a la vía laboral interpuesta contra la resolución de 2 de mayo de 2007 de la Dirección Provincial del Instituto Nacional de la Seguridad Social (INSS), que le había reconocido una incapacidad permanente en grado de total para la profesión habitual y, por no reunir el período mínimo de carencia exigido, una prestación con duración máxima de seis meses. Para el cálculo del período cotizado el INSS había tenido en cuenta lo establecido para los trabajadores a tiempo parcial en la disposición adicional séptima LGSS.</w:t>
      </w:r>
    </w:p>
    <w:p w:rsidR="00BE7FB3" w:rsidRDefault="00BE7FB3" w:rsidP="00BE7FB3">
      <w:pPr>
        <w:pStyle w:val="TextoNormal"/>
      </w:pPr>
    </w:p>
    <w:p w:rsidR="00BE7FB3" w:rsidRDefault="00BE7FB3" w:rsidP="00BE7FB3">
      <w:pPr>
        <w:pStyle w:val="TextoNormal"/>
      </w:pPr>
      <w:r>
        <w:t xml:space="preserve">b) Tras la celebración del juicio oral, el Juzgado, por Auto de 23 de octubre de 2007, acordó oír a las partes y al Ministerio Fiscal acerca del eventual planteamiento de la cuestión de inconstitucionalidad respecto de la disposición adicional séptima, segunda, LGSS, en </w:t>
      </w:r>
      <w:r>
        <w:lastRenderedPageBreak/>
        <w:t>relación con su compatibilidad con los arts. 1, 9.3, 14 y 41 CE. El trámite fue sustanciado conforme a lo dispuesto en el art. 35.1 de la Ley Orgánica del Tribunal Constitucional (LOTC), dictando finalmente el órgano judicial Auto de planteamiento de la cuestión el día 16 de noviembre de 2007.</w:t>
      </w:r>
    </w:p>
    <w:p w:rsidR="00BE7FB3" w:rsidRDefault="00BE7FB3" w:rsidP="00BE7FB3">
      <w:pPr>
        <w:pStyle w:val="TextoNormal"/>
      </w:pPr>
    </w:p>
    <w:p w:rsidR="00BE7FB3" w:rsidRDefault="00BE7FB3" w:rsidP="00BE7FB3">
      <w:pPr>
        <w:pStyle w:val="TextoNormal"/>
      </w:pPr>
      <w:r w:rsidRPr="00BE7FB3">
        <w:rPr>
          <w:rStyle w:val="NumeroAFNegritaCaracter"/>
        </w:rPr>
        <w:t>3</w:t>
      </w:r>
      <w:r>
        <w:t>. El Auto de 16 de noviembre de 2007 cuestiona la constitucionalidad de los preceptos reguladores del cálculo de los días computables como cotizados por los trabajadores a tiempo parcial a los efectos de la determinación del cumplimiento del período de carencia necesario para causar derecho a las prestaciones económicas de la Seguridad Social, en virtud de los cuales se procede a dividir el número de horas trabajadas entre cinco, para obtener así un número de días teóricos de cotización que se multiplica posteriormente por un coeficiente corrector de 1,5. Se establece con ello, señala el órgano judicial, un sistema de “proporcionalidad atenuada”, frente a la regla de “proporcionalidad estricta” anteriormente vigente que fue declarada inconstitucional por la STC 253/2004.</w:t>
      </w:r>
    </w:p>
    <w:p w:rsidR="00BE7FB3" w:rsidRDefault="00BE7FB3" w:rsidP="00BE7FB3">
      <w:pPr>
        <w:pStyle w:val="TextoNormal"/>
      </w:pPr>
    </w:p>
    <w:p w:rsidR="00BE7FB3" w:rsidRDefault="00BE7FB3" w:rsidP="00BE7FB3">
      <w:pPr>
        <w:pStyle w:val="TextoNormal"/>
      </w:pPr>
      <w:r>
        <w:t>Considera el órgano judicial, tras analizar las alegaciones del Letrado de la Administración de la Seguridad Social y del Ministerio Fiscal, que, resultando lógico que el importe de las prestaciones de los trabajadores a tiempo parcial sea menor que el de los trabajadores a tiempo completo, por el menor esfuerzo contributivo de los primeros, resulta, sin embargo, injusto y desigual el diferente cómputo del período cotizado por unos y otros, sin que la atenuación del criterio de proporcionalidad introducida en la regla cuestionada elimine la discriminación, pues sigue manteniendo un sistema desproporcionado y dificultando injustificadamente el acceso de los trabajadores a tiempo parcial a la protección social. Señala, además, que el Tribunal Constitucional ha admitido ya a trámite otras dos cuestiones de inconstitucionalidad —núms. 9157-2006 y 763-2007— con idéntico objeto que la que ahora se plantea.</w:t>
      </w:r>
    </w:p>
    <w:p w:rsidR="00BE7FB3" w:rsidRDefault="00BE7FB3" w:rsidP="00BE7FB3">
      <w:pPr>
        <w:pStyle w:val="TextoNormal"/>
      </w:pPr>
    </w:p>
    <w:p w:rsidR="00BE7FB3" w:rsidRDefault="00BE7FB3" w:rsidP="00BE7FB3">
      <w:pPr>
        <w:pStyle w:val="TextoNormal"/>
      </w:pPr>
      <w:r>
        <w:t>Finalmente, y tras descartar que el precepto cuestionado suponga una discriminación indirecta por razón de sexo, formula el Juzgado el juicio de aplicabilidad y relevancia, señalando que la aplicación del sistema de proporcionalidad atenuada es determinante para el cómputo del período de cotización de la parte actora, puesto que la causa de denegación de la incapacidad permanente solicitada es la falta del período de carencia exigible.</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providencia de 12 de diciembre de 2007 el Pleno, a propuesta de la Sección Cuarta del Tribunal Constitucional, acordó admitir a trámite la cuestión de inconstitucionalidad, y, de conformidad con el art. 10.1 c) LOTC, deferir a la Sala Segunda, a la que por turno objetivo le ha correspondido, el conocimiento de la presente cuestión, y dar traslado de las actuaciones, conforme dispone el art. 37.3 LOTC, al Congreso de los Diputados, al Senado, al Gobierno y al Ministerio Fiscal, al objeto de que, en plazo de quince días, pudieran personarse en el proceso y formular alegaciones. También se acordó publicar la incoación de la cuestión en el “Boletín Oficial del Estado”, lo que se llevó a efecto en el “BOE” núm. 313, de 31 de diciembre de 2007.</w:t>
      </w:r>
    </w:p>
    <w:p w:rsidR="00BE7FB3" w:rsidRDefault="00BE7FB3" w:rsidP="00BE7FB3">
      <w:pPr>
        <w:pStyle w:val="TextoNormal"/>
      </w:pPr>
    </w:p>
    <w:p w:rsidR="00BE7FB3" w:rsidRDefault="00BE7FB3" w:rsidP="00BE7FB3">
      <w:pPr>
        <w:pStyle w:val="TextoNormal"/>
      </w:pPr>
      <w:r w:rsidRPr="00BE7FB3">
        <w:rPr>
          <w:rStyle w:val="NumeroAFNegritaCaracter"/>
        </w:rPr>
        <w:t>5</w:t>
      </w:r>
      <w:r>
        <w:t>. El día 11 de enero de 2008 el Presidente del Congreso de los Diputados comunicó que la Cámara se personaba en el proceso, ofreciendo su colaboración. El Presidente del Senado comunicó al Tribunal el día 14 de enero de 2008 que dicha Cámara se personaba en el proceso, ofreciendo su colaboración.</w:t>
      </w:r>
    </w:p>
    <w:p w:rsidR="00BE7FB3" w:rsidRDefault="00BE7FB3" w:rsidP="00BE7FB3">
      <w:pPr>
        <w:pStyle w:val="TextoNormal"/>
      </w:pPr>
    </w:p>
    <w:p w:rsidR="00BE7FB3" w:rsidRDefault="00BE7FB3" w:rsidP="00BE7FB3">
      <w:pPr>
        <w:pStyle w:val="TextoNormal"/>
      </w:pPr>
      <w:r w:rsidRPr="00BE7FB3">
        <w:rPr>
          <w:rStyle w:val="NumeroAFNegritaCaracter"/>
        </w:rPr>
        <w:t>6</w:t>
      </w:r>
      <w:r>
        <w:t>. El Abogado del Estado formuló alegaciones mediante escrito registrado el día 21 de diciembre de 2007, solicitando de este Tribunal Sentencia desestimatoria de la cuestión planteada, previa acumulación de la misma a las seguidas bajo los núms. 5862-2003 y 9157-2006.</w:t>
      </w:r>
    </w:p>
    <w:p w:rsidR="00BE7FB3" w:rsidRDefault="00BE7FB3" w:rsidP="00BE7FB3">
      <w:pPr>
        <w:pStyle w:val="TextoNormal"/>
      </w:pPr>
    </w:p>
    <w:p w:rsidR="00BE7FB3" w:rsidRDefault="00BE7FB3" w:rsidP="00BE7FB3">
      <w:pPr>
        <w:pStyle w:val="TextoNormal"/>
      </w:pPr>
      <w:r w:rsidRPr="00BE7FB3">
        <w:rPr>
          <w:rStyle w:val="NumeroAFNegritaCaracter"/>
        </w:rPr>
        <w:t>7</w:t>
      </w:r>
      <w:r>
        <w:t>. Por escrito registrado el día 29 de enero de 2008 el Fiscal General del Estado formuló sus alegaciones, concluyendo que el precepto cuestionado no es contrario a los arts. 1, 9.3, 14 y 41 CE.</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Juzgado de lo Social núm. 2 de Jaén plantea cuestión de inconstitucionalidad en relación con la disposición adicional séptima, segunda, de la Ley general de la Seguridad Social, texto refundido aprobado por Real Decreto Legislativo 1/1994, de 20 de junio, por posible vulneración de los arts. 1, 9.3, 14 y 41 CE.</w:t>
      </w:r>
    </w:p>
    <w:p w:rsidR="00BE7FB3" w:rsidRDefault="00BE7FB3" w:rsidP="00BE7FB3">
      <w:pPr>
        <w:pStyle w:val="TextoNormal"/>
      </w:pPr>
    </w:p>
    <w:p w:rsidR="00BE7FB3" w:rsidRDefault="00BE7FB3" w:rsidP="00BE7FB3">
      <w:pPr>
        <w:pStyle w:val="TextoNormal"/>
      </w:pPr>
      <w:r>
        <w:t>En la STC 61/2013, de 14 de marzo, resolutoria de la cuestión de inconstitucionalidad núm. 5862-2003 y dictada con posterioridad a la admisión a trámite de la presente cuestión, este Tribunal ha declarado inconstitucional y nula la regla ahora cuestionada, por vulneración del art. 14 CE, resolución ésta que, a partir del día siguiente al de su publicación en el “Boletín Oficial del Estado”, tiene el valor de cosa juzgada y plenos efectos frente a todos (art. 164.1 de la Constitución y art. 38.1 de la Ley Orgánica del Tribunal Constitucional). Se sigue de ello que el precepto cuestionado ha sido ya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la extinción de la cuestión de inconstitucionalidad núm. 9020-2007, por desaparición sobrevenida de su objeto.</w:t>
      </w:r>
    </w:p>
    <w:p w:rsidR="00BE7FB3" w:rsidRDefault="00BE7FB3" w:rsidP="00BE7FB3">
      <w:pPr>
        <w:pStyle w:val="TextoNormal"/>
      </w:pPr>
    </w:p>
    <w:p w:rsidR="00BE7FB3" w:rsidRDefault="00BE7FB3" w:rsidP="00BE7FB3">
      <w:pPr>
        <w:pStyle w:val="TextoNormal"/>
      </w:pPr>
      <w:r>
        <w:t>Madrid, a ocho de abril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15" w:name="AUTO_2013_74"/>
      <w:r>
        <w:lastRenderedPageBreak/>
        <w:t>AUTO 74/2013, de 8 de abril de 2013</w:t>
      </w:r>
    </w:p>
    <w:bookmarkEnd w:id="215"/>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ECLI:ES:TC:2013:74A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suspensión en el recurso de amparo 3652-2012, promovido por doña María Loreto Sabaté Grau en procedimiento sobre ejecución de títulos no judiciales.</w:t>
      </w:r>
    </w:p>
    <w:p w:rsidR="00BE7FB3" w:rsidRDefault="00BE7FB3" w:rsidP="00BE7FB3">
      <w:pPr>
        <w:pStyle w:val="SntesisDescriptiva"/>
      </w:pPr>
    </w:p>
    <w:p w:rsidR="00BE7FB3" w:rsidRDefault="00BE7FB3" w:rsidP="00BE7FB3">
      <w:pPr>
        <w:pStyle w:val="SntesisAnaltica"/>
      </w:pPr>
      <w:r>
        <w:t>Suspensión cautelar de resoluciones civiles: subasta de bienes embargados, suspende. Suspensión de la ejecución del acto que origina el amparo: suspensión cautelar de resoluciones judiciales, suspende.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este Tribunal el 15 de junio de 2012, por doña Cristina González Alonso, Procuradora de los Tribunales, en nombre y representación de doña María Loreto Sabaté Grau, interpuso recurso de amparo contra el Auto del Juzgado de Primera Instancia e Instrucción núm. 3 de Mislata (Valencia), de 30 de abril de 2012, que desestimó el incidente de nulidad de actuaciones promovido contra diligencia de ordenación de fecha 14 de octubre de 2011, por la que se convocó a las partes a la subasta pública de una plaza de garaje propiedad de la recurrente, trabada en el procedimiento sobre ejecución de títulos no judiciales núm. 829-2007.</w:t>
      </w:r>
    </w:p>
    <w:p w:rsidR="00BE7FB3" w:rsidRDefault="00BE7FB3" w:rsidP="00BE7FB3">
      <w:pPr>
        <w:pStyle w:val="TextoNormal"/>
      </w:pPr>
    </w:p>
    <w:p w:rsidR="00BE7FB3" w:rsidRDefault="00BE7FB3" w:rsidP="00BE7FB3">
      <w:pPr>
        <w:pStyle w:val="TextoNormal"/>
      </w:pPr>
      <w:r w:rsidRPr="00BE7FB3">
        <w:rPr>
          <w:rStyle w:val="NumeroAFNegritaCaracter"/>
        </w:rPr>
        <w:t>2</w:t>
      </w:r>
      <w:r>
        <w:t>. En lo que ahora interesa, los hechos relevantes para la resolución del presente incidente son resumidamente los siguientes:</w:t>
      </w:r>
    </w:p>
    <w:p w:rsidR="00BE7FB3" w:rsidRDefault="00BE7FB3" w:rsidP="00BE7FB3">
      <w:pPr>
        <w:pStyle w:val="TextoNormal"/>
      </w:pPr>
    </w:p>
    <w:p w:rsidR="00BE7FB3" w:rsidRDefault="00BE7FB3" w:rsidP="00BE7FB3">
      <w:pPr>
        <w:pStyle w:val="TextoNormal"/>
      </w:pPr>
      <w:r>
        <w:t>a) Con fundamento en una póliza de crédito, una póliza de contratos de arrendamientos financieros y garantías de operaciones mercantiles y dos pólizas de contratos de arrendamiento financiero impagadas, el Juzgado de Primera Instancia e Instrucción núm. 3 de Mislata (Valencia) inició, a instancia de la entidad Banco Pastor, S.A., procedimiento de ejecución de títulos no judiciales núm. 829-2007 contra la sociedad mercantil Arsacivil, S.A., y sus fiadores solidarios, entre los que figuraba la ahora demandante de amparo.</w:t>
      </w:r>
    </w:p>
    <w:p w:rsidR="00BE7FB3" w:rsidRDefault="00BE7FB3" w:rsidP="00BE7FB3">
      <w:pPr>
        <w:pStyle w:val="TextoNormal"/>
      </w:pPr>
    </w:p>
    <w:p w:rsidR="00BE7FB3" w:rsidRDefault="00BE7FB3" w:rsidP="00BE7FB3">
      <w:pPr>
        <w:pStyle w:val="TextoNormal"/>
      </w:pPr>
      <w:r>
        <w:t xml:space="preserve">b) El Juzgado notificó en el domicilio señalado en las mencionadas pólizas, con resultado negativo, la diligencia de ordenación de 4 de octubre de 2011, por la que se convocaba a las partes al acto de subasta pública de una plaza de garaje propiedad de la recurrente, trabada en el citado procedimiento. En la citada diligencia se hace constar que, “caso de no ser hallados los demandados en el domicilio señalado a efecto de notificaciones en las pólizas, </w:t>
      </w:r>
      <w:r>
        <w:lastRenderedPageBreak/>
        <w:t>se tendrá por notificada a los ejecutados la presente resolución, con la publicación del edicto cuya expedición se acuerda”.</w:t>
      </w:r>
    </w:p>
    <w:p w:rsidR="00BE7FB3" w:rsidRDefault="00BE7FB3" w:rsidP="00BE7FB3">
      <w:pPr>
        <w:pStyle w:val="TextoNormal"/>
      </w:pPr>
    </w:p>
    <w:p w:rsidR="00BE7FB3" w:rsidRDefault="00BE7FB3" w:rsidP="00BE7FB3">
      <w:pPr>
        <w:pStyle w:val="TextoNormal"/>
      </w:pPr>
      <w:r>
        <w:t>c) La subasta judicial se celebró en la fecha anunciada y, ante la falta de licitadores, el Juzgado acordó por decreto de 30 de diciembre de 2011 adjudicar la citada plaza de garaje al Banco ejecutante.</w:t>
      </w:r>
    </w:p>
    <w:p w:rsidR="00BE7FB3" w:rsidRDefault="00BE7FB3" w:rsidP="00BE7FB3">
      <w:pPr>
        <w:pStyle w:val="TextoNormal"/>
      </w:pPr>
    </w:p>
    <w:p w:rsidR="00BE7FB3" w:rsidRDefault="00BE7FB3" w:rsidP="00BE7FB3">
      <w:pPr>
        <w:pStyle w:val="TextoNormal"/>
      </w:pPr>
      <w:r>
        <w:t>d) Habiendo tenido conocimiento extrajudicial de la subasta celebrada y de su resultado, la demandante de amparo se personó en el procedimiento y promovió incidente de nulidad de actuaciones, que fue desestimado por el Auto impugnado de fecha 30 de abril de 2012.</w:t>
      </w:r>
    </w:p>
    <w:p w:rsidR="00BE7FB3" w:rsidRDefault="00BE7FB3" w:rsidP="00BE7FB3">
      <w:pPr>
        <w:pStyle w:val="TextoNormal"/>
      </w:pPr>
    </w:p>
    <w:p w:rsidR="00BE7FB3" w:rsidRDefault="00BE7FB3" w:rsidP="00BE7FB3">
      <w:pPr>
        <w:pStyle w:val="TextoNormal"/>
      </w:pPr>
      <w:r w:rsidRPr="00BE7FB3">
        <w:rPr>
          <w:rStyle w:val="NumeroAFNegritaCaracter"/>
        </w:rPr>
        <w:t>3</w:t>
      </w:r>
      <w:r>
        <w:t>. En la demanda de amparo la recurrente, como ya hiciera antes en el previo incidente de nulidad de actuaciones, denuncia la vulneración de su derecho a obtener la tutela judicial efectiva sin indefensión (art. 24.1 CE), al haber procedido el Juzgado a notificar la diligencia de ordenación de 4 de octubre de 2011 en domicilio distinto del real y del utilizado, de hecho, por el propio órgano judicial para dirigirse a la recurrente en otras ocasiones dentro del mismo procedimiento de ejecución, y haberlo hecho además con infracción asimismo de lo ordenado en materia de notificaciones en los arts. 155 y siguientes de la Ley de enjuiciamiento civil.</w:t>
      </w:r>
    </w:p>
    <w:p w:rsidR="00BE7FB3" w:rsidRDefault="00BE7FB3" w:rsidP="00BE7FB3">
      <w:pPr>
        <w:pStyle w:val="TextoNormal"/>
      </w:pPr>
    </w:p>
    <w:p w:rsidR="00BE7FB3" w:rsidRDefault="00BE7FB3" w:rsidP="00BE7FB3">
      <w:pPr>
        <w:pStyle w:val="TextoNormal"/>
      </w:pPr>
      <w:r>
        <w:t>Mediante otrosí y al amparo de lo dispuesto en el art. 56 de la Ley Orgánica del Tribunal Constitucional (LOTC) la recurrente solicitó la suspensión cautelar de la adjudicación del bien inmueble subastado en su día, impidiendo cualquier acto de disposición sobre el mismo, a fin de evitar daños y perjuicios de imposible o muy difícil reparación.</w:t>
      </w:r>
    </w:p>
    <w:p w:rsidR="00BE7FB3" w:rsidRDefault="00BE7FB3" w:rsidP="00BE7FB3">
      <w:pPr>
        <w:pStyle w:val="TextoNormal"/>
      </w:pPr>
    </w:p>
    <w:p w:rsidR="00BE7FB3" w:rsidRDefault="00BE7FB3" w:rsidP="00BE7FB3">
      <w:pPr>
        <w:pStyle w:val="TextoNormal"/>
      </w:pPr>
      <w:r w:rsidRPr="00BE7FB3">
        <w:rPr>
          <w:rStyle w:val="NumeroAFNegritaCaracter"/>
        </w:rPr>
        <w:t>4</w:t>
      </w:r>
      <w:r>
        <w:t>. Por providencia de 11 de marzo de 2013 la Sala Primera de este Tribunal acordó admitir a trámite la demanda y, por nueva providencia del mismo día, formar la presente pieza separada de suspensión y conceder, de conformidad con lo dispuesto en el art. 56 LOTC, plazo común de tres días al Ministerio Fiscal y a la demandante de amparo para que alegaran lo que estimaran pertinente en relación con la suspensión interesada.</w:t>
      </w:r>
    </w:p>
    <w:p w:rsidR="00BE7FB3" w:rsidRDefault="00BE7FB3" w:rsidP="00BE7FB3">
      <w:pPr>
        <w:pStyle w:val="TextoNormal"/>
      </w:pPr>
    </w:p>
    <w:p w:rsidR="00BE7FB3" w:rsidRDefault="00BE7FB3" w:rsidP="00BE7FB3">
      <w:pPr>
        <w:pStyle w:val="TextoNormal"/>
      </w:pPr>
      <w:r w:rsidRPr="00BE7FB3">
        <w:rPr>
          <w:rStyle w:val="NumeroAFNegritaCaracter"/>
        </w:rPr>
        <w:t>5</w:t>
      </w:r>
      <w:r>
        <w:t>. El 15 de marzo de 2013 la recurrente presentó sus alegaciones, renovando su petición de suspensión que justifica en la doctrina de este Tribunal de la que se hace eco, añadiendo ahora que la suspensión no ha de producir además ninguna perturbación grave para los intereses generales o los derechos fundamentales o libertades públicas de un tercero.</w:t>
      </w:r>
    </w:p>
    <w:p w:rsidR="00BE7FB3" w:rsidRDefault="00BE7FB3" w:rsidP="00BE7FB3">
      <w:pPr>
        <w:pStyle w:val="TextoNormal"/>
      </w:pPr>
    </w:p>
    <w:p w:rsidR="00BE7FB3" w:rsidRDefault="00BE7FB3" w:rsidP="00BE7FB3">
      <w:pPr>
        <w:pStyle w:val="TextoNormal"/>
      </w:pPr>
      <w:r w:rsidRPr="00BE7FB3">
        <w:rPr>
          <w:rStyle w:val="NumeroAFNegritaCaracter"/>
        </w:rPr>
        <w:t>6</w:t>
      </w:r>
      <w:r>
        <w:t>. El Ministerio Fiscal, mediante escrito registrado el siguiente día 22 de marzo de 2013, interesó el otorgamiento de la suspensión solicitada con fundamento en el criterio, muchas veces subrayado por la jurisprudencia constitucional, que rige en materia de suspensión de la ejecución de resoluciones judiciales que, como es el caso, producen o arriesgan la transmisión del dominio de bienes inmuebles a favor de terceros de buena fe.</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xml:space="preserve">. Conforme se ha expuesto en los antecedentes de esta resolución, en el presente caso la demandante de amparo ha denunciado la indefensión que ha sufrido al no haberle sido </w:t>
      </w:r>
      <w:r>
        <w:lastRenderedPageBreak/>
        <w:t>notificada correctamente por el órgano judicial la celebración de la subasta de una plaza de garaje de su propiedad, que concluyó con su adjudicación. Por este motivo ha solicitado la suspensión cautelar de las resoluciones judiciales impugnadas y la retroacción de las actuaciones al momento anterior al de la convocatoria de la subasta, pues, según ha razonado, de no acordarse la suspensión de su ejecución podrían producirse actos de disposición sobre el citado bien inmueble y consolidarse una situación difícilmente reversible. Por estas mismas razones, el Ministerio Fiscal ha interesado igualmente la concesión de la suspensión solicitada.</w:t>
      </w:r>
    </w:p>
    <w:p w:rsidR="00BE7FB3" w:rsidRDefault="00BE7FB3" w:rsidP="00BE7FB3">
      <w:pPr>
        <w:pStyle w:val="TextoNormal"/>
      </w:pPr>
    </w:p>
    <w:p w:rsidR="00BE7FB3" w:rsidRDefault="00BE7FB3" w:rsidP="00BE7FB3">
      <w:pPr>
        <w:pStyle w:val="TextoNormal"/>
      </w:pPr>
      <w:r w:rsidRPr="00BE7FB3">
        <w:rPr>
          <w:rStyle w:val="NumeroAFNegritaCaracter"/>
        </w:rPr>
        <w:t>2</w:t>
      </w:r>
      <w:r>
        <w:t>. En una consolidada doctrina constitucional de la que son buena muestra entre otros muchos los AATC 220/2008, de 14 de julio, FJ 2; y 64/2009, de 23 de febrero, FJ 2, citados por el Ministerio Fiscal, o el mucho más reciente, ATC 56/2013, de 13 de febrero, FJ 2, este Tribunal ha admitido, en efecto,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BE7FB3" w:rsidRDefault="00BE7FB3" w:rsidP="00BE7FB3">
      <w:pPr>
        <w:pStyle w:val="TextoNormal"/>
      </w:pPr>
    </w:p>
    <w:p w:rsidR="00BE7FB3" w:rsidRDefault="00BE7FB3" w:rsidP="00BE7FB3">
      <w:pPr>
        <w:pStyle w:val="TextoNormal"/>
      </w:pPr>
      <w:r w:rsidRPr="00BE7FB3">
        <w:rPr>
          <w:rStyle w:val="NumeroAFNegritaCaracter"/>
        </w:rPr>
        <w:t>3</w:t>
      </w:r>
      <w:r>
        <w:t>. Con arreglo a esta doctrina constitucional y teniendo en cuenta las circunstancias que antes se han recordado, y sin prejuzgar la decisión de fondo del recurso, procede acordar la suspensión solicitada, puesto que en otro caso se podría materializar la transmisión del dominio del bien inmueble considerado por parte del adjudicatario del mismo y crearse, en consecuencia, una situación difícilmente reversible que haría perder la finalidad al presente recurso de amparo. Por lo demás, no se advierte en este momento procesal, atendidas las particulares circunstancias del presente caso, que la suspensión de la ejecución pueda entrañar una perturbación grave a un interés constitucionalmente protegido o a los derechos fundamentales o libertades públicas de un tercero.</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Otorgar la suspensión del decreto de adjudicación de 30 de diciembre de 2011 dictado por el Juzgado de Primera Instancia e Instrucción núm. 3 de Mislata (Valencia) en el procedimiento de ejecución de títulos no judiciales núm. 829-2007.</w:t>
      </w:r>
    </w:p>
    <w:p w:rsidR="00BE7FB3" w:rsidRDefault="00BE7FB3" w:rsidP="00BE7FB3">
      <w:pPr>
        <w:pStyle w:val="TextoNormal"/>
      </w:pPr>
    </w:p>
    <w:p w:rsidR="00BE7FB3" w:rsidRDefault="00BE7FB3" w:rsidP="00BE7FB3">
      <w:pPr>
        <w:pStyle w:val="TextoNormal"/>
      </w:pPr>
      <w:r>
        <w:t>Madrid, a ocho de abril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16" w:name="AUTO_2013_75"/>
      <w:r>
        <w:lastRenderedPageBreak/>
        <w:t>AUTO 75/2013, de 8 de abril de 2013</w:t>
      </w:r>
    </w:p>
    <w:bookmarkEnd w:id="216"/>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ECLI:ES:TC:2013:75A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suspensión parcial en el recurso de amparo 5652-2012, promovido por don José Antonio Montserrat Sánchez en causa penal.</w:t>
      </w:r>
    </w:p>
    <w:p w:rsidR="00BE7FB3" w:rsidRDefault="00BE7FB3" w:rsidP="00BE7FB3">
      <w:pPr>
        <w:pStyle w:val="SntesisDescriptiva"/>
      </w:pPr>
    </w:p>
    <w:p w:rsidR="00BE7FB3" w:rsidRDefault="00BE7FB3" w:rsidP="00BE7FB3">
      <w:pPr>
        <w:pStyle w:val="SntesisAnaltica"/>
      </w:pPr>
      <w:r>
        <w:t>Suspensión cautelar de Sentencias penales: indemnización e inhabilitación especial para el ejercicio de la patria potestad, no suspende; prisión de tres años, suspende. Suspensión de la ejecución del acto que origina el amparo: suspensión cautelar de Sentencias penales, suspende parcialmente.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día 8 de octubre de 2012 tuvo entrada en el Registro General de este Tribunal escrito firmado por el Procurador de los Tribunales don Manuel Ortiz de Apodaca García, en representación de don José Antonio Montserrat Sánchez, por el que se promovía recurso de amparo contra la Sentencia de la Sección Primera de la Audiencia Provincial de Jaén, de 17 de julio de 2012, desestimatoria del recurso de apelación deducido contra la dictada el 26 de abril de 2012 por el Juzgado de lo Penal núm. 2 de la misma localidad. En ella se condenó al demandante de amparo como autor de un delito de sustracción de menores del art. 225 bis.1 y 3 del Código penal, a la pena de tres años de prisión, inhabilitación especial para ejercer el derecho de sufragio pasivo durante la condena, e inhabilitación especial para ejercer el derecho a la patria potestad por periodo de siete años, así como al pago de las costas procesales y a indemnizar en 600.000 a doña María Ángeles Bautista Jurado con los correspondientes intereses legales.</w:t>
      </w:r>
    </w:p>
    <w:p w:rsidR="00BE7FB3" w:rsidRDefault="00BE7FB3" w:rsidP="00BE7FB3">
      <w:pPr>
        <w:pStyle w:val="TextoNormal"/>
      </w:pPr>
    </w:p>
    <w:p w:rsidR="00BE7FB3" w:rsidRDefault="00BE7FB3" w:rsidP="00BE7FB3">
      <w:pPr>
        <w:pStyle w:val="TextoNormal"/>
      </w:pPr>
      <w:r w:rsidRPr="00BE7FB3">
        <w:rPr>
          <w:rStyle w:val="NumeroAFNegritaCaracter"/>
        </w:rPr>
        <w:t>2</w:t>
      </w:r>
      <w:r>
        <w:t>. En la demanda de amparo se aduce vulneración del derecho a la legalidad penal (art. 25.1 CE) por cuanto, en su opinión, se ha aplicado retroactivamente el tipo penal a hechos ocurridos con anterioridad a su vigencia, no se ha tenido en cuenta la ineficacia de la notificación edictal de la Sentencia que se dice incumplida ni se ha tomado en consideración el error de prohibición en el que incurrió a causa de no conocer el régimen de guarda y custodia que se había establecido.</w:t>
      </w:r>
    </w:p>
    <w:p w:rsidR="00BE7FB3" w:rsidRDefault="00BE7FB3" w:rsidP="00BE7FB3">
      <w:pPr>
        <w:pStyle w:val="TextoNormal"/>
      </w:pPr>
    </w:p>
    <w:p w:rsidR="00BE7FB3" w:rsidRDefault="00BE7FB3" w:rsidP="00BE7FB3">
      <w:pPr>
        <w:pStyle w:val="TextoNormal"/>
      </w:pPr>
      <w:r>
        <w:t xml:space="preserve">Por otrosí se solicita de este Tribunal que acuerde la suspensión de la pena privativa de libertad dado que de ingresar en prisión el amparo solicitado carecería de finalidad, sin que, por lo demás la suspensión del cumplimiento de la condena de pena privativa de libertad </w:t>
      </w:r>
      <w:r>
        <w:lastRenderedPageBreak/>
        <w:t>cause perturbación de interés público ni perjuicio a tercero. Termina solicitando que, al amparo del art. 56.6 de la Ley Orgánica del Tribunal Constitucional, se acuerde con urgencia la suspensión solicitada.</w:t>
      </w:r>
    </w:p>
    <w:p w:rsidR="00BE7FB3" w:rsidRDefault="00BE7FB3" w:rsidP="00BE7FB3">
      <w:pPr>
        <w:pStyle w:val="TextoNormal"/>
      </w:pPr>
    </w:p>
    <w:p w:rsidR="00BE7FB3" w:rsidRDefault="00BE7FB3" w:rsidP="00BE7FB3">
      <w:pPr>
        <w:pStyle w:val="TextoNormal"/>
      </w:pPr>
      <w:r w:rsidRPr="00BE7FB3">
        <w:rPr>
          <w:rStyle w:val="NumeroAFNegritaCaracter"/>
        </w:rPr>
        <w:t>3</w:t>
      </w:r>
      <w:r>
        <w:t>. Por providencia de 28 de febrero de 2013, la Sala Segunda acordó admitir a trámite la demanda de amparo. En providencia de la misma fecha acordó abrir pieza separada para la tramitación del incidente de suspensión y dar traslado por tres días al demandante de amparo y al Ministerio Fiscal para que alegasen lo que estimasen conveniente en relación con la suspensión solicitada.</w:t>
      </w:r>
    </w:p>
    <w:p w:rsidR="00BE7FB3" w:rsidRDefault="00BE7FB3" w:rsidP="00BE7FB3">
      <w:pPr>
        <w:pStyle w:val="TextoNormal"/>
      </w:pPr>
    </w:p>
    <w:p w:rsidR="00BE7FB3" w:rsidRDefault="00BE7FB3" w:rsidP="00BE7FB3">
      <w:pPr>
        <w:pStyle w:val="TextoNormal"/>
      </w:pPr>
      <w:r w:rsidRPr="00BE7FB3">
        <w:rPr>
          <w:rStyle w:val="NumeroAFNegritaCaracter"/>
        </w:rPr>
        <w:t>4</w:t>
      </w:r>
      <w:r>
        <w:t>. El demandante de ampro formuló alegaciones mediante escrito presentado el 11 de marzo de 2013, interesando la suspensión de la condena privativa de libertad atendida la inminente entrada en prisión a tenor del Auto que así lo acuerda y que aporta junto con su escrito. Igualmente interesa la suspensión de la pena de privación del derecho a la patria potestad. Aduce, que el menor ha expresado constantemente que prefiere estar con su padre debido a la conducta reprochable de la madre, quien ha dado lugar a la apertura de distintos procesos judiciales, llegando a permanecer el menor en compañía de sus abuelos paternos con habitualidad. Finalmente solicita también la suspensión del pronunciamiento sobre responsabilidad civil, pues para su ejecución se ha acordado el embargo de la pensión por discapacidad de la que es beneficiario, la cual destinaba precisamente a la atención del menor ante la falta de colaboración económica de la madre.</w:t>
      </w:r>
    </w:p>
    <w:p w:rsidR="00BE7FB3" w:rsidRDefault="00BE7FB3" w:rsidP="00BE7FB3">
      <w:pPr>
        <w:pStyle w:val="TextoNormal"/>
      </w:pPr>
    </w:p>
    <w:p w:rsidR="00BE7FB3" w:rsidRDefault="00BE7FB3" w:rsidP="00BE7FB3">
      <w:pPr>
        <w:pStyle w:val="TextoNormal"/>
      </w:pPr>
      <w:r>
        <w:t>El Ministerio Fiscal, mediante escrito presentado el 15 de marzo de 2013, interesó la suspensión de la pena privativa de libertad y de su accesoria de inhabilitación para el derecho de sufragio pasivo. Razona a tal efecto que la duración de la pena y el tiempo que ordinariamente se emplea en la tramitación de un recurso de amparo, podría desembocar en que una eventual estimación de la demanda careciera de efectos o se mermarían estos sustancialmente.</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xml:space="preserve">. El ATC 8/2011, de 14 de febrero, contiene la interpretación que este Tribunal ha realizado del art. 56.1 de la Ley Orgánica del Tribunal Constitucional, en la redacción dada por la Ley Orgánica 6/2007, de 24 de mayo, que afirma “que procederá, en principio, acordar la suspensión de resoluciones judiciales que afectan a bienes o derechos del recurrente de amparo de imposible o muy difícil restitución a su estado anterior, permitiéndose incluso —como novedad— la adopción de cautelas para evitar la frustración de la finalidad del recurso aún antes de haber sido este admitido a trámite” (ATC 130/2010, de 4 de octubre, FJ 1). El criterio de suspensión expuesto concurre en la ejecución de fallos judiciales que condenan a penas privativas de libertad, ya que “la libertad constituye un derecho cuya naturaleza convierte el perjuicio irrogado en irreparable, en caso de estimarse el amparo una vez cumplida parcial o totalmente la pena” (por todos ATC 15/2010, de 1 de febrero, FJ 1). Si bien este criterio no es absoluto, ya que en dichos supuestos “deben también ponderarse otras circunstancias relevantes como la gravedad y naturaleza de los hechos enjuiciados y el bien jurídico protegido, su trascendencia social, la duración de la pena impuesta y el tiempo que reste de cumplimiento de la misma, el riesgo de eludir la acción de la Justicia y </w:t>
      </w:r>
      <w:r>
        <w:lastRenderedPageBreak/>
        <w:t>la posible desprotección de las víctimas” (ATC 22/2009, de 26 de enero, FJ 2); “significativamente destaca la duración y gravedad de la pena impuesta, porque, en ella se expresa la reprobación que el ordenamiento asigna al hecho delictivo y, por consiguiente, la magnitud del interés general en su ejecución” (por todos, ATC 109/2008, de 14 de abril, FJ 2).</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En el presente caso, de acuerdo con las tesis del Ministerio Fiscal, concurren los requisitos que nuestra doctrina exige para otorgar la suspensión de la Sentencia impugnada en cuanto a la pena privativa de libertad, por cuanto la duración de la pena impuesta —tres años de prisión— permite afirmar que su ejecución puede ocasionar al demandante perjuicios irreparables que harían perder su finalidad al recurso de amparo si se compara la duración de la pena impuesta con el tiempo que requiere la tramitación de un proceso de amparo (AATC 59/2008, de 20 de febrero, FJ 2; y 172/2008, de 23 de junio, FJ 2). Resulta por ello procedente decretar la suspensión cautelar de la pena privativa de libertad impuesta en atención a su corta duración, tratando así de prevenir que la previsible duración de este amparo pudiera conllevar la inefectividad de un eventual pronunciamiento estimatorio de la demanda de amparo. Consiguientemente, conforme a la regla de </w:t>
      </w:r>
      <w:r w:rsidRPr="00BE7FB3">
        <w:rPr>
          <w:i/>
        </w:rPr>
        <w:t>accesorium sequitur principale</w:t>
      </w:r>
      <w:r>
        <w:t>, igual suspensión deberá extenderse a la privación del derecho de sufragio pasivo (art. 44 del Código penal) aneja a la privativa de libertad suspensa.</w:t>
      </w:r>
    </w:p>
    <w:p w:rsidR="00BE7FB3" w:rsidRDefault="00BE7FB3" w:rsidP="00BE7FB3">
      <w:pPr>
        <w:pStyle w:val="TextoNormal"/>
      </w:pPr>
    </w:p>
    <w:p w:rsidR="00BE7FB3" w:rsidRDefault="00BE7FB3" w:rsidP="00BE7FB3">
      <w:pPr>
        <w:pStyle w:val="TextoNormal"/>
      </w:pPr>
      <w:r w:rsidRPr="00BE7FB3">
        <w:rPr>
          <w:rStyle w:val="NumeroAFNegritaCaracter"/>
        </w:rPr>
        <w:t>3</w:t>
      </w:r>
      <w:r>
        <w:t>. A conclusión diferente hemos de llegar en cuanto a la igualmente solicitada suspensión de la pena de inhabilitación para el ejercicio de la patria potestad. Cierto que de concluir el proceso de amparo con una Sentencia estimatoria no habría modo de restituir al demandante en el ejercicio del derecho del que se ve privado. Ahora bien, se encuentran aquí también comprometidos los intereses superiores del menor y los igualmente atendibles de la madre del menor en beneficio de éste, intereses que fueron valorados por el órgano judicial al dictar su Sentencia condenatoria e imponer las penas en el modo en el que lo hizo. La tutela de tales intereses como criterio obstativo a la suspensión ha de prevalecer ahora en relación a esta concreta pena de inhabilitación especial para el ejercicio de la patria potestad, “pues la suspensión se configura como una medida provisional de carácter excepcional y de aplicación restrictiva, dado el interés general en la efectividad de las decisiones de los poderes públicos, y, en particular, en la ejecución de las resoluciones judiciales, amparadas estas últimas como están en la presunción de legalidad y veracidad en el ejercicio de la potestad jurisdiccional que confiere el art. 117.3 de la Constitución” (por todos Auto 27/2011, de 14 de marzo).</w:t>
      </w:r>
    </w:p>
    <w:p w:rsidR="00BE7FB3" w:rsidRDefault="00BE7FB3" w:rsidP="00BE7FB3">
      <w:pPr>
        <w:pStyle w:val="TextoNormal"/>
      </w:pPr>
    </w:p>
    <w:p w:rsidR="00BE7FB3" w:rsidRDefault="00BE7FB3" w:rsidP="00BE7FB3">
      <w:pPr>
        <w:pStyle w:val="TextoNormal"/>
      </w:pPr>
      <w:r>
        <w:t>Por lo demás, no sobra recordar que la denegación de la suspensión del pronunciamiento sobre la privación del ejercicio de la patria potestad no excluye que, de considerarse necesario, los órgano judiciales y administrativos con competencia para ello adopten las decisiones oportunas a fin de salvaguardar el bienestar del menor, razón por la cual la pretendida situación de desamparo en la que, según afirma el demandante, se encontraría el menor no puede constituirse en motivo de la suspensión de una sanción penal impuesta judicialmente precisamente en beneficio de aquel.</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Finalmente tampoco ha de accederse a la suspensión de la ejecución de la Sentencia en su contenido económico, esto es en la obligación de indemnizar en 600.000 €. Dado su contenido patrimonial, los perjuicios anejos a su ejecución son perfectamente reparables en caso de estimarse el amparo, por lo cual, de conformidad con el criterio de este Tribunal, no </w:t>
      </w:r>
      <w:r>
        <w:lastRenderedPageBreak/>
        <w:t>procede acceder a la suspensión respecto de los mismos (por todas ATC 50/2010, de 20 de abril). Tal conclusión no se ve alterada por el hecho de que los ingresos del demandante provengan, según afirma, sustancialmente de una pensión a causa de su discapacidad, pues las especiales características de estos ingresos adquieren relevancia en el seno de la ejecución de la Sentencia.</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1º Conceder la suspensión de la pena privativa de libertad de tres años de prisión y accesoria de privación del derecho de sufragio pasivo durante el tiempo de la condena, impuesta en Sentencia dictada el 26 de abril de 2012 por el Juzgado de lo Penal núm. 2 de Jaén, confirmada en apelación por la dictada por la Sección Primera de la Audiencia Provincial de Jaén, de 17 de julio de 2012.</w:t>
      </w:r>
    </w:p>
    <w:p w:rsidR="00BE7FB3" w:rsidRDefault="00BE7FB3" w:rsidP="00BE7FB3">
      <w:pPr>
        <w:pStyle w:val="TextoNormal"/>
      </w:pPr>
    </w:p>
    <w:p w:rsidR="00BE7FB3" w:rsidRDefault="00BE7FB3" w:rsidP="00BE7FB3">
      <w:pPr>
        <w:pStyle w:val="TextoNormal"/>
      </w:pPr>
      <w:r>
        <w:t>2º Denegar la suspensión solicitada en el resto de pronunciamientos de la misma.</w:t>
      </w:r>
    </w:p>
    <w:p w:rsidR="00BE7FB3" w:rsidRDefault="00BE7FB3" w:rsidP="00BE7FB3">
      <w:pPr>
        <w:pStyle w:val="TextoNormal"/>
      </w:pPr>
    </w:p>
    <w:p w:rsidR="00BE7FB3" w:rsidRDefault="00BE7FB3" w:rsidP="00BE7FB3">
      <w:pPr>
        <w:pStyle w:val="TextoNormal"/>
      </w:pPr>
      <w:r>
        <w:t>Madrid, a ocho de abril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17" w:name="AUTO_2013_76"/>
      <w:r>
        <w:lastRenderedPageBreak/>
        <w:t>AUTO 76/2013, de 9 de abril de 2013</w:t>
      </w:r>
    </w:p>
    <w:bookmarkEnd w:id="217"/>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ECLI:ES:TC:2013:76A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por desaparición sobrevenida de su objeto, de la cuestión de inconstitucionalidad 9157-2006, planteada por el Juzgado de lo Social núm. 1 de Lleida en relación con la disposición adicional séptima del texto refundido de la Ley general de la Seguridad social.</w:t>
      </w:r>
    </w:p>
    <w:p w:rsidR="00BE7FB3" w:rsidRDefault="00BE7FB3" w:rsidP="00BE7FB3">
      <w:pPr>
        <w:pStyle w:val="SntesisDescriptiva"/>
      </w:pPr>
    </w:p>
    <w:p w:rsidR="00BE7FB3" w:rsidRDefault="00BE7FB3" w:rsidP="00BE7FB3">
      <w:pPr>
        <w:pStyle w:val="SntesisAnaltica"/>
      </w:pPr>
      <w:r>
        <w:t>Extinción de cuestión de inconstitucionalidad: ATC 73/2013;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día 4 de octubre de 2006 tuvo entrada en el Registro General de este Tribunal escrito del Juzgado de lo Social núm. 1 de Lleida, al que se acompañaba, junto con el testimonio del procedimiento núm. 593-2005 tramitado ante dicho Juzgado, el Auto de 20 de septiembre de 2006 por el que se acuerda plantear cuestión de inconstitucionalidad respecto del inciso inicial de la letra a) de la regla segunda del apartado 1 de la disposición adicional séptima de la Ley general de la Seguridad Social, texto refundido aprobado por Real Decreto Legislativo 1/1994, de 20 de junio (en adelante, LGSS), por presunta vulneración del art. 14 de la Constitución.</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de los que trae causa la cuestión de inconstitucionalidad planteada son, en síntesis, los siguientes:</w:t>
      </w:r>
    </w:p>
    <w:p w:rsidR="00BE7FB3" w:rsidRDefault="00BE7FB3" w:rsidP="00BE7FB3">
      <w:pPr>
        <w:pStyle w:val="TextoNormal"/>
      </w:pPr>
    </w:p>
    <w:p w:rsidR="00BE7FB3" w:rsidRDefault="00BE7FB3" w:rsidP="00BE7FB3">
      <w:pPr>
        <w:pStyle w:val="TextoNormal"/>
      </w:pPr>
      <w:r>
        <w:t xml:space="preserve">a) Don Detlef Lange Glaser solicitó pensión de viudedad del régimen general de la Seguridad Social, derivada del fallecimiento por enfermedad común el día 24 de marzo de 2005 de su esposa, doña María del Carmen Santiveri Altissent; asimismo solicitó pensión de orfandad en nombre de su hija menor de edad Caterina Lange Santiveri. Ambas solicitudes fueron denegadas por sendas resoluciones del Instituto Nacional de la Seguridad Social (INSS) de 5 de abril de 2005, por no reunir la causante el período mínimo de cotización de quinientos días dentro de los cinco años anteriores a la fecha del fallecimiento exigido para causar derecho a las pensiones de viudedad y orfandad, de conformidad con el art. 174.1 y disposición adicional séptima LGSS, acreditando únicamente en dicho período doscientos treinta y siete días de cotización (al haber estado trabajando y cotizando a tiempo parcial), más treinta y nueve días en concepto de días-cuota por pagas extraordinarias, totalizando </w:t>
      </w:r>
      <w:r>
        <w:lastRenderedPageBreak/>
        <w:t>doscientos setenta y seis días cotizados. Las posteriores reclamaciones previas fueron desestimadas por resoluciones de 13 de junio de 2005.</w:t>
      </w:r>
    </w:p>
    <w:p w:rsidR="00BE7FB3" w:rsidRDefault="00BE7FB3" w:rsidP="00BE7FB3">
      <w:pPr>
        <w:pStyle w:val="TextoNormal"/>
      </w:pPr>
    </w:p>
    <w:p w:rsidR="00BE7FB3" w:rsidRDefault="00BE7FB3" w:rsidP="00BE7FB3">
      <w:pPr>
        <w:pStyle w:val="TextoNormal"/>
      </w:pPr>
      <w:r>
        <w:t>b) Contra estas resoluciones interpuso don Detlef Lange Glaser demanda ante la jurisdicción social, en la que, entre otros extremos, invocaba la doctrina recogida en la STC 253/2004, de 22 de diciembre, razonando que, de computarse los días cotizados a tiempo parcial como días completos de cotización, con independencia de las horas efectivamente trabajadas, se obtendría un total de quinientos cincuenta y dos días cotizados, superior al mínimo exigido por el art. 174.1 LGSS. En el acto del juicio el demandante solicitó del Juzgado de lo Social núm. 1 de Lleida, al que había correspondido el conocimiento de su demanda, el planteamiento de cuestión de inconstitucionalidad sobre el inciso inicial de la letra a) de la regla segunda del apartado 1 de la disposición adicional séptima LGSS.</w:t>
      </w:r>
    </w:p>
    <w:p w:rsidR="00BE7FB3" w:rsidRDefault="00BE7FB3" w:rsidP="00BE7FB3">
      <w:pPr>
        <w:pStyle w:val="TextoNormal"/>
      </w:pPr>
    </w:p>
    <w:p w:rsidR="00BE7FB3" w:rsidRDefault="00BE7FB3" w:rsidP="00BE7FB3">
      <w:pPr>
        <w:pStyle w:val="TextoNormal"/>
      </w:pPr>
      <w:r>
        <w:t>c) Celebrado el juicio, el Juzgado dictó providencia el día 18 de julio de 2006 acordando oír a las partes y al Ministerio Fiscal acerca del eventual planteamiento de la cuestión de inconstitucionalidad, por posible vulneración del principio de igualdad, en su vertiente de proporcionalidad, y de la prohibición de discriminación por razón de sexo, en su vertiente de discriminación indirecta (art. 14 CE), respecto del inciso inicial de la letra a) de la regla segunda del apartado 1 de la disposición adicional séptima LGSS. El trámite fue sustanciado conforme a lo dispuesto en el art. 35.1 de la Ley Orgánica del Tribunal Constitucional (LOTC), dictando finalmente el órgano judicial Auto de planteamiento de la cuestión el día 20 de septiembre de 2006.</w:t>
      </w:r>
    </w:p>
    <w:p w:rsidR="00BE7FB3" w:rsidRDefault="00BE7FB3" w:rsidP="00BE7FB3">
      <w:pPr>
        <w:pStyle w:val="TextoNormal"/>
      </w:pPr>
    </w:p>
    <w:p w:rsidR="00BE7FB3" w:rsidRDefault="00BE7FB3" w:rsidP="00BE7FB3">
      <w:pPr>
        <w:pStyle w:val="TextoNormal"/>
      </w:pPr>
      <w:r w:rsidRPr="00BE7FB3">
        <w:rPr>
          <w:rStyle w:val="NumeroAFNegritaCaracter"/>
        </w:rPr>
        <w:t>3</w:t>
      </w:r>
      <w:r>
        <w:t>. El Auto de 20 de septiembre de 2006 del Juzgado de lo Social núm. 1 de Lleida fundamenta el planteamiento de la cuestión de inconstitucionalidad en la consideración de que la norma cuestionada puede ser contraria al art. 14 CE por varios motivos. En primer lugar, porque viene a reproducir el contenido del antiguo art. 12.4 del Estatuto de los trabajadores, declarado inconstitucional y nulo por la STC 253/2004, de 22 de diciembre, en cuanto establecía que “para determinar los períodos de cotización de las prestaciones de Seguridad Social, incluida la de protección por desempleo, se computarán exclusivamente las horas trabajadas”. En segundo lugar, porque el precepto cuestionado contiene una regla de cómputo que atenta contra el principio de proporcionalidad y el principio de prohibición de discriminación por razón de sexo, y, por tanto, contra el art. 14 CE.</w:t>
      </w:r>
    </w:p>
    <w:p w:rsidR="00BE7FB3" w:rsidRDefault="00BE7FB3" w:rsidP="00BE7FB3">
      <w:pPr>
        <w:pStyle w:val="TextoNormal"/>
      </w:pPr>
    </w:p>
    <w:p w:rsidR="00BE7FB3" w:rsidRDefault="00BE7FB3" w:rsidP="00BE7FB3">
      <w:pPr>
        <w:pStyle w:val="TextoNormal"/>
      </w:pPr>
      <w:r>
        <w:t>Respecto al principio de proporcionalidad, la regla de cómputo de la norma cuestionada justifica que la menor jornada de los trabajadores a tiempo parcial repercuta, no sólo en una menor retribución que la percibida por los trabajadores a tiempo completo, sino también en una menor base reguladora de las prestaciones de Seguridad Social. Pero si además influyese en el cálculo de las carencias se produciría una “doble penalización”, pues un trabajador a tiempo parcial necesitaría trabajar más tiempo que un trabajador a tiempo completo para cubrir la carencia exigida, y, en el supuesto de que lo cumpliese y llegase a él, la base reguladora de su pensión sería inferior a la de un trabajador a tiempo completo, en la misma actividad y categoría profesional.</w:t>
      </w:r>
    </w:p>
    <w:p w:rsidR="00BE7FB3" w:rsidRDefault="00BE7FB3" w:rsidP="00BE7FB3">
      <w:pPr>
        <w:pStyle w:val="TextoNormal"/>
      </w:pPr>
    </w:p>
    <w:p w:rsidR="00BE7FB3" w:rsidRDefault="00BE7FB3" w:rsidP="00BE7FB3">
      <w:pPr>
        <w:pStyle w:val="TextoNormal"/>
      </w:pPr>
      <w:r>
        <w:t>Finalmente, la vulneración de la prohibición de discriminación por razón de sexo se produce, a juicio del órgano judicial, porque los trabajadores a tiempo parcial son mayoritariamente del sexo femenino, lo que permite argumentar la existencia de un “posible impacto adverso” no justificado por circunstancias objetivas no relacionadas con el sexo.</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providencia de 21 de noviembre de 2006, la Sección Tercera del Tribunal Constitucional acordó admitir a trámite la cuestión de inconstitucionalidad y dar traslado de las actuaciones, conforme dispone el art.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También se acordó publicar la incoación de la cuestión en el “Boletín Oficial del Estado”, lo que se llevó a efecto en el “BOE” núm. 295, de 11 de diciembre de 2006.</w:t>
      </w:r>
    </w:p>
    <w:p w:rsidR="00BE7FB3" w:rsidRDefault="00BE7FB3" w:rsidP="00BE7FB3">
      <w:pPr>
        <w:pStyle w:val="TextoNormal"/>
      </w:pPr>
    </w:p>
    <w:p w:rsidR="00BE7FB3" w:rsidRDefault="00BE7FB3" w:rsidP="00BE7FB3">
      <w:pPr>
        <w:pStyle w:val="TextoNormal"/>
      </w:pPr>
      <w:r w:rsidRPr="00BE7FB3">
        <w:rPr>
          <w:rStyle w:val="NumeroAFNegritaCaracter"/>
        </w:rPr>
        <w:t>5</w:t>
      </w:r>
      <w:r>
        <w:t>. El día 5 de diciembre de 2006 el Presidente del Senado comunicó que la Cámara se personaba en el proceso, ofreciendo su colaboración. El Presidente del Congreso de los Diputados comunicó al Tribunal el día 13 de diciembre de 2006 que dicha Cámara se personaba en el proceso, ofreciendo su colaboración.</w:t>
      </w:r>
    </w:p>
    <w:p w:rsidR="00BE7FB3" w:rsidRDefault="00BE7FB3" w:rsidP="00BE7FB3">
      <w:pPr>
        <w:pStyle w:val="TextoNormal"/>
      </w:pPr>
    </w:p>
    <w:p w:rsidR="00BE7FB3" w:rsidRDefault="00BE7FB3" w:rsidP="00BE7FB3">
      <w:pPr>
        <w:pStyle w:val="TextoNormal"/>
      </w:pPr>
      <w:r w:rsidRPr="00BE7FB3">
        <w:rPr>
          <w:rStyle w:val="NumeroAFNegritaCaracter"/>
        </w:rPr>
        <w:t>6</w:t>
      </w:r>
      <w:r>
        <w:t>. El Abogado del Estado formuló alegaciones mediante escrito registrado el día 12 de diciembre de 2006, solicitando de este Tribunal Sentencia desestimatoria de la cuestión planteada, previa acumulación de la misma a la seguida bajo el núm. 5862-2003.</w:t>
      </w:r>
    </w:p>
    <w:p w:rsidR="00BE7FB3" w:rsidRDefault="00BE7FB3" w:rsidP="00BE7FB3">
      <w:pPr>
        <w:pStyle w:val="TextoNormal"/>
      </w:pPr>
    </w:p>
    <w:p w:rsidR="00BE7FB3" w:rsidRDefault="00BE7FB3" w:rsidP="00BE7FB3">
      <w:pPr>
        <w:pStyle w:val="TextoNormal"/>
      </w:pPr>
      <w:r w:rsidRPr="00BE7FB3">
        <w:rPr>
          <w:rStyle w:val="NumeroAFNegritaCaracter"/>
        </w:rPr>
        <w:t>7</w:t>
      </w:r>
      <w:r>
        <w:t>. Por escrito de 3 de enero de 2007 el Fiscal General del Estado formuló sus alegaciones, concluyendo que el precepto cuestionado no es contrario al art. 14 CE.</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Juzgado de lo Social núm. 1 de Lleida plantea cuestión de inconstitucionalidad en relación con el inciso inicial de la letra a) de la regla segunda del apartado 1 de la disposición adicional séptima de la Ley general de la Seguridad Social, texto refundido aprobado por Real Decreto Legislativo 1/1994, de 20 de junio, por posible vulneración del art. 14 CE. </w:t>
      </w:r>
    </w:p>
    <w:p w:rsidR="00BE7FB3" w:rsidRDefault="00BE7FB3" w:rsidP="00BE7FB3">
      <w:pPr>
        <w:pStyle w:val="TextoNormal"/>
      </w:pPr>
    </w:p>
    <w:p w:rsidR="00BE7FB3" w:rsidRDefault="00BE7FB3" w:rsidP="00BE7FB3">
      <w:pPr>
        <w:pStyle w:val="TextoNormal"/>
      </w:pPr>
      <w:r>
        <w:t>En la STC  61/2013, de 14 de marzo, resolutoria de la cuestión de inconstitucionalidad núm. 5862-2003 y dictada con posterioridad a la admisión a trámite de la presente cuestión, este Tribunal ha declarado inconstitucional y nula la totalidad de la regla segunda del apartado 1 de la disposición considerada, que incluye el inciso aquí cuestionado, por vulneración del art. 14 CE, resolución ésta que, a partir del día siguiente de su publicación en el “Boletín Oficial del Estado”, tiene el valor de cosa juzgada y plenos efectos frente a todos (art. 164.1 de la Constitución y art. 38.1 de la Ley Orgánica del Tribunal Constitucional). Se sigue de ello que el precepto cuestionado ha sido ya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la extinción de la cuestión de inconstitucionalidad núm. 9157-2006, por desaparición sobrevenida de su objeto.</w:t>
      </w:r>
    </w:p>
    <w:p w:rsidR="00BE7FB3" w:rsidRDefault="00BE7FB3" w:rsidP="00BE7FB3">
      <w:pPr>
        <w:pStyle w:val="TextoNormal"/>
      </w:pPr>
    </w:p>
    <w:p w:rsidR="00BE7FB3" w:rsidRDefault="00BE7FB3" w:rsidP="00BE7FB3">
      <w:pPr>
        <w:pStyle w:val="TextoNormal"/>
      </w:pPr>
      <w:r>
        <w:t>Madrid, a nueve de abril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18" w:name="AUTO_2013_77"/>
      <w:r>
        <w:lastRenderedPageBreak/>
        <w:t>AUTO 77/2013, de 9 de abril de 2013</w:t>
      </w:r>
    </w:p>
    <w:bookmarkEnd w:id="218"/>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ECLI:ES:TC:2013:77A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por desaparición sobrevenida de su objeto, de la cuestión de inconstitucionalidad 763-2007, planteada por la Sala de lo Social del Tribunal Superior de Justicia de la Región de Murcia en relación con la disposición adicional séptima del texto refundido de Ley general de la Seguridad Social.</w:t>
      </w:r>
    </w:p>
    <w:p w:rsidR="00BE7FB3" w:rsidRDefault="00BE7FB3" w:rsidP="00BE7FB3">
      <w:pPr>
        <w:pStyle w:val="SntesisDescriptiva"/>
      </w:pPr>
    </w:p>
    <w:p w:rsidR="00BE7FB3" w:rsidRDefault="00BE7FB3" w:rsidP="00BE7FB3">
      <w:pPr>
        <w:pStyle w:val="SntesisAnaltica"/>
      </w:pPr>
      <w:r>
        <w:t>Extinción de cuestión de inconstitucionalidad: ATC 73/2013;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día 29 de enero de 2007 tuvo entrada en el Registro General de este Tribunal escrito de la Sala de lo Social del Tribunal Superior de Justicia de Murcia al que se acompañaba, junto con el testimonio de las actuaciones correspondientes al recurso de suplicación núm. 1073-2006 tramitado ante dicha Sala, el Auto de 8 de enero de 2007 por el que se acuerda plantear cuestión de inconstitucionalidad respecto de la disposición adicional séptima, segunda, de la Ley general de la Seguridad Social, texto refundido aprobado por Real Decreto Legislativo 1/1994, de 20 de junio (en adelante, LGSS), por presunta vulneración de los arts. 1, 9.3, 41 y 14 de la Constitución.</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de los que trae causa la cuestión de inconstitucionalidad planteada son, en síntesis, los siguientes:</w:t>
      </w:r>
    </w:p>
    <w:p w:rsidR="00BE7FB3" w:rsidRDefault="00BE7FB3" w:rsidP="00BE7FB3">
      <w:pPr>
        <w:pStyle w:val="TextoNormal"/>
      </w:pPr>
    </w:p>
    <w:p w:rsidR="00BE7FB3" w:rsidRDefault="00BE7FB3" w:rsidP="00BE7FB3">
      <w:pPr>
        <w:pStyle w:val="TextoNormal"/>
      </w:pPr>
      <w:r>
        <w:t xml:space="preserve">a) La demandante en el proceso </w:t>
      </w:r>
      <w:r w:rsidRPr="00BE7FB3">
        <w:rPr>
          <w:i/>
        </w:rPr>
        <w:t>a quo</w:t>
      </w:r>
      <w:r>
        <w:t>, doña Josefa Inglés Ros prestó servicios en diversos períodos como trabajadora a tiempo parcial con categoría profesional de limpiadora. En noviembre de 2005 solicitó el reconocimiento del derecho a la pensión de jubilación, que le fue denegada por resolución de 9 de diciembre de 2005 de la dirección provincial de Murcia del Instituto Nacional de la Seguridad Social, por no reunir el período mínimo de cotización legalmente exigido para el reconocimiento del derecho, al acreditarse únicamente tres mil ciento trece días de cotización —calculados conforme a lo dispuesto en la disposición adicional séptima LGSS— más otros trescientos cuarenta y cuatro días-cuota por pagas extraordinarias. La posterior reclamación previa fue igualmente desestimada por resolución de 27 de febrero de 2006.</w:t>
      </w:r>
    </w:p>
    <w:p w:rsidR="00BE7FB3" w:rsidRDefault="00BE7FB3" w:rsidP="00BE7FB3">
      <w:pPr>
        <w:pStyle w:val="TextoNormal"/>
      </w:pPr>
    </w:p>
    <w:p w:rsidR="00BE7FB3" w:rsidRDefault="00BE7FB3" w:rsidP="00BE7FB3">
      <w:pPr>
        <w:pStyle w:val="TextoNormal"/>
      </w:pPr>
      <w:r>
        <w:lastRenderedPageBreak/>
        <w:t>b) Presentada demanda por la trabajadora contra la anterior resolución, la misma fue desestimada por Sentencia del Juzgado de lo Social núm. 1 de Cartagena de 10 de julio de 2006, contra la que interpuso recurso de suplicación ante la Sala de lo Social del Tribunal Superior de Justicia de Murcia.</w:t>
      </w:r>
    </w:p>
    <w:p w:rsidR="00BE7FB3" w:rsidRDefault="00BE7FB3" w:rsidP="00BE7FB3">
      <w:pPr>
        <w:pStyle w:val="TextoNormal"/>
      </w:pPr>
    </w:p>
    <w:p w:rsidR="00BE7FB3" w:rsidRDefault="00BE7FB3" w:rsidP="00BE7FB3">
      <w:pPr>
        <w:pStyle w:val="TextoNormal"/>
      </w:pPr>
      <w:r>
        <w:t>c) Por Auto de 27 de noviembre de 2006, la Sala acordó oír a las partes y al Ministerio Fiscal acerca del eventual planteamiento de la cuestión de inconstitucionalidad respecto de la disposición adicional séptima, segunda LGSS, en relación con su compatibilidad con los arts. 1, 9.3, 41 y 14 CE. El trámite fue sustanciado conforme a lo dispuesto en el art. 35.1 de la Ley Orgánica del Tribunal Constitucional (LOTC), dictando finalmente el órgano judicial Auto de planteamiento de la cuestión el día 8 de enero de 2007.</w:t>
      </w:r>
    </w:p>
    <w:p w:rsidR="00BE7FB3" w:rsidRDefault="00BE7FB3" w:rsidP="00BE7FB3">
      <w:pPr>
        <w:pStyle w:val="TextoNormal"/>
      </w:pPr>
    </w:p>
    <w:p w:rsidR="00BE7FB3" w:rsidRDefault="00BE7FB3" w:rsidP="00BE7FB3">
      <w:pPr>
        <w:pStyle w:val="TextoNormal"/>
      </w:pPr>
      <w:r w:rsidRPr="00BE7FB3">
        <w:rPr>
          <w:rStyle w:val="NumeroAFNegritaCaracter"/>
        </w:rPr>
        <w:t>3</w:t>
      </w:r>
      <w:r>
        <w:t>. El Auto de 8 de enero de 2007 de planteamiento de la cuestión considera que la regla segunda de la disposición adicional séptima LGSS puede ser arbitraria y desasimiladora —desigualadora sin razón—, en la medida en que establece un diferente cómputo del período cotizado por los trabajadores a tiempo completo y a tiempo parcial, vulnerando los arts. 9.3 y 14 CE. Además, no cumpliría con la finalidad de hacer razonablemente factible el acceso a la pensión de que se trata, pues operaría en sentido contrario, obstaculizando la obtención de una consecuencia positiva en relación con los contratos a tiempo completo, y en tal tendencia, vulneraría el art. 1 CE (por ir contra la justicia) y el art. 41 CE (por no asegurar razonable y proporcionadamente el amparo frente a situaciones de necesidad.</w:t>
      </w:r>
    </w:p>
    <w:p w:rsidR="00BE7FB3" w:rsidRDefault="00BE7FB3" w:rsidP="00BE7FB3">
      <w:pPr>
        <w:pStyle w:val="TextoNormal"/>
      </w:pPr>
    </w:p>
    <w:p w:rsidR="00BE7FB3" w:rsidRDefault="00BE7FB3" w:rsidP="00BE7FB3">
      <w:pPr>
        <w:pStyle w:val="TextoNormal"/>
      </w:pPr>
      <w:r>
        <w:t>Además, llama la atención que la regla cuestionada, al calcular la equivalencia en días teóricos de cotización de las cotizaciones efectuadas por los trabajadores a tiempo parcial, divida el número de horas efectivamente trabajadas por cinco, partiendo así de un valor o cómputo horario anual incluso superior a lo que establecen muchos convenios colectivos para la jornada de trabajo a tiempo completo, penalizando con ello el trabajo a tiempo parcial de una forma que se puede considerar arbitraria.</w:t>
      </w:r>
    </w:p>
    <w:p w:rsidR="00BE7FB3" w:rsidRDefault="00BE7FB3" w:rsidP="00BE7FB3">
      <w:pPr>
        <w:pStyle w:val="TextoNormal"/>
      </w:pPr>
    </w:p>
    <w:p w:rsidR="00BE7FB3" w:rsidRDefault="00BE7FB3" w:rsidP="00BE7FB3">
      <w:pPr>
        <w:pStyle w:val="TextoNormal"/>
      </w:pPr>
      <w:r>
        <w:t>Finalmente, la norma cuestionada puede ser, a juicio del órgano judicial, contraria al art. 14 CE, por subyacer un factor proscrito de discriminación indirecta por razón de sexo, dada la realidad fáctica existente en el trabajo a tiempo parcial de afectación mayoritaria al sector de género femenino ya analizada por el Tribunal Constitucional en su STC 253/2004.</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providencia de 13 de febrero de 2007, la Sección Segunda del Tribunal Constitucional acordó admitir a trámite la cuestión de inconstitucionalidad y dar traslado de las actuaciones, conforme dispone el art.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También se acordó publicar la incoación de la cuestión en el “Boletín Oficial del Estado”, lo que se llevó a efecto en el “BOE” núm. 53, de 2 de marzo de 2007.</w:t>
      </w:r>
    </w:p>
    <w:p w:rsidR="00BE7FB3" w:rsidRDefault="00BE7FB3" w:rsidP="00BE7FB3">
      <w:pPr>
        <w:pStyle w:val="TextoNormal"/>
      </w:pPr>
    </w:p>
    <w:p w:rsidR="00BE7FB3" w:rsidRDefault="00BE7FB3" w:rsidP="00BE7FB3">
      <w:pPr>
        <w:pStyle w:val="TextoNormal"/>
      </w:pPr>
      <w:r w:rsidRPr="00BE7FB3">
        <w:rPr>
          <w:rStyle w:val="NumeroAFNegritaCaracter"/>
        </w:rPr>
        <w:t>5</w:t>
      </w:r>
      <w:r>
        <w:t>. El día 1 de marzo de 2007 el Presidente del Congreso de los Diputados comunicó que la Cámara se personaba en el proceso, ofreciendo su colaboración. El Presidente del Senado comunicó al Tribunal el día 6 de marzo de 2007 que dicha Cámara se personaba en el proceso, ofreciendo su colaboración.</w:t>
      </w:r>
    </w:p>
    <w:p w:rsidR="00BE7FB3" w:rsidRDefault="00BE7FB3" w:rsidP="00BE7FB3">
      <w:pPr>
        <w:pStyle w:val="TextoNormal"/>
      </w:pPr>
    </w:p>
    <w:p w:rsidR="00BE7FB3" w:rsidRDefault="00BE7FB3" w:rsidP="00BE7FB3">
      <w:pPr>
        <w:pStyle w:val="TextoNormal"/>
      </w:pPr>
      <w:r w:rsidRPr="00BE7FB3">
        <w:rPr>
          <w:rStyle w:val="NumeroAFNegritaCaracter"/>
        </w:rPr>
        <w:t>6</w:t>
      </w:r>
      <w:r>
        <w:t>. El Abogado del Estado formuló alegaciones mediante escrito registrado el día 13 de marzo de 2007, solicitando de este Tribunal Sentencia desestimatoria de la cuestión planteada, previa acumulación de la misma a las seguidas bajo los núms. 5862-2003 y 9157-2006.</w:t>
      </w:r>
    </w:p>
    <w:p w:rsidR="00BE7FB3" w:rsidRDefault="00BE7FB3" w:rsidP="00BE7FB3">
      <w:pPr>
        <w:pStyle w:val="TextoNormal"/>
      </w:pPr>
    </w:p>
    <w:p w:rsidR="00BE7FB3" w:rsidRDefault="00BE7FB3" w:rsidP="00BE7FB3">
      <w:pPr>
        <w:pStyle w:val="TextoNormal"/>
      </w:pPr>
      <w:r w:rsidRPr="00BE7FB3">
        <w:rPr>
          <w:rStyle w:val="NumeroAFNegritaCaracter"/>
        </w:rPr>
        <w:t>7</w:t>
      </w:r>
      <w:r>
        <w:t>. Por escrito registrado el día 20 de marzo de 2007 el Fiscal General del Estado formuló sus alegaciones, concluyendo que el precepto cuestionado no es contrario a los arts. 1, 9.3, 14 y 41 CE.</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Sala de lo Social del Tribunal Superior de Justicia de Murcia plantea cuestión de inconstitucionalidad en relación con la disposición adicional séptima, regla segunda, de la Ley general de la Seguridad Social, texto refundido aprobado por Real Decreto Legislativo 1/1994, de 20 de junio, por posible vulneración de los arts. 1, 9.3, 14 y 41 CE.</w:t>
      </w:r>
    </w:p>
    <w:p w:rsidR="00BE7FB3" w:rsidRDefault="00BE7FB3" w:rsidP="00BE7FB3">
      <w:pPr>
        <w:pStyle w:val="TextoNormal"/>
      </w:pPr>
    </w:p>
    <w:p w:rsidR="00BE7FB3" w:rsidRDefault="00BE7FB3" w:rsidP="00BE7FB3">
      <w:pPr>
        <w:pStyle w:val="TextoNormal"/>
      </w:pPr>
      <w:r>
        <w:t>En la STC 61/2013, de 14 de marzo, resolutoria de la cuestión de inconstitucionalidad núm. 5862-2003 y dictada con posterioridad a la admisión a trámite de la presente cuestión, este Tribunal ha declarado inconstitucional y nula la regla ahora cuestionada, por vulneración del art. 14 CE, resolución ésta que, a partir del día siguiente al de su publicación en el “Boletín Oficial del Estado”, tiene el valor de cosa juzgada y plenos efectos frente a todos (art. 164.1 de la Constitución y art. 38.1 de la Ley Orgánica del Tribunal Constitucional). Se sigue de ello que el precepto cuestionado ha sido ya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la extinción de la cuestión de inconstitucionalidad núm. 763-2007, por desaparición sobrevenida de su objeto.</w:t>
      </w:r>
    </w:p>
    <w:p w:rsidR="00BE7FB3" w:rsidRDefault="00BE7FB3" w:rsidP="00BE7FB3">
      <w:pPr>
        <w:pStyle w:val="TextoNormal"/>
      </w:pPr>
    </w:p>
    <w:p w:rsidR="00BE7FB3" w:rsidRDefault="00BE7FB3" w:rsidP="00BE7FB3">
      <w:pPr>
        <w:pStyle w:val="TextoNormal"/>
      </w:pPr>
      <w:r>
        <w:t>Madrid, a nueve de abril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19" w:name="AUTO_2013_78"/>
      <w:r>
        <w:lastRenderedPageBreak/>
        <w:t>AUTO 78/2013, de 9 de abril de 2013</w:t>
      </w:r>
    </w:p>
    <w:bookmarkEnd w:id="219"/>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ECLI:ES:TC:2013:78A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acumulación de cinco recursos de inconstitucionalidad al 6963-2007, planteado por el Consejo de Gobierno de la Comunidad de Madrid en relación con determinados preceptos de la Ley 8/2007, de 28 de mayo, de suelo.</w:t>
      </w:r>
    </w:p>
    <w:p w:rsidR="00BE7FB3" w:rsidRDefault="00BE7FB3" w:rsidP="00BE7FB3">
      <w:pPr>
        <w:pStyle w:val="SntesisDescriptiva"/>
      </w:pPr>
    </w:p>
    <w:p w:rsidR="00BE7FB3" w:rsidRDefault="00BE7FB3" w:rsidP="00BE7FB3">
      <w:pPr>
        <w:pStyle w:val="SntesisAnaltica"/>
      </w:pPr>
      <w:r>
        <w:t>Acumulación de recursos de inconstitucionalidad, procedencia.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el 27 de agosto de 2007, el Letrado de la Comunidad de Madrid, en nombre del Consejo de Gobierno de la Comunidad de Madrid, interpuso recurso de inconstitucionalidad contra los arts. 6 a), 10 b), 11.2, 15, 16.1 b) y 34, así como contra las disposiciones adicionales primea y novena y la disposición transitoria cuarta de la Ley 8/2007, de 28 de mayo, de suelo.</w:t>
      </w:r>
    </w:p>
    <w:p w:rsidR="00BE7FB3" w:rsidRDefault="00BE7FB3" w:rsidP="00BE7FB3">
      <w:pPr>
        <w:pStyle w:val="TextoNormal"/>
      </w:pPr>
    </w:p>
    <w:p w:rsidR="00BE7FB3" w:rsidRDefault="00BE7FB3" w:rsidP="00BE7FB3">
      <w:pPr>
        <w:pStyle w:val="TextoNormal"/>
      </w:pPr>
      <w:r w:rsidRPr="00BE7FB3">
        <w:rPr>
          <w:rStyle w:val="NumeroAFNegritaCaracter"/>
        </w:rPr>
        <w:t>2</w:t>
      </w:r>
      <w:r>
        <w:t>. Por providencia de 25 de septiembre de 2007, el Pleno de este Tribunal, a propuesta de la Sección Cuarta, acordó admitir a trámite el recurso de inconstitucionalidad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considerasen convenientes. También acordó publicar en el “Boletín Oficial del Estado” la incoación del recurso, al que se asignó el núm. 6963-2007.</w:t>
      </w:r>
    </w:p>
    <w:p w:rsidR="00BE7FB3" w:rsidRDefault="00BE7FB3" w:rsidP="00BE7FB3">
      <w:pPr>
        <w:pStyle w:val="TextoNormal"/>
      </w:pPr>
    </w:p>
    <w:p w:rsidR="00BE7FB3" w:rsidRDefault="00BE7FB3" w:rsidP="00BE7FB3">
      <w:pPr>
        <w:pStyle w:val="TextoNormal"/>
      </w:pPr>
      <w:r w:rsidRPr="00BE7FB3">
        <w:rPr>
          <w:rStyle w:val="NumeroAFNegritaCaracter"/>
        </w:rPr>
        <w:t>3</w:t>
      </w:r>
      <w:r>
        <w:t>. Por escrito registrado en este Tribunal el 1 de octubre de 2007, se personó el Abogado del Estado y solicitó le fuera concedida prórroga de ocho días en el plazo para formular alegaciones previsto en el art. 34.2 LOTC. Por providencia de 3 de octubre de 2007, el Pleno acordó tener por personado al Abogado del Estado y concederle dicha prórroga.</w:t>
      </w:r>
    </w:p>
    <w:p w:rsidR="00BE7FB3" w:rsidRDefault="00BE7FB3" w:rsidP="00BE7FB3">
      <w:pPr>
        <w:pStyle w:val="TextoNormal"/>
      </w:pPr>
    </w:p>
    <w:p w:rsidR="00BE7FB3" w:rsidRDefault="00BE7FB3" w:rsidP="00BE7FB3">
      <w:pPr>
        <w:pStyle w:val="TextoNormal"/>
      </w:pPr>
      <w:r w:rsidRPr="00BE7FB3">
        <w:rPr>
          <w:rStyle w:val="NumeroAFNegritaCaracter"/>
        </w:rPr>
        <w:t>4</w:t>
      </w:r>
      <w:r>
        <w:t>. El Presidente del Congreso de los Diputados comunicó, mediante escrito registrado el 4 de octubre de 2007, el acuerdo de la Mesa de la Cámara de personarse en el proceso ofreciendo su colaboración.</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5</w:t>
      </w:r>
      <w:r>
        <w:t>. El Presidente del Senado, mediante escrito registrado el día 10 de octubre de 2007, comunicó que la Cámara se personaba en el proceso ofreciendo su colaboración.</w:t>
      </w:r>
    </w:p>
    <w:p w:rsidR="00BE7FB3" w:rsidRDefault="00BE7FB3" w:rsidP="00BE7FB3">
      <w:pPr>
        <w:pStyle w:val="TextoNormal"/>
      </w:pPr>
    </w:p>
    <w:p w:rsidR="00BE7FB3" w:rsidRDefault="00BE7FB3" w:rsidP="00BE7FB3">
      <w:pPr>
        <w:pStyle w:val="TextoNormal"/>
      </w:pPr>
      <w:r w:rsidRPr="00BE7FB3">
        <w:rPr>
          <w:rStyle w:val="NumeroAFNegritaCaracter"/>
        </w:rPr>
        <w:t>6</w:t>
      </w:r>
      <w:r>
        <w:t>. Mediante escrito registrado con fecha 31 de octubre de 2007, el Abogado del Estado formula sus alegaciones solicitando la desestimación del recurso de inconstitucionalidad. Por medio de otrosí, solicitó la acumulación de este recurso y los numerados 6963-2007, 6964-2007 y 6965-2007 afirmando que en los mismos concurren circunstancias de conexión objetiva que justifican una sola tramitación y una sola decisión (art. 83 LOTC), puesto que todos ellos se dirigen contra la Ley 8/2007, de 28 de mayo, de suelo, coinciden algunos de los preceptos impugnados y la fundamentación constitucional que exhiben es, en buena parte, similar.</w:t>
      </w:r>
    </w:p>
    <w:p w:rsidR="00BE7FB3" w:rsidRDefault="00BE7FB3" w:rsidP="00BE7FB3">
      <w:pPr>
        <w:pStyle w:val="TextoNormal"/>
      </w:pPr>
    </w:p>
    <w:p w:rsidR="00BE7FB3" w:rsidRDefault="00BE7FB3" w:rsidP="00BE7FB3">
      <w:pPr>
        <w:pStyle w:val="TextoNormal"/>
      </w:pPr>
      <w:r w:rsidRPr="00BE7FB3">
        <w:rPr>
          <w:rStyle w:val="NumeroAFNegritaCaracter"/>
        </w:rPr>
        <w:t>7</w:t>
      </w:r>
      <w:r>
        <w:t>. Mediante escrito presentado en el Registro General de este Tribunal el 28 de agosto de 2007, el Letrado de la Comunidad Autónoma de La Rioja, en nombre del Consejo de Gobierno de La Rioja, interpuso recurso de inconstitucionalidad contra los arts. 1, 2, 10, 11.2, 14, 15.6, 17.5, 33, disposición adicional sexta.1, disposición transitoria primera y disposición final primera de la Ley 8/2007, de 28 de mayo, de suelo.</w:t>
      </w:r>
    </w:p>
    <w:p w:rsidR="00BE7FB3" w:rsidRDefault="00BE7FB3" w:rsidP="00BE7FB3">
      <w:pPr>
        <w:pStyle w:val="TextoNormal"/>
      </w:pPr>
    </w:p>
    <w:p w:rsidR="00BE7FB3" w:rsidRDefault="00BE7FB3" w:rsidP="00BE7FB3">
      <w:pPr>
        <w:pStyle w:val="TextoNormal"/>
      </w:pPr>
      <w:r w:rsidRPr="00BE7FB3">
        <w:rPr>
          <w:rStyle w:val="NumeroAFNegritaCaracter"/>
        </w:rPr>
        <w:t>8</w:t>
      </w:r>
      <w:r>
        <w:t>. Por providencia de 25 de septiembre de 2007, el Pleno acordó, a propuesta de la Sección Segunda, admitir a trámite el recurso de inconstitucionalidad promovido por el Consejo de Gobierno de La Rioja y dar traslado de la demanda y documentos presentados, conforme establece el art. 34 LOTC, al Congreso y al Senado, por conducto de sus Presidentes, y al Gobierno, a través del Ministro de Justicia, al objeto de que, en el plazo de quince días, pudieran personarse en el proceso y formular las alegaciones que considerasen convenientes. También acordó publicar en el “Boletín Oficial del Estado” la incoación del recurso, al que se asignó el núm. 6964-2007.</w:t>
      </w:r>
    </w:p>
    <w:p w:rsidR="00BE7FB3" w:rsidRDefault="00BE7FB3" w:rsidP="00BE7FB3">
      <w:pPr>
        <w:pStyle w:val="TextoNormal"/>
      </w:pPr>
    </w:p>
    <w:p w:rsidR="00BE7FB3" w:rsidRDefault="00BE7FB3" w:rsidP="00BE7FB3">
      <w:pPr>
        <w:pStyle w:val="TextoNormal"/>
      </w:pPr>
      <w:r w:rsidRPr="00BE7FB3">
        <w:rPr>
          <w:rStyle w:val="NumeroAFNegritaCaracter"/>
        </w:rPr>
        <w:t>9</w:t>
      </w:r>
      <w:r>
        <w:t>. El Presidente del Congreso de los Diputados comunicó, mediante escrito registrado el 4 de octubre de 2007, el acuerdo de la Mesa de la Cámara de personarse en el procedimiento y ofrecer al Tribunal su colaboración.</w:t>
      </w:r>
    </w:p>
    <w:p w:rsidR="00BE7FB3" w:rsidRDefault="00BE7FB3" w:rsidP="00BE7FB3">
      <w:pPr>
        <w:pStyle w:val="TextoNormal"/>
      </w:pPr>
    </w:p>
    <w:p w:rsidR="00BE7FB3" w:rsidRDefault="00BE7FB3" w:rsidP="00BE7FB3">
      <w:pPr>
        <w:pStyle w:val="TextoNormal"/>
      </w:pPr>
      <w:r w:rsidRPr="00BE7FB3">
        <w:rPr>
          <w:rStyle w:val="NumeroAFNegritaCaracter"/>
        </w:rPr>
        <w:t>10</w:t>
      </w:r>
      <w:r>
        <w:t>. El Presidente del Senado comunicó, mediante escrito registrado el 10 de octubre de 2007, el acuerdo de la Mesa de la Cámara de personarse en el procedimiento y ofrecer al Tribunal su colaboración.</w:t>
      </w:r>
    </w:p>
    <w:p w:rsidR="00BE7FB3" w:rsidRDefault="00BE7FB3" w:rsidP="00BE7FB3">
      <w:pPr>
        <w:pStyle w:val="TextoNormal"/>
      </w:pPr>
    </w:p>
    <w:p w:rsidR="00BE7FB3" w:rsidRDefault="00BE7FB3" w:rsidP="00BE7FB3">
      <w:pPr>
        <w:pStyle w:val="TextoNormal"/>
      </w:pPr>
      <w:r w:rsidRPr="00BE7FB3">
        <w:rPr>
          <w:rStyle w:val="NumeroAFNegritaCaracter"/>
        </w:rPr>
        <w:t>11</w:t>
      </w:r>
      <w:r>
        <w:t>. Mediante escrito registrado en este Tribunal el 1 de octubre de 2007, se personó el Abogado del Estado y solicitó prórroga del plazo concedido para realizar alegaciones. Por providencia de 3 de octubre de 2007, el Pleno acordó tener por personado al Abogado del Estado y concederle ocho días más de prórroga del plazo concedido para presentar alegaciones.</w:t>
      </w:r>
    </w:p>
    <w:p w:rsidR="00BE7FB3" w:rsidRDefault="00BE7FB3" w:rsidP="00BE7FB3">
      <w:pPr>
        <w:pStyle w:val="TextoNormal"/>
      </w:pPr>
    </w:p>
    <w:p w:rsidR="00BE7FB3" w:rsidRDefault="00BE7FB3" w:rsidP="00BE7FB3">
      <w:pPr>
        <w:pStyle w:val="TextoNormal"/>
      </w:pPr>
      <w:r w:rsidRPr="00BE7FB3">
        <w:rPr>
          <w:rStyle w:val="NumeroAFNegritaCaracter"/>
        </w:rPr>
        <w:t>12</w:t>
      </w:r>
      <w:r>
        <w:t>. Mediante escrito registrado en el Tribunal el 31 de octubre de 2007, el Abogado del Estado presentó sus alegaciones interesando la desestimación del recurso de inconstitucionalidad. Por medio de otrosí, solicitó la acumulación de este recurso con los numerados 6963-2007, 6965-2007 y 6973-2007 por los motivos que ya se han expuesto en el antecedente 6 de esta resolución.</w:t>
      </w:r>
    </w:p>
    <w:p w:rsidR="00BE7FB3" w:rsidRDefault="00BE7FB3" w:rsidP="00BE7FB3">
      <w:pPr>
        <w:pStyle w:val="TextoNormal"/>
      </w:pPr>
    </w:p>
    <w:p w:rsidR="00BE7FB3" w:rsidRDefault="00BE7FB3" w:rsidP="00BE7FB3">
      <w:pPr>
        <w:pStyle w:val="TextoNormal"/>
      </w:pPr>
      <w:r w:rsidRPr="00BE7FB3">
        <w:rPr>
          <w:rStyle w:val="NumeroAFNegritaCaracter"/>
        </w:rPr>
        <w:t>13</w:t>
      </w:r>
      <w:r>
        <w:t>. Mediante escrito presentado en el Registro General de este Tribunal Constitucional el día 28 de agosto de 2007, don Ignacio Astarloa Huarte-Mendicoa, como comisionado de más de cincuenta diputados del Grupo Parlamentario Popular del Congreso de los Diputados, interpuso recurso de inconstitucionalidad frente a los arts. 6 a), 8.1, 10 b), 16.1 b), 16.3, 22, 25.2, 25.3, 26.1 y 29.1 c) y la disposición transitoria primera de la Ley 8/2007, de 28 de mayo, de suelo.</w:t>
      </w:r>
    </w:p>
    <w:p w:rsidR="00BE7FB3" w:rsidRDefault="00BE7FB3" w:rsidP="00BE7FB3">
      <w:pPr>
        <w:pStyle w:val="TextoNormal"/>
      </w:pPr>
    </w:p>
    <w:p w:rsidR="00BE7FB3" w:rsidRDefault="00BE7FB3" w:rsidP="00BE7FB3">
      <w:pPr>
        <w:pStyle w:val="TextoNormal"/>
      </w:pPr>
      <w:r w:rsidRPr="00BE7FB3">
        <w:rPr>
          <w:rStyle w:val="NumeroAFNegritaCaracter"/>
        </w:rPr>
        <w:t>14</w:t>
      </w:r>
      <w:r>
        <w:t>. Por providencia de 25 de septiembre de 2007, el Pleno acordó, a propuesta de la Sección Cuarta, admitir a trámite el recurso de inconstitucionalidad promovido por más de cincuenta diputados del Grupo Parlamentario Popular del Congreso de los Diputados y, en su representación y defensa por el comisionado don Ignacio Astarloa Huarte-Mendicoa, y dar traslado de la demanda y documentos presentados al Congreso, al Senado y al Gobierno a fin de que, en el plazo de quince días, pudieran personarse en el proceso y formular las alegaciones que estimasen convenientes. También acordó publicar en el “Boletín Oficial del Estado” la incoación del recurso, al que se asignó el núm. 6965-2007.</w:t>
      </w:r>
    </w:p>
    <w:p w:rsidR="00BE7FB3" w:rsidRDefault="00BE7FB3" w:rsidP="00BE7FB3">
      <w:pPr>
        <w:pStyle w:val="TextoNormal"/>
      </w:pPr>
    </w:p>
    <w:p w:rsidR="00BE7FB3" w:rsidRDefault="00BE7FB3" w:rsidP="00BE7FB3">
      <w:pPr>
        <w:pStyle w:val="TextoNormal"/>
      </w:pPr>
      <w:r w:rsidRPr="00BE7FB3">
        <w:rPr>
          <w:rStyle w:val="NumeroAFNegritaCaracter"/>
        </w:rPr>
        <w:t>15</w:t>
      </w:r>
      <w:r>
        <w:t>. Mediante escrito registrado el 1 de octubre de 2007, el Abogado del Estado se personó en el procedimiento, solicitando le fuera concedida prórroga de ocho días en el plazo para formular alegaciones. Por providencia de 3 de octubre de 2007, el Pleno acordó tener por personado al Abogado del Estado y concederle la prórroga solicitada.</w:t>
      </w:r>
    </w:p>
    <w:p w:rsidR="00BE7FB3" w:rsidRDefault="00BE7FB3" w:rsidP="00BE7FB3">
      <w:pPr>
        <w:pStyle w:val="TextoNormal"/>
      </w:pPr>
    </w:p>
    <w:p w:rsidR="00BE7FB3" w:rsidRDefault="00BE7FB3" w:rsidP="00BE7FB3">
      <w:pPr>
        <w:pStyle w:val="TextoNormal"/>
      </w:pPr>
      <w:r w:rsidRPr="00BE7FB3">
        <w:rPr>
          <w:rStyle w:val="NumeroAFNegritaCaracter"/>
        </w:rPr>
        <w:t>16</w:t>
      </w:r>
      <w:r>
        <w:t>. El Presidente del Congreso de los Diputados comunicó, mediante escrito registrado en este Tribunal el 4 de octubre de 2007, el acuerdo de la Mesa de la Cámara de personarse en el procedimiento y ofrecer su colaboración al Tribunal.</w:t>
      </w:r>
    </w:p>
    <w:p w:rsidR="00BE7FB3" w:rsidRDefault="00BE7FB3" w:rsidP="00BE7FB3">
      <w:pPr>
        <w:pStyle w:val="TextoNormal"/>
      </w:pPr>
    </w:p>
    <w:p w:rsidR="00BE7FB3" w:rsidRDefault="00BE7FB3" w:rsidP="00BE7FB3">
      <w:pPr>
        <w:pStyle w:val="TextoNormal"/>
      </w:pPr>
      <w:r w:rsidRPr="00BE7FB3">
        <w:rPr>
          <w:rStyle w:val="NumeroAFNegritaCaracter"/>
        </w:rPr>
        <w:t>17</w:t>
      </w:r>
      <w:r>
        <w:t>. El Presidente del Senado comunicó, mediante escrito registrado en este Tribunal el 10 de octubre de 2007, el acuerdo de la Mesa de la Cámara de personarse en el procedimiento y ofrecer su colaboración al Tribunal.</w:t>
      </w:r>
    </w:p>
    <w:p w:rsidR="00BE7FB3" w:rsidRDefault="00BE7FB3" w:rsidP="00BE7FB3">
      <w:pPr>
        <w:pStyle w:val="TextoNormal"/>
      </w:pPr>
    </w:p>
    <w:p w:rsidR="00BE7FB3" w:rsidRDefault="00BE7FB3" w:rsidP="00BE7FB3">
      <w:pPr>
        <w:pStyle w:val="TextoNormal"/>
      </w:pPr>
      <w:r w:rsidRPr="00BE7FB3">
        <w:rPr>
          <w:rStyle w:val="NumeroAFNegritaCaracter"/>
        </w:rPr>
        <w:t>18</w:t>
      </w:r>
      <w:r>
        <w:t>. Mediante escrito registrado el 31 de octubre de 2007, el Abogado del Estado presentó sus alegaciones interesando la desestimación del recurso de inconstitucionalidad. Por medio de otrosí, solicitó la acumulación de este recurso a los numerados 6963-2007, 6964-2007 y 6973-2007 por las razones ya expuestas en el antecedente 6 de esta resolución.</w:t>
      </w:r>
    </w:p>
    <w:p w:rsidR="00BE7FB3" w:rsidRDefault="00BE7FB3" w:rsidP="00BE7FB3">
      <w:pPr>
        <w:pStyle w:val="TextoNormal"/>
      </w:pPr>
    </w:p>
    <w:p w:rsidR="00BE7FB3" w:rsidRDefault="00BE7FB3" w:rsidP="00BE7FB3">
      <w:pPr>
        <w:pStyle w:val="TextoNormal"/>
      </w:pPr>
      <w:r w:rsidRPr="00BE7FB3">
        <w:rPr>
          <w:rStyle w:val="NumeroAFNegritaCaracter"/>
        </w:rPr>
        <w:t>19</w:t>
      </w:r>
      <w:r>
        <w:t>. Mediante escrito presentado en el Registro General de este Tribunal el 29 de agosto de 2007, la Letrada del Servicio Jurídico del Gobierno de Canarias, en representación de éste, interpuso recurso de inconstitucionalidad contra los arts. 1, 2.2, 3.1, 6, 8.1 último párrafo, 9.3, 10 a) y b), apartados 2, 4 y 5 del art. 11, 14.1, apartados 3, 4 y 5 del art. 15, 16.1 c), disposición adicional primera, disposición transitoria segunda, disposición transitoria cuarta y apartado 1 de la disposición final primera de la Ley 8/2007, de 28 de mayo, de suelo.</w:t>
      </w:r>
    </w:p>
    <w:p w:rsidR="00BE7FB3" w:rsidRDefault="00BE7FB3" w:rsidP="00BE7FB3">
      <w:pPr>
        <w:pStyle w:val="TextoNormal"/>
      </w:pPr>
    </w:p>
    <w:p w:rsidR="00BE7FB3" w:rsidRDefault="00BE7FB3" w:rsidP="00BE7FB3">
      <w:pPr>
        <w:pStyle w:val="TextoNormal"/>
      </w:pPr>
      <w:r w:rsidRPr="00BE7FB3">
        <w:rPr>
          <w:rStyle w:val="NumeroAFNegritaCaracter"/>
        </w:rPr>
        <w:t>20</w:t>
      </w:r>
      <w:r>
        <w:t xml:space="preserve">. Por providencia de 25 de septiembre de 2007, el Pleno, a propuesta de la Sección Cuarta, acordó admitir el recurso interpuesto y dar traslado de la demanda y documentos presentados, conforme establece el art. 34 LOTC, al Congreso y al Senado, por conducto de </w:t>
      </w:r>
      <w:r>
        <w:lastRenderedPageBreak/>
        <w:t>sus Presidentes, y al Gobierno, a través del Ministro de Justicia, al objeto de que, en el plazo de quince días, pudieran personarse en el proceso y formular las alegaciones que estimaren pertinentes. Acordó, igualmente, la publicación en el “Boletín Oficial del Estado” de la incoación del recurso, al que se asignó el núm. 6973-2007.</w:t>
      </w:r>
    </w:p>
    <w:p w:rsidR="00BE7FB3" w:rsidRDefault="00BE7FB3" w:rsidP="00BE7FB3">
      <w:pPr>
        <w:pStyle w:val="TextoNormal"/>
      </w:pPr>
    </w:p>
    <w:p w:rsidR="00BE7FB3" w:rsidRDefault="00BE7FB3" w:rsidP="00BE7FB3">
      <w:pPr>
        <w:pStyle w:val="TextoNormal"/>
      </w:pPr>
      <w:r w:rsidRPr="00BE7FB3">
        <w:rPr>
          <w:rStyle w:val="NumeroAFNegritaCaracter"/>
        </w:rPr>
        <w:t>21</w:t>
      </w:r>
      <w:r>
        <w:t>. Mediante escrito registrado en este Tribunal el 1 de octubre de 2007, el Abogado del Estado se personó y suplicó se le concediera prórroga de ocho días en el plazo para formular alegaciones. Por providencia del Pleno de 3 de octubre de 2007, se tuvo al Abogado del Estado por personado concediéndole la prórroga solicitada.</w:t>
      </w:r>
    </w:p>
    <w:p w:rsidR="00BE7FB3" w:rsidRDefault="00BE7FB3" w:rsidP="00BE7FB3">
      <w:pPr>
        <w:pStyle w:val="TextoNormal"/>
      </w:pPr>
    </w:p>
    <w:p w:rsidR="00BE7FB3" w:rsidRDefault="00BE7FB3" w:rsidP="00BE7FB3">
      <w:pPr>
        <w:pStyle w:val="TextoNormal"/>
      </w:pPr>
      <w:r w:rsidRPr="00BE7FB3">
        <w:rPr>
          <w:rStyle w:val="NumeroAFNegritaCaracter"/>
        </w:rPr>
        <w:t>22</w:t>
      </w:r>
      <w:r>
        <w:t>. Por escrito registrado en el Tribunal el 4 de octubre de 2007, el Presidente del Congreso comunicó el acuerdo de la Mesa de esta Cámara de personarse en el proceso y ofrecer su colaboración.</w:t>
      </w:r>
    </w:p>
    <w:p w:rsidR="00BE7FB3" w:rsidRDefault="00BE7FB3" w:rsidP="00BE7FB3">
      <w:pPr>
        <w:pStyle w:val="TextoNormal"/>
      </w:pPr>
    </w:p>
    <w:p w:rsidR="00BE7FB3" w:rsidRDefault="00BE7FB3" w:rsidP="00BE7FB3">
      <w:pPr>
        <w:pStyle w:val="TextoNormal"/>
      </w:pPr>
      <w:r w:rsidRPr="00BE7FB3">
        <w:rPr>
          <w:rStyle w:val="NumeroAFNegritaCaracter"/>
        </w:rPr>
        <w:t>23</w:t>
      </w:r>
      <w:r>
        <w:t>. El Presidente del Senado, por escrito registrado en este Tribunal el 10 de octubre de 2007, comunicó el acuerdo de la Mesa de la Cámara de personarse en el procedimiento ofreciendo su colaboración.</w:t>
      </w:r>
    </w:p>
    <w:p w:rsidR="00BE7FB3" w:rsidRDefault="00BE7FB3" w:rsidP="00BE7FB3">
      <w:pPr>
        <w:pStyle w:val="TextoNormal"/>
      </w:pPr>
    </w:p>
    <w:p w:rsidR="00BE7FB3" w:rsidRDefault="00BE7FB3" w:rsidP="00BE7FB3">
      <w:pPr>
        <w:pStyle w:val="TextoNormal"/>
      </w:pPr>
      <w:r w:rsidRPr="00BE7FB3">
        <w:rPr>
          <w:rStyle w:val="NumeroAFNegritaCaracter"/>
        </w:rPr>
        <w:t>24</w:t>
      </w:r>
      <w:r>
        <w:t>. Mediante escrito registrado en este Tribunal el 31 de octubre de 2007, el Abogado del Estado formuló alegaciones interesando la desestimación del recurso. Por medio de otrosí, solicitó la acumulación del recurso a los numerados 6963-2007, 6964-2007 y 6965-2007 por los motivos ya expuestos en el antecedente 6 de esta resolución.</w:t>
      </w:r>
    </w:p>
    <w:p w:rsidR="00BE7FB3" w:rsidRDefault="00BE7FB3" w:rsidP="00BE7FB3">
      <w:pPr>
        <w:pStyle w:val="TextoNormal"/>
      </w:pPr>
    </w:p>
    <w:p w:rsidR="00BE7FB3" w:rsidRDefault="00BE7FB3" w:rsidP="00BE7FB3">
      <w:pPr>
        <w:pStyle w:val="TextoNormal"/>
      </w:pPr>
      <w:r w:rsidRPr="00BE7FB3">
        <w:rPr>
          <w:rStyle w:val="NumeroAFNegritaCaracter"/>
        </w:rPr>
        <w:t>25</w:t>
      </w:r>
      <w:r>
        <w:t>. Mediante escrito registrado el 19 de septiembre de 2008, el Letrado de la Comunidad Autónoma de La Rioja, en nombre del Consejo de Gobierno de La Rioja, interpuso recurso de inconstitucionalidad contra los arts. 1, 2, 10.1, 11.3, 14, 15.6, 18.1, 38, disposición adicional sexta apartado primero, disposición adicional undécima, disposición transitoria primera y disposición final primera del Real Decreto Legislativo 2/2008, de 20 de junio, por el que se aprueba el texto refundido de la Ley de suelo.</w:t>
      </w:r>
    </w:p>
    <w:p w:rsidR="00BE7FB3" w:rsidRDefault="00BE7FB3" w:rsidP="00BE7FB3">
      <w:pPr>
        <w:pStyle w:val="TextoNormal"/>
      </w:pPr>
    </w:p>
    <w:p w:rsidR="00BE7FB3" w:rsidRDefault="00BE7FB3" w:rsidP="00BE7FB3">
      <w:pPr>
        <w:pStyle w:val="TextoNormal"/>
      </w:pPr>
      <w:r w:rsidRPr="00BE7FB3">
        <w:rPr>
          <w:rStyle w:val="NumeroAFNegritaCaracter"/>
        </w:rPr>
        <w:t>26</w:t>
      </w:r>
      <w:r>
        <w:t>. Por providencia de 7 de octubre de 2008, el Pleno, a propuesta de la Sección Cuarta, acordó admitir a trámite el recurso de inconstitucionalidad promovido por el Consejo de Gobierno de La Rioja y dar traslado de la demanda y documentos presentados al Congreso y el Senado, por conducto de sus Presidentes, y al Gobierno, a través del Ministro de Justicia, al objeto de que, en el plazo de quince días, pudieran personarse en el proceso y formular las alegaciones que estimaren convenientes. También acordó la publicación en el “Boletín Oficial del Estado” de la incoación del recurso, al que se asignó el núm. 7020-2008.</w:t>
      </w:r>
    </w:p>
    <w:p w:rsidR="00BE7FB3" w:rsidRDefault="00BE7FB3" w:rsidP="00BE7FB3">
      <w:pPr>
        <w:pStyle w:val="TextoNormal"/>
      </w:pPr>
    </w:p>
    <w:p w:rsidR="00BE7FB3" w:rsidRDefault="00BE7FB3" w:rsidP="00BE7FB3">
      <w:pPr>
        <w:pStyle w:val="TextoNormal"/>
      </w:pPr>
      <w:r w:rsidRPr="00BE7FB3">
        <w:rPr>
          <w:rStyle w:val="NumeroAFNegritaCaracter"/>
        </w:rPr>
        <w:t>27</w:t>
      </w:r>
      <w:r>
        <w:t>. El Presidente del Congreso comunicó, mediante escrito registrado en este Tribunal el 27 de octubre de 2008, el acuerdo de la Mesa de la Cámara de personarse en el procedimiento y ofrecer al Tribunal su colaboración.</w:t>
      </w:r>
    </w:p>
    <w:p w:rsidR="00BE7FB3" w:rsidRDefault="00BE7FB3" w:rsidP="00BE7FB3">
      <w:pPr>
        <w:pStyle w:val="TextoNormal"/>
      </w:pPr>
    </w:p>
    <w:p w:rsidR="00BE7FB3" w:rsidRDefault="00BE7FB3" w:rsidP="00BE7FB3">
      <w:pPr>
        <w:pStyle w:val="TextoNormal"/>
      </w:pPr>
      <w:r w:rsidRPr="00BE7FB3">
        <w:rPr>
          <w:rStyle w:val="NumeroAFNegritaCaracter"/>
        </w:rPr>
        <w:t>28</w:t>
      </w:r>
      <w:r>
        <w:t>. El Presidente del Senado comunicó, mediante escrito registrado en este Tribunal el 23 de octubre de 2008, el acuerdo de la Mesa de la Cámara de personarse en el procedimiento y ofrecer al Tribunal su colaboración.</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29</w:t>
      </w:r>
      <w:r>
        <w:t>. Mediante escrito registrado en este Tribunal el 30 de octubre de 2008, el Abogado del Estado se personó y formuló sus alegaciones interesando la desestimación del recurso. Por medio de otrosí, solicitó la acumulación de este recurso a los numerados 6963-2007, 6964-2007, 6965-2007 y 6973-2007 por los mismos motivos expuestos en el antecedente 6 de esta resolución.</w:t>
      </w:r>
    </w:p>
    <w:p w:rsidR="00BE7FB3" w:rsidRDefault="00BE7FB3" w:rsidP="00BE7FB3">
      <w:pPr>
        <w:pStyle w:val="TextoNormal"/>
      </w:pPr>
    </w:p>
    <w:p w:rsidR="00BE7FB3" w:rsidRDefault="00BE7FB3" w:rsidP="00BE7FB3">
      <w:pPr>
        <w:pStyle w:val="TextoNormal"/>
      </w:pPr>
      <w:r w:rsidRPr="00BE7FB3">
        <w:rPr>
          <w:rStyle w:val="NumeroAFNegritaCaracter"/>
        </w:rPr>
        <w:t>30</w:t>
      </w:r>
      <w:r>
        <w:t>. Mediante escrito presentado en el Registro General de este Tribunal el 26 de septiembre de 2008, el Letrado de la Comunidad de Madrid, en nombre del Consejo de Gobierno de la misma, interpuso recurso de inconstitucionalidad frente a los arts. 1, 2, 3.1, 4 f), 6 a) y b), 8.1 b) y c), 9, 10.1 a) y b), 11.3, 5 y 6, 14.1, 15, 16.1 b) y c), 22, 23, 39 y disposiciones adicionales primera y novena, disposiciones transitorias primera, segunda, tercera y cuarta y la disposición final primera del texto refundido de la Ley de suelo aprobado por el Real Decreto Legislativo 2/2008, de 20 de junio.</w:t>
      </w:r>
    </w:p>
    <w:p w:rsidR="00BE7FB3" w:rsidRDefault="00BE7FB3" w:rsidP="00BE7FB3">
      <w:pPr>
        <w:pStyle w:val="TextoNormal"/>
      </w:pPr>
    </w:p>
    <w:p w:rsidR="00BE7FB3" w:rsidRDefault="00BE7FB3" w:rsidP="00BE7FB3">
      <w:pPr>
        <w:pStyle w:val="TextoNormal"/>
      </w:pPr>
      <w:r w:rsidRPr="00BE7FB3">
        <w:rPr>
          <w:rStyle w:val="NumeroAFNegritaCaracter"/>
        </w:rPr>
        <w:t>31</w:t>
      </w:r>
      <w:r>
        <w:t>. Por providencia de 7 de octubre de 2008, el Pleno, a propuesta de la Sección Segunda, acordó admitir a trámite el recurso de inconstitucionalidad promovido por el Gobierno de la Comunidad de Madrid y dar traslado de la demanda y documentos presentados, conforme establece el art. 34 LOTC, al Congreso y al Senado, por conducto de sus Presidentes, y al Gobierno, a través del Ministro de Justicia, al objeto de que, en el plazo de quince días, pudieran personarse en el proceso y formular las alegaciones que estimaren convenientes. También acordó publicar en el “Boletín Oficial del Estado” la incoación del recurso, al que se asignó el núm. 7231-2008.</w:t>
      </w:r>
    </w:p>
    <w:p w:rsidR="00BE7FB3" w:rsidRDefault="00BE7FB3" w:rsidP="00BE7FB3">
      <w:pPr>
        <w:pStyle w:val="TextoNormal"/>
      </w:pPr>
    </w:p>
    <w:p w:rsidR="00BE7FB3" w:rsidRDefault="00BE7FB3" w:rsidP="00BE7FB3">
      <w:pPr>
        <w:pStyle w:val="TextoNormal"/>
      </w:pPr>
      <w:r w:rsidRPr="00BE7FB3">
        <w:rPr>
          <w:rStyle w:val="NumeroAFNegritaCaracter"/>
        </w:rPr>
        <w:t>32</w:t>
      </w:r>
      <w:r>
        <w:t>. Mediante escrito registrado el 16 de octubre de 2008, el Abogado del Estado se personó en el procedimiento y solicitó le fuera concedida prórroga en ocho días del plazo para formular alegaciones. Mediante providencia de 20 de octubre de 2008, el Pleno acordó tener por personado al Abogado del Estado y concederle dicha prórroga.</w:t>
      </w:r>
    </w:p>
    <w:p w:rsidR="00BE7FB3" w:rsidRDefault="00BE7FB3" w:rsidP="00BE7FB3">
      <w:pPr>
        <w:pStyle w:val="TextoNormal"/>
      </w:pPr>
    </w:p>
    <w:p w:rsidR="00BE7FB3" w:rsidRDefault="00BE7FB3" w:rsidP="00BE7FB3">
      <w:pPr>
        <w:pStyle w:val="TextoNormal"/>
      </w:pPr>
      <w:r w:rsidRPr="00BE7FB3">
        <w:rPr>
          <w:rStyle w:val="NumeroAFNegritaCaracter"/>
        </w:rPr>
        <w:t>33</w:t>
      </w:r>
      <w:r>
        <w:t>. El Presidente del Congreso comunicó, mediante escrito registrado en este Tribunal el 27 de octubre de 2008, el acuerdo de la Mesa de la Cámara de personarse en el procedimiento y ofrecer al Tribunal su colaboración.</w:t>
      </w:r>
    </w:p>
    <w:p w:rsidR="00BE7FB3" w:rsidRDefault="00BE7FB3" w:rsidP="00BE7FB3">
      <w:pPr>
        <w:pStyle w:val="TextoNormal"/>
      </w:pPr>
    </w:p>
    <w:p w:rsidR="00BE7FB3" w:rsidRDefault="00BE7FB3" w:rsidP="00BE7FB3">
      <w:pPr>
        <w:pStyle w:val="TextoNormal"/>
      </w:pPr>
      <w:r w:rsidRPr="00BE7FB3">
        <w:rPr>
          <w:rStyle w:val="NumeroAFNegritaCaracter"/>
        </w:rPr>
        <w:t>34</w:t>
      </w:r>
      <w:r>
        <w:t>. El Presidente del Senado comunicó, mediante escrito registrado en este Tribunal el 23 de octubre de 2008, el acuerdo de la Mesa de la Cámara de personarse en el procedimiento y ofrecer al Tribunal su colaboración.</w:t>
      </w:r>
    </w:p>
    <w:p w:rsidR="00BE7FB3" w:rsidRDefault="00BE7FB3" w:rsidP="00BE7FB3">
      <w:pPr>
        <w:pStyle w:val="TextoNormal"/>
      </w:pPr>
    </w:p>
    <w:p w:rsidR="00BE7FB3" w:rsidRDefault="00BE7FB3" w:rsidP="00BE7FB3">
      <w:pPr>
        <w:pStyle w:val="TextoNormal"/>
      </w:pPr>
      <w:r w:rsidRPr="00BE7FB3">
        <w:rPr>
          <w:rStyle w:val="NumeroAFNegritaCaracter"/>
        </w:rPr>
        <w:t>35</w:t>
      </w:r>
      <w:r>
        <w:t>. Mediante escrito registrado el día 11 de noviembre de 2008, el Abogado del Estado formula alegaciones interesando la desestimación del recurso y solicitando, por medio de otrosí, la acumulación de este recurso a los numerados 6963-2007, 6964-2007, 6965-2007, 6973-2007 y 7020-2008 por los mismos motivos ya expuestos en el antecedente 6 de esta resolución.</w:t>
      </w:r>
    </w:p>
    <w:p w:rsidR="00BE7FB3" w:rsidRDefault="00BE7FB3" w:rsidP="00BE7FB3">
      <w:pPr>
        <w:pStyle w:val="TextoNormal"/>
      </w:pPr>
    </w:p>
    <w:p w:rsidR="00BE7FB3" w:rsidRDefault="00BE7FB3" w:rsidP="00BE7FB3">
      <w:pPr>
        <w:pStyle w:val="TextoNormal"/>
      </w:pPr>
      <w:r w:rsidRPr="00BE7FB3">
        <w:rPr>
          <w:rStyle w:val="NumeroAFNegritaCaracter"/>
        </w:rPr>
        <w:t>36</w:t>
      </w:r>
      <w:r>
        <w:t>. Por providencia de 29 de enero de 2013 se acordó conceder un plazo de diez días a los recurrentes y al Abogado del Estado para que alegaran lo que estimaran oportuno sobre la acumulación al recurso núm. 6963-2007 de los numerados 6964-2007, 6965-2007, 6973-2007, 7020-2008 y 7231-2008.</w:t>
      </w:r>
    </w:p>
    <w:p w:rsidR="00BE7FB3" w:rsidRDefault="00BE7FB3" w:rsidP="00BE7FB3">
      <w:pPr>
        <w:pStyle w:val="TextoNormal"/>
      </w:pPr>
    </w:p>
    <w:p w:rsidR="00BE7FB3" w:rsidRDefault="00BE7FB3" w:rsidP="00BE7FB3">
      <w:pPr>
        <w:pStyle w:val="TextoNormal"/>
      </w:pPr>
      <w:r w:rsidRPr="00BE7FB3">
        <w:rPr>
          <w:rStyle w:val="NumeroAFNegritaCaracter"/>
        </w:rPr>
        <w:t>37</w:t>
      </w:r>
      <w:r>
        <w:t>. En escrito registrado en este Tribunal el 1 de febrero de 2013, el Abogado del Estado muestra su conformidad con la acumulación de todos los recursos por entender que concurren circunstancias de conexión objetiva que justifican una sola tramitación y una sola decisión (art. 83 LOTC), tanto por la significativa, aunque parcial, coincidencia en los preceptos recurridos (sean de la Ley o de su texto refundido), como por la similitud de la fundamentación constitucional de los recursos.</w:t>
      </w:r>
    </w:p>
    <w:p w:rsidR="00BE7FB3" w:rsidRDefault="00BE7FB3" w:rsidP="00BE7FB3">
      <w:pPr>
        <w:pStyle w:val="TextoNormal"/>
      </w:pPr>
    </w:p>
    <w:p w:rsidR="00BE7FB3" w:rsidRDefault="00BE7FB3" w:rsidP="00BE7FB3">
      <w:pPr>
        <w:pStyle w:val="TextoNormal"/>
      </w:pPr>
      <w:r w:rsidRPr="00BE7FB3">
        <w:rPr>
          <w:rStyle w:val="NumeroAFNegritaCaracter"/>
        </w:rPr>
        <w:t>38</w:t>
      </w:r>
      <w:r>
        <w:t>. En escrito registrado en este Tribunal el 6 de febrero de 2013, la Letrada de la Comunidad de Madrid expone que considera que concurre la conexión de objeto que justifica la unidad de tramitación y decisión y que, por tanto, no se opone a la acumulación.</w:t>
      </w:r>
    </w:p>
    <w:p w:rsidR="00BE7FB3" w:rsidRDefault="00BE7FB3" w:rsidP="00BE7FB3">
      <w:pPr>
        <w:pStyle w:val="TextoNormal"/>
      </w:pPr>
    </w:p>
    <w:p w:rsidR="00BE7FB3" w:rsidRDefault="00BE7FB3" w:rsidP="00BE7FB3">
      <w:pPr>
        <w:pStyle w:val="TextoNormal"/>
      </w:pPr>
      <w:r w:rsidRPr="00BE7FB3">
        <w:rPr>
          <w:rStyle w:val="NumeroAFNegritaCaracter"/>
        </w:rPr>
        <w:t>39</w:t>
      </w:r>
      <w:r>
        <w:t>. Mediante escrito registrado el 8 de febrero de 2013, la Directora General del Servicio Jurídico del Gobierno de Canarias manifiesta que no se opone a la acumulación propuesta dada la identidad de razón de los recursos cuya acumulación se plantea.</w:t>
      </w:r>
    </w:p>
    <w:p w:rsidR="00BE7FB3" w:rsidRDefault="00BE7FB3" w:rsidP="00BE7FB3">
      <w:pPr>
        <w:pStyle w:val="TextoNormal"/>
      </w:pPr>
    </w:p>
    <w:p w:rsidR="00BE7FB3" w:rsidRDefault="00BE7FB3" w:rsidP="00BE7FB3">
      <w:pPr>
        <w:pStyle w:val="TextoNormal"/>
      </w:pPr>
      <w:r w:rsidRPr="00BE7FB3">
        <w:rPr>
          <w:rStyle w:val="NumeroAFNegritaCaracter"/>
        </w:rPr>
        <w:t>40</w:t>
      </w:r>
      <w:r>
        <w:t>. Transcurrido el plazo para formular alegaciones sobre la acumulación instada, no presentaron escritos ni los Diputados del Partido Popular ni el Gobierno de La Rioja.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art. 83 de la Ley Orgánica del Tribunal Constitucional (LOTC) permite, de oficio o a instancia de parte, previa audiencia de los comparecidos en el proceso constitucional, disponer la acumulación de aquellos procedimientos con objetos conexos que justifiquen la unidad de tramitación y decisión. Se establecen, pues, dos requisitos diferentes que han de concurrir necesariamente de manera simultánea para que proceda dicha acumulación: por una parte, la conexión entre los objetos de los procesos de que se trate; por otra, que tal conexión sea relevante en relación con su tramitación y decisión unitarias, o, lo que es lo mismo, que la referida conexión justifique la unidad de tramitación y decisión (por todos, ATC 107/2012, de 22 de mayo).</w:t>
      </w:r>
    </w:p>
    <w:p w:rsidR="00BE7FB3" w:rsidRDefault="00BE7FB3" w:rsidP="00BE7FB3">
      <w:pPr>
        <w:pStyle w:val="TextoNormal"/>
      </w:pPr>
    </w:p>
    <w:p w:rsidR="00BE7FB3" w:rsidRDefault="00BE7FB3" w:rsidP="00BE7FB3">
      <w:pPr>
        <w:pStyle w:val="TextoNormal"/>
      </w:pPr>
      <w:r>
        <w:t>En el presente caso, entre los recursos de inconstitucionalidad núms. 6963-2007, 6964-2007, 6965-2007, 6973-2007, 7020-2008 y 7231-2008 existe una clara conexión que es relevante para su tramitación y decisión unitarias, pues, por un lado, hay una amplia —aunque parcial— coincidencia en cuanto al objeto (se recurren los mismos preceptos de la Ley 8/2007, de suelo o de su texto refundido) y la impugnación se basa, sustancialmente, en motivos idénticos o similares. Resulta por ello conveniente acordar la unidad de decisión de estos procesos constitucionales, conforme a lo establecido en el art. 83 LOTC.</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Acumular los recursos de inconstitucionalidad núms. 6964-2007, 6965-2007, 6973-2007, 7020-2008 y 7231-2008 al recurso de inconstitucionalidad núm. 6963-2007.</w:t>
      </w:r>
    </w:p>
    <w:p w:rsidR="00BE7FB3" w:rsidRDefault="00BE7FB3" w:rsidP="00BE7FB3">
      <w:pPr>
        <w:pStyle w:val="TextoNormal"/>
      </w:pPr>
    </w:p>
    <w:p w:rsidR="00BE7FB3" w:rsidRDefault="00BE7FB3" w:rsidP="00BE7FB3">
      <w:pPr>
        <w:pStyle w:val="TextoNormal"/>
      </w:pPr>
      <w:r>
        <w:t>Madrid, a nueve de abril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20" w:name="AUTO_2013_79"/>
      <w:r>
        <w:lastRenderedPageBreak/>
        <w:t>AUTO 79/2013, de 9 de abril de 2013</w:t>
      </w:r>
    </w:p>
    <w:bookmarkEnd w:id="220"/>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ECLI:ES:TC:2013:79A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por desaparición sobrevenida de su objeto, de la cuestión de inconstitucionalidad 5642-2012, planteada por la Sala Social del Tribunal Superior de Justicia de Castilla-La Mancha en relación con la disposición adicional tercera de la Ley 40/2007, de 4 de diciembre de 2007.</w:t>
      </w:r>
    </w:p>
    <w:p w:rsidR="00BE7FB3" w:rsidRDefault="00BE7FB3" w:rsidP="00BE7FB3">
      <w:pPr>
        <w:pStyle w:val="SntesisDescriptiva"/>
      </w:pPr>
    </w:p>
    <w:p w:rsidR="00BE7FB3" w:rsidRDefault="00BE7FB3" w:rsidP="00BE7FB3">
      <w:pPr>
        <w:pStyle w:val="SntesisAnaltica"/>
      </w:pPr>
      <w:r>
        <w:t>Cuestión de inconstitucionalidad: extinción de cuestión de inconstitucionalidad;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8 de octubre de 2012 tuvo entrada en el Registro General de este Tribunal Constitucional oficio de la Sala de lo Social del Tribunal Superior de Justicia de Castilla-La Mancha por el que se eleva testimonio de las actuaciones correspondientes al recurso de suplicación núm. 781-2011, en cumplimiento del Auto del mismo órgano jurisdiccional de 20 de diciembre de 2011, que se acompaña, por el que se acuerda plantear cuestión de inconstitucionalidad en relación con la disposición adicional tercera c) de la Ley 40/2007, de 4 de diciembre, de medidas en materia de Seguridad Social (en adelante, Ley 40/2007), por posible vulneración de los arts. 10.1 CE y 14 CE.</w:t>
      </w:r>
    </w:p>
    <w:p w:rsidR="00BE7FB3" w:rsidRDefault="00BE7FB3" w:rsidP="00BE7FB3">
      <w:pPr>
        <w:pStyle w:val="TextoNormal"/>
      </w:pPr>
    </w:p>
    <w:p w:rsidR="00BE7FB3" w:rsidRDefault="00BE7FB3" w:rsidP="00BE7FB3">
      <w:pPr>
        <w:pStyle w:val="TextoNormal"/>
      </w:pPr>
      <w:r w:rsidRPr="00BE7FB3">
        <w:rPr>
          <w:rStyle w:val="NumeroAFNegritaCaracter"/>
        </w:rPr>
        <w:t>2</w:t>
      </w:r>
      <w:r>
        <w:t>. El planteamiento de la cuestión tiene su origen en el recurso de suplicación formulado por doña Pilar Torrijos Oviedo frente a la Sentencia del Juzgado de lo Social núm. 3 de Toledo, de 28 de junio de 2010, que desestimó su solicitud de pensión de viudedad por no cumplirse el requisito previsto en el apartado c) de la disposición adicional tercera, de la citada Ley 40/2007, que requiere “que el causante y el beneficiario hubieran tenido hijos comunes”. En el recurso de suplicación, la parte demandante solicitaba el planteamiento por la Sala de una cuestión de inconstitucionalidad con relación al citado apartado de esa disposición adicional por posible vulneración del art. 14 CE, al considerar que provocaba una discriminación basada en una circunstancia personal, o si se quiere social, como era la de no haber tenido hijos comunes con el causante de la pensión de viudedad, frente a aquellos parejas que sí los habían tenido.</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Por providencia de 5 de octubre de 2011, la Sala de lo Social del Tribunal Superior de Justicia de Castilla-La Mancha acordó conceder a las partes y al Ministerio Fiscal un plazo </w:t>
      </w:r>
      <w:r>
        <w:lastRenderedPageBreak/>
        <w:t>de diez días para que pudieran formular las alegaciones que estimasen oportunas sobre la pertinencia de plantear cuestión de inconstitucionalidad frente a la disposición adicional tercera c) de la Ley 40/2007, por posible vulneración de los arts. 14, 9 y 10 CE. Este trámite fue sustanciado conforme a lo dispuesto en el art. 35.2 de la Ley Orgánica del Tribunal Constitucional (LOTC).</w:t>
      </w:r>
    </w:p>
    <w:p w:rsidR="00BE7FB3" w:rsidRDefault="00BE7FB3" w:rsidP="00BE7FB3">
      <w:pPr>
        <w:pStyle w:val="TextoNormal"/>
      </w:pPr>
    </w:p>
    <w:p w:rsidR="00BE7FB3" w:rsidRDefault="00BE7FB3" w:rsidP="00BE7FB3">
      <w:pPr>
        <w:pStyle w:val="TextoNormal"/>
      </w:pPr>
      <w:r w:rsidRPr="00BE7FB3">
        <w:rPr>
          <w:rStyle w:val="NumeroAFNegritaCaracter"/>
        </w:rPr>
        <w:t>4</w:t>
      </w:r>
      <w:r>
        <w:t>. La Sala de lo Social del Tribunal Superior de Justicia de Castilla-La Mancha, mediante Auto de 20 de diciembre de 2011, acordó plantear cuestión de inconstitucionalidad sobre el apartado c) de la disposición adicional tercera de la Ley 40/2007, por la eventual vulneración de los arts. 10.1 y 14 CE. En este sentido, señala que la exigencia contenida en el citado apartado (que el causante y el beneficiario de la pensión hubieran tenido hijos comunes) podría suponer la introducción de un elemento circunstancial (personal o social) de diferenciación no razonable, e incluso arbitraria, al no estar directamente relacionada con la prestación objeto de regulación. Se indica al respecto, que la norma no tiene en cuenta la situación de los hijos (si existe obligación de alimentos respecto a ellos), la causa de la inexistencia de estos últimos (si era por infertilidad o por elección personal de índole ideológica), o si concurrían hijos no comunes a cargo de la pareja de hecho que pudieran estar en una situación de necesidad. Finalmente, se precisa que la cuestión que se plantea no está relacionada con un distinto trato entre personas con vínculo matrimonial y parejas de hecho (distinción que la doctrina constitucional no ha considerado que atente contra el derecho a la igualdad) sino que la comparación se debe efectuar entre parejas de hecho que están en las mismas circunstancias, salvo la relativa a la de la tenencia de hijos en común.</w:t>
      </w:r>
    </w:p>
    <w:p w:rsidR="00BE7FB3" w:rsidRDefault="00BE7FB3" w:rsidP="00BE7FB3">
      <w:pPr>
        <w:pStyle w:val="TextoNormal"/>
      </w:pPr>
    </w:p>
    <w:p w:rsidR="00BE7FB3" w:rsidRDefault="00BE7FB3" w:rsidP="00BE7FB3">
      <w:pPr>
        <w:pStyle w:val="TextoNormal"/>
      </w:pPr>
      <w:r w:rsidRPr="00BE7FB3">
        <w:rPr>
          <w:rStyle w:val="NumeroAFNegritaCaracter"/>
        </w:rPr>
        <w:t>5</w:t>
      </w:r>
      <w:r>
        <w:t>. Mediante providencia de 29 de enero de 2013, este Tribunal acordó admitir a trámite la cuestión de inconstitucionalidad, reservando el Pleno para sí el conocimiento de la misma conforme a lo dispuesto en el art. 10.1 c) LOTC, así como dar traslado, de conformidad con el art. 37.3 LOTC, de las actuaciones recibidas al Congreso de los Diputados y al Senado, al Gobierno, y al Fiscal General del Estado, al objeto de que pudieran personarse en el proceso y formular las alegaciones que estimasen convenientes. Se dispuso, igualmente, que se comunicase esa resolución a la Sala de lo Social del Tribunal Superior de Justicia a fin de que, de conformidad con lo dispuesto en el art. 35.3 LOTC, permaneciese suspendido el proceso hasta que este Tribunal resolviese la cuestión, ordenando también la publicación de la incoación de la cuestión en el “Boletín Oficial del Estado” (lo que se produjo en el “BOE” núm. 36, de 11 de febrero de 2013).</w:t>
      </w:r>
    </w:p>
    <w:p w:rsidR="00BE7FB3" w:rsidRDefault="00BE7FB3" w:rsidP="00BE7FB3">
      <w:pPr>
        <w:pStyle w:val="TextoNormal"/>
      </w:pPr>
    </w:p>
    <w:p w:rsidR="00BE7FB3" w:rsidRDefault="00BE7FB3" w:rsidP="00BE7FB3">
      <w:pPr>
        <w:pStyle w:val="TextoNormal"/>
      </w:pPr>
      <w:r w:rsidRPr="00BE7FB3">
        <w:rPr>
          <w:rStyle w:val="NumeroAFNegritaCaracter"/>
        </w:rPr>
        <w:t>6</w:t>
      </w:r>
      <w:r>
        <w:t>. Por diligencia de ordenación de la Secretaría de Justicia del Pleno del Tribunal Constitucional de 29 de enero de 2013 se comunicó, de conformidad con lo establecido en el art. 37.2 LOTC, la posibilidad de personación en el procedimiento de que quienes fuesen parte en el recurso de suplicación núm. 781-2011.</w:t>
      </w:r>
    </w:p>
    <w:p w:rsidR="00BE7FB3" w:rsidRDefault="00BE7FB3" w:rsidP="00BE7FB3">
      <w:pPr>
        <w:pStyle w:val="TextoNormal"/>
      </w:pPr>
    </w:p>
    <w:p w:rsidR="00BE7FB3" w:rsidRDefault="00BE7FB3" w:rsidP="00BE7FB3">
      <w:pPr>
        <w:pStyle w:val="TextoNormal"/>
      </w:pPr>
      <w:r w:rsidRPr="00BE7FB3">
        <w:rPr>
          <w:rStyle w:val="NumeroAFNegritaCaracter"/>
        </w:rPr>
        <w:t>7</w:t>
      </w:r>
      <w:r>
        <w:t>. Mediante escrito que tuvo entrada en este Tribunal el 12 de febrero de 2013, se personó la Letrada de la Administración de la Seguridad Social doña Pilar García Perea, en nombre y representación del Instituto Nacional de la Seguridad Social (en adelante, INSS) conforme al art. 37.2 LOTC al haber sido parte en el procedimiento.</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8</w:t>
      </w:r>
      <w:r>
        <w:t>. Por diligencia de ordenación de 13 de febrero de 2013 de la Secretaría de Justicia del Pleno de este Tribunal, se acordó tener por personado y parte al INSS a través de su representación procesal y concederle, conforme al art. 37.2 LOTC, un plazo de quince días para que formulase las alegaciones que estimase convenientes.</w:t>
      </w:r>
    </w:p>
    <w:p w:rsidR="00BE7FB3" w:rsidRDefault="00BE7FB3" w:rsidP="00BE7FB3">
      <w:pPr>
        <w:pStyle w:val="TextoNormal"/>
      </w:pPr>
    </w:p>
    <w:p w:rsidR="00BE7FB3" w:rsidRDefault="00BE7FB3" w:rsidP="00BE7FB3">
      <w:pPr>
        <w:pStyle w:val="TextoNormal"/>
      </w:pPr>
      <w:r w:rsidRPr="00BE7FB3">
        <w:rPr>
          <w:rStyle w:val="NumeroAFNegritaCaracter"/>
        </w:rPr>
        <w:t>9</w:t>
      </w:r>
      <w:r>
        <w:t>. Mediante escrito que tuvo entrada en este Tribunal con fecha de 13 de febrero de 2013, el Presidente del Senado puso en conocimiento el acuerdo de la Mesa de la Cámara de dar por personada a esa Cámara en el procedimiento y por ofrecida su colaboración a los efectos del art. 88.1 de la Ley Orgánica del Tribunal Constitucional.</w:t>
      </w:r>
    </w:p>
    <w:p w:rsidR="00BE7FB3" w:rsidRDefault="00BE7FB3" w:rsidP="00BE7FB3">
      <w:pPr>
        <w:pStyle w:val="TextoNormal"/>
      </w:pPr>
    </w:p>
    <w:p w:rsidR="00BE7FB3" w:rsidRDefault="00BE7FB3" w:rsidP="00BE7FB3">
      <w:pPr>
        <w:pStyle w:val="TextoNormal"/>
      </w:pPr>
      <w:r w:rsidRPr="00BE7FB3">
        <w:rPr>
          <w:rStyle w:val="NumeroAFNegritaCaracter"/>
        </w:rPr>
        <w:t>10</w:t>
      </w:r>
      <w:r>
        <w:t>. El Presidente del Congreso de los Diputados presentó escrito, con fecha de registro de 13 de febrero de 2013, por el que comunicó el acuerdo sobre la personación de esa Cámara en el procedimiento, ofreciendo su colaboración a los efectos del art. 88.1 de la Ley Orgánica del Tribunal Constitucional.</w:t>
      </w:r>
    </w:p>
    <w:p w:rsidR="00BE7FB3" w:rsidRDefault="00BE7FB3" w:rsidP="00BE7FB3">
      <w:pPr>
        <w:pStyle w:val="TextoNormal"/>
      </w:pPr>
    </w:p>
    <w:p w:rsidR="00BE7FB3" w:rsidRDefault="00BE7FB3" w:rsidP="00BE7FB3">
      <w:pPr>
        <w:pStyle w:val="TextoNormal"/>
      </w:pPr>
      <w:r w:rsidRPr="00BE7FB3">
        <w:rPr>
          <w:rStyle w:val="NumeroAFNegritaCaracter"/>
        </w:rPr>
        <w:t>11</w:t>
      </w:r>
      <w:r>
        <w:t>. El Abogado del Estado formuló alegaciones mediante escrito con fecha de registro de 21 de febrero de 2013 interesando la desestimación de la cuestión planteada. Se comienza precisando que aunque en el Auto de planteamiento se alega la vulneración de los arts. 10.1 CE y 14 CE, no se efectúa razonamiento alguno respecto al primero de los preceptos indicados por lo que la norma impugnada tiene que ser examinada únicamente desde la perspectiva del derecho a la igualdad y no discriminación (art. 14 CE). Después, se expone la regulación jurídica de la pensión de viudedad antes y después de la aprobación de la Ley 40/2007, así como la doctrina constitucional relativa al principio de igualdad que se considera aplicable al caso. Tras ello, el Abogado del Estado pasa a examinar la constitucionalidad de la norma cuestionada, no sin antes recordar que supone una excepcional extensión retroactiva de la cobertura proporcionada a las parejas de hecho tras la entrada en vigor de la Ley 40/2007. Niega que exista en la norma cuestionada intención discriminatoria alguna, al haberse limitado a concretar el ámbito de beneficiarios de una medida excepcional teniendo en cuenta las disponibilidades financieras del sistema. Asimismo, se niega que las situaciones comparadas resulten iguales y que la diferenciación esté injustificada, ya que, con fundamento en la protección constitucional de la familia, la diferenciación se basa en el mayor grado de necesidad de las parejas de hecho que tienen hijos.</w:t>
      </w:r>
    </w:p>
    <w:p w:rsidR="00BE7FB3" w:rsidRDefault="00BE7FB3" w:rsidP="00BE7FB3">
      <w:pPr>
        <w:pStyle w:val="TextoNormal"/>
      </w:pPr>
    </w:p>
    <w:p w:rsidR="00BE7FB3" w:rsidRDefault="00BE7FB3" w:rsidP="00BE7FB3">
      <w:pPr>
        <w:pStyle w:val="TextoNormal"/>
      </w:pPr>
      <w:r w:rsidRPr="00BE7FB3">
        <w:rPr>
          <w:rStyle w:val="NumeroAFNegritaCaracter"/>
        </w:rPr>
        <w:t>12</w:t>
      </w:r>
      <w:r>
        <w:t>. Mediante escrito que tuvo entrada en este Tribunal con fecha de 22 de febrero de 2013 efectuó alegaciones el Fiscal General del Estado interesando un pronunciamiento de este Tribunal de carácter desestimatorio, al considerar que la norma cuestionada no vulnera el art. 14 CE, teniendo en cuenta la excepcionalidad de la norma retroactiva, su vinculación a las cargas familiares del superviviente de la pareja, y la finalidad protectora hacia los hijos habidos en las uniones de hecho. En definitiva, la existencia de hijos comunes sirve, a su juicio, para identificar una concreta necesidad familiar precisada de una ayuda económica, y si no hay tal necesidad familiar carecerá de justificación aquella ayuda.</w:t>
      </w:r>
    </w:p>
    <w:p w:rsidR="00BE7FB3" w:rsidRDefault="00BE7FB3" w:rsidP="00BE7FB3">
      <w:pPr>
        <w:pStyle w:val="TextoNormal"/>
      </w:pPr>
    </w:p>
    <w:p w:rsidR="00BE7FB3" w:rsidRDefault="00BE7FB3" w:rsidP="00BE7FB3">
      <w:pPr>
        <w:pStyle w:val="TextoNormal"/>
      </w:pPr>
      <w:r w:rsidRPr="00BE7FB3">
        <w:rPr>
          <w:rStyle w:val="NumeroAFNegritaCaracter"/>
        </w:rPr>
        <w:t>13</w:t>
      </w:r>
      <w:r>
        <w:t xml:space="preserve">. Mediante escrito con fecha de registro de 26 de febrero de 2013, la Procuradora de los Tribunales doña María del Mar Montero de Cozar Millet, en nombre y representación de doña Pilar Torrijos Oviedo, se persona en el procedimiento en su condición de parte </w:t>
      </w:r>
      <w:r>
        <w:lastRenderedPageBreak/>
        <w:t>recurrente en el recurso de suplicación 781-2011 seguido ante la Sala de lo Social del Tribunal Superior de Justicia de Castilla-La Mancha.</w:t>
      </w:r>
    </w:p>
    <w:p w:rsidR="00BE7FB3" w:rsidRDefault="00BE7FB3" w:rsidP="00BE7FB3">
      <w:pPr>
        <w:pStyle w:val="TextoNormal"/>
      </w:pPr>
    </w:p>
    <w:p w:rsidR="00BE7FB3" w:rsidRDefault="00BE7FB3" w:rsidP="00BE7FB3">
      <w:pPr>
        <w:pStyle w:val="TextoNormal"/>
      </w:pPr>
      <w:r w:rsidRPr="00BE7FB3">
        <w:rPr>
          <w:rStyle w:val="NumeroAFNegritaCaracter"/>
        </w:rPr>
        <w:t>14</w:t>
      </w:r>
      <w:r>
        <w:t>. Por diligencia de ordenación de 27 de febrero de 2013 de la Secretaría de Justicia del Pleno de este Tribunal se tiene por personada y parte en la presente cuestión de inconstitucionalidad a la Procuradora de los Tribunales doña María del Mar Montero de Cozar Millet en la representación que ostenta, concediéndole un plazo de quince días para que pudiese formular alegaciones conforme a lo dispuesto en el art. 37.2 LOTC.</w:t>
      </w:r>
    </w:p>
    <w:p w:rsidR="00BE7FB3" w:rsidRDefault="00BE7FB3" w:rsidP="00BE7FB3">
      <w:pPr>
        <w:pStyle w:val="TextoNormal"/>
      </w:pPr>
    </w:p>
    <w:p w:rsidR="00BE7FB3" w:rsidRDefault="00BE7FB3" w:rsidP="00BE7FB3">
      <w:pPr>
        <w:pStyle w:val="TextoNormal"/>
      </w:pPr>
      <w:r w:rsidRPr="00BE7FB3">
        <w:rPr>
          <w:rStyle w:val="NumeroAFNegritaCaracter"/>
        </w:rPr>
        <w:t>15</w:t>
      </w:r>
      <w:r>
        <w:t>. Por escrito con fecha de registro de 13 de marzo de 2013, formuló alegaciones la Letrada de la Administración de la Seguridad Social en nombre y representación del INSS, alegando la desaparición sobrevenida del objeto del proceso al haberse declarado nula la letra c) de la disposición adicional tercera de la Ley 40/2007 por la Sentencia de este Tribunal de fecha 14 de febrero de 2013.</w:t>
      </w:r>
    </w:p>
    <w:p w:rsidR="00BE7FB3" w:rsidRDefault="00BE7FB3" w:rsidP="00BE7FB3">
      <w:pPr>
        <w:pStyle w:val="TextoNormal"/>
      </w:pPr>
    </w:p>
    <w:p w:rsidR="00BE7FB3" w:rsidRDefault="00BE7FB3" w:rsidP="00BE7FB3">
      <w:pPr>
        <w:pStyle w:val="TextoNormal"/>
      </w:pPr>
      <w:r w:rsidRPr="00BE7FB3">
        <w:rPr>
          <w:rStyle w:val="NumeroAFNegritaCaracter"/>
        </w:rPr>
        <w:t>16</w:t>
      </w:r>
      <w:r>
        <w:t>. Por escrito con fecha de registro de 19 de marzo de 2013 formuló alegaciones la Procuradora de los Tribunales doña María del Mar Montero de Cozar Millet, en nombre y representación de doña Pilar Torrijos Oviedo, instando a que se estime la cuestión de inconstitucionalidad planteada y se declare inconstitucional y nula la letra c) de la disposición adicional tercera de la Ley 40/2007, de 4 de diciembre, por vulneración del art. 14 CE, al exigirse un requisito para ser beneficiario de la prestación de viudedad que no guarda ninguna relación ni justificación con la finalidad de la misma.</w:t>
      </w:r>
    </w:p>
    <w:p w:rsidR="00BE7FB3" w:rsidRDefault="00BE7FB3" w:rsidP="00BE7FB3">
      <w:pPr>
        <w:pStyle w:val="TextoNormal"/>
      </w:pPr>
    </w:p>
    <w:p w:rsidR="00BE7FB3" w:rsidRDefault="00BE7FB3" w:rsidP="00BE7FB3">
      <w:pPr>
        <w:pStyle w:val="TextoNormal"/>
      </w:pPr>
      <w:r w:rsidRPr="00BE7FB3">
        <w:rPr>
          <w:rStyle w:val="NumeroAFNegritaCaracter"/>
        </w:rPr>
        <w:t>17</w:t>
      </w:r>
      <w:r>
        <w:t>. Mediante diligencia de ordenación de 20 de marzo de 2013 se hace constar que dentro del plazo conferido en la providencia de admisión a trámite del presente proceso se han personado en el mismo y formulado escrito de alegaciones el Abogado del Estado, el Fiscal General del Estado, la representación legal del Instituto Nacional de la Seguridad Social, y doña Pilar Torrijos Oviedo, quedando pendiente para deliberación y votación de la Sentencia, sin perjuicio de lo dispuesto en el art. 84 LOTC.</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presente cuestión de inconstitucionalidad ha sido promovida por la Sala de lo Social del Tribunal Superior de Justicia de Castilla-La Mancha respecto a la disposición adicional tercera, apartado c), de la Ley 40/2007, de 4 de diciembre, de medidas en materia de Seguridad Social, que prevé como requisito para poder causar derecho a la pensión de viudedad en supuestos de parejas de hecho en las que el fallecimiento del causante se produjo antes de la entrada en vigor de esa Ley, el “que el causante y el beneficiario hubieran tenido hijos en común”. Tal norma, a juicio de esa Sala, podría vulnerar los arts. 10.1 CE y 14 CE por exigir un requisito (tener hijos en común) que constituiría un elemento circunstancial (personal o social) de diferenciación no razonable, e incluso arbitrario, al no estar directamente relacionada con la finalidad de la prestación objeto de regulación.</w:t>
      </w:r>
    </w:p>
    <w:p w:rsidR="00BE7FB3" w:rsidRDefault="00BE7FB3" w:rsidP="00BE7FB3">
      <w:pPr>
        <w:pStyle w:val="TextoNormal"/>
      </w:pPr>
    </w:p>
    <w:p w:rsidR="00BE7FB3" w:rsidRDefault="00BE7FB3" w:rsidP="00BE7FB3">
      <w:pPr>
        <w:pStyle w:val="TextoNormal"/>
      </w:pPr>
      <w:r>
        <w:t xml:space="preserve">Este Tribunal, en su reciente STC 41/2013, de 14 de febrero, dictada con posterioridad a que la presente cuestión de inconstitucionalidad fuera admitida a trámite, resolvió la cuestión de inconstitucionalidad planteada por el Juzgado de lo Social núm. 33 de Barcelona, </w:t>
      </w:r>
      <w:r>
        <w:lastRenderedPageBreak/>
        <w:t>con relación a la disposición adicional tercera c) de la Ley 40/2007, de 4 de diciembre, de medidas en materia de Seguridad Social por posible vulneración del art. 14 CE. En esa Sentencia hemos declarado inconstitucional y nula la letra c) de la disposición adicional que en este proceso constitucional se cuestiona, por vulneración del principio de igualdad ante la ley consagrado por el art. 14 CE. Se sigue de ello que el precepto cuestionado ha sido expulsado del Ordenamiento, una vez anulado por inconstitucional, lo que impone ahora apreciar, conforme a reiterada jurisprudencia de este Tribunal la desaparición sobrevenida del objeto de la presente cuestión, al haber quedado disipada la duda de constitucionalidad planteada por el órgano judicial (AATC 45/2010, de 14 de abril, FJ único; 88/2011, de 20 de junio, FJ único; y 199/2012, de 29 de octubre, FJ único).</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la extinción de la cuestión de inconstitucionalidad núm.5642-2012, por desaparición sobrevenida de su objeto.</w:t>
      </w:r>
    </w:p>
    <w:p w:rsidR="00BE7FB3" w:rsidRDefault="00BE7FB3" w:rsidP="00BE7FB3">
      <w:pPr>
        <w:pStyle w:val="TextoNormal"/>
      </w:pPr>
    </w:p>
    <w:p w:rsidR="00BE7FB3" w:rsidRDefault="00BE7FB3" w:rsidP="00BE7FB3">
      <w:pPr>
        <w:pStyle w:val="TextoNormal"/>
      </w:pPr>
      <w:r>
        <w:t>Madrid, a nueve de abril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21" w:name="AUTO_2013_80"/>
      <w:r>
        <w:lastRenderedPageBreak/>
        <w:t>AUTO 80/2013, de 9 de abril de 2013</w:t>
      </w:r>
    </w:p>
    <w:bookmarkEnd w:id="221"/>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ECLI:ES:TC:2013:80A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Levanta parcialmente la suspensión en el recurso de inconstitucionalidad 6777-2012, interpuesto por el Presidente del Gobierno en relación con diversos preceptos de la Ley del Parlamento de Cataluña 3/2007, de 22 de febrero, de modificación del texto refundido de la Ley de urbanismo.</w:t>
      </w:r>
    </w:p>
    <w:p w:rsidR="00BE7FB3" w:rsidRDefault="00BE7FB3" w:rsidP="00BE7FB3">
      <w:pPr>
        <w:pStyle w:val="SntesisDescriptiva"/>
      </w:pPr>
    </w:p>
    <w:p w:rsidR="00BE7FB3" w:rsidRDefault="00BE7FB3" w:rsidP="00BE7FB3">
      <w:pPr>
        <w:pStyle w:val="SntesisAnaltica"/>
      </w:pPr>
      <w:r>
        <w:t>Suspensión de disposiciones de las Comunidades Autónomas: acreditación por el Abogado del Estado del perjuicio irreparable; levantamiento parcial de la suspensión perjuicios irreparables; perjuicios reparables.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Constitucional el día 30 de noviembre de 2012, el Abogado del Estado, en nombre del Presidente del Gobierno, interpuso recurso de inconstitucionalidad contra los artículos 59, 64.4 y apartado séptimo de la disposición adicional sexta de la Ley 3/2012, de 22 de febrero, de modificación del texto refundido de la Ley de urbanismo de Cataluña aprobado por el Decreto Legislativo 1/2010, de 3 agosto.</w:t>
      </w:r>
    </w:p>
    <w:p w:rsidR="00BE7FB3" w:rsidRDefault="00BE7FB3" w:rsidP="00BE7FB3">
      <w:pPr>
        <w:pStyle w:val="TextoNormal"/>
      </w:pPr>
    </w:p>
    <w:p w:rsidR="00BE7FB3" w:rsidRDefault="00BE7FB3" w:rsidP="00BE7FB3">
      <w:pPr>
        <w:pStyle w:val="TextoNormal"/>
      </w:pPr>
      <w:r>
        <w:t>El Abogado del Estado invocó el art. 161.2 CE a fin de que se acordase la suspensión de los preceptos impugnados en el presente recurso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Por providencia de 11 de diciembre de 2012 el Pleno del Tribunal Constitucional, a propuesta de la Sección Cuarta, acordó admitir a trámite el recurso de inconstitucionalidad y dar traslado de la demanda y documentos presentados, conforme establece el art. 34 de la Ley Orgánica del Tribunal Constitucional (LOTC), al Congreso de los Diputados y al Senado así como a la Generalitat de Cataluña y al Parlamento de Cataluña, por conducto de sus Presidentes, al objeto de que en el plazo de quince días pudieran personarse en el proceso y formular las alegaciones que estimaren convenientes. Asimismo, se tuvo por invocado por el Presidente del Gobierno el art. 161.2 de la Ley Orgánica del Tribunal Constitucional (LOTC), lo que, a su tenor y conforme dispone el art. 30 LOTC, produce la suspensión de la vigencia y aplicación de los preceptos impugnados desde la fecha de interposición del recurso —30 de noviembre de 2012— para las partes del proceso y desde el día en que aparezca publicada la suspensión en el “Boletín Oficial del Estado” para los terceros, lo que </w:t>
      </w:r>
      <w:r>
        <w:lastRenderedPageBreak/>
        <w:t>se comunicó a los Presidentes del Gobierno de la Generalitat de Cataluña y del Parlamento de Cataluña. Por último, también se ordenó publicar la incoación del recurso en el “Boletín Oficial del Estado” y en el “Diari Oficial de la Generalitat de Cataluña”.</w:t>
      </w:r>
    </w:p>
    <w:p w:rsidR="00BE7FB3" w:rsidRDefault="00BE7FB3" w:rsidP="00BE7FB3">
      <w:pPr>
        <w:pStyle w:val="TextoNormal"/>
      </w:pPr>
    </w:p>
    <w:p w:rsidR="00BE7FB3" w:rsidRDefault="00BE7FB3" w:rsidP="00BE7FB3">
      <w:pPr>
        <w:pStyle w:val="TextoNormal"/>
      </w:pPr>
      <w:r w:rsidRPr="00BE7FB3">
        <w:rPr>
          <w:rStyle w:val="NumeroAFNegritaCaracter"/>
        </w:rPr>
        <w:t>3</w:t>
      </w:r>
      <w:r>
        <w:t>. El Presidente del Senado, mediante escrito registrado el día 19 de diciembre de 2012, comunicó que la Mesa de la Cámara, en su reunión de ese mismo día, había acordado que la Cámara se personase en este procedimiento y ofrecer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escrito registrado el 20 de diciembre de 2012, el Presidente del Congreso de los Diputados comunicó que la Cámara se personaba en el proceso, ofreciendo su colaboración.</w:t>
      </w:r>
    </w:p>
    <w:p w:rsidR="00BE7FB3" w:rsidRDefault="00BE7FB3" w:rsidP="00BE7FB3">
      <w:pPr>
        <w:pStyle w:val="TextoNormal"/>
      </w:pPr>
    </w:p>
    <w:p w:rsidR="00BE7FB3" w:rsidRDefault="00BE7FB3" w:rsidP="00BE7FB3">
      <w:pPr>
        <w:pStyle w:val="TextoNormal"/>
      </w:pPr>
      <w:r w:rsidRPr="00BE7FB3">
        <w:rPr>
          <w:rStyle w:val="NumeroAFNegritaCaracter"/>
        </w:rPr>
        <w:t>5</w:t>
      </w:r>
      <w:r>
        <w:t>. Por escrito registrado el 4 de enero de 2013, la Abogada de la Generalitat de Cataluña presentó sus alegaciones interesando la desestimación del recurso de inconstitucionalidad y solicitando el levantamiento de la suspensión que pesa sobre los preceptos impugnados por las razones que, resumidamente, se exponen a continuación:</w:t>
      </w:r>
    </w:p>
    <w:p w:rsidR="00BE7FB3" w:rsidRDefault="00BE7FB3" w:rsidP="00BE7FB3">
      <w:pPr>
        <w:pStyle w:val="TextoNormal"/>
      </w:pPr>
    </w:p>
    <w:p w:rsidR="00BE7FB3" w:rsidRDefault="00BE7FB3" w:rsidP="00BE7FB3">
      <w:pPr>
        <w:pStyle w:val="TextoNormal"/>
      </w:pPr>
      <w:r>
        <w:t>a) En relación con el art. 59 de la Ley 3/2012, que da nueva redacción al art. 167 del Decreto Legislativo 1/2010, la Abogada de la Generalitat de Cataluña señala que el precepto no ha introducido modificaciones substantivas, sino que se ha limitado a fusionar los anteriores arts. 166 y 167 del Decreto Legislativo 1/2010, y afirma que la previsión que se estima inconstitucional, relativa a la posibilidad de ceder o enajenar terrenos por precio inferior a su valoración con la finalidad de generar actividad económica en áreas deprimidas, es una prescripción que ya se establecía en el art. 159 de la Ley 2/2002, de urbanismo, y que fue posteriormente incluida en el Decreto Legislativo 1/2005 y en el Decreto Legislativo 1/2010. Tratándose, pues, de una regulación que se viene aplicando desde hace diez años, sin que hasta ahora haya sido impugnada por posible inconstitucionalidad, la Abogada de la Generalitat estima que no parece que puedan alegarse daños de difícil o imposible reparación para el interés público estatal o el de terceros que justifiquen el mantenimiento de la suspensión de su vigencia.</w:t>
      </w:r>
    </w:p>
    <w:p w:rsidR="00BE7FB3" w:rsidRDefault="00BE7FB3" w:rsidP="00BE7FB3">
      <w:pPr>
        <w:pStyle w:val="TextoNormal"/>
      </w:pPr>
    </w:p>
    <w:p w:rsidR="00BE7FB3" w:rsidRDefault="00BE7FB3" w:rsidP="00BE7FB3">
      <w:pPr>
        <w:pStyle w:val="TextoNormal"/>
      </w:pPr>
      <w:r>
        <w:t xml:space="preserve">b) La Abogada de la Generalitat explica, a continuación, que el apartado 4 del art. 64 de la Ley 3/2012 añade un nuevo apartado 5 al art. 187 del Decreto Legislativo 1/2010 que somete la primera utilización y ocupación de los edificios y construcciones a comunicación previa y elimina la licencia de primera ocupación, lo que responde a que ésta es una medida redundante porque la actividad edificatoria ya está sujeta a un control </w:t>
      </w:r>
      <w:r w:rsidRPr="00BE7FB3">
        <w:rPr>
          <w:i/>
        </w:rPr>
        <w:t>ex ante</w:t>
      </w:r>
      <w:r>
        <w:t xml:space="preserve">, al inicio de la obras mediante la licencia de edificación, y a un control </w:t>
      </w:r>
      <w:r w:rsidRPr="00BE7FB3">
        <w:rPr>
          <w:i/>
        </w:rPr>
        <w:t>ex post</w:t>
      </w:r>
      <w:r>
        <w:t xml:space="preserve">, una vez finalizadas las obras. Se persigue con ello una simplificación administrativa que se encuentra en línea con la idea de la eliminación de trabas o requisitos administrativos injustificados o desproporcionados, recogida, en el ámbito europeo, en la Directiva 2006/123/CE, relativa a los servicios de mercado interior y, en el ámbito nacional, tanto en la Ley 17/2009, de 23 de noviembre, sobre libre acceso a las actividades de servicio y su ejercicio, como en la Ley 25/2009, de 22 de diciembre, de modificación de diversas leyes para su adaptación a aquella directiva y en la propia Ley 30/1992, de 26 de noviembre, de régimen jurídico de las Administraciones públicas y del procedimiento administrativo común, que no sólo ha generalizado el silencio positivo, sino también regulado la declaración responsable y la comunicación previa. </w:t>
      </w:r>
    </w:p>
    <w:p w:rsidR="00BE7FB3" w:rsidRDefault="00BE7FB3" w:rsidP="00BE7FB3">
      <w:pPr>
        <w:pStyle w:val="TextoNormal"/>
      </w:pPr>
    </w:p>
    <w:p w:rsidR="00BE7FB3" w:rsidRDefault="00BE7FB3" w:rsidP="00BE7FB3">
      <w:pPr>
        <w:pStyle w:val="TextoNormal"/>
      </w:pPr>
      <w:r>
        <w:t xml:space="preserve">Por otra parte, el sometimiento a comunicación previa, argumenta la Abogada de la Generalitat, no implica riesgo de vulneración de la legalidad urbanística si tenemos en cuenta que la actividad edificatoria ya ha sido sometida a otros controles (licencia urbanística de edificación), mientras que el mantenimiento de un sistema de doble licencia (de edificación y de ocupación) supone, por un lado, una carga “manifiestamente gravosa para el interesado” y, por otro, un coste de gestión, en términos de recursos administrativos materiales y personales, que resultan desproporcionados en relación con los beneficios que genera y que, además, es “particularmente inadecuada en los actuales momentos de crisis económica global en la que los escasos recursos públicos deben destinarse a satisfacer demandas sociales prioritarias”. </w:t>
      </w:r>
    </w:p>
    <w:p w:rsidR="00BE7FB3" w:rsidRDefault="00BE7FB3" w:rsidP="00BE7FB3">
      <w:pPr>
        <w:pStyle w:val="TextoNormal"/>
      </w:pPr>
    </w:p>
    <w:p w:rsidR="00BE7FB3" w:rsidRDefault="00BE7FB3" w:rsidP="00BE7FB3">
      <w:pPr>
        <w:pStyle w:val="TextoNormal"/>
      </w:pPr>
      <w:r>
        <w:t xml:space="preserve">El mantenimiento de la suspensión, alega la Abogada de la Generalitat, “implicaría mayores cargas para los terceros afectados y ocasionaría perjuicios a los ayuntamientos competentes sobre el control de la primera ocupación de los edificios puesto que deberían reorganizar sus servicios administrativos para asumir el doble control que supone la licencia de primera ocupación, distrayendo estos recursos de otras necesidades públicas prioritarias” mientras que el levantamiento de la suspensión “no provoca daños reales y directos al interés público general ni al de terceros”. </w:t>
      </w:r>
    </w:p>
    <w:p w:rsidR="00BE7FB3" w:rsidRDefault="00BE7FB3" w:rsidP="00BE7FB3">
      <w:pPr>
        <w:pStyle w:val="TextoNormal"/>
      </w:pPr>
    </w:p>
    <w:p w:rsidR="00BE7FB3" w:rsidRDefault="00BE7FB3" w:rsidP="00BE7FB3">
      <w:pPr>
        <w:pStyle w:val="TextoNormal"/>
      </w:pPr>
      <w:r>
        <w:t>El riesgo futuro de vulneración de la legalidad urbanística considera la Abogada que es “poco probable” puesto que la actividad de edificación está sujeta ya a licencia urbanística y, además, si la edificación realizada es contraria a la legalidad urbanística, la administración municipal está habilitada, desde el momento en que se produce la comunicación previa, para ejercer sus potestades de inspección y de protección de la legalidad.</w:t>
      </w:r>
    </w:p>
    <w:p w:rsidR="00BE7FB3" w:rsidRDefault="00BE7FB3" w:rsidP="00BE7FB3">
      <w:pPr>
        <w:pStyle w:val="TextoNormal"/>
      </w:pPr>
    </w:p>
    <w:p w:rsidR="00BE7FB3" w:rsidRDefault="00BE7FB3" w:rsidP="00BE7FB3">
      <w:pPr>
        <w:pStyle w:val="TextoNormal"/>
      </w:pPr>
      <w:r>
        <w:t>c) Finalmente, respecto al apartado 7 de la disposición adicional sexta de la Ley 3/2012, la Abogada de la Generalitat comienza señalando que la demanda formulada por el Abogado del Estado incurre en error pues imputa a este apartado la vulneración del régimen jurídico del dominio público marítimo-terrestre cuando, en realidad, regula el régimen de intervención administrativa sobre los terrenos de propiedad privada colindantes con el dominio público marítimo-terrestre incluidos en la zona de servidumbre de protección. En consecuencia, argumenta la Abogada de la Generalitat, el Abogado del Estado ha incumplido su carga de fundamentar la inconstitucionalidad del precepto, motivo por el cual éste debería quedar excluido del presente proceso, levantándose sin más razones su suspensión. No obstante, y por si este Tribunal no compartiera esta argumentación, afirma que el levantamiento de la suspensión procedería igualmente ya que la vigencia de este apartado no ocasiona daños de difícil o imposible reparación al interés público o a terceros, mientras que su aplicación comporta importes ventajas para los administrados y para los intereses públicos, al implicar una clara simplificación administrativa y una reducción del gasto público.</w:t>
      </w:r>
    </w:p>
    <w:p w:rsidR="00BE7FB3" w:rsidRDefault="00BE7FB3" w:rsidP="00BE7FB3">
      <w:pPr>
        <w:pStyle w:val="TextoNormal"/>
      </w:pPr>
    </w:p>
    <w:p w:rsidR="00BE7FB3" w:rsidRDefault="00BE7FB3" w:rsidP="00BE7FB3">
      <w:pPr>
        <w:pStyle w:val="TextoNormal"/>
      </w:pPr>
      <w:r>
        <w:t xml:space="preserve">Finalmente, la Abogada de la Generalitat sostiene que el apartado 7 de la disposición adicional sexta establece una modalidad de intervención administrativa para autorizar actuaciones que se pretendan llevar a cabo en las implantaciones legalmente establecidas en la zona de servidumbre de protección, que no es realmente una comunicación previa, sino un título habilitante sujeto a régimen de silencio positivo que se asemeja a una autorización convencional, como lo demuestra que el precepto prevea que, en el plazo de dos meses, la </w:t>
      </w:r>
      <w:r>
        <w:lastRenderedPageBreak/>
        <w:t xml:space="preserve">autoridad competente en materia de costas pueda manifestar motivadamente su disconformidad. Se trata, en definitiva, según la Abogada de la Generalitat, no de una eliminación del sistema autorizatorio, sino únicamente de su modulación, evitándose que, en las actuaciones que cabe calificar de “obras menores”, deba procederse a una resolución expresa “con la consiguiente asignación de recursos personales y materiales, manifiestamente excesivos para el tipo de actuación pretendida, y el subsiguiente ahorro para los presupuestos públicos y simplificación de trámites administrativos para los interesados”. </w:t>
      </w:r>
    </w:p>
    <w:p w:rsidR="00BE7FB3" w:rsidRDefault="00BE7FB3" w:rsidP="00BE7FB3">
      <w:pPr>
        <w:pStyle w:val="TextoNormal"/>
      </w:pPr>
    </w:p>
    <w:p w:rsidR="00BE7FB3" w:rsidRDefault="00BE7FB3" w:rsidP="00BE7FB3">
      <w:pPr>
        <w:pStyle w:val="TextoNormal"/>
      </w:pPr>
      <w:r>
        <w:t>Concluye, pues, la Abogada de la Generalitat que ningún perjuicio se deriva de la aplicación de este precepto para los intereses generales o para terceros, mientras que el levantamiento de la suspensión implica simplificación burocrática y ahorro de recursos públicos.</w:t>
      </w:r>
    </w:p>
    <w:p w:rsidR="00BE7FB3" w:rsidRDefault="00BE7FB3" w:rsidP="00BE7FB3">
      <w:pPr>
        <w:pStyle w:val="TextoNormal"/>
      </w:pPr>
    </w:p>
    <w:p w:rsidR="00BE7FB3" w:rsidRDefault="00BE7FB3" w:rsidP="00BE7FB3">
      <w:pPr>
        <w:pStyle w:val="TextoNormal"/>
      </w:pPr>
      <w:r w:rsidRPr="00BE7FB3">
        <w:rPr>
          <w:rStyle w:val="NumeroAFNegritaCaracter"/>
        </w:rPr>
        <w:t>6</w:t>
      </w:r>
      <w:r>
        <w:t>. El Letrado del Parlamento de Cataluña presentó sus alegaciones mediante escrito registrado el 8 de enero de 2013 solicitando la desestimación del recurso de inconstitucionalidad y el levantamiento de la suspensión de los artículos impugnados.</w:t>
      </w:r>
    </w:p>
    <w:p w:rsidR="00BE7FB3" w:rsidRDefault="00BE7FB3" w:rsidP="00BE7FB3">
      <w:pPr>
        <w:pStyle w:val="TextoNormal"/>
      </w:pPr>
    </w:p>
    <w:p w:rsidR="00BE7FB3" w:rsidRDefault="00BE7FB3" w:rsidP="00BE7FB3">
      <w:pPr>
        <w:pStyle w:val="TextoNormal"/>
      </w:pPr>
      <w:r>
        <w:t>Tras hacer referencia a la doctrina constitucional aplicable en este tipo de incidentes, argumenta, en primer lugar, que debe levantarse la suspensión del art. 59 porque el mantenimiento de la misma perjudicaría la seguridad jurídica y mermaría gravemente la utilización de los patrimonios públicos de suelo por los titulares de los mismos. Argumenta el Letrado del Parlamento de Cataluña que si se mantiene la suspensión del art. 59 y, por tanto, de la nueva redacción dada al art. 167 del Decreto Legislativo 1/2010 que integra en un único precepto el contenido de los anteriores arts. 166 y 167, caben dos interpretaciones: 1) entender que revive el art. 167 que regula únicamente el procedimiento de alienación de los terrenos incluidos en el patrimonio público de suelo y la posibilidad de enajenación por un precio inferior a su valoración para unos supuestos que habrían desaparecido en la legislación, produciéndose una situación de vacío legal y la imposibilidad de enajenación por precio inferior a la valoración y de cesión gratuita a otras administraciones; 2) entender que la norma modificada no revive y que la única regulación de la alienación de terrenos del patrimonio público de suelo es la incluida en la legislación estatal (art. 39.1 de la Ley de las Cortes Generales 6/1998, de 13 de abril, sobre régimen del suelo y valoraciones) que sólo permite destinos distintos a la edificación de viviendas protegidas cuando lo prevea la legislación urbanística; esta legislación urbanística, como consecuencia de la suspensión del art. 59, en el presente caso, no existiría. En ambas interpretaciones, sigue argumentando el Letrado del Parlamento catalán, “se limitaría gravemente la capacidad de los titulares de patrimonio público de suelo para utilizarlo, incluso para fines previstos y queridos por el planeamiento, desnaturalizando su función instrumental” y las “administraciones correspondientes, principalmente ayuntamientos, se verían privadas de utilizar su patrimonio público de suelo para finalidades distintas de la construcción de viviendas, cuando no es precisamente la falta de oferta de éstas lo que se pone de manifiesto en el mercado”, mientras que “otras finalidades, como puede ser la protección del medio ambiente o del patrimonio cultural, no podrían utilizarse para fundamentar actuaciones de gestión del patrimonio público de suelo al no estar previstas en otros preceptos de la legislación urbanística catalana diferentes del artículo de vigencia suspendida, produciendo graves perjuicios al interés público”.</w:t>
      </w:r>
    </w:p>
    <w:p w:rsidR="00BE7FB3" w:rsidRDefault="00BE7FB3" w:rsidP="00BE7FB3">
      <w:pPr>
        <w:pStyle w:val="TextoNormal"/>
      </w:pPr>
    </w:p>
    <w:p w:rsidR="00BE7FB3" w:rsidRDefault="00BE7FB3" w:rsidP="00BE7FB3">
      <w:pPr>
        <w:pStyle w:val="TextoNormal"/>
      </w:pPr>
      <w:r>
        <w:lastRenderedPageBreak/>
        <w:t>Respecto al art. 64 y el apartado 7 de la disposición adicional sexta, el Letrado del Parlamento de Cataluña afirma que el mantenimiento de la suspensión tendrá efectos especialmente sobre los particulares afectados, es decir, sobre los interesados en utilizar por primera vez una edificación para vivienda o local o en realizar obras que podrían calificarse de menores en edificaciones situadas en la zona de servidumbre de la protección de dominio público marítimo-terrestre, puesto que se encontrarán sometidos a un régimen de intervención administrativa más gravoso y lento en su resolución, causándoles perjuicios en un contexto de crisis económica en la que la tendencia es la reducción de trámites burocráticos y la agilización de la tramitación administrativa con la finalidad de favorecer la actividad de los particulares. Además, el levantamiento de la suspensión no producirá perjuicios al interés público, puesto que las normas recurridas son acordes al art. 5.2 de la Ley 3/2012 y al art. 8.1 b) de la Ley 6/1998, que establecen la imposibilidad de obtener por silencio facultades contrarias a lo dispuesto en el planeamiento urbanístico.</w:t>
      </w:r>
    </w:p>
    <w:p w:rsidR="00BE7FB3" w:rsidRDefault="00BE7FB3" w:rsidP="00BE7FB3">
      <w:pPr>
        <w:pStyle w:val="TextoNormal"/>
      </w:pPr>
    </w:p>
    <w:p w:rsidR="00BE7FB3" w:rsidRDefault="00BE7FB3" w:rsidP="00BE7FB3">
      <w:pPr>
        <w:pStyle w:val="TextoNormal"/>
      </w:pPr>
      <w:r w:rsidRPr="00BE7FB3">
        <w:rPr>
          <w:rStyle w:val="NumeroAFNegritaCaracter"/>
        </w:rPr>
        <w:t>7</w:t>
      </w:r>
      <w:r>
        <w:t>. El 9 de enero de 2013, el Pleno acordó dar traslado al Abogado del Estado de los escritos presentados el 4 y el 8 de enero de 2013 por la Abogada de la Generalitat de Cataluña y por el Letrado del Parlamento de Cataluña, respectivamente, en los que se interesa el levantamiento de la suspensión de los preceptos objeto del presente recurso, concediéndose un plazo de cinco días para que expusiera lo que estimase pertinente al respecto.</w:t>
      </w:r>
    </w:p>
    <w:p w:rsidR="00BE7FB3" w:rsidRDefault="00BE7FB3" w:rsidP="00BE7FB3">
      <w:pPr>
        <w:pStyle w:val="TextoNormal"/>
      </w:pPr>
    </w:p>
    <w:p w:rsidR="00BE7FB3" w:rsidRDefault="00BE7FB3" w:rsidP="00BE7FB3">
      <w:pPr>
        <w:pStyle w:val="TextoNormal"/>
      </w:pPr>
      <w:r w:rsidRPr="00BE7FB3">
        <w:rPr>
          <w:rStyle w:val="NumeroAFNegritaCaracter"/>
        </w:rPr>
        <w:t>8</w:t>
      </w:r>
      <w:r>
        <w:t xml:space="preserve">. El Abogado del Estado, mediante escrito registrado en este Tribunal el 18 de enero de 2013, formuló sus alegaciones interesando el mantenimiento de la suspensión, por los motivos que, sintéticamente, se exponen a continuación. </w:t>
      </w:r>
    </w:p>
    <w:p w:rsidR="00BE7FB3" w:rsidRDefault="00BE7FB3" w:rsidP="00BE7FB3">
      <w:pPr>
        <w:pStyle w:val="TextoNormal"/>
      </w:pPr>
    </w:p>
    <w:p w:rsidR="00BE7FB3" w:rsidRDefault="00BE7FB3" w:rsidP="00BE7FB3">
      <w:pPr>
        <w:pStyle w:val="TextoNormal"/>
      </w:pPr>
      <w:r>
        <w:t>Comienza el Abogado del Estado recordando la doctrina constitucional sobre la resolución de este tipo de incidentes, conforme a la cual es necesario ponderar, de un lado, los intereses implicados, tanto el general y público como el particular o privado de las personas afectadas, y, de otro, los perjuicios de imposible o difícil reparación que se derivan del mantenimiento o levantamiento de la suspensión. Esta valoración debe hacerse mediante el examen de las situaciones de hecho creadas y al margen de la viabilidad de las pretensiones contenidas en la demanda (ATC 88/2008, de 2 de abril, FJ 2, con cita de otros).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—dirá el Abogado del Estado— es que lo que con más frecuencia se ha de examinar son las situaciones de hecho que, con cierto grado de previsibilidad, puedan producirse en el caso de levantarse la suspensión y aplicarse las normas recurridas. Así estima indudable que lo que habrá de dilucidarse es si la hipótesis que formula respecto a la probabilidad de los perjuicios que ocasionaría la aplicación de la norma recurrida está lo suficientemente fundada.</w:t>
      </w:r>
    </w:p>
    <w:p w:rsidR="00BE7FB3" w:rsidRDefault="00BE7FB3" w:rsidP="00BE7FB3">
      <w:pPr>
        <w:pStyle w:val="TextoNormal"/>
      </w:pPr>
    </w:p>
    <w:p w:rsidR="00BE7FB3" w:rsidRDefault="00BE7FB3" w:rsidP="00BE7FB3">
      <w:pPr>
        <w:pStyle w:val="TextoNormal"/>
      </w:pPr>
      <w:r>
        <w:t>Señala, a continuación, el Abogado del Estado que para el análisis de los perjuicios que ocasionaría el levantamiento de la suspensión de los preceptos impugnados, se apoya en los informes de la Subdirección General de Urbanismo del Ministerio de Fomento y de la Dirección General de Sostenibilidad de la Costa y del Mar del Ministerio de Agricultura, Alimentación y Medio Ambiente, que se presentan junto al escrito de alegaciones como documentos núms. 1 y 2 y, dicho esto, procede a argumentar la pertinencia del mantenimiento de la suspensión en relación con cada uno de los preceptos impugnados.</w:t>
      </w:r>
    </w:p>
    <w:p w:rsidR="00BE7FB3" w:rsidRDefault="00BE7FB3" w:rsidP="00BE7FB3">
      <w:pPr>
        <w:pStyle w:val="TextoNormal"/>
      </w:pPr>
    </w:p>
    <w:p w:rsidR="00BE7FB3" w:rsidRDefault="00BE7FB3" w:rsidP="00BE7FB3">
      <w:pPr>
        <w:pStyle w:val="TextoNormal"/>
      </w:pPr>
      <w:r>
        <w:t xml:space="preserve">a) En relación con el art. 59, recuerda el Abogado del Estado que la tacha que se dirige a este precepto consiste en que incurre en una extralimitación competencial y en la vulneración de la legislación básica en materia de suelo (arts. 38 y 39 del texto refundido de la Ley de suelo dictados </w:t>
      </w:r>
      <w:r w:rsidRPr="00BE7FB3">
        <w:rPr>
          <w:i/>
        </w:rPr>
        <w:t>ex</w:t>
      </w:r>
      <w:r>
        <w:t xml:space="preserve"> art. 149.1.13 CE), pues, si bien de acuerdo con la regulación estatal, para que los ingresos procedentes de los patrimonios públicos de suelo y vivienda puedan destinarse a otros usos de interés social, necesariamente habrá de tratarse de fines urbanísticos o de protección o mejora de espacios naturales y bienes inmuebles del patrimonio cultural, el art. 59 de la ley catalana permite destinarlos a “generar actividad económica en áreas deprimidas” lo que no constituye ni una finalidad urbanística, ni un destino a la mejora medioambiental o cultural. </w:t>
      </w:r>
    </w:p>
    <w:p w:rsidR="00BE7FB3" w:rsidRDefault="00BE7FB3" w:rsidP="00BE7FB3">
      <w:pPr>
        <w:pStyle w:val="TextoNormal"/>
      </w:pPr>
    </w:p>
    <w:p w:rsidR="00BE7FB3" w:rsidRDefault="00BE7FB3" w:rsidP="00BE7FB3">
      <w:pPr>
        <w:pStyle w:val="TextoNormal"/>
      </w:pPr>
      <w:r>
        <w:t>El levantamiento de la suspensión, dice el Abogado del Estado siguiendo el informe de la Subdirección General de Urbanismo, ocasionaría “graves e irreparables perjuicios para los intereses públicos” al “imposibilitar una adecuada planificación de la actividad económica general en relación con el mercado del suelo y la vivienda”, pues, al impedir la aplicación de las bases estatales de ordenación económica en materia de suelo y vivienda que contienen medidas específicas para preservar la existencia de tales patrimonios y garantizar el derecho de todos los españoles a una vivienda digna y adecuada, se producirían los siguientes efectos: 1) dado el carácter abierto e indeterminado del concepto “generación de actividad económica”, numerosas áreas serían susceptibles de encuadrarse en el concepto de áreas económicamente deprimidas, 2) el suelo entregado a la Administración en cumplimiento del deber impuesto por el art. 16.1 b) del texto refundido de la Ley de suelo podría enajenarse con el fin de obtener el mayor precio posible en el mercado y el ingreso obtenido podría destinarse libremente a los fines elegidos por la Administración dentro de límites muy amplia y genéricamente definidos, 3) los bienes que conforman los patrimonios públicos de suelo podrían terminar destinándose a actividades que nada tienen que ver con los destinos que la legislación básica estatal les atribuye (construcción de viviendas protegidas y otros usos de interés social y naturaleza urbanística, medioambiental o cultural), 4) lo anterior, unido a la inexistente actividad inmobiliaria de transformación de nuevos suelos, conduciría a crear importantes e injustificados riesgos de preservación de los bienes que conforman los patrimonios públicos de suelo, impidiendo durante mucho tiempo la creación de una bolsa de suelo capaz de atender al objeto fundamental de satisfacer el derecho a la vivienda de las capas sociales que más lo necesitan, así como a usos de interés social. En definitiva, se verá afectada la construcción de viviendas protegidas y, en consecuencia, resultarán claramente perjudicados los intereses particulares y, concretamente, el acceso a la vivienda de infinidad de familias en un momento, además, especialmente sensible debido a la actual crisis económica. Se trata, dice el Abogado del Estado, de perjuicios que si bien resultan difícilmente evaluables de antemano, serán de imposible reparación una vez se dicte Sentencia que ponga fin al proceso, pues los perjuicios ocasionados a los particulares que no hayan tenido oportunidad de acceder a alguna vivienda protegida serán irreversibles.</w:t>
      </w:r>
    </w:p>
    <w:p w:rsidR="00BE7FB3" w:rsidRDefault="00BE7FB3" w:rsidP="00BE7FB3">
      <w:pPr>
        <w:pStyle w:val="TextoNormal"/>
      </w:pPr>
    </w:p>
    <w:p w:rsidR="00BE7FB3" w:rsidRDefault="00BE7FB3" w:rsidP="00BE7FB3">
      <w:pPr>
        <w:pStyle w:val="TextoNormal"/>
      </w:pPr>
      <w:r>
        <w:t>Concluye el Abogado del Estado afirmando que “los perjuicios del levantamiento de la suspensión de este precepto para los intereses públicos y privados son evidentes y están relacionados con la menor disponibilidad de patrimonio público del suelo para la construcción de viviendas de protección oficial”.</w:t>
      </w:r>
    </w:p>
    <w:p w:rsidR="00BE7FB3" w:rsidRDefault="00BE7FB3" w:rsidP="00BE7FB3">
      <w:pPr>
        <w:pStyle w:val="TextoNormal"/>
      </w:pPr>
    </w:p>
    <w:p w:rsidR="00BE7FB3" w:rsidRDefault="00BE7FB3" w:rsidP="00BE7FB3">
      <w:pPr>
        <w:pStyle w:val="TextoNormal"/>
      </w:pPr>
      <w:r>
        <w:lastRenderedPageBreak/>
        <w:t xml:space="preserve">b) El art. 64.4 se impugna, afirma el Abogado del Estado, por entender que afecta a la regulación básica estatal sobre procedimiento administrativo común, invadiendo las competencias del Estado </w:t>
      </w:r>
      <w:r w:rsidRPr="00BE7FB3">
        <w:rPr>
          <w:i/>
        </w:rPr>
        <w:t>ex</w:t>
      </w:r>
      <w:r>
        <w:t xml:space="preserve"> art. 149.1.18 CE. La regulación catalana, explicará, permite el reconocimiento o ejercicio de un derecho o el inicio de una actividad desde el día de la presentación de la comunicación previa, y faculta a la Administración correspondiente para verificar la conformidad de los datos que en ella se obtienen, lo que contradice lo dispuesto en el art.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que requiere que para la primera ocupación de edificaciones de nueva construcción, incluidas casas prefabricadas e instalaciones similares, se obtenga el acto expreso de conformidad, aprobación o autorización administrativa que sea preceptivo según la legislación territorial o urbanística, siendo, por tanto, negativo el silencio administrativo. </w:t>
      </w:r>
    </w:p>
    <w:p w:rsidR="00BE7FB3" w:rsidRDefault="00BE7FB3" w:rsidP="00BE7FB3">
      <w:pPr>
        <w:pStyle w:val="TextoNormal"/>
      </w:pPr>
    </w:p>
    <w:p w:rsidR="00BE7FB3" w:rsidRDefault="00BE7FB3" w:rsidP="00BE7FB3">
      <w:pPr>
        <w:pStyle w:val="TextoNormal"/>
      </w:pPr>
      <w:r>
        <w:t xml:space="preserve">La vigencia del precepto impugnado, dirá el Abogado del Estado, causará graves perjuicios. En primer lugar, porque generará inseguridad jurídica —que es lo que se pretende evitar con la regla del silencio negativo— al permitir entender al particular que le han sido concedidas licencias con la mera pasividad de los ayuntamientos. En segundo lugar, porque, al permitir la adquisición de licencias por silencio positivo aun cuando fueran contrarias al ordenamiento urbanístico, se creará una situación de anarquía e ilegalidad en un ámbito tan sensible y de tanta trascendencia social como el urbanismo. Se impide, además, que tenga efecto la solución ofrecida por la reforma estatal al problema de que un particular adquiera una vivienda de un promotor, la escriture, la ocupe y, </w:t>
      </w:r>
      <w:r w:rsidRPr="00BE7FB3">
        <w:rPr>
          <w:i/>
        </w:rPr>
        <w:t>a posteriori</w:t>
      </w:r>
      <w:r>
        <w:t>, se encuentre con la negativa municipal a otorgar la licencia de primera ocupación por deficiencias en la ejecución del proyecto y que esto suponga que la vivienda no tenga acceso a los servicios básicos. La falta de protección de los particulares frente a esta situación, que implicaría el dejar sin efectos la regulación estatal en Cataluña, generaría, además, una situación de trato desigual y discriminatorio entre los adquirentes de viviendas en Cataluña y en el resto de España que se traducirá, por otra parte, en irreparables perjuicios económicos en el patrimonio de aquellos propietarios que adquieran casas en Cataluña, puesto que éstos podrán encontrarse con que la Administración no será responsable de los daños que pudiera habérseles ocasionado, quedando como único responsable el promotor que realizó incorrectamente la comunicación previa. En definitiva, la norma catalana, dirá el Abogado del Estado, desprotege al tercer adquirente de buena fe y quiebra los principios de “confianza legítima” y de “buena fe”.</w:t>
      </w:r>
    </w:p>
    <w:p w:rsidR="00BE7FB3" w:rsidRDefault="00BE7FB3" w:rsidP="00BE7FB3">
      <w:pPr>
        <w:pStyle w:val="TextoNormal"/>
      </w:pPr>
    </w:p>
    <w:p w:rsidR="00BE7FB3" w:rsidRDefault="00BE7FB3" w:rsidP="00BE7FB3">
      <w:pPr>
        <w:pStyle w:val="TextoNormal"/>
      </w:pPr>
      <w:r>
        <w:t xml:space="preserve">c) En relación con el apartado séptimo de la disposición adicional sexta, el Abogado del Estado recuerda que el reproche de inconstitucionalidad que se dirige a este precepto consiste en que vulnera la Ley 22/1988, de costas, y la titularidad estatal sobre el dominio público marítimo-terrestre (art. 132.2 CE), pues es al Estado al que compete definir el dominio público estatal, establecer el régimen jurídico de los bienes que lo integran y adoptar las medidas precisas para proteger su integridad, preservar sus características esenciales y su libre utilización. La regulación de los títulos habilitantes para el uso del dominio público marítimo-terrestre, afirma el Abogado del Estado, no corresponde al título autonómico de ordenación del territorio sino al derivado de la titularidad de ese dominio público y, por tanto, la Generalidad no puede regular la comunicación previa como forma de ocupación del dominio público marítimo-terrestre. La regulación de la utilización del dominio público </w:t>
      </w:r>
      <w:r>
        <w:lastRenderedPageBreak/>
        <w:t>marítimo-terrestre está sujeta a cuatro tipos de intervención administrativa (reserva, adscripción, concesión y autorización) que configuran, dice el Abogado del Estado, un régimen jurídico cerrado que impide la existencia de otras figuras alternativas establecidas por las Comunidades Autónomas.</w:t>
      </w:r>
    </w:p>
    <w:p w:rsidR="00BE7FB3" w:rsidRDefault="00BE7FB3" w:rsidP="00BE7FB3">
      <w:pPr>
        <w:pStyle w:val="TextoNormal"/>
      </w:pPr>
    </w:p>
    <w:p w:rsidR="00BE7FB3" w:rsidRDefault="00BE7FB3" w:rsidP="00BE7FB3">
      <w:pPr>
        <w:pStyle w:val="TextoNormal"/>
      </w:pPr>
      <w:r>
        <w:t xml:space="preserve">La existencia de un régimen de comunicación previa para determinadas actuaciones en la zona de servidumbre de protección del dominio público marítimo-terrestre permitirá, argumenta el Abogado del Estado, que se produzcan daños medioambientales que, por su propia naturaleza, resultan de imposible o difícil reparación. En consecuencia, dirá el Abogado del Estado, es preciso recordar la especial relevancia que el Tribunal Constitucional otorga a la defensa del medio ambiente en el levantamiento o mantenimiento de la suspensión, (ATC 225/2009, FJ 4) y tener en cuenta la importancia que para España tiene la zona costera como patrimonio ecológico y cultural y su fragilidad ante agresiones que casi siempre ocasionan perjuicios irreversibles. La introducción de una nueva fórmula de utilización privativa y especial del litoral no prevista en la legislación estatal podría tener, dice el Abogado del Estado siguiendo el informe de la Dirección General de Sostenibilidad de la Costa y del Mar, “importantes y negativas consecuencias en la preservación física y en la garantía de uso público de aquel, al facilitar notablemente las condiciones en que podrían desarrollarse determinadas actuaciones en la costa de Cataluña a través de la denominada ‘comunicación previa’, con exclusión de la obtención, de modo expreso y previamente a la realización de las mismas, de la autorización correspondiente”. </w:t>
      </w:r>
    </w:p>
    <w:p w:rsidR="00BE7FB3" w:rsidRDefault="00BE7FB3" w:rsidP="00BE7FB3">
      <w:pPr>
        <w:pStyle w:val="TextoNormal"/>
      </w:pPr>
    </w:p>
    <w:p w:rsidR="00BE7FB3" w:rsidRDefault="00BE7FB3" w:rsidP="00BE7FB3">
      <w:pPr>
        <w:pStyle w:val="TextoNormal"/>
      </w:pPr>
      <w:r>
        <w:t>Por otra parte, añadirá, el levantamiento de la suspensión y la ejecución de actuaciones en la zona de servidumbre de protección del dominio público marítimo-terrestre en virtud de comunicación previa habrá razonablemente de producir perjuicios (no sólo ecológicos sino también paisajísticos) de imposible o difícil reparación “no sólo por la evidente dificultad de obtener la demolición de lo construido, sino porque los perjuicios que al medio natural se ocasionen durante la pendencia de este proceso no serán siempre reparables” dada la imposibilidad de devolver el medio natural a su estado anterior. El interés público exige, pues, en su opinión, que no se realicen en el litoral actuaciones que no hayan sido previa y expresamente autorizadas, pues ello comporta un grave riesgo para la protección física del dominio público marítimo-terrestre, así como para el acceso y uso público y seguro por los ciudadanos. En efecto, dirá, la ejecución de actuaciones permitidas mediante comunicación previa no garantiza que se respeten las limitaciones, impuestas por razones medioambientales, a los terrenos colindantes con el dominio público marítimo-terrestre por la servidumbre de protección ni, por tanto, imposibilita que mientras se resuelve el presente proceso se produzcan daños en este demanio. El establecimiento de nuevas construcciones en la zona de servidumbre de protección al amparo de un título habilitante autonómico y la consolidación de situaciones jurídicas que producen efectos sobre los bienes de dominio público marítimo-terrestres difíciles de reparar implica, argumenta el Abogado del Estado, un riesgo de progresiva degradación del litoral y grave perjuicio a los intereses ecológicos y medioambientales, sin que se advierta la concurrencia de otros intereses públicos o privados de carácter patrimonial que deban prevalecer frente a la protección medioambiental.</w:t>
      </w:r>
    </w:p>
    <w:p w:rsidR="00BE7FB3" w:rsidRDefault="00BE7FB3" w:rsidP="00BE7FB3">
      <w:pPr>
        <w:pStyle w:val="TextoNormal"/>
      </w:pPr>
    </w:p>
    <w:p w:rsidR="00BE7FB3" w:rsidRDefault="00BE7FB3" w:rsidP="00BE7FB3">
      <w:pPr>
        <w:pStyle w:val="TextoNormal"/>
      </w:pPr>
      <w:r>
        <w:t xml:space="preserve">En definitiva, el Abogado del Estado entiende que “la vigencia de la disposición impugnada vendría a afectar directa e irreparablemente al interés general y público que la propia Constitución ha querido proteger con su art. 132”, por lo que “debe prevalecer el interés público para la defensa de una zona establecida por la Ley para la protección del demanio </w:t>
      </w:r>
      <w:r>
        <w:lastRenderedPageBreak/>
        <w:t>público marítimo-terrestre, al ser tal protección prevalente en evitación de situaciones irreversibles”.</w:t>
      </w:r>
    </w:p>
    <w:p w:rsidR="00BE7FB3" w:rsidRDefault="00BE7FB3" w:rsidP="00BE7FB3">
      <w:pPr>
        <w:pStyle w:val="TextoNormal"/>
      </w:pPr>
    </w:p>
    <w:p w:rsidR="00BE7FB3" w:rsidRDefault="00BE7FB3" w:rsidP="00BE7FB3">
      <w:pPr>
        <w:pStyle w:val="TextoNormal"/>
      </w:pPr>
      <w:r>
        <w:t xml:space="preserve">d) Cierra el Abogado del Estado sus alegaciones afirmando que “la inmediata vigencia de los preceptos autonómicos impugnados ocasionaría graves perjuicios para los intereses públicos y privados”, mientras que “no se acierta a apreciar que el mantenimiento cautelar de la suspensión durante la pendencia del proceso pueda producir perjuicio alguno a tales intereses”, ya que el mismo “ni conlleva desapoderamiento de la Comunidad Autónoma en el ejercicio de sus competencias ni priva de sus derechos a los particulares en los términos que define la legislación vigente”. Procede, pues, en su opinión el mantenimiento de la suspensión ya que “el sentido de una medida cautelar es mantener el </w:t>
      </w:r>
      <w:r w:rsidRPr="00BE7FB3">
        <w:rPr>
          <w:i/>
        </w:rPr>
        <w:t>statu quo</w:t>
      </w:r>
      <w:r>
        <w:t xml:space="preserve"> hasta que exista un pronunciamiento judicial, de forma que no se produzcan situaciones irreversibles que hagan ineficaz la sentencia que en su día se dicte”.</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objeto de la presente resolución consiste en determinar si, de acuerdo con el art. 161.2 CE, procede levantar o mantener la suspensión de la vigencia que afecta a los arts. 59, 64.4 y apartado 7 de la disposición adicional sexta de la Ley 3/2012, de 22 de febrero, de modificación del texto refundido de la Ley de urbanismo de Cataluña aprobado por el Decreto Legislativo 1/2010, de 3 agosto, que se encuentran suspendidos en su aplicación, como consecuencia de la invocación del art. 161.2 CE, al promoverse el recurso de inconstitucionalidad contra los mismos por el Presidente del Gobierno.</w:t>
      </w:r>
    </w:p>
    <w:p w:rsidR="00BE7FB3" w:rsidRDefault="00BE7FB3" w:rsidP="00BE7FB3">
      <w:pPr>
        <w:pStyle w:val="TextoNormal"/>
      </w:pPr>
    </w:p>
    <w:p w:rsidR="00BE7FB3" w:rsidRDefault="00BE7FB3" w:rsidP="00BE7FB3">
      <w:pPr>
        <w:pStyle w:val="TextoNormal"/>
      </w:pPr>
      <w:r>
        <w:t xml:space="preserve">Al art. 59 se reprocha que permita que los bienes que integran el patrimonio público de suelo puedan cederse gratuitamente o enajenarse por un precio inferior al de su valoración para fines distintos a los previstos en la legislación básica estatal (arts. 38 y 39 del texto refundido de la Ley de suelo, aprobado por el Real Decreto Legislativo 2/2008, de 20 de junio) dictada </w:t>
      </w:r>
      <w:r w:rsidRPr="00BE7FB3">
        <w:rPr>
          <w:i/>
        </w:rPr>
        <w:t>ex</w:t>
      </w:r>
      <w:r>
        <w:t xml:space="preserve"> art. 149.1.13 CE y, concretamente, “para generar actividad económica en áreas deprimidas”. El art. 64.4 se recurre por invadir las competencias estatales </w:t>
      </w:r>
      <w:r w:rsidRPr="00BE7FB3">
        <w:rPr>
          <w:i/>
        </w:rPr>
        <w:t>ex</w:t>
      </w:r>
      <w:r>
        <w:t xml:space="preserve"> art. 149.1.18 CE al eliminar la necesidad de acto expreso de conformidad, aprobación o autorización (con régimen de silencio negativo) que la legislación estatal exige para la primera utilización y ocupación de los edificios y construcciones (art. 23 del Real Decreto-ley 8/2011, de 1 de julio, de medidas de apoyo a los deudores hipotecarios, de control del gasto público y cancelación deudas con empresas y autónomos contraídas por las entidades locales, de fomento de la actividad empresarial e impulso de la rehabilitación y de simplificación administrativa) sustituyéndolo por una mera comunicación previa al ayuntamiento. Por último, el apartado 7 de la disposición adicional sexta se considera que vulnera la titularidad estatal de dominio público marítimo-terrestre y lo dispuesto por el Estado en la Ley 22/1988, de 28 de julio, de costas.</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w:t>
      </w:r>
      <w:r>
        <w:lastRenderedPageBreak/>
        <w:t>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105/2010, de 29 de julio, FJ 2). Así pues, de lo que en este incidente se trata es de dilucidar si los perjuicios que han sido alegados por el Abogado del Estado tienen la gravedad y consistencia necesarias como para prevalecer sobre la presunción de legitimidad de la regulación catalana y los intereses que se vinculan a su aplicación efectiva. A tal fin examinaremos la petición de mantenimiento de la suspensión de cada uno de ellos, teniendo presente que la decisión al respecto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18/2007, de 18 de enero, FJ 5).</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Sentado lo anterior, debemos examinar, en primer lugar, si procede levantar o mantener la suspensión del art. 59 de la Ley 3/2012. Este precepto modifica el art. 167 del Decreto Legislativo 1/2010 que queda redactado de la siguiente forma: </w:t>
      </w:r>
    </w:p>
    <w:p w:rsidR="00BE7FB3" w:rsidRDefault="00BE7FB3" w:rsidP="00BE7FB3">
      <w:pPr>
        <w:pStyle w:val="TextoNormal"/>
      </w:pPr>
    </w:p>
    <w:p w:rsidR="00BE7FB3" w:rsidRDefault="00BE7FB3" w:rsidP="00BE7FB3">
      <w:pPr>
        <w:pStyle w:val="TextoNormal"/>
      </w:pPr>
      <w:r>
        <w:t>“1. Las administraciones públicas o las entidades urbanísticas especiales que gestionan el respectivo patrimonio público de suelo y de vivienda pueden ceder gratuitamente los bienes que están integrados en el mismo, o enajenarlos por un precio inferior al de su valoración, a favor de otras administraciones o entidades locales, o de entidades privadas sin ánimo de lucro, para atender necesidades de vivienda de carácter social o de equipamiento comunitario, para generar actividad económica en áreas deprimidas o para formar reservas para proteger y tutelar el suelo no urbanizable.</w:t>
      </w:r>
    </w:p>
    <w:p w:rsidR="00BE7FB3" w:rsidRDefault="00BE7FB3" w:rsidP="00BE7FB3">
      <w:pPr>
        <w:pStyle w:val="TextoNormal"/>
      </w:pPr>
    </w:p>
    <w:p w:rsidR="00BE7FB3" w:rsidRDefault="00BE7FB3" w:rsidP="00BE7FB3">
      <w:pPr>
        <w:pStyle w:val="TextoNormal"/>
      </w:pPr>
      <w:r>
        <w:t>2. El órgano competente para acordar la cesión gratuita de los bienes, o la enajenación por un precio inferior al de su valoración, debe concretar en la correspondiente resolución el destino que la justifica, al cual queda vinculado el bien cedido o enajenado, y el plazo para hacerla efectiva. Si el adquirente incumple este plazo o, posteriormente, no destina el bien a la finalidad o el uso vinculados, o no se cumplen las cargas o condiciones impuesta, queda resuelta la cesión o la enajenación y el bien revierte a la administración o la entidad transmisora.”</w:t>
      </w:r>
    </w:p>
    <w:p w:rsidR="00BE7FB3" w:rsidRDefault="00BE7FB3" w:rsidP="00BE7FB3">
      <w:pPr>
        <w:pStyle w:val="TextoNormal"/>
      </w:pPr>
    </w:p>
    <w:p w:rsidR="00BE7FB3" w:rsidRDefault="00BE7FB3" w:rsidP="00BE7FB3">
      <w:pPr>
        <w:pStyle w:val="TextoNormal"/>
      </w:pPr>
      <w:r>
        <w:t xml:space="preserve">Expuestos en los antecedentes los argumentos tanto del Abogado del Estado como de la Abogada de la Generalitat, conviene destacar que el primero, sobre el que recae la carga de exponer los motivos que justifiquen el mantenimiento de la suspensión inicialmente acordada </w:t>
      </w:r>
      <w:r w:rsidRPr="00BE7FB3">
        <w:rPr>
          <w:i/>
        </w:rPr>
        <w:t>ex</w:t>
      </w:r>
      <w:r>
        <w:t xml:space="preserve"> art. 161.2 CE, limita su argumentación a un aspecto de la nueva redacción dada por el art. 59 de la Ley 3/2012 al art. 167 del Decreto Legislativo 1/2010 que es el que se refiere a la posibilidad de destinar los bienes del patrimonio público de suelo a favor de otras administraciones, entidades públicas o entidades privadas sin ánimo de lucro para generar actividad económica en áreas deprimidas. Es, por tanto, el inciso “para generar actividad económica en áreas deprimidas” del apartado 1 de la nueva redacción del art.167 el que ha de ser únicamente objeto de nuestro enjuiciamiento a efectos de decidir sobre la pertinencia del levantamiento de la suspensión, puesto que, no habiéndose cumplido la carga de razonar el mantenimiento de la suspensión del resto del precepto procede levantar, respecto a esta </w:t>
      </w:r>
      <w:r>
        <w:lastRenderedPageBreak/>
        <w:t xml:space="preserve">parte de la regulación, su suspensión, sin que sea necesaria mayor argumentación por parte de este Tribunal. </w:t>
      </w:r>
    </w:p>
    <w:p w:rsidR="00BE7FB3" w:rsidRDefault="00BE7FB3" w:rsidP="00BE7FB3">
      <w:pPr>
        <w:pStyle w:val="TextoNormal"/>
      </w:pPr>
    </w:p>
    <w:p w:rsidR="00BE7FB3" w:rsidRDefault="00BE7FB3" w:rsidP="00BE7FB3">
      <w:pPr>
        <w:pStyle w:val="TextoNormal"/>
      </w:pPr>
      <w:r>
        <w:t>La conclusión acerca del inciso “para generar actividad económica en áreas deprimidas” ha de ser, por el contrario, la del mantenimiento de la suspensión, pues con independencia de la cuestión de fondo y de la viabilidad de las pretensiones que en la demanda se formulan, lo cierto es que la posibilidad de destinar, durante la pendencia del proceso constitucional, bienes integrantes de los patrimonios públicos de suelo a fines que pudieran ser distintos de los previstos por la legislación estatal como legítimos para esos bienes implicaría la creación de situaciones de hecho (implantación de usos y construcciones; merma del patrimonio público de suelo) difícilmente reversibles en el momento en que se dicte Sentencia ya que ello obligaría a demoliciones e indemnizaciones. Ahora bien, incluso si consideramos que estos perjuicios son reversibles y reparables, lo cierto es que la aplicación del precepto autonómico durante la pendencia del proceso ocasionaría, debido al principio económico básico del coste de oportunidad, perjuicios para los intereses públicos y particulares de carácter irreparable, puesto que durante ese tiempo se produciría una clara merma en la satisfacción de los fines de interés social a cuya consecución tiende la creación de los patrimonios públicos de suelo, tales como la construcción y oferta de viviendas en régimen de protección pública y, por tanto, las posibilidades de acceso de los sectores más desfavorecidos de la sociedad a una vivienda digna, valor o principio constitucional consagrado en el art. 47 CE. Es decir, se producirían claros perjuicios irreparables e irreversibles para los intereses públicos y particulares.</w:t>
      </w:r>
    </w:p>
    <w:p w:rsidR="00BE7FB3" w:rsidRDefault="00BE7FB3" w:rsidP="00BE7FB3">
      <w:pPr>
        <w:pStyle w:val="TextoNormal"/>
      </w:pPr>
    </w:p>
    <w:p w:rsidR="00BE7FB3" w:rsidRDefault="00BE7FB3" w:rsidP="00BE7FB3">
      <w:pPr>
        <w:pStyle w:val="TextoNormal"/>
      </w:pPr>
      <w:r>
        <w:t xml:space="preserve">Por otra parte, la argumentación de la Abogada de la Generalitat de Cataluña basada en que esta regulación se ha venido aplicando durante diez años no ofrece razón alguna que elimine la valoración que se acaba de realizar, pues esta valoración no atiende a la bondad del precepto desde la perspectiva abstracta del interés general, sino a la pertinencia de mantener o no una medida cautelar en el curso de un proceso en atención a la reversibilidad o irreversibilidad de los efectos de la vigencia de la norma impugnada y la irreparabilidad de los perjuicios ocasionados. </w:t>
      </w:r>
    </w:p>
    <w:p w:rsidR="00BE7FB3" w:rsidRDefault="00BE7FB3" w:rsidP="00BE7FB3">
      <w:pPr>
        <w:pStyle w:val="TextoNormal"/>
      </w:pPr>
    </w:p>
    <w:p w:rsidR="00BE7FB3" w:rsidRDefault="00BE7FB3" w:rsidP="00BE7FB3">
      <w:pPr>
        <w:pStyle w:val="TextoNormal"/>
      </w:pPr>
      <w:r>
        <w:t>Procede, pues, el mantenimiento de la suspensión de la vigencia del inciso “para generar actividad económica en áreas deprimidas” de la nueva redacción del art. 167 del Decreto Legislativo 1/2010 conferida por el art. 59 de la Ley 3/2012.</w:t>
      </w:r>
    </w:p>
    <w:p w:rsidR="00BE7FB3" w:rsidRDefault="00BE7FB3" w:rsidP="00BE7FB3">
      <w:pPr>
        <w:pStyle w:val="TextoNormal"/>
      </w:pPr>
    </w:p>
    <w:p w:rsidR="00BE7FB3" w:rsidRDefault="00BE7FB3" w:rsidP="00BE7FB3">
      <w:pPr>
        <w:pStyle w:val="TextoNormal"/>
      </w:pPr>
      <w:r w:rsidRPr="00BE7FB3">
        <w:rPr>
          <w:rStyle w:val="NumeroAFNegritaCaracter"/>
        </w:rPr>
        <w:t>4</w:t>
      </w:r>
      <w:r>
        <w:t>. En segundo lugar, hemos de analizar la petición de levantamiento de suspensión relativa al apartado 4 del artículo 64 de la Ley del Parlamento de Cataluña 3/2012, de 22 de febrero, de modificación del Decreto Legislativo 1/2010, que añade un nuevo apartado, el 5, al artículo 187 del Decreto Legislativo 1/2010 que dice:</w:t>
      </w:r>
    </w:p>
    <w:p w:rsidR="00BE7FB3" w:rsidRDefault="00BE7FB3" w:rsidP="00BE7FB3">
      <w:pPr>
        <w:pStyle w:val="TextoNormal"/>
      </w:pPr>
    </w:p>
    <w:p w:rsidR="00BE7FB3" w:rsidRDefault="00BE7FB3" w:rsidP="00BE7FB3">
      <w:pPr>
        <w:pStyle w:val="TextoNormal"/>
      </w:pPr>
      <w:r>
        <w:t>“Queda sujeto al régimen de comunicación previa al ayuntamiento, de acuerdo con el procedimiento que establece la legislación de régimen local, la primera utilización y ocupación de los edificios y construcciones. La comunicación ha de acompañarse de la certificación del facultativo director que acredite la fecha de finalización de las obras y de que estas se han efectuado de acuerdo con el proyecto aprobado o con las modificaciones posteriores y las condiciones impuestas, y que la edificación está en condiciones de ser utilizada.”</w:t>
      </w:r>
    </w:p>
    <w:p w:rsidR="00BE7FB3" w:rsidRDefault="00BE7FB3" w:rsidP="00BE7FB3">
      <w:pPr>
        <w:pStyle w:val="TextoNormal"/>
      </w:pPr>
    </w:p>
    <w:p w:rsidR="00BE7FB3" w:rsidRDefault="00BE7FB3" w:rsidP="00BE7FB3">
      <w:pPr>
        <w:pStyle w:val="TextoNormal"/>
      </w:pPr>
      <w:r>
        <w:lastRenderedPageBreak/>
        <w:t>Es preciso, en primer término, aclarar que el mantenimiento de la suspensión del precepto autonómico no puede justificarse por la distinta situación jurídica en que se encontrarían los propietarios de Cataluña respecto a los del resto del país. En efecto, esta alegación del Abogado del Estado no puede acogerse, porque, como ya hemos afirmado en anteriores ocasiones, “la diferente regulación ofrecida por la legislación estatal y la autonómica no puede ser argumentación estimada para el mantenimiento de la suspensión, ya que, si la misma se aceptara, la suspensión de las normas impugnadas por motivos competenciales sería siempre necesaria, ya que en todo conflicto de dicha naturaleza se produce una duplicidad de normativas, la estatal y la autonómica” (por todos, ATC 181/2011, de 13 de diciembre, FJ 5, y los allí citados).</w:t>
      </w:r>
    </w:p>
    <w:p w:rsidR="00BE7FB3" w:rsidRDefault="00BE7FB3" w:rsidP="00BE7FB3">
      <w:pPr>
        <w:pStyle w:val="TextoNormal"/>
      </w:pPr>
    </w:p>
    <w:p w:rsidR="00BE7FB3" w:rsidRDefault="00BE7FB3" w:rsidP="00BE7FB3">
      <w:pPr>
        <w:pStyle w:val="TextoNormal"/>
      </w:pPr>
      <w:r>
        <w:t>Descartado este motivo, debemos analizar las restantes alegaciones del Abogado del Estado.</w:t>
      </w:r>
    </w:p>
    <w:p w:rsidR="00BE7FB3" w:rsidRDefault="00BE7FB3" w:rsidP="00BE7FB3">
      <w:pPr>
        <w:pStyle w:val="TextoNormal"/>
      </w:pPr>
      <w:r>
        <w:t xml:space="preserve"> </w:t>
      </w:r>
    </w:p>
    <w:p w:rsidR="00BE7FB3" w:rsidRDefault="00BE7FB3" w:rsidP="00BE7FB3">
      <w:pPr>
        <w:pStyle w:val="TextoNormal"/>
      </w:pPr>
      <w:r>
        <w:t xml:space="preserve">Como señala el Abogado del Estado, el Real Decreto-ley 8/2011, de 1 de julio, ha establecido medidas que, tal y como se explica en su exposición de motivos, persiguen mejorar la confianza y la seguridad jurídica en el sector inmobiliario español y que son, fundamentalmente, dos: impedir que puedan adquirirse por silencio positivo facultades de extraordinaria relevancia e impacto en el territorio y medidas registrales tendentes a garantizar y fortalecer la seguridad jurídica en los actos y negocios inmobiliarios por medio del Registro de la Propiedad. Con esa finalidad, se pone fin a la regla del silencio positivo en las licencias urbanísticas que había generado algunos problemas importantes de seguridad jurídica, puesto que pese a que, en principio, el particular podía entender que transcurrido el plazo le había sido otorgada la licencia, la legislación urbanística siempre ha establecido y sigue estableciendo (art. 8.1 b) del vigente texto refundido de la Ley de suelo) que, en ningún caso, podrán entenderse adquiridas por silencio facultades o derechos que contradigan la ordenación territorial o urbanística. Esta regla urbanística singular permitió a las Administraciones públicas entender —interpretación que fue considerada correcta por el Tribunal Supremo en su Sentencia, dictada en recurso de casación en interés de ley, de 28 de enero de 2009— que, pese al transcurso del plazo, la licencia, si la obra era contraria a la normativa urbanística, no había sido realmente obtenida por el particular, puesto que el silencio positivo sólo opera </w:t>
      </w:r>
      <w:r w:rsidRPr="00BE7FB3">
        <w:rPr>
          <w:i/>
        </w:rPr>
        <w:t>secundum legem</w:t>
      </w:r>
      <w:r>
        <w:t>, y que, por tanto, podían desconocer sin más el silencio y denegar expresamente la licencia en cualquier momento posterior al transcurso del plazo procediendo la restauración del orden urbanístico y las demoliciones que fueran pertinentes. Ello, pese a preservar la legalidad urbanística, generaba una clara de incertidumbre e inseguridad jurídicas en el mercado inmobiliario a las que ha pretendido hacer frente el Real Decreto-ley 8/2011, dictado, por cierto y como es propio de este tipo de normas, para hacer frente a situaciones que se consideran de extraordinaria y urgente necesidad.</w:t>
      </w:r>
    </w:p>
    <w:p w:rsidR="00BE7FB3" w:rsidRDefault="00BE7FB3" w:rsidP="00BE7FB3">
      <w:pPr>
        <w:pStyle w:val="TextoNormal"/>
      </w:pPr>
    </w:p>
    <w:p w:rsidR="00BE7FB3" w:rsidRDefault="00BE7FB3" w:rsidP="00BE7FB3">
      <w:pPr>
        <w:pStyle w:val="TextoNormal"/>
      </w:pPr>
      <w:r>
        <w:t xml:space="preserve">En efecto, el art. 23 del Real Decreto-ley 8/2011 consagra ahora, para poner fin a esta situación, la regla de la necesidad de acto expreso de conformidad, aprobación o autorización administrativa tanto para las obras de edificación como para la primera ocupación de las mismas, y establece, correlativamente, un régimen de silencio negativo. Por otra parte, se incluyen medidas de protección registral de carácter fundamentalmente preventivo con la finalidad de evitar que la anulación de licencias y la obligación de demolición terminen afectando a terceros de buena fe. A estos efectos se incorpora al Registro de la Propiedad información que permita a los posibles adquirentes de los inmuebles conocer la situación litigiosa en que estos se encuentran, y se precisan los requisitos de acceso al Registro de la </w:t>
      </w:r>
      <w:r>
        <w:lastRenderedPageBreak/>
        <w:t>Propiedad de las obras nuevas terminadas, impidiendo, dice la exposición de motivos, “que puedan ser objeto de inscripción registral aquellas que, además de contar con la licencia de obras y la certificación técnica de que la obra se ajusta al proyecto, no posean la licencia de primera ocupación”.</w:t>
      </w:r>
    </w:p>
    <w:p w:rsidR="00BE7FB3" w:rsidRDefault="00BE7FB3" w:rsidP="00BE7FB3">
      <w:pPr>
        <w:pStyle w:val="TextoNormal"/>
      </w:pPr>
    </w:p>
    <w:p w:rsidR="00BE7FB3" w:rsidRDefault="00BE7FB3" w:rsidP="00BE7FB3">
      <w:pPr>
        <w:pStyle w:val="TextoNormal"/>
      </w:pPr>
      <w:r>
        <w:t xml:space="preserve">La suspensión de vigencia del precepto autonómico debe mantenerse, pues es indudable que el sistema de comunicación previa, que implica (según dispone el art. 36.2 de la Ley 26/2010, de 3 de agosto, de régimen jurídico y de procedimiento de las Administraciones públicas de Cataluña y a falta de otra norma sectorial específica) el reconocimiento o ejercicio de un derecho o el inicio de una actividad, desde el mismo día de su presentación (sin lapso de tiempo alguno para que la Administración pueda realizar una inspección y oponerse al reconocimiento y ejercicio del derecho o a la realización de la actividad antes de que produzcan), puede producir perjuicios irreversibles tanto en los intereses públicos, debido al impacto negativo que la regulación tendría en la confianza, la seguridad jurídica y la legalidad urbanística, como en los intereses de los particulares afectados, que se encontrarían en una situación de merma de garantías y menor protección pese a haber actuado de buena fe. </w:t>
      </w:r>
    </w:p>
    <w:p w:rsidR="00BE7FB3" w:rsidRDefault="00BE7FB3" w:rsidP="00BE7FB3">
      <w:pPr>
        <w:pStyle w:val="TextoNormal"/>
      </w:pPr>
    </w:p>
    <w:p w:rsidR="00BE7FB3" w:rsidRDefault="00BE7FB3" w:rsidP="00BE7FB3">
      <w:pPr>
        <w:pStyle w:val="TextoNormal"/>
      </w:pPr>
      <w:r>
        <w:t xml:space="preserve">En efecto, no puede aceptarse el argumento de la Abogada de la Generalitat de que la eliminación de la licencia de primera ocupación y utilización sea irrelevante desde la perspectiva de la seguridad y la legalidad jurídicas debido a que la existencia de un control previo mediante la licencia de obras y un control posterior mediante el ejercicio de las potestades de inspección y protección de la legalidad urbanística hacen redundante la licencia de primera ocupación y utilización. La licencia previa de obras tiene por finalidad comprobar la conformidad del proyecto presentado a la legalidad, pero no satisface la función que está llamada a cumplir la licencia de primera ocupación y utilización que consiste en controlar que la edificación se ha realizado realmente conforme a la licencia de obras concedida. Por otra parte, la normativa autonómica no contempla plazo alguno para que la Administración pueda expresar su disconformidad a la comunicación previa lo que supone el reconocimiento inmediato del derecho y, por tanto, la posibilidad de que los particulares ocupen y utilicen viviendas que podrían vulnerar la legalidad urbanística. </w:t>
      </w:r>
    </w:p>
    <w:p w:rsidR="00BE7FB3" w:rsidRDefault="00BE7FB3" w:rsidP="00BE7FB3">
      <w:pPr>
        <w:pStyle w:val="TextoNormal"/>
      </w:pPr>
    </w:p>
    <w:p w:rsidR="00BE7FB3" w:rsidRDefault="00BE7FB3" w:rsidP="00BE7FB3">
      <w:pPr>
        <w:pStyle w:val="TextoNormal"/>
      </w:pPr>
      <w:r>
        <w:t xml:space="preserve">La vigencia del precepto autonómico tendría, por tanto, como dice, el Abogado del Estado un impacto claramente negativo en la legalidad urbanística y en la confianza y la seguridad jurídicas en el mercado inmobiliario y permitiría, además, que se crearan situaciones (ocupación y utilización de viviendas ilegales por terceros de buena fe) que dificultarían gravemente la restauración de la legalidad urbanística, produciendo, por tanto, perjuicios importantes e irreversibles o difícilmente reversibles en los intereses públicos. Por otra parte, se producirían también perjuicios en los intereses de los particulares debido a la clara merma de garantías que un sistema de comunicación previa como el descrito comporta (tanto en la garantía de que la vivienda es legal y la edificación se ha realizado conforme al proyecto aprobado, como en cuanto al régimen de responsabilidad en caso de incumplimiento) y al detrimento que ello lleva consigo en la protección del tercero de buena fe. </w:t>
      </w:r>
    </w:p>
    <w:p w:rsidR="00BE7FB3" w:rsidRDefault="00BE7FB3" w:rsidP="00BE7FB3">
      <w:pPr>
        <w:pStyle w:val="TextoNormal"/>
      </w:pPr>
    </w:p>
    <w:p w:rsidR="00BE7FB3" w:rsidRDefault="00BE7FB3" w:rsidP="00BE7FB3">
      <w:pPr>
        <w:pStyle w:val="TextoNormal"/>
      </w:pPr>
      <w:r>
        <w:t xml:space="preserve">Estos perjuicios para los intereses públicos y particulares serían irreversibles (la pérdida de confianza y de seguridad jurídica en una parte del sector inmobiliario español (el catalán) durante el tiempo de vigencia de la norma, sin duda, lo es) o de difícil reparación (los daños </w:t>
      </w:r>
      <w:r>
        <w:lastRenderedPageBreak/>
        <w:t>ocasionados a los terceros de buena fe), sin que, frente a la necesidad de evitar que se produzcan durante la pendencia del proceso, pueda prevalecer ni el beneficio que genera para los particulares una menor intervención administrativa, ni el ahorro en términos de recursos públicos–ahorro que, por otra parte, se ha alegado en abstracto, sin que se haya realizado esfuerzo alguno de concreción o especificación- que el sistema de comunicación previa pueda comportar.</w:t>
      </w:r>
    </w:p>
    <w:p w:rsidR="00BE7FB3" w:rsidRDefault="00BE7FB3" w:rsidP="00BE7FB3">
      <w:pPr>
        <w:pStyle w:val="TextoNormal"/>
      </w:pPr>
    </w:p>
    <w:p w:rsidR="00BE7FB3" w:rsidRDefault="00BE7FB3" w:rsidP="00BE7FB3">
      <w:pPr>
        <w:pStyle w:val="TextoNormal"/>
      </w:pPr>
      <w:r w:rsidRPr="00BE7FB3">
        <w:rPr>
          <w:rStyle w:val="NumeroAFNegritaCaracter"/>
        </w:rPr>
        <w:t>5</w:t>
      </w:r>
      <w:r>
        <w:t>. Por último, debemos valorar el mantenimiento o levantamiento de la suspensión del apartado 7 de la disposición adicional sexta de la Ley 3/2012 que dispone: “Corresponde al departamento competente en materia de costas autorizar nuevas actuaciones con relación a las obras, las instalaciones y las actividades implantadas legalmente en la zona de servidumbre de protección del dominio público marítimo-terrestre. No obstante, si estas actuaciones no suponen el incremento de la superficie ocupada o de la volumetría existente, ni cambio del uso autorizado, se sujetan al régimen de comunicación previa. En este caso, la persona interesada debe presentar la comunicación correspondiente conjuntamente con la documentación acreditativa de la implantación legal de las obras y las instalaciones preexistentes y, si el órgano competente en materia de costas no manifiesta motivadamente la disconformidad de la actuación con la legislación aplicable en materia de costas en el plazo de dos meses, puede llevar a cabo la actuación comunicada”.</w:t>
      </w:r>
    </w:p>
    <w:p w:rsidR="00BE7FB3" w:rsidRDefault="00BE7FB3" w:rsidP="00BE7FB3">
      <w:pPr>
        <w:pStyle w:val="TextoNormal"/>
      </w:pPr>
    </w:p>
    <w:p w:rsidR="00BE7FB3" w:rsidRDefault="00BE7FB3" w:rsidP="00BE7FB3">
      <w:pPr>
        <w:pStyle w:val="TextoNormal"/>
      </w:pPr>
      <w:r>
        <w:t xml:space="preserve">En primer lugar, hay que aclarar que no puede acogerse la alegación de la Abogada de la Generalitat de que, debido a la errónea fundamentación realizada por el Abogado del Estado de la inconstitucionalidad del apartado 7 de la disposición adicional sexta, debamos ya concluir que no ha cumplido con la carga de la argumentación de la inconstitucionalidad de este precepto autonómico que le corresponde y que, en consecuencia, el mismo queda fuera del objeto del proceso procediendo, por este motivo, la suspensión. Es preciso recordar que, en este momento procesal, no corresponde a este Tribunal examinar el fondo del asunto, ni, por tanto, analizar la corrección de la argumentación de la acerca de la inconstitucionalidad del precepto recurrido o el suficiente o insuficiente cumplimiento de la carga argumental que sobre ello corresponde al recurrente. En el incidente de suspensión, este Tribunal ha de pronunciarse únicamente sobre si procede o no el levantamiento de la suspensión y para ello hemos de tener en cuenta si el Abogado del Estado ha cumplido con la carga de la argumentación del mantenimiento de la suspensión y no con la carga de la argumentación de la inconstitucionalidad del precepto recurrido. </w:t>
      </w:r>
    </w:p>
    <w:p w:rsidR="00BE7FB3" w:rsidRDefault="00BE7FB3" w:rsidP="00BE7FB3">
      <w:pPr>
        <w:pStyle w:val="TextoNormal"/>
      </w:pPr>
    </w:p>
    <w:p w:rsidR="00BE7FB3" w:rsidRDefault="00BE7FB3" w:rsidP="00BE7FB3">
      <w:pPr>
        <w:pStyle w:val="TextoNormal"/>
      </w:pPr>
      <w:r>
        <w:t>Dicho esto, en el presente caso, el Abogado del Estado sí ha argumentado el mantenimiento de la suspensión. Es cierto que para ello hace, en primer término, referencia a la vulneración del régimen de utilización del dominio público marítimo-terrestre, que no es aquí de aplicación, puesto que el precepto autonómico lo que regula es el régimen de utilización de la zona de servidumbre de protección de ese demanio, pero no es menos cierto que también ha expuesto otras razones por las que procede mantener la suspensión. En efecto, considera el Abogado del Estado que no debería levantarse la suspensión porque la aplicación del precepto autonómico y la consiguiente sustitución, durante la pendencia del proceso, del sistema de autorización por el de comunicación previa produciría perjuicios irreparables tanto en la protección del dominio público marítimo-terrestre, que se encuentra ya en una situación de fragilidad, como en el acceso y uso del mismo por la ciudadanía. En su opinión, la protección de los intereses públicos medioambientales debe prevalecer y, en consecuencia, debe mantenerse la suspensión.</w:t>
      </w:r>
    </w:p>
    <w:p w:rsidR="00BE7FB3" w:rsidRDefault="00BE7FB3" w:rsidP="00BE7FB3">
      <w:pPr>
        <w:pStyle w:val="TextoNormal"/>
      </w:pPr>
    </w:p>
    <w:p w:rsidR="00BE7FB3" w:rsidRDefault="00BE7FB3" w:rsidP="00BE7FB3">
      <w:pPr>
        <w:pStyle w:val="TextoNormal"/>
      </w:pPr>
      <w:r>
        <w:t xml:space="preserve">Cumplida, por tanto, la carga de la argumentación de la pertinencia del mantenimiento de la suspensión, corresponde a este Tribunal realizar la pertinente evaluación aplicando los criterios ya establecidos en nuestra doctrina. </w:t>
      </w:r>
    </w:p>
    <w:p w:rsidR="00BE7FB3" w:rsidRDefault="00BE7FB3" w:rsidP="00BE7FB3">
      <w:pPr>
        <w:pStyle w:val="TextoNormal"/>
      </w:pPr>
    </w:p>
    <w:p w:rsidR="00BE7FB3" w:rsidRDefault="00BE7FB3" w:rsidP="00BE7FB3">
      <w:pPr>
        <w:pStyle w:val="TextoNormal"/>
      </w:pPr>
      <w:r>
        <w:t xml:space="preserve">A estos efectos, hay que tener en cuenta que la Ley 22/1988, de 28 de julio, de costas (art. 25.3) limita extraordinariamente las actividades, instalaciones o construcciones que pueden ubicarse en la zona de servidumbre de protección. Están permitidas, previa autorización, las actividades de cultivo, plantación e instalaciones y aquellas otras que, por su naturaleza, no pueden tener otra ubicación o que prestan servicios necesarios para el propio uso del dominio público marítimo-terrestre. Están, en principio, prohibidas las actividades e instalaciones de mayor impacto (edificaciones destinadas a residencia o habilitación, vertido de residuos sólidos, escombros y aguas residuales, carteles y vallas publicitarias…); sólo excepcionalmente y, por razones de utilidad pública, puede el Consejo de Ministros, autorizar ciertas edificaciones e instalaciones de envergadura. </w:t>
      </w:r>
    </w:p>
    <w:p w:rsidR="00BE7FB3" w:rsidRDefault="00BE7FB3" w:rsidP="00BE7FB3">
      <w:pPr>
        <w:pStyle w:val="TextoNormal"/>
      </w:pPr>
    </w:p>
    <w:p w:rsidR="00BE7FB3" w:rsidRDefault="00BE7FB3" w:rsidP="00BE7FB3">
      <w:pPr>
        <w:pStyle w:val="TextoNormal"/>
      </w:pPr>
      <w:r>
        <w:t xml:space="preserve">Por otra parte, el precepto autonómico recurrido se refiere a nuevas actuaciones con relación a obras, instalaciones y actividades que ya existen legalmente en la zona de servidumbre de protección y que ni suponen incremento de la superficie ocupada o de la volumetría existente, ni cambio del uso autorizado. Se trata, por tanto, de actuaciones sobre lo que ya se ha autorizado e implantado legalmente, que tienen una pequeña o nula capacidad de impacto en la alteración de la protección del dominio público marítimo terrestre o en su uso y acceso por la ciudadanía, y que, por su escasa entidad, podrían, en su caso, dar lugar a perjuicios de menor magnitud y de carácter reversible y reparable. Además, hay que tener en cuenta que la norma sectorial establece un plazo de dos meses tras la presentación por el particular de la comunicación previa en el que la Administración puede manifestar motivadamente su disconformidad respecto a la actuación comunicada, y que, por tanto, existe margen suficiente para realizar un adecuado control de la conformidad a Derecho de la actuación antes de que se proceda a su realización, sin que exista razón alguna para entender que la Administración autonómica no vaya a realizar debidamente la tarea de protección de los intereses públicos que tiene encomendada. </w:t>
      </w:r>
    </w:p>
    <w:p w:rsidR="00BE7FB3" w:rsidRDefault="00BE7FB3" w:rsidP="00BE7FB3">
      <w:pPr>
        <w:pStyle w:val="TextoNormal"/>
      </w:pPr>
    </w:p>
    <w:p w:rsidR="00BE7FB3" w:rsidRDefault="00BE7FB3" w:rsidP="00BE7FB3">
      <w:pPr>
        <w:pStyle w:val="TextoNormal"/>
      </w:pPr>
      <w:r>
        <w:t>No se advierte, por tanto, que la vigencia del precepto autonómico pueda ocasionar perjuicios irreversibles o de difícil o imposible reparación que justifiquen el mantenimiento de la suspensión frente a la presunción de validez propia de las leyes.</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1º Levantar la suspensión del apartado 7 de la disposición adicional sexta de la Ley 3/2012, de 22 de febrero, de modificación del texto refundido de la Ley de urbanismo de Cataluña aprobado por el Decreto Legislativo 1/2010, de 3 de agosto, así como de la nueva redacción dada al art. 167 de este texto refundido por el art. 59 de la misma Ley 3/2012, salvo en el inciso de su apartado 1 “para generar actividad económica en áreas deprimidas”, que se mantiene.</w:t>
      </w:r>
    </w:p>
    <w:p w:rsidR="00BE7FB3" w:rsidRDefault="00BE7FB3" w:rsidP="00BE7FB3">
      <w:pPr>
        <w:pStyle w:val="TextoNormal"/>
      </w:pPr>
    </w:p>
    <w:p w:rsidR="00BE7FB3" w:rsidRDefault="00BE7FB3" w:rsidP="00BE7FB3">
      <w:pPr>
        <w:pStyle w:val="TextoNormal"/>
      </w:pPr>
      <w:r>
        <w:lastRenderedPageBreak/>
        <w:t>2º Mantener asimismo la suspensión del inciso “para generar actividad económica en áreas deprimidas” del apartado 1 del art. 167 del texto refundido de la Ley de urbanismo de Cataluña en la nueva redacción dada por del art. 59 de la Ley 3/2012, así como del nuevo apartado 5 del artículo 187 de este texto refundido introducido por el apartado 4 del art. 64 de la Ley 3/2012, de 22 de febrero.</w:t>
      </w:r>
    </w:p>
    <w:p w:rsidR="00BE7FB3" w:rsidRDefault="00BE7FB3" w:rsidP="00BE7FB3">
      <w:pPr>
        <w:pStyle w:val="TextoNormal"/>
      </w:pPr>
    </w:p>
    <w:p w:rsidR="00BE7FB3" w:rsidRDefault="00BE7FB3" w:rsidP="00BE7FB3">
      <w:pPr>
        <w:pStyle w:val="TextoNormal"/>
      </w:pPr>
      <w:r>
        <w:t>Madrid, a nueve de abril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22" w:name="AUTO_2013_81"/>
      <w:r>
        <w:lastRenderedPageBreak/>
        <w:t>AUTO 81/2013, de 10 de abril de 2013</w:t>
      </w:r>
    </w:p>
    <w:bookmarkEnd w:id="222"/>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ECLI:ES:TC:2013:81A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4100-2012, promovido por el Consejo Insular de Menorca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4 de julio de 2012, el Procurador de los Tribunales don José Manuel Villasante García, en nombre y representación del Consell Insular de Menorca, interpuso demanda de amparo contra Autos de la Sección Primera de la Sala de lo Contencioso-Administrativo del Tribunal Supremo recaídos en recurso de casación núm. 4101-2011, contra Sentencia dictada por la Sala de lo Contencioso-Administrativo del Tribunal Superior de Justicia de Baleares, en recurso núm. 821-2003.</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30 de noviembre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en su condición de Magistrado de la Sala de lo Contencioso-Administrativo del Tribunal Supremo que dictó las resoluciones recurridas.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lastRenderedPageBreak/>
        <w:t>Estimar justificada la abstención formulada por el Magistrado Excmo. Sr. don Juan José González Rivas en el recurso de amparo núm. 4100-2012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diez de abril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23" w:name="AUTO_2013_82"/>
      <w:r>
        <w:lastRenderedPageBreak/>
        <w:t>AUTO 82/2013, de 22 de abril de 2013</w:t>
      </w:r>
    </w:p>
    <w:bookmarkEnd w:id="223"/>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ECLI:ES:TC:2013:82A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el desistimiento en el recurso de amparo 3843-2012, promovido en pleito civil.</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224" w:name="AUTO_2013_83"/>
      <w:r>
        <w:lastRenderedPageBreak/>
        <w:t>AUTO 83/2013, de 22 de abril de 2013</w:t>
      </w:r>
    </w:p>
    <w:bookmarkEnd w:id="224"/>
    <w:p w:rsidR="00BE7FB3" w:rsidRDefault="00BE7FB3" w:rsidP="00BE7FB3">
      <w:pPr>
        <w:pStyle w:val="TtuloResolucin"/>
      </w:pPr>
      <w:r>
        <w:t>Sección Cuarta</w:t>
      </w:r>
    </w:p>
    <w:p w:rsidR="00BE7FB3" w:rsidRDefault="00BE7FB3" w:rsidP="00BE7FB3">
      <w:pPr>
        <w:pStyle w:val="TtuloResolucin"/>
      </w:pPr>
    </w:p>
    <w:p w:rsidR="00BE7FB3" w:rsidRDefault="00BE7FB3" w:rsidP="00BE7FB3">
      <w:pPr>
        <w:pStyle w:val="SntesisDescriptiva"/>
      </w:pPr>
      <w:r>
        <w:t>ECLI:ES:TC:2013:83A</w:t>
      </w:r>
    </w:p>
    <w:p w:rsidR="00BE7FB3" w:rsidRDefault="00BE7FB3" w:rsidP="00BE7FB3">
      <w:pPr>
        <w:pStyle w:val="SntesisDescriptiva"/>
      </w:pPr>
    </w:p>
    <w:p w:rsidR="00BE7FB3" w:rsidRDefault="00BE7FB3" w:rsidP="00BE7FB3">
      <w:pPr>
        <w:pStyle w:val="SntesisDescriptiva"/>
      </w:pPr>
      <w:r>
        <w:t>Excms. Srs. don Pablo Pérez Tremps, don Francisco José Hernando Santiago y don Francisco Pérez de los Cobos Orihuel.</w:t>
      </w:r>
    </w:p>
    <w:p w:rsidR="00BE7FB3" w:rsidRDefault="00BE7FB3" w:rsidP="00BE7FB3">
      <w:pPr>
        <w:pStyle w:val="SntesisDescriptiva"/>
      </w:pPr>
    </w:p>
    <w:p w:rsidR="00BE7FB3" w:rsidRDefault="00BE7FB3" w:rsidP="00BE7FB3">
      <w:pPr>
        <w:pStyle w:val="SntesisDescriptiva"/>
      </w:pPr>
      <w:r>
        <w:t>Acuerda el desistimiento en el recurso de amparo 5917-2012, promovido en pleito civil.</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225" w:name="AUTO_2013_84"/>
      <w:r>
        <w:lastRenderedPageBreak/>
        <w:t>AUTO 84/2013, de 23 de abril de 2013</w:t>
      </w:r>
    </w:p>
    <w:bookmarkEnd w:id="225"/>
    <w:p w:rsidR="00BE7FB3" w:rsidRDefault="00BE7FB3" w:rsidP="00BE7FB3">
      <w:pPr>
        <w:pStyle w:val="TtuloResolucin"/>
      </w:pPr>
      <w:r>
        <w:t>Pleno</w:t>
      </w:r>
    </w:p>
    <w:p w:rsidR="00BE7FB3" w:rsidRDefault="00BE7FB3" w:rsidP="00BE7FB3">
      <w:pPr>
        <w:pStyle w:val="TtuloResolucin"/>
      </w:pPr>
    </w:p>
    <w:p w:rsidR="00BE7FB3" w:rsidRDefault="00BE7FB3" w:rsidP="00BE7FB3">
      <w:pPr>
        <w:pStyle w:val="TtuloBOE"/>
      </w:pPr>
      <w:r>
        <w:t>("BOE" núm. 123, de 23 de mayo de 2013)</w:t>
      </w:r>
    </w:p>
    <w:p w:rsidR="00BE7FB3" w:rsidRDefault="00BE7FB3" w:rsidP="00BE7FB3">
      <w:pPr>
        <w:pStyle w:val="TtuloBOE"/>
      </w:pPr>
    </w:p>
    <w:p w:rsidR="00BE7FB3" w:rsidRDefault="00BE7FB3" w:rsidP="00BE7FB3">
      <w:pPr>
        <w:pStyle w:val="SntesisDescriptiva"/>
      </w:pPr>
      <w:r>
        <w:t>ECLI:ES:TC:2013:84A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Inadmite a trámite la cuestión de inconstitucionalidad 6313-2012, planteada por la Sala de lo Contencioso-Administrativo del Tribunal Superior de Justicia del País Vasco en relación con la disposición transitoria primera de la Norma Foral de las Juntas Generales de Álava 14/2009, de 17 de diciembre, de ejecución presupuestaria para 2010.</w:t>
      </w:r>
    </w:p>
    <w:p w:rsidR="00BE7FB3" w:rsidRDefault="00BE7FB3" w:rsidP="00BE7FB3">
      <w:pPr>
        <w:pStyle w:val="SntesisDescriptiva"/>
      </w:pPr>
    </w:p>
    <w:p w:rsidR="00BE7FB3" w:rsidRDefault="00BE7FB3" w:rsidP="00BE7FB3">
      <w:pPr>
        <w:pStyle w:val="SntesisAnaltica"/>
      </w:pPr>
      <w:r>
        <w:t>Cuestión de inconstitucionalidad: normas forales. Inadmisión de cuestión de inconstitucionalidad: cuestión de inconstitucionalidad notoriamente infundada. Principio de seguridad jurídica: confianza legítima; retroactividad de normas tributarias.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8 de noviembre de 2012 tuvo entrada en el Registro General de este Tribunal un escrito del Secretario de la Sección Primera de la Sala de lo Contencioso-Administrativo del Tribunal Superior de Justicia del País Vasco dirigido al Presidente del Tribunal Constitucional, al que se adjuntaba testimonio del Auto de 29 de junio de 2012, por el que se acordó plantear la cuestión de inconstitucionalidad de la disposición transitoria primera de la Norma Foral de las Juntas Generales de Álava 14/2009, de 17 de diciembre, de ejecución presupuestaria para 2010, (aunque, por error, la parte dispositiva del Auto de planteamiento se refiere a la disposición adicional primera de la referida Norma Foral) así como testimonio de los Autos correspondientes al proceso contencioso-administrativo ordinario núm.1803-2010.</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que pueden ser relevantes en este proceso constitucional son los siguientes:</w:t>
      </w:r>
    </w:p>
    <w:p w:rsidR="00BE7FB3" w:rsidRDefault="00BE7FB3" w:rsidP="00BE7FB3">
      <w:pPr>
        <w:pStyle w:val="TextoNormal"/>
      </w:pPr>
    </w:p>
    <w:p w:rsidR="00BE7FB3" w:rsidRDefault="00BE7FB3" w:rsidP="00BE7FB3">
      <w:pPr>
        <w:pStyle w:val="TextoNormal"/>
      </w:pPr>
      <w:r>
        <w:t xml:space="preserve">a) Ante la Sala de lo Contencioso-Administrativo del Tribunal Superior de Justicia de del País Vasco se interpuso recurso contencioso-administrativo contra el acuerdo del organismo jurídico-administrativo de Álava de 8 de octubre de 2010, que desestimó la reclamación núm. 215-2010 formulada contra la resolución de la Sección de impuesto de sociedades, retenciones y no residentes, de 4 de mayo, que rechazaba la opción del reclamante de </w:t>
      </w:r>
      <w:r>
        <w:lastRenderedPageBreak/>
        <w:t>tributar por el impuesto sobre la renta de no residentes en el ejercicio 2009 y los cinco siguientes al no haber optado antes de 31 de diciembre de 2009 y serle de aplicación la Norma Foral 14/2009, de 17 de diciembre, de ejecución presupuestaria, que entró en vigor el 1 de enero de 2010; regulación que, en el caso del recurrente, no preveía la posibilidad de tributar por el referido régimen.</w:t>
      </w:r>
    </w:p>
    <w:p w:rsidR="00BE7FB3" w:rsidRDefault="00BE7FB3" w:rsidP="00BE7FB3">
      <w:pPr>
        <w:pStyle w:val="TextoNormal"/>
      </w:pPr>
    </w:p>
    <w:p w:rsidR="00BE7FB3" w:rsidRDefault="00BE7FB3" w:rsidP="00BE7FB3">
      <w:pPr>
        <w:pStyle w:val="TextoNormal"/>
      </w:pPr>
      <w:r>
        <w:t>b) El proceso contencioso-administrativo se siguió en todos sus trámites dictándose providencia el 21 de febrero de 2012, señalando para la votación y fallo del recurso el día 23 de febrero de 2012.</w:t>
      </w:r>
    </w:p>
    <w:p w:rsidR="00BE7FB3" w:rsidRDefault="00BE7FB3" w:rsidP="00BE7FB3">
      <w:pPr>
        <w:pStyle w:val="TextoNormal"/>
      </w:pPr>
    </w:p>
    <w:p w:rsidR="00BE7FB3" w:rsidRDefault="00BE7FB3" w:rsidP="00BE7FB3">
      <w:pPr>
        <w:pStyle w:val="TextoNormal"/>
      </w:pPr>
      <w:r>
        <w:t>c) El 2 de marzo de 2012 se dictó providencia por la que, de conformidad con lo establecido en el art. 35.2 de la Ley Orgánica del Tribunal Constitucional (LOTC), se otorgó un plazo de diez días a las partes y al Ministerio Fiscal para que pudieran alegar lo que estimaran conveniente sobre la pertinencia de plantear cuestión de inconstitucionalidad de la disposición transitoria primera de la Norma Foral de Álava 14/2009, de 17 de diciembre, de ejecución presupuestaria. La Sala considera que la referida norma podría ser contraria al art. 9.3 CE, pues entiende que este precepto constitucional, “además de prohibir la retroactividad de las disposiciones sancionadoras no favorables o restrictivas de los derechos individuales, garantiza la seguridad jurídica, y proscribe la arbitrariedad de los poderes públicos”, lo que, según se afirma en esta resolución judicial, “abarca la perspectiva de la posible censura de medidas tributarias no estrictamente retroactivas aquejadas de imprevisibilidad o justificación que las haga vulnerar dicho postulado de certeza”.</w:t>
      </w:r>
    </w:p>
    <w:p w:rsidR="00BE7FB3" w:rsidRDefault="00BE7FB3" w:rsidP="00BE7FB3">
      <w:pPr>
        <w:pStyle w:val="TextoNormal"/>
      </w:pPr>
    </w:p>
    <w:p w:rsidR="00BE7FB3" w:rsidRDefault="00BE7FB3" w:rsidP="00BE7FB3">
      <w:pPr>
        <w:pStyle w:val="TextoNormal"/>
      </w:pPr>
      <w:r>
        <w:t>d) El 20 de marzo de 2012, el Fiscal presentó su escrito de alegaciones. El Ministerio Fiscal consideró que la norma cuestionada, que era aplicable al caso y de cuya validez dependía el fallo, podía ser contraria a los principios constitucionales, por lo que no se opuso al planteamiento de la cuestión de inconstitucionalidad.</w:t>
      </w:r>
    </w:p>
    <w:p w:rsidR="00BE7FB3" w:rsidRDefault="00BE7FB3" w:rsidP="00BE7FB3">
      <w:pPr>
        <w:pStyle w:val="TextoNormal"/>
      </w:pPr>
    </w:p>
    <w:p w:rsidR="00BE7FB3" w:rsidRDefault="00BE7FB3" w:rsidP="00BE7FB3">
      <w:pPr>
        <w:pStyle w:val="TextoNormal"/>
      </w:pPr>
      <w:r>
        <w:t>e) La parte demandante en el proceso contencioso-administrativo formuló alegaciones el 23 de marzo de 2012. En este escrito se aducía que la disposición transitoria primera de la Norma Foral 14/2009, de 17 de diciembre, de ejecución presupuestaria para 2010, es contraria al principio constitucional de seguridad jurídica y por ello solicitó al órgano judicial que planteara cuestión de inconstitucionalidad ante este Tribunal.</w:t>
      </w:r>
    </w:p>
    <w:p w:rsidR="00BE7FB3" w:rsidRDefault="00BE7FB3" w:rsidP="00BE7FB3">
      <w:pPr>
        <w:pStyle w:val="TextoNormal"/>
      </w:pPr>
    </w:p>
    <w:p w:rsidR="00BE7FB3" w:rsidRDefault="00BE7FB3" w:rsidP="00BE7FB3">
      <w:pPr>
        <w:pStyle w:val="TextoNormal"/>
      </w:pPr>
      <w:r>
        <w:t>f) Por escrito de 26 de marzo de 2012, la representación procesal de la Diputación Foral de Álava formuló alegaciones por las que aducía que la disposición transitoria primera de la Norma foral 14/2009, de 17 de diciembre, no vulnera lo dispuesto en el art. 9.3 CE y por ello consideró que no procedía plantear la cuestión de inconstitucionalidad.</w:t>
      </w:r>
    </w:p>
    <w:p w:rsidR="00BE7FB3" w:rsidRDefault="00BE7FB3" w:rsidP="00BE7FB3">
      <w:pPr>
        <w:pStyle w:val="TextoNormal"/>
      </w:pPr>
    </w:p>
    <w:p w:rsidR="00BE7FB3" w:rsidRDefault="00BE7FB3" w:rsidP="00BE7FB3">
      <w:pPr>
        <w:pStyle w:val="TextoNormal"/>
      </w:pPr>
      <w:r>
        <w:t>g) Por Auto de 29 de junio de 2012, la Sección Primera de la Sala de lo Contencioso-Administrativo del Tribunal Superior de Justicia del País Vasco acordó plantear cuestión de inconstitucionalidad en relación con la disposición transitoria primera de la Norma Foral de las Juntas Generales de Álava 14/2009, de 17 de diciembre, de ejecución presupuestaria para 2010.</w:t>
      </w:r>
    </w:p>
    <w:p w:rsidR="00BE7FB3" w:rsidRDefault="00BE7FB3" w:rsidP="00BE7FB3">
      <w:pPr>
        <w:pStyle w:val="TextoNormal"/>
      </w:pPr>
    </w:p>
    <w:p w:rsidR="00BE7FB3" w:rsidRDefault="00BE7FB3" w:rsidP="00BE7FB3">
      <w:pPr>
        <w:pStyle w:val="TextoNormal"/>
      </w:pPr>
      <w:r w:rsidRPr="00BE7FB3">
        <w:rPr>
          <w:rStyle w:val="NumeroAFNegritaCaracter"/>
        </w:rPr>
        <w:t>3</w:t>
      </w:r>
      <w:r>
        <w:t>. La Sala fundamenta su duda de constitucionalidad en la eficacia temporal de la norma cuestionada. Según se expone en el Auto de planteamiento, esta norma, al disponer la pér</w:t>
      </w:r>
      <w:r>
        <w:lastRenderedPageBreak/>
        <w:t>dida del derecho de opción de manera súbita y carente de previsibilidad objetiva, ha vulnerado el art. 9.3 CE. El órgano judicial invoca la doctrina constitucional establecida en la STC 173/1996, en la que se afirma que la seguridad jurídica “‘sí protege, en cambio, la confianza de los ciudadanos, que ajustan su conducta económica a la legislación vigente, frente a cambios normativos que no sean razonablemente previsibles, ya que la retroactividad posible de las normas tributarias no puede trascender la interdicción de la arbitrariedad’ (SSTC 150/1990 y 197/1992)”. La aplicación de esta doctrina podría conllevar, según la Sala, la inconstitucionalidad del precepto cuestionado, pues esta norma no ha respetado el plazo de seis meses que otorgaba el régimen anterior para que los sujetos pasivos del impuesto pudieran ejercer su derecho de opción, sin que, según se sostiene en el Auto de planteamiento, existan razones que justifiquen la urgencia y la inmediatez de la suplantación de un régimen por otro ni los afectados por la misma pudieran prever el cambio legislativo.</w:t>
      </w:r>
    </w:p>
    <w:p w:rsidR="00BE7FB3" w:rsidRDefault="00BE7FB3" w:rsidP="00BE7FB3">
      <w:pPr>
        <w:pStyle w:val="TextoNormal"/>
      </w:pPr>
    </w:p>
    <w:p w:rsidR="00BE7FB3" w:rsidRDefault="00BE7FB3" w:rsidP="00BE7FB3">
      <w:pPr>
        <w:pStyle w:val="TextoNormal"/>
      </w:pPr>
      <w:r>
        <w:t>Por todo ello, al tratarse de un precepto aplicable al caso y de cuya validez depende el fallo y al no existir posibilidad de efectuar una interpretación del mismo conforme a la Constitución, el órgano judicial acordó plantear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4</w:t>
      </w:r>
      <w:r>
        <w:t>. Por escrito registrado en este Tribunal el 31 de enero de 2013, don Fernando Ruiz de Velasco y Martinez de Ercilla, procurador de los Tribunales, en nombre y representación de don José Ramón Villar González, solicitó que se tuviera por personado a su representando en este proceso constitucional.</w:t>
      </w:r>
    </w:p>
    <w:p w:rsidR="00BE7FB3" w:rsidRDefault="00BE7FB3" w:rsidP="00BE7FB3">
      <w:pPr>
        <w:pStyle w:val="TextoNormal"/>
      </w:pPr>
    </w:p>
    <w:p w:rsidR="00BE7FB3" w:rsidRDefault="00BE7FB3" w:rsidP="00BE7FB3">
      <w:pPr>
        <w:pStyle w:val="TextoNormal"/>
      </w:pPr>
      <w:r>
        <w:t>Por diligencia de ordenación de 1 de febrero se acordó tener por presentado el referido escrito, señalándose que, en relación con lo solicitado, conforme establece el art. 37.2 LOTC, procederá pronunciarse en el caso de que la cuestión de inconstitucionalidad sea admitida a trámite y una vez publicada dicha admisión en el “Boletín Oficial del Estado”.</w:t>
      </w:r>
    </w:p>
    <w:p w:rsidR="00BE7FB3" w:rsidRDefault="00BE7FB3" w:rsidP="00BE7FB3">
      <w:pPr>
        <w:pStyle w:val="TextoNormal"/>
      </w:pPr>
    </w:p>
    <w:p w:rsidR="00BE7FB3" w:rsidRDefault="00BE7FB3" w:rsidP="00BE7FB3">
      <w:pPr>
        <w:pStyle w:val="TextoNormal"/>
      </w:pPr>
      <w:r w:rsidRPr="00BE7FB3">
        <w:rPr>
          <w:rStyle w:val="NumeroAFNegritaCaracter"/>
        </w:rPr>
        <w:t>5</w:t>
      </w:r>
      <w:r>
        <w:t>. Por providencia de la Sección Cuarta, a los efectos de lo previsto en el art. 37.1 LOTC, se acordó oír al Fiscal General del Estado para que, en el plazo de diez días, alegara lo que considerase conveniente acerca de la admisibilidad de la presente cuestión de inconstitucionalidad, por si fuere notoriamente infundada.</w:t>
      </w:r>
    </w:p>
    <w:p w:rsidR="00BE7FB3" w:rsidRDefault="00BE7FB3" w:rsidP="00BE7FB3">
      <w:pPr>
        <w:pStyle w:val="TextoNormal"/>
      </w:pPr>
    </w:p>
    <w:p w:rsidR="00BE7FB3" w:rsidRDefault="00BE7FB3" w:rsidP="00BE7FB3">
      <w:pPr>
        <w:pStyle w:val="TextoNormal"/>
      </w:pPr>
      <w:r w:rsidRPr="00BE7FB3">
        <w:rPr>
          <w:rStyle w:val="NumeroAFNegritaCaracter"/>
        </w:rPr>
        <w:t>6</w:t>
      </w:r>
      <w:r>
        <w:t>. El Fiscal General del Estado presentó su escrito de alegaciones el 7 de marzo de 2013 por el que interesa que este Tribunal dicte Auto por el que se acuerde la inadmisión de la presente cuestión de inconstitucionalidad por ser notoriamente infundada.</w:t>
      </w:r>
    </w:p>
    <w:p w:rsidR="00BE7FB3" w:rsidRDefault="00BE7FB3" w:rsidP="00BE7FB3">
      <w:pPr>
        <w:pStyle w:val="TextoNormal"/>
      </w:pPr>
    </w:p>
    <w:p w:rsidR="00BE7FB3" w:rsidRDefault="00BE7FB3" w:rsidP="00BE7FB3">
      <w:pPr>
        <w:pStyle w:val="TextoNormal"/>
      </w:pPr>
      <w:r>
        <w:t xml:space="preserve">El Fiscal considera que, de acuerdo con la doctrina constitucional, a los efectos de lo dispuesto en el art. 9.3 CE, una norma es retroactiva cuando incide sobre “relaciones consagradas” y “afecta a situaciones agotadas”, pues “lo que se prohíbe en el art. 9.3 CE es la retroactividad entendida como incidencia de la nueva ley en los efectos jurídicos ya producidos de situaciones anteriores, de suerte que la incidencia en los derechos en cuanto a su proyección hacia el futuro, no pertenece al campo estricto de la retroactividad”. Y en el presente caso la norma cuestionada, según sostiene el Fiscal, incide en una serie de relaciones surgidas conforme la legislación anterior pero con efectos proyectados hacía el futuro, pues se trata de situaciones en las que los contribuyentes no han ejercitado su derecho de opción a tributar por el impuesto sobre la renta como sujetos tributarios no residentes y, por </w:t>
      </w:r>
      <w:r>
        <w:lastRenderedPageBreak/>
        <w:t>tanto, no han consolidado su derecho a tributar conforme a unas determinadas normas tributarias. Por ello considera que, al no haber ejercitado su derecho de opción, carecen de derechos adquiridos y, en consecuencia, entiende que la norma cuestionada no incide sobre una “relación consagrada” ni afecta a una “situación agotada”.</w:t>
      </w:r>
    </w:p>
    <w:p w:rsidR="00BE7FB3" w:rsidRDefault="00BE7FB3" w:rsidP="00BE7FB3">
      <w:pPr>
        <w:pStyle w:val="TextoNormal"/>
      </w:pPr>
    </w:p>
    <w:p w:rsidR="00BE7FB3" w:rsidRDefault="00BE7FB3" w:rsidP="00BE7FB3">
      <w:pPr>
        <w:pStyle w:val="TextoNormal"/>
      </w:pPr>
      <w:r>
        <w:t>En opinión del Fiscal el precepto cuestionado respeta a los que han ejercitado la opción con anterioridad a la fecha en que esta norma entra en vigor por lo que, a su juicio, dista mucho de los casos en los que el Tribunal Constitucional ha declarado inconstitucional una norma tributaria por atentar contra la seguridad jurídica. Tampoco considera que sea arbitraria, pues tiene una justificación objetiva y razonable, al pretender con ella una mayor justicia tributaria. A su juicio, a través de esta modificación normativa pretendía corregirse la desigualdad que, en determinados supuestos, ocasionó la aplicación del régimen tributario de los no residentes, que dio lugar a que, por los mismos ingresos, los contribuyentes residentes tributaran por un tipo mucho más alto que los no residentes, lo que generó malestar en la opinión pública. En este contexto, a juicio del Fiscal, el cambio que llevo a cabo la norma cuestionada no era irrazonable ni tampoco manifiestamente imprevisible y respondía a lícitos propósitos. De ahí que concluya sus alegaciones sosteniendo que la ley cuestionada no conculca el principio de seguridad jurídica, pues considera que este principio no ampara la necesidad de preservar indefinidamente el régimen jurídico que se establece en un determinado momento y por este motivo sostenga que la cuestión planteada es notoriamente infundada e interese la inadmisión de la presente cuestión de inconstitucionalidad.</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Como se ha indicado en los antecedentes, la Sección Primera de la Sala de lo Contencioso-Administrativo del Tribunal Superior de Justicia del País Vasco, por Auto de 29 de junio de 2012, acordó plantear cuestión de inconstitucionalidad en relación con la disposición transitoria primera de la Norma Foral de las Juntas Generales de Álava 14/2009, de 17 de diciembre, de ejecución presupuestaria para 2010, (aunque, por error, la parte dispositiva del Auto de planteamiento se refiere a la disposición adicional primera de la referida Norma Foral); norma cuyo tenor literal es el siguiente:</w:t>
      </w:r>
    </w:p>
    <w:p w:rsidR="00BE7FB3" w:rsidRDefault="00BE7FB3" w:rsidP="00BE7FB3">
      <w:pPr>
        <w:pStyle w:val="TextoNormal"/>
      </w:pPr>
    </w:p>
    <w:p w:rsidR="00BE7FB3" w:rsidRDefault="00BE7FB3" w:rsidP="00BE7FB3">
      <w:pPr>
        <w:pStyle w:val="TextoNormal"/>
      </w:pPr>
      <w:r>
        <w:t>“Impuesto sobre la Renta de las Personas Físicas: supuestos especiales de obligación de contribuir</w:t>
      </w:r>
    </w:p>
    <w:p w:rsidR="00BE7FB3" w:rsidRDefault="00BE7FB3" w:rsidP="00BE7FB3">
      <w:pPr>
        <w:pStyle w:val="TextoNormal"/>
      </w:pPr>
    </w:p>
    <w:p w:rsidR="00BE7FB3" w:rsidRDefault="00BE7FB3" w:rsidP="00BE7FB3">
      <w:pPr>
        <w:pStyle w:val="TextoNormal"/>
      </w:pPr>
      <w:r>
        <w:t>Lo dispuesto en el apartado 3 del artículo 4 de la Norma Foral 3/2007, de 29 de enero, del Impuesto sobre la Renta de las Personas Físicas, en su redacción vigente a 31 de diciembre de 2009 será aplicable, en sus propios términos, únicamente a las personas físicas que cumplan los requisitos establecidos en el mismo a dicha fecha y hayan optado, con anterioridad al 31 de diciembre de 2009, por tributar por el Impuesto sobre la Renta de no Residentes.”</w:t>
      </w:r>
    </w:p>
    <w:p w:rsidR="00BE7FB3" w:rsidRDefault="00BE7FB3" w:rsidP="00BE7FB3">
      <w:pPr>
        <w:pStyle w:val="TextoNormal"/>
      </w:pPr>
    </w:p>
    <w:p w:rsidR="00BE7FB3" w:rsidRDefault="00BE7FB3" w:rsidP="00BE7FB3">
      <w:pPr>
        <w:pStyle w:val="TextoNormal"/>
      </w:pPr>
      <w:r>
        <w:t xml:space="preserve">Según se sostiene en el Auto de planteamiento, esta norma, al establecer como requisito para que pudiera ser aplicable el régimen tributario establecido en el apartado 3 del art. 4 de la Norma Foral 3/2007 haber optado con anterioridad a 31 de diciembre de 2009 por tributar por el impuesto sobre la renta de los no residentes, ha eliminado de manera súbita e imprevisible el plazo para poder optar por tributar por este régimen —plazo que, de acuerdo con </w:t>
      </w:r>
      <w:r>
        <w:lastRenderedPageBreak/>
        <w:t>lo previsto en el art. 3.1 del Decreto Foral 76/2007, de 11 de diciembre, era de seis meses a contar desde el inicio de la actividad— vulnerando por este motivo el art. 9.3 CE. Por el contrario, el Fiscal General del Estado, por las razones indicadas en los antecedentes, ha interesado la inadmisión de la cuestión de inconstitucionalidad por ser notoriamente infundada.</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De acuerdo con lo establecido en el art. 37.1 de la Ley Orgánica del Tribunal Constitucional, el Tribunal podrá rechazar en trámite de admisión no sólo cuando faltaren las condiciones procesales, sino también cuando la cuestión suscitada fuere “notoriamente infundada”. Conviene recordar que, de acuerdo con reiterada doctrina constitucional, la expresión cuestión notoriamente infundada “encierra un cierto grado de indefinición que se traduce procesalmente en otorgar a este Tribunal un margen de apreciación a la hora de controlar la solidez de la fundamentación de las cuestiones de inconstitucionalidad” (AATC 165/2001, de 19 de junio, FJ 2; 194/2001, de 4 de julio, FJ 1, 76/2004, de 9 de marzo, FJ 3; 187/2006, de 6 de junio, FF 4; y 193/2012, de 17 de octubre, FJ 2 entre otros muchos). También debe ponerse de relieve que este Tribunal ha considerado notoriamente infundada, no sólo las cuestiones de inconstitucionalidad que carecen de toda motivación, sino también aquellas en las que el órgano judicial ha efectuado una interpretación del precepto legal cuestionado arbitraria o irrazonable o simplemente que se aparta de la comúnmente realizada por los Tribunales de Justicia y las que el Tribunal considera </w:t>
      </w:r>
      <w:r w:rsidRPr="00BE7FB3">
        <w:rPr>
          <w:i/>
        </w:rPr>
        <w:t>a limine</w:t>
      </w:r>
      <w:r>
        <w:t xml:space="preserve"> inviables. 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(en el mismo sentido, entre otros, 63/2004, de 24 de febrero, FJ 2; 306/2008, de 7 de octubre, FJ 3; 30/2009, de 27 de enero, FJ 4; 54/2010, de 19 de mayo, FJ 3; y 148/2012, de 16 de julio, FJ 2 y 237/2012, de 11 de diciembre, FJ 2)”</w:t>
      </w:r>
    </w:p>
    <w:p w:rsidR="00BE7FB3" w:rsidRDefault="00BE7FB3" w:rsidP="00BE7FB3">
      <w:pPr>
        <w:pStyle w:val="TextoNormal"/>
      </w:pPr>
    </w:p>
    <w:p w:rsidR="00BE7FB3" w:rsidRDefault="00BE7FB3" w:rsidP="00BE7FB3">
      <w:pPr>
        <w:pStyle w:val="TextoNormal"/>
      </w:pPr>
      <w:r w:rsidRPr="00BE7FB3">
        <w:rPr>
          <w:rStyle w:val="NumeroAFNegritaCaracter"/>
        </w:rPr>
        <w:t>3</w:t>
      </w:r>
      <w:r>
        <w:t>. Como se ha señalado, el órgano judicial que plantea la cuestión considera que la norma impugnada es contraria al art. 9.3 CE porque de manera súbita e imprevisible ha eliminado el plazo que la normativa anterior establecía para poder optar por el régimen tributario de los no residentes que regulaba el apartado 3 del art. 4 de la Norma Foral 3/2007, de 29 de enero, del impuesto sobre la renta de las personas físicas, impidiendo que los sujetos pasivos que reunían los requisitos materiales para tributar por ese régimen, pero que no habían ejercitado todavía el derecho de opción, pudieran acogerse al mismo.</w:t>
      </w:r>
    </w:p>
    <w:p w:rsidR="00BE7FB3" w:rsidRDefault="00BE7FB3" w:rsidP="00BE7FB3">
      <w:pPr>
        <w:pStyle w:val="TextoNormal"/>
      </w:pPr>
    </w:p>
    <w:p w:rsidR="00BE7FB3" w:rsidRDefault="00BE7FB3" w:rsidP="00BE7FB3">
      <w:pPr>
        <w:pStyle w:val="TextoNormal"/>
      </w:pPr>
      <w:r>
        <w:t xml:space="preserve">La cuestión planteada, como pone de manifiesto el Fiscal General del Estado, resulta notoriamente infundada. En el presente caso no puede apreciarse que la norma cuestionada vulnere el principio de seguridad jurídica. Este principio, como hemos señalado reiteradamente, no impide efectuar modificaciones legales que incidan en las relaciones jurídicas o situaciones jurídicas preexistentes, pues la potestad legislativa “no puede permanecer inerme ni inactiva ante la realidad social y las transformaciones que la misma impone, so pena de consagrar la congelación del ordenamiento jurídico o la prohibición de modificarlo” [STC 1987, de 11 de junio, FJ 6 c); en el mismo sentido SSTC 70/1998, de 19 de abril, FJ 4; y 210/1990, de 20 diciembre, FJ 3]. Por ello hemos sostenido que “las posibilidades de reforma del Ordenamiento propios de un Estado social y democrático de Derecho (art. 1.1 </w:t>
      </w:r>
      <w:r>
        <w:lastRenderedPageBreak/>
        <w:t>de la Constitución), hace que, aun en la hipótesis de la existencia de derechos subjetivos (y con más razón sin duda tratándose de expectativas) …, no podría invocarse el principio de seguridad jurídica para hacerlos valer frente al legislador ante este Tribunal (STC 108/1986, de 29 de julio FJ 19)”, pues, como también hemos afirmado, este principio “no ampara la necesidad de preservar indefinidamente el régimen jurídico que se establece en un momento histórico dado en relación con derechos o situaciones determinadas” STC 227/1988, de 29 de noviembre, FJ 10).</w:t>
      </w:r>
    </w:p>
    <w:p w:rsidR="00BE7FB3" w:rsidRDefault="00BE7FB3" w:rsidP="00BE7FB3">
      <w:pPr>
        <w:pStyle w:val="TextoNormal"/>
      </w:pPr>
    </w:p>
    <w:p w:rsidR="00BE7FB3" w:rsidRDefault="00BE7FB3" w:rsidP="00BE7FB3">
      <w:pPr>
        <w:pStyle w:val="TextoNormal"/>
      </w:pPr>
      <w:r>
        <w:t>Tampoco garantiza el principio de seguridad jurídica que en todo caso las modificaciones legislativas que se efectúen deban realizarse de modo que sean previsibles para sus destinatarios. Es cierto que hemos sostenido que el principio de seguridad jurídica protege “la confianza de los ciudadanos, que ajustan su conducta económica a la legislación vigente, frente a cambios normativos que no sean razonablemente previsibles” (SSTC 150/1990, de 4 de octubre; 197/1992, de 19 de noviembre, y 173/1996, de 31 de octubre de 1996, FJ 3), pero esta doctrina se ha establecido en relación con normas tributarias que tenían efectos retroactivos y que por sus peculiaridades, en determinadas circunstancias, podían lesionar el referido principio. Por ello hemos afirmado que la determinación de cuándo una norma tributaria de carácter retroactivo vulnera la seguridad jurídica por defraudar la confianza de los ciudadanos “es una cuestión que sólo puede resolverse caso por caso, teniendo en cuenta, de un lado, el grado de retroactividad de la norma y, de otro, las circunstancias que concurran en cada supuesto” (SSTC 126/1987, de 16 de julio; 150/1990, de 4 de octubre y 173/1996, de 31 de octubre de 1996, FJ 3). De ahí que, con carácter general, no pueda deducirse del principio de seguridad jurídica la existencia de una garantía frente a cambios normativos imprevisibles.</w:t>
      </w:r>
    </w:p>
    <w:p w:rsidR="00BE7FB3" w:rsidRDefault="00BE7FB3" w:rsidP="00BE7FB3">
      <w:pPr>
        <w:pStyle w:val="TextoNormal"/>
      </w:pPr>
    </w:p>
    <w:p w:rsidR="00BE7FB3" w:rsidRDefault="00BE7FB3" w:rsidP="00BE7FB3">
      <w:pPr>
        <w:pStyle w:val="TextoNormal"/>
      </w:pPr>
      <w:r>
        <w:t>De acuerdo con la doctrina expuesta, no cabe apreciar que el precepto cuestionado vulnere el principio de seguridad jurídica por efectuar una imprevisible modificación del plazo para ejercer el derecho a optar por el régimen tributario de los no residentes que establecía la normativa anterior, ya que, para que esta vulneración pudiera apreciarse, sería necesario, entre otros requisitos, que la norma tuviera carácter retroactivo; y la norma cuestionada carece de estos efectos, pues no se aplica a situaciones anteriores a su entrada en vigor ni, en consecuencia, incide en situaciones consolidadas. De ahí que su inmediata entrada en vigor, aunque haya podido frustrar las expectativas de aquellos que pretendían optar por el régimen tributario de los no residentes en el plazo que la normativa derogada les reconocía, no puede considerarse lesiva del principio de seguridad jurídica, pues este principio no protege las expectativas que en relación con la aplicación de un determinado régimen jurídico hayan podido crearse los ciudadanos.</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Inadmitir a trámite la presente cuestión de inconstitucionalidad.</w:t>
      </w:r>
    </w:p>
    <w:p w:rsidR="00BE7FB3" w:rsidRDefault="00BE7FB3" w:rsidP="00BE7FB3">
      <w:pPr>
        <w:pStyle w:val="TextoNormal"/>
      </w:pPr>
    </w:p>
    <w:p w:rsidR="00BE7FB3" w:rsidRDefault="00BE7FB3" w:rsidP="00BE7FB3">
      <w:pPr>
        <w:pStyle w:val="TextoNormal"/>
      </w:pPr>
      <w:r>
        <w:t>Publíquese en el “Boletín Oficial del Estado”.</w:t>
      </w:r>
    </w:p>
    <w:p w:rsidR="00BE7FB3" w:rsidRDefault="00BE7FB3" w:rsidP="00BE7FB3">
      <w:pPr>
        <w:pStyle w:val="TextoNormal"/>
      </w:pPr>
    </w:p>
    <w:p w:rsidR="00BE7FB3" w:rsidRDefault="00BE7FB3" w:rsidP="00BE7FB3">
      <w:pPr>
        <w:pStyle w:val="TextoNormal"/>
      </w:pPr>
      <w:r>
        <w:t>Madrid, a veintitrés de abril de dos mil trece.</w:t>
      </w:r>
    </w:p>
    <w:p w:rsidR="00BE7FB3" w:rsidRDefault="00BE7FB3">
      <w:pPr>
        <w:spacing w:after="160" w:line="259" w:lineRule="auto"/>
        <w:rPr>
          <w:rFonts w:ascii="Times New Roman" w:eastAsia="Times New Roman" w:hAnsi="Times New Roman" w:cs="Times New Roman"/>
          <w:sz w:val="24"/>
          <w:szCs w:val="24"/>
          <w:lang w:eastAsia="es-ES"/>
        </w:rPr>
      </w:pPr>
      <w:r>
        <w:lastRenderedPageBreak/>
        <w:br w:type="page"/>
      </w:r>
    </w:p>
    <w:p w:rsidR="00BE7FB3" w:rsidRDefault="00BE7FB3" w:rsidP="00BE7FB3">
      <w:pPr>
        <w:pStyle w:val="TtuloResolucin"/>
      </w:pPr>
      <w:bookmarkStart w:id="226" w:name="AUTO_2013_85"/>
      <w:r>
        <w:lastRenderedPageBreak/>
        <w:t>AUTO 85/2013, de 23 de abril de 2013</w:t>
      </w:r>
    </w:p>
    <w:bookmarkEnd w:id="226"/>
    <w:p w:rsidR="00BE7FB3" w:rsidRDefault="00BE7FB3" w:rsidP="00BE7FB3">
      <w:pPr>
        <w:pStyle w:val="TtuloResolucin"/>
      </w:pPr>
      <w:r>
        <w:t>Pleno</w:t>
      </w:r>
    </w:p>
    <w:p w:rsidR="00BE7FB3" w:rsidRDefault="00BE7FB3" w:rsidP="00BE7FB3">
      <w:pPr>
        <w:pStyle w:val="TtuloResolucin"/>
      </w:pPr>
    </w:p>
    <w:p w:rsidR="00BE7FB3" w:rsidRDefault="00BE7FB3" w:rsidP="00BE7FB3">
      <w:pPr>
        <w:pStyle w:val="TtuloBOE"/>
      </w:pPr>
      <w:r>
        <w:t>("BOE" núm. 123, de 23 de mayo de 2013)</w:t>
      </w:r>
    </w:p>
    <w:p w:rsidR="00BE7FB3" w:rsidRDefault="00BE7FB3" w:rsidP="00BE7FB3">
      <w:pPr>
        <w:pStyle w:val="TtuloBOE"/>
      </w:pPr>
    </w:p>
    <w:p w:rsidR="00BE7FB3" w:rsidRDefault="00BE7FB3" w:rsidP="00BE7FB3">
      <w:pPr>
        <w:pStyle w:val="SntesisDescriptiva"/>
      </w:pPr>
      <w:r>
        <w:t>ECLI:ES:TC:2013:85A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Inadmite a trámite la cuestión de inconstitucionalidad 6611-2012, planteada por la Sala de lo Contencioso-Administrativo del Tribunal Superior de Justicia de Cataluña en relación con el segundo inciso de la disposición transitoria novena de la Ley del Parlamento de Cataluña 5/2012, de 20 de marzo, de medidas fiscales, financieras y administrativas y de creación del impuesto sobre las estancias en establecimientos turísticos.</w:t>
      </w:r>
    </w:p>
    <w:p w:rsidR="00BE7FB3" w:rsidRDefault="00BE7FB3" w:rsidP="00BE7FB3">
      <w:pPr>
        <w:pStyle w:val="SntesisDescriptiva"/>
      </w:pPr>
    </w:p>
    <w:p w:rsidR="00BE7FB3" w:rsidRDefault="00BE7FB3" w:rsidP="00BE7FB3">
      <w:pPr>
        <w:pStyle w:val="SntesisAnaltica"/>
      </w:pPr>
      <w:r>
        <w:t>Cataluña: competencias en materia de acceso a la función pública. Competencias de las Comunidades Autónomas: competencias autonómicas de desarrollo legislativo; función pública autonómica. Competencias del Estado: competencias en materia de función pública; legislación básica. Función pública: orden constitucional de competencias. Funcionarios públicos: pérdida de la condición de funcionario; régimen estatutario de los funcionarios públicos; situaciones administrativas. Inadmisión de cuestión de inconstitucionalidad: cuestión de inconstitucionalidad notoriamente infundada. Legislación básica: carácter básico de las normas jurídicas; modificación de la legislación básica; personal al servicio de la Administración autonómica. Potestad legislativa: potestad legislativa del Estado.</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día 23 de noviembre de 2012, al que se acompaña el correspondiente Auto de 24 de octubre de 2012, la Sección Cuarta de la Sala de lo Contencioso-Administrativo del Tribunal Superior de Justicia de Cataluña plantea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posible vulneración del art. 149.1.18 CE en relación con lo dispuesto en el art. 26.2 de la Ley 55/2003, de 16 de diciembre, por la que se aprueba el estatuto marco del personal estatutario de los servicios de salud.</w:t>
      </w:r>
    </w:p>
    <w:p w:rsidR="00BE7FB3" w:rsidRDefault="00BE7FB3" w:rsidP="00BE7FB3">
      <w:pPr>
        <w:pStyle w:val="TextoNormal"/>
      </w:pPr>
    </w:p>
    <w:p w:rsidR="00BE7FB3" w:rsidRDefault="00BE7FB3" w:rsidP="00BE7FB3">
      <w:pPr>
        <w:pStyle w:val="TextoNormal"/>
      </w:pPr>
      <w:r w:rsidRPr="00BE7FB3">
        <w:rPr>
          <w:rStyle w:val="NumeroAFNegritaCaracter"/>
        </w:rPr>
        <w:t>2</w:t>
      </w:r>
      <w:r>
        <w:t>. Los antecedentes de la cuestión son los siguientes:</w:t>
      </w:r>
    </w:p>
    <w:p w:rsidR="00BE7FB3" w:rsidRDefault="00BE7FB3" w:rsidP="00BE7FB3">
      <w:pPr>
        <w:pStyle w:val="TextoNormal"/>
      </w:pPr>
    </w:p>
    <w:p w:rsidR="00BE7FB3" w:rsidRDefault="00BE7FB3" w:rsidP="00BE7FB3">
      <w:pPr>
        <w:pStyle w:val="TextoNormal"/>
      </w:pPr>
      <w:r>
        <w:lastRenderedPageBreak/>
        <w:t xml:space="preserve">a) El recurrente en el proceso </w:t>
      </w:r>
      <w:r w:rsidRPr="00BE7FB3">
        <w:rPr>
          <w:i/>
        </w:rPr>
        <w:t>a quo</w:t>
      </w:r>
      <w:r>
        <w:t>, médico con nombramiento estatutario fijo solicitó el 20 de julio de 2010 y antes de cumplir 65 años la autorización para continuar en servicio activo al amparo de lo dispuesto en el art. 26.2 de la de la Ley 55/2003, de 16 de diciembre, por la que se aprueba el estatuto marco del personal estatutario de los servicios de salud. Solicitud que fue denegada por el Director Gerente del Instituto Catalán de Salud, denegación confirmada mediante desestimación expresa del recurso de reposición interpuesto por el interesado.</w:t>
      </w:r>
    </w:p>
    <w:p w:rsidR="00BE7FB3" w:rsidRDefault="00BE7FB3" w:rsidP="00BE7FB3">
      <w:pPr>
        <w:pStyle w:val="TextoNormal"/>
      </w:pPr>
    </w:p>
    <w:p w:rsidR="00BE7FB3" w:rsidRDefault="00BE7FB3" w:rsidP="00BE7FB3">
      <w:pPr>
        <w:pStyle w:val="TextoNormal"/>
      </w:pPr>
      <w:r>
        <w:t>b) Contra ambas resoluciones se interpuso en tiempo y forma recurso contencioso-administrativo, solicitándose en el otrosí la medida cautelar de suspensión de la ejecutividad de la resolución recurrida a fin de permitir al recurrente continuar en el servicio activo. Mediante Auto de 14 de octubre de 2011, confirmado por otro posterior de 30 de noviembre de 2011, la Sección Cuarta de la Sala de lo Contencioso-Administrativo del Tribunal Superior de Justicia de Cataluña acordó suspender la ejecución de la resolución administrativa impugnada y, en consecuencia, autorizar al recurrente a continuar en el desempeño del puesto que ocupaba.</w:t>
      </w:r>
    </w:p>
    <w:p w:rsidR="00BE7FB3" w:rsidRDefault="00BE7FB3" w:rsidP="00BE7FB3">
      <w:pPr>
        <w:pStyle w:val="TextoNormal"/>
      </w:pPr>
    </w:p>
    <w:p w:rsidR="00BE7FB3" w:rsidRDefault="00BE7FB3" w:rsidP="00BE7FB3">
      <w:pPr>
        <w:pStyle w:val="TextoNormal"/>
      </w:pPr>
      <w:r>
        <w:t>c) Mediante resolución de 24 de abril de 2012 el Director Gerente del Instituto Catalán de Salud acordó resolver la autorización de prolongación del servicio activo y declarar la jubilación forzosa del recurrente con efectos de 31 de mayo de 2012, al amparo de lo establecido en la disposición transitoria novena, segundo inciso, de la Ley del Parlamento de Cataluña 5/2012, de 20 de marzo, de medidas fiscales, financieras y administrativas y de creación del impuesto sobre las estancias en establecimientos turísticos. Planteada demanda incidental solicitando la nulidad de dicha resolución administrativa, la misma fue estimada por Auto de 20 de junio de 2012, confirmado por otro posterior de 18 de julio de 2012, que no sólo declaró la nulidad de la resolución de 24 de abril de 2012 sino que, a instancia del Instituto Catalán de la Salud, tuvo por formulada solicitud de modificación de las medidas cautelares inicialmente adoptadas.</w:t>
      </w:r>
    </w:p>
    <w:p w:rsidR="00BE7FB3" w:rsidRDefault="00BE7FB3" w:rsidP="00BE7FB3">
      <w:pPr>
        <w:pStyle w:val="TextoNormal"/>
      </w:pPr>
    </w:p>
    <w:p w:rsidR="00BE7FB3" w:rsidRDefault="00BE7FB3" w:rsidP="00BE7FB3">
      <w:pPr>
        <w:pStyle w:val="TextoNormal"/>
      </w:pPr>
      <w:r>
        <w:t>d) Pendiente de resolver el citado incidente de modificación de las medidas cautelares el órgano judicial dictó una providencia el 25 de julio de 2012 por la que confiere a las partes y al Ministerio Fiscal la posibilidad de formular alegaciones sobre la conveniencia de plantear cuestión de inconstitucionalidad, atendida la distribución competencial de los arts. 149.1.13, 16, 17 y 18 CE, pues es relevante para la resolución sobre la modificación de la medida cautelar solicitada determinar si debe prevalecer la disposición transitoria novena de la Ley del Parlamento de Cataluña 5/2012 (interpretada en la misma línea que la disposición adicional decimotercera de la misma norma) o el art. 26.2 de la Ley 55/2003, que tiene carácter básico y que es la que propugna el recurrente, “en tanto que la redacción de aquella norma autonómica no es coincidente con la norma básica estatal”. Igualmente, “teniendo en cuanta la incidencia de la planificación de la jubilación que afecta tanto a la planificación general de la actividad económica, por ser las retribuciones de los funcionarios en activo un gasto de personal, como a la caja única de la seguridad social, a partir del momento en que se declara la jubilación del personal estatutario —en este caso forzosa— y partiendo de que el desarrollo normativo de las leyes básicas ha de ser acorde con las mismas, procede también conceder la misma audiencia de diez días al Abogado del Estado y al Letrado de la Seguridad Social, a fin de que puedan alegar lo que deseen sobre la pertinencia o no de plantear la cuestión de inconstitucionalidad”. La anterior providencia fue comple</w:t>
      </w:r>
      <w:r>
        <w:lastRenderedPageBreak/>
        <w:t>mentada por otra de 27 de julio de 2012 por la que se acuerda notificar la providencia anterior al Letrado de la Generalitat de Cataluña, con reapertura del plazo inicialmente concedido a todas las partes para formular alegaciones.</w:t>
      </w:r>
    </w:p>
    <w:p w:rsidR="00BE7FB3" w:rsidRDefault="00BE7FB3" w:rsidP="00BE7FB3">
      <w:pPr>
        <w:pStyle w:val="TextoNormal"/>
      </w:pPr>
    </w:p>
    <w:p w:rsidR="00BE7FB3" w:rsidRDefault="00BE7FB3" w:rsidP="00BE7FB3">
      <w:pPr>
        <w:pStyle w:val="TextoNormal"/>
      </w:pPr>
      <w:r>
        <w:t xml:space="preserve">La parte actora solicitó el planteamiento de la cuestión de inconstitucionalidad y en el mismo sentido se pronunciaron el Ministerio Fiscal y el Letrado de la Seguridad Social. Por el contrario, el Instituto Catalán de la Salud, el Abogado del Estado y la Abogada de la Generalitat de Cataluña se opusieron al planteamiento de la cuestión de inconstitucionalidad. </w:t>
      </w:r>
    </w:p>
    <w:p w:rsidR="00BE7FB3" w:rsidRDefault="00BE7FB3" w:rsidP="00BE7FB3">
      <w:pPr>
        <w:pStyle w:val="TextoNormal"/>
      </w:pPr>
    </w:p>
    <w:p w:rsidR="00BE7FB3" w:rsidRDefault="00BE7FB3" w:rsidP="00BE7FB3">
      <w:pPr>
        <w:pStyle w:val="TextoNormal"/>
      </w:pPr>
      <w:r>
        <w:t>e) El órgano judicial dictó Auto de 24 de octubre  de 2012 por el que acuerda plantear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entender que no respeta la normativa básica estatal dictada al amparo del art. 149.1.18 de la Constitución, en concreto el art. 26.2 de la Ley 55/2003, de 16 de diciembre, por la que se aprueba el Estatuto Marco de los Servicios de Salud”.</w:t>
      </w:r>
    </w:p>
    <w:p w:rsidR="00BE7FB3" w:rsidRDefault="00BE7FB3" w:rsidP="00BE7FB3">
      <w:pPr>
        <w:pStyle w:val="TextoNormal"/>
      </w:pPr>
    </w:p>
    <w:p w:rsidR="00BE7FB3" w:rsidRDefault="00BE7FB3" w:rsidP="00BE7FB3">
      <w:pPr>
        <w:pStyle w:val="TextoNormal"/>
      </w:pPr>
      <w:r w:rsidRPr="00BE7FB3">
        <w:rPr>
          <w:rStyle w:val="NumeroAFNegritaCaracter"/>
        </w:rPr>
        <w:t>3</w:t>
      </w:r>
      <w:r>
        <w:t>. En cuanto al contenido del Auto de promoción importa destacar lo siguiente:</w:t>
      </w:r>
    </w:p>
    <w:p w:rsidR="00BE7FB3" w:rsidRDefault="00BE7FB3" w:rsidP="00BE7FB3">
      <w:pPr>
        <w:pStyle w:val="TextoNormal"/>
      </w:pPr>
    </w:p>
    <w:p w:rsidR="00BE7FB3" w:rsidRDefault="00BE7FB3" w:rsidP="00BE7FB3">
      <w:pPr>
        <w:pStyle w:val="TextoNormal"/>
      </w:pPr>
      <w:r>
        <w:t>Tras exponer los hechos de los que trae causa la presente cuestión el órgano judicial formula el juicio de relevancia señalando que el debate trabado tiene su razón de ser en el incidente de modificación de medidas cautelares promovido por el Instituto Catalán de Salud. Respecto a la posibilidad de plantear una cuestión de inconstitucionalidad en este momento procesal el Auto alude a la doctrina del ATC 467/2007 que entiende aquí de aplicación. Señala que, en este caso, concurre la circunstancia de que la norma cuestionada afecta al caso, ya que, por un lado, la decisión del Instituto Catalán de la Salud, revocando la inicial medida cautelar, se acordó en cumplimiento de lo dispuesto en la norma que se cuestiona y, por otro, la resolución del incidente de modificación de medidas cautelares planteado por el Instituto Catalán de Salud, se basa en la aplicación de la disposición transitoria novena, segundo inciso, de la Ley del Parlamento de Cataluña 5/2012, en cuanto que se trata de una norma imperativa y de obligado cumplimiento para todas las autorizaciones ya concedidas.</w:t>
      </w:r>
    </w:p>
    <w:p w:rsidR="00BE7FB3" w:rsidRDefault="00BE7FB3" w:rsidP="00BE7FB3">
      <w:pPr>
        <w:pStyle w:val="TextoNormal"/>
      </w:pPr>
    </w:p>
    <w:p w:rsidR="00BE7FB3" w:rsidRDefault="00BE7FB3" w:rsidP="00BE7FB3">
      <w:pPr>
        <w:pStyle w:val="TextoNormal"/>
      </w:pPr>
      <w:r>
        <w:t>Seguidamente se descarta la alegación del Instituto Catalán de Salud en relación con el indeseable efecto de paralización de otros procesos que podría provocar la admisión a trámite de la presente cuestión de inconstitucionalidad, pues la doctrina citada se refiere a los casos en los que el Tribunal Constitucional estima que una cuestión de inconstitucionalidad es manifiestamente infundada. Igualmente rechaza que la decisión del órgano judicial de dar audiencia previa no sólo a las partes y al Ministerio Fiscal sino también al Letrado de la Seguridad Social y al Abogado del Estado y al de la Generalitat de Cataluña haya provocado indefensión alguna o infracción del trámite del art. 35.2 de la Ley Orgánica del Tribunal Constitucional (LOTC).</w:t>
      </w:r>
    </w:p>
    <w:p w:rsidR="00BE7FB3" w:rsidRDefault="00BE7FB3" w:rsidP="00BE7FB3">
      <w:pPr>
        <w:pStyle w:val="TextoNormal"/>
      </w:pPr>
    </w:p>
    <w:p w:rsidR="00BE7FB3" w:rsidRDefault="00BE7FB3" w:rsidP="00BE7FB3">
      <w:pPr>
        <w:pStyle w:val="TextoNormal"/>
      </w:pPr>
      <w:r>
        <w:t xml:space="preserve">En cuanto a la duda de constitucionalidad entiende la Sala que el título competencial prevalente en esta materia es el art. 149.1.18 CE que atribuye al Estado la competencia exclusiva para establecer las bases del régimen estatutario de los funcionarios públicos, pues, aunque se trate de una norma con proyección en la planificación de la actividad económica, en la caja única de la Seguridad Social y en el ámbito de la Administración sanitaria, </w:t>
      </w:r>
      <w:r>
        <w:lastRenderedPageBreak/>
        <w:t>es incuestionable que, con mayor relevancia, repercute en el ámbito del personal estatutario, personal que, conforme con la doctrina del Tribunal Supremo que cita, ha de entenderse equiparado a los funcionarios públicos. Transcribe el Auto a continuación los preceptos legales que ha entrado en conflicto, el art. 26.2 de la Ley 55/2003 y la disposición transitoria novena, segundo inciso, de la Ley del Parlamento de Cataluña 5/2012, precepto éste último con el que guarda directa relación la disposición adicional decimotercera de la misma Ley, en cuanto que se refiere a la jubilación forzosa del personal del Instituto Catalán de la Salud.</w:t>
      </w:r>
    </w:p>
    <w:p w:rsidR="00BE7FB3" w:rsidRDefault="00BE7FB3" w:rsidP="00BE7FB3">
      <w:pPr>
        <w:pStyle w:val="TextoNormal"/>
      </w:pPr>
    </w:p>
    <w:p w:rsidR="00BE7FB3" w:rsidRDefault="00BE7FB3" w:rsidP="00BE7FB3">
      <w:pPr>
        <w:pStyle w:val="TextoNormal"/>
      </w:pPr>
      <w:r>
        <w:t>Menciona a continuación la doctrina del Tribunal Supremo según la cual el personal estatutario, al igual que ocurre con el resto de los funcionarios públicos, no tiene un derecho incondicionado a prolongar voluntariamente el servicio activo tras alcanzar la edad ordinaria de jubilación forzosa (65 años). Para que tal prolongación (hasta los 70 años como máximo) se produzca es necesario, además de la capacidad funcional para el desempeño del cargo o plaza y la previa solicitud, que la misma sea autorizada por el Servicio de Salud correspondiente, en función de las necesidades de la organización articuladas “en el marco de los planes de ordenación de recursos humanos”. Señala también el Auto de planteamiento, aludiendo a la doctrina del Tribunal Supremo, que estamos ante un derecho subjetivo del funcionario pero que no le es reconocido de manera absoluta sino condicionado a que las necesidades organizativas de la Administración hagan posible su ejercicio, recayendo sobre dicha Administración la carga de justificar esas necesidades organizativas.</w:t>
      </w:r>
    </w:p>
    <w:p w:rsidR="00BE7FB3" w:rsidRDefault="00BE7FB3" w:rsidP="00BE7FB3">
      <w:pPr>
        <w:pStyle w:val="TextoNormal"/>
      </w:pPr>
    </w:p>
    <w:p w:rsidR="00BE7FB3" w:rsidRDefault="00BE7FB3" w:rsidP="00BE7FB3">
      <w:pPr>
        <w:pStyle w:val="TextoNormal"/>
      </w:pPr>
      <w:r>
        <w:t xml:space="preserve">El Auto se refiere seguidamente a las competencias autonómicas en la materia, reconocidas en el art. 136 a) y b) del Estatuto de Autonomía de Cataluña, que han de interpretarse de conformidad con la STC 31/2010, de 28 de junio, FJ 82, así como a la doctrina de la STC 172/1996, de 31 de octubre, para indicar que la duda de constitucionalidad que plantea no se refiere a la falta de concordancia literal de las normas estatales y autonómicas, sino a la razón de fondo por la cual el órgano judicial entiende que la norma autonómica “pudiera no respetar el sentido y alcance que se desprenden del contexto sistemático y de la finalidad como norma básica”. Añade el órgano judicial que no se cuestiona la competencia de la Generalitat para legislar en materia de función pública, atendiendo a sus propios intereses, sino averiguar si tales intereses tienen o no cabida en los que persigue la norma básica. En ese sentido el órgano judicial indica que una comparación del texto de la Ley 55/2003 y de la disposición transitoria novena evidencia, de entrada, que esta norma autonómica ha eliminado la referencia al plan de ordenación de recursos humanos, instrumento definido en los arts. 13 y concordantes de la Ley 55/2003. Descarta la Sala al respecto que, frente a lo alegado por el Instituto Catalán de la Salud, sea de aplicación lo dispuesto en el art. 67.3 del estatuto básico del empleado público por la especificidad, tanto del art. 26.2 de la Ley 55/2003 como del propio personal estatutario y de la regulación de los servicios sanitarios autonómicos, señalando que la clave reside en que la exigencia de que la denegación o autorización de la prolongación del servicio activo se haga “en función de las necesidades de la organización articuladas en el marco de los planes de ordenación de los recursos humanos” haya sido respetada por la normativa autonómica. Comparando la redacción del precepto cuestionado con la del art. 26.2 de la Ley 55/2003 el Auto llega a la conclusión que la norma cuestionada convierte en excepcional lo que en el art. 26.2 es norma general o derecho subjetivo para admitir la prórroga del personal en dos casos, de los que considera relevante el segundo (cuando “el Consejo de Administración del Instituto Catalán de la Salud considere que es preciso mantener las autorizaciones vigentes por causas derivadas de la planificación y racionalización de los recursos humanos”) límite relativo a la planificación </w:t>
      </w:r>
      <w:r>
        <w:lastRenderedPageBreak/>
        <w:t xml:space="preserve">de los recursos humanos para lo que hay que valorar todo un conjunto de elementos con el fin de adecuar las dotaciones de personal a las necesidades asistenciales o de prestación del servicio sanitario a la población. </w:t>
      </w:r>
    </w:p>
    <w:p w:rsidR="00BE7FB3" w:rsidRDefault="00BE7FB3" w:rsidP="00BE7FB3">
      <w:pPr>
        <w:pStyle w:val="TextoNormal"/>
      </w:pPr>
    </w:p>
    <w:p w:rsidR="00BE7FB3" w:rsidRDefault="00BE7FB3" w:rsidP="00BE7FB3">
      <w:pPr>
        <w:pStyle w:val="TextoNormal"/>
      </w:pPr>
      <w:r>
        <w:t>En definitiva el Auto estima que la Ley 55/2003 exige por razones de legalidad y seguridad jurídica que cualquier organización y racionalización de recursos humanos obedezca a un instrumento, el plan de ordenación de recursos humanos, que no sólo es la herramienta que garantiza una organización racional y eficiente, sino que también justifica, en lo que ahora interesa, la autorización o denegación de la prorroga en el servicio activo de aquel personal que pretenda ejercer este derecho subjetivo reconocido en el art. 26.2 de la Ley 55/2003. Distinto es el tenor de la disposición transitoria novena de la Ley del Parlamento de Cataluña 5/2012, en tanto que se refiere a una eventual autorización que ha de ser consecuencia de una actividad de planificación y organización de recursos humanos, pero omite la mención a los planes de ordenación de los recursos humanos que son los que establecen las directrices para organizar el servicio público sanitario, omisión que viene confirmada por la aplicación que la Administración ha hecho de la disposición cuestionada. Alude el Auto a la regulación de la Ley 55/2003 en relación con los planes de ordenación de los recursos humanos para reiterar que, frente a ello, la norma cuestionada se remite a unos conceptos y causas ambiguos e indefinidos, pues no resulta expresivo que sean derivadas de la “planificación y racionalización de recursos humanos” y pueden responder a otros intereses distintos de aquellos que permiten conciliar el derecho subjetivo del funcionario a permanecer en el servicio activo con la necesidad de la organización asistencial, que es la finalidad perseguida por el art. 26.2 de la Ley 55/2003. Al mismo tiempo, contiene una norma temporal y excepcional que limita la prolongación en el servicio activo.</w:t>
      </w:r>
    </w:p>
    <w:p w:rsidR="00BE7FB3" w:rsidRDefault="00BE7FB3" w:rsidP="00BE7FB3">
      <w:pPr>
        <w:pStyle w:val="TextoNormal"/>
      </w:pPr>
    </w:p>
    <w:p w:rsidR="00BE7FB3" w:rsidRDefault="00BE7FB3" w:rsidP="00BE7FB3">
      <w:pPr>
        <w:pStyle w:val="TextoNormal"/>
      </w:pPr>
      <w:r>
        <w:t>Tras hacer mención a la Sentencia del Tribunal Supremo de 10 de marzo de 2010 en la que se descartó la adopción como doctrina legal del criterio propuesto por el Instituto Catalán de Salud en el sentido de que la existencia del plan de ordenación era solamente exigible para acordar la prórroga, no para su denegación, señala que, aún en el caso de que la actividad administrativa que impone la disposición transitoria novena de la Ley del Parlamento de Cataluña 5/2012 se amparase en la potestad organizativa, constituiría un exceso completamente injustificado en atención a la realidad y presupuesto de la acción jurisdiccional ejercitada, teniendo en cuenta que afecta también a un derecho subjetivo esencial de la relación funcionarial como es la pérdida de la condición de funcionario. En este sentido, la Sala promotora de la cuestión entiende que la norma básica estatal únicamente permite el ejercicio de la actividad discrecional en la elaboración del plan de ordenación de recursos humanos, lo que le lleva a rechazar de forma absoluta que el problema planteado pueda ser resuelto por vía interpretativa, dados los términos y finalidad de la disposición cuestionada que no casan con los términos y la finalidad del art. 26.2 de la Ley 55/2003, y en la medida en que la aplicación de uno de estos preceptos excluye la aplicación del otro.</w:t>
      </w:r>
    </w:p>
    <w:p w:rsidR="00BE7FB3" w:rsidRDefault="00BE7FB3" w:rsidP="00BE7FB3">
      <w:pPr>
        <w:pStyle w:val="TextoNormal"/>
      </w:pPr>
    </w:p>
    <w:p w:rsidR="00BE7FB3" w:rsidRDefault="00BE7FB3" w:rsidP="00BE7FB3">
      <w:pPr>
        <w:pStyle w:val="TextoNormal"/>
      </w:pPr>
      <w:r>
        <w:t xml:space="preserve">Concluye el Auto afirmando el órgano judicial que la norma cuestionada es aplicable al incidente de modificación de las medidas cautelares, al contener una norma transitoria desde el momento de su entrada en vigor y hasta que transcurra el período de tres años, lo que también afectará a la Sentencia que pueda recaer en el proceso </w:t>
      </w:r>
      <w:r w:rsidRPr="00BE7FB3">
        <w:rPr>
          <w:i/>
        </w:rPr>
        <w:t>a quo</w:t>
      </w:r>
      <w:r>
        <w:t>.</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Por providencia de la Sección Tercera de este Tribunal, de fecha 26 de febrero de 2013, se acordó, a los efectos que determina el art. 37.1 LOTC, oír al Fiscal General del </w:t>
      </w:r>
      <w:r>
        <w:lastRenderedPageBreak/>
        <w:t>Estado para que, en el plazo de diez días, alegara lo que considerara conveniente acerca de la admisibilidad de la presente cuestión de inconstitucionalidad, por si fuese notoriamente infundada.</w:t>
      </w:r>
    </w:p>
    <w:p w:rsidR="00BE7FB3" w:rsidRDefault="00BE7FB3" w:rsidP="00BE7FB3">
      <w:pPr>
        <w:pStyle w:val="TextoNormal"/>
      </w:pPr>
    </w:p>
    <w:p w:rsidR="00BE7FB3" w:rsidRDefault="00BE7FB3" w:rsidP="00BE7FB3">
      <w:pPr>
        <w:pStyle w:val="TextoNormal"/>
      </w:pPr>
      <w:r w:rsidRPr="00BE7FB3">
        <w:rPr>
          <w:rStyle w:val="NumeroAFNegritaCaracter"/>
        </w:rPr>
        <w:t>5</w:t>
      </w:r>
      <w:r>
        <w:t xml:space="preserve">. El 22 de marzo de 2013 el Fiscal General del Estado presentó su escrito de alegaciones sugiriendo la inadmisión a trámite de la cuestión de inconstitucionalidad por entender que la norma cuestionada no sería aplicable al objeto del proceso y que carecen manifiestamente de fundamento las dudas suscitadas por el órgano judicial que la ha promovido. </w:t>
      </w:r>
    </w:p>
    <w:p w:rsidR="00BE7FB3" w:rsidRDefault="00BE7FB3" w:rsidP="00BE7FB3">
      <w:pPr>
        <w:pStyle w:val="TextoNormal"/>
      </w:pPr>
    </w:p>
    <w:p w:rsidR="00BE7FB3" w:rsidRDefault="00BE7FB3" w:rsidP="00BE7FB3">
      <w:pPr>
        <w:pStyle w:val="TextoNormal"/>
      </w:pPr>
      <w:r>
        <w:t>Tras recoger los antecedentes de hecho de la cuestión planteada, el tenor literal del precepto cuestionado y el de la norma estatal que se reputa infringida, hace referencia al contenido del Auto de planteamiento así como al cumplimiento de las condiciones procesales exigidas por el art. 35.2 LOTC, salvo lo referente al momento procesal en que se plantea la cuestión cuyo examen deja para un momento posterior, y, así, entiende que el órgano judicial ha fijado el precepto legal aplicable sobre el que alberga dudas de constitucionalidad, con expresión de sus razones y ha dado audiencia a las partes y al Ministerio Fiscal.</w:t>
      </w:r>
    </w:p>
    <w:p w:rsidR="00BE7FB3" w:rsidRDefault="00BE7FB3" w:rsidP="00BE7FB3">
      <w:pPr>
        <w:pStyle w:val="TextoNormal"/>
      </w:pPr>
    </w:p>
    <w:p w:rsidR="00BE7FB3" w:rsidRDefault="00BE7FB3" w:rsidP="00BE7FB3">
      <w:pPr>
        <w:pStyle w:val="TextoNormal"/>
      </w:pPr>
      <w:r>
        <w:t>Alude a continuación el Ministerio público a la doctrina constitucional sobre el carácter manifiestamente infundado de las cuestiones de inconstitucionalidad señalando que en el presente caso el razonamiento que fundamenta el planteamiento de la cuestión permite apreciar que la duda de constitucionalidad se basa en una interpretación errónea de la misma o que la norma no es aplicable para la resolución de la controversia controvertida en el proceso contencioso-administrativo que ha dado lugar al planteamiento de la cuestión de inconstitucionalidad. Señala que, previamente a esta cuestión, ha de analizarse la temporaniedad del planteamiento pues se ha planteado en un momento anterior al de dictar Sentencia, con ocasión de la solicitud por el Instituto Catalán de la Salud de la modificación de una medida cautelar adoptada previamente por el órgano judicial. Concluye, tras hacer referencia a lo dispuesto en el art. 35.2 LOTC, que la resolución de la pieza separada de medidas cautelares no es una decisión de mero trámite, sino que afecta al proceso principal y tiene sustantividad propia respecto de éste, por lo que puede aceptarse que el momento procesal elegido por el órgano judicial para el planteamiento de la cuestión es el adecuado.</w:t>
      </w:r>
    </w:p>
    <w:p w:rsidR="00BE7FB3" w:rsidRDefault="00BE7FB3" w:rsidP="00BE7FB3">
      <w:pPr>
        <w:pStyle w:val="TextoNormal"/>
      </w:pPr>
    </w:p>
    <w:p w:rsidR="00BE7FB3" w:rsidRDefault="00BE7FB3" w:rsidP="00BE7FB3">
      <w:pPr>
        <w:pStyle w:val="TextoNormal"/>
      </w:pPr>
      <w:r>
        <w:t>Para el Fiscal General del Estado la duda de constitucionalidad que se plantea no es otra cosa que una posible interpretación de la legalidad ordinaria en materia de autorización o denegación de prolongaciones en el servicio activo del personal estatutario del Instituto Catalán de Salud, por cuanto la norma autonómica no respetaría la finalidad y presupuestos señalados en la base estatal, constituida por el art. 26.2 de la Ley 55/2003, de 16 de diciembre, por la que se aprueba el estatuto marco del personal estatutario de los servicios de salud, para resolver las peticiones de prolongación  del servicio activo una vez alcanzada la edad de jubilación a los 65 años. A juicio de la Sala cuestionante la ausencia en la disposición cuestionada de referencia alguna al plan de ordenación de recursos humanos impide que la resolución administrativa que pueda recaer pueda fundarse en motivos incluidos en el mencionado plan, obviando así el criterio que, conforme a la base estatal, ha de servir de guía a la respuesta de la Administración.</w:t>
      </w:r>
    </w:p>
    <w:p w:rsidR="00BE7FB3" w:rsidRDefault="00BE7FB3" w:rsidP="00BE7FB3">
      <w:pPr>
        <w:pStyle w:val="TextoNormal"/>
      </w:pPr>
    </w:p>
    <w:p w:rsidR="00BE7FB3" w:rsidRDefault="00BE7FB3" w:rsidP="00BE7FB3">
      <w:pPr>
        <w:pStyle w:val="TextoNormal"/>
      </w:pPr>
      <w:r>
        <w:t xml:space="preserve">El Fiscal General del Estado señala que en el presente caso nos hallamos ante un supuesto de inconstitucionalidad mediata o indirecta, debiendo compartirse con el órgano judicial el carácter básico de la norma estatal con la cual, a juicio del mismo, entraría en contradicción </w:t>
      </w:r>
      <w:r>
        <w:lastRenderedPageBreak/>
        <w:t>la norma autonómica. En este sentido, cita la doctrina constitucional de las SSTC 1/2003 y 31/2010, señalando que el Estatuto de Autonomía de Cataluña, al formalizar la competencia autonómica como compartida, presupone la plena virtualidad de la competencia del Estado en la materia (art. 149.1.18 CE). De esta manera, siendo el art. 26.2 de la Ley 55/2003 regulador de la jubilación de los funcionarios públicos, a los que se asimilan el personal estatutario de los servicios de salud, y la posible prolongación en el servicio activo de los mismos, con el carácter de norma básica es al Estado al que corresponde normar la materia, debiendo el legislador autonómico respetar las bases establecidas por la norma estatal sobre jubilación y prolongación del servicio activo. Indica el Ministerio público que, ambas normativas la estatal y la autonómica, representada por la disposición adicional decimotercera de la Ley 56/2012, recogen la posibilidad de prolongación de permanencia en el servicio activo de aquel que, cumpliendo una serie de requisitos, le sea autorizada por el servicio de salud correspondiente en el marco de las necesidades de organización articuladas en el marco de los planes de ordenación de recursos humanos. En ambos casos se exige una resolución administrativa que acuerde la denegación o la autorización motivada en relación con lo dispuesto en el mencionado plan. La finalidad de la prolongación en el servicio activo responde así a las necesidades de personal derivadas de la organización y adecuada prestación del servicio público de salud. De todo ello concluye que el sistema de prolongación en el servicio activo por el personal estatutario de los servicios de salud es regulado de manera semejante, sino igual, tanto por la norma legal estatal como la autonómica.</w:t>
      </w:r>
    </w:p>
    <w:p w:rsidR="00BE7FB3" w:rsidRDefault="00BE7FB3" w:rsidP="00BE7FB3">
      <w:pPr>
        <w:pStyle w:val="TextoNormal"/>
      </w:pPr>
    </w:p>
    <w:p w:rsidR="00BE7FB3" w:rsidRDefault="00BE7FB3" w:rsidP="00BE7FB3">
      <w:pPr>
        <w:pStyle w:val="TextoNormal"/>
      </w:pPr>
      <w:r>
        <w:t>Alude el Fiscal General del Estado a los motivos que llevaron al Parlamento de Cataluña a aprobar la Ley 5/2012, de los que destaca los relacionados con la rebaja y contención del gasto público, de conformidad con los compromisos asumidos por el Estado en el marco de la Unión Europea. Entre dichas medidas de contención del gasto figura la no autorización de prolongaciones al personal funcionario de la Generalitat y la resolución de las ya autorizadas para el personal del Instituto Catalán de la Salud, a salvo de que la prolongación resulte necesaria para causar derecho a la pensión de jubilación o que se considere necesario mantener las autorizaciones por causas derivadas de la planificación y racionalización de recursos humanos. Con ello el Parlamento de Cataluña  habría legislado sobre función pública con respeto a las normas básicas estatales.</w:t>
      </w:r>
    </w:p>
    <w:p w:rsidR="00BE7FB3" w:rsidRDefault="00BE7FB3" w:rsidP="00BE7FB3">
      <w:pPr>
        <w:pStyle w:val="TextoNormal"/>
      </w:pPr>
    </w:p>
    <w:p w:rsidR="00BE7FB3" w:rsidRDefault="00BE7FB3" w:rsidP="00BE7FB3">
      <w:pPr>
        <w:pStyle w:val="TextoNormal"/>
      </w:pPr>
      <w:r>
        <w:t xml:space="preserve">Expone a continuación el contenido de la duda de constitucionalidad planteada por la Sala proponente, señalando que la misma pivota sobre la incidencia de la disposición legal cuestionada en el mantenimiento de la medida cautelar inicialmente adoptada en el proceso </w:t>
      </w:r>
      <w:r w:rsidRPr="00BE7FB3">
        <w:rPr>
          <w:i/>
        </w:rPr>
        <w:t>a quo</w:t>
      </w:r>
      <w:r>
        <w:t xml:space="preserve">, pues considera que la ley habilitaría a la Administración autonómica a poder dictar una resolución respecto a la prolongación o denegación de la permanencia en el servicio activo del solicitante, sin necesidad de motivar la denegación y por causas o motivos ajenos a la planificación de las necesidades de la organización. Señala que el juicio de relevancia planteado por el órgano judicial se basa en la consideración de que, si bien no han variado las circunstancias fácticas de la medida cautelar, sí que ha variado el régimen aplicable, pues obliga a dejar sin efecto las prolongaciones otorgadas con anterioridad a su entrada en vigor, omitiendo toda referencia al plan de ordenación de recursos humanos. Sin embargo, a juicio del Ministerio público, la promulgación de la Ley 5/2012 no hace inviable el mantenimiento de la medida cautelar. Argumenta al respecto que la adopción de la medida cautelar se fundó en la necesidad de que las jubilaciones que se declaren cuenten con la cobertura de un plan de ordenación de recursos humanos, por lo que la jubilación acordada en el caso </w:t>
      </w:r>
      <w:r w:rsidRPr="00BE7FB3">
        <w:rPr>
          <w:i/>
        </w:rPr>
        <w:t>a quo</w:t>
      </w:r>
      <w:r>
        <w:t xml:space="preserve"> no tendría esa cobertura en atención al momento en el que se adoptó. Además añade que el </w:t>
      </w:r>
      <w:r>
        <w:lastRenderedPageBreak/>
        <w:t>presupuesto de hecho del que parte la norma autonómica cuestionada es la existencia de una autorización administrativa de la prolongación de la permanencia en el servicio activo, mientras que el objeto del recurso contencioso-administrativo es una resolución administrativa que denegó la prolongación en el servicio activo del recurrente. Para el Fiscal General del Estado lo expuesto conduciría a que la norma autonómica cuestionada no sería aplicable al caso concreto en el que se plantea la duda de constitucionalidad, lo que conllevaría la inexistencia de uno de los presupuestos legales exigidos por el art. 35.2 LOTC para poder plantear una cuestión de inconstitucionalidad, como es que se trate de una norma con rango de ley aplicable al caso y de cuya validez dependa el fallo.</w:t>
      </w:r>
    </w:p>
    <w:p w:rsidR="00BE7FB3" w:rsidRDefault="00BE7FB3" w:rsidP="00BE7FB3">
      <w:pPr>
        <w:pStyle w:val="TextoNormal"/>
      </w:pPr>
    </w:p>
    <w:p w:rsidR="00BE7FB3" w:rsidRDefault="00BE7FB3" w:rsidP="00BE7FB3">
      <w:pPr>
        <w:pStyle w:val="TextoNormal"/>
      </w:pPr>
      <w:r>
        <w:t>Por último el Fiscal General del Estado señala que discrepa de la conclusión a la que llega el órgano judicial que entiende asimilada la situación producida con la adopción de la medida cautelar con la prevista en la norma que cuestiona. Estima que, aun aceptando dicha conclusión, la norma autonómica no impediría al órgano judicial dictar una resolución en el sentido interesado por el recurrente, dado que la norma autonómica no establece de manera automática la revocación de las prolongaciones autorizadas, sino que permite el mantenimiento de esa situación si se dan determinados requisitos que pueden ser objeto de valoración judicial. Tampoco el silencio de la norma estatal sobre las revocaciones permitiría suponer que las distintas administraciones autonómicas no puedan revocar autorizaciones de prolongación del servicio ya concedidas a partir de las necesidades de recursos humanos. De esta manera, concluye el Fiscal General del Estado, no se apreciaría una contradicción insalvable entre la norma legal estatal y el precepto legal autonómico, que admite una interpretación conforme con el art. 26.2 de la Ley 55/2003, por lo que el planteamiento de la cuestión sería infundado.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La Sección Cuarta de la Sala de lo Contencioso-Administrativo del Tribunal Superior de Justicia de Cataluña plantea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posible vulneración del art. 149.1.18 CE en relación con lo dispuesto en el art. 26.2 de la Ley 55/2003, de 16 de diciembre, por la que se aprueba el estatuto marco del personal estatutario de los servicios de salud.</w:t>
      </w:r>
    </w:p>
    <w:p w:rsidR="00BE7FB3" w:rsidRDefault="00BE7FB3" w:rsidP="00BE7FB3">
      <w:pPr>
        <w:pStyle w:val="TextoNormal"/>
      </w:pPr>
    </w:p>
    <w:p w:rsidR="00BE7FB3" w:rsidRDefault="00BE7FB3" w:rsidP="00BE7FB3">
      <w:pPr>
        <w:pStyle w:val="TextoNormal"/>
      </w:pPr>
      <w:r>
        <w:t>El precepto, en el inciso cuestionado, establece:</w:t>
      </w:r>
    </w:p>
    <w:p w:rsidR="00BE7FB3" w:rsidRDefault="00BE7FB3" w:rsidP="00BE7FB3">
      <w:pPr>
        <w:pStyle w:val="TextoNormal"/>
      </w:pPr>
    </w:p>
    <w:p w:rsidR="00BE7FB3" w:rsidRDefault="00BE7FB3" w:rsidP="00BE7FB3">
      <w:pPr>
        <w:pStyle w:val="TextoNormal"/>
      </w:pPr>
      <w:r>
        <w:t>“Disposición Transitoria Novena. Prolongaciones al personal funcionario de la Administración de la Generalidad y al personal estatutario del Instituto Catalán de la Salud</w:t>
      </w:r>
    </w:p>
    <w:p w:rsidR="00BE7FB3" w:rsidRDefault="00BE7FB3" w:rsidP="00BE7FB3">
      <w:pPr>
        <w:pStyle w:val="TextoNormal"/>
      </w:pPr>
    </w:p>
    <w:p w:rsidR="00BE7FB3" w:rsidRDefault="00BE7FB3" w:rsidP="00BE7FB3">
      <w:pPr>
        <w:pStyle w:val="TextoNormal"/>
      </w:pPr>
      <w:r>
        <w:t>Asimismo, las prolongaciones ya autorizadas del personal estatutario del Instituto Catalán de la Salud deben resolverse en el plazo de seis meses, salvo que sea necesario para causar derecho a la pensión de jubilación o en caso de que, excepcionalmente, el Consejo de Administración del Instituto Catalán de la Salud considere que es preciso mantener las autorizaciones vigentes por causas derivadas de la planificación y racionalización de los recursos humanos”.</w:t>
      </w:r>
    </w:p>
    <w:p w:rsidR="00BE7FB3" w:rsidRDefault="00BE7FB3" w:rsidP="00BE7FB3">
      <w:pPr>
        <w:pStyle w:val="TextoNormal"/>
      </w:pPr>
    </w:p>
    <w:p w:rsidR="00BE7FB3" w:rsidRDefault="00BE7FB3" w:rsidP="00BE7FB3">
      <w:pPr>
        <w:pStyle w:val="TextoNormal"/>
      </w:pPr>
      <w:r>
        <w:lastRenderedPageBreak/>
        <w:t>Por su parte, el precepto que el órgano judicial entiende vulnerado, el art. 26.2 de la Ley 55/2003 dispone:</w:t>
      </w:r>
    </w:p>
    <w:p w:rsidR="00BE7FB3" w:rsidRDefault="00BE7FB3" w:rsidP="00BE7FB3">
      <w:pPr>
        <w:pStyle w:val="TextoNormal"/>
      </w:pPr>
    </w:p>
    <w:p w:rsidR="00BE7FB3" w:rsidRDefault="00BE7FB3" w:rsidP="00BE7FB3">
      <w:pPr>
        <w:pStyle w:val="TextoNormal"/>
      </w:pPr>
      <w:r>
        <w:t>“Artículo 26. Jubilación</w:t>
      </w:r>
    </w:p>
    <w:p w:rsidR="00BE7FB3" w:rsidRDefault="00BE7FB3" w:rsidP="00BE7FB3">
      <w:pPr>
        <w:pStyle w:val="TextoNormal"/>
      </w:pPr>
    </w:p>
    <w:p w:rsidR="00BE7FB3" w:rsidRDefault="00BE7FB3" w:rsidP="00BE7FB3">
      <w:pPr>
        <w:pStyle w:val="TextoNormal"/>
      </w:pPr>
      <w:r>
        <w:t>2. La jubilación forzosa se declarará al cumplir el interesado la edad de 65 años. No obstante, el interesado podrá solicitar voluntariamente prolongar su permanencia en servicio activo hasta cumplir, como máximo, los 70 años de edad, siempre que quede acreditado que reúne la capacidad funcional necesaria para ejercer la profesión o desarrollar las actividades correspondientes a su nombramiento. Esta prolongación deberá ser autorizada por el servicio de salud correspondiente, en función de las necesidades de la organización articuladas en el marco de los planes de ordenación de recursos humanos”.</w:t>
      </w:r>
    </w:p>
    <w:p w:rsidR="00BE7FB3" w:rsidRDefault="00BE7FB3" w:rsidP="00BE7FB3">
      <w:pPr>
        <w:pStyle w:val="TextoNormal"/>
      </w:pPr>
    </w:p>
    <w:p w:rsidR="00BE7FB3" w:rsidRDefault="00BE7FB3" w:rsidP="00BE7FB3">
      <w:pPr>
        <w:pStyle w:val="TextoNormal"/>
      </w:pPr>
      <w:r>
        <w:t>Como ha quedado expuesto en los antecedentes el órgano judicial estima que la disposición transitoria novena, segundo inciso, de la Ley del Parlamento de Cataluña 5/2012 no ha respetado la normativa básica dictada por el Estado al amparo del título competencial del art. 149.1.18 CE que, en el caso concreto, sería el art. 26.2 de la Ley 55/2003. Tal vulneración se produciría porque el precepto impugnado omitiría la exigencia de la norma básica estatal en el sentido de que las resoluciones acerca de la prolongación de la permanencia en el servicio activo del personal de los servicios de salud se adopten en el marco previamente definido por los planes de ordenación de recursos humanos.</w:t>
      </w:r>
    </w:p>
    <w:p w:rsidR="00BE7FB3" w:rsidRDefault="00BE7FB3" w:rsidP="00BE7FB3">
      <w:pPr>
        <w:pStyle w:val="TextoNormal"/>
      </w:pPr>
    </w:p>
    <w:p w:rsidR="00BE7FB3" w:rsidRDefault="00BE7FB3" w:rsidP="00BE7FB3">
      <w:pPr>
        <w:pStyle w:val="TextoNormal"/>
      </w:pPr>
      <w:r>
        <w:t>El Fiscal General del Estado, en el trámite previsto en el art. 37.1 de la Ley Orgánica del Tribunal Constitucional (LOTC) se ha opuesto a la admisión de la presente cuestión de inconstitucionalidad, por entender que no se ha formulado adecuadamente el juicio de relevancia exigido por el art. 35 LOTC, así como por considerarla notoriamente infundada.</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Antes de examinar el fondo del asunto de la cuestión planteada es preciso detenernos en ciertas consideraciones de orden procesal relacionadas con la apertura del trámite de audiencia a las partes y al Ministerio Fiscal, con el momento procesal en el que se ha planteado la cuestión y, finalmente, con la formulación del juicio de aplicabilidad y relevancia, ya que, según alega el Fiscal General del Estado, la norma cuestionada no sería aplicable al caso. </w:t>
      </w:r>
    </w:p>
    <w:p w:rsidR="00BE7FB3" w:rsidRDefault="00BE7FB3" w:rsidP="00BE7FB3">
      <w:pPr>
        <w:pStyle w:val="TextoNormal"/>
      </w:pPr>
    </w:p>
    <w:p w:rsidR="00BE7FB3" w:rsidRDefault="00BE7FB3" w:rsidP="00BE7FB3">
      <w:pPr>
        <w:pStyle w:val="TextoNormal"/>
      </w:pPr>
      <w:r>
        <w:t xml:space="preserve">a) En cuanto a lo primero, es cierto que se ha cumplimentado, mediante providencia de 27 de julio de 2012, el trámite de audiencia a las partes y al Ministerio Fiscal, indicando el precepto sobre el cual mantiene dudas el órgano judicial con expresión de sus motivos, así como los preceptos constitucionales que entiende vulnerados. Pero tal trámite aparece afectado por ciertas  irregularidades padecidas durante su sustanciación. Así, se abrió mediante dos providencias sucesivas, la primera, de 25 de julio de 2012, por la que decide sobre la apertura de dicho trámite a las partes y al Ministerio Fiscal a la par que conceder la misma audiencia de diez días al Abogado del Estado y al Letrado de la Seguridad Social, a fin de que puedan alegar lo que deseen sobre la pertinencia o no de plantear la cuestión de inconstitucionalidad”. La anterior providencia fue complementada por otra, de 27 de julio de 2012, por la que se acuerda notificar la providencia anterior al Letrado de la Generalitat de Cataluña, con reapertura del plazo inicialmente concedido para formular alegaciones. Resulta entonces que, como ya puso de manifiesto el Instituto Catalán de la Salud, bien que únicamente por referencia a la formulación de alegaciones por el Abogado del Estado y el Letrado </w:t>
      </w:r>
      <w:r>
        <w:lastRenderedPageBreak/>
        <w:t xml:space="preserve">de la Seguridad Social, se incumple el tenor literal del art. 35.2 LOTC por cuanto que en el trámite de audiencia no solamente han tenido oportunidad de formular alegaciones las partes y el Ministerio Fiscal, sino también otros no comparecidos en el proceso </w:t>
      </w:r>
      <w:r w:rsidRPr="00BE7FB3">
        <w:rPr>
          <w:i/>
        </w:rPr>
        <w:t>a quo</w:t>
      </w:r>
      <w:r>
        <w:t xml:space="preserve"> y que no tenían la condición de parte en el proceso contencioso-administrativo en el que se eleva esta cuestión de inconstitucionalidad.</w:t>
      </w:r>
    </w:p>
    <w:p w:rsidR="00BE7FB3" w:rsidRDefault="00BE7FB3" w:rsidP="00BE7FB3">
      <w:pPr>
        <w:pStyle w:val="TextoNormal"/>
      </w:pPr>
    </w:p>
    <w:p w:rsidR="00BE7FB3" w:rsidRDefault="00BE7FB3" w:rsidP="00BE7FB3">
      <w:pPr>
        <w:pStyle w:val="TextoNormal"/>
      </w:pPr>
      <w:r>
        <w:t>A este respecto es indudable tanto que la norma de cuya constitucionalidad se duda ha sido aprobada por el legislador autonómico, como que dicha duda de constitucionalidad se funda en lo que se entiende como una insalvable contradicción con otra norma legal estatal, pero ello no autoriza a los órganos judiciales a desconocer la literalidad del art. 35.2 LOTC, ofreciendo el trámite de audiencia a quien no es parte en el proceso ni actúa —en dicho trámite— en defensa del interés general que entraña la preservación del sistema de fuentes y su conformidad con la Constitución (en el mismo sentido, ATC 49/2010, de 14 de abril, FJ 2).</w:t>
      </w:r>
    </w:p>
    <w:p w:rsidR="00BE7FB3" w:rsidRDefault="00BE7FB3" w:rsidP="00BE7FB3">
      <w:pPr>
        <w:pStyle w:val="TextoNormal"/>
      </w:pPr>
    </w:p>
    <w:p w:rsidR="00BE7FB3" w:rsidRDefault="00BE7FB3" w:rsidP="00BE7FB3">
      <w:pPr>
        <w:pStyle w:val="TextoNormal"/>
      </w:pPr>
      <w:r>
        <w:t xml:space="preserve">No obstante, las irregularidades reseñadas no determinan la inadmisión a trámite de la cuestión, pues no tienen la entidad suficiente como para apreciar que se ha perturbado el correcto desarrollo del trámite de alegaciones previo al planteamiento de la cuestión de inconstitucionalidad, recogido en el art. 35.2 LOTC. Tanto las partes en el proceso </w:t>
      </w:r>
      <w:r w:rsidRPr="00BE7FB3">
        <w:rPr>
          <w:i/>
        </w:rPr>
        <w:t>a quo</w:t>
      </w:r>
      <w:r>
        <w:t xml:space="preserve"> como el Ministerio Fiscal han sido oídas y han tenido oportunidad de exponer su opinión a fin de que fuera valorada por el órgano judicial a la hora de decidir acerca del planteamiento de la cuestión de inconstitucionalidad. Por consiguiente, pese a las irregularidades padecidas, debe entenderse satisfecha la doble finalidad del trámite de audiencia según reiterada doctrina: de un lado, garantizar una efectiva y real audiencia de las partes y del Ministerio Fiscal ante una posible decisión de tanta entidad, como es plantear una cuestión de inconstitucionalidad, poniendo a disposición del Juez un medio que le permita conocer con rigor la opinión de los sujetos interesados. De otro, facilitar el examen por parte de este Tribunal de la viabilidad de la cuestión misma y del alcance del problema constitucional en ella planteado (STC 30/2012, de 1 de marzo, FJ 2; con cita del ATC 467/2007, de 17 de diciembre, FJ 2).</w:t>
      </w:r>
    </w:p>
    <w:p w:rsidR="00BE7FB3" w:rsidRDefault="00BE7FB3" w:rsidP="00BE7FB3">
      <w:pPr>
        <w:pStyle w:val="TextoNormal"/>
      </w:pPr>
    </w:p>
    <w:p w:rsidR="00BE7FB3" w:rsidRDefault="00BE7FB3" w:rsidP="00BE7FB3">
      <w:pPr>
        <w:pStyle w:val="TextoNormal"/>
      </w:pPr>
      <w:r>
        <w:t>Atendidas las circunstancias del caso, es posible entender que el trámite de audiencia previsto en el art. 35.2 LOTC se ha cumplimentado satisfactoriamente.</w:t>
      </w:r>
    </w:p>
    <w:p w:rsidR="00BE7FB3" w:rsidRDefault="00BE7FB3" w:rsidP="00BE7FB3">
      <w:pPr>
        <w:pStyle w:val="TextoNormal"/>
      </w:pPr>
    </w:p>
    <w:p w:rsidR="00BE7FB3" w:rsidRDefault="00BE7FB3" w:rsidP="00BE7FB3">
      <w:pPr>
        <w:pStyle w:val="TextoNormal"/>
      </w:pPr>
      <w:r>
        <w:t>b) El segundo aspecto a analizar es el relativo al momento procesal en el que se plantea la cuestión, pues  no se ha formalizado dentro del plazo para dictar sentencia, sino en el curso de un incidente de modificación de medidas cautelares.</w:t>
      </w:r>
    </w:p>
    <w:p w:rsidR="00BE7FB3" w:rsidRDefault="00BE7FB3" w:rsidP="00BE7FB3">
      <w:pPr>
        <w:pStyle w:val="TextoNormal"/>
      </w:pPr>
    </w:p>
    <w:p w:rsidR="00BE7FB3" w:rsidRDefault="00BE7FB3" w:rsidP="00BE7FB3">
      <w:pPr>
        <w:pStyle w:val="TextoNormal"/>
      </w:pPr>
      <w:r>
        <w:t xml:space="preserve">Ello no es óbice para apreciar que la cuestión se ha planteado en un momento procesal adecuado, pues el art. 35.2 LOTC permite que la cuestión de inconstitucionalidad se plantee “dentro del plazo para dictar sentencia o la resolución jurisdiccional que procediese”. Tal es el criterio sostenido en decisiones anteriores de este Tribunal en relación con medidas cautelares y así, en el ATC 17/2007, de 16 de enero, FJ 2 se afirma que: “A este respecto, debe entenderse que, si bien el art. 35.2 LOTC establece que la cuestión solo podrá plantearse una vez concluso el procedimiento y dentro del plazo para dictar Sentencia, este Tribunal ha sostenido la necesidad de hacer una interpretación flexible de dicho requisito en casos excepcionales, limitados, como regla general, a las leyes procesales, considerándolo admisible también en el caso de leyes sustantivas cuando la ulterior tramitación del proceso </w:t>
      </w:r>
      <w:r>
        <w:lastRenderedPageBreak/>
        <w:t>hasta Sentencia no pudiera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[SSTC 8/1982, de 4 de marzo, FJ 1; 54/1983, de 21 de junio, FFJJ 2 y 3; 25/1984, de 23 de febrero, FJ 2 c); 19/1988, de 16 de febrero, FJ 1; 186/1990, de 15 de noviembre, FJ 2; 76/1992, de 14 de mayo, FJ 2 a); 110/1993, de 25 de marzo, FJ 2; o 234/1997, de 18 de diciembre, FJ 2)].</w:t>
      </w:r>
    </w:p>
    <w:p w:rsidR="00BE7FB3" w:rsidRDefault="00BE7FB3" w:rsidP="00BE7FB3">
      <w:pPr>
        <w:pStyle w:val="TextoNormal"/>
      </w:pPr>
    </w:p>
    <w:p w:rsidR="00BE7FB3" w:rsidRDefault="00BE7FB3" w:rsidP="00BE7FB3">
      <w:pPr>
        <w:pStyle w:val="TextoNormal"/>
      </w:pPr>
      <w:r>
        <w:t>En el caso que nos ocupa cabe entender que las citadas previsiones del art. 35.2 LOTC cuando se proyectan sobre la tramitación de piezas separadas de la principal, se refieren a la conclusión de éstas y al momento previo a su resolución (en el mismo sentido, bien que referido a la ejecutoria de una Sentencia penal, ATC 467/2007, de 17 de diciembre, FJ 1), por lo que la cuestión se ha planteado en el momento procesal oportuno.</w:t>
      </w:r>
    </w:p>
    <w:p w:rsidR="00BE7FB3" w:rsidRDefault="00BE7FB3" w:rsidP="00BE7FB3">
      <w:pPr>
        <w:pStyle w:val="TextoNormal"/>
      </w:pPr>
    </w:p>
    <w:p w:rsidR="00BE7FB3" w:rsidRDefault="00BE7FB3" w:rsidP="00BE7FB3">
      <w:pPr>
        <w:pStyle w:val="TextoNormal"/>
      </w:pPr>
      <w:r>
        <w:t xml:space="preserve">c) Por último, en lo que se refiere al juicio de aplicabilidad, el Ministerio Fiscal ha entendido que, en la medida en que no nos encontraríamos ante la revocación de una resolución administrativa que hubiera concedido la prolongación de la permanencia en el servicio activo, sino de una resolución judicial en relación con una previa denegación de una solicitud en ese sentido, el precepto no resultaría aplicable al caso sometido a la consideración de la Sala cuestionante. </w:t>
      </w:r>
    </w:p>
    <w:p w:rsidR="00BE7FB3" w:rsidRDefault="00BE7FB3" w:rsidP="00BE7FB3">
      <w:pPr>
        <w:pStyle w:val="TextoNormal"/>
      </w:pPr>
    </w:p>
    <w:p w:rsidR="00BE7FB3" w:rsidRDefault="00BE7FB3" w:rsidP="00BE7FB3">
      <w:pPr>
        <w:pStyle w:val="TextoNormal"/>
      </w:pPr>
      <w:r>
        <w:t xml:space="preserve">Para pronunciarnos acerca de este óbice procesal hemos de partir de nuestra doctrina según la cual, en principio,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a los hechos enjuiciados, juicio sobre el que este Tribunal únicamente ejerce, en principio, un “control meramente externo” (SSTC 51/2004, de 13 de abril, FJ 1; y 141/2008, de 30 de octubre, FJ 4), que se concreta en que “no puede ponderar o revisar tal apreciación del propio órgano judicial sobre las normas que en cada caso estime aplicables, a salvo el supuesto ... de que el criterio que así se exponga resulte con toda evidencia errado” (SSTC 188/1988, de 17 de octubre, FJ 3; y 141/2008, de 30 de octubre, FJ 4). </w:t>
      </w:r>
    </w:p>
    <w:p w:rsidR="00BE7FB3" w:rsidRDefault="00BE7FB3" w:rsidP="00BE7FB3">
      <w:pPr>
        <w:pStyle w:val="TextoNormal"/>
      </w:pPr>
    </w:p>
    <w:p w:rsidR="00BE7FB3" w:rsidRDefault="00BE7FB3" w:rsidP="00BE7FB3">
      <w:pPr>
        <w:pStyle w:val="TextoNormal"/>
      </w:pPr>
      <w:r>
        <w:t xml:space="preserve">Partiendo, entonces, de esa regla general es posible concluir que el juicio de aplicabilidad y relevancia ha de entenderse adecuadamente formulado pues el incidente de modificación de las medidas cautelares no puede resolverse sin antes despejar la duda de constitucionalidad planteada sobre la disposición legal, ya que, como ha quedado expuesto en los antecedentes, es la norma cuestionada la que ha dado lugar a la petición de modificación de la medida cautelar inicialmente acordada por variación de las circunstancias al amparo del art. 132.1 de la Ley 29/1998, de 13 de julio, reguladora de la jurisdicción contencioso-administrativa. Tampoco procede, por no ser cuestiones que competan a este Tribunal a la hora de dar respuesta a la cuestión planteada, entrar a examinar la alegación del Fiscal General del Estado que vincula la falta de aplicabilidad de la norma con la necesidad de mantener la medida cautelar inicialmente adoptada, pues es claro que, señalado ya que la norma es aplicable al caso, dicha decisión se sitúa extramuros del presente proceso, correspondiendo dicha decisión al Tribunal </w:t>
      </w:r>
      <w:r w:rsidRPr="00BE7FB3">
        <w:rPr>
          <w:i/>
        </w:rPr>
        <w:t>a quo</w:t>
      </w:r>
      <w:r>
        <w:t xml:space="preserve">. Mucho menos, por ser del todo ajeno a lo aquí discutido, debemos hacer consideración alguna acerca de cuál vaya a ser la decisión judicial que ponga fin al proceso </w:t>
      </w:r>
      <w:r w:rsidRPr="00BE7FB3">
        <w:rPr>
          <w:i/>
        </w:rPr>
        <w:t>a quo</w:t>
      </w:r>
      <w:r>
        <w:t>.</w:t>
      </w:r>
    </w:p>
    <w:p w:rsidR="00BE7FB3" w:rsidRDefault="00BE7FB3" w:rsidP="00BE7FB3">
      <w:pPr>
        <w:pStyle w:val="TextoNormal"/>
      </w:pPr>
    </w:p>
    <w:p w:rsidR="00BE7FB3" w:rsidRDefault="00BE7FB3" w:rsidP="00BE7FB3">
      <w:pPr>
        <w:pStyle w:val="TextoNormal"/>
      </w:pPr>
      <w:r w:rsidRPr="00BE7FB3">
        <w:rPr>
          <w:rStyle w:val="NumeroAFNegritaCaracter"/>
        </w:rPr>
        <w:t>3</w:t>
      </w:r>
      <w:r>
        <w:t>. En cuanto al fondo del asunto planteado, la cuestión planteada resulta notoriamente infundada en el significado que a esta noción le viene dando la doctrina de este Tribunal (por todos, AATC 71/2008, de 26 de febrero, FJ 2 y 32/2009, de 27 de enero, FJ 3), en atención a las siguientes razones.</w:t>
      </w:r>
    </w:p>
    <w:p w:rsidR="00BE7FB3" w:rsidRDefault="00BE7FB3" w:rsidP="00BE7FB3">
      <w:pPr>
        <w:pStyle w:val="TextoNormal"/>
      </w:pPr>
    </w:p>
    <w:p w:rsidR="00BE7FB3" w:rsidRDefault="00BE7FB3" w:rsidP="00BE7FB3">
      <w:pPr>
        <w:pStyle w:val="TextoNormal"/>
      </w:pPr>
      <w:r>
        <w:t xml:space="preserve">La duda planteada por el órgano judicial tiene carácter netamente competencial, pues lo que está planteado es que el precepto legal autonómico, la disposición transitoria novena, segundo inciso, de la Ley del Parlamento de Cataluña 5/2012, contradice lo dispuesto en la normativa básica estatal, en este caso el art. 26.2 de la Ley 55/2003, que operaría como canon de constitucionalidad del mismo. La ley autonómica no habría respetado la exigencia contenida en el citado art. 26.2 que, como presupuesto legal, exigiría que la denegación o autorización de la prolongación de la permanencia en el servicio activo del personal de los servicios de salud se resuelva “en función de las necesidades de la organización articuladas en el marco de los planes de ordenación de recursos humanos”.  </w:t>
      </w:r>
    </w:p>
    <w:p w:rsidR="00BE7FB3" w:rsidRDefault="00BE7FB3" w:rsidP="00BE7FB3">
      <w:pPr>
        <w:pStyle w:val="TextoNormal"/>
      </w:pPr>
    </w:p>
    <w:p w:rsidR="00BE7FB3" w:rsidRDefault="00BE7FB3" w:rsidP="00BE7FB3">
      <w:pPr>
        <w:pStyle w:val="TextoNormal"/>
      </w:pPr>
      <w:r>
        <w:t>Se trata de un supuesto de lo que nuestra doctrina denomina (por todas, STC 246/2012, de 20 de diciembre, FJ 8 y las allí citadas) inconstitucionalidad de carácter mediato o indirecto, dado que la normativa autonómica será contraria al orden de distribución de competencias precisamente por infringir la normativa estatal básica. Ahora bien, para que dicha vulneración exista será necesaria, como hemos declarado en la citada doctrina, la concurrencia de dos circunstancias: que la norma estatal que se afirma infringida por la ley autonómica sea, en el doble sentido material y formal, una norma básica y, por tanto, dictada legítimamente al amparo del correspondiente título competencial que la Constitución haya reservado al Estado; así como, en segundo lugar, que esa contradicción entre ambas normas, estatal y autonómica, sea efectiva e insalvable por vía interpretativa.</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Antes, sin embargo, de iniciar la comprobación anunciada hemos de precisar el encuadramiento competencial de la cuestión que consideramos en el sistema material de distribución de competencias. A este respecto, dado que se refiere a la jubilación del personal estatutario del Sistema Nacional de Salud, y, por tanto, a la extinción de la relación de servicio que vincula a este tipo de personal con la Administración pública hemos de considerar que nos hallamos en la materia “estatuto de los funcionarios públicos”. En efecto, la STC 1/2003, de 16 de enero, FJ 3, recuerda que “hemos tenido ya la oportunidad de señalar en distintas ocasiones que, tanto la pérdida de la condición de funcionario, como las situaciones administrativas que puedan acontecer a lo largo de la carrera funcionarial, son dos aspectos que claramente forman parte del concepto constitucional de ‘estatuto de los funcionarios públicos’. En este sentido, y tal y como señalamos en la STC 99/1987, de 11 de junio, FJ 3 c), y hemos recordado recientemente en la STC 37/2002, de 14 de febrero, FJ 8, los contornos de este concepto, empleado por los arts. 103.3 y 149.1.18 CE, ‘no pueden definirse en abstracto y </w:t>
      </w:r>
      <w:r w:rsidRPr="00BE7FB3">
        <w:rPr>
          <w:i/>
        </w:rPr>
        <w:t>a priori</w:t>
      </w:r>
      <w:r>
        <w:t>’, debiendo entenderse comprendida en su ámbito, ‘en principio, la normación relativa a la adquisición y pérdida de la condición de funcionario, a las condiciones de promoción de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w:t>
      </w:r>
    </w:p>
    <w:p w:rsidR="00BE7FB3" w:rsidRDefault="00BE7FB3" w:rsidP="00BE7FB3">
      <w:pPr>
        <w:pStyle w:val="TextoNormal"/>
      </w:pPr>
    </w:p>
    <w:p w:rsidR="00BE7FB3" w:rsidRDefault="00BE7FB3" w:rsidP="00BE7FB3">
      <w:pPr>
        <w:pStyle w:val="TextoNormal"/>
      </w:pPr>
      <w:r>
        <w:lastRenderedPageBreak/>
        <w:t>Lo anterior puede afirmarse con independencia de que se trate del personal sanitario, pues este tipo de personal constituye, de acuerdo con el propio art. 1 de la Ley 55/2003, “una relación funcionarial especial”, lo que se confirma por los arts. 2.3 y 2.4 de la Ley 7/2007, de 12 de abril, del estatuto básico del empleado público, los cuales disponen que la normativa contenida en citado estatuto básico le es de aplicación en los términos expresados por dichos preceptos (en el mismo sentido, ATC 201/2008, de 3 de julio, FJ 4). Este carácter funcionarial determina el encuadramiento de las cuestiones relativas a su jubilación en el ámbito material al que ya hemos hecho referencia, en cuanto que la jubilación es una de las causas de pérdida de la condición de personal estatutario [art. 21 e) de la Ley 55/2003].</w:t>
      </w:r>
    </w:p>
    <w:p w:rsidR="00BE7FB3" w:rsidRDefault="00BE7FB3" w:rsidP="00BE7FB3">
      <w:pPr>
        <w:pStyle w:val="TextoNormal"/>
      </w:pPr>
    </w:p>
    <w:p w:rsidR="00BE7FB3" w:rsidRDefault="00BE7FB3" w:rsidP="00BE7FB3">
      <w:pPr>
        <w:pStyle w:val="TextoNormal"/>
      </w:pPr>
      <w:r>
        <w:t>Las normas ordenadoras de este régimen estatutario de los funcionarios públicos han de ser establecidas, en virtud de lo dispuesto en el art. 103.3 CE, mediante normas con rango de ley y en tal sentido lo hemos declarado (al respecto, STC 37/2002, de 14 de febrero, FJ 5, la cual remite a la doctrina establecida en la STC 99/1987, de 11 de junio). La clave para determinar en nuestro Estado autonómico qué legislador es el competente para cumplimentar la reserva de ley en relación con el estatuto de los funcionarios públicos está contenida en el art. 149.1.18 CE. A tenor de este precepto el Estado tiene atribuida la competencia exclusiva para el establecimiento de las bases del régimen estatutario de los funcionarios públicos, y, por tanto, también de sus aspectos relativos a la jubilación, mientras que a Cataluña, le corresponde, en virtud del actual art. 136 b) de su Estatuto de Autonomía, la competencia compartida para el desarrollo de algunos aspectos del régimen estatutario de los funcionarios públicos (empleo público; adquisición y pérdida de la condición de funcionario; situaciones administrativas; derechos, deberes e incompatibilidades), atribución que ha de entenderse con el sentido y alcance expresado en la STC 31/2010, de 28 de septiembre, FJ 82, del que resulta que la formalización de la competencia autonómica como compartida presupone la plena virtualidad de la competencia normativa básica del Estado en la materia.</w:t>
      </w:r>
    </w:p>
    <w:p w:rsidR="00BE7FB3" w:rsidRDefault="00BE7FB3" w:rsidP="00BE7FB3">
      <w:pPr>
        <w:pStyle w:val="TextoNormal"/>
      </w:pPr>
    </w:p>
    <w:p w:rsidR="00BE7FB3" w:rsidRDefault="00BE7FB3" w:rsidP="00BE7FB3">
      <w:pPr>
        <w:pStyle w:val="TextoNormal"/>
      </w:pPr>
      <w:r w:rsidRPr="00BE7FB3">
        <w:rPr>
          <w:rStyle w:val="NumeroAFNegritaCaracter"/>
        </w:rPr>
        <w:t>5</w:t>
      </w:r>
      <w:r>
        <w:t xml:space="preserve">. Así encuadrada la cuestión y planteándose un problema de inconstitucionalidad mediata o indirecta lo primero que hemos de hacer es determinar el carácter básico, en el doble sentido material y formal, de la norma estatal que el órgano judicial entiende vulnerada. A este respecto ninguna duda cabe de que la norma estatal es básica desde la perspectiva formal, pues con tal carácter se proclama en la disposición final primera de la Ley 55/2003 y lo mismo sucede desde la perspectiva material, ya que la normación relativa a la pérdida de la condición de funcionario, en este caso, mediante la jubilación, se incluye con naturalidad dentro de las bases del régimen estatutario de los funcionarios públicos, que han de ser establecidas por el Estado, conforme al art. 149.1.18 CE. </w:t>
      </w:r>
    </w:p>
    <w:p w:rsidR="00BE7FB3" w:rsidRDefault="00BE7FB3" w:rsidP="00BE7FB3">
      <w:pPr>
        <w:pStyle w:val="TextoNormal"/>
      </w:pPr>
    </w:p>
    <w:p w:rsidR="00BE7FB3" w:rsidRDefault="00BE7FB3" w:rsidP="00BE7FB3">
      <w:pPr>
        <w:pStyle w:val="TextoNormal"/>
      </w:pPr>
      <w:r>
        <w:t>En definitiva, no cabe sino afirmar que la normativa estatal que nos ocupa ha sido dictada con adecuación a la competencia sobre las bases que la Constitución reserva al Estado en su art. 149.1.18 pudiendo, por tanto, operar como canon de constitucionalidad.</w:t>
      </w:r>
    </w:p>
    <w:p w:rsidR="00BE7FB3" w:rsidRDefault="00BE7FB3" w:rsidP="00BE7FB3">
      <w:pPr>
        <w:pStyle w:val="TextoNormal"/>
      </w:pPr>
    </w:p>
    <w:p w:rsidR="00BE7FB3" w:rsidRDefault="00BE7FB3" w:rsidP="00BE7FB3">
      <w:pPr>
        <w:pStyle w:val="TextoNormal"/>
      </w:pPr>
      <w:r>
        <w:t xml:space="preserve">Una vez comprobada la naturaleza básica de la norma estatal, debemos examinar a continuación si, como se afirma en el Auto de planteamiento, resulta ser contradicho por el precepto cuestionado o si, por el contrario, tal contradicción no existe. </w:t>
      </w:r>
    </w:p>
    <w:p w:rsidR="00BE7FB3" w:rsidRDefault="00BE7FB3" w:rsidP="00BE7FB3">
      <w:pPr>
        <w:pStyle w:val="TextoNormal"/>
      </w:pPr>
    </w:p>
    <w:p w:rsidR="00BE7FB3" w:rsidRDefault="00BE7FB3" w:rsidP="00BE7FB3">
      <w:pPr>
        <w:pStyle w:val="TextoNormal"/>
      </w:pPr>
      <w:r>
        <w:t xml:space="preserve">En este sentido debemos partir de que el artículo 26.2 establece la jubilación forzosa del personal estatutario a los 65 años, sin perjuicio de la posibilidad de solicitar una prolongación de la situación en servicio activo en determinados supuestos regulados en los apartados </w:t>
      </w:r>
      <w:r>
        <w:lastRenderedPageBreak/>
        <w:t xml:space="preserve">2 y 3 del artículo 26 y en la disposición transitoria séptima. En particular nos interesa el previsto en el art. 26.2, segundo inciso, respecto del que es importante ahora destacar que la prolongación en el servicio activo en él prevista no opera de forma automática, sino que exige una autorización del servicio de salud “en función de las necesidades de la organización articuladas en el marco de los planes de ordenación de recursos humanos”. Es decir, requiere de la existencia de razones de interés general de carácter organizativo y asistencial que aconsejen seguir contando con determinado personal y que tales razones se expliciten en la resolución autorizatoria. De la legislación de carácter básico se deduce así una regla general que categóricamente establece la jubilación forzosa del personal estatutario al cumplir los 65 años de edad, momento en que “se declarará la jubilación forzosa” (art. 26.2, inciso primero) y una posibilidad excepcional de prolongar la permanencia en servicio activo supeditada a varios condicionantes, tal como resulta del inciso segundo del mismo precepto. En efecto, el párrafo segundo del artículo 26.2 del estatuto marco, que aquí se entiende vulnerado, requiere cuatro requisitos para obtener la prolongación en el servicio activo más allá de los 65 años: 1) la voluntariedad del interesado de continuar en servicio activo una vez alcanzada la edad de jubilación forzosa, expresada mediante la correspondiente solicitud formal; 2) la limitación temporal de solicitar la prolongación, como máximo, hasta los 70 años de edad; 3) reunir la capacidad funcional necesaria para ejercer la profesión o desarrollar las actividades correspondientes a su nombramiento y 4) la autorización por el servicio de salud correspondiente en función de las necesidades de la organización articuladas en un plan de ordenación de recursos humanos, erigido así en instrumento definidor, a estos efectos, de las necesidades de la organización sanitaria. De esos cuatro requisitos se infiere sin dificultad que, como apunta el Fiscal General del Estado, la finalidad de la prolongación de la permanencia en el servicio activo responde a las necesidades de personal derivadas de la organización y de la adecuada prestación del servicio público sanitario a la población. </w:t>
      </w:r>
    </w:p>
    <w:p w:rsidR="00BE7FB3" w:rsidRDefault="00BE7FB3" w:rsidP="00BE7FB3">
      <w:pPr>
        <w:pStyle w:val="TextoNormal"/>
      </w:pPr>
    </w:p>
    <w:p w:rsidR="00BE7FB3" w:rsidRDefault="00BE7FB3" w:rsidP="00BE7FB3">
      <w:pPr>
        <w:pStyle w:val="TextoNormal"/>
      </w:pPr>
      <w:r>
        <w:t xml:space="preserve">Directa relación con esta previsión básica guarda la disposición adicional decimotercera de la Ley del Parlamento de Cataluña 5/2012, intitulada “Jubilación forzosa del personal del Instituto Catalán de la Salud”, según la cual la jubilación forzosa del personal estatutario del Instituto Catalán de la Salud se declara de oficio cuando la persona interesada cumple los 65 años de edad, estableciendo que la prolongación en el servicio activo hasta los 70 años de edad, con la solicitud previa de la persona interesada, solamente puede autorizarse en casos tasados entre los que se encuentra el contemplado en su letra b): “Excepcionalmente, por necesidades asistenciales, mediante una resolución expresa motivada en las causas previstas en el Plan de ordenación de recursos humanos del Instituto Catalán de la Salud que atienden a motivaciones específicas de necesidad asistencial al territorio o por el prestigio profesional de la persona interesada.” De esta manera, en la no cuestionada disposición adicional decimotercera de la Ley 5/2012 el legislador catalán, en el ejercicio de sus competencias de desarrollo normativo en el ámbito de la función pública y más específicamente en relación con el personal estatutario del servicio autonómico de salud, está precisando, mediante la exigencia de una resolución expresa motivada en las causas previstas en el plan de ordenación de recursos humanos del Instituto Catalán de la Salud, los dos supuestos que, a estos efectos, habrán de tenerse en cuenta para acordar la prolongación en el servicio activo, de suerte que ésta únicamente será posible por concretas necesidades asistenciales en el territorio o en atención al prestigio profesional del solicitante. Es decir, en el mismo sentido que expresa la base estatal, requiere de la existencia de razones de interés general de carácter organizativo y asistencial que aconsejen seguir contando con determinado personal </w:t>
      </w:r>
      <w:r>
        <w:lastRenderedPageBreak/>
        <w:t>y que dichas razones encuentren su fundamento en el plan de ordenación de recursos humanos del Instituto Catalán de la Salud.</w:t>
      </w:r>
    </w:p>
    <w:p w:rsidR="00BE7FB3" w:rsidRDefault="00BE7FB3" w:rsidP="00BE7FB3">
      <w:pPr>
        <w:pStyle w:val="TextoNormal"/>
      </w:pPr>
    </w:p>
    <w:p w:rsidR="00BE7FB3" w:rsidRDefault="00BE7FB3" w:rsidP="00BE7FB3">
      <w:pPr>
        <w:pStyle w:val="TextoNormal"/>
      </w:pPr>
      <w:r w:rsidRPr="00BE7FB3">
        <w:rPr>
          <w:rStyle w:val="NumeroAFNegritaCaracter"/>
        </w:rPr>
        <w:t>6</w:t>
      </w:r>
      <w:r>
        <w:t>. En dicho marco legal es el que se inscribe la previsión cuestionada que dispone la resolución de las prolongaciones ya autorizadas del personal estatutario del Instituto Catalán de la Salud salvo que se considere preciso mantenerlas por causas derivadas de la planificación y racionalización de los recursos humanos. Previsión que el órgano judicial estima contraria a la base estatal por entender que tal decisión respecto a la prórroga de la permanencia en el servicio activo únicamente es susceptible de ser adoptada en el marco de un plan de ordenación de los recursos humanos elaborado y aprobado con arreglo a lo dispuesto en el propio estatuto marco.</w:t>
      </w:r>
    </w:p>
    <w:p w:rsidR="00BE7FB3" w:rsidRDefault="00BE7FB3" w:rsidP="00BE7FB3">
      <w:pPr>
        <w:pStyle w:val="TextoNormal"/>
      </w:pPr>
    </w:p>
    <w:p w:rsidR="00BE7FB3" w:rsidRDefault="00BE7FB3" w:rsidP="00BE7FB3">
      <w:pPr>
        <w:pStyle w:val="TextoNormal"/>
      </w:pPr>
      <w:r>
        <w:t>Conforme hemos expuesto con anterioridad, la norma autonómica ahora cuestionada sería objetable constitucionalmente por desconocer la norma básica estatal si la misma comportara una quiebra significada de la mencionada regla básica, de modo que pusiera en cuestión la regulación que, sobre la jubilación del personal estatutario ha fijado el legislador básico. Sin embargo, conviene advertir que los cuatro elementos que integran la base estatal del segundo párrafo del art. 26.2 de la Ley 55/2003 no se ven contradichos por la regulación autonómica, que perfila así un elemento que estaba ya incluido en la norma estatal, el interés en cesar la relación estatutaria a partir de una determinada edad del personal. Así, debemos partir de la premisa fundamental de que la jubilación forzosa a los 65 años es la regla general, siendo la prórroga en el servicio activo algo excepcional, correspondiéndole a la Administración valorar o determinar la posibilidad de autorizar la prórroga. Esto es, ante la solicitud del interesado, la Administración debe pronunciarse sobre su concesión o denegación en función de las necesidades de la organización articuladas en el marco de los planes de ordenación de recursos humanos, sin que, por lo demás, pueda sostenerse que las decisiones en torno a la planificación y organización de los recursos humanos no hayan de tener necesariamente en cuenta, entre otros factores, las disponibilidades presupuestarias, a las que hace expresa mención en la exposición de motivos de la Ley 5/2012. Es decir, dicho artículo 26.2 de la Ley 55/2003 establece un criterio para determinar o decidir el contenido de la concreta resolución que debe adoptarse, pero eso no significa que ese criterio sea el único y excluyente, ni que el mismo no pueda ser modulado por el legislador autonómico competente por razón de la materia. La base estatal establece una regla con vocación de aplicación uniforme en todo el territorio nacional, siempre dejando un margen de actuación a las Administraciones competentes para adecuar tal aplicación a las necesidades existentes, cohonestando la finalidad del servicio público de salud y su carácter esencial para la población, con las necesidades organizativas en un contexto como el presente de restricción y racionalización del gasto público que determina la necesidad de adoptar “una estrategia de racionalización de los recursos humanos al servicio de la Administración catalana”, tal como la ya citada exposición de motivos de la Ley 5/2012 pone de manifiesto.</w:t>
      </w:r>
    </w:p>
    <w:p w:rsidR="00BE7FB3" w:rsidRDefault="00BE7FB3" w:rsidP="00BE7FB3">
      <w:pPr>
        <w:pStyle w:val="TextoNormal"/>
      </w:pPr>
    </w:p>
    <w:p w:rsidR="00BE7FB3" w:rsidRDefault="00BE7FB3" w:rsidP="00BE7FB3">
      <w:pPr>
        <w:pStyle w:val="TextoNormal"/>
      </w:pPr>
      <w:r>
        <w:t xml:space="preserve">Por otra parte la mención de la base estatal a los planes de ordenación de recursos humanos no puede ser entendida en un sentido excluyente de la intermediación del legislador autonómico, el cual, en ejercicio legítimo de sus competencias de desarrollo normativo en relación con el personal estatutario, podrá, como efectivamente ha hecho, condicionar la actuación de la Administración sanitaria a la hora de planificar sus recursos humanos, estableciendo criterios normativos que, incorporados a los instrumentos de planificación de los recursos humanos, hayan de regir las decisiones de la administración sanitaria en relación </w:t>
      </w:r>
      <w:r>
        <w:lastRenderedPageBreak/>
        <w:t xml:space="preserve">con la permanencia en el servicio activo del personal estatutario que ha superado la edad prevista para jubilación. </w:t>
      </w:r>
    </w:p>
    <w:p w:rsidR="00BE7FB3" w:rsidRDefault="00BE7FB3" w:rsidP="00BE7FB3">
      <w:pPr>
        <w:pStyle w:val="TextoNormal"/>
      </w:pPr>
    </w:p>
    <w:p w:rsidR="00BE7FB3" w:rsidRDefault="00BE7FB3" w:rsidP="00BE7FB3">
      <w:pPr>
        <w:pStyle w:val="TextoNormal"/>
      </w:pPr>
      <w:r>
        <w:t xml:space="preserve">Eso es lo que ha decidido el legislador autonómico en la disposición adicional decimotercera de la Ley 5/2012, con la que la ahora cuestionada guarda una inescindible relación, al predeterminar los supuestos en los que es posible acordar la prórroga solicitada, remitiendo su motivación expresa a las causas previstas en el correspondiente plan de ordenación de recursos humanos, de forma que tal prórroga solamente resultará posible en los términos del mencionado plan. Y lo mismo cabe decir de las causas derivadas de la planificación y racionalización de recursos humanos a las que alude la disposición transitoria cuestionada, ya que esta mención ha de ponerse en relación con la disposición adicional decimotercera y su referencia explícita al ya citado plan de ordenación. Lo contrario, es decir, una interpretación de la base estatal en el sentido de que sus mandatos, en tanto que dirigidos a la correspondiente Administración sanitaria, solamente por ella pueden ser llevados a la práctica significa desconocer las competencias estatutariamente reconocidas, así como impedir al legislador autonómico realizar valoración alguna respecto a las necesidades de interés general que deben ser atendidas por la acción administrativa en el ámbito sanitario, en atención a las necesidades concurrentes, y para establecer una prioridad entre ellas, eligiendo las medidas más convenientes para dar satisfacción a esas necesidades, en particular en relación a su personal. </w:t>
      </w:r>
    </w:p>
    <w:p w:rsidR="00BE7FB3" w:rsidRDefault="00BE7FB3" w:rsidP="00BE7FB3">
      <w:pPr>
        <w:pStyle w:val="TextoNormal"/>
      </w:pPr>
    </w:p>
    <w:p w:rsidR="00BE7FB3" w:rsidRDefault="00BE7FB3" w:rsidP="00BE7FB3">
      <w:pPr>
        <w:pStyle w:val="TextoNormal"/>
      </w:pPr>
      <w:r>
        <w:t>De esta forma resulta que el inciso cuestionado no contradice lo previsto por la base estatal, en la medida en que ha de aplicarse en un marco previamente determinado por el legislador autonómico en la disposición adicional decimotercera de la Ley 5/2012, que se refiere expresamente a las causas previstas en el plan de ordenación de recursos humanos del Instituto Catalán de la Salud. En ese sentido es necesario hacer mención a la Resolución SLT/3104/2011, de 23 de diciembre, por la que se publica el plan de ordenación de recursos humanos del Instituto Catalán de la Salud para el periodo 2012-2015, publicado en el “Diario Oficial de la Generalitat de Cataluña” de 6 de febrero de 2012, cuyo anexo I concreta detalladamente lo que ha de entenderse a estos efectos por necesidades asistenciales así como la forma de proceder en el supuesto de profesionales médicos de reconocido prestigio.</w:t>
      </w:r>
    </w:p>
    <w:p w:rsidR="00BE7FB3" w:rsidRDefault="00BE7FB3" w:rsidP="00BE7FB3">
      <w:pPr>
        <w:pStyle w:val="TextoNormal"/>
      </w:pPr>
    </w:p>
    <w:p w:rsidR="00BE7FB3" w:rsidRDefault="00BE7FB3" w:rsidP="00BE7FB3">
      <w:pPr>
        <w:pStyle w:val="TextoNormal"/>
      </w:pPr>
      <w:r w:rsidRPr="00BE7FB3">
        <w:rPr>
          <w:rStyle w:val="NumeroAFNegritaCaracter"/>
        </w:rPr>
        <w:t>7</w:t>
      </w:r>
      <w:r>
        <w:t>. Recapitulando lo anteriormente expuesto, hemos apreciado que la normativa estatal que se utiliza como canon en el control de constitucionalidad de la normativa autonómica tiene una indudable naturaleza básica desde la doble perspectiva formal y material. Con arreglo a tal carácter es susceptible de ser desarrollada en el ámbito de cada servicio autonómico de salud y, en este sentido, el precepto autonómico cuestionado constituye un desarrollo de la misma conforme con ella, pues no altera la regla establecida por la norma básica. En suma, es posible concluir que, afirmado el carácter básico de la normativa estatal, no se aprecia que la normativa autonómica cuestionada incurra en contradicción con sus mandatos que resulta imprescindible, en supuestos como el presente, para sostener la inconstitucionalidad del precepto autonómico, pues ambas normas son así susceptibles de ser interpretadas e integradas armónicamente. Por ello, falta aquí la real y efectiva contradicción entre la norma estatal y la autonómica de la que, en los términos expuestos en el Auto de planteamiento, se derivaría la vulneración del orden constitucional de distribución de competencias, lo que priva del necesario fundamento a la presente cuestión y determina que deba ser inadmitida a trámite.</w:t>
      </w:r>
    </w:p>
    <w:p w:rsidR="00BE7FB3" w:rsidRDefault="00BE7FB3" w:rsidP="00BE7FB3">
      <w:pPr>
        <w:pStyle w:val="TextoNormal"/>
      </w:pPr>
    </w:p>
    <w:p w:rsidR="00BE7FB3" w:rsidRDefault="00BE7FB3" w:rsidP="00BE7FB3">
      <w:pPr>
        <w:pStyle w:val="TextoNormal"/>
      </w:pPr>
      <w:r>
        <w:lastRenderedPageBreak/>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Inadmitir a trámite la cuestión de inconstitucionalidad núm. 6111-2012 planteada por la Sección Cuarta de la Sala de lo Contencioso-Administrativo del Tribunal Superior de Justicia de Cataluña.</w:t>
      </w:r>
    </w:p>
    <w:p w:rsidR="00BE7FB3" w:rsidRDefault="00BE7FB3" w:rsidP="00BE7FB3">
      <w:pPr>
        <w:pStyle w:val="TextoNormal"/>
      </w:pPr>
      <w:r>
        <w:t xml:space="preserve"> </w:t>
      </w:r>
    </w:p>
    <w:p w:rsidR="00BE7FB3" w:rsidRDefault="00BE7FB3" w:rsidP="00BE7FB3">
      <w:pPr>
        <w:pStyle w:val="TextoNormal"/>
      </w:pPr>
      <w:r>
        <w:t>Publíquese este Auto en el “Boletín Oficial del Estado”.</w:t>
      </w:r>
    </w:p>
    <w:p w:rsidR="00BE7FB3" w:rsidRDefault="00BE7FB3" w:rsidP="00BE7FB3">
      <w:pPr>
        <w:pStyle w:val="TextoNormal"/>
      </w:pPr>
    </w:p>
    <w:p w:rsidR="00BE7FB3" w:rsidRDefault="00BE7FB3" w:rsidP="00BE7FB3">
      <w:pPr>
        <w:pStyle w:val="TextoNormal"/>
      </w:pPr>
      <w:r>
        <w:t>Madrid, a veintitrés de abril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27" w:name="AUTO_2013_86"/>
      <w:r>
        <w:lastRenderedPageBreak/>
        <w:t>AUTO 86/2013, de 23 de abril de 2013</w:t>
      </w:r>
    </w:p>
    <w:bookmarkEnd w:id="227"/>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ECLI:ES:TC:2013:86A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Mantiene la suspensión en el conflicto positivo de competencia 6862-2012, planteado por el Gobierno de la Nación en relación con la decisión del Gobierno vasco de fecha indeterminada por la que acuerda que los trabajadores del sector público vasco cobren la paga extraordinaria de diciembre de 2012.</w:t>
      </w:r>
    </w:p>
    <w:p w:rsidR="00BE7FB3" w:rsidRDefault="00BE7FB3" w:rsidP="00BE7FB3">
      <w:pPr>
        <w:pStyle w:val="SntesisDescriptiva"/>
      </w:pPr>
    </w:p>
    <w:p w:rsidR="00BE7FB3" w:rsidRDefault="00BE7FB3" w:rsidP="00BE7FB3">
      <w:pPr>
        <w:pStyle w:val="SntesisAnaltica"/>
      </w:pPr>
      <w:r>
        <w:t>Leyes de presupuestos de las Comunidades Autónomas: principio de estabilidad presupuestaria. Política económica: interés general. Salario: pagas extraordinarias. Suspensión de disposiciones de las Comunidades Autónomas: interés general; mantenimiento de la suspensión de disposiciones de las Comunidades Autónomas.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Constitucional el día 5 de diciembre de 2012, el Abogado del Estado, en nombre del Gobierno, interpuso conflicto positivo de competencia contra la decisión del Gobierno Vasco, de fecha indeterminada, por la que acuerda que los trabajadores del sector público vasco cobren la paga extraordinaria de diciembre de 2012, “así como respecto a las actuaciones con disposiciones que apliquen este criterio”, según acuerdo del Consejo de Ministros de fecha 30 de noviembre de 2012.</w:t>
      </w:r>
    </w:p>
    <w:p w:rsidR="00BE7FB3" w:rsidRDefault="00BE7FB3" w:rsidP="00BE7FB3">
      <w:pPr>
        <w:pStyle w:val="TextoNormal"/>
      </w:pPr>
    </w:p>
    <w:p w:rsidR="00BE7FB3" w:rsidRDefault="00BE7FB3" w:rsidP="00BE7FB3">
      <w:pPr>
        <w:pStyle w:val="TextoNormal"/>
      </w:pPr>
      <w:r>
        <w:t>El Abogado del Estado invocó el art. 161.2 CE, a fin de que se acordase la suspensión del precepto impugnado.</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Por providencia de 11 de diciembre de 2012 el Pleno del Tribunal Constitucional, a propuesta de la Sección Tercera, acordó admitir a trámite el conflicto positivo de competencia y dar traslado de la demanda y documentos presentados, por conducto de su Presidente, al Gobierno Vasco, al objeto de que en el plazo de veinte días aportase cuantos documentos de alegaciones considerase convenientes por medio de la representación procesal que determina el art. 82.2 de la Ley Orgánica del Tribunal Constitucional (LOTC). Asimismo se acordó lo siguiente: tener por invocado por el Gobierno el art. 161.2 CE, lo que, a su tenor y conforme dispone el art. 64.2 LOTC, ha producido la suspensión de la vigencia y aplicación de la decisión impugnada desde el día 5 diciembre 2012, fecha de interposición </w:t>
      </w:r>
      <w:r>
        <w:lastRenderedPageBreak/>
        <w:t>del conflicto; comunicar la incoación del conflicto a la Sala de lo Contencioso-Administrativo del Tribunal Superior de Justicia del País Vasco, por si ante la misma estuviera impugnado o se impugnara la citada decisión —en cuyo caso se suspendería el curso del proceso hasta la decisión del conflicto, según dispone el art. 61.2 LOTC—; y publicar la incoación del conflicto en el “Boletín Oficial del Estado” y en el “Boletín Oficial del País Vasco”.</w:t>
      </w:r>
    </w:p>
    <w:p w:rsidR="00BE7FB3" w:rsidRDefault="00BE7FB3" w:rsidP="00BE7FB3">
      <w:pPr>
        <w:pStyle w:val="TextoNormal"/>
      </w:pPr>
    </w:p>
    <w:p w:rsidR="00BE7FB3" w:rsidRDefault="00BE7FB3" w:rsidP="00BE7FB3">
      <w:pPr>
        <w:pStyle w:val="TextoNormal"/>
      </w:pPr>
      <w:r w:rsidRPr="00BE7FB3">
        <w:rPr>
          <w:rStyle w:val="NumeroAFNegritaCaracter"/>
        </w:rPr>
        <w:t>3</w:t>
      </w:r>
      <w:r>
        <w:t>. Por escrito de alegaciones registrado en este Tribunal Constitucional el día 15 de enero de 2013 el Letrado de los servicios jurídicos centrales de la Administración de la Comunidad Autónoma del País Vasco, en nombre del Gobierno Vasco, interesó la inadmisión del presente conflicto positivo de competencia, por estar planteado con carácter preventivo y anticipatorio y no tener, por lo tanto, objeto actual y determinado en el momento de su formulación, y, subsidiariamente, su desestimación, por ser el abono de la paga de Navidad en 2012 aplicación de lo establecido en la Ley 2/2011, de 13 diciembre, de presupuestos de Euskadi, y los arts. 77 y siguientes de la Ley de la función pública vasca 6/1989, de 6 julio, las cuales, en su opinión, no pueden ser desplazadas en su aplicación sin una previa declaración de inconstitucionalidad sobrevenida. Asimismo, para el caso de que este Tribunal considere de aplicación el art. 67 LOTC y tramite este procedimiento como un recurso de inconstitucionalidad, solicita la declaración de que el art. 2.1 y 2 del Real Decreto-ley 20/2012 se extralimita en el ejercicio de las competencias del Estado establecidas en el art. 149.1. 13 CE, pues invade competencias propias de la Comunidad Autónoma del País Vasco establecidas en el art. 148.1.1 CE, en relación con los arts. 10.2, 10.4, 40 y 44 h) del Estatuto de Autonomía del País Vasco. Por último, solicita que se deje sin efecto la suspensión que pesa sobre la ejecución de las disposiciones del art. 19 de la Ley 6/2011, de 23 diciembre, de presupuestos de Euskadi para 2012, y en los arts. 77 y 78 de la Ley 6/1989, de 6 julio, de la función pública vasca, a los efectos de que a los empleados públicos de la activa Administración general de la Comunidad Autónoma del País Vasco se les hagan efectivas de la manera que determine el Gobierno Vasco las retribuciones correspondientes a la paga de Navidad de 2012 que hayan devengado y dejado de percibir.</w:t>
      </w:r>
    </w:p>
    <w:p w:rsidR="00BE7FB3" w:rsidRDefault="00BE7FB3" w:rsidP="00BE7FB3">
      <w:pPr>
        <w:pStyle w:val="TextoNormal"/>
      </w:pPr>
    </w:p>
    <w:p w:rsidR="00BE7FB3" w:rsidRDefault="00BE7FB3" w:rsidP="00BE7FB3">
      <w:pPr>
        <w:pStyle w:val="TextoNormal"/>
      </w:pPr>
      <w:r w:rsidRPr="00BE7FB3">
        <w:rPr>
          <w:rStyle w:val="NumeroAFNegritaCaracter"/>
        </w:rPr>
        <w:t>4</w:t>
      </w:r>
      <w:r>
        <w:t>. El Pleno del Tribunal Constitucional, por sendas providencias de 12 de febrero de 2013, acordó, en primer lugar, denegar la solicitud de que el presente conflicto positivo de competencia sea tramitado en la forma prevista para los recursos de inconstitucionalidad, por no concurrir la exigencia, regulada en el art. 67 LOTC, de que la competencia controvertida en el conflicto de competencia haya sido atribuida por una ley o una norma con rango de ley; y, en segundo lugar, dar trámite de audiencia a las partes personadas —Abogado del Estado y Gobierno Vasco— para que, en el plazo de cinco días, expusieran lo que considerasen conveniente acerca del mantenimiento o levantamiento de la suspensión de la decisión impugnada en este conflicto positivo de competencia.</w:t>
      </w:r>
    </w:p>
    <w:p w:rsidR="00BE7FB3" w:rsidRDefault="00BE7FB3" w:rsidP="00BE7FB3">
      <w:pPr>
        <w:pStyle w:val="TextoNormal"/>
      </w:pPr>
    </w:p>
    <w:p w:rsidR="00BE7FB3" w:rsidRDefault="00BE7FB3" w:rsidP="00BE7FB3">
      <w:pPr>
        <w:pStyle w:val="TextoNormal"/>
      </w:pPr>
      <w:r w:rsidRPr="00BE7FB3">
        <w:rPr>
          <w:rStyle w:val="NumeroAFNegritaCaracter"/>
        </w:rPr>
        <w:t>5</w:t>
      </w:r>
      <w:r>
        <w:t xml:space="preserve">. El Abogado del Estado, con fecha 25 de febrero de 2013, evacuó el trámite conferido por la providencia de 12 de febrero de 2013 interesando el mantenimiento de la suspensión, por los motivos que, sintéticamente, se exponen a continuación. </w:t>
      </w:r>
    </w:p>
    <w:p w:rsidR="00BE7FB3" w:rsidRDefault="00BE7FB3" w:rsidP="00BE7FB3">
      <w:pPr>
        <w:pStyle w:val="TextoNormal"/>
      </w:pPr>
    </w:p>
    <w:p w:rsidR="00BE7FB3" w:rsidRDefault="00BE7FB3" w:rsidP="00BE7FB3">
      <w:pPr>
        <w:pStyle w:val="TextoNormal"/>
      </w:pPr>
      <w: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w:t>
      </w:r>
      <w:r>
        <w:lastRenderedPageBreak/>
        <w:t xml:space="preserve">los perjuicios de imposible o difícil reparación que se irrogan del mantenimiento o levantamiento de la suspensión. En ese sentido, recuerda que el mantenimiento de la suspensión requiere que el Gobierno de la Nación, a quien se debe la iniciativa, aporte y razone con detalle los argumentos que la justifiquen, pues debe partirse del principio de la presunción de constitucionalidad de las normas o actos objeto de conflicto (ATC 355/2007, de 24 de julio, y doctrina allí citada). </w:t>
      </w:r>
    </w:p>
    <w:p w:rsidR="00BE7FB3" w:rsidRDefault="00BE7FB3" w:rsidP="00BE7FB3">
      <w:pPr>
        <w:pStyle w:val="TextoNormal"/>
      </w:pPr>
    </w:p>
    <w:p w:rsidR="00BE7FB3" w:rsidRDefault="00BE7FB3" w:rsidP="00BE7FB3">
      <w:pPr>
        <w:pStyle w:val="TextoNormal"/>
      </w:pPr>
      <w:r>
        <w:t>En opinión del Abogado del Estado, la suspensión debe mantenerse porque, de acuerdo con la doctrina constitucional invocada, resulta prevalente el interés público ligado a la efectividad general de la medida de contención del déficit consistente en la supresión de la paga extraordinaria de diciembre de 2012. La erosión de aquella efectividad que fácticamente trae consigo la decisión del Gobierno Vasco causaría al interés general mucho mayores perjuicios que la percepción tardía de la citada paga extraordinaria, en el caso de que se desestimara la demanda de conflicto. Además, debe tomarse en consideración el interés de terceros, que sería el de los propios perceptores de la paga, si luego hubieran de devolverla.</w:t>
      </w:r>
    </w:p>
    <w:p w:rsidR="00BE7FB3" w:rsidRDefault="00BE7FB3" w:rsidP="00BE7FB3">
      <w:pPr>
        <w:pStyle w:val="TextoNormal"/>
      </w:pPr>
    </w:p>
    <w:p w:rsidR="00BE7FB3" w:rsidRDefault="00BE7FB3" w:rsidP="00BE7FB3">
      <w:pPr>
        <w:pStyle w:val="TextoNormal"/>
      </w:pPr>
      <w:r>
        <w:t xml:space="preserve">En desarrollo de las alegaciones expuestas, el Abogado del Estado justifica a continuación la prevalencia del interés público ligado a la medida general de contención del déficit, así como el perjuicio reparable sobre su efectividad general si se levanta la suspensión. Para ello enumera la reiterada doctrina constitucional que declara la prevalencia del interés público ligado a la efectividad de una medida general de contención del déficit respecto a la percepción de ciertas retribuciones por parte de los empleados en el sector público (así, los AATC 885/1988, de 5 de julio, FJ único; 897/1988, de 13 de julio, FJ único, hasta otros más recientes, como el 87/2012, de 10 de mayo, FJ 3). </w:t>
      </w:r>
    </w:p>
    <w:p w:rsidR="00BE7FB3" w:rsidRDefault="00BE7FB3" w:rsidP="00BE7FB3">
      <w:pPr>
        <w:pStyle w:val="TextoNormal"/>
      </w:pPr>
    </w:p>
    <w:p w:rsidR="00BE7FB3" w:rsidRDefault="00BE7FB3" w:rsidP="00BE7FB3">
      <w:pPr>
        <w:pStyle w:val="TextoNormal"/>
      </w:pPr>
      <w:r>
        <w:t>En el actual contexto económico financiero se ha robustecido incluso la necesidad de protección cautelar del citado interés público, así, el ATC 161/2011, de 22 de noviembre (en referencia, sin duda, al ATC 160/2011, de la misma fecha), FJ 3, que subraya la trascendencia cautelar que alcanzan los objetivos de la “ reducción del déficit público y el aseguramiento de la sostenibilidad fiscal a largo plazo, aspectos ambos intrínsecamente relacionados con la consecución de la estabilidad económica, objetivo macroeconómico auspiciado por el art. 40.1 CE —a lo que indiscutiblemente puede contribuir la gradual recuperación del equilibrio presupuestario— y con la propia garantía del principio de estabilidad presupuestaria, conforme establece el art. 135 CE tras la reciente reforma de este precepto (reforma de 27 de septiembre de 2011)”. Como soporte de esta alegación, se acompaña copia del epígrafe III.2, “Medidas de ajuste fiscal. 2. Medidas de reordenación y racionalización de las Administraciones Públicas”, páginas 26 a 29, del plan presupuestario 2013-2014, aprobado por el Consejo de Ministros de 3 de agosto de 2012 y remitido a la Comisión Europea, en donde se acredita que la principal medida de contención del gasto para el ejercicio 2012 resulta precisamente de la supresión de la paga extraordinaria de diciembre de 2012 (que representa el 96 por 100 del total), una medida por otra parte que está exclusivamente limitada a 2012, pues para 2013 y 2014 las principales medidas de contención del gasto se centran en la congelación de la oferta de empleo público y en la supresión de los días de libre disposición y de los días adicionales de vacaciones por razón de antigüedad. Estas medidas responden a una recomendación del ECOFIN, han sido evaluadas positivamente por la Comisión Europea, el ECOFIN y el FMI, y son objeto de seguimiento por los organismos internacionales.</w:t>
      </w:r>
    </w:p>
    <w:p w:rsidR="00BE7FB3" w:rsidRDefault="00BE7FB3" w:rsidP="00BE7FB3">
      <w:pPr>
        <w:pStyle w:val="TextoNormal"/>
      </w:pPr>
    </w:p>
    <w:p w:rsidR="00BE7FB3" w:rsidRDefault="00BE7FB3" w:rsidP="00BE7FB3">
      <w:pPr>
        <w:pStyle w:val="TextoNormal"/>
      </w:pPr>
      <w:r>
        <w:lastRenderedPageBreak/>
        <w:t>Asimismo, se afirma en el escrito del Abogado del Estado que el levantamiento de la suspensión supondría erosionar la efectividad de la medida de contención del déficit contenida en el art. 2 del Real Decreto-Ley 20/2012, de 13 de julio, y su credibilidad y favorable recepción internacional, especialmente en las instituciones de la Unión Europea. Con independencia de que, en virtud de su singular régimen financiero, la Comunidad Autónoma del País Vasco pudiera permitirse abonar la paga extraordinaria en diciembre de 2012, financieramente hablando, se afirma que las medidas generales de dirección económica han de regir por igual en todo el territorio del Estado, como ha sostenido este Tribunal en el ATC 381/1993, FJ 3, pues la necesaria coherencia de la política económica exige decisiones unitarias que aseguren un tratamiento uniforme de determinados problemas en orden a la consecución de dichos objetivos y evite que, dada la estrecha interdependencia de las actuaciones llevadas a cabo en las distintas partes del territorio nacional, se produzca un resultado disfuncional y disgregador. Si cupiera hacer caso omiso de las medidas económicas tomadas por las instituciones centrales atendiendo la propia singular situación financiera de cada Comunidad Autónoma o ayuntamiento, resultaría imposible dotarlos de generalidad o, peor aún, sería impredecible cuál sería su efectivo alcance territorial como ya viene señalando este Tribunal en los Autos de 1988 anteriormente citados. Frente a tan grave daño al interés público, sólo se alza el muy limitado perjuicio que se seguiría para los trabajadores del sector público vasco derivado del retraso en percibir la paga, en el caso de que la Sentencia que ponga fin al presente conflicto sea desfavorable para el Gobierno que lo ha promovido.</w:t>
      </w:r>
    </w:p>
    <w:p w:rsidR="00BE7FB3" w:rsidRDefault="00BE7FB3" w:rsidP="00BE7FB3">
      <w:pPr>
        <w:pStyle w:val="TextoNormal"/>
      </w:pPr>
    </w:p>
    <w:p w:rsidR="00BE7FB3" w:rsidRDefault="00BE7FB3" w:rsidP="00BE7FB3">
      <w:pPr>
        <w:pStyle w:val="TextoNormal"/>
      </w:pPr>
      <w:r>
        <w:t xml:space="preserve">Por lo que la incidencia de levantamiento de la suspensión sobre la efectividad del art. 2.4 del Real Decreto-ley 20/2012 se refiere, el Abogado del Estado sostiene que el interés bien entendido de los propios trabajadores afectados está mejor servido con el mantenimiento de la suspensión que con su levantamiento. Esta afirmación se basa en la cita de los AATC 381/1993, FJ 2; y 87/2012, FJ 4, en donde se recuerda el quebranto que se produciría en caso de declararse nula la decisión objeto de conflicto, en que los perceptores deberían restituir lo percibido en exceso, dando lugar mientras tanto a una situación de incertidumbre que debe evitarse y que, por cierto, se extiende también a la Administración pública acreedora de la restitución dado el número de incidencias posibles (fallecimientos, cambios de situación, etc.) que pueden dificultar su ejecución. Por el contrario, continúan estos AATC, los efectos del mantenimiento de la suspensión serían de menor entidad y más fácilmente reparables en caso de que posteriormente se declarara que la competencia corresponde a la Comunidad Autónoma, pues en tal hipótesis el personal afectado percibiría las atribuciones establecidas con carácter general y el eventual perjuicio podría repararse mediante el abono de la paga extraordinaria una vez que se dicte la Sentencia por este Tribunal. En consecuencia, también desde ese otro punto de vista procede mantener la suspensión. </w:t>
      </w:r>
    </w:p>
    <w:p w:rsidR="00BE7FB3" w:rsidRDefault="00BE7FB3" w:rsidP="00BE7FB3">
      <w:pPr>
        <w:pStyle w:val="TextoNormal"/>
      </w:pPr>
    </w:p>
    <w:p w:rsidR="00BE7FB3" w:rsidRDefault="00BE7FB3" w:rsidP="00BE7FB3">
      <w:pPr>
        <w:pStyle w:val="TextoNormal"/>
      </w:pPr>
      <w:r>
        <w:t>Se hace mención, por el Abogado del Estado, en último término, a que las cantidades derivadas de la supresión de la paga extraordinaria y de las pagas adicionales de complemento específico o pagas adicionales equivalentes se destinan a realizar aportaciones a planes de pensiones o contratos de seguro colectivo que cubran la jubilación en los términos que determinen las correspondientes leyes de presupuestos, de conformidad con el apartado 4 del art. 2 del Real Decreto-ley 20/2012. A juicio del Abogado del Estado, el levantamiento de la suspensión equivaldría a la virtual suspensión para el País Vasco de la vigencia de este precepto, puesto que el abono de la paga suprimida sólo puede tener por efecto el entender inaplicable lo dispuesto en el art. 2.4 del Real Decreto-ley 20/2012, precepto con fuerza de ley ajeno al objeto de este conflicto de competencia.</w:t>
      </w:r>
    </w:p>
    <w:p w:rsidR="00BE7FB3" w:rsidRDefault="00BE7FB3" w:rsidP="00BE7FB3">
      <w:pPr>
        <w:pStyle w:val="TextoNormal"/>
      </w:pPr>
    </w:p>
    <w:p w:rsidR="00BE7FB3" w:rsidRDefault="00BE7FB3" w:rsidP="00BE7FB3">
      <w:pPr>
        <w:pStyle w:val="TextoNormal"/>
      </w:pPr>
      <w:r w:rsidRPr="00BE7FB3">
        <w:rPr>
          <w:rStyle w:val="NumeroAFNegritaCaracter"/>
        </w:rPr>
        <w:t>6</w:t>
      </w:r>
      <w:r>
        <w:t xml:space="preserve">. El día uno de marzo de 2013 la representación procesal de la Administración de la Comunidad Autónoma del País Vasco solicita el levantamiento de la suspensión, al menos parcialmente respecto de la parte proporcional de paga extraordinaria correspondiente a los 14 días del mes de julio de 2012 devengados con anterioridad a la entrada en vigor del Real Decreto-ley 20/2012, y subsidiariamente, para el caso de que no se acuerde levantar la suspensión, total o parcialmente, se indique el criterio a seguir respecto de los pagos realizados antes de que el Tribunal adoptara la medida cautelar suspensiva. Estas peticiones se basan en las alegaciones que, sintéticamente, a continuación se exponen. </w:t>
      </w:r>
    </w:p>
    <w:p w:rsidR="00BE7FB3" w:rsidRDefault="00BE7FB3" w:rsidP="00BE7FB3">
      <w:pPr>
        <w:pStyle w:val="TextoNormal"/>
      </w:pPr>
    </w:p>
    <w:p w:rsidR="00BE7FB3" w:rsidRDefault="00BE7FB3" w:rsidP="00BE7FB3">
      <w:pPr>
        <w:pStyle w:val="TextoNormal"/>
      </w:pPr>
      <w:r>
        <w:t>En primer lugar se exponen razones para valorar como más dañoso para los legítimos intereses en juego el eventual mantenimiento de la suspensión acordada sobre la paga extra de Navidad, que el levantamiento de la medida hasta que se determine la correcta interpretación de los títulos que atribuyen competencia tanto al Gobierno de la Nación como al Gobierno de la Comunidad Autónoma del País Vasco. Para la representación procesal de la Comunidad Autónoma, tras aludir a la doctrina consolidada de este Tribunal sobre la necesidad de ponderar los intereses en juego para decidir sobre el levantamiento o mantenimiento de la medida de suspensión, recuerda que para el Gobierno de la Nación la suspensión de la norma en conflicto viene justificada por el objetivo general de estabilidad presupuestaria para el año natural 2012, objetivo principal del Real Decreto-ley 20/2012. Sin embargo, ese principio de estabilidad presupuestaria ya había sido aplicado por la Comunidad Autónoma del País Vasco en su Ley de presupuestos para 2012: el Gobierno de la Nación ya había acordado en ese momento el tope del déficit del 1,5 por 100 del PIB para la Comunidad Autónoma del País Vasco y las previsiones del Gobierno Vasco y del Ministerio de Hacienda y Administraciones Públicas apuntaban a su cumplimiento, como acredita el hecho de que la Comunidad Autónoma del País Vasco no haya acudido al rescate del fondo de liquidez autonómica precisamente por gozar de estabilidad presupuestaria.</w:t>
      </w:r>
    </w:p>
    <w:p w:rsidR="00BE7FB3" w:rsidRDefault="00BE7FB3" w:rsidP="00BE7FB3">
      <w:pPr>
        <w:pStyle w:val="TextoNormal"/>
      </w:pPr>
    </w:p>
    <w:p w:rsidR="00BE7FB3" w:rsidRDefault="00BE7FB3" w:rsidP="00BE7FB3">
      <w:pPr>
        <w:pStyle w:val="TextoNormal"/>
      </w:pPr>
      <w:r>
        <w:t>Por otra parte, el efecto pretendido con la medida sobre el déficit de 2012 ya se habría producido por la suspensión de la efectividad, ya que el levantamiento no tendría efectos reales sobre el presupuesto 2012 sino, en su caso, respecto de 2013, por hacerse efectivo en un nuevo curso presupuestario, permitiendo las nuevas perspectivas para este año un tratamiento menos apremiante de la cuestión, de manera que el levantamiento de la suspensión en nada perjudica a la decisión que en su momento ha de tomar el Tribunal Constitucional en el presente conflicto de competencia. Desde el punto de vista de los particulares afectados, la merma de sus ingresos supone un empobrecimiento real y un perjuicio actual, perjuicio que debe ser ponderado prudencialmente por este Tribunal. Por último se afirma que para decidir el mantenimiento o no de una suspensión no basta con la mera invocación de los perjuicios sino que es preciso demostrar o, al menos, razonar consistentemente su procedencia y la imposible o difícil reparación de los mismos, partiendo del principio de presunción de constitucionalidad de las normas.</w:t>
      </w:r>
    </w:p>
    <w:p w:rsidR="00BE7FB3" w:rsidRDefault="00BE7FB3" w:rsidP="00BE7FB3">
      <w:pPr>
        <w:pStyle w:val="TextoNormal"/>
      </w:pPr>
    </w:p>
    <w:p w:rsidR="00BE7FB3" w:rsidRDefault="00BE7FB3" w:rsidP="00BE7FB3">
      <w:pPr>
        <w:pStyle w:val="TextoNormal"/>
      </w:pPr>
      <w:r>
        <w:t xml:space="preserve">A continuación, se hace una consideración especial sobre los catorce días del mes de julio ya devengados a la entrada en vigor del Real Decreto-ley 20/2012, y sus efectos sobre la parte proporcional de la paga correspondiente. Sobre este concreto particular, la representación procesal de la Comunidad Autónoma del País Vasco considera, a partir de lo resuelto por la Sentencia 1133/2012, de 14 diciembre de 2012, de la Sala de lo Social del </w:t>
      </w:r>
      <w:r>
        <w:lastRenderedPageBreak/>
        <w:t>Tribunal Superior de Justicia de Madrid (Sección Quinta), en relación con el personal laboral al servicio de la Administración, y del informe anual del Defensor del Pueblo para 2012, presentado en el Congreso de los Diputados, que en el presente caso nos encontramos con un devengo cierto y efectivo, no meramente eventual, y con un derecho de dimensión económica de los que están protegidos por la interdicción de la retroactividad (STC 199/1990), por lo que se debería restringir su aplicación a la cuantía no devengada de la misma, referida al momento en que se publicó la medida.</w:t>
      </w:r>
    </w:p>
    <w:p w:rsidR="00BE7FB3" w:rsidRDefault="00BE7FB3" w:rsidP="00BE7FB3">
      <w:pPr>
        <w:pStyle w:val="TextoNormal"/>
      </w:pPr>
    </w:p>
    <w:p w:rsidR="00BE7FB3" w:rsidRDefault="00BE7FB3" w:rsidP="00BE7FB3">
      <w:pPr>
        <w:pStyle w:val="TextoNormal"/>
      </w:pPr>
      <w:r>
        <w:t>Expuesto lo anterior, y dado que la Administración abonó total o parcialmente a determinado personal funcionario laboral la paga extra antes de que dicha para quedar en suspenso, se solicita subsidiariamente que este Tribunal Constitucional establezca criterio sobre el proceder respecto de los referidos pagos realizados con anterioridad a la salida suspensión.</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objeto de la presente Resolución consiste en determinar si procede levantar o mantener la suspensión de la vigencia que afecta a la decisión del Gobierno Vasco, de fecha indeterminada, por la que se acuerda que los trabajadores del sector público vasco cobren la paga extraordinaria de diciembre de 2012. La aplicación de este precepto fue suspendida como consecuencia de la invocación del art. 161.2 CE, al promoverse el conflicto de competencia contra el mismo por el Gobierno de la Nación.</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La representación procesal de la Administración de la Comunidad Autónoma del País Vasco ha solicitado el levantamiento anticipado de la suspensión sin esperar al transcurso del límite máximo de los cinco meses previsto en el art. 161.2 CE, petición que es procedente atender en cuanto a la apertura y tramitación del incidente por ser potestad de este Tribunal la de ratificar o levantar la suspensión dentro de ese plazo (al respecto, AATC 75/2010, de 30 de junio, FJ 2; 108/2011, de 5 de julio, FJ 2). Para tomar la decisión es necesario, según reiterada doctrina,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valoración que ha de efectuarse mediante el estricto examen de las situaciones de hecho creadas y al margen de la viabilidad de las pretensiones que se formulen en la demanda. </w:t>
      </w:r>
    </w:p>
    <w:p w:rsidR="00BE7FB3" w:rsidRDefault="00BE7FB3" w:rsidP="00BE7FB3">
      <w:pPr>
        <w:pStyle w:val="TextoNormal"/>
      </w:pPr>
    </w:p>
    <w:p w:rsidR="00BE7FB3" w:rsidRDefault="00BE7FB3" w:rsidP="00BE7FB3">
      <w:pPr>
        <w:pStyle w:val="TextoNormal"/>
      </w:pPr>
      <w:r>
        <w:t>El mantenimiento de la suspensión requiere que el Gobierno de la Nación, a quien se debe la iniciativa como parte actora de este procedimiento, aporte y razone con detalle los argumentos que la justifiquen, pues debe partirse en principio de la presunción de constitucionalidad de las normas objeto de recurso (por todos, AATC 24/2011, de 3 de marzo, FJ 2; y 108/2011, de 5 de julio, FJ 2).</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El Abogado del Estado, tras ponderar los intereses implicados, interesa el mantenimiento de la suspensión de la decisión recurrida, fundamentando su petición esencialmente en el carácter prevalente del interés público que se liga a la efectividad general de la medida de contención del déficit en que consiste la supresión de la paga extraordinaria de diciembre de 2012, la cual representa el 96 por 100 del total de contención del gasto público para dicho </w:t>
      </w:r>
      <w:r>
        <w:lastRenderedPageBreak/>
        <w:t>ejercicio, y en el efecto desfavorable que el levantamiento de la medida tendría para la credibilidad internacional de España, especialmente ante las instituciones de la Unión Europea, pues la necesaria coherencia de la política económica exige decisiones unitarias, dada la interdependencia de las actuaciones llevadas a cabo en las distintas partes del territorio nacional y la imposibilidad de dotar de generalidad a estas medidas si cupiera hacer caso omiso de ellas atendiendo a la propia situación singular financiera de cada Comunidad Autónoma. Por último, el Abogado del Estado aduce que el levantamiento de la medida generaría mayores perjuicios que la percepción tardía de la citada paga extraordinaria por los empleados del sector público vasco, en caso de que posteriormente se declarara que la competencia corresponde a la Comunidad Autónoma, y también que equivaldría a la virtual suspensión para el País Vasco de la vigencia del art. 2.4 del Real Decreto-ley 20/2012, precepto en vigor y con fuerza de ley, ajeno al objeto de este conflicto de competencia.</w:t>
      </w:r>
    </w:p>
    <w:p w:rsidR="00BE7FB3" w:rsidRDefault="00BE7FB3" w:rsidP="00BE7FB3">
      <w:pPr>
        <w:pStyle w:val="TextoNormal"/>
      </w:pPr>
    </w:p>
    <w:p w:rsidR="00BE7FB3" w:rsidRDefault="00BE7FB3" w:rsidP="00BE7FB3">
      <w:pPr>
        <w:pStyle w:val="TextoNormal"/>
      </w:pPr>
      <w:r>
        <w:t>Por su parte, la representación procesal de la Comunidad Autónoma del País Vasco solicita el levantamiento de la suspensión en virtud de la presunción de legitimidad de la que gozaría la decisión impugnada, al menos parcialmente respecto de la parte proporcional de la paga extraordinaria correspondiente a los catorce días del mes de julio de 2012 devengados con anterioridad a la entrada en vigor del Real Decreto-ley 20/2012; y, de no acordarse el levantamiento de la suspensión, solicita subsidiariamente que se indique el criterio a seguir respecto a los pagos realizados antes de que este Tribunal adoptara la medida cautelar suspensiva. En apoyo de su petición, alega que el mantenimiento de la suspensión es más dañoso que su levantamiento, que el principio de estabilidad presupuestaria que sirve de fundamento para su adopción ya había sido aplicado por el País Vasco en su Ley de presupuestos para 2012, que el levantamiento de la medida no tendría efectos reales sobre el presupuesto de 2012 al tener que hacerse efectivo en 2013, y asimismo señala el perjuicio actual que supone para los empleados del sector público vasco la suspensión de la paga extraordinaria así como la falta de consistencia de los razonamientos del Abogado del Estado a favor de su mantenimiento.</w:t>
      </w:r>
    </w:p>
    <w:p w:rsidR="00BE7FB3" w:rsidRDefault="00BE7FB3" w:rsidP="00BE7FB3">
      <w:pPr>
        <w:pStyle w:val="TextoNormal"/>
      </w:pPr>
    </w:p>
    <w:p w:rsidR="00BE7FB3" w:rsidRDefault="00BE7FB3" w:rsidP="00BE7FB3">
      <w:pPr>
        <w:pStyle w:val="TextoNormal"/>
      </w:pPr>
      <w:r w:rsidRPr="00BE7FB3">
        <w:rPr>
          <w:rStyle w:val="NumeroAFNegritaCaracter"/>
        </w:rPr>
        <w:t>4</w:t>
      </w:r>
      <w:r>
        <w:t>. Una vez expuestos sucintamente los perjuicios a los intereses particulares y generales que cada una de las partes plantea que pueden producirse si se mantiene o se alza la suspensión previamente acordada por el Tribunal, procede que realicemos la ponderación propia de este incidente cautelar, atendiendo a la determinación de las consecuencias que podrían derivarse del alzamiento o mantenimiento de la suspensión.</w:t>
      </w:r>
    </w:p>
    <w:p w:rsidR="00BE7FB3" w:rsidRDefault="00BE7FB3" w:rsidP="00BE7FB3">
      <w:pPr>
        <w:pStyle w:val="TextoNormal"/>
      </w:pPr>
    </w:p>
    <w:p w:rsidR="00BE7FB3" w:rsidRDefault="00BE7FB3" w:rsidP="00BE7FB3">
      <w:pPr>
        <w:pStyle w:val="TextoNormal"/>
      </w:pPr>
      <w:r>
        <w:t>Con ese propósito, debe resaltarse que la decisión objeto del presente conflicto de competencias se ha justificado en que la suspensión de la paga extraordinaria de Navidad era injusta en “el fondo y en la forma”, que afecta a la prestación de los servicios públicos, amén de tener un impacto “dudoso” sobre el déficit, dado que lo que se ahorra por un lado se pierde por la menor recaudación del Estado por vía de impuesto sobre la renta o sobre el valor añadido, y que el Real Decreto-ley 20/2012 invade competencias autonómicas, prevaleciendo, en caso de colisión, la normativa vasca.</w:t>
      </w:r>
    </w:p>
    <w:p w:rsidR="00BE7FB3" w:rsidRDefault="00BE7FB3" w:rsidP="00BE7FB3">
      <w:pPr>
        <w:pStyle w:val="TextoNormal"/>
      </w:pPr>
    </w:p>
    <w:p w:rsidR="00BE7FB3" w:rsidRDefault="00BE7FB3" w:rsidP="00BE7FB3">
      <w:pPr>
        <w:pStyle w:val="TextoNormal"/>
      </w:pPr>
      <w:r>
        <w:t xml:space="preserve">Por lo que a este incidente respecta, conviene tener también presente que, ante la situación de crisis económica que afecta a nuestro país, el Estado ha venido adoptando una serie de medidas legislativas para abordarla, entre las que se encuentra precisamente el Real Decreto-ley 20/2012, de 13 de julio, de acuerdo con cuyo artículo 2 el personal del sector público, sea funcionario o laboral, “no percibirá en el mes de diciembre las cantidades a que </w:t>
      </w:r>
      <w:r>
        <w:lastRenderedPageBreak/>
        <w:t xml:space="preserve">se refiere el art. 22.Cinco.2 de la Ley 2/2012, de 29 de junio, de Presupuestos Generales del Estado para el año 2012 en concepto de sueldo y trienios”, ni tampoco “las cuantías correspondientes al resto de los conceptos retributivos que integran tanto la paga extraordinaria como la paga adicional de complemento específico o pagas adicionales equivalentes del mes de diciembre”. El objetivo declarado de esta norma —que se encuentra directamente relacionada con la decisión del Gobierno Vasco ahora suspendida—, es la reducción del déficit público a través de la contención de los gastos de personal en el sector público, pero sin menoscabar la prestación de servicios públicos esenciales. En este sentido, se afirma en su exposición de motivos que el proceso de consolidación fiscal y de sostenibilidad de las cuentas públicas exige de las Administraciones públicas continuar adoptando una serie de medidas extraordinarias y urgentes, “dirigidas a racionalizar y reducir el gasto de personal de las Administraciones Públicas y a incrementar la eficiencia de su gestión”. Se trata de acometer una serie de reformas de necesidad extraordinaria, dada la naturaleza de la crisis económica actual y la urgencia de llevar a cabo las reformas estructurales que contribuyan a reforzar la garantía de cumplimiento de los compromisos adquiridos por España en materia de gasto público y déficit, así como la mejora de la eficiencia, productividad y competitividad de nuestra economía. Todos estos aspectos se relacionan con el fin de promover la estabilidad económica y el equilibrio fiscal, objetivo macroeconómico auspiciado por el art. 40.1 CE, a lo que indiscutiblemente puede contribuir la gradual recuperación del equilibrio presupuestario (sobre este último aspecto, SSTC 237/1992, FJ 3; y 62/2001, FJ 4), y que se integra en las recomendaciones específicas formuladas por el Consejo Europeo a España en el mes de junio. </w:t>
      </w:r>
    </w:p>
    <w:p w:rsidR="00BE7FB3" w:rsidRDefault="00BE7FB3" w:rsidP="00BE7FB3">
      <w:pPr>
        <w:pStyle w:val="TextoNormal"/>
      </w:pPr>
    </w:p>
    <w:p w:rsidR="00BE7FB3" w:rsidRDefault="00BE7FB3" w:rsidP="00BE7FB3">
      <w:pPr>
        <w:pStyle w:val="TextoNormal"/>
      </w:pPr>
      <w:r>
        <w:t>Pocas dudas hay, desde una mera perspectiva cautelar, de que con la medida consistente en la supresión de la paga extraordinaria de diciembre para los empleados públicos el Estado ha tomado una decisión de política económica general expresiva de la voluntad de contención del gasto público, con la que pretende, como señala la propia exposición de motivos del Real Decreto-ley 20/2012, no sólo “el diseño de una estrategia de política económica que contenga los elementos adecuados en el presente contexto, sino también su articulación a medio plazo de un modo verosímil y capaz de concitar la credibilidad de los mercados financieros”, que garantice el cumplimiento de nuestros compromisos fiscales dentro del marco del déficit establecido por la Unión Europea, y que se recupere la confianza y el crédito de las Administraciones públicas españolas.</w:t>
      </w:r>
    </w:p>
    <w:p w:rsidR="00BE7FB3" w:rsidRDefault="00BE7FB3" w:rsidP="00BE7FB3">
      <w:pPr>
        <w:pStyle w:val="TextoNormal"/>
      </w:pPr>
    </w:p>
    <w:p w:rsidR="00BE7FB3" w:rsidRDefault="00BE7FB3" w:rsidP="00BE7FB3">
      <w:pPr>
        <w:pStyle w:val="TextoNormal"/>
      </w:pPr>
      <w:r w:rsidRPr="00BE7FB3">
        <w:rPr>
          <w:rStyle w:val="NumeroAFNegritaCaracter"/>
        </w:rPr>
        <w:t>5</w:t>
      </w:r>
      <w:r>
        <w:t xml:space="preserve">. Debe partirse de la premisa de que no es objeto del presente incidente resolver sobre la conformidad o no con el orden constitucional de competencias de la decisión del Gobierno autonómico del País Vasco discutida en el presente conflicto, ni tampoco prejuzgar la constitucionalidad de la supresión de la paga extraordinaria de diciembre de los empleados del sector público por el Real Decreto-ley 20/2012, cuestión sobre la cual está pendiente ante este Tribunal un recurso de inconstitucionalidad promovido por la propia Comunidad Autónoma vasca, sino tan sólo establecer la procedencia del mantenimiento o del levantamiento de la suspensión de la medida impugnada, de acuerdo con la ponderación que exige la doctrina constitucional para este tipo de decisiones. </w:t>
      </w:r>
    </w:p>
    <w:p w:rsidR="00BE7FB3" w:rsidRDefault="00BE7FB3" w:rsidP="00BE7FB3">
      <w:pPr>
        <w:pStyle w:val="TextoNormal"/>
      </w:pPr>
    </w:p>
    <w:p w:rsidR="00BE7FB3" w:rsidRDefault="00BE7FB3" w:rsidP="00BE7FB3">
      <w:pPr>
        <w:pStyle w:val="TextoNormal"/>
      </w:pPr>
      <w:r>
        <w:t xml:space="preserve">Hecha esta precisión sobre los límites del debate procesal en el presente incidente, es cierto también que el levantamiento de la medida de suspensión podría poner en peligro, como señala el Abogado del Estado, la efectividad de una medida de política económica general relacionada con el conjunto de la política estatal encaminada a lograr la contención </w:t>
      </w:r>
      <w:r>
        <w:lastRenderedPageBreak/>
        <w:t>del déficit y endeudamiento públicos, con las correlativas e indeseables consecuencias que, en el contexto de la actual situación económica y financiera, pudieran generarse para el conjunto de la economía española y, en especial para el equilibrio financiero de las cuentas públicas. Como ha establecido ya este Tribunal, la adopción de decisiones unitarias en materia de política económica es una consecuencia de la necesidad de dar un tratamiento uniforme a determinados problemas en orden a la consecución de objetivos de interés general y de evitar que, dada la estrecha interdependencia de las actuaciones llevadas a cabo en las distintas partes del territorio nacional, se produzca un resultado disfuncional y disgregador (en tal sentido, STC 186/1988, de 17 de octubre, FJ 2; y ATC 108/2011, FJ 5). En efecto, este Tribunal ha entendido que el establecimiento de límites a las retribuciones de los funcionarios debe analizarse desde la perspectiva de los arts. 149.1.13 y 156.1CE, pues dichos límites se vinculan directamente “con la fijación de la política económica general por parte del Estado” (STC 96/1990, de 24 de mayo, FJ 3), por cuanto se trata de una medida dirigida a contener la expansión relativa de uno de los componentes esenciales del gasto público (STC 63/1986, de 21 de mayo, FJ 11), “puesto que la incidencia en la autonomía financiera y presupuestaria de las Comunidades Autónomas está directamente relacionada con la responsabilidad del Estado de garantizar el equilibrio económico general” (STC 148/2006, FJ 6; y SSTC 171/1996, de 30 de octubre, FJ 2; y 103/1997, de 22 de mayo FJ 1).</w:t>
      </w:r>
    </w:p>
    <w:p w:rsidR="00BE7FB3" w:rsidRDefault="00BE7FB3" w:rsidP="00BE7FB3">
      <w:pPr>
        <w:pStyle w:val="TextoNormal"/>
      </w:pPr>
    </w:p>
    <w:p w:rsidR="00BE7FB3" w:rsidRDefault="00BE7FB3" w:rsidP="00BE7FB3">
      <w:pPr>
        <w:pStyle w:val="TextoNormal"/>
      </w:pPr>
      <w:r>
        <w:t>En definitiva, es cierto que con el mantenimiento de la suspensión se evitarían perjuicios para la eficacia de las medidas económicas generales adoptadas por el Estado en materia de contención del endeudamiento público, resultando, por tanto, que en la ponderación de los intereses en juego el mantenimiento de la suspensión aparece como lo más conveniente para los intereses generales. Se trata pues de una decisión que, en unión con otras igualmente adoptadas por el Estado, trata de contener el crecimiento del endeudamiento público mediante la aplicación de un criterio de rigor presupuestario que permita dar estabilidad a las cuentas públicas del conjunto del Estado español, a fin de responder a la actual situación de desconfianza en la deuda soberana de la zona euro. Sobre este particular, el Abogado del Estado aduce diversas resoluciones de este Tribunal Constitucional en la que se pone de manifiesto la trascendencia del interés público ligado a la efectividad de una medida general de política económica respecto a la percepción de ciertas retribuciones por parte del empleados del sector público, objetivos que en efecto se ven reforzados por el objetivo macroeconómico de obtener la estabilidad presupuestaria, auspiciados por los arts. 40.1 y 135 CE (ATC 160/2011, de 22 de noviembre, FJ 3).</w:t>
      </w:r>
    </w:p>
    <w:p w:rsidR="00BE7FB3" w:rsidRDefault="00BE7FB3" w:rsidP="00BE7FB3">
      <w:pPr>
        <w:pStyle w:val="TextoNormal"/>
      </w:pPr>
    </w:p>
    <w:p w:rsidR="00BE7FB3" w:rsidRDefault="00BE7FB3" w:rsidP="00BE7FB3">
      <w:pPr>
        <w:pStyle w:val="TextoNormal"/>
      </w:pPr>
      <w:r w:rsidRPr="00BE7FB3">
        <w:rPr>
          <w:rStyle w:val="NumeroAFNegritaCaracter"/>
        </w:rPr>
        <w:t>6</w:t>
      </w:r>
      <w:r>
        <w:t xml:space="preserve">. Desde el punto de vista del juicio de proporcionalidad inherente a la ponderación sobre la procedencia del mantenimiento de una medida de suspensión acordada al amparo del art. 161.2 CE, y en relación con los intereses aducidos por la representación procesal de la Administración de la Comunidad Autónoma del País Vasco, no se puede calificar de excesivo o desproporcionado mantener la suspensión de la decisión objeto del presente procedimiento en relación con la finalidad que la misma persigue. Sin perjuicio del hecho de reconocer que la disposición contenida en el art. 2 del Real Decreto-ley 20/2012 implica la imposición de un sacrificio, desde el punto de vista retributivo, a todos los empleados públicos, no es menos cierto que, como afirma el Abogado del Estado en su escrito de alegaciones, la eficacia de la medida, tanto en el plano material de contribuir a la reducción del déficit público del año 2012 como en el de la credibilidad internacional de España como nación que cumple sus compromisos financieros se revela como de suficiente entidad como para justificar el mantenimiento de la medida hasta la decisión final del presente proceso, de </w:t>
      </w:r>
      <w:r>
        <w:lastRenderedPageBreak/>
        <w:t>forma prevalente a los intereses particulares que aduce la Comunidad Autónoma del país Vasco. En efecto, el levantamiento de la medida de suspensión tendría efectos desfavorables desde el punto de vista de la necesaria coherencia de la política económica del Estado, que exige un carácter unitario y uniforme para la consecución de sus objetivos, evitándose con su mantenimiento la consecuencia extravagante de generar situaciones de desigualdad a favor de los empleados del denominado “sector público vasco” con respecto al resto de los empleados públicos de las diferentes Administraciones del Estado, pues coloca a aquéllos en una situación de ventaja retributiva por inaplicación de una norma vigente que les es vinculante —nos referimos, por supuesto, al Real Decreto-ley 20/2012— durante la pendencia de este procedimiento, cuya reparación, en caso de una eventual estimación del presente conflicto de competencia, sería más compleja y gravosa que la de una hipotética declaración de que la competencia corresponde a la Comunidad Autónoma Vasca.</w:t>
      </w:r>
    </w:p>
    <w:p w:rsidR="00BE7FB3" w:rsidRDefault="00BE7FB3" w:rsidP="00BE7FB3">
      <w:pPr>
        <w:pStyle w:val="TextoNormal"/>
      </w:pPr>
    </w:p>
    <w:p w:rsidR="00BE7FB3" w:rsidRDefault="00BE7FB3" w:rsidP="00BE7FB3">
      <w:pPr>
        <w:pStyle w:val="TextoNormal"/>
      </w:pPr>
      <w:r>
        <w:t>No puede admitirse acreditado que el mantenimiento de la suspensión acordada sobre la paga extra de diciembre sea más gravoso que el levantamiento de la medida, ni que la Comunidad Autónoma Vasca ya habría aplicado el principio de estabilidad presupuestaria en su Ley de presupuestos para 2012 y, por otro lado, que el efecto pretendido con la medida ya se habría producido, ya que el levantamiento de la medida tendría efectos en 2013 y no en 2012. En cuanto a lo primero no puede ser objeto de pronunciamiento en este incidente, de cuyo objeto ha de descartarse toda decisión referida al fondo del asunto, cuál es la relativa a la procedencia de la decisión de abonar la paga extra de diciembre en función del grado de cumplimiento de la Comunidad Autónoma concernida con el objetivo de déficit. En cuanto a lo segundo, debe rechazarse que el abono de la paga en el año 2013 no tenga efectos reales en el objetivo de déficit para 2012, pues una cosa es el momento del abono, desde una perspectiva puramente cronológica, y otra que dicho abono no deba imputarse contablemente al ejercicio de 2012, alterándose con ello las previsiones generales en cuanto a la contención del gasto público fijadas por el Estado.</w:t>
      </w:r>
    </w:p>
    <w:p w:rsidR="00BE7FB3" w:rsidRDefault="00BE7FB3" w:rsidP="00BE7FB3">
      <w:pPr>
        <w:pStyle w:val="TextoNormal"/>
      </w:pPr>
    </w:p>
    <w:p w:rsidR="00BE7FB3" w:rsidRDefault="00BE7FB3" w:rsidP="00BE7FB3">
      <w:pPr>
        <w:pStyle w:val="TextoNormal"/>
      </w:pPr>
      <w:r>
        <w:t>Igualmente procede rechazar la petición subsidiaria de la Comunidad Autónoma Vasca en el sentido de que se decida, en el seno de este incidente, qué hacer con las cuantías de la paga extraordinaria devengadas durante los primeros catorce días del mes de julio de 2012, cuestión que excede los términos de un debate procesal que se circunscribe a ponderar la procedencia de mantener o de levantar la suspensión cautelar de la decisión objeto del presente conflicto de competencias.</w:t>
      </w:r>
    </w:p>
    <w:p w:rsidR="00BE7FB3" w:rsidRDefault="00BE7FB3" w:rsidP="00BE7FB3">
      <w:pPr>
        <w:pStyle w:val="TextoNormal"/>
      </w:pPr>
    </w:p>
    <w:p w:rsidR="00BE7FB3" w:rsidRDefault="00BE7FB3" w:rsidP="00BE7FB3">
      <w:pPr>
        <w:pStyle w:val="TextoNormal"/>
      </w:pPr>
      <w:r>
        <w:t>Procede, por tanto, una vez ponderados los hechos e intereses en presencia, concluir que los posibles perjuicios a los interese generales derivados del levantamiento de la suspensión de la norma en conflicto son suficientes para que este Tribunal Constitucional se pronuncie, en fase cautelar y aún sin anticipar la resolución de fondo que en su día resulte procedente, a favor del mantenimiento de la suspensión en su día acordada.</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 xml:space="preserve">Mantener la suspensión de la decisión del Gobierno Vasco, de fecha indeterminada, por la que se acuerda que los trabajadores del sector público vasco cobren la paga extraordinaria </w:t>
      </w:r>
      <w:r>
        <w:lastRenderedPageBreak/>
        <w:t>de diciembre de 2012, “así como respecto a las actuaciones o disposiciones que apliquen este criterio”.</w:t>
      </w:r>
    </w:p>
    <w:p w:rsidR="00BE7FB3" w:rsidRDefault="00BE7FB3" w:rsidP="00BE7FB3">
      <w:pPr>
        <w:pStyle w:val="TextoNormal"/>
      </w:pPr>
    </w:p>
    <w:p w:rsidR="00BE7FB3" w:rsidRDefault="00BE7FB3" w:rsidP="00BE7FB3">
      <w:pPr>
        <w:pStyle w:val="TextoNormal"/>
      </w:pPr>
      <w:r>
        <w:t>Madrid, a veintitrés de abril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28" w:name="AUTO_2013_87"/>
      <w:r>
        <w:lastRenderedPageBreak/>
        <w:t>AUTO 87/2013, de 23 de abril de 2013</w:t>
      </w:r>
    </w:p>
    <w:bookmarkEnd w:id="228"/>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ECLI:ES:TC:2013:87A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Declara no haber lugar a pronunciarse sobre el mantenimiento o levantamiento de la suspensión en el conflicto positivo de competencia 136-2013, planteado por el Gobierno de la Nación respecto del Decreto Foral 117/2012, de 31 de octubre, por el que se modifica el Decreto Foral 640/1996, de 18 de noviembre, que establece el procedimiento y las condiciones para el acceso a las prestaciones del régimen de universalización de la asistencia sanitaria pública en la Comunidad Foral de Navarra.</w:t>
      </w:r>
    </w:p>
    <w:p w:rsidR="00BE7FB3" w:rsidRDefault="00BE7FB3" w:rsidP="00BE7FB3">
      <w:pPr>
        <w:pStyle w:val="SntesisDescriptiva"/>
      </w:pPr>
    </w:p>
    <w:p w:rsidR="00BE7FB3" w:rsidRDefault="00BE7FB3" w:rsidP="00BE7FB3">
      <w:pPr>
        <w:pStyle w:val="SntesisAnaltica"/>
      </w:pPr>
      <w:r>
        <w:t>Conflictos positivos de competencia: derogación de normas jurídicas; pérdida sobrevenida de objeto por derogación de la norma; suspensión del acto objeto del conflicto. Suspensión de disposiciones de las Comunidades Autónomas: improcedencia de pronunciarse sobre su ratificación o levantamiento.</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Constitucional el día 9 de enero de 2013 el Abogado del Estado, en la representación que ostenta, promueve, de modo directo, conflicto positivo de competencia contra el Decreto Foral 117/2012, de 31 de octubre, por el que se modifica el Decreto Foral 640/1996, de 18 de noviembre, por el que se establecen el procedimiento y las condiciones para el acceso a las prestaciones del régimen de universalización de la asistencia sanitaria pública en la Comunidad Foral de Navarra.</w:t>
      </w:r>
    </w:p>
    <w:p w:rsidR="00BE7FB3" w:rsidRDefault="00BE7FB3" w:rsidP="00BE7FB3">
      <w:pPr>
        <w:pStyle w:val="TextoNormal"/>
      </w:pPr>
    </w:p>
    <w:p w:rsidR="00BE7FB3" w:rsidRDefault="00BE7FB3" w:rsidP="00BE7FB3">
      <w:pPr>
        <w:pStyle w:val="TextoNormal"/>
      </w:pPr>
      <w:r>
        <w:t>El Abogado del Estado invocó el art. 161.2 CE a fin de que se acordase la suspensión de la disposición impugnada.</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Por providencia de 29 de enero de 2013 el Pleno del Tribunal Constitucional, a propuesta de la Sección Cuarta, acordó admitir a trámite el conflicto positivo de competencia y dar traslado de la demanda y documentos presentados al Gobierno de Navarra, por conducto de su Presidente, al objeto de que, en el plazo de veinte días y, por medio de la representación procesal que determina el art. 82.2 de la Ley Orgánica del Tribunal Constitucional (LOTC), aporte cuantos documentos y alegaciones considere convenientes. Asimismo, se tuvo por invocado por el Gobierno el art. 161.2 CE, lo que, a su tenor y conforme dispone </w:t>
      </w:r>
      <w:r>
        <w:lastRenderedPageBreak/>
        <w:t>el art. 64.2 LOTC, produce la suspensión de la vigencia y aplicación del Decreto Foral impugnado desde el día 9 de enero de 2013, fecha de interposición del conflicto, lo que se comunicó al Presidente del Gobierno de Navarra. Igualmente, se acordó comunicar la interposición del presente conflicto a la Sala de lo Contencioso-Administrativo del Tribunal Superior de Justicia de Navarra por si ante la misma estuviere impugnado o se impugnaré el Decreto, en cuyo caso se suspenderá el curso del proceso hasta la decisión del conflicto, según dispone el art. 61.2 LOTC, así como publicar la incoación del conflicto en el “Boletín Oficial del Estado” y en el “Boletín Oficial de Navarra”. Por último, se requirió al Abogado del Estado para que, en el plazo de diez días, aportase el preceptivo dictamen del Consejo de Estado, emitido según lo dispuesto en el art. 22.6 de la Ley Orgánica 3/1980, de 22 de abril, de dicho Consejo.</w:t>
      </w:r>
    </w:p>
    <w:p w:rsidR="00BE7FB3" w:rsidRDefault="00BE7FB3" w:rsidP="00BE7FB3">
      <w:pPr>
        <w:pStyle w:val="TextoNormal"/>
      </w:pPr>
    </w:p>
    <w:p w:rsidR="00BE7FB3" w:rsidRDefault="00BE7FB3" w:rsidP="00BE7FB3">
      <w:pPr>
        <w:pStyle w:val="TextoNormal"/>
      </w:pPr>
      <w:r w:rsidRPr="00BE7FB3">
        <w:rPr>
          <w:rStyle w:val="NumeroAFNegritaCaracter"/>
        </w:rPr>
        <w:t>3</w:t>
      </w:r>
      <w:r>
        <w:t>. Por escrito registrado el día 6 de febrero de 2013 el Abogado del Estado presentó el dictamen del Consejo de Estado núm. 1392-2012, emitido en relación con el Decreto Foral 117/2012, de 31 de octubre, por el que se modifica el Decreto Foral 640/1996, de 18 de noviembre, por el que se establecen el procedimiento y las condiciones para el acceso a las prestaciones del régimen de universalización de la asistencia sanitaria pública en la Comunidad Foral de Navarra.</w:t>
      </w:r>
    </w:p>
    <w:p w:rsidR="00BE7FB3" w:rsidRDefault="00BE7FB3" w:rsidP="00BE7FB3">
      <w:pPr>
        <w:pStyle w:val="TextoNormal"/>
      </w:pPr>
    </w:p>
    <w:p w:rsidR="00BE7FB3" w:rsidRDefault="00BE7FB3" w:rsidP="00BE7FB3">
      <w:pPr>
        <w:pStyle w:val="TextoNormal"/>
      </w:pPr>
      <w:r w:rsidRPr="00BE7FB3">
        <w:rPr>
          <w:rStyle w:val="NumeroAFNegritaCaracter"/>
        </w:rPr>
        <w:t>4</w:t>
      </w:r>
      <w:r>
        <w:t>. El día 6 de febrero de 2013 se personó en el proceso el Asesor Jurídico-Letrado de la Comunidad Foral de Navarra, en representación del Gobierno de Navarra, solicitando le fuera entregado el dictamen del Consejo de Estado emitido en relación con el Decreto Foral impugnado, con la consiguiente suspensión del plazo conferido para formular alegaciones hasta que se le diera traslado del citado dictamen.</w:t>
      </w:r>
    </w:p>
    <w:p w:rsidR="00BE7FB3" w:rsidRDefault="00BE7FB3" w:rsidP="00BE7FB3">
      <w:pPr>
        <w:pStyle w:val="TextoNormal"/>
      </w:pPr>
    </w:p>
    <w:p w:rsidR="00BE7FB3" w:rsidRDefault="00BE7FB3" w:rsidP="00BE7FB3">
      <w:pPr>
        <w:pStyle w:val="TextoNormal"/>
      </w:pPr>
      <w:r w:rsidRPr="00BE7FB3">
        <w:rPr>
          <w:rStyle w:val="NumeroAFNegritaCaracter"/>
        </w:rPr>
        <w:t>5</w:t>
      </w:r>
      <w:r>
        <w:t>. Mediante providencia de 8 de febrero de 2013 el Pleno acordó incorporar a las actuaciones los escritos del Abogado del Estado, con dictamen del Consejo de Estado que acompaña, y el del Letrado de la Comunidad Foral de Navarra, en representación de su Gobierno, así como hacer entrega a este último de copia del citado dictamen, prorrogándole en diez días más el plazo de alegaciones concedido por providencia de 29 de enero de 2013.</w:t>
      </w:r>
    </w:p>
    <w:p w:rsidR="00BE7FB3" w:rsidRDefault="00BE7FB3" w:rsidP="00BE7FB3">
      <w:pPr>
        <w:pStyle w:val="TextoNormal"/>
      </w:pPr>
    </w:p>
    <w:p w:rsidR="00BE7FB3" w:rsidRDefault="00BE7FB3" w:rsidP="00BE7FB3">
      <w:pPr>
        <w:pStyle w:val="TextoNormal"/>
      </w:pPr>
      <w:r w:rsidRPr="00BE7FB3">
        <w:rPr>
          <w:rStyle w:val="NumeroAFNegritaCaracter"/>
        </w:rPr>
        <w:t>6</w:t>
      </w:r>
      <w:r>
        <w:t>. La representación procesal del Gobierno de Navarra presentó sus alegaciones mediante escrito registrado el día 22 de febrero de 2013 interesando la íntegra desestimación del conflicto planteado.</w:t>
      </w:r>
    </w:p>
    <w:p w:rsidR="00BE7FB3" w:rsidRDefault="00BE7FB3" w:rsidP="00BE7FB3">
      <w:pPr>
        <w:pStyle w:val="TextoNormal"/>
      </w:pPr>
    </w:p>
    <w:p w:rsidR="00BE7FB3" w:rsidRDefault="00BE7FB3" w:rsidP="00BE7FB3">
      <w:pPr>
        <w:pStyle w:val="TextoNormal"/>
      </w:pPr>
      <w:r>
        <w:t>Mediante otrosí solicita el levantamiento anticipado de la suspensión inicialmente acordada en la providencia de 29 de enero de 2013 con los argumentos que, resumidamente, se exponen a continuación.</w:t>
      </w:r>
    </w:p>
    <w:p w:rsidR="00BE7FB3" w:rsidRDefault="00BE7FB3" w:rsidP="00BE7FB3">
      <w:pPr>
        <w:pStyle w:val="TextoNormal"/>
      </w:pPr>
    </w:p>
    <w:p w:rsidR="00BE7FB3" w:rsidRDefault="00BE7FB3" w:rsidP="00BE7FB3">
      <w:pPr>
        <w:pStyle w:val="TextoNormal"/>
      </w:pPr>
      <w:r>
        <w:t xml:space="preserve">Alude en primer lugar, con cita de los AATC 96/2011, de 21 de junio, y 239/2012, de 12 de diciembre, a la consolidada doctrina constitucional en relación con los incidentes de suspensión, señalando que el Decreto Foral impugnado goza de la presunción de constitucionalidad y no invade las competencias del Estado ya que viene a complementar y mejorar las previsiones de la legislación básica estatal en materia de sanidad mediante un régimen de universalización de la asistencia sanitaria en Navarra que se sitúa al margen o en paralelo del Sistema Nacional de Salud, sin interferir a éste, pues no otorga a nadie la tarjeta individual sanitaria ni excede de Navarra y se financia con recursos propios de la Comunidad </w:t>
      </w:r>
      <w:r>
        <w:lastRenderedPageBreak/>
        <w:t>Foral. Tampoco, aplicando al caso los criterios del ATC 239/2012, padecería el principio de seguridad jurídica. Estima, entonces, que, de la proyección de los criterios de ponderación de intereses en conflicto y reparabilidad, resulta la procedencia de levantar la suspensión de la vigencia y aplicación de los preceptos impugnados. Señala que del levantamiento de la suspensión no se deriva perjuicio alguno para el interés público ni para el de terceros mientras que, en cambio, el mantenimiento de la suspensión acarrea graves perjuicios al interés público y al de terceros, pues un importante grupo de personas perderían el derecho a la asistencia sanitaria ordinaria, con los consiguientes riesgos para la salud pública y de colapso de los servicios de urgencias. Concluye su alegato señalando que la aplicación de los criterios del ATC 239/2012, FJ 5, conduce derechamente al levantamiento de la suspensión, por ser menores los perjuicios o riesgos de la vigencia y aplicación de los preceptos impugnados respecto de los que se derivan de la suspensión.</w:t>
      </w:r>
    </w:p>
    <w:p w:rsidR="00BE7FB3" w:rsidRDefault="00BE7FB3" w:rsidP="00BE7FB3">
      <w:pPr>
        <w:pStyle w:val="TextoNormal"/>
      </w:pPr>
    </w:p>
    <w:p w:rsidR="00BE7FB3" w:rsidRDefault="00BE7FB3" w:rsidP="00BE7FB3">
      <w:pPr>
        <w:pStyle w:val="TextoNormal"/>
      </w:pPr>
      <w:r w:rsidRPr="00BE7FB3">
        <w:rPr>
          <w:rStyle w:val="NumeroAFNegritaCaracter"/>
        </w:rPr>
        <w:t>7</w:t>
      </w:r>
      <w:r>
        <w:t>. Por providencia de 26 de febrero de 2013 el Pleno del Tribunal acordó incorporar a los autos el escrito de alegaciones que formula el asesor jurídico-Letrado de la Comunidad Foral de Navarra, en representación de dicha Comunidad, y en cuanto a la solicitud que formula en el otrosí sobre la suspensión del Decreto Foral objeto del conflicto, oír a las partes personadas —Abogado del Estado y Gobierno de Navarra—, para que, en el plazo de cinco días, expongan lo que estimen procedente sobre el levantamiento o mantenimiento de dicha suspensión.</w:t>
      </w:r>
    </w:p>
    <w:p w:rsidR="00BE7FB3" w:rsidRDefault="00BE7FB3" w:rsidP="00BE7FB3">
      <w:pPr>
        <w:pStyle w:val="TextoNormal"/>
      </w:pPr>
    </w:p>
    <w:p w:rsidR="00BE7FB3" w:rsidRDefault="00BE7FB3" w:rsidP="00BE7FB3">
      <w:pPr>
        <w:pStyle w:val="TextoNormal"/>
      </w:pPr>
      <w:r w:rsidRPr="00BE7FB3">
        <w:rPr>
          <w:rStyle w:val="NumeroAFNegritaCaracter"/>
        </w:rPr>
        <w:t>8</w:t>
      </w:r>
      <w:r>
        <w:t>. El Abogado del Estado, mediante escrito registrado en este Tribunal el 5 de marzo de 2013, formuló sus alegaciones interesando el mantenimiento de la suspensión, por los motivos que, sintéticamente, se exponen a continuación.</w:t>
      </w:r>
    </w:p>
    <w:p w:rsidR="00BE7FB3" w:rsidRDefault="00BE7FB3" w:rsidP="00BE7FB3">
      <w:pPr>
        <w:pStyle w:val="TextoNormal"/>
      </w:pPr>
    </w:p>
    <w:p w:rsidR="00BE7FB3" w:rsidRDefault="00BE7FB3" w:rsidP="00BE7FB3">
      <w:pPr>
        <w:pStyle w:val="TextoNormal"/>
      </w:pPr>
      <w:r>
        <w:t xml:space="preserve">Comienza el Abogado del Estado recordando la doctrina constitucional sobre la resolución de este tipo de incidentes, conforme a la cual es necesario ponderar, de un lado, los intereses implicados, tanto el general y público como el particular o privado de las personas afectadas, y, de otro, los perjuicios de imposible o difícil reparación que se derivan del mantenimiento o levantamiento de la suspensión. Esta valoración debe hacerse mediante el examen de las situaciones de hecho creadas y al margen de la viabilidad de las pretensiones contenidas en la demanda (ATC 88/2008, de 2 de abril, FJ 2, con cita de otros). En definitiva, ha de procederse a una consideración de la gravedad de los perjuicios que originarían las situaciones de hecho que previsiblemente se producirían en caso de que se levantara o se mantuviera la suspensión. Seguidamente expone las razone por las que estima que el Decreto Foral impugnado incurre en la vulneración competencial que se denuncia en el conflicto, impidiendo con ello alcanzar objetivos de racionalización del gasto en el conjunto del sistema nacional de salud, en la medida en que contradice el régimen jurídico que, respecto del derecho de asistencia sanitaria se deriva del Real Decreto-ley 16/2012, en particular, en lo que se refiere al ámbito subjetivo de cobertura. Alude a continuación el Abogado del Estado a la necesidad de tener presente, en el actual contexto de crisis económica, la importancia del gasto sanitario en relación con las medidas de contención del déficit público. En cuanto a los concretos perjuicios que ocasionaría el levantamiento de la suspensión señala que implicaría el desconocimiento de las decisiones básicas estatales en relación con la financiación del sistema sanitario, con los consiguientes riesgos para la política estatal de contención de déficit público así como que consagraría una situación de desigualdad a favor de los residentes en Navarra en relación con el resto de los españoles derivada de la ampliación de la prestación farmacéutica de modo descontrolado e insolidario, pues incrementa el </w:t>
      </w:r>
      <w:r>
        <w:lastRenderedPageBreak/>
        <w:t>número de beneficiarios, los cuales realizan una aportación inferior. Descarta finalmente el Abogado del Estado que los extranjeros en situación irregular queden en situación de desprotección a efectos sanitarios, pues entiende que de las normas reguladoras no se desprende dicha conclusión, sino que, por el contrario, se trata de un modelo que otorga a todos la protección vinculada a la dignidad humana con cargo a fondos públicos y, en particular, otorga al inmigrante irregular el tratamiento previsto en la redacción original de la vigente legislación de extranjería para los extranjeros que estaban en España sin estar empadronados.</w:t>
      </w:r>
    </w:p>
    <w:p w:rsidR="00BE7FB3" w:rsidRDefault="00BE7FB3" w:rsidP="00BE7FB3">
      <w:pPr>
        <w:pStyle w:val="TextoNormal"/>
      </w:pPr>
    </w:p>
    <w:p w:rsidR="00BE7FB3" w:rsidRDefault="00BE7FB3" w:rsidP="00BE7FB3">
      <w:pPr>
        <w:pStyle w:val="TextoNormal"/>
      </w:pPr>
      <w:r w:rsidRPr="00BE7FB3">
        <w:rPr>
          <w:rStyle w:val="NumeroAFNegritaCaracter"/>
        </w:rPr>
        <w:t>9</w:t>
      </w:r>
      <w:r>
        <w:t>. Mediante escrito registrado el día 8 de marzo de 2013 el Asesor Jurídico-Letrado de la Comunidad Foral de Navarra presentó sus alegaciones en las que reitera los argumentos ya expuestos en el otrosí de contestación al escrito de interposición del conflicto y que han quedado señalados en el antecedente 6.</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Parlamento de Navarra ha aprobado la Ley Foral 8/2013, de 25 de febrero, por la que se reconoce a las personas residentes en Navarra el derecho de acceso a la asistencia sanitaria gratuita del sistema público sanitario de Navarra, norma que, publicada en el “Boletín Oficial de Navarra” el día 4 de marzo, ha entrado en vigor el mismo día de su publicación oficial, conforme establece su disposición final primera. La disposición derogatoria de la Ley Foral 8/2013 priva de vigencia, en cuanto que deroga expresamente “el Decreto Foral 640/1996, de 18 de noviembre, por el que se establecen el procedimiento y las condiciones para el acceso a las prestaciones del régimen de universalización de la asistencia sanitaria pública en la Comunidad Foral de Navarra, sus modificaciones y disposiciones de desarrollo, y cualesquiera otras disposiciones de igual o inferior rango que se opongan a lo dispuesto en esta Ley Foral”. De esta forma, como la explícita referencia de su disposición derogatoria a las modificaciones del Decreto Foral 640/1996 pone de manifiesto, no cabe sino concluir que la Ley Foral 8/2013 ha derogado expresamente el Decreto Foral 117/2012, objeto del presente conflicto.</w:t>
      </w:r>
    </w:p>
    <w:p w:rsidR="00BE7FB3" w:rsidRDefault="00BE7FB3" w:rsidP="00BE7FB3">
      <w:pPr>
        <w:pStyle w:val="TextoNormal"/>
      </w:pPr>
    </w:p>
    <w:p w:rsidR="00BE7FB3" w:rsidRDefault="00BE7FB3" w:rsidP="00BE7FB3">
      <w:pPr>
        <w:pStyle w:val="TextoNormal"/>
      </w:pPr>
      <w:r>
        <w:t>Dado lo anterior, y sin que ello signifique pronunciamiento alguno sobre el fondo del asunto planteado en el presente proceso constitucional, no es posible que este Tribunal se pronuncie acerca del levantamiento o mantenimiento de la suspensión de una disposición que no se encuentra vigente por haber sido derogada por el legislador autonómico (en el mismo sentido, AATC 354/1989, de 20 de junio, FJ único; 224/2009, de 27 de julio, FJ 1; y 57/2010, de 19 de mayo, FJ único).</w:t>
      </w:r>
    </w:p>
    <w:p w:rsidR="00BE7FB3" w:rsidRDefault="00BE7FB3" w:rsidP="00BE7FB3">
      <w:pPr>
        <w:pStyle w:val="TextoNormal"/>
      </w:pPr>
    </w:p>
    <w:p w:rsidR="00BE7FB3" w:rsidRDefault="00BE7FB3" w:rsidP="00BE7FB3">
      <w:pPr>
        <w:pStyle w:val="TextoNormal"/>
      </w:pPr>
      <w:r>
        <w:t>Por todo lo expuesto, ell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 xml:space="preserve">No haber lugar a pronunciarse sobre el mantenimiento o levantamiento de la suspensión del Decreto Foral 117/2012, de 31 de octubre, por el que se modifica el Decreto Foral 640/1996, de 18 de noviembre, que establece el procedimiento y las condiciones para el acceso a las prestaciones del régimen de universalización de la asistencia sanitaria pública </w:t>
      </w:r>
      <w:r>
        <w:lastRenderedPageBreak/>
        <w:t>en la Comunidad Foral de Navarra, por no encontrarse vigente al haber sido derogado por la Ley Foral 8/2013, de 25 de febrero.</w:t>
      </w:r>
    </w:p>
    <w:p w:rsidR="00BE7FB3" w:rsidRDefault="00BE7FB3" w:rsidP="00BE7FB3">
      <w:pPr>
        <w:pStyle w:val="TextoNormal"/>
      </w:pPr>
    </w:p>
    <w:p w:rsidR="00BE7FB3" w:rsidRDefault="00BE7FB3" w:rsidP="00BE7FB3">
      <w:pPr>
        <w:pStyle w:val="TextoNormal"/>
      </w:pPr>
      <w:r>
        <w:t>Madrid, a veintitrés de abril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29" w:name="AUTO_2013_88"/>
      <w:r>
        <w:lastRenderedPageBreak/>
        <w:t>AUTO 88/2013, de 23 de abril de 2013</w:t>
      </w:r>
    </w:p>
    <w:bookmarkEnd w:id="229"/>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ECLI:ES:TC:2013:88A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Levanta parcialmente la suspensión en el recurso de inconstitucionalidad 501-2013, interpuesto por el Presidente del Gobierno en relación con la Ley Foral 18/2012, de 19 de octubre, sobre la complementación de las prestaciones farmacéuticas.</w:t>
      </w:r>
    </w:p>
    <w:p w:rsidR="00BE7FB3" w:rsidRDefault="00BE7FB3" w:rsidP="00BE7FB3">
      <w:pPr>
        <w:pStyle w:val="SntesisDescriptiva"/>
      </w:pPr>
    </w:p>
    <w:p w:rsidR="00BE7FB3" w:rsidRDefault="00BE7FB3" w:rsidP="00BE7FB3">
      <w:pPr>
        <w:pStyle w:val="SntesisAnaltica"/>
      </w:pPr>
      <w:r>
        <w:t>Gasto público: contención del gasto público. Navarra: competencias en materia de atención farmacéutica; competencias en materia de sanidad. Sanidad: productos farmacéuticos; financiación pública de medicamentos. Suspensión de disposiciones de las Comunidades Autónomas: acreditación por el Abogado del Estado del perjuicio irreparable; levantamiento parcial de la suspensión; perjuicios irreparables; ponderación de intereses. Tasas: copago farmacéutico.</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Por escrito registrado en este Tribunal el 28 de enero de 2013, el Presidente del Gobierno, debidamente representado por el Abogado del Estado, interpuso recurso de inconstitucionalidad contra la Ley Foral 18/2012, de 19 de octubre, sobre la complementación de las prestaciones farmacéuticas en la Comunidad Foral de Navarra. La norma impugnada fue publicada en el “Boletín Oficial de Navarra” núm. 213, de 30 de octubre de 2012.</w:t>
      </w:r>
    </w:p>
    <w:p w:rsidR="00BE7FB3" w:rsidRDefault="00BE7FB3" w:rsidP="00BE7FB3">
      <w:pPr>
        <w:pStyle w:val="TextoNormal"/>
      </w:pPr>
    </w:p>
    <w:p w:rsidR="00BE7FB3" w:rsidRDefault="00BE7FB3" w:rsidP="00BE7FB3">
      <w:pPr>
        <w:pStyle w:val="TextoNormal"/>
      </w:pPr>
      <w:r>
        <w:t>El Presidente del Gobierno en su escrito de demanda entiende que las disposiciones de la Ley Foral impugnada afectan a materias que son de competencia exclusiva del Estado (arts. 149.1.1, 2, 16 y 17 CE); en particular el recurrente entiende que la Ley navarra impugnada contradice la normativa estatal básica reguladora de las prestaciones farmacéuticas. En la demanda se invocan los arts. 161.2 CE y 30 de la Ley Orgánica del Tribunal Constitucional (LOTC), solicitando la suspensión de la aplicación de la Ley que es objeto del recurso.</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Mediante providencia de 12 de febrero de 2013, el Pleno del Tribunal Constitucional acordó, a propuesta de la Sección Primera, admitir a trámite el recurso de inconstitucionalidad promovido por el Presidente de Gobierno, dar traslado de la demanda y documentos presentados al Gobierno de Navarra y al Parlamento de Navarra, por conducto de sus Presidentes, al objeto de que, en el plazo de quince días, pudieran personarse y formular las </w:t>
      </w:r>
      <w:r>
        <w:lastRenderedPageBreak/>
        <w:t>alegaciones que estimaren convenientes, tener por invocados los arts. 161.2 CE y 30 LOTC, de lo que se deriva la suspensión de la vigencia y aplicación de la Ley impugnada desde el día 28 de enero de 2013, fecha de interposición del recurso y, por último, publicar la incoación del recurso en el “Boletín Oficial del Estado” (lo que se realizó el día 14 de febrero) y en el “Boletín Oficial de Navarra”.</w:t>
      </w:r>
    </w:p>
    <w:p w:rsidR="00BE7FB3" w:rsidRDefault="00BE7FB3" w:rsidP="00BE7FB3">
      <w:pPr>
        <w:pStyle w:val="TextoNormal"/>
      </w:pPr>
    </w:p>
    <w:p w:rsidR="00BE7FB3" w:rsidRDefault="00BE7FB3" w:rsidP="00BE7FB3">
      <w:pPr>
        <w:pStyle w:val="TextoNormal"/>
      </w:pPr>
      <w:r w:rsidRPr="00BE7FB3">
        <w:rPr>
          <w:rStyle w:val="NumeroAFNegritaCaracter"/>
        </w:rPr>
        <w:t>3</w:t>
      </w:r>
      <w:r>
        <w:t>. El día 12 de marzo de 2013 se registró en este Tribunal el acuerdo del Gobierno de Navarra, por el cual se da por notificado de la interposición del recurso de inconstitucionalidad núm. 501-2013, manifiesta que considera suficiente y bastante la personación del Parlamento de Navarra para la defensa de la Ley Foral 18/2012, de 19 de octubre y, por último, comunica dicho acuerdo al Presidente del Tribunal Constitucional y al Parlamento de Navarra.</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escrito registrado el 15 de marzo de 2013, la Letrada del Parlamento de Navarra, en nombre y representación de la Cámara, presenta sus alegaciones frente a la demanda que plantea el recurso de inconstitucionalidad núm. 501-2013. El escrito de alegaciones de la Letrada navarra solicita, de conformidad con el acuerdo de 25 de febrero de 2013 adoptado por el Parlamento de Navarra, el levantamiento anticipado de la suspensión de vigencia de la Ley Foral 18/2012, de 19 de octubre.</w:t>
      </w:r>
    </w:p>
    <w:p w:rsidR="00BE7FB3" w:rsidRDefault="00BE7FB3" w:rsidP="00BE7FB3">
      <w:pPr>
        <w:pStyle w:val="TextoNormal"/>
      </w:pPr>
    </w:p>
    <w:p w:rsidR="00BE7FB3" w:rsidRDefault="00BE7FB3" w:rsidP="00BE7FB3">
      <w:pPr>
        <w:pStyle w:val="TextoNormal"/>
      </w:pPr>
      <w:r>
        <w:t>Dejando a un lado, en este momento procesal, las alegaciones relativas a la oposición a la demanda que plantea el recurso de inconstitucionalidad, el Parlamento de Navarra justifica su petición de levantamiento inmediato de la suspensión de la vigencia y aplicación de la Ley Foral impugnada, en primer lugar, en la total ausencia de argumentación desde la parte recurrente, que se ha limitado a invocar el art. 161.2 CE. Se señala que el art. 161.2 CE supone un auténtico privilegio procesal que implica un veto suspensivo sobre las normas legislativas de las Comunidades Autónomas que carece de cualquier tipo de justificación, por lo que el propio Tribunal Constitucional ha admitido que la situación creada con la suspensión automática debe ser definida como provisional y en buena medida excepcional, pues no puede prolongarse sin una justificación expresa y suficiente.</w:t>
      </w:r>
    </w:p>
    <w:p w:rsidR="00BE7FB3" w:rsidRDefault="00BE7FB3" w:rsidP="00BE7FB3">
      <w:pPr>
        <w:pStyle w:val="TextoNormal"/>
      </w:pPr>
    </w:p>
    <w:p w:rsidR="00BE7FB3" w:rsidRDefault="00BE7FB3" w:rsidP="00BE7FB3">
      <w:pPr>
        <w:pStyle w:val="TextoNormal"/>
      </w:pPr>
      <w:r>
        <w:t>Por lo que se refiere a los intereses concretos y a los posibles perjuicios presentes en el caso, la representación procesal del Parlamento de Navarra señala que no acierta a vislumbrar que de la aplicación de la norma impugnada se pueda derivar algún perjuicio de imposible o difícil reparación que impida el levantamiento de la suspensión de la norma legal impugnada. Afirma que, además del interés general configurado por el ahorro económico, se encuentra el interés público de preservar el derecho a la salud (art. 43 CE). El mantenimiento de la suspensión puede acarrear consecuencias irreparables pues el copago farmacéutico influye de manera inversamente proporcional en la adherencia a los tratamientos y en la continuidad del mismo, lo que tiene consecuencias en la salud de los pacientes e incluso puede terminar aumentando el gasto sanitario y, por tanto, afectando al ahorro pretendido, al traducirse en un incremento de la utilización de los servicios sanitarios.</w:t>
      </w:r>
    </w:p>
    <w:p w:rsidR="00BE7FB3" w:rsidRDefault="00BE7FB3" w:rsidP="00BE7FB3">
      <w:pPr>
        <w:pStyle w:val="TextoNormal"/>
      </w:pPr>
    </w:p>
    <w:p w:rsidR="00BE7FB3" w:rsidRDefault="00BE7FB3" w:rsidP="00BE7FB3">
      <w:pPr>
        <w:pStyle w:val="TextoNormal"/>
      </w:pPr>
      <w:r>
        <w:t xml:space="preserve">La Letrada de la Cámara autonómica recuerda que en el recurso de inconstitucionalidad núm. 4123-2012 promovido por el Parlamento de Navarra ya se alegó que las personas más desfavorecidas económicamente pueden verse afectadas en el acceso a la prestación farmacéutica si tienen que pagarla o si tienen que desembolsar más dinero por ella, lo que a su vez puede influir negativamente en su acceso a la asistencia sanitaria y, en definitiva, en su </w:t>
      </w:r>
      <w:r>
        <w:lastRenderedPageBreak/>
        <w:t>derecho a la protección de la salud. A juicio de la Letrada, los argumentos alarmistas relativos a la posible puesta en peligro del conjunto de la política estatal del gasto público por una medida de alcance limitado —prevista para el ámbito territorial de la Comunidad Foral de Navarra— no deberían ser tenidos en cuenta porque ignoran los perjuicios que sí sufren los beneficiarios de la norma. Por último, señala que la norma recurrida sencillamente amplía las previsiones básicas estatales y que el derecho a la salud y a la integridad física de las personas afectadas posee una importancia singular en el marco constitucional, que no puede ser desvirtuada por la mera consideración de un eventual ahorro económico no concretado (citando a este respecto el ATC 239/2012).</w:t>
      </w:r>
    </w:p>
    <w:p w:rsidR="00BE7FB3" w:rsidRDefault="00BE7FB3" w:rsidP="00BE7FB3">
      <w:pPr>
        <w:pStyle w:val="TextoNormal"/>
      </w:pPr>
    </w:p>
    <w:p w:rsidR="00BE7FB3" w:rsidRDefault="00BE7FB3" w:rsidP="00BE7FB3">
      <w:pPr>
        <w:pStyle w:val="TextoNormal"/>
      </w:pPr>
      <w:r w:rsidRPr="00BE7FB3">
        <w:rPr>
          <w:rStyle w:val="NumeroAFNegritaCaracter"/>
        </w:rPr>
        <w:t>5</w:t>
      </w:r>
      <w:r>
        <w:t>. Por providencia de 21 de marzo de 2013 el Pleno del Tribunal Constitucional acordó dar traslado al Abogado del Estado de los escritos presentados por el Gobierno y por el Parlamento de Navarra, concediéndole cinco días para que expusiera lo que estimara procedente al respecto.</w:t>
      </w:r>
    </w:p>
    <w:p w:rsidR="00BE7FB3" w:rsidRDefault="00BE7FB3" w:rsidP="00BE7FB3">
      <w:pPr>
        <w:pStyle w:val="TextoNormal"/>
      </w:pPr>
    </w:p>
    <w:p w:rsidR="00BE7FB3" w:rsidRDefault="00BE7FB3" w:rsidP="00BE7FB3">
      <w:pPr>
        <w:pStyle w:val="TextoNormal"/>
      </w:pPr>
      <w:r w:rsidRPr="00BE7FB3">
        <w:rPr>
          <w:rStyle w:val="NumeroAFNegritaCaracter"/>
        </w:rPr>
        <w:t>6</w:t>
      </w:r>
      <w:r>
        <w:t>. El escrito de alegaciones de la Abogado del Estado respecto del mantenimiento o levantamiento de la suspensión de los preceptos impugnados fue registrado en el Tribunal Constitucional el 3 de abril de 2013. El escrito se inicia con un recordatorio de la doctrina del Tribunal Constitucional respecto de la suspensión y su levantamiento o mantenimiento, afirmando finalmente que el Tribunal ha de proceder a una ponderación de la gravedad de los perjuicios que ocasionarían las situaciones de hecho que previsiblemente se producirían en el caso de que se levantara o se mantuviera la suspensión.</w:t>
      </w:r>
    </w:p>
    <w:p w:rsidR="00BE7FB3" w:rsidRDefault="00BE7FB3" w:rsidP="00BE7FB3">
      <w:pPr>
        <w:pStyle w:val="TextoNormal"/>
      </w:pPr>
    </w:p>
    <w:p w:rsidR="00BE7FB3" w:rsidRDefault="00BE7FB3" w:rsidP="00BE7FB3">
      <w:pPr>
        <w:pStyle w:val="TextoNormal"/>
      </w:pPr>
      <w:r>
        <w:t>La Abogado del Estado, tras recordar la normativa básica en la materia y el régimen jurídico del derecho de asistencia sanitaria tras la aprobación del Real Decreto-ley 16/2012, que es la norma fundamental que entra en conflicto con la Ley Foral impugnada, describe el actual contexto de crisis económica y la importancia del gasto sanitario en las medidas de control del déficit público. Apelando a las menciones a la crisis económica contenidas en el preámbulo del Real Decreto-ley 16/2012, a la memoria de análisis de impacto del mismo y las declaraciones de la Ministra de Sanidad, Servicios Sociales e Igualdad en el debate parlamentario de convalidación del decreto-ley, la Abogado del Estado recuerda que la norma estatal se adopta en el contexto de una crisis económica global de evidente gravedad, a la que no ha sido ajeno el Tribunal Constitucional, que se ha hecho eco de la grave crisis presupuestaria en el ATC 239/2012, de 12 de diciembre, FJ 6. Estas afirmaciones se acompañan de un informe de carácter económico elaborado por la Dirección General de Cartera Básica de Servicios del Sistema Nacional de Salud y Farmacia del Ministerio de Sanidad, Servicios Sociales e Igualdad, que contiene datos sobre la situación económica del sistema nacional de salud, situado en grave riesgo de insolvencia y de desabastecimiento en el suministro.</w:t>
      </w:r>
    </w:p>
    <w:p w:rsidR="00BE7FB3" w:rsidRDefault="00BE7FB3" w:rsidP="00BE7FB3">
      <w:pPr>
        <w:pStyle w:val="TextoNormal"/>
      </w:pPr>
    </w:p>
    <w:p w:rsidR="00BE7FB3" w:rsidRDefault="00BE7FB3" w:rsidP="00BE7FB3">
      <w:pPr>
        <w:pStyle w:val="TextoNormal"/>
      </w:pPr>
      <w:r>
        <w:t>La Abogado del Estado reitera las razones, ya contenidas en la demanda, por las que entiende que la normativa autonómica impugnada vulnera el reparto constitucional de competencias y afirma que, de levantarse la suspensión de la vigencia de los preceptos autonómicos, se impediría la plena aplicación de las normas básicas estatales, que quedarían inconstitucionalmente desplazadas en el ámbito de la Comunidad Autónoma por normas autonómicas vulneradoras del orden competencial.</w:t>
      </w:r>
    </w:p>
    <w:p w:rsidR="00BE7FB3" w:rsidRDefault="00BE7FB3" w:rsidP="00BE7FB3">
      <w:pPr>
        <w:pStyle w:val="TextoNormal"/>
      </w:pPr>
    </w:p>
    <w:p w:rsidR="00BE7FB3" w:rsidRDefault="00BE7FB3" w:rsidP="00BE7FB3">
      <w:pPr>
        <w:pStyle w:val="TextoNormal"/>
      </w:pPr>
      <w:r>
        <w:lastRenderedPageBreak/>
        <w:t>La Abogada del Estado señala que el Tribunal Constitucional, atendiendo al contexto de crisis económica y financiera, viene dando prevalencia al interés recaudatorio enlazado con la suficiencia financiera y la solvencia autonómicas (AATC 95/2011, FJ 5; 96/2011, FJ 5; 147/2012, FJ 6; y 239/2012, FJ 6). En una situación como la actual en la que el Estado está asumiendo importantes costes para la reactivación económica, el que una Comunidad Autónoma ponga en tela de juicio unilateralmente el actual modelo de financiación de la sanidad pública puede provocar perjuicios difícilmente reparables, pues podría extenderse al resto de Comunidades Autónomas. A continuación la Abogado del Estado analiza los intereses en juego desde una doble perspectiva.</w:t>
      </w:r>
    </w:p>
    <w:p w:rsidR="00BE7FB3" w:rsidRDefault="00BE7FB3" w:rsidP="00BE7FB3">
      <w:pPr>
        <w:pStyle w:val="TextoNormal"/>
      </w:pPr>
    </w:p>
    <w:p w:rsidR="00BE7FB3" w:rsidRDefault="00BE7FB3" w:rsidP="00BE7FB3">
      <w:pPr>
        <w:pStyle w:val="TextoNormal"/>
      </w:pPr>
      <w:r>
        <w:t xml:space="preserve">Por una parte, y desde la perspectiva privada, la vigencia de la Ley recurrida supondría que en el territorio de la Comunidad Foral los beneficiarios del Servicio Nacional de Salud verían aumentada la financiación pública de la prestación farmacéutica ambulatoria que necesitasen, con lo que se favorecería a los residentes en Navarra en relación con el resto de los españoles y surgiría un efecto discriminatorio inconstitucional, pues los primeros recibirían un mejor trato en una prestación incluida dentro de la “cartera común suplementaria” del Servicio Nacional de Salud (art. 8 </w:t>
      </w:r>
      <w:r w:rsidRPr="00BE7FB3">
        <w:rPr>
          <w:i/>
        </w:rPr>
        <w:t>ter</w:t>
      </w:r>
      <w:r>
        <w:t xml:space="preserve"> Ley 16/2003) que ha de ser igual para todos los españoles. Las consecuencias del distinto trato descrito serían irreparables pues se agotarían en el momento del desembolso extraordinario de cada beneficiario.</w:t>
      </w:r>
    </w:p>
    <w:p w:rsidR="00BE7FB3" w:rsidRDefault="00BE7FB3" w:rsidP="00BE7FB3">
      <w:pPr>
        <w:pStyle w:val="TextoNormal"/>
      </w:pPr>
    </w:p>
    <w:p w:rsidR="00BE7FB3" w:rsidRDefault="00BE7FB3" w:rsidP="00BE7FB3">
      <w:pPr>
        <w:pStyle w:val="TextoNormal"/>
      </w:pPr>
      <w:r>
        <w:t>Esa diferencia de trato se proyectaría también respecto de los ciudadanos de la Unión Europea residentes en el resto de España, lo que originaría un conflicto con la normativa europea basado en el derecho a la igualdad de trato. A un conflicto similar se refiere el informe elaborado para el presente incidente de suspensión por la Dirección General de Cartera Básica de Servicios del Sistema Nacional de Salud y Farmacia del Ministerio de Sanidad, Servicios Sociales e Igualdad, que se aporta como documento. En dicho informe se expone que la Comisión Europea inició en mayo de 2007 un procedimiento de infracción contra España porque consideraba que España estaba incumpliendo el derecho a la igualdad de trato al negarse los prestadores españoles de asistencia sanitaria a conceder medicamentos gratuitos a los pensionistas comunitarios durante su estancia temporal. Tras un proceso de negociación con la Comisión Europea y tras la adopción del Real Decreto-ley 16/2012, las autoridades españoles asumieron el compromiso de establecer un mecanismo de autocertificación (declaración jurada), por medio de la cual los interesados portadores de una tarjeta sanitaria europea que declaren su condición de pensionistas de la Seguridad Social de un Estado miembro de la Unión Europea, el Espacio Económico Europeo o Suiza y sus beneficiarios, tendrán que abonar un 10 por 100 del precio de los medicamentos prescritos y el resto de los asegurados y sus beneficiarios un 50 por 100.</w:t>
      </w:r>
    </w:p>
    <w:p w:rsidR="00BE7FB3" w:rsidRDefault="00BE7FB3" w:rsidP="00BE7FB3">
      <w:pPr>
        <w:pStyle w:val="TextoNormal"/>
      </w:pPr>
    </w:p>
    <w:p w:rsidR="00BE7FB3" w:rsidRDefault="00BE7FB3" w:rsidP="00BE7FB3">
      <w:pPr>
        <w:pStyle w:val="TextoNormal"/>
      </w:pPr>
      <w:r>
        <w:t>La Abogado del Estado argumenta también que las alegaciones del Parlamento de Navarra respecto del impacto del copago en la adherencia al tratamiento y en la continuidad del mismo no son atendibles, pues el aumento del copago farmacéutico tendrá un impacto en la inmediata reducción de la factura farmacéutica pública, al favorecer que se lleve a cabo un uso racional de los medicamentos, sin que ello afecte ni a la salud de los pacientes, ni a la continuidad en sus tratamientos.</w:t>
      </w:r>
    </w:p>
    <w:p w:rsidR="00BE7FB3" w:rsidRDefault="00BE7FB3" w:rsidP="00BE7FB3">
      <w:pPr>
        <w:pStyle w:val="TextoNormal"/>
      </w:pPr>
    </w:p>
    <w:p w:rsidR="00BE7FB3" w:rsidRDefault="00BE7FB3" w:rsidP="00BE7FB3">
      <w:pPr>
        <w:pStyle w:val="TextoNormal"/>
      </w:pPr>
      <w:r>
        <w:t xml:space="preserve">Por otra parte, desde la perspectiva pública, el efecto perjudicial del levantamiento de la suspensión de la norma autonómica derivaría de la ampliación incontrolada e insolidaria de la prestación farmacéutica ambulatoria del Sistema Nacional de Salud en la Comunidad </w:t>
      </w:r>
      <w:r>
        <w:lastRenderedPageBreak/>
        <w:t>Foral, de cuantía desconocida e imposible de prever y que, además de suponer una ruptura en la igualdad de acceso a la prestación farmacéutica, desvirtuaría el régimen fijado por el Gobierno impidiéndole llevar a cabo la necesaria labor de corrección de desajustes y de distribución homogénea de las disponibilidades dinerarias. Añade la Abogado del Estado que, de levantarse la suspensión, se originarían graves desajustes en el presupuesto que entorpecerían la política de control del gasto público farmacéutico, con la consiguiente repercusión en la política de estabilidad y de contención del déficit. Para reforzar este argumento se remite al ya mencionado informe de la Dirección General de Cartera Básica de Servicios del Sistema Nacional de Salud y Farmacia, que apunta que los datos de evolución del gasto farmacéutico en España durante el año 2012 y que incluye una específica referencia a la evolución del gasto en Navarra.</w:t>
      </w:r>
    </w:p>
    <w:p w:rsidR="00BE7FB3" w:rsidRDefault="00BE7FB3" w:rsidP="00BE7FB3">
      <w:pPr>
        <w:pStyle w:val="TextoNormal"/>
      </w:pPr>
    </w:p>
    <w:p w:rsidR="00BE7FB3" w:rsidRDefault="00BE7FB3" w:rsidP="00BE7FB3">
      <w:pPr>
        <w:pStyle w:val="TextoNormal"/>
      </w:pPr>
      <w:r>
        <w:t>La Abogada del Estado considera que los argumentos contenidos en el invocado ATC 239/2012 no resultan trasladables al presente supuesto, pues, a diferencia del recurrente de aquel proceso, el Parlamento de Navarra omite toda justificación sobre la existencia de perjuicios generales e individuales asociados al mantenimiento de la suspensión cuyo levantamiento solicita. Según la Abogada del Estado, el ATC 239/2012 (FJ 5) justifica el levantamiento de la suspensión de los preceptos referidos a la ampliación del ámbito subjetivo del derecho a acceder a la asistencia sanitaria pública y gratuita, en la singular importancia que en el marco constitucional tienen el derecho a la salud y a la integridad física de las personas afectadas por aquellos preceptos así como en la conveniencia de evitar riesgos para la salud del conjunto de la sociedad, importancia que, afirma el Tribunal Constitucional, “no puede verse desvirtuada por la mera consideración de un eventual ahorro económico que no ha podido ser concretado”.</w:t>
      </w:r>
    </w:p>
    <w:p w:rsidR="00BE7FB3" w:rsidRDefault="00BE7FB3" w:rsidP="00BE7FB3">
      <w:pPr>
        <w:pStyle w:val="TextoNormal"/>
      </w:pPr>
    </w:p>
    <w:p w:rsidR="00BE7FB3" w:rsidRDefault="00BE7FB3" w:rsidP="00BE7FB3">
      <w:pPr>
        <w:pStyle w:val="TextoNormal"/>
      </w:pPr>
      <w:r>
        <w:t>La Abogada del Estado argumenta que el modelo articulado por el Real Decreto-ley 16/2012 otorga a todos la protección vinculada a la dignidad humana con cargo a fondos públicos. De una parte, supone la universalización de la asistencia sanitaria pública a los ciudadanos españoles, siempre que no superen la inusual renta de cien mil euros anuales y no estuvieran asegurados por otra vía. De otra, otorga al inmigrante irregular el tratamiento previsto en la redacción original de la Ley Orgánica 4/2000 para los extranjeros que se encontraban en España sin estar empadronados. El Estado depara protección a toda persona que se encuentre en España, cualquiera que sea su situación, en situaciones de urgencia “cualquiera que sea su causa, hasta la situación de alta médica”, la asistencia al embarazo, parto y posparto, en los casos de menores de edad, y cuando así lo establezcan los convenios internacionales suscritos con sus países de origen. Así, a los extranjeros en situación irregular se les reconoce plena asistencia sanitaria con cargo a fondos públicos cuando así lo establezcan los convenios internacionales suscritos con sus países de origen. España tiene ratificados en la actualidad veinte convenios con terceros países, y en siete de ellos (Andorra, Brasil, Chile, Ecuador, Marruecos, Perú y Túnez) se incluye el derecho a percibir plena asistencia sanitaria en España, previa presentación de un formulario y con reembolso de los gastos por el país de origen. Este modelo no es distinto del instaurado en la propia Unión Europea para sus ciudadanos, que tienen derecho a la plena asistencia sanitaria con cargo a fondos públicos en el país de destino, en cuanto cuenten con el correspondiente “formulario de derecho” expedido por el país de origen que permite que el país de destino liquide a aquel los gastos de la asistencia sanitaria.</w:t>
      </w:r>
    </w:p>
    <w:p w:rsidR="00BE7FB3" w:rsidRDefault="00BE7FB3" w:rsidP="00BE7FB3">
      <w:pPr>
        <w:pStyle w:val="TextoNormal"/>
      </w:pPr>
    </w:p>
    <w:p w:rsidR="00BE7FB3" w:rsidRDefault="00BE7FB3" w:rsidP="00BE7FB3">
      <w:pPr>
        <w:pStyle w:val="TextoNormal"/>
      </w:pPr>
      <w:r>
        <w:lastRenderedPageBreak/>
        <w:t>Además, la prevención sanitaria queda cubierta en España por la Ley 33/2011, general de salud pública, cuyos destinatarios son todos los residentes en España, sin necesidad de tarjeta sanitaria (art. 6). Estos dispositivos de salud pública, especializados en la salud de la colectividad, vigilan el estado de salud de la población y sus determinantes. Además, responden a las amenazas sobre la salud de la población y a las crisis sanitarias, mediante vacunaciones y otras intervenciones poblacionales, y consideran la sanidad ambiental, la salud laboral, la seguridad alimentaria y la sanidad exterior.</w:t>
      </w:r>
    </w:p>
    <w:p w:rsidR="00BE7FB3" w:rsidRDefault="00BE7FB3" w:rsidP="00BE7FB3">
      <w:pPr>
        <w:pStyle w:val="TextoNormal"/>
      </w:pPr>
    </w:p>
    <w:p w:rsidR="00BE7FB3" w:rsidRDefault="00BE7FB3" w:rsidP="00BE7FB3">
      <w:pPr>
        <w:pStyle w:val="TextoNormal"/>
      </w:pPr>
      <w:r>
        <w:t>De lo anterior deduce la Abogada del Estado que el mantenimiento de la suspensión de la Ley Foral objeto de recurso no supone negar la protección del derecho a la salud de las personas que se encuentren en el territorio de la Comunidad Foral de Navarra carentes de autorización de residencia, ni tal mantenimiento vendrá a afectar la salud individual de dicho colectivo o la de toda la sociedad por la propagación de enfermedades infectocontagiosas. En definitiva, el mantenimiento de la suspensión de la Ley Foral 18/2012 no produciría ningún efecto negativo, pues los ciudadanos residentes en la Comunidad Foral de Navarra continuarían beneficiándose de la prestación farmacéutica ambulatoria en las mismas condiciones que el resto de los españoles.</w:t>
      </w:r>
    </w:p>
    <w:p w:rsidR="00BE7FB3" w:rsidRDefault="00BE7FB3" w:rsidP="00BE7FB3">
      <w:pPr>
        <w:pStyle w:val="TextoNormal"/>
      </w:pPr>
    </w:p>
    <w:p w:rsidR="00BE7FB3" w:rsidRDefault="00BE7FB3" w:rsidP="00BE7FB3">
      <w:pPr>
        <w:pStyle w:val="TextoNormal"/>
      </w:pPr>
      <w:r>
        <w:t>Por tanto, y en virtud de los razonamientos expuestos, la Abogado del Estado interesa el mantenimiento de la suspensión de vigencia de la Ley Foral objeto de recurso.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Esta resolución tiene por objeto determinar si, de acuerdo con el art. 161.2 CE, procede levantar o mantener la suspensión de la vigencia que afecta a la Ley Foral 18/2012, de 19 de octubre, sobre la complementación de las prestaciones farmacéuticas en la Comunidad Foral de Navarra, desde que este Tribunal admitiese a trámite el recurso de inconstitucionalidad de que esta norma es objeto. La representación del Parlamento de Navarra ha solicitado el levantamiento anticipado de la suspensión de la Ley Foral impugnada sin esperar el transcurso de los cinco meses previstos en el citado precepto constitucional. Por su parte, el Abogado del Estado ha interesado el mantenimiento de la suspensión.</w:t>
      </w:r>
    </w:p>
    <w:p w:rsidR="00BE7FB3" w:rsidRDefault="00BE7FB3" w:rsidP="00BE7FB3">
      <w:pPr>
        <w:pStyle w:val="TextoNormal"/>
      </w:pPr>
    </w:p>
    <w:p w:rsidR="00BE7FB3" w:rsidRDefault="00BE7FB3" w:rsidP="00BE7FB3">
      <w:pPr>
        <w:pStyle w:val="TextoNormal"/>
      </w:pPr>
      <w:r>
        <w:t>Este recurso de inconstitucionalidad se plantea por el Presidente del Gobierno al entender que la Ley Foral 18/2012, de 19 de octubre, incurre en una inconstitucionalidad mediata, por vulneración de la normativa básica estatal que desarrolla las competencias estatales previstas en los apartados 1, 2, 16 y 17 del art. 149.1 CE. Tal normativa básica vendría integrada por el Real Decreto-ley 4/2010, de 26 marzo, de racionalización del gasto farmacéutico con cargo al Sistema Nacional de Salud, por el Real Decreto-ley 8/2010, de 20 de mayo, por el que se adoptan medidas extraordinarias para la reducción del déficit público, por el Real Decreto-ley 9/2011, de 19 de agosto, de medidas para la mejora de la calidad y cohesión del Sistema Nacional de Salud, de contribución a la consolidación fiscal y de elevación del importe máximo de los avales del Estado para 2011 y, muy especialmente, por el Real Decreto-ley 16/2012, de 20 abril, de medidas urgentes para garantizar la sostenibilidad del Sistema Nacional de Salud y mejorar la calidad y seguridad de sus prestaciones, a cuya publicación respondió el Parlamento de Navarra con la aprobación de la Ley Foral que es objeto del recurso de inconstitucionalidad.</w:t>
      </w:r>
    </w:p>
    <w:p w:rsidR="00BE7FB3" w:rsidRDefault="00BE7FB3" w:rsidP="00BE7FB3">
      <w:pPr>
        <w:pStyle w:val="TextoNormal"/>
      </w:pPr>
    </w:p>
    <w:p w:rsidR="00BE7FB3" w:rsidRDefault="00BE7FB3" w:rsidP="00BE7FB3">
      <w:pPr>
        <w:pStyle w:val="TextoNormal"/>
      </w:pPr>
      <w:r>
        <w:lastRenderedPageBreak/>
        <w:t>El Real Decreto-ley 16/2012, de 20 abril, pretende racionalizar el gasto sanitario a través de diversas medidas, entre ellas la revisión del sistema de aportación al pago farmacéutico por parte del usuario: a tal efecto, ordena las oficinas de farmacia, la prescripción de medicamentos y productos sanitarios y la aportación de los beneficiarios en la prestación farmacéutica ambulatoria, también conocida como copago farmacéutico.</w:t>
      </w:r>
    </w:p>
    <w:p w:rsidR="00BE7FB3" w:rsidRDefault="00BE7FB3" w:rsidP="00BE7FB3">
      <w:pPr>
        <w:pStyle w:val="TextoNormal"/>
      </w:pPr>
    </w:p>
    <w:p w:rsidR="00BE7FB3" w:rsidRDefault="00BE7FB3" w:rsidP="00BE7FB3">
      <w:pPr>
        <w:pStyle w:val="TextoNormal"/>
      </w:pPr>
      <w:r>
        <w:t>Teniendo esto en cuenta, el recurrente entiende que la inconstitucionalidad mediata de la Ley Foral 18/2012, de 19 de octubre, vendría dada porque su finalidad expresa es la complementación de las condiciones financieras básicas en que se desarrolla la prestación farmacéutica (art. 1). Así, de un lado, la regulación de los sujetos titulares del derecho a la complementación de las prestaciones farmacéuticas (art. 2) configura un ámbito subjetivo contrario a la norma básica; y, de otro lado, la extensión de la cobertura financiera de la prestación farmacéutica ambulatoria del Sistema Nacional de Salud en la Comunidad Autónoma de Navarra (art. 5) resulta ser más amplia que la que establece la norma estatal, lo que vendría a repercutir directamente en la financiación de productos farmacéuticos, cuando esta es una cuestión cuya regulación corresponde al Estado con arreglo a los arts. 149.1.16 y 17 CE; mientras que la queja de inconstitucionalidad frente a los apartados 2 y 3 del artículo 4 de la Ley Foral deriva de su íntima conexión con el art. 5. Finalmente, la inconstitucionalidad de la disposición final primera de la Ley Foral 18/2012, por la que se faculta a la Consejera de Salud para adaptar el modelo oficial de receta médica y órdenes de enfermería, y para dictar las disposiciones precisas para el establecimiento del procedimiento de reintegro de gastos previstos en el art. 5.2, infringe el Real Decreto 1718/2010, de 17 de diciembre, e incurre en las mismas infracciones denunciadas respecto de los arts. 2 y 5 de la Ley Foral 18/2012.</w:t>
      </w:r>
    </w:p>
    <w:p w:rsidR="00BE7FB3" w:rsidRDefault="00BE7FB3" w:rsidP="00BE7FB3">
      <w:pPr>
        <w:pStyle w:val="TextoNormal"/>
      </w:pPr>
    </w:p>
    <w:p w:rsidR="00BE7FB3" w:rsidRDefault="00BE7FB3" w:rsidP="00BE7FB3">
      <w:pPr>
        <w:pStyle w:val="TextoNormal"/>
      </w:pPr>
      <w:r w:rsidRPr="00BE7FB3">
        <w:rPr>
          <w:rStyle w:val="NumeroAFNegritaCaracter"/>
        </w:rPr>
        <w:t>2</w:t>
      </w:r>
      <w:r>
        <w:t>. Expuestos los términos del recurso de inconstitucionalidad, cuyo contenido no compete resolver en este momento procesal, hemos de centrarnos en la cuestión de si procede o no procede levantar la suspensión de vigencia de las disposiciones impugnadas por el Estado, tal y como solicita la representación procesal del Parlamento de Navarra. La solicitud de levantamiento anticipado de la suspensión sin esperar al transcurso de los cinco meses previstos en el art. 161.2 CE constituye una solicitud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AATC 75/2010, de 30 de junio, FJ 2; 238/2012, de 12 de diciembre, FJ 2; y 60/2013, de 26 de febrero, FJ 2).</w:t>
      </w:r>
    </w:p>
    <w:p w:rsidR="00BE7FB3" w:rsidRDefault="00BE7FB3" w:rsidP="00BE7FB3">
      <w:pPr>
        <w:pStyle w:val="TextoNormal"/>
      </w:pPr>
    </w:p>
    <w:p w:rsidR="00BE7FB3" w:rsidRDefault="00BE7FB3" w:rsidP="00BE7FB3">
      <w:pPr>
        <w:pStyle w:val="TextoNormal"/>
      </w:pPr>
      <w:r>
        <w:t xml:space="preserve">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w:t>
      </w:r>
      <w:r>
        <w:lastRenderedPageBreak/>
        <w:t>de los mismos, ya que debe partirse en principio de la existencia de una presunción de constitucionalidad a favor de las normas o actos objeto de conflicto (en este sentido, AATC 24/2011, de 3 de marzo, FJ 2; 44/2011, de 12 de abril, FJ 2; 239/2012, de 12 de diciembre, FJ 2; y 60/2013, de 26 de febrero, FJ 2).</w:t>
      </w:r>
    </w:p>
    <w:p w:rsidR="00BE7FB3" w:rsidRDefault="00BE7FB3" w:rsidP="00BE7FB3">
      <w:pPr>
        <w:pStyle w:val="TextoNormal"/>
      </w:pPr>
    </w:p>
    <w:p w:rsidR="00BE7FB3" w:rsidRDefault="00BE7FB3" w:rsidP="00BE7FB3">
      <w:pPr>
        <w:pStyle w:val="TextoNormal"/>
      </w:pPr>
      <w:r w:rsidRPr="00BE7FB3">
        <w:rPr>
          <w:rStyle w:val="NumeroAFNegritaCaracter"/>
        </w:rPr>
        <w:t>3</w:t>
      </w:r>
      <w:r>
        <w:t>. En el presente proceso constitucional se impugna una regulación autonómica cuya finalidad y contenido coinciden con los del Decreto 114/2012, de 26 de junio, sobre régimen de las prestaciones sanitarias del sistema nacional de salud en el ámbito de la Comunidad Autónoma de Euskadi, objeto del conflicto de competencias núm. 4050-2012 promovido por el Gobierno de la Nación y que se halla pendiente ante este Tribunal. En efecto, la norma objeto de recurso en este proceso reconoce, en los mismos términos y con el mismo alcance que el mencionado Decreto vasco, un derecho de acceso a la complementación de las prestaciones farmacéuticas, aunque el citado Decreto vasco va más allá, pues también amplía el ámbito subjetivo del derecho a acceder a la asistencia sanitaria pública y gratuita con respecto a lo establecido en la normativa estatal.</w:t>
      </w:r>
    </w:p>
    <w:p w:rsidR="00BE7FB3" w:rsidRDefault="00BE7FB3" w:rsidP="00BE7FB3">
      <w:pPr>
        <w:pStyle w:val="TextoNormal"/>
      </w:pPr>
    </w:p>
    <w:p w:rsidR="00BE7FB3" w:rsidRDefault="00BE7FB3" w:rsidP="00BE7FB3">
      <w:pPr>
        <w:pStyle w:val="TextoNormal"/>
      </w:pPr>
      <w:r>
        <w:t>Sobre el mantenimiento o el levantamiento de la suspensión de la vigencia del Decreto vasco 114/2012 nos pronunciamos en el ATC 239/2012, de 12 de diciembre. Por lo tanto, a la hora de examinar las peticiones de mantenimiento o de levantamiento anticipado de la suspensión de la Ley Foral impugnada, nuestro punto de partida en este proceso constitucional será la ponderación de intereses que realizamos en el citado ATC 239/2012, sin perjuicio de que analicemos los nuevos motivos que nos hayan planteado las partes.</w:t>
      </w:r>
    </w:p>
    <w:p w:rsidR="00BE7FB3" w:rsidRDefault="00BE7FB3" w:rsidP="00BE7FB3">
      <w:pPr>
        <w:pStyle w:val="TextoNormal"/>
      </w:pPr>
    </w:p>
    <w:p w:rsidR="00BE7FB3" w:rsidRDefault="00BE7FB3" w:rsidP="00BE7FB3">
      <w:pPr>
        <w:pStyle w:val="TextoNormal"/>
      </w:pPr>
      <w:r w:rsidRPr="00BE7FB3">
        <w:rPr>
          <w:rStyle w:val="NumeroAFNegritaCaracter"/>
        </w:rPr>
        <w:t>4</w:t>
      </w:r>
      <w:r>
        <w:t>. Una vez precisado lo anterior examinaremos seguidamente la petición de levantamiento anticipado de la suspensión de los preceptos controvertidos.</w:t>
      </w:r>
    </w:p>
    <w:p w:rsidR="00BE7FB3" w:rsidRDefault="00BE7FB3" w:rsidP="00BE7FB3">
      <w:pPr>
        <w:pStyle w:val="TextoNormal"/>
      </w:pPr>
    </w:p>
    <w:p w:rsidR="00BE7FB3" w:rsidRDefault="00BE7FB3" w:rsidP="00BE7FB3">
      <w:pPr>
        <w:pStyle w:val="TextoNormal"/>
      </w:pPr>
      <w:r>
        <w:t>El Parlamento de Navarra justifica escuetamente el levantamiento de la suspensión de la vigencia de la Ley Foral impugnada aludiendo a la existencia de perjuicios generales y perjuicios individuales asociados al mantenimiento de tal suspensión. Esos perjuicios giran en torno al argumento de la protección de la salud colectiva y de la salud individual de los directamente afectados por las medidas de la Ley Foral. Frente a estos argumentos la Abogado del Estado afirma que, además de para quienes tengan la condición de asegurados o beneficiarios del Sistema Nacional de Salud, la protección de la salud queda garantizada también: a) para los menores; b) para los adultos en situaciones de urgencia y en los supuestos de embarazo, parto y postparto; c) para los extranjeros en situación irregular con cuyos países de origen existan convenios internacionales; y d) así como mediante los dispositivos generales de prevención sanitaria. Además, la Abogacía del Estado cita como intereses concernidos el general y público de la contención del gasto farmacéutico y el particular o privado de evitar la desigualdad entre los usuarios del Sistema Nacional de Salud que se encuentren en diferentes comunidades autónomas, así como la perspectiva europea de la igualdad de trato con respecto a los ciudadanos de la Unión Europea, el Espacio Económico Europeo y Suiza.</w:t>
      </w:r>
    </w:p>
    <w:p w:rsidR="00BE7FB3" w:rsidRDefault="00BE7FB3" w:rsidP="00BE7FB3">
      <w:pPr>
        <w:pStyle w:val="TextoNormal"/>
      </w:pPr>
    </w:p>
    <w:p w:rsidR="00BE7FB3" w:rsidRDefault="00BE7FB3" w:rsidP="00BE7FB3">
      <w:pPr>
        <w:pStyle w:val="TextoNormal"/>
      </w:pPr>
      <w:r>
        <w:t xml:space="preserve">Cabe recordar que la Ley Foral impugnada “tiene por objeto regular en la Comunidad Foral de Navarra la complementación de las condiciones financieras básicas en que se desarrolla la prestación farmacéutica” (art. 1). El art. 2 establece los titulares del derecho a la complementación; el art. 3 contiene normas para la aplicación del régimen de la prestación farmacéutica ambulatoria del Sistema Nacional de Salud; el art. 4 recoge normas para la </w:t>
      </w:r>
      <w:r>
        <w:lastRenderedPageBreak/>
        <w:t>extensión de la cobertura financiera pública de la prestación farmacéutica ambulatoria del Sistema Nacional de Salud en la Comunidad Foral de Navarra; y, por último, el art. 5 establece el alcance de la extensión de la cobertura financiera, reduciendo el porcentaje de contribución al pago de medicamentos de los usuarios del Sistema Nacional de Salud en la Comunidad Foral de Navarra y ampliando los sujetos beneficiarios de la exención al copago.</w:t>
      </w:r>
    </w:p>
    <w:p w:rsidR="00BE7FB3" w:rsidRDefault="00BE7FB3" w:rsidP="00BE7FB3">
      <w:pPr>
        <w:pStyle w:val="TextoNormal"/>
      </w:pPr>
    </w:p>
    <w:p w:rsidR="00BE7FB3" w:rsidRDefault="00BE7FB3" w:rsidP="00BE7FB3">
      <w:pPr>
        <w:pStyle w:val="TextoNormal"/>
      </w:pPr>
      <w:r>
        <w:t>La cuestión del mantenimiento o levantamiento de la suspensión de medidas autonómicas vinculadas a políticas de contención del gasto farmacéutico ha sido objeto de los AATC 270/1997, de 15 julio; 95/2011, de 21 junio; 96/2011, de 21 junio; 147/2012, de 16 de julio; 238/2012, de 12 de diciembre; y 239/2012, de 12 de diciembre. En el ATC 239/2012 recordamos que ya en el ATC 270/1997 se había señalado que el hecho de que la normativa autonómica impugnada supusiera un régimen de financiación pública de las prestaciones farmacológicas distinto del que rige en el resto del territorio nacional podría “poner en peligro el conjunto de la política estatal de contención del gasto público, por cuanto se vería afectado un componente esencial del mismo como es el relativo al gasto farmacéutico” (FJ 3). Pues bien, esta línea argumental ha sido desarrollada y reforzada en Autos más recientes, relativos a medidas autonómicas adoptadas en el contexto de la actual crisis económica, afirmándose que “es indiscutible que, tal y como confirman las propias decisiones del legislador estatal, la sostenibilidad del sistema sanitario público impone a todos los poderes públicos la necesidad de adoptar medidas de racionalización y contención del gasto farmacéutico pues es uno de los principales componentes del gasto sanitario y en el que más pueden incidir las políticas de control del mismo, tanto más necesarias en una situación como la actual caracterizada por una exigente reducción del gasto público. La contención y reducción del gasto farmacéutico es, por tanto, un objetivo a conseguir por la totalidad de las estructuras del sistema nacional de salud” (AATC 147/2012, FJ 6; y 239/2012, FJ 6).</w:t>
      </w:r>
    </w:p>
    <w:p w:rsidR="00BE7FB3" w:rsidRDefault="00BE7FB3" w:rsidP="00BE7FB3">
      <w:pPr>
        <w:pStyle w:val="TextoNormal"/>
      </w:pPr>
    </w:p>
    <w:p w:rsidR="00BE7FB3" w:rsidRDefault="00BE7FB3" w:rsidP="00BE7FB3">
      <w:pPr>
        <w:pStyle w:val="TextoNormal"/>
      </w:pPr>
      <w:r>
        <w:t xml:space="preserve">Estos argumentos se pueden trasladar al presente caso. La Abogado del Estado aporta un informe del Ministerio de Sanidad, Servicios Sociales e Igualdad, elaborado por su Dirección General de Cartera Básica de Servicios del Servicio Nacional de Salud y Farmacia (documento núm. 2 del escrito de alegaciones), del que se extraen los siguientes datos económicos de evolución del gasto farmacéutico en el Estado y en la Comunidad Foral de Navarra. En el conjunto del Estado el ahorro en el gasto farmacéutico a través de receta oficial del Sistema Nacional de Salud en 2012 frente a 2011 fue de 1.365 millones de euros, de los que 1.107 millones de euros se ahorraron desde julio de 2012, fecha en la que se implantaron las nuevas medidas de copago. Ello supuso un descenso del 12,26 por 100 de la factura farmacéutica. Desde julio de 2012, los descensos alcanzaron valores de ahorro máximos del 25 por 100 en septiembre frente al gasto del mismo mes del año anterior, situándose el gasto farmacéutico a través de receta en 2012 en niveles de 2004. Por lo que respecta en concreto a la Comunidad Foral de Navarra, el referido informe señala que su gasto farmacéutico disminuyó en el segundo semestre de 2012 con respecto al primer semestre en un 20,60 por 100, una disminución inferior pero muy cercana a la media nacional (21,55 por 100). Hemos de subrayar que dicho descenso se produce a pesar de desconocer —por no haberlo alegado las partes— el impacto derivado de la entrada en vigor de la Ley Foral impugnada el 31 de octubre de 2012 (esto es, el día siguiente al de su publicación en el “Boletín Oficial de Navarra”). Por su parte el Parlamento de Navarra no aporta argumentos suficientes, ni datos que permitan inferir que la inaplicación de la Ley Foral impugnada vaya a producir, desde el punto de vista cautelar que ahora hemos de adoptar y huyendo de toda consideración </w:t>
      </w:r>
      <w:r>
        <w:lastRenderedPageBreak/>
        <w:t>sobre el fondo del asunto, una reducción de la calidad y eficacia de la prestación farmacéutica que revierta en una lesión del derecho a la protección de la salud, puesto que el argumento relativo a la adherencia al tratamiento y a la continuidad del mismo se formula con un carácter marcadamente hipotético que en ningún momento se concretan ni justifican. Por tanto, hemos de concluir que el perjuicio económico que, para el objetivo de control del déficit supondría el levantamiento de la suspensión parece claro, no pudiendo quedar desvirtuado por el efectivo perjuicio que pudiera derivarse para los individuos usuarios del sistema de salud, al incrementarse el porcentaje de copago.</w:t>
      </w:r>
    </w:p>
    <w:p w:rsidR="00BE7FB3" w:rsidRDefault="00BE7FB3" w:rsidP="00BE7FB3">
      <w:pPr>
        <w:pStyle w:val="TextoNormal"/>
      </w:pPr>
    </w:p>
    <w:p w:rsidR="00BE7FB3" w:rsidRDefault="00BE7FB3" w:rsidP="00BE7FB3">
      <w:pPr>
        <w:pStyle w:val="TextoNormal"/>
      </w:pPr>
      <w:r>
        <w:t>A la vista de lo anterior, y aplicando el mismo criterio utilizado en el ATC 239/2012 (FJ 6), este Tribunal entiende que se ha de mantener la suspensión de la vigencia del art. 5.1 de la Ley Foral 18/2012, relativo a la extensión de la cobertura financiera, que tiene la siguiente redacción:</w:t>
      </w:r>
    </w:p>
    <w:p w:rsidR="00BE7FB3" w:rsidRDefault="00BE7FB3" w:rsidP="00BE7FB3">
      <w:pPr>
        <w:pStyle w:val="TextoNormal"/>
      </w:pPr>
    </w:p>
    <w:p w:rsidR="00BE7FB3" w:rsidRDefault="00BE7FB3" w:rsidP="00BE7FB3">
      <w:pPr>
        <w:pStyle w:val="TextoNormal"/>
      </w:pPr>
      <w:r>
        <w:t>“1. La cobertura prevista en el artículo anterior, en cuanto a la aportación de las personas usuarias a la prestación farmacéutica ambulatoria del Sistema Nacional de Salud supone las siguientes condiciones económicas:</w:t>
      </w:r>
    </w:p>
    <w:p w:rsidR="00BE7FB3" w:rsidRDefault="00BE7FB3" w:rsidP="00BE7FB3">
      <w:pPr>
        <w:pStyle w:val="TextoNormal"/>
      </w:pPr>
    </w:p>
    <w:p w:rsidR="00BE7FB3" w:rsidRDefault="00BE7FB3" w:rsidP="00BE7FB3">
      <w:pPr>
        <w:pStyle w:val="TextoNormal"/>
      </w:pPr>
      <w:r>
        <w:t>a) Con carácter general, el porcentaje de aportación económica que corresponderá satisfacer a las personas usuarias, será del 40 por 100 sobre el precio de venta al público. Se exceptúan de tales condiciones los medicamentos sujetos al sistema de aportación reducida.</w:t>
      </w:r>
    </w:p>
    <w:p w:rsidR="00BE7FB3" w:rsidRDefault="00BE7FB3" w:rsidP="00BE7FB3">
      <w:pPr>
        <w:pStyle w:val="TextoNormal"/>
      </w:pPr>
    </w:p>
    <w:p w:rsidR="00BE7FB3" w:rsidRDefault="00BE7FB3" w:rsidP="00BE7FB3">
      <w:pPr>
        <w:pStyle w:val="TextoNormal"/>
      </w:pPr>
      <w:r>
        <w:t>b) Con carácter singular, estarán exentos de aportación los usuarios y sus beneficiarios que pertenezcan a alguna de las siguientes categorías:</w:t>
      </w:r>
    </w:p>
    <w:p w:rsidR="00BE7FB3" w:rsidRDefault="00BE7FB3" w:rsidP="00BE7FB3">
      <w:pPr>
        <w:pStyle w:val="TextoNormal"/>
      </w:pPr>
    </w:p>
    <w:p w:rsidR="00BE7FB3" w:rsidRDefault="00BE7FB3" w:rsidP="00BE7FB3">
      <w:pPr>
        <w:pStyle w:val="TextoNormal"/>
      </w:pPr>
      <w:r>
        <w:t>i. Pensionistas, incluidas las personas perceptoras de pensiones no contributivas.</w:t>
      </w:r>
    </w:p>
    <w:p w:rsidR="00BE7FB3" w:rsidRDefault="00BE7FB3" w:rsidP="00BE7FB3">
      <w:pPr>
        <w:pStyle w:val="TextoNormal"/>
      </w:pPr>
    </w:p>
    <w:p w:rsidR="00BE7FB3" w:rsidRDefault="00BE7FB3" w:rsidP="00BE7FB3">
      <w:pPr>
        <w:pStyle w:val="TextoNormal"/>
      </w:pPr>
      <w:r>
        <w:t>ii. Personas afectadas de síndrome tóxico y personas con discapacidad en los supuestos contemplados en su normativa específica.</w:t>
      </w:r>
    </w:p>
    <w:p w:rsidR="00BE7FB3" w:rsidRDefault="00BE7FB3" w:rsidP="00BE7FB3">
      <w:pPr>
        <w:pStyle w:val="TextoNormal"/>
      </w:pPr>
    </w:p>
    <w:p w:rsidR="00BE7FB3" w:rsidRDefault="00BE7FB3" w:rsidP="00BE7FB3">
      <w:pPr>
        <w:pStyle w:val="TextoNormal"/>
      </w:pPr>
      <w:r>
        <w:t>iii. Personas perceptoras de renta de inclusión social.</w:t>
      </w:r>
    </w:p>
    <w:p w:rsidR="00BE7FB3" w:rsidRDefault="00BE7FB3" w:rsidP="00BE7FB3">
      <w:pPr>
        <w:pStyle w:val="TextoNormal"/>
      </w:pPr>
    </w:p>
    <w:p w:rsidR="00BE7FB3" w:rsidRDefault="00BE7FB3" w:rsidP="00BE7FB3">
      <w:pPr>
        <w:pStyle w:val="TextoNormal"/>
      </w:pPr>
      <w:r>
        <w:t>iv. Personas paradas que han perdido el derecho a percibir el subsidio de desempleo en tanto subsista su situación.</w:t>
      </w:r>
    </w:p>
    <w:p w:rsidR="00BE7FB3" w:rsidRDefault="00BE7FB3" w:rsidP="00BE7FB3">
      <w:pPr>
        <w:pStyle w:val="TextoNormal"/>
      </w:pPr>
    </w:p>
    <w:p w:rsidR="00BE7FB3" w:rsidRDefault="00BE7FB3" w:rsidP="00BE7FB3">
      <w:pPr>
        <w:pStyle w:val="TextoNormal"/>
      </w:pPr>
      <w:r>
        <w:t>v. Personas con tratamientos derivados de accidente de trabajo y enfermedad profesional.</w:t>
      </w:r>
    </w:p>
    <w:p w:rsidR="00BE7FB3" w:rsidRDefault="00BE7FB3" w:rsidP="00BE7FB3">
      <w:pPr>
        <w:pStyle w:val="TextoNormal"/>
      </w:pPr>
    </w:p>
    <w:p w:rsidR="00BE7FB3" w:rsidRDefault="00BE7FB3" w:rsidP="00BE7FB3">
      <w:pPr>
        <w:pStyle w:val="TextoNormal"/>
      </w:pPr>
      <w:r>
        <w:t>vi. Así mismo, están exentas de aportación aquellas personas que se relacionan a continuación:</w:t>
      </w:r>
    </w:p>
    <w:p w:rsidR="00BE7FB3" w:rsidRDefault="00BE7FB3" w:rsidP="00BE7FB3">
      <w:pPr>
        <w:pStyle w:val="TextoNormal"/>
      </w:pPr>
    </w:p>
    <w:p w:rsidR="00BE7FB3" w:rsidRDefault="00BE7FB3" w:rsidP="00BE7FB3">
      <w:pPr>
        <w:pStyle w:val="TextoNormal"/>
      </w:pPr>
      <w:r>
        <w:t>• Mayores de 65 años.</w:t>
      </w:r>
    </w:p>
    <w:p w:rsidR="00BE7FB3" w:rsidRDefault="00BE7FB3" w:rsidP="00BE7FB3">
      <w:pPr>
        <w:pStyle w:val="TextoNormal"/>
      </w:pPr>
      <w:r>
        <w:t>• Personas viudas.</w:t>
      </w:r>
    </w:p>
    <w:p w:rsidR="00BE7FB3" w:rsidRDefault="00BE7FB3" w:rsidP="00BE7FB3">
      <w:pPr>
        <w:pStyle w:val="TextoNormal"/>
      </w:pPr>
      <w:r>
        <w:t>• Personas huérfanas menores de 18 años.</w:t>
      </w:r>
    </w:p>
    <w:p w:rsidR="00BE7FB3" w:rsidRDefault="00BE7FB3" w:rsidP="00BE7FB3">
      <w:pPr>
        <w:pStyle w:val="TextoNormal"/>
      </w:pPr>
      <w:r>
        <w:t>• Personas con minusvalía en grado igual o superior al 33 por 100.”</w:t>
      </w:r>
    </w:p>
    <w:p w:rsidR="00BE7FB3" w:rsidRDefault="00BE7FB3" w:rsidP="00BE7FB3">
      <w:pPr>
        <w:pStyle w:val="TextoNormal"/>
      </w:pPr>
    </w:p>
    <w:p w:rsidR="00BE7FB3" w:rsidRDefault="00BE7FB3" w:rsidP="00BE7FB3">
      <w:pPr>
        <w:pStyle w:val="TextoNormal"/>
      </w:pPr>
      <w:r>
        <w:t>En cuanto al art. 5.2, siendo éste meramente instrumental del art. 5.1 en cuanto que establece en qué momento se realizará la aportación referida en dicho precepto, ha de correr la misma suerte que aquel, de modo que se mantiene también la suspensión del mismo.</w:t>
      </w:r>
    </w:p>
    <w:p w:rsidR="00BE7FB3" w:rsidRDefault="00BE7FB3" w:rsidP="00BE7FB3">
      <w:pPr>
        <w:pStyle w:val="TextoNormal"/>
      </w:pPr>
    </w:p>
    <w:p w:rsidR="00BE7FB3" w:rsidRDefault="00BE7FB3" w:rsidP="00BE7FB3">
      <w:pPr>
        <w:pStyle w:val="TextoNormal"/>
      </w:pPr>
      <w:r>
        <w:t>Asimismo debemos mantener la suspensión de la vigencia de los preceptos que guardan relación con el art. 5.1, al establecer diversas normas para la complementación de la cobertura financiera pública de la prestación farmacéutica ambulatoria del Sistema Nacional de Salud en la Comunidad Foral de Navarra. Este es el caso de los arts. 1; 2; 3; 4, apartados 2 y 3, así como de la disposición final primera.</w:t>
      </w:r>
    </w:p>
    <w:p w:rsidR="00BE7FB3" w:rsidRDefault="00BE7FB3" w:rsidP="00BE7FB3">
      <w:pPr>
        <w:pStyle w:val="TextoNormal"/>
      </w:pPr>
    </w:p>
    <w:p w:rsidR="00BE7FB3" w:rsidRDefault="00BE7FB3" w:rsidP="00BE7FB3">
      <w:pPr>
        <w:pStyle w:val="TextoNormal"/>
      </w:pPr>
      <w:r>
        <w:t>En efecto, el art. 1 dispone que el objeto de la Ley Foral es regular en la Comunidad Foral de Navarra la complementación de las condiciones financieras básicas en que se desarrolla la prestación farmacéutica. Procede, pues, mantener la suspensión del art. 1.</w:t>
      </w:r>
    </w:p>
    <w:p w:rsidR="00BE7FB3" w:rsidRDefault="00BE7FB3" w:rsidP="00BE7FB3">
      <w:pPr>
        <w:pStyle w:val="TextoNormal"/>
      </w:pPr>
    </w:p>
    <w:p w:rsidR="00BE7FB3" w:rsidRDefault="00BE7FB3" w:rsidP="00BE7FB3">
      <w:pPr>
        <w:pStyle w:val="TextoNormal"/>
      </w:pPr>
      <w:r>
        <w:t>En efecto, el art. 2 reconoce los titulares del derecho de acceso a la complementación de las prestaciones farmacéuticas que se describen en la Ley Foral. Procede, por tanto, mantener la suspensión del art. 2.</w:t>
      </w:r>
    </w:p>
    <w:p w:rsidR="00BE7FB3" w:rsidRDefault="00BE7FB3" w:rsidP="00BE7FB3">
      <w:pPr>
        <w:pStyle w:val="TextoNormal"/>
      </w:pPr>
    </w:p>
    <w:p w:rsidR="00BE7FB3" w:rsidRDefault="00BE7FB3" w:rsidP="00BE7FB3">
      <w:pPr>
        <w:pStyle w:val="TextoNormal"/>
      </w:pPr>
      <w:r>
        <w:t>Por su parte, el art. 3 establece, por un lado, cuál es la normativa aplicable a la dispensación en la Comunidad Foral de Navarra de los medicamentos y productos sanitarios que integran la prestación farmacéutica pública ambulatoria del Sistema Nacional de Salud, previendo, por otro lado, que los sistemas de información para apoyo a la prescripción en el ámbito de los servicios sanitarios del Servicio Navarro de Salud-Osasunbidea añadirán la información integrada por las determinaciones sobre el ámbito subjetivo que establece la Ley Foral respecto al sistema de aportación de las personas usuarias a la prestación farmacéutica. Procede, por tanto, mantener la suspensión del art. 3.</w:t>
      </w:r>
    </w:p>
    <w:p w:rsidR="00BE7FB3" w:rsidRDefault="00BE7FB3" w:rsidP="00BE7FB3">
      <w:pPr>
        <w:pStyle w:val="TextoNormal"/>
      </w:pPr>
    </w:p>
    <w:p w:rsidR="00BE7FB3" w:rsidRDefault="00BE7FB3" w:rsidP="00BE7FB3">
      <w:pPr>
        <w:pStyle w:val="TextoNormal"/>
      </w:pPr>
      <w:r>
        <w:t>A su vez, los apartados 2 y 3 del art. 4 se refieren a la extensión de la cobertura financiera que prevé el art. 5.1 de la Ley Foral a las personas que indica el art. 2 y al mecanismo de rembolso de medicamentos y productos sanitarios en el supuesto de que la dispensación tenga lugar en oficinas de farmacia ubicadas fuera de la Comunidad Foral de Navarra. Procede, por tanto, mantener la suspensión del art. 4, apartados 2 y 3.</w:t>
      </w:r>
    </w:p>
    <w:p w:rsidR="00BE7FB3" w:rsidRDefault="00BE7FB3" w:rsidP="00BE7FB3">
      <w:pPr>
        <w:pStyle w:val="TextoNormal"/>
      </w:pPr>
    </w:p>
    <w:p w:rsidR="00BE7FB3" w:rsidRDefault="00BE7FB3" w:rsidP="00BE7FB3">
      <w:pPr>
        <w:pStyle w:val="TextoNormal"/>
      </w:pPr>
      <w:r>
        <w:t>Finalmente, la disposición final primera faculta a la Consejera de Salud para dictar disposiciones de adaptación del modelo oficial de receta y de establecimiento del procedimiento de reintegro de gastos previstos en el art. 5.2. Procede, por tanto, mantener la suspensión de la disposición final primera.</w:t>
      </w:r>
    </w:p>
    <w:p w:rsidR="00BE7FB3" w:rsidRDefault="00BE7FB3" w:rsidP="00BE7FB3">
      <w:pPr>
        <w:pStyle w:val="TextoNormal"/>
      </w:pPr>
    </w:p>
    <w:p w:rsidR="00BE7FB3" w:rsidRDefault="00BE7FB3" w:rsidP="00BE7FB3">
      <w:pPr>
        <w:pStyle w:val="TextoNormal"/>
      </w:pPr>
      <w:r>
        <w:t>Por lo que respecta a los demás preceptos de la Ley impugnada que no guardan relación con el art. 5.1, debemos levantar la suspensión de su vigencia. En efecto, la Abogado del Estado, en su escrito de interposición del recurso de inconstitucionalidad, no ha alegado en este incidente que su levantamiento anticipado pudiera causar perjuicios de imposible o difícil reparación. Procede, por tanto, levantar la suspensión de los arts. 2, apartado 1, y 4, apartado 1, y de las disposiciones adicional y final segunda.</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lastRenderedPageBreak/>
        <w:t>1º Levantar la suspensión de los arts. 2, apartado 1, y 4, apartado 1, y de las disposiciones adicional y final segunda de la Ley 18/2012, de 19 de octubre, sobre la complementación de las prestaciones farmacéuticas en la Comunidad Foral de Navarra.</w:t>
      </w:r>
    </w:p>
    <w:p w:rsidR="00BE7FB3" w:rsidRDefault="00BE7FB3" w:rsidP="00BE7FB3">
      <w:pPr>
        <w:pStyle w:val="TextoNormal"/>
      </w:pPr>
    </w:p>
    <w:p w:rsidR="00BE7FB3" w:rsidRDefault="00BE7FB3" w:rsidP="00BE7FB3">
      <w:pPr>
        <w:pStyle w:val="TextoNormal"/>
      </w:pPr>
      <w:r>
        <w:t>2º Mantener la suspensión de los demás preceptos de la Ley Foral 18/2012.</w:t>
      </w:r>
    </w:p>
    <w:p w:rsidR="00BE7FB3" w:rsidRDefault="00BE7FB3" w:rsidP="00BE7FB3">
      <w:pPr>
        <w:pStyle w:val="TextoNormal"/>
      </w:pPr>
    </w:p>
    <w:p w:rsidR="00BE7FB3" w:rsidRDefault="00BE7FB3" w:rsidP="00BE7FB3">
      <w:pPr>
        <w:pStyle w:val="TextoNormal"/>
      </w:pPr>
      <w:r>
        <w:t>Madrid, a veintitrés de abril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30" w:name="AUTO_2013_89"/>
      <w:r>
        <w:lastRenderedPageBreak/>
        <w:t>AUTO 89/2013, de 6 de mayo de 2013</w:t>
      </w:r>
    </w:p>
    <w:bookmarkEnd w:id="230"/>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TtuloBOE"/>
      </w:pPr>
      <w:r>
        <w:t>("BOE" núm. 133, de 4 de junio de 2013)</w:t>
      </w:r>
    </w:p>
    <w:p w:rsidR="00BE7FB3" w:rsidRDefault="00BE7FB3" w:rsidP="00BE7FB3">
      <w:pPr>
        <w:pStyle w:val="TtuloBOE"/>
      </w:pPr>
    </w:p>
    <w:p w:rsidR="00BE7FB3" w:rsidRDefault="00BE7FB3" w:rsidP="00BE7FB3">
      <w:pPr>
        <w:pStyle w:val="SntesisDescriptiva"/>
      </w:pPr>
      <w:r>
        <w:t>ECLI:ES:TC:2013:89A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y don Fernando Valdés Dal-Ré.</w:t>
      </w:r>
    </w:p>
    <w:p w:rsidR="00BE7FB3" w:rsidRDefault="00BE7FB3" w:rsidP="00BE7FB3">
      <w:pPr>
        <w:pStyle w:val="SntesisDescriptiva"/>
      </w:pPr>
    </w:p>
    <w:p w:rsidR="00BE7FB3" w:rsidRDefault="00BE7FB3" w:rsidP="00BE7FB3">
      <w:pPr>
        <w:pStyle w:val="SntesisDescriptiva"/>
      </w:pPr>
      <w:r>
        <w:t>Acuerda no acceder al desistimiento ni al archivo en el recurso de amparo 9138-2008, promovido por el Centro de Iniciativas para la Formación Agraria, S. A., en relación con el Decreto de la Comunidad de Castilla La Mancha 22/2004, de 2 de marzo, sobre admisión de alumnos en centros docentes no universitarios sostenidos con fondos públicos. Votos particulares.</w:t>
      </w:r>
    </w:p>
    <w:p w:rsidR="00BE7FB3" w:rsidRDefault="00BE7FB3" w:rsidP="00BE7FB3">
      <w:pPr>
        <w:pStyle w:val="SntesisDescriptiva"/>
      </w:pPr>
    </w:p>
    <w:p w:rsidR="00BE7FB3" w:rsidRDefault="00BE7FB3" w:rsidP="00BE7FB3">
      <w:pPr>
        <w:pStyle w:val="SntesisAnaltica"/>
      </w:pPr>
      <w:r>
        <w:t>Centros docentes: selección de alumnos. Desistimiento en el recurso de amparo, improcedencia; requisitos del desistimiento en el recurso de amparo. Educación: educación diferenciada por sexos. Libertad de creación de centros docentes: centros docentes concertados. Procedimiento constitucional: Ministerio fiscal. Votos particulares: formulados dos.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21 de noviembre de 2008 el Procurador de los Tribunales don Juan Luis Cárdenas Porras, en nombre y representación de la sociedad mercantil Centro de Iniciativas para la Formación Agraria, S.A. (CIFASA), y bajo la dirección del Letrado don Valeriano Hernández-Tavera, interpuso recurso de amparo contra el Decreto de la Comunidad Autónoma de Castilla La Mancha 22/2004, de 2 de marzo, sobre admisión de alumnos en centros docentes no universitarios sostenidos con fondos públicos, en particular contra su artículo 12, en la medida en que atribuye la facultad de admisión de alumnos en los centros concertados a un consejo de escolarización y no al titular de esos centros, y contra sus artículos 2.4 y 4.1, en cuanto implican que un centro educativo no pueda ser concertado y optar a su vez por la educación diferenciada. La entidad recurrente entiende, y así lo expresa en el encabezamiento de su escrito de demanda, que las disposiciones impugnadas vulneran distintas dimensiones de los derechos a la educación y a la enseñanza contenidos en el art. 27 CE.</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Por providencia de 22 de septiembre de 2010, la Sección Primera de este Tribunal acordó, de conformidad con el art. 50.1 a) de la Ley Orgánica del Tribunal Constitucional en relación con su art. 43.1, inadmitir a trámite el recurso de amparo presentado por CIFASA por considerar que “el recurso es extemporáneo al haber interpuesto un incidente de nulidad de actuaciones manifiestamente improcedente”. Interpuesto recurso de súplica por el Ministerio Fiscal el 20 de octubre de 2010, al que se adhirió la entidad recurrente en </w:t>
      </w:r>
      <w:r>
        <w:lastRenderedPageBreak/>
        <w:t>amparo, fue estimado mediante el Auto 35/2011, de 11 de abril, de la Sección Primera de este Tribunal; posteriormente fue admitido a trámite el recurso de amparo presentado por CIFASA, mediante providencia de 17 de octubre de 2011 de la Sala Primera del Tribunal Constitucional.</w:t>
      </w:r>
    </w:p>
    <w:p w:rsidR="00BE7FB3" w:rsidRDefault="00BE7FB3" w:rsidP="00BE7FB3">
      <w:pPr>
        <w:pStyle w:val="TextoNormal"/>
      </w:pPr>
    </w:p>
    <w:p w:rsidR="00BE7FB3" w:rsidRDefault="00BE7FB3" w:rsidP="00BE7FB3">
      <w:pPr>
        <w:pStyle w:val="TextoNormal"/>
      </w:pPr>
      <w:r w:rsidRPr="00BE7FB3">
        <w:rPr>
          <w:rStyle w:val="NumeroAFNegritaCaracter"/>
        </w:rPr>
        <w:t>3</w:t>
      </w:r>
      <w:r>
        <w:t>. La Secretaría de Justicia de la Sala Primera de este Tribunal, por diligencia de ordenación de 13 de enero de 2012, tuvo por recibidos los testimonios de las actuaciones remitidos por la Sala Tercera del Tribunal Supremo y por la Sección Segunda de la Sala de lo Contencioso-Administrativo del Tribunal Superior de Justicia de Castilla-la-Mancha y por personado al Letrado de la Junta de Comunidades de Castilla-La Mancha en nombre y representación del Consejo de Gobierno de dicha Comunidad. Mediante diligencia de ordenación de veintinueve de febrero de 2012, se hace constar la recepción de los escritos de alegaciones del Letrado de la Junta de Comunidades fechado el 14 de febrero de 2012 y del Ministerio Fiscal, de 23 de febrero de 2012, ambos interesando la desestimación del recurso de amparo solicitado. Asimismo, en idéntica diligencia la Secretaría de Justicia de la Sala Primera de este Tribunal hizo constar que el presente recurso de amparo quedaba pendiente para deliberación cuando por turno correspondiera.</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escrito de 8 de enero de 2013, el Magistrado Excmo. Sr. don Juan José González Rivas manifestó su voluntad de abstenerse en el presente recurso de amparo y todas sus incidencias, por entender que concurría la causa establecida en el art. 219.11 de la Ley Orgánica del Poder Judicial, supletoria de la Ley Orgánica del Tribunal Constitucional (art. 80), al haber intervenido en instancia anterior, en su condición de Magistrado de la Sala de lo Contencioso-Administrativo del Tribunal Supremo, en la resolución impugnada. La Sala Primera del Tribunal Constitucional, por ATC 3/2013, de 14 de enero de 2013, acordó aceptar la abstención formulada por el Magistrado don Juan José González Rivas, apartándole del conocimiento del mismo. El Auto de abstención fue notificado a las partes el 16 de enero de 2013.</w:t>
      </w:r>
    </w:p>
    <w:p w:rsidR="00BE7FB3" w:rsidRDefault="00BE7FB3" w:rsidP="00BE7FB3">
      <w:pPr>
        <w:pStyle w:val="TextoNormal"/>
      </w:pPr>
    </w:p>
    <w:p w:rsidR="00BE7FB3" w:rsidRDefault="00BE7FB3" w:rsidP="00BE7FB3">
      <w:pPr>
        <w:pStyle w:val="TextoNormal"/>
      </w:pPr>
      <w:r w:rsidRPr="00BE7FB3">
        <w:rPr>
          <w:rStyle w:val="NumeroAFNegritaCaracter"/>
        </w:rPr>
        <w:t>5</w:t>
      </w:r>
      <w:r>
        <w:t>. Por escrito de fecha de 11 de enero de 2013, registrado en este Tribunal el siguiente día 14 del mismo mes, la demandante de amparo manifestó que desistía del presente recurso de amparo, solicitando, a su vez, que se le tuviera por desistida y que se procediera al archivo del procedimiento. El referido escrito no contenía explicación o referencia alguna al motivo de su petición. Mediante providencia de la Sala Primera, de 28 de enero de 2013, se tuvo por recibido el escrito de desistimiento, dando traslado del mismo al Ministerio Fiscal y al Letrado de la Junta de Comunidades de Castilla-La Mancha, concediéndoles un plazo de cinco días para que alegaran lo que estimasen pertinente en relación con el desistimiento formulado.</w:t>
      </w:r>
    </w:p>
    <w:p w:rsidR="00BE7FB3" w:rsidRDefault="00BE7FB3" w:rsidP="00BE7FB3">
      <w:pPr>
        <w:pStyle w:val="TextoNormal"/>
      </w:pPr>
    </w:p>
    <w:p w:rsidR="00BE7FB3" w:rsidRDefault="00BE7FB3" w:rsidP="00BE7FB3">
      <w:pPr>
        <w:pStyle w:val="TextoNormal"/>
      </w:pPr>
      <w:r w:rsidRPr="00BE7FB3">
        <w:rPr>
          <w:rStyle w:val="NumeroAFNegritaCaracter"/>
        </w:rPr>
        <w:t>6</w:t>
      </w:r>
      <w:r>
        <w:t>. El Letrado de la Junta de Comunidades de Castilla-La Mancha, por escrito registrado el 6 de febrero de 2013, manifiesta escuetamente que no se opone al desistimiento formulado por la recurrente.</w:t>
      </w:r>
    </w:p>
    <w:p w:rsidR="00BE7FB3" w:rsidRDefault="00BE7FB3" w:rsidP="00BE7FB3">
      <w:pPr>
        <w:pStyle w:val="TextoNormal"/>
      </w:pPr>
    </w:p>
    <w:p w:rsidR="00BE7FB3" w:rsidRDefault="00BE7FB3" w:rsidP="00BE7FB3">
      <w:pPr>
        <w:pStyle w:val="TextoNormal"/>
      </w:pPr>
      <w:r w:rsidRPr="00BE7FB3">
        <w:rPr>
          <w:rStyle w:val="NumeroAFNegritaCaracter"/>
        </w:rPr>
        <w:t>7</w:t>
      </w:r>
      <w:r>
        <w:t xml:space="preserve">. El Ministerio Fiscal, por su parte, mediante escrito registrado el 15 de febrero de 2013, solicita de la Sala que no se acceda a la petición formulada por la demandante de amparo y que se mantenga la continuación de este procedimiento constitucional hasta su finalización por medio de sentencia. Expone el Ministerio Fiscal que el desistimiento es una forma de </w:t>
      </w:r>
      <w:r>
        <w:lastRenderedPageBreak/>
        <w:t>terminación del procedimiento constitucional de amparo en tanto se cumplan las exigencias procesales oportunas, no conste oposición de tercero y no concurra interés público en la continuación del proceso. Lo cual significa, subraya, que el principio dispositivo no opera de forma vinculante para el Tribunal, pues aunque la justicia constitucional sea de carácter rogado, la mera voluntad unilateral de quien pretende desistir, no puede sin más prevalecer ante la concurrencia de otros intereses.</w:t>
      </w:r>
    </w:p>
    <w:p w:rsidR="00BE7FB3" w:rsidRDefault="00BE7FB3" w:rsidP="00BE7FB3">
      <w:pPr>
        <w:pStyle w:val="TextoNormal"/>
      </w:pPr>
    </w:p>
    <w:p w:rsidR="00BE7FB3" w:rsidRDefault="00BE7FB3" w:rsidP="00BE7FB3">
      <w:pPr>
        <w:pStyle w:val="TextoNormal"/>
      </w:pPr>
      <w:r>
        <w:t>En este caso el Ministerio Fiscal justifica la continuación del procedimiento por la concurrencia de un interés público de importancia manifiesta por las cuestiones sometidas en el presente recurso de amparo a la consideración del Tribunal. Por un lado la cuestión relativa a la competencia del Tribunal Constitucional para declarar la inconstitucionalidad parcial de una norma reglamentaria a través de un recurso de amparo. Por otro, el análisis de la denunciada violación del principio de reserva de ley del art. 53.1 CE. Y como último y principal argumento, el examen de la aducida vulneración del art. 27 CE, apartados 1 (libertad de enseñanza) y 6 (libertad de creación de centros), en relación con la facultad de admisión de alumnos en centros docentes no universitarios sostenidos con fondos públicos, cuestión en la que el Ministerio Fiscal entiende que reside la especial trascendencia constitucional del presente recurso de amparo.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art. 86.1 de la Ley Orgánica del Tribunal Constitucional (LOTC) prevé expresamente el desistimiento como una de las formas de terminación del recurso de amparo, al que, como ha reiterado este Tribunal, resulta de aplicación supletoria la legislación procesal ordinaria, de conformidad con el art. 80 LOTC (por todos, ATC 164/2012, de 17 de septiembre).</w:t>
      </w:r>
    </w:p>
    <w:p w:rsidR="00BE7FB3" w:rsidRDefault="00BE7FB3" w:rsidP="00BE7FB3">
      <w:pPr>
        <w:pStyle w:val="TextoNormal"/>
      </w:pPr>
    </w:p>
    <w:p w:rsidR="00BE7FB3" w:rsidRDefault="00BE7FB3" w:rsidP="00BE7FB3">
      <w:pPr>
        <w:pStyle w:val="TextoNormal"/>
      </w:pPr>
      <w:r>
        <w:t>Con arreglo al art 25.2.1 de la Ley de enjuiciamiento civil, para formular eficazmente el desistimiento el Procurador necesita de poder especial que se concrete en la facultad de desistir de un procedimiento, lo cual ha quedado debidamente acreditado por la parte recurrente.</w:t>
      </w:r>
    </w:p>
    <w:p w:rsidR="00BE7FB3" w:rsidRDefault="00BE7FB3" w:rsidP="00BE7FB3">
      <w:pPr>
        <w:pStyle w:val="TextoNormal"/>
      </w:pPr>
    </w:p>
    <w:p w:rsidR="00BE7FB3" w:rsidRDefault="00BE7FB3" w:rsidP="00BE7FB3">
      <w:pPr>
        <w:pStyle w:val="TextoNormal"/>
      </w:pPr>
      <w:r>
        <w:t>Por otro lado, si bien la Junta de Comunidades de Castilla-La Mancha no se opone al desistimiento formulado por la recurrente, sí lo hace el Ministerio Fiscal, en virtud de los argumentos expuestos en los antecedentes y que se sintetizan en la afirmación de que concurre un interés público que justifica la continuación del procedimiento.</w:t>
      </w:r>
    </w:p>
    <w:p w:rsidR="00BE7FB3" w:rsidRDefault="00BE7FB3" w:rsidP="00BE7FB3">
      <w:pPr>
        <w:pStyle w:val="TextoNormal"/>
      </w:pPr>
    </w:p>
    <w:p w:rsidR="00BE7FB3" w:rsidRDefault="00BE7FB3" w:rsidP="00BE7FB3">
      <w:pPr>
        <w:pStyle w:val="TextoNormal"/>
      </w:pPr>
      <w:r w:rsidRPr="00BE7FB3">
        <w:rPr>
          <w:rStyle w:val="NumeroAFNegritaCaracter"/>
        </w:rPr>
        <w:t>2</w:t>
      </w:r>
      <w:r>
        <w:t>. Este Tribunal ha declarado reiteradamente que, pese a que la jurisdicción de amparo es una jurisdicción rogada, no opera en ella con toda su plenitud el principio dispositivo, por lo que no queda vinculado de forma absoluta por la voluntad unilateral de la parte que formula el desistimiento (STC 362/1993, de 13 de diciembre, entre otras).</w:t>
      </w:r>
    </w:p>
    <w:p w:rsidR="00BE7FB3" w:rsidRDefault="00BE7FB3" w:rsidP="00BE7FB3">
      <w:pPr>
        <w:pStyle w:val="TextoNormal"/>
      </w:pPr>
    </w:p>
    <w:p w:rsidR="00BE7FB3" w:rsidRDefault="00BE7FB3" w:rsidP="00BE7FB3">
      <w:pPr>
        <w:pStyle w:val="TextoNormal"/>
      </w:pPr>
      <w:r>
        <w:t xml:space="preserve">Bien es cierto de que la regla general por la que se guía nuestra actuación es la de atender la solicitud de quien interpone el recurso de amparo, titular del interés cuya actuación sirve de soporte a su legitimación en el proceso (ATC 34/1993, de 26 de enero, FJ 2, entre otros), pues ciertamente es razonable, en principio, tener en cuenta las alegaciones de los demandantes cuando la reclamación que motivó su recurso ha quedado satisfecha al margen del </w:t>
      </w:r>
      <w:r>
        <w:lastRenderedPageBreak/>
        <w:t>proceso constitucional, o ha obtenido una reparación adecuada. Además, este Tribunal también ha declarado que la efectividad del desistimiento no debe condicionarse necesariamente a la aceptación de quien defiende el mantenimiento del acto impugnado (ATC 1093/1987, de 13 de octubre, FJ 1).</w:t>
      </w:r>
    </w:p>
    <w:p w:rsidR="00BE7FB3" w:rsidRDefault="00BE7FB3" w:rsidP="00BE7FB3">
      <w:pPr>
        <w:pStyle w:val="TextoNormal"/>
      </w:pPr>
    </w:p>
    <w:p w:rsidR="00BE7FB3" w:rsidRDefault="00BE7FB3" w:rsidP="00BE7FB3">
      <w:pPr>
        <w:pStyle w:val="TextoNormal"/>
      </w:pPr>
      <w:r>
        <w:t>No obstante, esta regla general también presenta excepciones. Algunas de ellas ya fueron acogidas en algunas resoluciones anteriores a la Ley Orgánica 6/2007, atendiendo a la trascendencia objetiva del contenido del recurso en cuestión. Ahora bien, la introducción de la exigencia de la especial trascendencia constitucional, como requisito ineludible de admisión del recurso de amparo, dota de mayor relevancia a la incidencia de este aspecto a la hora de adoptar una decisión sobre la aceptación de un desistimiento. La acentuada dimensión objetiva del recurso de amparo a partir de aquella reforma, tendrá su reflejo inevitablemente en la valoración de la concurrencia de un interés que trascienda al propio de las partes.</w:t>
      </w:r>
    </w:p>
    <w:p w:rsidR="00BE7FB3" w:rsidRDefault="00BE7FB3" w:rsidP="00BE7FB3">
      <w:pPr>
        <w:pStyle w:val="TextoNormal"/>
      </w:pPr>
    </w:p>
    <w:p w:rsidR="00BE7FB3" w:rsidRDefault="00BE7FB3" w:rsidP="00BE7FB3">
      <w:pPr>
        <w:pStyle w:val="TextoNormal"/>
      </w:pPr>
      <w:r w:rsidRPr="00BE7FB3">
        <w:rPr>
          <w:rStyle w:val="NumeroAFNegritaCaracter"/>
        </w:rPr>
        <w:t>3</w:t>
      </w:r>
      <w:r>
        <w:t>. Nuestra doctrina, incluso con anterioridad a la reforma de la Ley Orgánica del Tribunal Constitucional del año 2007, ha establecido que la existencia de un interés prevalente al de las partes puede determinar la continuación del proceso, siempre que tal continuación sea propuesta por quien ostente la debida legitimación al respecto.</w:t>
      </w:r>
    </w:p>
    <w:p w:rsidR="00BE7FB3" w:rsidRDefault="00BE7FB3" w:rsidP="00BE7FB3">
      <w:pPr>
        <w:pStyle w:val="TextoNormal"/>
      </w:pPr>
    </w:p>
    <w:p w:rsidR="00BE7FB3" w:rsidRDefault="00BE7FB3" w:rsidP="00BE7FB3">
      <w:pPr>
        <w:pStyle w:val="TextoNormal"/>
      </w:pPr>
      <w:r>
        <w:t>En este caso esa posición es mantenida por el Ministerio Fiscal, a quien incumbe la defensa de la legalidad en los procesos de amparo, la defensa de los derechos de los ciudadanos y del interés público tutelado por la ley, según el art. 47.2 LOTC. El Ministerio Fiscal, en el supuesto que nos ocupa, como se ha referido en los antecedentes, se opone a la estimación del desistimiento al entender que concurre un interés público de importancia manifiesta, por las cuestiones sometidas en el presente recurso de amparo a la consideración del Tribunal. Detalla al efecto como cuestiones de especial relevancia las siguientes: a) la relativa a la competencia del Tribunal Constitucional para declarar la inconstitucionalidad parcial de una norma reglamentaria —un decreto autonómico— a través de un procedimiento de recurso de amparo; b) el análisis de la denunciada violación del principio de reserva de ley del art. 53.1 CE; c) el examen de la aducida vulneración del art. 27 CE, apartados 1 (libertad de enseñanza) y 6 (libertad de creación de centros), en relación con la facultad de admisión de alumnos en centros docentes no universitarios sostenidos con fondos públicos, cuestión en la que el Ministerio Fiscal entiende que reside la especial trascendencia constitucional del presente recurso de amparo. Esto es, el Fiscal anuda la noción de la existencia de un interés prevalente, que trasciende al interés singular de las partes, a la concurrencia de la especial trascendencia constitucional del recurso de amparo, subrayando la necesidad de atender a este elemento en el análisis respecto a la procedencia de admitir o no un desistimiento de parte.</w:t>
      </w:r>
    </w:p>
    <w:p w:rsidR="00BE7FB3" w:rsidRDefault="00BE7FB3" w:rsidP="00BE7FB3">
      <w:pPr>
        <w:pStyle w:val="TextoNormal"/>
      </w:pPr>
    </w:p>
    <w:p w:rsidR="00BE7FB3" w:rsidRDefault="00BE7FB3" w:rsidP="00BE7FB3">
      <w:pPr>
        <w:pStyle w:val="TextoNormal"/>
      </w:pPr>
      <w:r>
        <w:t xml:space="preserve">En resumen, el Fiscal, legitimado para oponerse al desistimiento del recurrente, se opone en este caso al mismo. Ya en anteriores ocasiones, este Tribunal ha rechazado desistimientos de los recurrentes en amparo por petición expresa del Fiscal en este sentido (ATC 265/2002, de 9 de diciembre, y STC 141/2012, de 2 de julio). También encontramos algún supuesto en el que, pese a la oposición del Fiscal, el Tribunal ha estimado pertinente admitir el desistimiento, si bien, se trata de casos en los que se daba la circunstancia de concurrir previos recursos de amparo ya admitidos, que versaban sobre el mismo problema jurídico. Así, por ejemplo, el ATC 330/2003, de 20 de octubre, supuesto en el que el desistimiento se presentó en una fase temprana, cuando todavía estaba pendiente la resolución sobre la admisión o </w:t>
      </w:r>
      <w:r>
        <w:lastRenderedPageBreak/>
        <w:t>inadmisión del recurso de amparo, y constatándose que previamente había sido admitido otro recurso de características análogas. Recientemente, el ATC 70/2013, de 12 de marzo, acepta asimismo el desistimiento de la parte, pese a la oposición del Ministerio Fiscal, aduciendo que se habían admitido ya varios recursos que planteaban la misma cuestión, relativa al derecho a un proceso sin dilaciones indebidas por la lejanía de la fecha señalada para la celebración de la vista; dándose la circunstancia de que el recurrente alegaba que su reclamación había quedado satisfecha (ya que el órgano judicial adelantó la fecha de la vista y obtuvo un fallo acorde a su reclamación) y, por ello, argüía la pérdida de objeto de su recurso de amparo.</w:t>
      </w:r>
    </w:p>
    <w:p w:rsidR="00BE7FB3" w:rsidRDefault="00BE7FB3" w:rsidP="00BE7FB3">
      <w:pPr>
        <w:pStyle w:val="TextoNormal"/>
      </w:pPr>
    </w:p>
    <w:p w:rsidR="00BE7FB3" w:rsidRDefault="00BE7FB3" w:rsidP="00BE7FB3">
      <w:pPr>
        <w:pStyle w:val="TextoNormal"/>
      </w:pPr>
      <w:r w:rsidRPr="00BE7FB3">
        <w:rPr>
          <w:rStyle w:val="NumeroAFNegritaCaracter"/>
        </w:rPr>
        <w:t>4</w:t>
      </w:r>
      <w:r>
        <w:t>. Debe señalarse, por tanto, que la oposición del Ministerio Fiscal al desistimiento es un dato a tener en cuenta, pero no es determinante, lo que obliga a examinar las circunstancias concretas de cada caso. En el presente recurso, el Ministerio Fiscal, oponiéndose al desistimiento y petición de archivo formulada por la recurrente, subraya en su escrito de alegaciones la concurrencia de un interés prevalente al de las partes, plasmado en el interés público asociado a la resolución del recurso de amparo, que se conecta con las tres cuestiones de especial trascendencia constitucional que el Ministerio Fiscal entiende han de ser resueltas por este Tribunal y a las que se ha hecho referencia ya en el fundamento jurídico 2.</w:t>
      </w:r>
    </w:p>
    <w:p w:rsidR="00BE7FB3" w:rsidRDefault="00BE7FB3" w:rsidP="00BE7FB3">
      <w:pPr>
        <w:pStyle w:val="TextoNormal"/>
      </w:pPr>
    </w:p>
    <w:p w:rsidR="00BE7FB3" w:rsidRDefault="00BE7FB3" w:rsidP="00BE7FB3">
      <w:pPr>
        <w:pStyle w:val="TextoNormal"/>
      </w:pPr>
      <w:r>
        <w:t>Efectivamente, es patente que el contenido del recurso justifica una decisión sobre el fondo por parte del Tribunal Constitucional, por la importancia que esa decisión ha de tener para la interpretación, en particular, aunque no sólo, del art. 27 CE, y por tanto para la determinación del contenido y alcance de la libertad de enseñanza, lo cual constituye justificación suficiente como para entender concurrente un interés público que cumple priorizar frente a la voluntad de desistir de quien es recurrente en amparo. La propia recurrente en amparo, que ahora desiste, presentó el 7 de octubre de 2010 un escrito (solicitando la aclaración de la providencia de 22 de septiembre referida en los antecedentes y por la que inicialmente se inadmitió el presente recurso de amparo), en el que subrayaba que “el presente recurso versa sobre la libertad de educación, derecho sobre el que el Tribunal Constitucional no dicta una sentencia desde hace 25 años”.</w:t>
      </w:r>
    </w:p>
    <w:p w:rsidR="00BE7FB3" w:rsidRDefault="00BE7FB3" w:rsidP="00BE7FB3">
      <w:pPr>
        <w:pStyle w:val="TextoNormal"/>
      </w:pPr>
    </w:p>
    <w:p w:rsidR="00BE7FB3" w:rsidRDefault="00BE7FB3" w:rsidP="00BE7FB3">
      <w:pPr>
        <w:pStyle w:val="TextoNormal"/>
      </w:pPr>
      <w:r>
        <w:t>En efecto, aunque este Tribunal se ha pronunciado en anteriores ocasiones sobre distintas facetas del art. 27 CE, los problemas que se plantean en el presente asunto no han sido aún abordados de forma específica y clara. Y es que el problema constitucional que nos presenta este recurso de amparo obliga al Tribunal, al detenerse en el fondo de la cuestión suscitada, a determinar cuál es el alcance efectivo del derecho a la creación y dirección de centros docentes, y si el mismo comprende o no una facultad de los directores de centros para elegir a sus alumnos. El problema singularmente relevante versa sobre la cuestionada constitucionalidad de la imposición de ciertas condiciones a los centros concertados, esto es, aquellos centros privados sostenidos con fondos públicos que integran la red a través de la cual el Estado garantiza la dimensión prestacional del derecho a la educación; condiciones que afectan al mantenimiento de la financiación pública de aquellos centros y que en el caso presente se refieren a la opción pedagógica de la educación diferenciada.</w:t>
      </w:r>
    </w:p>
    <w:p w:rsidR="00BE7FB3" w:rsidRDefault="00BE7FB3" w:rsidP="00BE7FB3">
      <w:pPr>
        <w:pStyle w:val="TextoNormal"/>
      </w:pPr>
    </w:p>
    <w:p w:rsidR="00BE7FB3" w:rsidRDefault="00BE7FB3" w:rsidP="00BE7FB3">
      <w:pPr>
        <w:pStyle w:val="TextoNormal"/>
      </w:pPr>
      <w:r>
        <w:t xml:space="preserve">Por otro lado, han sido escasos los supuestos en los que el Tribunal ha tenido que afrontar, por vía del recurso de amparo, la valoración de la constitucionalidad de un reglamento. Lo cual añade un problema de especial interés constitucional al análisis de fondo en este caso, </w:t>
      </w:r>
      <w:r>
        <w:lastRenderedPageBreak/>
        <w:t>con el interés adicional de que se trata de un reglamento autonómico que desarrolla directamente una ley básica estatal en un aspecto muy concreto, el de la admisión de alumnos en centros sostenidos con fondos públicos.</w:t>
      </w:r>
    </w:p>
    <w:p w:rsidR="00BE7FB3" w:rsidRDefault="00BE7FB3" w:rsidP="00BE7FB3">
      <w:pPr>
        <w:pStyle w:val="TextoNormal"/>
      </w:pPr>
    </w:p>
    <w:p w:rsidR="00BE7FB3" w:rsidRDefault="00BE7FB3" w:rsidP="00BE7FB3">
      <w:pPr>
        <w:pStyle w:val="TextoNormal"/>
      </w:pPr>
      <w:r w:rsidRPr="00BE7FB3">
        <w:rPr>
          <w:rStyle w:val="NumeroAFNegritaCaracter"/>
        </w:rPr>
        <w:t>5</w:t>
      </w:r>
      <w:r>
        <w:t>. A las consideraciones relativas a la especial trascendencia constitucional de las cuestiones planteadas en el presente proceso de amparo, se ha de unir el hecho de que hasta la fecha de presentación del escrito de desistimiento no constaba en este Tribunal la admisión de recurso alguno relacionado con las mismas cuestiones aquí planteadas. Asimismo, hay que tener en cuenta que al tiempo de recibir el referido escrito de desistimiento, el presente recurso de amparo se encontraba concluso en su trámite interno correspondiente, es decir, en avanzado estadio procesal, a la espera de señalamiento de fecha de deliberación y fallo.</w:t>
      </w:r>
    </w:p>
    <w:p w:rsidR="00BE7FB3" w:rsidRDefault="00BE7FB3" w:rsidP="00BE7FB3">
      <w:pPr>
        <w:pStyle w:val="TextoNormal"/>
      </w:pPr>
    </w:p>
    <w:p w:rsidR="00BE7FB3" w:rsidRDefault="00BE7FB3" w:rsidP="00BE7FB3">
      <w:pPr>
        <w:pStyle w:val="TextoNormal"/>
      </w:pPr>
      <w:r>
        <w:t>A todo lo anterior, se añade el hecho de que la recurrente no aporta ninguna razón o indicación que permita a este Tribunal valorar si los motivos impugnatorios han desaparecido o si considera que los derechos fundamentales, que en su día estimó vulnerados por las disposiciones impugnadas, han sido reparados de algún modo.</w:t>
      </w:r>
    </w:p>
    <w:p w:rsidR="00BE7FB3" w:rsidRDefault="00BE7FB3" w:rsidP="00BE7FB3">
      <w:pPr>
        <w:pStyle w:val="TextoNormal"/>
      </w:pPr>
    </w:p>
    <w:p w:rsidR="00BE7FB3" w:rsidRDefault="00BE7FB3" w:rsidP="00BE7FB3">
      <w:pPr>
        <w:pStyle w:val="TextoNormal"/>
      </w:pPr>
      <w:r>
        <w:t>Las anteriores razones, unidas a las que sustentan la especial trascendencia constitucional del presente recurso de amparo y que respaldan la prevalencia del interés público general sobre el de los particulares recurrentes, nos llevan a no acceder al desistimiento formulado por la entidad recurrente en amparo.</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No acceder ni al desistimiento ni al archivo del presente recurso de amparo solicitados por el Centro de Iniciativas para la Formación Agraria, S.A. (CIFASA), por lo que procede continuar con la sustanciación de dicho procedimiento.</w:t>
      </w:r>
    </w:p>
    <w:p w:rsidR="00BE7FB3" w:rsidRDefault="00BE7FB3" w:rsidP="00BE7FB3">
      <w:pPr>
        <w:pStyle w:val="TextoNormal"/>
      </w:pPr>
    </w:p>
    <w:p w:rsidR="00BE7FB3" w:rsidRDefault="00BE7FB3" w:rsidP="00BE7FB3">
      <w:pPr>
        <w:pStyle w:val="TextoNormal"/>
      </w:pPr>
      <w:r>
        <w:t>Publíquese este Auto en el “Boletín Oficial del Estado”.</w:t>
      </w:r>
    </w:p>
    <w:p w:rsidR="00BE7FB3" w:rsidRDefault="00BE7FB3" w:rsidP="00BE7FB3">
      <w:pPr>
        <w:pStyle w:val="TextoNormal"/>
      </w:pPr>
    </w:p>
    <w:p w:rsidR="00BE7FB3" w:rsidRDefault="00BE7FB3" w:rsidP="00BE7FB3">
      <w:pPr>
        <w:pStyle w:val="TextoNormal"/>
      </w:pPr>
      <w:r>
        <w:t>Madrid, a seis de mayo de dos mil trece.</w:t>
      </w:r>
    </w:p>
    <w:p w:rsidR="00BE7FB3" w:rsidRDefault="00BE7FB3" w:rsidP="00BE7FB3">
      <w:pPr>
        <w:pStyle w:val="ParrafoNormal"/>
      </w:pPr>
    </w:p>
    <w:p w:rsidR="00BE7FB3" w:rsidRDefault="00BE7FB3" w:rsidP="00BE7FB3">
      <w:pPr>
        <w:pStyle w:val="TextoNormalNegritaCentrado"/>
        <w:keepNext/>
      </w:pPr>
      <w:r>
        <w:t>Voto particular que formula el Magistrado don Manuel Aragón Reyes respecto del Auto dictado por la Sala Primera en el recurso de amparo núm. 9138-2008.</w:t>
      </w:r>
    </w:p>
    <w:p w:rsidR="00BE7FB3" w:rsidRDefault="00BE7FB3" w:rsidP="00BE7FB3">
      <w:pPr>
        <w:pStyle w:val="TextoNormalNegritaCentrado"/>
        <w:keepNext/>
      </w:pPr>
    </w:p>
    <w:p w:rsidR="00BE7FB3" w:rsidRDefault="00BE7FB3" w:rsidP="00BE7FB3">
      <w:pPr>
        <w:pStyle w:val="TextoNormal"/>
      </w:pPr>
      <w:r>
        <w:t>Con el mayor respeto a la opinión de los Magistrados que han apoyado la tesis mayoritaria reflejada en el Auto, debo, no obstante, haciendo uso de la facultad establecida en el art. 90.2 de la Ley Orgánica del Tribunal Constitucional (LOTC), expresar mi criterio discrepante de la fundamentación jurídica y del fallo del Auto, por el que se acuerda no acceder al desistimiento solicitado por la demandante y, en consecuencia, continuar con la sustanciación del recurso de amparo.</w:t>
      </w:r>
    </w:p>
    <w:p w:rsidR="00BE7FB3" w:rsidRDefault="00BE7FB3" w:rsidP="00BE7FB3">
      <w:pPr>
        <w:pStyle w:val="TextoNormal"/>
      </w:pPr>
    </w:p>
    <w:p w:rsidR="00BE7FB3" w:rsidRDefault="00BE7FB3" w:rsidP="00BE7FB3">
      <w:pPr>
        <w:pStyle w:val="TextoNormal"/>
      </w:pPr>
      <w:r>
        <w:lastRenderedPageBreak/>
        <w:t>A mi entender, en virtud de los argumentos que defendí en la deliberación de la Sala y que, resumidamente, expongo a continuación, debiera haberse tenido por desistida a la entidad demandante de amparo, acordándose el archivo de las actuaciones.</w:t>
      </w:r>
    </w:p>
    <w:p w:rsidR="00BE7FB3" w:rsidRDefault="00BE7FB3" w:rsidP="00BE7FB3">
      <w:pPr>
        <w:pStyle w:val="TextoNormal"/>
      </w:pPr>
    </w:p>
    <w:p w:rsidR="00BE7FB3" w:rsidRDefault="00BE7FB3" w:rsidP="00BE7FB3">
      <w:pPr>
        <w:pStyle w:val="TextoNormal"/>
      </w:pPr>
      <w:r>
        <w:t>2. No alcanzo a comprender la razón por la que el Auto del que discrepo rechaza acceder al desistimiento de la demandante de amparo, apartándose radicalmente de nuestra doctrina en materia de desistimiento en los recursos de amparo.</w:t>
      </w:r>
    </w:p>
    <w:p w:rsidR="00BE7FB3" w:rsidRDefault="00BE7FB3" w:rsidP="00BE7FB3">
      <w:pPr>
        <w:pStyle w:val="TextoNormal"/>
      </w:pPr>
    </w:p>
    <w:p w:rsidR="00BE7FB3" w:rsidRDefault="00BE7FB3" w:rsidP="00BE7FB3">
      <w:pPr>
        <w:pStyle w:val="TextoNormal"/>
      </w:pPr>
      <w:r>
        <w:t>Con independencia de que esa separación de los precedentes hubiera exigido someter la cuestión al Pleno (art. 13 LOTC), lo más grave es que la decisión se adopta sin hacer explícitas las razones por las que la mayoría de la Sala ha decidido apartarse de la reiterada doctrina de este Tribunal al respecto, de la que constituye un reciente y claro ejemplo el ATC 70/2013, de 12 de marzo, del Pleno, en el que, ante una situación semejante a la que se planteaba en el presente recurso de amparo, se acordó acceder al desistimiento del demandante de amparo, pese a la oposición del Fiscal (que entendía, como aquí, que concurría en el recurso un interés general que trascendía a la lesión del derecho fundamental invocado y que aconsejaba dictar sentencia sobre el fondo), por cuanto el interés general de la respuesta a la cuestión suscitada podía ser satisfecho igualmente al resolver otros recursos de amparo admitidos a trámite en los que se planteaba idéntica cuestión. Así se había decidido igualmente ante un caso similar en el ATC 330/2003, de 20 de octubre.</w:t>
      </w:r>
    </w:p>
    <w:p w:rsidR="00BE7FB3" w:rsidRDefault="00BE7FB3" w:rsidP="00BE7FB3">
      <w:pPr>
        <w:pStyle w:val="TextoNormal"/>
      </w:pPr>
    </w:p>
    <w:p w:rsidR="00BE7FB3" w:rsidRDefault="00BE7FB3" w:rsidP="00BE7FB3">
      <w:pPr>
        <w:pStyle w:val="TextoNormal"/>
      </w:pPr>
      <w:r>
        <w:t>El Auto del que discrepo, aunque cita expresamente (en su fundamento jurídico 3) el ATC 70/2013, lo hace de manera sesgada, obviando que lo determinante de esta decisión (al igual que en el ATC 330/2003) no estriba en que el demandante ofrezca o no justificación de su voluntad de desistir, sino el hecho de que, pese a revestir el asunto planteado un evidente interés general, este no difiere del suscitado en otro amparo pendiente de resolver, en el que este Tribunal sigue teniendo ocasión de examinar la cuestión con trascendencia constitucional de que se trata.</w:t>
      </w:r>
    </w:p>
    <w:p w:rsidR="00BE7FB3" w:rsidRDefault="00BE7FB3" w:rsidP="00BE7FB3">
      <w:pPr>
        <w:pStyle w:val="TextoNormal"/>
      </w:pPr>
    </w:p>
    <w:p w:rsidR="00BE7FB3" w:rsidRDefault="00BE7FB3" w:rsidP="00BE7FB3">
      <w:pPr>
        <w:pStyle w:val="TextoNormal"/>
      </w:pPr>
      <w:r>
        <w:t>3. Al desistimiento, que aparece expresamente configurado en nuestra Ley Orgánica como una de las formas de terminación del recurso de amparo (art. 86.1 LOTC), le resulta de aplicación supletoria, como ha reiterado este Tribunal (por todos, STC 362/1993, de 13 de diciembre, FJ único; y AATC 85/1999, de 12 de abril, 415/2006, de 15 de noviembre, 164/2012, de 17 de septiembre, y 70/2013, de 12 de marzo), la legislación procesal ordinaria (art. 80 LOTC), constituida en particular por los arts. 19.1, 20.2 y 3 y 25.2.1 de la Ley de enjuiciamiento civil (LEC).</w:t>
      </w:r>
    </w:p>
    <w:p w:rsidR="00BE7FB3" w:rsidRDefault="00BE7FB3" w:rsidP="00BE7FB3">
      <w:pPr>
        <w:pStyle w:val="TextoNormal"/>
      </w:pPr>
    </w:p>
    <w:p w:rsidR="00BE7FB3" w:rsidRDefault="00BE7FB3" w:rsidP="00BE7FB3">
      <w:pPr>
        <w:pStyle w:val="TextoNormal"/>
      </w:pPr>
      <w:r>
        <w:t xml:space="preserve">Pues bien, en el presente caso sucede que la solicitud de desistimiento de la demandante de amparo aparece revestida de los requisitos legales, toda vez que ha sido presentada en el registro de entrada de este Tribunal oportuna y eficazmente por el Procurador de la demandante, que acredita (como se reconoce en el Auto) contar con el poder especial al efecto exigido por la legislación procesal (art. 25.2.1 LEC). Lo que en modo alguno resulta exigible es que el demandante que pretenda desistir venga obligado a ofrecer al Tribunal las razones de su decisión, por lo que del silencio de la demandante de amparo en este punto no cabe en ningún caso extraer apoyo, como pretende el Auto del que discrepo en su último fundamento jurídico, para rechazar el desistimiento. Del mismo modo que no puede ser un argumento válido a estos efectos el estado más o menos avanzado en la tramitación del recurso </w:t>
      </w:r>
      <w:r>
        <w:lastRenderedPageBreak/>
        <w:t>de amparo, como igualmente sostiene de manera equivocada el Auto en el mismo fundamento jurídico, obviando que el asunto se hallaba ya pendiente de deliberación y fallo desde el 23 de febrero de 2012, y siendo así que la solicitud de desistimiento, registrada en este Tribunal el 14 de enero de 2013, no se resuelve hasta el 6 de mayo de 2013; y todo ello sin perjuicio de que en el recurso de amparo es claro que la solicitud de desistimiento puede ser planteada en cualquier momento antes de que se dicte Sentencia.</w:t>
      </w:r>
    </w:p>
    <w:p w:rsidR="00BE7FB3" w:rsidRDefault="00BE7FB3" w:rsidP="00BE7FB3">
      <w:pPr>
        <w:pStyle w:val="TextoNormal"/>
      </w:pPr>
    </w:p>
    <w:p w:rsidR="00BE7FB3" w:rsidRDefault="00BE7FB3" w:rsidP="00BE7FB3">
      <w:pPr>
        <w:pStyle w:val="TextoNormal"/>
      </w:pPr>
      <w:r>
        <w:t xml:space="preserve">Cumplidos, pues, los requisitos legales exigidos para la validez del desistimiento, no apreciándose perjuicio de parte (la Junta de Comunidades de Castilla-La Mancha, demandada en el proceso </w:t>
      </w:r>
      <w:r w:rsidRPr="00BE7FB3">
        <w:rPr>
          <w:i/>
        </w:rPr>
        <w:t>a quo</w:t>
      </w:r>
      <w:r>
        <w:t xml:space="preserve">, ha manifestado que no se opone al desistimiento), ni daño para el interés general público (extremo sobre el que luego volveré), y dado el carácter rogado que, en principio, tiene la jurisdicción de amparo constitucional [art. 161.1 b) CE y 41.3 LOTC], conforme a reiterada doctrina de este Tribunal, procedía, conforme venimos haciendo en casos semejantes, sancionar afirmativamente la voluntad de desistir del demandante de amparo, </w:t>
      </w:r>
      <w:r w:rsidRPr="00BE7FB3">
        <w:rPr>
          <w:i/>
        </w:rPr>
        <w:t>dominus litis</w:t>
      </w:r>
      <w:r>
        <w:t>.</w:t>
      </w:r>
    </w:p>
    <w:p w:rsidR="00BE7FB3" w:rsidRDefault="00BE7FB3" w:rsidP="00BE7FB3">
      <w:pPr>
        <w:pStyle w:val="TextoNormal"/>
      </w:pPr>
    </w:p>
    <w:p w:rsidR="00BE7FB3" w:rsidRDefault="00BE7FB3" w:rsidP="00BE7FB3">
      <w:pPr>
        <w:pStyle w:val="TextoNormal"/>
      </w:pPr>
      <w:r>
        <w:t>4. Es cierto, como se recuerda en el Auto del que discrepo, que, aun siendo la jurisdicción de amparo constitucional de carácter rogado, no opera en ella con toda su plenitud el principio dispositivo, por lo que este Tribunal no queda vinculado de forma absoluta por la voluntad unilateral del demandante de desistir, como hemos tenido ocasión de precisar en diversas ocasiones (por todas, STC 362/1993, FJ único y ATC 70/2013, FJ 3). En efecto, no resulta dudoso que la regla general es que la voluntad de desistir del demandante de amparo, titular del interés cuya actuación sirve de soporte a su legitimación en el proceso constitucional de amparo, ha de ser atendida, si bien puede ocurrir, excepcionalmente, como también tiene declarado nuestra doctrina, que concurra en el caso un interés general, que trascienda a la lesión del derecho fundamental invocado por el demandante, y que aconseje resolver sobre el fondo del asunto.</w:t>
      </w:r>
    </w:p>
    <w:p w:rsidR="00BE7FB3" w:rsidRDefault="00BE7FB3" w:rsidP="00BE7FB3">
      <w:pPr>
        <w:pStyle w:val="TextoNormal"/>
      </w:pPr>
    </w:p>
    <w:p w:rsidR="00BE7FB3" w:rsidRDefault="00BE7FB3" w:rsidP="00BE7FB3">
      <w:pPr>
        <w:pStyle w:val="TextoNormal"/>
      </w:pPr>
      <w:r>
        <w:t>A esta excepción pretende acogerse precisamente el Auto del que discrepo, señalando que en el presente caso, si bien la Administración autonómica demandada en la vía judicial ha manifestado que no se opone al desistimiento, el Ministerio Fiscal, al que incumbe en los procesos de amparo la defensa de la legalidad, de los derechos de los ciudadanos y del interés público tutelado por la ley según el art. 47.2 LOTC, se opone al desistimiento e interesa la continuación de la tramitación del recurso de amparo por reputar de interés general prevalente, dotada de especial trascendencia constitucional [art. 50.1 b) LOTC], la cuestión que se plantea en el recurso de amparo (educación diferenciada por sexos en centros privados concertados), que exigiría una respuesta de fondo de este Tribunal.</w:t>
      </w:r>
    </w:p>
    <w:p w:rsidR="00BE7FB3" w:rsidRDefault="00BE7FB3" w:rsidP="00BE7FB3">
      <w:pPr>
        <w:pStyle w:val="TextoNormal"/>
      </w:pPr>
    </w:p>
    <w:p w:rsidR="00BE7FB3" w:rsidRDefault="00BE7FB3" w:rsidP="00BE7FB3">
      <w:pPr>
        <w:pStyle w:val="TextoNormal"/>
      </w:pPr>
      <w:r>
        <w:t xml:space="preserve">Sin embargo, ni la evidente trascendencia constitucional del problema que se suscita en el presente recurso de amparo (extremo que no me ofrece ninguna duda) ni la oposición del Ministerio Fiscal al desistimiento puede servir de fundamento para no acceder al desistimiento formulado por la entidad demandante de amparo. En efecto, no concurren en el presente caso razones objetivas (las únicas atendibles) para rechazar el desistimiento, toda vez que el relevante problema constitucional que se plantea en este recurso de amparo resulta ser plenamente coincidente con el planteado en el recurso de amparo núm. 210-2003, precisamente admitido por la Sala en la misma fecha en que se acuerda (con mi voto contrario) no acceder al desistimiento en el presente recurso. Dato este, por lo demás, que desvirtúa en buena medida el apoyo que el Auto del que discrepo pretende encontrar en la oposición del </w:t>
      </w:r>
      <w:r>
        <w:lastRenderedPageBreak/>
        <w:t>Ministerio Fiscal al desistimiento, pues es notorio que el Fiscal desconocía al formular su oposición que existiera en este Tribunal otro recurso de amparo en el que se suscitara la misma cuestión con especial trascendencia constitucional que se plantea en este recurso de amparo.</w:t>
      </w:r>
    </w:p>
    <w:p w:rsidR="00BE7FB3" w:rsidRDefault="00BE7FB3" w:rsidP="00BE7FB3">
      <w:pPr>
        <w:pStyle w:val="TextoNormal"/>
      </w:pPr>
    </w:p>
    <w:p w:rsidR="00BE7FB3" w:rsidRDefault="00BE7FB3" w:rsidP="00BE7FB3">
      <w:pPr>
        <w:pStyle w:val="TextoNormal"/>
      </w:pPr>
      <w:r>
        <w:t>En suma, sin negar la especial trascendencia constitucional e interés general de la cuestión suscitada en el presente recurso de amparo, lo cierto es que se cumplen todos los requisitos legalmente exigidos para el desistimiento conforme a los arts. 80 y 86 LOTC, sin que concurra, en cambio, ninguna razón objetiva para desatender la voluntad de desistir de la demandante de amparo, pues el interés general de la respuesta de fondo de este Tribunal a dicha cuestión podía ser satisfecho, en su caso, al resolver el referido recurso de amparo admitido a trámite por esta Sala en la misma sesión en la que se ha dictado este Auto, recurso de amparo en la que se plantea igualmente, como se dijo, el problema de la educación diferenciada por sexos en centros privados concertados. Además, se da la circunstancia de que el examen de tan relevante problema constitucional puede ser realizado por este Tribunal en ese otro recurso de amparo de manera más plena, es decir, contando para resolverlo con la totalidad de los Magistrados que lo componen, lo que no sucede en el recurso de amparo al que el presente Auto se refiere, toda vez que en su resolución no podrá participar, por haberse abstenido (ATC 3/2013, de 14 de enero), uno de sus Magistrados, como por otra parte se hace constar en los propios antecedentes de este Auto.</w:t>
      </w:r>
    </w:p>
    <w:p w:rsidR="00BE7FB3" w:rsidRDefault="00BE7FB3" w:rsidP="00BE7FB3">
      <w:pPr>
        <w:pStyle w:val="TextoNormal"/>
      </w:pPr>
    </w:p>
    <w:p w:rsidR="00BE7FB3" w:rsidRDefault="00BE7FB3" w:rsidP="00BE7FB3">
      <w:pPr>
        <w:pStyle w:val="TextoNormal"/>
      </w:pPr>
      <w:r>
        <w:t>De todos modos, lo decisivo es que no existían en este caso, en contra de lo que desafortunadamente ha entendido la mayoría de la Sala en el Auto del que discrepo, razones objetivas prevalentes que nos impidieran aceptar la solicitud de desistimiento de la entidad demandante de amparo y acordar el archivo de las actuaciones. Así lo decidimos en supuestos en todo semejantes al presente en los citados ATC 330/2003 y ATC 70/2013 (este último en un recurso de amparo avocado al Pleno), y debimos acordarlo igualmente en el presente caso.</w:t>
      </w:r>
    </w:p>
    <w:p w:rsidR="00BE7FB3" w:rsidRDefault="00BE7FB3" w:rsidP="00BE7FB3">
      <w:pPr>
        <w:pStyle w:val="TextoNormal"/>
      </w:pPr>
    </w:p>
    <w:p w:rsidR="00BE7FB3" w:rsidRDefault="00BE7FB3" w:rsidP="00BE7FB3">
      <w:pPr>
        <w:pStyle w:val="TextoNormal"/>
      </w:pPr>
      <w:r>
        <w:t>Y en tal sentido emito mi Voto particular.</w:t>
      </w:r>
    </w:p>
    <w:p w:rsidR="00BE7FB3" w:rsidRDefault="00BE7FB3" w:rsidP="00BE7FB3">
      <w:pPr>
        <w:pStyle w:val="TextoNormal"/>
      </w:pPr>
    </w:p>
    <w:p w:rsidR="00BE7FB3" w:rsidRDefault="00BE7FB3" w:rsidP="00BE7FB3">
      <w:pPr>
        <w:pStyle w:val="TextoNormalNegritaCentrado"/>
        <w:keepNext/>
      </w:pPr>
      <w:r>
        <w:t>Voto particular que formula el Magistrado don Andrés Ollero Tassara, respecto al Auto de la Sala Primera de fecha 6 de mayo de 2013 dictado en el recurso de amparo núm. 9138-2008.</w:t>
      </w:r>
    </w:p>
    <w:p w:rsidR="00BE7FB3" w:rsidRDefault="00BE7FB3" w:rsidP="00BE7FB3">
      <w:pPr>
        <w:pStyle w:val="TextoNormalNegritaCentrado"/>
        <w:keepNext/>
      </w:pPr>
    </w:p>
    <w:p w:rsidR="00BE7FB3" w:rsidRDefault="00BE7FB3" w:rsidP="00BE7FB3">
      <w:pPr>
        <w:pStyle w:val="TextoNormal"/>
      </w:pPr>
      <w:r>
        <w:t>En el ejercicio de la facultad que nos confiere el art. 90.2 de la Ley Orgánica del Tribunal Constitucional y con el máximo respeto a la opinión de la mayoría de la Sala, dejo constancia de mi discrepancia, puesta ya de manifiesto durante la deliberación del Auto, porque no se accede al desistimiento ni al archivo del citado recurso de amparo, suscitado en su día por el Centro de Iniciativas para la Formación Agraria, S.A.</w:t>
      </w:r>
    </w:p>
    <w:p w:rsidR="00BE7FB3" w:rsidRDefault="00BE7FB3" w:rsidP="00BE7FB3">
      <w:pPr>
        <w:pStyle w:val="TextoNormal"/>
      </w:pPr>
    </w:p>
    <w:p w:rsidR="00BE7FB3" w:rsidRDefault="00BE7FB3" w:rsidP="00BE7FB3">
      <w:pPr>
        <w:pStyle w:val="TextoNormal"/>
      </w:pPr>
      <w:r>
        <w:t>1. Como se desprende los antecedentes, la sociedad aludida planteó el 11 de enero de 2013, casi cinco años después de la interposición del recurso de amparo, su desistimiento del mismo. Solicitaba a la vez su archivo, siendo fácil entender que consideraba que, tras los cambios operados en la recurrida Junta de Comunidades de Castilla-La Mancha, había perdido todo objeto. Así mismo lo entendió sin duda la propia Junta que en escrito posterior de 6 de febrero de 2013 no se opuso a ello.</w:t>
      </w:r>
    </w:p>
    <w:p w:rsidR="00BE7FB3" w:rsidRDefault="00BE7FB3" w:rsidP="00BE7FB3">
      <w:pPr>
        <w:pStyle w:val="TextoNormal"/>
      </w:pPr>
    </w:p>
    <w:p w:rsidR="00BE7FB3" w:rsidRDefault="00BE7FB3" w:rsidP="00BE7FB3">
      <w:pPr>
        <w:pStyle w:val="TextoNormal"/>
      </w:pPr>
      <w:r>
        <w:t>No puede considerarse que tal iniciativa fuera precisamente insólita. Desde la constitución de este Tribunal no han sido menos de 875 los casos en que se ha producido semejante circunstancia. No pasan, sin embargo, de cinco aquellos en los que tal solicitud fue cuestionada por el Ministerio Fiscal, por entender que la especial transcendencia constitucional del problema planteado justificaba proseguir el procedimiento, dado el interés público en juego. No obstante, esta solicitud del Fiscal no siempre ha sido atendida, como recoge el propio fundamento jurídico 3 de este Auto. Lo fue en dos ocasiones (ATC 265/2002, de 9 de diciembre, y la STC 141/2012, de 2 de julio), pero no en los dos últimos casos suscitados, por darse en estos una circunstancia bien diversa: la existencia en el Tribunal de otro recurso de amparo de contenido similar, lo que hacía innecesario atender a la petición del Fiscal, al quedar garantizado que el interés público invocado se vería en su momento satisfecho. De ello dio fe ya el Auto 330/2003, de 20 de octubre, y con posterioridad el bien reciente ATC 70/2013, de 12 de marzo.</w:t>
      </w:r>
    </w:p>
    <w:p w:rsidR="00BE7FB3" w:rsidRDefault="00BE7FB3" w:rsidP="00BE7FB3">
      <w:pPr>
        <w:pStyle w:val="TextoNormal"/>
      </w:pPr>
    </w:p>
    <w:p w:rsidR="00BE7FB3" w:rsidRDefault="00BE7FB3" w:rsidP="00BE7FB3">
      <w:pPr>
        <w:pStyle w:val="TextoNormal"/>
      </w:pPr>
      <w:r>
        <w:t>En el caso que nos ocupa, el loable celo del Ministerio Fiscal para evitar que no hubiera pronunciamiento, siquiera en términos abstractos, sobre el problema planteado, se vio acompañado de su inadvertencia de que con más de un mes de anterioridad existía ya otro recurso que, con arreglo a la aludida doctrina de este Tribunal, privaba de objeto a su encomiable iniciativa.</w:t>
      </w:r>
    </w:p>
    <w:p w:rsidR="00BE7FB3" w:rsidRDefault="00BE7FB3" w:rsidP="00BE7FB3">
      <w:pPr>
        <w:pStyle w:val="TextoNormal"/>
      </w:pPr>
    </w:p>
    <w:p w:rsidR="00BE7FB3" w:rsidRDefault="00BE7FB3" w:rsidP="00BE7FB3">
      <w:pPr>
        <w:pStyle w:val="TextoNormal"/>
      </w:pPr>
      <w:r>
        <w:t xml:space="preserve">2. Bastaría ya lo arriba expuesto para justificar cierto asombro, ya que dándose en esta ocasión situación circunstancia similar no se ha tenido en cuenta lo reiteradamente establecido. Tanto más al concurrir en el caso presente un segundo elemento adicional, reflejado en el epígrafe 4 de los antecedentes: el hecho de que uno de los seis componentes de la Sala se viera obligado a abstenerse por incidir causa legal. Que dicha circunstancia dista de ser irrelevante lo demuestra la práctica inveterada de este Tribunal de acuerdo con la cual, en los casos en que haya de deliberarse sobre dos recursos similares, sometido uno de ellos a la deliberación de un Pleno o Sala incompleto y contándose en el otro con la integridad de sus componentes, será a éste al que se conceda trato prioritario al margen de la precedencia cronológica en la interposición de los recursos. Se trata sin duda de una norma fruto de elemental respeto y delicadeza en relación a los miembros del Tribunal, que no precisa de mayor argumentación. </w:t>
      </w:r>
    </w:p>
    <w:p w:rsidR="00BE7FB3" w:rsidRDefault="00BE7FB3" w:rsidP="00BE7FB3">
      <w:pPr>
        <w:pStyle w:val="TextoNormal"/>
      </w:pPr>
      <w:r>
        <w:t>3. Es obvio que el Ministerio Fiscal, al desconocer sorprendentemente la existencia de otro recurso sobre temática similar, no se hallaba en condiciones de evaluar la obvia similitud de ambos supuestos, lo que sin embargo sí ocurre a estas alturas del procedimiento. Lógicamente se ocupa de algún aspecto secundario del primer recurso, pero resulta bastante fácil constatar que su relevancia constitucional gira en torno a una cuestión común a ambos: la discutida interpretación de la ley por una y otra Administración autonómica, al entender que el veto legal a toda discriminación por razón de sexo (reflejo obvio del art. 14 CE) incluiría a cualquier modelo de educación diferenciada; así como la aún más discutida interpretación judicial posterior que, tras dar por hecho que ello no tiene fundamento, considera sin embargo que el legislador puede negar concierto a un centro cuando no considere ideal su modelo educativo; lo cual podría convertirse por el contrario en motivo de discriminación a los padres que en ejercicio del art. 27 CE lo solicitan. Es indirectamente en defensa de sus derechos como también la empresa recurrente en el primer caso planteaba su impugnación de la norma reglamentaria que consideraba vulneradora.</w:t>
      </w:r>
    </w:p>
    <w:p w:rsidR="00BE7FB3" w:rsidRDefault="00BE7FB3" w:rsidP="00BE7FB3">
      <w:pPr>
        <w:pStyle w:val="TextoNormal"/>
      </w:pPr>
    </w:p>
    <w:p w:rsidR="00BE7FB3" w:rsidRDefault="00BE7FB3" w:rsidP="00BE7FB3">
      <w:pPr>
        <w:pStyle w:val="TextoNormal"/>
      </w:pPr>
      <w:r>
        <w:lastRenderedPageBreak/>
        <w:t>4. Resulta por lo demás sorprendente el énfasis concedido por el presente Auto al hecho de que en el primero de los recursos se planteara el control de constitucionalidad de una norma reglamentaria, ya que a mi juicio dicha circunstancia le resta más bien relevancia constitucional; no en vano ha mantenido este Tribunal desde la STC 40/1982, de 30 de junio, FJ 3, reiterándolo más recientemente en la STC 54/2006, de 27 de febrero, FJ 3, que por medio del recurso de amparo no pueden ejercitarse pretensiones impugnatorias directas contra una disposición general que estén desvinculadas de la concreta y efectiva lesión de algún derecho fundamental. Es bien sabido que la admisión de un recurso de amparo no debe apuntar al ejercicio de una tarea de control atribuida a la jurisdicción ordinaria.</w:t>
      </w:r>
    </w:p>
    <w:p w:rsidR="00BE7FB3" w:rsidRDefault="00BE7FB3" w:rsidP="00BE7FB3">
      <w:pPr>
        <w:pStyle w:val="TextoNormal"/>
      </w:pPr>
    </w:p>
    <w:p w:rsidR="00BE7FB3" w:rsidRDefault="00BE7FB3" w:rsidP="00BE7FB3">
      <w:pPr>
        <w:pStyle w:val="TextoNormal"/>
      </w:pPr>
      <w:r>
        <w:t>5. No cabe ninguna duda de que los extremos en juego en este trámite procesal son solo dos: la obvia posibilidad de un recurrente en amparo para desistir, como ha ocurrido en centenares de casos, de su pretensión, por una parte; por otra, la posibilidad de que el Ministerio Fiscal, como ha ocurrido en apenas cinco, llame la atención sobre el interés de evaluar su contenido, pese a mediar desistimiento en un procedimiento de justicia rogada. No resulta imaginable que el Auto pretenda dar a entender que no había noticia en el Tribunal de la existencia del segundo recurso de amparo, fuera cual fuera el estado de su trámite procesal; ni que el hecho de que el laborioso trámite del primero (cinco años) haya también de entrar en juego (como tercer elemento) a la hora de ocuparse o no de su contenido en contra de la voluntad de los mismos que hubieron de soportarlo. Puestos a imaginar escenarios improcedentes, no estaría menos fuera de lugar pretender que este Tribunal entre a valorar la suficiencia de la motivación de un desistimiento de parte.</w:t>
      </w:r>
    </w:p>
    <w:p w:rsidR="00BE7FB3" w:rsidRDefault="00BE7FB3" w:rsidP="00BE7FB3">
      <w:pPr>
        <w:pStyle w:val="TextoNormal"/>
      </w:pPr>
    </w:p>
    <w:p w:rsidR="00BE7FB3" w:rsidRDefault="00BE7FB3" w:rsidP="00BE7FB3">
      <w:pPr>
        <w:pStyle w:val="TextoNormal"/>
      </w:pPr>
      <w:r>
        <w:t>Por todo ello, considerando que el presente Auto se aparta de modo no justificado de la propia doctrina de este Tribunal, me veo obligado a formular este Voto Particular.</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31" w:name="AUTO_2013_90"/>
      <w:r>
        <w:lastRenderedPageBreak/>
        <w:t>AUTO 90/2013, de 6 de mayo de 2013</w:t>
      </w:r>
    </w:p>
    <w:bookmarkEnd w:id="231"/>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ECLI:ES:TC:2013:90A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y don Fernando Valdés Dal-Ré.</w:t>
      </w:r>
    </w:p>
    <w:p w:rsidR="00BE7FB3" w:rsidRDefault="00BE7FB3" w:rsidP="00BE7FB3">
      <w:pPr>
        <w:pStyle w:val="SntesisDescriptiva"/>
      </w:pPr>
    </w:p>
    <w:p w:rsidR="00BE7FB3" w:rsidRDefault="00BE7FB3" w:rsidP="00BE7FB3">
      <w:pPr>
        <w:pStyle w:val="SntesisDescriptiva"/>
      </w:pPr>
      <w:r>
        <w:t>Acepta una abstención en el recurso de amparo 1114-2012, promovido por Josel, S.L.,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27 de febrero de 2012, el Procurador de los Tribunales don Antonio Sorribes Calle, en nombre y representación de la entidad Josel, S.L., interpuso demanda de amparo contra Auto de la Sección Primera de la Sala de lo Contencioso-Administrativo del Tribunal Supremo recaído en recurso de casación núm. 310-11, contra Sentencia dictada por la Sala de lo Contencioso-Administrativo de la Audiencia Nacional en recurso núm. 454-2007.</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30 de abril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 80), al haber intervenido en instancia anterior en su condición de Magistrado de la Sala de lo Contencioso-Administrativo del Tribunal Supremo que dictó la resolución recurrida.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1114-2012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seis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32" w:name="AUTO_2013_91"/>
      <w:r>
        <w:lastRenderedPageBreak/>
        <w:t>AUTO 91/2013, de 6 de mayo de 2013</w:t>
      </w:r>
    </w:p>
    <w:bookmarkEnd w:id="232"/>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ECLI:ES:TC:2013:91A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y don Fernando Valdés Dal-Ré.</w:t>
      </w:r>
    </w:p>
    <w:p w:rsidR="00BE7FB3" w:rsidRDefault="00BE7FB3" w:rsidP="00BE7FB3">
      <w:pPr>
        <w:pStyle w:val="SntesisDescriptiva"/>
      </w:pPr>
    </w:p>
    <w:p w:rsidR="00BE7FB3" w:rsidRDefault="00BE7FB3" w:rsidP="00BE7FB3">
      <w:pPr>
        <w:pStyle w:val="SntesisDescriptiva"/>
      </w:pPr>
      <w:r>
        <w:t>Acepta una abstención en el recurso de amparo 2605-2012, promovido por Promotora de Informaciones, S.A.,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4 de mayo de 2012, el Procurador de los Tribunales don Argimiro Vázquez Guillén, en nombre y representación de la entidad Promotora de Informaciones, S.A., interpuso demanda de amparo contra Auto de la Sección Primera de la Sala de lo Contencioso-Administrativo del Tribunal Supremo recaído en recurso de casación núm. 1499-2011, contra Sentencia dictada por la Sala de lo Contencioso-Administrativo de la Audiencia Nacional en procedimiento ordinario núm. 57-2008.</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29 de abril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Ordinaria 2/1979 (art. 80), al haber intervenido en instancia anterior en su condición de Magistrado de la Sala de lo Contencioso-Administrativo del Tribunal Supremo que dictó la resolución recurrida.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2605-2012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seis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33" w:name="AUTO_2013_92"/>
      <w:r>
        <w:lastRenderedPageBreak/>
        <w:t>AUTO 92/2013, de 6 de mayo de 2013</w:t>
      </w:r>
    </w:p>
    <w:bookmarkEnd w:id="233"/>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ECLI:ES:TC:2013:92A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Rectifica el Auto 75/2013, de 8 de abril, en el recurso de amparo 5652-2012, promovido por don José Antonio Montserrat Sánchez en causa penal.</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234" w:name="AUTO_2013_93"/>
      <w:r>
        <w:lastRenderedPageBreak/>
        <w:t>AUTO 93/2013, de 7 de mayo de 2013</w:t>
      </w:r>
    </w:p>
    <w:bookmarkEnd w:id="234"/>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ECLI:ES:TC:2013:93A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228-2003, planteada por la Sala de lo Civil y Penal del Tribunal Superior de Justicia de Navarra en relación con el artículo 2.3 de la Ley Foral 6/2000, de 3 de julio, para la igualdad jurídica de las parejas de hecho.</w:t>
      </w:r>
    </w:p>
    <w:p w:rsidR="00BE7FB3" w:rsidRDefault="00BE7FB3" w:rsidP="00BE7FB3">
      <w:pPr>
        <w:pStyle w:val="SntesisDescriptiva"/>
      </w:pPr>
    </w:p>
    <w:p w:rsidR="00BE7FB3" w:rsidRDefault="00BE7FB3" w:rsidP="00BE7FB3">
      <w:pPr>
        <w:pStyle w:val="SntesisAnaltica"/>
      </w:pPr>
      <w:r>
        <w:t>Cuestión de inconstitucionalidad: extinción de cuestión de inconstitucionalidad; pérdida sobrevenida de objeto por declaración de inconstitucionalidad de la norma. Familia: unión de hecho. Navarra: competencias en materia de Derechos civiles especiales.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el día 14 de enero de 2003 tuvo entrada en el Registro General de este Tribunal Constitucional un escrito de la Sala de lo Civil y Penal del Tribunal Superior de Justicia de Navarra al que se acompaña, junto con el testimonio del correspondiente procedimiento, el Auto de 30 de diciembre de 2002 por el que se plantea cuestión de inconstitucionalidad en relación con el art. 2.3 de la Ley Foral 6/2000, de 3 de julio, para la igualdad jurídica de las parejas estables.</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de los que deriva el planteamiento de la presente cuestión de inconstitucionalidad son, en síntesis, los siguientes:</w:t>
      </w:r>
    </w:p>
    <w:p w:rsidR="00BE7FB3" w:rsidRDefault="00BE7FB3" w:rsidP="00BE7FB3">
      <w:pPr>
        <w:pStyle w:val="TextoNormal"/>
      </w:pPr>
    </w:p>
    <w:p w:rsidR="00BE7FB3" w:rsidRDefault="00BE7FB3" w:rsidP="00BE7FB3">
      <w:pPr>
        <w:pStyle w:val="TextoNormal"/>
      </w:pPr>
      <w:r>
        <w:t>a) En el juicio de menor cuantía 17-2001 del Juzgado de instancia núm. 2 de Pamplona, y en la demanda iniciadora de las actuaciones la parte actora alegaba que mantenía una relación estable de convivencia con residencia habitual común en Ágreda (Soria) con el hermano de los demandados, fallecido en accidente de automóvil el día 8 de agosto de 2000. Por ello, solicitaba que se declarara que tenían la condición de pareja estable o pareja de hecho, siéndoles de aplicación la Ley Foral 6/2000. La Sentencia de primera instancia estimó la demanda y declaró que la actora y el hermano de los demandados tenían la condición de pareja estable o de hecho.</w:t>
      </w:r>
    </w:p>
    <w:p w:rsidR="00BE7FB3" w:rsidRDefault="00BE7FB3" w:rsidP="00BE7FB3">
      <w:pPr>
        <w:pStyle w:val="TextoNormal"/>
      </w:pPr>
    </w:p>
    <w:p w:rsidR="00BE7FB3" w:rsidRDefault="00BE7FB3" w:rsidP="00BE7FB3">
      <w:pPr>
        <w:pStyle w:val="TextoNormal"/>
      </w:pPr>
      <w:r>
        <w:t xml:space="preserve">b) Recurrida la Sentencia por la parte demandada, integrada por la familia del fallecido, la Sección Segunda de la Audiencia Provincial de Navarra dictó Sentencia con fecha 16 de junio de 2002 estimando el recurso de apelación interpuesto frente a la Sentencia de 26 de </w:t>
      </w:r>
      <w:r>
        <w:lastRenderedPageBreak/>
        <w:t>abril de 2001, dictada por el Juzgado de instancia núm. 2 de Pamplona, revocando esta última resolución y desestimando la demanda interpuesta por la actora. La apelación fue estimada con base en que el art. 2.3 de la Ley Foral 6/2000, que dispone que sus preceptos “se aplicarán a las parejas estables cuando, al menos, uno de sus miembros tenga la vecindad civil Navarra”, no resultaba de aplicación al caso. Teniendo en cuenta que el domicilio de convivencia se localizaba en Ágreda (Soria), la Sentencia estimó aplicable el art. 9.2 del Código civil y consideró regida dicha unión por el Derecho civil común o general.</w:t>
      </w:r>
    </w:p>
    <w:p w:rsidR="00BE7FB3" w:rsidRDefault="00BE7FB3" w:rsidP="00BE7FB3">
      <w:pPr>
        <w:pStyle w:val="TextoNormal"/>
      </w:pPr>
    </w:p>
    <w:p w:rsidR="00BE7FB3" w:rsidRDefault="00BE7FB3" w:rsidP="00BE7FB3">
      <w:pPr>
        <w:pStyle w:val="TextoNormal"/>
      </w:pPr>
      <w:r>
        <w:t>c) La Sentencia de la Audiencia fue recurrida en casación por la parte demandante ante la Sala de lo Civil y Penal del Tribunal Superior de Justicia de Navarra aduciéndose en el único motivo del recurso a la infracción del art. 2.3 de la Ley Foral 6/2000, en relación con los arts. 9.2 y 8 del Código civil.</w:t>
      </w:r>
    </w:p>
    <w:p w:rsidR="00BE7FB3" w:rsidRDefault="00BE7FB3" w:rsidP="00BE7FB3">
      <w:pPr>
        <w:pStyle w:val="TextoNormal"/>
      </w:pPr>
    </w:p>
    <w:p w:rsidR="00BE7FB3" w:rsidRDefault="00BE7FB3" w:rsidP="00BE7FB3">
      <w:pPr>
        <w:pStyle w:val="TextoNormal"/>
      </w:pPr>
      <w:r>
        <w:t>d) Mediante providencia de 13 de diciembre de 2002, la Sala de lo Civil y Penal del Tribunal Superior de Justicia de Navarra se dirigió a las partes y al Ministerio Fiscal para que, de acuerdo con el art. 35.2 de la Ley Orgánica del Tribunal Constitucional (LOTC), pudieran “alegar lo que deseen sobre la pertinencia de plantear la cuestión de inconstitucionalidad sobre el art. 2.3 de la Ley Foral 6/2000, por posible infracción del art. 149.1.8 (normas para resolver los conflictos de leyes) de la Constitución”. El Ministerio Fiscal, en escrito de 19 de diciembre de 2002, no se opuso al planteamiento de la cuestión cosa que sí hizo la parte recurrente mientras que la parte recurrida se mostró favorable a su planteamiento.</w:t>
      </w:r>
    </w:p>
    <w:p w:rsidR="00BE7FB3" w:rsidRDefault="00BE7FB3" w:rsidP="00BE7FB3">
      <w:pPr>
        <w:pStyle w:val="TextoNormal"/>
      </w:pPr>
    </w:p>
    <w:p w:rsidR="00BE7FB3" w:rsidRDefault="00BE7FB3" w:rsidP="00BE7FB3">
      <w:pPr>
        <w:pStyle w:val="TextoNormal"/>
      </w:pPr>
      <w:r>
        <w:t>Los argumentos sustanciales de dichas partes fueron, en extracto, los siguientes:</w:t>
      </w:r>
    </w:p>
    <w:p w:rsidR="00BE7FB3" w:rsidRDefault="00BE7FB3" w:rsidP="00BE7FB3">
      <w:pPr>
        <w:pStyle w:val="TextoNormal"/>
      </w:pPr>
    </w:p>
    <w:p w:rsidR="00BE7FB3" w:rsidRDefault="00BE7FB3" w:rsidP="00BE7FB3">
      <w:pPr>
        <w:pStyle w:val="TextoNormal"/>
      </w:pPr>
      <w:r>
        <w:t>a’) El Ministerio Fiscal, tras apreciar la concurrencia de los requisitos exigidos por el art. 35.1 LOTC para el planteamiento de una cuestión de inconstitucionalidad, señaló el carácter exclusivo de la competencia estatal para dictar las normas de resolución de los conflictos de leyes y apreció que el art. 2.3 de la Ley Foral 6/2000 es una norma que trata de resolver un conflicto de leyes, razón por la que no se opone al planteamiento de cuestión de inconstitucionalidad.</w:t>
      </w:r>
    </w:p>
    <w:p w:rsidR="00BE7FB3" w:rsidRDefault="00BE7FB3" w:rsidP="00BE7FB3">
      <w:pPr>
        <w:pStyle w:val="TextoNormal"/>
      </w:pPr>
    </w:p>
    <w:p w:rsidR="00BE7FB3" w:rsidRDefault="00BE7FB3" w:rsidP="00BE7FB3">
      <w:pPr>
        <w:pStyle w:val="TextoNormal"/>
      </w:pPr>
      <w:r>
        <w:t>b’) La parte recurrente se opuso al planteamiento de la cuestión por considerar que no se trataba de un problema de constitucionalidad, sino de determinación de la norma aplicable en un supuesto de conflicto de normas, tarea que es competencia del Juez ordinario y no del Tribunal Constitucional.</w:t>
      </w:r>
    </w:p>
    <w:p w:rsidR="00BE7FB3" w:rsidRDefault="00BE7FB3" w:rsidP="00BE7FB3">
      <w:pPr>
        <w:pStyle w:val="TextoNormal"/>
      </w:pPr>
    </w:p>
    <w:p w:rsidR="00BE7FB3" w:rsidRDefault="00BE7FB3" w:rsidP="00BE7FB3">
      <w:pPr>
        <w:pStyle w:val="TextoNormal"/>
      </w:pPr>
      <w:r>
        <w:t>c’) La parte recurrida estimó procedente plantear la cuestión de inconstitucionalidad por cuanto la decisión del proceso dependería precisamente de la aplicación de la disposición cuestionada.</w:t>
      </w:r>
    </w:p>
    <w:p w:rsidR="00BE7FB3" w:rsidRDefault="00BE7FB3" w:rsidP="00BE7FB3">
      <w:pPr>
        <w:pStyle w:val="TextoNormal"/>
      </w:pPr>
    </w:p>
    <w:p w:rsidR="00BE7FB3" w:rsidRDefault="00BE7FB3" w:rsidP="00BE7FB3">
      <w:pPr>
        <w:pStyle w:val="TextoNormal"/>
      </w:pPr>
      <w:r w:rsidRPr="00BE7FB3">
        <w:rPr>
          <w:rStyle w:val="NumeroAFNegritaCaracter"/>
        </w:rPr>
        <w:t>3</w:t>
      </w:r>
      <w:r>
        <w:t>. Mediante Auto de 30 de diciembre de 2002, la Sala de lo Civil y Penal del Tribunal Superior de Justicia de Navarra plantea la cuestión de inconstitucionalidad en relación con el art. 2.3 de la Ley Foral 6/2000, de 3 de julio, para la igualdad de las parejas estables, por posible infracción del art. 149.1.8 CE.</w:t>
      </w:r>
    </w:p>
    <w:p w:rsidR="00BE7FB3" w:rsidRDefault="00BE7FB3" w:rsidP="00BE7FB3">
      <w:pPr>
        <w:pStyle w:val="TextoNormal"/>
      </w:pPr>
    </w:p>
    <w:p w:rsidR="00BE7FB3" w:rsidRDefault="00BE7FB3" w:rsidP="00BE7FB3">
      <w:pPr>
        <w:pStyle w:val="TextoNormal"/>
      </w:pPr>
      <w:r>
        <w:t xml:space="preserve">El Auto de planteamiento hace referencia a los antecedentes del caso deteniéndose, especialmente, en el examen de la Sentencia de la Audiencia Provincial de Pamplona en la </w:t>
      </w:r>
      <w:r>
        <w:lastRenderedPageBreak/>
        <w:t>que se considera que la norma cuestionada es una norma material de derecho navarro que operaría después de haber aplicado la norma estatal de conflicto que, en este caso, sería el art. 9.2 del Código civil, lo que le lleva a concluir como ley de la unión estable la de la residencia habitual común, de forma que la misma no puede regirse por el derecho navarro sino por el llamado derecho civil común o general. A continuación el Auto señala que el Estado tiene competencia exclusiva sobre las normas para resolver los conflictos de leyes citando, entre otras la STC 72/1983, de 29 de julio, FJ 5, y subraya que el art. 2.3 de la Ley Foral 6/2000 establece que “las disposiciones de la presente Ley Foral se aplicarán a las parejas estables cuando al menos uno de sus miembros tengan la vecindad civil navarra”, por lo que es una norma de conflicto, ya que regula supuestos de tráfico jurídico interregional, señaladamente, cuando uno de los miembros no sea navarro.</w:t>
      </w:r>
    </w:p>
    <w:p w:rsidR="00BE7FB3" w:rsidRDefault="00BE7FB3" w:rsidP="00BE7FB3">
      <w:pPr>
        <w:pStyle w:val="TextoNormal"/>
      </w:pPr>
    </w:p>
    <w:p w:rsidR="00BE7FB3" w:rsidRDefault="00BE7FB3" w:rsidP="00BE7FB3">
      <w:pPr>
        <w:pStyle w:val="TextoNormal"/>
      </w:pPr>
      <w:r>
        <w:t>En el presente caso, la actora tenía la vecindad civil de Derecho común, en tanto que su pareja era navarro y, según el Auto, el precepto pudiera resultar contrario a lo previsto en el art. 149.1.8 CE, que atribuye al Estado la competencia para establecer “las reglas relativas a la aplicación y eficacia de las normas jurídicas”, tal y como dicha regla competencia1 ha sido interpretada por el Tribunal Constitucional (SSTC 156/1993, de 6 de mayo, y 226/1993, de 8 de julio).</w:t>
      </w:r>
    </w:p>
    <w:p w:rsidR="00BE7FB3" w:rsidRDefault="00BE7FB3" w:rsidP="00BE7FB3">
      <w:pPr>
        <w:pStyle w:val="TextoNormal"/>
      </w:pPr>
    </w:p>
    <w:p w:rsidR="00BE7FB3" w:rsidRDefault="00BE7FB3" w:rsidP="00BE7FB3">
      <w:pPr>
        <w:pStyle w:val="TextoNormal"/>
      </w:pPr>
      <w:r>
        <w:t>En suma, la Sala entiende que la norma cuestionada es aplicable al caso litigioso en razón a las vecindades civiles señaladas y constituye la única invocación en el recurso de casación. Por otra parte recalca que el art. 2.3 cuestionado ignora cuanto dispone el art. 149.1.8 CE pues, por ser norma de conflicto, es una materia sobre la que el Estado tiene competencia exclusiva, sin que se acoja la tesis sustentada por la Sentencia recurrida ya que prescinde de la aplicación del art. 2.3 de la Ley Foral 6/2000 y sugiere la sucesiva proyección de dos normas de conflicto, la del art. 9.2 del Código civil y después, en su caso, la de la Ley Foral.</w:t>
      </w:r>
    </w:p>
    <w:p w:rsidR="00BE7FB3" w:rsidRDefault="00BE7FB3" w:rsidP="00BE7FB3">
      <w:pPr>
        <w:pStyle w:val="TextoNormal"/>
      </w:pPr>
    </w:p>
    <w:p w:rsidR="00BE7FB3" w:rsidRDefault="00BE7FB3" w:rsidP="00BE7FB3">
      <w:pPr>
        <w:pStyle w:val="TextoNormal"/>
      </w:pPr>
      <w:r>
        <w:t>Finalmente el Auto justifica en qué medida la decisión del presente juicio depende de la validez del art. 2.3 de la Ley Foral 6/2000 señalando que “si el art. 2.3 es válido debe aplicarse la invocada Ley Foral con todas sus consecuencias”, mientras que “si, por el contrario, la norma en cuestión no fuese válida se abriría un amplio abanico de posibilidades y soluciones que, obviamente, no podemos concretar en este momento”.</w:t>
      </w:r>
    </w:p>
    <w:p w:rsidR="00BE7FB3" w:rsidRDefault="00BE7FB3" w:rsidP="00BE7FB3">
      <w:pPr>
        <w:pStyle w:val="TextoNormal"/>
      </w:pPr>
    </w:p>
    <w:p w:rsidR="00BE7FB3" w:rsidRDefault="00BE7FB3" w:rsidP="00BE7FB3">
      <w:pPr>
        <w:pStyle w:val="TextoNormal"/>
      </w:pPr>
      <w:r>
        <w:t>Por ello, el Auto, tras recordar la pendencia del recurso de inconstitucionalidad núm. 5297-2000 promovido por diversos diputados en relación con la Ley Foral 6/2000, concluye acordando el planteamiento de la cuestión con respecto al precepto denunciado por posible vulneración del art. 149.1.8 CE.</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providencia de 25 de marzo de 2003 la Sección Primera del Tribunal Constitucional acordó admitir a trámite la cuestión de inconstitucionalidad y dar traslado de las actuaciones, conforme establece el art. 37.2 LOTC, al Congreso de los Diputados y al Senado, al Gobierno y al Parlamento de Navarra, por conducto de sus Presidentes, y al Gobierno de la Nación, por conducto del Ministro de Justicia, y al Fiscal General del Estado, al objeto de que, en el improrrogable plazo de quince días, pudieran personarse en el proceso y formular las alegaciones que estimaren convenientes. También se acordó publicar la incoación de la cuestión en el “Boletín Oficial del Estado” y en el “Boletín Oficial de Navarra”.</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5</w:t>
      </w:r>
      <w:r>
        <w:t>. El día 10 de abril de 2003 se registró en el Tribunal un escrito de la Presidenta del Congreso de los Diputados en el que se comunicó al Tribunal que dicha Cámara no se personaría en el proceso ni formularía alegaciones.</w:t>
      </w:r>
    </w:p>
    <w:p w:rsidR="00BE7FB3" w:rsidRDefault="00BE7FB3" w:rsidP="00BE7FB3">
      <w:pPr>
        <w:pStyle w:val="TextoNormal"/>
      </w:pPr>
    </w:p>
    <w:p w:rsidR="00BE7FB3" w:rsidRDefault="00BE7FB3" w:rsidP="00BE7FB3">
      <w:pPr>
        <w:pStyle w:val="TextoNormal"/>
      </w:pPr>
      <w:r w:rsidRPr="00BE7FB3">
        <w:rPr>
          <w:rStyle w:val="NumeroAFNegritaCaracter"/>
        </w:rPr>
        <w:t>6</w:t>
      </w:r>
      <w:r>
        <w:t>. El día 14 de abril de 2003, el Abogado del Estado se personó en el proceso y formuló las alegaciones que se resumen a continuación.</w:t>
      </w:r>
    </w:p>
    <w:p w:rsidR="00BE7FB3" w:rsidRDefault="00BE7FB3" w:rsidP="00BE7FB3">
      <w:pPr>
        <w:pStyle w:val="TextoNormal"/>
      </w:pPr>
    </w:p>
    <w:p w:rsidR="00BE7FB3" w:rsidRDefault="00BE7FB3" w:rsidP="00BE7FB3">
      <w:pPr>
        <w:pStyle w:val="TextoNormal"/>
      </w:pPr>
      <w:r>
        <w:t>Tras exponer los antecedentes de la presente cuestión señala que no es posible interpretar el art. 2.3 de la Ley Foral 6/2000 como una norma material postergando su aplicación para un momento posterior a la proyección de la norma de conflicto dado que la misma consiste precisamente en una norma de colisión, pues pretende aplicarse a las parejas estables cuando uno de sus miembros tenga vecindad civil navarra. Se regula así una norma de conflicto, competencia específicamente reservada al Estado en el art. 149.1.8 CE, cuya validez es claramente determinante del fallo por cuanto en el proceso planteado la pareja estable cuyo reconocimiento se pretende en el recurso de casación estaba formada por una persona con vecindad foral navarra y otra con vecindad civil común.</w:t>
      </w:r>
    </w:p>
    <w:p w:rsidR="00BE7FB3" w:rsidRDefault="00BE7FB3" w:rsidP="00BE7FB3">
      <w:pPr>
        <w:pStyle w:val="TextoNormal"/>
      </w:pPr>
    </w:p>
    <w:p w:rsidR="00BE7FB3" w:rsidRDefault="00BE7FB3" w:rsidP="00BE7FB3">
      <w:pPr>
        <w:pStyle w:val="TextoNormal"/>
      </w:pPr>
      <w:r>
        <w:t>A continuación el Abogado del Estado destaca que el mandato de la norma cuestionada puede colisionar con cualquier otra ordenación regional que estableciera, no ya el mismo principio de vinculación forzosa a una norma autonómica por la sola vecindad de un miembro de la pareja, sino que fuera más respetuosa con la voluntad de los interesados de acogerse convencionalmente a otra legislación con la que existiera cualquier punto de conexión. Y a la inversa impediría a residentes en Navarra acogerse a sus determinaciones cuando ninguno de los miembros de la pareja tuviera la vecindad foral navarra. En este aspecto el precepto cuestionado atentaría contra lo previsto en el art. 149.1.1 CE, en cuanto crearía una desigualdad patente entre los ciudadanos, no derivada de la diversidad normativa, sino de las posibilidades de acogimiento a una u otra normativa.</w:t>
      </w:r>
    </w:p>
    <w:p w:rsidR="00BE7FB3" w:rsidRDefault="00BE7FB3" w:rsidP="00BE7FB3">
      <w:pPr>
        <w:pStyle w:val="TextoNormal"/>
      </w:pPr>
    </w:p>
    <w:p w:rsidR="00BE7FB3" w:rsidRDefault="00BE7FB3" w:rsidP="00BE7FB3">
      <w:pPr>
        <w:pStyle w:val="TextoNormal"/>
      </w:pPr>
      <w:r>
        <w:t>Seguidamente el Abogado del Estado indica que, dado que la ley navarra pretende abordar una regulación que se identifica como sustancialmente igual al matrimonio, entiende que la infracción es más ajustada al concepto competencial “formas de matrimonio” que a las reglas relativas a la aplicación o eficacia de las normas civiles pues la incompetencia afecta a la índole de la relación y no solo al aspecto secundario de los puntos de conexión, aunque termina concluyendo que también sería apreciable la vulneración de la competencia estatal sobre las normas de conflicto, por lo que concluye solicitando la estimación de la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7</w:t>
      </w:r>
      <w:r>
        <w:t>. Por escrito registrado el día 16 de abril de 2003, la Letrada del Parlamento de Navarra solicitó la remisión completa del expediente en el que se plantea la cuestión de inconstitucionalidad así como la suspensión del plazo de alegaciones en tanto no se recibiera la documentación reclamada. La Sección Primera de este Tribunal, por providencia de 22 de abril de 2003, acordó remitir la documentación solicitada así como conceder al Parlamento de Navarra un nuevo plazo de quince días para formular alegaciones.</w:t>
      </w:r>
    </w:p>
    <w:p w:rsidR="00BE7FB3" w:rsidRDefault="00BE7FB3" w:rsidP="00BE7FB3">
      <w:pPr>
        <w:pStyle w:val="TextoNormal"/>
      </w:pPr>
    </w:p>
    <w:p w:rsidR="00BE7FB3" w:rsidRDefault="00BE7FB3" w:rsidP="00BE7FB3">
      <w:pPr>
        <w:pStyle w:val="TextoNormal"/>
      </w:pPr>
      <w:r w:rsidRPr="00BE7FB3">
        <w:rPr>
          <w:rStyle w:val="NumeroAFNegritaCaracter"/>
        </w:rPr>
        <w:t>8</w:t>
      </w:r>
      <w:r>
        <w:t>. El Presidente del Senado, mediante escrito registrado el día 24 de abril de 2003, comunicó que la Cámara se personaba en el proceso, ofreciendo su colaboración.</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9</w:t>
      </w:r>
      <w:r>
        <w:t>. El 24 de abril de 2003 el Fiscal General del Estado formuló sus alegaciones en los términos que se resumen seguidamente.</w:t>
      </w:r>
    </w:p>
    <w:p w:rsidR="00BE7FB3" w:rsidRDefault="00BE7FB3" w:rsidP="00BE7FB3">
      <w:pPr>
        <w:pStyle w:val="TextoNormal"/>
      </w:pPr>
    </w:p>
    <w:p w:rsidR="00BE7FB3" w:rsidRDefault="00BE7FB3" w:rsidP="00BE7FB3">
      <w:pPr>
        <w:pStyle w:val="TextoNormal"/>
      </w:pPr>
      <w:r>
        <w:t xml:space="preserve">Tras referirse a los antecedentes del proceso que ha dado lugar al planteamiento de la cuestión así como al contenido del Auto de planteamiento, indica que la propia Audiencia Provincial, al resolver el recurso de apelación, se planteó la posibilidad de suscitar la cuestión de inconstitucionalidad, posibilidad que descartó al entender que la norma era susceptible de interpretación conforme. Por el contrario, el Tribunal Superior de Justicia descarta la interpretación propuesta por la Audiencia Provincial, razón por la que el Fiscal estima que resulta necesario plantearse si resultaba posible que los órganos judiciales resolvieran el conflicto entre normas sin necesidad de plantear la cuestión. A juicio del Fiscal General, la norma cuestionada, por su contenido, al establecer un punto de conexión que permite decidir su aplicación a los casos en los que entre en conflicto con otras normas vigentes en el territorio español, afecta al régimen de distribución de competencias entre el Estado y las Comunidades Autónomas </w:t>
      </w:r>
      <w:r w:rsidRPr="00BE7FB3">
        <w:rPr>
          <w:i/>
        </w:rPr>
        <w:t>ex</w:t>
      </w:r>
      <w:r>
        <w:t xml:space="preserve"> art. 149.1.8 CE lo que impide que su control pueda ejercitarse por los órganos del Poder Judicial.</w:t>
      </w:r>
    </w:p>
    <w:p w:rsidR="00BE7FB3" w:rsidRDefault="00BE7FB3" w:rsidP="00BE7FB3">
      <w:pPr>
        <w:pStyle w:val="TextoNormal"/>
      </w:pPr>
    </w:p>
    <w:p w:rsidR="00BE7FB3" w:rsidRDefault="00BE7FB3" w:rsidP="00BE7FB3">
      <w:pPr>
        <w:pStyle w:val="TextoNormal"/>
      </w:pPr>
      <w:r>
        <w:t>A renglón seguido indica que para resolver la cuestión es necesario partir de la doctrina constitucional en materia de “conservación, modificación y desarrollo por las Comunidades Autónomas de los derechos civiles forales allí donde existan” citando al respecto las SSTC 88/1993, de 12 de marzo, y 156/1993, de 6 de mayo, por lo que, a su juicio, la norma cuestionada, aún inserta en una disposición con fuerza de ley cuyo contenido en general sea la regulación de una materia, como la de las parejas estables no matrimoniales, propia del derecho civil foral, tiene por objeto establecer un punto de conexión, cual es la vecindad civil navarra, para determinar el ámbito de aplicación de la ley que la contiene, lo que puede dar lugar a que, cuando el otro miembro no goce de la vecindad civil navarra, se produzca una situación de concurso de normas entre la Ley Foral 6/2000 y aquella otra que, en virtud del punto de conexión elegido en la misma, sea aplicable.</w:t>
      </w:r>
    </w:p>
    <w:p w:rsidR="00BE7FB3" w:rsidRDefault="00BE7FB3" w:rsidP="00BE7FB3">
      <w:pPr>
        <w:pStyle w:val="TextoNormal"/>
      </w:pPr>
    </w:p>
    <w:p w:rsidR="00BE7FB3" w:rsidRDefault="00BE7FB3" w:rsidP="00BE7FB3">
      <w:pPr>
        <w:pStyle w:val="TextoNormal"/>
      </w:pPr>
      <w:r>
        <w:t>Por ello el Fiscal concluye que estamos en presencia de una norma que tiene por objeto regular el tráfico jurídico interregional, materia que es competencia exclusiva del Estado como se dispone en el art. 149.1.8 CE y ha confirmado la doctrina constitucional (STC 225/1993, de 8 de julio) y, en consecuencia, estima que la norma cuestionada establece la vecindad civil navarra como punto de conexión para determinar la aplicación de la norma con lo que está invadiendo las competencias del Estado por infringir el art. 149.1.8 CE, interesando que se declare la inconstitucionalidad y, por tanto, nulidad del art. 2.3 de la Ley Foral 6/2000.</w:t>
      </w:r>
    </w:p>
    <w:p w:rsidR="00BE7FB3" w:rsidRDefault="00BE7FB3" w:rsidP="00BE7FB3">
      <w:pPr>
        <w:pStyle w:val="TextoNormal"/>
      </w:pPr>
    </w:p>
    <w:p w:rsidR="00BE7FB3" w:rsidRDefault="00BE7FB3" w:rsidP="00BE7FB3">
      <w:pPr>
        <w:pStyle w:val="TextoNormal"/>
      </w:pPr>
      <w:r w:rsidRPr="00BE7FB3">
        <w:rPr>
          <w:rStyle w:val="NumeroAFNegritaCaracter"/>
        </w:rPr>
        <w:t>10</w:t>
      </w:r>
      <w:r>
        <w:t>. El día 30 de abri1 de 2003 se registra en el Tribunal un escrito del Letrado de la Comunidad Foral de Navarra que, en la representación que ostenta del Gobierno de esa Comunidad Foral, comparece en el proceso y formula las alegaciones que se sintetizan a continuación.</w:t>
      </w:r>
    </w:p>
    <w:p w:rsidR="00BE7FB3" w:rsidRDefault="00BE7FB3" w:rsidP="00BE7FB3">
      <w:pPr>
        <w:pStyle w:val="TextoNormal"/>
      </w:pPr>
    </w:p>
    <w:p w:rsidR="00BE7FB3" w:rsidRDefault="00BE7FB3" w:rsidP="00BE7FB3">
      <w:pPr>
        <w:pStyle w:val="TextoNormal"/>
      </w:pPr>
      <w:r>
        <w:t xml:space="preserve">Comienza señalando que la cuestión de inconstitucionalidad se articula sobre la presunta vulneración del art. 149.1.8 CE, de acuerdo con la doctrina contenida en las SSTC 156/1993, de 6 de mayo, y 226/1993, de 8 de julio, pues la Sala entiende que el art. 2.3 de la Ley Foral es una norma de conflicto que determina la aplicabilidad de la ley para el caso de que ambos </w:t>
      </w:r>
      <w:r>
        <w:lastRenderedPageBreak/>
        <w:t>miembros de la pareja o uno de ellos ostente la vecindad civil navarra, regulando con ello supuestos de tráfico jurídico interregional.</w:t>
      </w:r>
    </w:p>
    <w:p w:rsidR="00BE7FB3" w:rsidRDefault="00BE7FB3" w:rsidP="00BE7FB3">
      <w:pPr>
        <w:pStyle w:val="TextoNormal"/>
      </w:pPr>
    </w:p>
    <w:p w:rsidR="00BE7FB3" w:rsidRDefault="00BE7FB3" w:rsidP="00BE7FB3">
      <w:pPr>
        <w:pStyle w:val="TextoNormal"/>
      </w:pPr>
      <w:r>
        <w:t>Sin embargo, la representación procesal del Gobierno de Navarra sostiene la plena constitucionalidad del art. 2.3 de la Ley Foral 6/2000, norma que entiende con un contenido básicamente propio del derecho civil y, por ello, dictada al amparo de las exclusivas competencias de Navarra en materia de derecho civil foral. De esta forma, lo que hace el legislador navarro es ejercer su libertad de configuración normativa dentro de la competencia que tiene reconocida y con la finalidad de garantizar la igualdad jurídica de las parejas estables. En ese contexto, el legislador navarro ha de regular la aplicabilidad de la ley que crea y contemplar su ámbito subjetivo so pena de crear una indeterminación en la eficacia de la misma. A su juicio, a este razonamiento no cabe objetarle la existencia de una norma general, como el art. 9.2 del Código civil ya que este precepto regula los efectos del matrimonio y en su redacción no contempla ni alcanza a un supuesto como el presente, relativo a las parejas estables en el que no existe regulación común. Así, la Ley navarra regula su propio campo de aplicación sin colisionar ni invadir otro ámbito normativo, por lo que no hay que acudir al Código civil para resolver el inexistente conflicto.</w:t>
      </w:r>
    </w:p>
    <w:p w:rsidR="00BE7FB3" w:rsidRDefault="00BE7FB3" w:rsidP="00BE7FB3">
      <w:pPr>
        <w:pStyle w:val="TextoNormal"/>
      </w:pPr>
    </w:p>
    <w:p w:rsidR="00BE7FB3" w:rsidRDefault="00BE7FB3" w:rsidP="00BE7FB3">
      <w:pPr>
        <w:pStyle w:val="TextoNormal"/>
      </w:pPr>
      <w:r>
        <w:t>Por todo ello, el Letrado de la Comunidad Foral concluye estimando que procede que este Tribunal Constitucional dicte Sentencia desestimando la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11</w:t>
      </w:r>
      <w:r>
        <w:t>. El 9 de mayo de 2003 comparece en el proceso la Letrada del Parlamento de Navarra, en la representación que ostenta, y formula las siguientes alegaciones.</w:t>
      </w:r>
    </w:p>
    <w:p w:rsidR="00BE7FB3" w:rsidRDefault="00BE7FB3" w:rsidP="00BE7FB3">
      <w:pPr>
        <w:pStyle w:val="TextoNormal"/>
      </w:pPr>
    </w:p>
    <w:p w:rsidR="00BE7FB3" w:rsidRDefault="00BE7FB3" w:rsidP="00BE7FB3">
      <w:pPr>
        <w:pStyle w:val="TextoNormal"/>
      </w:pPr>
      <w:r>
        <w:t>Tras exponer los antecedentes del caso y los requisitos exigidos para el planteamiento de una cuestión de inconstitucionalidad recuerda que, con dicho planteamiento, no se permite que los órganos judiciales puedan impugnar de modo directo y en abstracto la validez de una ley sin que tampoco quepa ni el planteamiento de la cuestión cuando sea posible una interpretación constitucional del precepto de que se trate ni que pueda perseguirse aclarar las dudas de interpretación de las normas que puedan surgir en el proceso y que carezcan de relevancia constitucional. Por tanto, para que la cuestión de inconstitucionalidad sea admitida es preciso realizar un juicio de admisibilidad y un juicio de relevancia.</w:t>
      </w:r>
    </w:p>
    <w:p w:rsidR="00BE7FB3" w:rsidRDefault="00BE7FB3" w:rsidP="00BE7FB3">
      <w:pPr>
        <w:pStyle w:val="TextoNormal"/>
      </w:pPr>
    </w:p>
    <w:p w:rsidR="00BE7FB3" w:rsidRDefault="00BE7FB3" w:rsidP="00BE7FB3">
      <w:pPr>
        <w:pStyle w:val="TextoNormal"/>
      </w:pPr>
      <w:r>
        <w:t>La Letrada del Parlamento de Navarra afirma que el art. 2.3 de la Ley Foral 6/2000 no establece una norma que tenga como finalidad la resolución de los conflictos de leyes que puedan surgir por la vigencia de diversos regímenes forales en el Estado español, sino que se limita a trasladar una previsión ya existente en la legislación civil foral y a delimitar, para la materia de que se trata, lo dispuesto en el art. 43 de la Ley Orgánica 13/1982, de 10 de agosto, de reintegración y amejoramiento del régimen foral de Navarra. Señala a continuación que la pretensión de la parte actora en el proceso descansa en una interpretación que va más allá de lo que el propio precepto establece ya que primaría a un Derecho foral, el navarro, sobre otros Derechos forales o el propio Derecho común, interpretación que, siguiendo la doctrina constitucional (STC 156/1993, de 6 de mayo) no es admisible. Así los supuestos conflictuales que se plantean por la existencia de diversos regímenes civiles en el Estado han de resolverse de conformidad con la distribución competencial establecida por la Constitución, aplicando las normas de conflicto que, en el futuro, establezca el Estado o por analogía, para el supuesto de que el Estado no decida regularlas.</w:t>
      </w:r>
    </w:p>
    <w:p w:rsidR="00BE7FB3" w:rsidRDefault="00BE7FB3" w:rsidP="00BE7FB3">
      <w:pPr>
        <w:pStyle w:val="TextoNormal"/>
      </w:pPr>
    </w:p>
    <w:p w:rsidR="00BE7FB3" w:rsidRDefault="00BE7FB3" w:rsidP="00BE7FB3">
      <w:pPr>
        <w:pStyle w:val="TextoNormal"/>
      </w:pPr>
      <w:r>
        <w:t>Para esta Letrada, en este caso concreto, no se ha precisado con claridad lo que se pretende ni la normativa que se alega lo que ha impedido la previa determinación de la normativa —foral o común— que resultaba aplicable al caso, por lo que quizás la demanda no debió haber sido admitida en los términos en que fue planteada y, en todo caso, hubiera sido necesario un juicio sobre la conveniencia de plantear cuestión de inconstitucionalidad en ese momento. Al respecto señala que comparte la tesis formulada por la Audiencia Provincial al resolver el recurso de apelación, tesis que coincide con la alegada en el recurso de inconstitucionalidad núm. 5297-2000 y que supone que en el art. 2.3 de la Ley Foral 6/2000 no se contiene una norma de conflicto, pues es posible realizar una interpretación del precepto que resulte conforme con la Constitución según la cual la aplicación de la Ley Foral 6/2000 se produciría una vez determinada por las normas de conflicto estatales la aplicación del Derecho foral navarro al caso concreto. Por ello, esta Letrada sostiene que es posible aplicar por analogía las normas de conflicto estatales, aunque hubiera resultado más adecuado que el contenido de la demanda se hubiera concretado y determinado suficientemente ya que los problemas ahora planteados son consecuencia, en gran parte, de esa inconcreción de la petición formulada por la parte actora. El precepto cuestionado establecería así una regla de aplicación una vez que los supuestos de conflicto, de existir, se hubieran solucionado de acuerdo con lo dispuesto por las normas estatales especialmente dictadas al efecto y, en caso de ausencia de las mismas, por aplicación analógica de las que el Juzgado o Tribunal llamado a resolver considere procedente aplicar en función de la petición concreta.</w:t>
      </w:r>
    </w:p>
    <w:p w:rsidR="00BE7FB3" w:rsidRDefault="00BE7FB3" w:rsidP="00BE7FB3">
      <w:pPr>
        <w:pStyle w:val="TextoNormal"/>
      </w:pPr>
    </w:p>
    <w:p w:rsidR="00BE7FB3" w:rsidRDefault="00BE7FB3" w:rsidP="00BE7FB3">
      <w:pPr>
        <w:pStyle w:val="TextoNormal"/>
      </w:pPr>
      <w:r>
        <w:t xml:space="preserve">Así, a juicio de la Letrada del Parlamento de Navarra, la referencia a la existencia de un recurso de inconstitucionalidad pendiente confirma que el Tribunal </w:t>
      </w:r>
      <w:r w:rsidRPr="00BE7FB3">
        <w:rPr>
          <w:i/>
        </w:rPr>
        <w:t>a quo</w:t>
      </w:r>
      <w:r>
        <w:t xml:space="preserve"> se plantea la constitucionalidad del precepto, no porque sea necesario para resolver el caso concreto que se dilucida, sino, en parte, para que se realice un control en abstracto de la constitucionalidad de la norma. Para esta representación procesal la no consideración de la existencia de un problema constitucional por el Juzgado de instancia, su expresa negación por el Tribunal de apelación y los términos en los que se formula el Auto de la Sala de lo Penal y Civil del Tribunal Superior de Justicia de Navarra permiten afirmar que el art. 2.3 de la Ley Foral 6/2000 no establece una regla para resolver los conflictos de leyes y que, en este caso, resultan de aplicación por analogía los preceptos dictados para resolver los conflictos de normas previstos en el Código civil. Por ello estima que, conforme a lo previsto en el art. 5 de la Ley Orgánica del Poder Judicial (LOPJ), según el cual solo procede plantear la cuestión cuando por vía interpretativa no sea posible la acomodación de la norma al ordenamiento constitucional, la cuestión debe ser inadmitida ya que falta el requisito previo y esencial: que sea preciso resolver con carácter previo sobre la constitucionalidad del precepto de aplicación al caso concreto.</w:t>
      </w:r>
    </w:p>
    <w:p w:rsidR="00BE7FB3" w:rsidRDefault="00BE7FB3" w:rsidP="00BE7FB3">
      <w:pPr>
        <w:pStyle w:val="TextoNormal"/>
      </w:pPr>
    </w:p>
    <w:p w:rsidR="00BE7FB3" w:rsidRDefault="00BE7FB3" w:rsidP="00BE7FB3">
      <w:pPr>
        <w:pStyle w:val="TextoNormal"/>
      </w:pPr>
      <w:r>
        <w:t>También la Letrada indica que si no existiera el precepto cuya constitucionalidad se cuestiona se plantearían dudas sobre el criterio de aplicación a las relaciones civiles reguladas por la Ley Foral 6/2000 que, en realidad, es una norma que reitera el criterio de la vecindad civil que resulta de aplicación cuando de regular relaciones civiles se trata y ello sin incidir ni invadir las normas de conflicto que el Estado apruebe para resolverlos. A juicio de la Letrada del Parlamento de Navarra con el planteamiento del Auto del Tribunal Superior de Justicia de Navarra se está pidiendo al Tribunal Constitucional que elija qué norma se debe aplicar cuando ésta es función de la justicia ordinaria.</w:t>
      </w:r>
    </w:p>
    <w:p w:rsidR="00BE7FB3" w:rsidRDefault="00BE7FB3" w:rsidP="00BE7FB3">
      <w:pPr>
        <w:pStyle w:val="TextoNormal"/>
      </w:pPr>
    </w:p>
    <w:p w:rsidR="00BE7FB3" w:rsidRDefault="00BE7FB3" w:rsidP="00BE7FB3">
      <w:pPr>
        <w:pStyle w:val="TextoNormal"/>
      </w:pPr>
      <w:r>
        <w:lastRenderedPageBreak/>
        <w:t>Todo ello conlleva la inadmisibilidad de la cuestión pues no se está tratando de un problema de constitucionalidad sino de estricta legalidad, de elección de la norma aplicable, cuya resolución pueden realizar los órganos judiciales competentes.</w:t>
      </w:r>
    </w:p>
    <w:p w:rsidR="00BE7FB3" w:rsidRDefault="00BE7FB3" w:rsidP="00BE7FB3">
      <w:pPr>
        <w:pStyle w:val="TextoNormal"/>
      </w:pPr>
    </w:p>
    <w:p w:rsidR="00BE7FB3" w:rsidRDefault="00BE7FB3" w:rsidP="00BE7FB3">
      <w:pPr>
        <w:pStyle w:val="TextoNormal"/>
      </w:pPr>
      <w:r>
        <w:t>En conclusión, de acuerdo con la representación procesal del Parlamento Foral, la norma cuestionada no es aplicable al caso, el cual puede resolverse aplicando las normas conflictuales establecidas en el Código civil, no resultando admisible la interpretación que subyace en la demanda de la actora y en el planteamiento de la cuestión realizado por la Sala de lo Civil y Penal del Tribunal Superior de Justicia de Navarra. En definitiva, en su criterio, no se ha realizado el juicio de relevancia exigible para plantear la cuestión por lo que ésta debe ser inadmitida. En todo caso, el precepto podría ser interpretado de acuerdo con los preceptos constitucionales por lo que, en aplicación de lo dispuesto en el art. 5 LOPJ, debe desestimarse la cuestión planteada.</w:t>
      </w:r>
    </w:p>
    <w:p w:rsidR="00BE7FB3" w:rsidRDefault="00BE7FB3" w:rsidP="00BE7FB3">
      <w:pPr>
        <w:pStyle w:val="TextoNormal"/>
      </w:pPr>
    </w:p>
    <w:p w:rsidR="00BE7FB3" w:rsidRDefault="00BE7FB3" w:rsidP="00BE7FB3">
      <w:pPr>
        <w:pStyle w:val="TextoNormal"/>
      </w:pPr>
      <w:r>
        <w:t>Por ello, la Letrada del Parlamento de Navarra concluye solicitando que se dicte Sentencia por la que se declare la inadmisión de la cuestión planteada o, subsidiariamente, la plena constitucionalidad del precepto cuestionado.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La presente cuestión de inconstitucionalidad ha sido promovida por la Sala de lo Civil y Penal del Tribunal Superior de Justicia de Navarra en relación con el art. 2.3 de la Ley Foral 6/2000, de 3 de julio, para la igualdad jurídica de las parejas estables, por posible vulneración del art. 149.1.8 CE.</w:t>
      </w:r>
    </w:p>
    <w:p w:rsidR="00BE7FB3" w:rsidRDefault="00BE7FB3" w:rsidP="00BE7FB3">
      <w:pPr>
        <w:pStyle w:val="TextoNormal"/>
      </w:pPr>
    </w:p>
    <w:p w:rsidR="00BE7FB3" w:rsidRDefault="00BE7FB3" w:rsidP="00BE7FB3">
      <w:pPr>
        <w:pStyle w:val="TextoNormal"/>
      </w:pPr>
      <w:r>
        <w:t>El tenor literal del precepto cuestionado es el siguiente:</w:t>
      </w:r>
    </w:p>
    <w:p w:rsidR="00BE7FB3" w:rsidRDefault="00BE7FB3" w:rsidP="00BE7FB3">
      <w:pPr>
        <w:pStyle w:val="TextoNormal"/>
      </w:pPr>
    </w:p>
    <w:p w:rsidR="00BE7FB3" w:rsidRDefault="00BE7FB3" w:rsidP="00BE7FB3">
      <w:pPr>
        <w:pStyle w:val="TextoNormal"/>
      </w:pPr>
      <w:r>
        <w:t>“3. Las disposiciones de la presente Ley Foral se aplicarán a las parejas estables cuando, al menos, uno de sus miembros tenga la vecindad civil navarra.”</w:t>
      </w:r>
    </w:p>
    <w:p w:rsidR="00BE7FB3" w:rsidRDefault="00BE7FB3" w:rsidP="00BE7FB3">
      <w:pPr>
        <w:pStyle w:val="TextoNormal"/>
      </w:pPr>
    </w:p>
    <w:p w:rsidR="00BE7FB3" w:rsidRDefault="00BE7FB3" w:rsidP="00BE7FB3">
      <w:pPr>
        <w:pStyle w:val="TextoNormal"/>
      </w:pPr>
      <w:r>
        <w:t>En cuanto a los motivos de posible inconstitucionalidad, el órgano judicial, tras descartar una interpretación del precepto en el sentido de considerarlo aplicable únicamente cuando así lo determine la aplicación analógica de las normas de conflicto contenidas en el Código civil, considera que el mismo, al disponer la aplicación de la Ley Foral 6/2000 a los casos en los que uno de los miembros de la pareja estable tenga la vecindad civil navarra, se ha dictado desconociendo la competencia estatal relativa al establecimiento de normas para resolver los conflictos de leyes del art. 149.1.8 CE, regla constitucional que resultaría así violentada por lo dispuesto en el precepto cuestionado.</w:t>
      </w:r>
    </w:p>
    <w:p w:rsidR="00BE7FB3" w:rsidRDefault="00BE7FB3" w:rsidP="00BE7FB3">
      <w:pPr>
        <w:pStyle w:val="TextoNormal"/>
      </w:pPr>
    </w:p>
    <w:p w:rsidR="00BE7FB3" w:rsidRDefault="00BE7FB3" w:rsidP="00BE7FB3">
      <w:pPr>
        <w:pStyle w:val="TextoNormal"/>
      </w:pPr>
      <w:r>
        <w:t xml:space="preserve">Tal apreciación es compartida por el Abogado del Estado y por el Fiscal General del Estado, los cuales han interesado la estimación de la cuestión planteada. Por su parte, el Letrado del Gobierno de Navarra niega que la norma vulnere competencias estatales señalando que, en defecto de norma estatal, el legislador navarro puede proyectar la eficacia de sus normas a supuestos en los que están implicadas personas con vecindad civil navarra. Finalmente la Letrada del Parlamento de Navarra entiende que el preceptivo juicio de aplicabilidad ha sido formulado de manera deficiente, así como que el precepto es susceptible </w:t>
      </w:r>
      <w:r>
        <w:lastRenderedPageBreak/>
        <w:t>de ser interpretado de modo conforme con el orden constitucional de distribución de competencias por constituir una norma material de Derecho navarro que resultaría de aplicación cuando así resultase de lo dispuesto en las normas estatales.</w:t>
      </w:r>
    </w:p>
    <w:p w:rsidR="00BE7FB3" w:rsidRDefault="00BE7FB3" w:rsidP="00BE7FB3">
      <w:pPr>
        <w:pStyle w:val="TextoNormal"/>
      </w:pPr>
    </w:p>
    <w:p w:rsidR="00BE7FB3" w:rsidRDefault="00BE7FB3" w:rsidP="00BE7FB3">
      <w:pPr>
        <w:pStyle w:val="TextoNormal"/>
      </w:pPr>
      <w:r w:rsidRPr="00BE7FB3">
        <w:rPr>
          <w:rStyle w:val="NumeroAFNegritaCaracter"/>
        </w:rPr>
        <w:t>2</w:t>
      </w:r>
      <w:r>
        <w:t>. Dicho art. art. 2.3 de la Ley Foral 6/2000 ha sido objeto del recurso de inconstitucionalidad tramitado con el núm. 5297-2000, promovido por ochenta y tres Diputados pertenecientes al Grupo Popular y resuelto por el Pleno de este Tribunal en su reciente STC 93/2013, de 23 de abril, dictada con posterioridad a que la presente cuestión de inconstitucionalidad fuera admitida a trámite.</w:t>
      </w:r>
    </w:p>
    <w:p w:rsidR="00BE7FB3" w:rsidRDefault="00BE7FB3" w:rsidP="00BE7FB3">
      <w:pPr>
        <w:pStyle w:val="TextoNormal"/>
      </w:pPr>
    </w:p>
    <w:p w:rsidR="00BE7FB3" w:rsidRDefault="00BE7FB3" w:rsidP="00BE7FB3">
      <w:pPr>
        <w:pStyle w:val="TextoNormal"/>
      </w:pPr>
      <w:r>
        <w:t xml:space="preserve">En esta Sentencia (FJ 6) hemos declarado inconstitucional y nulo el art. 2.3 que en este proceso constitucional se cuestiona, por contradecir la doctrina constitucional “establecida ya en la STC 72/1983, de 29 de julio, FJ 6, la cual recoge, a su vez, lo dispuesto por la Constitución para los supuestos de conflictos de leyes y, en consecuencia, la competencia exclusiva reservada al Estado por el art. 149.1.8 de la misma en cuanto a las normas para resolver tales conflictos y, por tanto, la facultad de determinar cuál es la norma válida —estatal o autonómica— aplicable en cada caso. De acuerdo con ello en las SSTC 156/1993, de 6 de mayo, y 226/1993, de 8 de julio, determinamos que la reserva competencial a favor del Estado para dictar “normas para resolver los conflictos de leyes” </w:t>
      </w:r>
      <w:r w:rsidRPr="00BE7FB3">
        <w:rPr>
          <w:i/>
        </w:rPr>
        <w:t>ex</w:t>
      </w:r>
      <w:r>
        <w:t xml:space="preserve"> art. 149.1.8 CE implicaba que se integraba en todo caso en ella la adopción de las normas de conflicto y la definición de cada uno de sus elementos, entre los que se cuenta, y con la mayor relevancia, la determinación de los puntos de conexión que lleven a la aplicación, en supuestos de tráfico jurídico interregional, de uno de los ordenamientos civiles que coexisten en España. Así, en el fundamento jurídico 3 de la primera de las citadas destacamos que “la Norma fundamental —siguiendo en esto el precedente del art. 15.1 de la Constitución republicana— optó, inequívocamente, por un sistema estatal y, por tanto, uniforme de Derecho civil interregional y excluyó, en la misma medida, que pudieran las Comunidades Autónomas establecer regímenes peculiares para la resolución de los conflictos de leyes, ya por la vía de articular puntos de conexión diversos a los dispuestos en la legislación general ya, en otra hipótesis, por medio de la redefinición, alteración o manipulación de tales puntos de conexión. Esta es, en definitiva, una materia enteramente sustraída por el art. 149.1.8 a la acción normativa de las Comunidades Autónomas y atribuida ‘en todo caso’ a la legislación del Estado”.</w:t>
      </w:r>
    </w:p>
    <w:p w:rsidR="00BE7FB3" w:rsidRDefault="00BE7FB3" w:rsidP="00BE7FB3">
      <w:pPr>
        <w:pStyle w:val="TextoNormal"/>
      </w:pPr>
    </w:p>
    <w:p w:rsidR="00BE7FB3" w:rsidRDefault="00BE7FB3" w:rsidP="00BE7FB3">
      <w:pPr>
        <w:pStyle w:val="TextoNormal"/>
      </w:pPr>
      <w:r>
        <w:t>Y, partir de esa doctrina, concluimos (fundamento jurídico 6) que “es patente que el art. 2.3 de la Ley Foral 6/2000 se aparta de esta doctrina, pues, al establecer su aplicación al supuesto en que uno de los dos miembros de la pareja estable tenga vecindad civil navarra, determina el ámbito personal de aplicación de una norma integrada en el ordenamiento navarro y dispone unilateralmente, por tanto, la eventual aplicación de la normativa de la Comunidad Foral al miembro de la pareja que no tenga la vecindad civil antes citada. Al definirse el ámbito de aplicación de la Ley Foral 6/2000 en función de la ley personal de uno de los miembros de la pareja estable se contiene así una norma de solución de conflicto con otras leyes (aplicación de la Ley Foral 6/2000 en función del criterio de la vecindad civil foral de uno de los miembros de la pareja estable) que expresa la preferencia por el propio ordenamiento foral, cuando la competencia de dictar normas para resolver los conflictos de leyes se halla reservada al Estado con carácter exclusivo por el art. 149.1.8 CE”.</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3</w:t>
      </w:r>
      <w:r>
        <w:t>. En consecuencia, el precepto cuestionado ha sido expulsado del Ordenamiento, una vez anulado por inconstitucional, lo que impone ahora apreciar, conforme a reiterada jurisprudencia de este Tribunal, la desaparición sobrevenida del objeto de la presente cuestión, al haber quedado disipada la duda de constitucionalidad planteada por el órgano judicial (AATC 45/2010, de 14 de abril, FJ único; 88/2011, de 20 de junio, FJ único; 199/2012, de 29 de octubre y 69/2013, de 12 de marzo, FJ único).</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la extinción de la cuestión de inconstitucionalidad núm. 228-2003, por desaparición sobrevenida de su objeto.</w:t>
      </w:r>
    </w:p>
    <w:p w:rsidR="00BE7FB3" w:rsidRDefault="00BE7FB3" w:rsidP="00BE7FB3">
      <w:pPr>
        <w:pStyle w:val="TextoNormal"/>
      </w:pPr>
    </w:p>
    <w:p w:rsidR="00BE7FB3" w:rsidRDefault="00BE7FB3" w:rsidP="00BE7FB3">
      <w:pPr>
        <w:pStyle w:val="TextoNormal"/>
      </w:pPr>
      <w:r>
        <w:t>Madrid, a siete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35" w:name="AUTO_2013_94"/>
      <w:r>
        <w:lastRenderedPageBreak/>
        <w:t>AUTO 94/2013, de 7 de mayo de 2013</w:t>
      </w:r>
    </w:p>
    <w:bookmarkEnd w:id="235"/>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ECLI:ES:TC:2013:94A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Deniega la aclaración solicitada en el recurso de inconstitucionalidad 1523-2004, promovido por el Parlamento de Cataluña, en relación con diversos preceptos de la Ley 57/2003, de 16 de diciembre, de medidas para la modernización del gobierno local.</w:t>
      </w:r>
    </w:p>
    <w:p w:rsidR="00BE7FB3" w:rsidRDefault="00BE7FB3" w:rsidP="00BE7FB3">
      <w:pPr>
        <w:pStyle w:val="SntesisDescriptiva"/>
      </w:pPr>
    </w:p>
    <w:p w:rsidR="00BE7FB3" w:rsidRDefault="00BE7FB3" w:rsidP="00BE7FB3">
      <w:pPr>
        <w:pStyle w:val="SntesisAnaltica"/>
      </w:pPr>
      <w:r>
        <w:t>Aclaración de Sentencias del Tribunal Constitucional: aclaración improcedente.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Con fecha de 29 de abril de 2013, ha sido notificada a las partes la STC 103/2013, de 25 del mismo mes y año, recaída en el recurso de inconstitucionalidad núm. 1523-2004, promovido por el Parlamento de Cataluña contra determinados preceptos de la Ley 57/2003, de 16 de diciembre, de medidas para la modernización del gobierno local.</w:t>
      </w:r>
    </w:p>
    <w:p w:rsidR="00BE7FB3" w:rsidRDefault="00BE7FB3" w:rsidP="00BE7FB3">
      <w:pPr>
        <w:pStyle w:val="TextoNormal"/>
      </w:pPr>
    </w:p>
    <w:p w:rsidR="00BE7FB3" w:rsidRDefault="00BE7FB3" w:rsidP="00BE7FB3">
      <w:pPr>
        <w:pStyle w:val="TextoNormal"/>
      </w:pPr>
      <w:r w:rsidRPr="00BE7FB3">
        <w:rPr>
          <w:rStyle w:val="NumeroAFNegritaCaracter"/>
        </w:rPr>
        <w:t>2</w:t>
      </w:r>
      <w:r>
        <w:t>. Con fecha 3 de mayo de 2013, ha tenido entrada en este Tribunal un escrito del Abogado del Estado solicitando aclaración de Sentencia, que versa sobre el alcance del Fallo que declara inconstitucional y nulo, en los términos establecidos en el fundamento jurídico sexto de la Sentencia, el inciso “[e]l Alcalde podrá nombrar como miembros de la Junta de Gobierno Local a personas que no ostenten la condición de concejales, siempre que su número no supere un tercio de sus miembros, excluido el Alcalde”.</w:t>
      </w:r>
    </w:p>
    <w:p w:rsidR="00BE7FB3" w:rsidRDefault="00BE7FB3" w:rsidP="00BE7FB3">
      <w:pPr>
        <w:pStyle w:val="TextoNormal"/>
      </w:pPr>
    </w:p>
    <w:p w:rsidR="00BE7FB3" w:rsidRDefault="00BE7FB3" w:rsidP="00BE7FB3">
      <w:pPr>
        <w:pStyle w:val="TextoNormal"/>
      </w:pPr>
      <w:r>
        <w:t xml:space="preserve">La necesidad de aclaración, según alega el Abogado del Estado, se refiere a la afirmación contenida en el citado fundamento jurídico, conforme a la cual, “la declaración de nulidad no afecta a las situaciones consolidas no susceptibles de ser revisadas con fundamento en esta sentencia”, esto es, a las situaciones nacidas con anterioridad a la fecha de su publicación. No suscita dudas al Abogado del Estado que los nombramientos de miembros no electos para las Juntas de Gobierno local de los municipios de gran población, así como los acuerdos adoptados por las Juntas de Gobierno compuestas por concejales y miembros no electos no se ven afectados por la declaración de inconstitucionalidad del fallo. Le plantea dudas, sin embargo “si la declaración de inconstitucionalidad incide en los efectos jurídicos de los nombramientos que se produzcan con posterioridad a la publicación de la sentencia”. Esto es, si quienes fueron nombrados miembros no electos de la Junta de Gobierno local </w:t>
      </w:r>
      <w:r>
        <w:lastRenderedPageBreak/>
        <w:t>antes de la publicación de la Sentencia, pueden seguir ejerciendo sus cargos una vez la Sentencia sea publicada, en cuyo caso la nulidad no se extendería a los actos dictados, tras la publicación de la Sentencia, por una Junta de Gobierno local no constituida íntegramente por concejales.</w:t>
      </w:r>
    </w:p>
    <w:p w:rsidR="00BE7FB3" w:rsidRDefault="00BE7FB3" w:rsidP="00BE7FB3">
      <w:pPr>
        <w:pStyle w:val="TextoNormal"/>
      </w:pPr>
    </w:p>
    <w:p w:rsidR="00BE7FB3" w:rsidRDefault="00BE7FB3" w:rsidP="00BE7FB3">
      <w:pPr>
        <w:pStyle w:val="TextoNormal"/>
      </w:pPr>
      <w:r>
        <w:t>Añade, además, que parece lógico entender que si el nombramiento realizado con anterioridad a la publicación de la sentencia se ha mantenido por el fundamento jurídico 6 de la misma, también quedaría amparado el derecho del cargo público a ejercerlo, una vez publicada la Sentencia, hasta que sea removido del mismo. Por ello suplica que la aclaración de Sentencia se realice, no a partir de las interpretaciones por él alegadas como posibles, sino, precisamente, en el sentido que éste postula en su escrito.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art. 93.1 de la Ley Orgánica del Tribunal Constitucional establece que en el plazo de dos días, a contar desde la notificación, las partes podrán solicitar de este Tribunal la aclaración de sus Sentencias. La solicitud de aclaración ha sido presentada en el plazo legalmente establecido y por una de las partes procesales. Ahora bien, como hemos expresado en reiteradas ocasiones, la solicitud de aclaración no constituye un medio de impugnación encaminado a la sustitución o revisión de la decisión adoptada, pues contra las Sentencias del Tribunal Constitucional no cabe recurso alguno. Su objeto ha de limitarse, en consecuencia,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(Por todos, ATC 108/2012, de 22 de mayo, FJ 1).</w:t>
      </w:r>
    </w:p>
    <w:p w:rsidR="00BE7FB3" w:rsidRDefault="00BE7FB3" w:rsidP="00BE7FB3">
      <w:pPr>
        <w:pStyle w:val="TextoNormal"/>
      </w:pPr>
    </w:p>
    <w:p w:rsidR="00BE7FB3" w:rsidRDefault="00BE7FB3" w:rsidP="00BE7FB3">
      <w:pPr>
        <w:pStyle w:val="TextoNormal"/>
      </w:pPr>
      <w:r w:rsidRPr="00BE7FB3">
        <w:rPr>
          <w:rStyle w:val="NumeroAFNegritaCaracter"/>
        </w:rPr>
        <w:t>2</w:t>
      </w:r>
      <w:r>
        <w:t>. La aclaración solicitada excede claramente del objeto de este trámite procesal, pues con ella se pretende la modificación del alcance del fallo en el sentido que el Abogado del Estado considera más “lógico”, esto es, suspendiendo los efectos pro futuro de la declaración de inconstitucionalidad y nulidad hasta que se produzca la revocación del nombramiento o cese de los miembros de la Junta de Gobierno local que no son concejales.</w:t>
      </w:r>
    </w:p>
    <w:p w:rsidR="00BE7FB3" w:rsidRDefault="00BE7FB3" w:rsidP="00BE7FB3">
      <w:pPr>
        <w:pStyle w:val="TextoNormal"/>
      </w:pPr>
    </w:p>
    <w:p w:rsidR="00BE7FB3" w:rsidRDefault="00BE7FB3" w:rsidP="00BE7FB3">
      <w:pPr>
        <w:pStyle w:val="TextoNormal"/>
      </w:pPr>
      <w:r>
        <w:t>La inconstitucionalidad y nulidad diferida en el tiempo no tiene cabida en el fundamento jurídico sexto de la Sentencia que declara la inconstitucionalidad y nulidad de la norma impugnada. Ahora bien, en aplicación del principio de seguridad jurídica, la Sentencia salva las situaciones nacidas con anterioridad a su publicación y por ello, mantiene la composición y también la validez de los acuerdos adoptados por la Junta de Gobierno local formada por miembros no electos, así como los actos dictados por dichos miembros por delegación de la Junta (art. 127.2 de la Ley reguladora de las bases de régimen local) y de su nombramiento pero sólo hasta la publicación de la Sentencia. Los actos que adopte la Junta de Gobierno local a partir de la publicación de la Sentencia y los que se dicten a partir de entonces por delegación en sus miembros, no son, como pretende el Abogado del Estado, situaciones jurídicas preexistentes sino nuevas situaciones jurídicas sobre las que la declaración de inconstitucionalidad y nulidad despliega todos sus efectos tanto en lo relativo a la composición de las juntas de gobiernos locales que han de estar formadas, únicamente, por concejales electos, como en lo relativo a la validez de sus acuerdos, conforme a lo establecido en el fallo y en el fundamento jurídico sexto de la Sentencia.</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que no ha lugar a la aclaración solicitada.</w:t>
      </w:r>
    </w:p>
    <w:p w:rsidR="00BE7FB3" w:rsidRDefault="00BE7FB3" w:rsidP="00BE7FB3">
      <w:pPr>
        <w:pStyle w:val="TextoNormal"/>
      </w:pPr>
    </w:p>
    <w:p w:rsidR="00BE7FB3" w:rsidRDefault="00BE7FB3" w:rsidP="00BE7FB3">
      <w:pPr>
        <w:pStyle w:val="TextoNormal"/>
      </w:pPr>
      <w:r>
        <w:t>Madrid, a siete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36" w:name="AUTO_2013_95"/>
      <w:r>
        <w:lastRenderedPageBreak/>
        <w:t>AUTO 95/2013, de 7 de mayo de 2013</w:t>
      </w:r>
    </w:p>
    <w:bookmarkEnd w:id="236"/>
    <w:p w:rsidR="00BE7FB3" w:rsidRDefault="00BE7FB3" w:rsidP="00BE7FB3">
      <w:pPr>
        <w:pStyle w:val="TtuloResolucin"/>
      </w:pPr>
      <w:r>
        <w:t>Sección Segunda</w:t>
      </w:r>
    </w:p>
    <w:p w:rsidR="00BE7FB3" w:rsidRDefault="00BE7FB3" w:rsidP="00BE7FB3">
      <w:pPr>
        <w:pStyle w:val="TtuloResolucin"/>
      </w:pPr>
    </w:p>
    <w:p w:rsidR="00BE7FB3" w:rsidRDefault="00BE7FB3" w:rsidP="00BE7FB3">
      <w:pPr>
        <w:pStyle w:val="SntesisDescriptiva"/>
      </w:pPr>
      <w:r>
        <w:t>ECLI:ES:TC:2013:95A</w:t>
      </w:r>
    </w:p>
    <w:p w:rsidR="00BE7FB3" w:rsidRDefault="00BE7FB3" w:rsidP="00BE7FB3">
      <w:pPr>
        <w:pStyle w:val="SntesisDescriptiva"/>
      </w:pPr>
    </w:p>
    <w:p w:rsidR="00BE7FB3" w:rsidRDefault="00BE7FB3" w:rsidP="00BE7FB3">
      <w:pPr>
        <w:pStyle w:val="SntesisDescriptiva"/>
      </w:pPr>
      <w:r>
        <w:t>Excms. Srs. don Manuel Aragón Reyes, don Andrés Ollero Tassara y don Fernando Valdés Dal-Ré.</w:t>
      </w:r>
    </w:p>
    <w:p w:rsidR="00BE7FB3" w:rsidRDefault="00BE7FB3" w:rsidP="00BE7FB3">
      <w:pPr>
        <w:pStyle w:val="SntesisDescriptiva"/>
      </w:pPr>
    </w:p>
    <w:p w:rsidR="00BE7FB3" w:rsidRDefault="00BE7FB3" w:rsidP="00BE7FB3">
      <w:pPr>
        <w:pStyle w:val="SntesisDescriptiva"/>
      </w:pPr>
      <w:r>
        <w:t>Se declara incompetente para el enjuiciamiento de la impugnación de la resolución de la Comisión central de asistencia jurídica gratuita para el recurso de amparo 2716-2012, promovido por don Juan José García García.</w:t>
      </w:r>
    </w:p>
    <w:p w:rsidR="00BE7FB3" w:rsidRDefault="00BE7FB3" w:rsidP="00BE7FB3">
      <w:pPr>
        <w:pStyle w:val="SntesisDescriptiva"/>
      </w:pPr>
    </w:p>
    <w:p w:rsidR="00BE7FB3" w:rsidRDefault="00BE7FB3" w:rsidP="00BE7FB3">
      <w:pPr>
        <w:pStyle w:val="SntesisAnaltica"/>
      </w:pPr>
      <w:r>
        <w:t>Competencias del Tribunal Constitucional: declaración de incompetencia del Tribunal Constitucional. Recurso de amparo: justicia gratuita.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9 de mayo de 2012, don Juan Jesús García García manifestó su intención de interponer recurso de amparo contra la Sentencia de la Sección Primera de la Audiencia Provincial de Granada de 18 de diciembre de 2009 —apelación penal núm. 312-2009—, así como haber presentado solicitud de asistencia jurídica gratuita ante el Ilustre Colegio de Abogados de Madrid para la designación de Abogado y Procurador del turno de oficio al efecto de formalizar dicho recurso. Igualmente, solicitó la suspensión de los plazos que pudieran precluir, de acuerdo con lo previsto en el art. 16 de la Ley 1/1996, de asistencia jurídica gratuita.</w:t>
      </w:r>
    </w:p>
    <w:p w:rsidR="00BE7FB3" w:rsidRDefault="00BE7FB3" w:rsidP="00BE7FB3">
      <w:pPr>
        <w:pStyle w:val="TextoNormal"/>
      </w:pPr>
    </w:p>
    <w:p w:rsidR="00BE7FB3" w:rsidRDefault="00BE7FB3" w:rsidP="00BE7FB3">
      <w:pPr>
        <w:pStyle w:val="TextoNormal"/>
      </w:pPr>
      <w:r w:rsidRPr="00BE7FB3">
        <w:rPr>
          <w:rStyle w:val="NumeroAFNegritaCaracter"/>
        </w:rPr>
        <w:t>2</w:t>
      </w:r>
      <w:r>
        <w:t>. La Comisión central de asistencia jurídica gratuita dictó resolución de 10 de septiembre de 2012 denegando al actor el derecho de asistencia jurídica gratuita solicitado. El interesado impugnó la resolución denegatoria del beneficio. La Comisión central de asistencia jurídica gratuita puso ese hecho en conocimiento de este Tribunal a través de oficio registrado el día 4 de octubre de 2012, en el que señalaba que daba traslado de la impugnación y del expediente al Decanato de los Juzgados de Primera Instancia e Instrucción de Madrid para su resolución.</w:t>
      </w:r>
    </w:p>
    <w:p w:rsidR="00BE7FB3" w:rsidRDefault="00BE7FB3" w:rsidP="00BE7FB3">
      <w:pPr>
        <w:pStyle w:val="TextoNormal"/>
      </w:pPr>
    </w:p>
    <w:p w:rsidR="00BE7FB3" w:rsidRDefault="00BE7FB3" w:rsidP="00BE7FB3">
      <w:pPr>
        <w:pStyle w:val="TextoNormal"/>
      </w:pPr>
      <w:r w:rsidRPr="00BE7FB3">
        <w:rPr>
          <w:rStyle w:val="NumeroAFNegritaCaracter"/>
        </w:rPr>
        <w:t>3</w:t>
      </w:r>
      <w:r>
        <w:t>. Turnada dicha impugnación al Juzgado de Instrucción núm. 11 de Madrid, por providencia de 23 de noviembre de 2012 resolvió remitir las diligencias al Tribunal Constitucional a los efectos que procedieran, al tratarse de una solicitud para la sustanciación de un recurso de amparo.</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Mediante diligencia de ordenación de 4 de diciembre de 2012, la Secretaría de Justicia de la Sala Primera tuvo por recibidas las actuaciones del Juzgado de Instrucción núm.11 de Madrid y acordó conceder un plazo de tres días, tanto al recurrente como al Abogado del Estado, para que se pronunciaran sobre la competencia de este Tribunal en orden a conocer </w:t>
      </w:r>
      <w:r>
        <w:lastRenderedPageBreak/>
        <w:t>de la impugnación a la que se refiere el art. 20 de la Ley 1/1996, de 10 de enero, de asistencia jurídica gratuita.</w:t>
      </w:r>
    </w:p>
    <w:p w:rsidR="00BE7FB3" w:rsidRDefault="00BE7FB3" w:rsidP="00BE7FB3">
      <w:pPr>
        <w:pStyle w:val="TextoNormal"/>
      </w:pPr>
    </w:p>
    <w:p w:rsidR="00BE7FB3" w:rsidRDefault="00BE7FB3" w:rsidP="00BE7FB3">
      <w:pPr>
        <w:pStyle w:val="TextoNormal"/>
      </w:pPr>
      <w:r w:rsidRPr="00BE7FB3">
        <w:rPr>
          <w:rStyle w:val="NumeroAFNegritaCaracter"/>
        </w:rPr>
        <w:t>5</w:t>
      </w:r>
      <w:r>
        <w:t>. El Abogado del Estado, mediante escrito que tuvo entrada en el Registro General de este Tribunal el 11 de diciembre de 2012, solicitó que se dictara Auto declarando la incompetencia del Tribunal Constitucional para resolver la impugnación promovida y que se devolvieran las actuaciones al Juzgado de Instrucción núm. 11 de Madrid.</w:t>
      </w:r>
    </w:p>
    <w:p w:rsidR="00BE7FB3" w:rsidRDefault="00BE7FB3" w:rsidP="00BE7FB3">
      <w:pPr>
        <w:pStyle w:val="TextoNormal"/>
      </w:pPr>
    </w:p>
    <w:p w:rsidR="00BE7FB3" w:rsidRDefault="00BE7FB3" w:rsidP="00BE7FB3">
      <w:pPr>
        <w:pStyle w:val="TextoNormal"/>
      </w:pPr>
      <w:r>
        <w:t>Explica el Abogado del Estado que el recurrente alegó la insuficiencia económica en el escrito inicial de solicitud de amparo, por lo que aquélla no puede considerarse sobrevenida después de dicha interposición. Recuerda que la insuficiencia económica sobrevenida “con posterioridad a la interposición del recurso de amparo” es el único supuesto en el que correspondería al Tribunal Constitucional resolver la impugnación del acto denegatorio de asistencia jurídica gratuita (cita los AATC 138/1997, de 7 de mayo, FJ 3; 204/1997, de 4 de junio, FJ 3; 120/2011, de 19 de septiembre, FFJJ 2 y 3, 54/2012, de 26 de marzo, FJJ 3 y ss; 80/2012, de 7 de mayo, FFJJ 2 y 3; y 112/2012, de 31 de mayo, FJ 2). Por tanto, de conformidad con los arts. 9 y 10 del acuerdo plenario de 18 de junio de 1996, en relación con el art. 4.1 de la Ley Orgánica del Tribunal Constitucional, procedería a su juicio que el Tribunal declare su incompetencia para resolver la impugnación.</w:t>
      </w:r>
    </w:p>
    <w:p w:rsidR="00BE7FB3" w:rsidRDefault="00BE7FB3" w:rsidP="00BE7FB3">
      <w:pPr>
        <w:pStyle w:val="TextoNormal"/>
      </w:pPr>
    </w:p>
    <w:p w:rsidR="00BE7FB3" w:rsidRDefault="00BE7FB3" w:rsidP="00BE7FB3">
      <w:pPr>
        <w:pStyle w:val="TextoNormal"/>
      </w:pPr>
      <w:r w:rsidRPr="00BE7FB3">
        <w:rPr>
          <w:rStyle w:val="NumeroAFNegritaCaracter"/>
        </w:rPr>
        <w:t>6</w:t>
      </w:r>
      <w:r>
        <w:t>. El recurrente no presentó escrito de alegaciones.</w:t>
      </w:r>
    </w:p>
    <w:p w:rsidR="00BE7FB3" w:rsidRDefault="00BE7FB3" w:rsidP="00BE7FB3">
      <w:pPr>
        <w:pStyle w:val="TextoNormal"/>
      </w:pPr>
    </w:p>
    <w:p w:rsidR="00BE7FB3" w:rsidRDefault="00BE7FB3" w:rsidP="00BE7FB3">
      <w:pPr>
        <w:pStyle w:val="TextoNormal"/>
      </w:pPr>
      <w:r w:rsidRPr="00BE7FB3">
        <w:rPr>
          <w:rStyle w:val="NumeroAFNegritaCaracter"/>
        </w:rPr>
        <w:t>7</w:t>
      </w:r>
      <w:r>
        <w:t>. Debe hacerse constar que, a instancia de este Tribunal, la Sección Primera de la Audiencia Provincial de Granada remitió certificación acreditativa de la fecha de notificación de la Sentencia de 18 de diciembre de 2009, y que, a tenor de los datos que dicha certificación contenía, la Sección Segunda dictó providencia de inadmisión del recurso de amparo el día 11de octubre de 2012, por extemporaneidad.</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En los AATC 120/2011, de 19 de septiembre, 54/2012, de 26 de marzo, 80/2012, de 7 de mayo, y 112/2012, de 31 de mayo, hemos establecido que el Tribunal Constitucional es competente para resolver este tipo de impugnaciones solamente cuando la insuficiencia económica del solicitante se ocasiona después de haber interpuesto el recurso de amparo.</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En este sentido, debe recordarse que el art. 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de asistencia jurídica gratuita,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caso, esto es, </w:t>
      </w:r>
      <w:r>
        <w:lastRenderedPageBreak/>
        <w:t>cuando se solicita el beneficio de justicia gratuita una vez iniciado el procedimiento, la competencia para resolver estas impugnaciones corresponde al Juzgado o Tribunal que esté conociendo del procedimiento. En el segundo supuesto, es decir, cuando todavía no se haya iniciado el procedimiento para cuya tramitación se solicitó este beneficio, la competencia para la resolución de estas impugnaciones le corresponde al Juez de primera instancia que por turno de reparto corresponda.</w:t>
      </w:r>
    </w:p>
    <w:p w:rsidR="00BE7FB3" w:rsidRDefault="00BE7FB3" w:rsidP="00BE7FB3">
      <w:pPr>
        <w:pStyle w:val="TextoNormal"/>
      </w:pPr>
    </w:p>
    <w:p w:rsidR="00BE7FB3" w:rsidRDefault="00BE7FB3" w:rsidP="00BE7FB3">
      <w:pPr>
        <w:pStyle w:val="TextoNormal"/>
      </w:pPr>
      <w:r>
        <w:t>Pues bien, como se señalaba en el ATC 120/2011, de 19 de septiembre, FJ 2, “[e]l acuerdo del Pleno de este Tribunal de 18 de junio de 1996, cuando regula la concesión de este beneficio para la tramitación de los recursos de amparo previstos en los arts. 43 y 44 de la Ley Orgánica del Tribunal Constitucional, diferencia, por una parte, entre los supuestos de insuficiencia económica originaria (sección 1 del capítulo III) y aquellos en los que la insuficiencia económica es sobrevenida (sección 2 del capítulo III). En este último caso, que es el que ahora interesa … el acuerdo distingue entre los supuestos en los que se pretende interponer recurso de amparo (art. 8) y aquellos otros en los que ‘la situación de insuficiencia económica sobreviene con posterioridad a la interposición del recurso de amparo’ (art. 9). Estableciendo expresamente el art 10 que ‘en el caso previsto en el artículo anterior’, que es, como se acaba de indicar, el supuesto en el que la insuficiencia económica sobreviene con posterioridad a la interposición del recurso de amparo, ‘la persona a quien se hubiera desestimado la solicitud de reconocimiento del derecho de asistencia jurídica gratuita podrá formular la impugnación a que se refiere el art. 20 de la Ley de asistencia jurídica gratuita, que será resuelta por el Tribunal’. Resulta, por tanto, que, según lo dispuesto en el acuerdo del Pleno de este Tribunal de 18 de junio de 1996, en consonancia con lo dispuesto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00BE7FB3" w:rsidRDefault="00BE7FB3" w:rsidP="00BE7FB3">
      <w:pPr>
        <w:pStyle w:val="TextoNormal"/>
      </w:pPr>
    </w:p>
    <w:p w:rsidR="00BE7FB3" w:rsidRDefault="00BE7FB3" w:rsidP="00BE7FB3">
      <w:pPr>
        <w:pStyle w:val="TextoNormal"/>
      </w:pPr>
      <w:r w:rsidRPr="00BE7FB3">
        <w:rPr>
          <w:rStyle w:val="NumeroAFNegritaCaracter"/>
        </w:rPr>
        <w:t>3</w:t>
      </w:r>
      <w:r>
        <w:t>. En el presente caso el recurrente alegó la insuficiencia económica en el escrito inicial de solicitud de amparo, por lo que aquélla no puede considerarse sobrevenida después de dicha interposición, sino anterior a la misma, lo que conlleva, como se acaba de indicar, que este Tribunal carezca de competencia para resolver la impugnación formulada contra la resolución de la Comisión central de asistencia jurídica gratuita que denegó este beneficio al señor Juan Jesús García García.</w:t>
      </w:r>
    </w:p>
    <w:p w:rsidR="00BE7FB3" w:rsidRDefault="00BE7FB3" w:rsidP="00BE7FB3">
      <w:pPr>
        <w:pStyle w:val="TextoNormal"/>
      </w:pPr>
    </w:p>
    <w:p w:rsidR="00BE7FB3" w:rsidRDefault="00BE7FB3" w:rsidP="00BE7FB3">
      <w:pPr>
        <w:pStyle w:val="TextoNormal"/>
      </w:pPr>
      <w:r>
        <w:t>Debe hacerse constar, no obstante, como ya se señalara en los antecedentes de este Auto, que el recurso de amparo a cuyo fin la solicitud fue planteada fue inadmitido en providencia de 11 de octubre de 2012, por extemporaneidad.</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lastRenderedPageBreak/>
        <w:t>ACUERDA</w:t>
      </w:r>
    </w:p>
    <w:p w:rsidR="00BE7FB3" w:rsidRDefault="00BE7FB3" w:rsidP="00BE7FB3">
      <w:pPr>
        <w:pStyle w:val="TextoNormalCentrado"/>
      </w:pPr>
    </w:p>
    <w:p w:rsidR="00BE7FB3" w:rsidRDefault="00BE7FB3" w:rsidP="00BE7FB3">
      <w:pPr>
        <w:pStyle w:val="TextoNormal"/>
      </w:pPr>
      <w:r>
        <w:t>1º Declararse incompetente para el enjuiciamiento de la impugnación de la resolución de la Comisión central de asistencia jurídica gratuita para el recurso de amparo núm. 2716-2012, formulada por don Juan Jesús García García.</w:t>
      </w:r>
    </w:p>
    <w:p w:rsidR="00BE7FB3" w:rsidRDefault="00BE7FB3" w:rsidP="00BE7FB3">
      <w:pPr>
        <w:pStyle w:val="TextoNormal"/>
      </w:pPr>
    </w:p>
    <w:p w:rsidR="00BE7FB3" w:rsidRDefault="00BE7FB3" w:rsidP="00BE7FB3">
      <w:pPr>
        <w:pStyle w:val="TextoNormal"/>
      </w:pPr>
      <w:r>
        <w:t>2º Devolver al Juzgado de Instrucción núm. 11 de Madrid las actuaciones que en su día fueron remitidas a este Tribunal.</w:t>
      </w:r>
    </w:p>
    <w:p w:rsidR="00BE7FB3" w:rsidRDefault="00BE7FB3" w:rsidP="00BE7FB3">
      <w:pPr>
        <w:pStyle w:val="TextoNormal"/>
      </w:pPr>
    </w:p>
    <w:p w:rsidR="00BE7FB3" w:rsidRDefault="00BE7FB3" w:rsidP="00BE7FB3">
      <w:pPr>
        <w:pStyle w:val="TextoNormal"/>
      </w:pPr>
      <w:r>
        <w:t>Madrid, a siete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37" w:name="AUTO_2013_96"/>
      <w:r>
        <w:lastRenderedPageBreak/>
        <w:t>AUTO 96/2013, de 7 de mayo de 2013</w:t>
      </w:r>
    </w:p>
    <w:bookmarkEnd w:id="237"/>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ECLI:ES:TC:2013:96A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Inadmite a trámite la cuestión de inconstitucionalidad 577-2013, planteada por el Juzgado de lo Social núm. 34 de Madrid en relación con la disposición transitoria quinta y el artículo 18.8 del Real Decreto-ley 3/2012, de 11 de febrero, de medidas urgentes para la reforma del mercado laboral.</w:t>
      </w:r>
    </w:p>
    <w:p w:rsidR="00BE7FB3" w:rsidRDefault="00BE7FB3" w:rsidP="00BE7FB3">
      <w:pPr>
        <w:pStyle w:val="SntesisDescriptiva"/>
      </w:pPr>
    </w:p>
    <w:p w:rsidR="00BE7FB3" w:rsidRDefault="00BE7FB3" w:rsidP="00BE7FB3">
      <w:pPr>
        <w:pStyle w:val="SntesisAnaltica"/>
      </w:pPr>
      <w:r>
        <w:t>Cuestión de inconstitucionalidad: extinción por terminación del proceso judicial; pérdida sobrevenida de objeto de la cuestión de inconstitucionalidad.</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día 31 de enero de 2013 tuvo entrada en el Registro General de este Tribunal escrito del Juzgado de lo Social núm. 34 de Madrid. Se acompaña, junto con el testimonio del correspondiente procedimiento (procedimiento de despido núm. 534-2012), el Auto de 16 de enero de 2013 que acuerda plantear cuestión de inconstitucionalidad sobre el Real Decreto-ley 3/2012, de 10 de febrero, globalmente considerado, por posible vulneración de los arts. 1.3 y 86.1 CE; y asimismo, en particular, sobre su disposición transitoria quinta (en relación con lo dispuesto en el art. 18.7, que modifica el art. 56.1 del Real Decreto Legislativo 1/1995, de 24 de marzo, que aprueba el texto refundido de la Ley del estatuto de los trabajadores: LET), por posible vulneración de los arts. 9.3 y 24.1 CE, y el art. 18.8 del mismo Real Decreto-ley 3/2012, que da nueva redacción al art. 56.2 LET, por posible vulneración de los arts. 9.3, 24.1 y 35.1 CE.</w:t>
      </w:r>
    </w:p>
    <w:p w:rsidR="00BE7FB3" w:rsidRDefault="00BE7FB3" w:rsidP="00BE7FB3">
      <w:pPr>
        <w:pStyle w:val="TextoNormal"/>
      </w:pPr>
    </w:p>
    <w:p w:rsidR="00BE7FB3" w:rsidRDefault="00BE7FB3" w:rsidP="00BE7FB3">
      <w:pPr>
        <w:pStyle w:val="TextoNormal"/>
      </w:pPr>
      <w:r w:rsidRPr="00BE7FB3">
        <w:rPr>
          <w:rStyle w:val="NumeroAFNegritaCaracter"/>
        </w:rPr>
        <w:t>2</w:t>
      </w:r>
      <w:r>
        <w:t>. El 12 de marzo de 2013 el órgano judicial proponente remite certificación de su Auto del día 5 anterior, dictado en el recurso en el que se planteó la presente cuestión; Auto por el que se aprueba la conciliación obtenida por las partes en esa misma fecha y en los términos siguientes: “La empresa reconoce la improcedencia del despido con efectos de 23 de marzo de 2012, y ofrece en concepto de indemnización la cantidad de 15.000 euros netos, que se abonarán en el plazo de setenta y dos horas, mediante transferencia bancaria en la cuenta en la que el trabajador percibía su salario. El trabajador acepta los anteriores términos y manifiesta que con el percibo de la citada cantidad queda saldado y finiquitado su relación laboral”.</w:t>
      </w:r>
    </w:p>
    <w:p w:rsidR="00BE7FB3" w:rsidRDefault="00BE7FB3" w:rsidP="00BE7FB3">
      <w:pPr>
        <w:pStyle w:val="TextoNormal"/>
      </w:pPr>
    </w:p>
    <w:p w:rsidR="00BE7FB3" w:rsidRDefault="00BE7FB3" w:rsidP="00BE7FB3">
      <w:pPr>
        <w:pStyle w:val="TextoNormal"/>
      </w:pPr>
      <w:r>
        <w:lastRenderedPageBreak/>
        <w:t>A la vista de ello, el Juzgado de lo Social núm. 34 de Madrid considera que la presente cuestión de inconstitucionalidad ha perdido objeto.</w:t>
      </w:r>
    </w:p>
    <w:p w:rsidR="00BE7FB3" w:rsidRDefault="00BE7FB3" w:rsidP="00BE7FB3">
      <w:pPr>
        <w:pStyle w:val="TextoNormal"/>
      </w:pPr>
    </w:p>
    <w:p w:rsidR="00BE7FB3" w:rsidRDefault="00BE7FB3" w:rsidP="00BE7FB3">
      <w:pPr>
        <w:pStyle w:val="TextoNormal"/>
      </w:pPr>
      <w:r w:rsidRPr="00BE7FB3">
        <w:rPr>
          <w:rStyle w:val="NumeroAFNegritaCaracter"/>
        </w:rPr>
        <w:t>3</w:t>
      </w:r>
      <w:r>
        <w:t>. Por providencia de la Sección Segunda de este Tribunal, de 9 de abril de 2013, se acordó oír al Fiscal General del Estado a los efectos que determina el art. 37.1 de la Ley Orgánica del Tribunal Constitucional.</w:t>
      </w:r>
    </w:p>
    <w:p w:rsidR="00BE7FB3" w:rsidRDefault="00BE7FB3" w:rsidP="00BE7FB3">
      <w:pPr>
        <w:pStyle w:val="TextoNormal"/>
      </w:pPr>
    </w:p>
    <w:p w:rsidR="00BE7FB3" w:rsidRDefault="00BE7FB3" w:rsidP="00BE7FB3">
      <w:pPr>
        <w:pStyle w:val="TextoNormal"/>
      </w:pPr>
      <w:r>
        <w:t>El Fiscal General del Estado, en escrito presentado el 18 de abril último, manifiesta que, habiéndose aprobado por el Juzgado de lo Social la conciliación llevada a cabo entre las partes, procede inadmitir a trámite la cuestión de inconstitucionalidad inicialmente planteada, en tanto que ya no han de aplicarse para la resolución del pleito subyacente los preceptos que el juzgador estimaba contrarios a la Constitución.</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Este Tribunal ha señalado reiteradamente que puede darse la desaparición sobrevenida de objeto del proceso constitucional aunque ese motivo no esté expresamente contemplado en el art. 86.1 de la Ley Orgánica del Tribunal Constitucional (LOTC) como una de las causas de terminación extraordinaria, de manera que su concurrencia provocará la conclusión del proceso sin que sea necesario un pronunciamiento sobre el reproche de inconstitucionalidad planteado (por todas, STC 6/2010, de 14 de abril, FJ 2; recientemente, ATC 23/2013, de 29 de enero, FJ 4).</w:t>
      </w:r>
    </w:p>
    <w:p w:rsidR="00BE7FB3" w:rsidRDefault="00BE7FB3" w:rsidP="00BE7FB3">
      <w:pPr>
        <w:pStyle w:val="TextoNormal"/>
      </w:pPr>
    </w:p>
    <w:p w:rsidR="00BE7FB3" w:rsidRDefault="00BE7FB3" w:rsidP="00BE7FB3">
      <w:pPr>
        <w:pStyle w:val="TextoNormal"/>
      </w:pPr>
      <w:r>
        <w:t>Si bien es verdad que el llamado “juicio de relevancia” —o relación entre la norma cuya constitucionalidad se cuestiona por el órgano judicial y el fallo a dictar en el proceso— ha de establecerse en el momento en que la cuestión se formula, no ofrece duda que las modificaciones sobrevenidas en la reseñado requisito habrán de influir necesariamente en la suerte del proceso constitucional de este modo abierto.</w:t>
      </w:r>
    </w:p>
    <w:p w:rsidR="00BE7FB3" w:rsidRDefault="00BE7FB3" w:rsidP="00BE7FB3">
      <w:pPr>
        <w:pStyle w:val="TextoNormal"/>
      </w:pPr>
    </w:p>
    <w:p w:rsidR="00BE7FB3" w:rsidRDefault="00BE7FB3" w:rsidP="00BE7FB3">
      <w:pPr>
        <w:pStyle w:val="TextoNormal"/>
      </w:pPr>
      <w:r>
        <w:t>Pues bien, aunque en el juicio sobre la legitimidad constitucional de las normas, a que el art. 163 CE da lugar, existe un notorio interés público general, como es el interés de la depuración del ordenamiento jurídico y la conformidad con la Constitución de las normas que lo integran, el constituyente ha colocado ese procedimiento en estrecha relación con un proceso judicial en el que la aplicación de la norma cuestionada sea necesaria. Por ello, la extinción sin Sentencia del proceso en el que la cuestión fue suscitada —como ocurre en el caso presente, en el que el Juzgado de lo Social núm. 34 de Madrid ha aprobado el acuerdo de conciliación alcanzado entre las partes— significa una decadencia sobrevenida de los presupuestos de apertura del proceso constitucional, circunstancia que debe determinar su extinción por falta de objeto. Y es que, aun cuando el examen de la constitucionalidad de la norma continuaría siendo posible, se trataría de un enjuiciamiento en abstracto, desligado del caso de aplicación al que se refiere el art. 163 CE, lo que es improcedente en una cuestión de inconstitucionalidad (por todos, ATC 41/1998, de 18 de febrero, FJ único).</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Inadmitir a trámite la cuestión de inconstitucionalidad núm. 577-2013, promovida por el Juzgado de lo Social núm. 34 de Madrid.</w:t>
      </w:r>
    </w:p>
    <w:p w:rsidR="00BE7FB3" w:rsidRDefault="00BE7FB3" w:rsidP="00BE7FB3">
      <w:pPr>
        <w:pStyle w:val="TextoNormal"/>
      </w:pPr>
    </w:p>
    <w:p w:rsidR="00BE7FB3" w:rsidRDefault="00BE7FB3" w:rsidP="00BE7FB3">
      <w:pPr>
        <w:pStyle w:val="TextoNormal"/>
      </w:pPr>
      <w:r>
        <w:t>Madrid, a siete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38" w:name="AUTO_2013_97"/>
      <w:r>
        <w:lastRenderedPageBreak/>
        <w:t>AUTO 97/2013, de 8 de mayo de 2013</w:t>
      </w:r>
    </w:p>
    <w:bookmarkEnd w:id="238"/>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ECLI:ES:TC:2013:97A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1716-2012, promovido por Casas Canarias de Campo, S.L.,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23 de marzo de 2012, la Procuradora de los Tribunales doña María Rosalva Yanez Pérez, en nombre y representación de Casas Canarias de Campo, S.L., interpuso demanda de amparo contra Autos de 14 de julio de 2011 y 19 de enero de 2012 de la Sección Primera de la Sala de lo Contencioso-Administrativo del Tribunal Supremo contra Sentencia de 25 de octubre de 2010 dictada por la Sala de lo Contencioso-Administrativo, Sección Séptima de la Audiencia Nacional en recurso núm. 270-2009.</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7 de mayo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 80), al haber intervenido en instancia anterior en su condición de Magistrado de la Sala de lo Contencioso-Administrativo del Tribunal Supremo que dictó la resolución impugnada.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1716-2012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ocho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39" w:name="AUTO_2013_98"/>
      <w:r>
        <w:lastRenderedPageBreak/>
        <w:t>AUTO 98/2013, de 8 de mayo de 2013</w:t>
      </w:r>
    </w:p>
    <w:bookmarkEnd w:id="239"/>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ECLI:ES:TC:2013:98A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3074-2012, promovido por don Santiago Blasco Lorenzo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24 de mayo de 2012, el Procurador de los Tribunales don Manuel Lanchares Perlado, en nombre y representación de don Santiago Blasco Lorenzo, interpuso demanda de amparo contra Auto de la Sección Primera de la Sala de lo Contencioso-Administrativo del Tribunal Supremo recaído en recurso de casación núm. 5783-2010, contra Sentencia dictada por Tribunal Superior de Justicia de Madrid en recurso núm. 1622-2007.</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6 de mayo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 80), al haber intervenido en instancia anterior en su condición de Magistrado de la Sala de lo Contencioso-Administrativo del Tribunal Supremo que dictó la resolución recurrida.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lastRenderedPageBreak/>
        <w:t>Estimar justificada la abstención formulada por el Magistrado Excmo. Sr. don Juan José González Rivas en el recurso de amparo núm. 3074-2012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ocho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40" w:name="AUTO_2013_99"/>
      <w:r>
        <w:lastRenderedPageBreak/>
        <w:t>AUTO 99/2013, de 8 de mayo de 2013</w:t>
      </w:r>
    </w:p>
    <w:bookmarkEnd w:id="240"/>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ECLI:ES:TC:2013:99A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3626-2012, promovido por doña María Pilar Horcajada de Lamo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14 de junio de 2012, la Procuradora de los Tribunales doña Delia Villalonga Vicens, en nombre y representación de doña María Pilar Horcajada de Lamo, interpuso demanda de amparo contra Auto de la Sección Primera de la Sala de lo Contencioso-Administrativo del Tribunal Supremo recaído en recurso de casación núm. 4727-2011, contra Sentencia dictada por la Sala de lo Contencioso-Administrativo de la Audiencia Nacional en recurso núm. 265-2010.</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11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 80), al haber intervenido en instancia anterior en su condición de Magistrado de la Sala de lo Contencioso-Administrativo del Tribunal Supremo que dictó la resolución recurrida.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lastRenderedPageBreak/>
        <w:t>Estimar justificada la abstención formulada por el Magistrado Excmo. Sr. don Juan José González Rivas en el recurso de amparo núm. 3626-2012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ocho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41" w:name="AUTO_2013_100"/>
      <w:r>
        <w:lastRenderedPageBreak/>
        <w:t>AUTO 100/2013, de 8 de mayo de 2013</w:t>
      </w:r>
    </w:p>
    <w:bookmarkEnd w:id="241"/>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ECLI:ES:TC:2013:100A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3819-2012, promovido por don José Antonio Joan Bagué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22 de junio de 2012, el Procurador de los Tribunales don Luis Fernando Granados Bravo, en nombre y representación de don José Antonio Joan Bagué, interpuso demanda de amparo contra Auto y providencia de la Sección Primera de la Sala de lo Contencioso-Administrativo del Tribunal Supremo recaído en recurso de casación núm. 2989-2011, contra Auto dictada por la Sala de lo Contencioso-Administrativo de la Audiencia Nacional en recurso núm. 612-2010.</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11 de septiembre de 2012, el Magistrado Excmo. Sr. don Juan José González Rivas manifestó su voluntad de abstenerse en el presente recurso de amparo y todas sus incidencias, por entender que concurría la causa establecida en el art. 219.11 de la Ley Orgánica del Poder Judicial, supletoria de la Ley Orgánica 2/1979 (art. 80), al haber intervenido en instancia anterior en su condición de Magistrado de la Sala de lo Contencioso-Administrativo del Tribunal Supremo que dictó las resoluciones recurridas.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las resoluciones impugnadas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lastRenderedPageBreak/>
        <w:t>Estimar justificada la abstención formulada por el Magistrado Excmo. Sr. don Juan José González Rivas en el recurso de amparo núm. 3819-12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ocho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42" w:name="AUTO_2013_101"/>
      <w:r>
        <w:lastRenderedPageBreak/>
        <w:t>AUTO 101/2013, de 8 de mayo de 2013</w:t>
      </w:r>
    </w:p>
    <w:bookmarkEnd w:id="242"/>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ECLI:ES:TC:2013:101A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4592-2012, promovido por BMC Software Distribution BV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24 de julio de 2012, la Procuradora de los Tribunales doña María Luisa Sánchez Quero, en nombre y representación de Bmc Software Distribution BV, y bajo la dirección de la Letrada doña Ana Martínez Gutiérrez, interpuso demanda de amparo contra Auto en incidente de nulidad de actuaciones frente al anterior de la Sección Primera de la Sala de lo Contencioso-Administrativo del Tribunal Supremo en recurso de casación núm. 99-2011 contra Sentencia dictada por la Sección Segunda de la Sala de igual orden de la Audiencia Nacional en recurso núm. 329-2007.</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7 de mayo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 80), al haber intervenido en instancia anterior, toda vez que formó parte de la Sección Primera de la Sala Tercera del Tribunal Supremo, que dictó el Auto de 24 de mayo de 2012, que ha sido impugnado en el citado recurso de amparo.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expuesto,la Sección</w:t>
      </w:r>
    </w:p>
    <w:p w:rsidR="00BE7FB3" w:rsidRDefault="00BE7FB3" w:rsidP="00BE7FB3">
      <w:pPr>
        <w:pStyle w:val="TextoNormal"/>
      </w:pPr>
    </w:p>
    <w:p w:rsidR="00BE7FB3" w:rsidRDefault="00BE7FB3" w:rsidP="00BE7FB3">
      <w:pPr>
        <w:pStyle w:val="TextoNormalCentrado"/>
      </w:pPr>
      <w:r>
        <w:lastRenderedPageBreak/>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4592-2012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ocho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43" w:name="AUTO_2013_102"/>
      <w:r>
        <w:lastRenderedPageBreak/>
        <w:t>AUTO 102/2013, de 8 de mayo de 2013</w:t>
      </w:r>
    </w:p>
    <w:bookmarkEnd w:id="243"/>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ECLI:ES:TC:2013:102A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5727-2012, promovido por doña Nieves Rodríguez Rodríguez y otras personas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10 de octubre de 2012, la Procuradora de los Tribunales doña Sonia Alba Monteserín, en nombre y representación de doña Nieves Rodríguez Rodríguez y otros, interpuso demanda de amparo contra Auto y providencia de la Sección Primera de la Sala de lo Contencioso-Administrativo del Tribunal Supremo recaído en recurso de casación núm. 5494-2011, contra Sentencia dictada por el Tribunal Superior de Justicia de Canarias en recurso núm. 334-2009.</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6 de mayo de 2013, el Magistrado Excmo. Sr. don Juan José González Rivas manifestó su voluntad de abstenerse en el presente recurso de amparo y todas sus incidencias, por entender que concurría la causa establecida en el art. 219.11 de la Ley Orgánica del Poder Judicial, supletoria de la Ley Orgánica 2/1979 (art. 80), al haber intervenido en instancia anterior en su condición de Magistrado de la Sala de lo Contencioso-Administrativo del Tribunal Supremo que dictó las resoluciones recurridas.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las resoluciones impugnadas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lastRenderedPageBreak/>
        <w:t>Estimar justificada la abstención formulada por el Magistrado Excmo. Sr. don Juan José González Rivas en el recurso de amparo núm. 5727-2012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ocho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44" w:name="AUTO_2013_103"/>
      <w:r>
        <w:lastRenderedPageBreak/>
        <w:t>AUTO 103/2013, de 8 de mayo de 2013</w:t>
      </w:r>
    </w:p>
    <w:bookmarkEnd w:id="244"/>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ECLI:ES:TC:2013:103A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500-2013, promovido por doña Belén Palma Bohorquez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28 de enero de 2013, la Procuradora de los Tribunales doña María Jesús Rivero Ratón, en nombre y representación de doña Belén Palma Bohorquez, interpuso demanda de amparo contra Auto y Sentencia de la Sección Séptima de la Sala de lo Contencioso-Administrativo del Tribunal Supremo recaído en recurso de casación núm. 5500-2010, contra Sentencia dictada por la Sala de lo Contencioso-Administrativo de la Audiencia Nacional en recurso núm. 8-2009.</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15 de abril de 2013, el Magistrado Excmo. Sr. don Juan José González Rivas manifestó su voluntad de abstenerse en el presente recurso de amparo y todas sus incidencias, por entender que concurría la causa establecida en el art. 219.11 de la Ley Orgánica del Poder Judicial, supletoria de la Ley Orgánica 2/1979 (art. 80), al haber intervenido en instancia anterior en su condición de Magistrado de la Sala de lo Contencioso-Administrativo del Tribunal Supremo que dictó las resoluciones recurridas.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lastRenderedPageBreak/>
        <w:t>Estimar justificada la abstención formulada por el Magistrado Excmo. Sr. don Juan José González Rivas en el recurso de amparo núm. 500-2013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ocho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45" w:name="AUTO_2013_104"/>
      <w:r>
        <w:lastRenderedPageBreak/>
        <w:t>AUTO 104/2013, de 20 de mayo de 2013</w:t>
      </w:r>
    </w:p>
    <w:bookmarkEnd w:id="245"/>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ECLI:ES:TC:2013:104A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extinción de la cuestión de inconstitucionalidad 5727-2011,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p>
    <w:p w:rsidR="00BE7FB3" w:rsidRDefault="00BE7FB3" w:rsidP="00BE7FB3">
      <w:pPr>
        <w:pStyle w:val="SntesisDescriptiva"/>
      </w:pPr>
    </w:p>
    <w:p w:rsidR="00BE7FB3" w:rsidRDefault="00BE7FB3" w:rsidP="00BE7FB3">
      <w:pPr>
        <w:pStyle w:val="SntesisAnaltica"/>
      </w:pPr>
      <w:r>
        <w:t>Cuestión de inconstitucionalidad: extinción de cuestión de inconstitucionalidad;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oficio registrado en este Tribunal el día 24 de octubre de 2011, la Sala de lo Contencioso-Administrativo del Tribunal Superior de Justicia de Cantabria remitió oficio al que se acompañaba testimonio del procedimiento ordinario núm. 1992-1998, del que forma parte el Auto de 20 de septiembre de 2011 mediante el que se plantea ante este Tribunal cuestión de inconstitucionalidad en relación con la disposición adicional sexta de la Ley del Parlamento de Cantabria 2/2001, de 25 de junio, de ordenación territorial y del régimen urbanístico del suelo de Cantabria, introducida por el artículo 2 de la Ley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2</w:t>
      </w:r>
      <w:r>
        <w:t>. La presente cuestión de inconstitucionalidad tiene su origen en el recurso contencioso-administrativo (núm. 1992-1998) interpuesto el 1 de diciembre de 1998 por una asociación contra el acuerdo de la Comisión de Gobierno del Ayuntamiento de Argoños de 13 de febrero de 1998, por el que se acordó otorgar licencia municipal para la construcción de doce viviendas en el “Camino del Portillo” de Argoños. La Sala de lo Contencioso-Administrativo del Tribunal Superior de Justicia de Cantabria dictó Sentencia el 1 de diciembre de 2000 y declaró la nulidad de la resolución recurrida por ser contraria al ordenamiento jurídico, ordenando la demolición de lo ilegalmente construido salvo que técnicamente fuera posible la legalización. Esta Sentencia fue declarada firme mediante providencia de 4 de octubre de 2001 al no tener por preparado el recurso de casación promovido por el Ayuntamiento de Argoños.</w:t>
      </w:r>
    </w:p>
    <w:p w:rsidR="00BE7FB3" w:rsidRDefault="00BE7FB3" w:rsidP="00BE7FB3">
      <w:pPr>
        <w:pStyle w:val="TextoNormal"/>
      </w:pPr>
    </w:p>
    <w:p w:rsidR="00BE7FB3" w:rsidRDefault="00BE7FB3" w:rsidP="00BE7FB3">
      <w:pPr>
        <w:pStyle w:val="TextoNormal"/>
      </w:pPr>
      <w:r>
        <w:lastRenderedPageBreak/>
        <w:t>Mediante escrito de 4 de noviembre de 2002 la asociación recurrente instó la ejecución forzosa de la Sentencia de 1 de diciembre de 2000. Con fecha 10 de diciembre de 2002 el Ayuntamiento de Argoños planteó la posible legalización de las obras, rechazándose por la Sala el incidente de inejecución mediante Auto de 28 de enero de 2003 y requiriendo, en consecuencia, al Ayuntamiento de Argoños para que procediera a su ejecución en sus propios términos. Entablado contra dicho Auto recurso de súplica por el Ayuntamiento de Argoños, fue desestimado por otro de 28 de marzo de 2003. Contra tales Autos el Ayuntamiento de Argoños preparó el oportuno recurso de casación, del cual desistió posteriormente (Auto del Tribunal Supremo de 14 de febrero de 2005).</w:t>
      </w:r>
    </w:p>
    <w:p w:rsidR="00BE7FB3" w:rsidRDefault="00BE7FB3" w:rsidP="00BE7FB3">
      <w:pPr>
        <w:pStyle w:val="TextoNormal"/>
      </w:pPr>
    </w:p>
    <w:p w:rsidR="00BE7FB3" w:rsidRDefault="00BE7FB3" w:rsidP="00BE7FB3">
      <w:pPr>
        <w:pStyle w:val="TextoNormal"/>
      </w:pPr>
      <w:r>
        <w:t>Con fecha 6 de junio de 2005 el Ayuntamiento de Argoños remitió a la Sala de lo Contencioso-Administrativo un proyecto de derribo, elaborado a su instancia, para un total de 151 viviendas. Con fecha 8 de noviembre de 2005 se efectúa una propuesta de financiación para abordar conjuntamente los diferentes derribos. Mediante Auto de 27 de septiembre de 2006 la Sala rechazó la pretensión del Ayuntamiento y ordenó la tramitación y cumplimiento del fallo de la Sentencia en los términos allí establecidos.</w:t>
      </w:r>
    </w:p>
    <w:p w:rsidR="00BE7FB3" w:rsidRDefault="00BE7FB3" w:rsidP="00BE7FB3">
      <w:pPr>
        <w:pStyle w:val="TextoNormal"/>
      </w:pPr>
    </w:p>
    <w:p w:rsidR="00BE7FB3" w:rsidRDefault="00BE7FB3" w:rsidP="00BE7FB3">
      <w:pPr>
        <w:pStyle w:val="TextoNormal"/>
      </w:pPr>
      <w:r>
        <w:t>Con fecha 26 de mayo de 2008 el Ayuntamiento solicitó la suspensión temporal a fin de que se requiriese al Gobierno de Cantabria para que informara del contenido del acuerdo de la Mesa del Parlamento de Cantabria de fecha 17 de diciembre de 2007, relativo a la elaboración de un plan para solucionar los problemas de las personas afectadas por Sentencias de derribo en Cantabria. Por Auto de la Sala de lo Contencioso-Administrativo de 3 de marzo de 2009 se otorga un plazo de seis meses para proceder al derribo de las doce viviendas por parte del Ayuntamiento de Argoños. El referido Ayuntamiento solicitó el 28 de mayo de 2009 que se designase al Gobierno de Cantabria como responsable de la ejecución de la Sentencia, posibilidad rechazada por Auto de la Sala sentenciadora de 27 de julio de 2009. Tras rechazar sucesivos incidentes de inejecución de Sentencia interpuestos por el Ayuntamiento de Argoños, la Sala, por Auto de 15 de febrero de 2010, acordó la ejecución subsidiaria del derribo de las doce viviendas objeto de la licencia anulada.</w:t>
      </w:r>
    </w:p>
    <w:p w:rsidR="00BE7FB3" w:rsidRDefault="00BE7FB3" w:rsidP="00BE7FB3">
      <w:pPr>
        <w:pStyle w:val="TextoNormal"/>
      </w:pPr>
    </w:p>
    <w:p w:rsidR="00BE7FB3" w:rsidRDefault="00BE7FB3" w:rsidP="00BE7FB3">
      <w:pPr>
        <w:pStyle w:val="TextoNormal"/>
      </w:pPr>
      <w:r>
        <w:t>El 19 de mayo de 2011 el Ayuntamiento presentó un escrito solicitando la paralización de las actuaciones encaminadas al derribo de las doce viviendas señalando que, con la entrada en vigor de la disposición adicional sexta de la Ley del Parlamento de Cantabria 2/2001, de 25 de junio, de ordenación territorial y del régimen urbanístico del suelo de Cantabria, introducida por el art. 2 de la Ley de Cantabria 2/2011, de 4 de abril, resultaba obligada tal paralización en tanto se procedía a resolver el expediente de responsabilidad patrimonial incoado de oficio por el Ayuntamiento y se ponía a disposición de los propietarios de las viviendas a derribar el importe de la indemnización que se reconozca.</w:t>
      </w:r>
    </w:p>
    <w:p w:rsidR="00BE7FB3" w:rsidRDefault="00BE7FB3" w:rsidP="00BE7FB3">
      <w:pPr>
        <w:pStyle w:val="TextoNormal"/>
      </w:pPr>
    </w:p>
    <w:p w:rsidR="00BE7FB3" w:rsidRDefault="00BE7FB3" w:rsidP="00BE7FB3">
      <w:pPr>
        <w:pStyle w:val="TextoNormal"/>
      </w:pPr>
      <w:r w:rsidRPr="00BE7FB3">
        <w:rPr>
          <w:rStyle w:val="NumeroAFNegritaCaracter"/>
        </w:rPr>
        <w:t>3</w:t>
      </w:r>
      <w:r>
        <w:t>. Por providencia de 12 de julio de 2011, la Sala de lo Contencioso-Administrativo, con suspensión del plazo para dictar resolución, acordó oír a las partes y al Ministerio Fiscal por el término común de diez días sobre la pertinencia de plantear cuestión de inconstitucionalidad respecto a la disposición adicional sexta de la Ley del Parlamento de Cantabria 2/2001, de 25 de junio, de ordenación territorial y del régimen urbanístico del suelo de Cantabria, introducida por el art. 2 de la Ley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lastRenderedPageBreak/>
        <w:t>En dicho trámite, el Ayuntamiento de Argoños y el Fiscal informaron favorablemente el planteamiento de la cuestión a lo que se opuso la parte demandante. La Sala dictó Auto con fecha 20 de septiembre de 2011, acordando plantear cuestión de inconstitucionalidad en relación con la disposición adicional sexta de la Ley del Parlamento de Cantabria 2/2001, de 25 de junio, de ordenación territorial y del régimen urbanístico de Cantabria, introducida por el art. 2 de la Ley de Cantabria 2/2011, de 4 de abril,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Todo ello en relación con los arts. 24.1, 106.1, 117 y 118 del texto constitucional.</w:t>
      </w:r>
    </w:p>
    <w:p w:rsidR="00BE7FB3" w:rsidRDefault="00BE7FB3" w:rsidP="00BE7FB3">
      <w:pPr>
        <w:pStyle w:val="TextoNormal"/>
      </w:pPr>
    </w:p>
    <w:p w:rsidR="00BE7FB3" w:rsidRDefault="00BE7FB3" w:rsidP="00BE7FB3">
      <w:pPr>
        <w:pStyle w:val="TextoNormal"/>
      </w:pPr>
      <w:r w:rsidRPr="00BE7FB3">
        <w:rPr>
          <w:rStyle w:val="NumeroAFNegritaCaracter"/>
        </w:rPr>
        <w:t>4</w:t>
      </w:r>
      <w:r>
        <w:t>. Por providencia de 22 de noviembre de 2011, el Pleno del Tribunal acordó admitir a trámite la cuestión, así como, de conformidad con lo dispuesto en el art. 10.1 c) de la Ley Orgánica del Tribunal Constitucional (LOTC), en la redacción dada por la Ley Orgánica 6/2007, de 24 de mayo, deferir a la Sala Segunda de este Tribunal el conocimiento de la presente cuestión.</w:t>
      </w:r>
    </w:p>
    <w:p w:rsidR="00BE7FB3" w:rsidRDefault="00BE7FB3" w:rsidP="00BE7FB3">
      <w:pPr>
        <w:pStyle w:val="TextoNormal"/>
      </w:pPr>
    </w:p>
    <w:p w:rsidR="00BE7FB3" w:rsidRDefault="00BE7FB3" w:rsidP="00BE7FB3">
      <w:pPr>
        <w:pStyle w:val="TextoNormal"/>
      </w:pPr>
      <w:r>
        <w:t>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00BE7FB3" w:rsidRDefault="00BE7FB3" w:rsidP="00BE7FB3">
      <w:pPr>
        <w:pStyle w:val="TextoNormal"/>
      </w:pPr>
    </w:p>
    <w:p w:rsidR="00BE7FB3" w:rsidRDefault="00BE7FB3" w:rsidP="00BE7FB3">
      <w:pPr>
        <w:pStyle w:val="TextoNormal"/>
      </w:pPr>
      <w:r w:rsidRPr="00BE7FB3">
        <w:rPr>
          <w:rStyle w:val="NumeroAFNegritaCaracter"/>
        </w:rPr>
        <w:t>5</w:t>
      </w:r>
      <w:r>
        <w:t>. El 2 de diciembre de 2011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Presidente del Congreso de los Diputados, por su parte, mediante escrito que tuvo entrada el 14 de diciembre de 2011, comunicó que la Mesa de la Cámara ha acordado personarse en el procedimiento, ofreciendo su colaboración a los efectos de lo previsto en el citado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xml:space="preserve">. El Abogado del Estado formuló alegaciones el día 16 de diciembre de 2011, interesando la inadmisión de la cuestión de inconstitucionalidad respecto de los apartados 1, 2, y 3 y los párrafos tercero, cuarto y sexto del apartado 4 de la disposición adicional sexta de la Ley regional 2/2001, de 25 de junio, así como la estimación de la cuestión respecto de los párrafos primero, segundo y quinto de apartado 4 y el apartado 5 de la citada disposición adicional sexta. El Abogado del Estado limita sus alegaciones a la posible infracción del orden constitucional de competencia por violación de las competencias exclusivas del Estado de las materias sexta (legislación procesal) y decimoctava (sistema de responsabilidad </w:t>
      </w:r>
      <w:r>
        <w:lastRenderedPageBreak/>
        <w:t>de todas las Administraciones públicas) del art. 149.1 CE. En este punto comparte los razonamientos de la Sala proponente de la cuestión, que considera suficientemente claros, persuasivos y bien fundados.</w:t>
      </w:r>
    </w:p>
    <w:p w:rsidR="00BE7FB3" w:rsidRDefault="00BE7FB3" w:rsidP="00BE7FB3">
      <w:pPr>
        <w:pStyle w:val="TextoNormal"/>
      </w:pPr>
    </w:p>
    <w:p w:rsidR="00BE7FB3" w:rsidRDefault="00BE7FB3" w:rsidP="00BE7FB3">
      <w:pPr>
        <w:pStyle w:val="TextoNormal"/>
      </w:pPr>
      <w:r w:rsidRPr="00BE7FB3">
        <w:rPr>
          <w:rStyle w:val="NumeroAFNegritaCaracter"/>
        </w:rPr>
        <w:t>8</w:t>
      </w:r>
      <w:r>
        <w:t xml:space="preserve">. Mediante escrito presentado en el Registro General de este Tribunal el día 23 de diciembre de 2011, el Letrado de los servicios jurídicos del Gobierno de Cantabria, formuló alegaciones interesando la desestimación de la cuestión de inconstitucionalidad. Rechaza en primer lugar que la norma impugnada suponga la invasión de la competencia estatal en materia de ejecución procesal </w:t>
      </w:r>
      <w:r w:rsidRPr="00BE7FB3">
        <w:rPr>
          <w:i/>
        </w:rPr>
        <w:t>ex</w:t>
      </w:r>
      <w:r>
        <w:t xml:space="preserve"> art. 149.1.6 CE pues, a su juicio,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Rebate también el Gobierno de Cantabria que la norma cuestionada vulnere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 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w:t>
      </w:r>
    </w:p>
    <w:p w:rsidR="00BE7FB3" w:rsidRDefault="00BE7FB3" w:rsidP="00BE7FB3">
      <w:pPr>
        <w:pStyle w:val="TextoNormal"/>
      </w:pPr>
    </w:p>
    <w:p w:rsidR="00BE7FB3" w:rsidRDefault="00BE7FB3" w:rsidP="00BE7FB3">
      <w:pPr>
        <w:pStyle w:val="TextoNormal"/>
      </w:pPr>
      <w:r w:rsidRPr="00BE7FB3">
        <w:rPr>
          <w:rStyle w:val="NumeroAFNegritaCaracter"/>
        </w:rPr>
        <w:t>9</w:t>
      </w:r>
      <w:r>
        <w:t>. Mediante escrito presentado en el Registro General el día 26 de diciembre de 2011, la representación procesal del Parlamento de Cantabria formuló alegaciones interesando la desestimación de la cuestión de inconstitucionalidad. 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de que tratamos en la ordenación de las consecuencias indemnizatorias previstas en al art. 122.2 CE para funcionamiento normal o anormal de los servicios públicos, en este caso aquellos que han dado origen a que una Sentencia declare la ilegalidad de una edificación y sea obligada su demolición. Finalmente se rechaza que la norma cuestionada vulnere la competencia estatal relativa al régimen de la responsabilidad patrimonial. A su juicio,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00BE7FB3" w:rsidRDefault="00BE7FB3" w:rsidP="00BE7FB3">
      <w:pPr>
        <w:pStyle w:val="TextoNormal"/>
      </w:pPr>
    </w:p>
    <w:p w:rsidR="00BE7FB3" w:rsidRDefault="00BE7FB3" w:rsidP="00BE7FB3">
      <w:pPr>
        <w:pStyle w:val="TextoNormal"/>
      </w:pPr>
      <w:r w:rsidRPr="00BE7FB3">
        <w:rPr>
          <w:rStyle w:val="NumeroAFNegritaCaracter"/>
        </w:rPr>
        <w:t>10</w:t>
      </w:r>
      <w:r>
        <w:t>. El Fiscal General del Estado formuló alegaciones mediante escrito presentado el día 20 de enero de 2012 interesando la estimación parcial de la cuestión de inconstitucionalidad. Para el Fiscal General del Estado la disposición adicional sexta cuya constitucionalidad se cuestiona establece el derecho de los particulares a ser indemnizados por las Administracio</w:t>
      </w:r>
      <w:r>
        <w:lastRenderedPageBreak/>
        <w:t xml:space="preserve">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Finalmente, se alinea el Fiscal con la duda de constitucionalidad planteada por el órgano judicial, pues el precepto legal, en cuanto condiciona la demolición acordada en la vía jurisdiccional a que haya finalizado el procedimiento de responsabilidad patrimonial, se haya establecido, en su caso, el importe de la indemnización y se haya puesto a disposición del perjudicado, está disponiendo la paralización —probablemente </w:t>
      </w:r>
      <w:r w:rsidRPr="00BE7FB3">
        <w:rPr>
          <w:i/>
        </w:rPr>
        <w:t>sine die</w:t>
      </w:r>
      <w:r>
        <w:t>—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Sala de lo Contencioso-Administrativo del Tribunal Superior de Justicia de Cantabria plantea cuestión de inconstitucionalidad en relación con la disposición adicional sexta de la Ley del Parlamento de Cantabria 2/2001, de 25 de junio, de ordenación territorial y del régimen urbanístico del suelo de Cantabria, introducida por el artículo 2 de la Ley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t>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t>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5727-2011, por desaparición sobrevenida de su objeto.</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46" w:name="AUTO_2013_105"/>
      <w:r>
        <w:lastRenderedPageBreak/>
        <w:t>AUTO 105/2013, de 20 de mayo de 2013</w:t>
      </w:r>
    </w:p>
    <w:bookmarkEnd w:id="246"/>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ECLI:ES:TC:2013:105A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5728-2011,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p>
    <w:p w:rsidR="00BE7FB3" w:rsidRDefault="00BE7FB3" w:rsidP="00BE7FB3">
      <w:pPr>
        <w:pStyle w:val="SntesisDescriptiva"/>
      </w:pPr>
    </w:p>
    <w:p w:rsidR="00BE7FB3" w:rsidRDefault="00BE7FB3" w:rsidP="00BE7FB3">
      <w:pPr>
        <w:pStyle w:val="SntesisAnaltica"/>
      </w:pPr>
      <w:r>
        <w:t>Extinción de cuestión de inconstitucionalidad: ATC 104/2013;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Con fecha de 24 de octubre de 2011 tuvo entrada en el Registro General de este Tribunal escrito de la Sala de lo Contencioso-Administrativo del Tribunal Superior de Justicia de Cantabria, al que se acompañan las actuaciones recaídas en el procedimiento ordinario núm. 1200-1998 y acumulado 1914-1998, así como del Auto del mismo órgano judicial, de 20 de septiembre de 2011, por el que se plantea cuestión de inconstitucionalidad en relación con la disposición adicional sexta de la Ley del Parlamento de Cantabria 2/2001, de 25 de junio, de ordenación territorial y del régimen urbanístico del suelo de Cantabria, introducida por el art. 2 de la Ley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que anteceden al planteamiento de la cuestión de inconstitucionalidad son los siguientes:</w:t>
      </w:r>
    </w:p>
    <w:p w:rsidR="00BE7FB3" w:rsidRDefault="00BE7FB3" w:rsidP="00BE7FB3">
      <w:pPr>
        <w:pStyle w:val="TextoNormal"/>
      </w:pPr>
    </w:p>
    <w:p w:rsidR="00BE7FB3" w:rsidRDefault="00BE7FB3" w:rsidP="00BE7FB3">
      <w:pPr>
        <w:pStyle w:val="TextoNormal"/>
      </w:pPr>
      <w:r>
        <w:t>a) Mediante Sentencia de 22 de marzo de 2000 del mismo órgano promotor de la presente cuestión, recaída en el procedimiento ordinario 1200-1998 y acumulado 1914-1998, se estimó el recurso interpuesto por la Asociación para la defensa de los recursos naturales de Cantabria (ARCA) contra el estudio de detalle aprobado por el Ayuntamiento de Argoños el 17 de julio de 1997, por inexistencia de estudio de detalle y por ser contrario a los valores paisajísticos y medioambientales que se tratan de proteger; Sentencia que fue declarada firme por la del Tribunal Supremo de 11 de abril de 2003.</w:t>
      </w:r>
    </w:p>
    <w:p w:rsidR="00BE7FB3" w:rsidRDefault="00BE7FB3" w:rsidP="00BE7FB3">
      <w:pPr>
        <w:pStyle w:val="TextoNormal"/>
      </w:pPr>
    </w:p>
    <w:p w:rsidR="00BE7FB3" w:rsidRDefault="00BE7FB3" w:rsidP="00BE7FB3">
      <w:pPr>
        <w:pStyle w:val="TextoNormal"/>
      </w:pPr>
      <w:r>
        <w:t xml:space="preserve">b) Instada la ejecución de la Sentencia y tras distintas actuaciones procesales, el Ayuntamiento de Argoños solicitó la suspensión del procedimiento de ejecución al amparo de lo </w:t>
      </w:r>
      <w:r>
        <w:lastRenderedPageBreak/>
        <w:t>dispuesto en la disposición adicional sexta de la Ley 2/2001, de 25 de junio, introducida por el art. 2 de la Ley 2/2011, de 4 de abril, que prescribe la tramitación de los oportunos expedientes de responsabilidad patrimonial de la Administración, con determinación y abono de las correspondientes indemnizaciones, antes de proceder a una demolición.</w:t>
      </w:r>
    </w:p>
    <w:p w:rsidR="00BE7FB3" w:rsidRDefault="00BE7FB3" w:rsidP="00BE7FB3">
      <w:pPr>
        <w:pStyle w:val="TextoNormal"/>
      </w:pPr>
    </w:p>
    <w:p w:rsidR="00BE7FB3" w:rsidRDefault="00BE7FB3" w:rsidP="00BE7FB3">
      <w:pPr>
        <w:pStyle w:val="TextoNormal"/>
      </w:pPr>
      <w:r>
        <w:t>c) Por providencia de 12 de julio de 2011, la Sala de lo Contencioso-Administrativo del Tribunal Superior de Justicia de Cantabria, de oficio, acordó oír a las partes personadas y al Ministerio Fiscal por el término común de diez días sobre la pertinencia de plantear cuestión de inconstitucionalidad, respecto a la disposición adicional sexta de la Ley 2/2001, de 25 de junio, introducida por el art. 2 de la Ley 2/2011, de 4 de abril, por si la norma pudiera alterar la legislación básica del Estado y competencias exclusivas derivadas de los arts. 149.1.6 y 149.1.18 CE, en relación con los arts. 9.3, 24.1, 106.1, 117 y 118 CE.</w:t>
      </w:r>
    </w:p>
    <w:p w:rsidR="00BE7FB3" w:rsidRDefault="00BE7FB3" w:rsidP="00BE7FB3">
      <w:pPr>
        <w:pStyle w:val="TextoNormal"/>
      </w:pPr>
    </w:p>
    <w:p w:rsidR="00BE7FB3" w:rsidRDefault="00BE7FB3" w:rsidP="00BE7FB3">
      <w:pPr>
        <w:pStyle w:val="TextoNormal"/>
      </w:pPr>
      <w:r>
        <w:t>d) Evacuado el referido trámite de alegaciones, el órgano judicial dictó Auto de 20 de septiembre de 2011, planteando la cuestión de inconstitucionalidad en relación con la disposición adicional sexta de la Ley del Parlamento de Cantabria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 Administrativa 29/1998, de 13 de julio. Todo ello en relación con los arts. 9.3, 24.1, 106.1, 117 y 118 del texto constitucional”.</w:t>
      </w:r>
    </w:p>
    <w:p w:rsidR="00BE7FB3" w:rsidRDefault="00BE7FB3" w:rsidP="00BE7FB3">
      <w:pPr>
        <w:pStyle w:val="TextoNormal"/>
      </w:pPr>
    </w:p>
    <w:p w:rsidR="00BE7FB3" w:rsidRDefault="00BE7FB3" w:rsidP="00BE7FB3">
      <w:pPr>
        <w:pStyle w:val="TextoNormal"/>
      </w:pPr>
      <w:r w:rsidRPr="00BE7FB3">
        <w:rPr>
          <w:rStyle w:val="NumeroAFNegritaCaracter"/>
        </w:rPr>
        <w:t>3</w:t>
      </w:r>
      <w:r>
        <w:t>. La fundamentación de la cuestión contenida en el Auto es la siguiente:</w:t>
      </w:r>
    </w:p>
    <w:p w:rsidR="00BE7FB3" w:rsidRDefault="00BE7FB3" w:rsidP="00BE7FB3">
      <w:pPr>
        <w:pStyle w:val="TextoNormal"/>
      </w:pPr>
    </w:p>
    <w:p w:rsidR="00BE7FB3" w:rsidRDefault="00BE7FB3" w:rsidP="00BE7FB3">
      <w:pPr>
        <w:pStyle w:val="TextoNormal"/>
      </w:pPr>
      <w:r>
        <w:t>Tras exponer los antecedentes del caso, inicia el Auto sus razonamientos jurídicos señalando que se solicita la suspensión de la ejecución de la Sentencia en tanto en cuanto se tramita el procedimiento de indemnización previsto en la disposición adicional sexta de la Ley 2/2001, de 25 de junio, introducida por el art. 2 de la Ley 2/2011, de 4 de abril, en relación con los procedimientos de indemnización patrimonial en materia urbanística.</w:t>
      </w:r>
    </w:p>
    <w:p w:rsidR="00BE7FB3" w:rsidRDefault="00BE7FB3" w:rsidP="00BE7FB3">
      <w:pPr>
        <w:pStyle w:val="TextoNormal"/>
      </w:pPr>
    </w:p>
    <w:p w:rsidR="00BE7FB3" w:rsidRDefault="00BE7FB3" w:rsidP="00BE7FB3">
      <w:pPr>
        <w:pStyle w:val="TextoNormal"/>
      </w:pPr>
      <w:r>
        <w:t xml:space="preserve">El Auto reproduce las afirmaciones del preámbulo de la Ley 2/2011 en el sentido de que la misma es resultado de la resolución del Parlamento de Cantabria de 22 de julio de 2010 en la que se instaba al Gobierno a que “propusiera las modificaciones normativas necesarias para que a los propietarios sobre los que pesan Sentencias firmes de derribo, como consecuencia de 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 se limita a permitir la sustanciación del procedimiento de forma anticipada, sujetando la eficacia de la resolución indemnizatoria a la condición suspensiva de que el propietario del inmueble afectado ponga éste a disposición de la Administración obligada a materializar el derribo”. En consecuencia proclama que “las </w:t>
      </w:r>
      <w:r>
        <w:lastRenderedPageBreak/>
        <w:t>previsiones legales no alteran en modo alguno el régimen general de responsabilidad Patrimonial…. Estos extremos se recogen en la normativa general, en cuyo marco se incardina la presente 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w:t>
      </w:r>
    </w:p>
    <w:p w:rsidR="00BE7FB3" w:rsidRDefault="00BE7FB3" w:rsidP="00BE7FB3">
      <w:pPr>
        <w:pStyle w:val="TextoNormal"/>
      </w:pPr>
    </w:p>
    <w:p w:rsidR="00BE7FB3" w:rsidRDefault="00BE7FB3" w:rsidP="00BE7FB3">
      <w:pPr>
        <w:pStyle w:val="TextoNormal"/>
      </w:pPr>
      <w:r>
        <w:t>Distinto es el parecer del órgano promotor de la cuestión, pues estima que la encomienda del Parlamento a la que la Ley 2/2011 dice responder lo era para interferir directamente en las Sentencias de derribo de forma que éstas no pudieran llevarse a efecto sin previa indemnización a los propietarios.</w:t>
      </w:r>
    </w:p>
    <w:p w:rsidR="00BE7FB3" w:rsidRDefault="00BE7FB3" w:rsidP="00BE7FB3">
      <w:pPr>
        <w:pStyle w:val="TextoNormal"/>
      </w:pPr>
    </w:p>
    <w:p w:rsidR="00BE7FB3" w:rsidRDefault="00BE7FB3" w:rsidP="00BE7FB3">
      <w:pPr>
        <w:pStyle w:val="TextoNormal"/>
      </w:pPr>
      <w:r>
        <w:t>Ahora bien para el órgano judicial cuestionante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que la Sala de lo Contencioso-Administrativo del Tribunal Superior de Justicia de Cantabria ha rechazado reclamaciones patrimoniales que se han planteado en incidentes de ejecución, criterio que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de 26 de noviembre (arts. 139 y ss.).</w:t>
      </w:r>
    </w:p>
    <w:p w:rsidR="00BE7FB3" w:rsidRDefault="00BE7FB3" w:rsidP="00BE7FB3">
      <w:pPr>
        <w:pStyle w:val="TextoNormal"/>
      </w:pPr>
    </w:p>
    <w:p w:rsidR="00BE7FB3" w:rsidRDefault="00BE7FB3" w:rsidP="00BE7FB3">
      <w:pPr>
        <w:pStyle w:val="TextoNormal"/>
      </w:pPr>
      <w:r>
        <w:t>En segundo lugar, señala que la ejecución de Sentencias forma parte del derecho a la tutela judicial efectiva (art. 24.1 CE) correspondiendo el ejercicio de esta potestad jurisdiccional en exclusiva a los Juzgados y Tribunales (art. 117.3 CE), señalando la propia Constitución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permite suspensión alguna en la ejecución de Sentencias. 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tres meses, condicionada a la puesta a disposición de la Administración del inmueble a derribar. Para el órgano cuestionante que esta previsión pretende incluir a los derribos consecuencia de resoluciones judiciales se deriva de lo dispuesto en el punto cinco de la referida disposición en cuanto dispone que “La Administración que tramite un expediente de responsabilidad patrimonial … deberá comunicar el inicio de la sustanciación de dicho expediente al órgano judicial encargado de la ejecución de la sentencia”.</w:t>
      </w:r>
    </w:p>
    <w:p w:rsidR="00BE7FB3" w:rsidRDefault="00BE7FB3" w:rsidP="00BE7FB3">
      <w:pPr>
        <w:pStyle w:val="TextoNormal"/>
      </w:pPr>
    </w:p>
    <w:p w:rsidR="00BE7FB3" w:rsidRDefault="00BE7FB3" w:rsidP="00BE7FB3">
      <w:pPr>
        <w:pStyle w:val="TextoNormal"/>
      </w:pPr>
      <w:r>
        <w:lastRenderedPageBreak/>
        <w:t xml:space="preserve">El órgano promotor de la cuestión sostiene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Máxime cuando se obliga a que la demolición sea posterior a la puesta a disposición del perjudicado del importe de la indemnización, lo que, en el supuesto de autos, supondría, de hecho, la suspensión </w:t>
      </w:r>
      <w:r w:rsidRPr="00BE7FB3">
        <w:rPr>
          <w:i/>
        </w:rPr>
        <w:t>sine die</w:t>
      </w:r>
      <w:r>
        <w:t xml:space="preserve"> ante la ausencia de recursos suficientes por parte de los Ayuntamientos responsables; insuficiencia de recursos puesta de manifiesto por el Tribunal de Cuentas en su informe de fiscalización de año 2010 y esgrimida por la propia Administración local como causa de inejecución de la sentencia.</w:t>
      </w:r>
    </w:p>
    <w:p w:rsidR="00BE7FB3" w:rsidRDefault="00BE7FB3" w:rsidP="00BE7FB3">
      <w:pPr>
        <w:pStyle w:val="TextoNormal"/>
      </w:pPr>
    </w:p>
    <w:p w:rsidR="00BE7FB3" w:rsidRDefault="00BE7FB3" w:rsidP="00BE7FB3">
      <w:pPr>
        <w:pStyle w:val="TextoNormal"/>
      </w:pPr>
      <w:r>
        <w:t>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de este incidente. Razón por la cual esta Sala considera cumplido el juicio de relevancia”. Suspensión que al dejar en manos de la Administración y de los particulares afectados la propia efectividad del cumplimiento del fallo, entra en conflicto con el art. 117.3 CE y con el art. 105.1 de la Ley 29/1998, que no prevé suspensión alguna de la ejecución.</w:t>
      </w:r>
    </w:p>
    <w:p w:rsidR="00BE7FB3" w:rsidRDefault="00BE7FB3" w:rsidP="00BE7FB3">
      <w:pPr>
        <w:pStyle w:val="TextoNormal"/>
      </w:pPr>
    </w:p>
    <w:p w:rsidR="00BE7FB3" w:rsidRDefault="00BE7FB3" w:rsidP="00BE7FB3">
      <w:pPr>
        <w:pStyle w:val="TextoNormal"/>
      </w:pPr>
      <w:r>
        <w:t>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ésta por la que la Sala de lo Contencioso-Administrativo del Tribunal Superior de Justicia de Cantabria, en el curso de los distintos procedimientos de responsabilidad patrimonial que 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Por providencia de 22 de noviembre de 2011, el Pleno del Tribunal acordó admitir a trámite la cuestión, así como, de conformidad con lo dispuesto en el art. 10.1 c) de la Ley Orgánica del Tribunal Constitucional (LOTC), en la redacción dada por la Ley Orgánica 6/2007, de 24 de mayo, deferir a la Sala Primera de este Tribunal el conocimiento de la </w:t>
      </w:r>
      <w:r>
        <w:lastRenderedPageBreak/>
        <w:t>presente cuestión. 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00BE7FB3" w:rsidRDefault="00BE7FB3" w:rsidP="00BE7FB3">
      <w:pPr>
        <w:pStyle w:val="TextoNormal"/>
      </w:pPr>
    </w:p>
    <w:p w:rsidR="00BE7FB3" w:rsidRDefault="00BE7FB3" w:rsidP="00BE7FB3">
      <w:pPr>
        <w:pStyle w:val="TextoNormal"/>
      </w:pPr>
      <w:r w:rsidRPr="00BE7FB3">
        <w:rPr>
          <w:rStyle w:val="NumeroAFNegritaCaracter"/>
        </w:rPr>
        <w:t>5</w:t>
      </w:r>
      <w:r>
        <w:t>. El 2 de diciembre de 2011 tuvo entrada en el Registro General del Tribunal escrito del Presidente del Senado poniendo en conocimiento que, en ejercicio de la delegación conferida por la Mesa de la Diputación Permanente en reunión de 28 de septiembre de 2011, decide su personación en el procedimiento,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Presidente del Congreso de los Diputados, por su parte, mediante escrito que tuvo entrada en este Tribunal el 14 de diciembre de 2011, comunicó que la Mesa de la Diputación Permanente ha acordado personarse en el procedimiento, ofreciendo su colaboración a los efectos de lo previsto en el citado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formuló alegaciones el día 16 de diciembre de 2011, interesando la inadmisión de la cuestión de inconstitucionalidad respecto de los apartados 1, 2, y 3 y los párrafos tercero, cuarto y sexto del apartado 4 de la disposición adicional sexta de la Ley 2/2001, así como la estimación de la cuestión respecto de los párrafos primero, segundo y quinto de apartado 4 y el apartado 5 de la citada disposición adicional sexta.</w:t>
      </w:r>
    </w:p>
    <w:p w:rsidR="00BE7FB3" w:rsidRDefault="00BE7FB3" w:rsidP="00BE7FB3">
      <w:pPr>
        <w:pStyle w:val="TextoNormal"/>
      </w:pPr>
    </w:p>
    <w:p w:rsidR="00BE7FB3" w:rsidRDefault="00BE7FB3" w:rsidP="00BE7FB3">
      <w:pPr>
        <w:pStyle w:val="TextoNormal"/>
      </w:pPr>
      <w:r>
        <w:t>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00BE7FB3" w:rsidRDefault="00BE7FB3" w:rsidP="00BE7FB3">
      <w:pPr>
        <w:pStyle w:val="TextoNormal"/>
      </w:pPr>
    </w:p>
    <w:p w:rsidR="00BE7FB3" w:rsidRDefault="00BE7FB3" w:rsidP="00BE7FB3">
      <w:pPr>
        <w:pStyle w:val="TextoNormal"/>
      </w:pPr>
      <w:r>
        <w:t xml:space="preserve">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w:t>
      </w:r>
      <w:r w:rsidRPr="00BE7FB3">
        <w:rPr>
          <w:i/>
        </w:rPr>
        <w:t>sine die</w:t>
      </w:r>
      <w:r>
        <w:t xml:space="preserv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w:t>
      </w:r>
      <w:r>
        <w:lastRenderedPageBreak/>
        <w:t>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00BE7FB3" w:rsidRDefault="00BE7FB3" w:rsidP="00BE7FB3">
      <w:pPr>
        <w:pStyle w:val="TextoNormal"/>
      </w:pPr>
    </w:p>
    <w:p w:rsidR="00BE7FB3" w:rsidRDefault="00BE7FB3" w:rsidP="00BE7FB3">
      <w:pPr>
        <w:pStyle w:val="TextoNormal"/>
      </w:pPr>
      <w:r>
        <w:t>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estatales. Pero este no es el caso de la norma cuestionada, puesto que el hecho generador de la responsabilidad está recogido en la legislación estatal [arts. 142 de la Ley de régimen jurídico de las Administraciones públicas y del procedimiento administrativo común, 35 d) del texto refundido de la Ley sobre régimen del suelo y ordenación urbana y 44.2 de la Ley sobre régimen del suelo y valoraciones (Ley 6/1998, de 13 de abril)] y el legislador autonómico se separa de uno de los elementos esenciales de la responsabilidad establecido en la misma, cual es el requisito de que el daño sea efectivo.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00BE7FB3" w:rsidRDefault="00BE7FB3" w:rsidP="00BE7FB3">
      <w:pPr>
        <w:pStyle w:val="TextoNormal"/>
      </w:pPr>
    </w:p>
    <w:p w:rsidR="00BE7FB3" w:rsidRDefault="00BE7FB3" w:rsidP="00BE7FB3">
      <w:pPr>
        <w:pStyle w:val="TextoNormal"/>
      </w:pPr>
      <w:r w:rsidRPr="00BE7FB3">
        <w:rPr>
          <w:rStyle w:val="NumeroAFNegritaCaracter"/>
        </w:rPr>
        <w:t>8</w:t>
      </w:r>
      <w:r>
        <w:t>. Mediante escrito presentado en el Registro General de este Tribunal el día 23 de diciembre de 2011, el Letrado de los servicios jurídicos del Gobierno de Cantabria, formuló alegaciones interesando la desestimación de la cuestión de inconstitucionalidad.</w:t>
      </w:r>
    </w:p>
    <w:p w:rsidR="00BE7FB3" w:rsidRDefault="00BE7FB3" w:rsidP="00BE7FB3">
      <w:pPr>
        <w:pStyle w:val="TextoNormal"/>
      </w:pPr>
    </w:p>
    <w:p w:rsidR="00BE7FB3" w:rsidRDefault="00BE7FB3" w:rsidP="00BE7FB3">
      <w:pPr>
        <w:pStyle w:val="TextoNormal"/>
      </w:pPr>
      <w:r>
        <w:t xml:space="preserve">Rechaza en primer lugar que la norma impugnada suponga la invasión de la competencia estatal en materia de ejecución procesal </w:t>
      </w:r>
      <w:r w:rsidRPr="00BE7FB3">
        <w:rPr>
          <w:i/>
        </w:rPr>
        <w:t>ex</w:t>
      </w:r>
      <w:r>
        <w:t xml:space="preserve">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00BE7FB3" w:rsidRDefault="00BE7FB3" w:rsidP="00BE7FB3">
      <w:pPr>
        <w:pStyle w:val="TextoNormal"/>
      </w:pPr>
    </w:p>
    <w:p w:rsidR="00BE7FB3" w:rsidRDefault="00BE7FB3" w:rsidP="00BE7FB3">
      <w:pPr>
        <w:pStyle w:val="TextoNormal"/>
      </w:pPr>
      <w:r>
        <w:t xml:space="preserve">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especialmente, especialidades procedimentales derivadas de su organización propia que tienen cobertura en </w:t>
      </w:r>
      <w:r>
        <w:lastRenderedPageBreak/>
        <w:t>el art. 24, aparados 1, 3 y 22, así como en el art. 35, apartado 3, del Estatuto de Autonomía de Cantabria.</w:t>
      </w:r>
    </w:p>
    <w:p w:rsidR="00BE7FB3" w:rsidRDefault="00BE7FB3" w:rsidP="00BE7FB3">
      <w:pPr>
        <w:pStyle w:val="TextoNormal"/>
      </w:pPr>
    </w:p>
    <w:p w:rsidR="00BE7FB3" w:rsidRDefault="00BE7FB3" w:rsidP="00BE7FB3">
      <w:pPr>
        <w:pStyle w:val="TextoNormal"/>
      </w:pPr>
      <w:r>
        <w:t>Rebate también el Gobierno de Cantabria que la norma cuestionada vulnere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w:t>
      </w:r>
    </w:p>
    <w:p w:rsidR="00BE7FB3" w:rsidRDefault="00BE7FB3" w:rsidP="00BE7FB3">
      <w:pPr>
        <w:pStyle w:val="TextoNormal"/>
      </w:pPr>
    </w:p>
    <w:p w:rsidR="00BE7FB3" w:rsidRDefault="00BE7FB3" w:rsidP="00BE7FB3">
      <w:pPr>
        <w:pStyle w:val="TextoNormal"/>
      </w:pPr>
      <w:r>
        <w:t>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00BE7FB3" w:rsidRDefault="00BE7FB3" w:rsidP="00BE7FB3">
      <w:pPr>
        <w:pStyle w:val="TextoNormal"/>
      </w:pPr>
    </w:p>
    <w:p w:rsidR="00BE7FB3" w:rsidRDefault="00BE7FB3" w:rsidP="00BE7FB3">
      <w:pPr>
        <w:pStyle w:val="TextoNormal"/>
      </w:pPr>
      <w:r w:rsidRPr="00BE7FB3">
        <w:rPr>
          <w:rStyle w:val="NumeroAFNegritaCaracter"/>
        </w:rPr>
        <w:t>9</w:t>
      </w:r>
      <w:r>
        <w:t xml:space="preserve">. Mediante escrito presentado en el Registro General el día 26 de diciembre de 2011,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w:t>
      </w:r>
      <w:r w:rsidRPr="00BE7FB3">
        <w:rPr>
          <w:i/>
        </w:rPr>
        <w:t>sine die</w:t>
      </w:r>
      <w:r>
        <w:t>, pues el procedimiento de responsabilidad tiene una duración máxima prevista de seis meses, sin que se incida por ello en la legislación procesal.</w:t>
      </w:r>
    </w:p>
    <w:p w:rsidR="00BE7FB3" w:rsidRDefault="00BE7FB3" w:rsidP="00BE7FB3">
      <w:pPr>
        <w:pStyle w:val="TextoNormal"/>
      </w:pPr>
    </w:p>
    <w:p w:rsidR="00BE7FB3" w:rsidRDefault="00BE7FB3" w:rsidP="00BE7FB3">
      <w:pPr>
        <w:pStyle w:val="TextoNormal"/>
      </w:pPr>
      <w:r>
        <w:t>Se aduce también que los reproches de inconstitucionalidad sólo pueden entenderse referidos al párrafo sexto del apartado 4 de la disposición adicional sexta, único al que se refiere la argumentación de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00BE7FB3" w:rsidRDefault="00BE7FB3" w:rsidP="00BE7FB3">
      <w:pPr>
        <w:pStyle w:val="TextoNormal"/>
      </w:pPr>
    </w:p>
    <w:p w:rsidR="00BE7FB3" w:rsidRDefault="00BE7FB3" w:rsidP="00BE7FB3">
      <w:pPr>
        <w:pStyle w:val="TextoNormal"/>
      </w:pPr>
      <w:r>
        <w:t xml:space="preserve">Para el Parlamento de Cantabria la norma cuestionada ha sido dictada en el ejercicio de las competencias que ostenta para regular sus instituciones de autogobierno, que le permite </w:t>
      </w:r>
      <w:r>
        <w:lastRenderedPageBreak/>
        <w:t>establecer los órganos propios para el ejercicio de sus competencias. En segundo lugar ampara su actuación en la competencia sobre ordenación del territorio y urbanismo, enmarcando la disposición adicional sexta en la ordenación de las consecuencias indemnizatorias previstas en al art. 122.2 CE. Finalmente, también encontraría cobertura constitucional la norma impugnada en la potestad de establecer los procedimientos administrativos adecuados para el ejercicio de sus competencias, siempre que se respeten las reglas básicas establecidas por el Estado. En este caso la Ley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peculiaridades de la organización y a las necesidades de la Comunidad Autónoma.</w:t>
      </w:r>
    </w:p>
    <w:p w:rsidR="00BE7FB3" w:rsidRDefault="00BE7FB3" w:rsidP="00BE7FB3">
      <w:pPr>
        <w:pStyle w:val="TextoNormal"/>
      </w:pPr>
    </w:p>
    <w:p w:rsidR="00BE7FB3" w:rsidRDefault="00BE7FB3" w:rsidP="00BE7FB3">
      <w:pPr>
        <w:pStyle w:val="TextoNormal"/>
      </w:pPr>
      <w:r>
        <w:t>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y evaluable económicamente.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00BE7FB3" w:rsidRDefault="00BE7FB3" w:rsidP="00BE7FB3">
      <w:pPr>
        <w:pStyle w:val="TextoNormal"/>
      </w:pPr>
    </w:p>
    <w:p w:rsidR="00BE7FB3" w:rsidRDefault="00BE7FB3" w:rsidP="00BE7FB3">
      <w:pPr>
        <w:pStyle w:val="TextoNormal"/>
      </w:pPr>
      <w:r w:rsidRPr="00BE7FB3">
        <w:rPr>
          <w:rStyle w:val="NumeroAFNegritaCaracter"/>
        </w:rPr>
        <w:t>10</w:t>
      </w:r>
      <w:r>
        <w:t>. El Fiscal General del Estado formuló alegaciones mediante escrito presentado el día 20 de enero de 2012. Tras detallar el curso del proceso del que esta cuestión de inconstitucionalidad dimana, recoge sucintamente los motivos en los que el órgano judicial funda la inconstitucionalidad de la norma legal, y precisa que aunque la duda de constitucionalidad se dirige formalmente contra la totalidad de las disposición adicional sexta, en realidad la duda se centra en los apartados 4 y 5 de dicha disposición.</w:t>
      </w:r>
    </w:p>
    <w:p w:rsidR="00BE7FB3" w:rsidRDefault="00BE7FB3" w:rsidP="00BE7FB3">
      <w:pPr>
        <w:pStyle w:val="TextoNormal"/>
      </w:pPr>
    </w:p>
    <w:p w:rsidR="00BE7FB3" w:rsidRDefault="00BE7FB3" w:rsidP="00BE7FB3">
      <w:pPr>
        <w:pStyle w:val="TextoNormal"/>
      </w:pPr>
      <w:r>
        <w:t>Comienza el Fiscal por señalar que sólo el párrafo 5 del apartado 4 de la disposición adicional sexta pueda entenderse relevante para la decisión judicial a adoptar, sin que, por el contrario, lo sea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Propone por ello la inadmisión parcial de la cuestión en el sentido acabado de aludir.</w:t>
      </w:r>
    </w:p>
    <w:p w:rsidR="00BE7FB3" w:rsidRDefault="00BE7FB3" w:rsidP="00BE7FB3">
      <w:pPr>
        <w:pStyle w:val="TextoNormal"/>
      </w:pPr>
    </w:p>
    <w:p w:rsidR="00BE7FB3" w:rsidRDefault="00BE7FB3" w:rsidP="00BE7FB3">
      <w:pPr>
        <w:pStyle w:val="TextoNormal"/>
      </w:pPr>
      <w:r>
        <w:t xml:space="preserve">Por lo que se refiere a las competencias autonómicas que sustentan la norma cuestionada, afirma el Fiscal que la indudable competencia exclusiva de la Comunidad Autónoma en materia de urbanismo ha de coexistir con las competencias que el Estado ostenta en virtud del art. 149.1 CE. Tampoco las competencias sobre funcionamiento de sus instituciones de autogobierno y sobre el procedimiento administrativo derivado de las especialidades de la organización propia a que se refieren los núms. 1 y 32 del art. 24 del Estatuto de Autonomía </w:t>
      </w:r>
      <w:r>
        <w:lastRenderedPageBreak/>
        <w:t>de Cantabria, dispensan la cobertura competencial al establecimiento de una regulación propia en materia de indemnización de los particulares por las Administraciones como consecuencia de una lesión causada por los servicios públicos urbanísticos.</w:t>
      </w:r>
    </w:p>
    <w:p w:rsidR="00BE7FB3" w:rsidRDefault="00BE7FB3" w:rsidP="00BE7FB3">
      <w:pPr>
        <w:pStyle w:val="TextoNormal"/>
      </w:pPr>
    </w:p>
    <w:p w:rsidR="00BE7FB3" w:rsidRDefault="00BE7FB3" w:rsidP="00BE7FB3">
      <w:pPr>
        <w:pStyle w:val="TextoNormal"/>
      </w:pPr>
      <w:r>
        <w:t xml:space="preserve">Seguidamente recuerda el Ministerio Fiscal cuales han sido los criterios seguidos por la doctrina constitucional para enjuiciar la competencia autonómica para establecer especialidades procesales </w:t>
      </w:r>
      <w:r w:rsidRPr="00BE7FB3">
        <w:rPr>
          <w:i/>
        </w:rPr>
        <w:t>ex</w:t>
      </w:r>
      <w:r>
        <w:t xml:space="preserve">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00BE7FB3" w:rsidRDefault="00BE7FB3" w:rsidP="00BE7FB3">
      <w:pPr>
        <w:pStyle w:val="TextoNormal"/>
      </w:pPr>
    </w:p>
    <w:p w:rsidR="00BE7FB3" w:rsidRDefault="00BE7FB3" w:rsidP="00BE7FB3">
      <w:pPr>
        <w:pStyle w:val="TextoNormal"/>
      </w:pPr>
      <w: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a que se haya establecido, en su caso, el importe de la indemnización y se haya puesto a disposición del perjudicado, está disponiendo la paralización —probablemente </w:t>
      </w:r>
      <w:r w:rsidRPr="00BE7FB3">
        <w:rPr>
          <w:i/>
        </w:rPr>
        <w:t>sine die</w:t>
      </w:r>
      <w:r>
        <w:t>—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Sala de lo Contencioso-Administrativo del Tribunal Superior de Justicia de Cantabria plantea cuestión de inconstitucionalidad en relación con la disposición adicional sexta de la Ley 2/2001, de 25 de junio, de ordenación territorial y del régimen urbanístico del suelo de Cantabria, introducida por el art.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lastRenderedPageBreak/>
        <w:t>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t>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5728-2011, por desaparición sobrevenida de su objeto.</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47" w:name="AUTO_2013_106"/>
      <w:r>
        <w:lastRenderedPageBreak/>
        <w:t>AUTO 106/2013, de 20 de mayo de 2013</w:t>
      </w:r>
    </w:p>
    <w:bookmarkEnd w:id="247"/>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ECLI:ES:TC:2013:106A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5799-2011,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p>
    <w:p w:rsidR="00BE7FB3" w:rsidRDefault="00BE7FB3" w:rsidP="00BE7FB3">
      <w:pPr>
        <w:pStyle w:val="SntesisDescriptiva"/>
      </w:pPr>
    </w:p>
    <w:p w:rsidR="00BE7FB3" w:rsidRDefault="00BE7FB3" w:rsidP="00BE7FB3">
      <w:pPr>
        <w:pStyle w:val="SntesisAnaltica"/>
      </w:pPr>
      <w:r>
        <w:t>Extinción de cuestión de inconstitucionalidad: ATC 104/2013;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27 de octubre de 2011 tuvo entrada en el Registro General de este Tribunal oficio de la Sala de lo Contencioso-Administrativo del Tribunal Superior de Justicia de Cantabria al que se acompaña testimonio de las actuaciones recaídas en el recurso núm. 1996-1998 y del Auto de 30 de septiembre de 2011, por el que se acuerda plantear cuestión de inconstitucionalidad en relación con la disposición adicional sexta de la Ley del Parlamento de Cantabria 2/2001, de 25 de junio, de ordenación territorial y del régimen urbanístico del suelo de Cantabria, introducida por el art.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de los que trae causa la presente cuestión de inconstitucionalidad son, sucintamente expuestos, los siguientes:</w:t>
      </w:r>
    </w:p>
    <w:p w:rsidR="00BE7FB3" w:rsidRDefault="00BE7FB3" w:rsidP="00BE7FB3">
      <w:pPr>
        <w:pStyle w:val="TextoNormal"/>
      </w:pPr>
    </w:p>
    <w:p w:rsidR="00BE7FB3" w:rsidRDefault="00BE7FB3" w:rsidP="00BE7FB3">
      <w:pPr>
        <w:pStyle w:val="TextoNormal"/>
      </w:pPr>
      <w:r>
        <w:t xml:space="preserve">a) Mediante Sentencia de 19 de julio de 2000 de la Sala de lo Contencioso-Administrativo del Tribunal Superior de Justicia de Cantabria, recaída en el recurso 1996-1998, se estimó el recurso interpuesto por la Asociación para la defensa de los recursos naturales de Cantabria (ARCA) contra el acuerdo de la Comisión de Gobierno del Ayuntamiento de Argoños de 17 de julio de 1997, por el que se concedió licencia a la empresa Pepín Cano Construcciones y Canteras, S.L., para la construcción en Argoños de dos viviendas unifamiliares y para la reforma y ampliación de otras tres; y asimismo contra el acuerdo de la Comisión de Gobierno del mismo Ayuntamiento de 19 de noviembre de 1997, por el que se concedió licencia a la empresa Construcciones Munargo, S.L., para la construcción en Argoños de cuatro viviendas unifamiliares, declarando la nulidad de los acuerdos impugnados </w:t>
      </w:r>
      <w:r>
        <w:lastRenderedPageBreak/>
        <w:t>y ordenando la demolición de lo indebidamente construido. Mediante Sentencia de la Sección Quinta de la Sala de lo Contencioso-Administrativo del Tribunal Supremo de 14 de enero de 2003 se desestimó el recurso de casación interpuesto contra la precitada Sentencia.</w:t>
      </w:r>
    </w:p>
    <w:p w:rsidR="00BE7FB3" w:rsidRDefault="00BE7FB3" w:rsidP="00BE7FB3">
      <w:pPr>
        <w:pStyle w:val="TextoNormal"/>
      </w:pPr>
    </w:p>
    <w:p w:rsidR="00BE7FB3" w:rsidRDefault="00BE7FB3" w:rsidP="00BE7FB3">
      <w:pPr>
        <w:pStyle w:val="TextoNormal"/>
      </w:pPr>
      <w:r>
        <w:t>b) Instada la ejecución de la Sentencia por parte de la asociación recurrente, se dictó el Auto de15 de junio de 2009 por la Sala de lo Contencioso-Administrativo del Tribunal Superior de Justicia de Cantabria, por el que, entre otros extremos, se otorgaba al Ayuntamiento de Argoños un plazo de seis meses para que procediese a la demolición de las viviendas construidas al amparo de las licencias anuladas. Ante el incumplimiento del Ayuntamiento, por Auto de 24 de noviembre de 2010 (confirmado en súplica por Auto de 18 de marzo de 2011) la Sala acordó la ejecución subsidiaria de la orden de demolición de lo indebidamente construido al amparo de las licencias anuladas.</w:t>
      </w:r>
    </w:p>
    <w:p w:rsidR="00BE7FB3" w:rsidRDefault="00BE7FB3" w:rsidP="00BE7FB3">
      <w:pPr>
        <w:pStyle w:val="TextoNormal"/>
      </w:pPr>
    </w:p>
    <w:p w:rsidR="00BE7FB3" w:rsidRDefault="00BE7FB3" w:rsidP="00BE7FB3">
      <w:pPr>
        <w:pStyle w:val="TextoNormal"/>
      </w:pPr>
      <w:r>
        <w:t>c) El Ayuntamiento de Argoños promovió entonces incidente al amparo del art. 105 de la Ley reguladora de la jurisdicción contencioso-administrativa (LJCA), sobre imposibilidad legal sobrevenida de ejecutar la Sentencia de 19 de julio de 2000, por entender que las construcciones afectadas cumplirían, si se realizan determinadas obras en las mismas, el nuevo Plan General de Ordenación Urbana del municipio de Argoños, aprobado en el año 2006. Por Auto de 3 de junio de 2011 la Sala acordó no haber lugar a lo solicitado por el Ayuntamiento de Argoños por promoverse el incidente extemporáneamente y por entender que el nuevo Plan General de Ordenación Urbana de Argoños no permite la legalización de las viviendas afectadas por la orden de derribo.</w:t>
      </w:r>
    </w:p>
    <w:p w:rsidR="00BE7FB3" w:rsidRDefault="00BE7FB3" w:rsidP="00BE7FB3">
      <w:pPr>
        <w:pStyle w:val="TextoNormal"/>
      </w:pPr>
    </w:p>
    <w:p w:rsidR="00BE7FB3" w:rsidRDefault="00BE7FB3" w:rsidP="00BE7FB3">
      <w:pPr>
        <w:pStyle w:val="TextoNormal"/>
      </w:pPr>
      <w:r>
        <w:t>d) Tras la anterior resolución judicial el Ayuntamiento de Argoños promovió con fecha 16 de junio de 2011 incidente de ejecución al amparo del art. 109 LJCA, interesando la suspensión de la ejecución de la Sentencia de 19 de julio de 2000 en tanto no se procediera a la indemnización de los propietarios de las viviendas sujetas a demolición y solicitando igualmente la incoación del correspondiente incidente. La solicitud traía causa de la aprobación de la Ley del Parlamento de Cantabria 2/2011, de 4 de abril, por la que se modifica la Ley 2/2001, de 25 de junio, de ordenación territorial y régimen urbanístico del suelo en Cantabria, en relación con los procedimientos de indemnización patrimonial en materia urbanística y, asimismo, se ponía de manifiesto que la propia Sala había elevado cuestión de inconstitucionalidad ante este Tribunal sobre el particular.</w:t>
      </w:r>
    </w:p>
    <w:p w:rsidR="00BE7FB3" w:rsidRDefault="00BE7FB3" w:rsidP="00BE7FB3">
      <w:pPr>
        <w:pStyle w:val="TextoNormal"/>
      </w:pPr>
    </w:p>
    <w:p w:rsidR="00BE7FB3" w:rsidRDefault="00BE7FB3" w:rsidP="00BE7FB3">
      <w:pPr>
        <w:pStyle w:val="TextoNormal"/>
      </w:pPr>
      <w:r>
        <w:t>e) Por providencia de 8 de julio de 2011 la Sala de lo Contencioso-Administrativo del Tribunal Superior de Justicia de Cantabria, de conformidad con lo dispuesto en el art. 35.2 de la Ley Orgánica del Tribunal Constitucional (LOTC), acordó oír a las partes personadas y al Ministerio Fiscal por el término común de diez días sobre la pertinencia de plantear cuestión de inconstitucionalidad respecto de la disposición adicional sexta de la Ley 2/2001, de 25 de junio, de ordenación territorial y del régimen urbanístico del suelo de Cantabria, introducida por el art. 2 de la Ley del Parlamento de Cantabria 2/2011, de 4 de abril, por si la norma pudiera alterar la legislación básica del Estado y competencias exclusivas derivadas de los arts. 149.1.6 y 149.1.18 CE, en relación con los arts. 9.3, 24.1, 106.1, 177 y 118 CE.</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Evacuado el trámite de audiencia del art. 35.2 LOTC con el resultado que consta en las actuaciones, por Auto de 30 de septiembre de 2011 la Sala de lo Contencioso-Administrativo del Tribunal Superior de Justicia de Cantabria acordó plantear la presente cuestión </w:t>
      </w:r>
      <w:r>
        <w:lastRenderedPageBreak/>
        <w:t>de inconstitucionalidad respecto de la disposición adicional sexta de la Ley 2/2001, de 25 de junio, de ordenación territorial y del régimen urbanístico del suelo de Cantabria, introducida por el art. 2 de la Ley del Parlamento de Cantabria 2/2011, de 4 de abril, y ello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Contencioso-Administrativa 29/1998, de 13 de julio. Todo ello en relación con los arts. 9.3, 24.1, 106.1, 117 y 118 del texto constitucional”.</w:t>
      </w:r>
    </w:p>
    <w:p w:rsidR="00BE7FB3" w:rsidRDefault="00BE7FB3" w:rsidP="00BE7FB3">
      <w:pPr>
        <w:pStyle w:val="TextoNormal"/>
      </w:pPr>
    </w:p>
    <w:p w:rsidR="00BE7FB3" w:rsidRDefault="00BE7FB3" w:rsidP="00BE7FB3">
      <w:pPr>
        <w:pStyle w:val="TextoNormal"/>
      </w:pPr>
      <w:r>
        <w:t>Se razona en el Auto que la disposición adicional sexta de la Ley 2/2001, de 25 de junio, de ordenación territorial y del régimen urbanístico del suelo de Cantabria, introducida por el art. 2 de la Ley del Parlamento de Cantabria 2/2011, de 4 de abril, y más concretamente lo establecido en el párrafo quinto del apartado 4 de la referida disposición, así como en su apartado 5, pretende interferir directamente en las Sentencias firmes que ordenan la demolición de lo indebidamente construido, de forma que éstas no pudieran llevarse a efecto sin previa indemnización a los propietarios afectados. Para la Sala esta regulación vendría a incurrir en dos tachas de inconstitucionalidad de orden competencial. En primer lugar, porque en la misma se establece una causa de suspensión de la ejecución judicial de las Sentencias firmes que llevan aparejada la demolición de obras declaradas ilegales no prevista en la ley estatal, lo que vulnera la competencia estatal exclusiva en materia de legislación procesal (art. 149.1.6 CE); y, en segundo lugar, porque la norma cuestionada establece un supuesto de responsabilidad patrimonial en el que el daño indemnizable no es efectivo sino eventual, regulando así la Comunidad Autónoma de Cantabria un elemento básico del sistema de responsabilidad patrimonial de las Administraciones públicas que le está constitucionalmente vedado, por estar reservado al Estado a tenor de lo dispuesto en el art. 149.1.18 CE, regulación derivada del art. 106 CE y materializada en el título X de la Ley 30/1992, de régimen jurídico de las Administraciones públicas y del procedimiento administrativo común.</w:t>
      </w:r>
    </w:p>
    <w:p w:rsidR="00BE7FB3" w:rsidRDefault="00BE7FB3" w:rsidP="00BE7FB3">
      <w:pPr>
        <w:pStyle w:val="TextoNormal"/>
      </w:pPr>
    </w:p>
    <w:p w:rsidR="00BE7FB3" w:rsidRDefault="00BE7FB3" w:rsidP="00BE7FB3">
      <w:pPr>
        <w:pStyle w:val="TextoNormal"/>
      </w:pPr>
      <w:r>
        <w:t>Añade a lo anterior la Sala que la ejecución de Sentencias forma parte del derecho a la tutela judicial efectiva (art. 24.1 CE), correspondiendo el ejercicio de esta potestad jurisdiccional en exclusiva a los Juzgados y Tribunales (art. 117.3 CE), y siendo obligado cumplir sus resoluciones firmes y prestar la colaboración requerida por los órganos judiciales en la ejecución de lo resuelto (art. 118 CE). La disposición cuestionada introduce una causa de suspensión de la ejecución judicial, en tanto no se tramite el expediente de responsabilidad patrimonial, que deja en manos de la Administración y de los particulares afectados la propia efectividad del cumplimiento del fallo, lo que implica vulnerar los arts. 24.1 y 117.3 CE. Además, las previsiones contenidas en la disposición cuestionada, que altera las decisiones firmes en materia de responsabilidad patrimonial, puede vulnerar igualmente el principio de seguridad jurídica que proclama el art. 9.3 CE, según la Sala promotora de la cuestión.</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Mediante providencia de 22 de noviembre de 2011, el Pleno del Tribunal acordó admitir a trámite la cuestión, así como, de conformidad con lo dispuesto en el art. 10.1 c) </w:t>
      </w:r>
      <w:r>
        <w:lastRenderedPageBreak/>
        <w:t>LOTC, deferir el conocimiento de la misma a la Sala Primera, a la que por turno objetivo le ha correspondido.</w:t>
      </w:r>
    </w:p>
    <w:p w:rsidR="00BE7FB3" w:rsidRDefault="00BE7FB3" w:rsidP="00BE7FB3">
      <w:pPr>
        <w:pStyle w:val="TextoNormal"/>
      </w:pPr>
    </w:p>
    <w:p w:rsidR="00BE7FB3" w:rsidRDefault="00BE7FB3" w:rsidP="00BE7FB3">
      <w:pPr>
        <w:pStyle w:val="TextoNormal"/>
      </w:pPr>
      <w:r>
        <w:t>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en el plazo de quince días, pudieran personarse en el proceso y formular las alegaciones que estimasen convenientes. De igual modo se acordó comunicar la providencia a la Sala de lo Contencioso-Administrativo del Tribunal Superior de Justicia de Cantabria a los efectos previstos en el art. 35.3 LOTC y publicar la incoación de la cuestión en el “Boletín Oficial del Estado” y en el “Boletín Oficial de Cantabria”.</w:t>
      </w:r>
    </w:p>
    <w:p w:rsidR="00BE7FB3" w:rsidRDefault="00BE7FB3" w:rsidP="00BE7FB3">
      <w:pPr>
        <w:pStyle w:val="TextoNormal"/>
      </w:pPr>
    </w:p>
    <w:p w:rsidR="00BE7FB3" w:rsidRDefault="00BE7FB3" w:rsidP="00BE7FB3">
      <w:pPr>
        <w:pStyle w:val="TextoNormal"/>
      </w:pPr>
      <w:r w:rsidRPr="00BE7FB3">
        <w:rPr>
          <w:rStyle w:val="NumeroAFNegritaCaracter"/>
        </w:rPr>
        <w:t>5</w:t>
      </w:r>
      <w:r>
        <w:t>. El Presidente del Senado, mediante escrito registrado en este Tribunal el 2 de diciembre de 2011, comunicó que dicha Cámara ha adoptado el acuerdo de personarse en el presente proceso constitucional,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Presidente del Congreso de los Diputados, mediante escrito registrado en este Tribunal el 14 de diciembre de 2011, comunicó a su vez que esta Cámara ha adoptado el acuerdo de personarse en el presente proceso constitucional,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por escrito presentado en el Registro General de este Tribunal el 16 de diciembre de 2011, se personó y formuló alegaciones, interesando la inadmisión de la cuestión de inconstitucionalidad por no constar en las actuaciones que se haya entendido el trámite de audiencia del art. 35.2 LOTC con el Ministerio Fiscal y, subsidiariamente, la inadmisión de la cuestión respecto de los apartados 1, 2, y 3 y los párrafos tercero, cuarto y sexto del apartado 4 de la disposición adicional sexta de la Ley 2/2001, de 25 de junio, de ordenación territorial y del régimen urbanístico del suelo de Cantabria, introducida por el art. 2 de la Ley del Parlamento de Cantabria 2/2011, así como la estimación de la cuestión respecto de los párrafos primero, segundo y quinto de apartado 4 y el apartado 5 de la citada disposición adicional sexta, todo ello por las razones que se detallan en su escrito de alegaciones.</w:t>
      </w:r>
    </w:p>
    <w:p w:rsidR="00BE7FB3" w:rsidRDefault="00BE7FB3" w:rsidP="00BE7FB3">
      <w:pPr>
        <w:pStyle w:val="TextoNormal"/>
      </w:pPr>
    </w:p>
    <w:p w:rsidR="00BE7FB3" w:rsidRDefault="00BE7FB3" w:rsidP="00BE7FB3">
      <w:pPr>
        <w:pStyle w:val="TextoNormal"/>
      </w:pPr>
      <w:r w:rsidRPr="00BE7FB3">
        <w:rPr>
          <w:rStyle w:val="NumeroAFNegritaCaracter"/>
        </w:rPr>
        <w:t>8</w:t>
      </w:r>
      <w:r>
        <w:t xml:space="preserve">. Mediante escrito presentado en el Registro General de este Tribunal el día 23 de diciembre de 2011, el Letrado de los servicios jurídicos del Gobierno de Cantabria formuló alegaciones interesando la desestimación de la presente cuestión de inconstitucionalidad, por entender que el precepto cuestionado no invade la competencia estatal en materia de ejecución procesal </w:t>
      </w:r>
      <w:r w:rsidRPr="00BE7FB3">
        <w:rPr>
          <w:i/>
        </w:rPr>
        <w:t>ex</w:t>
      </w:r>
      <w:r>
        <w:t xml:space="preserve"> art. 149.1.6 CE, ni la competencia estatal para el establecimiento de las bases del sistema de responsabilidad patrimonial (art. 149.1.18 CE), y tampoco incurre en las restantes tachas de inconstitucionalidad que señala el Auto de planteamiento.</w:t>
      </w:r>
    </w:p>
    <w:p w:rsidR="00BE7FB3" w:rsidRDefault="00BE7FB3" w:rsidP="00BE7FB3">
      <w:pPr>
        <w:pStyle w:val="TextoNormal"/>
      </w:pPr>
    </w:p>
    <w:p w:rsidR="00BE7FB3" w:rsidRDefault="00BE7FB3" w:rsidP="00BE7FB3">
      <w:pPr>
        <w:pStyle w:val="TextoNormal"/>
      </w:pPr>
      <w:r w:rsidRPr="00BE7FB3">
        <w:rPr>
          <w:rStyle w:val="NumeroAFNegritaCaracter"/>
        </w:rPr>
        <w:t>9</w:t>
      </w:r>
      <w:r>
        <w:t xml:space="preserve">. Mediante escrito presentado en el Registro General de este Tribunal el día 26 de diciembre de 2011, la representación procesal del Parlamento de Cantabria formuló alegaciones interesando la desestimación de la cuestión. Comienza aduciendo que podría entenderse que no se cumple el juicio de relevancia (art. 35.2 LOTC) de la norma cuestionada, pues con independencia de que se declare o no inconstitucional, las consecuencias jurídicas no </w:t>
      </w:r>
      <w:r>
        <w:lastRenderedPageBreak/>
        <w:t xml:space="preserve">varían para el proceso </w:t>
      </w:r>
      <w:r w:rsidRPr="00BE7FB3">
        <w:rPr>
          <w:i/>
        </w:rPr>
        <w:t>a quo</w:t>
      </w:r>
      <w:r>
        <w:t>, en la medida en que las obras ilegalmente realizadas habrán de ser demolidas. Se aduce también que los reproches de inconstitucionalidad sólo pueden entenderse referidos al párrafo sexto del apartado 4 de la disposición adicional sexta de la Ley 2/2001, de 25 de junio, de ordenación territorial y del régimen urbanístico del suelo de Cantabria, introducida por el art. 2 de la Ley del Parlamento de Cantabria 2/2011, único extremo al que se refiere la argumentación de Auto de promoción de la cuestión. En todo caso, el Parlamento de Cantabria sostiene que la norma cuestionada ha sido dictada en el ejercicio de las competencias de la Comunidad Autónoma de Cantabria para regular sus instituciones de autogobierno y sobre ordenación del territorio y urbanismo, así como de la potestad de establecer los procedimientos administrativos adecuados para el ejercicio de sus competencias, siempre que se respeten las reglas básicas establecidas por el Estado, por lo que entiende que el precepto cuestionado no invade las competencias estatales en materia de ejecución procesal (art. 149.1.6 CE) y para el establecimiento de las bases del sistema de responsabilidad patrimonial (art. 149.1.18 CE), ni incurre tampoco en las restantes tachas de inconstitucionalidad que se apuntan en el Auto de planteamiento.</w:t>
      </w:r>
    </w:p>
    <w:p w:rsidR="00BE7FB3" w:rsidRDefault="00BE7FB3" w:rsidP="00BE7FB3">
      <w:pPr>
        <w:pStyle w:val="TextoNormal"/>
      </w:pPr>
    </w:p>
    <w:p w:rsidR="00BE7FB3" w:rsidRDefault="00BE7FB3" w:rsidP="00BE7FB3">
      <w:pPr>
        <w:pStyle w:val="TextoNormal"/>
      </w:pPr>
      <w:r w:rsidRPr="00BE7FB3">
        <w:rPr>
          <w:rStyle w:val="NumeroAFNegritaCaracter"/>
        </w:rPr>
        <w:t>10</w:t>
      </w:r>
      <w:r>
        <w:t xml:space="preserve">. El Fiscal General del Estado presentó su escrito de alegaciones en este Tribunal el 20 de enero de 2012. En primer lugar precisa que si bien la duda de constitucionalidad se dirige formalmente contra la totalidad de la disposición adicional sexta de la Ley 2/2001, de 25 de junio, de ordenación territorial y del régimen urbanístico del suelo de Cantabria, introducida por el art. 2 de la Ley del Parlamento de Cantabria 2/2011, de 4 de abril, en realidad, de la lectura de los razonamientos del Auto de planteamiento se infiere sin dificultad que la duda se centra en los apartados 4 y 5 de dicha disposición, a lo que añade que la duda se suscita con ocasión de tener que resolver el órgano judicial la solicitud de paralización de la ejecución de Sentencia en cuanto a la demolición de las obras ejecutadas al amparo de las licencias anuladas en el proceso </w:t>
      </w:r>
      <w:r w:rsidRPr="00BE7FB3">
        <w:rPr>
          <w:i/>
        </w:rPr>
        <w:t>a quo</w:t>
      </w:r>
      <w:r>
        <w:t>, por lo que sólo el párrafo quinto del apartado 4 de la disposición cuestionada puede entenderse relevante para la decisión judicial a adoptar, sin que, por el contrario, lo sean el resto de párrafos del apartado 4 ni el apartado 5 en su totalidad. Propone por ello la inadmisión parcial de la cuestión en el sentido que se acaba de señalar.</w:t>
      </w:r>
    </w:p>
    <w:p w:rsidR="00BE7FB3" w:rsidRDefault="00BE7FB3" w:rsidP="00BE7FB3">
      <w:pPr>
        <w:pStyle w:val="TextoNormal"/>
      </w:pPr>
    </w:p>
    <w:p w:rsidR="00BE7FB3" w:rsidRDefault="00BE7FB3" w:rsidP="00BE7FB3">
      <w:pPr>
        <w:pStyle w:val="TextoNormal"/>
      </w:pPr>
      <w:r>
        <w:t>Tras esta precisión, considera el Fiscal General del Estado que el precepto cuestionado, en el inciso referido, invade las competencias estatales en materia de ejecución procesal (art. 149.1.6 CE) y para el establecimiento de las bases del sistema de responsabilidad patrimonial (art. 149.1.18 CE) y asimismo, se inmiscuye en una función estrictamente jurisdiccional, consagrada con diversos matices en los arts. 106.1, 117.3 y 118 CE, perjudicando el derecho a la ejecución de las Sentencias firmes en sus propios términos, que forma parte del derecho fundamental a la tutela judicial efectiva consagrado en el art. 24.1 CE, por todo lo cual interesa el Fiscal General del Estado que se dicte Sentencia por la que se estime parcialmente la presente cuestión de inconstitucionalidad.</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Sala de lo Contencioso-Administrativo del Tribunal Superior de Justicia de Cantabria plantea cuestión de inconstitucionalidad en relación con la disposición adicional sexta de la Ley del Parlamento de Cantabria 2/2001, de 25 de junio, de ordenación territorial y del régimen urbanístico del suelo de Cantabria, introducida por el art. 2 de la Ley del </w:t>
      </w:r>
      <w:r>
        <w:lastRenderedPageBreak/>
        <w:t>Parlamento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t>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t>Por ello, la duda de constitucionalidad planteada por el órgano judicial en relación con la disposición adicional sexta de la Ley 2/2001, de 25 de junio, de ordenación territorial y del régimen urbanístico del suelo de Cantabria, ha quedado disipada a la vista del pronunciamiento de la citada STC 92/2013, de 22 de abril. Ello determina, conforme a reiterada doctrina de este Tribunal (SSTC 387/1993, de 23 de diciembre, FJ único; 72/1997, de 10 de abril, FJ único; 91/1997, de 8 de mayo, FJ único; y AATC 271/2005, de 21 de junio, FJ único; y 272/2005, de 21 de junio, FJ 2), la desaparición sobrevenida del objeto de la cuestión planteada con respecto al citado precepto legal en los incisos referidos.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5799-2011, por desaparición sobrevenida de su objeto.</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48" w:name="AUTO_2013_107"/>
      <w:r>
        <w:lastRenderedPageBreak/>
        <w:t>AUTO 107/2013, de 20 de mayo de 2013</w:t>
      </w:r>
    </w:p>
    <w:bookmarkEnd w:id="248"/>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ECLI:ES:TC:2013:107A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6192-2011, planteada por el Juzgado de lo Contencioso-Administrativo núm. 1 de Santander, en relación con el artículo 2 de la Ley del Parlamento de Cantabria 2/2011, de 4 de abril, por la que se modifica la Ley 2/2001, de 25 de junio, de ordenación territorial y del régimen urbanístico del suelo.</w:t>
      </w:r>
    </w:p>
    <w:p w:rsidR="00BE7FB3" w:rsidRDefault="00BE7FB3" w:rsidP="00BE7FB3">
      <w:pPr>
        <w:pStyle w:val="SntesisDescriptiva"/>
      </w:pPr>
    </w:p>
    <w:p w:rsidR="00BE7FB3" w:rsidRDefault="00BE7FB3" w:rsidP="00BE7FB3">
      <w:pPr>
        <w:pStyle w:val="SntesisAnaltica"/>
      </w:pPr>
      <w:r>
        <w:t>Extinción de cuestión de inconstitucionalidad: ATC 104/2013;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Con fecha de 16 de noviembre de 2011 tuvo entrada, en el Registro General de este Tribunal, escrito del Juzgado de lo Contencioso-Administrativo núm. 1 de Santander al que se acompañan las actuaciones recaídas en el procedimiento ordinario 369-1999 y el Auto del mismo órgano, de 2 de noviembre de 2011, por el que se plantea cuestión de inconstitucionalidad en relación con la disposición adicional sexta de la Ley del Parlamento de Cantabria 2/2001, de 25 de junio, de ordenación territorial y del régimen urbanístico del suelo de Cantabria, introducida por el art. 2 de la Ley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que anteceden al planteamiento de la cuestión de inconstitucionalidad son los siguientes:</w:t>
      </w:r>
    </w:p>
    <w:p w:rsidR="00BE7FB3" w:rsidRDefault="00BE7FB3" w:rsidP="00BE7FB3">
      <w:pPr>
        <w:pStyle w:val="TextoNormal"/>
      </w:pPr>
    </w:p>
    <w:p w:rsidR="00BE7FB3" w:rsidRDefault="00BE7FB3" w:rsidP="00BE7FB3">
      <w:pPr>
        <w:pStyle w:val="TextoNormal"/>
      </w:pPr>
      <w:r>
        <w:t>a) Mediante Sentencia de 15 de mayo de 2001 del mismo órgano promotor de la presente cuestión, recaída en el procedimiento ordinario 369-1999, se estimó el recurso contencioso-administrativo interpuesto por la Asociación para la defensa de los recursos naturales de Cantabria (ARCA) contra la resolución del Ayuntamiento de Piélagos, de 23 de diciembre de 1998, en la que se concedía licencia para la construcción de veinte viviendas unifamiliares en Liencres. La Sentencia disponía la anulación del acto administrativo referido así como la demolición de lo indebidamente construido a su amparo. La resolución fue confirmada en apelación por Sentencia de la Sala de lo Contencioso-Administrativo del Tribunal Superior de Justicia de Cantabria, de 14 de septiembre de 2001, y declarada firme mediante Auto de 3 de diciembre de 2001.</w:t>
      </w:r>
    </w:p>
    <w:p w:rsidR="00BE7FB3" w:rsidRDefault="00BE7FB3" w:rsidP="00BE7FB3">
      <w:pPr>
        <w:pStyle w:val="TextoNormal"/>
      </w:pPr>
    </w:p>
    <w:p w:rsidR="00BE7FB3" w:rsidRDefault="00BE7FB3" w:rsidP="00BE7FB3">
      <w:pPr>
        <w:pStyle w:val="TextoNormal"/>
      </w:pPr>
      <w:r>
        <w:lastRenderedPageBreak/>
        <w:t>b) Instada la ejecución de la Sentencia por la recurrente, se ordenó la misma con el consiguiente derribo de lo ilegalmente construido, requiriéndose a la Administración condenada para la inmediata ejecución de la Sentencia. El Ayuntamiento de Piélagos solicitó la suspensión del procedimiento de ejecución al amparo de lo dispuesto en la disposición adicional sexta de la Ley 2/2001, de 25 de junio, introducida por el art. 2 de la Ley 2/2011, de 4 de abril, que prescribe la tramitación de los oportunos expedientes de responsabilidad patrimonial de la Administración, con determinación y abono de las correspondientes indemnizaciones, antes de proceder a una demolición.</w:t>
      </w:r>
    </w:p>
    <w:p w:rsidR="00BE7FB3" w:rsidRDefault="00BE7FB3" w:rsidP="00BE7FB3">
      <w:pPr>
        <w:pStyle w:val="TextoNormal"/>
      </w:pPr>
    </w:p>
    <w:p w:rsidR="00BE7FB3" w:rsidRDefault="00BE7FB3" w:rsidP="00BE7FB3">
      <w:pPr>
        <w:pStyle w:val="TextoNormal"/>
      </w:pPr>
      <w:r>
        <w:t>c) Por providencia de 29 de septiembre de 2011, el Juzgado de lo Contencioso-Administrativo núm. 1 de Santander acordó oír a las partes y al Ministerio Fiscal por el término común de diez días sobre la pertinencia de plantear cuestión de inconstitucionalidad, o sobre el fondo de la misma, respecto a la disposición adicional sexta de la Ley 2/2001, de 25 de junio, introducida por el art. 2 de la Ley 2/2011, de 4 de abril, por si pudiera concurrir “vicio de inconstitucionalidad por infracción de los arts. 149.1.6 y 149.1.18 CE”.</w:t>
      </w:r>
    </w:p>
    <w:p w:rsidR="00BE7FB3" w:rsidRDefault="00BE7FB3" w:rsidP="00BE7FB3">
      <w:pPr>
        <w:pStyle w:val="TextoNormal"/>
      </w:pPr>
    </w:p>
    <w:p w:rsidR="00BE7FB3" w:rsidRDefault="00BE7FB3" w:rsidP="00BE7FB3">
      <w:pPr>
        <w:pStyle w:val="TextoNormal"/>
      </w:pPr>
      <w:r>
        <w:t>d) Evacuado el referido trámite de alegaciones, el órgano judicial dictó Auto de 2 de noviembre de 2011 planteando la cuestión de inconstitucionalidad respecto de la disposición adicional sexta de la Ley del Parlamento de Cantabria Ley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contencioso-administrativa 29/1998, de 13 de julio. Todo ello en relación con los arts. 9.3, 24.1, 106.1, 117 y 118 del texto constitucional”.</w:t>
      </w:r>
    </w:p>
    <w:p w:rsidR="00BE7FB3" w:rsidRDefault="00BE7FB3" w:rsidP="00BE7FB3">
      <w:pPr>
        <w:pStyle w:val="TextoNormal"/>
      </w:pPr>
    </w:p>
    <w:p w:rsidR="00BE7FB3" w:rsidRDefault="00BE7FB3" w:rsidP="00BE7FB3">
      <w:pPr>
        <w:pStyle w:val="TextoNormal"/>
      </w:pPr>
      <w:r w:rsidRPr="00BE7FB3">
        <w:rPr>
          <w:rStyle w:val="NumeroAFNegritaCaracter"/>
        </w:rPr>
        <w:t>3</w:t>
      </w:r>
      <w:r>
        <w:t>. La fundamentación de la cuestión contenida en el Auto es la siguiente:</w:t>
      </w:r>
    </w:p>
    <w:p w:rsidR="00BE7FB3" w:rsidRDefault="00BE7FB3" w:rsidP="00BE7FB3">
      <w:pPr>
        <w:pStyle w:val="TextoNormal"/>
      </w:pPr>
    </w:p>
    <w:p w:rsidR="00BE7FB3" w:rsidRDefault="00BE7FB3" w:rsidP="00BE7FB3">
      <w:pPr>
        <w:pStyle w:val="TextoNormal"/>
      </w:pPr>
      <w:r>
        <w:t>Tras exponer los antecedentes del caso, en especial en relación con el procedimiento de ejecución (3-2005) de la Sentencia, inicia el Auto sus razonamientos jurídicos señalando que se solicita la suspensión de la ejecución de la Sentencia recaída en el recurso contencioso-administrativo procedimiento ordinario 181-1999 en tanto en cuanto se tramita el procedimiento de indemnización previsto en la disposición adicional sexta de la Ley 2/2001, de 25 de junio, introducida por el art. 2 de la Ley 2/2011, de 4 de abril, en relación con los procedimientos de indemnización patrimonial en materia urbanística.</w:t>
      </w:r>
    </w:p>
    <w:p w:rsidR="00BE7FB3" w:rsidRDefault="00BE7FB3" w:rsidP="00BE7FB3">
      <w:pPr>
        <w:pStyle w:val="TextoNormal"/>
      </w:pPr>
    </w:p>
    <w:p w:rsidR="00BE7FB3" w:rsidRDefault="00BE7FB3" w:rsidP="00BE7FB3">
      <w:pPr>
        <w:pStyle w:val="TextoNormal"/>
      </w:pPr>
      <w:r>
        <w:t>El órgano promotor manifiesta que ha intentado realizar una interpretación conforme a la Constitución del precepto cuestionado, en orden a determinar si en realidad su tenor se aplica únicamente al régimen de la responsabilidad patrimonial de la Administración, con lo cual no se impediría al Juez la ejecución subsidiaria por tercero no afectado por la prohibición de la norma. No obstante, y por las razones que se incluyen en la fundamentación del Auto de planteamiento de la cuestión, entiende que esa interpretación excede del tenor de la norma que impugna.</w:t>
      </w:r>
    </w:p>
    <w:p w:rsidR="00BE7FB3" w:rsidRDefault="00BE7FB3" w:rsidP="00BE7FB3">
      <w:pPr>
        <w:pStyle w:val="TextoNormal"/>
      </w:pPr>
    </w:p>
    <w:p w:rsidR="00BE7FB3" w:rsidRDefault="00BE7FB3" w:rsidP="00BE7FB3">
      <w:pPr>
        <w:pStyle w:val="TextoNormal"/>
      </w:pPr>
      <w:r>
        <w:lastRenderedPageBreak/>
        <w:t>Manifiesta igualmente compartir y asumir los razonamientos incluidos en el Auto de 27 de julio de 2011, por el que la Sala de lo Contencioso-Administrativo del Tribunal Superior de Justicia de Cantabria elevó cuestión ante este Tribunal sobre idéntica disposición, planteada en un procedimiento similar. Hechas estas precisiones, el Auto reproduce las afirmaciones del preámbulo de la Ley 2/2011, de 4 de abril, en el sentido de que la misma es resultado de la resolución del Parlamento de Cantabria de 22 de julio de 2010 en la que se instaba al Gobierno a que “propusiera las modificaciones normativas necesarias para que a los propietarios sobre los que pesan Sentencias firmes de derribo, como consecuencia de 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 se limita a permitir la sustanciación del procedimiento de forma anticipada, sujetando la eficacia de la resolución indemnizatoria a la condición suspensiva de que el propietario del inmueble afectado ponga éste a disposición de la Administración obligada a materializar el derribo”. En consecuencia proclama que “las previsiones legales no alteran en modo alguno el régimen general de responsabilidad patrimonial … Estos extremos se recogen en la normativa general, en cuyo marco se incardina la presente 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w:t>
      </w:r>
    </w:p>
    <w:p w:rsidR="00BE7FB3" w:rsidRDefault="00BE7FB3" w:rsidP="00BE7FB3">
      <w:pPr>
        <w:pStyle w:val="TextoNormal"/>
      </w:pPr>
    </w:p>
    <w:p w:rsidR="00BE7FB3" w:rsidRDefault="00BE7FB3" w:rsidP="00BE7FB3">
      <w:pPr>
        <w:pStyle w:val="TextoNormal"/>
      </w:pPr>
      <w:r>
        <w:t>Distinto es el parecer del órgano promotor de la cuestión. A su juicio,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que la Sala de lo Contencioso-Administrativo del Tribunal Superior de Justicia de Cantabria ha rechazado reclamaciones patrimoniales que se han planteado en incidentes de ejecución, criterio que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de 26 de noviembre, arts. 139 y ss.</w:t>
      </w:r>
    </w:p>
    <w:p w:rsidR="00BE7FB3" w:rsidRDefault="00BE7FB3" w:rsidP="00BE7FB3">
      <w:pPr>
        <w:pStyle w:val="TextoNormal"/>
      </w:pPr>
    </w:p>
    <w:p w:rsidR="00BE7FB3" w:rsidRDefault="00BE7FB3" w:rsidP="00BE7FB3">
      <w:pPr>
        <w:pStyle w:val="TextoNormal"/>
      </w:pPr>
      <w:r>
        <w:t>En segundo lugar, señala que la ejecución de Sentencias forma parte del derecho a la tutela judicial efectiva (art. 24.1 CE) correspondiendo el ejercicio de esta potestad jurisdiccional en exclusiva a los Juzgados y Tribunales (art. 117.3 CE), señalando la propia Constitución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permite suspensión alguna en la ejecución de Sentencias.</w:t>
      </w:r>
    </w:p>
    <w:p w:rsidR="00BE7FB3" w:rsidRDefault="00BE7FB3" w:rsidP="00BE7FB3">
      <w:pPr>
        <w:pStyle w:val="TextoNormal"/>
      </w:pPr>
    </w:p>
    <w:p w:rsidR="00BE7FB3" w:rsidRDefault="00BE7FB3" w:rsidP="00BE7FB3">
      <w:pPr>
        <w:pStyle w:val="TextoNormal"/>
      </w:pPr>
      <w:r>
        <w:lastRenderedPageBreak/>
        <w:t>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tres meses, condicionada a la puesta a disposición de la Administración del inmueble a derribar. Para el órgano cuestionante que esta previsión pretende incluir a los derribos consecuencia de resoluciones judiciales se deriva de lo dispuesto en el punto cinco de la referida disposición en cuanto dispone que “La Administración que tramite un expediente de responsabilidad patrimonial … deberá comunicar el inicio de la sustanciación de dicho expediente al órgano judicial encargado de la ejecución de la Sentencia”.</w:t>
      </w:r>
    </w:p>
    <w:p w:rsidR="00BE7FB3" w:rsidRDefault="00BE7FB3" w:rsidP="00BE7FB3">
      <w:pPr>
        <w:pStyle w:val="TextoNormal"/>
      </w:pPr>
    </w:p>
    <w:p w:rsidR="00BE7FB3" w:rsidRDefault="00BE7FB3" w:rsidP="00BE7FB3">
      <w:pPr>
        <w:pStyle w:val="TextoNormal"/>
      </w:pPr>
      <w:r>
        <w:t xml:space="preserve">Sostiene el juzgador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Pero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Máxime cuando se obliga a que la demolición sea posterior a la puesta a disposición del perjudicado del importe de la indemnización, lo que, en el supuesto de autos, supondría, de hecho, la suspensión </w:t>
      </w:r>
      <w:r w:rsidRPr="00BE7FB3">
        <w:rPr>
          <w:i/>
        </w:rPr>
        <w:t>sine die</w:t>
      </w:r>
      <w:r>
        <w:t xml:space="preserve"> ante la ausencia de recursos suficientes por parte de los Ayuntamientos responsables; insuficiencia de recursos puesta de manifiesto por el Tribunal de Cuentas en su informe de fiscalización de año 2010 y esgrimida por la propia Administración local como causa de inejecución de la sentencia.</w:t>
      </w:r>
    </w:p>
    <w:p w:rsidR="00BE7FB3" w:rsidRDefault="00BE7FB3" w:rsidP="00BE7FB3">
      <w:pPr>
        <w:pStyle w:val="TextoNormal"/>
      </w:pPr>
    </w:p>
    <w:p w:rsidR="00BE7FB3" w:rsidRDefault="00BE7FB3" w:rsidP="00BE7FB3">
      <w:pPr>
        <w:pStyle w:val="TextoNormal"/>
      </w:pPr>
      <w:r>
        <w:t>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de este incidente. Razón por la cual se considera cumplido el juicio de relevancia”. Suspensión que al dejar en manos de la Administración y de los particulares afectados la propia efectividad del cumplimiento del fallo, entra en conflicto con el art. 117.3 CE y con el art. 105.1 de la Ley 29/1998, de 13 de julio, que no prevé suspensión alguna de la ejecución.</w:t>
      </w:r>
    </w:p>
    <w:p w:rsidR="00BE7FB3" w:rsidRDefault="00BE7FB3" w:rsidP="00BE7FB3">
      <w:pPr>
        <w:pStyle w:val="TextoNormal"/>
      </w:pPr>
    </w:p>
    <w:p w:rsidR="00BE7FB3" w:rsidRDefault="00BE7FB3" w:rsidP="00BE7FB3">
      <w:pPr>
        <w:pStyle w:val="TextoNormal"/>
      </w:pPr>
      <w:r>
        <w:t xml:space="preserve">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w:t>
      </w:r>
      <w:r>
        <w:lastRenderedPageBreak/>
        <w:t>ésta por la que la Sala de lo Contencioso-Administrativo del Tribunal Superior de Justicia de Cantabria, en el curso de los distintos procedimientos de responsabilidad patrimonial que 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00BE7FB3" w:rsidRDefault="00BE7FB3" w:rsidP="00BE7FB3">
      <w:pPr>
        <w:pStyle w:val="TextoNormal"/>
      </w:pPr>
    </w:p>
    <w:p w:rsidR="00BE7FB3" w:rsidRDefault="00BE7FB3" w:rsidP="00BE7FB3">
      <w:pPr>
        <w:pStyle w:val="TextoNormal"/>
      </w:pPr>
      <w:r w:rsidRPr="00BE7FB3">
        <w:rPr>
          <w:rStyle w:val="NumeroAFNegritaCaracter"/>
        </w:rPr>
        <w:t>4</w:t>
      </w:r>
      <w:r>
        <w:t>.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Primera de este Tribunal el conocimiento de la presente cuestión. 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en el “Boletín Oficial de Cantabria”.</w:t>
      </w:r>
    </w:p>
    <w:p w:rsidR="00BE7FB3" w:rsidRDefault="00BE7FB3" w:rsidP="00BE7FB3">
      <w:pPr>
        <w:pStyle w:val="TextoNormal"/>
      </w:pPr>
    </w:p>
    <w:p w:rsidR="00BE7FB3" w:rsidRDefault="00BE7FB3" w:rsidP="00BE7FB3">
      <w:pPr>
        <w:pStyle w:val="TextoNormal"/>
      </w:pPr>
      <w:r w:rsidRPr="00BE7FB3">
        <w:rPr>
          <w:rStyle w:val="NumeroAFNegritaCaracter"/>
        </w:rPr>
        <w:t>5</w:t>
      </w:r>
      <w:r>
        <w:t>.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formuló alegaciones el día 26 de noviembre de 2012, interesando la inadmisión de la cuestión de inconstitucionalidad respecto de los apartados 1, 2, y 3 y los párrafos tercero, cuarto y sexto del apartado 4 de la disposición adicional sexta de la Ley regional 2/2001, de 25 de junio, así como la estimación de la cuestión respecto de los párrafos primero, segundo y quinto de apartado 4 y el apartado 5 de la citada disposición adicional sexta.</w:t>
      </w:r>
    </w:p>
    <w:p w:rsidR="00BE7FB3" w:rsidRDefault="00BE7FB3" w:rsidP="00BE7FB3">
      <w:pPr>
        <w:pStyle w:val="TextoNormal"/>
      </w:pPr>
    </w:p>
    <w:p w:rsidR="00BE7FB3" w:rsidRDefault="00BE7FB3" w:rsidP="00BE7FB3">
      <w:pPr>
        <w:pStyle w:val="TextoNormal"/>
      </w:pPr>
      <w:r>
        <w:t>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00BE7FB3" w:rsidRDefault="00BE7FB3" w:rsidP="00BE7FB3">
      <w:pPr>
        <w:pStyle w:val="TextoNormal"/>
      </w:pPr>
    </w:p>
    <w:p w:rsidR="00BE7FB3" w:rsidRDefault="00BE7FB3" w:rsidP="00BE7FB3">
      <w:pPr>
        <w:pStyle w:val="TextoNormal"/>
      </w:pPr>
      <w:r>
        <w:t xml:space="preserve">Afirma que el núcleo de la cuestión se encuentra en el párrafo quinto del apartado 4, en el que el legislador prohíbe la ejecución del pronunciamiento demolitorio contenido en una </w:t>
      </w:r>
      <w:r>
        <w:lastRenderedPageBreak/>
        <w:t xml:space="preserve">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w:t>
      </w:r>
      <w:r w:rsidRPr="00BE7FB3">
        <w:rPr>
          <w:i/>
        </w:rPr>
        <w:t>sine die</w:t>
      </w:r>
      <w:r>
        <w:t xml:space="preserv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00BE7FB3" w:rsidRDefault="00BE7FB3" w:rsidP="00BE7FB3">
      <w:pPr>
        <w:pStyle w:val="TextoNormal"/>
      </w:pPr>
    </w:p>
    <w:p w:rsidR="00BE7FB3" w:rsidRDefault="00BE7FB3" w:rsidP="00BE7FB3">
      <w:pPr>
        <w:pStyle w:val="TextoNormal"/>
      </w:pPr>
      <w:r>
        <w:t>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estatales. Pero este no es el caso de la norma cuestionada, puesto que el hecho generador de la responsabilidad está recogido en la legislación estatal [arts. 142 de la Ley de régimen jurídico de las Administraciones públicas y del procedimiento administrativo común, 35 d) del texto refundido de la Ley sobre régimen del suelo y ordenación urbana y 44.2 de la Ley sobre régimen del suelo y valoraciones (Ley 6/1998, de 13 de abril)] y el legislador autonómico se separa de uno de los elementos esenciales de la responsabilidad establecido en la misma, cual es el requisito de que el daño sea efectivo.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00BE7FB3" w:rsidRDefault="00BE7FB3" w:rsidP="00BE7FB3">
      <w:pPr>
        <w:pStyle w:val="TextoNormal"/>
      </w:pPr>
    </w:p>
    <w:p w:rsidR="00BE7FB3" w:rsidRDefault="00BE7FB3" w:rsidP="00BE7FB3">
      <w:pPr>
        <w:pStyle w:val="TextoNormal"/>
      </w:pPr>
      <w:r w:rsidRPr="00BE7FB3">
        <w:rPr>
          <w:rStyle w:val="NumeroAFNegritaCaracter"/>
        </w:rPr>
        <w:t>8</w:t>
      </w:r>
      <w:r>
        <w:t>. Mediante escrito presentado en el Registro General de este Tribunal el día 28 de noviembre de 2012, el Letrado de los servicios jurídicos del Gobierno de Cantabria, formuló alegaciones interesando la desestimación de la cuestión de inconstitucionalidad.</w:t>
      </w:r>
    </w:p>
    <w:p w:rsidR="00BE7FB3" w:rsidRDefault="00BE7FB3" w:rsidP="00BE7FB3">
      <w:pPr>
        <w:pStyle w:val="TextoNormal"/>
      </w:pPr>
    </w:p>
    <w:p w:rsidR="00BE7FB3" w:rsidRDefault="00BE7FB3" w:rsidP="00BE7FB3">
      <w:pPr>
        <w:pStyle w:val="TextoNormal"/>
      </w:pPr>
      <w:r>
        <w:t xml:space="preserve">Rechaza en primer lugar que la norma impugnada suponga la invasión de la competencia estatal en materia de ejecución procesal </w:t>
      </w:r>
      <w:r w:rsidRPr="00BE7FB3">
        <w:rPr>
          <w:i/>
        </w:rPr>
        <w:t>ex</w:t>
      </w:r>
      <w:r>
        <w:t xml:space="preserve">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w:t>
      </w:r>
      <w:r>
        <w:lastRenderedPageBreak/>
        <w:t>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00BE7FB3" w:rsidRDefault="00BE7FB3" w:rsidP="00BE7FB3">
      <w:pPr>
        <w:pStyle w:val="TextoNormal"/>
      </w:pPr>
    </w:p>
    <w:p w:rsidR="00BE7FB3" w:rsidRDefault="00BE7FB3" w:rsidP="00BE7FB3">
      <w:pPr>
        <w:pStyle w:val="TextoNormal"/>
      </w:pPr>
      <w:r>
        <w:t>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especialmente, especialidades procedimentales derivadas de su organización propia que tienen cobertura en el art. 24, aparados 1, 3 y 22, así como en el art. 35, apartado 3, del Estatuto de Autonomía de Cantabria.</w:t>
      </w:r>
    </w:p>
    <w:p w:rsidR="00BE7FB3" w:rsidRDefault="00BE7FB3" w:rsidP="00BE7FB3">
      <w:pPr>
        <w:pStyle w:val="TextoNormal"/>
      </w:pPr>
    </w:p>
    <w:p w:rsidR="00BE7FB3" w:rsidRDefault="00BE7FB3" w:rsidP="00BE7FB3">
      <w:pPr>
        <w:pStyle w:val="TextoNormal"/>
      </w:pPr>
      <w:r>
        <w:t>Rebate también el Gobierno de Cantabria que la norma cuestionada vulnere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w:t>
      </w:r>
    </w:p>
    <w:p w:rsidR="00BE7FB3" w:rsidRDefault="00BE7FB3" w:rsidP="00BE7FB3">
      <w:pPr>
        <w:pStyle w:val="TextoNormal"/>
      </w:pPr>
    </w:p>
    <w:p w:rsidR="00BE7FB3" w:rsidRDefault="00BE7FB3" w:rsidP="00BE7FB3">
      <w:pPr>
        <w:pStyle w:val="TextoNormal"/>
      </w:pPr>
      <w:r>
        <w:t>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00BE7FB3" w:rsidRDefault="00BE7FB3" w:rsidP="00BE7FB3">
      <w:pPr>
        <w:pStyle w:val="TextoNormal"/>
      </w:pPr>
    </w:p>
    <w:p w:rsidR="00BE7FB3" w:rsidRDefault="00BE7FB3" w:rsidP="00BE7FB3">
      <w:pPr>
        <w:pStyle w:val="TextoNormal"/>
      </w:pPr>
      <w:r w:rsidRPr="00BE7FB3">
        <w:rPr>
          <w:rStyle w:val="NumeroAFNegritaCaracter"/>
        </w:rPr>
        <w:t>9</w:t>
      </w:r>
      <w:r>
        <w:t xml:space="preserve">. Mediante escrito presentado en el Registro General de este Tribunal el día 3 de diciembre de 2012,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w:t>
      </w:r>
      <w:r>
        <w:lastRenderedPageBreak/>
        <w:t xml:space="preserve">de ningún modo la norma impugnada obliga a una suspensión </w:t>
      </w:r>
      <w:r w:rsidRPr="00BE7FB3">
        <w:rPr>
          <w:i/>
        </w:rPr>
        <w:t>sine die</w:t>
      </w:r>
      <w:r>
        <w:t>, pues el procedimiento de responsabilidad tiene una duración máxima prevista de seis meses, sin que se incida por ello en la legislación procesal.</w:t>
      </w:r>
    </w:p>
    <w:p w:rsidR="00BE7FB3" w:rsidRDefault="00BE7FB3" w:rsidP="00BE7FB3">
      <w:pPr>
        <w:pStyle w:val="TextoNormal"/>
      </w:pPr>
    </w:p>
    <w:p w:rsidR="00BE7FB3" w:rsidRDefault="00BE7FB3" w:rsidP="00BE7FB3">
      <w:pPr>
        <w:pStyle w:val="TextoNormal"/>
      </w:pPr>
      <w:r>
        <w:t>Se aduce también que los reproches de inconstitucionalidad sólo pueden entenderse referidos al párrafo sexto del apartado 4 de la disposición adicional sexta, único al que se refiere la argumentación de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00BE7FB3" w:rsidRDefault="00BE7FB3" w:rsidP="00BE7FB3">
      <w:pPr>
        <w:pStyle w:val="TextoNormal"/>
      </w:pPr>
    </w:p>
    <w:p w:rsidR="00BE7FB3" w:rsidRDefault="00BE7FB3" w:rsidP="00BE7FB3">
      <w:pPr>
        <w:pStyle w:val="TextoNormal"/>
      </w:pPr>
      <w:r>
        <w:t>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en la ordenación de las consecuencias indemnizatorias previstas en al art. 122.2 CE. Finalmente, también encontraría cobertura constitucional la norma impugnada en la potestad de establecer los procedimientos administrativos adecuados para el ejercicio de sus competencias, siempre que se respeten las reglas básicas establecidas por el Estado. En este caso la Ley del Parlamento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peculiaridades de la organización y a las necesidades de la Comunidad Autónoma.</w:t>
      </w:r>
    </w:p>
    <w:p w:rsidR="00BE7FB3" w:rsidRDefault="00BE7FB3" w:rsidP="00BE7FB3">
      <w:pPr>
        <w:pStyle w:val="TextoNormal"/>
      </w:pPr>
    </w:p>
    <w:p w:rsidR="00BE7FB3" w:rsidRDefault="00BE7FB3" w:rsidP="00BE7FB3">
      <w:pPr>
        <w:pStyle w:val="TextoNormal"/>
      </w:pPr>
      <w:r>
        <w:t>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y evaluable económicamente.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00BE7FB3" w:rsidRDefault="00BE7FB3" w:rsidP="00BE7FB3">
      <w:pPr>
        <w:pStyle w:val="TextoNormal"/>
      </w:pPr>
    </w:p>
    <w:p w:rsidR="00BE7FB3" w:rsidRDefault="00BE7FB3" w:rsidP="00BE7FB3">
      <w:pPr>
        <w:pStyle w:val="TextoNormal"/>
      </w:pPr>
      <w:r w:rsidRPr="00BE7FB3">
        <w:rPr>
          <w:rStyle w:val="NumeroAFNegritaCaracter"/>
        </w:rPr>
        <w:t>10</w:t>
      </w:r>
      <w:r>
        <w:t>. El Fiscal General del Estado formuló alegaciones mediante escrito presentado en el Registro General de este Tribunal el día 11 de diciembre de 2012. Tras detallar el curso del proceso del que esta cuestión de inconstitucionalidad dimana, recoge sucintamente los motivos en los que el órgano judicial funda la inconstitucionalidad de la norma legal, y precisa que aunque la duda de constitucionalidad se dirige formalmente contra la totalidad de las disposición adicional sexta, en realidad la duda se centra en los apartados 4 y 5 de dicha disposición.</w:t>
      </w:r>
    </w:p>
    <w:p w:rsidR="00BE7FB3" w:rsidRDefault="00BE7FB3" w:rsidP="00BE7FB3">
      <w:pPr>
        <w:pStyle w:val="TextoNormal"/>
      </w:pPr>
    </w:p>
    <w:p w:rsidR="00BE7FB3" w:rsidRDefault="00BE7FB3" w:rsidP="00BE7FB3">
      <w:pPr>
        <w:pStyle w:val="TextoNormal"/>
      </w:pPr>
      <w:r>
        <w:t xml:space="preserve">Comienza el Fiscal por señalar que sólo el párrafo 5 del apartado 4 de la disposición adicional sexta pueda entenderse relevante para la decisión judicial a adoptar, sin que, por </w:t>
      </w:r>
      <w:r>
        <w:lastRenderedPageBreak/>
        <w:t>el contrario, lo sea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Propone por ello la inadmisión parcial de la cuestión en el sentido acabado de aludir.</w:t>
      </w:r>
    </w:p>
    <w:p w:rsidR="00BE7FB3" w:rsidRDefault="00BE7FB3" w:rsidP="00BE7FB3">
      <w:pPr>
        <w:pStyle w:val="TextoNormal"/>
      </w:pPr>
    </w:p>
    <w:p w:rsidR="00BE7FB3" w:rsidRDefault="00BE7FB3" w:rsidP="00BE7FB3">
      <w:pPr>
        <w:pStyle w:val="TextoNormal"/>
      </w:pPr>
      <w:r>
        <w:t>Por lo que se refiere a las competencias autonómicas que sustentan la norma cuestionada, afirma el Fiscal que la indudable competencia exclusiva de la Comunidad Autónoma en materia de urbanismo ha de coexistir con las competencias que el Estado ostenta en virtud del art. 149.1 CE. Tampoco las competencias sobre funcionamiento de sus instituciones de autogobierno y sobre el procedimiento administrativo derivado de las especialidades de la organización propia a que se refieren los núms. 1 y 32 del art. 24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00BE7FB3" w:rsidRDefault="00BE7FB3" w:rsidP="00BE7FB3">
      <w:pPr>
        <w:pStyle w:val="TextoNormal"/>
      </w:pPr>
    </w:p>
    <w:p w:rsidR="00BE7FB3" w:rsidRDefault="00BE7FB3" w:rsidP="00BE7FB3">
      <w:pPr>
        <w:pStyle w:val="TextoNormal"/>
      </w:pPr>
      <w:r>
        <w:t xml:space="preserve">Seguidamente recuerda el Ministerio Fiscal cuales han sido los criterios seguidos por la doctrina constitucional para enjuiciar la competencia autonómica para establecer especialidades procesales </w:t>
      </w:r>
      <w:r w:rsidRPr="00BE7FB3">
        <w:rPr>
          <w:i/>
        </w:rPr>
        <w:t>ex</w:t>
      </w:r>
      <w:r>
        <w:t xml:space="preserve">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00BE7FB3" w:rsidRDefault="00BE7FB3" w:rsidP="00BE7FB3">
      <w:pPr>
        <w:pStyle w:val="TextoNormal"/>
      </w:pPr>
    </w:p>
    <w:p w:rsidR="00BE7FB3" w:rsidRDefault="00BE7FB3" w:rsidP="00BE7FB3">
      <w:pPr>
        <w:pStyle w:val="TextoNormal"/>
      </w:pPr>
      <w: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a que se haya establecido, en su caso, el importe de la indemnización y se haya puesto a disposición del perjudicado, está disponiendo la paralización —probablemente </w:t>
      </w:r>
      <w:r w:rsidRPr="00BE7FB3">
        <w:rPr>
          <w:i/>
        </w:rPr>
        <w:t>sine die</w:t>
      </w:r>
      <w:r>
        <w:t>—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Juzgado de lo Contencioso-Administrativo núm. 1 de Santander plantea cuestión de inconstitucionalidad en relación con la disposición adicional sexta de la Ley 2/2001, de 25 de junio, de ordenación territorial y del régimen urbanístico del suelo de Cantabria, introducida por el art.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t>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t>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6192-2011, por desaparición sobrevenida de su objeto.</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49" w:name="AUTO_2013_108"/>
      <w:r>
        <w:lastRenderedPageBreak/>
        <w:t>AUTO 108/2013, de 20 de mayo de 2013</w:t>
      </w:r>
    </w:p>
    <w:bookmarkEnd w:id="249"/>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ECLI:ES:TC:2013:108A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extinción de la cuestión de inconstitucionalidad 6193-2011, planteada por el Juzgado de lo Contencioso-Administrativo núm. 1 de Santander en relación con el artículo 2 de la Ley del Parlamento de Cantabria 2/2011, de 4 de abril, por la que se modifica la Ley 2/2001, de 25 de junio, de ordenación territorial y del régimen urbanístico del suelo.</w:t>
      </w:r>
    </w:p>
    <w:p w:rsidR="00BE7FB3" w:rsidRDefault="00BE7FB3" w:rsidP="00BE7FB3">
      <w:pPr>
        <w:pStyle w:val="SntesisDescriptiva"/>
      </w:pPr>
    </w:p>
    <w:p w:rsidR="00BE7FB3" w:rsidRDefault="00BE7FB3" w:rsidP="00BE7FB3">
      <w:pPr>
        <w:pStyle w:val="SntesisAnaltica"/>
      </w:pPr>
      <w:r>
        <w:t>Extinción de cuestión de inconstitucionalidad: ATC 104/2013;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Con fecha de 16 de noviembre de 2011 tuvo entrada, en el Registro General de este Tribunal, escrito del Juzgado de lo Contencioso-Administrativo núm. 1 de Santander al que se acompañan las actuaciones recaídas en el procedimiento de ejecución 337-2002 y el Auto del mismo órgano, de 4 de noviembre de 2011, por el que se plantea cuestión de inconstitucionalidad en relación con la disposición adicional sexta de la Ley del Parlamento de Cantabria 2/2001, de 25 de junio, de ordenación territorial y del régimen urbanístico del suelo de Cantabria, introducida por el artículo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que anteceden al planteamiento de la cuestión de inconstitucionalidad son los siguientes:</w:t>
      </w:r>
    </w:p>
    <w:p w:rsidR="00BE7FB3" w:rsidRDefault="00BE7FB3" w:rsidP="00BE7FB3">
      <w:pPr>
        <w:pStyle w:val="TextoNormal"/>
      </w:pPr>
    </w:p>
    <w:p w:rsidR="00BE7FB3" w:rsidRDefault="00BE7FB3" w:rsidP="00BE7FB3">
      <w:pPr>
        <w:pStyle w:val="TextoNormal"/>
      </w:pPr>
      <w:r>
        <w:t xml:space="preserve">a) Mediante Sentencia de 21 de noviembre de 2000 del mismo órgano promotor de la presente cuestión, recaída en el procedimiento ordinario 183-1999, se estimó el recurso contencioso-administrativo interpuesto por la Asociación para la defensa de los recursos naturales de Cantabria (ARCA) contra el acuerdo de la Comisión de Gobierno del Ayuntamiento de Argoños, de 17 de abril de 1997, por el que se concedió licencia para la construcción de una vivienda unifamiliar en Las Llamas I. La Sentencia disponía la anulación del acto administrativo referido así como la demolición de lo indebidamente construido a su amparo, básicamente, por contravención de lo prevenido en el art. 138 del texto refundido de la Ley del suelo, en relación con la no preservación del valor paisajístico de la zona donde se había concedido licencia de edificación. La resolución fue confirmada en apelación por Sentencia </w:t>
      </w:r>
      <w:r>
        <w:lastRenderedPageBreak/>
        <w:t>de la Sala de lo Contencioso-Administrativo del Tribunal Superior de Justicia de Cantabria, de 11 de mayo de 2001.</w:t>
      </w:r>
    </w:p>
    <w:p w:rsidR="00BE7FB3" w:rsidRDefault="00BE7FB3" w:rsidP="00BE7FB3">
      <w:pPr>
        <w:pStyle w:val="TextoNormal"/>
      </w:pPr>
    </w:p>
    <w:p w:rsidR="00BE7FB3" w:rsidRDefault="00BE7FB3" w:rsidP="00BE7FB3">
      <w:pPr>
        <w:pStyle w:val="TextoNormal"/>
      </w:pPr>
      <w:r>
        <w:t>b) Instada la ejecución de la Sentencia por la recurrente se ordenó la misma con el consiguiente derribo de lo ilegalmente construido. Mediante Auto del órgano sentenciador de 7 de noviembre de 2002 (confirmado en apelación por Sentencia de la Sala de lo Contencioso-Administrativo del Tribunal Superior de Justicia de Cantabria, de 8 de octubre de 2004) se requirió a la Administración condenada para la inmediata ejecución de la Sentencia. Sustanciado el correspondiente incidente de oposición a la ejecución, fue resuelto en sentido desestimatorio mediante Auto del mismo Juzgado, con fecha de 1 de septiembre de 2003 (confirmado en apelación mediante Sentencia de la Sala de lo Contencioso-Administrativo del Tribunal Superior de Justicia de Cantabria, de 6 de febrero de 2004). Igualmente, con la misma fecha, se dictó Auto por el mismo juzgador en el que, a requerimiento de la parte actora, se anulaba el acuerdo de la Administración demandada, de 20 de mayo de 2002, por el que se había procedido a otorgar licencia de construcción a distintas viviendas, entre ellas, la que estaba en el origen del proceso del que traía su causa la ejecución (confirmado en apelación mediante Sentencia de la Sala de lo Contencioso-Administrativo del Tribunal Superior de Justicia de Cantabria, de 4 de junio de 2004). Por último, también con la misma fecha, por parte del juzgador se dictó resolución por la que se desestimaba el incidente de imposibilidad de ejecución de la Sentencia planteado por la Administración demandada.</w:t>
      </w:r>
    </w:p>
    <w:p w:rsidR="00BE7FB3" w:rsidRDefault="00BE7FB3" w:rsidP="00BE7FB3">
      <w:pPr>
        <w:pStyle w:val="TextoNormal"/>
      </w:pPr>
    </w:p>
    <w:p w:rsidR="00BE7FB3" w:rsidRDefault="00BE7FB3" w:rsidP="00BE7FB3">
      <w:pPr>
        <w:pStyle w:val="TextoNormal"/>
      </w:pPr>
      <w:r>
        <w:t>Tras distintas vicisitudes procesales, la representación procesal del Ayuntamiento de Argoños presentó escrito solicitando la incoación del oportuno incidente al amparo del art. 109 de la Ley reguladora de la jurisdicción contencioso-administrativa con el objeto de que se suspendiera la ejecución de la Sentencia de 21 de noviembre de 2000 en tanto no se procediera a la indemnización de los propietarios de las viviendas sujetas a demolición. La solicitud traía causa de la aprobación de la Ley del Parlamento de Cantabria 2/2011, de 4 de abril, por la que se modifica la Ley 2/2001, de 25 de junio, de ordenación territorial y régimen urbanístico del suelo en Cantabria, en relación con los procedimientos de indemnización patrimonial en materia urbanística.</w:t>
      </w:r>
    </w:p>
    <w:p w:rsidR="00BE7FB3" w:rsidRDefault="00BE7FB3" w:rsidP="00BE7FB3">
      <w:pPr>
        <w:pStyle w:val="TextoNormal"/>
      </w:pPr>
    </w:p>
    <w:p w:rsidR="00BE7FB3" w:rsidRDefault="00BE7FB3" w:rsidP="00BE7FB3">
      <w:pPr>
        <w:pStyle w:val="TextoNormal"/>
      </w:pPr>
      <w:r>
        <w:t>c) Por providencia de 6 de octubre de 2011, el Juzgado de lo Contencioso-Administrativo núm. 1 de Santander acordó oír a las partes y al Ministerio Fiscal por el término común de diez días sobre la pertinencia de plantear cuestión de inconstitucionalidad, o sobre el fondo de la misma, respecto a la disposición adicional sexta de la Ley del Parlamento de Cantabria 2/2001, de 25 de junio, de ordenación territorial y del régimen urbanístico del suelo de Cantabria, introducida por el artículo 2 de la Ley de Cantabria 2/2011, de 4 de abril, por si pudiera concurrir “vicio de inconstitucionalidad por infracción de los arts. 149.1.6 y 149.1.18 CE”.</w:t>
      </w:r>
    </w:p>
    <w:p w:rsidR="00BE7FB3" w:rsidRDefault="00BE7FB3" w:rsidP="00BE7FB3">
      <w:pPr>
        <w:pStyle w:val="TextoNormal"/>
      </w:pPr>
    </w:p>
    <w:p w:rsidR="00BE7FB3" w:rsidRDefault="00BE7FB3" w:rsidP="00BE7FB3">
      <w:pPr>
        <w:pStyle w:val="TextoNormal"/>
      </w:pPr>
      <w:r>
        <w:t>d) La parte demandante se opuso al planteamiento aunque, subsidiariamente, para el caso de que la Sala considerase que la Ley 2/2011 era de aplicación al incidente de ejecución, consideró que la norma era contraria a los arts. 177.3, en relación con el art. 149.1.5 y 6; 149.1.18; 9.3 y 24 CE. El Ministerio Fiscal, por su parte, consideró pertinente el planteamiento de la misma, por cuando pudiera existir invasión competencial, por parte de la norma autonómica, en materia de responsabilidad patrimonial y de ejecución de Sentencias. La representación procesal de la propiedad a la que afectaba la ejecución de la Sentencia in</w:t>
      </w:r>
      <w:r>
        <w:lastRenderedPageBreak/>
        <w:t>teresó igualmente el planteamiento de la cuestión, por cuanto el Tribunal Superior de Justicia de la Comunidad Autónoma la ha elevado anteriormente contra la misma norma y por los mismos motivos. La representación procesal del Ayuntamiento de Argoños evacuó trámite de alegaciones sosteniendo que el órgano juzgador debía plantear la cuestión si estimaba la norma aplicable contraria a la Constitución e interesando la suspensión de la ejecución de la Sentencia que está en el origen del incidente de ejecución.</w:t>
      </w:r>
    </w:p>
    <w:p w:rsidR="00BE7FB3" w:rsidRDefault="00BE7FB3" w:rsidP="00BE7FB3">
      <w:pPr>
        <w:pStyle w:val="TextoNormal"/>
      </w:pPr>
    </w:p>
    <w:p w:rsidR="00BE7FB3" w:rsidRDefault="00BE7FB3" w:rsidP="00BE7FB3">
      <w:pPr>
        <w:pStyle w:val="TextoNormal"/>
      </w:pPr>
      <w:r>
        <w:t>e) El órgano judicial dictó Auto, de 4 de noviembre de 2011, planteando la cuestión de inconstitucionalidad en relación con: “la disposición adicional sexta de la Ley de Cantabria 2/2011, de 4 de abril, por la que se modifica la Ley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 Administrativa 29/1998, de 13 de julio. Todo ello en relación con los arts. 9.3, 24.1, 106.1, 117 y 118 del texto constitucional”.</w:t>
      </w:r>
    </w:p>
    <w:p w:rsidR="00BE7FB3" w:rsidRDefault="00BE7FB3" w:rsidP="00BE7FB3">
      <w:pPr>
        <w:pStyle w:val="TextoNormal"/>
      </w:pPr>
    </w:p>
    <w:p w:rsidR="00BE7FB3" w:rsidRDefault="00BE7FB3" w:rsidP="00BE7FB3">
      <w:pPr>
        <w:pStyle w:val="TextoNormal"/>
      </w:pPr>
      <w:r w:rsidRPr="00BE7FB3">
        <w:rPr>
          <w:rStyle w:val="NumeroAFNegritaCaracter"/>
        </w:rPr>
        <w:t>3</w:t>
      </w:r>
      <w:r>
        <w:t>. La fundamentación de la cuestión contenida en el Auto es la siguiente:</w:t>
      </w:r>
    </w:p>
    <w:p w:rsidR="00BE7FB3" w:rsidRDefault="00BE7FB3" w:rsidP="00BE7FB3">
      <w:pPr>
        <w:pStyle w:val="TextoNormal"/>
      </w:pPr>
    </w:p>
    <w:p w:rsidR="00BE7FB3" w:rsidRDefault="00BE7FB3" w:rsidP="00BE7FB3">
      <w:pPr>
        <w:pStyle w:val="TextoNormal"/>
      </w:pPr>
      <w:r>
        <w:t>Tras exponer los antecedentes del caso, en especial en relación con el procedimiento de ejecución (337-2002) de la Sentencia inicia el Auto sus razonamientos jurídicos señalando que se solita la suspensión de la ejecución de la Sentencia recaída en el recurso contencioso-administrativo procedimiento ordinario 183-1999 en tanto en cuanto se tramita el procedimiento de indemnización previsto en la disposición adicional sexta la Ley del Parlamento de Cantabria 2/2001, de 25 de junio, de ordenación territorial y del régimen urbanístico del suelo de Cantabria, introducida por el artículo 2 de la Ley de Cantabria 2/2011, de 4 de abril, en relación con los procedimientos de indemnización patrimonial en materia urbanística.</w:t>
      </w:r>
    </w:p>
    <w:p w:rsidR="00BE7FB3" w:rsidRDefault="00BE7FB3" w:rsidP="00BE7FB3">
      <w:pPr>
        <w:pStyle w:val="TextoNormal"/>
      </w:pPr>
    </w:p>
    <w:p w:rsidR="00BE7FB3" w:rsidRDefault="00BE7FB3" w:rsidP="00BE7FB3">
      <w:pPr>
        <w:pStyle w:val="TextoNormal"/>
      </w:pPr>
      <w:r>
        <w:t>El órgano promotor manifiesta que ha intentado realizar una interpretación conforme a la Constitución del precepto cuestionado, en orden a determinar si en realidad su tenor se aplica únicamente al régimen de la responsabilidad patrimonial de la Administración, con lo cual no se impediría al Juez la ejecución subsidiaria por tercero no afectado por la norma. No obstante, y por las razones que se incluyen en la fundamentación del Auto de planteamiento de la cuestión, entiende que esa interpretación excede del tenor de la norma que impugna.</w:t>
      </w:r>
    </w:p>
    <w:p w:rsidR="00BE7FB3" w:rsidRDefault="00BE7FB3" w:rsidP="00BE7FB3">
      <w:pPr>
        <w:pStyle w:val="TextoNormal"/>
      </w:pPr>
    </w:p>
    <w:p w:rsidR="00BE7FB3" w:rsidRDefault="00BE7FB3" w:rsidP="00BE7FB3">
      <w:pPr>
        <w:pStyle w:val="TextoNormal"/>
      </w:pPr>
      <w:r>
        <w:t xml:space="preserve">El órgano promotor manifiesta igualmente compartir y asumir los razonamientos incluidos en el Auto de 22 de julio de 2011, por el que la Sala de lo Contencioso-Administrativo del Tribunal Superior de Justicia de Cantabria elevó cuestión ante este Tribunal sobre idéntica disposición, planteada en un procedimiento similar. Hechas estas precisiones, el Auto reproduce las afirmaciones del preámbulo de la Ley 2/2011 en el sentido de que la misma es resultado de la resolución del Parlamento de Cantabria de 27 de julio de 2010 en la que se instaba al Gobierno a que “propusiera las modificaciones normativas necesarias para que a los propietarios sobre los que pesan Sentencias firmes de derribo, como consecuencia de </w:t>
      </w:r>
      <w:r>
        <w:lastRenderedPageBreak/>
        <w:t>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en el convencimiento de que una rápida respuesta de la Administración pública, si bien no minorará los indudables perjuicios causados a los particulares, al menos no empeorará su situación. Por ello, la norma se limita a permitir la sustanciación del procedimiento de forma anticipada, sujetando la eficacia de la resolución indemnizatoria a la condición suspensiva de que el propietario del inmueble afectado ponga éste a disposición de la Administración obligada a materializar el derribo”. En consecuencia proclama que “las previsiones legales no alteran en modo alguno el régimen general de responsabilidad patrimonial, ni prejuzgan la Administración responsable, ni desde luego inciden sobre las diversas modalidades indemnizatorias que puedan existir al margen del sistema de responsabilidad patrimonial, a través de fórmulas urbanísticas que, como transferencias de aprovechamiento, garanticen la indemnidad del patrimonio de los particulares. Estos extremos se recogen en la normativa general, en cuyo marco se incardina la presente 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w:t>
      </w:r>
    </w:p>
    <w:p w:rsidR="00BE7FB3" w:rsidRDefault="00BE7FB3" w:rsidP="00BE7FB3">
      <w:pPr>
        <w:pStyle w:val="TextoNormal"/>
      </w:pPr>
    </w:p>
    <w:p w:rsidR="00BE7FB3" w:rsidRDefault="00BE7FB3" w:rsidP="00BE7FB3">
      <w:pPr>
        <w:pStyle w:val="TextoNormal"/>
      </w:pPr>
      <w:r>
        <w:t>Distinto es el parecer del órgano promotor de la cuestión, pues estima que la encomienda del Parlamento a la que la Ley 2/2011 dice responder lo era para interferir directamente en las Sentencias de derribo de forma que éstas no pudieran llevarse a efecto sin previa indemnización a los propietarios.</w:t>
      </w:r>
    </w:p>
    <w:p w:rsidR="00BE7FB3" w:rsidRDefault="00BE7FB3" w:rsidP="00BE7FB3">
      <w:pPr>
        <w:pStyle w:val="TextoNormal"/>
      </w:pPr>
    </w:p>
    <w:p w:rsidR="00BE7FB3" w:rsidRDefault="00BE7FB3" w:rsidP="00BE7FB3">
      <w:pPr>
        <w:pStyle w:val="TextoNormal"/>
      </w:pPr>
      <w:r>
        <w:t>Ahora bien para el órgano judicial cuestionante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que la Sala de lo Contencioso-Administrativo del Tribunal Superior de Justicia de Cantabria ha rechazado, por la falta de efectividad del daño, reclamaciones patrimoniales que se han planteado en incidentes de ejecución, criterio que también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(arts. 139 y ss.).</w:t>
      </w:r>
    </w:p>
    <w:p w:rsidR="00BE7FB3" w:rsidRDefault="00BE7FB3" w:rsidP="00BE7FB3">
      <w:pPr>
        <w:pStyle w:val="TextoNormal"/>
      </w:pPr>
    </w:p>
    <w:p w:rsidR="00BE7FB3" w:rsidRDefault="00BE7FB3" w:rsidP="00BE7FB3">
      <w:pPr>
        <w:pStyle w:val="TextoNormal"/>
      </w:pPr>
      <w:r>
        <w:t xml:space="preserve">En segundo lugar señala que la ejecución de Sentencias forma parte del derecho a la tutela judicial efectiva (art. 24.1 CE) correspondiendo el ejercicio de esta potestad jurisdiccional en exclusiva a los Juzgados y Tribunales (art. 117.3 CE), señalando la misma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w:t>
      </w:r>
      <w:r>
        <w:lastRenderedPageBreak/>
        <w:t>permite suspensión alguna en la ejecución de Sentencias. 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de tres meses, condicionada a la puesta a disposición de la Administración del inmueble a derribar. Para el órgano cuestionante esta previsión pretende incluir a los derribos consecuencia de resoluciones judiciales se deriva de lo dispuesto en el punto cinco de la referida disposición en cuanto dispone que “La Administración que tramite un expediente de responsabilidad patrimonial que tenga por objeto una lesión producida como consecuencia de actuaciones administrativas declaradas ilegales que determinen el derribo de edificaciones, deberá comunicar el inicio de la sustanciación de dicho expediente al órgano judicial encargado de la ejecución de la sentencia”.</w:t>
      </w:r>
    </w:p>
    <w:p w:rsidR="00BE7FB3" w:rsidRDefault="00BE7FB3" w:rsidP="00BE7FB3">
      <w:pPr>
        <w:pStyle w:val="TextoNormal"/>
      </w:pPr>
    </w:p>
    <w:p w:rsidR="00BE7FB3" w:rsidRDefault="00BE7FB3" w:rsidP="00BE7FB3">
      <w:pPr>
        <w:pStyle w:val="TextoNormal"/>
      </w:pPr>
      <w:r>
        <w:t>El promotor de la cuestión sostiene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En concreto el Auto cita la solicitud de la Comisión de Peticiones del Parlamento Europeo al Gobierno de Cantabria en el sentido de adoptar soluciones para los afectados por los derribos considerando que era la Administración la que había cometido errores compeliendo a que se reconociera a los terceros adquirentes el derecho a recibir una indemnización justa que refleje el valor de sus bienes. A ese llamamiento responde, según el Auto, la ley cuestionada si bien, para que la Administración pueda dar cumplimiento a ese mandato se hace preciso la suspensión de la ejecución por el Tribunal pues, en caso de no accederse a ésta, la demolición procedería al procedimiento, convirtiendo en ilusorio el objetivo de la reforma.</w:t>
      </w:r>
    </w:p>
    <w:p w:rsidR="00BE7FB3" w:rsidRDefault="00BE7FB3" w:rsidP="00BE7FB3">
      <w:pPr>
        <w:pStyle w:val="TextoNormal"/>
      </w:pPr>
    </w:p>
    <w:p w:rsidR="00BE7FB3" w:rsidRDefault="00BE7FB3" w:rsidP="00BE7FB3">
      <w:pPr>
        <w:pStyle w:val="TextoNormal"/>
      </w:pPr>
      <w:r>
        <w:t xml:space="preserve">A continuación,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para la que los órganos judiciales carecen de competencias, pues no pueden establecer la suspensión de la ejecución judicial en tanto no se tramite el expediente de responsabilidad patrimonial. Máxime cuando se obliga a que la demolición sea posterior a la puesta a disposición del perjudicado del importe de la indemnización, lo que, en el supuesto de autos, supondría, de hecho, la suspensión </w:t>
      </w:r>
      <w:r w:rsidRPr="00BE7FB3">
        <w:rPr>
          <w:i/>
        </w:rPr>
        <w:t>sine die</w:t>
      </w:r>
      <w:r>
        <w:t xml:space="preserve"> ante la ausencia de recursos suficientes por parte de los Ayuntamientos responsables, insuficiencia de recursos puesta de manifiesto por el Tribunal de Cuentas en su informe de fiscalización del año 2010 y esgrimida por la propia Administración local como causa de inejecución de la Sentencia.</w:t>
      </w:r>
    </w:p>
    <w:p w:rsidR="00BE7FB3" w:rsidRDefault="00BE7FB3" w:rsidP="00BE7FB3">
      <w:pPr>
        <w:pStyle w:val="TextoNormal"/>
      </w:pPr>
    </w:p>
    <w:p w:rsidR="00BE7FB3" w:rsidRDefault="00BE7FB3" w:rsidP="00BE7FB3">
      <w:pPr>
        <w:pStyle w:val="TextoNormal"/>
      </w:pPr>
      <w:r>
        <w:t xml:space="preserve">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w:t>
      </w:r>
      <w:r>
        <w:lastRenderedPageBreak/>
        <w:t>de este incidente. Razón por la cual esta Sala considera cumplido el juicio de relevancia”. Suspensión que al dejar en manos de la Administración y de los particulares afectados la propia efectividad del cumplimiento del fallo entra así en conflicto con el art. 117.3 CE y con el art. 105.1 de la Ley 29/1998, que no prevé suspensión alguna de la ejecución.</w:t>
      </w:r>
    </w:p>
    <w:p w:rsidR="00BE7FB3" w:rsidRDefault="00BE7FB3" w:rsidP="00BE7FB3">
      <w:pPr>
        <w:pStyle w:val="TextoNormal"/>
      </w:pPr>
    </w:p>
    <w:p w:rsidR="00BE7FB3" w:rsidRDefault="00BE7FB3" w:rsidP="00BE7FB3">
      <w:pPr>
        <w:pStyle w:val="TextoNormal"/>
      </w:pPr>
      <w:r>
        <w:t>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ésta por la que la Sala de lo Contencioso-Administrativo del Tribunal Superior de Justicia de Cantabria, en el curso de los distintos procedimientos de responsabilidad patrimonial que 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00BE7FB3" w:rsidRDefault="00BE7FB3" w:rsidP="00BE7FB3">
      <w:pPr>
        <w:pStyle w:val="TextoNormal"/>
      </w:pPr>
    </w:p>
    <w:p w:rsidR="00BE7FB3" w:rsidRDefault="00BE7FB3" w:rsidP="00BE7FB3">
      <w:pPr>
        <w:pStyle w:val="TextoNormal"/>
      </w:pPr>
      <w:r w:rsidRPr="00BE7FB3">
        <w:rPr>
          <w:rStyle w:val="NumeroAFNegritaCaracter"/>
        </w:rPr>
        <w:t>4</w:t>
      </w:r>
      <w:r>
        <w:t>.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Segunda de este Tribunal el conocimiento de la presente cuestión.</w:t>
      </w:r>
    </w:p>
    <w:p w:rsidR="00BE7FB3" w:rsidRDefault="00BE7FB3" w:rsidP="00BE7FB3">
      <w:pPr>
        <w:pStyle w:val="TextoNormal"/>
      </w:pPr>
    </w:p>
    <w:p w:rsidR="00BE7FB3" w:rsidRDefault="00BE7FB3" w:rsidP="00BE7FB3">
      <w:pPr>
        <w:pStyle w:val="TextoNormal"/>
      </w:pPr>
      <w:r>
        <w:t>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en el “Boletín Oficial de Cantabria”.</w:t>
      </w:r>
    </w:p>
    <w:p w:rsidR="00BE7FB3" w:rsidRDefault="00BE7FB3" w:rsidP="00BE7FB3">
      <w:pPr>
        <w:pStyle w:val="TextoNormal"/>
      </w:pPr>
    </w:p>
    <w:p w:rsidR="00BE7FB3" w:rsidRDefault="00BE7FB3" w:rsidP="00BE7FB3">
      <w:pPr>
        <w:pStyle w:val="TextoNormal"/>
      </w:pPr>
      <w:r w:rsidRPr="00BE7FB3">
        <w:rPr>
          <w:rStyle w:val="NumeroAFNegritaCaracter"/>
        </w:rPr>
        <w:t>5</w:t>
      </w:r>
      <w:r>
        <w:t>.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7</w:t>
      </w:r>
      <w:r>
        <w:t>. El Abogado del Estado formuló alegaciones el día 26 de noviembre de 2012, interesando la inadmisión de la cuestión de inconstitucionalidad respecto de los apartados 1, 2, y 3 y los párrafos tercero, cuarto y sexto del apartado 4 de la disposición adicional sexta de la Ley regional 2/2001, de 25 de junio, así como la estimación de la cuestión respecto de los párrafos primero, segundo y quinto de apartado 4 y el apartado 5 de la citada disposición adicional sexta.</w:t>
      </w:r>
    </w:p>
    <w:p w:rsidR="00BE7FB3" w:rsidRDefault="00BE7FB3" w:rsidP="00BE7FB3">
      <w:pPr>
        <w:pStyle w:val="TextoNormal"/>
      </w:pPr>
    </w:p>
    <w:p w:rsidR="00BE7FB3" w:rsidRDefault="00BE7FB3" w:rsidP="00BE7FB3">
      <w:pPr>
        <w:pStyle w:val="TextoNormal"/>
      </w:pPr>
      <w:r>
        <w:t>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00BE7FB3" w:rsidRDefault="00BE7FB3" w:rsidP="00BE7FB3">
      <w:pPr>
        <w:pStyle w:val="TextoNormal"/>
      </w:pPr>
    </w:p>
    <w:p w:rsidR="00BE7FB3" w:rsidRDefault="00BE7FB3" w:rsidP="00BE7FB3">
      <w:pPr>
        <w:pStyle w:val="TextoNormal"/>
      </w:pPr>
      <w:r>
        <w:t xml:space="preserve">Comienza el Abogado del Estado por no cuestionar el juicio que sobre la aplicabilidad </w:t>
      </w:r>
      <w:r w:rsidRPr="00BE7FB3">
        <w:rPr>
          <w:i/>
        </w:rPr>
        <w:t>ratione temporis</w:t>
      </w:r>
      <w:r>
        <w:t xml:space="preserve"> de la disposición adicional sexta realiza el órgano judicial, pues, en la medida en que resulta tan razonable como la tesis contraria, ha de ser respetado tanto por las partes como por el Tribunal Constitucional. Seguidamente 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w:t>
      </w:r>
      <w:r w:rsidRPr="00BE7FB3">
        <w:rPr>
          <w:i/>
        </w:rPr>
        <w:t>sine die</w:t>
      </w:r>
      <w:r>
        <w:t xml:space="preserv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00BE7FB3" w:rsidRDefault="00BE7FB3" w:rsidP="00BE7FB3">
      <w:pPr>
        <w:pStyle w:val="TextoNormal"/>
      </w:pPr>
    </w:p>
    <w:p w:rsidR="00BE7FB3" w:rsidRDefault="00BE7FB3" w:rsidP="00BE7FB3">
      <w:pPr>
        <w:pStyle w:val="TextoNormal"/>
      </w:pPr>
      <w: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básicas estatales. Pero este no es el caso de la norma regional cuestionada, puesto que el hecho generador de la responsabilidad está recogido en la norma estatal general y sectorial [arts. 142 de la Ley de régimen jurídico de las Administraciones públicas y del procedimiento administrativo común, 35 d) del texto refundido de la Ley sobre régimen del suelo y ordenación urbana y 44.2 de la Ley sobre </w:t>
      </w:r>
      <w:r>
        <w:lastRenderedPageBreak/>
        <w:t xml:space="preserve">régimen del suelo y valoraciones (Ley 6/1998, de 13 de abril)], sino que la inconstitucionalidad vendría como consecuencia de separarse el legislador autonómico de la regulación de uno de los elementos esenciales de la responsabilidad establecido en la norma estatal, cual es el requisito de que el daño sea efectivo. Al permitir que se indemnice antes de que se produzca la demolición efectiva se están indemnizando daños no actuales sino futuros, separándose así de la regla establecida en el art. 139.2 de la Ley 30/1992 con carácter básico al amparo de la competencia exclusiva del estado </w:t>
      </w:r>
      <w:r w:rsidRPr="00BE7FB3">
        <w:rPr>
          <w:i/>
        </w:rPr>
        <w:t>ex</w:t>
      </w:r>
      <w:r>
        <w:t xml:space="preserve"> art. 149.1.18 CE.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00BE7FB3" w:rsidRDefault="00BE7FB3" w:rsidP="00BE7FB3">
      <w:pPr>
        <w:pStyle w:val="TextoNormal"/>
      </w:pPr>
    </w:p>
    <w:p w:rsidR="00BE7FB3" w:rsidRDefault="00BE7FB3" w:rsidP="00BE7FB3">
      <w:pPr>
        <w:pStyle w:val="TextoNormal"/>
      </w:pPr>
      <w:r w:rsidRPr="00BE7FB3">
        <w:rPr>
          <w:rStyle w:val="NumeroAFNegritaCaracter"/>
        </w:rPr>
        <w:t>8</w:t>
      </w:r>
      <w:r>
        <w:t>. Mediante escrito presentado en el Registro General de este Tribunal el día 28 de noviembre de 2012, el Letrado de los servicios jurídicos del Gobierno de Cantabria, formuló alegaciones interesando la desestimación de la cuestión de inconstitucionalidad. Tras recordar, sirviéndose de la reproducción parcial de la exposición de motivos de la ley impugnada, que la ley trata de resolver la afectación de terceros adquirentes por la ejecución de resoluciones judiciales y administrativas que lleven consigo la demolición de viviendas —problema social y jurídico que ha sido objeto de atención por las instituciones europeas—, aborda el análisis de los dos motivos de inconstitucionalidad suscitados en el Auto de planteamiento de la cuestión de inconstitucionalidad.</w:t>
      </w:r>
    </w:p>
    <w:p w:rsidR="00BE7FB3" w:rsidRDefault="00BE7FB3" w:rsidP="00BE7FB3">
      <w:pPr>
        <w:pStyle w:val="TextoNormal"/>
      </w:pPr>
    </w:p>
    <w:p w:rsidR="00BE7FB3" w:rsidRDefault="00BE7FB3" w:rsidP="00BE7FB3">
      <w:pPr>
        <w:pStyle w:val="TextoNormal"/>
      </w:pPr>
      <w:r>
        <w:t xml:space="preserve">Rechaza en primer lugar que la norma impugnada suponga la invasión de la competencia estatal en materia de ejecución procesal </w:t>
      </w:r>
      <w:r w:rsidRPr="00BE7FB3">
        <w:rPr>
          <w:i/>
        </w:rPr>
        <w:t>ex</w:t>
      </w:r>
      <w:r>
        <w:t xml:space="preserve">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00BE7FB3" w:rsidRDefault="00BE7FB3" w:rsidP="00BE7FB3">
      <w:pPr>
        <w:pStyle w:val="TextoNormal"/>
      </w:pPr>
    </w:p>
    <w:p w:rsidR="00BE7FB3" w:rsidRDefault="00BE7FB3" w:rsidP="00BE7FB3">
      <w:pPr>
        <w:pStyle w:val="TextoNormal"/>
      </w:pPr>
      <w:r>
        <w:t xml:space="preserve">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especialmente, especialidades procedimentales derivadas de su organización propia que tienen cobertura en el art. 24, apartados 1, 3 y 22, así como en el art. 35, apartado 3, del Estatuto de Autonomía de Cantabria. El órgano judicial sigue manteniendo el control de la ejecución y a él compete la adopción de las medidas tendentes a la ejecución del fallo, sin que la obligación de tramitar el expediente de responsabilidad interfiera en las facultades de aquél, sino que se </w:t>
      </w:r>
      <w:r>
        <w:lastRenderedPageBreak/>
        <w:t>orienta a un rápido resarcimiento del perjudicado por la actuación administrativa declarada ilegal.</w:t>
      </w:r>
    </w:p>
    <w:p w:rsidR="00BE7FB3" w:rsidRDefault="00BE7FB3" w:rsidP="00BE7FB3">
      <w:pPr>
        <w:pStyle w:val="TextoNormal"/>
      </w:pPr>
    </w:p>
    <w:p w:rsidR="00BE7FB3" w:rsidRDefault="00BE7FB3" w:rsidP="00BE7FB3">
      <w:pPr>
        <w:pStyle w:val="TextoNormal"/>
      </w:pPr>
      <w:r>
        <w:t>Rebate también el Gobierno de Cantabria que la norma cuestionada vulnera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 En apoyo de su tesis establece un paralelismo con la doctrina constitucional en materia de expropiación forzosa (STC 37/1987, de 26 de marzo), materia en la cual el Tribunal Constitucional ha admitido la posibilidad de que las Comunidades Autónomas establezcan nuevos supuestos expropiatorios, y la STC 164/2001, de 11 de julio, en el que también se admite la regulación autonómica de nuevos supuestos indemnizatorios en materia de responsabilidad administrativa urbanística.</w:t>
      </w:r>
    </w:p>
    <w:p w:rsidR="00BE7FB3" w:rsidRDefault="00BE7FB3" w:rsidP="00BE7FB3">
      <w:pPr>
        <w:pStyle w:val="TextoNormal"/>
      </w:pPr>
    </w:p>
    <w:p w:rsidR="00BE7FB3" w:rsidRDefault="00BE7FB3" w:rsidP="00BE7FB3">
      <w:pPr>
        <w:pStyle w:val="TextoNormal"/>
      </w:pPr>
      <w:r>
        <w:t>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00BE7FB3" w:rsidRDefault="00BE7FB3" w:rsidP="00BE7FB3">
      <w:pPr>
        <w:pStyle w:val="TextoNormal"/>
      </w:pPr>
    </w:p>
    <w:p w:rsidR="00BE7FB3" w:rsidRDefault="00BE7FB3" w:rsidP="00BE7FB3">
      <w:pPr>
        <w:pStyle w:val="TextoNormal"/>
      </w:pPr>
      <w:r w:rsidRPr="00BE7FB3">
        <w:rPr>
          <w:rStyle w:val="NumeroAFNegritaCaracter"/>
        </w:rPr>
        <w:t>9</w:t>
      </w:r>
      <w:r>
        <w:t xml:space="preserve">. Mediante escrito presentado en el Registro General el día 3 de diciembre de 2012,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w:t>
      </w:r>
      <w:r w:rsidRPr="00BE7FB3">
        <w:rPr>
          <w:i/>
        </w:rPr>
        <w:t>sine die</w:t>
      </w:r>
      <w:r>
        <w:t>, pues el procedimiento de responsabilidad tiene una duración máxima prevista de seis meses, sin que se incida por ello en la legislación procesal.</w:t>
      </w:r>
    </w:p>
    <w:p w:rsidR="00BE7FB3" w:rsidRDefault="00BE7FB3" w:rsidP="00BE7FB3">
      <w:pPr>
        <w:pStyle w:val="TextoNormal"/>
      </w:pPr>
    </w:p>
    <w:p w:rsidR="00BE7FB3" w:rsidRDefault="00BE7FB3" w:rsidP="00BE7FB3">
      <w:pPr>
        <w:pStyle w:val="TextoNormal"/>
      </w:pPr>
      <w:r>
        <w:t xml:space="preserve">Se aduce también que los reproches de inconstitucionalidad sólo pueden entenderse referidos al párrafo sexto del apartado 4 de la disposición adicional sexta, único al que se refiere la argumentación de Auto de promoción de la cuestión de inconstitucionalidad. Además la disposición cuestionada se refiere a los procedimientos de derribo de edificaciones </w:t>
      </w:r>
      <w:r>
        <w:lastRenderedPageBreak/>
        <w:t>declaradas ilegales tanto por resoluciones administrativas como judiciales, razón por la cual la cuestión de inconstitucionalidad sólo puede considerarse dirigida a éste último supuesto.</w:t>
      </w:r>
    </w:p>
    <w:p w:rsidR="00BE7FB3" w:rsidRDefault="00BE7FB3" w:rsidP="00BE7FB3">
      <w:pPr>
        <w:pStyle w:val="TextoNormal"/>
      </w:pPr>
    </w:p>
    <w:p w:rsidR="00BE7FB3" w:rsidRDefault="00BE7FB3" w:rsidP="00BE7FB3">
      <w:pPr>
        <w:pStyle w:val="TextoNormal"/>
      </w:pPr>
      <w:r>
        <w:t>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de que tratamos en la ordenación de las consecuencias indemnizatorias previstas en al art. 122.2 CE para funcionamiento normal o anormal de los servicios públicos, en este caso aquellos que han dado origen a que una Sentencia declare la ilegalidad de una edificación y sea obligadas su demolición. Finalmente, también encuentra cobertura constitucional la norma impugnada en la potestad de establecer los procedimientos admirativos adecuados para el ejercicio de sus competencias, siempre que se respeten las reglas básicas establecidas por el Estado. En este caso la Ley del Parlamento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especialidades de la Comunidad Autónoma.</w:t>
      </w:r>
    </w:p>
    <w:p w:rsidR="00BE7FB3" w:rsidRDefault="00BE7FB3" w:rsidP="00BE7FB3">
      <w:pPr>
        <w:pStyle w:val="TextoNormal"/>
      </w:pPr>
    </w:p>
    <w:p w:rsidR="00BE7FB3" w:rsidRDefault="00BE7FB3" w:rsidP="00BE7FB3">
      <w:pPr>
        <w:pStyle w:val="TextoNormal"/>
      </w:pPr>
      <w:r>
        <w:t>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evaluable económicamente ya antes del derribo material de la edificación.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00BE7FB3" w:rsidRDefault="00BE7FB3" w:rsidP="00BE7FB3">
      <w:pPr>
        <w:pStyle w:val="TextoNormal"/>
      </w:pPr>
    </w:p>
    <w:p w:rsidR="00BE7FB3" w:rsidRDefault="00BE7FB3" w:rsidP="00BE7FB3">
      <w:pPr>
        <w:pStyle w:val="TextoNormal"/>
      </w:pPr>
      <w:r w:rsidRPr="00BE7FB3">
        <w:rPr>
          <w:rStyle w:val="NumeroAFNegritaCaracter"/>
        </w:rPr>
        <w:t>10</w:t>
      </w:r>
      <w:r>
        <w:t>. El Fiscal General del Estado formuló alegaciones mediante escrito presentado el día 11 de diciembre de 2012. Tras detallar el curso del proceso del que esta cuestión de inconstitucionalidad dimana, recoge sucintamente los motivos en los que el órgano judicial funda la inconstitucionalidad de la norma legal, así como las alegaciones que en torno a esta cuestión se vertieron ante el órgano judicial proponente, y precisa que aunque la duda de constitucionalidad se dirige formalmente contra la totalidad de las disposición adicional sexta, en realidad la duda se centra en los apartados 4 y 5 de dicha disposición.</w:t>
      </w:r>
    </w:p>
    <w:p w:rsidR="00BE7FB3" w:rsidRDefault="00BE7FB3" w:rsidP="00BE7FB3">
      <w:pPr>
        <w:pStyle w:val="TextoNormal"/>
      </w:pPr>
    </w:p>
    <w:p w:rsidR="00BE7FB3" w:rsidRDefault="00BE7FB3" w:rsidP="00BE7FB3">
      <w:pPr>
        <w:pStyle w:val="TextoNormal"/>
      </w:pPr>
      <w:r>
        <w:t xml:space="preserve">Comienza el Fiscal por señalar que la duda se suscita con ocasión de tener que resolver el órgano judicial la solicitud de paralización de la ejecución de Sentencia en cuanto a la demolición de las obras ejecutadas al amparo de la licencia anulada en el proceso </w:t>
      </w:r>
      <w:r w:rsidRPr="00BE7FB3">
        <w:rPr>
          <w:i/>
        </w:rPr>
        <w:t>a quo</w:t>
      </w:r>
      <w:r>
        <w:t xml:space="preserve">. De ahí que sólo el párrafo 5 del apartado 4 de la disposición adicional sexta pueda entenderse relevante para la decisión judicial a adoptar, sin que, por el contrario, lo sean el resto de párrafos del apartado 4 ni el apartado 5 en su totalidad. Consecuentemente carece de sentido el análisis de la posible contradicción de la norma cuestionada con la competencia estatal </w:t>
      </w:r>
      <w:r>
        <w:lastRenderedPageBreak/>
        <w:t>en materia de responsabilidad patrimonial de las Administraciones públicas (art. 149.1.18 CE) en la medida en que el órgano judicial no ha de resolver sobre pretensión de responsabilidad patrimonial alguna, sino tan sólo sobre si resulta o no procedente la suspensión de la ejecución de la Sentencia en tanto se sustancia ante la Administración el aludido expediente de responsabilidad patrimonial. Propone por ello la inadmisión parcial de la cuestión en el sentido acabado de aludir.</w:t>
      </w:r>
    </w:p>
    <w:p w:rsidR="00BE7FB3" w:rsidRDefault="00BE7FB3" w:rsidP="00BE7FB3">
      <w:pPr>
        <w:pStyle w:val="TextoNormal"/>
      </w:pPr>
    </w:p>
    <w:p w:rsidR="00BE7FB3" w:rsidRDefault="00BE7FB3" w:rsidP="00BE7FB3">
      <w:pPr>
        <w:pStyle w:val="TextoNormal"/>
      </w:pPr>
      <w:r>
        <w:t>Enmarca seguidamente la cuestión suscitada en la problemática surgida como consecuencia de la edificación extensiva en la costa española, la cual ha dado lugar a diversas iniciativas europeas sobre la cuestión así como a una profusa jurisprudencia del Tribunal Supremo que niega que frente a las vulneraciones de la legalidad urbanística en la construcción de viviendas puedan sus adquirentes oponer su condición de tercero hipotecario en relación con la demolición de las viviendas. Es en este contexto en el que sitúa la norma autonómica cuestionada, pues su dictado respondió a la encomienda del Parlamento de Cantabria para que el Gobierno regional impulsase las modificaciones normativas necesarias para que quienes hubieran de soportar la demolición de sus viviendas en ejecución de resoluciones judiciales, percibieran previamente la indemnización que les correspondiese.</w:t>
      </w:r>
    </w:p>
    <w:p w:rsidR="00BE7FB3" w:rsidRDefault="00BE7FB3" w:rsidP="00BE7FB3">
      <w:pPr>
        <w:pStyle w:val="TextoNormal"/>
      </w:pPr>
    </w:p>
    <w:p w:rsidR="00BE7FB3" w:rsidRDefault="00BE7FB3" w:rsidP="00BE7FB3">
      <w:pPr>
        <w:pStyle w:val="TextoNormal"/>
      </w:pPr>
      <w:r>
        <w:t>Por lo que se refiere a las competencias autonómicas que sustentan la norma cuestionada, afirma el Fiscal que la indudable competencia exclusiva de la Comunidad Autónoma en materia de urbanismo no excluye la competencia estatal en materia de responsabilidad patrimonial de la Administración. Y tampoco las competencias sobre funcionamiento de sus instituciones de autogobierno y sobre el procedimiento administrativo derivado de las especialidades de la organización propia a que se refieren los núms. 1 y 32 del art. 2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00BE7FB3" w:rsidRDefault="00BE7FB3" w:rsidP="00BE7FB3">
      <w:pPr>
        <w:pStyle w:val="TextoNormal"/>
      </w:pPr>
    </w:p>
    <w:p w:rsidR="00BE7FB3" w:rsidRDefault="00BE7FB3" w:rsidP="00BE7FB3">
      <w:pPr>
        <w:pStyle w:val="TextoNormal"/>
      </w:pPr>
      <w:r>
        <w:t xml:space="preserve">Seguidamente recuerda el Ministerio Fiscal cuales han sido los criterios seguidos por la doctrina constitucional para enjuiciar la competencia autonómica para establecer especialidades procesales </w:t>
      </w:r>
      <w:r w:rsidRPr="00BE7FB3">
        <w:rPr>
          <w:i/>
        </w:rPr>
        <w:t>ex</w:t>
      </w:r>
      <w:r>
        <w:t xml:space="preserve">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00BE7FB3" w:rsidRDefault="00BE7FB3" w:rsidP="00BE7FB3">
      <w:pPr>
        <w:pStyle w:val="TextoNormal"/>
      </w:pPr>
    </w:p>
    <w:p w:rsidR="00BE7FB3" w:rsidRDefault="00BE7FB3" w:rsidP="00BE7FB3">
      <w:pPr>
        <w:pStyle w:val="TextoNormal"/>
      </w:pPr>
      <w:r>
        <w:lastRenderedPageBreak/>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se haya establecido, en su caso, el importe de la indemnización y se haya puesto a disposición del perjudicado, está disponiendo la paralización —probablemente </w:t>
      </w:r>
      <w:r w:rsidRPr="00BE7FB3">
        <w:rPr>
          <w:i/>
        </w:rPr>
        <w:t>sine die</w:t>
      </w:r>
      <w:r>
        <w:t>—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Juzgado de lo Contencioso-Administrativo núm. 1 de Santander plantea cuestión de inconstitucionalidad en relación con la disposición adicional sexta de la Ley del Parlamento de Cantabria 2/2001, de 25 de junio, de ordenación territorial y del régimen urbanístico del suelo de Cantabria, introducida por el artículo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t>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t>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6193-2011, por desaparición sobrevenida de su objeto.</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50" w:name="AUTO_2013_109"/>
      <w:r>
        <w:lastRenderedPageBreak/>
        <w:t>AUTO 109/2013, de 20 de mayo de 2013</w:t>
      </w:r>
    </w:p>
    <w:bookmarkEnd w:id="250"/>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ECLI:ES:TC:2013:109A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extinción de la cuestión de inconstitucionalidad 22-2012, planteada por el Juzgado de lo Contencioso-Administrativo núm. 1 de Santander en relación con el artículo 2 de la Ley del Parlamento de Cantabria 2/2011, de 4 de abril, por la que se modifica la Ley 2/2001, de 25 de junio, de ordenación territorial y del régimen urbanístico del suelo.</w:t>
      </w:r>
    </w:p>
    <w:p w:rsidR="00BE7FB3" w:rsidRDefault="00BE7FB3" w:rsidP="00BE7FB3">
      <w:pPr>
        <w:pStyle w:val="SntesisDescriptiva"/>
      </w:pPr>
    </w:p>
    <w:p w:rsidR="00BE7FB3" w:rsidRDefault="00BE7FB3" w:rsidP="00BE7FB3">
      <w:pPr>
        <w:pStyle w:val="SntesisAnaltica"/>
      </w:pPr>
      <w:r>
        <w:t>Extinción de cuestión de inconstitucionalidad: ATC 104/2013;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Con fecha de 3 de enero de 2012 tuvo entrada, en el Registro General de este Tribunal, escrito del Juzgado de lo Contencioso-Administrativo núm. 1 de Santander al que se acompañan de las actuaciones recaídas en el procedimiento de ejecución 3-2005 y del Auto del mismo órgano de 4 de noviembre de 2011, por el que se plantea cuestión de inconstitucionalidad en relación con la disposición adicional sexta de la Ley del Parlamento de Cantabria 2/2001, de 25 de junio, de ordenación territorial y del régimen urbanístico del suelo de Cantabria, introducida por el artículo 2 de la Ley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que anteceden al planteamiento de la cuestión de inconstitucionalidad son los siguientes:</w:t>
      </w:r>
    </w:p>
    <w:p w:rsidR="00BE7FB3" w:rsidRDefault="00BE7FB3" w:rsidP="00BE7FB3">
      <w:pPr>
        <w:pStyle w:val="TextoNormal"/>
      </w:pPr>
    </w:p>
    <w:p w:rsidR="00BE7FB3" w:rsidRDefault="00BE7FB3" w:rsidP="00BE7FB3">
      <w:pPr>
        <w:pStyle w:val="TextoNormal"/>
      </w:pPr>
      <w:r>
        <w:t xml:space="preserve">a) Mediante Sentencia de 9 de febrero de 2004 del mismo órgano promotor de la presente cuestión, recaída en el procedimiento ordinario 181-1999, se estimó el recurso contencioso-administrativo interpuesto por la Asociación para la defensa de los recursos naturales de cantabria (ARCA) contra el acuerdo de la Comisión de Gobierno del Ayuntamiento de Argoños, de 12 de marzo de 1997, por el que se concedió licencia para la construcción de una vivienda unifamiliar en el residencial Las Llamas. La Sentencia disponía la anulación del acto administrativo referido así como la demolición de lo indebidamente construido a su amparo, básicamente, por contravención de lo prevenido en el art. 138 del texto refundido de la Ley del suelo, en relación con la no preservación del valor paisajístico de la zona donde se había concedido licencia de edificación. La resolución fue confirmada en apelación por </w:t>
      </w:r>
      <w:r>
        <w:lastRenderedPageBreak/>
        <w:t>Sentencia de la Sala de lo Contencioso-Administrativo del Tribunal Superior de Justicia de Cantabria, de 15 de julio de 2004.</w:t>
      </w:r>
    </w:p>
    <w:p w:rsidR="00BE7FB3" w:rsidRDefault="00BE7FB3" w:rsidP="00BE7FB3">
      <w:pPr>
        <w:pStyle w:val="TextoNormal"/>
      </w:pPr>
    </w:p>
    <w:p w:rsidR="00BE7FB3" w:rsidRDefault="00BE7FB3" w:rsidP="00BE7FB3">
      <w:pPr>
        <w:pStyle w:val="TextoNormal"/>
      </w:pPr>
      <w:r>
        <w:t>b) Instada la ejecución de la Sentencia por la recurrente se ordenó la misma con el consiguiente derribo de lo ilegalmente construido. Mediante Auto del órgano sentenciador de 1 de septiembre de 2003 (confirmado en apelación por Sentencia de la Sala de lo Contencioso-Administrativo del Tribunal Superior de Justicia de Cantabria, de 6 de febrero) se requirió a la Administración condenada para la inmediata ejecución de la Sentencia. Igualmente, con la misma fecha, se dictó Auto por el mismo juzgador en el que, a requerimiento de la parte actora, se anulaba el acuerdo de la Administración demandada, de 20 de mayo de 2002, por el que se había procedido a otorgar licencia de construcción a distintas viviendas, entre ellas, la que estaba en el origen del proceso del que traía su causa la ejecución (confirmado en apelación mediante Sentencia de la Sala de lo Contencioso-Administrativo del Tribunal Superior de Justicia de Cantabria, de 4 de junio de 2004).</w:t>
      </w:r>
    </w:p>
    <w:p w:rsidR="00BE7FB3" w:rsidRDefault="00BE7FB3" w:rsidP="00BE7FB3">
      <w:pPr>
        <w:pStyle w:val="TextoNormal"/>
      </w:pPr>
    </w:p>
    <w:p w:rsidR="00BE7FB3" w:rsidRDefault="00BE7FB3" w:rsidP="00BE7FB3">
      <w:pPr>
        <w:pStyle w:val="TextoNormal"/>
      </w:pPr>
      <w:r>
        <w:t>Tras distintas vicisitudes procesales, la representación procesal del Ayuntamiento de Argoños presentó escrito solicitando la incoación del oportuno incidente al amparo del art. 109 de la Ley reguladora de la jurisdicción contencioso-administrativa (LJCA) con el objeto de que se suspendiera la ejecución de la Sentencia de 9 de febrero de 2004 en tanto no se procediera a la indemnización de los propietarios de las viviendas sujetas a demolición. La solicitud traía causa de la aprobación de la Ley del Parlamento de Cantabria 2/2011, de 4 de abril, por la que se modifica la Ley 2/2001, de 25 de junio, de ordenación territorial y régimen urbanístico del suelo en Cantabria, en relación con los procedimientos de indemnización patrimonial en materia urbanística.</w:t>
      </w:r>
    </w:p>
    <w:p w:rsidR="00BE7FB3" w:rsidRDefault="00BE7FB3" w:rsidP="00BE7FB3">
      <w:pPr>
        <w:pStyle w:val="TextoNormal"/>
      </w:pPr>
    </w:p>
    <w:p w:rsidR="00BE7FB3" w:rsidRDefault="00BE7FB3" w:rsidP="00BE7FB3">
      <w:pPr>
        <w:pStyle w:val="TextoNormal"/>
      </w:pPr>
      <w:r>
        <w:t>c) Por providencia de 7 de noviembre de 2011, el Juzgado de lo Contencioso-Administrativo núm. 1 de Santander acordó oír a las partes y al Ministerio Fiscal por el término común de diez días sobre la pertinencia de plantear cuestión de inconstitucionalidad, o sobre el fondo de la misma, respecto a la disposición adicional sexta de la Ley del Parlamento de Cantabria 2/2011, de 4 de abril, por la que se modifica la Ley 2/2001, de 25 de junio, de ordenación territorial y del régimen urbanístico del suelo de Cantabria, por si pudiera concurrir “vicio de inconstitucionalidad por infracción de los arts. 149.1.6 y 149.1.18 CE”.</w:t>
      </w:r>
    </w:p>
    <w:p w:rsidR="00BE7FB3" w:rsidRDefault="00BE7FB3" w:rsidP="00BE7FB3">
      <w:pPr>
        <w:pStyle w:val="TextoNormal"/>
      </w:pPr>
    </w:p>
    <w:p w:rsidR="00BE7FB3" w:rsidRDefault="00BE7FB3" w:rsidP="00BE7FB3">
      <w:pPr>
        <w:pStyle w:val="TextoNormal"/>
      </w:pPr>
      <w:r>
        <w:t>d) La parte demandante estimó pertinente que se elevara cuestión ante este Tribunal, toda vez que por parte del Tribunal Superior de Justicia de Cantabria se había promovido impugnación sobre la misma norma que ha resultado admitida. El Ministerio Fiscal, por su parte, consideró igualmente pertinente el planteamiento de la misma en los términos contenidos en la resolución por la que se confería trámite de alegaciones. Las representaciones procesales de la propiedad a la que afectaba la ejecución de la Sentencia y del Ayuntamiento de Argoños no evacuaron trámite de alegaciones.</w:t>
      </w:r>
    </w:p>
    <w:p w:rsidR="00BE7FB3" w:rsidRDefault="00BE7FB3" w:rsidP="00BE7FB3">
      <w:pPr>
        <w:pStyle w:val="TextoNormal"/>
      </w:pPr>
    </w:p>
    <w:p w:rsidR="00BE7FB3" w:rsidRDefault="00BE7FB3" w:rsidP="00BE7FB3">
      <w:pPr>
        <w:pStyle w:val="TextoNormal"/>
      </w:pPr>
      <w:r>
        <w:t xml:space="preserve">e) El órgano judicial dictó Auto, de 27 de diciembre de 2011, planteando la cuestión de inconstitucionalidad en relación con: “la disposición adicional sexta de la Ley de Cantabria 2/2011, de 4 de abril, por la que se modifica la Ley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w:t>
      </w:r>
      <w:r>
        <w:lastRenderedPageBreak/>
        <w:t>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 Administrativa 29/1998, de 13 de julio. Todo ello en relación con los arts. 9.3, 24.1, 106.1, 117 y 118 del texto constitucional”.</w:t>
      </w:r>
    </w:p>
    <w:p w:rsidR="00BE7FB3" w:rsidRDefault="00BE7FB3" w:rsidP="00BE7FB3">
      <w:pPr>
        <w:pStyle w:val="TextoNormal"/>
      </w:pPr>
    </w:p>
    <w:p w:rsidR="00BE7FB3" w:rsidRDefault="00BE7FB3" w:rsidP="00BE7FB3">
      <w:pPr>
        <w:pStyle w:val="TextoNormal"/>
      </w:pPr>
      <w:r w:rsidRPr="00BE7FB3">
        <w:rPr>
          <w:rStyle w:val="NumeroAFNegritaCaracter"/>
        </w:rPr>
        <w:t>3</w:t>
      </w:r>
      <w:r>
        <w:t>. La fundamentación de la cuestión contenida en el Auto es la siguiente:</w:t>
      </w:r>
    </w:p>
    <w:p w:rsidR="00BE7FB3" w:rsidRDefault="00BE7FB3" w:rsidP="00BE7FB3">
      <w:pPr>
        <w:pStyle w:val="TextoNormal"/>
      </w:pPr>
    </w:p>
    <w:p w:rsidR="00BE7FB3" w:rsidRDefault="00BE7FB3" w:rsidP="00BE7FB3">
      <w:pPr>
        <w:pStyle w:val="TextoNormal"/>
      </w:pPr>
      <w:r>
        <w:t>Tras exponer los antecedentes del caso, en especial en relación con el procedimiento de ejecución (3-2005) de la Sentencia inicia el Auto sus razonamientos jurídicos señalando que se solita la suspensión de la ejecución de la Sentencia recaída en el recurso contencioso-administrativo procedimiento ordinario 181-1999 en tanto en cuanto se tramita el procedimiento de indemnización previsto en la disposición adicional sexta de la Ley del Parlamento de Cantabria 2/2011, de 4 de abril, por la que se modifica la Ley 2/2001, de 25 de junio, de ordenación territorial y del régimen urbanístico del suelo de Cantabria , en relación con los procedimientos de indemnización patrimonial en materia urbanística.</w:t>
      </w:r>
    </w:p>
    <w:p w:rsidR="00BE7FB3" w:rsidRDefault="00BE7FB3" w:rsidP="00BE7FB3">
      <w:pPr>
        <w:pStyle w:val="TextoNormal"/>
      </w:pPr>
    </w:p>
    <w:p w:rsidR="00BE7FB3" w:rsidRDefault="00BE7FB3" w:rsidP="00BE7FB3">
      <w:pPr>
        <w:pStyle w:val="TextoNormal"/>
      </w:pPr>
      <w:r>
        <w:t>El órgano promotor manifiesta que ha intentado realizar una interpretación conforme a la Constitución del precepto cuestionado, en orden a determinar si en realidad su tenor se aplica únicamente al régimen de la responsabilidad patrimonial de la Administración, con lo cual no se impediría al Juez la ejecución subsidiaria por tercero no afectado por la norma. No obstante, y por las razones que se incluyen en la fundamentación del Auto de planteamiento de la cuestión, entiende que esa interpretación excede del tenor de la norma que impugna.</w:t>
      </w:r>
    </w:p>
    <w:p w:rsidR="00BE7FB3" w:rsidRDefault="00BE7FB3" w:rsidP="00BE7FB3">
      <w:pPr>
        <w:pStyle w:val="TextoNormal"/>
      </w:pPr>
    </w:p>
    <w:p w:rsidR="00BE7FB3" w:rsidRDefault="00BE7FB3" w:rsidP="00BE7FB3">
      <w:pPr>
        <w:pStyle w:val="TextoNormal"/>
      </w:pPr>
      <w:r>
        <w:t xml:space="preserve">El órgano promotor manifiesta igualmente compartir y asumir los razonamientos incluidos en el Auto de 27 de julio de 2011, por el que la Sala de lo Contencioso-Administrativo del Tribunal Superior de Justicia de Cantabria elevó cuestión ante este Tribunal sobre idéntica disposición, planteada en un procedimiento similar. Hechas estas precisiones, el Auto reproduce las afirmaciones del preámbulo de la Ley 2/2011 en el sentido de que la misma es resultado de la resolución del Parlamento de Cantabria de 22 de julio de 2010 en la que se instaba al Gobierno a que “propusiera las modificaciones normativas necesarias para que a los propietarios sobre los que pesan Sentencias firmes de derribo, como consecuencia de 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en el convencimiento de que una rápida respuesta de la Administración pública, si bien no minorará los indudables perjuicios causados a los particulares, al menos no empeorará su situación. Por ello, la norma se limita a permitir la sustanciación del procedimiento de forma anticipada, sujetando la eficacia de la resolución indemnizatoria a la condición suspensiva de que el propietario del inmueble afectado ponga éste a disposición de la Administración obligada a materializar el derribo”. En consecuencia proclama que “las previsiones legales no alteran en modo alguno el régimen general de responsabilidad patrimonial, ni prejuzgan la Administración responsable, ni desde luego inciden sobre las diversas modalidades indemnizatorias que puedan existir al margen del sistema de responsabilidad patrimonial, a través de fórmulas urbanísticas que, como transferencias de aprovechamiento, garanticen la indemnidad del patrimonio de los particulares. </w:t>
      </w:r>
      <w:r>
        <w:lastRenderedPageBreak/>
        <w:t>Estos extremos se recogen en la normativa general, en cuyo marco se incardina la presente 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w:t>
      </w:r>
    </w:p>
    <w:p w:rsidR="00BE7FB3" w:rsidRDefault="00BE7FB3" w:rsidP="00BE7FB3">
      <w:pPr>
        <w:pStyle w:val="TextoNormal"/>
      </w:pPr>
    </w:p>
    <w:p w:rsidR="00BE7FB3" w:rsidRDefault="00BE7FB3" w:rsidP="00BE7FB3">
      <w:pPr>
        <w:pStyle w:val="TextoNormal"/>
      </w:pPr>
      <w:r>
        <w:t>Distinto es el parecer del órgano promotor de la cuestión, pues estima que la encomienda del Parlamento a la que la Ley 2/2011 dice responder lo era para interferir directamente en las Sentencias de derribo de forma que éstas no pudieran llevarse a efecto sin previa indemnización a los propietarios.</w:t>
      </w:r>
    </w:p>
    <w:p w:rsidR="00BE7FB3" w:rsidRDefault="00BE7FB3" w:rsidP="00BE7FB3">
      <w:pPr>
        <w:pStyle w:val="TextoNormal"/>
      </w:pPr>
    </w:p>
    <w:p w:rsidR="00BE7FB3" w:rsidRDefault="00BE7FB3" w:rsidP="00BE7FB3">
      <w:pPr>
        <w:pStyle w:val="TextoNormal"/>
      </w:pPr>
      <w:r>
        <w:t>Ahora bien para el órgano judicial cuestionante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que la Sala de lo Contencioso-Administrativo del Tribunal Superior de Justicia de Cantabria ha rechazado, por la falta de efectividad del daño, reclamaciones patrimoniales que se han planteado en incidentes de ejecución, criterio que también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(arts. 139 y ss.).</w:t>
      </w:r>
    </w:p>
    <w:p w:rsidR="00BE7FB3" w:rsidRDefault="00BE7FB3" w:rsidP="00BE7FB3">
      <w:pPr>
        <w:pStyle w:val="TextoNormal"/>
      </w:pPr>
    </w:p>
    <w:p w:rsidR="00BE7FB3" w:rsidRDefault="00BE7FB3" w:rsidP="00BE7FB3">
      <w:pPr>
        <w:pStyle w:val="TextoNormal"/>
      </w:pPr>
      <w:r>
        <w:t>En segundo lugar señala que la ejecución de Sentencias forma parte del derecho a la tutela judicial efectiva (art. 24.1 CE) correspondiendo el ejercicio de esta potestad jurisdiccional en exclusiva a los Juzgados y Tribunales (art. 117.3 CE), señalando la misma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permite suspensión alguna en la ejecución de Sentencias. 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tres meses, condicionada a la puesta a disposición de la Administración del inmueble a derribar. Para el órgano cuestionante esta previsión pretende incluir a los derribos consecuencia de resoluciones judiciales se deriva de lo dispuesto en el punto cinco de la referida disposición en cuanto dispone que “La Administración que tramite un expediente de responsabilidad patrimonial que tenga por objeto una lesión producida como consecuencia de actuaciones administrativas declaradas ilegales que determinen el derribo de edificaciones, deberá comunicar el inicio de la sustanciación de dicho expediente al órgano judicial encargado de la ejecución de la Sentencia”.</w:t>
      </w:r>
    </w:p>
    <w:p w:rsidR="00BE7FB3" w:rsidRDefault="00BE7FB3" w:rsidP="00BE7FB3">
      <w:pPr>
        <w:pStyle w:val="TextoNormal"/>
      </w:pPr>
    </w:p>
    <w:p w:rsidR="00BE7FB3" w:rsidRDefault="00BE7FB3" w:rsidP="00BE7FB3">
      <w:pPr>
        <w:pStyle w:val="TextoNormal"/>
      </w:pPr>
      <w:r>
        <w:t>El promotor de la cuestión sostiene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En concreto el Auto cita la solicitud de la Comisión de Peticiones del Parlamento Europeo al Gobierno de Cantabria en el sentido de adoptar soluciones para los afectados por los derribos considerando que era la Administración la que había cometido errores compeliendo a que se reconociera a los terceros adquirentes el derecho a recibir una indemnización justa que refleje el valor de sus bienes. A ese llamamiento responde, según el Auto, la ley cuestionada si bien, para que la Administración pueda dar cumplimiento a ese mandato se hace preciso la suspensión de la ejecución por el Tribunal pues, en caso de no accederse a ésta, la demolición procedería al procedimiento, convirtiendo en ilusorio el objetivo de la reforma.</w:t>
      </w:r>
    </w:p>
    <w:p w:rsidR="00BE7FB3" w:rsidRDefault="00BE7FB3" w:rsidP="00BE7FB3">
      <w:pPr>
        <w:pStyle w:val="TextoNormal"/>
      </w:pPr>
    </w:p>
    <w:p w:rsidR="00BE7FB3" w:rsidRDefault="00BE7FB3" w:rsidP="00BE7FB3">
      <w:pPr>
        <w:pStyle w:val="TextoNormal"/>
      </w:pPr>
      <w:r>
        <w:t xml:space="preserve">A continuación,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para la que los órganos judiciales carecen de competencias, pues no pueden establecer la suspensión de la ejecución judicial en tanto no se tramite el expediente de responsabilidad patrimonial. Máxime cuando se obliga a que la demolición sea posterior a la puesta a disposición del perjudicado del importe de la indemnización, lo que, en el supuesto de autos, supondría, de hecho, la suspensión </w:t>
      </w:r>
      <w:r w:rsidRPr="00BE7FB3">
        <w:rPr>
          <w:i/>
        </w:rPr>
        <w:t>sine die</w:t>
      </w:r>
      <w:r>
        <w:t xml:space="preserve"> ante la ausencia de recursos suficientes por parte de los ayuntamientos responsables, insuficiencia de recursos puesta de manifiesto por el Tribunal de Cuentas en su informe de fiscalización de año 2010 y esgrimida por la propia Administración local como causa de inejecución de la sentencia.</w:t>
      </w:r>
    </w:p>
    <w:p w:rsidR="00BE7FB3" w:rsidRDefault="00BE7FB3" w:rsidP="00BE7FB3">
      <w:pPr>
        <w:pStyle w:val="TextoNormal"/>
      </w:pPr>
    </w:p>
    <w:p w:rsidR="00BE7FB3" w:rsidRDefault="00BE7FB3" w:rsidP="00BE7FB3">
      <w:pPr>
        <w:pStyle w:val="TextoNormal"/>
      </w:pPr>
      <w:r>
        <w:t>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de este incidente. Razón por la cual esta Sala considera cumplido el juicio de relevancia”. Suspensión que al dejar en manos de la Administración y de los particulares afectados la propia efectividad del cumplimiento del fallo entra así en conflicto con el art. 117.3 CE y con el art. 105.1 de la Ley 29/1998, que no prevé suspensión alguna de la ejecución.</w:t>
      </w:r>
    </w:p>
    <w:p w:rsidR="00BE7FB3" w:rsidRDefault="00BE7FB3" w:rsidP="00BE7FB3">
      <w:pPr>
        <w:pStyle w:val="TextoNormal"/>
      </w:pPr>
    </w:p>
    <w:p w:rsidR="00BE7FB3" w:rsidRDefault="00BE7FB3" w:rsidP="00BE7FB3">
      <w:pPr>
        <w:pStyle w:val="TextoNormal"/>
      </w:pPr>
      <w:r>
        <w:t xml:space="preserve">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ésta por la que la Sala de lo Contencioso-Administrativo del Tribunal Superior de Justicia </w:t>
      </w:r>
      <w:r>
        <w:lastRenderedPageBreak/>
        <w:t>de Cantabria, en el curso de los distintos procedimientos de responsabilidad patrimonial que 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00BE7FB3" w:rsidRDefault="00BE7FB3" w:rsidP="00BE7FB3">
      <w:pPr>
        <w:pStyle w:val="TextoNormal"/>
      </w:pPr>
    </w:p>
    <w:p w:rsidR="00BE7FB3" w:rsidRDefault="00BE7FB3" w:rsidP="00BE7FB3">
      <w:pPr>
        <w:pStyle w:val="TextoNormal"/>
      </w:pPr>
      <w:r w:rsidRPr="00BE7FB3">
        <w:rPr>
          <w:rStyle w:val="NumeroAFNegritaCaracter"/>
        </w:rPr>
        <w:t>4</w:t>
      </w:r>
      <w:r>
        <w:t>.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Segunda de este Tribunal el conocimiento de la presente cuestión. 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en el “Boletín Oficial de Cantabria”.</w:t>
      </w:r>
    </w:p>
    <w:p w:rsidR="00BE7FB3" w:rsidRDefault="00BE7FB3" w:rsidP="00BE7FB3">
      <w:pPr>
        <w:pStyle w:val="TextoNormal"/>
      </w:pPr>
    </w:p>
    <w:p w:rsidR="00BE7FB3" w:rsidRDefault="00BE7FB3" w:rsidP="00BE7FB3">
      <w:pPr>
        <w:pStyle w:val="TextoNormal"/>
      </w:pPr>
      <w:r w:rsidRPr="00BE7FB3">
        <w:rPr>
          <w:rStyle w:val="NumeroAFNegritaCaracter"/>
        </w:rPr>
        <w:t>5</w:t>
      </w:r>
      <w:r>
        <w:t>.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formuló alegaciones el día 26 de noviembre de 2012, interesando la inadmisión de la cuestión de inconstitucionalidad respecto de los apartados 1, 2, y 3 y los párrafos tercero, cuarto y sexto del apartado 4 de la disposición adicional sexta de la Ley regional 2/2011, de 25 de junio, así como la estimación de la cuestión respecto de los párrafos primero, segundo y quinto de apartado 4 y el apartado 5 de la citada disposición adicional sexta.</w:t>
      </w:r>
    </w:p>
    <w:p w:rsidR="00BE7FB3" w:rsidRDefault="00BE7FB3" w:rsidP="00BE7FB3">
      <w:pPr>
        <w:pStyle w:val="TextoNormal"/>
      </w:pPr>
    </w:p>
    <w:p w:rsidR="00BE7FB3" w:rsidRDefault="00BE7FB3" w:rsidP="00BE7FB3">
      <w:pPr>
        <w:pStyle w:val="TextoNormal"/>
      </w:pPr>
      <w:r>
        <w:t>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00BE7FB3" w:rsidRDefault="00BE7FB3" w:rsidP="00BE7FB3">
      <w:pPr>
        <w:pStyle w:val="TextoNormal"/>
      </w:pPr>
    </w:p>
    <w:p w:rsidR="00BE7FB3" w:rsidRDefault="00BE7FB3" w:rsidP="00BE7FB3">
      <w:pPr>
        <w:pStyle w:val="TextoNormal"/>
      </w:pPr>
      <w:r>
        <w:t xml:space="preserve">Comienza el Abogado del Estado por no cuestionar el juicio que sobre la aplicabilidad </w:t>
      </w:r>
      <w:r w:rsidRPr="00BE7FB3">
        <w:rPr>
          <w:i/>
        </w:rPr>
        <w:t>ratione temporis</w:t>
      </w:r>
      <w:r>
        <w:t xml:space="preserve"> de la disposición adicional sexta realiza el órgano judicial, pues, en la medida en que resulta tan razonable como la tesis contraria, ha de ser respetado tanto por las </w:t>
      </w:r>
      <w:r>
        <w:lastRenderedPageBreak/>
        <w:t xml:space="preserve">partes como por el Tribunal Constitucional. Seguidamente 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w:t>
      </w:r>
      <w:r w:rsidRPr="00BE7FB3">
        <w:rPr>
          <w:i/>
        </w:rPr>
        <w:t>sine die</w:t>
      </w:r>
      <w:r>
        <w:t xml:space="preserv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00BE7FB3" w:rsidRDefault="00BE7FB3" w:rsidP="00BE7FB3">
      <w:pPr>
        <w:pStyle w:val="TextoNormal"/>
      </w:pPr>
    </w:p>
    <w:p w:rsidR="00BE7FB3" w:rsidRDefault="00BE7FB3" w:rsidP="00BE7FB3">
      <w:pPr>
        <w:pStyle w:val="TextoNormal"/>
      </w:pPr>
      <w: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básicas estatales. Pero este no es el caso de la norma regional cuestionada, puesto que el hecho generador de la responsabilidad está recogido en la norma estatal general y sectorial [arts. 142 de la Ley de régimen jurídico de las Administraciones públicas y del procedimiento administrativo común, 35 d) del texto refundido de la Ley sobre régimen del suelo y ordenación urbana y 44.2 de la Ley sobre régimen del suelo y valoraciones (Ley 6/1998, de 13 de abril)], sino que la inconstitucionalidad vendría como consecuencia de separarse el legislador autonómico de la regulación de uno de los elementos esenciales de la responsabilidad establecido en la norma estatal, cual es el requisito de que el daño sea efectivo. Al permitir que se indemnice antes de que se produzca la demolición efectiva se están indemnizando daños no actuales sino futuros, separándose así de la regla establecida en el art. 139.2 de la Ley 30/1992 con carácter básico al amparo de la competencia exclusiva del estado </w:t>
      </w:r>
      <w:r w:rsidRPr="00BE7FB3">
        <w:rPr>
          <w:i/>
        </w:rPr>
        <w:t>ex</w:t>
      </w:r>
      <w:r>
        <w:t xml:space="preserve"> art. 149.1.18 CE.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00BE7FB3" w:rsidRDefault="00BE7FB3" w:rsidP="00BE7FB3">
      <w:pPr>
        <w:pStyle w:val="TextoNormal"/>
      </w:pPr>
    </w:p>
    <w:p w:rsidR="00BE7FB3" w:rsidRDefault="00BE7FB3" w:rsidP="00BE7FB3">
      <w:pPr>
        <w:pStyle w:val="TextoNormal"/>
      </w:pPr>
      <w:r w:rsidRPr="00BE7FB3">
        <w:rPr>
          <w:rStyle w:val="NumeroAFNegritaCaracter"/>
        </w:rPr>
        <w:t>8</w:t>
      </w:r>
      <w:r>
        <w:t>. Mediante escrito presentado en el Registro General de este Tribunal el día 28 de noviembre de 2012, el Letrado de los Servicios Jurídicos del Gobierno de Cantabria, formuló alegaciones interesando la desestimación de la cuestión de inconstitucionalidad. Tras recordar, sirviéndose de la reproducción parcial de la exposición de motivos de la ley impugnada, que la ley trata de resolver la afectación de terceros adquirentes por la ejecución de resolu</w:t>
      </w:r>
      <w:r>
        <w:lastRenderedPageBreak/>
        <w:t>ciones judiciales y administrativas que lleven consigo la demolición de viviendas —problema social y jurídico que ha sido objeto de atención por las instituciones europeas—, aborda el análisis de los dos motivos de inconstitucionalidad suscitados en el Auto de planteamiento de la cuestión de inconstitucionalidad.</w:t>
      </w:r>
    </w:p>
    <w:p w:rsidR="00BE7FB3" w:rsidRDefault="00BE7FB3" w:rsidP="00BE7FB3">
      <w:pPr>
        <w:pStyle w:val="TextoNormal"/>
      </w:pPr>
    </w:p>
    <w:p w:rsidR="00BE7FB3" w:rsidRDefault="00BE7FB3" w:rsidP="00BE7FB3">
      <w:pPr>
        <w:pStyle w:val="TextoNormal"/>
      </w:pPr>
      <w:r>
        <w:t xml:space="preserve">Rechaza en primer lugar que la norma impugnada suponga la invasión de la competencia estatal en materia de ejecución procesal </w:t>
      </w:r>
      <w:r w:rsidRPr="00BE7FB3">
        <w:rPr>
          <w:i/>
        </w:rPr>
        <w:t>ex</w:t>
      </w:r>
      <w:r>
        <w:t xml:space="preserve">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00BE7FB3" w:rsidRDefault="00BE7FB3" w:rsidP="00BE7FB3">
      <w:pPr>
        <w:pStyle w:val="TextoNormal"/>
      </w:pPr>
    </w:p>
    <w:p w:rsidR="00BE7FB3" w:rsidRDefault="00BE7FB3" w:rsidP="00BE7FB3">
      <w:pPr>
        <w:pStyle w:val="TextoNormal"/>
      </w:pPr>
      <w:r>
        <w:t>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especialmente, especialidades procedimentales derivadas de su organización propia que tienen cobertura en el art. 24, aparados 1, 3 y 22, así como en el art. 35, apartado 3, del Estatuto de Autonomía de Cantabria. El órgano judicial sigue manteniendo el control de la ejecución y a él compete la adopción de las medidas tendentes a la ejecución del fallo, sin que la obligación de tramitar el expediente de responsabilidad interfiera en las facultades de aquél, sino que se orienta a un rápido resarcimiento del perjudicado por la actuación administrativa declarada ilegal.</w:t>
      </w:r>
    </w:p>
    <w:p w:rsidR="00BE7FB3" w:rsidRDefault="00BE7FB3" w:rsidP="00BE7FB3">
      <w:pPr>
        <w:pStyle w:val="TextoNormal"/>
      </w:pPr>
    </w:p>
    <w:p w:rsidR="00BE7FB3" w:rsidRDefault="00BE7FB3" w:rsidP="00BE7FB3">
      <w:pPr>
        <w:pStyle w:val="TextoNormal"/>
      </w:pPr>
      <w:r>
        <w:t>Rebate también el Gobierno de Cantabria que la norma cuestionada vulnera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 En apoyo de su tesis establece un paralelismo con la doctrina constitucional en materia de expropiación forzosa (STC 37/1987, de 26 de marzo), materia en la cual el Tribunal Constitucional ha admitido la posibilidad de que las Comunidades Autónomas establezcan nuevos supuestos expropiatorios, y la STC 164/2001, de 11 de julio, en el que también se admite la regulación autonómica de nuevos supuestos indemnizatorios en materia de responsabilidad administrativa urbanística.</w:t>
      </w:r>
    </w:p>
    <w:p w:rsidR="00BE7FB3" w:rsidRDefault="00BE7FB3" w:rsidP="00BE7FB3">
      <w:pPr>
        <w:pStyle w:val="TextoNormal"/>
      </w:pPr>
    </w:p>
    <w:p w:rsidR="00BE7FB3" w:rsidRDefault="00BE7FB3" w:rsidP="00BE7FB3">
      <w:pPr>
        <w:pStyle w:val="TextoNormal"/>
      </w:pPr>
      <w:r>
        <w:lastRenderedPageBreak/>
        <w:t>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00BE7FB3" w:rsidRDefault="00BE7FB3" w:rsidP="00BE7FB3">
      <w:pPr>
        <w:pStyle w:val="TextoNormal"/>
      </w:pPr>
    </w:p>
    <w:p w:rsidR="00BE7FB3" w:rsidRDefault="00BE7FB3" w:rsidP="00BE7FB3">
      <w:pPr>
        <w:pStyle w:val="TextoNormal"/>
      </w:pPr>
      <w:r w:rsidRPr="00BE7FB3">
        <w:rPr>
          <w:rStyle w:val="NumeroAFNegritaCaracter"/>
        </w:rPr>
        <w:t>9</w:t>
      </w:r>
      <w:r>
        <w:t xml:space="preserve">. Mediante escrito presentado en el Registro General el día 3 de diciembre de 2012,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w:t>
      </w:r>
      <w:r w:rsidRPr="00BE7FB3">
        <w:rPr>
          <w:i/>
        </w:rPr>
        <w:t>sine die</w:t>
      </w:r>
      <w:r>
        <w:t>, pues el procedimiento de responsabilidad tiene una duración máxima prevista de seis meses, sin que se incida por ello en la legislación procesal.</w:t>
      </w:r>
    </w:p>
    <w:p w:rsidR="00BE7FB3" w:rsidRDefault="00BE7FB3" w:rsidP="00BE7FB3">
      <w:pPr>
        <w:pStyle w:val="TextoNormal"/>
      </w:pPr>
    </w:p>
    <w:p w:rsidR="00BE7FB3" w:rsidRDefault="00BE7FB3" w:rsidP="00BE7FB3">
      <w:pPr>
        <w:pStyle w:val="TextoNormal"/>
      </w:pPr>
      <w:r>
        <w:t>Se aduce también que los reproches de inconstitucionalidad sólo pueden entenderse referidos al párrafo sexto del apartado 4 de la disposición adicional sexta, único al que se refiere la argumentación del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00BE7FB3" w:rsidRDefault="00BE7FB3" w:rsidP="00BE7FB3">
      <w:pPr>
        <w:pStyle w:val="TextoNormal"/>
      </w:pPr>
    </w:p>
    <w:p w:rsidR="00BE7FB3" w:rsidRDefault="00BE7FB3" w:rsidP="00BE7FB3">
      <w:pPr>
        <w:pStyle w:val="TextoNormal"/>
      </w:pPr>
      <w:r>
        <w:t xml:space="preserve">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de que tratamos en la ordenación de las consecuencias indemnizatorias previstas en al art. 122.2 CE para funcionamiento normal o anormal de los servicios públicos, en este caso aquellos que han dado origen a que una Sentencia declare la ilegalidad de una edificación y sea obligadas su demolición. Finalmente, también encuentra cobertura constitucional la norma impugnada en la potestad de establecer los procedimientos admirativos adecuados para el ejercicio de sus competencias, siempre que se respeten las reglas básicas establecidas por el Estado. En este caso la Ley de Cantabria ha incorporado una norma al Ordenamiento jurídico dentro del marco establecido por la legislación administrativa estatal, y lo ha hecho para permitir el abono de una indemnización con </w:t>
      </w:r>
      <w:r>
        <w:lastRenderedPageBreak/>
        <w:t>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especialidades de la Comunidad Autónoma.</w:t>
      </w:r>
    </w:p>
    <w:p w:rsidR="00BE7FB3" w:rsidRDefault="00BE7FB3" w:rsidP="00BE7FB3">
      <w:pPr>
        <w:pStyle w:val="TextoNormal"/>
      </w:pPr>
    </w:p>
    <w:p w:rsidR="00BE7FB3" w:rsidRDefault="00BE7FB3" w:rsidP="00BE7FB3">
      <w:pPr>
        <w:pStyle w:val="TextoNormal"/>
      </w:pPr>
      <w:r>
        <w:t>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evaluable económicamente ya antes del derribo material de la edificación.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00BE7FB3" w:rsidRDefault="00BE7FB3" w:rsidP="00BE7FB3">
      <w:pPr>
        <w:pStyle w:val="TextoNormal"/>
      </w:pPr>
    </w:p>
    <w:p w:rsidR="00BE7FB3" w:rsidRDefault="00BE7FB3" w:rsidP="00BE7FB3">
      <w:pPr>
        <w:pStyle w:val="TextoNormal"/>
      </w:pPr>
      <w:r w:rsidRPr="00BE7FB3">
        <w:rPr>
          <w:rStyle w:val="NumeroAFNegritaCaracter"/>
        </w:rPr>
        <w:t>10</w:t>
      </w:r>
      <w:r>
        <w:t>. El Fiscal General del Estado formuló alegaciones mediante escrito presentado el día 14 de diciembre de 2012. Tras detallar el curso del proceso del que esta cuestión de inconstitucionalidad dimana, recoge sucintamente los motivos en los que el órgano judicial funda la inconstitucionalidad de la norma legal, así como las alegaciones que en torno a esta cuestión se vertieron ante el órgano judicial proponente, y precisa que aunque la duda de constitucionalidad se dirige formalmente contra la totalidad de las disposición adicional sexta, en realidad la duda se centra en los apartados 4 y 5 de dicha disposición.</w:t>
      </w:r>
    </w:p>
    <w:p w:rsidR="00BE7FB3" w:rsidRDefault="00BE7FB3" w:rsidP="00BE7FB3">
      <w:pPr>
        <w:pStyle w:val="TextoNormal"/>
      </w:pPr>
    </w:p>
    <w:p w:rsidR="00BE7FB3" w:rsidRDefault="00BE7FB3" w:rsidP="00BE7FB3">
      <w:pPr>
        <w:pStyle w:val="TextoNormal"/>
      </w:pPr>
      <w:r>
        <w:t>Comienza el Fiscal por señalar que la duda se suscita con ocasión de tener que resolver el órgano judicial la solicitud de paralización de la ejecución de Sentencia en cuanto a la demolición de las obras ejecutadas al amparo de la licencia anulada en el proceso a quo. De ahí que sólo el párrafo 5 del apartado 4 de la disposición adicional sexta pueda entenderse relevante para la decisión judicial a adoptar, sin que, por el contrario, lo sean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sino tan sólo sobre si resulta o no procedente la suspensión de la ejecución de la Sentencia en tanto se sustancia ante la Administración el aludido expediente de responsabilidad patrimonial. Propone por ello la inadmisión parcial de la cuestión en el sentido acabado de aludir.</w:t>
      </w:r>
    </w:p>
    <w:p w:rsidR="00BE7FB3" w:rsidRDefault="00BE7FB3" w:rsidP="00BE7FB3">
      <w:pPr>
        <w:pStyle w:val="TextoNormal"/>
      </w:pPr>
    </w:p>
    <w:p w:rsidR="00BE7FB3" w:rsidRDefault="00BE7FB3" w:rsidP="00BE7FB3">
      <w:pPr>
        <w:pStyle w:val="TextoNormal"/>
      </w:pPr>
      <w:r>
        <w:t xml:space="preserve">Enmarca seguidamente la cuestión suscitada en la problemática surgida como consecuencia de la edificación extensiva en la costa española, la cual ha dado lugar a diversas iniciativas europeas sobre la cuestión así como a una profusa jurisprudencia del Tribunal Supremo que niega que frente a las vulneraciones de la legalidad urbanística en la construcción de viviendas puedan sus adquirentes oponer su condición de tercero hipotecario en relación con la demolición de las viviendas. Es en este contexto en el que sitúa la norma autonómica cuestionada, pues su dictado respondió a la encomienda del Parlamento de Cantabria para que el Gobierno regional impulsase las modificaciones normativas necesarias </w:t>
      </w:r>
      <w:r>
        <w:lastRenderedPageBreak/>
        <w:t>para que quienes hubieran de soportar la demolición de sus viviendas en ejecución de resoluciones judiciales, percibieran previamente la indemnización que les correspondiese.</w:t>
      </w:r>
    </w:p>
    <w:p w:rsidR="00BE7FB3" w:rsidRDefault="00BE7FB3" w:rsidP="00BE7FB3">
      <w:pPr>
        <w:pStyle w:val="TextoNormal"/>
      </w:pPr>
    </w:p>
    <w:p w:rsidR="00BE7FB3" w:rsidRDefault="00BE7FB3" w:rsidP="00BE7FB3">
      <w:pPr>
        <w:pStyle w:val="TextoNormal"/>
      </w:pPr>
      <w:r>
        <w:t>Por lo que se refiere a las competencias autonómicas que sustentan la norma cuestionada, afirma el Fiscal que la indudable competencia exclusiva de la Comunidad Autónoma en materia de urbanismo no excluye la competencia estatal en materia de responsabilidad patrimonial de la Administración. Y tampoco las competencias sobre funcionamiento de sus instituciones de autogobierno y sobre el procedimiento administrativo derivado de las especialidades de la organización propia a que se refieren los núms. 1 y 32 del art. 2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00BE7FB3" w:rsidRDefault="00BE7FB3" w:rsidP="00BE7FB3">
      <w:pPr>
        <w:pStyle w:val="TextoNormal"/>
      </w:pPr>
    </w:p>
    <w:p w:rsidR="00BE7FB3" w:rsidRDefault="00BE7FB3" w:rsidP="00BE7FB3">
      <w:pPr>
        <w:pStyle w:val="TextoNormal"/>
      </w:pPr>
      <w:r>
        <w:t xml:space="preserve">Seguidamente recuerda el Ministerio Fiscal cuales han sido los criterios seguidos por la doctrina constitucional para enjuiciar la competencia autonómica para establecer especialidades procesales </w:t>
      </w:r>
      <w:r w:rsidRPr="00BE7FB3">
        <w:rPr>
          <w:i/>
        </w:rPr>
        <w:t>ex</w:t>
      </w:r>
      <w:r>
        <w:t xml:space="preserve">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00BE7FB3" w:rsidRDefault="00BE7FB3" w:rsidP="00BE7FB3">
      <w:pPr>
        <w:pStyle w:val="TextoNormal"/>
      </w:pPr>
    </w:p>
    <w:p w:rsidR="00BE7FB3" w:rsidRDefault="00BE7FB3" w:rsidP="00BE7FB3">
      <w:pPr>
        <w:pStyle w:val="TextoNormal"/>
      </w:pPr>
      <w: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se haya establecido, en su caso, el importe de la indemnización y se haya puesto a disposición del perjudicado, está disponiendo la paralización —probablemente </w:t>
      </w:r>
      <w:r w:rsidRPr="00BE7FB3">
        <w:rPr>
          <w:i/>
        </w:rPr>
        <w:t>sine die</w:t>
      </w:r>
      <w:r>
        <w:t>—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00BE7FB3" w:rsidRDefault="00BE7FB3" w:rsidP="00BE7FB3">
      <w:pPr>
        <w:pStyle w:val="TextoNormal"/>
      </w:pPr>
    </w:p>
    <w:p w:rsidR="00BE7FB3" w:rsidRDefault="00BE7FB3" w:rsidP="00BE7FB3">
      <w:pPr>
        <w:pStyle w:val="TextoNormalNegritaCentrado"/>
        <w:keepNext/>
      </w:pPr>
      <w:r>
        <w:lastRenderedPageBreak/>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Juzgado de lo Contencioso-Administrativo núm. 1 de Santander plantea cuestión de inconstitucionalidad en relación con la disposición adicional sexta de la Ley del Parlamento de Cantabria 2/2001, de 25 de junio, de ordenación territorial y del régimen urbanístico del suelo de Cantabria, introducida por el artículo 2 de la Ley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t>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t>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22-2012, por desaparición sobrevenida de su objeto.</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51" w:name="AUTO_2013_110"/>
      <w:r>
        <w:lastRenderedPageBreak/>
        <w:t>AUTO 110/2013, de 20 de mayo de 2013</w:t>
      </w:r>
    </w:p>
    <w:bookmarkEnd w:id="251"/>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ECLI:ES:TC:2013:110A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23-2012, planteada por el Juzgado de lo Contencioso-Administrativo núm. 1 de Santander en relación con el artículo 2 de la Ley del Parlamento de Cantabria 2/2011, de 4 de abril, por la que se modifica la Ley 2/2001, de 25 de junio, de ordenación territorial y del régimen urbanístico del suelo.</w:t>
      </w:r>
    </w:p>
    <w:p w:rsidR="00BE7FB3" w:rsidRDefault="00BE7FB3" w:rsidP="00BE7FB3">
      <w:pPr>
        <w:pStyle w:val="SntesisDescriptiva"/>
      </w:pPr>
    </w:p>
    <w:p w:rsidR="00BE7FB3" w:rsidRDefault="00BE7FB3" w:rsidP="00BE7FB3">
      <w:pPr>
        <w:pStyle w:val="SntesisAnaltica"/>
      </w:pPr>
      <w:r>
        <w:t>Extinción de cuestión de inconstitucionalidad: ATC 104/2013;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Con fecha de 3 de enero de 2012 tuvo entrada, en el Registro General de este Tribunal, escrito del Juzgado de lo Contencioso-Administrativo núm. 1 de Santander al que se acompañan de las actuaciones recaídas en el procedimiento de ejecución núm. 341-2002 y del Auto del mismo órgano, de 27 de diciembre de 2011, por el que se acuerda plantear cuestión de inconstitucionalidad en relación con la disposición adicional sexta de la Ley del Parlamento de Cantabria 2/2001, de 25 de junio, de ordenación territorial y del régimen urbanístico del suelo de Cantabria, introducida por el art. 2 de la Ley del Parlamento de Cantabria 2/2011, de 4 de abril, por posible vulneración del art. 149.1.6 y 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que anteceden al planteamiento de la cuestión de inconstitucionalidad son los siguientes:</w:t>
      </w:r>
    </w:p>
    <w:p w:rsidR="00BE7FB3" w:rsidRDefault="00BE7FB3" w:rsidP="00BE7FB3">
      <w:pPr>
        <w:pStyle w:val="TextoNormal"/>
      </w:pPr>
    </w:p>
    <w:p w:rsidR="00BE7FB3" w:rsidRDefault="00BE7FB3" w:rsidP="00BE7FB3">
      <w:pPr>
        <w:pStyle w:val="TextoNormal"/>
      </w:pPr>
      <w:r>
        <w:t xml:space="preserve">a) Mediante Sentencia de 21 de noviembre de 2000 del mismo órgano promotor de la presente cuestión, recaída en el procedimiento ordinario núm. 185-1999, se estimó el recurso contencioso-administrativo interpuesto por la Asociación para la defensa de los recursos naturales de Cantabria (ARCA) contra el acuerdo de la comisión de Gobierno del Ayuntamiento de Argoños, de 12 de marzo 1997, por el que se concedió licencia para la construcción de trece viviendas unifamiliares en el residencial Las Llamas. La Sentencia disponía la anulación del acto administrativo referido así como la demolición de lo indebidamente construido a su amparo, básicamente, por contravención de lo prevenido en el art. 138 del texto refundido de la Ley del suelo, en relación con la no preservación del valor paisajístico de la zona donde se había concedido licencia de edificación. La resolución fue confirmada </w:t>
      </w:r>
      <w:r>
        <w:lastRenderedPageBreak/>
        <w:t>en apelación por Sentencia de la Sala de lo Contencioso-Administrativo del Tribunal Superior de Justicia de Cantabria, de 23 de abril de 2001, y declarada firme mediante resolución de 2 de julio de 2001.</w:t>
      </w:r>
    </w:p>
    <w:p w:rsidR="00BE7FB3" w:rsidRDefault="00BE7FB3" w:rsidP="00BE7FB3">
      <w:pPr>
        <w:pStyle w:val="TextoNormal"/>
      </w:pPr>
    </w:p>
    <w:p w:rsidR="00BE7FB3" w:rsidRDefault="00BE7FB3" w:rsidP="00BE7FB3">
      <w:pPr>
        <w:pStyle w:val="TextoNormal"/>
      </w:pPr>
      <w:r>
        <w:t>b) Instada la ejecución de la Sentencia por parte de la asociación recurrente, el Juzgado, mediante Auto de 7 de noviembre de 2002, requirió al Ayuntamiento de Argoños para la inmediata ejecución de la Sentencia, con la consiguiente demolición de las viviendas construidas al amparo de las licencias anuladas. Posteriormente, con fecha de 1 de septiembre de 2003, se dictaron tres Autos por el mismo Juzgado mediante los que se desestimó la oposición a la ejecución, se estimó el incidente promovido por ARCA, declarando la nulidad del acuerdo de la Comisión de Gobierno del Ayuntamiento de Argoños de 20 de mayo de 2002 otorgando licencia de construcción y se inadmitió el incidente de imposibilidad de ejecución planteado por la Administración demandada, en razón de su extemporaneidad.</w:t>
      </w:r>
    </w:p>
    <w:p w:rsidR="00BE7FB3" w:rsidRDefault="00BE7FB3" w:rsidP="00BE7FB3">
      <w:pPr>
        <w:pStyle w:val="TextoNormal"/>
      </w:pPr>
    </w:p>
    <w:p w:rsidR="00BE7FB3" w:rsidRDefault="00BE7FB3" w:rsidP="00BE7FB3">
      <w:pPr>
        <w:pStyle w:val="TextoNormal"/>
      </w:pPr>
      <w:r>
        <w:t>c) Tras distintas vicisitudes procesales, entre las que se incluye el Auto de 20 de junio de 2011, que acordó la ejecución subsidiaria de la orden de demolición, la representación procesal del Ayuntamiento de Argoños presentó escrito el 4 de julio de 2011 solicitando la incoación del oportuno incidente al amparo del art. 109 de la Ley reguladora de la jurisdicción contencioso-administrativa con el objeto de que se suspendiera la ejecución de la Sentencia de 21 de noviembre de 2000 en tanto no se procediera a la indemnización de los propietarios de las viviendas sujetas a demolición. La solicitud traía causa de la aprobación de la Ley del Parlamento de Cantabria 2/2011, de 4 de abril, por la que se modifica la Ley 2/2001, de 25 de junio, de ordenación territorial y régimen urbanístico del suelo en Cantabria, en relación con los procedimientos de indemnización patrimonial en materia urbanística.</w:t>
      </w:r>
    </w:p>
    <w:p w:rsidR="00BE7FB3" w:rsidRDefault="00BE7FB3" w:rsidP="00BE7FB3">
      <w:pPr>
        <w:pStyle w:val="TextoNormal"/>
      </w:pPr>
    </w:p>
    <w:p w:rsidR="00BE7FB3" w:rsidRDefault="00BE7FB3" w:rsidP="00BE7FB3">
      <w:pPr>
        <w:pStyle w:val="TextoNormal"/>
      </w:pPr>
      <w:r>
        <w:t>d) Por providencia de 7 de noviembre de 2011, el Juzgado de lo Contencioso-Administrativo núm. 1 de Santander acordó oír a las partes y al Ministerio Fiscal por el término común de diez días sobre la pertinencia de plantear cuestión de inconstitucionalidad, o sobre el fondo de la misma, respecto a la disposición adicional sexta de la Ley del Parlamento de Cantabria 2/2011, de 4 de abril, por la que se modifica la Ley 2/2001, de 25 de junio, de ordenación territorial y del régimen urbanístico del suelo de Cantabria, por si pudiera concurrir  “vicio de inconstitucionalidad por infracción de los arts. 149.1.6 y 149.1.18 CE”.</w:t>
      </w:r>
    </w:p>
    <w:p w:rsidR="00BE7FB3" w:rsidRDefault="00BE7FB3" w:rsidP="00BE7FB3">
      <w:pPr>
        <w:pStyle w:val="TextoNormal"/>
      </w:pPr>
    </w:p>
    <w:p w:rsidR="00BE7FB3" w:rsidRDefault="00BE7FB3" w:rsidP="00BE7FB3">
      <w:pPr>
        <w:pStyle w:val="TextoNormal"/>
      </w:pPr>
      <w:r>
        <w:t>e) Evacuaron el trámite de alegaciones la comunidad de propietarios de la urbanización Las Llamas I y el Ministerio Fiscal, mostrándose ambos favorables al planteamiento de la cuestión de inconstitucionalidad.</w:t>
      </w:r>
    </w:p>
    <w:p w:rsidR="00BE7FB3" w:rsidRDefault="00BE7FB3" w:rsidP="00BE7FB3">
      <w:pPr>
        <w:pStyle w:val="TextoNormal"/>
      </w:pPr>
    </w:p>
    <w:p w:rsidR="00BE7FB3" w:rsidRDefault="00BE7FB3" w:rsidP="00BE7FB3">
      <w:pPr>
        <w:pStyle w:val="TextoNormal"/>
      </w:pPr>
      <w:r>
        <w:t xml:space="preserve">f) El órgano judicial dictó Auto el 7 de diciembre de 2011, acordando plantear la cuestión de inconstitucionalidad en relación con la disposición adicional sexta de la Ley 2/2001, de 25 de junio, de ordenación territorial y del régimen urbanístico del suelo de Cantabria, introducida por el art. 2 de la Ley de Cantabria 2/2011, de 4 de abril, y ello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w:t>
      </w:r>
      <w:r>
        <w:lastRenderedPageBreak/>
        <w:t>en relación con el artículo 105.1 de la Ley de la Jurisdicción Contencioso Administrativa 29/1998, de 13 de julio. Todo ello en relación con los arts. 9.3, 24.1, 106.1, 117 y 118 del texto constitucional”.</w:t>
      </w:r>
    </w:p>
    <w:p w:rsidR="00BE7FB3" w:rsidRDefault="00BE7FB3" w:rsidP="00BE7FB3">
      <w:pPr>
        <w:pStyle w:val="TextoNormal"/>
      </w:pPr>
    </w:p>
    <w:p w:rsidR="00BE7FB3" w:rsidRDefault="00BE7FB3" w:rsidP="00BE7FB3">
      <w:pPr>
        <w:pStyle w:val="TextoNormal"/>
      </w:pPr>
      <w:r w:rsidRPr="00BE7FB3">
        <w:rPr>
          <w:rStyle w:val="NumeroAFNegritaCaracter"/>
        </w:rPr>
        <w:t>3</w:t>
      </w:r>
      <w:r>
        <w:t>. El Auto de planteamiento de la cuestión se fundamenta en los términos que se resumen a continuación.</w:t>
      </w:r>
    </w:p>
    <w:p w:rsidR="00BE7FB3" w:rsidRDefault="00BE7FB3" w:rsidP="00BE7FB3">
      <w:pPr>
        <w:pStyle w:val="TextoNormal"/>
      </w:pPr>
    </w:p>
    <w:p w:rsidR="00BE7FB3" w:rsidRDefault="00BE7FB3" w:rsidP="00BE7FB3">
      <w:pPr>
        <w:pStyle w:val="TextoNormal"/>
      </w:pPr>
      <w:r>
        <w:t>Tras exponer los antecedentes del caso, en especial en relación con el procedimiento de ejecución (núm. 341-2002) de la Sentencia dictada en el procedimiento ordinario núm. 185-1999, razona el Auto que la disposición adicional sexta de la Ley 2/2001, de 25 de junio, de ordenación territorial y del régimen urbanístico del suelo de Cantabria, introducida por el art. 2 de la Ley de Cantabria 2/2011, de 4 de abril, y más concretamente lo establecido en el párrafo quinto del apartado 4 de la referida disposición, así como en su apartado 5, pretende interferir directamente en las Sentencias firmes que ordenan la demolición de lo indebidamente construido, de forma que éstas no pudieran llevarse a efecto sin previa indemnización a los propietarios afectados. Para el órgano judicial esta regulación vendría a incurrir en dos tachas de inconstitucionalidad de orden competencial. En primer lugar, porque en la misma se establece una causa de suspensión de la ejecución judicial de las Sentencias firmes que llevan aparejada la demolición de obras declaradas ilegales no prevista en la ley estatal, lo que vulnera la competencia estatal exclusiva en materia de legislación procesal (art. 149.1.6 CE); y, en segundo lugar, porque la norma cuestionada establece un supuesto de responsabilidad patrimonial en el que el daño indemnizable no es efectivo sino eventual, regulando así la Comunidad Autónoma de Cantabria un elemento básico del sistema de responsabilidad patrimonial de las Administraciones públicas que le está constitucionalmente vedado, por estar reservado al Estado a tenor de lo dispuesto en el art. 149.1.18 CE, regulación derivada del art. 106 CE y materializada en el título X de la Ley 30/1992, de régimen jurídico de las Administraciones públicas y del procedimiento administrativo común.</w:t>
      </w:r>
    </w:p>
    <w:p w:rsidR="00BE7FB3" w:rsidRDefault="00BE7FB3" w:rsidP="00BE7FB3">
      <w:pPr>
        <w:pStyle w:val="TextoNormal"/>
      </w:pPr>
    </w:p>
    <w:p w:rsidR="00BE7FB3" w:rsidRDefault="00BE7FB3" w:rsidP="00BE7FB3">
      <w:pPr>
        <w:pStyle w:val="TextoNormal"/>
      </w:pPr>
      <w:r>
        <w:t>Añade a lo anterior el órgano promotor que la ejecución de Sentencias forma parte del derecho a la tutela judicial efectiva (art. 24.1 CE), correspondiendo el ejercicio de esta potestad jurisdiccional en exclusiva a los Juzgados y Tribunales (art. 117.3 CE), y siendo obligado cumplir sus resoluciones firmes y prestar la colaboración requerida por los órganos judiciales en la ejecución de lo resuelto (art. 118 CE). La disposición cuestionada introduce una causa de suspensión de la ejecución judicial, en tanto no se tramite el expediente de responsabilidad patrimonial, que deja en manos de la Administración y de los particulares afectados la propia efectividad del cumplimiento del fallo, lo que implica vulnerar los arts. 24.1 y 117.3 CE. Además, las previsiones contenidas en la disposición cuestionada, que altera las decisiones firmes en materia de responsabilidad patrimonial, puede vulnerar igualmente el principio de seguridad jurídica que proclama el art. 9.3 CE, según el Juzgado que promueve la cuestión.</w:t>
      </w:r>
    </w:p>
    <w:p w:rsidR="00BE7FB3" w:rsidRDefault="00BE7FB3" w:rsidP="00BE7FB3">
      <w:pPr>
        <w:pStyle w:val="TextoNormal"/>
      </w:pPr>
    </w:p>
    <w:p w:rsidR="00BE7FB3" w:rsidRDefault="00BE7FB3" w:rsidP="00BE7FB3">
      <w:pPr>
        <w:pStyle w:val="TextoNormal"/>
      </w:pPr>
      <w:r w:rsidRPr="00BE7FB3">
        <w:rPr>
          <w:rStyle w:val="NumeroAFNegritaCaracter"/>
        </w:rPr>
        <w:t>4</w:t>
      </w:r>
      <w:r>
        <w:t>.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Primera de este Tribunal el conocimiento de la presente cuestión.</w:t>
      </w:r>
    </w:p>
    <w:p w:rsidR="00BE7FB3" w:rsidRDefault="00BE7FB3" w:rsidP="00BE7FB3">
      <w:pPr>
        <w:pStyle w:val="TextoNormal"/>
      </w:pPr>
    </w:p>
    <w:p w:rsidR="00BE7FB3" w:rsidRDefault="00BE7FB3" w:rsidP="00BE7FB3">
      <w:pPr>
        <w:pStyle w:val="TextoNormal"/>
      </w:pPr>
      <w:r>
        <w:lastRenderedPageBreak/>
        <w:t>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00BE7FB3" w:rsidRDefault="00BE7FB3" w:rsidP="00BE7FB3">
      <w:pPr>
        <w:pStyle w:val="TextoNormal"/>
      </w:pPr>
    </w:p>
    <w:p w:rsidR="00BE7FB3" w:rsidRDefault="00BE7FB3" w:rsidP="00BE7FB3">
      <w:pPr>
        <w:pStyle w:val="TextoNormal"/>
      </w:pPr>
      <w:r w:rsidRPr="00BE7FB3">
        <w:rPr>
          <w:rStyle w:val="NumeroAFNegritaCaracter"/>
        </w:rPr>
        <w:t>5</w:t>
      </w:r>
      <w:r>
        <w:t>.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formuló alegaciones en escrito presentado el 19 de noviembre de 2012, interesando la inadmisión de la cuestión de inconstitucionalidad respecto de los apartados 1, 2, y 3 y los párrafos tercero, cuarto y sexto del apartado 4 de la disposición adicional sexta de la Ley regional 2/2001, de 25 de junio, introducida por el art. 2 de la Ley cántabra 2/2011, de 4 de abril, así como la estimación de la cuestión respecto de los párrafos primero, segundo y quinto de apartado 4 y el apartado 5 de la citada disposición adicional sexta, todo ello por las razones que se detallan en su escrito de alegaciones.</w:t>
      </w:r>
    </w:p>
    <w:p w:rsidR="00BE7FB3" w:rsidRDefault="00BE7FB3" w:rsidP="00BE7FB3">
      <w:pPr>
        <w:pStyle w:val="TextoNormal"/>
      </w:pPr>
    </w:p>
    <w:p w:rsidR="00BE7FB3" w:rsidRDefault="00BE7FB3" w:rsidP="00BE7FB3">
      <w:pPr>
        <w:pStyle w:val="TextoNormal"/>
      </w:pPr>
      <w:r w:rsidRPr="00BE7FB3">
        <w:rPr>
          <w:rStyle w:val="NumeroAFNegritaCaracter"/>
        </w:rPr>
        <w:t>8</w:t>
      </w:r>
      <w:r>
        <w:t xml:space="preserve">. Mediante escrito presentado en el Registro General de este Tribunal el día 28 de noviembre de 2012, el Letrado de los Servicios Jurídicos del Gobierno de Cantabria, formuló alegaciones interesando la desestimación de la cuestión de inconstitucionalidad, por entender que el precepto cuestionado no invade la competencia estatal en materia de ejecución procesal </w:t>
      </w:r>
      <w:r w:rsidRPr="00BE7FB3">
        <w:rPr>
          <w:i/>
        </w:rPr>
        <w:t>ex</w:t>
      </w:r>
      <w:r>
        <w:t xml:space="preserve"> art. 149.1.6 CE, ni la competencia estatal para el establecimiento de las bases del sistema de responsabilidad patrimonial (art. 149.1.18 CE), y tampoco incurre en las restantes tachas de inconstitucionalidad que señala el Auto de planteamiento.</w:t>
      </w:r>
    </w:p>
    <w:p w:rsidR="00BE7FB3" w:rsidRDefault="00BE7FB3" w:rsidP="00BE7FB3">
      <w:pPr>
        <w:pStyle w:val="TextoNormal"/>
      </w:pPr>
    </w:p>
    <w:p w:rsidR="00BE7FB3" w:rsidRDefault="00BE7FB3" w:rsidP="00BE7FB3">
      <w:pPr>
        <w:pStyle w:val="TextoNormal"/>
      </w:pPr>
      <w:r w:rsidRPr="00BE7FB3">
        <w:rPr>
          <w:rStyle w:val="NumeroAFNegritaCaracter"/>
        </w:rPr>
        <w:t>9</w:t>
      </w:r>
      <w:r>
        <w:t xml:space="preserve">. Mediante escrito presentado en el Registro General el día 3 de diciembre de 2012, la representación procesal del Parlamento de Cantabria formuló alegaciones interesando la desestimación de la cuestión de inconstitucionalidad. Comienza aduciendo que podría entenderse que no se cumple el juicio de relevancia (art. 35.2 LOTC) de la norma cuestionada, pues con independencia de que se declare o no inconstitucional, las consecuencias jurídicas no varían para el proceso </w:t>
      </w:r>
      <w:r w:rsidRPr="00BE7FB3">
        <w:rPr>
          <w:i/>
        </w:rPr>
        <w:t>a quo</w:t>
      </w:r>
      <w:r>
        <w:t xml:space="preserve">, en la medida en que las obras ilegalmente realizadas habrán de ser demolidas. Se aduce también que los reproches de inconstitucionalidad sólo pueden entenderse referidos al párrafo sexto del apartado 4 de la disposición adicional sexta de la Ley 2/2001, de 25 de junio, de ordenación territorial y del régimen urbanístico del suelo de Cantabria, introducida por el art. 2 de la Ley del Parlamento de Cantabria 2/2011, único extremo al que se refiere la argumentación del Auto de promoción de la cuestión. En todo caso, el Parlamento de Cantabria sostiene que la norma cuestionada ha sido dictada en el ejercicio de las competencias de la Comunidad Autónoma de Cantabria para regular sus </w:t>
      </w:r>
      <w:r>
        <w:lastRenderedPageBreak/>
        <w:t>instituciones de autogobierno y sobre ordenación del territorio y urbanismo, así como de la potestad de establecer los procedimientos administrativos adecuados para el ejercicio de sus competencias, siempre que se respeten las reglas básicas establecidas por el Estado, por lo que entiende que el precepto cuestionado no invade las competencias estatales en materia de ejecución procesal (art. 149.1.6 CE) y para el establecimiento de las bases del sistema de responsabilidad patrimonial (art. 149.1.18 CE), ni incurre tampoco en las restantes tachas de inconstitucionalidad que se apuntan en el Auto de planteamiento.</w:t>
      </w:r>
    </w:p>
    <w:p w:rsidR="00BE7FB3" w:rsidRDefault="00BE7FB3" w:rsidP="00BE7FB3">
      <w:pPr>
        <w:pStyle w:val="TextoNormal"/>
      </w:pPr>
    </w:p>
    <w:p w:rsidR="00BE7FB3" w:rsidRDefault="00BE7FB3" w:rsidP="00BE7FB3">
      <w:pPr>
        <w:pStyle w:val="TextoNormal"/>
      </w:pPr>
      <w:r w:rsidRPr="00BE7FB3">
        <w:rPr>
          <w:rStyle w:val="NumeroAFNegritaCaracter"/>
        </w:rPr>
        <w:t>10</w:t>
      </w:r>
      <w:r>
        <w:t xml:space="preserve">. El Fiscal General del Estado formuló alegaciones mediante escrito presentado el día 14 de diciembre de 2012. Tras exponer los antecedentes del caso y los razonamientos que se desarrollan en el Auto de planteamiento de la cuestión, precisa, en primer lugar, que, si bien la duda de constitucionalidad se dirige formalmente contra la totalidad de la disposición adicional sexta de la Ley 2/2001, de 25 de junio, de ordenación territorial y del régimen urbanístico del suelo de Cantabria, introducida por el art. 2 de la Ley del Parlamento de Cantabria 2/2011, de 4 de abril, en realidad, de la lectura de los razonamientos del Auto de planteamiento se infiere sin dificultad que la duda se centra en los apartados 4 y 5 de dicha disposición, a lo que añade que la duda se suscita con ocasión de tener que resolver el órgano judicial la solicitud de paralización de la ejecución de Sentencia en cuanto a la demolición de las obras ejecutadas al amparo de las licencias anuladas en el proceso </w:t>
      </w:r>
      <w:r w:rsidRPr="00BE7FB3">
        <w:rPr>
          <w:i/>
        </w:rPr>
        <w:t>a quo</w:t>
      </w:r>
      <w:r>
        <w:t>, por lo que sólo el párrafo quinto del apartado 4 de la disposición cuestionada puede entenderse relevante para la decisión judicial a adoptar, sin que, por el contrario, lo sean el resto de párrafos del apartado 4 ni el apartado 5 en su totalidad. Propone por ello la inadmisión parcial de la cuestión en el sentido que se acaba de señalar.</w:t>
      </w:r>
    </w:p>
    <w:p w:rsidR="00BE7FB3" w:rsidRDefault="00BE7FB3" w:rsidP="00BE7FB3">
      <w:pPr>
        <w:pStyle w:val="TextoNormal"/>
      </w:pPr>
    </w:p>
    <w:p w:rsidR="00BE7FB3" w:rsidRDefault="00BE7FB3" w:rsidP="00BE7FB3">
      <w:pPr>
        <w:pStyle w:val="TextoNormal"/>
      </w:pPr>
      <w:r>
        <w:t>Efectuada esta precisión, considera el Fiscal General del Estado que el precepto cuestionado, en el inciso referido, invade las competencias estatales en materia de ejecución procesal (art. 149.1.6 CE) y para el establecimiento de las bases del sistema de responsabilidad patrimonial (art. 149.1.18 CE) y asimismo, se inmiscuye en una función estrictamente jurisdiccional, consagrada con diversos matices en los arts. 106.1, 117.3 y 118 CE, perjudicando el derecho a la ejecución de las sentencias firmes en sus propios términos, que forma parte del derecho fundamental a la tutela judicial efectiva consagrado en el art. 24.1 CE, por todo lo cual interesa el  Fiscal General del Estado que se dicte sentencia por la que se estime parcialmente la presente cuestión de inconstitucionalidad.</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Juzgado de lo Contencioso-Administrativo núm. 1 de Santander plantea cuestión de inconstitucionalidad en relación con la disposición adicional sexta de la Ley del Parlamento de Cantabria 2/2001, de 25 de junio, de ordenación territorial y del régimen urbanístico del suelo de Cantabria, introducida por el art. 2 de la Ley del Parlamento de Cantabria 2/2011, de 4 de abril, por posible vulneración del art. 149.1.6 y 18 CE, en relación con los arts. 9.3, 24.1, 106.1, 117 y 118 CE.</w:t>
      </w:r>
    </w:p>
    <w:p w:rsidR="00BE7FB3" w:rsidRDefault="00BE7FB3" w:rsidP="00BE7FB3">
      <w:pPr>
        <w:pStyle w:val="TextoNormal"/>
      </w:pPr>
    </w:p>
    <w:p w:rsidR="00BE7FB3" w:rsidRDefault="00BE7FB3" w:rsidP="00BE7FB3">
      <w:pPr>
        <w:pStyle w:val="TextoNormal"/>
      </w:pPr>
      <w:r>
        <w:t xml:space="preserve">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w:t>
      </w:r>
      <w:r>
        <w:lastRenderedPageBreak/>
        <w:t>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t>Por ello, la duda de constitucionalidad planteada por el órgano judicial en relación con la disposición adicional sexta de la Ley 2/2001, de 25 de junio, de ordenación territorial y del régimen urbanístico del suelo de Cantabria, ha quedado disipada a la vista del pronunciamiento de la citada STC 92/2013, de 22 de abril. Ello determina, conforme a reiterada doctrina de este Tribunal (SSTC 387/1993, de 23 de diciembre, FJ único; 72/1997, de 10 de abril, FJ único; 91/1997, de 8 de mayo, FJ único; y AATC 271/2005, de 21 de junio, FJ único; y 272/2005, de 21 de junio, FJ 2), la desaparición sobrevenida del objeto de la cuestión planteada con respecto al citado precepto legal en los incisos referidos.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núm.23-2012, por desaparición sobrevenida de su objeto.</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52" w:name="AUTO_2013_111"/>
      <w:r>
        <w:lastRenderedPageBreak/>
        <w:t>AUTO 111/2013, de 20 de mayo de 2013</w:t>
      </w:r>
    </w:p>
    <w:bookmarkEnd w:id="252"/>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ECLI:ES:TC:2013:111A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extinción de la cuestión de inconstitucionalidad 539-2012,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p>
    <w:p w:rsidR="00BE7FB3" w:rsidRDefault="00BE7FB3" w:rsidP="00BE7FB3">
      <w:pPr>
        <w:pStyle w:val="SntesisDescriptiva"/>
      </w:pPr>
    </w:p>
    <w:p w:rsidR="00BE7FB3" w:rsidRDefault="00BE7FB3" w:rsidP="00BE7FB3">
      <w:pPr>
        <w:pStyle w:val="SntesisAnaltica"/>
      </w:pPr>
      <w:r>
        <w:t>Extinción de cuestión de inconstitucionalidad: ATC 104/2013;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31 de enero de 2012, tuvo entrada, en el Registro General de este Tribunal, escrito de la Sala de lo Contencioso-Administrativo del Tribunal Superior de Justicia de Cantabria al que se acompañan las actuaciones recaídas en el recurso 1290-1992, y del Auto del mismo órgano, de 19 de enero de 2012, por el que se plantea cuestión de inconstitucionalidad en relación con la disposición adicional sexta de la Ley del Parlamento de Cantabria 2/2001, de 25 de junio, de ordenación territorial y del régimen urbanístico del suelo de Cantabria, introducida por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que anteceden al planteamiento de la cuestión de inconstitucionalidad son los siguientes:</w:t>
      </w:r>
    </w:p>
    <w:p w:rsidR="00BE7FB3" w:rsidRDefault="00BE7FB3" w:rsidP="00BE7FB3">
      <w:pPr>
        <w:pStyle w:val="TextoNormal"/>
      </w:pPr>
    </w:p>
    <w:p w:rsidR="00BE7FB3" w:rsidRDefault="00BE7FB3" w:rsidP="00BE7FB3">
      <w:pPr>
        <w:pStyle w:val="TextoNormal"/>
      </w:pPr>
      <w:r>
        <w:t>a) Mediante Sentencia de 30 de noviembre de 1993, de la Sala de lo Contencioso-Administrativo del Tribunal Superior de Justicia de Cantabria, recaída en el procedimiento ordinario 1290-1992, se estimó el recurso interpuesto contra la resolución de la comisión de Gobierno del Ayuntamiento de Santillana del Mar, de 19 de mayo de 1992, por la que se concedió licencia de obras para la construcción de siete viviendas y locales comerciales y contra la desestimación del recurso de reposición por acuerdo del mismo órgano de 11 de agosto del mismo año. La Sentencia, que disponía la anulación de la licencia así como la demolición de lo construido, fue confirmada en casación por el Tribunal Supremo, por Sentencia de 26 de octubre de 1999.</w:t>
      </w:r>
    </w:p>
    <w:p w:rsidR="00BE7FB3" w:rsidRDefault="00BE7FB3" w:rsidP="00BE7FB3">
      <w:pPr>
        <w:pStyle w:val="TextoNormal"/>
      </w:pPr>
    </w:p>
    <w:p w:rsidR="00BE7FB3" w:rsidRDefault="00BE7FB3" w:rsidP="00BE7FB3">
      <w:pPr>
        <w:pStyle w:val="TextoNormal"/>
      </w:pPr>
      <w:r>
        <w:lastRenderedPageBreak/>
        <w:t>b) Instada la ejecución de la Sentencia firme y promovido incidente de inejecución en el que suscitaron distintas cuestiones por las partes intervinientes, el Tribunal Superior de justicia dictó Auto de 20 de octubre de 2000, por el que acordó denegar la suspensión de la ejecución de la Sentencia y ordenó a la Administración demandada la demolición de los edificios litigiosos (confirmado en súplica por Auto de la misma Sala, de 29 de noviembre de 2000). Por Auto de 29 de febrero de 2008, la Sala desestimó un nuevo incidente de imposibilidad de ejecución, promovido por el Ayuntamiento, ordenando una vez más la demolición de lo ejecutado. Este Auto fue confirmado en casación por la Sentencia del Tribunal Supremo de 16 de marzo de 2010.</w:t>
      </w:r>
    </w:p>
    <w:p w:rsidR="00BE7FB3" w:rsidRDefault="00BE7FB3" w:rsidP="00BE7FB3">
      <w:pPr>
        <w:pStyle w:val="TextoNormal"/>
      </w:pPr>
    </w:p>
    <w:p w:rsidR="00BE7FB3" w:rsidRDefault="00BE7FB3" w:rsidP="00BE7FB3">
      <w:pPr>
        <w:pStyle w:val="TextoNormal"/>
      </w:pPr>
      <w:r>
        <w:t>Por escrito de 11 de octubre de 2011, el Ayuntamiento planteó un nuevo incidente de imposibilidad de ejecución de la Sentencia como consecuencia de la aprobación de la Ley del Parlamento de Cantabria 2/2011, de 4 de abril, por la que se modifica la Ley 2/2001, de 25 de junio, de ordenación territorial y régimen urbanístico del suelo en Cantabria, en relación con los procedimientos de indemnización patrimonial en materia urbanística solicitando, además, que se haga extensiva a este procedimiento la cuestión de inconstitucionalidad planteada por la Sala en relación con la disposición legal citada, con la consiguiente paralización de la demolición ordenada.</w:t>
      </w:r>
    </w:p>
    <w:p w:rsidR="00BE7FB3" w:rsidRDefault="00BE7FB3" w:rsidP="00BE7FB3">
      <w:pPr>
        <w:pStyle w:val="TextoNormal"/>
      </w:pPr>
    </w:p>
    <w:p w:rsidR="00BE7FB3" w:rsidRDefault="00BE7FB3" w:rsidP="00BE7FB3">
      <w:pPr>
        <w:pStyle w:val="TextoNormal"/>
      </w:pPr>
      <w:r>
        <w:t>c) Por providencia de 13 de diciembre de 2011, la Sala de lo Contencioso-Administrativo del Tribunal Superior de Justicia de Cantabria acordó oír a las partes personadas por el término común de diez días sobre la pertinencia de plantear cuestión de inconstitucionalidad, respecto a la disposición adicional sexta de la Ley del Parlamento de Cantabria antes citada, por si la norma pudiera contradecir la legislación básica del Estado y competencias exclusivas derivadas de los arts. 149.1.6 y 149.1.18 CE, en relación con los arts. 9.3, 24.1, 106.1, 177 y 118 CE.</w:t>
      </w:r>
    </w:p>
    <w:p w:rsidR="00BE7FB3" w:rsidRDefault="00BE7FB3" w:rsidP="00BE7FB3">
      <w:pPr>
        <w:pStyle w:val="TextoNormal"/>
      </w:pPr>
    </w:p>
    <w:p w:rsidR="00BE7FB3" w:rsidRDefault="00BE7FB3" w:rsidP="00BE7FB3">
      <w:pPr>
        <w:pStyle w:val="TextoNormal"/>
      </w:pPr>
      <w:r>
        <w:t>d) Evacuaron escrito de alegaciones: la representación procesal del señor López López, personado en la causa, manifestando que entienden que la disposición no es aplicable al asunto, pero interesando la suspensión de la ejecución hasta que se resuelva la cuestión de inconstitucionalidad ya elevada anteriormente por la misma Sala ante el Tribunal Constitucional. La representación procesal del inicial recurrente presentó escrito de alegaciones en el que manifestaba su oposición al planteamiento de la cuestión. La representación procesal de la comunidad de propietarios Jesús Otero núm. 3, bloque II y de los señores Miguel Coloma y Pellejero Fernández presentó escrito de alegaciones favorable al planteamiento de la cuestión e interesando la suspensión de la ejecución. La representación procesal de la Administración demandada presentó escrito de alegaciones favorable, igualmente, a la impugnación. La representación procesal de la señora Cristóbal Oliva, por su parte, presentó escrito de alegaciones en el que se manifestaba la oposición al planteamiento de la cuestión.</w:t>
      </w:r>
    </w:p>
    <w:p w:rsidR="00BE7FB3" w:rsidRDefault="00BE7FB3" w:rsidP="00BE7FB3">
      <w:pPr>
        <w:pStyle w:val="TextoNormal"/>
      </w:pPr>
    </w:p>
    <w:p w:rsidR="00BE7FB3" w:rsidRDefault="00BE7FB3" w:rsidP="00BE7FB3">
      <w:pPr>
        <w:pStyle w:val="TextoNormal"/>
      </w:pPr>
      <w:r>
        <w:t xml:space="preserve">e) El órgano judicial dictó el Auto de 19 de enero de 2012, planteando la cuestión de inconstitucionalidad en relación con la disposición adicional sexta de la Ley 2/2001, de 25 de junio, de ordenación territorial y del régimen urbanístico del suelo de Cantabria, introducida por la Ley del Parlamento de Cantabria 2/2011, de 4 de abril,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w:t>
      </w:r>
      <w:r>
        <w:lastRenderedPageBreak/>
        <w:t>en el procedimiento de ejecución judicial no previsto por la normativa procesal cuya competencia es igualmente exclusiva del Estado conforme al art. 149.1.6 de la Constitución en relación con el artículo 105.1 de la Ley de la jurisdicción contencioso-administrativa 29/1998, de 13 de julio. Todo ello en relación con los arts. 9.3, 24.1, 106.1, 117 y 118 del texto constitucional.</w:t>
      </w:r>
    </w:p>
    <w:p w:rsidR="00BE7FB3" w:rsidRDefault="00BE7FB3" w:rsidP="00BE7FB3">
      <w:pPr>
        <w:pStyle w:val="TextoNormal"/>
      </w:pPr>
    </w:p>
    <w:p w:rsidR="00BE7FB3" w:rsidRDefault="00BE7FB3" w:rsidP="00BE7FB3">
      <w:pPr>
        <w:pStyle w:val="TextoNormal"/>
      </w:pPr>
      <w:r>
        <w:t>Oficiado requerimiento por parte del Pleno del Tribunal Constitucional mediante diligencia de ordenación de 3 de febrero de 2012, en orden a la certificación de las partes personadas que habían formulado alegaciones y del Ministerio Fiscal y, advertido por el órgano promotor de la cuestión que no se había notificado al Ministerio Fiscal, la Sala dictó nuevo Auto de 2 de marzo de 2012, por el que anulaba el de 19 de enero supracitado, una vez subsanado el defecto. Por su parte, el Ministerio Fiscal no atendió finalmente el traslado conferido a los efectos de formular alegaciones.</w:t>
      </w:r>
    </w:p>
    <w:p w:rsidR="00BE7FB3" w:rsidRDefault="00BE7FB3" w:rsidP="00BE7FB3">
      <w:pPr>
        <w:pStyle w:val="TextoNormal"/>
      </w:pPr>
    </w:p>
    <w:p w:rsidR="00BE7FB3" w:rsidRDefault="00BE7FB3" w:rsidP="00BE7FB3">
      <w:pPr>
        <w:pStyle w:val="TextoNormal"/>
      </w:pPr>
      <w:r>
        <w:t>La Sala dictó, entonces, nuevo Auto, de 2 de marzo de 2012, planteando la cuestión de inconstitucionalidad en idénticos términos que los contenidos en el Auto de 19 de enero de 2012, anteriormente señalados.</w:t>
      </w:r>
    </w:p>
    <w:p w:rsidR="00BE7FB3" w:rsidRDefault="00BE7FB3" w:rsidP="00BE7FB3">
      <w:pPr>
        <w:pStyle w:val="TextoNormal"/>
      </w:pPr>
    </w:p>
    <w:p w:rsidR="00BE7FB3" w:rsidRDefault="00BE7FB3" w:rsidP="00BE7FB3">
      <w:pPr>
        <w:pStyle w:val="TextoNormal"/>
      </w:pPr>
      <w:r w:rsidRPr="00BE7FB3">
        <w:rPr>
          <w:rStyle w:val="NumeroAFNegritaCaracter"/>
        </w:rPr>
        <w:t>3</w:t>
      </w:r>
      <w:r>
        <w:t>. Se expone a continuación de forma resumida la fundamentación de la cuestión contenida en el Auto. Inicia el Auto sus razonamientos jurídicos señalando que se solita la suspensión de la ejecución de la Sentencia en tanto en cuanto se tramita el procedimiento de indemnización previsto en la disposición adicional sexta de la Ley del Parlamento de Cantabria 2/2001, de 25 de junio, de ordenación territorial y del régimen urbanístico del suelo de Cantabria, introducida por la ley 2/2011, de 4 de abril, en relación con los procedimientos de indemnización patrimonial en materia urbanística.</w:t>
      </w:r>
    </w:p>
    <w:p w:rsidR="00BE7FB3" w:rsidRDefault="00BE7FB3" w:rsidP="00BE7FB3">
      <w:pPr>
        <w:pStyle w:val="TextoNormal"/>
      </w:pPr>
    </w:p>
    <w:p w:rsidR="00BE7FB3" w:rsidRDefault="00BE7FB3" w:rsidP="00BE7FB3">
      <w:pPr>
        <w:pStyle w:val="TextoNormal"/>
      </w:pPr>
      <w:r>
        <w:t>Entiende la Sala que la garantía que introduce la ley cuestionada al establecer la necesidad de que se indemnice a los propietarios por los perjuicios patrimoniales que habrían sufrido con carácter previo al efectivo derribo del inmueble, vulnera la exigencia de la legislación estatal básica en materia de responsabilidad patrimonial (título X de la Ley 30/1992, arts. 139 y ss) que exige que el daño sea efectivo. Entiende, además, que la ejecución de Sentencias forma parte del derecho a la tutela judicial efectiva (art. 24.1 CE) correspondiendo el ejercicio de esta potestad jurisdiccional en exclusiva a los Juzgados y Tribunales (art. 117.3 CE) y que corresponde al Estado, conforme al art. 149.1.6 CE, la competencia exclusiva sobre la legislación procesal y que ésta se habría visto vulnerada por la ley cuestionada, pues el art. 105 de la Ley 29/1998 no permite suspensión alguna en la ejecución de Sentencias. Entiende que la ejecución es parte del derecho a la tutela judicial efectiva del art. 24 de la Constitución, y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para la que los órganos judiciales carecen de competencias, pues no pueden establecer la suspensión de la ejecución judicial en tanto no se tramite el expediente de responsabilidad patrimonial.</w:t>
      </w:r>
    </w:p>
    <w:p w:rsidR="00BE7FB3" w:rsidRDefault="00BE7FB3" w:rsidP="00BE7FB3">
      <w:pPr>
        <w:pStyle w:val="TextoNormal"/>
      </w:pPr>
    </w:p>
    <w:p w:rsidR="00BE7FB3" w:rsidRDefault="00BE7FB3" w:rsidP="00BE7FB3">
      <w:pPr>
        <w:pStyle w:val="TextoNormal"/>
      </w:pPr>
      <w:r w:rsidRPr="00BE7FB3">
        <w:rPr>
          <w:rStyle w:val="NumeroAFNegritaCaracter"/>
        </w:rPr>
        <w:t>4</w:t>
      </w:r>
      <w:r>
        <w:t>. Por providencia de 30 de octubre de 2012, el Pleno del Tribunal Constitucional acordó admitir a trámite la cuestión de planteada y deferir a la Sala Segunda su conocimiento, dán</w:t>
      </w:r>
      <w:r>
        <w:lastRenderedPageBreak/>
        <w:t>dose traslado, a través de sus presidentes, al Congreso de los Diputados, al Senado, al Parlamento y Gobierno de Cantabria, y al Abogado del Estado para que pudieran personarse y formular alegaciones.</w:t>
      </w:r>
    </w:p>
    <w:p w:rsidR="00BE7FB3" w:rsidRDefault="00BE7FB3" w:rsidP="00BE7FB3">
      <w:pPr>
        <w:pStyle w:val="TextoNormal"/>
      </w:pPr>
    </w:p>
    <w:p w:rsidR="00BE7FB3" w:rsidRDefault="00BE7FB3" w:rsidP="00BE7FB3">
      <w:pPr>
        <w:pStyle w:val="TextoNormal"/>
      </w:pPr>
      <w:r w:rsidRPr="00BE7FB3">
        <w:rPr>
          <w:rStyle w:val="NumeroAFNegritaCaracter"/>
        </w:rPr>
        <w:t>5</w:t>
      </w:r>
      <w:r>
        <w:t>. Por sendos escritos que tuvieron entrada en este Tribunal el 14 y 15 de noviembre de 2012, el Senado y del Congreso se personaron en el procedimiento, a través de sus presidentes, y ofrecieron su colaboración.</w:t>
      </w:r>
    </w:p>
    <w:p w:rsidR="00BE7FB3" w:rsidRDefault="00BE7FB3" w:rsidP="00BE7FB3">
      <w:pPr>
        <w:pStyle w:val="TextoNormal"/>
      </w:pPr>
    </w:p>
    <w:p w:rsidR="00BE7FB3" w:rsidRDefault="00BE7FB3" w:rsidP="00BE7FB3">
      <w:pPr>
        <w:pStyle w:val="TextoNormal"/>
      </w:pPr>
      <w:r w:rsidRPr="00BE7FB3">
        <w:rPr>
          <w:rStyle w:val="NumeroAFNegritaCaracter"/>
        </w:rPr>
        <w:t>6</w:t>
      </w:r>
      <w:r>
        <w:t>. El 19 de noviembre de 2012 el Abogado del Estado presentó sus alegaciones en el Registro General del Tribunal Constitucional que son, básicamente las siguientes. Invoca, en primer lugar, que la cuestión es parcialmente inadmisible por cuanto, aunque se ha impugnado la totalidad de la disposición adicional sexta de la Ley del Parlamento de Cantabria 2/2011, de 4 de abril, ninguna dependencia respecto del fallo guardan los apartados 1, 2 y 3 por lo que la cuestión debe quedar reducida a los párrafos primero, segundo y quinto del apartado cuatro y al apartado quinto de la disposición adicional, “procediendo en consecuencia la inadmisión de los párrafos tercero, cuarto y sexto, del apartado cuarto de la mencionada disposición”.</w:t>
      </w:r>
    </w:p>
    <w:p w:rsidR="00BE7FB3" w:rsidRDefault="00BE7FB3" w:rsidP="00BE7FB3">
      <w:pPr>
        <w:pStyle w:val="TextoNormal"/>
      </w:pPr>
    </w:p>
    <w:p w:rsidR="00BE7FB3" w:rsidRDefault="00BE7FB3" w:rsidP="00BE7FB3">
      <w:pPr>
        <w:pStyle w:val="TextoNormal"/>
      </w:pPr>
      <w:r>
        <w:t>Considera que la prohibición de la ejecución del pronunciamiento demolitorio mientras no se haya establecido la indemnización en el procedimiento administrativo de responsabilidad patrimonial y se haya hecho el ofrecimiento de pago al perjudicado (párrafo quinto del apartado 4 de la disposición adicional sexta), está en contradicción con los arts. 18.2 de la Ley Orgánica del Poder Judicial y 105 de la Ley reguladora de la jurisdicción contencioso-administrativa, existiendo una radical incompetencia del legislador regional para regular normas de ese tipo, pues corresponde al Estado la competencia exclusiva sobre legislación procesal. Esta inconstitucionalidad se extendería al apartado quinto, pues la comunicación del inicio del procedimiento administrativo de responsabilidad patrimonial tiene carácter instrumental con respecto al apartado anterior. A mayor abundamiento entiende que si bien las Comunidades Autónomas pueden regular supuestos indemnizatorios en el ámbito de sus competencias, el presente no se trata de un supuesto indemnizatorio sino que anticipa la indemnización a la real causación del daño (la demolición), por lo que está violando la competencia estatal del art. 149.1.18 CE, y en concreto, el art. 139.2 de la Ley 30/1992. En consecuencia, suplica la inadmisión parcial de la cuestión de inconstitucionalidad planteada en los términos antes expuestos, así como su estimación en lo relativo a los párrafos primero, segundo, y quinto del apartado cuarto y al apartado quinto de la disposición adicional sexta de la norma legal tantas veces citada.</w:t>
      </w:r>
    </w:p>
    <w:p w:rsidR="00BE7FB3" w:rsidRDefault="00BE7FB3" w:rsidP="00BE7FB3">
      <w:pPr>
        <w:pStyle w:val="TextoNormal"/>
      </w:pPr>
    </w:p>
    <w:p w:rsidR="00BE7FB3" w:rsidRDefault="00BE7FB3" w:rsidP="00BE7FB3">
      <w:pPr>
        <w:pStyle w:val="TextoNormal"/>
      </w:pPr>
      <w:r w:rsidRPr="00BE7FB3">
        <w:rPr>
          <w:rStyle w:val="NumeroAFNegritaCaracter"/>
        </w:rPr>
        <w:t>7</w:t>
      </w:r>
      <w:r>
        <w:t xml:space="preserve">. El 30 de noviembre de 2012 tuvo entrada en el Tribunal Constitucional escrito del Letrado del Parlamento de Cantabria por el que evacuó el trámite de alegaciones. Tras solicitar la acumulación de una serie de procedimientos de idéntico objeto que estaban siendo objeto de tramitación en este Tribunal, descarta que la norma cuestionada tenga alguna relevancia para la resolución del proceso judicial. Una Sentencia estimatoria del Tribunal Constitucional —afirma— no cambiaría el fallo ya que, en todo caso, las obras construidas al amparo de las licencias anuladas tienen que ser demolidas. Considera que la disposición impugnada no afecta a la competencia exclusiva del Estado del art. 149.1.6 CE, pues no se impide la ejecución de la Sentencia, todo lo más se retrasa como mucho por durante seis </w:t>
      </w:r>
      <w:r>
        <w:lastRenderedPageBreak/>
        <w:t>meses, que es el plazo máximo para resolver en el procedimientos de responsabilidad patrimonial. Entiende que la regulación de este procedimiento administrativo no puede considerarse legislación procesal porque no afecta a la uniformidad de los instrumentos jurisdiccionales. Por otra parte, considera el Letrado de la Asamblea que la regulación de este procedimiento se enmarca en las competencias que el Estatuto atribuye a la Comunidad Autónoma, en concreto, su competencia sobre instituciones de autogobierno, de ordenación del territorio y urbanismo, y de procedimiento administrativo. Concluye descartando que la disposición impugnada vulnere la legislación estatal básica en materia de responsabilidad patrimonial, pues se acomoda a las modalidades indemnizatorias previstas, imputando, además, al Auto de planteamiento de la cuestión, falta de motivación a este respecto.</w:t>
      </w:r>
    </w:p>
    <w:p w:rsidR="00BE7FB3" w:rsidRDefault="00BE7FB3" w:rsidP="00BE7FB3">
      <w:pPr>
        <w:pStyle w:val="TextoNormal"/>
      </w:pPr>
    </w:p>
    <w:p w:rsidR="00BE7FB3" w:rsidRDefault="00BE7FB3" w:rsidP="00BE7FB3">
      <w:pPr>
        <w:pStyle w:val="TextoNormal"/>
      </w:pPr>
      <w:r w:rsidRPr="00BE7FB3">
        <w:rPr>
          <w:rStyle w:val="NumeroAFNegritaCaracter"/>
        </w:rPr>
        <w:t>8</w:t>
      </w:r>
      <w:r>
        <w:t>. El escrito de alegaciones del Letrado del Gobierno de Cantabria tuvo entrada en el Tribunal Constitucional el 28 de noviembre de 2012. Tras exponer las causas que han llevado al legislador cántabro a adoptar la regulación impugnada, señala que la disposición impugnada no va encaminada a evitar la ejecución de las Sentencias que ordenan la demolición de lo actuado, sino que se trata de una simple medida administrativa, adoptada en el ámbito urbanístico que opera tanto en relación con las demoliciones ordenadas por la administración como aquellas exigidas por las Sentencias. Se trata de un simple trámite administrativo más que se incardina en la ejecución de la Sentencia que lleva a cabo el propio Tribunal, muy similar al procedimiento de licitación que debe llevar a cabo la administración para encargar la demolición a una determinada empresa. Nada impide que la sustanciación de un procedimiento de responsabilidad patrimonial se lleve a cabo a la vez que la ejecución de la Sentencia. Entiende, finalmente, que la regulación cuestionada se limita a establecer un supuesto indemnizatorio para el que tiene competencia la Comunidad Autónoma, que en modo alguno contradice la legislación estatal, pues se trata de una mera regulación procedimental que no contiene aspectos sustantivos de la responsabilidad patrimonial, y que no cabe hablar de la falta de efectividad del daño, sino de un daño que inexorablemente se va a producir.</w:t>
      </w:r>
    </w:p>
    <w:p w:rsidR="00BE7FB3" w:rsidRDefault="00BE7FB3" w:rsidP="00BE7FB3">
      <w:pPr>
        <w:pStyle w:val="TextoNormal"/>
      </w:pPr>
    </w:p>
    <w:p w:rsidR="00BE7FB3" w:rsidRDefault="00BE7FB3" w:rsidP="00BE7FB3">
      <w:pPr>
        <w:pStyle w:val="TextoNormal"/>
      </w:pPr>
      <w:r w:rsidRPr="00BE7FB3">
        <w:rPr>
          <w:rStyle w:val="NumeroAFNegritaCaracter"/>
        </w:rPr>
        <w:t>9</w:t>
      </w:r>
      <w:r>
        <w:t>. El Ministerio Fiscal presentó sus alegaciones, mediante escrito que tuvo entrada en el Tribunal Constitucional el 14 de diciembre de 2012, interesando la inadmisión parcial de la cuestión y la declaración de inconstitucionalidad de los apartados cuatro y cinco de la disposición adicional sexta. Así, tras destacar que sólo los apartados cuatro y cinco de la disposición impugnada son relevantes para la decisión del Tribunal en el procedimiento judicial y exponer ampliamente las razones que justifican la adopción de la medida cuestionada, analiza si el ejercicio de una competencia exclusiva autonómica ha respetado el ejercicio por el Estado de la competencia que le atribuye el art. 149.1.6 CE.</w:t>
      </w:r>
    </w:p>
    <w:p w:rsidR="00BE7FB3" w:rsidRDefault="00BE7FB3" w:rsidP="00BE7FB3">
      <w:pPr>
        <w:pStyle w:val="TextoNormal"/>
      </w:pPr>
    </w:p>
    <w:p w:rsidR="00BE7FB3" w:rsidRDefault="00BE7FB3" w:rsidP="00BE7FB3">
      <w:pPr>
        <w:pStyle w:val="TextoNormal"/>
      </w:pPr>
      <w:r>
        <w:t>Entiende que el derecho sustantivo que podría justificar, en su caso, una normación autonómica específica de orden procesal, es la exigencia de un procedimiento que permita el abono a los propietarios de la indemnización correspondiente, evitándose así que se les prive de sus inmuebles, sin que la administración responsable del perjuicio atienda a sus legítimas pretensiones de forma inmediata. Por otra parte, expone que la legislación procesal general respecto de la que se predican las especialidades es el art. 105.2 de la Ley de la jurisdicción contencioso-administrativa, que impide la suspensión del cumplimiento de la Sentencia o la declaración de inejecución total o parcial del fallo. Y concluye afirmando que no puede calificarse como peculiaridad del ordenamiento de Cantabria una regulación que reconoce la responsabilidad patrimonial en los términos de la legislación estatal.</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Sala de lo Contencioso-Administrativo del Tribunal Superior de Justicia de Cantabria plantea cuestión de inconstitucionalidad en relación con la disposición adicional sexta de la Ley del Parlamento de Cantabria 2/2001, de 25 de junio, de ordenación territorial y del régimen urbanístico del suelo de Cantabria, introducida por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t>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t>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539-2012, por desaparición sobrevenida de su objeto.</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53" w:name="AUTO_2013_112"/>
      <w:r>
        <w:lastRenderedPageBreak/>
        <w:t>AUTO 112/2013, de 20 de mayo de 2013</w:t>
      </w:r>
    </w:p>
    <w:bookmarkEnd w:id="253"/>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ECLI:ES:TC:2013:112A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540-2012,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p>
    <w:p w:rsidR="00BE7FB3" w:rsidRDefault="00BE7FB3" w:rsidP="00BE7FB3">
      <w:pPr>
        <w:pStyle w:val="SntesisDescriptiva"/>
      </w:pPr>
    </w:p>
    <w:p w:rsidR="00BE7FB3" w:rsidRDefault="00BE7FB3" w:rsidP="00BE7FB3">
      <w:pPr>
        <w:pStyle w:val="SntesisAnaltica"/>
      </w:pPr>
      <w:r>
        <w:t>Extinción de cuestión de inconstitucionalidad: ATC 104/2013;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Con fecha de 31 de enero de 2012 tuvo entrada, en el Registro General de este Tribunal, escrito de la Sala de lo Contencioso-Administrativo del Tribunal Superior de Justicia de Cantabria al que se acompañan las actuaciones recaídas en el procedimiento ordinario núm.1749-1998 y del Auto del mismo órgano, de 6 de marzo de 2012, por el que se plantea cuestión de inconstitucionalidad en relación con la disposición adicional sexta de la Ley del Parlamento de Cantabria 2/2001, de 25 de junio, de ordenación territorial y del régimen urbanístico del suelo de Cantabria, introducida por el art. 2 de la Ley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que anteceden al planteamiento de la cuestión de inconstitucionalidad son los siguientes:</w:t>
      </w:r>
    </w:p>
    <w:p w:rsidR="00BE7FB3" w:rsidRDefault="00BE7FB3" w:rsidP="00BE7FB3">
      <w:pPr>
        <w:pStyle w:val="TextoNormal"/>
      </w:pPr>
    </w:p>
    <w:p w:rsidR="00BE7FB3" w:rsidRDefault="00BE7FB3" w:rsidP="00BE7FB3">
      <w:pPr>
        <w:pStyle w:val="TextoNormal"/>
      </w:pPr>
      <w:r>
        <w:t>a) Mediante Sentencia de 24 de julio de 2001 del mismo órgano promotor de la presente cuestión, recaída en el procedimiento ordinario 1749-1998, se estimó el recurso interpuesto por la Asociación para la defensa de los recursos naturales de cantabria (ARCA) contra la resolución de 7 de mayo de 1998 del Ayuntamiento de Piélagos, por la que se otorgaba a Valles de Mortera S.A., licencia de obras para la construcción de veintiún viviendas unifamiliares en la unidad de ejecución L-05 de Liencres. El Tribunal Supremo inadmitió el recurso formulado contra aquélla, por Auto de 9 de octubre de 2003.</w:t>
      </w:r>
    </w:p>
    <w:p w:rsidR="00BE7FB3" w:rsidRDefault="00BE7FB3" w:rsidP="00BE7FB3">
      <w:pPr>
        <w:pStyle w:val="TextoNormal"/>
      </w:pPr>
    </w:p>
    <w:p w:rsidR="00BE7FB3" w:rsidRDefault="00BE7FB3" w:rsidP="00BE7FB3">
      <w:pPr>
        <w:pStyle w:val="TextoNormal"/>
      </w:pPr>
      <w:r>
        <w:t xml:space="preserve">b) Instada la ejecución de la Sentencia y tras distintas actuaciones procesales, el Ayuntamiento de Piélagos solicitó la suspensión del procedimiento de ejecución al amparo de lo </w:t>
      </w:r>
      <w:r>
        <w:lastRenderedPageBreak/>
        <w:t>dispuesto en la disposición adicional sexta de la Ley 2/2001, de 25 de junio, introducida por el art. 2 de la Ley 2/2011, de 4 de abril, que prescribe la tramitación de los oportunos expedientes de responsabilidad patrimonial de la Administración, con determinación y abono de las correspondientes indemnizaciones, antes de proceder a una demolición.</w:t>
      </w:r>
    </w:p>
    <w:p w:rsidR="00BE7FB3" w:rsidRDefault="00BE7FB3" w:rsidP="00BE7FB3">
      <w:pPr>
        <w:pStyle w:val="TextoNormal"/>
      </w:pPr>
    </w:p>
    <w:p w:rsidR="00BE7FB3" w:rsidRDefault="00BE7FB3" w:rsidP="00BE7FB3">
      <w:pPr>
        <w:pStyle w:val="TextoNormal"/>
      </w:pPr>
      <w:r>
        <w:t>c) Por providencia de 14 de diciembre de 2011 (y posterior de 7 de febrero de 2012, que subsanaba el error de notificación de la anterior al Ministerio Fiscal), la Sala de lo Contencioso-Administrativo del Tribunal Superior de Justicia de Cantabria, de oficio, acordó oír a las partes personadas y al Ministerio Fiscal por el término común de diez días sobre la pertinencia de plantear cuestión de inconstitucionalidad respecto a la disposición adicional sexta de la Ley 2/2001, de 25 de junio, introducida por el art. 2 de la Ley 2/2011, de 4 de abril, por si la norma pudiera alterar la legislación básica del Estado y competencias exclusivas derivadas de los arts. 149.1.6 y 149.1.18 CE, en relación con los arts. 9.3, 24.1, 106.1, 117 y 118 CE.</w:t>
      </w:r>
    </w:p>
    <w:p w:rsidR="00BE7FB3" w:rsidRDefault="00BE7FB3" w:rsidP="00BE7FB3">
      <w:pPr>
        <w:pStyle w:val="TextoNormal"/>
      </w:pPr>
    </w:p>
    <w:p w:rsidR="00BE7FB3" w:rsidRDefault="00BE7FB3" w:rsidP="00BE7FB3">
      <w:pPr>
        <w:pStyle w:val="TextoNormal"/>
      </w:pPr>
      <w:r>
        <w:t>d) Evacuado el referido trámite de alegaciones únicamente por parte de una de las partes codemandadas, el órgano judicial dictó Auto de 6 de marzo de 2012, planteando la cuestión de inconstitucionalidad respecto de la disposición adicional sexta de la Ley del Parlamento de Cantabria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Contencioso-Administrativa 29/1998, de 13 de julio. Todo ello en relación con los arts. 9.3, 24.1, 106.1, 117 y 118 del texto constitucional”.</w:t>
      </w:r>
    </w:p>
    <w:p w:rsidR="00BE7FB3" w:rsidRDefault="00BE7FB3" w:rsidP="00BE7FB3">
      <w:pPr>
        <w:pStyle w:val="TextoNormal"/>
      </w:pPr>
    </w:p>
    <w:p w:rsidR="00BE7FB3" w:rsidRDefault="00BE7FB3" w:rsidP="00BE7FB3">
      <w:pPr>
        <w:pStyle w:val="TextoNormal"/>
      </w:pPr>
      <w:r w:rsidRPr="00BE7FB3">
        <w:rPr>
          <w:rStyle w:val="NumeroAFNegritaCaracter"/>
        </w:rPr>
        <w:t>3</w:t>
      </w:r>
      <w:r>
        <w:t>. La fundamentación de la cuestión contenida en el Auto es la siguiente:</w:t>
      </w:r>
    </w:p>
    <w:p w:rsidR="00BE7FB3" w:rsidRDefault="00BE7FB3" w:rsidP="00BE7FB3">
      <w:pPr>
        <w:pStyle w:val="TextoNormal"/>
      </w:pPr>
    </w:p>
    <w:p w:rsidR="00BE7FB3" w:rsidRDefault="00BE7FB3" w:rsidP="00BE7FB3">
      <w:pPr>
        <w:pStyle w:val="TextoNormal"/>
      </w:pPr>
      <w:r>
        <w:t>Tras exponer los antecedentes del caso, inicia el Auto sus razonamientos jurídicos señalando que se solicita la suspensión de la ejecución de la Sentencia en tanto en cuanto se tramita el procedimiento de indemnización previsto en la disposición adicional sexta de la Ley 2/2001, de 25 de junio, introducida por el art. 2 de la Ley 2/2011, de 4 de abril, en relación con los procedimientos de indemnización patrimonial en materia urbanística.</w:t>
      </w:r>
    </w:p>
    <w:p w:rsidR="00BE7FB3" w:rsidRDefault="00BE7FB3" w:rsidP="00BE7FB3">
      <w:pPr>
        <w:pStyle w:val="TextoNormal"/>
      </w:pPr>
    </w:p>
    <w:p w:rsidR="00BE7FB3" w:rsidRDefault="00BE7FB3" w:rsidP="00BE7FB3">
      <w:pPr>
        <w:pStyle w:val="TextoNormal"/>
      </w:pPr>
      <w:r>
        <w:t xml:space="preserve">El Auto reproduce las afirmaciones del preámbulo de la Ley 2/2011, de 4 de abril, en el sentido de que la misma es resultado de la resolución del Parlamento de Cantabria de 22 de julio de 2010 en la que se instaba al Gobierno a que “propusiera las modificaciones normativas necesarias para que a los propietarios sobre los que pesan Sentencias firmes de derribo, como consecuencia de 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 se limita a permitir la sustanciación del procedimiento de forma anticipada, sujetando la eficacia de la resolución indemnizatoria a la condición suspensiva de que el propietario del inmueble afectado ponga éste </w:t>
      </w:r>
      <w:r>
        <w:lastRenderedPageBreak/>
        <w:t>a disposición de la Administración obligada a materializar el derribo”. En consecuencia proclama que “las previsiones legales no alteran en modo alguno el régimen general de responsabilidad patrimonial …. Estos extremos se recogen en la normativa general, en cuyo marco se incardina la presente 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w:t>
      </w:r>
    </w:p>
    <w:p w:rsidR="00BE7FB3" w:rsidRDefault="00BE7FB3" w:rsidP="00BE7FB3">
      <w:pPr>
        <w:pStyle w:val="TextoNormal"/>
      </w:pPr>
    </w:p>
    <w:p w:rsidR="00BE7FB3" w:rsidRDefault="00BE7FB3" w:rsidP="00BE7FB3">
      <w:pPr>
        <w:pStyle w:val="TextoNormal"/>
      </w:pPr>
      <w:r>
        <w:t>Distinto es el parecer del órgano promotor de la cuestión, pues estima que la encomienda del Parlamento a la que la Ley 2/2011 dice responder lo era para interferir directamente en las Sentencias de derribo de forma que éstas no pudieran llevarse a efecto sin previa indemnización a los propietarios.</w:t>
      </w:r>
    </w:p>
    <w:p w:rsidR="00BE7FB3" w:rsidRDefault="00BE7FB3" w:rsidP="00BE7FB3">
      <w:pPr>
        <w:pStyle w:val="TextoNormal"/>
      </w:pPr>
    </w:p>
    <w:p w:rsidR="00BE7FB3" w:rsidRDefault="00BE7FB3" w:rsidP="00BE7FB3">
      <w:pPr>
        <w:pStyle w:val="TextoNormal"/>
      </w:pPr>
      <w:r>
        <w:t>Ahora bien para el órgano judicial cuestionante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que la Sala de lo Contencioso-Administrativo del Tribunal Superior de Justicia de Cantabria ha rechazado reclamaciones patrimoniales que se han planteado en incidentes de ejecución, criterio que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de 26 de noviembre (arts. 139 y ss.).</w:t>
      </w:r>
    </w:p>
    <w:p w:rsidR="00BE7FB3" w:rsidRDefault="00BE7FB3" w:rsidP="00BE7FB3">
      <w:pPr>
        <w:pStyle w:val="TextoNormal"/>
      </w:pPr>
    </w:p>
    <w:p w:rsidR="00BE7FB3" w:rsidRDefault="00BE7FB3" w:rsidP="00BE7FB3">
      <w:pPr>
        <w:pStyle w:val="TextoNormal"/>
      </w:pPr>
      <w:r>
        <w:t>En segundo lugar, señala que la ejecución de Sentencias forma parte del derecho a la tutela judicial efectiva (art. 24.1 CE) correspondiendo el ejercicio de esta potestad jurisdiccional en exclusiva a los Juzgados y Tribunales (art. 117.3 CE), señalando la propia Constitución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permite suspensión alguna en la ejecución de Sentencias. 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tres meses, condicionada a la puesta a disposición de la Administración del inmueble a derribar. Para el órgano cuestionante que esta previsión pretende incluir a los derribos consecuencia de resoluciones judiciales se deriva de lo dispuesto en el punto cinco de la referida disposición en cuanto dispone que “La Administración que tramite un expediente de responsabilidad patrimonial … deberá comunicar el inicio de la sustanciación de dicho expediente al órgano judicial encargado de la ejecución de la Sentencia”.</w:t>
      </w:r>
    </w:p>
    <w:p w:rsidR="00BE7FB3" w:rsidRDefault="00BE7FB3" w:rsidP="00BE7FB3">
      <w:pPr>
        <w:pStyle w:val="TextoNormal"/>
      </w:pPr>
    </w:p>
    <w:p w:rsidR="00BE7FB3" w:rsidRDefault="00BE7FB3" w:rsidP="00BE7FB3">
      <w:pPr>
        <w:pStyle w:val="TextoNormal"/>
      </w:pPr>
      <w:r>
        <w:lastRenderedPageBreak/>
        <w:t xml:space="preserve">El órgano promotor de la cuestión sostiene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Máxime cuando se obliga a que la demolición sea posterior a la puesta a disposición del perjudicado del importe de la indemnización, lo que, en el supuesto de autos, supondría, de hecho, la suspensión </w:t>
      </w:r>
      <w:r w:rsidRPr="00BE7FB3">
        <w:rPr>
          <w:i/>
        </w:rPr>
        <w:t>sine die</w:t>
      </w:r>
      <w:r>
        <w:t xml:space="preserve"> ante la ausencia de recursos suficientes por parte de los Ayuntamientos responsables; insuficiencia de recursos puesta de manifiesto por el Tribunal de Cuentas en su informe de fiscalización de año 2010 y esgrimida por la propia Administración local como causa de inejecución de la sentencia.</w:t>
      </w:r>
    </w:p>
    <w:p w:rsidR="00BE7FB3" w:rsidRDefault="00BE7FB3" w:rsidP="00BE7FB3">
      <w:pPr>
        <w:pStyle w:val="TextoNormal"/>
      </w:pPr>
    </w:p>
    <w:p w:rsidR="00BE7FB3" w:rsidRDefault="00BE7FB3" w:rsidP="00BE7FB3">
      <w:pPr>
        <w:pStyle w:val="TextoNormal"/>
      </w:pPr>
      <w:r>
        <w:t>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de este incidente. Razón por la cual esta Sala considera cumplido el juicio de relevancia”. Suspensión que al dejar en manos de la Administración y de los particulares afectados la propia efectividad del cumplimiento del fallo, entra en conflicto con el art. 117.3 CE y con el art. 105.1 de la Ley 29/1998, que no prevé suspensión alguna de la ejecución.</w:t>
      </w:r>
    </w:p>
    <w:p w:rsidR="00BE7FB3" w:rsidRDefault="00BE7FB3" w:rsidP="00BE7FB3">
      <w:pPr>
        <w:pStyle w:val="TextoNormal"/>
      </w:pPr>
    </w:p>
    <w:p w:rsidR="00BE7FB3" w:rsidRDefault="00BE7FB3" w:rsidP="00BE7FB3">
      <w:pPr>
        <w:pStyle w:val="TextoNormal"/>
      </w:pPr>
      <w:r>
        <w:t>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ésta por la que la Sala de lo Contencioso-Administrativo del Tribunal Superior de Justicia de Cantabria, en el curso de los distintos procedimientos de responsabilidad patrimonial que 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Primera de este Tribunal el conocimiento de la </w:t>
      </w:r>
      <w:r>
        <w:lastRenderedPageBreak/>
        <w:t>presente cuestión. 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00BE7FB3" w:rsidRDefault="00BE7FB3" w:rsidP="00BE7FB3">
      <w:pPr>
        <w:pStyle w:val="TextoNormal"/>
      </w:pPr>
    </w:p>
    <w:p w:rsidR="00BE7FB3" w:rsidRDefault="00BE7FB3" w:rsidP="00BE7FB3">
      <w:pPr>
        <w:pStyle w:val="TextoNormal"/>
      </w:pPr>
      <w:r w:rsidRPr="00BE7FB3">
        <w:rPr>
          <w:rStyle w:val="NumeroAFNegritaCaracter"/>
        </w:rPr>
        <w:t>5</w:t>
      </w:r>
      <w:r>
        <w:t>.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formuló alegaciones el día 26 de noviembre de 2012, interesando la inadmisión de la cuestión de inconstitucionalidad respecto de los apartados 1, 2, y 3 y los párrafos tercero, cuarto y sexto del apartado 4 de la disposición adicional sexta de la Ley 2/2001, de 25 de junio, así como la estimación de la cuestión respecto de los párrafos primero, segundo y quinto de apartado 4 y el apartado 5 de la citada disposición adicional sexta.</w:t>
      </w:r>
    </w:p>
    <w:p w:rsidR="00BE7FB3" w:rsidRDefault="00BE7FB3" w:rsidP="00BE7FB3">
      <w:pPr>
        <w:pStyle w:val="TextoNormal"/>
      </w:pPr>
    </w:p>
    <w:p w:rsidR="00BE7FB3" w:rsidRDefault="00BE7FB3" w:rsidP="00BE7FB3">
      <w:pPr>
        <w:pStyle w:val="TextoNormal"/>
      </w:pPr>
      <w:r>
        <w:t>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00BE7FB3" w:rsidRDefault="00BE7FB3" w:rsidP="00BE7FB3">
      <w:pPr>
        <w:pStyle w:val="TextoNormal"/>
      </w:pPr>
    </w:p>
    <w:p w:rsidR="00BE7FB3" w:rsidRDefault="00BE7FB3" w:rsidP="00BE7FB3">
      <w:pPr>
        <w:pStyle w:val="TextoNormal"/>
      </w:pPr>
      <w:r>
        <w:t xml:space="preserve">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w:t>
      </w:r>
      <w:r w:rsidRPr="00BE7FB3">
        <w:rPr>
          <w:i/>
        </w:rPr>
        <w:t>sine die</w:t>
      </w:r>
      <w:r>
        <w:t xml:space="preserv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w:t>
      </w:r>
      <w:r>
        <w:lastRenderedPageBreak/>
        <w:t>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00BE7FB3" w:rsidRDefault="00BE7FB3" w:rsidP="00BE7FB3">
      <w:pPr>
        <w:pStyle w:val="TextoNormal"/>
      </w:pPr>
    </w:p>
    <w:p w:rsidR="00BE7FB3" w:rsidRDefault="00BE7FB3" w:rsidP="00BE7FB3">
      <w:pPr>
        <w:pStyle w:val="TextoNormal"/>
      </w:pPr>
      <w:r>
        <w:t>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estatales. Pero este no es el caso de la norma cuestionada, puesto que el hecho generador de la responsabilidad está recogido en la legislación estatal [arts. 142 de la Ley de régimen jurídico de las Administraciones públicas y del procedimiento administrativo común, 35 d) del texto refundido de la Ley sobre régimen del suelo y ordenación urbana y 44.2 de la Ley sobre régimen del suelo y valoraciones (Ley 6/1998, de 13 de abril)] y el legislador autonómico se separa de uno de los elementos esenciales de la responsabilidad establecido en la misma, cual es el requisito de que el daño sea efectivo.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00BE7FB3" w:rsidRDefault="00BE7FB3" w:rsidP="00BE7FB3">
      <w:pPr>
        <w:pStyle w:val="TextoNormal"/>
      </w:pPr>
    </w:p>
    <w:p w:rsidR="00BE7FB3" w:rsidRDefault="00BE7FB3" w:rsidP="00BE7FB3">
      <w:pPr>
        <w:pStyle w:val="TextoNormal"/>
      </w:pPr>
      <w:r w:rsidRPr="00BE7FB3">
        <w:rPr>
          <w:rStyle w:val="NumeroAFNegritaCaracter"/>
        </w:rPr>
        <w:t>8</w:t>
      </w:r>
      <w:r>
        <w:t>. Mediante escrito presentado en el Registro General de este Tribunal el día 28 de noviembre de 2012, el Letrado de los servicios jurídicos del Gobierno de Cantabria, formuló alegaciones interesando la desestimación de la cuestión de inconstitucionalidad.</w:t>
      </w:r>
    </w:p>
    <w:p w:rsidR="00BE7FB3" w:rsidRDefault="00BE7FB3" w:rsidP="00BE7FB3">
      <w:pPr>
        <w:pStyle w:val="TextoNormal"/>
      </w:pPr>
    </w:p>
    <w:p w:rsidR="00BE7FB3" w:rsidRDefault="00BE7FB3" w:rsidP="00BE7FB3">
      <w:pPr>
        <w:pStyle w:val="TextoNormal"/>
      </w:pPr>
      <w:r>
        <w:t xml:space="preserve">Rechaza en primer lugar que la norma impugnada suponga la invasión de la competencia estatal en materia de ejecución procesal </w:t>
      </w:r>
      <w:r w:rsidRPr="00BE7FB3">
        <w:rPr>
          <w:i/>
        </w:rPr>
        <w:t>ex</w:t>
      </w:r>
      <w:r>
        <w:t xml:space="preserve">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00BE7FB3" w:rsidRDefault="00BE7FB3" w:rsidP="00BE7FB3">
      <w:pPr>
        <w:pStyle w:val="TextoNormal"/>
      </w:pPr>
    </w:p>
    <w:p w:rsidR="00BE7FB3" w:rsidRDefault="00BE7FB3" w:rsidP="00BE7FB3">
      <w:pPr>
        <w:pStyle w:val="TextoNormal"/>
      </w:pPr>
      <w:r>
        <w:t xml:space="preserve">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especialmente, especialidades procedimentales derivadas de su organización propia que tienen cobertura en </w:t>
      </w:r>
      <w:r>
        <w:lastRenderedPageBreak/>
        <w:t>el art. 24, aparados 1, 3 y 22, así como en el art. 35, apartado 3, del Estatuto de Autonomía de Cantabria.</w:t>
      </w:r>
    </w:p>
    <w:p w:rsidR="00BE7FB3" w:rsidRDefault="00BE7FB3" w:rsidP="00BE7FB3">
      <w:pPr>
        <w:pStyle w:val="TextoNormal"/>
      </w:pPr>
    </w:p>
    <w:p w:rsidR="00BE7FB3" w:rsidRDefault="00BE7FB3" w:rsidP="00BE7FB3">
      <w:pPr>
        <w:pStyle w:val="TextoNormal"/>
      </w:pPr>
      <w:r>
        <w:t>Rebate también el Gobierno de Cantabria que la norma cuestionada vulnere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w:t>
      </w:r>
    </w:p>
    <w:p w:rsidR="00BE7FB3" w:rsidRDefault="00BE7FB3" w:rsidP="00BE7FB3">
      <w:pPr>
        <w:pStyle w:val="TextoNormal"/>
      </w:pPr>
    </w:p>
    <w:p w:rsidR="00BE7FB3" w:rsidRDefault="00BE7FB3" w:rsidP="00BE7FB3">
      <w:pPr>
        <w:pStyle w:val="TextoNormal"/>
      </w:pPr>
      <w:r>
        <w:t>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00BE7FB3" w:rsidRDefault="00BE7FB3" w:rsidP="00BE7FB3">
      <w:pPr>
        <w:pStyle w:val="TextoNormal"/>
      </w:pPr>
    </w:p>
    <w:p w:rsidR="00BE7FB3" w:rsidRDefault="00BE7FB3" w:rsidP="00BE7FB3">
      <w:pPr>
        <w:pStyle w:val="TextoNormal"/>
      </w:pPr>
      <w:r w:rsidRPr="00BE7FB3">
        <w:rPr>
          <w:rStyle w:val="NumeroAFNegritaCaracter"/>
        </w:rPr>
        <w:t>9</w:t>
      </w:r>
      <w:r>
        <w:t xml:space="preserve">. Mediante escrito presentado en el Registro General el día 3 de diciembre de 2012,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w:t>
      </w:r>
      <w:r w:rsidRPr="00BE7FB3">
        <w:rPr>
          <w:i/>
        </w:rPr>
        <w:t>sine die</w:t>
      </w:r>
      <w:r>
        <w:t>, pues el procedimiento de responsabilidad tiene una duración máxima prevista de seis meses, sin que se incida por ello en la legislación procesal.</w:t>
      </w:r>
    </w:p>
    <w:p w:rsidR="00BE7FB3" w:rsidRDefault="00BE7FB3" w:rsidP="00BE7FB3">
      <w:pPr>
        <w:pStyle w:val="TextoNormal"/>
      </w:pPr>
    </w:p>
    <w:p w:rsidR="00BE7FB3" w:rsidRDefault="00BE7FB3" w:rsidP="00BE7FB3">
      <w:pPr>
        <w:pStyle w:val="TextoNormal"/>
      </w:pPr>
      <w:r>
        <w:t>Se aduce también que los reproches de inconstitucionalidad sólo pueden entenderse referidos al párrafo sexto del apartado 4 de la disposición adicional sexta, único al que se refiere la argumentación de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00BE7FB3" w:rsidRDefault="00BE7FB3" w:rsidP="00BE7FB3">
      <w:pPr>
        <w:pStyle w:val="TextoNormal"/>
      </w:pPr>
    </w:p>
    <w:p w:rsidR="00BE7FB3" w:rsidRDefault="00BE7FB3" w:rsidP="00BE7FB3">
      <w:pPr>
        <w:pStyle w:val="TextoNormal"/>
      </w:pPr>
      <w:r>
        <w:t xml:space="preserve">Para el Parlamento de Cantabria la norma cuestionada ha sido dictada en el ejercicio de las competencias que ostenta para regular sus instituciones de autogobierno, que le permite </w:t>
      </w:r>
      <w:r>
        <w:lastRenderedPageBreak/>
        <w:t>establecer los órganos propios para el ejercicio de sus competencias. En segundo lugar ampara su actuación en la competencia sobre ordenación del territorio y urbanismo, enmarcando la disposición adicional sexta en la ordenación de las consecuencias indemnizatorias previstas en al art. 122.2 CE. Finalmente, también encontraría cobertura constitucional la norma impugnada en la potestad de establecer los procedimientos administrativos adecuados para el ejercicio de sus competencias, siempre que se respeten las reglas básicas establecidas por el Estado. En este caso la Ley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peculiaridades de la organización y a las necesidades de la Comunidad Autónoma.</w:t>
      </w:r>
    </w:p>
    <w:p w:rsidR="00BE7FB3" w:rsidRDefault="00BE7FB3" w:rsidP="00BE7FB3">
      <w:pPr>
        <w:pStyle w:val="TextoNormal"/>
      </w:pPr>
    </w:p>
    <w:p w:rsidR="00BE7FB3" w:rsidRDefault="00BE7FB3" w:rsidP="00BE7FB3">
      <w:pPr>
        <w:pStyle w:val="TextoNormal"/>
      </w:pPr>
      <w:r>
        <w:t>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y evaluable económicamente.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00BE7FB3" w:rsidRDefault="00BE7FB3" w:rsidP="00BE7FB3">
      <w:pPr>
        <w:pStyle w:val="TextoNormal"/>
      </w:pPr>
    </w:p>
    <w:p w:rsidR="00BE7FB3" w:rsidRDefault="00BE7FB3" w:rsidP="00BE7FB3">
      <w:pPr>
        <w:pStyle w:val="TextoNormal"/>
      </w:pPr>
      <w:r w:rsidRPr="00BE7FB3">
        <w:rPr>
          <w:rStyle w:val="NumeroAFNegritaCaracter"/>
        </w:rPr>
        <w:t>10</w:t>
      </w:r>
      <w:r>
        <w:t>. El Fiscal General del Estado formuló alegaciones mediante escrito presentado el día 10 de diciembre de 2012. Tras detallar el curso del proceso del que esta cuestión de inconstitucionalidad dimana, recoge sucintamente los motivos en los que el órgano judicial funda la inconstitucionalidad de la norma legal, y precisa que aunque la duda de constitucionalidad se dirige formalmente contra la totalidad de las disposición adicional sexta, en realidad la duda se centra en los apartados 4 y 5 de dicha disposición.</w:t>
      </w:r>
    </w:p>
    <w:p w:rsidR="00BE7FB3" w:rsidRDefault="00BE7FB3" w:rsidP="00BE7FB3">
      <w:pPr>
        <w:pStyle w:val="TextoNormal"/>
      </w:pPr>
    </w:p>
    <w:p w:rsidR="00BE7FB3" w:rsidRDefault="00BE7FB3" w:rsidP="00BE7FB3">
      <w:pPr>
        <w:pStyle w:val="TextoNormal"/>
      </w:pPr>
      <w:r>
        <w:t>Comienza el Fiscal por señalar que sólo el párrafo 5 del apartado 4 de la disposición adicional sexta pueda entenderse relevante para la decisión judicial a adoptar, sin que, por el contrario, lo sea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Propone por ello la inadmisión parcial de la cuestión en el sentido acabado de aludir.</w:t>
      </w:r>
    </w:p>
    <w:p w:rsidR="00BE7FB3" w:rsidRDefault="00BE7FB3" w:rsidP="00BE7FB3">
      <w:pPr>
        <w:pStyle w:val="TextoNormal"/>
      </w:pPr>
    </w:p>
    <w:p w:rsidR="00BE7FB3" w:rsidRDefault="00BE7FB3" w:rsidP="00BE7FB3">
      <w:pPr>
        <w:pStyle w:val="TextoNormal"/>
      </w:pPr>
      <w:r>
        <w:t xml:space="preserve">Por lo que se refiere a las competencias autonómicas que sustentan la norma cuestionada, afirma el Fiscal que la indudable competencia exclusiva de la Comunidad Autónoma en materia de urbanismo ha de coexistir con las competencias que el Estado ostenta en virtud del art. 149.1 CE. Tampoco las competencias sobre funcionamiento de sus instituciones de autogobierno y sobre el procedimiento administrativo derivado de las especialidades de la organización propia a que se refieren los núms. 1 y 32 del art. 24 del Estatuto de Autonomía </w:t>
      </w:r>
      <w:r>
        <w:lastRenderedPageBreak/>
        <w:t>de Cantabria, dispensan la cobertura competencial al establecimiento de una regulación propia en materia de indemnización de los particulares por las Administraciones como consecuencia de una lesión causada por los servicios públicos urbanísticos.</w:t>
      </w:r>
    </w:p>
    <w:p w:rsidR="00BE7FB3" w:rsidRDefault="00BE7FB3" w:rsidP="00BE7FB3">
      <w:pPr>
        <w:pStyle w:val="TextoNormal"/>
      </w:pPr>
    </w:p>
    <w:p w:rsidR="00BE7FB3" w:rsidRDefault="00BE7FB3" w:rsidP="00BE7FB3">
      <w:pPr>
        <w:pStyle w:val="TextoNormal"/>
      </w:pPr>
      <w:r>
        <w:t xml:space="preserve">Seguidamente recuerda el Ministerio Fiscal cuales han sido los criterios seguidos por la doctrina constitucional para enjuiciar la competencia autonómica para establecer especialidades procesales </w:t>
      </w:r>
      <w:r w:rsidRPr="00BE7FB3">
        <w:rPr>
          <w:i/>
        </w:rPr>
        <w:t>ex</w:t>
      </w:r>
      <w:r>
        <w:t xml:space="preserve">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00BE7FB3" w:rsidRDefault="00BE7FB3" w:rsidP="00BE7FB3">
      <w:pPr>
        <w:pStyle w:val="TextoNormal"/>
      </w:pPr>
    </w:p>
    <w:p w:rsidR="00BE7FB3" w:rsidRDefault="00BE7FB3" w:rsidP="00BE7FB3">
      <w:pPr>
        <w:pStyle w:val="TextoNormal"/>
      </w:pPr>
      <w: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a que se haya establecido, en su caso, el importe de la indemnización y se haya puesto a disposición del perjudicado, está disponiendo la paralización —probablemente </w:t>
      </w:r>
      <w:r w:rsidRPr="00BE7FB3">
        <w:rPr>
          <w:i/>
        </w:rPr>
        <w:t>sine die</w:t>
      </w:r>
      <w:r>
        <w:t>—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Sala de lo Contencioso-Administrativo del Tribunal Superior de Justicia de Cantabria plantea cuestión de inconstitucionalidad en relación con la disposición adicional sexta de la Ley del Parlamento de Cantabria 2/2001, de 25 de junio, de ordenación territorial y del régimen urbanístico del suelo de Cantabria, introducida por el art.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lastRenderedPageBreak/>
        <w:t>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t>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540-2012, por desaparición sobrevenida de su objeto.</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54" w:name="AUTO_2013_113"/>
      <w:r>
        <w:lastRenderedPageBreak/>
        <w:t>AUTO 113/2013, de 20 de mayo de 2013</w:t>
      </w:r>
    </w:p>
    <w:bookmarkEnd w:id="254"/>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ECLI:ES:TC:2013:113A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extinción de la cuestión de inconstitucionalidad 845-2012, planteada por el Juzgado de lo Contencioso-Administrativo núm. 1 de Santander en relación con el artículo 2 de la Ley del Parlamento de Cantabria 2/2011, de 4 de abril, por la que se modifica la Ley 2/2001, de 25 de junio, de ordenación territorial y del régimen urbanístico del suelo.</w:t>
      </w:r>
    </w:p>
    <w:p w:rsidR="00BE7FB3" w:rsidRDefault="00BE7FB3" w:rsidP="00BE7FB3">
      <w:pPr>
        <w:pStyle w:val="SntesisDescriptiva"/>
      </w:pPr>
    </w:p>
    <w:p w:rsidR="00BE7FB3" w:rsidRDefault="00BE7FB3" w:rsidP="00BE7FB3">
      <w:pPr>
        <w:pStyle w:val="SntesisAnaltica"/>
      </w:pPr>
      <w:r>
        <w:t>Extinción de cuestión de inconstitucionalidad: ATC 104/2013;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Con fecha de 14 de febrero de 2012 tuvo entrada, en el Registro General de este Tribunal, escrito del Juzgado de lo Contencioso-Administrativo núm. 1 de Santander al que se acompañan las actuaciones recaídas en el procedimiento de ejecución 335-2002 y el Auto del mismo órgano, de 23 de enero de 2012, por el que se plantea cuestión de inconstitucionalidad en relación con la disposición adicional sexta de la Ley del Parlamento de Cantabria 2/2001, de 25 de junio, de ordenación territorial y del régimen urbanístico del suelo de Cantabria, introducida por el artículo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que anteceden al planteamiento de la cuestión de inconstitucionalidad son los siguientes:</w:t>
      </w:r>
    </w:p>
    <w:p w:rsidR="00BE7FB3" w:rsidRDefault="00BE7FB3" w:rsidP="00BE7FB3">
      <w:pPr>
        <w:pStyle w:val="TextoNormal"/>
      </w:pPr>
    </w:p>
    <w:p w:rsidR="00BE7FB3" w:rsidRDefault="00BE7FB3" w:rsidP="00BE7FB3">
      <w:pPr>
        <w:pStyle w:val="TextoNormal"/>
      </w:pPr>
      <w:r>
        <w:t xml:space="preserve">a) Mediante Sentencia de 28 de noviembre de 2000 del mismo órgano promotor de la presente cuestión, recaída en el procedimiento ordinario 184-1999, se estimó el recurso contencioso-administrativo interpuesto por la Asociación para la defensa de los recursos naturales de Cantabria (ARCA) contra el acuerdo de la comisión de Gobierno del Ayuntamiento de Argoños, de 17 de abril 1997, por el que se concedió licencia para la construcción de una viviendas unifamiliar en el residencial Las Llamas. La Sentencia disponía la anulación del acto administrativo referido así como la demolición de lo indebidamente construido a su amparo, básicamente, por contravención de lo prevenido en el art. 138 del texto refundido de la Ley del suelo, en relación con la no preservación del valor paisajístico de la zona donde se había concedido licencia de edificación. La resolución fue confirmada en apelación por </w:t>
      </w:r>
      <w:r>
        <w:lastRenderedPageBreak/>
        <w:t>Sentencia de la Sala de lo Contencioso-Administrativo del Tribunal Superior de Justicia de Cantabria, de 10 de mayo de 2001.</w:t>
      </w:r>
    </w:p>
    <w:p w:rsidR="00BE7FB3" w:rsidRDefault="00BE7FB3" w:rsidP="00BE7FB3">
      <w:pPr>
        <w:pStyle w:val="TextoNormal"/>
      </w:pPr>
    </w:p>
    <w:p w:rsidR="00BE7FB3" w:rsidRDefault="00BE7FB3" w:rsidP="00BE7FB3">
      <w:pPr>
        <w:pStyle w:val="TextoNormal"/>
      </w:pPr>
      <w:r>
        <w:t>b) Instada la ejecución de la Sentencia por la recurrente se ordenó la misma con el consiguiente derribo de lo ilegalmente construido. Mediante Auto del órgano sentenciador de 7 de noviembre de 2002 (confirmado en apelación por Sentencia de la Sala de lo Contencioso-Administrativo del Tribunal Superior de Justicia de Cantabria, de 6 de febrero) se requirió a la Administración condenada para la inmediata ejecución de la Sentencia. Posteriormente, con fecha de 1 de septiembre de 2003, se dictó Auto por el mismo juzgador mediante el que se inadmitía el incidente de planteado por la Administración demandada, en razón de su extemporaneidad.</w:t>
      </w:r>
    </w:p>
    <w:p w:rsidR="00BE7FB3" w:rsidRDefault="00BE7FB3" w:rsidP="00BE7FB3">
      <w:pPr>
        <w:pStyle w:val="TextoNormal"/>
      </w:pPr>
    </w:p>
    <w:p w:rsidR="00BE7FB3" w:rsidRDefault="00BE7FB3" w:rsidP="00BE7FB3">
      <w:pPr>
        <w:pStyle w:val="TextoNormal"/>
      </w:pPr>
      <w:r>
        <w:t>Tras distintas vicisitudes procesales, la representación procesal del Ayuntamiento de Argoños presentó escrito solicitando la incoación del oportuno incidente al amparo del art. 109 de la Ley reguladora de la jurisdicción contencioso-administrativa con el objeto de que se suspendiera la ejecución de la Sentencia de 21 de noviembre de 2000 en tanto no se procediera a la indemnización de los propietarios de las viviendas sujetas a demolición. La solicitud traía causa de la aprobación de la Ley del Parlamento de Cantabria 2/2011, de 4 de abril, por la que se modifica la Ley 2/2001, de 25 de junio, de ordenación territorial y régimen urbanístico del suelo en Cantabria, en relación con los procedimientos de indemnización patrimonial en materia urbanística.</w:t>
      </w:r>
    </w:p>
    <w:p w:rsidR="00BE7FB3" w:rsidRDefault="00BE7FB3" w:rsidP="00BE7FB3">
      <w:pPr>
        <w:pStyle w:val="TextoNormal"/>
      </w:pPr>
    </w:p>
    <w:p w:rsidR="00BE7FB3" w:rsidRDefault="00BE7FB3" w:rsidP="00BE7FB3">
      <w:pPr>
        <w:pStyle w:val="TextoNormal"/>
      </w:pPr>
      <w:r>
        <w:t>c) Por providencia de 14 de noviembre de 2011, el Juzgado de lo Contencioso-Administrativo núm. 1 de Santander acordó oír a las partes y al Ministerio Fiscal por el término común de diez días sobre la pertinencia de plantear cuestión de inconstitucionalidad, o sobre el fondo de la misma, respecto a la disposición adicional sexta de la Ley del Parlamento de Cantabria 2/2001, de 25 de junio, de ordenación territorial y del régimen urbanístico del suelo de Cantabria, introducida por el artículo 2 de la Ley de Cantabria 2/2011, de 4 de abril,, por si pudiera concurrir “vicio de inconstitucionalidad por infracción de los arts. 149.1.6 y 149.1.18 CE”.</w:t>
      </w:r>
    </w:p>
    <w:p w:rsidR="00BE7FB3" w:rsidRDefault="00BE7FB3" w:rsidP="00BE7FB3">
      <w:pPr>
        <w:pStyle w:val="TextoNormal"/>
      </w:pPr>
    </w:p>
    <w:p w:rsidR="00BE7FB3" w:rsidRDefault="00BE7FB3" w:rsidP="00BE7FB3">
      <w:pPr>
        <w:pStyle w:val="TextoNormal"/>
      </w:pPr>
      <w:r>
        <w:t>d) Únicamente evacuó trámite de alegaciones el Ministerio Fiscal, mostrándose favorable a la interposición de la impugnación.</w:t>
      </w:r>
    </w:p>
    <w:p w:rsidR="00BE7FB3" w:rsidRDefault="00BE7FB3" w:rsidP="00BE7FB3">
      <w:pPr>
        <w:pStyle w:val="TextoNormal"/>
      </w:pPr>
    </w:p>
    <w:p w:rsidR="00BE7FB3" w:rsidRDefault="00BE7FB3" w:rsidP="00BE7FB3">
      <w:pPr>
        <w:pStyle w:val="TextoNormal"/>
      </w:pPr>
      <w:r>
        <w:t>e) El órgano judicial dictó el Auto de 23 de enero de 2012 planteando la cuestión de inconstitucionalidad en relación con: “la disposición adicional sexta de la Ley de Cantabria 2/2011, de 4 de abril, por la que se modifica la Ley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 Administrativa 29/1998, de 13 de julio. Todo ello en relación con los arts. 9.3, 24.1, 106.1, 117 y 118 del texto constitucional”.</w:t>
      </w:r>
    </w:p>
    <w:p w:rsidR="00BE7FB3" w:rsidRDefault="00BE7FB3" w:rsidP="00BE7FB3">
      <w:pPr>
        <w:pStyle w:val="TextoNormal"/>
      </w:pPr>
    </w:p>
    <w:p w:rsidR="00BE7FB3" w:rsidRDefault="00BE7FB3" w:rsidP="00BE7FB3">
      <w:pPr>
        <w:pStyle w:val="TextoNormal"/>
      </w:pPr>
      <w:r w:rsidRPr="00BE7FB3">
        <w:rPr>
          <w:rStyle w:val="NumeroAFNegritaCaracter"/>
        </w:rPr>
        <w:t>3</w:t>
      </w:r>
      <w:r>
        <w:t>. La fundamentación de la cuestión contenida en el Auto es la siguiente:</w:t>
      </w:r>
    </w:p>
    <w:p w:rsidR="00BE7FB3" w:rsidRDefault="00BE7FB3" w:rsidP="00BE7FB3">
      <w:pPr>
        <w:pStyle w:val="TextoNormal"/>
      </w:pPr>
    </w:p>
    <w:p w:rsidR="00BE7FB3" w:rsidRDefault="00BE7FB3" w:rsidP="00BE7FB3">
      <w:pPr>
        <w:pStyle w:val="TextoNormal"/>
      </w:pPr>
      <w:r>
        <w:t>Tras exponer los antecedentes del caso, en especial en relación con el procedimiento de ejecución (335-2002) de la Sentencia, inicia el Auto sus razonamientos jurídicos señalando que se solita la suspensión de la ejecución de la sentencia recaída en el recurso contencioso-administrativo procedimiento ordinario 184-1999 en tanto en cuanto se tramita el procedimiento de indemnización previsto en la disposición adicional sexta de la Ley del Parlamento de Cantabria 2/2001, de 25 de junio, de ordenación territorial y del régimen urbanístico del suelo de Cantabria, introducida por el artículo 2 de la Ley del Parlamento de Cantabria 2/2011, de 4 de abril, en relación con los procedimientos de indemnización patrimonial en materia urbanística.</w:t>
      </w:r>
    </w:p>
    <w:p w:rsidR="00BE7FB3" w:rsidRDefault="00BE7FB3" w:rsidP="00BE7FB3">
      <w:pPr>
        <w:pStyle w:val="TextoNormal"/>
      </w:pPr>
    </w:p>
    <w:p w:rsidR="00BE7FB3" w:rsidRDefault="00BE7FB3" w:rsidP="00BE7FB3">
      <w:pPr>
        <w:pStyle w:val="TextoNormal"/>
      </w:pPr>
      <w:r>
        <w:t>El órgano promotor manifiesta que ha intentado realizar una interpretación conforme a la Constitución del precepto cuestionado, en orden a determinar si en realidad su tenor se aplica únicamente al régimen de la responsabilidad patrimonial de la Administración, con lo cual no se impediría la ejecución subsidiaria por tercero no afectado por la norma. No obstante, y por las razones que se incluyen en la fundamentación del Auto de planteamiento de la cuestión, entiende que esa interpretación excede del tenor de la norma que impugna.</w:t>
      </w:r>
    </w:p>
    <w:p w:rsidR="00BE7FB3" w:rsidRDefault="00BE7FB3" w:rsidP="00BE7FB3">
      <w:pPr>
        <w:pStyle w:val="TextoNormal"/>
      </w:pPr>
    </w:p>
    <w:p w:rsidR="00BE7FB3" w:rsidRDefault="00BE7FB3" w:rsidP="00BE7FB3">
      <w:pPr>
        <w:pStyle w:val="TextoNormal"/>
      </w:pPr>
      <w:r>
        <w:t>El órgano promotor manifiesta igualmente compartir y asumir los razonamientos incluidos en el Auto de 27 de julio de 2011, por el que la Sala de lo Contencioso-Administrativo del Tribunal Superior de Justicia de Cantabria elevó cuestión ante este Tribunal sobre idéntica disposición, planteada en un procedimiento similar. Hechas estas precisiones, el Auto reproduce las afirmaciones del preámbulo de la Ley 2/2011 en el sentido de que la misma es resultado de la resolución del Parlamento de Cantabria de 22 de julio de 2010 en la que se instaba al Gobierno a que “propusiera las modificaciones normativas necesarias para que a los propietarios sobre los que pesan sentencias firmes de derribo, como consecuencia de 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en el convencimiento de que una rápida respuesta de la Administración Pública, si bien no minorará los indudables perjuicios causados a los particulares, al menos no empeorará su situación. Por ello, la norma se limita a permitir la sustanciación del procedimiento de forma anticipada, sujetando la eficacia de la resolución indemnizatoria a la condición suspensiva de que el propietario del inmueble afectado ponga éste a disposición de la Administración obligada a materializar el derribo”. En consecuencia proclama que “las previsiones legales no alteran en modo alguno el régimen general de responsabilidad patrimonial, ni prejuzgan la Administración responsable, ni desde luego inciden sobre las diversas modalidades indemnizatorias que puedan existir al margen del sistema de responsabilidad patrimonial, a través de fórmulas urbanísticas que, como transferencias de aprovechamiento, garanticen la indemnidad del patrimonio de los particulares. Estos extremos se recogen en la normativa general, en cuyo marco se incardina la presente 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w:t>
      </w:r>
    </w:p>
    <w:p w:rsidR="00BE7FB3" w:rsidRDefault="00BE7FB3" w:rsidP="00BE7FB3">
      <w:pPr>
        <w:pStyle w:val="TextoNormal"/>
      </w:pPr>
    </w:p>
    <w:p w:rsidR="00BE7FB3" w:rsidRDefault="00BE7FB3" w:rsidP="00BE7FB3">
      <w:pPr>
        <w:pStyle w:val="TextoNormal"/>
      </w:pPr>
      <w:r>
        <w:lastRenderedPageBreak/>
        <w:t>El órgano promotor de la cuestión estima que la encomienda del Parlamento a la que la Ley 2/2011 dice responder lo era para interferir directamente en las Sentencias de derribo de forma que éstas no pudieran llevarse a efecto sin previa indemnización a los propietarios.</w:t>
      </w:r>
    </w:p>
    <w:p w:rsidR="00BE7FB3" w:rsidRDefault="00BE7FB3" w:rsidP="00BE7FB3">
      <w:pPr>
        <w:pStyle w:val="TextoNormal"/>
      </w:pPr>
    </w:p>
    <w:p w:rsidR="00BE7FB3" w:rsidRDefault="00BE7FB3" w:rsidP="00BE7FB3">
      <w:pPr>
        <w:pStyle w:val="TextoNormal"/>
      </w:pPr>
      <w:r>
        <w:t>Ahora bien para el órgano judicial cuestionante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que la Sala de lo Contencioso-Administrativo del Tribunal Superior de Justicia de Cantabria ha rechazado, por la falta de efectividad del daño, reclamaciones patrimoniales que se han planteado en incidentes de ejecución, criterio que también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(arts. 139 y ss.).</w:t>
      </w:r>
    </w:p>
    <w:p w:rsidR="00BE7FB3" w:rsidRDefault="00BE7FB3" w:rsidP="00BE7FB3">
      <w:pPr>
        <w:pStyle w:val="TextoNormal"/>
      </w:pPr>
    </w:p>
    <w:p w:rsidR="00BE7FB3" w:rsidRDefault="00BE7FB3" w:rsidP="00BE7FB3">
      <w:pPr>
        <w:pStyle w:val="TextoNormal"/>
      </w:pPr>
      <w:r>
        <w:t>En segundo lugar señala que la ejecución de Sentencias forma parte del derecho a la tutela judicial efectiva (art. 24.1 CE) correspondiendo el ejercicio de esta potestad jurisdiccional en exclusiva a los Juzgados y Tribunales (art. 117.3 CE), señalando la misma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permite suspensión alguna en la ejecución de Sentencias. 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tres meses, condicionada a la puesta a disposición de la Administración del inmueble a derribar. Para el órgano cuestionante esta previsión pretende incluir a los derribos consecuencia de resoluciones judiciales se deriva de lo dispuesto en el punto cinco de la referida disposición en cuanto dispone que “La Administración que tramite un expediente de responsabilidad patrimonial que tenga por objeto una lesión producida como consecuencia de actuaciones administrativas declaradas ilegales que determinen el derribo de edificaciones, deberá comunicar el inicio de la sustanciación de dicho expediente al órgano judicial encargado de la ejecución de la sentencia”.</w:t>
      </w:r>
    </w:p>
    <w:p w:rsidR="00BE7FB3" w:rsidRDefault="00BE7FB3" w:rsidP="00BE7FB3">
      <w:pPr>
        <w:pStyle w:val="TextoNormal"/>
      </w:pPr>
    </w:p>
    <w:p w:rsidR="00BE7FB3" w:rsidRDefault="00BE7FB3" w:rsidP="00BE7FB3">
      <w:pPr>
        <w:pStyle w:val="TextoNormal"/>
      </w:pPr>
      <w:r>
        <w:t xml:space="preserve">El promotor de la cuestión sostiene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En concreto el Auto cita la solicitud de la comisión de peticiones del Parlamento Europeo al Gobierno de Cantabria en el sentido de adoptar soluciones para los afectados por los derribos considerando que era la </w:t>
      </w:r>
      <w:r>
        <w:lastRenderedPageBreak/>
        <w:t>Administración la que había cometido errores compeliendo a que se reconociera a los terceros adquirentes el derecho a recibir una indemnización justa que refleje el valor de sus bienes. A ese llamamiento responde, según el Auto, la ley cuestionada si bien, para que la Administración pueda dar cumplimiento a ese mandato se hace preciso la suspensión de la ejecución por el Tribunal pues, en caso de no accederse a ésta, la demolición precedería al procedimiento, convirtiendo en ilusorio el objetivo de la reforma.</w:t>
      </w:r>
    </w:p>
    <w:p w:rsidR="00BE7FB3" w:rsidRDefault="00BE7FB3" w:rsidP="00BE7FB3">
      <w:pPr>
        <w:pStyle w:val="TextoNormal"/>
      </w:pPr>
    </w:p>
    <w:p w:rsidR="00BE7FB3" w:rsidRDefault="00BE7FB3" w:rsidP="00BE7FB3">
      <w:pPr>
        <w:pStyle w:val="TextoNormal"/>
      </w:pPr>
      <w:r>
        <w:t xml:space="preserve">A continuación,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para la que los órganos judiciales carecen de competencias, pues no pueden establecer la suspensión de la ejecución judicial en tanto no se tramite el expediente de responsabilidad patrimonial. Máxime cuando se obliga a que la demolición sea posterior a la puesta a disposición del perjudicado del importe de la indemnización, lo que, en el supuesto de autos, supondría, de hecho, la suspensión </w:t>
      </w:r>
      <w:r w:rsidRPr="00BE7FB3">
        <w:rPr>
          <w:i/>
        </w:rPr>
        <w:t>sine die</w:t>
      </w:r>
      <w:r>
        <w:t xml:space="preserve"> ante la ausencia de recursos suficientes por parte de los ayuntamientos responsables, insuficiencia de recursos puesta de manifiesto por el Tribunal de Cuentas en su informe de fiscalización de año 2010 y esgrimida por la propia Administración local como causa de inejecución de la Sentencia.</w:t>
      </w:r>
    </w:p>
    <w:p w:rsidR="00BE7FB3" w:rsidRDefault="00BE7FB3" w:rsidP="00BE7FB3">
      <w:pPr>
        <w:pStyle w:val="TextoNormal"/>
      </w:pPr>
    </w:p>
    <w:p w:rsidR="00BE7FB3" w:rsidRDefault="00BE7FB3" w:rsidP="00BE7FB3">
      <w:pPr>
        <w:pStyle w:val="TextoNormal"/>
      </w:pPr>
      <w:r>
        <w:t>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de este incidente. Razón por la cual esta Sala considera cumplido el juicio de relevancia”. Suspensión que al dejar en manos de la Administración y de los particulares afectados la propia efectividad del cumplimiento del fallo entra así en conflicto con el art. 117.3 CE y con el art. 105.1 de la Ley 29/1998, que no prevé suspensión alguna de la ejecución.</w:t>
      </w:r>
    </w:p>
    <w:p w:rsidR="00BE7FB3" w:rsidRDefault="00BE7FB3" w:rsidP="00BE7FB3">
      <w:pPr>
        <w:pStyle w:val="TextoNormal"/>
      </w:pPr>
    </w:p>
    <w:p w:rsidR="00BE7FB3" w:rsidRDefault="00BE7FB3" w:rsidP="00BE7FB3">
      <w:pPr>
        <w:pStyle w:val="TextoNormal"/>
      </w:pPr>
      <w:r>
        <w:t>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ésta por la que la Sala de lo Contencioso-Administrativo del Tribunal Superior de Justicia de Cantabria, en el curso de los distintos procedimientos de responsabilidad patrimonial que 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00BE7FB3" w:rsidRDefault="00BE7FB3" w:rsidP="00BE7FB3">
      <w:pPr>
        <w:pStyle w:val="TextoNormal"/>
      </w:pPr>
    </w:p>
    <w:p w:rsidR="00BE7FB3" w:rsidRDefault="00BE7FB3" w:rsidP="00BE7FB3">
      <w:pPr>
        <w:pStyle w:val="TextoNormal"/>
      </w:pPr>
      <w:r w:rsidRPr="00BE7FB3">
        <w:rPr>
          <w:rStyle w:val="NumeroAFNegritaCaracter"/>
        </w:rPr>
        <w:t>4</w:t>
      </w:r>
      <w:r>
        <w:t>.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Segunda de este Tribunal el conocimiento de la presente cuestión.</w:t>
      </w:r>
    </w:p>
    <w:p w:rsidR="00BE7FB3" w:rsidRDefault="00BE7FB3" w:rsidP="00BE7FB3">
      <w:pPr>
        <w:pStyle w:val="TextoNormal"/>
      </w:pPr>
    </w:p>
    <w:p w:rsidR="00BE7FB3" w:rsidRDefault="00BE7FB3" w:rsidP="00BE7FB3">
      <w:pPr>
        <w:pStyle w:val="TextoNormal"/>
      </w:pPr>
      <w:r>
        <w:t>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00BE7FB3" w:rsidRDefault="00BE7FB3" w:rsidP="00BE7FB3">
      <w:pPr>
        <w:pStyle w:val="TextoNormal"/>
      </w:pPr>
    </w:p>
    <w:p w:rsidR="00BE7FB3" w:rsidRDefault="00BE7FB3" w:rsidP="00BE7FB3">
      <w:pPr>
        <w:pStyle w:val="TextoNormal"/>
      </w:pPr>
      <w:r w:rsidRPr="00BE7FB3">
        <w:rPr>
          <w:rStyle w:val="NumeroAFNegritaCaracter"/>
        </w:rPr>
        <w:t>5</w:t>
      </w:r>
      <w:r>
        <w:t>.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formuló alegaciones el día 26 de noviembre de 2012, interesando la inadmisión de la cuestión de inconstitucionalidad respecto de los apartados 1, 2, y 3 y los párrafos tercero, cuarto y sexto del apartado 4 de la disposición adicional sexta de la Ley regional 2/2001, de 25 de junio, así como la estimación de la cuestión respecto de los párrafos primero, segundo y quinto de apartado 4 y el apartado 5 de la citada disposición adicional sexta.</w:t>
      </w:r>
    </w:p>
    <w:p w:rsidR="00BE7FB3" w:rsidRDefault="00BE7FB3" w:rsidP="00BE7FB3">
      <w:pPr>
        <w:pStyle w:val="TextoNormal"/>
      </w:pPr>
    </w:p>
    <w:p w:rsidR="00BE7FB3" w:rsidRDefault="00BE7FB3" w:rsidP="00BE7FB3">
      <w:pPr>
        <w:pStyle w:val="TextoNormal"/>
      </w:pPr>
      <w:r>
        <w:t>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00BE7FB3" w:rsidRDefault="00BE7FB3" w:rsidP="00BE7FB3">
      <w:pPr>
        <w:pStyle w:val="TextoNormal"/>
      </w:pPr>
    </w:p>
    <w:p w:rsidR="00BE7FB3" w:rsidRDefault="00BE7FB3" w:rsidP="00BE7FB3">
      <w:pPr>
        <w:pStyle w:val="TextoNormal"/>
      </w:pPr>
      <w:r>
        <w:t xml:space="preserve">Comienza el Abogado del Estado por no cuestionar el juicio que sobre la aplicabilidad </w:t>
      </w:r>
      <w:r w:rsidRPr="00BE7FB3">
        <w:rPr>
          <w:i/>
        </w:rPr>
        <w:t>ratione temporis</w:t>
      </w:r>
      <w:r>
        <w:t xml:space="preserve"> de la disposición adicional sexta realiza el órgano judicial, pues, en la medida en que resulta tan razonable como la tesis contraria, ha de ser respetado tanto por las partes como por el Tribunal Constitucional. Seguidamente 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w:t>
      </w:r>
      <w:r>
        <w:lastRenderedPageBreak/>
        <w:t xml:space="preserve">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w:t>
      </w:r>
      <w:r w:rsidRPr="00BE7FB3">
        <w:rPr>
          <w:i/>
        </w:rPr>
        <w:t>sine die</w:t>
      </w:r>
      <w:r>
        <w:t xml:space="preserv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00BE7FB3" w:rsidRDefault="00BE7FB3" w:rsidP="00BE7FB3">
      <w:pPr>
        <w:pStyle w:val="TextoNormal"/>
      </w:pPr>
    </w:p>
    <w:p w:rsidR="00BE7FB3" w:rsidRDefault="00BE7FB3" w:rsidP="00BE7FB3">
      <w:pPr>
        <w:pStyle w:val="TextoNormal"/>
      </w:pPr>
      <w: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básicas estatales. Pero este no es el caso de la norma regional cuestionada, puesto que el hecho generador de la responsabilidad está recogido en la norma estatal general y sectorial [arts. 142 de la Ley de régimen jurídico de las Administraciones públicas y del procedimiento administrativo común (LRJAP), 35 d) del texto refundido de la Ley sobre régimen del suelo y ordenación urbana y 44.2 de la Ley sobre régimen del suelo y valoraciones (Ley 6/1998, de 13 de abril)], sino que la inconstitucionalidad vendría como consecuencia de separarse el legislador autonómico de la regulación de uno de los elementos esenciales de la responsabilidad establecido en la norma estatal, cual es el requisito de que el daño sea efectivo. Al permitir que se indemnice antes de que se produzca la demolición efectiva se están indemnizando daños no actuales sino futuros, separándose así de la regla establecida en el art. 139.2 de la Ley 30/1992 con carácter básico al amparo de la competencia exclusiva del estado </w:t>
      </w:r>
      <w:r w:rsidRPr="00BE7FB3">
        <w:rPr>
          <w:i/>
        </w:rPr>
        <w:t>ex</w:t>
      </w:r>
      <w:r>
        <w:t xml:space="preserve"> art. 149.1.18 CE.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00BE7FB3" w:rsidRDefault="00BE7FB3" w:rsidP="00BE7FB3">
      <w:pPr>
        <w:pStyle w:val="TextoNormal"/>
      </w:pPr>
    </w:p>
    <w:p w:rsidR="00BE7FB3" w:rsidRDefault="00BE7FB3" w:rsidP="00BE7FB3">
      <w:pPr>
        <w:pStyle w:val="TextoNormal"/>
      </w:pPr>
      <w:r w:rsidRPr="00BE7FB3">
        <w:rPr>
          <w:rStyle w:val="NumeroAFNegritaCaracter"/>
        </w:rPr>
        <w:t>8</w:t>
      </w:r>
      <w:r>
        <w:t>. Mediante escrito presentado en el Registro General de este Tribunal el día 28 de noviembre de 2012, el Letrado de los servicios jurídicos del Gobierno de Cantabria, formuló alegaciones interesando la desestimación de la cuestión de inconstitucionalidad. Tras recordar, sirviéndose de la reproducción parcial de la exposición de motivos de la ley impugnada, que la ley trata de resolver la afectación de terceros adquirentes por la ejecución de resoluciones judiciales y administrativas que lleven consigo la demolición de viviendas —problema social y jurídico que ha sido objeto de atención por las instituciones europeas—, aborda el análisis de los dos motivos de inconstitucionalidad suscitados en el Auto de planteamiento de la cuestión de inconstitucionalidad.</w:t>
      </w:r>
    </w:p>
    <w:p w:rsidR="00BE7FB3" w:rsidRDefault="00BE7FB3" w:rsidP="00BE7FB3">
      <w:pPr>
        <w:pStyle w:val="TextoNormal"/>
      </w:pPr>
    </w:p>
    <w:p w:rsidR="00BE7FB3" w:rsidRDefault="00BE7FB3" w:rsidP="00BE7FB3">
      <w:pPr>
        <w:pStyle w:val="TextoNormal"/>
      </w:pPr>
      <w:r>
        <w:lastRenderedPageBreak/>
        <w:t xml:space="preserve">Rechaza en primer lugar que la norma impugnada suponga la invasión de la competencia estatal en materia de ejecución procesal </w:t>
      </w:r>
      <w:r w:rsidRPr="00BE7FB3">
        <w:rPr>
          <w:i/>
        </w:rPr>
        <w:t>ex</w:t>
      </w:r>
      <w:r>
        <w:t xml:space="preserve">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00BE7FB3" w:rsidRDefault="00BE7FB3" w:rsidP="00BE7FB3">
      <w:pPr>
        <w:pStyle w:val="TextoNormal"/>
      </w:pPr>
    </w:p>
    <w:p w:rsidR="00BE7FB3" w:rsidRDefault="00BE7FB3" w:rsidP="00BE7FB3">
      <w:pPr>
        <w:pStyle w:val="TextoNormal"/>
      </w:pPr>
      <w:r>
        <w:t>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especialidades procedimentales derivadas de su organización propia que tienen cobertura en el art. 24, apartados 1, 3 y 22, así como en el art. 35, apartado 3, del Estatuto de Autonomía de Cantabria. El órgano judicial sigue manteniendo el control de la ejecución y a él compete la adopción de las medidas tendentes a la ejecución del fallo, sin que la obligación de tramitar el expediente de responsabilidad interfiera en las facultades de aquél, sino que se orienta a un rápido resarcimiento del perjudicado por la actuación administrativa declarada ilegal.</w:t>
      </w:r>
    </w:p>
    <w:p w:rsidR="00BE7FB3" w:rsidRDefault="00BE7FB3" w:rsidP="00BE7FB3">
      <w:pPr>
        <w:pStyle w:val="TextoNormal"/>
      </w:pPr>
    </w:p>
    <w:p w:rsidR="00BE7FB3" w:rsidRDefault="00BE7FB3" w:rsidP="00BE7FB3">
      <w:pPr>
        <w:pStyle w:val="TextoNormal"/>
      </w:pPr>
      <w:r>
        <w:t>Rebate también el Gobierno de Cantabria que la norma cuestionada vulnera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 En apoyo de su tesis establece un paralelismo con la doctrina constitucional en materia de expropiación forzosa (STC 37/1987, de 26 de marzo), materia en la cual el Tribunal Constitucional ha admitido la posibilidad de que las Comunidades Autónomas establezcan nuevos supuestos expropiatorios, y la STC 164/2001, de 11 de julio, en el que también se admite la regulación autonómica de nuevos supuestos indemnizatorios en materia de responsabilidad administrativa urbanística.</w:t>
      </w:r>
    </w:p>
    <w:p w:rsidR="00BE7FB3" w:rsidRDefault="00BE7FB3" w:rsidP="00BE7FB3">
      <w:pPr>
        <w:pStyle w:val="TextoNormal"/>
      </w:pPr>
    </w:p>
    <w:p w:rsidR="00BE7FB3" w:rsidRDefault="00BE7FB3" w:rsidP="00BE7FB3">
      <w:pPr>
        <w:pStyle w:val="TextoNormal"/>
      </w:pPr>
      <w:r>
        <w:t xml:space="preserve">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w:t>
      </w:r>
      <w:r>
        <w:lastRenderedPageBreak/>
        <w:t>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00BE7FB3" w:rsidRDefault="00BE7FB3" w:rsidP="00BE7FB3">
      <w:pPr>
        <w:pStyle w:val="TextoNormal"/>
      </w:pPr>
    </w:p>
    <w:p w:rsidR="00BE7FB3" w:rsidRDefault="00BE7FB3" w:rsidP="00BE7FB3">
      <w:pPr>
        <w:pStyle w:val="TextoNormal"/>
      </w:pPr>
      <w:r w:rsidRPr="00BE7FB3">
        <w:rPr>
          <w:rStyle w:val="NumeroAFNegritaCaracter"/>
        </w:rPr>
        <w:t>9</w:t>
      </w:r>
      <w:r>
        <w:t xml:space="preserve">. Mediante escrito presentado en el Registro General el día 30 de noviembre de 2012,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w:t>
      </w:r>
      <w:r w:rsidRPr="00BE7FB3">
        <w:rPr>
          <w:i/>
        </w:rPr>
        <w:t>sine die</w:t>
      </w:r>
      <w:r>
        <w:t>, pues el procedimiento de responsabilidad tiene una duración máxima prevista de seis meses, sin que se incida por ello en la legislación procesal.</w:t>
      </w:r>
    </w:p>
    <w:p w:rsidR="00BE7FB3" w:rsidRDefault="00BE7FB3" w:rsidP="00BE7FB3">
      <w:pPr>
        <w:pStyle w:val="TextoNormal"/>
      </w:pPr>
    </w:p>
    <w:p w:rsidR="00BE7FB3" w:rsidRDefault="00BE7FB3" w:rsidP="00BE7FB3">
      <w:pPr>
        <w:pStyle w:val="TextoNormal"/>
      </w:pPr>
      <w:r>
        <w:t>Se aduce también que los reproches de inconstitucionalidad sólo pueden entenderse referidos al párrafo sexto del apartado 4 de la disposición adicional sexta, único al que se refiere la argumentación del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00BE7FB3" w:rsidRDefault="00BE7FB3" w:rsidP="00BE7FB3">
      <w:pPr>
        <w:pStyle w:val="TextoNormal"/>
      </w:pPr>
    </w:p>
    <w:p w:rsidR="00BE7FB3" w:rsidRDefault="00BE7FB3" w:rsidP="00BE7FB3">
      <w:pPr>
        <w:pStyle w:val="TextoNormal"/>
      </w:pPr>
      <w:r>
        <w:t>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de que tratamos en la ordenación de las consecuencias indemnizatorias previstas en al art. 122.2 CE para funcionamiento normal o anormal de los servicios públicos, en este caso aquellos que han dado origen a que una Sentencia declare la ilegalidad de una edificación y sea obligada su demolición. Finalmente, también encuentra cobertura constitucional la norma impugnada en la potestad de establecer los procedimientos administrativos adecuados para el ejercicio de sus competencias, siempre que se respeten las reglas básicas establecidas por el Estado. En este caso la Ley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especialidades de la Comunidad Autónoma.</w:t>
      </w:r>
    </w:p>
    <w:p w:rsidR="00BE7FB3" w:rsidRDefault="00BE7FB3" w:rsidP="00BE7FB3">
      <w:pPr>
        <w:pStyle w:val="TextoNormal"/>
      </w:pPr>
    </w:p>
    <w:p w:rsidR="00BE7FB3" w:rsidRDefault="00BE7FB3" w:rsidP="00BE7FB3">
      <w:pPr>
        <w:pStyle w:val="TextoNormal"/>
      </w:pPr>
      <w:r>
        <w:lastRenderedPageBreak/>
        <w:t>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evaluable económicamente ya antes del derribo material de la edificación.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00BE7FB3" w:rsidRDefault="00BE7FB3" w:rsidP="00BE7FB3">
      <w:pPr>
        <w:pStyle w:val="TextoNormal"/>
      </w:pPr>
    </w:p>
    <w:p w:rsidR="00BE7FB3" w:rsidRDefault="00BE7FB3" w:rsidP="00BE7FB3">
      <w:pPr>
        <w:pStyle w:val="TextoNormal"/>
      </w:pPr>
      <w:r w:rsidRPr="00BE7FB3">
        <w:rPr>
          <w:rStyle w:val="NumeroAFNegritaCaracter"/>
        </w:rPr>
        <w:t>10</w:t>
      </w:r>
      <w:r>
        <w:t>. El Fiscal General del Estado formuló alegaciones mediante escrito presentado el día 10 de diciembre de 2012. Tras detallar el curso del proceso del que esta cuestión de inconstitucionalidad dimana, recoge sucintamente los motivos en los que el órgano judicial funda la inconstitucionalidad de la norma legal, así como las alegaciones que en torno a esta cuestión se vertieron ante el órgano judicial proponente, y precisa que aunque la duda de constitucionalidad se dirige formalmente contra la totalidad de las disposición adicional sexta, en realidad se centra en los apartados 4 y 5 de dicha disposición.</w:t>
      </w:r>
    </w:p>
    <w:p w:rsidR="00BE7FB3" w:rsidRDefault="00BE7FB3" w:rsidP="00BE7FB3">
      <w:pPr>
        <w:pStyle w:val="TextoNormal"/>
      </w:pPr>
    </w:p>
    <w:p w:rsidR="00BE7FB3" w:rsidRDefault="00BE7FB3" w:rsidP="00BE7FB3">
      <w:pPr>
        <w:pStyle w:val="TextoNormal"/>
      </w:pPr>
      <w:r>
        <w:t xml:space="preserve">Comienza el Fiscal por señalar que la duda se suscita con ocasión de tener que resolver el órgano judicial la solicitud de paralización de la ejecución de Sentencia en cuanto a la demolición de las obras ejecutadas al amparo de la licencia anulada en el proceso </w:t>
      </w:r>
      <w:r w:rsidRPr="00BE7FB3">
        <w:rPr>
          <w:i/>
        </w:rPr>
        <w:t>a quo</w:t>
      </w:r>
      <w:r>
        <w:t>. De ahí que sólo el párrafo 5 del apartado 4 de la disposición adicional sexta pueda entenderse relevante para la decisión judicial a adoptar, sin que, por el contrario, lo sean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sino tan sólo sobre si resulta o no procedente la suspensión de la ejecución de la Sentencia en tanto se sustancia ante la Administración el aludido expediente de responsabilidad patrimonial. Propone por ello la inadmisión parcial de la cuestión en el sentido acabado de aludir.</w:t>
      </w:r>
    </w:p>
    <w:p w:rsidR="00BE7FB3" w:rsidRDefault="00BE7FB3" w:rsidP="00BE7FB3">
      <w:pPr>
        <w:pStyle w:val="TextoNormal"/>
      </w:pPr>
    </w:p>
    <w:p w:rsidR="00BE7FB3" w:rsidRDefault="00BE7FB3" w:rsidP="00BE7FB3">
      <w:pPr>
        <w:pStyle w:val="TextoNormal"/>
      </w:pPr>
      <w:r>
        <w:t>Enmarca seguidamente la cuestión suscitada en la problemática surgida como consecuencia de la edificación extensiva en la costa española, la cual ha dado lugar a diversas iniciativas europeas sobre la cuestión así como a una profusa jurisprudencia del Tribunal Supremo que niega que frente a las vulneraciones de la legalidad urbanística en la construcción de viviendas puedan sus adquirentes oponer su condición de tercero hipotecario en relación con la demolición de las viviendas. Es en este contexto en el que sitúa la norma autonómica cuestionada, pues su dictado respondió a la encomienda del Parlamento de Cantabria para que el Gobierno regional impulsase las modificaciones normativas necesarias para que quienes hubieran de soportar la demolición de sus viviendas en ejecución de resoluciones judiciales, percibieran previamente la indemnización que les correspondiese.</w:t>
      </w:r>
    </w:p>
    <w:p w:rsidR="00BE7FB3" w:rsidRDefault="00BE7FB3" w:rsidP="00BE7FB3">
      <w:pPr>
        <w:pStyle w:val="TextoNormal"/>
      </w:pPr>
    </w:p>
    <w:p w:rsidR="00BE7FB3" w:rsidRDefault="00BE7FB3" w:rsidP="00BE7FB3">
      <w:pPr>
        <w:pStyle w:val="TextoNormal"/>
      </w:pPr>
      <w:r>
        <w:t xml:space="preserve">Por lo que se refiere a las competencias autonómicas que sustentan la norma cuestionada, afirma el Fiscal que la indudable competencia exclusiva de la Comunidad Autónoma en materia de urbanismo no excluye la competencia estatal en materia de responsabilidad patrimonial de la Administración. Y tampoco las competencias sobre funcionamiento de sus </w:t>
      </w:r>
      <w:r>
        <w:lastRenderedPageBreak/>
        <w:t>instituciones de autogobierno y sobre el procedimiento administrativo derivado de las especialidades de la organización propia a que se refieren los núms. 1 y 32 del art. 2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00BE7FB3" w:rsidRDefault="00BE7FB3" w:rsidP="00BE7FB3">
      <w:pPr>
        <w:pStyle w:val="TextoNormal"/>
      </w:pPr>
    </w:p>
    <w:p w:rsidR="00BE7FB3" w:rsidRDefault="00BE7FB3" w:rsidP="00BE7FB3">
      <w:pPr>
        <w:pStyle w:val="TextoNormal"/>
      </w:pPr>
      <w:r>
        <w:t xml:space="preserve">Seguidamente recuerda el Ministerio Fiscal cuales han sido los criterios seguidos por la doctrina constitucional para enjuiciar la competencia autonómica para establecer especialidades procesales </w:t>
      </w:r>
      <w:r w:rsidRPr="00BE7FB3">
        <w:rPr>
          <w:i/>
        </w:rPr>
        <w:t>ex</w:t>
      </w:r>
      <w:r>
        <w:t xml:space="preserve">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00BE7FB3" w:rsidRDefault="00BE7FB3" w:rsidP="00BE7FB3">
      <w:pPr>
        <w:pStyle w:val="TextoNormal"/>
      </w:pPr>
    </w:p>
    <w:p w:rsidR="00BE7FB3" w:rsidRDefault="00BE7FB3" w:rsidP="00BE7FB3">
      <w:pPr>
        <w:pStyle w:val="TextoNormal"/>
      </w:pPr>
      <w: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se haya establecido, en su caso, el importe de la indemnización y se haya puesto a disposición del perjudicado, está disponiendo la paralización —probablemente </w:t>
      </w:r>
      <w:r w:rsidRPr="00BE7FB3">
        <w:rPr>
          <w:i/>
        </w:rPr>
        <w:t>sine die</w:t>
      </w:r>
      <w:r>
        <w:t>—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Juzgado de lo Contencioso-Administrativo núm. 1 de Santander plantea cuestión de inconstitucionalidad en relación con la disposición adicional sexta de la Ley del Parlamento de Cantabria 2/2001, de 25 de junio, de ordenación territorial y del régimen urbanístico del suelo de Cantabria, introducida por el artículo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lastRenderedPageBreak/>
        <w:t>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t>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845/2012, por desaparición sobrevenida de su objeto.</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55" w:name="AUTO_2013_114"/>
      <w:r>
        <w:lastRenderedPageBreak/>
        <w:t>AUTO 114/2013, de 20 de mayo de 2013</w:t>
      </w:r>
    </w:p>
    <w:bookmarkEnd w:id="255"/>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ECLI:ES:TC:2013:114A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extinción de la cuestión de inconstitucionalidad 1525-2012, planteada por el Juzgado de lo Contencioso-Administrativo núm. 1 de Santander en relación con el artículo 2 de la Ley del Parlamento de Cantabria 2/2011, de 4 de abril, por la que se modifica la Ley 2/2001, de 25 de junio, de ordenación territorial y del régimen urbanístico del suelo.</w:t>
      </w:r>
    </w:p>
    <w:p w:rsidR="00BE7FB3" w:rsidRDefault="00BE7FB3" w:rsidP="00BE7FB3">
      <w:pPr>
        <w:pStyle w:val="SntesisDescriptiva"/>
      </w:pPr>
    </w:p>
    <w:p w:rsidR="00BE7FB3" w:rsidRDefault="00BE7FB3" w:rsidP="00BE7FB3">
      <w:pPr>
        <w:pStyle w:val="SntesisAnaltica"/>
      </w:pPr>
      <w:r>
        <w:t>Extinción de cuestión de inconstitucionalidad: ATC 104/2013;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Con fecha de 15 de marzo de 2012 tuvo entrada en el Registro General de este Tribunal un escrito del Juzgado de lo Contencioso-Administrativo núm. 1 de Santander al que se acompaña un Auto del mismo órgano, de 27 de febrero de 2012, en el que se plantea cuestión de inconstitucionalidad en relación con la disposición adicional sexta de la Ley del Parlamento de Cantabria 2/2001, de 25 de junio, de ordenación territorial y del régimen urbanístico del suelo de Cantabria, introducida por la Ley del Parlamento de Cantabria 2/2011, de 24 de abril, por posible vulneración de los arts. 149.1.6 y 149.1.18 CE en relación con los arts. 9.3, 24.1, 106.1, 117 y 118 CE. Las dudas de constitucionalidad se plantean en el seno del procedimiento de ejecución núm. 244-2003, seguido ante el mismo órgano judicial, cuyas actuaciones se acompañan.</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que anteceden al planteamiento de la cuestión de inconstitucionalidad son los siguientes:</w:t>
      </w:r>
    </w:p>
    <w:p w:rsidR="00BE7FB3" w:rsidRDefault="00BE7FB3" w:rsidP="00BE7FB3">
      <w:pPr>
        <w:pStyle w:val="TextoNormal"/>
      </w:pPr>
    </w:p>
    <w:p w:rsidR="00BE7FB3" w:rsidRDefault="00BE7FB3" w:rsidP="00BE7FB3">
      <w:pPr>
        <w:pStyle w:val="TextoNormal"/>
      </w:pPr>
      <w:r>
        <w:t xml:space="preserve">a) Mediante Sentencia de 6 de marzo de 2001 del mismo órgano promotor de la presente cuestión, recaída en el procedimiento ordinario 182-1999, se estimó el recurso contencioso-administrativo interpuesto por la Asociación para la defensa de los recursos naturales de Cantabria (ARCA) contra el acuerdo de la comisión de gobierno del Ayuntamiento de Miengo, de 31 de marzo 1998. En este acuerdo se concedió licencia para la construcción de veinte viviendas, garajes y locales en el polígono residencial de Cuchía. La Sentencia disponía la anulación del acto administrativo referido, así como la demolición de lo indebidamente construido a su amparo. Para la Sentencia, el Plan que sirvió de cobertura al acto administrativo impugnado (el “Plan Parcial de Cuchía”), no estaba vigente al momento del otorgamiento de la licencia y, de otro lado, infringía las previsiones sobre servidumbre de </w:t>
      </w:r>
      <w:r>
        <w:lastRenderedPageBreak/>
        <w:t>protección de la Ley de costas. La resolución fue confirmada en apelación por Sentencia de la Sala de lo Contencioso-Administrativo del Tribunal Superior de Justicia de Cantabria, de 17 de julio de 2001, y declarada firme mediante Auto de 9 de noviembre del mismo año.</w:t>
      </w:r>
    </w:p>
    <w:p w:rsidR="00BE7FB3" w:rsidRDefault="00BE7FB3" w:rsidP="00BE7FB3">
      <w:pPr>
        <w:pStyle w:val="TextoNormal"/>
      </w:pPr>
    </w:p>
    <w:p w:rsidR="00BE7FB3" w:rsidRDefault="00BE7FB3" w:rsidP="00BE7FB3">
      <w:pPr>
        <w:pStyle w:val="TextoNormal"/>
      </w:pPr>
      <w:r>
        <w:t xml:space="preserve">b) Instada la ejecución de la Sentencia por la actora, se ordenó la misma así como el consiguiente derribo de lo ilegalmente construido. Mediante Auto del órgano sentenciador de 29 de septiembre de 2003 (confirmado en apelación por Sentencia de la Sala de lo Contencioso-Administrativo del Tribunal Superior de Justicia de Cantabria, de 6 de febrero) se requirió a la Administración condenada para la inmediata ejecución de la Sentencia. Posteriormente, con fecha de 22 de diciembre de 2003, se dictó Auto por el mismo juzgador mediante el que se desestimaba el incidente en el que el licenciatario de las obras solicitaba indemnización previa a la demolición de las obras; este Auto fue confirmado por la Sala de lo Contencioso-Administrativo del Tribunal Superior de Justicia de Cantabria, en Sentencia de 30 de septiembre de 2004. </w:t>
      </w:r>
    </w:p>
    <w:p w:rsidR="00BE7FB3" w:rsidRDefault="00BE7FB3" w:rsidP="00BE7FB3">
      <w:pPr>
        <w:pStyle w:val="TextoNormal"/>
      </w:pPr>
    </w:p>
    <w:p w:rsidR="00BE7FB3" w:rsidRDefault="00BE7FB3" w:rsidP="00BE7FB3">
      <w:pPr>
        <w:pStyle w:val="TextoNormal"/>
      </w:pPr>
      <w:r>
        <w:t>Desde entonces hasta la promoción de la presente cuestión de inconstitucionalidad, se han planteado diferentes incidentes de inejecución al amparo del artículo 109.1 de la Ley reguladora de la jurisdicción contencioso-administrativa y sucesivamente desestimados, el último mediante Auto del Juzgado de lo Contencioso-Administrativo núm. 1 de Santander, de 11 de noviembre de 2010, además de haberse dirigido diversos apercibimientos personales al alcalde de la localidad de Miengo a instancias de la ejecutante, sin que hasta la fecha de inicio del presente procedimiento constitucional se hubiera conseguido dar cumplimiento efectivo al fallo ejecutivo.</w:t>
      </w:r>
    </w:p>
    <w:p w:rsidR="00BE7FB3" w:rsidRDefault="00BE7FB3" w:rsidP="00BE7FB3">
      <w:pPr>
        <w:pStyle w:val="TextoNormal"/>
      </w:pPr>
    </w:p>
    <w:p w:rsidR="00BE7FB3" w:rsidRDefault="00BE7FB3" w:rsidP="00BE7FB3">
      <w:pPr>
        <w:pStyle w:val="TextoNormal"/>
      </w:pPr>
      <w:r>
        <w:t>c) Por providencia de 9 de enero de 2012, el Juzgado de lo Contencioso-Administrativo núm. 1 de Santander acordó oír a las partes personadas y al Ministerio Fiscal por el término común de diez días sobre la pertinencia de plantear cuestión de inconstitucionalidad, o sobre el fondo de la misma, respecto a la disposición adicional sexta de la Ley del Parlamento de Cantabria 2/2001, de 25 de junio, de ordenación territorial y del régimen urbanístico del suelo de Cantabria, introducida por la Ley del Parlamento de Cantabria 2/2011, de 24 de abril, por si pudiera concurrir  vicio de inconstitucionalidad por infracción de los arts. 149.1.6 y 149.1.18 CE, en relación con los arts. 9.3, 24.1, 106.1, 117 y 118 del propio texto constitucional.</w:t>
      </w:r>
    </w:p>
    <w:p w:rsidR="00BE7FB3" w:rsidRDefault="00BE7FB3" w:rsidP="00BE7FB3">
      <w:pPr>
        <w:pStyle w:val="TextoNormal"/>
      </w:pPr>
    </w:p>
    <w:p w:rsidR="00BE7FB3" w:rsidRDefault="00BE7FB3" w:rsidP="00BE7FB3">
      <w:pPr>
        <w:pStyle w:val="TextoNormal"/>
      </w:pPr>
      <w:r>
        <w:t>d) Evacuaron el trámite de alegaciones el Ayuntamiento de Miengo, la representación procesal de Delfín Cruz, S.A., la comunidad de propietarios Playa Marzán y el Ministerio Fiscal, mostrándose favorables todos ellos a la interposición de la cuestión de inconstitucionalidad.</w:t>
      </w:r>
    </w:p>
    <w:p w:rsidR="00BE7FB3" w:rsidRDefault="00BE7FB3" w:rsidP="00BE7FB3">
      <w:pPr>
        <w:pStyle w:val="TextoNormal"/>
      </w:pPr>
    </w:p>
    <w:p w:rsidR="00BE7FB3" w:rsidRDefault="00BE7FB3" w:rsidP="00BE7FB3">
      <w:pPr>
        <w:pStyle w:val="TextoNormal"/>
      </w:pPr>
      <w:r>
        <w:t>e) El órgano judicial dictó el Auto de 27 de febrero de 2012 planteando la cuestión de inconstitucionalidad en relación con (</w:t>
      </w:r>
      <w:r w:rsidRPr="00BE7FB3">
        <w:rPr>
          <w:i/>
        </w:rPr>
        <w:t>sic</w:t>
      </w:r>
      <w:r>
        <w:t xml:space="preserve">): “la Disposición Adicional Sexta de la Ley de Cantabria 2/2011, de 4 de abril, por la que se modifica la Ley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w:t>
      </w:r>
      <w:r>
        <w:lastRenderedPageBreak/>
        <w:t>competencia es igualmente exclusiva del Estado conforme al art. 149.1.6 de la Constitución en relación con el artículo 105.1 de la Ley de la Jurisdicción Contencioso-Administrativa 29/1998, de 13 de julio. Todo ello en relación con los arts. 9.3, 24.1, 106.1, 117 y 118 del texto constitucional”.</w:t>
      </w:r>
    </w:p>
    <w:p w:rsidR="00BE7FB3" w:rsidRDefault="00BE7FB3" w:rsidP="00BE7FB3">
      <w:pPr>
        <w:pStyle w:val="TextoNormal"/>
      </w:pPr>
    </w:p>
    <w:p w:rsidR="00BE7FB3" w:rsidRDefault="00BE7FB3" w:rsidP="00BE7FB3">
      <w:pPr>
        <w:pStyle w:val="TextoNormal"/>
      </w:pPr>
      <w:r w:rsidRPr="00BE7FB3">
        <w:rPr>
          <w:rStyle w:val="NumeroAFNegritaCaracter"/>
        </w:rPr>
        <w:t>3</w:t>
      </w:r>
      <w:r>
        <w:t>. La fundamentación de la cuestión contenida en el Auto es la siguiente:</w:t>
      </w:r>
    </w:p>
    <w:p w:rsidR="00BE7FB3" w:rsidRDefault="00BE7FB3" w:rsidP="00BE7FB3">
      <w:pPr>
        <w:pStyle w:val="TextoNormal"/>
      </w:pPr>
    </w:p>
    <w:p w:rsidR="00BE7FB3" w:rsidRDefault="00BE7FB3" w:rsidP="00BE7FB3">
      <w:pPr>
        <w:pStyle w:val="TextoNormal"/>
      </w:pPr>
      <w:r>
        <w:t>Tras exponer los antecedentes del caso, en especial en relación con el procedimiento de ejecución (244-2003) de la Sentencia, inicia el Auto sus razonamientos jurídicos señalando que, se entiende que a la disposición adicional sexta de la Ley del Parlamento de Cantabria 2/2001, de 25 de junio, de ordenación territorial y del régimen urbanístico del suelo de Cantabria, introducida por la Ley del Parlamento de Cantabria 2/2011, de 24 de abril, en relación con los procedimientos de indemnización patrimonial en materia urbanística, es de aplicación al caso y efectivamente impide continuar la ejecución.</w:t>
      </w:r>
    </w:p>
    <w:p w:rsidR="00BE7FB3" w:rsidRDefault="00BE7FB3" w:rsidP="00BE7FB3">
      <w:pPr>
        <w:pStyle w:val="TextoNormal"/>
      </w:pPr>
    </w:p>
    <w:p w:rsidR="00BE7FB3" w:rsidRDefault="00BE7FB3" w:rsidP="00BE7FB3">
      <w:pPr>
        <w:pStyle w:val="TextoNormal"/>
      </w:pPr>
      <w:r>
        <w:t>El órgano promotor manifiesta que ha intentado realizar una interpretación conforme a la Constitución del precepto cuestionado, en orden a determinar si en realidad su tenor se aplica únicamente al régimen de la responsabilidad patrimonial de la Administración, con lo cual no se impediría al Juez la ejecución subsidiaria por tercero no afectado por la norma. No obstante, y por las razones que se incluyen en la fundamentación del Auto de planteamiento de la cuestión, entiende que esa interpretación excede del tenor de la norma que impugna.</w:t>
      </w:r>
    </w:p>
    <w:p w:rsidR="00BE7FB3" w:rsidRDefault="00BE7FB3" w:rsidP="00BE7FB3">
      <w:pPr>
        <w:pStyle w:val="TextoNormal"/>
      </w:pPr>
    </w:p>
    <w:p w:rsidR="00BE7FB3" w:rsidRDefault="00BE7FB3" w:rsidP="00BE7FB3">
      <w:pPr>
        <w:pStyle w:val="TextoNormal"/>
      </w:pPr>
      <w:r>
        <w:t xml:space="preserve">El órgano promotor manifiesta igualmente compartir y asumir los razonamientos incluidos en el Auto de 27 de julio de 2011, por el que la Sala de lo Contencioso-Administrativo del Tribunal Superior de Justicia de Cantabria elevó cuestión ante este Tribunal sobre idéntica disposición, planteada en un procedimiento similar. Hechas estas precisiones, el Auto reproduce las afirmaciones del preámbulo de la Ley 2/2011 en el sentido de que la misma es resultado de la resolución del Parlamento de Cantabria de 27 de julio de 2010 en la que se instaba al Gobierno a que “propusiera las modificaciones normativas necesarias para que a los propietarios sobre los que pesan sentencias firmes de derribo, como consecuencia de 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en el convencimiento de que una rápida respuesta de la Administración Pública, si bien no minorará los indudables perjuicios causados a los particulares, al menos no empeorará su situación. Por ello, la norma se limita a permitir la sustanciación del procedimiento de forma anticipada, sujetando la eficacia de la resolución indemnizatoria a la condición suspensiva de que el propietario del inmueble afectado ponga éste a disposición de la Administración obligada a materializar el derribo”. En consecuencia proclama que “las previsiones legales no alteran en modo alguno el régimen general de responsabilidad patrimonial, ni prejuzgan la Administración responsable, ni desde luego inciden sobre las diversas modalidades indemnizatorias que puedan existir al margen del sistema de responsabilidad patrimonial, a través de fórmulas urbanísticas que, como transferencias de aprovechamiento, garanticen la indemnidad del patrimonio de los particulares. Estos extremos se recogen en la normativa general, en cuyo marco se incardina la presente </w:t>
      </w:r>
      <w:r>
        <w:lastRenderedPageBreak/>
        <w:t xml:space="preserve">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 </w:t>
      </w:r>
    </w:p>
    <w:p w:rsidR="00BE7FB3" w:rsidRDefault="00BE7FB3" w:rsidP="00BE7FB3">
      <w:pPr>
        <w:pStyle w:val="TextoNormal"/>
      </w:pPr>
    </w:p>
    <w:p w:rsidR="00BE7FB3" w:rsidRDefault="00BE7FB3" w:rsidP="00BE7FB3">
      <w:pPr>
        <w:pStyle w:val="TextoNormal"/>
      </w:pPr>
      <w:r>
        <w:t>Distinto es el parecer del órgano promotor de la cuestión, pues estima que la encomienda del Parlamento a la que la Ley 2/2011 dice responder lo era para interferir directamente en las sentencias de derribo de forma que éstas no pudieran llevarse a efecto sin previa indemnización a los propietarios.</w:t>
      </w:r>
    </w:p>
    <w:p w:rsidR="00BE7FB3" w:rsidRDefault="00BE7FB3" w:rsidP="00BE7FB3">
      <w:pPr>
        <w:pStyle w:val="TextoNormal"/>
      </w:pPr>
    </w:p>
    <w:p w:rsidR="00BE7FB3" w:rsidRDefault="00BE7FB3" w:rsidP="00BE7FB3">
      <w:pPr>
        <w:pStyle w:val="TextoNormal"/>
      </w:pPr>
      <w:r>
        <w:t>Ahora bien para el órgano judicial cuestionante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que la Sala de lo Contencioso-Administrativo del Tribunal Superior de Justicia de Cantabria ha rechazado, por la falta de efectividad del daño, reclamaciones patrimoniales que se han planteado en incidentes de ejecución, criterio que también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(arts. 139 y ss.).</w:t>
      </w:r>
    </w:p>
    <w:p w:rsidR="00BE7FB3" w:rsidRDefault="00BE7FB3" w:rsidP="00BE7FB3">
      <w:pPr>
        <w:pStyle w:val="TextoNormal"/>
      </w:pPr>
    </w:p>
    <w:p w:rsidR="00BE7FB3" w:rsidRDefault="00BE7FB3" w:rsidP="00BE7FB3">
      <w:pPr>
        <w:pStyle w:val="TextoNormal"/>
      </w:pPr>
      <w:r>
        <w:t>En segundo lugar señala que la ejecución de Sentencias forma parte del derecho a la tutela judicial efectiva (art. 24.1 CE) correspondiendo el ejercicio de esta potestad jurisdiccional en exclusiva a los Juzgados y Tribunales (art. 117.3 CE), señalando la misma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permite suspensión alguna en la ejecución de Sentencias. 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tres meses, condicionada a la puesta a disposición de la Administración del inmueble a derribar. Para el órgano cuestionante esta previsión pretende incluir a los derribos consecuencia de resoluciones judiciales se deriva de lo dispuesto en el punto cinco de la referida disposición en cuanto dispone que “La Administración que tramite un expediente de responsabilidad patrimonial que tenga por objeto una lesión producida como consecuencia de actuaciones administrativas declaradas ilegales que determinen el derribo de edificaciones, deberá comunicar el inicio de la sustanciación de dicho expediente al órgano judicial encargado de la ejecución de la Sentencia”.</w:t>
      </w:r>
    </w:p>
    <w:p w:rsidR="00BE7FB3" w:rsidRDefault="00BE7FB3" w:rsidP="00BE7FB3">
      <w:pPr>
        <w:pStyle w:val="TextoNormal"/>
      </w:pPr>
    </w:p>
    <w:p w:rsidR="00BE7FB3" w:rsidRDefault="00BE7FB3" w:rsidP="00BE7FB3">
      <w:pPr>
        <w:pStyle w:val="TextoNormal"/>
      </w:pPr>
      <w:r>
        <w:lastRenderedPageBreak/>
        <w:t xml:space="preserve">El promotor de la cuestión sostiene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En concreto el Auto cita la solicitud de la Comisión de Peticiones del Parlamento Europeo al Gobierno de Cantabria en el sentido de adoptar soluciones para los afectados por los derribos considerando que era la Administración la que había cometido errores compeliendo a que se reconociera a los terceros adquirentes el derecho a recibir una indemnización justa que refleje el valor de sus bienes. A ese llamamiento responde, según el Auto, la Ley cuestionada si bien, para que la Administración pueda dar cumplimiento a ese mandato se hace preciso la suspensión de la ejecución por el Tribunal pues, en caso de no accederse a ésta, la demolición procedería al procedimiento, convirtiendo en ilusorio el objetivo de la reforma. </w:t>
      </w:r>
    </w:p>
    <w:p w:rsidR="00BE7FB3" w:rsidRDefault="00BE7FB3" w:rsidP="00BE7FB3">
      <w:pPr>
        <w:pStyle w:val="TextoNormal"/>
      </w:pPr>
    </w:p>
    <w:p w:rsidR="00BE7FB3" w:rsidRDefault="00BE7FB3" w:rsidP="00BE7FB3">
      <w:pPr>
        <w:pStyle w:val="TextoNormal"/>
      </w:pPr>
      <w:r>
        <w:t xml:space="preserve">A continuación,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para la que los órganos judiciales carecen de competencias, pues no pueden establecer la suspensión de la ejecución judicial en tanto no se tramite el expediente de responsabilidad patrimonial. Máxime cuando se obliga a que la demolición sea posterior a la puesta a disposición del perjudicado del importe de la indemnización, lo que, en el supuesto de autos, supondría, de hecho, la suspensión </w:t>
      </w:r>
      <w:r w:rsidRPr="00BE7FB3">
        <w:rPr>
          <w:i/>
        </w:rPr>
        <w:t>sine die</w:t>
      </w:r>
      <w:r>
        <w:t xml:space="preserve"> ante la ausencia de recursos suficientes por parte de los ayuntamientos responsables, insuficiencia de recursos puesta de manifiesto por el Tribunal de Cuentas en su informe de fiscalización de año 2010 y esgrimida por la propia Administración local como causa de inejecución de la Sentencia.</w:t>
      </w:r>
    </w:p>
    <w:p w:rsidR="00BE7FB3" w:rsidRDefault="00BE7FB3" w:rsidP="00BE7FB3">
      <w:pPr>
        <w:pStyle w:val="TextoNormal"/>
      </w:pPr>
    </w:p>
    <w:p w:rsidR="00BE7FB3" w:rsidRDefault="00BE7FB3" w:rsidP="00BE7FB3">
      <w:pPr>
        <w:pStyle w:val="TextoNormal"/>
      </w:pPr>
      <w:r>
        <w:t>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de este incidente. Razón por la cual esta Sala considera cumplido el juicio de relevancia”. Suspensión que al dejar en manos de la Administración y de los particulares afectados la propia efectividad del cumplimiento del fallo entra así en conflicto con el art. 117.3 CE y con el art. 105.1 de la Ley 29/1998, que no prevé suspensión alguna de la ejecución.</w:t>
      </w:r>
    </w:p>
    <w:p w:rsidR="00BE7FB3" w:rsidRDefault="00BE7FB3" w:rsidP="00BE7FB3">
      <w:pPr>
        <w:pStyle w:val="TextoNormal"/>
      </w:pPr>
    </w:p>
    <w:p w:rsidR="00BE7FB3" w:rsidRDefault="00BE7FB3" w:rsidP="00BE7FB3">
      <w:pPr>
        <w:pStyle w:val="TextoNormal"/>
      </w:pPr>
      <w:r>
        <w:t xml:space="preserve">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ésta por la que la Sala de lo Contencioso-Administrativo del Tribunal Superior de Justicia de Cantabria, en el curso de los distintos procedimientos de responsabilidad patrimonial que </w:t>
      </w:r>
      <w:r>
        <w:lastRenderedPageBreak/>
        <w:t>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00BE7FB3" w:rsidRDefault="00BE7FB3" w:rsidP="00BE7FB3">
      <w:pPr>
        <w:pStyle w:val="TextoNormal"/>
      </w:pPr>
    </w:p>
    <w:p w:rsidR="00BE7FB3" w:rsidRDefault="00BE7FB3" w:rsidP="00BE7FB3">
      <w:pPr>
        <w:pStyle w:val="TextoNormal"/>
      </w:pPr>
      <w:r w:rsidRPr="00BE7FB3">
        <w:rPr>
          <w:rStyle w:val="NumeroAFNegritaCaracter"/>
        </w:rPr>
        <w:t>4</w:t>
      </w:r>
      <w:r>
        <w:t>.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Segunda de este Tribunal el conocimiento de la presente cuestión.</w:t>
      </w:r>
    </w:p>
    <w:p w:rsidR="00BE7FB3" w:rsidRDefault="00BE7FB3" w:rsidP="00BE7FB3">
      <w:pPr>
        <w:pStyle w:val="TextoNormal"/>
      </w:pPr>
    </w:p>
    <w:p w:rsidR="00BE7FB3" w:rsidRDefault="00BE7FB3" w:rsidP="00BE7FB3">
      <w:pPr>
        <w:pStyle w:val="TextoNormal"/>
      </w:pPr>
      <w:r>
        <w:t>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en el “Boletín Oficial de Cantabria”.</w:t>
      </w:r>
    </w:p>
    <w:p w:rsidR="00BE7FB3" w:rsidRDefault="00BE7FB3" w:rsidP="00BE7FB3">
      <w:pPr>
        <w:pStyle w:val="TextoNormal"/>
      </w:pPr>
    </w:p>
    <w:p w:rsidR="00BE7FB3" w:rsidRDefault="00BE7FB3" w:rsidP="00BE7FB3">
      <w:pPr>
        <w:pStyle w:val="TextoNormal"/>
      </w:pPr>
      <w:r w:rsidRPr="00BE7FB3">
        <w:rPr>
          <w:rStyle w:val="NumeroAFNegritaCaracter"/>
        </w:rPr>
        <w:t>5</w:t>
      </w:r>
      <w:r>
        <w:t>.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formuló alegaciones el día 26 de noviembre de 2012, interesando la inadmisión total de la cuestión de inconstitucionalidad y subsidiariamente la inadmisión respecto de los apartados 1, 2, y 3 y los párrafos tercero, cuarto y sexto del apartado 4 de la disposición adicional sexta de la Ley regional 2/2001, de 25 de junio, así como la estimación de la cuestión respecto de los párrafos primero, segundo y quinto de apartado 4 y el apartado 5 de la citada disposición adicional sexta.</w:t>
      </w:r>
    </w:p>
    <w:p w:rsidR="00BE7FB3" w:rsidRDefault="00BE7FB3" w:rsidP="00BE7FB3">
      <w:pPr>
        <w:pStyle w:val="TextoNormal"/>
      </w:pPr>
    </w:p>
    <w:p w:rsidR="00BE7FB3" w:rsidRDefault="00BE7FB3" w:rsidP="00BE7FB3">
      <w:pPr>
        <w:pStyle w:val="TextoNormal"/>
      </w:pPr>
      <w:r>
        <w:t xml:space="preserve">En cuanto a la solicitud de inadmisión total, considera el Abogado del Estado que la providencia de 9 de enero de 2012, con la que se manda oír a las partes y al Fiscal, no aparece notificada a una de las partes, la actora ARCA, y que el Juez proponente no identifica ninguna resolución judicial cuyo fallo, concluso el procedimiento, dependa de la validez de la norma cuestionada. Subsidiariamente y para el caso de que no se acogieran ninguna de estas peticiones de inadmisión, el Abogado del Estado razona que, aun cuando la cuestión aparece planteada respecto de la totalidad de la disposición adicional sexta, sólo son relevantes para resolver el incidente de ejecución en cuyo seno se plantea la cuestión aquellos </w:t>
      </w:r>
      <w:r>
        <w:lastRenderedPageBreak/>
        <w:t>respecto de los cuales luego solicita su declaración de inconstitucionalidad, en los que centra su argumentación.</w:t>
      </w:r>
    </w:p>
    <w:p w:rsidR="00BE7FB3" w:rsidRDefault="00BE7FB3" w:rsidP="00BE7FB3">
      <w:pPr>
        <w:pStyle w:val="TextoNormal"/>
      </w:pPr>
    </w:p>
    <w:p w:rsidR="00BE7FB3" w:rsidRDefault="00BE7FB3" w:rsidP="00BE7FB3">
      <w:pPr>
        <w:pStyle w:val="TextoNormal"/>
      </w:pPr>
      <w:r>
        <w:t xml:space="preserve">Comienza el Abogado del Estado por no cuestionar el juicio que sobre la aplicabilidad </w:t>
      </w:r>
      <w:r w:rsidRPr="00BE7FB3">
        <w:rPr>
          <w:i/>
        </w:rPr>
        <w:t>ratione temporis</w:t>
      </w:r>
      <w:r>
        <w:t xml:space="preserve"> de la disposición adicional sexta realiza el órgano judicial, pues, en la medida en que resulta tan razonable como la tesis contraria, ha de ser respetado tanto por las partes como por el Tribunal Constitucional. Seguidamente 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w:t>
      </w:r>
      <w:r w:rsidRPr="00BE7FB3">
        <w:rPr>
          <w:i/>
        </w:rPr>
        <w:t>sine die</w:t>
      </w:r>
      <w:r>
        <w:t xml:space="preserv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00BE7FB3" w:rsidRDefault="00BE7FB3" w:rsidP="00BE7FB3">
      <w:pPr>
        <w:pStyle w:val="TextoNormal"/>
      </w:pPr>
    </w:p>
    <w:p w:rsidR="00BE7FB3" w:rsidRDefault="00BE7FB3" w:rsidP="00BE7FB3">
      <w:pPr>
        <w:pStyle w:val="TextoNormal"/>
      </w:pPr>
      <w: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básicas estatales. Pero este no es el caso de la norma regional cuestionada, puesto que el hecho generador de la responsabilidad está recogido en la norma estatal general y sectorial [arts. 142 de la Ley de régimen jurídico de las Administraciones públicas y del procedimiento administrativo común, 35 d) del texto refundido de la Ley sobre régimen del suelo y ordenación urbana y 44.2 de la Ley sobre régimen del suelo y valoraciones (Ley 6/1998, de 13 de abril)], sino que la inconstitucionalidad vendría como consecuencia de separarse el legislador autonómico de la regulación de uno de los elementos esenciales de la responsabilidad establecido en la norma estatal, cual es el requisito de que el daño sea efectivo. Al permitir que se indemnice antes de que se produzca la demolición efectiva se están indemnizando daños no actuales sino futuros, separándose así de la regla establecida en el art. 139.2 de la Ley 30/1992 con carácter básico al amparo de la competencia exclusiva del estado </w:t>
      </w:r>
      <w:r w:rsidRPr="00BE7FB3">
        <w:rPr>
          <w:i/>
        </w:rPr>
        <w:t>ex</w:t>
      </w:r>
      <w:r>
        <w:t xml:space="preserve"> art. 149.1.18 CE.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8</w:t>
      </w:r>
      <w:r>
        <w:t>. Mediante escrito presentado en el Registro General de este Tribunal el día 28 de noviembre de 2012, el Letrado de los servicios jurídicos del Gobierno de Cantabria, formuló alegaciones interesando la desestimación de la cuestión de inconstitucionalidad. Tras recordar, sirviéndose de la reproducción parcial de la exposición de motivos de la ley impugnada, que la ley trata de resolver la afectación de terceros adquirentes por la ejecución de resoluciones judiciales y administrativas que lleven consigo la demolición de viviendas —problema social y jurídico que ha sido objeto de atención por las instituciones europeas—, aborda el análisis de los dos motivos de inconstitucionalidad suscitados en el Auto de planteamiento de la cuestión de inconstitucionalidad.</w:t>
      </w:r>
    </w:p>
    <w:p w:rsidR="00BE7FB3" w:rsidRDefault="00BE7FB3" w:rsidP="00BE7FB3">
      <w:pPr>
        <w:pStyle w:val="TextoNormal"/>
      </w:pPr>
    </w:p>
    <w:p w:rsidR="00BE7FB3" w:rsidRDefault="00BE7FB3" w:rsidP="00BE7FB3">
      <w:pPr>
        <w:pStyle w:val="TextoNormal"/>
      </w:pPr>
      <w:r>
        <w:t xml:space="preserve">Rechaza en primer lugar que la norma impugnada suponga la invasión de la competencia estatal en materia de ejecución procesal </w:t>
      </w:r>
      <w:r w:rsidRPr="00BE7FB3">
        <w:rPr>
          <w:i/>
        </w:rPr>
        <w:t>ex</w:t>
      </w:r>
      <w:r>
        <w:t xml:space="preserve">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 </w:t>
      </w:r>
    </w:p>
    <w:p w:rsidR="00BE7FB3" w:rsidRDefault="00BE7FB3" w:rsidP="00BE7FB3">
      <w:pPr>
        <w:pStyle w:val="TextoNormal"/>
      </w:pPr>
    </w:p>
    <w:p w:rsidR="00BE7FB3" w:rsidRDefault="00BE7FB3" w:rsidP="00BE7FB3">
      <w:pPr>
        <w:pStyle w:val="TextoNormal"/>
      </w:pPr>
      <w:r>
        <w:t>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especialmente, especialidades procedimentales derivadas de su organización propia que tienen cobertura en el art. 24, apartados 1, 3 y 22, así como en el art. 35, apartado 3, del Estatuto de Autonomía de Cantabria. El órgano judicial sigue manteniendo el control de la ejecución y a él compete la adopción de las medidas tendentes a la ejecución del fallo, sin que la obligación de tramitar el expediente de responsabilidad interfiera en las facultades de aquél, sino que se orienta a un rápido resarcimiento del perjudicado por la actuación administrativa declarada ilegal.</w:t>
      </w:r>
    </w:p>
    <w:p w:rsidR="00BE7FB3" w:rsidRDefault="00BE7FB3" w:rsidP="00BE7FB3">
      <w:pPr>
        <w:pStyle w:val="TextoNormal"/>
      </w:pPr>
    </w:p>
    <w:p w:rsidR="00BE7FB3" w:rsidRDefault="00BE7FB3" w:rsidP="00BE7FB3">
      <w:pPr>
        <w:pStyle w:val="TextoNormal"/>
      </w:pPr>
      <w:r>
        <w:t xml:space="preserve">Rebate también el Gobierno de Cantabria que la norma cuestionada vulnera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 En apoyo de su tesis establece un paralelismo con la doctrina constitucional en materia de expropiación forzosa (STC 37/1987, de 26 de marzo), materia en la cual el Tribunal Constitucional ha admitido la posibilidad de que las Comunidades Autónomas establezcan </w:t>
      </w:r>
      <w:r>
        <w:lastRenderedPageBreak/>
        <w:t xml:space="preserve">nuevos supuestos expropiatorios, y la STC 164/2001, de 11 de julio, en el que también se admite la regulación autonómica de nuevos supuestos indemnizatorios en materia de responsabilidad administrativa urbanística. </w:t>
      </w:r>
    </w:p>
    <w:p w:rsidR="00BE7FB3" w:rsidRDefault="00BE7FB3" w:rsidP="00BE7FB3">
      <w:pPr>
        <w:pStyle w:val="TextoNormal"/>
      </w:pPr>
    </w:p>
    <w:p w:rsidR="00BE7FB3" w:rsidRDefault="00BE7FB3" w:rsidP="00BE7FB3">
      <w:pPr>
        <w:pStyle w:val="TextoNormal"/>
      </w:pPr>
      <w:r>
        <w:t>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00BE7FB3" w:rsidRDefault="00BE7FB3" w:rsidP="00BE7FB3">
      <w:pPr>
        <w:pStyle w:val="TextoNormal"/>
      </w:pPr>
    </w:p>
    <w:p w:rsidR="00BE7FB3" w:rsidRDefault="00BE7FB3" w:rsidP="00BE7FB3">
      <w:pPr>
        <w:pStyle w:val="TextoNormal"/>
      </w:pPr>
      <w:r w:rsidRPr="00BE7FB3">
        <w:rPr>
          <w:rStyle w:val="NumeroAFNegritaCaracter"/>
        </w:rPr>
        <w:t>9</w:t>
      </w:r>
      <w:r>
        <w:t xml:space="preserve">. Mediante escrito presentado en el Registro General el día 30 de noviembre de 2012,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w:t>
      </w:r>
      <w:r w:rsidRPr="00BE7FB3">
        <w:rPr>
          <w:i/>
        </w:rPr>
        <w:t>sine die</w:t>
      </w:r>
      <w:r>
        <w:t xml:space="preserve">, pues el procedimiento de responsabilidad tiene una duración máxima prevista de seis meses, sin que se incida por ello en la legislación procesal. </w:t>
      </w:r>
    </w:p>
    <w:p w:rsidR="00BE7FB3" w:rsidRDefault="00BE7FB3" w:rsidP="00BE7FB3">
      <w:pPr>
        <w:pStyle w:val="TextoNormal"/>
      </w:pPr>
    </w:p>
    <w:p w:rsidR="00BE7FB3" w:rsidRDefault="00BE7FB3" w:rsidP="00BE7FB3">
      <w:pPr>
        <w:pStyle w:val="TextoNormal"/>
      </w:pPr>
      <w:r>
        <w:t xml:space="preserve">Se aduce también que los reproches de inconstitucionalidad sólo pueden entenderse referidos al párrafo sexto del apartado 4 de la disposición adicional sexta, único al que se refiere la argumentación de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 </w:t>
      </w:r>
    </w:p>
    <w:p w:rsidR="00BE7FB3" w:rsidRDefault="00BE7FB3" w:rsidP="00BE7FB3">
      <w:pPr>
        <w:pStyle w:val="TextoNormal"/>
      </w:pPr>
    </w:p>
    <w:p w:rsidR="00BE7FB3" w:rsidRDefault="00BE7FB3" w:rsidP="00BE7FB3">
      <w:pPr>
        <w:pStyle w:val="TextoNormal"/>
      </w:pPr>
      <w:r>
        <w:t xml:space="preserve">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de que tratamos en la ordenación de las consecuencias indemnizatorias previstas en al art. 122.2 CE para funcionamiento normal o anormal de los servicios públicos, en este caso aquellos que han dado origen a que una sentencia declare la ilegalidad de una edificación y sea obligadas su demolición. Finalmente, también encuentra </w:t>
      </w:r>
      <w:r>
        <w:lastRenderedPageBreak/>
        <w:t>cobertura constitucional la norma impugnada en la potestad de establecer los procedimientos administrativos adecuados para el ejercicio de sus competencias, siempre que se respeten las reglas básicas establecidas por el Estado. En este caso la Ley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especialidades de la Comunidad Autónoma.</w:t>
      </w:r>
    </w:p>
    <w:p w:rsidR="00BE7FB3" w:rsidRDefault="00BE7FB3" w:rsidP="00BE7FB3">
      <w:pPr>
        <w:pStyle w:val="TextoNormal"/>
      </w:pPr>
    </w:p>
    <w:p w:rsidR="00BE7FB3" w:rsidRDefault="00BE7FB3" w:rsidP="00BE7FB3">
      <w:pPr>
        <w:pStyle w:val="TextoNormal"/>
      </w:pPr>
      <w:r>
        <w:t>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evaluable económicamente ya antes del derribo material de la edificación.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00BE7FB3" w:rsidRDefault="00BE7FB3" w:rsidP="00BE7FB3">
      <w:pPr>
        <w:pStyle w:val="TextoNormal"/>
      </w:pPr>
    </w:p>
    <w:p w:rsidR="00BE7FB3" w:rsidRDefault="00BE7FB3" w:rsidP="00BE7FB3">
      <w:pPr>
        <w:pStyle w:val="TextoNormal"/>
      </w:pPr>
      <w:r w:rsidRPr="00BE7FB3">
        <w:rPr>
          <w:rStyle w:val="NumeroAFNegritaCaracter"/>
        </w:rPr>
        <w:t>10</w:t>
      </w:r>
      <w:r>
        <w:t>. El Fiscal General del Estado formuló alegaciones mediante escrito presentado el día 14 de diciembre de 2012. Tras detallar el curso del proceso del que esta cuestión de inconstitucionalidad dimana, recoge sucintamente los motivos en los que el órgano judicial funda la inconstitucionalidad de la norma legal, así como las alegaciones que en torno a esta cuestión se vertieron ante el órgano judicial proponente, y precisa que aunque la duda de constitucionalidad se dirige formalmente contra la totalidad de las disposición adicional sexta, en realidad la duda se centra en los apartados 4 y 5 de dicha disposición.</w:t>
      </w:r>
    </w:p>
    <w:p w:rsidR="00BE7FB3" w:rsidRDefault="00BE7FB3" w:rsidP="00BE7FB3">
      <w:pPr>
        <w:pStyle w:val="TextoNormal"/>
      </w:pPr>
    </w:p>
    <w:p w:rsidR="00BE7FB3" w:rsidRDefault="00BE7FB3" w:rsidP="00BE7FB3">
      <w:pPr>
        <w:pStyle w:val="TextoNormal"/>
      </w:pPr>
      <w:r>
        <w:t>Comienza el Fiscal por señalar que la duda se suscita con ocasión de tener que resolver el órgano judicial la solicitud de paralización de la ejecución de Sentencia en cuanto a la demolición de las obras ejecutadas al amparo de la licencia anulada en el proceso a quo. De ahí que sólo el párrafo 5 del apartado 4  de la disposición adicional sexta pueda entenderse relevante para la decisión judicial a adoptar, sin que, por el contrario, lo sean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sino tan sólo sobre si resulta o no procedente la suspensión de la ejecución de la Sentencia en tanto se sustancia ante la Administración el aludido expediente de responsabilidad patrimonial. Propone por ello la inadmisión parcial de la cuestión en el sentido acabado de aludir.</w:t>
      </w:r>
    </w:p>
    <w:p w:rsidR="00BE7FB3" w:rsidRDefault="00BE7FB3" w:rsidP="00BE7FB3">
      <w:pPr>
        <w:pStyle w:val="TextoNormal"/>
      </w:pPr>
    </w:p>
    <w:p w:rsidR="00BE7FB3" w:rsidRDefault="00BE7FB3" w:rsidP="00BE7FB3">
      <w:pPr>
        <w:pStyle w:val="TextoNormal"/>
      </w:pPr>
      <w:r>
        <w:t xml:space="preserve">Enmarca seguidamente la cuestión suscitada en la problemática surgida como consecuencia de la edificación extensiva en la costa española, la cual ha dado lugar a diversas iniciativas europeas sobre la cuestión así como a una profusa jurisprudencia del Tribunal Supremo que niega que frente a las vulneraciones de la legalidad urbanística en la construcción de viviendas puedan sus adquirentes oponer su condición de tercero hipotecario en </w:t>
      </w:r>
      <w:r>
        <w:lastRenderedPageBreak/>
        <w:t>relación con la demolición de las viviendas. Es en este contexto en el que sitúa la norma autonómica cuestionada, pues su dictado respondió a la encomienda del Parlamento de Cantabria para que el Gobierno regional impulsase las modificaciones normativas necesarias para que quienes hubieran de soportar la demolición de sus viviendas en ejecución de resoluciones judiciales, percibieran previamente la indemnización que les correspondiese.</w:t>
      </w:r>
    </w:p>
    <w:p w:rsidR="00BE7FB3" w:rsidRDefault="00BE7FB3" w:rsidP="00BE7FB3">
      <w:pPr>
        <w:pStyle w:val="TextoNormal"/>
      </w:pPr>
    </w:p>
    <w:p w:rsidR="00BE7FB3" w:rsidRDefault="00BE7FB3" w:rsidP="00BE7FB3">
      <w:pPr>
        <w:pStyle w:val="TextoNormal"/>
      </w:pPr>
      <w:r>
        <w:t>Por lo que se refiere a las competencias autonómicas que sustentan la norma cuestionada, afirma el Fiscal que la indudable competencia exclusiva de la Comunidad Autónoma en materia de urbanismo no excluye la competencia estatal en materia de responsabilidad patrimonial de la Administración. Y tampoco las competencias sobre funcionamiento de sus instituciones de autogobierno y sobre el procedimiento administrativo derivado de las especialidades de la organización propia a que se refieren los núms. 1 y 32 del art. 2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00BE7FB3" w:rsidRDefault="00BE7FB3" w:rsidP="00BE7FB3">
      <w:pPr>
        <w:pStyle w:val="TextoNormal"/>
      </w:pPr>
    </w:p>
    <w:p w:rsidR="00BE7FB3" w:rsidRDefault="00BE7FB3" w:rsidP="00BE7FB3">
      <w:pPr>
        <w:pStyle w:val="TextoNormal"/>
      </w:pPr>
      <w:r>
        <w:t xml:space="preserve">Seguidamente recuerda el Ministerio Fiscal cuales han sido los criterios seguidos por la doctrina constitucional para enjuiciar la competencia autonómica para establecer especialidades procesales </w:t>
      </w:r>
      <w:r w:rsidRPr="00BE7FB3">
        <w:rPr>
          <w:i/>
        </w:rPr>
        <w:t>ex</w:t>
      </w:r>
      <w:r>
        <w:t xml:space="preserve">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00BE7FB3" w:rsidRDefault="00BE7FB3" w:rsidP="00BE7FB3">
      <w:pPr>
        <w:pStyle w:val="TextoNormal"/>
      </w:pPr>
    </w:p>
    <w:p w:rsidR="00BE7FB3" w:rsidRDefault="00BE7FB3" w:rsidP="00BE7FB3">
      <w:pPr>
        <w:pStyle w:val="TextoNormal"/>
      </w:pPr>
      <w: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se haya establecido, en su caso, el importe de la indemnización y se haya puesto a disposición del perjudicado, está disponiendo la paralización —probablemente </w:t>
      </w:r>
      <w:r w:rsidRPr="00BE7FB3">
        <w:rPr>
          <w:i/>
        </w:rPr>
        <w:t>sine die</w:t>
      </w:r>
      <w:r>
        <w:t>—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00BE7FB3" w:rsidRDefault="00BE7FB3" w:rsidP="00BE7FB3">
      <w:pPr>
        <w:pStyle w:val="TextoNormal"/>
      </w:pPr>
    </w:p>
    <w:p w:rsidR="00BE7FB3" w:rsidRDefault="00BE7FB3" w:rsidP="00BE7FB3">
      <w:pPr>
        <w:pStyle w:val="TextoNormalNegritaCentrado"/>
        <w:keepNext/>
      </w:pPr>
      <w:r>
        <w:lastRenderedPageBreak/>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Juzgado de lo Contencioso-Administrativo núm. 1 de Santander plantea cuestión de inconstitucionalidad en relación con la disposición adicional sexta de la Ley del Parlamento de Cantabria 2/2001, de 25 de junio, de ordenación territorial y del régimen urbanístico del suelo de Cantabria, introducida por la Ley del Parlamento de Cantabria 2/2011, de 24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t>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t>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núm.1525/2012, por desaparición sobrevenida de su objeto.</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56" w:name="AUTO_2013_115"/>
      <w:r>
        <w:lastRenderedPageBreak/>
        <w:t>AUTO 115/2013, de 20 de mayo de 2013</w:t>
      </w:r>
    </w:p>
    <w:bookmarkEnd w:id="256"/>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ECLI:ES:TC:2013:115A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extinción de la cuestión de inconstitucionalidad 1986-2012,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p>
    <w:p w:rsidR="00BE7FB3" w:rsidRDefault="00BE7FB3" w:rsidP="00BE7FB3">
      <w:pPr>
        <w:pStyle w:val="SntesisDescriptiva"/>
      </w:pPr>
    </w:p>
    <w:p w:rsidR="00BE7FB3" w:rsidRDefault="00BE7FB3" w:rsidP="00BE7FB3">
      <w:pPr>
        <w:pStyle w:val="SntesisAnaltica"/>
      </w:pPr>
      <w:r>
        <w:t>Extinción de cuestión de inconstitucionalidad: ATC 104/2013;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Con fecha de 4 de abril de 2012 tuvo entrada, en el Registro General de este Tribunal, escrito de la Sala de lo Contencioso-Administrativo del Tribunal Superior de Justicia de Cantabria al que se acompañan las actuaciones recaídas en el recurso 1721-1996 y el Auto del mismo órgano, de 16 de enero de 2012, por el que se plantea cuestión de inconstitucionalidad en relación con la disposición adicional sexta de la Ley del Parlamento de Cantabria 2/2001, de 25 de junio, de ordenación territorial y del régimen urbanístico del suelo de Cantabria, introducida por el artículo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que anteceden al planteamiento de la cuestión de inconstitucionalidad son los siguientes:</w:t>
      </w:r>
    </w:p>
    <w:p w:rsidR="00BE7FB3" w:rsidRDefault="00BE7FB3" w:rsidP="00BE7FB3">
      <w:pPr>
        <w:pStyle w:val="TextoNormal"/>
      </w:pPr>
    </w:p>
    <w:p w:rsidR="00BE7FB3" w:rsidRDefault="00BE7FB3" w:rsidP="00BE7FB3">
      <w:pPr>
        <w:pStyle w:val="TextoNormal"/>
      </w:pPr>
      <w:r>
        <w:t xml:space="preserve">a) Mediante Sentencia de 14 de septiembre de 2001 del mismo órgano promotor de la presente cuestión, recaída en el recurso 1721-1996, se estimó el recurso interpuesto por la Asociación para la defensa de los recursos naturales de Cantabria (ARCA) contra la resolución de la Alcaldía del Ayuntamiento de Piélagos, de 17 de julio de 1996, por la que se concedió a la empresa Nuevo Liencres, S.A., licencia para la construcción de diecisiete viviendas unifamiliares en Liencres. Mediante Auto del juzgador, de 20 de octubre de 2008, se aclaró que el fallo de la Sentencia alcanzaba a la demolición de lo indebidamente construido. Mediante Sentencia de la Sección Quinta de la Sala de lo Contencioso-Administrativo del Tribunal Supremo, de 23 de octubre de 2002, se confirmó la anulación de la resolución impugnada y la demolición de lo indebidamente construido. Posteriormente, por </w:t>
      </w:r>
      <w:r>
        <w:lastRenderedPageBreak/>
        <w:t>parte de la misma Sección se dictó Auto de 16 abril de 2008 desestimatorio del incidente de nulidad de actuaciones planteado contra la Sentencia recaída en casación.</w:t>
      </w:r>
    </w:p>
    <w:p w:rsidR="00BE7FB3" w:rsidRDefault="00BE7FB3" w:rsidP="00BE7FB3">
      <w:pPr>
        <w:pStyle w:val="TextoNormal"/>
      </w:pPr>
    </w:p>
    <w:p w:rsidR="00BE7FB3" w:rsidRDefault="00BE7FB3" w:rsidP="00BE7FB3">
      <w:pPr>
        <w:pStyle w:val="TextoNormal"/>
      </w:pPr>
      <w:r>
        <w:t>b) Instada la ejecución de la Sentencia por parte del recurrente, se dictó Auto por parte de la Sala de lo Contencioso-Administrativo del Tribunal Superior de Justicia de Cantabria, de 26 de noviembre de 2009, instando la demolición de las viviendas construidas al amparo de la licencia anulada, confirmado ulteriormente en súplica por Auto de 10 de febrero de 2010.</w:t>
      </w:r>
    </w:p>
    <w:p w:rsidR="00BE7FB3" w:rsidRDefault="00BE7FB3" w:rsidP="00BE7FB3">
      <w:pPr>
        <w:pStyle w:val="TextoNormal"/>
      </w:pPr>
    </w:p>
    <w:p w:rsidR="00BE7FB3" w:rsidRDefault="00BE7FB3" w:rsidP="00BE7FB3">
      <w:pPr>
        <w:pStyle w:val="TextoNormal"/>
      </w:pPr>
      <w:r>
        <w:t>Tras distintas vicisitudes procesales, las representaciones procesales del Ayuntamiento de Piélagos presentó escrito indicando la imposibilidad de ejecutar la Sentencia, solicitando la suspensión de la ejecución de la misma en tanto no se procediera a la indemnización de los propietarios de las viviendas sujetas a demolición y solicitando igualmente la incoación del correspondiente incidente de inejecución. La solicitud traía causa de la aprobación de la Ley del Parlamento de Cantabria 2/2011, de 4 de abril, por la que se modifica la Ley 2/2001, de 25 de junio, de ordenación territorial y régimen urbanístico del suelo en Cantabria, en relación con los procedimientos de indemnización patrimonial en materia urbanística y, asimismo, se ponía de manifiesto que la propia Sala había elevado cuestión de inconstitucionalidad ante este Tribunal sobre el particular.</w:t>
      </w:r>
    </w:p>
    <w:p w:rsidR="00BE7FB3" w:rsidRDefault="00BE7FB3" w:rsidP="00BE7FB3">
      <w:pPr>
        <w:pStyle w:val="TextoNormal"/>
      </w:pPr>
    </w:p>
    <w:p w:rsidR="00BE7FB3" w:rsidRDefault="00BE7FB3" w:rsidP="00BE7FB3">
      <w:pPr>
        <w:pStyle w:val="TextoNormal"/>
      </w:pPr>
      <w:r>
        <w:t>c) Por providencia de 20 de octubre de 2011, la Sala de lo Contencioso-Administrativo del Tribunal Superior de Justicia de Cantabria acordó oír a las partes personadas y al Ministerio Fiscal por el término común de diez días sobre la pertinencia de plantear cuestión de inconstitucionalidad, respecto a la disposición adicional sexta de la Ley del Parlamento de Cantabria 2/2001, de 25 de junio, de ordenación territorial y del régimen urbanístico del suelo de Cantabria, introducida por el artículo 2 de la Ley del Parlamento de Cantabria 2/2011, de 4 de abril, por si la norma pudiera alterar la legislación básica del Estado y competencias exclusivas derivadas de los arts. 149.1.6 y 149.1.18 CE, en relación con los arts. 9.3, 24.1, 106.1, 177 y 118 CE.</w:t>
      </w:r>
    </w:p>
    <w:p w:rsidR="00BE7FB3" w:rsidRDefault="00BE7FB3" w:rsidP="00BE7FB3">
      <w:pPr>
        <w:pStyle w:val="TextoNormal"/>
      </w:pPr>
    </w:p>
    <w:p w:rsidR="00BE7FB3" w:rsidRDefault="00BE7FB3" w:rsidP="00BE7FB3">
      <w:pPr>
        <w:pStyle w:val="TextoNormal"/>
      </w:pPr>
      <w:r>
        <w:t>d) Evacuaron escrito de alegaciones las representaciones procesales de: el Ayuntamiento de Piélagos, favorable al planteamiento de la cuestión; de la parte actora (ARCA) que se opuso al planteamiento aunque, subsidiariamente, para el caso de que la Sala considerase que la Ley 2/2011 era de aplicación al incidente de ejecución, consideró que la norma era contraria a los arts. 177.3, en relación con el art. 149.1.5 y 6; 149.1.18; 9.3 y 24 CE; y del Gobierno de Cantabria, que se opuso al planteamiento de la cuestión.</w:t>
      </w:r>
    </w:p>
    <w:p w:rsidR="00BE7FB3" w:rsidRDefault="00BE7FB3" w:rsidP="00BE7FB3">
      <w:pPr>
        <w:pStyle w:val="TextoNormal"/>
      </w:pPr>
    </w:p>
    <w:p w:rsidR="00BE7FB3" w:rsidRDefault="00BE7FB3" w:rsidP="00BE7FB3">
      <w:pPr>
        <w:pStyle w:val="TextoNormal"/>
      </w:pPr>
      <w:r>
        <w:t xml:space="preserve">e) El órgano judicial dictó Auto, de 16 de enero de 2012, planteando la cuestión de inconstitucionalidad en relación con: “la disposición adicional sexta de la Ley de Cantabria 2/2011, de 4 de abril, por la que se modifica la Ley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w:t>
      </w:r>
      <w:r>
        <w:lastRenderedPageBreak/>
        <w:t>el artículo 105.1 de la Ley de la Jurisdicción Contencioso Administrativa 29/1998, de 13 de julio. Todo ello en relación con los arts. 9.3, 24.1, 106.1, 117 y 118 del texto constitucional”.</w:t>
      </w:r>
    </w:p>
    <w:p w:rsidR="00BE7FB3" w:rsidRDefault="00BE7FB3" w:rsidP="00BE7FB3">
      <w:pPr>
        <w:pStyle w:val="TextoNormal"/>
      </w:pPr>
    </w:p>
    <w:p w:rsidR="00BE7FB3" w:rsidRDefault="00BE7FB3" w:rsidP="00BE7FB3">
      <w:pPr>
        <w:pStyle w:val="TextoNormal"/>
      </w:pPr>
      <w:r w:rsidRPr="00BE7FB3">
        <w:rPr>
          <w:rStyle w:val="NumeroAFNegritaCaracter"/>
        </w:rPr>
        <w:t>3</w:t>
      </w:r>
      <w:r>
        <w:t>.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Segunda de este Tribunal el conocimiento de la presente cuestión.</w:t>
      </w:r>
    </w:p>
    <w:p w:rsidR="00BE7FB3" w:rsidRDefault="00BE7FB3" w:rsidP="00BE7FB3">
      <w:pPr>
        <w:pStyle w:val="TextoNormal"/>
      </w:pPr>
    </w:p>
    <w:p w:rsidR="00BE7FB3" w:rsidRDefault="00BE7FB3" w:rsidP="00BE7FB3">
      <w:pPr>
        <w:pStyle w:val="TextoNormal"/>
      </w:pPr>
      <w:r>
        <w:t>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00BE7FB3" w:rsidRDefault="00BE7FB3" w:rsidP="00BE7FB3">
      <w:pPr>
        <w:pStyle w:val="TextoNormal"/>
      </w:pPr>
    </w:p>
    <w:p w:rsidR="00BE7FB3" w:rsidRDefault="00BE7FB3" w:rsidP="00BE7FB3">
      <w:pPr>
        <w:pStyle w:val="TextoNormal"/>
      </w:pPr>
      <w:r w:rsidRPr="00BE7FB3">
        <w:rPr>
          <w:rStyle w:val="NumeroAFNegritaCaracter"/>
        </w:rPr>
        <w:t>4</w:t>
      </w:r>
      <w:r>
        <w:t>.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5</w:t>
      </w:r>
      <w:r>
        <w:t>.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Abogado del Estado formuló alegaciones el día 26 de noviembre de 2012, interesando la inadmisión de la cuestión de inconstitucionalidad respecto de los apartados 1, 2, y 3 y los párrafos tercero, cuarto y sexto del apartado 4 de la disposición adicional sexta de la Ley regional 2/2001, de 25 de junio, así como la estimación de la cuestión respecto de los párrafos primero, segundo y quinto de apartado 4 y el apartado 5 de la citada disposición adicional sexta.</w:t>
      </w:r>
    </w:p>
    <w:p w:rsidR="00BE7FB3" w:rsidRDefault="00BE7FB3" w:rsidP="00BE7FB3">
      <w:pPr>
        <w:pStyle w:val="TextoNormal"/>
      </w:pPr>
    </w:p>
    <w:p w:rsidR="00BE7FB3" w:rsidRDefault="00BE7FB3" w:rsidP="00BE7FB3">
      <w:pPr>
        <w:pStyle w:val="TextoNormal"/>
      </w:pPr>
      <w:r>
        <w:t>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00BE7FB3" w:rsidRDefault="00BE7FB3" w:rsidP="00BE7FB3">
      <w:pPr>
        <w:pStyle w:val="TextoNormal"/>
      </w:pPr>
    </w:p>
    <w:p w:rsidR="00BE7FB3" w:rsidRDefault="00BE7FB3" w:rsidP="00BE7FB3">
      <w:pPr>
        <w:pStyle w:val="TextoNormal"/>
      </w:pPr>
      <w:r>
        <w:t xml:space="preserve">Comienza el Abogado del Estado por no cuestionar el juicio que sobre la aplicabilidad </w:t>
      </w:r>
      <w:r w:rsidRPr="00BE7FB3">
        <w:rPr>
          <w:i/>
        </w:rPr>
        <w:t>ratione temporis</w:t>
      </w:r>
      <w:r>
        <w:t xml:space="preserve"> de la disposición adicional sexta realiza el órgano judicial, pues, en la medida en que resulta tan razonable como la tesis contraria, ha de ser respetado tanto por las partes como por el Tribunal Constitucional. Seguidamente afirma que el núcleo de la cuestión se encuentra en el párrafo quinto del apartado 4, en el que el legislador prohíbe la ejecución del pronunciamiento demolitorio contenido en una Sentencia “firme y definitiva” </w:t>
      </w:r>
      <w:r>
        <w:lastRenderedPageBreak/>
        <w:t xml:space="preserve">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w:t>
      </w:r>
      <w:r w:rsidRPr="00BE7FB3">
        <w:rPr>
          <w:i/>
        </w:rPr>
        <w:t>sine die</w:t>
      </w:r>
      <w:r>
        <w:t xml:space="preserv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00BE7FB3" w:rsidRDefault="00BE7FB3" w:rsidP="00BE7FB3">
      <w:pPr>
        <w:pStyle w:val="TextoNormal"/>
      </w:pPr>
    </w:p>
    <w:p w:rsidR="00BE7FB3" w:rsidRDefault="00BE7FB3" w:rsidP="00BE7FB3">
      <w:pPr>
        <w:pStyle w:val="TextoNormal"/>
      </w:pPr>
      <w: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básicas estatales. Pero este no es el caso de la norma regional cuestionada, puesto que el hecho generador de la responsabilidad está recogido en la norma estatal general y sectorial [arts. 142 de la Ley de régimen jurídico de las Administraciones públicas y del procedimiento administrativo común, 35 d) del texto refundido de la Ley sobre régimen del suelo y ordenación urbana y 44.2 de la Ley sobre régimen del suelo y valoraciones (Ley 6/1998, de 13 de abril)], sino que la inconstitucionalidad vendría como consecuencia de separarse el legislador autonómico de la regulación de uno de los elementos esenciales de la responsabilidad establecido en la norma estatal, cual es el requisito de que el daño sea efectivo. Al permitir que se indemnice antes de que se produzca la demolición efectiva se están indemnizando daños no actuales sino futuros, separándose así de la regla establecida en el art. 139.2 de la Ley 30/1992 con carácter básico al amparo de la competencia exclusiva del estado </w:t>
      </w:r>
      <w:r w:rsidRPr="00BE7FB3">
        <w:rPr>
          <w:i/>
        </w:rPr>
        <w:t>ex</w:t>
      </w:r>
      <w:r>
        <w:t xml:space="preserve"> art. 149.1.18 CE.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00BE7FB3" w:rsidRDefault="00BE7FB3" w:rsidP="00BE7FB3">
      <w:pPr>
        <w:pStyle w:val="TextoNormal"/>
      </w:pPr>
    </w:p>
    <w:p w:rsidR="00BE7FB3" w:rsidRDefault="00BE7FB3" w:rsidP="00BE7FB3">
      <w:pPr>
        <w:pStyle w:val="TextoNormal"/>
      </w:pPr>
      <w:r w:rsidRPr="00BE7FB3">
        <w:rPr>
          <w:rStyle w:val="NumeroAFNegritaCaracter"/>
        </w:rPr>
        <w:t>7</w:t>
      </w:r>
      <w:r>
        <w:t>. Mediante escrito presentado en el Registro General de este Tribunal el día 28 de noviembre de 2012, el Letrado de los servicios jurídicos del Gobierno de Cantabria, formuló alegaciones interesando la desestimación de la cuestión de inconstitucionalidad. Tras recordar, sirviéndose de la reproducción parcial de la exposición de motivos de la ley impugnada, que la ley trata de resolver la afectación de terceros adquirentes por la ejecución de resoluciones judiciales y administrativas que lleven consigo la demolición de viviendas —problema social y jurídico que ha sido objeto de atención por las instituciones europeas—, aborda el análisis de los dos motivos de inconstitucionalidad suscitados en el Auto de planteamiento de la cuestión de inconstitucionalidad.</w:t>
      </w:r>
    </w:p>
    <w:p w:rsidR="00BE7FB3" w:rsidRDefault="00BE7FB3" w:rsidP="00BE7FB3">
      <w:pPr>
        <w:pStyle w:val="TextoNormal"/>
      </w:pPr>
    </w:p>
    <w:p w:rsidR="00BE7FB3" w:rsidRDefault="00BE7FB3" w:rsidP="00BE7FB3">
      <w:pPr>
        <w:pStyle w:val="TextoNormal"/>
      </w:pPr>
      <w:r>
        <w:t xml:space="preserve">Rechaza en primer lugar que la norma impugnada suponga la invasión de la competencia estatal en materia de ejecución procesal </w:t>
      </w:r>
      <w:r w:rsidRPr="00BE7FB3">
        <w:rPr>
          <w:i/>
        </w:rPr>
        <w:t>ex</w:t>
      </w:r>
      <w:r>
        <w:t xml:space="preserve">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00BE7FB3" w:rsidRDefault="00BE7FB3" w:rsidP="00BE7FB3">
      <w:pPr>
        <w:pStyle w:val="TextoNormal"/>
      </w:pPr>
    </w:p>
    <w:p w:rsidR="00BE7FB3" w:rsidRDefault="00BE7FB3" w:rsidP="00BE7FB3">
      <w:pPr>
        <w:pStyle w:val="TextoNormal"/>
      </w:pPr>
      <w:r>
        <w:t>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especialidades procedimentales derivadas de su organización propia que tienen cobertura en el art. 24, apartados 1, 3 y 22, así como en el art. 35, apartado 3, del Estatuto de Autonomía de Cantabria. El órgano judicial sigue manteniendo el control de la ejecución y a él compete la adopción de las medidas tendentes a la ejecución del fallo, sin que la obligación de tramitar el expediente de responsabilidad interfiera en las facultades de aquél, sino que se orienta a un rápido resarcimiento del perjudicado por la actuación administrativa declarada ilegal.</w:t>
      </w:r>
    </w:p>
    <w:p w:rsidR="00BE7FB3" w:rsidRDefault="00BE7FB3" w:rsidP="00BE7FB3">
      <w:pPr>
        <w:pStyle w:val="TextoNormal"/>
      </w:pPr>
    </w:p>
    <w:p w:rsidR="00BE7FB3" w:rsidRDefault="00BE7FB3" w:rsidP="00BE7FB3">
      <w:pPr>
        <w:pStyle w:val="TextoNormal"/>
      </w:pPr>
      <w:r>
        <w:t>Rebate también el Gobierno de Cantabria que la norma cuestionada vulnera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 En apoyo de su tesis establece un paralelismo con la doctrina constitucional en materia de expropiación forzosa (STC 37/1987, de 26 de marzo), materia en la cual el Tribunal Constitucional ha admitido la posibilidad de que las Comunidades Autónomas establezcan nuevos supuestos expropiatorios, y la STC 164/2001, de 11 de julio, en el que también se admite la regulación autonómica de nuevos supuestos indemnizatorios en materia de responsabilidad administrativa urbanística.</w:t>
      </w:r>
    </w:p>
    <w:p w:rsidR="00BE7FB3" w:rsidRDefault="00BE7FB3" w:rsidP="00BE7FB3">
      <w:pPr>
        <w:pStyle w:val="TextoNormal"/>
      </w:pPr>
    </w:p>
    <w:p w:rsidR="00BE7FB3" w:rsidRDefault="00BE7FB3" w:rsidP="00BE7FB3">
      <w:pPr>
        <w:pStyle w:val="TextoNormal"/>
      </w:pPr>
      <w:r>
        <w:t xml:space="preserve">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w:t>
      </w:r>
      <w:r>
        <w:lastRenderedPageBreak/>
        <w:t>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00BE7FB3" w:rsidRDefault="00BE7FB3" w:rsidP="00BE7FB3">
      <w:pPr>
        <w:pStyle w:val="TextoNormal"/>
      </w:pPr>
    </w:p>
    <w:p w:rsidR="00BE7FB3" w:rsidRDefault="00BE7FB3" w:rsidP="00BE7FB3">
      <w:pPr>
        <w:pStyle w:val="TextoNormal"/>
      </w:pPr>
      <w:r w:rsidRPr="00BE7FB3">
        <w:rPr>
          <w:rStyle w:val="NumeroAFNegritaCaracter"/>
        </w:rPr>
        <w:t>8</w:t>
      </w:r>
      <w:r>
        <w:t xml:space="preserve">. Mediante escrito presentado en el Registro General el día 30 de noviembre de 2012,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w:t>
      </w:r>
      <w:r w:rsidRPr="00BE7FB3">
        <w:rPr>
          <w:i/>
        </w:rPr>
        <w:t>sine die</w:t>
      </w:r>
      <w:r>
        <w:t>, pues el procedimiento de responsabilidad tiene una duración máxima prevista de seis meses, sin que se incida por ello en la legislación procesal.</w:t>
      </w:r>
    </w:p>
    <w:p w:rsidR="00BE7FB3" w:rsidRDefault="00BE7FB3" w:rsidP="00BE7FB3">
      <w:pPr>
        <w:pStyle w:val="TextoNormal"/>
      </w:pPr>
    </w:p>
    <w:p w:rsidR="00BE7FB3" w:rsidRDefault="00BE7FB3" w:rsidP="00BE7FB3">
      <w:pPr>
        <w:pStyle w:val="TextoNormal"/>
      </w:pPr>
      <w:r>
        <w:t>Se aduce también que los reproches de inconstitucionalidad sólo pueden entenderse referidos al párrafo sexto del apartado 4 de la disposición adicional sexta, único al que se refiere la argumentación de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00BE7FB3" w:rsidRDefault="00BE7FB3" w:rsidP="00BE7FB3">
      <w:pPr>
        <w:pStyle w:val="TextoNormal"/>
      </w:pPr>
    </w:p>
    <w:p w:rsidR="00BE7FB3" w:rsidRDefault="00BE7FB3" w:rsidP="00BE7FB3">
      <w:pPr>
        <w:pStyle w:val="TextoNormal"/>
      </w:pPr>
      <w:r>
        <w:t>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de que tratamos en la ordenación de las consecuencias indemnizatorias previstas en al art. 122.2 CE para funcionamiento normal o anormal de los servicios públicos, en este caso aquellos que han dado origen a que una Sentencia declare la ilegalidad de una edificación y sea obligada su demolición. Finalmente, también encuentra cobertura constitucional la norma impugnada en la potestad de establecer los procedimientos administrativos adecuados para el ejercicio de sus competencias, siempre que se respeten las reglas básicas establecidas por el Estado. En este caso la Ley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especialidades de la Comunidad Autónoma.</w:t>
      </w:r>
    </w:p>
    <w:p w:rsidR="00BE7FB3" w:rsidRDefault="00BE7FB3" w:rsidP="00BE7FB3">
      <w:pPr>
        <w:pStyle w:val="TextoNormal"/>
      </w:pPr>
    </w:p>
    <w:p w:rsidR="00BE7FB3" w:rsidRDefault="00BE7FB3" w:rsidP="00BE7FB3">
      <w:pPr>
        <w:pStyle w:val="TextoNormal"/>
      </w:pPr>
      <w:r>
        <w:t>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evaluable económicamente ya antes del derribo material de la edificación.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00BE7FB3" w:rsidRDefault="00BE7FB3" w:rsidP="00BE7FB3">
      <w:pPr>
        <w:pStyle w:val="TextoNormal"/>
      </w:pPr>
    </w:p>
    <w:p w:rsidR="00BE7FB3" w:rsidRDefault="00BE7FB3" w:rsidP="00BE7FB3">
      <w:pPr>
        <w:pStyle w:val="TextoNormal"/>
      </w:pPr>
      <w:r w:rsidRPr="00BE7FB3">
        <w:rPr>
          <w:rStyle w:val="NumeroAFNegritaCaracter"/>
        </w:rPr>
        <w:t>9</w:t>
      </w:r>
      <w:r>
        <w:t>. El Fiscal General del Estado formuló alegaciones mediante escrito presentado el día 10 de diciembre de 2012. Tras detallar el curso del proceso del que esta cuestión de inconstitucionalidad dimana, recoge sucintamente los motivos en los que el órgano judicial funda la inconstitucionalidad de la norma legal, así como las alegaciones que en torno a esta cuestión se vertieron ante el órgano judicial proponente, y precisa que aunque la duda de constitucionalidad se dirige formalmente contra la totalidad de las disposición adicional sexta, en realidad se centra en los apartados 4 y 5 de dicha disposición.</w:t>
      </w:r>
    </w:p>
    <w:p w:rsidR="00BE7FB3" w:rsidRDefault="00BE7FB3" w:rsidP="00BE7FB3">
      <w:pPr>
        <w:pStyle w:val="TextoNormal"/>
      </w:pPr>
    </w:p>
    <w:p w:rsidR="00BE7FB3" w:rsidRDefault="00BE7FB3" w:rsidP="00BE7FB3">
      <w:pPr>
        <w:pStyle w:val="TextoNormal"/>
      </w:pPr>
      <w:r>
        <w:t xml:space="preserve">Comienza el Fiscal por señalar que la duda se suscita con ocasión de tener que resolver el órgano judicial la solicitud de paralización de la ejecución de Sentencia en cuanto a la demolición de las obras ejecutadas al amparo de la licencia anulada en el proceso </w:t>
      </w:r>
      <w:r w:rsidRPr="00BE7FB3">
        <w:rPr>
          <w:i/>
        </w:rPr>
        <w:t>a quo</w:t>
      </w:r>
      <w:r>
        <w:t>. De ahí que sólo el párrafo 5 del apartado 4 de la disposición adicional sexta pueda entenderse relevante para la decisión judicial a adoptar, sin que, por el contrario, lo sean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sino tan sólo sobre si resulta o no procedente la suspensión de la ejecución de la Sentencia en tanto se sustancia ante la Administración el aludido expediente de responsabilidad patrimonial. Propone por ello la inadmisión parcial de la cuestión en el sentido acabado de aludir.</w:t>
      </w:r>
    </w:p>
    <w:p w:rsidR="00BE7FB3" w:rsidRDefault="00BE7FB3" w:rsidP="00BE7FB3">
      <w:pPr>
        <w:pStyle w:val="TextoNormal"/>
      </w:pPr>
    </w:p>
    <w:p w:rsidR="00BE7FB3" w:rsidRDefault="00BE7FB3" w:rsidP="00BE7FB3">
      <w:pPr>
        <w:pStyle w:val="TextoNormal"/>
      </w:pPr>
      <w:r>
        <w:t>Enmarca seguidamente la cuestión suscitada en la problemática surgida como consecuencia de la edificación extensiva en la costa española, la cual ha dado lugar a diversas iniciativas europeas sobre la cuestión así como a una profusa jurisprudencia del Tribunal Supremo que niega que frente a las vulneraciones de la legalidad urbanística en la construcción de viviendas puedan sus adquirentes oponer su condición de tercero hipotecario en relación con la demolición de las viviendas. Es en este contexto en el que sitúa la norma autonómica cuestionada, pues su dictado respondió a la encomienda del Parlamento de Cantabria para que el Gobierno regional impulsase las modificaciones normativas necesarias para que quienes hubieran de soportar la demolición de sus viviendas en ejecución de resoluciones judiciales, percibieran previamente la indemnización que les correspondiese.</w:t>
      </w:r>
    </w:p>
    <w:p w:rsidR="00BE7FB3" w:rsidRDefault="00BE7FB3" w:rsidP="00BE7FB3">
      <w:pPr>
        <w:pStyle w:val="TextoNormal"/>
      </w:pPr>
    </w:p>
    <w:p w:rsidR="00BE7FB3" w:rsidRDefault="00BE7FB3" w:rsidP="00BE7FB3">
      <w:pPr>
        <w:pStyle w:val="TextoNormal"/>
      </w:pPr>
      <w:r>
        <w:t xml:space="preserve">Por lo que se refiere a las competencias autonómicas que sustentan la norma cuestionada, afirma el Fiscal que la indudable competencia exclusiva de la Comunidad Autónoma en </w:t>
      </w:r>
      <w:r>
        <w:lastRenderedPageBreak/>
        <w:t>materia de urbanismo no excluye la competencia estatal en materia de responsabilidad patrimonial de la Administración. Y tampoco las competencias sobre funcionamiento de sus instituciones de autogobierno y sobre el procedimiento administrativo derivado de las especialidades de la organización propia a que se refieren los núms. 1 y 32 del art. 2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00BE7FB3" w:rsidRDefault="00BE7FB3" w:rsidP="00BE7FB3">
      <w:pPr>
        <w:pStyle w:val="TextoNormal"/>
      </w:pPr>
    </w:p>
    <w:p w:rsidR="00BE7FB3" w:rsidRDefault="00BE7FB3" w:rsidP="00BE7FB3">
      <w:pPr>
        <w:pStyle w:val="TextoNormal"/>
      </w:pPr>
      <w:r>
        <w:t xml:space="preserve">Seguidamente recuerda el Ministerio Fiscal cuales han sido los criterios seguidos por la doctrina constitucional para enjuiciar la competencia autonómica para establecer especialidades procesales </w:t>
      </w:r>
      <w:r w:rsidRPr="00BE7FB3">
        <w:rPr>
          <w:i/>
        </w:rPr>
        <w:t>ex</w:t>
      </w:r>
      <w:r>
        <w:t xml:space="preserve">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00BE7FB3" w:rsidRDefault="00BE7FB3" w:rsidP="00BE7FB3">
      <w:pPr>
        <w:pStyle w:val="TextoNormal"/>
      </w:pPr>
    </w:p>
    <w:p w:rsidR="00BE7FB3" w:rsidRDefault="00BE7FB3" w:rsidP="00BE7FB3">
      <w:pPr>
        <w:pStyle w:val="TextoNormal"/>
      </w:pPr>
      <w: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se haya establecido, en su caso, el importe de la indemnización y se haya puesto a disposición del perjudicado, está disponiendo la paralización —probablemente </w:t>
      </w:r>
      <w:r w:rsidRPr="00BE7FB3">
        <w:rPr>
          <w:i/>
        </w:rPr>
        <w:t>sine die</w:t>
      </w:r>
      <w:r>
        <w:t>—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Sala de lo Contencioso-Administrativo del Tribunal Superior de Justicia de Cantabria plantea cuestión de inconstitucionalidad en relación con la disposición adicional sexta de la Ley del Parlamento de Cantabria 2/2001, de 25 de junio, de ordenación territorial y del régimen urbanístico del suelo de Cantabria, introducida por el artículo 2 de la Ley del </w:t>
      </w:r>
      <w:r>
        <w:lastRenderedPageBreak/>
        <w:t>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t>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t>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1986-2012, por desaparición sobrevenida de su objeto.</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57" w:name="AUTO_2013_116"/>
      <w:r>
        <w:lastRenderedPageBreak/>
        <w:t>AUTO 116/2013, de 20 de mayo de 2013</w:t>
      </w:r>
    </w:p>
    <w:bookmarkEnd w:id="257"/>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ECLI:ES:TC:2013:116A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suspensión en el recurso de amparo 2022-2012, promovido por doña Gabriela Verónica Albarracín en proceso contencioso-administrativo.</w:t>
      </w:r>
    </w:p>
    <w:p w:rsidR="00BE7FB3" w:rsidRDefault="00BE7FB3" w:rsidP="00BE7FB3">
      <w:pPr>
        <w:pStyle w:val="SntesisDescriptiva"/>
      </w:pPr>
    </w:p>
    <w:p w:rsidR="00BE7FB3" w:rsidRDefault="00BE7FB3" w:rsidP="00BE7FB3">
      <w:pPr>
        <w:pStyle w:val="SntesisAnaltica"/>
      </w:pPr>
      <w:r>
        <w:t>Ejecución de Sentencias: suspensión de ejecución de Sentencia. Suspensión cautelar de resoluciones contencioso-administrativas: expulsión de extranjeros, suspende.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Por escrito presentado en el Registro General de este Tribunal el 31 de julio de 2012, doña Gabriela Verónica Albarracín, representada por la Procuradora de los Tribunales doña Elisa Sáez Angulo y asistida por el Letrado don Javier Sánchez Sánchez, interpuso recurso de amparo contra la resolución administrativa de 21 de septiembre de 2009 que decretó su expulsión, y frente a las resoluciones judiciales que desestimaron el recurso contencioso-administrativo planteado, Sentencias de 30 de marzo de 2011 y de 13 de marzo de 2012, del Juzgado de lo Contencioso-Administrativo núm. 2 de Cádiz y de la Sala de lo Contencioso-Administrativo del Tribunal Superior de Justicia de Andalucía, respectivamente.</w:t>
      </w:r>
    </w:p>
    <w:p w:rsidR="00BE7FB3" w:rsidRDefault="00BE7FB3" w:rsidP="00BE7FB3">
      <w:pPr>
        <w:pStyle w:val="TextoNormal"/>
      </w:pPr>
    </w:p>
    <w:p w:rsidR="00BE7FB3" w:rsidRDefault="00BE7FB3" w:rsidP="00BE7FB3">
      <w:pPr>
        <w:pStyle w:val="TextoNormal"/>
      </w:pPr>
      <w:r w:rsidRPr="00BE7FB3">
        <w:rPr>
          <w:rStyle w:val="NumeroAFNegritaCaracter"/>
        </w:rPr>
        <w:t>2</w:t>
      </w:r>
      <w:r>
        <w:t>. Sucintamente expuestos, los hechos relevantes para resolver la pretensión suspensiva son los siguientes:</w:t>
      </w:r>
    </w:p>
    <w:p w:rsidR="00BE7FB3" w:rsidRDefault="00BE7FB3" w:rsidP="00BE7FB3">
      <w:pPr>
        <w:pStyle w:val="TextoNormal"/>
      </w:pPr>
    </w:p>
    <w:p w:rsidR="00BE7FB3" w:rsidRDefault="00BE7FB3" w:rsidP="00BE7FB3">
      <w:pPr>
        <w:pStyle w:val="TextoNormal"/>
      </w:pPr>
      <w:r>
        <w:t>La Administración incoó expediente de expulsión a la recurrente por encontrarse sin documentación que le habilitara a permanecer en España; asimismo, en el momento de iniciarse el proceso de expulsión, la ahora demandante de amparo se encontraba cumpliendo condena al haber cometido un delito contra la salud pública. En la demanda de amparo alegaba la vulneración del derecho a la motivación de las resoluciones sancionadoras, art. 24 CE, así como la lesión del art. 18 CE, derecho a la intimidad familiar y del art. 19 CE al tener una hija de nacionalidad española que se vería “expulsada” al serlo la madre.</w:t>
      </w:r>
    </w:p>
    <w:p w:rsidR="00BE7FB3" w:rsidRDefault="00BE7FB3" w:rsidP="00BE7FB3">
      <w:pPr>
        <w:pStyle w:val="TextoNormal"/>
      </w:pPr>
    </w:p>
    <w:p w:rsidR="00BE7FB3" w:rsidRDefault="00BE7FB3" w:rsidP="00BE7FB3">
      <w:pPr>
        <w:pStyle w:val="TextoNormal"/>
      </w:pPr>
      <w:r>
        <w:t xml:space="preserve">Mediante otrosí en la demanda de amparo y conforme al art. 56.2 de la Ley Orgánica del Tribunal Constitucional (LOTC), solicitaba la suspensión de las resoluciones impugnadas, alegando, en primer término, que la ejecución del acto administrativo recurrido haría perder al amparo su finalidad en caso de ser concedido, porque los perjuicios de carácter personal, económico y familiar serían de imposible resarcimiento, debido a las circunstancias de arraigo familiar alegadas en la demanda que determinarían que la expulsión afectaría a la </w:t>
      </w:r>
      <w:r>
        <w:lastRenderedPageBreak/>
        <w:t>vida privada y familiar de la recurrente, así como, en segundo lugar, que la ejecución del acto haría perder en gran medida la finalidad legítima del recurso al conllevar la expulsión de la recurrente a su país de origen. Además se alega que la suspensión de las resoluciones impugnadas no ocasionará perturbación grave a un interés constitucionalmente protegido ni a los derechos o libertades de otra persona.</w:t>
      </w:r>
    </w:p>
    <w:p w:rsidR="00BE7FB3" w:rsidRDefault="00BE7FB3" w:rsidP="00BE7FB3">
      <w:pPr>
        <w:pStyle w:val="TextoNormal"/>
      </w:pPr>
    </w:p>
    <w:p w:rsidR="00BE7FB3" w:rsidRDefault="00BE7FB3" w:rsidP="00BE7FB3">
      <w:pPr>
        <w:pStyle w:val="TextoNormal"/>
      </w:pPr>
      <w:r w:rsidRPr="00BE7FB3">
        <w:rPr>
          <w:rStyle w:val="NumeroAFNegritaCaracter"/>
        </w:rPr>
        <w:t>3</w:t>
      </w:r>
      <w:r>
        <w:t>. Una vez admitida a trámite la demanda de amparo la Sala Segunda del Tribunal Constitucional, mediante providencia de 11 de abril de 2013, acordó la apertura de la presente pieza separada de suspensión y, conforme al art. 56 LOTC, concedió un plazo común de tres días a la parte recurrente, al Ministerio Fiscal y al Abogado del Estado para que alegasen lo que estimasen oportuno.</w:t>
      </w:r>
    </w:p>
    <w:p w:rsidR="00BE7FB3" w:rsidRDefault="00BE7FB3" w:rsidP="00BE7FB3">
      <w:pPr>
        <w:pStyle w:val="TextoNormal"/>
      </w:pPr>
    </w:p>
    <w:p w:rsidR="00BE7FB3" w:rsidRDefault="00BE7FB3" w:rsidP="00BE7FB3">
      <w:pPr>
        <w:pStyle w:val="TextoNormal"/>
      </w:pPr>
      <w:r w:rsidRPr="00BE7FB3">
        <w:rPr>
          <w:rStyle w:val="NumeroAFNegritaCaracter"/>
        </w:rPr>
        <w:t>4</w:t>
      </w:r>
      <w:r>
        <w:t>. La parte recurrente mediante escrito que tuvo entrada en este Tribunal el 18 de abril de 2013 reiteró su petición de suspensión remitiéndose a los argumentos esgrimidos en la demanda de amparo.</w:t>
      </w:r>
    </w:p>
    <w:p w:rsidR="00BE7FB3" w:rsidRDefault="00BE7FB3" w:rsidP="00BE7FB3">
      <w:pPr>
        <w:pStyle w:val="TextoNormal"/>
      </w:pPr>
    </w:p>
    <w:p w:rsidR="00BE7FB3" w:rsidRDefault="00BE7FB3" w:rsidP="00BE7FB3">
      <w:pPr>
        <w:pStyle w:val="TextoNormal"/>
      </w:pPr>
      <w:r w:rsidRPr="00BE7FB3">
        <w:rPr>
          <w:rStyle w:val="NumeroAFNegritaCaracter"/>
        </w:rPr>
        <w:t>5</w:t>
      </w:r>
      <w:r>
        <w:t>. El Ministerio Fiscal mediante escrito de 26 de abril de 2013, se mostró favorable a la suspensión solicitada; considera que, conforme a la doctrina de este Tribunal, la naturaleza del interés afectado puede considerarse irreparable teniendo en cuenta que de producirse la expulsión se podría frustrarse la finalidad del recurso, además de afectar el derecho de la convivencia familiar de la propia interesada y sobre todo de la hija menor de edad cuyo superior interés debe ser tenido en cuenta.</w:t>
      </w:r>
    </w:p>
    <w:p w:rsidR="00BE7FB3" w:rsidRDefault="00BE7FB3" w:rsidP="00BE7FB3">
      <w:pPr>
        <w:pStyle w:val="TextoNormal"/>
      </w:pPr>
    </w:p>
    <w:p w:rsidR="00BE7FB3" w:rsidRDefault="00BE7FB3" w:rsidP="00BE7FB3">
      <w:pPr>
        <w:pStyle w:val="TextoNormal"/>
      </w:pPr>
      <w:r>
        <w:t>La aplicación al presente caso de la doctrina reseñada, en opinión del Ministerio Fiscal, determina la necesidad de acceder a la suspensión solicitada. En los casos de expulsión de extranjeros, como expresó el ATC 82/1999, de 12 de abril, la efectividad de las resoluciones como las ahora impugnadas, por las que se declara procedente la expulsión del actor, con la consiguiente salida del territorio nacional, podría convertir en ilusoria una eventual concesión del amparo. Una vez que el ciudadano expulsado se encontrase fuera de nuestras fronteras, un fallo estimatorio de este Tribunal carecería de eficacia práctica para preservar o restaurar los derechos fundamentales ahora invocados, pues lo que se trata de impedir con el presente recurso —la expulsión del territorio nacional— ya habría tenido lugar y, pese a que una eventual concesión del amparo pudiera tener como consecuencia la posibilidad de que la recurrente regresase a España, los perjuicios de carácter personal, económico y familiar serían de imposible resarcimiento. De otro lado, no parece que una suspensión de la resolución judicial recurrida pueda originar una perturbación grave de los intereses generales ni de los derechos fundamentales o libertades públicas de un tercero.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BE7FB3" w:rsidRDefault="00BE7FB3" w:rsidP="00BE7FB3">
      <w:pPr>
        <w:pStyle w:val="TextoNormal"/>
      </w:pPr>
    </w:p>
    <w:p w:rsidR="00BE7FB3" w:rsidRDefault="00BE7FB3" w:rsidP="00BE7FB3">
      <w:pPr>
        <w:pStyle w:val="TextoNormal"/>
      </w:pPr>
      <w:r>
        <w:t>De acuerdo con la doctrina mantenida por este Tribunal, por todos, ATC 66/2012, de 16 de abril,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BE7FB3" w:rsidRDefault="00BE7FB3" w:rsidP="00BE7FB3">
      <w:pPr>
        <w:pStyle w:val="TextoNormal"/>
      </w:pPr>
    </w:p>
    <w:p w:rsidR="00BE7FB3" w:rsidRDefault="00BE7FB3" w:rsidP="00BE7FB3">
      <w:pPr>
        <w:pStyle w:val="TextoNormal"/>
      </w:pPr>
      <w:r>
        <w:t>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BE7FB3" w:rsidRDefault="00BE7FB3" w:rsidP="00BE7FB3">
      <w:pPr>
        <w:pStyle w:val="TextoNormal"/>
      </w:pPr>
    </w:p>
    <w:p w:rsidR="00BE7FB3" w:rsidRDefault="00BE7FB3" w:rsidP="00BE7FB3">
      <w:pPr>
        <w:pStyle w:val="TextoNormal"/>
      </w:pPr>
      <w:r w:rsidRPr="00BE7FB3">
        <w:rPr>
          <w:rStyle w:val="NumeroAFNegritaCaracter"/>
        </w:rPr>
        <w:t>2</w:t>
      </w:r>
      <w:r>
        <w:t>. En cuanto a la expulsión de extranjeros del territorio nacional, este Tribunal ha señalado, por todos, ATC 66/2012, de 16 de abril,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w:t>
      </w:r>
    </w:p>
    <w:p w:rsidR="00BE7FB3" w:rsidRDefault="00BE7FB3" w:rsidP="00BE7FB3">
      <w:pPr>
        <w:pStyle w:val="TextoNormal"/>
      </w:pPr>
    </w:p>
    <w:p w:rsidR="00BE7FB3" w:rsidRDefault="00BE7FB3" w:rsidP="00BE7FB3">
      <w:pPr>
        <w:pStyle w:val="TextoNormal"/>
      </w:pPr>
      <w:r>
        <w:t>En el presente caso, en aplicación de lo expuesto, y conforme también solicita el Ministerio Fiscal, resulta procedente acordar la suspensión de la expulsión del territorio nacional de la recurrente, atendiendo al conjunto de sus circunstancias personales, toda vez que tampoco cabe apreciar que dicha suspensión pueda originar una perturbación grave de los intereses generales ni de los derechos fundamentales o libertades públicas de un tercero.</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 xml:space="preserve">Suspender la ejecución de la resolución de la Subdelegación del Gobierno en Cádiz de 21 de septiembre de 2009, que impone a la recurrente la sanción de expulsión del territorio </w:t>
      </w:r>
      <w:r>
        <w:lastRenderedPageBreak/>
        <w:t>nacional y prohibición de entrada durante cinco años, así como las Sentencias de 30 de marzo de 2011 y de 13 de marzo de 2012, del Juzgado de lo Contencioso-Administrativo núm. 2 de Cádiz y de la Sala de lo Contencioso-Administrativo del Tribunal Superior de Justicia de Andalucía, respectivamente.</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58" w:name="AUTO_2013_117"/>
      <w:r>
        <w:lastRenderedPageBreak/>
        <w:t>AUTO 117/2013, de 20 de mayo de 2013</w:t>
      </w:r>
    </w:p>
    <w:bookmarkEnd w:id="258"/>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ECLI:ES:TC:2013:117A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extinción de la cuestión de inconstitucionalidad 2465-2012,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p>
    <w:p w:rsidR="00BE7FB3" w:rsidRDefault="00BE7FB3" w:rsidP="00BE7FB3">
      <w:pPr>
        <w:pStyle w:val="SntesisDescriptiva"/>
      </w:pPr>
    </w:p>
    <w:p w:rsidR="00BE7FB3" w:rsidRDefault="00BE7FB3" w:rsidP="00BE7FB3">
      <w:pPr>
        <w:pStyle w:val="SntesisAnaltica"/>
      </w:pPr>
      <w:r>
        <w:t>Extinción de cuestión de inconstitucionalidad: ATC 104/2013;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Con fecha de 26 de abril de 2012 tuvo entrada en el Registro General de este Tribunal, escrito de la Sala de lo Contencioso-Administrativo del Tribunal Superior de Justicia de Cantabria al que se acompañan las actuaciones recaídas en el recurso 1991-1998 y del Auto del mismo órgano, de 20 de febrero de 2012, por el que se plantea cuestión de inconstitucionalidad en relación con la disposición adicional sexta de la Ley del Parlamento de Cantabria 2/2001, de 25 de junio, de ordenación territorial y del régimen urbanístico del suelo de Cantabria, introducida por el art.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que anteceden al planteamiento de la cuestión de inconstitucionalidad son los siguientes:</w:t>
      </w:r>
    </w:p>
    <w:p w:rsidR="00BE7FB3" w:rsidRDefault="00BE7FB3" w:rsidP="00BE7FB3">
      <w:pPr>
        <w:pStyle w:val="TextoNormal"/>
      </w:pPr>
    </w:p>
    <w:p w:rsidR="00BE7FB3" w:rsidRDefault="00BE7FB3" w:rsidP="00BE7FB3">
      <w:pPr>
        <w:pStyle w:val="TextoNormal"/>
      </w:pPr>
      <w:r>
        <w:t>a) La Sentencia de la Sala de lo Contencioso-Administrativo del Tribunal Superior de Justicia de Cantabria de 5 de julio de 2000, dictada en el recurso 1991-1998, anuló la resolución de la Alcaldía del Ayuntamiento de Argoños de 20 de junio de 1997, por la que se concedió licencia para la construcción de una serie de viviendas, ordenando la demolición de lo ilegalmente construido.</w:t>
      </w:r>
    </w:p>
    <w:p w:rsidR="00BE7FB3" w:rsidRDefault="00BE7FB3" w:rsidP="00BE7FB3">
      <w:pPr>
        <w:pStyle w:val="TextoNormal"/>
      </w:pPr>
    </w:p>
    <w:p w:rsidR="00BE7FB3" w:rsidRDefault="00BE7FB3" w:rsidP="00BE7FB3">
      <w:pPr>
        <w:pStyle w:val="TextoNormal"/>
      </w:pPr>
      <w:r>
        <w:t xml:space="preserve">b) La Sala de lo Contencioso-Administrativo del Tribunal Superior de Justicia de Cantabria, instado incidente de ejecución para la demolición de las viviendas, por providencia de 4 de enero de 2012, acordó oír a las partes personadas y al Ministerio Fiscal por el término </w:t>
      </w:r>
      <w:r>
        <w:lastRenderedPageBreak/>
        <w:t>común de diez días sobre la pertinencia de plantear cuestión de inconstitucionalidad respecto de la disposición adicional sexta de la Ley del Parlamento de Cantabria 2/2001, de 25 de junio, de ordenación territorial y del régimen urbanístico del suelo de Cantabria, introducida por el art. 2 de la Ley del Parlamento de Cantabria 2/2011, de 4 de abril, por si la norma pudiera alterar la legislación básica del Estado y competencias exclusivas derivadas de los arts. 149.1.6 y 149.1.18 CE, en relación con los arts. 9.3, 24.1, 106.1, 177 y 118 CE. Ninguna de las partes ni el Ministerio Fiscal formularon alegaciones.</w:t>
      </w:r>
    </w:p>
    <w:p w:rsidR="00BE7FB3" w:rsidRDefault="00BE7FB3" w:rsidP="00BE7FB3">
      <w:pPr>
        <w:pStyle w:val="TextoNormal"/>
      </w:pPr>
    </w:p>
    <w:p w:rsidR="00BE7FB3" w:rsidRDefault="00BE7FB3" w:rsidP="00BE7FB3">
      <w:pPr>
        <w:pStyle w:val="TextoNormal"/>
      </w:pPr>
      <w:r>
        <w:t>c) El órgano judicial dictó Auto de 20 de febrero de 2012 planteando la cuestión de inconstitucionalidad respecto de la disposición adicional sexta de la Ley del Parlamento de Cantabria 2/2001, de 25 de junio, de ordenación territorial y del régimen urbanístico del suelo de Cantabria, introducida por el art. 2 de la Ley del Parlamento de Cantabria 2/2011, de 4 de abril,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 Administrativa 29/1998, de 13 de julio. Todo ello en relación con los arts. 9.3, 24.1, 106.1, 117 y 118 del texto constitucional”.</w:t>
      </w:r>
    </w:p>
    <w:p w:rsidR="00BE7FB3" w:rsidRDefault="00BE7FB3" w:rsidP="00BE7FB3">
      <w:pPr>
        <w:pStyle w:val="TextoNormal"/>
      </w:pPr>
    </w:p>
    <w:p w:rsidR="00BE7FB3" w:rsidRDefault="00BE7FB3" w:rsidP="00BE7FB3">
      <w:pPr>
        <w:pStyle w:val="TextoNormal"/>
      </w:pPr>
      <w:r w:rsidRPr="00BE7FB3">
        <w:rPr>
          <w:rStyle w:val="NumeroAFNegritaCaracter"/>
        </w:rPr>
        <w:t>3</w:t>
      </w:r>
      <w:r>
        <w:t>.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Segunda de este Tribunal el conocimiento de la presente cuestión.</w:t>
      </w:r>
    </w:p>
    <w:p w:rsidR="00BE7FB3" w:rsidRDefault="00BE7FB3" w:rsidP="00BE7FB3">
      <w:pPr>
        <w:pStyle w:val="TextoNormal"/>
      </w:pPr>
    </w:p>
    <w:p w:rsidR="00BE7FB3" w:rsidRDefault="00BE7FB3" w:rsidP="00BE7FB3">
      <w:pPr>
        <w:pStyle w:val="TextoNormal"/>
      </w:pPr>
      <w:r>
        <w:t>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00BE7FB3" w:rsidRDefault="00BE7FB3" w:rsidP="00BE7FB3">
      <w:pPr>
        <w:pStyle w:val="TextoNormal"/>
      </w:pPr>
    </w:p>
    <w:p w:rsidR="00BE7FB3" w:rsidRDefault="00BE7FB3" w:rsidP="00BE7FB3">
      <w:pPr>
        <w:pStyle w:val="TextoNormal"/>
      </w:pPr>
      <w:r w:rsidRPr="00BE7FB3">
        <w:rPr>
          <w:rStyle w:val="NumeroAFNegritaCaracter"/>
        </w:rPr>
        <w:t>4</w:t>
      </w:r>
      <w:r>
        <w:t>. El Presidente del Senado, mediante escrito registrado en este Tribunal el 14 de noviembre de 2012, comunicó que la Mesa de la Cámara ha acordado personarse en el procedimiento, ofreciendo su colaboración a los efectos de lo previsto en el citado art. 88.1 LOTC.</w:t>
      </w:r>
    </w:p>
    <w:p w:rsidR="00BE7FB3" w:rsidRDefault="00BE7FB3" w:rsidP="00BE7FB3">
      <w:pPr>
        <w:pStyle w:val="TextoNormal"/>
      </w:pPr>
    </w:p>
    <w:p w:rsidR="00BE7FB3" w:rsidRDefault="00BE7FB3" w:rsidP="00BE7FB3">
      <w:pPr>
        <w:pStyle w:val="TextoNormal"/>
      </w:pPr>
      <w:r w:rsidRPr="00BE7FB3">
        <w:rPr>
          <w:rStyle w:val="NumeroAFNegritaCaracter"/>
        </w:rPr>
        <w:t>5</w:t>
      </w:r>
      <w:r>
        <w:t>. El Presidente del Congreso de los Diputados, mediante escrito registrado el 15 de noviembre de 2012, comunicó que la Mesa de la Cámara ha acordado personarse en el procedimiento, ofreciendo su colaboración a los efectos de lo previsto en el citado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xml:space="preserve">. El Abogado del Estado formuló alegaciones, mediante escrito registrado el 26 de noviembre de 2012, que son coincidentes sustancialmente con las formuladas en la cuestión </w:t>
      </w:r>
      <w:r>
        <w:lastRenderedPageBreak/>
        <w:t>de inconstitucionalidad 4596-2011 y que han sido ampliamente expuestas en la STC 92/2013, de 22 de abril, (antecedente 4).</w:t>
      </w:r>
    </w:p>
    <w:p w:rsidR="00BE7FB3" w:rsidRDefault="00BE7FB3" w:rsidP="00BE7FB3">
      <w:pPr>
        <w:pStyle w:val="TextoNormal"/>
      </w:pPr>
    </w:p>
    <w:p w:rsidR="00BE7FB3" w:rsidRDefault="00BE7FB3" w:rsidP="00BE7FB3">
      <w:pPr>
        <w:pStyle w:val="TextoNormal"/>
      </w:pPr>
      <w:r w:rsidRPr="00BE7FB3">
        <w:rPr>
          <w:rStyle w:val="NumeroAFNegritaCaracter"/>
        </w:rPr>
        <w:t>7</w:t>
      </w:r>
      <w:r>
        <w:t>. El Letrado de los Servicios Jurídicos del Gobierno de Cantabria formuló alegaciones, mediante escrito registrado el 28 de noviembre de 2012, que son coincidentes sustancialmente con las formuladas en la cuestión de inconstitucionalidad 4596-2011 y que han sido ampliamente expuestas en la STC 92/2013, de 22 de abril, (antecedente 5).</w:t>
      </w:r>
    </w:p>
    <w:p w:rsidR="00BE7FB3" w:rsidRDefault="00BE7FB3" w:rsidP="00BE7FB3">
      <w:pPr>
        <w:pStyle w:val="TextoNormal"/>
      </w:pPr>
    </w:p>
    <w:p w:rsidR="00BE7FB3" w:rsidRDefault="00BE7FB3" w:rsidP="00BE7FB3">
      <w:pPr>
        <w:pStyle w:val="TextoNormal"/>
      </w:pPr>
      <w:r w:rsidRPr="00BE7FB3">
        <w:rPr>
          <w:rStyle w:val="NumeroAFNegritaCaracter"/>
        </w:rPr>
        <w:t>8</w:t>
      </w:r>
      <w:r>
        <w:t>. El Letrado-Secretario General del Parlamento de Cantabria formuló alegaciones, mediante escrito registrado el 3 de diciembre de 2012, que son coincidentes sustancialmente con las formuladas en la cuestión de inconstitucionalidad 4596-2011 y que han sido ampliamente expuestas en la STC 92/2013, de 22 de abril, (antecedente 6).</w:t>
      </w:r>
    </w:p>
    <w:p w:rsidR="00BE7FB3" w:rsidRDefault="00BE7FB3" w:rsidP="00BE7FB3">
      <w:pPr>
        <w:pStyle w:val="TextoNormal"/>
      </w:pPr>
    </w:p>
    <w:p w:rsidR="00BE7FB3" w:rsidRDefault="00BE7FB3" w:rsidP="00BE7FB3">
      <w:pPr>
        <w:pStyle w:val="TextoNormal"/>
      </w:pPr>
      <w:r w:rsidRPr="00BE7FB3">
        <w:rPr>
          <w:rStyle w:val="NumeroAFNegritaCaracter"/>
        </w:rPr>
        <w:t>9</w:t>
      </w:r>
      <w:r>
        <w:t>. El Fiscal General del Estado formuló alegaciones, mediante escrito registrado el 14 de diciembre de 2012, que son coincidentes sustancialmente con las formuladas en la cuestión de inconstitucionalidad 4596-2011 y que han sido ampliamente expuestas en la STC 92/2013, de 22 de abril, (antecedente 7).</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Sala de lo Contencioso-Administrativo del Tribunal Superior de Justicia de Cantabria plantea cuestión de inconstitucionalidad en relación con la disposición adicional sexta de la Ley del Parlamento de Cantabria 2/2001, de 25 de junio, de ordenación territorial y del régimen urbanístico del suelo de Cantabria, introducida por el art.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t>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t>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2465-2012, por desaparición sobrevenida de su objeto.</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59" w:name="AUTO_2013_118"/>
      <w:r>
        <w:lastRenderedPageBreak/>
        <w:t>AUTO 118/2013, de 20 de mayo de 2013</w:t>
      </w:r>
    </w:p>
    <w:bookmarkEnd w:id="259"/>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ECLI:ES:TC:2013:118A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extinción de la cuestión de inconstitucionalidad 5659-2012,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p>
    <w:p w:rsidR="00BE7FB3" w:rsidRDefault="00BE7FB3" w:rsidP="00BE7FB3">
      <w:pPr>
        <w:pStyle w:val="SntesisDescriptiva"/>
      </w:pPr>
    </w:p>
    <w:p w:rsidR="00BE7FB3" w:rsidRDefault="00BE7FB3" w:rsidP="00BE7FB3">
      <w:pPr>
        <w:pStyle w:val="SntesisAnaltica"/>
      </w:pPr>
      <w:r>
        <w:t>Extinción de cuestión de inconstitucionalidad: ATC 104/2013;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Con fecha de 9 de octubre de 2012 tuvo entrada, en el Registro General de este Tribunal, escrito de la Sala de lo Contencioso-Administrativo del Tribunal Superior de Justicia de Cantabria al que se acompañan de las actuaciones recaídas en el recurso 1131-2001 y del Auto del mismo órgano, de 16 de junio de 2012, por el que se plantea cuestión de inconstitucionalidad en relación con la disposición adicional sexta de la Ley del Parlamento de Cantabria 2/2001, de 25 de junio, de ordenación territorial y del régimen urbanístico del suelo de Cantabria, introducida por el artículo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que anteceden al planteamiento de la cuestión de inconstitucionalidad son los siguientes:</w:t>
      </w:r>
    </w:p>
    <w:p w:rsidR="00BE7FB3" w:rsidRDefault="00BE7FB3" w:rsidP="00BE7FB3">
      <w:pPr>
        <w:pStyle w:val="TextoNormal"/>
      </w:pPr>
    </w:p>
    <w:p w:rsidR="00BE7FB3" w:rsidRDefault="00BE7FB3" w:rsidP="00BE7FB3">
      <w:pPr>
        <w:pStyle w:val="TextoNormal"/>
      </w:pPr>
      <w:r>
        <w:t>a) Mediante Sentencia de 22 de noviembre de 2002 del mismo órgano promotor de la presente cuestión (rectificada materialmente mediante Auto de 5 de diciembre de 2002), recaída en el procedimiento ordinario 1131-2001, se estimó el recurso interpuesto por la Asociación para la defensa de los recursos naturales de Cantabria (ARCA) contra la resolución de la Alcaldía de San Vicente de la Barquera por la que se aprobaba definitivamente el proyecto de urbanización promovido por la Junta de Compensación de Santa Marina. Planteada la oportuna casación contra la Sentencia resultó desestimada por Sentencia de la Sección Quinta de la Sala de lo Contencioso-Administrativo del Tribunal Supremo, de 28 de junio de 2006.</w:t>
      </w:r>
    </w:p>
    <w:p w:rsidR="00BE7FB3" w:rsidRDefault="00BE7FB3" w:rsidP="00BE7FB3">
      <w:pPr>
        <w:pStyle w:val="TextoNormal"/>
      </w:pPr>
    </w:p>
    <w:p w:rsidR="00BE7FB3" w:rsidRDefault="00BE7FB3" w:rsidP="00BE7FB3">
      <w:pPr>
        <w:pStyle w:val="TextoNormal"/>
      </w:pPr>
      <w:r>
        <w:lastRenderedPageBreak/>
        <w:t>b) Por providencia de 31 de julio de 2006 dictada por la Sala de lo Contencioso-Administrativo del Tribunal Superior de Justicia de Cantabria se tuvieron por firmes las resoluciones dictadas por ambas instancias, dándose traslado de las mismas a la Administración demandada para que procediera a la ejecución de lo acordado. Instada la ejecución de la Sentencia por una de las partes personadas y, tras distintas actuaciones procesales, por parte de una de una de las partes procesales se solicitó la suspensión del procedimiento de ejecución al amparo de lo dispuesto en la disposición adicional sexta de la Ley del Parlamento de Cantabria 2/2011 que prescribe la tramitación de los oportunos expedientes de responsabilidad patrimonial de la Administración, con determinación y abono de las correspondientes indemnizaciones, antes de proceder a una demolición.</w:t>
      </w:r>
    </w:p>
    <w:p w:rsidR="00BE7FB3" w:rsidRDefault="00BE7FB3" w:rsidP="00BE7FB3">
      <w:pPr>
        <w:pStyle w:val="TextoNormal"/>
      </w:pPr>
    </w:p>
    <w:p w:rsidR="00BE7FB3" w:rsidRDefault="00BE7FB3" w:rsidP="00BE7FB3">
      <w:pPr>
        <w:pStyle w:val="TextoNormal"/>
      </w:pPr>
      <w:r>
        <w:t>c) Por providencia de 12 de marzo de 2012, la Sala de lo Contencioso-Administrativo del Tribunal Superior de Justicia de Cantabria, de oficio, acordó oír a las partes personadas y al Ministerio Fiscal por el término común de diez días sobre la pertinencia de plantear cuestión de inconstitucionalidad, respecto a la disposición adicional sexta de la Ley del Parlamento de Cantabria 2/2011, de 4 de abril, por la que se modifica la Ley 2/2001, de 25 de junio, de ordenación territorial y del régimen urbanístico del suelo de Cantabria, por si la norma pudiera alterar la legislación básica del Estado y competencias exclusivas derivadas de los arts. 149.1.6 y 149.1.18 CE, en relación con los arts. 9.3, 24.1, 106.1, 117 y 118 CE.</w:t>
      </w:r>
    </w:p>
    <w:p w:rsidR="00BE7FB3" w:rsidRDefault="00BE7FB3" w:rsidP="00BE7FB3">
      <w:pPr>
        <w:pStyle w:val="TextoNormal"/>
      </w:pPr>
    </w:p>
    <w:p w:rsidR="00BE7FB3" w:rsidRDefault="00BE7FB3" w:rsidP="00BE7FB3">
      <w:pPr>
        <w:pStyle w:val="TextoNormal"/>
      </w:pPr>
      <w:r>
        <w:t>d) Se evacuó el referido trámite de alegaciones por las representaciones procesales de la mercantil afectada, mediante escrito de 18 de abril de 2012, entendiendo la norma controvertida ajustada al orden de competencias; del Ayuntamiento de San Vicente de la Barquera, mediante escrito de 11 de abril de 2012, igualmente estimando constitucional la norma, aunque sin oponerse al planteamiento de la cuestión; y de un particular afectado que entendía no aplicable al supuesto la citada norma.</w:t>
      </w:r>
    </w:p>
    <w:p w:rsidR="00BE7FB3" w:rsidRDefault="00BE7FB3" w:rsidP="00BE7FB3">
      <w:pPr>
        <w:pStyle w:val="TextoNormal"/>
      </w:pPr>
    </w:p>
    <w:p w:rsidR="00BE7FB3" w:rsidRDefault="00BE7FB3" w:rsidP="00BE7FB3">
      <w:pPr>
        <w:pStyle w:val="TextoNormal"/>
      </w:pPr>
      <w:r>
        <w:t>e) El órgano judicial dictó Auto, de 16 de junio de 2012, planteando la cuestión de inconstitucionalidad en relación con: “la disposición adicional sexta de la Ley de Cantabria 2/2011, de 4 de abril, por la que se modifica la Ley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Contencioso-Administrativa 29/1998, de 13 de julio. Todo ello en relación con los arts. 9.3, 24.1, 106.1, 117 y 118 del texto constitucional”.</w:t>
      </w:r>
    </w:p>
    <w:p w:rsidR="00BE7FB3" w:rsidRDefault="00BE7FB3" w:rsidP="00BE7FB3">
      <w:pPr>
        <w:pStyle w:val="TextoNormal"/>
      </w:pPr>
    </w:p>
    <w:p w:rsidR="00BE7FB3" w:rsidRDefault="00BE7FB3" w:rsidP="00BE7FB3">
      <w:pPr>
        <w:pStyle w:val="TextoNormal"/>
      </w:pPr>
      <w:r>
        <w:t>f) Mediante diligencias de ordenación de 10 y de 31 octubre de 2012 la Secretaría de Justicia del Pleno del Tribunal Constitucional requirió al órgano promotor de la impugnación para que aportara, entre otros extremos, los escritos se alegaciones previos al planteamiento de la cuestión sustanciados al amparo del art. 35 de la Ley Orgánica del Tribunal Constitucional (LOTC).</w:t>
      </w:r>
    </w:p>
    <w:p w:rsidR="00BE7FB3" w:rsidRDefault="00BE7FB3" w:rsidP="00BE7FB3">
      <w:pPr>
        <w:pStyle w:val="TextoNormal"/>
      </w:pPr>
    </w:p>
    <w:p w:rsidR="00BE7FB3" w:rsidRDefault="00BE7FB3" w:rsidP="00BE7FB3">
      <w:pPr>
        <w:pStyle w:val="TextoNormal"/>
      </w:pPr>
      <w:r>
        <w:lastRenderedPageBreak/>
        <w:t>g) Mediante oficio recibido en el Registro General de este Tribunal con fecha de 7 de febrero de 2013, se atendió la solicitud cursada completando la documentación y resultando los alegantes quienes constan en la letra d) del presente apartado.</w:t>
      </w:r>
    </w:p>
    <w:p w:rsidR="00BE7FB3" w:rsidRDefault="00BE7FB3" w:rsidP="00BE7FB3">
      <w:pPr>
        <w:pStyle w:val="TextoNormal"/>
      </w:pPr>
    </w:p>
    <w:p w:rsidR="00BE7FB3" w:rsidRDefault="00BE7FB3" w:rsidP="00BE7FB3">
      <w:pPr>
        <w:pStyle w:val="TextoNormal"/>
      </w:pPr>
      <w:r w:rsidRPr="00BE7FB3">
        <w:rPr>
          <w:rStyle w:val="NumeroAFNegritaCaracter"/>
        </w:rPr>
        <w:t>3</w:t>
      </w:r>
      <w:r>
        <w:t>. La fundamentación de la cuestión contenida en el Auto es la siguiente:</w:t>
      </w:r>
    </w:p>
    <w:p w:rsidR="00BE7FB3" w:rsidRDefault="00BE7FB3" w:rsidP="00BE7FB3">
      <w:pPr>
        <w:pStyle w:val="TextoNormal"/>
      </w:pPr>
    </w:p>
    <w:p w:rsidR="00BE7FB3" w:rsidRDefault="00BE7FB3" w:rsidP="00BE7FB3">
      <w:pPr>
        <w:pStyle w:val="TextoNormal"/>
      </w:pPr>
      <w:r>
        <w:t>Tras exponer los antecedentes del caso, en especial en relación con el recurso 1131-2001 y su ulterior ejecución, inicia el Auto sus razonamientos jurídicos señalando que se solita la suspensión de la ejecución de la Sentencia en tanto en cuanto se tramita el procedimiento de indemnización previsto en la disposición adicional sexta de la Ley de Cantabria 2/2011, de 4 de abril, por la que se modifica la Ley 2/2001, de 25 de junio, de ordenación territorial y del régimen urbanístico del suelo de Cantabria, en relación con los procedimientos de indemnización patrimonial en materia urbanística.</w:t>
      </w:r>
    </w:p>
    <w:p w:rsidR="00BE7FB3" w:rsidRDefault="00BE7FB3" w:rsidP="00BE7FB3">
      <w:pPr>
        <w:pStyle w:val="TextoNormal"/>
      </w:pPr>
    </w:p>
    <w:p w:rsidR="00BE7FB3" w:rsidRDefault="00BE7FB3" w:rsidP="00BE7FB3">
      <w:pPr>
        <w:pStyle w:val="TextoNormal"/>
      </w:pPr>
      <w:r>
        <w:t>El Auto reproduce las afirmaciones del preámbulo de la Ley 2/2011 en el sentido de que la misma es resultado de la resolución del Parlamento de Cantabria de 22 de julio de 2010 en la que se instaba al Gobierno a que “propusiera las modificaciones normativas necesarias para que a los propietarios sobre los que pesan sentencias firmes de derribo, como consecuencia de 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en el convencimiento de que una rápida respuesta de la Administración Pública, si bien no minorará los indudables perjuicios causados a los particulares, al menos no empeorará su situación. Por ello, la norma se limita a permitir la sustanciación del procedimiento de forma anticipada, sujetando la eficacia de la resolución indemnizatoria a la condición suspensiva de que el propietario del inmueble afectado ponga éste a disposición de la Administración obligada a materializar el derribo”. En consecuencia proclama que “las previsiones legales no alteran en modo alguno el régimen general de responsabilidad patrimonial, ni prejuzgan la Administración responsable, ni desde luego inciden sobre las diversas modalidades indemnizatorias que puedan existir al margen del sistema de responsabilidad patrimonial, a través de fórmulas urbanísticas que, como transferencias de aprovechamiento, garanticen la indemnidad del patrimonio de los particulares. Estos extremos se recogen en la normativa general, en cuyo marco se incardina la presente 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w:t>
      </w:r>
    </w:p>
    <w:p w:rsidR="00BE7FB3" w:rsidRDefault="00BE7FB3" w:rsidP="00BE7FB3">
      <w:pPr>
        <w:pStyle w:val="TextoNormal"/>
      </w:pPr>
    </w:p>
    <w:p w:rsidR="00BE7FB3" w:rsidRDefault="00BE7FB3" w:rsidP="00BE7FB3">
      <w:pPr>
        <w:pStyle w:val="TextoNormal"/>
      </w:pPr>
      <w:r>
        <w:t>Distinto es el parecer del órgano promotor de la cuestión, pues estima que la encomienda del Parlamento a la que la Ley 2/2011 dice responder lo era para interferir directamente en las Sentencias de derribo de forma que éstas no pudieran llevarse a efecto sin previa indemnización a los propietarios.</w:t>
      </w:r>
    </w:p>
    <w:p w:rsidR="00BE7FB3" w:rsidRDefault="00BE7FB3" w:rsidP="00BE7FB3">
      <w:pPr>
        <w:pStyle w:val="TextoNormal"/>
      </w:pPr>
    </w:p>
    <w:p w:rsidR="00BE7FB3" w:rsidRDefault="00BE7FB3" w:rsidP="00BE7FB3">
      <w:pPr>
        <w:pStyle w:val="TextoNormal"/>
      </w:pPr>
      <w:r>
        <w:t xml:space="preserve">Ahora bien para el órgano judicial cuestionante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w:t>
      </w:r>
      <w:r>
        <w:lastRenderedPageBreak/>
        <w:t>que la Sala de lo Contencioso-Administrativo del Tribunal Superior de Justicia de Cantabria ha rechazado, por la falta de efectividad del daño, reclamaciones patrimoniales que se han planteado en incidentes de ejecución, criterio que también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arts. 139 y ss.</w:t>
      </w:r>
    </w:p>
    <w:p w:rsidR="00BE7FB3" w:rsidRDefault="00BE7FB3" w:rsidP="00BE7FB3">
      <w:pPr>
        <w:pStyle w:val="TextoNormal"/>
      </w:pPr>
    </w:p>
    <w:p w:rsidR="00BE7FB3" w:rsidRDefault="00BE7FB3" w:rsidP="00BE7FB3">
      <w:pPr>
        <w:pStyle w:val="TextoNormal"/>
      </w:pPr>
      <w:r>
        <w:t>En segundo lugar señala que la ejecución de Sentencias forma parte del derecho a la tutela judicial efectiva (art. 24.1 CE) correspondiendo el ejercicio de esta potestad jurisdiccional en exclusiva a los Juzgados y Tribunales (art. 117.3 CE), señalando la misma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permite suspensión alguna en la ejecución de Sentencias. 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tres meses, condicionada a la puesta a disposición de la Administración del inmueble a derribar. Para el órgano cuestionante esta previsión pretende incluir a los derribos consecuencia de resoluciones judiciales se deriva de lo dispuesto en el punto cinco de la referida disposición en cuanto dispone que “La Administración que tramite un expediente de responsabilidad patrimonial que tenga por objeto una lesión producida como consecuencia de actuaciones administrativas declaradas ilegales que determinen el derribo de edificaciones, deberá comunicar el inicio de la sustanciación de dicho expediente al órgano judicial encargado de la ejecución de la sentencia”.</w:t>
      </w:r>
    </w:p>
    <w:p w:rsidR="00BE7FB3" w:rsidRDefault="00BE7FB3" w:rsidP="00BE7FB3">
      <w:pPr>
        <w:pStyle w:val="TextoNormal"/>
      </w:pPr>
    </w:p>
    <w:p w:rsidR="00BE7FB3" w:rsidRDefault="00BE7FB3" w:rsidP="00BE7FB3">
      <w:pPr>
        <w:pStyle w:val="TextoNormal"/>
      </w:pPr>
      <w:r>
        <w:t>El promotor de la cuestión que ahora se informa sostiene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En concreto el Auto cita la solicitud de la Comisión de Peticiones del Parlamento Europeo al Gobierno de Cantabria en el sentido de adoptar soluciones para los afectados por los derribos considerando que era la Administración la que había cometido errores compeliendo a que se reconociera a los terceros adquirentes el derecho a recibir una indemnización justa que refleje el valor de sus bienes. A ese llamamiento responde, según el Auto, la ley cuestionada si bien, para que la Administración pueda dar cumplimiento a ese mandato se hace preciso la suspensión de la ejecución por el Tribunal pues, en caso de no accederse a ésta, la demolición procedería al procedimiento, convirtiendo en ilusorio el objetivo de la reforma.</w:t>
      </w:r>
    </w:p>
    <w:p w:rsidR="00BE7FB3" w:rsidRDefault="00BE7FB3" w:rsidP="00BE7FB3">
      <w:pPr>
        <w:pStyle w:val="TextoNormal"/>
      </w:pPr>
    </w:p>
    <w:p w:rsidR="00BE7FB3" w:rsidRDefault="00BE7FB3" w:rsidP="00BE7FB3">
      <w:pPr>
        <w:pStyle w:val="TextoNormal"/>
      </w:pPr>
      <w:r>
        <w:lastRenderedPageBreak/>
        <w:t xml:space="preserve">A continuación,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para la que los órganos judiciales carecen de competencias, pues no pueden establecer la suspensión de la ejecución judicial en tanto no se tramite el expediente de responsabilidad patrimonial. Máxime cuando se obliga a que la demolición sea posterior a la puesta a disposición del perjudicado del importe de la indemnización, lo que, en el supuesto de autos, supondría, de hecho, la suspensión </w:t>
      </w:r>
      <w:r w:rsidRPr="00BE7FB3">
        <w:rPr>
          <w:i/>
        </w:rPr>
        <w:t>sine die</w:t>
      </w:r>
      <w:r>
        <w:t xml:space="preserve"> ante la ausencia de recursos suficientes por parte de los ayuntamientos responsables, insuficiencia de recursos puesta de manifiesto por el Tribunal de Cuentas en su informe de fiscalización de año 2010 y esgrimida por la propia Administración local como causa de inejecución de la Sentencia.</w:t>
      </w:r>
    </w:p>
    <w:p w:rsidR="00BE7FB3" w:rsidRDefault="00BE7FB3" w:rsidP="00BE7FB3">
      <w:pPr>
        <w:pStyle w:val="TextoNormal"/>
      </w:pPr>
    </w:p>
    <w:p w:rsidR="00BE7FB3" w:rsidRDefault="00BE7FB3" w:rsidP="00BE7FB3">
      <w:pPr>
        <w:pStyle w:val="TextoNormal"/>
      </w:pPr>
      <w:r>
        <w:t>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de este incidente. Razón por la cual esta Sala considera cumplido el juicio de relevancia”. Suspensión que al dejar en manos de la Administración y de los particulares afectados la propia efectividad del cumplimiento del fallo entra así en conflicto con el art. 117.3 CE y con el art. 105.1 de la Ley 29/1998, que no prevé suspensión alguna de la ejecución.</w:t>
      </w:r>
    </w:p>
    <w:p w:rsidR="00BE7FB3" w:rsidRDefault="00BE7FB3" w:rsidP="00BE7FB3">
      <w:pPr>
        <w:pStyle w:val="TextoNormal"/>
      </w:pPr>
    </w:p>
    <w:p w:rsidR="00BE7FB3" w:rsidRDefault="00BE7FB3" w:rsidP="00BE7FB3">
      <w:pPr>
        <w:pStyle w:val="TextoNormal"/>
      </w:pPr>
      <w:r>
        <w:t>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ésta por la que la Sala de lo Contencioso-Administrativo del Tribunal Superior de Justicia de Cantabria, en el curso de los distintos procedimientos de responsabilidad patrimonial que 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Por providencia de 26 de febrero de 2013, el Pleno del Tribunal acordó admitir a trámite la cuestión, así como, de conformidad con lo dispuesto en el art. 10.1 c) LOTC, en la redacción dada por la Ley Orgánica 6/2007, de 24 de mayo, deferir a la Sala Segunda de este Tribunal el conocimiento de la presente cuestión. En la misma providencia se acordó dar traslado de las actuaciones recibidas, conforme establece el art. 37.3 LOTC, al Congreso de los Diputados y al Senado, por conducto de sus Presidentes; al Gobierno, por conducto </w:t>
      </w:r>
      <w:r>
        <w:lastRenderedPageBreak/>
        <w:t>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00BE7FB3" w:rsidRDefault="00BE7FB3" w:rsidP="00BE7FB3">
      <w:pPr>
        <w:pStyle w:val="TextoNormal"/>
      </w:pPr>
    </w:p>
    <w:p w:rsidR="00BE7FB3" w:rsidRDefault="00BE7FB3" w:rsidP="00BE7FB3">
      <w:pPr>
        <w:pStyle w:val="TextoNormal"/>
      </w:pPr>
      <w:r w:rsidRPr="00BE7FB3">
        <w:rPr>
          <w:rStyle w:val="NumeroAFNegritaCaracter"/>
        </w:rPr>
        <w:t>5</w:t>
      </w:r>
      <w:r>
        <w:t>. El 13 de marzo de 2013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Presidente del Congreso de los Diputados, por su parte, mediante escrito que tuvo entrada el 14 de marzo de 2013, comunicó que la Mesa de la Cámara ha acordado personarse en el procedimiento, ofreciendo su colaboración a los efectos de lo previsto en el citado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formuló alegaciones el día 15 de marzo de 2013, interesando la inadmisión de la cuestión de inconstitucionalidad respecto de los apartados 1, 2, y 3 y los párrafos tercero, cuarto y sexto del apartado 4 de la disposición adicional sexta de la Ley regional 2/2011, de 25 de junio, así como la estimación de la cuestión respecto de los párrafos primero, segundo y quinto de apartado 4 y el apartado 5 de la citada disposición adicional sexta.</w:t>
      </w:r>
    </w:p>
    <w:p w:rsidR="00BE7FB3" w:rsidRDefault="00BE7FB3" w:rsidP="00BE7FB3">
      <w:pPr>
        <w:pStyle w:val="TextoNormal"/>
      </w:pPr>
    </w:p>
    <w:p w:rsidR="00BE7FB3" w:rsidRDefault="00BE7FB3" w:rsidP="00BE7FB3">
      <w:pPr>
        <w:pStyle w:val="TextoNormal"/>
      </w:pPr>
      <w:r>
        <w:t>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00BE7FB3" w:rsidRDefault="00BE7FB3" w:rsidP="00BE7FB3">
      <w:pPr>
        <w:pStyle w:val="TextoNormal"/>
      </w:pPr>
    </w:p>
    <w:p w:rsidR="00BE7FB3" w:rsidRDefault="00BE7FB3" w:rsidP="00BE7FB3">
      <w:pPr>
        <w:pStyle w:val="TextoNormal"/>
      </w:pPr>
      <w:r>
        <w:t xml:space="preserve">Comienza el Abogado del Estado por no cuestionar el juicio que sobre la aplicabilidad </w:t>
      </w:r>
      <w:r w:rsidRPr="00BE7FB3">
        <w:rPr>
          <w:i/>
        </w:rPr>
        <w:t>ratione temporis</w:t>
      </w:r>
      <w:r>
        <w:t xml:space="preserve"> de la disposición adicional sexta realiza el órgano judicial, pues, en la medida en que resulta tan razonable como la tesis contraria, ha de ser respetado tanto por las partes como por el Tribunal Constitucional. Seguidamente 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w:t>
      </w:r>
      <w:r w:rsidRPr="00BE7FB3">
        <w:rPr>
          <w:i/>
        </w:rPr>
        <w:t>sine die</w:t>
      </w:r>
      <w:r>
        <w:t xml:space="preserv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w:t>
      </w:r>
      <w:r>
        <w:lastRenderedPageBreak/>
        <w:t>disponibilidad de fondos suficientes para pagar la indemnización. Por lo demás la inconstitucionalidad alcanzaría también al apartado 5 de la disposición 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00BE7FB3" w:rsidRDefault="00BE7FB3" w:rsidP="00BE7FB3">
      <w:pPr>
        <w:pStyle w:val="TextoNormal"/>
      </w:pPr>
    </w:p>
    <w:p w:rsidR="00BE7FB3" w:rsidRDefault="00BE7FB3" w:rsidP="00BE7FB3">
      <w:pPr>
        <w:pStyle w:val="TextoNormal"/>
      </w:pPr>
      <w: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básicas estatales. Pero este no es el caso de la norma regional cuestionada, puesto que el hecho generador de la responsabilidad está recogido en la norma estatal general y sectorial [arts. 142 Ley de régimen jurídico de las Administraciones públicas y del procedimiento administrativo común, 35 d) del texto refundido de la Ley sobre régimen del suelo y ordenación urbana y 44.2 de la Ley sobre régimen del suelo y valoraciones (Ley 6/1998, de 13 de abril)], sino que la inconstitucionalidad vendría como consecuencia de separarse el legislador autonómico de la regulación de uno de los elementos esenciales de la responsabilidad establecido en la norma estatal, cual es el requisito de que el daño sea efectivo. Al permitir que se indemnice antes de que se produzca la demolición efectiva se están indemnizando daños no actuales sino futuros, separándose así de la regla establecida en el art. 139.2 de la Ley 30/1992 con carácter básico al amparo de la competencia exclusiva del estado </w:t>
      </w:r>
      <w:r w:rsidRPr="00BE7FB3">
        <w:rPr>
          <w:i/>
        </w:rPr>
        <w:t>ex</w:t>
      </w:r>
      <w:r>
        <w:t xml:space="preserve"> art. 149.1.18 CE.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00BE7FB3" w:rsidRDefault="00BE7FB3" w:rsidP="00BE7FB3">
      <w:pPr>
        <w:pStyle w:val="TextoNormal"/>
      </w:pPr>
    </w:p>
    <w:p w:rsidR="00BE7FB3" w:rsidRDefault="00BE7FB3" w:rsidP="00BE7FB3">
      <w:pPr>
        <w:pStyle w:val="TextoNormal"/>
      </w:pPr>
      <w:r w:rsidRPr="00BE7FB3">
        <w:rPr>
          <w:rStyle w:val="NumeroAFNegritaCaracter"/>
        </w:rPr>
        <w:t>8</w:t>
      </w:r>
      <w:r>
        <w:t>. Mediante escrito presentado en el Registro General de este Tribunal el día 22 de marzo de 2013, el Letrado de los Servicios Jurídicos del Gobierno de Cantabria, formuló alegaciones interesando la desestimación de la cuestión de inconstitucionalidad. Tras recordar, sirviéndose de la reproducción parcial de la exposición de motivos de la ley impugnada, que la ley trata de resolver la afectación de terceros adquirentes por la ejecución de resoluciones judiciales y administrativas que lleven consigo la demolición de viviendas —problema social y jurídico que ha sido objeto de atención por las instituciones europeas—, aborda el análisis de los dos motivos de inconstitucionalidad suscitados en el auto de planteamiento de la cuestión de inconstitucionalidad.</w:t>
      </w:r>
    </w:p>
    <w:p w:rsidR="00BE7FB3" w:rsidRDefault="00BE7FB3" w:rsidP="00BE7FB3">
      <w:pPr>
        <w:pStyle w:val="TextoNormal"/>
      </w:pPr>
    </w:p>
    <w:p w:rsidR="00BE7FB3" w:rsidRDefault="00BE7FB3" w:rsidP="00BE7FB3">
      <w:pPr>
        <w:pStyle w:val="TextoNormal"/>
      </w:pPr>
      <w:r>
        <w:t xml:space="preserve">Rechaza en primer lugar que la norma impugnada suponga la invasión de la competencia estatal en materia de ejecución procesal </w:t>
      </w:r>
      <w:r w:rsidRPr="00BE7FB3">
        <w:rPr>
          <w:i/>
        </w:rPr>
        <w:t>ex</w:t>
      </w:r>
      <w:r>
        <w:t xml:space="preserve">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w:t>
      </w:r>
      <w:r>
        <w:lastRenderedPageBreak/>
        <w:t>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00BE7FB3" w:rsidRDefault="00BE7FB3" w:rsidP="00BE7FB3">
      <w:pPr>
        <w:pStyle w:val="TextoNormal"/>
      </w:pPr>
    </w:p>
    <w:p w:rsidR="00BE7FB3" w:rsidRDefault="00BE7FB3" w:rsidP="00BE7FB3">
      <w:pPr>
        <w:pStyle w:val="TextoNormal"/>
      </w:pPr>
      <w:r>
        <w:t>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especialmente, especialidades procedimentales derivadas de su organización propia que tienen cobertura en el art. 24, aparados 1, 3 y 22, así como en el art. 35, apartado 3, del Estatuto de Autonomía de Cantabria. El órgano judicial sigue manteniendo el control de la ejecución y a él compete la adopción de las medidas tendentes a la ejecución del fallo, sin que la obligación de tramitar el expediente de responsabilidad interfiera en las facultades de aquél, sino que se orienta a un rápido resarcimiento del perjudicado por la actuación administrativa declarada ilegal.</w:t>
      </w:r>
    </w:p>
    <w:p w:rsidR="00BE7FB3" w:rsidRDefault="00BE7FB3" w:rsidP="00BE7FB3">
      <w:pPr>
        <w:pStyle w:val="TextoNormal"/>
      </w:pPr>
    </w:p>
    <w:p w:rsidR="00BE7FB3" w:rsidRDefault="00BE7FB3" w:rsidP="00BE7FB3">
      <w:pPr>
        <w:pStyle w:val="TextoNormal"/>
      </w:pPr>
      <w:r>
        <w:t>Rebate también el Gobierno de Cantabria que la norma cuestionada vulnera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 En apoyo de su tesis establece un paralelismo con la doctrina constitucional en materia de expropiación forzosa (STC 37/1987, de 26 de marzo), materia en la cual el Tribunal Constitucional ha admitido la posibilidad de que las Comunidades Autónomas establezcan nuevos supuestos expropiatorios, y la STC 164/2001, de 11 de julio, en el que también se admite la regulación autonómica de nuevos supuestos indemnizatorios en materia de responsabilidad administrativa urbanística.</w:t>
      </w:r>
    </w:p>
    <w:p w:rsidR="00BE7FB3" w:rsidRDefault="00BE7FB3" w:rsidP="00BE7FB3">
      <w:pPr>
        <w:pStyle w:val="TextoNormal"/>
      </w:pPr>
    </w:p>
    <w:p w:rsidR="00BE7FB3" w:rsidRDefault="00BE7FB3" w:rsidP="00BE7FB3">
      <w:pPr>
        <w:pStyle w:val="TextoNormal"/>
      </w:pPr>
      <w:r>
        <w:t>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9</w:t>
      </w:r>
      <w:r>
        <w:t xml:space="preserve">. Mediante escrito presentado en el Registro General el día 4 de abril de 2013,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w:t>
      </w:r>
      <w:r w:rsidRPr="00BE7FB3">
        <w:rPr>
          <w:i/>
        </w:rPr>
        <w:t>sine die</w:t>
      </w:r>
      <w:r>
        <w:t>, pues el procedimiento de responsabilidad tiene una duración máxima prevista de seis meses, sin que se incida por ello en la legislación procesal.</w:t>
      </w:r>
    </w:p>
    <w:p w:rsidR="00BE7FB3" w:rsidRDefault="00BE7FB3" w:rsidP="00BE7FB3">
      <w:pPr>
        <w:pStyle w:val="TextoNormal"/>
      </w:pPr>
    </w:p>
    <w:p w:rsidR="00BE7FB3" w:rsidRDefault="00BE7FB3" w:rsidP="00BE7FB3">
      <w:pPr>
        <w:pStyle w:val="TextoNormal"/>
      </w:pPr>
      <w:r>
        <w:t>Se aduce también que los reproches de inconstitucionalidad sólo pueden entenderse referidos al párrafo sexto del apartado 4 de la disposición adicional sexta, único al que se refiere la argumentación del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00BE7FB3" w:rsidRDefault="00BE7FB3" w:rsidP="00BE7FB3">
      <w:pPr>
        <w:pStyle w:val="TextoNormal"/>
      </w:pPr>
    </w:p>
    <w:p w:rsidR="00BE7FB3" w:rsidRDefault="00BE7FB3" w:rsidP="00BE7FB3">
      <w:pPr>
        <w:pStyle w:val="TextoNormal"/>
      </w:pPr>
      <w:r>
        <w:t>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de que tratamos en la ordenación de las consecuencias indemnizatorias previstas en al art. 122.2 CE para funcionamiento normal o anormal de los servicios públicos, en este caso aquellos que han dado origen a que una Sentencia declare la ilegalidad de una edificación y sea obligadas su demolición. Finalmente, también encuentra cobertura constitucional la norma impugnada en la potestad de establecer los procedimientos admirativos adecuados para el ejercicio de sus competencias, siempre que se respeten las reglas básicas establecidas por el Estado. En este caso la ley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especialidades de la Comunidad Autónoma.</w:t>
      </w:r>
    </w:p>
    <w:p w:rsidR="00BE7FB3" w:rsidRDefault="00BE7FB3" w:rsidP="00BE7FB3">
      <w:pPr>
        <w:pStyle w:val="TextoNormal"/>
      </w:pPr>
    </w:p>
    <w:p w:rsidR="00BE7FB3" w:rsidRDefault="00BE7FB3" w:rsidP="00BE7FB3">
      <w:pPr>
        <w:pStyle w:val="TextoNormal"/>
      </w:pPr>
      <w:r>
        <w:t>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evaluable económicamente ya antes del derribo material de la edificación.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00BE7FB3" w:rsidRDefault="00BE7FB3" w:rsidP="00BE7FB3">
      <w:pPr>
        <w:pStyle w:val="TextoNormal"/>
      </w:pPr>
    </w:p>
    <w:p w:rsidR="00BE7FB3" w:rsidRDefault="00BE7FB3" w:rsidP="00BE7FB3">
      <w:pPr>
        <w:pStyle w:val="TextoNormal"/>
      </w:pPr>
      <w:r w:rsidRPr="00BE7FB3">
        <w:rPr>
          <w:rStyle w:val="NumeroAFNegritaCaracter"/>
        </w:rPr>
        <w:t>10</w:t>
      </w:r>
      <w:r>
        <w:t>. El Fiscal General del Estado formuló alegaciones mediante escrito presentado el día 10 de abril de 2013. Tras detallar el curso del proceso del que esta cuestión de inconstitucionalidad dimana, recoge sucintamente los motivos en los que el órgano judicial funda la inconstitucionalidad de la norma legal, así como las alegaciones que en torno a esta cuestión se vertieron ante el órgano judicial proponente, y precisa que aunque la duda de constitucionalidad se dirige formalmente contra la totalidad de las disposición adicional sexta, en realidad la duda se centra en los apartados 4 y 5 de dicha disposición.</w:t>
      </w:r>
    </w:p>
    <w:p w:rsidR="00BE7FB3" w:rsidRDefault="00BE7FB3" w:rsidP="00BE7FB3">
      <w:pPr>
        <w:pStyle w:val="TextoNormal"/>
      </w:pPr>
    </w:p>
    <w:p w:rsidR="00BE7FB3" w:rsidRDefault="00BE7FB3" w:rsidP="00BE7FB3">
      <w:pPr>
        <w:pStyle w:val="TextoNormal"/>
      </w:pPr>
      <w:r>
        <w:t>Comienza el Fiscal por señalar que la duda se suscita con ocasión de tener que resolver el órgano judicial la solicitud de paralización de la ejecución de sentencia en cuanto a la demolición de las obras ejecutadas al amparo de la licencia anulada en el proceso a quo. De ahí que sólo el párrafo 5 del apartado 4 de la disposición adicional sexta pueda entenderse relevante para la decisión judicial a adoptar, sin que, por el contrario, lo sean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sino tan sólo sobre si resulta o no procedente la suspensión de la ejecución de la Sentencia en tanto se sustancia ante la Administración el aludido expediente de responsabilidad patrimonial. Propone por ello la inadmisión parcial de la cuestión en el sentido acabado de aludir.</w:t>
      </w:r>
    </w:p>
    <w:p w:rsidR="00BE7FB3" w:rsidRDefault="00BE7FB3" w:rsidP="00BE7FB3">
      <w:pPr>
        <w:pStyle w:val="TextoNormal"/>
      </w:pPr>
    </w:p>
    <w:p w:rsidR="00BE7FB3" w:rsidRDefault="00BE7FB3" w:rsidP="00BE7FB3">
      <w:pPr>
        <w:pStyle w:val="TextoNormal"/>
      </w:pPr>
      <w:r>
        <w:t>Enmarca seguidamente la cuestión suscitada en la problemática surgida como consecuencia de la edificación extensiva en la costa española, la cual ha dado lugar a diversas iniciativas europeas sobre la cuestión así como a una profusa jurisprudencia del Tribunal Supremo que niega que frente a las vulneraciones de la legalidad urbanística en la construcción de viviendas puedan sus adquirentes oponer su condición de tercero hipotecario en relación con la demolición de las viviendas. Es en este contexto en el que sitúa la norma autonómica cuestionada, pues su dictado respondió a la encomienda del Parlamento de Cantabria para que el Gobierno regional impulsase las modificaciones normativas necesarias para que quienes hubieran de soportar la demolición de sus viviendas en ejecución de resoluciones judiciales, percibieran previamente la indemnización que les correspondiese.</w:t>
      </w:r>
    </w:p>
    <w:p w:rsidR="00BE7FB3" w:rsidRDefault="00BE7FB3" w:rsidP="00BE7FB3">
      <w:pPr>
        <w:pStyle w:val="TextoNormal"/>
      </w:pPr>
    </w:p>
    <w:p w:rsidR="00BE7FB3" w:rsidRDefault="00BE7FB3" w:rsidP="00BE7FB3">
      <w:pPr>
        <w:pStyle w:val="TextoNormal"/>
      </w:pPr>
      <w:r>
        <w:t>Por lo que se refiere a las competencias autonómicas que sustentan la norma cuestionada, afirma el Fiscal que la indudable competencia exclusiva de la Comunidad Autónoma en materia de urbanismo no excluye la competencia estatal en materia de responsabilidad patrimonial de la Administración. Y tampoco las competencias sobre funcionamiento de sus instituciones de autogobierno y sobre el procedimiento administrativo derivado de las especialidades de la organización propia a que se refieren los núms. 1 y 32 del art. 2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00BE7FB3" w:rsidRDefault="00BE7FB3" w:rsidP="00BE7FB3">
      <w:pPr>
        <w:pStyle w:val="TextoNormal"/>
      </w:pPr>
    </w:p>
    <w:p w:rsidR="00BE7FB3" w:rsidRDefault="00BE7FB3" w:rsidP="00BE7FB3">
      <w:pPr>
        <w:pStyle w:val="TextoNormal"/>
      </w:pPr>
      <w:r>
        <w:t xml:space="preserve">Seguidamente recuerda el Ministerio Fiscal cuales han sido los criterios seguidos por la doctrina constitucional para enjuiciar la competencia autonómica para establecer especialidades procesales </w:t>
      </w:r>
      <w:r w:rsidRPr="00BE7FB3">
        <w:rPr>
          <w:i/>
        </w:rPr>
        <w:t>ex</w:t>
      </w:r>
      <w:r>
        <w:t xml:space="preserve"> art. 149.1.6 CE, tras lo cual avanza que el análisis de la cuestión susci</w:t>
      </w:r>
      <w:r>
        <w:lastRenderedPageBreak/>
        <w:t>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00BE7FB3" w:rsidRDefault="00BE7FB3" w:rsidP="00BE7FB3">
      <w:pPr>
        <w:pStyle w:val="TextoNormal"/>
      </w:pPr>
    </w:p>
    <w:p w:rsidR="00BE7FB3" w:rsidRDefault="00BE7FB3" w:rsidP="00BE7FB3">
      <w:pPr>
        <w:pStyle w:val="TextoNormal"/>
      </w:pPr>
      <w: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se haya establecido, en su caso, el importe de la indemnización y se haya puesto a disposición del perjudicado, está disponiendo la paralización —probablemente </w:t>
      </w:r>
      <w:r w:rsidRPr="00BE7FB3">
        <w:rPr>
          <w:i/>
        </w:rPr>
        <w:t>sine die</w:t>
      </w:r>
      <w:r>
        <w:t>—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Sala de lo Contencioso-Administrativo del Tribunal Superior de Justicia de Cantabria plantea cuestión de inconstitucionalidad en relación con la disposición adicional sexta de la Ley del Parlamento de Cantabria 2/2001, de 25 de junio, de ordenación territorial y del régimen urbanístico del suelo de Cantabria, introducida por el artículo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t>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lastRenderedPageBreak/>
        <w:t>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5659-2012, por desaparición sobrevenida de su objeto.</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60" w:name="AUTO_2013_119"/>
      <w:r>
        <w:lastRenderedPageBreak/>
        <w:t>AUTO 119/2013, de 20 de mayo de 2013</w:t>
      </w:r>
    </w:p>
    <w:bookmarkEnd w:id="260"/>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ECLI:ES:TC:2013:119A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5660-2012, planteada por la Sala de lo Contencioso-Administrativo del Tribunal Superior de Justicia de Cantabria, en relación con el artículo 2 de la Ley del Parlamento de Cantabria 2/2011, de 4 de abril, por la que se modifica la Ley 2/2001, de 25 de junio, de ordenación territorial y del régimen urbanístico del suelo.</w:t>
      </w:r>
    </w:p>
    <w:p w:rsidR="00BE7FB3" w:rsidRDefault="00BE7FB3" w:rsidP="00BE7FB3">
      <w:pPr>
        <w:pStyle w:val="SntesisDescriptiva"/>
      </w:pPr>
    </w:p>
    <w:p w:rsidR="00BE7FB3" w:rsidRDefault="00BE7FB3" w:rsidP="00BE7FB3">
      <w:pPr>
        <w:pStyle w:val="SntesisAnaltica"/>
      </w:pPr>
      <w:r>
        <w:t>Extinción de cuestión de inconstitucionalidad: ATC 104/2013;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9 de octubre de 2012 tuvo entrada en el Registro General de este Tribunal oficio de la Sala de lo Contencioso-Administrativo del Tribunal Superior de Justicia de Cantabria al que se acompaña testimonio de las actuaciones recaídas en el recurso núm. 1715-1998 y del Auto de 18 de mayo de 2012, por el que se acuerda plantear cuestión de inconstitucionalidad en relación con la disposición adicional sexta de la Ley del Parlamento de Cantabria 2/2001, de 25 de junio, de ordenación territorial y del régimen urbanístico del suelo de Cantabria, introducida por el art.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de los que trae causa la presente cuestión de inconstitucionalidad son, sucintamente expuestos, los siguientes:</w:t>
      </w:r>
    </w:p>
    <w:p w:rsidR="00BE7FB3" w:rsidRDefault="00BE7FB3" w:rsidP="00BE7FB3">
      <w:pPr>
        <w:pStyle w:val="TextoNormal"/>
      </w:pPr>
    </w:p>
    <w:p w:rsidR="00BE7FB3" w:rsidRDefault="00BE7FB3" w:rsidP="00BE7FB3">
      <w:pPr>
        <w:pStyle w:val="TextoNormal"/>
      </w:pPr>
      <w:r>
        <w:t xml:space="preserve">a) Mediante Sentencia de 2 de noviembre de 2000 de la Sala de lo Contencioso-Administrativo del Tribunal Superior de Justicia de Cantabria, recaída en el recurso núm. 1715-1998, se estimó el recurso interpuesto por la Asociación para la defensa de los recursos naturales de Cantabria (ARCA) contra acuerdos del Ayuntamiento de Piélagos de 10 de febrero y 3 de octubre de 1997, por los que se concedieron las siguientes licencias: a la empresa Calas del Norte, S.L., para la construcción de tres viviendas unifamiliares en Liencres, parcela núm. 5 de la unidad de ejecución L-01 (primera fase), y para la construcción de cuatro viviendas en la misma parcela (segunda fase); y a la empresa Nuevo Liencres, S.L., para la construcción de dieciocho viviendas en la parcela núm. 2 de la unidad de ejecución L-01 de Liencres. La Sentencia declaró la nulidad de los acuerdos impugnados y </w:t>
      </w:r>
      <w:r>
        <w:lastRenderedPageBreak/>
        <w:t>ordenó la demolición de lo indebidamente construido. Mediante Auto de la Sección Primera de la Sala de lo Contencioso-Administrativo del Tribunal Supremo de 23 de octubre de 2003, se inadmitió el recurso de casación interpuesto contra la precitada Sentencia.</w:t>
      </w:r>
    </w:p>
    <w:p w:rsidR="00BE7FB3" w:rsidRDefault="00BE7FB3" w:rsidP="00BE7FB3">
      <w:pPr>
        <w:pStyle w:val="TextoNormal"/>
      </w:pPr>
    </w:p>
    <w:p w:rsidR="00BE7FB3" w:rsidRDefault="00BE7FB3" w:rsidP="00BE7FB3">
      <w:pPr>
        <w:pStyle w:val="TextoNormal"/>
      </w:pPr>
      <w:r>
        <w:t>b) Instada la ejecución de la Sentencia por parte de la asociación recurrente, y tras diversas vicisitudes procesales, la Sala de lo Contencioso-Administrativo del Tribunal Superior de Justicia de Cantabria dictó Auto el 13 de enero de 2010 (confirmado en súplica por Auto de 24 de junio de 2010), por el que, entre otros extremos, se requería al Alcalde del Ayuntamiento de Piélagos para que diera comienzo a la ejecución de la Sentencia, concediéndole el plazo de año para que procediese a la demolición de las viviendas construidas al amparo de las licencias anuladas. Ante el incumplimiento del Ayuntamiento, por Auto de 16 de febrero de 2011 (confirmado en reposición por Auto de 30 de junio de 2011), se volvió a requerir al Ayuntamiento de Piélagos la ejecución de la demolición en el plazo de tres meses, con apercibimiento de multas coercitivas y responsabilidades penales y con la advertencia de proceder a la ejecución subsidiaria en caso de incumplimiento.</w:t>
      </w:r>
    </w:p>
    <w:p w:rsidR="00BE7FB3" w:rsidRDefault="00BE7FB3" w:rsidP="00BE7FB3">
      <w:pPr>
        <w:pStyle w:val="TextoNormal"/>
      </w:pPr>
    </w:p>
    <w:p w:rsidR="00BE7FB3" w:rsidRDefault="00BE7FB3" w:rsidP="00BE7FB3">
      <w:pPr>
        <w:pStyle w:val="TextoNormal"/>
      </w:pPr>
      <w:r>
        <w:t>c) El Ayuntamiento de Piélagos presentó escrito con fecha 12 de mayo de 2011, al amparo del art. 105 de la Ley reguladora de la jurisdicción contencioso-administrativa, poniendo de manifiesto la imposibilidad jurídica de ejecutar la Sentencia de 2 de noviembre de 2000, solicitando la incoación del correspondiente incidente y la declaración de la inejecutabilidad de dicha Sentencia en tanto no se procediera a la conclusión definitiva del expediente de responsabilidad patrimonial incoado para determinar las indemnizaciones que, en su caso, debieran abonarse a los propietarios de las viviendas sujetas a demolición. La solicitud traía causa de la aprobación de la Ley del Parlamento de Cantabria 2/2011, de 4 de abril, por la que se modifica la Ley 2/2001, de 25 de junio, de ordenación territorial y régimen urbanístico del suelo en Cantabria, en relación con los procedimientos de indemnización patrimonial en materia urbanística y, asimismo, se ponía de manifiesto que la propia Sala había elevado cuestión de inconstitucionalidad ante este Tribunal sobre el particular.</w:t>
      </w:r>
    </w:p>
    <w:p w:rsidR="00BE7FB3" w:rsidRDefault="00BE7FB3" w:rsidP="00BE7FB3">
      <w:pPr>
        <w:pStyle w:val="TextoNormal"/>
      </w:pPr>
    </w:p>
    <w:p w:rsidR="00BE7FB3" w:rsidRDefault="00BE7FB3" w:rsidP="00BE7FB3">
      <w:pPr>
        <w:pStyle w:val="TextoNormal"/>
      </w:pPr>
      <w:r>
        <w:t>d) Por providencia de 12 de enero de 2012 la Sala de lo Contencioso-Administrativo del Tribunal Superior de Justicia de Cantabria, de conformidad con lo dispuesto en el art. 35.2 de la Ley Orgánica del Tribunal Constitucional (LOTC), acordó oír a las partes personadas y al Ministerio Fiscal por el término común de diez días sobre la pertinencia de plantear cuestión de inconstitucionalidad respecto de la disposición adicional sexta de la Ley 2/2001, de 25 de junio, de ordenación territorial y del régimen urbanístico del suelo de Cantabria, introducida por el art. 2 de la Ley del Parlamento de Cantabria 2/2011, de 4 de abril, por si la norma pudiera alterar la legislación básica del Estado y competencias exclusivas derivadas del art. 149.1.6 y 18 CE, en relación con los arts. 9.3, 24.1, 106.1, 177 y 118 CE.</w:t>
      </w:r>
    </w:p>
    <w:p w:rsidR="00BE7FB3" w:rsidRDefault="00BE7FB3" w:rsidP="00BE7FB3">
      <w:pPr>
        <w:pStyle w:val="TextoNormal"/>
      </w:pPr>
    </w:p>
    <w:p w:rsidR="00BE7FB3" w:rsidRDefault="00BE7FB3" w:rsidP="00BE7FB3">
      <w:pPr>
        <w:pStyle w:val="TextoNormal"/>
      </w:pPr>
      <w:r>
        <w:t xml:space="preserve">e) Evacuado el trámite de audiencia del art. 35.2 LOTC con el resultado que consta en las actuaciones, por Auto de 18 de mayo de 2012 la Sala de lo Contencioso-Administrativo del Tribunal Superior de Justicia de Cantabria acordó plantear la presente cuestión de inconstitucionalidad respecto de la disposición adicional sexta de la Ley 2/2001, de 25 de junio, de ordenación territorial y del régimen urbanístico del suelo de Cantabria, introducida por el art. 2 de la Ley del Parlamento de Cantabria 2/2011, de 4 de abril, y ello “en relación con los procedimientos de indemnización patrimonial en materia urbanística por falta de competencia de la Comunidad Autónoma para alterar la legislación básica sobre el sistema </w:t>
      </w:r>
      <w:r>
        <w:lastRenderedPageBreak/>
        <w:t>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Contencioso-Administrativa 29/1998, de 13 de julio. Todo ello en relación con los arts. 9.3, 24.1, 106.1, 117 y 118 del texto constitucional”.</w:t>
      </w:r>
    </w:p>
    <w:p w:rsidR="00BE7FB3" w:rsidRDefault="00BE7FB3" w:rsidP="00BE7FB3">
      <w:pPr>
        <w:pStyle w:val="TextoNormal"/>
      </w:pPr>
    </w:p>
    <w:p w:rsidR="00BE7FB3" w:rsidRDefault="00BE7FB3" w:rsidP="00BE7FB3">
      <w:pPr>
        <w:pStyle w:val="TextoNormal"/>
      </w:pPr>
      <w:r w:rsidRPr="00BE7FB3">
        <w:rPr>
          <w:rStyle w:val="NumeroAFNegritaCaracter"/>
        </w:rPr>
        <w:t>3</w:t>
      </w:r>
      <w:r>
        <w:t>. El Auto de planteamiento de la cuestión se fundamenta en los términos que se resumen a continuación.</w:t>
      </w:r>
    </w:p>
    <w:p w:rsidR="00BE7FB3" w:rsidRDefault="00BE7FB3" w:rsidP="00BE7FB3">
      <w:pPr>
        <w:pStyle w:val="TextoNormal"/>
      </w:pPr>
    </w:p>
    <w:p w:rsidR="00BE7FB3" w:rsidRDefault="00BE7FB3" w:rsidP="00BE7FB3">
      <w:pPr>
        <w:pStyle w:val="TextoNormal"/>
      </w:pPr>
      <w:r>
        <w:t>Razona el Auto que la disposición adicional sexta de la Ley 2/2001, de 25 de junio, de ordenación territorial y del régimen urbanístico del suelo de Cantabria, introducida por el art. 2 de la Ley del Parlamento de Cantabria 2/2011, de 4 de abril, y más concretamente lo establecido en el párrafo quinto del apartado 4 de la referida disposición, así como en su apartado 5, pretende interferir directamente en las Sentencias firmes que ordenan la demolición de lo indebidamente construido, de forma que éstas no pudieran llevarse a efecto sin previa indemnización a los propietarios afectados. Para la Sala esta regulación vendría a incurrir en dos tachas de inconstitucionalidad de orden competencial. En primer lugar, porque en la misma se establece una causa de suspensión de la ejecución judicial de las Sentencias firmes que llevan aparejada la demolición de obras declaradas ilegales no prevista en la ley estatal, lo que vulnera la competencia estatal exclusiva en materia de legislación procesal (art. 149.1.6 CE); y, en segundo lugar, porque la norma cuestionada establece un supuesto de responsabilidad patrimonial en el que el daño indemnizable no es efectivo sino eventual, regulando así la Comunidad Autónoma de Cantabria un elemento básico del sistema de responsabilidad patrimonial de las Administraciones públicas que le está constitucionalmente vedado, por estar reservado al Estado a tenor de lo dispuesto en el art. 149.1.18 CE, regulación derivada del art. 106 CE y materializada en el título X de la Ley 30/1992, de régimen jurídico de las Administraciones públicas y del procedimiento administrativo común.</w:t>
      </w:r>
    </w:p>
    <w:p w:rsidR="00BE7FB3" w:rsidRDefault="00BE7FB3" w:rsidP="00BE7FB3">
      <w:pPr>
        <w:pStyle w:val="TextoNormal"/>
      </w:pPr>
    </w:p>
    <w:p w:rsidR="00BE7FB3" w:rsidRDefault="00BE7FB3" w:rsidP="00BE7FB3">
      <w:pPr>
        <w:pStyle w:val="TextoNormal"/>
      </w:pPr>
      <w:r>
        <w:t>Añade a lo anterior la Sala que la ejecución de Sentencias forma parte del derecho a la tutela judicial efectiva (art. 24.1 CE), correspondiendo el ejercicio de esta potestad jurisdiccional en exclusiva a los Juzgados y Tribunales (art. 117.3 CE), y siendo obligado cumplir sus resoluciones firmes y prestar la colaboración requerida por los órganos judiciales en la ejecución de lo resuelto (art. 118 CE). La disposición cuestionada introduce una causa de suspensión de la ejecución judicial, en tanto no se tramite el expediente de responsabilidad patrimonial, que deja en manos de la Administración y de los particulares afectados la propia efectividad del cumplimiento del fallo, lo que implica vulnerar los arts. 24.1 y 117.3 CE. Además, las previsiones contenidas en la disposición cuestionada, que altera las decisiones firmes en materia de responsabilidad patrimonial, puede vulnerar igualmente el principio de seguridad jurídica que proclama el art. 9.3 CE, según la Sala promotora de la cuestión.</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Mediante providencia de 29 de enero de 2013, el Pleno del Tribunal acordó admitir a trámite la cuestión, así como, de conformidad con lo dispuesto en el art. 10.1 c) LOTC, deferir el conocimiento de la misma a la Sala Primera, a la que por turno objetivo le ha correspondido. Igualmente, se acordó dar traslado de las actuaciones recibidas, conforme establece el art. 37.3 LOTC, al Congreso de los Diputados y al Senado, por conducto de sus </w:t>
      </w:r>
      <w:r>
        <w:lastRenderedPageBreak/>
        <w:t>Presidentes; al Gobierno, por conducto del Ministro de Justicia, y al Fiscal General del Estado, así como al Gobierno y al Parlamento de Cantabria, por conducto de sus respectivos Presidentes, al objeto de que, en el plazo de quince días, pudieran personarse en el proceso y formular las alegaciones que estimasen convenientes. Asimismo, se acordó comunicar la providencia a la Sala de lo Contencioso-Administrativo del Tribunal Superior de Justicia de Cantabria a los efectos previstos en el art. 35.3 LOTC y publicar la incoación de la cuestión en el “Boletín Oficial del Estado” y en el “Boletín Oficial de Cantabria”.</w:t>
      </w:r>
    </w:p>
    <w:p w:rsidR="00BE7FB3" w:rsidRDefault="00BE7FB3" w:rsidP="00BE7FB3">
      <w:pPr>
        <w:pStyle w:val="TextoNormal"/>
      </w:pPr>
    </w:p>
    <w:p w:rsidR="00BE7FB3" w:rsidRDefault="00BE7FB3" w:rsidP="00BE7FB3">
      <w:pPr>
        <w:pStyle w:val="TextoNormal"/>
      </w:pPr>
      <w:r w:rsidRPr="00BE7FB3">
        <w:rPr>
          <w:rStyle w:val="NumeroAFNegritaCaracter"/>
        </w:rPr>
        <w:t>5</w:t>
      </w:r>
      <w:r>
        <w:t>. El Presidente del Senado, mediante escrito registrado en este Tribunal el 13 de febrero de 2013, comunicó que dicha Cámara ha adoptado el acuerdo de personarse en el presente proceso constitucional,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Abogado del Estado, por escrito presentado en el Registro General de este Tribunal el 14 de febrero de 2013, se personó y formuló alegaciones, interesando la inadmisión de la cuestión de inconstitucionalidad por no constar en las actuaciones que se haya entendido el trámite de audiencia del art. 35.2 LOTC con el Ministerio Fiscal y, subsidiariamente, la inadmisión de la cuestión respecto de los apartados 1, 2, y 3 y los párrafos tercero, cuarto y sexto del apartado 4 de la disposición adicional sexta de la Ley 2/2001, de 25 de junio, de ordenación territorial y del régimen urbanístico del suelo de Cantabria, introducida por el art. 2 de la Ley del Parlamento de Cantabria 2/2011, así como la estimación de la cuestión respecto de los párrafos primero, segundo y quinto de apartado 4 y el apartado 5 de la citada disposición adicional sexta, todo ello por las razones que se detallan en su escrito de alegaciones.</w:t>
      </w:r>
    </w:p>
    <w:p w:rsidR="00BE7FB3" w:rsidRDefault="00BE7FB3" w:rsidP="00BE7FB3">
      <w:pPr>
        <w:pStyle w:val="TextoNormal"/>
      </w:pPr>
    </w:p>
    <w:p w:rsidR="00BE7FB3" w:rsidRDefault="00BE7FB3" w:rsidP="00BE7FB3">
      <w:pPr>
        <w:pStyle w:val="TextoNormal"/>
      </w:pPr>
      <w:r w:rsidRPr="00BE7FB3">
        <w:rPr>
          <w:rStyle w:val="NumeroAFNegritaCaracter"/>
        </w:rPr>
        <w:t>7</w:t>
      </w:r>
      <w:r>
        <w:t>. El Presidente del Congreso de los Diputados, mediante escrito registrado en este Tribunal el 15 de febrero de 2013, comunicó a su vez que esta Cámara ha adoptado el acuerdo de personarse en el presente proceso constitucional,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8</w:t>
      </w:r>
      <w:r>
        <w:t xml:space="preserve">. Mediante escrito presentado en el Registro General de este Tribunal el día 15 de febrero de 2013, el Letrado de los Servicios Jurídicos del Gobierno de Cantabria formuló alegaciones interesando la desestimación de la presente cuestión de inconstitucionalidad, por entender que el precepto cuestionado no invade la competencia estatal en materia de ejecución procesal </w:t>
      </w:r>
      <w:r w:rsidRPr="00BE7FB3">
        <w:rPr>
          <w:i/>
        </w:rPr>
        <w:t>ex</w:t>
      </w:r>
      <w:r>
        <w:t xml:space="preserve"> art. 149.1.6 CE, ni la competencia estatal para el establecimiento de las bases del sistema de responsabilidad patrimonial (art. 149.1.18 CE), y tampoco incurre en las restantes tachas de inconstitucionalidad que señala el Auto de planteamiento.</w:t>
      </w:r>
    </w:p>
    <w:p w:rsidR="00BE7FB3" w:rsidRDefault="00BE7FB3" w:rsidP="00BE7FB3">
      <w:pPr>
        <w:pStyle w:val="TextoNormal"/>
      </w:pPr>
    </w:p>
    <w:p w:rsidR="00BE7FB3" w:rsidRDefault="00BE7FB3" w:rsidP="00BE7FB3">
      <w:pPr>
        <w:pStyle w:val="TextoNormal"/>
      </w:pPr>
      <w:r w:rsidRPr="00BE7FB3">
        <w:rPr>
          <w:rStyle w:val="NumeroAFNegritaCaracter"/>
        </w:rPr>
        <w:t>9</w:t>
      </w:r>
      <w:r>
        <w:t xml:space="preserve">. El Fiscal General del Estado presentó su escrito de alegaciones en este Tribunal el 21 de febrero de 2013. Tras exponer los antecedentes del caso y los razonamientos que se desarrollan en el Auto de planteamiento de la cuestión, precisa, en primer lugar, que, si bien la duda de constitucionalidad se dirige formalmente contra la totalidad de la disposición adicional sexta de la Ley 2/2001, de 25 de junio, de ordenación territorial y del régimen urbanístico del suelo de Cantabria, introducida por el art. 2 de la Ley del Parlamento de Cantabria 2/2011, de 4 de abril, en realidad, de la lectura de los razonamientos del Auto de planteamiento se infiere sin dificultad que la duda se centra en los apartados 4 y 5 de dicha disposición, a lo que añade que la duda se suscita con ocasión de tener que resolver el órgano judicial la solicitud de paralización de la ejecución de Sentencia en cuanto a la demolición </w:t>
      </w:r>
      <w:r>
        <w:lastRenderedPageBreak/>
        <w:t xml:space="preserve">de las obras ejecutadas al amparo de las licencias anuladas en el proceso </w:t>
      </w:r>
      <w:r w:rsidRPr="00BE7FB3">
        <w:rPr>
          <w:i/>
        </w:rPr>
        <w:t>a quo</w:t>
      </w:r>
      <w:r>
        <w:t>, por lo que sólo el párrafo quinto del apartado 4 de la disposición cuestionada puede entenderse relevante para la decisión judicial a adoptar, sin que, por el contrario, lo sean el resto de párrafos del apartado 4 ni el apartado 5 en su totalidad. Propone por ello la inadmisión parcial de la cuestión en el sentido que se acaba de señalar.</w:t>
      </w:r>
    </w:p>
    <w:p w:rsidR="00BE7FB3" w:rsidRDefault="00BE7FB3" w:rsidP="00BE7FB3">
      <w:pPr>
        <w:pStyle w:val="TextoNormal"/>
      </w:pPr>
    </w:p>
    <w:p w:rsidR="00BE7FB3" w:rsidRDefault="00BE7FB3" w:rsidP="00BE7FB3">
      <w:pPr>
        <w:pStyle w:val="TextoNormal"/>
      </w:pPr>
      <w:r>
        <w:t>Tras esta precisión, considera el Fiscal General del Estado que el precepto cuestionado, en el inciso referido, invade las competencias estatales en materia de ejecución procesal (art. 149.1.6 CE) y para el establecimiento de las bases del sistema de responsabilidad patrimonial (art. 149.1.18 CE) y asimismo, se inmiscuye en una función estrictamente jurisdiccional, consagrada con diversos matices en los arts. 106.1, 117.3 y 118 CE, perjudicando el derecho a la ejecución de las Sentencias firmes en sus propios términos, que forma parte del derecho fundamental a la tutela judicial efectiva consagrado en el art. 24.1 CE, por todo lo cual interesa el  Fiscal General del Estado que se dicte Sentencia por la que se estime parcialmente la presente cuestión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10</w:t>
      </w:r>
      <w:r>
        <w:t xml:space="preserve">. A través de escrito presentado el 25 de febrero de 2013, la representación procesal del Parlamento de Cantabria formuló alegaciones interesando la desestimación de la cuestión. Comienza aduciendo que podría entenderse que no se cumple el juicio de relevancia (art. 35.2 LOTC) de la norma cuestionada, pues con independencia de que se declare o no inconstitucional, las consecuencias jurídicas no varían para el proceso </w:t>
      </w:r>
      <w:r w:rsidRPr="00BE7FB3">
        <w:rPr>
          <w:i/>
        </w:rPr>
        <w:t>a quo</w:t>
      </w:r>
      <w:r>
        <w:t>, en la medida en que las obras ilegalmente realizadas habrán de ser demolidas. Se aduce también que los reproches de inconstitucionalidad sólo pueden entenderse referidos al párrafo sexto del apartado 4 de la disposición adicional sexta de la Ley 2/2001, de 25 de junio, de ordenación territorial y del régimen urbanístico del suelo de Cantabria, introducida por el art. 2 de la ley de Cantabria 2/2011, único extremo al que se refiere la argumentación del Auto de promoción de la cuestión. En todo caso, el Parlamento de Cantabria sostiene que la norma cuestionada ha sido dictada en el ejercicio de las competencias de la Comunidad Autónoma de Cantabria para regular sus instituciones de autogobierno y sobre ordenación del territorio y urbanismo, así como de la potestad de establecer los procedimientos administrativos adecuados para el ejercicio de sus competencias, siempre que se respeten las reglas básicas establecidas por el Estado, por lo que entiende que el precepto cuestionado no invade las competencias estatales en materia de ejecución procesal (art. 149.1.6 CE) y para el establecimiento de las bases del sistema de responsabilidad patrimonial (art. 149.1.18 CE), ni incurre tampoco en las restantes tachas de inconstitucionalidad que se apuntan en el Auto de planteamiento.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La Sala de lo Contencioso-Administrativo del Tribunal Superior de Justicia de Cantabria plantea cuestión de inconstitucionalidad en relación con la disposición adicional sexta de la Ley del Parlamento de Cantabria 2/2001, de 25 de junio, de ordenación territorial y del régimen urbanístico del suelo de Cantabria, introducida por el art.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lastRenderedPageBreak/>
        <w:t>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t>Por ello, la duda de constitucionalidad planteada por el órgano judicial en relación con la disposición adicional sexta de la Ley 2/2001, de 25 de junio, de ordenación territorial y del régimen urbanístico del suelo de Cantabria, ha quedado disipada a la vista del pronunciamiento de la citada STC 92/2013, de 22 de abril. Ello determina, conforme a reiterada doctrina de este Tribunal (SSTC 387/1993, de 23 de diciembre, FJ único; 72/1997, de 10 de abril, FJ único; 91/1997, de 8 de mayo, FJ único; y AATC 271/2005, de 21 de junio, FJ único; y 272/2005, de 21 de junio, FJ 2), la desaparición sobrevenida del objeto de la cuestión planteada con respecto al citado precepto legal en los incisos referidos.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5660-2012, por desaparición sobrevenida de su objeto.</w:t>
      </w:r>
    </w:p>
    <w:p w:rsidR="00BE7FB3" w:rsidRDefault="00BE7FB3" w:rsidP="00BE7FB3">
      <w:pPr>
        <w:pStyle w:val="TextoNormal"/>
      </w:pPr>
    </w:p>
    <w:p w:rsidR="00BE7FB3" w:rsidRDefault="00BE7FB3" w:rsidP="00BE7FB3">
      <w:pPr>
        <w:pStyle w:val="TextoNormal"/>
      </w:pPr>
      <w:r>
        <w:t>Madrid, a veinte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61" w:name="AUTO_2013_120"/>
      <w:r>
        <w:lastRenderedPageBreak/>
        <w:t>AUTO 120/2013, de 20 de mayo de 2013</w:t>
      </w:r>
    </w:p>
    <w:bookmarkEnd w:id="261"/>
    <w:p w:rsidR="00BE7FB3" w:rsidRDefault="00BE7FB3" w:rsidP="00BE7FB3">
      <w:pPr>
        <w:pStyle w:val="TtuloResolucin"/>
      </w:pPr>
      <w:r>
        <w:t>Sección Tercera</w:t>
      </w:r>
    </w:p>
    <w:p w:rsidR="00BE7FB3" w:rsidRDefault="00BE7FB3" w:rsidP="00BE7FB3">
      <w:pPr>
        <w:pStyle w:val="TtuloResolucin"/>
      </w:pPr>
    </w:p>
    <w:p w:rsidR="00BE7FB3" w:rsidRDefault="00BE7FB3" w:rsidP="00BE7FB3">
      <w:pPr>
        <w:pStyle w:val="SntesisDescriptiva"/>
      </w:pPr>
      <w:r>
        <w:t>ECLI:ES:TC:2013:120A</w:t>
      </w:r>
    </w:p>
    <w:p w:rsidR="00BE7FB3" w:rsidRDefault="00BE7FB3" w:rsidP="00BE7FB3">
      <w:pPr>
        <w:pStyle w:val="SntesisDescriptiva"/>
      </w:pPr>
    </w:p>
    <w:p w:rsidR="00BE7FB3" w:rsidRDefault="00BE7FB3" w:rsidP="00BE7FB3">
      <w:pPr>
        <w:pStyle w:val="SntesisDescriptiva"/>
      </w:pPr>
      <w:r>
        <w:t>Excms. Srs. don Ramón Rodríguez Arribas, don Luis Ignacio Ortega Álvarez y doña Encarnación Roca Trías.</w:t>
      </w:r>
    </w:p>
    <w:p w:rsidR="00BE7FB3" w:rsidRDefault="00BE7FB3" w:rsidP="00BE7FB3">
      <w:pPr>
        <w:pStyle w:val="SntesisDescriptiva"/>
      </w:pPr>
    </w:p>
    <w:p w:rsidR="00BE7FB3" w:rsidRDefault="00BE7FB3" w:rsidP="00BE7FB3">
      <w:pPr>
        <w:pStyle w:val="SntesisDescriptiva"/>
      </w:pPr>
      <w:r>
        <w:t>Acuerda el desistimiento en el recurso de amparo 6990-2012, promovido en causa penal.</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262" w:name="AUTO_2013_121"/>
      <w:r>
        <w:lastRenderedPageBreak/>
        <w:t>AUTO 121/2013, de 20 de mayo de 2013</w:t>
      </w:r>
    </w:p>
    <w:bookmarkEnd w:id="262"/>
    <w:p w:rsidR="00BE7FB3" w:rsidRDefault="00BE7FB3" w:rsidP="00BE7FB3">
      <w:pPr>
        <w:pStyle w:val="TtuloResolucin"/>
      </w:pPr>
      <w:r>
        <w:t>Sección Tercera</w:t>
      </w:r>
    </w:p>
    <w:p w:rsidR="00BE7FB3" w:rsidRDefault="00BE7FB3" w:rsidP="00BE7FB3">
      <w:pPr>
        <w:pStyle w:val="TtuloResolucin"/>
      </w:pPr>
    </w:p>
    <w:p w:rsidR="00BE7FB3" w:rsidRDefault="00BE7FB3" w:rsidP="00BE7FB3">
      <w:pPr>
        <w:pStyle w:val="SntesisDescriptiva"/>
      </w:pPr>
      <w:r>
        <w:t>ECLI:ES:TC:2013:121A</w:t>
      </w:r>
    </w:p>
    <w:p w:rsidR="00BE7FB3" w:rsidRDefault="00BE7FB3" w:rsidP="00BE7FB3">
      <w:pPr>
        <w:pStyle w:val="SntesisDescriptiva"/>
      </w:pPr>
    </w:p>
    <w:p w:rsidR="00BE7FB3" w:rsidRDefault="00BE7FB3" w:rsidP="00BE7FB3">
      <w:pPr>
        <w:pStyle w:val="SntesisDescriptiva"/>
      </w:pPr>
      <w:r>
        <w:t>Excms. Srs. don Ramón Rodríguez Arribas, don Luis Ignacio Ortega Álvarez y doña Encarnación Roca Trías.</w:t>
      </w:r>
    </w:p>
    <w:p w:rsidR="00BE7FB3" w:rsidRDefault="00BE7FB3" w:rsidP="00BE7FB3">
      <w:pPr>
        <w:pStyle w:val="SntesisDescriptiva"/>
      </w:pPr>
    </w:p>
    <w:p w:rsidR="00BE7FB3" w:rsidRDefault="00BE7FB3" w:rsidP="00BE7FB3">
      <w:pPr>
        <w:pStyle w:val="SntesisDescriptiva"/>
      </w:pPr>
      <w:r>
        <w:t>Acuerda el desistimiento en el recurso de amparo 1263-2013, promovido en proceso contencioso-administrativo.</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263" w:name="AUTO_2013_122"/>
      <w:r>
        <w:lastRenderedPageBreak/>
        <w:t>AUTO 122/2013, de 21 de mayo de 2013</w:t>
      </w:r>
    </w:p>
    <w:bookmarkEnd w:id="263"/>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ECLI:ES:TC:2013:122A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Mantiene la suspensión en el recurso de inconstitucionalidad 7208-2012, interpuesto por la Presidenta del Gobierno en funciones en relación con el artículo 16 del texto refundido de la Ley de tasas y precios públicos de la Generalitat de Cataluña, aprobado por Decreto Legislativo 3/2008, de 25 de junio y 41 de la Ley del Parlamento de Cataluña 5/2012, de 20 de marzo, de medidas fiscales, financieras y administrativas y de creación del impuesto sobre estancias en establecimientos turísticos.</w:t>
      </w:r>
    </w:p>
    <w:p w:rsidR="00BE7FB3" w:rsidRDefault="00BE7FB3" w:rsidP="00BE7FB3">
      <w:pPr>
        <w:pStyle w:val="SntesisDescriptiva"/>
      </w:pPr>
    </w:p>
    <w:p w:rsidR="00BE7FB3" w:rsidRDefault="00BE7FB3" w:rsidP="00BE7FB3">
      <w:pPr>
        <w:pStyle w:val="SntesisAnaltica"/>
      </w:pPr>
      <w:r>
        <w:t>Autonomía financiera: tributos autonómicos. Cataluña: competencias en materia de Administración de justicia; potestad tributaria. Derecho a la integridad física y moral: derecho a la protección de la salud. Gasto público: contención del gasto público. Leyes de presupuestos de las Comunidades Autónomas: principio de estabilidad presupuestaria. Sanidad: productos farmacéuticos. Suspensión de disposiciones de las Comunidades Autónomas: acreditación por el Abogado del Estado del perjuicio irreparable; mantenimiento de la suspensión de disposiciones de las Comunidades Autónomas; perjuicios irreparables; ponderación de intereses; tributos autonómicos. Tasas sanitarias: copago farmacéutico.</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xml:space="preserve">. Mediante escrito presentado en el Registro General de este Tribunal el día 21 de diciembre de 2012, el Abogado del Estado, en representación de la Presidenta del Gobierno en funciones, promueve recurso de inconstitucionalidad contra los arts. 16 (en lo relativo al nuevo art. 3 bis.1.1, apartado 1, del texto refundido de la Ley de tasas y precios públicos de la Generalitat de Cataluña, aprobado por Decreto Legislativo 3/2008, de 25 de junio) y 41 de la Ley del Parlamento de Cataluña 5/2012, de 20 de marzo, de medidas fiscales, financieras y administrativas y de creación del impuesto sobre estancias en establecimientos turísticos (en lo sucesivo, Ley 5/2012). </w:t>
      </w:r>
    </w:p>
    <w:p w:rsidR="00BE7FB3" w:rsidRDefault="00BE7FB3" w:rsidP="00BE7FB3">
      <w:pPr>
        <w:pStyle w:val="TextoNormal"/>
      </w:pPr>
    </w:p>
    <w:p w:rsidR="00BE7FB3" w:rsidRDefault="00BE7FB3" w:rsidP="00BE7FB3">
      <w:pPr>
        <w:pStyle w:val="TextoNormal"/>
      </w:pPr>
      <w:r>
        <w:t>El Abogado del Estado invocó el art. 161.2 CE a fin de que se acordase la suspensión de la norma impugnada en el presente recurso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Por providencia de 15 de enero de 2013, el Pleno, a propuesta de la Sección Segunda, acordó admitir a trámite el recurso y, de conformidad con lo establecido en el art. 34 de la </w:t>
      </w:r>
      <w:r>
        <w:lastRenderedPageBreak/>
        <w:t>Ley Orgánica del Tribunal Constitucional (LOTC), dar traslado de la demanda al Congreso de los Diputados, al Senado, a la Generalitat de Cataluña y al Parlamento de Cataluña, al objeto de personarse en el proceso y formular alegaciones en el plazo de quince días. Asimismo, se tuvo por invocado por el Presidente del Gobierno el art. 161.2 CE, lo que, a su tenor, produjo la suspensión de la vigencia y aplicación de los preceptos impugnados. Finalmente, se acordó publicar la incoación del recurso de inconstitucionalidad en el “Boletín Oficial del Estado” y en el “Diari Oficial de la Generalitat de Catalunya”.</w:t>
      </w:r>
    </w:p>
    <w:p w:rsidR="00BE7FB3" w:rsidRDefault="00BE7FB3" w:rsidP="00BE7FB3">
      <w:pPr>
        <w:pStyle w:val="TextoNormal"/>
      </w:pPr>
    </w:p>
    <w:p w:rsidR="00BE7FB3" w:rsidRDefault="00BE7FB3" w:rsidP="00BE7FB3">
      <w:pPr>
        <w:pStyle w:val="TextoNormal"/>
      </w:pPr>
      <w:r w:rsidRPr="00BE7FB3">
        <w:rPr>
          <w:rStyle w:val="NumeroAFNegritaCaracter"/>
        </w:rPr>
        <w:t>3</w:t>
      </w:r>
      <w:r>
        <w:t>. El día 25 de enero de 2013, el Presidente del Congreso de los Diputados comunicó que la Cámara se personaba en el proceso, ofreciendo su colaboración a los efectos del art. 88.1 LOTC. Por su parte, el Presidente del Senado comunicó el día 30 de enero de 2013 el acuerdo de la Mesa de la Cámara en el mismo sentido.</w:t>
      </w:r>
    </w:p>
    <w:p w:rsidR="00BE7FB3" w:rsidRDefault="00BE7FB3" w:rsidP="00BE7FB3">
      <w:pPr>
        <w:pStyle w:val="TextoNormal"/>
      </w:pPr>
    </w:p>
    <w:p w:rsidR="00BE7FB3" w:rsidRDefault="00BE7FB3" w:rsidP="00BE7FB3">
      <w:pPr>
        <w:pStyle w:val="TextoNormal"/>
      </w:pPr>
      <w:r w:rsidRPr="00BE7FB3">
        <w:rPr>
          <w:rStyle w:val="NumeroAFNegritaCaracter"/>
        </w:rPr>
        <w:t>4</w:t>
      </w:r>
      <w:r>
        <w:t>. El Abogado de la Generalitat de Cataluña, en la representación que legalmente ostenta, presentó su escrito de alegaciones el día 5 de febrero de 2013, instando la desestimación del recurso. Solicitó asimismo, en primer otrosí, el levantamiento inmediato de la suspensión de los preceptos impugnados, en atención a las razones que se sintetizan a continuación.</w:t>
      </w:r>
    </w:p>
    <w:p w:rsidR="00BE7FB3" w:rsidRDefault="00BE7FB3" w:rsidP="00BE7FB3">
      <w:pPr>
        <w:pStyle w:val="TextoNormal"/>
      </w:pPr>
    </w:p>
    <w:p w:rsidR="00BE7FB3" w:rsidRDefault="00BE7FB3" w:rsidP="00BE7FB3">
      <w:pPr>
        <w:pStyle w:val="TextoNormal"/>
      </w:pPr>
      <w:r>
        <w:t>a) La doctrina consolidada del Tribunal sobre este tipo de incidentes de suspensión (AATC 662/1986, 1269/1988, 12/1992, 417/1997, 44/1998, 277/2009 y 95/2011, entre otros muchos), señala que el levantamiento o mantenimiento de la suspensión derivada de la invocación del art. 161.2 CE se ha de dirimir en función de la consideración de varios criterios. El primero es el de la presunción de legitimidad de las normas, en especial de las que tienen fuerza de ley, por el interés general que existe en el normal despliegue de la eficacia de las leyes, revestidas como están de una especial presunción de constitucionalidad en cuanto expresión de la voluntad popular. En este sentido, la resolución del incidente de suspensión ha de evitar que la suspensión opere como un “indebido bloqueo del ejercicio de sus competencias por las Comunidades Autónomas” (ATC 12/1992, FJ 1). El segundo criterio es el de la ponderación, de un lado, de los intereses en presencia, tanto el general y público, como, en su caso, el particular o privado de las personas afectadas, y, de otro, de los perjuicios de imposible o difícil reparación que puedan derivarse de la aplicación de la norma o del mantenimiento de su suspensión, que deben ser ciertos y efectivos y no meramente hipotéticos, así como la posibilidad de que en uno u otro caso pudieran llegar a producirse situaciones de hecho irreversibles que vaciasen de contenido la resolución final del proceso pendiente. Esta valoración debe efectuarse al margen de la viabilidad de las pretensiones que se formulan en la demanda (por todos, AATC 30/2003 y 18/2007). Por último, conforme a lo expresado, entre otros muchos, en los AATC 351/1990, 243/1993, 64/1994, 251/1996, 44/1998, 199/2000, 5/2002, 30/2003 y 238/2012, el mantenimiento de la suspensión, en cuanto excepción a la regla general, requiere que el Gobierno, a quien se debe la iniciativa de la suspensión, aporte y razone con detalle los argumentos que la justifiquen. Sin perjuicio de lo anterior, se razonan a continuación los motivos que, a su entender, deben conducir al levantamiento de la suspensión.</w:t>
      </w:r>
    </w:p>
    <w:p w:rsidR="00BE7FB3" w:rsidRDefault="00BE7FB3" w:rsidP="00BE7FB3">
      <w:pPr>
        <w:pStyle w:val="TextoNormal"/>
      </w:pPr>
    </w:p>
    <w:p w:rsidR="00BE7FB3" w:rsidRDefault="00BE7FB3" w:rsidP="00BE7FB3">
      <w:pPr>
        <w:pStyle w:val="TextoNormal"/>
      </w:pPr>
      <w:r>
        <w:t>Tratándose la cuestión controvertida de un tema de tasas, es lógico pensar que los perjuicios que pudieran derivarse del mantenimiento o levantamiento de su suspensión tienen fundamentalmente un carácter económico, aunque su incidencia va más allá, puesto que si “la tasa sigue al servicio”, es razonable también que la suspensión de aquéllas, de alguna manera, habrá de incidir negativamente en la prestación de éstos.</w:t>
      </w:r>
    </w:p>
    <w:p w:rsidR="00BE7FB3" w:rsidRDefault="00BE7FB3" w:rsidP="00BE7FB3">
      <w:pPr>
        <w:pStyle w:val="TextoNormal"/>
      </w:pPr>
    </w:p>
    <w:p w:rsidR="00BE7FB3" w:rsidRDefault="00BE7FB3" w:rsidP="00BE7FB3">
      <w:pPr>
        <w:pStyle w:val="TextoNormal"/>
      </w:pPr>
      <w:r>
        <w:t>b) La tasa por los servicios personales y materiales en el ámbito de la “administración de la Administración de Justicia”, durante los primeros meses de su aplicación (mayo a noviembre de 2012), ha generado una recaudación efectiva de 6,1 millones de euros, habiéndose previsto una recaudación total anual de entre 11 y 12 millones de euros, que se ha visto truncada por la suspensión de su aplicación a consecuencia del presente recurso. Desde la perspectiva de los intereses públicos afectados, el mantenimiento de la suspensión de la tasa comporta un real y efectivo perjuicio para los ingresos públicos, mesurable según se ha expuesto, lo que resulta especialmente grave en la situación actual de crisis económica y de exigente ajuste presupuestario, en la que tales ingresos resultan no sólo necesarios sino hasta indispensables para la solvencia de la Administración. Además, la necesidad perentoria de esa recaudación se justifica de manera especial si se tiene en cuenta su destino pues, de acuerdo con el art. 3 bis. 1.8, los ingresos derivados de la tasa quedan afectados a la financiación de los gastos en los que incurra la Generalitat para el funcionamiento de los órganos judiciales con sede en Cataluña, de manera que el no poder disponer de tales ingresos habrá de redundar en seguro menoscabo del mejor funcionamiento de los servicios que dichos órganos realizan a diario, contando para ello con el oportuno soporte económico de la Generalitat. Esta afectación de la tasa al sostenimiento de políticas públicas “merece la condición de interés preferente en la jurisprudencia sobre la suspensión cautelar de las normas” (AATC 72/1999, FJ 3; y 51/2002, FJ 2). Y no debe olvidarse que los principales perjudicados por el peor funcionamiento del servicio de la justicia serían, en definitiva, los propios usuarios que acuden a ella, del mismo modo que los beneficios de la tasa recaen en ellos mismos, aunque mediante su pago deban contribuir a aminorar el coste que el servicio de la justicia supone para el conjunto de la sociedad.</w:t>
      </w:r>
    </w:p>
    <w:p w:rsidR="00BE7FB3" w:rsidRDefault="00BE7FB3" w:rsidP="00BE7FB3">
      <w:pPr>
        <w:pStyle w:val="TextoNormal"/>
      </w:pPr>
    </w:p>
    <w:p w:rsidR="00BE7FB3" w:rsidRDefault="00BE7FB3" w:rsidP="00BE7FB3">
      <w:pPr>
        <w:pStyle w:val="TextoNormal"/>
      </w:pPr>
      <w:r>
        <w:t>Respecto al perjuicio económico que para los usuarios de la justicia puede suponer seguir pagando la tasa, cabe hacer tres consideraciones. En primer lugar, que las exenciones objetivas de la tasa, establecidas en el art. 3 bis.1.3, apartado 1, suponen que su pago no se aplica en procedimientos en materia de sucesiones, familia, estado civil de las personas y protección de los derechos fundamentales, entre otros, de modo que el legislador no ha configurado la tasa como universal sino de forma selectiva. En segundo lugar, que las exenciones subjetivas, dispuestas en el apartado 2 del mismo artículo, afectan a las personas físicas o jurídicas que tengan reconocido el derecho a la asistencia jurídica gratuita, así como a las entidades totalmente exentas del impuesto sobre sociedades, de manera que no han de pagar la tasa aquellas personas que se encuentran en una situación económicamente más débil. Para todas ellas el levantamiento de la suspensión no habrá de significar perjuicio alguno. Y, por último, que las cuotas a satisfacer, entre 60 y 120 € según los casos, por su cuantía moderada no comportan un efecto disuasorio para los particulares en cuanto al ejercicio de derecho constitucional a la tutela judicial efectiva. Es más, incluso en caso de impago de la tasa no se suspende el procedimiento judicial, de modo que no resulta afectado el ejercicio del derecho del art. 24.1 CE.</w:t>
      </w:r>
    </w:p>
    <w:p w:rsidR="00BE7FB3" w:rsidRDefault="00BE7FB3" w:rsidP="00BE7FB3">
      <w:pPr>
        <w:pStyle w:val="TextoNormal"/>
      </w:pPr>
    </w:p>
    <w:p w:rsidR="00BE7FB3" w:rsidRDefault="00BE7FB3" w:rsidP="00BE7FB3">
      <w:pPr>
        <w:pStyle w:val="TextoNormal"/>
      </w:pPr>
      <w:r>
        <w:t xml:space="preserve">Por todo ello, con el levantamiento de la suspensión de la tasa no se han de producir situaciones gravemente perjudiciales ni irreversibles para los ciudadanos, como no se han producido durante los siete meses en que se ha venido aplicando. En cambio, de mantenerse la suspensión, los perjuicios para el interés general, cuantificados en 1 millón de euros al mes </w:t>
      </w:r>
      <w:r w:rsidRPr="00BE7FB3">
        <w:rPr>
          <w:i/>
        </w:rPr>
        <w:t>circa</w:t>
      </w:r>
      <w:r>
        <w:t xml:space="preserve">, sí que resultan importantes, ya que están en juego la propia solvencia de la Administración catalana y el cumplimiento del objetivo de déficit presupuestario, exigencia </w:t>
      </w:r>
      <w:r>
        <w:lastRenderedPageBreak/>
        <w:t>inexcusable que actualmente también afecta a la Administración de Justicia, a cuya consecución responde la Ley Orgánica 8/2012, de 27 de diciembre, de medidas de eficiencia presupuestaria en la Administración de Justicia, por la que se modifica la Ley Orgánica 6/1985, de 1 de julio, del Poder Judicial.</w:t>
      </w:r>
    </w:p>
    <w:p w:rsidR="00BE7FB3" w:rsidRDefault="00BE7FB3" w:rsidP="00BE7FB3">
      <w:pPr>
        <w:pStyle w:val="TextoNormal"/>
      </w:pPr>
    </w:p>
    <w:p w:rsidR="00BE7FB3" w:rsidRDefault="00BE7FB3" w:rsidP="00BE7FB3">
      <w:pPr>
        <w:pStyle w:val="TextoNormal"/>
      </w:pPr>
      <w:r>
        <w:t xml:space="preserve">c) La tasa por los servicios de mejora en la expedición y dispensación de recetas entró en vigor el 23 de junio de 2012, y en los primeros seis meses de su aplicación ha comportado una recaudación de 45,7 millones de euros, período en el que se ha producido una reducción del volumen de recetas que aminora los recursos públicos destinados al consumo farmacéutico en 5,9 puntos respecto del año anterior. Así pues, el mantenimiento de la suspensión de la tasa comportaría unos perjuicios ciertos para las arcas públicas y, por tanto, para el interés general, cuantificables en 8 millones de euros mensuales </w:t>
      </w:r>
      <w:r w:rsidRPr="00BE7FB3">
        <w:rPr>
          <w:i/>
        </w:rPr>
        <w:t>circa</w:t>
      </w:r>
      <w:r>
        <w:t>, cifra importante, máxime en el contexto de exigente ajuste presupuestario en el que nos encontramos.</w:t>
      </w:r>
    </w:p>
    <w:p w:rsidR="00BE7FB3" w:rsidRDefault="00BE7FB3" w:rsidP="00BE7FB3">
      <w:pPr>
        <w:pStyle w:val="TextoNormal"/>
      </w:pPr>
    </w:p>
    <w:p w:rsidR="00BE7FB3" w:rsidRDefault="00BE7FB3" w:rsidP="00BE7FB3">
      <w:pPr>
        <w:pStyle w:val="TextoNormal"/>
      </w:pPr>
      <w:r>
        <w:t>Cabe considerar también el efecto modulador de la demanda que produce la tasa, respecto del cual se ha constatado que no actúa por igual respecto de todos los grupos de medicamentos. Así, en cuanto a los grupos de medicamentos más sensibles en relación con la importancia de su adherencia, se observa una tendencia que mantiene los niveles anteriores a la medida, mientras que la disminución del consumo se produce en especial en los grupos de medicamentos a demanda. Estos resultados cuadran con los objetivos y las acciones para racionalizar la utilización de los medicamentos, entre las que destaca desincentivar su almacenamiento en los domicilios, de modo que levantar la suspensión de la tasa favorecería su consolidación.</w:t>
      </w:r>
    </w:p>
    <w:p w:rsidR="00BE7FB3" w:rsidRDefault="00BE7FB3" w:rsidP="00BE7FB3">
      <w:pPr>
        <w:pStyle w:val="TextoNormal"/>
      </w:pPr>
    </w:p>
    <w:p w:rsidR="00BE7FB3" w:rsidRDefault="00BE7FB3" w:rsidP="00BE7FB3">
      <w:pPr>
        <w:pStyle w:val="TextoNormal"/>
      </w:pPr>
      <w:r>
        <w:t>Por otra parte, desde la perspectiva de los intereses particulares, de esos mismos datos se puede concluir que el establecimiento de la tasa no ha sido una barrera en el acceso a los medicamentos y que, por tanto, no ha tenido un impacto negativo sobre la salud. La afectación a los intereses particulares es, pues, fundamentalmente de carácter económico, aunque limitada. En efecto, aunque el sujeto pasivo de la tasa es cualquier persona física a la que se prescribe y dispensa un medicamento o producto sanitario, para proteger a los colectivos más desfavorecidos, el art. 21.22-5 establece unos supuestos de exenciones, de manera que están exentos del pago de la tasa: los perceptores de una pensión no contributiva; los beneficiarios del programa de la renta mínima de inserción; los perceptores de la prestación económica para el mantenimiento de necesidades básicas; los perceptores de la prestación de la Ley de integración social de los minusválidos y los beneficiarios del fondo de asistencia social.</w:t>
      </w:r>
    </w:p>
    <w:p w:rsidR="00BE7FB3" w:rsidRDefault="00BE7FB3" w:rsidP="00BE7FB3">
      <w:pPr>
        <w:pStyle w:val="TextoNormal"/>
      </w:pPr>
    </w:p>
    <w:p w:rsidR="00BE7FB3" w:rsidRDefault="00BE7FB3" w:rsidP="00BE7FB3">
      <w:pPr>
        <w:pStyle w:val="TextoNormal"/>
      </w:pPr>
      <w:r>
        <w:t>Además, para que la tasa no suponga una barrera de acceso a los medicamentos para los pacientes crónicos, el mismo precepto establece un límite anual de 61 euros (36 euros para 2012 debido a su entrada en vigor el 23 de junio). A partir de dicho importe, el paciente no tiene que abonar más tasas hasta el siguiente año natural. Y, a su vez, se excluye del pago de la tasa a aquellos supuestos en que, por el reducido precio del producto, la adquisición de un medicamento con receta del Sistema Nacional de Salud pudiera tener un coste superior para el paciente que su adquisición de forma privada, sin abonarla.</w:t>
      </w:r>
    </w:p>
    <w:p w:rsidR="00BE7FB3" w:rsidRDefault="00BE7FB3" w:rsidP="00BE7FB3">
      <w:pPr>
        <w:pStyle w:val="TextoNormal"/>
      </w:pPr>
    </w:p>
    <w:p w:rsidR="00BE7FB3" w:rsidRDefault="00BE7FB3" w:rsidP="00BE7FB3">
      <w:pPr>
        <w:pStyle w:val="TextoNormal"/>
      </w:pPr>
      <w:r>
        <w:t xml:space="preserve">En definitiva, en caso de levantarse la suspensión de la tasa, la afectación a los intereses particulares de carácter económico, teniendo presente la indicada limitación subjetiva y objetiva, no ha de suponer para los contribuyentes un perjuicio ni grave ni irreparable. En </w:t>
      </w:r>
      <w:r>
        <w:lastRenderedPageBreak/>
        <w:t>cambio, el mantenimiento de su suspensión comportaría daños muy superiores para el interés público, puesto que el no disponer de este ingreso, supondría tener que llevar a cabo medidas de ajuste que podrían afectar a las políticas socio-sanitarias de forma grave, en especial teniendo en cuenta el tipo de necesidades sociales que pudieran dejarse de atender.</w:t>
      </w:r>
    </w:p>
    <w:p w:rsidR="00BE7FB3" w:rsidRDefault="00BE7FB3" w:rsidP="00BE7FB3">
      <w:pPr>
        <w:pStyle w:val="TextoNormal"/>
      </w:pPr>
    </w:p>
    <w:p w:rsidR="00BE7FB3" w:rsidRDefault="00BE7FB3" w:rsidP="00BE7FB3">
      <w:pPr>
        <w:pStyle w:val="TextoNormal"/>
      </w:pPr>
      <w:r>
        <w:t>Invoca al respecto el criterio sostenido por el Tribunal en el ATC 238/2012, de 12 de diciembre, FJ 3 b), que cita los AATC 95/2011, de 21 de junio, y 147/2012, de 16 de julio.</w:t>
      </w:r>
    </w:p>
    <w:p w:rsidR="00BE7FB3" w:rsidRDefault="00BE7FB3" w:rsidP="00BE7FB3">
      <w:pPr>
        <w:pStyle w:val="TextoNormal"/>
      </w:pPr>
    </w:p>
    <w:p w:rsidR="00BE7FB3" w:rsidRDefault="00BE7FB3" w:rsidP="00BE7FB3">
      <w:pPr>
        <w:pStyle w:val="TextoNormal"/>
      </w:pPr>
      <w:r w:rsidRPr="00BE7FB3">
        <w:rPr>
          <w:rStyle w:val="NumeroAFNegritaCaracter"/>
        </w:rPr>
        <w:t>5</w:t>
      </w:r>
      <w:r>
        <w:t>. Con fecha 6 de febrero de 2013, se registró en este Tribunal el escrito de alegaciones presentado por el Letrado del Parlamento de Cataluña, instando la desestimación del recurso. Mediante otrosí, solicita el levantamiento inmediato de la suspensión de los preceptos impugnados, en atención a las razones que se sintetizan a continuación.</w:t>
      </w:r>
    </w:p>
    <w:p w:rsidR="00BE7FB3" w:rsidRDefault="00BE7FB3" w:rsidP="00BE7FB3">
      <w:pPr>
        <w:pStyle w:val="TextoNormal"/>
      </w:pPr>
    </w:p>
    <w:p w:rsidR="00BE7FB3" w:rsidRDefault="00BE7FB3" w:rsidP="00BE7FB3">
      <w:pPr>
        <w:pStyle w:val="TextoNormal"/>
      </w:pPr>
      <w:r>
        <w:t>La potestad gubernamental de veto suspensivo establecida en el art. 161.2 CE en el seno de los procedimientos constitucionales instados contra las Comunidades Autónomas aparece como una medida estrictamente procesal, de naturaleza cautelar o de protección preventiva, sobre la cual el propio Tribunal Constitucional se deberá pronunciar, estando sus resoluciones presididas por la ponderación de los intereses en juego, por el examen de las situaciones creadas por la norma, por la naturaleza de los actos impugnados, regidos por el principio de presunción de la constitucionalidad de las normas objeto del conflicto, y por la consistencia de las razones que aporte el Gobierno en defensa del referido mantenimiento. En consecuencia, y partiendo siempre de la consolidada jurisprudencia constitucional recaída en diversos incidentes de suspensión, en el presente supuesto han de ponderarse los intereses en presencia, tanto el general y público, como el particular y privado de terceras personas afectadas, analizando los perjuicios de imposible o difícil reparación que se sigan de la resolución adoptada, al margen de la viabilidad de las pretensiones que las partes han formulado (AATC 727/1984, de 22 de noviembre, FJ 2; 753/1984, de 29 de noviembre, FJ 2; 175/1985, de 7 de marzo, FJ único; 355/1989, de 20 de junio, FJ 3; 329/1992, de 27 de octubre, FJ 2; 46/1994, de 8 de febrero, FJ 1; 251/1996, de 17 de septiembre, FJ 1; 231/1997, de 24 de junio, FJ 1; 417/1997, de 16 de diciembre, FJ 1; 169/1998, de 14 de julio, FJ 1; 218/1998, de 14 de octubre, FJ 1; 18/1999, de 26 de enero, FJ 1; 72/1999, de 23 de marzo, FJ 1; 100/2002, de 5 de junio FJ 2; 88/2008, de 2 de abril, FJ 2; y 157/2008, de 12 de junio, FJ 2).</w:t>
      </w:r>
    </w:p>
    <w:p w:rsidR="00BE7FB3" w:rsidRDefault="00BE7FB3" w:rsidP="00BE7FB3">
      <w:pPr>
        <w:pStyle w:val="TextoNormal"/>
      </w:pPr>
    </w:p>
    <w:p w:rsidR="00BE7FB3" w:rsidRDefault="00BE7FB3" w:rsidP="00BE7FB3">
      <w:pPr>
        <w:pStyle w:val="TextoNormal"/>
      </w:pPr>
      <w:r>
        <w:t xml:space="preserve">En este proceso constitucional, únicamente se producirían daños reales y perjuicios de imposible o difícil reparación si se mantuviera la suspensión de los preceptos impugnados. Las tasas cuestionadas vienen a aumentar las fuentes de ingresos de la Generalitat de Cataluña en el actual contexto de crisis y de consolidación fiscal, por lo que mantener su suspensión implicaría comprometer los compromisos financieros de Cataluña y del conjunto del Reino de España con relación a los umbrales de déficit fijados en el marco europeo. </w:t>
      </w:r>
    </w:p>
    <w:p w:rsidR="00BE7FB3" w:rsidRDefault="00BE7FB3" w:rsidP="00BE7FB3">
      <w:pPr>
        <w:pStyle w:val="TextoNormal"/>
      </w:pPr>
      <w:r>
        <w:t xml:space="preserve"> </w:t>
      </w:r>
    </w:p>
    <w:p w:rsidR="00BE7FB3" w:rsidRDefault="00BE7FB3" w:rsidP="00BE7FB3">
      <w:pPr>
        <w:pStyle w:val="TextoNormal"/>
      </w:pPr>
      <w:r>
        <w:t>Hay que recordar que actualmente la estabilidad presupuestaria es un imperativo constitucional. A partir de la reforma del art. 135 CE, los poderes públicos deberán perseguir conjuntamente los objetivos de optimización de las prestaciones sociales y de estabilidad presupuestaria, ponderando las necesidades sociales, de un lado, y de otro las disponibilidades y previsiones presupuestarias. Las tasas suspendidas vienen a reforzar las fuentes de financiación de la prestación del servicio de la justicia y del servicio de salud, y con ello a cumplir los objetivos de déficit necesarios para mantener dicha estabilidad presupuestaria.</w:t>
      </w:r>
    </w:p>
    <w:p w:rsidR="00BE7FB3" w:rsidRDefault="00BE7FB3" w:rsidP="00BE7FB3">
      <w:pPr>
        <w:pStyle w:val="TextoNormal"/>
      </w:pPr>
    </w:p>
    <w:p w:rsidR="00BE7FB3" w:rsidRDefault="00BE7FB3" w:rsidP="00BE7FB3">
      <w:pPr>
        <w:pStyle w:val="TextoNormal"/>
      </w:pPr>
      <w:r>
        <w:t>Los preceptos suspendidos, de clara naturaleza fiscal, inciden sobre la recaudación, e indirectamente, sobre la contención del gasto farmacéutico. La sostenibilidad del sistema sanitario público impone a todos los poderes públicos la necesidad de adoptar medidas de racionalización y contención del gasto farmacéutico, pues es uno de los principales componentes del gasto sanitario, en una situación como la actual, caracterizada por una exigente reducción de gasto público.</w:t>
      </w:r>
    </w:p>
    <w:p w:rsidR="00BE7FB3" w:rsidRDefault="00BE7FB3" w:rsidP="00BE7FB3">
      <w:pPr>
        <w:pStyle w:val="TextoNormal"/>
      </w:pPr>
    </w:p>
    <w:p w:rsidR="00BE7FB3" w:rsidRDefault="00BE7FB3" w:rsidP="00BE7FB3">
      <w:pPr>
        <w:pStyle w:val="TextoNormal"/>
      </w:pPr>
      <w:r>
        <w:t>La suspensión produce perjuicios irreparables de imposible o difícil reparación respecto de los ingresos de la Generalitat y de los límites de déficit, pero también elimina los efectos de racionalización de la demanda de medicamentos (art. 41 de la Ley 5/2012).</w:t>
      </w:r>
    </w:p>
    <w:p w:rsidR="00BE7FB3" w:rsidRDefault="00BE7FB3" w:rsidP="00BE7FB3">
      <w:pPr>
        <w:pStyle w:val="TextoNormal"/>
      </w:pPr>
    </w:p>
    <w:p w:rsidR="00BE7FB3" w:rsidRDefault="00BE7FB3" w:rsidP="00BE7FB3">
      <w:pPr>
        <w:pStyle w:val="TextoNormal"/>
      </w:pPr>
      <w:r w:rsidRPr="00BE7FB3">
        <w:rPr>
          <w:rStyle w:val="NumeroAFNegritaCaracter"/>
        </w:rPr>
        <w:t>6</w:t>
      </w:r>
      <w:r>
        <w:t>. Mediante escrito registrado el 19 de febrero de 2013, el Abogado del Estado presentó sus alegaciones sobre la suspensión de la Ley recurrida, interesando la denegación de la solicitud de su alzamiento anticipado, y el mantenimiento de la suspensión de los preceptos legales recurridos, en atención a las razones que se resumen a continuación.</w:t>
      </w:r>
    </w:p>
    <w:p w:rsidR="00BE7FB3" w:rsidRDefault="00BE7FB3" w:rsidP="00BE7FB3">
      <w:pPr>
        <w:pStyle w:val="TextoNormal"/>
      </w:pPr>
    </w:p>
    <w:p w:rsidR="00BE7FB3" w:rsidRDefault="00BE7FB3" w:rsidP="00BE7FB3">
      <w:pPr>
        <w:pStyle w:val="TextoNormal"/>
      </w:pPr>
      <w:r>
        <w:t xml:space="preserve">a) El interés público alegado por los solicitantes del levantamiento anticipado es el recaudatorio, en un contexto de necesaria consolidación fiscal para la reducción del déficit y la consecución de la estabilidad presupuestaria de la Comunidad Autónoma. El Tribunal ha dado, en ciertas ocasiones, prevalencia al interés recaudatorio, más aún cuando va enlazado con la suficiencia financiera y la solvencia autonómicas (por todos, AATC 5/2002, de 15 de enero, y 314/2004, de 20 de julio, FJ 3). Sin embargo, en el presente asunto concurren especiales circunstancias respecto a ambas tasas que excluyen la aplicación de esa doctrina. </w:t>
      </w:r>
    </w:p>
    <w:p w:rsidR="00BE7FB3" w:rsidRDefault="00BE7FB3" w:rsidP="00BE7FB3">
      <w:pPr>
        <w:pStyle w:val="TextoNormal"/>
      </w:pPr>
    </w:p>
    <w:p w:rsidR="00BE7FB3" w:rsidRDefault="00BE7FB3" w:rsidP="00BE7FB3">
      <w:pPr>
        <w:pStyle w:val="TextoNormal"/>
      </w:pPr>
      <w:r>
        <w:t xml:space="preserve">b) La tasa relativa a los servicios en la Justicia se superpone, en la abrumadora mayoría de los supuestos, a las tasas estatales reguladas en la Ley 10/2012, de 20 de noviembre, aumentando así el coste de acceso a la Justicia. Las SSTC 20/2012, de 16 de febrero, FJ 10; y 103/2012, de 9 de mayo, FJ 3, señalan que unas tasas excesivas pueden llegar a ser inconstitucionales si obstaculizan irrazonablemente el acceso a la jurisdicción o al recurso legal. Este no es un perjuicio marcadamente hipotético sino real: el aumento del coste de demandar justicia ejerce notorios efectos disuasivos. Para un juicio ordinario, la tasa autonómica (120 euros) representa el 40 por 100 de la tasa fija estatal (300 euros), y el mismo porcentaje de incremento concurre en los juicios verbales superiores a 3.000 euros. En el juicio cambiario superior a 3.000 euros, la tasa autonómica incrementa en un 90 por 100 la tasa fija estatal. En el monitorio de más de 3.000 euros, el incremento es del 60 por 100. En consecuencia, el interés recaudatorio autonómico debe ponderarse con el interés de los titulares del derecho a la tutela judicial efectiva en acceder a la jurisdicción y a los recursos legales sin costes añadidos excesivos, que engendran siempre efectos disuasorios irreparables. Axiológicamente, la efectividad del derecho a la tutela judicial —sin obstáculos de coste excesivo— debe tener mayor peso que el interés recaudatorio autonómico. Consecuencia añadida es que el acceso a la Justicia y al recurso legal resulta en Cataluña más obstaculizado por gravámenes tributarios que en otras partes del territorio del Estado, contra la “igualdad sustancial” de las condiciones de ejercicio de los derechos fundamentales que se deriva del art. 139.1 CE, sin perjuicio de sus “modulaciones diferenciadas” en virtud del ejercicio de las competencias autonómicas [por todas, STC 247/2007, de 12 de diciembre, FJ 13 a)]. </w:t>
      </w:r>
    </w:p>
    <w:p w:rsidR="00BE7FB3" w:rsidRDefault="00BE7FB3" w:rsidP="00BE7FB3">
      <w:pPr>
        <w:pStyle w:val="TextoNormal"/>
      </w:pPr>
    </w:p>
    <w:p w:rsidR="00BE7FB3" w:rsidRDefault="00BE7FB3" w:rsidP="00BE7FB3">
      <w:pPr>
        <w:pStyle w:val="TextoNormal"/>
      </w:pPr>
      <w:r>
        <w:lastRenderedPageBreak/>
        <w:t>El supuesto deterioro del servicio público de la Justicia por no poder contar con el rendimiento de la tasa como recurso financiero no pasa de ser una hipótesis indemostrada, puesto que no se ofrecen datos sobre los costes que para la Administración autonómica representa el servicio, ni se precisa qué concreto tipo de “programas de la Administración de Justicia” quedarán faltos de financiación.</w:t>
      </w:r>
    </w:p>
    <w:p w:rsidR="00BE7FB3" w:rsidRDefault="00BE7FB3" w:rsidP="00BE7FB3">
      <w:pPr>
        <w:pStyle w:val="TextoNormal"/>
      </w:pPr>
    </w:p>
    <w:p w:rsidR="00BE7FB3" w:rsidRDefault="00BE7FB3" w:rsidP="00BE7FB3">
      <w:pPr>
        <w:pStyle w:val="TextoNormal"/>
      </w:pPr>
      <w:r>
        <w:t>Por otro lado, y como señala el informe del Ministerio de Justicia de 8 de febrero de 2013 (documento núm. 1 adjunto), el levantamiento de la suspensión originaría dificultades en la gestión de la devolución de la tasa autonómica en caso de un eventual pronunciamiento favorable al recurso, que entorpecerían el funcionamiento de la Administración de Justicia. A diferencia del supuesto contemplado en el ATC 314/2004, la aplicación de esta tasa afecta a un gran número de sujetos pasivos. El informe señala que en 2011 el número de nuevos asuntos civiles ingresados en Cataluña fue de 286.635, y en el orden contencioso-administrativo fueron 22.187. Este interés público en el apropiado funcionamiento de la Administración de Justicia debe estimarse superior al interés recaudatorio, muy pequeño si se compara con la petición de recursos financieros dirigida por la Comunidad Autónoma al fondo de liquidez autonómica, 9.073 millones de euros (según documento núm. 2 adjunto). De ahí que el interés recaudatorio deba valorarse en sus justos términos, teniendo en cuenta que los 11 millones de euros estimados representan el 0,12 por 100 de la apelación al fondo de liquidez autonómica .</w:t>
      </w:r>
    </w:p>
    <w:p w:rsidR="00BE7FB3" w:rsidRDefault="00BE7FB3" w:rsidP="00BE7FB3">
      <w:pPr>
        <w:pStyle w:val="TextoNormal"/>
      </w:pPr>
    </w:p>
    <w:p w:rsidR="00BE7FB3" w:rsidRDefault="00BE7FB3" w:rsidP="00BE7FB3">
      <w:pPr>
        <w:pStyle w:val="TextoNormal"/>
      </w:pPr>
      <w:r>
        <w:t>c) En cuanto a la tasa relativa a los servicios ligados a la expedición y dispensación de recetas, no es de aplicación la doctrina de los AATC 95/2011, de 21 de junio, 96/2011, de 21 de junio, 147/2012, de 16 de julio, y 238/2012, de 12 de diciembre, que aduce el Abogado de la Generalitat. Todas estas resoluciones se refieren a medidas de contención del déficit que se enderezan a la reducción del coste de la prestación farmacéutica financiada por la Comunidad Autónoma. Aquí, por el contrario, nos encontramos ante una tasa que deben pagar los beneficiarios de esa prestación.</w:t>
      </w:r>
    </w:p>
    <w:p w:rsidR="00BE7FB3" w:rsidRDefault="00BE7FB3" w:rsidP="00BE7FB3">
      <w:pPr>
        <w:pStyle w:val="TextoNormal"/>
      </w:pPr>
    </w:p>
    <w:p w:rsidR="00BE7FB3" w:rsidRDefault="00BE7FB3" w:rsidP="00BE7FB3">
      <w:pPr>
        <w:pStyle w:val="TextoNormal"/>
      </w:pPr>
      <w:r>
        <w:t xml:space="preserve">A pesar de la cuantía de la tasa autonómica recurrida, puede constituir una barrera de acceso a la prestación farmacéutica de los usuarios con menores recursos y más necesitados de medicamentos recetados, puesto que la tasa se suma a la aportación (“copago”) que deben hacer con arreglo a las normas generales. La gravedad de esta barrera de acceso se percibe en sus justos términos si se tienen en cuenta, como señala el informe de la Dirección General de Cartera Básica de Servicios del Sistema Nacional de Salud y Farmacia (documento adjunto núm. 3), los siguientes extremos: (i) la tasa del euro por receta penaliza especialmente a la población más vulnerable, como a los más enfermos (necesitan más recetas), y a los pensionistas, colectivos éstos ya suficientemente castigados por concentrar mayor necesidad de cuidados sanitarios y de protección especial por los poderes públicos y cuyo poder adquisitivo es, a todas luces, claramente menor que en la población activa de menor edad. En torno al 70 por 100 de las recetas dispensadas lo son a pensionistas, y es conocido que casi el 80 por 100 del consumo de recursos sanitarios se produce en mayores de 65 años; (ii) es una tasa de carácter lineal, que no tiene en consideración criterios de equidad como el nivel de renta, la situación laboral o el estado de salud, ni establece topes de aportación que pudieran limitar las repercusiones económicas negativas en estos grupos desfavorecidos; (iii) el efecto se agrava al sumarse la tasa catalana al copago farmacéutico establecido por el legislador estatal. Por tanto, haciendo uso de una competencia que no tienen las Comunidades Autónomas, se está penalizando a los ciudadanos con un coste adicional sobre </w:t>
      </w:r>
      <w:r>
        <w:lastRenderedPageBreak/>
        <w:t>el mismo acto sanitario, que además no tiene en cuenta los factores que determinan la necesidad de medicación, edad y enfermedad, ni la capacidad económica del mismo. Se paga lo mismo, un euro, independientemente del precio del fármaco; (iv) la reducción de las recetas expedidas se habría producido porque, al sumar la tasa, en algunos casos sale más económico comprar el medicamento sin receta. Esto tiene un claro efecto perverso: el de inducir a la auto-medicación y a no acudir a los servicios médicos y retirar directamente la medicación en tratamientos financiados que requieren seguimiento médico. De esta forma, se impide el seguimiento del cumplimiento de los tratamientos por los pacientes que retiran los fármacos sin receta, perdiendo el médico la información sobre el seguimiento del tratamiento que aporta la receta oficial, uno de los mayores avances derivados de la implantación de la receta electrónica del Sistema Nacional de Salud.</w:t>
      </w:r>
    </w:p>
    <w:p w:rsidR="00BE7FB3" w:rsidRDefault="00BE7FB3" w:rsidP="00BE7FB3">
      <w:pPr>
        <w:pStyle w:val="TextoNormal"/>
      </w:pPr>
    </w:p>
    <w:p w:rsidR="00BE7FB3" w:rsidRDefault="00BE7FB3" w:rsidP="00BE7FB3">
      <w:pPr>
        <w:pStyle w:val="TextoNormal"/>
      </w:pPr>
      <w:r>
        <w:t>La suma de estas cuatro circunstancias hace que el riesgo para la salud del levantamiento de la suspensión de la tasa sea cierto y concentrado precisamente en quienes más necesidad tienen de la asistencia farmacéutica (ATC 221/2009, de 21 de julio, FJ 4).</w:t>
      </w:r>
    </w:p>
    <w:p w:rsidR="00BE7FB3" w:rsidRDefault="00BE7FB3" w:rsidP="00BE7FB3">
      <w:pPr>
        <w:pStyle w:val="TextoNormal"/>
      </w:pPr>
    </w:p>
    <w:p w:rsidR="00BE7FB3" w:rsidRDefault="00BE7FB3" w:rsidP="00BE7FB3">
      <w:pPr>
        <w:pStyle w:val="TextoNormal"/>
      </w:pPr>
      <w:r>
        <w:t>Los riesgos para la salud que pudieran ocasionarse de levantarse la suspensión resultan ciertamente irreparables. Pero la dificultad de reparación también se aprecia en los perjuicios económicos que van a soportar los usuarios de la sanidad pública en Cataluña, por la “'dificultad de deshacer las situaciones creadas” (AATC 87/2012, de 10 de mayo, FJ 3; y 161/2012, de 13 de septiembre, FJ 3). Por el propio modo de cobrar la tasa, al dispensar el farmacéutico el medicamento recetado, minorando la factura que la farmacia pasa al Servicio Catalán de Salud, será virtualmente imposible —en el caso típico— la restitución al beneficiario de la prestación farmacéutica de la tasa cobrada durante el tiempo de pendencia del presente proceso, si al final se declarara inconstitucional y nula.</w:t>
      </w:r>
    </w:p>
    <w:p w:rsidR="00BE7FB3" w:rsidRDefault="00BE7FB3" w:rsidP="00BE7FB3">
      <w:pPr>
        <w:pStyle w:val="TextoNormal"/>
      </w:pPr>
    </w:p>
    <w:p w:rsidR="00BE7FB3" w:rsidRDefault="00BE7FB3" w:rsidP="00BE7FB3">
      <w:pPr>
        <w:pStyle w:val="TextoNormal"/>
      </w:pPr>
      <w:r>
        <w:t xml:space="preserve">Por último, tampoco se aprecian efectos favorables para el Sistema Nacional de Salud que supongan una mayor eficacia en la gestión del gasto farmacéutico. En efecto, como resulta del anexo I del informe anteriormente citado, i) durante el tiempo de vigencia de la tasa controvertida ha habido Comunidades que, sin imponer tasa alguna, han sido más eficaces en la gestión del gasto farmacéutico, simplemente mediante la plena implementación de las normas básicas estatales. Es más, si se compara el gasto final por recetas farmacéuticas en Cataluña con la media en el resto de España, se aprecia que se ha producido una reducción prácticamente idéntica (anexo II). ii) Además, aunque desde la entrada en vigor de la norma catalana impugnada se aprecia una reducción del número de recetas, en Cataluña ha aumentado el gasto medio por receta respecto del resto de España, pudiendo encontrarse la explicación en que en aquella Comunidad se habría desviado la prescripción hacia medicamentos más caros para evitar pagar el euro en medicamentos más baratos, en los que compensa su compra fuera de receta (anexo III). iii) Por último, se ha evidenciado a través de los medios de comunicación y denuncias el efecto frontera, es decir, la desviación hacia farmacias de ayuntamientos limítrofes con Cataluña de otras Comunidades Autónomas. Por tanto, se trata de recetas pagadas por otros Servicios de Salud. No es posible conocer en qué casos la disminución de recetas producida en Cataluña se debe a que en realidad han sido dispensadas en farmacias de otras Comunidades Autónomas y que, por tanto, no supone un ahorro real, sino que es una desviación hacia las cuentas de otros Servicios de Salud de los españoles. Este efecto frontera, empujando a la retirada de los fármacos en las farmacias de las Comunidades Autónomas limítrofes, incrementa el gasto farmacéutico de éstas, y por </w:t>
      </w:r>
      <w:r>
        <w:lastRenderedPageBreak/>
        <w:t>tanto genera que con los recursos de la sanidad aragonesa o valenciana se estén pagando los medicamentos de la sanidad catalana.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objeto de la presente resolución consiste en determinar si procede levantar o mantener la suspensión de la vigencia que afecta a los arts. 16 (en lo relativo al nuevo art. 3 bis.1.1, apartado 1, del texto refundido de la Ley de tasas y precios públicos de la Generalitat de Cataluña, aprobado por Decreto Legislativo 3/2008, de 25 de junio) y 41 de la Ley del Parlamento de Cataluña 5/2012, de 20 de marzo, de medidas fiscales, financieras y administrativas y de creación del impuesto sobre estancias en establecimientos turísticos (en lo sucesivo, Ley 5/2012). La aplicación de dichos preceptos se encuentra suspendida, como consecuencia de la invocación del art. 161.2 CE, al promoverse el recurso de inconstitucionalidad contra los mismos por la Presidenta del Gobierno en funciones.</w:t>
      </w:r>
    </w:p>
    <w:p w:rsidR="00BE7FB3" w:rsidRDefault="00BE7FB3" w:rsidP="00BE7FB3">
      <w:pPr>
        <w:pStyle w:val="TextoNormal"/>
      </w:pPr>
    </w:p>
    <w:p w:rsidR="00BE7FB3" w:rsidRDefault="00BE7FB3" w:rsidP="00BE7FB3">
      <w:pPr>
        <w:pStyle w:val="TextoNormal"/>
      </w:pPr>
      <w:r>
        <w:t xml:space="preserve">Estos preceptos establecen, respectivamente, la “tasa por la prestación de servicios personales y materiales en el ámbito de la administración de la Administración de Justicia”, que la demanda reputa contraria al art. 6.2 de la Ley Orgánica de financiación de las Comunidades Autónomas (LOFCA), en relación con los arts. 133.2, 149.1.14 y 157.3 CE, y la “tasa sobre los actos preparatorios y los servicios accesorios de mejora de la información inherentes al proceso para la prescripción y dispensación de medicamentos y productos sanitarios mediante la emisión de recetas médicas y órdenes de dispensación”, que se impugna por vulneración de la legislación básica estatal en materia de sanidad, dictada </w:t>
      </w:r>
      <w:r w:rsidRPr="00BE7FB3">
        <w:rPr>
          <w:i/>
        </w:rPr>
        <w:t>ex</w:t>
      </w:r>
      <w:r>
        <w:t xml:space="preserve"> art. 149.1.16 CE.</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Sobre este tipo de incidentes es reiterada nuestra doctrina según la cual, para decidir acerca del mantenimiento o levantamiento de la suspensión acordada por invocación del art. 161.2 CE,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y 60/2013, de 26 de febrero, FJ 2). </w:t>
      </w:r>
    </w:p>
    <w:p w:rsidR="00BE7FB3" w:rsidRDefault="00BE7FB3" w:rsidP="00BE7FB3">
      <w:pPr>
        <w:pStyle w:val="TextoNormal"/>
      </w:pPr>
    </w:p>
    <w:p w:rsidR="00BE7FB3" w:rsidRDefault="00BE7FB3" w:rsidP="00BE7FB3">
      <w:pPr>
        <w:pStyle w:val="TextoNormal"/>
      </w:pPr>
      <w:r>
        <w:t>Así pues, de lo que en este incidente se trata es de dilucidar si los perjuicios que han sido alegados por el Abogado del Estado, sobre el que pesa la carga de acreditar la existencia de los perjuicios y la imposible o difícil reparación de los mismos, tienen la gravedad y consistencia necesarias como para prevalecer sobre la presunción de legitimidad de la regulación catalana y los intereses que se vinculan a su aplicación efectiva.</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3</w:t>
      </w:r>
      <w:r>
        <w:t>. Las dos impugnaciones que afectan a la Ley 5/2012 afectan a sendas figuras tributarias, en concreto a dos tasas, por lo que a ambas resulta aplicable nuestra previa doctrina relativa a los perjuicios de naturaleza económica, según la cual es evidente que éstos quedan condicionados a que, en la Sentencia por la que se resuelva en su momento el recurso de inconstitucionalidad, se declare que la Comunidad Autónoma, en el ejercicio de su potestad tributaria, ha vulnerado, bien el art. 6.2 LOFCA, bien la competencia estatal relativa a las bases y coordinación de la sanidad (art 149.1.16 CE). Por este motivo, en tanto se produce una decisión sobre el fondo del asunto, los perjuicios económicos alegados por el Abogado del Estado, aisladamente considerados, no pueden prevalecer sobre la presunción de legitimidad de la ley autonómica. (AATC 173/2002, de 1 de octubre, FJ 2; y 314/2004, de 20 de julio, FJ 3, entre otros).</w:t>
      </w:r>
    </w:p>
    <w:p w:rsidR="00BE7FB3" w:rsidRDefault="00BE7FB3" w:rsidP="00BE7FB3">
      <w:pPr>
        <w:pStyle w:val="TextoNormal"/>
      </w:pPr>
    </w:p>
    <w:p w:rsidR="00BE7FB3" w:rsidRDefault="00BE7FB3" w:rsidP="00BE7FB3">
      <w:pPr>
        <w:pStyle w:val="TextoNormal"/>
      </w:pPr>
      <w:r w:rsidRPr="00BE7FB3">
        <w:rPr>
          <w:rStyle w:val="NumeroAFNegritaCaracter"/>
        </w:rPr>
        <w:t>4</w:t>
      </w:r>
      <w:r>
        <w:t>. Examinaremos en primer lugar los restantes motivos aducidos por el Abogado del Estado para mantener la suspensión en lo relativo a la “tasa por la prestación de servicios personales y materiales en el ámbito de la administración de la Administración de Justicia”.</w:t>
      </w:r>
    </w:p>
    <w:p w:rsidR="00BE7FB3" w:rsidRDefault="00BE7FB3" w:rsidP="00BE7FB3">
      <w:pPr>
        <w:pStyle w:val="TextoNormal"/>
      </w:pPr>
    </w:p>
    <w:p w:rsidR="00BE7FB3" w:rsidRDefault="00BE7FB3" w:rsidP="00BE7FB3">
      <w:pPr>
        <w:pStyle w:val="TextoNormal"/>
      </w:pPr>
      <w:r>
        <w:t>a) Se alega que el coste resultante de la tasa catalana, superpuesta a la tasa estatal regulada por la Ley 10/2012, de 20 de noviembre, podría tener efectos disuasorios en el acceso a la Justicia, debiendo prevalecer el derecho a la tutela judicial efectiva (art. 24.1 CE) —sin obstáculos de coste excesivo— sobre el interés recaudatorio autonómico. Consecuencia derivada de lo anterior sería que el acceso a la Justicia y al recurso legal resultaría en Cataluña más obstaculizado por gravámenes tributarios que en otros ámbitos territoriales, contra la igualdad sustancial de las condiciones de ejercicio de los derechos fundamentales (art. 139.1 CE).</w:t>
      </w:r>
    </w:p>
    <w:p w:rsidR="00BE7FB3" w:rsidRDefault="00BE7FB3" w:rsidP="00BE7FB3">
      <w:pPr>
        <w:pStyle w:val="TextoNormal"/>
      </w:pPr>
    </w:p>
    <w:p w:rsidR="00BE7FB3" w:rsidRDefault="00BE7FB3" w:rsidP="00BE7FB3">
      <w:pPr>
        <w:pStyle w:val="TextoNormal"/>
      </w:pPr>
      <w:r>
        <w:t>Si bien conviene precisar que la demanda no contiene tal alegato, en realidad se pone así de manifiesto una discrepancia acerca de la constitucionalidad del tributo, que remite cabalmente al juicio sobre la validez constitucional de la norma impugnada, lo que exigiría entrar en un análisis de fondo que resulta vedado en incidentes de esta naturaleza cautelar. Como señalamos en el ATC 173/2002, FJ 5, la discrepancia de fondo “no puede ser admitida para acordar un eventual mantenimiento de la suspensión (por todos, ATC193/1999, de 21 de julio, FJ 4), dado que la decisión sobre la ratificación o la rectificación de la medida cautelar automática ha de ser adoptada con total abstracción de la cuestión de fondo objeto del proceso, acerca de la cual debe soslayarse cualquier reflexión, evitando el riesgo de prejuzgarla (entre otros, AATC 382/1993, de 1 de diciembre, FJ 2; 347/1995, de 19 de diciembre, FJ 2; y 195/1999, de 21 de julio, FJ 1)”.</w:t>
      </w:r>
    </w:p>
    <w:p w:rsidR="00BE7FB3" w:rsidRDefault="00BE7FB3" w:rsidP="00BE7FB3">
      <w:pPr>
        <w:pStyle w:val="TextoNormal"/>
      </w:pPr>
    </w:p>
    <w:p w:rsidR="00BE7FB3" w:rsidRDefault="00BE7FB3" w:rsidP="00BE7FB3">
      <w:pPr>
        <w:pStyle w:val="TextoNormal"/>
      </w:pPr>
      <w:r>
        <w:t xml:space="preserve">Desde la perspectiva estrictamente cautelar propia de este incidente, en cuanto al derecho de acceso a la Justicia, conviene recordar que, de acuerdo con la jurisprudencia de este Tribunal, “[s]i los justiciables no abonan el coste del funcionamiento de la justicia, el Poder judicial debe ser financiado mediante impuestos, sufragados por los contribuyentes. Aunque resulta evidente que la justicia, en tanto que garantía del Estado de Derecho, implica beneficios colectivos que trascienden el interés del justiciable considerado individualmente, lo cierto es que la financiación pura mediante impuestos conlleva siempre que los ciudadanos que nunca acuden ante los Tribunales estarían coadyuvando a financiar las actuaciones realizadas por los Juzgados y las Salas de Justicia en beneficio de quienes demandan justicia una, varias o muchas veces. Optar por un modelo de financiación de la justicia … es una </w:t>
      </w:r>
      <w:r>
        <w:lastRenderedPageBreak/>
        <w:t xml:space="preserve">decisión que, en una democracia, como la que establece la Constitución española, corresponde al legislador (STC 20/2012, de 16 de febrero, FJ 8). </w:t>
      </w:r>
    </w:p>
    <w:p w:rsidR="00BE7FB3" w:rsidRDefault="00BE7FB3" w:rsidP="00BE7FB3">
      <w:pPr>
        <w:pStyle w:val="TextoNormal"/>
      </w:pPr>
    </w:p>
    <w:p w:rsidR="00BE7FB3" w:rsidRDefault="00BE7FB3" w:rsidP="00BE7FB3">
      <w:pPr>
        <w:pStyle w:val="TextoNormal"/>
      </w:pPr>
      <w:r>
        <w:t>Subrayamos también entonces que “la Constitución no ha proclamado la gratuidad de la administración de justicia, sino ‘un derecho a la gratuidad de la justicia … en los casos y en la forma que el legislador determine’, tal y como dispone el art. 119 CE”, régimen de gratuidad que aparece respetado en la Ley catalana 5/2012, en concreto en el art. 3 bis.1.3, que entre otras exenciones incluye en su apartado 2 a) a las personas físicas o jurídicas que tengan reconocido el derecho a la asistencia jurídica gratuita.</w:t>
      </w:r>
    </w:p>
    <w:p w:rsidR="00BE7FB3" w:rsidRDefault="00BE7FB3" w:rsidP="00BE7FB3">
      <w:pPr>
        <w:pStyle w:val="TextoNormal"/>
      </w:pPr>
    </w:p>
    <w:p w:rsidR="00BE7FB3" w:rsidRDefault="00BE7FB3" w:rsidP="00BE7FB3">
      <w:pPr>
        <w:pStyle w:val="TextoNormal"/>
      </w:pPr>
      <w:r>
        <w:t>Por otra parte, según se desprende del art. 3 bis.1.7 de la Ley catalana 5/2012, el incumplimiento del régimen de autoliquidación de la tasa catalana no conlleva obstáculo alguno a la tramitación de las acciones judiciales instadas por los sujetos pasivos. Según este precepto, corresponde a los Secretarios Judiciales, de acuerdo con el deber de colaboración contemplado en el art. 452.3 de la Ley Orgánica del Poder Judicial, la comprobación de las autoliquidaciones y las exenciones subjetivas y, en caso de incumplimiento de la obligación de presentar los justificantes de la autoliquidación de la tasa por parte de los sujetos pasivos, deben ponerlo en conocimiento del departamento autonómico competente en materia de justicia, gestor de la tasa. Por tanto, el pago o impago de la tasa no afecta a la Administración de Justicia, en el sentido de que no impide el acceso a la Justicia ni, en definitiva, el ejercicio de la función jurisdiccional.</w:t>
      </w:r>
    </w:p>
    <w:p w:rsidR="00BE7FB3" w:rsidRDefault="00BE7FB3" w:rsidP="00BE7FB3">
      <w:pPr>
        <w:pStyle w:val="TextoNormal"/>
      </w:pPr>
    </w:p>
    <w:p w:rsidR="00BE7FB3" w:rsidRDefault="00BE7FB3" w:rsidP="00BE7FB3">
      <w:pPr>
        <w:pStyle w:val="TextoNormal"/>
      </w:pPr>
      <w:r>
        <w:t xml:space="preserve">b) El Abogado del Estado califica de hipótesis indemostrada el supuesto deterioro del servicio público de la Justicia por no poder contar con el rendimiento de la tasa, al no ofrecerse por las representaciones procesales de la Generalitat o del Parlamento de Cataluña datos sobre los costes que representa el servicio, ni precisar qué programas quedarían faltos de financiación. No podemos adentrarnos en este planteamiento, porque supone desplazar a la parte demandada la carga de acreditar la existencia de los perjuicios y su imposible o difícil reparación, y como ya hemos señalado, en este trámite procesal tal acreditación atañe al Abogado del Estado. </w:t>
      </w:r>
    </w:p>
    <w:p w:rsidR="00BE7FB3" w:rsidRDefault="00BE7FB3" w:rsidP="00BE7FB3">
      <w:pPr>
        <w:pStyle w:val="TextoNormal"/>
      </w:pPr>
    </w:p>
    <w:p w:rsidR="00BE7FB3" w:rsidRDefault="00BE7FB3" w:rsidP="00BE7FB3">
      <w:pPr>
        <w:pStyle w:val="TextoNormal"/>
      </w:pPr>
      <w:r>
        <w:t>c) El Abogado del Estado alega que el levantamiento de la suspensión originaría dificultades en la gestión de la devolución de la tasa autonómica en caso de un eventual pronunciamiento favorable al recurso, que entorpecería el funcionamiento de la Administración de Justicia, teniendo en cuenta el gran número de sujetos pasivos afectados, como consecuencia del abultado volumen de asuntos nuevos ingresados en Cataluña.</w:t>
      </w:r>
    </w:p>
    <w:p w:rsidR="00BE7FB3" w:rsidRDefault="00BE7FB3" w:rsidP="00BE7FB3">
      <w:pPr>
        <w:pStyle w:val="TextoNormal"/>
      </w:pPr>
    </w:p>
    <w:p w:rsidR="00BE7FB3" w:rsidRDefault="00BE7FB3" w:rsidP="00BE7FB3">
      <w:pPr>
        <w:pStyle w:val="TextoNormal"/>
      </w:pPr>
      <w:r>
        <w:t xml:space="preserve">Este motivo debe ser acogido, si bien matizado en los términos que se exponen a continuación. En el ATC 173/2002, FJ 3, tuvimos en cuenta que “el reducido número de afectados por el tributo autonómico permite que, en caso de una eventual futura declaración de inconstitucionalidad de la norma legal impugnada, sea fácil la identificación de los afectados y la devolución del impuesto recaudado, razón por la cual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w:t>
      </w:r>
    </w:p>
    <w:p w:rsidR="00BE7FB3" w:rsidRDefault="00BE7FB3" w:rsidP="00BE7FB3">
      <w:pPr>
        <w:pStyle w:val="TextoNormal"/>
      </w:pPr>
    </w:p>
    <w:p w:rsidR="00BE7FB3" w:rsidRDefault="00BE7FB3" w:rsidP="00BE7FB3">
      <w:pPr>
        <w:pStyle w:val="TextoNormal"/>
      </w:pPr>
      <w:r>
        <w:lastRenderedPageBreak/>
        <w:t>En el mismo sentido nos hemos pronunciado en el reciente ATC 60/2013, de 26 de febrero, FJ 5: “en esta ocasión, el criterio determinante del levantamiento de la suspensión debe ser el mismo que utilizamos en los AATC 253/1992, de 9 de septiembre, y 417/1997, de 16 de diciembre, esto es, que ‘en supuestos como el presente es determinante el hecho de que los sujetos pasivos del impuesto sean poco numerosos y perfectamente identificables, ya que, en tal hipótesis —y así sucede con toda evidencia en relación con el tributo recurrido—, no serían excesivamente onerosas las cargas, molestias y costes que, en su caso, conllevarían las operaciones de devolución de las cantidades ya ingresadas’ (FJ 5 de la última resolución citada).”</w:t>
      </w:r>
    </w:p>
    <w:p w:rsidR="00BE7FB3" w:rsidRDefault="00BE7FB3" w:rsidP="00BE7FB3">
      <w:pPr>
        <w:pStyle w:val="TextoNormal"/>
      </w:pPr>
    </w:p>
    <w:p w:rsidR="00BE7FB3" w:rsidRDefault="00BE7FB3" w:rsidP="00BE7FB3">
      <w:pPr>
        <w:pStyle w:val="TextoNormal"/>
      </w:pPr>
      <w:r>
        <w:t>Resulta por tanto un criterio consolidado que, para decidir acerca del mantenimiento o levantamiento de la suspensión en supuestos de esta naturaleza, aunque se trate de perjuicios de carácter patrimonial y privado, su relevancia ha de ponderarse en función del número de afectados y de su posible identificación. Ciertamente, en el presente caso, resulta perfectamente posible la identificación de los afectados, pero el volumen de afectados sería considerablemente superior a los que dieron lugar a las citadas resoluciones. En efecto, de acuerdo con los datos contenidos en el informe del Ministerio de Justicia aportado por el Abogado del Estado, que a su vez cita las estadísticas oficiales del Consejo General del Poder Judicial, en 2011 el número de nuevos asuntos civiles ingresados en Cataluña fue de 286.635, y en el orden contencioso-administrativo fueron 22.187. Incluso teniendo en cuenta, como indica dicho informe, que no todos estos asuntos estarían sometidos a la exigencia de pago (por los supuestos de exención contemplados en el art. art. 3 bis.1 3), la proyección temporal del mencionado dato estadístico arroja una cifra excesivamente elevada, que nos conduce a considerar desproporcionadamente onerosa para el conjunto de los sujetos pasivos la reparación del perjuicio a través de las operaciones de devolución.</w:t>
      </w:r>
    </w:p>
    <w:p w:rsidR="00BE7FB3" w:rsidRDefault="00BE7FB3" w:rsidP="00BE7FB3">
      <w:pPr>
        <w:pStyle w:val="TextoNormal"/>
      </w:pPr>
    </w:p>
    <w:p w:rsidR="00BE7FB3" w:rsidRDefault="00BE7FB3" w:rsidP="00BE7FB3">
      <w:pPr>
        <w:pStyle w:val="TextoNormal"/>
      </w:pPr>
      <w:r>
        <w:t>Por tanto, si bien no ha quedado acreditado que, de producirse esta eventualidad, quedara entorpecido el funcionamiento de la Administración de Justicia, pues se deduce del art. 3 bis.1.7 de la Ley catalana 5/2012 que la gestión del tributo corresponde a la Administración autonómica, por lo que únicamente recaería sobre ésta la carga administrativa de la devolución de la tasa, sin incidencia alguna en el normal desenvolvimiento de la función jurisdiccional, lo cierto es que el abultado volumen de las operaciones de devolución, con las cargas y molestias que pudieran conllevar, aconseja mantener la suspensión.</w:t>
      </w:r>
    </w:p>
    <w:p w:rsidR="00BE7FB3" w:rsidRDefault="00BE7FB3" w:rsidP="00BE7FB3">
      <w:pPr>
        <w:pStyle w:val="TextoNormal"/>
      </w:pPr>
    </w:p>
    <w:p w:rsidR="00BE7FB3" w:rsidRDefault="00BE7FB3" w:rsidP="00BE7FB3">
      <w:pPr>
        <w:pStyle w:val="TextoNormal"/>
      </w:pPr>
      <w:r>
        <w:t xml:space="preserve">La anterior conclusión nos exime de profundizar en el último argumento del Abogado del Estado, que concluye señalando que el interés recaudatorio presente debe valorarse en sus justos términos, siendo muy pequeño si se compara con la petición de recursos financieros dirigida por la Comunidad Autónoma al fondo de liquidez autonómico, al representar sólo un 0,12 por 100 de la apelación al fondo de liquidez autonómica. No obstante, cabe apuntar que tal comparación no podría servir como parámetro para justificar el mantenimiento de la suspensión de la Ley catalana 5/2012 ni, en definitiva, para medir el interés recaudatorio presente, que quedaría distorsionado de no ponderarse en sumatorio. La consecución del objetivo de estabilidad presupuestaria, principio consagrado en el art. 135.1 CE, será la resultante lógica de una combinación de medidas que afectarán tanto a los ingresos como a los gastos públicos, en todo caso presidida por el respeto al principio de autonomía financiera de las Comunidades Autónomas (art. 156.1 CE). A este objetivo responde la Ley catalana 5/2012, como refleja su exposición de motivos, y concretamente la </w:t>
      </w:r>
      <w:r>
        <w:lastRenderedPageBreak/>
        <w:t>medida recaudatoria subyacente en la tasa controvertida, cuya cuantía relativamente modesta —en los términos comparativos que se nos proponen— no es relevante, al quedar aislada de la cifra de recaudación global obtenida por la Comunidad Autónoma en aplicación de su política fiscal, considerada en su conjunto.</w:t>
      </w:r>
    </w:p>
    <w:p w:rsidR="00BE7FB3" w:rsidRDefault="00BE7FB3" w:rsidP="00BE7FB3">
      <w:pPr>
        <w:pStyle w:val="TextoNormal"/>
      </w:pPr>
    </w:p>
    <w:p w:rsidR="00BE7FB3" w:rsidRDefault="00BE7FB3" w:rsidP="00BE7FB3">
      <w:pPr>
        <w:pStyle w:val="TextoNormal"/>
      </w:pPr>
      <w:r w:rsidRPr="00BE7FB3">
        <w:rPr>
          <w:rStyle w:val="NumeroAFNegritaCaracter"/>
        </w:rPr>
        <w:t>5</w:t>
      </w:r>
      <w:r>
        <w:t>. Nos corresponde ahora abordar los motivos que sustentan la petición de mantenimiento de la suspensión de la “tasa sobre los actos preparatorios y los servicios accesorios de mejora de la información inherentes al proceso para la prescripción y dispensación de medicamentos y productos sanitarios mediante la emisión de recetas médicas y órdenes de dispensación”.</w:t>
      </w:r>
    </w:p>
    <w:p w:rsidR="00BE7FB3" w:rsidRDefault="00BE7FB3" w:rsidP="00BE7FB3">
      <w:pPr>
        <w:pStyle w:val="TextoNormal"/>
      </w:pPr>
    </w:p>
    <w:p w:rsidR="00BE7FB3" w:rsidRDefault="00BE7FB3" w:rsidP="00BE7FB3">
      <w:pPr>
        <w:pStyle w:val="TextoNormal"/>
      </w:pPr>
      <w:r>
        <w:t xml:space="preserve">a) Desde perspectivas opuestas a las que ahora sustentan las partes, hemos tenido ocasión de pronunciarnos sobre los principales intereses en presencia, que también ahora habremos de ponderar. De una parte, “la sostenibilidad del sistema sanitario público impone a todos los poderes públicos la necesidad de adoptar medidas de racionalización y contención del gasto farmacéutico pues es uno de los principales componentes del gasto sanitario y en el que más pueden incidir las políticas de control del mismo, tanto más necesarias en una situación como la actual caracterizada por una exigente reducción del gasto público. La contención y reducción del gasto farmacéutico es, por tanto, un objetivo a conseguir por la totalidad de las estructuras del Sistema Nacional de Salud” (ATC 95/2011, de 21 de junio, FJ 5; en el mismo sentido, AATC 96/2011, de 21 de junio, FJ 6; 147/2012, de 16 de julio, FJ 6; 238/2012, de 12 de diciembre, FJ 3; 239/2012, de 12 de diciembre, FJ 6). </w:t>
      </w:r>
    </w:p>
    <w:p w:rsidR="00BE7FB3" w:rsidRDefault="00BE7FB3" w:rsidP="00BE7FB3">
      <w:pPr>
        <w:pStyle w:val="TextoNormal"/>
      </w:pPr>
    </w:p>
    <w:p w:rsidR="00BE7FB3" w:rsidRDefault="00BE7FB3" w:rsidP="00BE7FB3">
      <w:pPr>
        <w:pStyle w:val="TextoNormal"/>
      </w:pPr>
      <w:r>
        <w:t xml:space="preserve">De otra parte, “el interés general de preservar el derecho a la salud consagrado en el art. 43 CE. Esa contraposición también tiene proyecciones individuales puesto que la garantía del derecho a la salud no sólo tiene una dimensión general asociada a la idea de salvaguarda de la salud pública, sino una dimensión particular conectada con la afectación del derecho a la salud individual de las personas receptoras de las medidas adoptadas por los Gobiernos estatal y autonómico … Para que este Tribunal valore los intereses vinculados a la garantía del derecho a la salud, es preciso acudir a lo dispuesto en el art. 43 CE, en relación con el deber de todos los poderes públicos de garantizar a todos los ciudadanos el derecho a la protección de la salud, cuya tutela les corresponde y ha de ser articulada ‘a través de medidas preventivas y de las prestaciones y servicios necesarios” (art. 43.1 y 2 CE)’ (STC 126/2008, de 27 de octubre, FJ 6). Si, además del mandato constitucional, se tiene en cuenta, como ya lo ha hecho este Tribunal, la vinculación entre el principio rector del art. 43 CE y el art. 15 CE que recoge el derecho fundamental a la vida y a la integridad física y moral, en el sentido de lo reconocido por el Tribunal Europeo de Derechos Humanos (por todos asunto </w:t>
      </w:r>
      <w:r w:rsidRPr="00BE7FB3">
        <w:rPr>
          <w:i/>
        </w:rPr>
        <w:t>VO c. Francia</w:t>
      </w:r>
      <w:r>
        <w:t xml:space="preserve"> de 8 de julio de 2004), resulta evidente que los intereses generales y públicos, vinculados a la promoción y garantía del derecho a la salud, son intereses asociados a la defensa de bienes constitucionales particularmente sensibles” (ATC 239/2012, de 12 de diciembre, FJ 5).</w:t>
      </w:r>
    </w:p>
    <w:p w:rsidR="00BE7FB3" w:rsidRDefault="00BE7FB3" w:rsidP="00BE7FB3">
      <w:pPr>
        <w:pStyle w:val="TextoNormal"/>
      </w:pPr>
    </w:p>
    <w:p w:rsidR="00BE7FB3" w:rsidRDefault="00BE7FB3" w:rsidP="00BE7FB3">
      <w:pPr>
        <w:pStyle w:val="TextoNormal"/>
      </w:pPr>
      <w:r>
        <w:t xml:space="preserve">En relación con estos últimos, el Abogado del Estado alega que, a pesar de la reducida cuantía de la tasa (un euro por receta), puede ésta erigirse en barrera que impida el acceso a la prestación farmacéutica de los usuarios con menos recursos y mayores necesidades, puesto que se suma a la aportación (“copago”) regida por la legislación estatal, lo que puede suponer riesgos irreparables para la salud, riesgos concentrados en quienes tienen mayor necesidad de la asistencia farmacéutica. </w:t>
      </w:r>
    </w:p>
    <w:p w:rsidR="00BE7FB3" w:rsidRDefault="00BE7FB3" w:rsidP="00BE7FB3">
      <w:pPr>
        <w:pStyle w:val="TextoNormal"/>
      </w:pPr>
    </w:p>
    <w:p w:rsidR="00BE7FB3" w:rsidRDefault="00BE7FB3" w:rsidP="00BE7FB3">
      <w:pPr>
        <w:pStyle w:val="TextoNormal"/>
      </w:pPr>
      <w:r>
        <w:t xml:space="preserve">Desde la perspectiva cautelar propia de este incidente, procede descartar que pueda justificarse en esta alegación el mantenimiento de la suspensión, ya que, como hemos señalado con anterioridad, “el perjuicio económico que, para el objetivo de control del déficit supondría el levantamiento de la suspensión parece claro, no puede quedar desvirtuado por el efectivo perjuicio que pudiera derivarse para los individuos usuarios del sistema de salud, al incrementarse el porcentaje de copago” (ATC 239/2012, de 12 de diciembre, FJ 6). </w:t>
      </w:r>
      <w:r w:rsidRPr="00BE7FB3">
        <w:rPr>
          <w:i/>
        </w:rPr>
        <w:t>Sensu contrario</w:t>
      </w:r>
      <w:r>
        <w:t xml:space="preserve"> al supuesto examinado en el mismo Auto y fundamento jurídico, pero con idéntica razón de decidir, tampoco ahora cabe apreciar una reducción de la calidad y eficacia de la prestación farmacéutica que revierta en una lesión del derecho a la protección de la salud, puesto que los argumentos relativos a la adherencia al tratamiento y al impacto económico de la norma autonómica sobre los pensionistas se formulan con un carácter marcadamente hipotético que en ningún momento se concretan ni justifican.</w:t>
      </w:r>
    </w:p>
    <w:p w:rsidR="00BE7FB3" w:rsidRDefault="00BE7FB3" w:rsidP="00BE7FB3">
      <w:pPr>
        <w:pStyle w:val="TextoNormal"/>
      </w:pPr>
    </w:p>
    <w:p w:rsidR="00BE7FB3" w:rsidRDefault="00BE7FB3" w:rsidP="00BE7FB3">
      <w:pPr>
        <w:pStyle w:val="TextoNormal"/>
      </w:pPr>
      <w:r>
        <w:t>Por otra parte, de acuerdo con el art. 21.22.5 del Decreto Legislativo 3/2008, de 25 de junio, añadido por el art. 41 de la Ley del Parlamento de Cataluña 5/2012, de 20 de marzo, quedan exentos del pago de la tasa los perceptores de una pensión no contributiva, los beneficiarios del programa de la renta mínima de inserción, los perceptores de la prestación económica para el mantenimiento de necesidades básicas, los perceptores de la prestación de la Ley de integración social de los minusválidos y los beneficiarios del fondo de asistencia social (apartado a), y se establece un límite anual que implica la exención a partir de la dispensación de 61 recetas a un mismo sujeto pasivo (apartado e), de modo que cabe considerar que el legislador ha tenido en cuenta la situación de los colectivos económicamente más desfavorecidos y de los enfermos crónicos, lo que, unido a la reducida cuantía de la tasa, permite descartar que la misma suponga un riesgo irreparable para la salud, en cuanto justificación del mantenimiento de la suspensión.</w:t>
      </w:r>
    </w:p>
    <w:p w:rsidR="00BE7FB3" w:rsidRDefault="00BE7FB3" w:rsidP="00BE7FB3">
      <w:pPr>
        <w:pStyle w:val="TextoNormal"/>
      </w:pPr>
    </w:p>
    <w:p w:rsidR="00BE7FB3" w:rsidRDefault="00BE7FB3" w:rsidP="00BE7FB3">
      <w:pPr>
        <w:pStyle w:val="TextoNormal"/>
      </w:pPr>
      <w:r>
        <w:t>b) La dificultad de reparación se aprecia también por el Abogado del Estado en los perjuicios económicos que van a soportar los usuarios, por la “dificultad de deshacer las situaciones creadas” (AATC 87/2012, de 10 de mayo, FJ 3; y 161/2012, de 13 de septiembre, FJ 3), ya que, al cobrarse la tasa en el momento de dispensar el medicamento recetado, sería virtualmente imposible la restitución al beneficiario de la prestación farmacéutica de la tasa cobrada durante el tiempo de pendencia del presente proceso, en la eventualidad de que fuera declarada inconstitucional y nula.</w:t>
      </w:r>
    </w:p>
    <w:p w:rsidR="00BE7FB3" w:rsidRDefault="00BE7FB3" w:rsidP="00BE7FB3">
      <w:pPr>
        <w:pStyle w:val="TextoNormal"/>
      </w:pPr>
    </w:p>
    <w:p w:rsidR="00BE7FB3" w:rsidRDefault="00BE7FB3" w:rsidP="00BE7FB3">
      <w:pPr>
        <w:pStyle w:val="TextoNormal"/>
      </w:pPr>
      <w:r>
        <w:t>Atendiendo a lo ya razonado en el precedente fundamento jurídico 4 c), al que procede remitirse, hemos de apreciar que también concurre aquí, efectivamente, una dificultad de reparación que justifica el mantenimiento de la suspensión. Estando el hecho imponible de la tasa asociado a la prescripción y dispensación de medicamentos y productos sanitarios mediante la emisión de recetas médicas, el número de sujetos pasivos afectados, aunque pudieran ser identificados a través de la trazabilidad inherente al sistema de receta electrónica, tendría carácter masivo. Así se deduce de los datos aportados por el Abogado del Estado a través del informe del Ministerio de Sanidad, Servicios Sociales e Igualdad, que refleja las recetas facturadas en Cataluña en el período julio-noviembre 2012, y cuyo promedio mensual asciende a 10.077.842.</w:t>
      </w:r>
    </w:p>
    <w:p w:rsidR="00BE7FB3" w:rsidRDefault="00BE7FB3" w:rsidP="00BE7FB3">
      <w:pPr>
        <w:pStyle w:val="TextoNormal"/>
      </w:pPr>
    </w:p>
    <w:p w:rsidR="00BE7FB3" w:rsidRDefault="00BE7FB3" w:rsidP="00BE7FB3">
      <w:pPr>
        <w:pStyle w:val="TextoNormal"/>
      </w:pPr>
      <w:r>
        <w:t xml:space="preserve">Ello evidencia no sólo el carácter excesivamente oneroso de las cargas, molestias y costes que, en su caso, conllevarían para los sujetos pasivos las operaciones de devolución de las </w:t>
      </w:r>
      <w:r>
        <w:lastRenderedPageBreak/>
        <w:t>cantidades ya ingresadas, sino también para la propia Administración autonómica, que se vería obligada a arbitrar un procedimiento de devolución individualizado con unos costes de gestión que, incluso, podrían llegar a superar la cuantía recaudada por la propia exacción de la tasa.</w:t>
      </w:r>
    </w:p>
    <w:p w:rsidR="00BE7FB3" w:rsidRDefault="00BE7FB3" w:rsidP="00BE7FB3">
      <w:pPr>
        <w:pStyle w:val="TextoNormal"/>
      </w:pPr>
    </w:p>
    <w:p w:rsidR="00BE7FB3" w:rsidRDefault="00BE7FB3" w:rsidP="00BE7FB3">
      <w:pPr>
        <w:pStyle w:val="TextoNormal"/>
      </w:pPr>
      <w:r>
        <w:t>c) No pueden tomarse en consideración las restantes alegaciones del Abogado del Estado. La comparación del gasto final de Cataluña con la media del resto de España, en la que no aprecia efectos favorables para el Sistema Nacional de Salud que supongan una mayor eficacia en la gestión del gasto farmacéutico, no afecta a lo discutido en el presente incidente, ceñido a ponderar los perjuicios de imposible o difícil reparación que puedan derivarse del mantenimiento o levantamiento de la suspensión, a cuyo efecto no es relevante la comparación de la tasa controvertida con las alternativas adoptadas por otras Comunidades Autónomas para la contención del gasto farmacéutico.</w:t>
      </w:r>
    </w:p>
    <w:p w:rsidR="00BE7FB3" w:rsidRDefault="00BE7FB3" w:rsidP="00BE7FB3">
      <w:pPr>
        <w:pStyle w:val="TextoNormal"/>
      </w:pPr>
    </w:p>
    <w:p w:rsidR="00BE7FB3" w:rsidRDefault="00BE7FB3" w:rsidP="00BE7FB3">
      <w:pPr>
        <w:pStyle w:val="TextoNormal"/>
      </w:pPr>
      <w:r>
        <w:t>En cuanto a la desviación de la prescripción hacia medicamentos más caros o el efecto frontera que se dice evidenciado, por desviación de la adquisición hacia otras Comunidades Autónomas, incrementando el gasto farmacéutico de otros Servicios de Salud, no se aportan datos que permitan acreditar y cuantificar estos extremos y el perjuicio que puedan producir, lo que nos sitúa en el campo de la mera conjetura o hipótesis.</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Mantener la suspensión de la vigencia de los arts. 16 (en lo relativo al nuevo art. 3 bis.1.1, apartado 1, del texto refundido de la Ley de tasas y precios públicos de la Generalitat de Cataluña, aprobado por Decreto Legislativo 3/2008, de 25 de junio) y 41 de la Ley del Parlamento de Cataluña 5/2012, de 20 de marzo, de medidas fiscales, financieras y administrativas y de creación del Impuesto sobre estancias en establecimientos turísticos.</w:t>
      </w:r>
    </w:p>
    <w:p w:rsidR="00BE7FB3" w:rsidRDefault="00BE7FB3" w:rsidP="00BE7FB3">
      <w:pPr>
        <w:pStyle w:val="TextoNormal"/>
      </w:pPr>
    </w:p>
    <w:p w:rsidR="00BE7FB3" w:rsidRDefault="00BE7FB3" w:rsidP="00BE7FB3">
      <w:pPr>
        <w:pStyle w:val="TextoNormal"/>
      </w:pPr>
      <w:r>
        <w:t>Madrid, a veintiuno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64" w:name="AUTO_2013_123"/>
      <w:r>
        <w:lastRenderedPageBreak/>
        <w:t>AUTO 123/2013, de 21 de mayo de 2013</w:t>
      </w:r>
    </w:p>
    <w:bookmarkEnd w:id="264"/>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ECLI:ES:TC:2013:123A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Levanta la suspensión en el recurso de inconstitucionalidad 7279-2012, interpuesto por el Presidente del Gobierno en relación con el Decreto-ley del Gobierno de Cataluña 5/2012, de 18 de diciembre, del impuesto sobre los depósitos en las entidades de crédito.</w:t>
      </w:r>
    </w:p>
    <w:p w:rsidR="00BE7FB3" w:rsidRDefault="00BE7FB3" w:rsidP="00BE7FB3">
      <w:pPr>
        <w:pStyle w:val="SntesisDescriptiva"/>
      </w:pPr>
    </w:p>
    <w:p w:rsidR="00BE7FB3" w:rsidRDefault="00BE7FB3" w:rsidP="00BE7FB3">
      <w:pPr>
        <w:pStyle w:val="SntesisAnaltica"/>
      </w:pPr>
      <w:r>
        <w:t>Cataluña: potestad tributaria. Financiación autonómica: límites a la potestad tributaria autonómica. Leyes de presupuestos de las Comunidades Autónomas: principio de estabilidad presupuestaria. Potestad tributaria: bloque de la constitucionalidad. Suspensión de disposiciones de las Comunidades Autónomas: acreditación por el Abogado del Estado del perjuicio irreparable; interés general; intereses particulares; levantamiento de la suspensión de disposiciones de las Comunidades Autónomas; perjuicios hipotéticos; perjuicios reparables. Tributos autonómicos: impuestos autonómicos.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Constitucional el día 28 de diciembre de 2012 el Abogado del Estado, en nombre del Presidente del Gobierno, interpuso recurso de inconstitucionalidad contra el Decreto-ley del Gobierno de Cataluña 5/2012, de 18 de diciembre, del impuesto sobre los depósitos en las entidades de crédito.</w:t>
      </w:r>
    </w:p>
    <w:p w:rsidR="00BE7FB3" w:rsidRDefault="00BE7FB3" w:rsidP="00BE7FB3">
      <w:pPr>
        <w:pStyle w:val="TextoNormal"/>
      </w:pPr>
    </w:p>
    <w:p w:rsidR="00BE7FB3" w:rsidRDefault="00BE7FB3" w:rsidP="00BE7FB3">
      <w:pPr>
        <w:pStyle w:val="TextoNormal"/>
      </w:pPr>
      <w:r>
        <w:t>El Abogado del Estado invocó el art. 161.2 CE a fin de que se acordase la suspensión de la norma impugnada en el presente recurso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Por providencia de 15 de enero de 2013 el Pleno del Tribunal Constitucional, a propuesta de la Sección Segunda, acordó admitir a trámite el recurso de inconstitucionalidad y dar traslado de la demanda y documentos presentados, conforme establece el art. 34 de la Ley Orgánica del Tribunal Constitucional (LOTC), al Congreso de los Diputados y al Senado así como a la Generalitat y al Parlamento de Cataluña, por conducto de sus Presidentes, al objeto de que en el plazo de quince días pudieran personarse en el proceso y formular las alegaciones que estimaren convenientes. Asimismo, se tuvo por invocado por el Presidente del Gobierno el art. 161.2 LOTC, lo que, a su tenor y conforme dispone el art. 30 LOTC, produce la suspensión de la vigencia y aplicación de los preceptos impugnados desde la fecha de interposición del recurso —28 de diciembre de 2012— para las partes del proceso </w:t>
      </w:r>
      <w:r>
        <w:lastRenderedPageBreak/>
        <w:t>y desde el día en que aparezca publicada la suspensión en el “Boletín Oficial del Estado” para los terceros, lo que se comunicó a los Presidentes del Gobierno de la Generalitat y del Parlamento de Cataluña. Por último, también se ordenó publicar la incoación del recurso en el “Boletín Oficial del Estado” y en el “Diari Oficial de la Generalitat de Cataluña”.</w:t>
      </w:r>
    </w:p>
    <w:p w:rsidR="00BE7FB3" w:rsidRDefault="00BE7FB3" w:rsidP="00BE7FB3">
      <w:pPr>
        <w:pStyle w:val="TextoNormal"/>
      </w:pPr>
    </w:p>
    <w:p w:rsidR="00BE7FB3" w:rsidRDefault="00BE7FB3" w:rsidP="00BE7FB3">
      <w:pPr>
        <w:pStyle w:val="TextoNormal"/>
      </w:pPr>
      <w:r w:rsidRPr="00BE7FB3">
        <w:rPr>
          <w:rStyle w:val="NumeroAFNegritaCaracter"/>
        </w:rPr>
        <w:t>3</w:t>
      </w:r>
      <w:r>
        <w:t>. El Presidente del Congreso de los Diputados, mediante escrito registrado el día 25 de enero, comunicó que la Mesa de la Cámara, en su reunión del día 22 de enero de 2013, había acordado que la Cámara se personase en este procedimiento y ofrecer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escrito registrado el 30 de enero, el Presidente del Senado comunicó que la Cámara se personaba en el proceso, ofreciendo su colaboración.</w:t>
      </w:r>
    </w:p>
    <w:p w:rsidR="00BE7FB3" w:rsidRDefault="00BE7FB3" w:rsidP="00BE7FB3">
      <w:pPr>
        <w:pStyle w:val="TextoNormal"/>
      </w:pPr>
    </w:p>
    <w:p w:rsidR="00BE7FB3" w:rsidRDefault="00BE7FB3" w:rsidP="00BE7FB3">
      <w:pPr>
        <w:pStyle w:val="TextoNormal"/>
      </w:pPr>
      <w:r w:rsidRPr="00BE7FB3">
        <w:rPr>
          <w:rStyle w:val="NumeroAFNegritaCaracter"/>
        </w:rPr>
        <w:t>5</w:t>
      </w:r>
      <w:r>
        <w:t>. Por escrito registrado el 5 de febrero, los Abogados de la Generalitat de Cataluña presentaron sus alegaciones interesando la desestimación íntegra del recurso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6</w:t>
      </w:r>
      <w:r>
        <w:t>. El Letrado del Parlamento de Cataluña cumplimentó el trámite de alegaciones mediante escrito registrado el 18 de febrero en el que solicita la desestimación del recurso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7</w:t>
      </w:r>
      <w:r>
        <w:t>. Próximo a finalizar el término de cinco meses que señala el art. 161.2 CE desde que se produjo la suspensión del Decreto-ley de Cataluña 5/2012, de 18 de diciembre, del impuesto sobre los depósitos en las entidades de crédito, el Pleno, mediante providencia de 19 de febrero, acordó oír a las partes personadas —Abogado del Estado y representaciones legales de la Generalitat y del Parlamento catalanes— para que, en el plazo de cinco días, expusieran lo que estimasen conveniente acerca del mantenimiento o levantamiento de dicha suspensión.</w:t>
      </w:r>
    </w:p>
    <w:p w:rsidR="00BE7FB3" w:rsidRDefault="00BE7FB3" w:rsidP="00BE7FB3">
      <w:pPr>
        <w:pStyle w:val="TextoNormal"/>
      </w:pPr>
    </w:p>
    <w:p w:rsidR="00BE7FB3" w:rsidRDefault="00BE7FB3" w:rsidP="00BE7FB3">
      <w:pPr>
        <w:pStyle w:val="TextoNormal"/>
      </w:pPr>
      <w:r w:rsidRPr="00BE7FB3">
        <w:rPr>
          <w:rStyle w:val="NumeroAFNegritaCaracter"/>
        </w:rPr>
        <w:t>8</w:t>
      </w:r>
      <w:r>
        <w:t>. El Abogado del Estado, mediante escrito registrado en este Tribunal el 28 de febrero, formuló sus alegaciones interesando el mantenimiento de la suspensión, por los motivos que, sintéticamente, se exponen a continuación.</w:t>
      </w:r>
    </w:p>
    <w:p w:rsidR="00BE7FB3" w:rsidRDefault="00BE7FB3" w:rsidP="00BE7FB3">
      <w:pPr>
        <w:pStyle w:val="TextoNormal"/>
      </w:pPr>
    </w:p>
    <w:p w:rsidR="00BE7FB3" w:rsidRDefault="00BE7FB3" w:rsidP="00BE7FB3">
      <w:pPr>
        <w:pStyle w:val="TextoNormal"/>
      </w:pPr>
      <w:r>
        <w:t>Comienza el Abogado del Estado recordando la doctrina constitucional sobre la resolución de este tipo de incidentes, conforme a la cual es necesario ponderar, de un lado, los intereses implicados, tanto el general y público como el particular o privado de las personas afectadas, y, de otro, los perjuicios de imposible o difícil reparación resultantes del mantenimiento o levantamiento de la suspensión. Esta valoración debe hacerse mediante el examen de las situaciones de hecho creadas y al margen de la viabilidad de las pretensiones contenidas en la demanda (ATC 88/2008, de 2 de abril, FJ 2, con cita de otros).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—dirá el Abogado del Estado— es que lo que con más frecuencia se ha de examinar son las situaciones de hecho que, con cierto grado de previsibili</w:t>
      </w:r>
      <w:r>
        <w:lastRenderedPageBreak/>
        <w:t>dad, puedan producirse en el caso de levantarse la suspensión y aplicarse las normas recurridas. Así, estima indudable que lo que habrá de dilucidarse es si la hipótesis que formula respecto a la probabilidad de los perjuicios que ocasionaría la aplicación de la norma recurrida está lo suficientemente fundada.</w:t>
      </w:r>
    </w:p>
    <w:p w:rsidR="00BE7FB3" w:rsidRDefault="00BE7FB3" w:rsidP="00BE7FB3">
      <w:pPr>
        <w:pStyle w:val="TextoNormal"/>
      </w:pPr>
    </w:p>
    <w:p w:rsidR="00BE7FB3" w:rsidRDefault="00BE7FB3" w:rsidP="00BE7FB3">
      <w:pPr>
        <w:pStyle w:val="TextoNormal"/>
      </w:pPr>
      <w:r>
        <w:t>A continuación alude al contenido de la norma impugnada en este proceso señalando que se plantean ahora cuestiones no resueltas por la STC 210/2012, de 14 de noviembre, relativa a la Ley extremeña 14/2001, de 29 de noviembre, reguladora del impuesto sobre depósitos en las entidades de crédito, en especial las derivadas de la aprobación de la Ley 16/2012, de 27 de diciembre, por la que se adoptan diversas medidas tributarias dirigidas a la consolidación de las finanzas públicas y al impulso de la actividad económica, norma que introduce un impuesto estatal análogo al autonómico previsto en la norma impugnada, pero de tipo impositivo fijado inicialmente en cero.</w:t>
      </w:r>
    </w:p>
    <w:p w:rsidR="00BE7FB3" w:rsidRDefault="00BE7FB3" w:rsidP="00BE7FB3">
      <w:pPr>
        <w:pStyle w:val="TextoNormal"/>
      </w:pPr>
    </w:p>
    <w:p w:rsidR="00BE7FB3" w:rsidRDefault="00BE7FB3" w:rsidP="00BE7FB3">
      <w:pPr>
        <w:pStyle w:val="TextoNormal"/>
      </w:pPr>
      <w:r>
        <w:t>Examinando ya los que califica como graves e irreparables perjuicios que habría de ocasionar el levantamiento de la suspensión de la vigencia del Decreto-ley 5/2012, alude en primer lugar a la doctrina del ATC 173/2002, de 1 de octubre, en el que el Tribunal acordó “Levantar la suspensión de la vigencia de la Ley de la Asamblea de Extremadura 14/2001, de 29 de noviembre, del impuesto sobre depósitos de las entidades de crédito”, con fundamento en que “el reducido número de afectados por el tributo autonómico permite que, en caso de una eventual futura declaración de inconstitucionalidad de la norma legal impugnada, sea fácil la identificación de los afectados y la devolución del impuesto recaudado, razón por la cual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Estima sin embargo que las actuales circunstancias son distintas a las que concurrían al dictarse el mencionado ATC 173/2012, ya que hasta 2008 no existía ninguna duda acerca de la solvencia de las entidades financieras pero desde esa fecha la intensidad de la crisis ha afectado severamente al sector financiero y, singularmente, al español. Para ilustrar esta afirmación el Abogado del Estado cita extractos de los informes anuales del Banco de España correspondientes a los años 2008, 2009 y 2011. En relación específicamente con las entidades financieras cita el informe de estabilidad financiera de noviembre de 2012 del que destaca las afirmaciones relativas al recrudecimiento de las tensiones financieras en el área euro que tuvieron lugar entre el mes de mayo y finales de julio de 2012, lo que generó dudas sobre el sector financiero español y la calidad de sus balances. Indica, además, que el sector está sometido a un proceso de reforma consistente en la capitalización y reestructuración que ha precisado de asistencia financiera externa, recogida en un memorándum de entendimiento entre las autoridades españolas y las europeas que se concretó en un importe de hasta 100.000 millones de euros destinados a reforzar la solvencia de las entidades con déficit de capital. Concluye, por tanto, que el sector bancario ha venido desarrollando su actividad en un entorno caracterizado por las tensiones en los mercados financieros internacionales, por la debilidad de la economía real y por su propio proceso de reestructuración y capitalización. Circunstancias todas ellas que provocaron la reducción del crédito al sector privado residente. Igualmente alude al aumento de la morosidad que sufre el sector, a las dificultades de acceso a la financiación de los mercados mayoristas, la disminución de los depósitos minoristas y la presión a la baja de la rentabilidad de las entidades, lo que conlleva resultados negativos para el conjunto del sector.</w:t>
      </w:r>
    </w:p>
    <w:p w:rsidR="00BE7FB3" w:rsidRDefault="00BE7FB3" w:rsidP="00BE7FB3">
      <w:pPr>
        <w:pStyle w:val="TextoNormal"/>
      </w:pPr>
    </w:p>
    <w:p w:rsidR="00BE7FB3" w:rsidRDefault="00BE7FB3" w:rsidP="00BE7FB3">
      <w:pPr>
        <w:pStyle w:val="TextoNormal"/>
      </w:pPr>
      <w:r>
        <w:t>A partir de las anteriores afirmaciones el Abogado del Estado alude ya a los perjuicios que la aplicación del Decreto-ley 5/2012 produciría: a) para el sector de las entidades de crédito y su reestructuración y b) para el acceso al crédito de las empresas y economías domésticas y, por extensión, para el crecimiento económico.</w:t>
      </w:r>
    </w:p>
    <w:p w:rsidR="00BE7FB3" w:rsidRDefault="00BE7FB3" w:rsidP="00BE7FB3">
      <w:pPr>
        <w:pStyle w:val="TextoNormal"/>
      </w:pPr>
    </w:p>
    <w:p w:rsidR="00BE7FB3" w:rsidRDefault="00BE7FB3" w:rsidP="00BE7FB3">
      <w:pPr>
        <w:pStyle w:val="TextoNormal"/>
      </w:pPr>
      <w:r>
        <w:t>En cuanto a los primeros toma, para valorar adecuadamente los perjuicios, una serie de datos que afirma extraídos de la página web de la Asociación Española de Banca, los cuales, a su vez, se toman, en lo relativo a los resultados del sector, del “Boletín Estadístico del Banco de España”. Señala que los perjuicios que causa la norma se contemplan mejor si se realiza el ejercicio de generalizar todo el impuesto al territorio nacional, ejercicio admitido por el Tribunal en el ATC 87/2012, de 10 de mayo, FJ 4. Así, indica que el coste fiscal directo del impuesto sobre los depósitos en las entidades de crédito catalán ascendería a 866 millones de euros y, si se generalizase en todas las Comunidades Autónomas, se elevaría a 5.095 millones de euros, lo que hubiera convertido el resultado positivo de la actividad de explotación de 4.189 millones en 2011 en un resultado negativo de 906 millones de euros, con un todavía mayor impacto en el año 2012 pues durante los seis primeros meses las entidades de depósito registraron un resultado consolidado de -3.124 millones de euros. Por otro lado, indica que la hipótesis de la extensión del impuesto no es irrazonable, habida cuenta de su existencia en cinco Comunidades Autónomas que han seguido el inicial modelo del impuesto extremeño y que, además, el examen consolidado del impuesto en todo el territorio resulta imprescindible para evaluar los perjuicios derivados del levantamiento de la suspensión, dado que éstos solamente se perciben en relación con el resultado de explotación de las entidades de crédito, no estando este dato disponible por Comunidades Autónomas.</w:t>
      </w:r>
    </w:p>
    <w:p w:rsidR="00BE7FB3" w:rsidRDefault="00BE7FB3" w:rsidP="00BE7FB3">
      <w:pPr>
        <w:pStyle w:val="TextoNormal"/>
      </w:pPr>
    </w:p>
    <w:p w:rsidR="00BE7FB3" w:rsidRDefault="00BE7FB3" w:rsidP="00BE7FB3">
      <w:pPr>
        <w:pStyle w:val="TextoNormal"/>
      </w:pPr>
      <w:r>
        <w:t>Como consecuencia de la aplicación del tributo el Abogado del Estado estima que, “en primer lugar, posiblemente aumentarían las necesidades de financiación de gran número de entidades que habrían de acudir a la línea de crédito solicitada por España a la Unión Europea; pero es que posiblemente el ajuste de todas las entidades debería ser mucho más duro para ajustar la correspondiente cuenta de explotación, afectando a la confianza en el sector y al empleo en el mismo”.</w:t>
      </w:r>
    </w:p>
    <w:p w:rsidR="00BE7FB3" w:rsidRDefault="00BE7FB3" w:rsidP="00BE7FB3">
      <w:pPr>
        <w:pStyle w:val="TextoNormal"/>
      </w:pPr>
    </w:p>
    <w:p w:rsidR="00BE7FB3" w:rsidRDefault="00BE7FB3" w:rsidP="00BE7FB3">
      <w:pPr>
        <w:pStyle w:val="TextoNormal"/>
      </w:pPr>
      <w:r>
        <w:t>En relación con los perjuicios para el acceso al crédito de las empresas y economías domésticas y, por tanto, para el crecimiento económico, el Abogado del Estado remite, nuevamente a la página web de la Asociación Española de Banca, para destacar el elevado endeudamiento de empresas y familias, lo que determina que los depósitos captados sean insuficientes para alcanzar a financiar la totalidad del crédito a empresas y familias, insuficiencia que se ha cubierto tradicionalmente mediante el recurso a los mercados de valores de renta fija. Sin embargo, la crisis económica ha provocado una fuerte contracción de los mercados de deuda en general y de los habitualmente utilizados por las entidades españolas en particular, afectados además por el descenso en la calificación de la deuda española y la consiguiente elevación del coste de financiación. Todo ello introduce una fuerte presión en la evolución del crédito a empresas y familias, presión que se acrecienta por la línea descendente mantenida por los depósitos en 2011 y 2012. En esa situación estima el Abogado del Estado que no hace falta ser un experto economista para entender que cualquier elemento que pudiese afectar negativamente a la cifra de depósitos, como podría ser una mayor tribu</w:t>
      </w:r>
      <w:r>
        <w:lastRenderedPageBreak/>
        <w:t>tación, supone mayores restricciones para que las entidades bancarias puedan conseguir financiación e, inevitablemente, tendrá efectos en una mayor contracción del crédito a familias y empresas con efectos también en el consumo y en la inversión productiva, por lo que se estaría provocando una reducción de la actividad económica con el consiguiente aumento del desempleo.</w:t>
      </w:r>
    </w:p>
    <w:p w:rsidR="00BE7FB3" w:rsidRDefault="00BE7FB3" w:rsidP="00BE7FB3">
      <w:pPr>
        <w:pStyle w:val="TextoNormal"/>
      </w:pPr>
    </w:p>
    <w:p w:rsidR="00BE7FB3" w:rsidRDefault="00BE7FB3" w:rsidP="00BE7FB3">
      <w:pPr>
        <w:pStyle w:val="TextoNormal"/>
      </w:pPr>
      <w:r w:rsidRPr="00BE7FB3">
        <w:rPr>
          <w:rStyle w:val="NumeroAFNegritaCaracter"/>
        </w:rPr>
        <w:t>9</w:t>
      </w:r>
      <w:r>
        <w:t>. El Letrado del Parlamento de Cataluña presentó sus alegaciones por escrito registrado el día 5 de marzo, solicitando el levantamiento de la suspensión por las razones de las que, seguidamente se deja constancia.</w:t>
      </w:r>
    </w:p>
    <w:p w:rsidR="00BE7FB3" w:rsidRDefault="00BE7FB3" w:rsidP="00BE7FB3">
      <w:pPr>
        <w:pStyle w:val="TextoNormal"/>
      </w:pPr>
    </w:p>
    <w:p w:rsidR="00BE7FB3" w:rsidRDefault="00BE7FB3" w:rsidP="00BE7FB3">
      <w:pPr>
        <w:pStyle w:val="TextoNormal"/>
      </w:pPr>
      <w:r>
        <w:t>Menciona, en primer lugar, la doctrina consolidada de este Tribunal, relativa a los aspectos que han de tenerse en cuenta para decidir sobre el mantenimiento o levantamiento de la suspensión, citando al respecto el ATC 10/2013, de 15 de enero. Destaca que el recurso de inconstitucionalidad interpuesto se debe fundamentalmente a motivos formales que, en ningún caso, suponen un argumento demostrativo de la existencia de perjuicios materiales. Por ello estima que, al margen de los motivos aducidos por el Presidente del Gobierno en su recurso, ha de tenerse en cuenta el contenido material de la norma impugnada y los efectos que su vigencia pueda tener, partiendo de la presunción de constitucionalidad de la norma, que se ve reforzada en este caso por su similitud con el impuesto extremeño, cuya constitucionalidad fue confirmada en la STC 210/2012.</w:t>
      </w:r>
    </w:p>
    <w:p w:rsidR="00BE7FB3" w:rsidRDefault="00BE7FB3" w:rsidP="00BE7FB3">
      <w:pPr>
        <w:pStyle w:val="TextoNormal"/>
      </w:pPr>
    </w:p>
    <w:p w:rsidR="00BE7FB3" w:rsidRDefault="00BE7FB3" w:rsidP="00BE7FB3">
      <w:pPr>
        <w:pStyle w:val="TextoNormal"/>
      </w:pPr>
      <w:r>
        <w:t>Examinando ya los intereses concernidos por la suspensión señala que la aplicación de la norma conllevaría unos ingresos adicionales para la Generalitat de Cataluña de unos quinientos millones de euros. Ingresos cuyo destino es genérico para cubrir cualesquiera gastos incluidos en el presupuesto de la Generalitat, sin perjuicio de que su creación se justifica por las especiales circunstancias que atraviesa la Comunidad Autónoma y constituye una medida necesaria para alcanzar nuevas fuentes de financiación que permitan cumplir los objetivos de déficit y deuda pública en un contexto marcado por la persistente caída en los ingresos públicos y la imposibilidad de acudir a los mercados para obtener una financiación razonable. Estas dificultades no solamente ponen en riesgo el cumplimiento del objetivo de déficit sino también la prestación de servicios autonómicos esenciales, como sanidad, educación o atención a las personas en situación de dependencia.</w:t>
      </w:r>
    </w:p>
    <w:p w:rsidR="00BE7FB3" w:rsidRDefault="00BE7FB3" w:rsidP="00BE7FB3">
      <w:pPr>
        <w:pStyle w:val="TextoNormal"/>
      </w:pPr>
    </w:p>
    <w:p w:rsidR="00BE7FB3" w:rsidRDefault="00BE7FB3" w:rsidP="00BE7FB3">
      <w:pPr>
        <w:pStyle w:val="TextoNormal"/>
      </w:pPr>
      <w:r>
        <w:t xml:space="preserve">El Letrado del Parlamento de Cataluña indica que los sujetos pasivos afectados por la norma son un total de cuarenta y siete, por lo que sería aplicable aquí la doctrina del ATC 417/1997, relativo precisamente al levantamiento o mantenimiento de la suspensión que pesaba sobre otra figura tributaria. Por otro lado, remarca que el perjuicio no es especialmente grave para los sujetos pasivos, pues el objeto de gravamen no es la actividad bancaria de captación sino únicamente el pasivo acumulado por la captación de depósitos, de manera que grava el pasivo captado como elemento susceptible de generar ingresos. Desde esta perspectiva indica que, de acuerdo con los datos de la Dirección General de Tributos de la Generalitat de Cataluña, la cifra total de depósitos captados sería de ciento ochenta mil millones de euros, con lo que el tipo efectivo global del impuesto se situaría ligeramente por debajo del 0,28 por ciento. Porcentaje que tiene relevancia en cuanto que, atendiendo a las recomendaciones del Banco de España en cuanto a la remuneración de los depósitos, los costes de captación de pasivo por las entidades de crédito se han reducido del año 2012 a 2014 en dos puntos porcentuales, lo que supone que existe margen más que suficiente para absorber los costes tributarios sin perjudicar gravemente los beneficios empresariales. </w:t>
      </w:r>
      <w:r>
        <w:lastRenderedPageBreak/>
        <w:t>Añade que, en el hipotético caso de que el Decreto-ley fuera declarado inconstitucional, la aplicación de los preceptos impugnados no determinaría perjuicios graves o irreparables, puesto que el reducido número de contribuyentes permite la plena identificación de los sujetos pasivos y la cuantificación de las cantidades ingresadas.</w:t>
      </w:r>
    </w:p>
    <w:p w:rsidR="00BE7FB3" w:rsidRDefault="00BE7FB3" w:rsidP="00BE7FB3">
      <w:pPr>
        <w:pStyle w:val="TextoNormal"/>
      </w:pPr>
    </w:p>
    <w:p w:rsidR="00BE7FB3" w:rsidRDefault="00BE7FB3" w:rsidP="00BE7FB3">
      <w:pPr>
        <w:pStyle w:val="TextoNormal"/>
      </w:pPr>
      <w:r w:rsidRPr="00BE7FB3">
        <w:rPr>
          <w:rStyle w:val="NumeroAFNegritaCaracter"/>
        </w:rPr>
        <w:t>10</w:t>
      </w:r>
      <w:r>
        <w:t>. La representación procesal de la Generalitat de Cataluña interesó el levantamiento de la suspensión por las razones contenidas en su escrito registrado en este Tribunal Constitucional el día 6 de marzo de 2013.</w:t>
      </w:r>
    </w:p>
    <w:p w:rsidR="00BE7FB3" w:rsidRDefault="00BE7FB3" w:rsidP="00BE7FB3">
      <w:pPr>
        <w:pStyle w:val="TextoNormal"/>
      </w:pPr>
    </w:p>
    <w:p w:rsidR="00BE7FB3" w:rsidRDefault="00BE7FB3" w:rsidP="00BE7FB3">
      <w:pPr>
        <w:pStyle w:val="TextoNormal"/>
      </w:pPr>
      <w:r>
        <w:t>La Abogada de la Generalitat de Cataluña expone la doctrina constitucional acerca del mantenimiento o levantamiento de la suspensión, señalando que la ponderación propia de este incidente ha de partir de la presunción de constitucionalidad de la norma, ponderación de los intereses en presencia que ha de realizarse prescindiendo de cualquier consideración sobre el Fondo de liquidez autonómica del asunto y mediante el estricto examen de las situaciones de hecho creadas. Finalmente señala que la carga probatoria de los daños derivados de la vigencia de los preceptos impugnados corresponde al Gobierno, en el bien entendido que los daños alegados han de ser actuales y ciertos y no meramente hipotéticos.</w:t>
      </w:r>
    </w:p>
    <w:p w:rsidR="00BE7FB3" w:rsidRDefault="00BE7FB3" w:rsidP="00BE7FB3">
      <w:pPr>
        <w:pStyle w:val="TextoNormal"/>
      </w:pPr>
    </w:p>
    <w:p w:rsidR="00BE7FB3" w:rsidRDefault="00BE7FB3" w:rsidP="00BE7FB3">
      <w:pPr>
        <w:pStyle w:val="TextoNormal"/>
      </w:pPr>
      <w:r>
        <w:t>Tras aludir a la presunción de constitucionalidad del Decreto-ley 5/2012, la representación procesal de la Generalitat de Cataluña señala que el levantamiento de la suspensión no ocasiona daños irreversibles o de difícil reparación, reales y efectivos, a los intereses generales ni a los de terceros. Para llegar a esa conclusión pone de manifiesto la analogía del tributo catalán con otros similares existentes en otras Comunidades Autónomas, como Extremadura (objeto de la STC 210/2012), Andalucía, Canarias o Asturias. En paralelo a estos tributos e inmediatamente después de la STC 210/2012, la Ley estatal 16/2012, de 27 de diciembre, por la que se adoptan diversas medidas dirigidas a la consolidación de las finanzas públicas y al impulso de la actividad económica, introdujo, mediante una enmienda del Grupo Parlamentario Popular en el Senado, un impuesto estatal sobre los depósitos en las entidades de crédito. El tipo de gravamen aplicable es del 0 por 100 y se reconoce la obligación de compensación derivada del art. 6.2 de la Ley Orgánica de financiación de las Comunidades Autónomas (LOFCA) si bien se excluye, de modo contrario a esta Ley Orgánica, a los tributos autonómicos creados con posterioridad al 1 de diciembre de 2012 (art. 19.13). A su juicio, esta regulación es susceptible de dos interpretaciones opuestas respecto a la incidencia del tributo estatal sobre los autonómicos preexistentes, siendo, por tanto, también diferentes, los efectos del levantamiento de la suspensión según se mantenga una u otra interpretación.</w:t>
      </w:r>
    </w:p>
    <w:p w:rsidR="00BE7FB3" w:rsidRDefault="00BE7FB3" w:rsidP="00BE7FB3">
      <w:pPr>
        <w:pStyle w:val="TextoNormal"/>
      </w:pPr>
    </w:p>
    <w:p w:rsidR="00BE7FB3" w:rsidRDefault="00BE7FB3" w:rsidP="00BE7FB3">
      <w:pPr>
        <w:pStyle w:val="TextoNormal"/>
      </w:pPr>
      <w:r>
        <w:t xml:space="preserve">Analiza a continuación las dos interpretaciones que propone. La primera, que califica como la más plausible, se basa en considerar que los impuestos estatal y autonómico son equivalentes e incurren por ello en el supuesto de incompatibilidad que, conforme a la Ley Orgánica de financiación de las Comunidades Autónomas, determina la inexigibilidad de los tributos autonómicos y el correlativo deber del Estado de adoptar medidas complementarias para contrarrestar la minoración de ingresos autonómicos. De admitirse esta interpretación la Abogada de la Generalitat de Cataluña estima que es indudable que el mantenimiento de la vigencia del Decreto-ley 5/2012 no causaría perjuicio alguno y únicamente obliga al Estado a cumplir el deber legal que le impone el art. 6.2 LOFCA. Estima que la limitación establecida en el art. 19 de la Ley 16/2012 ha de reputarse contraria a la Ley Orgánica de financiación de las Comunidades Autónomas y, por tanto, inconstitucional y </w:t>
      </w:r>
      <w:r>
        <w:lastRenderedPageBreak/>
        <w:t>nula. Tampoco frente a terceros se causarían perjuicios pues el tributo autonómico quedaría desplazado por el estatal creado por el art. 19 de la Ley 16/2012 que establece un tipo del cero por ciento.</w:t>
      </w:r>
    </w:p>
    <w:p w:rsidR="00BE7FB3" w:rsidRDefault="00BE7FB3" w:rsidP="00BE7FB3">
      <w:pPr>
        <w:pStyle w:val="TextoNormal"/>
      </w:pPr>
    </w:p>
    <w:p w:rsidR="00BE7FB3" w:rsidRDefault="00BE7FB3" w:rsidP="00BE7FB3">
      <w:pPr>
        <w:pStyle w:val="TextoNormal"/>
      </w:pPr>
      <w:r>
        <w:t>La segunda interpretación, que califica a la vez de heterodoxa y obligada por el tenor del art. 19.13 de la Ley 16/2012, parte de considerar que el impuesto estatal no es equivalente a los autonómicos, dado que no persigue finalidades recaudatorias sino otras finalidades extrafiscales, en los términos de la doctrina constitucional (con cita al efecto de la STC 122/2012, FJ 4). Y ello aunque esa finalidad sea tan cuestionable como la de gravar formalmente el mismo hecho imponible ya gravado por los tributos autonómicos, lo que se traduce en una notoria vulneración por menoscabo de la competencia autonómica para el establecimiento de tributos propios, eliminado la virtualidad de la STC 210/2012, relativa al impuesto extremeño, pues no puede entenderse que con ello se lleve a cabo, como pretende la exposición de motivos de la Ley 16/2012, armonización alguna en la tributación. En el caso de admitirse esta interpretación, estima que el levantamiento de la suspensión no infringiría ningún daño a los intereses generales ya que la recaudación del impuesto autonómico no interferiría en el estatal, al tener este un tipo cero. Tampoco habría daños respecto a terceros, pues el pago del tributo se integra dentro del deber de contribución a los gastos públicos del art. 31.1 CE. Y si finalmente se declarase la inconstitucionalidad tampoco habría inconveniente en la devolución de lo recaudado al tratarse de un impuesto que grava a un número reducido de contribuyentes perfectamente identificados, cuyo número se estima en unos cuarenta y siete.</w:t>
      </w:r>
    </w:p>
    <w:p w:rsidR="00BE7FB3" w:rsidRDefault="00BE7FB3" w:rsidP="00BE7FB3">
      <w:pPr>
        <w:pStyle w:val="TextoNormal"/>
      </w:pPr>
    </w:p>
    <w:p w:rsidR="00BE7FB3" w:rsidRDefault="00BE7FB3" w:rsidP="00BE7FB3">
      <w:pPr>
        <w:pStyle w:val="TextoNormal"/>
      </w:pPr>
      <w:r>
        <w:t>Por otra parte, afirma la representación procesal de la Generalitat de Cataluña que la eventual prórroga de la vigencia de la suspensión causaría a las finanzas de la Generalitat perjuicios de imposible o difícil reparación. Por un lado el mantenimiento de la suspensión impediría a la Generalitat que requiriese al Estado para que adoptara las medidas oportunas para compensar por la minoración de ingresos derivada del desplazamiento del impuesto autonómico por el estatal. Quebranto que cifra en más de 500 millones de euros, cifra estimada de recaudación, conforme al informe de la Dirección General de Tributos de la Generalitat de Cataluña que adjunta a su escrito. Reitera al respecto que no puede negarse a la Generalitat el derecho a obtener la compensación por el hecho de que el art. 19.8 de la Ley 16/2012 la excluya, ya que se trata de una previsión contraria al art. 6.2 LOFCA. Si por el contrario se entendiera que ambos tributos no son equivalentes y son compatibles, el mantenimiento de la suspensión causaría graves perjuicios al impedirle recaudar dicho impuesto y obtener ingresos por el importe estimado de 500 millones de euros. En uno u otro caso, falta de compensación o falta de recaudación directa, se minoran los ingresos autonómicos y se agravará el déficit de la Generalitat de Cataluña, impidiendo que se pueda cumplir el objetivo de déficit público fijado para el año 2013 que se ha establecido en un 0,7 por 100.</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xml:space="preserve">. El objeto de la presente resolución consiste en determinar si procede levantar o mantener la suspensión de la vigencia que afecta al Decreto-ley del Gobierno de Cataluña 5/2012, de 18 de diciembre, del impuesto sobre los depósitos en las entidades de crédito, que se encuentra suspendido en su aplicación, como consecuencia de la invocación del art. </w:t>
      </w:r>
      <w:r>
        <w:lastRenderedPageBreak/>
        <w:t>161.2 CE, al promoverse el recurso de inconstitucionalidad contra el mismo por el Presidente del Gobierno.</w:t>
      </w:r>
    </w:p>
    <w:p w:rsidR="00BE7FB3" w:rsidRDefault="00BE7FB3" w:rsidP="00BE7FB3">
      <w:pPr>
        <w:pStyle w:val="TextoNormal"/>
      </w:pPr>
    </w:p>
    <w:p w:rsidR="00BE7FB3" w:rsidRDefault="00BE7FB3" w:rsidP="00BE7FB3">
      <w:pPr>
        <w:pStyle w:val="TextoNormal"/>
      </w:pPr>
      <w:r>
        <w:t>Los motivos de inconstitucionalidad alegados por el Abogado del Estado en su recurso hacen referencia tanto a cuestiones formales como materiales. Entre las primeras se menciona la falta de concurrencia del presupuesto habilitante que justifique el dictado del Decreto-ley 5/2012 y entre las materiales aduce la inclusión en el Decreto-ley de materias vedadas a este tipo de normas como sería la creación de tributos, la infracción del art. 6.2 de la Ley Orgánica de financiación de las Comunidades Autónomas (LOFCA), por gravar un hecho imponible gravado por el Estado así como la previsión de una retroactividad contraria al art. 9.3 CE que se reprocha específicamente a la disposición adicional segunda del Decreto-ley 5/2012, según la cual el impuesto será exigible desde el 1 de octubre de 2012.</w:t>
      </w:r>
    </w:p>
    <w:p w:rsidR="00BE7FB3" w:rsidRDefault="00BE7FB3" w:rsidP="00BE7FB3">
      <w:pPr>
        <w:pStyle w:val="TextoNormal"/>
      </w:pPr>
    </w:p>
    <w:p w:rsidR="00BE7FB3" w:rsidRDefault="00BE7FB3" w:rsidP="00BE7FB3">
      <w:pPr>
        <w:pStyle w:val="TextoNormal"/>
      </w:pPr>
      <w:r w:rsidRPr="00BE7FB3">
        <w:rPr>
          <w:rStyle w:val="NumeroAFNegritaCaracter"/>
        </w:rPr>
        <w:t>2</w:t>
      </w:r>
      <w:r>
        <w:t>.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y 60/2013, de 26 de febrero, FJ 2).</w:t>
      </w:r>
    </w:p>
    <w:p w:rsidR="00BE7FB3" w:rsidRDefault="00BE7FB3" w:rsidP="00BE7FB3">
      <w:pPr>
        <w:pStyle w:val="TextoNormal"/>
      </w:pPr>
    </w:p>
    <w:p w:rsidR="00BE7FB3" w:rsidRDefault="00BE7FB3" w:rsidP="00BE7FB3">
      <w:pPr>
        <w:pStyle w:val="TextoNormal"/>
      </w:pPr>
      <w:r w:rsidRPr="00BE7FB3">
        <w:rPr>
          <w:rStyle w:val="NumeroAFNegritaCaracter"/>
        </w:rPr>
        <w:t>3</w:t>
      </w:r>
      <w:r>
        <w:t>. Así pues, de lo que en este incidente se trata es de dilucidar si los perjuicios que han sido alegados por el Abogado del Estado tienen la gravedad y consistencia necesarias como para prevalecer sobre la presunción de legitimidad de la regulación catalana y los intereses que se vinculan a su aplicación efectiva.</w:t>
      </w:r>
    </w:p>
    <w:p w:rsidR="00BE7FB3" w:rsidRDefault="00BE7FB3" w:rsidP="00BE7FB3">
      <w:pPr>
        <w:pStyle w:val="TextoNormal"/>
      </w:pPr>
    </w:p>
    <w:p w:rsidR="00BE7FB3" w:rsidRDefault="00BE7FB3" w:rsidP="00BE7FB3">
      <w:pPr>
        <w:pStyle w:val="TextoNormal"/>
      </w:pPr>
      <w:r>
        <w:t xml:space="preserve">En esta ocasión el Abogado del Estado solicita el mantenimiento de la suspensión de la norma impugnada fundamentando su petición en la gravedad de la situación económica, en especial en relación con la solvencia de las entidades de crédito y el sistema financiero. Dado dicho contexto ha argumentado que el levantamiento de la suspensión sería susceptible de generar perjuicios irreparables para la entidades de depósito sujetas al pago del tributo pues señala, a partir de datos que afirma extraídos de la página web de la asociación española de banca, que la extrapolación del tributo autonómico impugnado al conjunto del Estado hubiera convertido el resultado positivo de la actividad de explotación del sector en el año 2011, último dato disponible, en un resultado negativo, resultado negativo susceptible de incrementarse en ejercicios posteriores a tenor del proceso de deterioro de los activos en el que están inmersas las entidades de crédito. Por otro lado ha destacado también la existencia de perjuicios para el acceso al crédito de las empresas y de las economías domésticas, puesto que, con apoyo también en la página web de la Asociación Española de Banca, afirma que </w:t>
      </w:r>
      <w:r>
        <w:lastRenderedPageBreak/>
        <w:t>gravar los depósitos va a suponer una contracción en el crédito, habida cuenta de las dificultades en conseguir financiación por las que actualmente pasan las entidades bancarias.</w:t>
      </w:r>
    </w:p>
    <w:p w:rsidR="00BE7FB3" w:rsidRDefault="00BE7FB3" w:rsidP="00BE7FB3">
      <w:pPr>
        <w:pStyle w:val="TextoNormal"/>
      </w:pPr>
    </w:p>
    <w:p w:rsidR="00BE7FB3" w:rsidRDefault="00BE7FB3" w:rsidP="00BE7FB3">
      <w:pPr>
        <w:pStyle w:val="TextoNormal"/>
      </w:pPr>
      <w:r>
        <w:t>Las representaciones procesales del Parlamento de Cataluña y de la Generalitat de Cataluña han interesado el levantamiento de la suspensión que pesa sobre el Decreto-ley 5/2012. El Letrado del Parlamento de Cataluña ha argumentado que la aplicación del impuesto constituye una medida necesaria para alcanzar nuevas fuentes de financiación que permitan cumplir los objetivos de déficit y deuda pública, en tanto que conllevaría la percepción por la Generalitat de unos ingresos anuales que ha estimado en unos 500 millones de euros, ingresos destinados a cubrir cualesquiera gastos del presupuesto y asegurar la prestación de los servicios competencia de la Generalitat de Cataluña. Igualmente ha destacado el escaso número de sujetos afectados, lo que a su vez permite la cuantificación de las cantidades ingresadas y descarta dificultad alguna en su eventual devolución, así como que el daño que podría generar el impuesto no es especialmente grave para los obligados al pago, en la medida en que los costes de captación de pasivo se han reducido en los últimos años, lo que supone que existe margen más que suficiente para absorber el coste tributario sin perjudicar gravemente los beneficios empresariales.</w:t>
      </w:r>
    </w:p>
    <w:p w:rsidR="00BE7FB3" w:rsidRDefault="00BE7FB3" w:rsidP="00BE7FB3">
      <w:pPr>
        <w:pStyle w:val="TextoNormal"/>
      </w:pPr>
    </w:p>
    <w:p w:rsidR="00BE7FB3" w:rsidRDefault="00BE7FB3" w:rsidP="00BE7FB3">
      <w:pPr>
        <w:pStyle w:val="TextoNormal"/>
      </w:pPr>
      <w:r>
        <w:t>La Abogada de la Generalitat de Cataluña ha sostenido que el levantamiento de la suspensión no ocasiona daños irreparables a los intereses generales o de terceros, ya que, a partir de la regulación del art. 19 de la Ley 16/2012, de 27 de diciembre, por la que se adoptan diversas medidas tributarias dirigidas a la consolidación de las finanzas públicas y al impulso de la actividad económica, que crea un impuesto estatal sobre los depósitos de entidades de crédito, señala que si se sostiene la incompatibilidad del impuesto estatal y autonómico, ello sería determinante de la desaparición de los tributos autonómicos y del nacimiento del deber estatal de compensar la minoración de ingresos, en los términos del art. 6.2 LOFCA. En el caso de que ambos tributos se estimasen compatibles, pues el estatal tiene tipo cero, tampoco aprecia la existencia de perjuicios para el interés general ni para el de terceros que en todo caso están obligados a contribuir al sostenimiento de los gastos públicos, sin que existiera dificultad, llegado el caso, en devolver los importes de los tributos cobrados. Finalmente, en línea con lo ya expresado por el Letrado del Parlamento de Cataluña, argumenta que la suspensión causaría perjuicios de difícil reparación como consecuencia de la minoración de ingresos que se produciría por un importe estimado de más de 500 millones de euros en el año 2013.</w:t>
      </w:r>
    </w:p>
    <w:p w:rsidR="00BE7FB3" w:rsidRDefault="00BE7FB3" w:rsidP="00BE7FB3">
      <w:pPr>
        <w:pStyle w:val="TextoNormal"/>
      </w:pPr>
    </w:p>
    <w:p w:rsidR="00BE7FB3" w:rsidRDefault="00BE7FB3" w:rsidP="00BE7FB3">
      <w:pPr>
        <w:pStyle w:val="TextoNormal"/>
      </w:pPr>
      <w:r w:rsidRPr="00BE7FB3">
        <w:rPr>
          <w:rStyle w:val="NumeroAFNegritaCaracter"/>
        </w:rPr>
        <w:t>4</w:t>
      </w:r>
      <w:r>
        <w:t>. Así expuestos, siquiera de forma sucinta, los perjuicios a los intereses particulares y generales que cada una de las partes plantea que pueden producirse si se mantiene o se alza la suspensión previamente acordada por el Tribunal, procede que realicemos la ponderación que es propia de este incidente cautelar atendiendo a la determinación de las consecuencias que podrían derivarse del alzamiento o mantenimiento de la suspensión, partiendo de las alegaciones del Abogado del Estado sobre el que pesa la carga de acreditar la existencia de los perjuicios y la imposible o difícil reparación de los mismos.</w:t>
      </w:r>
    </w:p>
    <w:p w:rsidR="00BE7FB3" w:rsidRDefault="00BE7FB3" w:rsidP="00BE7FB3">
      <w:pPr>
        <w:pStyle w:val="TextoNormal"/>
      </w:pPr>
    </w:p>
    <w:p w:rsidR="00BE7FB3" w:rsidRDefault="00BE7FB3" w:rsidP="00BE7FB3">
      <w:pPr>
        <w:pStyle w:val="TextoNormal"/>
      </w:pPr>
      <w:r>
        <w:t>Como ya se ha señalado tales perjuicios son, esencialmente, dos, los directos, que sufrirían las entidades de crédito que capten depósitos, y los indirectos, que afectarían al acceso al crédito de las empresas y economías domésticas. Además, los directos podrían ser mayores si el tributo catalán se extendiese al resto de las Comunidades Autónomas.</w:t>
      </w:r>
    </w:p>
    <w:p w:rsidR="00BE7FB3" w:rsidRDefault="00BE7FB3" w:rsidP="00BE7FB3">
      <w:pPr>
        <w:pStyle w:val="TextoNormal"/>
      </w:pPr>
    </w:p>
    <w:p w:rsidR="00BE7FB3" w:rsidRDefault="00BE7FB3" w:rsidP="00BE7FB3">
      <w:pPr>
        <w:pStyle w:val="TextoNormal"/>
      </w:pPr>
      <w:r>
        <w:lastRenderedPageBreak/>
        <w:t>Comenzando por el primero de ellos ha de advertirse que las conclusiones del Abogado del Estado en relación a los perjuicios que sufriría el sector financiero se basan, según afirma, de los datos que se pueden leer en la página web de la Asociación Española de Banca. En esa misma página web dicha asociación se define como “una asociación profesional abierta a todos los bancos españoles y extranjeros que operan en España” cuyas funciones “se centran en la defensa y representación de los intereses colectivos de sus miembros en los distintos ámbitos que afectan a su actividad”. Siendo ello así, no es de extrañar y resulta perfectamente comprensible que los posibles obligados al pago del tributo, caso de levantarse la suspensión, estimen que dicho tributo va a perjudicarles y expongan sus argumentos en tal sentido. En estas condiciones no es posible atribuir a las afirmaciones del Abogado del Estado, haciendo referencia a los documentos de la Asociación Española de Banca, asociación empresarial directamente concernida por el tributo, el valor probatorio pretendido, debiéndose reiterar que, dada la presunción de validez de la disposición objeto de impugnación y del carácter cautelar con que se configura la medida de la suspensión, corresponde a la representación del Gobierno de la Nación la carga de justificar debidamente la necesidad de mantenimiento de la suspensión [en un sentido similar, ATC 238/2012, de 12 de diciembre, FJ 3 a)].</w:t>
      </w:r>
    </w:p>
    <w:p w:rsidR="00BE7FB3" w:rsidRDefault="00BE7FB3" w:rsidP="00BE7FB3">
      <w:pPr>
        <w:pStyle w:val="TextoNormal"/>
      </w:pPr>
    </w:p>
    <w:p w:rsidR="00BE7FB3" w:rsidRDefault="00BE7FB3" w:rsidP="00BE7FB3">
      <w:pPr>
        <w:pStyle w:val="TextoNormal"/>
      </w:pPr>
      <w:r>
        <w:t>Asimismo, es evidente que el riesgo de extrapolación de un impuesto como el catalán aquí impugnado a las restantes Comunidades Autónomas, en el que el Abogado del Estado ha basado su alegación, tampoco puede ser tomado en consideración. En primer lugar por tratarse de una mera hipótesis no confirmada que, como tal, no puede prevalecer, en la ponderación propia de este incidente, sobre la presunción de constitucionalidad de la que, en principio, goza la norma impugnada. Además, debe tenerse en cuenta lo dispuesto en el art. 19 de la Ley 16/2012, de 27 de diciembre, por la que se adoptan diversas medidas tributarias dirigidas a la consolidación de las finanzas públicas y al impulso de la actividad económica, que crea un impuesto estatal sobre los depósitos de entidades de crédito, que grava el importe de los saldos depositados en cada una de las entidades de crédito que operan en España, si bien el tipo impositivo es del 0 por 100, aunque puede modificarse por la ley de presupuestos. En todo caso, su pretensión es, conforme a la exposición de motivos, “asegurar un tratamiento fiscal armonizado que garantice una mayor eficiencia en el funcionamiento del sistema financiero”, por lo que, a los efectos del presente incidente, la mera existencia de la norma estatal citada sirve para desvirtuar el riesgo de generalización del tributo que ha alegado el Abogado del Estado. Riesgo por lo demás basado en una doctrina, la del ATC 87/2012, de 10 de mayo, y los allí citados, establecida en relación a una cuestión muy distinta en la que precisamente lo que se alegaba, en asuntos relativos a retribuciones de los funcionarios públicos, era que se ponía en peligro “la efectividad de una medida de política económica general dirigida a contener la expansión relativa de uno de los componentes esenciales del gasto público”, como es el del gasto en personal (en el mismo sentido, bien que por referencia a las restricciones en el ingreso de nuevo personal, ATC 161/2012, de 13 de septiembre, FJ 4).</w:t>
      </w:r>
    </w:p>
    <w:p w:rsidR="00BE7FB3" w:rsidRDefault="00BE7FB3" w:rsidP="00BE7FB3">
      <w:pPr>
        <w:pStyle w:val="TextoNormal"/>
      </w:pPr>
    </w:p>
    <w:p w:rsidR="00BE7FB3" w:rsidRDefault="00BE7FB3" w:rsidP="00BE7FB3">
      <w:pPr>
        <w:pStyle w:val="TextoNormal"/>
      </w:pPr>
      <w:r>
        <w:t xml:space="preserve">Tampoco los concretos perjuicios que alega respecto al aumento de las necesidades de financiación de las entidades y a la afectación a la confianza en el sector y al empleo en el mismo pueden ahora ser tomados en consideración pues se presentan desprovistos de dato alguno que permita su ponderación y se formulan de modo hipotético, además de no tomar en consideración las medidas de reestructuración bancaria puestas en marcha, uno de cuyos </w:t>
      </w:r>
      <w:r>
        <w:lastRenderedPageBreak/>
        <w:t>exponentes más relevantes es el Real Decreto-ley 24/2012, de 31 de agosto, sobre reestructuración y resolución de entidades de crédito, posteriormente sustituido por la Ley 9/2012, de 14 de noviembre.</w:t>
      </w:r>
    </w:p>
    <w:p w:rsidR="00BE7FB3" w:rsidRDefault="00BE7FB3" w:rsidP="00BE7FB3">
      <w:pPr>
        <w:pStyle w:val="TextoNormal"/>
      </w:pPr>
    </w:p>
    <w:p w:rsidR="00BE7FB3" w:rsidRDefault="00BE7FB3" w:rsidP="00BE7FB3">
      <w:pPr>
        <w:pStyle w:val="TextoNormal"/>
      </w:pPr>
      <w:r>
        <w:t>Por último es también doctrina reiterada que los intereses particulares, como lo son los del sector financiero, sin perjuicio de su relevancia para el buen funcionamiento de la economía nacional, no pueden prevalecer sobre los generales, en este caso “relacionados con la necesidad de adoptar las medidas precisas para hacer frente a una situación de inestabilidad financiera y crisis económica como el que actualmente vive nuestro país” (ATC 108/2011, de 18 de julio, FJ 6). En este sentido es pertinente recordar ahora que la exposición de motivos del Decreto-ley 5/2012 alude a “la necesidad extraordinaria y urgente de alcanzar nuevas fuentes de financiación, con el fin de cumplir con los objetivos de déficit y de endeudamiento fijados”, de suerte que, como también han puesto de manifiesto las representaciones procesales del Parlamento y de la Generalitat de Cataluña, la finalidad de la norma no es otra que coadyuvar a la sostenibilidad de las cuentas autonómicas allegando recursos a las arcas públicas, sin perjuicio de que, dada la inexistencia de presupuestos de la Comunidad Autónoma para el año 2013, la merma de ingresos presupuestados no pueda ser ahora valorada sino mediante estimaciones relacionadas con el volumen de depósitos en las entidades de crédito que operan en Cataluña. En todo caso, ha de tenerse en cuenta que el déficit de esta Comunidad Autónoma supuso en el año 2011 el 4,02 por 100 del producto interior bruto de esta Comunidad, de acuerdo con la información oficial publicada por el Ministerio de Hacienda y Administraciones Públicas, mientras que los datos avanzados para el año 2012 por el mismo Ministerio lo cifran en el 1,96 por 100 del producto interior bruto, lo que supone también una importante desviación con respecto del objetivo de estabilidad presupuestaria. Recursos, en suma y desde la perspectiva cautelar que nos impone el presente incidente, tanto más necesarios en un momento de fuertes recortes presupuestarios, obligados para afrontar las actuales exigencias de reducción del déficit y del endeudamiento de la Comunidad Autónoma de Cataluña y, por extensión, del conjunto de España y que ha determinado ya la adopción de medidas extraordinarias de apoyo a la liquidez de las Comunidades Autónomas, como, por ejemplo, las previstas en el Real Decreto-ley 21/2012, de 13 de julio, sobre medidas de liquidez de las Administraciones públicas y en el ámbito financiero.</w:t>
      </w:r>
    </w:p>
    <w:p w:rsidR="00BE7FB3" w:rsidRDefault="00BE7FB3" w:rsidP="00BE7FB3">
      <w:pPr>
        <w:pStyle w:val="TextoNormal"/>
      </w:pPr>
    </w:p>
    <w:p w:rsidR="00BE7FB3" w:rsidRDefault="00BE7FB3" w:rsidP="00BE7FB3">
      <w:pPr>
        <w:pStyle w:val="TextoNormal"/>
      </w:pPr>
      <w:r w:rsidRPr="00BE7FB3">
        <w:rPr>
          <w:rStyle w:val="NumeroAFNegritaCaracter"/>
        </w:rPr>
        <w:t>5</w:t>
      </w:r>
      <w:r>
        <w:t>. En cuanto al segundo de los perjuicios aducidos por el Abogado del Estado, el relativo a la repercusión del tributo sobre el acceso al crédito de las empresas y familias, que tan sólo es una hipótesis no acreditada, tampoco puede prevalecer sobre los que sufrirían los intereses generales de la Comunidad Autónoma si la suspensión se mantuviese, teniendo en cuenta lo que ya hemos afirmado en relación con su solvencia.</w:t>
      </w:r>
    </w:p>
    <w:p w:rsidR="00BE7FB3" w:rsidRDefault="00BE7FB3" w:rsidP="00BE7FB3">
      <w:pPr>
        <w:pStyle w:val="TextoNormal"/>
      </w:pPr>
    </w:p>
    <w:p w:rsidR="00BE7FB3" w:rsidRDefault="00BE7FB3" w:rsidP="00BE7FB3">
      <w:pPr>
        <w:pStyle w:val="TextoNormal"/>
      </w:pPr>
      <w:r>
        <w:t>La falta de relevancia de esta segunda consecuencia respecto al interés general que se conecta a la aplicación de la norma autonómica se vincula, en primer lugar, a que sus alegaciones se basan en argumentos extraídos de la página web de la Asociación Española de Banca, por lo que es aplicable igualmente lo que acabamos de señalar respecto a su valor probatorio. Sin perjuicio de lo anterior tampoco puede estimarse que la aplicación de la norma ahora suspendida vaya necesariamente a producir los efectos que el Abogado del Estado, siquiera por referencia a lo analizado por la Asociación Española de Banca, asocia al alzamiento de la suspensión. En efecto, además de que la generalidad con la que se for</w:t>
      </w:r>
      <w:r>
        <w:lastRenderedPageBreak/>
        <w:t>mulan dificulta su valoración, presenta un marcado carácter hipotético, puesto que es evidente que, atendidas las circunstancias actuales, el endurecimiento de las condiciones de acceso al crédito no deriva necesaria y directamente de la vigencia de la norma. Por otra parte, el Letrado del Parlamento de Cataluña ha argumentado que, en todo caso, la aplicación del tributo no anula el margen del que, en virtud de la reducción de costes de captación de pasivo por las entidades de crédito, disponen tales entidades, extremo, por lo demás, corroborado por los datos obrantes en el “Boletín Estadístico del Banco de España” de marzo de 2013 (último disponible), recogiendo los resultados del período que va de enero a diciembre de 2012, en relación tanto con los costes financieros como con el margen de interés de las entidades de crédito.</w:t>
      </w:r>
    </w:p>
    <w:p w:rsidR="00BE7FB3" w:rsidRDefault="00BE7FB3" w:rsidP="00BE7FB3">
      <w:pPr>
        <w:pStyle w:val="TextoNormal"/>
      </w:pPr>
    </w:p>
    <w:p w:rsidR="00BE7FB3" w:rsidRDefault="00BE7FB3" w:rsidP="00BE7FB3">
      <w:pPr>
        <w:pStyle w:val="TextoNormal"/>
      </w:pPr>
      <w:r w:rsidRPr="00BE7FB3">
        <w:rPr>
          <w:rStyle w:val="NumeroAFNegritaCaracter"/>
        </w:rPr>
        <w:t>6</w:t>
      </w:r>
      <w:r>
        <w:t>. Por último, resulta necesario abordar otras dos cuestiones. En primer lugar, no está de más señalar que resulta aquí aplicable la doctrina que, con referencia a decisiones anteriores, recoge el ATC 173/2002, de 1 de octubre, FJ 3, en el sentido de señalar que “el reducido número de afectados por el tributo autonómico permite que, en caso de una eventual futura declaración de inconstitucionalidad de la norma legal impugnada, sea fácil la identificación de los afectados y la devolución del impuesto recaudado, razón por la cual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w:t>
      </w:r>
    </w:p>
    <w:p w:rsidR="00BE7FB3" w:rsidRDefault="00BE7FB3" w:rsidP="00BE7FB3">
      <w:pPr>
        <w:pStyle w:val="TextoNormal"/>
      </w:pPr>
    </w:p>
    <w:p w:rsidR="00BE7FB3" w:rsidRDefault="00BE7FB3" w:rsidP="00BE7FB3">
      <w:pPr>
        <w:pStyle w:val="TextoNormal"/>
      </w:pPr>
      <w:r>
        <w:t>En segundo lugar, en la perspectiva cautelar que ahora nos es propia, hay que advertir que el impuesto estatal creado por el art. 19 de la Ley 16/2012, de 27 de diciembre, dado su tipo impositivo, no da lugar a ninguna carga tributaria que incida de forma efectiva sobre la riqueza o el patrimonio de los sujetos afectados. En todo caso, no debemos pronunciarnos ahora sobre este impuesto estatal y sobre el régimen de compensación previsto en el art. 6.2 LOFCA en el supuesto de que “el Estado, en el ejercicio de su potestad tributaria originaria establezca tributos sobre hechos imponibles gravados por las Comunidades Autónomas, que supongan a éstas una disminución de ingresos instrumentará las medidas de compensación o coordinación adecuadas en favor de las mismas”. No estamos al efecto ni en el momento ni en el procedimiento oportunos. Téngase en cuenta, además, que sobre el art. 19 de la Ley 16/2012 penden tres recursos de inconstitucionalidad en los que, entre otras, se plantea la cuestión de su relación con el art. 6.2 LOFCA, lo que, por sí sólo, nos obliga a obviar pronunciamiento alguno al respecto.</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Levantar la suspensión del Decreto-ley de Cataluña 5/2012, de 18 de diciembre, del impuesto sobre los depósitos en las entidades de crédito.</w:t>
      </w:r>
    </w:p>
    <w:p w:rsidR="00BE7FB3" w:rsidRDefault="00BE7FB3" w:rsidP="00BE7FB3">
      <w:pPr>
        <w:pStyle w:val="TextoNormal"/>
      </w:pPr>
    </w:p>
    <w:p w:rsidR="00BE7FB3" w:rsidRDefault="00BE7FB3" w:rsidP="00BE7FB3">
      <w:pPr>
        <w:pStyle w:val="TextoNormal"/>
      </w:pPr>
      <w:r>
        <w:t>Madrid, a veintiuno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65" w:name="AUTO_2013_124"/>
      <w:r>
        <w:lastRenderedPageBreak/>
        <w:t>AUTO 124/2013, de 21 de mayo de 2013</w:t>
      </w:r>
    </w:p>
    <w:bookmarkEnd w:id="265"/>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ECLI:ES:TC:2013:124A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Mantiene la suspensión en el recurso de inconstitucionalidad 27-2013, interpuesto por el Presidente del Gobierno en relación con varios artículos de la Ley 1/2012, de 26 de marzo, para la protección de los derechos de los consumidores mediante el fomento de la transparencia en la contratación hipotecaria en la Comunidad de Madrid.</w:t>
      </w:r>
    </w:p>
    <w:p w:rsidR="00BE7FB3" w:rsidRDefault="00BE7FB3" w:rsidP="00BE7FB3">
      <w:pPr>
        <w:pStyle w:val="SntesisDescriptiva"/>
      </w:pPr>
    </w:p>
    <w:p w:rsidR="00BE7FB3" w:rsidRDefault="00BE7FB3" w:rsidP="00BE7FB3">
      <w:pPr>
        <w:pStyle w:val="SntesisAnaltica"/>
      </w:pPr>
      <w:r>
        <w:t>Créditos hipotecarios. Defensa de los consumidores: derecho a la información de consumidores; infracciones administrativas. Sanciones administrativas: potestad sancionadora de las Comunidades Autónomas. Suspensión de disposiciones de las Comunidades Autónomas: mantenimiento de la suspensión de disposiciones de las Comunidades Autónomas; perjuicios reparables.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Por escrito que tuvo entrada en el Registro General del Tribunal Constitucional el 2 de enero de 2013, el Abogado del Estado, en la representación que legalmente ostenta, interpuso recurso de inconstitucionalidad contra los arts. 2, 3, 4, 5, 7, 8 y 9 de la Ley de la Asamblea de Madrid, 1/2012, de 26 de marzo, para la protección de los derechos de los consumidores mediante el fomento de la transparencia en la contratación hipotecaria en la Comunidad de Madrid (“Boletín Oficial de la Comunidad de Madrid” núm. 79, de 2 de abril de 2012). Se invoca el art. 161.2 CE y el art. 3 de la Ley Orgánica del Tribunal Constitucional (LOTC) a los efectos de la suspensión de los preceptos recurridos.</w:t>
      </w:r>
    </w:p>
    <w:p w:rsidR="00BE7FB3" w:rsidRDefault="00BE7FB3" w:rsidP="00BE7FB3">
      <w:pPr>
        <w:pStyle w:val="TextoNormal"/>
      </w:pPr>
    </w:p>
    <w:p w:rsidR="00BE7FB3" w:rsidRDefault="00BE7FB3" w:rsidP="00BE7FB3">
      <w:pPr>
        <w:pStyle w:val="TextoNormal"/>
      </w:pPr>
      <w:r w:rsidRPr="00BE7FB3">
        <w:rPr>
          <w:rStyle w:val="NumeroAFNegritaCaracter"/>
        </w:rPr>
        <w:t>2</w:t>
      </w:r>
      <w:r>
        <w:t>. Por providencia de 15 de enero de 2013, el Pleno del Tribunal Constitucional acordó admitir a trámite el recurso y tener por invocado el art. 161.2 CE con suspensión de la vigencia y aplicación de los preceptos impugnados. Asimismo acordó dar traslado de la demanda y documentos aportados, al Congreso de los Diputados, al Senado, a la Comunidad de Madrid y a la Asamblea de Madrid, para que pudieran personarse y formular alegaciones, y publicar la incoación del recurso en el “Boletín Oficial del Estado” y en el “Boletín Oficial de la Comunidad de Madrid”.</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El 21 de enero de 2013, se registró en el Tribunal Constitucional escrito de la Letrada de la Comunidad de Madrid, personándose en el procedimiento de referencia y suplicando </w:t>
      </w:r>
      <w:r>
        <w:lastRenderedPageBreak/>
        <w:t>la apertura del correspondiente incidente cautelar sobre ratificación de la suspensión acordada.</w:t>
      </w:r>
    </w:p>
    <w:p w:rsidR="00BE7FB3" w:rsidRDefault="00BE7FB3" w:rsidP="00BE7FB3">
      <w:pPr>
        <w:pStyle w:val="TextoNormal"/>
      </w:pPr>
    </w:p>
    <w:p w:rsidR="00BE7FB3" w:rsidRDefault="00BE7FB3" w:rsidP="00BE7FB3">
      <w:pPr>
        <w:pStyle w:val="TextoNormal"/>
      </w:pPr>
      <w:r w:rsidRPr="00BE7FB3">
        <w:rPr>
          <w:rStyle w:val="NumeroAFNegritaCaracter"/>
        </w:rPr>
        <w:t>4</w:t>
      </w:r>
      <w:r>
        <w:t>. El 25 de enero de 2013 tuvo entrada en el Tribunal Constitucional escrito del Presidente del Congreso por el que comunica el acuerdo de la Mesa de la Cámara de personarse en el proceso. Con fecha 30 de enero de 2013 se registró en este Tribunal el escrito del Presidente del Senado comunicando el acuerdo de la Mesa de dicha Cámara dándose por personada y por ofrecida su colaboración.</w:t>
      </w:r>
    </w:p>
    <w:p w:rsidR="00BE7FB3" w:rsidRDefault="00BE7FB3" w:rsidP="00BE7FB3">
      <w:pPr>
        <w:pStyle w:val="TextoNormal"/>
      </w:pPr>
    </w:p>
    <w:p w:rsidR="00BE7FB3" w:rsidRDefault="00BE7FB3" w:rsidP="00BE7FB3">
      <w:pPr>
        <w:pStyle w:val="TextoNormal"/>
      </w:pPr>
      <w:r w:rsidRPr="00BE7FB3">
        <w:rPr>
          <w:rStyle w:val="NumeroAFNegritaCaracter"/>
        </w:rPr>
        <w:t>5</w:t>
      </w:r>
      <w:r>
        <w:t>. Mediante escrito registrado en el Tribunal Constitucional el 5 de febrero de 2013, la Letrada de la Comunidad de Madrid formuló alegaciones.</w:t>
      </w:r>
    </w:p>
    <w:p w:rsidR="00BE7FB3" w:rsidRDefault="00BE7FB3" w:rsidP="00BE7FB3">
      <w:pPr>
        <w:pStyle w:val="TextoNormal"/>
      </w:pPr>
    </w:p>
    <w:p w:rsidR="00BE7FB3" w:rsidRDefault="00BE7FB3" w:rsidP="00BE7FB3">
      <w:pPr>
        <w:pStyle w:val="TextoNormal"/>
      </w:pPr>
      <w:r w:rsidRPr="00BE7FB3">
        <w:rPr>
          <w:rStyle w:val="NumeroAFNegritaCaracter"/>
        </w:rPr>
        <w:t>6</w:t>
      </w:r>
      <w:r>
        <w:t>. Por escrito presentado en el Tribunal Constitucional el 6 de febrero de 2013, el Presidente de la Asamblea de Madrid comunicó el acuerdo de la Diputación permanente de personarse y formular alegaciones. Estando próximo el vencimiento del plazo de los cinco meses establecido en el art. 161.2 CE, por providencia de 11 de febrero de 2013, el Pleno del Tribunal Constitucional acordó oír al Abogado del Estado y a las representaciones procesales de la Comunidad de Madrid y de la Asamblea de Madrid, para que, en el plazo de cinco días, expusieran lo que consideren conveniente acerca del mantenimiento o levantamiento de la suspensión.</w:t>
      </w:r>
    </w:p>
    <w:p w:rsidR="00BE7FB3" w:rsidRDefault="00BE7FB3" w:rsidP="00BE7FB3">
      <w:pPr>
        <w:pStyle w:val="TextoNormal"/>
      </w:pPr>
    </w:p>
    <w:p w:rsidR="00BE7FB3" w:rsidRDefault="00BE7FB3" w:rsidP="00BE7FB3">
      <w:pPr>
        <w:pStyle w:val="TextoNormal"/>
      </w:pPr>
      <w:r w:rsidRPr="00BE7FB3">
        <w:rPr>
          <w:rStyle w:val="NumeroAFNegritaCaracter"/>
        </w:rPr>
        <w:t>7</w:t>
      </w:r>
      <w:r>
        <w:t>. Por sendos escritos que tuvieron entrada en el Tribunal Constitucional el 19 de febrero de 2013, los Letrados de la Asamblea de Madrid y de la Comunidad de Madrid realizaron alegaciones en este incidente cautelar. Recuerdan la doctrina constitucional sobre la naturaleza excepcional de la suspensión de la aplicación y vigencia de las leyes de las Comunidades Autónomas y la necesidad de ponderar los intereses que concurren, así como los perjuicios de imposible o difícil reparación. Entienden, y en ello coinciden sustancialmente, que el interés público no puede verse afectado por el levantamiento de la suspensión y la aplicación de una normativa más garantista que la estatal, pues con ello se favorece el mandato del art. 51 CE. Consideran que de la ampliación de los derechos de información de los consumidores y usuarios sólo pude derivarse un beneficio para ellos, pues recibirán una mayor información que la exigida en la legislación estatal, mientras que los beneficios que se irrogaran a las entidades bancarias serían meramente económicos y, por tanto, de posible reparación. En todo caso, a la hora de ponderar los beneficios para los consumidores y los perjuicios a las entidades crediticias, siempre deben primar los primeros al estar éstos en una situación de inferioridad contractual. El Letrado de la Comunidad Autónoma alega, además, que debe levantarse la suspensión de los apartados de los preceptos que aun habiendo sido impugnados, no han sido objeto de reproche de inconstitucionalidad en el escrito de demanda. Considera que, a diferencia de la suspensión automática que conlleva la invocación del art. 161.2 CE, en este momento procesal debe tenerse en cuenta el carácter medial de la suspensión como instrumento que permite garantizar el resultado del proceso, citando a favor de la pretensión deducida el ATC 355/1989, de 20 de junio, por lo que solicita el levantamiento de la suspensión de los apartados b) y c) del art. 2; del art. 3.2 y art 5.2 y 3.</w:t>
      </w:r>
    </w:p>
    <w:p w:rsidR="00BE7FB3" w:rsidRDefault="00BE7FB3" w:rsidP="00BE7FB3">
      <w:pPr>
        <w:pStyle w:val="TextoNormal"/>
      </w:pPr>
    </w:p>
    <w:p w:rsidR="00BE7FB3" w:rsidRDefault="00BE7FB3" w:rsidP="00BE7FB3">
      <w:pPr>
        <w:pStyle w:val="TextoNormal"/>
      </w:pPr>
      <w:r w:rsidRPr="00BE7FB3">
        <w:rPr>
          <w:rStyle w:val="NumeroAFNegritaCaracter"/>
        </w:rPr>
        <w:t>8</w:t>
      </w:r>
      <w:r>
        <w:t xml:space="preserve">. El 19 de febrero de 2013, tuvo entrada en el Registro General del Tribunal Constitucional escrito del Abogado del Estado mediante el que evacúa el trámite de alegaciones conferido por la providencia de 11 de febrero de 2013. Entiende que como la normativa </w:t>
      </w:r>
      <w:r>
        <w:lastRenderedPageBreak/>
        <w:t>autonómica arroja importantes incongruencias con la normativa estatal, el levantamiento de la suspensión ocasionaría un daño importante a la unidad del sistema económico y financiero, siendo la normativa de transparencia financiera una garantía de la unidad de mercado. La normativa autonómica, en cuanto omite aspectos esenciales de la estatal sobre transparencia, obliga a las entidades que otorgan préstamos a desarrollar sus contratos de manera diferente en la Comunidad de Madrid. A su vez, la menor transparencia en el mercado bancario repercute en su funcionamiento, pues se vería perjudicado por una defectuosa asignación de recursos por clientes indebidamente informados. Finalmente, para cada uno de los preceptos impugnados lleva a cabo la ponderación de los posibles perjuicios a los intereses particulares y del interés público, para concluir suplicando el mantenimiento de la suspensión de todos los preceptos impugnados.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Esta resolución tiene por objeto determinar si, de acuerdo con el art. 161.2 CE, procede levantar o mantener la suspensión de la vigencia que afecta a los arts. 2, 3, 4, 5, 7, 8 y 9 de la Ley de la Asamblea de Madrid, 1/2012, de 26 de marzo, para la protección de los derechos de los consumidores mediante el fomento de la transparencia en la contratación hipotecaria en la Comunidad de Madrid. La representación de la Comunidad de Madrid ha solicitado el levantamiento anticipado de la suspensión de los preceptos recurridos, sin esperar el transcurso de los cinco meses previstos en el citado precepto constitucional. En sus alegaciones, la Asamblea de Madrid se ha manifestado conforme con el levantamiento de la suspensión. Por el contrario la Abogacía del Estado ha interesado su mantenimiento.</w:t>
      </w:r>
    </w:p>
    <w:p w:rsidR="00BE7FB3" w:rsidRDefault="00BE7FB3" w:rsidP="00BE7FB3">
      <w:pPr>
        <w:pStyle w:val="TextoNormal"/>
      </w:pPr>
    </w:p>
    <w:p w:rsidR="00BE7FB3" w:rsidRDefault="00BE7FB3" w:rsidP="00BE7FB3">
      <w:pPr>
        <w:pStyle w:val="TextoNormal"/>
      </w:pPr>
      <w:r w:rsidRPr="00BE7FB3">
        <w:rPr>
          <w:rStyle w:val="NumeroAFNegritaCaracter"/>
        </w:rPr>
        <w:t>2</w:t>
      </w:r>
      <w:r>
        <w:t>. Es doctrina de este Tribunal que la solicitud de levantamiento anticipado de la suspensión sin esperar al transcurso de los cinco meses previstos en el art. 161.2 CE, constituye una solicitud viable procesalmente, y que forma parte de las potestades de este Tribunal la de ratificar o levantar la suspensión dentro de ese plazo (ATC 60/2013, de 26 de febrero, FJ 2). Asimismo, tenemos señalado que para la resolución de este tipo de incidentes de suspensión, resulta necesario ponderar los intereses, tanto el público como los privados o de terceros, que se verían afectados por el levantamiento o mantenimiento de la suspensión, y los daños o perjuicios irreparables que podría ocasionar la resolución adoptada, todo ello al margen de la apreciación de la apariencia de buen derecho (</w:t>
      </w:r>
      <w:r w:rsidRPr="00BE7FB3">
        <w:rPr>
          <w:i/>
        </w:rPr>
        <w:t>fumus boni iuris</w:t>
      </w:r>
      <w:r>
        <w:t>) de las pretensiones formuladas en la demanda. Finalmente, hemos afirmado que, como consecuencia de la presunción de constitucionalidad que asiste a las normas legales impugnadas, el mantenimiento de la suspensión requiere que el Gobierno, a quien se debe la iniciativa, no sólo invoque la existencia de perjuicios derivados de su aplicación, sino que se requiere el razonamiento consistente sobre su procedencia y la imposible o difícil reparación de dichos perjuicios (ATC 161/2012, de 13 de septiembre, FJ 2).</w:t>
      </w:r>
    </w:p>
    <w:p w:rsidR="00BE7FB3" w:rsidRDefault="00BE7FB3" w:rsidP="00BE7FB3">
      <w:pPr>
        <w:pStyle w:val="TextoNormal"/>
      </w:pPr>
    </w:p>
    <w:p w:rsidR="00BE7FB3" w:rsidRDefault="00BE7FB3" w:rsidP="00BE7FB3">
      <w:pPr>
        <w:pStyle w:val="TextoNormal"/>
      </w:pPr>
      <w:r w:rsidRPr="00BE7FB3">
        <w:rPr>
          <w:rStyle w:val="NumeroAFNegritaCaracter"/>
        </w:rPr>
        <w:t>3</w:t>
      </w:r>
      <w:r>
        <w:t>. Son objeto del recurso de inconstitucionalidad, en cuyo seno se plantea este incidente, determinados preceptos de la Ley de la Asamblea de Madrid 1/2012, de 26 de marzo, relativos a la transparencia en la contratación de créditos hipotecarios en dicha Comunidad. El recurso se basa, en esencia, en que la normativa autonómica difiere notablemente de la estatal dictada en virtud de las competencias que al Estado atribuyen los arts. 149.1.6, 8, 11 y 13 CE, originando una importante disminución de las garantías de los prestatarios contempladas en la legislación estatal.</w:t>
      </w:r>
    </w:p>
    <w:p w:rsidR="00BE7FB3" w:rsidRDefault="00BE7FB3" w:rsidP="00BE7FB3">
      <w:pPr>
        <w:pStyle w:val="TextoNormal"/>
      </w:pPr>
    </w:p>
    <w:p w:rsidR="00BE7FB3" w:rsidRDefault="00BE7FB3" w:rsidP="00BE7FB3">
      <w:pPr>
        <w:pStyle w:val="TextoNormal"/>
      </w:pPr>
      <w:r>
        <w:t>En opinión de la Abogacía del Estado, el levantamiento de la suspensión produciría una ruptura del principio de unidad de mercado, al imponer a las entidades financieras que otorgan préstamos hipotecarios en la Comunidad de Madrid unos menores deberes de información que los regulados en la normativa estatal. A ello añade que se causa un perjuicio para el adecuado funcionamiento del sistema bancario, pues resulta indispensable contar con una adecuada información sobre la capacidad de solvencia del deudor hipotecario, no solo para prevenir que asuma obligaciones excesivamente gravosas, sino también para evitar riesgos de impago que hagan peligrar la estabilidad de la entidad concedente. Por otra parte, se señala que, de levantarse la suspensión, las entidades acreedoras podrían ampararse en el cumplimiento de la norma autonómica y no de la estatal y si, posteriormente se declarara la inconstitucionalidad de los preceptos impugnados, los contratos podrían llegar a estar viciados de nulidad, lo que conllevaría, a su vez, la de las cédulas hipotecarias que suelen emitir las propias entidades financieras para garantizar sus obligaciones..</w:t>
      </w:r>
    </w:p>
    <w:p w:rsidR="00BE7FB3" w:rsidRDefault="00BE7FB3" w:rsidP="00BE7FB3">
      <w:pPr>
        <w:pStyle w:val="TextoNormal"/>
      </w:pPr>
    </w:p>
    <w:p w:rsidR="00BE7FB3" w:rsidRDefault="00BE7FB3" w:rsidP="00BE7FB3">
      <w:pPr>
        <w:pStyle w:val="TextoNormal"/>
      </w:pPr>
      <w:r>
        <w:t>Por el contrario, para las representaciones de la Comunidad Autónoma y de la Asamblea, el levantamiento de la suspensión no produce perjuicio alguno en el funcionamiento del mercado bancario pues, dado que la Ley autonómica es más garantista que la estatal, la exigencia de mayores deberes de información sólo puede redundar en su mejor funcionamiento y en una ventaja para los consumidores que se beneficiarán de una información más amplia que la exigida por el derecho estatal. De existir algún potencial perjuicio, lo sería para las entidades financieras y estaría provocado por la carga de facilitar una mayor información documental a sus potenciales deudores hipotecarios, perjuicio que, en todo caso, sería de carácter económico y, por tanto, susceptible de reparación.</w:t>
      </w:r>
    </w:p>
    <w:p w:rsidR="00BE7FB3" w:rsidRDefault="00BE7FB3" w:rsidP="00BE7FB3">
      <w:pPr>
        <w:pStyle w:val="TextoNormal"/>
      </w:pPr>
    </w:p>
    <w:p w:rsidR="00BE7FB3" w:rsidRDefault="00BE7FB3" w:rsidP="00BE7FB3">
      <w:pPr>
        <w:pStyle w:val="TextoNormal"/>
      </w:pPr>
      <w:r>
        <w:t>Como ya se ha señalado, la decisión a adoptar sobre el mantenimiento o levantamiento de la suspensión no puede depender de la viabilidad de las pretensiones del recurrente. Por ello, no cabe aceptar, como pretenden los Letrados de la Comunidad de Madrid y de la Asamblea, que ningún perjuicio puede suponer para el interés general o para los intereses de los particulares o terceros el levantamiento de la suspensión, al haber sido dictada la ley autonómica dentro del ámbito de sus competencias en materia de consumidores y usuarios, para favorecer sus derechos y ampliar sus garantías. La razón es clara: para alcanzar esta conclusión tendríamos, necesariamente, que anticipar el resultado del proceso, lo que nos está vedado, de acuerdo con nuestra doctrina, en este incidente cautelar.</w:t>
      </w:r>
    </w:p>
    <w:p w:rsidR="00BE7FB3" w:rsidRDefault="00BE7FB3" w:rsidP="00BE7FB3">
      <w:pPr>
        <w:pStyle w:val="TextoNormal"/>
      </w:pPr>
    </w:p>
    <w:p w:rsidR="00BE7FB3" w:rsidRDefault="00BE7FB3" w:rsidP="00BE7FB3">
      <w:pPr>
        <w:pStyle w:val="TextoNormal"/>
      </w:pPr>
      <w:r>
        <w:t>Tampoco cabe entender, a juicio de este Tribunal Constitucional, que el levantamiento o el mantenimiento de la suspensión suponga, en todo caso, un perjuicio grave para el interés público al que sirve la unidad de mercado por obligar a las entidades de crédito a actuar de forma diferente en la Comunidad Autónoma de Madrid. La cuestión suscitada no afecta al principio de unidad de mercado, pues tan diferente resulta imponer legalmente en una determinada Comunidad Autónoma más deberes de información, que menos. El perjuicio se produce sólo en el caso de que el consumidor de préstamos hipotecarios vea disminuidas sus garantías en virtud de la legislación autonómica respecto de la estatal.</w:t>
      </w:r>
    </w:p>
    <w:p w:rsidR="00BE7FB3" w:rsidRDefault="00BE7FB3" w:rsidP="00BE7FB3">
      <w:pPr>
        <w:pStyle w:val="TextoNormal"/>
      </w:pPr>
    </w:p>
    <w:p w:rsidR="00BE7FB3" w:rsidRDefault="00BE7FB3" w:rsidP="00BE7FB3">
      <w:pPr>
        <w:pStyle w:val="TextoNormal"/>
      </w:pPr>
      <w:r>
        <w:t xml:space="preserve">Pues bien, realizadas las anteriores consideraciones, sí que debemos tener en cuenta, sin embargo, el perjuicio que podría derivarse de la merma de garantías que se imputa a los preceptos impugnados, tanto para el interés público que subyace en el correcto funcionamiento del sistema crediticio, especialmente en situaciones económicas como la actual, </w:t>
      </w:r>
      <w:r>
        <w:lastRenderedPageBreak/>
        <w:t>como para la tutela de los derechos de los deudores hipotecarios que suscriban contratos de préstamo en la Comunidad de Madrid. Sobre este particular hay que subrayar que, si este Tribunal Constitucional levantara la suspensión de la norma impugnada, dado que no existe en estos casos una previa intervención administrativa, las entidades crediticias radicadas en la Comunidad Autónoma de Madrid, en tanto el recurso de inconstitucionalidad no se resuelva, podrían aplicar tan solo la normativa autonómica, ignorando, en consecuencia, las garantías contempladas en la estatal. No cabe duda que, si posteriormente los preceptos recurridos fueran declarados inconstitucionales, podría conllevar la posterior la nulidad de los contratos que se hubieran suscrito al amparo de aquélla, con una inmediata repercusión en la conflictividad judicial y, según los casos, la irrogación de perjuicios de difícil reparación.</w:t>
      </w:r>
    </w:p>
    <w:p w:rsidR="00BE7FB3" w:rsidRDefault="00BE7FB3" w:rsidP="00BE7FB3">
      <w:pPr>
        <w:pStyle w:val="TextoNormal"/>
      </w:pPr>
    </w:p>
    <w:p w:rsidR="00BE7FB3" w:rsidRDefault="00BE7FB3" w:rsidP="00BE7FB3">
      <w:pPr>
        <w:pStyle w:val="TextoNormal"/>
      </w:pPr>
      <w:r w:rsidRPr="00BE7FB3">
        <w:rPr>
          <w:rStyle w:val="NumeroAFNegritaCaracter"/>
        </w:rPr>
        <w:t>4</w:t>
      </w:r>
      <w:r>
        <w:t>. Procederemos ahora a realizar la concreta ponderación de los perjuicios que se irrogarían a partir del mantenimiento o levantamiento de la suspensión.</w:t>
      </w:r>
    </w:p>
    <w:p w:rsidR="00BE7FB3" w:rsidRDefault="00BE7FB3" w:rsidP="00BE7FB3">
      <w:pPr>
        <w:pStyle w:val="TextoNormal"/>
      </w:pPr>
    </w:p>
    <w:p w:rsidR="00BE7FB3" w:rsidRDefault="00BE7FB3" w:rsidP="00BE7FB3">
      <w:pPr>
        <w:pStyle w:val="TextoNormal"/>
      </w:pPr>
      <w:r>
        <w:t>a) El art. 2 se impugna, como admite la Abogacía del Estado, por la definición que contiene la letra a), pues excluye de la protección que otorga la ley a aquellos prestatarios que, al momento de contratar el préstamo, lo hagan en ejercicio de su actividad empresarial o profesional.</w:t>
      </w:r>
    </w:p>
    <w:p w:rsidR="00BE7FB3" w:rsidRDefault="00BE7FB3" w:rsidP="00BE7FB3">
      <w:pPr>
        <w:pStyle w:val="TextoNormal"/>
      </w:pPr>
    </w:p>
    <w:p w:rsidR="00BE7FB3" w:rsidRDefault="00BE7FB3" w:rsidP="00BE7FB3">
      <w:pPr>
        <w:pStyle w:val="TextoNormal"/>
      </w:pPr>
      <w:r>
        <w:t>Por lo que atañe al apartado a) del art. 2, este Tribunal Constitucional comparte el argumento de la Abogacía del Estado. El levantamiento de la suspensión produciría daños, tanto para el interés público, como para los consumidores. Para el primero, porque el correcto funcionamiento del mercado crediticio se alcanza con la instrumentación de unas garantías informativas que aseguren en la medida de lo posible la solvencia de quienes de manera transparente adquieren voluntariamente obligaciones hipotecarias. Para los consumidores, por el desconocimiento que les generaría y que les impediría o al menos dificultaría defender correctamente sus derechos. Aunque no es posible afirmar desde un principio que este daño sea en todo caso irreparable, pues ello dependerá de la adecuada formación del consentimiento contractual, tampoco cabe excluir la posibilidad de daños irreparables si la falta de información redundara en la nulidad del contrato. Por el contrario, el mantenimiento de la suspensión garantiza que quienes celebran este tipo de contratos de crédito o préstamo en ejercicio de su actividad profesional o empresarial cuentan con las garantías de la legislación estatal. Del mantenimiento de la suspensión no derivaría, en definitiva, perjuicio alguno más allá del que resulta consustancial a la inaplicación de los preceptos impugnados.</w:t>
      </w:r>
    </w:p>
    <w:p w:rsidR="00BE7FB3" w:rsidRDefault="00BE7FB3" w:rsidP="00BE7FB3">
      <w:pPr>
        <w:pStyle w:val="TextoNormal"/>
      </w:pPr>
    </w:p>
    <w:p w:rsidR="00BE7FB3" w:rsidRDefault="00BE7FB3" w:rsidP="00BE7FB3">
      <w:pPr>
        <w:pStyle w:val="TextoNormal"/>
      </w:pPr>
      <w:r>
        <w:t xml:space="preserve">b) Los artículos 3, 4 y 5 de la ley impugnada regulan, respectivamente, la información previa a la oferta vinculante, la propia oferta vinculante, y la información contractual, preceptos a los que la demanda imputa una regulación mucho menos garantista que la contemplada en la legislación estatal. Así, la Orden EHA/2899/2011 y la Ley de la Asamblea de Madrid 2/2009, de 23 de junio, exigen que se proporcione, mediante la ficha de información precontractual, una información mucho más amplia y detallada a cualquier interesado que la establecida por el art. 3. Por su parte, el art. 4 ha omitido la exigencia de entregar, con carácter previo a la oferta vinculante, una ficha de información personalizada con la que se permite al consumidor comparar los préstamos disponibles en el mercado, valorar sus implicaciones y adoptar una decisión fundada sobre si debe o no suscribir el contrato, eliminando, además, de la oferta vinculante la referencia al plazo que según la legislación estatal </w:t>
      </w:r>
      <w:r>
        <w:lastRenderedPageBreak/>
        <w:t>tiene a disposición el consumidor para su análisis. Finalmente, el artículo 5 de la ley impugnada regula la información contractual, reconociendo el derecho del consumidor a examinar el proyecto de documento contractual en el despacho del Notario autorizante, pero omite el derecho a acceder al proyecto de escritura pública de formalización, de manera que el consumidor podría verse sorprendido en el propio despacho del Notario y hallarse ante un proyecto de escritura que no se corresponda en todos sus términos con el proyecto de documentación. Como en el supuesto anterior, del levantamiento de la suspensión se derivaría un perjuicio, tanto para el interés público en el correcto funcionamiento del mercado crediticio como para los intereses de los usuarios de este tipo de servicios financieros, que podría llegar a convertirse en irreparable si llegara a suponer la nulidad del contrato. Del mantenimiento de la suspensión no derivaría, sin embargo, perjuicio irreversible alguno, pues quedaría asegurada en todo caso la aplicación de las garantías comunes de la legislación estatal.</w:t>
      </w:r>
    </w:p>
    <w:p w:rsidR="00BE7FB3" w:rsidRDefault="00BE7FB3" w:rsidP="00BE7FB3">
      <w:pPr>
        <w:pStyle w:val="TextoNormal"/>
      </w:pPr>
    </w:p>
    <w:p w:rsidR="00BE7FB3" w:rsidRDefault="00BE7FB3" w:rsidP="00BE7FB3">
      <w:pPr>
        <w:pStyle w:val="TextoNormal"/>
      </w:pPr>
      <w:r>
        <w:t>En cualquier caso, los perjuicios acreditados por la Abogacía de Estado que derivarían del levantamiento de la suspensión, afectarían con carácter general a todo el precepto, en la medida en que éste habría eliminado la garantía de la consulta de la escritura pública, razón por la cual no procede limitar la suspensión, como suplica el Letrado de la Comunidad Autónoma, al primer apartado del art. 5.</w:t>
      </w:r>
    </w:p>
    <w:p w:rsidR="00BE7FB3" w:rsidRDefault="00BE7FB3" w:rsidP="00BE7FB3">
      <w:pPr>
        <w:pStyle w:val="TextoNormal"/>
      </w:pPr>
    </w:p>
    <w:p w:rsidR="00BE7FB3" w:rsidRDefault="00BE7FB3" w:rsidP="00BE7FB3">
      <w:pPr>
        <w:pStyle w:val="TextoNormal"/>
      </w:pPr>
      <w:r>
        <w:t>c) Los arts. 7, 8 y 9 contienen una serie de prescripciones relativas a la potestad sancionadora, a las infracciones en materia de información al consumidor, y a las sanciones, que se consideran contrarias al régimen sancionador previsto en el art. 14 orden EHA/2899/2011. Entiende la Abogacía del Estado que el levantamiento de la suspensión de estos preceptos podría ocasionar dos vulneraciones de los derechos fundamentales. De un lado, al establecerse por la ley autonómica la competencia para sancionar las infracciones en materia de información al consumidor y no limitarlas a las de la legislación de desarrollo, cabría que tanto el Estado como la Comunidad Autónoma sancionaran por la comisión de una misma infracción. De otra, la imposición de una sanción por la Administración autonómica supondría la nulidad de la impuesta por una administración no competente, produciéndose los correspondientes perjuicios para terceros.</w:t>
      </w:r>
    </w:p>
    <w:p w:rsidR="00BE7FB3" w:rsidRDefault="00BE7FB3" w:rsidP="00BE7FB3">
      <w:pPr>
        <w:pStyle w:val="TextoNormal"/>
      </w:pPr>
    </w:p>
    <w:p w:rsidR="00BE7FB3" w:rsidRDefault="00BE7FB3" w:rsidP="00BE7FB3">
      <w:pPr>
        <w:pStyle w:val="TextoNormal"/>
      </w:pPr>
      <w:r>
        <w:t>Teniendo en cuenta que, conforme a lo establecido en los apartados anteriores, procede mantener la suspensión del ámbito subjetivo de aplicación de la norma en cuanto a la definición de los consumidores o clientes de estos servicios financieros que se verían afectados y de las obligaciones de información, cuyo incumplimiento constituiría la conducta tipificada como infracción que podría conllevar las sanciones reguladas en los preceptos impugnados, debemos también mantener la suspensión en relación con los arts. 7, 8 y 9 de la ley impugnada, que desempeñan una función puramente instrumental de la regulación que se mantiene suspendida.</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Mantener la suspensión de los arts. 2, 3, 4, 5, 7, 8 y 9 de la Ley de la Asamblea de Madrid, 1/2012, de 26 de marzo, para la protección de los derechos de los consumidores mediante el fomento de la transparencia en la contratación hipotecaria en la Comunidad de Madrid.</w:t>
      </w:r>
    </w:p>
    <w:p w:rsidR="00BE7FB3" w:rsidRDefault="00BE7FB3" w:rsidP="00BE7FB3">
      <w:pPr>
        <w:pStyle w:val="TextoNormal"/>
      </w:pPr>
    </w:p>
    <w:p w:rsidR="00BE7FB3" w:rsidRDefault="00BE7FB3" w:rsidP="00BE7FB3">
      <w:pPr>
        <w:pStyle w:val="TextoNormal"/>
      </w:pPr>
      <w:r>
        <w:lastRenderedPageBreak/>
        <w:t>Madrid, a veintiuno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66" w:name="AUTO_2013_125"/>
      <w:r>
        <w:lastRenderedPageBreak/>
        <w:t>AUTO 125/2013, de 21 de mayo de 2013</w:t>
      </w:r>
    </w:p>
    <w:bookmarkEnd w:id="266"/>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ECLI:ES:TC:2013:125A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Inadmite a trámite la cuestión de inconstitucionalidad 518-2013, planteada por la Sección Cuarta de la Sala de lo Contencioso-Administrativo del Tribunal Superior de Justicia de Cataluña, en relación con la disposición transitoria novena, segundo inciso, de la Ley del Parlamento de Cataluña 5/2012, de 20 de marzo, de medidas fiscales, financieras y administrativas y de creación del impuesto sobre las estancias en establecimientos turísticos.</w:t>
      </w:r>
    </w:p>
    <w:p w:rsidR="00BE7FB3" w:rsidRDefault="00BE7FB3" w:rsidP="00BE7FB3">
      <w:pPr>
        <w:pStyle w:val="SntesisDescriptiva"/>
      </w:pPr>
    </w:p>
    <w:p w:rsidR="00BE7FB3" w:rsidRDefault="00BE7FB3" w:rsidP="00BE7FB3">
      <w:pPr>
        <w:pStyle w:val="SntesisAnaltica"/>
      </w:pPr>
      <w:r>
        <w:t>Cataluña: competencias en materia de función pública. Competencias del Estado: régimen estatutario de los funcionarios públicos. Inadmisión de cuestión de inconstitucionalidad: inadmisión de cuestión de inconstitucionalidad por falta de requisitos procesales. Jubilación forzosa: funcionarios públicos. Legislación básica: potestad legislativa del Estado. Personal al servicio de las Administraciones públicas: personal estatutario de los servicios de salud.</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 Mediante escrito registrado en este Tribunal el día 29 de enero de 2013, al que se acompaña el correspondiente Auto de 19 de diciembre de 2012, la Sección Cuarta de la Sala de lo Contencioso-Administrativo del Tribunal Superior de Justicia de Cataluña plantea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posible vulneración del art. 149.1.18 CE en relación con lo dispuesto en el art. 26.2 de la Ley 55/2003, de 16 de diciembre, por la que se aprueba el estatuto marco del personal estatutario de los servicios de salud.</w:t>
      </w:r>
    </w:p>
    <w:p w:rsidR="00BE7FB3" w:rsidRDefault="00BE7FB3" w:rsidP="00BE7FB3">
      <w:pPr>
        <w:pStyle w:val="TextoNormal"/>
      </w:pPr>
    </w:p>
    <w:p w:rsidR="00BE7FB3" w:rsidRDefault="00BE7FB3" w:rsidP="00BE7FB3">
      <w:pPr>
        <w:pStyle w:val="TextoNormal"/>
      </w:pPr>
      <w:r w:rsidRPr="00BE7FB3">
        <w:rPr>
          <w:rStyle w:val="NumeroAFNegritaCaracter"/>
        </w:rPr>
        <w:t>2</w:t>
      </w:r>
      <w:r>
        <w:t>. Los antecedentes de la cuestión son los siguientes:</w:t>
      </w:r>
    </w:p>
    <w:p w:rsidR="00BE7FB3" w:rsidRDefault="00BE7FB3" w:rsidP="00BE7FB3">
      <w:pPr>
        <w:pStyle w:val="TextoNormal"/>
      </w:pPr>
    </w:p>
    <w:p w:rsidR="00BE7FB3" w:rsidRDefault="00BE7FB3" w:rsidP="00BE7FB3">
      <w:pPr>
        <w:pStyle w:val="TextoNormal"/>
      </w:pPr>
      <w:r>
        <w:t xml:space="preserve">a) El recurrente en el proceso </w:t>
      </w:r>
      <w:r w:rsidRPr="00BE7FB3">
        <w:rPr>
          <w:i/>
        </w:rPr>
        <w:t>a quo</w:t>
      </w:r>
      <w:r>
        <w:t xml:space="preserve">, médico con nombramiento estatutario fijo solicitó antes de cumplir la edad de 65 años, la autorización para poder prolongar su permanencia en el servicio activo, al amparo del art. 26.2 de la Ley 55/2003, de 16 de diciembre, por la que se aprueba el estatuto marco del personal estatutario de los servicios de salud. Solicitud </w:t>
      </w:r>
      <w:r>
        <w:lastRenderedPageBreak/>
        <w:t>que fue denegada por el Director-Gerente del Instituto Catalán de Salud, denegación confirmada mediante desestimación expresa del recurso de reposición interpuesto por el interesado.</w:t>
      </w:r>
    </w:p>
    <w:p w:rsidR="00BE7FB3" w:rsidRDefault="00BE7FB3" w:rsidP="00BE7FB3">
      <w:pPr>
        <w:pStyle w:val="TextoNormal"/>
      </w:pPr>
    </w:p>
    <w:p w:rsidR="00BE7FB3" w:rsidRDefault="00BE7FB3" w:rsidP="00BE7FB3">
      <w:pPr>
        <w:pStyle w:val="TextoNormal"/>
      </w:pPr>
      <w:r>
        <w:t>b) Contra ambas resoluciones se interpuso, en tiempo y forma, recurso contencioso-administrativo, solicitándose en el otrosí la medida cautelar de suspensión de la ejecutividad de la resolución recurrida a fin de permitir al recurrente continuar en el servicio activo. Mediante Auto de 27 de junio de 2011, confirmado por otro posterior de 20 de septiembre de 2011, la Sección Cuarta de la Sala de lo Contencioso-Administrativo del Tribunal Superior de Justicia de Cataluña acordó suspender la ejecución de la resolución administrativa impugnada y, en consecuencia, autorizar al recurrente a continuar en el desempeño del puesto que ocupaba.</w:t>
      </w:r>
    </w:p>
    <w:p w:rsidR="00BE7FB3" w:rsidRDefault="00BE7FB3" w:rsidP="00BE7FB3">
      <w:pPr>
        <w:pStyle w:val="TextoNormal"/>
      </w:pPr>
    </w:p>
    <w:p w:rsidR="00BE7FB3" w:rsidRDefault="00BE7FB3" w:rsidP="00BE7FB3">
      <w:pPr>
        <w:pStyle w:val="TextoNormal"/>
      </w:pPr>
      <w:r>
        <w:t>c) Mediante resolución de 24 de abril de 2012 el Director Gerente del Instituto Catalán de Salud acordó resolver la autorización de prolongación del servicio activo y declarar la jubilación forzosa del recurrente con efectos de 30 de abril de 2012, al amparo de lo establecido en la disposición transitoria novena, segundo inciso, de la Ley del Parlamento de Cataluña 5/2012, de 20 de marzo, de medidas fiscales, financieras y administrativas y de creación del impuesto sobre las estancias en establecimientos turísticos. Planteada demanda incidental solicitando la nulidad de dicha resolución administrativa, la misma fue estimada por Auto de 21 de junio de 2012, confirmado por otro posterior de 20 de julio de 2012, que no sólo declaró la nulidad de la resolución de 24 de abril de 2012 sino que, a instancia del Instituto Catalán de Salud, tuvo por formulada solicitud de modificación de las medidas cautelares inicialmente adoptadas.</w:t>
      </w:r>
    </w:p>
    <w:p w:rsidR="00BE7FB3" w:rsidRDefault="00BE7FB3" w:rsidP="00BE7FB3">
      <w:pPr>
        <w:pStyle w:val="TextoNormal"/>
      </w:pPr>
    </w:p>
    <w:p w:rsidR="00BE7FB3" w:rsidRDefault="00BE7FB3" w:rsidP="00BE7FB3">
      <w:pPr>
        <w:pStyle w:val="TextoNormal"/>
      </w:pPr>
      <w:r>
        <w:t>d) Pendiente de resolver el citado incidente de modificación de las medidas cautelares el órgano judicial dictó una providencia el 13 de septiembre de 2012 por la que se confiere a las partes y al Ministerio Fiscal la posibilidad de formular alegaciones sobre la conveniencia de plantear cuestión de inconstitucionalidad, atendida la distribución competencial de los arts. 149.1.18, 17, 16 y 13 CE, pues es relevante para la resolución sobre la modificación de la medida cautelar solicitada determinar si debe prevalecer la disposición transitoria novena de la Ley del Parlamento de Cataluña 5/2012 (interpretada en la misma línea que la disposición adicional decimotercera de la misma norma) o el art. 26.2 de la Ley 55/2003, que tiene carácter básico y que es la que propugna el recurrente, “en tanto que la redacción de aquella norma autonómica no es coincidente con la norma básica estatal”. Igualmente, “teniendo en cuanta la incidencia de la planificación de la jubilación que afecta tanto a la planificación general de la actividad económica, por ser las retribuciones de los funcionarios en activo un gasto de personal, como a la caja única de la seguridad social, a partir del momento en que se declara la jubilación del personal estatutario —en este caso forzosa— y partiendo de que el desarrollo normativo de las leyes básicas ha de ser acorde con las mismas, procede también conceder la misma audiencia de diez días al Abogado del Estado y al Letrado de la Seguridad Social, a fin de que puedan alegar lo que deseen sobre la pertinencia o no de plantear la cuestión de inconstitucionalidad”. La anterior providencia fue complementada por otra de 26 de noviembre de 2012 por la que se acuerda notificar la providencia anterior al Letrado de la Generalitat de Cataluña, con reapertura del plazo inicialmente concedido a todas las partes para formular alegaciones.</w:t>
      </w:r>
    </w:p>
    <w:p w:rsidR="00BE7FB3" w:rsidRDefault="00BE7FB3" w:rsidP="00BE7FB3">
      <w:pPr>
        <w:pStyle w:val="TextoNormal"/>
      </w:pPr>
      <w:r>
        <w:t xml:space="preserve"> </w:t>
      </w:r>
    </w:p>
    <w:p w:rsidR="00BE7FB3" w:rsidRDefault="00BE7FB3" w:rsidP="00BE7FB3">
      <w:pPr>
        <w:pStyle w:val="TextoNormal"/>
      </w:pPr>
      <w:r>
        <w:lastRenderedPageBreak/>
        <w:t xml:space="preserve">La parte actora solicitó el planteamiento de la cuestión de inconstitucionalidad y en el mismo sentido se pronunciaron el Ministerio Fiscal y el Letrado de la Seguridad Social. Por el contrario, el Instituto Catalán de la Salud, el Abogado del Estado y la Abogada de la Generalitat de Cataluña se opusieron al planteamiento de la cuestión de inconstitucionalidad. </w:t>
      </w:r>
    </w:p>
    <w:p w:rsidR="00BE7FB3" w:rsidRDefault="00BE7FB3" w:rsidP="00BE7FB3">
      <w:pPr>
        <w:pStyle w:val="TextoNormal"/>
      </w:pPr>
    </w:p>
    <w:p w:rsidR="00BE7FB3" w:rsidRDefault="00BE7FB3" w:rsidP="00BE7FB3">
      <w:pPr>
        <w:pStyle w:val="TextoNormal"/>
      </w:pPr>
      <w:r>
        <w:t>e) El órgano judicial dictó Auto de 19 de diciembre de 2012 por el que acuerda plantear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entender que no respeta la normativa básica estatal dictada al amparo del art. 149.1.18 de la Constitución, en concreto el art. 26.2 de la Ley 55/2003, de 16 de diciembre, por la que se aprueba el Estatuto Marco de los Servicios de Salud”.</w:t>
      </w:r>
    </w:p>
    <w:p w:rsidR="00BE7FB3" w:rsidRDefault="00BE7FB3" w:rsidP="00BE7FB3">
      <w:pPr>
        <w:pStyle w:val="TextoNormal"/>
      </w:pPr>
    </w:p>
    <w:p w:rsidR="00BE7FB3" w:rsidRDefault="00BE7FB3" w:rsidP="00BE7FB3">
      <w:pPr>
        <w:pStyle w:val="TextoNormal"/>
      </w:pPr>
      <w:r w:rsidRPr="00BE7FB3">
        <w:rPr>
          <w:rStyle w:val="NumeroAFNegritaCaracter"/>
        </w:rPr>
        <w:t>3</w:t>
      </w:r>
      <w:r>
        <w:t>. En cuanto al contenido del Auto de promoción importa destacar lo siguiente:</w:t>
      </w:r>
    </w:p>
    <w:p w:rsidR="00BE7FB3" w:rsidRDefault="00BE7FB3" w:rsidP="00BE7FB3">
      <w:pPr>
        <w:pStyle w:val="TextoNormal"/>
      </w:pPr>
    </w:p>
    <w:p w:rsidR="00BE7FB3" w:rsidRDefault="00BE7FB3" w:rsidP="00BE7FB3">
      <w:pPr>
        <w:pStyle w:val="TextoNormal"/>
      </w:pPr>
      <w:r>
        <w:t>Tras exponer los hechos de los que trae causa la presente cuestión el órgano judicial formula el juicio de relevancia señalando que el debate trabado tiene su razón de ser en el incidente de modificación de medidas cautelares promovido por el Instituto Catalán de Salud. Respecto a la posibilidad de plantear una cuestión de inconstitucionalidad en este momento procesal el Auto alude a la doctrina del ATC 467/2007 que entiende aquí de aplicación. Señala que, en este caso, concurre la circunstancia de que la norma cuestionada afecta al caso, ya que, por un lado, la decisión del Instituto Catalán de la Salud, revocando la inicial medida cautelar, se acordó en cumplimiento de lo dispuesto en la norma que se cuestiona y, por otro, la resolución del incidente de modificación de medidas cautelares planteado por el Instituto Catalán de Salud, se basa en la aplicación de la disposición transitoria novena, segundo inciso, de la Ley del Parlamento de Cataluña 5/2012, en cuanto que se trata de una norma imperativa y de obligado cumplimiento para todas las autorizaciones ya concedidas.</w:t>
      </w:r>
    </w:p>
    <w:p w:rsidR="00BE7FB3" w:rsidRDefault="00BE7FB3" w:rsidP="00BE7FB3">
      <w:pPr>
        <w:pStyle w:val="TextoNormal"/>
      </w:pPr>
    </w:p>
    <w:p w:rsidR="00BE7FB3" w:rsidRDefault="00BE7FB3" w:rsidP="00BE7FB3">
      <w:pPr>
        <w:pStyle w:val="TextoNormal"/>
      </w:pPr>
      <w:r>
        <w:t>Seguidamente se descarta la alegación del Instituto Catalán de Salud en relación con el indeseable efecto de paralización de otros procesos que podría provocar la admisión a trámite de la presente cuestión de inconstitucionalidad, pues la doctrina citada se refiere a los casos en los que el Tribunal Constitucional estima que una cuestión de inconstitucionalidad es manifiestamente infundada. Igualmente rechaza que la decisión del órgano judicial de dar audiencia previa no sólo a las partes y al Ministerio Fiscal sino también al Letrado de la Seguridad Social y al Abogado del Estado y al de la Generalitat de Cataluña haya provocado indefensión alguna o infracción del trámite del art. 35.2 de la Ley Orgánica del Tribunal Constitucional (LOTC).</w:t>
      </w:r>
    </w:p>
    <w:p w:rsidR="00BE7FB3" w:rsidRDefault="00BE7FB3" w:rsidP="00BE7FB3">
      <w:pPr>
        <w:pStyle w:val="TextoNormal"/>
      </w:pPr>
    </w:p>
    <w:p w:rsidR="00BE7FB3" w:rsidRDefault="00BE7FB3" w:rsidP="00BE7FB3">
      <w:pPr>
        <w:pStyle w:val="TextoNormal"/>
      </w:pPr>
      <w:r>
        <w:t xml:space="preserve">En cuanto a la duda de constitucionalidad entiende la Sala que el título competencial prevalente en esta materia es el art. 149.1.18 CE que atribuye al Estado la competencia exclusiva para establecer las bases del régimen estatutario de los funcionarios públicos, pues, aunque se trate de una norma con proyección en la planificación de la actividad económica, en la caja única de la Seguridad Social y en el ámbito de la Administración sanitaria, es incuestionable que, con mayor relevancia, repercute en el ámbito del personal estatutario, personal que, conforme con la doctrina del Tribunal Supremo que cita, ha de entenderse equiparado a los funcionarios públicos. Transcribe el Auto a continuación los preceptos </w:t>
      </w:r>
      <w:r>
        <w:lastRenderedPageBreak/>
        <w:t>legales que han entrado en conflicto, el art. 26.2 de la Ley 55/2003 y la disposición transitoria novena, segundo inciso, de la Ley del Parlamento de Cataluña 5/2012, precepto éste último con el que guarda directa relación la disposición adicional decimotercera de la misma Ley, en cuanto que se refiere a la jubilación forzosa del personal del Instituto Catalán de la Salud.</w:t>
      </w:r>
    </w:p>
    <w:p w:rsidR="00BE7FB3" w:rsidRDefault="00BE7FB3" w:rsidP="00BE7FB3">
      <w:pPr>
        <w:pStyle w:val="TextoNormal"/>
      </w:pPr>
    </w:p>
    <w:p w:rsidR="00BE7FB3" w:rsidRDefault="00BE7FB3" w:rsidP="00BE7FB3">
      <w:pPr>
        <w:pStyle w:val="TextoNormal"/>
      </w:pPr>
      <w:r>
        <w:t>Menciona a continuación la doctrina del Tribunal Supremo según la cual el personal estatutario, al igual que ocurre con el resto de los funcionarios públicos, no tiene un derecho incondicionado a prolongar voluntariamente el servicio activo tras alcanzar la edad ordinaria de jubilación forzosa (65 años). Para que tal prolongación (hasta los 70 años como máximo) se produzca es necesario, además de la capacidad funcional para el desempeño del cargo o plaza y la previa solicitud, que la misma sea autorizada por el Servicio de Salud correspondiente, en función de las necesidades de la organización articuladas “en el marco de los planes de ordenación de recursos humanos”. Señala también el Auto de planteamiento, aludiendo a la doctrina del Tribunal Supremo, que estamos ante un derecho subjetivo del funcionario pero que no le es reconocido de manera absoluta sino condicionado a que las necesidades organizativas de la Administración hagan posible su ejercicio, recayendo sobre dicha Administración la carga de justificar esas necesidades organizativas.</w:t>
      </w:r>
    </w:p>
    <w:p w:rsidR="00BE7FB3" w:rsidRDefault="00BE7FB3" w:rsidP="00BE7FB3">
      <w:pPr>
        <w:pStyle w:val="TextoNormal"/>
      </w:pPr>
    </w:p>
    <w:p w:rsidR="00BE7FB3" w:rsidRDefault="00BE7FB3" w:rsidP="00BE7FB3">
      <w:pPr>
        <w:pStyle w:val="TextoNormal"/>
      </w:pPr>
      <w:r>
        <w:t xml:space="preserve">El Auto se refiere seguidamente a las competencias autonómicas en la materia, reconocidas en el art. 136 a) y b) del Estatuto de Autonomía de Cataluña (EAC), que han de interpretarse de conformidad con la STC 31/2010, de 28 de junio, FJ 82, así como a la doctrina de la STC 172/1996, de 31 de octubre, para indicar que la duda de constitucionalidad que plantea no se refiere a la falta de concordancia literal de las normas estatales y autonómicas, sino a la razón de fondo por la cual el órgano judicial entiende que la norma autonómica “pudiera no respetar el sentido y alcance que se desprenden del contexto sistemático y de la finalidad como norma básica”. Añade el órgano judicial que no se cuestiona la competencia de la Generalitat para legislar en materia de función pública, atendiendo a sus propios intereses, sino averiguar si tales intereses tienen o no cabida en los que persigue la norma básica. En ese sentido el órgano judicial indica que una comparación del texto de la Ley 55/2003 y de la disposición transitoria novena evidencia, de entrada, que esta norma autonómica ha eliminado la referencia al plan de ordenación de recursos humanos, instrumento definido en los arts. 13 y concordantes de la Ley 55/2003. Descarta la Sala al respecto que, frente a lo alegado por el Instituto Catalán de la Salud, sea de aplicación lo dispuesto en el art. 67.3 del Estatuto básico del empleado público por la especificidad, tanto del art. 26.2 de la Ley 55/2003 como del propio personal estatutario y de la regulación de los servicios sanitarios autonómicos, señalando que la clave reside en que la exigencia de que la denegación o autorización de la prolongación del servicio activo se haga “en función de las necesidades de la organización articuladas en el marco de los planes de ordenación de los recursos humanos” haya sido respetada por la normativa autonómica. Comparando la redacción del precepto cuestionado con la del art. 26.2 de la Ley 55/2003 el Auto llega a la conclusión que la norma cuestionada convierte en excepcional lo que en el art. 26.2 es norma general o derecho subjetivo para admitir la prórroga del personal en dos casos, de los que considera relevante el segundo (cuando “el Consejo de Administración del Instituto Catalán de la Salud considere que es preciso mantener las autorizaciones vigentes por causas derivadas de la planificación y racionalización de los recursos humanos”) límite relativo a la planificación de los recursos humanos para lo que hay que valorar todo un conjunto de elementos </w:t>
      </w:r>
      <w:r>
        <w:lastRenderedPageBreak/>
        <w:t xml:space="preserve">con el fin de adecuar las dotaciones de personal a las necesidades asistenciales o de prestación del servicio sanitario a la población. </w:t>
      </w:r>
    </w:p>
    <w:p w:rsidR="00BE7FB3" w:rsidRDefault="00BE7FB3" w:rsidP="00BE7FB3">
      <w:pPr>
        <w:pStyle w:val="TextoNormal"/>
      </w:pPr>
    </w:p>
    <w:p w:rsidR="00BE7FB3" w:rsidRDefault="00BE7FB3" w:rsidP="00BE7FB3">
      <w:pPr>
        <w:pStyle w:val="TextoNormal"/>
      </w:pPr>
      <w:r>
        <w:t>En definitiva el Auto estima que la Ley 55/2003 exige por razones de legalidad y seguridad jurídica que cualquier organización y racionalización de recursos humanos obedezca a un instrumento, el plan de ordenación de recursos humanos, que no sólo es la herramienta que garantiza una organización racional y eficiente, sino que también justifica, en lo que ahora interesa, la autorización o denegación de la prórroga en el servicio activo de aquel personal que pretenda ejercer este derecho subjetivo reconocido en el art. 26.2 de la Ley 55/2003. Distinto es el tenor de la disposición transitoria novena de la Ley del Parlamento de Cataluña 5/2012, en tanto que se refiere a una eventual autorización que ha de ser consecuencia de una actividad de planificación y organización de recursos humanos, pero omite la mención a los planes de ordenación de los recursos humanos que son los que establecen las directrices para organizar el servicio público sanitario, omisión que viene confirmada por la aplicación que la Administración ha hecho de la disposición cuestionada. Alude el Auto a la regulación de la Ley 55/2003 en relación con los planes de ordenación de los recursos humanos para reiterar que, frente a ello, la norma cuestionada se remite a unos conceptos y causas ambiguos e indefinidos, pues no resulta expresivo que sean derivadas de la “planificación y racionalización de recursos humanos” y pueden responder a otros intereses distintos de aquellos que permiten conciliar el derecho subjetivo del funcionario a permanecer en el servicio activo con la necesidad de la organización asistencial, que es la finalidad perseguida por el art. 26.2 de la Ley 55/2003. Al mismo tiempo, contiene una norma temporal y excepcional que limita la prolongación en el servicio activo.</w:t>
      </w:r>
    </w:p>
    <w:p w:rsidR="00BE7FB3" w:rsidRDefault="00BE7FB3" w:rsidP="00BE7FB3">
      <w:pPr>
        <w:pStyle w:val="TextoNormal"/>
      </w:pPr>
    </w:p>
    <w:p w:rsidR="00BE7FB3" w:rsidRDefault="00BE7FB3" w:rsidP="00BE7FB3">
      <w:pPr>
        <w:pStyle w:val="TextoNormal"/>
      </w:pPr>
      <w:r>
        <w:t>Tras hacer mención a la Sentencia del Tribunal Supremo de 10 de marzo de 2010 en la que se descartó la adopción como doctrina legal del criterio propuesto por el Instituto Catalán de Salud en el sentido de que la existencia del plan de ordenación era solamente exigible para acordar la prórroga, no para su denegación, señala que, aún en el caso de que la actividad administrativa que impone la disposición transitoria novena de la Ley del Parlamento de Cataluña 5/2012 se amparase en la potestad organizativa, constituiría un exceso completamente injustificado en atención a la realidad y presupuesto de la acción jurisdiccional ejercitada, teniendo en cuenta que afecta también a un derecho subjetivo esencial de la relación funcionarial como es la pérdida de la condición de funcionario. En este sentido, la Sala promotora de la cuestión entiende que la norma básica estatal únicamente permite el ejercicio de la actividad discrecional en la elaboración del plan de ordenación de recursos humanos, lo que le lleva a rechazar de forma absoluta que el problema planteado pueda ser resuelto por vía interpretativa, dados los términos y finalidad de la disposición cuestionada que no casan con los términos y la finalidad del art. 26.2 de la Ley 55/2003, y en la medida en que la aplicación de uno de estos preceptos excluye la aplicación del otro.</w:t>
      </w:r>
    </w:p>
    <w:p w:rsidR="00BE7FB3" w:rsidRDefault="00BE7FB3" w:rsidP="00BE7FB3">
      <w:pPr>
        <w:pStyle w:val="TextoNormal"/>
      </w:pPr>
    </w:p>
    <w:p w:rsidR="00BE7FB3" w:rsidRDefault="00BE7FB3" w:rsidP="00BE7FB3">
      <w:pPr>
        <w:pStyle w:val="TextoNormal"/>
      </w:pPr>
      <w:r>
        <w:t xml:space="preserve">Concluye el Auto afirmando el órgano judicial que la norma cuestionada es aplicable al incidente de modificación de las medidas cautelares, al contener una norma transitoria desee el momento de su entrada en vigor y hasta que transcurra el período de tres años, lo que también afectará a la sentencia que pueda recaer en el proceso </w:t>
      </w:r>
      <w:r w:rsidRPr="00BE7FB3">
        <w:rPr>
          <w:i/>
        </w:rPr>
        <w:t>a quo</w:t>
      </w:r>
      <w:r>
        <w:t>.</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Por providencia de la Sección Cuarta de este Tribunal, de fecha 26 de febrero de 2013, se acordó, a los efectos que determina el art. 37.1 LOTC, oír al Fiscal General del Estado </w:t>
      </w:r>
      <w:r>
        <w:lastRenderedPageBreak/>
        <w:t>para que, en el plazo de diez días, alegara lo que considerara conveniente acerca de la admisibilidad de la presente cuestión de inconstitucionalidad, por si fuese notoriamente infundada.</w:t>
      </w:r>
    </w:p>
    <w:p w:rsidR="00BE7FB3" w:rsidRDefault="00BE7FB3" w:rsidP="00BE7FB3">
      <w:pPr>
        <w:pStyle w:val="TextoNormal"/>
      </w:pPr>
    </w:p>
    <w:p w:rsidR="00BE7FB3" w:rsidRDefault="00BE7FB3" w:rsidP="00BE7FB3">
      <w:pPr>
        <w:pStyle w:val="TextoNormal"/>
      </w:pPr>
      <w:r w:rsidRPr="00BE7FB3">
        <w:rPr>
          <w:rStyle w:val="NumeroAFNegritaCaracter"/>
        </w:rPr>
        <w:t>5</w:t>
      </w:r>
      <w:r>
        <w:t xml:space="preserve">. El 22 de marzo de 2013 el Fiscal General del Estado presentó su escrito de alegaciones sugiriendo la inadmisión a trámite de la cuestión de inconstitucionalidad por entender que la norma cuestionada no sería aplicable al objeto del proceso y que carecen manifiestamente de fundamento las dudas suscitadas por el órgano judicial que la ha promovido. </w:t>
      </w:r>
    </w:p>
    <w:p w:rsidR="00BE7FB3" w:rsidRDefault="00BE7FB3" w:rsidP="00BE7FB3">
      <w:pPr>
        <w:pStyle w:val="TextoNormal"/>
      </w:pPr>
    </w:p>
    <w:p w:rsidR="00BE7FB3" w:rsidRDefault="00BE7FB3" w:rsidP="00BE7FB3">
      <w:pPr>
        <w:pStyle w:val="TextoNormal"/>
      </w:pPr>
      <w:r>
        <w:t>Tras recoger los antecedentes de hecho de la cuestión planteada, el tenor literal del precepto cuestionado y el de la norma estatal que se reputa infringida, hace referencia al contenido del Auto de planteamiento así como al cumplimiento de las condiciones procesales exigidas por el art. 35.2 LOTC, salvo lo referente al momento procesal en que se plantea la cuestión cuyo examen deja para un momento posterior, y, así, entiende que el órgano judicial ha fijado el precepto legal aplicable sobre el que alberga dudas de constitucionalidad, con expresión de sus razones y ha dado audiencia a las partes y al Ministerio Fiscal.</w:t>
      </w:r>
    </w:p>
    <w:p w:rsidR="00BE7FB3" w:rsidRDefault="00BE7FB3" w:rsidP="00BE7FB3">
      <w:pPr>
        <w:pStyle w:val="TextoNormal"/>
      </w:pPr>
    </w:p>
    <w:p w:rsidR="00BE7FB3" w:rsidRDefault="00BE7FB3" w:rsidP="00BE7FB3">
      <w:pPr>
        <w:pStyle w:val="TextoNormal"/>
      </w:pPr>
      <w:r>
        <w:t xml:space="preserve">Alude a continuación el Ministerio público a la doctrina constitucional sobre el carácter manifiestamente infundado de las cuestiones de inconstitucionalidad señalando que en el presente caso el razonamiento que fundamenta el planteamiento de la cuestión permite apreciar que la duda de constitucionalidad se basa en una interpretación errónea de la misma o que la norma no es aplicable para la resolución de la controversia controvertida en el proceso contencioso administrativo que ha dado lugar al planteamiento de la cuestión de inconstitucionalidad. Señala que, previamente, a esta cuestión ha de analizarse la temporaniedad del planteamiento pues se ha planteado en un momento anterior al de dictar Sentencia, con ocasión de la solicitud por el Instituto Catalán de la Salud de la modificación de una medida cautelar adoptada previamente por el órgano judicial. Concluye, tras hacer referencia a lo dispuesto en el art. 35.2 LOTC, que la resolución de la pieza separada de medidas cautelares no es una decisión de mero trámite, sino que afecta al proceso principal y tiene sustantividad propia respecto de éste, por lo que puede aceptarse que el momento procesal elegido por el órgano judicial para el planteamiento de la cuestión es el adecuado.  </w:t>
      </w:r>
    </w:p>
    <w:p w:rsidR="00BE7FB3" w:rsidRDefault="00BE7FB3" w:rsidP="00BE7FB3">
      <w:pPr>
        <w:pStyle w:val="TextoNormal"/>
      </w:pPr>
    </w:p>
    <w:p w:rsidR="00BE7FB3" w:rsidRDefault="00BE7FB3" w:rsidP="00BE7FB3">
      <w:pPr>
        <w:pStyle w:val="TextoNormal"/>
      </w:pPr>
      <w:r>
        <w:t>Para el Fiscal General del Estado la duda de constitucionalidad que se plantea no es otra cosa que una posible interpretación de la legalidad ordinaria en materia de autorización o denegación de prolongaciones en el servicio activo del personal estatutario del Instituto Catalán de Salud, por cuanto la norma autonómica no respetaría la finalidad y presupuestos señalados en la base estatal, constituida por el art. 26.2 de la Ley 55/2003, de 16 de diciembre, por la que se aprueba el estatuto marco del personal estatutario de los servicios de salud, para resolver las peticiones de prolongación del servicio activo una vez alcanzada la edad de jubilación a los 65 años. A juicio de la Sala cuestionante la ausencia en la disposición cuestionada de referencia alguna al plan de ordenación de recursos humanos impide que la resolución administrativa que pueda recaer pueda fundarse en motivos incluidos en el mencionado plan, obviando así el criterio que, conforme a la base estatal, ha de servir de guía a la respuesta de la Administración.</w:t>
      </w:r>
    </w:p>
    <w:p w:rsidR="00BE7FB3" w:rsidRDefault="00BE7FB3" w:rsidP="00BE7FB3">
      <w:pPr>
        <w:pStyle w:val="TextoNormal"/>
      </w:pPr>
    </w:p>
    <w:p w:rsidR="00BE7FB3" w:rsidRDefault="00BE7FB3" w:rsidP="00BE7FB3">
      <w:pPr>
        <w:pStyle w:val="TextoNormal"/>
      </w:pPr>
      <w:r>
        <w:t xml:space="preserve">El Fiscal General del Estado señala que en el presente caso nos hallamos ante un supuesto de inconstitucionalidad mediata o indirecta, debiendo compartirse con el órgano judicial el carácter básico de la norma estatal con la cual, a juicio del mismo, entraría en contradicción </w:t>
      </w:r>
      <w:r>
        <w:lastRenderedPageBreak/>
        <w:t>la norma autonómica. En este sentido, cita la doctrina constitucional de las SSTC 1/2003 y 31/2010, señalando que el Estatuto de Autonomía de Cataluña, al formalizar la competencia autonómica como compartida, presupone la plena virtualidad de la competencia del Estado en la materia (art. 149.1.18 CE). De esta manera, siendo el art. 26.2 de la Ley 55/2003 regulador de la jubilación de los funcionarios públicos, a los que se asimilan el personal estatutario de los servicios de salud, y la posible prolongación en el servicio activo de los mismos, con el carácter de norma básica es al Estado al que corresponde normar la materia, debiendo el legislador autonómico respetar las bases establecidas por la norma estatal sobre jubilación y prolongación del servicio activo. Indica el Ministerio público que, ambas normativas la estatal y la autonómica, representada por la disposición adicional decimotercera de la Ley 56/2012, recogen la posibilidad de prolongación de permanencia en el servicio activo de aquel que, cumpliendo una serie de requisitos, le sea autorizada por el servicio de salud correspondiente en el marco de las necesidades de organización articuladas en el marco de los planes de ordenación de recursos humanos. En ambos casos se exige una resolución administrativa que acuerde la denegación o la autorización motivada en relación con lo dispuesto en el mencionado plan. La finalidad de la prolongación en el servicio activo responde así a las necesidades de personal derivadas de la organización y adecuada prestación del servicio público de salud. De todo ello concluye que el sistema de prolongación en el servicio activo por el personal estatutario de los servicios de salud es regulado de manera semejante, sino igual, tanto por la norma legal estatal como la autonómica.</w:t>
      </w:r>
    </w:p>
    <w:p w:rsidR="00BE7FB3" w:rsidRDefault="00BE7FB3" w:rsidP="00BE7FB3">
      <w:pPr>
        <w:pStyle w:val="TextoNormal"/>
      </w:pPr>
    </w:p>
    <w:p w:rsidR="00BE7FB3" w:rsidRDefault="00BE7FB3" w:rsidP="00BE7FB3">
      <w:pPr>
        <w:pStyle w:val="TextoNormal"/>
      </w:pPr>
      <w:r>
        <w:t>Alude el Fiscal General del Estado a los motivos que llevaron al Parlamento de Cataluña a aprobar la Ley 5/2012, de los que destaca los relacionados con la rebaja y contención del gasto público, de conformidad con los compromisos asumidos por el Estado en el marco de la Unión Europea. Entre dichas medidas de contención del gasto figura la no autorización de prolongaciones al personal funcionario de la Generalitat y la resolución de las ya autorizadas para el personal del Instituto Catalán de la Salud, a salvo de que la prolongación resulte necesaria para causar derecho a la pensión de jubilación o que se considere necesario mantener las autorizaciones por causas derivadas de la planificación y racionalización de recursos humanos. Con ello el Parlamento de Cataluña habría legislado sobre función pública con respeto a las normas básicas estatales.</w:t>
      </w:r>
    </w:p>
    <w:p w:rsidR="00BE7FB3" w:rsidRDefault="00BE7FB3" w:rsidP="00BE7FB3">
      <w:pPr>
        <w:pStyle w:val="TextoNormal"/>
      </w:pPr>
    </w:p>
    <w:p w:rsidR="00BE7FB3" w:rsidRDefault="00BE7FB3" w:rsidP="00BE7FB3">
      <w:pPr>
        <w:pStyle w:val="TextoNormal"/>
      </w:pPr>
      <w:r>
        <w:t xml:space="preserve">Expone a continuación el contenido de la duda de constitucionalidad planteada por la Sala proponente, señalando que la misma pivota sobre la incidencia de la disposición legal cuestionada en el mantenimiento de la medida cautelar inicialmente adoptada en el proceso </w:t>
      </w:r>
      <w:r w:rsidRPr="00BE7FB3">
        <w:rPr>
          <w:i/>
        </w:rPr>
        <w:t>a quo</w:t>
      </w:r>
      <w:r>
        <w:t xml:space="preserve">, pues considera que la ley habilitaría a la Administración autonómica a poder dictar una resolución respecto a la prolongación o denegación de la permanencia en el servicio activo del solicitante, sin necesidad de motivar la denegación y por causas o motivos ajenos a la planificación de las necesidades de la organización. Señala que el juicio de relevancia planteado por el órgano judicial se basa en la consideración de que, si bien no han variado las circunstancias fácticas de la medida cautelar, sí que ha variado el régimen aplicable, pues obliga a dejar sin efecto las prolongaciones otorgadas con anterioridad a su entrada en vigor, omitiendo toda referencia al plan de ordenación de recursos humanos. Sin embargo, a juicio del Ministerio público, la promulgación de la Ley 5/2012 no hace inviable el mantenimiento de la medida cautelar. Argumenta al respecto que la adopción de la medida cautelar se fundó en la necesidad de que las jubilaciones que se declaren cuenten con la cobertura de un plan de ordenación de recursos humanos, por lo que la jubilación acordada en el caso </w:t>
      </w:r>
      <w:r w:rsidRPr="00BE7FB3">
        <w:rPr>
          <w:i/>
        </w:rPr>
        <w:t>a quo</w:t>
      </w:r>
      <w:r>
        <w:t xml:space="preserve"> no tendría esa cobertura en atención al momento en el que se adoptó. Además añade que el </w:t>
      </w:r>
      <w:r>
        <w:lastRenderedPageBreak/>
        <w:t>presupuesto de hecho del que parte la norma autonómica cuestionada es la existencia de una autorización administrativa de la prolongación de la permanencia en el servicio activo, mientras que el objeto del recurso contencioso-administrativo es una resolución administrativa que denegó la prolongación en el servicio activo del recurrente. Para el Fiscal General del Estado lo expuesto conduciría a que la norma autonómica cuestionada no sería aplicable al caso concreto en el que se plantea la duda de constitucionalidad, lo que conllevaría la inexistencia de uno de los presupuestos legales exigidos por el art. 35.2 LOTC para poder plantear una cuestión de inconstitucionalidad, como es que se trate de una norma con rango de ley aplicable al caso y de cuya validez dependa el fallo.</w:t>
      </w:r>
    </w:p>
    <w:p w:rsidR="00BE7FB3" w:rsidRDefault="00BE7FB3" w:rsidP="00BE7FB3">
      <w:pPr>
        <w:pStyle w:val="TextoNormal"/>
      </w:pPr>
    </w:p>
    <w:p w:rsidR="00BE7FB3" w:rsidRDefault="00BE7FB3" w:rsidP="00BE7FB3">
      <w:pPr>
        <w:pStyle w:val="TextoNormal"/>
      </w:pPr>
      <w:r>
        <w:t>Por último el Fiscal General del Estado señala que discrepa de la conclusión a la que llega el órgano judicial que entiende asimilada la situación producida con la adopción de la medida cautelar con la prevista en la norma que cuestiona. Estima que, aun aceptando dicha conclusión, la norma autonómica no impediría al órgano judicial dictar una resolución en el sentido interesado por el recurrente, dado que la norma autonómica no establece de manera automática la revocación de las prolongaciones autorizadas, sino que permite el mantenimiento de esa situación si se dan determinados requisitos que pueden ser objeto de valoración judicial. Tampoco el silencio de la norma estatal sobre las revocaciones permitiría suponer que las distintas Administraciones autonómicas no puedan revocar autorizaciones de prolongación del servicio ya concedidas a partir de las necesidades de recursos humanos. De esta manera, concluye el Fiscal General del Estado, no se apreciaría una contradicción insalvable entre la norma legal estatal y el precepto legal autonómico, que admite una interpretación conforme con el art. 26.2 de la Ley 55/2003, por lo que el planteamiento de la cuestión sería infundado.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La Sección Cuarta de la Sala de lo Contencioso-Administrativo del Tribunal Superior de Justicia de Cataluña plantea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posible vulneración del art. 149.1.18 CE en relación con lo dispuesto en el art. 26.2 de la Ley 55/2003, de 16 de diciembre, por la que se aprueba el estatuto marco del personal estatutario de los servicios de salud.</w:t>
      </w:r>
    </w:p>
    <w:p w:rsidR="00BE7FB3" w:rsidRDefault="00BE7FB3" w:rsidP="00BE7FB3">
      <w:pPr>
        <w:pStyle w:val="TextoNormal"/>
      </w:pPr>
    </w:p>
    <w:p w:rsidR="00BE7FB3" w:rsidRDefault="00BE7FB3" w:rsidP="00BE7FB3">
      <w:pPr>
        <w:pStyle w:val="TextoNormal"/>
      </w:pPr>
      <w:r>
        <w:t>El precepto, en el inciso cuestionado, establece:</w:t>
      </w:r>
    </w:p>
    <w:p w:rsidR="00BE7FB3" w:rsidRDefault="00BE7FB3" w:rsidP="00BE7FB3">
      <w:pPr>
        <w:pStyle w:val="TextoNormal"/>
      </w:pPr>
    </w:p>
    <w:p w:rsidR="00BE7FB3" w:rsidRDefault="00BE7FB3" w:rsidP="00BE7FB3">
      <w:pPr>
        <w:pStyle w:val="TextoNormal"/>
      </w:pPr>
      <w:r>
        <w:t>“Disposición Transitoria Novena. Prolongaciones al personal funcionario de la Administración de la Generalidad y al personal estatutario del Instituto Catalán de la Salud.</w:t>
      </w:r>
    </w:p>
    <w:p w:rsidR="00BE7FB3" w:rsidRDefault="00BE7FB3" w:rsidP="00BE7FB3">
      <w:pPr>
        <w:pStyle w:val="TextoNormal"/>
      </w:pPr>
    </w:p>
    <w:p w:rsidR="00BE7FB3" w:rsidRDefault="00BE7FB3" w:rsidP="00BE7FB3">
      <w:pPr>
        <w:pStyle w:val="TextoNormal"/>
      </w:pPr>
      <w:r>
        <w:t>…</w:t>
      </w:r>
    </w:p>
    <w:p w:rsidR="00BE7FB3" w:rsidRDefault="00BE7FB3" w:rsidP="00BE7FB3">
      <w:pPr>
        <w:pStyle w:val="TextoNormal"/>
      </w:pPr>
    </w:p>
    <w:p w:rsidR="00BE7FB3" w:rsidRDefault="00BE7FB3" w:rsidP="00BE7FB3">
      <w:pPr>
        <w:pStyle w:val="TextoNormal"/>
      </w:pPr>
      <w:r>
        <w:t xml:space="preserve">Asimismo, las prolongaciones ya autorizadas del personal estatutario del Instituto Catalán de la Salud deben resolverse en el plazo de seis meses, salvo que sea necesario para causar derecho a la pensión de jubilación o en caso de que, excepcionalmente, el Consejo de Administración del Instituto Catalán de la Salud considere que es preciso mantener las </w:t>
      </w:r>
      <w:r>
        <w:lastRenderedPageBreak/>
        <w:t>autorizaciones vigentes por causas derivadas de la planificación y racionalización de los recursos humanos.”</w:t>
      </w:r>
    </w:p>
    <w:p w:rsidR="00BE7FB3" w:rsidRDefault="00BE7FB3" w:rsidP="00BE7FB3">
      <w:pPr>
        <w:pStyle w:val="TextoNormal"/>
      </w:pPr>
    </w:p>
    <w:p w:rsidR="00BE7FB3" w:rsidRDefault="00BE7FB3" w:rsidP="00BE7FB3">
      <w:pPr>
        <w:pStyle w:val="TextoNormal"/>
      </w:pPr>
      <w:r>
        <w:t>Por su parte, el precepto que el órgano judicial entiende vulnerado, el art. 26.2 de la Ley 55/2003 dispone:</w:t>
      </w:r>
    </w:p>
    <w:p w:rsidR="00BE7FB3" w:rsidRDefault="00BE7FB3" w:rsidP="00BE7FB3">
      <w:pPr>
        <w:pStyle w:val="TextoNormal"/>
      </w:pPr>
    </w:p>
    <w:p w:rsidR="00BE7FB3" w:rsidRDefault="00BE7FB3" w:rsidP="00BE7FB3">
      <w:pPr>
        <w:pStyle w:val="TextoNormal"/>
      </w:pPr>
      <w:r>
        <w:t>Artículo 26. Jubilación</w:t>
      </w:r>
    </w:p>
    <w:p w:rsidR="00BE7FB3" w:rsidRDefault="00BE7FB3" w:rsidP="00BE7FB3">
      <w:pPr>
        <w:pStyle w:val="TextoNormal"/>
      </w:pPr>
    </w:p>
    <w:p w:rsidR="00BE7FB3" w:rsidRDefault="00BE7FB3" w:rsidP="00BE7FB3">
      <w:pPr>
        <w:pStyle w:val="TextoNormal"/>
      </w:pPr>
      <w:r>
        <w:t>…</w:t>
      </w:r>
    </w:p>
    <w:p w:rsidR="00BE7FB3" w:rsidRDefault="00BE7FB3" w:rsidP="00BE7FB3">
      <w:pPr>
        <w:pStyle w:val="TextoNormal"/>
      </w:pPr>
    </w:p>
    <w:p w:rsidR="00BE7FB3" w:rsidRDefault="00BE7FB3" w:rsidP="00BE7FB3">
      <w:pPr>
        <w:pStyle w:val="TextoNormal"/>
      </w:pPr>
      <w:r>
        <w:t>2. La jubilación forzosa se declarará al cumplir el interesado la edad de 65 años. No obstante, el interesado podrá solicitar voluntariamente prolongar su permanencia en servicio activo hasta cumplir, como máximo, los 70 años de edad, siempre que quede acreditado que reúne la capacidad funcional necesaria para ejercer la profesión o desarrollar las actividades correspondientes a su nombramiento. Esta prolongación deberá ser autorizada por el servicio de salud correspondiente, en función de las necesidades de la organización articuladas en el marco de los planes de ordenación de recursos humanos.”</w:t>
      </w:r>
    </w:p>
    <w:p w:rsidR="00BE7FB3" w:rsidRDefault="00BE7FB3" w:rsidP="00BE7FB3">
      <w:pPr>
        <w:pStyle w:val="TextoNormal"/>
      </w:pPr>
    </w:p>
    <w:p w:rsidR="00BE7FB3" w:rsidRDefault="00BE7FB3" w:rsidP="00BE7FB3">
      <w:pPr>
        <w:pStyle w:val="TextoNormal"/>
      </w:pPr>
      <w:r>
        <w:t>Como ha quedado expuesto en los antecedentes el órgano judicial estima que la disposición transitoria novena, segundo inciso, de la Ley del Parlamento de Cataluña 5/2012 no ha respetado la normativa básica dictada por el Estado al amparo del título competencial del art. 149.1.18 CE que, en el caso concreto, sería el art. 26.2 de la Ley 55/2003. Tal vulneración se produciría porque el precepto impugnado omitiría la exigencia de la norma básica estatal en el sentido de que las resoluciones acerca de la prolongación de la permanencia en el servicio activo del personal de los servicios de salud se adopten en el marco previamente definido por los planes de ordenación de recursos humanos.</w:t>
      </w:r>
    </w:p>
    <w:p w:rsidR="00BE7FB3" w:rsidRDefault="00BE7FB3" w:rsidP="00BE7FB3">
      <w:pPr>
        <w:pStyle w:val="TextoNormal"/>
      </w:pPr>
    </w:p>
    <w:p w:rsidR="00BE7FB3" w:rsidRDefault="00BE7FB3" w:rsidP="00BE7FB3">
      <w:pPr>
        <w:pStyle w:val="TextoNormal"/>
      </w:pPr>
      <w:r>
        <w:t>El Fiscal General del Estado, en el trámite previsto en el art. 37.1 de la Ley Orgánica del Tribunal Constitucional (LOTC) se ha opuesto a la admisión de la presente cuestión de inconstitucionalidad, por entender que no se ha formulado adecuadamente el juicio de relevancia exigido por el art. 35 LOTC, así como por considerarla notoriamente infundada.</w:t>
      </w:r>
    </w:p>
    <w:p w:rsidR="00BE7FB3" w:rsidRDefault="00BE7FB3" w:rsidP="00BE7FB3">
      <w:pPr>
        <w:pStyle w:val="TextoNormal"/>
      </w:pPr>
    </w:p>
    <w:p w:rsidR="00BE7FB3" w:rsidRDefault="00BE7FB3" w:rsidP="00BE7FB3">
      <w:pPr>
        <w:pStyle w:val="TextoNormal"/>
      </w:pPr>
      <w:r w:rsidRPr="00BE7FB3">
        <w:rPr>
          <w:rStyle w:val="NumeroAFNegritaCaracter"/>
        </w:rPr>
        <w:t>2</w:t>
      </w:r>
      <w:r>
        <w:t>. La presente cuestión de inconstitucionalidad guarda clara conexión con la cuestión de inconstitucionalidad núm. 6611-2012. En ella también la Sección Cuarta de la Sala de lo Contencioso-Administrativo del Tribunal Superior de Justicia de Cataluña planteó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posible vulneración del art. 149.1.18 CE en relación con lo dispuesto en el art. 26.2 de la Ley 55/2003, de 16 de diciembre, por la que se aprueba el estatuto marco del personal estatutario de los servicios de salud. En consecuencia, puesto que en ambos procesos constitucionales se plantea la misma controversia competencial, debemos remitirnos al Auto 85/2013, de 23 de abril, cuyas apreciaciones y conclusiones resumimos a continuación:</w:t>
      </w:r>
    </w:p>
    <w:p w:rsidR="00BE7FB3" w:rsidRDefault="00BE7FB3" w:rsidP="00BE7FB3">
      <w:pPr>
        <w:pStyle w:val="TextoNormal"/>
      </w:pPr>
    </w:p>
    <w:p w:rsidR="00BE7FB3" w:rsidRDefault="00BE7FB3" w:rsidP="00BE7FB3">
      <w:pPr>
        <w:pStyle w:val="TextoNormal"/>
      </w:pPr>
      <w:r>
        <w:t xml:space="preserve">a) Partiendo de nuestra doctrina según la cual, en principio,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w:t>
      </w:r>
      <w:r>
        <w:lastRenderedPageBreak/>
        <w:t>a los hechos enjuiciados, el juicio de aplicabilidad y relevancia ha de entenderse adecuadamente formulado en este caso. En efecto, el incidente de modificación de las medidas cautelares no puede resolverse sin antes despejar la duda de constitucionalidad planteada sobre la disposición legal, ya que, como ha quedado expuesto en los antecedentes, es la norma cuestionada la que ha dado lugar a la petición de modificación de la medida cautelar inicialmente acordada por variación de las circunstancias al amparo del art. 132.1 de la Ley 29/1998, de 13 de julio, reguladora de la jurisdicción contencioso-administrativa.</w:t>
      </w:r>
    </w:p>
    <w:p w:rsidR="00BE7FB3" w:rsidRDefault="00BE7FB3" w:rsidP="00BE7FB3">
      <w:pPr>
        <w:pStyle w:val="TextoNormal"/>
      </w:pPr>
    </w:p>
    <w:p w:rsidR="00BE7FB3" w:rsidRDefault="00BE7FB3" w:rsidP="00BE7FB3">
      <w:pPr>
        <w:pStyle w:val="TextoNormal"/>
      </w:pPr>
      <w:r>
        <w:t>b) El carácter funcionarial del personal sanitario determina el encuadramiento competencial de las cuestiones relativas a su jubilación en el ámbito material “estatuto de los funcionarios públicos”, en cuanto que la jubilación es una de las causas de pérdida de la condición de personal estatutario [art. 21 e) de la Ley 55/2003]. A tenor de lo dispuesto en el art. 149.1.18 CE, el Estado tiene atribuida la competencia exclusiva para el establecimiento de las bases del régimen estatutario de los funcionarios públicos y, por tanto, también de sus aspectos relativos a la jubilación, mientras que a Cataluña, le corresponde, en virtud del actual art. 136 b) de su Estatuto de Autonomía, la competencia compartida para el desarrollo de algunos aspectos del régimen estatutario de los funcionarios públicos (empleo público; adquisición y pérdida de la condición de funcionario; situaciones administrativas; derechos, deberes e incompatibilidades), atribución que ha de entenderse con el sentido y alcance expresado en la STC 31/2010, de 28 de septiembre, FJ 82, del que resulta que la formalización de la competencia autonómica como compartida presupone la plena virtualidad de la competencia normativa básica del Estado en la materia (FJ 4).</w:t>
      </w:r>
    </w:p>
    <w:p w:rsidR="00BE7FB3" w:rsidRDefault="00BE7FB3" w:rsidP="00BE7FB3">
      <w:pPr>
        <w:pStyle w:val="TextoNormal"/>
      </w:pPr>
    </w:p>
    <w:p w:rsidR="00BE7FB3" w:rsidRDefault="00BE7FB3" w:rsidP="00BE7FB3">
      <w:pPr>
        <w:pStyle w:val="TextoNormal"/>
      </w:pPr>
      <w:r>
        <w:t xml:space="preserve">c) Así encuadrada la cuestión, debemos afirmar que la norma estatal que el órgano judicial entiende vulnerada es básica desde la perspectiva formal, pues con tal carácter se proclama en la disposición final primera de la Ley 55/2003 y lo mismo sucede desde la perspectiva material, ya que la normación relativa a la pérdida de la condición de funcionario, en este caso, mediante la jubilación, se incluye con naturalidad dentro de las bases del régimen estatutario de los funcionarios públicos, que han de ser establecidas por el Estado, conforme al art. 149.1.18 CE (FJ 5). </w:t>
      </w:r>
    </w:p>
    <w:p w:rsidR="00BE7FB3" w:rsidRDefault="00BE7FB3" w:rsidP="00BE7FB3">
      <w:pPr>
        <w:pStyle w:val="TextoNormal"/>
      </w:pPr>
    </w:p>
    <w:p w:rsidR="00BE7FB3" w:rsidRDefault="00BE7FB3" w:rsidP="00BE7FB3">
      <w:pPr>
        <w:pStyle w:val="TextoNormal"/>
      </w:pPr>
      <w:r>
        <w:t>d) La prolongación en el servicio activo prevista en el art. 26.2, segundo inciso, no opera de forma automática, sino que exige una autorización del servicio de salud “en función de las necesidades de la organización articuladas en el marco de los planes de ordenación de recursos humanos”. Es decir, requiere de la existencia de razones de interés general de carácter organizativo y asistencial que aconsejen seguir contando con determinado personal y que tales razones se expliciten en la resolución autorizatoria. De este modo, la finalidad de la prolongación de la permanencia en el servicio activo responde a las necesidades de personal derivadas de la organización y de la adecuada prestación del servicio público sanitario a la población (FJ 5).</w:t>
      </w:r>
    </w:p>
    <w:p w:rsidR="00BE7FB3" w:rsidRDefault="00BE7FB3" w:rsidP="00BE7FB3">
      <w:pPr>
        <w:pStyle w:val="TextoNormal"/>
      </w:pPr>
    </w:p>
    <w:p w:rsidR="00BE7FB3" w:rsidRDefault="00BE7FB3" w:rsidP="00BE7FB3">
      <w:pPr>
        <w:pStyle w:val="TextoNormal"/>
      </w:pPr>
      <w:r>
        <w:t>e) La disposición adicional decimotercera de la Ley del Parlamento de Cataluña 5/2012, intitulada “jubilación forzosa del personal del Instituto Catalán de la Salud”, en el mismo sentido que expresa la base estatal, requiere de la existencia de razones de interés general de carácter organizativo y asistencial que aconsejen seguir contando con determinado personal y que dichas razones encuentren su fundamento en el plan de ordenación de recursos humanos del Instituto Catalán de la Salud (FJ 5).</w:t>
      </w:r>
    </w:p>
    <w:p w:rsidR="00BE7FB3" w:rsidRDefault="00BE7FB3" w:rsidP="00BE7FB3">
      <w:pPr>
        <w:pStyle w:val="TextoNormal"/>
      </w:pPr>
    </w:p>
    <w:p w:rsidR="00BE7FB3" w:rsidRDefault="00BE7FB3" w:rsidP="00BE7FB3">
      <w:pPr>
        <w:pStyle w:val="TextoNormal"/>
      </w:pPr>
      <w:r>
        <w:lastRenderedPageBreak/>
        <w:t>f) Los elementos que integran la base estatal del segundo párrafo del art. 26.2 de la Ley 55/2003 no se ven contradichos por la regulación autonómica, que perfila así un elemento que estaba ya incluido en la norma estatal, el interés en cesar la relación estatutaria a partir de una determinada edad del personal. El artículo 26.2 de la Ley 55/2003 establece un criterio para determinar o decidir el contenido de la concreta resolución que debe adoptarse, pero eso no significa que ese criterio sea el único y excluyente, ni que el mismo no pueda ser modulado por el legislador autonómico competente por razón de la materia. La base estatal establece una regla con vocación de aplicación uniforme en todo el territorio nacional, siempre dejando un margen de actuación a las Administraciones competentes para adecuar tal aplicación a las necesidades existentes, cohonestando la finalidad del servicio público de salud y su carácter esencial para la población, con las necesidades organizativas (FJ 5).</w:t>
      </w:r>
    </w:p>
    <w:p w:rsidR="00BE7FB3" w:rsidRDefault="00BE7FB3" w:rsidP="00BE7FB3">
      <w:pPr>
        <w:pStyle w:val="TextoNormal"/>
      </w:pPr>
    </w:p>
    <w:p w:rsidR="00BE7FB3" w:rsidRDefault="00BE7FB3" w:rsidP="00BE7FB3">
      <w:pPr>
        <w:pStyle w:val="TextoNormal"/>
      </w:pPr>
      <w:r>
        <w:t>g) En la no cuestionada disposición adicional decimotercera de la Ley 5/2012 el legislador catalán, en el ejercicio de sus competencias de desarrollo normativo en el ámbito de la función pública y más específicamente en relación con el personal estatutario del servicio autonómico de salud, está precisando, mediante la exigencia de una resolución expresa motivada en las causas previstas en el plan de ordenación de recursos humanos del Instituto Catalán de la Salud, los dos supuestos que, a estos efectos, habrán de tenerse en cuenta para acordar la prolongación en el servicio activo, de suerte que ésta únicamente será posible por concretas necesidades asistenciales en el territorio o en atención al prestigio profesional del solicitante. Es decir, en el mismo sentido que expresa la base estatal, requiere de la existencia de razones de interés general de carácter organizativo y asistencial que aconsejen seguir contando con determinado personal y que dichas razones encuentren su fundamento en el plan de ordenación de recursos humanos del Instituto Catalán de la Salud (FJ 5).</w:t>
      </w:r>
    </w:p>
    <w:p w:rsidR="00BE7FB3" w:rsidRDefault="00BE7FB3" w:rsidP="00BE7FB3">
      <w:pPr>
        <w:pStyle w:val="TextoNormal"/>
      </w:pPr>
    </w:p>
    <w:p w:rsidR="00BE7FB3" w:rsidRDefault="00BE7FB3" w:rsidP="00BE7FB3">
      <w:pPr>
        <w:pStyle w:val="TextoNormal"/>
      </w:pPr>
      <w:r w:rsidRPr="00BE7FB3">
        <w:rPr>
          <w:rStyle w:val="NumeroAFNegritaCaracter"/>
        </w:rPr>
        <w:t>3</w:t>
      </w:r>
      <w:r>
        <w:t>. En suma, es posible concluir que, afirmado el carácter básico de la normativa estatal, no se aprecia que la normativa autonómica cuestionada incurra en contradicción con sus mandatos, pues ambas normas son así susceptibles de ser interpretadas e integradas armónicamente. Por ello, falta aquí la real y efectiva contradicción entre la norma estatal y la autonómica de la que, en los términos expuestos en el Auto de planteamiento, se derivaría la vulneración del orden constitucional de distribución de competencias, lo que priva del necesario fundamento a la presente cuestión y determina que deba ser inadmitida a trámite.</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Inadmitir a trámite la cuestión de inconstitucionalidad núm. 518-2013 planteada por la Sección Cuarta de la Sala de lo Contencioso-Administrativo del Tribunal Superior de Justicia de Cataluña.</w:t>
      </w:r>
    </w:p>
    <w:p w:rsidR="00BE7FB3" w:rsidRDefault="00BE7FB3" w:rsidP="00BE7FB3">
      <w:pPr>
        <w:pStyle w:val="TextoNormal"/>
      </w:pPr>
    </w:p>
    <w:p w:rsidR="00BE7FB3" w:rsidRDefault="00BE7FB3" w:rsidP="00BE7FB3">
      <w:pPr>
        <w:pStyle w:val="TextoNormal"/>
      </w:pPr>
      <w:r>
        <w:t>Madrid, a veintiuno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67" w:name="AUTO_2013_126"/>
      <w:r>
        <w:lastRenderedPageBreak/>
        <w:t>AUTO 126/2013, de 21 de mayo de 2013</w:t>
      </w:r>
    </w:p>
    <w:bookmarkEnd w:id="267"/>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ECLI:ES:TC:2013:126A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Inadmite a trámite la cuestión de inconstitucionalidad 554-2013, planteada por el Juzgado de lo Social núm. 34 de Madrid en relación con la disposición transitoria quinta y el artículo 18.8 del Real Decreto-ley 3/2012, de 10 de febrero, de medidas urgentes para la reforma del mercado laboral.</w:t>
      </w:r>
    </w:p>
    <w:p w:rsidR="00BE7FB3" w:rsidRDefault="00BE7FB3" w:rsidP="00BE7FB3">
      <w:pPr>
        <w:pStyle w:val="SntesisDescriptiva"/>
      </w:pPr>
    </w:p>
    <w:p w:rsidR="00BE7FB3" w:rsidRDefault="00BE7FB3" w:rsidP="00BE7FB3">
      <w:pPr>
        <w:pStyle w:val="SntesisAnaltica"/>
      </w:pPr>
      <w:r>
        <w:t>Cuestión de inconstitucionalidad: extinción por terminación del proceso judicial; función de la cuestión de inconstitucionalidad; pérdida sobrevenida de objeto de la cuestión de inconstitucionalidad. Inadmisión de cuestión de inconstitucionalidad por falta de requisitos procesales.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día 30 de enero de 2013 tuvo entrada en el Registro General de este Tribunal un escrito del Juzgado de lo Social núm. 34 de Madrid al que se acompaña, junto con el testimonio del correspondiente procedimiento (procedimiento por despido núm. 708-2012), el Auto de 18 de enero de 2013, que acuerda plantear una cuestión de inconstitucionalidad en relación con el Real Decreto-ley 3/2012, de 10 de febrero. La cuestión afecta globalmente a esta disposición legal y a determinados aspectos particulares de su regulación: a su capítulo IV, a la disposición transitoria quinta, en relación con lo dispuesto en el art. 18.7 del propio texto legal cuestionado (por la que se modifica el artículo 56.1 de la Ley del estatuto de los trabajadores y preceptos concordantes de la Ley reguladora de la jurisdicción social) y al art. 18.8, que da nueva redacción al art. 56.2 del texto refundido del Estatuto de los trabajadores. Las normas cuestionadas vulneran, a juicio del órgano jurisdiccional promotor, los arts. 86.1 (en relación con el art. 1.3), 9.3, 24.1 y 35,1 CE.</w:t>
      </w:r>
    </w:p>
    <w:p w:rsidR="00BE7FB3" w:rsidRDefault="00BE7FB3" w:rsidP="00BE7FB3">
      <w:pPr>
        <w:pStyle w:val="TextoNormal"/>
      </w:pPr>
    </w:p>
    <w:p w:rsidR="00BE7FB3" w:rsidRDefault="00BE7FB3" w:rsidP="00BE7FB3">
      <w:pPr>
        <w:pStyle w:val="TextoNormal"/>
      </w:pPr>
      <w:r w:rsidRPr="00BE7FB3">
        <w:rPr>
          <w:rStyle w:val="NumeroAFNegritaCaracter"/>
        </w:rPr>
        <w:t>2</w:t>
      </w:r>
      <w:r>
        <w:t>. Con registro de entrada en este Tribunal de fecha 14 de febrero de 2013, el órgano judicial proponente remite certificación de su Auto de 8 del mismo mes en cuya parte dispositiva se aprueba la conciliación en esa misma fecha, en los términos siguientes: “la empresa reconoce la improcedencia del despido con efectos del día 27-4-12 y ofrece en concepto de indemnización la cantidad de 5.500 euros netos que serán abonados el día el martes (</w:t>
      </w:r>
      <w:r w:rsidRPr="00BE7FB3">
        <w:rPr>
          <w:i/>
        </w:rPr>
        <w:t>sic</w:t>
      </w:r>
      <w:r>
        <w:t xml:space="preserve">) 12-2-13 en la cuenta donde venía percibiendo sus retribuciones. El actor manifiesta </w:t>
      </w:r>
      <w:r>
        <w:lastRenderedPageBreak/>
        <w:t>que con el percibo de esta cantidad queda liquidada y saldada la relación laboral que tenía con la empresa sin tener nada más que reclamar”.</w:t>
      </w:r>
    </w:p>
    <w:p w:rsidR="00BE7FB3" w:rsidRDefault="00BE7FB3" w:rsidP="00BE7FB3">
      <w:pPr>
        <w:pStyle w:val="TextoNormal"/>
      </w:pPr>
    </w:p>
    <w:p w:rsidR="00BE7FB3" w:rsidRDefault="00BE7FB3" w:rsidP="00BE7FB3">
      <w:pPr>
        <w:pStyle w:val="TextoNormal"/>
      </w:pPr>
      <w:r>
        <w:t>El Auto de 8 de febrero de 2013 devino firme el día 15 del mismo mes al no haber sido recurrido por ninguna de las partes.</w:t>
      </w:r>
    </w:p>
    <w:p w:rsidR="00BE7FB3" w:rsidRDefault="00BE7FB3" w:rsidP="00BE7FB3">
      <w:pPr>
        <w:pStyle w:val="TextoNormal"/>
      </w:pPr>
    </w:p>
    <w:p w:rsidR="00BE7FB3" w:rsidRDefault="00BE7FB3" w:rsidP="00BE7FB3">
      <w:pPr>
        <w:pStyle w:val="TextoNormal"/>
      </w:pPr>
      <w:r w:rsidRPr="00BE7FB3">
        <w:rPr>
          <w:rStyle w:val="NumeroAFNegritaCaracter"/>
        </w:rPr>
        <w:t>3</w:t>
      </w:r>
      <w:r>
        <w:t>. Por providencia de la Sección Tercera de este Tribunal, de 12 de marzo de 2013, se acordó oír al Fiscal General del Estado para que, al amparo de lo dispuesto en el artículo 37.1 CE, formulara alegaciones acerca de la admisibilidad de la presente cuestión de inconstitucionalidad.</w:t>
      </w:r>
    </w:p>
    <w:p w:rsidR="00BE7FB3" w:rsidRDefault="00BE7FB3" w:rsidP="00BE7FB3">
      <w:pPr>
        <w:pStyle w:val="TextoNormal"/>
      </w:pPr>
    </w:p>
    <w:p w:rsidR="00BE7FB3" w:rsidRDefault="00BE7FB3" w:rsidP="00BE7FB3">
      <w:pPr>
        <w:pStyle w:val="TextoNormal"/>
      </w:pPr>
      <w:r>
        <w:t>El Fiscal General del Estado, el escrito presentado el 26 de manifiesta que habiéndose aprobado por Auto de 8 febrero 2013 del Juzgado de lo Social proponente la conciliación llevar a cabo entre las partes, procede inadmitir a trámite la cuestión inicialmente propuesta, en tanto el fallo del pleito subyacente ya se ha consumado, y en consecuencia no han de aplicarse para su resolución los preceptos que el juzgador estimaba contrarios a la Constitución.</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Este Tribunal ha señalado reiteradamente que puede darse la desaparición sobrevenida de objeto del proceso constitucional aunque ese motivo no esté expresamente contemplado en el artículo 86.1 de la Ley Orgánica del Tribunal Constitucional (LOTC) como una de las causas determinación extraordinaria, de manera que su concurrencia provocará la conclusión del proceso sin que sea necesario un pronunciamiento sobre reproche de inconstitucionalidad planteado (por todas, STC 6/2010, de 14 abril, FJ 2; recientemente, ATC 23/2013, de 29 enero, FJ 4).</w:t>
      </w:r>
    </w:p>
    <w:p w:rsidR="00BE7FB3" w:rsidRDefault="00BE7FB3" w:rsidP="00BE7FB3">
      <w:pPr>
        <w:pStyle w:val="TextoNormal"/>
      </w:pPr>
    </w:p>
    <w:p w:rsidR="00BE7FB3" w:rsidRDefault="00BE7FB3" w:rsidP="00BE7FB3">
      <w:pPr>
        <w:pStyle w:val="TextoNormal"/>
      </w:pPr>
      <w:r>
        <w:t>Si bien es verdad que el llamado “juicio de relevancia” —o relación entre la norma cuya constitucionalidad se cuestiona por el órgano judicial y el fallo dictan el proceso— ha de establecerse en el momento en que la cuestión se formula, no ofrece duda que la concurrencia de circunstancias sobrevenidas puede afectar a este requisito e influir necesariamente en la suerte del proceso constitucional.</w:t>
      </w:r>
    </w:p>
    <w:p w:rsidR="00BE7FB3" w:rsidRDefault="00BE7FB3" w:rsidP="00BE7FB3">
      <w:pPr>
        <w:pStyle w:val="TextoNormal"/>
      </w:pPr>
    </w:p>
    <w:p w:rsidR="00BE7FB3" w:rsidRDefault="00BE7FB3" w:rsidP="00BE7FB3">
      <w:pPr>
        <w:pStyle w:val="TextoNormal"/>
      </w:pPr>
      <w:r>
        <w:t xml:space="preserve">Pues bien, aunque en el juicio sobre la legitimidad constitucional de las normas, a que el art. 163 CE da lugar, existe un notorio interés público general —como es el interés de la depuración del ordenamiento jurídico y la conformidad con la Constitución de las normas que lo integran—, el constituyente ha condicionado la procedencia de este procedimiento al hecho de que la aplicación de la norma cuestionada sea necesaria en un proceso jurisdiccional concreto. Por ello, la terminación del proceso como consecuencia de un acuerdo de conciliación alcanzado por las partes en litigio —que es lo que ocurre en el caso presente, en el que el Juzgado de lo Social núm. 34 de Madrid ha aprobado el acuerdo alcanzado en los términos reproducidos— tiene como consecuencia la desaparición sobrevenida de uno de los presupuestos de apertura del proceso constitucional, y ello debe determinar su extinción por falta de objeto. Y es que, aun cuando el examen de la constitucionalidad de la norma continuaría siendo posible, se trataría del enjuiciamiento en abstracto, desligado del caso de </w:t>
      </w:r>
      <w:r>
        <w:lastRenderedPageBreak/>
        <w:t>aplicación al que se refiere el art. 163 CE, lo que es improcedente en una cuestión de inconstitucionalidad (por todos, ATC 41/1998, de 18 febrero, FJ único).</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Inadmitir a trámite la cuestión de inconstitucionalidad núm. 554-2013, promovida por el Juzgado de lo Social núm. 34 de Madrid.</w:t>
      </w:r>
    </w:p>
    <w:p w:rsidR="00BE7FB3" w:rsidRDefault="00BE7FB3" w:rsidP="00BE7FB3">
      <w:pPr>
        <w:pStyle w:val="TextoNormal"/>
      </w:pPr>
    </w:p>
    <w:p w:rsidR="00BE7FB3" w:rsidRDefault="00BE7FB3" w:rsidP="00BE7FB3">
      <w:pPr>
        <w:pStyle w:val="TextoNormal"/>
      </w:pPr>
      <w:r>
        <w:t>Madrid, a veintiuno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68" w:name="AUTO_2013_127"/>
      <w:r>
        <w:lastRenderedPageBreak/>
        <w:t>AUTO 127/2013, de 21 de mayo de 2013</w:t>
      </w:r>
    </w:p>
    <w:bookmarkEnd w:id="268"/>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ECLI:ES:TC:2013:127A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Inadmite a trámite la cuestión de inconstitucionalidad 603-2013, planteada por la Sección Cuarta de la Sala de lo Contencioso-administrativo del Tribunal Superior de Justicia de Cataluña, en relación con la disposición transitoria novena, segundo inciso, de la Ley del Parlamento de Cataluña 5/2012, de 20 de marzo, de medidas fiscales, financieras y administrativas y de creación del impuesto sobre las estancias en establecimientos turísticos.</w:t>
      </w:r>
    </w:p>
    <w:p w:rsidR="00BE7FB3" w:rsidRDefault="00BE7FB3" w:rsidP="00BE7FB3">
      <w:pPr>
        <w:pStyle w:val="SntesisDescriptiva"/>
      </w:pPr>
    </w:p>
    <w:p w:rsidR="00BE7FB3" w:rsidRDefault="00BE7FB3" w:rsidP="00BE7FB3">
      <w:pPr>
        <w:pStyle w:val="SntesisAnaltica"/>
      </w:pPr>
      <w:r>
        <w:t>Cuestión de inconstitucionalidad: ATC 125/2013.</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día 1 de febrero de 2013, al que se acompaña el Auto de 12 de diciembre de 2012, junto a las correspondientes actuaciones, la Sección Cuarta de la Sala de lo Contencioso-Administrativo del Tribunal Superior de Justicia de Cataluña plantea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posible vulneración del art. 149.1.18 CE en relación con lo dispuesto en el art. 26.2 de la Ley 55/2003, de 16 de diciembre, por la que se aprueba el estatuto marco del personal estatutario de los servicios de salud.</w:t>
      </w:r>
    </w:p>
    <w:p w:rsidR="00BE7FB3" w:rsidRDefault="00BE7FB3" w:rsidP="00BE7FB3">
      <w:pPr>
        <w:pStyle w:val="TextoNormal"/>
      </w:pPr>
    </w:p>
    <w:p w:rsidR="00BE7FB3" w:rsidRDefault="00BE7FB3" w:rsidP="00BE7FB3">
      <w:pPr>
        <w:pStyle w:val="TextoNormal"/>
      </w:pPr>
      <w:r w:rsidRPr="00BE7FB3">
        <w:rPr>
          <w:rStyle w:val="NumeroAFNegritaCaracter"/>
        </w:rPr>
        <w:t>2</w:t>
      </w:r>
      <w:r>
        <w:t>. Los antecedentes de la cuestión son los siguientes:</w:t>
      </w:r>
    </w:p>
    <w:p w:rsidR="00BE7FB3" w:rsidRDefault="00BE7FB3" w:rsidP="00BE7FB3">
      <w:pPr>
        <w:pStyle w:val="TextoNormal"/>
      </w:pPr>
    </w:p>
    <w:p w:rsidR="00BE7FB3" w:rsidRDefault="00BE7FB3" w:rsidP="00BE7FB3">
      <w:pPr>
        <w:pStyle w:val="TextoNormal"/>
      </w:pPr>
      <w:r>
        <w:t xml:space="preserve">a) El recurrente en el proceso </w:t>
      </w:r>
      <w:r w:rsidRPr="00BE7FB3">
        <w:rPr>
          <w:i/>
        </w:rPr>
        <w:t>a quo</w:t>
      </w:r>
      <w:r>
        <w:t>, médico con nombramiento estatutario fijo, solicitó antes de cumplir 65 años la autorización para continuar en servicio activo al amparo de lo dispuesto en el art. 26.2 de la de la Ley 55/2003, de 16 de diciembre, por la que se aprueba el estatuto marco del personal estatutario de los servicios de salud, solicitud que fue denegada por el Director Gerente del Instituto Catalán de Salud. La denegación fue confirmada mediante desestimación expresa del recurso de reposición interpuesto por el interesado.</w:t>
      </w:r>
    </w:p>
    <w:p w:rsidR="00BE7FB3" w:rsidRDefault="00BE7FB3" w:rsidP="00BE7FB3">
      <w:pPr>
        <w:pStyle w:val="TextoNormal"/>
      </w:pPr>
    </w:p>
    <w:p w:rsidR="00BE7FB3" w:rsidRDefault="00BE7FB3" w:rsidP="00BE7FB3">
      <w:pPr>
        <w:pStyle w:val="TextoNormal"/>
      </w:pPr>
      <w:r>
        <w:t xml:space="preserve">b) Contra la resolución denegatoria interpuso el interesado recurso contencioso-administrativo, solicitando por otrosí la medida cautelar de suspensión de la ejecutividad de la resolución recurrida a fin de poder continuar en el servicio activo. Mediante Auto de 10 de </w:t>
      </w:r>
      <w:r>
        <w:lastRenderedPageBreak/>
        <w:t>octubre de 2011, confirmado por otro posterior de 29 de diciembre de 2011, la Sección Cuarta de la Sala de lo Contencioso-Administrativo del Tribunal Superior de Justicia de Cataluña acordó suspender la ejecución de la resolución administrativa impugnada y, en consecuencia, autorizar al recurrente a continuar en el desempeño del puesto que ocupaba.</w:t>
      </w:r>
    </w:p>
    <w:p w:rsidR="00BE7FB3" w:rsidRDefault="00BE7FB3" w:rsidP="00BE7FB3">
      <w:pPr>
        <w:pStyle w:val="TextoNormal"/>
      </w:pPr>
    </w:p>
    <w:p w:rsidR="00BE7FB3" w:rsidRDefault="00BE7FB3" w:rsidP="00BE7FB3">
      <w:pPr>
        <w:pStyle w:val="TextoNormal"/>
      </w:pPr>
      <w:r>
        <w:t>c) Mediante resolución de 24 de abril de 2012 el Director Gerente del Instituto Catalán de Salud acordó resolver la autorización de prolongación del servicio activo y declarar la jubilación forzosa del interesado con efectos de 30 de abril de 2012, al amparo de lo establecido en la disposición transitoria novena, segundo inciso, de la Ley del Parlamento de Cataluña 5/2012, de 20 de marzo, de medidas fiscales, financieras y administrativas y de creación del impuesto sobre las estancias en establecimientos turísticos. Planteada demanda incidental por el interesado solicitando la nulidad de dicha resolución, la misma fue estimada por Auto de 13 de julio de 2012 (confirmado por Auto de 22 de noviembre del mismo año), que no sólo declaró la nulidad de la resolución de 24 de abril, sino que, a instancias del Instituto Catalán de Salud, tuvo por formulada solicitud de modificación de las medidas cautelares inicialmente adoptadas.</w:t>
      </w:r>
    </w:p>
    <w:p w:rsidR="00BE7FB3" w:rsidRDefault="00BE7FB3" w:rsidP="00BE7FB3">
      <w:pPr>
        <w:pStyle w:val="TextoNormal"/>
      </w:pPr>
    </w:p>
    <w:p w:rsidR="00BE7FB3" w:rsidRDefault="00BE7FB3" w:rsidP="00BE7FB3">
      <w:pPr>
        <w:pStyle w:val="TextoNormal"/>
      </w:pPr>
      <w:r>
        <w:t>d) Pendiente de resolver el citado incidente de modificación de las medidas cautelares, el órgano judicial dictó providencia el 18 de septiembre de 2012 dando trámite de audiencia de diez días (art. 35.2 de la Ley Orgánica del Tribunal Constitucional: LOTC) a las partes y al Ministerio Fiscal para formular alegaciones sobre la conveniencia de plantear cuestión de inconstitucionalidad respecto de la disposición transitoria novena, segundo inciso, de la Ley del Parlamento de Cataluña 5/2012, de 20 de marzo, atendida la distribución competencial de los arts. 149.1.18, 149.1.17, 149.1.16 y 149.1.13 CE, por ser relevante para la resolución sobre la modificación de la medida cautelar solicitada determinar si debe prevalecer la referida disposición transitoria de la Ley del Parlamento de Cataluña 5/2012 (interpretada en la misma línea que la disposición adicional decimotercera de la misma norma) o el art. 26.2 de la Ley 55/2003, que tiene carácter básico y que es la que propugna el recurrente, “en tanto que la redacción de aquella norma autonómica no es coincidente con la norma básica estatal”. Igualmente se acuerda, “teniendo en cuenta la incidencia de la planificación de la jubilación que afecta tanto a la planificación general de la actividad económica, por ser las retribuciones de los funcionarios en activo un gasto de personal, como a la caja única de la seguridad social, a partir del momento en que se declara la jubilación del personal estatutario —en este caso forzosa— y partiendo de que el desarrollo normativo de las leyes básicas ha de ser acorde con las mismas, procede también conceder la misma audiencia de diez días al Abogado del Estado y al Letrado de la Seguridad Social a fin de que puedan alegar lo que deseen sobre la pertinencia o no de plantear la cuestión de inconstitucionalidad”.</w:t>
      </w:r>
    </w:p>
    <w:p w:rsidR="00BE7FB3" w:rsidRDefault="00BE7FB3" w:rsidP="00BE7FB3">
      <w:pPr>
        <w:pStyle w:val="TextoNormal"/>
      </w:pPr>
    </w:p>
    <w:p w:rsidR="00BE7FB3" w:rsidRDefault="00BE7FB3" w:rsidP="00BE7FB3">
      <w:pPr>
        <w:pStyle w:val="TextoNormal"/>
      </w:pPr>
      <w:r>
        <w:t xml:space="preserve">El recurrente en el proceso </w:t>
      </w:r>
      <w:r w:rsidRPr="00BE7FB3">
        <w:rPr>
          <w:i/>
        </w:rPr>
        <w:t>a quo</w:t>
      </w:r>
      <w:r>
        <w:t xml:space="preserve"> solicitó el planteamiento de la cuestión de inconstitucionalidad y en el mismo sentido se pronunciaron el Ministerio Fiscal y el Letrado de la Administración de la Seguridad Social. Por el contrario, el Instituto Catalán de Salud, el Abogado del Estado y la Abogada de la Generalitat de Cataluña se opusieron al planteamiento de la cuestión.</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La Sección Cuarta de la Sala de lo Contencioso-Administrativo del Tribunal Superior de Justicia de Cataluña dictó el Auto de 12 de diciembre de 2012 por el que acuerda plantear cuestión de inconstitucionalidad en relación con la disposición transitoria novena, segundo </w:t>
      </w:r>
      <w:r>
        <w:lastRenderedPageBreak/>
        <w:t>inciso, de la Ley del Parlamento de Cataluña 5/2012, de 20 de marzo, de medidas fiscales, financieras y administrativas y de creación del impuesto sobre las estancias en establecimientos turísticos, “por entender que no respeta la normativa básica estatal dictada al amparo del art. 149.1.18 de la Constitución, en concreto el art. 26.2 de la Ley 55/2003, de 16 de diciembre, por la que se aprueba el Estatuto Marco del Personal Estatutario de los Servicios de Salud”.</w:t>
      </w:r>
    </w:p>
    <w:p w:rsidR="00BE7FB3" w:rsidRDefault="00BE7FB3" w:rsidP="00BE7FB3">
      <w:pPr>
        <w:pStyle w:val="TextoNormal"/>
      </w:pPr>
    </w:p>
    <w:p w:rsidR="00BE7FB3" w:rsidRDefault="00BE7FB3" w:rsidP="00BE7FB3">
      <w:pPr>
        <w:pStyle w:val="TextoNormal"/>
      </w:pPr>
      <w:r>
        <w:t>Tras exponer los hechos de los que trae causa la presente cuestión, el órgano judicial formula en su Auto el juicio de relevancia, señalando que el debate trabado tiene su razón de ser en el incidente de modificación de medidas cautelares promovido por el Instituto Catalán de Salud. Respecto a la posibilidad de plantear una cuestión de inconstitucionalidad en este momento procesal el Auto alude a la doctrina del ATC 467/2007, que entiende aquí de aplicación. Señala al efecto que en el presente asunto concurre la circunstancia de que la norma cuestionada afecta al caso, ya que, por un lado, la decisión del Instituto Catalán de Salud, revocando la inicial medida cautelar, se acordó en cumplimiento de lo dispuesto en la norma que se cuestiona y, por otro, la resolución del incidente de modificación de medidas cautelares planteado por el Instituto Catalán de Salud, se basa en la aplicación de la disposición transitoria novena, segundo inciso, de la Ley del Parlamento de Cataluña 5/2012, en cuanto que se trata de una norma imperativa y de obligado cumplimiento para todas las autorizaciones ya concedidas.</w:t>
      </w:r>
    </w:p>
    <w:p w:rsidR="00BE7FB3" w:rsidRDefault="00BE7FB3" w:rsidP="00BE7FB3">
      <w:pPr>
        <w:pStyle w:val="TextoNormal"/>
      </w:pPr>
    </w:p>
    <w:p w:rsidR="00BE7FB3" w:rsidRDefault="00BE7FB3" w:rsidP="00BE7FB3">
      <w:pPr>
        <w:pStyle w:val="TextoNormal"/>
      </w:pPr>
      <w:r>
        <w:t>Seguidamente se descarta la alegación del Instituto Catalán de Salud en relación con el indeseable efecto de paralización de otros procesos que podría provocar la admisión a trámite de la presente cuestión. Igualmente rechaza la Sala que la decisión de dar audiencia sobre la pertinencia de plantear cuestión de inconstitucionalidad no sólo a las partes y al Ministerio Fiscal, sino también al Letrado de la Seguridad Social y al Abogado del Estado y al Abogado de la Generalitat de Cataluña, haya provocado indefensión alguna o infracción del trámite del art. 35.2 LOTC.</w:t>
      </w:r>
    </w:p>
    <w:p w:rsidR="00BE7FB3" w:rsidRDefault="00BE7FB3" w:rsidP="00BE7FB3">
      <w:pPr>
        <w:pStyle w:val="TextoNormal"/>
      </w:pPr>
    </w:p>
    <w:p w:rsidR="00BE7FB3" w:rsidRDefault="00BE7FB3" w:rsidP="00BE7FB3">
      <w:pPr>
        <w:pStyle w:val="TextoNormal"/>
      </w:pPr>
      <w:r>
        <w:t>En cuanto a la duda de constitucionalidad, entiende la Sala que el título competencial prevalente en esta materia es el art. 149.1.18 CE, que atribuye al Estado la competencia exclusiva para establecer las bases del régimen estatutario de los funcionarios públicos, pues, aunque se trate de una norma con proyección en la planificación de la actividad económica, en la caja única de la Seguridad Social y en el ámbito de la Administración sanitaria, es incuestionable que, con mayor relevancia, repercute en el ámbito del personal estatutario de los servicios de salud; personal que, conforme con la doctrina del Tribunal Supremo que cita el Auto, ha de entenderse equiparado a los funcionarios públicos. Transcribe el Auto a continuación los preceptos legales que han entrado en conflicto: el art. 26.2 de la Ley 55/2003 y la disposición transitoria novena, segundo inciso, de la Ley del Parlamento de Cataluña 5/2012, precepto éste último con el que guarda directa relación la disposición adicional decimotercera de la misma Ley, en cuanto que se refiere a la jubilación forzosa del personal estatutario del Instituto Catalán de Salud.</w:t>
      </w:r>
    </w:p>
    <w:p w:rsidR="00BE7FB3" w:rsidRDefault="00BE7FB3" w:rsidP="00BE7FB3">
      <w:pPr>
        <w:pStyle w:val="TextoNormal"/>
      </w:pPr>
    </w:p>
    <w:p w:rsidR="00BE7FB3" w:rsidRDefault="00BE7FB3" w:rsidP="00BE7FB3">
      <w:pPr>
        <w:pStyle w:val="TextoNormal"/>
      </w:pPr>
      <w:r>
        <w:t xml:space="preserve">Menciona a continuación el Auto la doctrina del Tribunal Supremo según la cual el personal estatutario, al igual que ocurre con el resto de los funcionarios públicos, no tiene un derecho incondicionado a prolongar voluntariamente el servicio activo tras alcanzar la edad ordinaria de jubilación forzosa (65 años). Para que tal prolongación (hasta los 70 años como máximo) se produzca es necesario, además de la capacidad funcional para el desempeño del </w:t>
      </w:r>
      <w:r>
        <w:lastRenderedPageBreak/>
        <w:t>cargo o plaza y la previa solicitud del interesado, que la prolongación sea autorizada por el servicio de salud correspondiente, en función de las necesidades de la organización articuladas “en el marco de los planes de ordenación de recursos humanos”. Señala también el Auto de planteamiento, aludiendo a la doctrina del Tribunal Supremo, que estamos ante un derecho subjetivo del funcionario pero que no le es reconocido de manera absoluta, sino condicionado a que las necesidades organizativas de la Administración para la que presta servicios hagan posible su ejercicio, recayendo sobre dicha Administración la carga de justificar esas necesidades organizativas.</w:t>
      </w:r>
    </w:p>
    <w:p w:rsidR="00BE7FB3" w:rsidRDefault="00BE7FB3" w:rsidP="00BE7FB3">
      <w:pPr>
        <w:pStyle w:val="TextoNormal"/>
      </w:pPr>
    </w:p>
    <w:p w:rsidR="00BE7FB3" w:rsidRDefault="00BE7FB3" w:rsidP="00BE7FB3">
      <w:pPr>
        <w:pStyle w:val="TextoNormal"/>
      </w:pPr>
      <w:r>
        <w:t>El Auto de planteamiento se refiere seguidamente a las competencias autonómicas en la materia, reconocidas en el art. 136 a) y b) del Estatuto de Autonomía de Cataluña (EAC), que han de interpretarse de conformidad con la doctrina sentada en la STC 31/2010, de 28 de junio, FJ 82 (y también en la STC 172/1996, de 31 de octubre), para indicar que la duda de constitucionalidad que se plantea no se refiere a la falta de concordancia literal de las normas estatales y autonómicas, sino a la razón de fondo por la cual la Sala entiende que la norma autonómica cuestionada “pudiera no respetar el sentido y alcance que se desprenden del contexto sistemático y de la finalidad como norma básica”.</w:t>
      </w:r>
    </w:p>
    <w:p w:rsidR="00BE7FB3" w:rsidRDefault="00BE7FB3" w:rsidP="00BE7FB3">
      <w:pPr>
        <w:pStyle w:val="TextoNormal"/>
      </w:pPr>
    </w:p>
    <w:p w:rsidR="00BE7FB3" w:rsidRDefault="00BE7FB3" w:rsidP="00BE7FB3">
      <w:pPr>
        <w:pStyle w:val="TextoNormal"/>
      </w:pPr>
      <w:r>
        <w:t>Añade la Sala que no se cuestiona la competencia de la Generalitat para legislar en materia de función pública, atendiendo a sus propios intereses, sino averiguar si tales intereses tienen o no cabida en los que persigue la norma básica. En ese sentido la Sala indica que una comparación del texto de la Ley 55/2003 y de la disposición transitoria novena de la Ley del Parlamento de Cataluña 5/2012 evidencia, de entrada, que esta norma autonómica ha eliminado la referencia al plan de ordenación de recursos humanos, instrumento definido en los arts. 13 y concordantes de la Ley 55/2003. Frente a lo alegado por el Instituto Catalán de Salud, la Sala descarta que sea de aplicación lo dispuesto en el art. 67.3 del estatuto básico del empleado público por la especificidad, tanto del art. 26.2 de la Ley 55/2003 como del propio personal estatutario y de la regulación de los servicios sanitarios autonómicos, señalando que la clave reside en que la exigencia de que la denegación o autorización de la prolongación del servicio activo se haga “en función de las necesidades de la organización articuladas en el marco de los planes de ordenación de los recursos humanos” haya sido respetada por la normativa autonómica. Comparando la redacción del precepto cuestionado con la del art. 26.2 de la Ley 55/2003 el Auto llega a la conclusión que la norma cuestionada convierte en excepcional lo que en el art. 26.2 de la Ley 55/2003 es norma general o derecho subjetivo para admitir la prórroga en el servicio activo en dos casos, de los que considera relevante el segundo (cuando “el Consejo de Administración del Instituto Catalán de la Salud considere que es preciso mantener las autorizaciones vigentes por causas derivadas de la planificación y racionalización de los recursos humanos”), límite relativo a la planificación de los recursos humanos, para lo que hay que valorar todo un conjunto de elementos con el fin de adecuar las dotaciones de personal a las necesidades asistenciales o de prestación del servicio sanitario a la población.</w:t>
      </w:r>
    </w:p>
    <w:p w:rsidR="00BE7FB3" w:rsidRDefault="00BE7FB3" w:rsidP="00BE7FB3">
      <w:pPr>
        <w:pStyle w:val="TextoNormal"/>
      </w:pPr>
    </w:p>
    <w:p w:rsidR="00BE7FB3" w:rsidRDefault="00BE7FB3" w:rsidP="00BE7FB3">
      <w:pPr>
        <w:pStyle w:val="TextoNormal"/>
      </w:pPr>
      <w:r>
        <w:t xml:space="preserve">En definitiva, el Auto estima que la Ley 55/2003 exige, por razones de legalidad y seguridad jurídica, que cualquier organización y racionalización de recursos humanos obedezca a un instrumento, el plan de ordenación de recursos humanos, que no sólo es la herramienta que garantiza una organización racional y eficiente, sino que también justifica, en lo que ahora interesa, la autorización o denegación de la prorroga en el servicio activo de aquel </w:t>
      </w:r>
      <w:r>
        <w:lastRenderedPageBreak/>
        <w:t>personal que pretenda ejercer este derecho subjetivo reconocido en el art. 26.2 de la Ley 55/2003.</w:t>
      </w:r>
    </w:p>
    <w:p w:rsidR="00BE7FB3" w:rsidRDefault="00BE7FB3" w:rsidP="00BE7FB3">
      <w:pPr>
        <w:pStyle w:val="TextoNormal"/>
      </w:pPr>
    </w:p>
    <w:p w:rsidR="00BE7FB3" w:rsidRDefault="00BE7FB3" w:rsidP="00BE7FB3">
      <w:pPr>
        <w:pStyle w:val="TextoNormal"/>
      </w:pPr>
      <w:r>
        <w:t>Distinto es el tenor de la disposición transitoria novena de la Ley del Parlamento de Cataluña 5/2012, en tanto que se refiere a una eventual autorización que ha de ser consecuencia de una actividad de planificación y organización de recursos humanos, pero omite la mención a los planes de ordenación de los recursos humanos, que son los que establecen las directrices para organizar el servicio público sanitario, omisión que viene confirmada por la aplicación que la Administración autonómica ha hecho de la disposición cuestionada. Alude el Auto a la regulación de la Ley 55/2003 en relación con los planes de ordenación de los recursos humanos para reiterar que, frente a ello, la norma cuestionada se remite a unos conceptos y causas ambiguos e indefinidos, pues no resulta expresivo que sean derivadas de la “planificación y racionalización de recursos humanos” y pueden responder a otros intereses distintos de aquellos que permiten conciliar el derecho subjetivo del funcionario a permanecer en el servicio activo con la necesidad de la organización asistencial, que es la finalidad perseguida por el art. 26.2 de la Ley 55/2003. Al mismo tiempo, contiene una norma temporal y excepcional que limita la prolongación en el servicio activo.</w:t>
      </w:r>
    </w:p>
    <w:p w:rsidR="00BE7FB3" w:rsidRDefault="00BE7FB3" w:rsidP="00BE7FB3">
      <w:pPr>
        <w:pStyle w:val="TextoNormal"/>
      </w:pPr>
    </w:p>
    <w:p w:rsidR="00BE7FB3" w:rsidRDefault="00BE7FB3" w:rsidP="00BE7FB3">
      <w:pPr>
        <w:pStyle w:val="TextoNormal"/>
      </w:pPr>
      <w:r>
        <w:t>Tras hacer mención a la Sentencia del Tribunal Supremo de 10 de marzo de 2010, en la que se descartó la adopción como doctrina legal del criterio propuesto por el Instituto Catalán de Salud en el sentido de que la existencia del plan de ordenación era solamente exigible para acordar la prórroga, no para su denegación, señala que, aún en el caso de que la actividad administrativa que impone la disposición transitoria novena de la Ley del Parlamento de Cataluña 5/2012 se amparase en la potestad organizativa de la Administración autonómica, constituiría un exceso completamente injustificado en atención a la realidad y presupuesto de la acción jurisdiccional ejercitada, teniendo en cuenta que afecta también a un derecho subjetivo esencial de la relación funcionarial, como es la pérdida de la condición de funcionario. En este sentido, la Sala promotora de la cuestión entiende que la norma básica estatal únicamente permite el ejercicio de la actividad discrecional en la elaboración del plan de ordenación de recursos humanos, lo que le lleva a rechazar de forma absoluta que el problema planteado pueda ser resuelto por vía interpretativa, dados los términos y finalidad de la disposición cuestionada que no casan con los términos y la finalidad del art. 26.2 de la Ley 55/2003, y en la medida en que la aplicación de uno de estos preceptos excluye la aplicación del otro.</w:t>
      </w:r>
    </w:p>
    <w:p w:rsidR="00BE7FB3" w:rsidRDefault="00BE7FB3" w:rsidP="00BE7FB3">
      <w:pPr>
        <w:pStyle w:val="TextoNormal"/>
      </w:pPr>
    </w:p>
    <w:p w:rsidR="00BE7FB3" w:rsidRDefault="00BE7FB3" w:rsidP="00BE7FB3">
      <w:pPr>
        <w:pStyle w:val="TextoNormal"/>
      </w:pPr>
      <w:r>
        <w:t xml:space="preserve">Concluye el Auto afirmando que la norma cuestionada es aplicable al incidente de modificación de las medidas cautelares, al contener una norma transitoria desde el momento de su entrada en vigor y hasta que transcurra el período de tres años, lo que también afectará a la Sentencia que pueda recaer en el proceso </w:t>
      </w:r>
      <w:r w:rsidRPr="00BE7FB3">
        <w:rPr>
          <w:i/>
        </w:rPr>
        <w:t>a quo</w:t>
      </w:r>
      <w:r>
        <w:t>.</w:t>
      </w:r>
    </w:p>
    <w:p w:rsidR="00BE7FB3" w:rsidRDefault="00BE7FB3" w:rsidP="00BE7FB3">
      <w:pPr>
        <w:pStyle w:val="TextoNormal"/>
      </w:pPr>
    </w:p>
    <w:p w:rsidR="00BE7FB3" w:rsidRDefault="00BE7FB3" w:rsidP="00BE7FB3">
      <w:pPr>
        <w:pStyle w:val="TextoNormal"/>
      </w:pPr>
      <w:r w:rsidRPr="00BE7FB3">
        <w:rPr>
          <w:rStyle w:val="NumeroAFNegritaCaracter"/>
        </w:rPr>
        <w:t>4</w:t>
      </w:r>
      <w:r>
        <w:t>. Por providencia de la Sección Segunda de este Tribunal de 26 de febrero de 2013 se acordó, a los efectos que determina el art. 37.1 LOTC, oír al Fiscal General del Estado para que, en el plazo de diez días, alegara lo que considerara conveniente acerca de la admisibilidad de la presente cuestión de inconstitucionalidad, por si fuese notoriamente infundada.</w:t>
      </w:r>
    </w:p>
    <w:p w:rsidR="00BE7FB3" w:rsidRDefault="00BE7FB3" w:rsidP="00BE7FB3">
      <w:pPr>
        <w:pStyle w:val="TextoNormal"/>
      </w:pPr>
    </w:p>
    <w:p w:rsidR="00BE7FB3" w:rsidRDefault="00BE7FB3" w:rsidP="00BE7FB3">
      <w:pPr>
        <w:pStyle w:val="TextoNormal"/>
      </w:pPr>
      <w:r w:rsidRPr="00BE7FB3">
        <w:rPr>
          <w:rStyle w:val="NumeroAFNegritaCaracter"/>
        </w:rPr>
        <w:t>5</w:t>
      </w:r>
      <w:r>
        <w:t xml:space="preserve">. El 22 de marzo de 2013 el Fiscal General del Estado presentó su escrito de alegaciones interesando la inadmisión de la cuestión de inconstitucionalidad, por entender que la norma </w:t>
      </w:r>
      <w:r>
        <w:lastRenderedPageBreak/>
        <w:t>cuestionada no sería aplicable al objeto del proceso y que carecen manifiestamente de fundamento las dudas suscitadas por el órgano judicial que la ha promovido.</w:t>
      </w:r>
    </w:p>
    <w:p w:rsidR="00BE7FB3" w:rsidRDefault="00BE7FB3" w:rsidP="00BE7FB3">
      <w:pPr>
        <w:pStyle w:val="TextoNormal"/>
      </w:pPr>
    </w:p>
    <w:p w:rsidR="00BE7FB3" w:rsidRDefault="00BE7FB3" w:rsidP="00BE7FB3">
      <w:pPr>
        <w:pStyle w:val="TextoNormal"/>
      </w:pPr>
      <w:r>
        <w:t>Tras referirse a los antecedentes de la cuestión, el Fiscal General del Estado señala que, si bien esta cuestión se ha planteado en un momento anterior al de dictar Sentencia, con ocasión de la solicitud por el Instituto Catalán de Salud de la modificación de una medida cautelar adoptada previamente por el órgano judicial, puede aceptarse que el momento procesal elegido por el órgano judicial para el planteamiento de la cuestión es el adecuado conforme a lo dispuesto en el art. 35.2 LOTC, toda vez que la resolución de la pieza separada de medidas cautelares no es una decisión de mero trámite, sino que afecta al proceso principal y tiene sustantividad propia respecto de éste.</w:t>
      </w:r>
    </w:p>
    <w:p w:rsidR="00BE7FB3" w:rsidRDefault="00BE7FB3" w:rsidP="00BE7FB3">
      <w:pPr>
        <w:pStyle w:val="TextoNormal"/>
      </w:pPr>
    </w:p>
    <w:p w:rsidR="00BE7FB3" w:rsidRDefault="00BE7FB3" w:rsidP="00BE7FB3">
      <w:pPr>
        <w:pStyle w:val="TextoNormal"/>
      </w:pPr>
      <w:r>
        <w:t>Señala a continuación el Fiscal General del Estado que la duda de constitucionalidad que se plantea no es otra cosa que un supuesto de inconstitucionalidad mediata o indirecta, por cuanto la norma autonómica, relativa a la autorización o denegación de prolongaciones en el servicio activo del personal estatutario del Instituto Catalán de Salud, no respetaría la finalidad y presupuestos señalados en la base estatal, constituida por el art. 26.2 de la Ley 55/2003, de 16 de diciembre, por la que se aprueba el estatuto marco del personal estatutario de los servicios de salud, para resolver las peticiones de prolongación del servicio activo una vez alcanzada la edad de jubilación a los 65 años.</w:t>
      </w:r>
    </w:p>
    <w:p w:rsidR="00BE7FB3" w:rsidRDefault="00BE7FB3" w:rsidP="00BE7FB3">
      <w:pPr>
        <w:pStyle w:val="TextoNormal"/>
      </w:pPr>
    </w:p>
    <w:p w:rsidR="00BE7FB3" w:rsidRDefault="00BE7FB3" w:rsidP="00BE7FB3">
      <w:pPr>
        <w:pStyle w:val="TextoNormal"/>
      </w:pPr>
      <w:r>
        <w:t>En este sentido, el Fiscal General del Estado cita la doctrina de las SSTC 1/2003 y 31/2010, señalando que el Estatuto de Autonomía de Cataluña, al establecer la competencia autonómica como compartida, presupone la plena virtualidad de la competencia estatal (art. 149.1.18 CE). De esta manera es al Estado al que corresponde regular los aspectos básicos de la materia y, por tanto, el legislador autonómico ha de respetar las bases establecidas sobre jubilación y prolongación del servicio activo. Ahora bien —continua el Fiscal General del Estado— lo cierto es que el examen del art. 26.2 de la Ley 55/2003 y de la disposición ahora cuestionada permite llegar a la conclusión de que el sistema de prolongación en el servicio activo por el personal estatutario de los servicios de salud está regulado de manera semejante, si no idéntica, tanto por la norma estatal como por la autonómica. La norma cuestionada responde a la necesidad de contención del gasto público, de conformidad con los compromisos asumidos por el Estado en el marco de la Unión Europea, pues entre dichas medidas de contención figura la no autorización de prolongaciones al personal funcionario de la Generalitat y la resolución de las ya autorizadas para el personal del Instituto Catalán de Salud, salvo que la prolongación resulte necesaria para causar derecho a la pensión de jubilación o que se considere necesario mantener las autorizaciones por causas derivadas de la planificación y racionalización de recursos humanos. Con ello, según el Fiscal General del Estado, el Parlamento de Cataluña habría legislado en esta materia con respeto a la norma básica estatal.</w:t>
      </w:r>
    </w:p>
    <w:p w:rsidR="00BE7FB3" w:rsidRDefault="00BE7FB3" w:rsidP="00BE7FB3">
      <w:pPr>
        <w:pStyle w:val="TextoNormal"/>
      </w:pPr>
    </w:p>
    <w:p w:rsidR="00BE7FB3" w:rsidRDefault="00BE7FB3" w:rsidP="00BE7FB3">
      <w:pPr>
        <w:pStyle w:val="TextoNormal"/>
      </w:pPr>
      <w:r>
        <w:t xml:space="preserve">Por otra parte, considera el Fiscal General del Estado que no se cumple el juicio de relevancia. La duda de constitucionalidad planteada por la Sala descansa sobre la incidencia de la disposición legal cuestionada en el mantenimiento de la medida cautelar inicialmente adoptada en el proceso </w:t>
      </w:r>
      <w:r w:rsidRPr="00BE7FB3">
        <w:rPr>
          <w:i/>
        </w:rPr>
        <w:t>a quo</w:t>
      </w:r>
      <w:r>
        <w:t xml:space="preserve">, pues considera que la disposición transitoria novena, segundo inciso, de la Ley del Parlamento de Cataluña 5/2012, habilitaría a la Administración autonómica para poder dictar una resolución respecto a la prolongación o denegación de la permanencia en el servicio activo del solicitante, sin necesidad de motivar la denegación y por </w:t>
      </w:r>
      <w:r>
        <w:lastRenderedPageBreak/>
        <w:t xml:space="preserve">causas o motivos ajenos a la planificación de las necesidades de la organización. Por tanto, el juicio de relevancia propuesto por el órgano judicial se basa en la consideración de que, si bien no han variado las circunstancias fácticas de la medida cautelar, sí que ha cambiado el régimen aplicable, pues obliga a dejar sin efecto las prolongaciones otorgadas con anterioridad a su entrada en vigor, omitiendo toda referencia al plan de ordenación de recursos humanos. Sin embargo, a juicio del Fiscal General del Estado, la promulgación de la Ley 5/2012 no hace inviable el mantenimiento de la medida cautelar. Argumenta al respecto que la adopción de la medida cautelar se fundó en la necesidad de que las jubilaciones que se declaren cuenten con la cobertura de un plan de ordenación de recursos humanos, por lo que la jubilación acordada en el caso </w:t>
      </w:r>
      <w:r w:rsidRPr="00BE7FB3">
        <w:rPr>
          <w:i/>
        </w:rPr>
        <w:t>a quo</w:t>
      </w:r>
      <w:r>
        <w:t xml:space="preserve"> no tendría esa cobertura en atención al momento en el que se adoptó. Además añade que el presupuesto de hecho del que parte la norma autonómica cuestionada es la existencia de una autorización administrativa de la prolongación de la permanencia en el servicio activo, mientras que el objeto del recurso contencioso-administrativo es una resolución administrativa que denegó la prolongación en el servicio activo del recurrente. Para el Fiscal General del Estado lo expuesto conduciría a que la norma autonómica cuestionada no sería aplicable al caso concreto en el que se plantea la duda de constitucionalidad, lo que conllevaría la inexistencia de uno de los presupuestos legales exigidos por el art. 35.2 LOTC para poder plantear una cuestión de inconstitucionalidad, como es que se trate de una norma con rango de ley aplicable al caso y de cuya validez dependa el fallo.</w:t>
      </w:r>
    </w:p>
    <w:p w:rsidR="00BE7FB3" w:rsidRDefault="00BE7FB3" w:rsidP="00BE7FB3">
      <w:pPr>
        <w:pStyle w:val="TextoNormal"/>
      </w:pPr>
    </w:p>
    <w:p w:rsidR="00BE7FB3" w:rsidRDefault="00BE7FB3" w:rsidP="00BE7FB3">
      <w:pPr>
        <w:pStyle w:val="TextoNormal"/>
      </w:pPr>
      <w:r>
        <w:t>Por último, el Fiscal General del Estado señala que discrepa de la conclusión a la que llega el órgano judicial, que entiende asimilada la situación producida con la adopción de la medida cautelar con la prevista en la norma que cuestiona. Estima que, aun aceptando dicha conclusión, la norma autonómica no impediría al órgano judicial dictar una resolución en el sentido interesado por el recurrente, dado que la norma autonómica no establece de manera automática la revocación de las prolongaciones autorizadas, sino que permite el mantenimiento de esa situación si se dan determinados requisitos que pueden ser objeto de valoración judicial. Tampoco el silencio de la norma estatal sobre las revocaciones permitiría suponer que las distintas administraciones autonómicas no puedan revocar autorizaciones de prolongación del servicio ya concedidas a partir de las necesidades de recursos humanos. De esta manera, concluye el Fiscal General del Estado, no se apreciaría una contradicción insalvable entre la norma legal estatal y el precepto legal autonómico, que admite una interpretación conforme con el art. 26.2 de la Ley 55/2003, por lo que el planteamiento de la cuestión sería infundado.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La Sección Cuarta de la Sala de lo Contencioso-Administrativo del Tribunal Superior de Justicia de Cataluña plantea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posible vulneración del art. 149.1.18 CE en relación con lo dispuesto en el art. 26.2 de la Ley 55/2003, de 16 de diciembre, por la que se aprueba el estatuto marco del personal estatutario de los servicios de salud.</w:t>
      </w:r>
    </w:p>
    <w:p w:rsidR="00BE7FB3" w:rsidRDefault="00BE7FB3" w:rsidP="00BE7FB3">
      <w:pPr>
        <w:pStyle w:val="TextoNormal"/>
      </w:pPr>
    </w:p>
    <w:p w:rsidR="00BE7FB3" w:rsidRDefault="00BE7FB3" w:rsidP="00BE7FB3">
      <w:pPr>
        <w:pStyle w:val="TextoNormal"/>
      </w:pPr>
      <w:r>
        <w:lastRenderedPageBreak/>
        <w:t>La disposición transitoria novena, de la Ley del Parlamento de Cataluña 5/2012, en el inciso cuestionado, establece:</w:t>
      </w:r>
    </w:p>
    <w:p w:rsidR="00BE7FB3" w:rsidRDefault="00BE7FB3" w:rsidP="00BE7FB3">
      <w:pPr>
        <w:pStyle w:val="TextoNormal"/>
      </w:pPr>
    </w:p>
    <w:p w:rsidR="00BE7FB3" w:rsidRDefault="00BE7FB3" w:rsidP="00BE7FB3">
      <w:pPr>
        <w:pStyle w:val="TextoNormal"/>
      </w:pPr>
      <w:r>
        <w:t>“Disposición transitoria novena. Prolongaciones al personal funcionario de la Administración de la Generalitat y al personal estatutario del Instituto Catalán de la Salud.</w:t>
      </w:r>
    </w:p>
    <w:p w:rsidR="00BE7FB3" w:rsidRDefault="00BE7FB3" w:rsidP="00BE7FB3">
      <w:pPr>
        <w:pStyle w:val="TextoNormal"/>
      </w:pPr>
    </w:p>
    <w:p w:rsidR="00BE7FB3" w:rsidRDefault="00BE7FB3" w:rsidP="00BE7FB3">
      <w:pPr>
        <w:pStyle w:val="TextoNormal"/>
      </w:pPr>
      <w:r>
        <w:t>…</w:t>
      </w:r>
    </w:p>
    <w:p w:rsidR="00BE7FB3" w:rsidRDefault="00BE7FB3" w:rsidP="00BE7FB3">
      <w:pPr>
        <w:pStyle w:val="TextoNormal"/>
      </w:pPr>
    </w:p>
    <w:p w:rsidR="00BE7FB3" w:rsidRDefault="00BE7FB3" w:rsidP="00BE7FB3">
      <w:pPr>
        <w:pStyle w:val="TextoNormal"/>
      </w:pPr>
      <w:r>
        <w:t>Asimismo, las prolongaciones ya autorizadas del personal estatutario del Instituto Catalán de la Salud deben resolverse en el plazo de seis meses, salvo que sea necesario para causar derecho a la pensión de jubilación o en caso de que, excepcionalmente, el Consejo de Administración del Instituto Catalán de la Salud considere que es preciso mantener las autorizaciones vigentes por causas derivadas de la planificación y racionalización de los recursos humanos.”</w:t>
      </w:r>
    </w:p>
    <w:p w:rsidR="00BE7FB3" w:rsidRDefault="00BE7FB3" w:rsidP="00BE7FB3">
      <w:pPr>
        <w:pStyle w:val="TextoNormal"/>
      </w:pPr>
    </w:p>
    <w:p w:rsidR="00BE7FB3" w:rsidRDefault="00BE7FB3" w:rsidP="00BE7FB3">
      <w:pPr>
        <w:pStyle w:val="TextoNormal"/>
      </w:pPr>
      <w:r>
        <w:t>Por su parte, el art. 26.2 de la Ley 55/2003 dispone:</w:t>
      </w:r>
    </w:p>
    <w:p w:rsidR="00BE7FB3" w:rsidRDefault="00BE7FB3" w:rsidP="00BE7FB3">
      <w:pPr>
        <w:pStyle w:val="TextoNormal"/>
      </w:pPr>
    </w:p>
    <w:p w:rsidR="00BE7FB3" w:rsidRDefault="00BE7FB3" w:rsidP="00BE7FB3">
      <w:pPr>
        <w:pStyle w:val="TextoNormal"/>
      </w:pPr>
      <w:r>
        <w:t>“Artículo 26. Jubilación.</w:t>
      </w:r>
    </w:p>
    <w:p w:rsidR="00BE7FB3" w:rsidRDefault="00BE7FB3" w:rsidP="00BE7FB3">
      <w:pPr>
        <w:pStyle w:val="TextoNormal"/>
      </w:pPr>
    </w:p>
    <w:p w:rsidR="00BE7FB3" w:rsidRDefault="00BE7FB3" w:rsidP="00BE7FB3">
      <w:pPr>
        <w:pStyle w:val="TextoNormal"/>
      </w:pPr>
      <w:r>
        <w:t>…</w:t>
      </w:r>
    </w:p>
    <w:p w:rsidR="00BE7FB3" w:rsidRDefault="00BE7FB3" w:rsidP="00BE7FB3">
      <w:pPr>
        <w:pStyle w:val="TextoNormal"/>
      </w:pPr>
    </w:p>
    <w:p w:rsidR="00BE7FB3" w:rsidRDefault="00BE7FB3" w:rsidP="00BE7FB3">
      <w:pPr>
        <w:pStyle w:val="TextoNormal"/>
      </w:pPr>
      <w:r>
        <w:t>2. La jubilación forzosa se declarará al cumplir el interesado la edad de 65 años. No obstante, el interesado podrá solicitar voluntariamente prolongar su permanencia en servicio activo hasta cumplir, como máximo, los 70 años de edad, siempre que quede acreditado que reúne la capacidad funcional necesaria para ejercer la profesión o desarrollar las actividades correspondientes a su nombramiento. Esta prolongación deberá ser autorizada por el servicio de salud correspondiente, en función de las necesidades de la organización articuladas en el marco de los planes de ordenación de recursos humanos.”</w:t>
      </w:r>
    </w:p>
    <w:p w:rsidR="00BE7FB3" w:rsidRDefault="00BE7FB3" w:rsidP="00BE7FB3">
      <w:pPr>
        <w:pStyle w:val="TextoNormal"/>
      </w:pPr>
    </w:p>
    <w:p w:rsidR="00BE7FB3" w:rsidRDefault="00BE7FB3" w:rsidP="00BE7FB3">
      <w:pPr>
        <w:pStyle w:val="TextoNormal"/>
      </w:pPr>
      <w:r>
        <w:t>Como ha quedado expuesto en los antecedentes, el órgano judicial estima que la disposición transitoria novena, segundo inciso, de la Ley del Parlamento de Cataluña 5/2012 no ha respetado la normativa básica dictada por el Estado al amparo del título competencial del art. 149.1.18 CE que, en el caso concreto, sería el art. 26.2 de la Ley 55/2003. Tal vulneración se produciría porque el precepto cuestionado omitiría la exigencia de la norma básica estatal en el sentido de que las resoluciones acerca de la prolongación de la permanencia en el servicio activo del personal de los servicios de salud se adopten en el marco previamente definido por los planes de ordenación de recursos humanos.</w:t>
      </w:r>
    </w:p>
    <w:p w:rsidR="00BE7FB3" w:rsidRDefault="00BE7FB3" w:rsidP="00BE7FB3">
      <w:pPr>
        <w:pStyle w:val="TextoNormal"/>
      </w:pPr>
    </w:p>
    <w:p w:rsidR="00BE7FB3" w:rsidRDefault="00BE7FB3" w:rsidP="00BE7FB3">
      <w:pPr>
        <w:pStyle w:val="TextoNormal"/>
      </w:pPr>
      <w:r>
        <w:t>El Fiscal General del Estado, en el trámite previsto en el art. 37.1 de la Ley Orgánica del Tribunal Constitucional (LOTC) se ha opuesto a la admisión de la presente cuestión de inconstitucionalidad, por entender que no se ha formulado adecuadamente el juicio de relevancia exigido por el art. 35 LOTC, así como por considerarla notoriamente infundada.</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La presente cuestión de inconstitucionalidad guarda clara conexión con la cuestión de inconstitucionalidad núm. 6611-2012. En ella también la Sección Cuarta de la Sala de lo Contencioso-Administrativo del Tribunal Superior de Justicia de Cataluña planteó cuestión de inconstitucionalidad en relación con la disposición transitoria novena, segundo inciso, de la Ley del Parlamento de Cataluña 5/2012, de 20 de marzo, de medidas fiscales, financieras </w:t>
      </w:r>
      <w:r>
        <w:lastRenderedPageBreak/>
        <w:t>y administrativas y de creación del impuesto sobre las estancias en establecimientos turísticos, por posible vulneración del art. 149.1.18 CE en relación con lo dispuesto en el art. 26.2 de la Ley 55/2003, de 16 de diciembre, por la que se aprueba el estatuto marco del personal estatutario de los servicios de salud. En consecuencia, puesto que en ambos procesos constitucionales se plantea la misma controversia competencial, debemos remitirnos al ATC 85/2013, de 23 de abril, cuyas apreciaciones y conclusiones resumimos a continuación:</w:t>
      </w:r>
    </w:p>
    <w:p w:rsidR="00BE7FB3" w:rsidRDefault="00BE7FB3" w:rsidP="00BE7FB3">
      <w:pPr>
        <w:pStyle w:val="TextoNormal"/>
      </w:pPr>
    </w:p>
    <w:p w:rsidR="00BE7FB3" w:rsidRDefault="00BE7FB3" w:rsidP="00BE7FB3">
      <w:pPr>
        <w:pStyle w:val="TextoNormal"/>
      </w:pPr>
      <w:r>
        <w:t>a) Partiendo de nuestra doctrina según la cual, en principio,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a los hechos enjuiciados, el juicio de aplicabilidad y relevancia ha de entenderse adecuadamente formulado en este caso. En efecto, el incidente de modificación de las medidas cautelares no puede resolverse sin antes despejar la duda de constitucionalidad planteada sobre la disposición legal, ya que, como ha quedado expuesto en los antecedentes, es la norma cuestionada la que ha dado lugar a la petición de modificación de la medida cautelar inicialmente acordada por variación de las circunstancias al amparo del art. 132.1 de la Ley 29/1998, de 13 de julio, reguladora de la jurisdicción contencioso-administrativa.</w:t>
      </w:r>
    </w:p>
    <w:p w:rsidR="00BE7FB3" w:rsidRDefault="00BE7FB3" w:rsidP="00BE7FB3">
      <w:pPr>
        <w:pStyle w:val="TextoNormal"/>
      </w:pPr>
    </w:p>
    <w:p w:rsidR="00BE7FB3" w:rsidRDefault="00BE7FB3" w:rsidP="00BE7FB3">
      <w:pPr>
        <w:pStyle w:val="TextoNormal"/>
      </w:pPr>
      <w:r>
        <w:t>b) El carácter funcionarial del personal sanitario determina el encuadramiento competencial de las cuestiones relativas a su jubilación en el ámbito material “estatuto de los funcionarios públicos”, en cuanto que la jubilación es una de las causas de pérdida de la condición de personal estatutario [art. 21 e) de la Ley 55/2003]. A tenor de lo dispuesto en el art. 149.1.18 CE, el Estado tiene atribuida la competencia exclusiva para el establecimiento de las bases del régimen estatutario de los funcionarios públicos y, por tanto, también de sus aspectos relativos a la jubilación, mientras que a Cataluña, le corresponde, en virtud del actual art. 136 b) de su Estatuto de Autonomía, la competencia compartida para el desarrollo de algunos aspectos del régimen estatutario de los funcionarios públicos (empleo público; adquisición y pérdida de la condición de funcionario; situaciones administrativas; derechos, deberes e incompatibilidades), atribución que ha de entenderse con el sentido y alcance expresado en la STC 31/2010, de 28 de septiembre, FJ 82, del que resulta que la formalización de la competencia autonómica como compartida presupone la plena virtualidad de la competencia normativa básica del Estado en la materia (FJ 4).</w:t>
      </w:r>
    </w:p>
    <w:p w:rsidR="00BE7FB3" w:rsidRDefault="00BE7FB3" w:rsidP="00BE7FB3">
      <w:pPr>
        <w:pStyle w:val="TextoNormal"/>
      </w:pPr>
    </w:p>
    <w:p w:rsidR="00BE7FB3" w:rsidRDefault="00BE7FB3" w:rsidP="00BE7FB3">
      <w:pPr>
        <w:pStyle w:val="TextoNormal"/>
      </w:pPr>
      <w:r>
        <w:t>c) Así encuadrada la cuestión, debemos afirmar que la norma estatal que el órgano judicial entiende vulnerada es básica desde la perspectiva formal, pues con tal carácter se proclama en la disposición final primera de la Ley 55/2003 y lo mismo sucede desde la perspectiva material, ya que la normación relativa a la pérdida de la condición de funcionario, en este caso, mediante la jubilación, se incluye con naturalidad dentro de las bases del régimen estatutario de los funcionarios públicos, que han de ser establecidas por el Estado, conforme al art. 149.1.18 CE (FJ 5).</w:t>
      </w:r>
    </w:p>
    <w:p w:rsidR="00BE7FB3" w:rsidRDefault="00BE7FB3" w:rsidP="00BE7FB3">
      <w:pPr>
        <w:pStyle w:val="TextoNormal"/>
      </w:pPr>
    </w:p>
    <w:p w:rsidR="00BE7FB3" w:rsidRDefault="00BE7FB3" w:rsidP="00BE7FB3">
      <w:pPr>
        <w:pStyle w:val="TextoNormal"/>
      </w:pPr>
      <w:r>
        <w:t xml:space="preserve">d) La prolongación en el servicio activo prevista en el art. 26.2, segundo inciso, de la Ley 55/2003, no opera de forma automática, sino que exige una autorización del servicio de salud “en función de las necesidades de la organización articuladas en el marco de los planes de ordenación de recursos humanos”. Es decir, requiere de la existencia de razones de interés general de carácter organizativo y asistencial que aconsejen seguir contando con determinado personal y que tales razones se expliciten en la resolución autorizatoria. De este </w:t>
      </w:r>
      <w:r>
        <w:lastRenderedPageBreak/>
        <w:t>modo, la finalidad de la prolongación de la permanencia en el servicio activo responde a las necesidades de personal derivadas de la organización y de la adecuada prestación del servicio público sanitario a la población (FJ 5).</w:t>
      </w:r>
    </w:p>
    <w:p w:rsidR="00BE7FB3" w:rsidRDefault="00BE7FB3" w:rsidP="00BE7FB3">
      <w:pPr>
        <w:pStyle w:val="TextoNormal"/>
      </w:pPr>
    </w:p>
    <w:p w:rsidR="00BE7FB3" w:rsidRDefault="00BE7FB3" w:rsidP="00BE7FB3">
      <w:pPr>
        <w:pStyle w:val="TextoNormal"/>
      </w:pPr>
      <w:r>
        <w:t>e) La disposición adicional decimotercera de la Ley del Parlamento de Cataluña 5/2012, intitulada “jubilación forzosa del personal del Instituto Catalán de la Salud”, en el mismo sentido que expresa la base estatal, requiere de la existencia de razones de interés general de carácter organizativo y asistencial que aconsejen seguir contando con determinado personal y que dichas razones encuentren su fundamento en el plan de ordenación de recursos humanos del Instituto Catalán de la Salud (FJ 5).</w:t>
      </w:r>
    </w:p>
    <w:p w:rsidR="00BE7FB3" w:rsidRDefault="00BE7FB3" w:rsidP="00BE7FB3">
      <w:pPr>
        <w:pStyle w:val="TextoNormal"/>
      </w:pPr>
    </w:p>
    <w:p w:rsidR="00BE7FB3" w:rsidRDefault="00BE7FB3" w:rsidP="00BE7FB3">
      <w:pPr>
        <w:pStyle w:val="TextoNormal"/>
      </w:pPr>
      <w:r>
        <w:t>f) Los elementos que integran la base estatal del segundo párrafo del art. 26.2 de la Ley 55/2003 no se ven contradichos por la regulación autonómica, que perfila así un elemento que estaba ya incluido en la norma estatal, el interés en cesar la relación estatutaria a partir de una determinada edad del personal. El art. 26.2 de la Ley 55/2003 establece un criterio para determinar o decidir el contenido de la concreta resolución que debe adoptarse, pero eso no significa que ese criterio sea el único y excluyente, ni que el mismo no pueda ser modulado por el legislador autonómico competente por razón de la materia. La base estatal establece una regla con vocación de aplicación uniforme en todo el territorio nacional, siempre dejando un margen de actuación a las Administraciones competentes para adecuar tal aplicación a las necesidades existentes, cohonestando la finalidad del servicio público de salud y su carácter esencial para la población, con las necesidades organizativas (FJ 5).</w:t>
      </w:r>
    </w:p>
    <w:p w:rsidR="00BE7FB3" w:rsidRDefault="00BE7FB3" w:rsidP="00BE7FB3">
      <w:pPr>
        <w:pStyle w:val="TextoNormal"/>
      </w:pPr>
    </w:p>
    <w:p w:rsidR="00BE7FB3" w:rsidRDefault="00BE7FB3" w:rsidP="00BE7FB3">
      <w:pPr>
        <w:pStyle w:val="TextoNormal"/>
      </w:pPr>
      <w:r>
        <w:t>g) En la no cuestionada disposición adicional decimotercera de la Ley 5/2012 el legislador catalán, en el ejercicio de sus competencias de desarrollo normativo en el ámbito de la función pública y más específicamente en relación con el personal estatutario del servicio autonómico de salud, está precisando, mediante la exigencia de una resolución expresa motivada en las causas previstas en el plan de ordenación de recursos humanos del Instituto Catalán de la Salud, los dos supuestos que, a estos efectos, habrán de tenerse en cuenta para acordar la prolongación en el servicio activo, de suerte que ésta únicamente será posible por concretas necesidades asistenciales en el territorio o en atención al prestigio profesional del solicitante. Es decir, en el mismo sentido que expresa la base estatal, requiere de la existencia de razones de interés general de carácter organizativo y asistencial que aconsejen seguir contando con determinado personal y que dichas razones encuentren su fundamento en el plan de ordenación de recursos humanos del Instituto Catalán de la Salud (FJ 5).</w:t>
      </w:r>
    </w:p>
    <w:p w:rsidR="00BE7FB3" w:rsidRDefault="00BE7FB3" w:rsidP="00BE7FB3">
      <w:pPr>
        <w:pStyle w:val="TextoNormal"/>
      </w:pPr>
    </w:p>
    <w:p w:rsidR="00BE7FB3" w:rsidRDefault="00BE7FB3" w:rsidP="00BE7FB3">
      <w:pPr>
        <w:pStyle w:val="TextoNormal"/>
      </w:pPr>
      <w:r w:rsidRPr="00BE7FB3">
        <w:rPr>
          <w:rStyle w:val="NumeroAFNegritaCaracter"/>
        </w:rPr>
        <w:t>3</w:t>
      </w:r>
      <w:r>
        <w:t>. En suma, es posible concluir que, afirmado el carácter básico de la normativa estatal, no se aprecia que la normativa autonómica cuestionada incurra en contradicción con sus mandatos, pues ambas normas son así susceptibles de ser interpretadas e integradas armónicamente. Por ello, falta aquí la real y efectiva contradicción entre la norma estatal y la autonómica de la que, en los términos expuestos en el Auto de planteamiento, se derivaría la vulneración del orden constitucional de distribución de competencias, lo que priva del necesario fundamento a la presente cuestión y determina que deba ser inadmitida a trámite.</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Inadmitir a trámite la presente cuestión de inconstitucionalidad.</w:t>
      </w:r>
    </w:p>
    <w:p w:rsidR="00BE7FB3" w:rsidRDefault="00BE7FB3" w:rsidP="00BE7FB3">
      <w:pPr>
        <w:pStyle w:val="TextoNormal"/>
      </w:pPr>
    </w:p>
    <w:p w:rsidR="00BE7FB3" w:rsidRDefault="00BE7FB3" w:rsidP="00BE7FB3">
      <w:pPr>
        <w:pStyle w:val="TextoNormal"/>
      </w:pPr>
      <w:r>
        <w:t>Madrid, a veintiuno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69" w:name="AUTO_2013_128"/>
      <w:r>
        <w:lastRenderedPageBreak/>
        <w:t>AUTO 128/2013, de 21 de mayo de 2013</w:t>
      </w:r>
    </w:p>
    <w:bookmarkEnd w:id="269"/>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ECLI:ES:TC:2013:128A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Inadmite a trámite la cuestión de inconstitucionalidad 963-2013, planteada por la Sección Cuarta de la Sala de lo Contencioso-Administrativo del Tribunal Superior de Justicia de Cataluña, en relación con la disposición transitoria novena, segundo inciso, de la Ley del Parlamento de Cataluña 5/2012, de 20 de marzo, de medidas fiscales, financieras y administrativas y de creación del impuesto sobre las estancias en establecimientos turísticos.</w:t>
      </w:r>
    </w:p>
    <w:p w:rsidR="00BE7FB3" w:rsidRDefault="00BE7FB3" w:rsidP="00BE7FB3">
      <w:pPr>
        <w:pStyle w:val="SntesisDescriptiva"/>
      </w:pPr>
    </w:p>
    <w:p w:rsidR="00BE7FB3" w:rsidRDefault="00BE7FB3" w:rsidP="00BE7FB3">
      <w:pPr>
        <w:pStyle w:val="SntesisAnaltica"/>
      </w:pPr>
      <w:r>
        <w:t>Cuestión de inconstitucionalidad: ATC 125/2013</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día 18 de febrero de 2013, al que se acompaña el Auto de 24 de octubre de 2012, junto a las correspondientes actuaciones, la Sección Cuarta de la Sala de lo Contencioso-Administrativo del Tribunal Superior de Justicia de Cataluña plantea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posible vulneración del art. 149.1.18 CE en relación con lo dispuesto en el art. 26.2 de la Ley 55/2003, de 16 de diciembre, por la que se aprueba el estatuto marco del personal estatutario de los servicios de salud.</w:t>
      </w:r>
    </w:p>
    <w:p w:rsidR="00BE7FB3" w:rsidRDefault="00BE7FB3" w:rsidP="00BE7FB3">
      <w:pPr>
        <w:pStyle w:val="TextoNormal"/>
      </w:pPr>
    </w:p>
    <w:p w:rsidR="00BE7FB3" w:rsidRDefault="00BE7FB3" w:rsidP="00BE7FB3">
      <w:pPr>
        <w:pStyle w:val="TextoNormal"/>
      </w:pPr>
      <w:r w:rsidRPr="00BE7FB3">
        <w:rPr>
          <w:rStyle w:val="NumeroAFNegritaCaracter"/>
        </w:rPr>
        <w:t>2</w:t>
      </w:r>
      <w:r>
        <w:t>. Los antecedentes de la cuestión son los siguientes:</w:t>
      </w:r>
    </w:p>
    <w:p w:rsidR="00BE7FB3" w:rsidRDefault="00BE7FB3" w:rsidP="00BE7FB3">
      <w:pPr>
        <w:pStyle w:val="TextoNormal"/>
      </w:pPr>
    </w:p>
    <w:p w:rsidR="00BE7FB3" w:rsidRDefault="00BE7FB3" w:rsidP="00BE7FB3">
      <w:pPr>
        <w:pStyle w:val="TextoNormal"/>
      </w:pPr>
      <w:r>
        <w:t xml:space="preserve">a) El recurrente en el proceso </w:t>
      </w:r>
      <w:r w:rsidRPr="00BE7FB3">
        <w:rPr>
          <w:i/>
        </w:rPr>
        <w:t>a quo</w:t>
      </w:r>
      <w:r>
        <w:t>, médico con nombramiento estatutario fijo, solicitó antes de cumplir 65 años la autorización para continuar en servicio activo al amparo de lo dispuesto en el art. 26.2 de la de la Ley 55/2003, de 16 de diciembre, por la que se aprueba el estatuto marco del personal estatutario de los servicios de salud, solicitud que fue denegada por el Director Gerente del Instituto Catalán de Salud, denegación confirmada mediante desestimación expresa del recurso de reposición interpuesto por el interesado.</w:t>
      </w:r>
    </w:p>
    <w:p w:rsidR="00BE7FB3" w:rsidRDefault="00BE7FB3" w:rsidP="00BE7FB3">
      <w:pPr>
        <w:pStyle w:val="TextoNormal"/>
      </w:pPr>
    </w:p>
    <w:p w:rsidR="00BE7FB3" w:rsidRDefault="00BE7FB3" w:rsidP="00BE7FB3">
      <w:pPr>
        <w:pStyle w:val="TextoNormal"/>
      </w:pPr>
      <w:r>
        <w:t xml:space="preserve">b) Contra la resolución denegatoria interpuso el interesado recurso contencioso-administrativo, solicitando por otrosí la medida cautelar de suspensión de la ejecutividad de la resolución recurrida a fin de poder continuar en el servicio activo. Mediante Auto de 12 de </w:t>
      </w:r>
      <w:r>
        <w:lastRenderedPageBreak/>
        <w:t>marzo de 2009, confirmado por otro posterior de 16 de marzo de 2009, la Sección Cuarta de la Sala de lo Contencioso-Administrativo del Tribunal Superior de Justicia de Cataluña acordó suspender la ejecución de la resolución administrativa impugnada y, en consecuencia, autorizar al recurrente a continuar en el desempeño del puesto que ocupaba.</w:t>
      </w:r>
    </w:p>
    <w:p w:rsidR="00BE7FB3" w:rsidRDefault="00BE7FB3" w:rsidP="00BE7FB3">
      <w:pPr>
        <w:pStyle w:val="TextoNormal"/>
      </w:pPr>
    </w:p>
    <w:p w:rsidR="00BE7FB3" w:rsidRDefault="00BE7FB3" w:rsidP="00BE7FB3">
      <w:pPr>
        <w:pStyle w:val="TextoNormal"/>
      </w:pPr>
      <w:r>
        <w:t>c) Mediante resolución de 24 de abril de 2012 el Director Gerente del Instituto Catalán de Salud acordó resolver la autorización de prolongación del servicio activo y declarar la jubilación forzosa del interesado con efectos de 30 de abril de 2012, al amparo de lo establecido en la disposición transitoria novena, segundo inciso, de la Ley del Parlamento de Cataluña 5/2012, de 20 de marzo, de medidas fiscales, financieras y administrativas y de creación del impuesto sobre las estancias en establecimientos turísticos. Planteada demanda incidental por el interesado solicitando la nulidad de dicha resolución, la misma fue estimada por Auto de 26 de junio de 2012, confirmado por otro posterior de 21 de septiembre de 2012, que no sólo declaró la nulidad de la resolución de 24 de abril de 2012 sino que, a instancias del Instituto Catalán de Salud, tuvo por formulada solicitud de modificación de las medidas cautelares inicialmente adoptadas.</w:t>
      </w:r>
    </w:p>
    <w:p w:rsidR="00BE7FB3" w:rsidRDefault="00BE7FB3" w:rsidP="00BE7FB3">
      <w:pPr>
        <w:pStyle w:val="TextoNormal"/>
      </w:pPr>
    </w:p>
    <w:p w:rsidR="00BE7FB3" w:rsidRDefault="00BE7FB3" w:rsidP="00BE7FB3">
      <w:pPr>
        <w:pStyle w:val="TextoNormal"/>
      </w:pPr>
      <w:r>
        <w:t>d) Pendiente de resolver el citado incidente de modificación de las medidas cautelares, el órgano judicial dictó providencia el 10 de octubre de 2012 dando trámite de audiencia de 10 días (art. 35.2 de la Ley Orgánica del Tribunal Constitucional: LOTC) a las partes y al Ministerio Fiscal para formular alegaciones sobre la conveniencia de plantear cuestión de inconstitucionalidad respecto de la disposición transitoria novena, segundo inciso, de la Ley del Parlamento de Cataluña 5/2012, de 20 de marzo, atendida la distribución competencial de los arts. 149.1.18, 149.1.17, 149.1.16 y 149.1.13 CE, por ser relevante para la resolución sobre la modificación de la medida cautelar solicitada determinar si debe prevalecer la referida disposición transitoria de la Ley del Parlamento de Cataluña 5/2012 (interpretada en la misma línea que la disposición adicional decimotercera de la misma norma) o el art. 26.2 de la Ley 55/2003, que tiene carácter básico y que es la que propugna el recurrente, “en tanto que la redacción de aquella norma autonómica no es coincidente con la norma básica estatal”. Igualmente se acuerda, “teniendo en cuenta la incidencia de la planificación de la jubilación que afecta tanto a la planificación general de la actividad económica, por ser las retribuciones de los funcionarios en activo un gasto de personal, como a la caja única de la seguridad social, a partir del momento en que se declara la jubilación del personal estatutario —en este caso forzosa— y partiendo de que el desarrollo normativo de las leyes básicas ha de ser acorde con las mismas, procede también conceder la misma audiencia de diez días al Abogado del Estado, al Letrado de la Seguridad Social y al representante de la Administración autonómica …, a fin de que puedan alegar lo que deseen sobre la pertinencia o no de plantear la cuestión de inconstitucionalidad”.</w:t>
      </w:r>
    </w:p>
    <w:p w:rsidR="00BE7FB3" w:rsidRDefault="00BE7FB3" w:rsidP="00BE7FB3">
      <w:pPr>
        <w:pStyle w:val="TextoNormal"/>
      </w:pPr>
    </w:p>
    <w:p w:rsidR="00BE7FB3" w:rsidRDefault="00BE7FB3" w:rsidP="00BE7FB3">
      <w:pPr>
        <w:pStyle w:val="TextoNormal"/>
      </w:pPr>
      <w:r>
        <w:t xml:space="preserve">El recurrente en el proceso </w:t>
      </w:r>
      <w:r w:rsidRPr="00BE7FB3">
        <w:rPr>
          <w:i/>
        </w:rPr>
        <w:t>a quo</w:t>
      </w:r>
      <w:r>
        <w:t xml:space="preserve"> solicitó el planteamiento de la cuestión de inconstitucionalidad y en el mismo sentido se pronunciaron el Ministerio Fiscal y el Letrado de la Administración de la Seguridad Social. Por el contrario, el Instituto Catalán de Salud, el Abogado del Estado y la Abogada de la Generalitat de Cataluña se opusieron al planteamiento de la cuestión.</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La Sección Cuarta de la Sala de lo Contencioso-Administrativo del Tribunal Superior de Justicia de Cataluña dictó el Auto de 9 de enero de 2013 por el que acuerda plantear cuestión de inconstitucionalidad en relación con la disposición transitoria novena, segundo </w:t>
      </w:r>
      <w:r>
        <w:lastRenderedPageBreak/>
        <w:t>inciso, de la Ley del Parlamento de Cataluña 5/2012, de 20 de marzo, de medidas fiscales, financieras y administrativas y de creación del impuesto sobre las estancias en establecimientos turísticos, “por entender que no respeta la normativa básica estatal dictada al amparo del art. 149.1.18 de la Constitución, en concreto el art. 26.2 de la Ley 55/2003, de 16 de diciembre, por la que se aprueba el Estatuto Marco de los Servicios de Salud”.</w:t>
      </w:r>
    </w:p>
    <w:p w:rsidR="00BE7FB3" w:rsidRDefault="00BE7FB3" w:rsidP="00BE7FB3">
      <w:pPr>
        <w:pStyle w:val="TextoNormal"/>
      </w:pPr>
    </w:p>
    <w:p w:rsidR="00BE7FB3" w:rsidRDefault="00BE7FB3" w:rsidP="00BE7FB3">
      <w:pPr>
        <w:pStyle w:val="TextoNormal"/>
      </w:pPr>
      <w:r>
        <w:t>Tras exponer los hechos de los que trae causa la presente cuestión, el órgano judicial formula en su Auto el juicio de relevancia, señalando que el debate trabado tiene su razón de ser en el incidente de modificación de medidas cautelares promovido por el Instituto Catalán de Salud. Respecto a la posibilidad de plantear una cuestión de inconstitucionalidad en este momento procesal el Auto alude a la doctrina del ATC 467/2007, que entiende aquí de aplicación. Señala al efecto que en el presente asunto concurre la circunstancia de que la norma cuestionada afecta al caso, ya que, por un lado, la decisión del Instituto Catalán de Salud, revocando la inicial medida cautelar, se acordó en cumplimiento de lo dispuesto en la norma que se cuestiona y, por otro, la resolución del incidente de modificación de medidas cautelares planteado por el Instituto Catalán de Salud, se basa en la aplicación de la disposición transitoria novena, segundo inciso, de la Ley del Parlamento de Cataluña 5/2012, en cuanto que se trata de una norma imperativa y de obligado cumplimiento para todas las autorizaciones ya concedidas.</w:t>
      </w:r>
    </w:p>
    <w:p w:rsidR="00BE7FB3" w:rsidRDefault="00BE7FB3" w:rsidP="00BE7FB3">
      <w:pPr>
        <w:pStyle w:val="TextoNormal"/>
      </w:pPr>
    </w:p>
    <w:p w:rsidR="00BE7FB3" w:rsidRDefault="00BE7FB3" w:rsidP="00BE7FB3">
      <w:pPr>
        <w:pStyle w:val="TextoNormal"/>
      </w:pPr>
      <w:r>
        <w:t>Seguidamente se descarta la alegación del Instituto Catalán de Salud en relación con el indeseable efecto de paralización de otros procesos que podría provocar la admisión a trámite de la presente cuestión. Igualmente rechaza la Sala que la decisión de dar audiencia sobre la pertinencia de plantear cuestión de inconstitucionalidad no sólo a las partes y al Ministerio Fiscal, sino también al Letrado de la Seguridad Social y al Abogado del Estado y al Abogado de la Generalitat de Cataluña, haya provocado indefensión alguna o infracción del trámite del art. 35.2 LOTC.</w:t>
      </w:r>
    </w:p>
    <w:p w:rsidR="00BE7FB3" w:rsidRDefault="00BE7FB3" w:rsidP="00BE7FB3">
      <w:pPr>
        <w:pStyle w:val="TextoNormal"/>
      </w:pPr>
    </w:p>
    <w:p w:rsidR="00BE7FB3" w:rsidRDefault="00BE7FB3" w:rsidP="00BE7FB3">
      <w:pPr>
        <w:pStyle w:val="TextoNormal"/>
      </w:pPr>
      <w:r>
        <w:t>En cuanto a la duda de constitucionalidad, entiende la Sala que el título competencial prevalente en esta materia es el art. 149.1.18 CE, que atribuye al Estado la competencia exclusiva para establecer las bases del régimen estatutario de los funcionarios públicos, pues, aunque se trate de una norma con proyección en la planificación de la actividad económica, en la caja única de la Seguridad Social y en el ámbito de la Administración sanitaria, es incuestionable que, con mayor relevancia, repercute en el ámbito del personal estatutario de los servicios de salud, personal que, conforme con la doctrina del Tribunal Supremo que cita el Auto, ha de entenderse equiparado a los funcionarios públicos. Transcribe el Auto a continuación los preceptos legales que ha entrado en conflicto: el art. 26.2 de la Ley 55/2003 y la disposición transitoria novena, segundo inciso, de la Ley del Parlamento de Cataluña 5/2012, precepto éste último con el que guarda directa relación la disposición adicional decimotercera de la misma ley, en cuanto que se refiere a la jubilación forzosa del personal estatutario del Instituto Catalán de Salud.</w:t>
      </w:r>
    </w:p>
    <w:p w:rsidR="00BE7FB3" w:rsidRDefault="00BE7FB3" w:rsidP="00BE7FB3">
      <w:pPr>
        <w:pStyle w:val="TextoNormal"/>
      </w:pPr>
    </w:p>
    <w:p w:rsidR="00BE7FB3" w:rsidRDefault="00BE7FB3" w:rsidP="00BE7FB3">
      <w:pPr>
        <w:pStyle w:val="TextoNormal"/>
      </w:pPr>
      <w:r>
        <w:t xml:space="preserve">Menciona a continuación el Auto la doctrina del Tribunal Supremo según la cual el personal estatutario, al igual que ocurre con el resto de los funcionarios públicos, no tiene un derecho incondicionado a prolongar voluntariamente el servicio activo tras alcanzar la edad ordinaria de jubilación forzosa (65 años). Para que tal prolongación (hasta los 70 años como máximo) se produzca es necesario, además de la capacidad funcional para el desempeño del cargo o plaza y la previa solicitud del interesado, que la prolongación sea autorizada por el </w:t>
      </w:r>
      <w:r>
        <w:lastRenderedPageBreak/>
        <w:t>servicio de salud correspondiente, en función de las necesidades de la organización articuladas “en el marco de los planes de ordenación de recursos humanos”. Señala también el Auto de planteamiento, aludiendo a la doctrina del Tribunal Supremo, que estamos ante un derecho subjetivo del funcionario pero que no le es reconocido de manera absoluta, sino condicionado a que las necesidades organizativas de la Administración para la que presta servicios hagan posible su ejercicio, recayendo sobre dicha Administración la carga de justificar esas necesidades organizativas.</w:t>
      </w:r>
    </w:p>
    <w:p w:rsidR="00BE7FB3" w:rsidRDefault="00BE7FB3" w:rsidP="00BE7FB3">
      <w:pPr>
        <w:pStyle w:val="TextoNormal"/>
      </w:pPr>
    </w:p>
    <w:p w:rsidR="00BE7FB3" w:rsidRDefault="00BE7FB3" w:rsidP="00BE7FB3">
      <w:pPr>
        <w:pStyle w:val="TextoNormal"/>
      </w:pPr>
      <w:r>
        <w:t>El Auto de planteamiento se refiere seguidamente a las competencias autonómicas en la materia, reconocidas en el art. 136 a) y b) del Estatuto de Autonomía de Cataluña (EAC), que han de interpretarse de conformidad con la doctrina sentada en la STC 31/2010, de 28 de junio, FJ 82 (y también en la STC 172/1996, de 31 de octubre), para indicar que la duda de constitucionalidad que se plantea no se refiere a la falta de concordancia literal de las normas estatales y autonómicas, sino a la razón de fondo por la cual la Sala entiende que la norma autonómica cuestionada “pudiera no respetar el sentido y alcance que se desprenden del contexto sistemático y de la finalidad como norma básica”.</w:t>
      </w:r>
    </w:p>
    <w:p w:rsidR="00BE7FB3" w:rsidRDefault="00BE7FB3" w:rsidP="00BE7FB3">
      <w:pPr>
        <w:pStyle w:val="TextoNormal"/>
      </w:pPr>
    </w:p>
    <w:p w:rsidR="00BE7FB3" w:rsidRDefault="00BE7FB3" w:rsidP="00BE7FB3">
      <w:pPr>
        <w:pStyle w:val="TextoNormal"/>
      </w:pPr>
      <w:r>
        <w:t>Añade la Sala que no se cuestiona la competencia de la Generalitat para legislar en materia de función pública, atendiendo a sus propios intereses, sino averiguar si tales intereses tienen o no cabida en los que persigue la norma básica. En ese sentido la Sala indica que una comparación del texto de la Ley 55/2003 y de la disposición transitoria novena de la Ley del Parlamento de Cataluña 5/2012 evidencia, de entrada, que esta norma autonómica ha eliminado la referencia al Instituto Catalán de Salud de ordenación de recursos humanos, instrumento definido en los arts. 13 y concordantes de la Ley 55/2003. Descarta la Sala al respecto que, frente a lo alegado por el Instituto Catalán de Salud, sea de aplicación lo dispuesto en el art. 67.3 del estatuto básico del empleado público por la especificidad, tanto del art. 26.2 de la Ley 55/2003 como del propio personal estatutario y de la regulación de los servicios sanitarios autonómicos, señalando que la clave reside en que la exigencia de que la denegación o autorización de la prolongación del servicio activo se haga “en función de las necesidades de la organización articuladas en el marco de los planes de ordenación de los recursos humanos” haya sido respetada por la normativa autonómica. Comparando la redacción del precepto cuestionado con la del art. 26.2 de la Ley 55/2003 el Auto llega a la conclusión que la norma cuestionada convierte en excepcional lo que en el art. 26.2 de la Ley 55/2003 es norma general o derecho subjetivo para admitir la prórroga en el servicio activo en dos casos, de los que considera relevante el segundo (cuando “el Consejo de Administración del Instituto Catalán de la Salud considere que es preciso mantener las autorizaciones vigentes por causas derivadas de la planificación y racionalización de los recursos humanos”), límite relativo a la planificación de los recursos humanos, para lo que hay que valorar todo un conjunto de elementos con el fin de adecuar las dotaciones de personal a las necesidades asistenciales o de prestación del servicio sanitario a la población.</w:t>
      </w:r>
    </w:p>
    <w:p w:rsidR="00BE7FB3" w:rsidRDefault="00BE7FB3" w:rsidP="00BE7FB3">
      <w:pPr>
        <w:pStyle w:val="TextoNormal"/>
      </w:pPr>
    </w:p>
    <w:p w:rsidR="00BE7FB3" w:rsidRDefault="00BE7FB3" w:rsidP="00BE7FB3">
      <w:pPr>
        <w:pStyle w:val="TextoNormal"/>
      </w:pPr>
      <w:r>
        <w:t>En definitiva, el Auto estima que la Ley 55/2003 exige, por razones de legalidad y seguridad jurídica, que cualquier organización y racionalización de recursos humanos obedezca a un instrumento, el Instituto Catalán de Salud de ordenación de recursos humanos, que no sólo es la herramienta que garantiza una organización racional y eficiente, sino que también justifica, en lo que ahora interesa, la autorización o denegación de la prorroga en el servicio activo de aquel personal que pretenda ejercer este derecho subjetivo reconocido en el art. 26.2 de la Ley 55/2003.</w:t>
      </w:r>
    </w:p>
    <w:p w:rsidR="00BE7FB3" w:rsidRDefault="00BE7FB3" w:rsidP="00BE7FB3">
      <w:pPr>
        <w:pStyle w:val="TextoNormal"/>
      </w:pPr>
    </w:p>
    <w:p w:rsidR="00BE7FB3" w:rsidRDefault="00BE7FB3" w:rsidP="00BE7FB3">
      <w:pPr>
        <w:pStyle w:val="TextoNormal"/>
      </w:pPr>
      <w:r>
        <w:t>Distinto es el tenor de la disposición transitoria novena de la Ley del Parlamento de Cataluña 5/2012, en tanto que se refiere a una eventual autorización que ha de ser consecuencia de una actividad de planificación y organización de recursos humanos, pero omite la mención a los planes de ordenación de los recursos humanos, que son los que establecen las directrices para organizar el servicio público sanitario, omisión que viene confirmada por la aplicación que la Administración autonómica ha hecho de la disposición cuestionada. Alude el Auto a la regulación de la Ley 55/2003 en relación con los planes de ordenación de los recursos humanos para reiterar que, frente a ello, la norma cuestionada se remite a unos conceptos y causas ambiguos e indefinidos, pues no resulta expresivo que sean derivadas de la “planificación y racionalización de recursos humanos” y pueden responder a otros intereses distintos de aquellos que permiten conciliar el derecho subjetivo del funcionario a permanecer en el servicio activo con la necesidad de la organización asistencial, que es la finalidad perseguida por el art. 26.2 de la Ley 55/2003. Al mismo tiempo, contiene una norma temporal y excepcional que limita la prolongación en el servicio activo.</w:t>
      </w:r>
    </w:p>
    <w:p w:rsidR="00BE7FB3" w:rsidRDefault="00BE7FB3" w:rsidP="00BE7FB3">
      <w:pPr>
        <w:pStyle w:val="TextoNormal"/>
      </w:pPr>
    </w:p>
    <w:p w:rsidR="00BE7FB3" w:rsidRDefault="00BE7FB3" w:rsidP="00BE7FB3">
      <w:pPr>
        <w:pStyle w:val="TextoNormal"/>
      </w:pPr>
      <w:r>
        <w:t>Tras hacer mención a la Sentencia del Tribunal Supremo de 10 de marzo de 2010, en la que se descartó la adopción como doctrina legal del criterio propuesto por el Instituto Catalán de Salud en el sentido de que la existencia del Instituto Catalán de Salud de ordenación era solamente exigible para acordar la prórroga, no para su denegación, señala que, aún en el caso de que la actividad administrativa que impone la disposición transitoria novena de la Ley del Parlamento de Cataluña 5/2012 se amparase en la potestad organizativa de la Administración autonómica, constituiría un exceso completamente injustificado en atención a la realidad y presupuesto de la acción jurisdiccional ejercitada, teniendo en cuenta que afecta también a un derecho subjetivo esencial de la relación funcionarial, como es la pérdida de la condición de funcionario. En este sentido, la Sala promotora de la cuestión entiende que la norma básica estatal únicamente permite el ejercicio de la actividad discrecional en la elaboración del Instituto Catalán de Salud de ordenación de recursos humanos, lo que le lleva a rechazar de forma absoluta que el problema planteado pueda ser resuelto por vía interpretativa, dados los términos y finalidad de la disposición cuestionada que no casan con los términos y la finalidad del art. 26.2 de la Ley 55/2003, y en la medida en que la aplicación de uno de estos preceptos excluye la aplicación del otro.</w:t>
      </w:r>
    </w:p>
    <w:p w:rsidR="00BE7FB3" w:rsidRDefault="00BE7FB3" w:rsidP="00BE7FB3">
      <w:pPr>
        <w:pStyle w:val="TextoNormal"/>
      </w:pPr>
    </w:p>
    <w:p w:rsidR="00BE7FB3" w:rsidRDefault="00BE7FB3" w:rsidP="00BE7FB3">
      <w:pPr>
        <w:pStyle w:val="TextoNormal"/>
      </w:pPr>
      <w:r>
        <w:t xml:space="preserve">Concluye el Auto afirmando que la norma cuestionada es aplicable al incidente de modificación de las medidas cautelares, al contener una norma transitoria desee el momento de su entrada en vigor y hasta que transcurra el período de tres años, lo que también afectará a la sentencia que pueda recaer en el proceso </w:t>
      </w:r>
      <w:r w:rsidRPr="00BE7FB3">
        <w:rPr>
          <w:i/>
        </w:rPr>
        <w:t>a quo</w:t>
      </w:r>
      <w:r>
        <w:t>.</w:t>
      </w:r>
    </w:p>
    <w:p w:rsidR="00BE7FB3" w:rsidRDefault="00BE7FB3" w:rsidP="00BE7FB3">
      <w:pPr>
        <w:pStyle w:val="TextoNormal"/>
      </w:pPr>
    </w:p>
    <w:p w:rsidR="00BE7FB3" w:rsidRDefault="00BE7FB3" w:rsidP="00BE7FB3">
      <w:pPr>
        <w:pStyle w:val="TextoNormal"/>
      </w:pPr>
      <w:r w:rsidRPr="00BE7FB3">
        <w:rPr>
          <w:rStyle w:val="NumeroAFNegritaCaracter"/>
        </w:rPr>
        <w:t>4</w:t>
      </w:r>
      <w:r>
        <w:t>. Por providencia de la Sección Segunda de este Tribunal de 12 de marzo de 2013 se acordó, a los efectos que determina el art. 37.1 LOTC, oír al Fiscal General del Estado para que, en el plazo de diez días, alegara lo que considerara conveniente acerca de la admisibilidad de la presente cuestión de inconstitucionalidad, por si fuese notoriamente infundada.</w:t>
      </w:r>
    </w:p>
    <w:p w:rsidR="00BE7FB3" w:rsidRDefault="00BE7FB3" w:rsidP="00BE7FB3">
      <w:pPr>
        <w:pStyle w:val="TextoNormal"/>
      </w:pPr>
    </w:p>
    <w:p w:rsidR="00BE7FB3" w:rsidRDefault="00BE7FB3" w:rsidP="00BE7FB3">
      <w:pPr>
        <w:pStyle w:val="TextoNormal"/>
      </w:pPr>
      <w:r w:rsidRPr="00BE7FB3">
        <w:rPr>
          <w:rStyle w:val="NumeroAFNegritaCaracter"/>
        </w:rPr>
        <w:t>5</w:t>
      </w:r>
      <w:r>
        <w:t>. El 19 de abril de 2013 el Fiscal General del Estado presentó su escrito de alegaciones interesando la inadmisión de la cuestión de inconstitucionalidad, por entender que la norma cuestionada no sería aplicable al objeto del proceso y que carecen manifiestamente de fundamento las dudas suscitadas por el órgano judicial que la ha promovido.</w:t>
      </w:r>
    </w:p>
    <w:p w:rsidR="00BE7FB3" w:rsidRDefault="00BE7FB3" w:rsidP="00BE7FB3">
      <w:pPr>
        <w:pStyle w:val="TextoNormal"/>
      </w:pPr>
    </w:p>
    <w:p w:rsidR="00BE7FB3" w:rsidRDefault="00BE7FB3" w:rsidP="00BE7FB3">
      <w:pPr>
        <w:pStyle w:val="TextoNormal"/>
      </w:pPr>
      <w:r>
        <w:lastRenderedPageBreak/>
        <w:t>Tras referirse a los antecedentes de la cuestión, el Fiscal General del Estado señala que, si bien esta cuestión se ha planteado en un momento anterior al de dictar Sentencia, con ocasión de la solicitud por el Instituto Catalán de Salud de la modificación de una medida cautelar adoptada previamente por el órgano judicial, puede aceptarse que el momento procesal elegido por el órgano judicial para el planteamiento de la cuestión es el adecuado conforme a lo dispuesto en el art. 35.2 LOTC, toda vez que la resolución de la pieza separada de medidas cautelares no es una decisión de mero trámite, sino que afecta al proceso principal y tiene sustantividad propia respecto de éste.</w:t>
      </w:r>
    </w:p>
    <w:p w:rsidR="00BE7FB3" w:rsidRDefault="00BE7FB3" w:rsidP="00BE7FB3">
      <w:pPr>
        <w:pStyle w:val="TextoNormal"/>
      </w:pPr>
    </w:p>
    <w:p w:rsidR="00BE7FB3" w:rsidRDefault="00BE7FB3" w:rsidP="00BE7FB3">
      <w:pPr>
        <w:pStyle w:val="TextoNormal"/>
      </w:pPr>
      <w:r>
        <w:t>Señala a continuación el Fiscal General del Estado que la duda de constitucionalidad que se plantea no es otra cosa que un supuesto de inconstitucionalidad mediata o indirecta, por cuanto la norma autonómica, relativa a la autorización o denegación de prolongaciones en el servicio activo del personal estatutario del Instituto Catalán de Salud, no respetaría la finalidad y presupuestos señalados en la base estatal, constituida por el art. 26.2 de la Ley 55/2003, de 16 de diciembre, por la que se aprueba el estatuto marco del personal estatutario de los servicios de salud, para resolver las peticiones de prolongación del servicio activo una vez alcanzada la edad de jubilación a los 65 años.</w:t>
      </w:r>
    </w:p>
    <w:p w:rsidR="00BE7FB3" w:rsidRDefault="00BE7FB3" w:rsidP="00BE7FB3">
      <w:pPr>
        <w:pStyle w:val="TextoNormal"/>
      </w:pPr>
    </w:p>
    <w:p w:rsidR="00BE7FB3" w:rsidRDefault="00BE7FB3" w:rsidP="00BE7FB3">
      <w:pPr>
        <w:pStyle w:val="TextoNormal"/>
      </w:pPr>
      <w:r>
        <w:t>En este sentido, el Fiscal General del Estado cita la doctrina de las SSTC 1/2003 y 31/2010, señalando que el EAC, al establecer la competencia autonómica como compartida, presupone la plena virtualidad de la competencia del Estado en la materia (art. 149.1.18 CE). De esta manera es al Estado al que corresponde regular la materia en sus aspectos básicos, debiendo el legislador autonómico respetar las bases establecidas por la norma estatal sobre jubilación y prolongación del servicio activo. Ahora bien —continua el Fiscal General del Estado— lo cierto es que el examen del art. 26.2 de la Ley 55/2003 y de la disposición ahora cuestionada permite llegar a la conclusión de que el sistema de prolongación en el servicio activo por el personal estatutario de los servicios de salud es regulado de manera semejante, sino igual, tanto por la norma estatal como por la autonómica. La norma cuestionada responde a la necesidad de contención del gasto público, de conformidad con los compromisos asumidos por el Estado en el marco de la Unión Europea, pues entre dichas medidas de contención del gasto figura la no autorización de prolongaciones al personal funcionario de la Generalitat y la resolución de las ya autorizadas para el personal del Instituto Catalán de Salud, salvo que la prolongación resulte necesaria para causar derecho a la pensión de jubilación o que se considere necesario mantener las autorizaciones por causas derivadas de la planificación y racionalización de recursos humanos. Con ello, según el Fiscal General del Estado, el Parlamento de Cataluña habría legislado en esta materia con respeto a la norma básica estatal.</w:t>
      </w:r>
    </w:p>
    <w:p w:rsidR="00BE7FB3" w:rsidRDefault="00BE7FB3" w:rsidP="00BE7FB3">
      <w:pPr>
        <w:pStyle w:val="TextoNormal"/>
      </w:pPr>
    </w:p>
    <w:p w:rsidR="00BE7FB3" w:rsidRDefault="00BE7FB3" w:rsidP="00BE7FB3">
      <w:pPr>
        <w:pStyle w:val="TextoNormal"/>
      </w:pPr>
      <w:r>
        <w:t xml:space="preserve">Por otra parte, considera el Fiscal General del Estado que no se cumple el juicio de relevancia. La duda de constitucionalidad planteada por la Sala descansa sobre la incidencia de la disposición legal cuestionada en el mantenimiento de la medida cautelar inicialmente adoptada en el proceso </w:t>
      </w:r>
      <w:r w:rsidRPr="00BE7FB3">
        <w:rPr>
          <w:i/>
        </w:rPr>
        <w:t>a quo</w:t>
      </w:r>
      <w:r>
        <w:t xml:space="preserve">, pues considera que la disposición transitoria novena, segundo inciso, de la Ley del Parlamento de Cataluña 5/2012, habilitaría a la Administración autonómica para poder dictar una resolución respecto a la prolongación o denegación de la permanencia en el servicio activo del solicitante, sin necesidad de motivar la denegación y por causas o motivos ajenos a la planificación de las necesidades de la organización. Por tanto, el juicio de relevancia propuesto por el órgano judicial se basa en la consideración de que, si bien no han variado las circunstancias fácticas de la medida cautelar, sí que ha variado el </w:t>
      </w:r>
      <w:r>
        <w:lastRenderedPageBreak/>
        <w:t xml:space="preserve">régimen aplicable, pues obliga a dejar sin efecto las prolongaciones otorgadas con anterioridad a su entrada en vigor, omitiendo toda referencia al Instituto Catalán de Salud de ordenación de recursos humanos. Sin embargo, a juicio del Fiscal General del Estado, la promulgación de la Ley 5/2012 no hace inviable el mantenimiento de la medida cautelar. Argumenta al respecto que la adopción de la medida cautelar se fundó en la necesidad de que las jubilaciones que se declaren cuenten con la cobertura de un Instituto Catalán de Salud de ordenación de recursos humanos, por lo que la jubilación acordada en el caso </w:t>
      </w:r>
      <w:r w:rsidRPr="00BE7FB3">
        <w:rPr>
          <w:i/>
        </w:rPr>
        <w:t>a quo</w:t>
      </w:r>
      <w:r>
        <w:t xml:space="preserve"> no tendría esa cobertura en atención al momento en el que se adoptó. Además añade que el presupuesto de hecho del que parte la norma autonómica cuestionada es la existencia de una autorización administrativa de la prolongación de la permanencia en el servicio activo, mientras que el objeto del recurso contencioso-administrativo es una resolución administrativa que denegó la prolongación en el servicio activo del recurrente. Para el Fiscal General del Estado lo expuesto conduciría a que la norma autonómica cuestionada no sería aplicable al caso concreto en el que se plantea la duda de constitucionalidad, lo que conllevaría la inexistencia de uno de los presupuestos legales exigidos por el art. 35.2 LOTC para poder plantear una cuestión de inconstitucionalidad, como es que se trate de una norma con rango de ley aplicable al caso y de cuya validez dependa el fallo.</w:t>
      </w:r>
    </w:p>
    <w:p w:rsidR="00BE7FB3" w:rsidRDefault="00BE7FB3" w:rsidP="00BE7FB3">
      <w:pPr>
        <w:pStyle w:val="TextoNormal"/>
      </w:pPr>
    </w:p>
    <w:p w:rsidR="00BE7FB3" w:rsidRDefault="00BE7FB3" w:rsidP="00BE7FB3">
      <w:pPr>
        <w:pStyle w:val="TextoNormal"/>
      </w:pPr>
      <w:r>
        <w:t>Por último, el Fiscal General del Estado señala que discrepa de la conclusión a la que llega el órgano judicial, que entiende asimilada la situación producida con la adopción de la medida cautelar con la prevista en la norma que cuestiona. Estima que, aun aceptando dicha conclusión, la norma autonómica no impediría al órgano judicial dictar una resolución en el sentido interesado por el recurrente, dado que la norma autonómica no establece de manera automática la revocación de las prolongaciones autorizadas, sino que permite el mantenimiento de esa situación si se dan determinados requisitos que pueden ser objeto de valoración judicial. Tampoco el silencio de la norma estatal sobre las revocaciones permitiría suponer que las distintas administraciones autonómicas no puedan revocar autorizaciones de prolongación del servicio ya concedidas a partir de las necesidades de recursos humanos. De esta manera, concluye el Fiscal General del Estado, no se apreciaría una contradicción insalvable entre la norma legal estatal y el precepto legal autonómico, que admite una interpretación conforme con el art. 26.2 de la Ley 55/2003, por lo que el planteamiento de la cuestión sería infundado.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La Sección Cuarta de la Sala de lo Contencioso-Administrativo del Tribunal Superior de Justicia de Cataluña plantea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posible vulneración del art. 149.1.18 CE en relación con lo dispuesto en el art. 26.2 de la Ley 55/2003, de 16 de diciembre, por la que se aprueba el estatuto marco del personal estatutario de los servicios de salud.</w:t>
      </w:r>
    </w:p>
    <w:p w:rsidR="00BE7FB3" w:rsidRDefault="00BE7FB3" w:rsidP="00BE7FB3">
      <w:pPr>
        <w:pStyle w:val="TextoNormal"/>
      </w:pPr>
    </w:p>
    <w:p w:rsidR="00BE7FB3" w:rsidRDefault="00BE7FB3" w:rsidP="00BE7FB3">
      <w:pPr>
        <w:pStyle w:val="TextoNormal"/>
      </w:pPr>
      <w:r>
        <w:t>La disposición transitoria novena, de la Ley del Parlamento de Cataluña 5/2012, en el inciso cuestionado, establece:</w:t>
      </w:r>
    </w:p>
    <w:p w:rsidR="00BE7FB3" w:rsidRDefault="00BE7FB3" w:rsidP="00BE7FB3">
      <w:pPr>
        <w:pStyle w:val="TextoNormal"/>
      </w:pPr>
    </w:p>
    <w:p w:rsidR="00BE7FB3" w:rsidRDefault="00BE7FB3" w:rsidP="00BE7FB3">
      <w:pPr>
        <w:pStyle w:val="TextoNormal"/>
      </w:pPr>
      <w:r>
        <w:lastRenderedPageBreak/>
        <w:t>“Disposición transitoria novena. Prolongaciones al personal funcionario de la Administración de la Generalitat y al personal estatutario del Instituto Catalán de la Salud.</w:t>
      </w:r>
    </w:p>
    <w:p w:rsidR="00BE7FB3" w:rsidRDefault="00BE7FB3" w:rsidP="00BE7FB3">
      <w:pPr>
        <w:pStyle w:val="TextoNormal"/>
      </w:pPr>
    </w:p>
    <w:p w:rsidR="00BE7FB3" w:rsidRDefault="00BE7FB3" w:rsidP="00BE7FB3">
      <w:pPr>
        <w:pStyle w:val="TextoNormal"/>
      </w:pPr>
      <w:r>
        <w:t>…</w:t>
      </w:r>
    </w:p>
    <w:p w:rsidR="00BE7FB3" w:rsidRDefault="00BE7FB3" w:rsidP="00BE7FB3">
      <w:pPr>
        <w:pStyle w:val="TextoNormal"/>
      </w:pPr>
    </w:p>
    <w:p w:rsidR="00BE7FB3" w:rsidRDefault="00BE7FB3" w:rsidP="00BE7FB3">
      <w:pPr>
        <w:pStyle w:val="TextoNormal"/>
      </w:pPr>
      <w:r>
        <w:t>Asimismo, las prolongaciones ya autorizadas del personal estatutario del Instituto Catalán de la Salud deben resolverse en el plazo de seis meses, salvo que sea necesario para causar derecho a la pensión de jubilación o en caso de que, excepcionalmente, el Consejo de Administración del Instituto Catalán de la Salud considere que es preciso mantener las autorizaciones vigentes por causas derivadas de la planificación y racionalización de los recursos humanos.”</w:t>
      </w:r>
    </w:p>
    <w:p w:rsidR="00BE7FB3" w:rsidRDefault="00BE7FB3" w:rsidP="00BE7FB3">
      <w:pPr>
        <w:pStyle w:val="TextoNormal"/>
      </w:pPr>
    </w:p>
    <w:p w:rsidR="00BE7FB3" w:rsidRDefault="00BE7FB3" w:rsidP="00BE7FB3">
      <w:pPr>
        <w:pStyle w:val="TextoNormal"/>
      </w:pPr>
      <w:r>
        <w:t>Por su parte, el art. 26.2 de la Ley 55/2003 dispone:</w:t>
      </w:r>
    </w:p>
    <w:p w:rsidR="00BE7FB3" w:rsidRDefault="00BE7FB3" w:rsidP="00BE7FB3">
      <w:pPr>
        <w:pStyle w:val="TextoNormal"/>
      </w:pPr>
    </w:p>
    <w:p w:rsidR="00BE7FB3" w:rsidRDefault="00BE7FB3" w:rsidP="00BE7FB3">
      <w:pPr>
        <w:pStyle w:val="TextoNormal"/>
      </w:pPr>
      <w:r>
        <w:t>“Artículo 26. Jubilación</w:t>
      </w:r>
    </w:p>
    <w:p w:rsidR="00BE7FB3" w:rsidRDefault="00BE7FB3" w:rsidP="00BE7FB3">
      <w:pPr>
        <w:pStyle w:val="TextoNormal"/>
      </w:pPr>
    </w:p>
    <w:p w:rsidR="00BE7FB3" w:rsidRDefault="00BE7FB3" w:rsidP="00BE7FB3">
      <w:pPr>
        <w:pStyle w:val="TextoNormal"/>
      </w:pPr>
      <w:r>
        <w:t>…</w:t>
      </w:r>
    </w:p>
    <w:p w:rsidR="00BE7FB3" w:rsidRDefault="00BE7FB3" w:rsidP="00BE7FB3">
      <w:pPr>
        <w:pStyle w:val="TextoNormal"/>
      </w:pPr>
    </w:p>
    <w:p w:rsidR="00BE7FB3" w:rsidRDefault="00BE7FB3" w:rsidP="00BE7FB3">
      <w:pPr>
        <w:pStyle w:val="TextoNormal"/>
      </w:pPr>
      <w:r>
        <w:t>2. La jubilación forzosa se declarará al cumplir el interesado la edad de 65 años. No obstante, el interesado podrá solicitar voluntariamente prolongar su permanencia en servicio activo hasta cumplir, como máximo, los 70 años de edad, siempre que quede acreditado que reúne la capacidad funcional necesaria para ejercer la profesión o desarrollar las actividades correspondientes a su nombramiento. Esta prolongación deberá ser autorizada por el servicio de salud correspondiente, en función de las necesidades de la organización articuladas en el marco de los planes de ordenación de recursos humanos.”</w:t>
      </w:r>
    </w:p>
    <w:p w:rsidR="00BE7FB3" w:rsidRDefault="00BE7FB3" w:rsidP="00BE7FB3">
      <w:pPr>
        <w:pStyle w:val="TextoNormal"/>
      </w:pPr>
    </w:p>
    <w:p w:rsidR="00BE7FB3" w:rsidRDefault="00BE7FB3" w:rsidP="00BE7FB3">
      <w:pPr>
        <w:pStyle w:val="TextoNormal"/>
      </w:pPr>
      <w:r>
        <w:t>Como ha quedado expuesto en los antecedentes, el órgano judicial estima que la disposición transitoria novena, segundo inciso, de la Ley del Parlamento de Cataluña 5/2012 no ha respetado la normativa básica dictada por el Estado al amparo del título competencial del art. 149.1.18 CE que, en el caso concreto, sería el art. 26.2 de la Ley 55/2003. Tal vulneración se produciría porque el precepto cuestionado omitiría la exigencia de la norma básica estatal en el sentido de que las resoluciones acerca de la prolongación de la permanencia en el servicio activo del personal de los servicios de salud se adopten en el marco previamente definido por los planes de ordenación de recursos humanos.</w:t>
      </w:r>
    </w:p>
    <w:p w:rsidR="00BE7FB3" w:rsidRDefault="00BE7FB3" w:rsidP="00BE7FB3">
      <w:pPr>
        <w:pStyle w:val="TextoNormal"/>
      </w:pPr>
    </w:p>
    <w:p w:rsidR="00BE7FB3" w:rsidRDefault="00BE7FB3" w:rsidP="00BE7FB3">
      <w:pPr>
        <w:pStyle w:val="TextoNormal"/>
      </w:pPr>
      <w:r>
        <w:t>El Fiscal General del Estado, en el trámite previsto en el art. 37.1 de la Ley Orgánica del Tribunal Constitucional (LOTC) se ha opuesto a la admisión de la presente cuestión de inconstitucionalidad, por entender que no se ha formulado adecuadamente el juicio de relevancia exigido por el art. 35 LOTC, así como por considerarla notoriamente infundada.</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La presente cuestión de inconstitucionalidad guarda clara conexión con la cuestión de inconstitucionalidad núm. 6611-2012. En ella también la Sección Cuarta de la Sala de lo Contencioso-Administrativo del Tribunal Superior de Justicia de Cataluña planteó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posible vulneración del art. 149.1.18 CE en relación con lo dispuesto en el art. 26.2 de la Ley 55/2003, de 16 de diciembre, por la que se aprueba el estatuto marco del personal </w:t>
      </w:r>
      <w:r>
        <w:lastRenderedPageBreak/>
        <w:t>estatutario de los servicios de salud. En consecuencia, puesto que en ambos procesos constitucionales se plantea la misma controversia competencial, debemos remitirnos al ATC 85/2013, de 23 de abril, cuyas apreciaciones y conclusiones resumimos a continuación:</w:t>
      </w:r>
    </w:p>
    <w:p w:rsidR="00BE7FB3" w:rsidRDefault="00BE7FB3" w:rsidP="00BE7FB3">
      <w:pPr>
        <w:pStyle w:val="TextoNormal"/>
      </w:pPr>
    </w:p>
    <w:p w:rsidR="00BE7FB3" w:rsidRDefault="00BE7FB3" w:rsidP="00BE7FB3">
      <w:pPr>
        <w:pStyle w:val="TextoNormal"/>
      </w:pPr>
      <w:r>
        <w:t>a) Partiendo de nuestra doctrina según la cual, en principio,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a los hechos enjuiciados, el juicio de aplicabilidad y relevancia ha de entenderse adecuadamente formulado en este caso. En efecto, el incidente de modificación de las medidas cautelares no puede resolverse sin antes despejar la duda de constitucionalidad planteada sobre la disposición legal, ya que, como ha quedado expuesto en los antecedentes, es la norma cuestionada la que ha dado lugar a la petición de modificación de la medida cautelar inicialmente acordada por variación de las circunstancias al amparo del art. 132.1 de la Ley 29/1998, de 13 de julio, reguladora de la jurisdicción contencioso-administrativa.</w:t>
      </w:r>
    </w:p>
    <w:p w:rsidR="00BE7FB3" w:rsidRDefault="00BE7FB3" w:rsidP="00BE7FB3">
      <w:pPr>
        <w:pStyle w:val="TextoNormal"/>
      </w:pPr>
    </w:p>
    <w:p w:rsidR="00BE7FB3" w:rsidRDefault="00BE7FB3" w:rsidP="00BE7FB3">
      <w:pPr>
        <w:pStyle w:val="TextoNormal"/>
      </w:pPr>
      <w:r>
        <w:t>b) El carácter funcionarial del personal sanitario determina el encuadramiento competencial de las cuestiones relativas a su jubilación en el ámbito material “estatuto de los funcionarios públicos”, en cuanto que la jubilación es una de las causas de pérdida de la condición de personal estatutario [art. 21 e) de la Ley 55/2003]. A tenor de lo dispuesto en el art. 149.1.18 CE, el Estado tiene atribuida la competencia exclusiva para el establecimiento de las bases del régimen estatutario de los funcionarios públicos y, por tanto, también de sus aspectos relativos a la jubilación, mientras que a Cataluña, le corresponde, en virtud del actual art. 136 b) de su Estatuto de Autonomía, la competencia compartida para el desarrollo de algunos aspectos del régimen estatutario de los funcionarios públicos (empleo público; adquisición y pérdida de la condición de funcionario; situaciones administrativas; derechos, deberes e incompatibilidades), atribución que ha de entenderse con el sentido y alcance expresado en la STC 31/2010, de 28 de septiembre, FJ 82, del que resulta que la formalización de la competencia autonómica como compartida presupone la plena virtualidad de la competencia normativa básica del Estado en la materia (FJ 4).</w:t>
      </w:r>
    </w:p>
    <w:p w:rsidR="00BE7FB3" w:rsidRDefault="00BE7FB3" w:rsidP="00BE7FB3">
      <w:pPr>
        <w:pStyle w:val="TextoNormal"/>
      </w:pPr>
    </w:p>
    <w:p w:rsidR="00BE7FB3" w:rsidRDefault="00BE7FB3" w:rsidP="00BE7FB3">
      <w:pPr>
        <w:pStyle w:val="TextoNormal"/>
      </w:pPr>
      <w:r>
        <w:t>c) Así encuadrada la cuestión, debemos afirmar que la norma estatal que el órgano judicial entiende vulnerada es básica desde la perspectiva formal, pues con tal carácter se proclama en la disposición final primera de la Ley 55/2003 y lo mismo sucede desde la perspectiva material, ya que la normación relativa a la pérdida de la condición de funcionario, en este caso, mediante la jubilación, se incluye con naturalidad dentro de las bases del régimen estatutario de los funcionarios públicos, que han de ser establecidas por el Estado, conforme al art. 149.1.18 CE (FJ 5).</w:t>
      </w:r>
    </w:p>
    <w:p w:rsidR="00BE7FB3" w:rsidRDefault="00BE7FB3" w:rsidP="00BE7FB3">
      <w:pPr>
        <w:pStyle w:val="TextoNormal"/>
      </w:pPr>
    </w:p>
    <w:p w:rsidR="00BE7FB3" w:rsidRDefault="00BE7FB3" w:rsidP="00BE7FB3">
      <w:pPr>
        <w:pStyle w:val="TextoNormal"/>
      </w:pPr>
      <w:r>
        <w:t>d) La prolongación en el servicio activo prevista en el art. 26.2, segundo inciso, de la Ley 55/2003, no opera de forma automática, sino que exige una autorización del Servicio de Salud “en función de las necesidades de la organización articuladas en el marco de los planes de ordenación de recursos humanos”. Es decir, requiere de la existencia de razones de interés general de carácter organizativo y asistencial que aconsejen seguir contando con determinado personal y que tales razones se expliciten en la resolución autorizatoria. De este modo, la finalidad de la prolongación de la permanencia en el servicio activo responde a las necesidades de personal derivadas de la organización y de la adecuada prestación del servicio público sanitario a la población (FJ 5).</w:t>
      </w:r>
    </w:p>
    <w:p w:rsidR="00BE7FB3" w:rsidRDefault="00BE7FB3" w:rsidP="00BE7FB3">
      <w:pPr>
        <w:pStyle w:val="TextoNormal"/>
      </w:pPr>
    </w:p>
    <w:p w:rsidR="00BE7FB3" w:rsidRDefault="00BE7FB3" w:rsidP="00BE7FB3">
      <w:pPr>
        <w:pStyle w:val="TextoNormal"/>
      </w:pPr>
      <w:r>
        <w:t>e) La disposición adicional decimotercera de la Ley del Parlamento de Cataluña 5/2012, intitulada “jubilación forzosa del personal del Instituto Catalán de la Salud”, en el mismo sentido que expresa la base estatal, requiere de la existencia de razones de interés general de carácter organizativo y asistencial que aconsejen seguir contando con determinado personal y que dichas razones encuentren su fundamento en el Instituto Catalán de Salud de ordenación de recursos humanos del Instituto Catalán de la Salud (FJ 5).</w:t>
      </w:r>
    </w:p>
    <w:p w:rsidR="00BE7FB3" w:rsidRDefault="00BE7FB3" w:rsidP="00BE7FB3">
      <w:pPr>
        <w:pStyle w:val="TextoNormal"/>
      </w:pPr>
    </w:p>
    <w:p w:rsidR="00BE7FB3" w:rsidRDefault="00BE7FB3" w:rsidP="00BE7FB3">
      <w:pPr>
        <w:pStyle w:val="TextoNormal"/>
      </w:pPr>
      <w:r>
        <w:t>f) Los elementos que integran la base estatal del segundo párrafo del art. 26.2 de la Ley 55/2003 no se ven contradichos por la regulación autonómica, que perfila así un elemento que estaba ya incluido en la norma estatal, el interés en cesar la relación estatutaria a partir de una determinada edad del personal. El art. 26.2 de la Ley 55/2003 establece un criterio para determinar o decidir el contenido de la concreta resolución que debe adoptarse, pero eso no significa que ese criterio sea el único y excluyente, ni que el mismo no pueda ser modulado por el legislador autonómico competente por razón de la materia. La base estatal establece una regla con vocación de aplicación uniforme en todo el territorio nacional, siempre dejando un margen de actuación a las Administraciones competentes para adecuar tal aplicación a las necesidades existentes, cohonestando la finalidad del servicio público de salud y su carácter esencial para la población, con las necesidades organizativas (FJ 5).</w:t>
      </w:r>
    </w:p>
    <w:p w:rsidR="00BE7FB3" w:rsidRDefault="00BE7FB3" w:rsidP="00BE7FB3">
      <w:pPr>
        <w:pStyle w:val="TextoNormal"/>
      </w:pPr>
    </w:p>
    <w:p w:rsidR="00BE7FB3" w:rsidRDefault="00BE7FB3" w:rsidP="00BE7FB3">
      <w:pPr>
        <w:pStyle w:val="TextoNormal"/>
      </w:pPr>
      <w:r>
        <w:t>g) En la no cuestionada disposición adicional decimotercera de la Ley 5/2012 el legislador catalán, en el ejercicio de sus competencias de desarrollo normativo en el ámbito de la función pública y más específicamente en relación con el personal estatutario del servicio autonómico de salud, está precisando, mediante la exigencia de una resolución expresa motivada en las causas previstas en el Instituto Catalán de Salud de ordenación de recursos humanos del Instituto Catalán de la Salud, los dos supuestos que, a estos efectos, habrán de tenerse en cuenta para acordar la prolongación en el servicio activo, de suerte que ésta únicamente será posible por concretas necesidades asistenciales en el territorio o en atención al prestigio profesional del solicitante. Es decir, en el mismo sentido que expresa la base estatal, requiere de la existencia de razones de interés general de carácter organizativo y asistencial que aconsejen seguir contando con determinado personal y que dichas razones encuentren su fundamento en el Instituto Catalán de Salud de ordenación de recursos humanos del Instituto Catalán de Salud (FJ 5).</w:t>
      </w:r>
    </w:p>
    <w:p w:rsidR="00BE7FB3" w:rsidRDefault="00BE7FB3" w:rsidP="00BE7FB3">
      <w:pPr>
        <w:pStyle w:val="TextoNormal"/>
      </w:pPr>
    </w:p>
    <w:p w:rsidR="00BE7FB3" w:rsidRDefault="00BE7FB3" w:rsidP="00BE7FB3">
      <w:pPr>
        <w:pStyle w:val="TextoNormal"/>
      </w:pPr>
      <w:r w:rsidRPr="00BE7FB3">
        <w:rPr>
          <w:rStyle w:val="NumeroAFNegritaCaracter"/>
        </w:rPr>
        <w:t>3</w:t>
      </w:r>
      <w:r>
        <w:t>. En suma, es posible concluir que, afirmado el carácter básico de la normativa estatal, no se aprecia que la normativa autonómica cuestionada incurra en contradicción con sus mandatos, pues ambas normas son así susceptibles de ser interpretadas e integradas armónicamente. Por ello, falta aquí la real y efectiva contradicción entre la norma estatal y la autonómica de la que, en los términos expuestos en el Auto de planteamiento, se derivaría la vulneración del orden constitucional de distribución de competencias, lo que priva del necesario fundamento a la presente cuestión y determina que deba ser inadmitida a trámite.</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Inadmitir a trámite la presente cuestión de inconstitucionalidad.</w:t>
      </w:r>
    </w:p>
    <w:p w:rsidR="00BE7FB3" w:rsidRDefault="00BE7FB3" w:rsidP="00BE7FB3">
      <w:pPr>
        <w:pStyle w:val="TextoNormal"/>
      </w:pPr>
    </w:p>
    <w:p w:rsidR="00BE7FB3" w:rsidRDefault="00BE7FB3" w:rsidP="00BE7FB3">
      <w:pPr>
        <w:pStyle w:val="TextoNormal"/>
      </w:pPr>
      <w:r>
        <w:t>Madrid, a veintiuno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70" w:name="AUTO_2013_129"/>
      <w:r>
        <w:lastRenderedPageBreak/>
        <w:t>AUTO 129/2013, de 29 de mayo de 2013</w:t>
      </w:r>
    </w:p>
    <w:bookmarkEnd w:id="270"/>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ECLI:ES:TC:2013:129A</w:t>
      </w:r>
    </w:p>
    <w:p w:rsidR="00BE7FB3" w:rsidRDefault="00BE7FB3" w:rsidP="00BE7FB3">
      <w:pPr>
        <w:pStyle w:val="SntesisDescriptiva"/>
      </w:pPr>
    </w:p>
    <w:p w:rsidR="00BE7FB3" w:rsidRDefault="00BE7FB3" w:rsidP="00BE7FB3">
      <w:pPr>
        <w:pStyle w:val="SntesisDescriptiva"/>
      </w:pPr>
      <w:r>
        <w:t>Excms. Srs. don Pascual Sala Sánchez, doña Adela Asua Batarrita y don Juan José González Rivas.</w:t>
      </w:r>
    </w:p>
    <w:p w:rsidR="00BE7FB3" w:rsidRDefault="00BE7FB3" w:rsidP="00BE7FB3">
      <w:pPr>
        <w:pStyle w:val="SntesisDescriptiva"/>
      </w:pPr>
    </w:p>
    <w:p w:rsidR="00BE7FB3" w:rsidRDefault="00BE7FB3" w:rsidP="00BE7FB3">
      <w:pPr>
        <w:pStyle w:val="SntesisDescriptiva"/>
      </w:pPr>
      <w:r>
        <w:t>Acuerda el desistimiento en el recurso de amparo 2702-2012, promovido en pleito mercantil.</w:t>
      </w:r>
    </w:p>
    <w:p w:rsidR="00BE7FB3" w:rsidRDefault="00BE7FB3" w:rsidP="00BE7FB3">
      <w:pPr>
        <w:pStyle w:val="SntesisDescriptiva"/>
      </w:pPr>
    </w:p>
    <w:p w:rsidR="00BE7FB3" w:rsidRDefault="00BE7FB3" w:rsidP="00BE7FB3">
      <w:pPr>
        <w:pStyle w:val="TtuloResolucin"/>
      </w:pPr>
      <w:r>
        <w:t>*Este auto no incorpora doctrina constitucional.</w:t>
      </w:r>
    </w:p>
    <w:p w:rsidR="00BE7FB3" w:rsidRDefault="00BE7FB3">
      <w:pPr>
        <w:spacing w:after="160" w:line="259" w:lineRule="auto"/>
        <w:rPr>
          <w:rFonts w:ascii="Times New Roman" w:eastAsia="Times New Roman" w:hAnsi="Times New Roman" w:cs="Times New Roman"/>
          <w:b/>
          <w:sz w:val="24"/>
          <w:szCs w:val="24"/>
          <w:lang w:eastAsia="es-ES"/>
        </w:rPr>
      </w:pPr>
      <w:r>
        <w:br w:type="page"/>
      </w:r>
    </w:p>
    <w:p w:rsidR="00BE7FB3" w:rsidRDefault="00BE7FB3" w:rsidP="00BE7FB3">
      <w:pPr>
        <w:pStyle w:val="TtuloResolucin"/>
      </w:pPr>
      <w:bookmarkStart w:id="271" w:name="AUTO_2013_130"/>
      <w:r>
        <w:lastRenderedPageBreak/>
        <w:t>AUTO 130/2013, de 29 de mayo de 2013</w:t>
      </w:r>
    </w:p>
    <w:bookmarkEnd w:id="271"/>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ECLI:ES:TC:2013:130A</w:t>
      </w:r>
    </w:p>
    <w:p w:rsidR="00BE7FB3" w:rsidRDefault="00BE7FB3" w:rsidP="00BE7FB3">
      <w:pPr>
        <w:pStyle w:val="SntesisDescriptiva"/>
      </w:pPr>
    </w:p>
    <w:p w:rsidR="00BE7FB3" w:rsidRDefault="00BE7FB3" w:rsidP="00BE7FB3">
      <w:pPr>
        <w:pStyle w:val="SntesisDescriptiva"/>
      </w:pPr>
      <w:r>
        <w:t>Excms. Srs. don Pascual Sala Sánchez, doña Adela Asua Batarrita y don Juan José González Rivas.</w:t>
      </w:r>
    </w:p>
    <w:p w:rsidR="00BE7FB3" w:rsidRDefault="00BE7FB3" w:rsidP="00BE7FB3">
      <w:pPr>
        <w:pStyle w:val="SntesisDescriptiva"/>
      </w:pPr>
    </w:p>
    <w:p w:rsidR="00BE7FB3" w:rsidRDefault="00BE7FB3" w:rsidP="00BE7FB3">
      <w:pPr>
        <w:pStyle w:val="SntesisDescriptiva"/>
      </w:pPr>
      <w:r>
        <w:t>Acuerda el desistimiento en el recurso de amparo 5501-2012, promovido en pleito civil.</w:t>
      </w:r>
    </w:p>
    <w:p w:rsidR="00BE7FB3" w:rsidRDefault="00BE7FB3" w:rsidP="00BE7FB3">
      <w:pPr>
        <w:pStyle w:val="SntesisDescriptiva"/>
      </w:pPr>
    </w:p>
    <w:p w:rsidR="00BE7FB3" w:rsidRDefault="00BE7FB3" w:rsidP="00BE7FB3">
      <w:pPr>
        <w:pStyle w:val="SntesisAnaltica"/>
      </w:pPr>
      <w:r>
        <w:t>Desistimiento de recurso de amparo: procede.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Por escrito que tuvo entrada en el Registro General de este Tribunal el día 1 de octubre de 2012, el Procurador de los Tribunales don Argimiro Vázquez Guillén, en representación de Lexmark España Llc. &amp; Cia. S. Col (Lexmark), interpuso recurso de amparo contra providencia y Sentencia de la Sala de lo Civil del Tribunal Supremo, recaídas en el recurso por infracción procesal y de casación núm. 481-2009, interpuesto contra la dictada por la Sección Vigesimoctava de la Audiencia Provincial de Madrid dictada en el rollo de apelación núm. 458-2007, dimanante del procedimiento de juicio ordinario núm. 1186-2003 del Juzgado de Primera Instancia núm. 19 de Madrid.</w:t>
      </w:r>
    </w:p>
    <w:p w:rsidR="00BE7FB3" w:rsidRDefault="00BE7FB3" w:rsidP="00BE7FB3">
      <w:pPr>
        <w:pStyle w:val="TextoNormal"/>
      </w:pPr>
    </w:p>
    <w:p w:rsidR="00BE7FB3" w:rsidRDefault="00BE7FB3" w:rsidP="00BE7FB3">
      <w:pPr>
        <w:pStyle w:val="TextoNormal"/>
      </w:pPr>
      <w:r w:rsidRPr="00BE7FB3">
        <w:rPr>
          <w:rStyle w:val="NumeroAFNegritaCaracter"/>
        </w:rPr>
        <w:t>2</w:t>
      </w:r>
      <w:r>
        <w:t>. El Procurador señor Vázquez Guillén, por escrito presentado en este Tribunal el 19 de marzo de 2013 y suscrito por Letrado, manifiesta su voluntad de desistir de la continuación del recurso.</w:t>
      </w:r>
    </w:p>
    <w:p w:rsidR="00BE7FB3" w:rsidRDefault="00BE7FB3" w:rsidP="00BE7FB3">
      <w:pPr>
        <w:pStyle w:val="TextoNormal"/>
      </w:pPr>
    </w:p>
    <w:p w:rsidR="00BE7FB3" w:rsidRDefault="00BE7FB3" w:rsidP="00BE7FB3">
      <w:pPr>
        <w:pStyle w:val="TextoNormal"/>
      </w:pPr>
      <w:r w:rsidRPr="00BE7FB3">
        <w:rPr>
          <w:rStyle w:val="NumeroAFNegritaCaracter"/>
        </w:rPr>
        <w:t>3</w:t>
      </w:r>
      <w:r>
        <w:t>. Por diligencia de ordenación de 21 de marzo de 2013, se dio traslado al Ministerio Fiscal para que alegara lo que estimara oportuno en relación con el desistimiento formulado.</w:t>
      </w:r>
    </w:p>
    <w:p w:rsidR="00BE7FB3" w:rsidRDefault="00BE7FB3" w:rsidP="00BE7FB3">
      <w:pPr>
        <w:pStyle w:val="TextoNormal"/>
      </w:pPr>
    </w:p>
    <w:p w:rsidR="00BE7FB3" w:rsidRDefault="00BE7FB3" w:rsidP="00BE7FB3">
      <w:pPr>
        <w:pStyle w:val="TextoNormal"/>
      </w:pPr>
      <w:r w:rsidRPr="00BE7FB3">
        <w:rPr>
          <w:rStyle w:val="NumeroAFNegritaCaracter"/>
        </w:rPr>
        <w:t>4</w:t>
      </w:r>
      <w:r>
        <w:t>. El Ministerio Fiscal, por dictamen que tuvo entrada en el Tribunal el 11 de abril de 2013, manifiesta que no se opone a la aprobación del desistimiento.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Entre las formas de terminación del recurso de amparo figura la del desistimiento, prevista en el art. 86.1 de la Ley Orgánica del Tribunal Constitucional (LOTC), y a la que es de aplicación supletoria la legislación procesal ordinaria (art. 80 LOTC), que la recoge en los arts. 19.1 y 20.2 y 3 de la Ley de enjuiciamiento civil (LEC).</w:t>
      </w:r>
    </w:p>
    <w:p w:rsidR="00BE7FB3" w:rsidRDefault="00BE7FB3" w:rsidP="00BE7FB3">
      <w:pPr>
        <w:pStyle w:val="TextoNormal"/>
      </w:pPr>
    </w:p>
    <w:p w:rsidR="00BE7FB3" w:rsidRDefault="00BE7FB3" w:rsidP="00BE7FB3">
      <w:pPr>
        <w:pStyle w:val="TextoNormal"/>
      </w:pPr>
      <w:r>
        <w:lastRenderedPageBreak/>
        <w:t>Esta fórmula y decisión de la parte aparece revestida de los requisitos legales, al constar en el poder conferido por el recurrente el otorgamiento con carácter especial de las facultades de desistir, tal y como exige el art. 25.2.1 LEC, además de que no se aprecia perjuicio de parte ni daño para el interés general o público. Es procedente, pues, sancionar afirmativamente esa voluntad de desistir.</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Tener por desistida del presente recurso de amparo a la entidad Lexmark España Llc. &amp; Cia. S. Col. (Lexmark) y archivar las presentes actuaciones.</w:t>
      </w:r>
    </w:p>
    <w:p w:rsidR="00BE7FB3" w:rsidRDefault="00BE7FB3" w:rsidP="00BE7FB3">
      <w:pPr>
        <w:pStyle w:val="TextoNormal"/>
      </w:pPr>
    </w:p>
    <w:p w:rsidR="00BE7FB3" w:rsidRDefault="00BE7FB3" w:rsidP="00BE7FB3">
      <w:pPr>
        <w:pStyle w:val="TextoNormal"/>
      </w:pPr>
      <w:r>
        <w:t>Madrid, a veintinueve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72" w:name="AUTO_2013_131"/>
      <w:r>
        <w:lastRenderedPageBreak/>
        <w:t>AUTO 131/2013, de 29 de mayo de 2013</w:t>
      </w:r>
    </w:p>
    <w:bookmarkEnd w:id="272"/>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ECLI:ES:TC:2013:131A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1176-2013, promovido por Belate UTE,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28 de febrero de 2013, el Procurador de los Tribunales don Felipe de Juanas Blanco, en nombre y representación de Belaute UTE, interpuso demanda de amparo contra Auto de la Sección Séptima de la Sala de lo Contencioso-Administrativo del Tribunal Supremo recaído en recurso de casación núm. 2456-2011, contra Sentencia dictada por el Tribunal Superior de Justicia de Navarra en recurso núm. 517-2008.</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14 de mayo de 2013, el Magistrado Excmo. Sr. don Juan José González Rivas manifestó su voluntad de abstenerse en el presente recurso de amparo y todas sus incidencias, por entender que concurría la causa establecida en el art. 219.11 de la Ley Orgánica del Poder Judicial, supletoria de la Ley Orgánica 2/1979 (art. 80), al haber intervenido en instancia anterior en su condición de Magistrado de la Sala de lo Contencioso-Administrativo del Tribunal Supremo que dictó la resolución recurrida.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lastRenderedPageBreak/>
        <w:t>Estimar justificada la abstención formulada por el Magistrado Excmo. Sr. don Juan José González Rivas en el recurso de amparo núm. 1176-2013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veintinueve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73" w:name="AUTO_2013_132"/>
      <w:r>
        <w:lastRenderedPageBreak/>
        <w:t>AUTO 132/2013, de 29 de mayo de 2013</w:t>
      </w:r>
    </w:p>
    <w:bookmarkEnd w:id="273"/>
    <w:p w:rsidR="00BE7FB3" w:rsidRDefault="00BE7FB3" w:rsidP="00BE7FB3">
      <w:pPr>
        <w:pStyle w:val="TtuloResolucin"/>
      </w:pPr>
      <w:r>
        <w:t>Sección Tercera</w:t>
      </w:r>
    </w:p>
    <w:p w:rsidR="00BE7FB3" w:rsidRDefault="00BE7FB3" w:rsidP="00BE7FB3">
      <w:pPr>
        <w:pStyle w:val="TtuloResolucin"/>
      </w:pPr>
    </w:p>
    <w:p w:rsidR="00BE7FB3" w:rsidRDefault="00BE7FB3" w:rsidP="00BE7FB3">
      <w:pPr>
        <w:pStyle w:val="SntesisDescriptiva"/>
      </w:pPr>
      <w:r>
        <w:t>ECLI:ES:TC:2013:132A</w:t>
      </w:r>
    </w:p>
    <w:p w:rsidR="00BE7FB3" w:rsidRDefault="00BE7FB3" w:rsidP="00BE7FB3">
      <w:pPr>
        <w:pStyle w:val="SntesisDescriptiva"/>
      </w:pPr>
    </w:p>
    <w:p w:rsidR="00BE7FB3" w:rsidRDefault="00BE7FB3" w:rsidP="00BE7FB3">
      <w:pPr>
        <w:pStyle w:val="SntesisDescriptiva"/>
      </w:pPr>
      <w:r>
        <w:t>Excms. Srs. don Ramón Rodríguez Arribas, don Luis Ignacio Ortega Álvarez y doña Encarnación Roca Trías.</w:t>
      </w:r>
    </w:p>
    <w:p w:rsidR="00BE7FB3" w:rsidRDefault="00BE7FB3" w:rsidP="00BE7FB3">
      <w:pPr>
        <w:pStyle w:val="SntesisDescriptiva"/>
      </w:pPr>
    </w:p>
    <w:p w:rsidR="00BE7FB3" w:rsidRDefault="00BE7FB3" w:rsidP="00BE7FB3">
      <w:pPr>
        <w:pStyle w:val="SntesisDescriptiva"/>
      </w:pPr>
      <w:r>
        <w:t>Desestima el recurso de súplica del Ministerio Fiscal, en el recurso de amparo 3377-2012, promovido por don Diego Martínez Martínez.</w:t>
      </w:r>
    </w:p>
    <w:p w:rsidR="00BE7FB3" w:rsidRDefault="00BE7FB3" w:rsidP="00BE7FB3">
      <w:pPr>
        <w:pStyle w:val="SntesisDescriptiva"/>
      </w:pPr>
    </w:p>
    <w:p w:rsidR="00BE7FB3" w:rsidRDefault="00BE7FB3" w:rsidP="00BE7FB3">
      <w:pPr>
        <w:pStyle w:val="SntesisAnaltica"/>
      </w:pPr>
      <w:r>
        <w:t>Derechos a la integridad física y a la intimidad: lesión por ruidos. Licencias administrativas: licencia de apertura. Recurso de suplicación: desestimación de recurso de suplicación. Tribunal Europeo de Derechos Humanos: efectos de las Sentencias del Tribunal Europeo de Derechos Humanos; valor constitucional de la doctrina del Tribunal Europeo de Derechos Humanos.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Con fecha de 6 de junio de 2012, tuvo entrada en este Tribunal escrito presentado por doña Mónica Paloma Fente Delgado, Procuradora de los Tribunales y de don Diego Martínez Martínez, en cuya representación actúa, interponiendo recurso de amparo, bajo la dirección del Letrado don José Luis Mazón Costa, contra el Auto de 9 de mayo de 2012, dictado por la Sección Segunda de la Sala de lo Contencioso-Administrativo del Tribunal Superior de Justicia de Murcia.</w:t>
      </w:r>
    </w:p>
    <w:p w:rsidR="00BE7FB3" w:rsidRDefault="00BE7FB3" w:rsidP="00BE7FB3">
      <w:pPr>
        <w:pStyle w:val="TextoNormal"/>
      </w:pPr>
    </w:p>
    <w:p w:rsidR="00BE7FB3" w:rsidRDefault="00BE7FB3" w:rsidP="00BE7FB3">
      <w:pPr>
        <w:pStyle w:val="TextoNormal"/>
      </w:pPr>
      <w:r w:rsidRPr="00BE7FB3">
        <w:rPr>
          <w:rStyle w:val="NumeroAFNegritaCaracter"/>
        </w:rPr>
        <w:t>2</w:t>
      </w:r>
      <w:r>
        <w:t>. Son hechos relevantes para la resolución de este recurso de amparo, los que se exponen a continuación de forma sucinta:</w:t>
      </w:r>
    </w:p>
    <w:p w:rsidR="00BE7FB3" w:rsidRDefault="00BE7FB3" w:rsidP="00BE7FB3">
      <w:pPr>
        <w:pStyle w:val="TextoNormal"/>
      </w:pPr>
    </w:p>
    <w:p w:rsidR="00BE7FB3" w:rsidRDefault="00BE7FB3" w:rsidP="00BE7FB3">
      <w:pPr>
        <w:pStyle w:val="TextoNormal"/>
      </w:pPr>
      <w:r>
        <w:t>a) El 13 de julio de 2001, Apandaun, S.L., solicitó la concesión de licencia de instalación de bar con música en el centro comercial Baliza de Cabo de Palos, que fue otorgada por la comisión de gobierno del Ayuntamiento de Cartagena el 7 de agosto de 2002. El hoy demandante de amparo, cuyo domicilio se encontraba próximo al bar discoteca con terraza musical, interpuso recurso de reposición contra dicho acuerdo que fue desestimado por acuerdo de la comisión de gobierno el 4 de noviembre de 2002.</w:t>
      </w:r>
    </w:p>
    <w:p w:rsidR="00BE7FB3" w:rsidRDefault="00BE7FB3" w:rsidP="00BE7FB3">
      <w:pPr>
        <w:pStyle w:val="TextoNormal"/>
      </w:pPr>
    </w:p>
    <w:p w:rsidR="00BE7FB3" w:rsidRDefault="00BE7FB3" w:rsidP="00BE7FB3">
      <w:pPr>
        <w:pStyle w:val="TextoNormal"/>
      </w:pPr>
      <w:r>
        <w:t xml:space="preserve">b) Contra el acuerdo desestimatorio del recurso de reposición, el demandante de amparo interpuso recurso contencioso-administrativo ante el Juzgado de lo Contencioso-Administrativo núm. 1 de Cartagena. En él se alegaba la incompatibilidad de la música en terraza con el deber de vestíbulo acústico del art. 9 del Decreto 48/1998 impuesto para los locales que emitan música, y con los derechos a la privacidad del domicilio y a la protección de la integridad física y psíquica (arts. 18 y 15 CE y 8.1 del Convenio europeo para la protección de los derechos humanos y de las libertades fundamentales), así como otras infracciones </w:t>
      </w:r>
      <w:r>
        <w:lastRenderedPageBreak/>
        <w:t>que se imputaban a la licencia. La Sentencia del Juzgado, de 18 de diciembre de 2003, estimó parcialmente las pretensiones del demandante y anuló la resolución del Ayuntamiento que concedía la licencia de apertura por considerar que el procedimiento de autorización adolecía de vicios al haber sido otorgada sin el informe favorable de los servicios de medio ambiente, por incumplimiento de lo dispuesto en el art. 9.1 del Decreto 48/1998, al no disponer el local de vestíbulos acústicos y ventanas cerradas, así como por no cumplir las exigencias relativas a salidas de emergencia.</w:t>
      </w:r>
    </w:p>
    <w:p w:rsidR="00BE7FB3" w:rsidRDefault="00BE7FB3" w:rsidP="00BE7FB3">
      <w:pPr>
        <w:pStyle w:val="TextoNormal"/>
      </w:pPr>
    </w:p>
    <w:p w:rsidR="00BE7FB3" w:rsidRDefault="00BE7FB3" w:rsidP="00BE7FB3">
      <w:pPr>
        <w:pStyle w:val="TextoNormal"/>
      </w:pPr>
      <w:r>
        <w:t>c) La Sentencia fue recurrida en apelación por el Ayuntamiento. Por Sentencia de 25 de febrero de 2005, la Sección Segunda de la Sala de lo Contencioso-Administrativo del Tribunal Superior de Justicia de Murcia, con admisión parcial de las pretensiones de la Administración, confirmó los efectos de la autorización litigiosa excepto en lo relativo a la parte interior (art. 9.1 del Decreto 48/1998). Consideró que respecto al otorgamiento de licencia de actividad al aire libre, eran aplicables las determinaciones recogidas en los anexos I, II del Decreto 48/1998, que establecen los límites de ruido en el medio ambiente exterior y los valores límite de ruido en el interior de los edificios, advirtiendo, no obstante, que de incumplirse las referidas limitaciones el Ayuntamiento debería actuar “en corrección de las desviaciones apreciadas para preservar la protección del derecho constitucional de los vecinos a disfrutar de un medio ambiente adecuado”; lo cual, a juicio del órgano judicial, no podía ser analizado en la Sentencia al “exceder de los estrictos límites de lo planteado en el procedimiento”, en el que sólo podía comprobar “si la licencia otorgada se ajusta a las determinaciones medio-ambientales que hemos examinado”.</w:t>
      </w:r>
    </w:p>
    <w:p w:rsidR="00BE7FB3" w:rsidRDefault="00BE7FB3" w:rsidP="00BE7FB3">
      <w:pPr>
        <w:pStyle w:val="TextoNormal"/>
      </w:pPr>
    </w:p>
    <w:p w:rsidR="00BE7FB3" w:rsidRDefault="00BE7FB3" w:rsidP="00BE7FB3">
      <w:pPr>
        <w:pStyle w:val="TextoNormal"/>
      </w:pPr>
      <w:r>
        <w:t>d) Interpuesto recurso de amparo ante el Tribunal Constitucional contra la Sentencia de 25 de febrero de 2005 (recurso de amparo núm. 6574-2005), alegando la vulneración de los arts. 14, 18 y 24 CE (derecho a la igualdad en la aplicación de la ley, derecho a la vida privada y derecho a una resolución fundada en Derecho que no incurra en arbitrariedad e incongruencia), éste fue inadmitido por carecer manifiestamente de contenido constitucional. El demandante de amparo acudió, entonces, ante el Tribunal Europeo de Derechos Humanos invocando la vulneración de los arts. 3, 6, 8 y 14 del Convenio y acreditando las consecuencias de los ruidos ambientales para el estado de salud de toda la familia, especialmente de su hija pequeña, enferma crónica.</w:t>
      </w:r>
    </w:p>
    <w:p w:rsidR="00BE7FB3" w:rsidRDefault="00BE7FB3" w:rsidP="00BE7FB3">
      <w:pPr>
        <w:pStyle w:val="TextoNormal"/>
      </w:pPr>
    </w:p>
    <w:p w:rsidR="00BE7FB3" w:rsidRDefault="00BE7FB3" w:rsidP="00BE7FB3">
      <w:pPr>
        <w:pStyle w:val="TextoNormal"/>
      </w:pPr>
      <w:r>
        <w:t xml:space="preserve">e) El Tribunal Europeo de Derechos Humanos, mediante Sentencia de 18 de octubre de 2011 (caso </w:t>
      </w:r>
      <w:r w:rsidRPr="00BE7FB3">
        <w:rPr>
          <w:i/>
        </w:rPr>
        <w:t>Martínez Martínez c. España</w:t>
      </w:r>
      <w:r>
        <w:t xml:space="preserve">), estima la demanda en lo que se refiere a la vulneración del respeto a la vida privada y familiar que reconoce el art. 8 del Convenio. El Tribunal considera probado que los niveles de ruidos nocturnos han superado el umbral necesario y tienen la gravedad suficiente para considerar que se ha producido una vulneración del art. 8 del Convenio, y que existe una relación de causalidad entre el nivel acústico al que se ha visto sometida la familia y las afecciones que sufren los miembros de la misma. Finalmente, el Tribunal afirma que el Ayuntamiento no tomó medida alguna relativa al nivel de ruido de la terraza y que tanto el Juzgado de lo Contencioso-Administrativo como el Tribunal Superior de Justicia omitieron pronunciarse sobre si los niveles de ruido emitidos podían considerarse perjudiciales para la salud de los afectados y sobre si estaba produciéndose una vulneración de derechos fundamentales, pese a que tal petición se había incluido en los escritos dirigidos a ambos órganos judiciales. No obstante lo anterior, puesto que el demandante no presentó una petición cuantificada en concepto de satisfacción equitativa al </w:t>
      </w:r>
      <w:r>
        <w:lastRenderedPageBreak/>
        <w:t>amparo del art. 41 del Convenio, pretendiendo la reapertura del asunto ante las jurisdicciones internas del Tribunal, estima que “no procede concederle ninguna cantidad por este concepto”, aunque sí se fija una cantidad de 15.000 euros en concepto de gastos y costas en la vía judicial.</w:t>
      </w:r>
    </w:p>
    <w:p w:rsidR="00BE7FB3" w:rsidRDefault="00BE7FB3" w:rsidP="00BE7FB3">
      <w:pPr>
        <w:pStyle w:val="TextoNormal"/>
      </w:pPr>
    </w:p>
    <w:p w:rsidR="00BE7FB3" w:rsidRDefault="00BE7FB3" w:rsidP="00BE7FB3">
      <w:pPr>
        <w:pStyle w:val="TextoNormal"/>
      </w:pPr>
      <w:r>
        <w:t>f) En el plazo de veinte días desde la notificación de la Sentencia dictada por el Tribunal Europeo de Derechos Humanos, el demandante de amparo interpuso incidente de nulidad contra la Sentencia de apelación ante la Sala de lo Contencioso-Administrativo del Tribunal Superior de Justicia de Murcia, con la finalidad de que se declarase la nulidad de la citada Sentencia y se dictase otra respetuosa con la Sentencia del Tribunal Europeo de Derechos Humanos. La Sección Segunda de la citada Sala desestimó el incidente por Auto de 9 de mayo de 2012, ahora recurrido en amparo.</w:t>
      </w:r>
    </w:p>
    <w:p w:rsidR="00BE7FB3" w:rsidRDefault="00BE7FB3" w:rsidP="00BE7FB3">
      <w:pPr>
        <w:pStyle w:val="TextoNormal"/>
      </w:pPr>
    </w:p>
    <w:p w:rsidR="00BE7FB3" w:rsidRDefault="00BE7FB3" w:rsidP="00BE7FB3">
      <w:pPr>
        <w:pStyle w:val="TextoNormal"/>
      </w:pPr>
      <w:r>
        <w:t>El órgano judicial inicia su razonamiento jurídico con la advertencia de que “como aduce la representación del Ayuntamiento de Cartagena, las Sentencias del Tribunal Europeo de Derechos Humanos no producen el efecto de determinar la nulidad de las resoluciones dictadas en los Estados miembros”. Estima, no obstante, que las circunstancias concurrentes en el caso “revisten la seriedad suficiente” como para hacer un pronunciamiento razonado sobre el sentido de la Sentencia respecto de la que se pide la declaración de la nulidad de actuaciones, y señala, al respecto, que el debate jurídico resuelto por la Sentencia “se planteó en relación con el espacio cerrado al que resultaba aplicable el artículo 9 del Decreto 48/1998, de 30 de julio, de protección del medio ambiente frente al ruido”, pues, respecto al espacio al aire libre, la licencia remitía al cumplimiento de los anexos I y II del Decreto 48/1998, y la Sala señaló expresamente que la resolución administrativa era adecuada siempre que se cumpliese con tales límites y, si se incumplían, la Administración debería adoptar las medidas pertinentes; la Sala no podía entrar en la fiscalización sobre si esos límites eran respetados o no con posterioridad porque “la actividad administrativa impugnada era la que era y la competencia de la Sala no podía extenderse más allá”. Por lo expuesto, el órgano judicial no apreció motivo alguno para declarar la nulidad de las actuaciones solicitada por el recurrente conforme al art. 238 de la Ley Orgánica del Poder Judicial.</w:t>
      </w:r>
    </w:p>
    <w:p w:rsidR="00BE7FB3" w:rsidRDefault="00BE7FB3" w:rsidP="00BE7FB3">
      <w:pPr>
        <w:pStyle w:val="TextoNormal"/>
      </w:pPr>
    </w:p>
    <w:p w:rsidR="00BE7FB3" w:rsidRDefault="00BE7FB3" w:rsidP="00BE7FB3">
      <w:pPr>
        <w:pStyle w:val="TextoNormal"/>
      </w:pPr>
      <w:r w:rsidRPr="00BE7FB3">
        <w:rPr>
          <w:rStyle w:val="NumeroAFNegritaCaracter"/>
        </w:rPr>
        <w:t>3</w:t>
      </w:r>
      <w:r>
        <w:t>. Se invoca en el presente recurso de amparo la violación del derecho a la tutela judicial efectiva (art. 24 CE) y al derecho a la vida privada (art. 18.1 CE). Entiende el demandante de amparo que al negarse la Sala en su Auto de 9 de mayo de 2012, a dar efectividad a la Sentencia dictada por el Tribunal Europeo de Derechos Humanos, se ha vulnerado su derecho a la tutela judicial efectiva y a la vida privada. Considera que tiene derecho a que se anule la Sentencia interna y a que se reconozca la vulneración de derechos constatada por el citado Tribunal, de forma que sea posible el reconocimiento del derecho a una indemnización de daños y perjuicios ocasionados por la intromisión padecida.</w:t>
      </w:r>
    </w:p>
    <w:p w:rsidR="00BE7FB3" w:rsidRDefault="00BE7FB3" w:rsidP="00BE7FB3">
      <w:pPr>
        <w:pStyle w:val="TextoNormal"/>
      </w:pPr>
    </w:p>
    <w:p w:rsidR="00BE7FB3" w:rsidRDefault="00BE7FB3" w:rsidP="00BE7FB3">
      <w:pPr>
        <w:pStyle w:val="TextoNormal"/>
      </w:pPr>
      <w:r>
        <w:t>Se justifica la especial trascendencia constitucional por la relevante y general repercusión que suscita el recurso de amparo, consistente en proporcionar un recurso efectivo por los Tribunales internos a la violación del derecho fundamental a la vida privada del demandante declarada por el Tribunal Europeo de Derechos Humanos.</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El recurso de amparo fue inadmitido por providencia de la Sección Tercera, de la Sala Segunda de este Tribunal, de fecha 6 de febrero de 2013, por incumplimiento del requisito </w:t>
      </w:r>
      <w:r>
        <w:lastRenderedPageBreak/>
        <w:t>de agotamiento de los medios de impugnación en la vía judicial [art. 44.1 a) de la Ley Orgánica del Tribunal Constitucional].</w:t>
      </w:r>
    </w:p>
    <w:p w:rsidR="00BE7FB3" w:rsidRDefault="00BE7FB3" w:rsidP="00BE7FB3">
      <w:pPr>
        <w:pStyle w:val="TextoNormal"/>
      </w:pPr>
    </w:p>
    <w:p w:rsidR="00BE7FB3" w:rsidRDefault="00BE7FB3" w:rsidP="00BE7FB3">
      <w:pPr>
        <w:pStyle w:val="TextoNormal"/>
      </w:pPr>
      <w:r w:rsidRPr="00BE7FB3">
        <w:rPr>
          <w:rStyle w:val="NumeroAFNegritaCaracter"/>
        </w:rPr>
        <w:t>5</w:t>
      </w:r>
      <w:r>
        <w:t>. Con fecha 11 de marzo de 2013, tuvo entrada en el Registro General de este Tribunal escrito del Fiscal ante el Tribunal Constitucional, mediante el que interpone recurso de súplica contra la antes citada providencia de inadmisión. Entiende el Fiscal que el Tribunal ha entrado ya en varias ocasiones a enjuiciar la posible lesión de derechos fundamentales que se habría producido por las resoluciones judiciales que habrían desestimado los incidentes de nulidad de actuaciones o los recursos de revisión, a través de los cuales se pretendía hacer valer una Sentencia del Tribunal Europeo de Derechos Humanos, anulando la resolución definitiva de los órganos judiciales españoles que infringía los derechos reconocidos en el convenio europeo, sin exigir en ningún caso la utilización de los distintos medios de impugnación posibles, considerando agotada la vía jurisdiccional para acudir en amparo ante este Tribunal con la utilización de cualquiera de ellos. Por ello, considera que, en este caso, al haber presentado el demandante de amparo incidente de nulidad de actuaciones para solicitar la nulidad de la Sentencia firme de fecha 25 de febrero de 2005, se habrían agotado todos los medios de impugnación de orden interno de los que el demandante podría valerse para tratar de exigir la efectividad de la Sentencia, pues contra la desestimación del incidente de nulidad de actuaciones no cabe recurso.</w:t>
      </w:r>
    </w:p>
    <w:p w:rsidR="00BE7FB3" w:rsidRDefault="00BE7FB3" w:rsidP="00BE7FB3">
      <w:pPr>
        <w:pStyle w:val="TextoNormal"/>
      </w:pPr>
    </w:p>
    <w:p w:rsidR="00BE7FB3" w:rsidRDefault="00BE7FB3" w:rsidP="00BE7FB3">
      <w:pPr>
        <w:pStyle w:val="TextoNormal"/>
      </w:pPr>
      <w:r w:rsidRPr="00BE7FB3">
        <w:rPr>
          <w:rStyle w:val="NumeroAFNegritaCaracter"/>
        </w:rPr>
        <w:t>6</w:t>
      </w:r>
      <w:r>
        <w:t>. Mediante diligencia de ordenación de 13 de marzo de 2013, se unió a las actuaciones el escrito presentado por el Ministerio Fiscal, dándose traslado a las demás partes para alegaciones en el plazo común de tres días. Por escrito que tuvo entrada en el Tribunal el 21 de marzo del mismo año, doña Mónica Paloma Fente Delgado, actuando en representación de don Diego Martínez Martínez, se adhirió a las alegaciones del escrito de súplica del Ministerio Fiscal.</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Ministerio Fiscal recurre en súplica la providencia dictada por la Sección Tercera de este Tribunal el 6 de febrero de 2013, en la que se acordó no admitir a trámite el recurso de amparo núm. 3377-2012, por no haberse agotado la vía previa al amparo que, como condición para su admisión, requiere la Ley Orgánica del Tribunal Constitucional [art. 44.1 a) LOTC]. Considera el Fiscal que el incidente de nulidad de actuaciones es la vía adecuada para reparar la lesión del derecho consagrado en el art. 8 del convenio, declarado por la Sentencia del Tribunal Europeo de Derechos Humanos, vulneración que sería consecuencia de la inactividad administrativa en relación con los niveles de ruido de la terraza y de la falta de pronunciamiento de los órganos judiciales sobre si los niveles de ruido emitidos podían considerarse perjudiciales para la salud de los afectados y sobre si estaba produciéndose una vulneración de derechos fundamentales.</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Debemos comenzar señalando que el alcance de las resoluciones judiciales viene determinado por las pretensiones de las partes. En el presente caso, dado que el demandante lo único que discutió, primero en el recurso de reposición y, después, en el proceso judicial del que trae causa el recurso de amparo, fue la validez de la licencia otorgada, pero, en modo alguno, si su titular había respetado las condiciones establecidas en la licencia, la Sala no </w:t>
      </w:r>
      <w:r>
        <w:lastRenderedPageBreak/>
        <w:t>podía entrar en la fiscalización sobre si los límites fueron respetados o no con posterioridad. Es por ello, que tras la solicitar la nulidad de actuaciones conforme al art. 238 de la Ley Orgánica del Poder Judicial, la Sección Segunda de la Sala de lo Contencioso-Administrativo del Tribunal Superior de Justicia de Murcia declaró que no se apreciaba que concurriera motivo para declarar la nulidad de la licencia, dado que ésta se había pronunciado acerca de lo pretendido por la parte. La Sentencia del Tribunal Superior de Justicia cuya anulación se solicitaba, afirma que la normativa aplicable no impide la música en la terraza, aunque establece como condición que no se superen los niveles de ruido permitidos. Si el titular hubiera respetado las condiciones de la licencia establecidas en la Sentencia, ninguna lesión del derecho fundamental se habría producido. La Sala no podía pronunciarse sobre la lesión del derecho a la intimidad que el titular de la licencia y la inactividad municipal habrían producido, sin vulnerar las más esenciales reglas procesales y el art. 24 CE, ya que lo único que se pidió en las demandas presentadas por el ahora recurrente fue la nulidad de la licencia administrativa que autorizaba la actividad de la discoteca.</w:t>
      </w:r>
    </w:p>
    <w:p w:rsidR="00BE7FB3" w:rsidRDefault="00BE7FB3" w:rsidP="00BE7FB3">
      <w:pPr>
        <w:pStyle w:val="TextoNormal"/>
      </w:pPr>
    </w:p>
    <w:p w:rsidR="00BE7FB3" w:rsidRDefault="00BE7FB3" w:rsidP="00BE7FB3">
      <w:pPr>
        <w:pStyle w:val="TextoNormal"/>
      </w:pPr>
      <w:r w:rsidRPr="00BE7FB3">
        <w:rPr>
          <w:rStyle w:val="NumeroAFNegritaCaracter"/>
        </w:rPr>
        <w:t>3</w:t>
      </w:r>
      <w:r>
        <w:t>. Tras lo expuesto, debemos constatar que el órgano judicial actúo sin vulneración de los derechos fundamentales invocados. No procedía la anulación de la Sentencia que se solicitaba en cumplimiento de la Sentencia del Tribunal Europeo de Derechos Humanos que declaró vulnerado el art. 8 del Convenio europeo para la protección de los derechos humanos y de las libertades fundamentales por la existencia de los altos niveles de ruido procedentes de la terraza del local por la inactividad de la Administración, por cuanto tal inactividad no fue objeto del proceso judicial al centrarse la demanda en la nulidad de la licencia. Es por ello que no se pueda dar por satisfecho el requisito de la subsidiariedad que tiene por finalidad dar la posibilidad a los Jueces y Tribunales de pronunciarse sobre los derechos invocados con carácter previo al planteamiento del recurso de amparo.</w:t>
      </w:r>
    </w:p>
    <w:p w:rsidR="00BE7FB3" w:rsidRDefault="00BE7FB3" w:rsidP="00BE7FB3">
      <w:pPr>
        <w:pStyle w:val="TextoNormal"/>
      </w:pPr>
    </w:p>
    <w:p w:rsidR="00BE7FB3" w:rsidRDefault="00BE7FB3" w:rsidP="00BE7FB3">
      <w:pPr>
        <w:pStyle w:val="TextoNormal"/>
      </w:pPr>
      <w:r>
        <w:t>Fue el recurrente quien debió iniciar y haber agotado una vía de impugnación diferente que debería haber tenido como pretensión el incumplimiento de la Administración de su obligación de supervisión de la actividad del titular de la licencia una vez aprobada ésta, sobre las limitaciones del ruido. En definitiva, pudo y debió, bien antes o después de que se dictara la Sentencia del Tribunal Europeo de Derechos Humanos, solicitar de la Administración la adopción de las medidas necesarias para preservar al solicitante de amparo de la contaminación acústica ilegítima que estaba padeciendo, y, en caso de negativa o inactividad de la Administración, acudir frente a ésta a la vía judicial. Sin embargo, no lo hizo, habiéndose únicamente recurrido, desde el inicio del procedimiento administrativo, el acuerdo de la comisión de gobierno del Ayuntamiento de Cartagena otorgando la licencia, motivo por el cual el órgano judicial no pudo pronunciarse al respecto de las alegadas vulneraciones del derecho a la intimidad, ni declarar la nulidad de la Sentencia que se pronunciaba sobre la concesión de la licencia.</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Lo dicho hasta ahora, no excluye, no obstante, que el demandante de amparo se pueda dirigir a las autoridades municipales a fin de que salvaguarden el derecho cuya vulneración ha apreciado el Tribunal Europeo de Derechos Humanos cuyo cumplimiento compete al Estado a través de los órganos que, según el caso, resulten competentes. En efecto, este Tribunal ha sido en todo momento consciente del valor, que por virtud del art. 10.2 CE, ha de reconocerse a la doctrina del Tribunal Europeo de Derechos Humanos en su interpretación y tutela de los derechos fundamentales (por todas, STC 35/1995, de 6 de febrero, FJ 3; y STC 119/2001, FJ 6), pero no puede obviar el ámbito al que se circunscribe el recurso de </w:t>
      </w:r>
      <w:r>
        <w:lastRenderedPageBreak/>
        <w:t>amparo en garantía de la operatividad y eficacia de este medio excepcional de protección de los derechos fundamentales, al fiscalizar el cumplimiento que de las Sentencias del Tribunal Europeo de Derechos Humanos realicen los órganos judiciales.</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Desestimar el presente recurso de súplica.</w:t>
      </w:r>
    </w:p>
    <w:p w:rsidR="00BE7FB3" w:rsidRDefault="00BE7FB3" w:rsidP="00BE7FB3">
      <w:pPr>
        <w:pStyle w:val="TextoNormal"/>
      </w:pPr>
    </w:p>
    <w:p w:rsidR="00BE7FB3" w:rsidRDefault="00BE7FB3" w:rsidP="00BE7FB3">
      <w:pPr>
        <w:pStyle w:val="TextoNormal"/>
      </w:pPr>
      <w:r>
        <w:t>Madrid, a veintinueve de mayo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74" w:name="AUTO_2013_133"/>
      <w:r>
        <w:lastRenderedPageBreak/>
        <w:t>AUTO 133/2013, de 3 de junio de 2013</w:t>
      </w:r>
    </w:p>
    <w:bookmarkEnd w:id="274"/>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ECLI:ES:TC:2013:133A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Deniega la suspensión en el recurso de amparo 6811-2010, promovido por don Ionel Panait en causa penal.</w:t>
      </w:r>
    </w:p>
    <w:p w:rsidR="00BE7FB3" w:rsidRDefault="00BE7FB3" w:rsidP="00BE7FB3">
      <w:pPr>
        <w:pStyle w:val="SntesisDescriptiva"/>
      </w:pPr>
    </w:p>
    <w:p w:rsidR="00BE7FB3" w:rsidRDefault="00BE7FB3" w:rsidP="00BE7FB3">
      <w:pPr>
        <w:pStyle w:val="SntesisAnaltica"/>
      </w:pPr>
      <w:r>
        <w:t>Suspensión cautelar de Sentencias penales: prisión de diecisiete años, no suspende.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20 de septiembre de 2010, el Procurador de los Tribunales don Ramón María Querol Aragón, en nombre y representación de don Ionel Panait, y bajo la dirección del Letrado don Javier Martínez Ruiz, formalizó recurso de amparo contra la Sentencia de la Sala de lo Penal del Tribunal Supremo de 28 de junio de 2010, recaída en el recurso de casación núm. 10661-2009, interpuesto contra la dictada el 9 de marzo de 2009 por la Sección Primera de la Audiencia Provincial de Burgos en el rollo de sala núm. 106-2007, que había condenado al actor como autor responsable en grado de consumación de un delito de asociación ilícita a la pena de dos años de prisión y multa de dieciocho meses con una cuota diaria de seis euros, con privación de libertad de un día por cada dos cuotas de multa que resultasen impagadas; de un delito continuado de receptación a la pena de un año de prisión; de un delito de robo con fuerza en las cosas a la pena de un año y seis meses de prisión; de un delito de robo con violencia en las personas, a la pena de tres años de prisión; y de un delito de homicidio a la pena de doce años de prisión; en todos los casos con pena de inhabilitación especial para el ejercicio del derecho de sufragio pasivo durante el tiempo de la condena. El Tribunal Supremo estimó parcialmente el recurso interpuesto y absolvió al demandante de los delitos de asociación ilícita y de receptación.</w:t>
      </w:r>
    </w:p>
    <w:p w:rsidR="00BE7FB3" w:rsidRDefault="00BE7FB3" w:rsidP="00BE7FB3">
      <w:pPr>
        <w:pStyle w:val="TextoNormal"/>
      </w:pPr>
    </w:p>
    <w:p w:rsidR="00BE7FB3" w:rsidRDefault="00BE7FB3" w:rsidP="00BE7FB3">
      <w:pPr>
        <w:pStyle w:val="TextoNormal"/>
      </w:pPr>
      <w:r>
        <w:t>Por escrito de 5 de abril de 2013 la representación procesal del actor solicitó la suspensión de la pena de prisión impuesta.</w:t>
      </w:r>
    </w:p>
    <w:p w:rsidR="00BE7FB3" w:rsidRDefault="00BE7FB3" w:rsidP="00BE7FB3">
      <w:pPr>
        <w:pStyle w:val="TextoNormal"/>
      </w:pPr>
    </w:p>
    <w:p w:rsidR="00BE7FB3" w:rsidRDefault="00BE7FB3" w:rsidP="00BE7FB3">
      <w:pPr>
        <w:pStyle w:val="TextoNormal"/>
      </w:pPr>
      <w:r w:rsidRPr="00BE7FB3">
        <w:rPr>
          <w:rStyle w:val="NumeroAFNegritaCaracter"/>
        </w:rPr>
        <w:t>2</w:t>
      </w:r>
      <w:r>
        <w:t>. La Sala Primera de este Tribunal, por sendas providencias de 6 de mayo de 2013,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3</w:t>
      </w:r>
      <w:r>
        <w:t>. El recurrente, por escrito registrado el 14 de mayo de 2013, presentó alegaciones reiterando su solicitud de suspensión de la pena de prisión en consideración a que la única prueba incriminatoria contra él fue una prueba de ADN obtenida de forma ilegal, por lo que sostiene que está cumpliendo una condena que nunca debiera haber soportado y cuyos efectos se perpetúan durante la tramitación de este recurso de amparo.</w:t>
      </w:r>
    </w:p>
    <w:p w:rsidR="00BE7FB3" w:rsidRDefault="00BE7FB3" w:rsidP="00BE7FB3">
      <w:pPr>
        <w:pStyle w:val="TextoNormal"/>
      </w:pPr>
    </w:p>
    <w:p w:rsidR="00BE7FB3" w:rsidRDefault="00BE7FB3" w:rsidP="00BE7FB3">
      <w:pPr>
        <w:pStyle w:val="TextoNormal"/>
      </w:pPr>
      <w:r w:rsidRPr="00BE7FB3">
        <w:rPr>
          <w:rStyle w:val="NumeroAFNegritaCaracter"/>
        </w:rPr>
        <w:t>4</w:t>
      </w:r>
      <w:r>
        <w:t>. El Ministerio Fiscal, por escrito registrado el 20 de mayo de 2013, presentó alegaciones en las que, con cita de la doctrina de este Tribunal sobre el particular, interesó que se denegara la suspensión solicitada dado el tiempo total de duración de las penas de prisión impuestas al demandante, la lejanía del tiempo de cumplimiento definitivo y la especial gravedad de los delitos objeto de condena, uno de ellos constitutivo del delito de homicidio, sin que la genérica solicitud de suspensión permita apreciar que concurran en este caso circunstancias excepcionales que justifiquen su concesión. Añade que aunque el recurrente sólo ha interesado la suspensión de la pena de prisión tampoco cabría la del resto de los pronunciamientos de las Sentencias impugnadas por su carácter accesorio.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objeto de la presente pieza cautelar consiste en determinar si procede la suspensión de la ejecución de la sentencia recurrida, y para su examen debe tenerse en cuenta que 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BE7FB3" w:rsidRDefault="00BE7FB3" w:rsidP="00BE7FB3">
      <w:pPr>
        <w:pStyle w:val="TextoNormal"/>
      </w:pPr>
    </w:p>
    <w:p w:rsidR="00BE7FB3" w:rsidRDefault="00BE7FB3" w:rsidP="00BE7FB3">
      <w:pPr>
        <w:pStyle w:val="TextoNormal"/>
      </w:pPr>
      <w:r>
        <w:t>La doctrina mantenida por este Tribunal subraya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12/2009, de 26 de enero, 1/2010, de 11 de enero, y 18/2011, de 28 de febrero,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12/2009, de 26 de enero, 112/2011, de 18 de julio).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(ATC 44/2012, de 12 de marzo, FJ 1).</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Más concretamente, en relación con la suspensión de las penas privativas de libertad, este Tribunal ha venido utilizando como criterio de ponderación prioritario el de gravedad </w:t>
      </w:r>
      <w:r>
        <w:lastRenderedPageBreak/>
        <w:t>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(art. 33 del Código penal)” (ATC 44/2012, FJ 2).</w:t>
      </w:r>
    </w:p>
    <w:p w:rsidR="00BE7FB3" w:rsidRDefault="00BE7FB3" w:rsidP="00BE7FB3">
      <w:pPr>
        <w:pStyle w:val="TextoNormal"/>
      </w:pPr>
    </w:p>
    <w:p w:rsidR="00BE7FB3" w:rsidRDefault="00BE7FB3" w:rsidP="00BE7FB3">
      <w:pPr>
        <w:pStyle w:val="TextoNormal"/>
      </w:pPr>
      <w:r>
        <w:t>Junto a este criterio, el Tribunal ha venido considerando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 Este criterio es reiterado en el ATC 185/2012, de 15 de octubre.</w:t>
      </w:r>
    </w:p>
    <w:p w:rsidR="00BE7FB3" w:rsidRDefault="00BE7FB3" w:rsidP="00BE7FB3">
      <w:pPr>
        <w:pStyle w:val="TextoNormal"/>
      </w:pPr>
    </w:p>
    <w:p w:rsidR="00BE7FB3" w:rsidRDefault="00BE7FB3" w:rsidP="00BE7FB3">
      <w:pPr>
        <w:pStyle w:val="TextoNormal"/>
      </w:pPr>
      <w:r w:rsidRPr="00BE7FB3">
        <w:rPr>
          <w:rStyle w:val="NumeroAFNegritaCaracter"/>
        </w:rPr>
        <w:t>3</w:t>
      </w:r>
      <w:r>
        <w:t>. La aplicación al caso de la doctrina reseñada conduce, como solicita el Ministerio Fiscal, a denegar la suspensión interesada en atención a la duración de la pena privativa de libertad impuesta —superior a los dieciséis años de prisión— y a la especial gravedad derivada de la naturaleza de los hechos delictivos y del bien jurídico protegido —entre otros, delito de homicidio—, sin que el tiempo que resta por cumplir, vista la fecha desde la que el demandante se encuentra en prisión provisional según las Sentencias impugnadas (17 de noviembre de 2006), permita conectar la suspensión solicitada con el criterio genérico de la pérdida de eficacia del amparo teniendo en consideración que el plazo de condena pendiente de cumplimiento supera el período de cinco años.</w:t>
      </w:r>
    </w:p>
    <w:p w:rsidR="00BE7FB3" w:rsidRDefault="00BE7FB3" w:rsidP="00BE7FB3">
      <w:pPr>
        <w:pStyle w:val="TextoNormal"/>
      </w:pPr>
    </w:p>
    <w:p w:rsidR="00BE7FB3" w:rsidRDefault="00BE7FB3" w:rsidP="00BE7FB3">
      <w:pPr>
        <w:pStyle w:val="TextoNormal"/>
      </w:pPr>
      <w:r>
        <w:t>Por último, aun cuando el escrito de 5 de abril de 2013 concreta la petición suspensiva a la ejecución de la pena de prisión, es indudable que tampoco cabría la suspensión del resto de los pronunciamientos al seguir las penas accesorias la misma suerte que la principal (AATC 131/2001, de 22 de mayo, FJ 2; 408/2005, de 21 de noviembre, FJ 2; y 80/2006, de 13 de marzo, FJ 2, entre otros), y por ser susceptibles de reparación los de contenido patrimonial (AATC 101/2012, de 21 de mayo, FJ 2; 126/2010, de 4 de octubre, FJ 2; y 59/2008, de 20 de febrero, FJ 2, entre otros).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Denegar la suspensión solicitada en el recurso de amparo núm. 6811-2010.</w:t>
      </w:r>
    </w:p>
    <w:p w:rsidR="00BE7FB3" w:rsidRDefault="00BE7FB3" w:rsidP="00BE7FB3">
      <w:pPr>
        <w:pStyle w:val="TextoNormal"/>
      </w:pPr>
    </w:p>
    <w:p w:rsidR="00BE7FB3" w:rsidRDefault="00BE7FB3" w:rsidP="00BE7FB3">
      <w:pPr>
        <w:pStyle w:val="TextoNormal"/>
      </w:pPr>
      <w:r>
        <w:t>Madrid, a tres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75" w:name="AUTO_2013_134"/>
      <w:r>
        <w:lastRenderedPageBreak/>
        <w:t>AUTO 134/2013, de 3 de junio de 2013</w:t>
      </w:r>
    </w:p>
    <w:bookmarkEnd w:id="275"/>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TtuloBOE"/>
      </w:pPr>
      <w:r>
        <w:t>("BOE" núm. 157, de 2 de julio de 2013)</w:t>
      </w:r>
    </w:p>
    <w:p w:rsidR="00BE7FB3" w:rsidRDefault="00BE7FB3" w:rsidP="00BE7FB3">
      <w:pPr>
        <w:pStyle w:val="TtuloBOE"/>
      </w:pPr>
    </w:p>
    <w:p w:rsidR="00BE7FB3" w:rsidRDefault="00BE7FB3" w:rsidP="00BE7FB3">
      <w:pPr>
        <w:pStyle w:val="SntesisDescriptiva"/>
      </w:pPr>
      <w:r>
        <w:t>ECLI:ES:TC:2013:134A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Rectifica un error material padecido en la Sentencia 106/2013, de 6 de mayo, dictada en el recurso de amparo 8996-2010, promovido por Pinturas Eurotex, S.A., y Palacete de los Lasso, S.L.U.</w:t>
      </w:r>
    </w:p>
    <w:p w:rsidR="00BE7FB3" w:rsidRDefault="00BE7FB3" w:rsidP="00BE7FB3">
      <w:pPr>
        <w:pStyle w:val="SntesisDescriptiva"/>
      </w:pPr>
    </w:p>
    <w:p w:rsidR="00BE7FB3" w:rsidRDefault="00BE7FB3" w:rsidP="00BE7FB3">
      <w:pPr>
        <w:pStyle w:val="SntesisAnaltica"/>
      </w:pPr>
      <w:r>
        <w:t>Sentencias: complementación de Sentencias. Sentencias del Tribunal Constitucional: rectificación de Sentencias.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Por escrito presentado en el Registro General de este Tribunal el 27 de diciembre de 2010, doña María de la Concepción Moreno de Barreda Rovira, Procuradora de los Tribunales y de Pinturas Eurotex, S.A., y Palacete de los Lasso, S.L.U., interpuso recurso de amparo frente al Auto del Juzgado de Primera Instancia e Instrucción núm. 5 de Cáceres de 26 de julio de 2010 y frente al Auto de 9 de noviembre de 2010 de la Audiencia Provincial de Cáceres que desestimó el recurso de apelación interpuesto frente aquél. El Tribunal Constitucional otorgó el amparo solicitado en STC 106/2013, de 6 de mayo.</w:t>
      </w:r>
    </w:p>
    <w:p w:rsidR="00BE7FB3" w:rsidRDefault="00BE7FB3" w:rsidP="00BE7FB3">
      <w:pPr>
        <w:pStyle w:val="TextoNormal"/>
      </w:pPr>
    </w:p>
    <w:p w:rsidR="00BE7FB3" w:rsidRDefault="00BE7FB3" w:rsidP="00BE7FB3">
      <w:pPr>
        <w:pStyle w:val="TextoNormal"/>
      </w:pPr>
      <w:r w:rsidRPr="00BE7FB3">
        <w:rPr>
          <w:rStyle w:val="NumeroAFNegritaCaracter"/>
        </w:rPr>
        <w:t>2</w:t>
      </w:r>
      <w:r>
        <w:t>. El 16 de mayo de 2013, doña María de la Concepción Moreno de Barreda Rovira, Procuradora de los Tribunales y de Pinturas Eurotex, S.A., y Palacete de los Lasso, S.L.U., presentó escrito solicitando la corrección y complemento de la citada Sentencia.</w:t>
      </w:r>
    </w:p>
    <w:p w:rsidR="00BE7FB3" w:rsidRDefault="00BE7FB3" w:rsidP="00BE7FB3">
      <w:pPr>
        <w:pStyle w:val="TextoNormal"/>
      </w:pPr>
    </w:p>
    <w:p w:rsidR="00BE7FB3" w:rsidRDefault="00BE7FB3" w:rsidP="00BE7FB3">
      <w:pPr>
        <w:pStyle w:val="TextoNormal"/>
      </w:pPr>
      <w:r>
        <w:t>En primer lugar solicitaba la corrección del error material contenido en la parte dispositiva de la Sentencia que declara la nulidad del Auto de 9 de noviembre de 2012 de la Sección Primera de la Audiencia Provincial de Cáceres, cuando el citado Auto fue dictado en el año 2010. Este defecto tipográfico también se advierte en el encabezamiento de la resolución.</w:t>
      </w:r>
    </w:p>
    <w:p w:rsidR="00BE7FB3" w:rsidRDefault="00BE7FB3" w:rsidP="00BE7FB3">
      <w:pPr>
        <w:pStyle w:val="TextoNormal"/>
      </w:pPr>
    </w:p>
    <w:p w:rsidR="00BE7FB3" w:rsidRDefault="00BE7FB3" w:rsidP="00BE7FB3">
      <w:pPr>
        <w:pStyle w:val="TextoNormal"/>
      </w:pPr>
      <w:r>
        <w:t xml:space="preserve">En segundo lugar, solicita el complemento de la Sentencia puesto que, pese a estimar íntegramente lo interesado, obvia plasmar en su parte dispositiva un pedimento deducido de forma expresa en el pedimento (iii) del suplico de la demanda, la parte interesó que se declarara “la nulidad del Auto núm. 166/2010, de 9 de noviembre de 2010, dictado por la Sección Primera de la Audiencia Provincial de Cáceres por el que se resuelve el recurso de apelación con núm. de rollo 581-2010”, “así como la de todas las actuaciones y resoluciones </w:t>
      </w:r>
      <w:r>
        <w:lastRenderedPageBreak/>
        <w:t>posteriores”. Sin embargo, pese a “otorgar el amparo solicitado”, la Sentencia no acuerda la nulidad de todas esas actuaciones y resoluciones posteriores que han traído causa de los dos Autos declarados nulos. Por ello, considera que procede el complemento de la Sentencia dada la omisión denunciada.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art. 93.1 de la Ley Orgánica del Tribunal Constitucional establece que en el plazo de dos días, a contar desde la notificación, las partes podrán solicitar la aclaración de la Sentencia. Esta actuación judicial, de acuerdo con el art. 267.1 de la Ley Orgánica del Poder Judicial, deberá limitarse a “aclarar algún concepto oscuro y suplir cualquier omisión que contengan” sobre puntos discutidos en el litigio, siendo posible también rectificar los errores materiales manifiestos y los aritméticos allí contenidos, pero no podrá suponer, sin embargo, variación o modificación de la Sentencia (entre otros, AATC 363/2007, de 11 de septiembre; 439/2006, de 11 de diciembre; 70/2008, de 26 de febrero; y 32/2010, de 2 de marzo).</w:t>
      </w:r>
    </w:p>
    <w:p w:rsidR="00BE7FB3" w:rsidRDefault="00BE7FB3" w:rsidP="00BE7FB3">
      <w:pPr>
        <w:pStyle w:val="TextoNormal"/>
      </w:pPr>
    </w:p>
    <w:p w:rsidR="00BE7FB3" w:rsidRDefault="00BE7FB3" w:rsidP="00BE7FB3">
      <w:pPr>
        <w:pStyle w:val="TextoNormal"/>
      </w:pPr>
      <w:r w:rsidRPr="00BE7FB3">
        <w:rPr>
          <w:rStyle w:val="NumeroAFNegritaCaracter"/>
        </w:rPr>
        <w:t>2</w:t>
      </w:r>
      <w:r>
        <w:t>. La parte solicita la rectificación de un error material contenido, tanto en el fallo, como en el encabezamiento de la Sentencia, en relación a la fecha del Auto dictado por la Audiencia Provincial de Cáceres el 9 de noviembre de 2010. Constando el error material advertido, procede la rectificación solicitada. Por ello, donde dice “Auto de 9 de noviembre de 2012” debe decir “Auto de 9 de noviembre de 2010”.</w:t>
      </w:r>
    </w:p>
    <w:p w:rsidR="00BE7FB3" w:rsidRDefault="00BE7FB3" w:rsidP="00BE7FB3">
      <w:pPr>
        <w:pStyle w:val="TextoNormal"/>
      </w:pPr>
    </w:p>
    <w:p w:rsidR="00BE7FB3" w:rsidRDefault="00BE7FB3" w:rsidP="00BE7FB3">
      <w:pPr>
        <w:pStyle w:val="TextoNormal"/>
      </w:pPr>
      <w:r w:rsidRPr="00BE7FB3">
        <w:rPr>
          <w:rStyle w:val="NumeroAFNegritaCaracter"/>
        </w:rPr>
        <w:t>3</w:t>
      </w:r>
      <w:r>
        <w:t>. En cuanto al complemento de Sentencia solicitado debe recordarse que la parte dispositiva de la Sentencia de 6 de mayo de 2013, corregido el error material antes señalado, dispuso:</w:t>
      </w:r>
    </w:p>
    <w:p w:rsidR="00BE7FB3" w:rsidRDefault="00BE7FB3" w:rsidP="00BE7FB3">
      <w:pPr>
        <w:pStyle w:val="TextoNormal"/>
      </w:pPr>
    </w:p>
    <w:p w:rsidR="00BE7FB3" w:rsidRDefault="00BE7FB3" w:rsidP="00BE7FB3">
      <w:pPr>
        <w:pStyle w:val="TextoNormal"/>
      </w:pPr>
      <w:r>
        <w:t>“Otorgar el amparo solicitado por Pinturas Eurotex, S.A., y Palacete de los Lasso S.L.U., y, en consecuencia:</w:t>
      </w:r>
    </w:p>
    <w:p w:rsidR="00BE7FB3" w:rsidRDefault="00BE7FB3" w:rsidP="00BE7FB3">
      <w:pPr>
        <w:pStyle w:val="TextoNormal"/>
      </w:pPr>
    </w:p>
    <w:p w:rsidR="00BE7FB3" w:rsidRDefault="00BE7FB3" w:rsidP="00BE7FB3">
      <w:pPr>
        <w:pStyle w:val="TextoNormal"/>
      </w:pPr>
      <w:r>
        <w:t>1º Reconocer su derecho fundamental a la tutela judicial efectiva, art. 24.1 CE, en su vertiente de acceso a la justicia.</w:t>
      </w:r>
    </w:p>
    <w:p w:rsidR="00BE7FB3" w:rsidRDefault="00BE7FB3" w:rsidP="00BE7FB3">
      <w:pPr>
        <w:pStyle w:val="TextoNormal"/>
      </w:pPr>
    </w:p>
    <w:p w:rsidR="00BE7FB3" w:rsidRDefault="00BE7FB3" w:rsidP="00BE7FB3">
      <w:pPr>
        <w:pStyle w:val="TextoNormal"/>
      </w:pPr>
      <w:r>
        <w:t>2º Restablecerlas en su derecho y, a tal fin, declarar la nulidad del Auto de 26 de julio de 2010 del Juzgado de Primera Instancia e Instrucción núm. 5 de Cáceres, dictado en el procedimiento ordinario núm. 940-2009, y del Auto de 9 de noviembre de 2010 de la Sección Primera de la Audiencia Provincial de Cáceres, dictado en el recurso de apelación núm. 581-2010, retrotrayendo las actuaciones al momento anterior al del pronunciamiento del Auto dictado en instancia, para que se dicte nueva resolución judicial que resulte respetuosa con el derecho fundamental reconocido.”</w:t>
      </w:r>
    </w:p>
    <w:p w:rsidR="00BE7FB3" w:rsidRDefault="00BE7FB3" w:rsidP="00BE7FB3">
      <w:pPr>
        <w:pStyle w:val="TextoNormal"/>
      </w:pPr>
    </w:p>
    <w:p w:rsidR="00BE7FB3" w:rsidRDefault="00BE7FB3" w:rsidP="00BE7FB3">
      <w:pPr>
        <w:pStyle w:val="TextoNormal"/>
      </w:pPr>
      <w:r>
        <w:t>La petición debe ser rechazada. El complemento de Sentencia que solicita —inclusión expresa en el fallo de la Sentencia de la declaración de nulidad de todas las resoluciones judiciales posteriores a los Autos anulados— no procede, puesto que la declaración de nulidad de las resoluciones judiciales señaladas, con expresa orden de retroacción de actuaciones al momento previo al que fueron dictadas, supone la nulidad de las resoluciones judiciales posteriores que trajeran causa de las anuladas.</w:t>
      </w:r>
    </w:p>
    <w:p w:rsidR="00BE7FB3" w:rsidRDefault="00BE7FB3" w:rsidP="00BE7FB3">
      <w:pPr>
        <w:pStyle w:val="TextoNormal"/>
      </w:pPr>
    </w:p>
    <w:p w:rsidR="00BE7FB3" w:rsidRDefault="00BE7FB3" w:rsidP="00BE7FB3">
      <w:pPr>
        <w:pStyle w:val="TextoNormal"/>
      </w:pPr>
      <w:r>
        <w:lastRenderedPageBreak/>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Rectificar el error material en cuanto a la fecha del Auto de 9 de noviembre de 2010 dictado por la Audiencia Provincial de Cáceres.</w:t>
      </w:r>
    </w:p>
    <w:p w:rsidR="00BE7FB3" w:rsidRDefault="00BE7FB3" w:rsidP="00BE7FB3">
      <w:pPr>
        <w:pStyle w:val="TextoNormal"/>
      </w:pPr>
    </w:p>
    <w:p w:rsidR="00BE7FB3" w:rsidRDefault="00BE7FB3" w:rsidP="00BE7FB3">
      <w:pPr>
        <w:pStyle w:val="TextoNormal"/>
      </w:pPr>
      <w:r>
        <w:t>En el encabezamiento de la Sentencia, así como en su parte dispositiva, donde dice “Auto de 9 de noviembre de 2012” debe decir “Auto de 9 de noviembre de 2010”.</w:t>
      </w:r>
    </w:p>
    <w:p w:rsidR="00BE7FB3" w:rsidRDefault="00BE7FB3" w:rsidP="00BE7FB3">
      <w:pPr>
        <w:pStyle w:val="TextoNormal"/>
      </w:pPr>
    </w:p>
    <w:p w:rsidR="00BE7FB3" w:rsidRDefault="00BE7FB3" w:rsidP="00BE7FB3">
      <w:pPr>
        <w:pStyle w:val="TextoNormal"/>
      </w:pPr>
      <w:r>
        <w:t>Rechazar la petición de complemento de Sentencia solicitado.</w:t>
      </w:r>
    </w:p>
    <w:p w:rsidR="00BE7FB3" w:rsidRDefault="00BE7FB3" w:rsidP="00BE7FB3">
      <w:pPr>
        <w:pStyle w:val="TextoNormal"/>
      </w:pPr>
    </w:p>
    <w:p w:rsidR="00BE7FB3" w:rsidRDefault="00BE7FB3" w:rsidP="00BE7FB3">
      <w:pPr>
        <w:pStyle w:val="TextoNormal"/>
      </w:pPr>
      <w:r>
        <w:t>Publíquese este Auto en el “Boletín Oficial del Estado”.</w:t>
      </w:r>
    </w:p>
    <w:p w:rsidR="00BE7FB3" w:rsidRDefault="00BE7FB3" w:rsidP="00BE7FB3">
      <w:pPr>
        <w:pStyle w:val="TextoNormal"/>
      </w:pPr>
    </w:p>
    <w:p w:rsidR="00BE7FB3" w:rsidRDefault="00BE7FB3" w:rsidP="00BE7FB3">
      <w:pPr>
        <w:pStyle w:val="TextoNormal"/>
      </w:pPr>
      <w:r>
        <w:t>Madrid, a tres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76" w:name="AUTO_2013_135"/>
      <w:r>
        <w:lastRenderedPageBreak/>
        <w:t>AUTO 135/2013, de 3 de junio de 2013</w:t>
      </w:r>
    </w:p>
    <w:bookmarkEnd w:id="276"/>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ECLI:ES:TC:2013:135A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y don Fernando Valdés Dal-Ré.</w:t>
      </w:r>
    </w:p>
    <w:p w:rsidR="00BE7FB3" w:rsidRDefault="00BE7FB3" w:rsidP="00BE7FB3">
      <w:pPr>
        <w:pStyle w:val="SntesisDescriptiva"/>
      </w:pPr>
    </w:p>
    <w:p w:rsidR="00BE7FB3" w:rsidRDefault="00BE7FB3" w:rsidP="00BE7FB3">
      <w:pPr>
        <w:pStyle w:val="SntesisDescriptiva"/>
      </w:pPr>
      <w:r>
        <w:t>Acepta una abstención en el recurso de amparo 2860-2012, promovido por Josel, S.L.,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14 de mayo de 2012, el Procurador de los Tribunales don Antonio Sorribes Calle, en nombre y representación de Josel, S.L., interpuso demanda de amparo contra Auto de la Sección Primera de la Sala de lo Contencioso-Administrativo del Tribunal Supremo recaído en recurso de casación núm. 1501-2011, contra Sentencia dictada por la Sección Segunda de la Sala de lo Contencioso-Administrativo de la Audiencia Nacional en procedimiento ordinario 24-2008.</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29 de mayo de 2013, el Magistrado Excmo. Sr. don Juan José González Rivas manifestó su voluntad de abstenerse en el presente recurso de amparo y todas sus incidencias, por entender que concurría la causa establecida en el art. 219.11 de la Ley Orgánica del Poder Judicial, supletoria de la Ley Orgánica 2/1979 (art. 80), al haber intervenido en instancia anterior en su condición de Magistrado de la Sala de lo Contencioso-Administrativo del Tribunal Supremo que dictó la resolución recurrida.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2860-2012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tres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77" w:name="AUTO_2013_136"/>
      <w:r>
        <w:lastRenderedPageBreak/>
        <w:t>AUTO 136/2013, de 3 de junio de 2013</w:t>
      </w:r>
    </w:p>
    <w:bookmarkEnd w:id="277"/>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ECLI:ES:TC:2013:136A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Deniega la suspensión en el recurso de amparo 3794-2012, promovido por don Rafael Díez Usabiaga en causa penal.</w:t>
      </w:r>
    </w:p>
    <w:p w:rsidR="00BE7FB3" w:rsidRDefault="00BE7FB3" w:rsidP="00BE7FB3">
      <w:pPr>
        <w:pStyle w:val="SntesisDescriptiva"/>
      </w:pPr>
    </w:p>
    <w:p w:rsidR="00BE7FB3" w:rsidRDefault="00BE7FB3" w:rsidP="00BE7FB3">
      <w:pPr>
        <w:pStyle w:val="SntesisAnaltica"/>
      </w:pPr>
      <w:r>
        <w:t>Suspensión cautelar de Sentencias penales: prisión de seis años, no suspende.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21 de junio de 2012, la Procuradora de los Tribunales doña Ana Isabel Lobera Argüelles, en nombre y representación de don Rafael Díez Usabiaga, y bajo la dirección del Letrado don Iñigo Iruin Sanz, interpuso recurso de amparo contra la Sentencia de la Sala de lo Penal del Tribunal Supremo de 7 de mayo de 2012, recaída en el recurso de casación núm. 11773/1,1 que estimó parcialmente el recurso interpuesto contra la dictada el 16 de septiembre de 2011 por la Sección Cuarta de la Audiencia Nacional en el rollo de sala núm. 95-2009, que había condenado al actor como responsable en concepto de autor de un delito de pertenencia a organización terrorista, en grado de dirigente, a la pena de diez años de prisión, y modificó la cuantía de la pena privativa de libertad impuesta fijándola en seis años y seis meses como autor de la modalidad básica del delito de pertenencia o integración en organización terrorista prevista en el art. 571.2 del actual Código penal, excluyendo el grado de dirigente.</w:t>
      </w:r>
    </w:p>
    <w:p w:rsidR="00BE7FB3" w:rsidRDefault="00BE7FB3" w:rsidP="00BE7FB3">
      <w:pPr>
        <w:pStyle w:val="TextoNormal"/>
      </w:pPr>
    </w:p>
    <w:p w:rsidR="00BE7FB3" w:rsidRDefault="00BE7FB3" w:rsidP="00BE7FB3">
      <w:pPr>
        <w:pStyle w:val="TextoNormal"/>
      </w:pPr>
      <w:r>
        <w:t>En la demanda de amparo el recurrente solicitó la suspensión de la ejecución de la Sentencia dictada por la Sala de lo Penal del Tribunal Supremo en lo que respecta a la pena de seis años y seis meses de prisión, accesorias de inhabilitación especial para el ejercicio del derecho de sufragio pasivo e inhabilitación especial para empleo o cargo público, ambas por el tiempo de la condena, alegando la imposibilidad de reparación de los daños que para el derecho a la libertad del recurrente supondría la ejecución de la Sentencia que impediría, de serle otorgado el amparo, el restablecimiento en la integridad de su derecho y haría perder a aquél su finalidad.</w:t>
      </w:r>
    </w:p>
    <w:p w:rsidR="00BE7FB3" w:rsidRDefault="00BE7FB3" w:rsidP="00BE7FB3">
      <w:pPr>
        <w:pStyle w:val="TextoNormal"/>
      </w:pPr>
    </w:p>
    <w:p w:rsidR="00BE7FB3" w:rsidRDefault="00BE7FB3" w:rsidP="00BE7FB3">
      <w:pPr>
        <w:pStyle w:val="TextoNormal"/>
      </w:pPr>
      <w:r w:rsidRPr="00BE7FB3">
        <w:rPr>
          <w:rStyle w:val="NumeroAFNegritaCaracter"/>
        </w:rPr>
        <w:t>2</w:t>
      </w:r>
      <w:r>
        <w:t>. La Sala Primera de este Tribunal, por sendas providencias de 6 de mayo de 2013,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la petición de suspensión interesada.</w:t>
      </w:r>
    </w:p>
    <w:p w:rsidR="00BE7FB3" w:rsidRDefault="00BE7FB3" w:rsidP="00BE7FB3">
      <w:pPr>
        <w:pStyle w:val="TextoNormal"/>
      </w:pPr>
    </w:p>
    <w:p w:rsidR="00BE7FB3" w:rsidRDefault="00BE7FB3" w:rsidP="00BE7FB3">
      <w:pPr>
        <w:pStyle w:val="TextoNormal"/>
      </w:pPr>
      <w:r w:rsidRPr="00BE7FB3">
        <w:rPr>
          <w:rStyle w:val="NumeroAFNegritaCaracter"/>
        </w:rPr>
        <w:t>3</w:t>
      </w:r>
      <w:r>
        <w:t>. El Ministerio Fiscal, por escrito registrado el 21 de mayo de 2013, presentó alegaciones en las que, con cita de la doctrina de este Tribunal sobre el particular, interesó que se denegara la suspensión solicitada dado el tiempo total de duración de la pena de prisión impuesta al demandante, la lejanía del tiempo de cumplimiento definitivo (31 de agosto de 2017) y la trascendencia social del delito objeto de condena, y el estado del proceso constitucional, próximo a su terminación. En cuanto a las penas de inhabilitación especial para el ejercicio del derecho de sufragio pasivo e inhabilitación especial para empleo o cargo público sostiene que procede asimismo la denegación porque las penas accesorias deben seguir la suerte de la pena privativa de libertad.</w:t>
      </w:r>
    </w:p>
    <w:p w:rsidR="00BE7FB3" w:rsidRDefault="00BE7FB3" w:rsidP="00BE7FB3">
      <w:pPr>
        <w:pStyle w:val="TextoNormal"/>
      </w:pPr>
    </w:p>
    <w:p w:rsidR="00BE7FB3" w:rsidRDefault="00BE7FB3" w:rsidP="00BE7FB3">
      <w:pPr>
        <w:pStyle w:val="TextoNormal"/>
      </w:pPr>
      <w:r w:rsidRPr="00BE7FB3">
        <w:rPr>
          <w:rStyle w:val="NumeroAFNegritaCaracter"/>
        </w:rPr>
        <w:t>4</w:t>
      </w:r>
      <w:r>
        <w:t>. La representación procesal del demandante de amparo no ha formulado alegaciones en plazo. Mediante escritos presentados en el Registro General de este Tribunal los días 24 y 27 de mayo de 2013 ha formulado una nueva solicitud de suspensión y ha interesado la acumulación de dicha petición a la ya iniciada, solicitando la concesión del plazo de tres días para alegaciones.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objeto de la presente pieza cautelar consiste en determinar si procede la suspensión de la ejecución de la Sentencia recurrida, y para su examen debe tenerse en cuenta que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BE7FB3" w:rsidRDefault="00BE7FB3" w:rsidP="00BE7FB3">
      <w:pPr>
        <w:pStyle w:val="TextoNormal"/>
      </w:pPr>
    </w:p>
    <w:p w:rsidR="00BE7FB3" w:rsidRDefault="00BE7FB3" w:rsidP="00BE7FB3">
      <w:pPr>
        <w:pStyle w:val="TextoNormal"/>
      </w:pPr>
      <w:r>
        <w:t>La doctrina mantenida por este Tribunal subraya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12/2009, de 26 de enero; 1/2010, de 11 de enero, y 18/2011, de 28 de febrero,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12/2009, de 26 de enero; 112/2011, de 18 de julio).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(ATC 44/2012, de 12 de marzo, FJ 1).</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2</w:t>
      </w:r>
      <w:r>
        <w:t>. Más concretamente, en relación con la suspensión de las penas privativas de libertad, este Tribunal ha venido utilizando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(art. 33 del Código penal)” (ATC 44/2012, FJ 2).</w:t>
      </w:r>
    </w:p>
    <w:p w:rsidR="00BE7FB3" w:rsidRDefault="00BE7FB3" w:rsidP="00BE7FB3">
      <w:pPr>
        <w:pStyle w:val="TextoNormal"/>
      </w:pPr>
    </w:p>
    <w:p w:rsidR="00BE7FB3" w:rsidRDefault="00BE7FB3" w:rsidP="00BE7FB3">
      <w:pPr>
        <w:pStyle w:val="TextoNormal"/>
      </w:pPr>
      <w:r>
        <w:t>Junto a este criterio, el Tribunal ha venido considerando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 Este criterio es reiterado en el ATC 185/2012, de 15 de octubre.</w:t>
      </w:r>
    </w:p>
    <w:p w:rsidR="00BE7FB3" w:rsidRDefault="00BE7FB3" w:rsidP="00BE7FB3">
      <w:pPr>
        <w:pStyle w:val="TextoNormal"/>
      </w:pPr>
    </w:p>
    <w:p w:rsidR="00BE7FB3" w:rsidRDefault="00BE7FB3" w:rsidP="00BE7FB3">
      <w:pPr>
        <w:pStyle w:val="TextoNormal"/>
      </w:pPr>
      <w:r w:rsidRPr="00BE7FB3">
        <w:rPr>
          <w:rStyle w:val="NumeroAFNegritaCaracter"/>
        </w:rPr>
        <w:t>3</w:t>
      </w:r>
      <w:r>
        <w:t>. La aplicación al caso de la doctrina reseñada conduce, como solicita el Ministerio Fiscal, a denegar la suspensión interesada en atención a la duración de la pena privativa de libertad impuesta —seis años y seis meses de prisión—, que se halla por encima del citado margen de gravedad con el que, como regla general, opera este Tribunal.</w:t>
      </w:r>
    </w:p>
    <w:p w:rsidR="00BE7FB3" w:rsidRDefault="00BE7FB3" w:rsidP="00BE7FB3">
      <w:pPr>
        <w:pStyle w:val="TextoNormal"/>
      </w:pPr>
    </w:p>
    <w:p w:rsidR="00BE7FB3" w:rsidRDefault="00BE7FB3" w:rsidP="00BE7FB3">
      <w:pPr>
        <w:pStyle w:val="TextoNormal"/>
      </w:pPr>
      <w:r>
        <w:t>Por otra parte, en anteriores pronunciamientos hemos venido manejando estos mismos criterios en cuanto a delitos relacionados con esta materia, en supuestos en los que se ha denegado la suspensión cuando faltaban por cumplir periodos inferiores, como en el caso del ATC 334/2004, de 13 de septiembre, en el que faltaban por cumplir dos años, por lo que no existen razones justificativas que alteren el criterio consolidado de la doctrina de este Tribunal en situaciones similares a la aquí contemplada.</w:t>
      </w:r>
    </w:p>
    <w:p w:rsidR="00BE7FB3" w:rsidRDefault="00BE7FB3" w:rsidP="00BE7FB3">
      <w:pPr>
        <w:pStyle w:val="TextoNormal"/>
      </w:pPr>
    </w:p>
    <w:p w:rsidR="00BE7FB3" w:rsidRDefault="00BE7FB3" w:rsidP="00BE7FB3">
      <w:pPr>
        <w:pStyle w:val="TextoNormal"/>
      </w:pPr>
      <w:r>
        <w:t>Y es notorio que tampoco cabe acordar la suspensión del resto de los pronunciamientos de las resoluciones impugnadas al seguir las penas accesorias la misma suerte que la principal (AATC 131/2001, de 22 de mayo, FJ 2; 408/2005, de 21 de noviembre, FJ 2; y 80/2006, de 13 de marzo, FJ 2, entre otros), y por ser susceptibles de reparación los de contenido patrimonial (AATC 101/2012, de 21 de mayo, FJ 2; 126/2010, de 4 de octubre, FJ 2; y 59/2008, de 20 de febrero, FJ 2, entre otros).</w:t>
      </w:r>
    </w:p>
    <w:p w:rsidR="00BE7FB3" w:rsidRDefault="00BE7FB3" w:rsidP="00BE7FB3">
      <w:pPr>
        <w:pStyle w:val="TextoNormal"/>
      </w:pPr>
    </w:p>
    <w:p w:rsidR="00BE7FB3" w:rsidRDefault="00BE7FB3" w:rsidP="00BE7FB3">
      <w:pPr>
        <w:pStyle w:val="TextoNormal"/>
      </w:pPr>
      <w:r w:rsidRPr="00BE7FB3">
        <w:rPr>
          <w:rStyle w:val="NumeroAFNegritaCaracter"/>
        </w:rPr>
        <w:t>4</w:t>
      </w:r>
      <w:r>
        <w:t>. Por último, no procede acceder a la petición de acumulación de la nueva solicitud de suspensión a la solicitud que da lugar a este Auto, ni a la de conceder el plazo de tres días para alegaciones, teniendo en consideración que el régimen legal de las acumulaciones en los procesos ante el Tribunal Constitucional está regido en exclusiva por su Ley Orgánica y, en concreto, por su art. 83, sin que esta materia se incluya entre aquéllas en las que el art. 80 LOTC llama a la aplicación supletoria de la Ley Orgánica del Poder Judicial y la Ley de enjuiciamiento civil. Y que el art. 83 citado solo regula “la acumulación de aquellos procesos con objetos conexos que justifiquen la unidad de tramitación y decisión”, lo que no puede confundirse con la acumulación de incidentes distintos de un mismo proceso.</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Denegar la suspensión solicitada en el recurso de amparo núm. 3794-2012.</w:t>
      </w:r>
    </w:p>
    <w:p w:rsidR="00BE7FB3" w:rsidRDefault="00BE7FB3" w:rsidP="00BE7FB3">
      <w:pPr>
        <w:pStyle w:val="TextoNormal"/>
      </w:pPr>
    </w:p>
    <w:p w:rsidR="00BE7FB3" w:rsidRDefault="00BE7FB3" w:rsidP="00BE7FB3">
      <w:pPr>
        <w:pStyle w:val="TextoNormal"/>
      </w:pPr>
      <w:r>
        <w:t>Madrid, a tres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78" w:name="AUTO_2013_137"/>
      <w:r>
        <w:lastRenderedPageBreak/>
        <w:t>AUTO 137/2013, de 3 de junio de 2013</w:t>
      </w:r>
    </w:p>
    <w:bookmarkEnd w:id="278"/>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ECLI:ES:TC:2013:137A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Deniega la suspensión en el recurso de amparo 3930-2012, promovido por don Arnaldo Otegi Mondragón en causa penal.</w:t>
      </w:r>
    </w:p>
    <w:p w:rsidR="00BE7FB3" w:rsidRDefault="00BE7FB3" w:rsidP="00BE7FB3">
      <w:pPr>
        <w:pStyle w:val="SntesisDescriptiva"/>
      </w:pPr>
    </w:p>
    <w:p w:rsidR="00BE7FB3" w:rsidRDefault="00BE7FB3" w:rsidP="00BE7FB3">
      <w:pPr>
        <w:pStyle w:val="SntesisAnaltica"/>
      </w:pPr>
      <w:r>
        <w:t>Suspensión cautelar de Sentencias penales: prisión de seis años, no suspende.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27 de junio de 2012, el Procurador de los Tribunales don Javier Cuevas Rivas, en nombre y representación de Arnaldo Otegi Mondragón, Arkaitz Rodríguez Torres, Sonia Jacinto García y Miren Zabaleta, interpuso recurso de amparo contra la Sentencia de la Sala de lo Penal del Tribunal Supremo de fecha 7 de mayo de 2012, dictada en recurso de casación núm. 11.773-2011, interpuesto contra la dictada por la Sección Cuarta de la Sala de lo Penal de la Audiencia Nacional de fecha 16 de septiembre de 2011 (rollo de Sala núm. 95-2009), en la que se declaraba haber lugar parcialmente al recurso de casación y se condenaba: a) a Arnaldo Otegi Mondragón como autor en su modalidad básica de un delito de pertenencia a organización terrorista a la pena de seis años y seis meses de prisión, inhabilitación especial para el ejercicio del derecho de sufragio pasivo por igual tiempo e inhabilitación especial para empleo o cargo público por tiempo de diez años; y b) a Arkaitz Rodríguez Torres, a Sonia Jacinto García y a Miren Zabaleta como autores en su modalidad básica de un delito de pertenencia a organización terrorista, respectivamente, a la pena de seis años de prisión, inhabilitación especial para el ejercicio del derecho de sufragio pasivo por igual tiempo e inhabilitación especial para empleo o cargo público por tiempo de diez años.</w:t>
      </w:r>
    </w:p>
    <w:p w:rsidR="00BE7FB3" w:rsidRDefault="00BE7FB3" w:rsidP="00BE7FB3">
      <w:pPr>
        <w:pStyle w:val="TextoNormal"/>
      </w:pPr>
    </w:p>
    <w:p w:rsidR="00BE7FB3" w:rsidRDefault="00BE7FB3" w:rsidP="00BE7FB3">
      <w:pPr>
        <w:pStyle w:val="TextoNormal"/>
      </w:pPr>
      <w:r>
        <w:t>La Sentencia recurrida en amparo estimaba parcialmente el recurso de casación promovido contra la Sentencia dictada por la Sección Cuarta de la Sala de lo Penal de la Audiencia Nacional de 16 de septiembre de 2011 (rollo de Sala núm. 95-2009).</w:t>
      </w:r>
    </w:p>
    <w:p w:rsidR="00BE7FB3" w:rsidRDefault="00BE7FB3" w:rsidP="00BE7FB3">
      <w:pPr>
        <w:pStyle w:val="TextoNormal"/>
      </w:pPr>
    </w:p>
    <w:p w:rsidR="00BE7FB3" w:rsidRDefault="00BE7FB3" w:rsidP="00BE7FB3">
      <w:pPr>
        <w:pStyle w:val="TextoNormal"/>
      </w:pPr>
      <w:r>
        <w:t xml:space="preserve">En la demanda de amparo se solicitaba por otrosí, </w:t>
      </w:r>
      <w:r w:rsidRPr="00BE7FB3">
        <w:rPr>
          <w:i/>
        </w:rPr>
        <w:t>ex</w:t>
      </w:r>
      <w:r>
        <w:t xml:space="preserve"> art. 56 de la Ley Orgánica del Tribunal Constitucional, la suspensión de la ejecución de las penas impuestas a los demandantes de amparo, por cuanto podría causar un perjuicio tal que haría perder la finalidad del presente recurso de amparo, sin que dicha suspensión ocasione perturbación grave a ningún derecho constitucionalmente protegido.</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2</w:t>
      </w:r>
      <w:r>
        <w:t>. La Sala Primera de este Tribunal, por providencia de 6 de mayo de 2013, y tras admitir el recurso por providencia fechada en el mismo día, acordó la formación de pieza separada para la tramitación del incidente sobre la suspensión solicitada: asimismo, conceder a la parte recurrente y al Ministerio Fiscal el plazo común de tres días para que alegasen lo que estimasen pertinente sobre dicha suspensión.</w:t>
      </w:r>
    </w:p>
    <w:p w:rsidR="00BE7FB3" w:rsidRDefault="00BE7FB3" w:rsidP="00BE7FB3">
      <w:pPr>
        <w:pStyle w:val="TextoNormal"/>
      </w:pPr>
    </w:p>
    <w:p w:rsidR="00BE7FB3" w:rsidRDefault="00BE7FB3" w:rsidP="00BE7FB3">
      <w:pPr>
        <w:pStyle w:val="TextoNormal"/>
      </w:pPr>
      <w:r w:rsidRPr="00BE7FB3">
        <w:rPr>
          <w:rStyle w:val="NumeroAFNegritaCaracter"/>
        </w:rPr>
        <w:t>3</w:t>
      </w:r>
      <w:r>
        <w:t>. La representación de los recurrentes presentó escrito de alegaciones con fecha 14 de mayo de 2013 en el que reitera la petición de suspensión con fundamento en que los demandantes de amparo se encuentran en prisión desde el mes de octubre de 2009, por lo que la no suspensión ocasionaría un perjuicio irreparable a los recurrentes que dejaría totalmente en entredicho la eficacia de un eventual fallo estimatorio.</w:t>
      </w:r>
    </w:p>
    <w:p w:rsidR="00BE7FB3" w:rsidRDefault="00BE7FB3" w:rsidP="00BE7FB3">
      <w:pPr>
        <w:pStyle w:val="TextoNormal"/>
      </w:pPr>
    </w:p>
    <w:p w:rsidR="00BE7FB3" w:rsidRDefault="00BE7FB3" w:rsidP="00BE7FB3">
      <w:pPr>
        <w:pStyle w:val="TextoNormal"/>
      </w:pPr>
      <w:r w:rsidRPr="00BE7FB3">
        <w:rPr>
          <w:rStyle w:val="NumeroAFNegritaCaracter"/>
        </w:rPr>
        <w:t>4</w:t>
      </w:r>
      <w:r>
        <w:t>. El Ministerio Fiscal, por escrito registrado en este Tribunal el 21 de mayo de 2013, presentó alegaciones solicitando que se deniegue la suspensión por tratarse de penas graves, cuya duración excede de los cinco años de privación de libertad, por tratarse de un delito de gran trascendencia social, lo que abona la continuación de la situación actual que colma el interés general en el cumplimiento de las resoluciones judiciales, y por el estado actual de este proceso constitucional, próximo a su terminación.</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objeto de la presente pieza cautelar consiste en determinar si procede la suspensión de la ejecución de la Sentencia recurrida y para su examen procede tener en cuenta que 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BE7FB3" w:rsidRDefault="00BE7FB3" w:rsidP="00BE7FB3">
      <w:pPr>
        <w:pStyle w:val="TextoNormal"/>
      </w:pPr>
    </w:p>
    <w:p w:rsidR="00BE7FB3" w:rsidRDefault="00BE7FB3" w:rsidP="00BE7FB3">
      <w:pPr>
        <w:pStyle w:val="TextoNormal"/>
      </w:pPr>
      <w:r>
        <w:t xml:space="preserve">La doctrina mantenida por este Tribunal subraya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1/2010, de 11 de enero, 8/2011, de 14 de febrero, y 18/2011, de 28 de febrero,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12/2009, de 26 de enero, 112/2011, de 18 de julio). En este sentido, por perjuicio irreparable se ha de entender aquel que provoque que el restablecimiento del recurrente en el derecho constitucional vulnerado sea tardío y convierta el amparo en meramente ilusorio y nominal </w:t>
      </w:r>
      <w:r>
        <w:lastRenderedPageBreak/>
        <w:t>(por todos, AATC 274/2008, de 15 de septiembre, 26/2009, de 26 de enero, y 173/2009, de 1 de junio)” (ATC 44/2012, de 12 de marzo, FJ 1).</w:t>
      </w:r>
    </w:p>
    <w:p w:rsidR="00BE7FB3" w:rsidRDefault="00BE7FB3" w:rsidP="00BE7FB3">
      <w:pPr>
        <w:pStyle w:val="TextoNormal"/>
      </w:pPr>
    </w:p>
    <w:p w:rsidR="00BE7FB3" w:rsidRDefault="00BE7FB3" w:rsidP="00BE7FB3">
      <w:pPr>
        <w:pStyle w:val="TextoNormal"/>
      </w:pPr>
      <w:r w:rsidRPr="00BE7FB3">
        <w:rPr>
          <w:rStyle w:val="NumeroAFNegritaCaracter"/>
        </w:rPr>
        <w:t>2</w:t>
      </w:r>
      <w:r>
        <w:t>. Más concretamente, en relación a la suspensión de las penas de prisión, este Tribunal ha venido utilizando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(art. 33 del Código penal)” (ATC 44/2012, FJ 2).</w:t>
      </w:r>
    </w:p>
    <w:p w:rsidR="00BE7FB3" w:rsidRDefault="00BE7FB3" w:rsidP="00BE7FB3">
      <w:pPr>
        <w:pStyle w:val="TextoNormal"/>
      </w:pPr>
    </w:p>
    <w:p w:rsidR="00BE7FB3" w:rsidRDefault="00BE7FB3" w:rsidP="00BE7FB3">
      <w:pPr>
        <w:pStyle w:val="TextoNormal"/>
      </w:pPr>
      <w:r>
        <w:t>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BE7FB3" w:rsidRDefault="00BE7FB3" w:rsidP="00BE7FB3">
      <w:pPr>
        <w:pStyle w:val="TextoNormal"/>
      </w:pPr>
    </w:p>
    <w:p w:rsidR="00BE7FB3" w:rsidRDefault="00BE7FB3" w:rsidP="00BE7FB3">
      <w:pPr>
        <w:pStyle w:val="TextoNormal"/>
      </w:pPr>
      <w:r>
        <w:t>Este criterio es reiterado en el ATC 185/2012, de 15 de octubre.</w:t>
      </w:r>
    </w:p>
    <w:p w:rsidR="00BE7FB3" w:rsidRDefault="00BE7FB3" w:rsidP="00BE7FB3">
      <w:pPr>
        <w:pStyle w:val="TextoNormal"/>
      </w:pPr>
    </w:p>
    <w:p w:rsidR="00BE7FB3" w:rsidRDefault="00BE7FB3" w:rsidP="00BE7FB3">
      <w:pPr>
        <w:pStyle w:val="TextoNormal"/>
      </w:pPr>
      <w:r w:rsidRPr="00BE7FB3">
        <w:rPr>
          <w:rStyle w:val="NumeroAFNegritaCaracter"/>
        </w:rPr>
        <w:t>3</w:t>
      </w:r>
      <w:r>
        <w:t>. A partir de tales presupuestos, debemos considerar que en este caso los demandantes fueron condenados todos ellos a penas superiores a cinco años de prisión (concretamente, seis años y seis meses en el caso del señor Otegi y seis años los demás recurrentes), que se hallan por encima del citado margen de gravedad con que, como regla general, opera este Tribunal en materia de suspensión; junto a ello, no cabe desatender que la condena se basa en la pertenencia a organización terrorista de los recurrentes, lo que afecta a bienes jurídicos esenciales, por lo que la suspensión puede implicar una perturbación grave de un interés constitucionalmente protegido como lo es el legítimo interés público en el cumplimiento de las penas, en atención a la gravedad del delito.</w:t>
      </w:r>
    </w:p>
    <w:p w:rsidR="00BE7FB3" w:rsidRDefault="00BE7FB3" w:rsidP="00BE7FB3">
      <w:pPr>
        <w:pStyle w:val="TextoNormal"/>
      </w:pPr>
    </w:p>
    <w:p w:rsidR="00BE7FB3" w:rsidRDefault="00BE7FB3" w:rsidP="00BE7FB3">
      <w:pPr>
        <w:pStyle w:val="TextoNormal"/>
      </w:pPr>
      <w:r>
        <w:t>Por otra parte, en anteriores pronunciamientos, hemos venido manejando estos mismos criterios en cuanto a delitos relacionados con esta materia, donde se ha denegado la suspensión en supuestos en que faltaba por cumplir periodos inferiores, como en el caso del ATC 334/2004, de 13 de septiembre, en que faltaban por cumplir dos años, y sólo se ha matizado este criterio en casos de delitos relacionados con el terrorismo de menor desvalor que el ahora contemplado como el de colaboración con organización terrorista (ATC 466/2007, de 17 de diciembre, FJ 3), por lo que no existen razones justificativas que alteren el criterio consolidado de la doctrina de este Tribunal en situaciones similares a la aquí contemplada.</w:t>
      </w:r>
    </w:p>
    <w:p w:rsidR="00BE7FB3" w:rsidRDefault="00BE7FB3" w:rsidP="00BE7FB3">
      <w:pPr>
        <w:pStyle w:val="TextoNormal"/>
      </w:pPr>
    </w:p>
    <w:p w:rsidR="00BE7FB3" w:rsidRDefault="00BE7FB3" w:rsidP="00BE7FB3">
      <w:pPr>
        <w:pStyle w:val="TextoNormal"/>
      </w:pPr>
      <w:r>
        <w:t>Por último, es notorio que tampoco cabe acordar la suspensión del resto de los pronunciamientos de las resoluciones impugnadas al seguir las penas accesorias la misma suerte que la principal (AATC 131/2001, de 22 de mayo, FJ 2; 408/2005, de 21 de noviembre, FJ 2; y 80/2006, de 13 de marzo, FJ 2, entre otros) y por ser susceptibles de reparación los de contenido patrimonial (AATC 101/2012, de 21 de mayo, FJ 2; 126/2010, de 4 de octubre, FJ 2; y 59/2008, de 20 de febrero, FJ 2, entre otros).</w:t>
      </w:r>
    </w:p>
    <w:p w:rsidR="00BE7FB3" w:rsidRDefault="00BE7FB3" w:rsidP="00BE7FB3">
      <w:pPr>
        <w:pStyle w:val="TextoNormal"/>
      </w:pPr>
    </w:p>
    <w:p w:rsidR="00BE7FB3" w:rsidRDefault="00BE7FB3" w:rsidP="00BE7FB3">
      <w:pPr>
        <w:pStyle w:val="TextoNormal"/>
      </w:pPr>
      <w:r w:rsidRPr="00BE7FB3">
        <w:rPr>
          <w:rStyle w:val="NumeroAFNegritaCaracter"/>
        </w:rPr>
        <w:t>4</w:t>
      </w:r>
      <w:r>
        <w:t>. Los razonamientos precedentes conducen, de acuerdo a lo solicitado por el Ministerio Fiscal, a denegar la suspensión instada.</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Denegar la suspensión solicitada en el recurso de amparo núm. 3930-2012.</w:t>
      </w:r>
    </w:p>
    <w:p w:rsidR="00BE7FB3" w:rsidRDefault="00BE7FB3" w:rsidP="00BE7FB3">
      <w:pPr>
        <w:pStyle w:val="TextoNormal"/>
      </w:pPr>
    </w:p>
    <w:p w:rsidR="00BE7FB3" w:rsidRDefault="00BE7FB3" w:rsidP="00BE7FB3">
      <w:pPr>
        <w:pStyle w:val="TextoNormal"/>
      </w:pPr>
      <w:r>
        <w:t>Madrid, a tres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79" w:name="AUTO_2013_138"/>
      <w:r>
        <w:lastRenderedPageBreak/>
        <w:t>AUTO 138/2013, de 3 de junio de 2013</w:t>
      </w:r>
    </w:p>
    <w:bookmarkEnd w:id="279"/>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ECLI:ES:TC:2013:138A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y don Fernando Valdés Dal-Ré.</w:t>
      </w:r>
    </w:p>
    <w:p w:rsidR="00BE7FB3" w:rsidRDefault="00BE7FB3" w:rsidP="00BE7FB3">
      <w:pPr>
        <w:pStyle w:val="SntesisDescriptiva"/>
      </w:pPr>
    </w:p>
    <w:p w:rsidR="00BE7FB3" w:rsidRDefault="00BE7FB3" w:rsidP="00BE7FB3">
      <w:pPr>
        <w:pStyle w:val="SntesisDescriptiva"/>
      </w:pPr>
      <w:r>
        <w:t>Acepta una abstención en el recurso de amparo 6372-2012, promovido por doña María Gil Sanjuan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13 de noviembre de 2012, el Procurador de los Tribunales don Jorge Deleito García, en nombre y representación de doña María Gil Sanjuan, interpuso demanda de amparo contra Auto de la Sección Primera de la Sala de lo Contencioso-Administrativo del Tribunal Supremo recaído en recurso de casación núm. 6918-2010, contra Sentencia dictada por la Sala de lo Contencioso-Administrativo de la Audiencia Nacional en recurso núm. 606-2007.</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29 de mayo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 80), al haber intervenido en instancia anterior en su condición de Magistrado de la Sala de lo Contencioso-Administrativo del Tribunal Supremo que dictó la resolución recurrida.</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6372-2012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tres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80" w:name="AUTO_2013_139"/>
      <w:r>
        <w:lastRenderedPageBreak/>
        <w:t>AUTO 139/2013, de 3 de junio de 2013</w:t>
      </w:r>
    </w:p>
    <w:bookmarkEnd w:id="280"/>
    <w:p w:rsidR="00BE7FB3" w:rsidRDefault="00BE7FB3" w:rsidP="00BE7FB3">
      <w:pPr>
        <w:pStyle w:val="TtuloResolucin"/>
      </w:pPr>
      <w:r>
        <w:t>Sala Segunda</w:t>
      </w:r>
    </w:p>
    <w:p w:rsidR="00BE7FB3" w:rsidRDefault="00BE7FB3" w:rsidP="00BE7FB3">
      <w:pPr>
        <w:pStyle w:val="TtuloResolucin"/>
      </w:pPr>
    </w:p>
    <w:p w:rsidR="00BE7FB3" w:rsidRDefault="00BE7FB3" w:rsidP="00BE7FB3">
      <w:pPr>
        <w:pStyle w:val="SntesisDescriptiva"/>
      </w:pPr>
      <w:r>
        <w:t>ECLI:ES:TC:2013:139A</w:t>
      </w:r>
    </w:p>
    <w:p w:rsidR="00BE7FB3" w:rsidRDefault="00BE7FB3" w:rsidP="00BE7FB3">
      <w:pPr>
        <w:pStyle w:val="SntesisDescriptiva"/>
      </w:pPr>
    </w:p>
    <w:p w:rsidR="00BE7FB3" w:rsidRDefault="00BE7FB3" w:rsidP="00BE7FB3">
      <w:pPr>
        <w:pStyle w:val="SntesisDescriptiva"/>
      </w:pPr>
      <w:r>
        <w:t>Excms. Srs. don Ramón Rodríguez Arribas, don Pablo Pérez Tremps, don Francisco José Hernando Santiago, don Luis Ignacio Ortega Álvarez, don Francisco Pérez de los Cobos Orihuel y doña Encarnación Roca Trías.</w:t>
      </w:r>
    </w:p>
    <w:p w:rsidR="00BE7FB3" w:rsidRDefault="00BE7FB3" w:rsidP="00BE7FB3">
      <w:pPr>
        <w:pStyle w:val="SntesisDescriptiva"/>
      </w:pPr>
    </w:p>
    <w:p w:rsidR="00BE7FB3" w:rsidRDefault="00BE7FB3" w:rsidP="00BE7FB3">
      <w:pPr>
        <w:pStyle w:val="SntesisDescriptiva"/>
      </w:pPr>
      <w:r>
        <w:t>Acuerda la suspensión parcial en el recurso de amparo 6632-2012, promovido por don Vicente Álvarez Foces en causa penal.</w:t>
      </w:r>
    </w:p>
    <w:p w:rsidR="00BE7FB3" w:rsidRDefault="00BE7FB3" w:rsidP="00BE7FB3">
      <w:pPr>
        <w:pStyle w:val="SntesisDescriptiva"/>
      </w:pPr>
    </w:p>
    <w:p w:rsidR="00BE7FB3" w:rsidRDefault="00BE7FB3" w:rsidP="00BE7FB3">
      <w:pPr>
        <w:pStyle w:val="SntesisAnaltica"/>
      </w:pPr>
      <w:r>
        <w:t>Suspensión cautelar de Sentencias penales: indemnización, no suspende; inhabilitación especial para el derecho de sufragio y prisión de un año, suspende.</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xml:space="preserve">. Mediante escrito registrado en este Tribunal el 23 de noviembre de 2013, el Procurador de los Tribunales don Gabriel María de Diego Quevedo, en nombre y representación de don Víctor Álvarez Foces, y bajo la dirección del Letrado don Guillermo Calvo Franco, interpuso recurso de amparo contra la providencia de la Sección Octava de la Audiencia Provincial de Asturias de 15 de octubre de 2012, por la que se inadmite el incidente de nulidad de actuaciones interpuesto contra la Sentencia de 2 de octubre de 2012, dictada en el rollo núm. 147-2012, por la que, con estimación de recurso de apelación interpuesto contra la Sentencia del Juzgado de lo Penal núm. 1 de Gijón de 18 de mayo de 2012, dictada en el procedimiento abreviado núm. 47-2012, se condena al recurrente como autor de un delito de lesiones a la pena de prisión de un año y seis meses de prisión, con la accesoria de inhabilitación especial para el ejercicio del derecho de sufragio pasivo durante el mismo tiempo, así como al pago de las costas de la primera instancia y una indemnización a la víctima de 9.858,58 euros por las lesiones y 5.000 euros por secuelas. </w:t>
      </w:r>
    </w:p>
    <w:p w:rsidR="00BE7FB3" w:rsidRDefault="00BE7FB3" w:rsidP="00BE7FB3">
      <w:pPr>
        <w:pStyle w:val="TextoNormal"/>
      </w:pPr>
    </w:p>
    <w:p w:rsidR="00BE7FB3" w:rsidRDefault="00BE7FB3" w:rsidP="00BE7FB3">
      <w:pPr>
        <w:pStyle w:val="TextoNormal"/>
      </w:pPr>
      <w:r>
        <w:t>En la demanda de amparo se solicita por otrosí la suspensión de la ejecución de la Sentencia impugnada, al entender que su ejecución puede producir un perjuicio que haga perder al amparo su finalidad y que dicha suspensión no ocasiona una perturbación a un interés constitucionalmente protegido ni a los derechos o libertades de otras personas, destacando la alta cuantía de la responsabilidad civil a cuyo pago ha sido condenado. En atención a esto último, se solicita subsidiariamente a la denegación de la suspensión del pago de las responsabilidades civiles que se exija que se preste fianza para asegurar la devolución de lo pagado en caso de que sea otorgado el amparo.</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La Sala Segunda de este Tribunal, por sendas providencias de 25 de abril de 2013, acordó, respectivamente, la admisión a trámite de la demanda de amparo y la formación de pieza separada para la tramitación del incidente sobre la suspensión solicitada y conceder al </w:t>
      </w:r>
      <w:r>
        <w:lastRenderedPageBreak/>
        <w:t>recurrente y al Ministerio Fiscal el plazo común de tres días para que alegasen lo que estimasen pertinente sobre dicha suspensión.</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El Ministerio Fiscal, por escrito registrado el 14 de mayo de 2013, presentó alegaciones en las que, enunciando la jurisprudencia de este Tribunal sobre el particular, interesó la suspensión de la pena privativa de libertad y de su accesoria de inhabilitación especial, argumentando que si se compara la duración de la pena privativa de libertad impuesta, que es de prisión de un año y seis meses, con el tiempo que normalmente se consume en la tramitación de un recurso de amparo, la denegación de la suspensión causaría a la recurrente un perjuicio irreparable, debiendo extenderse a la pena de inhabilitación por su carácter accesorio. </w:t>
      </w:r>
    </w:p>
    <w:p w:rsidR="00BE7FB3" w:rsidRDefault="00BE7FB3" w:rsidP="00BE7FB3">
      <w:pPr>
        <w:pStyle w:val="TextoNormal"/>
      </w:pPr>
    </w:p>
    <w:p w:rsidR="00BE7FB3" w:rsidRDefault="00BE7FB3" w:rsidP="00BE7FB3">
      <w:pPr>
        <w:pStyle w:val="TextoNormal"/>
      </w:pPr>
      <w:r>
        <w:t>En relación con el pago de la indemnización, el Ministerio Fiscal considera que no aparece justificado un perjuicio irreparable derivado de su ejecución si se pone en relación con el derecho de la víctima a obtener la reparación. Igualmente, tampoco considera justificada la adopción de ninguna medida cautelar que garantice su devolución en tanto que no se han acreditado especiales circunstancias personales en él o en la víctima que permitan deducir un riesgo de quebranto.</w:t>
      </w:r>
    </w:p>
    <w:p w:rsidR="00BE7FB3" w:rsidRDefault="00BE7FB3" w:rsidP="00BE7FB3">
      <w:pPr>
        <w:pStyle w:val="TextoNormal"/>
      </w:pPr>
    </w:p>
    <w:p w:rsidR="00BE7FB3" w:rsidRDefault="00BE7FB3" w:rsidP="00BE7FB3">
      <w:pPr>
        <w:pStyle w:val="TextoNormal"/>
      </w:pPr>
      <w:r w:rsidRPr="00BE7FB3">
        <w:rPr>
          <w:rStyle w:val="NumeroAFNegritaCaracter"/>
        </w:rPr>
        <w:t>4</w:t>
      </w:r>
      <w:r>
        <w:t>. El recurrente, por escrito registrado el 7 de mayo de 2013, presentó alegaciones insistiendo en la necesidad de la suspensión tanto de la pena privativa de libertad, ya que no ha existido todavía un pronunciamiento sobre su suspensión en la vía judicial, como del pago de la indemnización, que ya ha comenzado a abonarse aplazadamente, reiterando la solicitud subsidiaria de que se preste fianza o caución para garantizar su devolución en caso de otorgamiento del amparo.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xml:space="preserve">. 1.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 En atención a esta previsión legal, el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de tal modo que la adopción de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(por todos, ATC 124/2012, de 18 de junio, FJ 1). </w:t>
      </w:r>
    </w:p>
    <w:p w:rsidR="00BE7FB3" w:rsidRDefault="00BE7FB3" w:rsidP="00BE7FB3">
      <w:pPr>
        <w:pStyle w:val="TextoNormal"/>
      </w:pPr>
    </w:p>
    <w:p w:rsidR="00BE7FB3" w:rsidRDefault="00BE7FB3" w:rsidP="00BE7FB3">
      <w:pPr>
        <w:pStyle w:val="TextoNormal"/>
      </w:pPr>
      <w:r>
        <w:t xml:space="preserve">Igualmente, también se ha hecho especial incidencia, por un lado, en que la acreditación del perjuicio es carga del recurrente, quien debe precisar los concretos perjuicios que de la ejecución se deriven, así como justificar o argumentar razonadamente la irreparabilidad de </w:t>
      </w:r>
      <w:r>
        <w:lastRenderedPageBreak/>
        <w:t>los mismos; y, por otro, que el perjuicio irreparable debe ser real, sin que sea posible alegar un perjuicio futuro o hipotético o un simple temor y que la pérdida de la finalidad del amparo no puede equipararse a la mayor o menor dificultad, molestia o incomodidad para el recurrente (por todos, ATC 81/2012, de 7 de mayo, FJ 3).</w:t>
      </w:r>
    </w:p>
    <w:p w:rsidR="00BE7FB3" w:rsidRDefault="00BE7FB3" w:rsidP="00BE7FB3">
      <w:pPr>
        <w:pStyle w:val="TextoNormal"/>
      </w:pPr>
    </w:p>
    <w:p w:rsidR="00BE7FB3" w:rsidRDefault="00BE7FB3" w:rsidP="00BE7FB3">
      <w:pPr>
        <w:pStyle w:val="TextoNormal"/>
      </w:pPr>
      <w:r w:rsidRPr="00BE7FB3">
        <w:rPr>
          <w:rStyle w:val="NumeroAFNegritaCaracter"/>
        </w:rPr>
        <w:t>2</w:t>
      </w:r>
      <w:r>
        <w:t>. En aplicación de esta doctrina, y por lo que se refiere a las penas de privación de libertad, este Tribunal ha reiterado que procederá, en principio, acordar su suspensión al afectar a un bien de imposible o muy difícil restitución a su estado anterior, si bien se ha destacado que este criterio general tampoco es absoluto, ya que en estos supuestos deben también ponderarse otras circunstancias relevantes, significativamente la duración y gravedad de la pena impuesta porque en ella se expresa la reprobación que el ordenamiento asigna al hecho delictivo y, por consiguiente, la magnitud del interés general en su ejecución. Del mismo modo, este Tribunal también ha reiterado que la suspensión de la pena privativa de libertad debe conllevar la suspensión de las penas accesorias de inhabilitación que lleven a aparejadas (por todos, ATC 58/2012, de 26 de marzo, FJ 2).</w:t>
      </w:r>
    </w:p>
    <w:p w:rsidR="00BE7FB3" w:rsidRDefault="00BE7FB3" w:rsidP="00BE7FB3">
      <w:pPr>
        <w:pStyle w:val="TextoNormal"/>
      </w:pPr>
    </w:p>
    <w:p w:rsidR="00BE7FB3" w:rsidRDefault="00BE7FB3" w:rsidP="00BE7FB3">
      <w:pPr>
        <w:pStyle w:val="TextoNormal"/>
      </w:pPr>
      <w:r>
        <w:t>Por otro lado, en lo que se refiere a la ejecución de las resoluciones judiciales cuyos efectos son fundamentalmente patrimoniales o de contenido económico, este Tribunal ha puesto de manifiesto que, con carácter general, ni causa un perjuicio irreparable al obligado al pago, ni puede hacer perder al amparo su finalidad, al ser posible la restitución íntegra de lo ejecutado. De ese modo, sólo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(por todos, ATC 81/2012, de 7 de mayo, FJ 2).</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En el presente caso el recurrente solicita la suspensión de la Sentencia impugnada, en primer lugar, respecto de la pena de prisión de un año y seis meses y su accesoria de inhabilitación especial para el ejercicio del derecho de sufragio pasivo durante ese mismo tiempo. </w:t>
      </w:r>
    </w:p>
    <w:p w:rsidR="00BE7FB3" w:rsidRDefault="00BE7FB3" w:rsidP="00BE7FB3">
      <w:pPr>
        <w:pStyle w:val="TextoNormal"/>
      </w:pPr>
    </w:p>
    <w:p w:rsidR="00BE7FB3" w:rsidRDefault="00BE7FB3" w:rsidP="00BE7FB3">
      <w:pPr>
        <w:pStyle w:val="TextoNormal"/>
      </w:pPr>
      <w:r>
        <w:t>En atención a lo expuesto, y conforme también interesa el Ministerio Fiscal, debe acordarse la suspensión de la pena privativa de libertad y su accesoria de inhabilitación especial impuestas al recurrente, ya que, atendidas todas las circunstancias concurrentes en el caso, de un lado, su ejecución puede ocasionar a la recurrente perjuicios irreparables que harían perder al amparo su finalidad, tanto por afectar al valor fundamental de la libertad como porque si se compara la duración de tales penas —un año y seis meses— con el tiempo que requiere la tramitación de un proceso de amparo como el presente, ha de concluirse que la no suspensión de su ejecución ocasionaría un perjuicio irreparable, que privaría en parte o, incluso, en todo de eficacia a un eventual fallo estimatorio. Y, de otro, porque el acceder a la suspensión pretendida no ocasiona una lesión específica y grave de un interés constitucionalmente protegido —más allá de aquél que de por sí produce la no ejecución de un fallo judicial—, ni de derechos fundamentales o libertades públicas de terceros, especialmente la víctima, pues la suspensión, como se argumentará más adelante, no afecta al pago de la indemnización y de las costas.</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El recurrente también ha solicitado la suspensión de las declaraciones de contenido económico —pago de costas e indemnización— y, especialmente, la de la indemnización </w:t>
      </w:r>
      <w:r>
        <w:lastRenderedPageBreak/>
        <w:t>por su elevada cuantía —9.858,58 euros por las lesiones y 5.000 euros por secuelas—, pidiendo, subsidiariamente, que se disponga fianza o caución con el fin de que pueda reintegrarse lo pagado en caso de otorgamiento del amparo.</w:t>
      </w:r>
    </w:p>
    <w:p w:rsidR="00BE7FB3" w:rsidRDefault="00BE7FB3" w:rsidP="00BE7FB3">
      <w:pPr>
        <w:pStyle w:val="TextoNormal"/>
      </w:pPr>
    </w:p>
    <w:p w:rsidR="00BE7FB3" w:rsidRDefault="00BE7FB3" w:rsidP="00BE7FB3">
      <w:pPr>
        <w:pStyle w:val="TextoNormal"/>
      </w:pPr>
      <w:r>
        <w:t>En atención a lo expuesto, y tal como también ha interesado el Ministerio Fiscal no procede acceder a la suspensión solicitada. El carácter económico de este pronunciamiento determina que no pueda apreciarse la concurrencia de un perjuicio irreparable, incluso tomando en consideración la alegación sobre la cuantía de la indemnización, toda vez que el recurrente no ha cumplido con la carga de justificar de qué modo, en atención a las circunstancias concurrentes, el pago de esa cuantía le resulta perjudicial. Del mismo modo, habida cuenta de que la finalidad de este pronunciamiento de contenido económico está dirigida al pago de la indemnización de las lesiones sufridas y secuelas padecidas por la víctima, su suspensión, más allá de la perturbación del interés constitucionalmente protegido que de por sí produce la no ejecución de un fallo judicial, afecta a derechos fundamentales o libertades públicas de terceros.</w:t>
      </w:r>
    </w:p>
    <w:p w:rsidR="00BE7FB3" w:rsidRDefault="00BE7FB3" w:rsidP="00BE7FB3">
      <w:pPr>
        <w:pStyle w:val="TextoNormal"/>
      </w:pPr>
    </w:p>
    <w:p w:rsidR="00BE7FB3" w:rsidRDefault="00BE7FB3" w:rsidP="00BE7FB3">
      <w:pPr>
        <w:pStyle w:val="TextoNormal"/>
      </w:pPr>
      <w:r>
        <w:t>Del mismo modo, tampoco cabe acceder a la solicitud subsidiaria del que se imponga fianza o caución a la víctima con el fin de garantizar una eventual devolución en el caso de que sea otorgado el amparo, ya que, tal y como destaca el Ministerio Fiscal y es doctrina de este Tribunal Constitucional, para ello sería necesario que el recurrente hubiera acreditado la concurrencia de específicas circunstancias a partir de las cuales deducir que hay un riesgo de que no se proceda a una eventual devolución en caso de otorgamiento del amparo (ATC 97/2000, de 27 de marzo).</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1º Suspender la ejecución de la Sentencia de la Sección Octava de la Audiencia Provincial de Asturias de 2 de octubre de 2012, dictada en el rollo núm. 147-2012, exclusivamente en lo relativo a las penas privativa de libertad de prisión de un año y seis meses y accesoria de inhabilitación especial para el ejercicio del derecho de sufragio pasivo durante ese mismo tiempo.</w:t>
      </w:r>
    </w:p>
    <w:p w:rsidR="00BE7FB3" w:rsidRDefault="00BE7FB3" w:rsidP="00BE7FB3">
      <w:pPr>
        <w:pStyle w:val="TextoNormal"/>
      </w:pPr>
    </w:p>
    <w:p w:rsidR="00BE7FB3" w:rsidRDefault="00BE7FB3" w:rsidP="00BE7FB3">
      <w:pPr>
        <w:pStyle w:val="TextoNormal"/>
      </w:pPr>
      <w:r>
        <w:t>2º Denegar la suspensión de dicha resolución en lo relativo al pago de las costas y de la responsabilidad civil.</w:t>
      </w:r>
    </w:p>
    <w:p w:rsidR="00BE7FB3" w:rsidRDefault="00BE7FB3" w:rsidP="00BE7FB3">
      <w:pPr>
        <w:pStyle w:val="TextoNormal"/>
      </w:pPr>
    </w:p>
    <w:p w:rsidR="00BE7FB3" w:rsidRDefault="00BE7FB3" w:rsidP="00BE7FB3">
      <w:pPr>
        <w:pStyle w:val="TextoNormal"/>
      </w:pPr>
      <w:r>
        <w:t>Madrid, a tres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81" w:name="AUTO_2013_140"/>
      <w:r>
        <w:lastRenderedPageBreak/>
        <w:t>AUTO 140/2013, de 3 de junio de 2013</w:t>
      </w:r>
    </w:p>
    <w:bookmarkEnd w:id="281"/>
    <w:p w:rsidR="00BE7FB3" w:rsidRDefault="00BE7FB3" w:rsidP="00BE7FB3">
      <w:pPr>
        <w:pStyle w:val="TtuloResolucin"/>
      </w:pPr>
      <w:r>
        <w:t>Sala Primera</w:t>
      </w:r>
    </w:p>
    <w:p w:rsidR="00BE7FB3" w:rsidRDefault="00BE7FB3" w:rsidP="00BE7FB3">
      <w:pPr>
        <w:pStyle w:val="TtuloResolucin"/>
      </w:pPr>
    </w:p>
    <w:p w:rsidR="00BE7FB3" w:rsidRDefault="00BE7FB3" w:rsidP="00BE7FB3">
      <w:pPr>
        <w:pStyle w:val="SntesisDescriptiva"/>
      </w:pPr>
      <w:r>
        <w:t>ECLI:ES:TC:2013:140A</w:t>
      </w:r>
    </w:p>
    <w:p w:rsidR="00BE7FB3" w:rsidRDefault="00BE7FB3" w:rsidP="00BE7FB3">
      <w:pPr>
        <w:pStyle w:val="SntesisDescriptiva"/>
      </w:pPr>
    </w:p>
    <w:p w:rsidR="00BE7FB3" w:rsidRDefault="00BE7FB3" w:rsidP="00BE7FB3">
      <w:pPr>
        <w:pStyle w:val="SntesisDescriptiva"/>
      </w:pPr>
      <w:r>
        <w:t>Excms. Srs. don Pascual Sala Sánchez, don Manuel Aragón Reyes, doña Adela Asua Batarrita,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la extinción de la cuestión de inconstitucionalidad 1457-2013, planteada por el Juzgado de lo Contencioso-Administrativo núm. 1 de Santander en relación con la disposición adicional sexta de la Ley del Parlamento de Cantabria 2/2001, de 25 de junio, de ordenación territorial y régimen urbanístico del suelo de Cantabria.</w:t>
      </w:r>
    </w:p>
    <w:p w:rsidR="00BE7FB3" w:rsidRDefault="00BE7FB3" w:rsidP="00BE7FB3">
      <w:pPr>
        <w:pStyle w:val="SntesisDescriptiva"/>
      </w:pPr>
    </w:p>
    <w:p w:rsidR="00BE7FB3" w:rsidRDefault="00BE7FB3" w:rsidP="00BE7FB3">
      <w:pPr>
        <w:pStyle w:val="SntesisAnaltica"/>
      </w:pPr>
      <w:r>
        <w:t>Cuestión de inconstitucionalidad: extinción de cuestión de inconstitucionalidad; pérdida sobrevenida de objeto por declaración de inconstitucionalidad de la norma.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13 de marzo de 2013 tuvo entrada en el Registro General de este Tribunal oficio del Juzgado de lo Contencioso-Administrativo núm. 1 de Santander al que se acompaña testimonio de las actuaciones recaídas en el recurso núm. 304-2001 y acumulado y del Auto de 28 de febrero de 2013, por el que se acuerda plantear cuestión de inconstitucionalidad en relación con la disposición adicional sexta de la Ley 2/2001, de 25 de junio, de ordenación territorial y del régimen urbanístico del suelo de Cantabria, introducida por el art. 2 de la Ley del Parlamento de Cantabria 2/2011, de 4 de abril, por posible vulneración de los arts. 149.1.6 y 149.1.18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2</w:t>
      </w:r>
      <w:r>
        <w:t>. Los hechos de los que trae causa la presente cuestión de inconstitucionalidad son, sucintamente expuestos, los siguientes:</w:t>
      </w:r>
    </w:p>
    <w:p w:rsidR="00BE7FB3" w:rsidRDefault="00BE7FB3" w:rsidP="00BE7FB3">
      <w:pPr>
        <w:pStyle w:val="TextoNormal"/>
      </w:pPr>
    </w:p>
    <w:p w:rsidR="00BE7FB3" w:rsidRDefault="00BE7FB3" w:rsidP="00BE7FB3">
      <w:pPr>
        <w:pStyle w:val="TextoNormal"/>
      </w:pPr>
      <w:r>
        <w:t>a) Mediante Sentencia de 1 de septiembre de 2003 del Juzgado de lo Contencioso-Administrativo núm. 1 de Santander, recaída en el recurso núm. 304-2001 y acumulado, se inadmitió el primero de los recursos y se desestimó el segundo, ambos interpuestos contra resolución de la Alcaldía del Ayuntamiento de Alfoz de Lloredo de 26 de octubre de 2000, por el que se concedió licencia urbanística a particular para la ampliación de hotel en el barrio de Viallán de Oreña de la referida localidad. Interpuesto recurso de apelación contra dicha Sentencia por los demandantes, el recurso fue estimado íntegramente por Sentencia de 5 de marzo de 2004 de la Sala de lo Contencioso-Administrativo del Tribunal Superior de Justicia de Cantabria, que declaró la nulidad de la resolución municipal impugnada y ordenó la demolición de lo indebidamente construido.</w:t>
      </w:r>
    </w:p>
    <w:p w:rsidR="00BE7FB3" w:rsidRDefault="00BE7FB3" w:rsidP="00BE7FB3">
      <w:pPr>
        <w:pStyle w:val="TextoNormal"/>
      </w:pPr>
    </w:p>
    <w:p w:rsidR="00BE7FB3" w:rsidRDefault="00BE7FB3" w:rsidP="00BE7FB3">
      <w:pPr>
        <w:pStyle w:val="TextoNormal"/>
      </w:pPr>
      <w:r>
        <w:lastRenderedPageBreak/>
        <w:t>b) Instada la ejecución de la Sentencia de la Sala de lo Contencioso-Administrativo del Tribunal Superior de Justicia de Cantabria por parte de los recurrentes, se dictaron por el Juzgado de lo Contencioso-Administrativo núm. 1 de Santander sucesivas resoluciones por las que se requería al Ayuntamiento de Alfoz de Lloredo para que procediese a la demolición de lo indebidamente edificado al amparo de la licencia anulada, en cumplimiento de lo ordenado en el fallo de la referida Sentencia, con apercibimiento personal al Alcalde e imposición de multas coercitivas.</w:t>
      </w:r>
    </w:p>
    <w:p w:rsidR="00BE7FB3" w:rsidRDefault="00BE7FB3" w:rsidP="00BE7FB3">
      <w:pPr>
        <w:pStyle w:val="TextoNormal"/>
      </w:pPr>
    </w:p>
    <w:p w:rsidR="00BE7FB3" w:rsidRDefault="00BE7FB3" w:rsidP="00BE7FB3">
      <w:pPr>
        <w:pStyle w:val="TextoNormal"/>
      </w:pPr>
      <w:r>
        <w:t>c) Con fecha 7 de diciembre de 2012 el Ayuntamiento de Alfoz de Lloredo promovió el ante el Juzgado incidente de ejecución al amparo del art. 109 de la Ley reguladora de la jurisdicción contencioso-administrativa, interesando la suspensión de la ejecución de la Sentencia de 5 de marzo de 2004 en tanto no se procediera a la indemnización del propietario del hotel sujeto a demolición. La solicitud traía causa de la aprobación de la Ley del Parlamento de Cantabria 2/2011, de 4 de abril, por la que se modifica la Ley 2/2001, de 25 de junio, de ordenación territorial y régimen urbanístico del suelo en Cantabria, incorporando la nueva disposición adicional sexta, conforme a la cual no se podrá proceder a la demolición de las construcciones realizadas en virtud de licencia declarada ilegal sin antes indemnizar al propietario o poner a su disposición el importe de la indemnización que se determine en el correspondiente procedimiento de responsabilidad patrimonial; y asimismo se poma de manifiesto que el propio Juzgado y también la Sala de lo Contencioso-Administrativo del Tribunal Superior de Justicia de Cantabria había elevado cuestión de inconstitucionalidad ante el Tribunal Constitucional sobre el particular. El Juzgado tuvo por instado el incidente y dio traslado del escrito del Ayuntamiento para alegaciones a los demandantes, los cuales se opusieron a la suspensión de la ejecución de la Sentencia.</w:t>
      </w:r>
    </w:p>
    <w:p w:rsidR="00BE7FB3" w:rsidRDefault="00BE7FB3" w:rsidP="00BE7FB3">
      <w:pPr>
        <w:pStyle w:val="TextoNormal"/>
      </w:pPr>
    </w:p>
    <w:p w:rsidR="00BE7FB3" w:rsidRDefault="00BE7FB3" w:rsidP="00BE7FB3">
      <w:pPr>
        <w:pStyle w:val="TextoNormal"/>
      </w:pPr>
      <w:r>
        <w:t>d) Por providencia de 31 de enero de 2013 el Juzgado de lo Contencioso-Administrativo núm. 1 de Santander, de conformidad con lo dispuesto en el art. 35.2 de la Ley Orgánica del Tribunal Constitucional (LOTC), acordó oír a las partes personadas y al Ministerio Fiscal por el término común de diez días sobre la pertinencia de plantear cuestión de inconstitucionalidad respecto de la disposición adicional sexta de la Ley 2/2001, de 25 de junio, de ordenación territorial y del régimen urbanístico del suelo de Cantabria, introducida por el art. 2 de la Ley del Parlamento de Cantabria 2/2011, de 4 de abril, por si la norma pudiera alterar la legislación básica del Estado y competencias exclusivas derivadas de los arts. 149.1.6 y 149.1.18 CE, en relación con los arts. 9.3, 24.1, 106.1, 117 y 118 CE.</w:t>
      </w:r>
    </w:p>
    <w:p w:rsidR="00BE7FB3" w:rsidRDefault="00BE7FB3" w:rsidP="00BE7FB3">
      <w:pPr>
        <w:pStyle w:val="TextoNormal"/>
      </w:pPr>
    </w:p>
    <w:p w:rsidR="00BE7FB3" w:rsidRDefault="00BE7FB3" w:rsidP="00BE7FB3">
      <w:pPr>
        <w:pStyle w:val="TextoNormal"/>
      </w:pPr>
      <w:r w:rsidRPr="00BE7FB3">
        <w:rPr>
          <w:rStyle w:val="NumeroAFNegritaCaracter"/>
        </w:rPr>
        <w:t>3</w:t>
      </w:r>
      <w:r>
        <w:t xml:space="preserve">. Evacuado el trámite de audiencia del art. 35.2 LOTC con el resultado que consta en las actuaciones, por Auto de 28 de febrero de 2013 el Juzgado de lo Contencioso-Administrativo núm. 1 de Santander acordó plantear la presente cuestión de inconstitucionalidad respecto de la disposición adicional sexta de la Ley 2/2001, de 25 de junio, de ordenación territorial y del régimen urbanístico del suelo de Cantabria, introducida por el art. 2 de la Ley del Parlamento de Cantabria 2/2011, de 4 de abril, y ello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w:t>
      </w:r>
      <w:r>
        <w:lastRenderedPageBreak/>
        <w:t>el artículo 105.1 de la Ley de la Jurisdicción Contencioso-Administrativa 29/1998, de 13 de julio. Todo ello en relación con los arts. 9.3, 24.1, 106.1, 117 y 118 del texto constitucional”.</w:t>
      </w:r>
    </w:p>
    <w:p w:rsidR="00BE7FB3" w:rsidRDefault="00BE7FB3" w:rsidP="00BE7FB3">
      <w:pPr>
        <w:pStyle w:val="TextoNormal"/>
      </w:pPr>
    </w:p>
    <w:p w:rsidR="00BE7FB3" w:rsidRDefault="00BE7FB3" w:rsidP="00BE7FB3">
      <w:pPr>
        <w:pStyle w:val="TextoNormal"/>
      </w:pPr>
      <w:r>
        <w:t>Se razona en el Auto que la disposición adicional sexta de la Ley 2/2001, de 25 de junio, de ordenación territorial y del régimen urbanístico del suelo de Cantabria, añadida por el art. 2 de la Ley del Parlamento de Cantabria 2/2011, de 4 de abril, y más concretamente lo establecido en el párrafo quinto del apartado 4 de la referida disposición, así como en su apartado 5, pretende interferir directamente en las Sentencias firmes que ordenan la demolición de lo indebidamente construido, de forma que éstas no pudieran llevarse a efecto sin previa indemnización a los propietarios afectados. Para el Juzgado esta regulación vendría a incurrir en dos tachas de inconstitucionalidad de orden competencial. En primer lugar, porque en la misma se establece una causa de suspensión de la ejecución judicial de las sentencias firmes que llevan aparejada la demolición de obras declaradas ilegales no prevista en la ley estatal, lo que vulnera la competencia estatal exclusiva en materia de legislación procesal (art. 149.1.6 CE); y, en segundo lugar, porque la norma cuestionada establece un supuesto de responsabilidad patrimonial en el que el daño indemnizable no es efectivo sino eventual, regulando así la Comunidad Autónoma de Cantabria un elemento básico del sistema de responsabilidad patrimonial de las Administraciones públicas que le está constitucionalmente vedado, por estar reservado al Estado a tenor de lo dispuesto en el art. 149.1.18 CE, regulación derivada del art. 106 CE y materializada en el título X de la Ley 30/1992, de régimen jurídico de las Administraciones públicas y del procedimiento administrativo común.</w:t>
      </w:r>
    </w:p>
    <w:p w:rsidR="00BE7FB3" w:rsidRDefault="00BE7FB3" w:rsidP="00BE7FB3">
      <w:pPr>
        <w:pStyle w:val="TextoNormal"/>
      </w:pPr>
    </w:p>
    <w:p w:rsidR="00BE7FB3" w:rsidRDefault="00BE7FB3" w:rsidP="00BE7FB3">
      <w:pPr>
        <w:pStyle w:val="TextoNormal"/>
      </w:pPr>
      <w:r>
        <w:t>Añade a lo anterior el Juzgado que la ejecución de sentencias forma parte del derecho a la tutela judicial efectiva (art. 24.1 CE), correspondiendo el ejercicio de esta potestad jurisdiccional en exclusiva a los Juzgados y Tribunales (art. 117.3 CE), y siendo obligado cumplir sus resoluciones firmes y prestar la colaboración requerida por los órganos judiciales en la ejecución de lo resuelto (art. 118 CE). La disposición cuestionada introduce una causa de suspensión de la ejecución judicial, en tanto no se tramite el expediente de responsabilidad patrimonial, que deja en manos de la Administración y de los particulares afectados la propia efectividad del cumplimiento del fallo, lo que implica vulnerar los arts. 24.1 y 117.3 CE. Además, las previsiones contenidas en la disposición cuestionada, que altera las decisiones firmes en materia de responsabilidad patrimonial, puede vulnerar igualmente el principio de seguridad jurídica que proclama el art. 9.3 CE, según el Juzgado promotor de la cuestión.</w:t>
      </w:r>
    </w:p>
    <w:p w:rsidR="00BE7FB3" w:rsidRDefault="00BE7FB3" w:rsidP="00BE7FB3">
      <w:pPr>
        <w:pStyle w:val="TextoNormal"/>
      </w:pPr>
    </w:p>
    <w:p w:rsidR="00BE7FB3" w:rsidRDefault="00BE7FB3" w:rsidP="00BE7FB3">
      <w:pPr>
        <w:pStyle w:val="TextoNormal"/>
      </w:pPr>
      <w:r w:rsidRPr="00BE7FB3">
        <w:rPr>
          <w:rStyle w:val="NumeroAFNegritaCaracter"/>
        </w:rPr>
        <w:t>4</w:t>
      </w:r>
      <w:r>
        <w:t>. Mediante providencia de 9 de abril de 2013, el Pleno del Tribunal acordó admitir a trámite la cuestión, así como, de conformidad con lo dispuesto en el art. 10.1 c) LOTC, deferir el conocimiento de la misma a la Sala Primera, a la que por turno objetivo le ha correspondido.</w:t>
      </w:r>
    </w:p>
    <w:p w:rsidR="00BE7FB3" w:rsidRDefault="00BE7FB3" w:rsidP="00BE7FB3">
      <w:pPr>
        <w:pStyle w:val="TextoNormal"/>
      </w:pPr>
    </w:p>
    <w:p w:rsidR="00BE7FB3" w:rsidRDefault="00BE7FB3" w:rsidP="00BE7FB3">
      <w:pPr>
        <w:pStyle w:val="TextoNormal"/>
      </w:pPr>
      <w:r>
        <w:t xml:space="preserve">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en el plazo de quince días, pudieran personarse en el proceso y formular las alegaciones que estimasen convenientes. De igual modo se acordó comunicar la providencia a la Sala de lo Contencioso-Administrativo del Tribunal Superior de Justicia </w:t>
      </w:r>
      <w:r>
        <w:lastRenderedPageBreak/>
        <w:t>de Cantabria a los efectos previstos en el art. 35.3 LOTC y publicar la incoación de la cuestión en el “Boletín Oficial del Estado” y en el “Boletín Oficial de Cantabria”.</w:t>
      </w:r>
    </w:p>
    <w:p w:rsidR="00BE7FB3" w:rsidRDefault="00BE7FB3" w:rsidP="00BE7FB3">
      <w:pPr>
        <w:pStyle w:val="TextoNormal"/>
      </w:pPr>
    </w:p>
    <w:p w:rsidR="00BE7FB3" w:rsidRDefault="00BE7FB3" w:rsidP="00BE7FB3">
      <w:pPr>
        <w:pStyle w:val="TextoNormal"/>
      </w:pPr>
      <w:r w:rsidRPr="00BE7FB3">
        <w:rPr>
          <w:rStyle w:val="NumeroAFNegritaCaracter"/>
        </w:rPr>
        <w:t>5</w:t>
      </w:r>
      <w:r>
        <w:t>. El Presidente del Senado, mediante escrito registrado en este Tribunal el 24 de abril de 2013, comunicó que dicha Cámara ha adoptado el acuerdo de personarse en el presente proceso constitucional,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Presidente del Congreso de los Diputados, mediante escrito registrado en este Tribunal el 26 de abril de 2013, comunicó a su vez que esta Cámara ha adoptado el acuerdo de personarse en el presente proceso constitucional, ofreciendo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7</w:t>
      </w:r>
      <w:r>
        <w:t>. El Abogado del Estado, por escrito presentado en el Registro General de este Tribunal el 26 de abril de 2013, se personó y formuló alegaciones, interesando la inadmisión de la cuestión de inconstitucionalidad respecto de los apartados 1, 2, y 3 y los párrafos tercero, cuarto y sexto del apartado 4 de la disposición adicional sexta de la Ley 2/2001, de 25 de junio, de ordenación territorial y del régimen urbanístico del suelo de Cantabria, introducida por el art. 2 de la Ley del Parlamento de Cantabria 2/2011, así como la estimación de la cuestión respecto de los párrafos primero, segundo y quinto de apartado 4 y el apartado 5 de la citada disposición adicional sexta, que deben ser declarados inconstitucionales y nulos, todo ello por las razones que se detallan en su escrito de alegaciones.</w:t>
      </w:r>
    </w:p>
    <w:p w:rsidR="00BE7FB3" w:rsidRDefault="00BE7FB3" w:rsidP="00BE7FB3">
      <w:pPr>
        <w:pStyle w:val="TextoNormal"/>
      </w:pPr>
    </w:p>
    <w:p w:rsidR="00BE7FB3" w:rsidRDefault="00BE7FB3" w:rsidP="00BE7FB3">
      <w:pPr>
        <w:pStyle w:val="TextoNormal"/>
      </w:pPr>
      <w:r w:rsidRPr="00BE7FB3">
        <w:rPr>
          <w:rStyle w:val="NumeroAFNegritaCaracter"/>
        </w:rPr>
        <w:t>8</w:t>
      </w:r>
      <w:r>
        <w:t>. El Fiscal General del Estado presentó su escrito de alegaciones en este Tribunal el 7 de mayo de 2013, interesando que se dicte resolución por la que se declare la extinción de la presente cuestión por desaparición sobrevenida de su objeto, al haberse dictado la STC 92/2013, de 22 de abril, en la que se declara la inconstitucionalidad y nulidad del párrafo quinto del apartado 4 de la disposición adicional sexta de la Ley 2/2001, de 25 de junio, de ordenación territorial y del régimen urbanístico del suelo de Cantabria, introducida por el art. 2 de la Ley del Parlamento de Cantabria 2/2011, de 4 de abril, y del apartado 5 de la misma disposición, quedando disipada la duda de constitucionalidad planteada por el Juzgado de lo Contencioso-Administrativo núm. 1 de Santander en relación con la misma disposición.</w:t>
      </w:r>
    </w:p>
    <w:p w:rsidR="00BE7FB3" w:rsidRDefault="00BE7FB3" w:rsidP="00BE7FB3">
      <w:pPr>
        <w:pStyle w:val="TextoNormal"/>
      </w:pPr>
    </w:p>
    <w:p w:rsidR="00BE7FB3" w:rsidRDefault="00BE7FB3" w:rsidP="00BE7FB3">
      <w:pPr>
        <w:pStyle w:val="TextoNormal"/>
      </w:pPr>
      <w:r w:rsidRPr="00BE7FB3">
        <w:rPr>
          <w:rStyle w:val="NumeroAFNegritaCaracter"/>
        </w:rPr>
        <w:t>9</w:t>
      </w:r>
      <w:r>
        <w:t xml:space="preserve">. Mediante escrito presentado en el Registro General de este Tribunal el día 9 de mayo de 2013, el Letrado de los servicios jurídicos del gobierno de Cantabria formuló alegaciones interesando la desestimación de la presente cuestión de inconstitucionalidad, por entender que el precepto cuestionado no invade la competencia estatal en materia de ejecución procesal </w:t>
      </w:r>
      <w:r w:rsidRPr="00BE7FB3">
        <w:rPr>
          <w:i/>
        </w:rPr>
        <w:t>ex</w:t>
      </w:r>
      <w:r>
        <w:t xml:space="preserve"> art. 149.1.6 CE, ni la competencia estatal para el establecimiento de las bases del sistema de responsabilidad patrimonial (art. 149.1.18 CE), y tampoco incurre en las restantes tachas de inconstitucional idad que señala el Auto de planteamiento.</w:t>
      </w:r>
    </w:p>
    <w:p w:rsidR="00BE7FB3" w:rsidRDefault="00BE7FB3" w:rsidP="00BE7FB3">
      <w:pPr>
        <w:pStyle w:val="TextoNormal"/>
      </w:pPr>
    </w:p>
    <w:p w:rsidR="00BE7FB3" w:rsidRDefault="00BE7FB3" w:rsidP="00BE7FB3">
      <w:pPr>
        <w:pStyle w:val="TextoNormal"/>
      </w:pPr>
      <w:r w:rsidRPr="00BE7FB3">
        <w:rPr>
          <w:rStyle w:val="NumeroAFNegritaCaracter"/>
        </w:rPr>
        <w:t>10</w:t>
      </w:r>
      <w:r>
        <w:t>. Mediante escrito presentado en el Registro General de este Tribunal el día 16 de mayo de 2013, la representación procesal del Parlamento de Cantabria comunicó que dicha Cámara ha adoptado el acuerdo de no personarse en el presente proceso constitucional y, por tanto, de no presentar alegaciones.</w:t>
      </w:r>
    </w:p>
    <w:p w:rsidR="00BE7FB3" w:rsidRDefault="00BE7FB3" w:rsidP="00BE7FB3">
      <w:pPr>
        <w:pStyle w:val="TextoNormal"/>
      </w:pPr>
    </w:p>
    <w:p w:rsidR="00BE7FB3" w:rsidRDefault="00BE7FB3" w:rsidP="00BE7FB3">
      <w:pPr>
        <w:pStyle w:val="TextoNormalNegritaCentrado"/>
        <w:keepNext/>
      </w:pPr>
      <w:r>
        <w:lastRenderedPageBreak/>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Juzgado de lo Contencioso-Administrativo núm. 1 de Santander plantea cuestión de inconstitucionalidad en relación con la disposición adicional sexta de la Ley 2/2001, de 25 de junio, de ordenación territorial y del régimen urbanístico del suelo de Cantabria, introducida por el art. 2 de la Ley del Parlamento de Cantabria 2/2011, de 4 de abril, por posible vulneración de los arts. 149.1.6 y 149.1.18 CE, en relación con los arte. 9.3, 24.1, 106.1, 117 y 118 CE.</w:t>
      </w:r>
    </w:p>
    <w:p w:rsidR="00BE7FB3" w:rsidRDefault="00BE7FB3" w:rsidP="00BE7FB3">
      <w:pPr>
        <w:pStyle w:val="TextoNormal"/>
      </w:pPr>
    </w:p>
    <w:p w:rsidR="00BE7FB3" w:rsidRDefault="00BE7FB3" w:rsidP="00BE7FB3">
      <w:pPr>
        <w:pStyle w:val="TextoNormal"/>
      </w:pPr>
      <w:r>
        <w:t>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00BE7FB3" w:rsidRDefault="00BE7FB3" w:rsidP="00BE7FB3">
      <w:pPr>
        <w:pStyle w:val="TextoNormal"/>
      </w:pPr>
    </w:p>
    <w:p w:rsidR="00BE7FB3" w:rsidRDefault="00BE7FB3" w:rsidP="00BE7FB3">
      <w:pPr>
        <w:pStyle w:val="TextoNormal"/>
      </w:pPr>
      <w:r>
        <w:t>Por ello, la duda de constitucionalidad planteada por el órgano judicial en relación con la disposición adicional sexta de la Ley 2/2001, de 25 de junio, de ordenación territorial y del régimen urbanístico del suelo de Cantabria, ha quedado disipada a la vista del pronunciamiento de la citada STC 92/2013, de 22 de abril. Ello determina, conforme a reiterada doctrina de este Tribunal (SSTC 387/1993, de 23 de diciembre, FJ único; 72/1997, de 10 de abril, FJ único; 91/1997, de 8 de mayo, FJ único; y AATC 271/2005, de 21 de junio, FJ único; y 272/2005, de 21 de junio, FJ 2), la desaparición sobrevenida del objeto de la cuestión planteada con respecto al citado precepto legal en los incisos referidos.</w:t>
      </w:r>
    </w:p>
    <w:p w:rsidR="00BE7FB3" w:rsidRDefault="00BE7FB3" w:rsidP="00BE7FB3">
      <w:pPr>
        <w:pStyle w:val="TextoNormal"/>
      </w:pPr>
    </w:p>
    <w:p w:rsidR="00BE7FB3" w:rsidRDefault="00BE7FB3" w:rsidP="00BE7FB3">
      <w:pPr>
        <w:pStyle w:val="TextoNormal"/>
      </w:pPr>
      <w:r>
        <w:t>Por todo lo expuesto, la Sala</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Declarar extinguida la cuestión de inconstitucionalidad núm. 1457-2013, por desaparición sobrevenida de su objeto.</w:t>
      </w:r>
    </w:p>
    <w:p w:rsidR="00BE7FB3" w:rsidRDefault="00BE7FB3" w:rsidP="00BE7FB3">
      <w:pPr>
        <w:pStyle w:val="TextoNormal"/>
      </w:pPr>
    </w:p>
    <w:p w:rsidR="00BE7FB3" w:rsidRDefault="00BE7FB3" w:rsidP="00BE7FB3">
      <w:pPr>
        <w:pStyle w:val="TextoNormal"/>
      </w:pPr>
      <w:r>
        <w:t>Madrid, a tres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82" w:name="AUTO_2013_141"/>
      <w:r>
        <w:lastRenderedPageBreak/>
        <w:t>AUTO 141/2013, de 4 de junio de 2013</w:t>
      </w:r>
    </w:p>
    <w:bookmarkEnd w:id="282"/>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ECLI:ES:TC:2013:141A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Acuerda una recusación en el recurso de amparo 224-2012, promovido por don Vicente Bartolomé Segurado frente a la providencia y Sentencia de la Sala de lo Civil del Tribunal Supremo en recurso de casación 1691-2008.</w:t>
      </w:r>
    </w:p>
    <w:p w:rsidR="00BE7FB3" w:rsidRDefault="00BE7FB3" w:rsidP="00BE7FB3">
      <w:pPr>
        <w:pStyle w:val="SntesisDescriptiva"/>
      </w:pPr>
    </w:p>
    <w:p w:rsidR="00BE7FB3" w:rsidRDefault="00BE7FB3" w:rsidP="00BE7FB3">
      <w:pPr>
        <w:pStyle w:val="SntesisAnaltica"/>
      </w:pPr>
      <w:r>
        <w:t>Recusación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16 de enero de 2012, la Procuradora de los Tribunales doña María Mercedes Martínez del Campo, en nombre y representación de don Vicente Bartolomé Segurado, interpuso demanda de amparo contra el Auto dictado el día 17 de marzo de 2009 que admite el recurso de casación núm. 1691-2008 tramitado ante la Sala Primera del Tribunal Supremo; contra la Sentencia núm. 534/2011, de 14 de julio, que estima el referido recurso de casación; así como contra la providencia de 2 de noviembre de 2011 que inadmite a trámite el incidente de nulidad de actuaciones promovido contra las anteriores resoluciones. Tanto en el Auto como en la Sentencia de referencia fue ponente la Excma. Sra. doña Encarnación Roca Trías.</w:t>
      </w:r>
    </w:p>
    <w:p w:rsidR="00BE7FB3" w:rsidRDefault="00BE7FB3" w:rsidP="00BE7FB3">
      <w:pPr>
        <w:pStyle w:val="TextoNormal"/>
      </w:pPr>
    </w:p>
    <w:p w:rsidR="00BE7FB3" w:rsidRDefault="00BE7FB3" w:rsidP="00BE7FB3">
      <w:pPr>
        <w:pStyle w:val="TextoNormal"/>
      </w:pPr>
      <w:r w:rsidRPr="00BE7FB3">
        <w:rPr>
          <w:rStyle w:val="NumeroAFNegritaCaracter"/>
        </w:rPr>
        <w:t>2</w:t>
      </w:r>
      <w:r>
        <w:t>. Tramitado el recurso de amparo con el número 224-2012, la Sección Tercera de la Sala Segunda de este Tribunal Constitucional deliberó su admisión el día 19 de diciembre de 2012, ausentándose del debate la Magistrada Excma. Sra. doña Encarnación Roca Trías, pues con anterioridad había consignado su abstención en nota manuscrita interna al percatarse de que el recurso en cuestión se formulaba contra resoluciones recaídas en el recurso de casación núm. 1691-2008 en la que había sido ponente.</w:t>
      </w:r>
    </w:p>
    <w:p w:rsidR="00BE7FB3" w:rsidRDefault="00BE7FB3" w:rsidP="00BE7FB3">
      <w:pPr>
        <w:pStyle w:val="TextoNormal"/>
      </w:pPr>
    </w:p>
    <w:p w:rsidR="00BE7FB3" w:rsidRDefault="00BE7FB3" w:rsidP="00BE7FB3">
      <w:pPr>
        <w:pStyle w:val="TextoNormal"/>
      </w:pPr>
      <w:r w:rsidRPr="00BE7FB3">
        <w:rPr>
          <w:rStyle w:val="NumeroAFNegritaCaracter"/>
        </w:rPr>
        <w:t>3</w:t>
      </w:r>
      <w:r>
        <w:t>. Mediante providencia de 19 de diciembre de 2012, en cuyo encabezamiento figuraba la referida Magistrada, la Sección Tercera acordó no admitir el recurso de amparo tramitado con el número 224-2012, interpuesto por el actor contra las anteriores resoluciones jurisdiccionales, a la vista de la manifiesta inexistencia de violación de un derecho fundamental tutelable en amparo.</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4</w:t>
      </w:r>
      <w:r>
        <w:t>. Mediante escrito registrado en este Tribunal el 21 de enero de 2013, la representación del demandante de amparo promovió incidente de recusación de la Magistrada Excma. Sra. doña Encarnación Roca Trías, al considerar que concurría la causa establecida en el art. 219, apartado 11, de la Ley Orgánica del Poder Judicial (LOPJ), al haber intervenido en instancia anterior en su condición de Magistrada de la Sección de la Sala de lo Civil del Tribunal Supremo que dictó dos de las resoluciones impugnadas, de manera que su intervención en la decisión de inadmisión del recurso de amparo interpuesto vulneraría los arts. 80 de la Ley Orgánica del Tribunal Constitucional (LOTC) y 217 y 219.11 LOPJ, así como los arts. 6 y 13 del Convenio europeo para la protección de los derechos humanos y de las libertades fundamentales.</w:t>
      </w:r>
    </w:p>
    <w:p w:rsidR="00BE7FB3" w:rsidRDefault="00BE7FB3" w:rsidP="00BE7FB3">
      <w:pPr>
        <w:pStyle w:val="TextoNormal"/>
      </w:pPr>
    </w:p>
    <w:p w:rsidR="00BE7FB3" w:rsidRDefault="00BE7FB3" w:rsidP="00BE7FB3">
      <w:pPr>
        <w:pStyle w:val="TextoNormal"/>
      </w:pPr>
      <w:r>
        <w:t>En providencia de 26 de febrero del corriente año, el Pleno de este Tribunal acordó formar la correspondiente pieza separada de recusación, nombrando Instructor del incidente al Magistrado Excmo. Sr. don Juan José  González Rivas y Ponente al Magistrado don Ramón Rodríguez Arribas.</w:t>
      </w:r>
    </w:p>
    <w:p w:rsidR="00BE7FB3" w:rsidRDefault="00BE7FB3" w:rsidP="00BE7FB3">
      <w:pPr>
        <w:pStyle w:val="TextoNormal"/>
      </w:pPr>
    </w:p>
    <w:p w:rsidR="00BE7FB3" w:rsidRDefault="00BE7FB3" w:rsidP="00BE7FB3">
      <w:pPr>
        <w:pStyle w:val="TextoNormal"/>
      </w:pPr>
      <w:r w:rsidRPr="00BE7FB3">
        <w:rPr>
          <w:rStyle w:val="NumeroAFNegritaCaracter"/>
        </w:rPr>
        <w:t>5</w:t>
      </w:r>
      <w:r>
        <w:t>. Mediante Auto de fecha 28 de enero de 2013 la Sección Tercera de este Tribunal declaró la nulidad de la providencia de 19 de diciembre de 2012 por la que se acordó no admitir el recurso de amparo núm. 224-2012, ordenando igualmente retrotraer las actuaciones al momento anterior a ser dictada aquella, quedando a la espera de la resolución del incidente de recusación promovido por el demandante de amparo.</w:t>
      </w:r>
    </w:p>
    <w:p w:rsidR="00BE7FB3" w:rsidRDefault="00BE7FB3" w:rsidP="00BE7FB3">
      <w:pPr>
        <w:pStyle w:val="TextoNormal"/>
      </w:pPr>
    </w:p>
    <w:p w:rsidR="00BE7FB3" w:rsidRDefault="00BE7FB3" w:rsidP="00BE7FB3">
      <w:pPr>
        <w:pStyle w:val="TextoNormal"/>
      </w:pPr>
      <w:r w:rsidRPr="00BE7FB3">
        <w:rPr>
          <w:rStyle w:val="NumeroAFNegritaCaracter"/>
        </w:rPr>
        <w:t>6</w:t>
      </w:r>
      <w:r>
        <w:t>. Mediante escrito registrado en este Tribunal el 15 de febrero de 2013, la representación del demandante de amparo formuló denuncia por la comisión de vicios muy graves en el proceso de formación de acuerdos, solicitando el sometimiento del conocimiento del asunto al Pleno de este Tribunal.</w:t>
      </w:r>
    </w:p>
    <w:p w:rsidR="00BE7FB3" w:rsidRDefault="00BE7FB3" w:rsidP="00BE7FB3">
      <w:pPr>
        <w:pStyle w:val="TextoNormal"/>
      </w:pPr>
    </w:p>
    <w:p w:rsidR="00BE7FB3" w:rsidRDefault="00BE7FB3" w:rsidP="00BE7FB3">
      <w:pPr>
        <w:pStyle w:val="TextoNormal"/>
      </w:pPr>
      <w:r w:rsidRPr="00BE7FB3">
        <w:rPr>
          <w:rStyle w:val="NumeroAFNegritaCaracter"/>
        </w:rPr>
        <w:t>7</w:t>
      </w:r>
      <w:r>
        <w:t>. Conferido por providencia del Instructor traslado al Fiscal ante el Tribunal Constitucional, este se adhirió en fecha 11 de abril de 2013 a la causa de recusación propuesta por el demandante de amparo por cuanto, a su entender, concurre la causa prevista en el art. 219.11 LOPJ. Por otra parte, y dado que ya había formulado su abstención con anterioridad al dictado de la providencia de 19 de diciembre de 2012, la Magistrada Excma. Sra. doña Encarnación Roca Trías manifestó, mediante escrito de fecha 17 de abril de 2013, su conformidad con la petición de recusación de la parte recurrente.</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En la carpeta del recurso de amparo núm. 224-2012 figuraba la nota adjunta manuscrita de la Excma. Sra. doña Encarnación Roca Trías con la indicación “abstención”, de manera que, al encontrarse ausente la citada Magistrada cuando se deliberó por la Sección Tercera la admisión del recurso de amparo, se materializó en la práctica, alcanzando una efectiva virtualidad, su apartamiento del asunto.</w:t>
      </w:r>
    </w:p>
    <w:p w:rsidR="00BE7FB3" w:rsidRDefault="00BE7FB3" w:rsidP="00BE7FB3">
      <w:pPr>
        <w:pStyle w:val="TextoNormal"/>
      </w:pPr>
    </w:p>
    <w:p w:rsidR="00BE7FB3" w:rsidRDefault="00BE7FB3" w:rsidP="00BE7FB3">
      <w:pPr>
        <w:pStyle w:val="TextoNormal"/>
      </w:pPr>
      <w:r>
        <w:t xml:space="preserve">Aunque la abstención no se trasladase al encabezamiento de la correspondiente providencia, el error puramente formal que con ello se produjo fue diligentemente subsanado mediante el Auto de 28 de enero de 2013 de la Sección Tercera de este Tribunal, que declaró </w:t>
      </w:r>
      <w:r>
        <w:lastRenderedPageBreak/>
        <w:t>la nulidad de la providencia de 19 de diciembre de 2012, resultando así obvio que la inadmisión y archivo de la demanda de amparo devinieron nulas.</w:t>
      </w:r>
    </w:p>
    <w:p w:rsidR="00BE7FB3" w:rsidRDefault="00BE7FB3" w:rsidP="00BE7FB3">
      <w:pPr>
        <w:pStyle w:val="TextoNormal"/>
      </w:pPr>
    </w:p>
    <w:p w:rsidR="00BE7FB3" w:rsidRDefault="00BE7FB3" w:rsidP="00BE7FB3">
      <w:pPr>
        <w:pStyle w:val="TextoNormal"/>
      </w:pPr>
      <w:r w:rsidRPr="00BE7FB3">
        <w:rPr>
          <w:rStyle w:val="NumeroAFNegritaCaracter"/>
        </w:rPr>
        <w:t>2</w:t>
      </w:r>
      <w:r>
        <w:t>. Huelgan así, por improcedentes, las denuncias de vicios muy graves en el proceso de formación de acuerdos formuladas por el proponente de la recusación, pues en el momento en que se formulan —mediante escrito registrado en este Tribunal el 15 de febrero de 2013— la providencia de 19 de diciembre de 2012 por la que se había acordado inadmitir el recurso de amparo núm. 224-2012 ya había sido declarada nula y ordenada la retrotracción de las actuaciones al momento anterior a ser dictada aquella. Corregido el error detectado, y habiéndose quedado únicamente a la espera de la resolución del incidente de recusación promovido por el demandante de amparo, sus alegaciones sobre una presunta insuficiencia de la “nota interna” y de la constitución de la Sección con dos Magistrados carecen de sentido, pues están referidas a una resolución —la controvertida providencia de 19 de diciembre de 2012— que había sido declarada nula, habiendo desaparecido por tanto el objeto del debate en torno a la abstención.</w:t>
      </w:r>
    </w:p>
    <w:p w:rsidR="00BE7FB3" w:rsidRDefault="00BE7FB3" w:rsidP="00BE7FB3">
      <w:pPr>
        <w:pStyle w:val="TextoNormal"/>
      </w:pPr>
    </w:p>
    <w:p w:rsidR="00BE7FB3" w:rsidRDefault="00BE7FB3" w:rsidP="00BE7FB3">
      <w:pPr>
        <w:pStyle w:val="TextoNormal"/>
      </w:pPr>
      <w:r w:rsidRPr="00BE7FB3">
        <w:rPr>
          <w:rStyle w:val="NumeroAFNegritaCaracter"/>
        </w:rPr>
        <w:t>3</w:t>
      </w:r>
      <w:r>
        <w:t>. En cualquier caso, resultando clara la concurrencia de la causa de recusación prevista en el art. 219.11 de la Ley Orgánica del Poder Judicial, que ya había sido apreciada anteriormente y ha sido nuevamente reconocida, se insiste, como causa de abstención por la propia recusada, procede, de conformidad con lo dispuesto en los art. 225.3 y 228 del mismo texto legal, resolver el incidente sin más trámites y estimar la recusación propuesta.</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la recusación formulada por la representación procesal de don Vicente Bartolomé Segurado en el recurso de amparo núm. 224-2012 y apartar definitivamente a la Magistrada Excma. Sra. doña Encarnación Roca Trías del conocimiento del mismo, continuando conociendo de él, hasta su terminación, aquel Magistrado a quien corresponda sustituirle.</w:t>
      </w:r>
    </w:p>
    <w:p w:rsidR="00BE7FB3" w:rsidRDefault="00BE7FB3" w:rsidP="00BE7FB3">
      <w:pPr>
        <w:pStyle w:val="TextoNormal"/>
      </w:pPr>
    </w:p>
    <w:p w:rsidR="00BE7FB3" w:rsidRDefault="00BE7FB3" w:rsidP="00BE7FB3">
      <w:pPr>
        <w:pStyle w:val="TextoNormal"/>
      </w:pPr>
      <w:r>
        <w:t>Madrid, a cuatro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83" w:name="AUTO_2013_142"/>
      <w:r>
        <w:lastRenderedPageBreak/>
        <w:t>AUTO 142/2013, de 4 de junio de 2013</w:t>
      </w:r>
    </w:p>
    <w:bookmarkEnd w:id="283"/>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ECLI:ES:TC:2013:142A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Mantiene la suspensión acordada en el recurso de inconstitucionalidad 349-2013, interpuesto por el Presidente del Gobierno, en relación con el art. 2.9 de la Ley de la Asamblea de Madrid 8/2012, de 28 de diciembre, de medidas fiscales y administrativas.</w:t>
      </w:r>
    </w:p>
    <w:p w:rsidR="00BE7FB3" w:rsidRDefault="00BE7FB3" w:rsidP="00BE7FB3">
      <w:pPr>
        <w:pStyle w:val="SntesisDescriptiva"/>
      </w:pPr>
    </w:p>
    <w:p w:rsidR="00BE7FB3" w:rsidRDefault="00BE7FB3" w:rsidP="00BE7FB3">
      <w:pPr>
        <w:pStyle w:val="SntesisAnaltica"/>
      </w:pPr>
      <w:r>
        <w:t>Comunidad de Madrid: potestad tributaria. Derecho a la integridad física y moral: derecho a la protección de la salud. Gasto público: contención del gasto público. Sanidad: productos farmacéuticos. Suspensión de disposiciones de las Comunidades Autónomas: acreditación por el Abogado del Estado del perjuicio irreparable; mantenimiento de la suspensión de disposiciones de las Comunidades Autónomas; perjuicios irreparables; ponderación de intereses; tributos autonómicos. Tasas sanitarias: copago farmacéutico.</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el día 18 de enero de 2013, el Abogado del Estado, en representación del Presidente del Gobierno, promueve recurso de inconstitucionalidad contra el art. 2.9, de la Ley de la Asamblea de Madrid 8/2012, de 28 de diciembre, de medidas fiscales y administrativas, que modifica el texto refundido de la Ley de tasas y precios públicos de la Comunidad de Madrid, aprobado por Decreto Legislativo 1/2002, de 24 de octubre (en adelante texto refundido) y crea dentro del título IV, un nuevo capítulo CVII, en cuyos arts. 530 a 535 se regula la “tasa por prestación de servicios administrativos complementarios de información, con ocasión de la emisión de recetas médicas y órdenes de dispensación, por los órganos competentes de la Comunidad de Madrid”.</w:t>
      </w:r>
    </w:p>
    <w:p w:rsidR="00BE7FB3" w:rsidRDefault="00BE7FB3" w:rsidP="00BE7FB3">
      <w:pPr>
        <w:pStyle w:val="TextoNormal"/>
      </w:pPr>
    </w:p>
    <w:p w:rsidR="00BE7FB3" w:rsidRDefault="00BE7FB3" w:rsidP="00BE7FB3">
      <w:pPr>
        <w:pStyle w:val="TextoNormal"/>
      </w:pPr>
      <w:r>
        <w:t>El Abogado del Estado invocó el art. 161.2 CE a fin de que se acordase la suspensión de la norma impugnada en el presente recurso de inconstitucionalidad.</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Por providencia de 29 de enero de 2013, el Pleno, a propuesta de la Sección Segunda, acordó admitir a trámite el recurso y, de conformidad con lo establecido en el art. 34 de la Ley Orgánica del Tribunal Constitucional (LOTC), dar traslado de la demanda al Congreso de los Diputados, al Senado, a la Comunidad de Madrid y a la Asamblea de Madrid, al objeto de que pudieran personarse en el proceso y formular alegaciones en el plazo de quince </w:t>
      </w:r>
      <w:r>
        <w:lastRenderedPageBreak/>
        <w:t>días. Asimismo, se tuvo por invocado por el Presidente del Gobierno el art. 161.2 CE, lo que, a su tenor y conforme dispone el art. 30 LOTC, produjo la suspensión de la vigencia y aplicación de los preceptos impugnados. Finalmente, se acordó publicar la incoación del recurso de inconstitucionalidad en el “Boletín Oficial del Estado” y en el “Boletín Oficial de la Comunidad de Madrid”.</w:t>
      </w:r>
    </w:p>
    <w:p w:rsidR="00BE7FB3" w:rsidRDefault="00BE7FB3" w:rsidP="00BE7FB3">
      <w:pPr>
        <w:pStyle w:val="TextoNormal"/>
      </w:pPr>
    </w:p>
    <w:p w:rsidR="00BE7FB3" w:rsidRDefault="00BE7FB3" w:rsidP="00BE7FB3">
      <w:pPr>
        <w:pStyle w:val="TextoNormal"/>
      </w:pPr>
      <w:r w:rsidRPr="00BE7FB3">
        <w:rPr>
          <w:rStyle w:val="NumeroAFNegritaCaracter"/>
        </w:rPr>
        <w:t>3</w:t>
      </w:r>
      <w:r>
        <w:t>. Con fecha 30 de enero de 2013 se registró en el Tribunal el escrito de la Letrada de la Comunidad de Madrid, en la representación que legalmente ostenta, solicitando se le tenga por personada en el proceso, procediéndose a la incoación del correspondiente incidente cautelar, al objeto de decidir sobre la ratificación o levantamiento de la suspensión.</w:t>
      </w:r>
    </w:p>
    <w:p w:rsidR="00BE7FB3" w:rsidRDefault="00BE7FB3" w:rsidP="00BE7FB3">
      <w:pPr>
        <w:pStyle w:val="TextoNormal"/>
      </w:pPr>
    </w:p>
    <w:p w:rsidR="00BE7FB3" w:rsidRDefault="00BE7FB3" w:rsidP="00BE7FB3">
      <w:pPr>
        <w:pStyle w:val="TextoNormal"/>
      </w:pPr>
      <w:r w:rsidRPr="00BE7FB3">
        <w:rPr>
          <w:rStyle w:val="NumeroAFNegritaCaracter"/>
        </w:rPr>
        <w:t>4</w:t>
      </w:r>
      <w:r>
        <w:t>. El mismo día 30 de enero, el Presidente del Senado comunicó el acuerdo de la Mesa de la Cámara por el que se da por personada a la misma en el procedimiento, y por ofrecida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5</w:t>
      </w:r>
      <w:r>
        <w:t>. El 7 de febrero de 2013, el Presidente del Congreso de los Diputados comunicó el acuerdo de la Mesa en virtud del cual esta Cámara se personaba en el proceso, ofreciendo igualmente su colaboración a los efectos del art. 88.1 LOTC.</w:t>
      </w:r>
    </w:p>
    <w:p w:rsidR="00BE7FB3" w:rsidRDefault="00BE7FB3" w:rsidP="00BE7FB3">
      <w:pPr>
        <w:pStyle w:val="TextoNormal"/>
      </w:pPr>
    </w:p>
    <w:p w:rsidR="00BE7FB3" w:rsidRDefault="00BE7FB3" w:rsidP="00BE7FB3">
      <w:pPr>
        <w:pStyle w:val="TextoNormal"/>
      </w:pPr>
      <w:r w:rsidRPr="00BE7FB3">
        <w:rPr>
          <w:rStyle w:val="NumeroAFNegritaCaracter"/>
        </w:rPr>
        <w:t>6</w:t>
      </w:r>
      <w:r>
        <w:t>. El 19 de febrero de 2013 se registró en el Tribunal el escrito del Presidente de la Asamblea de Madrid, informando del acuerdo del Pleno de la Asamblea de Madrid por el que se persona en el proceso, designando los Letrados que habrán de formular alegaciones en el mismo y adjuntando el escrito de éstos, en el que se interesa la íntegra desestimación del recurso. El 20 de febrero se registra en el Tribunal una copia del citado acuerdo, de 14 de febrero de 2013.</w:t>
      </w:r>
    </w:p>
    <w:p w:rsidR="00BE7FB3" w:rsidRDefault="00BE7FB3" w:rsidP="00BE7FB3">
      <w:pPr>
        <w:pStyle w:val="TextoNormal"/>
      </w:pPr>
    </w:p>
    <w:p w:rsidR="00BE7FB3" w:rsidRDefault="00BE7FB3" w:rsidP="00BE7FB3">
      <w:pPr>
        <w:pStyle w:val="TextoNormal"/>
      </w:pPr>
      <w:r w:rsidRPr="00BE7FB3">
        <w:rPr>
          <w:rStyle w:val="NumeroAFNegritaCaracter"/>
        </w:rPr>
        <w:t>7</w:t>
      </w:r>
      <w:r>
        <w:t>. El mismo día 19 de febrero tiene entrada en el Tribunal el escrito de alegaciones de la Letrada de la Comunidad de Madrid, en la representación que ostenta, por el que solicita la desestimación del recurso.</w:t>
      </w:r>
    </w:p>
    <w:p w:rsidR="00BE7FB3" w:rsidRDefault="00BE7FB3" w:rsidP="00BE7FB3">
      <w:pPr>
        <w:pStyle w:val="TextoNormal"/>
      </w:pPr>
    </w:p>
    <w:p w:rsidR="00BE7FB3" w:rsidRDefault="00BE7FB3" w:rsidP="00BE7FB3">
      <w:pPr>
        <w:pStyle w:val="TextoNormal"/>
      </w:pPr>
      <w:r w:rsidRPr="00BE7FB3">
        <w:rPr>
          <w:rStyle w:val="NumeroAFNegritaCaracter"/>
        </w:rPr>
        <w:t>8</w:t>
      </w:r>
      <w:r>
        <w:t>. Por providencia de 20 de febrero de 2013, el Pleno del Tribunal acuerda oír a las partes personadas —Abogado del Estado y representaciones legales de la Comunidad de Madrid y de la Asamblea de Madrid— para que, en el plazo de cinco días, expongan lo que a su derecho convenga acerca del mantenimiento o levantamiento de la suspensión.</w:t>
      </w:r>
    </w:p>
    <w:p w:rsidR="00BE7FB3" w:rsidRDefault="00BE7FB3" w:rsidP="00BE7FB3">
      <w:pPr>
        <w:pStyle w:val="TextoNormal"/>
      </w:pPr>
    </w:p>
    <w:p w:rsidR="00BE7FB3" w:rsidRDefault="00BE7FB3" w:rsidP="00BE7FB3">
      <w:pPr>
        <w:pStyle w:val="TextoNormal"/>
      </w:pPr>
      <w:r w:rsidRPr="00BE7FB3">
        <w:rPr>
          <w:rStyle w:val="NumeroAFNegritaCaracter"/>
        </w:rPr>
        <w:t>9</w:t>
      </w:r>
      <w:r>
        <w:t>. El 1 de marzo de 2013 se registra en el Tribunal el escrito de la representación legal de la Asamblea de Madrid, en el que se formulan las siguientes alegaciones en favor del levantamiento de la suspensión de la norma impugnada.</w:t>
      </w:r>
    </w:p>
    <w:p w:rsidR="00BE7FB3" w:rsidRDefault="00BE7FB3" w:rsidP="00BE7FB3">
      <w:pPr>
        <w:pStyle w:val="TextoNormal"/>
      </w:pPr>
    </w:p>
    <w:p w:rsidR="00BE7FB3" w:rsidRDefault="00BE7FB3" w:rsidP="00BE7FB3">
      <w:pPr>
        <w:pStyle w:val="TextoNormal"/>
      </w:pPr>
      <w:r>
        <w:t xml:space="preserve">a) Comienza el escrito afirmando la naturaleza excepcional que tiene el mantenimiento de la suspensión de las leyes de las Comunidades Autónomas que hayan sido impugnadas ante este Tribunal, con cita de algunas Sentencias. A continuación, se afirma que recae sobre el Gobierno la carga de invocar y probar la existencia de los perjuicios que se derivarían del mantenimiento de la suspensión, por lo que a esta parte corresponde defender, mediante la ponderación de los intereses en juego, la falta de afectación a los mismos. </w:t>
      </w:r>
    </w:p>
    <w:p w:rsidR="00BE7FB3" w:rsidRDefault="00BE7FB3" w:rsidP="00BE7FB3">
      <w:pPr>
        <w:pStyle w:val="TextoNormal"/>
      </w:pPr>
    </w:p>
    <w:p w:rsidR="00BE7FB3" w:rsidRDefault="00BE7FB3" w:rsidP="00BE7FB3">
      <w:pPr>
        <w:pStyle w:val="TextoNormal"/>
      </w:pPr>
      <w:r>
        <w:lastRenderedPageBreak/>
        <w:t xml:space="preserve">b) Recoge, a continuación, el tenor literal de todos los preceptos que regulan la “tasa por prestación de servicios administrativos complementarios de información, con ocasión de la emisión de recetas médicas y órdenes de dispensación, por los órganos competentes de la Comunidad de Madrid”, que aquí se impugna (arts. 530 a 535 del texto refundido). </w:t>
      </w:r>
    </w:p>
    <w:p w:rsidR="00BE7FB3" w:rsidRDefault="00BE7FB3" w:rsidP="00BE7FB3">
      <w:pPr>
        <w:pStyle w:val="TextoNormal"/>
      </w:pPr>
    </w:p>
    <w:p w:rsidR="00BE7FB3" w:rsidRDefault="00BE7FB3" w:rsidP="00BE7FB3">
      <w:pPr>
        <w:pStyle w:val="TextoNormal"/>
      </w:pPr>
      <w:r>
        <w:t>- En relación con el art. 530, afirma que el precepto no lesiona intereses generales, toda vez que responde al principio de que las tasas siguen al servicio, siendo así que los servicios administrativos complementarios de información que la misma financia son prestados por los órganos autonómicos correspondientes y entran dentro de su competencia, tal y como se deduce del art. 7.1 de la Ley Orgánica 8/1980, de 22 septiembre, de financiación de las Comunidades Autónomas (LOFCA). Estos servicios administrativos redundan en beneficio directo del paciente, lo que impide sostener que el precepto lesione intereses particulares o de terceras personas.</w:t>
      </w:r>
    </w:p>
    <w:p w:rsidR="00BE7FB3" w:rsidRDefault="00BE7FB3" w:rsidP="00BE7FB3">
      <w:pPr>
        <w:pStyle w:val="TextoNormal"/>
      </w:pPr>
    </w:p>
    <w:p w:rsidR="00BE7FB3" w:rsidRDefault="00BE7FB3" w:rsidP="00BE7FB3">
      <w:pPr>
        <w:pStyle w:val="TextoNormal"/>
      </w:pPr>
      <w:r>
        <w:t>- El art. 531 del texto refundido, en el que se contienen las exenciones del pago de la tasa, no lesiona intereses sino que los salvaguarda, ya que la regulación de las exenciones atempera el esfuerzo fiscal para aquellas personas a las que les sea de aplicación.</w:t>
      </w:r>
    </w:p>
    <w:p w:rsidR="00BE7FB3" w:rsidRDefault="00BE7FB3" w:rsidP="00BE7FB3">
      <w:pPr>
        <w:pStyle w:val="TextoNormal"/>
      </w:pPr>
    </w:p>
    <w:p w:rsidR="00BE7FB3" w:rsidRDefault="00BE7FB3" w:rsidP="00BE7FB3">
      <w:pPr>
        <w:pStyle w:val="TextoNormal"/>
      </w:pPr>
      <w:r>
        <w:t xml:space="preserve">- La regulación del sujeto pasivo de la tasa, contenida en el art. 532, está vinculado y es coherente con el hecho imponible del tributo, por lo que no se lesionan intereses particulares ya que, se sigue el principio del coste del servicio, y se persigue la coincidencia entre el paciente o usuario de los servicios prestados y el sujeto pasivo de la tasa. </w:t>
      </w:r>
    </w:p>
    <w:p w:rsidR="00BE7FB3" w:rsidRDefault="00BE7FB3" w:rsidP="00BE7FB3">
      <w:pPr>
        <w:pStyle w:val="TextoNormal"/>
      </w:pPr>
    </w:p>
    <w:p w:rsidR="00BE7FB3" w:rsidRDefault="00BE7FB3" w:rsidP="00BE7FB3">
      <w:pPr>
        <w:pStyle w:val="TextoNormal"/>
      </w:pPr>
      <w:r>
        <w:t>- En cuanto a la cuota del tributo, recogida en el art. 533, refiere el escrito algunos datos, en particular que, una vez excluidas las exenciones, la tasa se aplicaría con ocasión de la emisión de un número de recetas, que se estima ascendería a 81.511.733 euros. Pues bien, el detalle de los costes de servicio, por los conceptos que figuran en la memoria de la norma, totaliza una cantidad estimada en 81.514.895 euros. Se cumple así con el principio del costo del servicio que impone el art. 7.3 LOFCA.</w:t>
      </w:r>
    </w:p>
    <w:p w:rsidR="00BE7FB3" w:rsidRDefault="00BE7FB3" w:rsidP="00BE7FB3">
      <w:pPr>
        <w:pStyle w:val="TextoNormal"/>
      </w:pPr>
    </w:p>
    <w:p w:rsidR="00BE7FB3" w:rsidRDefault="00BE7FB3" w:rsidP="00BE7FB3">
      <w:pPr>
        <w:pStyle w:val="TextoNormal"/>
      </w:pPr>
      <w:r>
        <w:t>- Reitera finalmente los argumentos en contra de la posible lesión de intereses por parte de la citada tasa tras recoger el tenor literal de los arts. 534 y 535 del texto refundido.</w:t>
      </w:r>
    </w:p>
    <w:p w:rsidR="00BE7FB3" w:rsidRDefault="00BE7FB3" w:rsidP="00BE7FB3">
      <w:pPr>
        <w:pStyle w:val="TextoNormal"/>
      </w:pPr>
    </w:p>
    <w:p w:rsidR="00BE7FB3" w:rsidRDefault="00BE7FB3" w:rsidP="00BE7FB3">
      <w:pPr>
        <w:pStyle w:val="TextoNormal"/>
      </w:pPr>
      <w:r>
        <w:t>c) Se refiere seguidamente el escrito a la ausencia de perjuicio de imposible o difícil reparación, dado que en todo caso dichos perjuicios serían siempre únicamente de carácter económico, y por tanto evaluables y reparables. Desde la perspectiva de los titulares de las oficinas de farmacia, tampoco habría ningún perjuicio toda vez que el efecto económico de la nueva tasa es neutral para dichos establecimientos. En todo caso, de producirse algún perjuicio, sería de naturaleza económica y por ello susceptible de reparación. Finalmente se refiere a los perjuicios que se podrían ocasionar a la hacienda pública de la Comunidad de Madrid, afirmando que el levantamiento de la suspensión de la norma no causaría perjuicio alguno, sino que es el mantenimiento de dicha suspensión lo que le ocasiona perjuicio, ya que dicha hacienda se ve privada de los ingresos que la tasa le reportaba. Se refiere, en ese punto, a la necesidad de incrementar los ingresos, en el contexto del cumplimiento de la estabilidad presupuestaria, tras la reforma del art. 135 CE, afirmando que sería de muy difícil reparación el perjuicio que se ocasionaría a la hacienda pública de ratificarse la suspensión.</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10</w:t>
      </w:r>
      <w:r>
        <w:t>. El mismo 1 de marzo de 2013 tiene entrada el escrito del Abogado del Estado, en nombre del Presidente del Gobierno, presentando sus alegaciones sobre la suspensión de la Ley recurrida, interesando la denegación de la solicitud de su alzamiento anticipado y el mantenimiento de la suspensión de los preceptos legales recurridos, en atención a las razones que se resumen a continuación, y que como se afirma en el propio escrito, son parcialmente similares a las formuladas en relación con el recurso de inconstitucionalidad núm. 7208-2012, promovido por la Presidenta del Gobierno en funciones contra los arts. 16 y 41 de la Ley del Parlamento de Cataluña 5/2012, de 20 de marzo, de medidas fiscales, financieras y administrativas y de creación del impuesto sobre estancias en establecimientos turísticos, que estableció, entre otras, una “tasa sobre los actos preparatorios y los servicios accesorios de mejora de la información inherentes al proceso para la prescripción y dispensación de medicamentos y productos sanitarios mediante la emisión de recetas médicas y órdenes de dispensación”.</w:t>
      </w:r>
    </w:p>
    <w:p w:rsidR="00BE7FB3" w:rsidRDefault="00BE7FB3" w:rsidP="00BE7FB3">
      <w:pPr>
        <w:pStyle w:val="TextoNormal"/>
      </w:pPr>
    </w:p>
    <w:p w:rsidR="00BE7FB3" w:rsidRDefault="00BE7FB3" w:rsidP="00BE7FB3">
      <w:pPr>
        <w:pStyle w:val="TextoNormal"/>
      </w:pPr>
      <w:r>
        <w:t>a) Se refiere en primer lugar a la reiterada doctrina sobre los incidentes de suspensión, que exige tanto ponderar los intereses afectados, como los perjuicios de imposible o difícil reparación, con cita de las SSTC 108/2011, de 15 junio y 161/2012, de 13 septiembre, entre otras.</w:t>
      </w:r>
    </w:p>
    <w:p w:rsidR="00BE7FB3" w:rsidRDefault="00BE7FB3" w:rsidP="00BE7FB3">
      <w:pPr>
        <w:pStyle w:val="TextoNormal"/>
      </w:pPr>
    </w:p>
    <w:p w:rsidR="00BE7FB3" w:rsidRDefault="00BE7FB3" w:rsidP="00BE7FB3">
      <w:pPr>
        <w:pStyle w:val="TextoNormal"/>
      </w:pPr>
      <w:r>
        <w:t>b) A continuación, afirma no desconocer que en ocasiones se ha otorgado prevalencia al interés recaudatorio, máxime cuando dicho interés está enlazado con la suficiencia financiera y la solvencia autonómica. Sin embargo, considera que en este asunto concurren especiales circunstancias que excluyen la aplicación de esta doctrina. En concreto considera que no es de aplicación la doctrina de los AATC 95/2011, de 21 de junio; 96/2011, de 21 de junio; 147/2012, de 16 de julio, y 238/2012, de 12 de diciembre, pues todas estas resoluciones se refieren a medidas de contención del déficit que se enderezan a la reducción del coste de la prestación farmacéutica financiada por la Comunidad Autónoma. Aquí, por el contrario, nos encontramos ante una tasa que deben pagar los beneficiarios de esa prestación.</w:t>
      </w:r>
    </w:p>
    <w:p w:rsidR="00BE7FB3" w:rsidRDefault="00BE7FB3" w:rsidP="00BE7FB3">
      <w:pPr>
        <w:pStyle w:val="TextoNormal"/>
      </w:pPr>
    </w:p>
    <w:p w:rsidR="00BE7FB3" w:rsidRDefault="00BE7FB3" w:rsidP="00BE7FB3">
      <w:pPr>
        <w:pStyle w:val="TextoNormal"/>
      </w:pPr>
      <w:r>
        <w:t xml:space="preserve">En concreto, a pesar de la cuantía de la tasa autonómica recurrida, puede constituir una barrera de acceso a la prestación farmacéutica de los usuarios con menores recursos y más necesitados de medicamentos recetados, puesto que la tasa se suma a la aportación (“copago”) que deben hacer con arreglo a las normas generales. La gravedad de esta barrera de acceso se percibe en sus justos términos si se tienen en cuenta, como señala el informe de la Dirección General de Cartera Básica de Servicios del Sistema Nacional de Salud y Farmacia (documento adjunto número uno), los siguientes extremos: (i) la tasa del euro por receta penaliza especialmente a la población más vulnerable, como a los más enfermos (necesitan más recetas), y a los pensionistas, colectivos éstos ya suficientemente castigados por concentrar mayor necesidad de cuidados sanitarios y de protección especial por los poderes públicos y cuyo poder adquisitivo es, a todas luces, claramente menor que en la población activa de menor edad. En torno al 70 por 100 de las recetas dispensadas lo son a pensionistas, y es conocido que casi el 80 por 100 del consumo de recursos sanitarios se produce en mayores de 65 años; (ii) es una tasa de carácter lineal, que no tiene en consideración criterios de equidad como el nivel de renta, la situación laboral o el estado de salud, ni establece topes de aportación que pudieran limitar las repercusiones económicas negativas en estos grupos desfavorecidos; (iii) el efecto se agrava al sumarse la tasa madrileña al copago farmacéutico establecido por el legislador estatal. Por tanto, haciendo uso de una competencia que no tienen las Comunidades Autónomas, se está penalizando a los ciudadanos con un </w:t>
      </w:r>
      <w:r>
        <w:lastRenderedPageBreak/>
        <w:t>coste adicional sobre el mismo acto sanitario, que además no tiene en cuenta los factores que determinan la necesidad de medicación, edad y enfermedad, ni la capacidad económica del mismo. Se paga lo mismo, un euro, independientemente del precio del fármaco; (iv) en el caso de la tasa madrileña, no ha habido tiempo todavía para apreciar los efectos del euro por receta sobre el número de recetas expedido y el gasto farmacéutico, dado que sólo ha estado vigente durante dos meses. Sin embargo, es razonable suponer que no diferirán de los constatados en Cataluña donde como se señaló en el citado recurso de inconstitucionalidad núm. 7208-2012 la reducción de las recetas se habría producido porque, al sumar la tasa, en algunos casos sale más económico comprar el medicamento sin receta. Esto tiene un claro efecto perverso: el de inducir a la auto-medicación y a no acudir a los servicios médicos y retirar directamente la medicación en tratamientos financiados que requieren seguimiento médico. De esta forma, se impide el seguimiento del cumplimiento de los tratamientos por los pacientes que retiran los fármacos sin receta, perdiendo el médico la información sobre el seguimiento del tratamiento que aporta la receta oficial, uno de los mayores avances derivados de la implantación de la receta electrónica del Sistema Nacional de Salud.</w:t>
      </w:r>
    </w:p>
    <w:p w:rsidR="00BE7FB3" w:rsidRDefault="00BE7FB3" w:rsidP="00BE7FB3">
      <w:pPr>
        <w:pStyle w:val="TextoNormal"/>
      </w:pPr>
    </w:p>
    <w:p w:rsidR="00BE7FB3" w:rsidRDefault="00BE7FB3" w:rsidP="00BE7FB3">
      <w:pPr>
        <w:pStyle w:val="TextoNormal"/>
      </w:pPr>
      <w:r>
        <w:t>La suma de estas cuatro circunstancias hace que el riesgo para la salud del levantamiento de la suspensión de la tasa sea cierto y concentrado precisamente en quienes más necesidad tienen de la asistencia farmacéutica (ATC 221/2009, de 21 de julio, FJ 4).</w:t>
      </w:r>
    </w:p>
    <w:p w:rsidR="00BE7FB3" w:rsidRDefault="00BE7FB3" w:rsidP="00BE7FB3">
      <w:pPr>
        <w:pStyle w:val="TextoNormal"/>
      </w:pPr>
    </w:p>
    <w:p w:rsidR="00BE7FB3" w:rsidRDefault="00BE7FB3" w:rsidP="00BE7FB3">
      <w:pPr>
        <w:pStyle w:val="TextoNormal"/>
      </w:pPr>
      <w:r>
        <w:t>Los riesgos para la salud que pudieran ocasionarse de levantarse la suspensión resultan ciertamente irreparables. Pero la dificultad de reparación también se aprecia en los perjuicios económicos que van a soportar los usuarios de la sanidad pública, por la “dificultad de deshacer las situaciones creadas” (AATC 87/2012, de 10 de mayo, FJ 3; y 161/2012, de 13 de septiembre, FJ 3). Por el propio modo de cobrar la tasa, al dispensar el farmacéutico el medicamento recetado, minorando la factura que la farmacia pasa al Servicio Madrileño de Salud, será virtualmente imposible —en el caso típico— la restitución al beneficiario de la prestación farmacéutica de la tasa cobrada durante el tiempo de pendencia del presente proceso, si al final se declarara inconstitucional y nula.</w:t>
      </w:r>
    </w:p>
    <w:p w:rsidR="00BE7FB3" w:rsidRDefault="00BE7FB3" w:rsidP="00BE7FB3">
      <w:pPr>
        <w:pStyle w:val="TextoNormal"/>
      </w:pPr>
    </w:p>
    <w:p w:rsidR="00BE7FB3" w:rsidRDefault="00BE7FB3" w:rsidP="00BE7FB3">
      <w:pPr>
        <w:pStyle w:val="TextoNormal"/>
      </w:pPr>
      <w:r>
        <w:t xml:space="preserve">Por último, tampoco se aprecian efectos favorables para el Sistema Nacional de Salud que supongan una mayor eficacia en la gestión del gasto farmacéutico. En efecto, como resulta del anexo I del informe anteriormente citado: (i) durante el tiempo de vigencia de la tasa controvertida ha habido Comunidades que, sin imponer tasa alguna, han sido más eficaces en la gestión del gasto farmacéutico, simplemente mediante la plena implementación de las normas básicas estatales. (ii) Además, es posible que en Madrid suceda lo mismo que ha tenido lugar en Cataluña, donde como se afirmó en el anterior recurso de inconstitucionalidad núm. 7208-2012 mientras se aprecia una reducción del número de recetas, sin embargo en Cataluña ha aumentado el gasto medio por receta respecto del resto de España, pudiendo encontrarse la explicación en que en aquella Comunidad se habría desviado la prescripción hacia medicamentos más caros para evitar pagar el euro en medicamentos más baratos, en los que compensa su compra fuera de receta (anexo III del anexo I). (iii) Por último, se ha evidenciado a través de los medios de comunicación y denuncias el efecto frontera, es decir, la desviación hacia farmacias de ayuntamientos limítrofes con Madrid de otras Comunidades Autónomas. Por tanto, se trata de recetas pagadas por otros servicios de salud. No es posible conocer en qué casos la disminución de recetas producida en Cataluña se debe a que en realidad han sido dispensadas en farmacias de otras Comunidades Autónomas y que, por tanto, no supone un ahorro real, sino que es una desviación hacia las </w:t>
      </w:r>
      <w:r>
        <w:lastRenderedPageBreak/>
        <w:t>cuentas de otros servicios de salud de los españoles. Este efecto frontera, empujando a la retirada de los fármacos en las farmacias de las Comunidades Autónomas limítrofes, incrementa el gasto farmacéutico de éstas, y por tanto genera que con los recursos de la sanidad de Castilla-La Mancha o Castilla y León se estén pagando los medicamentos de la sanidad madrileña.</w:t>
      </w:r>
    </w:p>
    <w:p w:rsidR="00BE7FB3" w:rsidRDefault="00BE7FB3" w:rsidP="00BE7FB3">
      <w:pPr>
        <w:pStyle w:val="TextoNormal"/>
      </w:pPr>
    </w:p>
    <w:p w:rsidR="00BE7FB3" w:rsidRDefault="00BE7FB3" w:rsidP="00BE7FB3">
      <w:pPr>
        <w:pStyle w:val="TextoNormal"/>
      </w:pPr>
      <w:r w:rsidRPr="00BE7FB3">
        <w:rPr>
          <w:rStyle w:val="NumeroAFNegritaCaracter"/>
        </w:rPr>
        <w:t>11</w:t>
      </w:r>
      <w:r>
        <w:t>. El 1 de marzo de 2013 se registra en el Tribunal el escrito de alegaciones que presenta la Letrada de la comunidad de Madrid, en la representación que legalmente ostenta.</w:t>
      </w:r>
    </w:p>
    <w:p w:rsidR="00BE7FB3" w:rsidRDefault="00BE7FB3" w:rsidP="00BE7FB3">
      <w:pPr>
        <w:pStyle w:val="TextoNormal"/>
      </w:pPr>
    </w:p>
    <w:p w:rsidR="00BE7FB3" w:rsidRDefault="00BE7FB3" w:rsidP="00BE7FB3">
      <w:pPr>
        <w:pStyle w:val="TextoNormal"/>
      </w:pPr>
      <w:r>
        <w:t>a) Comienza con unas consideraciones generales sobre el incidente cautelar de suspensión, que parte de la existencia de una presunción general de validez de los actos y disposiciones de los poderes públicos, como ha reiterado este Tribunal en su jurisprudencia. Recalca además que la regla general es el levantamiento de la suspensión y recoge la doctrina sobre la ponderación de los perjuicios, precisando que aquellos perjuicios de naturaleza económica o patrimonial tienen carácter reparable.</w:t>
      </w:r>
    </w:p>
    <w:p w:rsidR="00BE7FB3" w:rsidRDefault="00BE7FB3" w:rsidP="00BE7FB3">
      <w:pPr>
        <w:pStyle w:val="TextoNormal"/>
      </w:pPr>
    </w:p>
    <w:p w:rsidR="00BE7FB3" w:rsidRDefault="00BE7FB3" w:rsidP="00BE7FB3">
      <w:pPr>
        <w:pStyle w:val="TextoNormal"/>
      </w:pPr>
      <w:r>
        <w:t>b) En concreto sobre la ponderación de los intereses afectados por la norma impugnada, considera que se dan las circunstancias para que el Tribunal alce la suspensión, ya que no existen en este supuesto perjuicios de difícil o imposible reparación. Por lo que respecta, en primer lugar, al interés general, nos hallamos ante un acto ajeno a las prestaciones sanitarias, de manera que la aplicación práctica de la tasa no incide en el acceso de los ciudadanos al medicamento, es decir a la prestación farmacéutica, y por lo tanto no afecta a su derecho a la protección de la salud. En concreto afirma que en cualquier oficina de farmacia radicada en el territorio de la comida Madrid toda persona a la que se haya prescrito un medicamento ha obtenido la dispensación del mismo, previo pago de su precio, “con independencia del abono o no de la tasa devengada como consecuencia de la obtención de los servicios complementarios de información que comprende su hecho imponible”. En concreto, y como se acreditaría con el certificado expedido por el Director general de gestión económica y de compras de productos sanitarios y farmacéuticos del Servicio Madrileño de Salud de 11 febrero 2013, el número de recetas en las que el paciente se ha negado al pago de la tasa, durante el periodo de vigencia de la misma, esto es, del 1 al 29 enero 2013, ha sido de 1.008.227. En todos esos casos el medicamento ha sido dispensado lo que evidencia el deslinde entre la prestación farmacéutica y los servicios gravados con la tasa.</w:t>
      </w:r>
    </w:p>
    <w:p w:rsidR="00BE7FB3" w:rsidRDefault="00BE7FB3" w:rsidP="00BE7FB3">
      <w:pPr>
        <w:pStyle w:val="TextoNormal"/>
      </w:pPr>
    </w:p>
    <w:p w:rsidR="00BE7FB3" w:rsidRDefault="00BE7FB3" w:rsidP="00BE7FB3">
      <w:pPr>
        <w:pStyle w:val="TextoNormal"/>
      </w:pPr>
      <w:r>
        <w:t>Se refiere a continuación el escrito que la vigencia de la medida no contraviene el derecho a la igualdad, pues se enmarca en los arts. 156 y 157 CE, preceptos que reconocen a las Comunidades Autónomas la posibilidad de obtener recursos a través del establecimiento de tasas sobre servicios de su competencia. Se refiere a continuación a la doctrina de este Tribunal sobre la igualdad ante la ley, con cita de las SSTC 61/1997 y 37/1981, entre otras.</w:t>
      </w:r>
    </w:p>
    <w:p w:rsidR="00BE7FB3" w:rsidRDefault="00BE7FB3" w:rsidP="00BE7FB3">
      <w:pPr>
        <w:pStyle w:val="TextoNormal"/>
      </w:pPr>
    </w:p>
    <w:p w:rsidR="00BE7FB3" w:rsidRDefault="00BE7FB3" w:rsidP="00BE7FB3">
      <w:pPr>
        <w:pStyle w:val="TextoNormal"/>
      </w:pPr>
      <w:r>
        <w:t>En cuanto a los perjuicios que para la Comunidad Madrid se derivarían del mantenimiento de la suspensión, se refiere a la situación de grave crisis económica, a la necesidad de cumplir con la estabilidad presupuestaria, y a la caída de ingresos que provienen del sistema de financiación y que supone una pérdida para la Comunidad de Madrid de alrededor de 1.000 millones de euros para el ejercicio 2013, derivados de la, a su juicio, defectuosa aplicación del sistema de financiación.</w:t>
      </w:r>
    </w:p>
    <w:p w:rsidR="00BE7FB3" w:rsidRDefault="00BE7FB3" w:rsidP="00BE7FB3">
      <w:pPr>
        <w:pStyle w:val="TextoNormal"/>
      </w:pPr>
    </w:p>
    <w:p w:rsidR="00BE7FB3" w:rsidRDefault="00BE7FB3" w:rsidP="00BE7FB3">
      <w:pPr>
        <w:pStyle w:val="TextoNormal"/>
      </w:pPr>
      <w:r>
        <w:lastRenderedPageBreak/>
        <w:t>Finalmente, en cuanto al interés particular de los sujetos pasivos de la tasa, se refiere en primer lugar a que se establece un tope económico máximo, de manera que ninguna persona estará obligada a pagar más de 71 euros al año, sin perjuicio de los numerosos supuestos de exención establecidos en la norma reguladora, lo que determina que nadie se verá obligado a hacer un esfuerzo desproporcionado.</w:t>
      </w:r>
    </w:p>
    <w:p w:rsidR="00BE7FB3" w:rsidRDefault="00BE7FB3" w:rsidP="00BE7FB3">
      <w:pPr>
        <w:pStyle w:val="TextoNormal"/>
      </w:pPr>
    </w:p>
    <w:p w:rsidR="00BE7FB3" w:rsidRDefault="00BE7FB3" w:rsidP="00BE7FB3">
      <w:pPr>
        <w:pStyle w:val="TextoNormal"/>
      </w:pPr>
      <w:r>
        <w:t>En todo caso, el sistema de gestión informatizada del servicio madrileño de salud permite la perfecta identificación de las personas que han abonado tributo, a efectos en su caso de la correspondiente devolución. Hay, por tanto, mecanismos que posibilitan la reparación de los perjuicios causados a los intereses de los particulares, dado que estos perjuicios son evaluables y las personas afectadas se encuentran plenamente identificadas.</w:t>
      </w:r>
    </w:p>
    <w:p w:rsidR="00BE7FB3" w:rsidRDefault="00BE7FB3" w:rsidP="00BE7FB3">
      <w:pPr>
        <w:pStyle w:val="TextoNormal"/>
      </w:pPr>
    </w:p>
    <w:p w:rsidR="00BE7FB3" w:rsidRDefault="00BE7FB3" w:rsidP="00BE7FB3">
      <w:pPr>
        <w:pStyle w:val="TextoNormal"/>
      </w:pPr>
      <w:r>
        <w:t>c) Concluye el escrito con una referencia a la presunción de constitucionalidad de las leyes que ha sido consagrada en la doctrina de este Tribunal, citándose en ese sentido diversas sentencias, entre otras la STC 66/1985, de 23 de mayo.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objeto de la presente resolución consiste en determinar si procede levantar o mantener la suspensión de la vigencia que afecta al art. 2, apartado 9, de la Ley de la Asamblea de Madrid 8/2012, de 28 de diciembre, de medidas fiscales y administrativas, que modifica el texto refundido de la Ley de tasas y precios públicos de la Comunidad de Madrid, aprobado por Decreto Legislativo 1/2002, de 24 de octubre (en adelante texto refundido). La aplicación de este precepto se encuentra suspendida, como consecuencia de la invocación del art. 161.2 CE, al promoverse el recurso de inconstitucionalidad contra los mismos por la Presidenta del Gobierno en funciones.</w:t>
      </w:r>
    </w:p>
    <w:p w:rsidR="00BE7FB3" w:rsidRDefault="00BE7FB3" w:rsidP="00BE7FB3">
      <w:pPr>
        <w:pStyle w:val="TextoNormal"/>
      </w:pPr>
    </w:p>
    <w:p w:rsidR="00BE7FB3" w:rsidRDefault="00BE7FB3" w:rsidP="00BE7FB3">
      <w:pPr>
        <w:pStyle w:val="TextoNormal"/>
      </w:pPr>
      <w:r>
        <w:t xml:space="preserve">El precepto recurrido crea, dentro del título IV del texto refundido, un nuevo capítulo CVII, en cuyos arts. 530 a 535 se regula la “tasa por prestación de servicios administrativos complementarios de información, con ocasión de la emisión de recetas médicas y órdenes de dispensación, por los órganos competentes de la Comunidad de Madrid”, que el Gobierno impugna por considerar que se vulnera la legislación básica estatal en materia de sanidad, dictada </w:t>
      </w:r>
      <w:r w:rsidRPr="00BE7FB3">
        <w:rPr>
          <w:i/>
        </w:rPr>
        <w:t>ex</w:t>
      </w:r>
      <w:r>
        <w:t xml:space="preserve"> art. 149.1.16 CE.</w:t>
      </w:r>
    </w:p>
    <w:p w:rsidR="00BE7FB3" w:rsidRDefault="00BE7FB3" w:rsidP="00BE7FB3">
      <w:pPr>
        <w:pStyle w:val="TextoNormal"/>
      </w:pPr>
    </w:p>
    <w:p w:rsidR="00BE7FB3" w:rsidRDefault="00BE7FB3" w:rsidP="00BE7FB3">
      <w:pPr>
        <w:pStyle w:val="TextoNormal"/>
      </w:pPr>
      <w:r w:rsidRPr="00BE7FB3">
        <w:rPr>
          <w:rStyle w:val="NumeroAFNegritaCaracter"/>
        </w:rPr>
        <w:t>2</w:t>
      </w:r>
      <w:r>
        <w:t>. La tasa controvertida tiene una regulación sustantivamente similar a la establecida por la Generalitat de Cataluña, mediante el art. 41 de la Ley del Parlamento de Cataluña 5/2012, de 20 de marzo, de medidas fiscales, financieras y administrativas y de creación del impuesto sobre estancias en establecimientos turísticos, precepto que estableció la denominada “tasa sobre los actos preparatorios y los servicios accesorios de mejora de la información inherentes al proceso para la prescripción y dispensación de medicamentos y productos sanitarios mediante la emisión de recetas médicas y órdenes de dispensación”. Dicha tasa fue también impugnada por el Gobierno de la Nación en el recurso de inconstitucionalidad núm. 7208-2012, y en el ATC 122/2013, de 21 de mayo, acordamos mantener la suspensión de su vigencia. Por tanto, la misma respuesta habrá de darse en el presente caso.</w:t>
      </w:r>
    </w:p>
    <w:p w:rsidR="00BE7FB3" w:rsidRDefault="00BE7FB3" w:rsidP="00BE7FB3">
      <w:pPr>
        <w:pStyle w:val="TextoNormal"/>
      </w:pPr>
    </w:p>
    <w:p w:rsidR="00BE7FB3" w:rsidRDefault="00BE7FB3" w:rsidP="00BE7FB3">
      <w:pPr>
        <w:pStyle w:val="TextoNormal"/>
      </w:pPr>
      <w:r>
        <w:t xml:space="preserve">En efecto, la similitud entre ambas tasas se advierte tras contrastar sus elementos esenciales. Así, la tasa establecida por la Comunidad de Madrid tiene como hecho imponible la </w:t>
      </w:r>
      <w:r>
        <w:lastRenderedPageBreak/>
        <w:t>prestación de determinados servicios administrativos “con ocasión de la emisión de recetas médicas y órdenes de dispensación” (art. 530 del texto refundido), mientras que la establecida por Cataluña resulta exigible por “los actos preparatorios y los servicios accesorios de mejora de la información inherentes al proceso para la prescripción y dispensación de medicamentos y productos sanitarios mediante la emisión de recetas médicas y órdenes de dispensación” (art. 21.22-1 del texto refundido de la Ley de tasas y precios públicos de la Generalitat de Cataluña). Los sujetos pasivos son también coincidentes, pues en el caso de Madrid es “la persona física a la que se prescribe un medicamento o producto sanitario documentado en una receta médica u orden de dispensación” (art. 532.1), mientras que en el catalán, es “la persona física a la que se prescribe y se dispensa un medicamento o producto sanitario, que es documentada en la receta médica u orden de dispensación correspondiente” (art. 21.22-2 del texto refundido). También coinciden el resto de elementos esenciales, como algunos de los supuestos de exención (para la tasa catalana, previstos en el art. 21.22-5 del texto refundido; y para la madrileña, art. 531) y, fundamentalmente, el tipo de gravamen, que asciende a un euro por receta en ambos casos (respectivamente, arts. 21.22-4 y art. 533), siendo también idéntico el devengo, que será el momento de la dispensación de la receta correspondiente a un medicamento.</w:t>
      </w:r>
    </w:p>
    <w:p w:rsidR="00BE7FB3" w:rsidRDefault="00BE7FB3" w:rsidP="00BE7FB3">
      <w:pPr>
        <w:pStyle w:val="TextoNormal"/>
      </w:pPr>
    </w:p>
    <w:p w:rsidR="00BE7FB3" w:rsidRDefault="00BE7FB3" w:rsidP="00BE7FB3">
      <w:pPr>
        <w:pStyle w:val="TextoNormal"/>
      </w:pPr>
      <w:r>
        <w:t>Son también sustancialmente coincidentes los argumentos esgrimidos por el Abogado del Estado para defender el mantenimiento de la suspensión, tal y como se hace constar en el propio escrito de alegaciones.</w:t>
      </w:r>
    </w:p>
    <w:p w:rsidR="00BE7FB3" w:rsidRDefault="00BE7FB3" w:rsidP="00BE7FB3">
      <w:pPr>
        <w:pStyle w:val="TextoNormal"/>
      </w:pPr>
    </w:p>
    <w:p w:rsidR="00BE7FB3" w:rsidRDefault="00BE7FB3" w:rsidP="00BE7FB3">
      <w:pPr>
        <w:pStyle w:val="TextoNormal"/>
      </w:pPr>
      <w:r w:rsidRPr="00BE7FB3">
        <w:rPr>
          <w:rStyle w:val="NumeroAFNegritaCaracter"/>
        </w:rPr>
        <w:t>3</w:t>
      </w:r>
      <w:r>
        <w:t>. Procede, en consecuencia, trasladar aquí las consideraciones que hicimos en el citado Auto, sin que haya razones que justifiquen una conclusión distinta a la alcanzada por este Tribunal en relación a la tasa establecida por la Generalitat de Cataluña.</w:t>
      </w:r>
    </w:p>
    <w:p w:rsidR="00BE7FB3" w:rsidRDefault="00BE7FB3" w:rsidP="00BE7FB3">
      <w:pPr>
        <w:pStyle w:val="TextoNormal"/>
      </w:pPr>
    </w:p>
    <w:p w:rsidR="00BE7FB3" w:rsidRDefault="00BE7FB3" w:rsidP="00BE7FB3">
      <w:pPr>
        <w:pStyle w:val="TextoNormal"/>
      </w:pPr>
      <w:r>
        <w:t xml:space="preserve">a) En primer lugar, y como afirmamos en el fundamento jurídico 2 del citado ATC 122/2013, debemos partir de nuestra doctrina “según la cual, para decidir acerca del mantenimiento o levantamiento de la suspensión acordada por invocación del art. 161.2 CE,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y 60/2013, de 26 de febrero, FJ 2)”. </w:t>
      </w:r>
    </w:p>
    <w:p w:rsidR="00BE7FB3" w:rsidRDefault="00BE7FB3" w:rsidP="00BE7FB3">
      <w:pPr>
        <w:pStyle w:val="TextoNormal"/>
      </w:pPr>
    </w:p>
    <w:p w:rsidR="00BE7FB3" w:rsidRDefault="00BE7FB3" w:rsidP="00BE7FB3">
      <w:pPr>
        <w:pStyle w:val="TextoNormal"/>
      </w:pPr>
      <w:r>
        <w:t xml:space="preserve">b) En cuanto a los intereses en liza, afirmamos en el fundamento jurídico 5 a) del ATC 122/2013, con cita de otros anteriores, la necesidad de que en este caso se ponderen “de una parte, ‘la sostenibilidad del sistema sanitario público [que] impone a todos los poderes públicos la necesidad de adoptar medidas de racionalización y contención del gasto farmacéutico pues es uno de los principales componentes del gasto sanitario y en el que más pueden </w:t>
      </w:r>
      <w:r>
        <w:lastRenderedPageBreak/>
        <w:t xml:space="preserve">incidir las políticas de control del mismo, tanto más necesarias en una situación como la actual caracterizada por una exigente reducción del gasto público. La contención y reducción del gasto farmacéutico es, por tanto, un objetivo a conseguir por la totalidad de las estructuras del Sistema Nacional de Salud’ (ATC 95/2011, de 21 de junio, FJ 5; en el mismo sentido, AATC 96/2011, de 21 de junio, FJ 6; 147/2012, de 16 de julio, FJ 6; 238/2012, de 12 de diciembre, FJ 3; 239/2012, de 12 de diciembre, FJ 6)”. Y, de otra parte, “el interés general de preservar el derecho a la salud consagrado en el art. 43 CE”, contraposición que “también tiene proyecciones individuales puesto que la garantía del derecho a la salud no sólo tiene una dimensión general asociada a la idea de salvaguarda de la salud pública, sino una dimensión particular conectada con la afectación del derecho a la salud individual de las personas receptoras de las medidas adoptadas por los Gobiernos estatal y autonómico”, de modo tal que, “para que este Tribunal pueda valorar los intereses vinculados a la garantía del derecho a la salud, es preciso acudir a lo dispuesto en el art. 43 CE, en relación con el deber de todos los poderes públicos de garantizar a todos los ciudadanos el derecho a la protección de la salud, cuya tutela les corresponde y ha de ser articulada ‘a través de medidas preventivas y de las prestaciones y servicios necesarios (art. 43.1 y 2 CE)’ (STC 126/2008, de 27 de octubre, FJ 6)”. Y finalmente, “si, además del mandato constitucional, se tiene en cuenta, como ya lo ha hecho este Tribunal, la vinculación entre el principio rector del art. 43 CE y el art. 15 CE que recoge el derecho fundamental a la vida y a la integridad física y moral, en el sentido de lo reconocido por el Tribunal Europeo de Derechos Humanos (por todos, asunto </w:t>
      </w:r>
      <w:r w:rsidRPr="00BE7FB3">
        <w:rPr>
          <w:i/>
        </w:rPr>
        <w:t>VO c. Francia</w:t>
      </w:r>
      <w:r>
        <w:t xml:space="preserve"> de 8 de julio de 2004), resulta evidente que los intereses generales y públicos, vinculados a la promoción y garantía del derecho a la salud, son intereses asociados a la defensa de bienes constitucionales particularmente sensibles’ (ATC 239/2012, de 12 de diciembre, FJ 5)” [ATC 122/2013, FJ 5 a)].</w:t>
      </w:r>
    </w:p>
    <w:p w:rsidR="00BE7FB3" w:rsidRDefault="00BE7FB3" w:rsidP="00BE7FB3">
      <w:pPr>
        <w:pStyle w:val="TextoNormal"/>
      </w:pPr>
    </w:p>
    <w:p w:rsidR="00BE7FB3" w:rsidRDefault="00BE7FB3" w:rsidP="00BE7FB3">
      <w:pPr>
        <w:pStyle w:val="TextoNormal"/>
      </w:pPr>
      <w:r>
        <w:t xml:space="preserve">En relación con estos intereses, el Abogado del Estado alega que, a pesar de la reducida cuantía de la tasa (un euro por receta), puede ésta erigirse en barrera que impida el acceso a la prestación farmacéutica de los usuarios con menos recursos y mayores necesidades, puesto que se suma a la aportación (“copago”) regida por la legislación estatal, lo que puede suponer riesgos irreparables para la salud, riesgos concentrados en quienes tienen mayor necesidad de la asistencia farmacéutica. </w:t>
      </w:r>
    </w:p>
    <w:p w:rsidR="00BE7FB3" w:rsidRDefault="00BE7FB3" w:rsidP="00BE7FB3">
      <w:pPr>
        <w:pStyle w:val="TextoNormal"/>
      </w:pPr>
    </w:p>
    <w:p w:rsidR="00BE7FB3" w:rsidRDefault="00BE7FB3" w:rsidP="00BE7FB3">
      <w:pPr>
        <w:pStyle w:val="TextoNormal"/>
      </w:pPr>
      <w:r>
        <w:t xml:space="preserve">Ahora bien, y como afirmamos en el citado ATC 122/2013, FJ 5 a), en relación con la tasa catalana, “desde la perspectiva cautelar propia de este incidente, procede descartar que pueda justificarse en esta alegación el mantenimiento de la suspensión, ya que, como hemos señalado con anterioridad, ‘el perjuicio económico que, para el objetivo de control del déficit supondría el levantamiento de la suspensión parece claro, no puede quedar desvirtuado por el efectivo perjuicio que pudiera derivarse para los individuos usuarios del sistema de salud, al incrementarse el porcentaje de copago’ (ATC 239/2012, de 12 de diciembre, FJ 6). </w:t>
      </w:r>
      <w:r w:rsidRPr="00BE7FB3">
        <w:rPr>
          <w:i/>
        </w:rPr>
        <w:t>Sensu contrario</w:t>
      </w:r>
      <w:r>
        <w:t xml:space="preserve"> al supuesto examinado en el mismo Auto y fundamento jurídico, pero con idéntica razón de decidir, tampoco ahora cabe apreciar una reducción de la calidad y eficacia de la prestación farmacéutica que revierta en una lesión del derecho a la protección de la salud, puesto que los argumentos relativos a la adherencia al tratamiento y al impacto económico de la norma autonómica sobre los pensionistas se formulan con un carácter marcadamente hipotético que en ningún momento se concretan ni justifican”. Consideraciones estas que procede trasladar íntegramente a este incidente.</w:t>
      </w:r>
    </w:p>
    <w:p w:rsidR="00BE7FB3" w:rsidRDefault="00BE7FB3" w:rsidP="00BE7FB3">
      <w:pPr>
        <w:pStyle w:val="TextoNormal"/>
      </w:pPr>
    </w:p>
    <w:p w:rsidR="00BE7FB3" w:rsidRDefault="00BE7FB3" w:rsidP="00BE7FB3">
      <w:pPr>
        <w:pStyle w:val="TextoNormal"/>
      </w:pPr>
      <w:r>
        <w:lastRenderedPageBreak/>
        <w:t>c) En cuanto a los motivos que sustentan la petición de mantenimiento de la suspensión de la “tasa por prestación de servicios administrativos complementarios de información, con ocasión de la emisión de recetas médicas y órdenes de dispensación, por los órganos competentes de la Comunidad de Madrid”, afirmamos en el citado Auto de 21 de mayo de 2013 que “la dificultad de reparación se aprecia también por el Abogado del Estado en los perjuicios económicos que van a soportar los usuarios, por la ‘dificultad de deshacer las situaciones creadas’ (AATC 87/2012, de 10 de mayo, FJ 3 y 161/2012, de 13 de septiembre, FJ 3), ya que, al cobrarse la tasa en el momento de dispensar el medicamento recetado, sería virtualmente imposible la restitución al beneficiario de la prestación farmacéutica de la tasa cobrada durante el tiempo de pendencia del presente proceso, en la eventualidad de que fuera declarada inconstitucional y nula” [ATC 122/2013, FJ 5 b)].</w:t>
      </w:r>
    </w:p>
    <w:p w:rsidR="00BE7FB3" w:rsidRDefault="00BE7FB3" w:rsidP="00BE7FB3">
      <w:pPr>
        <w:pStyle w:val="TextoNormal"/>
      </w:pPr>
    </w:p>
    <w:p w:rsidR="00BE7FB3" w:rsidRDefault="00BE7FB3" w:rsidP="00BE7FB3">
      <w:pPr>
        <w:pStyle w:val="TextoNormal"/>
      </w:pPr>
      <w:r>
        <w:t xml:space="preserve">Lo mismo sucede aquí, ya que el hecho imponible de la tasa está asociado a la prescripción y dispensación de medicamentos y productos sanitarios mediante la emisión de recetas médicas, de manera que también el número de sujetos pasivos afectados, por mucho que pudieran ser identificados a través de la trazabilidad inherente al sistema de receta electrónica, tendría carácter masivo. Ello evidencia, como sucedía en el caso de la tasa establecida por la Generalitat de Cataluña, no sólo el carácter excesivamente oneroso de las cargas, molestias y costes que, en su caso, conllevarían para los sujetos pasivos las operaciones de devolución de las cantidades ya ingresadas, sino también para la propia Administración autonómica, que se vería obligada a arbitrar un procedimiento de devolución individualizado con unos costes de gestión que, incluso, podrían llegar a superar la cuantía recaudada por la propia exacción de la tasa. </w:t>
      </w:r>
    </w:p>
    <w:p w:rsidR="00BE7FB3" w:rsidRDefault="00BE7FB3" w:rsidP="00BE7FB3">
      <w:pPr>
        <w:pStyle w:val="TextoNormal"/>
      </w:pPr>
    </w:p>
    <w:p w:rsidR="00BE7FB3" w:rsidRDefault="00BE7FB3" w:rsidP="00BE7FB3">
      <w:pPr>
        <w:pStyle w:val="TextoNormal"/>
      </w:pPr>
      <w:r>
        <w:t>Concurre así una dificultad de reparación que justifica el mantenimiento de la suspensión, ya que el número de sujetos pasivos afectados tendría igualmente carácter masivo, como se desprende además del propio escrito presentado por la representación legal de la Asamblea de Madrid, que considera que la tasa se aplicaría con ocasión de la emisión de un número de recetas cuyo importe total se estima que pueda ascender a 81.511.733 euros.</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Mantener la suspensión de la vigencia del art. 2, apartado 9, de la Ley de la Asamblea de Madrid 8/2012, de 28 de diciembre, de medidas fiscales y administrativas, que modifica el texto refundido de la Ley de tasas y precios públicos de la Comunidad de Madrid, aprobado por Decreto Legislativo 1/2002, de 24 de octubre y crea dentro del título IV, un nuevo capítulo CVII, en cuyos arts. 530 a 535 se regula la “tasa por prestación de servicios administrativos complementarios de información, con ocasión de la emisión de recetas médicas y órdenes de dispensación, por los órganos competentes de la Comunidad de Madrid”.</w:t>
      </w:r>
    </w:p>
    <w:p w:rsidR="00BE7FB3" w:rsidRDefault="00BE7FB3" w:rsidP="00BE7FB3">
      <w:pPr>
        <w:pStyle w:val="TextoNormal"/>
      </w:pPr>
    </w:p>
    <w:p w:rsidR="00BE7FB3" w:rsidRDefault="00BE7FB3" w:rsidP="00BE7FB3">
      <w:pPr>
        <w:pStyle w:val="TextoNormal"/>
      </w:pPr>
      <w:r>
        <w:t>Madrid, a cuatro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84" w:name="AUTO_2013_143"/>
      <w:r>
        <w:lastRenderedPageBreak/>
        <w:t>AUTO 143/2013, de 4 de junio de 2013</w:t>
      </w:r>
    </w:p>
    <w:bookmarkEnd w:id="284"/>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ECLI:ES:TC:2013:143A</w:t>
      </w:r>
    </w:p>
    <w:p w:rsidR="00BE7FB3" w:rsidRDefault="00BE7FB3" w:rsidP="00BE7FB3">
      <w:pPr>
        <w:pStyle w:val="SntesisDescriptiva"/>
      </w:pPr>
    </w:p>
    <w:p w:rsidR="00BE7FB3" w:rsidRDefault="00BE7FB3" w:rsidP="00BE7FB3">
      <w:pPr>
        <w:pStyle w:val="SntesisDescriptiva"/>
      </w:pPr>
      <w:r>
        <w:t>Excms. Srs. don Pascual Sala Sánchez, doña Adela Asua Batarrita y don Juan José González Rivas.</w:t>
      </w:r>
    </w:p>
    <w:p w:rsidR="00BE7FB3" w:rsidRDefault="00BE7FB3" w:rsidP="00BE7FB3">
      <w:pPr>
        <w:pStyle w:val="SntesisDescriptiva"/>
      </w:pPr>
    </w:p>
    <w:p w:rsidR="00BE7FB3" w:rsidRDefault="00BE7FB3" w:rsidP="00BE7FB3">
      <w:pPr>
        <w:pStyle w:val="SntesisDescriptiva"/>
      </w:pPr>
      <w:r>
        <w:t>Desestima el recurso de súplica del Ministerio Fiscal sobre inadmisión del recurso de amparo 638-2013, promovido por doña Elisabet Sánchez Vallecillo en proceso contencioso-administrativo.</w:t>
      </w:r>
    </w:p>
    <w:p w:rsidR="00BE7FB3" w:rsidRDefault="00BE7FB3" w:rsidP="00BE7FB3">
      <w:pPr>
        <w:pStyle w:val="SntesisDescriptiva"/>
      </w:pPr>
    </w:p>
    <w:p w:rsidR="00BE7FB3" w:rsidRDefault="00BE7FB3" w:rsidP="00BE7FB3">
      <w:pPr>
        <w:pStyle w:val="SntesisAnaltica"/>
      </w:pPr>
      <w:r>
        <w:t>Inadmisión de recurso de amparo: extemporaneidad del recurso de amparo. Plazos procesales: cómputo de plazos a partir de la notificación de la Sentencia; término inicial. Recurso de amparo: plazos del recurso de amparo; cómputo a partir de la notificación al representante. Recurso de súplica contra Autos del Tribunal Constitucional: desestimación de recurso de súplica contra Autos del Tribunal Constitucional.</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presentado en el Registro General de este Tribunal el 29 de enero de 2013, se dedujo recurso de amparo frente a la Sentencia de 28 de septiembre de 2012, dictada por Sección Primera de la Sala de lo Contencioso-Administrativo del Tribunal Superior de Justicia de Madrid recaída en recurso núm. 1014-2012, contra resolución dictada por la Dirección general de policía y guardia civil.</w:t>
      </w:r>
    </w:p>
    <w:p w:rsidR="00BE7FB3" w:rsidRDefault="00BE7FB3" w:rsidP="00BE7FB3">
      <w:pPr>
        <w:pStyle w:val="TextoNormal"/>
      </w:pPr>
    </w:p>
    <w:p w:rsidR="00BE7FB3" w:rsidRDefault="00BE7FB3" w:rsidP="00BE7FB3">
      <w:pPr>
        <w:pStyle w:val="TextoNormal"/>
      </w:pPr>
      <w:r w:rsidRPr="00BE7FB3">
        <w:rPr>
          <w:rStyle w:val="NumeroAFNegritaCaracter"/>
        </w:rPr>
        <w:t>2</w:t>
      </w:r>
      <w:r>
        <w:t>. Por providencia de la Sección Primera de 17 de abril de 2013, se inadmitió la demanda de amparo por extemporaneidad a causa de haberse notificado la Sentencia en fecha 16 de octubre de 2012 a quien actuó como representante procesal de la recurrente.</w:t>
      </w:r>
    </w:p>
    <w:p w:rsidR="00BE7FB3" w:rsidRDefault="00BE7FB3" w:rsidP="00BE7FB3">
      <w:pPr>
        <w:pStyle w:val="TextoNormal"/>
      </w:pPr>
    </w:p>
    <w:p w:rsidR="00BE7FB3" w:rsidRDefault="00BE7FB3" w:rsidP="00BE7FB3">
      <w:pPr>
        <w:pStyle w:val="TextoNormal"/>
      </w:pPr>
      <w:r w:rsidRPr="00BE7FB3">
        <w:rPr>
          <w:rStyle w:val="NumeroAFNegritaCaracter"/>
        </w:rPr>
        <w:t>3</w:t>
      </w:r>
      <w:r>
        <w:t>. Mediante escrito de 20 de mayo de 2013, el Ministerio Fiscal presentó recurso de súplica frente a la providencia de inadmisión.</w:t>
      </w:r>
    </w:p>
    <w:p w:rsidR="00BE7FB3" w:rsidRDefault="00BE7FB3" w:rsidP="00BE7FB3">
      <w:pPr>
        <w:pStyle w:val="TextoNormal"/>
      </w:pPr>
    </w:p>
    <w:p w:rsidR="00BE7FB3" w:rsidRDefault="00BE7FB3" w:rsidP="00BE7FB3">
      <w:pPr>
        <w:pStyle w:val="TextoNormal"/>
      </w:pPr>
      <w:r>
        <w:t>Alega el Ministerio público que la Sentencia que se pretende recurrir fue puesta en comunicación de la Letrada del recurrente, pero dicha notificación carece de eficacia por ser preceptiva la representación por Procurador en el proceso. Por tanto, como quiera que la recurrente tuvo conocimiento de la Sentencia en fecha 22 de enero de 2013 a través de su Letrada, según consta en la copia del correo electrónico aportado por la recurrente, el recurso está interpuesto en plazo.</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Mediante diligencia de ordenación de 22 de mayo de 2013, la Sección Primera del Tribunal Constitucional tuvo por recibido el recurso del Ministerio Fiscal y, de conformidad </w:t>
      </w:r>
      <w:r>
        <w:lastRenderedPageBreak/>
        <w:t>con el art. 50.3 de la Ley Orgánica del Tribunal Constitucional, acordó dar traslado a la recurrente por el plazo de tres días para que alegara lo que estimara oportuno.</w:t>
      </w:r>
    </w:p>
    <w:p w:rsidR="00BE7FB3" w:rsidRDefault="00BE7FB3" w:rsidP="00BE7FB3">
      <w:pPr>
        <w:pStyle w:val="TextoNormal"/>
      </w:pPr>
    </w:p>
    <w:p w:rsidR="00BE7FB3" w:rsidRDefault="00BE7FB3" w:rsidP="00BE7FB3">
      <w:pPr>
        <w:pStyle w:val="TextoNormal"/>
      </w:pPr>
      <w:r w:rsidRPr="00BE7FB3">
        <w:rPr>
          <w:rStyle w:val="NumeroAFNegritaCaracter"/>
        </w:rPr>
        <w:t>5</w:t>
      </w:r>
      <w:r>
        <w:t>. La parte recurrente, mediante escrito de 30 de mayo de 2013, se adhirió al recurso interpuesto por el Ministerio Fiscal.</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En el presente recurso de súplica sostiene el Ministerio Fiscal que la demanda de amparo fue presentada en plazo, puesto que la notificación realizada a la Letrada de la recurrente no fue eficaz al tratarse de un proceso donde era preceptiva la intervención de Procurador.</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En relación a las notificaciones realizadas al representante procesal y el cómputo del </w:t>
      </w:r>
      <w:r w:rsidRPr="00BE7FB3">
        <w:rPr>
          <w:i/>
        </w:rPr>
        <w:t>dies a quo</w:t>
      </w:r>
      <w:r>
        <w:t xml:space="preserve"> del plazo de interposición del amparo, hemos afirmado que la notificación hecha al representante procesal de la parte surte plenos efectos y determina la fecha de inicio del cómputo del plazo para la interposición del recurso de amparo, con independencia de la existencia o no de notificación personal al interesado y del momento en que ésta se produzca (por todas, SSTC 159/1998, de 13 de julio, FJ único; 162/1999, de 27 de septiembre, FJ 1; y 69/2004, de 29 de abril, FJ 2).</w:t>
      </w:r>
    </w:p>
    <w:p w:rsidR="00BE7FB3" w:rsidRDefault="00BE7FB3" w:rsidP="00BE7FB3">
      <w:pPr>
        <w:pStyle w:val="TextoNormal"/>
      </w:pPr>
    </w:p>
    <w:p w:rsidR="00BE7FB3" w:rsidRDefault="00BE7FB3" w:rsidP="00BE7FB3">
      <w:pPr>
        <w:pStyle w:val="TextoNormal"/>
      </w:pPr>
      <w:r>
        <w:t>En este caso, la recurrente había interpuesto el recurso contencioso-administrativo en su propio nombre y había designado como domicilio para notificaciones el de la Letrada que le asistía, quien materialmente actuó como representante procesal de la parte, practicándose la notificación en el domicilio designado en fecha 16 de octubre de 2012, según consta en la certificación remitida.</w:t>
      </w:r>
    </w:p>
    <w:p w:rsidR="00BE7FB3" w:rsidRDefault="00BE7FB3" w:rsidP="00BE7FB3">
      <w:pPr>
        <w:pStyle w:val="TextoNormal"/>
      </w:pPr>
    </w:p>
    <w:p w:rsidR="00BE7FB3" w:rsidRDefault="00BE7FB3" w:rsidP="00BE7FB3">
      <w:pPr>
        <w:pStyle w:val="TextoNormal"/>
      </w:pPr>
      <w:r>
        <w:t>Frente a ello, no puede alegarse ahora que dicha notificación es ineficaz con motivo de que era preceptiva la intervención de Procurador conforme al artículo 23 de la Ley reguladora de la jurisdicción contencioso-administrativa, por cuanto que la demandante había interpuesto el recurso en su propio nombre con asistencia letrada y designado un domicilio para la práctica de notificaciones —el de su Letrada— donde el órgano jurisdiccional practicó las comunicaciones, que fueron eficaces en todo el curso del proceso, por lo que resulta contrario a los propios actos alegar ahora que no lo ha sido para la notificación de la Sentencia. En este sentido, la falta de intervención del Procurador no afecta a la regularidad de las comunicaciones practicadas, que fueron realizadas correctamente por el órgano jurisdiccional, y el hecho de que por parte de éste no se advirtiera la falta de postulación no coloca a la interesada en una situación de indefensión, puesto que la Letrada actuó como representante procesal de la parte y la Sentencia se comunicó en el domicilio que se había designado.</w:t>
      </w:r>
    </w:p>
    <w:p w:rsidR="00BE7FB3" w:rsidRDefault="00BE7FB3" w:rsidP="00BE7FB3">
      <w:pPr>
        <w:pStyle w:val="TextoNormal"/>
      </w:pPr>
    </w:p>
    <w:p w:rsidR="00BE7FB3" w:rsidRDefault="00BE7FB3" w:rsidP="00BE7FB3">
      <w:pPr>
        <w:pStyle w:val="TextoNormal"/>
      </w:pPr>
      <w:r w:rsidRPr="00BE7FB3">
        <w:rPr>
          <w:rStyle w:val="NumeroAFNegritaCaracter"/>
        </w:rPr>
        <w:t>3</w:t>
      </w:r>
      <w:r>
        <w:t>. Por tanto, de conformidad a lo dispuesto en el artículo 50.1 a) en relación con el artículo 44.2 de la Ley Orgánica del Tribunal Constitucional, debe desestimarse el recurso de súplica interpuesto, al haberse notificado válidamente la Sentencia en fecha 16 de octubre de 2012 y haberse interpuesto el recurso extemporáneamente el día 29 de enero de 2013.</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Desestimar el recurso de súplica interpuesto por el Ministerio Fiscal y, en consecuencia, confirmar en su integridad la providencia de 17 de abril de 2013.</w:t>
      </w:r>
    </w:p>
    <w:p w:rsidR="00BE7FB3" w:rsidRDefault="00BE7FB3" w:rsidP="00BE7FB3">
      <w:pPr>
        <w:pStyle w:val="TextoNormal"/>
      </w:pPr>
    </w:p>
    <w:p w:rsidR="00BE7FB3" w:rsidRDefault="00BE7FB3" w:rsidP="00BE7FB3">
      <w:pPr>
        <w:pStyle w:val="TextoNormal"/>
      </w:pPr>
      <w:r>
        <w:t>Madrid, a cuatro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85" w:name="AUTO_2013_144"/>
      <w:r>
        <w:lastRenderedPageBreak/>
        <w:t>AUTO 144/2013, de 5 de junio de 2013</w:t>
      </w:r>
    </w:p>
    <w:bookmarkEnd w:id="285"/>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ECLI:ES:TC:2013:144A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1654-2012, promovido por Paradores de Turismo de España, S.A.,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21 de marzo de 2012, el Procurador de los Tribunales don Santiago Tesorero Díaz, en nombre y representación de Paradores de Turismo de España, S.A., y bajo la dirección del Letrado don Guillermo García Hijas, interpuso recurso de amparo contra Auto de la Sección Primera de la Sala de lo Contencioso-Administrativo del Tribunal Supremo de 26 de enero de 2012 recaído en recurso de casación núm. 6854-2010, interpuesto contra Sentencia de la Sección Segunda de la Audiencia Nacional en recurso núm. 208-2007.</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28 de mayo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al haber intervenido en instancia anterior, toda vez que en su condición de Magistrado de la Sala de lo Contencioso-Administrativo del Tribunal Supremo, formó parte de la Sección Primera de la Sala Tercera del Tribunal Supremo, que dictó el Auto de 26 de enero de 2012, que ha sido impugnado en el citado recurso de amparo.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1654-2012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cinco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86" w:name="AUTO_2013_145"/>
      <w:r>
        <w:lastRenderedPageBreak/>
        <w:t>AUTO 145/2013, de 5 de junio de 2013</w:t>
      </w:r>
    </w:p>
    <w:bookmarkEnd w:id="286"/>
    <w:p w:rsidR="00BE7FB3" w:rsidRDefault="00BE7FB3" w:rsidP="00BE7FB3">
      <w:pPr>
        <w:pStyle w:val="TtuloResolucin"/>
      </w:pPr>
      <w:r>
        <w:t>Sección Cuarta</w:t>
      </w:r>
    </w:p>
    <w:p w:rsidR="00BE7FB3" w:rsidRDefault="00BE7FB3" w:rsidP="00BE7FB3">
      <w:pPr>
        <w:pStyle w:val="TtuloResolucin"/>
      </w:pPr>
    </w:p>
    <w:p w:rsidR="00BE7FB3" w:rsidRDefault="00BE7FB3" w:rsidP="00BE7FB3">
      <w:pPr>
        <w:pStyle w:val="SntesisDescriptiva"/>
      </w:pPr>
      <w:r>
        <w:t>ECLI:ES:TC:2013:145A</w:t>
      </w:r>
    </w:p>
    <w:p w:rsidR="00BE7FB3" w:rsidRDefault="00BE7FB3" w:rsidP="00BE7FB3">
      <w:pPr>
        <w:pStyle w:val="SntesisDescriptiva"/>
      </w:pPr>
    </w:p>
    <w:p w:rsidR="00BE7FB3" w:rsidRDefault="00BE7FB3" w:rsidP="00BE7FB3">
      <w:pPr>
        <w:pStyle w:val="SntesisDescriptiva"/>
      </w:pPr>
      <w:r>
        <w:t>Excms. Srs. don Pablo Pérez Tremps, don Francisco José Hernando Santiago y don Francisco Pérez de los Cobos Orihuel.</w:t>
      </w:r>
    </w:p>
    <w:p w:rsidR="00BE7FB3" w:rsidRDefault="00BE7FB3" w:rsidP="00BE7FB3">
      <w:pPr>
        <w:pStyle w:val="SntesisDescriptiva"/>
      </w:pPr>
    </w:p>
    <w:p w:rsidR="00BE7FB3" w:rsidRDefault="00BE7FB3" w:rsidP="00BE7FB3">
      <w:pPr>
        <w:pStyle w:val="SntesisDescriptiva"/>
      </w:pPr>
      <w:r>
        <w:t>Desestima el recurso de súplica del Ministerio Fiscal sobre inadmisión del recurso de amparo 5048-2012, promovido por don Santos Berganza Zendegui en causa penal.</w:t>
      </w:r>
    </w:p>
    <w:p w:rsidR="00BE7FB3" w:rsidRDefault="00BE7FB3" w:rsidP="00BE7FB3">
      <w:pPr>
        <w:pStyle w:val="SntesisDescriptiva"/>
      </w:pPr>
    </w:p>
    <w:p w:rsidR="00BE7FB3" w:rsidRDefault="00BE7FB3" w:rsidP="00BE7FB3">
      <w:pPr>
        <w:pStyle w:val="SntesisAnaltica"/>
      </w:pPr>
      <w:r>
        <w:t>Inadmisión de recurso de amparo: extemporaneidad del recurso de amparo. Notificación judicial: notificación a través del servicio de notificaciones del Colegio de procuradores. Recurso de súplica contra Autos del Tribunal Constitucional: desestimación.</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el 7 de septiembre de 2012, el Procurador de los Tribunales don Javier Cuevas Rivas, en nombre y representación de don Santos Berganza Zendegui, y bajo la asistencia del Letrado don Atxarte Salvador Navarro, interpuso recurso de amparo contra la providencia de la Sala de lo Penal del Tribunal Supremo de 31 de julio de 2012, por la que se inadmite el incidente de nulidad promovido contra el Auto de 14 de junio de 2012, por el que se inadmite a trámite el recurso de casación núm. 10152-2012 interpuesto contra el Auto de la Sección Segunda de la Sala de lo Penal de la Audiencia Nacional de 14 de marzo de 2011, dictado en el rollo de sala núm. 71-1985.</w:t>
      </w:r>
    </w:p>
    <w:p w:rsidR="00BE7FB3" w:rsidRDefault="00BE7FB3" w:rsidP="00BE7FB3">
      <w:pPr>
        <w:pStyle w:val="TextoNormal"/>
      </w:pPr>
    </w:p>
    <w:p w:rsidR="00BE7FB3" w:rsidRDefault="00BE7FB3" w:rsidP="00BE7FB3">
      <w:pPr>
        <w:pStyle w:val="TextoNormal"/>
      </w:pPr>
      <w:r w:rsidRPr="00BE7FB3">
        <w:rPr>
          <w:rStyle w:val="NumeroAFNegritaCaracter"/>
        </w:rPr>
        <w:t>2</w:t>
      </w:r>
      <w:r>
        <w:t>. La Secretaria de Justicia de la Sección Cuarta de este Tribunal, por diligencia de ordenación de 11 de septiembre de 2012, concedió al recurrente un plazo de diez días para que acreditara fehacientemente la fecha de notificación a su representación procesal de la resolución recurrida en amparo.</w:t>
      </w:r>
    </w:p>
    <w:p w:rsidR="00BE7FB3" w:rsidRDefault="00BE7FB3" w:rsidP="00BE7FB3">
      <w:pPr>
        <w:pStyle w:val="TextoNormal"/>
      </w:pPr>
    </w:p>
    <w:p w:rsidR="00BE7FB3" w:rsidRDefault="00BE7FB3" w:rsidP="00BE7FB3">
      <w:pPr>
        <w:pStyle w:val="TextoNormal"/>
      </w:pPr>
      <w:r w:rsidRPr="00BE7FB3">
        <w:rPr>
          <w:rStyle w:val="NumeroAFNegritaCaracter"/>
        </w:rPr>
        <w:t>3</w:t>
      </w:r>
      <w:r>
        <w:t>. El recurrente, mediante escrito registrado el 1 de octubre de 2012, aportó testimonio de la resolución impugnada y certificado del Secretario de la Sala Segunda del Tribunal Supremo en que se hace constar que el Auto de 14 de junio de 2012 fue notificada al Procurador del recurrente con fecha 22 de junio de 2012, a través del servicio Lexnet.</w:t>
      </w:r>
    </w:p>
    <w:p w:rsidR="00BE7FB3" w:rsidRDefault="00BE7FB3" w:rsidP="00BE7FB3">
      <w:pPr>
        <w:pStyle w:val="TextoNormal"/>
      </w:pPr>
    </w:p>
    <w:p w:rsidR="00BE7FB3" w:rsidRDefault="00BE7FB3" w:rsidP="00BE7FB3">
      <w:pPr>
        <w:pStyle w:val="TextoNormal"/>
      </w:pPr>
      <w:r w:rsidRPr="00BE7FB3">
        <w:rPr>
          <w:rStyle w:val="NumeroAFNegritaCaracter"/>
        </w:rPr>
        <w:t>4</w:t>
      </w:r>
      <w:r>
        <w:t>. La Sección Cuarta de este Tribunal, por providencia de 28 de enero de 2013, inadmitió el recurso de amparo por incurrir en extemporaneidad por haberse prolongado, de modo manifiestamente improcedente, la vía judicial previa [art. 50.1 a), en relación con el art. 44.2 de la Ley Orgánica del Tribunal Constitucional].</w:t>
      </w:r>
    </w:p>
    <w:p w:rsidR="00BE7FB3" w:rsidRDefault="00BE7FB3" w:rsidP="00BE7FB3">
      <w:pPr>
        <w:pStyle w:val="TextoNormal"/>
      </w:pPr>
    </w:p>
    <w:p w:rsidR="00BE7FB3" w:rsidRDefault="00BE7FB3" w:rsidP="00BE7FB3">
      <w:pPr>
        <w:pStyle w:val="TextoNormal"/>
      </w:pPr>
      <w:r w:rsidRPr="00BE7FB3">
        <w:rPr>
          <w:rStyle w:val="NumeroAFNegritaCaracter"/>
        </w:rPr>
        <w:lastRenderedPageBreak/>
        <w:t>5</w:t>
      </w:r>
      <w:r>
        <w:t>. El Ministerio Fiscal, por escrito registrado el 27 de febrero de 2013, interpuso recurso de súplica contra la providencia de inadmisión, afirmando que si bien el incidente de nulidad de actuaciones era manifiestamente improcedente, “existen dudas razonables acerca de la fecha efectiva de notificación del auto de inadmisión del recurso de casación”, ya que si se admite que su notificación “tuvo lugar el 25 de junio de 2012, según consta en el cajetín de notificación al Procurador obrante en la copia de la resolución aportada con la demanda de amparo, la misma se habría presentado dentro del plazo de 30 días hábiles”. En atención a ello, el Ministerio Fiscal solicita que se deje sin efecto la providencia de inadmisión, se repongan las actuaciones al momento anterior a su dictado, y se solicite a la Secretaria de la Sala Segunda del Tribunal Supremo que certifique la fecha exacta de notificación del Auto de 16 de junio de 2012.</w:t>
      </w:r>
    </w:p>
    <w:p w:rsidR="00BE7FB3" w:rsidRDefault="00BE7FB3" w:rsidP="00BE7FB3">
      <w:pPr>
        <w:pStyle w:val="TextoNormal"/>
      </w:pPr>
    </w:p>
    <w:p w:rsidR="00BE7FB3" w:rsidRDefault="00BE7FB3" w:rsidP="00BE7FB3">
      <w:pPr>
        <w:pStyle w:val="TextoNormal"/>
      </w:pPr>
      <w:r w:rsidRPr="00BE7FB3">
        <w:rPr>
          <w:rStyle w:val="NumeroAFNegritaCaracter"/>
        </w:rPr>
        <w:t>6</w:t>
      </w:r>
      <w:r>
        <w:t>. La Secretaría de Justicia de la Sección Cuarta de este Tribunal, por diligencia de ordenación de 5 de marzo de 2013, acordó dar traslado del escrito de súplica al recurrente para que en el plazo de tres días alegara lo que estimaran pertinente en relación con el recurso formulado.</w:t>
      </w:r>
    </w:p>
    <w:p w:rsidR="00BE7FB3" w:rsidRDefault="00BE7FB3" w:rsidP="00BE7FB3">
      <w:pPr>
        <w:pStyle w:val="TextoNormal"/>
      </w:pPr>
    </w:p>
    <w:p w:rsidR="00BE7FB3" w:rsidRDefault="00BE7FB3" w:rsidP="00BE7FB3">
      <w:pPr>
        <w:pStyle w:val="TextoNormal"/>
      </w:pPr>
      <w:r w:rsidRPr="00BE7FB3">
        <w:rPr>
          <w:rStyle w:val="NumeroAFNegritaCaracter"/>
        </w:rPr>
        <w:t>7</w:t>
      </w:r>
      <w:r>
        <w:t>. El recurrente no ha formulado alegaciones.</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El recurso de súplica interpuesto por el Ministerio Fiscal contra la providencia de inadmisión dictada en el presente recurso de amparo debe ser desestimado.</w:t>
      </w:r>
    </w:p>
    <w:p w:rsidR="00BE7FB3" w:rsidRDefault="00BE7FB3" w:rsidP="00BE7FB3">
      <w:pPr>
        <w:pStyle w:val="TextoNormal"/>
      </w:pPr>
    </w:p>
    <w:p w:rsidR="00BE7FB3" w:rsidRDefault="00BE7FB3" w:rsidP="00BE7FB3">
      <w:pPr>
        <w:pStyle w:val="TextoNormal"/>
      </w:pPr>
      <w:r>
        <w:t>El Ministerio Fiscal fundamenta su recurso en la existencia de dudas sobre la fecha de notificación del Auto de 14 de junio de 2012, atendiendo a la fecha que aparece en el cajetín de notificación al Procurador obrante en la copia de la resolución aportada con la demanda de amparo, y solicita que se requiera a la Secretaría de Justicia de la Sala Segunda del Tribunal Supremo para que certifique la fecha exacta de notificación del Auto de 16 de junio de 2012.</w:t>
      </w:r>
    </w:p>
    <w:p w:rsidR="00BE7FB3" w:rsidRDefault="00BE7FB3" w:rsidP="00BE7FB3">
      <w:pPr>
        <w:pStyle w:val="TextoNormal"/>
      </w:pPr>
    </w:p>
    <w:p w:rsidR="00BE7FB3" w:rsidRDefault="00BE7FB3" w:rsidP="00BE7FB3">
      <w:pPr>
        <w:pStyle w:val="TextoNormal"/>
      </w:pPr>
      <w:r>
        <w:t>Pues bien, en la copia del Auto de 16 de junio de 2012 que se adjuntó a la demanda como “documento 1” no aparece ningún cajetín del Colegio de Procuradores de notificación al Procurador del recurrente, simplemente aparece una anotación manuscrita en que figura la expresión “notif: 25-06-2012”. Por otra parte, tal como se ha expuesto en los antecedentes, ya consta en las actuaciones del presente recurso certificado de la Secretaría de Justicia de la Sala de lo Penal del Tribunal Supremo en que se hace constar que la resolución fue notificada con fecha 22 de junio de 2012. De ese modo, careciendo de fehaciencia la anotación manuscrita que figura en la resolución impugnada aportada por el recurrente para acreditar la fecha de notificación y, por el contrario, existiendo ya una certificación del órgano judicial sobre el momento en que la misma se produjo, no existen dudas sobre este extremo que justifiquen una estimación del recurso de súplica.</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Desestimar el recurso de súplica interpuesto por el Ministerio Fiscal y, en consecuencia, confirmar en su integridad la providencia de 28 de enero de 2013.</w:t>
      </w:r>
    </w:p>
    <w:p w:rsidR="00BE7FB3" w:rsidRDefault="00BE7FB3" w:rsidP="00BE7FB3">
      <w:pPr>
        <w:pStyle w:val="TextoNormal"/>
      </w:pPr>
    </w:p>
    <w:p w:rsidR="00BE7FB3" w:rsidRDefault="00BE7FB3" w:rsidP="00BE7FB3">
      <w:pPr>
        <w:pStyle w:val="TextoNormal"/>
      </w:pPr>
      <w:r>
        <w:t>Madrid, a cinco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87" w:name="AUTO_2013_146"/>
      <w:r>
        <w:lastRenderedPageBreak/>
        <w:t>AUTO 146/2013, de 5 de junio de 2013</w:t>
      </w:r>
    </w:p>
    <w:bookmarkEnd w:id="287"/>
    <w:p w:rsidR="00BE7FB3" w:rsidRDefault="00BE7FB3" w:rsidP="00BE7FB3">
      <w:pPr>
        <w:pStyle w:val="TtuloResolucin"/>
      </w:pPr>
      <w:r>
        <w:t>Pleno</w:t>
      </w:r>
    </w:p>
    <w:p w:rsidR="00BE7FB3" w:rsidRDefault="00BE7FB3" w:rsidP="00BE7FB3">
      <w:pPr>
        <w:pStyle w:val="TtuloResolucin"/>
      </w:pPr>
    </w:p>
    <w:p w:rsidR="00BE7FB3" w:rsidRDefault="00BE7FB3" w:rsidP="00BE7FB3">
      <w:pPr>
        <w:pStyle w:val="SntesisDescriptiva"/>
      </w:pPr>
      <w:r>
        <w:t>ECLI:ES:TC:2013:146A</w:t>
      </w:r>
    </w:p>
    <w:p w:rsidR="00BE7FB3" w:rsidRDefault="00BE7FB3" w:rsidP="00BE7FB3">
      <w:pPr>
        <w:pStyle w:val="SntesisDescriptiva"/>
      </w:pPr>
    </w:p>
    <w:p w:rsidR="00BE7FB3" w:rsidRDefault="00BE7FB3" w:rsidP="00BE7FB3">
      <w:pPr>
        <w:pStyle w:val="SntesisDescriptiva"/>
      </w:pPr>
      <w:r>
        <w:t>Excms. Srs. don Pascual Sala Sánchez,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w:t>
      </w:r>
    </w:p>
    <w:p w:rsidR="00BE7FB3" w:rsidRDefault="00BE7FB3" w:rsidP="00BE7FB3">
      <w:pPr>
        <w:pStyle w:val="SntesisDescriptiva"/>
      </w:pPr>
    </w:p>
    <w:p w:rsidR="00BE7FB3" w:rsidRDefault="00BE7FB3" w:rsidP="00BE7FB3">
      <w:pPr>
        <w:pStyle w:val="SntesisDescriptiva"/>
      </w:pPr>
      <w:r>
        <w:t>Mantiene la suspensión acordada en el recurso de inconstitucionalidad 630-2013, interpuesto por el Presidente del Gobierno en relación con la Ley del Parlamento de Cataluña 8/2004, de 23 de diciembre, de horarios comerciales.</w:t>
      </w:r>
    </w:p>
    <w:p w:rsidR="00BE7FB3" w:rsidRDefault="00BE7FB3" w:rsidP="00BE7FB3">
      <w:pPr>
        <w:pStyle w:val="SntesisDescriptiva"/>
      </w:pPr>
    </w:p>
    <w:p w:rsidR="00BE7FB3" w:rsidRDefault="00BE7FB3" w:rsidP="00BE7FB3">
      <w:pPr>
        <w:pStyle w:val="SntesisAnaltica"/>
      </w:pPr>
      <w:r>
        <w:t>Cataluña: competencias en materia de comercio interior. Horarios comerciales: concurrencia de títulos competenciales. Suspensión de disposiciones de las Comunidades Autónomas: acreditación por el Abogado del Estado del perjuicio irreparable; mantenimiento de la suspensión de disposiciones de las Comunidades Autónomas; perjuicios irreparables; ponderación de intereses.</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El 1 de febrero de 2013, el Abogado del Estado, actuando en la representación que legalmente ostenta, interpuso recurso de inconstitucionalidad contra los arts. 1.2 a) a e), 2.1 b), c), d), f), i) y l), 2.2 y 5 del Decreto-ley de Cataluña 4/2012, de 30 de octubre, de medidas en materia de horarios comerciales y determinadas actividades de promoción, invocando el art. 161.2 CE y el art. 30 de la Ley Orgánica del Tribunal Constitucional (LOTC) a los efectos de la suspensión de los preceptos recurridos.</w:t>
      </w:r>
    </w:p>
    <w:p w:rsidR="00BE7FB3" w:rsidRDefault="00BE7FB3" w:rsidP="00BE7FB3">
      <w:pPr>
        <w:pStyle w:val="TextoNormal"/>
      </w:pPr>
    </w:p>
    <w:p w:rsidR="00BE7FB3" w:rsidRDefault="00BE7FB3" w:rsidP="00BE7FB3">
      <w:pPr>
        <w:pStyle w:val="TextoNormal"/>
      </w:pPr>
      <w:r w:rsidRPr="00BE7FB3">
        <w:rPr>
          <w:rStyle w:val="NumeroAFNegritaCaracter"/>
        </w:rPr>
        <w:t>2</w:t>
      </w:r>
      <w:r>
        <w:t>. Por providencia de 26 de febrero de 2013, el Pleno del Tribunal Constitucional acordó admitir a trámite el recurso y tener por invocado el art. 161.2 CE con suspensión de la vigencia y aplicación de los preceptos impugnados. Asimismo acordó dar traslado de la demanda y documentos aportados al Congreso de los Diputados, al Senado, al Gobierno y al Parlamento de Cataluña, para que pudieran personarse y formular alegaciones.</w:t>
      </w:r>
    </w:p>
    <w:p w:rsidR="00BE7FB3" w:rsidRDefault="00BE7FB3" w:rsidP="00BE7FB3">
      <w:pPr>
        <w:pStyle w:val="TextoNormal"/>
      </w:pPr>
    </w:p>
    <w:p w:rsidR="00BE7FB3" w:rsidRDefault="00BE7FB3" w:rsidP="00BE7FB3">
      <w:pPr>
        <w:pStyle w:val="TextoNormal"/>
      </w:pPr>
      <w:r w:rsidRPr="00BE7FB3">
        <w:rPr>
          <w:rStyle w:val="NumeroAFNegritaCaracter"/>
        </w:rPr>
        <w:t>3</w:t>
      </w:r>
      <w:r>
        <w:t>. Por sendos escritos registrados en el Tribunal Constitucional el 6 y 7 de marzo de 2013, los Presidentes del Senado y del Congreso comunicaron la personación de sus respectivas Cámaras en el presente proceso constitucional.</w:t>
      </w:r>
    </w:p>
    <w:p w:rsidR="00BE7FB3" w:rsidRDefault="00BE7FB3" w:rsidP="00BE7FB3">
      <w:pPr>
        <w:pStyle w:val="TextoNormal"/>
      </w:pPr>
    </w:p>
    <w:p w:rsidR="00BE7FB3" w:rsidRDefault="00BE7FB3" w:rsidP="00BE7FB3">
      <w:pPr>
        <w:pStyle w:val="TextoNormal"/>
      </w:pPr>
      <w:r w:rsidRPr="00BE7FB3">
        <w:rPr>
          <w:rStyle w:val="NumeroAFNegritaCaracter"/>
        </w:rPr>
        <w:t>4</w:t>
      </w:r>
      <w:r>
        <w:t xml:space="preserve">. La Letrada de la Generalitat de Cataluña se opuso a la demanda mediante escrito registrado en el Tribunal Constitucional el 22 de marzo de 2013, suplicando, además, el levantamiento de la suspensión sin esperar a que transcurrieran los cinco meses. Alega que el </w:t>
      </w:r>
      <w:r>
        <w:lastRenderedPageBreak/>
        <w:t xml:space="preserve">levantamiento de la suspensión de la vigencia de los preceptos impugnados no ocasiona daños irreversibles o de difícil reparación reales y efectivos a los intereses generales o de terceros, lo que basa en que el Decreto-ley se ha limitado a mantener el </w:t>
      </w:r>
      <w:r w:rsidRPr="00BE7FB3">
        <w:rPr>
          <w:i/>
        </w:rPr>
        <w:t>statu quo</w:t>
      </w:r>
      <w:r>
        <w:t xml:space="preserve"> anterior a la norma impugnada, caracterizado por promover el equilibrio entre los distintos formatos comerciales. Un modelo que permite la accesibilidad de los consumidores a los servicios comerciales y contribuye a la conciliación de la vida laboral y familiar, cuya aplicación no produciría daños irreparables, pues la extensión del horario comercial no se traduce en un incremento del consumo sino que se limita a desplazar a los consumidores de unos formatos comerciales y de unos segmentos horarios a otros. Por el contrario, la prórroga de la suspensión conllevaría la desaparición del modelo comercial de Cataluña, y su desmantelamiento irreversible, ya que los establecimientos de pequeño formato y proximidad no podrían resistir la competencia de las grandes cadenas y en pocos años irían desapareciendo con el consiguiente perjuicio de los consumidores que se verían privados de un comercio de proximidad y del turismo urbano atraído por la oferta comercial de la ciudad.</w:t>
      </w:r>
    </w:p>
    <w:p w:rsidR="00BE7FB3" w:rsidRDefault="00BE7FB3" w:rsidP="00BE7FB3">
      <w:pPr>
        <w:pStyle w:val="TextoNormal"/>
      </w:pPr>
    </w:p>
    <w:p w:rsidR="00BE7FB3" w:rsidRDefault="00BE7FB3" w:rsidP="00BE7FB3">
      <w:pPr>
        <w:pStyle w:val="TextoNormal"/>
      </w:pPr>
      <w:r w:rsidRPr="00BE7FB3">
        <w:rPr>
          <w:rStyle w:val="NumeroAFNegritaCaracter"/>
        </w:rPr>
        <w:t>5</w:t>
      </w:r>
      <w:r>
        <w:t>. Mediante escrito registrado en el Tribunal Constitucional el 22 de marzo de 2013, la Letrada del Parlamento de Cataluña, actuando en representación de este último, presentó alegaciones solicitando, además, el levantamiento anticipado de la suspensión por entender que el mantenimiento de la misma produce, en primer lugar, un vacío normativo que afecta a la regulación general de los establecimientos comerciales así como para los supuestos de exclusión del art. 2 del Decreto-ley de Cataluña. Entiende, en segundo lugar, que del mantenimiento de la suspensión no se obtiene beneficio alguno pero se produce un perjuicio irreparable a la estructura comercial catalana, dado el predominio de los grandes centros comerciales sobre el pequeño comercio. El levantamiento de la suspensión significaría mantener la situación preexistente que hasta la fecha no ha generado ningún perjuicio económico toda vez que la ampliación de horarios solo sería una expectativa de negocio.</w:t>
      </w:r>
    </w:p>
    <w:p w:rsidR="00BE7FB3" w:rsidRDefault="00BE7FB3" w:rsidP="00BE7FB3">
      <w:pPr>
        <w:pStyle w:val="TextoNormal"/>
      </w:pPr>
    </w:p>
    <w:p w:rsidR="00BE7FB3" w:rsidRDefault="00BE7FB3" w:rsidP="00BE7FB3">
      <w:pPr>
        <w:pStyle w:val="TextoNormal"/>
      </w:pPr>
      <w:r w:rsidRPr="00BE7FB3">
        <w:rPr>
          <w:rStyle w:val="NumeroAFNegritaCaracter"/>
        </w:rPr>
        <w:t>6</w:t>
      </w:r>
      <w:r>
        <w:t>. Evacuando el trámite conferido por la providencia del Pleno de 1 de abril de 2013, la Abogacía de Estado, por escrito registrado en el Tribunal Constitucional el 9 de abril de 2013, presentó, en el incidente cautelar, las alegaciones que se resumen a continuación. Antes de proceder a la concreta ponderación de los daños y perjuicios que se ocasionarían por el mantenimiento o levantamiento de la suspensión, expone (a partir de datos obtenidos del Instituto Nacional de Estadística), la situación en que se encuentra el comercio interior en general y, en especial, la situación en que se encuentra el comercio minorista en Cataluña que, en comparación con el del resto de Comunidades Autónomas, habría experimentado una evolución menos positiva, es decir, un porcentaje menor de ocupados en el comercio minorista, una tasa superior de incremento del paro en este tipo de comercio, y un decremento más intenso del número de locales de comercio minorista. Por el contrario, la Comunidad de Madrid, que habría aplicado el modelo más liberalizador, arroja datos mucho mejores, tanto en número de locales comerciales, como en datos de empleo y evolución del índice de precios de consumo.</w:t>
      </w:r>
    </w:p>
    <w:p w:rsidR="00BE7FB3" w:rsidRDefault="00BE7FB3" w:rsidP="00BE7FB3">
      <w:pPr>
        <w:pStyle w:val="TextoNormal"/>
      </w:pPr>
    </w:p>
    <w:p w:rsidR="00BE7FB3" w:rsidRDefault="00BE7FB3" w:rsidP="00BE7FB3">
      <w:pPr>
        <w:pStyle w:val="TextoNormal"/>
      </w:pPr>
      <w:r>
        <w:t xml:space="preserve">En cuanto a los perjuicios irreparables que se ocasionarían como consecuencia del levantamiento de la suspensión, la Abogacía del Estado distingue entre (i) aquellos que vendrían provocados por la restricción del régimen de horarios comerciales y (ii) por la restricción de los periodos para realizar ventas en rebajas. En cuanto a la restricción de horarios expone que la impuesta por el Decreto-ley impugnado a la libertad estatal de horarios tiene una especial trascendencia en relación con el resto del sector comercial nacional y en relación </w:t>
      </w:r>
      <w:r>
        <w:lastRenderedPageBreak/>
        <w:t>con los volúmenes de ventas, por lo que los comerciantes de Cataluña quedan en una posición sustancialmente inferior a los del resto del sector nacional. Además, entiende que incide en las expectativas económicas del sector y en la creación de puestos de trabajo, y que si se generalizase esta práctica legislativa en las Comunidades Autónomas, el Real Decreto-ley del Estado carecería virtualmente de toda eficacia mientras se tramitaran los correspondientes recursos de inconstitucionalidad. Asimismo indica que los intereses de los consumidores se verían lesionados y que los comerciantes que hayan realizado las correspondientes inversiones para poder ampliar su horario hasta los límites permitidos en el Real Decreto-ley estatal se verían perjudicados por el levantamiento de la suspensión.</w:t>
      </w:r>
    </w:p>
    <w:p w:rsidR="00BE7FB3" w:rsidRDefault="00BE7FB3" w:rsidP="00BE7FB3">
      <w:pPr>
        <w:pStyle w:val="TextoNormal"/>
      </w:pPr>
    </w:p>
    <w:p w:rsidR="00BE7FB3" w:rsidRDefault="00BE7FB3" w:rsidP="00BE7FB3">
      <w:pPr>
        <w:pStyle w:val="TextoNormal"/>
      </w:pPr>
      <w:r>
        <w:t>En cuanto a las restricciones a las modalidades de venta que se imponen por el Decreto-ley impugnado, su levantamiento originaría daños irreversibles a los comerciantes. Finalmente entiende que la incidencia que la normativa catalana está generando y puede generar en el comercio minorista, privando a los comerciantes situados en esta Comunidad Autónoma de desarrollar su actividad comercial en un plano de igualdad con el resto, es un perjuicio real inmediato y directo que no puede ser posteriormente reparado.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xml:space="preserve">. Es objeto del presente incidente cautelar determinar si procede el levantamiento anticipado de la suspensión acordada por el Pleno del Tribunal Constitucional, mediante providencia de 26 de febrero de 2013, de los arts. 1.2 letras a) a e), 2.1 letras b), c), d), f), i) y l), 2.2 y 5 del Decreto-ley de Cataluña 4/2012, de 30 de octubre, de medidas en materia de horarios comerciales y determinadas actividades de promoción. El levantamiento de la suspensión, instado en los escritos de contestación a la demanda de los Letrados de la Generalitat y del Parlamento de Cataluña, se fundamenta en que la suspensión de la normativa autonómica con la que se pretende conservar el </w:t>
      </w:r>
      <w:r w:rsidRPr="00BE7FB3">
        <w:rPr>
          <w:i/>
        </w:rPr>
        <w:t>statu quo</w:t>
      </w:r>
      <w:r>
        <w:t xml:space="preserve"> existente, provocaría un daño irreparable al pequeño comercio, sin que se haya acreditado en modo alguno que la liberalización de horarios tenga un efecto beneficioso sobre el consumo. El Abogado del Estado se opuso a lo solicitado de contrario. Entiende que los datos, comparativamente menos favorables del comercio minorista en Cataluña, se deben a la escasa liberalización del sector comercial y que el mantenimiento de la suspensión supondría un daño irreparable para los comerciantes catalanes en relación con el resto de comerciantes, para los consumidores, y en general para el consumo, con especial incidencia en la economía.</w:t>
      </w:r>
    </w:p>
    <w:p w:rsidR="00BE7FB3" w:rsidRDefault="00BE7FB3" w:rsidP="00BE7FB3">
      <w:pPr>
        <w:pStyle w:val="TextoNormal"/>
      </w:pPr>
    </w:p>
    <w:p w:rsidR="00BE7FB3" w:rsidRDefault="00BE7FB3" w:rsidP="00BE7FB3">
      <w:pPr>
        <w:pStyle w:val="TextoNormal"/>
      </w:pPr>
      <w:r w:rsidRPr="00BE7FB3">
        <w:rPr>
          <w:rStyle w:val="NumeroAFNegritaCaracter"/>
        </w:rPr>
        <w:t>2</w:t>
      </w:r>
      <w:r>
        <w:t xml:space="preserve">. Es doctrina de este Tribunal que la solicitud de levantamiento anticipado de la suspensión, sin esperar al transcurso de los cinco meses previstos en el art. 161.2 CE, constituye una solicitud viable procesalmente, y que forma parte de las potestades de este Tribunal la de ratificar o levantar la suspensión dentro de ese plazo (ATC 60/2013, de 26 de febrero, FJ 2). Asimismo, tenemos señalado que para la resolución de este tipo de incidentes de suspensión, resulta necesario ponderar los intereses, tanto el público como los privados o de terceros, que se verían afectados por el levantamiento o mantenimiento de la suspensión, y los daños o perjuicios irreparables que podría ocasionar la resolución adoptada, todo ello al margen de la apreciación de la apariencia de buen derecho </w:t>
      </w:r>
      <w:r w:rsidRPr="00BE7FB3">
        <w:rPr>
          <w:i/>
        </w:rPr>
        <w:t>fumus boni iuris</w:t>
      </w:r>
      <w:r>
        <w:t xml:space="preserve"> de las pretensiones formuladas en la demanda. Finalmente, hemos afirmado que, como consecuencia de la presunción de constitucionalidad que asiste a la norma autonómica impugnada, el mantenimiento de la suspensión requiere que el Gobierno, a quien se debe la iniciativa, no sólo </w:t>
      </w:r>
      <w:r>
        <w:lastRenderedPageBreak/>
        <w:t>invoque la existencia de perjuicios derivados de su aplicación, sino que razone consistentemente sobre su procedencia y la imposible o difícil reparación de dichos perjuicios (ATC 124/2013, de 21 de mayo, FJ 2).</w:t>
      </w:r>
    </w:p>
    <w:p w:rsidR="00BE7FB3" w:rsidRDefault="00BE7FB3" w:rsidP="00BE7FB3">
      <w:pPr>
        <w:pStyle w:val="TextoNormal"/>
      </w:pPr>
    </w:p>
    <w:p w:rsidR="00BE7FB3" w:rsidRDefault="00BE7FB3" w:rsidP="00BE7FB3">
      <w:pPr>
        <w:pStyle w:val="TextoNormal"/>
      </w:pPr>
      <w:r w:rsidRPr="00BE7FB3">
        <w:rPr>
          <w:rStyle w:val="NumeroAFNegritaCaracter"/>
        </w:rPr>
        <w:t>3</w:t>
      </w:r>
      <w:r>
        <w:t>. Son objeto del recurso de inconstitucionalidad en cuyo seno se tramita este incidente cautelar, determinados preceptos, reguladores de los horarios comerciales y periodos de rebajas, del Decreto-ley 4/2012, de 30 de octubre, que trae causa del Real Decreto-ley 20/2012, de 13 de julio, de medidas para garantizar la estabilidad presupuestaria y de fomento de la competitividad, cuyos arts. 27 y 28, que contienen la regulación de horarios y ventas promocionales, han sido dictados en el ejercicio de la competencia que le atribuye el art. 149.1.13 CE (disposición final cuarta del Real Decreto-ley 20/2012). Aunque son reiterados los pronunciamientos de este Tribunal sobre el levantamiento de la suspensión de normas autonómicas en materia de horarios comerciales y ventas promocionales (entre otros, AATC 20/2002, de 12 de febrero, 47/2002, de 21 de marzo, 453/2006, de 12 de diciembre), la presente cuestión incidental presenta una peculiaridad, que la distingue de los precedentes, ajena por completo al fondo de la controversia competencial trabada, cuya viabilidad no puede en modo alguno ser tenida en cuenta en este incidente cautelar.</w:t>
      </w:r>
    </w:p>
    <w:p w:rsidR="00BE7FB3" w:rsidRDefault="00BE7FB3" w:rsidP="00BE7FB3">
      <w:pPr>
        <w:pStyle w:val="TextoNormal"/>
      </w:pPr>
    </w:p>
    <w:p w:rsidR="00BE7FB3" w:rsidRDefault="00BE7FB3" w:rsidP="00BE7FB3">
      <w:pPr>
        <w:pStyle w:val="TextoNormal"/>
      </w:pPr>
      <w:r>
        <w:t>En efecto, y sin entrar en modo alguno en el fondo del recurso planteado por el Estado contra los preceptos antes citados del Decreto-ley autonómico, cabe constatar, a partir de una mera lectura de su exposición de motivos y del escrito de alegaciones de la Generalitat de Cataluña en el que solicita el levantamiento anticipado de la suspensión de la norma autonómica, que ésta ha sido dictada con la finalidad de suspender los efectos de la legislación estatal básica, la cual ha sido impugnada ante este Tribunal por la Generalitat de Cataluña en el recurso de inconstitucionalidad que se tramita con el núm. 1983-2013.</w:t>
      </w:r>
    </w:p>
    <w:p w:rsidR="00BE7FB3" w:rsidRDefault="00BE7FB3" w:rsidP="00BE7FB3">
      <w:pPr>
        <w:pStyle w:val="TextoNormal"/>
      </w:pPr>
    </w:p>
    <w:p w:rsidR="00BE7FB3" w:rsidRDefault="00BE7FB3" w:rsidP="00BE7FB3">
      <w:pPr>
        <w:pStyle w:val="TextoNormal"/>
      </w:pPr>
      <w:r>
        <w:t>Singularidad en la que ha reparado la Abogacía del Estado que invoca el perjuicio que acarrearía para el interés general el levantamiento de la suspensión de la norma autonómica impugnada, consistente en la inaplicación de la normativa estatal que carecería virtualmente de toda eficacia mientras se tramitaran los correspondientes recursos de inconstitucionalidad interpuestos contra ella.</w:t>
      </w:r>
    </w:p>
    <w:p w:rsidR="00BE7FB3" w:rsidRDefault="00BE7FB3" w:rsidP="00BE7FB3">
      <w:pPr>
        <w:pStyle w:val="TextoNormal"/>
      </w:pPr>
    </w:p>
    <w:p w:rsidR="00BE7FB3" w:rsidRDefault="00BE7FB3" w:rsidP="00BE7FB3">
      <w:pPr>
        <w:pStyle w:val="TextoNormal"/>
      </w:pPr>
      <w:r>
        <w:t xml:space="preserve">La exposición de motivos de la norma impugnada reconoce que la situación generada por la entrada en vigor del Real Decreto-ley 20/2012, de 13 de julio, ha comportado “la ruptura del equilibrio competencial existente hasta este momento entre el Estado y la Generalidad, tanto en materia de horarios comerciales como en determinados aspectos de la regulación de las ventas promocionales”, situación frente a la que ha tenido que reaccionar el Gobierno de la Generalidad detallando “de una manera clara en una disposición … cuál es la normativa aplicable en Cataluña en materia de horarios comerciales y en materia de actividades comerciales promocionales, visto el conjunto de modificaciones normativas mencionadas, y en virtud de los títulos competenciales en juego, en defensa de las competencias exclusivas de la Generalidad en materia de comercio”. Señala, además, la exposición de motivos que “las medidas adoptadas en relación al conflicto planteado pueden conducir previsiblemente a la interposición del correspondiente recurso de inconstitucionalidad y considerando la demora inherente a los procedimientos que se sustancian ante el Tribunal Constitucional, se hace necesario aprobar, de manera urgente y como medida cautelar, este Decreto Ley con la finalidad de evitar daños irreparables derivados del impacto de la nueva regulación que ha sido impulsada por el Gobierno del Estado”. Y concluye afirmando que </w:t>
      </w:r>
      <w:r>
        <w:lastRenderedPageBreak/>
        <w:t>“la urgencia dimana precisamente de la necesidad de preservar y clarificar el marco jurídico aplicable en Cataluña hasta el momento en que se produce el pronunciamiento de la autoridad jurisdiccional competente por lo que respecta a los títulos competenciales respectivamente invocados. Se trata de velar por la seguridad jurídica de los operadores y evitar perjuicios inmediatos e irreparables que la prolongación de la actual situación generaría sobre la estructura comercial catalana y sobre la conciliación de la vida laboral y familiar de las cerca de 300.000 personas que trabajan en el comercio al detalle”</w:t>
      </w:r>
    </w:p>
    <w:p w:rsidR="00BE7FB3" w:rsidRDefault="00BE7FB3" w:rsidP="00BE7FB3">
      <w:pPr>
        <w:pStyle w:val="TextoNormal"/>
      </w:pPr>
    </w:p>
    <w:p w:rsidR="00BE7FB3" w:rsidRDefault="00BE7FB3" w:rsidP="00BE7FB3">
      <w:pPr>
        <w:pStyle w:val="TextoNormal"/>
      </w:pPr>
      <w:r>
        <w:t xml:space="preserve">El propósito declarado en los párrafos hasta aquí transcritos se ha visto, además, corroborado por la Letrada de la Generalitat de Cataluña en su escrito de alegaciones. En él reconoce expresamente que el Decreto-ley impugnado “no ha ceñido su regulación al exiguo espacio de regulación autonómica que, con infracción del sistema constitucional de distribución de competencias en materia de comercio interior, ha dejado a salvo el Real Decreto Ley 20/2012”. Afirma, asimismo, que, en ejercicio de las competencia que el art. 121 del Estatuto de Autonomía de Cataluña atribuye a la Comunidad Autónoma en materia de comercio interior, el Decreto-ley impugnado “se aparta de las modificaciones introducidas en la legislación básica estatal por el Real Decreto Ley 20/2012 en aquellos aspectos en que el Gobierno de Cataluña ha estimado que exceden del ámbito de la competencia estatal”, razón por la cual el levantamiento de la suspensión de la norma autonómica no supone daño alguno para el interés general en cuanto que ésta se ha limitado a mantener el </w:t>
      </w:r>
      <w:r w:rsidRPr="00BE7FB3">
        <w:rPr>
          <w:i/>
        </w:rPr>
        <w:t>statu quo</w:t>
      </w:r>
      <w:r>
        <w:t>, esto es, a mantener la situación regulatoria preexistente en Cataluña que debería haberse visto directamente afectada por las medidas liberalizadoras contenidas en el Real Decreto-ley estatal. En este mismo sentido, la Letrada del Parlamento de Cataluña reconoce que los preceptos impugnados son una simple reiteración de la regulación contenida en la Ley del Parlamento de Cataluña 8/2004, de horarios comerciales, de la Ley 7/1996, de 15 de enero de ordenación del comercio minorista y del Decreto 150/1996, de 30 de abril, por el que se establecen los periodos de rebajas, vigentes cuando se aprobó el Real Decreto-ley 20/2012.</w:t>
      </w:r>
    </w:p>
    <w:p w:rsidR="00BE7FB3" w:rsidRDefault="00BE7FB3" w:rsidP="00BE7FB3">
      <w:pPr>
        <w:pStyle w:val="TextoNormal"/>
      </w:pPr>
    </w:p>
    <w:p w:rsidR="00BE7FB3" w:rsidRDefault="00BE7FB3" w:rsidP="00BE7FB3">
      <w:pPr>
        <w:pStyle w:val="TextoNormal"/>
      </w:pPr>
      <w:r w:rsidRPr="00BE7FB3">
        <w:rPr>
          <w:rStyle w:val="NumeroAFNegritaCaracter"/>
        </w:rPr>
        <w:t>4</w:t>
      </w:r>
      <w:r>
        <w:t>. El presente supuesto presenta una identidad sustancial con el resuelto en el ATC 336/2005, de 15 de septiembre. En aquel caso, el Abogado del Estado se oponía al levantamiento de la suspensión de la normativa autonómica impugnada porque “en su criterio, ambas Leyes autonómicas tienen como objetivo bloquear una iniciativa del Gobierno materializada en un proyecto de Ley, actualmente en fase de tramitación parlamentaria, que pretende devolver a la Generalidad de Cataluña y a determinadas personas físicas y jurídicas los fondos documentales que les fueron incautados tras la contienda civil y que se encuentran depositados en el Archivo General de la Guerra Civil, generando así los perjuicios consiguientes al interés general y a los intereses particulares” (FJ 3).</w:t>
      </w:r>
    </w:p>
    <w:p w:rsidR="00BE7FB3" w:rsidRDefault="00BE7FB3" w:rsidP="00BE7FB3">
      <w:pPr>
        <w:pStyle w:val="TextoNormal"/>
      </w:pPr>
    </w:p>
    <w:p w:rsidR="00BE7FB3" w:rsidRDefault="00BE7FB3" w:rsidP="00BE7FB3">
      <w:pPr>
        <w:pStyle w:val="TextoNormal"/>
      </w:pPr>
      <w:r>
        <w:t>Entendimos entonces que “en éste, o en otros supuestos similares, la capacidad de bloqueo de una Ley Autonómica respecto del ejercicio de competencias atribuidas al Estado por el bloque de constitucionalidad excede de las situaciones normales de controversia competencial, por cuanto incluso podría poner en cuestión, hasta eliminarla o desvirtuarla, una competencia estatal claramente reconocida por la Norma Fundamental” (FJ 5).</w:t>
      </w:r>
    </w:p>
    <w:p w:rsidR="00BE7FB3" w:rsidRDefault="00BE7FB3" w:rsidP="00BE7FB3">
      <w:pPr>
        <w:pStyle w:val="TextoNormal"/>
      </w:pPr>
    </w:p>
    <w:p w:rsidR="00BE7FB3" w:rsidRDefault="00BE7FB3" w:rsidP="00BE7FB3">
      <w:pPr>
        <w:pStyle w:val="TextoNormal"/>
      </w:pPr>
      <w:r>
        <w:t xml:space="preserve">Por ello concluimos que, en estos supuestos de clara trascendencia constitucional, no cabía seguir la doctrina de este tribunal sobre la necesidad de acreditar o demostrar los perjuicios que conllevaría el levantamiento de la suspensión: “Por ello, en estos supuestos, cuando se esté ante un caso de clara trascendencia constitucional que afecte a todo, o a parte, </w:t>
      </w:r>
      <w:r>
        <w:lastRenderedPageBreak/>
        <w:t>del conjunto normativo de una Ley y pese a que la doctrina de este Tribunal haya abundado, como igualmente se ha puesto de relieve con anterioridad en el FJ 2, en el criterio de que constituye una carga de la Administración recurrente, por medio de su representación procesal, señalar, e incluso evidenciar, los perjuicios que para el interés general pudieran derivarse del levantamiento de la suspensión reconocida por el art. 161.2 CE, este Tribunal Constitucional no puede limitarse a seguir inexorablemente esa doctrina, que en definitiva vincula el mantenimiento o levantamiento de la suspensión de las disposiciones de que aquí se trata a que el Abogado del Estado haya presentado ante este Tribunal una argumentación indicativa o, más aún, demostrativa del mencionado perjuicio a los intereses generales que derivarían del tan repetido levantamiento de la suspensión” (FJ 5).</w:t>
      </w:r>
    </w:p>
    <w:p w:rsidR="00BE7FB3" w:rsidRDefault="00BE7FB3" w:rsidP="00BE7FB3">
      <w:pPr>
        <w:pStyle w:val="TextoNormal"/>
      </w:pPr>
    </w:p>
    <w:p w:rsidR="00BE7FB3" w:rsidRDefault="00BE7FB3" w:rsidP="00BE7FB3">
      <w:pPr>
        <w:pStyle w:val="TextoNormal"/>
      </w:pPr>
      <w:r>
        <w:t>Si bien es verdad que, a diferencia del caso analizado en el ATC 336/2005 citado, los límites de la competencia estatal no son claros e inequívocos, cuestión sobre la que habremos de pronunciarnos en el momento procesal oportuno, la finalidad expuesta en la norma impugnada de ejercer una competencia propia para bloquear el ejercicio por el Estado de las suyas, constituye un supuesto de clara trascendencia constitucional que debe llevarnos al mantenimiento de la suspensión de la norma autonómica impugnada mientras se determina por este Tribunal la conformidad con la distribución competencial de las normativas, estatal y autonómica, impugnadas.</w:t>
      </w:r>
    </w:p>
    <w:p w:rsidR="00BE7FB3" w:rsidRDefault="00BE7FB3" w:rsidP="00BE7FB3">
      <w:pPr>
        <w:pStyle w:val="TextoNormal"/>
      </w:pPr>
    </w:p>
    <w:p w:rsidR="00BE7FB3" w:rsidRDefault="00BE7FB3" w:rsidP="00BE7FB3">
      <w:pPr>
        <w:pStyle w:val="TextoNormal"/>
      </w:pPr>
      <w:r>
        <w:t>Por todo lo expuesto, el Pleno</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Mantener la suspensión de los arts. 1.2, letras a) a e) de la Ley del Parlamento de Cataluña 8/2004, de 23 de diciembre, de horarios comerciales, en la redacción dada por el art. 1 del Decreto-ley 4/2012; los arts. 2.1, letras b), c), d), f), i) y j) y 2.2 de la misma Ley 8/2004, en la redacción dada por el art. 2 del Decreto-ley 4/2012 y el art. 5 del Decreto-ley 4/2012.</w:t>
      </w:r>
    </w:p>
    <w:p w:rsidR="00BE7FB3" w:rsidRDefault="00BE7FB3" w:rsidP="00BE7FB3">
      <w:pPr>
        <w:pStyle w:val="TextoNormal"/>
      </w:pPr>
    </w:p>
    <w:p w:rsidR="00BE7FB3" w:rsidRDefault="00BE7FB3" w:rsidP="00BE7FB3">
      <w:pPr>
        <w:pStyle w:val="TextoNormal"/>
      </w:pPr>
      <w:r>
        <w:t>Madrid, a cinco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88" w:name="AUTO_2013_147"/>
      <w:r>
        <w:lastRenderedPageBreak/>
        <w:t>AUTO 147/2013, de 5 de junio de 2013</w:t>
      </w:r>
    </w:p>
    <w:bookmarkEnd w:id="288"/>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ECLI:ES:TC:2013:147A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2545-2013, promovido por don Armando Henríquez Godoy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26 de abril de 2013, la Procuradora de los Tribunales doña Raquel Nieto Bolaño, en nombre y representación de don Armando Henríquez Godoy, interpuso demanda de amparo contra Sentencia de la Sección Segunda de la Sala de lo Contencioso-Administrativo del Tribunal Supremo recaído en recurso de casación núm. 79-2011, contra Sentencia dictada por la Sala de lo Contencioso-Administrativo del Tribunal Superior de Justicia de Canarias en recurso núm. 103-2010.</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24 de mayo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 80), al haber formado parte de la Sección Primera de la Sala Tercera del Tribunal Supremo, que dictó el Auto de 20 de octubre de 2011, por el que se admitía a trámite el recurso de casación 79-2011, ahora impugnado en amparo.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2545-2013 y apartarle definitivamente del conocimiento del referido recurso y de todas sus incidencias.</w:t>
      </w:r>
    </w:p>
    <w:p w:rsidR="00BE7FB3" w:rsidRDefault="00BE7FB3" w:rsidP="00BE7FB3">
      <w:pPr>
        <w:pStyle w:val="TextoNormal"/>
      </w:pPr>
    </w:p>
    <w:p w:rsidR="00BE7FB3" w:rsidRDefault="00BE7FB3" w:rsidP="00BE7FB3">
      <w:pPr>
        <w:pStyle w:val="TextoNormal"/>
      </w:pPr>
      <w:r>
        <w:t>Madrid, a cinco de junio de dos mil trece.</w:t>
      </w:r>
    </w:p>
    <w:p w:rsidR="00BE7FB3" w:rsidRDefault="00BE7FB3">
      <w:pPr>
        <w:spacing w:after="160" w:line="259" w:lineRule="auto"/>
        <w:rPr>
          <w:rFonts w:ascii="Times New Roman" w:eastAsia="Times New Roman" w:hAnsi="Times New Roman" w:cs="Times New Roman"/>
          <w:sz w:val="24"/>
          <w:szCs w:val="24"/>
          <w:lang w:eastAsia="es-ES"/>
        </w:rPr>
      </w:pPr>
      <w:r>
        <w:br w:type="page"/>
      </w:r>
    </w:p>
    <w:p w:rsidR="00BE7FB3" w:rsidRDefault="00BE7FB3" w:rsidP="00BE7FB3">
      <w:pPr>
        <w:pStyle w:val="TtuloResolucin"/>
      </w:pPr>
      <w:bookmarkStart w:id="289" w:name="AUTO_2013_148"/>
      <w:r>
        <w:lastRenderedPageBreak/>
        <w:t>AUTO 148/2013, de 11 de junio de 2013</w:t>
      </w:r>
    </w:p>
    <w:bookmarkEnd w:id="289"/>
    <w:p w:rsidR="00BE7FB3" w:rsidRDefault="00BE7FB3" w:rsidP="00BE7FB3">
      <w:pPr>
        <w:pStyle w:val="TtuloResolucin"/>
      </w:pPr>
      <w:r>
        <w:t>Sección Primera</w:t>
      </w:r>
    </w:p>
    <w:p w:rsidR="00BE7FB3" w:rsidRDefault="00BE7FB3" w:rsidP="00BE7FB3">
      <w:pPr>
        <w:pStyle w:val="TtuloResolucin"/>
      </w:pPr>
    </w:p>
    <w:p w:rsidR="00BE7FB3" w:rsidRDefault="00BE7FB3" w:rsidP="00BE7FB3">
      <w:pPr>
        <w:pStyle w:val="SntesisDescriptiva"/>
      </w:pPr>
      <w:r>
        <w:t>ECLI:ES:TC:2013:148A</w:t>
      </w:r>
    </w:p>
    <w:p w:rsidR="00BE7FB3" w:rsidRDefault="00BE7FB3" w:rsidP="00BE7FB3">
      <w:pPr>
        <w:pStyle w:val="SntesisDescriptiva"/>
      </w:pPr>
    </w:p>
    <w:p w:rsidR="00BE7FB3" w:rsidRDefault="00BE7FB3" w:rsidP="00BE7FB3">
      <w:pPr>
        <w:pStyle w:val="SntesisDescriptiva"/>
      </w:pPr>
      <w:r>
        <w:t>Excms. Srs. don Pascual Sala Sánchez y doña Adela Asua Batarrita.</w:t>
      </w:r>
    </w:p>
    <w:p w:rsidR="00BE7FB3" w:rsidRDefault="00BE7FB3" w:rsidP="00BE7FB3">
      <w:pPr>
        <w:pStyle w:val="SntesisDescriptiva"/>
      </w:pPr>
    </w:p>
    <w:p w:rsidR="00BE7FB3" w:rsidRDefault="00BE7FB3" w:rsidP="00BE7FB3">
      <w:pPr>
        <w:pStyle w:val="SntesisDescriptiva"/>
      </w:pPr>
      <w:r>
        <w:t>Acepta una abstención en el recurso de amparo 2406-2013, promovido por Juscaryas, S.L., en proceso contencioso-administrativo.</w:t>
      </w:r>
    </w:p>
    <w:p w:rsidR="00BE7FB3" w:rsidRDefault="00BE7FB3" w:rsidP="00BE7FB3">
      <w:pPr>
        <w:pStyle w:val="SntesisDescriptiva"/>
      </w:pPr>
    </w:p>
    <w:p w:rsidR="00BE7FB3" w:rsidRDefault="00BE7FB3" w:rsidP="00BE7FB3">
      <w:pPr>
        <w:pStyle w:val="SntesisAnaltica"/>
      </w:pPr>
      <w:r>
        <w:t>Abstención de Magistrados del Tribunal Constitucional: acepta; intervención en la vía judicial previa.</w:t>
      </w:r>
    </w:p>
    <w:p w:rsidR="00BE7FB3" w:rsidRDefault="00BE7FB3" w:rsidP="00BE7FB3">
      <w:pPr>
        <w:pStyle w:val="SntesisAnaltica"/>
      </w:pPr>
    </w:p>
    <w:p w:rsidR="00BE7FB3" w:rsidRDefault="00BE7FB3" w:rsidP="00BE7FB3">
      <w:pPr>
        <w:pStyle w:val="SntesisAnaltica"/>
      </w:pPr>
    </w:p>
    <w:p w:rsidR="00BE7FB3" w:rsidRDefault="00BE7FB3" w:rsidP="00BE7FB3">
      <w:pPr>
        <w:pStyle w:val="SntesisAnaltica"/>
      </w:pPr>
    </w:p>
    <w:p w:rsidR="00BE7FB3" w:rsidRDefault="00BE7FB3" w:rsidP="00BE7FB3">
      <w:pPr>
        <w:pStyle w:val="TextoNormalNegritaCentrado"/>
      </w:pPr>
      <w:r>
        <w:t>AUTO</w:t>
      </w:r>
    </w:p>
    <w:p w:rsidR="00BE7FB3" w:rsidRDefault="00BE7FB3" w:rsidP="00BE7FB3">
      <w:pPr>
        <w:pStyle w:val="TextoNormalNegritaCentrado"/>
      </w:pPr>
    </w:p>
    <w:p w:rsidR="00BE7FB3" w:rsidRDefault="00BE7FB3" w:rsidP="00BE7FB3">
      <w:pPr>
        <w:pStyle w:val="TextoNormalNegritaCentrado"/>
        <w:keepNext/>
      </w:pPr>
      <w:r>
        <w:t>I. Antecedentes</w:t>
      </w:r>
    </w:p>
    <w:p w:rsidR="00BE7FB3" w:rsidRDefault="00BE7FB3" w:rsidP="00BE7FB3">
      <w:pPr>
        <w:pStyle w:val="TextoNormalNegritaCentrado"/>
        <w:keepNext/>
      </w:pPr>
    </w:p>
    <w:p w:rsidR="00BE7FB3" w:rsidRDefault="00BE7FB3" w:rsidP="00BE7FB3">
      <w:pPr>
        <w:pStyle w:val="TextoNormal"/>
      </w:pPr>
      <w:r w:rsidRPr="00BE7FB3">
        <w:rPr>
          <w:rStyle w:val="NumeroAFNegritaCaracter"/>
        </w:rPr>
        <w:t>1</w:t>
      </w:r>
      <w:r>
        <w:t>. Mediante escrito registrado en este Tribunal el 22 de abril de 2013, la Procuradora de los Tribunales doña Consuelo Rodríguez Chacón, en nombre y representación de Juscaryas, S.L., y bajo la dirección del Letrado don Miguel Ángel Petit Segura, interpuso demanda de amparo contra Auto de la Sección Primera de la Sala de lo Contencioso-Administrativo del Tribunal Supremo de 15 de marzo de 2012 recaído en recurso de casación núm. 4461-2010, interpuesto contra Sentencia dictada por la Sección Séptima de la Audiencia Nacional en recurso núm. 391-2008.</w:t>
      </w:r>
    </w:p>
    <w:p w:rsidR="00BE7FB3" w:rsidRDefault="00BE7FB3" w:rsidP="00BE7FB3">
      <w:pPr>
        <w:pStyle w:val="TextoNormal"/>
      </w:pPr>
    </w:p>
    <w:p w:rsidR="00BE7FB3" w:rsidRDefault="00BE7FB3" w:rsidP="00BE7FB3">
      <w:pPr>
        <w:pStyle w:val="TextoNormal"/>
      </w:pPr>
      <w:r w:rsidRPr="00BE7FB3">
        <w:rPr>
          <w:rStyle w:val="NumeroAFNegritaCaracter"/>
        </w:rPr>
        <w:t>2</w:t>
      </w:r>
      <w:r>
        <w:t>. Por escrito de 5 de junio de 2013, el Magistrado Excmo. Sr. don Juan José González Rivas manifestó su voluntad de abstenerse en el presente recurso de amparo y todas sus incidencias, por entender que concurría la causa establecida en el art. 219.11 de la Ley Orgánica del Poder Judicial, supletoria de la Ley Orgánica 2/1979, al haber intervenido en instancia anterior en su condición de Magistrado de la Sala de lo Contencioso-Administrativo del Tribunal Supremo, formó parte de la Sección Primera de la Sala Tercera del Tribunal Supremo que dictó el Auto de 15 de marzo de 2012, que ha sido impugnado en el citado recurso de amparo.</w:t>
      </w:r>
    </w:p>
    <w:p w:rsidR="00BE7FB3" w:rsidRDefault="00BE7FB3" w:rsidP="00BE7FB3">
      <w:pPr>
        <w:pStyle w:val="TextoNormal"/>
      </w:pPr>
    </w:p>
    <w:p w:rsidR="00BE7FB3" w:rsidRDefault="00BE7FB3" w:rsidP="00BE7FB3">
      <w:pPr>
        <w:pStyle w:val="TextoNormalNegritaCentrado"/>
        <w:keepNext/>
      </w:pPr>
      <w:r>
        <w:t>II. Fundamentos jurídicos</w:t>
      </w:r>
    </w:p>
    <w:p w:rsidR="00BE7FB3" w:rsidRDefault="00BE7FB3" w:rsidP="00BE7FB3">
      <w:pPr>
        <w:pStyle w:val="TextoNormalNegritaCentrado"/>
        <w:keepNext/>
      </w:pPr>
    </w:p>
    <w:p w:rsidR="00BE7FB3" w:rsidRDefault="00BE7FB3" w:rsidP="00BE7FB3">
      <w:pPr>
        <w:pStyle w:val="TextoNormal"/>
      </w:pPr>
      <w:r w:rsidRPr="002641D4">
        <w:rPr>
          <w:rStyle w:val="NumeroAFNegritaCaracter"/>
        </w:rPr>
        <w:t>Único.</w:t>
      </w:r>
      <w:r>
        <w:t xml:space="preserve">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BE7FB3" w:rsidRDefault="00BE7FB3" w:rsidP="00BE7FB3">
      <w:pPr>
        <w:pStyle w:val="TextoNormal"/>
      </w:pPr>
    </w:p>
    <w:p w:rsidR="00BE7FB3" w:rsidRDefault="00BE7FB3" w:rsidP="00BE7FB3">
      <w:pPr>
        <w:pStyle w:val="TextoNormal"/>
      </w:pPr>
      <w:r>
        <w:t>Por todo lo expuesto, la Sección</w:t>
      </w:r>
    </w:p>
    <w:p w:rsidR="00BE7FB3" w:rsidRDefault="00BE7FB3" w:rsidP="00BE7FB3">
      <w:pPr>
        <w:pStyle w:val="TextoNormal"/>
      </w:pPr>
    </w:p>
    <w:p w:rsidR="00BE7FB3" w:rsidRDefault="00BE7FB3" w:rsidP="00BE7FB3">
      <w:pPr>
        <w:pStyle w:val="TextoNormalCentrado"/>
      </w:pPr>
      <w:r>
        <w:t>ACUERDA</w:t>
      </w:r>
    </w:p>
    <w:p w:rsidR="00BE7FB3" w:rsidRDefault="00BE7FB3" w:rsidP="00BE7FB3">
      <w:pPr>
        <w:pStyle w:val="TextoNormalCentrado"/>
      </w:pPr>
    </w:p>
    <w:p w:rsidR="00BE7FB3" w:rsidRDefault="00BE7FB3" w:rsidP="00BE7FB3">
      <w:pPr>
        <w:pStyle w:val="TextoNormal"/>
      </w:pPr>
      <w:r>
        <w:t>Estimar justificada la abstención formulada por el Magistrado Excmo. Sr. don Juan José González Rivas en el recurso de amparo núm. 2406-2013 y apartarle definitivamente del conocimiento del referido recurso y de todas sus incidencias.</w:t>
      </w:r>
    </w:p>
    <w:p w:rsidR="00BE7FB3" w:rsidRDefault="00BE7FB3" w:rsidP="00BE7FB3">
      <w:pPr>
        <w:pStyle w:val="TextoNormal"/>
      </w:pPr>
    </w:p>
    <w:p w:rsidR="00BE7FB3" w:rsidRDefault="00BE7FB3" w:rsidP="00E27756">
      <w:pPr>
        <w:pStyle w:val="TextoNormal"/>
      </w:pPr>
      <w:r>
        <w:t>Madrid, a once de junio de dos mil trece.</w:t>
      </w:r>
    </w:p>
    <w:p w:rsidR="00E27756" w:rsidRDefault="00E27756">
      <w:pPr>
        <w:spacing w:after="160" w:line="259" w:lineRule="auto"/>
        <w:rPr>
          <w:rFonts w:ascii="Times New Roman" w:eastAsia="Times New Roman" w:hAnsi="Times New Roman" w:cs="Times New Roman"/>
          <w:sz w:val="24"/>
          <w:szCs w:val="24"/>
          <w:lang w:eastAsia="es-ES"/>
        </w:rPr>
      </w:pPr>
      <w:r>
        <w:br w:type="page"/>
      </w:r>
    </w:p>
    <w:p w:rsidR="00E27756" w:rsidRDefault="00E27756" w:rsidP="00BE7FB3">
      <w:pPr>
        <w:pStyle w:val="ParrafoNormal"/>
      </w:pPr>
    </w:p>
    <w:p w:rsidR="00E27756" w:rsidRDefault="00E27756" w:rsidP="00E27756">
      <w:pPr>
        <w:pStyle w:val="TextoNormal"/>
      </w:pPr>
    </w:p>
    <w:p w:rsidR="00E27756" w:rsidRDefault="00E27756" w:rsidP="00E27756">
      <w:pPr>
        <w:pStyle w:val="TextoNormal"/>
      </w:pPr>
    </w:p>
    <w:p w:rsidR="00E27756" w:rsidRDefault="00E27756" w:rsidP="00E27756">
      <w:pPr>
        <w:pStyle w:val="TextoNormal"/>
      </w:pPr>
    </w:p>
    <w:p w:rsidR="001722C6" w:rsidRDefault="00E27756" w:rsidP="00E27756">
      <w:pPr>
        <w:pStyle w:val="Ttulondice"/>
        <w:suppressAutoHyphens/>
      </w:pPr>
      <w:r>
        <w:t xml:space="preserve">3. ÍNDICE DE </w:t>
      </w:r>
      <w:r w:rsidR="001722C6" w:rsidRPr="001722C6">
        <w:t xml:space="preserve">DISPOSICIONES CON </w:t>
      </w:r>
    </w:p>
    <w:p w:rsidR="00E27756" w:rsidRDefault="001722C6" w:rsidP="00E27756">
      <w:pPr>
        <w:pStyle w:val="Ttulondice"/>
        <w:suppressAutoHyphens/>
      </w:pPr>
      <w:r w:rsidRPr="001722C6">
        <w:t>RANGO DE LEY IMPUGNADAS</w:t>
      </w: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pPr>
    </w:p>
    <w:p w:rsidR="00E27756" w:rsidRDefault="00E27756" w:rsidP="00E27756">
      <w:pPr>
        <w:pStyle w:val="TextoNormal"/>
      </w:pPr>
      <w:bookmarkStart w:id="290" w:name="INDICE22802"/>
      <w:bookmarkEnd w:id="290"/>
    </w:p>
    <w:p w:rsidR="00E27756" w:rsidRDefault="00E85921" w:rsidP="00E27756">
      <w:pPr>
        <w:pStyle w:val="TextoIndiceNivel2"/>
        <w:suppressAutoHyphens/>
      </w:pPr>
      <w:r>
        <w:t>A) Disposiciones con fuerza de ley del Estado</w:t>
      </w:r>
    </w:p>
    <w:p w:rsidR="00E27756" w:rsidRDefault="00E27756" w:rsidP="00E27756">
      <w:pPr>
        <w:pStyle w:val="TextoIndiceNivel2"/>
      </w:pPr>
    </w:p>
    <w:p w:rsidR="00E27756" w:rsidRDefault="00E27756" w:rsidP="00E27756">
      <w:pPr>
        <w:pStyle w:val="TextoNormalNegritaCursivandice"/>
      </w:pPr>
      <w:r>
        <w:t>Ley 2/1974, de 13 de febrero. Colegios profesionales</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89" w:history="1">
        <w:r w:rsidRPr="00E27756">
          <w:rPr>
            <w:rStyle w:val="TextoNormalCaracter"/>
          </w:rPr>
          <w:t>89/2013</w:t>
        </w:r>
      </w:hyperlink>
      <w:r>
        <w:t>.</w:t>
      </w:r>
    </w:p>
    <w:p w:rsidR="00E27756" w:rsidRDefault="00E27756" w:rsidP="00E27756">
      <w:pPr>
        <w:pStyle w:val="SangriaFrancesaArticulo"/>
      </w:pPr>
    </w:p>
    <w:p w:rsidR="00E27756" w:rsidRDefault="00E27756" w:rsidP="00E27756">
      <w:pPr>
        <w:pStyle w:val="TextoNormalNegritaCursivandice"/>
      </w:pPr>
      <w:r>
        <w:t>Ley 7/1985, de 2 de abril. Reguladora de bases del régimen local</w:t>
      </w:r>
    </w:p>
    <w:p w:rsidR="00E27756" w:rsidRDefault="00E27756" w:rsidP="00E27756">
      <w:pPr>
        <w:pStyle w:val="SangriaFrancesaArticulo"/>
      </w:pPr>
      <w:r w:rsidRPr="00E27756">
        <w:rPr>
          <w:rStyle w:val="TextoNormalNegritaCaracter"/>
        </w:rPr>
        <w:t>Artículo 126.2 párrafo 2 inciso 1.</w:t>
      </w:r>
      <w:r w:rsidRPr="00E27756">
        <w:rPr>
          <w:rStyle w:val="TextoNormalCaracter"/>
        </w:rPr>
        <w:t>-</w:t>
      </w:r>
      <w:r>
        <w:t xml:space="preserve"> Sentencia </w:t>
      </w:r>
      <w:hyperlink w:anchor="SENTENCIA_2013_103" w:history="1">
        <w:r w:rsidRPr="00E27756">
          <w:rPr>
            <w:rStyle w:val="TextoNormalCaracter"/>
          </w:rPr>
          <w:t>103/2013</w:t>
        </w:r>
      </w:hyperlink>
      <w:r>
        <w:t xml:space="preserve"> (anula).</w:t>
      </w:r>
    </w:p>
    <w:p w:rsidR="00E27756" w:rsidRDefault="00E27756" w:rsidP="00E27756">
      <w:pPr>
        <w:pStyle w:val="SangriaFrancesaArticulo"/>
      </w:pPr>
      <w:r w:rsidRPr="00E27756">
        <w:rPr>
          <w:rStyle w:val="TextoNormalNegritaCaracter"/>
        </w:rPr>
        <w:t>Artículo 126.5.</w:t>
      </w:r>
      <w:r w:rsidRPr="00E27756">
        <w:rPr>
          <w:rStyle w:val="TextoNormalCaracter"/>
        </w:rPr>
        <w:t>-</w:t>
      </w:r>
      <w:r>
        <w:t xml:space="preserve"> Sentencia </w:t>
      </w:r>
      <w:hyperlink w:anchor="SENTENCIA_2013_103" w:history="1">
        <w:r w:rsidRPr="00E27756">
          <w:rPr>
            <w:rStyle w:val="TextoNormalCaracter"/>
          </w:rPr>
          <w:t>103/2013</w:t>
        </w:r>
      </w:hyperlink>
      <w:r>
        <w:t>.</w:t>
      </w:r>
    </w:p>
    <w:p w:rsidR="00E27756" w:rsidRDefault="00E27756" w:rsidP="00E27756">
      <w:pPr>
        <w:pStyle w:val="SangriaFrancesaArticulo"/>
      </w:pPr>
      <w:r w:rsidRPr="00E27756">
        <w:rPr>
          <w:rStyle w:val="TextoNormalNegritaCaracter"/>
        </w:rPr>
        <w:t>Artículo 130.1 b).</w:t>
      </w:r>
      <w:r w:rsidRPr="00E27756">
        <w:rPr>
          <w:rStyle w:val="TextoNormalCaracter"/>
        </w:rPr>
        <w:t>-</w:t>
      </w:r>
      <w:r>
        <w:t xml:space="preserve"> Sentencia </w:t>
      </w:r>
      <w:hyperlink w:anchor="SENTENCIA_2013_103" w:history="1">
        <w:r w:rsidRPr="00E27756">
          <w:rPr>
            <w:rStyle w:val="TextoNormalCaracter"/>
          </w:rPr>
          <w:t>103/2013</w:t>
        </w:r>
      </w:hyperlink>
      <w:r>
        <w:t xml:space="preserve"> (interpreta).</w:t>
      </w:r>
    </w:p>
    <w:p w:rsidR="00E27756" w:rsidRDefault="00E27756" w:rsidP="00E27756">
      <w:pPr>
        <w:pStyle w:val="SangriaFrancesaArticulo"/>
      </w:pPr>
      <w:r w:rsidRPr="00E27756">
        <w:rPr>
          <w:rStyle w:val="TextoNormalNegritaCaracter"/>
        </w:rPr>
        <w:t>Disposición adicional séptima</w:t>
      </w:r>
      <w:r>
        <w:t xml:space="preserve"> </w:t>
      </w:r>
      <w:r w:rsidRPr="00E27756">
        <w:rPr>
          <w:rStyle w:val="TextoNormalCaracter"/>
        </w:rPr>
        <w:t>(redactada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xml:space="preserve"> (interpreta).</w:t>
      </w:r>
    </w:p>
    <w:p w:rsidR="00E27756" w:rsidRDefault="00E27756" w:rsidP="00E27756">
      <w:pPr>
        <w:pStyle w:val="SangriaFrancesaArticulo"/>
      </w:pPr>
    </w:p>
    <w:p w:rsidR="00E27756" w:rsidRDefault="00E27756" w:rsidP="00E27756">
      <w:pPr>
        <w:pStyle w:val="TextoNormalNegritaCursivandice"/>
      </w:pPr>
      <w:r>
        <w:t>Ley Orgánica 6/1985, de 1 de julio. Poder judicial</w:t>
      </w:r>
    </w:p>
    <w:p w:rsidR="00E27756" w:rsidRDefault="00E27756" w:rsidP="00E27756">
      <w:pPr>
        <w:pStyle w:val="SangriaFrancesaArticulo"/>
      </w:pPr>
      <w:r w:rsidRPr="00E27756">
        <w:rPr>
          <w:rStyle w:val="TextoNormalNegritaCaracter"/>
        </w:rPr>
        <w:t>Disposición adicional quinta, apartado 2.</w:t>
      </w:r>
      <w:r w:rsidRPr="00E27756">
        <w:rPr>
          <w:rStyle w:val="TextoNormalCaracter"/>
        </w:rPr>
        <w:t>-</w:t>
      </w:r>
      <w:r>
        <w:t xml:space="preserve"> Auto </w:t>
      </w:r>
      <w:hyperlink w:anchor="AUTO_2013_59" w:history="1">
        <w:r w:rsidRPr="00E27756">
          <w:rPr>
            <w:rStyle w:val="TextoNormalCaracter"/>
          </w:rPr>
          <w:t>59/2013</w:t>
        </w:r>
      </w:hyperlink>
      <w:r>
        <w:t>.</w:t>
      </w:r>
    </w:p>
    <w:p w:rsidR="00E27756" w:rsidRDefault="00E27756" w:rsidP="00E27756">
      <w:pPr>
        <w:pStyle w:val="SangriaFrancesaArticulo"/>
      </w:pPr>
    </w:p>
    <w:p w:rsidR="00E27756" w:rsidRDefault="00E27756" w:rsidP="00E27756">
      <w:pPr>
        <w:pStyle w:val="TextoNormalNegritaCursivandice"/>
      </w:pPr>
      <w:r>
        <w:t>Ley 7/1988, de 5 de abril. Funcionamiento del Tribunal de Cuentas</w:t>
      </w:r>
    </w:p>
    <w:p w:rsidR="00E27756" w:rsidRDefault="00E27756" w:rsidP="00E27756">
      <w:pPr>
        <w:pStyle w:val="SangriaFrancesaArticulo"/>
      </w:pPr>
      <w:r w:rsidRPr="00E27756">
        <w:rPr>
          <w:rStyle w:val="TextoNormalNegritaCaracter"/>
        </w:rPr>
        <w:t>Disposición adicional cuarta, párrafo 2.</w:t>
      </w:r>
      <w:r w:rsidRPr="00E27756">
        <w:rPr>
          <w:rStyle w:val="TextoNormalCaracter"/>
        </w:rPr>
        <w:t>-</w:t>
      </w:r>
      <w:r>
        <w:t xml:space="preserve"> Sentencia </w:t>
      </w:r>
      <w:hyperlink w:anchor="SENTENCIA_2013_9" w:history="1">
        <w:r w:rsidRPr="00E27756">
          <w:rPr>
            <w:rStyle w:val="TextoNormalCaracter"/>
          </w:rPr>
          <w:t>9/2013</w:t>
        </w:r>
      </w:hyperlink>
      <w:r>
        <w:t>.</w:t>
      </w:r>
    </w:p>
    <w:p w:rsidR="00E27756" w:rsidRDefault="00E27756" w:rsidP="00E27756">
      <w:pPr>
        <w:pStyle w:val="SangriaFrancesaArticulo"/>
      </w:pPr>
      <w:r w:rsidRPr="00E27756">
        <w:rPr>
          <w:rStyle w:val="TextoNormalNegritaCaracter"/>
        </w:rPr>
        <w:t>Disposición adicional cuarta, párrafo 2</w:t>
      </w:r>
      <w:r>
        <w:t xml:space="preserve"> </w:t>
      </w:r>
      <w:r w:rsidRPr="00E27756">
        <w:rPr>
          <w:rStyle w:val="TextoNormalCaracter"/>
        </w:rPr>
        <w:t>(redactada por la Ley 51/2007, de 26 de diciembre)</w:t>
      </w:r>
      <w:r w:rsidRPr="00E27756">
        <w:rPr>
          <w:rStyle w:val="TextoNormalNegritaCaracter"/>
        </w:rPr>
        <w:t>.</w:t>
      </w:r>
      <w:r w:rsidRPr="00E27756">
        <w:rPr>
          <w:rStyle w:val="TextoNormalCaracter"/>
        </w:rPr>
        <w:t>-</w:t>
      </w:r>
      <w:r>
        <w:t xml:space="preserve"> Sentencia </w:t>
      </w:r>
      <w:hyperlink w:anchor="SENTENCIA_2013_9" w:history="1">
        <w:r w:rsidRPr="00E27756">
          <w:rPr>
            <w:rStyle w:val="TextoNormalCaracter"/>
          </w:rPr>
          <w:t>9/2013</w:t>
        </w:r>
      </w:hyperlink>
      <w:r>
        <w:t xml:space="preserve"> (anula).</w:t>
      </w:r>
    </w:p>
    <w:p w:rsidR="00E27756" w:rsidRDefault="00E27756" w:rsidP="00E27756">
      <w:pPr>
        <w:pStyle w:val="SangriaFrancesaArticulo"/>
      </w:pPr>
    </w:p>
    <w:p w:rsidR="00E27756" w:rsidRDefault="00E27756" w:rsidP="00E27756">
      <w:pPr>
        <w:pStyle w:val="TextoNormalNegritaCursivandice"/>
      </w:pPr>
      <w:r>
        <w:t>Ley 4/1989, de 27 de marzo. Conservación de los espacios naturales y de la flora y fauna silvestres</w:t>
      </w:r>
    </w:p>
    <w:p w:rsidR="00E27756" w:rsidRDefault="00E27756" w:rsidP="00E27756">
      <w:pPr>
        <w:pStyle w:val="SangriaFrancesaArticulo"/>
      </w:pPr>
      <w:r w:rsidRPr="00E27756">
        <w:rPr>
          <w:rStyle w:val="TextoNormalNegritaCaracter"/>
        </w:rPr>
        <w:t>Artículo 22.3</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11" w:history="1">
        <w:r w:rsidRPr="00E27756">
          <w:rPr>
            <w:rStyle w:val="TextoNormalCaracter"/>
          </w:rPr>
          <w:t>111/2013</w:t>
        </w:r>
      </w:hyperlink>
      <w:r>
        <w:t>.</w:t>
      </w:r>
    </w:p>
    <w:p w:rsidR="00E27756" w:rsidRDefault="00E27756" w:rsidP="00E27756">
      <w:pPr>
        <w:pStyle w:val="SangriaFrancesaArticulo"/>
      </w:pPr>
      <w:r w:rsidRPr="00E27756">
        <w:rPr>
          <w:rStyle w:val="TextoNormalNegritaCaracter"/>
        </w:rPr>
        <w:t>Artículo 23 ter</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11" w:history="1">
        <w:r w:rsidRPr="00E27756">
          <w:rPr>
            <w:rStyle w:val="TextoNormalCaracter"/>
          </w:rPr>
          <w:t>111/2013</w:t>
        </w:r>
      </w:hyperlink>
      <w:r>
        <w:t>.</w:t>
      </w:r>
    </w:p>
    <w:p w:rsidR="00E27756" w:rsidRDefault="00E27756" w:rsidP="00E27756">
      <w:pPr>
        <w:pStyle w:val="SangriaFrancesaArticulo"/>
      </w:pPr>
      <w:r w:rsidRPr="00E27756">
        <w:rPr>
          <w:rStyle w:val="TextoNormalNegritaCaracter"/>
        </w:rPr>
        <w:t>Artículo 23.4</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11" w:history="1">
        <w:r w:rsidRPr="00E27756">
          <w:rPr>
            <w:rStyle w:val="TextoNormalCaracter"/>
          </w:rPr>
          <w:t>111/2013</w:t>
        </w:r>
      </w:hyperlink>
      <w:r>
        <w:t>.</w:t>
      </w:r>
    </w:p>
    <w:p w:rsidR="00E27756" w:rsidRDefault="00E27756" w:rsidP="00E27756">
      <w:pPr>
        <w:pStyle w:val="SangriaFrancesaArticulo"/>
      </w:pPr>
    </w:p>
    <w:p w:rsidR="00E27756" w:rsidRDefault="00E27756" w:rsidP="00E27756">
      <w:pPr>
        <w:pStyle w:val="TextoNormalNegritaCursivandice"/>
      </w:pPr>
      <w:r>
        <w:lastRenderedPageBreak/>
        <w:t>Real Decreto Legislativo 1/1994, de 20 de junio. Texto refundido de la Ley general de la Seguridad Social</w:t>
      </w:r>
    </w:p>
    <w:p w:rsidR="00E27756" w:rsidRDefault="00E27756" w:rsidP="00E27756">
      <w:pPr>
        <w:pStyle w:val="SangriaFrancesaArticulo"/>
      </w:pPr>
      <w:r w:rsidRPr="00E27756">
        <w:rPr>
          <w:rStyle w:val="TextoNormalNegritaCaracter"/>
        </w:rPr>
        <w:t>Disposición adicional séptima, apartado 1 regla 2.</w:t>
      </w:r>
      <w:r w:rsidRPr="00E27756">
        <w:rPr>
          <w:rStyle w:val="TextoNormalCaracter"/>
        </w:rPr>
        <w:t>-</w:t>
      </w:r>
      <w:r>
        <w:t xml:space="preserve"> Autos </w:t>
      </w:r>
      <w:hyperlink w:anchor="AUTO_2013_73" w:history="1">
        <w:r w:rsidRPr="00E27756">
          <w:rPr>
            <w:rStyle w:val="TextoNormalCaracter"/>
          </w:rPr>
          <w:t>73/2013</w:t>
        </w:r>
      </w:hyperlink>
      <w:r>
        <w:t xml:space="preserve">; </w:t>
      </w:r>
      <w:hyperlink w:anchor="AUTO_2013_77" w:history="1">
        <w:r w:rsidRPr="00E27756">
          <w:rPr>
            <w:rStyle w:val="TextoNormalCaracter"/>
          </w:rPr>
          <w:t>77/2013</w:t>
        </w:r>
      </w:hyperlink>
      <w:r>
        <w:t>.</w:t>
      </w:r>
    </w:p>
    <w:p w:rsidR="00E27756" w:rsidRDefault="00E27756" w:rsidP="00E27756">
      <w:pPr>
        <w:pStyle w:val="SangriaFrancesaArticulo"/>
      </w:pPr>
      <w:r w:rsidRPr="00E27756">
        <w:rPr>
          <w:rStyle w:val="TextoNormalNegritaCaracter"/>
        </w:rPr>
        <w:t>Disposición adicional séptima, apartado 1 regla 2 a).</w:t>
      </w:r>
      <w:r w:rsidRPr="00E27756">
        <w:rPr>
          <w:rStyle w:val="TextoNormalCaracter"/>
        </w:rPr>
        <w:t>-</w:t>
      </w:r>
      <w:r>
        <w:t xml:space="preserve"> Auto </w:t>
      </w:r>
      <w:hyperlink w:anchor="AUTO_2013_76" w:history="1">
        <w:r w:rsidRPr="00E27756">
          <w:rPr>
            <w:rStyle w:val="TextoNormalCaracter"/>
          </w:rPr>
          <w:t>76/2013</w:t>
        </w:r>
      </w:hyperlink>
      <w:r>
        <w:t>.</w:t>
      </w:r>
    </w:p>
    <w:p w:rsidR="00E27756" w:rsidRDefault="00E27756" w:rsidP="00E27756">
      <w:pPr>
        <w:pStyle w:val="SangriaFrancesaArticulo"/>
      </w:pPr>
      <w:r w:rsidRPr="00E27756">
        <w:rPr>
          <w:rStyle w:val="TextoNormalNegritaCaracter"/>
        </w:rPr>
        <w:t>Disposición adicional séptima, apartado 1 regla 2</w:t>
      </w:r>
      <w:r>
        <w:t xml:space="preserve"> </w:t>
      </w:r>
      <w:r w:rsidRPr="00E27756">
        <w:rPr>
          <w:rStyle w:val="TextoNormalCaracter"/>
        </w:rPr>
        <w:t>(redactado por el Real Decreto-ley 15/1998, de 27 de noviembre)</w:t>
      </w:r>
      <w:r w:rsidRPr="00E27756">
        <w:rPr>
          <w:rStyle w:val="TextoNormalNegritaCaracter"/>
        </w:rPr>
        <w:t>.</w:t>
      </w:r>
      <w:r w:rsidRPr="00E27756">
        <w:rPr>
          <w:rStyle w:val="TextoNormalCaracter"/>
        </w:rPr>
        <w:t>-</w:t>
      </w:r>
      <w:r>
        <w:t xml:space="preserve"> Sentencia </w:t>
      </w:r>
      <w:hyperlink w:anchor="SENTENCIA_2013_61" w:history="1">
        <w:r w:rsidRPr="00E27756">
          <w:rPr>
            <w:rStyle w:val="TextoNormalCaracter"/>
          </w:rPr>
          <w:t>61/2013</w:t>
        </w:r>
      </w:hyperlink>
      <w:r>
        <w:t xml:space="preserve"> (anula).</w:t>
      </w:r>
    </w:p>
    <w:p w:rsidR="00E27756" w:rsidRDefault="00E27756" w:rsidP="00E27756">
      <w:pPr>
        <w:pStyle w:val="SangriaFrancesaArticulo"/>
      </w:pPr>
      <w:r w:rsidRPr="00E27756">
        <w:rPr>
          <w:rStyle w:val="TextoNormalNegritaCaracter"/>
        </w:rPr>
        <w:t>Disposición adicional séptima, apartado 1 regla 2 a) inciso 1</w:t>
      </w:r>
      <w:r>
        <w:t xml:space="preserve"> </w:t>
      </w:r>
      <w:r w:rsidRPr="00E27756">
        <w:rPr>
          <w:rStyle w:val="TextoNormalCaracter"/>
        </w:rPr>
        <w:t>(redactado por el Real Decreto-ley 15/1998, de 27 de noviembre)</w:t>
      </w:r>
      <w:r w:rsidRPr="00E27756">
        <w:rPr>
          <w:rStyle w:val="TextoNormalNegritaCaracter"/>
        </w:rPr>
        <w:t>.</w:t>
      </w:r>
      <w:r w:rsidRPr="00E27756">
        <w:rPr>
          <w:rStyle w:val="TextoNormalCaracter"/>
        </w:rPr>
        <w:t>-</w:t>
      </w:r>
      <w:r>
        <w:t xml:space="preserve"> Sentencia </w:t>
      </w:r>
      <w:hyperlink w:anchor="SENTENCIA_2013_61" w:history="1">
        <w:r w:rsidRPr="00E27756">
          <w:rPr>
            <w:rStyle w:val="TextoNormalCaracter"/>
          </w:rPr>
          <w:t>61/2013</w:t>
        </w:r>
      </w:hyperlink>
      <w:r>
        <w:t>.</w:t>
      </w:r>
    </w:p>
    <w:p w:rsidR="00E27756" w:rsidRDefault="00E27756" w:rsidP="00E27756">
      <w:pPr>
        <w:pStyle w:val="SangriaFrancesaArticulo"/>
      </w:pPr>
    </w:p>
    <w:p w:rsidR="00E27756" w:rsidRDefault="00E27756" w:rsidP="00E27756">
      <w:pPr>
        <w:pStyle w:val="TextoNormalNegritaCursivandice"/>
      </w:pPr>
      <w:r>
        <w:t>Real Decreto-ley 15/1998, de 27 de noviembre. Medidas urgentes para la mejora del mercado de trabajo en relación con el trabajo a tiempo parcial y el fomento de su estabilidad</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1" w:history="1">
        <w:r w:rsidRPr="00E27756">
          <w:rPr>
            <w:rStyle w:val="TextoNormalCaracter"/>
          </w:rPr>
          <w:t>61/2013</w:t>
        </w:r>
      </w:hyperlink>
      <w:r>
        <w:t>.</w:t>
      </w:r>
    </w:p>
    <w:p w:rsidR="00E27756" w:rsidRDefault="00E27756" w:rsidP="00E27756">
      <w:pPr>
        <w:pStyle w:val="SangriaFrancesaArticulo"/>
      </w:pPr>
    </w:p>
    <w:p w:rsidR="00E27756" w:rsidRDefault="00E27756" w:rsidP="00E27756">
      <w:pPr>
        <w:pStyle w:val="TextoNormalNegritaCursivandice"/>
      </w:pPr>
      <w:r>
        <w:t>Ley Orgánica 4/2000, de 11 de enero. Derechos y libertades de los extranjeros en España y su integración social</w:t>
      </w:r>
    </w:p>
    <w:p w:rsidR="00E27756" w:rsidRDefault="00E27756" w:rsidP="00E27756">
      <w:pPr>
        <w:pStyle w:val="SangriaFrancesaArticulo"/>
      </w:pPr>
      <w:r w:rsidRPr="00E27756">
        <w:rPr>
          <w:rStyle w:val="TextoNormalNegritaCaracter"/>
        </w:rPr>
        <w:t>Artículo 58.6 inciso in fine</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xml:space="preserve"> (anula).</w:t>
      </w:r>
    </w:p>
    <w:p w:rsidR="00E27756" w:rsidRDefault="00E27756" w:rsidP="00E27756">
      <w:pPr>
        <w:pStyle w:val="SangriaFrancesaArticulo"/>
      </w:pPr>
      <w:r w:rsidRPr="00E27756">
        <w:rPr>
          <w:rStyle w:val="TextoNormalNegritaCaracter"/>
        </w:rPr>
        <w:t>Artículo 62 quinquies apartado 1</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xml:space="preserve"> (interpreta).</w:t>
      </w:r>
    </w:p>
    <w:p w:rsidR="00E27756" w:rsidRDefault="00E27756" w:rsidP="00E27756">
      <w:pPr>
        <w:pStyle w:val="SangriaFrancesaArticulo"/>
      </w:pPr>
      <w:r w:rsidRPr="00E27756">
        <w:rPr>
          <w:rStyle w:val="TextoNormalNegritaCaracter"/>
        </w:rPr>
        <w:t>Disposición adicional quinta, párrafo 2</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xml:space="preserve"> (interpreta).</w:t>
      </w:r>
    </w:p>
    <w:p w:rsidR="00E27756" w:rsidRDefault="00E27756" w:rsidP="00E27756">
      <w:pPr>
        <w:pStyle w:val="SangriaFrancesaArticulo"/>
      </w:pPr>
    </w:p>
    <w:p w:rsidR="00E27756" w:rsidRDefault="00E27756" w:rsidP="00E27756">
      <w:pPr>
        <w:pStyle w:val="TextoNormalNegritaCursivandice"/>
      </w:pPr>
      <w:r>
        <w:t>Real Decreto Legislativo 5/2000, de 4 de agosto. Texto refundido de la Ley sobre infracciones y sanciones en el orden social</w:t>
      </w:r>
    </w:p>
    <w:p w:rsidR="00E27756" w:rsidRDefault="00E27756" w:rsidP="00E27756">
      <w:pPr>
        <w:pStyle w:val="SangriaFrancesaArticulo"/>
      </w:pPr>
      <w:r w:rsidRPr="00E27756">
        <w:rPr>
          <w:rStyle w:val="TextoNormalNegritaCaracter"/>
        </w:rPr>
        <w:t>Artículo 48.4 párrafo 3</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xml:space="preserve"> (anula).</w:t>
      </w:r>
    </w:p>
    <w:p w:rsidR="00E27756" w:rsidRDefault="00E27756" w:rsidP="00E27756">
      <w:pPr>
        <w:pStyle w:val="SangriaFrancesaArticulo"/>
      </w:pPr>
    </w:p>
    <w:p w:rsidR="00E27756" w:rsidRDefault="00E27756" w:rsidP="00E27756">
      <w:pPr>
        <w:pStyle w:val="TextoNormalNegritaCursivandice"/>
      </w:pPr>
      <w:r>
        <w:t>Ley 10/2001, de 5 de julio. Plan hidrológico nacional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9" w:history="1">
        <w:r w:rsidRPr="00E27756">
          <w:rPr>
            <w:rStyle w:val="TextoNormalCaracter"/>
          </w:rPr>
          <w:t>19/2013</w:t>
        </w:r>
      </w:hyperlink>
      <w:r>
        <w:t xml:space="preserve">; </w:t>
      </w:r>
      <w:hyperlink w:anchor="SENTENCIA_2013_51" w:history="1">
        <w:r w:rsidRPr="00E27756">
          <w:rPr>
            <w:rStyle w:val="TextoNormalCaracter"/>
          </w:rPr>
          <w:t>51/2013</w:t>
        </w:r>
      </w:hyperlink>
      <w:r>
        <w:t xml:space="preserve">; </w:t>
      </w:r>
      <w:hyperlink w:anchor="SENTENCIA_2013_63" w:history="1">
        <w:r w:rsidRPr="00E27756">
          <w:rPr>
            <w:rStyle w:val="TextoNormalCaracter"/>
          </w:rPr>
          <w:t>63/2013</w:t>
        </w:r>
      </w:hyperlink>
      <w:r>
        <w:t xml:space="preserve">; </w:t>
      </w:r>
      <w:hyperlink w:anchor="SENTENCIA_2013_64" w:history="1">
        <w:r w:rsidRPr="00E27756">
          <w:rPr>
            <w:rStyle w:val="TextoNormalCaracter"/>
          </w:rPr>
          <w:t>64/2013</w:t>
        </w:r>
      </w:hyperlink>
      <w:r>
        <w:t>.</w:t>
      </w:r>
    </w:p>
    <w:p w:rsidR="00E27756" w:rsidRDefault="00E27756" w:rsidP="00E27756">
      <w:pPr>
        <w:pStyle w:val="SangriaFrancesaArticulo"/>
      </w:pPr>
    </w:p>
    <w:p w:rsidR="00E27756" w:rsidRDefault="00E27756" w:rsidP="00E27756">
      <w:pPr>
        <w:pStyle w:val="TextoNormalNegritaCursivandice"/>
      </w:pPr>
      <w:r>
        <w:t>Real Decreto Legislativo 1/2001, de 20 de julio. Texto refundido de la Ley de aguas</w:t>
      </w:r>
    </w:p>
    <w:p w:rsidR="00E27756" w:rsidRDefault="00E27756" w:rsidP="00E27756">
      <w:pPr>
        <w:pStyle w:val="SangriaFrancesaArticulo"/>
      </w:pPr>
      <w:r w:rsidRPr="00E27756">
        <w:rPr>
          <w:rStyle w:val="TextoNormalNegritaCaracter"/>
        </w:rPr>
        <w:t>Artículo 41.3</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xml:space="preserve"> (interpreta).</w:t>
      </w:r>
    </w:p>
    <w:p w:rsidR="00E27756" w:rsidRDefault="00E27756" w:rsidP="00E27756">
      <w:pPr>
        <w:pStyle w:val="SangriaFrancesaArticulo"/>
      </w:pPr>
    </w:p>
    <w:p w:rsidR="00E27756" w:rsidRDefault="00E27756" w:rsidP="00E27756">
      <w:pPr>
        <w:pStyle w:val="TextoNormalNegritaCursivandice"/>
      </w:pPr>
      <w:r>
        <w:t>Ley Orgánica 6/2001, de 21 de diciembre. Universidades</w:t>
      </w:r>
    </w:p>
    <w:p w:rsidR="00E27756" w:rsidRDefault="00E27756" w:rsidP="00E27756">
      <w:pPr>
        <w:pStyle w:val="SangriaFrancesaArticulo"/>
      </w:pPr>
      <w:r w:rsidRPr="00E27756">
        <w:rPr>
          <w:rStyle w:val="TextoNormalNegritaCaracter"/>
        </w:rPr>
        <w:t>Artículo 4.3.</w:t>
      </w:r>
      <w:r w:rsidRPr="00E27756">
        <w:rPr>
          <w:rStyle w:val="TextoNormalCaracter"/>
        </w:rPr>
        <w:t>-</w:t>
      </w:r>
      <w:r>
        <w:t xml:space="preserve"> Sentencias </w:t>
      </w:r>
      <w:hyperlink w:anchor="SENTENCIA_2013_131" w:history="1">
        <w:r w:rsidRPr="00E27756">
          <w:rPr>
            <w:rStyle w:val="TextoNormalCaracter"/>
          </w:rPr>
          <w:t>131/2013</w:t>
        </w:r>
      </w:hyperlink>
      <w:r>
        <w:t xml:space="preserve">; </w:t>
      </w:r>
      <w:hyperlink w:anchor="SENTENCIA_2013_134" w:history="1">
        <w:r w:rsidRPr="00E27756">
          <w:rPr>
            <w:rStyle w:val="TextoNormalCaracter"/>
          </w:rPr>
          <w:t>134/2013</w:t>
        </w:r>
      </w:hyperlink>
      <w:r>
        <w:t>.</w:t>
      </w:r>
    </w:p>
    <w:p w:rsidR="00E27756" w:rsidRDefault="00E27756" w:rsidP="00E27756">
      <w:pPr>
        <w:pStyle w:val="SangriaFrancesaArticulo"/>
      </w:pPr>
      <w:r w:rsidRPr="00E27756">
        <w:rPr>
          <w:rStyle w:val="TextoNormalNegritaCaracter"/>
        </w:rPr>
        <w:t>Artículo 6.5.</w:t>
      </w:r>
      <w:r w:rsidRPr="00E27756">
        <w:rPr>
          <w:rStyle w:val="TextoNormalCaracter"/>
        </w:rPr>
        <w:t>-</w:t>
      </w:r>
      <w:r>
        <w:t xml:space="preserve"> Sentencia </w:t>
      </w:r>
      <w:hyperlink w:anchor="SENTENCIA_2013_131" w:history="1">
        <w:r w:rsidRPr="00E27756">
          <w:rPr>
            <w:rStyle w:val="TextoNormalCaracter"/>
          </w:rPr>
          <w:t>131/2013</w:t>
        </w:r>
      </w:hyperlink>
      <w:r>
        <w:t>.</w:t>
      </w:r>
    </w:p>
    <w:p w:rsidR="00E27756" w:rsidRDefault="00E27756" w:rsidP="00E27756">
      <w:pPr>
        <w:pStyle w:val="SangriaFrancesaArticulo"/>
      </w:pPr>
      <w:r w:rsidRPr="00E27756">
        <w:rPr>
          <w:rStyle w:val="TextoNormalNegritaCaracter"/>
        </w:rPr>
        <w:t>Artículo 9.2.</w:t>
      </w:r>
      <w:r w:rsidRPr="00E27756">
        <w:rPr>
          <w:rStyle w:val="TextoNormalCaracter"/>
        </w:rPr>
        <w:t>-</w:t>
      </w:r>
      <w:r>
        <w:t xml:space="preserve"> Sentencia </w:t>
      </w:r>
      <w:hyperlink w:anchor="SENTENCIA_2013_131" w:history="1">
        <w:r w:rsidRPr="00E27756">
          <w:rPr>
            <w:rStyle w:val="TextoNormalCaracter"/>
          </w:rPr>
          <w:t>131/2013</w:t>
        </w:r>
      </w:hyperlink>
      <w:r>
        <w:t>.</w:t>
      </w:r>
    </w:p>
    <w:p w:rsidR="00E27756" w:rsidRDefault="00E27756" w:rsidP="00E27756">
      <w:pPr>
        <w:pStyle w:val="SangriaFrancesaArticulo"/>
      </w:pPr>
      <w:r w:rsidRPr="00E27756">
        <w:rPr>
          <w:rStyle w:val="TextoNormalNegritaCaracter"/>
        </w:rPr>
        <w:t>Artículo 11.1.</w:t>
      </w:r>
      <w:r w:rsidRPr="00E27756">
        <w:rPr>
          <w:rStyle w:val="TextoNormalCaracter"/>
        </w:rPr>
        <w:t>-</w:t>
      </w:r>
      <w:r>
        <w:t xml:space="preserve"> Sentencia </w:t>
      </w:r>
      <w:hyperlink w:anchor="SENTENCIA_2013_134" w:history="1">
        <w:r w:rsidRPr="00E27756">
          <w:rPr>
            <w:rStyle w:val="TextoNormalCaracter"/>
          </w:rPr>
          <w:t>134/2013</w:t>
        </w:r>
      </w:hyperlink>
      <w:r>
        <w:t>.</w:t>
      </w:r>
    </w:p>
    <w:p w:rsidR="00E27756" w:rsidRDefault="00E27756" w:rsidP="00E27756">
      <w:pPr>
        <w:pStyle w:val="SangriaFrancesaArticulo"/>
      </w:pPr>
      <w:r w:rsidRPr="00E27756">
        <w:rPr>
          <w:rStyle w:val="TextoNormalNegritaCaracter"/>
        </w:rPr>
        <w:t>Artículo 15.2.</w:t>
      </w:r>
      <w:r w:rsidRPr="00E27756">
        <w:rPr>
          <w:rStyle w:val="TextoNormalCaracter"/>
        </w:rPr>
        <w:t>-</w:t>
      </w:r>
      <w:r>
        <w:t xml:space="preserve"> Sentencias </w:t>
      </w:r>
      <w:hyperlink w:anchor="SENTENCIA_2013_131" w:history="1">
        <w:r w:rsidRPr="00E27756">
          <w:rPr>
            <w:rStyle w:val="TextoNormalCaracter"/>
          </w:rPr>
          <w:t>131/2013</w:t>
        </w:r>
      </w:hyperlink>
      <w:r>
        <w:t xml:space="preserve">; </w:t>
      </w:r>
      <w:hyperlink w:anchor="SENTENCIA_2013_134" w:history="1">
        <w:r w:rsidRPr="00E27756">
          <w:rPr>
            <w:rStyle w:val="TextoNormalCaracter"/>
          </w:rPr>
          <w:t>134/2013</w:t>
        </w:r>
      </w:hyperlink>
      <w:r>
        <w:t>.</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 </w:t>
      </w:r>
      <w:hyperlink w:anchor="SENTENCIA_2013_134" w:history="1">
        <w:r w:rsidRPr="00E27756">
          <w:rPr>
            <w:rStyle w:val="TextoNormalCaracter"/>
          </w:rPr>
          <w:t>134/2013</w:t>
        </w:r>
      </w:hyperlink>
      <w:r>
        <w:t>.</w:t>
      </w:r>
    </w:p>
    <w:p w:rsidR="00E27756" w:rsidRDefault="00E27756" w:rsidP="00E27756">
      <w:pPr>
        <w:pStyle w:val="SangriaFrancesaArticulo"/>
      </w:pPr>
      <w:r w:rsidRPr="00E27756">
        <w:rPr>
          <w:rStyle w:val="TextoNormalNegritaCaracter"/>
        </w:rPr>
        <w:t>Artículo 23 inciso 2.</w:t>
      </w:r>
      <w:r w:rsidRPr="00E27756">
        <w:rPr>
          <w:rStyle w:val="TextoNormalCaracter"/>
        </w:rPr>
        <w:t>-</w:t>
      </w:r>
      <w:r>
        <w:t xml:space="preserve"> Sentencia </w:t>
      </w:r>
      <w:hyperlink w:anchor="SENTENCIA_2013_131" w:history="1">
        <w:r w:rsidRPr="00E27756">
          <w:rPr>
            <w:rStyle w:val="TextoNormalCaracter"/>
          </w:rPr>
          <w:t>131/2013</w:t>
        </w:r>
      </w:hyperlink>
      <w:r>
        <w:t>.</w:t>
      </w:r>
    </w:p>
    <w:p w:rsidR="00E27756" w:rsidRDefault="00E27756" w:rsidP="00E27756">
      <w:pPr>
        <w:pStyle w:val="SangriaFrancesaArticulo"/>
      </w:pPr>
      <w:r w:rsidRPr="00E27756">
        <w:rPr>
          <w:rStyle w:val="TextoNormalNegritaCaracter"/>
        </w:rPr>
        <w:t>Artículo 27.1.</w:t>
      </w:r>
      <w:r w:rsidRPr="00E27756">
        <w:rPr>
          <w:rStyle w:val="TextoNormalCaracter"/>
        </w:rPr>
        <w:t>-</w:t>
      </w:r>
      <w:r>
        <w:t xml:space="preserve"> Sentencia </w:t>
      </w:r>
      <w:hyperlink w:anchor="SENTENCIA_2013_131" w:history="1">
        <w:r w:rsidRPr="00E27756">
          <w:rPr>
            <w:rStyle w:val="TextoNormalCaracter"/>
          </w:rPr>
          <w:t>131/2013</w:t>
        </w:r>
      </w:hyperlink>
      <w:r>
        <w:t>.</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Sentencias </w:t>
      </w:r>
      <w:hyperlink w:anchor="SENTENCIA_2013_131" w:history="1">
        <w:r w:rsidRPr="00E27756">
          <w:rPr>
            <w:rStyle w:val="TextoNormalCaracter"/>
          </w:rPr>
          <w:t>131/2013</w:t>
        </w:r>
      </w:hyperlink>
      <w:r>
        <w:t xml:space="preserve">; </w:t>
      </w:r>
      <w:hyperlink w:anchor="SENTENCIA_2013_134" w:history="1">
        <w:r w:rsidRPr="00E27756">
          <w:rPr>
            <w:rStyle w:val="TextoNormalCaracter"/>
          </w:rPr>
          <w:t>134/2013</w:t>
        </w:r>
      </w:hyperlink>
      <w:r>
        <w:t>.</w:t>
      </w:r>
    </w:p>
    <w:p w:rsidR="00E27756" w:rsidRDefault="00E27756" w:rsidP="00E27756">
      <w:pPr>
        <w:pStyle w:val="SangriaFrancesaArticulo"/>
      </w:pPr>
      <w:r w:rsidRPr="00E27756">
        <w:rPr>
          <w:rStyle w:val="TextoNormalNegritaCaracter"/>
        </w:rPr>
        <w:t>Artículo 35.6.</w:t>
      </w:r>
      <w:r w:rsidRPr="00E27756">
        <w:rPr>
          <w:rStyle w:val="TextoNormalCaracter"/>
        </w:rPr>
        <w:t>-</w:t>
      </w:r>
      <w:r>
        <w:t xml:space="preserve"> Sentencia </w:t>
      </w:r>
      <w:hyperlink w:anchor="SENTENCIA_2013_134" w:history="1">
        <w:r w:rsidRPr="00E27756">
          <w:rPr>
            <w:rStyle w:val="TextoNormalCaracter"/>
          </w:rPr>
          <w:t>134/2013</w:t>
        </w:r>
      </w:hyperlink>
      <w:r>
        <w:t>.</w:t>
      </w:r>
    </w:p>
    <w:p w:rsidR="00E27756" w:rsidRDefault="00E27756" w:rsidP="00E27756">
      <w:pPr>
        <w:pStyle w:val="SangriaFrancesaArticulo"/>
      </w:pPr>
      <w:r w:rsidRPr="00E27756">
        <w:rPr>
          <w:rStyle w:val="TextoNormalNegritaCaracter"/>
        </w:rPr>
        <w:t>Artículo 42.3.</w:t>
      </w:r>
      <w:r w:rsidRPr="00E27756">
        <w:rPr>
          <w:rStyle w:val="TextoNormalCaracter"/>
        </w:rPr>
        <w:t>-</w:t>
      </w:r>
      <w:r>
        <w:t xml:space="preserve"> Sentencia </w:t>
      </w:r>
      <w:hyperlink w:anchor="SENTENCIA_2013_131" w:history="1">
        <w:r w:rsidRPr="00E27756">
          <w:rPr>
            <w:rStyle w:val="TextoNormalCaracter"/>
          </w:rPr>
          <w:t>131/2013</w:t>
        </w:r>
      </w:hyperlink>
      <w:r>
        <w:t>.</w:t>
      </w:r>
    </w:p>
    <w:p w:rsidR="00E27756" w:rsidRDefault="00E27756" w:rsidP="00E27756">
      <w:pPr>
        <w:pStyle w:val="SangriaFrancesaArticulo"/>
      </w:pPr>
      <w:r w:rsidRPr="00E27756">
        <w:rPr>
          <w:rStyle w:val="TextoNormalNegritaCaracter"/>
        </w:rPr>
        <w:lastRenderedPageBreak/>
        <w:t>Artículo 46.3.</w:t>
      </w:r>
      <w:r w:rsidRPr="00E27756">
        <w:rPr>
          <w:rStyle w:val="TextoNormalCaracter"/>
        </w:rPr>
        <w:t>-</w:t>
      </w:r>
      <w:r>
        <w:t xml:space="preserve"> Sentencia </w:t>
      </w:r>
      <w:hyperlink w:anchor="SENTENCIA_2013_134" w:history="1">
        <w:r w:rsidRPr="00E27756">
          <w:rPr>
            <w:rStyle w:val="TextoNormalCaracter"/>
          </w:rPr>
          <w:t>134/2013</w:t>
        </w:r>
      </w:hyperlink>
      <w:r>
        <w:t>.</w:t>
      </w:r>
    </w:p>
    <w:p w:rsidR="00E27756" w:rsidRDefault="00E27756" w:rsidP="00E27756">
      <w:pPr>
        <w:pStyle w:val="SangriaFrancesaArticulo"/>
      </w:pPr>
      <w:r w:rsidRPr="00E27756">
        <w:rPr>
          <w:rStyle w:val="TextoNormalNegritaCaracter"/>
        </w:rPr>
        <w:t>Artículo 46.3 inciso 2.</w:t>
      </w:r>
      <w:r w:rsidRPr="00E27756">
        <w:rPr>
          <w:rStyle w:val="TextoNormalCaracter"/>
        </w:rPr>
        <w:t>-</w:t>
      </w:r>
      <w:r>
        <w:t xml:space="preserve"> Sentencia </w:t>
      </w:r>
      <w:hyperlink w:anchor="SENTENCIA_2013_131" w:history="1">
        <w:r w:rsidRPr="00E27756">
          <w:rPr>
            <w:rStyle w:val="TextoNormalCaracter"/>
          </w:rPr>
          <w:t>131/2013</w:t>
        </w:r>
      </w:hyperlink>
      <w:r>
        <w:t>.</w:t>
      </w:r>
    </w:p>
    <w:p w:rsidR="00E27756" w:rsidRDefault="00E27756" w:rsidP="00E27756">
      <w:pPr>
        <w:pStyle w:val="SangriaFrancesaArticulo"/>
      </w:pPr>
      <w:r w:rsidRPr="00E27756">
        <w:rPr>
          <w:rStyle w:val="TextoNormalNegritaCaracter"/>
        </w:rPr>
        <w:t>Artículo 50 inciso in fine.</w:t>
      </w:r>
      <w:r w:rsidRPr="00E27756">
        <w:rPr>
          <w:rStyle w:val="TextoNormalCaracter"/>
        </w:rPr>
        <w:t>-</w:t>
      </w:r>
      <w:r>
        <w:t xml:space="preserve"> Sentencia </w:t>
      </w:r>
      <w:hyperlink w:anchor="SENTENCIA_2013_131" w:history="1">
        <w:r w:rsidRPr="00E27756">
          <w:rPr>
            <w:rStyle w:val="TextoNormalCaracter"/>
          </w:rPr>
          <w:t>131/2013</w:t>
        </w:r>
      </w:hyperlink>
      <w:r>
        <w:t>.</w:t>
      </w:r>
    </w:p>
    <w:p w:rsidR="00E27756" w:rsidRDefault="00E27756" w:rsidP="00E27756">
      <w:pPr>
        <w:pStyle w:val="SangriaFrancesaArticulo"/>
      </w:pPr>
      <w:r w:rsidRPr="00E27756">
        <w:rPr>
          <w:rStyle w:val="TextoNormalNegritaCaracter"/>
        </w:rPr>
        <w:t>Artículo 51.</w:t>
      </w:r>
      <w:r w:rsidRPr="00E27756">
        <w:rPr>
          <w:rStyle w:val="TextoNormalCaracter"/>
        </w:rPr>
        <w:t>-</w:t>
      </w:r>
      <w:r>
        <w:t xml:space="preserve"> Sentencias </w:t>
      </w:r>
      <w:hyperlink w:anchor="SENTENCIA_2013_131" w:history="1">
        <w:r w:rsidRPr="00E27756">
          <w:rPr>
            <w:rStyle w:val="TextoNormalCaracter"/>
          </w:rPr>
          <w:t>131/2013</w:t>
        </w:r>
      </w:hyperlink>
      <w:r>
        <w:t xml:space="preserve">; </w:t>
      </w:r>
      <w:hyperlink w:anchor="SENTENCIA_2013_134" w:history="1">
        <w:r w:rsidRPr="00E27756">
          <w:rPr>
            <w:rStyle w:val="TextoNormalCaracter"/>
          </w:rPr>
          <w:t>134/2013</w:t>
        </w:r>
      </w:hyperlink>
      <w:r>
        <w:t>.</w:t>
      </w:r>
    </w:p>
    <w:p w:rsidR="00E27756" w:rsidRDefault="00E27756" w:rsidP="00E27756">
      <w:pPr>
        <w:pStyle w:val="SangriaFrancesaArticulo"/>
      </w:pPr>
      <w:r w:rsidRPr="00E27756">
        <w:rPr>
          <w:rStyle w:val="TextoNormalNegritaCaracter"/>
        </w:rPr>
        <w:t>Artículo 52 in fine.</w:t>
      </w:r>
      <w:r w:rsidRPr="00E27756">
        <w:rPr>
          <w:rStyle w:val="TextoNormalCaracter"/>
        </w:rPr>
        <w:t>-</w:t>
      </w:r>
      <w:r>
        <w:t xml:space="preserve"> Sentencia </w:t>
      </w:r>
      <w:hyperlink w:anchor="SENTENCIA_2013_131" w:history="1">
        <w:r w:rsidRPr="00E27756">
          <w:rPr>
            <w:rStyle w:val="TextoNormalCaracter"/>
          </w:rPr>
          <w:t>131/2013</w:t>
        </w:r>
      </w:hyperlink>
      <w:r>
        <w:t>.</w:t>
      </w:r>
    </w:p>
    <w:p w:rsidR="00E27756" w:rsidRDefault="00E27756" w:rsidP="00E27756">
      <w:pPr>
        <w:pStyle w:val="SangriaFrancesaArticulo"/>
      </w:pPr>
      <w:r w:rsidRPr="00E27756">
        <w:rPr>
          <w:rStyle w:val="TextoNormalNegritaCaracter"/>
        </w:rPr>
        <w:t>Artículo 72.</w:t>
      </w:r>
      <w:r w:rsidRPr="00E27756">
        <w:rPr>
          <w:rStyle w:val="TextoNormalCaracter"/>
        </w:rPr>
        <w:t>-</w:t>
      </w:r>
      <w:r>
        <w:t xml:space="preserve"> Sentencia </w:t>
      </w:r>
      <w:hyperlink w:anchor="SENTENCIA_2013_131" w:history="1">
        <w:r w:rsidRPr="00E27756">
          <w:rPr>
            <w:rStyle w:val="TextoNormalCaracter"/>
          </w:rPr>
          <w:t>131/2013</w:t>
        </w:r>
      </w:hyperlink>
      <w:r>
        <w:t>.</w:t>
      </w:r>
    </w:p>
    <w:p w:rsidR="00E27756" w:rsidRDefault="00E27756" w:rsidP="00E27756">
      <w:pPr>
        <w:pStyle w:val="SangriaFrancesaArticulo"/>
      </w:pPr>
      <w:r w:rsidRPr="00E27756">
        <w:rPr>
          <w:rStyle w:val="TextoNormalNegritaCaracter"/>
        </w:rPr>
        <w:t>Artículo 83.2.</w:t>
      </w:r>
      <w:r w:rsidRPr="00E27756">
        <w:rPr>
          <w:rStyle w:val="TextoNormalCaracter"/>
        </w:rPr>
        <w:t>-</w:t>
      </w:r>
      <w:r>
        <w:t xml:space="preserve"> Sentencia </w:t>
      </w:r>
      <w:hyperlink w:anchor="SENTENCIA_2013_131" w:history="1">
        <w:r w:rsidRPr="00E27756">
          <w:rPr>
            <w:rStyle w:val="TextoNormalCaracter"/>
          </w:rPr>
          <w:t>131/2013</w:t>
        </w:r>
      </w:hyperlink>
      <w:r>
        <w:t>.</w:t>
      </w:r>
    </w:p>
    <w:p w:rsidR="00E27756" w:rsidRDefault="00E27756" w:rsidP="00E27756">
      <w:pPr>
        <w:pStyle w:val="SangriaFrancesaArticulo"/>
      </w:pPr>
      <w:r w:rsidRPr="00E27756">
        <w:rPr>
          <w:rStyle w:val="TextoNormalNegritaCaracter"/>
        </w:rPr>
        <w:t>Artículo 84 inciso 1.</w:t>
      </w:r>
      <w:r w:rsidRPr="00E27756">
        <w:rPr>
          <w:rStyle w:val="TextoNormalCaracter"/>
        </w:rPr>
        <w:t>-</w:t>
      </w:r>
      <w:r>
        <w:t xml:space="preserve"> Sentencia </w:t>
      </w:r>
      <w:hyperlink w:anchor="SENTENCIA_2013_131" w:history="1">
        <w:r w:rsidRPr="00E27756">
          <w:rPr>
            <w:rStyle w:val="TextoNormalCaracter"/>
          </w:rPr>
          <w:t>131/2013</w:t>
        </w:r>
      </w:hyperlink>
      <w:r>
        <w:t>.</w:t>
      </w:r>
    </w:p>
    <w:p w:rsidR="00E27756" w:rsidRDefault="00E27756" w:rsidP="00E27756">
      <w:pPr>
        <w:pStyle w:val="SangriaFrancesaArticulo"/>
      </w:pPr>
      <w:r w:rsidRPr="00E27756">
        <w:rPr>
          <w:rStyle w:val="TextoNormalNegritaCaracter"/>
        </w:rPr>
        <w:t>Disposición adicional cuarta, apartado 2 párrafo 1 in fine.</w:t>
      </w:r>
      <w:r w:rsidRPr="00E27756">
        <w:rPr>
          <w:rStyle w:val="TextoNormalCaracter"/>
        </w:rPr>
        <w:t>-</w:t>
      </w:r>
      <w:r>
        <w:t xml:space="preserve"> Sentencia </w:t>
      </w:r>
      <w:hyperlink w:anchor="SENTENCIA_2013_131" w:history="1">
        <w:r w:rsidRPr="00E27756">
          <w:rPr>
            <w:rStyle w:val="TextoNormalCaracter"/>
          </w:rPr>
          <w:t>131/2013</w:t>
        </w:r>
      </w:hyperlink>
      <w:r>
        <w:t xml:space="preserve"> (anula).</w:t>
      </w:r>
    </w:p>
    <w:p w:rsidR="00E27756" w:rsidRDefault="00E27756" w:rsidP="00E27756">
      <w:pPr>
        <w:pStyle w:val="SangriaFrancesaArticulo"/>
      </w:pPr>
      <w:r w:rsidRPr="00E27756">
        <w:rPr>
          <w:rStyle w:val="TextoNormalNegritaCaracter"/>
        </w:rPr>
        <w:t>Disposición adicional séptima.</w:t>
      </w:r>
      <w:r w:rsidRPr="00E27756">
        <w:rPr>
          <w:rStyle w:val="TextoNormalCaracter"/>
        </w:rPr>
        <w:t>-</w:t>
      </w:r>
      <w:r>
        <w:t xml:space="preserve"> Sentencia </w:t>
      </w:r>
      <w:hyperlink w:anchor="SENTENCIA_2013_131" w:history="1">
        <w:r w:rsidRPr="00E27756">
          <w:rPr>
            <w:rStyle w:val="TextoNormalCaracter"/>
          </w:rPr>
          <w:t>131/2013</w:t>
        </w:r>
      </w:hyperlink>
      <w:r>
        <w:t>.</w:t>
      </w:r>
    </w:p>
    <w:p w:rsidR="00E27756" w:rsidRDefault="00E27756" w:rsidP="00E27756">
      <w:pPr>
        <w:pStyle w:val="SangriaFrancesaArticulo"/>
      </w:pPr>
      <w:r w:rsidRPr="00E27756">
        <w:rPr>
          <w:rStyle w:val="TextoNormalNegritaCaracter"/>
        </w:rPr>
        <w:t>Disposición final cuarta.</w:t>
      </w:r>
      <w:r w:rsidRPr="00E27756">
        <w:rPr>
          <w:rStyle w:val="TextoNormalCaracter"/>
        </w:rPr>
        <w:t>-</w:t>
      </w:r>
      <w:r>
        <w:t xml:space="preserve"> Sentencia </w:t>
      </w:r>
      <w:hyperlink w:anchor="SENTENCIA_2013_131" w:history="1">
        <w:r w:rsidRPr="00E27756">
          <w:rPr>
            <w:rStyle w:val="TextoNormalCaracter"/>
          </w:rPr>
          <w:t>131/2013</w:t>
        </w:r>
      </w:hyperlink>
      <w:r>
        <w:t>.</w:t>
      </w:r>
    </w:p>
    <w:p w:rsidR="00E27756" w:rsidRDefault="00E27756" w:rsidP="00E27756">
      <w:pPr>
        <w:pStyle w:val="SangriaFrancesaArticulo"/>
      </w:pPr>
    </w:p>
    <w:p w:rsidR="00E27756" w:rsidRDefault="00E27756" w:rsidP="00E27756">
      <w:pPr>
        <w:pStyle w:val="TextoNormalNegritaCursivandice"/>
      </w:pPr>
      <w:r>
        <w:t>Ley 24/2001, de 27 de diciembre.  Medidas fiscales, administrativas y del orden social</w:t>
      </w:r>
    </w:p>
    <w:p w:rsidR="00E27756" w:rsidRDefault="00E27756" w:rsidP="00E27756">
      <w:pPr>
        <w:pStyle w:val="SangriaFrancesaArticulo"/>
      </w:pPr>
      <w:r w:rsidRPr="00E27756">
        <w:rPr>
          <w:rStyle w:val="TextoNormalNegritaCaracter"/>
        </w:rPr>
        <w:t>Disposición adicional vigesimotercera.</w:t>
      </w:r>
      <w:r w:rsidRPr="00E27756">
        <w:rPr>
          <w:rStyle w:val="TextoNormalCaracter"/>
        </w:rPr>
        <w:t>-</w:t>
      </w:r>
      <w:r>
        <w:t xml:space="preserve"> Autos </w:t>
      </w:r>
      <w:hyperlink w:anchor="AUTO_2013_30" w:history="1">
        <w:r w:rsidRPr="00E27756">
          <w:rPr>
            <w:rStyle w:val="TextoNormalCaracter"/>
          </w:rPr>
          <w:t>30/2013</w:t>
        </w:r>
      </w:hyperlink>
      <w:r>
        <w:t xml:space="preserve">; </w:t>
      </w:r>
      <w:hyperlink w:anchor="AUTO_2013_31" w:history="1">
        <w:r w:rsidRPr="00E27756">
          <w:rPr>
            <w:rStyle w:val="TextoNormalCaracter"/>
          </w:rPr>
          <w:t>31/2013</w:t>
        </w:r>
      </w:hyperlink>
      <w:r>
        <w:t xml:space="preserve">; </w:t>
      </w:r>
      <w:hyperlink w:anchor="AUTO_2013_32" w:history="1">
        <w:r w:rsidRPr="00E27756">
          <w:rPr>
            <w:rStyle w:val="TextoNormalCaracter"/>
          </w:rPr>
          <w:t>32/2013</w:t>
        </w:r>
      </w:hyperlink>
      <w:r>
        <w:t>.</w:t>
      </w:r>
    </w:p>
    <w:p w:rsidR="00E27756" w:rsidRDefault="00E27756" w:rsidP="00E27756">
      <w:pPr>
        <w:pStyle w:val="SangriaFrancesaArticulo"/>
      </w:pPr>
    </w:p>
    <w:p w:rsidR="00E27756" w:rsidRDefault="00E27756" w:rsidP="00E27756">
      <w:pPr>
        <w:pStyle w:val="TextoNormalNegritaCursivandice"/>
      </w:pPr>
      <w:r>
        <w:t>Ley Orgánica 10/2002, de 23 de diciembre. Calidad de la educación</w:t>
      </w:r>
    </w:p>
    <w:p w:rsidR="00E27756" w:rsidRDefault="00E27756" w:rsidP="00E27756">
      <w:pPr>
        <w:pStyle w:val="SangriaFrancesaArticulo"/>
      </w:pPr>
      <w:r w:rsidRPr="00E27756">
        <w:rPr>
          <w:rStyle w:val="TextoNormalNegritaCaracter"/>
        </w:rPr>
        <w:t>Artículo 6.2.</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Artículo 10.2.</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Artículo 10.4.</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Artículo 11.2.</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Artículo 26.5.</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Artículo 29.3.</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Artículo 31.2.</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Artículo 35.4.</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Artículo 37.1.</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Artículo 38.5.</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Artículo 40.2.</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Artículo 43.3.</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Artículo 49.5.</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Artículo 59.1.</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Artículo 75.5 in fine.</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Artículo 85.3.</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Disposición adicional tercera, apartados 1 y 4.</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r w:rsidRPr="00E27756">
        <w:rPr>
          <w:rStyle w:val="TextoNormalNegritaCaracter"/>
        </w:rPr>
        <w:t>Disposición adicional quinta, apartado 2.</w:t>
      </w:r>
      <w:r w:rsidRPr="00E27756">
        <w:rPr>
          <w:rStyle w:val="TextoNormalCaracter"/>
        </w:rPr>
        <w:t>-</w:t>
      </w:r>
      <w:r>
        <w:t xml:space="preserve"> Sentencia </w:t>
      </w:r>
      <w:hyperlink w:anchor="SENTENCIA_2013_6" w:history="1">
        <w:r w:rsidRPr="00E27756">
          <w:rPr>
            <w:rStyle w:val="TextoNormalCaracter"/>
          </w:rPr>
          <w:t>6/2013</w:t>
        </w:r>
      </w:hyperlink>
      <w:r>
        <w:t>.</w:t>
      </w:r>
    </w:p>
    <w:p w:rsidR="00E27756" w:rsidRDefault="00E27756" w:rsidP="00E27756">
      <w:pPr>
        <w:pStyle w:val="SangriaFrancesaArticulo"/>
      </w:pPr>
    </w:p>
    <w:p w:rsidR="00E27756" w:rsidRDefault="00E27756" w:rsidP="00E27756">
      <w:pPr>
        <w:pStyle w:val="TextoNormalNegritaCursivandice"/>
      </w:pPr>
      <w:r>
        <w:t>Ley 22/2003, de 9 de julio. Concursal</w:t>
      </w:r>
    </w:p>
    <w:p w:rsidR="00E27756" w:rsidRDefault="00E27756" w:rsidP="00E27756">
      <w:pPr>
        <w:pStyle w:val="SangriaFrancesaArticulo"/>
      </w:pPr>
      <w:r w:rsidRPr="00E27756">
        <w:rPr>
          <w:rStyle w:val="TextoNormalNegritaCaracter"/>
        </w:rPr>
        <w:t>Artículo 168.1</w:t>
      </w:r>
      <w:r>
        <w:t xml:space="preserve"> </w:t>
      </w:r>
      <w:r w:rsidRPr="00E27756">
        <w:rPr>
          <w:rStyle w:val="TextoNormalCaracter"/>
        </w:rPr>
        <w:t>(redactado por el Real Decreto-ley 3/2009, de 27 de marzo)</w:t>
      </w:r>
      <w:r w:rsidRPr="00E27756">
        <w:rPr>
          <w:rStyle w:val="TextoNormalNegritaCaracter"/>
        </w:rPr>
        <w:t>.</w:t>
      </w:r>
      <w:r w:rsidRPr="00E27756">
        <w:rPr>
          <w:rStyle w:val="TextoNormalCaracter"/>
        </w:rPr>
        <w:t>-</w:t>
      </w:r>
      <w:r>
        <w:t xml:space="preserve"> Auto </w:t>
      </w:r>
      <w:hyperlink w:anchor="AUTO_2013_24" w:history="1">
        <w:r w:rsidRPr="00E27756">
          <w:rPr>
            <w:rStyle w:val="TextoNormalCaracter"/>
          </w:rPr>
          <w:t>24/2013</w:t>
        </w:r>
      </w:hyperlink>
      <w:r>
        <w:t>.</w:t>
      </w:r>
    </w:p>
    <w:p w:rsidR="00E27756" w:rsidRDefault="00E27756" w:rsidP="00E27756">
      <w:pPr>
        <w:pStyle w:val="SangriaFrancesaArticulo"/>
      </w:pPr>
      <w:r w:rsidRPr="00E27756">
        <w:rPr>
          <w:rStyle w:val="TextoNormalNegritaCaracter"/>
        </w:rPr>
        <w:t>Artículo 170.1.</w:t>
      </w:r>
      <w:r w:rsidRPr="00E27756">
        <w:rPr>
          <w:rStyle w:val="TextoNormalCaracter"/>
        </w:rPr>
        <w:t>-</w:t>
      </w:r>
      <w:r>
        <w:t xml:space="preserve"> Auto </w:t>
      </w:r>
      <w:hyperlink w:anchor="AUTO_2013_24" w:history="1">
        <w:r w:rsidRPr="00E27756">
          <w:rPr>
            <w:rStyle w:val="TextoNormalCaracter"/>
          </w:rPr>
          <w:t>24/2013</w:t>
        </w:r>
      </w:hyperlink>
      <w:r>
        <w:t>.</w:t>
      </w:r>
    </w:p>
    <w:p w:rsidR="00E27756" w:rsidRDefault="00E27756" w:rsidP="00E27756">
      <w:pPr>
        <w:pStyle w:val="SangriaFrancesaArticulo"/>
      </w:pPr>
    </w:p>
    <w:p w:rsidR="00E27756" w:rsidRDefault="00E27756" w:rsidP="00E27756">
      <w:pPr>
        <w:pStyle w:val="TextoNormalNegritaCursivandice"/>
      </w:pPr>
      <w:r>
        <w:t>Ley 24/2003, de 10 de julio. De la viña y del vino</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Artículo 25.</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Artículo 25 excepto apartados 4, 8 y 10.</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Artículo 25.5.</w:t>
      </w:r>
      <w:r w:rsidRPr="00E27756">
        <w:rPr>
          <w:rStyle w:val="TextoNormalCaracter"/>
        </w:rPr>
        <w:t>-</w:t>
      </w:r>
      <w:r>
        <w:t xml:space="preserve"> Sentencias </w:t>
      </w:r>
      <w:hyperlink w:anchor="SENTENCIA_2013_34" w:history="1">
        <w:r w:rsidRPr="00E27756">
          <w:rPr>
            <w:rStyle w:val="TextoNormalCaracter"/>
          </w:rPr>
          <w:t>34/2013</w:t>
        </w:r>
      </w:hyperlink>
      <w:r>
        <w:t xml:space="preserve"> (interpreta); </w:t>
      </w:r>
      <w:hyperlink w:anchor="SENTENCIA_2013_82" w:history="1">
        <w:r w:rsidRPr="00E27756">
          <w:rPr>
            <w:rStyle w:val="TextoNormalCaracter"/>
          </w:rPr>
          <w:t>82/2013</w:t>
        </w:r>
      </w:hyperlink>
      <w:r>
        <w:t xml:space="preserve"> (interpreta).</w:t>
      </w:r>
    </w:p>
    <w:p w:rsidR="00E27756" w:rsidRDefault="00E27756" w:rsidP="00E27756">
      <w:pPr>
        <w:pStyle w:val="SangriaFrancesaArticulo"/>
      </w:pPr>
      <w:r w:rsidRPr="00E27756">
        <w:rPr>
          <w:rStyle w:val="TextoNormalNegritaCaracter"/>
        </w:rPr>
        <w:lastRenderedPageBreak/>
        <w:t>Artículo 25.7.</w:t>
      </w:r>
      <w:r w:rsidRPr="00E27756">
        <w:rPr>
          <w:rStyle w:val="TextoNormalCaracter"/>
        </w:rPr>
        <w:t>-</w:t>
      </w:r>
      <w:r>
        <w:t xml:space="preserve"> Sentencias </w:t>
      </w:r>
      <w:hyperlink w:anchor="SENTENCIA_2013_34" w:history="1">
        <w:r w:rsidRPr="00E27756">
          <w:rPr>
            <w:rStyle w:val="TextoNormalCaracter"/>
          </w:rPr>
          <w:t>34/2013</w:t>
        </w:r>
      </w:hyperlink>
      <w:r>
        <w:t xml:space="preserve"> (interpreta); </w:t>
      </w:r>
      <w:hyperlink w:anchor="SENTENCIA_2013_82" w:history="1">
        <w:r w:rsidRPr="00E27756">
          <w:rPr>
            <w:rStyle w:val="TextoNormalCaracter"/>
          </w:rPr>
          <w:t>82/2013</w:t>
        </w:r>
      </w:hyperlink>
      <w:r>
        <w:t xml:space="preserve"> (interpreta).</w:t>
      </w:r>
    </w:p>
    <w:p w:rsidR="00E27756" w:rsidRDefault="00E27756" w:rsidP="00E27756">
      <w:pPr>
        <w:pStyle w:val="SangriaFrancesaArticulo"/>
      </w:pPr>
      <w:r w:rsidRPr="00E27756">
        <w:rPr>
          <w:rStyle w:val="TextoNormalNegritaCaracter"/>
        </w:rPr>
        <w:t>Artículo 25.9.</w:t>
      </w:r>
      <w:r w:rsidRPr="00E27756">
        <w:rPr>
          <w:rStyle w:val="TextoNormalCaracter"/>
        </w:rPr>
        <w:t>-</w:t>
      </w:r>
      <w:r>
        <w:t xml:space="preserve"> Sentencias </w:t>
      </w:r>
      <w:hyperlink w:anchor="SENTENCIA_2013_34" w:history="1">
        <w:r w:rsidRPr="00E27756">
          <w:rPr>
            <w:rStyle w:val="TextoNormalCaracter"/>
          </w:rPr>
          <w:t>34/2013</w:t>
        </w:r>
      </w:hyperlink>
      <w:r>
        <w:t xml:space="preserve"> (interpreta); </w:t>
      </w:r>
      <w:hyperlink w:anchor="SENTENCIA_2013_82" w:history="1">
        <w:r w:rsidRPr="00E27756">
          <w:rPr>
            <w:rStyle w:val="TextoNormalCaracter"/>
          </w:rPr>
          <w:t>82/2013</w:t>
        </w:r>
      </w:hyperlink>
      <w:r>
        <w:t xml:space="preserve"> (interpreta).</w:t>
      </w:r>
    </w:p>
    <w:p w:rsidR="00E27756" w:rsidRDefault="00E27756" w:rsidP="00E27756">
      <w:pPr>
        <w:pStyle w:val="SangriaFrancesaArticulo"/>
      </w:pPr>
      <w:r w:rsidRPr="00E27756">
        <w:rPr>
          <w:rStyle w:val="TextoNormalNegritaCaracter"/>
        </w:rPr>
        <w:t>Artículo 26 excepto apartado 2 b) e) y g).</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Artículo 26 excepto apartado 2 epígrafes b), e) y g).</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Artículo 27.</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Artículo 27.1.</w:t>
      </w:r>
      <w:r w:rsidRPr="00E27756">
        <w:rPr>
          <w:rStyle w:val="TextoNormalCaracter"/>
        </w:rPr>
        <w:t>-</w:t>
      </w:r>
      <w:r>
        <w:t xml:space="preserve"> Sentencia </w:t>
      </w:r>
      <w:hyperlink w:anchor="SENTENCIA_2013_34" w:history="1">
        <w:r w:rsidRPr="00E27756">
          <w:rPr>
            <w:rStyle w:val="TextoNormalCaracter"/>
          </w:rPr>
          <w:t>34/2013</w:t>
        </w:r>
      </w:hyperlink>
      <w:r>
        <w:t xml:space="preserve"> (interpreta).</w:t>
      </w:r>
    </w:p>
    <w:p w:rsidR="00E27756" w:rsidRDefault="00E27756" w:rsidP="00E27756">
      <w:pPr>
        <w:pStyle w:val="SangriaFrancesaArticulo"/>
      </w:pPr>
      <w:r w:rsidRPr="00E27756">
        <w:rPr>
          <w:rStyle w:val="TextoNormalNegritaCaracter"/>
        </w:rPr>
        <w:t>Artículo 27.2 c).</w:t>
      </w:r>
      <w:r w:rsidRPr="00E27756">
        <w:rPr>
          <w:rStyle w:val="TextoNormalCaracter"/>
        </w:rPr>
        <w:t>-</w:t>
      </w:r>
      <w:r>
        <w:t xml:space="preserve"> Sentencia </w:t>
      </w:r>
      <w:hyperlink w:anchor="SENTENCIA_2013_34" w:history="1">
        <w:r w:rsidRPr="00E27756">
          <w:rPr>
            <w:rStyle w:val="TextoNormalCaracter"/>
          </w:rPr>
          <w:t>34/2013</w:t>
        </w:r>
      </w:hyperlink>
      <w:r>
        <w:t xml:space="preserve"> (declara vulnerado el orden competencial).</w:t>
      </w:r>
    </w:p>
    <w:p w:rsidR="00E27756" w:rsidRDefault="00E27756" w:rsidP="00E27756">
      <w:pPr>
        <w:pStyle w:val="SangriaFrancesaArticulo"/>
      </w:pPr>
      <w:r w:rsidRPr="00E27756">
        <w:rPr>
          <w:rStyle w:val="TextoNormalNegritaCaracter"/>
        </w:rPr>
        <w:t>Artículo 27.2 d).</w:t>
      </w:r>
      <w:r w:rsidRPr="00E27756">
        <w:rPr>
          <w:rStyle w:val="TextoNormalCaracter"/>
        </w:rPr>
        <w:t>-</w:t>
      </w:r>
      <w:r>
        <w:t xml:space="preserve"> Sentencia </w:t>
      </w:r>
      <w:hyperlink w:anchor="SENTENCIA_2013_34" w:history="1">
        <w:r w:rsidRPr="00E27756">
          <w:rPr>
            <w:rStyle w:val="TextoNormalCaracter"/>
          </w:rPr>
          <w:t>34/2013</w:t>
        </w:r>
      </w:hyperlink>
      <w:r>
        <w:t xml:space="preserve"> (declara vulnerado el orden competencial).</w:t>
      </w:r>
    </w:p>
    <w:p w:rsidR="00E27756" w:rsidRDefault="00E27756" w:rsidP="00E27756">
      <w:pPr>
        <w:pStyle w:val="SangriaFrancesaArticulo"/>
      </w:pPr>
      <w:r w:rsidRPr="00E27756">
        <w:rPr>
          <w:rStyle w:val="TextoNormalNegritaCaracter"/>
        </w:rPr>
        <w:t>Artículo 38.1.</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Artículo 39.1.</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Artículo 39.3.</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Artículo 40.2 a y b).</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Artículo 44.</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Artículo 45.</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Sentencia </w:t>
      </w:r>
      <w:hyperlink w:anchor="SENTENCIA_2013_34" w:history="1">
        <w:r w:rsidRPr="00E27756">
          <w:rPr>
            <w:rStyle w:val="TextoNormalCaracter"/>
          </w:rPr>
          <w:t>34/2013</w:t>
        </w:r>
      </w:hyperlink>
      <w:r>
        <w:t>.</w:t>
      </w:r>
    </w:p>
    <w:p w:rsidR="00E27756" w:rsidRDefault="00E27756" w:rsidP="00E27756">
      <w:pPr>
        <w:pStyle w:val="SangriaFrancesaArticulo"/>
      </w:pPr>
      <w:r w:rsidRPr="00E27756">
        <w:rPr>
          <w:rStyle w:val="TextoNormalNegritaCaracter"/>
        </w:rPr>
        <w:t>Disposición final segunda, apartado 2.</w:t>
      </w:r>
      <w:r w:rsidRPr="00E27756">
        <w:rPr>
          <w:rStyle w:val="TextoNormalCaracter"/>
        </w:rPr>
        <w:t>-</w:t>
      </w:r>
      <w:r>
        <w:t xml:space="preserve"> Sentencia </w:t>
      </w:r>
      <w:hyperlink w:anchor="SENTENCIA_2013_82" w:history="1">
        <w:r w:rsidRPr="00E27756">
          <w:rPr>
            <w:rStyle w:val="TextoNormalCaracter"/>
          </w:rPr>
          <w:t>82/2013</w:t>
        </w:r>
      </w:hyperlink>
      <w:r>
        <w:t xml:space="preserve"> (interpreta).</w:t>
      </w:r>
    </w:p>
    <w:p w:rsidR="00E27756" w:rsidRDefault="00E27756" w:rsidP="00E27756">
      <w:pPr>
        <w:pStyle w:val="SangriaFrancesaArticulo"/>
      </w:pPr>
    </w:p>
    <w:p w:rsidR="00E27756" w:rsidRDefault="00E27756" w:rsidP="00E27756">
      <w:pPr>
        <w:pStyle w:val="TextoNormalNegritaCursivandice"/>
      </w:pPr>
      <w:r>
        <w:t>Ley 33/2003, de 3 de noviembre. Patrimonio de las Administraciones públicas</w:t>
      </w:r>
    </w:p>
    <w:p w:rsidR="00E27756" w:rsidRDefault="00E27756" w:rsidP="00E27756">
      <w:pPr>
        <w:pStyle w:val="SangriaFrancesaArticulo"/>
      </w:pPr>
      <w:r w:rsidRPr="00E27756">
        <w:rPr>
          <w:rStyle w:val="TextoNormalNegritaCaracter"/>
        </w:rPr>
        <w:t>Artículo 139.</w:t>
      </w:r>
      <w:r w:rsidRPr="00E27756">
        <w:rPr>
          <w:rStyle w:val="TextoNormalCaracter"/>
        </w:rPr>
        <w:t>-</w:t>
      </w:r>
      <w:r>
        <w:t xml:space="preserve"> Sentencia </w:t>
      </w:r>
      <w:hyperlink w:anchor="SENTENCIA_2013_94" w:history="1">
        <w:r w:rsidRPr="00E27756">
          <w:rPr>
            <w:rStyle w:val="TextoNormalCaracter"/>
          </w:rPr>
          <w:t>94/2013</w:t>
        </w:r>
      </w:hyperlink>
      <w:r>
        <w:t>.</w:t>
      </w:r>
    </w:p>
    <w:p w:rsidR="00E27756" w:rsidRDefault="00E27756" w:rsidP="00E27756">
      <w:pPr>
        <w:pStyle w:val="SangriaFrancesaArticulo"/>
      </w:pPr>
      <w:r w:rsidRPr="00E27756">
        <w:rPr>
          <w:rStyle w:val="TextoNormalNegritaCaracter"/>
        </w:rPr>
        <w:t>Artículo 189.</w:t>
      </w:r>
      <w:r w:rsidRPr="00E27756">
        <w:rPr>
          <w:rStyle w:val="TextoNormalCaracter"/>
        </w:rPr>
        <w:t>-</w:t>
      </w:r>
      <w:r>
        <w:t xml:space="preserve"> Sentencia </w:t>
      </w:r>
      <w:hyperlink w:anchor="SENTENCIA_2013_94" w:history="1">
        <w:r w:rsidRPr="00E27756">
          <w:rPr>
            <w:rStyle w:val="TextoNormalCaracter"/>
          </w:rPr>
          <w:t>94/2013</w:t>
        </w:r>
      </w:hyperlink>
      <w:r>
        <w:t>.</w:t>
      </w:r>
    </w:p>
    <w:p w:rsidR="00E27756" w:rsidRDefault="00E27756" w:rsidP="00E27756">
      <w:pPr>
        <w:pStyle w:val="SangriaFrancesaArticulo"/>
      </w:pPr>
      <w:r w:rsidRPr="00E27756">
        <w:rPr>
          <w:rStyle w:val="TextoNormalNegritaCaracter"/>
        </w:rPr>
        <w:t>Artículo 190.</w:t>
      </w:r>
      <w:r w:rsidRPr="00E27756">
        <w:rPr>
          <w:rStyle w:val="TextoNormalCaracter"/>
        </w:rPr>
        <w:t>-</w:t>
      </w:r>
      <w:r>
        <w:t xml:space="preserve"> Sentencia </w:t>
      </w:r>
      <w:hyperlink w:anchor="SENTENCIA_2013_94" w:history="1">
        <w:r w:rsidRPr="00E27756">
          <w:rPr>
            <w:rStyle w:val="TextoNormalCaracter"/>
          </w:rPr>
          <w:t>94/2013</w:t>
        </w:r>
      </w:hyperlink>
      <w:r>
        <w:t>.</w:t>
      </w:r>
    </w:p>
    <w:p w:rsidR="00E27756" w:rsidRDefault="00E27756" w:rsidP="00E27756">
      <w:pPr>
        <w:pStyle w:val="SangriaFrancesaArticulo"/>
      </w:pPr>
      <w:r w:rsidRPr="00E27756">
        <w:rPr>
          <w:rStyle w:val="TextoNormalNegritaCaracter"/>
        </w:rPr>
        <w:t>Artículo 191.</w:t>
      </w:r>
      <w:r w:rsidRPr="00E27756">
        <w:rPr>
          <w:rStyle w:val="TextoNormalCaracter"/>
        </w:rPr>
        <w:t>-</w:t>
      </w:r>
      <w:r>
        <w:t xml:space="preserve"> Sentencia </w:t>
      </w:r>
      <w:hyperlink w:anchor="SENTENCIA_2013_94" w:history="1">
        <w:r w:rsidRPr="00E27756">
          <w:rPr>
            <w:rStyle w:val="TextoNormalCaracter"/>
          </w:rPr>
          <w:t>94/2013</w:t>
        </w:r>
      </w:hyperlink>
      <w:r>
        <w:t>.</w:t>
      </w:r>
    </w:p>
    <w:p w:rsidR="00E27756" w:rsidRDefault="00E27756" w:rsidP="00E27756">
      <w:pPr>
        <w:pStyle w:val="SangriaFrancesaArticulo"/>
      </w:pPr>
      <w:r w:rsidRPr="00E27756">
        <w:rPr>
          <w:rStyle w:val="TextoNormalNegritaCaracter"/>
        </w:rPr>
        <w:t>Disposición adicional decimonovena.</w:t>
      </w:r>
      <w:r w:rsidRPr="00E27756">
        <w:rPr>
          <w:rStyle w:val="TextoNormalCaracter"/>
        </w:rPr>
        <w:t>-</w:t>
      </w:r>
      <w:r>
        <w:t xml:space="preserve"> Sentencia </w:t>
      </w:r>
      <w:hyperlink w:anchor="SENTENCIA_2013_94" w:history="1">
        <w:r w:rsidRPr="00E27756">
          <w:rPr>
            <w:rStyle w:val="TextoNormalCaracter"/>
          </w:rPr>
          <w:t>94/2013</w:t>
        </w:r>
      </w:hyperlink>
      <w:r>
        <w:t>.</w:t>
      </w:r>
    </w:p>
    <w:p w:rsidR="00E27756" w:rsidRDefault="00E27756" w:rsidP="00E27756">
      <w:pPr>
        <w:pStyle w:val="SangriaFrancesaArticulo"/>
      </w:pPr>
    </w:p>
    <w:p w:rsidR="00E27756" w:rsidRDefault="00E27756" w:rsidP="00E27756">
      <w:pPr>
        <w:pStyle w:val="TextoNormalNegritaCursivandice"/>
      </w:pPr>
      <w:r>
        <w:t>Ley 38/2003, de 17 de noviembre. General de subvenciones</w:t>
      </w:r>
    </w:p>
    <w:p w:rsidR="00E27756" w:rsidRDefault="00E27756" w:rsidP="00E27756">
      <w:pPr>
        <w:pStyle w:val="SangriaFrancesaArticulo"/>
      </w:pPr>
      <w:r w:rsidRPr="00E27756">
        <w:rPr>
          <w:rStyle w:val="TextoNormalNegritaCaracter"/>
        </w:rPr>
        <w:t>Artículo 3.4 a).</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3.4 a).</w:t>
      </w:r>
      <w:r w:rsidRPr="00E27756">
        <w:rPr>
          <w:rStyle w:val="TextoNormalCaracter"/>
        </w:rPr>
        <w:t>-</w:t>
      </w:r>
      <w:r>
        <w:t xml:space="preserve"> Sentencias </w:t>
      </w:r>
      <w:hyperlink w:anchor="SENTENCIA_2013_130" w:history="1">
        <w:r w:rsidRPr="00E27756">
          <w:rPr>
            <w:rStyle w:val="TextoNormalCaracter"/>
          </w:rPr>
          <w:t>130/2013</w:t>
        </w:r>
      </w:hyperlink>
      <w:r>
        <w:t xml:space="preserve"> (interpreta); </w:t>
      </w:r>
      <w:hyperlink w:anchor="SENTENCIA_2013_135" w:history="1">
        <w:r w:rsidRPr="00E27756">
          <w:rPr>
            <w:rStyle w:val="TextoNormalCaracter"/>
          </w:rPr>
          <w:t>135/2013</w:t>
        </w:r>
      </w:hyperlink>
      <w:r>
        <w:t xml:space="preserve"> (interpreta).</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6.2.</w:t>
      </w:r>
      <w:r w:rsidRPr="00E27756">
        <w:rPr>
          <w:rStyle w:val="TextoNormalCaracter"/>
        </w:rPr>
        <w:t>-</w:t>
      </w:r>
      <w:r>
        <w:t xml:space="preserve"> Sentencias </w:t>
      </w:r>
      <w:hyperlink w:anchor="SENTENCIA_2013_130" w:history="1">
        <w:r w:rsidRPr="00E27756">
          <w:rPr>
            <w:rStyle w:val="TextoNormalCaracter"/>
          </w:rPr>
          <w:t>130/2013</w:t>
        </w:r>
      </w:hyperlink>
      <w:r>
        <w:t xml:space="preserve">; </w:t>
      </w:r>
      <w:hyperlink w:anchor="SENTENCIA_2013_135" w:history="1">
        <w:r w:rsidRPr="00E27756">
          <w:rPr>
            <w:rStyle w:val="TextoNormalCaracter"/>
          </w:rPr>
          <w:t>135/2013</w:t>
        </w:r>
      </w:hyperlink>
      <w:r>
        <w:t>.</w:t>
      </w:r>
    </w:p>
    <w:p w:rsidR="00E27756" w:rsidRDefault="00E27756" w:rsidP="00E27756">
      <w:pPr>
        <w:pStyle w:val="SangriaFrancesaArticulo"/>
      </w:pPr>
      <w:r w:rsidRPr="00E27756">
        <w:rPr>
          <w:rStyle w:val="TextoNormalNegritaCaracter"/>
        </w:rPr>
        <w:t>Artículo 7.2.</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7.2.</w:t>
      </w:r>
      <w:r w:rsidRPr="00E27756">
        <w:rPr>
          <w:rStyle w:val="TextoNormalCaracter"/>
        </w:rPr>
        <w:t>-</w:t>
      </w:r>
      <w:r>
        <w:t xml:space="preserve"> Sentencia </w:t>
      </w:r>
      <w:hyperlink w:anchor="SENTENCIA_2013_130" w:history="1">
        <w:r w:rsidRPr="00E27756">
          <w:rPr>
            <w:rStyle w:val="TextoNormalCaracter"/>
          </w:rPr>
          <w:t>130/2013</w:t>
        </w:r>
      </w:hyperlink>
      <w:r>
        <w:t xml:space="preserve"> (interpreta).</w:t>
      </w:r>
    </w:p>
    <w:p w:rsidR="00E27756" w:rsidRDefault="00E27756" w:rsidP="00E27756">
      <w:pPr>
        <w:pStyle w:val="SangriaFrancesaArticulo"/>
      </w:pPr>
      <w:r w:rsidRPr="00E27756">
        <w:rPr>
          <w:rStyle w:val="TextoNormalNegritaCaracter"/>
        </w:rPr>
        <w:t>Artículo 7.3.</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8.1.</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8.3.</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12.1.</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12.1.</w:t>
      </w:r>
      <w:r w:rsidRPr="00E27756">
        <w:rPr>
          <w:rStyle w:val="TextoNormalCaracter"/>
        </w:rPr>
        <w:t>-</w:t>
      </w:r>
      <w:r>
        <w:t xml:space="preserve"> Sentencia </w:t>
      </w:r>
      <w:hyperlink w:anchor="SENTENCIA_2013_130" w:history="1">
        <w:r w:rsidRPr="00E27756">
          <w:rPr>
            <w:rStyle w:val="TextoNormalCaracter"/>
          </w:rPr>
          <w:t>130/2013</w:t>
        </w:r>
      </w:hyperlink>
      <w:r>
        <w:t xml:space="preserve"> (interpreta).</w:t>
      </w:r>
    </w:p>
    <w:p w:rsidR="00E27756" w:rsidRDefault="00E27756" w:rsidP="00E27756">
      <w:pPr>
        <w:pStyle w:val="SangriaFrancesaArticulo"/>
      </w:pPr>
      <w:r w:rsidRPr="00E27756">
        <w:rPr>
          <w:rStyle w:val="TextoNormalNegritaCaracter"/>
        </w:rPr>
        <w:t>Artículo 13.3.</w:t>
      </w:r>
      <w:r w:rsidRPr="00E27756">
        <w:rPr>
          <w:rStyle w:val="TextoNormalCaracter"/>
        </w:rPr>
        <w:t>-</w:t>
      </w:r>
      <w:r>
        <w:t xml:space="preserve"> Sentencia </w:t>
      </w:r>
      <w:hyperlink w:anchor="SENTENCIA_2013_135" w:history="1">
        <w:r w:rsidRPr="00E27756">
          <w:rPr>
            <w:rStyle w:val="TextoNormalCaracter"/>
          </w:rPr>
          <w:t>135/2013</w:t>
        </w:r>
      </w:hyperlink>
      <w:r>
        <w:t>.</w:t>
      </w:r>
    </w:p>
    <w:p w:rsidR="00E27756" w:rsidRDefault="00E27756" w:rsidP="00E27756">
      <w:pPr>
        <w:pStyle w:val="SangriaFrancesaArticulo"/>
      </w:pPr>
      <w:r w:rsidRPr="00E27756">
        <w:rPr>
          <w:rStyle w:val="TextoNormalNegritaCaracter"/>
        </w:rPr>
        <w:t>Artículo 13.5.</w:t>
      </w:r>
      <w:r w:rsidRPr="00E27756">
        <w:rPr>
          <w:rStyle w:val="TextoNormalCaracter"/>
        </w:rPr>
        <w:t>-</w:t>
      </w:r>
      <w:r>
        <w:t xml:space="preserve"> Sentencias </w:t>
      </w:r>
      <w:hyperlink w:anchor="SENTENCIA_2013_130" w:history="1">
        <w:r w:rsidRPr="00E27756">
          <w:rPr>
            <w:rStyle w:val="TextoNormalCaracter"/>
          </w:rPr>
          <w:t>130/2013</w:t>
        </w:r>
      </w:hyperlink>
      <w:r>
        <w:t xml:space="preserve">; </w:t>
      </w:r>
      <w:hyperlink w:anchor="SENTENCIA_2013_135" w:history="1">
        <w:r w:rsidRPr="00E27756">
          <w:rPr>
            <w:rStyle w:val="TextoNormalCaracter"/>
          </w:rPr>
          <w:t>135/2013</w:t>
        </w:r>
      </w:hyperlink>
      <w:r>
        <w:t>.</w:t>
      </w:r>
    </w:p>
    <w:p w:rsidR="00E27756" w:rsidRDefault="00E27756" w:rsidP="00E27756">
      <w:pPr>
        <w:pStyle w:val="SangriaFrancesaArticulo"/>
      </w:pPr>
      <w:r w:rsidRPr="00E27756">
        <w:rPr>
          <w:rStyle w:val="TextoNormalNegritaCaracter"/>
        </w:rPr>
        <w:t>Artículo 13.7.</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14.1 e).</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14.1 h).</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15.1 a).</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15.1 a).</w:t>
      </w:r>
      <w:r w:rsidRPr="00E27756">
        <w:rPr>
          <w:rStyle w:val="TextoNormalCaracter"/>
        </w:rPr>
        <w:t>-</w:t>
      </w:r>
      <w:r>
        <w:t xml:space="preserve"> Sentencia </w:t>
      </w:r>
      <w:hyperlink w:anchor="SENTENCIA_2013_130" w:history="1">
        <w:r w:rsidRPr="00E27756">
          <w:rPr>
            <w:rStyle w:val="TextoNormalCaracter"/>
          </w:rPr>
          <w:t>130/2013</w:t>
        </w:r>
      </w:hyperlink>
      <w:r>
        <w:t xml:space="preserve"> (interpreta).</w:t>
      </w:r>
    </w:p>
    <w:p w:rsidR="00E27756" w:rsidRDefault="00E27756" w:rsidP="00E27756">
      <w:pPr>
        <w:pStyle w:val="SangriaFrancesaArticulo"/>
      </w:pPr>
      <w:r w:rsidRPr="00E27756">
        <w:rPr>
          <w:rStyle w:val="TextoNormalNegritaCaracter"/>
        </w:rPr>
        <w:t>Artículo 15.1 b).</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15.1 b).</w:t>
      </w:r>
      <w:r w:rsidRPr="00E27756">
        <w:rPr>
          <w:rStyle w:val="TextoNormalCaracter"/>
        </w:rPr>
        <w:t>-</w:t>
      </w:r>
      <w:r>
        <w:t xml:space="preserve"> Sentencia </w:t>
      </w:r>
      <w:hyperlink w:anchor="SENTENCIA_2013_130" w:history="1">
        <w:r w:rsidRPr="00E27756">
          <w:rPr>
            <w:rStyle w:val="TextoNormalCaracter"/>
          </w:rPr>
          <w:t>130/2013</w:t>
        </w:r>
      </w:hyperlink>
      <w:r>
        <w:t xml:space="preserve"> (interpreta).</w:t>
      </w:r>
    </w:p>
    <w:p w:rsidR="00E27756" w:rsidRDefault="00E27756" w:rsidP="00E27756">
      <w:pPr>
        <w:pStyle w:val="SangriaFrancesaArticulo"/>
      </w:pPr>
      <w:r w:rsidRPr="00E27756">
        <w:rPr>
          <w:rStyle w:val="TextoNormalNegritaCaracter"/>
        </w:rPr>
        <w:t>Artículo 16.1.</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lastRenderedPageBreak/>
        <w:t>Artículo 16.5.</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18.4.</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19.5.</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22.1.</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29.3.</w:t>
      </w:r>
      <w:r w:rsidRPr="00E27756">
        <w:rPr>
          <w:rStyle w:val="TextoNormalCaracter"/>
        </w:rPr>
        <w:t>-</w:t>
      </w:r>
      <w:r>
        <w:t xml:space="preserve"> Sentencias </w:t>
      </w:r>
      <w:hyperlink w:anchor="SENTENCIA_2013_130" w:history="1">
        <w:r w:rsidRPr="00E27756">
          <w:rPr>
            <w:rStyle w:val="TextoNormalCaracter"/>
          </w:rPr>
          <w:t>130/2013</w:t>
        </w:r>
      </w:hyperlink>
      <w:r>
        <w:t xml:space="preserve">; </w:t>
      </w:r>
      <w:hyperlink w:anchor="SENTENCIA_2013_135" w:history="1">
        <w:r w:rsidRPr="00E27756">
          <w:rPr>
            <w:rStyle w:val="TextoNormalCaracter"/>
          </w:rPr>
          <w:t>135/2013</w:t>
        </w:r>
      </w:hyperlink>
      <w:r>
        <w:t>.</w:t>
      </w:r>
    </w:p>
    <w:p w:rsidR="00E27756" w:rsidRDefault="00E27756" w:rsidP="00E27756">
      <w:pPr>
        <w:pStyle w:val="SangriaFrancesaArticulo"/>
      </w:pPr>
      <w:r w:rsidRPr="00E27756">
        <w:rPr>
          <w:rStyle w:val="TextoNormalNegritaCaracter"/>
        </w:rPr>
        <w:t>Artículo 29.7 b).</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29.7 e).</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30.3.</w:t>
      </w:r>
      <w:r w:rsidRPr="00E27756">
        <w:rPr>
          <w:rStyle w:val="TextoNormalCaracter"/>
        </w:rPr>
        <w:t>-</w:t>
      </w:r>
      <w:r>
        <w:t xml:space="preserve"> Sentencia </w:t>
      </w:r>
      <w:hyperlink w:anchor="SENTENCIA_2013_135" w:history="1">
        <w:r w:rsidRPr="00E27756">
          <w:rPr>
            <w:rStyle w:val="TextoNormalCaracter"/>
          </w:rPr>
          <w:t>135/2013</w:t>
        </w:r>
      </w:hyperlink>
      <w:r>
        <w:t>.</w:t>
      </w:r>
    </w:p>
    <w:p w:rsidR="00E27756" w:rsidRDefault="00E27756" w:rsidP="00E27756">
      <w:pPr>
        <w:pStyle w:val="SangriaFrancesaArticulo"/>
      </w:pPr>
      <w:r w:rsidRPr="00E27756">
        <w:rPr>
          <w:rStyle w:val="TextoNormalNegritaCaracter"/>
        </w:rPr>
        <w:t>Artículo 30.5.</w:t>
      </w:r>
      <w:r w:rsidRPr="00E27756">
        <w:rPr>
          <w:rStyle w:val="TextoNormalCaracter"/>
        </w:rPr>
        <w:t>-</w:t>
      </w:r>
      <w:r>
        <w:t xml:space="preserve"> Sentencias </w:t>
      </w:r>
      <w:hyperlink w:anchor="SENTENCIA_2013_130" w:history="1">
        <w:r w:rsidRPr="00E27756">
          <w:rPr>
            <w:rStyle w:val="TextoNormalCaracter"/>
          </w:rPr>
          <w:t>130/2013</w:t>
        </w:r>
      </w:hyperlink>
      <w:r>
        <w:t xml:space="preserve">; </w:t>
      </w:r>
      <w:hyperlink w:anchor="SENTENCIA_2013_135" w:history="1">
        <w:r w:rsidRPr="00E27756">
          <w:rPr>
            <w:rStyle w:val="TextoNormalCaracter"/>
          </w:rPr>
          <w:t>135/2013</w:t>
        </w:r>
      </w:hyperlink>
      <w:r>
        <w:t>.</w:t>
      </w:r>
    </w:p>
    <w:p w:rsidR="00E27756" w:rsidRDefault="00E27756" w:rsidP="00E27756">
      <w:pPr>
        <w:pStyle w:val="SangriaFrancesaArticulo"/>
      </w:pPr>
      <w:r w:rsidRPr="00E27756">
        <w:rPr>
          <w:rStyle w:val="TextoNormalNegritaCaracter"/>
        </w:rPr>
        <w:t>Artículo 31 apartados 2 a 8.</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31.3.</w:t>
      </w:r>
      <w:r w:rsidRPr="00E27756">
        <w:rPr>
          <w:rStyle w:val="TextoNormalCaracter"/>
        </w:rPr>
        <w:t>-</w:t>
      </w:r>
      <w:r>
        <w:t xml:space="preserve"> Sentencia </w:t>
      </w:r>
      <w:hyperlink w:anchor="SENTENCIA_2013_135" w:history="1">
        <w:r w:rsidRPr="00E27756">
          <w:rPr>
            <w:rStyle w:val="TextoNormalCaracter"/>
          </w:rPr>
          <w:t>135/2013</w:t>
        </w:r>
      </w:hyperlink>
      <w:r>
        <w:t>.</w:t>
      </w:r>
    </w:p>
    <w:p w:rsidR="00E27756" w:rsidRDefault="00E27756" w:rsidP="00E27756">
      <w:pPr>
        <w:pStyle w:val="SangriaFrancesaArticulo"/>
      </w:pPr>
      <w:r w:rsidRPr="00E27756">
        <w:rPr>
          <w:rStyle w:val="TextoNormalNegritaCaracter"/>
        </w:rPr>
        <w:t>Artículo 31.9.</w:t>
      </w:r>
      <w:r w:rsidRPr="00E27756">
        <w:rPr>
          <w:rStyle w:val="TextoNormalCaracter"/>
        </w:rPr>
        <w:t>-</w:t>
      </w:r>
      <w:r>
        <w:t xml:space="preserve"> Sentencia </w:t>
      </w:r>
      <w:hyperlink w:anchor="SENTENCIA_2013_135" w:history="1">
        <w:r w:rsidRPr="00E27756">
          <w:rPr>
            <w:rStyle w:val="TextoNormalCaracter"/>
          </w:rPr>
          <w:t>135/2013</w:t>
        </w:r>
      </w:hyperlink>
      <w:r>
        <w:t>.</w:t>
      </w:r>
    </w:p>
    <w:p w:rsidR="00E27756" w:rsidRDefault="00E27756" w:rsidP="00E27756">
      <w:pPr>
        <w:pStyle w:val="SangriaFrancesaArticulo"/>
      </w:pPr>
      <w:r w:rsidRPr="00E27756">
        <w:rPr>
          <w:rStyle w:val="TextoNormalNegritaCaracter"/>
        </w:rPr>
        <w:t>Artículo 37.1 d).</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37.1 f).</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45.2 c).</w:t>
      </w:r>
      <w:r w:rsidRPr="00E27756">
        <w:rPr>
          <w:rStyle w:val="TextoNormalCaracter"/>
        </w:rPr>
        <w:t>-</w:t>
      </w:r>
      <w:r>
        <w:t xml:space="preserve"> Sentencia </w:t>
      </w:r>
      <w:hyperlink w:anchor="SENTENCIA_2013_135" w:history="1">
        <w:r w:rsidRPr="00E27756">
          <w:rPr>
            <w:rStyle w:val="TextoNormalCaracter"/>
          </w:rPr>
          <w:t>135/2013</w:t>
        </w:r>
      </w:hyperlink>
      <w:r>
        <w:t xml:space="preserve"> (interpreta).</w:t>
      </w:r>
    </w:p>
    <w:p w:rsidR="00E27756" w:rsidRDefault="00E27756" w:rsidP="00E27756">
      <w:pPr>
        <w:pStyle w:val="SangriaFrancesaArticulo"/>
      </w:pPr>
      <w:r w:rsidRPr="00E27756">
        <w:rPr>
          <w:rStyle w:val="TextoNormalNegritaCaracter"/>
        </w:rPr>
        <w:t>Artículo 45.2 párrafo 3 c).</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45.2 párrafo 3 c).</w:t>
      </w:r>
      <w:r w:rsidRPr="00E27756">
        <w:rPr>
          <w:rStyle w:val="TextoNormalCaracter"/>
        </w:rPr>
        <w:t>-</w:t>
      </w:r>
      <w:r>
        <w:t xml:space="preserve"> Sentencias </w:t>
      </w:r>
      <w:hyperlink w:anchor="SENTENCIA_2013_130" w:history="1">
        <w:r w:rsidRPr="00E27756">
          <w:rPr>
            <w:rStyle w:val="TextoNormalCaracter"/>
          </w:rPr>
          <w:t>130/2013</w:t>
        </w:r>
      </w:hyperlink>
      <w:r>
        <w:t xml:space="preserve"> (interpreta); </w:t>
      </w:r>
      <w:hyperlink w:anchor="SENTENCIA_2013_135" w:history="1">
        <w:r w:rsidRPr="00E27756">
          <w:rPr>
            <w:rStyle w:val="TextoNormalCaracter"/>
          </w:rPr>
          <w:t>135/2013</w:t>
        </w:r>
      </w:hyperlink>
      <w:r>
        <w:t xml:space="preserve"> (interpreta).</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Sentencia </w:t>
      </w:r>
      <w:hyperlink w:anchor="SENTENCIA_2013_135" w:history="1">
        <w:r w:rsidRPr="00E27756">
          <w:rPr>
            <w:rStyle w:val="TextoNormalCaracter"/>
          </w:rPr>
          <w:t>135/2013</w:t>
        </w:r>
      </w:hyperlink>
      <w:r>
        <w:t>.</w:t>
      </w:r>
    </w:p>
    <w:p w:rsidR="00E27756" w:rsidRDefault="00E27756" w:rsidP="00E27756">
      <w:pPr>
        <w:pStyle w:val="SangriaFrancesaArticulo"/>
      </w:pPr>
      <w:r w:rsidRPr="00E27756">
        <w:rPr>
          <w:rStyle w:val="TextoNormalNegritaCaracter"/>
        </w:rPr>
        <w:t>Artículo 56.</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57 e).</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58 d).</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67.2.</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Artículo 67.3.</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130" w:history="1">
        <w:r w:rsidRPr="00E27756">
          <w:rPr>
            <w:rStyle w:val="TextoNormalCaracter"/>
          </w:rPr>
          <w:t>130/2013</w:t>
        </w:r>
      </w:hyperlink>
      <w:r>
        <w:t>.</w:t>
      </w:r>
    </w:p>
    <w:p w:rsidR="00E27756" w:rsidRDefault="00E27756" w:rsidP="00E27756">
      <w:pPr>
        <w:pStyle w:val="SangriaFrancesaArticulo"/>
      </w:pPr>
      <w:r w:rsidRPr="00E27756">
        <w:rPr>
          <w:rStyle w:val="TextoNormalNegritaCaracter"/>
        </w:rPr>
        <w:t>Disposición final primera, apartado 1.</w:t>
      </w:r>
      <w:r w:rsidRPr="00E27756">
        <w:rPr>
          <w:rStyle w:val="TextoNormalCaracter"/>
        </w:rPr>
        <w:t>-</w:t>
      </w:r>
      <w:r>
        <w:t xml:space="preserve"> Sentencia </w:t>
      </w:r>
      <w:hyperlink w:anchor="SENTENCIA_2013_135" w:history="1">
        <w:r w:rsidRPr="00E27756">
          <w:rPr>
            <w:rStyle w:val="TextoNormalCaracter"/>
          </w:rPr>
          <w:t>135/2013</w:t>
        </w:r>
      </w:hyperlink>
      <w:r>
        <w:t>.</w:t>
      </w:r>
    </w:p>
    <w:p w:rsidR="00E27756" w:rsidRDefault="00E27756" w:rsidP="00E27756">
      <w:pPr>
        <w:pStyle w:val="SangriaFrancesaArticulo"/>
      </w:pPr>
    </w:p>
    <w:p w:rsidR="00E27756" w:rsidRDefault="00E27756" w:rsidP="00E27756">
      <w:pPr>
        <w:pStyle w:val="TextoNormalNegritaCursivandice"/>
      </w:pPr>
      <w:r>
        <w:t>Ley Orgánica 14/2003, de 20 de noviembre. Reforma de la Ley Orgánica 4/2000, sobre derechos y libertades de los extranjeros en España y su integración social, y de las Leyes 7/1985, 30/1992 y 3/1991</w:t>
      </w:r>
    </w:p>
    <w:p w:rsidR="00E27756" w:rsidRDefault="00E27756" w:rsidP="00E27756">
      <w:pPr>
        <w:pStyle w:val="SangriaFrancesaArticulo"/>
      </w:pPr>
      <w:r w:rsidRPr="00E27756">
        <w:rPr>
          <w:rStyle w:val="TextoNormalNegritaCaracter"/>
        </w:rPr>
        <w:t>Artículo 1.31 in fine.</w:t>
      </w:r>
      <w:r w:rsidRPr="00E27756">
        <w:rPr>
          <w:rStyle w:val="TextoNormalCaracter"/>
        </w:rPr>
        <w:t>-</w:t>
      </w:r>
      <w:r>
        <w:t xml:space="preserve"> Sentencia </w:t>
      </w:r>
      <w:hyperlink w:anchor="SENTENCIA_2013_17" w:history="1">
        <w:r w:rsidRPr="00E27756">
          <w:rPr>
            <w:rStyle w:val="TextoNormalCaracter"/>
          </w:rPr>
          <w:t>17/2013</w:t>
        </w:r>
      </w:hyperlink>
      <w:r>
        <w:t xml:space="preserve"> (anula).</w:t>
      </w:r>
    </w:p>
    <w:p w:rsidR="00E27756" w:rsidRDefault="00E27756" w:rsidP="00E27756">
      <w:pPr>
        <w:pStyle w:val="SangriaFrancesaArticulo"/>
      </w:pPr>
      <w:r w:rsidRPr="00E27756">
        <w:rPr>
          <w:rStyle w:val="TextoNormalNegritaCaracter"/>
        </w:rPr>
        <w:t>Artículo 1.32.</w:t>
      </w:r>
      <w:r w:rsidRPr="00E27756">
        <w:rPr>
          <w:rStyle w:val="TextoNormalCaracter"/>
        </w:rPr>
        <w:t>-</w:t>
      </w:r>
      <w:r>
        <w:t xml:space="preserve"> Sentencia </w:t>
      </w:r>
      <w:hyperlink w:anchor="SENTENCIA_2013_17" w:history="1">
        <w:r w:rsidRPr="00E27756">
          <w:rPr>
            <w:rStyle w:val="TextoNormalCaracter"/>
          </w:rPr>
          <w:t>17/2013</w:t>
        </w:r>
      </w:hyperlink>
      <w:r>
        <w:t xml:space="preserve"> (interpreta).</w:t>
      </w:r>
    </w:p>
    <w:p w:rsidR="00E27756" w:rsidRDefault="00E27756" w:rsidP="00E27756">
      <w:pPr>
        <w:pStyle w:val="SangriaFrancesaArticulo"/>
      </w:pPr>
      <w:r w:rsidRPr="00E27756">
        <w:rPr>
          <w:rStyle w:val="TextoNormalNegritaCaracter"/>
        </w:rPr>
        <w:t>Artículo 1.32 apartado art. 62 quinquies párrafo 1.</w:t>
      </w:r>
      <w:r w:rsidRPr="00E27756">
        <w:rPr>
          <w:rStyle w:val="TextoNormalCaracter"/>
        </w:rPr>
        <w:t>-</w:t>
      </w:r>
      <w:r>
        <w:t xml:space="preserve"> Sentencia </w:t>
      </w:r>
      <w:hyperlink w:anchor="SENTENCIA_2013_17" w:history="1">
        <w:r w:rsidRPr="00E27756">
          <w:rPr>
            <w:rStyle w:val="TextoNormalCaracter"/>
          </w:rPr>
          <w:t>17/2013</w:t>
        </w:r>
      </w:hyperlink>
      <w:r>
        <w:t xml:space="preserve"> (interpreta).</w:t>
      </w:r>
    </w:p>
    <w:p w:rsidR="00E27756" w:rsidRDefault="00E27756" w:rsidP="00E27756">
      <w:pPr>
        <w:pStyle w:val="SangriaFrancesaArticulo"/>
      </w:pPr>
      <w:r w:rsidRPr="00E27756">
        <w:rPr>
          <w:rStyle w:val="TextoNormalNegritaCaracter"/>
        </w:rPr>
        <w:t>Artículo 1.34.</w:t>
      </w:r>
      <w:r w:rsidRPr="00E27756">
        <w:rPr>
          <w:rStyle w:val="TextoNormalCaracter"/>
        </w:rPr>
        <w:t>-</w:t>
      </w:r>
      <w:r>
        <w:t xml:space="preserve"> Sentencia </w:t>
      </w:r>
      <w:hyperlink w:anchor="SENTENCIA_2013_17" w:history="1">
        <w:r w:rsidRPr="00E27756">
          <w:rPr>
            <w:rStyle w:val="TextoNormalCaracter"/>
          </w:rPr>
          <w:t>17/2013</w:t>
        </w:r>
      </w:hyperlink>
      <w:r>
        <w:t>.</w:t>
      </w:r>
    </w:p>
    <w:p w:rsidR="00E27756" w:rsidRDefault="00E27756" w:rsidP="00E27756">
      <w:pPr>
        <w:pStyle w:val="SangriaFrancesaArticulo"/>
      </w:pPr>
      <w:r w:rsidRPr="00E27756">
        <w:rPr>
          <w:rStyle w:val="TextoNormalNegritaCaracter"/>
        </w:rPr>
        <w:t>Artículo 1.35.</w:t>
      </w:r>
      <w:r w:rsidRPr="00E27756">
        <w:rPr>
          <w:rStyle w:val="TextoNormalCaracter"/>
        </w:rPr>
        <w:t>-</w:t>
      </w:r>
      <w:r>
        <w:t xml:space="preserve"> Sentencia </w:t>
      </w:r>
      <w:hyperlink w:anchor="SENTENCIA_2013_17" w:history="1">
        <w:r w:rsidRPr="00E27756">
          <w:rPr>
            <w:rStyle w:val="TextoNormalCaracter"/>
          </w:rPr>
          <w:t>17/2013</w:t>
        </w:r>
      </w:hyperlink>
      <w:r>
        <w:t>.</w:t>
      </w:r>
    </w:p>
    <w:p w:rsidR="00E27756" w:rsidRDefault="00E27756" w:rsidP="00E27756">
      <w:pPr>
        <w:pStyle w:val="SangriaFrancesaArticulo"/>
      </w:pPr>
      <w:r w:rsidRPr="00E27756">
        <w:rPr>
          <w:rStyle w:val="TextoNormalNegritaCaracter"/>
        </w:rPr>
        <w:t>Artículo 1.38.</w:t>
      </w:r>
      <w:r w:rsidRPr="00E27756">
        <w:rPr>
          <w:rStyle w:val="TextoNormalCaracter"/>
        </w:rPr>
        <w:t>-</w:t>
      </w:r>
      <w:r>
        <w:t xml:space="preserve"> Sentencia </w:t>
      </w:r>
      <w:hyperlink w:anchor="SENTENCIA_2013_17" w:history="1">
        <w:r w:rsidRPr="00E27756">
          <w:rPr>
            <w:rStyle w:val="TextoNormalCaracter"/>
          </w:rPr>
          <w:t>17/2013</w:t>
        </w:r>
      </w:hyperlink>
      <w:r>
        <w:t>.</w:t>
      </w:r>
    </w:p>
    <w:p w:rsidR="00E27756" w:rsidRDefault="00E27756" w:rsidP="00E27756">
      <w:pPr>
        <w:pStyle w:val="SangriaFrancesaArticulo"/>
      </w:pPr>
      <w:r w:rsidRPr="00E27756">
        <w:rPr>
          <w:rStyle w:val="TextoNormalNegritaCaracter"/>
        </w:rPr>
        <w:t>Artículo 1.39.</w:t>
      </w:r>
      <w:r w:rsidRPr="00E27756">
        <w:rPr>
          <w:rStyle w:val="TextoNormalCaracter"/>
        </w:rPr>
        <w:t>-</w:t>
      </w:r>
      <w:r>
        <w:t xml:space="preserve"> Sentencia </w:t>
      </w:r>
      <w:hyperlink w:anchor="SENTENCIA_2013_17" w:history="1">
        <w:r w:rsidRPr="00E27756">
          <w:rPr>
            <w:rStyle w:val="TextoNormalCaracter"/>
          </w:rPr>
          <w:t>17/2013</w:t>
        </w:r>
      </w:hyperlink>
      <w:r>
        <w:t>.</w:t>
      </w:r>
    </w:p>
    <w:p w:rsidR="00E27756" w:rsidRDefault="00E27756" w:rsidP="00E27756">
      <w:pPr>
        <w:pStyle w:val="SangriaFrancesaArticulo"/>
      </w:pPr>
      <w:r w:rsidRPr="00E27756">
        <w:rPr>
          <w:rStyle w:val="TextoNormalNegritaCaracter"/>
        </w:rPr>
        <w:t>Artículo 1.40 párrafo 2.</w:t>
      </w:r>
      <w:r w:rsidRPr="00E27756">
        <w:rPr>
          <w:rStyle w:val="TextoNormalCaracter"/>
        </w:rPr>
        <w:t>-</w:t>
      </w:r>
      <w:r>
        <w:t xml:space="preserve"> Sentencia </w:t>
      </w:r>
      <w:hyperlink w:anchor="SENTENCIA_2013_17" w:history="1">
        <w:r w:rsidRPr="00E27756">
          <w:rPr>
            <w:rStyle w:val="TextoNormalCaracter"/>
          </w:rPr>
          <w:t>17/2013</w:t>
        </w:r>
      </w:hyperlink>
      <w:r>
        <w:t xml:space="preserve"> (interpreta).</w:t>
      </w:r>
    </w:p>
    <w:p w:rsidR="00E27756" w:rsidRDefault="00E27756" w:rsidP="00E27756">
      <w:pPr>
        <w:pStyle w:val="SangriaFrancesaArticulo"/>
      </w:pPr>
      <w:r w:rsidRPr="00E27756">
        <w:rPr>
          <w:rStyle w:val="TextoNormalNegritaCaracter"/>
        </w:rPr>
        <w:t>Artículo 3.3.</w:t>
      </w:r>
      <w:r w:rsidRPr="00E27756">
        <w:rPr>
          <w:rStyle w:val="TextoNormalCaracter"/>
        </w:rPr>
        <w:t>-</w:t>
      </w:r>
      <w:r>
        <w:t xml:space="preserve"> Sentencia </w:t>
      </w:r>
      <w:hyperlink w:anchor="SENTENCIA_2013_17" w:history="1">
        <w:r w:rsidRPr="00E27756">
          <w:rPr>
            <w:rStyle w:val="TextoNormalCaracter"/>
          </w:rPr>
          <w:t>17/2013</w:t>
        </w:r>
      </w:hyperlink>
      <w:r>
        <w:t>.</w:t>
      </w:r>
    </w:p>
    <w:p w:rsidR="00E27756" w:rsidRDefault="00E27756" w:rsidP="00E27756">
      <w:pPr>
        <w:pStyle w:val="SangriaFrancesaArticulo"/>
      </w:pPr>
      <w:r w:rsidRPr="00E27756">
        <w:rPr>
          <w:rStyle w:val="TextoNormalNegritaCaracter"/>
        </w:rPr>
        <w:t>Artículo 3.5.</w:t>
      </w:r>
      <w:r w:rsidRPr="00E27756">
        <w:rPr>
          <w:rStyle w:val="TextoNormalCaracter"/>
        </w:rPr>
        <w:t>-</w:t>
      </w:r>
      <w:r>
        <w:t xml:space="preserve"> Sentencia </w:t>
      </w:r>
      <w:hyperlink w:anchor="SENTENCIA_2013_17" w:history="1">
        <w:r w:rsidRPr="00E27756">
          <w:rPr>
            <w:rStyle w:val="TextoNormalCaracter"/>
          </w:rPr>
          <w:t>17/2013</w:t>
        </w:r>
      </w:hyperlink>
      <w:r>
        <w:t xml:space="preserve"> (interpreta).</w:t>
      </w:r>
    </w:p>
    <w:p w:rsidR="00E27756" w:rsidRDefault="00E27756" w:rsidP="00E27756">
      <w:pPr>
        <w:pStyle w:val="SangriaFrancesaArticulo"/>
      </w:pPr>
    </w:p>
    <w:p w:rsidR="00E27756" w:rsidRDefault="00E27756" w:rsidP="00E27756">
      <w:pPr>
        <w:pStyle w:val="TextoNormalNegritaCursivandice"/>
      </w:pPr>
      <w:r>
        <w:t>Ley 43/2003, de 21 de noviembre. Montes</w:t>
      </w:r>
    </w:p>
    <w:p w:rsidR="00E27756" w:rsidRDefault="00E27756" w:rsidP="00E27756">
      <w:pPr>
        <w:pStyle w:val="SangriaFrancesaArticulo"/>
      </w:pPr>
      <w:r w:rsidRPr="00E27756">
        <w:rPr>
          <w:rStyle w:val="TextoNormalNegritaCaracter"/>
        </w:rPr>
        <w:t>Artículo único, apartados 32, 33</w:t>
      </w:r>
      <w:r>
        <w:t xml:space="preserve"> </w:t>
      </w:r>
      <w:r w:rsidRPr="00E27756">
        <w:rPr>
          <w:rStyle w:val="TextoNormalCaracter"/>
        </w:rPr>
        <w:t>(redactados por la Ley 10/2006, de 28 de abril)</w:t>
      </w:r>
      <w:r w:rsidRPr="00E27756">
        <w:rPr>
          <w:rStyle w:val="TextoNormalNegritaCaracter"/>
        </w:rPr>
        <w:t>.</w:t>
      </w:r>
      <w:r w:rsidRPr="00E27756">
        <w:rPr>
          <w:rStyle w:val="TextoNormalCaracter"/>
        </w:rPr>
        <w:t>-</w:t>
      </w:r>
      <w:r>
        <w:t xml:space="preserve"> Sentencia </w:t>
      </w:r>
      <w:hyperlink w:anchor="SENTENCIA_2013_97" w:history="1">
        <w:r w:rsidRPr="00E27756">
          <w:rPr>
            <w:rStyle w:val="TextoNormalCaracter"/>
          </w:rPr>
          <w:t>97/2013</w:t>
        </w:r>
      </w:hyperlink>
      <w:r>
        <w:t>.</w:t>
      </w:r>
    </w:p>
    <w:p w:rsidR="00E27756" w:rsidRDefault="00E27756" w:rsidP="00E27756">
      <w:pPr>
        <w:pStyle w:val="SangriaFrancesaArticulo"/>
      </w:pPr>
      <w:r w:rsidRPr="00E27756">
        <w:rPr>
          <w:rStyle w:val="TextoNormalNegritaCaracter"/>
        </w:rPr>
        <w:t>Artículo 7 apartados 1 a), 2 c), g), h), 3 b).</w:t>
      </w:r>
      <w:r w:rsidRPr="00E27756">
        <w:rPr>
          <w:rStyle w:val="TextoNormalCaracter"/>
        </w:rPr>
        <w:t>-</w:t>
      </w:r>
      <w:r>
        <w:t xml:space="preserve"> Sentencia </w:t>
      </w:r>
      <w:hyperlink w:anchor="SENTENCIA_2013_49" w:history="1">
        <w:r w:rsidRPr="00E27756">
          <w:rPr>
            <w:rStyle w:val="TextoNormalCaracter"/>
          </w:rPr>
          <w:t>49/2013</w:t>
        </w:r>
      </w:hyperlink>
      <w:r>
        <w:t>.</w:t>
      </w:r>
    </w:p>
    <w:p w:rsidR="00E27756" w:rsidRDefault="00E27756" w:rsidP="00E27756">
      <w:pPr>
        <w:pStyle w:val="SangriaFrancesaArticulo"/>
      </w:pPr>
      <w:r w:rsidRPr="00E27756">
        <w:rPr>
          <w:rStyle w:val="TextoNormalNegritaCaracter"/>
        </w:rPr>
        <w:t>Artículo 18.4 inciso in fine.</w:t>
      </w:r>
      <w:r w:rsidRPr="00E27756">
        <w:rPr>
          <w:rStyle w:val="TextoNormalCaracter"/>
        </w:rPr>
        <w:t>-</w:t>
      </w:r>
      <w:r>
        <w:t xml:space="preserve"> Sentencia </w:t>
      </w:r>
      <w:hyperlink w:anchor="SENTENCIA_2013_49" w:history="1">
        <w:r w:rsidRPr="00E27756">
          <w:rPr>
            <w:rStyle w:val="TextoNormalCaracter"/>
          </w:rPr>
          <w:t>49/2013</w:t>
        </w:r>
      </w:hyperlink>
      <w:r>
        <w:t>.</w:t>
      </w:r>
    </w:p>
    <w:p w:rsidR="00E27756" w:rsidRDefault="00E27756" w:rsidP="00E27756">
      <w:pPr>
        <w:pStyle w:val="SangriaFrancesaArticulo"/>
      </w:pPr>
      <w:r w:rsidRPr="00E27756">
        <w:rPr>
          <w:rStyle w:val="TextoNormalNegritaCaracter"/>
        </w:rPr>
        <w:t>Artículo 21 apartados 2, 4, 7.</w:t>
      </w:r>
      <w:r w:rsidRPr="00E27756">
        <w:rPr>
          <w:rStyle w:val="TextoNormalCaracter"/>
        </w:rPr>
        <w:t>-</w:t>
      </w:r>
      <w:r>
        <w:t xml:space="preserve"> Sentencia </w:t>
      </w:r>
      <w:hyperlink w:anchor="SENTENCIA_2013_49" w:history="1">
        <w:r w:rsidRPr="00E27756">
          <w:rPr>
            <w:rStyle w:val="TextoNormalCaracter"/>
          </w:rPr>
          <w:t>49/2013</w:t>
        </w:r>
      </w:hyperlink>
      <w:r>
        <w:t>.</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49" w:history="1">
        <w:r w:rsidRPr="00E27756">
          <w:rPr>
            <w:rStyle w:val="TextoNormalCaracter"/>
          </w:rPr>
          <w:t>49/2013</w:t>
        </w:r>
      </w:hyperlink>
      <w:r>
        <w:t>.</w:t>
      </w:r>
    </w:p>
    <w:p w:rsidR="00E27756" w:rsidRDefault="00E27756" w:rsidP="00E27756">
      <w:pPr>
        <w:pStyle w:val="SangriaFrancesaArticulo"/>
      </w:pPr>
      <w:r w:rsidRPr="00E27756">
        <w:rPr>
          <w:rStyle w:val="TextoNormalNegritaCaracter"/>
        </w:rPr>
        <w:t>Artículo 36.5.</w:t>
      </w:r>
      <w:r w:rsidRPr="00E27756">
        <w:rPr>
          <w:rStyle w:val="TextoNormalCaracter"/>
        </w:rPr>
        <w:t>-</w:t>
      </w:r>
      <w:r>
        <w:t xml:space="preserve"> Sentencia </w:t>
      </w:r>
      <w:hyperlink w:anchor="SENTENCIA_2013_49" w:history="1">
        <w:r w:rsidRPr="00E27756">
          <w:rPr>
            <w:rStyle w:val="TextoNormalCaracter"/>
          </w:rPr>
          <w:t>49/2013</w:t>
        </w:r>
      </w:hyperlink>
      <w:r>
        <w:t>.</w:t>
      </w:r>
    </w:p>
    <w:p w:rsidR="00E27756" w:rsidRDefault="00E27756" w:rsidP="00E27756">
      <w:pPr>
        <w:pStyle w:val="SangriaFrancesaArticulo"/>
      </w:pPr>
      <w:r w:rsidRPr="00E27756">
        <w:rPr>
          <w:rStyle w:val="TextoNormalNegritaCaracter"/>
        </w:rPr>
        <w:lastRenderedPageBreak/>
        <w:t>Artículo 37 a), b).</w:t>
      </w:r>
      <w:r w:rsidRPr="00E27756">
        <w:rPr>
          <w:rStyle w:val="TextoNormalCaracter"/>
        </w:rPr>
        <w:t>-</w:t>
      </w:r>
      <w:r>
        <w:t xml:space="preserve"> Sentencia </w:t>
      </w:r>
      <w:hyperlink w:anchor="SENTENCIA_2013_49" w:history="1">
        <w:r w:rsidRPr="00E27756">
          <w:rPr>
            <w:rStyle w:val="TextoNormalCaracter"/>
          </w:rPr>
          <w:t>49/2013</w:t>
        </w:r>
      </w:hyperlink>
      <w:r>
        <w:t>.</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49" w:history="1">
        <w:r w:rsidRPr="00E27756">
          <w:rPr>
            <w:rStyle w:val="TextoNormalCaracter"/>
          </w:rPr>
          <w:t>49/2013</w:t>
        </w:r>
      </w:hyperlink>
      <w:r>
        <w:t>.</w:t>
      </w:r>
    </w:p>
    <w:p w:rsidR="00E27756" w:rsidRDefault="00E27756" w:rsidP="00E27756">
      <w:pPr>
        <w:pStyle w:val="SangriaFrancesaArticulo"/>
      </w:pPr>
      <w:r w:rsidRPr="00E27756">
        <w:rPr>
          <w:rStyle w:val="TextoNormalNegritaCaracter"/>
        </w:rPr>
        <w:t>Artículo 46 apartados 1, 2.</w:t>
      </w:r>
      <w:r w:rsidRPr="00E27756">
        <w:rPr>
          <w:rStyle w:val="TextoNormalCaracter"/>
        </w:rPr>
        <w:t>-</w:t>
      </w:r>
      <w:r>
        <w:t xml:space="preserve"> Sentencia </w:t>
      </w:r>
      <w:hyperlink w:anchor="SENTENCIA_2013_49" w:history="1">
        <w:r w:rsidRPr="00E27756">
          <w:rPr>
            <w:rStyle w:val="TextoNormalCaracter"/>
          </w:rPr>
          <w:t>49/2013</w:t>
        </w:r>
      </w:hyperlink>
      <w:r>
        <w:t>.</w:t>
      </w:r>
    </w:p>
    <w:p w:rsidR="00E27756" w:rsidRDefault="00E27756" w:rsidP="00E27756">
      <w:pPr>
        <w:pStyle w:val="SangriaFrancesaArticulo"/>
      </w:pPr>
      <w:r w:rsidRPr="00E27756">
        <w:rPr>
          <w:rStyle w:val="TextoNormalNegritaCaracter"/>
        </w:rPr>
        <w:t>Artículo 47 apartados 1, 3.</w:t>
      </w:r>
      <w:r w:rsidRPr="00E27756">
        <w:rPr>
          <w:rStyle w:val="TextoNormalCaracter"/>
        </w:rPr>
        <w:t>-</w:t>
      </w:r>
      <w:r>
        <w:t xml:space="preserve"> Sentencia </w:t>
      </w:r>
      <w:hyperlink w:anchor="SENTENCIA_2013_49" w:history="1">
        <w:r w:rsidRPr="00E27756">
          <w:rPr>
            <w:rStyle w:val="TextoNormalCaracter"/>
          </w:rPr>
          <w:t>49/2013</w:t>
        </w:r>
      </w:hyperlink>
      <w:r>
        <w:t>.</w:t>
      </w:r>
    </w:p>
    <w:p w:rsidR="00E27756" w:rsidRDefault="00E27756" w:rsidP="00E27756">
      <w:pPr>
        <w:pStyle w:val="SangriaFrancesaArticulo"/>
      </w:pPr>
      <w:r w:rsidRPr="00E27756">
        <w:rPr>
          <w:rStyle w:val="TextoNormalNegritaCaracter"/>
        </w:rPr>
        <w:t>Artículo 49.2 inciso in fine.</w:t>
      </w:r>
      <w:r w:rsidRPr="00E27756">
        <w:rPr>
          <w:rStyle w:val="TextoNormalCaracter"/>
        </w:rPr>
        <w:t>-</w:t>
      </w:r>
      <w:r>
        <w:t xml:space="preserve"> Sentencia </w:t>
      </w:r>
      <w:hyperlink w:anchor="SENTENCIA_2013_49" w:history="1">
        <w:r w:rsidRPr="00E27756">
          <w:rPr>
            <w:rStyle w:val="TextoNormalCaracter"/>
          </w:rPr>
          <w:t>49/2013</w:t>
        </w:r>
      </w:hyperlink>
      <w:r>
        <w:t>.</w:t>
      </w:r>
    </w:p>
    <w:p w:rsidR="00E27756" w:rsidRDefault="00E27756" w:rsidP="00E27756">
      <w:pPr>
        <w:pStyle w:val="SangriaFrancesaArticulo"/>
      </w:pPr>
      <w:r w:rsidRPr="00E27756">
        <w:rPr>
          <w:rStyle w:val="TextoNormalNegritaCaracter"/>
        </w:rPr>
        <w:t>Artículo 50.1</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84" w:history="1">
        <w:r w:rsidRPr="00E27756">
          <w:rPr>
            <w:rStyle w:val="TextoNormalCaracter"/>
          </w:rPr>
          <w:t>84/2013</w:t>
        </w:r>
      </w:hyperlink>
      <w:r>
        <w:t>.</w:t>
      </w:r>
    </w:p>
    <w:p w:rsidR="00E27756" w:rsidRDefault="00E27756" w:rsidP="00E27756">
      <w:pPr>
        <w:pStyle w:val="SangriaFrancesaArticulo"/>
      </w:pPr>
      <w:r w:rsidRPr="00E27756">
        <w:rPr>
          <w:rStyle w:val="TextoNormalNegritaCaracter"/>
        </w:rPr>
        <w:t>Artículo 54 bis</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84" w:history="1">
        <w:r w:rsidRPr="00E27756">
          <w:rPr>
            <w:rStyle w:val="TextoNormalCaracter"/>
          </w:rPr>
          <w:t>84/2013</w:t>
        </w:r>
      </w:hyperlink>
      <w:r>
        <w:t>.</w:t>
      </w:r>
    </w:p>
    <w:p w:rsidR="00E27756" w:rsidRDefault="00E27756" w:rsidP="00E27756">
      <w:pPr>
        <w:pStyle w:val="SangriaFrancesaArticulo"/>
      </w:pPr>
      <w:r w:rsidRPr="00E27756">
        <w:rPr>
          <w:rStyle w:val="TextoNormalNegritaCaracter"/>
        </w:rPr>
        <w:t>Artículo 56.1.</w:t>
      </w:r>
      <w:r w:rsidRPr="00E27756">
        <w:rPr>
          <w:rStyle w:val="TextoNormalCaracter"/>
        </w:rPr>
        <w:t>-</w:t>
      </w:r>
      <w:r>
        <w:t xml:space="preserve"> Sentencia </w:t>
      </w:r>
      <w:hyperlink w:anchor="SENTENCIA_2013_49" w:history="1">
        <w:r w:rsidRPr="00E27756">
          <w:rPr>
            <w:rStyle w:val="TextoNormalCaracter"/>
          </w:rPr>
          <w:t>49/2013</w:t>
        </w:r>
      </w:hyperlink>
      <w:r>
        <w:t>.</w:t>
      </w:r>
    </w:p>
    <w:p w:rsidR="00E27756" w:rsidRDefault="00E27756" w:rsidP="00E27756">
      <w:pPr>
        <w:pStyle w:val="SangriaFrancesaArticulo"/>
      </w:pPr>
      <w:r w:rsidRPr="00E27756">
        <w:rPr>
          <w:rStyle w:val="TextoNormalNegritaCaracter"/>
        </w:rPr>
        <w:t>Artículo 63.</w:t>
      </w:r>
      <w:r w:rsidRPr="00E27756">
        <w:rPr>
          <w:rStyle w:val="TextoNormalCaracter"/>
        </w:rPr>
        <w:t>-</w:t>
      </w:r>
      <w:r>
        <w:t xml:space="preserve"> Sentencia </w:t>
      </w:r>
      <w:hyperlink w:anchor="SENTENCIA_2013_49" w:history="1">
        <w:r w:rsidRPr="00E27756">
          <w:rPr>
            <w:rStyle w:val="TextoNormalCaracter"/>
          </w:rPr>
          <w:t>49/2013</w:t>
        </w:r>
      </w:hyperlink>
      <w:r>
        <w:t>.</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Sentencia </w:t>
      </w:r>
      <w:hyperlink w:anchor="SENTENCIA_2013_49" w:history="1">
        <w:r w:rsidRPr="00E27756">
          <w:rPr>
            <w:rStyle w:val="TextoNormalCaracter"/>
          </w:rPr>
          <w:t>49/2013</w:t>
        </w:r>
      </w:hyperlink>
      <w:r>
        <w:t>.</w:t>
      </w:r>
    </w:p>
    <w:p w:rsidR="00E27756" w:rsidRDefault="00E27756" w:rsidP="00E27756">
      <w:pPr>
        <w:pStyle w:val="SangriaFrancesaArticulo"/>
      </w:pPr>
      <w:r w:rsidRPr="00E27756">
        <w:rPr>
          <w:rStyle w:val="TextoNormalNegritaCaracter"/>
        </w:rPr>
        <w:t>Disposición transitoria tercera.</w:t>
      </w:r>
      <w:r w:rsidRPr="00E27756">
        <w:rPr>
          <w:rStyle w:val="TextoNormalCaracter"/>
        </w:rPr>
        <w:t>-</w:t>
      </w:r>
      <w:r>
        <w:t xml:space="preserve"> Sentencia </w:t>
      </w:r>
      <w:hyperlink w:anchor="SENTENCIA_2013_49" w:history="1">
        <w:r w:rsidRPr="00E27756">
          <w:rPr>
            <w:rStyle w:val="TextoNormalCaracter"/>
          </w:rPr>
          <w:t>49/2013</w:t>
        </w:r>
      </w:hyperlink>
      <w:r>
        <w:t>.</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Sentencia </w:t>
      </w:r>
      <w:hyperlink w:anchor="SENTENCIA_2013_49" w:history="1">
        <w:r w:rsidRPr="00E27756">
          <w:rPr>
            <w:rStyle w:val="TextoNormalCaracter"/>
          </w:rPr>
          <w:t>49/2013</w:t>
        </w:r>
      </w:hyperlink>
      <w:r>
        <w:t xml:space="preserve"> (declara inconstitucional).</w:t>
      </w:r>
    </w:p>
    <w:p w:rsidR="00E27756" w:rsidRDefault="00E27756" w:rsidP="00E27756">
      <w:pPr>
        <w:pStyle w:val="SangriaFrancesaArticulo"/>
      </w:pPr>
      <w:r w:rsidRPr="00E27756">
        <w:rPr>
          <w:rStyle w:val="TextoNormalNegritaCaracter"/>
        </w:rPr>
        <w:t>Disposición final tercera.</w:t>
      </w:r>
      <w:r w:rsidRPr="00E27756">
        <w:rPr>
          <w:rStyle w:val="TextoNormalCaracter"/>
        </w:rPr>
        <w:t>-</w:t>
      </w:r>
      <w:r>
        <w:t xml:space="preserve"> Sentencia </w:t>
      </w:r>
      <w:hyperlink w:anchor="SENTENCIA_2013_49" w:history="1">
        <w:r w:rsidRPr="00E27756">
          <w:rPr>
            <w:rStyle w:val="TextoNormalCaracter"/>
          </w:rPr>
          <w:t>49/2013</w:t>
        </w:r>
      </w:hyperlink>
      <w:r>
        <w:t>.</w:t>
      </w:r>
    </w:p>
    <w:p w:rsidR="00E27756" w:rsidRDefault="00E27756" w:rsidP="00E27756">
      <w:pPr>
        <w:pStyle w:val="SangriaFrancesaArticulo"/>
      </w:pPr>
    </w:p>
    <w:p w:rsidR="00E27756" w:rsidRDefault="00E27756" w:rsidP="00E27756">
      <w:pPr>
        <w:pStyle w:val="TextoNormalNegritaCursivandice"/>
      </w:pPr>
      <w:r>
        <w:t>Ley 55/2003, de 16 de diciembre. Estatuto marco del personal estatutario de los servicios de salud</w:t>
      </w:r>
    </w:p>
    <w:p w:rsidR="00E27756" w:rsidRDefault="00E27756" w:rsidP="00E27756">
      <w:pPr>
        <w:pStyle w:val="SangriaFrancesaArticulo"/>
      </w:pPr>
      <w:r w:rsidRPr="00E27756">
        <w:rPr>
          <w:rStyle w:val="TextoNormalNegritaCaracter"/>
        </w:rPr>
        <w:t>Artículo 26.2.</w:t>
      </w:r>
      <w:r w:rsidRPr="00E27756">
        <w:rPr>
          <w:rStyle w:val="TextoNormalCaracter"/>
        </w:rPr>
        <w:t>-</w:t>
      </w:r>
      <w:r>
        <w:t xml:space="preserve"> Auto </w:t>
      </w:r>
      <w:hyperlink w:anchor="AUTO_2013_125" w:history="1">
        <w:r w:rsidRPr="00E27756">
          <w:rPr>
            <w:rStyle w:val="TextoNormalCaracter"/>
          </w:rPr>
          <w:t>125/2013</w:t>
        </w:r>
      </w:hyperlink>
      <w:r>
        <w:t>.</w:t>
      </w:r>
    </w:p>
    <w:p w:rsidR="00E27756" w:rsidRDefault="00E27756" w:rsidP="00E27756">
      <w:pPr>
        <w:pStyle w:val="SangriaFrancesaArticulo"/>
      </w:pPr>
    </w:p>
    <w:p w:rsidR="00E27756" w:rsidRDefault="00E27756" w:rsidP="00E27756">
      <w:pPr>
        <w:pStyle w:val="TextoNormalNegritaCursivandice"/>
      </w:pPr>
      <w:r>
        <w:t>Ley 57/2003, de 16 de diciembre. Medidas para la modernización del gobierno local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94" w:history="1">
        <w:r w:rsidRPr="00E27756">
          <w:rPr>
            <w:rStyle w:val="TextoNormalCaracter"/>
          </w:rPr>
          <w:t>94/2013</w:t>
        </w:r>
      </w:hyperlink>
      <w:r>
        <w:t>.</w:t>
      </w:r>
    </w:p>
    <w:p w:rsidR="00E27756" w:rsidRDefault="00E27756" w:rsidP="00E27756">
      <w:pPr>
        <w:pStyle w:val="SangriaFrancesaArticulo"/>
      </w:pPr>
      <w:r w:rsidRPr="00E27756">
        <w:rPr>
          <w:rStyle w:val="TextoNormalNegritaCaracter"/>
        </w:rPr>
        <w:t>Disposición final primera en cuanto declara básicos unos determinados artículos.</w:t>
      </w:r>
      <w:r w:rsidRPr="00E27756">
        <w:rPr>
          <w:rStyle w:val="TextoNormalCaracter"/>
        </w:rPr>
        <w:t>-</w:t>
      </w:r>
      <w:r>
        <w:t xml:space="preserve"> Sentencia </w:t>
      </w:r>
      <w:hyperlink w:anchor="SENTENCIA_2013_103" w:history="1">
        <w:r w:rsidRPr="00E27756">
          <w:rPr>
            <w:rStyle w:val="TextoNormalCaracter"/>
          </w:rPr>
          <w:t>103/2013</w:t>
        </w:r>
      </w:hyperlink>
      <w:r>
        <w:t>.</w:t>
      </w:r>
    </w:p>
    <w:p w:rsidR="00E27756" w:rsidRDefault="00E27756" w:rsidP="00E27756">
      <w:pPr>
        <w:pStyle w:val="SangriaFrancesaArticulo"/>
      </w:pPr>
    </w:p>
    <w:p w:rsidR="00E27756" w:rsidRDefault="00E27756" w:rsidP="00E27756">
      <w:pPr>
        <w:pStyle w:val="TextoNormalNegritaCursivandice"/>
      </w:pPr>
      <w:r>
        <w:t>Ley 62/2003, de 30 de diciembre. Medidas fiscales, administrativas y del orden social</w:t>
      </w:r>
    </w:p>
    <w:p w:rsidR="00E27756" w:rsidRDefault="00E27756" w:rsidP="00E27756">
      <w:pPr>
        <w:pStyle w:val="SangriaFrancesaArticulo"/>
      </w:pPr>
      <w:r w:rsidRPr="00E27756">
        <w:rPr>
          <w:rStyle w:val="TextoNormalNegritaCaracter"/>
        </w:rPr>
        <w:t>Artículo 46.17.</w:t>
      </w:r>
      <w:r w:rsidRPr="00E27756">
        <w:rPr>
          <w:rStyle w:val="TextoNormalCaracter"/>
        </w:rPr>
        <w:t>-</w:t>
      </w:r>
      <w:r>
        <w:t xml:space="preserve"> Sentencia </w:t>
      </w:r>
      <w:hyperlink w:anchor="SENTENCIA_2013_104" w:history="1">
        <w:r w:rsidRPr="00E27756">
          <w:rPr>
            <w:rStyle w:val="TextoNormalCaracter"/>
          </w:rPr>
          <w:t>104/2013</w:t>
        </w:r>
      </w:hyperlink>
      <w:r>
        <w:t xml:space="preserve"> (anula).</w:t>
      </w:r>
    </w:p>
    <w:p w:rsidR="00E27756" w:rsidRDefault="00E27756" w:rsidP="00E27756">
      <w:pPr>
        <w:pStyle w:val="SangriaFrancesaArticulo"/>
      </w:pPr>
      <w:r w:rsidRPr="00E27756">
        <w:rPr>
          <w:rStyle w:val="TextoNormalNegritaCaracter"/>
        </w:rPr>
        <w:t>Artículo 126.1.</w:t>
      </w:r>
      <w:r w:rsidRPr="00E27756">
        <w:rPr>
          <w:rStyle w:val="TextoNormalCaracter"/>
        </w:rPr>
        <w:t>-</w:t>
      </w:r>
      <w:r>
        <w:t xml:space="preserve"> Sentencia </w:t>
      </w:r>
      <w:hyperlink w:anchor="SENTENCIA_2013_111" w:history="1">
        <w:r w:rsidRPr="00E27756">
          <w:rPr>
            <w:rStyle w:val="TextoNormalCaracter"/>
          </w:rPr>
          <w:t>111/2013</w:t>
        </w:r>
      </w:hyperlink>
      <w:r>
        <w:t>.</w:t>
      </w:r>
    </w:p>
    <w:p w:rsidR="00E27756" w:rsidRDefault="00E27756" w:rsidP="00E27756">
      <w:pPr>
        <w:pStyle w:val="SangriaFrancesaArticulo"/>
      </w:pPr>
      <w:r w:rsidRPr="00E27756">
        <w:rPr>
          <w:rStyle w:val="TextoNormalNegritaCaracter"/>
        </w:rPr>
        <w:t>Artículo 126.2.</w:t>
      </w:r>
      <w:r w:rsidRPr="00E27756">
        <w:rPr>
          <w:rStyle w:val="TextoNormalCaracter"/>
        </w:rPr>
        <w:t>-</w:t>
      </w:r>
      <w:r>
        <w:t xml:space="preserve"> Sentencia </w:t>
      </w:r>
      <w:hyperlink w:anchor="SENTENCIA_2013_111" w:history="1">
        <w:r w:rsidRPr="00E27756">
          <w:rPr>
            <w:rStyle w:val="TextoNormalCaracter"/>
          </w:rPr>
          <w:t>111/2013</w:t>
        </w:r>
      </w:hyperlink>
      <w:r>
        <w:t>.</w:t>
      </w:r>
    </w:p>
    <w:p w:rsidR="00E27756" w:rsidRDefault="00E27756" w:rsidP="00E27756">
      <w:pPr>
        <w:pStyle w:val="SangriaFrancesaArticulo"/>
      </w:pPr>
      <w:r w:rsidRPr="00E27756">
        <w:rPr>
          <w:rStyle w:val="TextoNormalNegritaCaracter"/>
        </w:rPr>
        <w:t>Artículo 126.3.</w:t>
      </w:r>
      <w:r w:rsidRPr="00E27756">
        <w:rPr>
          <w:rStyle w:val="TextoNormalCaracter"/>
        </w:rPr>
        <w:t>-</w:t>
      </w:r>
      <w:r>
        <w:t xml:space="preserve"> Sentencia </w:t>
      </w:r>
      <w:hyperlink w:anchor="SENTENCIA_2013_111" w:history="1">
        <w:r w:rsidRPr="00E27756">
          <w:rPr>
            <w:rStyle w:val="TextoNormalCaracter"/>
          </w:rPr>
          <w:t>111/2013</w:t>
        </w:r>
      </w:hyperlink>
      <w:r>
        <w:t>.</w:t>
      </w:r>
    </w:p>
    <w:p w:rsidR="00E27756" w:rsidRDefault="00E27756" w:rsidP="00E27756">
      <w:pPr>
        <w:pStyle w:val="SangriaFrancesaArticulo"/>
      </w:pPr>
      <w:r w:rsidRPr="00E27756">
        <w:rPr>
          <w:rStyle w:val="TextoNormalNegritaCaracter"/>
        </w:rPr>
        <w:t>Artículo 127.3.</w:t>
      </w:r>
      <w:r w:rsidRPr="00E27756">
        <w:rPr>
          <w:rStyle w:val="TextoNormalCaracter"/>
        </w:rPr>
        <w:t>-</w:t>
      </w:r>
      <w:r>
        <w:t xml:space="preserve"> Sentencia </w:t>
      </w:r>
      <w:hyperlink w:anchor="SENTENCIA_2013_111" w:history="1">
        <w:r w:rsidRPr="00E27756">
          <w:rPr>
            <w:rStyle w:val="TextoNormalCaracter"/>
          </w:rPr>
          <w:t>111/2013</w:t>
        </w:r>
      </w:hyperlink>
      <w:r>
        <w:t>.</w:t>
      </w:r>
    </w:p>
    <w:p w:rsidR="00E27756" w:rsidRDefault="00E27756" w:rsidP="00E27756">
      <w:pPr>
        <w:pStyle w:val="SangriaFrancesaArticulo"/>
      </w:pPr>
      <w:r w:rsidRPr="00E27756">
        <w:rPr>
          <w:rStyle w:val="TextoNormalNegritaCaracter"/>
        </w:rPr>
        <w:t>Artículo 127.4.</w:t>
      </w:r>
      <w:r w:rsidRPr="00E27756">
        <w:rPr>
          <w:rStyle w:val="TextoNormalCaracter"/>
        </w:rPr>
        <w:t>-</w:t>
      </w:r>
      <w:r>
        <w:t xml:space="preserve"> Sentencia </w:t>
      </w:r>
      <w:hyperlink w:anchor="SENTENCIA_2013_111" w:history="1">
        <w:r w:rsidRPr="00E27756">
          <w:rPr>
            <w:rStyle w:val="TextoNormalCaracter"/>
          </w:rPr>
          <w:t>111/2013</w:t>
        </w:r>
      </w:hyperlink>
      <w:r>
        <w:t>.</w:t>
      </w:r>
    </w:p>
    <w:p w:rsidR="00E27756" w:rsidRDefault="00E27756" w:rsidP="00E27756">
      <w:pPr>
        <w:pStyle w:val="SangriaFrancesaArticulo"/>
      </w:pPr>
      <w:r w:rsidRPr="00E27756">
        <w:rPr>
          <w:rStyle w:val="TextoNormalNegritaCaracter"/>
        </w:rPr>
        <w:t>Artículo 128.2.</w:t>
      </w:r>
      <w:r w:rsidRPr="00E27756">
        <w:rPr>
          <w:rStyle w:val="TextoNormalCaracter"/>
        </w:rPr>
        <w:t>-</w:t>
      </w:r>
      <w:r>
        <w:t xml:space="preserve"> Sentencia </w:t>
      </w:r>
      <w:hyperlink w:anchor="SENTENCIA_2013_111" w:history="1">
        <w:r w:rsidRPr="00E27756">
          <w:rPr>
            <w:rStyle w:val="TextoNormalCaracter"/>
          </w:rPr>
          <w:t>111/2013</w:t>
        </w:r>
      </w:hyperlink>
      <w:r>
        <w:t>.</w:t>
      </w:r>
    </w:p>
    <w:p w:rsidR="00E27756" w:rsidRDefault="00E27756" w:rsidP="00E27756">
      <w:pPr>
        <w:pStyle w:val="SangriaFrancesaArticulo"/>
      </w:pPr>
      <w:r w:rsidRPr="00E27756">
        <w:rPr>
          <w:rStyle w:val="TextoNormalNegritaCaracter"/>
        </w:rPr>
        <w:t>Artículo 129.</w:t>
      </w:r>
      <w:r w:rsidRPr="00E27756">
        <w:rPr>
          <w:rStyle w:val="TextoNormalCaracter"/>
        </w:rPr>
        <w:t>-</w:t>
      </w:r>
      <w:r>
        <w:t xml:space="preserve"> Sentencia </w:t>
      </w:r>
      <w:hyperlink w:anchor="SENTENCIA_2013_36" w:history="1">
        <w:r w:rsidRPr="00E27756">
          <w:rPr>
            <w:rStyle w:val="TextoNormalCaracter"/>
          </w:rPr>
          <w:t>36/2013</w:t>
        </w:r>
      </w:hyperlink>
      <w:r>
        <w:t>.</w:t>
      </w:r>
    </w:p>
    <w:p w:rsidR="00E27756" w:rsidRDefault="00E27756" w:rsidP="00E27756">
      <w:pPr>
        <w:pStyle w:val="SangriaFrancesaArticulo"/>
      </w:pPr>
      <w:r w:rsidRPr="00E27756">
        <w:rPr>
          <w:rStyle w:val="TextoNormalNegritaCaracter"/>
        </w:rPr>
        <w:t>Disposición trigésima.</w:t>
      </w:r>
      <w:r w:rsidRPr="00E27756">
        <w:rPr>
          <w:rStyle w:val="TextoNormalCaracter"/>
        </w:rPr>
        <w:t>-</w:t>
      </w:r>
      <w:r>
        <w:t xml:space="preserve"> Sentencia </w:t>
      </w:r>
      <w:hyperlink w:anchor="SENTENCIA_2013_104" w:history="1">
        <w:r w:rsidRPr="00E27756">
          <w:rPr>
            <w:rStyle w:val="TextoNormalCaracter"/>
          </w:rPr>
          <w:t>104/2013</w:t>
        </w:r>
      </w:hyperlink>
      <w:r>
        <w:t>.</w:t>
      </w:r>
    </w:p>
    <w:p w:rsidR="00E27756" w:rsidRDefault="00E27756" w:rsidP="00E27756">
      <w:pPr>
        <w:pStyle w:val="SangriaFrancesaArticulo"/>
      </w:pPr>
      <w:r w:rsidRPr="00E27756">
        <w:rPr>
          <w:rStyle w:val="TextoNormalNegritaCaracter"/>
        </w:rPr>
        <w:t>Artículo 129.</w:t>
      </w:r>
      <w:r w:rsidRPr="00E27756">
        <w:rPr>
          <w:rStyle w:val="TextoNormalCaracter"/>
        </w:rPr>
        <w:t>-</w:t>
      </w:r>
      <w:r>
        <w:t xml:space="preserve"> Sentencia </w:t>
      </w:r>
      <w:hyperlink w:anchor="SENTENCIA_2013_111" w:history="1">
        <w:r w:rsidRPr="00E27756">
          <w:rPr>
            <w:rStyle w:val="TextoNormalCaracter"/>
          </w:rPr>
          <w:t>111/2013</w:t>
        </w:r>
      </w:hyperlink>
      <w:r>
        <w:t>.</w:t>
      </w:r>
    </w:p>
    <w:p w:rsidR="00E27756" w:rsidRDefault="00E27756" w:rsidP="00E27756">
      <w:pPr>
        <w:pStyle w:val="SangriaFrancesaArticulo"/>
      </w:pPr>
      <w:r w:rsidRPr="00E27756">
        <w:rPr>
          <w:rStyle w:val="TextoNormalNegritaCaracter"/>
        </w:rPr>
        <w:t>Artículo 129.21.</w:t>
      </w:r>
      <w:r w:rsidRPr="00E27756">
        <w:rPr>
          <w:rStyle w:val="TextoNormalCaracter"/>
        </w:rPr>
        <w:t>-</w:t>
      </w:r>
      <w:r>
        <w:t xml:space="preserve"> Sentencia </w:t>
      </w:r>
      <w:hyperlink w:anchor="SENTENCIA_2013_104" w:history="1">
        <w:r w:rsidRPr="00E27756">
          <w:rPr>
            <w:rStyle w:val="TextoNormalCaracter"/>
          </w:rPr>
          <w:t>104/2013</w:t>
        </w:r>
      </w:hyperlink>
      <w:r>
        <w:t xml:space="preserve"> (interpreta).</w:t>
      </w:r>
    </w:p>
    <w:p w:rsidR="00E27756" w:rsidRDefault="00E27756" w:rsidP="00E27756">
      <w:pPr>
        <w:pStyle w:val="SangriaFrancesaArticulo"/>
      </w:pPr>
      <w:r w:rsidRPr="00E27756">
        <w:rPr>
          <w:rStyle w:val="TextoNormalNegritaCaracter"/>
        </w:rPr>
        <w:t>Disposición adicional vigésimo tercera.</w:t>
      </w:r>
      <w:r w:rsidRPr="00E27756">
        <w:rPr>
          <w:rStyle w:val="TextoNormalCaracter"/>
        </w:rPr>
        <w:t>-</w:t>
      </w:r>
      <w:r>
        <w:t xml:space="preserve"> Sentencia </w:t>
      </w:r>
      <w:hyperlink w:anchor="SENTENCIA_2013_104" w:history="1">
        <w:r w:rsidRPr="00E27756">
          <w:rPr>
            <w:rStyle w:val="TextoNormalCaracter"/>
          </w:rPr>
          <w:t>104/2013</w:t>
        </w:r>
      </w:hyperlink>
      <w:r>
        <w:t>.</w:t>
      </w:r>
    </w:p>
    <w:p w:rsidR="00E27756" w:rsidRDefault="00E27756" w:rsidP="00E27756">
      <w:pPr>
        <w:pStyle w:val="SangriaFrancesaArticulo"/>
      </w:pPr>
      <w:r w:rsidRPr="00E27756">
        <w:rPr>
          <w:rStyle w:val="TextoNormalNegritaCaracter"/>
        </w:rPr>
        <w:t>Disposición adicional trigésima.</w:t>
      </w:r>
      <w:r w:rsidRPr="00E27756">
        <w:rPr>
          <w:rStyle w:val="TextoNormalCaracter"/>
        </w:rPr>
        <w:t>-</w:t>
      </w:r>
      <w:r>
        <w:t xml:space="preserve"> Sentencia </w:t>
      </w:r>
      <w:hyperlink w:anchor="SENTENCIA_2013_104" w:history="1">
        <w:r w:rsidRPr="00E27756">
          <w:rPr>
            <w:rStyle w:val="TextoNormalCaracter"/>
          </w:rPr>
          <w:t>104/2013</w:t>
        </w:r>
      </w:hyperlink>
      <w:r>
        <w:t>.</w:t>
      </w:r>
    </w:p>
    <w:p w:rsidR="00E27756" w:rsidRDefault="00E27756" w:rsidP="00E27756">
      <w:pPr>
        <w:pStyle w:val="SangriaFrancesaArticulo"/>
      </w:pPr>
    </w:p>
    <w:p w:rsidR="00E27756" w:rsidRDefault="00E27756" w:rsidP="00E27756">
      <w:pPr>
        <w:pStyle w:val="TextoNormalNegritaCursivandice"/>
      </w:pPr>
      <w:r>
        <w:t>Real Decreto-ley 2/2004, de 18 de junio. Modificación de la Ley 10/2001, de 5 de julio. Plan hidrológico nacional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51" w:history="1">
        <w:r w:rsidRPr="00E27756">
          <w:rPr>
            <w:rStyle w:val="TextoNormalCaracter"/>
          </w:rPr>
          <w:t>51/2013</w:t>
        </w:r>
      </w:hyperlink>
      <w:r>
        <w:t xml:space="preserve">; </w:t>
      </w:r>
      <w:hyperlink w:anchor="SENTENCIA_2013_63" w:history="1">
        <w:r w:rsidRPr="00E27756">
          <w:rPr>
            <w:rStyle w:val="TextoNormalCaracter"/>
          </w:rPr>
          <w:t>63/2013</w:t>
        </w:r>
      </w:hyperlink>
      <w:r>
        <w:t xml:space="preserve">; </w:t>
      </w:r>
      <w:hyperlink w:anchor="SENTENCIA_2013_64" w:history="1">
        <w:r w:rsidRPr="00E27756">
          <w:rPr>
            <w:rStyle w:val="TextoNormalCaracter"/>
          </w:rPr>
          <w:t>64/2013</w:t>
        </w:r>
      </w:hyperlink>
      <w:r>
        <w:t>.</w:t>
      </w:r>
    </w:p>
    <w:p w:rsidR="00E27756" w:rsidRDefault="00E27756" w:rsidP="00E27756">
      <w:pPr>
        <w:pStyle w:val="SangriaFrancesaArticulo"/>
      </w:pPr>
    </w:p>
    <w:p w:rsidR="00E27756" w:rsidRDefault="00E27756" w:rsidP="00E27756">
      <w:pPr>
        <w:pStyle w:val="TextoNormalNegritaCursivandice"/>
      </w:pPr>
      <w:r>
        <w:t>Ley 11/2005, de 22 de junio. Modificación de la Ley 10/2001, de 5 de julio, del Plan hidrológico nacional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9" w:history="1">
        <w:r w:rsidRPr="00E27756">
          <w:rPr>
            <w:rStyle w:val="TextoNormalCaracter"/>
          </w:rPr>
          <w:t>19/2013</w:t>
        </w:r>
      </w:hyperlink>
      <w:r>
        <w:t>.</w:t>
      </w:r>
    </w:p>
    <w:p w:rsidR="00E27756" w:rsidRDefault="00E27756" w:rsidP="00E27756">
      <w:pPr>
        <w:pStyle w:val="SangriaFrancesaArticulo"/>
      </w:pPr>
    </w:p>
    <w:p w:rsidR="00E27756" w:rsidRDefault="00E27756" w:rsidP="00E27756">
      <w:pPr>
        <w:pStyle w:val="TextoNormalNegritaCursivandice"/>
      </w:pPr>
      <w:r>
        <w:t>Ley 21/2005, de 17 de noviembre. Restitución a la Generalidad de Cataluña de los documentos del Archivo general de la guerra civil y creación del Centro documental de la memoria histórica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8" w:history="1">
        <w:r w:rsidRPr="00E27756">
          <w:rPr>
            <w:rStyle w:val="TextoNormalCaracter"/>
          </w:rPr>
          <w:t>68/2013</w:t>
        </w:r>
      </w:hyperlink>
      <w:r>
        <w:t>.</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Sentencias </w:t>
      </w:r>
      <w:hyperlink w:anchor="SENTENCIA_2013_20" w:history="1">
        <w:r w:rsidRPr="00E27756">
          <w:rPr>
            <w:rStyle w:val="TextoNormalCaracter"/>
          </w:rPr>
          <w:t>20/2013</w:t>
        </w:r>
      </w:hyperlink>
      <w:r>
        <w:t xml:space="preserve">; </w:t>
      </w:r>
      <w:hyperlink w:anchor="SENTENCIA_2013_67" w:history="1">
        <w:r w:rsidRPr="00E27756">
          <w:rPr>
            <w:rStyle w:val="TextoNormalCaracter"/>
          </w:rPr>
          <w:t>67/2013</w:t>
        </w:r>
      </w:hyperlink>
      <w:r>
        <w:t xml:space="preserve">; </w:t>
      </w:r>
      <w:hyperlink w:anchor="SENTENCIA_2013_68" w:history="1">
        <w:r w:rsidRPr="00E27756">
          <w:rPr>
            <w:rStyle w:val="TextoNormalCaracter"/>
          </w:rPr>
          <w:t>68/2013</w:t>
        </w:r>
      </w:hyperlink>
      <w:r>
        <w:t>.</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Sentencias </w:t>
      </w:r>
      <w:hyperlink w:anchor="SENTENCIA_2013_20" w:history="1">
        <w:r w:rsidRPr="00E27756">
          <w:rPr>
            <w:rStyle w:val="TextoNormalCaracter"/>
          </w:rPr>
          <w:t>20/2013</w:t>
        </w:r>
      </w:hyperlink>
      <w:r>
        <w:t xml:space="preserve">; </w:t>
      </w:r>
      <w:hyperlink w:anchor="SENTENCIA_2013_67" w:history="1">
        <w:r w:rsidRPr="00E27756">
          <w:rPr>
            <w:rStyle w:val="TextoNormalCaracter"/>
          </w:rPr>
          <w:t>67/2013</w:t>
        </w:r>
      </w:hyperlink>
      <w:r>
        <w:t xml:space="preserve">; </w:t>
      </w:r>
      <w:hyperlink w:anchor="SENTENCIA_2013_68" w:history="1">
        <w:r w:rsidRPr="00E27756">
          <w:rPr>
            <w:rStyle w:val="TextoNormalCaracter"/>
          </w:rPr>
          <w:t>68/2013</w:t>
        </w:r>
      </w:hyperlink>
      <w:r>
        <w:t>.</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68" w:history="1">
        <w:r w:rsidRPr="00E27756">
          <w:rPr>
            <w:rStyle w:val="TextoNormalCaracter"/>
          </w:rPr>
          <w:t>68/2013</w:t>
        </w:r>
      </w:hyperlink>
      <w:r>
        <w:t>.</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Sentencias </w:t>
      </w:r>
      <w:hyperlink w:anchor="SENTENCIA_2013_20" w:history="1">
        <w:r w:rsidRPr="00E27756">
          <w:rPr>
            <w:rStyle w:val="TextoNormalCaracter"/>
          </w:rPr>
          <w:t>20/2013</w:t>
        </w:r>
      </w:hyperlink>
      <w:r>
        <w:t xml:space="preserve">; </w:t>
      </w:r>
      <w:hyperlink w:anchor="SENTENCIA_2013_67" w:history="1">
        <w:r w:rsidRPr="00E27756">
          <w:rPr>
            <w:rStyle w:val="TextoNormalCaracter"/>
          </w:rPr>
          <w:t>67/2013</w:t>
        </w:r>
      </w:hyperlink>
      <w:r>
        <w:t>.</w:t>
      </w:r>
    </w:p>
    <w:p w:rsidR="00E27756" w:rsidRDefault="00E27756" w:rsidP="00E27756">
      <w:pPr>
        <w:pStyle w:val="SangriaFrancesaArticulo"/>
      </w:pPr>
      <w:r w:rsidRPr="00E27756">
        <w:rPr>
          <w:rStyle w:val="TextoNormalNegritaCaracter"/>
        </w:rPr>
        <w:t>Artículo 3.3.</w:t>
      </w:r>
      <w:r w:rsidRPr="00E27756">
        <w:rPr>
          <w:rStyle w:val="TextoNormalCaracter"/>
        </w:rPr>
        <w:t>-</w:t>
      </w:r>
      <w:r>
        <w:t xml:space="preserve"> Sentencias </w:t>
      </w:r>
      <w:hyperlink w:anchor="SENTENCIA_2013_20" w:history="1">
        <w:r w:rsidRPr="00E27756">
          <w:rPr>
            <w:rStyle w:val="TextoNormalCaracter"/>
          </w:rPr>
          <w:t>20/2013</w:t>
        </w:r>
      </w:hyperlink>
      <w:r>
        <w:t xml:space="preserve">; </w:t>
      </w:r>
      <w:hyperlink w:anchor="SENTENCIA_2013_67" w:history="1">
        <w:r w:rsidRPr="00E27756">
          <w:rPr>
            <w:rStyle w:val="TextoNormalCaracter"/>
          </w:rPr>
          <w:t>67/2013</w:t>
        </w:r>
      </w:hyperlink>
      <w:r>
        <w:t>.</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Sentencias </w:t>
      </w:r>
      <w:hyperlink w:anchor="SENTENCIA_2013_20" w:history="1">
        <w:r w:rsidRPr="00E27756">
          <w:rPr>
            <w:rStyle w:val="TextoNormalCaracter"/>
          </w:rPr>
          <w:t>20/2013</w:t>
        </w:r>
      </w:hyperlink>
      <w:r>
        <w:t xml:space="preserve">; </w:t>
      </w:r>
      <w:hyperlink w:anchor="SENTENCIA_2013_67" w:history="1">
        <w:r w:rsidRPr="00E27756">
          <w:rPr>
            <w:rStyle w:val="TextoNormalCaracter"/>
          </w:rPr>
          <w:t>67/2013</w:t>
        </w:r>
      </w:hyperlink>
      <w:r>
        <w:t xml:space="preserve">; </w:t>
      </w:r>
      <w:hyperlink w:anchor="SENTENCIA_2013_68" w:history="1">
        <w:r w:rsidRPr="00E27756">
          <w:rPr>
            <w:rStyle w:val="TextoNormalCaracter"/>
          </w:rPr>
          <w:t>68/2013</w:t>
        </w:r>
      </w:hyperlink>
      <w:r>
        <w:t>.</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68" w:history="1">
        <w:r w:rsidRPr="00E27756">
          <w:rPr>
            <w:rStyle w:val="TextoNormalCaracter"/>
          </w:rPr>
          <w:t>68/2013</w:t>
        </w:r>
      </w:hyperlink>
      <w:r>
        <w:t>.</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Sentencias </w:t>
      </w:r>
      <w:hyperlink w:anchor="SENTENCIA_2013_20" w:history="1">
        <w:r w:rsidRPr="00E27756">
          <w:rPr>
            <w:rStyle w:val="TextoNormalCaracter"/>
          </w:rPr>
          <w:t>20/2013</w:t>
        </w:r>
      </w:hyperlink>
      <w:r>
        <w:t xml:space="preserve">; </w:t>
      </w:r>
      <w:hyperlink w:anchor="SENTENCIA_2013_67" w:history="1">
        <w:r w:rsidRPr="00E27756">
          <w:rPr>
            <w:rStyle w:val="TextoNormalCaracter"/>
          </w:rPr>
          <w:t>67/2013</w:t>
        </w:r>
      </w:hyperlink>
      <w:r>
        <w:t>.</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Sentencias </w:t>
      </w:r>
      <w:hyperlink w:anchor="SENTENCIA_2013_20" w:history="1">
        <w:r w:rsidRPr="00E27756">
          <w:rPr>
            <w:rStyle w:val="TextoNormalCaracter"/>
          </w:rPr>
          <w:t>20/2013</w:t>
        </w:r>
      </w:hyperlink>
      <w:r>
        <w:t xml:space="preserve">; </w:t>
      </w:r>
      <w:hyperlink w:anchor="SENTENCIA_2013_67" w:history="1">
        <w:r w:rsidRPr="00E27756">
          <w:rPr>
            <w:rStyle w:val="TextoNormalCaracter"/>
          </w:rPr>
          <w:t>67/2013</w:t>
        </w:r>
      </w:hyperlink>
      <w:r>
        <w:t xml:space="preserve">; </w:t>
      </w:r>
      <w:hyperlink w:anchor="SENTENCIA_2013_68" w:history="1">
        <w:r w:rsidRPr="00E27756">
          <w:rPr>
            <w:rStyle w:val="TextoNormalCaracter"/>
          </w:rPr>
          <w:t>68/2013</w:t>
        </w:r>
      </w:hyperlink>
      <w:r>
        <w:t>.</w:t>
      </w:r>
    </w:p>
    <w:p w:rsidR="00E27756" w:rsidRDefault="00E27756" w:rsidP="00E27756">
      <w:pPr>
        <w:pStyle w:val="SangriaFrancesaArticulo"/>
      </w:pPr>
      <w:r w:rsidRPr="00E27756">
        <w:rPr>
          <w:rStyle w:val="TextoNormalNegritaCaracter"/>
        </w:rPr>
        <w:t>Disposición adicional segunda.</w:t>
      </w:r>
      <w:r w:rsidRPr="00E27756">
        <w:rPr>
          <w:rStyle w:val="TextoNormalCaracter"/>
        </w:rPr>
        <w:t>-</w:t>
      </w:r>
      <w:r>
        <w:t xml:space="preserve"> Sentencias </w:t>
      </w:r>
      <w:hyperlink w:anchor="SENTENCIA_2013_20" w:history="1">
        <w:r w:rsidRPr="00E27756">
          <w:rPr>
            <w:rStyle w:val="TextoNormalCaracter"/>
          </w:rPr>
          <w:t>20/2013</w:t>
        </w:r>
      </w:hyperlink>
      <w:r>
        <w:t xml:space="preserve">; </w:t>
      </w:r>
      <w:hyperlink w:anchor="SENTENCIA_2013_67" w:history="1">
        <w:r w:rsidRPr="00E27756">
          <w:rPr>
            <w:rStyle w:val="TextoNormalCaracter"/>
          </w:rPr>
          <w:t>67/2013</w:t>
        </w:r>
      </w:hyperlink>
      <w:r>
        <w:t xml:space="preserve">; </w:t>
      </w:r>
      <w:hyperlink w:anchor="SENTENCIA_2013_68" w:history="1">
        <w:r w:rsidRPr="00E27756">
          <w:rPr>
            <w:rStyle w:val="TextoNormalCaracter"/>
          </w:rPr>
          <w:t>68/2013</w:t>
        </w:r>
      </w:hyperlink>
      <w:r>
        <w:t>.</w:t>
      </w:r>
    </w:p>
    <w:p w:rsidR="00E27756" w:rsidRDefault="00E27756" w:rsidP="00E27756">
      <w:pPr>
        <w:pStyle w:val="SangriaFrancesaArticulo"/>
      </w:pPr>
    </w:p>
    <w:p w:rsidR="00E27756" w:rsidRDefault="00E27756" w:rsidP="00E27756">
      <w:pPr>
        <w:pStyle w:val="TextoNormalNegritaCursivandice"/>
      </w:pPr>
      <w:r>
        <w:t>Real Decreto-ley 4/2006, de 24 de febrero. Modificación de las funciones de la Comisión Nacional de Energía</w:t>
      </w:r>
    </w:p>
    <w:p w:rsidR="00E27756" w:rsidRDefault="00E27756" w:rsidP="00E27756">
      <w:pPr>
        <w:pStyle w:val="SangriaFrancesaArticulo"/>
      </w:pPr>
      <w:r w:rsidRPr="00E27756">
        <w:rPr>
          <w:rStyle w:val="TextoNormalNegritaCaracter"/>
        </w:rPr>
        <w:t>Artículo único.</w:t>
      </w:r>
      <w:r w:rsidRPr="00E27756">
        <w:rPr>
          <w:rStyle w:val="TextoNormalCaracter"/>
        </w:rPr>
        <w:t>-</w:t>
      </w:r>
      <w:r>
        <w:t xml:space="preserve"> Sentencia </w:t>
      </w:r>
      <w:hyperlink w:anchor="SENTENCIA_2013_39" w:history="1">
        <w:r w:rsidRPr="00E27756">
          <w:rPr>
            <w:rStyle w:val="TextoNormalCaracter"/>
          </w:rPr>
          <w:t>39/2013</w:t>
        </w:r>
      </w:hyperlink>
      <w:r>
        <w:t>.</w:t>
      </w:r>
    </w:p>
    <w:p w:rsidR="00E27756" w:rsidRDefault="00E27756" w:rsidP="00E27756">
      <w:pPr>
        <w:pStyle w:val="SangriaFrancesaArticulo"/>
      </w:pPr>
      <w:r w:rsidRPr="00E27756">
        <w:rPr>
          <w:rStyle w:val="TextoNormalNegritaCaracter"/>
        </w:rPr>
        <w:t>Disposición transitoria única.</w:t>
      </w:r>
      <w:r w:rsidRPr="00E27756">
        <w:rPr>
          <w:rStyle w:val="TextoNormalCaracter"/>
        </w:rPr>
        <w:t>-</w:t>
      </w:r>
      <w:r>
        <w:t xml:space="preserve"> Sentencia </w:t>
      </w:r>
      <w:hyperlink w:anchor="SENTENCIA_2013_39" w:history="1">
        <w:r w:rsidRPr="00E27756">
          <w:rPr>
            <w:rStyle w:val="TextoNormalCaracter"/>
          </w:rPr>
          <w:t>39/2013</w:t>
        </w:r>
      </w:hyperlink>
      <w:r>
        <w:t>.</w:t>
      </w:r>
    </w:p>
    <w:p w:rsidR="00E27756" w:rsidRDefault="00E27756" w:rsidP="00E27756">
      <w:pPr>
        <w:pStyle w:val="SangriaFrancesaArticulo"/>
      </w:pPr>
    </w:p>
    <w:p w:rsidR="00E27756" w:rsidRDefault="00E27756" w:rsidP="00E27756">
      <w:pPr>
        <w:pStyle w:val="TextoNormalNegritaCursivandice"/>
      </w:pPr>
      <w:r>
        <w:t>Ley 10/2006, de 28 de abril. Modificación de la Ley 43/2003, de 21 de noviembre. Montes</w:t>
      </w:r>
    </w:p>
    <w:p w:rsidR="00E27756" w:rsidRDefault="00E27756" w:rsidP="00E27756">
      <w:pPr>
        <w:pStyle w:val="SangriaFrancesaArticulo"/>
      </w:pPr>
      <w:r w:rsidRPr="00E27756">
        <w:rPr>
          <w:rStyle w:val="TextoNormalNegritaCaracter"/>
        </w:rPr>
        <w:t>Artículo único, apartados 32, 33.</w:t>
      </w:r>
      <w:r w:rsidRPr="00E27756">
        <w:rPr>
          <w:rStyle w:val="TextoNormalCaracter"/>
        </w:rPr>
        <w:t>-</w:t>
      </w:r>
      <w:r>
        <w:t xml:space="preserve"> Sentencia </w:t>
      </w:r>
      <w:hyperlink w:anchor="SENTENCIA_2013_84" w:history="1">
        <w:r w:rsidRPr="00E27756">
          <w:rPr>
            <w:rStyle w:val="TextoNormalCaracter"/>
          </w:rPr>
          <w:t>84/2013</w:t>
        </w:r>
      </w:hyperlink>
      <w:r>
        <w:t>.</w:t>
      </w:r>
    </w:p>
    <w:p w:rsidR="00E27756" w:rsidRDefault="00E27756" w:rsidP="00E27756">
      <w:pPr>
        <w:pStyle w:val="SangriaFrancesaArticulo"/>
      </w:pPr>
    </w:p>
    <w:p w:rsidR="00E27756" w:rsidRDefault="00E27756" w:rsidP="00E27756">
      <w:pPr>
        <w:pStyle w:val="TextoNormalNegritaCursivandice"/>
      </w:pPr>
      <w:r>
        <w:t>Ley 5/2007, de 3 de abril. Red de parques nacionales</w:t>
      </w:r>
    </w:p>
    <w:p w:rsidR="00E27756" w:rsidRDefault="00E27756" w:rsidP="00E27756">
      <w:pPr>
        <w:pStyle w:val="SangriaFrancesaArticulo"/>
      </w:pPr>
      <w:r w:rsidRPr="00E27756">
        <w:rPr>
          <w:rStyle w:val="TextoNormalNegritaCaracter"/>
        </w:rPr>
        <w:t>Artículo 16.2.</w:t>
      </w:r>
      <w:r w:rsidRPr="00E27756">
        <w:rPr>
          <w:rStyle w:val="TextoNormalCaracter"/>
        </w:rPr>
        <w:t>-</w:t>
      </w:r>
      <w:r>
        <w:t xml:space="preserve"> Sentencia </w:t>
      </w:r>
      <w:hyperlink w:anchor="SENTENCIA_2013_99" w:history="1">
        <w:r w:rsidRPr="00E27756">
          <w:rPr>
            <w:rStyle w:val="TextoNormalCaracter"/>
          </w:rPr>
          <w:t>99/2013</w:t>
        </w:r>
      </w:hyperlink>
      <w:r>
        <w:t>.</w:t>
      </w:r>
    </w:p>
    <w:p w:rsidR="00E27756" w:rsidRDefault="00E27756" w:rsidP="00E27756">
      <w:pPr>
        <w:pStyle w:val="SangriaFrancesaArticulo"/>
      </w:pPr>
      <w:r w:rsidRPr="00E27756">
        <w:rPr>
          <w:rStyle w:val="TextoNormalNegritaCaracter"/>
        </w:rPr>
        <w:t>Disposición adicional cuarta.</w:t>
      </w:r>
      <w:r w:rsidRPr="00E27756">
        <w:rPr>
          <w:rStyle w:val="TextoNormalCaracter"/>
        </w:rPr>
        <w:t>-</w:t>
      </w:r>
      <w:r>
        <w:t xml:space="preserve"> Sentencia </w:t>
      </w:r>
      <w:hyperlink w:anchor="SENTENCIA_2013_99" w:history="1">
        <w:r w:rsidRPr="00E27756">
          <w:rPr>
            <w:rStyle w:val="TextoNormalCaracter"/>
          </w:rPr>
          <w:t>99/2013</w:t>
        </w:r>
      </w:hyperlink>
      <w:r>
        <w:t>.</w:t>
      </w:r>
    </w:p>
    <w:p w:rsidR="00E27756" w:rsidRDefault="00E27756" w:rsidP="00E27756">
      <w:pPr>
        <w:pStyle w:val="SangriaFrancesaArticulo"/>
      </w:pPr>
    </w:p>
    <w:p w:rsidR="00E27756" w:rsidRDefault="00E27756" w:rsidP="00E27756">
      <w:pPr>
        <w:pStyle w:val="TextoNormalNegritaCursivandice"/>
      </w:pPr>
      <w:r>
        <w:t>Ley 8/2007, de 28 de mayo. Ley de suelo</w:t>
      </w:r>
    </w:p>
    <w:p w:rsidR="00E27756" w:rsidRDefault="00E27756" w:rsidP="00E27756">
      <w:pPr>
        <w:pStyle w:val="SangriaFrancesaArticulo"/>
      </w:pPr>
      <w:r w:rsidRPr="00E27756">
        <w:rPr>
          <w:rStyle w:val="TextoNormalNegritaCaracter"/>
        </w:rPr>
        <w:t>Artículo 6 a).</w:t>
      </w:r>
      <w:r w:rsidRPr="00E27756">
        <w:rPr>
          <w:rStyle w:val="TextoNormalCaracter"/>
        </w:rPr>
        <w:t>-</w:t>
      </w:r>
      <w:r>
        <w:t xml:space="preserve"> Auto </w:t>
      </w:r>
      <w:hyperlink w:anchor="AUTO_2013_78" w:history="1">
        <w:r w:rsidRPr="00E27756">
          <w:rPr>
            <w:rStyle w:val="TextoNormalCaracter"/>
          </w:rPr>
          <w:t>78/2013</w:t>
        </w:r>
      </w:hyperlink>
      <w:r>
        <w:t>.</w:t>
      </w:r>
    </w:p>
    <w:p w:rsidR="00E27756" w:rsidRDefault="00E27756" w:rsidP="00E27756">
      <w:pPr>
        <w:pStyle w:val="SangriaFrancesaArticulo"/>
      </w:pPr>
      <w:r w:rsidRPr="00E27756">
        <w:rPr>
          <w:rStyle w:val="TextoNormalNegritaCaracter"/>
        </w:rPr>
        <w:t>Artículo 10 b).</w:t>
      </w:r>
      <w:r w:rsidRPr="00E27756">
        <w:rPr>
          <w:rStyle w:val="TextoNormalCaracter"/>
        </w:rPr>
        <w:t>-</w:t>
      </w:r>
      <w:r>
        <w:t xml:space="preserve"> Auto </w:t>
      </w:r>
      <w:hyperlink w:anchor="AUTO_2013_78" w:history="1">
        <w:r w:rsidRPr="00E27756">
          <w:rPr>
            <w:rStyle w:val="TextoNormalCaracter"/>
          </w:rPr>
          <w:t>78/2013</w:t>
        </w:r>
      </w:hyperlink>
      <w:r>
        <w:t>.</w:t>
      </w:r>
    </w:p>
    <w:p w:rsidR="00E27756" w:rsidRDefault="00E27756" w:rsidP="00E27756">
      <w:pPr>
        <w:pStyle w:val="SangriaFrancesaArticulo"/>
      </w:pPr>
      <w:r w:rsidRPr="00E27756">
        <w:rPr>
          <w:rStyle w:val="TextoNormalNegritaCaracter"/>
        </w:rPr>
        <w:t>Artículo 11.2.</w:t>
      </w:r>
      <w:r w:rsidRPr="00E27756">
        <w:rPr>
          <w:rStyle w:val="TextoNormalCaracter"/>
        </w:rPr>
        <w:t>-</w:t>
      </w:r>
      <w:r>
        <w:t xml:space="preserve"> Auto </w:t>
      </w:r>
      <w:hyperlink w:anchor="AUTO_2013_78" w:history="1">
        <w:r w:rsidRPr="00E27756">
          <w:rPr>
            <w:rStyle w:val="TextoNormalCaracter"/>
          </w:rPr>
          <w:t>78/2013</w:t>
        </w:r>
      </w:hyperlink>
      <w:r>
        <w:t>.</w:t>
      </w:r>
    </w:p>
    <w:p w:rsidR="00E27756" w:rsidRDefault="00E27756" w:rsidP="00E27756">
      <w:pPr>
        <w:pStyle w:val="SangriaFrancesaArticulo"/>
      </w:pPr>
      <w:r w:rsidRPr="00E27756">
        <w:rPr>
          <w:rStyle w:val="TextoNormalNegritaCaracter"/>
        </w:rPr>
        <w:t>Artículo 15.</w:t>
      </w:r>
      <w:r w:rsidRPr="00E27756">
        <w:rPr>
          <w:rStyle w:val="TextoNormalCaracter"/>
        </w:rPr>
        <w:t>-</w:t>
      </w:r>
      <w:r>
        <w:t xml:space="preserve"> Auto </w:t>
      </w:r>
      <w:hyperlink w:anchor="AUTO_2013_78" w:history="1">
        <w:r w:rsidRPr="00E27756">
          <w:rPr>
            <w:rStyle w:val="TextoNormalCaracter"/>
          </w:rPr>
          <w:t>78/2013</w:t>
        </w:r>
      </w:hyperlink>
      <w:r>
        <w:t>.</w:t>
      </w:r>
    </w:p>
    <w:p w:rsidR="00E27756" w:rsidRDefault="00E27756" w:rsidP="00E27756">
      <w:pPr>
        <w:pStyle w:val="SangriaFrancesaArticulo"/>
      </w:pPr>
      <w:r w:rsidRPr="00E27756">
        <w:rPr>
          <w:rStyle w:val="TextoNormalNegritaCaracter"/>
        </w:rPr>
        <w:t>Artículo 16.1 b).</w:t>
      </w:r>
      <w:r w:rsidRPr="00E27756">
        <w:rPr>
          <w:rStyle w:val="TextoNormalCaracter"/>
        </w:rPr>
        <w:t>-</w:t>
      </w:r>
      <w:r>
        <w:t xml:space="preserve"> Auto </w:t>
      </w:r>
      <w:hyperlink w:anchor="AUTO_2013_78" w:history="1">
        <w:r w:rsidRPr="00E27756">
          <w:rPr>
            <w:rStyle w:val="TextoNormalCaracter"/>
          </w:rPr>
          <w:t>78/2013</w:t>
        </w:r>
      </w:hyperlink>
      <w:r>
        <w:t>.</w:t>
      </w:r>
    </w:p>
    <w:p w:rsidR="00E27756" w:rsidRDefault="00E27756" w:rsidP="00E27756">
      <w:pPr>
        <w:pStyle w:val="SangriaFrancesaArticulo"/>
      </w:pPr>
      <w:r w:rsidRPr="00E27756">
        <w:rPr>
          <w:rStyle w:val="TextoNormalNegritaCaracter"/>
        </w:rPr>
        <w:t>Artículo 34.</w:t>
      </w:r>
      <w:r w:rsidRPr="00E27756">
        <w:rPr>
          <w:rStyle w:val="TextoNormalCaracter"/>
        </w:rPr>
        <w:t>-</w:t>
      </w:r>
      <w:r>
        <w:t xml:space="preserve"> Auto </w:t>
      </w:r>
      <w:hyperlink w:anchor="AUTO_2013_78" w:history="1">
        <w:r w:rsidRPr="00E27756">
          <w:rPr>
            <w:rStyle w:val="TextoNormalCaracter"/>
          </w:rPr>
          <w:t>78/2013</w:t>
        </w:r>
      </w:hyperlink>
      <w:r>
        <w:t>.</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Auto </w:t>
      </w:r>
      <w:hyperlink w:anchor="AUTO_2013_78" w:history="1">
        <w:r w:rsidRPr="00E27756">
          <w:rPr>
            <w:rStyle w:val="TextoNormalCaracter"/>
          </w:rPr>
          <w:t>78/2013</w:t>
        </w:r>
      </w:hyperlink>
      <w:r>
        <w:t>.</w:t>
      </w:r>
    </w:p>
    <w:p w:rsidR="00E27756" w:rsidRDefault="00E27756" w:rsidP="00E27756">
      <w:pPr>
        <w:pStyle w:val="SangriaFrancesaArticulo"/>
      </w:pPr>
      <w:r w:rsidRPr="00E27756">
        <w:rPr>
          <w:rStyle w:val="TextoNormalNegritaCaracter"/>
        </w:rPr>
        <w:t>Disposición adicional novena.</w:t>
      </w:r>
      <w:r w:rsidRPr="00E27756">
        <w:rPr>
          <w:rStyle w:val="TextoNormalCaracter"/>
        </w:rPr>
        <w:t>-</w:t>
      </w:r>
      <w:r>
        <w:t xml:space="preserve"> Auto </w:t>
      </w:r>
      <w:hyperlink w:anchor="AUTO_2013_78" w:history="1">
        <w:r w:rsidRPr="00E27756">
          <w:rPr>
            <w:rStyle w:val="TextoNormalCaracter"/>
          </w:rPr>
          <w:t>78/2013</w:t>
        </w:r>
      </w:hyperlink>
      <w:r>
        <w:t>.</w:t>
      </w:r>
    </w:p>
    <w:p w:rsidR="00E27756" w:rsidRDefault="00E27756" w:rsidP="00E27756">
      <w:pPr>
        <w:pStyle w:val="SangriaFrancesaArticulo"/>
      </w:pPr>
      <w:r w:rsidRPr="00E27756">
        <w:rPr>
          <w:rStyle w:val="TextoNormalNegritaCaracter"/>
        </w:rPr>
        <w:t>Disposición transitoria cuarta.</w:t>
      </w:r>
      <w:r w:rsidRPr="00E27756">
        <w:rPr>
          <w:rStyle w:val="TextoNormalCaracter"/>
        </w:rPr>
        <w:t>-</w:t>
      </w:r>
      <w:r>
        <w:t xml:space="preserve"> Auto </w:t>
      </w:r>
      <w:hyperlink w:anchor="AUTO_2013_78" w:history="1">
        <w:r w:rsidRPr="00E27756">
          <w:rPr>
            <w:rStyle w:val="TextoNormalCaracter"/>
          </w:rPr>
          <w:t>78/2013</w:t>
        </w:r>
      </w:hyperlink>
      <w:r>
        <w:t>.</w:t>
      </w:r>
    </w:p>
    <w:p w:rsidR="00E27756" w:rsidRDefault="00E27756" w:rsidP="00E27756">
      <w:pPr>
        <w:pStyle w:val="SangriaFrancesaArticulo"/>
      </w:pPr>
    </w:p>
    <w:p w:rsidR="00E27756" w:rsidRDefault="00E27756" w:rsidP="00E27756">
      <w:pPr>
        <w:pStyle w:val="TextoNormalNegritaCursivandice"/>
      </w:pPr>
      <w:r>
        <w:t>Ley 12/2007, de 2 de julio. Modificación de la Ley 34/1998, de 7 de octubre, del sector de hidrocarburos, con el fin de adaptarla a lo dispuesto en la Directiva 2003/55/CE del Parlamento Europeo y del Consejo, de 26 de junio de 2003, sobre normas comunes para el mercado interior del gas natural</w:t>
      </w:r>
    </w:p>
    <w:p w:rsidR="00E27756" w:rsidRDefault="00E27756" w:rsidP="00E27756">
      <w:pPr>
        <w:pStyle w:val="SangriaFrancesaArticulo"/>
      </w:pPr>
      <w:r w:rsidRPr="00E27756">
        <w:rPr>
          <w:rStyle w:val="TextoNormalNegritaCaracter"/>
        </w:rPr>
        <w:t>Artículo único, apartado 1.</w:t>
      </w:r>
      <w:r w:rsidRPr="00E27756">
        <w:rPr>
          <w:rStyle w:val="TextoNormalCaracter"/>
        </w:rPr>
        <w:t>-</w:t>
      </w:r>
      <w:r>
        <w:t xml:space="preserve"> Sentencia </w:t>
      </w:r>
      <w:hyperlink w:anchor="SENTENCIA_2013_8" w:history="1">
        <w:r w:rsidRPr="00E27756">
          <w:rPr>
            <w:rStyle w:val="TextoNormalCaracter"/>
          </w:rPr>
          <w:t>8/2013</w:t>
        </w:r>
      </w:hyperlink>
      <w:r>
        <w:t>.</w:t>
      </w:r>
    </w:p>
    <w:p w:rsidR="00E27756" w:rsidRDefault="00E27756" w:rsidP="00E27756">
      <w:pPr>
        <w:pStyle w:val="SangriaFrancesaArticulo"/>
      </w:pPr>
    </w:p>
    <w:p w:rsidR="00E27756" w:rsidRDefault="00E27756" w:rsidP="00E27756">
      <w:pPr>
        <w:pStyle w:val="TextoNormalNegritaCursivandice"/>
      </w:pPr>
      <w:r>
        <w:t>Ley 40/2007, de 4 de diciembre. Medidas en materia de Seguridad Social</w:t>
      </w:r>
    </w:p>
    <w:p w:rsidR="00E27756" w:rsidRDefault="00E27756" w:rsidP="00E27756">
      <w:pPr>
        <w:pStyle w:val="SangriaFrancesaArticulo"/>
      </w:pPr>
      <w:r w:rsidRPr="00E27756">
        <w:rPr>
          <w:rStyle w:val="TextoNormalNegritaCaracter"/>
        </w:rPr>
        <w:lastRenderedPageBreak/>
        <w:t>Disposición adicional tercera, apartado c).</w:t>
      </w:r>
      <w:r w:rsidRPr="00E27756">
        <w:rPr>
          <w:rStyle w:val="TextoNormalCaracter"/>
        </w:rPr>
        <w:t>-</w:t>
      </w:r>
      <w:r>
        <w:t xml:space="preserve"> Autos </w:t>
      </w:r>
      <w:hyperlink w:anchor="AUTO_2013_69" w:history="1">
        <w:r w:rsidRPr="00E27756">
          <w:rPr>
            <w:rStyle w:val="TextoNormalCaracter"/>
          </w:rPr>
          <w:t>69/2013</w:t>
        </w:r>
      </w:hyperlink>
      <w:r>
        <w:t xml:space="preserve">; </w:t>
      </w:r>
      <w:hyperlink w:anchor="AUTO_2013_79" w:history="1">
        <w:r w:rsidRPr="00E27756">
          <w:rPr>
            <w:rStyle w:val="TextoNormalCaracter"/>
          </w:rPr>
          <w:t>79/2013</w:t>
        </w:r>
      </w:hyperlink>
      <w:r>
        <w:t>.</w:t>
      </w:r>
    </w:p>
    <w:p w:rsidR="00E27756" w:rsidRDefault="00E27756" w:rsidP="00E27756">
      <w:pPr>
        <w:pStyle w:val="SangriaFrancesaArticulo"/>
      </w:pPr>
      <w:r w:rsidRPr="00E27756">
        <w:rPr>
          <w:rStyle w:val="TextoNormalNegritaCaracter"/>
        </w:rPr>
        <w:t>Disposición adicional tercera, apartado c).</w:t>
      </w:r>
      <w:r w:rsidRPr="00E27756">
        <w:rPr>
          <w:rStyle w:val="TextoNormalCaracter"/>
        </w:rPr>
        <w:t>-</w:t>
      </w:r>
      <w:r>
        <w:t xml:space="preserve"> Sentencia </w:t>
      </w:r>
      <w:hyperlink w:anchor="SENTENCIA_2013_41" w:history="1">
        <w:r w:rsidRPr="00E27756">
          <w:rPr>
            <w:rStyle w:val="TextoNormalCaracter"/>
          </w:rPr>
          <w:t>41/2013</w:t>
        </w:r>
      </w:hyperlink>
      <w:r>
        <w:t xml:space="preserve"> (anula).</w:t>
      </w:r>
    </w:p>
    <w:p w:rsidR="00E27756" w:rsidRDefault="00E27756" w:rsidP="00E27756">
      <w:pPr>
        <w:pStyle w:val="SangriaFrancesaArticulo"/>
      </w:pPr>
    </w:p>
    <w:p w:rsidR="00E27756" w:rsidRDefault="00E27756" w:rsidP="00E27756">
      <w:pPr>
        <w:pStyle w:val="TextoNormalNegritaCursivandice"/>
      </w:pPr>
      <w:r>
        <w:t>Ley 42/2007, de 13 de diciembre. Patrimonio natural y de la biodiversidad</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138" w:history="1">
        <w:r w:rsidRPr="00E27756">
          <w:rPr>
            <w:rStyle w:val="TextoNormalCaracter"/>
          </w:rPr>
          <w:t>138/2013</w:t>
        </w:r>
      </w:hyperlink>
      <w:r>
        <w:t>.</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138" w:history="1">
        <w:r w:rsidRPr="00E27756">
          <w:rPr>
            <w:rStyle w:val="TextoNormalCaracter"/>
          </w:rPr>
          <w:t>138/2013</w:t>
        </w:r>
      </w:hyperlink>
      <w:r>
        <w:t>.</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 </w:t>
      </w:r>
      <w:hyperlink w:anchor="SENTENCIA_2013_138" w:history="1">
        <w:r w:rsidRPr="00E27756">
          <w:rPr>
            <w:rStyle w:val="TextoNormalCaracter"/>
          </w:rPr>
          <w:t>138/2013</w:t>
        </w:r>
      </w:hyperlink>
      <w:r>
        <w:t>.</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138" w:history="1">
        <w:r w:rsidRPr="00E27756">
          <w:rPr>
            <w:rStyle w:val="TextoNormalCaracter"/>
          </w:rPr>
          <w:t>138/2013</w:t>
        </w:r>
      </w:hyperlink>
      <w:r>
        <w:t>.</w:t>
      </w:r>
    </w:p>
    <w:p w:rsidR="00E27756" w:rsidRDefault="00E27756" w:rsidP="00E27756">
      <w:pPr>
        <w:pStyle w:val="SangriaFrancesaArticulo"/>
      </w:pPr>
      <w:r w:rsidRPr="00E27756">
        <w:rPr>
          <w:rStyle w:val="TextoNormalNegritaCaracter"/>
        </w:rPr>
        <w:t>Artículo 16.2.</w:t>
      </w:r>
      <w:r w:rsidRPr="00E27756">
        <w:rPr>
          <w:rStyle w:val="TextoNormalCaracter"/>
        </w:rPr>
        <w:t>-</w:t>
      </w:r>
      <w:r>
        <w:t xml:space="preserve"> Sentencia </w:t>
      </w:r>
      <w:hyperlink w:anchor="SENTENCIA_2013_138" w:history="1">
        <w:r w:rsidRPr="00E27756">
          <w:rPr>
            <w:rStyle w:val="TextoNormalCaracter"/>
          </w:rPr>
          <w:t>138/2013</w:t>
        </w:r>
      </w:hyperlink>
      <w:r>
        <w:t>.</w:t>
      </w:r>
    </w:p>
    <w:p w:rsidR="00E27756" w:rsidRDefault="00E27756" w:rsidP="00E27756">
      <w:pPr>
        <w:pStyle w:val="SangriaFrancesaArticulo"/>
      </w:pPr>
      <w:r w:rsidRPr="00E27756">
        <w:rPr>
          <w:rStyle w:val="TextoNormalNegritaCaracter"/>
        </w:rPr>
        <w:t>Artículo 20.</w:t>
      </w:r>
      <w:r w:rsidRPr="00E27756">
        <w:rPr>
          <w:rStyle w:val="TextoNormalCaracter"/>
        </w:rPr>
        <w:t>-</w:t>
      </w:r>
      <w:r>
        <w:t xml:space="preserve"> Sentencia </w:t>
      </w:r>
      <w:hyperlink w:anchor="SENTENCIA_2013_138" w:history="1">
        <w:r w:rsidRPr="00E27756">
          <w:rPr>
            <w:rStyle w:val="TextoNormalCaracter"/>
          </w:rPr>
          <w:t>138/2013</w:t>
        </w:r>
      </w:hyperlink>
      <w:r>
        <w:t>.</w:t>
      </w:r>
    </w:p>
    <w:p w:rsidR="00E27756" w:rsidRDefault="00E27756" w:rsidP="00E27756">
      <w:pPr>
        <w:pStyle w:val="SangriaFrancesaArticulo"/>
      </w:pPr>
      <w:r w:rsidRPr="00E27756">
        <w:rPr>
          <w:rStyle w:val="TextoNormalNegritaCaracter"/>
        </w:rPr>
        <w:t>Artículo 23.b.1.</w:t>
      </w:r>
      <w:r w:rsidRPr="00E27756">
        <w:rPr>
          <w:rStyle w:val="TextoNormalCaracter"/>
        </w:rPr>
        <w:t>-</w:t>
      </w:r>
      <w:r>
        <w:t xml:space="preserve"> Sentencia </w:t>
      </w:r>
      <w:hyperlink w:anchor="SENTENCIA_2013_138" w:history="1">
        <w:r w:rsidRPr="00E27756">
          <w:rPr>
            <w:rStyle w:val="TextoNormalCaracter"/>
          </w:rPr>
          <w:t>138/2013</w:t>
        </w:r>
      </w:hyperlink>
      <w:r>
        <w:t>.</w:t>
      </w:r>
    </w:p>
    <w:p w:rsidR="00E27756" w:rsidRDefault="00E27756" w:rsidP="00E27756">
      <w:pPr>
        <w:pStyle w:val="SangriaFrancesaArticulo"/>
      </w:pPr>
      <w:r w:rsidRPr="00E27756">
        <w:rPr>
          <w:rStyle w:val="TextoNormalNegritaCaracter"/>
        </w:rPr>
        <w:t>Artículo 24.</w:t>
      </w:r>
      <w:r w:rsidRPr="00E27756">
        <w:rPr>
          <w:rStyle w:val="TextoNormalCaracter"/>
        </w:rPr>
        <w:t>-</w:t>
      </w:r>
      <w:r>
        <w:t xml:space="preserve"> Sentencia </w:t>
      </w:r>
      <w:hyperlink w:anchor="SENTENCIA_2013_138" w:history="1">
        <w:r w:rsidRPr="00E27756">
          <w:rPr>
            <w:rStyle w:val="TextoNormalCaracter"/>
          </w:rPr>
          <w:t>138/2013</w:t>
        </w:r>
      </w:hyperlink>
      <w:r>
        <w:t>.</w:t>
      </w:r>
    </w:p>
    <w:p w:rsidR="00E27756" w:rsidRDefault="00E27756" w:rsidP="00E27756">
      <w:pPr>
        <w:pStyle w:val="SangriaFrancesaArticulo"/>
      </w:pPr>
      <w:r w:rsidRPr="00E27756">
        <w:rPr>
          <w:rStyle w:val="TextoNormalNegritaCaracter"/>
        </w:rPr>
        <w:t>Artículo 25.</w:t>
      </w:r>
      <w:r w:rsidRPr="00E27756">
        <w:rPr>
          <w:rStyle w:val="TextoNormalCaracter"/>
        </w:rPr>
        <w:t>-</w:t>
      </w:r>
      <w:r>
        <w:t xml:space="preserve"> Sentencias </w:t>
      </w:r>
      <w:hyperlink w:anchor="SENTENCIA_2013_69" w:history="1">
        <w:r w:rsidRPr="00E27756">
          <w:rPr>
            <w:rStyle w:val="TextoNormalCaracter"/>
          </w:rPr>
          <w:t>69/2013</w:t>
        </w:r>
      </w:hyperlink>
      <w:r>
        <w:t xml:space="preserve">; </w:t>
      </w:r>
      <w:hyperlink w:anchor="SENTENCIA_2013_138" w:history="1">
        <w:r w:rsidRPr="00E27756">
          <w:rPr>
            <w:rStyle w:val="TextoNormalCaracter"/>
          </w:rPr>
          <w:t>138/2013</w:t>
        </w:r>
      </w:hyperlink>
      <w:r>
        <w:t>.</w:t>
      </w:r>
    </w:p>
    <w:p w:rsidR="00E27756" w:rsidRDefault="00E27756" w:rsidP="00E27756">
      <w:pPr>
        <w:pStyle w:val="SangriaFrancesaArticulo"/>
      </w:pPr>
      <w:r w:rsidRPr="00E27756">
        <w:rPr>
          <w:rStyle w:val="TextoNormalNegritaCaracter"/>
        </w:rPr>
        <w:t>Artículo 26.</w:t>
      </w:r>
      <w:r w:rsidRPr="00E27756">
        <w:rPr>
          <w:rStyle w:val="TextoNormalCaracter"/>
        </w:rPr>
        <w:t>-</w:t>
      </w:r>
      <w:r>
        <w:t xml:space="preserve"> Sentencia </w:t>
      </w:r>
      <w:hyperlink w:anchor="SENTENCIA_2013_138" w:history="1">
        <w:r w:rsidRPr="00E27756">
          <w:rPr>
            <w:rStyle w:val="TextoNormalCaracter"/>
          </w:rPr>
          <w:t>138/2013</w:t>
        </w:r>
      </w:hyperlink>
      <w:r>
        <w:t>.</w:t>
      </w:r>
    </w:p>
    <w:p w:rsidR="00E27756" w:rsidRDefault="00E27756" w:rsidP="00E27756">
      <w:pPr>
        <w:pStyle w:val="SangriaFrancesaArticulo"/>
      </w:pPr>
      <w:r w:rsidRPr="00E27756">
        <w:rPr>
          <w:rStyle w:val="TextoNormalNegritaCaracter"/>
        </w:rPr>
        <w:t>Artículo 36.1.</w:t>
      </w:r>
      <w:r w:rsidRPr="00E27756">
        <w:rPr>
          <w:rStyle w:val="TextoNormalCaracter"/>
        </w:rPr>
        <w:t>-</w:t>
      </w:r>
      <w:r>
        <w:t xml:space="preserve"> Sentencia </w:t>
      </w:r>
      <w:hyperlink w:anchor="SENTENCIA_2013_87" w:history="1">
        <w:r w:rsidRPr="00E27756">
          <w:rPr>
            <w:rStyle w:val="TextoNormalCaracter"/>
          </w:rPr>
          <w:t>87/2013</w:t>
        </w:r>
      </w:hyperlink>
      <w:r>
        <w:t>.</w:t>
      </w:r>
    </w:p>
    <w:p w:rsidR="00E27756" w:rsidRDefault="00E27756" w:rsidP="00E27756">
      <w:pPr>
        <w:pStyle w:val="SangriaFrancesaArticulo"/>
      </w:pPr>
      <w:r w:rsidRPr="00E27756">
        <w:rPr>
          <w:rStyle w:val="TextoNormalNegritaCaracter"/>
        </w:rPr>
        <w:t>Artículo 45.1.</w:t>
      </w:r>
      <w:r w:rsidRPr="00E27756">
        <w:rPr>
          <w:rStyle w:val="TextoNormalCaracter"/>
        </w:rPr>
        <w:t>-</w:t>
      </w:r>
      <w:r>
        <w:t xml:space="preserve"> Sentencias </w:t>
      </w:r>
      <w:hyperlink w:anchor="SENTENCIA_2013_69" w:history="1">
        <w:r w:rsidRPr="00E27756">
          <w:rPr>
            <w:rStyle w:val="TextoNormalCaracter"/>
          </w:rPr>
          <w:t>69/2013</w:t>
        </w:r>
      </w:hyperlink>
      <w:r>
        <w:t xml:space="preserve">; </w:t>
      </w:r>
      <w:hyperlink w:anchor="SENTENCIA_2013_138" w:history="1">
        <w:r w:rsidRPr="00E27756">
          <w:rPr>
            <w:rStyle w:val="TextoNormalCaracter"/>
          </w:rPr>
          <w:t>138/2013</w:t>
        </w:r>
      </w:hyperlink>
      <w:r>
        <w:t>.</w:t>
      </w:r>
    </w:p>
    <w:p w:rsidR="00E27756" w:rsidRDefault="00E27756" w:rsidP="00E27756">
      <w:pPr>
        <w:pStyle w:val="SangriaFrancesaArticulo"/>
      </w:pPr>
      <w:r w:rsidRPr="00E27756">
        <w:rPr>
          <w:rStyle w:val="TextoNormalNegritaCaracter"/>
        </w:rPr>
        <w:t>Artículo 53.</w:t>
      </w:r>
      <w:r w:rsidRPr="00E27756">
        <w:rPr>
          <w:rStyle w:val="TextoNormalCaracter"/>
        </w:rPr>
        <w:t>-</w:t>
      </w:r>
      <w:r>
        <w:t xml:space="preserve"> Sentencia </w:t>
      </w:r>
      <w:hyperlink w:anchor="SENTENCIA_2013_69" w:history="1">
        <w:r w:rsidRPr="00E27756">
          <w:rPr>
            <w:rStyle w:val="TextoNormalCaracter"/>
          </w:rPr>
          <w:t>69/2013</w:t>
        </w:r>
      </w:hyperlink>
      <w:r>
        <w:t>.</w:t>
      </w:r>
    </w:p>
    <w:p w:rsidR="00E27756" w:rsidRDefault="00E27756" w:rsidP="00E27756">
      <w:pPr>
        <w:pStyle w:val="SangriaFrancesaArticulo"/>
      </w:pPr>
      <w:r w:rsidRPr="00E27756">
        <w:rPr>
          <w:rStyle w:val="TextoNormalNegritaCaracter"/>
        </w:rPr>
        <w:t>Artículo 58.</w:t>
      </w:r>
      <w:r w:rsidRPr="00E27756">
        <w:rPr>
          <w:rStyle w:val="TextoNormalCaracter"/>
        </w:rPr>
        <w:t>-</w:t>
      </w:r>
      <w:r>
        <w:t xml:space="preserve"> Sentencia </w:t>
      </w:r>
      <w:hyperlink w:anchor="SENTENCIA_2013_69" w:history="1">
        <w:r w:rsidRPr="00E27756">
          <w:rPr>
            <w:rStyle w:val="TextoNormalCaracter"/>
          </w:rPr>
          <w:t>69/2013</w:t>
        </w:r>
      </w:hyperlink>
      <w:r>
        <w:t>.</w:t>
      </w:r>
    </w:p>
    <w:p w:rsidR="00E27756" w:rsidRDefault="00E27756" w:rsidP="00E27756">
      <w:pPr>
        <w:pStyle w:val="SangriaFrancesaArticulo"/>
      </w:pPr>
      <w:r w:rsidRPr="00E27756">
        <w:rPr>
          <w:rStyle w:val="TextoNormalNegritaCaracter"/>
        </w:rPr>
        <w:t>Artículo 62.3 a).</w:t>
      </w:r>
      <w:r w:rsidRPr="00E27756">
        <w:rPr>
          <w:rStyle w:val="TextoNormalCaracter"/>
        </w:rPr>
        <w:t>-</w:t>
      </w:r>
      <w:r>
        <w:t xml:space="preserve"> Sentencia </w:t>
      </w:r>
      <w:hyperlink w:anchor="SENTENCIA_2013_69" w:history="1">
        <w:r w:rsidRPr="00E27756">
          <w:rPr>
            <w:rStyle w:val="TextoNormalCaracter"/>
          </w:rPr>
          <w:t>69/2013</w:t>
        </w:r>
      </w:hyperlink>
      <w:r>
        <w:t>.</w:t>
      </w:r>
    </w:p>
    <w:p w:rsidR="00E27756" w:rsidRDefault="00E27756" w:rsidP="00E27756">
      <w:pPr>
        <w:pStyle w:val="SangriaFrancesaArticulo"/>
      </w:pPr>
      <w:r w:rsidRPr="00E27756">
        <w:rPr>
          <w:rStyle w:val="TextoNormalNegritaCaracter"/>
        </w:rPr>
        <w:t>Artículo 62.3 a), g), j).</w:t>
      </w:r>
      <w:r w:rsidRPr="00E27756">
        <w:rPr>
          <w:rStyle w:val="TextoNormalCaracter"/>
        </w:rPr>
        <w:t>-</w:t>
      </w:r>
      <w:r>
        <w:t xml:space="preserve"> Sentencia </w:t>
      </w:r>
      <w:hyperlink w:anchor="SENTENCIA_2013_69" w:history="1">
        <w:r w:rsidRPr="00E27756">
          <w:rPr>
            <w:rStyle w:val="TextoNormalCaracter"/>
          </w:rPr>
          <w:t>69/2013</w:t>
        </w:r>
      </w:hyperlink>
      <w:r>
        <w:t>.</w:t>
      </w:r>
    </w:p>
    <w:p w:rsidR="00E27756" w:rsidRDefault="00E27756" w:rsidP="00E27756">
      <w:pPr>
        <w:pStyle w:val="SangriaFrancesaArticulo"/>
      </w:pPr>
      <w:r w:rsidRPr="00E27756">
        <w:rPr>
          <w:rStyle w:val="TextoNormalNegritaCaracter"/>
        </w:rPr>
        <w:t>Artículo 62.3 g).</w:t>
      </w:r>
      <w:r w:rsidRPr="00E27756">
        <w:rPr>
          <w:rStyle w:val="TextoNormalCaracter"/>
        </w:rPr>
        <w:t>-</w:t>
      </w:r>
      <w:r>
        <w:t xml:space="preserve"> Sentencia </w:t>
      </w:r>
      <w:hyperlink w:anchor="SENTENCIA_2013_69" w:history="1">
        <w:r w:rsidRPr="00E27756">
          <w:rPr>
            <w:rStyle w:val="TextoNormalCaracter"/>
          </w:rPr>
          <w:t>69/2013</w:t>
        </w:r>
      </w:hyperlink>
      <w:r>
        <w:t>.</w:t>
      </w:r>
    </w:p>
    <w:p w:rsidR="00E27756" w:rsidRDefault="00E27756" w:rsidP="00E27756">
      <w:pPr>
        <w:pStyle w:val="SangriaFrancesaArticulo"/>
      </w:pPr>
      <w:r w:rsidRPr="00E27756">
        <w:rPr>
          <w:rStyle w:val="TextoNormalNegritaCaracter"/>
        </w:rPr>
        <w:t>Artículo 62.3 j).</w:t>
      </w:r>
      <w:r w:rsidRPr="00E27756">
        <w:rPr>
          <w:rStyle w:val="TextoNormalCaracter"/>
        </w:rPr>
        <w:t>-</w:t>
      </w:r>
      <w:r>
        <w:t xml:space="preserve"> Sentencias </w:t>
      </w:r>
      <w:hyperlink w:anchor="SENTENCIA_2013_69" w:history="1">
        <w:r w:rsidRPr="00E27756">
          <w:rPr>
            <w:rStyle w:val="TextoNormalCaracter"/>
          </w:rPr>
          <w:t>69/2013</w:t>
        </w:r>
      </w:hyperlink>
      <w:r>
        <w:t xml:space="preserve">; </w:t>
      </w:r>
      <w:hyperlink w:anchor="SENTENCIA_2013_138" w:history="1">
        <w:r w:rsidRPr="00E27756">
          <w:rPr>
            <w:rStyle w:val="TextoNormalCaracter"/>
          </w:rPr>
          <w:t>138/2013</w:t>
        </w:r>
      </w:hyperlink>
      <w:r>
        <w:t>.</w:t>
      </w:r>
    </w:p>
    <w:p w:rsidR="00E27756" w:rsidRDefault="00E27756" w:rsidP="00E27756">
      <w:pPr>
        <w:pStyle w:val="SangriaFrancesaArticulo"/>
      </w:pPr>
      <w:r w:rsidRPr="00E27756">
        <w:rPr>
          <w:rStyle w:val="TextoNormalNegritaCaracter"/>
        </w:rPr>
        <w:t>Artículo 66.2.</w:t>
      </w:r>
      <w:r w:rsidRPr="00E27756">
        <w:rPr>
          <w:rStyle w:val="TextoNormalCaracter"/>
        </w:rPr>
        <w:t>-</w:t>
      </w:r>
      <w:r>
        <w:t xml:space="preserve"> Sentencias </w:t>
      </w:r>
      <w:hyperlink w:anchor="SENTENCIA_2013_69" w:history="1">
        <w:r w:rsidRPr="00E27756">
          <w:rPr>
            <w:rStyle w:val="TextoNormalCaracter"/>
          </w:rPr>
          <w:t>69/2013</w:t>
        </w:r>
      </w:hyperlink>
      <w:r>
        <w:t xml:space="preserve"> (interpreta); </w:t>
      </w:r>
      <w:hyperlink w:anchor="SENTENCIA_2013_138" w:history="1">
        <w:r w:rsidRPr="00E27756">
          <w:rPr>
            <w:rStyle w:val="TextoNormalCaracter"/>
          </w:rPr>
          <w:t>138/2013</w:t>
        </w:r>
      </w:hyperlink>
      <w:r>
        <w:t xml:space="preserve"> (interpreta).</w:t>
      </w:r>
    </w:p>
    <w:p w:rsidR="00E27756" w:rsidRDefault="00E27756" w:rsidP="00E27756">
      <w:pPr>
        <w:pStyle w:val="SangriaFrancesaArticulo"/>
      </w:pPr>
      <w:r w:rsidRPr="00E27756">
        <w:rPr>
          <w:rStyle w:val="TextoNormalNegritaCaracter"/>
        </w:rPr>
        <w:t>Artículo 72.</w:t>
      </w:r>
      <w:r w:rsidRPr="00E27756">
        <w:rPr>
          <w:rStyle w:val="TextoNormalCaracter"/>
        </w:rPr>
        <w:t>-</w:t>
      </w:r>
      <w:r>
        <w:t xml:space="preserve"> Sentencia </w:t>
      </w:r>
      <w:hyperlink w:anchor="SENTENCIA_2013_138" w:history="1">
        <w:r w:rsidRPr="00E27756">
          <w:rPr>
            <w:rStyle w:val="TextoNormalCaracter"/>
          </w:rPr>
          <w:t>138/2013</w:t>
        </w:r>
      </w:hyperlink>
      <w:r>
        <w:t>.</w:t>
      </w:r>
    </w:p>
    <w:p w:rsidR="00E27756" w:rsidRDefault="00E27756" w:rsidP="00E27756">
      <w:pPr>
        <w:pStyle w:val="SangriaFrancesaArticulo"/>
      </w:pPr>
    </w:p>
    <w:p w:rsidR="00E27756" w:rsidRDefault="00E27756" w:rsidP="00E27756">
      <w:pPr>
        <w:pStyle w:val="TextoNormalNegritaCursivandice"/>
      </w:pPr>
      <w:r>
        <w:t>Ley 51/2007, de 26 de diciembre. Presupuestos generales del Estado para 2008</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101" w:history="1">
        <w:r w:rsidRPr="00E27756">
          <w:rPr>
            <w:rStyle w:val="TextoNormalCaracter"/>
          </w:rPr>
          <w:t>101/2013</w:t>
        </w:r>
      </w:hyperlink>
      <w:r>
        <w:t>.</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101" w:history="1">
        <w:r w:rsidRPr="00E27756">
          <w:rPr>
            <w:rStyle w:val="TextoNormalCaracter"/>
          </w:rPr>
          <w:t>101/2013</w:t>
        </w:r>
      </w:hyperlink>
      <w:r>
        <w:t>.</w:t>
      </w:r>
    </w:p>
    <w:p w:rsidR="00E27756" w:rsidRDefault="00E27756" w:rsidP="00E27756">
      <w:pPr>
        <w:pStyle w:val="SangriaFrancesaArticulo"/>
      </w:pPr>
      <w:r w:rsidRPr="00E27756">
        <w:rPr>
          <w:rStyle w:val="TextoNormalNegritaCaracter"/>
        </w:rPr>
        <w:t>Artículo 119.1.</w:t>
      </w:r>
      <w:r w:rsidRPr="00E27756">
        <w:rPr>
          <w:rStyle w:val="TextoNormalCaracter"/>
        </w:rPr>
        <w:t>-</w:t>
      </w:r>
      <w:r>
        <w:t xml:space="preserve"> Sentencia </w:t>
      </w:r>
      <w:hyperlink w:anchor="SENTENCIA_2013_101" w:history="1">
        <w:r w:rsidRPr="00E27756">
          <w:rPr>
            <w:rStyle w:val="TextoNormalCaracter"/>
          </w:rPr>
          <w:t>101/2013</w:t>
        </w:r>
      </w:hyperlink>
      <w:r>
        <w:t>.</w:t>
      </w:r>
    </w:p>
    <w:p w:rsidR="00E27756" w:rsidRDefault="00E27756" w:rsidP="00E27756">
      <w:pPr>
        <w:pStyle w:val="SangriaFrancesaArticulo"/>
      </w:pPr>
      <w:r w:rsidRPr="00E27756">
        <w:rPr>
          <w:rStyle w:val="TextoNormalNegritaCaracter"/>
        </w:rPr>
        <w:t>Disposición adicional quincuagésima sexta.</w:t>
      </w:r>
      <w:r w:rsidRPr="00E27756">
        <w:rPr>
          <w:rStyle w:val="TextoNormalCaracter"/>
        </w:rPr>
        <w:t>-</w:t>
      </w:r>
      <w:r>
        <w:t xml:space="preserve"> Sentencia </w:t>
      </w:r>
      <w:hyperlink w:anchor="SENTENCIA_2013_100" w:history="1">
        <w:r w:rsidRPr="00E27756">
          <w:rPr>
            <w:rStyle w:val="TextoNormalCaracter"/>
          </w:rPr>
          <w:t>100/2013</w:t>
        </w:r>
      </w:hyperlink>
      <w:r>
        <w:t>.</w:t>
      </w:r>
    </w:p>
    <w:p w:rsidR="00E27756" w:rsidRDefault="00E27756" w:rsidP="00E27756">
      <w:pPr>
        <w:pStyle w:val="SangriaFrancesaArticulo"/>
      </w:pPr>
      <w:r w:rsidRPr="00E27756">
        <w:rPr>
          <w:rStyle w:val="TextoNormalNegritaCaracter"/>
        </w:rPr>
        <w:t>Disposición adicional sexagésima.</w:t>
      </w:r>
      <w:r w:rsidRPr="00E27756">
        <w:rPr>
          <w:rStyle w:val="TextoNormalCaracter"/>
        </w:rPr>
        <w:t>-</w:t>
      </w:r>
      <w:r>
        <w:t xml:space="preserve"> Auto </w:t>
      </w:r>
      <w:hyperlink w:anchor="AUTO_2013_27" w:history="1">
        <w:r w:rsidRPr="00E27756">
          <w:rPr>
            <w:rStyle w:val="TextoNormalCaracter"/>
          </w:rPr>
          <w:t>27/2013</w:t>
        </w:r>
      </w:hyperlink>
      <w:r>
        <w:t>.</w:t>
      </w:r>
    </w:p>
    <w:p w:rsidR="00E27756" w:rsidRDefault="00E27756" w:rsidP="00E27756">
      <w:pPr>
        <w:pStyle w:val="SangriaFrancesaArticulo"/>
      </w:pPr>
      <w:r w:rsidRPr="00E27756">
        <w:rPr>
          <w:rStyle w:val="TextoNormalNegritaCaracter"/>
        </w:rPr>
        <w:t>Disposición adicional sexagésima.</w:t>
      </w:r>
      <w:r w:rsidRPr="00E27756">
        <w:rPr>
          <w:rStyle w:val="TextoNormalCaracter"/>
        </w:rPr>
        <w:t>-</w:t>
      </w:r>
      <w:r>
        <w:t xml:space="preserve"> Sentencia </w:t>
      </w:r>
      <w:hyperlink w:anchor="SENTENCIA_2013_9" w:history="1">
        <w:r w:rsidRPr="00E27756">
          <w:rPr>
            <w:rStyle w:val="TextoNormalCaracter"/>
          </w:rPr>
          <w:t>9/2013</w:t>
        </w:r>
      </w:hyperlink>
      <w:r>
        <w:t xml:space="preserve"> (anula).</w:t>
      </w:r>
    </w:p>
    <w:p w:rsidR="00E27756" w:rsidRDefault="00E27756" w:rsidP="00E27756">
      <w:pPr>
        <w:pStyle w:val="SangriaFrancesaArticulo"/>
      </w:pPr>
      <w:r w:rsidRPr="00E27756">
        <w:rPr>
          <w:rStyle w:val="TextoNormalNegritaCaracter"/>
        </w:rPr>
        <w:t>Sección 33.</w:t>
      </w:r>
      <w:r w:rsidRPr="00E27756">
        <w:rPr>
          <w:rStyle w:val="TextoNormalCaracter"/>
        </w:rPr>
        <w:t>-</w:t>
      </w:r>
      <w:r>
        <w:t xml:space="preserve"> Sentencia </w:t>
      </w:r>
      <w:hyperlink w:anchor="SENTENCIA_2013_101" w:history="1">
        <w:r w:rsidRPr="00E27756">
          <w:rPr>
            <w:rStyle w:val="TextoNormalCaracter"/>
          </w:rPr>
          <w:t>101/2013</w:t>
        </w:r>
      </w:hyperlink>
      <w:r>
        <w:t>.</w:t>
      </w:r>
    </w:p>
    <w:p w:rsidR="00E27756" w:rsidRDefault="00E27756" w:rsidP="00E27756">
      <w:pPr>
        <w:pStyle w:val="SangriaFrancesaArticulo"/>
      </w:pPr>
      <w:r w:rsidRPr="00E27756">
        <w:rPr>
          <w:rStyle w:val="TextoNormalNegritaCaracter"/>
        </w:rPr>
        <w:t>Sección 98.</w:t>
      </w:r>
      <w:r w:rsidRPr="00E27756">
        <w:rPr>
          <w:rStyle w:val="TextoNormalCaracter"/>
        </w:rPr>
        <w:t>-</w:t>
      </w:r>
      <w:r>
        <w:t xml:space="preserve"> Sentencia </w:t>
      </w:r>
      <w:hyperlink w:anchor="SENTENCIA_2013_101" w:history="1">
        <w:r w:rsidRPr="00E27756">
          <w:rPr>
            <w:rStyle w:val="TextoNormalCaracter"/>
          </w:rPr>
          <w:t>101/2013</w:t>
        </w:r>
      </w:hyperlink>
      <w:r>
        <w:t>.</w:t>
      </w:r>
    </w:p>
    <w:p w:rsidR="00E27756" w:rsidRDefault="00E27756" w:rsidP="00E27756">
      <w:pPr>
        <w:pStyle w:val="SangriaFrancesaArticulo"/>
      </w:pPr>
    </w:p>
    <w:p w:rsidR="00E27756" w:rsidRDefault="00E27756" w:rsidP="00E27756">
      <w:pPr>
        <w:pStyle w:val="TextoNormalNegritaCursivandice"/>
      </w:pPr>
      <w:r>
        <w:t>Real Decreto-ley 3/2009, de 27 de marzo. Medidas urgentes en materia tributaria, financiera y concursal ante la evolución de la situación económica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24" w:history="1">
        <w:r w:rsidRPr="00E27756">
          <w:rPr>
            <w:rStyle w:val="TextoNormalCaracter"/>
          </w:rPr>
          <w:t>24/2013</w:t>
        </w:r>
      </w:hyperlink>
      <w:r>
        <w:t>.</w:t>
      </w:r>
    </w:p>
    <w:p w:rsidR="00E27756" w:rsidRDefault="00E27756" w:rsidP="00E27756">
      <w:pPr>
        <w:pStyle w:val="SangriaFrancesaArticulo"/>
      </w:pPr>
    </w:p>
    <w:p w:rsidR="00E27756" w:rsidRDefault="00E27756" w:rsidP="00E27756">
      <w:pPr>
        <w:pStyle w:val="TextoNormalNegritaCursivandice"/>
      </w:pPr>
      <w:r>
        <w:t>Ley 25/2009, de 22 de diciembre. Modificación de diversas leyes para su adaptación a la Ley sobre el libre acceso a las actividades de servicios y su ejercicio</w:t>
      </w:r>
    </w:p>
    <w:p w:rsidR="00E27756" w:rsidRDefault="00E27756" w:rsidP="00E27756">
      <w:pPr>
        <w:pStyle w:val="SangriaFrancesaArticulo"/>
      </w:pPr>
      <w:r w:rsidRPr="00E27756">
        <w:rPr>
          <w:rStyle w:val="TextoNormalNegritaCaracter"/>
        </w:rPr>
        <w:t>Artículo 5.5.</w:t>
      </w:r>
      <w:r w:rsidRPr="00E27756">
        <w:rPr>
          <w:rStyle w:val="TextoNormalCaracter"/>
        </w:rPr>
        <w:t>-</w:t>
      </w:r>
      <w:r>
        <w:t xml:space="preserve"> Sentencia </w:t>
      </w:r>
      <w:hyperlink w:anchor="SENTENCIA_2013_89" w:history="1">
        <w:r w:rsidRPr="00E27756">
          <w:rPr>
            <w:rStyle w:val="TextoNormalCaracter"/>
          </w:rPr>
          <w:t>89/2013</w:t>
        </w:r>
      </w:hyperlink>
      <w:r>
        <w:t>.</w:t>
      </w:r>
    </w:p>
    <w:p w:rsidR="00E27756" w:rsidRDefault="00E27756" w:rsidP="00E27756">
      <w:pPr>
        <w:pStyle w:val="SangriaFrancesaArticulo"/>
      </w:pPr>
      <w:r w:rsidRPr="00E27756">
        <w:rPr>
          <w:rStyle w:val="TextoNormalNegritaCaracter"/>
        </w:rPr>
        <w:t>Artículo 18.5.</w:t>
      </w:r>
      <w:r w:rsidRPr="00E27756">
        <w:rPr>
          <w:rStyle w:val="TextoNormalCaracter"/>
        </w:rPr>
        <w:t>-</w:t>
      </w:r>
      <w:r>
        <w:t xml:space="preserve"> Sentencia </w:t>
      </w:r>
      <w:hyperlink w:anchor="SENTENCIA_2013_102" w:history="1">
        <w:r w:rsidRPr="00E27756">
          <w:rPr>
            <w:rStyle w:val="TextoNormalCaracter"/>
          </w:rPr>
          <w:t>102/2013</w:t>
        </w:r>
      </w:hyperlink>
      <w:r>
        <w:t>.</w:t>
      </w:r>
    </w:p>
    <w:p w:rsidR="00E27756" w:rsidRDefault="00E27756" w:rsidP="00E27756">
      <w:pPr>
        <w:pStyle w:val="SangriaFrancesaArticulo"/>
      </w:pPr>
      <w:r w:rsidRPr="00E27756">
        <w:rPr>
          <w:rStyle w:val="TextoNormalNegritaCaracter"/>
        </w:rPr>
        <w:t>Artículo 35.</w:t>
      </w:r>
      <w:r w:rsidRPr="00E27756">
        <w:rPr>
          <w:rStyle w:val="TextoNormalCaracter"/>
        </w:rPr>
        <w:t>-</w:t>
      </w:r>
      <w:r>
        <w:t xml:space="preserve"> Sentencia </w:t>
      </w:r>
      <w:hyperlink w:anchor="SENTENCIA_2013_102" w:history="1">
        <w:r w:rsidRPr="00E27756">
          <w:rPr>
            <w:rStyle w:val="TextoNormalCaracter"/>
          </w:rPr>
          <w:t>102/2013</w:t>
        </w:r>
      </w:hyperlink>
      <w:r>
        <w:t>.</w:t>
      </w:r>
    </w:p>
    <w:p w:rsidR="00E27756" w:rsidRDefault="00E27756" w:rsidP="00E27756">
      <w:pPr>
        <w:pStyle w:val="SangriaFrancesaArticulo"/>
      </w:pPr>
      <w:r w:rsidRPr="00E27756">
        <w:rPr>
          <w:rStyle w:val="TextoNormalNegritaCaracter"/>
        </w:rPr>
        <w:t>Disposición transitoria cuarta.</w:t>
      </w:r>
      <w:r w:rsidRPr="00E27756">
        <w:rPr>
          <w:rStyle w:val="TextoNormalCaracter"/>
        </w:rPr>
        <w:t>-</w:t>
      </w:r>
      <w:r>
        <w:t xml:space="preserve"> Sentencia </w:t>
      </w:r>
      <w:hyperlink w:anchor="SENTENCIA_2013_89" w:history="1">
        <w:r w:rsidRPr="00E27756">
          <w:rPr>
            <w:rStyle w:val="TextoNormalCaracter"/>
          </w:rPr>
          <w:t>89/2013</w:t>
        </w:r>
      </w:hyperlink>
      <w:r>
        <w:t>.</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89" w:history="1">
        <w:r w:rsidRPr="00E27756">
          <w:rPr>
            <w:rStyle w:val="TextoNormalCaracter"/>
          </w:rPr>
          <w:t>89/2013</w:t>
        </w:r>
      </w:hyperlink>
      <w:r>
        <w:t>.</w:t>
      </w:r>
    </w:p>
    <w:p w:rsidR="00E27756" w:rsidRDefault="00E27756" w:rsidP="00E27756">
      <w:pPr>
        <w:pStyle w:val="SangriaFrancesaArticulo"/>
      </w:pPr>
    </w:p>
    <w:p w:rsidR="00E27756" w:rsidRDefault="00E27756" w:rsidP="00E27756">
      <w:pPr>
        <w:pStyle w:val="TextoNormalNegritaCursivandice"/>
      </w:pPr>
      <w:r>
        <w:lastRenderedPageBreak/>
        <w:t>Real Decreto-ley 3/2012, de 10 de febrero. Medidas urgentes para la reforma del mercado laboral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26" w:history="1">
        <w:r w:rsidRPr="00E27756">
          <w:rPr>
            <w:rStyle w:val="TextoNormalCaracter"/>
          </w:rPr>
          <w:t>126/2013</w:t>
        </w:r>
      </w:hyperlink>
      <w:r>
        <w:t>.</w:t>
      </w:r>
    </w:p>
    <w:p w:rsidR="00E27756" w:rsidRDefault="00E27756" w:rsidP="00E27756">
      <w:pPr>
        <w:pStyle w:val="SangriaFrancesaArticulo"/>
      </w:pPr>
      <w:r w:rsidRPr="00E27756">
        <w:rPr>
          <w:rStyle w:val="TextoNormalNegritaCaracter"/>
        </w:rPr>
        <w:t>Capítulo IV.</w:t>
      </w:r>
      <w:r w:rsidRPr="00E27756">
        <w:rPr>
          <w:rStyle w:val="TextoNormalCaracter"/>
        </w:rPr>
        <w:t>-</w:t>
      </w:r>
      <w:r>
        <w:t xml:space="preserve"> Auto </w:t>
      </w:r>
      <w:hyperlink w:anchor="AUTO_2013_96" w:history="1">
        <w:r w:rsidRPr="00E27756">
          <w:rPr>
            <w:rStyle w:val="TextoNormalCaracter"/>
          </w:rPr>
          <w:t>96/2013</w:t>
        </w:r>
      </w:hyperlink>
      <w:r>
        <w:t>.</w:t>
      </w:r>
    </w:p>
    <w:p w:rsidR="00E27756" w:rsidRDefault="00E27756" w:rsidP="00E27756">
      <w:pPr>
        <w:pStyle w:val="SangriaFrancesaArticulo"/>
      </w:pPr>
      <w:r w:rsidRPr="00E27756">
        <w:rPr>
          <w:rStyle w:val="TextoNormalNegritaCaracter"/>
        </w:rPr>
        <w:t>Artículo 18.8.</w:t>
      </w:r>
      <w:r w:rsidRPr="00E27756">
        <w:rPr>
          <w:rStyle w:val="TextoNormalCaracter"/>
        </w:rPr>
        <w:t>-</w:t>
      </w:r>
      <w:r>
        <w:t xml:space="preserve"> Autos </w:t>
      </w:r>
      <w:hyperlink w:anchor="AUTO_2013_96" w:history="1">
        <w:r w:rsidRPr="00E27756">
          <w:rPr>
            <w:rStyle w:val="TextoNormalCaracter"/>
          </w:rPr>
          <w:t>96/2013</w:t>
        </w:r>
      </w:hyperlink>
      <w:r>
        <w:t xml:space="preserve">; </w:t>
      </w:r>
      <w:hyperlink w:anchor="AUTO_2013_126" w:history="1">
        <w:r w:rsidRPr="00E27756">
          <w:rPr>
            <w:rStyle w:val="TextoNormalCaracter"/>
          </w:rPr>
          <w:t>126/2013</w:t>
        </w:r>
      </w:hyperlink>
      <w:r>
        <w:t>.</w:t>
      </w:r>
    </w:p>
    <w:p w:rsidR="00E27756" w:rsidRDefault="00E27756" w:rsidP="00E27756">
      <w:pPr>
        <w:pStyle w:val="SangriaFrancesaArticulo"/>
      </w:pPr>
      <w:r w:rsidRPr="00E27756">
        <w:rPr>
          <w:rStyle w:val="TextoNormalNegritaCaracter"/>
        </w:rPr>
        <w:t>Disposición transitoria quinta.</w:t>
      </w:r>
      <w:r w:rsidRPr="00E27756">
        <w:rPr>
          <w:rStyle w:val="TextoNormalCaracter"/>
        </w:rPr>
        <w:t>-</w:t>
      </w:r>
      <w:r>
        <w:t xml:space="preserve"> Autos </w:t>
      </w:r>
      <w:hyperlink w:anchor="AUTO_2013_96" w:history="1">
        <w:r w:rsidRPr="00E27756">
          <w:rPr>
            <w:rStyle w:val="TextoNormalCaracter"/>
          </w:rPr>
          <w:t>96/2013</w:t>
        </w:r>
      </w:hyperlink>
      <w:r>
        <w:t xml:space="preserve">; </w:t>
      </w:r>
      <w:hyperlink w:anchor="AUTO_2013_126" w:history="1">
        <w:r w:rsidRPr="00E27756">
          <w:rPr>
            <w:rStyle w:val="TextoNormalCaracter"/>
          </w:rPr>
          <w:t>126/2013</w:t>
        </w:r>
      </w:hyperlink>
      <w:r>
        <w:t>.</w:t>
      </w:r>
    </w:p>
    <w:p w:rsidR="00E27756" w:rsidRDefault="00E27756" w:rsidP="00E27756">
      <w:pPr>
        <w:pStyle w:val="TextoNormal"/>
      </w:pPr>
    </w:p>
    <w:p w:rsidR="00E27756" w:rsidRDefault="00E27756" w:rsidP="00E27756">
      <w:pPr>
        <w:pStyle w:val="SangriaFrancesaArticulo"/>
      </w:pPr>
      <w:bookmarkStart w:id="291" w:name="INDICE22806"/>
    </w:p>
    <w:bookmarkEnd w:id="291"/>
    <w:p w:rsidR="00E27756" w:rsidRDefault="00DF47E6" w:rsidP="00E27756">
      <w:pPr>
        <w:pStyle w:val="TextoIndiceNivel2"/>
        <w:suppressAutoHyphens/>
      </w:pPr>
      <w:r>
        <w:t>B) Disposiciones con fuerza de ley de las Comunidades Autónomas</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B.1) Andalucía</w:t>
      </w:r>
    </w:p>
    <w:p w:rsidR="00E27756" w:rsidRDefault="00E27756" w:rsidP="00E27756">
      <w:pPr>
        <w:pStyle w:val="TextoNormalNegritaCentrado"/>
      </w:pPr>
    </w:p>
    <w:p w:rsidR="00E27756" w:rsidRDefault="00E27756" w:rsidP="00E27756">
      <w:pPr>
        <w:pStyle w:val="TextoNormalNegritaCursivandice"/>
      </w:pPr>
      <w:r>
        <w:t>Ley del Parlamento de Andalucía 15/2001, de 26 de diciembre. Se aprueban medidas fiscales, presupuestarias, de control y administrativas</w:t>
      </w:r>
    </w:p>
    <w:p w:rsidR="00E27756" w:rsidRDefault="00E27756" w:rsidP="00E27756">
      <w:pPr>
        <w:pStyle w:val="SangriaFrancesaArticulo"/>
      </w:pPr>
      <w:r w:rsidRPr="00E27756">
        <w:rPr>
          <w:rStyle w:val="TextoNormalNegritaCaracter"/>
        </w:rPr>
        <w:t>Artículo 30.2 inciso sobre realización de actividades por cuenta de la Administración.</w:t>
      </w:r>
      <w:r w:rsidRPr="00E27756">
        <w:rPr>
          <w:rStyle w:val="TextoNormalCaracter"/>
        </w:rPr>
        <w:t>-</w:t>
      </w:r>
      <w:r>
        <w:t xml:space="preserve"> Sentencia </w:t>
      </w:r>
      <w:hyperlink w:anchor="SENTENCIA_2013_3" w:history="1">
        <w:r w:rsidRPr="00E27756">
          <w:rPr>
            <w:rStyle w:val="TextoNormalCaracter"/>
          </w:rPr>
          <w:t>3/2013</w:t>
        </w:r>
      </w:hyperlink>
      <w:r>
        <w:t xml:space="preserve"> (anula).</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B.2) Aragón</w:t>
      </w:r>
    </w:p>
    <w:p w:rsidR="00E27756" w:rsidRDefault="00E27756" w:rsidP="00E27756">
      <w:pPr>
        <w:pStyle w:val="TextoNormalNegritaCentrado"/>
      </w:pPr>
    </w:p>
    <w:p w:rsidR="00E27756" w:rsidRDefault="00E27756" w:rsidP="00E27756">
      <w:pPr>
        <w:pStyle w:val="TextoNormalNegritaCursivandice"/>
      </w:pPr>
      <w:r>
        <w:t>Ley de las Cortes de Aragón 13/2005, de 30 de diciembre. Medidas Fiscales y Administrativas en materia de Tributos Cedidos y Tributos Propios de la Comunidad Autónoma de Aragón</w:t>
      </w:r>
    </w:p>
    <w:p w:rsidR="00E27756" w:rsidRDefault="00E27756" w:rsidP="00E27756">
      <w:pPr>
        <w:pStyle w:val="SangriaFrancesaArticulo"/>
      </w:pPr>
      <w:r w:rsidRPr="00E27756">
        <w:rPr>
          <w:rStyle w:val="TextoNormalNegritaCaracter"/>
        </w:rPr>
        <w:t>Artículos 8 a 13.</w:t>
      </w:r>
      <w:r w:rsidRPr="00E27756">
        <w:rPr>
          <w:rStyle w:val="TextoNormalCaracter"/>
        </w:rPr>
        <w:t>-</w:t>
      </w:r>
      <w:r>
        <w:t xml:space="preserve"> Sentencia </w:t>
      </w:r>
      <w:hyperlink w:anchor="SENTENCIA_2013_96" w:history="1">
        <w:r w:rsidRPr="00E27756">
          <w:rPr>
            <w:rStyle w:val="TextoNormalCaracter"/>
          </w:rPr>
          <w:t>96/2013</w:t>
        </w:r>
      </w:hyperlink>
      <w:r>
        <w:t>.</w:t>
      </w:r>
    </w:p>
    <w:p w:rsidR="00E27756" w:rsidRDefault="00E27756" w:rsidP="00E27756">
      <w:pPr>
        <w:pStyle w:val="SangriaFrancesaArticulo"/>
      </w:pPr>
      <w:r w:rsidRPr="00E27756">
        <w:rPr>
          <w:rStyle w:val="TextoNormalNegritaCaracter"/>
        </w:rPr>
        <w:t>Artículos 28 a 35.</w:t>
      </w:r>
      <w:r w:rsidRPr="00E27756">
        <w:rPr>
          <w:rStyle w:val="TextoNormalCaracter"/>
        </w:rPr>
        <w:t>-</w:t>
      </w:r>
      <w:r>
        <w:t xml:space="preserve"> Sentencia </w:t>
      </w:r>
      <w:hyperlink w:anchor="SENTENCIA_2013_96" w:history="1">
        <w:r w:rsidRPr="00E27756">
          <w:rPr>
            <w:rStyle w:val="TextoNormalCaracter"/>
          </w:rPr>
          <w:t>96/2013</w:t>
        </w:r>
      </w:hyperlink>
      <w:r>
        <w:t>.</w:t>
      </w:r>
    </w:p>
    <w:p w:rsidR="00E27756" w:rsidRDefault="00E27756" w:rsidP="00E27756">
      <w:pPr>
        <w:pStyle w:val="SangriaFrancesaArticulo"/>
      </w:pPr>
      <w:r w:rsidRPr="00E27756">
        <w:rPr>
          <w:rStyle w:val="TextoNormalNegritaCaracter"/>
        </w:rPr>
        <w:t>Artículos 36 a 53.</w:t>
      </w:r>
      <w:r w:rsidRPr="00E27756">
        <w:rPr>
          <w:rStyle w:val="TextoNormalCaracter"/>
        </w:rPr>
        <w:t>-</w:t>
      </w:r>
      <w:r>
        <w:t xml:space="preserve"> Sentencia </w:t>
      </w:r>
      <w:hyperlink w:anchor="SENTENCIA_2013_96" w:history="1">
        <w:r w:rsidRPr="00E27756">
          <w:rPr>
            <w:rStyle w:val="TextoNormalCaracter"/>
          </w:rPr>
          <w:t>96/2013</w:t>
        </w:r>
      </w:hyperlink>
      <w:r>
        <w:t>.</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B.3) Asturias</w:t>
      </w:r>
    </w:p>
    <w:p w:rsidR="00E27756" w:rsidRDefault="00E27756" w:rsidP="00E27756">
      <w:pPr>
        <w:pStyle w:val="TextoNormalNegritaCentrado"/>
      </w:pPr>
    </w:p>
    <w:p w:rsidR="00E27756" w:rsidRDefault="00E27756" w:rsidP="00E27756">
      <w:pPr>
        <w:pStyle w:val="TextoNormalNegritaCursivandice"/>
      </w:pPr>
      <w:r>
        <w:t>Ley de la Junta General del Principado de Asturias 6/2003, de 30 de diciembre. Medidas presupuestarias, administrativas y fiscales</w:t>
      </w:r>
    </w:p>
    <w:p w:rsidR="00E27756" w:rsidRDefault="00E27756" w:rsidP="00E27756">
      <w:pPr>
        <w:pStyle w:val="SangriaFrancesaArticulo"/>
      </w:pPr>
      <w:r w:rsidRPr="00E27756">
        <w:rPr>
          <w:rStyle w:val="TextoNormalNegritaCaracter"/>
        </w:rPr>
        <w:t>Artículo 10 apartados 2, 3.</w:t>
      </w:r>
      <w:r w:rsidRPr="00E27756">
        <w:rPr>
          <w:rStyle w:val="TextoNormalCaracter"/>
        </w:rPr>
        <w:t>-</w:t>
      </w:r>
      <w:r>
        <w:t xml:space="preserve"> Sentencia </w:t>
      </w:r>
      <w:hyperlink w:anchor="SENTENCIA_2013_50" w:history="1">
        <w:r w:rsidRPr="00E27756">
          <w:rPr>
            <w:rStyle w:val="TextoNormalCaracter"/>
          </w:rPr>
          <w:t>50/2013</w:t>
        </w:r>
      </w:hyperlink>
      <w:r>
        <w:t>.</w:t>
      </w:r>
    </w:p>
    <w:p w:rsidR="00E27756" w:rsidRDefault="00E27756" w:rsidP="00E27756">
      <w:pPr>
        <w:pStyle w:val="SangriaFrancesaArticulo"/>
      </w:pPr>
      <w:r w:rsidRPr="00E27756">
        <w:rPr>
          <w:rStyle w:val="TextoNormalNegritaCaracter"/>
        </w:rPr>
        <w:t>Artículo 11 inciso in fine.</w:t>
      </w:r>
      <w:r w:rsidRPr="00E27756">
        <w:rPr>
          <w:rStyle w:val="TextoNormalCaracter"/>
        </w:rPr>
        <w:t>-</w:t>
      </w:r>
      <w:r>
        <w:t xml:space="preserve"> Sentencia </w:t>
      </w:r>
      <w:hyperlink w:anchor="SENTENCIA_2013_50" w:history="1">
        <w:r w:rsidRPr="00E27756">
          <w:rPr>
            <w:rStyle w:val="TextoNormalCaracter"/>
          </w:rPr>
          <w:t>50/2013</w:t>
        </w:r>
      </w:hyperlink>
      <w:r>
        <w:t xml:space="preserve"> (anula).</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B.4) Canarias</w:t>
      </w:r>
    </w:p>
    <w:p w:rsidR="00E27756" w:rsidRDefault="00E27756" w:rsidP="00E27756">
      <w:pPr>
        <w:pStyle w:val="TextoNormalNegritaCentrado"/>
      </w:pPr>
    </w:p>
    <w:p w:rsidR="00E27756" w:rsidRDefault="00E27756" w:rsidP="00E27756">
      <w:pPr>
        <w:pStyle w:val="TextoNormalNegritaCursivandice"/>
      </w:pPr>
      <w:r>
        <w:t>Reglamento del Parlamento de Canarias, de 29 de marzo de 1995</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132" w:history="1">
        <w:r w:rsidRPr="00E27756">
          <w:rPr>
            <w:rStyle w:val="TextoNormalCaracter"/>
          </w:rPr>
          <w:t>132/2013</w:t>
        </w:r>
      </w:hyperlink>
      <w:r>
        <w:t>.</w:t>
      </w:r>
    </w:p>
    <w:p w:rsidR="00E27756" w:rsidRDefault="00E27756" w:rsidP="00E27756">
      <w:pPr>
        <w:pStyle w:val="SangriaFrancesaArticulo"/>
      </w:pPr>
    </w:p>
    <w:p w:rsidR="00E27756" w:rsidRDefault="00E27756" w:rsidP="00E27756">
      <w:pPr>
        <w:pStyle w:val="TextoNormalNegritaCursivandice"/>
      </w:pPr>
      <w:r>
        <w:t>Ley del Parlamento de Canarias 11/1997, de 2 de diciembre. Regulación del sector eléctrico canario</w:t>
      </w:r>
    </w:p>
    <w:p w:rsidR="00E27756" w:rsidRDefault="00E27756" w:rsidP="00E27756">
      <w:pPr>
        <w:pStyle w:val="SangriaFrancesaArticulo"/>
      </w:pPr>
      <w:r w:rsidRPr="00E27756">
        <w:rPr>
          <w:rStyle w:val="TextoNormalNegritaCaracter"/>
        </w:rPr>
        <w:lastRenderedPageBreak/>
        <w:t>Artículo 6 bis</w:t>
      </w:r>
      <w:r>
        <w:t xml:space="preserve"> </w:t>
      </w:r>
      <w:r w:rsidRPr="00E27756">
        <w:rPr>
          <w:rStyle w:val="TextoNormalCaracter"/>
        </w:rPr>
        <w:t>(redactado por la Ley del Parlamento de Canarias 2/2011, de 26 de enero)</w:t>
      </w:r>
      <w:r w:rsidRPr="00E27756">
        <w:rPr>
          <w:rStyle w:val="TextoNormalNegritaCaracter"/>
        </w:rPr>
        <w:t>.</w:t>
      </w:r>
      <w:r w:rsidRPr="00E27756">
        <w:rPr>
          <w:rStyle w:val="TextoNormalCaracter"/>
        </w:rPr>
        <w:t>-</w:t>
      </w:r>
      <w:r>
        <w:t xml:space="preserve"> Auto </w:t>
      </w:r>
      <w:hyperlink w:anchor="AUTO_2013_9" w:history="1">
        <w:r w:rsidRPr="00E27756">
          <w:rPr>
            <w:rStyle w:val="TextoNormalCaracter"/>
          </w:rPr>
          <w:t>9/2013</w:t>
        </w:r>
      </w:hyperlink>
      <w:r>
        <w:t>.</w:t>
      </w:r>
    </w:p>
    <w:p w:rsidR="00E27756" w:rsidRDefault="00E27756" w:rsidP="00E27756">
      <w:pPr>
        <w:pStyle w:val="SangriaFrancesaArticulo"/>
      </w:pPr>
    </w:p>
    <w:p w:rsidR="00E27756" w:rsidRDefault="00E27756" w:rsidP="00E27756">
      <w:pPr>
        <w:pStyle w:val="TextoNormalNegritaCursivandice"/>
      </w:pPr>
      <w:r>
        <w:t>Ley del Parlamento de Canarias 2/2002, de 27 de marzo.  Establecimiento de normas tributarias y de medidas en materia de organización administrativa y de gestión, relativas al personal de la Comunidad y de carácter sancionador</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w:t>
      </w:r>
    </w:p>
    <w:p w:rsidR="00E27756" w:rsidRDefault="00E27756" w:rsidP="00E27756">
      <w:pPr>
        <w:pStyle w:val="SangriaFrancesaArticulo"/>
      </w:pPr>
      <w:r w:rsidRPr="00E27756">
        <w:rPr>
          <w:rStyle w:val="TextoNormalNegritaCaracter"/>
        </w:rPr>
        <w:t>Artículo 16.</w:t>
      </w:r>
      <w:r w:rsidRPr="00E27756">
        <w:rPr>
          <w:rStyle w:val="TextoNormalCaracter"/>
        </w:rPr>
        <w:t>-</w:t>
      </w:r>
      <w:r>
        <w:t xml:space="preserve"> Sentencia </w:t>
      </w:r>
      <w:hyperlink w:anchor="SENTENCIA_2013_123" w:history="1">
        <w:r w:rsidRPr="00E27756">
          <w:rPr>
            <w:rStyle w:val="TextoNormalCaracter"/>
          </w:rPr>
          <w:t>123/2013</w:t>
        </w:r>
      </w:hyperlink>
      <w:r>
        <w:t xml:space="preserve"> (anula).</w:t>
      </w:r>
    </w:p>
    <w:p w:rsidR="00E27756" w:rsidRDefault="00E27756" w:rsidP="00E27756">
      <w:pPr>
        <w:pStyle w:val="SangriaFrancesaArticulo"/>
      </w:pPr>
      <w:r w:rsidRPr="00E27756">
        <w:rPr>
          <w:rStyle w:val="TextoNormalNegritaCaracter"/>
        </w:rPr>
        <w:t>Disposición adicional sexta inciso sobre realización de actividades propias.</w:t>
      </w:r>
      <w:r w:rsidRPr="00E27756">
        <w:rPr>
          <w:rStyle w:val="TextoNormalCaracter"/>
        </w:rPr>
        <w:t>-</w:t>
      </w:r>
      <w:r>
        <w:t xml:space="preserve"> Sentencia </w:t>
      </w:r>
      <w:hyperlink w:anchor="SENTENCIA_2013_123" w:history="1">
        <w:r w:rsidRPr="00E27756">
          <w:rPr>
            <w:rStyle w:val="TextoNormalCaracter"/>
          </w:rPr>
          <w:t>123/2013</w:t>
        </w:r>
      </w:hyperlink>
      <w:r>
        <w:t xml:space="preserve"> (anula).</w:t>
      </w:r>
    </w:p>
    <w:p w:rsidR="00E27756" w:rsidRDefault="00E27756" w:rsidP="00E27756">
      <w:pPr>
        <w:pStyle w:val="SangriaFrancesaArticulo"/>
      </w:pPr>
    </w:p>
    <w:p w:rsidR="00E27756" w:rsidRDefault="00E27756" w:rsidP="00E27756">
      <w:pPr>
        <w:pStyle w:val="TextoNormalNegritaCursivandice"/>
      </w:pPr>
      <w:r>
        <w:t>Ley del Parlamento de Canarias 9/2007, de 13 de abril. Sistema canario de seguridad y emergencias y de modificación de la Ley del Parlamento de Canarias 6/1997, de 4 de julio, de coordinación de las policías locales de Canarias.</w:t>
      </w:r>
    </w:p>
    <w:p w:rsidR="00E27756" w:rsidRDefault="00E27756" w:rsidP="00E27756">
      <w:pPr>
        <w:pStyle w:val="SangriaFrancesaArticulo"/>
      </w:pPr>
      <w:r w:rsidRPr="00E27756">
        <w:rPr>
          <w:rStyle w:val="TextoNormalNegritaCaracter"/>
        </w:rPr>
        <w:t>Disposición transitoria, apartado 5.</w:t>
      </w:r>
      <w:r w:rsidRPr="00E27756">
        <w:rPr>
          <w:rStyle w:val="TextoNormalCaracter"/>
        </w:rPr>
        <w:t>-</w:t>
      </w:r>
      <w:r>
        <w:t xml:space="preserve"> Sentencia </w:t>
      </w:r>
      <w:hyperlink w:anchor="SENTENCIA_2013_33" w:history="1">
        <w:r w:rsidRPr="00E27756">
          <w:rPr>
            <w:rStyle w:val="TextoNormalCaracter"/>
          </w:rPr>
          <w:t>33/2013</w:t>
        </w:r>
      </w:hyperlink>
      <w:r>
        <w:t xml:space="preserve"> (anula).</w:t>
      </w:r>
    </w:p>
    <w:p w:rsidR="00E27756" w:rsidRDefault="00E27756" w:rsidP="00E27756">
      <w:pPr>
        <w:pStyle w:val="SangriaFrancesaArticulo"/>
      </w:pPr>
    </w:p>
    <w:p w:rsidR="00E27756" w:rsidRDefault="00E27756" w:rsidP="00E27756">
      <w:pPr>
        <w:pStyle w:val="TextoNormalNegritaCursivandice"/>
      </w:pPr>
      <w:r>
        <w:t>Ley del Parlamento de Canarias 2/2011, de 26 de enero. Modificación de la Ley 11/1997, de 2 de diciembre, de regulación del sector eléctrico canario y la Ley 19/2003, de 14 de abril, por la que se aprueban las directrices de ordenación general y las directrices de ordenación del turismo en Canarias</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Auto </w:t>
      </w:r>
      <w:hyperlink w:anchor="AUTO_2013_9" w:history="1">
        <w:r w:rsidRPr="00E27756">
          <w:rPr>
            <w:rStyle w:val="TextoNormalCaracter"/>
          </w:rPr>
          <w:t>9/2013</w:t>
        </w:r>
      </w:hyperlink>
      <w:r>
        <w:t>.</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B.5) Cantabria</w:t>
      </w:r>
    </w:p>
    <w:p w:rsidR="00E27756" w:rsidRDefault="00E27756" w:rsidP="00E27756">
      <w:pPr>
        <w:pStyle w:val="TextoNormalNegritaCentrado"/>
      </w:pPr>
    </w:p>
    <w:p w:rsidR="00E27756" w:rsidRDefault="00E27756" w:rsidP="00E27756">
      <w:pPr>
        <w:pStyle w:val="TextoNormalNegritaCursivandice"/>
      </w:pPr>
      <w:r>
        <w:t>Ley del Parlamento de Cantabria 2/2001, de 25 de junio. Ordenación territorial y régimen urbanístico del suelo de Cantabria</w:t>
      </w:r>
    </w:p>
    <w:p w:rsidR="00E27756" w:rsidRDefault="00E27756" w:rsidP="00E27756">
      <w:pPr>
        <w:pStyle w:val="SangriaFrancesaArticulo"/>
      </w:pPr>
      <w:r w:rsidRPr="00E27756">
        <w:rPr>
          <w:rStyle w:val="TextoNormalNegritaCaracter"/>
        </w:rPr>
        <w:t>Disposición adicional sexta.</w:t>
      </w:r>
      <w:r w:rsidRPr="00E27756">
        <w:rPr>
          <w:rStyle w:val="TextoNormalCaracter"/>
        </w:rPr>
        <w:t>-</w:t>
      </w:r>
      <w:r>
        <w:t xml:space="preserve"> Autos </w:t>
      </w:r>
      <w:hyperlink w:anchor="AUTO_2013_114" w:history="1">
        <w:r w:rsidRPr="00E27756">
          <w:rPr>
            <w:rStyle w:val="TextoNormalCaracter"/>
          </w:rPr>
          <w:t>114/2013</w:t>
        </w:r>
      </w:hyperlink>
      <w:r>
        <w:t xml:space="preserve">; </w:t>
      </w:r>
      <w:hyperlink w:anchor="AUTO_2013_115" w:history="1">
        <w:r w:rsidRPr="00E27756">
          <w:rPr>
            <w:rStyle w:val="TextoNormalCaracter"/>
          </w:rPr>
          <w:t>115/2013</w:t>
        </w:r>
      </w:hyperlink>
      <w:r>
        <w:t xml:space="preserve">; </w:t>
      </w:r>
      <w:hyperlink w:anchor="AUTO_2013_117" w:history="1">
        <w:r w:rsidRPr="00E27756">
          <w:rPr>
            <w:rStyle w:val="TextoNormalCaracter"/>
          </w:rPr>
          <w:t>117/2013</w:t>
        </w:r>
      </w:hyperlink>
      <w:r>
        <w:t xml:space="preserve">; </w:t>
      </w:r>
      <w:hyperlink w:anchor="AUTO_2013_118" w:history="1">
        <w:r w:rsidRPr="00E27756">
          <w:rPr>
            <w:rStyle w:val="TextoNormalCaracter"/>
          </w:rPr>
          <w:t>118/2013</w:t>
        </w:r>
      </w:hyperlink>
      <w:r>
        <w:t xml:space="preserve">; </w:t>
      </w:r>
      <w:hyperlink w:anchor="AUTO_2013_119" w:history="1">
        <w:r w:rsidRPr="00E27756">
          <w:rPr>
            <w:rStyle w:val="TextoNormalCaracter"/>
          </w:rPr>
          <w:t>119/2013</w:t>
        </w:r>
      </w:hyperlink>
      <w:r>
        <w:t xml:space="preserve">; </w:t>
      </w:r>
      <w:hyperlink w:anchor="AUTO_2013_140" w:history="1">
        <w:r w:rsidRPr="00E27756">
          <w:rPr>
            <w:rStyle w:val="TextoNormalCaracter"/>
          </w:rPr>
          <w:t>140/2013</w:t>
        </w:r>
      </w:hyperlink>
      <w:r>
        <w:t>.</w:t>
      </w:r>
    </w:p>
    <w:p w:rsidR="00E27756" w:rsidRDefault="00E27756" w:rsidP="00E27756">
      <w:pPr>
        <w:pStyle w:val="SangriaFrancesaArticulo"/>
      </w:pPr>
      <w:r w:rsidRPr="00E27756">
        <w:rPr>
          <w:rStyle w:val="TextoNormalNegritaCaracter"/>
        </w:rPr>
        <w:t>Disposición adicional sexta, apartado 4 párrafo 5 tan sólo en cuanto se refiere a los procesos de ejecución de resoluciones judiciales.</w:t>
      </w:r>
      <w:r w:rsidRPr="00E27756">
        <w:rPr>
          <w:rStyle w:val="TextoNormalCaracter"/>
        </w:rPr>
        <w:t>-</w:t>
      </w:r>
      <w:r>
        <w:t xml:space="preserve"> Sentencia </w:t>
      </w:r>
      <w:hyperlink w:anchor="SENTENCIA_2013_92" w:history="1">
        <w:r w:rsidRPr="00E27756">
          <w:rPr>
            <w:rStyle w:val="TextoNormalCaracter"/>
          </w:rPr>
          <w:t>92/2013</w:t>
        </w:r>
      </w:hyperlink>
      <w:r>
        <w:t xml:space="preserve"> (anula).</w:t>
      </w:r>
    </w:p>
    <w:p w:rsidR="00E27756" w:rsidRDefault="00E27756" w:rsidP="00E27756">
      <w:pPr>
        <w:pStyle w:val="SangriaFrancesaArticulo"/>
      </w:pPr>
      <w:r w:rsidRPr="00E27756">
        <w:rPr>
          <w:rStyle w:val="TextoNormalNegritaCaracter"/>
        </w:rPr>
        <w:t>Disposición adicional sexta, apartado 5.</w:t>
      </w:r>
      <w:r w:rsidRPr="00E27756">
        <w:rPr>
          <w:rStyle w:val="TextoNormalCaracter"/>
        </w:rPr>
        <w:t>-</w:t>
      </w:r>
      <w:r>
        <w:t xml:space="preserve"> Sentencia </w:t>
      </w:r>
      <w:hyperlink w:anchor="SENTENCIA_2013_92" w:history="1">
        <w:r w:rsidRPr="00E27756">
          <w:rPr>
            <w:rStyle w:val="TextoNormalCaracter"/>
          </w:rPr>
          <w:t>92/2013</w:t>
        </w:r>
      </w:hyperlink>
      <w:r>
        <w:t xml:space="preserve"> (anula).</w:t>
      </w:r>
    </w:p>
    <w:p w:rsidR="00E27756" w:rsidRDefault="00E27756" w:rsidP="00E27756">
      <w:pPr>
        <w:pStyle w:val="SangriaFrancesaArticulo"/>
      </w:pPr>
      <w:r w:rsidRPr="00E27756">
        <w:rPr>
          <w:rStyle w:val="TextoNormalNegritaCaracter"/>
        </w:rPr>
        <w:t>Disposición adicional sexta</w:t>
      </w:r>
      <w:r>
        <w:t xml:space="preserve"> </w:t>
      </w:r>
      <w:r w:rsidRPr="00E27756">
        <w:rPr>
          <w:rStyle w:val="TextoNormalCaracter"/>
        </w:rPr>
        <w:t>(redactada por la Ley del Parlamento de Cantabria 2/2011, de 4 de abril)</w:t>
      </w:r>
      <w:r w:rsidRPr="00E27756">
        <w:rPr>
          <w:rStyle w:val="TextoNormalNegritaCaracter"/>
        </w:rPr>
        <w:t>.</w:t>
      </w:r>
      <w:r w:rsidRPr="00E27756">
        <w:rPr>
          <w:rStyle w:val="TextoNormalCaracter"/>
        </w:rPr>
        <w:t>-</w:t>
      </w:r>
      <w:r>
        <w:t xml:space="preserve"> Sentencia </w:t>
      </w:r>
      <w:hyperlink w:anchor="SENTENCIA_2013_92" w:history="1">
        <w:r w:rsidRPr="00E27756">
          <w:rPr>
            <w:rStyle w:val="TextoNormalCaracter"/>
          </w:rPr>
          <w:t>92/2013</w:t>
        </w:r>
      </w:hyperlink>
      <w:r>
        <w:t>.</w:t>
      </w:r>
    </w:p>
    <w:p w:rsidR="00E27756" w:rsidRDefault="00E27756" w:rsidP="00E27756">
      <w:pPr>
        <w:pStyle w:val="SangriaIzquierdaArticulo"/>
      </w:pPr>
      <w:r>
        <w:t xml:space="preserve">Autos </w:t>
      </w:r>
      <w:hyperlink w:anchor="AUTO_2013_104" w:history="1">
        <w:r w:rsidRPr="00E27756">
          <w:rPr>
            <w:rStyle w:val="TextoNormalCaracter"/>
          </w:rPr>
          <w:t>104/2013</w:t>
        </w:r>
      </w:hyperlink>
      <w:r>
        <w:t xml:space="preserve">; </w:t>
      </w:r>
      <w:hyperlink w:anchor="AUTO_2013_105" w:history="1">
        <w:r w:rsidRPr="00E27756">
          <w:rPr>
            <w:rStyle w:val="TextoNormalCaracter"/>
          </w:rPr>
          <w:t>105/2013</w:t>
        </w:r>
      </w:hyperlink>
      <w:r>
        <w:t xml:space="preserve">; </w:t>
      </w:r>
      <w:hyperlink w:anchor="AUTO_2013_106" w:history="1">
        <w:r w:rsidRPr="00E27756">
          <w:rPr>
            <w:rStyle w:val="TextoNormalCaracter"/>
          </w:rPr>
          <w:t>106/2013</w:t>
        </w:r>
      </w:hyperlink>
      <w:r>
        <w:t xml:space="preserve">; </w:t>
      </w:r>
      <w:hyperlink w:anchor="AUTO_2013_107" w:history="1">
        <w:r w:rsidRPr="00E27756">
          <w:rPr>
            <w:rStyle w:val="TextoNormalCaracter"/>
          </w:rPr>
          <w:t>107/2013</w:t>
        </w:r>
      </w:hyperlink>
      <w:r>
        <w:t xml:space="preserve">; </w:t>
      </w:r>
      <w:hyperlink w:anchor="AUTO_2013_108" w:history="1">
        <w:r w:rsidRPr="00E27756">
          <w:rPr>
            <w:rStyle w:val="TextoNormalCaracter"/>
          </w:rPr>
          <w:t>108/2013</w:t>
        </w:r>
      </w:hyperlink>
      <w:r>
        <w:t xml:space="preserve">; </w:t>
      </w:r>
      <w:hyperlink w:anchor="AUTO_2013_109" w:history="1">
        <w:r w:rsidRPr="00E27756">
          <w:rPr>
            <w:rStyle w:val="TextoNormalCaracter"/>
          </w:rPr>
          <w:t>109/2013</w:t>
        </w:r>
      </w:hyperlink>
      <w:r>
        <w:t xml:space="preserve">; </w:t>
      </w:r>
      <w:hyperlink w:anchor="AUTO_2013_110" w:history="1">
        <w:r w:rsidRPr="00E27756">
          <w:rPr>
            <w:rStyle w:val="TextoNormalCaracter"/>
          </w:rPr>
          <w:t>110/2013</w:t>
        </w:r>
      </w:hyperlink>
      <w:r>
        <w:t xml:space="preserve">; </w:t>
      </w:r>
      <w:hyperlink w:anchor="AUTO_2013_111" w:history="1">
        <w:r w:rsidRPr="00E27756">
          <w:rPr>
            <w:rStyle w:val="TextoNormalCaracter"/>
          </w:rPr>
          <w:t>111/2013</w:t>
        </w:r>
      </w:hyperlink>
      <w:r>
        <w:t xml:space="preserve">; </w:t>
      </w:r>
      <w:hyperlink w:anchor="AUTO_2013_113" w:history="1">
        <w:r w:rsidRPr="00E27756">
          <w:rPr>
            <w:rStyle w:val="TextoNormalCaracter"/>
          </w:rPr>
          <w:t>113/2013</w:t>
        </w:r>
      </w:hyperlink>
      <w:r>
        <w:t>.</w:t>
      </w:r>
    </w:p>
    <w:p w:rsidR="00E27756" w:rsidRDefault="00E27756" w:rsidP="00E27756">
      <w:pPr>
        <w:pStyle w:val="SangriaIzquierdaArticulo"/>
      </w:pPr>
    </w:p>
    <w:p w:rsidR="00E27756" w:rsidRDefault="00E27756" w:rsidP="00E27756">
      <w:pPr>
        <w:pStyle w:val="TextoNormalNegritaCursivandice"/>
      </w:pPr>
      <w:r>
        <w:t>Ley del Parlamento de Cantabria 2/2011, de 4 de abril. Modifica la Ley 2/2001, de 25 de junio, de ordenación territorial y régimen urbanístico del suelo de Cantabria, en relación con los procedimientos de indemnización patrimonial en materia urbanística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40" w:history="1">
        <w:r w:rsidRPr="00E27756">
          <w:rPr>
            <w:rStyle w:val="TextoNormalCaracter"/>
          </w:rPr>
          <w:t>140/2013</w:t>
        </w:r>
      </w:hyperlink>
      <w:r>
        <w:t>.</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92" w:history="1">
        <w:r w:rsidRPr="00E27756">
          <w:rPr>
            <w:rStyle w:val="TextoNormalCaracter"/>
          </w:rPr>
          <w:t>92/2013</w:t>
        </w:r>
      </w:hyperlink>
      <w:r>
        <w:t>.</w:t>
      </w:r>
    </w:p>
    <w:p w:rsidR="00E27756" w:rsidRDefault="00E27756" w:rsidP="00E27756">
      <w:pPr>
        <w:pStyle w:val="SangriaIzquierdaArticulo"/>
      </w:pPr>
      <w:r>
        <w:t xml:space="preserve">Autos </w:t>
      </w:r>
      <w:hyperlink w:anchor="AUTO_2013_105" w:history="1">
        <w:r w:rsidRPr="00E27756">
          <w:rPr>
            <w:rStyle w:val="TextoNormalCaracter"/>
          </w:rPr>
          <w:t>105/2013</w:t>
        </w:r>
      </w:hyperlink>
      <w:r>
        <w:t xml:space="preserve">; </w:t>
      </w:r>
      <w:hyperlink w:anchor="AUTO_2013_107" w:history="1">
        <w:r w:rsidRPr="00E27756">
          <w:rPr>
            <w:rStyle w:val="TextoNormalCaracter"/>
          </w:rPr>
          <w:t>107/2013</w:t>
        </w:r>
      </w:hyperlink>
      <w:r>
        <w:t xml:space="preserve">; </w:t>
      </w:r>
      <w:hyperlink w:anchor="AUTO_2013_112" w:history="1">
        <w:r w:rsidRPr="00E27756">
          <w:rPr>
            <w:rStyle w:val="TextoNormalCaracter"/>
          </w:rPr>
          <w:t>112/2013</w:t>
        </w:r>
      </w:hyperlink>
      <w:r>
        <w:t xml:space="preserve">; </w:t>
      </w:r>
      <w:hyperlink w:anchor="AUTO_2013_114" w:history="1">
        <w:r w:rsidRPr="00E27756">
          <w:rPr>
            <w:rStyle w:val="TextoNormalCaracter"/>
          </w:rPr>
          <w:t>114/2013</w:t>
        </w:r>
      </w:hyperlink>
      <w:r>
        <w:t xml:space="preserve">; </w:t>
      </w:r>
      <w:hyperlink w:anchor="AUTO_2013_115" w:history="1">
        <w:r w:rsidRPr="00E27756">
          <w:rPr>
            <w:rStyle w:val="TextoNormalCaracter"/>
          </w:rPr>
          <w:t>115/2013</w:t>
        </w:r>
      </w:hyperlink>
      <w:r>
        <w:t xml:space="preserve">; </w:t>
      </w:r>
      <w:hyperlink w:anchor="AUTO_2013_117" w:history="1">
        <w:r w:rsidRPr="00E27756">
          <w:rPr>
            <w:rStyle w:val="TextoNormalCaracter"/>
          </w:rPr>
          <w:t>117/2013</w:t>
        </w:r>
      </w:hyperlink>
      <w:r>
        <w:t xml:space="preserve">; </w:t>
      </w:r>
      <w:hyperlink w:anchor="AUTO_2013_118" w:history="1">
        <w:r w:rsidRPr="00E27756">
          <w:rPr>
            <w:rStyle w:val="TextoNormalCaracter"/>
          </w:rPr>
          <w:t>118/2013</w:t>
        </w:r>
      </w:hyperlink>
      <w:r>
        <w:t xml:space="preserve">; </w:t>
      </w:r>
      <w:hyperlink w:anchor="AUTO_2013_119" w:history="1">
        <w:r w:rsidRPr="00E27756">
          <w:rPr>
            <w:rStyle w:val="TextoNormalCaracter"/>
          </w:rPr>
          <w:t>119/2013</w:t>
        </w:r>
      </w:hyperlink>
      <w:r>
        <w:t>.</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lastRenderedPageBreak/>
        <w:t>B.6) Castilla-La Mancha</w:t>
      </w:r>
    </w:p>
    <w:p w:rsidR="00E27756" w:rsidRDefault="00E27756" w:rsidP="00E27756">
      <w:pPr>
        <w:pStyle w:val="TextoNormalNegritaCentrado"/>
      </w:pPr>
    </w:p>
    <w:p w:rsidR="00E27756" w:rsidRDefault="00E27756" w:rsidP="00E27756">
      <w:pPr>
        <w:pStyle w:val="TextoNormalNegritaCursivandice"/>
      </w:pPr>
      <w:r>
        <w:t>Ley de las Cortes de Castilla-La Mancha 16/2005, de 29 de diciembre. Impuesto sobre determinadas actividades que inciden en el medio ambiente y del tipo autonómico del impuesto sobre las ventas minoristas de determinados hidrocarburos</w:t>
      </w:r>
    </w:p>
    <w:p w:rsidR="00E27756" w:rsidRDefault="00E27756" w:rsidP="00E27756">
      <w:pPr>
        <w:pStyle w:val="SangriaFrancesaArticulo"/>
      </w:pPr>
      <w:r w:rsidRPr="00E27756">
        <w:rPr>
          <w:rStyle w:val="TextoNormalNegritaCaracter"/>
        </w:rPr>
        <w:t>Artículos 1 a 15.</w:t>
      </w:r>
      <w:r w:rsidRPr="00E27756">
        <w:rPr>
          <w:rStyle w:val="TextoNormalCaracter"/>
        </w:rPr>
        <w:t>-</w:t>
      </w:r>
      <w:r>
        <w:t xml:space="preserve"> Sentencia </w:t>
      </w:r>
      <w:hyperlink w:anchor="SENTENCIA_2013_60" w:history="1">
        <w:r w:rsidRPr="00E27756">
          <w:rPr>
            <w:rStyle w:val="TextoNormalCaracter"/>
          </w:rPr>
          <w:t>60/2013</w:t>
        </w:r>
      </w:hyperlink>
      <w:r>
        <w:t>.</w:t>
      </w:r>
    </w:p>
    <w:p w:rsidR="00E27756" w:rsidRDefault="00E27756" w:rsidP="00E27756">
      <w:pPr>
        <w:pStyle w:val="SangriaFrancesaArticulo"/>
      </w:pPr>
      <w:r w:rsidRPr="00E27756">
        <w:rPr>
          <w:rStyle w:val="TextoNormalNegritaCaracter"/>
        </w:rPr>
        <w:t>Artículo 2 apartados 2, 3.</w:t>
      </w:r>
      <w:r w:rsidRPr="00E27756">
        <w:rPr>
          <w:rStyle w:val="TextoNormalCaracter"/>
        </w:rPr>
        <w:t>-</w:t>
      </w:r>
      <w:r>
        <w:t xml:space="preserve"> Sentencia </w:t>
      </w:r>
      <w:hyperlink w:anchor="SENTENCIA_2013_60" w:history="1">
        <w:r w:rsidRPr="00E27756">
          <w:rPr>
            <w:rStyle w:val="TextoNormalCaracter"/>
          </w:rPr>
          <w:t>60/2013</w:t>
        </w:r>
      </w:hyperlink>
      <w:r>
        <w:t xml:space="preserve"> (anula).</w:t>
      </w:r>
    </w:p>
    <w:p w:rsidR="00E27756" w:rsidRDefault="00E27756" w:rsidP="00E27756">
      <w:pPr>
        <w:pStyle w:val="SangriaFrancesaArticulo"/>
      </w:pPr>
      <w:r w:rsidRPr="00E27756">
        <w:rPr>
          <w:rStyle w:val="TextoNormalNegritaCaracter"/>
        </w:rPr>
        <w:t>Artículo 2.1 b), c).</w:t>
      </w:r>
      <w:r w:rsidRPr="00E27756">
        <w:rPr>
          <w:rStyle w:val="TextoNormalCaracter"/>
        </w:rPr>
        <w:t>-</w:t>
      </w:r>
      <w:r>
        <w:t xml:space="preserve"> Sentencia </w:t>
      </w:r>
      <w:hyperlink w:anchor="SENTENCIA_2013_60" w:history="1">
        <w:r w:rsidRPr="00E27756">
          <w:rPr>
            <w:rStyle w:val="TextoNormalCaracter"/>
          </w:rPr>
          <w:t>60/2013</w:t>
        </w:r>
      </w:hyperlink>
      <w:r>
        <w:t xml:space="preserve"> (anula).</w:t>
      </w:r>
    </w:p>
    <w:p w:rsidR="00E27756" w:rsidRDefault="00E27756" w:rsidP="00E27756">
      <w:pPr>
        <w:pStyle w:val="SangriaFrancesaArticulo"/>
      </w:pPr>
      <w:r w:rsidRPr="00E27756">
        <w:rPr>
          <w:rStyle w:val="TextoNormalNegritaCaracter"/>
        </w:rPr>
        <w:t>Artículo 5 b), c).</w:t>
      </w:r>
      <w:r w:rsidRPr="00E27756">
        <w:rPr>
          <w:rStyle w:val="TextoNormalCaracter"/>
        </w:rPr>
        <w:t>-</w:t>
      </w:r>
      <w:r>
        <w:t xml:space="preserve"> Sentencia </w:t>
      </w:r>
      <w:hyperlink w:anchor="SENTENCIA_2013_60" w:history="1">
        <w:r w:rsidRPr="00E27756">
          <w:rPr>
            <w:rStyle w:val="TextoNormalCaracter"/>
          </w:rPr>
          <w:t>60/2013</w:t>
        </w:r>
      </w:hyperlink>
      <w:r>
        <w:t xml:space="preserve"> (anula).</w:t>
      </w:r>
    </w:p>
    <w:p w:rsidR="00E27756" w:rsidRDefault="00E27756" w:rsidP="00E27756">
      <w:pPr>
        <w:pStyle w:val="SangriaFrancesaArticulo"/>
      </w:pPr>
      <w:r w:rsidRPr="00E27756">
        <w:rPr>
          <w:rStyle w:val="TextoNormalNegritaCaracter"/>
        </w:rPr>
        <w:t>Artículo 8 b), c).</w:t>
      </w:r>
      <w:r w:rsidRPr="00E27756">
        <w:rPr>
          <w:rStyle w:val="TextoNormalCaracter"/>
        </w:rPr>
        <w:t>-</w:t>
      </w:r>
      <w:r>
        <w:t xml:space="preserve"> Sentencia </w:t>
      </w:r>
      <w:hyperlink w:anchor="SENTENCIA_2013_60" w:history="1">
        <w:r w:rsidRPr="00E27756">
          <w:rPr>
            <w:rStyle w:val="TextoNormalCaracter"/>
          </w:rPr>
          <w:t>60/2013</w:t>
        </w:r>
      </w:hyperlink>
      <w:r>
        <w:t xml:space="preserve"> (anula).</w:t>
      </w:r>
    </w:p>
    <w:p w:rsidR="00E27756" w:rsidRDefault="00E27756" w:rsidP="00E27756">
      <w:pPr>
        <w:pStyle w:val="SangriaFrancesaArticulo"/>
      </w:pPr>
      <w:r w:rsidRPr="00E27756">
        <w:rPr>
          <w:rStyle w:val="TextoNormalNegritaCaracter"/>
        </w:rPr>
        <w:t>Artículo 10.4 expresión "y de almacenamiento de residuos radiactivos".</w:t>
      </w:r>
      <w:r w:rsidRPr="00E27756">
        <w:rPr>
          <w:rStyle w:val="TextoNormalCaracter"/>
        </w:rPr>
        <w:t>-</w:t>
      </w:r>
      <w:r>
        <w:t xml:space="preserve"> Sentencia </w:t>
      </w:r>
      <w:hyperlink w:anchor="SENTENCIA_2013_60" w:history="1">
        <w:r w:rsidRPr="00E27756">
          <w:rPr>
            <w:rStyle w:val="TextoNormalCaracter"/>
          </w:rPr>
          <w:t>60/2013</w:t>
        </w:r>
      </w:hyperlink>
      <w:r>
        <w:t xml:space="preserve"> (anula).</w:t>
      </w:r>
    </w:p>
    <w:p w:rsidR="00E27756" w:rsidRDefault="00E27756" w:rsidP="00E27756">
      <w:pPr>
        <w:pStyle w:val="SangriaFrancesaArticulo"/>
      </w:pPr>
      <w:r w:rsidRPr="00E27756">
        <w:rPr>
          <w:rStyle w:val="TextoNormalNegritaCaracter"/>
        </w:rPr>
        <w:t>Artículo 11.2 expresión "y de almacenamiento de residuos radiactivos".</w:t>
      </w:r>
      <w:r w:rsidRPr="00E27756">
        <w:rPr>
          <w:rStyle w:val="TextoNormalCaracter"/>
        </w:rPr>
        <w:t>-</w:t>
      </w:r>
      <w:r>
        <w:t xml:space="preserve"> Sentencia </w:t>
      </w:r>
      <w:hyperlink w:anchor="SENTENCIA_2013_60" w:history="1">
        <w:r w:rsidRPr="00E27756">
          <w:rPr>
            <w:rStyle w:val="TextoNormalCaracter"/>
          </w:rPr>
          <w:t>60/2013</w:t>
        </w:r>
      </w:hyperlink>
      <w:r>
        <w:t xml:space="preserve"> (anula).</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B.7) Castilla y León</w:t>
      </w:r>
    </w:p>
    <w:p w:rsidR="00E27756" w:rsidRDefault="00E27756" w:rsidP="00E27756">
      <w:pPr>
        <w:pStyle w:val="TextoNormalNegritaCentrado"/>
      </w:pPr>
    </w:p>
    <w:p w:rsidR="00E27756" w:rsidRDefault="00E27756" w:rsidP="00E27756">
      <w:pPr>
        <w:pStyle w:val="TextoNormalNegritaCursivandice"/>
      </w:pPr>
      <w:r>
        <w:t>Ley de las Cortes de Castilla y León 9/2002, de 10 de julio. Declaración de proyectos regionales de infraestructuras de residuos de singular interés para la Comunidad</w:t>
      </w:r>
    </w:p>
    <w:p w:rsidR="00E27756" w:rsidRDefault="00E27756" w:rsidP="00E27756">
      <w:pPr>
        <w:pStyle w:val="SangriaFrancesaArticulo"/>
      </w:pPr>
      <w:r w:rsidRPr="00E27756">
        <w:rPr>
          <w:rStyle w:val="TextoNormalNegritaCaracter"/>
        </w:rPr>
        <w:t>Artículo único, apartados 3 a 5.</w:t>
      </w:r>
      <w:r w:rsidRPr="00E27756">
        <w:rPr>
          <w:rStyle w:val="TextoNormalCaracter"/>
        </w:rPr>
        <w:t>-</w:t>
      </w:r>
      <w:r>
        <w:t xml:space="preserve"> Sentencia </w:t>
      </w:r>
      <w:hyperlink w:anchor="SENTENCIA_2013_129" w:history="1">
        <w:r w:rsidRPr="00E27756">
          <w:rPr>
            <w:rStyle w:val="TextoNormalCaracter"/>
          </w:rPr>
          <w:t>129/2013</w:t>
        </w:r>
      </w:hyperlink>
      <w:r>
        <w:t>.</w:t>
      </w:r>
    </w:p>
    <w:p w:rsidR="00E27756" w:rsidRDefault="00E27756" w:rsidP="00E27756">
      <w:pPr>
        <w:pStyle w:val="SangriaFrancesaArticulo"/>
      </w:pPr>
      <w:r w:rsidRPr="00E27756">
        <w:rPr>
          <w:rStyle w:val="TextoNormalNegritaCaracter"/>
        </w:rPr>
        <w:t>Artículo único, apartado 1 sobre reserva formal de ley para la aprobación del proyecto de especial interés regional.</w:t>
      </w:r>
      <w:r w:rsidRPr="00E27756">
        <w:rPr>
          <w:rStyle w:val="TextoNormalCaracter"/>
        </w:rPr>
        <w:t>-</w:t>
      </w:r>
      <w:r>
        <w:t xml:space="preserve"> Sentencia </w:t>
      </w:r>
      <w:hyperlink w:anchor="SENTENCIA_2013_129" w:history="1">
        <w:r w:rsidRPr="00E27756">
          <w:rPr>
            <w:rStyle w:val="TextoNormalCaracter"/>
          </w:rPr>
          <w:t>129/2013</w:t>
        </w:r>
      </w:hyperlink>
      <w:r>
        <w:t xml:space="preserve"> (anula).</w:t>
      </w:r>
    </w:p>
    <w:p w:rsidR="00E27756" w:rsidRDefault="00E27756" w:rsidP="00E27756">
      <w:pPr>
        <w:pStyle w:val="SangriaFrancesaArticulo"/>
      </w:pPr>
      <w:r w:rsidRPr="00E27756">
        <w:rPr>
          <w:rStyle w:val="TextoNormalNegritaCaracter"/>
        </w:rPr>
        <w:t>Artículo único, apartado 2 párrafos 1, 2 sobre declaración por ley de proyectos regionales de infraestructuras de residuos.</w:t>
      </w:r>
      <w:r w:rsidRPr="00E27756">
        <w:rPr>
          <w:rStyle w:val="TextoNormalCaracter"/>
        </w:rPr>
        <w:t>-</w:t>
      </w:r>
      <w:r>
        <w:t xml:space="preserve"> Sentencia </w:t>
      </w:r>
      <w:hyperlink w:anchor="SENTENCIA_2013_129" w:history="1">
        <w:r w:rsidRPr="00E27756">
          <w:rPr>
            <w:rStyle w:val="TextoNormalCaracter"/>
          </w:rPr>
          <w:t>129/2013</w:t>
        </w:r>
      </w:hyperlink>
      <w:r>
        <w:t xml:space="preserve"> (anula).</w:t>
      </w:r>
    </w:p>
    <w:p w:rsidR="00E27756" w:rsidRDefault="00E27756" w:rsidP="00E27756">
      <w:pPr>
        <w:pStyle w:val="SangriaFrancesaArticulo"/>
      </w:pPr>
      <w:r w:rsidRPr="00E27756">
        <w:rPr>
          <w:rStyle w:val="TextoNormalNegritaCaracter"/>
        </w:rPr>
        <w:t>Disposición adicional.</w:t>
      </w:r>
      <w:r w:rsidRPr="00E27756">
        <w:rPr>
          <w:rStyle w:val="TextoNormalCaracter"/>
        </w:rPr>
        <w:t>-</w:t>
      </w:r>
      <w:r>
        <w:t xml:space="preserve"> Sentencia </w:t>
      </w:r>
      <w:hyperlink w:anchor="SENTENCIA_2013_129" w:history="1">
        <w:r w:rsidRPr="00E27756">
          <w:rPr>
            <w:rStyle w:val="TextoNormalCaracter"/>
          </w:rPr>
          <w:t>129/2013</w:t>
        </w:r>
      </w:hyperlink>
      <w:r>
        <w:t xml:space="preserve"> (anula).</w:t>
      </w:r>
    </w:p>
    <w:p w:rsidR="00E27756" w:rsidRDefault="00E27756" w:rsidP="00E27756">
      <w:pPr>
        <w:pStyle w:val="SangriaFrancesaArticulo"/>
      </w:pPr>
      <w:r w:rsidRPr="00E27756">
        <w:rPr>
          <w:rStyle w:val="TextoNormalNegritaCaracter"/>
        </w:rPr>
        <w:t>Disposición transitoria.</w:t>
      </w:r>
      <w:r w:rsidRPr="00E27756">
        <w:rPr>
          <w:rStyle w:val="TextoNormalCaracter"/>
        </w:rPr>
        <w:t>-</w:t>
      </w:r>
      <w:r>
        <w:t xml:space="preserve"> Sentencia </w:t>
      </w:r>
      <w:hyperlink w:anchor="SENTENCIA_2013_129" w:history="1">
        <w:r w:rsidRPr="00E27756">
          <w:rPr>
            <w:rStyle w:val="TextoNormalCaracter"/>
          </w:rPr>
          <w:t>129/2013</w:t>
        </w:r>
      </w:hyperlink>
      <w:r>
        <w:t xml:space="preserve"> (anula).</w:t>
      </w:r>
    </w:p>
    <w:p w:rsidR="00E27756" w:rsidRDefault="00E27756" w:rsidP="00E27756">
      <w:pPr>
        <w:pStyle w:val="SangriaFrancesaArticulo"/>
      </w:pPr>
    </w:p>
    <w:p w:rsidR="00E27756" w:rsidRDefault="00E27756" w:rsidP="00E27756">
      <w:pPr>
        <w:pStyle w:val="TextoNormalNegritaCursivandice"/>
      </w:pPr>
      <w:r>
        <w:t>Ley de las Cortes de Castilla y León 7/2004, de 22 de diciembre. Modificación de la Ley 6/1991, de 19 de abril, de archivos y patrimonio documental de Castilla y León</w:t>
      </w:r>
    </w:p>
    <w:p w:rsidR="00E27756" w:rsidRDefault="00E27756" w:rsidP="00E27756">
      <w:pPr>
        <w:pStyle w:val="SangriaFrancesaArticulo"/>
      </w:pPr>
      <w:r w:rsidRPr="00E27756">
        <w:rPr>
          <w:rStyle w:val="TextoNormalNegritaCaracter"/>
        </w:rPr>
        <w:t>Artículo único.</w:t>
      </w:r>
      <w:r w:rsidRPr="00E27756">
        <w:rPr>
          <w:rStyle w:val="TextoNormalCaracter"/>
        </w:rPr>
        <w:t>-</w:t>
      </w:r>
      <w:r>
        <w:t xml:space="preserve"> Sentencia </w:t>
      </w:r>
      <w:hyperlink w:anchor="SENTENCIA_2013_38" w:history="1">
        <w:r w:rsidRPr="00E27756">
          <w:rPr>
            <w:rStyle w:val="TextoNormalCaracter"/>
          </w:rPr>
          <w:t>38/2013</w:t>
        </w:r>
      </w:hyperlink>
      <w:r>
        <w:t xml:space="preserve"> (anula).</w:t>
      </w:r>
    </w:p>
    <w:p w:rsidR="00E27756" w:rsidRDefault="00E27756" w:rsidP="00E27756">
      <w:pPr>
        <w:pStyle w:val="SangriaFrancesaArticulo"/>
      </w:pPr>
    </w:p>
    <w:p w:rsidR="00E27756" w:rsidRDefault="00E27756" w:rsidP="00E27756">
      <w:pPr>
        <w:pStyle w:val="TextoNormalNegritaCursivandice"/>
      </w:pPr>
      <w:r>
        <w:t>Ley de las Cortes de  Castilla y León 8/2004, de 22 de diciembre. Modificación de la Ley 12/2002, de 11 de julio, del patrimonio cultural de Castilla y León</w:t>
      </w:r>
    </w:p>
    <w:p w:rsidR="00E27756" w:rsidRDefault="00E27756" w:rsidP="00E27756">
      <w:pPr>
        <w:pStyle w:val="SangriaFrancesaArticulo"/>
      </w:pPr>
      <w:r w:rsidRPr="00E27756">
        <w:rPr>
          <w:rStyle w:val="TextoNormalNegritaCaracter"/>
        </w:rPr>
        <w:t>Artículo único.</w:t>
      </w:r>
      <w:r w:rsidRPr="00E27756">
        <w:rPr>
          <w:rStyle w:val="TextoNormalCaracter"/>
        </w:rPr>
        <w:t>-</w:t>
      </w:r>
      <w:r>
        <w:t xml:space="preserve"> Sentencia </w:t>
      </w:r>
      <w:hyperlink w:anchor="SENTENCIA_2013_136" w:history="1">
        <w:r w:rsidRPr="00E27756">
          <w:rPr>
            <w:rStyle w:val="TextoNormalCaracter"/>
          </w:rPr>
          <w:t>136/2013</w:t>
        </w:r>
      </w:hyperlink>
      <w:r>
        <w:t xml:space="preserve"> (anula).</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B.8) Cataluña</w:t>
      </w:r>
    </w:p>
    <w:p w:rsidR="00E27756" w:rsidRDefault="00E27756" w:rsidP="00E27756">
      <w:pPr>
        <w:pStyle w:val="TextoNormalNegritaCentrado"/>
      </w:pPr>
    </w:p>
    <w:p w:rsidR="00E27756" w:rsidRDefault="00E27756" w:rsidP="00E27756">
      <w:pPr>
        <w:pStyle w:val="TextoNormalNegritaCursivandice"/>
      </w:pPr>
      <w:r>
        <w:t>Ley del Parlamento de Cataluña 10/2001, de 13 de julio.  Normas reguladoras de archivos y documentos</w:t>
      </w:r>
    </w:p>
    <w:p w:rsidR="00E27756" w:rsidRDefault="00E27756" w:rsidP="00E27756">
      <w:pPr>
        <w:pStyle w:val="SangriaFrancesaArticulo"/>
      </w:pPr>
      <w:r w:rsidRPr="00E27756">
        <w:rPr>
          <w:rStyle w:val="TextoNormalNegritaCaracter"/>
        </w:rPr>
        <w:t>Artículo 20.1 a), f).</w:t>
      </w:r>
      <w:r w:rsidRPr="00E27756">
        <w:rPr>
          <w:rStyle w:val="TextoNormalCaracter"/>
        </w:rPr>
        <w:t>-</w:t>
      </w:r>
      <w:r>
        <w:t xml:space="preserve"> Sentencia </w:t>
      </w:r>
      <w:hyperlink w:anchor="SENTENCIA_2013_14" w:history="1">
        <w:r w:rsidRPr="00E27756">
          <w:rPr>
            <w:rStyle w:val="TextoNormalCaracter"/>
          </w:rPr>
          <w:t>14/2013</w:t>
        </w:r>
      </w:hyperlink>
      <w:r>
        <w:t>.</w:t>
      </w:r>
    </w:p>
    <w:p w:rsidR="00E27756" w:rsidRDefault="00E27756" w:rsidP="00E27756">
      <w:pPr>
        <w:pStyle w:val="SangriaFrancesaArticulo"/>
      </w:pPr>
    </w:p>
    <w:p w:rsidR="00E27756" w:rsidRDefault="00E27756" w:rsidP="00E27756">
      <w:pPr>
        <w:pStyle w:val="TextoNormalNegritaCursivandice"/>
      </w:pPr>
      <w:r>
        <w:t>Ley del Parlamento de Cataluña 16/2002, de 28 de junio. Protección contra la contaminación acústica</w:t>
      </w:r>
    </w:p>
    <w:p w:rsidR="00E27756" w:rsidRDefault="00E27756" w:rsidP="00E27756">
      <w:pPr>
        <w:pStyle w:val="SangriaFrancesaArticulo"/>
      </w:pPr>
      <w:r w:rsidRPr="00E27756">
        <w:rPr>
          <w:rStyle w:val="TextoNormalNegritaCaracter"/>
        </w:rPr>
        <w:lastRenderedPageBreak/>
        <w:t>Artículo 12.4 inciso 2.</w:t>
      </w:r>
      <w:r w:rsidRPr="00E27756">
        <w:rPr>
          <w:rStyle w:val="TextoNormalCaracter"/>
        </w:rPr>
        <w:t>-</w:t>
      </w:r>
      <w:r>
        <w:t xml:space="preserve"> Sentencia </w:t>
      </w:r>
      <w:hyperlink w:anchor="SENTENCIA_2013_5" w:history="1">
        <w:r w:rsidRPr="00E27756">
          <w:rPr>
            <w:rStyle w:val="TextoNormalCaracter"/>
          </w:rPr>
          <w:t>5/2013</w:t>
        </w:r>
      </w:hyperlink>
      <w:r>
        <w:t>.</w:t>
      </w:r>
    </w:p>
    <w:p w:rsidR="00E27756" w:rsidRDefault="00E27756" w:rsidP="00E27756">
      <w:pPr>
        <w:pStyle w:val="SangriaFrancesaArticulo"/>
      </w:pPr>
      <w:r w:rsidRPr="00E27756">
        <w:rPr>
          <w:rStyle w:val="TextoNormalNegritaCaracter"/>
        </w:rPr>
        <w:t>Artículo 38.2.</w:t>
      </w:r>
      <w:r w:rsidRPr="00E27756">
        <w:rPr>
          <w:rStyle w:val="TextoNormalCaracter"/>
        </w:rPr>
        <w:t>-</w:t>
      </w:r>
      <w:r>
        <w:t xml:space="preserve"> Sentencia </w:t>
      </w:r>
      <w:hyperlink w:anchor="SENTENCIA_2013_5" w:history="1">
        <w:r w:rsidRPr="00E27756">
          <w:rPr>
            <w:rStyle w:val="TextoNormalCaracter"/>
          </w:rPr>
          <w:t>5/2013</w:t>
        </w:r>
      </w:hyperlink>
      <w:r>
        <w:t xml:space="preserve"> (interpreta).</w:t>
      </w:r>
    </w:p>
    <w:p w:rsidR="00E27756" w:rsidRDefault="00E27756" w:rsidP="00E27756">
      <w:pPr>
        <w:pStyle w:val="SangriaFrancesaArticulo"/>
      </w:pPr>
    </w:p>
    <w:p w:rsidR="00E27756" w:rsidRDefault="00E27756" w:rsidP="00E27756">
      <w:pPr>
        <w:pStyle w:val="TextoNormalNegritaCursivandice"/>
      </w:pPr>
      <w:r>
        <w:t>Ley del Parlamento de Cataluña 29/2002, de 30 de diciembre. Código civil de Cataluña, libro primero relativo a las disposiciones generales</w:t>
      </w:r>
    </w:p>
    <w:p w:rsidR="00E27756" w:rsidRDefault="00E27756" w:rsidP="00E27756">
      <w:pPr>
        <w:pStyle w:val="SangriaFrancesaArticulo"/>
      </w:pPr>
      <w:r w:rsidRPr="00E27756">
        <w:rPr>
          <w:rStyle w:val="TextoNormalNegritaCaracter"/>
        </w:rPr>
        <w:t>Artículo 121.21 d).</w:t>
      </w:r>
      <w:r w:rsidRPr="00E27756">
        <w:rPr>
          <w:rStyle w:val="TextoNormalCaracter"/>
        </w:rPr>
        <w:t>-</w:t>
      </w:r>
      <w:r>
        <w:t xml:space="preserve"> Sentencia </w:t>
      </w:r>
      <w:hyperlink w:anchor="SENTENCIA_2013_42" w:history="1">
        <w:r w:rsidRPr="00E27756">
          <w:rPr>
            <w:rStyle w:val="TextoNormalCaracter"/>
          </w:rPr>
          <w:t>42/2013</w:t>
        </w:r>
      </w:hyperlink>
      <w:r>
        <w:t>.</w:t>
      </w:r>
    </w:p>
    <w:p w:rsidR="00E27756" w:rsidRDefault="00E27756" w:rsidP="00E27756">
      <w:pPr>
        <w:pStyle w:val="SangriaIzquierdaArticulo"/>
      </w:pPr>
      <w:r>
        <w:t xml:space="preserve">Auto </w:t>
      </w:r>
      <w:hyperlink w:anchor="AUTO_2013_34" w:history="1">
        <w:r w:rsidRPr="00E27756">
          <w:rPr>
            <w:rStyle w:val="TextoNormalCaracter"/>
          </w:rPr>
          <w:t>34/2013</w:t>
        </w:r>
      </w:hyperlink>
      <w:r>
        <w:t>.</w:t>
      </w:r>
    </w:p>
    <w:p w:rsidR="00E27756" w:rsidRDefault="00E27756" w:rsidP="00E27756">
      <w:pPr>
        <w:pStyle w:val="SangriaIzquierdaArticulo"/>
      </w:pPr>
    </w:p>
    <w:p w:rsidR="00E27756" w:rsidRDefault="00E27756" w:rsidP="00E27756">
      <w:pPr>
        <w:pStyle w:val="TextoNormalNegritaCursivandice"/>
      </w:pPr>
      <w:r>
        <w:t>Ley del Parlamento de Cataluña 8/2004, de 23 de diciembre. Horarios comerciales</w:t>
      </w:r>
    </w:p>
    <w:p w:rsidR="00E27756" w:rsidRDefault="00E27756" w:rsidP="00E27756">
      <w:pPr>
        <w:pStyle w:val="SangriaFrancesaArticulo"/>
      </w:pPr>
      <w:r w:rsidRPr="00E27756">
        <w:rPr>
          <w:rStyle w:val="TextoNormalNegritaCaracter"/>
        </w:rPr>
        <w:t>Artículo 1.2 a) a e)</w:t>
      </w:r>
      <w:r>
        <w:t xml:space="preserve"> </w:t>
      </w:r>
      <w:r w:rsidRPr="00E27756">
        <w:rPr>
          <w:rStyle w:val="TextoNormalCaracter"/>
        </w:rPr>
        <w:t>(redactado por el Decreto-ley de la Generalidad de Cataluña 4/2012, de 30 de octubre)</w:t>
      </w:r>
      <w:r w:rsidRPr="00E27756">
        <w:rPr>
          <w:rStyle w:val="TextoNormalNegritaCaracter"/>
        </w:rPr>
        <w:t>.</w:t>
      </w:r>
      <w:r w:rsidRPr="00E27756">
        <w:rPr>
          <w:rStyle w:val="TextoNormalCaracter"/>
        </w:rPr>
        <w:t>-</w:t>
      </w:r>
      <w:r>
        <w:t xml:space="preserve"> Auto </w:t>
      </w:r>
      <w:hyperlink w:anchor="AUTO_2013_146" w:history="1">
        <w:r w:rsidRPr="00E27756">
          <w:rPr>
            <w:rStyle w:val="TextoNormalCaracter"/>
          </w:rPr>
          <w:t>146/2013</w:t>
        </w:r>
      </w:hyperlink>
      <w:r>
        <w:t>.</w:t>
      </w:r>
    </w:p>
    <w:p w:rsidR="00E27756" w:rsidRDefault="00E27756" w:rsidP="00E27756">
      <w:pPr>
        <w:pStyle w:val="SangriaFrancesaArticulo"/>
      </w:pPr>
      <w:r w:rsidRPr="00E27756">
        <w:rPr>
          <w:rStyle w:val="TextoNormalNegritaCaracter"/>
        </w:rPr>
        <w:t>Artículo 2.1 b) a d), f), i), l)</w:t>
      </w:r>
      <w:r>
        <w:t xml:space="preserve"> </w:t>
      </w:r>
      <w:r w:rsidRPr="00E27756">
        <w:rPr>
          <w:rStyle w:val="TextoNormalCaracter"/>
        </w:rPr>
        <w:t>(redactado por el Decreto-ley de la Generalidad de Cataluña 4/2012, de 30 de octubre)</w:t>
      </w:r>
      <w:r w:rsidRPr="00E27756">
        <w:rPr>
          <w:rStyle w:val="TextoNormalNegritaCaracter"/>
        </w:rPr>
        <w:t>.</w:t>
      </w:r>
      <w:r w:rsidRPr="00E27756">
        <w:rPr>
          <w:rStyle w:val="TextoNormalCaracter"/>
        </w:rPr>
        <w:t>-</w:t>
      </w:r>
      <w:r>
        <w:t xml:space="preserve"> Auto </w:t>
      </w:r>
      <w:hyperlink w:anchor="AUTO_2013_146" w:history="1">
        <w:r w:rsidRPr="00E27756">
          <w:rPr>
            <w:rStyle w:val="TextoNormalCaracter"/>
          </w:rPr>
          <w:t>146/2013</w:t>
        </w:r>
      </w:hyperlink>
      <w:r>
        <w:t>.</w:t>
      </w:r>
    </w:p>
    <w:p w:rsidR="00E27756" w:rsidRDefault="00E27756" w:rsidP="00E27756">
      <w:pPr>
        <w:pStyle w:val="SangriaFrancesaArticulo"/>
      </w:pPr>
      <w:r w:rsidRPr="00E27756">
        <w:rPr>
          <w:rStyle w:val="TextoNormalNegritaCaracter"/>
        </w:rPr>
        <w:t>Artículo 2.2</w:t>
      </w:r>
      <w:r>
        <w:t xml:space="preserve"> </w:t>
      </w:r>
      <w:r w:rsidRPr="00E27756">
        <w:rPr>
          <w:rStyle w:val="TextoNormalCaracter"/>
        </w:rPr>
        <w:t>(redactado por el Decreto-ley de la Generalidad de Cataluña 4/2012, de 30 de octubre)</w:t>
      </w:r>
      <w:r w:rsidRPr="00E27756">
        <w:rPr>
          <w:rStyle w:val="TextoNormalNegritaCaracter"/>
        </w:rPr>
        <w:t>.</w:t>
      </w:r>
      <w:r w:rsidRPr="00E27756">
        <w:rPr>
          <w:rStyle w:val="TextoNormalCaracter"/>
        </w:rPr>
        <w:t>-</w:t>
      </w:r>
      <w:r>
        <w:t xml:space="preserve"> Auto </w:t>
      </w:r>
      <w:hyperlink w:anchor="AUTO_2013_146" w:history="1">
        <w:r w:rsidRPr="00E27756">
          <w:rPr>
            <w:rStyle w:val="TextoNormalCaracter"/>
          </w:rPr>
          <w:t>146/2013</w:t>
        </w:r>
      </w:hyperlink>
      <w:r>
        <w:t>.</w:t>
      </w:r>
    </w:p>
    <w:p w:rsidR="00E27756" w:rsidRDefault="00E27756" w:rsidP="00E27756">
      <w:pPr>
        <w:pStyle w:val="SangriaFrancesaArticulo"/>
      </w:pPr>
    </w:p>
    <w:p w:rsidR="00E27756" w:rsidRDefault="00E27756" w:rsidP="00E27756">
      <w:pPr>
        <w:pStyle w:val="TextoNormalNegritaCursivandice"/>
      </w:pPr>
      <w:r>
        <w:t>Decreto Legislativo de la Generalidad de Cataluña 3/2008, de 25 de junio. Texto refundido de la Ley de tasas y precios públicos</w:t>
      </w:r>
    </w:p>
    <w:p w:rsidR="00E27756" w:rsidRDefault="00E27756" w:rsidP="00E27756">
      <w:pPr>
        <w:pStyle w:val="SangriaFrancesaArticulo"/>
      </w:pPr>
      <w:r w:rsidRPr="00E27756">
        <w:rPr>
          <w:rStyle w:val="TextoNormalNegritaCaracter"/>
        </w:rPr>
        <w:t>Artículo 3 bis.1-1, apartado 1.</w:t>
      </w:r>
      <w:r w:rsidRPr="00E27756">
        <w:rPr>
          <w:rStyle w:val="TextoNormalCaracter"/>
        </w:rPr>
        <w:t>-</w:t>
      </w:r>
      <w:r>
        <w:t xml:space="preserve"> Auto </w:t>
      </w:r>
      <w:hyperlink w:anchor="AUTO_2013_122" w:history="1">
        <w:r w:rsidRPr="00E27756">
          <w:rPr>
            <w:rStyle w:val="TextoNormalCaracter"/>
          </w:rPr>
          <w:t>122/2013</w:t>
        </w:r>
      </w:hyperlink>
      <w:r>
        <w:t>.</w:t>
      </w:r>
    </w:p>
    <w:p w:rsidR="00E27756" w:rsidRDefault="00E27756" w:rsidP="00E27756">
      <w:pPr>
        <w:pStyle w:val="SangriaFrancesaArticulo"/>
      </w:pPr>
    </w:p>
    <w:p w:rsidR="00E27756" w:rsidRDefault="00E27756" w:rsidP="00E27756">
      <w:pPr>
        <w:pStyle w:val="TextoNormalNegritaCursivandice"/>
      </w:pPr>
      <w:r>
        <w:t>Decreto-ley de la Generalitat de Cataluña 1/2009, de 22 de diciembre. Ordenación de los equipamientos comerciales</w:t>
      </w:r>
    </w:p>
    <w:p w:rsidR="00E27756" w:rsidRDefault="00E27756" w:rsidP="00E27756">
      <w:pPr>
        <w:pStyle w:val="SangriaFrancesaArticulo"/>
      </w:pPr>
      <w:r w:rsidRPr="00E27756">
        <w:rPr>
          <w:rStyle w:val="TextoNormalNegritaCaracter"/>
        </w:rPr>
        <w:t>Artículo 9.3</w:t>
      </w:r>
      <w:r>
        <w:t xml:space="preserve"> </w:t>
      </w:r>
      <w:r w:rsidRPr="00E27756">
        <w:rPr>
          <w:rStyle w:val="TextoNormalCaracter"/>
        </w:rPr>
        <w:t>(redactado por la Ley del Parlamento de Cataluña 9/2011, de 29 de diciembre)</w:t>
      </w:r>
      <w:r w:rsidRPr="00E27756">
        <w:rPr>
          <w:rStyle w:val="TextoNormalNegritaCaracter"/>
        </w:rPr>
        <w:t>.</w:t>
      </w:r>
      <w:r w:rsidRPr="00E27756">
        <w:rPr>
          <w:rStyle w:val="TextoNormalCaracter"/>
        </w:rPr>
        <w:t>-</w:t>
      </w:r>
      <w:r>
        <w:t xml:space="preserve"> Auto </w:t>
      </w:r>
      <w:hyperlink w:anchor="AUTO_2013_10" w:history="1">
        <w:r w:rsidRPr="00E27756">
          <w:rPr>
            <w:rStyle w:val="TextoNormalCaracter"/>
          </w:rPr>
          <w:t>10/2013</w:t>
        </w:r>
      </w:hyperlink>
      <w:r>
        <w:t>.</w:t>
      </w:r>
    </w:p>
    <w:p w:rsidR="00E27756" w:rsidRDefault="00E27756" w:rsidP="00E27756">
      <w:pPr>
        <w:pStyle w:val="SangriaFrancesaArticulo"/>
      </w:pPr>
      <w:r w:rsidRPr="00E27756">
        <w:rPr>
          <w:rStyle w:val="TextoNormalNegritaCaracter"/>
        </w:rPr>
        <w:t>Artículo 9.4</w:t>
      </w:r>
      <w:r>
        <w:t xml:space="preserve"> </w:t>
      </w:r>
      <w:r w:rsidRPr="00E27756">
        <w:rPr>
          <w:rStyle w:val="TextoNormalCaracter"/>
        </w:rPr>
        <w:t>(redactado por la Ley del Parlamento de Cataluña 9/2011, de 29 de diciembre)</w:t>
      </w:r>
      <w:r w:rsidRPr="00E27756">
        <w:rPr>
          <w:rStyle w:val="TextoNormalNegritaCaracter"/>
        </w:rPr>
        <w:t>.</w:t>
      </w:r>
      <w:r w:rsidRPr="00E27756">
        <w:rPr>
          <w:rStyle w:val="TextoNormalCaracter"/>
        </w:rPr>
        <w:t>-</w:t>
      </w:r>
      <w:r>
        <w:t xml:space="preserve"> Auto </w:t>
      </w:r>
      <w:hyperlink w:anchor="AUTO_2013_10" w:history="1">
        <w:r w:rsidRPr="00E27756">
          <w:rPr>
            <w:rStyle w:val="TextoNormalCaracter"/>
          </w:rPr>
          <w:t>10/2013</w:t>
        </w:r>
      </w:hyperlink>
      <w:r>
        <w:t>.</w:t>
      </w:r>
    </w:p>
    <w:p w:rsidR="00E27756" w:rsidRDefault="00E27756" w:rsidP="00E27756">
      <w:pPr>
        <w:pStyle w:val="SangriaFrancesaArticulo"/>
      </w:pPr>
    </w:p>
    <w:p w:rsidR="00E27756" w:rsidRDefault="00E27756" w:rsidP="00E27756">
      <w:pPr>
        <w:pStyle w:val="TextoNormalNegritaCursivandice"/>
      </w:pPr>
      <w:r>
        <w:t>Ley del Parlamento de Cataluña 9/2011, de 29 de diciembre. Promoción de la actividad económica</w:t>
      </w:r>
    </w:p>
    <w:p w:rsidR="00E27756" w:rsidRDefault="00E27756" w:rsidP="00E27756">
      <w:pPr>
        <w:pStyle w:val="SangriaFrancesaArticulo"/>
      </w:pPr>
      <w:r w:rsidRPr="00E27756">
        <w:rPr>
          <w:rStyle w:val="TextoNormalNegritaCaracter"/>
        </w:rPr>
        <w:t>Artículo 114.</w:t>
      </w:r>
      <w:r w:rsidRPr="00E27756">
        <w:rPr>
          <w:rStyle w:val="TextoNormalCaracter"/>
        </w:rPr>
        <w:t>-</w:t>
      </w:r>
      <w:r>
        <w:t xml:space="preserve"> Auto </w:t>
      </w:r>
      <w:hyperlink w:anchor="AUTO_2013_10" w:history="1">
        <w:r w:rsidRPr="00E27756">
          <w:rPr>
            <w:rStyle w:val="TextoNormalCaracter"/>
          </w:rPr>
          <w:t>10/2013</w:t>
        </w:r>
      </w:hyperlink>
      <w:r>
        <w:t>.</w:t>
      </w:r>
    </w:p>
    <w:p w:rsidR="00E27756" w:rsidRDefault="00E27756" w:rsidP="00E27756">
      <w:pPr>
        <w:pStyle w:val="SangriaFrancesaArticulo"/>
      </w:pPr>
    </w:p>
    <w:p w:rsidR="00E27756" w:rsidRDefault="00E27756" w:rsidP="00E27756">
      <w:pPr>
        <w:pStyle w:val="TextoNormalNegritaCursivandice"/>
      </w:pPr>
      <w:r>
        <w:t>Ley del Parlamento de Cataluña 2/2012, de 22 de febrero. Modificación de varias leyes en materia audiovisual</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Auto </w:t>
      </w:r>
      <w:hyperlink w:anchor="AUTO_2013_60" w:history="1">
        <w:r w:rsidRPr="00E27756">
          <w:rPr>
            <w:rStyle w:val="TextoNormalCaracter"/>
          </w:rPr>
          <w:t>60/2013</w:t>
        </w:r>
      </w:hyperlink>
      <w:r>
        <w:t>.</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Auto </w:t>
      </w:r>
      <w:hyperlink w:anchor="AUTO_2013_60" w:history="1">
        <w:r w:rsidRPr="00E27756">
          <w:rPr>
            <w:rStyle w:val="TextoNormalCaracter"/>
          </w:rPr>
          <w:t>60/2013</w:t>
        </w:r>
      </w:hyperlink>
      <w:r>
        <w:t>.</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Auto </w:t>
      </w:r>
      <w:hyperlink w:anchor="AUTO_2013_60" w:history="1">
        <w:r w:rsidRPr="00E27756">
          <w:rPr>
            <w:rStyle w:val="TextoNormalCaracter"/>
          </w:rPr>
          <w:t>60/2013</w:t>
        </w:r>
      </w:hyperlink>
      <w:r>
        <w:t>.</w:t>
      </w:r>
    </w:p>
    <w:p w:rsidR="00E27756" w:rsidRDefault="00E27756" w:rsidP="00E27756">
      <w:pPr>
        <w:pStyle w:val="SangriaFrancesaArticulo"/>
      </w:pPr>
    </w:p>
    <w:p w:rsidR="00E27756" w:rsidRDefault="00E27756" w:rsidP="00E27756">
      <w:pPr>
        <w:pStyle w:val="TextoNormalNegritaCursivandice"/>
      </w:pPr>
      <w:r>
        <w:t>Ley del Parlamento de Cataluña 3/2012, de 22 de febrero. Modificación del texto refundido de la Ley de urbanismo, aprobado por el Decreto Legislativo 1/2010, de 3 de agosto.</w:t>
      </w:r>
    </w:p>
    <w:p w:rsidR="00E27756" w:rsidRDefault="00E27756" w:rsidP="00E27756">
      <w:pPr>
        <w:pStyle w:val="SangriaFrancesaArticulo"/>
      </w:pPr>
      <w:r w:rsidRPr="00E27756">
        <w:rPr>
          <w:rStyle w:val="TextoNormalNegritaCaracter"/>
        </w:rPr>
        <w:t>Artículo 59.</w:t>
      </w:r>
      <w:r w:rsidRPr="00E27756">
        <w:rPr>
          <w:rStyle w:val="TextoNormalCaracter"/>
        </w:rPr>
        <w:t>-</w:t>
      </w:r>
      <w:r>
        <w:t xml:space="preserve"> Auto </w:t>
      </w:r>
      <w:hyperlink w:anchor="AUTO_2013_80" w:history="1">
        <w:r w:rsidRPr="00E27756">
          <w:rPr>
            <w:rStyle w:val="TextoNormalCaracter"/>
          </w:rPr>
          <w:t>80/2013</w:t>
        </w:r>
      </w:hyperlink>
      <w:r>
        <w:t>.</w:t>
      </w:r>
    </w:p>
    <w:p w:rsidR="00E27756" w:rsidRDefault="00E27756" w:rsidP="00E27756">
      <w:pPr>
        <w:pStyle w:val="SangriaFrancesaArticulo"/>
      </w:pPr>
      <w:r w:rsidRPr="00E27756">
        <w:rPr>
          <w:rStyle w:val="TextoNormalNegritaCaracter"/>
        </w:rPr>
        <w:t>Artículo 64.4.</w:t>
      </w:r>
      <w:r w:rsidRPr="00E27756">
        <w:rPr>
          <w:rStyle w:val="TextoNormalCaracter"/>
        </w:rPr>
        <w:t>-</w:t>
      </w:r>
      <w:r>
        <w:t xml:space="preserve"> Auto </w:t>
      </w:r>
      <w:hyperlink w:anchor="AUTO_2013_80" w:history="1">
        <w:r w:rsidRPr="00E27756">
          <w:rPr>
            <w:rStyle w:val="TextoNormalCaracter"/>
          </w:rPr>
          <w:t>80/2013</w:t>
        </w:r>
      </w:hyperlink>
      <w:r>
        <w:t>.</w:t>
      </w:r>
    </w:p>
    <w:p w:rsidR="00E27756" w:rsidRDefault="00E27756" w:rsidP="00E27756">
      <w:pPr>
        <w:pStyle w:val="SangriaFrancesaArticulo"/>
      </w:pPr>
      <w:r w:rsidRPr="00E27756">
        <w:rPr>
          <w:rStyle w:val="TextoNormalNegritaCaracter"/>
        </w:rPr>
        <w:t>Disposición adicional sexta, apartado 7.</w:t>
      </w:r>
      <w:r w:rsidRPr="00E27756">
        <w:rPr>
          <w:rStyle w:val="TextoNormalCaracter"/>
        </w:rPr>
        <w:t>-</w:t>
      </w:r>
      <w:r>
        <w:t xml:space="preserve"> Auto </w:t>
      </w:r>
      <w:hyperlink w:anchor="AUTO_2013_80" w:history="1">
        <w:r w:rsidRPr="00E27756">
          <w:rPr>
            <w:rStyle w:val="TextoNormalCaracter"/>
          </w:rPr>
          <w:t>80/2013</w:t>
        </w:r>
      </w:hyperlink>
      <w:r>
        <w:t>.</w:t>
      </w:r>
    </w:p>
    <w:p w:rsidR="00E27756" w:rsidRDefault="00E27756" w:rsidP="00E27756">
      <w:pPr>
        <w:pStyle w:val="SangriaFrancesaArticulo"/>
      </w:pPr>
    </w:p>
    <w:p w:rsidR="00E27756" w:rsidRDefault="00E27756" w:rsidP="00E27756">
      <w:pPr>
        <w:pStyle w:val="TextoNormalNegritaCursivandice"/>
      </w:pPr>
      <w:r>
        <w:t>Ley del Parlamento de Cataluña 5/2012, de 20 de marzo. Medidas fiscales, financieras y administrativas y de creación del impuesto sobre las estancias en establecimientos turísticos</w:t>
      </w:r>
    </w:p>
    <w:p w:rsidR="00E27756" w:rsidRDefault="00E27756" w:rsidP="00E27756">
      <w:pPr>
        <w:pStyle w:val="SangriaFrancesaArticulo"/>
      </w:pPr>
      <w:r w:rsidRPr="00E27756">
        <w:rPr>
          <w:rStyle w:val="TextoNormalNegritaCaracter"/>
        </w:rPr>
        <w:lastRenderedPageBreak/>
        <w:t>Artículo 16.</w:t>
      </w:r>
      <w:r w:rsidRPr="00E27756">
        <w:rPr>
          <w:rStyle w:val="TextoNormalCaracter"/>
        </w:rPr>
        <w:t>-</w:t>
      </w:r>
      <w:r>
        <w:t xml:space="preserve"> Auto </w:t>
      </w:r>
      <w:hyperlink w:anchor="AUTO_2013_122" w:history="1">
        <w:r w:rsidRPr="00E27756">
          <w:rPr>
            <w:rStyle w:val="TextoNormalCaracter"/>
          </w:rPr>
          <w:t>122/2013</w:t>
        </w:r>
      </w:hyperlink>
      <w:r>
        <w:t>.</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Auto </w:t>
      </w:r>
      <w:hyperlink w:anchor="AUTO_2013_122" w:history="1">
        <w:r w:rsidRPr="00E27756">
          <w:rPr>
            <w:rStyle w:val="TextoNormalCaracter"/>
          </w:rPr>
          <w:t>122/2013</w:t>
        </w:r>
      </w:hyperlink>
      <w:r>
        <w:t>.</w:t>
      </w:r>
    </w:p>
    <w:p w:rsidR="00E27756" w:rsidRDefault="00E27756" w:rsidP="00E27756">
      <w:pPr>
        <w:pStyle w:val="SangriaFrancesaArticulo"/>
      </w:pPr>
      <w:r w:rsidRPr="00E27756">
        <w:rPr>
          <w:rStyle w:val="TextoNormalNegritaCaracter"/>
        </w:rPr>
        <w:t>Disposición transitoria novena.</w:t>
      </w:r>
      <w:r w:rsidRPr="00E27756">
        <w:rPr>
          <w:rStyle w:val="TextoNormalCaracter"/>
        </w:rPr>
        <w:t>-</w:t>
      </w:r>
      <w:r>
        <w:t xml:space="preserve"> Auto </w:t>
      </w:r>
      <w:hyperlink w:anchor="AUTO_2013_125" w:history="1">
        <w:r w:rsidRPr="00E27756">
          <w:rPr>
            <w:rStyle w:val="TextoNormalCaracter"/>
          </w:rPr>
          <w:t>125/2013</w:t>
        </w:r>
      </w:hyperlink>
      <w:r>
        <w:t>.</w:t>
      </w:r>
    </w:p>
    <w:p w:rsidR="00E27756" w:rsidRDefault="00E27756" w:rsidP="00E27756">
      <w:pPr>
        <w:pStyle w:val="SangriaFrancesaArticulo"/>
      </w:pPr>
      <w:r w:rsidRPr="00E27756">
        <w:rPr>
          <w:rStyle w:val="TextoNormalNegritaCaracter"/>
        </w:rPr>
        <w:t>Disposición transitoria novena, inciso 2.</w:t>
      </w:r>
      <w:r w:rsidRPr="00E27756">
        <w:rPr>
          <w:rStyle w:val="TextoNormalCaracter"/>
        </w:rPr>
        <w:t>-</w:t>
      </w:r>
      <w:r>
        <w:t xml:space="preserve"> Autos </w:t>
      </w:r>
      <w:hyperlink w:anchor="AUTO_2013_85" w:history="1">
        <w:r w:rsidRPr="00E27756">
          <w:rPr>
            <w:rStyle w:val="TextoNormalCaracter"/>
          </w:rPr>
          <w:t>85/2013</w:t>
        </w:r>
      </w:hyperlink>
      <w:r>
        <w:t xml:space="preserve">; </w:t>
      </w:r>
      <w:hyperlink w:anchor="AUTO_2013_127" w:history="1">
        <w:r w:rsidRPr="00E27756">
          <w:rPr>
            <w:rStyle w:val="TextoNormalCaracter"/>
          </w:rPr>
          <w:t>127/2013</w:t>
        </w:r>
      </w:hyperlink>
      <w:r>
        <w:t xml:space="preserve">; </w:t>
      </w:r>
      <w:hyperlink w:anchor="AUTO_2013_128" w:history="1">
        <w:r w:rsidRPr="00E27756">
          <w:rPr>
            <w:rStyle w:val="TextoNormalCaracter"/>
          </w:rPr>
          <w:t>128/2013</w:t>
        </w:r>
      </w:hyperlink>
      <w:r>
        <w:t>.</w:t>
      </w:r>
    </w:p>
    <w:p w:rsidR="00E27756" w:rsidRDefault="00E27756" w:rsidP="00E27756">
      <w:pPr>
        <w:pStyle w:val="SangriaFrancesaArticulo"/>
      </w:pPr>
    </w:p>
    <w:p w:rsidR="00E27756" w:rsidRDefault="00E27756" w:rsidP="00E27756">
      <w:pPr>
        <w:pStyle w:val="TextoNormalNegritaCursivandice"/>
      </w:pPr>
      <w:r>
        <w:t>Decreto-ley de la Generalidad de Cataluña 4/2012, de 30 de octubre. Medidas en materia de horarios comerciales y determinadas actividades de promoción</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Auto </w:t>
      </w:r>
      <w:hyperlink w:anchor="AUTO_2013_146" w:history="1">
        <w:r w:rsidRPr="00E27756">
          <w:rPr>
            <w:rStyle w:val="TextoNormalCaracter"/>
          </w:rPr>
          <w:t>146/2013</w:t>
        </w:r>
      </w:hyperlink>
      <w:r>
        <w:t>.</w:t>
      </w:r>
    </w:p>
    <w:p w:rsidR="00E27756" w:rsidRDefault="00E27756" w:rsidP="00E27756">
      <w:pPr>
        <w:pStyle w:val="SangriaFrancesaArticulo"/>
      </w:pPr>
    </w:p>
    <w:p w:rsidR="00E27756" w:rsidRDefault="00E27756" w:rsidP="00E27756">
      <w:pPr>
        <w:pStyle w:val="TextoNormalNegritaCursivandice"/>
      </w:pPr>
      <w:r>
        <w:t>Decreto-ley de la Generalidad de Cataluña 5/2012, de 18 de diciembre. Impuesto sobre los depósitos en las entidades de crédito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23" w:history="1">
        <w:r w:rsidRPr="00E27756">
          <w:rPr>
            <w:rStyle w:val="TextoNormalCaracter"/>
          </w:rPr>
          <w:t>123/2013</w:t>
        </w:r>
      </w:hyperlink>
      <w:r>
        <w:t>.</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B.9) Extremadura</w:t>
      </w:r>
    </w:p>
    <w:p w:rsidR="00E27756" w:rsidRDefault="00E27756" w:rsidP="00E27756">
      <w:pPr>
        <w:pStyle w:val="TextoNormalNegritaCentrado"/>
      </w:pPr>
    </w:p>
    <w:p w:rsidR="00E27756" w:rsidRDefault="00E27756" w:rsidP="00E27756">
      <w:pPr>
        <w:pStyle w:val="TextoNormalNegritaCursivandice"/>
      </w:pPr>
      <w:r>
        <w:t>Ley de la Asamblea de Extremadura 2/2002, de 25 de abril. Protección de la calidad del suministro eléctrico en Extremadura</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Auto </w:t>
      </w:r>
      <w:hyperlink w:anchor="AUTO_2013_66" w:history="1">
        <w:r w:rsidRPr="00E27756">
          <w:rPr>
            <w:rStyle w:val="TextoNormalCaracter"/>
          </w:rPr>
          <w:t>66/2013</w:t>
        </w:r>
      </w:hyperlink>
      <w:r>
        <w:t>.</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4" w:history="1">
        <w:r w:rsidRPr="00E27756">
          <w:rPr>
            <w:rStyle w:val="TextoNormalCaracter"/>
          </w:rPr>
          <w:t>4/2013</w:t>
        </w:r>
      </w:hyperlink>
      <w:r>
        <w:t xml:space="preserve"> (anula).</w:t>
      </w:r>
    </w:p>
    <w:p w:rsidR="00E27756" w:rsidRDefault="00E27756" w:rsidP="00E27756">
      <w:pPr>
        <w:pStyle w:val="SangriaFrancesaArticulo"/>
      </w:pPr>
      <w:r w:rsidRPr="00E27756">
        <w:rPr>
          <w:rStyle w:val="TextoNormalNegritaCaracter"/>
        </w:rPr>
        <w:t>Artículo 7.3 a).</w:t>
      </w:r>
      <w:r w:rsidRPr="00E27756">
        <w:rPr>
          <w:rStyle w:val="TextoNormalCaracter"/>
        </w:rPr>
        <w:t>-</w:t>
      </w:r>
      <w:r>
        <w:t xml:space="preserve"> Auto </w:t>
      </w:r>
      <w:hyperlink w:anchor="AUTO_2013_66" w:history="1">
        <w:r w:rsidRPr="00E27756">
          <w:rPr>
            <w:rStyle w:val="TextoNormalCaracter"/>
          </w:rPr>
          <w:t>66/2013</w:t>
        </w:r>
      </w:hyperlink>
      <w:r>
        <w:t>.</w:t>
      </w:r>
    </w:p>
    <w:p w:rsidR="00E27756" w:rsidRDefault="00E27756" w:rsidP="00E27756">
      <w:pPr>
        <w:pStyle w:val="SangriaFrancesaArticulo"/>
      </w:pPr>
      <w:r w:rsidRPr="00E27756">
        <w:rPr>
          <w:rStyle w:val="TextoNormalNegritaCaracter"/>
        </w:rPr>
        <w:t>Artículo 7.3 a).</w:t>
      </w:r>
      <w:r w:rsidRPr="00E27756">
        <w:rPr>
          <w:rStyle w:val="TextoNormalCaracter"/>
        </w:rPr>
        <w:t>-</w:t>
      </w:r>
      <w:r>
        <w:t xml:space="preserve"> Sentencia </w:t>
      </w:r>
      <w:hyperlink w:anchor="SENTENCIA_2013_4" w:history="1">
        <w:r w:rsidRPr="00E27756">
          <w:rPr>
            <w:rStyle w:val="TextoNormalCaracter"/>
          </w:rPr>
          <w:t>4/2013</w:t>
        </w:r>
      </w:hyperlink>
      <w:r>
        <w:t xml:space="preserve"> (interpreta).</w:t>
      </w:r>
    </w:p>
    <w:p w:rsidR="00E27756" w:rsidRDefault="00E27756" w:rsidP="00E27756">
      <w:pPr>
        <w:pStyle w:val="SangriaFrancesaArticulo"/>
      </w:pPr>
      <w:r w:rsidRPr="00E27756">
        <w:rPr>
          <w:rStyle w:val="TextoNormalNegritaCaracter"/>
        </w:rPr>
        <w:t>Artículo 9.5.</w:t>
      </w:r>
      <w:r w:rsidRPr="00E27756">
        <w:rPr>
          <w:rStyle w:val="TextoNormalCaracter"/>
        </w:rPr>
        <w:t>-</w:t>
      </w:r>
      <w:r>
        <w:t xml:space="preserve"> Sentencia </w:t>
      </w:r>
      <w:hyperlink w:anchor="SENTENCIA_2013_4" w:history="1">
        <w:r w:rsidRPr="00E27756">
          <w:rPr>
            <w:rStyle w:val="TextoNormalCaracter"/>
          </w:rPr>
          <w:t>4/2013</w:t>
        </w:r>
      </w:hyperlink>
      <w:r>
        <w:t>.</w:t>
      </w:r>
    </w:p>
    <w:p w:rsidR="00E27756" w:rsidRDefault="00E27756" w:rsidP="00E27756">
      <w:pPr>
        <w:pStyle w:val="SangriaIzquierdaArticulo"/>
      </w:pPr>
      <w:r>
        <w:t xml:space="preserve">Auto </w:t>
      </w:r>
      <w:hyperlink w:anchor="AUTO_2013_66" w:history="1">
        <w:r w:rsidRPr="00E27756">
          <w:rPr>
            <w:rStyle w:val="TextoNormalCaracter"/>
          </w:rPr>
          <w:t>66/2013</w:t>
        </w:r>
      </w:hyperlink>
      <w:r>
        <w:t>.</w:t>
      </w:r>
    </w:p>
    <w:p w:rsidR="00E27756" w:rsidRDefault="00E27756" w:rsidP="00E27756">
      <w:pPr>
        <w:pStyle w:val="SangriaIzquierdaArticulo"/>
      </w:pPr>
    </w:p>
    <w:p w:rsidR="00E27756" w:rsidRDefault="00E27756" w:rsidP="00E27756">
      <w:pPr>
        <w:pStyle w:val="TextoNormalNegritaCursivandice"/>
      </w:pPr>
      <w:r>
        <w:t>Ley de la Asamblea de Extremadura 11/2002, de 12 diciembre. Colegios y consejos de colegios profesionales</w:t>
      </w:r>
    </w:p>
    <w:p w:rsidR="00E27756" w:rsidRDefault="00E27756" w:rsidP="00E27756">
      <w:pPr>
        <w:pStyle w:val="SangriaFrancesaArticulo"/>
      </w:pPr>
      <w:r w:rsidRPr="00E27756">
        <w:rPr>
          <w:rStyle w:val="TextoNormalNegritaCaracter"/>
        </w:rPr>
        <w:t>Artículo 17.1.</w:t>
      </w:r>
      <w:r w:rsidRPr="00E27756">
        <w:rPr>
          <w:rStyle w:val="TextoNormalCaracter"/>
        </w:rPr>
        <w:t>-</w:t>
      </w:r>
      <w:r>
        <w:t xml:space="preserve"> Auto </w:t>
      </w:r>
      <w:hyperlink w:anchor="AUTO_2013_67" w:history="1">
        <w:r w:rsidRPr="00E27756">
          <w:rPr>
            <w:rStyle w:val="TextoNormalCaracter"/>
          </w:rPr>
          <w:t>67/2013</w:t>
        </w:r>
      </w:hyperlink>
      <w:r>
        <w:t>.</w:t>
      </w:r>
    </w:p>
    <w:p w:rsidR="00E27756" w:rsidRDefault="00E27756" w:rsidP="00E27756">
      <w:pPr>
        <w:pStyle w:val="SangriaFrancesaArticulo"/>
      </w:pPr>
      <w:r w:rsidRPr="00E27756">
        <w:rPr>
          <w:rStyle w:val="TextoNormalNegritaCaracter"/>
        </w:rPr>
        <w:t>Artículo 17.1 inciso in fine.</w:t>
      </w:r>
      <w:r w:rsidRPr="00E27756">
        <w:rPr>
          <w:rStyle w:val="TextoNormalCaracter"/>
        </w:rPr>
        <w:t>-</w:t>
      </w:r>
      <w:r>
        <w:t xml:space="preserve"> Sentencia </w:t>
      </w:r>
      <w:hyperlink w:anchor="SENTENCIA_2013_46" w:history="1">
        <w:r w:rsidRPr="00E27756">
          <w:rPr>
            <w:rStyle w:val="TextoNormalCaracter"/>
          </w:rPr>
          <w:t>46/2013</w:t>
        </w:r>
      </w:hyperlink>
      <w:r>
        <w:t xml:space="preserve"> (anula).</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B.10) Galicia</w:t>
      </w:r>
    </w:p>
    <w:p w:rsidR="00E27756" w:rsidRDefault="00E27756" w:rsidP="00E27756">
      <w:pPr>
        <w:pStyle w:val="TextoNormalNegritaCentrado"/>
      </w:pPr>
    </w:p>
    <w:p w:rsidR="00E27756" w:rsidRDefault="00E27756" w:rsidP="00E27756">
      <w:pPr>
        <w:pStyle w:val="TextoNormalNegritaCursivandice"/>
      </w:pPr>
      <w:r>
        <w:t>Ley del Parlamento de Galicia 16/2007, de 26 de diciembre. Presupuestos   generales de la Comunidad Autónoma de Galicia para el año 2008</w:t>
      </w:r>
    </w:p>
    <w:p w:rsidR="00E27756" w:rsidRDefault="00E27756" w:rsidP="00E27756">
      <w:pPr>
        <w:pStyle w:val="SangriaFrancesaArticulo"/>
      </w:pPr>
      <w:r w:rsidRPr="00E27756">
        <w:rPr>
          <w:rStyle w:val="TextoNormalNegritaCaracter"/>
        </w:rPr>
        <w:t>Artículo 64.4 a) inciso sobre la centralización de la gestión administrativa.</w:t>
      </w:r>
      <w:r w:rsidRPr="00E27756">
        <w:rPr>
          <w:rStyle w:val="TextoNormalCaracter"/>
        </w:rPr>
        <w:t>-</w:t>
      </w:r>
      <w:r>
        <w:t xml:space="preserve"> Sentencia </w:t>
      </w:r>
      <w:hyperlink w:anchor="SENTENCIA_2013_91" w:history="1">
        <w:r w:rsidRPr="00E27756">
          <w:rPr>
            <w:rStyle w:val="TextoNormalCaracter"/>
          </w:rPr>
          <w:t>91/2013</w:t>
        </w:r>
      </w:hyperlink>
      <w:r>
        <w:t xml:space="preserve"> (anula).</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B.11) La Rioja</w:t>
      </w:r>
    </w:p>
    <w:p w:rsidR="00E27756" w:rsidRDefault="00E27756" w:rsidP="00E27756">
      <w:pPr>
        <w:pStyle w:val="TextoNormalNegritaCentrado"/>
      </w:pPr>
    </w:p>
    <w:p w:rsidR="00E27756" w:rsidRDefault="00E27756" w:rsidP="00E27756">
      <w:pPr>
        <w:pStyle w:val="TextoNormalNegritaCursivandice"/>
      </w:pPr>
      <w:r>
        <w:t>Ley del Parlamento de La Rioja 1/2007, de 12 de febrero. Fundaciones</w:t>
      </w:r>
    </w:p>
    <w:p w:rsidR="00E27756" w:rsidRDefault="00E27756" w:rsidP="00E27756">
      <w:pPr>
        <w:pStyle w:val="SangriaFrancesaArticulo"/>
      </w:pPr>
      <w:r w:rsidRPr="00E27756">
        <w:rPr>
          <w:rStyle w:val="TextoNormalNegritaCaracter"/>
        </w:rPr>
        <w:t>Artículo 37 apartados 1, 3.</w:t>
      </w:r>
      <w:r w:rsidRPr="00E27756">
        <w:rPr>
          <w:rStyle w:val="TextoNormalCaracter"/>
        </w:rPr>
        <w:t>-</w:t>
      </w:r>
      <w:r>
        <w:t xml:space="preserve"> Sentencia </w:t>
      </w:r>
      <w:hyperlink w:anchor="SENTENCIA_2013_98" w:history="1">
        <w:r w:rsidRPr="00E27756">
          <w:rPr>
            <w:rStyle w:val="TextoNormalCaracter"/>
          </w:rPr>
          <w:t>98/2013</w:t>
        </w:r>
      </w:hyperlink>
      <w:r>
        <w:t xml:space="preserve"> (anula).</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B.12) Madrid</w:t>
      </w:r>
    </w:p>
    <w:p w:rsidR="00E27756" w:rsidRDefault="00E27756" w:rsidP="00E27756">
      <w:pPr>
        <w:pStyle w:val="TextoNormalNegritaCentrado"/>
      </w:pPr>
    </w:p>
    <w:p w:rsidR="00E27756" w:rsidRDefault="00E27756" w:rsidP="00E27756">
      <w:pPr>
        <w:pStyle w:val="TextoNormalNegritaCursivandice"/>
      </w:pPr>
      <w:r>
        <w:lastRenderedPageBreak/>
        <w:t>Ley de la Asamblea de Madrid 20/1998, de 27 de noviembre. Ordenación y coordinación de los transportes urbanos</w:t>
      </w:r>
    </w:p>
    <w:p w:rsidR="00E27756" w:rsidRDefault="00E27756" w:rsidP="00E27756">
      <w:pPr>
        <w:pStyle w:val="SangriaFrancesaArticulo"/>
      </w:pPr>
      <w:r w:rsidRPr="00E27756">
        <w:rPr>
          <w:rStyle w:val="TextoNormalNegritaCaracter"/>
        </w:rPr>
        <w:t>Artículo 16.2 b) apartado 7.</w:t>
      </w:r>
      <w:r w:rsidRPr="00E27756">
        <w:rPr>
          <w:rStyle w:val="TextoNormalCaracter"/>
        </w:rPr>
        <w:t>-</w:t>
      </w:r>
      <w:r>
        <w:t xml:space="preserve"> Autos </w:t>
      </w:r>
      <w:hyperlink w:anchor="AUTO_2013_50" w:history="1">
        <w:r w:rsidRPr="00E27756">
          <w:rPr>
            <w:rStyle w:val="TextoNormalCaracter"/>
          </w:rPr>
          <w:t>50/2013</w:t>
        </w:r>
      </w:hyperlink>
      <w:r>
        <w:t xml:space="preserve">; </w:t>
      </w:r>
      <w:hyperlink w:anchor="AUTO_2013_51" w:history="1">
        <w:r w:rsidRPr="00E27756">
          <w:rPr>
            <w:rStyle w:val="TextoNormalCaracter"/>
          </w:rPr>
          <w:t>51/2013</w:t>
        </w:r>
      </w:hyperlink>
      <w:r>
        <w:t xml:space="preserve">; </w:t>
      </w:r>
      <w:hyperlink w:anchor="AUTO_2013_52" w:history="1">
        <w:r w:rsidRPr="00E27756">
          <w:rPr>
            <w:rStyle w:val="TextoNormalCaracter"/>
          </w:rPr>
          <w:t>52/2013</w:t>
        </w:r>
      </w:hyperlink>
      <w:r>
        <w:t xml:space="preserve">; </w:t>
      </w:r>
      <w:hyperlink w:anchor="AUTO_2013_53" w:history="1">
        <w:r w:rsidRPr="00E27756">
          <w:rPr>
            <w:rStyle w:val="TextoNormalCaracter"/>
          </w:rPr>
          <w:t>53/2013</w:t>
        </w:r>
      </w:hyperlink>
      <w:r>
        <w:t xml:space="preserve">; </w:t>
      </w:r>
      <w:hyperlink w:anchor="AUTO_2013_54" w:history="1">
        <w:r w:rsidRPr="00E27756">
          <w:rPr>
            <w:rStyle w:val="TextoNormalCaracter"/>
          </w:rPr>
          <w:t>54/2013</w:t>
        </w:r>
      </w:hyperlink>
      <w:r>
        <w:t xml:space="preserve">; </w:t>
      </w:r>
      <w:hyperlink w:anchor="AUTO_2013_55" w:history="1">
        <w:r w:rsidRPr="00E27756">
          <w:rPr>
            <w:rStyle w:val="TextoNormalCaracter"/>
          </w:rPr>
          <w:t>55/2013</w:t>
        </w:r>
      </w:hyperlink>
      <w:r>
        <w:t xml:space="preserve">; </w:t>
      </w:r>
      <w:hyperlink w:anchor="AUTO_2013_57" w:history="1">
        <w:r w:rsidRPr="00E27756">
          <w:rPr>
            <w:rStyle w:val="TextoNormalCaracter"/>
          </w:rPr>
          <w:t>57/2013</w:t>
        </w:r>
      </w:hyperlink>
      <w:r>
        <w:t>.</w:t>
      </w:r>
    </w:p>
    <w:p w:rsidR="00E27756" w:rsidRDefault="00E27756" w:rsidP="00E27756">
      <w:pPr>
        <w:pStyle w:val="SangriaFrancesaArticulo"/>
      </w:pPr>
      <w:r w:rsidRPr="00E27756">
        <w:rPr>
          <w:rStyle w:val="TextoNormalNegritaCaracter"/>
        </w:rPr>
        <w:t>Artículo 16.2 b) apartado 7.</w:t>
      </w:r>
      <w:r w:rsidRPr="00E27756">
        <w:rPr>
          <w:rStyle w:val="TextoNormalCaracter"/>
        </w:rPr>
        <w:t>-</w:t>
      </w:r>
      <w:r>
        <w:t xml:space="preserve"> Sentencia </w:t>
      </w:r>
      <w:hyperlink w:anchor="SENTENCIA_2013_13" w:history="1">
        <w:r w:rsidRPr="00E27756">
          <w:rPr>
            <w:rStyle w:val="TextoNormalCaracter"/>
          </w:rPr>
          <w:t>13/2013</w:t>
        </w:r>
      </w:hyperlink>
      <w:r>
        <w:t xml:space="preserve"> (anula).</w:t>
      </w:r>
    </w:p>
    <w:p w:rsidR="00E27756" w:rsidRDefault="00E27756" w:rsidP="00E27756">
      <w:pPr>
        <w:pStyle w:val="SangriaFrancesaArticulo"/>
      </w:pPr>
    </w:p>
    <w:p w:rsidR="00E27756" w:rsidRDefault="00E27756" w:rsidP="00E27756">
      <w:pPr>
        <w:pStyle w:val="TextoNormalNegritaCursivandice"/>
      </w:pPr>
      <w:r>
        <w:t>Ley de la Asamblea de Madrid 11/2001, de 19 diciembre. Uniones de hecho</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81" w:history="1">
        <w:r w:rsidRPr="00E27756">
          <w:rPr>
            <w:rStyle w:val="TextoNormalCaracter"/>
          </w:rPr>
          <w:t>81/2013</w:t>
        </w:r>
      </w:hyperlink>
      <w:r>
        <w:t>.</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81" w:history="1">
        <w:r w:rsidRPr="00E27756">
          <w:rPr>
            <w:rStyle w:val="TextoNormalCaracter"/>
          </w:rPr>
          <w:t>81/2013</w:t>
        </w:r>
      </w:hyperlink>
      <w:r>
        <w:t xml:space="preserve"> (anula).</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81" w:history="1">
        <w:r w:rsidRPr="00E27756">
          <w:rPr>
            <w:rStyle w:val="TextoNormalCaracter"/>
          </w:rPr>
          <w:t>81/2013</w:t>
        </w:r>
      </w:hyperlink>
      <w:r>
        <w:t xml:space="preserve"> (anula).</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81" w:history="1">
        <w:r w:rsidRPr="00E27756">
          <w:rPr>
            <w:rStyle w:val="TextoNormalCaracter"/>
          </w:rPr>
          <w:t>81/2013</w:t>
        </w:r>
      </w:hyperlink>
      <w:r>
        <w:t>.</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81" w:history="1">
        <w:r w:rsidRPr="00E27756">
          <w:rPr>
            <w:rStyle w:val="TextoNormalCaracter"/>
          </w:rPr>
          <w:t>81/2013</w:t>
        </w:r>
      </w:hyperlink>
      <w:r>
        <w:t>.</w:t>
      </w:r>
    </w:p>
    <w:p w:rsidR="00E27756" w:rsidRDefault="00E27756" w:rsidP="00E27756">
      <w:pPr>
        <w:pStyle w:val="SangriaFrancesaArticulo"/>
      </w:pPr>
    </w:p>
    <w:p w:rsidR="00E27756" w:rsidRDefault="00E27756" w:rsidP="00E27756">
      <w:pPr>
        <w:pStyle w:val="TextoNormalNegritaCursivandice"/>
      </w:pPr>
      <w:r>
        <w:t>Decreto Legislativo del Consejo de Gobierno de la Comunidad de Madrid 1/2002, de 24 de octubre. Texto refundido de la Ley de tasas y precios públicos</w:t>
      </w:r>
    </w:p>
    <w:p w:rsidR="00E27756" w:rsidRDefault="00E27756" w:rsidP="00E27756">
      <w:pPr>
        <w:pStyle w:val="SangriaFrancesaArticulo"/>
      </w:pPr>
      <w:r w:rsidRPr="00E27756">
        <w:rPr>
          <w:rStyle w:val="TextoNormalNegritaCaracter"/>
        </w:rPr>
        <w:t>Título IV, capítulo CVII</w:t>
      </w:r>
      <w:r>
        <w:t xml:space="preserve"> </w:t>
      </w:r>
      <w:r w:rsidRPr="00E27756">
        <w:rPr>
          <w:rStyle w:val="TextoNormalCaracter"/>
        </w:rPr>
        <w:t>(redactado por la Ley de la Asamblea de Madrid 8/2012, de 28 de diciembre)</w:t>
      </w:r>
      <w:r w:rsidRPr="00E27756">
        <w:rPr>
          <w:rStyle w:val="TextoNormalNegritaCaracter"/>
        </w:rPr>
        <w:t>.</w:t>
      </w:r>
      <w:r w:rsidRPr="00E27756">
        <w:rPr>
          <w:rStyle w:val="TextoNormalCaracter"/>
        </w:rPr>
        <w:t>-</w:t>
      </w:r>
      <w:r>
        <w:t xml:space="preserve"> Auto </w:t>
      </w:r>
      <w:hyperlink w:anchor="AUTO_2013_142" w:history="1">
        <w:r w:rsidRPr="00E27756">
          <w:rPr>
            <w:rStyle w:val="TextoNormalCaracter"/>
          </w:rPr>
          <w:t>142/2013</w:t>
        </w:r>
      </w:hyperlink>
      <w:r>
        <w:t>.</w:t>
      </w:r>
    </w:p>
    <w:p w:rsidR="00E27756" w:rsidRDefault="00E27756" w:rsidP="00E27756">
      <w:pPr>
        <w:pStyle w:val="SangriaFrancesaArticulo"/>
      </w:pPr>
      <w:r w:rsidRPr="00E27756">
        <w:rPr>
          <w:rStyle w:val="TextoNormalNegritaCaracter"/>
        </w:rPr>
        <w:t>Artículo 530 a 535</w:t>
      </w:r>
      <w:r>
        <w:t xml:space="preserve"> </w:t>
      </w:r>
      <w:r w:rsidRPr="00E27756">
        <w:rPr>
          <w:rStyle w:val="TextoNormalCaracter"/>
        </w:rPr>
        <w:t>(redactado por la Ley de la Asamblea de Madrid 8/2012, de 28 de diciembre)</w:t>
      </w:r>
      <w:r w:rsidRPr="00E27756">
        <w:rPr>
          <w:rStyle w:val="TextoNormalNegritaCaracter"/>
        </w:rPr>
        <w:t>.</w:t>
      </w:r>
      <w:r w:rsidRPr="00E27756">
        <w:rPr>
          <w:rStyle w:val="TextoNormalCaracter"/>
        </w:rPr>
        <w:t>-</w:t>
      </w:r>
      <w:r>
        <w:t xml:space="preserve"> Auto </w:t>
      </w:r>
      <w:hyperlink w:anchor="AUTO_2013_142" w:history="1">
        <w:r w:rsidRPr="00E27756">
          <w:rPr>
            <w:rStyle w:val="TextoNormalCaracter"/>
          </w:rPr>
          <w:t>142/2013</w:t>
        </w:r>
      </w:hyperlink>
      <w:r>
        <w:t>.</w:t>
      </w:r>
    </w:p>
    <w:p w:rsidR="00E27756" w:rsidRDefault="00E27756" w:rsidP="00E27756">
      <w:pPr>
        <w:pStyle w:val="SangriaFrancesaArticulo"/>
      </w:pPr>
    </w:p>
    <w:p w:rsidR="00E27756" w:rsidRDefault="00E27756" w:rsidP="00E27756">
      <w:pPr>
        <w:pStyle w:val="TextoNormalNegritaCursivandice"/>
      </w:pPr>
      <w:r>
        <w:t>Ley de la Asamblea de Madrid 1/2012, de 26 de marzo. Protección de los derechos de los consumidores mediante el fomento de la transparencia en la contratación hipotecaria en la Comunidad de Madrid</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Auto </w:t>
      </w:r>
      <w:hyperlink w:anchor="AUTO_2013_124" w:history="1">
        <w:r w:rsidRPr="00E27756">
          <w:rPr>
            <w:rStyle w:val="TextoNormalCaracter"/>
          </w:rPr>
          <w:t>124/2013</w:t>
        </w:r>
      </w:hyperlink>
      <w:r>
        <w:t>.</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Auto </w:t>
      </w:r>
      <w:hyperlink w:anchor="AUTO_2013_124" w:history="1">
        <w:r w:rsidRPr="00E27756">
          <w:rPr>
            <w:rStyle w:val="TextoNormalCaracter"/>
          </w:rPr>
          <w:t>124/2013</w:t>
        </w:r>
      </w:hyperlink>
      <w:r>
        <w:t>.</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Auto </w:t>
      </w:r>
      <w:hyperlink w:anchor="AUTO_2013_124" w:history="1">
        <w:r w:rsidRPr="00E27756">
          <w:rPr>
            <w:rStyle w:val="TextoNormalCaracter"/>
          </w:rPr>
          <w:t>124/2013</w:t>
        </w:r>
      </w:hyperlink>
      <w:r>
        <w:t>.</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Auto </w:t>
      </w:r>
      <w:hyperlink w:anchor="AUTO_2013_124" w:history="1">
        <w:r w:rsidRPr="00E27756">
          <w:rPr>
            <w:rStyle w:val="TextoNormalCaracter"/>
          </w:rPr>
          <w:t>124/2013</w:t>
        </w:r>
      </w:hyperlink>
      <w:r>
        <w:t>.</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Auto </w:t>
      </w:r>
      <w:hyperlink w:anchor="AUTO_2013_124" w:history="1">
        <w:r w:rsidRPr="00E27756">
          <w:rPr>
            <w:rStyle w:val="TextoNormalCaracter"/>
          </w:rPr>
          <w:t>124/2013</w:t>
        </w:r>
      </w:hyperlink>
      <w:r>
        <w:t>.</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Auto </w:t>
      </w:r>
      <w:hyperlink w:anchor="AUTO_2013_124" w:history="1">
        <w:r w:rsidRPr="00E27756">
          <w:rPr>
            <w:rStyle w:val="TextoNormalCaracter"/>
          </w:rPr>
          <w:t>124/2013</w:t>
        </w:r>
      </w:hyperlink>
      <w:r>
        <w:t>.</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Auto </w:t>
      </w:r>
      <w:hyperlink w:anchor="AUTO_2013_124" w:history="1">
        <w:r w:rsidRPr="00E27756">
          <w:rPr>
            <w:rStyle w:val="TextoNormalCaracter"/>
          </w:rPr>
          <w:t>124/2013</w:t>
        </w:r>
      </w:hyperlink>
      <w:r>
        <w:t>.</w:t>
      </w:r>
    </w:p>
    <w:p w:rsidR="00E27756" w:rsidRDefault="00E27756" w:rsidP="00E27756">
      <w:pPr>
        <w:pStyle w:val="SangriaFrancesaArticulo"/>
      </w:pPr>
    </w:p>
    <w:p w:rsidR="00E27756" w:rsidRDefault="00E27756" w:rsidP="00E27756">
      <w:pPr>
        <w:pStyle w:val="TextoNormalNegritaCursivandice"/>
      </w:pPr>
      <w:r>
        <w:t>Ley de la Asamblea de Madrid 8/2012, de 28 de diciembre. Medidas fiscales y administrativas</w:t>
      </w:r>
    </w:p>
    <w:p w:rsidR="00E27756" w:rsidRDefault="00E27756" w:rsidP="00E27756">
      <w:pPr>
        <w:pStyle w:val="SangriaFrancesaArticulo"/>
      </w:pPr>
      <w:r w:rsidRPr="00E27756">
        <w:rPr>
          <w:rStyle w:val="TextoNormalNegritaCaracter"/>
        </w:rPr>
        <w:t>Artículo 2.9.</w:t>
      </w:r>
      <w:r w:rsidRPr="00E27756">
        <w:rPr>
          <w:rStyle w:val="TextoNormalCaracter"/>
        </w:rPr>
        <w:t>-</w:t>
      </w:r>
      <w:r>
        <w:t xml:space="preserve"> Auto </w:t>
      </w:r>
      <w:hyperlink w:anchor="AUTO_2013_142" w:history="1">
        <w:r w:rsidRPr="00E27756">
          <w:rPr>
            <w:rStyle w:val="TextoNormalCaracter"/>
          </w:rPr>
          <w:t>142/2013</w:t>
        </w:r>
      </w:hyperlink>
      <w:r>
        <w:t>.</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B.13) Murcia</w:t>
      </w:r>
    </w:p>
    <w:p w:rsidR="00E27756" w:rsidRDefault="00E27756" w:rsidP="00E27756">
      <w:pPr>
        <w:pStyle w:val="TextoNormalNegritaCentrado"/>
      </w:pPr>
    </w:p>
    <w:p w:rsidR="00E27756" w:rsidRDefault="00E27756" w:rsidP="00E27756">
      <w:pPr>
        <w:pStyle w:val="TextoNormalNegritaCursivandice"/>
      </w:pPr>
      <w:r>
        <w:t>Ley de la Asamblea Regional de Murcia 5/2001, de 5 de diciembre. Personal estatutario del Servicio Murciano de Salud</w:t>
      </w:r>
    </w:p>
    <w:p w:rsidR="00E27756" w:rsidRDefault="00E27756" w:rsidP="00E27756">
      <w:pPr>
        <w:pStyle w:val="SangriaFrancesaArticulo"/>
      </w:pPr>
      <w:r w:rsidRPr="00E27756">
        <w:rPr>
          <w:rStyle w:val="TextoNormalNegritaCaracter"/>
        </w:rPr>
        <w:t>Artículo 7.2 apartado l).</w:t>
      </w:r>
      <w:r w:rsidRPr="00E27756">
        <w:rPr>
          <w:rStyle w:val="TextoNormalCaracter"/>
        </w:rPr>
        <w:t>-</w:t>
      </w:r>
      <w:r>
        <w:t xml:space="preserve"> Sentencia </w:t>
      </w:r>
      <w:hyperlink w:anchor="SENTENCIA_2013_58" w:history="1">
        <w:r w:rsidRPr="00E27756">
          <w:rPr>
            <w:rStyle w:val="TextoNormalCaracter"/>
          </w:rPr>
          <w:t>58/2013</w:t>
        </w:r>
      </w:hyperlink>
      <w:r>
        <w:t xml:space="preserve"> (anula).</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B.14) Navarra</w:t>
      </w:r>
    </w:p>
    <w:p w:rsidR="00E27756" w:rsidRDefault="00E27756" w:rsidP="00E27756">
      <w:pPr>
        <w:pStyle w:val="TextoNormalNegritaCentrado"/>
      </w:pPr>
    </w:p>
    <w:p w:rsidR="00E27756" w:rsidRDefault="00E27756" w:rsidP="00E27756">
      <w:pPr>
        <w:pStyle w:val="TextoNormalNegritaCursivandice"/>
      </w:pPr>
      <w:r>
        <w:t>Ley Foral del Parlamento de Navarra 6/2000, de 3 de julio. Igualdad jurídica de las parejas estables</w:t>
      </w:r>
    </w:p>
    <w:p w:rsidR="00E27756" w:rsidRDefault="00E27756" w:rsidP="00E27756">
      <w:pPr>
        <w:pStyle w:val="SangriaFrancesaArticulo"/>
      </w:pPr>
      <w:r w:rsidRPr="00E27756">
        <w:rPr>
          <w:rStyle w:val="TextoNormalNegritaCaracter"/>
        </w:rPr>
        <w:lastRenderedPageBreak/>
        <w:t>En general.</w:t>
      </w:r>
      <w:r w:rsidRPr="00E27756">
        <w:rPr>
          <w:rStyle w:val="TextoNormalCaracter"/>
        </w:rPr>
        <w:t>-</w:t>
      </w:r>
      <w:r>
        <w:t xml:space="preserve"> Sentencia </w:t>
      </w:r>
      <w:hyperlink w:anchor="SENTENCIA_2013_93" w:history="1">
        <w:r w:rsidRPr="00E27756">
          <w:rPr>
            <w:rStyle w:val="TextoNormalCaracter"/>
          </w:rPr>
          <w:t>93/2013</w:t>
        </w:r>
      </w:hyperlink>
      <w:r>
        <w:t>.</w:t>
      </w:r>
    </w:p>
    <w:p w:rsidR="00E27756" w:rsidRDefault="00E27756" w:rsidP="00E27756">
      <w:pPr>
        <w:pStyle w:val="SangriaFrancesaArticulo"/>
      </w:pPr>
      <w:r w:rsidRPr="00E27756">
        <w:rPr>
          <w:rStyle w:val="TextoNormalNegritaCaracter"/>
        </w:rPr>
        <w:t>Artículo 2.2 párrafo 1 inciso sobre período de convivencia marital.</w:t>
      </w:r>
      <w:r w:rsidRPr="00E27756">
        <w:rPr>
          <w:rStyle w:val="TextoNormalCaracter"/>
        </w:rPr>
        <w:t>-</w:t>
      </w:r>
      <w:r>
        <w:t xml:space="preserve"> Sentencia </w:t>
      </w:r>
      <w:hyperlink w:anchor="SENTENCIA_2013_93" w:history="1">
        <w:r w:rsidRPr="00E27756">
          <w:rPr>
            <w:rStyle w:val="TextoNormalCaracter"/>
          </w:rPr>
          <w:t>93/2013</w:t>
        </w:r>
      </w:hyperlink>
      <w:r>
        <w:t xml:space="preserve"> (anula).</w:t>
      </w:r>
    </w:p>
    <w:p w:rsidR="00E27756" w:rsidRDefault="00E27756" w:rsidP="00E27756">
      <w:pPr>
        <w:pStyle w:val="SangriaFrancesaArticulo"/>
      </w:pPr>
      <w:r w:rsidRPr="00E27756">
        <w:rPr>
          <w:rStyle w:val="TextoNormalNegritaCaracter"/>
        </w:rPr>
        <w:t>Artículo 2.2 párrafo 2.</w:t>
      </w:r>
      <w:r w:rsidRPr="00E27756">
        <w:rPr>
          <w:rStyle w:val="TextoNormalCaracter"/>
        </w:rPr>
        <w:t>-</w:t>
      </w:r>
      <w:r>
        <w:t xml:space="preserve"> Sentencia </w:t>
      </w:r>
      <w:hyperlink w:anchor="SENTENCIA_2013_93" w:history="1">
        <w:r w:rsidRPr="00E27756">
          <w:rPr>
            <w:rStyle w:val="TextoNormalCaracter"/>
          </w:rPr>
          <w:t>93/2013</w:t>
        </w:r>
      </w:hyperlink>
      <w:r>
        <w:t xml:space="preserve"> (anula).</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Auto </w:t>
      </w:r>
      <w:hyperlink w:anchor="AUTO_2013_93" w:history="1">
        <w:r w:rsidRPr="00E27756">
          <w:rPr>
            <w:rStyle w:val="TextoNormalCaracter"/>
          </w:rPr>
          <w:t>93/2013</w:t>
        </w:r>
      </w:hyperlink>
      <w:r>
        <w:t>.</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 </w:t>
      </w:r>
      <w:hyperlink w:anchor="SENTENCIA_2013_93" w:history="1">
        <w:r w:rsidRPr="00E27756">
          <w:rPr>
            <w:rStyle w:val="TextoNormalCaracter"/>
          </w:rPr>
          <w:t>93/2013</w:t>
        </w:r>
      </w:hyperlink>
      <w:r>
        <w:t xml:space="preserve"> (anula).</w:t>
      </w:r>
    </w:p>
    <w:p w:rsidR="00E27756" w:rsidRDefault="00E27756" w:rsidP="00E27756">
      <w:pPr>
        <w:pStyle w:val="SangriaFrancesaArticulo"/>
      </w:pPr>
      <w:r w:rsidRPr="00E27756">
        <w:rPr>
          <w:rStyle w:val="TextoNormalNegritaCaracter"/>
        </w:rPr>
        <w:t>Artículo 3 inciso sobre transcurso del año de convivencia.</w:t>
      </w:r>
      <w:r w:rsidRPr="00E27756">
        <w:rPr>
          <w:rStyle w:val="TextoNormalCaracter"/>
        </w:rPr>
        <w:t>-</w:t>
      </w:r>
      <w:r>
        <w:t xml:space="preserve"> Sentencia </w:t>
      </w:r>
      <w:hyperlink w:anchor="SENTENCIA_2013_93" w:history="1">
        <w:r w:rsidRPr="00E27756">
          <w:rPr>
            <w:rStyle w:val="TextoNormalCaracter"/>
          </w:rPr>
          <w:t>93/2013</w:t>
        </w:r>
      </w:hyperlink>
      <w:r>
        <w:t xml:space="preserve"> (anula).</w:t>
      </w:r>
    </w:p>
    <w:p w:rsidR="00E27756" w:rsidRDefault="00E27756" w:rsidP="00E27756">
      <w:pPr>
        <w:pStyle w:val="SangriaFrancesaArticulo"/>
      </w:pPr>
      <w:r w:rsidRPr="00E27756">
        <w:rPr>
          <w:rStyle w:val="TextoNormalNegritaCaracter"/>
        </w:rPr>
        <w:t>Artículo 4.4.</w:t>
      </w:r>
      <w:r w:rsidRPr="00E27756">
        <w:rPr>
          <w:rStyle w:val="TextoNormalCaracter"/>
        </w:rPr>
        <w:t>-</w:t>
      </w:r>
      <w:r>
        <w:t xml:space="preserve"> Sentencia </w:t>
      </w:r>
      <w:hyperlink w:anchor="SENTENCIA_2013_93" w:history="1">
        <w:r w:rsidRPr="00E27756">
          <w:rPr>
            <w:rStyle w:val="TextoNormalCaracter"/>
          </w:rPr>
          <w:t>93/2013</w:t>
        </w:r>
      </w:hyperlink>
      <w:r>
        <w:t xml:space="preserve"> (anula).</w:t>
      </w:r>
    </w:p>
    <w:p w:rsidR="00E27756" w:rsidRDefault="00E27756" w:rsidP="00E27756">
      <w:pPr>
        <w:pStyle w:val="SangriaFrancesaArticulo"/>
      </w:pPr>
      <w:r w:rsidRPr="00E27756">
        <w:rPr>
          <w:rStyle w:val="TextoNormalNegritaCaracter"/>
        </w:rPr>
        <w:t>Artículo 5 apartados 2, 3, 4, 5.</w:t>
      </w:r>
      <w:r w:rsidRPr="00E27756">
        <w:rPr>
          <w:rStyle w:val="TextoNormalCaracter"/>
        </w:rPr>
        <w:t>-</w:t>
      </w:r>
      <w:r>
        <w:t xml:space="preserve"> Sentencia </w:t>
      </w:r>
      <w:hyperlink w:anchor="SENTENCIA_2013_93" w:history="1">
        <w:r w:rsidRPr="00E27756">
          <w:rPr>
            <w:rStyle w:val="TextoNormalCaracter"/>
          </w:rPr>
          <w:t>93/2013</w:t>
        </w:r>
      </w:hyperlink>
      <w:r>
        <w:t xml:space="preserve"> (anula).</w:t>
      </w:r>
    </w:p>
    <w:p w:rsidR="00E27756" w:rsidRDefault="00E27756" w:rsidP="00E27756">
      <w:pPr>
        <w:pStyle w:val="SangriaFrancesaArticulo"/>
      </w:pPr>
      <w:r w:rsidRPr="00E27756">
        <w:rPr>
          <w:rStyle w:val="TextoNormalNegritaCaracter"/>
        </w:rPr>
        <w:t>Artículo 5.1 in fine.</w:t>
      </w:r>
      <w:r w:rsidRPr="00E27756">
        <w:rPr>
          <w:rStyle w:val="TextoNormalCaracter"/>
        </w:rPr>
        <w:t>-</w:t>
      </w:r>
      <w:r>
        <w:t xml:space="preserve"> Sentencia </w:t>
      </w:r>
      <w:hyperlink w:anchor="SENTENCIA_2013_93" w:history="1">
        <w:r w:rsidRPr="00E27756">
          <w:rPr>
            <w:rStyle w:val="TextoNormalCaracter"/>
          </w:rPr>
          <w:t>93/2013</w:t>
        </w:r>
      </w:hyperlink>
      <w:r>
        <w:t xml:space="preserve"> (anula).</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93" w:history="1">
        <w:r w:rsidRPr="00E27756">
          <w:rPr>
            <w:rStyle w:val="TextoNormalCaracter"/>
          </w:rPr>
          <w:t>93/2013</w:t>
        </w:r>
      </w:hyperlink>
      <w:r>
        <w:t xml:space="preserve"> (anula).</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Sentencia </w:t>
      </w:r>
      <w:hyperlink w:anchor="SENTENCIA_2013_93" w:history="1">
        <w:r w:rsidRPr="00E27756">
          <w:rPr>
            <w:rStyle w:val="TextoNormalCaracter"/>
          </w:rPr>
          <w:t>93/2013</w:t>
        </w:r>
      </w:hyperlink>
      <w:r>
        <w:t xml:space="preserve"> (anula).</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93" w:history="1">
        <w:r w:rsidRPr="00E27756">
          <w:rPr>
            <w:rStyle w:val="TextoNormalCaracter"/>
          </w:rPr>
          <w:t>93/2013</w:t>
        </w:r>
      </w:hyperlink>
      <w:r>
        <w:t xml:space="preserve"> (anula).</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93" w:history="1">
        <w:r w:rsidRPr="00E27756">
          <w:rPr>
            <w:rStyle w:val="TextoNormalCaracter"/>
          </w:rPr>
          <w:t>93/2013</w:t>
        </w:r>
      </w:hyperlink>
      <w:r>
        <w:t xml:space="preserve"> (anula).</w:t>
      </w:r>
    </w:p>
    <w:p w:rsidR="00E27756" w:rsidRDefault="00E27756" w:rsidP="00E27756">
      <w:pPr>
        <w:pStyle w:val="SangriaFrancesaArticulo"/>
      </w:pPr>
      <w:r w:rsidRPr="00E27756">
        <w:rPr>
          <w:rStyle w:val="TextoNormalNegritaCaracter"/>
        </w:rPr>
        <w:t>Artículo 12.1.</w:t>
      </w:r>
      <w:r w:rsidRPr="00E27756">
        <w:rPr>
          <w:rStyle w:val="TextoNormalCaracter"/>
        </w:rPr>
        <w:t>-</w:t>
      </w:r>
      <w:r>
        <w:t xml:space="preserve"> Sentencia </w:t>
      </w:r>
      <w:hyperlink w:anchor="SENTENCIA_2013_93" w:history="1">
        <w:r w:rsidRPr="00E27756">
          <w:rPr>
            <w:rStyle w:val="TextoNormalCaracter"/>
          </w:rPr>
          <w:t>93/2013</w:t>
        </w:r>
      </w:hyperlink>
      <w:r>
        <w:t xml:space="preserve"> (anula).</w:t>
      </w:r>
    </w:p>
    <w:p w:rsidR="00E27756" w:rsidRDefault="00E27756" w:rsidP="00E27756">
      <w:pPr>
        <w:pStyle w:val="SangriaFrancesaArticulo"/>
      </w:pPr>
    </w:p>
    <w:p w:rsidR="00E27756" w:rsidRDefault="00E27756" w:rsidP="00E27756">
      <w:pPr>
        <w:pStyle w:val="TextoNormalNegritaCursivandice"/>
      </w:pPr>
      <w:r>
        <w:t>Ley Foral del Parlamento de Navarra 12/2000, de 16 de noviembre. Atención farmacéutica</w:t>
      </w:r>
    </w:p>
    <w:p w:rsidR="00E27756" w:rsidRDefault="00E27756" w:rsidP="00E27756">
      <w:pPr>
        <w:pStyle w:val="SangriaFrancesaArticulo"/>
      </w:pPr>
      <w:r w:rsidRPr="00E27756">
        <w:rPr>
          <w:rStyle w:val="TextoNormalNegritaCaracter"/>
        </w:rPr>
        <w:t>Artículo 28.1.</w:t>
      </w:r>
      <w:r w:rsidRPr="00E27756">
        <w:rPr>
          <w:rStyle w:val="TextoNormalCaracter"/>
        </w:rPr>
        <w:t>-</w:t>
      </w:r>
      <w:r>
        <w:t xml:space="preserve"> Sentencia </w:t>
      </w:r>
      <w:hyperlink w:anchor="SENTENCIA_2013_137" w:history="1">
        <w:r w:rsidRPr="00E27756">
          <w:rPr>
            <w:rStyle w:val="TextoNormalCaracter"/>
          </w:rPr>
          <w:t>137/2013</w:t>
        </w:r>
      </w:hyperlink>
      <w:r>
        <w:t>.</w:t>
      </w:r>
    </w:p>
    <w:p w:rsidR="00E27756" w:rsidRDefault="00E27756" w:rsidP="00E27756">
      <w:pPr>
        <w:pStyle w:val="SangriaFrancesaArticulo"/>
      </w:pPr>
      <w:r w:rsidRPr="00E27756">
        <w:rPr>
          <w:rStyle w:val="TextoNormalNegritaCaracter"/>
        </w:rPr>
        <w:t>Artículo 28.3.</w:t>
      </w:r>
      <w:r w:rsidRPr="00E27756">
        <w:rPr>
          <w:rStyle w:val="TextoNormalCaracter"/>
        </w:rPr>
        <w:t>-</w:t>
      </w:r>
      <w:r>
        <w:t xml:space="preserve"> Sentencia </w:t>
      </w:r>
      <w:hyperlink w:anchor="SENTENCIA_2013_137" w:history="1">
        <w:r w:rsidRPr="00E27756">
          <w:rPr>
            <w:rStyle w:val="TextoNormalCaracter"/>
          </w:rPr>
          <w:t>137/2013</w:t>
        </w:r>
      </w:hyperlink>
      <w:r>
        <w:t>.</w:t>
      </w:r>
    </w:p>
    <w:p w:rsidR="00E27756" w:rsidRDefault="00E27756" w:rsidP="00E27756">
      <w:pPr>
        <w:pStyle w:val="SangriaFrancesaArticulo"/>
      </w:pPr>
      <w:r w:rsidRPr="00E27756">
        <w:rPr>
          <w:rStyle w:val="TextoNormalNegritaCaracter"/>
        </w:rPr>
        <w:t>Artículo 29.</w:t>
      </w:r>
      <w:r w:rsidRPr="00E27756">
        <w:rPr>
          <w:rStyle w:val="TextoNormalCaracter"/>
        </w:rPr>
        <w:t>-</w:t>
      </w:r>
      <w:r>
        <w:t xml:space="preserve"> Sentencia </w:t>
      </w:r>
      <w:hyperlink w:anchor="SENTENCIA_2013_137" w:history="1">
        <w:r w:rsidRPr="00E27756">
          <w:rPr>
            <w:rStyle w:val="TextoNormalCaracter"/>
          </w:rPr>
          <w:t>137/2013</w:t>
        </w:r>
      </w:hyperlink>
      <w:r>
        <w:t xml:space="preserve"> (anula).</w:t>
      </w:r>
    </w:p>
    <w:p w:rsidR="00E27756" w:rsidRDefault="00E27756" w:rsidP="00E27756">
      <w:pPr>
        <w:pStyle w:val="SangriaFrancesaArticulo"/>
      </w:pPr>
      <w:r w:rsidRPr="00E27756">
        <w:rPr>
          <w:rStyle w:val="TextoNormalNegritaCaracter"/>
        </w:rPr>
        <w:t>Artículo 30.4 inciso in fine.</w:t>
      </w:r>
      <w:r w:rsidRPr="00E27756">
        <w:rPr>
          <w:rStyle w:val="TextoNormalCaracter"/>
        </w:rPr>
        <w:t>-</w:t>
      </w:r>
      <w:r>
        <w:t xml:space="preserve"> Sentencia </w:t>
      </w:r>
      <w:hyperlink w:anchor="SENTENCIA_2013_137" w:history="1">
        <w:r w:rsidRPr="00E27756">
          <w:rPr>
            <w:rStyle w:val="TextoNormalCaracter"/>
          </w:rPr>
          <w:t>137/2013</w:t>
        </w:r>
      </w:hyperlink>
      <w:r>
        <w:t xml:space="preserve"> (anula).</w:t>
      </w:r>
    </w:p>
    <w:p w:rsidR="00E27756" w:rsidRDefault="00E27756" w:rsidP="00E27756">
      <w:pPr>
        <w:pStyle w:val="SangriaFrancesaArticulo"/>
      </w:pPr>
      <w:r w:rsidRPr="00E27756">
        <w:rPr>
          <w:rStyle w:val="TextoNormalNegritaCaracter"/>
        </w:rPr>
        <w:t>Artículo 31.2.</w:t>
      </w:r>
      <w:r w:rsidRPr="00E27756">
        <w:rPr>
          <w:rStyle w:val="TextoNormalCaracter"/>
        </w:rPr>
        <w:t>-</w:t>
      </w:r>
      <w:r>
        <w:t xml:space="preserve"> Sentencia </w:t>
      </w:r>
      <w:hyperlink w:anchor="SENTENCIA_2013_137" w:history="1">
        <w:r w:rsidRPr="00E27756">
          <w:rPr>
            <w:rStyle w:val="TextoNormalCaracter"/>
          </w:rPr>
          <w:t>137/2013</w:t>
        </w:r>
      </w:hyperlink>
      <w:r>
        <w:t>.</w:t>
      </w:r>
    </w:p>
    <w:p w:rsidR="00E27756" w:rsidRDefault="00E27756" w:rsidP="00E27756">
      <w:pPr>
        <w:pStyle w:val="SangriaFrancesaArticulo"/>
      </w:pPr>
      <w:r w:rsidRPr="00E27756">
        <w:rPr>
          <w:rStyle w:val="TextoNormalNegritaCaracter"/>
        </w:rPr>
        <w:t>Artículo 31.2 f).</w:t>
      </w:r>
      <w:r w:rsidRPr="00E27756">
        <w:rPr>
          <w:rStyle w:val="TextoNormalCaracter"/>
        </w:rPr>
        <w:t>-</w:t>
      </w:r>
      <w:r>
        <w:t xml:space="preserve"> Sentencia </w:t>
      </w:r>
      <w:hyperlink w:anchor="SENTENCIA_2013_137" w:history="1">
        <w:r w:rsidRPr="00E27756">
          <w:rPr>
            <w:rStyle w:val="TextoNormalCaracter"/>
          </w:rPr>
          <w:t>137/2013</w:t>
        </w:r>
      </w:hyperlink>
      <w:r>
        <w:t xml:space="preserve"> (interpreta).</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137" w:history="1">
        <w:r w:rsidRPr="00E27756">
          <w:rPr>
            <w:rStyle w:val="TextoNormalCaracter"/>
          </w:rPr>
          <w:t>137/2013</w:t>
        </w:r>
      </w:hyperlink>
      <w:r>
        <w:t>.</w:t>
      </w:r>
    </w:p>
    <w:p w:rsidR="00E27756" w:rsidRDefault="00E27756" w:rsidP="00E27756">
      <w:pPr>
        <w:pStyle w:val="SangriaFrancesaArticulo"/>
      </w:pPr>
    </w:p>
    <w:p w:rsidR="00E27756" w:rsidRDefault="00E27756" w:rsidP="00E27756">
      <w:pPr>
        <w:pStyle w:val="TextoNormalNegritaCursivandice"/>
      </w:pPr>
      <w:r>
        <w:t>Ley Foral del Parlamento de Navarra 18/2012, de 19 de octubre. Complementación de las prestaciones farmacéuticas en la Comunidad Foral de Navarra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88" w:history="1">
        <w:r w:rsidRPr="00E27756">
          <w:rPr>
            <w:rStyle w:val="TextoNormalCaracter"/>
          </w:rPr>
          <w:t>88/2013</w:t>
        </w:r>
      </w:hyperlink>
      <w:r>
        <w:t>.</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B.15) País Vasco</w:t>
      </w:r>
    </w:p>
    <w:p w:rsidR="00E27756" w:rsidRDefault="00E27756" w:rsidP="00E27756">
      <w:pPr>
        <w:pStyle w:val="TextoNormalNegritaCentrado"/>
      </w:pPr>
    </w:p>
    <w:p w:rsidR="00E27756" w:rsidRDefault="00E27756" w:rsidP="00E27756">
      <w:pPr>
        <w:pStyle w:val="TextoNormalNegritaCursivandice"/>
      </w:pPr>
      <w:r>
        <w:t>Ley del Parlamento Vasco 3/1998, de 27 de febrero. Protección del medio ambiente</w:t>
      </w:r>
    </w:p>
    <w:p w:rsidR="00E27756" w:rsidRDefault="00E27756" w:rsidP="00E27756">
      <w:pPr>
        <w:pStyle w:val="SangriaFrancesaArticulo"/>
      </w:pPr>
      <w:r w:rsidRPr="00E27756">
        <w:rPr>
          <w:rStyle w:val="TextoNormalNegritaCaracter"/>
        </w:rPr>
        <w:t>Artículo 55.1.</w:t>
      </w:r>
      <w:r w:rsidRPr="00E27756">
        <w:rPr>
          <w:rStyle w:val="TextoNormalCaracter"/>
        </w:rPr>
        <w:t>-</w:t>
      </w:r>
      <w:r>
        <w:t xml:space="preserve"> Auto </w:t>
      </w:r>
      <w:hyperlink w:anchor="AUTO_2013_23" w:history="1">
        <w:r w:rsidRPr="00E27756">
          <w:rPr>
            <w:rStyle w:val="TextoNormalCaracter"/>
          </w:rPr>
          <w:t>23/2013</w:t>
        </w:r>
      </w:hyperlink>
      <w:r>
        <w:t>.</w:t>
      </w:r>
    </w:p>
    <w:p w:rsidR="00E27756" w:rsidRDefault="00E27756" w:rsidP="00E27756">
      <w:pPr>
        <w:pStyle w:val="SangriaFrancesaArticulo"/>
      </w:pPr>
      <w:r w:rsidRPr="00E27756">
        <w:rPr>
          <w:rStyle w:val="TextoNormalNegritaCaracter"/>
        </w:rPr>
        <w:t>Anexo II J).</w:t>
      </w:r>
      <w:r w:rsidRPr="00E27756">
        <w:rPr>
          <w:rStyle w:val="TextoNormalCaracter"/>
        </w:rPr>
        <w:t>-</w:t>
      </w:r>
      <w:r>
        <w:t xml:space="preserve"> Auto </w:t>
      </w:r>
      <w:hyperlink w:anchor="AUTO_2013_23" w:history="1">
        <w:r w:rsidRPr="00E27756">
          <w:rPr>
            <w:rStyle w:val="TextoNormalCaracter"/>
          </w:rPr>
          <w:t>23/2013</w:t>
        </w:r>
      </w:hyperlink>
      <w:r>
        <w:t>.</w:t>
      </w:r>
    </w:p>
    <w:p w:rsidR="00E27756" w:rsidRDefault="00E27756" w:rsidP="00E27756">
      <w:pPr>
        <w:pStyle w:val="SangriaFrancesaArticulo"/>
      </w:pPr>
    </w:p>
    <w:p w:rsidR="00E27756" w:rsidRDefault="00E27756" w:rsidP="00E27756">
      <w:pPr>
        <w:pStyle w:val="TextoNormalNegritaCursivandice"/>
      </w:pPr>
      <w:r>
        <w:t>Ley del Parlamento Vasco 1/2006, de 23 de junio.  Aguas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5" w:history="1">
        <w:r w:rsidRPr="00E27756">
          <w:rPr>
            <w:rStyle w:val="TextoNormalCaracter"/>
          </w:rPr>
          <w:t>85/2013</w:t>
        </w:r>
      </w:hyperlink>
      <w:r>
        <w:t>.</w:t>
      </w:r>
    </w:p>
    <w:p w:rsidR="00E27756" w:rsidRDefault="00E27756" w:rsidP="00E27756">
      <w:pPr>
        <w:pStyle w:val="SangriaFrancesaArticulo"/>
      </w:pPr>
      <w:r w:rsidRPr="00E27756">
        <w:rPr>
          <w:rStyle w:val="TextoNormalNegritaCaracter"/>
        </w:rPr>
        <w:t>Artículo 9 e).</w:t>
      </w:r>
      <w:r w:rsidRPr="00E27756">
        <w:rPr>
          <w:rStyle w:val="TextoNormalCaracter"/>
        </w:rPr>
        <w:t>-</w:t>
      </w:r>
      <w:r>
        <w:t xml:space="preserve"> Sentencia </w:t>
      </w:r>
      <w:hyperlink w:anchor="SENTENCIA_2013_85" w:history="1">
        <w:r w:rsidRPr="00E27756">
          <w:rPr>
            <w:rStyle w:val="TextoNormalCaracter"/>
          </w:rPr>
          <w:t>85/2013</w:t>
        </w:r>
      </w:hyperlink>
      <w:r>
        <w:t xml:space="preserve"> (interpreta).</w:t>
      </w:r>
    </w:p>
    <w:p w:rsidR="00E27756" w:rsidRDefault="00E27756" w:rsidP="00E27756">
      <w:pPr>
        <w:pStyle w:val="SangriaFrancesaArticulo"/>
      </w:pPr>
      <w:r w:rsidRPr="00E27756">
        <w:rPr>
          <w:rStyle w:val="TextoNormalNegritaCaracter"/>
        </w:rPr>
        <w:t>Artículo 41.4.</w:t>
      </w:r>
      <w:r w:rsidRPr="00E27756">
        <w:rPr>
          <w:rStyle w:val="TextoNormalCaracter"/>
        </w:rPr>
        <w:t>-</w:t>
      </w:r>
      <w:r>
        <w:t xml:space="preserve"> Sentencia </w:t>
      </w:r>
      <w:hyperlink w:anchor="SENTENCIA_2013_85" w:history="1">
        <w:r w:rsidRPr="00E27756">
          <w:rPr>
            <w:rStyle w:val="TextoNormalCaracter"/>
          </w:rPr>
          <w:t>85/2013</w:t>
        </w:r>
      </w:hyperlink>
      <w:r>
        <w:t xml:space="preserve"> (anula).</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B.16) Valencia</w:t>
      </w:r>
    </w:p>
    <w:p w:rsidR="00E27756" w:rsidRDefault="00E27756" w:rsidP="00E27756">
      <w:pPr>
        <w:pStyle w:val="TextoNormalNegritaCentrado"/>
      </w:pPr>
    </w:p>
    <w:p w:rsidR="00E27756" w:rsidRDefault="00E27756" w:rsidP="00E27756">
      <w:pPr>
        <w:pStyle w:val="TextoNormalNegritaCursivandice"/>
      </w:pPr>
      <w:r>
        <w:t>Ley de las Cortes Valencianas 13/2004, de 27 de diciembre. Caza</w:t>
      </w:r>
    </w:p>
    <w:p w:rsidR="00E27756" w:rsidRDefault="00E27756" w:rsidP="00E27756">
      <w:pPr>
        <w:pStyle w:val="SangriaFrancesaArticulo"/>
      </w:pPr>
      <w:r w:rsidRPr="00E27756">
        <w:rPr>
          <w:rStyle w:val="TextoNormalNegritaCaracter"/>
        </w:rPr>
        <w:t>Artículo 10 párrafo in fine</w:t>
      </w:r>
      <w:r>
        <w:t xml:space="preserve"> </w:t>
      </w:r>
      <w:r w:rsidRPr="00E27756">
        <w:rPr>
          <w:rStyle w:val="TextoNormalCaracter"/>
        </w:rPr>
        <w:t>(redactado por la Ley 7/2009, de 22 de octubre)</w:t>
      </w:r>
      <w:r w:rsidRPr="00E27756">
        <w:rPr>
          <w:rStyle w:val="TextoNormalNegritaCaracter"/>
        </w:rPr>
        <w:t>.</w:t>
      </w:r>
      <w:r w:rsidRPr="00E27756">
        <w:rPr>
          <w:rStyle w:val="TextoNormalCaracter"/>
        </w:rPr>
        <w:t>-</w:t>
      </w:r>
      <w:r>
        <w:t xml:space="preserve"> Sentencia </w:t>
      </w:r>
      <w:hyperlink w:anchor="SENTENCIA_2013_114" w:history="1">
        <w:r w:rsidRPr="00E27756">
          <w:rPr>
            <w:rStyle w:val="TextoNormalCaracter"/>
          </w:rPr>
          <w:t>114/2013</w:t>
        </w:r>
      </w:hyperlink>
      <w:r>
        <w:t xml:space="preserve"> (anula).</w:t>
      </w:r>
    </w:p>
    <w:p w:rsidR="00E27756" w:rsidRDefault="00E27756" w:rsidP="00E27756">
      <w:pPr>
        <w:pStyle w:val="SangriaFrancesaArticulo"/>
      </w:pPr>
    </w:p>
    <w:p w:rsidR="00E27756" w:rsidRDefault="00E27756" w:rsidP="00E27756">
      <w:pPr>
        <w:pStyle w:val="TextoNormalNegritaCursivandice"/>
      </w:pPr>
      <w:r>
        <w:t>Ley de las Cortes Valencianas 3/2005, de 15 de junio. Archivos</w:t>
      </w:r>
    </w:p>
    <w:p w:rsidR="00E27756" w:rsidRDefault="00E27756" w:rsidP="00E27756">
      <w:pPr>
        <w:pStyle w:val="SangriaFrancesaArticulo"/>
      </w:pPr>
      <w:r w:rsidRPr="00E27756">
        <w:rPr>
          <w:rStyle w:val="TextoNormalNegritaCaracter"/>
        </w:rPr>
        <w:t>Artículo 7.4 a).</w:t>
      </w:r>
      <w:r w:rsidRPr="00E27756">
        <w:rPr>
          <w:rStyle w:val="TextoNormalCaracter"/>
        </w:rPr>
        <w:t>-</w:t>
      </w:r>
      <w:r>
        <w:t xml:space="preserve"> Sentencia </w:t>
      </w:r>
      <w:hyperlink w:anchor="SENTENCIA_2013_66" w:history="1">
        <w:r w:rsidRPr="00E27756">
          <w:rPr>
            <w:rStyle w:val="TextoNormalCaracter"/>
          </w:rPr>
          <w:t>66/2013</w:t>
        </w:r>
      </w:hyperlink>
      <w:r>
        <w:t>.</w:t>
      </w:r>
    </w:p>
    <w:p w:rsidR="00E27756" w:rsidRDefault="00E27756" w:rsidP="00E27756">
      <w:pPr>
        <w:pStyle w:val="SangriaFrancesaArticulo"/>
      </w:pPr>
    </w:p>
    <w:p w:rsidR="00E27756" w:rsidRDefault="00E27756" w:rsidP="00E27756">
      <w:pPr>
        <w:pStyle w:val="TextoNormalNegritaCursivandice"/>
      </w:pPr>
      <w:r>
        <w:t>Ley de las Cortes Valencianas 15/2007, de 27 de diciembre. Presupuestos de la Generalidad para el ejercicio 2008</w:t>
      </w:r>
    </w:p>
    <w:p w:rsidR="00E27756" w:rsidRDefault="00E27756" w:rsidP="00E27756">
      <w:pPr>
        <w:pStyle w:val="SangriaFrancesaArticulo"/>
      </w:pPr>
      <w:r w:rsidRPr="00E27756">
        <w:rPr>
          <w:rStyle w:val="TextoNormalNegritaCaracter"/>
        </w:rPr>
        <w:t>Disposición adicional undécima.</w:t>
      </w:r>
      <w:r w:rsidRPr="00E27756">
        <w:rPr>
          <w:rStyle w:val="TextoNormalCaracter"/>
        </w:rPr>
        <w:t>-</w:t>
      </w:r>
      <w:r>
        <w:t xml:space="preserve"> Sentencia </w:t>
      </w:r>
      <w:hyperlink w:anchor="SENTENCIA_2013_86" w:history="1">
        <w:r w:rsidRPr="00E27756">
          <w:rPr>
            <w:rStyle w:val="TextoNormalCaracter"/>
          </w:rPr>
          <w:t>86/2013</w:t>
        </w:r>
      </w:hyperlink>
      <w:r>
        <w:t xml:space="preserve"> (anula).</w:t>
      </w:r>
    </w:p>
    <w:p w:rsidR="00E27756" w:rsidRDefault="00E27756">
      <w:pPr>
        <w:spacing w:after="160" w:line="259" w:lineRule="auto"/>
        <w:rPr>
          <w:rFonts w:ascii="Times New Roman" w:eastAsia="Times New Roman" w:hAnsi="Times New Roman" w:cs="Times New Roman"/>
          <w:sz w:val="24"/>
          <w:szCs w:val="24"/>
          <w:lang w:eastAsia="es-ES"/>
        </w:rPr>
      </w:pPr>
      <w:r>
        <w:br w:type="page"/>
      </w:r>
    </w:p>
    <w:p w:rsidR="00E27756" w:rsidRDefault="00E27756" w:rsidP="00E27756">
      <w:pPr>
        <w:pStyle w:val="SangriaFrancesaArticulo"/>
      </w:pPr>
    </w:p>
    <w:p w:rsidR="00E27756" w:rsidRDefault="00E27756" w:rsidP="00E27756">
      <w:pPr>
        <w:pStyle w:val="TextoNormal"/>
      </w:pPr>
    </w:p>
    <w:p w:rsidR="00E27756" w:rsidRDefault="00E27756" w:rsidP="00E27756">
      <w:pPr>
        <w:pStyle w:val="TextoNormal"/>
      </w:pPr>
    </w:p>
    <w:p w:rsidR="00E27756" w:rsidRDefault="00E27756" w:rsidP="00E27756">
      <w:pPr>
        <w:pStyle w:val="TextoNormal"/>
      </w:pPr>
    </w:p>
    <w:p w:rsidR="001722C6" w:rsidRDefault="00E27756" w:rsidP="00E27756">
      <w:pPr>
        <w:pStyle w:val="Ttulondice"/>
        <w:suppressAutoHyphens/>
      </w:pPr>
      <w:r>
        <w:t xml:space="preserve">4. ÍNDICE DE </w:t>
      </w:r>
      <w:r w:rsidR="001722C6" w:rsidRPr="001722C6">
        <w:t xml:space="preserve">DISPOSICIONES </w:t>
      </w:r>
    </w:p>
    <w:p w:rsidR="00E27756" w:rsidRDefault="001722C6" w:rsidP="00E27756">
      <w:pPr>
        <w:pStyle w:val="Ttulondice"/>
        <w:suppressAutoHyphens/>
      </w:pPr>
      <w:r w:rsidRPr="001722C6">
        <w:t>GENERALES IMPUGNADAS</w:t>
      </w: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pPr>
    </w:p>
    <w:p w:rsidR="00E27756" w:rsidRDefault="00E27756" w:rsidP="00E27756">
      <w:pPr>
        <w:pStyle w:val="TextoNormal"/>
      </w:pPr>
      <w:bookmarkStart w:id="292" w:name="INDICE22803"/>
      <w:bookmarkEnd w:id="292"/>
    </w:p>
    <w:p w:rsidR="00E27756" w:rsidRDefault="00E27756" w:rsidP="00E27756">
      <w:pPr>
        <w:pStyle w:val="TextoIndiceNivel2"/>
        <w:suppressAutoHyphens/>
      </w:pPr>
      <w:r>
        <w:t>A) Disposiciones del Estado</w:t>
      </w:r>
    </w:p>
    <w:p w:rsidR="00E27756" w:rsidRDefault="00E27756" w:rsidP="00E27756">
      <w:pPr>
        <w:pStyle w:val="TextoIndiceNivel2"/>
      </w:pPr>
    </w:p>
    <w:p w:rsidR="00E27756" w:rsidRDefault="00E27756" w:rsidP="00E27756">
      <w:pPr>
        <w:pStyle w:val="TextoNormalNegritaCursivandice"/>
      </w:pPr>
      <w:r>
        <w:t>Ley 1/1973, de 1 de marzo. Compilación del Derecho civil foral de Navarra</w:t>
      </w:r>
    </w:p>
    <w:p w:rsidR="00E27756" w:rsidRDefault="00E27756" w:rsidP="00E27756">
      <w:pPr>
        <w:pStyle w:val="SangriaFrancesaArticulo"/>
      </w:pPr>
      <w:r w:rsidRPr="00E27756">
        <w:rPr>
          <w:rStyle w:val="TextoNormalNegritaCaracter"/>
        </w:rPr>
        <w:t>Ley 71.</w:t>
      </w:r>
      <w:r w:rsidRPr="00E27756">
        <w:rPr>
          <w:rStyle w:val="TextoNormalCaracter"/>
        </w:rPr>
        <w:t>-</w:t>
      </w:r>
      <w:r>
        <w:t xml:space="preserve"> Auto </w:t>
      </w:r>
      <w:hyperlink w:anchor="AUTO_2013_35" w:history="1">
        <w:r w:rsidRPr="00E27756">
          <w:rPr>
            <w:rStyle w:val="TextoNormalCaracter"/>
          </w:rPr>
          <w:t>35/2013</w:t>
        </w:r>
      </w:hyperlink>
      <w:r>
        <w:t>.</w:t>
      </w:r>
    </w:p>
    <w:p w:rsidR="00E27756" w:rsidRDefault="00E27756" w:rsidP="00E27756">
      <w:pPr>
        <w:pStyle w:val="SangriaFrancesaArticulo"/>
      </w:pPr>
    </w:p>
    <w:p w:rsidR="00E27756" w:rsidRDefault="00E27756" w:rsidP="00E27756">
      <w:pPr>
        <w:pStyle w:val="TextoNormalNegritaCursivandice"/>
      </w:pPr>
      <w:r>
        <w:t>Certificación de la Dirección General de Conservación de la naturaleza del Ministerio de Medio Ambiente, de 9 de noviembre de 2002. Afección de los proyectos y actuaciones a la conservación de la diversidad en zonas de especial conservación y en zonas de especial protección de las aves: Proyecto de construcción del abastecimiento de agua a Lleida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9" w:history="1">
        <w:r w:rsidRPr="00E27756">
          <w:rPr>
            <w:rStyle w:val="TextoNormalCaracter"/>
          </w:rPr>
          <w:t>59/2013</w:t>
        </w:r>
      </w:hyperlink>
      <w:r>
        <w:t>.</w:t>
      </w:r>
    </w:p>
    <w:p w:rsidR="00E27756" w:rsidRDefault="00E27756" w:rsidP="00E27756">
      <w:pPr>
        <w:pStyle w:val="SangriaFrancesaArticulo"/>
      </w:pPr>
    </w:p>
    <w:p w:rsidR="00E27756" w:rsidRDefault="00E27756" w:rsidP="00E27756">
      <w:pPr>
        <w:pStyle w:val="TextoNormalNegritaCursivandice"/>
      </w:pPr>
      <w:r>
        <w:t>Real Decreto 828/2003, de 27 de junio. Se establecen los aspectos educativos básicos de la educación preescolar</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7" w:history="1">
        <w:r w:rsidRPr="00E27756">
          <w:rPr>
            <w:rStyle w:val="TextoNormalCaracter"/>
          </w:rPr>
          <w:t>47/2013</w:t>
        </w:r>
      </w:hyperlink>
      <w:r>
        <w:t>.</w:t>
      </w:r>
    </w:p>
    <w:p w:rsidR="00E27756" w:rsidRDefault="00E27756" w:rsidP="00E27756">
      <w:pPr>
        <w:pStyle w:val="SangriaFrancesaArticulo"/>
      </w:pPr>
      <w:r w:rsidRPr="00E27756">
        <w:rPr>
          <w:rStyle w:val="TextoNormalNegritaCaracter"/>
        </w:rPr>
        <w:t>Artículos 3, 4 y disposición transitoria única.</w:t>
      </w:r>
      <w:r w:rsidRPr="00E27756">
        <w:rPr>
          <w:rStyle w:val="TextoNormalCaracter"/>
        </w:rPr>
        <w:t>-</w:t>
      </w:r>
      <w:r>
        <w:t xml:space="preserve"> Sentencia </w:t>
      </w:r>
      <w:hyperlink w:anchor="SENTENCIA_2013_47" w:history="1">
        <w:r w:rsidRPr="00E27756">
          <w:rPr>
            <w:rStyle w:val="TextoNormalCaracter"/>
          </w:rPr>
          <w:t>47/2013</w:t>
        </w:r>
      </w:hyperlink>
      <w:r>
        <w:t>.</w:t>
      </w:r>
    </w:p>
    <w:p w:rsidR="00E27756" w:rsidRDefault="00E27756" w:rsidP="00E27756">
      <w:pPr>
        <w:pStyle w:val="SangriaFrancesaArticulo"/>
      </w:pPr>
    </w:p>
    <w:p w:rsidR="00E27756" w:rsidRDefault="00E27756" w:rsidP="00E27756">
      <w:pPr>
        <w:pStyle w:val="TextoNormalNegritaCursivandice"/>
      </w:pPr>
      <w:r>
        <w:t>Real Decreto 829/2003, de 27 de junio. Establece las enseñanzas comunes de la educación infantil.</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Auto </w:t>
      </w:r>
      <w:hyperlink w:anchor="AUTO_2013_33" w:history="1">
        <w:r w:rsidRPr="00E27756">
          <w:rPr>
            <w:rStyle w:val="TextoNormalCaracter"/>
          </w:rPr>
          <w:t>33/2013</w:t>
        </w:r>
      </w:hyperlink>
      <w:r>
        <w:t>.</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Auto </w:t>
      </w:r>
      <w:hyperlink w:anchor="AUTO_2013_33" w:history="1">
        <w:r w:rsidRPr="00E27756">
          <w:rPr>
            <w:rStyle w:val="TextoNormalCaracter"/>
          </w:rPr>
          <w:t>33/2013</w:t>
        </w:r>
      </w:hyperlink>
      <w:r>
        <w:t>.</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Auto </w:t>
      </w:r>
      <w:hyperlink w:anchor="AUTO_2013_33" w:history="1">
        <w:r w:rsidRPr="00E27756">
          <w:rPr>
            <w:rStyle w:val="TextoNormalCaracter"/>
          </w:rPr>
          <w:t>33/2013</w:t>
        </w:r>
      </w:hyperlink>
      <w:r>
        <w:t>.</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Auto </w:t>
      </w:r>
      <w:hyperlink w:anchor="AUTO_2013_33" w:history="1">
        <w:r w:rsidRPr="00E27756">
          <w:rPr>
            <w:rStyle w:val="TextoNormalCaracter"/>
          </w:rPr>
          <w:t>33/2013</w:t>
        </w:r>
      </w:hyperlink>
      <w:r>
        <w:t>.</w:t>
      </w:r>
    </w:p>
    <w:p w:rsidR="00E27756" w:rsidRDefault="00E27756" w:rsidP="00E27756">
      <w:pPr>
        <w:pStyle w:val="SangriaFrancesaArticulo"/>
      </w:pPr>
      <w:r w:rsidRPr="00E27756">
        <w:rPr>
          <w:rStyle w:val="TextoNormalNegritaCaracter"/>
        </w:rPr>
        <w:t>Anexo.</w:t>
      </w:r>
      <w:r w:rsidRPr="00E27756">
        <w:rPr>
          <w:rStyle w:val="TextoNormalCaracter"/>
        </w:rPr>
        <w:t>-</w:t>
      </w:r>
      <w:r>
        <w:t xml:space="preserve"> Auto </w:t>
      </w:r>
      <w:hyperlink w:anchor="AUTO_2013_33" w:history="1">
        <w:r w:rsidRPr="00E27756">
          <w:rPr>
            <w:rStyle w:val="TextoNormalCaracter"/>
          </w:rPr>
          <w:t>33/2013</w:t>
        </w:r>
      </w:hyperlink>
      <w:r>
        <w:t>.</w:t>
      </w:r>
    </w:p>
    <w:p w:rsidR="00E27756" w:rsidRDefault="00E27756" w:rsidP="00E27756">
      <w:pPr>
        <w:pStyle w:val="SangriaFrancesaArticulo"/>
      </w:pPr>
    </w:p>
    <w:p w:rsidR="00E27756" w:rsidRDefault="00E27756" w:rsidP="00E27756">
      <w:pPr>
        <w:pStyle w:val="TextoNormalNegritaCursivandice"/>
      </w:pPr>
      <w:r>
        <w:t>Real Decreto 830/2003, de 27 de junio. Enseñanzas comunes de la Educación Primaria</w:t>
      </w:r>
    </w:p>
    <w:p w:rsidR="00E27756" w:rsidRDefault="00E27756" w:rsidP="00E27756">
      <w:pPr>
        <w:pStyle w:val="SangriaFrancesaArticulo"/>
      </w:pPr>
      <w:r w:rsidRPr="00E27756">
        <w:rPr>
          <w:rStyle w:val="TextoNormalNegritaCaracter"/>
        </w:rPr>
        <w:lastRenderedPageBreak/>
        <w:t>Artículos 5, 6, 11.</w:t>
      </w:r>
      <w:r w:rsidRPr="00E27756">
        <w:rPr>
          <w:rStyle w:val="TextoNormalCaracter"/>
        </w:rPr>
        <w:t>-</w:t>
      </w:r>
      <w:r>
        <w:t xml:space="preserve"> Sentencia </w:t>
      </w:r>
      <w:hyperlink w:anchor="SENTENCIA_2013_15" w:history="1">
        <w:r w:rsidRPr="00E27756">
          <w:rPr>
            <w:rStyle w:val="TextoNormalCaracter"/>
          </w:rPr>
          <w:t>15/2013</w:t>
        </w:r>
      </w:hyperlink>
      <w:r>
        <w:t>.</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15" w:history="1">
        <w:r w:rsidRPr="00E27756">
          <w:rPr>
            <w:rStyle w:val="TextoNormalCaracter"/>
          </w:rPr>
          <w:t>15/2013</w:t>
        </w:r>
      </w:hyperlink>
      <w:r>
        <w:t>.</w:t>
      </w:r>
    </w:p>
    <w:p w:rsidR="00E27756" w:rsidRDefault="00E27756" w:rsidP="00E27756">
      <w:pPr>
        <w:pStyle w:val="SangriaFrancesaArticulo"/>
      </w:pPr>
      <w:r w:rsidRPr="00E27756">
        <w:rPr>
          <w:rStyle w:val="TextoNormalNegritaCaracter"/>
        </w:rPr>
        <w:t>Anexos I, II.</w:t>
      </w:r>
      <w:r w:rsidRPr="00E27756">
        <w:rPr>
          <w:rStyle w:val="TextoNormalCaracter"/>
        </w:rPr>
        <w:t>-</w:t>
      </w:r>
      <w:r>
        <w:t xml:space="preserve"> Sentencia </w:t>
      </w:r>
      <w:hyperlink w:anchor="SENTENCIA_2013_15" w:history="1">
        <w:r w:rsidRPr="00E27756">
          <w:rPr>
            <w:rStyle w:val="TextoNormalCaracter"/>
          </w:rPr>
          <w:t>15/2013</w:t>
        </w:r>
      </w:hyperlink>
      <w:r>
        <w:t>.</w:t>
      </w:r>
    </w:p>
    <w:p w:rsidR="00E27756" w:rsidRDefault="00E27756" w:rsidP="00E27756">
      <w:pPr>
        <w:pStyle w:val="SangriaFrancesaArticulo"/>
      </w:pPr>
    </w:p>
    <w:p w:rsidR="00E27756" w:rsidRDefault="00E27756" w:rsidP="00E27756">
      <w:pPr>
        <w:pStyle w:val="TextoNormalNegritaCursivandice"/>
      </w:pPr>
      <w:r>
        <w:t>Real Decreto 831/2003, de 27 de junio. Se establece la ordenación general y las enseñanzas comunes de la Educación Secundaria Obligatoria</w:t>
      </w:r>
    </w:p>
    <w:p w:rsidR="00E27756" w:rsidRDefault="00E27756" w:rsidP="00E27756">
      <w:pPr>
        <w:pStyle w:val="SangriaFrancesaArticulo"/>
      </w:pPr>
      <w:r w:rsidRPr="00E27756">
        <w:rPr>
          <w:rStyle w:val="TextoNormalNegritaCaracter"/>
        </w:rPr>
        <w:t>Artículos 3, 4, 6.3, 7, 9, 15.1, 19.</w:t>
      </w:r>
      <w:r w:rsidRPr="00E27756">
        <w:rPr>
          <w:rStyle w:val="TextoNormalCaracter"/>
        </w:rPr>
        <w:t>-</w:t>
      </w:r>
      <w:r>
        <w:t xml:space="preserve"> Sentencia </w:t>
      </w:r>
      <w:hyperlink w:anchor="SENTENCIA_2013_48" w:history="1">
        <w:r w:rsidRPr="00E27756">
          <w:rPr>
            <w:rStyle w:val="TextoNormalCaracter"/>
          </w:rPr>
          <w:t>48/2013</w:t>
        </w:r>
      </w:hyperlink>
      <w:r>
        <w:t>.</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48" w:history="1">
        <w:r w:rsidRPr="00E27756">
          <w:rPr>
            <w:rStyle w:val="TextoNormalCaracter"/>
          </w:rPr>
          <w:t>48/2013</w:t>
        </w:r>
      </w:hyperlink>
      <w:r>
        <w:t>.</w:t>
      </w:r>
    </w:p>
    <w:p w:rsidR="00E27756" w:rsidRDefault="00E27756" w:rsidP="00E27756">
      <w:pPr>
        <w:pStyle w:val="SangriaFrancesaArticulo"/>
      </w:pPr>
      <w:r w:rsidRPr="00E27756">
        <w:rPr>
          <w:rStyle w:val="TextoNormalNegritaCaracter"/>
        </w:rPr>
        <w:t>Anexo I.</w:t>
      </w:r>
      <w:r w:rsidRPr="00E27756">
        <w:rPr>
          <w:rStyle w:val="TextoNormalCaracter"/>
        </w:rPr>
        <w:t>-</w:t>
      </w:r>
      <w:r>
        <w:t xml:space="preserve"> Sentencia </w:t>
      </w:r>
      <w:hyperlink w:anchor="SENTENCIA_2013_48" w:history="1">
        <w:r w:rsidRPr="00E27756">
          <w:rPr>
            <w:rStyle w:val="TextoNormalCaracter"/>
          </w:rPr>
          <w:t>48/2013</w:t>
        </w:r>
      </w:hyperlink>
      <w:r>
        <w:t>.</w:t>
      </w:r>
    </w:p>
    <w:p w:rsidR="00E27756" w:rsidRDefault="00E27756" w:rsidP="00E27756">
      <w:pPr>
        <w:pStyle w:val="SangriaFrancesaArticulo"/>
      </w:pPr>
    </w:p>
    <w:p w:rsidR="00E27756" w:rsidRDefault="00E27756" w:rsidP="00E27756">
      <w:pPr>
        <w:pStyle w:val="TextoNormalNegritaCursivandice"/>
      </w:pPr>
      <w:r>
        <w:t>Real Decreto 942/2003, de 18 de julio. Determina las condiciones básicas que deben reunir las pruebas para la obtención de los títulos de técnico y técnico superior de formación profesional específica</w:t>
      </w:r>
    </w:p>
    <w:p w:rsidR="00E27756" w:rsidRDefault="00E27756" w:rsidP="00E27756">
      <w:pPr>
        <w:pStyle w:val="SangriaFrancesaArticulo"/>
      </w:pPr>
      <w:r w:rsidRPr="00E27756">
        <w:rPr>
          <w:rStyle w:val="TextoNormalNegritaCaracter"/>
        </w:rPr>
        <w:t>Artículo 2 inciso final.</w:t>
      </w:r>
      <w:r w:rsidRPr="00E27756">
        <w:rPr>
          <w:rStyle w:val="TextoNormalCaracter"/>
        </w:rPr>
        <w:t>-</w:t>
      </w:r>
      <w:r>
        <w:t xml:space="preserve"> Auto </w:t>
      </w:r>
      <w:hyperlink w:anchor="AUTO_2013_58" w:history="1">
        <w:r w:rsidRPr="00E27756">
          <w:rPr>
            <w:rStyle w:val="TextoNormalCaracter"/>
          </w:rPr>
          <w:t>58/2013</w:t>
        </w:r>
      </w:hyperlink>
      <w:r>
        <w:t>.</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Auto </w:t>
      </w:r>
      <w:hyperlink w:anchor="AUTO_2013_58" w:history="1">
        <w:r w:rsidRPr="00E27756">
          <w:rPr>
            <w:rStyle w:val="TextoNormalCaracter"/>
          </w:rPr>
          <w:t>58/2013</w:t>
        </w:r>
      </w:hyperlink>
      <w:r>
        <w:t>.</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Auto </w:t>
      </w:r>
      <w:hyperlink w:anchor="AUTO_2013_58" w:history="1">
        <w:r w:rsidRPr="00E27756">
          <w:rPr>
            <w:rStyle w:val="TextoNormalCaracter"/>
          </w:rPr>
          <w:t>58/2013</w:t>
        </w:r>
      </w:hyperlink>
      <w:r>
        <w:t>.</w:t>
      </w:r>
    </w:p>
    <w:p w:rsidR="00E27756" w:rsidRDefault="00E27756" w:rsidP="00E27756">
      <w:pPr>
        <w:pStyle w:val="SangriaFrancesaArticulo"/>
      </w:pPr>
      <w:r w:rsidRPr="00E27756">
        <w:rPr>
          <w:rStyle w:val="TextoNormalNegritaCaracter"/>
        </w:rPr>
        <w:t>Artículo 7.2.</w:t>
      </w:r>
      <w:r w:rsidRPr="00E27756">
        <w:rPr>
          <w:rStyle w:val="TextoNormalCaracter"/>
        </w:rPr>
        <w:t>-</w:t>
      </w:r>
      <w:r>
        <w:t xml:space="preserve"> Auto </w:t>
      </w:r>
      <w:hyperlink w:anchor="AUTO_2013_58" w:history="1">
        <w:r w:rsidRPr="00E27756">
          <w:rPr>
            <w:rStyle w:val="TextoNormalCaracter"/>
          </w:rPr>
          <w:t>58/2013</w:t>
        </w:r>
      </w:hyperlink>
      <w:r>
        <w:t>.</w:t>
      </w:r>
    </w:p>
    <w:p w:rsidR="00E27756" w:rsidRDefault="00E27756" w:rsidP="00E27756">
      <w:pPr>
        <w:pStyle w:val="SangriaFrancesaArticulo"/>
      </w:pPr>
      <w:r w:rsidRPr="00E27756">
        <w:rPr>
          <w:rStyle w:val="TextoNormalNegritaCaracter"/>
        </w:rPr>
        <w:t>Artículo 7.3.</w:t>
      </w:r>
      <w:r w:rsidRPr="00E27756">
        <w:rPr>
          <w:rStyle w:val="TextoNormalCaracter"/>
        </w:rPr>
        <w:t>-</w:t>
      </w:r>
      <w:r>
        <w:t xml:space="preserve"> Auto </w:t>
      </w:r>
      <w:hyperlink w:anchor="AUTO_2013_58" w:history="1">
        <w:r w:rsidRPr="00E27756">
          <w:rPr>
            <w:rStyle w:val="TextoNormalCaracter"/>
          </w:rPr>
          <w:t>58/2013</w:t>
        </w:r>
      </w:hyperlink>
      <w:r>
        <w:t>.</w:t>
      </w:r>
    </w:p>
    <w:p w:rsidR="00E27756" w:rsidRDefault="00E27756" w:rsidP="00E27756">
      <w:pPr>
        <w:pStyle w:val="SangriaFrancesaArticulo"/>
      </w:pPr>
      <w:r w:rsidRPr="00E27756">
        <w:rPr>
          <w:rStyle w:val="TextoNormalNegritaCaracter"/>
        </w:rPr>
        <w:t>Artículo 7.4.</w:t>
      </w:r>
      <w:r w:rsidRPr="00E27756">
        <w:rPr>
          <w:rStyle w:val="TextoNormalCaracter"/>
        </w:rPr>
        <w:t>-</w:t>
      </w:r>
      <w:r>
        <w:t xml:space="preserve"> Auto </w:t>
      </w:r>
      <w:hyperlink w:anchor="AUTO_2013_58" w:history="1">
        <w:r w:rsidRPr="00E27756">
          <w:rPr>
            <w:rStyle w:val="TextoNormalCaracter"/>
          </w:rPr>
          <w:t>58/2013</w:t>
        </w:r>
      </w:hyperlink>
      <w:r>
        <w:t>.</w:t>
      </w:r>
    </w:p>
    <w:p w:rsidR="00E27756" w:rsidRDefault="00E27756" w:rsidP="00E27756">
      <w:pPr>
        <w:pStyle w:val="SangriaFrancesaArticulo"/>
      </w:pPr>
      <w:r w:rsidRPr="00E27756">
        <w:rPr>
          <w:rStyle w:val="TextoNormalNegritaCaracter"/>
        </w:rPr>
        <w:t>Artículo 9.2.</w:t>
      </w:r>
      <w:r w:rsidRPr="00E27756">
        <w:rPr>
          <w:rStyle w:val="TextoNormalCaracter"/>
        </w:rPr>
        <w:t>-</w:t>
      </w:r>
      <w:r>
        <w:t xml:space="preserve"> Auto </w:t>
      </w:r>
      <w:hyperlink w:anchor="AUTO_2013_58" w:history="1">
        <w:r w:rsidRPr="00E27756">
          <w:rPr>
            <w:rStyle w:val="TextoNormalCaracter"/>
          </w:rPr>
          <w:t>58/2013</w:t>
        </w:r>
      </w:hyperlink>
      <w:r>
        <w:t>.</w:t>
      </w:r>
    </w:p>
    <w:p w:rsidR="00E27756" w:rsidRDefault="00E27756" w:rsidP="00E27756">
      <w:pPr>
        <w:pStyle w:val="SangriaFrancesaArticulo"/>
      </w:pPr>
      <w:r w:rsidRPr="00E27756">
        <w:rPr>
          <w:rStyle w:val="TextoNormalNegritaCaracter"/>
        </w:rPr>
        <w:t>Artículo 9.3.</w:t>
      </w:r>
      <w:r w:rsidRPr="00E27756">
        <w:rPr>
          <w:rStyle w:val="TextoNormalCaracter"/>
        </w:rPr>
        <w:t>-</w:t>
      </w:r>
      <w:r>
        <w:t xml:space="preserve"> Auto </w:t>
      </w:r>
      <w:hyperlink w:anchor="AUTO_2013_58" w:history="1">
        <w:r w:rsidRPr="00E27756">
          <w:rPr>
            <w:rStyle w:val="TextoNormalCaracter"/>
          </w:rPr>
          <w:t>58/2013</w:t>
        </w:r>
      </w:hyperlink>
      <w:r>
        <w:t>.</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Auto </w:t>
      </w:r>
      <w:hyperlink w:anchor="AUTO_2013_58" w:history="1">
        <w:r w:rsidRPr="00E27756">
          <w:rPr>
            <w:rStyle w:val="TextoNormalCaracter"/>
          </w:rPr>
          <w:t>58/2013</w:t>
        </w:r>
      </w:hyperlink>
      <w:r>
        <w:t>.</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Auto </w:t>
      </w:r>
      <w:hyperlink w:anchor="AUTO_2013_58" w:history="1">
        <w:r w:rsidRPr="00E27756">
          <w:rPr>
            <w:rStyle w:val="TextoNormalCaracter"/>
          </w:rPr>
          <w:t>58/2013</w:t>
        </w:r>
      </w:hyperlink>
      <w:r>
        <w:t>.</w:t>
      </w:r>
    </w:p>
    <w:p w:rsidR="00E27756" w:rsidRDefault="00E27756" w:rsidP="00E27756">
      <w:pPr>
        <w:pStyle w:val="SangriaFrancesaArticulo"/>
      </w:pPr>
    </w:p>
    <w:p w:rsidR="00E27756" w:rsidRDefault="00E27756" w:rsidP="00E27756">
      <w:pPr>
        <w:pStyle w:val="TextoNormalNegritaCursivandice"/>
      </w:pPr>
      <w:r>
        <w:t>Real Decreto 1046/2003, de 1 de agosto. Subsistema de formación profesional continua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6" w:history="1">
        <w:r w:rsidRPr="00E27756">
          <w:rPr>
            <w:rStyle w:val="TextoNormalCaracter"/>
          </w:rPr>
          <w:t>16/2013</w:t>
        </w:r>
      </w:hyperlink>
      <w:r>
        <w:t xml:space="preserve">; </w:t>
      </w:r>
      <w:hyperlink w:anchor="SENTENCIA_2013_65" w:history="1">
        <w:r w:rsidRPr="00E27756">
          <w:rPr>
            <w:rStyle w:val="TextoNormalCaracter"/>
          </w:rPr>
          <w:t>65/2013</w:t>
        </w:r>
      </w:hyperlink>
      <w:r>
        <w:t>.</w:t>
      </w:r>
    </w:p>
    <w:p w:rsidR="00E27756" w:rsidRDefault="00E27756" w:rsidP="00E27756">
      <w:pPr>
        <w:pStyle w:val="SangriaFrancesaArticulo"/>
      </w:pPr>
      <w:r w:rsidRPr="00E27756">
        <w:rPr>
          <w:rStyle w:val="TextoNormalNegritaCaracter"/>
        </w:rPr>
        <w:t>Artículo 12.2.</w:t>
      </w:r>
      <w:r w:rsidRPr="00E27756">
        <w:rPr>
          <w:rStyle w:val="TextoNormalCaracter"/>
        </w:rPr>
        <w:t>-</w:t>
      </w:r>
      <w:r>
        <w:t xml:space="preserve"> Sentencias </w:t>
      </w:r>
      <w:hyperlink w:anchor="SENTENCIA_2013_16" w:history="1">
        <w:r w:rsidRPr="00E27756">
          <w:rPr>
            <w:rStyle w:val="TextoNormalCaracter"/>
          </w:rPr>
          <w:t>16/2013</w:t>
        </w:r>
      </w:hyperlink>
      <w:r>
        <w:t xml:space="preserve"> (interpreta); </w:t>
      </w:r>
      <w:hyperlink w:anchor="SENTENCIA_2013_62" w:history="1">
        <w:r w:rsidRPr="00E27756">
          <w:rPr>
            <w:rStyle w:val="TextoNormalCaracter"/>
          </w:rPr>
          <w:t>62/2013</w:t>
        </w:r>
      </w:hyperlink>
      <w:r>
        <w:t xml:space="preserve"> (interpreta).</w:t>
      </w:r>
    </w:p>
    <w:p w:rsidR="00E27756" w:rsidRDefault="00E27756" w:rsidP="00E27756">
      <w:pPr>
        <w:pStyle w:val="SangriaFrancesaArticulo"/>
      </w:pPr>
      <w:r w:rsidRPr="00E27756">
        <w:rPr>
          <w:rStyle w:val="TextoNormalNegritaCaracter"/>
        </w:rPr>
        <w:t>Artículo 17.1.</w:t>
      </w:r>
      <w:r w:rsidRPr="00E27756">
        <w:rPr>
          <w:rStyle w:val="TextoNormalCaracter"/>
        </w:rPr>
        <w:t>-</w:t>
      </w:r>
      <w:r>
        <w:t xml:space="preserve"> Sentencias </w:t>
      </w:r>
      <w:hyperlink w:anchor="SENTENCIA_2013_16" w:history="1">
        <w:r w:rsidRPr="00E27756">
          <w:rPr>
            <w:rStyle w:val="TextoNormalCaracter"/>
          </w:rPr>
          <w:t>16/2013</w:t>
        </w:r>
      </w:hyperlink>
      <w:r>
        <w:t xml:space="preserve"> (declara vulnerado el orden competencial); </w:t>
      </w:r>
      <w:hyperlink w:anchor="SENTENCIA_2013_35" w:history="1">
        <w:r w:rsidRPr="00E27756">
          <w:rPr>
            <w:rStyle w:val="TextoNormalCaracter"/>
          </w:rPr>
          <w:t>35/2013</w:t>
        </w:r>
      </w:hyperlink>
      <w:r>
        <w:t xml:space="preserve"> (declara vulnerado el orden competencial).</w:t>
      </w:r>
    </w:p>
    <w:p w:rsidR="00E27756" w:rsidRDefault="00E27756" w:rsidP="00E27756">
      <w:pPr>
        <w:pStyle w:val="SangriaFrancesaArticulo"/>
      </w:pPr>
      <w:r w:rsidRPr="00E27756">
        <w:rPr>
          <w:rStyle w:val="TextoNormalNegritaCaracter"/>
        </w:rPr>
        <w:t>Artículo 21 apartados f), g).</w:t>
      </w:r>
      <w:r w:rsidRPr="00E27756">
        <w:rPr>
          <w:rStyle w:val="TextoNormalCaracter"/>
        </w:rPr>
        <w:t>-</w:t>
      </w:r>
      <w:r>
        <w:t xml:space="preserve"> Sentencias </w:t>
      </w:r>
      <w:hyperlink w:anchor="SENTENCIA_2013_16" w:history="1">
        <w:r w:rsidRPr="00E27756">
          <w:rPr>
            <w:rStyle w:val="TextoNormalCaracter"/>
          </w:rPr>
          <w:t>16/2013</w:t>
        </w:r>
      </w:hyperlink>
      <w:r>
        <w:t xml:space="preserve"> (interpreta); </w:t>
      </w:r>
      <w:hyperlink w:anchor="SENTENCIA_2013_62" w:history="1">
        <w:r w:rsidRPr="00E27756">
          <w:rPr>
            <w:rStyle w:val="TextoNormalCaracter"/>
          </w:rPr>
          <w:t>62/2013</w:t>
        </w:r>
      </w:hyperlink>
      <w:r>
        <w:t xml:space="preserve"> (interpreta).</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16" w:history="1">
        <w:r w:rsidRPr="00E27756">
          <w:rPr>
            <w:rStyle w:val="TextoNormalCaracter"/>
          </w:rPr>
          <w:t>16/2013</w:t>
        </w:r>
      </w:hyperlink>
      <w:r>
        <w:t xml:space="preserve"> (declara vulnerado el orden competencial).</w:t>
      </w:r>
    </w:p>
    <w:p w:rsidR="00E27756" w:rsidRDefault="00E27756" w:rsidP="00E27756">
      <w:pPr>
        <w:pStyle w:val="SangriaFrancesaArticulo"/>
      </w:pPr>
    </w:p>
    <w:p w:rsidR="00E27756" w:rsidRDefault="00E27756" w:rsidP="00E27756">
      <w:pPr>
        <w:pStyle w:val="TextoNormalNegritaCursivandice"/>
      </w:pPr>
      <w:r>
        <w:t>Orden TAS/500/2004, de 13 de febrero. Regula la financiación de las acciones de formación continua en las empresas, incluidos los permisos individuales de formación, en desarrollo del Real Decreto 1046/2003, de 1 de agosto, por el que se regula el subsistema de formación profesional continua</w:t>
      </w:r>
    </w:p>
    <w:p w:rsidR="00E27756" w:rsidRDefault="00E27756" w:rsidP="00E27756">
      <w:pPr>
        <w:pStyle w:val="SangriaFrancesaArticulo"/>
      </w:pPr>
      <w:r w:rsidRPr="00E27756">
        <w:rPr>
          <w:rStyle w:val="TextoNormalNegritaCaracter"/>
        </w:rPr>
        <w:t>Artículo 5.3.</w:t>
      </w:r>
      <w:r w:rsidRPr="00E27756">
        <w:rPr>
          <w:rStyle w:val="TextoNormalCaracter"/>
        </w:rPr>
        <w:t>-</w:t>
      </w:r>
      <w:r>
        <w:t xml:space="preserve"> Sentencia </w:t>
      </w:r>
      <w:hyperlink w:anchor="SENTENCIA_2013_95" w:history="1">
        <w:r w:rsidRPr="00E27756">
          <w:rPr>
            <w:rStyle w:val="TextoNormalCaracter"/>
          </w:rPr>
          <w:t>95/2013</w:t>
        </w:r>
      </w:hyperlink>
      <w:r>
        <w:t xml:space="preserve"> (declara vulnerado el orden competencial).</w:t>
      </w:r>
    </w:p>
    <w:p w:rsidR="00E27756" w:rsidRDefault="00E27756" w:rsidP="00E27756">
      <w:pPr>
        <w:pStyle w:val="SangriaFrancesaArticulo"/>
      </w:pPr>
      <w:r w:rsidRPr="00E27756">
        <w:rPr>
          <w:rStyle w:val="TextoNormalNegritaCaracter"/>
        </w:rPr>
        <w:t>Artículo 16.3.</w:t>
      </w:r>
      <w:r w:rsidRPr="00E27756">
        <w:rPr>
          <w:rStyle w:val="TextoNormalCaracter"/>
        </w:rPr>
        <w:t>-</w:t>
      </w:r>
      <w:r>
        <w:t xml:space="preserve"> Sentencia </w:t>
      </w:r>
      <w:hyperlink w:anchor="SENTENCIA_2013_95" w:history="1">
        <w:r w:rsidRPr="00E27756">
          <w:rPr>
            <w:rStyle w:val="TextoNormalCaracter"/>
          </w:rPr>
          <w:t>95/2013</w:t>
        </w:r>
      </w:hyperlink>
      <w:r>
        <w:t xml:space="preserve"> (declara vulnerado el orden competencial).</w:t>
      </w:r>
    </w:p>
    <w:p w:rsidR="00E27756" w:rsidRDefault="00E27756" w:rsidP="00E27756">
      <w:pPr>
        <w:pStyle w:val="SangriaFrancesaArticulo"/>
      </w:pPr>
      <w:r w:rsidRPr="00E27756">
        <w:rPr>
          <w:rStyle w:val="TextoNormalNegritaCaracter"/>
        </w:rPr>
        <w:t>Artículo 20.2 a), c).</w:t>
      </w:r>
      <w:r w:rsidRPr="00E27756">
        <w:rPr>
          <w:rStyle w:val="TextoNormalCaracter"/>
        </w:rPr>
        <w:t>-</w:t>
      </w:r>
      <w:r>
        <w:t xml:space="preserve"> Sentencia </w:t>
      </w:r>
      <w:hyperlink w:anchor="SENTENCIA_2013_95" w:history="1">
        <w:r w:rsidRPr="00E27756">
          <w:rPr>
            <w:rStyle w:val="TextoNormalCaracter"/>
          </w:rPr>
          <w:t>95/2013</w:t>
        </w:r>
      </w:hyperlink>
      <w:r>
        <w:t xml:space="preserve"> (declara vulnerado el orden competencial).</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 </w:t>
      </w:r>
      <w:hyperlink w:anchor="SENTENCIA_2013_95" w:history="1">
        <w:r w:rsidRPr="00E27756">
          <w:rPr>
            <w:rStyle w:val="TextoNormalCaracter"/>
          </w:rPr>
          <w:t>95/2013</w:t>
        </w:r>
      </w:hyperlink>
      <w:r>
        <w:t xml:space="preserve"> (declara vulnerado el orden competencial).</w:t>
      </w:r>
    </w:p>
    <w:p w:rsidR="00E27756" w:rsidRDefault="00E27756" w:rsidP="00E27756">
      <w:pPr>
        <w:pStyle w:val="SangriaFrancesaArticulo"/>
      </w:pPr>
      <w:r w:rsidRPr="00E27756">
        <w:rPr>
          <w:rStyle w:val="TextoNormalNegritaCaracter"/>
        </w:rPr>
        <w:t>Artículo 22 apartados 1, 2.</w:t>
      </w:r>
      <w:r w:rsidRPr="00E27756">
        <w:rPr>
          <w:rStyle w:val="TextoNormalCaracter"/>
        </w:rPr>
        <w:t>-</w:t>
      </w:r>
      <w:r>
        <w:t xml:space="preserve"> Sentencia </w:t>
      </w:r>
      <w:hyperlink w:anchor="SENTENCIA_2013_95" w:history="1">
        <w:r w:rsidRPr="00E27756">
          <w:rPr>
            <w:rStyle w:val="TextoNormalCaracter"/>
          </w:rPr>
          <w:t>95/2013</w:t>
        </w:r>
      </w:hyperlink>
      <w:r>
        <w:t xml:space="preserve"> (declara vulnerado el orden competencial).</w:t>
      </w:r>
    </w:p>
    <w:p w:rsidR="00E27756" w:rsidRDefault="00E27756" w:rsidP="00E27756">
      <w:pPr>
        <w:pStyle w:val="SangriaFrancesaArticulo"/>
      </w:pPr>
      <w:r w:rsidRPr="00E27756">
        <w:rPr>
          <w:rStyle w:val="TextoNormalNegritaCaracter"/>
        </w:rPr>
        <w:t>Artículo 23 excepto apartado 2, párrafo 2.</w:t>
      </w:r>
      <w:r w:rsidRPr="00E27756">
        <w:rPr>
          <w:rStyle w:val="TextoNormalCaracter"/>
        </w:rPr>
        <w:t>-</w:t>
      </w:r>
      <w:r>
        <w:t xml:space="preserve"> Sentencia </w:t>
      </w:r>
      <w:hyperlink w:anchor="SENTENCIA_2013_95" w:history="1">
        <w:r w:rsidRPr="00E27756">
          <w:rPr>
            <w:rStyle w:val="TextoNormalCaracter"/>
          </w:rPr>
          <w:t>95/2013</w:t>
        </w:r>
      </w:hyperlink>
      <w:r>
        <w:t xml:space="preserve"> (declara vulnerado el orden competencial).</w:t>
      </w:r>
    </w:p>
    <w:p w:rsidR="00E27756" w:rsidRDefault="00E27756" w:rsidP="00E27756">
      <w:pPr>
        <w:pStyle w:val="SangriaFrancesaArticulo"/>
      </w:pPr>
      <w:r w:rsidRPr="00E27756">
        <w:rPr>
          <w:rStyle w:val="TextoNormalNegritaCaracter"/>
        </w:rPr>
        <w:t>Artículo 24.1 e).</w:t>
      </w:r>
      <w:r w:rsidRPr="00E27756">
        <w:rPr>
          <w:rStyle w:val="TextoNormalCaracter"/>
        </w:rPr>
        <w:t>-</w:t>
      </w:r>
      <w:r>
        <w:t xml:space="preserve"> Sentencia </w:t>
      </w:r>
      <w:hyperlink w:anchor="SENTENCIA_2013_95" w:history="1">
        <w:r w:rsidRPr="00E27756">
          <w:rPr>
            <w:rStyle w:val="TextoNormalCaracter"/>
          </w:rPr>
          <w:t>95/2013</w:t>
        </w:r>
      </w:hyperlink>
      <w:r>
        <w:t xml:space="preserve"> (declara vulnerado el orden competencial).</w:t>
      </w:r>
    </w:p>
    <w:p w:rsidR="00E27756" w:rsidRDefault="00E27756" w:rsidP="00E27756">
      <w:pPr>
        <w:pStyle w:val="SangriaFrancesaArticulo"/>
      </w:pPr>
      <w:r w:rsidRPr="00E27756">
        <w:rPr>
          <w:rStyle w:val="TextoNormalNegritaCaracter"/>
        </w:rPr>
        <w:lastRenderedPageBreak/>
        <w:t>Artículo 29 apartados 2, 3.</w:t>
      </w:r>
      <w:r w:rsidRPr="00E27756">
        <w:rPr>
          <w:rStyle w:val="TextoNormalCaracter"/>
        </w:rPr>
        <w:t>-</w:t>
      </w:r>
      <w:r>
        <w:t xml:space="preserve"> Sentencia </w:t>
      </w:r>
      <w:hyperlink w:anchor="SENTENCIA_2013_95" w:history="1">
        <w:r w:rsidRPr="00E27756">
          <w:rPr>
            <w:rStyle w:val="TextoNormalCaracter"/>
          </w:rPr>
          <w:t>95/2013</w:t>
        </w:r>
      </w:hyperlink>
      <w:r>
        <w:t xml:space="preserve"> (declara vulnerado el orden competencial).</w:t>
      </w:r>
    </w:p>
    <w:p w:rsidR="00E27756" w:rsidRDefault="00E27756" w:rsidP="00E27756">
      <w:pPr>
        <w:pStyle w:val="SangriaFrancesaArticulo"/>
      </w:pPr>
      <w:r w:rsidRPr="00E27756">
        <w:rPr>
          <w:rStyle w:val="TextoNormalNegritaCaracter"/>
        </w:rPr>
        <w:t>Artículo 32.3.</w:t>
      </w:r>
      <w:r w:rsidRPr="00E27756">
        <w:rPr>
          <w:rStyle w:val="TextoNormalCaracter"/>
        </w:rPr>
        <w:t>-</w:t>
      </w:r>
      <w:r>
        <w:t xml:space="preserve"> Sentencia </w:t>
      </w:r>
      <w:hyperlink w:anchor="SENTENCIA_2013_95" w:history="1">
        <w:r w:rsidRPr="00E27756">
          <w:rPr>
            <w:rStyle w:val="TextoNormalCaracter"/>
          </w:rPr>
          <w:t>95/2013</w:t>
        </w:r>
      </w:hyperlink>
      <w:r>
        <w:t xml:space="preserve"> (declara vulnerado el orden competencial).</w:t>
      </w:r>
    </w:p>
    <w:p w:rsidR="00E27756" w:rsidRDefault="00E27756" w:rsidP="00E27756">
      <w:pPr>
        <w:pStyle w:val="SangriaFrancesaArticulo"/>
      </w:pPr>
      <w:r w:rsidRPr="00E27756">
        <w:rPr>
          <w:rStyle w:val="TextoNormalNegritaCaracter"/>
        </w:rPr>
        <w:t>Artículo 34.2.</w:t>
      </w:r>
      <w:r w:rsidRPr="00E27756">
        <w:rPr>
          <w:rStyle w:val="TextoNormalCaracter"/>
        </w:rPr>
        <w:t>-</w:t>
      </w:r>
      <w:r>
        <w:t xml:space="preserve"> Sentencia </w:t>
      </w:r>
      <w:hyperlink w:anchor="SENTENCIA_2013_95" w:history="1">
        <w:r w:rsidRPr="00E27756">
          <w:rPr>
            <w:rStyle w:val="TextoNormalCaracter"/>
          </w:rPr>
          <w:t>95/2013</w:t>
        </w:r>
      </w:hyperlink>
      <w:r>
        <w:t xml:space="preserve"> (declara vulnerado el orden competencial).</w:t>
      </w:r>
    </w:p>
    <w:p w:rsidR="00E27756" w:rsidRDefault="00E27756" w:rsidP="00E27756">
      <w:pPr>
        <w:pStyle w:val="SangriaFrancesaArticulo"/>
      </w:pPr>
    </w:p>
    <w:p w:rsidR="00E27756" w:rsidRDefault="00E27756" w:rsidP="00E27756">
      <w:pPr>
        <w:pStyle w:val="TextoNormalNegritaCursivandice"/>
      </w:pPr>
      <w:r>
        <w:t>Orden JUS/1133/2004, de 5 de abril. Se convocan para la provisión por el sistema de libre designación, y para el cuerpo de secretarios judiciales los puestos de trabajo de secretarios de gobierno del Tribunal Supremo, Audiencia Nacional, Tribunales Superiores de Justicia y ciudades de Ceuta y Melilla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8" w:history="1">
        <w:r w:rsidRPr="00E27756">
          <w:rPr>
            <w:rStyle w:val="TextoNormalCaracter"/>
          </w:rPr>
          <w:t>18/2013</w:t>
        </w:r>
      </w:hyperlink>
      <w:r>
        <w:t>.</w:t>
      </w:r>
    </w:p>
    <w:p w:rsidR="00E27756" w:rsidRDefault="00E27756" w:rsidP="00E27756">
      <w:pPr>
        <w:pStyle w:val="SangriaFrancesaArticulo"/>
      </w:pPr>
    </w:p>
    <w:p w:rsidR="00E27756" w:rsidRDefault="00E27756" w:rsidP="00E27756">
      <w:pPr>
        <w:pStyle w:val="TextoNormalNegritaCursivandice"/>
      </w:pPr>
      <w:r>
        <w:t>Orden TAS/2782/2004, de 30 de julio. Establece las bases reguladoras para la concesión de subvenciones públicas destinadas a la realización de las acciones complementarias y de acompañamiento a la formación, en desarrollo del Real Decreto 1046/2003, de 1 de agosto, por el que se regula el subsistema de formación profesional continua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5" w:history="1">
        <w:r w:rsidRPr="00E27756">
          <w:rPr>
            <w:rStyle w:val="TextoNormalCaracter"/>
          </w:rPr>
          <w:t>65/2013</w:t>
        </w:r>
      </w:hyperlink>
      <w:r>
        <w:t>.</w:t>
      </w:r>
    </w:p>
    <w:p w:rsidR="00E27756" w:rsidRDefault="00E27756" w:rsidP="00E27756">
      <w:pPr>
        <w:pStyle w:val="SangriaFrancesaArticulo"/>
      </w:pPr>
      <w:r w:rsidRPr="00E27756">
        <w:rPr>
          <w:rStyle w:val="TextoNormalNegritaCaracter"/>
        </w:rPr>
        <w:t>Apartado 19.</w:t>
      </w:r>
      <w:r w:rsidRPr="00E27756">
        <w:rPr>
          <w:rStyle w:val="TextoNormalCaracter"/>
        </w:rPr>
        <w:t>-</w:t>
      </w:r>
      <w:r>
        <w:t xml:space="preserve"> Sentencia </w:t>
      </w:r>
      <w:hyperlink w:anchor="SENTENCIA_2013_65" w:history="1">
        <w:r w:rsidRPr="00E27756">
          <w:rPr>
            <w:rStyle w:val="TextoNormalCaracter"/>
          </w:rPr>
          <w:t>65/2013</w:t>
        </w:r>
      </w:hyperlink>
      <w:r>
        <w:t>.</w:t>
      </w:r>
    </w:p>
    <w:p w:rsidR="00E27756" w:rsidRDefault="00E27756" w:rsidP="00E27756">
      <w:pPr>
        <w:pStyle w:val="SangriaFrancesaArticulo"/>
      </w:pPr>
    </w:p>
    <w:p w:rsidR="00E27756" w:rsidRDefault="00E27756" w:rsidP="00E27756">
      <w:pPr>
        <w:pStyle w:val="TextoNormalNegritaCursivandice"/>
      </w:pPr>
      <w:r>
        <w:t>Orden TAS/2783/2004, de 30 de julio. Establece las bases reguladoras para la concesión de subvenciones públicas mediante contratos programa para la formación de trabajadores, en desarrollo del Real Decreto 1046/2003, de 1 de agosto, por el que se regula el subsistema de formación profesional continua.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5" w:history="1">
        <w:r w:rsidRPr="00E27756">
          <w:rPr>
            <w:rStyle w:val="TextoNormalCaracter"/>
          </w:rPr>
          <w:t>65/2013</w:t>
        </w:r>
      </w:hyperlink>
      <w:r>
        <w:t>.</w:t>
      </w:r>
    </w:p>
    <w:p w:rsidR="00E27756" w:rsidRDefault="00E27756" w:rsidP="00E27756">
      <w:pPr>
        <w:pStyle w:val="SangriaFrancesaArticulo"/>
      </w:pPr>
      <w:r w:rsidRPr="00E27756">
        <w:rPr>
          <w:rStyle w:val="TextoNormalNegritaCaracter"/>
        </w:rPr>
        <w:t>Artículo 2.1 B).</w:t>
      </w:r>
      <w:r w:rsidRPr="00E27756">
        <w:rPr>
          <w:rStyle w:val="TextoNormalCaracter"/>
        </w:rPr>
        <w:t>-</w:t>
      </w:r>
      <w:r>
        <w:t xml:space="preserve"> Sentencias </w:t>
      </w:r>
      <w:hyperlink w:anchor="SENTENCIA_2013_37" w:history="1">
        <w:r w:rsidRPr="00E27756">
          <w:rPr>
            <w:rStyle w:val="TextoNormalCaracter"/>
          </w:rPr>
          <w:t>37/2013</w:t>
        </w:r>
      </w:hyperlink>
      <w:r>
        <w:t xml:space="preserve">; </w:t>
      </w:r>
      <w:hyperlink w:anchor="SENTENCIA_2013_65" w:history="1">
        <w:r w:rsidRPr="00E27756">
          <w:rPr>
            <w:rStyle w:val="TextoNormalCaracter"/>
          </w:rPr>
          <w:t>65/2013</w:t>
        </w:r>
      </w:hyperlink>
      <w:r>
        <w:t>.</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37" w:history="1">
        <w:r w:rsidRPr="00E27756">
          <w:rPr>
            <w:rStyle w:val="TextoNormalCaracter"/>
          </w:rPr>
          <w:t>37/2013</w:t>
        </w:r>
      </w:hyperlink>
      <w:r>
        <w:t>.</w:t>
      </w:r>
    </w:p>
    <w:p w:rsidR="00E27756" w:rsidRDefault="00E27756" w:rsidP="00E27756">
      <w:pPr>
        <w:pStyle w:val="SangriaFrancesaArticulo"/>
      </w:pPr>
      <w:r w:rsidRPr="00E27756">
        <w:rPr>
          <w:rStyle w:val="TextoNormalNegritaCaracter"/>
        </w:rPr>
        <w:t>Artículo 28.1.</w:t>
      </w:r>
      <w:r w:rsidRPr="00E27756">
        <w:rPr>
          <w:rStyle w:val="TextoNormalCaracter"/>
        </w:rPr>
        <w:t>-</w:t>
      </w:r>
      <w:r>
        <w:t xml:space="preserve"> Sentencia </w:t>
      </w:r>
      <w:hyperlink w:anchor="SENTENCIA_2013_65" w:history="1">
        <w:r w:rsidRPr="00E27756">
          <w:rPr>
            <w:rStyle w:val="TextoNormalCaracter"/>
          </w:rPr>
          <w:t>65/2013</w:t>
        </w:r>
      </w:hyperlink>
      <w:r>
        <w:t>.</w:t>
      </w:r>
    </w:p>
    <w:p w:rsidR="00E27756" w:rsidRDefault="00E27756" w:rsidP="00E27756">
      <w:pPr>
        <w:pStyle w:val="SangriaFrancesaArticulo"/>
      </w:pPr>
    </w:p>
    <w:p w:rsidR="00E27756" w:rsidRDefault="00E27756" w:rsidP="00E27756">
      <w:pPr>
        <w:pStyle w:val="TextoNormalNegritaCursivandice"/>
      </w:pPr>
      <w:r>
        <w:t>Real Decreto 2387/2004, de 30 de diciembre. Reglamento del sector ferroviario</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83" w:history="1">
        <w:r w:rsidRPr="00E27756">
          <w:rPr>
            <w:rStyle w:val="TextoNormalCaracter"/>
          </w:rPr>
          <w:t>83/2013</w:t>
        </w:r>
      </w:hyperlink>
      <w:r>
        <w:t>.</w:t>
      </w:r>
    </w:p>
    <w:p w:rsidR="00E27756" w:rsidRDefault="00E27756" w:rsidP="00E27756">
      <w:pPr>
        <w:pStyle w:val="SangriaFrancesaArticulo"/>
      </w:pPr>
      <w:r w:rsidRPr="00E27756">
        <w:rPr>
          <w:rStyle w:val="TextoNormalNegritaCaracter"/>
        </w:rPr>
        <w:t>Artículo 5.1.</w:t>
      </w:r>
      <w:r w:rsidRPr="00E27756">
        <w:rPr>
          <w:rStyle w:val="TextoNormalCaracter"/>
        </w:rPr>
        <w:t>-</w:t>
      </w:r>
      <w:r>
        <w:t xml:space="preserve"> Sentencia </w:t>
      </w:r>
      <w:hyperlink w:anchor="SENTENCIA_2013_83" w:history="1">
        <w:r w:rsidRPr="00E27756">
          <w:rPr>
            <w:rStyle w:val="TextoNormalCaracter"/>
          </w:rPr>
          <w:t>83/2013</w:t>
        </w:r>
      </w:hyperlink>
      <w:r>
        <w:t xml:space="preserve"> (interpreta).</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83" w:history="1">
        <w:r w:rsidRPr="00E27756">
          <w:rPr>
            <w:rStyle w:val="TextoNormalCaracter"/>
          </w:rPr>
          <w:t>83/2013</w:t>
        </w:r>
      </w:hyperlink>
      <w:r>
        <w:t xml:space="preserve"> (interpreta).</w:t>
      </w:r>
    </w:p>
    <w:p w:rsidR="00E27756" w:rsidRDefault="00E27756" w:rsidP="00E27756">
      <w:pPr>
        <w:pStyle w:val="SangriaFrancesaArticulo"/>
      </w:pPr>
      <w:r w:rsidRPr="00E27756">
        <w:rPr>
          <w:rStyle w:val="TextoNormalNegritaCaracter"/>
        </w:rPr>
        <w:t>Artículo 47.4.</w:t>
      </w:r>
      <w:r w:rsidRPr="00E27756">
        <w:rPr>
          <w:rStyle w:val="TextoNormalCaracter"/>
        </w:rPr>
        <w:t>-</w:t>
      </w:r>
      <w:r>
        <w:t xml:space="preserve"> Sentencia </w:t>
      </w:r>
      <w:hyperlink w:anchor="SENTENCIA_2013_83" w:history="1">
        <w:r w:rsidRPr="00E27756">
          <w:rPr>
            <w:rStyle w:val="TextoNormalCaracter"/>
          </w:rPr>
          <w:t>83/2013</w:t>
        </w:r>
      </w:hyperlink>
      <w:r>
        <w:t>.</w:t>
      </w:r>
    </w:p>
    <w:p w:rsidR="00E27756" w:rsidRDefault="00E27756" w:rsidP="00E27756">
      <w:pPr>
        <w:pStyle w:val="SangriaFrancesaArticulo"/>
      </w:pPr>
      <w:r w:rsidRPr="00E27756">
        <w:rPr>
          <w:rStyle w:val="TextoNormalNegritaCaracter"/>
        </w:rPr>
        <w:t>Artículo 48.</w:t>
      </w:r>
      <w:r w:rsidRPr="00E27756">
        <w:rPr>
          <w:rStyle w:val="TextoNormalCaracter"/>
        </w:rPr>
        <w:t>-</w:t>
      </w:r>
      <w:r>
        <w:t xml:space="preserve"> Sentencia </w:t>
      </w:r>
      <w:hyperlink w:anchor="SENTENCIA_2013_83" w:history="1">
        <w:r w:rsidRPr="00E27756">
          <w:rPr>
            <w:rStyle w:val="TextoNormalCaracter"/>
          </w:rPr>
          <w:t>83/2013</w:t>
        </w:r>
      </w:hyperlink>
      <w:r>
        <w:t xml:space="preserve"> (interpreta).</w:t>
      </w:r>
    </w:p>
    <w:p w:rsidR="00E27756" w:rsidRDefault="00E27756" w:rsidP="00E27756">
      <w:pPr>
        <w:pStyle w:val="SangriaFrancesaArticulo"/>
      </w:pPr>
      <w:r w:rsidRPr="00E27756">
        <w:rPr>
          <w:rStyle w:val="TextoNormalNegritaCaracter"/>
        </w:rPr>
        <w:t>Artículo 57.</w:t>
      </w:r>
      <w:r w:rsidRPr="00E27756">
        <w:rPr>
          <w:rStyle w:val="TextoNormalCaracter"/>
        </w:rPr>
        <w:t>-</w:t>
      </w:r>
      <w:r>
        <w:t xml:space="preserve"> Sentencia </w:t>
      </w:r>
      <w:hyperlink w:anchor="SENTENCIA_2013_83" w:history="1">
        <w:r w:rsidRPr="00E27756">
          <w:rPr>
            <w:rStyle w:val="TextoNormalCaracter"/>
          </w:rPr>
          <w:t>83/2013</w:t>
        </w:r>
      </w:hyperlink>
      <w:r>
        <w:t>.</w:t>
      </w:r>
    </w:p>
    <w:p w:rsidR="00E27756" w:rsidRDefault="00E27756" w:rsidP="00E27756">
      <w:pPr>
        <w:pStyle w:val="SangriaFrancesaArticulo"/>
      </w:pPr>
      <w:r w:rsidRPr="00E27756">
        <w:rPr>
          <w:rStyle w:val="TextoNormalNegritaCaracter"/>
        </w:rPr>
        <w:t>Artículo 57.4.</w:t>
      </w:r>
      <w:r w:rsidRPr="00E27756">
        <w:rPr>
          <w:rStyle w:val="TextoNormalCaracter"/>
        </w:rPr>
        <w:t>-</w:t>
      </w:r>
      <w:r>
        <w:t xml:space="preserve"> Sentencia </w:t>
      </w:r>
      <w:hyperlink w:anchor="SENTENCIA_2013_83" w:history="1">
        <w:r w:rsidRPr="00E27756">
          <w:rPr>
            <w:rStyle w:val="TextoNormalCaracter"/>
          </w:rPr>
          <w:t>83/2013</w:t>
        </w:r>
      </w:hyperlink>
      <w:r>
        <w:t xml:space="preserve"> (interpreta).</w:t>
      </w:r>
    </w:p>
    <w:p w:rsidR="00E27756" w:rsidRDefault="00E27756" w:rsidP="00E27756">
      <w:pPr>
        <w:pStyle w:val="SangriaFrancesaArticulo"/>
      </w:pPr>
      <w:r w:rsidRPr="00E27756">
        <w:rPr>
          <w:rStyle w:val="TextoNormalNegritaCaracter"/>
        </w:rPr>
        <w:t>Artículo 59.</w:t>
      </w:r>
      <w:r w:rsidRPr="00E27756">
        <w:rPr>
          <w:rStyle w:val="TextoNormalCaracter"/>
        </w:rPr>
        <w:t>-</w:t>
      </w:r>
      <w:r>
        <w:t xml:space="preserve"> Sentencia </w:t>
      </w:r>
      <w:hyperlink w:anchor="SENTENCIA_2013_83" w:history="1">
        <w:r w:rsidRPr="00E27756">
          <w:rPr>
            <w:rStyle w:val="TextoNormalCaracter"/>
          </w:rPr>
          <w:t>83/2013</w:t>
        </w:r>
      </w:hyperlink>
      <w:r>
        <w:t xml:space="preserve"> (interpreta).</w:t>
      </w:r>
    </w:p>
    <w:p w:rsidR="00E27756" w:rsidRDefault="00E27756" w:rsidP="00E27756">
      <w:pPr>
        <w:pStyle w:val="SangriaFrancesaArticulo"/>
      </w:pPr>
      <w:r w:rsidRPr="00E27756">
        <w:rPr>
          <w:rStyle w:val="TextoNormalNegritaCaracter"/>
        </w:rPr>
        <w:t>Artículos 71 a 77.</w:t>
      </w:r>
      <w:r w:rsidRPr="00E27756">
        <w:rPr>
          <w:rStyle w:val="TextoNormalCaracter"/>
        </w:rPr>
        <w:t>-</w:t>
      </w:r>
      <w:r>
        <w:t xml:space="preserve"> Sentencia </w:t>
      </w:r>
      <w:hyperlink w:anchor="SENTENCIA_2013_83" w:history="1">
        <w:r w:rsidRPr="00E27756">
          <w:rPr>
            <w:rStyle w:val="TextoNormalCaracter"/>
          </w:rPr>
          <w:t>83/2013</w:t>
        </w:r>
      </w:hyperlink>
      <w:r>
        <w:t xml:space="preserve"> (interpreta).</w:t>
      </w:r>
    </w:p>
    <w:p w:rsidR="00E27756" w:rsidRDefault="00E27756" w:rsidP="00E27756">
      <w:pPr>
        <w:pStyle w:val="SangriaFrancesaArticulo"/>
      </w:pPr>
      <w:r w:rsidRPr="00E27756">
        <w:rPr>
          <w:rStyle w:val="TextoNormalNegritaCaracter"/>
        </w:rPr>
        <w:t>Artículo 95.</w:t>
      </w:r>
      <w:r w:rsidRPr="00E27756">
        <w:rPr>
          <w:rStyle w:val="TextoNormalCaracter"/>
        </w:rPr>
        <w:t>-</w:t>
      </w:r>
      <w:r>
        <w:t xml:space="preserve"> Sentencia </w:t>
      </w:r>
      <w:hyperlink w:anchor="SENTENCIA_2013_83" w:history="1">
        <w:r w:rsidRPr="00E27756">
          <w:rPr>
            <w:rStyle w:val="TextoNormalCaracter"/>
          </w:rPr>
          <w:t>83/2013</w:t>
        </w:r>
      </w:hyperlink>
      <w:r>
        <w:t xml:space="preserve"> (interpreta).</w:t>
      </w:r>
    </w:p>
    <w:p w:rsidR="00E27756" w:rsidRDefault="00E27756" w:rsidP="00E27756">
      <w:pPr>
        <w:pStyle w:val="SangriaFrancesaArticulo"/>
      </w:pPr>
      <w:r w:rsidRPr="00E27756">
        <w:rPr>
          <w:rStyle w:val="TextoNormalNegritaCaracter"/>
        </w:rPr>
        <w:t>Artículo 147.</w:t>
      </w:r>
      <w:r w:rsidRPr="00E27756">
        <w:rPr>
          <w:rStyle w:val="TextoNormalCaracter"/>
        </w:rPr>
        <w:t>-</w:t>
      </w:r>
      <w:r>
        <w:t xml:space="preserve"> Sentencia </w:t>
      </w:r>
      <w:hyperlink w:anchor="SENTENCIA_2013_83" w:history="1">
        <w:r w:rsidRPr="00E27756">
          <w:rPr>
            <w:rStyle w:val="TextoNormalCaracter"/>
          </w:rPr>
          <w:t>83/2013</w:t>
        </w:r>
      </w:hyperlink>
      <w:r>
        <w:t>.</w:t>
      </w:r>
    </w:p>
    <w:p w:rsidR="00E27756" w:rsidRDefault="00E27756" w:rsidP="00E27756">
      <w:pPr>
        <w:pStyle w:val="SangriaFrancesaArticulo"/>
      </w:pPr>
      <w:r w:rsidRPr="00E27756">
        <w:rPr>
          <w:rStyle w:val="TextoNormalNegritaCaracter"/>
        </w:rPr>
        <w:t>Artículo 148.</w:t>
      </w:r>
      <w:r w:rsidRPr="00E27756">
        <w:rPr>
          <w:rStyle w:val="TextoNormalCaracter"/>
        </w:rPr>
        <w:t>-</w:t>
      </w:r>
      <w:r>
        <w:t xml:space="preserve"> Sentencia </w:t>
      </w:r>
      <w:hyperlink w:anchor="SENTENCIA_2013_83" w:history="1">
        <w:r w:rsidRPr="00E27756">
          <w:rPr>
            <w:rStyle w:val="TextoNormalCaracter"/>
          </w:rPr>
          <w:t>83/2013</w:t>
        </w:r>
      </w:hyperlink>
      <w:r>
        <w:t>.</w:t>
      </w:r>
    </w:p>
    <w:p w:rsidR="00E27756" w:rsidRDefault="00E27756" w:rsidP="00E27756">
      <w:pPr>
        <w:pStyle w:val="SangriaFrancesaArticulo"/>
      </w:pPr>
      <w:r w:rsidRPr="00E27756">
        <w:rPr>
          <w:rStyle w:val="TextoNormalNegritaCaracter"/>
        </w:rPr>
        <w:t>Artículo 152.</w:t>
      </w:r>
      <w:r w:rsidRPr="00E27756">
        <w:rPr>
          <w:rStyle w:val="TextoNormalCaracter"/>
        </w:rPr>
        <w:t>-</w:t>
      </w:r>
      <w:r>
        <w:t xml:space="preserve"> Sentencia </w:t>
      </w:r>
      <w:hyperlink w:anchor="SENTENCIA_2013_83" w:history="1">
        <w:r w:rsidRPr="00E27756">
          <w:rPr>
            <w:rStyle w:val="TextoNormalCaracter"/>
          </w:rPr>
          <w:t>83/2013</w:t>
        </w:r>
      </w:hyperlink>
      <w:r>
        <w:t>.</w:t>
      </w:r>
    </w:p>
    <w:p w:rsidR="00E27756" w:rsidRDefault="00E27756" w:rsidP="00E27756">
      <w:pPr>
        <w:pStyle w:val="SangriaFrancesaArticulo"/>
      </w:pPr>
      <w:r w:rsidRPr="00E27756">
        <w:rPr>
          <w:rStyle w:val="TextoNormalNegritaCaracter"/>
        </w:rPr>
        <w:t>Artículo 153.</w:t>
      </w:r>
      <w:r w:rsidRPr="00E27756">
        <w:rPr>
          <w:rStyle w:val="TextoNormalCaracter"/>
        </w:rPr>
        <w:t>-</w:t>
      </w:r>
      <w:r>
        <w:t xml:space="preserve"> Sentencia </w:t>
      </w:r>
      <w:hyperlink w:anchor="SENTENCIA_2013_83" w:history="1">
        <w:r w:rsidRPr="00E27756">
          <w:rPr>
            <w:rStyle w:val="TextoNormalCaracter"/>
          </w:rPr>
          <w:t>83/2013</w:t>
        </w:r>
      </w:hyperlink>
      <w:r>
        <w:t>.</w:t>
      </w:r>
    </w:p>
    <w:p w:rsidR="00E27756" w:rsidRDefault="00E27756" w:rsidP="00E27756">
      <w:pPr>
        <w:pStyle w:val="SangriaFrancesaArticulo"/>
      </w:pPr>
      <w:r w:rsidRPr="00E27756">
        <w:rPr>
          <w:rStyle w:val="TextoNormalNegritaCaracter"/>
        </w:rPr>
        <w:t>Artículo 154.</w:t>
      </w:r>
      <w:r w:rsidRPr="00E27756">
        <w:rPr>
          <w:rStyle w:val="TextoNormalCaracter"/>
        </w:rPr>
        <w:t>-</w:t>
      </w:r>
      <w:r>
        <w:t xml:space="preserve"> Sentencia </w:t>
      </w:r>
      <w:hyperlink w:anchor="SENTENCIA_2013_83" w:history="1">
        <w:r w:rsidRPr="00E27756">
          <w:rPr>
            <w:rStyle w:val="TextoNormalCaracter"/>
          </w:rPr>
          <w:t>83/2013</w:t>
        </w:r>
      </w:hyperlink>
      <w:r>
        <w:t>.</w:t>
      </w:r>
    </w:p>
    <w:p w:rsidR="00E27756" w:rsidRDefault="00E27756" w:rsidP="00E27756">
      <w:pPr>
        <w:pStyle w:val="SangriaFrancesaArticulo"/>
      </w:pPr>
      <w:r w:rsidRPr="00E27756">
        <w:rPr>
          <w:rStyle w:val="TextoNormalNegritaCaracter"/>
        </w:rPr>
        <w:t>Artículo 157.</w:t>
      </w:r>
      <w:r w:rsidRPr="00E27756">
        <w:rPr>
          <w:rStyle w:val="TextoNormalCaracter"/>
        </w:rPr>
        <w:t>-</w:t>
      </w:r>
      <w:r>
        <w:t xml:space="preserve"> Sentencia </w:t>
      </w:r>
      <w:hyperlink w:anchor="SENTENCIA_2013_83" w:history="1">
        <w:r w:rsidRPr="00E27756">
          <w:rPr>
            <w:rStyle w:val="TextoNormalCaracter"/>
          </w:rPr>
          <w:t>83/2013</w:t>
        </w:r>
      </w:hyperlink>
      <w:r>
        <w:t>.</w:t>
      </w:r>
    </w:p>
    <w:p w:rsidR="00E27756" w:rsidRDefault="00E27756" w:rsidP="00E27756">
      <w:pPr>
        <w:pStyle w:val="SangriaFrancesaArticulo"/>
      </w:pPr>
      <w:r w:rsidRPr="00E27756">
        <w:rPr>
          <w:rStyle w:val="TextoNormalNegritaCaracter"/>
        </w:rPr>
        <w:t>Artículo 160.</w:t>
      </w:r>
      <w:r w:rsidRPr="00E27756">
        <w:rPr>
          <w:rStyle w:val="TextoNormalCaracter"/>
        </w:rPr>
        <w:t>-</w:t>
      </w:r>
      <w:r>
        <w:t xml:space="preserve"> Sentencia </w:t>
      </w:r>
      <w:hyperlink w:anchor="SENTENCIA_2013_83" w:history="1">
        <w:r w:rsidRPr="00E27756">
          <w:rPr>
            <w:rStyle w:val="TextoNormalCaracter"/>
          </w:rPr>
          <w:t>83/2013</w:t>
        </w:r>
      </w:hyperlink>
      <w:r>
        <w:t>.</w:t>
      </w:r>
    </w:p>
    <w:p w:rsidR="00E27756" w:rsidRDefault="00E27756" w:rsidP="00E27756">
      <w:pPr>
        <w:pStyle w:val="SangriaFrancesaArticulo"/>
      </w:pPr>
      <w:r w:rsidRPr="00E27756">
        <w:rPr>
          <w:rStyle w:val="TextoNormalNegritaCaracter"/>
        </w:rPr>
        <w:t>Disposición transitoria cuarta.</w:t>
      </w:r>
      <w:r w:rsidRPr="00E27756">
        <w:rPr>
          <w:rStyle w:val="TextoNormalCaracter"/>
        </w:rPr>
        <w:t>-</w:t>
      </w:r>
      <w:r>
        <w:t xml:space="preserve"> Sentencia </w:t>
      </w:r>
      <w:hyperlink w:anchor="SENTENCIA_2013_83" w:history="1">
        <w:r w:rsidRPr="00E27756">
          <w:rPr>
            <w:rStyle w:val="TextoNormalCaracter"/>
          </w:rPr>
          <w:t>83/2013</w:t>
        </w:r>
      </w:hyperlink>
      <w:r>
        <w:t xml:space="preserve"> (interpreta).</w:t>
      </w:r>
    </w:p>
    <w:p w:rsidR="00E27756" w:rsidRDefault="00E27756" w:rsidP="00E27756">
      <w:pPr>
        <w:pStyle w:val="SangriaFrancesaArticulo"/>
      </w:pPr>
    </w:p>
    <w:p w:rsidR="00E27756" w:rsidRDefault="00E27756" w:rsidP="00E27756">
      <w:pPr>
        <w:pStyle w:val="TextoNormalNegritaCursivandice"/>
      </w:pPr>
      <w:r>
        <w:t>Real Decreto 2395/2004, de 30 de diciembre. Estatuto de la entidad pública empresarial Administrador de infraestructuras ferroviarias</w:t>
      </w:r>
    </w:p>
    <w:p w:rsidR="00E27756" w:rsidRDefault="00E27756" w:rsidP="00E27756">
      <w:pPr>
        <w:pStyle w:val="SangriaFrancesaArticulo"/>
      </w:pPr>
      <w:r w:rsidRPr="00E27756">
        <w:rPr>
          <w:rStyle w:val="TextoNormalNegritaCaracter"/>
        </w:rPr>
        <w:t>Artículo 3 g).</w:t>
      </w:r>
      <w:r w:rsidRPr="00E27756">
        <w:rPr>
          <w:rStyle w:val="TextoNormalCaracter"/>
        </w:rPr>
        <w:t>-</w:t>
      </w:r>
      <w:r>
        <w:t xml:space="preserve"> Sentencia </w:t>
      </w:r>
      <w:hyperlink w:anchor="SENTENCIA_2013_83" w:history="1">
        <w:r w:rsidRPr="00E27756">
          <w:rPr>
            <w:rStyle w:val="TextoNormalCaracter"/>
          </w:rPr>
          <w:t>83/2013</w:t>
        </w:r>
      </w:hyperlink>
      <w:r>
        <w:t>.</w:t>
      </w:r>
    </w:p>
    <w:p w:rsidR="00E27756" w:rsidRDefault="00E27756" w:rsidP="00E27756">
      <w:pPr>
        <w:pStyle w:val="SangriaFrancesaArticulo"/>
      </w:pPr>
      <w:r w:rsidRPr="00E27756">
        <w:rPr>
          <w:rStyle w:val="TextoNormalNegritaCaracter"/>
        </w:rPr>
        <w:t>Disposición adicional cuarta.</w:t>
      </w:r>
      <w:r w:rsidRPr="00E27756">
        <w:rPr>
          <w:rStyle w:val="TextoNormalCaracter"/>
        </w:rPr>
        <w:t>-</w:t>
      </w:r>
      <w:r>
        <w:t xml:space="preserve"> Sentencia </w:t>
      </w:r>
      <w:hyperlink w:anchor="SENTENCIA_2013_83" w:history="1">
        <w:r w:rsidRPr="00E27756">
          <w:rPr>
            <w:rStyle w:val="TextoNormalCaracter"/>
          </w:rPr>
          <w:t>83/2013</w:t>
        </w:r>
      </w:hyperlink>
      <w:r>
        <w:t>.</w:t>
      </w:r>
    </w:p>
    <w:p w:rsidR="00E27756" w:rsidRDefault="00E27756" w:rsidP="00E27756">
      <w:pPr>
        <w:pStyle w:val="SangriaFrancesaArticulo"/>
      </w:pPr>
    </w:p>
    <w:p w:rsidR="00E27756" w:rsidRDefault="00E27756" w:rsidP="00E27756">
      <w:pPr>
        <w:pStyle w:val="TextoNormalNegritaCursivandice"/>
      </w:pPr>
      <w:r>
        <w:t>Real Decreto 2396/2004, de 30 de diciembre. Estatuto de la entidad pública empresarial Renfe-operadora</w:t>
      </w:r>
    </w:p>
    <w:p w:rsidR="00E27756" w:rsidRDefault="00E27756" w:rsidP="00E27756">
      <w:pPr>
        <w:pStyle w:val="SangriaFrancesaArticulo"/>
      </w:pPr>
      <w:r w:rsidRPr="00E27756">
        <w:rPr>
          <w:rStyle w:val="TextoNormalNegritaCaracter"/>
        </w:rPr>
        <w:t>Disposición transitoria segunda.</w:t>
      </w:r>
      <w:r w:rsidRPr="00E27756">
        <w:rPr>
          <w:rStyle w:val="TextoNormalCaracter"/>
        </w:rPr>
        <w:t>-</w:t>
      </w:r>
      <w:r>
        <w:t xml:space="preserve"> Sentencia </w:t>
      </w:r>
      <w:hyperlink w:anchor="SENTENCIA_2013_83" w:history="1">
        <w:r w:rsidRPr="00E27756">
          <w:rPr>
            <w:rStyle w:val="TextoNormalCaracter"/>
          </w:rPr>
          <w:t>83/2013</w:t>
        </w:r>
      </w:hyperlink>
      <w:r>
        <w:t xml:space="preserve"> (interpreta).</w:t>
      </w:r>
    </w:p>
    <w:p w:rsidR="00E27756" w:rsidRDefault="00E27756" w:rsidP="00E27756">
      <w:pPr>
        <w:pStyle w:val="SangriaFrancesaArticulo"/>
      </w:pPr>
    </w:p>
    <w:p w:rsidR="00E27756" w:rsidRDefault="00E27756" w:rsidP="00E27756">
      <w:pPr>
        <w:pStyle w:val="TextoNormalNegritaCursivandice"/>
      </w:pPr>
      <w:r>
        <w:t>Resolución de 17 de octubre de 2005, de la Secretaría General para la Administración Pública. Ordena la publicación del IV Acuerdo de formación continua en las Administraciones públicas</w:t>
      </w:r>
    </w:p>
    <w:p w:rsidR="00E27756" w:rsidRDefault="00E27756" w:rsidP="00E27756">
      <w:pPr>
        <w:pStyle w:val="SangriaFrancesaArticulo"/>
      </w:pPr>
      <w:r w:rsidRPr="00E27756">
        <w:rPr>
          <w:rStyle w:val="TextoNormalNegritaCaracter"/>
        </w:rPr>
        <w:t>Artículo 14 apartados 3, 4.</w:t>
      </w:r>
      <w:r w:rsidRPr="00E27756">
        <w:rPr>
          <w:rStyle w:val="TextoNormalCaracter"/>
        </w:rPr>
        <w:t>-</w:t>
      </w:r>
      <w:r>
        <w:t xml:space="preserve"> Sentencia </w:t>
      </w:r>
      <w:hyperlink w:anchor="SENTENCIA_2013_7" w:history="1">
        <w:r w:rsidRPr="00E27756">
          <w:rPr>
            <w:rStyle w:val="TextoNormalCaracter"/>
          </w:rPr>
          <w:t>7/2013</w:t>
        </w:r>
      </w:hyperlink>
      <w:r>
        <w:t xml:space="preserve"> (declara vulnerado el orden competencial).</w:t>
      </w:r>
    </w:p>
    <w:p w:rsidR="00E27756" w:rsidRDefault="00E27756" w:rsidP="00E27756">
      <w:pPr>
        <w:pStyle w:val="SangriaFrancesaArticulo"/>
      </w:pPr>
      <w:r w:rsidRPr="00E27756">
        <w:rPr>
          <w:rStyle w:val="TextoNormalNegritaCaracter"/>
        </w:rPr>
        <w:t>Artículo 14.1 a) párrafos 2, 3.</w:t>
      </w:r>
      <w:r w:rsidRPr="00E27756">
        <w:rPr>
          <w:rStyle w:val="TextoNormalCaracter"/>
        </w:rPr>
        <w:t>-</w:t>
      </w:r>
      <w:r>
        <w:t xml:space="preserve"> Sentencia </w:t>
      </w:r>
      <w:hyperlink w:anchor="SENTENCIA_2013_7" w:history="1">
        <w:r w:rsidRPr="00E27756">
          <w:rPr>
            <w:rStyle w:val="TextoNormalCaracter"/>
          </w:rPr>
          <w:t>7/2013</w:t>
        </w:r>
      </w:hyperlink>
      <w:r>
        <w:t xml:space="preserve"> (declara vulnerado el orden competencial).</w:t>
      </w:r>
    </w:p>
    <w:p w:rsidR="00E27756" w:rsidRDefault="00E27756" w:rsidP="00E27756">
      <w:pPr>
        <w:pStyle w:val="SangriaFrancesaArticulo"/>
      </w:pPr>
      <w:r w:rsidRPr="00E27756">
        <w:rPr>
          <w:rStyle w:val="TextoNormalNegritaCaracter"/>
        </w:rPr>
        <w:t>Artículo 14.1 b).</w:t>
      </w:r>
      <w:r w:rsidRPr="00E27756">
        <w:rPr>
          <w:rStyle w:val="TextoNormalCaracter"/>
        </w:rPr>
        <w:t>-</w:t>
      </w:r>
      <w:r>
        <w:t xml:space="preserve"> Sentencia </w:t>
      </w:r>
      <w:hyperlink w:anchor="SENTENCIA_2013_7" w:history="1">
        <w:r w:rsidRPr="00E27756">
          <w:rPr>
            <w:rStyle w:val="TextoNormalCaracter"/>
          </w:rPr>
          <w:t>7/2013</w:t>
        </w:r>
      </w:hyperlink>
      <w:r>
        <w:t xml:space="preserve"> (declara vulnerado el orden competencial).</w:t>
      </w:r>
    </w:p>
    <w:p w:rsidR="00E27756" w:rsidRDefault="00E27756" w:rsidP="00E27756">
      <w:pPr>
        <w:pStyle w:val="SangriaFrancesaArticulo"/>
      </w:pPr>
      <w:r w:rsidRPr="00E27756">
        <w:rPr>
          <w:rStyle w:val="TextoNormalNegritaCaracter"/>
        </w:rPr>
        <w:t>Artículo 16 b) apartados 6, 9, 17.</w:t>
      </w:r>
      <w:r w:rsidRPr="00E27756">
        <w:rPr>
          <w:rStyle w:val="TextoNormalCaracter"/>
        </w:rPr>
        <w:t>-</w:t>
      </w:r>
      <w:r>
        <w:t xml:space="preserve"> Sentencia </w:t>
      </w:r>
      <w:hyperlink w:anchor="SENTENCIA_2013_7" w:history="1">
        <w:r w:rsidRPr="00E27756">
          <w:rPr>
            <w:rStyle w:val="TextoNormalCaracter"/>
          </w:rPr>
          <w:t>7/2013</w:t>
        </w:r>
      </w:hyperlink>
      <w:r>
        <w:t xml:space="preserve"> (interpreta).</w:t>
      </w:r>
    </w:p>
    <w:p w:rsidR="00E27756" w:rsidRDefault="00E27756" w:rsidP="00E27756">
      <w:pPr>
        <w:pStyle w:val="SangriaFrancesaArticulo"/>
      </w:pPr>
      <w:r w:rsidRPr="00E27756">
        <w:rPr>
          <w:rStyle w:val="TextoNormalNegritaCaracter"/>
        </w:rPr>
        <w:t>Artículo 18 b) a e).</w:t>
      </w:r>
      <w:r w:rsidRPr="00E27756">
        <w:rPr>
          <w:rStyle w:val="TextoNormalCaracter"/>
        </w:rPr>
        <w:t>-</w:t>
      </w:r>
      <w:r>
        <w:t xml:space="preserve"> Sentencia </w:t>
      </w:r>
      <w:hyperlink w:anchor="SENTENCIA_2013_7" w:history="1">
        <w:r w:rsidRPr="00E27756">
          <w:rPr>
            <w:rStyle w:val="TextoNormalCaracter"/>
          </w:rPr>
          <w:t>7/2013</w:t>
        </w:r>
      </w:hyperlink>
      <w:r>
        <w:t xml:space="preserve"> (declara vulnerado el orden competencial).</w:t>
      </w:r>
    </w:p>
    <w:p w:rsidR="00E27756" w:rsidRDefault="00E27756" w:rsidP="00E27756">
      <w:pPr>
        <w:pStyle w:val="SangriaFrancesaArticulo"/>
      </w:pPr>
    </w:p>
    <w:p w:rsidR="00E27756" w:rsidRDefault="00E27756" w:rsidP="00E27756">
      <w:pPr>
        <w:pStyle w:val="TextoNormalNegritaCursivandice"/>
      </w:pPr>
      <w:r>
        <w:t>Orden TAS/892/2006, de 23 de marzo. Se establecen las bases reguladoras y se convoca la concesión de subvenciones para la realización de programas de cooperación y voluntariado sociales con cargo a la asignación tributaria del impuesto sobre la renta de las personas físicas</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21" w:history="1">
        <w:r w:rsidRPr="00E27756">
          <w:rPr>
            <w:rStyle w:val="TextoNormalCaracter"/>
          </w:rPr>
          <w:t>21/2013</w:t>
        </w:r>
      </w:hyperlink>
      <w:r>
        <w:t xml:space="preserve"> (declara vulnerado el orden competencial).</w:t>
      </w:r>
    </w:p>
    <w:p w:rsidR="00E27756" w:rsidRDefault="00E27756" w:rsidP="00E27756">
      <w:pPr>
        <w:pStyle w:val="SangriaFrancesaArticulo"/>
      </w:pPr>
      <w:r w:rsidRPr="00E27756">
        <w:rPr>
          <w:rStyle w:val="TextoNormalNegritaCaracter"/>
        </w:rPr>
        <w:t>Artículos 5 al 21.</w:t>
      </w:r>
      <w:r w:rsidRPr="00E27756">
        <w:rPr>
          <w:rStyle w:val="TextoNormalCaracter"/>
        </w:rPr>
        <w:t>-</w:t>
      </w:r>
      <w:r>
        <w:t xml:space="preserve"> Sentencia </w:t>
      </w:r>
      <w:hyperlink w:anchor="SENTENCIA_2013_21" w:history="1">
        <w:r w:rsidRPr="00E27756">
          <w:rPr>
            <w:rStyle w:val="TextoNormalCaracter"/>
          </w:rPr>
          <w:t>21/2013</w:t>
        </w:r>
      </w:hyperlink>
      <w:r>
        <w:t xml:space="preserve"> (declara vulnerado el orden competencial).</w:t>
      </w:r>
    </w:p>
    <w:p w:rsidR="00E27756" w:rsidRDefault="00E27756" w:rsidP="00E27756">
      <w:pPr>
        <w:pStyle w:val="SangriaFrancesaArticulo"/>
      </w:pPr>
      <w:r w:rsidRPr="00E27756">
        <w:rPr>
          <w:rStyle w:val="TextoNormalNegritaCaracter"/>
        </w:rPr>
        <w:t>Anexos I a IV y C.</w:t>
      </w:r>
      <w:r w:rsidRPr="00E27756">
        <w:rPr>
          <w:rStyle w:val="TextoNormalCaracter"/>
        </w:rPr>
        <w:t>-</w:t>
      </w:r>
      <w:r>
        <w:t xml:space="preserve"> Sentencia </w:t>
      </w:r>
      <w:hyperlink w:anchor="SENTENCIA_2013_21" w:history="1">
        <w:r w:rsidRPr="00E27756">
          <w:rPr>
            <w:rStyle w:val="TextoNormalCaracter"/>
          </w:rPr>
          <w:t>21/2013</w:t>
        </w:r>
      </w:hyperlink>
      <w:r>
        <w:t xml:space="preserve"> (declara vulnerado el orden competencial).</w:t>
      </w:r>
    </w:p>
    <w:p w:rsidR="00E27756" w:rsidRDefault="00E27756" w:rsidP="00E27756">
      <w:pPr>
        <w:pStyle w:val="SangriaFrancesaArticulo"/>
      </w:pPr>
    </w:p>
    <w:p w:rsidR="00E27756" w:rsidRDefault="00E27756" w:rsidP="00E27756">
      <w:pPr>
        <w:pStyle w:val="TextoNormalNegritaCursivandice"/>
      </w:pPr>
      <w:r>
        <w:t>Real Decreto 918/2006, de 28 de julio. Se regula la concesión directa de subvenciones a ayuntamientos para proyectos de acción social a favor de las personas mayores en situación de dependencia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3" w:history="1">
        <w:r w:rsidRPr="00E27756">
          <w:rPr>
            <w:rStyle w:val="TextoNormalCaracter"/>
          </w:rPr>
          <w:t>23/2013</w:t>
        </w:r>
      </w:hyperlink>
      <w:r>
        <w:t xml:space="preserve"> (declara vulnerado el orden competencial).</w:t>
      </w:r>
    </w:p>
    <w:p w:rsidR="00E27756" w:rsidRDefault="00E27756" w:rsidP="00E27756">
      <w:pPr>
        <w:pStyle w:val="SangriaFrancesaArticulo"/>
      </w:pPr>
    </w:p>
    <w:p w:rsidR="00E27756" w:rsidRDefault="00E27756" w:rsidP="00E27756">
      <w:pPr>
        <w:pStyle w:val="TextoNormalNegritaCursivandice"/>
      </w:pPr>
      <w:r>
        <w:t>Real Decreto 1538/2006, de 15 de diciembre. Se establece la ordenación general de la formación profesional del sistema educativo</w:t>
      </w:r>
    </w:p>
    <w:p w:rsidR="00E27756" w:rsidRDefault="00E27756" w:rsidP="00E27756">
      <w:pPr>
        <w:pStyle w:val="SangriaFrancesaArticulo"/>
      </w:pPr>
      <w:r w:rsidRPr="00E27756">
        <w:rPr>
          <w:rStyle w:val="TextoNormalNegritaCaracter"/>
        </w:rPr>
        <w:t>Artículo 11.4.</w:t>
      </w:r>
      <w:r w:rsidRPr="00E27756">
        <w:rPr>
          <w:rStyle w:val="TextoNormalCaracter"/>
        </w:rPr>
        <w:t>-</w:t>
      </w:r>
      <w:r>
        <w:t xml:space="preserve"> Sentencia </w:t>
      </w:r>
      <w:hyperlink w:anchor="SENTENCIA_2013_25" w:history="1">
        <w:r w:rsidRPr="00E27756">
          <w:rPr>
            <w:rStyle w:val="TextoNormalCaracter"/>
          </w:rPr>
          <w:t>25/2013</w:t>
        </w:r>
      </w:hyperlink>
      <w:r>
        <w:t>.</w:t>
      </w:r>
    </w:p>
    <w:p w:rsidR="00E27756" w:rsidRDefault="00E27756" w:rsidP="00E27756">
      <w:pPr>
        <w:pStyle w:val="SangriaFrancesaArticulo"/>
      </w:pPr>
      <w:r w:rsidRPr="00E27756">
        <w:rPr>
          <w:rStyle w:val="TextoNormalNegritaCaracter"/>
        </w:rPr>
        <w:t>Artículo 12.3.</w:t>
      </w:r>
      <w:r w:rsidRPr="00E27756">
        <w:rPr>
          <w:rStyle w:val="TextoNormalCaracter"/>
        </w:rPr>
        <w:t>-</w:t>
      </w:r>
      <w:r>
        <w:t xml:space="preserve"> Sentencia </w:t>
      </w:r>
      <w:hyperlink w:anchor="SENTENCIA_2013_25" w:history="1">
        <w:r w:rsidRPr="00E27756">
          <w:rPr>
            <w:rStyle w:val="TextoNormalCaracter"/>
          </w:rPr>
          <w:t>25/2013</w:t>
        </w:r>
      </w:hyperlink>
      <w:r>
        <w:t>.</w:t>
      </w:r>
    </w:p>
    <w:p w:rsidR="00E27756" w:rsidRDefault="00E27756" w:rsidP="00E27756">
      <w:pPr>
        <w:pStyle w:val="SangriaFrancesaArticulo"/>
      </w:pPr>
      <w:r w:rsidRPr="00E27756">
        <w:rPr>
          <w:rStyle w:val="TextoNormalNegritaCaracter"/>
        </w:rPr>
        <w:t>Artículo 37.3.</w:t>
      </w:r>
      <w:r w:rsidRPr="00E27756">
        <w:rPr>
          <w:rStyle w:val="TextoNormalCaracter"/>
        </w:rPr>
        <w:t>-</w:t>
      </w:r>
      <w:r>
        <w:t xml:space="preserve"> Sentencia </w:t>
      </w:r>
      <w:hyperlink w:anchor="SENTENCIA_2013_25" w:history="1">
        <w:r w:rsidRPr="00E27756">
          <w:rPr>
            <w:rStyle w:val="TextoNormalCaracter"/>
          </w:rPr>
          <w:t>25/2013</w:t>
        </w:r>
      </w:hyperlink>
      <w:r>
        <w:t>.</w:t>
      </w:r>
    </w:p>
    <w:p w:rsidR="00E27756" w:rsidRDefault="00E27756" w:rsidP="00E27756">
      <w:pPr>
        <w:pStyle w:val="SangriaFrancesaArticulo"/>
      </w:pPr>
    </w:p>
    <w:p w:rsidR="00E27756" w:rsidRDefault="00E27756" w:rsidP="00E27756">
      <w:pPr>
        <w:pStyle w:val="TextoNormalNegritaCursivandice"/>
      </w:pPr>
      <w:r>
        <w:t>Real Decreto 1631/2006, de 29 de diciembre. Establece las enseñanzas mínimas correspondientes a la educación secundaria obligatoria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4" w:history="1">
        <w:r w:rsidRPr="00E27756">
          <w:rPr>
            <w:rStyle w:val="TextoNormalCaracter"/>
          </w:rPr>
          <w:t>24/2013</w:t>
        </w:r>
      </w:hyperlink>
      <w:r>
        <w:t>.</w:t>
      </w:r>
    </w:p>
    <w:p w:rsidR="00E27756" w:rsidRDefault="00E27756" w:rsidP="00E27756">
      <w:pPr>
        <w:pStyle w:val="SangriaFrancesaArticulo"/>
      </w:pPr>
    </w:p>
    <w:p w:rsidR="00E27756" w:rsidRDefault="00E27756" w:rsidP="00E27756">
      <w:pPr>
        <w:pStyle w:val="TextoNormalNegritaCursivandice"/>
      </w:pPr>
      <w:r>
        <w:lastRenderedPageBreak/>
        <w:t>Orden TAS/1051/2007, de 18 de abril. Se establecen las bases reguladoras y se convoca la concesión de subvenciones para la realización de programas de cooperación y voluntariado sociales con cargo a la asignación tributaria del impuesto sobre la renta de las personas físicas</w:t>
      </w:r>
    </w:p>
    <w:p w:rsidR="00E27756" w:rsidRDefault="00E27756" w:rsidP="00E27756">
      <w:pPr>
        <w:pStyle w:val="SangriaFrancesaArticulo"/>
      </w:pPr>
      <w:r w:rsidRPr="00E27756">
        <w:rPr>
          <w:rStyle w:val="TextoNormalNegritaCaracter"/>
        </w:rPr>
        <w:t>Artículo 1 excepto objeto convocatoria.</w:t>
      </w:r>
      <w:r w:rsidRPr="00E27756">
        <w:rPr>
          <w:rStyle w:val="TextoNormalCaracter"/>
        </w:rPr>
        <w:t>-</w:t>
      </w:r>
      <w:r>
        <w:t xml:space="preserve"> Sentencia </w:t>
      </w:r>
      <w:hyperlink w:anchor="SENTENCIA_2013_40" w:history="1">
        <w:r w:rsidRPr="00E27756">
          <w:rPr>
            <w:rStyle w:val="TextoNormalCaracter"/>
          </w:rPr>
          <w:t>40/2013</w:t>
        </w:r>
      </w:hyperlink>
      <w:r>
        <w:t xml:space="preserve"> (declara vulnerado el orden competencial).</w:t>
      </w:r>
    </w:p>
    <w:p w:rsidR="00E27756" w:rsidRDefault="00E27756" w:rsidP="00E27756">
      <w:pPr>
        <w:pStyle w:val="SangriaFrancesaArticulo"/>
      </w:pPr>
      <w:r w:rsidRPr="00E27756">
        <w:rPr>
          <w:rStyle w:val="TextoNormalNegritaCaracter"/>
        </w:rPr>
        <w:t>Artículos 5, 6, 7.</w:t>
      </w:r>
      <w:r w:rsidRPr="00E27756">
        <w:rPr>
          <w:rStyle w:val="TextoNormalCaracter"/>
        </w:rPr>
        <w:t>-</w:t>
      </w:r>
      <w:r>
        <w:t xml:space="preserve"> Sentencia </w:t>
      </w:r>
      <w:hyperlink w:anchor="SENTENCIA_2013_40" w:history="1">
        <w:r w:rsidRPr="00E27756">
          <w:rPr>
            <w:rStyle w:val="TextoNormalCaracter"/>
          </w:rPr>
          <w:t>40/2013</w:t>
        </w:r>
      </w:hyperlink>
      <w:r>
        <w:t xml:space="preserve"> (declara vulnerado el orden competencial).</w:t>
      </w:r>
    </w:p>
    <w:p w:rsidR="00E27756" w:rsidRDefault="00E27756" w:rsidP="00E27756">
      <w:pPr>
        <w:pStyle w:val="SangriaFrancesaArticulo"/>
      </w:pPr>
      <w:r w:rsidRPr="00E27756">
        <w:rPr>
          <w:rStyle w:val="TextoNormalNegritaCaracter"/>
        </w:rPr>
        <w:t>Artículo 8 en cuanto establecimiento baremo aplicable.</w:t>
      </w:r>
      <w:r w:rsidRPr="00E27756">
        <w:rPr>
          <w:rStyle w:val="TextoNormalCaracter"/>
        </w:rPr>
        <w:t>-</w:t>
      </w:r>
      <w:r>
        <w:t xml:space="preserve"> Sentencia </w:t>
      </w:r>
      <w:hyperlink w:anchor="SENTENCIA_2013_40" w:history="1">
        <w:r w:rsidRPr="00E27756">
          <w:rPr>
            <w:rStyle w:val="TextoNormalCaracter"/>
          </w:rPr>
          <w:t>40/2013</w:t>
        </w:r>
      </w:hyperlink>
      <w:r>
        <w:t xml:space="preserve"> (declara vulnerado el orden competencial).</w:t>
      </w:r>
    </w:p>
    <w:p w:rsidR="00E27756" w:rsidRDefault="00E27756" w:rsidP="00E27756">
      <w:pPr>
        <w:pStyle w:val="SangriaFrancesaArticulo"/>
      </w:pPr>
      <w:r w:rsidRPr="00E27756">
        <w:rPr>
          <w:rStyle w:val="TextoNormalNegritaCaracter"/>
        </w:rPr>
        <w:t>Artículos 9 al 20.</w:t>
      </w:r>
      <w:r w:rsidRPr="00E27756">
        <w:rPr>
          <w:rStyle w:val="TextoNormalCaracter"/>
        </w:rPr>
        <w:t>-</w:t>
      </w:r>
      <w:r>
        <w:t xml:space="preserve"> Sentencia </w:t>
      </w:r>
      <w:hyperlink w:anchor="SENTENCIA_2013_40" w:history="1">
        <w:r w:rsidRPr="00E27756">
          <w:rPr>
            <w:rStyle w:val="TextoNormalCaracter"/>
          </w:rPr>
          <w:t>40/2013</w:t>
        </w:r>
      </w:hyperlink>
      <w:r>
        <w:t xml:space="preserve"> (declara vulnerado el orden competencial).</w:t>
      </w:r>
    </w:p>
    <w:p w:rsidR="00E27756" w:rsidRDefault="00E27756" w:rsidP="00E27756">
      <w:pPr>
        <w:pStyle w:val="SangriaFrancesaArticulo"/>
      </w:pPr>
      <w:r w:rsidRPr="00E27756">
        <w:rPr>
          <w:rStyle w:val="TextoNormalNegritaCaracter"/>
        </w:rPr>
        <w:t>Anexos C y I a IV.</w:t>
      </w:r>
      <w:r w:rsidRPr="00E27756">
        <w:rPr>
          <w:rStyle w:val="TextoNormalCaracter"/>
        </w:rPr>
        <w:t>-</w:t>
      </w:r>
      <w:r>
        <w:t xml:space="preserve"> Sentencia </w:t>
      </w:r>
      <w:hyperlink w:anchor="SENTENCIA_2013_40" w:history="1">
        <w:r w:rsidRPr="00E27756">
          <w:rPr>
            <w:rStyle w:val="TextoNormalCaracter"/>
          </w:rPr>
          <w:t>40/2013</w:t>
        </w:r>
      </w:hyperlink>
      <w:r>
        <w:t xml:space="preserve"> (declara vulnerado el orden competencial).</w:t>
      </w:r>
    </w:p>
    <w:p w:rsidR="00E27756" w:rsidRDefault="00E27756" w:rsidP="00E27756">
      <w:pPr>
        <w:pStyle w:val="SangriaFrancesaArticulo"/>
      </w:pPr>
    </w:p>
    <w:p w:rsidR="00E27756" w:rsidRDefault="00E27756" w:rsidP="00E27756">
      <w:pPr>
        <w:pStyle w:val="TextoNormalNegritaCursivandice"/>
      </w:pPr>
      <w:r>
        <w:t>Orden TIN/2158/2008, de 18 de julio. Se establecen las bases reguladoras para la concesión de las subvenciones a entidades locales para el desarrollo de programas innovadores a favor de la integración de inmigrantes</w:t>
      </w:r>
    </w:p>
    <w:p w:rsidR="00E27756" w:rsidRDefault="00E27756" w:rsidP="00E27756">
      <w:pPr>
        <w:pStyle w:val="SangriaFrancesaArticulo"/>
      </w:pPr>
      <w:r w:rsidRPr="00E27756">
        <w:rPr>
          <w:rStyle w:val="TextoNormalNegritaCaracter"/>
        </w:rPr>
        <w:t>Artículos 4 a 19.</w:t>
      </w:r>
      <w:r w:rsidRPr="00E27756">
        <w:rPr>
          <w:rStyle w:val="TextoNormalCaracter"/>
        </w:rPr>
        <w:t>-</w:t>
      </w:r>
      <w:r>
        <w:t xml:space="preserve"> Sentencia </w:t>
      </w:r>
      <w:hyperlink w:anchor="SENTENCIA_2013_26" w:history="1">
        <w:r w:rsidRPr="00E27756">
          <w:rPr>
            <w:rStyle w:val="TextoNormalCaracter"/>
          </w:rPr>
          <w:t>26/2013</w:t>
        </w:r>
      </w:hyperlink>
      <w:r>
        <w:t xml:space="preserve"> (declara vulnerado el orden competencial).</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Sentencia </w:t>
      </w:r>
      <w:hyperlink w:anchor="SENTENCIA_2013_26" w:history="1">
        <w:r w:rsidRPr="00E27756">
          <w:rPr>
            <w:rStyle w:val="TextoNormalCaracter"/>
          </w:rPr>
          <w:t>26/2013</w:t>
        </w:r>
      </w:hyperlink>
      <w:r>
        <w:t xml:space="preserve"> (declara vulnerado el orden competencial).</w:t>
      </w:r>
    </w:p>
    <w:p w:rsidR="00E27756" w:rsidRDefault="00E27756" w:rsidP="00E27756">
      <w:pPr>
        <w:pStyle w:val="SangriaFrancesaArticulo"/>
      </w:pPr>
    </w:p>
    <w:p w:rsidR="00E27756" w:rsidRDefault="00E27756" w:rsidP="00E27756">
      <w:pPr>
        <w:pStyle w:val="TextoNormalNegritaCursivandice"/>
      </w:pPr>
      <w:r>
        <w:t>Órdenes comunicadas del Ministerio de Fomento de 18, 28 y 30 de julio de 2008. Determinación de los servicios públicos esenciales para la comunidad a mantener durante las huelgas convocadas en los respectivos centros de trabajo en el aeropuerto de Barcelona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4" w:history="1">
        <w:r w:rsidRPr="00E27756">
          <w:rPr>
            <w:rStyle w:val="TextoNormalCaracter"/>
          </w:rPr>
          <w:t>124/2013</w:t>
        </w:r>
      </w:hyperlink>
      <w:r>
        <w:t>.</w:t>
      </w:r>
    </w:p>
    <w:p w:rsidR="00E27756" w:rsidRDefault="00E27756" w:rsidP="00E27756">
      <w:pPr>
        <w:pStyle w:val="SangriaFrancesaArticulo"/>
      </w:pPr>
    </w:p>
    <w:p w:rsidR="00E27756" w:rsidRDefault="00E27756" w:rsidP="00E27756">
      <w:pPr>
        <w:pStyle w:val="TextoNormalNegritaCursivandice"/>
      </w:pPr>
      <w:r>
        <w:t>Resolución de 11 de agosto de 2008, de la Dirección General de Integración de los Inmigrantes. Se convoca la concesión de subvenciones a municipios, mancomunidades de municipios y comarcas para el desarrollo de programas innovadores a favor de la integración de inmigrantes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6" w:history="1">
        <w:r w:rsidRPr="00E27756">
          <w:rPr>
            <w:rStyle w:val="TextoNormalCaracter"/>
          </w:rPr>
          <w:t>26/2013</w:t>
        </w:r>
      </w:hyperlink>
      <w:r>
        <w:t xml:space="preserve"> (declara vulnerado el orden competencial).</w:t>
      </w:r>
    </w:p>
    <w:p w:rsidR="00E27756" w:rsidRDefault="00E27756" w:rsidP="00E27756">
      <w:pPr>
        <w:pStyle w:val="SangriaFrancesaArticulo"/>
      </w:pPr>
    </w:p>
    <w:p w:rsidR="00E27756" w:rsidRDefault="00E27756" w:rsidP="00E27756">
      <w:pPr>
        <w:pStyle w:val="TextoNormalNegritaCursivandice"/>
      </w:pPr>
      <w:r>
        <w:t>Real Decreto 2066/2008, de 12 de diciembre. Plan Estatal de Vivienda y Rehabilitación 2009-2012</w:t>
      </w:r>
    </w:p>
    <w:p w:rsidR="00E27756" w:rsidRDefault="00E27756" w:rsidP="00E27756">
      <w:pPr>
        <w:pStyle w:val="SangriaFrancesaArticulo"/>
      </w:pPr>
      <w:r w:rsidRPr="00E27756">
        <w:rPr>
          <w:rStyle w:val="TextoNormalNegritaCaracter"/>
        </w:rPr>
        <w:t>Artículo 3.1 b).</w:t>
      </w:r>
      <w:r w:rsidRPr="00E27756">
        <w:rPr>
          <w:rStyle w:val="TextoNormalCaracter"/>
        </w:rPr>
        <w:t>-</w:t>
      </w:r>
      <w:r>
        <w:t xml:space="preserve"> Sentencias </w:t>
      </w:r>
      <w:hyperlink w:anchor="SENTENCIA_2013_112" w:history="1">
        <w:r w:rsidRPr="00E27756">
          <w:rPr>
            <w:rStyle w:val="TextoNormalCaracter"/>
          </w:rPr>
          <w:t>112/2013</w:t>
        </w:r>
      </w:hyperlink>
      <w:r>
        <w:t xml:space="preserve">; </w:t>
      </w:r>
      <w:hyperlink w:anchor="SENTENCIA_2013_112" w:history="1">
        <w:r w:rsidRPr="00E27756">
          <w:rPr>
            <w:rStyle w:val="TextoNormalCaracter"/>
          </w:rPr>
          <w:t>112/2013</w:t>
        </w:r>
      </w:hyperlink>
      <w:r>
        <w:t>.</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Sentencias </w:t>
      </w:r>
      <w:hyperlink w:anchor="SENTENCIA_2013_112" w:history="1">
        <w:r w:rsidRPr="00E27756">
          <w:rPr>
            <w:rStyle w:val="TextoNormalCaracter"/>
          </w:rPr>
          <w:t>112/2013</w:t>
        </w:r>
      </w:hyperlink>
      <w:r>
        <w:t xml:space="preserve">; </w:t>
      </w:r>
      <w:hyperlink w:anchor="SENTENCIA_2013_112" w:history="1">
        <w:r w:rsidRPr="00E27756">
          <w:rPr>
            <w:rStyle w:val="TextoNormalCaracter"/>
          </w:rPr>
          <w:t>112/2013</w:t>
        </w:r>
      </w:hyperlink>
      <w:r>
        <w:t>.</w:t>
      </w:r>
    </w:p>
    <w:p w:rsidR="00E27756" w:rsidRDefault="00E27756" w:rsidP="00E27756">
      <w:pPr>
        <w:pStyle w:val="SangriaFrancesaArticulo"/>
      </w:pPr>
    </w:p>
    <w:p w:rsidR="00E27756" w:rsidRDefault="00E27756" w:rsidP="00E27756">
      <w:pPr>
        <w:pStyle w:val="TextoNormalNegritaCursivandice"/>
      </w:pPr>
      <w:r>
        <w:t>Orden SAS/1352/2009, del Ministerio de Sanidad y Política Social, de 26 de mayo. Bases reguladoras y convocatoria de concesión de subvenciones para la realización de programas de cooperación y voluntariado sociales</w:t>
      </w:r>
    </w:p>
    <w:p w:rsidR="00E27756" w:rsidRDefault="00E27756" w:rsidP="00E27756">
      <w:pPr>
        <w:pStyle w:val="SangriaFrancesaArticulo"/>
      </w:pPr>
      <w:r w:rsidRPr="00E27756">
        <w:rPr>
          <w:rStyle w:val="TextoNormalNegritaCaracter"/>
        </w:rPr>
        <w:t>Artículo 1 excepto inciso objeto de la convocatoria.</w:t>
      </w:r>
      <w:r w:rsidRPr="00E27756">
        <w:rPr>
          <w:rStyle w:val="TextoNormalCaracter"/>
        </w:rPr>
        <w:t>-</w:t>
      </w:r>
      <w:r>
        <w:t xml:space="preserve"> Sentencia </w:t>
      </w:r>
      <w:hyperlink w:anchor="SENTENCIA_2013_52" w:history="1">
        <w:r w:rsidRPr="00E27756">
          <w:rPr>
            <w:rStyle w:val="TextoNormalCaracter"/>
          </w:rPr>
          <w:t>52/2013</w:t>
        </w:r>
      </w:hyperlink>
      <w:r>
        <w:t xml:space="preserve"> (declara vulnerado el orden competencial).</w:t>
      </w:r>
    </w:p>
    <w:p w:rsidR="00E27756" w:rsidRDefault="00E27756" w:rsidP="00E27756">
      <w:pPr>
        <w:pStyle w:val="SangriaFrancesaArticulo"/>
      </w:pPr>
      <w:r w:rsidRPr="00E27756">
        <w:rPr>
          <w:rStyle w:val="TextoNormalNegritaCaracter"/>
        </w:rPr>
        <w:t>Artículo 1 excepto inciso sobre objeto de la convocatoria.</w:t>
      </w:r>
      <w:r w:rsidRPr="00E27756">
        <w:rPr>
          <w:rStyle w:val="TextoNormalCaracter"/>
        </w:rPr>
        <w:t>-</w:t>
      </w:r>
      <w:r>
        <w:t xml:space="preserve"> Sentencia </w:t>
      </w:r>
      <w:hyperlink w:anchor="SENTENCIA_2013_52" w:history="1">
        <w:r w:rsidRPr="00E27756">
          <w:rPr>
            <w:rStyle w:val="TextoNormalCaracter"/>
          </w:rPr>
          <w:t>52/2013</w:t>
        </w:r>
      </w:hyperlink>
      <w:r>
        <w:t xml:space="preserve"> (declara vulnerado el orden competencial).</w:t>
      </w:r>
    </w:p>
    <w:p w:rsidR="00E27756" w:rsidRDefault="00E27756" w:rsidP="00E27756">
      <w:pPr>
        <w:pStyle w:val="SangriaFrancesaArticulo"/>
      </w:pPr>
      <w:r w:rsidRPr="00E27756">
        <w:rPr>
          <w:rStyle w:val="TextoNormalNegritaCaracter"/>
        </w:rPr>
        <w:t>Artículos 6 a 8, 10 a 21.</w:t>
      </w:r>
      <w:r w:rsidRPr="00E27756">
        <w:rPr>
          <w:rStyle w:val="TextoNormalCaracter"/>
        </w:rPr>
        <w:t>-</w:t>
      </w:r>
      <w:r>
        <w:t xml:space="preserve"> Sentencia </w:t>
      </w:r>
      <w:hyperlink w:anchor="SENTENCIA_2013_52" w:history="1">
        <w:r w:rsidRPr="00E27756">
          <w:rPr>
            <w:rStyle w:val="TextoNormalCaracter"/>
          </w:rPr>
          <w:t>52/2013</w:t>
        </w:r>
      </w:hyperlink>
      <w:r>
        <w:t xml:space="preserve"> (declara vulnerado el orden competencial).</w:t>
      </w:r>
    </w:p>
    <w:p w:rsidR="00E27756" w:rsidRDefault="00E27756" w:rsidP="00E27756">
      <w:pPr>
        <w:pStyle w:val="SangriaFrancesaArticulo"/>
      </w:pPr>
      <w:r w:rsidRPr="00E27756">
        <w:rPr>
          <w:rStyle w:val="TextoNormalNegritaCaracter"/>
        </w:rPr>
        <w:t>Artículo 9 en cuanto baremo aplicable.</w:t>
      </w:r>
      <w:r w:rsidRPr="00E27756">
        <w:rPr>
          <w:rStyle w:val="TextoNormalCaracter"/>
        </w:rPr>
        <w:t>-</w:t>
      </w:r>
      <w:r>
        <w:t xml:space="preserve"> Sentencia </w:t>
      </w:r>
      <w:hyperlink w:anchor="SENTENCIA_2013_52" w:history="1">
        <w:r w:rsidRPr="00E27756">
          <w:rPr>
            <w:rStyle w:val="TextoNormalCaracter"/>
          </w:rPr>
          <w:t>52/2013</w:t>
        </w:r>
      </w:hyperlink>
      <w:r>
        <w:t xml:space="preserve"> (declara vulnerado el orden competencial).</w:t>
      </w:r>
    </w:p>
    <w:p w:rsidR="00E27756" w:rsidRDefault="00E27756" w:rsidP="00E27756">
      <w:pPr>
        <w:pStyle w:val="SangriaFrancesaArticulo"/>
      </w:pPr>
      <w:r w:rsidRPr="00E27756">
        <w:rPr>
          <w:rStyle w:val="TextoNormalNegritaCaracter"/>
        </w:rPr>
        <w:t>Anexos C, I a IV.</w:t>
      </w:r>
      <w:r w:rsidRPr="00E27756">
        <w:rPr>
          <w:rStyle w:val="TextoNormalCaracter"/>
        </w:rPr>
        <w:t>-</w:t>
      </w:r>
      <w:r>
        <w:t xml:space="preserve"> Sentencia </w:t>
      </w:r>
      <w:hyperlink w:anchor="SENTENCIA_2013_52" w:history="1">
        <w:r w:rsidRPr="00E27756">
          <w:rPr>
            <w:rStyle w:val="TextoNormalCaracter"/>
          </w:rPr>
          <w:t>52/2013</w:t>
        </w:r>
      </w:hyperlink>
      <w:r>
        <w:t xml:space="preserve"> (declara vulnerado el orden competencial).</w:t>
      </w:r>
    </w:p>
    <w:p w:rsidR="00E27756" w:rsidRDefault="00E27756" w:rsidP="00E27756">
      <w:pPr>
        <w:pStyle w:val="SangriaFrancesaArticulo"/>
      </w:pPr>
    </w:p>
    <w:p w:rsidR="00E27756" w:rsidRDefault="00E27756" w:rsidP="00E27756">
      <w:pPr>
        <w:pStyle w:val="TextoNormalNegritaCursivandice"/>
      </w:pPr>
      <w:r>
        <w:t>Orden ARM/1593/2009, del Ministerio de Medio Ambiente y Medio Rural y Marino, de 5 de junio. Bases reguladoras para la concesión de subvenciones a asociaciones declaradas de utilidad pública y fundaciones, para fines de interés social de carácter medioambiental</w:t>
      </w:r>
    </w:p>
    <w:p w:rsidR="00E27756" w:rsidRDefault="00E27756" w:rsidP="00E27756">
      <w:pPr>
        <w:pStyle w:val="SangriaFrancesaArticulo"/>
      </w:pPr>
      <w:r w:rsidRPr="00E27756">
        <w:rPr>
          <w:rStyle w:val="TextoNormalNegritaCaracter"/>
        </w:rPr>
        <w:t>Artículo 1 expresión "por su naturaleza no sean susceptibles de territorialización".</w:t>
      </w:r>
      <w:r w:rsidRPr="00E27756">
        <w:rPr>
          <w:rStyle w:val="TextoNormalCaracter"/>
        </w:rPr>
        <w:t>-</w:t>
      </w:r>
      <w:r>
        <w:t xml:space="preserve"> Sentencia </w:t>
      </w:r>
      <w:hyperlink w:anchor="SENTENCIA_2013_113" w:history="1">
        <w:r w:rsidRPr="00E27756">
          <w:rPr>
            <w:rStyle w:val="TextoNormalCaracter"/>
          </w:rPr>
          <w:t>113/2013</w:t>
        </w:r>
      </w:hyperlink>
      <w:r>
        <w:t xml:space="preserve"> (declara vulnerado el orden competencial).</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113" w:history="1">
        <w:r w:rsidRPr="00E27756">
          <w:rPr>
            <w:rStyle w:val="TextoNormalCaracter"/>
          </w:rPr>
          <w:t>113/2013</w:t>
        </w:r>
      </w:hyperlink>
      <w:r>
        <w:t xml:space="preserve"> (declara vulnerado el orden competencial).</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113" w:history="1">
        <w:r w:rsidRPr="00E27756">
          <w:rPr>
            <w:rStyle w:val="TextoNormalCaracter"/>
          </w:rPr>
          <w:t>113/2013</w:t>
        </w:r>
      </w:hyperlink>
      <w:r>
        <w:t xml:space="preserve"> (declara vulnerado el orden competencial).</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Sentencia </w:t>
      </w:r>
      <w:hyperlink w:anchor="SENTENCIA_2013_113" w:history="1">
        <w:r w:rsidRPr="00E27756">
          <w:rPr>
            <w:rStyle w:val="TextoNormalCaracter"/>
          </w:rPr>
          <w:t>113/2013</w:t>
        </w:r>
      </w:hyperlink>
      <w:r>
        <w:t xml:space="preserve"> (declara vulnerado el orden competencial).</w:t>
      </w:r>
    </w:p>
    <w:p w:rsidR="00E27756" w:rsidRDefault="00E27756" w:rsidP="00E27756">
      <w:pPr>
        <w:pStyle w:val="SangriaFrancesaArticulo"/>
      </w:pPr>
    </w:p>
    <w:p w:rsidR="00E27756" w:rsidRDefault="00E27756" w:rsidP="00E27756">
      <w:pPr>
        <w:pStyle w:val="TextoNormalNegritaCursivandice"/>
      </w:pPr>
      <w:r>
        <w:t>Orden SSI/1199/2012, de 4 de junio. Se establecen las bases reguladoras y se convoca la concesión de subvenciones para la realización de programas de cooperación y voluntariado sociales con cargo a la asignación tributaria del impuesto sobre la renta de las personas físicas</w:t>
      </w:r>
    </w:p>
    <w:p w:rsidR="00E27756" w:rsidRDefault="00E27756" w:rsidP="00E27756">
      <w:pPr>
        <w:pStyle w:val="SangriaFrancesaArticulo"/>
      </w:pPr>
      <w:r w:rsidRPr="00E27756">
        <w:rPr>
          <w:rStyle w:val="TextoNormalNegritaCaracter"/>
        </w:rPr>
        <w:t>Artículo 1, excepto en lo que se refiere al objeto de la convocatoria.</w:t>
      </w:r>
      <w:r w:rsidRPr="00E27756">
        <w:rPr>
          <w:rStyle w:val="TextoNormalCaracter"/>
        </w:rPr>
        <w:t>-</w:t>
      </w:r>
      <w:r>
        <w:t xml:space="preserve"> Sentencia </w:t>
      </w:r>
      <w:hyperlink w:anchor="SENTENCIA_2013_70" w:history="1">
        <w:r w:rsidRPr="00E27756">
          <w:rPr>
            <w:rStyle w:val="TextoNormalCaracter"/>
          </w:rPr>
          <w:t>70/2013</w:t>
        </w:r>
      </w:hyperlink>
      <w:r>
        <w:t xml:space="preserve"> (declara vulnerado el orden competencial).</w:t>
      </w:r>
    </w:p>
    <w:p w:rsidR="00E27756" w:rsidRDefault="00E27756" w:rsidP="00E27756">
      <w:pPr>
        <w:pStyle w:val="SangriaFrancesaArticulo"/>
      </w:pPr>
      <w:r w:rsidRPr="00E27756">
        <w:rPr>
          <w:rStyle w:val="TextoNormalNegritaCaracter"/>
        </w:rPr>
        <w:t>Artículos 6 a 8.</w:t>
      </w:r>
      <w:r w:rsidRPr="00E27756">
        <w:rPr>
          <w:rStyle w:val="TextoNormalCaracter"/>
        </w:rPr>
        <w:t>-</w:t>
      </w:r>
      <w:r>
        <w:t xml:space="preserve"> Sentencia </w:t>
      </w:r>
      <w:hyperlink w:anchor="SENTENCIA_2013_70" w:history="1">
        <w:r w:rsidRPr="00E27756">
          <w:rPr>
            <w:rStyle w:val="TextoNormalCaracter"/>
          </w:rPr>
          <w:t>70/2013</w:t>
        </w:r>
      </w:hyperlink>
      <w:r>
        <w:t xml:space="preserve"> (declara vulnerado el orden competencial).</w:t>
      </w:r>
    </w:p>
    <w:p w:rsidR="00E27756" w:rsidRDefault="00E27756" w:rsidP="00E27756">
      <w:pPr>
        <w:pStyle w:val="SangriaFrancesaArticulo"/>
      </w:pPr>
      <w:r w:rsidRPr="00E27756">
        <w:rPr>
          <w:rStyle w:val="TextoNormalNegritaCaracter"/>
        </w:rPr>
        <w:t>Artículo 9, en cuanto al establecimiento del baremo aplicable.</w:t>
      </w:r>
      <w:r w:rsidRPr="00E27756">
        <w:rPr>
          <w:rStyle w:val="TextoNormalCaracter"/>
        </w:rPr>
        <w:t>-</w:t>
      </w:r>
      <w:r>
        <w:t xml:space="preserve"> Sentencia </w:t>
      </w:r>
      <w:hyperlink w:anchor="SENTENCIA_2013_70" w:history="1">
        <w:r w:rsidRPr="00E27756">
          <w:rPr>
            <w:rStyle w:val="TextoNormalCaracter"/>
          </w:rPr>
          <w:t>70/2013</w:t>
        </w:r>
      </w:hyperlink>
      <w:r>
        <w:t xml:space="preserve"> (declara vulnerado el orden competencial).</w:t>
      </w:r>
    </w:p>
    <w:p w:rsidR="00E27756" w:rsidRDefault="00E27756" w:rsidP="00E27756">
      <w:pPr>
        <w:pStyle w:val="SangriaFrancesaArticulo"/>
      </w:pPr>
      <w:r w:rsidRPr="00E27756">
        <w:rPr>
          <w:rStyle w:val="TextoNormalNegritaCaracter"/>
        </w:rPr>
        <w:t>Artículos 10 a 21.</w:t>
      </w:r>
      <w:r w:rsidRPr="00E27756">
        <w:rPr>
          <w:rStyle w:val="TextoNormalCaracter"/>
        </w:rPr>
        <w:t>-</w:t>
      </w:r>
      <w:r>
        <w:t xml:space="preserve"> Sentencia </w:t>
      </w:r>
      <w:hyperlink w:anchor="SENTENCIA_2013_70" w:history="1">
        <w:r w:rsidRPr="00E27756">
          <w:rPr>
            <w:rStyle w:val="TextoNormalCaracter"/>
          </w:rPr>
          <w:t>70/2013</w:t>
        </w:r>
      </w:hyperlink>
      <w:r>
        <w:t xml:space="preserve"> (declara vulnerado el orden competencial).</w:t>
      </w:r>
    </w:p>
    <w:p w:rsidR="00E27756" w:rsidRDefault="00E27756" w:rsidP="00E27756">
      <w:pPr>
        <w:pStyle w:val="SangriaFrancesaArticulo"/>
      </w:pPr>
      <w:r w:rsidRPr="00E27756">
        <w:rPr>
          <w:rStyle w:val="TextoNormalNegritaCaracter"/>
        </w:rPr>
        <w:t>Anexos I a IV y C.</w:t>
      </w:r>
      <w:r w:rsidRPr="00E27756">
        <w:rPr>
          <w:rStyle w:val="TextoNormalCaracter"/>
        </w:rPr>
        <w:t>-</w:t>
      </w:r>
      <w:r>
        <w:t xml:space="preserve"> Sentencia </w:t>
      </w:r>
      <w:hyperlink w:anchor="SENTENCIA_2013_70" w:history="1">
        <w:r w:rsidRPr="00E27756">
          <w:rPr>
            <w:rStyle w:val="TextoNormalCaracter"/>
          </w:rPr>
          <w:t>70/2013</w:t>
        </w:r>
      </w:hyperlink>
      <w:r>
        <w:t xml:space="preserve"> (declara vulnerado el orden competencial).</w:t>
      </w:r>
    </w:p>
    <w:p w:rsidR="00E27756" w:rsidRDefault="00E27756" w:rsidP="00E27756">
      <w:pPr>
        <w:pStyle w:val="TextoNormal"/>
      </w:pPr>
    </w:p>
    <w:p w:rsidR="00E27756" w:rsidRDefault="00E27756" w:rsidP="00E27756">
      <w:pPr>
        <w:pStyle w:val="SangriaFrancesaArticulo"/>
      </w:pPr>
      <w:bookmarkStart w:id="293" w:name="INDICE22824"/>
    </w:p>
    <w:bookmarkEnd w:id="293"/>
    <w:p w:rsidR="00E27756" w:rsidRDefault="00E27756" w:rsidP="00E27756">
      <w:pPr>
        <w:pStyle w:val="TextoIndiceNivel2"/>
        <w:suppressAutoHyphens/>
      </w:pPr>
      <w:r>
        <w:t>B) Disposiciones de las Comunidades y Ciudades Autónomas</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B.1) Navarra</w:t>
      </w:r>
    </w:p>
    <w:p w:rsidR="00E27756" w:rsidRDefault="00E27756" w:rsidP="00E27756">
      <w:pPr>
        <w:pStyle w:val="TextoNormalNegritaCentrado"/>
      </w:pPr>
    </w:p>
    <w:p w:rsidR="00E27756" w:rsidRDefault="00E27756" w:rsidP="00E27756">
      <w:pPr>
        <w:pStyle w:val="TextoNormalNegritaCursivandice"/>
      </w:pPr>
      <w:r>
        <w:t>Decreto Foral del Gobierno de Navarra 117/2012, de 31 de octubre. Modifica el Decreto Foral 640/1996, de 18 de noviembre, por el que se establecen el procedimiento y las condiciones para el acceso a las prestaciones del régimen de universalización de la asistencia sanitaria pública en la Comunidad Foral de Navarra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87" w:history="1">
        <w:r w:rsidRPr="00E27756">
          <w:rPr>
            <w:rStyle w:val="TextoNormalCaracter"/>
          </w:rPr>
          <w:t>87/2013</w:t>
        </w:r>
      </w:hyperlink>
      <w:r>
        <w:t>.</w:t>
      </w:r>
    </w:p>
    <w:p w:rsidR="00E27756" w:rsidRDefault="00E27756">
      <w:pPr>
        <w:spacing w:after="160" w:line="259" w:lineRule="auto"/>
        <w:rPr>
          <w:rFonts w:ascii="Times New Roman" w:eastAsia="Times New Roman" w:hAnsi="Times New Roman" w:cs="Times New Roman"/>
          <w:sz w:val="24"/>
          <w:szCs w:val="24"/>
          <w:lang w:eastAsia="es-ES"/>
        </w:rPr>
      </w:pPr>
      <w:r>
        <w:br w:type="page"/>
      </w:r>
    </w:p>
    <w:p w:rsidR="00E27756" w:rsidRDefault="00E27756" w:rsidP="00E27756">
      <w:pPr>
        <w:pStyle w:val="SangriaFrancesaArticulo"/>
      </w:pPr>
    </w:p>
    <w:p w:rsidR="00E27756" w:rsidRDefault="00E27756" w:rsidP="00E27756">
      <w:pPr>
        <w:pStyle w:val="TextoNormal"/>
      </w:pPr>
    </w:p>
    <w:p w:rsidR="00E27756" w:rsidRDefault="00E27756" w:rsidP="00E27756">
      <w:pPr>
        <w:pStyle w:val="TextoNormal"/>
      </w:pPr>
    </w:p>
    <w:p w:rsidR="00E27756" w:rsidRDefault="00E27756" w:rsidP="00E27756">
      <w:pPr>
        <w:pStyle w:val="TextoNormal"/>
      </w:pPr>
    </w:p>
    <w:p w:rsidR="00E27756" w:rsidRDefault="00E27756" w:rsidP="00E27756">
      <w:pPr>
        <w:pStyle w:val="Ttulondice"/>
        <w:suppressAutoHyphens/>
      </w:pPr>
      <w:r>
        <w:t>5. ÍNDICE DE DISPOSICIONES CITADAS</w:t>
      </w: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pPr>
    </w:p>
    <w:p w:rsidR="00E27756" w:rsidRDefault="00E27756" w:rsidP="00E27756">
      <w:pPr>
        <w:pStyle w:val="TextoNormal"/>
      </w:pPr>
      <w:bookmarkStart w:id="294" w:name="INDICE22804"/>
      <w:bookmarkEnd w:id="294"/>
    </w:p>
    <w:p w:rsidR="00E27756" w:rsidRDefault="00E27756" w:rsidP="00E27756">
      <w:pPr>
        <w:pStyle w:val="TextoIndiceNivel2"/>
        <w:suppressAutoHyphens/>
      </w:pPr>
      <w:r>
        <w:t>A) Constitución</w:t>
      </w:r>
    </w:p>
    <w:p w:rsidR="00E27756" w:rsidRDefault="00E27756" w:rsidP="00E27756">
      <w:pPr>
        <w:pStyle w:val="TextoIndiceNivel2"/>
      </w:pPr>
    </w:p>
    <w:p w:rsidR="00E27756" w:rsidRDefault="00E27756" w:rsidP="00E27756">
      <w:pPr>
        <w:pStyle w:val="TextoNormalNegritaCursivandice"/>
      </w:pPr>
      <w:r>
        <w:t>Constitución de la República española, de 10 de diciembre de 1931</w:t>
      </w:r>
    </w:p>
    <w:p w:rsidR="00E27756" w:rsidRDefault="00E27756" w:rsidP="00E27756">
      <w:pPr>
        <w:pStyle w:val="SangriaFrancesaArticulo"/>
      </w:pPr>
      <w:r w:rsidRPr="00E27756">
        <w:rPr>
          <w:rStyle w:val="TextoNormalNegritaCaracter"/>
        </w:rPr>
        <w:t>Artículo 15.1.</w:t>
      </w:r>
      <w:r w:rsidRPr="00E27756">
        <w:rPr>
          <w:rStyle w:val="TextoNormalCaracter"/>
        </w:rPr>
        <w:t>-</w:t>
      </w:r>
      <w:r>
        <w:t xml:space="preserve"> Sentencia </w:t>
      </w:r>
      <w:hyperlink w:anchor="SENTENCIA_2013_93" w:history="1">
        <w:r w:rsidRPr="00E27756">
          <w:rPr>
            <w:rStyle w:val="TextoNormalCaracter"/>
          </w:rPr>
          <w:t>93/2013</w:t>
        </w:r>
      </w:hyperlink>
      <w:r>
        <w:t>, f. 6.</w:t>
      </w:r>
    </w:p>
    <w:p w:rsidR="00E27756" w:rsidRDefault="00E27756" w:rsidP="00E27756">
      <w:pPr>
        <w:pStyle w:val="SangriaIzquierdaArticulo"/>
      </w:pPr>
      <w:r>
        <w:t xml:space="preserve">Auto </w:t>
      </w:r>
      <w:hyperlink w:anchor="AUTO_2013_93" w:history="1">
        <w:r w:rsidRPr="00E27756">
          <w:rPr>
            <w:rStyle w:val="TextoNormalCaracter"/>
          </w:rPr>
          <w:t>93/2013</w:t>
        </w:r>
      </w:hyperlink>
      <w:r>
        <w:t>, f. 2.</w:t>
      </w:r>
    </w:p>
    <w:p w:rsidR="00E27756" w:rsidRDefault="00E27756" w:rsidP="00E27756">
      <w:pPr>
        <w:pStyle w:val="SangriaIzquierdaArticulo"/>
      </w:pPr>
    </w:p>
    <w:p w:rsidR="00E27756" w:rsidRDefault="00E27756" w:rsidP="00E27756">
      <w:pPr>
        <w:pStyle w:val="TextoNormalNegritaCursivandice"/>
      </w:pPr>
      <w:r>
        <w:t>Constitución española, de 27 de diciembre de 1978</w:t>
      </w:r>
    </w:p>
    <w:p w:rsidR="00E27756" w:rsidRDefault="00E27756" w:rsidP="00E27756">
      <w:pPr>
        <w:pStyle w:val="SangriaFrancesaArticulo"/>
      </w:pPr>
      <w:r w:rsidRPr="00E27756">
        <w:rPr>
          <w:rStyle w:val="TextoNormalNegritaCaracter"/>
        </w:rPr>
        <w:t>Título I, capítulo II.</w:t>
      </w:r>
      <w:r w:rsidRPr="00E27756">
        <w:rPr>
          <w:rStyle w:val="TextoNormalCaracter"/>
        </w:rPr>
        <w:t>-</w:t>
      </w:r>
      <w:r>
        <w:t xml:space="preserve"> Sentencia </w:t>
      </w:r>
      <w:hyperlink w:anchor="SENTENCIA_2013_128" w:history="1">
        <w:r w:rsidRPr="00E27756">
          <w:rPr>
            <w:rStyle w:val="TextoNormalCaracter"/>
          </w:rPr>
          <w:t>128/2013</w:t>
        </w:r>
      </w:hyperlink>
      <w:r>
        <w:t>, f. 3.</w:t>
      </w:r>
    </w:p>
    <w:p w:rsidR="00E27756" w:rsidRDefault="00E27756" w:rsidP="00E27756">
      <w:pPr>
        <w:pStyle w:val="SangriaFrancesaArticulo"/>
      </w:pPr>
      <w:r w:rsidRPr="00E27756">
        <w:rPr>
          <w:rStyle w:val="TextoNormalNegritaCaracter"/>
        </w:rPr>
        <w:t>Título I, capítulo II, sección primera.</w:t>
      </w:r>
      <w:r w:rsidRPr="00E27756">
        <w:rPr>
          <w:rStyle w:val="TextoNormalCaracter"/>
        </w:rPr>
        <w:t>-</w:t>
      </w:r>
      <w:r>
        <w:t xml:space="preserve"> Sentencia </w:t>
      </w:r>
      <w:hyperlink w:anchor="SENTENCIA_2013_133" w:history="1">
        <w:r w:rsidRPr="00E27756">
          <w:rPr>
            <w:rStyle w:val="TextoNormalCaracter"/>
          </w:rPr>
          <w:t>133/2013</w:t>
        </w:r>
      </w:hyperlink>
      <w:r>
        <w:t>, f. 6.</w:t>
      </w:r>
    </w:p>
    <w:p w:rsidR="00E27756" w:rsidRDefault="00E27756" w:rsidP="00E27756">
      <w:pPr>
        <w:pStyle w:val="SangriaFrancesaArticulo"/>
      </w:pPr>
      <w:r w:rsidRPr="00E27756">
        <w:rPr>
          <w:rStyle w:val="TextoNormalNegritaCaracter"/>
        </w:rPr>
        <w:t>Título I, capítulo III.</w:t>
      </w:r>
      <w:r w:rsidRPr="00E27756">
        <w:rPr>
          <w:rStyle w:val="TextoNormalCaracter"/>
        </w:rPr>
        <w:t>-</w:t>
      </w:r>
      <w:r>
        <w:t xml:space="preserve"> Sentencias </w:t>
      </w:r>
      <w:hyperlink w:anchor="SENTENCIA_2013_21" w:history="1">
        <w:r w:rsidRPr="00E27756">
          <w:rPr>
            <w:rStyle w:val="TextoNormalCaracter"/>
          </w:rPr>
          <w:t>21/2013</w:t>
        </w:r>
      </w:hyperlink>
      <w:r>
        <w:t xml:space="preserve">, f. 5; </w:t>
      </w:r>
      <w:hyperlink w:anchor="SENTENCIA_2013_26" w:history="1">
        <w:r w:rsidRPr="00E27756">
          <w:rPr>
            <w:rStyle w:val="TextoNormalCaracter"/>
          </w:rPr>
          <w:t>26/2013</w:t>
        </w:r>
      </w:hyperlink>
      <w:r>
        <w:t xml:space="preserve">, f. 6; </w:t>
      </w:r>
      <w:hyperlink w:anchor="SENTENCIA_2013_40" w:history="1">
        <w:r w:rsidRPr="00E27756">
          <w:rPr>
            <w:rStyle w:val="TextoNormalCaracter"/>
          </w:rPr>
          <w:t>40/2013</w:t>
        </w:r>
      </w:hyperlink>
      <w:r>
        <w:t xml:space="preserve">, f. 5; </w:t>
      </w:r>
      <w:hyperlink w:anchor="SENTENCIA_2013_52" w:history="1">
        <w:r w:rsidRPr="00E27756">
          <w:rPr>
            <w:rStyle w:val="TextoNormalCaracter"/>
          </w:rPr>
          <w:t>52/2013</w:t>
        </w:r>
      </w:hyperlink>
      <w:r>
        <w:t>, f. 5.</w:t>
      </w:r>
    </w:p>
    <w:p w:rsidR="00E27756" w:rsidRDefault="00E27756" w:rsidP="00E27756">
      <w:pPr>
        <w:pStyle w:val="SangriaFrancesaArticulo"/>
      </w:pPr>
      <w:r w:rsidRPr="00E27756">
        <w:rPr>
          <w:rStyle w:val="TextoNormalNegritaCaracter"/>
        </w:rPr>
        <w:t>Título VIII.</w:t>
      </w:r>
      <w:r w:rsidRPr="00E27756">
        <w:rPr>
          <w:rStyle w:val="TextoNormalCaracter"/>
        </w:rPr>
        <w:t>-</w:t>
      </w:r>
      <w:r>
        <w:t xml:space="preserve"> Sentencia </w:t>
      </w:r>
      <w:hyperlink w:anchor="SENTENCIA_2013_96" w:history="1">
        <w:r w:rsidRPr="00E27756">
          <w:rPr>
            <w:rStyle w:val="TextoNormalCaracter"/>
          </w:rPr>
          <w:t>96/2013</w:t>
        </w:r>
      </w:hyperlink>
      <w:r>
        <w:t>, f. 4.</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Sentencia </w:t>
      </w:r>
      <w:hyperlink w:anchor="SENTENCIA_2013_20" w:history="1">
        <w:r w:rsidRPr="00E27756">
          <w:rPr>
            <w:rStyle w:val="TextoNormalCaracter"/>
          </w:rPr>
          <w:t>20/2013</w:t>
        </w:r>
      </w:hyperlink>
      <w:r>
        <w:t>, f. 8.</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Auto </w:t>
      </w:r>
      <w:hyperlink w:anchor="AUTO_2013_73" w:history="1">
        <w:r w:rsidRPr="00E27756">
          <w:rPr>
            <w:rStyle w:val="TextoNormalCaracter"/>
          </w:rPr>
          <w:t>73/2013</w:t>
        </w:r>
      </w:hyperlink>
      <w:r>
        <w:t>, f. único.</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Sentencias </w:t>
      </w:r>
      <w:hyperlink w:anchor="SENTENCIA_2013_4" w:history="1">
        <w:r w:rsidRPr="00E27756">
          <w:rPr>
            <w:rStyle w:val="TextoNormalCaracter"/>
          </w:rPr>
          <w:t>4/2013</w:t>
        </w:r>
      </w:hyperlink>
      <w:r>
        <w:t xml:space="preserve">, f. 8; </w:t>
      </w:r>
      <w:hyperlink w:anchor="SENTENCIA_2013_36" w:history="1">
        <w:r w:rsidRPr="00E27756">
          <w:rPr>
            <w:rStyle w:val="TextoNormalCaracter"/>
          </w:rPr>
          <w:t>36/2013</w:t>
        </w:r>
      </w:hyperlink>
      <w:r>
        <w:t xml:space="preserve">, f. 1; </w:t>
      </w:r>
      <w:hyperlink w:anchor="SENTENCIA_2013_93" w:history="1">
        <w:r w:rsidRPr="00E27756">
          <w:rPr>
            <w:rStyle w:val="TextoNormalCaracter"/>
          </w:rPr>
          <w:t>93/2013</w:t>
        </w:r>
      </w:hyperlink>
      <w:r>
        <w:t xml:space="preserve">, f. 8; </w:t>
      </w:r>
      <w:hyperlink w:anchor="SENTENCIA_2013_103" w:history="1">
        <w:r w:rsidRPr="00E27756">
          <w:rPr>
            <w:rStyle w:val="TextoNormalCaracter"/>
          </w:rPr>
          <w:t>103/2013</w:t>
        </w:r>
      </w:hyperlink>
      <w:r>
        <w:t xml:space="preserve">, ff. 1, 7; </w:t>
      </w:r>
      <w:hyperlink w:anchor="SENTENCIA_2013_125" w:history="1">
        <w:r w:rsidRPr="00E27756">
          <w:rPr>
            <w:rStyle w:val="TextoNormalCaracter"/>
          </w:rPr>
          <w:t>125/2013</w:t>
        </w:r>
      </w:hyperlink>
      <w:r>
        <w:t xml:space="preserve">, f. 7; </w:t>
      </w:r>
      <w:hyperlink w:anchor="SENTENCIA_2013_129" w:history="1">
        <w:r w:rsidRPr="00E27756">
          <w:rPr>
            <w:rStyle w:val="TextoNormalCaracter"/>
          </w:rPr>
          <w:t>129/2013</w:t>
        </w:r>
      </w:hyperlink>
      <w:r>
        <w:t xml:space="preserve">, ff. 1, 10; </w:t>
      </w:r>
      <w:hyperlink w:anchor="SENTENCIA_2013_132" w:history="1">
        <w:r w:rsidRPr="00E27756">
          <w:rPr>
            <w:rStyle w:val="TextoNormalCaracter"/>
          </w:rPr>
          <w:t>132/2013</w:t>
        </w:r>
      </w:hyperlink>
      <w:r>
        <w:t>, ff. 1, 3.</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Sentencias </w:t>
      </w:r>
      <w:hyperlink w:anchor="SENTENCIA_2013_8" w:history="1">
        <w:r w:rsidRPr="00E27756">
          <w:rPr>
            <w:rStyle w:val="TextoNormalCaracter"/>
          </w:rPr>
          <w:t>8/2013</w:t>
        </w:r>
      </w:hyperlink>
      <w:r>
        <w:t xml:space="preserve">, f. 5; </w:t>
      </w:r>
      <w:hyperlink w:anchor="SENTENCIA_2013_19" w:history="1">
        <w:r w:rsidRPr="00E27756">
          <w:rPr>
            <w:rStyle w:val="TextoNormalCaracter"/>
          </w:rPr>
          <w:t>19/2013</w:t>
        </w:r>
      </w:hyperlink>
      <w:r>
        <w:t xml:space="preserve">, f. 2; </w:t>
      </w:r>
      <w:hyperlink w:anchor="SENTENCIA_2013_96" w:history="1">
        <w:r w:rsidRPr="00E27756">
          <w:rPr>
            <w:rStyle w:val="TextoNormalCaracter"/>
          </w:rPr>
          <w:t>96/2013</w:t>
        </w:r>
      </w:hyperlink>
      <w:r>
        <w:t xml:space="preserve">, ff. 1, 3, 4; </w:t>
      </w:r>
      <w:hyperlink w:anchor="SENTENCIA_2013_99" w:history="1">
        <w:r w:rsidRPr="00E27756">
          <w:rPr>
            <w:rStyle w:val="TextoNormalCaracter"/>
          </w:rPr>
          <w:t>99/2013</w:t>
        </w:r>
      </w:hyperlink>
      <w:r>
        <w:t xml:space="preserve">, f. 5; </w:t>
      </w:r>
      <w:hyperlink w:anchor="SENTENCIA_2013_100" w:history="1">
        <w:r w:rsidRPr="00E27756">
          <w:rPr>
            <w:rStyle w:val="TextoNormalCaracter"/>
          </w:rPr>
          <w:t>100/2013</w:t>
        </w:r>
      </w:hyperlink>
      <w:r>
        <w:t xml:space="preserve">, ff. 1, 2; </w:t>
      </w:r>
      <w:hyperlink w:anchor="SENTENCIA_2013_101" w:history="1">
        <w:r w:rsidRPr="00E27756">
          <w:rPr>
            <w:rStyle w:val="TextoNormalCaracter"/>
          </w:rPr>
          <w:t>101/2013</w:t>
        </w:r>
      </w:hyperlink>
      <w:r>
        <w:t xml:space="preserve">, f. 3; </w:t>
      </w:r>
      <w:hyperlink w:anchor="SENTENCIA_2013_137" w:history="1">
        <w:r w:rsidRPr="00E27756">
          <w:rPr>
            <w:rStyle w:val="TextoNormalCaracter"/>
          </w:rPr>
          <w:t>137/2013</w:t>
        </w:r>
      </w:hyperlink>
      <w:r>
        <w:t>, f. 6.</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Sentencias </w:t>
      </w:r>
      <w:hyperlink w:anchor="SENTENCIA_2013_15" w:history="1">
        <w:r w:rsidRPr="00E27756">
          <w:rPr>
            <w:rStyle w:val="TextoNormalCaracter"/>
          </w:rPr>
          <w:t>15/2013</w:t>
        </w:r>
      </w:hyperlink>
      <w:r>
        <w:t xml:space="preserve">, f. 3; </w:t>
      </w:r>
      <w:hyperlink w:anchor="SENTENCIA_2013_24" w:history="1">
        <w:r w:rsidRPr="00E27756">
          <w:rPr>
            <w:rStyle w:val="TextoNormalCaracter"/>
          </w:rPr>
          <w:t>24/2013</w:t>
        </w:r>
      </w:hyperlink>
      <w:r>
        <w:t xml:space="preserve">, f. 7; </w:t>
      </w:r>
      <w:hyperlink w:anchor="SENTENCIA_2013_48" w:history="1">
        <w:r w:rsidRPr="00E27756">
          <w:rPr>
            <w:rStyle w:val="TextoNormalCaracter"/>
          </w:rPr>
          <w:t>48/2013</w:t>
        </w:r>
      </w:hyperlink>
      <w:r>
        <w:t>, f. 3.</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Sentencias </w:t>
      </w:r>
      <w:hyperlink w:anchor="SENTENCIA_2013_15" w:history="1">
        <w:r w:rsidRPr="00E27756">
          <w:rPr>
            <w:rStyle w:val="TextoNormalCaracter"/>
          </w:rPr>
          <w:t>15/2013</w:t>
        </w:r>
      </w:hyperlink>
      <w:r>
        <w:t xml:space="preserve">, f. 3; </w:t>
      </w:r>
      <w:hyperlink w:anchor="SENTENCIA_2013_48" w:history="1">
        <w:r w:rsidRPr="00E27756">
          <w:rPr>
            <w:rStyle w:val="TextoNormalCaracter"/>
          </w:rPr>
          <w:t>48/2013</w:t>
        </w:r>
      </w:hyperlink>
      <w:r>
        <w:t>, f. 3.</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67" w:history="1">
        <w:r w:rsidRPr="00E27756">
          <w:rPr>
            <w:rStyle w:val="TextoNormalCaracter"/>
          </w:rPr>
          <w:t>67/2013</w:t>
        </w:r>
      </w:hyperlink>
      <w:r>
        <w:t>, f. 2.</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125" w:history="1">
        <w:r w:rsidRPr="00E27756">
          <w:rPr>
            <w:rStyle w:val="TextoNormalCaracter"/>
          </w:rPr>
          <w:t>125/2013</w:t>
        </w:r>
      </w:hyperlink>
      <w:r>
        <w:t>, f. 6.</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81" w:history="1">
        <w:r w:rsidRPr="00E27756">
          <w:rPr>
            <w:rStyle w:val="TextoNormalCaracter"/>
          </w:rPr>
          <w:t>81/2013</w:t>
        </w:r>
      </w:hyperlink>
      <w:r>
        <w:t>, f. 3.</w:t>
      </w:r>
    </w:p>
    <w:p w:rsidR="00E27756" w:rsidRDefault="00E27756" w:rsidP="00E27756">
      <w:pPr>
        <w:pStyle w:val="SangriaFrancesaArticulo"/>
      </w:pPr>
      <w:r w:rsidRPr="00E27756">
        <w:rPr>
          <w:rStyle w:val="TextoNormalNegritaCaracter"/>
        </w:rPr>
        <w:t>Artículo 9.1.</w:t>
      </w:r>
      <w:r w:rsidRPr="00E27756">
        <w:rPr>
          <w:rStyle w:val="TextoNormalCaracter"/>
        </w:rPr>
        <w:t>-</w:t>
      </w:r>
      <w:r>
        <w:t xml:space="preserve"> Sentencias </w:t>
      </w:r>
      <w:hyperlink w:anchor="SENTENCIA_2013_51" w:history="1">
        <w:r w:rsidRPr="00E27756">
          <w:rPr>
            <w:rStyle w:val="TextoNormalCaracter"/>
          </w:rPr>
          <w:t>51/2013</w:t>
        </w:r>
      </w:hyperlink>
      <w:r>
        <w:t xml:space="preserve">, f. 2; </w:t>
      </w:r>
      <w:hyperlink w:anchor="SENTENCIA_2013_111" w:history="1">
        <w:r w:rsidRPr="00E27756">
          <w:rPr>
            <w:rStyle w:val="TextoNormalCaracter"/>
          </w:rPr>
          <w:t>111/2013</w:t>
        </w:r>
      </w:hyperlink>
      <w:r>
        <w:t>, f. 5.</w:t>
      </w:r>
    </w:p>
    <w:p w:rsidR="00E27756" w:rsidRDefault="00E27756" w:rsidP="00E27756">
      <w:pPr>
        <w:pStyle w:val="SangriaFrancesaArticulo"/>
      </w:pPr>
      <w:r w:rsidRPr="00E27756">
        <w:rPr>
          <w:rStyle w:val="TextoNormalNegritaCaracter"/>
        </w:rPr>
        <w:t>Artículo 9.2.</w:t>
      </w:r>
      <w:r w:rsidRPr="00E27756">
        <w:rPr>
          <w:rStyle w:val="TextoNormalCaracter"/>
        </w:rPr>
        <w:t>-</w:t>
      </w:r>
      <w:r>
        <w:t xml:space="preserve"> Sentencias </w:t>
      </w:r>
      <w:hyperlink w:anchor="SENTENCIA_2013_20" w:history="1">
        <w:r w:rsidRPr="00E27756">
          <w:rPr>
            <w:rStyle w:val="TextoNormalCaracter"/>
          </w:rPr>
          <w:t>20/2013</w:t>
        </w:r>
      </w:hyperlink>
      <w:r>
        <w:t xml:space="preserve">, f. 10; </w:t>
      </w:r>
      <w:hyperlink w:anchor="SENTENCIA_2013_23" w:history="1">
        <w:r w:rsidRPr="00E27756">
          <w:rPr>
            <w:rStyle w:val="TextoNormalCaracter"/>
          </w:rPr>
          <w:t>23/2013</w:t>
        </w:r>
      </w:hyperlink>
      <w:r>
        <w:t xml:space="preserve">, ff. 1, 4; </w:t>
      </w:r>
      <w:hyperlink w:anchor="SENTENCIA_2013_24" w:history="1">
        <w:r w:rsidRPr="00E27756">
          <w:rPr>
            <w:rStyle w:val="TextoNormalCaracter"/>
          </w:rPr>
          <w:t>24/2013</w:t>
        </w:r>
      </w:hyperlink>
      <w:r>
        <w:t xml:space="preserve">, f. 3; </w:t>
      </w:r>
      <w:hyperlink w:anchor="SENTENCIA_2013_93" w:history="1">
        <w:r w:rsidRPr="00E27756">
          <w:rPr>
            <w:rStyle w:val="TextoNormalCaracter"/>
          </w:rPr>
          <w:t>93/2013</w:t>
        </w:r>
      </w:hyperlink>
      <w:r>
        <w:t xml:space="preserve">, ff. 3, 8; </w:t>
      </w:r>
      <w:hyperlink w:anchor="SENTENCIA_2013_96" w:history="1">
        <w:r w:rsidRPr="00E27756">
          <w:rPr>
            <w:rStyle w:val="TextoNormalCaracter"/>
          </w:rPr>
          <w:t>96/2013</w:t>
        </w:r>
      </w:hyperlink>
      <w:r>
        <w:t>, ff. 1, 3.</w:t>
      </w:r>
    </w:p>
    <w:p w:rsidR="00E27756" w:rsidRDefault="00E27756" w:rsidP="00E27756">
      <w:pPr>
        <w:pStyle w:val="SangriaFrancesaArticulo"/>
      </w:pPr>
      <w:r w:rsidRPr="00E27756">
        <w:rPr>
          <w:rStyle w:val="TextoNormalNegritaCaracter"/>
        </w:rPr>
        <w:t>Artículo 9.3.</w:t>
      </w:r>
      <w:r w:rsidRPr="00E27756">
        <w:rPr>
          <w:rStyle w:val="TextoNormalCaracter"/>
        </w:rPr>
        <w:t>-</w:t>
      </w:r>
      <w:r>
        <w:t xml:space="preserve"> Sentencias </w:t>
      </w:r>
      <w:hyperlink w:anchor="SENTENCIA_2013_17" w:history="1">
        <w:r w:rsidRPr="00E27756">
          <w:rPr>
            <w:rStyle w:val="TextoNormalCaracter"/>
          </w:rPr>
          <w:t>17/2013</w:t>
        </w:r>
      </w:hyperlink>
      <w:r>
        <w:t xml:space="preserve">, ff. 1, 10, 11, 13; </w:t>
      </w:r>
      <w:hyperlink w:anchor="SENTENCIA_2013_20" w:history="1">
        <w:r w:rsidRPr="00E27756">
          <w:rPr>
            <w:rStyle w:val="TextoNormalCaracter"/>
          </w:rPr>
          <w:t>20/2013</w:t>
        </w:r>
      </w:hyperlink>
      <w:r>
        <w:t xml:space="preserve">, ff. 1, 8; </w:t>
      </w:r>
      <w:hyperlink w:anchor="SENTENCIA_2013_28" w:history="1">
        <w:r w:rsidRPr="00E27756">
          <w:rPr>
            <w:rStyle w:val="TextoNormalCaracter"/>
          </w:rPr>
          <w:t>28/2013</w:t>
        </w:r>
      </w:hyperlink>
      <w:r>
        <w:t xml:space="preserve">, f. 1; </w:t>
      </w:r>
      <w:hyperlink w:anchor="SENTENCIA_2013_36" w:history="1">
        <w:r w:rsidRPr="00E27756">
          <w:rPr>
            <w:rStyle w:val="TextoNormalCaracter"/>
          </w:rPr>
          <w:t>36/2013</w:t>
        </w:r>
      </w:hyperlink>
      <w:r>
        <w:t xml:space="preserve">, ff. 1, 3, 5; </w:t>
      </w:r>
      <w:hyperlink w:anchor="SENTENCIA_2013_39" w:history="1">
        <w:r w:rsidRPr="00E27756">
          <w:rPr>
            <w:rStyle w:val="TextoNormalCaracter"/>
          </w:rPr>
          <w:t>39/2013</w:t>
        </w:r>
      </w:hyperlink>
      <w:r>
        <w:t xml:space="preserve">, f. 1; </w:t>
      </w:r>
      <w:hyperlink w:anchor="SENTENCIA_2013_44" w:history="1">
        <w:r w:rsidRPr="00E27756">
          <w:rPr>
            <w:rStyle w:val="TextoNormalCaracter"/>
          </w:rPr>
          <w:t>44/2013</w:t>
        </w:r>
      </w:hyperlink>
      <w:r>
        <w:t xml:space="preserve">, f. 3; </w:t>
      </w:r>
      <w:hyperlink w:anchor="SENTENCIA_2013_51" w:history="1">
        <w:r w:rsidRPr="00E27756">
          <w:rPr>
            <w:rStyle w:val="TextoNormalCaracter"/>
          </w:rPr>
          <w:t>51/2013</w:t>
        </w:r>
      </w:hyperlink>
      <w:r>
        <w:t xml:space="preserve">, ff. 2, 5, 7; </w:t>
      </w:r>
      <w:hyperlink w:anchor="SENTENCIA_2013_60" w:history="1">
        <w:r w:rsidRPr="00E27756">
          <w:rPr>
            <w:rStyle w:val="TextoNormalCaracter"/>
          </w:rPr>
          <w:t>60/2013</w:t>
        </w:r>
      </w:hyperlink>
      <w:r>
        <w:t xml:space="preserve">, f. 7; </w:t>
      </w:r>
      <w:hyperlink w:anchor="SENTENCIA_2013_63" w:history="1">
        <w:r w:rsidRPr="00E27756">
          <w:rPr>
            <w:rStyle w:val="TextoNormalCaracter"/>
          </w:rPr>
          <w:t>63/2013</w:t>
        </w:r>
      </w:hyperlink>
      <w:r>
        <w:t xml:space="preserve">, f. 1, 2, 5; </w:t>
      </w:r>
      <w:hyperlink w:anchor="SENTENCIA_2013_64" w:history="1">
        <w:r w:rsidRPr="00E27756">
          <w:rPr>
            <w:rStyle w:val="TextoNormalCaracter"/>
          </w:rPr>
          <w:t>64/2013</w:t>
        </w:r>
      </w:hyperlink>
      <w:r>
        <w:t xml:space="preserve">, ff. 1, 2, 5; </w:t>
      </w:r>
      <w:hyperlink w:anchor="SENTENCIA_2013_67" w:history="1">
        <w:r w:rsidRPr="00E27756">
          <w:rPr>
            <w:rStyle w:val="TextoNormalCaracter"/>
          </w:rPr>
          <w:t>67/2013</w:t>
        </w:r>
      </w:hyperlink>
      <w:r>
        <w:t xml:space="preserve">, ff. 1, 2; </w:t>
      </w:r>
      <w:hyperlink w:anchor="SENTENCIA_2013_68" w:history="1">
        <w:r w:rsidRPr="00E27756">
          <w:rPr>
            <w:rStyle w:val="TextoNormalCaracter"/>
          </w:rPr>
          <w:t>68/2013</w:t>
        </w:r>
      </w:hyperlink>
      <w:r>
        <w:t xml:space="preserve">, ff. 1, 4; </w:t>
      </w:r>
      <w:hyperlink w:anchor="SENTENCIA_2013_86" w:history="1">
        <w:r w:rsidRPr="00E27756">
          <w:rPr>
            <w:rStyle w:val="TextoNormalCaracter"/>
          </w:rPr>
          <w:t>86/2013</w:t>
        </w:r>
      </w:hyperlink>
      <w:r>
        <w:t xml:space="preserve">, ff. </w:t>
      </w:r>
      <w:r>
        <w:lastRenderedPageBreak/>
        <w:t xml:space="preserve">3, 6; </w:t>
      </w:r>
      <w:hyperlink w:anchor="SENTENCIA_2013_92" w:history="1">
        <w:r w:rsidRPr="00E27756">
          <w:rPr>
            <w:rStyle w:val="TextoNormalCaracter"/>
          </w:rPr>
          <w:t>92/2013</w:t>
        </w:r>
      </w:hyperlink>
      <w:r>
        <w:t xml:space="preserve">, f. 1; </w:t>
      </w:r>
      <w:hyperlink w:anchor="SENTENCIA_2013_93" w:history="1">
        <w:r w:rsidRPr="00E27756">
          <w:rPr>
            <w:rStyle w:val="TextoNormalCaracter"/>
          </w:rPr>
          <w:t>93/2013</w:t>
        </w:r>
      </w:hyperlink>
      <w:r>
        <w:t xml:space="preserve">, f. 13; </w:t>
      </w:r>
      <w:hyperlink w:anchor="SENTENCIA_2013_103" w:history="1">
        <w:r w:rsidRPr="00E27756">
          <w:rPr>
            <w:rStyle w:val="TextoNormalCaracter"/>
          </w:rPr>
          <w:t>103/2013</w:t>
        </w:r>
      </w:hyperlink>
      <w:r>
        <w:t xml:space="preserve">, f. 1; </w:t>
      </w:r>
      <w:hyperlink w:anchor="SENTENCIA_2013_126" w:history="1">
        <w:r w:rsidRPr="00E27756">
          <w:rPr>
            <w:rStyle w:val="TextoNormalCaracter"/>
          </w:rPr>
          <w:t>126/2013</w:t>
        </w:r>
      </w:hyperlink>
      <w:r>
        <w:t xml:space="preserve">, f. 5; </w:t>
      </w:r>
      <w:hyperlink w:anchor="SENTENCIA_2013_128" w:history="1">
        <w:r w:rsidRPr="00E27756">
          <w:rPr>
            <w:rStyle w:val="TextoNormalCaracter"/>
          </w:rPr>
          <w:t>128/2013</w:t>
        </w:r>
      </w:hyperlink>
      <w:r>
        <w:t xml:space="preserve">, f. 1; </w:t>
      </w:r>
      <w:hyperlink w:anchor="SENTENCIA_2013_129" w:history="1">
        <w:r w:rsidRPr="00E27756">
          <w:rPr>
            <w:rStyle w:val="TextoNormalCaracter"/>
          </w:rPr>
          <w:t>129/2013</w:t>
        </w:r>
      </w:hyperlink>
      <w:r>
        <w:t xml:space="preserve">, f. 2; </w:t>
      </w:r>
      <w:hyperlink w:anchor="SENTENCIA_2013_132" w:history="1">
        <w:r w:rsidRPr="00E27756">
          <w:rPr>
            <w:rStyle w:val="TextoNormalCaracter"/>
          </w:rPr>
          <w:t>132/2013</w:t>
        </w:r>
      </w:hyperlink>
      <w:r>
        <w:t xml:space="preserve">, f. 1; </w:t>
      </w:r>
      <w:hyperlink w:anchor="SENTENCIA_2013_134" w:history="1">
        <w:r w:rsidRPr="00E27756">
          <w:rPr>
            <w:rStyle w:val="TextoNormalCaracter"/>
          </w:rPr>
          <w:t>134/2013</w:t>
        </w:r>
      </w:hyperlink>
      <w:r>
        <w:t xml:space="preserve">, f. 1; </w:t>
      </w:r>
      <w:hyperlink w:anchor="SENTENCIA_2013_135" w:history="1">
        <w:r w:rsidRPr="00E27756">
          <w:rPr>
            <w:rStyle w:val="TextoNormalCaracter"/>
          </w:rPr>
          <w:t>135/2013</w:t>
        </w:r>
      </w:hyperlink>
      <w:r>
        <w:t>, ff. 1, 6.</w:t>
      </w:r>
    </w:p>
    <w:p w:rsidR="00E27756" w:rsidRDefault="00E27756" w:rsidP="00E27756">
      <w:pPr>
        <w:pStyle w:val="SangriaIzquierdaArticulo"/>
      </w:pPr>
      <w:r>
        <w:t xml:space="preserve">Autos </w:t>
      </w:r>
      <w:hyperlink w:anchor="AUTO_2013_23" w:history="1">
        <w:r w:rsidRPr="00E27756">
          <w:rPr>
            <w:rStyle w:val="TextoNormalCaracter"/>
          </w:rPr>
          <w:t>23/2013</w:t>
        </w:r>
      </w:hyperlink>
      <w:r>
        <w:t xml:space="preserve">, f. 3; </w:t>
      </w:r>
      <w:hyperlink w:anchor="AUTO_2013_27" w:history="1">
        <w:r w:rsidRPr="00E27756">
          <w:rPr>
            <w:rStyle w:val="TextoNormalCaracter"/>
          </w:rPr>
          <w:t>27/2013</w:t>
        </w:r>
      </w:hyperlink>
      <w:r>
        <w:t xml:space="preserve">, f. 1; </w:t>
      </w:r>
      <w:hyperlink w:anchor="AUTO_2013_30" w:history="1">
        <w:r w:rsidRPr="00E27756">
          <w:rPr>
            <w:rStyle w:val="TextoNormalCaracter"/>
          </w:rPr>
          <w:t>30/2013</w:t>
        </w:r>
      </w:hyperlink>
      <w:r>
        <w:t xml:space="preserve">, f. 1; </w:t>
      </w:r>
      <w:hyperlink w:anchor="AUTO_2013_31" w:history="1">
        <w:r w:rsidRPr="00E27756">
          <w:rPr>
            <w:rStyle w:val="TextoNormalCaracter"/>
          </w:rPr>
          <w:t>31/2013</w:t>
        </w:r>
      </w:hyperlink>
      <w:r>
        <w:t xml:space="preserve">, f. 1; </w:t>
      </w:r>
      <w:hyperlink w:anchor="AUTO_2013_32" w:history="1">
        <w:r w:rsidRPr="00E27756">
          <w:rPr>
            <w:rStyle w:val="TextoNormalCaracter"/>
          </w:rPr>
          <w:t>32/2013</w:t>
        </w:r>
      </w:hyperlink>
      <w:r>
        <w:t xml:space="preserve">, f. 1; </w:t>
      </w:r>
      <w:hyperlink w:anchor="AUTO_2013_73" w:history="1">
        <w:r w:rsidRPr="00E27756">
          <w:rPr>
            <w:rStyle w:val="TextoNormalCaracter"/>
          </w:rPr>
          <w:t>73/2013</w:t>
        </w:r>
      </w:hyperlink>
      <w:r>
        <w:t xml:space="preserve">, f. único; </w:t>
      </w:r>
      <w:hyperlink w:anchor="AUTO_2013_104" w:history="1">
        <w:r w:rsidRPr="00E27756">
          <w:rPr>
            <w:rStyle w:val="TextoNormalCaracter"/>
          </w:rPr>
          <w:t>104/2013</w:t>
        </w:r>
      </w:hyperlink>
      <w:r>
        <w:t xml:space="preserve">, f. único; </w:t>
      </w:r>
      <w:hyperlink w:anchor="AUTO_2013_105" w:history="1">
        <w:r w:rsidRPr="00E27756">
          <w:rPr>
            <w:rStyle w:val="TextoNormalCaracter"/>
          </w:rPr>
          <w:t>105/2013</w:t>
        </w:r>
      </w:hyperlink>
      <w:r>
        <w:t xml:space="preserve">, f. único; </w:t>
      </w:r>
      <w:hyperlink w:anchor="AUTO_2013_106" w:history="1">
        <w:r w:rsidRPr="00E27756">
          <w:rPr>
            <w:rStyle w:val="TextoNormalCaracter"/>
          </w:rPr>
          <w:t>106/2013</w:t>
        </w:r>
      </w:hyperlink>
      <w:r>
        <w:t xml:space="preserve">, f. único; </w:t>
      </w:r>
      <w:hyperlink w:anchor="AUTO_2013_107" w:history="1">
        <w:r w:rsidRPr="00E27756">
          <w:rPr>
            <w:rStyle w:val="TextoNormalCaracter"/>
          </w:rPr>
          <w:t>107/2013</w:t>
        </w:r>
      </w:hyperlink>
      <w:r>
        <w:t xml:space="preserve">, f. único; </w:t>
      </w:r>
      <w:hyperlink w:anchor="AUTO_2013_108" w:history="1">
        <w:r w:rsidRPr="00E27756">
          <w:rPr>
            <w:rStyle w:val="TextoNormalCaracter"/>
          </w:rPr>
          <w:t>108/2013</w:t>
        </w:r>
      </w:hyperlink>
      <w:r>
        <w:t xml:space="preserve">, f. único; </w:t>
      </w:r>
      <w:hyperlink w:anchor="AUTO_2013_109" w:history="1">
        <w:r w:rsidRPr="00E27756">
          <w:rPr>
            <w:rStyle w:val="TextoNormalCaracter"/>
          </w:rPr>
          <w:t>109/2013</w:t>
        </w:r>
      </w:hyperlink>
      <w:r>
        <w:t xml:space="preserve">, f. único; </w:t>
      </w:r>
      <w:hyperlink w:anchor="AUTO_2013_110" w:history="1">
        <w:r w:rsidRPr="00E27756">
          <w:rPr>
            <w:rStyle w:val="TextoNormalCaracter"/>
          </w:rPr>
          <w:t>110/2013</w:t>
        </w:r>
      </w:hyperlink>
      <w:r>
        <w:t xml:space="preserve">, f. único; </w:t>
      </w:r>
      <w:hyperlink w:anchor="AUTO_2013_111" w:history="1">
        <w:r w:rsidRPr="00E27756">
          <w:rPr>
            <w:rStyle w:val="TextoNormalCaracter"/>
          </w:rPr>
          <w:t>111/2013</w:t>
        </w:r>
      </w:hyperlink>
      <w:r>
        <w:t xml:space="preserve">, f. único; </w:t>
      </w:r>
      <w:hyperlink w:anchor="AUTO_2013_112" w:history="1">
        <w:r w:rsidRPr="00E27756">
          <w:rPr>
            <w:rStyle w:val="TextoNormalCaracter"/>
          </w:rPr>
          <w:t>112/2013</w:t>
        </w:r>
      </w:hyperlink>
      <w:r>
        <w:t xml:space="preserve">, f. único; </w:t>
      </w:r>
      <w:hyperlink w:anchor="AUTO_2013_113" w:history="1">
        <w:r w:rsidRPr="00E27756">
          <w:rPr>
            <w:rStyle w:val="TextoNormalCaracter"/>
          </w:rPr>
          <w:t>113/2013</w:t>
        </w:r>
      </w:hyperlink>
      <w:r>
        <w:t xml:space="preserve">, f. único; </w:t>
      </w:r>
      <w:hyperlink w:anchor="AUTO_2013_114" w:history="1">
        <w:r w:rsidRPr="00E27756">
          <w:rPr>
            <w:rStyle w:val="TextoNormalCaracter"/>
          </w:rPr>
          <w:t>114/2013</w:t>
        </w:r>
      </w:hyperlink>
      <w:r>
        <w:t xml:space="preserve">, f. único; </w:t>
      </w:r>
      <w:hyperlink w:anchor="AUTO_2013_115" w:history="1">
        <w:r w:rsidRPr="00E27756">
          <w:rPr>
            <w:rStyle w:val="TextoNormalCaracter"/>
          </w:rPr>
          <w:t>115/2013</w:t>
        </w:r>
      </w:hyperlink>
      <w:r>
        <w:t xml:space="preserve">, f. único; </w:t>
      </w:r>
      <w:hyperlink w:anchor="AUTO_2013_117" w:history="1">
        <w:r w:rsidRPr="00E27756">
          <w:rPr>
            <w:rStyle w:val="TextoNormalCaracter"/>
          </w:rPr>
          <w:t>117/2013</w:t>
        </w:r>
      </w:hyperlink>
      <w:r>
        <w:t xml:space="preserve">, f. único; </w:t>
      </w:r>
      <w:hyperlink w:anchor="AUTO_2013_118" w:history="1">
        <w:r w:rsidRPr="00E27756">
          <w:rPr>
            <w:rStyle w:val="TextoNormalCaracter"/>
          </w:rPr>
          <w:t>118/2013</w:t>
        </w:r>
      </w:hyperlink>
      <w:r>
        <w:t xml:space="preserve">, f. único; </w:t>
      </w:r>
      <w:hyperlink w:anchor="AUTO_2013_119" w:history="1">
        <w:r w:rsidRPr="00E27756">
          <w:rPr>
            <w:rStyle w:val="TextoNormalCaracter"/>
          </w:rPr>
          <w:t>119/2013</w:t>
        </w:r>
      </w:hyperlink>
      <w:r>
        <w:t xml:space="preserve">, f. único; </w:t>
      </w:r>
      <w:hyperlink w:anchor="AUTO_2013_123" w:history="1">
        <w:r w:rsidRPr="00E27756">
          <w:rPr>
            <w:rStyle w:val="TextoNormalCaracter"/>
          </w:rPr>
          <w:t>123/2013</w:t>
        </w:r>
      </w:hyperlink>
      <w:r>
        <w:t xml:space="preserve">, f. 1; </w:t>
      </w:r>
      <w:hyperlink w:anchor="AUTO_2013_140" w:history="1">
        <w:r w:rsidRPr="00E27756">
          <w:rPr>
            <w:rStyle w:val="TextoNormalCaracter"/>
          </w:rPr>
          <w:t>140/2013</w:t>
        </w:r>
      </w:hyperlink>
      <w:r>
        <w:t>, f. único.</w:t>
      </w:r>
    </w:p>
    <w:p w:rsidR="00E27756" w:rsidRDefault="00E27756" w:rsidP="00E27756">
      <w:pPr>
        <w:pStyle w:val="SangriaFrancesaArticulo"/>
      </w:pPr>
      <w:r w:rsidRPr="00E27756">
        <w:rPr>
          <w:rStyle w:val="TextoNormalNegritaCaracter"/>
        </w:rPr>
        <w:t>Artículo 9.3</w:t>
      </w:r>
      <w:r>
        <w:t xml:space="preserve"> </w:t>
      </w:r>
      <w:r w:rsidRPr="00E27756">
        <w:rPr>
          <w:rStyle w:val="TextoNormalCaracter"/>
        </w:rPr>
        <w:t>(interdicción de la arbitrariedad de los poderes públicos)</w:t>
      </w:r>
      <w:r w:rsidRPr="00E27756">
        <w:rPr>
          <w:rStyle w:val="TextoNormalNegritaCaracter"/>
        </w:rPr>
        <w:t>.</w:t>
      </w:r>
      <w:r w:rsidRPr="00E27756">
        <w:rPr>
          <w:rStyle w:val="TextoNormalCaracter"/>
        </w:rPr>
        <w:t>-</w:t>
      </w:r>
      <w:r>
        <w:t xml:space="preserve"> Sentencias </w:t>
      </w:r>
      <w:hyperlink w:anchor="SENTENCIA_2013_17" w:history="1">
        <w:r w:rsidRPr="00E27756">
          <w:rPr>
            <w:rStyle w:val="TextoNormalCaracter"/>
          </w:rPr>
          <w:t>17/2013</w:t>
        </w:r>
      </w:hyperlink>
      <w:r>
        <w:t xml:space="preserve">, ff. 1, 10, 11, 13; </w:t>
      </w:r>
      <w:hyperlink w:anchor="SENTENCIA_2013_19" w:history="1">
        <w:r w:rsidRPr="00E27756">
          <w:rPr>
            <w:rStyle w:val="TextoNormalCaracter"/>
          </w:rPr>
          <w:t>19/2013</w:t>
        </w:r>
      </w:hyperlink>
      <w:r>
        <w:t xml:space="preserve">, f. 2; </w:t>
      </w:r>
      <w:hyperlink w:anchor="SENTENCIA_2013_20" w:history="1">
        <w:r w:rsidRPr="00E27756">
          <w:rPr>
            <w:rStyle w:val="TextoNormalCaracter"/>
          </w:rPr>
          <w:t>20/2013</w:t>
        </w:r>
      </w:hyperlink>
      <w:r>
        <w:t xml:space="preserve">, ff. 6, 8, 10; </w:t>
      </w:r>
      <w:hyperlink w:anchor="SENTENCIA_2013_44" w:history="1">
        <w:r w:rsidRPr="00E27756">
          <w:rPr>
            <w:rStyle w:val="TextoNormalCaracter"/>
          </w:rPr>
          <w:t>44/2013</w:t>
        </w:r>
      </w:hyperlink>
      <w:r>
        <w:t xml:space="preserve">, ff. 1, 3; </w:t>
      </w:r>
      <w:hyperlink w:anchor="SENTENCIA_2013_76" w:history="1">
        <w:r w:rsidRPr="00E27756">
          <w:rPr>
            <w:rStyle w:val="TextoNormalCaracter"/>
          </w:rPr>
          <w:t>76/2013</w:t>
        </w:r>
      </w:hyperlink>
      <w:r>
        <w:t xml:space="preserve">, f. 1; </w:t>
      </w:r>
      <w:hyperlink w:anchor="SENTENCIA_2013_85" w:history="1">
        <w:r w:rsidRPr="00E27756">
          <w:rPr>
            <w:rStyle w:val="TextoNormalCaracter"/>
          </w:rPr>
          <w:t>85/2013</w:t>
        </w:r>
      </w:hyperlink>
      <w:r>
        <w:t xml:space="preserve">, f. 6; </w:t>
      </w:r>
      <w:hyperlink w:anchor="SENTENCIA_2013_111" w:history="1">
        <w:r w:rsidRPr="00E27756">
          <w:rPr>
            <w:rStyle w:val="TextoNormalCaracter"/>
          </w:rPr>
          <w:t>111/2013</w:t>
        </w:r>
      </w:hyperlink>
      <w:r>
        <w:t xml:space="preserve">, f. 5; </w:t>
      </w:r>
      <w:hyperlink w:anchor="SENTENCIA_2013_129" w:history="1">
        <w:r w:rsidRPr="00E27756">
          <w:rPr>
            <w:rStyle w:val="TextoNormalCaracter"/>
          </w:rPr>
          <w:t>129/2013</w:t>
        </w:r>
      </w:hyperlink>
      <w:r>
        <w:t>, f. 1.</w:t>
      </w:r>
    </w:p>
    <w:p w:rsidR="00E27756" w:rsidRDefault="00E27756" w:rsidP="00E27756">
      <w:pPr>
        <w:pStyle w:val="SangriaFrancesaArticulo"/>
      </w:pPr>
      <w:r w:rsidRPr="00E27756">
        <w:rPr>
          <w:rStyle w:val="TextoNormalNegritaCaracter"/>
        </w:rPr>
        <w:t>Artículo 9.3</w:t>
      </w:r>
      <w:r>
        <w:t xml:space="preserve"> </w:t>
      </w:r>
      <w:r w:rsidRPr="00E27756">
        <w:rPr>
          <w:rStyle w:val="TextoNormalCaracter"/>
        </w:rPr>
        <w:t>(jerarquía normativa)</w:t>
      </w:r>
      <w:r w:rsidRPr="00E27756">
        <w:rPr>
          <w:rStyle w:val="TextoNormalNegritaCaracter"/>
        </w:rPr>
        <w:t>.</w:t>
      </w:r>
      <w:r w:rsidRPr="00E27756">
        <w:rPr>
          <w:rStyle w:val="TextoNormalCaracter"/>
        </w:rPr>
        <w:t>-</w:t>
      </w:r>
      <w:r>
        <w:t xml:space="preserve"> Sentencia </w:t>
      </w:r>
      <w:hyperlink w:anchor="SENTENCIA_2013_129" w:history="1">
        <w:r w:rsidRPr="00E27756">
          <w:rPr>
            <w:rStyle w:val="TextoNormalCaracter"/>
          </w:rPr>
          <w:t>129/2013</w:t>
        </w:r>
      </w:hyperlink>
      <w:r>
        <w:t>, f. 1.</w:t>
      </w:r>
    </w:p>
    <w:p w:rsidR="00E27756" w:rsidRDefault="00E27756" w:rsidP="00E27756">
      <w:pPr>
        <w:pStyle w:val="SangriaFrancesaArticulo"/>
      </w:pPr>
      <w:r w:rsidRPr="00E27756">
        <w:rPr>
          <w:rStyle w:val="TextoNormalNegritaCaracter"/>
        </w:rPr>
        <w:t>Artículo 9.3</w:t>
      </w:r>
      <w:r>
        <w:t xml:space="preserve"> </w:t>
      </w:r>
      <w:r w:rsidRPr="00E27756">
        <w:rPr>
          <w:rStyle w:val="TextoNormalCaracter"/>
        </w:rPr>
        <w:t>(principio de legalidad)</w:t>
      </w:r>
      <w:r w:rsidRPr="00E27756">
        <w:rPr>
          <w:rStyle w:val="TextoNormalNegritaCaracter"/>
        </w:rPr>
        <w:t>.</w:t>
      </w:r>
      <w:r w:rsidRPr="00E27756">
        <w:rPr>
          <w:rStyle w:val="TextoNormalCaracter"/>
        </w:rPr>
        <w:t>-</w:t>
      </w:r>
      <w:r>
        <w:t xml:space="preserve"> Sentencia </w:t>
      </w:r>
      <w:hyperlink w:anchor="SENTENCIA_2013_128" w:history="1">
        <w:r w:rsidRPr="00E27756">
          <w:rPr>
            <w:rStyle w:val="TextoNormalCaracter"/>
          </w:rPr>
          <w:t>128/2013</w:t>
        </w:r>
      </w:hyperlink>
      <w:r>
        <w:t>, f. 2.</w:t>
      </w:r>
    </w:p>
    <w:p w:rsidR="00E27756" w:rsidRDefault="00E27756" w:rsidP="00E27756">
      <w:pPr>
        <w:pStyle w:val="SangriaFrancesaArticulo"/>
      </w:pPr>
      <w:r w:rsidRPr="00E27756">
        <w:rPr>
          <w:rStyle w:val="TextoNormalNegritaCaracter"/>
        </w:rPr>
        <w:t>Artículo 9.3</w:t>
      </w:r>
      <w:r>
        <w:t xml:space="preserve"> </w:t>
      </w:r>
      <w:r w:rsidRPr="00E27756">
        <w:rPr>
          <w:rStyle w:val="TextoNormalCaracter"/>
        </w:rPr>
        <w:t>(publicidad de las normas)</w:t>
      </w:r>
      <w:r w:rsidRPr="00E27756">
        <w:rPr>
          <w:rStyle w:val="TextoNormalNegritaCaracter"/>
        </w:rPr>
        <w:t>.</w:t>
      </w:r>
      <w:r w:rsidRPr="00E27756">
        <w:rPr>
          <w:rStyle w:val="TextoNormalCaracter"/>
        </w:rPr>
        <w:t>-</w:t>
      </w:r>
      <w:r>
        <w:t xml:space="preserve"> Sentencia </w:t>
      </w:r>
      <w:hyperlink w:anchor="SENTENCIA_2013_93" w:history="1">
        <w:r w:rsidRPr="00E27756">
          <w:rPr>
            <w:rStyle w:val="TextoNormalCaracter"/>
          </w:rPr>
          <w:t>93/2013</w:t>
        </w:r>
      </w:hyperlink>
      <w:r>
        <w:t>, f. 4.</w:t>
      </w:r>
    </w:p>
    <w:p w:rsidR="00E27756" w:rsidRDefault="00E27756" w:rsidP="00E27756">
      <w:pPr>
        <w:pStyle w:val="SangriaFrancesaArticulo"/>
      </w:pPr>
      <w:r w:rsidRPr="00E27756">
        <w:rPr>
          <w:rStyle w:val="TextoNormalNegritaCaracter"/>
        </w:rPr>
        <w:t>Artículo 9.3</w:t>
      </w:r>
      <w:r>
        <w:t xml:space="preserve"> </w:t>
      </w:r>
      <w:r w:rsidRPr="00E27756">
        <w:rPr>
          <w:rStyle w:val="TextoNormalCaracter"/>
        </w:rPr>
        <w:t>(seguridad jurídica)</w:t>
      </w:r>
      <w:r w:rsidRPr="00E27756">
        <w:rPr>
          <w:rStyle w:val="TextoNormalNegritaCaracter"/>
        </w:rPr>
        <w:t>.</w:t>
      </w:r>
      <w:r w:rsidRPr="00E27756">
        <w:rPr>
          <w:rStyle w:val="TextoNormalCaracter"/>
        </w:rPr>
        <w:t>-</w:t>
      </w:r>
      <w:r>
        <w:t xml:space="preserve"> Sentencias </w:t>
      </w:r>
      <w:hyperlink w:anchor="SENTENCIA_2013_9" w:history="1">
        <w:r w:rsidRPr="00E27756">
          <w:rPr>
            <w:rStyle w:val="TextoNormalCaracter"/>
          </w:rPr>
          <w:t>9/2013</w:t>
        </w:r>
      </w:hyperlink>
      <w:r>
        <w:t xml:space="preserve">, ff. 3, 4; </w:t>
      </w:r>
      <w:hyperlink w:anchor="SENTENCIA_2013_10" w:history="1">
        <w:r w:rsidRPr="00E27756">
          <w:rPr>
            <w:rStyle w:val="TextoNormalCaracter"/>
          </w:rPr>
          <w:t>10/2013</w:t>
        </w:r>
      </w:hyperlink>
      <w:r>
        <w:t xml:space="preserve">, ff. 1, 2; </w:t>
      </w:r>
      <w:hyperlink w:anchor="SENTENCIA_2013_19" w:history="1">
        <w:r w:rsidRPr="00E27756">
          <w:rPr>
            <w:rStyle w:val="TextoNormalCaracter"/>
          </w:rPr>
          <w:t>19/2013</w:t>
        </w:r>
      </w:hyperlink>
      <w:r>
        <w:t xml:space="preserve">, f. 4; </w:t>
      </w:r>
      <w:hyperlink w:anchor="SENTENCIA_2013_44" w:history="1">
        <w:r w:rsidRPr="00E27756">
          <w:rPr>
            <w:rStyle w:val="TextoNormalCaracter"/>
          </w:rPr>
          <w:t>44/2013</w:t>
        </w:r>
      </w:hyperlink>
      <w:r>
        <w:t xml:space="preserve">, ff. 1, 3; </w:t>
      </w:r>
      <w:hyperlink w:anchor="SENTENCIA_2013_86" w:history="1">
        <w:r w:rsidRPr="00E27756">
          <w:rPr>
            <w:rStyle w:val="TextoNormalCaracter"/>
          </w:rPr>
          <w:t>86/2013</w:t>
        </w:r>
      </w:hyperlink>
      <w:r>
        <w:t xml:space="preserve">, ff. 1, 3; </w:t>
      </w:r>
      <w:hyperlink w:anchor="SENTENCIA_2013_88" w:history="1">
        <w:r w:rsidRPr="00E27756">
          <w:rPr>
            <w:rStyle w:val="TextoNormalCaracter"/>
          </w:rPr>
          <w:t>88/2013</w:t>
        </w:r>
      </w:hyperlink>
      <w:r>
        <w:t xml:space="preserve">, VP; </w:t>
      </w:r>
      <w:hyperlink w:anchor="SENTENCIA_2013_93" w:history="1">
        <w:r w:rsidRPr="00E27756">
          <w:rPr>
            <w:rStyle w:val="TextoNormalCaracter"/>
          </w:rPr>
          <w:t>93/2013</w:t>
        </w:r>
      </w:hyperlink>
      <w:r>
        <w:t xml:space="preserve">, ff. 4, 10, 14; </w:t>
      </w:r>
      <w:hyperlink w:anchor="SENTENCIA_2013_101" w:history="1">
        <w:r w:rsidRPr="00E27756">
          <w:rPr>
            <w:rStyle w:val="TextoNormalCaracter"/>
          </w:rPr>
          <w:t>101/2013</w:t>
        </w:r>
      </w:hyperlink>
      <w:r>
        <w:t xml:space="preserve">, ff. 7, 10; </w:t>
      </w:r>
      <w:hyperlink w:anchor="SENTENCIA_2013_103" w:history="1">
        <w:r w:rsidRPr="00E27756">
          <w:rPr>
            <w:rStyle w:val="TextoNormalCaracter"/>
          </w:rPr>
          <w:t>103/2013</w:t>
        </w:r>
      </w:hyperlink>
      <w:r>
        <w:t xml:space="preserve">, f. 7; </w:t>
      </w:r>
      <w:hyperlink w:anchor="SENTENCIA_2013_104" w:history="1">
        <w:r w:rsidRPr="00E27756">
          <w:rPr>
            <w:rStyle w:val="TextoNormalCaracter"/>
          </w:rPr>
          <w:t>104/2013</w:t>
        </w:r>
      </w:hyperlink>
      <w:r>
        <w:t xml:space="preserve">, f. 4; </w:t>
      </w:r>
      <w:hyperlink w:anchor="SENTENCIA_2013_111" w:history="1">
        <w:r w:rsidRPr="00E27756">
          <w:rPr>
            <w:rStyle w:val="TextoNormalCaracter"/>
          </w:rPr>
          <w:t>111/2013</w:t>
        </w:r>
      </w:hyperlink>
      <w:r>
        <w:t xml:space="preserve">, ff. 1, 5; </w:t>
      </w:r>
      <w:hyperlink w:anchor="SENTENCIA_2013_130" w:history="1">
        <w:r w:rsidRPr="00E27756">
          <w:rPr>
            <w:rStyle w:val="TextoNormalCaracter"/>
          </w:rPr>
          <w:t>130/2013</w:t>
        </w:r>
      </w:hyperlink>
      <w:r>
        <w:t xml:space="preserve">, f. 9; </w:t>
      </w:r>
      <w:hyperlink w:anchor="SENTENCIA_2013_131" w:history="1">
        <w:r w:rsidRPr="00E27756">
          <w:rPr>
            <w:rStyle w:val="TextoNormalCaracter"/>
          </w:rPr>
          <w:t>131/2013</w:t>
        </w:r>
      </w:hyperlink>
      <w:r>
        <w:t xml:space="preserve">, f. 10; </w:t>
      </w:r>
      <w:hyperlink w:anchor="SENTENCIA_2013_132" w:history="1">
        <w:r w:rsidRPr="00E27756">
          <w:rPr>
            <w:rStyle w:val="TextoNormalCaracter"/>
          </w:rPr>
          <w:t>132/2013</w:t>
        </w:r>
      </w:hyperlink>
      <w:r>
        <w:t xml:space="preserve">, f. 1; </w:t>
      </w:r>
      <w:hyperlink w:anchor="SENTENCIA_2013_135" w:history="1">
        <w:r w:rsidRPr="00E27756">
          <w:rPr>
            <w:rStyle w:val="TextoNormalCaracter"/>
          </w:rPr>
          <w:t>135/2013</w:t>
        </w:r>
      </w:hyperlink>
      <w:r>
        <w:t>, f. 5.</w:t>
      </w:r>
    </w:p>
    <w:p w:rsidR="00E27756" w:rsidRDefault="00E27756" w:rsidP="00E27756">
      <w:pPr>
        <w:pStyle w:val="SangriaFrancesaArticulo"/>
      </w:pPr>
      <w:r w:rsidRPr="00E27756">
        <w:rPr>
          <w:rStyle w:val="TextoNormalNegritaCaracter"/>
        </w:rPr>
        <w:t>Artículo 10.1.</w:t>
      </w:r>
      <w:r w:rsidRPr="00E27756">
        <w:rPr>
          <w:rStyle w:val="TextoNormalCaracter"/>
        </w:rPr>
        <w:t>-</w:t>
      </w:r>
      <w:r>
        <w:t xml:space="preserve"> Sentencias </w:t>
      </w:r>
      <w:hyperlink w:anchor="SENTENCIA_2013_17" w:history="1">
        <w:r w:rsidRPr="00E27756">
          <w:rPr>
            <w:rStyle w:val="TextoNormalCaracter"/>
          </w:rPr>
          <w:t>17/2013</w:t>
        </w:r>
      </w:hyperlink>
      <w:r>
        <w:t xml:space="preserve">, ff. 2, 5, 7, 14; </w:t>
      </w:r>
      <w:hyperlink w:anchor="SENTENCIA_2013_93" w:history="1">
        <w:r w:rsidRPr="00E27756">
          <w:rPr>
            <w:rStyle w:val="TextoNormalCaracter"/>
          </w:rPr>
          <w:t>93/2013</w:t>
        </w:r>
      </w:hyperlink>
      <w:r>
        <w:t xml:space="preserve">, ff. 1, 7 a 11, 13; </w:t>
      </w:r>
      <w:hyperlink w:anchor="SENTENCIA_2013_115" w:history="1">
        <w:r w:rsidRPr="00E27756">
          <w:rPr>
            <w:rStyle w:val="TextoNormalCaracter"/>
          </w:rPr>
          <w:t>115/2013</w:t>
        </w:r>
      </w:hyperlink>
      <w:r>
        <w:t>, f. 6.</w:t>
      </w:r>
    </w:p>
    <w:p w:rsidR="00E27756" w:rsidRDefault="00E27756" w:rsidP="00E27756">
      <w:pPr>
        <w:pStyle w:val="SangriaIzquierdaArticulo"/>
      </w:pPr>
      <w:r>
        <w:t xml:space="preserve">Auto </w:t>
      </w:r>
      <w:hyperlink w:anchor="AUTO_2013_79" w:history="1">
        <w:r w:rsidRPr="00E27756">
          <w:rPr>
            <w:rStyle w:val="TextoNormalCaracter"/>
          </w:rPr>
          <w:t>79/2013</w:t>
        </w:r>
      </w:hyperlink>
      <w:r>
        <w:t>, f. único.</w:t>
      </w:r>
    </w:p>
    <w:p w:rsidR="00E27756" w:rsidRDefault="00E27756" w:rsidP="00E27756">
      <w:pPr>
        <w:pStyle w:val="SangriaFrancesaArticulo"/>
      </w:pPr>
      <w:r w:rsidRPr="00E27756">
        <w:rPr>
          <w:rStyle w:val="TextoNormalNegritaCaracter"/>
        </w:rPr>
        <w:t>Artículo 10.2.</w:t>
      </w:r>
      <w:r w:rsidRPr="00E27756">
        <w:rPr>
          <w:rStyle w:val="TextoNormalCaracter"/>
        </w:rPr>
        <w:t>-</w:t>
      </w:r>
      <w:r>
        <w:t xml:space="preserve"> Sentencias </w:t>
      </w:r>
      <w:hyperlink w:anchor="SENTENCIA_2013_41" w:history="1">
        <w:r w:rsidRPr="00E27756">
          <w:rPr>
            <w:rStyle w:val="TextoNormalCaracter"/>
          </w:rPr>
          <w:t>41/2013</w:t>
        </w:r>
      </w:hyperlink>
      <w:r>
        <w:t xml:space="preserve">, f. 2; </w:t>
      </w:r>
      <w:hyperlink w:anchor="SENTENCIA_2013_61" w:history="1">
        <w:r w:rsidRPr="00E27756">
          <w:rPr>
            <w:rStyle w:val="TextoNormalCaracter"/>
          </w:rPr>
          <w:t>61/2013</w:t>
        </w:r>
      </w:hyperlink>
      <w:r>
        <w:t xml:space="preserve">, f. 5; </w:t>
      </w:r>
      <w:hyperlink w:anchor="SENTENCIA_2013_103" w:history="1">
        <w:r w:rsidRPr="00E27756">
          <w:rPr>
            <w:rStyle w:val="TextoNormalCaracter"/>
          </w:rPr>
          <w:t>103/2013</w:t>
        </w:r>
      </w:hyperlink>
      <w:r>
        <w:t>, VP.</w:t>
      </w:r>
    </w:p>
    <w:p w:rsidR="00E27756" w:rsidRDefault="00E27756" w:rsidP="00E27756">
      <w:pPr>
        <w:pStyle w:val="SangriaIzquierdaArticulo"/>
      </w:pPr>
      <w:r>
        <w:t xml:space="preserve">Autos </w:t>
      </w:r>
      <w:hyperlink w:anchor="AUTO_2013_59" w:history="1">
        <w:r w:rsidRPr="00E27756">
          <w:rPr>
            <w:rStyle w:val="TextoNormalCaracter"/>
          </w:rPr>
          <w:t>59/2013</w:t>
        </w:r>
      </w:hyperlink>
      <w:r>
        <w:t xml:space="preserve">, f. 3; </w:t>
      </w:r>
      <w:hyperlink w:anchor="AUTO_2013_132" w:history="1">
        <w:r w:rsidRPr="00E27756">
          <w:rPr>
            <w:rStyle w:val="TextoNormalCaracter"/>
          </w:rPr>
          <w:t>132/2013</w:t>
        </w:r>
      </w:hyperlink>
      <w:r>
        <w:t>, f. 4.</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57" w:history="1">
        <w:r w:rsidRPr="00E27756">
          <w:rPr>
            <w:rStyle w:val="TextoNormalCaracter"/>
          </w:rPr>
          <w:t>57/2013</w:t>
        </w:r>
      </w:hyperlink>
      <w:r>
        <w:t>, f. 1.</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Sentencias </w:t>
      </w:r>
      <w:hyperlink w:anchor="SENTENCIA_2013_17" w:history="1">
        <w:r w:rsidRPr="00E27756">
          <w:rPr>
            <w:rStyle w:val="TextoNormalCaracter"/>
          </w:rPr>
          <w:t>17/2013</w:t>
        </w:r>
      </w:hyperlink>
      <w:r>
        <w:t xml:space="preserve">, ff. 2, 4; </w:t>
      </w:r>
      <w:hyperlink w:anchor="SENTENCIA_2013_31" w:history="1">
        <w:r w:rsidRPr="00E27756">
          <w:rPr>
            <w:rStyle w:val="TextoNormalCaracter"/>
          </w:rPr>
          <w:t>31/2013</w:t>
        </w:r>
      </w:hyperlink>
      <w:r>
        <w:t xml:space="preserve">, f. 3; </w:t>
      </w:r>
      <w:hyperlink w:anchor="SENTENCIA_2013_37" w:history="1">
        <w:r w:rsidRPr="00E27756">
          <w:rPr>
            <w:rStyle w:val="TextoNormalCaracter"/>
          </w:rPr>
          <w:t>37/2013</w:t>
        </w:r>
      </w:hyperlink>
      <w:r>
        <w:t>, f. 2.</w:t>
      </w:r>
    </w:p>
    <w:p w:rsidR="00E27756" w:rsidRDefault="00E27756" w:rsidP="00E27756">
      <w:pPr>
        <w:pStyle w:val="SangriaFrancesaArticulo"/>
      </w:pPr>
      <w:r w:rsidRPr="00E27756">
        <w:rPr>
          <w:rStyle w:val="TextoNormalNegritaCaracter"/>
        </w:rPr>
        <w:t>Artículo 13.1.</w:t>
      </w:r>
      <w:r w:rsidRPr="00E27756">
        <w:rPr>
          <w:rStyle w:val="TextoNormalCaracter"/>
        </w:rPr>
        <w:t>-</w:t>
      </w:r>
      <w:r>
        <w:t xml:space="preserve"> Sentencia </w:t>
      </w:r>
      <w:hyperlink w:anchor="SENTENCIA_2013_17" w:history="1">
        <w:r w:rsidRPr="00E27756">
          <w:rPr>
            <w:rStyle w:val="TextoNormalCaracter"/>
          </w:rPr>
          <w:t>17/2013</w:t>
        </w:r>
      </w:hyperlink>
      <w:r>
        <w:t>, ff. 2, 5, 7.</w:t>
      </w:r>
    </w:p>
    <w:p w:rsidR="00E27756" w:rsidRDefault="00E27756" w:rsidP="00E27756">
      <w:pPr>
        <w:pStyle w:val="SangriaFrancesaArticulo"/>
      </w:pPr>
      <w:r w:rsidRPr="00E27756">
        <w:rPr>
          <w:rStyle w:val="TextoNormalNegritaCaracter"/>
        </w:rPr>
        <w:t>Artículo 13.2.</w:t>
      </w:r>
      <w:r w:rsidRPr="00E27756">
        <w:rPr>
          <w:rStyle w:val="TextoNormalCaracter"/>
        </w:rPr>
        <w:t>-</w:t>
      </w:r>
      <w:r>
        <w:t xml:space="preserve"> Sentencia </w:t>
      </w:r>
      <w:hyperlink w:anchor="SENTENCIA_2013_17" w:history="1">
        <w:r w:rsidRPr="00E27756">
          <w:rPr>
            <w:rStyle w:val="TextoNormalCaracter"/>
          </w:rPr>
          <w:t>17/2013</w:t>
        </w:r>
      </w:hyperlink>
      <w:r>
        <w:t>, f. 2.</w:t>
      </w:r>
    </w:p>
    <w:p w:rsidR="00E27756" w:rsidRDefault="00E27756" w:rsidP="00E27756">
      <w:pPr>
        <w:pStyle w:val="SangriaFrancesaArticulo"/>
      </w:pPr>
      <w:r w:rsidRPr="00E27756">
        <w:rPr>
          <w:rStyle w:val="TextoNormalNegritaCaracter"/>
        </w:rPr>
        <w:t>Artículo 13.3.</w:t>
      </w:r>
      <w:r w:rsidRPr="00E27756">
        <w:rPr>
          <w:rStyle w:val="TextoNormalCaracter"/>
        </w:rPr>
        <w:t>-</w:t>
      </w:r>
      <w:r>
        <w:t xml:space="preserve"> Sentencia </w:t>
      </w:r>
      <w:hyperlink w:anchor="SENTENCIA_2013_31" w:history="1">
        <w:r w:rsidRPr="00E27756">
          <w:rPr>
            <w:rStyle w:val="TextoNormalCaracter"/>
          </w:rPr>
          <w:t>31/2013</w:t>
        </w:r>
      </w:hyperlink>
      <w:r>
        <w:t>, ff. 1, 3, 5, 7, VP I.</w:t>
      </w:r>
    </w:p>
    <w:p w:rsidR="00E27756" w:rsidRDefault="00E27756" w:rsidP="00E27756">
      <w:pPr>
        <w:pStyle w:val="SangriaIzquierdaArticulo"/>
      </w:pPr>
      <w:r>
        <w:t xml:space="preserve">Auto </w:t>
      </w:r>
      <w:hyperlink w:anchor="AUTO_2013_2" w:history="1">
        <w:r w:rsidRPr="00E27756">
          <w:rPr>
            <w:rStyle w:val="TextoNormalCaracter"/>
          </w:rPr>
          <w:t>2/2013</w:t>
        </w:r>
      </w:hyperlink>
      <w:r>
        <w:t>, f. 2.</w:t>
      </w:r>
    </w:p>
    <w:p w:rsidR="00E27756" w:rsidRDefault="00E27756" w:rsidP="00E27756">
      <w:pPr>
        <w:pStyle w:val="SangriaFrancesaArticulo"/>
      </w:pPr>
      <w:r w:rsidRPr="00E27756">
        <w:rPr>
          <w:rStyle w:val="TextoNormalNegritaCaracter"/>
        </w:rPr>
        <w:t>Artículo 14.</w:t>
      </w:r>
      <w:r w:rsidRPr="00E27756">
        <w:rPr>
          <w:rStyle w:val="TextoNormalCaracter"/>
        </w:rPr>
        <w:t>-</w:t>
      </w:r>
      <w:r>
        <w:t xml:space="preserve"> Sentencias </w:t>
      </w:r>
      <w:hyperlink w:anchor="SENTENCIA_2013_20" w:history="1">
        <w:r w:rsidRPr="00E27756">
          <w:rPr>
            <w:rStyle w:val="TextoNormalCaracter"/>
          </w:rPr>
          <w:t>20/2013</w:t>
        </w:r>
      </w:hyperlink>
      <w:r>
        <w:t xml:space="preserve">, f. 10; </w:t>
      </w:r>
      <w:hyperlink w:anchor="SENTENCIA_2013_28" w:history="1">
        <w:r w:rsidRPr="00E27756">
          <w:rPr>
            <w:rStyle w:val="TextoNormalCaracter"/>
          </w:rPr>
          <w:t>28/2013</w:t>
        </w:r>
      </w:hyperlink>
      <w:r>
        <w:t xml:space="preserve">, f. 1; </w:t>
      </w:r>
      <w:hyperlink w:anchor="SENTENCIA_2013_30" w:history="1">
        <w:r w:rsidRPr="00E27756">
          <w:rPr>
            <w:rStyle w:val="TextoNormalCaracter"/>
          </w:rPr>
          <w:t>30/2013</w:t>
        </w:r>
      </w:hyperlink>
      <w:r>
        <w:t xml:space="preserve">, f. 1; </w:t>
      </w:r>
      <w:hyperlink w:anchor="SENTENCIA_2013_39" w:history="1">
        <w:r w:rsidRPr="00E27756">
          <w:rPr>
            <w:rStyle w:val="TextoNormalCaracter"/>
          </w:rPr>
          <w:t>39/2013</w:t>
        </w:r>
      </w:hyperlink>
      <w:r>
        <w:t xml:space="preserve">, f. 1; </w:t>
      </w:r>
      <w:hyperlink w:anchor="SENTENCIA_2013_41" w:history="1">
        <w:r w:rsidRPr="00E27756">
          <w:rPr>
            <w:rStyle w:val="TextoNormalCaracter"/>
          </w:rPr>
          <w:t>41/2013</w:t>
        </w:r>
      </w:hyperlink>
      <w:r>
        <w:t xml:space="preserve">, ff. 1, 3, 5, 6, 9; </w:t>
      </w:r>
      <w:hyperlink w:anchor="SENTENCIA_2013_42" w:history="1">
        <w:r w:rsidRPr="00E27756">
          <w:rPr>
            <w:rStyle w:val="TextoNormalCaracter"/>
          </w:rPr>
          <w:t>42/2013</w:t>
        </w:r>
      </w:hyperlink>
      <w:r>
        <w:t xml:space="preserve">, f. 1; </w:t>
      </w:r>
      <w:hyperlink w:anchor="SENTENCIA_2013_44" w:history="1">
        <w:r w:rsidRPr="00E27756">
          <w:rPr>
            <w:rStyle w:val="TextoNormalCaracter"/>
          </w:rPr>
          <w:t>44/2013</w:t>
        </w:r>
      </w:hyperlink>
      <w:r>
        <w:t xml:space="preserve">, ff. 1, 3; </w:t>
      </w:r>
      <w:hyperlink w:anchor="SENTENCIA_2013_54" w:history="1">
        <w:r w:rsidRPr="00E27756">
          <w:rPr>
            <w:rStyle w:val="TextoNormalCaracter"/>
          </w:rPr>
          <w:t>54/2013</w:t>
        </w:r>
      </w:hyperlink>
      <w:r>
        <w:t xml:space="preserve">, f. 1; </w:t>
      </w:r>
      <w:hyperlink w:anchor="SENTENCIA_2013_55" w:history="1">
        <w:r w:rsidRPr="00E27756">
          <w:rPr>
            <w:rStyle w:val="TextoNormalCaracter"/>
          </w:rPr>
          <w:t>55/2013</w:t>
        </w:r>
      </w:hyperlink>
      <w:r>
        <w:t xml:space="preserve">, f. 1; </w:t>
      </w:r>
      <w:hyperlink w:anchor="SENTENCIA_2013_61" w:history="1">
        <w:r w:rsidRPr="00E27756">
          <w:rPr>
            <w:rStyle w:val="TextoNormalCaracter"/>
          </w:rPr>
          <w:t>61/2013</w:t>
        </w:r>
      </w:hyperlink>
      <w:r>
        <w:t xml:space="preserve">, ff. 1 a 6; </w:t>
      </w:r>
      <w:hyperlink w:anchor="SENTENCIA_2013_67" w:history="1">
        <w:r w:rsidRPr="00E27756">
          <w:rPr>
            <w:rStyle w:val="TextoNormalCaracter"/>
          </w:rPr>
          <w:t>67/2013</w:t>
        </w:r>
      </w:hyperlink>
      <w:r>
        <w:t xml:space="preserve">, f. 2; </w:t>
      </w:r>
      <w:hyperlink w:anchor="SENTENCIA_2013_68" w:history="1">
        <w:r w:rsidRPr="00E27756">
          <w:rPr>
            <w:rStyle w:val="TextoNormalCaracter"/>
          </w:rPr>
          <w:t>68/2013</w:t>
        </w:r>
      </w:hyperlink>
      <w:r>
        <w:t xml:space="preserve">, f. 4; </w:t>
      </w:r>
      <w:hyperlink w:anchor="SENTENCIA_2013_71" w:history="1">
        <w:r w:rsidRPr="00E27756">
          <w:rPr>
            <w:rStyle w:val="TextoNormalCaracter"/>
          </w:rPr>
          <w:t>71/2013</w:t>
        </w:r>
      </w:hyperlink>
      <w:r>
        <w:t xml:space="preserve">, ff. 2 a 4; </w:t>
      </w:r>
      <w:hyperlink w:anchor="SENTENCIA_2013_72" w:history="1">
        <w:r w:rsidRPr="00E27756">
          <w:rPr>
            <w:rStyle w:val="TextoNormalCaracter"/>
          </w:rPr>
          <w:t>72/2013</w:t>
        </w:r>
      </w:hyperlink>
      <w:r>
        <w:t xml:space="preserve">, ff. 1 a 3; </w:t>
      </w:r>
      <w:hyperlink w:anchor="SENTENCIA_2013_77" w:history="1">
        <w:r w:rsidRPr="00E27756">
          <w:rPr>
            <w:rStyle w:val="TextoNormalCaracter"/>
          </w:rPr>
          <w:t>77/2013</w:t>
        </w:r>
      </w:hyperlink>
      <w:r>
        <w:t xml:space="preserve">, f. 1; </w:t>
      </w:r>
      <w:hyperlink w:anchor="SENTENCIA_2013_93" w:history="1">
        <w:r w:rsidRPr="00E27756">
          <w:rPr>
            <w:rStyle w:val="TextoNormalCaracter"/>
          </w:rPr>
          <w:t>93/2013</w:t>
        </w:r>
      </w:hyperlink>
      <w:r>
        <w:t xml:space="preserve">, ff. 3, 6, 10, 11, 13; </w:t>
      </w:r>
      <w:hyperlink w:anchor="SENTENCIA_2013_96" w:history="1">
        <w:r w:rsidRPr="00E27756">
          <w:rPr>
            <w:rStyle w:val="TextoNormalCaracter"/>
          </w:rPr>
          <w:t>96/2013</w:t>
        </w:r>
      </w:hyperlink>
      <w:r>
        <w:t xml:space="preserve">, ff. 1, 3; </w:t>
      </w:r>
      <w:hyperlink w:anchor="SENTENCIA_2013_116" w:history="1">
        <w:r w:rsidRPr="00E27756">
          <w:rPr>
            <w:rStyle w:val="TextoNormalCaracter"/>
          </w:rPr>
          <w:t>116/2013</w:t>
        </w:r>
      </w:hyperlink>
      <w:r>
        <w:t xml:space="preserve">, ff. 1, 3 a 5; </w:t>
      </w:r>
      <w:hyperlink w:anchor="SENTENCIA_2013_117" w:history="1">
        <w:r w:rsidRPr="00E27756">
          <w:rPr>
            <w:rStyle w:val="TextoNormalCaracter"/>
          </w:rPr>
          <w:t>117/2013</w:t>
        </w:r>
      </w:hyperlink>
      <w:r>
        <w:t xml:space="preserve">, ff. 1, 2; </w:t>
      </w:r>
      <w:hyperlink w:anchor="SENTENCIA_2013_128" w:history="1">
        <w:r w:rsidRPr="00E27756">
          <w:rPr>
            <w:rStyle w:val="TextoNormalCaracter"/>
          </w:rPr>
          <w:t>128/2013</w:t>
        </w:r>
      </w:hyperlink>
      <w:r>
        <w:t xml:space="preserve">, ff. 1, 2; </w:t>
      </w:r>
      <w:hyperlink w:anchor="SENTENCIA_2013_129" w:history="1">
        <w:r w:rsidRPr="00E27756">
          <w:rPr>
            <w:rStyle w:val="TextoNormalCaracter"/>
          </w:rPr>
          <w:t>129/2013</w:t>
        </w:r>
      </w:hyperlink>
      <w:r>
        <w:t xml:space="preserve">, f. 2; </w:t>
      </w:r>
      <w:hyperlink w:anchor="SENTENCIA_2013_131" w:history="1">
        <w:r w:rsidRPr="00E27756">
          <w:rPr>
            <w:rStyle w:val="TextoNormalCaracter"/>
          </w:rPr>
          <w:t>131/2013</w:t>
        </w:r>
      </w:hyperlink>
      <w:r>
        <w:t xml:space="preserve">, ff. 3, 9, 10, VP II, VP III; </w:t>
      </w:r>
      <w:hyperlink w:anchor="SENTENCIA_2013_133" w:history="1">
        <w:r w:rsidRPr="00E27756">
          <w:rPr>
            <w:rStyle w:val="TextoNormalCaracter"/>
          </w:rPr>
          <w:t>133/2013</w:t>
        </w:r>
      </w:hyperlink>
      <w:r>
        <w:t>, f. 6.</w:t>
      </w:r>
    </w:p>
    <w:p w:rsidR="00E27756" w:rsidRDefault="00E27756" w:rsidP="00E27756">
      <w:pPr>
        <w:pStyle w:val="SangriaIzquierdaArticulo"/>
      </w:pPr>
      <w:r>
        <w:t xml:space="preserve">Autos </w:t>
      </w:r>
      <w:hyperlink w:anchor="AUTO_2013_2" w:history="1">
        <w:r w:rsidRPr="00E27756">
          <w:rPr>
            <w:rStyle w:val="TextoNormalCaracter"/>
          </w:rPr>
          <w:t>2/2013</w:t>
        </w:r>
      </w:hyperlink>
      <w:r>
        <w:t xml:space="preserve">, f. 2; </w:t>
      </w:r>
      <w:hyperlink w:anchor="AUTO_2013_8" w:history="1">
        <w:r w:rsidRPr="00E27756">
          <w:rPr>
            <w:rStyle w:val="TextoNormalCaracter"/>
          </w:rPr>
          <w:t>8/2013</w:t>
        </w:r>
      </w:hyperlink>
      <w:r>
        <w:t xml:space="preserve">, f. único; </w:t>
      </w:r>
      <w:hyperlink w:anchor="AUTO_2013_59" w:history="1">
        <w:r w:rsidRPr="00E27756">
          <w:rPr>
            <w:rStyle w:val="TextoNormalCaracter"/>
          </w:rPr>
          <w:t>59/2013</w:t>
        </w:r>
      </w:hyperlink>
      <w:r>
        <w:t xml:space="preserve">, ff. 1, 14; </w:t>
      </w:r>
      <w:hyperlink w:anchor="AUTO_2013_69" w:history="1">
        <w:r w:rsidRPr="00E27756">
          <w:rPr>
            <w:rStyle w:val="TextoNormalCaracter"/>
          </w:rPr>
          <w:t>69/2013</w:t>
        </w:r>
      </w:hyperlink>
      <w:r>
        <w:t xml:space="preserve">, f. único; </w:t>
      </w:r>
      <w:hyperlink w:anchor="AUTO_2013_73" w:history="1">
        <w:r w:rsidRPr="00E27756">
          <w:rPr>
            <w:rStyle w:val="TextoNormalCaracter"/>
          </w:rPr>
          <w:t>73/2013</w:t>
        </w:r>
      </w:hyperlink>
      <w:r>
        <w:t xml:space="preserve">, f. único; </w:t>
      </w:r>
      <w:hyperlink w:anchor="AUTO_2013_76" w:history="1">
        <w:r w:rsidRPr="00E27756">
          <w:rPr>
            <w:rStyle w:val="TextoNormalCaracter"/>
          </w:rPr>
          <w:t>76/2013</w:t>
        </w:r>
      </w:hyperlink>
      <w:r>
        <w:t xml:space="preserve">, f. único; </w:t>
      </w:r>
      <w:hyperlink w:anchor="AUTO_2013_77" w:history="1">
        <w:r w:rsidRPr="00E27756">
          <w:rPr>
            <w:rStyle w:val="TextoNormalCaracter"/>
          </w:rPr>
          <w:t>77/2013</w:t>
        </w:r>
      </w:hyperlink>
      <w:r>
        <w:t xml:space="preserve">, f. único; </w:t>
      </w:r>
      <w:hyperlink w:anchor="AUTO_2013_79" w:history="1">
        <w:r w:rsidRPr="00E27756">
          <w:rPr>
            <w:rStyle w:val="TextoNormalCaracter"/>
          </w:rPr>
          <w:t>79/2013</w:t>
        </w:r>
      </w:hyperlink>
      <w:r>
        <w:t>, f. único.</w:t>
      </w:r>
    </w:p>
    <w:p w:rsidR="00E27756" w:rsidRDefault="00E27756" w:rsidP="00E27756">
      <w:pPr>
        <w:pStyle w:val="SangriaFrancesaArticulo"/>
      </w:pPr>
      <w:r w:rsidRPr="00E27756">
        <w:rPr>
          <w:rStyle w:val="TextoNormalNegritaCaracter"/>
        </w:rPr>
        <w:t>Artículo 14</w:t>
      </w:r>
      <w:r>
        <w:t xml:space="preserve"> </w:t>
      </w:r>
      <w:r w:rsidRPr="00E27756">
        <w:rPr>
          <w:rStyle w:val="TextoNormalCaracter"/>
        </w:rPr>
        <w:t>(discriminación por sexo)</w:t>
      </w:r>
      <w:r w:rsidRPr="00E27756">
        <w:rPr>
          <w:rStyle w:val="TextoNormalNegritaCaracter"/>
        </w:rPr>
        <w:t>.</w:t>
      </w:r>
      <w:r w:rsidRPr="00E27756">
        <w:rPr>
          <w:rStyle w:val="TextoNormalCaracter"/>
        </w:rPr>
        <w:t>-</w:t>
      </w:r>
      <w:r>
        <w:t xml:space="preserve"> Sentencias </w:t>
      </w:r>
      <w:hyperlink w:anchor="SENTENCIA_2013_71" w:history="1">
        <w:r w:rsidRPr="00E27756">
          <w:rPr>
            <w:rStyle w:val="TextoNormalCaracter"/>
          </w:rPr>
          <w:t>71/2013</w:t>
        </w:r>
      </w:hyperlink>
      <w:r>
        <w:t xml:space="preserve">, ff. 1, 4; </w:t>
      </w:r>
      <w:hyperlink w:anchor="SENTENCIA_2013_117" w:history="1">
        <w:r w:rsidRPr="00E27756">
          <w:rPr>
            <w:rStyle w:val="TextoNormalCaracter"/>
          </w:rPr>
          <w:t>117/2013</w:t>
        </w:r>
      </w:hyperlink>
      <w:r>
        <w:t>, f. 2.</w:t>
      </w:r>
    </w:p>
    <w:p w:rsidR="00E27756" w:rsidRDefault="00E27756" w:rsidP="00E27756">
      <w:pPr>
        <w:pStyle w:val="SangriaIzquierdaArticulo"/>
      </w:pPr>
      <w:r>
        <w:t xml:space="preserve">Auto </w:t>
      </w:r>
      <w:hyperlink w:anchor="AUTO_2013_89" w:history="1">
        <w:r w:rsidRPr="00E27756">
          <w:rPr>
            <w:rStyle w:val="TextoNormalCaracter"/>
          </w:rPr>
          <w:t>89/2013</w:t>
        </w:r>
      </w:hyperlink>
      <w:r>
        <w:t>, VP II.</w:t>
      </w:r>
    </w:p>
    <w:p w:rsidR="00E27756" w:rsidRDefault="00E27756" w:rsidP="00E27756">
      <w:pPr>
        <w:pStyle w:val="SangriaFrancesaArticulo"/>
      </w:pPr>
      <w:r w:rsidRPr="00E27756">
        <w:rPr>
          <w:rStyle w:val="TextoNormalNegritaCaracter"/>
        </w:rPr>
        <w:t>Artículo 14</w:t>
      </w:r>
      <w:r>
        <w:t xml:space="preserve"> </w:t>
      </w:r>
      <w:r w:rsidRPr="00E27756">
        <w:rPr>
          <w:rStyle w:val="TextoNormalCaracter"/>
        </w:rPr>
        <w:t>(igualdad en la aplicación de la ley)</w:t>
      </w:r>
      <w:r w:rsidRPr="00E27756">
        <w:rPr>
          <w:rStyle w:val="TextoNormalNegritaCaracter"/>
        </w:rPr>
        <w:t>.</w:t>
      </w:r>
      <w:r w:rsidRPr="00E27756">
        <w:rPr>
          <w:rStyle w:val="TextoNormalCaracter"/>
        </w:rPr>
        <w:t>-</w:t>
      </w:r>
      <w:r>
        <w:t xml:space="preserve"> Sentencias </w:t>
      </w:r>
      <w:hyperlink w:anchor="SENTENCIA_2013_11" w:history="1">
        <w:r w:rsidRPr="00E27756">
          <w:rPr>
            <w:rStyle w:val="TextoNormalCaracter"/>
          </w:rPr>
          <w:t>11/2013</w:t>
        </w:r>
      </w:hyperlink>
      <w:r>
        <w:t xml:space="preserve">, ff. 1, 2, 4; </w:t>
      </w:r>
      <w:hyperlink w:anchor="SENTENCIA_2013_45" w:history="1">
        <w:r w:rsidRPr="00E27756">
          <w:rPr>
            <w:rStyle w:val="TextoNormalCaracter"/>
          </w:rPr>
          <w:t>45/2013</w:t>
        </w:r>
      </w:hyperlink>
      <w:r>
        <w:t xml:space="preserve">, f. 1; </w:t>
      </w:r>
      <w:hyperlink w:anchor="SENTENCIA_2013_74" w:history="1">
        <w:r w:rsidRPr="00E27756">
          <w:rPr>
            <w:rStyle w:val="TextoNormalCaracter"/>
          </w:rPr>
          <w:t>74/2013</w:t>
        </w:r>
      </w:hyperlink>
      <w:r>
        <w:t xml:space="preserve">, ff. 1, 4; </w:t>
      </w:r>
      <w:hyperlink w:anchor="SENTENCIA_2013_81" w:history="1">
        <w:r w:rsidRPr="00E27756">
          <w:rPr>
            <w:rStyle w:val="TextoNormalCaracter"/>
          </w:rPr>
          <w:t>81/2013</w:t>
        </w:r>
      </w:hyperlink>
      <w:r>
        <w:t xml:space="preserve">, f. 3; </w:t>
      </w:r>
      <w:hyperlink w:anchor="SENTENCIA_2013_108" w:history="1">
        <w:r w:rsidRPr="00E27756">
          <w:rPr>
            <w:rStyle w:val="TextoNormalCaracter"/>
          </w:rPr>
          <w:t>108/2013</w:t>
        </w:r>
      </w:hyperlink>
      <w:r>
        <w:t xml:space="preserve">, ff. 1, 4; </w:t>
      </w:r>
      <w:hyperlink w:anchor="SENTENCIA_2013_129" w:history="1">
        <w:r w:rsidRPr="00E27756">
          <w:rPr>
            <w:rStyle w:val="TextoNormalCaracter"/>
          </w:rPr>
          <w:t>129/2013</w:t>
        </w:r>
      </w:hyperlink>
      <w:r>
        <w:t xml:space="preserve">, f. 1; </w:t>
      </w:r>
      <w:hyperlink w:anchor="SENTENCIA_2013_131" w:history="1">
        <w:r w:rsidRPr="00E27756">
          <w:rPr>
            <w:rStyle w:val="TextoNormalCaracter"/>
          </w:rPr>
          <w:t>131/2013</w:t>
        </w:r>
      </w:hyperlink>
      <w:r>
        <w:t>, VP II, VP V.</w:t>
      </w:r>
    </w:p>
    <w:p w:rsidR="00E27756" w:rsidRDefault="00E27756" w:rsidP="00E27756">
      <w:pPr>
        <w:pStyle w:val="SangriaFrancesaArticulo"/>
      </w:pPr>
      <w:r w:rsidRPr="00E27756">
        <w:rPr>
          <w:rStyle w:val="TextoNormalNegritaCaracter"/>
        </w:rPr>
        <w:t>Artículo 14</w:t>
      </w:r>
      <w:r>
        <w:t xml:space="preserve"> </w:t>
      </w:r>
      <w:r w:rsidRPr="00E27756">
        <w:rPr>
          <w:rStyle w:val="TextoNormalCaracter"/>
        </w:rPr>
        <w:t>(igualdad en la ley)</w:t>
      </w:r>
      <w:r w:rsidRPr="00E27756">
        <w:rPr>
          <w:rStyle w:val="TextoNormalNegritaCaracter"/>
        </w:rPr>
        <w:t>.</w:t>
      </w:r>
      <w:r w:rsidRPr="00E27756">
        <w:rPr>
          <w:rStyle w:val="TextoNormalCaracter"/>
        </w:rPr>
        <w:t>-</w:t>
      </w:r>
      <w:r>
        <w:t xml:space="preserve"> Sentencias </w:t>
      </w:r>
      <w:hyperlink w:anchor="SENTENCIA_2013_44" w:history="1">
        <w:r w:rsidRPr="00E27756">
          <w:rPr>
            <w:rStyle w:val="TextoNormalCaracter"/>
          </w:rPr>
          <w:t>44/2013</w:t>
        </w:r>
      </w:hyperlink>
      <w:r>
        <w:t xml:space="preserve">, f. 1; </w:t>
      </w:r>
      <w:hyperlink w:anchor="SENTENCIA_2013_55" w:history="1">
        <w:r w:rsidRPr="00E27756">
          <w:rPr>
            <w:rStyle w:val="TextoNormalCaracter"/>
          </w:rPr>
          <w:t>55/2013</w:t>
        </w:r>
      </w:hyperlink>
      <w:r>
        <w:t xml:space="preserve">, f. 2; </w:t>
      </w:r>
      <w:hyperlink w:anchor="SENTENCIA_2013_71" w:history="1">
        <w:r w:rsidRPr="00E27756">
          <w:rPr>
            <w:rStyle w:val="TextoNormalCaracter"/>
          </w:rPr>
          <w:t>71/2013</w:t>
        </w:r>
      </w:hyperlink>
      <w:r>
        <w:t xml:space="preserve">, ff. 1, 4; </w:t>
      </w:r>
      <w:hyperlink w:anchor="SENTENCIA_2013_77" w:history="1">
        <w:r w:rsidRPr="00E27756">
          <w:rPr>
            <w:rStyle w:val="TextoNormalCaracter"/>
          </w:rPr>
          <w:t>77/2013</w:t>
        </w:r>
      </w:hyperlink>
      <w:r>
        <w:t xml:space="preserve">, ff. 2, 3; </w:t>
      </w:r>
      <w:hyperlink w:anchor="SENTENCIA_2013_108" w:history="1">
        <w:r w:rsidRPr="00E27756">
          <w:rPr>
            <w:rStyle w:val="TextoNormalCaracter"/>
          </w:rPr>
          <w:t>108/2013</w:t>
        </w:r>
      </w:hyperlink>
      <w:r>
        <w:t xml:space="preserve">, ff. 1, 4; </w:t>
      </w:r>
      <w:hyperlink w:anchor="SENTENCIA_2013_116" w:history="1">
        <w:r w:rsidRPr="00E27756">
          <w:rPr>
            <w:rStyle w:val="TextoNormalCaracter"/>
          </w:rPr>
          <w:t>116/2013</w:t>
        </w:r>
      </w:hyperlink>
      <w:r>
        <w:t xml:space="preserve">, f. 4; </w:t>
      </w:r>
      <w:hyperlink w:anchor="SENTENCIA_2013_117" w:history="1">
        <w:r w:rsidRPr="00E27756">
          <w:rPr>
            <w:rStyle w:val="TextoNormalCaracter"/>
          </w:rPr>
          <w:t>117/2013</w:t>
        </w:r>
      </w:hyperlink>
      <w:r>
        <w:t>, f. 2.</w:t>
      </w:r>
    </w:p>
    <w:p w:rsidR="00E27756" w:rsidRDefault="00E27756" w:rsidP="00E27756">
      <w:pPr>
        <w:pStyle w:val="SangriaFrancesaArticulo"/>
      </w:pPr>
      <w:r w:rsidRPr="00E27756">
        <w:rPr>
          <w:rStyle w:val="TextoNormalNegritaCaracter"/>
        </w:rPr>
        <w:t>Artículos 14 a 29 y 30.2.</w:t>
      </w:r>
      <w:r w:rsidRPr="00E27756">
        <w:rPr>
          <w:rStyle w:val="TextoNormalCaracter"/>
        </w:rPr>
        <w:t>-</w:t>
      </w:r>
      <w:r>
        <w:t xml:space="preserve"> Sentencias </w:t>
      </w:r>
      <w:hyperlink w:anchor="SENTENCIA_2013_31" w:history="1">
        <w:r w:rsidRPr="00E27756">
          <w:rPr>
            <w:rStyle w:val="TextoNormalCaracter"/>
          </w:rPr>
          <w:t>31/2013</w:t>
        </w:r>
      </w:hyperlink>
      <w:r>
        <w:t xml:space="preserve">, ff. 3, VP I; </w:t>
      </w:r>
      <w:hyperlink w:anchor="SENTENCIA_2013_127" w:history="1">
        <w:r w:rsidRPr="00E27756">
          <w:rPr>
            <w:rStyle w:val="TextoNormalCaracter"/>
          </w:rPr>
          <w:t>127/2013</w:t>
        </w:r>
      </w:hyperlink>
      <w:r>
        <w:t>, f. 3.</w:t>
      </w:r>
    </w:p>
    <w:p w:rsidR="00E27756" w:rsidRDefault="00E27756" w:rsidP="00E27756">
      <w:pPr>
        <w:pStyle w:val="SangriaFrancesaArticulo"/>
      </w:pPr>
      <w:r w:rsidRPr="00E27756">
        <w:rPr>
          <w:rStyle w:val="TextoNormalNegritaCaracter"/>
        </w:rPr>
        <w:t>Artículo 15.</w:t>
      </w:r>
      <w:r w:rsidRPr="00E27756">
        <w:rPr>
          <w:rStyle w:val="TextoNormalCaracter"/>
        </w:rPr>
        <w:t>-</w:t>
      </w:r>
      <w:r>
        <w:t xml:space="preserve"> Sentencias </w:t>
      </w:r>
      <w:hyperlink w:anchor="SENTENCIA_2013_12" w:history="1">
        <w:r w:rsidRPr="00E27756">
          <w:rPr>
            <w:rStyle w:val="TextoNormalCaracter"/>
          </w:rPr>
          <w:t>12/2013</w:t>
        </w:r>
      </w:hyperlink>
      <w:r>
        <w:t xml:space="preserve">, ff. 1 a 4, VP; </w:t>
      </w:r>
      <w:hyperlink w:anchor="SENTENCIA_2013_17" w:history="1">
        <w:r w:rsidRPr="00E27756">
          <w:rPr>
            <w:rStyle w:val="TextoNormalCaracter"/>
          </w:rPr>
          <w:t>17/2013</w:t>
        </w:r>
      </w:hyperlink>
      <w:r>
        <w:t xml:space="preserve">, ff. 1, 13; </w:t>
      </w:r>
      <w:hyperlink w:anchor="SENTENCIA_2013_29" w:history="1">
        <w:r w:rsidRPr="00E27756">
          <w:rPr>
            <w:rStyle w:val="TextoNormalCaracter"/>
          </w:rPr>
          <w:t>29/2013</w:t>
        </w:r>
      </w:hyperlink>
      <w:r>
        <w:t xml:space="preserve">, f. 2; </w:t>
      </w:r>
      <w:hyperlink w:anchor="SENTENCIA_2013_110" w:history="1">
        <w:r w:rsidRPr="00E27756">
          <w:rPr>
            <w:rStyle w:val="TextoNormalCaracter"/>
          </w:rPr>
          <w:t>110/2013</w:t>
        </w:r>
      </w:hyperlink>
      <w:r>
        <w:t xml:space="preserve">, f. 1; </w:t>
      </w:r>
      <w:hyperlink w:anchor="SENTENCIA_2013_128" w:history="1">
        <w:r w:rsidRPr="00E27756">
          <w:rPr>
            <w:rStyle w:val="TextoNormalCaracter"/>
          </w:rPr>
          <w:t>128/2013</w:t>
        </w:r>
      </w:hyperlink>
      <w:r>
        <w:t>, f. 3.</w:t>
      </w:r>
    </w:p>
    <w:p w:rsidR="00E27756" w:rsidRDefault="00E27756" w:rsidP="00E27756">
      <w:pPr>
        <w:pStyle w:val="SangriaIzquierdaArticulo"/>
      </w:pPr>
      <w:r>
        <w:t xml:space="preserve">Autos </w:t>
      </w:r>
      <w:hyperlink w:anchor="AUTO_2013_21" w:history="1">
        <w:r w:rsidRPr="00E27756">
          <w:rPr>
            <w:rStyle w:val="TextoNormalCaracter"/>
          </w:rPr>
          <w:t>21/2013</w:t>
        </w:r>
      </w:hyperlink>
      <w:r>
        <w:t xml:space="preserve">, ff. 1, 2; </w:t>
      </w:r>
      <w:hyperlink w:anchor="AUTO_2013_142" w:history="1">
        <w:r w:rsidRPr="00E27756">
          <w:rPr>
            <w:rStyle w:val="TextoNormalCaracter"/>
          </w:rPr>
          <w:t>142/2013</w:t>
        </w:r>
      </w:hyperlink>
      <w:r>
        <w:t>, f. 3 b).</w:t>
      </w:r>
    </w:p>
    <w:p w:rsidR="00E27756" w:rsidRDefault="00E27756" w:rsidP="00E27756">
      <w:pPr>
        <w:pStyle w:val="SangriaFrancesaArticulo"/>
      </w:pPr>
      <w:r w:rsidRPr="00E27756">
        <w:rPr>
          <w:rStyle w:val="TextoNormalNegritaCaracter"/>
        </w:rPr>
        <w:lastRenderedPageBreak/>
        <w:t>Artículo 15.1.</w:t>
      </w:r>
      <w:r w:rsidRPr="00E27756">
        <w:rPr>
          <w:rStyle w:val="TextoNormalCaracter"/>
        </w:rPr>
        <w:t>-</w:t>
      </w:r>
      <w:r>
        <w:t xml:space="preserve"> Sentencia </w:t>
      </w:r>
      <w:hyperlink w:anchor="SENTENCIA_2013_93" w:history="1">
        <w:r w:rsidRPr="00E27756">
          <w:rPr>
            <w:rStyle w:val="TextoNormalCaracter"/>
          </w:rPr>
          <w:t>93/2013</w:t>
        </w:r>
      </w:hyperlink>
      <w:r>
        <w:t>, f. 6.</w:t>
      </w:r>
    </w:p>
    <w:p w:rsidR="00E27756" w:rsidRDefault="00E27756" w:rsidP="00E27756">
      <w:pPr>
        <w:pStyle w:val="SangriaFrancesaArticulo"/>
      </w:pPr>
      <w:r w:rsidRPr="00E27756">
        <w:rPr>
          <w:rStyle w:val="TextoNormalNegritaCaracter"/>
        </w:rPr>
        <w:t>Artículo 16.1.</w:t>
      </w:r>
      <w:r w:rsidRPr="00E27756">
        <w:rPr>
          <w:rStyle w:val="TextoNormalCaracter"/>
        </w:rPr>
        <w:t>-</w:t>
      </w:r>
      <w:r>
        <w:t xml:space="preserve"> Auto </w:t>
      </w:r>
      <w:hyperlink w:anchor="AUTO_2013_89" w:history="1">
        <w:r w:rsidRPr="00E27756">
          <w:rPr>
            <w:rStyle w:val="TextoNormalCaracter"/>
          </w:rPr>
          <w:t>89/2013</w:t>
        </w:r>
      </w:hyperlink>
      <w:r>
        <w:t>, VP I.</w:t>
      </w:r>
    </w:p>
    <w:p w:rsidR="00E27756" w:rsidRDefault="00E27756" w:rsidP="00E27756">
      <w:pPr>
        <w:pStyle w:val="SangriaFrancesaArticulo"/>
      </w:pPr>
      <w:r w:rsidRPr="00E27756">
        <w:rPr>
          <w:rStyle w:val="TextoNormalNegritaCaracter"/>
        </w:rPr>
        <w:t>Artículo 16.3.</w:t>
      </w:r>
      <w:r w:rsidRPr="00E27756">
        <w:rPr>
          <w:rStyle w:val="TextoNormalCaracter"/>
        </w:rPr>
        <w:t>-</w:t>
      </w:r>
      <w:r>
        <w:t xml:space="preserve"> Sentencia </w:t>
      </w:r>
      <w:hyperlink w:anchor="SENTENCIA_2013_131" w:history="1">
        <w:r w:rsidRPr="00E27756">
          <w:rPr>
            <w:rStyle w:val="TextoNormalCaracter"/>
          </w:rPr>
          <w:t>131/2013</w:t>
        </w:r>
      </w:hyperlink>
      <w:r>
        <w:t>, f. 10, VP I, VP II, VP III, VP IV, VP V.</w:t>
      </w:r>
    </w:p>
    <w:p w:rsidR="00E27756" w:rsidRDefault="00E27756" w:rsidP="00E27756">
      <w:pPr>
        <w:pStyle w:val="SangriaFrancesaArticulo"/>
      </w:pPr>
      <w:r w:rsidRPr="00E27756">
        <w:rPr>
          <w:rStyle w:val="TextoNormalNegritaCaracter"/>
        </w:rPr>
        <w:t>Artículo 17.</w:t>
      </w:r>
      <w:r w:rsidRPr="00E27756">
        <w:rPr>
          <w:rStyle w:val="TextoNormalCaracter"/>
        </w:rPr>
        <w:t>-</w:t>
      </w:r>
      <w:r>
        <w:t xml:space="preserve"> Sentencias </w:t>
      </w:r>
      <w:hyperlink w:anchor="SENTENCIA_2013_17" w:history="1">
        <w:r w:rsidRPr="00E27756">
          <w:rPr>
            <w:rStyle w:val="TextoNormalCaracter"/>
          </w:rPr>
          <w:t>17/2013</w:t>
        </w:r>
      </w:hyperlink>
      <w:r>
        <w:t xml:space="preserve">, ff. 1, 13, 15; </w:t>
      </w:r>
      <w:hyperlink w:anchor="SENTENCIA_2013_54" w:history="1">
        <w:r w:rsidRPr="00E27756">
          <w:rPr>
            <w:rStyle w:val="TextoNormalCaracter"/>
          </w:rPr>
          <w:t>54/2013</w:t>
        </w:r>
      </w:hyperlink>
      <w:r>
        <w:t>, f. 1.</w:t>
      </w:r>
    </w:p>
    <w:p w:rsidR="00E27756" w:rsidRDefault="00E27756" w:rsidP="00E27756">
      <w:pPr>
        <w:pStyle w:val="SangriaFrancesaArticulo"/>
      </w:pPr>
      <w:r w:rsidRPr="00E27756">
        <w:rPr>
          <w:rStyle w:val="TextoNormalNegritaCaracter"/>
        </w:rPr>
        <w:t>Artículo 17.1.</w:t>
      </w:r>
      <w:r w:rsidRPr="00E27756">
        <w:rPr>
          <w:rStyle w:val="TextoNormalCaracter"/>
        </w:rPr>
        <w:t>-</w:t>
      </w:r>
      <w:r>
        <w:t xml:space="preserve"> Sentencias </w:t>
      </w:r>
      <w:hyperlink w:anchor="SENTENCIA_2013_1" w:history="1">
        <w:r w:rsidRPr="00E27756">
          <w:rPr>
            <w:rStyle w:val="TextoNormalCaracter"/>
          </w:rPr>
          <w:t>1/2013</w:t>
        </w:r>
      </w:hyperlink>
      <w:r>
        <w:t xml:space="preserve">, ff. 1, 3; </w:t>
      </w:r>
      <w:hyperlink w:anchor="SENTENCIA_2013_2" w:history="1">
        <w:r w:rsidRPr="00E27756">
          <w:rPr>
            <w:rStyle w:val="TextoNormalCaracter"/>
          </w:rPr>
          <w:t>2/2013</w:t>
        </w:r>
      </w:hyperlink>
      <w:r>
        <w:t xml:space="preserve">, f. 7; </w:t>
      </w:r>
      <w:hyperlink w:anchor="SENTENCIA_2013_17" w:history="1">
        <w:r w:rsidRPr="00E27756">
          <w:rPr>
            <w:rStyle w:val="TextoNormalCaracter"/>
          </w:rPr>
          <w:t>17/2013</w:t>
        </w:r>
      </w:hyperlink>
      <w:r>
        <w:t xml:space="preserve">, ff. 2, 15, VP; </w:t>
      </w:r>
      <w:hyperlink w:anchor="SENTENCIA_2013_28" w:history="1">
        <w:r w:rsidRPr="00E27756">
          <w:rPr>
            <w:rStyle w:val="TextoNormalCaracter"/>
          </w:rPr>
          <w:t>28/2013</w:t>
        </w:r>
      </w:hyperlink>
      <w:r>
        <w:t xml:space="preserve">, f. 1; </w:t>
      </w:r>
      <w:hyperlink w:anchor="SENTENCIA_2013_31" w:history="1">
        <w:r w:rsidRPr="00E27756">
          <w:rPr>
            <w:rStyle w:val="TextoNormalCaracter"/>
          </w:rPr>
          <w:t>31/2013</w:t>
        </w:r>
      </w:hyperlink>
      <w:r>
        <w:t xml:space="preserve">, f. 7; </w:t>
      </w:r>
      <w:hyperlink w:anchor="SENTENCIA_2013_32" w:history="1">
        <w:r w:rsidRPr="00E27756">
          <w:rPr>
            <w:rStyle w:val="TextoNormalCaracter"/>
          </w:rPr>
          <w:t>32/2013</w:t>
        </w:r>
      </w:hyperlink>
      <w:r>
        <w:t xml:space="preserve">, f. 4; </w:t>
      </w:r>
      <w:hyperlink w:anchor="SENTENCIA_2013_109" w:history="1">
        <w:r w:rsidRPr="00E27756">
          <w:rPr>
            <w:rStyle w:val="TextoNormalCaracter"/>
          </w:rPr>
          <w:t>109/2013</w:t>
        </w:r>
      </w:hyperlink>
      <w:r>
        <w:t>, ff. 1, 5.</w:t>
      </w:r>
    </w:p>
    <w:p w:rsidR="00E27756" w:rsidRDefault="00E27756" w:rsidP="00E27756">
      <w:pPr>
        <w:pStyle w:val="SangriaFrancesaArticulo"/>
      </w:pPr>
      <w:r w:rsidRPr="00E27756">
        <w:rPr>
          <w:rStyle w:val="TextoNormalNegritaCaracter"/>
        </w:rPr>
        <w:t>Artículo 18.</w:t>
      </w:r>
      <w:r w:rsidRPr="00E27756">
        <w:rPr>
          <w:rStyle w:val="TextoNormalCaracter"/>
        </w:rPr>
        <w:t>-</w:t>
      </w:r>
      <w:r>
        <w:t xml:space="preserve"> Sentencias </w:t>
      </w:r>
      <w:hyperlink w:anchor="SENTENCIA_2013_17" w:history="1">
        <w:r w:rsidRPr="00E27756">
          <w:rPr>
            <w:rStyle w:val="TextoNormalCaracter"/>
          </w:rPr>
          <w:t>17/2013</w:t>
        </w:r>
      </w:hyperlink>
      <w:r>
        <w:t xml:space="preserve">, ff. 1, 2, 13; </w:t>
      </w:r>
      <w:hyperlink w:anchor="SENTENCIA_2013_29" w:history="1">
        <w:r w:rsidRPr="00E27756">
          <w:rPr>
            <w:rStyle w:val="TextoNormalCaracter"/>
          </w:rPr>
          <w:t>29/2013</w:t>
        </w:r>
      </w:hyperlink>
      <w:r>
        <w:t>, ff. 2, 4, VP I.</w:t>
      </w:r>
    </w:p>
    <w:p w:rsidR="00E27756" w:rsidRDefault="00E27756" w:rsidP="00E27756">
      <w:pPr>
        <w:pStyle w:val="SangriaIzquierdaArticulo"/>
      </w:pPr>
      <w:r>
        <w:t xml:space="preserve">Auto </w:t>
      </w:r>
      <w:hyperlink w:anchor="AUTO_2013_25" w:history="1">
        <w:r w:rsidRPr="00E27756">
          <w:rPr>
            <w:rStyle w:val="TextoNormalCaracter"/>
          </w:rPr>
          <w:t>25/2013</w:t>
        </w:r>
      </w:hyperlink>
      <w:r>
        <w:t>, f. 1.</w:t>
      </w:r>
    </w:p>
    <w:p w:rsidR="00E27756" w:rsidRDefault="00E27756" w:rsidP="00E27756">
      <w:pPr>
        <w:pStyle w:val="SangriaFrancesaArticulo"/>
      </w:pPr>
      <w:r w:rsidRPr="00E27756">
        <w:rPr>
          <w:rStyle w:val="TextoNormalNegritaCaracter"/>
        </w:rPr>
        <w:t>Artículo 18.1.</w:t>
      </w:r>
      <w:r w:rsidRPr="00E27756">
        <w:rPr>
          <w:rStyle w:val="TextoNormalCaracter"/>
        </w:rPr>
        <w:t>-</w:t>
      </w:r>
      <w:r>
        <w:t xml:space="preserve"> Sentencias </w:t>
      </w:r>
      <w:hyperlink w:anchor="SENTENCIA_2013_17" w:history="1">
        <w:r w:rsidRPr="00E27756">
          <w:rPr>
            <w:rStyle w:val="TextoNormalCaracter"/>
          </w:rPr>
          <w:t>17/2013</w:t>
        </w:r>
      </w:hyperlink>
      <w:r>
        <w:t xml:space="preserve">, f. 14, VP; </w:t>
      </w:r>
      <w:hyperlink w:anchor="SENTENCIA_2013_29" w:history="1">
        <w:r w:rsidRPr="00E27756">
          <w:rPr>
            <w:rStyle w:val="TextoNormalCaracter"/>
          </w:rPr>
          <w:t>29/2013</w:t>
        </w:r>
      </w:hyperlink>
      <w:r>
        <w:t xml:space="preserve">, ff. 2, 4, 6, VP I; </w:t>
      </w:r>
      <w:hyperlink w:anchor="SENTENCIA_2013_93" w:history="1">
        <w:r w:rsidRPr="00E27756">
          <w:rPr>
            <w:rStyle w:val="TextoNormalCaracter"/>
          </w:rPr>
          <w:t>93/2013</w:t>
        </w:r>
      </w:hyperlink>
      <w:r>
        <w:t xml:space="preserve">, ff. 1, 7 a 9; </w:t>
      </w:r>
      <w:hyperlink w:anchor="SENTENCIA_2013_115" w:history="1">
        <w:r w:rsidRPr="00E27756">
          <w:rPr>
            <w:rStyle w:val="TextoNormalCaracter"/>
          </w:rPr>
          <w:t>115/2013</w:t>
        </w:r>
      </w:hyperlink>
      <w:r>
        <w:t>, ff. 1, 3 a 6.</w:t>
      </w:r>
    </w:p>
    <w:p w:rsidR="00E27756" w:rsidRDefault="00E27756" w:rsidP="00E27756">
      <w:pPr>
        <w:pStyle w:val="SangriaFrancesaArticulo"/>
      </w:pPr>
      <w:r w:rsidRPr="00E27756">
        <w:rPr>
          <w:rStyle w:val="TextoNormalNegritaCaracter"/>
        </w:rPr>
        <w:t>Artículo 18.3.</w:t>
      </w:r>
      <w:r w:rsidRPr="00E27756">
        <w:rPr>
          <w:rStyle w:val="TextoNormalCaracter"/>
        </w:rPr>
        <w:t>-</w:t>
      </w:r>
      <w:r>
        <w:t xml:space="preserve"> Sentencia </w:t>
      </w:r>
      <w:hyperlink w:anchor="SENTENCIA_2013_115" w:history="1">
        <w:r w:rsidRPr="00E27756">
          <w:rPr>
            <w:rStyle w:val="TextoNormalCaracter"/>
          </w:rPr>
          <w:t>115/2013</w:t>
        </w:r>
      </w:hyperlink>
      <w:r>
        <w:t>, ff. 1, 3 a 5.</w:t>
      </w:r>
    </w:p>
    <w:p w:rsidR="00E27756" w:rsidRDefault="00E27756" w:rsidP="00E27756">
      <w:pPr>
        <w:pStyle w:val="SangriaIzquierdaArticulo"/>
      </w:pPr>
      <w:r>
        <w:t xml:space="preserve">Auto </w:t>
      </w:r>
      <w:hyperlink w:anchor="AUTO_2013_25" w:history="1">
        <w:r w:rsidRPr="00E27756">
          <w:rPr>
            <w:rStyle w:val="TextoNormalCaracter"/>
          </w:rPr>
          <w:t>25/2013</w:t>
        </w:r>
      </w:hyperlink>
      <w:r>
        <w:t>, ff. 2, 3.</w:t>
      </w:r>
    </w:p>
    <w:p w:rsidR="00E27756" w:rsidRDefault="00E27756" w:rsidP="00E27756">
      <w:pPr>
        <w:pStyle w:val="SangriaFrancesaArticulo"/>
      </w:pPr>
      <w:r w:rsidRPr="00E27756">
        <w:rPr>
          <w:rStyle w:val="TextoNormalNegritaCaracter"/>
        </w:rPr>
        <w:t>Artículo 18.4.</w:t>
      </w:r>
      <w:r w:rsidRPr="00E27756">
        <w:rPr>
          <w:rStyle w:val="TextoNormalCaracter"/>
        </w:rPr>
        <w:t>-</w:t>
      </w:r>
      <w:r>
        <w:t xml:space="preserve"> Sentencias </w:t>
      </w:r>
      <w:hyperlink w:anchor="SENTENCIA_2013_17" w:history="1">
        <w:r w:rsidRPr="00E27756">
          <w:rPr>
            <w:rStyle w:val="TextoNormalCaracter"/>
          </w:rPr>
          <w:t>17/2013</w:t>
        </w:r>
      </w:hyperlink>
      <w:r>
        <w:t xml:space="preserve">, ff. 1 a 4, 6 a 9, VP; </w:t>
      </w:r>
      <w:hyperlink w:anchor="SENTENCIA_2013_29" w:history="1">
        <w:r w:rsidRPr="00E27756">
          <w:rPr>
            <w:rStyle w:val="TextoNormalCaracter"/>
          </w:rPr>
          <w:t>29/2013</w:t>
        </w:r>
      </w:hyperlink>
      <w:r>
        <w:t xml:space="preserve">, ff. 1, 2, 4-8, VP I; </w:t>
      </w:r>
      <w:hyperlink w:anchor="SENTENCIA_2013_115" w:history="1">
        <w:r w:rsidRPr="00E27756">
          <w:rPr>
            <w:rStyle w:val="TextoNormalCaracter"/>
          </w:rPr>
          <w:t>115/2013</w:t>
        </w:r>
      </w:hyperlink>
      <w:r>
        <w:t>, f. 4.</w:t>
      </w:r>
    </w:p>
    <w:p w:rsidR="00E27756" w:rsidRDefault="00E27756" w:rsidP="00E27756">
      <w:pPr>
        <w:pStyle w:val="SangriaFrancesaArticulo"/>
      </w:pPr>
      <w:r w:rsidRPr="00E27756">
        <w:rPr>
          <w:rStyle w:val="TextoNormalNegritaCaracter"/>
        </w:rPr>
        <w:t>Artículo 18.8.</w:t>
      </w:r>
      <w:r w:rsidRPr="00E27756">
        <w:rPr>
          <w:rStyle w:val="TextoNormalCaracter"/>
        </w:rPr>
        <w:t>-</w:t>
      </w:r>
      <w:r>
        <w:t xml:space="preserve"> Auto </w:t>
      </w:r>
      <w:hyperlink w:anchor="AUTO_2013_126" w:history="1">
        <w:r w:rsidRPr="00E27756">
          <w:rPr>
            <w:rStyle w:val="TextoNormalCaracter"/>
          </w:rPr>
          <w:t>126/2013</w:t>
        </w:r>
      </w:hyperlink>
      <w:r>
        <w:t>, f. único.</w:t>
      </w:r>
    </w:p>
    <w:p w:rsidR="00E27756" w:rsidRDefault="00E27756" w:rsidP="00E27756">
      <w:pPr>
        <w:pStyle w:val="SangriaFrancesaArticulo"/>
      </w:pPr>
      <w:r w:rsidRPr="00E27756">
        <w:rPr>
          <w:rStyle w:val="TextoNormalNegritaCaracter"/>
        </w:rPr>
        <w:t>Artículo 19.</w:t>
      </w:r>
      <w:r w:rsidRPr="00E27756">
        <w:rPr>
          <w:rStyle w:val="TextoNormalCaracter"/>
        </w:rPr>
        <w:t>-</w:t>
      </w:r>
      <w:r>
        <w:t xml:space="preserve"> Sentencia </w:t>
      </w:r>
      <w:hyperlink w:anchor="SENTENCIA_2013_84" w:history="1">
        <w:r w:rsidRPr="00E27756">
          <w:rPr>
            <w:rStyle w:val="TextoNormalCaracter"/>
          </w:rPr>
          <w:t>84/2013</w:t>
        </w:r>
      </w:hyperlink>
      <w:r>
        <w:t>, ff. 1, 6.</w:t>
      </w:r>
    </w:p>
    <w:p w:rsidR="00E27756" w:rsidRDefault="00E27756" w:rsidP="00E27756">
      <w:pPr>
        <w:pStyle w:val="SangriaFrancesaArticulo"/>
      </w:pPr>
      <w:r w:rsidRPr="00E27756">
        <w:rPr>
          <w:rStyle w:val="TextoNormalNegritaCaracter"/>
        </w:rPr>
        <w:t>Artículo 20 b).</w:t>
      </w:r>
      <w:r w:rsidRPr="00E27756">
        <w:rPr>
          <w:rStyle w:val="TextoNormalCaracter"/>
        </w:rPr>
        <w:t>-</w:t>
      </w:r>
      <w:r>
        <w:t xml:space="preserve"> Sentencia </w:t>
      </w:r>
      <w:hyperlink w:anchor="SENTENCIA_2013_131" w:history="1">
        <w:r w:rsidRPr="00E27756">
          <w:rPr>
            <w:rStyle w:val="TextoNormalCaracter"/>
          </w:rPr>
          <w:t>131/2013</w:t>
        </w:r>
      </w:hyperlink>
      <w:r>
        <w:t>, f. 9.</w:t>
      </w:r>
    </w:p>
    <w:p w:rsidR="00E27756" w:rsidRDefault="00E27756" w:rsidP="00E27756">
      <w:pPr>
        <w:pStyle w:val="SangriaFrancesaArticulo"/>
      </w:pPr>
      <w:r w:rsidRPr="00E27756">
        <w:rPr>
          <w:rStyle w:val="TextoNormalNegritaCaracter"/>
        </w:rPr>
        <w:t>Artículo 20 c).</w:t>
      </w:r>
      <w:r w:rsidRPr="00E27756">
        <w:rPr>
          <w:rStyle w:val="TextoNormalCaracter"/>
        </w:rPr>
        <w:t>-</w:t>
      </w:r>
      <w:r>
        <w:t xml:space="preserve"> Sentencia </w:t>
      </w:r>
      <w:hyperlink w:anchor="SENTENCIA_2013_131" w:history="1">
        <w:r w:rsidRPr="00E27756">
          <w:rPr>
            <w:rStyle w:val="TextoNormalCaracter"/>
          </w:rPr>
          <w:t>131/2013</w:t>
        </w:r>
      </w:hyperlink>
      <w:r>
        <w:t>, f. 9.</w:t>
      </w:r>
    </w:p>
    <w:p w:rsidR="00E27756" w:rsidRDefault="00E27756" w:rsidP="00E27756">
      <w:pPr>
        <w:pStyle w:val="SangriaFrancesaArticulo"/>
      </w:pPr>
      <w:r w:rsidRPr="00E27756">
        <w:rPr>
          <w:rStyle w:val="TextoNormalNegritaCaracter"/>
        </w:rPr>
        <w:t>Artículo 20.1 b).</w:t>
      </w:r>
      <w:r w:rsidRPr="00E27756">
        <w:rPr>
          <w:rStyle w:val="TextoNormalCaracter"/>
        </w:rPr>
        <w:t>-</w:t>
      </w:r>
      <w:r>
        <w:t xml:space="preserve"> Sentencia </w:t>
      </w:r>
      <w:hyperlink w:anchor="SENTENCIA_2013_131" w:history="1">
        <w:r w:rsidRPr="00E27756">
          <w:rPr>
            <w:rStyle w:val="TextoNormalCaracter"/>
          </w:rPr>
          <w:t>131/2013</w:t>
        </w:r>
      </w:hyperlink>
      <w:r>
        <w:t>, f. 9.</w:t>
      </w:r>
    </w:p>
    <w:p w:rsidR="00E27756" w:rsidRDefault="00E27756" w:rsidP="00E27756">
      <w:pPr>
        <w:pStyle w:val="SangriaFrancesaArticulo"/>
      </w:pPr>
      <w:r w:rsidRPr="00E27756">
        <w:rPr>
          <w:rStyle w:val="TextoNormalNegritaCaracter"/>
        </w:rPr>
        <w:t>Artículo 20.1 c).</w:t>
      </w:r>
      <w:r w:rsidRPr="00E27756">
        <w:rPr>
          <w:rStyle w:val="TextoNormalCaracter"/>
        </w:rPr>
        <w:t>-</w:t>
      </w:r>
      <w:r>
        <w:t xml:space="preserve"> Sentencia </w:t>
      </w:r>
      <w:hyperlink w:anchor="SENTENCIA_2013_131" w:history="1">
        <w:r w:rsidRPr="00E27756">
          <w:rPr>
            <w:rStyle w:val="TextoNormalCaracter"/>
          </w:rPr>
          <w:t>131/2013</w:t>
        </w:r>
      </w:hyperlink>
      <w:r>
        <w:t>, f. 9.</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3" w:history="1">
        <w:r w:rsidRPr="00E27756">
          <w:rPr>
            <w:rStyle w:val="TextoNormalCaracter"/>
          </w:rPr>
          <w:t>3/2013</w:t>
        </w:r>
      </w:hyperlink>
      <w:r>
        <w:t>, f. 8.</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Sentencias </w:t>
      </w:r>
      <w:hyperlink w:anchor="SENTENCIA_2013_10" w:history="1">
        <w:r w:rsidRPr="00E27756">
          <w:rPr>
            <w:rStyle w:val="TextoNormalCaracter"/>
          </w:rPr>
          <w:t>10/2013</w:t>
        </w:r>
      </w:hyperlink>
      <w:r>
        <w:t xml:space="preserve">, ff. 1, 3; </w:t>
      </w:r>
      <w:hyperlink w:anchor="SENTENCIA_2013_17" w:history="1">
        <w:r w:rsidRPr="00E27756">
          <w:rPr>
            <w:rStyle w:val="TextoNormalCaracter"/>
          </w:rPr>
          <w:t>17/2013</w:t>
        </w:r>
      </w:hyperlink>
      <w:r>
        <w:t xml:space="preserve">, f. 2; </w:t>
      </w:r>
      <w:hyperlink w:anchor="SENTENCIA_2013_103" w:history="1">
        <w:r w:rsidRPr="00E27756">
          <w:rPr>
            <w:rStyle w:val="TextoNormalCaracter"/>
          </w:rPr>
          <w:t>103/2013</w:t>
        </w:r>
      </w:hyperlink>
      <w:r>
        <w:t xml:space="preserve">, f. 6; </w:t>
      </w:r>
      <w:hyperlink w:anchor="SENTENCIA_2013_125" w:history="1">
        <w:r w:rsidRPr="00E27756">
          <w:rPr>
            <w:rStyle w:val="TextoNormalCaracter"/>
          </w:rPr>
          <w:t>125/2013</w:t>
        </w:r>
      </w:hyperlink>
      <w:r>
        <w:t>, ff. 1 a 4, 6, 8.</w:t>
      </w:r>
    </w:p>
    <w:p w:rsidR="00E27756" w:rsidRDefault="00E27756" w:rsidP="00E27756">
      <w:pPr>
        <w:pStyle w:val="SangriaFrancesaArticulo"/>
      </w:pPr>
      <w:r w:rsidRPr="00E27756">
        <w:rPr>
          <w:rStyle w:val="TextoNormalNegritaCaracter"/>
        </w:rPr>
        <w:t>Artículo 23.1.</w:t>
      </w:r>
      <w:r w:rsidRPr="00E27756">
        <w:rPr>
          <w:rStyle w:val="TextoNormalCaracter"/>
        </w:rPr>
        <w:t>-</w:t>
      </w:r>
      <w:r>
        <w:t xml:space="preserve"> Sentencias </w:t>
      </w:r>
      <w:hyperlink w:anchor="SENTENCIA_2013_103" w:history="1">
        <w:r w:rsidRPr="00E27756">
          <w:rPr>
            <w:rStyle w:val="TextoNormalCaracter"/>
          </w:rPr>
          <w:t>103/2013</w:t>
        </w:r>
      </w:hyperlink>
      <w:r>
        <w:t xml:space="preserve">, ff. 1, 5, 7; </w:t>
      </w:r>
      <w:hyperlink w:anchor="SENTENCIA_2013_125" w:history="1">
        <w:r w:rsidRPr="00E27756">
          <w:rPr>
            <w:rStyle w:val="TextoNormalCaracter"/>
          </w:rPr>
          <w:t>125/2013</w:t>
        </w:r>
      </w:hyperlink>
      <w:r>
        <w:t xml:space="preserve">, ff. 1, 2, 4, 6 a 8; </w:t>
      </w:r>
      <w:hyperlink w:anchor="SENTENCIA_2013_129" w:history="1">
        <w:r w:rsidRPr="00E27756">
          <w:rPr>
            <w:rStyle w:val="TextoNormalCaracter"/>
          </w:rPr>
          <w:t>129/2013</w:t>
        </w:r>
      </w:hyperlink>
      <w:r>
        <w:t xml:space="preserve">, f. 1; </w:t>
      </w:r>
      <w:hyperlink w:anchor="SENTENCIA_2013_133" w:history="1">
        <w:r w:rsidRPr="00E27756">
          <w:rPr>
            <w:rStyle w:val="TextoNormalCaracter"/>
          </w:rPr>
          <w:t>133/2013</w:t>
        </w:r>
      </w:hyperlink>
      <w:r>
        <w:t>, f. 4.</w:t>
      </w:r>
    </w:p>
    <w:p w:rsidR="00E27756" w:rsidRDefault="00E27756" w:rsidP="00E27756">
      <w:pPr>
        <w:pStyle w:val="SangriaFrancesaArticulo"/>
      </w:pPr>
      <w:r w:rsidRPr="00E27756">
        <w:rPr>
          <w:rStyle w:val="TextoNormalNegritaCaracter"/>
        </w:rPr>
        <w:t>Artículo 23.2.</w:t>
      </w:r>
      <w:r w:rsidRPr="00E27756">
        <w:rPr>
          <w:rStyle w:val="TextoNormalCaracter"/>
        </w:rPr>
        <w:t>-</w:t>
      </w:r>
      <w:r>
        <w:t xml:space="preserve"> Sentencias </w:t>
      </w:r>
      <w:hyperlink w:anchor="SENTENCIA_2013_10" w:history="1">
        <w:r w:rsidRPr="00E27756">
          <w:rPr>
            <w:rStyle w:val="TextoNormalCaracter"/>
          </w:rPr>
          <w:t>10/2013</w:t>
        </w:r>
      </w:hyperlink>
      <w:r>
        <w:t xml:space="preserve">, f. 3; </w:t>
      </w:r>
      <w:hyperlink w:anchor="SENTENCIA_2013_68" w:history="1">
        <w:r w:rsidRPr="00E27756">
          <w:rPr>
            <w:rStyle w:val="TextoNormalCaracter"/>
          </w:rPr>
          <w:t>68/2013</w:t>
        </w:r>
      </w:hyperlink>
      <w:r>
        <w:t xml:space="preserve">, ff. 1 a 3; </w:t>
      </w:r>
      <w:hyperlink w:anchor="SENTENCIA_2013_125" w:history="1">
        <w:r w:rsidRPr="00E27756">
          <w:rPr>
            <w:rStyle w:val="TextoNormalCaracter"/>
          </w:rPr>
          <w:t>125/2013</w:t>
        </w:r>
      </w:hyperlink>
      <w:r>
        <w:t xml:space="preserve">, ff. 1, 2, 4, 7, 8; </w:t>
      </w:r>
      <w:hyperlink w:anchor="SENTENCIA_2013_129" w:history="1">
        <w:r w:rsidRPr="00E27756">
          <w:rPr>
            <w:rStyle w:val="TextoNormalCaracter"/>
          </w:rPr>
          <w:t>129/2013</w:t>
        </w:r>
      </w:hyperlink>
      <w:r>
        <w:t xml:space="preserve">, f. 10; </w:t>
      </w:r>
      <w:hyperlink w:anchor="SENTENCIA_2013_133" w:history="1">
        <w:r w:rsidRPr="00E27756">
          <w:rPr>
            <w:rStyle w:val="TextoNormalCaracter"/>
          </w:rPr>
          <w:t>133/2013</w:t>
        </w:r>
      </w:hyperlink>
      <w:r>
        <w:t>, ff. 1, 3, 4.</w:t>
      </w:r>
    </w:p>
    <w:p w:rsidR="00E27756" w:rsidRDefault="00E27756" w:rsidP="00E27756">
      <w:pPr>
        <w:pStyle w:val="SangriaFrancesaArticulo"/>
      </w:pPr>
      <w:r w:rsidRPr="00E27756">
        <w:rPr>
          <w:rStyle w:val="TextoNormalNegritaCaracter"/>
        </w:rPr>
        <w:t>Artículo 24.</w:t>
      </w:r>
      <w:r w:rsidRPr="00E27756">
        <w:rPr>
          <w:rStyle w:val="TextoNormalCaracter"/>
        </w:rPr>
        <w:t>-</w:t>
      </w:r>
      <w:r>
        <w:t xml:space="preserve"> Sentencias </w:t>
      </w:r>
      <w:hyperlink w:anchor="SENTENCIA_2013_1" w:history="1">
        <w:r w:rsidRPr="00E27756">
          <w:rPr>
            <w:rStyle w:val="TextoNormalCaracter"/>
          </w:rPr>
          <w:t>1/2013</w:t>
        </w:r>
      </w:hyperlink>
      <w:r>
        <w:t xml:space="preserve">, f. 1; </w:t>
      </w:r>
      <w:hyperlink w:anchor="SENTENCIA_2013_10" w:history="1">
        <w:r w:rsidRPr="00E27756">
          <w:rPr>
            <w:rStyle w:val="TextoNormalCaracter"/>
          </w:rPr>
          <w:t>10/2013</w:t>
        </w:r>
      </w:hyperlink>
      <w:r>
        <w:t xml:space="preserve">, f. 4; </w:t>
      </w:r>
      <w:hyperlink w:anchor="SENTENCIA_2013_17" w:history="1">
        <w:r w:rsidRPr="00E27756">
          <w:rPr>
            <w:rStyle w:val="TextoNormalCaracter"/>
          </w:rPr>
          <w:t>17/2013</w:t>
        </w:r>
      </w:hyperlink>
      <w:r>
        <w:t xml:space="preserve">, ff. 1, 2, 11, 12, 15; </w:t>
      </w:r>
      <w:hyperlink w:anchor="SENTENCIA_2013_27" w:history="1">
        <w:r w:rsidRPr="00E27756">
          <w:rPr>
            <w:rStyle w:val="TextoNormalCaracter"/>
          </w:rPr>
          <w:t>27/2013</w:t>
        </w:r>
      </w:hyperlink>
      <w:r>
        <w:t xml:space="preserve">, ff. 5, 8, VP I; </w:t>
      </w:r>
      <w:hyperlink w:anchor="SENTENCIA_2013_29" w:history="1">
        <w:r w:rsidRPr="00E27756">
          <w:rPr>
            <w:rStyle w:val="TextoNormalCaracter"/>
          </w:rPr>
          <w:t>29/2013</w:t>
        </w:r>
      </w:hyperlink>
      <w:r>
        <w:t xml:space="preserve">, f. 2; </w:t>
      </w:r>
      <w:hyperlink w:anchor="SENTENCIA_2013_44" w:history="1">
        <w:r w:rsidRPr="00E27756">
          <w:rPr>
            <w:rStyle w:val="TextoNormalCaracter"/>
          </w:rPr>
          <w:t>44/2013</w:t>
        </w:r>
      </w:hyperlink>
      <w:r>
        <w:t xml:space="preserve">, f. 3; </w:t>
      </w:r>
      <w:hyperlink w:anchor="SENTENCIA_2013_56" w:history="1">
        <w:r w:rsidRPr="00E27756">
          <w:rPr>
            <w:rStyle w:val="TextoNormalCaracter"/>
          </w:rPr>
          <w:t>56/2013</w:t>
        </w:r>
      </w:hyperlink>
      <w:r>
        <w:t xml:space="preserve">, f. 2; </w:t>
      </w:r>
      <w:hyperlink w:anchor="SENTENCIA_2013_79" w:history="1">
        <w:r w:rsidRPr="00E27756">
          <w:rPr>
            <w:rStyle w:val="TextoNormalCaracter"/>
          </w:rPr>
          <w:t>79/2013</w:t>
        </w:r>
      </w:hyperlink>
      <w:r>
        <w:t xml:space="preserve">, f. 4; </w:t>
      </w:r>
      <w:hyperlink w:anchor="SENTENCIA_2013_129" w:history="1">
        <w:r w:rsidRPr="00E27756">
          <w:rPr>
            <w:rStyle w:val="TextoNormalCaracter"/>
          </w:rPr>
          <w:t>129/2013</w:t>
        </w:r>
      </w:hyperlink>
      <w:r>
        <w:t>, ff. 2, 4, 6, 7.</w:t>
      </w:r>
    </w:p>
    <w:p w:rsidR="00E27756" w:rsidRDefault="00E27756" w:rsidP="00E27756">
      <w:pPr>
        <w:pStyle w:val="SangriaIzquierdaArticulo"/>
      </w:pPr>
      <w:r>
        <w:t xml:space="preserve">Autos </w:t>
      </w:r>
      <w:hyperlink w:anchor="AUTO_2013_21" w:history="1">
        <w:r w:rsidRPr="00E27756">
          <w:rPr>
            <w:rStyle w:val="TextoNormalCaracter"/>
          </w:rPr>
          <w:t>21/2013</w:t>
        </w:r>
      </w:hyperlink>
      <w:r>
        <w:t xml:space="preserve">, f. 2; </w:t>
      </w:r>
      <w:hyperlink w:anchor="AUTO_2013_24" w:history="1">
        <w:r w:rsidRPr="00E27756">
          <w:rPr>
            <w:rStyle w:val="TextoNormalCaracter"/>
          </w:rPr>
          <w:t>24/2013</w:t>
        </w:r>
      </w:hyperlink>
      <w:r>
        <w:t xml:space="preserve">, f. 3; </w:t>
      </w:r>
      <w:hyperlink w:anchor="AUTO_2013_35" w:history="1">
        <w:r w:rsidRPr="00E27756">
          <w:rPr>
            <w:rStyle w:val="TextoNormalCaracter"/>
          </w:rPr>
          <w:t>35/2013</w:t>
        </w:r>
      </w:hyperlink>
      <w:r>
        <w:t xml:space="preserve">, f. 4; </w:t>
      </w:r>
      <w:hyperlink w:anchor="AUTO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24.1.</w:t>
      </w:r>
      <w:r w:rsidRPr="00E27756">
        <w:rPr>
          <w:rStyle w:val="TextoNormalCaracter"/>
        </w:rPr>
        <w:t>-</w:t>
      </w:r>
      <w:r>
        <w:t xml:space="preserve"> Sentencias </w:t>
      </w:r>
      <w:hyperlink w:anchor="SENTENCIA_2013_1" w:history="1">
        <w:r w:rsidRPr="00E27756">
          <w:rPr>
            <w:rStyle w:val="TextoNormalCaracter"/>
          </w:rPr>
          <w:t>1/2013</w:t>
        </w:r>
      </w:hyperlink>
      <w:r>
        <w:t xml:space="preserve">, ff. 1, 3; </w:t>
      </w:r>
      <w:hyperlink w:anchor="SENTENCIA_2013_2" w:history="1">
        <w:r w:rsidRPr="00E27756">
          <w:rPr>
            <w:rStyle w:val="TextoNormalCaracter"/>
          </w:rPr>
          <w:t>2/2013</w:t>
        </w:r>
      </w:hyperlink>
      <w:r>
        <w:t xml:space="preserve">, ff. 1, 4, 5, 7 a 9; </w:t>
      </w:r>
      <w:hyperlink w:anchor="SENTENCIA_2013_10" w:history="1">
        <w:r w:rsidRPr="00E27756">
          <w:rPr>
            <w:rStyle w:val="TextoNormalCaracter"/>
          </w:rPr>
          <w:t>10/2013</w:t>
        </w:r>
      </w:hyperlink>
      <w:r>
        <w:t xml:space="preserve">, ff. 1 a 4; </w:t>
      </w:r>
      <w:hyperlink w:anchor="SENTENCIA_2013_12" w:history="1">
        <w:r w:rsidRPr="00E27756">
          <w:rPr>
            <w:rStyle w:val="TextoNormalCaracter"/>
          </w:rPr>
          <w:t>12/2013</w:t>
        </w:r>
      </w:hyperlink>
      <w:r>
        <w:t xml:space="preserve">, ff. 1 a 4, VP; </w:t>
      </w:r>
      <w:hyperlink w:anchor="SENTENCIA_2013_27" w:history="1">
        <w:r w:rsidRPr="00E27756">
          <w:rPr>
            <w:rStyle w:val="TextoNormalCaracter"/>
          </w:rPr>
          <w:t>27/2013</w:t>
        </w:r>
      </w:hyperlink>
      <w:r>
        <w:t xml:space="preserve">, ff. 1, 4-8, VP I; </w:t>
      </w:r>
      <w:hyperlink w:anchor="SENTENCIA_2013_28" w:history="1">
        <w:r w:rsidRPr="00E27756">
          <w:rPr>
            <w:rStyle w:val="TextoNormalCaracter"/>
          </w:rPr>
          <w:t>28/2013</w:t>
        </w:r>
      </w:hyperlink>
      <w:r>
        <w:t xml:space="preserve">, f. 1; </w:t>
      </w:r>
      <w:hyperlink w:anchor="SENTENCIA_2013_29" w:history="1">
        <w:r w:rsidRPr="00E27756">
          <w:rPr>
            <w:rStyle w:val="TextoNormalCaracter"/>
          </w:rPr>
          <w:t>29/2013</w:t>
        </w:r>
      </w:hyperlink>
      <w:r>
        <w:t xml:space="preserve">, ff. 1, 2; </w:t>
      </w:r>
      <w:hyperlink w:anchor="SENTENCIA_2013_31" w:history="1">
        <w:r w:rsidRPr="00E27756">
          <w:rPr>
            <w:rStyle w:val="TextoNormalCaracter"/>
          </w:rPr>
          <w:t>31/2013</w:t>
        </w:r>
      </w:hyperlink>
      <w:r>
        <w:t xml:space="preserve">, ff. 1, 5, 7, VP I; </w:t>
      </w:r>
      <w:hyperlink w:anchor="SENTENCIA_2013_32" w:history="1">
        <w:r w:rsidRPr="00E27756">
          <w:rPr>
            <w:rStyle w:val="TextoNormalCaracter"/>
          </w:rPr>
          <w:t>32/2013</w:t>
        </w:r>
      </w:hyperlink>
      <w:r>
        <w:t xml:space="preserve">, ff. 1-4; </w:t>
      </w:r>
      <w:hyperlink w:anchor="SENTENCIA_2013_43" w:history="1">
        <w:r w:rsidRPr="00E27756">
          <w:rPr>
            <w:rStyle w:val="TextoNormalCaracter"/>
          </w:rPr>
          <w:t>43/2013</w:t>
        </w:r>
      </w:hyperlink>
      <w:r>
        <w:t xml:space="preserve">, f. 1; </w:t>
      </w:r>
      <w:hyperlink w:anchor="SENTENCIA_2013_44" w:history="1">
        <w:r w:rsidRPr="00E27756">
          <w:rPr>
            <w:rStyle w:val="TextoNormalCaracter"/>
          </w:rPr>
          <w:t>44/2013</w:t>
        </w:r>
      </w:hyperlink>
      <w:r>
        <w:t xml:space="preserve">, ff. 1, 3, 4, 6; </w:t>
      </w:r>
      <w:hyperlink w:anchor="SENTENCIA_2013_54" w:history="1">
        <w:r w:rsidRPr="00E27756">
          <w:rPr>
            <w:rStyle w:val="TextoNormalCaracter"/>
          </w:rPr>
          <w:t>54/2013</w:t>
        </w:r>
      </w:hyperlink>
      <w:r>
        <w:t xml:space="preserve">, f. 1; </w:t>
      </w:r>
      <w:hyperlink w:anchor="SENTENCIA_2013_56" w:history="1">
        <w:r w:rsidRPr="00E27756">
          <w:rPr>
            <w:rStyle w:val="TextoNormalCaracter"/>
          </w:rPr>
          <w:t>56/2013</w:t>
        </w:r>
      </w:hyperlink>
      <w:r>
        <w:t xml:space="preserve">, ff. 1 a 4; </w:t>
      </w:r>
      <w:hyperlink w:anchor="SENTENCIA_2013_57" w:history="1">
        <w:r w:rsidRPr="00E27756">
          <w:rPr>
            <w:rStyle w:val="TextoNormalCaracter"/>
          </w:rPr>
          <w:t>57/2013</w:t>
        </w:r>
      </w:hyperlink>
      <w:r>
        <w:t xml:space="preserve">, f. 1; </w:t>
      </w:r>
      <w:hyperlink w:anchor="SENTENCIA_2013_73" w:history="1">
        <w:r w:rsidRPr="00E27756">
          <w:rPr>
            <w:rStyle w:val="TextoNormalCaracter"/>
          </w:rPr>
          <w:t>73/2013</w:t>
        </w:r>
      </w:hyperlink>
      <w:r>
        <w:t xml:space="preserve">, ff. 1 a 3; </w:t>
      </w:r>
      <w:hyperlink w:anchor="SENTENCIA_2013_74" w:history="1">
        <w:r w:rsidRPr="00E27756">
          <w:rPr>
            <w:rStyle w:val="TextoNormalCaracter"/>
          </w:rPr>
          <w:t>74/2013</w:t>
        </w:r>
      </w:hyperlink>
      <w:r>
        <w:t xml:space="preserve">, ff. 1, 2; </w:t>
      </w:r>
      <w:hyperlink w:anchor="SENTENCIA_2013_76" w:history="1">
        <w:r w:rsidRPr="00E27756">
          <w:rPr>
            <w:rStyle w:val="TextoNormalCaracter"/>
          </w:rPr>
          <w:t>76/2013</w:t>
        </w:r>
      </w:hyperlink>
      <w:r>
        <w:t xml:space="preserve">, ff. 1 a 4; </w:t>
      </w:r>
      <w:hyperlink w:anchor="SENTENCIA_2013_77" w:history="1">
        <w:r w:rsidRPr="00E27756">
          <w:rPr>
            <w:rStyle w:val="TextoNormalCaracter"/>
          </w:rPr>
          <w:t>77/2013</w:t>
        </w:r>
      </w:hyperlink>
      <w:r>
        <w:t xml:space="preserve">, f. 1; </w:t>
      </w:r>
      <w:hyperlink w:anchor="SENTENCIA_2013_78" w:history="1">
        <w:r w:rsidRPr="00E27756">
          <w:rPr>
            <w:rStyle w:val="TextoNormalCaracter"/>
          </w:rPr>
          <w:t>78/2013</w:t>
        </w:r>
      </w:hyperlink>
      <w:r>
        <w:t xml:space="preserve">, ff. 1, 4; </w:t>
      </w:r>
      <w:hyperlink w:anchor="SENTENCIA_2013_79" w:history="1">
        <w:r w:rsidRPr="00E27756">
          <w:rPr>
            <w:rStyle w:val="TextoNormalCaracter"/>
          </w:rPr>
          <w:t>79/2013</w:t>
        </w:r>
      </w:hyperlink>
      <w:r>
        <w:t xml:space="preserve">, ff. 1, 2, 4; </w:t>
      </w:r>
      <w:hyperlink w:anchor="SENTENCIA_2013_88" w:history="1">
        <w:r w:rsidRPr="00E27756">
          <w:rPr>
            <w:rStyle w:val="TextoNormalCaracter"/>
          </w:rPr>
          <w:t>88/2013</w:t>
        </w:r>
      </w:hyperlink>
      <w:r>
        <w:t xml:space="preserve">, f. 4, VP; </w:t>
      </w:r>
      <w:hyperlink w:anchor="SENTENCIA_2013_90" w:history="1">
        <w:r w:rsidRPr="00E27756">
          <w:rPr>
            <w:rStyle w:val="TextoNormalCaracter"/>
          </w:rPr>
          <w:t>90/2013</w:t>
        </w:r>
      </w:hyperlink>
      <w:r>
        <w:t xml:space="preserve">, f. 1; </w:t>
      </w:r>
      <w:hyperlink w:anchor="SENTENCIA_2013_92" w:history="1">
        <w:r w:rsidRPr="00E27756">
          <w:rPr>
            <w:rStyle w:val="TextoNormalCaracter"/>
          </w:rPr>
          <w:t>92/2013</w:t>
        </w:r>
      </w:hyperlink>
      <w:r>
        <w:t xml:space="preserve">, f. 1; </w:t>
      </w:r>
      <w:hyperlink w:anchor="SENTENCIA_2013_105" w:history="1">
        <w:r w:rsidRPr="00E27756">
          <w:rPr>
            <w:rStyle w:val="TextoNormalCaracter"/>
          </w:rPr>
          <w:t>105/2013</w:t>
        </w:r>
      </w:hyperlink>
      <w:r>
        <w:t xml:space="preserve">, ff. 1, 2, 6; </w:t>
      </w:r>
      <w:hyperlink w:anchor="SENTENCIA_2013_106" w:history="1">
        <w:r w:rsidRPr="00E27756">
          <w:rPr>
            <w:rStyle w:val="TextoNormalCaracter"/>
          </w:rPr>
          <w:t>106/2013</w:t>
        </w:r>
      </w:hyperlink>
      <w:r>
        <w:t xml:space="preserve">, ff. 1, 4; </w:t>
      </w:r>
      <w:hyperlink w:anchor="SENTENCIA_2013_108" w:history="1">
        <w:r w:rsidRPr="00E27756">
          <w:rPr>
            <w:rStyle w:val="TextoNormalCaracter"/>
          </w:rPr>
          <w:t>108/2013</w:t>
        </w:r>
      </w:hyperlink>
      <w:r>
        <w:t xml:space="preserve">, ff. 1, 4, 5; </w:t>
      </w:r>
      <w:hyperlink w:anchor="SENTENCIA_2013_109" w:history="1">
        <w:r w:rsidRPr="00E27756">
          <w:rPr>
            <w:rStyle w:val="TextoNormalCaracter"/>
          </w:rPr>
          <w:t>109/2013</w:t>
        </w:r>
      </w:hyperlink>
      <w:r>
        <w:t xml:space="preserve">, ff. 1, 5; </w:t>
      </w:r>
      <w:hyperlink w:anchor="SENTENCIA_2013_110" w:history="1">
        <w:r w:rsidRPr="00E27756">
          <w:rPr>
            <w:rStyle w:val="TextoNormalCaracter"/>
          </w:rPr>
          <w:t>110/2013</w:t>
        </w:r>
      </w:hyperlink>
      <w:r>
        <w:t xml:space="preserve">, ff. 1, 2; </w:t>
      </w:r>
      <w:hyperlink w:anchor="SENTENCIA_2013_116" w:history="1">
        <w:r w:rsidRPr="00E27756">
          <w:rPr>
            <w:rStyle w:val="TextoNormalCaracter"/>
          </w:rPr>
          <w:t>116/2013</w:t>
        </w:r>
      </w:hyperlink>
      <w:r>
        <w:t xml:space="preserve">, ff. 1, 3; </w:t>
      </w:r>
      <w:hyperlink w:anchor="SENTENCIA_2013_118" w:history="1">
        <w:r w:rsidRPr="00E27756">
          <w:rPr>
            <w:rStyle w:val="TextoNormalCaracter"/>
          </w:rPr>
          <w:t>118/2013</w:t>
        </w:r>
      </w:hyperlink>
      <w:r>
        <w:t xml:space="preserve">, f. 1; </w:t>
      </w:r>
      <w:hyperlink w:anchor="SENTENCIA_2013_119" w:history="1">
        <w:r w:rsidRPr="00E27756">
          <w:rPr>
            <w:rStyle w:val="TextoNormalCaracter"/>
          </w:rPr>
          <w:t>119/2013</w:t>
        </w:r>
      </w:hyperlink>
      <w:r>
        <w:t xml:space="preserve">, f. 1; </w:t>
      </w:r>
      <w:hyperlink w:anchor="SENTENCIA_2013_120" w:history="1">
        <w:r w:rsidRPr="00E27756">
          <w:rPr>
            <w:rStyle w:val="TextoNormalCaracter"/>
          </w:rPr>
          <w:t>120/2013</w:t>
        </w:r>
      </w:hyperlink>
      <w:r>
        <w:t xml:space="preserve">, f. 1; </w:t>
      </w:r>
      <w:hyperlink w:anchor="SENTENCIA_2013_121" w:history="1">
        <w:r w:rsidRPr="00E27756">
          <w:rPr>
            <w:rStyle w:val="TextoNormalCaracter"/>
          </w:rPr>
          <w:t>121/2013</w:t>
        </w:r>
      </w:hyperlink>
      <w:r>
        <w:t xml:space="preserve">, ff. 3, 5; </w:t>
      </w:r>
      <w:hyperlink w:anchor="SENTENCIA_2013_122" w:history="1">
        <w:r w:rsidRPr="00E27756">
          <w:rPr>
            <w:rStyle w:val="TextoNormalCaracter"/>
          </w:rPr>
          <w:t>122/2013</w:t>
        </w:r>
      </w:hyperlink>
      <w:r>
        <w:t xml:space="preserve">, ff. 1 a 3, 5; </w:t>
      </w:r>
      <w:hyperlink w:anchor="SENTENCIA_2013_126" w:history="1">
        <w:r w:rsidRPr="00E27756">
          <w:rPr>
            <w:rStyle w:val="TextoNormalCaracter"/>
          </w:rPr>
          <w:t>126/2013</w:t>
        </w:r>
      </w:hyperlink>
      <w:r>
        <w:t xml:space="preserve">, ff. 1, 5, 6; </w:t>
      </w:r>
      <w:hyperlink w:anchor="SENTENCIA_2013_127" w:history="1">
        <w:r w:rsidRPr="00E27756">
          <w:rPr>
            <w:rStyle w:val="TextoNormalCaracter"/>
          </w:rPr>
          <w:t>127/2013</w:t>
        </w:r>
      </w:hyperlink>
      <w:r>
        <w:t xml:space="preserve">, ff. 1, 3 a 5; </w:t>
      </w:r>
      <w:hyperlink w:anchor="SENTENCIA_2013_128" w:history="1">
        <w:r w:rsidRPr="00E27756">
          <w:rPr>
            <w:rStyle w:val="TextoNormalCaracter"/>
          </w:rPr>
          <w:t>128/2013</w:t>
        </w:r>
      </w:hyperlink>
      <w:r>
        <w:t xml:space="preserve">, ff. 1, 4, 5; </w:t>
      </w:r>
      <w:hyperlink w:anchor="SENTENCIA_2013_129" w:history="1">
        <w:r w:rsidRPr="00E27756">
          <w:rPr>
            <w:rStyle w:val="TextoNormalCaracter"/>
          </w:rPr>
          <w:t>129/2013</w:t>
        </w:r>
      </w:hyperlink>
      <w:r>
        <w:t xml:space="preserve">, ff. 1, 4, 6, 7; </w:t>
      </w:r>
      <w:hyperlink w:anchor="SENTENCIA_2013_133" w:history="1">
        <w:r w:rsidRPr="00E27756">
          <w:rPr>
            <w:rStyle w:val="TextoNormalCaracter"/>
          </w:rPr>
          <w:t>133/2013</w:t>
        </w:r>
      </w:hyperlink>
      <w:r>
        <w:t>, ff. 1, 3 a 8.</w:t>
      </w:r>
    </w:p>
    <w:p w:rsidR="00E27756" w:rsidRDefault="00E27756" w:rsidP="00E27756">
      <w:pPr>
        <w:pStyle w:val="SangriaIzquierdaArticulo"/>
      </w:pPr>
      <w:r>
        <w:t xml:space="preserve">Autos </w:t>
      </w:r>
      <w:hyperlink w:anchor="AUTO_2013_2" w:history="1">
        <w:r w:rsidRPr="00E27756">
          <w:rPr>
            <w:rStyle w:val="TextoNormalCaracter"/>
          </w:rPr>
          <w:t>2/2013</w:t>
        </w:r>
      </w:hyperlink>
      <w:r>
        <w:t xml:space="preserve">, f. 2; </w:t>
      </w:r>
      <w:hyperlink w:anchor="AUTO_2013_24" w:history="1">
        <w:r w:rsidRPr="00E27756">
          <w:rPr>
            <w:rStyle w:val="TextoNormalCaracter"/>
          </w:rPr>
          <w:t>24/2013</w:t>
        </w:r>
      </w:hyperlink>
      <w:r>
        <w:t xml:space="preserve">, ff. 1, 3; </w:t>
      </w:r>
      <w:hyperlink w:anchor="AUTO_2013_25" w:history="1">
        <w:r w:rsidRPr="00E27756">
          <w:rPr>
            <w:rStyle w:val="TextoNormalCaracter"/>
          </w:rPr>
          <w:t>25/2013</w:t>
        </w:r>
      </w:hyperlink>
      <w:r>
        <w:t xml:space="preserve">, ff. 1, 3; </w:t>
      </w:r>
      <w:hyperlink w:anchor="AUTO_2013_28" w:history="1">
        <w:r w:rsidRPr="00E27756">
          <w:rPr>
            <w:rStyle w:val="TextoNormalCaracter"/>
          </w:rPr>
          <w:t>28/2013</w:t>
        </w:r>
      </w:hyperlink>
      <w:r>
        <w:t xml:space="preserve">, f. 2, VP I; </w:t>
      </w:r>
      <w:hyperlink w:anchor="AUTO_2013_30" w:history="1">
        <w:r w:rsidRPr="00E27756">
          <w:rPr>
            <w:rStyle w:val="TextoNormalCaracter"/>
          </w:rPr>
          <w:t>30/2013</w:t>
        </w:r>
      </w:hyperlink>
      <w:r>
        <w:t xml:space="preserve">, F. 1; </w:t>
      </w:r>
      <w:hyperlink w:anchor="AUTO_2013_31" w:history="1">
        <w:r w:rsidRPr="00E27756">
          <w:rPr>
            <w:rStyle w:val="TextoNormalCaracter"/>
          </w:rPr>
          <w:t>31/2013</w:t>
        </w:r>
      </w:hyperlink>
      <w:r>
        <w:t xml:space="preserve">, f. 1; </w:t>
      </w:r>
      <w:hyperlink w:anchor="AUTO_2013_32" w:history="1">
        <w:r w:rsidRPr="00E27756">
          <w:rPr>
            <w:rStyle w:val="TextoNormalCaracter"/>
          </w:rPr>
          <w:t>32/2013</w:t>
        </w:r>
      </w:hyperlink>
      <w:r>
        <w:t xml:space="preserve">, f. 1; </w:t>
      </w:r>
      <w:hyperlink w:anchor="AUTO_2013_35" w:history="1">
        <w:r w:rsidRPr="00E27756">
          <w:rPr>
            <w:rStyle w:val="TextoNormalCaracter"/>
          </w:rPr>
          <w:t>35/2013</w:t>
        </w:r>
      </w:hyperlink>
      <w:r>
        <w:t xml:space="preserve">, f. 1; </w:t>
      </w:r>
      <w:hyperlink w:anchor="AUTO_2013_59" w:history="1">
        <w:r w:rsidRPr="00E27756">
          <w:rPr>
            <w:rStyle w:val="TextoNormalCaracter"/>
          </w:rPr>
          <w:t>59/2013</w:t>
        </w:r>
      </w:hyperlink>
      <w:r>
        <w:t xml:space="preserve">, ff. 1, 3; </w:t>
      </w:r>
      <w:hyperlink w:anchor="AUTO_2013_104" w:history="1">
        <w:r w:rsidRPr="00E27756">
          <w:rPr>
            <w:rStyle w:val="TextoNormalCaracter"/>
          </w:rPr>
          <w:t>104/2013</w:t>
        </w:r>
      </w:hyperlink>
      <w:r>
        <w:t xml:space="preserve">, f. único; </w:t>
      </w:r>
      <w:hyperlink w:anchor="AUTO_2013_105" w:history="1">
        <w:r w:rsidRPr="00E27756">
          <w:rPr>
            <w:rStyle w:val="TextoNormalCaracter"/>
          </w:rPr>
          <w:t>105/2013</w:t>
        </w:r>
      </w:hyperlink>
      <w:r>
        <w:t xml:space="preserve">, f. único; </w:t>
      </w:r>
      <w:hyperlink w:anchor="AUTO_2013_106" w:history="1">
        <w:r w:rsidRPr="00E27756">
          <w:rPr>
            <w:rStyle w:val="TextoNormalCaracter"/>
          </w:rPr>
          <w:t>106/2013</w:t>
        </w:r>
      </w:hyperlink>
      <w:r>
        <w:t xml:space="preserve">, f. único; </w:t>
      </w:r>
      <w:hyperlink w:anchor="AUTO_2013_107" w:history="1">
        <w:r w:rsidRPr="00E27756">
          <w:rPr>
            <w:rStyle w:val="TextoNormalCaracter"/>
          </w:rPr>
          <w:t>107/2013</w:t>
        </w:r>
      </w:hyperlink>
      <w:r>
        <w:t xml:space="preserve">, f. único; </w:t>
      </w:r>
      <w:hyperlink w:anchor="AUTO_2013_108" w:history="1">
        <w:r w:rsidRPr="00E27756">
          <w:rPr>
            <w:rStyle w:val="TextoNormalCaracter"/>
          </w:rPr>
          <w:t>108/2013</w:t>
        </w:r>
      </w:hyperlink>
      <w:r>
        <w:t xml:space="preserve">, f. único; </w:t>
      </w:r>
      <w:hyperlink w:anchor="AUTO_2013_109" w:history="1">
        <w:r w:rsidRPr="00E27756">
          <w:rPr>
            <w:rStyle w:val="TextoNormalCaracter"/>
          </w:rPr>
          <w:t>109/2013</w:t>
        </w:r>
      </w:hyperlink>
      <w:r>
        <w:t xml:space="preserve">, f. único; </w:t>
      </w:r>
      <w:hyperlink w:anchor="AUTO_2013_110" w:history="1">
        <w:r w:rsidRPr="00E27756">
          <w:rPr>
            <w:rStyle w:val="TextoNormalCaracter"/>
          </w:rPr>
          <w:t>110/2013</w:t>
        </w:r>
      </w:hyperlink>
      <w:r>
        <w:t xml:space="preserve">, f. único; </w:t>
      </w:r>
      <w:hyperlink w:anchor="AUTO_2013_111" w:history="1">
        <w:r w:rsidRPr="00E27756">
          <w:rPr>
            <w:rStyle w:val="TextoNormalCaracter"/>
          </w:rPr>
          <w:t>111/2013</w:t>
        </w:r>
      </w:hyperlink>
      <w:r>
        <w:t xml:space="preserve">, f. único; </w:t>
      </w:r>
      <w:hyperlink w:anchor="AUTO_2013_112" w:history="1">
        <w:r w:rsidRPr="00E27756">
          <w:rPr>
            <w:rStyle w:val="TextoNormalCaracter"/>
          </w:rPr>
          <w:t>112/2013</w:t>
        </w:r>
      </w:hyperlink>
      <w:r>
        <w:t xml:space="preserve">, f. único; </w:t>
      </w:r>
      <w:hyperlink w:anchor="AUTO_2013_113" w:history="1">
        <w:r w:rsidRPr="00E27756">
          <w:rPr>
            <w:rStyle w:val="TextoNormalCaracter"/>
          </w:rPr>
          <w:t>113/2013</w:t>
        </w:r>
      </w:hyperlink>
      <w:r>
        <w:t xml:space="preserve">, f. único; </w:t>
      </w:r>
      <w:hyperlink w:anchor="AUTO_2013_114" w:history="1">
        <w:r w:rsidRPr="00E27756">
          <w:rPr>
            <w:rStyle w:val="TextoNormalCaracter"/>
          </w:rPr>
          <w:t>114/2013</w:t>
        </w:r>
      </w:hyperlink>
      <w:r>
        <w:t xml:space="preserve">, f. único; </w:t>
      </w:r>
      <w:hyperlink w:anchor="AUTO_2013_115" w:history="1">
        <w:r w:rsidRPr="00E27756">
          <w:rPr>
            <w:rStyle w:val="TextoNormalCaracter"/>
          </w:rPr>
          <w:t>115/2013</w:t>
        </w:r>
      </w:hyperlink>
      <w:r>
        <w:t xml:space="preserve">, f. único; </w:t>
      </w:r>
      <w:hyperlink w:anchor="AUTO_2013_117" w:history="1">
        <w:r w:rsidRPr="00E27756">
          <w:rPr>
            <w:rStyle w:val="TextoNormalCaracter"/>
          </w:rPr>
          <w:t>117/2013</w:t>
        </w:r>
      </w:hyperlink>
      <w:r>
        <w:t xml:space="preserve">, f. único; </w:t>
      </w:r>
      <w:hyperlink w:anchor="AUTO_2013_118" w:history="1">
        <w:r w:rsidRPr="00E27756">
          <w:rPr>
            <w:rStyle w:val="TextoNormalCaracter"/>
          </w:rPr>
          <w:t>118/2013</w:t>
        </w:r>
      </w:hyperlink>
      <w:r>
        <w:t xml:space="preserve">, f. único; </w:t>
      </w:r>
      <w:hyperlink w:anchor="AUTO_2013_119" w:history="1">
        <w:r w:rsidRPr="00E27756">
          <w:rPr>
            <w:rStyle w:val="TextoNormalCaracter"/>
          </w:rPr>
          <w:t>119/2013</w:t>
        </w:r>
      </w:hyperlink>
      <w:r>
        <w:t xml:space="preserve">, f. único; </w:t>
      </w:r>
      <w:hyperlink w:anchor="AUTO_2013_122" w:history="1">
        <w:r w:rsidRPr="00E27756">
          <w:rPr>
            <w:rStyle w:val="TextoNormalCaracter"/>
          </w:rPr>
          <w:t>122/2013</w:t>
        </w:r>
      </w:hyperlink>
      <w:r>
        <w:t xml:space="preserve">, f. 4; </w:t>
      </w:r>
      <w:hyperlink w:anchor="AUTO_2013_134" w:history="1">
        <w:r w:rsidRPr="00E27756">
          <w:rPr>
            <w:rStyle w:val="TextoNormalCaracter"/>
          </w:rPr>
          <w:t>134/2013</w:t>
        </w:r>
      </w:hyperlink>
      <w:r>
        <w:t xml:space="preserve">, f. 3; </w:t>
      </w:r>
      <w:hyperlink w:anchor="AUTO_2013_140" w:history="1">
        <w:r w:rsidRPr="00E27756">
          <w:rPr>
            <w:rStyle w:val="TextoNormalCaracter"/>
          </w:rPr>
          <w:t>140/2013</w:t>
        </w:r>
      </w:hyperlink>
      <w:r>
        <w:t>, f. único.</w:t>
      </w:r>
    </w:p>
    <w:p w:rsidR="00E27756" w:rsidRDefault="00E27756" w:rsidP="00E27756">
      <w:pPr>
        <w:pStyle w:val="SangriaFrancesaArticulo"/>
      </w:pPr>
      <w:r w:rsidRPr="00E27756">
        <w:rPr>
          <w:rStyle w:val="TextoNormalNegritaCaracter"/>
        </w:rPr>
        <w:lastRenderedPageBreak/>
        <w:t>Artículo 24.2.</w:t>
      </w:r>
      <w:r w:rsidRPr="00E27756">
        <w:rPr>
          <w:rStyle w:val="TextoNormalCaracter"/>
        </w:rPr>
        <w:t>-</w:t>
      </w:r>
      <w:r>
        <w:t xml:space="preserve"> Sentencias </w:t>
      </w:r>
      <w:hyperlink w:anchor="SENTENCIA_2013_17" w:history="1">
        <w:r w:rsidRPr="00E27756">
          <w:rPr>
            <w:rStyle w:val="TextoNormalCaracter"/>
          </w:rPr>
          <w:t>17/2013</w:t>
        </w:r>
      </w:hyperlink>
      <w:r>
        <w:t xml:space="preserve">, ff. 1, 12; </w:t>
      </w:r>
      <w:hyperlink w:anchor="SENTENCIA_2013_27" w:history="1">
        <w:r w:rsidRPr="00E27756">
          <w:rPr>
            <w:rStyle w:val="TextoNormalCaracter"/>
          </w:rPr>
          <w:t>27/2013</w:t>
        </w:r>
      </w:hyperlink>
      <w:r>
        <w:t xml:space="preserve">, ff. 1, 4, 8, VP I; </w:t>
      </w:r>
      <w:hyperlink w:anchor="SENTENCIA_2013_28" w:history="1">
        <w:r w:rsidRPr="00E27756">
          <w:rPr>
            <w:rStyle w:val="TextoNormalCaracter"/>
          </w:rPr>
          <w:t>28/2013</w:t>
        </w:r>
      </w:hyperlink>
      <w:r>
        <w:t xml:space="preserve">, f. 1; </w:t>
      </w:r>
      <w:hyperlink w:anchor="SENTENCIA_2013_29" w:history="1">
        <w:r w:rsidRPr="00E27756">
          <w:rPr>
            <w:rStyle w:val="TextoNormalCaracter"/>
          </w:rPr>
          <w:t>29/2013</w:t>
        </w:r>
      </w:hyperlink>
      <w:r>
        <w:t xml:space="preserve">, ff. 1, 2; </w:t>
      </w:r>
      <w:hyperlink w:anchor="SENTENCIA_2013_30" w:history="1">
        <w:r w:rsidRPr="00E27756">
          <w:rPr>
            <w:rStyle w:val="TextoNormalCaracter"/>
          </w:rPr>
          <w:t>30/2013</w:t>
        </w:r>
      </w:hyperlink>
      <w:r>
        <w:t xml:space="preserve">, f. 1; </w:t>
      </w:r>
      <w:hyperlink w:anchor="SENTENCIA_2013_54" w:history="1">
        <w:r w:rsidRPr="00E27756">
          <w:rPr>
            <w:rStyle w:val="TextoNormalCaracter"/>
          </w:rPr>
          <w:t>54/2013</w:t>
        </w:r>
      </w:hyperlink>
      <w:r>
        <w:t xml:space="preserve">, f. 1; </w:t>
      </w:r>
      <w:hyperlink w:anchor="SENTENCIA_2013_78" w:history="1">
        <w:r w:rsidRPr="00E27756">
          <w:rPr>
            <w:rStyle w:val="TextoNormalCaracter"/>
          </w:rPr>
          <w:t>78/2013</w:t>
        </w:r>
      </w:hyperlink>
      <w:r>
        <w:t xml:space="preserve">, f. 1; </w:t>
      </w:r>
      <w:hyperlink w:anchor="SENTENCIA_2013_88" w:history="1">
        <w:r w:rsidRPr="00E27756">
          <w:rPr>
            <w:rStyle w:val="TextoNormalCaracter"/>
          </w:rPr>
          <w:t>88/2013</w:t>
        </w:r>
      </w:hyperlink>
      <w:r>
        <w:t>, ff. 1, 6 a 9, 11 a 14.</w:t>
      </w:r>
    </w:p>
    <w:p w:rsidR="00E27756" w:rsidRDefault="00E27756" w:rsidP="00E27756">
      <w:pPr>
        <w:pStyle w:val="SangriaIzquierdaArticulo"/>
      </w:pPr>
      <w:r>
        <w:t xml:space="preserve">Auto </w:t>
      </w:r>
      <w:hyperlink w:anchor="AUTO_2013_21" w:history="1">
        <w:r w:rsidRPr="00E27756">
          <w:rPr>
            <w:rStyle w:val="TextoNormalCaracter"/>
          </w:rPr>
          <w:t>21/2013</w:t>
        </w:r>
      </w:hyperlink>
      <w:r>
        <w:t>, ff. 1, 3.</w:t>
      </w:r>
    </w:p>
    <w:p w:rsidR="00E27756" w:rsidRDefault="00E27756" w:rsidP="00E27756">
      <w:pPr>
        <w:pStyle w:val="SangriaFrancesaArticulo"/>
      </w:pPr>
      <w:r w:rsidRPr="00E27756">
        <w:rPr>
          <w:rStyle w:val="TextoNormalNegritaCaracter"/>
        </w:rPr>
        <w:t>Artículo 24.2</w:t>
      </w:r>
      <w:r>
        <w:t xml:space="preserve"> </w:t>
      </w:r>
      <w:r w:rsidRPr="00E27756">
        <w:rPr>
          <w:rStyle w:val="TextoNormalCaracter"/>
        </w:rPr>
        <w:t>(derecho a la defensa)</w:t>
      </w:r>
      <w:r w:rsidRPr="00E27756">
        <w:rPr>
          <w:rStyle w:val="TextoNormalNegritaCaracter"/>
        </w:rPr>
        <w:t>.</w:t>
      </w:r>
      <w:r w:rsidRPr="00E27756">
        <w:rPr>
          <w:rStyle w:val="TextoNormalCaracter"/>
        </w:rPr>
        <w:t>-</w:t>
      </w:r>
      <w:r>
        <w:t xml:space="preserve"> Sentencias </w:t>
      </w:r>
      <w:hyperlink w:anchor="SENTENCIA_2013_2" w:history="1">
        <w:r w:rsidRPr="00E27756">
          <w:rPr>
            <w:rStyle w:val="TextoNormalCaracter"/>
          </w:rPr>
          <w:t>2/2013</w:t>
        </w:r>
      </w:hyperlink>
      <w:r>
        <w:t xml:space="preserve">, f. 1; </w:t>
      </w:r>
      <w:hyperlink w:anchor="SENTENCIA_2013_75" w:history="1">
        <w:r w:rsidRPr="00E27756">
          <w:rPr>
            <w:rStyle w:val="TextoNormalCaracter"/>
          </w:rPr>
          <w:t>75/2013</w:t>
        </w:r>
      </w:hyperlink>
      <w:r>
        <w:t xml:space="preserve">, f. 1; </w:t>
      </w:r>
      <w:hyperlink w:anchor="SENTENCIA_2013_126" w:history="1">
        <w:r w:rsidRPr="00E27756">
          <w:rPr>
            <w:rStyle w:val="TextoNormalCaracter"/>
          </w:rPr>
          <w:t>126/2013</w:t>
        </w:r>
      </w:hyperlink>
      <w:r>
        <w:t xml:space="preserve">, f. 1; </w:t>
      </w:r>
      <w:hyperlink w:anchor="SENTENCIA_2013_128" w:history="1">
        <w:r w:rsidRPr="00E27756">
          <w:rPr>
            <w:rStyle w:val="TextoNormalCaracter"/>
          </w:rPr>
          <w:t>128/2013</w:t>
        </w:r>
      </w:hyperlink>
      <w:r>
        <w:t>, f. 3.</w:t>
      </w:r>
    </w:p>
    <w:p w:rsidR="00E27756" w:rsidRDefault="00E27756" w:rsidP="00E27756">
      <w:pPr>
        <w:pStyle w:val="SangriaFrancesaArticulo"/>
      </w:pPr>
      <w:r w:rsidRPr="00E27756">
        <w:rPr>
          <w:rStyle w:val="TextoNormalNegritaCaracter"/>
        </w:rPr>
        <w:t>Artículo 24.2</w:t>
      </w:r>
      <w:r>
        <w:t xml:space="preserve"> </w:t>
      </w:r>
      <w:r w:rsidRPr="00E27756">
        <w:rPr>
          <w:rStyle w:val="TextoNormalCaracter"/>
        </w:rPr>
        <w:t>(derecho a la presunción de inocencia)</w:t>
      </w:r>
      <w:r w:rsidRPr="00E27756">
        <w:rPr>
          <w:rStyle w:val="TextoNormalNegritaCaracter"/>
        </w:rPr>
        <w:t>.</w:t>
      </w:r>
      <w:r w:rsidRPr="00E27756">
        <w:rPr>
          <w:rStyle w:val="TextoNormalCaracter"/>
        </w:rPr>
        <w:t>-</w:t>
      </w:r>
      <w:r>
        <w:t xml:space="preserve"> Sentencias </w:t>
      </w:r>
      <w:hyperlink w:anchor="SENTENCIA_2013_17" w:history="1">
        <w:r w:rsidRPr="00E27756">
          <w:rPr>
            <w:rStyle w:val="TextoNormalCaracter"/>
          </w:rPr>
          <w:t>17/2013</w:t>
        </w:r>
      </w:hyperlink>
      <w:r>
        <w:t xml:space="preserve">, f. 6; </w:t>
      </w:r>
      <w:hyperlink w:anchor="SENTENCIA_2013_22" w:history="1">
        <w:r w:rsidRPr="00E27756">
          <w:rPr>
            <w:rStyle w:val="TextoNormalCaracter"/>
          </w:rPr>
          <w:t>22/2013</w:t>
        </w:r>
      </w:hyperlink>
      <w:r>
        <w:t xml:space="preserve">, ff. 1, 4, 5; </w:t>
      </w:r>
      <w:hyperlink w:anchor="SENTENCIA_2013_43" w:history="1">
        <w:r w:rsidRPr="00E27756">
          <w:rPr>
            <w:rStyle w:val="TextoNormalCaracter"/>
          </w:rPr>
          <w:t>43/2013</w:t>
        </w:r>
      </w:hyperlink>
      <w:r>
        <w:t xml:space="preserve">, ff. 1, 3, 7; </w:t>
      </w:r>
      <w:hyperlink w:anchor="SENTENCIA_2013_45" w:history="1">
        <w:r w:rsidRPr="00E27756">
          <w:rPr>
            <w:rStyle w:val="TextoNormalCaracter"/>
          </w:rPr>
          <w:t>45/2013</w:t>
        </w:r>
      </w:hyperlink>
      <w:r>
        <w:t xml:space="preserve">, f. 1; </w:t>
      </w:r>
      <w:hyperlink w:anchor="SENTENCIA_2013_53" w:history="1">
        <w:r w:rsidRPr="00E27756">
          <w:rPr>
            <w:rStyle w:val="TextoNormalCaracter"/>
          </w:rPr>
          <w:t>53/2013</w:t>
        </w:r>
      </w:hyperlink>
      <w:r>
        <w:t xml:space="preserve">, ff. 1, 5; </w:t>
      </w:r>
      <w:hyperlink w:anchor="SENTENCIA_2013_57" w:history="1">
        <w:r w:rsidRPr="00E27756">
          <w:rPr>
            <w:rStyle w:val="TextoNormalCaracter"/>
          </w:rPr>
          <w:t>57/2013</w:t>
        </w:r>
      </w:hyperlink>
      <w:r>
        <w:t xml:space="preserve">, f. 1; </w:t>
      </w:r>
      <w:hyperlink w:anchor="SENTENCIA_2013_75" w:history="1">
        <w:r w:rsidRPr="00E27756">
          <w:rPr>
            <w:rStyle w:val="TextoNormalCaracter"/>
          </w:rPr>
          <w:t>75/2013</w:t>
        </w:r>
      </w:hyperlink>
      <w:r>
        <w:t xml:space="preserve">, ff. 1, 2, 6; </w:t>
      </w:r>
      <w:hyperlink w:anchor="SENTENCIA_2013_105" w:history="1">
        <w:r w:rsidRPr="00E27756">
          <w:rPr>
            <w:rStyle w:val="TextoNormalCaracter"/>
          </w:rPr>
          <w:t>105/2013</w:t>
        </w:r>
      </w:hyperlink>
      <w:r>
        <w:t xml:space="preserve">, ff. 1, 6; </w:t>
      </w:r>
      <w:hyperlink w:anchor="SENTENCIA_2013_118" w:history="1">
        <w:r w:rsidRPr="00E27756">
          <w:rPr>
            <w:rStyle w:val="TextoNormalCaracter"/>
          </w:rPr>
          <w:t>118/2013</w:t>
        </w:r>
      </w:hyperlink>
      <w:r>
        <w:t xml:space="preserve">, ff. 1, 3; </w:t>
      </w:r>
      <w:hyperlink w:anchor="SENTENCIA_2013_119" w:history="1">
        <w:r w:rsidRPr="00E27756">
          <w:rPr>
            <w:rStyle w:val="TextoNormalCaracter"/>
          </w:rPr>
          <w:t>119/2013</w:t>
        </w:r>
      </w:hyperlink>
      <w:r>
        <w:t xml:space="preserve">, ff. 1, 3, 5; </w:t>
      </w:r>
      <w:hyperlink w:anchor="SENTENCIA_2013_120" w:history="1">
        <w:r w:rsidRPr="00E27756">
          <w:rPr>
            <w:rStyle w:val="TextoNormalCaracter"/>
          </w:rPr>
          <w:t>120/2013</w:t>
        </w:r>
      </w:hyperlink>
      <w:r>
        <w:t>, ff. 1, 3.</w:t>
      </w:r>
    </w:p>
    <w:p w:rsidR="00E27756" w:rsidRDefault="00E27756" w:rsidP="00E27756">
      <w:pPr>
        <w:pStyle w:val="SangriaFrancesaArticulo"/>
      </w:pPr>
      <w:r w:rsidRPr="00E27756">
        <w:rPr>
          <w:rStyle w:val="TextoNormalNegritaCaracter"/>
        </w:rPr>
        <w:t>Artículo 24.2</w:t>
      </w:r>
      <w:r>
        <w:t xml:space="preserve"> </w:t>
      </w:r>
      <w:r w:rsidRPr="00E27756">
        <w:rPr>
          <w:rStyle w:val="TextoNormalCaracter"/>
        </w:rPr>
        <w:t>(derecho a la prueba)</w:t>
      </w:r>
      <w:r w:rsidRPr="00E27756">
        <w:rPr>
          <w:rStyle w:val="TextoNormalNegritaCaracter"/>
        </w:rPr>
        <w:t>.</w:t>
      </w:r>
      <w:r w:rsidRPr="00E27756">
        <w:rPr>
          <w:rStyle w:val="TextoNormalCaracter"/>
        </w:rPr>
        <w:t>-</w:t>
      </w:r>
      <w:r>
        <w:t xml:space="preserve"> Sentencias </w:t>
      </w:r>
      <w:hyperlink w:anchor="SENTENCIA_2013_12" w:history="1">
        <w:r w:rsidRPr="00E27756">
          <w:rPr>
            <w:rStyle w:val="TextoNormalCaracter"/>
          </w:rPr>
          <w:t>12/2013</w:t>
        </w:r>
      </w:hyperlink>
      <w:r>
        <w:t xml:space="preserve">, f. 1; </w:t>
      </w:r>
      <w:hyperlink w:anchor="SENTENCIA_2013_57" w:history="1">
        <w:r w:rsidRPr="00E27756">
          <w:rPr>
            <w:rStyle w:val="TextoNormalCaracter"/>
          </w:rPr>
          <w:t>57/2013</w:t>
        </w:r>
      </w:hyperlink>
      <w:r>
        <w:t xml:space="preserve">, f. 2; </w:t>
      </w:r>
      <w:hyperlink w:anchor="SENTENCIA_2013_76" w:history="1">
        <w:r w:rsidRPr="00E27756">
          <w:rPr>
            <w:rStyle w:val="TextoNormalCaracter"/>
          </w:rPr>
          <w:t>76/2013</w:t>
        </w:r>
      </w:hyperlink>
      <w:r>
        <w:t xml:space="preserve">, f. 1; </w:t>
      </w:r>
      <w:hyperlink w:anchor="SENTENCIA_2013_126" w:history="1">
        <w:r w:rsidRPr="00E27756">
          <w:rPr>
            <w:rStyle w:val="TextoNormalCaracter"/>
          </w:rPr>
          <w:t>126/2013</w:t>
        </w:r>
      </w:hyperlink>
      <w:r>
        <w:t>, f. 1.</w:t>
      </w:r>
    </w:p>
    <w:p w:rsidR="00E27756" w:rsidRDefault="00E27756" w:rsidP="00E27756">
      <w:pPr>
        <w:pStyle w:val="SangriaFrancesaArticulo"/>
      </w:pPr>
      <w:r w:rsidRPr="00E27756">
        <w:rPr>
          <w:rStyle w:val="TextoNormalNegritaCaracter"/>
        </w:rPr>
        <w:t>Artículo 24.2</w:t>
      </w:r>
      <w:r>
        <w:t xml:space="preserve"> </w:t>
      </w:r>
      <w:r w:rsidRPr="00E27756">
        <w:rPr>
          <w:rStyle w:val="TextoNormalCaracter"/>
        </w:rPr>
        <w:t>(derecho a no confesarse culpable)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r w:rsidRPr="00E27756">
        <w:rPr>
          <w:rStyle w:val="TextoNormalNegritaCaracter"/>
        </w:rPr>
        <w:t>Artículo 24.2</w:t>
      </w:r>
      <w:r>
        <w:t xml:space="preserve"> </w:t>
      </w:r>
      <w:r w:rsidRPr="00E27756">
        <w:rPr>
          <w:rStyle w:val="TextoNormalCaracter"/>
        </w:rPr>
        <w:t>(derecho a no declarar contra sí mismo)</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r w:rsidRPr="00E27756">
        <w:rPr>
          <w:rStyle w:val="TextoNormalNegritaCaracter"/>
        </w:rPr>
        <w:t>Artículo 24.2</w:t>
      </w:r>
      <w:r>
        <w:t xml:space="preserve"> </w:t>
      </w:r>
      <w:r w:rsidRPr="00E27756">
        <w:rPr>
          <w:rStyle w:val="TextoNormalCaracter"/>
        </w:rPr>
        <w:t>(derecho a ser informado de la acusación)</w:t>
      </w:r>
      <w:r w:rsidRPr="00E27756">
        <w:rPr>
          <w:rStyle w:val="TextoNormalNegritaCaracter"/>
        </w:rPr>
        <w:t>.</w:t>
      </w:r>
      <w:r w:rsidRPr="00E27756">
        <w:rPr>
          <w:rStyle w:val="TextoNormalCaracter"/>
        </w:rPr>
        <w:t>-</w:t>
      </w:r>
      <w:r>
        <w:t xml:space="preserve"> Sentencias </w:t>
      </w:r>
      <w:hyperlink w:anchor="SENTENCIA_2013_43" w:history="1">
        <w:r w:rsidRPr="00E27756">
          <w:rPr>
            <w:rStyle w:val="TextoNormalCaracter"/>
          </w:rPr>
          <w:t>43/2013</w:t>
        </w:r>
      </w:hyperlink>
      <w:r>
        <w:t xml:space="preserve">, ff. 1, 4; </w:t>
      </w:r>
      <w:hyperlink w:anchor="SENTENCIA_2013_120" w:history="1">
        <w:r w:rsidRPr="00E27756">
          <w:rPr>
            <w:rStyle w:val="TextoNormalCaracter"/>
          </w:rPr>
          <w:t>120/2013</w:t>
        </w:r>
      </w:hyperlink>
      <w:r>
        <w:t>, f. 1.</w:t>
      </w:r>
    </w:p>
    <w:p w:rsidR="00E27756" w:rsidRDefault="00E27756" w:rsidP="00E27756">
      <w:pPr>
        <w:pStyle w:val="SangriaFrancesaArticulo"/>
      </w:pPr>
      <w:r w:rsidRPr="00E27756">
        <w:rPr>
          <w:rStyle w:val="TextoNormalNegritaCaracter"/>
        </w:rPr>
        <w:t>Artículo 24.2</w:t>
      </w:r>
      <w:r>
        <w:t xml:space="preserve"> </w:t>
      </w:r>
      <w:r w:rsidRPr="00E27756">
        <w:rPr>
          <w:rStyle w:val="TextoNormalCaracter"/>
        </w:rPr>
        <w:t>(derecho a un juez imparcial)</w:t>
      </w:r>
      <w:r w:rsidRPr="00E27756">
        <w:rPr>
          <w:rStyle w:val="TextoNormalNegritaCaracter"/>
        </w:rPr>
        <w:t>.</w:t>
      </w:r>
      <w:r w:rsidRPr="00E27756">
        <w:rPr>
          <w:rStyle w:val="TextoNormalCaracter"/>
        </w:rPr>
        <w:t>-</w:t>
      </w:r>
      <w:r>
        <w:t xml:space="preserve"> Sentencia </w:t>
      </w:r>
      <w:hyperlink w:anchor="SENTENCIA_2013_118" w:history="1">
        <w:r w:rsidRPr="00E27756">
          <w:rPr>
            <w:rStyle w:val="TextoNormalCaracter"/>
          </w:rPr>
          <w:t>118/2013</w:t>
        </w:r>
      </w:hyperlink>
      <w:r>
        <w:t>, f. 1.</w:t>
      </w:r>
    </w:p>
    <w:p w:rsidR="00E27756" w:rsidRDefault="00E27756" w:rsidP="00E27756">
      <w:pPr>
        <w:pStyle w:val="SangriaFrancesaArticulo"/>
      </w:pPr>
      <w:r w:rsidRPr="00E27756">
        <w:rPr>
          <w:rStyle w:val="TextoNormalNegritaCaracter"/>
        </w:rPr>
        <w:t>Artículo 24.2</w:t>
      </w:r>
      <w:r>
        <w:t xml:space="preserve"> </w:t>
      </w:r>
      <w:r w:rsidRPr="00E27756">
        <w:rPr>
          <w:rStyle w:val="TextoNormalCaracter"/>
        </w:rPr>
        <w:t>(derecho a un proceso con todas las garantías)</w:t>
      </w:r>
      <w:r w:rsidRPr="00E27756">
        <w:rPr>
          <w:rStyle w:val="TextoNormalNegritaCaracter"/>
        </w:rPr>
        <w:t>.</w:t>
      </w:r>
      <w:r w:rsidRPr="00E27756">
        <w:rPr>
          <w:rStyle w:val="TextoNormalCaracter"/>
        </w:rPr>
        <w:t>-</w:t>
      </w:r>
      <w:r>
        <w:t xml:space="preserve"> Sentencias </w:t>
      </w:r>
      <w:hyperlink w:anchor="SENTENCIA_2013_2" w:history="1">
        <w:r w:rsidRPr="00E27756">
          <w:rPr>
            <w:rStyle w:val="TextoNormalCaracter"/>
          </w:rPr>
          <w:t>2/2013</w:t>
        </w:r>
      </w:hyperlink>
      <w:r>
        <w:t xml:space="preserve">, f. 1; </w:t>
      </w:r>
      <w:hyperlink w:anchor="SENTENCIA_2013_10" w:history="1">
        <w:r w:rsidRPr="00E27756">
          <w:rPr>
            <w:rStyle w:val="TextoNormalCaracter"/>
          </w:rPr>
          <w:t>10/2013</w:t>
        </w:r>
      </w:hyperlink>
      <w:r>
        <w:t xml:space="preserve">, f. 4; </w:t>
      </w:r>
      <w:hyperlink w:anchor="SENTENCIA_2013_12" w:history="1">
        <w:r w:rsidRPr="00E27756">
          <w:rPr>
            <w:rStyle w:val="TextoNormalCaracter"/>
          </w:rPr>
          <w:t>12/2013</w:t>
        </w:r>
      </w:hyperlink>
      <w:r>
        <w:t xml:space="preserve">, f. 1; </w:t>
      </w:r>
      <w:hyperlink w:anchor="SENTENCIA_2013_17" w:history="1">
        <w:r w:rsidRPr="00E27756">
          <w:rPr>
            <w:rStyle w:val="TextoNormalCaracter"/>
          </w:rPr>
          <w:t>17/2013</w:t>
        </w:r>
      </w:hyperlink>
      <w:r>
        <w:t xml:space="preserve">, VP; </w:t>
      </w:r>
      <w:hyperlink w:anchor="SENTENCIA_2013_22" w:history="1">
        <w:r w:rsidRPr="00E27756">
          <w:rPr>
            <w:rStyle w:val="TextoNormalCaracter"/>
          </w:rPr>
          <w:t>22/2013</w:t>
        </w:r>
      </w:hyperlink>
      <w:r>
        <w:t xml:space="preserve">, ff. 1 a 4; </w:t>
      </w:r>
      <w:hyperlink w:anchor="SENTENCIA_2013_43" w:history="1">
        <w:r w:rsidRPr="00E27756">
          <w:rPr>
            <w:rStyle w:val="TextoNormalCaracter"/>
          </w:rPr>
          <w:t>43/2013</w:t>
        </w:r>
      </w:hyperlink>
      <w:r>
        <w:t xml:space="preserve">, ff. 1, 3; </w:t>
      </w:r>
      <w:hyperlink w:anchor="SENTENCIA_2013_44" w:history="1">
        <w:r w:rsidRPr="00E27756">
          <w:rPr>
            <w:rStyle w:val="TextoNormalCaracter"/>
          </w:rPr>
          <w:t>44/2013</w:t>
        </w:r>
      </w:hyperlink>
      <w:r>
        <w:t xml:space="preserve">, ff. 1, 3; </w:t>
      </w:r>
      <w:hyperlink w:anchor="SENTENCIA_2013_53" w:history="1">
        <w:r w:rsidRPr="00E27756">
          <w:rPr>
            <w:rStyle w:val="TextoNormalCaracter"/>
          </w:rPr>
          <w:t>53/2013</w:t>
        </w:r>
      </w:hyperlink>
      <w:r>
        <w:t xml:space="preserve">, ff. 6, 7; </w:t>
      </w:r>
      <w:hyperlink w:anchor="SENTENCIA_2013_57" w:history="1">
        <w:r w:rsidRPr="00E27756">
          <w:rPr>
            <w:rStyle w:val="TextoNormalCaracter"/>
          </w:rPr>
          <w:t>57/2013</w:t>
        </w:r>
      </w:hyperlink>
      <w:r>
        <w:t xml:space="preserve">, f. 1; </w:t>
      </w:r>
      <w:hyperlink w:anchor="SENTENCIA_2013_75" w:history="1">
        <w:r w:rsidRPr="00E27756">
          <w:rPr>
            <w:rStyle w:val="TextoNormalCaracter"/>
          </w:rPr>
          <w:t>75/2013</w:t>
        </w:r>
      </w:hyperlink>
      <w:r>
        <w:t xml:space="preserve">, ff. 1, 3, 4, 6; </w:t>
      </w:r>
      <w:hyperlink w:anchor="SENTENCIA_2013_105" w:history="1">
        <w:r w:rsidRPr="00E27756">
          <w:rPr>
            <w:rStyle w:val="TextoNormalCaracter"/>
          </w:rPr>
          <w:t>105/2013</w:t>
        </w:r>
      </w:hyperlink>
      <w:r>
        <w:t xml:space="preserve">, ff. 1, 2, 4, 7 a 9; </w:t>
      </w:r>
      <w:hyperlink w:anchor="SENTENCIA_2013_110" w:history="1">
        <w:r w:rsidRPr="00E27756">
          <w:rPr>
            <w:rStyle w:val="TextoNormalCaracter"/>
          </w:rPr>
          <w:t>110/2013</w:t>
        </w:r>
      </w:hyperlink>
      <w:r>
        <w:t xml:space="preserve">, f. 2; </w:t>
      </w:r>
      <w:hyperlink w:anchor="SENTENCIA_2013_118" w:history="1">
        <w:r w:rsidRPr="00E27756">
          <w:rPr>
            <w:rStyle w:val="TextoNormalCaracter"/>
          </w:rPr>
          <w:t>118/2013</w:t>
        </w:r>
      </w:hyperlink>
      <w:r>
        <w:t xml:space="preserve">, ff. 1, 3 a 5; </w:t>
      </w:r>
      <w:hyperlink w:anchor="SENTENCIA_2013_119" w:history="1">
        <w:r w:rsidRPr="00E27756">
          <w:rPr>
            <w:rStyle w:val="TextoNormalCaracter"/>
          </w:rPr>
          <w:t>119/2013</w:t>
        </w:r>
      </w:hyperlink>
      <w:r>
        <w:t xml:space="preserve">, ff. 1, 3, 4; </w:t>
      </w:r>
      <w:hyperlink w:anchor="SENTENCIA_2013_120" w:history="1">
        <w:r w:rsidRPr="00E27756">
          <w:rPr>
            <w:rStyle w:val="TextoNormalCaracter"/>
          </w:rPr>
          <w:t>120/2013</w:t>
        </w:r>
      </w:hyperlink>
      <w:r>
        <w:t>, ff. 1, 3 a 5.</w:t>
      </w:r>
    </w:p>
    <w:p w:rsidR="00E27756" w:rsidRDefault="00E27756" w:rsidP="00E27756">
      <w:pPr>
        <w:pStyle w:val="SangriaFrancesaArticulo"/>
      </w:pPr>
      <w:r w:rsidRPr="00E27756">
        <w:rPr>
          <w:rStyle w:val="TextoNormalNegritaCaracter"/>
        </w:rPr>
        <w:t>Artículo 25.</w:t>
      </w:r>
      <w:r w:rsidRPr="00E27756">
        <w:rPr>
          <w:rStyle w:val="TextoNormalCaracter"/>
        </w:rPr>
        <w:t>-</w:t>
      </w:r>
      <w:r>
        <w:t xml:space="preserve"> Sentencias </w:t>
      </w:r>
      <w:hyperlink w:anchor="SENTENCIA_2013_30" w:history="1">
        <w:r w:rsidRPr="00E27756">
          <w:rPr>
            <w:rStyle w:val="TextoNormalCaracter"/>
          </w:rPr>
          <w:t>30/2013</w:t>
        </w:r>
      </w:hyperlink>
      <w:r>
        <w:t xml:space="preserve">, f. 1; </w:t>
      </w:r>
      <w:hyperlink w:anchor="SENTENCIA_2013_45" w:history="1">
        <w:r w:rsidRPr="00E27756">
          <w:rPr>
            <w:rStyle w:val="TextoNormalCaracter"/>
          </w:rPr>
          <w:t>45/2013</w:t>
        </w:r>
      </w:hyperlink>
      <w:r>
        <w:t xml:space="preserve">, f. 2; </w:t>
      </w:r>
      <w:hyperlink w:anchor="SENTENCIA_2013_102" w:history="1">
        <w:r w:rsidRPr="00E27756">
          <w:rPr>
            <w:rStyle w:val="TextoNormalCaracter"/>
          </w:rPr>
          <w:t>102/2013</w:t>
        </w:r>
      </w:hyperlink>
      <w:r>
        <w:t xml:space="preserve">, f. 3; </w:t>
      </w:r>
      <w:hyperlink w:anchor="SENTENCIA_2013_130" w:history="1">
        <w:r w:rsidRPr="00E27756">
          <w:rPr>
            <w:rStyle w:val="TextoNormalCaracter"/>
          </w:rPr>
          <w:t>130/2013</w:t>
        </w:r>
      </w:hyperlink>
      <w:r>
        <w:t xml:space="preserve">, f. 9; </w:t>
      </w:r>
      <w:hyperlink w:anchor="SENTENCIA_2013_135" w:history="1">
        <w:r w:rsidRPr="00E27756">
          <w:rPr>
            <w:rStyle w:val="TextoNormalCaracter"/>
          </w:rPr>
          <w:t>135/2013</w:t>
        </w:r>
      </w:hyperlink>
      <w:r>
        <w:t>, f. 6.</w:t>
      </w:r>
    </w:p>
    <w:p w:rsidR="00E27756" w:rsidRDefault="00E27756" w:rsidP="00E27756">
      <w:pPr>
        <w:pStyle w:val="SangriaFrancesaArticulo"/>
      </w:pPr>
      <w:r w:rsidRPr="00E27756">
        <w:rPr>
          <w:rStyle w:val="TextoNormalNegritaCaracter"/>
        </w:rPr>
        <w:t>Artículo 25.1.</w:t>
      </w:r>
      <w:r w:rsidRPr="00E27756">
        <w:rPr>
          <w:rStyle w:val="TextoNormalCaracter"/>
        </w:rPr>
        <w:t>-</w:t>
      </w:r>
      <w:r>
        <w:t xml:space="preserve"> Sentencias </w:t>
      </w:r>
      <w:hyperlink w:anchor="SENTENCIA_2013_1" w:history="1">
        <w:r w:rsidRPr="00E27756">
          <w:rPr>
            <w:rStyle w:val="TextoNormalCaracter"/>
          </w:rPr>
          <w:t>1/2013</w:t>
        </w:r>
      </w:hyperlink>
      <w:r>
        <w:t xml:space="preserve">, ff. 1, 3; </w:t>
      </w:r>
      <w:hyperlink w:anchor="SENTENCIA_2013_13" w:history="1">
        <w:r w:rsidRPr="00E27756">
          <w:rPr>
            <w:rStyle w:val="TextoNormalCaracter"/>
          </w:rPr>
          <w:t>13/2013</w:t>
        </w:r>
      </w:hyperlink>
      <w:r>
        <w:t xml:space="preserve">, ff. 1 a 4; </w:t>
      </w:r>
      <w:hyperlink w:anchor="SENTENCIA_2013_22" w:history="1">
        <w:r w:rsidRPr="00E27756">
          <w:rPr>
            <w:rStyle w:val="TextoNormalCaracter"/>
          </w:rPr>
          <w:t>22/2013</w:t>
        </w:r>
      </w:hyperlink>
      <w:r>
        <w:t xml:space="preserve">, f. 1; </w:t>
      </w:r>
      <w:hyperlink w:anchor="SENTENCIA_2013_28" w:history="1">
        <w:r w:rsidRPr="00E27756">
          <w:rPr>
            <w:rStyle w:val="TextoNormalCaracter"/>
          </w:rPr>
          <w:t>28/2013</w:t>
        </w:r>
      </w:hyperlink>
      <w:r>
        <w:t xml:space="preserve">, f. 1; </w:t>
      </w:r>
      <w:hyperlink w:anchor="SENTENCIA_2013_31" w:history="1">
        <w:r w:rsidRPr="00E27756">
          <w:rPr>
            <w:rStyle w:val="TextoNormalCaracter"/>
          </w:rPr>
          <w:t>31/2013</w:t>
        </w:r>
      </w:hyperlink>
      <w:r>
        <w:t xml:space="preserve">, f. 1; </w:t>
      </w:r>
      <w:hyperlink w:anchor="SENTENCIA_2013_34" w:history="1">
        <w:r w:rsidRPr="00E27756">
          <w:rPr>
            <w:rStyle w:val="TextoNormalCaracter"/>
          </w:rPr>
          <w:t>34/2013</w:t>
        </w:r>
      </w:hyperlink>
      <w:r>
        <w:t xml:space="preserve">, ff. 19, 20; </w:t>
      </w:r>
      <w:hyperlink w:anchor="SENTENCIA_2013_45" w:history="1">
        <w:r w:rsidRPr="00E27756">
          <w:rPr>
            <w:rStyle w:val="TextoNormalCaracter"/>
          </w:rPr>
          <w:t>45/2013</w:t>
        </w:r>
      </w:hyperlink>
      <w:r>
        <w:t xml:space="preserve">, f. 1; </w:t>
      </w:r>
      <w:hyperlink w:anchor="SENTENCIA_2013_54" w:history="1">
        <w:r w:rsidRPr="00E27756">
          <w:rPr>
            <w:rStyle w:val="TextoNormalCaracter"/>
          </w:rPr>
          <w:t>54/2013</w:t>
        </w:r>
      </w:hyperlink>
      <w:r>
        <w:t xml:space="preserve">, f. 1; </w:t>
      </w:r>
      <w:hyperlink w:anchor="SENTENCIA_2013_105" w:history="1">
        <w:r w:rsidRPr="00E27756">
          <w:rPr>
            <w:rStyle w:val="TextoNormalCaracter"/>
          </w:rPr>
          <w:t>105/2013</w:t>
        </w:r>
      </w:hyperlink>
      <w:r>
        <w:t xml:space="preserve">, f. 1; </w:t>
      </w:r>
      <w:hyperlink w:anchor="SENTENCIA_2013_107" w:history="1">
        <w:r w:rsidRPr="00E27756">
          <w:rPr>
            <w:rStyle w:val="TextoNormalCaracter"/>
          </w:rPr>
          <w:t>107/2013</w:t>
        </w:r>
      </w:hyperlink>
      <w:r>
        <w:t xml:space="preserve">, ff. 1, 2; </w:t>
      </w:r>
      <w:hyperlink w:anchor="SENTENCIA_2013_109" w:history="1">
        <w:r w:rsidRPr="00E27756">
          <w:rPr>
            <w:rStyle w:val="TextoNormalCaracter"/>
          </w:rPr>
          <w:t>109/2013</w:t>
        </w:r>
      </w:hyperlink>
      <w:r>
        <w:t xml:space="preserve">, ff. 1, 3, 5; </w:t>
      </w:r>
      <w:hyperlink w:anchor="SENTENCIA_2013_118" w:history="1">
        <w:r w:rsidRPr="00E27756">
          <w:rPr>
            <w:rStyle w:val="TextoNormalCaracter"/>
          </w:rPr>
          <w:t>118/2013</w:t>
        </w:r>
      </w:hyperlink>
      <w:r>
        <w:t xml:space="preserve">, f. 1; </w:t>
      </w:r>
      <w:hyperlink w:anchor="SENTENCIA_2013_130" w:history="1">
        <w:r w:rsidRPr="00E27756">
          <w:rPr>
            <w:rStyle w:val="TextoNormalCaracter"/>
          </w:rPr>
          <w:t>130/2013</w:t>
        </w:r>
      </w:hyperlink>
      <w:r>
        <w:t xml:space="preserve">, f. 13; </w:t>
      </w:r>
      <w:hyperlink w:anchor="SENTENCIA_2013_132" w:history="1">
        <w:r w:rsidRPr="00E27756">
          <w:rPr>
            <w:rStyle w:val="TextoNormalCaracter"/>
          </w:rPr>
          <w:t>132/2013</w:t>
        </w:r>
      </w:hyperlink>
      <w:r>
        <w:t xml:space="preserve">, f. 7; </w:t>
      </w:r>
      <w:hyperlink w:anchor="SENTENCIA_2013_135" w:history="1">
        <w:r w:rsidRPr="00E27756">
          <w:rPr>
            <w:rStyle w:val="TextoNormalCaracter"/>
          </w:rPr>
          <w:t>135/2013</w:t>
        </w:r>
      </w:hyperlink>
      <w:r>
        <w:t>, f. 6.</w:t>
      </w:r>
    </w:p>
    <w:p w:rsidR="00E27756" w:rsidRDefault="00E27756" w:rsidP="00E27756">
      <w:pPr>
        <w:pStyle w:val="SangriaFrancesaArticulo"/>
      </w:pPr>
      <w:r w:rsidRPr="00E27756">
        <w:rPr>
          <w:rStyle w:val="TextoNormalNegritaCaracter"/>
        </w:rPr>
        <w:t>Artículo 25.2.</w:t>
      </w:r>
      <w:r w:rsidRPr="00E27756">
        <w:rPr>
          <w:rStyle w:val="TextoNormalCaracter"/>
        </w:rPr>
        <w:t>-</w:t>
      </w:r>
      <w:r>
        <w:t xml:space="preserve"> Sentencias </w:t>
      </w:r>
      <w:hyperlink w:anchor="SENTENCIA_2013_28" w:history="1">
        <w:r w:rsidRPr="00E27756">
          <w:rPr>
            <w:rStyle w:val="TextoNormalCaracter"/>
          </w:rPr>
          <w:t>28/2013</w:t>
        </w:r>
      </w:hyperlink>
      <w:r>
        <w:t xml:space="preserve">, f. 1; </w:t>
      </w:r>
      <w:hyperlink w:anchor="SENTENCIA_2013_54" w:history="1">
        <w:r w:rsidRPr="00E27756">
          <w:rPr>
            <w:rStyle w:val="TextoNormalCaracter"/>
          </w:rPr>
          <w:t>54/2013</w:t>
        </w:r>
      </w:hyperlink>
      <w:r>
        <w:t xml:space="preserve">, f. 1; </w:t>
      </w:r>
      <w:hyperlink w:anchor="SENTENCIA_2013_105" w:history="1">
        <w:r w:rsidRPr="00E27756">
          <w:rPr>
            <w:rStyle w:val="TextoNormalCaracter"/>
          </w:rPr>
          <w:t>105/2013</w:t>
        </w:r>
      </w:hyperlink>
      <w:r>
        <w:t xml:space="preserve">, f. 2; </w:t>
      </w:r>
      <w:hyperlink w:anchor="SENTENCIA_2013_128" w:history="1">
        <w:r w:rsidRPr="00E27756">
          <w:rPr>
            <w:rStyle w:val="TextoNormalCaracter"/>
          </w:rPr>
          <w:t>128/2013</w:t>
        </w:r>
      </w:hyperlink>
      <w:r>
        <w:t>, ff. 1 a 3.</w:t>
      </w:r>
    </w:p>
    <w:p w:rsidR="00E27756" w:rsidRDefault="00E27756" w:rsidP="00E27756">
      <w:pPr>
        <w:pStyle w:val="SangriaFrancesaArticulo"/>
      </w:pPr>
      <w:r w:rsidRPr="00E27756">
        <w:rPr>
          <w:rStyle w:val="TextoNormalNegritaCaracter"/>
        </w:rPr>
        <w:t>Artículo 25.3.</w:t>
      </w:r>
      <w:r w:rsidRPr="00E27756">
        <w:rPr>
          <w:rStyle w:val="TextoNormalCaracter"/>
        </w:rPr>
        <w:t>-</w:t>
      </w:r>
      <w:r>
        <w:t xml:space="preserve"> Sentencia </w:t>
      </w:r>
      <w:hyperlink w:anchor="SENTENCIA_2013_17" w:history="1">
        <w:r w:rsidRPr="00E27756">
          <w:rPr>
            <w:rStyle w:val="TextoNormalCaracter"/>
          </w:rPr>
          <w:t>17/2013</w:t>
        </w:r>
      </w:hyperlink>
      <w:r>
        <w:t>, f. 13.</w:t>
      </w:r>
    </w:p>
    <w:p w:rsidR="00E27756" w:rsidRDefault="00E27756" w:rsidP="00E27756">
      <w:pPr>
        <w:pStyle w:val="SangriaFrancesaArticulo"/>
      </w:pPr>
      <w:r w:rsidRPr="00E27756">
        <w:rPr>
          <w:rStyle w:val="TextoNormalNegritaCaracter"/>
        </w:rPr>
        <w:t>Artículo 27.</w:t>
      </w:r>
      <w:r w:rsidRPr="00E27756">
        <w:rPr>
          <w:rStyle w:val="TextoNormalCaracter"/>
        </w:rPr>
        <w:t>-</w:t>
      </w:r>
      <w:r>
        <w:t xml:space="preserve"> Sentencias </w:t>
      </w:r>
      <w:hyperlink w:anchor="SENTENCIA_2013_15" w:history="1">
        <w:r w:rsidRPr="00E27756">
          <w:rPr>
            <w:rStyle w:val="TextoNormalCaracter"/>
          </w:rPr>
          <w:t>15/2013</w:t>
        </w:r>
      </w:hyperlink>
      <w:r>
        <w:t xml:space="preserve">, f. 3; </w:t>
      </w:r>
      <w:hyperlink w:anchor="SENTENCIA_2013_24" w:history="1">
        <w:r w:rsidRPr="00E27756">
          <w:rPr>
            <w:rStyle w:val="TextoNormalCaracter"/>
          </w:rPr>
          <w:t>24/2013</w:t>
        </w:r>
      </w:hyperlink>
      <w:r>
        <w:t xml:space="preserve">, f. 3; </w:t>
      </w:r>
      <w:hyperlink w:anchor="SENTENCIA_2013_25" w:history="1">
        <w:r w:rsidRPr="00E27756">
          <w:rPr>
            <w:rStyle w:val="TextoNormalCaracter"/>
          </w:rPr>
          <w:t>25/2013</w:t>
        </w:r>
      </w:hyperlink>
      <w:r>
        <w:t xml:space="preserve">, ff. 1, 3; </w:t>
      </w:r>
      <w:hyperlink w:anchor="SENTENCIA_2013_47" w:history="1">
        <w:r w:rsidRPr="00E27756">
          <w:rPr>
            <w:rStyle w:val="TextoNormalCaracter"/>
          </w:rPr>
          <w:t>47/2013</w:t>
        </w:r>
      </w:hyperlink>
      <w:r>
        <w:t xml:space="preserve">, f. 3; </w:t>
      </w:r>
      <w:hyperlink w:anchor="SENTENCIA_2013_48" w:history="1">
        <w:r w:rsidRPr="00E27756">
          <w:rPr>
            <w:rStyle w:val="TextoNormalCaracter"/>
          </w:rPr>
          <w:t>48/2013</w:t>
        </w:r>
      </w:hyperlink>
      <w:r>
        <w:t xml:space="preserve">, f. 3; </w:t>
      </w:r>
      <w:hyperlink w:anchor="SENTENCIA_2013_89" w:history="1">
        <w:r w:rsidRPr="00E27756">
          <w:rPr>
            <w:rStyle w:val="TextoNormalCaracter"/>
          </w:rPr>
          <w:t>89/2013</w:t>
        </w:r>
      </w:hyperlink>
      <w:r>
        <w:t xml:space="preserve">, f. 4; </w:t>
      </w:r>
      <w:hyperlink w:anchor="SENTENCIA_2013_131" w:history="1">
        <w:r w:rsidRPr="00E27756">
          <w:rPr>
            <w:rStyle w:val="TextoNormalCaracter"/>
          </w:rPr>
          <w:t>131/2013</w:t>
        </w:r>
      </w:hyperlink>
      <w:r>
        <w:t xml:space="preserve">, ff. 1, 9; </w:t>
      </w:r>
      <w:hyperlink w:anchor="SENTENCIA_2013_134" w:history="1">
        <w:r w:rsidRPr="00E27756">
          <w:rPr>
            <w:rStyle w:val="TextoNormalCaracter"/>
          </w:rPr>
          <w:t>134/2013</w:t>
        </w:r>
      </w:hyperlink>
      <w:r>
        <w:t>, ff. 1, 4, 5.</w:t>
      </w:r>
    </w:p>
    <w:p w:rsidR="00E27756" w:rsidRDefault="00E27756" w:rsidP="00E27756">
      <w:pPr>
        <w:pStyle w:val="SangriaIzquierdaArticulo"/>
      </w:pPr>
      <w:r>
        <w:t xml:space="preserve">Autos </w:t>
      </w:r>
      <w:hyperlink w:anchor="AUTO_2013_33" w:history="1">
        <w:r w:rsidRPr="00E27756">
          <w:rPr>
            <w:rStyle w:val="TextoNormalCaracter"/>
          </w:rPr>
          <w:t>33/2013</w:t>
        </w:r>
      </w:hyperlink>
      <w:r>
        <w:t xml:space="preserve">, f. 1; </w:t>
      </w:r>
      <w:hyperlink w:anchor="AUTO_2013_58" w:history="1">
        <w:r w:rsidRPr="00E27756">
          <w:rPr>
            <w:rStyle w:val="TextoNormalCaracter"/>
          </w:rPr>
          <w:t>58/2013</w:t>
        </w:r>
      </w:hyperlink>
      <w:r>
        <w:t xml:space="preserve">, f. único; </w:t>
      </w:r>
      <w:hyperlink w:anchor="AUTO_2013_89" w:history="1">
        <w:r w:rsidRPr="00E27756">
          <w:rPr>
            <w:rStyle w:val="TextoNormalCaracter"/>
          </w:rPr>
          <w:t>89/2013</w:t>
        </w:r>
      </w:hyperlink>
      <w:r>
        <w:t>, ff. 3, 4, VP II.</w:t>
      </w:r>
    </w:p>
    <w:p w:rsidR="00E27756" w:rsidRDefault="00E27756" w:rsidP="00E27756">
      <w:pPr>
        <w:pStyle w:val="SangriaFrancesaArticulo"/>
      </w:pPr>
      <w:r w:rsidRPr="00E27756">
        <w:rPr>
          <w:rStyle w:val="TextoNormalNegritaCaracter"/>
        </w:rPr>
        <w:t>Artículo 27.1.</w:t>
      </w:r>
      <w:r w:rsidRPr="00E27756">
        <w:rPr>
          <w:rStyle w:val="TextoNormalCaracter"/>
        </w:rPr>
        <w:t>-</w:t>
      </w:r>
      <w:r>
        <w:t xml:space="preserve"> Sentencia </w:t>
      </w:r>
      <w:hyperlink w:anchor="SENTENCIA_2013_134" w:history="1">
        <w:r w:rsidRPr="00E27756">
          <w:rPr>
            <w:rStyle w:val="TextoNormalCaracter"/>
          </w:rPr>
          <w:t>134/2013</w:t>
        </w:r>
      </w:hyperlink>
      <w:r>
        <w:t>, f. 1.</w:t>
      </w:r>
    </w:p>
    <w:p w:rsidR="00E27756" w:rsidRDefault="00E27756" w:rsidP="00E27756">
      <w:pPr>
        <w:pStyle w:val="SangriaFrancesaArticulo"/>
      </w:pPr>
      <w:r w:rsidRPr="00E27756">
        <w:rPr>
          <w:rStyle w:val="TextoNormalNegritaCaracter"/>
        </w:rPr>
        <w:t>Artículo 27.2.</w:t>
      </w:r>
      <w:r w:rsidRPr="00E27756">
        <w:rPr>
          <w:rStyle w:val="TextoNormalCaracter"/>
        </w:rPr>
        <w:t>-</w:t>
      </w:r>
      <w:r>
        <w:t xml:space="preserve"> Sentencias </w:t>
      </w:r>
      <w:hyperlink w:anchor="SENTENCIA_2013_15" w:history="1">
        <w:r w:rsidRPr="00E27756">
          <w:rPr>
            <w:rStyle w:val="TextoNormalCaracter"/>
          </w:rPr>
          <w:t>15/2013</w:t>
        </w:r>
      </w:hyperlink>
      <w:r>
        <w:t xml:space="preserve">, f. 3; </w:t>
      </w:r>
      <w:hyperlink w:anchor="SENTENCIA_2013_48" w:history="1">
        <w:r w:rsidRPr="00E27756">
          <w:rPr>
            <w:rStyle w:val="TextoNormalCaracter"/>
          </w:rPr>
          <w:t>48/2013</w:t>
        </w:r>
      </w:hyperlink>
      <w:r>
        <w:t xml:space="preserve">, f. 3; </w:t>
      </w:r>
      <w:hyperlink w:anchor="SENTENCIA_2013_131" w:history="1">
        <w:r w:rsidRPr="00E27756">
          <w:rPr>
            <w:rStyle w:val="TextoNormalCaracter"/>
          </w:rPr>
          <w:t>131/2013</w:t>
        </w:r>
      </w:hyperlink>
      <w:r>
        <w:t>, f. 9.</w:t>
      </w:r>
    </w:p>
    <w:p w:rsidR="00E27756" w:rsidRDefault="00E27756" w:rsidP="00E27756">
      <w:pPr>
        <w:pStyle w:val="SangriaFrancesaArticulo"/>
      </w:pPr>
      <w:r w:rsidRPr="00E27756">
        <w:rPr>
          <w:rStyle w:val="TextoNormalNegritaCaracter"/>
        </w:rPr>
        <w:t>Artículo 27.5.</w:t>
      </w:r>
      <w:r w:rsidRPr="00E27756">
        <w:rPr>
          <w:rStyle w:val="TextoNormalCaracter"/>
        </w:rPr>
        <w:t>-</w:t>
      </w:r>
      <w:r>
        <w:t xml:space="preserve"> Sentencias </w:t>
      </w:r>
      <w:hyperlink w:anchor="SENTENCIA_2013_15" w:history="1">
        <w:r w:rsidRPr="00E27756">
          <w:rPr>
            <w:rStyle w:val="TextoNormalCaracter"/>
          </w:rPr>
          <w:t>15/2013</w:t>
        </w:r>
      </w:hyperlink>
      <w:r>
        <w:t xml:space="preserve">, f. 3; </w:t>
      </w:r>
      <w:hyperlink w:anchor="SENTENCIA_2013_48" w:history="1">
        <w:r w:rsidRPr="00E27756">
          <w:rPr>
            <w:rStyle w:val="TextoNormalCaracter"/>
          </w:rPr>
          <w:t>48/2013</w:t>
        </w:r>
      </w:hyperlink>
      <w:r>
        <w:t>, f. 3.</w:t>
      </w:r>
    </w:p>
    <w:p w:rsidR="00E27756" w:rsidRDefault="00E27756" w:rsidP="00E27756">
      <w:pPr>
        <w:pStyle w:val="SangriaFrancesaArticulo"/>
      </w:pPr>
      <w:r w:rsidRPr="00E27756">
        <w:rPr>
          <w:rStyle w:val="TextoNormalNegritaCaracter"/>
        </w:rPr>
        <w:t>Artículo 27.6.</w:t>
      </w:r>
      <w:r w:rsidRPr="00E27756">
        <w:rPr>
          <w:rStyle w:val="TextoNormalCaracter"/>
        </w:rPr>
        <w:t>-</w:t>
      </w:r>
      <w:r>
        <w:t xml:space="preserve"> Sentencia </w:t>
      </w:r>
      <w:hyperlink w:anchor="SENTENCIA_2013_131" w:history="1">
        <w:r w:rsidRPr="00E27756">
          <w:rPr>
            <w:rStyle w:val="TextoNormalCaracter"/>
          </w:rPr>
          <w:t>131/2013</w:t>
        </w:r>
      </w:hyperlink>
      <w:r>
        <w:t>, ff. 9, 10, VP II, VP III, VP V.</w:t>
      </w:r>
    </w:p>
    <w:p w:rsidR="00E27756" w:rsidRDefault="00E27756" w:rsidP="00E27756">
      <w:pPr>
        <w:pStyle w:val="SangriaFrancesaArticulo"/>
      </w:pPr>
      <w:r w:rsidRPr="00E27756">
        <w:rPr>
          <w:rStyle w:val="TextoNormalNegritaCaracter"/>
        </w:rPr>
        <w:t>Artículo 27.7.</w:t>
      </w:r>
      <w:r w:rsidRPr="00E27756">
        <w:rPr>
          <w:rStyle w:val="TextoNormalCaracter"/>
        </w:rPr>
        <w:t>-</w:t>
      </w:r>
      <w:r>
        <w:t xml:space="preserve"> Sentencias </w:t>
      </w:r>
      <w:hyperlink w:anchor="SENTENCIA_2013_15" w:history="1">
        <w:r w:rsidRPr="00E27756">
          <w:rPr>
            <w:rStyle w:val="TextoNormalCaracter"/>
          </w:rPr>
          <w:t>15/2013</w:t>
        </w:r>
      </w:hyperlink>
      <w:r>
        <w:t xml:space="preserve">, f. 3; </w:t>
      </w:r>
      <w:hyperlink w:anchor="SENTENCIA_2013_48" w:history="1">
        <w:r w:rsidRPr="00E27756">
          <w:rPr>
            <w:rStyle w:val="TextoNormalCaracter"/>
          </w:rPr>
          <w:t>48/2013</w:t>
        </w:r>
      </w:hyperlink>
      <w:r>
        <w:t>, f. 3.</w:t>
      </w:r>
    </w:p>
    <w:p w:rsidR="00E27756" w:rsidRDefault="00E27756" w:rsidP="00E27756">
      <w:pPr>
        <w:pStyle w:val="SangriaFrancesaArticulo"/>
      </w:pPr>
      <w:r w:rsidRPr="00E27756">
        <w:rPr>
          <w:rStyle w:val="TextoNormalNegritaCaracter"/>
        </w:rPr>
        <w:t>Artículo 27.10.</w:t>
      </w:r>
      <w:r w:rsidRPr="00E27756">
        <w:rPr>
          <w:rStyle w:val="TextoNormalCaracter"/>
        </w:rPr>
        <w:t>-</w:t>
      </w:r>
      <w:r>
        <w:t xml:space="preserve"> Sentencias </w:t>
      </w:r>
      <w:hyperlink w:anchor="SENTENCIA_2013_131" w:history="1">
        <w:r w:rsidRPr="00E27756">
          <w:rPr>
            <w:rStyle w:val="TextoNormalCaracter"/>
          </w:rPr>
          <w:t>131/2013</w:t>
        </w:r>
      </w:hyperlink>
      <w:r>
        <w:t xml:space="preserve">, ff. 2, 4, 8, 9, VP II; </w:t>
      </w:r>
      <w:hyperlink w:anchor="SENTENCIA_2013_134" w:history="1">
        <w:r w:rsidRPr="00E27756">
          <w:rPr>
            <w:rStyle w:val="TextoNormalCaracter"/>
          </w:rPr>
          <w:t>134/2013</w:t>
        </w:r>
      </w:hyperlink>
      <w:r>
        <w:t>, ff. 1, 3, 6 a 8.</w:t>
      </w:r>
    </w:p>
    <w:p w:rsidR="00E27756" w:rsidRDefault="00E27756" w:rsidP="00E27756">
      <w:pPr>
        <w:pStyle w:val="SangriaIzquierdaArticulo"/>
      </w:pPr>
      <w:r>
        <w:t xml:space="preserve">Auto </w:t>
      </w:r>
      <w:hyperlink w:anchor="AUTO_2013_6" w:history="1">
        <w:r w:rsidRPr="00E27756">
          <w:rPr>
            <w:rStyle w:val="TextoNormalCaracter"/>
          </w:rPr>
          <w:t>6/2013</w:t>
        </w:r>
      </w:hyperlink>
      <w:r>
        <w:t>, f. 2.</w:t>
      </w:r>
    </w:p>
    <w:p w:rsidR="00E27756" w:rsidRDefault="00E27756" w:rsidP="00E27756">
      <w:pPr>
        <w:pStyle w:val="SangriaFrancesaArticulo"/>
      </w:pPr>
      <w:r w:rsidRPr="00E27756">
        <w:rPr>
          <w:rStyle w:val="TextoNormalNegritaCaracter"/>
        </w:rPr>
        <w:t>Artículo 28.1.</w:t>
      </w:r>
      <w:r w:rsidRPr="00E27756">
        <w:rPr>
          <w:rStyle w:val="TextoNormalCaracter"/>
        </w:rPr>
        <w:t>-</w:t>
      </w:r>
      <w:r>
        <w:t xml:space="preserve"> Sentencia </w:t>
      </w:r>
      <w:hyperlink w:anchor="SENTENCIA_2013_44" w:history="1">
        <w:r w:rsidRPr="00E27756">
          <w:rPr>
            <w:rStyle w:val="TextoNormalCaracter"/>
          </w:rPr>
          <w:t>44/2013</w:t>
        </w:r>
      </w:hyperlink>
      <w:r>
        <w:t>, ff. 1, 3.</w:t>
      </w:r>
    </w:p>
    <w:p w:rsidR="00E27756" w:rsidRDefault="00E27756" w:rsidP="00E27756">
      <w:pPr>
        <w:pStyle w:val="SangriaFrancesaArticulo"/>
      </w:pPr>
      <w:r w:rsidRPr="00E27756">
        <w:rPr>
          <w:rStyle w:val="TextoNormalNegritaCaracter"/>
        </w:rPr>
        <w:t>Artículo 28.2.</w:t>
      </w:r>
      <w:r w:rsidRPr="00E27756">
        <w:rPr>
          <w:rStyle w:val="TextoNormalCaracter"/>
        </w:rPr>
        <w:t>-</w:t>
      </w:r>
      <w:r>
        <w:t xml:space="preserve"> Sentencia </w:t>
      </w:r>
      <w:hyperlink w:anchor="SENTENCIA_2013_58" w:history="1">
        <w:r w:rsidRPr="00E27756">
          <w:rPr>
            <w:rStyle w:val="TextoNormalCaracter"/>
          </w:rPr>
          <w:t>58/2013</w:t>
        </w:r>
      </w:hyperlink>
      <w:r>
        <w:t>, ff. 1, 3, 4.</w:t>
      </w:r>
    </w:p>
    <w:p w:rsidR="00E27756" w:rsidRDefault="00E27756" w:rsidP="00E27756">
      <w:pPr>
        <w:pStyle w:val="SangriaFrancesaArticulo"/>
      </w:pPr>
      <w:r w:rsidRPr="00E27756">
        <w:rPr>
          <w:rStyle w:val="TextoNormalNegritaCaracter"/>
        </w:rPr>
        <w:t>Artículo 30.2.</w:t>
      </w:r>
      <w:r w:rsidRPr="00E27756">
        <w:rPr>
          <w:rStyle w:val="TextoNormalCaracter"/>
        </w:rPr>
        <w:t>-</w:t>
      </w:r>
      <w:r>
        <w:t xml:space="preserve"> Sentencia </w:t>
      </w:r>
      <w:hyperlink w:anchor="SENTENCIA_2013_31" w:history="1">
        <w:r w:rsidRPr="00E27756">
          <w:rPr>
            <w:rStyle w:val="TextoNormalCaracter"/>
          </w:rPr>
          <w:t>31/2013</w:t>
        </w:r>
      </w:hyperlink>
      <w:r>
        <w:t>, ff. 3, VP I.</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 </w:t>
      </w:r>
      <w:hyperlink w:anchor="SENTENCIA_2013_130" w:history="1">
        <w:r w:rsidRPr="00E27756">
          <w:rPr>
            <w:rStyle w:val="TextoNormalCaracter"/>
          </w:rPr>
          <w:t>130/2013</w:t>
        </w:r>
      </w:hyperlink>
      <w:r>
        <w:t>, ff. 9, 10.</w:t>
      </w:r>
    </w:p>
    <w:p w:rsidR="00E27756" w:rsidRDefault="00E27756" w:rsidP="00E27756">
      <w:pPr>
        <w:pStyle w:val="SangriaFrancesaArticulo"/>
      </w:pPr>
      <w:r w:rsidRPr="00E27756">
        <w:rPr>
          <w:rStyle w:val="TextoNormalNegritaCaracter"/>
        </w:rPr>
        <w:t>Artículo 31.1.</w:t>
      </w:r>
      <w:r w:rsidRPr="00E27756">
        <w:rPr>
          <w:rStyle w:val="TextoNormalCaracter"/>
        </w:rPr>
        <w:t>-</w:t>
      </w:r>
      <w:r>
        <w:t xml:space="preserve"> Sentencia </w:t>
      </w:r>
      <w:hyperlink w:anchor="SENTENCIA_2013_85" w:history="1">
        <w:r w:rsidRPr="00E27756">
          <w:rPr>
            <w:rStyle w:val="TextoNormalCaracter"/>
          </w:rPr>
          <w:t>85/2013</w:t>
        </w:r>
      </w:hyperlink>
      <w:r>
        <w:t>, f. 3.</w:t>
      </w:r>
    </w:p>
    <w:p w:rsidR="00E27756" w:rsidRDefault="00E27756" w:rsidP="00E27756">
      <w:pPr>
        <w:pStyle w:val="SangriaFrancesaArticulo"/>
      </w:pPr>
      <w:r w:rsidRPr="00E27756">
        <w:rPr>
          <w:rStyle w:val="TextoNormalNegritaCaracter"/>
        </w:rPr>
        <w:t>Artículo 31.2.</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41" w:history="1">
        <w:r w:rsidRPr="00E27756">
          <w:rPr>
            <w:rStyle w:val="TextoNormalCaracter"/>
          </w:rPr>
          <w:t>41/2013</w:t>
        </w:r>
      </w:hyperlink>
      <w:r>
        <w:t xml:space="preserve">, ff. 7, VP I; </w:t>
      </w:r>
      <w:hyperlink w:anchor="SENTENCIA_2013_130" w:history="1">
        <w:r w:rsidRPr="00E27756">
          <w:rPr>
            <w:rStyle w:val="TextoNormalCaracter"/>
          </w:rPr>
          <w:t>130/2013</w:t>
        </w:r>
      </w:hyperlink>
      <w:r>
        <w:t xml:space="preserve">, ff. 3, 5, 6, 9, 10, VP; </w:t>
      </w:r>
      <w:hyperlink w:anchor="SENTENCIA_2013_135" w:history="1">
        <w:r w:rsidRPr="00E27756">
          <w:rPr>
            <w:rStyle w:val="TextoNormalCaracter"/>
          </w:rPr>
          <w:t>135/2013</w:t>
        </w:r>
      </w:hyperlink>
      <w:r>
        <w:t>, f. 3.</w:t>
      </w:r>
    </w:p>
    <w:p w:rsidR="00E27756" w:rsidRDefault="00E27756" w:rsidP="00E27756">
      <w:pPr>
        <w:pStyle w:val="SangriaFrancesaArticulo"/>
      </w:pPr>
      <w:r w:rsidRPr="00E27756">
        <w:rPr>
          <w:rStyle w:val="TextoNormalNegritaCaracter"/>
        </w:rPr>
        <w:t>Artículo 31.3.</w:t>
      </w:r>
      <w:r w:rsidRPr="00E27756">
        <w:rPr>
          <w:rStyle w:val="TextoNormalCaracter"/>
        </w:rPr>
        <w:t>-</w:t>
      </w:r>
      <w:r>
        <w:t xml:space="preserve"> Sentencia </w:t>
      </w:r>
      <w:hyperlink w:anchor="SENTENCIA_2013_85" w:history="1">
        <w:r w:rsidRPr="00E27756">
          <w:rPr>
            <w:rStyle w:val="TextoNormalCaracter"/>
          </w:rPr>
          <w:t>85/2013</w:t>
        </w:r>
      </w:hyperlink>
      <w:r>
        <w:t>, f. 6.</w:t>
      </w:r>
    </w:p>
    <w:p w:rsidR="00E27756" w:rsidRDefault="00E27756" w:rsidP="00E27756">
      <w:pPr>
        <w:pStyle w:val="SangriaFrancesaArticulo"/>
      </w:pPr>
      <w:r w:rsidRPr="00E27756">
        <w:rPr>
          <w:rStyle w:val="TextoNormalNegritaCaracter"/>
        </w:rPr>
        <w:lastRenderedPageBreak/>
        <w:t>Artículo 32.</w:t>
      </w:r>
      <w:r w:rsidRPr="00E27756">
        <w:rPr>
          <w:rStyle w:val="TextoNormalCaracter"/>
        </w:rPr>
        <w:t>-</w:t>
      </w:r>
      <w:r>
        <w:t xml:space="preserve"> Sentencias </w:t>
      </w:r>
      <w:hyperlink w:anchor="SENTENCIA_2013_41" w:history="1">
        <w:r w:rsidRPr="00E27756">
          <w:rPr>
            <w:rStyle w:val="TextoNormalCaracter"/>
          </w:rPr>
          <w:t>41/2013</w:t>
        </w:r>
      </w:hyperlink>
      <w:r>
        <w:t xml:space="preserve">, f. 3; </w:t>
      </w:r>
      <w:hyperlink w:anchor="SENTENCIA_2013_93" w:history="1">
        <w:r w:rsidRPr="00E27756">
          <w:rPr>
            <w:rStyle w:val="TextoNormalCaracter"/>
          </w:rPr>
          <w:t>93/2013</w:t>
        </w:r>
      </w:hyperlink>
      <w:r>
        <w:t>, ff. 3, 5, 7, 8, VP II.</w:t>
      </w:r>
    </w:p>
    <w:p w:rsidR="00E27756" w:rsidRDefault="00E27756" w:rsidP="00E27756">
      <w:pPr>
        <w:pStyle w:val="SangriaIzquierdaArticulo"/>
      </w:pPr>
      <w:r>
        <w:t xml:space="preserve">Auto </w:t>
      </w:r>
      <w:hyperlink w:anchor="AUTO_2013_8" w:history="1">
        <w:r w:rsidRPr="00E27756">
          <w:rPr>
            <w:rStyle w:val="TextoNormalCaracter"/>
          </w:rPr>
          <w:t>8/2013</w:t>
        </w:r>
      </w:hyperlink>
      <w:r>
        <w:t>, f. único.</w:t>
      </w:r>
    </w:p>
    <w:p w:rsidR="00E27756" w:rsidRDefault="00E27756" w:rsidP="00E27756">
      <w:pPr>
        <w:pStyle w:val="SangriaFrancesaArticulo"/>
      </w:pPr>
      <w:r w:rsidRPr="00E27756">
        <w:rPr>
          <w:rStyle w:val="TextoNormalNegritaCaracter"/>
        </w:rPr>
        <w:t>Artículo 32.1.</w:t>
      </w:r>
      <w:r w:rsidRPr="00E27756">
        <w:rPr>
          <w:rStyle w:val="TextoNormalCaracter"/>
        </w:rPr>
        <w:t>-</w:t>
      </w:r>
      <w:r>
        <w:t xml:space="preserve"> Sentencias </w:t>
      </w:r>
      <w:hyperlink w:anchor="SENTENCIA_2013_41" w:history="1">
        <w:r w:rsidRPr="00E27756">
          <w:rPr>
            <w:rStyle w:val="TextoNormalCaracter"/>
          </w:rPr>
          <w:t>41/2013</w:t>
        </w:r>
      </w:hyperlink>
      <w:r>
        <w:t xml:space="preserve">, f. 3; </w:t>
      </w:r>
      <w:hyperlink w:anchor="SENTENCIA_2013_93" w:history="1">
        <w:r w:rsidRPr="00E27756">
          <w:rPr>
            <w:rStyle w:val="TextoNormalCaracter"/>
          </w:rPr>
          <w:t>93/2013</w:t>
        </w:r>
      </w:hyperlink>
      <w:r>
        <w:t>, ff. 1, 5, 7.</w:t>
      </w:r>
    </w:p>
    <w:p w:rsidR="00E27756" w:rsidRDefault="00E27756" w:rsidP="00E27756">
      <w:pPr>
        <w:pStyle w:val="SangriaFrancesaArticulo"/>
      </w:pPr>
      <w:r w:rsidRPr="00E27756">
        <w:rPr>
          <w:rStyle w:val="TextoNormalNegritaCaracter"/>
        </w:rPr>
        <w:t>Artículo 32.2.</w:t>
      </w:r>
      <w:r w:rsidRPr="00E27756">
        <w:rPr>
          <w:rStyle w:val="TextoNormalCaracter"/>
        </w:rPr>
        <w:t>-</w:t>
      </w:r>
      <w:r>
        <w:t xml:space="preserve"> Sentencia </w:t>
      </w:r>
      <w:hyperlink w:anchor="SENTENCIA_2013_93" w:history="1">
        <w:r w:rsidRPr="00E27756">
          <w:rPr>
            <w:rStyle w:val="TextoNormalCaracter"/>
          </w:rPr>
          <w:t>93/2013</w:t>
        </w:r>
      </w:hyperlink>
      <w:r>
        <w:t>, f. 5.</w:t>
      </w:r>
    </w:p>
    <w:p w:rsidR="00E27756" w:rsidRDefault="00E27756" w:rsidP="00E27756">
      <w:pPr>
        <w:pStyle w:val="SangriaFrancesaArticulo"/>
      </w:pPr>
      <w:r w:rsidRPr="00E27756">
        <w:rPr>
          <w:rStyle w:val="TextoNormalNegritaCaracter"/>
        </w:rPr>
        <w:t>Artículo 33.</w:t>
      </w:r>
      <w:r w:rsidRPr="00E27756">
        <w:rPr>
          <w:rStyle w:val="TextoNormalCaracter"/>
        </w:rPr>
        <w:t>-</w:t>
      </w:r>
      <w:r>
        <w:t xml:space="preserve"> Sentencias </w:t>
      </w:r>
      <w:hyperlink w:anchor="SENTENCIA_2013_94" w:history="1">
        <w:r w:rsidRPr="00E27756">
          <w:rPr>
            <w:rStyle w:val="TextoNormalCaracter"/>
          </w:rPr>
          <w:t>94/2013</w:t>
        </w:r>
      </w:hyperlink>
      <w:r>
        <w:t xml:space="preserve">, VP II; </w:t>
      </w:r>
      <w:hyperlink w:anchor="SENTENCIA_2013_98" w:history="1">
        <w:r w:rsidRPr="00E27756">
          <w:rPr>
            <w:rStyle w:val="TextoNormalCaracter"/>
          </w:rPr>
          <w:t>98/2013</w:t>
        </w:r>
      </w:hyperlink>
      <w:r>
        <w:t>, f. 3.</w:t>
      </w:r>
    </w:p>
    <w:p w:rsidR="00E27756" w:rsidRDefault="00E27756" w:rsidP="00E27756">
      <w:pPr>
        <w:pStyle w:val="SangriaFrancesaArticulo"/>
      </w:pPr>
      <w:r w:rsidRPr="00E27756">
        <w:rPr>
          <w:rStyle w:val="TextoNormalNegritaCaracter"/>
        </w:rPr>
        <w:t>Artículo 33.3.</w:t>
      </w:r>
      <w:r w:rsidRPr="00E27756">
        <w:rPr>
          <w:rStyle w:val="TextoNormalCaracter"/>
        </w:rPr>
        <w:t>-</w:t>
      </w:r>
      <w:r>
        <w:t xml:space="preserve"> Autos </w:t>
      </w:r>
      <w:hyperlink w:anchor="AUTO_2013_30" w:history="1">
        <w:r w:rsidRPr="00E27756">
          <w:rPr>
            <w:rStyle w:val="TextoNormalCaracter"/>
          </w:rPr>
          <w:t>30/2013</w:t>
        </w:r>
      </w:hyperlink>
      <w:r>
        <w:t xml:space="preserve">, F. 1; </w:t>
      </w:r>
      <w:hyperlink w:anchor="AUTO_2013_31" w:history="1">
        <w:r w:rsidRPr="00E27756">
          <w:rPr>
            <w:rStyle w:val="TextoNormalCaracter"/>
          </w:rPr>
          <w:t>31/2013</w:t>
        </w:r>
      </w:hyperlink>
      <w:r>
        <w:t xml:space="preserve">, f. 1; </w:t>
      </w:r>
      <w:hyperlink w:anchor="AUTO_2013_32" w:history="1">
        <w:r w:rsidRPr="00E27756">
          <w:rPr>
            <w:rStyle w:val="TextoNormalCaracter"/>
          </w:rPr>
          <w:t>32/2013</w:t>
        </w:r>
      </w:hyperlink>
      <w:r>
        <w:t>, f. 1.</w:t>
      </w:r>
    </w:p>
    <w:p w:rsidR="00E27756" w:rsidRDefault="00E27756" w:rsidP="00E27756">
      <w:pPr>
        <w:pStyle w:val="SangriaFrancesaArticulo"/>
      </w:pPr>
      <w:r w:rsidRPr="00E27756">
        <w:rPr>
          <w:rStyle w:val="TextoNormalNegritaCaracter"/>
        </w:rPr>
        <w:t>Artículo 34.</w:t>
      </w:r>
      <w:r w:rsidRPr="00E27756">
        <w:rPr>
          <w:rStyle w:val="TextoNormalCaracter"/>
        </w:rPr>
        <w:t>-</w:t>
      </w:r>
      <w:r>
        <w:t xml:space="preserve"> Sentencia </w:t>
      </w:r>
      <w:hyperlink w:anchor="SENTENCIA_2013_98" w:history="1">
        <w:r w:rsidRPr="00E27756">
          <w:rPr>
            <w:rStyle w:val="TextoNormalCaracter"/>
          </w:rPr>
          <w:t>98/2013</w:t>
        </w:r>
      </w:hyperlink>
      <w:r>
        <w:t>, ff. 1 a 3.</w:t>
      </w:r>
    </w:p>
    <w:p w:rsidR="00E27756" w:rsidRDefault="00E27756" w:rsidP="00E27756">
      <w:pPr>
        <w:pStyle w:val="SangriaFrancesaArticulo"/>
      </w:pPr>
      <w:r w:rsidRPr="00E27756">
        <w:rPr>
          <w:rStyle w:val="TextoNormalNegritaCaracter"/>
        </w:rPr>
        <w:t>Artículo 35.1.</w:t>
      </w:r>
      <w:r w:rsidRPr="00E27756">
        <w:rPr>
          <w:rStyle w:val="TextoNormalCaracter"/>
        </w:rPr>
        <w:t>-</w:t>
      </w:r>
      <w:r>
        <w:t xml:space="preserve"> Sentencias </w:t>
      </w:r>
      <w:hyperlink w:anchor="SENTENCIA_2013_3" w:history="1">
        <w:r w:rsidRPr="00E27756">
          <w:rPr>
            <w:rStyle w:val="TextoNormalCaracter"/>
          </w:rPr>
          <w:t>3/2013</w:t>
        </w:r>
      </w:hyperlink>
      <w:r>
        <w:t xml:space="preserve">, f. 8; </w:t>
      </w:r>
      <w:hyperlink w:anchor="SENTENCIA_2013_46" w:history="1">
        <w:r w:rsidRPr="00E27756">
          <w:rPr>
            <w:rStyle w:val="TextoNormalCaracter"/>
          </w:rPr>
          <w:t>46/2013</w:t>
        </w:r>
      </w:hyperlink>
      <w:r>
        <w:t xml:space="preserve">, f. 3; </w:t>
      </w:r>
      <w:hyperlink w:anchor="SENTENCIA_2013_50" w:history="1">
        <w:r w:rsidRPr="00E27756">
          <w:rPr>
            <w:rStyle w:val="TextoNormalCaracter"/>
          </w:rPr>
          <w:t>50/2013</w:t>
        </w:r>
      </w:hyperlink>
      <w:r>
        <w:t>, f. 5.</w:t>
      </w:r>
    </w:p>
    <w:p w:rsidR="00E27756" w:rsidRDefault="00E27756" w:rsidP="00E27756">
      <w:pPr>
        <w:pStyle w:val="SangriaFrancesaArticulo"/>
      </w:pPr>
      <w:r w:rsidRPr="00E27756">
        <w:rPr>
          <w:rStyle w:val="TextoNormalNegritaCaracter"/>
        </w:rPr>
        <w:t>Artículo 36.</w:t>
      </w:r>
      <w:r w:rsidRPr="00E27756">
        <w:rPr>
          <w:rStyle w:val="TextoNormalCaracter"/>
        </w:rPr>
        <w:t>-</w:t>
      </w:r>
      <w:r>
        <w:t xml:space="preserve"> Sentencias </w:t>
      </w:r>
      <w:hyperlink w:anchor="SENTENCIA_2013_3" w:history="1">
        <w:r w:rsidRPr="00E27756">
          <w:rPr>
            <w:rStyle w:val="TextoNormalCaracter"/>
          </w:rPr>
          <w:t>3/2013</w:t>
        </w:r>
      </w:hyperlink>
      <w:r>
        <w:t xml:space="preserve">, ff. 5, 7, 8; </w:t>
      </w:r>
      <w:hyperlink w:anchor="SENTENCIA_2013_46" w:history="1">
        <w:r w:rsidRPr="00E27756">
          <w:rPr>
            <w:rStyle w:val="TextoNormalCaracter"/>
          </w:rPr>
          <w:t>46/2013</w:t>
        </w:r>
      </w:hyperlink>
      <w:r>
        <w:t xml:space="preserve">, f. 3; </w:t>
      </w:r>
      <w:hyperlink w:anchor="SENTENCIA_2013_50" w:history="1">
        <w:r w:rsidRPr="00E27756">
          <w:rPr>
            <w:rStyle w:val="TextoNormalCaracter"/>
          </w:rPr>
          <w:t>50/2013</w:t>
        </w:r>
      </w:hyperlink>
      <w:r>
        <w:t xml:space="preserve">, f. 5; </w:t>
      </w:r>
      <w:hyperlink w:anchor="SENTENCIA_2013_89" w:history="1">
        <w:r w:rsidRPr="00E27756">
          <w:rPr>
            <w:rStyle w:val="TextoNormalCaracter"/>
          </w:rPr>
          <w:t>89/2013</w:t>
        </w:r>
      </w:hyperlink>
      <w:r>
        <w:t xml:space="preserve">, ff. 2, 3; </w:t>
      </w:r>
      <w:hyperlink w:anchor="SENTENCIA_2013_91" w:history="1">
        <w:r w:rsidRPr="00E27756">
          <w:rPr>
            <w:rStyle w:val="TextoNormalCaracter"/>
          </w:rPr>
          <w:t>91/2013</w:t>
        </w:r>
      </w:hyperlink>
      <w:r>
        <w:t xml:space="preserve">, ff. 1, 2, 4; </w:t>
      </w:r>
      <w:hyperlink w:anchor="SENTENCIA_2013_123" w:history="1">
        <w:r w:rsidRPr="00E27756">
          <w:rPr>
            <w:rStyle w:val="TextoNormalCaracter"/>
          </w:rPr>
          <w:t>123/2013</w:t>
        </w:r>
      </w:hyperlink>
      <w:r>
        <w:t>, f. 9.</w:t>
      </w:r>
    </w:p>
    <w:p w:rsidR="00E27756" w:rsidRDefault="00E27756" w:rsidP="00E27756">
      <w:pPr>
        <w:pStyle w:val="SangriaFrancesaArticulo"/>
      </w:pPr>
      <w:r w:rsidRPr="00E27756">
        <w:rPr>
          <w:rStyle w:val="TextoNormalNegritaCaracter"/>
        </w:rPr>
        <w:t>Artículo 38.</w:t>
      </w:r>
      <w:r w:rsidRPr="00E27756">
        <w:rPr>
          <w:rStyle w:val="TextoNormalCaracter"/>
        </w:rPr>
        <w:t>-</w:t>
      </w:r>
      <w:r>
        <w:t xml:space="preserve"> Sentencias </w:t>
      </w:r>
      <w:hyperlink w:anchor="SENTENCIA_2013_39" w:history="1">
        <w:r w:rsidRPr="00E27756">
          <w:rPr>
            <w:rStyle w:val="TextoNormalCaracter"/>
          </w:rPr>
          <w:t>39/2013</w:t>
        </w:r>
      </w:hyperlink>
      <w:r>
        <w:t xml:space="preserve">, f. 1; </w:t>
      </w:r>
      <w:hyperlink w:anchor="SENTENCIA_2013_96" w:history="1">
        <w:r w:rsidRPr="00E27756">
          <w:rPr>
            <w:rStyle w:val="TextoNormalCaracter"/>
          </w:rPr>
          <w:t>96/2013</w:t>
        </w:r>
      </w:hyperlink>
      <w:r>
        <w:t>, ff. 1 a 4, 6 a 8.</w:t>
      </w:r>
    </w:p>
    <w:p w:rsidR="00E27756" w:rsidRDefault="00E27756" w:rsidP="00E27756">
      <w:pPr>
        <w:pStyle w:val="SangriaFrancesaArticulo"/>
      </w:pPr>
      <w:r w:rsidRPr="00E27756">
        <w:rPr>
          <w:rStyle w:val="TextoNormalNegritaCaracter"/>
        </w:rPr>
        <w:t>Artículo 39.</w:t>
      </w:r>
      <w:r w:rsidRPr="00E27756">
        <w:rPr>
          <w:rStyle w:val="TextoNormalCaracter"/>
        </w:rPr>
        <w:t>-</w:t>
      </w:r>
      <w:r>
        <w:t xml:space="preserve"> Sentencias </w:t>
      </w:r>
      <w:hyperlink w:anchor="SENTENCIA_2013_41" w:history="1">
        <w:r w:rsidRPr="00E27756">
          <w:rPr>
            <w:rStyle w:val="TextoNormalCaracter"/>
          </w:rPr>
          <w:t>41/2013</w:t>
        </w:r>
      </w:hyperlink>
      <w:r>
        <w:t xml:space="preserve">, ff. 3, 7, 8; </w:t>
      </w:r>
      <w:hyperlink w:anchor="SENTENCIA_2013_93" w:history="1">
        <w:r w:rsidRPr="00E27756">
          <w:rPr>
            <w:rStyle w:val="TextoNormalCaracter"/>
          </w:rPr>
          <w:t>93/2013</w:t>
        </w:r>
      </w:hyperlink>
      <w:r>
        <w:t xml:space="preserve">, f. 5, VP II; </w:t>
      </w:r>
      <w:hyperlink w:anchor="SENTENCIA_2013_127" w:history="1">
        <w:r w:rsidRPr="00E27756">
          <w:rPr>
            <w:rStyle w:val="TextoNormalCaracter"/>
          </w:rPr>
          <w:t>127/2013</w:t>
        </w:r>
      </w:hyperlink>
      <w:r>
        <w:t>, f. 6.</w:t>
      </w:r>
    </w:p>
    <w:p w:rsidR="00E27756" w:rsidRDefault="00E27756" w:rsidP="00E27756">
      <w:pPr>
        <w:pStyle w:val="SangriaFrancesaArticulo"/>
      </w:pPr>
      <w:r w:rsidRPr="00E27756">
        <w:rPr>
          <w:rStyle w:val="TextoNormalNegritaCaracter"/>
        </w:rPr>
        <w:t>Artículo 39.1.</w:t>
      </w:r>
      <w:r w:rsidRPr="00E27756">
        <w:rPr>
          <w:rStyle w:val="TextoNormalCaracter"/>
        </w:rPr>
        <w:t>-</w:t>
      </w:r>
      <w:r>
        <w:t xml:space="preserve"> Sentencias </w:t>
      </w:r>
      <w:hyperlink w:anchor="SENTENCIA_2013_41" w:history="1">
        <w:r w:rsidRPr="00E27756">
          <w:rPr>
            <w:rStyle w:val="TextoNormalCaracter"/>
          </w:rPr>
          <w:t>41/2013</w:t>
        </w:r>
      </w:hyperlink>
      <w:r>
        <w:t xml:space="preserve">, f. 3; </w:t>
      </w:r>
      <w:hyperlink w:anchor="SENTENCIA_2013_93" w:history="1">
        <w:r w:rsidRPr="00E27756">
          <w:rPr>
            <w:rStyle w:val="TextoNormalCaracter"/>
          </w:rPr>
          <w:t>93/2013</w:t>
        </w:r>
      </w:hyperlink>
      <w:r>
        <w:t xml:space="preserve">, ff. 3, 8, 10; </w:t>
      </w:r>
      <w:hyperlink w:anchor="SENTENCIA_2013_127" w:history="1">
        <w:r w:rsidRPr="00E27756">
          <w:rPr>
            <w:rStyle w:val="TextoNormalCaracter"/>
          </w:rPr>
          <w:t>127/2013</w:t>
        </w:r>
      </w:hyperlink>
      <w:r>
        <w:t>, ff. 1, 3.</w:t>
      </w:r>
    </w:p>
    <w:p w:rsidR="00E27756" w:rsidRDefault="00E27756" w:rsidP="00E27756">
      <w:pPr>
        <w:pStyle w:val="SangriaFrancesaArticulo"/>
      </w:pPr>
      <w:r w:rsidRPr="00E27756">
        <w:rPr>
          <w:rStyle w:val="TextoNormalNegritaCaracter"/>
        </w:rPr>
        <w:t>Artículo 39.2.</w:t>
      </w:r>
      <w:r w:rsidRPr="00E27756">
        <w:rPr>
          <w:rStyle w:val="TextoNormalCaracter"/>
        </w:rPr>
        <w:t>-</w:t>
      </w:r>
      <w:r>
        <w:t xml:space="preserve"> Sentencias </w:t>
      </w:r>
      <w:hyperlink w:anchor="SENTENCIA_2013_93" w:history="1">
        <w:r w:rsidRPr="00E27756">
          <w:rPr>
            <w:rStyle w:val="TextoNormalCaracter"/>
          </w:rPr>
          <w:t>93/2013</w:t>
        </w:r>
      </w:hyperlink>
      <w:r>
        <w:t xml:space="preserve">, ff. 1, 12; </w:t>
      </w:r>
      <w:hyperlink w:anchor="SENTENCIA_2013_127" w:history="1">
        <w:r w:rsidRPr="00E27756">
          <w:rPr>
            <w:rStyle w:val="TextoNormalCaracter"/>
          </w:rPr>
          <w:t>127/2013</w:t>
        </w:r>
      </w:hyperlink>
      <w:r>
        <w:t>, ff. 1, 3.</w:t>
      </w:r>
    </w:p>
    <w:p w:rsidR="00E27756" w:rsidRDefault="00E27756" w:rsidP="00E27756">
      <w:pPr>
        <w:pStyle w:val="SangriaIzquierdaArticulo"/>
      </w:pPr>
      <w:r>
        <w:t xml:space="preserve">Auto </w:t>
      </w:r>
      <w:hyperlink w:anchor="AUTO_2013_35" w:history="1">
        <w:r w:rsidRPr="00E27756">
          <w:rPr>
            <w:rStyle w:val="TextoNormalCaracter"/>
          </w:rPr>
          <w:t>35/2013</w:t>
        </w:r>
      </w:hyperlink>
      <w:r>
        <w:t>, ff. 1, 4.</w:t>
      </w:r>
    </w:p>
    <w:p w:rsidR="00E27756" w:rsidRDefault="00E27756" w:rsidP="00E27756">
      <w:pPr>
        <w:pStyle w:val="SangriaFrancesaArticulo"/>
      </w:pPr>
      <w:r w:rsidRPr="00E27756">
        <w:rPr>
          <w:rStyle w:val="TextoNormalNegritaCaracter"/>
        </w:rPr>
        <w:t>Artículo 39.4.</w:t>
      </w:r>
      <w:r w:rsidRPr="00E27756">
        <w:rPr>
          <w:rStyle w:val="TextoNormalCaracter"/>
        </w:rPr>
        <w:t>-</w:t>
      </w:r>
      <w:r>
        <w:t xml:space="preserve"> Sentencia </w:t>
      </w:r>
      <w:hyperlink w:anchor="SENTENCIA_2013_127" w:history="1">
        <w:r w:rsidRPr="00E27756">
          <w:rPr>
            <w:rStyle w:val="TextoNormalCaracter"/>
          </w:rPr>
          <w:t>127/2013</w:t>
        </w:r>
      </w:hyperlink>
      <w:r>
        <w:t>, ff. 1, 3.</w:t>
      </w:r>
    </w:p>
    <w:p w:rsidR="00E27756" w:rsidRDefault="00E27756" w:rsidP="00E27756">
      <w:pPr>
        <w:pStyle w:val="SangriaFrancesaArticulo"/>
      </w:pPr>
      <w:r w:rsidRPr="00E27756">
        <w:rPr>
          <w:rStyle w:val="TextoNormalNegritaCaracter"/>
        </w:rPr>
        <w:t>Artículo 40.</w:t>
      </w:r>
      <w:r w:rsidRPr="00E27756">
        <w:rPr>
          <w:rStyle w:val="TextoNormalCaracter"/>
        </w:rPr>
        <w:t>-</w:t>
      </w:r>
      <w:r>
        <w:t xml:space="preserve"> Sentencias </w:t>
      </w:r>
      <w:hyperlink w:anchor="SENTENCIA_2013_23" w:history="1">
        <w:r w:rsidRPr="00E27756">
          <w:rPr>
            <w:rStyle w:val="TextoNormalCaracter"/>
          </w:rPr>
          <w:t>23/2013</w:t>
        </w:r>
      </w:hyperlink>
      <w:r>
        <w:t xml:space="preserve">, ff. 1, 4; </w:t>
      </w:r>
      <w:hyperlink w:anchor="SENTENCIA_2013_37" w:history="1">
        <w:r w:rsidRPr="00E27756">
          <w:rPr>
            <w:rStyle w:val="TextoNormalCaracter"/>
          </w:rPr>
          <w:t>37/2013</w:t>
        </w:r>
      </w:hyperlink>
      <w:r>
        <w:t xml:space="preserve">, f. 2; </w:t>
      </w:r>
      <w:hyperlink w:anchor="SENTENCIA_2013_65" w:history="1">
        <w:r w:rsidRPr="00E27756">
          <w:rPr>
            <w:rStyle w:val="TextoNormalCaracter"/>
          </w:rPr>
          <w:t>65/2013</w:t>
        </w:r>
      </w:hyperlink>
      <w:r>
        <w:t>, f. 1.</w:t>
      </w:r>
    </w:p>
    <w:p w:rsidR="00E27756" w:rsidRDefault="00E27756" w:rsidP="00E27756">
      <w:pPr>
        <w:pStyle w:val="SangriaFrancesaArticulo"/>
      </w:pPr>
      <w:r w:rsidRPr="00E27756">
        <w:rPr>
          <w:rStyle w:val="TextoNormalNegritaCaracter"/>
        </w:rPr>
        <w:t>Artículo 40.1.</w:t>
      </w:r>
      <w:r w:rsidRPr="00E27756">
        <w:rPr>
          <w:rStyle w:val="TextoNormalCaracter"/>
        </w:rPr>
        <w:t>-</w:t>
      </w:r>
      <w:r>
        <w:t xml:space="preserve"> Sentencias </w:t>
      </w:r>
      <w:hyperlink w:anchor="SENTENCIA_2013_16" w:history="1">
        <w:r w:rsidRPr="00E27756">
          <w:rPr>
            <w:rStyle w:val="TextoNormalCaracter"/>
          </w:rPr>
          <w:t>16/2013</w:t>
        </w:r>
      </w:hyperlink>
      <w:r>
        <w:t xml:space="preserve">, f. 3; </w:t>
      </w:r>
      <w:hyperlink w:anchor="SENTENCIA_2013_62" w:history="1">
        <w:r w:rsidRPr="00E27756">
          <w:rPr>
            <w:rStyle w:val="TextoNormalCaracter"/>
          </w:rPr>
          <w:t>62/2013</w:t>
        </w:r>
      </w:hyperlink>
      <w:r>
        <w:t>, f. 3.</w:t>
      </w:r>
    </w:p>
    <w:p w:rsidR="00E27756" w:rsidRDefault="00E27756" w:rsidP="00E27756">
      <w:pPr>
        <w:pStyle w:val="SangriaIzquierdaArticulo"/>
      </w:pPr>
      <w:r>
        <w:t xml:space="preserve">Auto </w:t>
      </w:r>
      <w:hyperlink w:anchor="AUTO_2013_86" w:history="1">
        <w:r w:rsidRPr="00E27756">
          <w:rPr>
            <w:rStyle w:val="TextoNormalCaracter"/>
          </w:rPr>
          <w:t>86/2013</w:t>
        </w:r>
      </w:hyperlink>
      <w:r>
        <w:t>, ff. 4, 5.</w:t>
      </w:r>
    </w:p>
    <w:p w:rsidR="00E27756" w:rsidRDefault="00E27756" w:rsidP="00E27756">
      <w:pPr>
        <w:pStyle w:val="SangriaFrancesaArticulo"/>
      </w:pPr>
      <w:r w:rsidRPr="00E27756">
        <w:rPr>
          <w:rStyle w:val="TextoNormalNegritaCaracter"/>
        </w:rPr>
        <w:t>Artículo 40.4.</w:t>
      </w:r>
      <w:r w:rsidRPr="00E27756">
        <w:rPr>
          <w:rStyle w:val="TextoNormalCaracter"/>
        </w:rPr>
        <w:t>-</w:t>
      </w:r>
      <w:r>
        <w:t xml:space="preserve"> Sentencia </w:t>
      </w:r>
      <w:hyperlink w:anchor="SENTENCIA_2013_36" w:history="1">
        <w:r w:rsidRPr="00E27756">
          <w:rPr>
            <w:rStyle w:val="TextoNormalCaracter"/>
          </w:rPr>
          <w:t>36/2013</w:t>
        </w:r>
      </w:hyperlink>
      <w:r>
        <w:t>, f. 7.</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Sentencias </w:t>
      </w:r>
      <w:hyperlink w:anchor="SENTENCIA_2013_23" w:history="1">
        <w:r w:rsidRPr="00E27756">
          <w:rPr>
            <w:rStyle w:val="TextoNormalCaracter"/>
          </w:rPr>
          <w:t>23/2013</w:t>
        </w:r>
      </w:hyperlink>
      <w:r>
        <w:t xml:space="preserve">, ff. 1, 4; </w:t>
      </w:r>
      <w:hyperlink w:anchor="SENTENCIA_2013_41" w:history="1">
        <w:r w:rsidRPr="00E27756">
          <w:rPr>
            <w:rStyle w:val="TextoNormalCaracter"/>
          </w:rPr>
          <w:t>41/2013</w:t>
        </w:r>
      </w:hyperlink>
      <w:r>
        <w:t>, ff. 7, 8.</w:t>
      </w:r>
    </w:p>
    <w:p w:rsidR="00E27756" w:rsidRDefault="00E27756" w:rsidP="00E27756">
      <w:pPr>
        <w:pStyle w:val="SangriaIzquierdaArticulo"/>
      </w:pPr>
      <w:r>
        <w:t xml:space="preserve">Auto </w:t>
      </w:r>
      <w:hyperlink w:anchor="AUTO_2013_73" w:history="1">
        <w:r w:rsidRPr="00E27756">
          <w:rPr>
            <w:rStyle w:val="TextoNormalCaracter"/>
          </w:rPr>
          <w:t>73/2013</w:t>
        </w:r>
      </w:hyperlink>
      <w:r>
        <w:t>, f. único.</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36" w:history="1">
        <w:r w:rsidRPr="00E27756">
          <w:rPr>
            <w:rStyle w:val="TextoNormalCaracter"/>
          </w:rPr>
          <w:t>36/2013</w:t>
        </w:r>
      </w:hyperlink>
      <w:r>
        <w:t>, f. 8.</w:t>
      </w:r>
    </w:p>
    <w:p w:rsidR="00E27756" w:rsidRDefault="00E27756" w:rsidP="00E27756">
      <w:pPr>
        <w:pStyle w:val="SangriaFrancesaArticulo"/>
      </w:pPr>
      <w:r w:rsidRPr="00E27756">
        <w:rPr>
          <w:rStyle w:val="TextoNormalNegritaCaracter"/>
        </w:rPr>
        <w:t>Artículo 43.</w:t>
      </w:r>
      <w:r w:rsidRPr="00E27756">
        <w:rPr>
          <w:rStyle w:val="TextoNormalCaracter"/>
        </w:rPr>
        <w:t>-</w:t>
      </w:r>
      <w:r>
        <w:t xml:space="preserve"> Autos </w:t>
      </w:r>
      <w:hyperlink w:anchor="AUTO_2013_122" w:history="1">
        <w:r w:rsidRPr="00E27756">
          <w:rPr>
            <w:rStyle w:val="TextoNormalCaracter"/>
          </w:rPr>
          <w:t>122/2013</w:t>
        </w:r>
      </w:hyperlink>
      <w:r>
        <w:t xml:space="preserve">, f. 5; </w:t>
      </w:r>
      <w:hyperlink w:anchor="AUTO_2013_142" w:history="1">
        <w:r w:rsidRPr="00E27756">
          <w:rPr>
            <w:rStyle w:val="TextoNormalCaracter"/>
          </w:rPr>
          <w:t>142/2013</w:t>
        </w:r>
      </w:hyperlink>
      <w:r>
        <w:t>, f. 3 b).</w:t>
      </w:r>
    </w:p>
    <w:p w:rsidR="00E27756" w:rsidRDefault="00E27756" w:rsidP="00E27756">
      <w:pPr>
        <w:pStyle w:val="SangriaFrancesaArticulo"/>
      </w:pPr>
      <w:r w:rsidRPr="00E27756">
        <w:rPr>
          <w:rStyle w:val="TextoNormalNegritaCaracter"/>
        </w:rPr>
        <w:t>Artículo 43.1.</w:t>
      </w:r>
      <w:r w:rsidRPr="00E27756">
        <w:rPr>
          <w:rStyle w:val="TextoNormalCaracter"/>
        </w:rPr>
        <w:t>-</w:t>
      </w:r>
      <w:r>
        <w:t xml:space="preserve"> Sentencia </w:t>
      </w:r>
      <w:hyperlink w:anchor="SENTENCIA_2013_137" w:history="1">
        <w:r w:rsidRPr="00E27756">
          <w:rPr>
            <w:rStyle w:val="TextoNormalCaracter"/>
          </w:rPr>
          <w:t>137/2013</w:t>
        </w:r>
      </w:hyperlink>
      <w:r>
        <w:t>, f. 5.</w:t>
      </w:r>
    </w:p>
    <w:p w:rsidR="00E27756" w:rsidRDefault="00E27756" w:rsidP="00E27756">
      <w:pPr>
        <w:pStyle w:val="SangriaIzquierdaArticulo"/>
      </w:pPr>
      <w:r>
        <w:t xml:space="preserve">Autos </w:t>
      </w:r>
      <w:hyperlink w:anchor="AUTO_2013_122" w:history="1">
        <w:r w:rsidRPr="00E27756">
          <w:rPr>
            <w:rStyle w:val="TextoNormalCaracter"/>
          </w:rPr>
          <w:t>122/2013</w:t>
        </w:r>
      </w:hyperlink>
      <w:r>
        <w:t xml:space="preserve">, f. 5; </w:t>
      </w:r>
      <w:hyperlink w:anchor="AUTO_2013_142" w:history="1">
        <w:r w:rsidRPr="00E27756">
          <w:rPr>
            <w:rStyle w:val="TextoNormalCaracter"/>
          </w:rPr>
          <w:t>142/2013</w:t>
        </w:r>
      </w:hyperlink>
      <w:r>
        <w:t>, f. 3 b).</w:t>
      </w:r>
    </w:p>
    <w:p w:rsidR="00E27756" w:rsidRDefault="00E27756" w:rsidP="00E27756">
      <w:pPr>
        <w:pStyle w:val="SangriaFrancesaArticulo"/>
      </w:pPr>
      <w:r w:rsidRPr="00E27756">
        <w:rPr>
          <w:rStyle w:val="TextoNormalNegritaCaracter"/>
        </w:rPr>
        <w:t>Artículo 43.2.</w:t>
      </w:r>
      <w:r w:rsidRPr="00E27756">
        <w:rPr>
          <w:rStyle w:val="TextoNormalCaracter"/>
        </w:rPr>
        <w:t>-</w:t>
      </w:r>
      <w:r>
        <w:t xml:space="preserve"> Sentencia </w:t>
      </w:r>
      <w:hyperlink w:anchor="SENTENCIA_2013_137" w:history="1">
        <w:r w:rsidRPr="00E27756">
          <w:rPr>
            <w:rStyle w:val="TextoNormalCaracter"/>
          </w:rPr>
          <w:t>137/2013</w:t>
        </w:r>
      </w:hyperlink>
      <w:r>
        <w:t>, f. 5.</w:t>
      </w:r>
    </w:p>
    <w:p w:rsidR="00E27756" w:rsidRDefault="00E27756" w:rsidP="00E27756">
      <w:pPr>
        <w:pStyle w:val="SangriaIzquierdaArticulo"/>
      </w:pPr>
      <w:r>
        <w:t xml:space="preserve">Autos </w:t>
      </w:r>
      <w:hyperlink w:anchor="AUTO_2013_122" w:history="1">
        <w:r w:rsidRPr="00E27756">
          <w:rPr>
            <w:rStyle w:val="TextoNormalCaracter"/>
          </w:rPr>
          <w:t>122/2013</w:t>
        </w:r>
      </w:hyperlink>
      <w:r>
        <w:t xml:space="preserve">, f. 5; </w:t>
      </w:r>
      <w:hyperlink w:anchor="AUTO_2013_142" w:history="1">
        <w:r w:rsidRPr="00E27756">
          <w:rPr>
            <w:rStyle w:val="TextoNormalCaracter"/>
          </w:rPr>
          <w:t>142/2013</w:t>
        </w:r>
      </w:hyperlink>
      <w:r>
        <w:t>, f. 3 b).</w:t>
      </w:r>
    </w:p>
    <w:p w:rsidR="00E27756" w:rsidRDefault="00E27756" w:rsidP="00E27756">
      <w:pPr>
        <w:pStyle w:val="SangriaFrancesaArticulo"/>
      </w:pPr>
      <w:r w:rsidRPr="00E27756">
        <w:rPr>
          <w:rStyle w:val="TextoNormalNegritaCaracter"/>
        </w:rPr>
        <w:t>Artículo 45.</w:t>
      </w:r>
      <w:r w:rsidRPr="00E27756">
        <w:rPr>
          <w:rStyle w:val="TextoNormalCaracter"/>
        </w:rPr>
        <w:t>-</w:t>
      </w:r>
      <w:r>
        <w:t xml:space="preserve"> Sentencias </w:t>
      </w:r>
      <w:hyperlink w:anchor="SENTENCIA_2013_69" w:history="1">
        <w:r w:rsidRPr="00E27756">
          <w:rPr>
            <w:rStyle w:val="TextoNormalCaracter"/>
          </w:rPr>
          <w:t>69/2013</w:t>
        </w:r>
      </w:hyperlink>
      <w:r>
        <w:t xml:space="preserve">, ff. 2, 6; </w:t>
      </w:r>
      <w:hyperlink w:anchor="SENTENCIA_2013_84" w:history="1">
        <w:r w:rsidRPr="00E27756">
          <w:rPr>
            <w:rStyle w:val="TextoNormalCaracter"/>
          </w:rPr>
          <w:t>84/2013</w:t>
        </w:r>
      </w:hyperlink>
      <w:r>
        <w:t xml:space="preserve">, ff. 1, 6; </w:t>
      </w:r>
      <w:hyperlink w:anchor="SENTENCIA_2013_96" w:history="1">
        <w:r w:rsidRPr="00E27756">
          <w:rPr>
            <w:rStyle w:val="TextoNormalCaracter"/>
          </w:rPr>
          <w:t>96/2013</w:t>
        </w:r>
      </w:hyperlink>
      <w:r>
        <w:t>, f. 8.</w:t>
      </w:r>
    </w:p>
    <w:p w:rsidR="00E27756" w:rsidRDefault="00E27756" w:rsidP="00E27756">
      <w:pPr>
        <w:pStyle w:val="SangriaFrancesaArticulo"/>
      </w:pPr>
      <w:r w:rsidRPr="00E27756">
        <w:rPr>
          <w:rStyle w:val="TextoNormalNegritaCaracter"/>
        </w:rPr>
        <w:t>Artículo 45.1.</w:t>
      </w:r>
      <w:r w:rsidRPr="00E27756">
        <w:rPr>
          <w:rStyle w:val="TextoNormalCaracter"/>
        </w:rPr>
        <w:t>-</w:t>
      </w:r>
      <w:r>
        <w:t xml:space="preserve"> Sentencias </w:t>
      </w:r>
      <w:hyperlink w:anchor="SENTENCIA_2013_60" w:history="1">
        <w:r w:rsidRPr="00E27756">
          <w:rPr>
            <w:rStyle w:val="TextoNormalCaracter"/>
          </w:rPr>
          <w:t>60/2013</w:t>
        </w:r>
      </w:hyperlink>
      <w:r>
        <w:t xml:space="preserve">, ff. 2, 5; </w:t>
      </w:r>
      <w:hyperlink w:anchor="SENTENCIA_2013_84" w:history="1">
        <w:r w:rsidRPr="00E27756">
          <w:rPr>
            <w:rStyle w:val="TextoNormalCaracter"/>
          </w:rPr>
          <w:t>84/2013</w:t>
        </w:r>
      </w:hyperlink>
      <w:r>
        <w:t>, f. 6.</w:t>
      </w:r>
    </w:p>
    <w:p w:rsidR="00E27756" w:rsidRDefault="00E27756" w:rsidP="00E27756">
      <w:pPr>
        <w:pStyle w:val="SangriaFrancesaArticulo"/>
      </w:pPr>
      <w:r w:rsidRPr="00E27756">
        <w:rPr>
          <w:rStyle w:val="TextoNormalNegritaCaracter"/>
        </w:rPr>
        <w:t>Artículo 45.2.</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36" w:history="1">
        <w:r w:rsidRPr="00E27756">
          <w:rPr>
            <w:rStyle w:val="TextoNormalCaracter"/>
          </w:rPr>
          <w:t>36/2013</w:t>
        </w:r>
      </w:hyperlink>
      <w:r>
        <w:t xml:space="preserve">, f. 7; </w:t>
      </w:r>
      <w:hyperlink w:anchor="SENTENCIA_2013_51" w:history="1">
        <w:r w:rsidRPr="00E27756">
          <w:rPr>
            <w:rStyle w:val="TextoNormalCaracter"/>
          </w:rPr>
          <w:t>51/2013</w:t>
        </w:r>
      </w:hyperlink>
      <w:r>
        <w:t xml:space="preserve">, f. 2; </w:t>
      </w:r>
      <w:hyperlink w:anchor="SENTENCIA_2013_60" w:history="1">
        <w:r w:rsidRPr="00E27756">
          <w:rPr>
            <w:rStyle w:val="TextoNormalCaracter"/>
          </w:rPr>
          <w:t>60/2013</w:t>
        </w:r>
      </w:hyperlink>
      <w:r>
        <w:t xml:space="preserve">, f. 2; </w:t>
      </w:r>
      <w:hyperlink w:anchor="SENTENCIA_2013_69" w:history="1">
        <w:r w:rsidRPr="00E27756">
          <w:rPr>
            <w:rStyle w:val="TextoNormalCaracter"/>
          </w:rPr>
          <w:t>69/2013</w:t>
        </w:r>
      </w:hyperlink>
      <w:r>
        <w:t>, f. 2.</w:t>
      </w:r>
    </w:p>
    <w:p w:rsidR="00E27756" w:rsidRDefault="00E27756" w:rsidP="00E27756">
      <w:pPr>
        <w:pStyle w:val="SangriaFrancesaArticulo"/>
      </w:pPr>
      <w:r w:rsidRPr="00E27756">
        <w:rPr>
          <w:rStyle w:val="TextoNormalNegritaCaracter"/>
        </w:rPr>
        <w:t>Artículo 46.</w:t>
      </w:r>
      <w:r w:rsidRPr="00E27756">
        <w:rPr>
          <w:rStyle w:val="TextoNormalCaracter"/>
        </w:rPr>
        <w:t>-</w:t>
      </w:r>
      <w:r>
        <w:t xml:space="preserve"> Sentencias </w:t>
      </w:r>
      <w:hyperlink w:anchor="SENTENCIA_2013_20" w:history="1">
        <w:r w:rsidRPr="00E27756">
          <w:rPr>
            <w:rStyle w:val="TextoNormalCaracter"/>
          </w:rPr>
          <w:t>20/2013</w:t>
        </w:r>
      </w:hyperlink>
      <w:r>
        <w:t xml:space="preserve">, ff. 1, 9; </w:t>
      </w:r>
      <w:hyperlink w:anchor="SENTENCIA_2013_67" w:history="1">
        <w:r w:rsidRPr="00E27756">
          <w:rPr>
            <w:rStyle w:val="TextoNormalCaracter"/>
          </w:rPr>
          <w:t>67/2013</w:t>
        </w:r>
      </w:hyperlink>
      <w:r>
        <w:t xml:space="preserve">, ff. 1, 2; </w:t>
      </w:r>
      <w:hyperlink w:anchor="SENTENCIA_2013_68" w:history="1">
        <w:r w:rsidRPr="00E27756">
          <w:rPr>
            <w:rStyle w:val="TextoNormalCaracter"/>
          </w:rPr>
          <w:t>68/2013</w:t>
        </w:r>
      </w:hyperlink>
      <w:r>
        <w:t>, ff. 1, 4.</w:t>
      </w:r>
    </w:p>
    <w:p w:rsidR="00E27756" w:rsidRDefault="00E27756" w:rsidP="00E27756">
      <w:pPr>
        <w:pStyle w:val="SangriaFrancesaArticulo"/>
      </w:pPr>
      <w:r w:rsidRPr="00E27756">
        <w:rPr>
          <w:rStyle w:val="TextoNormalNegritaCaracter"/>
        </w:rPr>
        <w:t>Artículo 47.</w:t>
      </w:r>
      <w:r w:rsidRPr="00E27756">
        <w:rPr>
          <w:rStyle w:val="TextoNormalCaracter"/>
        </w:rPr>
        <w:t>-</w:t>
      </w:r>
      <w:r>
        <w:t xml:space="preserve"> Sentencia </w:t>
      </w:r>
      <w:hyperlink w:anchor="SENTENCIA_2013_112" w:history="1">
        <w:r w:rsidRPr="00E27756">
          <w:rPr>
            <w:rStyle w:val="TextoNormalCaracter"/>
          </w:rPr>
          <w:t>112/2013</w:t>
        </w:r>
      </w:hyperlink>
      <w:r>
        <w:t>, f. 3.</w:t>
      </w:r>
    </w:p>
    <w:p w:rsidR="00E27756" w:rsidRDefault="00E27756" w:rsidP="00E27756">
      <w:pPr>
        <w:pStyle w:val="SangriaIzquierdaArticulo"/>
      </w:pPr>
      <w:r>
        <w:t xml:space="preserve">Auto </w:t>
      </w:r>
      <w:hyperlink w:anchor="AUTO_2013_80" w:history="1">
        <w:r w:rsidRPr="00E27756">
          <w:rPr>
            <w:rStyle w:val="TextoNormalCaracter"/>
          </w:rPr>
          <w:t>80/2013</w:t>
        </w:r>
      </w:hyperlink>
      <w:r>
        <w:t>, f. 3.</w:t>
      </w:r>
    </w:p>
    <w:p w:rsidR="00E27756" w:rsidRDefault="00E27756" w:rsidP="00E27756">
      <w:pPr>
        <w:pStyle w:val="SangriaFrancesaArticulo"/>
      </w:pPr>
      <w:r w:rsidRPr="00E27756">
        <w:rPr>
          <w:rStyle w:val="TextoNormalNegritaCaracter"/>
        </w:rPr>
        <w:t>Artículo 50.</w:t>
      </w:r>
      <w:r w:rsidRPr="00E27756">
        <w:rPr>
          <w:rStyle w:val="TextoNormalCaracter"/>
        </w:rPr>
        <w:t>-</w:t>
      </w:r>
      <w:r>
        <w:t xml:space="preserve"> Sentencia </w:t>
      </w:r>
      <w:hyperlink w:anchor="SENTENCIA_2013_23" w:history="1">
        <w:r w:rsidRPr="00E27756">
          <w:rPr>
            <w:rStyle w:val="TextoNormalCaracter"/>
          </w:rPr>
          <w:t>23/2013</w:t>
        </w:r>
      </w:hyperlink>
      <w:r>
        <w:t>, ff. 1, 4.</w:t>
      </w:r>
    </w:p>
    <w:p w:rsidR="00E27756" w:rsidRDefault="00E27756" w:rsidP="00E27756">
      <w:pPr>
        <w:pStyle w:val="SangriaFrancesaArticulo"/>
      </w:pPr>
      <w:r w:rsidRPr="00E27756">
        <w:rPr>
          <w:rStyle w:val="TextoNormalNegritaCaracter"/>
        </w:rPr>
        <w:t>Artículo 50.3.</w:t>
      </w:r>
      <w:r w:rsidRPr="00E27756">
        <w:rPr>
          <w:rStyle w:val="TextoNormalCaracter"/>
        </w:rPr>
        <w:t>-</w:t>
      </w:r>
      <w:r>
        <w:t xml:space="preserve"> Sentencia </w:t>
      </w:r>
      <w:hyperlink w:anchor="SENTENCIA_2013_31" w:history="1">
        <w:r w:rsidRPr="00E27756">
          <w:rPr>
            <w:rStyle w:val="TextoNormalCaracter"/>
          </w:rPr>
          <w:t>31/2013</w:t>
        </w:r>
      </w:hyperlink>
      <w:r>
        <w:t>, f. 3.</w:t>
      </w:r>
    </w:p>
    <w:p w:rsidR="00E27756" w:rsidRDefault="00E27756" w:rsidP="00E27756">
      <w:pPr>
        <w:pStyle w:val="SangriaFrancesaArticulo"/>
      </w:pPr>
      <w:r w:rsidRPr="00E27756">
        <w:rPr>
          <w:rStyle w:val="TextoNormalNegritaCaracter"/>
        </w:rPr>
        <w:t>Artículo 51.</w:t>
      </w:r>
      <w:r w:rsidRPr="00E27756">
        <w:rPr>
          <w:rStyle w:val="TextoNormalCaracter"/>
        </w:rPr>
        <w:t>-</w:t>
      </w:r>
      <w:r>
        <w:t xml:space="preserve"> Sentencia </w:t>
      </w:r>
      <w:hyperlink w:anchor="SENTENCIA_2013_134" w:history="1">
        <w:r w:rsidRPr="00E27756">
          <w:rPr>
            <w:rStyle w:val="TextoNormalCaracter"/>
          </w:rPr>
          <w:t>134/2013</w:t>
        </w:r>
      </w:hyperlink>
      <w:r>
        <w:t>, f. 3.</w:t>
      </w:r>
    </w:p>
    <w:p w:rsidR="00E27756" w:rsidRDefault="00E27756" w:rsidP="00E27756">
      <w:pPr>
        <w:pStyle w:val="SangriaFrancesaArticulo"/>
      </w:pPr>
      <w:r w:rsidRPr="00E27756">
        <w:rPr>
          <w:rStyle w:val="TextoNormalNegritaCaracter"/>
        </w:rPr>
        <w:t>Artículo 53.1.</w:t>
      </w:r>
      <w:r w:rsidRPr="00E27756">
        <w:rPr>
          <w:rStyle w:val="TextoNormalCaracter"/>
        </w:rPr>
        <w:t>-</w:t>
      </w:r>
      <w:r>
        <w:t xml:space="preserve"> Sentencias </w:t>
      </w:r>
      <w:hyperlink w:anchor="SENTENCIA_2013_17" w:history="1">
        <w:r w:rsidRPr="00E27756">
          <w:rPr>
            <w:rStyle w:val="TextoNormalCaracter"/>
          </w:rPr>
          <w:t>17/2013</w:t>
        </w:r>
      </w:hyperlink>
      <w:r>
        <w:t xml:space="preserve">, ff. 1, 4, VP; </w:t>
      </w:r>
      <w:hyperlink w:anchor="SENTENCIA_2013_84" w:history="1">
        <w:r w:rsidRPr="00E27756">
          <w:rPr>
            <w:rStyle w:val="TextoNormalCaracter"/>
          </w:rPr>
          <w:t>84/2013</w:t>
        </w:r>
      </w:hyperlink>
      <w:r>
        <w:t xml:space="preserve">, f. 6; </w:t>
      </w:r>
      <w:hyperlink w:anchor="SENTENCIA_2013_96" w:history="1">
        <w:r w:rsidRPr="00E27756">
          <w:rPr>
            <w:rStyle w:val="TextoNormalCaracter"/>
          </w:rPr>
          <w:t>96/2013</w:t>
        </w:r>
      </w:hyperlink>
      <w:r>
        <w:t xml:space="preserve">, ff. 4, 6; </w:t>
      </w:r>
      <w:hyperlink w:anchor="SENTENCIA_2013_98" w:history="1">
        <w:r w:rsidRPr="00E27756">
          <w:rPr>
            <w:rStyle w:val="TextoNormalCaracter"/>
          </w:rPr>
          <w:t>98/2013</w:t>
        </w:r>
      </w:hyperlink>
      <w:r>
        <w:t xml:space="preserve">, f. 2; </w:t>
      </w:r>
      <w:hyperlink w:anchor="SENTENCIA_2013_134" w:history="1">
        <w:r w:rsidRPr="00E27756">
          <w:rPr>
            <w:rStyle w:val="TextoNormalCaracter"/>
          </w:rPr>
          <w:t>134/2013</w:t>
        </w:r>
      </w:hyperlink>
      <w:r>
        <w:t>, ff. 1, 3, 4, 6.</w:t>
      </w:r>
    </w:p>
    <w:p w:rsidR="00E27756" w:rsidRDefault="00E27756" w:rsidP="00E27756">
      <w:pPr>
        <w:pStyle w:val="SangriaIzquierdaArticulo"/>
      </w:pPr>
      <w:r>
        <w:t xml:space="preserve">Auto </w:t>
      </w:r>
      <w:hyperlink w:anchor="AUTO_2013_89" w:history="1">
        <w:r w:rsidRPr="00E27756">
          <w:rPr>
            <w:rStyle w:val="TextoNormalCaracter"/>
          </w:rPr>
          <w:t>89/2013</w:t>
        </w:r>
      </w:hyperlink>
      <w:r>
        <w:t>, f. 3.</w:t>
      </w:r>
    </w:p>
    <w:p w:rsidR="00E27756" w:rsidRDefault="00E27756" w:rsidP="00E27756">
      <w:pPr>
        <w:pStyle w:val="SangriaFrancesaArticulo"/>
      </w:pPr>
      <w:r w:rsidRPr="00E27756">
        <w:rPr>
          <w:rStyle w:val="TextoNormalNegritaCaracter"/>
        </w:rPr>
        <w:t>Artículo 53.2.</w:t>
      </w:r>
      <w:r w:rsidRPr="00E27756">
        <w:rPr>
          <w:rStyle w:val="TextoNormalCaracter"/>
        </w:rPr>
        <w:t>-</w:t>
      </w:r>
      <w:r>
        <w:t xml:space="preserve"> Sentencias </w:t>
      </w:r>
      <w:hyperlink w:anchor="SENTENCIA_2013_11" w:history="1">
        <w:r w:rsidRPr="00E27756">
          <w:rPr>
            <w:rStyle w:val="TextoNormalCaracter"/>
          </w:rPr>
          <w:t>11/2013</w:t>
        </w:r>
      </w:hyperlink>
      <w:r>
        <w:t xml:space="preserve">, f. 2; </w:t>
      </w:r>
      <w:hyperlink w:anchor="SENTENCIA_2013_29" w:history="1">
        <w:r w:rsidRPr="00E27756">
          <w:rPr>
            <w:rStyle w:val="TextoNormalCaracter"/>
          </w:rPr>
          <w:t>29/2013</w:t>
        </w:r>
      </w:hyperlink>
      <w:r>
        <w:t xml:space="preserve">, f. 1; </w:t>
      </w:r>
      <w:hyperlink w:anchor="SENTENCIA_2013_31" w:history="1">
        <w:r w:rsidRPr="00E27756">
          <w:rPr>
            <w:rStyle w:val="TextoNormalCaracter"/>
          </w:rPr>
          <w:t>31/2013</w:t>
        </w:r>
      </w:hyperlink>
      <w:r>
        <w:t xml:space="preserve">, VP I; </w:t>
      </w:r>
      <w:hyperlink w:anchor="SENTENCIA_2013_44" w:history="1">
        <w:r w:rsidRPr="00E27756">
          <w:rPr>
            <w:rStyle w:val="TextoNormalCaracter"/>
          </w:rPr>
          <w:t>44/2013</w:t>
        </w:r>
      </w:hyperlink>
      <w:r>
        <w:t xml:space="preserve">, f. 3; </w:t>
      </w:r>
      <w:hyperlink w:anchor="SENTENCIA_2013_56" w:history="1">
        <w:r w:rsidRPr="00E27756">
          <w:rPr>
            <w:rStyle w:val="TextoNormalCaracter"/>
          </w:rPr>
          <w:t>56/2013</w:t>
        </w:r>
      </w:hyperlink>
      <w:r>
        <w:t xml:space="preserve">, f. 1; </w:t>
      </w:r>
      <w:hyperlink w:anchor="SENTENCIA_2013_88" w:history="1">
        <w:r w:rsidRPr="00E27756">
          <w:rPr>
            <w:rStyle w:val="TextoNormalCaracter"/>
          </w:rPr>
          <w:t>88/2013</w:t>
        </w:r>
      </w:hyperlink>
      <w:r>
        <w:t xml:space="preserve">, VP; </w:t>
      </w:r>
      <w:hyperlink w:anchor="SENTENCIA_2013_126" w:history="1">
        <w:r w:rsidRPr="00E27756">
          <w:rPr>
            <w:rStyle w:val="TextoNormalCaracter"/>
          </w:rPr>
          <w:t>126/2013</w:t>
        </w:r>
      </w:hyperlink>
      <w:r>
        <w:t xml:space="preserve">, f. 5; </w:t>
      </w:r>
      <w:hyperlink w:anchor="SENTENCIA_2013_127" w:history="1">
        <w:r w:rsidRPr="00E27756">
          <w:rPr>
            <w:rStyle w:val="TextoNormalCaracter"/>
          </w:rPr>
          <w:t>127/2013</w:t>
        </w:r>
      </w:hyperlink>
      <w:r>
        <w:t xml:space="preserve">, f. 3; </w:t>
      </w:r>
      <w:hyperlink w:anchor="SENTENCIA_2013_128" w:history="1">
        <w:r w:rsidRPr="00E27756">
          <w:rPr>
            <w:rStyle w:val="TextoNormalCaracter"/>
          </w:rPr>
          <w:t>128/2013</w:t>
        </w:r>
      </w:hyperlink>
      <w:r>
        <w:t xml:space="preserve">, f. 2; </w:t>
      </w:r>
      <w:hyperlink w:anchor="SENTENCIA_2013_133" w:history="1">
        <w:r w:rsidRPr="00E27756">
          <w:rPr>
            <w:rStyle w:val="TextoNormalCaracter"/>
          </w:rPr>
          <w:t>133/2013</w:t>
        </w:r>
      </w:hyperlink>
      <w:r>
        <w:t>, f. 6.</w:t>
      </w:r>
    </w:p>
    <w:p w:rsidR="00E27756" w:rsidRDefault="00E27756" w:rsidP="00E27756">
      <w:pPr>
        <w:pStyle w:val="SangriaIzquierdaArticulo"/>
      </w:pPr>
      <w:r>
        <w:t xml:space="preserve">Auto </w:t>
      </w:r>
      <w:hyperlink w:anchor="AUTO_2013_28" w:history="1">
        <w:r w:rsidRPr="00E27756">
          <w:rPr>
            <w:rStyle w:val="TextoNormalCaracter"/>
          </w:rPr>
          <w:t>28/2013</w:t>
        </w:r>
      </w:hyperlink>
      <w:r>
        <w:t>, VP I.</w:t>
      </w:r>
    </w:p>
    <w:p w:rsidR="00E27756" w:rsidRDefault="00E27756" w:rsidP="00E27756">
      <w:pPr>
        <w:pStyle w:val="SangriaFrancesaArticulo"/>
      </w:pPr>
      <w:r w:rsidRPr="00E27756">
        <w:rPr>
          <w:rStyle w:val="TextoNormalNegritaCaracter"/>
        </w:rPr>
        <w:t>Artículo 56.3.</w:t>
      </w:r>
      <w:r w:rsidRPr="00E27756">
        <w:rPr>
          <w:rStyle w:val="TextoNormalCaracter"/>
        </w:rPr>
        <w:t>-</w:t>
      </w:r>
      <w:r>
        <w:t xml:space="preserve"> Sentencia </w:t>
      </w:r>
      <w:hyperlink w:anchor="SENTENCIA_2013_133" w:history="1">
        <w:r w:rsidRPr="00E27756">
          <w:rPr>
            <w:rStyle w:val="TextoNormalCaracter"/>
          </w:rPr>
          <w:t>133/2013</w:t>
        </w:r>
      </w:hyperlink>
      <w:r>
        <w:t>, f. 6.</w:t>
      </w:r>
    </w:p>
    <w:p w:rsidR="00E27756" w:rsidRDefault="00E27756" w:rsidP="00E27756">
      <w:pPr>
        <w:pStyle w:val="SangriaFrancesaArticulo"/>
      </w:pPr>
      <w:r w:rsidRPr="00E27756">
        <w:rPr>
          <w:rStyle w:val="TextoNormalNegritaCaracter"/>
        </w:rPr>
        <w:t>Artículo 66.</w:t>
      </w:r>
      <w:r w:rsidRPr="00E27756">
        <w:rPr>
          <w:rStyle w:val="TextoNormalCaracter"/>
        </w:rPr>
        <w:t>-</w:t>
      </w:r>
      <w:r>
        <w:t xml:space="preserve"> Sentencias </w:t>
      </w:r>
      <w:hyperlink w:anchor="SENTENCIA_2013_86" w:history="1">
        <w:r w:rsidRPr="00E27756">
          <w:rPr>
            <w:rStyle w:val="TextoNormalCaracter"/>
          </w:rPr>
          <w:t>86/2013</w:t>
        </w:r>
      </w:hyperlink>
      <w:r>
        <w:t xml:space="preserve">, f. 4; </w:t>
      </w:r>
      <w:hyperlink w:anchor="SENTENCIA_2013_132" w:history="1">
        <w:r w:rsidRPr="00E27756">
          <w:rPr>
            <w:rStyle w:val="TextoNormalCaracter"/>
          </w:rPr>
          <w:t>132/2013</w:t>
        </w:r>
      </w:hyperlink>
      <w:r>
        <w:t>, ff. 1, 2.</w:t>
      </w:r>
    </w:p>
    <w:p w:rsidR="00E27756" w:rsidRDefault="00E27756" w:rsidP="00E27756">
      <w:pPr>
        <w:pStyle w:val="SangriaFrancesaArticulo"/>
      </w:pPr>
      <w:r w:rsidRPr="00E27756">
        <w:rPr>
          <w:rStyle w:val="TextoNormalNegritaCaracter"/>
        </w:rPr>
        <w:lastRenderedPageBreak/>
        <w:t>Artículo 66.2.</w:t>
      </w:r>
      <w:r w:rsidRPr="00E27756">
        <w:rPr>
          <w:rStyle w:val="TextoNormalCaracter"/>
        </w:rPr>
        <w:t>-</w:t>
      </w:r>
      <w:r>
        <w:t xml:space="preserve"> Sentencias </w:t>
      </w:r>
      <w:hyperlink w:anchor="SENTENCIA_2013_9" w:history="1">
        <w:r w:rsidRPr="00E27756">
          <w:rPr>
            <w:rStyle w:val="TextoNormalCaracter"/>
          </w:rPr>
          <w:t>9/2013</w:t>
        </w:r>
      </w:hyperlink>
      <w:r>
        <w:t xml:space="preserve">, ff. 1, 3, 4; </w:t>
      </w:r>
      <w:hyperlink w:anchor="SENTENCIA_2013_86" w:history="1">
        <w:r w:rsidRPr="00E27756">
          <w:rPr>
            <w:rStyle w:val="TextoNormalCaracter"/>
          </w:rPr>
          <w:t>86/2013</w:t>
        </w:r>
      </w:hyperlink>
      <w:r>
        <w:t xml:space="preserve">, f. 3; </w:t>
      </w:r>
      <w:hyperlink w:anchor="SENTENCIA_2013_111" w:history="1">
        <w:r w:rsidRPr="00E27756">
          <w:rPr>
            <w:rStyle w:val="TextoNormalCaracter"/>
          </w:rPr>
          <w:t>111/2013</w:t>
        </w:r>
      </w:hyperlink>
      <w:r>
        <w:t xml:space="preserve">, ff. 1, 5; </w:t>
      </w:r>
      <w:hyperlink w:anchor="SENTENCIA_2013_130" w:history="1">
        <w:r w:rsidRPr="00E27756">
          <w:rPr>
            <w:rStyle w:val="TextoNormalCaracter"/>
          </w:rPr>
          <w:t>130/2013</w:t>
        </w:r>
      </w:hyperlink>
      <w:r>
        <w:t xml:space="preserve">, f. 8; </w:t>
      </w:r>
      <w:hyperlink w:anchor="SENTENCIA_2013_132" w:history="1">
        <w:r w:rsidRPr="00E27756">
          <w:rPr>
            <w:rStyle w:val="TextoNormalCaracter"/>
          </w:rPr>
          <w:t>132/2013</w:t>
        </w:r>
      </w:hyperlink>
      <w:r>
        <w:t>, ff. 2, 3.</w:t>
      </w:r>
    </w:p>
    <w:p w:rsidR="00E27756" w:rsidRDefault="00E27756" w:rsidP="00E27756">
      <w:pPr>
        <w:pStyle w:val="SangriaIzquierdaArticulo"/>
      </w:pPr>
      <w:r>
        <w:t xml:space="preserve">Auto </w:t>
      </w:r>
      <w:hyperlink w:anchor="AUTO_2013_27" w:history="1">
        <w:r w:rsidRPr="00E27756">
          <w:rPr>
            <w:rStyle w:val="TextoNormalCaracter"/>
          </w:rPr>
          <w:t>27/2013</w:t>
        </w:r>
      </w:hyperlink>
      <w:r>
        <w:t>, f. 1.</w:t>
      </w:r>
    </w:p>
    <w:p w:rsidR="00E27756" w:rsidRDefault="00E27756" w:rsidP="00E27756">
      <w:pPr>
        <w:pStyle w:val="SangriaFrancesaArticulo"/>
      </w:pPr>
      <w:r w:rsidRPr="00E27756">
        <w:rPr>
          <w:rStyle w:val="TextoNormalNegritaCaracter"/>
        </w:rPr>
        <w:t>Artículo 68.</w:t>
      </w:r>
      <w:r w:rsidRPr="00E27756">
        <w:rPr>
          <w:rStyle w:val="TextoNormalCaracter"/>
        </w:rPr>
        <w:t>-</w:t>
      </w:r>
      <w:r>
        <w:t xml:space="preserve"> Sentencia </w:t>
      </w:r>
      <w:hyperlink w:anchor="SENTENCIA_2013_125" w:history="1">
        <w:r w:rsidRPr="00E27756">
          <w:rPr>
            <w:rStyle w:val="TextoNormalCaracter"/>
          </w:rPr>
          <w:t>125/2013</w:t>
        </w:r>
      </w:hyperlink>
      <w:r>
        <w:t>, f. 6.</w:t>
      </w:r>
    </w:p>
    <w:p w:rsidR="00E27756" w:rsidRDefault="00E27756" w:rsidP="00E27756">
      <w:pPr>
        <w:pStyle w:val="SangriaFrancesaArticulo"/>
      </w:pPr>
      <w:r w:rsidRPr="00E27756">
        <w:rPr>
          <w:rStyle w:val="TextoNormalNegritaCaracter"/>
        </w:rPr>
        <w:t>Artículo 69.</w:t>
      </w:r>
      <w:r w:rsidRPr="00E27756">
        <w:rPr>
          <w:rStyle w:val="TextoNormalCaracter"/>
        </w:rPr>
        <w:t>-</w:t>
      </w:r>
      <w:r>
        <w:t xml:space="preserve"> Sentencia </w:t>
      </w:r>
      <w:hyperlink w:anchor="SENTENCIA_2013_125" w:history="1">
        <w:r w:rsidRPr="00E27756">
          <w:rPr>
            <w:rStyle w:val="TextoNormalCaracter"/>
          </w:rPr>
          <w:t>125/2013</w:t>
        </w:r>
      </w:hyperlink>
      <w:r>
        <w:t>, f. 6.</w:t>
      </w:r>
    </w:p>
    <w:p w:rsidR="00E27756" w:rsidRDefault="00E27756" w:rsidP="00E27756">
      <w:pPr>
        <w:pStyle w:val="SangriaFrancesaArticulo"/>
      </w:pPr>
      <w:r w:rsidRPr="00E27756">
        <w:rPr>
          <w:rStyle w:val="TextoNormalNegritaCaracter"/>
        </w:rPr>
        <w:t>Artículo 69.5.</w:t>
      </w:r>
      <w:r w:rsidRPr="00E27756">
        <w:rPr>
          <w:rStyle w:val="TextoNormalCaracter"/>
        </w:rPr>
        <w:t>-</w:t>
      </w:r>
      <w:r>
        <w:t xml:space="preserve"> Sentencia </w:t>
      </w:r>
      <w:hyperlink w:anchor="SENTENCIA_2013_20" w:history="1">
        <w:r w:rsidRPr="00E27756">
          <w:rPr>
            <w:rStyle w:val="TextoNormalCaracter"/>
          </w:rPr>
          <w:t>20/2013</w:t>
        </w:r>
      </w:hyperlink>
      <w:r>
        <w:t>, f. 10.</w:t>
      </w:r>
    </w:p>
    <w:p w:rsidR="00E27756" w:rsidRDefault="00E27756" w:rsidP="00E27756">
      <w:pPr>
        <w:pStyle w:val="SangriaFrancesaArticulo"/>
      </w:pPr>
      <w:r w:rsidRPr="00E27756">
        <w:rPr>
          <w:rStyle w:val="TextoNormalNegritaCaracter"/>
        </w:rPr>
        <w:t>Artículo 70.</w:t>
      </w:r>
      <w:r w:rsidRPr="00E27756">
        <w:rPr>
          <w:rStyle w:val="TextoNormalCaracter"/>
        </w:rPr>
        <w:t>-</w:t>
      </w:r>
      <w:r>
        <w:t xml:space="preserve"> Sentencia </w:t>
      </w:r>
      <w:hyperlink w:anchor="SENTENCIA_2013_125" w:history="1">
        <w:r w:rsidRPr="00E27756">
          <w:rPr>
            <w:rStyle w:val="TextoNormalCaracter"/>
          </w:rPr>
          <w:t>125/2013</w:t>
        </w:r>
      </w:hyperlink>
      <w:r>
        <w:t>, f. 6.</w:t>
      </w:r>
    </w:p>
    <w:p w:rsidR="00E27756" w:rsidRDefault="00E27756" w:rsidP="00E27756">
      <w:pPr>
        <w:pStyle w:val="SangriaFrancesaArticulo"/>
      </w:pPr>
      <w:r w:rsidRPr="00E27756">
        <w:rPr>
          <w:rStyle w:val="TextoNormalNegritaCaracter"/>
        </w:rPr>
        <w:t>Artículo 81.1.</w:t>
      </w:r>
      <w:r w:rsidRPr="00E27756">
        <w:rPr>
          <w:rStyle w:val="TextoNormalCaracter"/>
        </w:rPr>
        <w:t>-</w:t>
      </w:r>
      <w:r>
        <w:t xml:space="preserve"> Sentencias </w:t>
      </w:r>
      <w:hyperlink w:anchor="SENTENCIA_2013_15" w:history="1">
        <w:r w:rsidRPr="00E27756">
          <w:rPr>
            <w:rStyle w:val="TextoNormalCaracter"/>
          </w:rPr>
          <w:t>15/2013</w:t>
        </w:r>
      </w:hyperlink>
      <w:r>
        <w:t xml:space="preserve">, f. 3; </w:t>
      </w:r>
      <w:hyperlink w:anchor="SENTENCIA_2013_25" w:history="1">
        <w:r w:rsidRPr="00E27756">
          <w:rPr>
            <w:rStyle w:val="TextoNormalCaracter"/>
          </w:rPr>
          <w:t>25/2013</w:t>
        </w:r>
      </w:hyperlink>
      <w:r>
        <w:t xml:space="preserve">, f. 3; </w:t>
      </w:r>
      <w:hyperlink w:anchor="SENTENCIA_2013_47" w:history="1">
        <w:r w:rsidRPr="00E27756">
          <w:rPr>
            <w:rStyle w:val="TextoNormalCaracter"/>
          </w:rPr>
          <w:t>47/2013</w:t>
        </w:r>
      </w:hyperlink>
      <w:r>
        <w:t xml:space="preserve">, f. 3; </w:t>
      </w:r>
      <w:hyperlink w:anchor="SENTENCIA_2013_48" w:history="1">
        <w:r w:rsidRPr="00E27756">
          <w:rPr>
            <w:rStyle w:val="TextoNormalCaracter"/>
          </w:rPr>
          <w:t>48/2013</w:t>
        </w:r>
      </w:hyperlink>
      <w:r>
        <w:t xml:space="preserve">, f. 3; </w:t>
      </w:r>
      <w:hyperlink w:anchor="SENTENCIA_2013_131" w:history="1">
        <w:r w:rsidRPr="00E27756">
          <w:rPr>
            <w:rStyle w:val="TextoNormalCaracter"/>
          </w:rPr>
          <w:t>131/2013</w:t>
        </w:r>
      </w:hyperlink>
      <w:r>
        <w:t xml:space="preserve">, ff. 2, 4, 6; </w:t>
      </w:r>
      <w:hyperlink w:anchor="SENTENCIA_2013_134" w:history="1">
        <w:r w:rsidRPr="00E27756">
          <w:rPr>
            <w:rStyle w:val="TextoNormalCaracter"/>
          </w:rPr>
          <w:t>134/2013</w:t>
        </w:r>
      </w:hyperlink>
      <w:r>
        <w:t>, ff. 1, 3, 6.</w:t>
      </w:r>
    </w:p>
    <w:p w:rsidR="00E27756" w:rsidRDefault="00E27756" w:rsidP="00E27756">
      <w:pPr>
        <w:pStyle w:val="SangriaIzquierdaArticulo"/>
      </w:pPr>
      <w:r>
        <w:t xml:space="preserve">Autos </w:t>
      </w:r>
      <w:hyperlink w:anchor="AUTO_2013_30" w:history="1">
        <w:r w:rsidRPr="00E27756">
          <w:rPr>
            <w:rStyle w:val="TextoNormalCaracter"/>
          </w:rPr>
          <w:t>30/2013</w:t>
        </w:r>
      </w:hyperlink>
      <w:r>
        <w:t xml:space="preserve">, f. 1; </w:t>
      </w:r>
      <w:hyperlink w:anchor="AUTO_2013_31" w:history="1">
        <w:r w:rsidRPr="00E27756">
          <w:rPr>
            <w:rStyle w:val="TextoNormalCaracter"/>
          </w:rPr>
          <w:t>31/2013</w:t>
        </w:r>
      </w:hyperlink>
      <w:r>
        <w:t xml:space="preserve">, f. 1; </w:t>
      </w:r>
      <w:hyperlink w:anchor="AUTO_2013_32" w:history="1">
        <w:r w:rsidRPr="00E27756">
          <w:rPr>
            <w:rStyle w:val="TextoNormalCaracter"/>
          </w:rPr>
          <w:t>32/2013</w:t>
        </w:r>
      </w:hyperlink>
      <w:r>
        <w:t>, f. 1.</w:t>
      </w:r>
    </w:p>
    <w:p w:rsidR="00E27756" w:rsidRDefault="00E27756" w:rsidP="00E27756">
      <w:pPr>
        <w:pStyle w:val="SangriaFrancesaArticulo"/>
      </w:pPr>
      <w:r w:rsidRPr="00E27756">
        <w:rPr>
          <w:rStyle w:val="TextoNormalNegritaCaracter"/>
        </w:rPr>
        <w:t>Artículo 83.1.</w:t>
      </w:r>
      <w:r w:rsidRPr="00E27756">
        <w:rPr>
          <w:rStyle w:val="TextoNormalCaracter"/>
        </w:rPr>
        <w:t>-</w:t>
      </w:r>
      <w:r>
        <w:t xml:space="preserve"> Sentencia </w:t>
      </w:r>
      <w:hyperlink w:anchor="SENTENCIA_2013_131" w:history="1">
        <w:r w:rsidRPr="00E27756">
          <w:rPr>
            <w:rStyle w:val="TextoNormalCaracter"/>
          </w:rPr>
          <w:t>131/2013</w:t>
        </w:r>
      </w:hyperlink>
      <w:r>
        <w:t>, f. 6.</w:t>
      </w:r>
    </w:p>
    <w:p w:rsidR="00E27756" w:rsidRDefault="00E27756" w:rsidP="00E27756">
      <w:pPr>
        <w:pStyle w:val="SangriaFrancesaArticulo"/>
      </w:pPr>
      <w:r w:rsidRPr="00E27756">
        <w:rPr>
          <w:rStyle w:val="TextoNormalNegritaCaracter"/>
        </w:rPr>
        <w:t>Artículo 86.</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51" w:history="1">
        <w:r w:rsidRPr="00E27756">
          <w:rPr>
            <w:rStyle w:val="TextoNormalCaracter"/>
          </w:rPr>
          <w:t>51/2013</w:t>
        </w:r>
      </w:hyperlink>
      <w:r>
        <w:t xml:space="preserve">, f. 6; </w:t>
      </w:r>
      <w:hyperlink w:anchor="SENTENCIA_2013_63" w:history="1">
        <w:r w:rsidRPr="00E27756">
          <w:rPr>
            <w:rStyle w:val="TextoNormalCaracter"/>
          </w:rPr>
          <w:t>63/2013</w:t>
        </w:r>
      </w:hyperlink>
      <w:r>
        <w:t xml:space="preserve">, f. 4; </w:t>
      </w:r>
      <w:hyperlink w:anchor="SENTENCIA_2013_64" w:history="1">
        <w:r w:rsidRPr="00E27756">
          <w:rPr>
            <w:rStyle w:val="TextoNormalCaracter"/>
          </w:rPr>
          <w:t>64/2013</w:t>
        </w:r>
      </w:hyperlink>
      <w:r>
        <w:t>, f. 4.</w:t>
      </w:r>
    </w:p>
    <w:p w:rsidR="00E27756" w:rsidRDefault="00E27756" w:rsidP="00E27756">
      <w:pPr>
        <w:pStyle w:val="SangriaFrancesaArticulo"/>
      </w:pPr>
      <w:r w:rsidRPr="00E27756">
        <w:rPr>
          <w:rStyle w:val="TextoNormalNegritaCaracter"/>
        </w:rPr>
        <w:t>Artículo 86.1.</w:t>
      </w:r>
      <w:r w:rsidRPr="00E27756">
        <w:rPr>
          <w:rStyle w:val="TextoNormalCaracter"/>
        </w:rPr>
        <w:t>-</w:t>
      </w:r>
      <w:r>
        <w:t xml:space="preserve"> Sentencias </w:t>
      </w:r>
      <w:hyperlink w:anchor="SENTENCIA_2013_39" w:history="1">
        <w:r w:rsidRPr="00E27756">
          <w:rPr>
            <w:rStyle w:val="TextoNormalCaracter"/>
          </w:rPr>
          <w:t>39/2013</w:t>
        </w:r>
      </w:hyperlink>
      <w:r>
        <w:t xml:space="preserve">, ff. 1, 3-5, 7-9; </w:t>
      </w:r>
      <w:hyperlink w:anchor="SENTENCIA_2013_51" w:history="1">
        <w:r w:rsidRPr="00E27756">
          <w:rPr>
            <w:rStyle w:val="TextoNormalCaracter"/>
          </w:rPr>
          <w:t>51/2013</w:t>
        </w:r>
      </w:hyperlink>
      <w:r>
        <w:t xml:space="preserve">, ff. 2, 3, 5, 8; </w:t>
      </w:r>
      <w:hyperlink w:anchor="SENTENCIA_2013_63" w:history="1">
        <w:r w:rsidRPr="00E27756">
          <w:rPr>
            <w:rStyle w:val="TextoNormalCaracter"/>
          </w:rPr>
          <w:t>63/2013</w:t>
        </w:r>
      </w:hyperlink>
      <w:r>
        <w:t xml:space="preserve">, ff. 2, 3; </w:t>
      </w:r>
      <w:hyperlink w:anchor="SENTENCIA_2013_64" w:history="1">
        <w:r w:rsidRPr="00E27756">
          <w:rPr>
            <w:rStyle w:val="TextoNormalCaracter"/>
          </w:rPr>
          <w:t>64/2013</w:t>
        </w:r>
      </w:hyperlink>
      <w:r>
        <w:t>, ff. 1 a 3.</w:t>
      </w:r>
    </w:p>
    <w:p w:rsidR="00E27756" w:rsidRDefault="00E27756" w:rsidP="00E27756">
      <w:pPr>
        <w:pStyle w:val="SangriaIzquierdaArticulo"/>
      </w:pPr>
      <w:r>
        <w:t xml:space="preserve">Auto </w:t>
      </w:r>
      <w:hyperlink w:anchor="AUTO_2013_126" w:history="1">
        <w:r w:rsidRPr="00E27756">
          <w:rPr>
            <w:rStyle w:val="TextoNormalCaracter"/>
          </w:rPr>
          <w:t>126/2013</w:t>
        </w:r>
      </w:hyperlink>
      <w:r>
        <w:t>, f. único.</w:t>
      </w:r>
    </w:p>
    <w:p w:rsidR="00E27756" w:rsidRDefault="00E27756" w:rsidP="00E27756">
      <w:pPr>
        <w:pStyle w:val="SangriaFrancesaArticulo"/>
      </w:pPr>
      <w:r w:rsidRPr="00E27756">
        <w:rPr>
          <w:rStyle w:val="TextoNormalNegritaCaracter"/>
        </w:rPr>
        <w:t>Artículo 86.3.</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51" w:history="1">
        <w:r w:rsidRPr="00E27756">
          <w:rPr>
            <w:rStyle w:val="TextoNormalCaracter"/>
          </w:rPr>
          <w:t>51/2013</w:t>
        </w:r>
      </w:hyperlink>
      <w:r>
        <w:t>, f. 1.</w:t>
      </w:r>
    </w:p>
    <w:p w:rsidR="00E27756" w:rsidRDefault="00E27756" w:rsidP="00E27756">
      <w:pPr>
        <w:pStyle w:val="SangriaFrancesaArticulo"/>
      </w:pPr>
      <w:r w:rsidRPr="00E27756">
        <w:rPr>
          <w:rStyle w:val="TextoNormalNegritaCaracter"/>
        </w:rPr>
        <w:t>Artículo 87.</w:t>
      </w:r>
      <w:r w:rsidRPr="00E27756">
        <w:rPr>
          <w:rStyle w:val="TextoNormalCaracter"/>
        </w:rPr>
        <w:t>-</w:t>
      </w:r>
      <w:r>
        <w:t xml:space="preserve"> Sentencia </w:t>
      </w:r>
      <w:hyperlink w:anchor="SENTENCIA_2013_132" w:history="1">
        <w:r w:rsidRPr="00E27756">
          <w:rPr>
            <w:rStyle w:val="TextoNormalCaracter"/>
          </w:rPr>
          <w:t>132/2013</w:t>
        </w:r>
      </w:hyperlink>
      <w:r>
        <w:t>, f. 3.</w:t>
      </w:r>
    </w:p>
    <w:p w:rsidR="00E27756" w:rsidRDefault="00E27756" w:rsidP="00E27756">
      <w:pPr>
        <w:pStyle w:val="SangriaFrancesaArticulo"/>
      </w:pPr>
      <w:r w:rsidRPr="00E27756">
        <w:rPr>
          <w:rStyle w:val="TextoNormalNegritaCaracter"/>
        </w:rPr>
        <w:t>Artículo 88.</w:t>
      </w:r>
      <w:r w:rsidRPr="00E27756">
        <w:rPr>
          <w:rStyle w:val="TextoNormalCaracter"/>
        </w:rPr>
        <w:t>-</w:t>
      </w:r>
      <w:r>
        <w:t xml:space="preserve"> Sentencias </w:t>
      </w:r>
      <w:hyperlink w:anchor="SENTENCIA_2013_68" w:history="1">
        <w:r w:rsidRPr="00E27756">
          <w:rPr>
            <w:rStyle w:val="TextoNormalCaracter"/>
          </w:rPr>
          <w:t>68/2013</w:t>
        </w:r>
      </w:hyperlink>
      <w:r>
        <w:t xml:space="preserve">, ff. 1 a 3; </w:t>
      </w:r>
      <w:hyperlink w:anchor="SENTENCIA_2013_111" w:history="1">
        <w:r w:rsidRPr="00E27756">
          <w:rPr>
            <w:rStyle w:val="TextoNormalCaracter"/>
          </w:rPr>
          <w:t>111/2013</w:t>
        </w:r>
      </w:hyperlink>
      <w:r>
        <w:t>, ff. 1, 5.</w:t>
      </w:r>
    </w:p>
    <w:p w:rsidR="00E27756" w:rsidRDefault="00E27756" w:rsidP="00E27756">
      <w:pPr>
        <w:pStyle w:val="SangriaFrancesaArticulo"/>
      </w:pPr>
      <w:r w:rsidRPr="00E27756">
        <w:rPr>
          <w:rStyle w:val="TextoNormalNegritaCaracter"/>
        </w:rPr>
        <w:t>Artículo 89.</w:t>
      </w:r>
      <w:r w:rsidRPr="00E27756">
        <w:rPr>
          <w:rStyle w:val="TextoNormalCaracter"/>
        </w:rPr>
        <w:t>-</w:t>
      </w:r>
      <w:r>
        <w:t xml:space="preserve"> Sentencia </w:t>
      </w:r>
      <w:hyperlink w:anchor="SENTENCIA_2013_111" w:history="1">
        <w:r w:rsidRPr="00E27756">
          <w:rPr>
            <w:rStyle w:val="TextoNormalCaracter"/>
          </w:rPr>
          <w:t>111/2013</w:t>
        </w:r>
      </w:hyperlink>
      <w:r>
        <w:t>, ff. 2, 5.</w:t>
      </w:r>
    </w:p>
    <w:p w:rsidR="00E27756" w:rsidRDefault="00E27756" w:rsidP="00E27756">
      <w:pPr>
        <w:pStyle w:val="SangriaFrancesaArticulo"/>
      </w:pPr>
      <w:r w:rsidRPr="00E27756">
        <w:rPr>
          <w:rStyle w:val="TextoNormalNegritaCaracter"/>
        </w:rPr>
        <w:t>Artículo 93.</w:t>
      </w:r>
      <w:r w:rsidRPr="00E27756">
        <w:rPr>
          <w:rStyle w:val="TextoNormalCaracter"/>
        </w:rPr>
        <w:t>-</w:t>
      </w:r>
      <w:r>
        <w:t xml:space="preserve"> Sentencias </w:t>
      </w:r>
      <w:hyperlink w:anchor="SENTENCIA_2013_61" w:history="1">
        <w:r w:rsidRPr="00E27756">
          <w:rPr>
            <w:rStyle w:val="TextoNormalCaracter"/>
          </w:rPr>
          <w:t>61/2013</w:t>
        </w:r>
      </w:hyperlink>
      <w:r>
        <w:t xml:space="preserve">, f. 5; </w:t>
      </w:r>
      <w:hyperlink w:anchor="SENTENCIA_2013_130" w:history="1">
        <w:r w:rsidRPr="00E27756">
          <w:rPr>
            <w:rStyle w:val="TextoNormalCaracter"/>
          </w:rPr>
          <w:t>130/2013</w:t>
        </w:r>
      </w:hyperlink>
      <w:r>
        <w:t xml:space="preserve">, f. 9;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94.</w:t>
      </w:r>
      <w:r w:rsidRPr="00E27756">
        <w:rPr>
          <w:rStyle w:val="TextoNormalCaracter"/>
        </w:rPr>
        <w:t>-</w:t>
      </w:r>
      <w:r>
        <w:t xml:space="preserve"> Sentencia </w:t>
      </w:r>
      <w:hyperlink w:anchor="SENTENCIA_2013_131" w:history="1">
        <w:r w:rsidRPr="00E27756">
          <w:rPr>
            <w:rStyle w:val="TextoNormalCaracter"/>
          </w:rPr>
          <w:t>131/2013</w:t>
        </w:r>
      </w:hyperlink>
      <w:r>
        <w:t>, VP VI.</w:t>
      </w:r>
    </w:p>
    <w:p w:rsidR="00E27756" w:rsidRDefault="00E27756" w:rsidP="00E27756">
      <w:pPr>
        <w:pStyle w:val="SangriaFrancesaArticulo"/>
      </w:pPr>
      <w:r w:rsidRPr="00E27756">
        <w:rPr>
          <w:rStyle w:val="TextoNormalNegritaCaracter"/>
        </w:rPr>
        <w:t>Artículo 96.</w:t>
      </w:r>
      <w:r w:rsidRPr="00E27756">
        <w:rPr>
          <w:rStyle w:val="TextoNormalCaracter"/>
        </w:rPr>
        <w:t>-</w:t>
      </w:r>
      <w:r>
        <w:t xml:space="preserve"> Sentencias </w:t>
      </w:r>
      <w:hyperlink w:anchor="SENTENCIA_2013_27" w:history="1">
        <w:r w:rsidRPr="00E27756">
          <w:rPr>
            <w:rStyle w:val="TextoNormalCaracter"/>
          </w:rPr>
          <w:t>27/2013</w:t>
        </w:r>
      </w:hyperlink>
      <w:r>
        <w:t xml:space="preserve">, VP I; </w:t>
      </w:r>
      <w:hyperlink w:anchor="SENTENCIA_2013_131" w:history="1">
        <w:r w:rsidRPr="00E27756">
          <w:rPr>
            <w:rStyle w:val="TextoNormalCaracter"/>
          </w:rPr>
          <w:t>131/2013</w:t>
        </w:r>
      </w:hyperlink>
      <w:r>
        <w:t>, VP III.</w:t>
      </w:r>
    </w:p>
    <w:p w:rsidR="00E27756" w:rsidRDefault="00E27756" w:rsidP="00E27756">
      <w:pPr>
        <w:pStyle w:val="SangriaFrancesaArticulo"/>
      </w:pPr>
      <w:r w:rsidRPr="00E27756">
        <w:rPr>
          <w:rStyle w:val="TextoNormalNegritaCaracter"/>
        </w:rPr>
        <w:t>Artículo 96.1.</w:t>
      </w:r>
      <w:r w:rsidRPr="00E27756">
        <w:rPr>
          <w:rStyle w:val="TextoNormalCaracter"/>
        </w:rPr>
        <w:t>-</w:t>
      </w:r>
      <w:r>
        <w:t xml:space="preserve"> Sentencia </w:t>
      </w:r>
      <w:hyperlink w:anchor="SENTENCIA_2013_131" w:history="1">
        <w:r w:rsidRPr="00E27756">
          <w:rPr>
            <w:rStyle w:val="TextoNormalCaracter"/>
          </w:rPr>
          <w:t>131/2013</w:t>
        </w:r>
      </w:hyperlink>
      <w:r>
        <w:t>, VP II.</w:t>
      </w:r>
    </w:p>
    <w:p w:rsidR="00E27756" w:rsidRDefault="00E27756" w:rsidP="00E27756">
      <w:pPr>
        <w:pStyle w:val="SangriaFrancesaArticulo"/>
      </w:pPr>
      <w:r w:rsidRPr="00E27756">
        <w:rPr>
          <w:rStyle w:val="TextoNormalNegritaCaracter"/>
        </w:rPr>
        <w:t>Artículo 97.</w:t>
      </w:r>
      <w:r w:rsidRPr="00E27756">
        <w:rPr>
          <w:rStyle w:val="TextoNormalCaracter"/>
        </w:rPr>
        <w:t>-</w:t>
      </w:r>
      <w:r>
        <w:t xml:space="preserve"> Sentencias </w:t>
      </w:r>
      <w:hyperlink w:anchor="SENTENCIA_2013_94" w:history="1">
        <w:r w:rsidRPr="00E27756">
          <w:rPr>
            <w:rStyle w:val="TextoNormalCaracter"/>
          </w:rPr>
          <w:t>94/2013</w:t>
        </w:r>
      </w:hyperlink>
      <w:r>
        <w:t xml:space="preserve">, f. 7; </w:t>
      </w:r>
      <w:hyperlink w:anchor="SENTENCIA_2013_103" w:history="1">
        <w:r w:rsidRPr="00E27756">
          <w:rPr>
            <w:rStyle w:val="TextoNormalCaracter"/>
          </w:rPr>
          <w:t>103/2013</w:t>
        </w:r>
      </w:hyperlink>
      <w:r>
        <w:t xml:space="preserve">, f. 6; </w:t>
      </w:r>
      <w:hyperlink w:anchor="SENTENCIA_2013_129" w:history="1">
        <w:r w:rsidRPr="00E27756">
          <w:rPr>
            <w:rStyle w:val="TextoNormalCaracter"/>
          </w:rPr>
          <w:t>129/2013</w:t>
        </w:r>
      </w:hyperlink>
      <w:r>
        <w:t>, f. 4.</w:t>
      </w:r>
    </w:p>
    <w:p w:rsidR="00E27756" w:rsidRDefault="00E27756" w:rsidP="00E27756">
      <w:pPr>
        <w:pStyle w:val="SangriaFrancesaArticulo"/>
      </w:pPr>
      <w:r w:rsidRPr="00E27756">
        <w:rPr>
          <w:rStyle w:val="TextoNormalNegritaCaracter"/>
        </w:rPr>
        <w:t>Artículo 98.</w:t>
      </w:r>
      <w:r w:rsidRPr="00E27756">
        <w:rPr>
          <w:rStyle w:val="TextoNormalCaracter"/>
        </w:rPr>
        <w:t>-</w:t>
      </w:r>
      <w:r>
        <w:t xml:space="preserve"> Sentencia </w:t>
      </w:r>
      <w:hyperlink w:anchor="SENTENCIA_2013_103" w:history="1">
        <w:r w:rsidRPr="00E27756">
          <w:rPr>
            <w:rStyle w:val="TextoNormalCaracter"/>
          </w:rPr>
          <w:t>103/2013</w:t>
        </w:r>
      </w:hyperlink>
      <w:r>
        <w:t>, f. 6.</w:t>
      </w:r>
    </w:p>
    <w:p w:rsidR="00E27756" w:rsidRDefault="00E27756" w:rsidP="00E27756">
      <w:pPr>
        <w:pStyle w:val="SangriaFrancesaArticulo"/>
      </w:pPr>
      <w:r w:rsidRPr="00E27756">
        <w:rPr>
          <w:rStyle w:val="TextoNormalNegritaCaracter"/>
        </w:rPr>
        <w:t>Artículo 103.</w:t>
      </w:r>
      <w:r w:rsidRPr="00E27756">
        <w:rPr>
          <w:rStyle w:val="TextoNormalCaracter"/>
        </w:rPr>
        <w:t>-</w:t>
      </w:r>
      <w:r>
        <w:t xml:space="preserve"> Sentencias </w:t>
      </w:r>
      <w:hyperlink w:anchor="SENTENCIA_2013_17" w:history="1">
        <w:r w:rsidRPr="00E27756">
          <w:rPr>
            <w:rStyle w:val="TextoNormalCaracter"/>
          </w:rPr>
          <w:t>17/2013</w:t>
        </w:r>
      </w:hyperlink>
      <w:r>
        <w:t xml:space="preserve">, f. 10; </w:t>
      </w:r>
      <w:hyperlink w:anchor="SENTENCIA_2013_91" w:history="1">
        <w:r w:rsidRPr="00E27756">
          <w:rPr>
            <w:rStyle w:val="TextoNormalCaracter"/>
          </w:rPr>
          <w:t>91/2013</w:t>
        </w:r>
      </w:hyperlink>
      <w:r>
        <w:t xml:space="preserve">, f. 4; </w:t>
      </w:r>
      <w:hyperlink w:anchor="SENTENCIA_2013_94" w:history="1">
        <w:r w:rsidRPr="00E27756">
          <w:rPr>
            <w:rStyle w:val="TextoNormalCaracter"/>
          </w:rPr>
          <w:t>94/2013</w:t>
        </w:r>
      </w:hyperlink>
      <w:r>
        <w:t xml:space="preserve">, VP II; </w:t>
      </w:r>
      <w:hyperlink w:anchor="SENTENCIA_2013_103" w:history="1">
        <w:r w:rsidRPr="00E27756">
          <w:rPr>
            <w:rStyle w:val="TextoNormalCaracter"/>
          </w:rPr>
          <w:t>103/2013</w:t>
        </w:r>
      </w:hyperlink>
      <w:r>
        <w:t>, f. 6.</w:t>
      </w:r>
    </w:p>
    <w:p w:rsidR="00E27756" w:rsidRDefault="00E27756" w:rsidP="00E27756">
      <w:pPr>
        <w:pStyle w:val="SangriaFrancesaArticulo"/>
      </w:pPr>
      <w:r w:rsidRPr="00E27756">
        <w:rPr>
          <w:rStyle w:val="TextoNormalNegritaCaracter"/>
        </w:rPr>
        <w:t>Artículo 103.1.</w:t>
      </w:r>
      <w:r w:rsidRPr="00E27756">
        <w:rPr>
          <w:rStyle w:val="TextoNormalCaracter"/>
        </w:rPr>
        <w:t>-</w:t>
      </w:r>
      <w:r>
        <w:t xml:space="preserve"> Sentencias </w:t>
      </w:r>
      <w:hyperlink w:anchor="SENTENCIA_2013_51" w:history="1">
        <w:r w:rsidRPr="00E27756">
          <w:rPr>
            <w:rStyle w:val="TextoNormalCaracter"/>
          </w:rPr>
          <w:t>51/2013</w:t>
        </w:r>
      </w:hyperlink>
      <w:r>
        <w:t xml:space="preserve">, f. 5; </w:t>
      </w:r>
      <w:hyperlink w:anchor="SENTENCIA_2013_63" w:history="1">
        <w:r w:rsidRPr="00E27756">
          <w:rPr>
            <w:rStyle w:val="TextoNormalCaracter"/>
          </w:rPr>
          <w:t>63/2013</w:t>
        </w:r>
      </w:hyperlink>
      <w:r>
        <w:t xml:space="preserve">, f. 2; </w:t>
      </w:r>
      <w:hyperlink w:anchor="SENTENCIA_2013_64" w:history="1">
        <w:r w:rsidRPr="00E27756">
          <w:rPr>
            <w:rStyle w:val="TextoNormalCaracter"/>
          </w:rPr>
          <w:t>64/2013</w:t>
        </w:r>
      </w:hyperlink>
      <w:r>
        <w:t xml:space="preserve">, f. 2; </w:t>
      </w:r>
      <w:hyperlink w:anchor="SENTENCIA_2013_91" w:history="1">
        <w:r w:rsidRPr="00E27756">
          <w:rPr>
            <w:rStyle w:val="TextoNormalCaracter"/>
          </w:rPr>
          <w:t>91/2013</w:t>
        </w:r>
      </w:hyperlink>
      <w:r>
        <w:t xml:space="preserve">, f. 4; </w:t>
      </w:r>
      <w:hyperlink w:anchor="SENTENCIA_2013_101" w:history="1">
        <w:r w:rsidRPr="00E27756">
          <w:rPr>
            <w:rStyle w:val="TextoNormalCaracter"/>
          </w:rPr>
          <w:t>101/2013</w:t>
        </w:r>
      </w:hyperlink>
      <w:r>
        <w:t xml:space="preserve">, ff. 7, 8; </w:t>
      </w:r>
      <w:hyperlink w:anchor="SENTENCIA_2013_130" w:history="1">
        <w:r w:rsidRPr="00E27756">
          <w:rPr>
            <w:rStyle w:val="TextoNormalCaracter"/>
          </w:rPr>
          <w:t>130/2013</w:t>
        </w:r>
      </w:hyperlink>
      <w:r>
        <w:t>, f. 6, VP.</w:t>
      </w:r>
    </w:p>
    <w:p w:rsidR="00E27756" w:rsidRDefault="00E27756" w:rsidP="00E27756">
      <w:pPr>
        <w:pStyle w:val="SangriaFrancesaArticulo"/>
      </w:pPr>
      <w:r w:rsidRPr="00E27756">
        <w:rPr>
          <w:rStyle w:val="TextoNormalNegritaCaracter"/>
        </w:rPr>
        <w:t>Artículo 103.3.</w:t>
      </w:r>
      <w:r w:rsidRPr="00E27756">
        <w:rPr>
          <w:rStyle w:val="TextoNormalCaracter"/>
        </w:rPr>
        <w:t>-</w:t>
      </w:r>
      <w:r>
        <w:t xml:space="preserve"> Auto </w:t>
      </w:r>
      <w:hyperlink w:anchor="AUTO_2013_85" w:history="1">
        <w:r w:rsidRPr="00E27756">
          <w:rPr>
            <w:rStyle w:val="TextoNormalCaracter"/>
          </w:rPr>
          <w:t>85/2013</w:t>
        </w:r>
      </w:hyperlink>
      <w:r>
        <w:t>, f. 4.</w:t>
      </w:r>
    </w:p>
    <w:p w:rsidR="00E27756" w:rsidRDefault="00E27756" w:rsidP="00E27756">
      <w:pPr>
        <w:pStyle w:val="SangriaFrancesaArticulo"/>
      </w:pPr>
      <w:r w:rsidRPr="00E27756">
        <w:rPr>
          <w:rStyle w:val="TextoNormalNegritaCaracter"/>
        </w:rPr>
        <w:t>Artículo 104.</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104.1.</w:t>
      </w:r>
      <w:r w:rsidRPr="00E27756">
        <w:rPr>
          <w:rStyle w:val="TextoNormalCaracter"/>
        </w:rPr>
        <w:t>-</w:t>
      </w:r>
      <w:r>
        <w:t xml:space="preserve"> Sentencia </w:t>
      </w:r>
      <w:hyperlink w:anchor="SENTENCIA_2013_115" w:history="1">
        <w:r w:rsidRPr="00E27756">
          <w:rPr>
            <w:rStyle w:val="TextoNormalCaracter"/>
          </w:rPr>
          <w:t>115/2013</w:t>
        </w:r>
      </w:hyperlink>
      <w:r>
        <w:t>, f. 6.</w:t>
      </w:r>
    </w:p>
    <w:p w:rsidR="00E27756" w:rsidRDefault="00E27756" w:rsidP="00E27756">
      <w:pPr>
        <w:pStyle w:val="SangriaFrancesaArticulo"/>
      </w:pPr>
      <w:r w:rsidRPr="00E27756">
        <w:rPr>
          <w:rStyle w:val="TextoNormalNegritaCaracter"/>
        </w:rPr>
        <w:t>Artículo 105.</w:t>
      </w:r>
      <w:r w:rsidRPr="00E27756">
        <w:rPr>
          <w:rStyle w:val="TextoNormalCaracter"/>
        </w:rPr>
        <w:t>-</w:t>
      </w:r>
      <w:r>
        <w:t xml:space="preserve"> Sentencias </w:t>
      </w:r>
      <w:hyperlink w:anchor="SENTENCIA_2013_17" w:history="1">
        <w:r w:rsidRPr="00E27756">
          <w:rPr>
            <w:rStyle w:val="TextoNormalCaracter"/>
          </w:rPr>
          <w:t>17/2013</w:t>
        </w:r>
      </w:hyperlink>
      <w:r>
        <w:t xml:space="preserve">, ff. 1, 12, 13; </w:t>
      </w:r>
      <w:hyperlink w:anchor="SENTENCIA_2013_51" w:history="1">
        <w:r w:rsidRPr="00E27756">
          <w:rPr>
            <w:rStyle w:val="TextoNormalCaracter"/>
          </w:rPr>
          <w:t>51/2013</w:t>
        </w:r>
      </w:hyperlink>
      <w:r>
        <w:t>, f. 2.</w:t>
      </w:r>
    </w:p>
    <w:p w:rsidR="00E27756" w:rsidRDefault="00E27756" w:rsidP="00E27756">
      <w:pPr>
        <w:pStyle w:val="SangriaFrancesaArticulo"/>
      </w:pPr>
      <w:r w:rsidRPr="00E27756">
        <w:rPr>
          <w:rStyle w:val="TextoNormalNegritaCaracter"/>
        </w:rPr>
        <w:t>Artículo 105 a).</w:t>
      </w:r>
      <w:r w:rsidRPr="00E27756">
        <w:rPr>
          <w:rStyle w:val="TextoNormalCaracter"/>
        </w:rPr>
        <w:t>-</w:t>
      </w:r>
      <w:r>
        <w:t xml:space="preserve"> Sentencia </w:t>
      </w:r>
      <w:hyperlink w:anchor="SENTENCIA_2013_130" w:history="1">
        <w:r w:rsidRPr="00E27756">
          <w:rPr>
            <w:rStyle w:val="TextoNormalCaracter"/>
          </w:rPr>
          <w:t>130/2013</w:t>
        </w:r>
      </w:hyperlink>
      <w:r>
        <w:t>, VP.</w:t>
      </w:r>
    </w:p>
    <w:p w:rsidR="00E27756" w:rsidRDefault="00E27756" w:rsidP="00E27756">
      <w:pPr>
        <w:pStyle w:val="SangriaFrancesaArticulo"/>
      </w:pPr>
      <w:r w:rsidRPr="00E27756">
        <w:rPr>
          <w:rStyle w:val="TextoNormalNegritaCaracter"/>
        </w:rPr>
        <w:t>Artículo 105 c).</w:t>
      </w:r>
      <w:r w:rsidRPr="00E27756">
        <w:rPr>
          <w:rStyle w:val="TextoNormalCaracter"/>
        </w:rPr>
        <w:t>-</w:t>
      </w:r>
      <w:r>
        <w:t xml:space="preserve"> Sentencia </w:t>
      </w:r>
      <w:hyperlink w:anchor="SENTENCIA_2013_129" w:history="1">
        <w:r w:rsidRPr="00E27756">
          <w:rPr>
            <w:rStyle w:val="TextoNormalCaracter"/>
          </w:rPr>
          <w:t>129/2013</w:t>
        </w:r>
      </w:hyperlink>
      <w:r>
        <w:t>, ff. 1, 2.</w:t>
      </w:r>
    </w:p>
    <w:p w:rsidR="00E27756" w:rsidRDefault="00E27756" w:rsidP="00E27756">
      <w:pPr>
        <w:pStyle w:val="SangriaFrancesaArticulo"/>
      </w:pPr>
      <w:r w:rsidRPr="00E27756">
        <w:rPr>
          <w:rStyle w:val="TextoNormalNegritaCaracter"/>
        </w:rPr>
        <w:t>Artículo 105.1.</w:t>
      </w:r>
      <w:r w:rsidRPr="00E27756">
        <w:rPr>
          <w:rStyle w:val="TextoNormalCaracter"/>
        </w:rPr>
        <w:t>-</w:t>
      </w:r>
      <w:r>
        <w:t xml:space="preserve"> Sentencia </w:t>
      </w:r>
      <w:hyperlink w:anchor="SENTENCIA_2013_51" w:history="1">
        <w:r w:rsidRPr="00E27756">
          <w:rPr>
            <w:rStyle w:val="TextoNormalCaracter"/>
          </w:rPr>
          <w:t>51/2013</w:t>
        </w:r>
      </w:hyperlink>
      <w:r>
        <w:t>, f. 2.</w:t>
      </w:r>
    </w:p>
    <w:p w:rsidR="00E27756" w:rsidRDefault="00E27756" w:rsidP="00E27756">
      <w:pPr>
        <w:pStyle w:val="SangriaFrancesaArticulo"/>
      </w:pPr>
      <w:r w:rsidRPr="00E27756">
        <w:rPr>
          <w:rStyle w:val="TextoNormalNegritaCaracter"/>
        </w:rPr>
        <w:t>Artículo 106.</w:t>
      </w:r>
      <w:r w:rsidRPr="00E27756">
        <w:rPr>
          <w:rStyle w:val="TextoNormalCaracter"/>
        </w:rPr>
        <w:t>-</w:t>
      </w:r>
      <w:r>
        <w:t xml:space="preserve"> Sentencia </w:t>
      </w:r>
      <w:hyperlink w:anchor="SENTENCIA_2013_17" w:history="1">
        <w:r w:rsidRPr="00E27756">
          <w:rPr>
            <w:rStyle w:val="TextoNormalCaracter"/>
          </w:rPr>
          <w:t>17/2013</w:t>
        </w:r>
      </w:hyperlink>
      <w:r>
        <w:t>, f. 11.</w:t>
      </w:r>
    </w:p>
    <w:p w:rsidR="00E27756" w:rsidRDefault="00E27756" w:rsidP="00E27756">
      <w:pPr>
        <w:pStyle w:val="SangriaFrancesaArticulo"/>
      </w:pPr>
      <w:r w:rsidRPr="00E27756">
        <w:rPr>
          <w:rStyle w:val="TextoNormalNegritaCaracter"/>
        </w:rPr>
        <w:t>Artículo 106.1.</w:t>
      </w:r>
      <w:r w:rsidRPr="00E27756">
        <w:rPr>
          <w:rStyle w:val="TextoNormalCaracter"/>
        </w:rPr>
        <w:t>-</w:t>
      </w:r>
      <w:r>
        <w:t xml:space="preserve"> Sentencias </w:t>
      </w:r>
      <w:hyperlink w:anchor="SENTENCIA_2013_17" w:history="1">
        <w:r w:rsidRPr="00E27756">
          <w:rPr>
            <w:rStyle w:val="TextoNormalCaracter"/>
          </w:rPr>
          <w:t>17/2013</w:t>
        </w:r>
      </w:hyperlink>
      <w:r>
        <w:t xml:space="preserve">, f. 1, 11; </w:t>
      </w:r>
      <w:hyperlink w:anchor="SENTENCIA_2013_92" w:history="1">
        <w:r w:rsidRPr="00E27756">
          <w:rPr>
            <w:rStyle w:val="TextoNormalCaracter"/>
          </w:rPr>
          <w:t>92/2013</w:t>
        </w:r>
      </w:hyperlink>
      <w:r>
        <w:t>, f. 1.</w:t>
      </w:r>
    </w:p>
    <w:p w:rsidR="00E27756" w:rsidRDefault="00E27756" w:rsidP="00E27756">
      <w:pPr>
        <w:pStyle w:val="SangriaIzquierdaArticulo"/>
      </w:pPr>
      <w:r>
        <w:t xml:space="preserve">Autos </w:t>
      </w:r>
      <w:hyperlink w:anchor="AUTO_2013_104" w:history="1">
        <w:r w:rsidRPr="00E27756">
          <w:rPr>
            <w:rStyle w:val="TextoNormalCaracter"/>
          </w:rPr>
          <w:t>104/2013</w:t>
        </w:r>
      </w:hyperlink>
      <w:r>
        <w:t xml:space="preserve">, f. único; </w:t>
      </w:r>
      <w:hyperlink w:anchor="AUTO_2013_105" w:history="1">
        <w:r w:rsidRPr="00E27756">
          <w:rPr>
            <w:rStyle w:val="TextoNormalCaracter"/>
          </w:rPr>
          <w:t>105/2013</w:t>
        </w:r>
      </w:hyperlink>
      <w:r>
        <w:t xml:space="preserve">, f. único; </w:t>
      </w:r>
      <w:hyperlink w:anchor="AUTO_2013_106" w:history="1">
        <w:r w:rsidRPr="00E27756">
          <w:rPr>
            <w:rStyle w:val="TextoNormalCaracter"/>
          </w:rPr>
          <w:t>106/2013</w:t>
        </w:r>
      </w:hyperlink>
      <w:r>
        <w:t xml:space="preserve">, f. único; </w:t>
      </w:r>
      <w:hyperlink w:anchor="AUTO_2013_107" w:history="1">
        <w:r w:rsidRPr="00E27756">
          <w:rPr>
            <w:rStyle w:val="TextoNormalCaracter"/>
          </w:rPr>
          <w:t>107/2013</w:t>
        </w:r>
      </w:hyperlink>
      <w:r>
        <w:t xml:space="preserve">, f. único; </w:t>
      </w:r>
      <w:hyperlink w:anchor="AUTO_2013_108" w:history="1">
        <w:r w:rsidRPr="00E27756">
          <w:rPr>
            <w:rStyle w:val="TextoNormalCaracter"/>
          </w:rPr>
          <w:t>108/2013</w:t>
        </w:r>
      </w:hyperlink>
      <w:r>
        <w:t xml:space="preserve">, f. único; </w:t>
      </w:r>
      <w:hyperlink w:anchor="AUTO_2013_109" w:history="1">
        <w:r w:rsidRPr="00E27756">
          <w:rPr>
            <w:rStyle w:val="TextoNormalCaracter"/>
          </w:rPr>
          <w:t>109/2013</w:t>
        </w:r>
      </w:hyperlink>
      <w:r>
        <w:t xml:space="preserve">, f. único; </w:t>
      </w:r>
      <w:hyperlink w:anchor="AUTO_2013_110" w:history="1">
        <w:r w:rsidRPr="00E27756">
          <w:rPr>
            <w:rStyle w:val="TextoNormalCaracter"/>
          </w:rPr>
          <w:t>110/2013</w:t>
        </w:r>
      </w:hyperlink>
      <w:r>
        <w:t xml:space="preserve">, f. único; </w:t>
      </w:r>
      <w:hyperlink w:anchor="AUTO_2013_111" w:history="1">
        <w:r w:rsidRPr="00E27756">
          <w:rPr>
            <w:rStyle w:val="TextoNormalCaracter"/>
          </w:rPr>
          <w:t>111/2013</w:t>
        </w:r>
      </w:hyperlink>
      <w:r>
        <w:t xml:space="preserve">, f. único; </w:t>
      </w:r>
      <w:hyperlink w:anchor="AUTO_2013_112" w:history="1">
        <w:r w:rsidRPr="00E27756">
          <w:rPr>
            <w:rStyle w:val="TextoNormalCaracter"/>
          </w:rPr>
          <w:t>112/2013</w:t>
        </w:r>
      </w:hyperlink>
      <w:r>
        <w:t xml:space="preserve">, f. único; </w:t>
      </w:r>
      <w:hyperlink w:anchor="AUTO_2013_113" w:history="1">
        <w:r w:rsidRPr="00E27756">
          <w:rPr>
            <w:rStyle w:val="TextoNormalCaracter"/>
          </w:rPr>
          <w:t>113/2013</w:t>
        </w:r>
      </w:hyperlink>
      <w:r>
        <w:t xml:space="preserve">, f. único; </w:t>
      </w:r>
      <w:hyperlink w:anchor="AUTO_2013_114" w:history="1">
        <w:r w:rsidRPr="00E27756">
          <w:rPr>
            <w:rStyle w:val="TextoNormalCaracter"/>
          </w:rPr>
          <w:t>114/2013</w:t>
        </w:r>
      </w:hyperlink>
      <w:r>
        <w:t xml:space="preserve">, f. único; </w:t>
      </w:r>
      <w:hyperlink w:anchor="AUTO_2013_115" w:history="1">
        <w:r w:rsidRPr="00E27756">
          <w:rPr>
            <w:rStyle w:val="TextoNormalCaracter"/>
          </w:rPr>
          <w:t>115/2013</w:t>
        </w:r>
      </w:hyperlink>
      <w:r>
        <w:t xml:space="preserve">, f. único; </w:t>
      </w:r>
      <w:hyperlink w:anchor="AUTO_2013_117" w:history="1">
        <w:r w:rsidRPr="00E27756">
          <w:rPr>
            <w:rStyle w:val="TextoNormalCaracter"/>
          </w:rPr>
          <w:t>117/2013</w:t>
        </w:r>
      </w:hyperlink>
      <w:r>
        <w:t xml:space="preserve">, f. único; </w:t>
      </w:r>
      <w:hyperlink w:anchor="AUTO_2013_118" w:history="1">
        <w:r w:rsidRPr="00E27756">
          <w:rPr>
            <w:rStyle w:val="TextoNormalCaracter"/>
          </w:rPr>
          <w:t>118/2013</w:t>
        </w:r>
      </w:hyperlink>
      <w:r>
        <w:t xml:space="preserve">, f. único; </w:t>
      </w:r>
      <w:hyperlink w:anchor="AUTO_2013_119" w:history="1">
        <w:r w:rsidRPr="00E27756">
          <w:rPr>
            <w:rStyle w:val="TextoNormalCaracter"/>
          </w:rPr>
          <w:t>119/2013</w:t>
        </w:r>
      </w:hyperlink>
      <w:r>
        <w:t xml:space="preserve">, f. único; </w:t>
      </w:r>
      <w:hyperlink w:anchor="AUTO_2013_140" w:history="1">
        <w:r w:rsidRPr="00E27756">
          <w:rPr>
            <w:rStyle w:val="TextoNormalCaracter"/>
          </w:rPr>
          <w:t>140/2013</w:t>
        </w:r>
      </w:hyperlink>
      <w:r>
        <w:t>, f. único.</w:t>
      </w:r>
    </w:p>
    <w:p w:rsidR="00E27756" w:rsidRDefault="00E27756" w:rsidP="00E27756">
      <w:pPr>
        <w:pStyle w:val="SangriaFrancesaArticulo"/>
      </w:pPr>
      <w:r w:rsidRPr="00E27756">
        <w:rPr>
          <w:rStyle w:val="TextoNormalNegritaCaracter"/>
        </w:rPr>
        <w:t>Artículo 107.</w:t>
      </w:r>
      <w:r w:rsidRPr="00E27756">
        <w:rPr>
          <w:rStyle w:val="TextoNormalCaracter"/>
        </w:rPr>
        <w:t>-</w:t>
      </w:r>
      <w:r>
        <w:t xml:space="preserve"> Sentencia </w:t>
      </w:r>
      <w:hyperlink w:anchor="SENTENCIA_2013_36" w:history="1">
        <w:r w:rsidRPr="00E27756">
          <w:rPr>
            <w:rStyle w:val="TextoNormalCaracter"/>
          </w:rPr>
          <w:t>36/2013</w:t>
        </w:r>
      </w:hyperlink>
      <w:r>
        <w:t>, f. 1.</w:t>
      </w:r>
    </w:p>
    <w:p w:rsidR="00E27756" w:rsidRDefault="00E27756" w:rsidP="00E27756">
      <w:pPr>
        <w:pStyle w:val="SangriaFrancesaArticulo"/>
      </w:pPr>
      <w:r w:rsidRPr="00E27756">
        <w:rPr>
          <w:rStyle w:val="TextoNormalNegritaCaracter"/>
        </w:rPr>
        <w:t>Artículo 117.</w:t>
      </w:r>
      <w:r w:rsidRPr="00E27756">
        <w:rPr>
          <w:rStyle w:val="TextoNormalCaracter"/>
        </w:rPr>
        <w:t>-</w:t>
      </w:r>
      <w:r>
        <w:t xml:space="preserve"> Sentencias </w:t>
      </w:r>
      <w:hyperlink w:anchor="SENTENCIA_2013_11" w:history="1">
        <w:r w:rsidRPr="00E27756">
          <w:rPr>
            <w:rStyle w:val="TextoNormalCaracter"/>
          </w:rPr>
          <w:t>11/2013</w:t>
        </w:r>
      </w:hyperlink>
      <w:r>
        <w:t xml:space="preserve">, f. 3; </w:t>
      </w:r>
      <w:hyperlink w:anchor="SENTENCIA_2013_75" w:history="1">
        <w:r w:rsidRPr="00E27756">
          <w:rPr>
            <w:rStyle w:val="TextoNormalCaracter"/>
          </w:rPr>
          <w:t>75/2013</w:t>
        </w:r>
      </w:hyperlink>
      <w:r>
        <w:t xml:space="preserve">, f. 2; </w:t>
      </w:r>
      <w:hyperlink w:anchor="SENTENCIA_2013_90" w:history="1">
        <w:r w:rsidRPr="00E27756">
          <w:rPr>
            <w:rStyle w:val="TextoNormalCaracter"/>
          </w:rPr>
          <w:t>90/2013</w:t>
        </w:r>
      </w:hyperlink>
      <w:r>
        <w:t xml:space="preserve">, f. 3; </w:t>
      </w:r>
      <w:hyperlink w:anchor="SENTENCIA_2013_92" w:history="1">
        <w:r w:rsidRPr="00E27756">
          <w:rPr>
            <w:rStyle w:val="TextoNormalCaracter"/>
          </w:rPr>
          <w:t>92/2013</w:t>
        </w:r>
      </w:hyperlink>
      <w:r>
        <w:t>, f. 1.</w:t>
      </w:r>
    </w:p>
    <w:p w:rsidR="00E27756" w:rsidRDefault="00E27756" w:rsidP="00E27756">
      <w:pPr>
        <w:pStyle w:val="SangriaIzquierdaArticulo"/>
      </w:pPr>
      <w:r>
        <w:t xml:space="preserve">Autos </w:t>
      </w:r>
      <w:hyperlink w:anchor="AUTO_2013_104" w:history="1">
        <w:r w:rsidRPr="00E27756">
          <w:rPr>
            <w:rStyle w:val="TextoNormalCaracter"/>
          </w:rPr>
          <w:t>104/2013</w:t>
        </w:r>
      </w:hyperlink>
      <w:r>
        <w:t xml:space="preserve">, f. único; </w:t>
      </w:r>
      <w:hyperlink w:anchor="AUTO_2013_105" w:history="1">
        <w:r w:rsidRPr="00E27756">
          <w:rPr>
            <w:rStyle w:val="TextoNormalCaracter"/>
          </w:rPr>
          <w:t>105/2013</w:t>
        </w:r>
      </w:hyperlink>
      <w:r>
        <w:t xml:space="preserve">, f. único; </w:t>
      </w:r>
      <w:hyperlink w:anchor="AUTO_2013_106" w:history="1">
        <w:r w:rsidRPr="00E27756">
          <w:rPr>
            <w:rStyle w:val="TextoNormalCaracter"/>
          </w:rPr>
          <w:t>106/2013</w:t>
        </w:r>
      </w:hyperlink>
      <w:r>
        <w:t xml:space="preserve">, f. único; </w:t>
      </w:r>
      <w:hyperlink w:anchor="AUTO_2013_107" w:history="1">
        <w:r w:rsidRPr="00E27756">
          <w:rPr>
            <w:rStyle w:val="TextoNormalCaracter"/>
          </w:rPr>
          <w:t>107/2013</w:t>
        </w:r>
      </w:hyperlink>
      <w:r>
        <w:t xml:space="preserve">, f. único; </w:t>
      </w:r>
      <w:hyperlink w:anchor="AUTO_2013_108" w:history="1">
        <w:r w:rsidRPr="00E27756">
          <w:rPr>
            <w:rStyle w:val="TextoNormalCaracter"/>
          </w:rPr>
          <w:t>108/2013</w:t>
        </w:r>
      </w:hyperlink>
      <w:r>
        <w:t xml:space="preserve">, f. único; </w:t>
      </w:r>
      <w:hyperlink w:anchor="AUTO_2013_109" w:history="1">
        <w:r w:rsidRPr="00E27756">
          <w:rPr>
            <w:rStyle w:val="TextoNormalCaracter"/>
          </w:rPr>
          <w:t>109/2013</w:t>
        </w:r>
      </w:hyperlink>
      <w:r>
        <w:t xml:space="preserve">, f. único; </w:t>
      </w:r>
      <w:hyperlink w:anchor="AUTO_2013_110" w:history="1">
        <w:r w:rsidRPr="00E27756">
          <w:rPr>
            <w:rStyle w:val="TextoNormalCaracter"/>
          </w:rPr>
          <w:t>110/2013</w:t>
        </w:r>
      </w:hyperlink>
      <w:r>
        <w:t xml:space="preserve">, f. único; </w:t>
      </w:r>
      <w:hyperlink w:anchor="AUTO_2013_111" w:history="1">
        <w:r w:rsidRPr="00E27756">
          <w:rPr>
            <w:rStyle w:val="TextoNormalCaracter"/>
          </w:rPr>
          <w:t>111/2013</w:t>
        </w:r>
      </w:hyperlink>
      <w:r>
        <w:t xml:space="preserve">, f. único; </w:t>
      </w:r>
      <w:hyperlink w:anchor="AUTO_2013_112" w:history="1">
        <w:r w:rsidRPr="00E27756">
          <w:rPr>
            <w:rStyle w:val="TextoNormalCaracter"/>
          </w:rPr>
          <w:t>112/2013</w:t>
        </w:r>
      </w:hyperlink>
      <w:r>
        <w:t xml:space="preserve">, f. único; </w:t>
      </w:r>
      <w:hyperlink w:anchor="AUTO_2013_113" w:history="1">
        <w:r w:rsidRPr="00E27756">
          <w:rPr>
            <w:rStyle w:val="TextoNormalCaracter"/>
          </w:rPr>
          <w:t>113/2013</w:t>
        </w:r>
      </w:hyperlink>
      <w:r>
        <w:t xml:space="preserve">, f. único; </w:t>
      </w:r>
      <w:hyperlink w:anchor="AUTO_2013_114" w:history="1">
        <w:r w:rsidRPr="00E27756">
          <w:rPr>
            <w:rStyle w:val="TextoNormalCaracter"/>
          </w:rPr>
          <w:t>114/2013</w:t>
        </w:r>
      </w:hyperlink>
      <w:r>
        <w:t xml:space="preserve">, f. único; </w:t>
      </w:r>
      <w:hyperlink w:anchor="AUTO_2013_115" w:history="1">
        <w:r w:rsidRPr="00E27756">
          <w:rPr>
            <w:rStyle w:val="TextoNormalCaracter"/>
          </w:rPr>
          <w:t>115/2013</w:t>
        </w:r>
      </w:hyperlink>
      <w:r>
        <w:t xml:space="preserve">, f. único; </w:t>
      </w:r>
      <w:hyperlink w:anchor="AUTO_2013_117" w:history="1">
        <w:r w:rsidRPr="00E27756">
          <w:rPr>
            <w:rStyle w:val="TextoNormalCaracter"/>
          </w:rPr>
          <w:t>117/2013</w:t>
        </w:r>
      </w:hyperlink>
      <w:r>
        <w:t xml:space="preserve">, f. único; </w:t>
      </w:r>
      <w:hyperlink w:anchor="AUTO_2013_118" w:history="1">
        <w:r w:rsidRPr="00E27756">
          <w:rPr>
            <w:rStyle w:val="TextoNormalCaracter"/>
          </w:rPr>
          <w:t>118/2013</w:t>
        </w:r>
      </w:hyperlink>
      <w:r>
        <w:t xml:space="preserve">, f. único; </w:t>
      </w:r>
      <w:hyperlink w:anchor="AUTO_2013_119" w:history="1">
        <w:r w:rsidRPr="00E27756">
          <w:rPr>
            <w:rStyle w:val="TextoNormalCaracter"/>
          </w:rPr>
          <w:t>119/2013</w:t>
        </w:r>
      </w:hyperlink>
      <w:r>
        <w:t xml:space="preserve">, f. único; </w:t>
      </w:r>
      <w:hyperlink w:anchor="AUTO_2013_140" w:history="1">
        <w:r w:rsidRPr="00E27756">
          <w:rPr>
            <w:rStyle w:val="TextoNormalCaracter"/>
          </w:rPr>
          <w:t>140/2013</w:t>
        </w:r>
      </w:hyperlink>
      <w:r>
        <w:t>, f. único.</w:t>
      </w:r>
    </w:p>
    <w:p w:rsidR="00E27756" w:rsidRDefault="00E27756" w:rsidP="00E27756">
      <w:pPr>
        <w:pStyle w:val="SangriaFrancesaArticulo"/>
      </w:pPr>
      <w:r w:rsidRPr="00E27756">
        <w:rPr>
          <w:rStyle w:val="TextoNormalNegritaCaracter"/>
        </w:rPr>
        <w:t>Artículo 117.1.</w:t>
      </w:r>
      <w:r w:rsidRPr="00E27756">
        <w:rPr>
          <w:rStyle w:val="TextoNormalCaracter"/>
        </w:rPr>
        <w:t>-</w:t>
      </w:r>
      <w:r>
        <w:t xml:space="preserve"> Sentencia </w:t>
      </w:r>
      <w:hyperlink w:anchor="SENTENCIA_2013_57" w:history="1">
        <w:r w:rsidRPr="00E27756">
          <w:rPr>
            <w:rStyle w:val="TextoNormalCaracter"/>
          </w:rPr>
          <w:t>57/2013</w:t>
        </w:r>
      </w:hyperlink>
      <w:r>
        <w:t>, f. 6.</w:t>
      </w:r>
    </w:p>
    <w:p w:rsidR="00E27756" w:rsidRDefault="00E27756" w:rsidP="00E27756">
      <w:pPr>
        <w:pStyle w:val="SangriaFrancesaArticulo"/>
      </w:pPr>
      <w:r w:rsidRPr="00E27756">
        <w:rPr>
          <w:rStyle w:val="TextoNormalNegritaCaracter"/>
        </w:rPr>
        <w:lastRenderedPageBreak/>
        <w:t>Artículo 117.3.</w:t>
      </w:r>
      <w:r w:rsidRPr="00E27756">
        <w:rPr>
          <w:rStyle w:val="TextoNormalCaracter"/>
        </w:rPr>
        <w:t>-</w:t>
      </w:r>
      <w:r>
        <w:t xml:space="preserve"> Sentencias </w:t>
      </w:r>
      <w:hyperlink w:anchor="SENTENCIA_2013_22" w:history="1">
        <w:r w:rsidRPr="00E27756">
          <w:rPr>
            <w:rStyle w:val="TextoNormalCaracter"/>
          </w:rPr>
          <w:t>22/2013</w:t>
        </w:r>
      </w:hyperlink>
      <w:r>
        <w:t xml:space="preserve">, f. 4; </w:t>
      </w:r>
      <w:hyperlink w:anchor="SENTENCIA_2013_28" w:history="1">
        <w:r w:rsidRPr="00E27756">
          <w:rPr>
            <w:rStyle w:val="TextoNormalCaracter"/>
          </w:rPr>
          <w:t>28/2013</w:t>
        </w:r>
      </w:hyperlink>
      <w:r>
        <w:t xml:space="preserve">, f. 2; </w:t>
      </w:r>
      <w:hyperlink w:anchor="SENTENCIA_2013_57" w:history="1">
        <w:r w:rsidRPr="00E27756">
          <w:rPr>
            <w:rStyle w:val="TextoNormalCaracter"/>
          </w:rPr>
          <w:t>57/2013</w:t>
        </w:r>
      </w:hyperlink>
      <w:r>
        <w:t xml:space="preserve">, f. 6; </w:t>
      </w:r>
      <w:hyperlink w:anchor="SENTENCIA_2013_87" w:history="1">
        <w:r w:rsidRPr="00E27756">
          <w:rPr>
            <w:rStyle w:val="TextoNormalCaracter"/>
          </w:rPr>
          <w:t>87/2013</w:t>
        </w:r>
      </w:hyperlink>
      <w:r>
        <w:t xml:space="preserve">, f. 2; </w:t>
      </w:r>
      <w:hyperlink w:anchor="SENTENCIA_2013_90" w:history="1">
        <w:r w:rsidRPr="00E27756">
          <w:rPr>
            <w:rStyle w:val="TextoNormalCaracter"/>
          </w:rPr>
          <w:t>90/2013</w:t>
        </w:r>
      </w:hyperlink>
      <w:r>
        <w:t xml:space="preserve">, f. 3; </w:t>
      </w:r>
      <w:hyperlink w:anchor="SENTENCIA_2013_92" w:history="1">
        <w:r w:rsidRPr="00E27756">
          <w:rPr>
            <w:rStyle w:val="TextoNormalCaracter"/>
          </w:rPr>
          <w:t>92/2013</w:t>
        </w:r>
      </w:hyperlink>
      <w:r>
        <w:t xml:space="preserve">, ff. 5, 6; </w:t>
      </w:r>
      <w:hyperlink w:anchor="SENTENCIA_2013_99" w:history="1">
        <w:r w:rsidRPr="00E27756">
          <w:rPr>
            <w:rStyle w:val="TextoNormalCaracter"/>
          </w:rPr>
          <w:t>99/2013</w:t>
        </w:r>
      </w:hyperlink>
      <w:r>
        <w:t xml:space="preserve">, f. 2; </w:t>
      </w:r>
      <w:hyperlink w:anchor="SENTENCIA_2013_121" w:history="1">
        <w:r w:rsidRPr="00E27756">
          <w:rPr>
            <w:rStyle w:val="TextoNormalCaracter"/>
          </w:rPr>
          <w:t>121/2013</w:t>
        </w:r>
      </w:hyperlink>
      <w:r>
        <w:t xml:space="preserve">, f. 3; </w:t>
      </w:r>
      <w:hyperlink w:anchor="SENTENCIA_2013_128" w:history="1">
        <w:r w:rsidRPr="00E27756">
          <w:rPr>
            <w:rStyle w:val="TextoNormalCaracter"/>
          </w:rPr>
          <w:t>128/2013</w:t>
        </w:r>
      </w:hyperlink>
      <w:r>
        <w:t xml:space="preserve">, f. 4; </w:t>
      </w:r>
      <w:hyperlink w:anchor="SENTENCIA_2013_129" w:history="1">
        <w:r w:rsidRPr="00E27756">
          <w:rPr>
            <w:rStyle w:val="TextoNormalCaracter"/>
          </w:rPr>
          <w:t>129/2013</w:t>
        </w:r>
      </w:hyperlink>
      <w:r>
        <w:t xml:space="preserve">, f. 1; </w:t>
      </w:r>
      <w:hyperlink w:anchor="SENTENCIA_2013_135" w:history="1">
        <w:r w:rsidRPr="00E27756">
          <w:rPr>
            <w:rStyle w:val="TextoNormalCaracter"/>
          </w:rPr>
          <w:t>135/2013</w:t>
        </w:r>
      </w:hyperlink>
      <w:r>
        <w:t>, ff. 1, 6.</w:t>
      </w:r>
    </w:p>
    <w:p w:rsidR="00E27756" w:rsidRDefault="00E27756" w:rsidP="00E27756">
      <w:pPr>
        <w:pStyle w:val="SangriaIzquierdaArticulo"/>
      </w:pPr>
      <w:r>
        <w:t xml:space="preserve">Autos </w:t>
      </w:r>
      <w:hyperlink w:anchor="AUTO_2013_20" w:history="1">
        <w:r w:rsidRPr="00E27756">
          <w:rPr>
            <w:rStyle w:val="TextoNormalCaracter"/>
          </w:rPr>
          <w:t>20/2013</w:t>
        </w:r>
      </w:hyperlink>
      <w:r>
        <w:t xml:space="preserve">, f. 1; </w:t>
      </w:r>
      <w:hyperlink w:anchor="AUTO_2013_30" w:history="1">
        <w:r w:rsidRPr="00E27756">
          <w:rPr>
            <w:rStyle w:val="TextoNormalCaracter"/>
          </w:rPr>
          <w:t>30/2013</w:t>
        </w:r>
      </w:hyperlink>
      <w:r>
        <w:t xml:space="preserve">, F. 1; </w:t>
      </w:r>
      <w:hyperlink w:anchor="AUTO_2013_31" w:history="1">
        <w:r w:rsidRPr="00E27756">
          <w:rPr>
            <w:rStyle w:val="TextoNormalCaracter"/>
          </w:rPr>
          <w:t>31/2013</w:t>
        </w:r>
      </w:hyperlink>
      <w:r>
        <w:t xml:space="preserve">, f. 1; </w:t>
      </w:r>
      <w:hyperlink w:anchor="AUTO_2013_32" w:history="1">
        <w:r w:rsidRPr="00E27756">
          <w:rPr>
            <w:rStyle w:val="TextoNormalCaracter"/>
          </w:rPr>
          <w:t>32/2013</w:t>
        </w:r>
      </w:hyperlink>
      <w:r>
        <w:t xml:space="preserve">, f. 1; </w:t>
      </w:r>
      <w:hyperlink w:anchor="AUTO_2013_61" w:history="1">
        <w:r w:rsidRPr="00E27756">
          <w:rPr>
            <w:rStyle w:val="TextoNormalCaracter"/>
          </w:rPr>
          <w:t>61/2013</w:t>
        </w:r>
      </w:hyperlink>
      <w:r>
        <w:t xml:space="preserve">, f. 1; </w:t>
      </w:r>
      <w:hyperlink w:anchor="AUTO_2013_64" w:history="1">
        <w:r w:rsidRPr="00E27756">
          <w:rPr>
            <w:rStyle w:val="TextoNormalCaracter"/>
          </w:rPr>
          <w:t>64/2013</w:t>
        </w:r>
      </w:hyperlink>
      <w:r>
        <w:t xml:space="preserve">, f. 1; </w:t>
      </w:r>
      <w:hyperlink w:anchor="AUTO_2013_85" w:history="1">
        <w:r w:rsidRPr="00E27756">
          <w:rPr>
            <w:rStyle w:val="TextoNormalCaracter"/>
          </w:rPr>
          <w:t>85/2013</w:t>
        </w:r>
      </w:hyperlink>
      <w:r>
        <w:t xml:space="preserve">, f. 2; </w:t>
      </w:r>
      <w:hyperlink w:anchor="AUTO_2013_116" w:history="1">
        <w:r w:rsidRPr="00E27756">
          <w:rPr>
            <w:rStyle w:val="TextoNormalCaracter"/>
          </w:rPr>
          <w:t>116/2013</w:t>
        </w:r>
      </w:hyperlink>
      <w:r>
        <w:t xml:space="preserve">, f. 1; </w:t>
      </w:r>
      <w:hyperlink w:anchor="AUTO_2013_125" w:history="1">
        <w:r w:rsidRPr="00E27756">
          <w:rPr>
            <w:rStyle w:val="TextoNormalCaracter"/>
          </w:rPr>
          <w:t>125/2013</w:t>
        </w:r>
      </w:hyperlink>
      <w:r>
        <w:t xml:space="preserve">, f. 2; </w:t>
      </w:r>
      <w:hyperlink w:anchor="AUTO_2013_127" w:history="1">
        <w:r w:rsidRPr="00E27756">
          <w:rPr>
            <w:rStyle w:val="TextoNormalCaracter"/>
          </w:rPr>
          <w:t>127/2013</w:t>
        </w:r>
      </w:hyperlink>
      <w:r>
        <w:t xml:space="preserve">, f. 2; </w:t>
      </w:r>
      <w:hyperlink w:anchor="AUTO_2013_128" w:history="1">
        <w:r w:rsidRPr="00E27756">
          <w:rPr>
            <w:rStyle w:val="TextoNormalCaracter"/>
          </w:rPr>
          <w:t>128/2013</w:t>
        </w:r>
      </w:hyperlink>
      <w:r>
        <w:t xml:space="preserve">, f. 2; </w:t>
      </w:r>
      <w:hyperlink w:anchor="AUTO_2013_133" w:history="1">
        <w:r w:rsidRPr="00E27756">
          <w:rPr>
            <w:rStyle w:val="TextoNormalCaracter"/>
          </w:rPr>
          <w:t>133/2013</w:t>
        </w:r>
      </w:hyperlink>
      <w:r>
        <w:t xml:space="preserve">, f. 1; </w:t>
      </w:r>
      <w:hyperlink w:anchor="AUTO_2013_136" w:history="1">
        <w:r w:rsidRPr="00E27756">
          <w:rPr>
            <w:rStyle w:val="TextoNormalCaracter"/>
          </w:rPr>
          <w:t>136/2013</w:t>
        </w:r>
      </w:hyperlink>
      <w:r>
        <w:t xml:space="preserve">, f. 1; </w:t>
      </w:r>
      <w:hyperlink w:anchor="AUTO_2013_137" w:history="1">
        <w:r w:rsidRPr="00E27756">
          <w:rPr>
            <w:rStyle w:val="TextoNormalCaracter"/>
          </w:rPr>
          <w:t>137/2013</w:t>
        </w:r>
      </w:hyperlink>
      <w:r>
        <w:t xml:space="preserve">, f. 1; </w:t>
      </w:r>
      <w:hyperlink w:anchor="AUTO_2013_139" w:history="1">
        <w:r w:rsidRPr="00E27756">
          <w:rPr>
            <w:rStyle w:val="TextoNormalCaracter"/>
          </w:rPr>
          <w:t>139/2013</w:t>
        </w:r>
      </w:hyperlink>
      <w:r>
        <w:t>, f. 1.</w:t>
      </w:r>
    </w:p>
    <w:p w:rsidR="00E27756" w:rsidRDefault="00E27756" w:rsidP="00E27756">
      <w:pPr>
        <w:pStyle w:val="SangriaFrancesaArticulo"/>
      </w:pPr>
      <w:r w:rsidRPr="00E27756">
        <w:rPr>
          <w:rStyle w:val="TextoNormalNegritaCaracter"/>
        </w:rPr>
        <w:t>Artículo 118.</w:t>
      </w:r>
      <w:r w:rsidRPr="00E27756">
        <w:rPr>
          <w:rStyle w:val="TextoNormalCaracter"/>
        </w:rPr>
        <w:t>-</w:t>
      </w:r>
      <w:r>
        <w:t xml:space="preserve"> Sentencias </w:t>
      </w:r>
      <w:hyperlink w:anchor="SENTENCIA_2013_92" w:history="1">
        <w:r w:rsidRPr="00E27756">
          <w:rPr>
            <w:rStyle w:val="TextoNormalCaracter"/>
          </w:rPr>
          <w:t>92/2013</w:t>
        </w:r>
      </w:hyperlink>
      <w:r>
        <w:t xml:space="preserve">, ff. 1, 5; </w:t>
      </w:r>
      <w:hyperlink w:anchor="SENTENCIA_2013_129" w:history="1">
        <w:r w:rsidRPr="00E27756">
          <w:rPr>
            <w:rStyle w:val="TextoNormalCaracter"/>
          </w:rPr>
          <w:t>129/2013</w:t>
        </w:r>
      </w:hyperlink>
      <w:r>
        <w:t>, f. 1.</w:t>
      </w:r>
    </w:p>
    <w:p w:rsidR="00E27756" w:rsidRDefault="00E27756" w:rsidP="00E27756">
      <w:pPr>
        <w:pStyle w:val="SangriaIzquierdaArticulo"/>
      </w:pPr>
      <w:r>
        <w:t xml:space="preserve">Autos </w:t>
      </w:r>
      <w:hyperlink w:anchor="AUTO_2013_30" w:history="1">
        <w:r w:rsidRPr="00E27756">
          <w:rPr>
            <w:rStyle w:val="TextoNormalCaracter"/>
          </w:rPr>
          <w:t>30/2013</w:t>
        </w:r>
      </w:hyperlink>
      <w:r>
        <w:t xml:space="preserve">, F. 1; </w:t>
      </w:r>
      <w:hyperlink w:anchor="AUTO_2013_31" w:history="1">
        <w:r w:rsidRPr="00E27756">
          <w:rPr>
            <w:rStyle w:val="TextoNormalCaracter"/>
          </w:rPr>
          <w:t>31/2013</w:t>
        </w:r>
      </w:hyperlink>
      <w:r>
        <w:t xml:space="preserve">, f. 1; </w:t>
      </w:r>
      <w:hyperlink w:anchor="AUTO_2013_32" w:history="1">
        <w:r w:rsidRPr="00E27756">
          <w:rPr>
            <w:rStyle w:val="TextoNormalCaracter"/>
          </w:rPr>
          <w:t>32/2013</w:t>
        </w:r>
      </w:hyperlink>
      <w:r>
        <w:t xml:space="preserve">, f. 1; </w:t>
      </w:r>
      <w:hyperlink w:anchor="AUTO_2013_104" w:history="1">
        <w:r w:rsidRPr="00E27756">
          <w:rPr>
            <w:rStyle w:val="TextoNormalCaracter"/>
          </w:rPr>
          <w:t>104/2013</w:t>
        </w:r>
      </w:hyperlink>
      <w:r>
        <w:t xml:space="preserve">, f. único; </w:t>
      </w:r>
      <w:hyperlink w:anchor="AUTO_2013_105" w:history="1">
        <w:r w:rsidRPr="00E27756">
          <w:rPr>
            <w:rStyle w:val="TextoNormalCaracter"/>
          </w:rPr>
          <w:t>105/2013</w:t>
        </w:r>
      </w:hyperlink>
      <w:r>
        <w:t xml:space="preserve">, f. único; </w:t>
      </w:r>
      <w:hyperlink w:anchor="AUTO_2013_106" w:history="1">
        <w:r w:rsidRPr="00E27756">
          <w:rPr>
            <w:rStyle w:val="TextoNormalCaracter"/>
          </w:rPr>
          <w:t>106/2013</w:t>
        </w:r>
      </w:hyperlink>
      <w:r>
        <w:t xml:space="preserve">, f. único; </w:t>
      </w:r>
      <w:hyperlink w:anchor="AUTO_2013_107" w:history="1">
        <w:r w:rsidRPr="00E27756">
          <w:rPr>
            <w:rStyle w:val="TextoNormalCaracter"/>
          </w:rPr>
          <w:t>107/2013</w:t>
        </w:r>
      </w:hyperlink>
      <w:r>
        <w:t xml:space="preserve">, f. único; </w:t>
      </w:r>
      <w:hyperlink w:anchor="AUTO_2013_108" w:history="1">
        <w:r w:rsidRPr="00E27756">
          <w:rPr>
            <w:rStyle w:val="TextoNormalCaracter"/>
          </w:rPr>
          <w:t>108/2013</w:t>
        </w:r>
      </w:hyperlink>
      <w:r>
        <w:t xml:space="preserve">, f. único; </w:t>
      </w:r>
      <w:hyperlink w:anchor="AUTO_2013_109" w:history="1">
        <w:r w:rsidRPr="00E27756">
          <w:rPr>
            <w:rStyle w:val="TextoNormalCaracter"/>
          </w:rPr>
          <w:t>109/2013</w:t>
        </w:r>
      </w:hyperlink>
      <w:r>
        <w:t xml:space="preserve">, f. único; </w:t>
      </w:r>
      <w:hyperlink w:anchor="AUTO_2013_110" w:history="1">
        <w:r w:rsidRPr="00E27756">
          <w:rPr>
            <w:rStyle w:val="TextoNormalCaracter"/>
          </w:rPr>
          <w:t>110/2013</w:t>
        </w:r>
      </w:hyperlink>
      <w:r>
        <w:t xml:space="preserve">, f. único; </w:t>
      </w:r>
      <w:hyperlink w:anchor="AUTO_2013_111" w:history="1">
        <w:r w:rsidRPr="00E27756">
          <w:rPr>
            <w:rStyle w:val="TextoNormalCaracter"/>
          </w:rPr>
          <w:t>111/2013</w:t>
        </w:r>
      </w:hyperlink>
      <w:r>
        <w:t xml:space="preserve">, f. único; </w:t>
      </w:r>
      <w:hyperlink w:anchor="AUTO_2013_112" w:history="1">
        <w:r w:rsidRPr="00E27756">
          <w:rPr>
            <w:rStyle w:val="TextoNormalCaracter"/>
          </w:rPr>
          <w:t>112/2013</w:t>
        </w:r>
      </w:hyperlink>
      <w:r>
        <w:t xml:space="preserve">, f. único; </w:t>
      </w:r>
      <w:hyperlink w:anchor="AUTO_2013_113" w:history="1">
        <w:r w:rsidRPr="00E27756">
          <w:rPr>
            <w:rStyle w:val="TextoNormalCaracter"/>
          </w:rPr>
          <w:t>113/2013</w:t>
        </w:r>
      </w:hyperlink>
      <w:r>
        <w:t xml:space="preserve">, f. único; </w:t>
      </w:r>
      <w:hyperlink w:anchor="AUTO_2013_114" w:history="1">
        <w:r w:rsidRPr="00E27756">
          <w:rPr>
            <w:rStyle w:val="TextoNormalCaracter"/>
          </w:rPr>
          <w:t>114/2013</w:t>
        </w:r>
      </w:hyperlink>
      <w:r>
        <w:t xml:space="preserve">, f. único; </w:t>
      </w:r>
      <w:hyperlink w:anchor="AUTO_2013_115" w:history="1">
        <w:r w:rsidRPr="00E27756">
          <w:rPr>
            <w:rStyle w:val="TextoNormalCaracter"/>
          </w:rPr>
          <w:t>115/2013</w:t>
        </w:r>
      </w:hyperlink>
      <w:r>
        <w:t xml:space="preserve">, f. único; </w:t>
      </w:r>
      <w:hyperlink w:anchor="AUTO_2013_117" w:history="1">
        <w:r w:rsidRPr="00E27756">
          <w:rPr>
            <w:rStyle w:val="TextoNormalCaracter"/>
          </w:rPr>
          <w:t>117/2013</w:t>
        </w:r>
      </w:hyperlink>
      <w:r>
        <w:t xml:space="preserve">, f. único; </w:t>
      </w:r>
      <w:hyperlink w:anchor="AUTO_2013_118" w:history="1">
        <w:r w:rsidRPr="00E27756">
          <w:rPr>
            <w:rStyle w:val="TextoNormalCaracter"/>
          </w:rPr>
          <w:t>118/2013</w:t>
        </w:r>
      </w:hyperlink>
      <w:r>
        <w:t xml:space="preserve">, f. único; </w:t>
      </w:r>
      <w:hyperlink w:anchor="AUTO_2013_119" w:history="1">
        <w:r w:rsidRPr="00E27756">
          <w:rPr>
            <w:rStyle w:val="TextoNormalCaracter"/>
          </w:rPr>
          <w:t>119/2013</w:t>
        </w:r>
      </w:hyperlink>
      <w:r>
        <w:t xml:space="preserve">, f. único; </w:t>
      </w:r>
      <w:hyperlink w:anchor="AUTO_2013_140" w:history="1">
        <w:r w:rsidRPr="00E27756">
          <w:rPr>
            <w:rStyle w:val="TextoNormalCaracter"/>
          </w:rPr>
          <w:t>140/2013</w:t>
        </w:r>
      </w:hyperlink>
      <w:r>
        <w:t>, f. único.</w:t>
      </w:r>
    </w:p>
    <w:p w:rsidR="00E27756" w:rsidRDefault="00E27756" w:rsidP="00E27756">
      <w:pPr>
        <w:pStyle w:val="SangriaFrancesaArticulo"/>
      </w:pPr>
      <w:r w:rsidRPr="00E27756">
        <w:rPr>
          <w:rStyle w:val="TextoNormalNegritaCaracter"/>
        </w:rPr>
        <w:t>Artículo 119.</w:t>
      </w:r>
      <w:r w:rsidRPr="00E27756">
        <w:rPr>
          <w:rStyle w:val="TextoNormalCaracter"/>
        </w:rPr>
        <w:t>-</w:t>
      </w:r>
      <w:r>
        <w:t xml:space="preserve"> Auto </w:t>
      </w:r>
      <w:hyperlink w:anchor="AUTO_2013_122" w:history="1">
        <w:r w:rsidRPr="00E27756">
          <w:rPr>
            <w:rStyle w:val="TextoNormalCaracter"/>
          </w:rPr>
          <w:t>122/2013</w:t>
        </w:r>
      </w:hyperlink>
      <w:r>
        <w:t>, f. 4.</w:t>
      </w:r>
    </w:p>
    <w:p w:rsidR="00E27756" w:rsidRDefault="00E27756" w:rsidP="00E27756">
      <w:pPr>
        <w:pStyle w:val="SangriaFrancesaArticulo"/>
      </w:pPr>
      <w:r w:rsidRPr="00E27756">
        <w:rPr>
          <w:rStyle w:val="TextoNormalNegritaCaracter"/>
        </w:rPr>
        <w:t>Artículo 119.3.</w:t>
      </w:r>
      <w:r w:rsidRPr="00E27756">
        <w:rPr>
          <w:rStyle w:val="TextoNormalCaracter"/>
        </w:rPr>
        <w:t>-</w:t>
      </w:r>
      <w:r>
        <w:t xml:space="preserve"> Sentencia </w:t>
      </w:r>
      <w:hyperlink w:anchor="SENTENCIA_2013_57" w:history="1">
        <w:r w:rsidRPr="00E27756">
          <w:rPr>
            <w:rStyle w:val="TextoNormalCaracter"/>
          </w:rPr>
          <w:t>57/2013</w:t>
        </w:r>
      </w:hyperlink>
      <w:r>
        <w:t>, f. 6.</w:t>
      </w:r>
    </w:p>
    <w:p w:rsidR="00E27756" w:rsidRDefault="00E27756" w:rsidP="00E27756">
      <w:pPr>
        <w:pStyle w:val="SangriaFrancesaArticulo"/>
      </w:pPr>
      <w:r w:rsidRPr="00E27756">
        <w:rPr>
          <w:rStyle w:val="TextoNormalNegritaCaracter"/>
        </w:rPr>
        <w:t>Artículo 120.3.</w:t>
      </w:r>
      <w:r w:rsidRPr="00E27756">
        <w:rPr>
          <w:rStyle w:val="TextoNormalCaracter"/>
        </w:rPr>
        <w:t>-</w:t>
      </w:r>
      <w:r>
        <w:t xml:space="preserve"> Sentencias </w:t>
      </w:r>
      <w:hyperlink w:anchor="SENTENCIA_2013_56" w:history="1">
        <w:r w:rsidRPr="00E27756">
          <w:rPr>
            <w:rStyle w:val="TextoNormalCaracter"/>
          </w:rPr>
          <w:t>56/2013</w:t>
        </w:r>
      </w:hyperlink>
      <w:r>
        <w:t xml:space="preserve">, f. 2; </w:t>
      </w:r>
      <w:hyperlink w:anchor="SENTENCIA_2013_133" w:history="1">
        <w:r w:rsidRPr="00E27756">
          <w:rPr>
            <w:rStyle w:val="TextoNormalCaracter"/>
          </w:rPr>
          <w:t>133/2013</w:t>
        </w:r>
      </w:hyperlink>
      <w:r>
        <w:t>, f. 5.</w:t>
      </w:r>
    </w:p>
    <w:p w:rsidR="00E27756" w:rsidRDefault="00E27756" w:rsidP="00E27756">
      <w:pPr>
        <w:pStyle w:val="SangriaFrancesaArticulo"/>
      </w:pPr>
      <w:r w:rsidRPr="00E27756">
        <w:rPr>
          <w:rStyle w:val="TextoNormalNegritaCaracter"/>
        </w:rPr>
        <w:t>Artículo 123.1.</w:t>
      </w:r>
      <w:r w:rsidRPr="00E27756">
        <w:rPr>
          <w:rStyle w:val="TextoNormalCaracter"/>
        </w:rPr>
        <w:t>-</w:t>
      </w:r>
      <w:r>
        <w:t xml:space="preserve"> Sentencias </w:t>
      </w:r>
      <w:hyperlink w:anchor="SENTENCIA_2013_57" w:history="1">
        <w:r w:rsidRPr="00E27756">
          <w:rPr>
            <w:rStyle w:val="TextoNormalCaracter"/>
          </w:rPr>
          <w:t>57/2013</w:t>
        </w:r>
      </w:hyperlink>
      <w:r>
        <w:t xml:space="preserve">, f. 6; </w:t>
      </w:r>
      <w:hyperlink w:anchor="SENTENCIA_2013_133" w:history="1">
        <w:r w:rsidRPr="00E27756">
          <w:rPr>
            <w:rStyle w:val="TextoNormalCaracter"/>
          </w:rPr>
          <w:t>133/2013</w:t>
        </w:r>
      </w:hyperlink>
      <w:r>
        <w:t>, f. 6.</w:t>
      </w:r>
    </w:p>
    <w:p w:rsidR="00E27756" w:rsidRDefault="00E27756" w:rsidP="00E27756">
      <w:pPr>
        <w:pStyle w:val="SangriaIzquierdaArticulo"/>
      </w:pPr>
      <w:r>
        <w:t xml:space="preserve">Auto </w:t>
      </w:r>
      <w:hyperlink w:anchor="AUTO_2013_28" w:history="1">
        <w:r w:rsidRPr="00E27756">
          <w:rPr>
            <w:rStyle w:val="TextoNormalCaracter"/>
          </w:rPr>
          <w:t>28/2013</w:t>
        </w:r>
      </w:hyperlink>
      <w:r>
        <w:t>, VP I.</w:t>
      </w:r>
    </w:p>
    <w:p w:rsidR="00E27756" w:rsidRDefault="00E27756" w:rsidP="00E27756">
      <w:pPr>
        <w:pStyle w:val="SangriaFrancesaArticulo"/>
      </w:pPr>
      <w:r w:rsidRPr="00E27756">
        <w:rPr>
          <w:rStyle w:val="TextoNormalNegritaCaracter"/>
        </w:rPr>
        <w:t>Artículo 124.</w:t>
      </w:r>
      <w:r w:rsidRPr="00E27756">
        <w:rPr>
          <w:rStyle w:val="TextoNormalCaracter"/>
        </w:rPr>
        <w:t>-</w:t>
      </w:r>
      <w:r>
        <w:t xml:space="preserve"> Sentencia </w:t>
      </w:r>
      <w:hyperlink w:anchor="SENTENCIA_2013_75" w:history="1">
        <w:r w:rsidRPr="00E27756">
          <w:rPr>
            <w:rStyle w:val="TextoNormalCaracter"/>
          </w:rPr>
          <w:t>75/2013</w:t>
        </w:r>
      </w:hyperlink>
      <w:r>
        <w:t>, f. 2.</w:t>
      </w:r>
    </w:p>
    <w:p w:rsidR="00E27756" w:rsidRDefault="00E27756" w:rsidP="00E27756">
      <w:pPr>
        <w:pStyle w:val="SangriaFrancesaArticulo"/>
      </w:pPr>
      <w:r w:rsidRPr="00E27756">
        <w:rPr>
          <w:rStyle w:val="TextoNormalNegritaCaracter"/>
        </w:rPr>
        <w:t>Artículo 128.</w:t>
      </w:r>
      <w:r w:rsidRPr="00E27756">
        <w:rPr>
          <w:rStyle w:val="TextoNormalCaracter"/>
        </w:rPr>
        <w:t>-</w:t>
      </w:r>
      <w:r>
        <w:t xml:space="preserve"> Sentencia </w:t>
      </w:r>
      <w:hyperlink w:anchor="SENTENCIA_2013_96" w:history="1">
        <w:r w:rsidRPr="00E27756">
          <w:rPr>
            <w:rStyle w:val="TextoNormalCaracter"/>
          </w:rPr>
          <w:t>96/2013</w:t>
        </w:r>
      </w:hyperlink>
      <w:r>
        <w:t>, f. 6.</w:t>
      </w:r>
    </w:p>
    <w:p w:rsidR="00E27756" w:rsidRDefault="00E27756" w:rsidP="00E27756">
      <w:pPr>
        <w:pStyle w:val="SangriaFrancesaArticulo"/>
      </w:pPr>
      <w:r w:rsidRPr="00E27756">
        <w:rPr>
          <w:rStyle w:val="TextoNormalNegritaCaracter"/>
        </w:rPr>
        <w:t>Artículo 128.1.</w:t>
      </w:r>
      <w:r w:rsidRPr="00E27756">
        <w:rPr>
          <w:rStyle w:val="TextoNormalCaracter"/>
        </w:rPr>
        <w:t>-</w:t>
      </w:r>
      <w:r>
        <w:t xml:space="preserve"> Sentencias </w:t>
      </w:r>
      <w:hyperlink w:anchor="SENTENCIA_2013_69" w:history="1">
        <w:r w:rsidRPr="00E27756">
          <w:rPr>
            <w:rStyle w:val="TextoNormalCaracter"/>
          </w:rPr>
          <w:t>69/2013</w:t>
        </w:r>
      </w:hyperlink>
      <w:r>
        <w:t xml:space="preserve">, f. 2; </w:t>
      </w:r>
      <w:hyperlink w:anchor="SENTENCIA_2013_130" w:history="1">
        <w:r w:rsidRPr="00E27756">
          <w:rPr>
            <w:rStyle w:val="TextoNormalCaracter"/>
          </w:rPr>
          <w:t>130/2013</w:t>
        </w:r>
      </w:hyperlink>
      <w:r>
        <w:t xml:space="preserve">, ff. 3, 5, 6, VP; </w:t>
      </w:r>
      <w:hyperlink w:anchor="SENTENCIA_2013_135" w:history="1">
        <w:r w:rsidRPr="00E27756">
          <w:rPr>
            <w:rStyle w:val="TextoNormalCaracter"/>
          </w:rPr>
          <w:t>135/2013</w:t>
        </w:r>
      </w:hyperlink>
      <w:r>
        <w:t xml:space="preserve">, f. 3; </w:t>
      </w:r>
      <w:hyperlink w:anchor="SENTENCIA_2013_138" w:history="1">
        <w:r w:rsidRPr="00E27756">
          <w:rPr>
            <w:rStyle w:val="TextoNormalCaracter"/>
          </w:rPr>
          <w:t>138/2013</w:t>
        </w:r>
      </w:hyperlink>
      <w:r>
        <w:t>, f. 3.</w:t>
      </w:r>
    </w:p>
    <w:p w:rsidR="00E27756" w:rsidRDefault="00E27756" w:rsidP="00E27756">
      <w:pPr>
        <w:pStyle w:val="SangriaFrancesaArticulo"/>
      </w:pPr>
      <w:r w:rsidRPr="00E27756">
        <w:rPr>
          <w:rStyle w:val="TextoNormalNegritaCaracter"/>
        </w:rPr>
        <w:t>Artículo 129.1.</w:t>
      </w:r>
      <w:r w:rsidRPr="00E27756">
        <w:rPr>
          <w:rStyle w:val="TextoNormalCaracter"/>
        </w:rPr>
        <w:t>-</w:t>
      </w:r>
      <w:r>
        <w:t xml:space="preserve"> Sentencia </w:t>
      </w:r>
      <w:hyperlink w:anchor="SENTENCIA_2013_51" w:history="1">
        <w:r w:rsidRPr="00E27756">
          <w:rPr>
            <w:rStyle w:val="TextoNormalCaracter"/>
          </w:rPr>
          <w:t>51/2013</w:t>
        </w:r>
      </w:hyperlink>
      <w:r>
        <w:t>, f. 2.</w:t>
      </w:r>
    </w:p>
    <w:p w:rsidR="00E27756" w:rsidRDefault="00E27756" w:rsidP="00E27756">
      <w:pPr>
        <w:pStyle w:val="SangriaFrancesaArticulo"/>
      </w:pPr>
      <w:r w:rsidRPr="00E27756">
        <w:rPr>
          <w:rStyle w:val="TextoNormalNegritaCaracter"/>
        </w:rPr>
        <w:t>Artículo 131.</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63" w:history="1">
        <w:r w:rsidRPr="00E27756">
          <w:rPr>
            <w:rStyle w:val="TextoNormalCaracter"/>
          </w:rPr>
          <w:t>63/2013</w:t>
        </w:r>
      </w:hyperlink>
      <w:r>
        <w:t xml:space="preserve">, f. 3; </w:t>
      </w:r>
      <w:hyperlink w:anchor="SENTENCIA_2013_64" w:history="1">
        <w:r w:rsidRPr="00E27756">
          <w:rPr>
            <w:rStyle w:val="TextoNormalCaracter"/>
          </w:rPr>
          <w:t>64/2013</w:t>
        </w:r>
      </w:hyperlink>
      <w:r>
        <w:t xml:space="preserve">, f. 3; </w:t>
      </w:r>
      <w:hyperlink w:anchor="SENTENCIA_2013_96" w:history="1">
        <w:r w:rsidRPr="00E27756">
          <w:rPr>
            <w:rStyle w:val="TextoNormalCaracter"/>
          </w:rPr>
          <w:t>96/2013</w:t>
        </w:r>
      </w:hyperlink>
      <w:r>
        <w:t>, f. 6.</w:t>
      </w:r>
    </w:p>
    <w:p w:rsidR="00E27756" w:rsidRDefault="00E27756" w:rsidP="00E27756">
      <w:pPr>
        <w:pStyle w:val="SangriaFrancesaArticulo"/>
      </w:pPr>
      <w:r w:rsidRPr="00E27756">
        <w:rPr>
          <w:rStyle w:val="TextoNormalNegritaCaracter"/>
        </w:rPr>
        <w:t>Artículo 131.1.</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t>Artículo 131.2.</w:t>
      </w:r>
      <w:r w:rsidRPr="00E27756">
        <w:rPr>
          <w:rStyle w:val="TextoNormalCaracter"/>
        </w:rPr>
        <w:t>-</w:t>
      </w:r>
      <w:r>
        <w:t xml:space="preserve"> Sentencia </w:t>
      </w:r>
      <w:hyperlink w:anchor="SENTENCIA_2013_19" w:history="1">
        <w:r w:rsidRPr="00E27756">
          <w:rPr>
            <w:rStyle w:val="TextoNormalCaracter"/>
          </w:rPr>
          <w:t>19/2013</w:t>
        </w:r>
      </w:hyperlink>
      <w:r>
        <w:t>, f. 2.</w:t>
      </w:r>
    </w:p>
    <w:p w:rsidR="00E27756" w:rsidRDefault="00E27756" w:rsidP="00E27756">
      <w:pPr>
        <w:pStyle w:val="SangriaFrancesaArticulo"/>
      </w:pPr>
      <w:r w:rsidRPr="00E27756">
        <w:rPr>
          <w:rStyle w:val="TextoNormalNegritaCaracter"/>
        </w:rPr>
        <w:t>Artículo 132.</w:t>
      </w:r>
      <w:r w:rsidRPr="00E27756">
        <w:rPr>
          <w:rStyle w:val="TextoNormalCaracter"/>
        </w:rPr>
        <w:t>-</w:t>
      </w:r>
      <w:r>
        <w:t xml:space="preserve"> Sentencia </w:t>
      </w:r>
      <w:hyperlink w:anchor="SENTENCIA_2013_94" w:history="1">
        <w:r w:rsidRPr="00E27756">
          <w:rPr>
            <w:rStyle w:val="TextoNormalCaracter"/>
          </w:rPr>
          <w:t>94/2013</w:t>
        </w:r>
      </w:hyperlink>
      <w:r>
        <w:t>, f. 3.</w:t>
      </w:r>
    </w:p>
    <w:p w:rsidR="00E27756" w:rsidRDefault="00E27756" w:rsidP="00E27756">
      <w:pPr>
        <w:pStyle w:val="SangriaFrancesaArticulo"/>
      </w:pPr>
      <w:r w:rsidRPr="00E27756">
        <w:rPr>
          <w:rStyle w:val="TextoNormalNegritaCaracter"/>
        </w:rPr>
        <w:t>Artículo 132.2.</w:t>
      </w:r>
      <w:r w:rsidRPr="00E27756">
        <w:rPr>
          <w:rStyle w:val="TextoNormalCaracter"/>
        </w:rPr>
        <w:t>-</w:t>
      </w:r>
      <w:r>
        <w:t xml:space="preserve"> Sentencias </w:t>
      </w:r>
      <w:hyperlink w:anchor="SENTENCIA_2013_8" w:history="1">
        <w:r w:rsidRPr="00E27756">
          <w:rPr>
            <w:rStyle w:val="TextoNormalCaracter"/>
          </w:rPr>
          <w:t>8/2013</w:t>
        </w:r>
      </w:hyperlink>
      <w:r>
        <w:t xml:space="preserve">, f. 5; </w:t>
      </w:r>
      <w:hyperlink w:anchor="SENTENCIA_2013_82" w:history="1">
        <w:r w:rsidRPr="00E27756">
          <w:rPr>
            <w:rStyle w:val="TextoNormalCaracter"/>
          </w:rPr>
          <w:t>82/2013</w:t>
        </w:r>
      </w:hyperlink>
      <w:r>
        <w:t xml:space="preserve">, f. 2; </w:t>
      </w:r>
      <w:hyperlink w:anchor="SENTENCIA_2013_94" w:history="1">
        <w:r w:rsidRPr="00E27756">
          <w:rPr>
            <w:rStyle w:val="TextoNormalCaracter"/>
          </w:rPr>
          <w:t>94/2013</w:t>
        </w:r>
      </w:hyperlink>
      <w:r>
        <w:t>, f. 3.</w:t>
      </w:r>
    </w:p>
    <w:p w:rsidR="00E27756" w:rsidRDefault="00E27756" w:rsidP="00E27756">
      <w:pPr>
        <w:pStyle w:val="SangriaFrancesaArticulo"/>
      </w:pPr>
      <w:r w:rsidRPr="00E27756">
        <w:rPr>
          <w:rStyle w:val="TextoNormalNegritaCaracter"/>
        </w:rPr>
        <w:t>Artículo 132.3.</w:t>
      </w:r>
      <w:r w:rsidRPr="00E27756">
        <w:rPr>
          <w:rStyle w:val="TextoNormalCaracter"/>
        </w:rPr>
        <w:t>-</w:t>
      </w:r>
      <w:r>
        <w:t xml:space="preserve"> Sentencia </w:t>
      </w:r>
      <w:hyperlink w:anchor="SENTENCIA_2013_94" w:history="1">
        <w:r w:rsidRPr="00E27756">
          <w:rPr>
            <w:rStyle w:val="TextoNormalCaracter"/>
          </w:rPr>
          <w:t>94/2013</w:t>
        </w:r>
      </w:hyperlink>
      <w:r>
        <w:t>, ff. 3, 7.</w:t>
      </w:r>
    </w:p>
    <w:p w:rsidR="00E27756" w:rsidRDefault="00E27756" w:rsidP="00E27756">
      <w:pPr>
        <w:pStyle w:val="SangriaFrancesaArticulo"/>
      </w:pPr>
      <w:r w:rsidRPr="00E27756">
        <w:rPr>
          <w:rStyle w:val="TextoNormalNegritaCaracter"/>
        </w:rPr>
        <w:t>Artículo 133.</w:t>
      </w:r>
      <w:r w:rsidRPr="00E27756">
        <w:rPr>
          <w:rStyle w:val="TextoNormalCaracter"/>
        </w:rPr>
        <w:t>-</w:t>
      </w:r>
      <w:r>
        <w:t xml:space="preserve"> Sentencia </w:t>
      </w:r>
      <w:hyperlink w:anchor="SENTENCIA_2013_130" w:history="1">
        <w:r w:rsidRPr="00E27756">
          <w:rPr>
            <w:rStyle w:val="TextoNormalCaracter"/>
          </w:rPr>
          <w:t>130/2013</w:t>
        </w:r>
      </w:hyperlink>
      <w:r>
        <w:t>, f. 5.</w:t>
      </w:r>
    </w:p>
    <w:p w:rsidR="00E27756" w:rsidRDefault="00E27756" w:rsidP="00E27756">
      <w:pPr>
        <w:pStyle w:val="SangriaFrancesaArticulo"/>
      </w:pPr>
      <w:r w:rsidRPr="00E27756">
        <w:rPr>
          <w:rStyle w:val="TextoNormalNegritaCaracter"/>
        </w:rPr>
        <w:t>Artículo 133.1.</w:t>
      </w:r>
      <w:r w:rsidRPr="00E27756">
        <w:rPr>
          <w:rStyle w:val="TextoNormalCaracter"/>
        </w:rPr>
        <w:t>-</w:t>
      </w:r>
      <w:r>
        <w:t xml:space="preserve"> Sentencias </w:t>
      </w:r>
      <w:hyperlink w:anchor="SENTENCIA_2013_60" w:history="1">
        <w:r w:rsidRPr="00E27756">
          <w:rPr>
            <w:rStyle w:val="TextoNormalCaracter"/>
          </w:rPr>
          <w:t>60/2013</w:t>
        </w:r>
      </w:hyperlink>
      <w:r>
        <w:t xml:space="preserve">, f. 2; </w:t>
      </w:r>
      <w:hyperlink w:anchor="SENTENCIA_2013_96" w:history="1">
        <w:r w:rsidRPr="00E27756">
          <w:rPr>
            <w:rStyle w:val="TextoNormalCaracter"/>
          </w:rPr>
          <w:t>96/2013</w:t>
        </w:r>
      </w:hyperlink>
      <w:r>
        <w:t xml:space="preserve">, ff. 5, 8, 10; </w:t>
      </w:r>
      <w:hyperlink w:anchor="SENTENCIA_2013_101" w:history="1">
        <w:r w:rsidRPr="00E27756">
          <w:rPr>
            <w:rStyle w:val="TextoNormalCaracter"/>
          </w:rPr>
          <w:t>101/2013</w:t>
        </w:r>
      </w:hyperlink>
      <w:r>
        <w:t>, f. 3.</w:t>
      </w:r>
    </w:p>
    <w:p w:rsidR="00E27756" w:rsidRDefault="00E27756" w:rsidP="00E27756">
      <w:pPr>
        <w:pStyle w:val="SangriaFrancesaArticulo"/>
      </w:pPr>
      <w:r w:rsidRPr="00E27756">
        <w:rPr>
          <w:rStyle w:val="TextoNormalNegritaCaracter"/>
        </w:rPr>
        <w:t>Artículo 133.2.</w:t>
      </w:r>
      <w:r w:rsidRPr="00E27756">
        <w:rPr>
          <w:rStyle w:val="TextoNormalCaracter"/>
        </w:rPr>
        <w:t>-</w:t>
      </w:r>
      <w:r>
        <w:t xml:space="preserve"> Sentencias </w:t>
      </w:r>
      <w:hyperlink w:anchor="SENTENCIA_2013_60" w:history="1">
        <w:r w:rsidRPr="00E27756">
          <w:rPr>
            <w:rStyle w:val="TextoNormalCaracter"/>
          </w:rPr>
          <w:t>60/2013</w:t>
        </w:r>
      </w:hyperlink>
      <w:r>
        <w:t xml:space="preserve">, ff. 1 a 3, 7; </w:t>
      </w:r>
      <w:hyperlink w:anchor="SENTENCIA_2013_85" w:history="1">
        <w:r w:rsidRPr="00E27756">
          <w:rPr>
            <w:rStyle w:val="TextoNormalCaracter"/>
          </w:rPr>
          <w:t>85/2013</w:t>
        </w:r>
      </w:hyperlink>
      <w:r>
        <w:t xml:space="preserve">, f. 3; </w:t>
      </w:r>
      <w:hyperlink w:anchor="SENTENCIA_2013_96" w:history="1">
        <w:r w:rsidRPr="00E27756">
          <w:rPr>
            <w:rStyle w:val="TextoNormalCaracter"/>
          </w:rPr>
          <w:t>96/2013</w:t>
        </w:r>
      </w:hyperlink>
      <w:r>
        <w:t>, ff. 1, 5.</w:t>
      </w:r>
    </w:p>
    <w:p w:rsidR="00E27756" w:rsidRDefault="00E27756" w:rsidP="00E27756">
      <w:pPr>
        <w:pStyle w:val="SangriaIzquierdaArticulo"/>
      </w:pPr>
      <w:r>
        <w:t xml:space="preserve">Auto </w:t>
      </w:r>
      <w:hyperlink w:anchor="AUTO_2013_122" w:history="1">
        <w:r w:rsidRPr="00E27756">
          <w:rPr>
            <w:rStyle w:val="TextoNormalCaracter"/>
          </w:rPr>
          <w:t>122/2013</w:t>
        </w:r>
      </w:hyperlink>
      <w:r>
        <w:t>, f. 1.</w:t>
      </w:r>
    </w:p>
    <w:p w:rsidR="00E27756" w:rsidRDefault="00E27756" w:rsidP="00E27756">
      <w:pPr>
        <w:pStyle w:val="SangriaFrancesaArticulo"/>
      </w:pPr>
      <w:r w:rsidRPr="00E27756">
        <w:rPr>
          <w:rStyle w:val="TextoNormalNegritaCaracter"/>
        </w:rPr>
        <w:t>Artículo 133.3.</w:t>
      </w:r>
      <w:r w:rsidRPr="00E27756">
        <w:rPr>
          <w:rStyle w:val="TextoNormalCaracter"/>
        </w:rPr>
        <w:t>-</w:t>
      </w:r>
      <w:r>
        <w:t xml:space="preserve"> Sentencia </w:t>
      </w:r>
      <w:hyperlink w:anchor="SENTENCIA_2013_85" w:history="1">
        <w:r w:rsidRPr="00E27756">
          <w:rPr>
            <w:rStyle w:val="TextoNormalCaracter"/>
          </w:rPr>
          <w:t>85/2013</w:t>
        </w:r>
      </w:hyperlink>
      <w:r>
        <w:t>, f. 6.</w:t>
      </w:r>
    </w:p>
    <w:p w:rsidR="00E27756" w:rsidRDefault="00E27756" w:rsidP="00E27756">
      <w:pPr>
        <w:pStyle w:val="SangriaFrancesaArticulo"/>
      </w:pPr>
      <w:r w:rsidRPr="00E27756">
        <w:rPr>
          <w:rStyle w:val="TextoNormalNegritaCaracter"/>
        </w:rPr>
        <w:t>Artículo 133.4.</w:t>
      </w:r>
      <w:r w:rsidRPr="00E27756">
        <w:rPr>
          <w:rStyle w:val="TextoNormalCaracter"/>
        </w:rPr>
        <w:t>-</w:t>
      </w:r>
      <w:r>
        <w:t xml:space="preserve"> Sentencias </w:t>
      </w:r>
      <w:hyperlink w:anchor="SENTENCIA_2013_130" w:history="1">
        <w:r w:rsidRPr="00E27756">
          <w:rPr>
            <w:rStyle w:val="TextoNormalCaracter"/>
          </w:rPr>
          <w:t>130/2013</w:t>
        </w:r>
      </w:hyperlink>
      <w:r>
        <w:t xml:space="preserve">, f. 5, VP; </w:t>
      </w:r>
      <w:hyperlink w:anchor="SENTENCIA_2013_132" w:history="1">
        <w:r w:rsidRPr="00E27756">
          <w:rPr>
            <w:rStyle w:val="TextoNormalCaracter"/>
          </w:rPr>
          <w:t>132/2013</w:t>
        </w:r>
      </w:hyperlink>
      <w:r>
        <w:t xml:space="preserve">, f. 5; </w:t>
      </w:r>
      <w:hyperlink w:anchor="SENTENCIA_2013_135" w:history="1">
        <w:r w:rsidRPr="00E27756">
          <w:rPr>
            <w:rStyle w:val="TextoNormalCaracter"/>
          </w:rPr>
          <w:t>135/2013</w:t>
        </w:r>
      </w:hyperlink>
      <w:r>
        <w:t>, f. 3.</w:t>
      </w:r>
    </w:p>
    <w:p w:rsidR="00E27756" w:rsidRDefault="00E27756" w:rsidP="00E27756">
      <w:pPr>
        <w:pStyle w:val="SangriaFrancesaArticulo"/>
      </w:pPr>
      <w:r w:rsidRPr="00E27756">
        <w:rPr>
          <w:rStyle w:val="TextoNormalNegritaCaracter"/>
        </w:rPr>
        <w:t>Artículo 134.</w:t>
      </w:r>
      <w:r w:rsidRPr="00E27756">
        <w:rPr>
          <w:rStyle w:val="TextoNormalCaracter"/>
        </w:rPr>
        <w:t>-</w:t>
      </w:r>
      <w:r>
        <w:t xml:space="preserve"> Sentencias </w:t>
      </w:r>
      <w:hyperlink w:anchor="SENTENCIA_2013_9" w:history="1">
        <w:r w:rsidRPr="00E27756">
          <w:rPr>
            <w:rStyle w:val="TextoNormalCaracter"/>
          </w:rPr>
          <w:t>9/2013</w:t>
        </w:r>
      </w:hyperlink>
      <w:r>
        <w:t xml:space="preserve">, ff. 3, 4; </w:t>
      </w:r>
      <w:hyperlink w:anchor="SENTENCIA_2013_86" w:history="1">
        <w:r w:rsidRPr="00E27756">
          <w:rPr>
            <w:rStyle w:val="TextoNormalCaracter"/>
          </w:rPr>
          <w:t>86/2013</w:t>
        </w:r>
      </w:hyperlink>
      <w:r>
        <w:t xml:space="preserve">, ff. 3, 4; </w:t>
      </w:r>
      <w:hyperlink w:anchor="SENTENCIA_2013_130" w:history="1">
        <w:r w:rsidRPr="00E27756">
          <w:rPr>
            <w:rStyle w:val="TextoNormalCaracter"/>
          </w:rPr>
          <w:t>130/2013</w:t>
        </w:r>
      </w:hyperlink>
      <w:r>
        <w:t xml:space="preserve">, f. 8;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134.1.</w:t>
      </w:r>
      <w:r w:rsidRPr="00E27756">
        <w:rPr>
          <w:rStyle w:val="TextoNormalCaracter"/>
        </w:rPr>
        <w:t>-</w:t>
      </w:r>
      <w:r>
        <w:t xml:space="preserve"> Sentencias </w:t>
      </w:r>
      <w:hyperlink w:anchor="SENTENCIA_2013_9" w:history="1">
        <w:r w:rsidRPr="00E27756">
          <w:rPr>
            <w:rStyle w:val="TextoNormalCaracter"/>
          </w:rPr>
          <w:t>9/2013</w:t>
        </w:r>
      </w:hyperlink>
      <w:r>
        <w:t xml:space="preserve">, f. 3; </w:t>
      </w:r>
      <w:hyperlink w:anchor="SENTENCIA_2013_86" w:history="1">
        <w:r w:rsidRPr="00E27756">
          <w:rPr>
            <w:rStyle w:val="TextoNormalCaracter"/>
          </w:rPr>
          <w:t>86/2013</w:t>
        </w:r>
      </w:hyperlink>
      <w:r>
        <w:t>, f. 4.</w:t>
      </w:r>
    </w:p>
    <w:p w:rsidR="00E27756" w:rsidRDefault="00E27756" w:rsidP="00E27756">
      <w:pPr>
        <w:pStyle w:val="SangriaFrancesaArticulo"/>
      </w:pPr>
      <w:r w:rsidRPr="00E27756">
        <w:rPr>
          <w:rStyle w:val="TextoNormalNegritaCaracter"/>
        </w:rPr>
        <w:t>Artículo 134.2.</w:t>
      </w:r>
      <w:r w:rsidRPr="00E27756">
        <w:rPr>
          <w:rStyle w:val="TextoNormalCaracter"/>
        </w:rPr>
        <w:t>-</w:t>
      </w:r>
      <w:r>
        <w:t xml:space="preserve"> Sentencias </w:t>
      </w:r>
      <w:hyperlink w:anchor="SENTENCIA_2013_9" w:history="1">
        <w:r w:rsidRPr="00E27756">
          <w:rPr>
            <w:rStyle w:val="TextoNormalCaracter"/>
          </w:rPr>
          <w:t>9/2013</w:t>
        </w:r>
      </w:hyperlink>
      <w:r>
        <w:t xml:space="preserve">, ff. 1 a 4; </w:t>
      </w:r>
      <w:hyperlink w:anchor="SENTENCIA_2013_86" w:history="1">
        <w:r w:rsidRPr="00E27756">
          <w:rPr>
            <w:rStyle w:val="TextoNormalCaracter"/>
          </w:rPr>
          <w:t>86/2013</w:t>
        </w:r>
      </w:hyperlink>
      <w:r>
        <w:t xml:space="preserve">, ff. 3, 4; </w:t>
      </w:r>
      <w:hyperlink w:anchor="SENTENCIA_2013_100" w:history="1">
        <w:r w:rsidRPr="00E27756">
          <w:rPr>
            <w:rStyle w:val="TextoNormalCaracter"/>
          </w:rPr>
          <w:t>100/2013</w:t>
        </w:r>
      </w:hyperlink>
      <w:r>
        <w:t xml:space="preserve">, f. 2; </w:t>
      </w:r>
      <w:hyperlink w:anchor="SENTENCIA_2013_130" w:history="1">
        <w:r w:rsidRPr="00E27756">
          <w:rPr>
            <w:rStyle w:val="TextoNormalCaracter"/>
          </w:rPr>
          <w:t>130/2013</w:t>
        </w:r>
      </w:hyperlink>
      <w:r>
        <w:t xml:space="preserve">, f. 3; </w:t>
      </w:r>
      <w:hyperlink w:anchor="SENTENCIA_2013_132" w:history="1">
        <w:r w:rsidRPr="00E27756">
          <w:rPr>
            <w:rStyle w:val="TextoNormalCaracter"/>
          </w:rPr>
          <w:t>132/2013</w:t>
        </w:r>
      </w:hyperlink>
      <w:r>
        <w:t>, ff. 1, 2.</w:t>
      </w:r>
    </w:p>
    <w:p w:rsidR="00E27756" w:rsidRDefault="00E27756" w:rsidP="00E27756">
      <w:pPr>
        <w:pStyle w:val="SangriaIzquierdaArticulo"/>
      </w:pPr>
      <w:r>
        <w:t xml:space="preserve">Auto </w:t>
      </w:r>
      <w:hyperlink w:anchor="AUTO_2013_27" w:history="1">
        <w:r w:rsidRPr="00E27756">
          <w:rPr>
            <w:rStyle w:val="TextoNormalCaracter"/>
          </w:rPr>
          <w:t>27/2013</w:t>
        </w:r>
      </w:hyperlink>
      <w:r>
        <w:t>, f. 1.</w:t>
      </w:r>
    </w:p>
    <w:p w:rsidR="00E27756" w:rsidRDefault="00E27756" w:rsidP="00E27756">
      <w:pPr>
        <w:pStyle w:val="SangriaFrancesaArticulo"/>
      </w:pPr>
      <w:r w:rsidRPr="00E27756">
        <w:rPr>
          <w:rStyle w:val="TextoNormalNegritaCaracter"/>
        </w:rPr>
        <w:t>Artículo 134.4.</w:t>
      </w:r>
      <w:r w:rsidRPr="00E27756">
        <w:rPr>
          <w:rStyle w:val="TextoNormalCaracter"/>
        </w:rPr>
        <w:t>-</w:t>
      </w:r>
      <w:r>
        <w:t xml:space="preserve"> Sentencia </w:t>
      </w:r>
      <w:hyperlink w:anchor="SENTENCIA_2013_86" w:history="1">
        <w:r w:rsidRPr="00E27756">
          <w:rPr>
            <w:rStyle w:val="TextoNormalCaracter"/>
          </w:rPr>
          <w:t>86/2013</w:t>
        </w:r>
      </w:hyperlink>
      <w:r>
        <w:t>, f. 4.</w:t>
      </w:r>
    </w:p>
    <w:p w:rsidR="00E27756" w:rsidRDefault="00E27756" w:rsidP="00E27756">
      <w:pPr>
        <w:pStyle w:val="SangriaFrancesaArticulo"/>
      </w:pPr>
      <w:r w:rsidRPr="00E27756">
        <w:rPr>
          <w:rStyle w:val="TextoNormalNegritaCaracter"/>
        </w:rPr>
        <w:t>Artículo 134.6.</w:t>
      </w:r>
      <w:r w:rsidRPr="00E27756">
        <w:rPr>
          <w:rStyle w:val="TextoNormalCaracter"/>
        </w:rPr>
        <w:t>-</w:t>
      </w:r>
      <w:r>
        <w:t xml:space="preserve"> Sentencias </w:t>
      </w:r>
      <w:hyperlink w:anchor="SENTENCIA_2013_9" w:history="1">
        <w:r w:rsidRPr="00E27756">
          <w:rPr>
            <w:rStyle w:val="TextoNormalCaracter"/>
          </w:rPr>
          <w:t>9/2013</w:t>
        </w:r>
      </w:hyperlink>
      <w:r>
        <w:t xml:space="preserve">, f. 3; </w:t>
      </w:r>
      <w:hyperlink w:anchor="SENTENCIA_2013_86" w:history="1">
        <w:r w:rsidRPr="00E27756">
          <w:rPr>
            <w:rStyle w:val="TextoNormalCaracter"/>
          </w:rPr>
          <w:t>86/2013</w:t>
        </w:r>
      </w:hyperlink>
      <w:r>
        <w:t>, f. 4.</w:t>
      </w:r>
    </w:p>
    <w:p w:rsidR="00E27756" w:rsidRDefault="00E27756" w:rsidP="00E27756">
      <w:pPr>
        <w:pStyle w:val="SangriaFrancesaArticulo"/>
      </w:pPr>
      <w:r w:rsidRPr="00E27756">
        <w:rPr>
          <w:rStyle w:val="TextoNormalNegritaCaracter"/>
        </w:rPr>
        <w:t>Artículo 134.7.</w:t>
      </w:r>
      <w:r w:rsidRPr="00E27756">
        <w:rPr>
          <w:rStyle w:val="TextoNormalCaracter"/>
        </w:rPr>
        <w:t>-</w:t>
      </w:r>
      <w:r>
        <w:t xml:space="preserve"> Sentencias </w:t>
      </w:r>
      <w:hyperlink w:anchor="SENTENCIA_2013_9" w:history="1">
        <w:r w:rsidRPr="00E27756">
          <w:rPr>
            <w:rStyle w:val="TextoNormalCaracter"/>
          </w:rPr>
          <w:t>9/2013</w:t>
        </w:r>
      </w:hyperlink>
      <w:r>
        <w:t xml:space="preserve">, f. 3; </w:t>
      </w:r>
      <w:hyperlink w:anchor="SENTENCIA_2013_132" w:history="1">
        <w:r w:rsidRPr="00E27756">
          <w:rPr>
            <w:rStyle w:val="TextoNormalCaracter"/>
          </w:rPr>
          <w:t>132/2013</w:t>
        </w:r>
      </w:hyperlink>
      <w:r>
        <w:t>, ff. 1, 2.</w:t>
      </w:r>
    </w:p>
    <w:p w:rsidR="00E27756" w:rsidRDefault="00E27756" w:rsidP="00E27756">
      <w:pPr>
        <w:pStyle w:val="SangriaFrancesaArticulo"/>
      </w:pPr>
      <w:r w:rsidRPr="00E27756">
        <w:rPr>
          <w:rStyle w:val="TextoNormalNegritaCaracter"/>
        </w:rPr>
        <w:t>Artículo 135.</w:t>
      </w:r>
      <w:r w:rsidRPr="00E27756">
        <w:rPr>
          <w:rStyle w:val="TextoNormalCaracter"/>
        </w:rPr>
        <w:t>-</w:t>
      </w:r>
      <w:r>
        <w:t xml:space="preserve"> Sentencias </w:t>
      </w:r>
      <w:hyperlink w:anchor="SENTENCIA_2013_130" w:history="1">
        <w:r w:rsidRPr="00E27756">
          <w:rPr>
            <w:rStyle w:val="TextoNormalCaracter"/>
          </w:rPr>
          <w:t>130/2013</w:t>
        </w:r>
      </w:hyperlink>
      <w:r>
        <w:t xml:space="preserve">, ff. 5, 6, VP; </w:t>
      </w:r>
      <w:hyperlink w:anchor="SENTENCIA_2013_135" w:history="1">
        <w:r w:rsidRPr="00E27756">
          <w:rPr>
            <w:rStyle w:val="TextoNormalCaracter"/>
          </w:rPr>
          <w:t>135/2013</w:t>
        </w:r>
      </w:hyperlink>
      <w:r>
        <w:t>, f. 3.</w:t>
      </w:r>
    </w:p>
    <w:p w:rsidR="00E27756" w:rsidRDefault="00E27756" w:rsidP="00E27756">
      <w:pPr>
        <w:pStyle w:val="SangriaIzquierdaArticulo"/>
      </w:pPr>
      <w:r>
        <w:t xml:space="preserve">Auto </w:t>
      </w:r>
      <w:hyperlink w:anchor="AUTO_2013_86" w:history="1">
        <w:r w:rsidRPr="00E27756">
          <w:rPr>
            <w:rStyle w:val="TextoNormalCaracter"/>
          </w:rPr>
          <w:t>86/2013</w:t>
        </w:r>
      </w:hyperlink>
      <w:r>
        <w:t>, f. 5.</w:t>
      </w:r>
    </w:p>
    <w:p w:rsidR="00E27756" w:rsidRDefault="00E27756" w:rsidP="00E27756">
      <w:pPr>
        <w:pStyle w:val="SangriaFrancesaArticulo"/>
      </w:pPr>
      <w:r w:rsidRPr="00E27756">
        <w:rPr>
          <w:rStyle w:val="TextoNormalNegritaCaracter"/>
        </w:rPr>
        <w:t>Artículo 135</w:t>
      </w:r>
      <w:r>
        <w:t xml:space="preserve"> </w:t>
      </w:r>
      <w:r w:rsidRPr="00E27756">
        <w:rPr>
          <w:rStyle w:val="TextoNormalCaracter"/>
        </w:rPr>
        <w:t>(redactado por la reforma constitucional de 27 de septiembre de 2011)</w:t>
      </w:r>
      <w:r w:rsidRPr="00E27756">
        <w:rPr>
          <w:rStyle w:val="TextoNormalNegritaCaracter"/>
        </w:rPr>
        <w:t>.</w:t>
      </w:r>
      <w:r w:rsidRPr="00E27756">
        <w:rPr>
          <w:rStyle w:val="TextoNormalCaracter"/>
        </w:rPr>
        <w:t>-</w:t>
      </w:r>
      <w:r>
        <w:t xml:space="preserve"> Sentencias </w:t>
      </w:r>
      <w:hyperlink w:anchor="SENTENCIA_2013_130" w:history="1">
        <w:r w:rsidRPr="00E27756">
          <w:rPr>
            <w:rStyle w:val="TextoNormalCaracter"/>
          </w:rPr>
          <w:t>130/2013</w:t>
        </w:r>
      </w:hyperlink>
      <w:r>
        <w:t xml:space="preserve">, ff. 5, 6, VP; </w:t>
      </w:r>
      <w:hyperlink w:anchor="SENTENCIA_2013_135" w:history="1">
        <w:r w:rsidRPr="00E27756">
          <w:rPr>
            <w:rStyle w:val="TextoNormalCaracter"/>
          </w:rPr>
          <w:t>135/2013</w:t>
        </w:r>
      </w:hyperlink>
      <w:r>
        <w:t>, f. 3.</w:t>
      </w:r>
    </w:p>
    <w:p w:rsidR="00E27756" w:rsidRDefault="00E27756" w:rsidP="00E27756">
      <w:pPr>
        <w:pStyle w:val="SangriaFrancesaArticulo"/>
      </w:pPr>
      <w:r w:rsidRPr="00E27756">
        <w:rPr>
          <w:rStyle w:val="TextoNormalNegritaCaracter"/>
        </w:rPr>
        <w:t>Artículo 135.1.</w:t>
      </w:r>
      <w:r w:rsidRPr="00E27756">
        <w:rPr>
          <w:rStyle w:val="TextoNormalCaracter"/>
        </w:rPr>
        <w:t>-</w:t>
      </w:r>
      <w:r>
        <w:t xml:space="preserve"> Auto </w:t>
      </w:r>
      <w:hyperlink w:anchor="AUTO_2013_122" w:history="1">
        <w:r w:rsidRPr="00E27756">
          <w:rPr>
            <w:rStyle w:val="TextoNormalCaracter"/>
          </w:rPr>
          <w:t>122/2013</w:t>
        </w:r>
      </w:hyperlink>
      <w:r>
        <w:t>, f. 4.</w:t>
      </w:r>
    </w:p>
    <w:p w:rsidR="00E27756" w:rsidRDefault="00E27756" w:rsidP="00E27756">
      <w:pPr>
        <w:pStyle w:val="SangriaFrancesaArticulo"/>
      </w:pPr>
      <w:r w:rsidRPr="00E27756">
        <w:rPr>
          <w:rStyle w:val="TextoNormalNegritaCaracter"/>
        </w:rPr>
        <w:lastRenderedPageBreak/>
        <w:t>Artículo 135.1</w:t>
      </w:r>
      <w:r>
        <w:t xml:space="preserve"> </w:t>
      </w:r>
      <w:r w:rsidRPr="00E27756">
        <w:rPr>
          <w:rStyle w:val="TextoNormalCaracter"/>
        </w:rPr>
        <w:t>(redactado por la reforma constitucional de 27 de septiembre de 2011)</w:t>
      </w:r>
      <w:r w:rsidRPr="00E27756">
        <w:rPr>
          <w:rStyle w:val="TextoNormalNegritaCaracter"/>
        </w:rPr>
        <w:t>.</w:t>
      </w:r>
      <w:r w:rsidRPr="00E27756">
        <w:rPr>
          <w:rStyle w:val="TextoNormalCaracter"/>
        </w:rPr>
        <w:t>-</w:t>
      </w:r>
      <w:r>
        <w:t xml:space="preserve"> Auto </w:t>
      </w:r>
      <w:hyperlink w:anchor="AUTO_2013_122" w:history="1">
        <w:r w:rsidRPr="00E27756">
          <w:rPr>
            <w:rStyle w:val="TextoNormalCaracter"/>
          </w:rPr>
          <w:t>122/2013</w:t>
        </w:r>
      </w:hyperlink>
      <w:r>
        <w:t>, f. 4.</w:t>
      </w:r>
    </w:p>
    <w:p w:rsidR="00E27756" w:rsidRDefault="00E27756" w:rsidP="00E27756">
      <w:pPr>
        <w:pStyle w:val="SangriaFrancesaArticulo"/>
      </w:pPr>
      <w:r w:rsidRPr="00E27756">
        <w:rPr>
          <w:rStyle w:val="TextoNormalNegritaCaracter"/>
        </w:rPr>
        <w:t>Artículo 136.</w:t>
      </w:r>
      <w:r w:rsidRPr="00E27756">
        <w:rPr>
          <w:rStyle w:val="TextoNormalCaracter"/>
        </w:rPr>
        <w:t>-</w:t>
      </w:r>
      <w:r>
        <w:t xml:space="preserve"> Sentencias </w:t>
      </w:r>
      <w:hyperlink w:anchor="SENTENCIA_2013_130" w:history="1">
        <w:r w:rsidRPr="00E27756">
          <w:rPr>
            <w:rStyle w:val="TextoNormalCaracter"/>
          </w:rPr>
          <w:t>130/2013</w:t>
        </w:r>
      </w:hyperlink>
      <w:r>
        <w:t xml:space="preserve">, f. 5, VP; </w:t>
      </w:r>
      <w:hyperlink w:anchor="SENTENCIA_2013_135" w:history="1">
        <w:r w:rsidRPr="00E27756">
          <w:rPr>
            <w:rStyle w:val="TextoNormalCaracter"/>
          </w:rPr>
          <w:t>135/2013</w:t>
        </w:r>
      </w:hyperlink>
      <w:r>
        <w:t>, f. 3.</w:t>
      </w:r>
    </w:p>
    <w:p w:rsidR="00E27756" w:rsidRDefault="00E27756" w:rsidP="00E27756">
      <w:pPr>
        <w:pStyle w:val="SangriaFrancesaArticulo"/>
      </w:pPr>
      <w:r w:rsidRPr="00E27756">
        <w:rPr>
          <w:rStyle w:val="TextoNormalNegritaCaracter"/>
        </w:rPr>
        <w:t>Artículo 137.</w:t>
      </w:r>
      <w:r w:rsidRPr="00E27756">
        <w:rPr>
          <w:rStyle w:val="TextoNormalCaracter"/>
        </w:rPr>
        <w:t>-</w:t>
      </w:r>
      <w:r>
        <w:t xml:space="preserve"> Sentencias </w:t>
      </w:r>
      <w:hyperlink w:anchor="SENTENCIA_2013_8" w:history="1">
        <w:r w:rsidRPr="00E27756">
          <w:rPr>
            <w:rStyle w:val="TextoNormalCaracter"/>
          </w:rPr>
          <w:t>8/2013</w:t>
        </w:r>
      </w:hyperlink>
      <w:r>
        <w:t xml:space="preserve">, f. 5; </w:t>
      </w:r>
      <w:hyperlink w:anchor="SENTENCIA_2013_23" w:history="1">
        <w:r w:rsidRPr="00E27756">
          <w:rPr>
            <w:rStyle w:val="TextoNormalCaracter"/>
          </w:rPr>
          <w:t>23/2013</w:t>
        </w:r>
      </w:hyperlink>
      <w:r>
        <w:t xml:space="preserve">, ff. 1, 4; </w:t>
      </w:r>
      <w:hyperlink w:anchor="SENTENCIA_2013_26" w:history="1">
        <w:r w:rsidRPr="00E27756">
          <w:rPr>
            <w:rStyle w:val="TextoNormalCaracter"/>
          </w:rPr>
          <w:t>26/2013</w:t>
        </w:r>
      </w:hyperlink>
      <w:r>
        <w:t xml:space="preserve">, f. 5; </w:t>
      </w:r>
      <w:hyperlink w:anchor="SENTENCIA_2013_36" w:history="1">
        <w:r w:rsidRPr="00E27756">
          <w:rPr>
            <w:rStyle w:val="TextoNormalCaracter"/>
          </w:rPr>
          <w:t>36/2013</w:t>
        </w:r>
      </w:hyperlink>
      <w:r>
        <w:t xml:space="preserve">, ff. 1, 8; </w:t>
      </w:r>
      <w:hyperlink w:anchor="SENTENCIA_2013_85" w:history="1">
        <w:r w:rsidRPr="00E27756">
          <w:rPr>
            <w:rStyle w:val="TextoNormalCaracter"/>
          </w:rPr>
          <w:t>85/2013</w:t>
        </w:r>
      </w:hyperlink>
      <w:r>
        <w:t xml:space="preserve">, f. 5; </w:t>
      </w:r>
      <w:hyperlink w:anchor="SENTENCIA_2013_94" w:history="1">
        <w:r w:rsidRPr="00E27756">
          <w:rPr>
            <w:rStyle w:val="TextoNormalCaracter"/>
          </w:rPr>
          <w:t>94/2013</w:t>
        </w:r>
      </w:hyperlink>
      <w:r>
        <w:t xml:space="preserve">, f. 8; </w:t>
      </w:r>
      <w:hyperlink w:anchor="SENTENCIA_2013_99" w:history="1">
        <w:r w:rsidRPr="00E27756">
          <w:rPr>
            <w:rStyle w:val="TextoNormalCaracter"/>
          </w:rPr>
          <w:t>99/2013</w:t>
        </w:r>
      </w:hyperlink>
      <w:r>
        <w:t xml:space="preserve">, f. 5; </w:t>
      </w:r>
      <w:hyperlink w:anchor="SENTENCIA_2013_101" w:history="1">
        <w:r w:rsidRPr="00E27756">
          <w:rPr>
            <w:rStyle w:val="TextoNormalCaracter"/>
          </w:rPr>
          <w:t>101/2013</w:t>
        </w:r>
      </w:hyperlink>
      <w:r>
        <w:t xml:space="preserve">, f. 3; </w:t>
      </w:r>
      <w:hyperlink w:anchor="SENTENCIA_2013_103" w:history="1">
        <w:r w:rsidRPr="00E27756">
          <w:rPr>
            <w:rStyle w:val="TextoNormalCaracter"/>
          </w:rPr>
          <w:t>103/2013</w:t>
        </w:r>
      </w:hyperlink>
      <w:r>
        <w:t xml:space="preserve">, ff. 5, 6; </w:t>
      </w:r>
      <w:hyperlink w:anchor="SENTENCIA_2013_104" w:history="1">
        <w:r w:rsidRPr="00E27756">
          <w:rPr>
            <w:rStyle w:val="TextoNormalCaracter"/>
          </w:rPr>
          <w:t>104/2013</w:t>
        </w:r>
      </w:hyperlink>
      <w:r>
        <w:t xml:space="preserve">, f. 6; </w:t>
      </w:r>
      <w:hyperlink w:anchor="SENTENCIA_2013_129" w:history="1">
        <w:r w:rsidRPr="00E27756">
          <w:rPr>
            <w:rStyle w:val="TextoNormalCaracter"/>
          </w:rPr>
          <w:t>129/2013</w:t>
        </w:r>
      </w:hyperlink>
      <w:r>
        <w:t>, f. 8.</w:t>
      </w:r>
    </w:p>
    <w:p w:rsidR="00E27756" w:rsidRDefault="00E27756" w:rsidP="00E27756">
      <w:pPr>
        <w:pStyle w:val="SangriaIzquierdaArticulo"/>
      </w:pPr>
      <w:r>
        <w:t xml:space="preserve">Auto </w:t>
      </w:r>
      <w:hyperlink w:anchor="AUTO_2013_9" w:history="1">
        <w:r w:rsidRPr="00E27756">
          <w:rPr>
            <w:rStyle w:val="TextoNormalCaracter"/>
          </w:rPr>
          <w:t>9/2013</w:t>
        </w:r>
      </w:hyperlink>
      <w:r>
        <w:t>, f. 1.</w:t>
      </w:r>
    </w:p>
    <w:p w:rsidR="00E27756" w:rsidRDefault="00E27756" w:rsidP="00E27756">
      <w:pPr>
        <w:pStyle w:val="SangriaFrancesaArticulo"/>
      </w:pPr>
      <w:r w:rsidRPr="00E27756">
        <w:rPr>
          <w:rStyle w:val="TextoNormalNegritaCaracter"/>
        </w:rPr>
        <w:t>Artículo 138.</w:t>
      </w:r>
      <w:r w:rsidRPr="00E27756">
        <w:rPr>
          <w:rStyle w:val="TextoNormalCaracter"/>
        </w:rPr>
        <w:t>-</w:t>
      </w:r>
      <w:r>
        <w:t xml:space="preserve"> Sentencias </w:t>
      </w:r>
      <w:hyperlink w:anchor="SENTENCIA_2013_8" w:history="1">
        <w:r w:rsidRPr="00E27756">
          <w:rPr>
            <w:rStyle w:val="TextoNormalCaracter"/>
          </w:rPr>
          <w:t>8/2013</w:t>
        </w:r>
      </w:hyperlink>
      <w:r>
        <w:t xml:space="preserve">, f. 5; </w:t>
      </w:r>
      <w:hyperlink w:anchor="SENTENCIA_2013_19" w:history="1">
        <w:r w:rsidRPr="00E27756">
          <w:rPr>
            <w:rStyle w:val="TextoNormalCaracter"/>
          </w:rPr>
          <w:t>19/2013</w:t>
        </w:r>
      </w:hyperlink>
      <w:r>
        <w:t xml:space="preserve">, f. 2; </w:t>
      </w:r>
      <w:hyperlink w:anchor="SENTENCIA_2013_20" w:history="1">
        <w:r w:rsidRPr="00E27756">
          <w:rPr>
            <w:rStyle w:val="TextoNormalCaracter"/>
          </w:rPr>
          <w:t>20/2013</w:t>
        </w:r>
      </w:hyperlink>
      <w:r>
        <w:t xml:space="preserve">, f. 10; </w:t>
      </w:r>
      <w:hyperlink w:anchor="SENTENCIA_2013_23" w:history="1">
        <w:r w:rsidRPr="00E27756">
          <w:rPr>
            <w:rStyle w:val="TextoNormalCaracter"/>
          </w:rPr>
          <w:t>23/2013</w:t>
        </w:r>
      </w:hyperlink>
      <w:r>
        <w:t xml:space="preserve">, ff. 1, 4; </w:t>
      </w:r>
      <w:hyperlink w:anchor="SENTENCIA_2013_37" w:history="1">
        <w:r w:rsidRPr="00E27756">
          <w:rPr>
            <w:rStyle w:val="TextoNormalCaracter"/>
          </w:rPr>
          <w:t>37/2013</w:t>
        </w:r>
      </w:hyperlink>
      <w:r>
        <w:t xml:space="preserve">, f. 2; </w:t>
      </w:r>
      <w:hyperlink w:anchor="SENTENCIA_2013_65" w:history="1">
        <w:r w:rsidRPr="00E27756">
          <w:rPr>
            <w:rStyle w:val="TextoNormalCaracter"/>
          </w:rPr>
          <w:t>65/2013</w:t>
        </w:r>
      </w:hyperlink>
      <w:r>
        <w:t xml:space="preserve">, f. 1; </w:t>
      </w:r>
      <w:hyperlink w:anchor="SENTENCIA_2013_99" w:history="1">
        <w:r w:rsidRPr="00E27756">
          <w:rPr>
            <w:rStyle w:val="TextoNormalCaracter"/>
          </w:rPr>
          <w:t>99/2013</w:t>
        </w:r>
      </w:hyperlink>
      <w:r>
        <w:t xml:space="preserve">, f. 5; </w:t>
      </w:r>
      <w:hyperlink w:anchor="SENTENCIA_2013_100" w:history="1">
        <w:r w:rsidRPr="00E27756">
          <w:rPr>
            <w:rStyle w:val="TextoNormalCaracter"/>
          </w:rPr>
          <w:t>100/2013</w:t>
        </w:r>
      </w:hyperlink>
      <w:r>
        <w:t xml:space="preserve">, ff. 1, 2; </w:t>
      </w:r>
      <w:hyperlink w:anchor="SENTENCIA_2013_101" w:history="1">
        <w:r w:rsidRPr="00E27756">
          <w:rPr>
            <w:rStyle w:val="TextoNormalCaracter"/>
          </w:rPr>
          <w:t>101/2013</w:t>
        </w:r>
      </w:hyperlink>
      <w:r>
        <w:t xml:space="preserve">, f. 3; </w:t>
      </w:r>
      <w:hyperlink w:anchor="SENTENCIA_2013_137" w:history="1">
        <w:r w:rsidRPr="00E27756">
          <w:rPr>
            <w:rStyle w:val="TextoNormalCaracter"/>
          </w:rPr>
          <w:t>137/2013</w:t>
        </w:r>
      </w:hyperlink>
      <w:r>
        <w:t>, f. 6.</w:t>
      </w:r>
    </w:p>
    <w:p w:rsidR="00E27756" w:rsidRDefault="00E27756" w:rsidP="00E27756">
      <w:pPr>
        <w:pStyle w:val="SangriaFrancesaArticulo"/>
      </w:pPr>
      <w:r w:rsidRPr="00E27756">
        <w:rPr>
          <w:rStyle w:val="TextoNormalNegritaCaracter"/>
        </w:rPr>
        <w:t>Artículo 139.</w:t>
      </w:r>
      <w:r w:rsidRPr="00E27756">
        <w:rPr>
          <w:rStyle w:val="TextoNormalCaracter"/>
        </w:rPr>
        <w:t>-</w:t>
      </w:r>
      <w:r>
        <w:t xml:space="preserve"> Sentencia </w:t>
      </w:r>
      <w:hyperlink w:anchor="SENTENCIA_2013_96" w:history="1">
        <w:r w:rsidRPr="00E27756">
          <w:rPr>
            <w:rStyle w:val="TextoNormalCaracter"/>
          </w:rPr>
          <w:t>96/2013</w:t>
        </w:r>
      </w:hyperlink>
      <w:r>
        <w:t>, ff. 1, 3, 4.</w:t>
      </w:r>
    </w:p>
    <w:p w:rsidR="00E27756" w:rsidRDefault="00E27756" w:rsidP="00E27756">
      <w:pPr>
        <w:pStyle w:val="SangriaFrancesaArticulo"/>
      </w:pPr>
      <w:r w:rsidRPr="00E27756">
        <w:rPr>
          <w:rStyle w:val="TextoNormalNegritaCaracter"/>
        </w:rPr>
        <w:t>Artículo 139.1.</w:t>
      </w:r>
      <w:r w:rsidRPr="00E27756">
        <w:rPr>
          <w:rStyle w:val="TextoNormalCaracter"/>
        </w:rPr>
        <w:t>-</w:t>
      </w:r>
      <w:r>
        <w:t xml:space="preserve"> Sentencia </w:t>
      </w:r>
      <w:hyperlink w:anchor="SENTENCIA_2013_20" w:history="1">
        <w:r w:rsidRPr="00E27756">
          <w:rPr>
            <w:rStyle w:val="TextoNormalCaracter"/>
          </w:rPr>
          <w:t>20/2013</w:t>
        </w:r>
      </w:hyperlink>
      <w:r>
        <w:t>, f. 10.</w:t>
      </w:r>
    </w:p>
    <w:p w:rsidR="00E27756" w:rsidRDefault="00E27756" w:rsidP="00E27756">
      <w:pPr>
        <w:pStyle w:val="SangriaIzquierdaArticulo"/>
      </w:pPr>
      <w:r>
        <w:t xml:space="preserve">Auto </w:t>
      </w:r>
      <w:hyperlink w:anchor="AUTO_2013_122" w:history="1">
        <w:r w:rsidRPr="00E27756">
          <w:rPr>
            <w:rStyle w:val="TextoNormalCaracter"/>
          </w:rPr>
          <w:t>122/2013</w:t>
        </w:r>
      </w:hyperlink>
      <w:r>
        <w:t>, f. 4.</w:t>
      </w:r>
    </w:p>
    <w:p w:rsidR="00E27756" w:rsidRDefault="00E27756" w:rsidP="00E27756">
      <w:pPr>
        <w:pStyle w:val="SangriaFrancesaArticulo"/>
      </w:pPr>
      <w:r w:rsidRPr="00E27756">
        <w:rPr>
          <w:rStyle w:val="TextoNormalNegritaCaracter"/>
        </w:rPr>
        <w:t>Artículo 139.2.</w:t>
      </w:r>
      <w:r w:rsidRPr="00E27756">
        <w:rPr>
          <w:rStyle w:val="TextoNormalCaracter"/>
        </w:rPr>
        <w:t>-</w:t>
      </w:r>
      <w:r>
        <w:t xml:space="preserve"> Sentencias </w:t>
      </w:r>
      <w:hyperlink w:anchor="SENTENCIA_2013_84" w:history="1">
        <w:r w:rsidRPr="00E27756">
          <w:rPr>
            <w:rStyle w:val="TextoNormalCaracter"/>
          </w:rPr>
          <w:t>84/2013</w:t>
        </w:r>
      </w:hyperlink>
      <w:r>
        <w:t xml:space="preserve">, ff. 1, 6; </w:t>
      </w:r>
      <w:hyperlink w:anchor="SENTENCIA_2013_96" w:history="1">
        <w:r w:rsidRPr="00E27756">
          <w:rPr>
            <w:rStyle w:val="TextoNormalCaracter"/>
          </w:rPr>
          <w:t>96/2013</w:t>
        </w:r>
      </w:hyperlink>
      <w:r>
        <w:t>, ff. 2 a 4, 6, 8, 9.</w:t>
      </w:r>
    </w:p>
    <w:p w:rsidR="00E27756" w:rsidRDefault="00E27756" w:rsidP="00E27756">
      <w:pPr>
        <w:pStyle w:val="SangriaFrancesaArticulo"/>
      </w:pPr>
      <w:r w:rsidRPr="00E27756">
        <w:rPr>
          <w:rStyle w:val="TextoNormalNegritaCaracter"/>
        </w:rPr>
        <w:t>Artículo 140.</w:t>
      </w:r>
      <w:r w:rsidRPr="00E27756">
        <w:rPr>
          <w:rStyle w:val="TextoNormalCaracter"/>
        </w:rPr>
        <w:t>-</w:t>
      </w:r>
      <w:r>
        <w:t xml:space="preserve"> Sentencias </w:t>
      </w:r>
      <w:hyperlink w:anchor="SENTENCIA_2013_26" w:history="1">
        <w:r w:rsidRPr="00E27756">
          <w:rPr>
            <w:rStyle w:val="TextoNormalCaracter"/>
          </w:rPr>
          <w:t>26/2013</w:t>
        </w:r>
      </w:hyperlink>
      <w:r>
        <w:t xml:space="preserve">, f. 5; </w:t>
      </w:r>
      <w:hyperlink w:anchor="SENTENCIA_2013_36" w:history="1">
        <w:r w:rsidRPr="00E27756">
          <w:rPr>
            <w:rStyle w:val="TextoNormalCaracter"/>
          </w:rPr>
          <w:t>36/2013</w:t>
        </w:r>
      </w:hyperlink>
      <w:r>
        <w:t xml:space="preserve">, f. 8; </w:t>
      </w:r>
      <w:hyperlink w:anchor="SENTENCIA_2013_85" w:history="1">
        <w:r w:rsidRPr="00E27756">
          <w:rPr>
            <w:rStyle w:val="TextoNormalCaracter"/>
          </w:rPr>
          <w:t>85/2013</w:t>
        </w:r>
      </w:hyperlink>
      <w:r>
        <w:t xml:space="preserve">, ff. 1, 5; </w:t>
      </w:r>
      <w:hyperlink w:anchor="SENTENCIA_2013_94" w:history="1">
        <w:r w:rsidRPr="00E27756">
          <w:rPr>
            <w:rStyle w:val="TextoNormalCaracter"/>
          </w:rPr>
          <w:t>94/2013</w:t>
        </w:r>
      </w:hyperlink>
      <w:r>
        <w:t xml:space="preserve">, f. 8; </w:t>
      </w:r>
      <w:hyperlink w:anchor="SENTENCIA_2013_103" w:history="1">
        <w:r w:rsidRPr="00E27756">
          <w:rPr>
            <w:rStyle w:val="TextoNormalCaracter"/>
          </w:rPr>
          <w:t>103/2013</w:t>
        </w:r>
      </w:hyperlink>
      <w:r>
        <w:t xml:space="preserve">, ff. 1, 5, 6, VP; </w:t>
      </w:r>
      <w:hyperlink w:anchor="SENTENCIA_2013_104" w:history="1">
        <w:r w:rsidRPr="00E27756">
          <w:rPr>
            <w:rStyle w:val="TextoNormalCaracter"/>
          </w:rPr>
          <w:t>104/2013</w:t>
        </w:r>
      </w:hyperlink>
      <w:r>
        <w:t xml:space="preserve">, f. 6; </w:t>
      </w:r>
      <w:hyperlink w:anchor="SENTENCIA_2013_125" w:history="1">
        <w:r w:rsidRPr="00E27756">
          <w:rPr>
            <w:rStyle w:val="TextoNormalCaracter"/>
          </w:rPr>
          <w:t>125/2013</w:t>
        </w:r>
      </w:hyperlink>
      <w:r>
        <w:t xml:space="preserve">, ff. 5 a 7; </w:t>
      </w:r>
      <w:hyperlink w:anchor="SENTENCIA_2013_129" w:history="1">
        <w:r w:rsidRPr="00E27756">
          <w:rPr>
            <w:rStyle w:val="TextoNormalCaracter"/>
          </w:rPr>
          <w:t>129/2013</w:t>
        </w:r>
      </w:hyperlink>
      <w:r>
        <w:t>, f. 8.</w:t>
      </w:r>
    </w:p>
    <w:p w:rsidR="00E27756" w:rsidRDefault="00E27756" w:rsidP="00E27756">
      <w:pPr>
        <w:pStyle w:val="SangriaIzquierdaArticulo"/>
      </w:pPr>
      <w:r>
        <w:t xml:space="preserve">Auto </w:t>
      </w:r>
      <w:hyperlink w:anchor="AUTO_2013_9" w:history="1">
        <w:r w:rsidRPr="00E27756">
          <w:rPr>
            <w:rStyle w:val="TextoNormalCaracter"/>
          </w:rPr>
          <w:t>9/2013</w:t>
        </w:r>
      </w:hyperlink>
      <w:r>
        <w:t>, f. 1.</w:t>
      </w:r>
    </w:p>
    <w:p w:rsidR="00E27756" w:rsidRDefault="00E27756" w:rsidP="00E27756">
      <w:pPr>
        <w:pStyle w:val="SangriaFrancesaArticulo"/>
      </w:pPr>
      <w:r w:rsidRPr="00E27756">
        <w:rPr>
          <w:rStyle w:val="TextoNormalNegritaCaracter"/>
        </w:rPr>
        <w:t>Artículo 141.</w:t>
      </w:r>
      <w:r w:rsidRPr="00E27756">
        <w:rPr>
          <w:rStyle w:val="TextoNormalCaracter"/>
        </w:rPr>
        <w:t>-</w:t>
      </w:r>
      <w:r>
        <w:t xml:space="preserve"> Sentencias </w:t>
      </w:r>
      <w:hyperlink w:anchor="SENTENCIA_2013_26" w:history="1">
        <w:r w:rsidRPr="00E27756">
          <w:rPr>
            <w:rStyle w:val="TextoNormalCaracter"/>
          </w:rPr>
          <w:t>26/2013</w:t>
        </w:r>
      </w:hyperlink>
      <w:r>
        <w:t xml:space="preserve">, f. 5; </w:t>
      </w:r>
      <w:hyperlink w:anchor="SENTENCIA_2013_36" w:history="1">
        <w:r w:rsidRPr="00E27756">
          <w:rPr>
            <w:rStyle w:val="TextoNormalCaracter"/>
          </w:rPr>
          <w:t>36/2013</w:t>
        </w:r>
      </w:hyperlink>
      <w:r>
        <w:t xml:space="preserve">, f. 8; </w:t>
      </w:r>
      <w:hyperlink w:anchor="SENTENCIA_2013_103" w:history="1">
        <w:r w:rsidRPr="00E27756">
          <w:rPr>
            <w:rStyle w:val="TextoNormalCaracter"/>
          </w:rPr>
          <w:t>103/2013</w:t>
        </w:r>
      </w:hyperlink>
      <w:r>
        <w:t>, f. 5, 6.</w:t>
      </w:r>
    </w:p>
    <w:p w:rsidR="00E27756" w:rsidRDefault="00E27756" w:rsidP="00E27756">
      <w:pPr>
        <w:pStyle w:val="SangriaFrancesaArticulo"/>
      </w:pPr>
      <w:r w:rsidRPr="00E27756">
        <w:rPr>
          <w:rStyle w:val="TextoNormalNegritaCaracter"/>
        </w:rPr>
        <w:t>Artículo 141.2.</w:t>
      </w:r>
      <w:r w:rsidRPr="00E27756">
        <w:rPr>
          <w:rStyle w:val="TextoNormalCaracter"/>
        </w:rPr>
        <w:t>-</w:t>
      </w:r>
      <w:r>
        <w:t xml:space="preserve"> Sentencia </w:t>
      </w:r>
      <w:hyperlink w:anchor="SENTENCIA_2013_103" w:history="1">
        <w:r w:rsidRPr="00E27756">
          <w:rPr>
            <w:rStyle w:val="TextoNormalCaracter"/>
          </w:rPr>
          <w:t>103/2013</w:t>
        </w:r>
      </w:hyperlink>
      <w:r>
        <w:t>, f. 6.</w:t>
      </w:r>
    </w:p>
    <w:p w:rsidR="00E27756" w:rsidRDefault="00E27756" w:rsidP="00E27756">
      <w:pPr>
        <w:pStyle w:val="SangriaFrancesaArticulo"/>
      </w:pPr>
      <w:r w:rsidRPr="00E27756">
        <w:rPr>
          <w:rStyle w:val="TextoNormalNegritaCaracter"/>
        </w:rPr>
        <w:t>Artículo 141.3.</w:t>
      </w:r>
      <w:r w:rsidRPr="00E27756">
        <w:rPr>
          <w:rStyle w:val="TextoNormalCaracter"/>
        </w:rPr>
        <w:t>-</w:t>
      </w:r>
      <w:r>
        <w:t xml:space="preserve"> Sentencia </w:t>
      </w:r>
      <w:hyperlink w:anchor="SENTENCIA_2013_36" w:history="1">
        <w:r w:rsidRPr="00E27756">
          <w:rPr>
            <w:rStyle w:val="TextoNormalCaracter"/>
          </w:rPr>
          <w:t>36/2013</w:t>
        </w:r>
      </w:hyperlink>
      <w:r>
        <w:t>, f. 8.</w:t>
      </w:r>
    </w:p>
    <w:p w:rsidR="00E27756" w:rsidRDefault="00E27756" w:rsidP="00E27756">
      <w:pPr>
        <w:pStyle w:val="SangriaFrancesaArticulo"/>
      </w:pPr>
      <w:r w:rsidRPr="00E27756">
        <w:rPr>
          <w:rStyle w:val="TextoNormalNegritaCaracter"/>
        </w:rPr>
        <w:t>Artículo 141.4.</w:t>
      </w:r>
      <w:r w:rsidRPr="00E27756">
        <w:rPr>
          <w:rStyle w:val="TextoNormalCaracter"/>
        </w:rPr>
        <w:t>-</w:t>
      </w:r>
      <w:r>
        <w:t xml:space="preserve"> Sentencias </w:t>
      </w:r>
      <w:hyperlink w:anchor="SENTENCIA_2013_8" w:history="1">
        <w:r w:rsidRPr="00E27756">
          <w:rPr>
            <w:rStyle w:val="TextoNormalCaracter"/>
          </w:rPr>
          <w:t>8/2013</w:t>
        </w:r>
      </w:hyperlink>
      <w:r>
        <w:t xml:space="preserve">, f. 5; </w:t>
      </w:r>
      <w:hyperlink w:anchor="SENTENCIA_2013_99" w:history="1">
        <w:r w:rsidRPr="00E27756">
          <w:rPr>
            <w:rStyle w:val="TextoNormalCaracter"/>
          </w:rPr>
          <w:t>99/2013</w:t>
        </w:r>
      </w:hyperlink>
      <w:r>
        <w:t xml:space="preserve">, f. 5; </w:t>
      </w:r>
      <w:hyperlink w:anchor="SENTENCIA_2013_103" w:history="1">
        <w:r w:rsidRPr="00E27756">
          <w:rPr>
            <w:rStyle w:val="TextoNormalCaracter"/>
          </w:rPr>
          <w:t>103/2013</w:t>
        </w:r>
      </w:hyperlink>
      <w:r>
        <w:t>, f. 6.</w:t>
      </w:r>
    </w:p>
    <w:p w:rsidR="00E27756" w:rsidRDefault="00E27756" w:rsidP="00E27756">
      <w:pPr>
        <w:pStyle w:val="SangriaFrancesaArticulo"/>
      </w:pPr>
      <w:r w:rsidRPr="00E27756">
        <w:rPr>
          <w:rStyle w:val="TextoNormalNegritaCaracter"/>
        </w:rPr>
        <w:t>Artículo 142.</w:t>
      </w:r>
      <w:r w:rsidRPr="00E27756">
        <w:rPr>
          <w:rStyle w:val="TextoNormalCaracter"/>
        </w:rPr>
        <w:t>-</w:t>
      </w:r>
      <w:r>
        <w:t xml:space="preserve"> Sentencias </w:t>
      </w:r>
      <w:hyperlink w:anchor="SENTENCIA_2013_26" w:history="1">
        <w:r w:rsidRPr="00E27756">
          <w:rPr>
            <w:rStyle w:val="TextoNormalCaracter"/>
          </w:rPr>
          <w:t>26/2013</w:t>
        </w:r>
      </w:hyperlink>
      <w:r>
        <w:t xml:space="preserve">, f. 5; </w:t>
      </w:r>
      <w:hyperlink w:anchor="SENTENCIA_2013_85" w:history="1">
        <w:r w:rsidRPr="00E27756">
          <w:rPr>
            <w:rStyle w:val="TextoNormalCaracter"/>
          </w:rPr>
          <w:t>85/2013</w:t>
        </w:r>
      </w:hyperlink>
      <w:r>
        <w:t xml:space="preserve">, f. 1; </w:t>
      </w:r>
      <w:hyperlink w:anchor="SENTENCIA_2013_103" w:history="1">
        <w:r w:rsidRPr="00E27756">
          <w:rPr>
            <w:rStyle w:val="TextoNormalCaracter"/>
          </w:rPr>
          <w:t>103/2013</w:t>
        </w:r>
      </w:hyperlink>
      <w:r>
        <w:t>, f. 5.</w:t>
      </w:r>
    </w:p>
    <w:p w:rsidR="00E27756" w:rsidRDefault="00E27756" w:rsidP="00E27756">
      <w:pPr>
        <w:pStyle w:val="SangriaIzquierdaArticulo"/>
      </w:pPr>
      <w:r>
        <w:t xml:space="preserve">Auto </w:t>
      </w:r>
      <w:hyperlink w:anchor="AUTO_2013_9" w:history="1">
        <w:r w:rsidRPr="00E27756">
          <w:rPr>
            <w:rStyle w:val="TextoNormalCaracter"/>
          </w:rPr>
          <w:t>9/2013</w:t>
        </w:r>
      </w:hyperlink>
      <w:r>
        <w:t>, f. 1.</w:t>
      </w:r>
    </w:p>
    <w:p w:rsidR="00E27756" w:rsidRDefault="00E27756" w:rsidP="00E27756">
      <w:pPr>
        <w:pStyle w:val="SangriaFrancesaArticulo"/>
      </w:pPr>
      <w:r w:rsidRPr="00E27756">
        <w:rPr>
          <w:rStyle w:val="TextoNormalNegritaCaracter"/>
        </w:rPr>
        <w:t>Artículo 143.</w:t>
      </w:r>
      <w:r w:rsidRPr="00E27756">
        <w:rPr>
          <w:rStyle w:val="TextoNormalCaracter"/>
        </w:rPr>
        <w:t>-</w:t>
      </w:r>
      <w:r>
        <w:t xml:space="preserve"> Sentencias </w:t>
      </w:r>
      <w:hyperlink w:anchor="SENTENCIA_2013_8" w:history="1">
        <w:r w:rsidRPr="00E27756">
          <w:rPr>
            <w:rStyle w:val="TextoNormalCaracter"/>
          </w:rPr>
          <w:t>8/2013</w:t>
        </w:r>
      </w:hyperlink>
      <w:r>
        <w:t xml:space="preserve">, f. 5; </w:t>
      </w:r>
      <w:hyperlink w:anchor="SENTENCIA_2013_87" w:history="1">
        <w:r w:rsidRPr="00E27756">
          <w:rPr>
            <w:rStyle w:val="TextoNormalCaracter"/>
          </w:rPr>
          <w:t>87/2013</w:t>
        </w:r>
      </w:hyperlink>
      <w:r>
        <w:t xml:space="preserve">, f. 5; </w:t>
      </w:r>
      <w:hyperlink w:anchor="SENTENCIA_2013_99" w:history="1">
        <w:r w:rsidRPr="00E27756">
          <w:rPr>
            <w:rStyle w:val="TextoNormalCaracter"/>
          </w:rPr>
          <w:t>99/2013</w:t>
        </w:r>
      </w:hyperlink>
      <w:r>
        <w:t>, ff. 5, 9.</w:t>
      </w:r>
    </w:p>
    <w:p w:rsidR="00E27756" w:rsidRDefault="00E27756" w:rsidP="00E27756">
      <w:pPr>
        <w:pStyle w:val="SangriaFrancesaArticulo"/>
      </w:pPr>
      <w:r w:rsidRPr="00E27756">
        <w:rPr>
          <w:rStyle w:val="TextoNormalNegritaCaracter"/>
        </w:rPr>
        <w:t>Artículo 147.2.</w:t>
      </w:r>
      <w:r w:rsidRPr="00E27756">
        <w:rPr>
          <w:rStyle w:val="TextoNormalCaracter"/>
        </w:rPr>
        <w:t>-</w:t>
      </w:r>
      <w:r>
        <w:t xml:space="preserve"> Sentencia </w:t>
      </w:r>
      <w:hyperlink w:anchor="SENTENCIA_2013_87" w:history="1">
        <w:r w:rsidRPr="00E27756">
          <w:rPr>
            <w:rStyle w:val="TextoNormalCaracter"/>
          </w:rPr>
          <w:t>87/2013</w:t>
        </w:r>
      </w:hyperlink>
      <w:r>
        <w:t>, f. 2.</w:t>
      </w:r>
    </w:p>
    <w:p w:rsidR="00E27756" w:rsidRDefault="00E27756" w:rsidP="00E27756">
      <w:pPr>
        <w:pStyle w:val="SangriaFrancesaArticulo"/>
      </w:pPr>
      <w:r w:rsidRPr="00E27756">
        <w:rPr>
          <w:rStyle w:val="TextoNormalNegritaCaracter"/>
        </w:rPr>
        <w:t>Artículo 147.2 b).</w:t>
      </w:r>
      <w:r w:rsidRPr="00E27756">
        <w:rPr>
          <w:rStyle w:val="TextoNormalCaracter"/>
        </w:rPr>
        <w:t>-</w:t>
      </w:r>
      <w:r>
        <w:t xml:space="preserve"> Sentencias </w:t>
      </w:r>
      <w:hyperlink w:anchor="SENTENCIA_2013_8" w:history="1">
        <w:r w:rsidRPr="00E27756">
          <w:rPr>
            <w:rStyle w:val="TextoNormalCaracter"/>
          </w:rPr>
          <w:t>8/2013</w:t>
        </w:r>
      </w:hyperlink>
      <w:r>
        <w:t xml:space="preserve">, f. 5; </w:t>
      </w:r>
      <w:hyperlink w:anchor="SENTENCIA_2013_87" w:history="1">
        <w:r w:rsidRPr="00E27756">
          <w:rPr>
            <w:rStyle w:val="TextoNormalCaracter"/>
          </w:rPr>
          <w:t>87/2013</w:t>
        </w:r>
      </w:hyperlink>
      <w:r>
        <w:t xml:space="preserve">, f. 2; </w:t>
      </w:r>
      <w:hyperlink w:anchor="SENTENCIA_2013_99" w:history="1">
        <w:r w:rsidRPr="00E27756">
          <w:rPr>
            <w:rStyle w:val="TextoNormalCaracter"/>
          </w:rPr>
          <w:t>99/2013</w:t>
        </w:r>
      </w:hyperlink>
      <w:r>
        <w:t>, f. 2.</w:t>
      </w:r>
    </w:p>
    <w:p w:rsidR="00E27756" w:rsidRDefault="00E27756" w:rsidP="00E27756">
      <w:pPr>
        <w:pStyle w:val="SangriaFrancesaArticulo"/>
      </w:pPr>
      <w:r w:rsidRPr="00E27756">
        <w:rPr>
          <w:rStyle w:val="TextoNormalNegritaCaracter"/>
        </w:rPr>
        <w:t>Artículo 147.2 d).</w:t>
      </w:r>
      <w:r w:rsidRPr="00E27756">
        <w:rPr>
          <w:rStyle w:val="TextoNormalCaracter"/>
        </w:rPr>
        <w:t>-</w:t>
      </w:r>
      <w:r>
        <w:t xml:space="preserve"> Sentencia </w:t>
      </w:r>
      <w:hyperlink w:anchor="SENTENCIA_2013_87" w:history="1">
        <w:r w:rsidRPr="00E27756">
          <w:rPr>
            <w:rStyle w:val="TextoNormalCaracter"/>
          </w:rPr>
          <w:t>87/2013</w:t>
        </w:r>
      </w:hyperlink>
      <w:r>
        <w:t>, f. 2.</w:t>
      </w:r>
    </w:p>
    <w:p w:rsidR="00E27756" w:rsidRDefault="00E27756" w:rsidP="00E27756">
      <w:pPr>
        <w:pStyle w:val="SangriaFrancesaArticulo"/>
      </w:pPr>
      <w:r w:rsidRPr="00E27756">
        <w:rPr>
          <w:rStyle w:val="TextoNormalNegritaCaracter"/>
        </w:rPr>
        <w:t>Artículo 148.</w:t>
      </w:r>
      <w:r w:rsidRPr="00E27756">
        <w:rPr>
          <w:rStyle w:val="TextoNormalCaracter"/>
        </w:rPr>
        <w:t>-</w:t>
      </w:r>
      <w:r>
        <w:t xml:space="preserve"> Sentencias </w:t>
      </w:r>
      <w:hyperlink w:anchor="SENTENCIA_2013_98" w:history="1">
        <w:r w:rsidRPr="00E27756">
          <w:rPr>
            <w:rStyle w:val="TextoNormalCaracter"/>
          </w:rPr>
          <w:t>98/2013</w:t>
        </w:r>
      </w:hyperlink>
      <w:r>
        <w:t xml:space="preserve">, f. 3; </w:t>
      </w:r>
      <w:hyperlink w:anchor="SENTENCIA_2013_130" w:history="1">
        <w:r w:rsidRPr="00E27756">
          <w:rPr>
            <w:rStyle w:val="TextoNormalCaracter"/>
          </w:rPr>
          <w:t>130/2013</w:t>
        </w:r>
      </w:hyperlink>
      <w:r>
        <w:t>, f. 8.</w:t>
      </w:r>
    </w:p>
    <w:p w:rsidR="00E27756" w:rsidRDefault="00E27756" w:rsidP="00E27756">
      <w:pPr>
        <w:pStyle w:val="SangriaFrancesaArticulo"/>
      </w:pPr>
      <w:r w:rsidRPr="00E27756">
        <w:rPr>
          <w:rStyle w:val="TextoNormalNegritaCaracter"/>
        </w:rPr>
        <w:t>Artículo 148.1.</w:t>
      </w:r>
      <w:r w:rsidRPr="00E27756">
        <w:rPr>
          <w:rStyle w:val="TextoNormalCaracter"/>
        </w:rPr>
        <w:t>-</w:t>
      </w:r>
      <w:r>
        <w:t xml:space="preserve"> Sentencias </w:t>
      </w:r>
      <w:hyperlink w:anchor="SENTENCIA_2013_34" w:history="1">
        <w:r w:rsidRPr="00E27756">
          <w:rPr>
            <w:rStyle w:val="TextoNormalCaracter"/>
          </w:rPr>
          <w:t>34/2013</w:t>
        </w:r>
      </w:hyperlink>
      <w:r>
        <w:t xml:space="preserve">, f. 3; </w:t>
      </w:r>
      <w:hyperlink w:anchor="SENTENCIA_2013_103" w:history="1">
        <w:r w:rsidRPr="00E27756">
          <w:rPr>
            <w:rStyle w:val="TextoNormalCaracter"/>
          </w:rPr>
          <w:t>103/2013</w:t>
        </w:r>
      </w:hyperlink>
      <w:r>
        <w:t xml:space="preserve">, f. 4;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148.1.1.</w:t>
      </w:r>
      <w:r w:rsidRPr="00E27756">
        <w:rPr>
          <w:rStyle w:val="TextoNormalCaracter"/>
        </w:rPr>
        <w:t>-</w:t>
      </w:r>
      <w:r>
        <w:t xml:space="preserve"> Sentencia </w:t>
      </w:r>
      <w:hyperlink w:anchor="SENTENCIA_2013_82" w:history="1">
        <w:r w:rsidRPr="00E27756">
          <w:rPr>
            <w:rStyle w:val="TextoNormalCaracter"/>
          </w:rPr>
          <w:t>82/2013</w:t>
        </w:r>
      </w:hyperlink>
      <w:r>
        <w:t>, f. 2.</w:t>
      </w:r>
    </w:p>
    <w:p w:rsidR="00E27756" w:rsidRDefault="00E27756" w:rsidP="00E27756">
      <w:pPr>
        <w:pStyle w:val="SangriaFrancesaArticulo"/>
      </w:pPr>
      <w:r w:rsidRPr="00E27756">
        <w:rPr>
          <w:rStyle w:val="TextoNormalNegritaCaracter"/>
        </w:rPr>
        <w:t>Artículo 148.1.2.</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148.1.3.</w:t>
      </w:r>
      <w:r w:rsidRPr="00E27756">
        <w:rPr>
          <w:rStyle w:val="TextoNormalCaracter"/>
        </w:rPr>
        <w:t>-</w:t>
      </w:r>
      <w:r>
        <w:t xml:space="preserve"> Sentencias </w:t>
      </w:r>
      <w:hyperlink w:anchor="SENTENCIA_2013_8" w:history="1">
        <w:r w:rsidRPr="00E27756">
          <w:rPr>
            <w:rStyle w:val="TextoNormalCaracter"/>
          </w:rPr>
          <w:t>8/2013</w:t>
        </w:r>
      </w:hyperlink>
      <w:r>
        <w:t xml:space="preserve">, f. 5; </w:t>
      </w:r>
      <w:hyperlink w:anchor="SENTENCIA_2013_84" w:history="1">
        <w:r w:rsidRPr="00E27756">
          <w:rPr>
            <w:rStyle w:val="TextoNormalCaracter"/>
          </w:rPr>
          <w:t>84/2013</w:t>
        </w:r>
      </w:hyperlink>
      <w:r>
        <w:t xml:space="preserve">, f. 4; </w:t>
      </w:r>
      <w:hyperlink w:anchor="SENTENCIA_2013_97" w:history="1">
        <w:r w:rsidRPr="00E27756">
          <w:rPr>
            <w:rStyle w:val="TextoNormalCaracter"/>
          </w:rPr>
          <w:t>97/2013</w:t>
        </w:r>
      </w:hyperlink>
      <w:r>
        <w:t xml:space="preserve">, f. 4; </w:t>
      </w:r>
      <w:hyperlink w:anchor="SENTENCIA_2013_103" w:history="1">
        <w:r w:rsidRPr="00E27756">
          <w:rPr>
            <w:rStyle w:val="TextoNormalCaracter"/>
          </w:rPr>
          <w:t>103/2013</w:t>
        </w:r>
      </w:hyperlink>
      <w:r>
        <w:t xml:space="preserve">, f. 5; </w:t>
      </w:r>
      <w:hyperlink w:anchor="SENTENCIA_2013_112" w:history="1">
        <w:r w:rsidRPr="00E27756">
          <w:rPr>
            <w:rStyle w:val="TextoNormalCaracter"/>
          </w:rPr>
          <w:t>112/2013</w:t>
        </w:r>
      </w:hyperlink>
      <w:r>
        <w:t>, f. 3.</w:t>
      </w:r>
    </w:p>
    <w:p w:rsidR="00E27756" w:rsidRDefault="00E27756" w:rsidP="00E27756">
      <w:pPr>
        <w:pStyle w:val="SangriaFrancesaArticulo"/>
      </w:pPr>
      <w:r w:rsidRPr="00E27756">
        <w:rPr>
          <w:rStyle w:val="TextoNormalNegritaCaracter"/>
        </w:rPr>
        <w:t>Artículo 148.1.7.</w:t>
      </w:r>
      <w:r w:rsidRPr="00E27756">
        <w:rPr>
          <w:rStyle w:val="TextoNormalCaracter"/>
        </w:rPr>
        <w:t>-</w:t>
      </w:r>
      <w:r>
        <w:t xml:space="preserve"> Sentencia </w:t>
      </w:r>
      <w:hyperlink w:anchor="SENTENCIA_2013_82" w:history="1">
        <w:r w:rsidRPr="00E27756">
          <w:rPr>
            <w:rStyle w:val="TextoNormalCaracter"/>
          </w:rPr>
          <w:t>82/2013</w:t>
        </w:r>
      </w:hyperlink>
      <w:r>
        <w:t>, f. 2.</w:t>
      </w:r>
    </w:p>
    <w:p w:rsidR="00E27756" w:rsidRDefault="00E27756" w:rsidP="00E27756">
      <w:pPr>
        <w:pStyle w:val="SangriaFrancesaArticulo"/>
      </w:pPr>
      <w:r w:rsidRPr="00E27756">
        <w:rPr>
          <w:rStyle w:val="TextoNormalNegritaCaracter"/>
        </w:rPr>
        <w:t>Artículo 148.1.9.</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148.1.11.</w:t>
      </w:r>
      <w:r w:rsidRPr="00E27756">
        <w:rPr>
          <w:rStyle w:val="TextoNormalCaracter"/>
        </w:rPr>
        <w:t>-</w:t>
      </w:r>
      <w:r>
        <w:t xml:space="preserve"> Sentencia </w:t>
      </w:r>
      <w:hyperlink w:anchor="SENTENCIA_2013_8" w:history="1">
        <w:r w:rsidRPr="00E27756">
          <w:rPr>
            <w:rStyle w:val="TextoNormalCaracter"/>
          </w:rPr>
          <w:t>8/2013</w:t>
        </w:r>
      </w:hyperlink>
      <w:r>
        <w:t>, f. 5.</w:t>
      </w:r>
    </w:p>
    <w:p w:rsidR="00E27756" w:rsidRDefault="00E27756" w:rsidP="00E27756">
      <w:pPr>
        <w:pStyle w:val="SangriaFrancesaArticulo"/>
      </w:pPr>
      <w:r w:rsidRPr="00E27756">
        <w:rPr>
          <w:rStyle w:val="TextoNormalNegritaCaracter"/>
        </w:rPr>
        <w:t>Artículo 148.1.18.</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148.1.19.</w:t>
      </w:r>
      <w:r w:rsidRPr="00E27756">
        <w:rPr>
          <w:rStyle w:val="TextoNormalCaracter"/>
        </w:rPr>
        <w:t>-</w:t>
      </w:r>
      <w:r>
        <w:t xml:space="preserve"> Sentencias </w:t>
      </w:r>
      <w:hyperlink w:anchor="SENTENCIA_2013_80" w:history="1">
        <w:r w:rsidRPr="00E27756">
          <w:rPr>
            <w:rStyle w:val="TextoNormalCaracter"/>
          </w:rPr>
          <w:t>80/2013</w:t>
        </w:r>
      </w:hyperlink>
      <w:r>
        <w:t xml:space="preserve">, f. 1;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148.1.20.</w:t>
      </w:r>
      <w:r w:rsidRPr="00E27756">
        <w:rPr>
          <w:rStyle w:val="TextoNormalCaracter"/>
        </w:rPr>
        <w:t>-</w:t>
      </w:r>
      <w:r>
        <w:t xml:space="preserve"> Sentencias </w:t>
      </w:r>
      <w:hyperlink w:anchor="SENTENCIA_2013_21" w:history="1">
        <w:r w:rsidRPr="00E27756">
          <w:rPr>
            <w:rStyle w:val="TextoNormalCaracter"/>
          </w:rPr>
          <w:t>21/2013</w:t>
        </w:r>
      </w:hyperlink>
      <w:r>
        <w:t xml:space="preserve">, f. 5; </w:t>
      </w:r>
      <w:hyperlink w:anchor="SENTENCIA_2013_23" w:history="1">
        <w:r w:rsidRPr="00E27756">
          <w:rPr>
            <w:rStyle w:val="TextoNormalCaracter"/>
          </w:rPr>
          <w:t>23/2013</w:t>
        </w:r>
      </w:hyperlink>
      <w:r>
        <w:t xml:space="preserve">, f. 3; </w:t>
      </w:r>
      <w:hyperlink w:anchor="SENTENCIA_2013_26" w:history="1">
        <w:r w:rsidRPr="00E27756">
          <w:rPr>
            <w:rStyle w:val="TextoNormalCaracter"/>
          </w:rPr>
          <w:t>26/2013</w:t>
        </w:r>
      </w:hyperlink>
      <w:r>
        <w:t xml:space="preserve">, f. 6; </w:t>
      </w:r>
      <w:hyperlink w:anchor="SENTENCIA_2013_40" w:history="1">
        <w:r w:rsidRPr="00E27756">
          <w:rPr>
            <w:rStyle w:val="TextoNormalCaracter"/>
          </w:rPr>
          <w:t>40/2013</w:t>
        </w:r>
      </w:hyperlink>
      <w:r>
        <w:t xml:space="preserve">, f. 5; </w:t>
      </w:r>
      <w:hyperlink w:anchor="SENTENCIA_2013_52" w:history="1">
        <w:r w:rsidRPr="00E27756">
          <w:rPr>
            <w:rStyle w:val="TextoNormalCaracter"/>
          </w:rPr>
          <w:t>52/2013</w:t>
        </w:r>
      </w:hyperlink>
      <w:r>
        <w:t xml:space="preserve">, f. 5; </w:t>
      </w:r>
      <w:hyperlink w:anchor="SENTENCIA_2013_70" w:history="1">
        <w:r w:rsidRPr="00E27756">
          <w:rPr>
            <w:rStyle w:val="TextoNormalCaracter"/>
          </w:rPr>
          <w:t>70/2013</w:t>
        </w:r>
      </w:hyperlink>
      <w:r>
        <w:t>, f. 3.</w:t>
      </w:r>
    </w:p>
    <w:p w:rsidR="00E27756" w:rsidRDefault="00E27756" w:rsidP="00E27756">
      <w:pPr>
        <w:pStyle w:val="SangriaFrancesaArticulo"/>
      </w:pPr>
      <w:r w:rsidRPr="00E27756">
        <w:rPr>
          <w:rStyle w:val="TextoNormalNegritaCaracter"/>
        </w:rPr>
        <w:t>Artículo 149.</w:t>
      </w:r>
      <w:r w:rsidRPr="00E27756">
        <w:rPr>
          <w:rStyle w:val="TextoNormalCaracter"/>
        </w:rPr>
        <w:t>-</w:t>
      </w:r>
      <w:r>
        <w:t xml:space="preserve"> Sentencias </w:t>
      </w:r>
      <w:hyperlink w:anchor="SENTENCIA_2013_36" w:history="1">
        <w:r w:rsidRPr="00E27756">
          <w:rPr>
            <w:rStyle w:val="TextoNormalCaracter"/>
          </w:rPr>
          <w:t>36/2013</w:t>
        </w:r>
      </w:hyperlink>
      <w:r>
        <w:t xml:space="preserve">, f. 2; </w:t>
      </w:r>
      <w:hyperlink w:anchor="SENTENCIA_2013_98" w:history="1">
        <w:r w:rsidRPr="00E27756">
          <w:rPr>
            <w:rStyle w:val="TextoNormalCaracter"/>
          </w:rPr>
          <w:t>98/2013</w:t>
        </w:r>
      </w:hyperlink>
      <w:r>
        <w:t xml:space="preserve">, f. 3; </w:t>
      </w:r>
      <w:hyperlink w:anchor="SENTENCIA_2013_130" w:history="1">
        <w:r w:rsidRPr="00E27756">
          <w:rPr>
            <w:rStyle w:val="TextoNormalCaracter"/>
          </w:rPr>
          <w:t>130/2013</w:t>
        </w:r>
      </w:hyperlink>
      <w:r>
        <w:t>, f. 8.</w:t>
      </w:r>
    </w:p>
    <w:p w:rsidR="00E27756" w:rsidRDefault="00E27756" w:rsidP="00E27756">
      <w:pPr>
        <w:pStyle w:val="SangriaFrancesaArticulo"/>
      </w:pPr>
      <w:r w:rsidRPr="00E27756">
        <w:rPr>
          <w:rStyle w:val="TextoNormalNegritaCaracter"/>
        </w:rPr>
        <w:t>Artículo 149.1.</w:t>
      </w:r>
      <w:r w:rsidRPr="00E27756">
        <w:rPr>
          <w:rStyle w:val="TextoNormalCaracter"/>
        </w:rPr>
        <w:t>-</w:t>
      </w:r>
      <w:r>
        <w:t xml:space="preserve"> Sentencias </w:t>
      </w:r>
      <w:hyperlink w:anchor="SENTENCIA_2013_3" w:history="1">
        <w:r w:rsidRPr="00E27756">
          <w:rPr>
            <w:rStyle w:val="TextoNormalCaracter"/>
          </w:rPr>
          <w:t>3/2013</w:t>
        </w:r>
      </w:hyperlink>
      <w:r>
        <w:t xml:space="preserve">, f. 8; </w:t>
      </w:r>
      <w:hyperlink w:anchor="SENTENCIA_2013_21" w:history="1">
        <w:r w:rsidRPr="00E27756">
          <w:rPr>
            <w:rStyle w:val="TextoNormalCaracter"/>
          </w:rPr>
          <w:t>21/2013</w:t>
        </w:r>
      </w:hyperlink>
      <w:r>
        <w:t xml:space="preserve">, f. 5; </w:t>
      </w:r>
      <w:hyperlink w:anchor="SENTENCIA_2013_26" w:history="1">
        <w:r w:rsidRPr="00E27756">
          <w:rPr>
            <w:rStyle w:val="TextoNormalCaracter"/>
          </w:rPr>
          <w:t>26/2013</w:t>
        </w:r>
      </w:hyperlink>
      <w:r>
        <w:t xml:space="preserve">, ff. 5, 6; </w:t>
      </w:r>
      <w:hyperlink w:anchor="SENTENCIA_2013_34" w:history="1">
        <w:r w:rsidRPr="00E27756">
          <w:rPr>
            <w:rStyle w:val="TextoNormalCaracter"/>
          </w:rPr>
          <w:t>34/2013</w:t>
        </w:r>
      </w:hyperlink>
      <w:r>
        <w:t xml:space="preserve">, ff. 3, 10, 17; </w:t>
      </w:r>
      <w:hyperlink w:anchor="SENTENCIA_2013_40" w:history="1">
        <w:r w:rsidRPr="00E27756">
          <w:rPr>
            <w:rStyle w:val="TextoNormalCaracter"/>
          </w:rPr>
          <w:t>40/2013</w:t>
        </w:r>
      </w:hyperlink>
      <w:r>
        <w:t xml:space="preserve">, f. 5; </w:t>
      </w:r>
      <w:hyperlink w:anchor="SENTENCIA_2013_52" w:history="1">
        <w:r w:rsidRPr="00E27756">
          <w:rPr>
            <w:rStyle w:val="TextoNormalCaracter"/>
          </w:rPr>
          <w:t>52/2013</w:t>
        </w:r>
      </w:hyperlink>
      <w:r>
        <w:t xml:space="preserve">, f. 5; </w:t>
      </w:r>
      <w:hyperlink w:anchor="SENTENCIA_2013_69" w:history="1">
        <w:r w:rsidRPr="00E27756">
          <w:rPr>
            <w:rStyle w:val="TextoNormalCaracter"/>
          </w:rPr>
          <w:t>69/2013</w:t>
        </w:r>
      </w:hyperlink>
      <w:r>
        <w:t xml:space="preserve">, f. 3; </w:t>
      </w:r>
      <w:hyperlink w:anchor="SENTENCIA_2013_70" w:history="1">
        <w:r w:rsidRPr="00E27756">
          <w:rPr>
            <w:rStyle w:val="TextoNormalCaracter"/>
          </w:rPr>
          <w:t>70/2013</w:t>
        </w:r>
      </w:hyperlink>
      <w:r>
        <w:t xml:space="preserve">, f. 3; </w:t>
      </w:r>
      <w:hyperlink w:anchor="SENTENCIA_2013_83" w:history="1">
        <w:r w:rsidRPr="00E27756">
          <w:rPr>
            <w:rStyle w:val="TextoNormalCaracter"/>
          </w:rPr>
          <w:t>83/2013</w:t>
        </w:r>
      </w:hyperlink>
      <w:r>
        <w:t xml:space="preserve">, f. 2; </w:t>
      </w:r>
      <w:hyperlink w:anchor="SENTENCIA_2013_89" w:history="1">
        <w:r w:rsidRPr="00E27756">
          <w:rPr>
            <w:rStyle w:val="TextoNormalCaracter"/>
          </w:rPr>
          <w:t>89/2013</w:t>
        </w:r>
      </w:hyperlink>
      <w:r>
        <w:t xml:space="preserve">, f. 3; </w:t>
      </w:r>
      <w:hyperlink w:anchor="SENTENCIA_2013_94" w:history="1">
        <w:r w:rsidRPr="00E27756">
          <w:rPr>
            <w:rStyle w:val="TextoNormalCaracter"/>
          </w:rPr>
          <w:t>94/2013</w:t>
        </w:r>
      </w:hyperlink>
      <w:r>
        <w:t xml:space="preserve">, ff. 3, 4; </w:t>
      </w:r>
      <w:hyperlink w:anchor="SENTENCIA_2013_103" w:history="1">
        <w:r w:rsidRPr="00E27756">
          <w:rPr>
            <w:rStyle w:val="TextoNormalCaracter"/>
          </w:rPr>
          <w:t>103/2013</w:t>
        </w:r>
      </w:hyperlink>
      <w:r>
        <w:t xml:space="preserve">, f. 4; </w:t>
      </w:r>
      <w:hyperlink w:anchor="SENTENCIA_2013_130" w:history="1">
        <w:r w:rsidRPr="00E27756">
          <w:rPr>
            <w:rStyle w:val="TextoNormalCaracter"/>
          </w:rPr>
          <w:t>130/2013</w:t>
        </w:r>
      </w:hyperlink>
      <w:r>
        <w:t>, ff. 8, 9, 13, VP.</w:t>
      </w:r>
    </w:p>
    <w:p w:rsidR="00E27756" w:rsidRDefault="00E27756" w:rsidP="00E27756">
      <w:pPr>
        <w:pStyle w:val="SangriaFrancesaArticulo"/>
      </w:pPr>
      <w:r w:rsidRPr="00E27756">
        <w:rPr>
          <w:rStyle w:val="TextoNormalNegritaCaracter"/>
        </w:rPr>
        <w:t>Artículo 149.1.1.</w:t>
      </w:r>
      <w:r w:rsidRPr="00E27756">
        <w:rPr>
          <w:rStyle w:val="TextoNormalCaracter"/>
        </w:rPr>
        <w:t>-</w:t>
      </w:r>
      <w:r>
        <w:t xml:space="preserve"> Sentencias </w:t>
      </w:r>
      <w:hyperlink w:anchor="SENTENCIA_2013_3" w:history="1">
        <w:r w:rsidRPr="00E27756">
          <w:rPr>
            <w:rStyle w:val="TextoNormalCaracter"/>
          </w:rPr>
          <w:t>3/2013</w:t>
        </w:r>
      </w:hyperlink>
      <w:r>
        <w:t xml:space="preserve">, f. 8; </w:t>
      </w:r>
      <w:hyperlink w:anchor="SENTENCIA_2013_6" w:history="1">
        <w:r w:rsidRPr="00E27756">
          <w:rPr>
            <w:rStyle w:val="TextoNormalCaracter"/>
          </w:rPr>
          <w:t>6/2013</w:t>
        </w:r>
      </w:hyperlink>
      <w:r>
        <w:t xml:space="preserve">, f. 1; </w:t>
      </w:r>
      <w:hyperlink w:anchor="SENTENCIA_2013_15" w:history="1">
        <w:r w:rsidRPr="00E27756">
          <w:rPr>
            <w:rStyle w:val="TextoNormalCaracter"/>
          </w:rPr>
          <w:t>15/2013</w:t>
        </w:r>
      </w:hyperlink>
      <w:r>
        <w:t xml:space="preserve">, f. 1; </w:t>
      </w:r>
      <w:hyperlink w:anchor="SENTENCIA_2013_20" w:history="1">
        <w:r w:rsidRPr="00E27756">
          <w:rPr>
            <w:rStyle w:val="TextoNormalCaracter"/>
          </w:rPr>
          <w:t>20/2013</w:t>
        </w:r>
      </w:hyperlink>
      <w:r>
        <w:t xml:space="preserve">, f. 10; </w:t>
      </w:r>
      <w:hyperlink w:anchor="SENTENCIA_2013_21" w:history="1">
        <w:r w:rsidRPr="00E27756">
          <w:rPr>
            <w:rStyle w:val="TextoNormalCaracter"/>
          </w:rPr>
          <w:t>21/2013</w:t>
        </w:r>
      </w:hyperlink>
      <w:r>
        <w:t xml:space="preserve">, ff. 5, 6; </w:t>
      </w:r>
      <w:hyperlink w:anchor="SENTENCIA_2013_23" w:history="1">
        <w:r w:rsidRPr="00E27756">
          <w:rPr>
            <w:rStyle w:val="TextoNormalCaracter"/>
          </w:rPr>
          <w:t>23/2013</w:t>
        </w:r>
      </w:hyperlink>
      <w:r>
        <w:t xml:space="preserve">, ff. 1, 4; </w:t>
      </w:r>
      <w:hyperlink w:anchor="SENTENCIA_2013_25" w:history="1">
        <w:r w:rsidRPr="00E27756">
          <w:rPr>
            <w:rStyle w:val="TextoNormalCaracter"/>
          </w:rPr>
          <w:t>25/2013</w:t>
        </w:r>
      </w:hyperlink>
      <w:r>
        <w:t xml:space="preserve">, f. 3; </w:t>
      </w:r>
      <w:hyperlink w:anchor="SENTENCIA_2013_26" w:history="1">
        <w:r w:rsidRPr="00E27756">
          <w:rPr>
            <w:rStyle w:val="TextoNormalCaracter"/>
          </w:rPr>
          <w:t>26/2013</w:t>
        </w:r>
      </w:hyperlink>
      <w:r>
        <w:t xml:space="preserve">, ff. 3, 6, 7; </w:t>
      </w:r>
      <w:hyperlink w:anchor="SENTENCIA_2013_34" w:history="1">
        <w:r w:rsidRPr="00E27756">
          <w:rPr>
            <w:rStyle w:val="TextoNormalCaracter"/>
          </w:rPr>
          <w:t>34/2013</w:t>
        </w:r>
      </w:hyperlink>
      <w:r>
        <w:t xml:space="preserve">, f. 20; </w:t>
      </w:r>
      <w:hyperlink w:anchor="SENTENCIA_2013_37" w:history="1">
        <w:r w:rsidRPr="00E27756">
          <w:rPr>
            <w:rStyle w:val="TextoNormalCaracter"/>
          </w:rPr>
          <w:t>37/2013</w:t>
        </w:r>
      </w:hyperlink>
      <w:r>
        <w:t xml:space="preserve">, f. 2; </w:t>
      </w:r>
      <w:hyperlink w:anchor="SENTENCIA_2013_40" w:history="1">
        <w:r w:rsidRPr="00E27756">
          <w:rPr>
            <w:rStyle w:val="TextoNormalCaracter"/>
          </w:rPr>
          <w:t>40/2013</w:t>
        </w:r>
      </w:hyperlink>
      <w:r>
        <w:t xml:space="preserve">, ff. 5, 6; </w:t>
      </w:r>
      <w:hyperlink w:anchor="SENTENCIA_2013_46" w:history="1">
        <w:r w:rsidRPr="00E27756">
          <w:rPr>
            <w:rStyle w:val="TextoNormalCaracter"/>
          </w:rPr>
          <w:t>46/2013</w:t>
        </w:r>
      </w:hyperlink>
      <w:r>
        <w:t xml:space="preserve">, f. 3; </w:t>
      </w:r>
      <w:hyperlink w:anchor="SENTENCIA_2013_47" w:history="1">
        <w:r w:rsidRPr="00E27756">
          <w:rPr>
            <w:rStyle w:val="TextoNormalCaracter"/>
          </w:rPr>
          <w:t>47/2013</w:t>
        </w:r>
      </w:hyperlink>
      <w:r>
        <w:t xml:space="preserve">, f. 1; </w:t>
      </w:r>
      <w:hyperlink w:anchor="SENTENCIA_2013_50" w:history="1">
        <w:r w:rsidRPr="00E27756">
          <w:rPr>
            <w:rStyle w:val="TextoNormalCaracter"/>
          </w:rPr>
          <w:t>50/2013</w:t>
        </w:r>
      </w:hyperlink>
      <w:r>
        <w:t xml:space="preserve">, ff. 1, 5; </w:t>
      </w:r>
      <w:hyperlink w:anchor="SENTENCIA_2013_52" w:history="1">
        <w:r w:rsidRPr="00E27756">
          <w:rPr>
            <w:rStyle w:val="TextoNormalCaracter"/>
          </w:rPr>
          <w:t>52/2013</w:t>
        </w:r>
      </w:hyperlink>
      <w:r>
        <w:t xml:space="preserve">, ff. 5, 6; </w:t>
      </w:r>
      <w:hyperlink w:anchor="SENTENCIA_2013_65" w:history="1">
        <w:r w:rsidRPr="00E27756">
          <w:rPr>
            <w:rStyle w:val="TextoNormalCaracter"/>
          </w:rPr>
          <w:t>65/2013</w:t>
        </w:r>
      </w:hyperlink>
      <w:r>
        <w:t xml:space="preserve">, f. 1; </w:t>
      </w:r>
      <w:hyperlink w:anchor="SENTENCIA_2013_70" w:history="1">
        <w:r w:rsidRPr="00E27756">
          <w:rPr>
            <w:rStyle w:val="TextoNormalCaracter"/>
          </w:rPr>
          <w:t>70/2013</w:t>
        </w:r>
      </w:hyperlink>
      <w:r>
        <w:t xml:space="preserve">, ff. 3 a 6; </w:t>
      </w:r>
      <w:hyperlink w:anchor="SENTENCIA_2013_84" w:history="1">
        <w:r w:rsidRPr="00E27756">
          <w:rPr>
            <w:rStyle w:val="TextoNormalCaracter"/>
          </w:rPr>
          <w:t>84/2013</w:t>
        </w:r>
      </w:hyperlink>
      <w:r>
        <w:t xml:space="preserve">, f. 4; </w:t>
      </w:r>
      <w:hyperlink w:anchor="SENTENCIA_2013_91" w:history="1">
        <w:r w:rsidRPr="00E27756">
          <w:rPr>
            <w:rStyle w:val="TextoNormalCaracter"/>
          </w:rPr>
          <w:t>91/2013</w:t>
        </w:r>
      </w:hyperlink>
      <w:r>
        <w:t xml:space="preserve">, ff. 1, 2; </w:t>
      </w:r>
      <w:hyperlink w:anchor="SENTENCIA_2013_93" w:history="1">
        <w:r w:rsidRPr="00E27756">
          <w:rPr>
            <w:rStyle w:val="TextoNormalCaracter"/>
          </w:rPr>
          <w:t>93/2013</w:t>
        </w:r>
      </w:hyperlink>
      <w:r>
        <w:t xml:space="preserve">, f. 6; </w:t>
      </w:r>
      <w:hyperlink w:anchor="SENTENCIA_2013_94" w:history="1">
        <w:r w:rsidRPr="00E27756">
          <w:rPr>
            <w:rStyle w:val="TextoNormalCaracter"/>
          </w:rPr>
          <w:t>94/2013</w:t>
        </w:r>
      </w:hyperlink>
      <w:r>
        <w:t xml:space="preserve">, f. 7, VP I, VP II; </w:t>
      </w:r>
      <w:hyperlink w:anchor="SENTENCIA_2013_96" w:history="1">
        <w:r w:rsidRPr="00E27756">
          <w:rPr>
            <w:rStyle w:val="TextoNormalCaracter"/>
          </w:rPr>
          <w:t>96/2013</w:t>
        </w:r>
      </w:hyperlink>
      <w:r>
        <w:t xml:space="preserve">, ff. 1, 3, 4; </w:t>
      </w:r>
      <w:hyperlink w:anchor="SENTENCIA_2013_97" w:history="1">
        <w:r w:rsidRPr="00E27756">
          <w:rPr>
            <w:rStyle w:val="TextoNormalCaracter"/>
          </w:rPr>
          <w:t>97/2013</w:t>
        </w:r>
      </w:hyperlink>
      <w:r>
        <w:t xml:space="preserve">, f. 4; </w:t>
      </w:r>
      <w:hyperlink w:anchor="SENTENCIA_2013_98" w:history="1">
        <w:r w:rsidRPr="00E27756">
          <w:rPr>
            <w:rStyle w:val="TextoNormalCaracter"/>
          </w:rPr>
          <w:t>98/2013</w:t>
        </w:r>
      </w:hyperlink>
      <w:r>
        <w:t xml:space="preserve">, ff. 1 a 3, 5; </w:t>
      </w:r>
      <w:hyperlink w:anchor="SENTENCIA_2013_123" w:history="1">
        <w:r w:rsidRPr="00E27756">
          <w:rPr>
            <w:rStyle w:val="TextoNormalCaracter"/>
          </w:rPr>
          <w:t>123/2013</w:t>
        </w:r>
      </w:hyperlink>
      <w:r>
        <w:t xml:space="preserve">, f. 9; </w:t>
      </w:r>
      <w:hyperlink w:anchor="SENTENCIA_2013_130" w:history="1">
        <w:r w:rsidRPr="00E27756">
          <w:rPr>
            <w:rStyle w:val="TextoNormalCaracter"/>
          </w:rPr>
          <w:t>130/2013</w:t>
        </w:r>
      </w:hyperlink>
      <w:r>
        <w:t xml:space="preserve">, f. 13; </w:t>
      </w:r>
      <w:hyperlink w:anchor="SENTENCIA_2013_131" w:history="1">
        <w:r w:rsidRPr="00E27756">
          <w:rPr>
            <w:rStyle w:val="TextoNormalCaracter"/>
          </w:rPr>
          <w:t>131/2013</w:t>
        </w:r>
      </w:hyperlink>
      <w:r>
        <w:t xml:space="preserve">, ff. 1, 6, 7; </w:t>
      </w:r>
      <w:hyperlink w:anchor="SENTENCIA_2013_137" w:history="1">
        <w:r w:rsidRPr="00E27756">
          <w:rPr>
            <w:rStyle w:val="TextoNormalCaracter"/>
          </w:rPr>
          <w:t>137/2013</w:t>
        </w:r>
      </w:hyperlink>
      <w:r>
        <w:t>, ff. 1, 3.</w:t>
      </w:r>
    </w:p>
    <w:p w:rsidR="00E27756" w:rsidRDefault="00E27756" w:rsidP="00E27756">
      <w:pPr>
        <w:pStyle w:val="SangriaIzquierdaArticulo"/>
      </w:pPr>
      <w:r>
        <w:t xml:space="preserve">Autos </w:t>
      </w:r>
      <w:hyperlink w:anchor="AUTO_2013_23" w:history="1">
        <w:r w:rsidRPr="00E27756">
          <w:rPr>
            <w:rStyle w:val="TextoNormalCaracter"/>
          </w:rPr>
          <w:t>23/2013</w:t>
        </w:r>
      </w:hyperlink>
      <w:r>
        <w:t xml:space="preserve">, f. 1; </w:t>
      </w:r>
      <w:hyperlink w:anchor="AUTO_2013_33" w:history="1">
        <w:r w:rsidRPr="00E27756">
          <w:rPr>
            <w:rStyle w:val="TextoNormalCaracter"/>
          </w:rPr>
          <w:t>33/2013</w:t>
        </w:r>
      </w:hyperlink>
      <w:r>
        <w:t xml:space="preserve">, f. 1; </w:t>
      </w:r>
      <w:hyperlink w:anchor="AUTO_2013_58" w:history="1">
        <w:r w:rsidRPr="00E27756">
          <w:rPr>
            <w:rStyle w:val="TextoNormalCaracter"/>
          </w:rPr>
          <w:t>58/2013</w:t>
        </w:r>
      </w:hyperlink>
      <w:r>
        <w:t xml:space="preserve">, f. 1; </w:t>
      </w:r>
      <w:hyperlink w:anchor="AUTO_2013_88" w:history="1">
        <w:r w:rsidRPr="00E27756">
          <w:rPr>
            <w:rStyle w:val="TextoNormalCaracter"/>
          </w:rPr>
          <w:t>88/2013</w:t>
        </w:r>
      </w:hyperlink>
      <w:r>
        <w:t>, f. 1.</w:t>
      </w:r>
    </w:p>
    <w:p w:rsidR="00E27756" w:rsidRDefault="00E27756" w:rsidP="00E27756">
      <w:pPr>
        <w:pStyle w:val="SangriaFrancesaArticulo"/>
      </w:pPr>
      <w:r w:rsidRPr="00E27756">
        <w:rPr>
          <w:rStyle w:val="TextoNormalNegritaCaracter"/>
        </w:rPr>
        <w:t>Artículo 149.1.2.</w:t>
      </w:r>
      <w:r w:rsidRPr="00E27756">
        <w:rPr>
          <w:rStyle w:val="TextoNormalCaracter"/>
        </w:rPr>
        <w:t>-</w:t>
      </w:r>
      <w:r>
        <w:t xml:space="preserve"> Sentencia </w:t>
      </w:r>
      <w:hyperlink w:anchor="SENTENCIA_2013_26" w:history="1">
        <w:r w:rsidRPr="00E27756">
          <w:rPr>
            <w:rStyle w:val="TextoNormalCaracter"/>
          </w:rPr>
          <w:t>26/2013</w:t>
        </w:r>
      </w:hyperlink>
      <w:r>
        <w:t>, ff. 3, 5.</w:t>
      </w:r>
    </w:p>
    <w:p w:rsidR="00E27756" w:rsidRDefault="00E27756" w:rsidP="00E27756">
      <w:pPr>
        <w:pStyle w:val="SangriaIzquierdaArticulo"/>
      </w:pPr>
      <w:r>
        <w:t xml:space="preserve">Auto </w:t>
      </w:r>
      <w:hyperlink w:anchor="AUTO_2013_88" w:history="1">
        <w:r w:rsidRPr="00E27756">
          <w:rPr>
            <w:rStyle w:val="TextoNormalCaracter"/>
          </w:rPr>
          <w:t>88/2013</w:t>
        </w:r>
      </w:hyperlink>
      <w:r>
        <w:t>, f. 1.</w:t>
      </w:r>
    </w:p>
    <w:p w:rsidR="00E27756" w:rsidRDefault="00E27756" w:rsidP="00E27756">
      <w:pPr>
        <w:pStyle w:val="SangriaFrancesaArticulo"/>
      </w:pPr>
      <w:r w:rsidRPr="00E27756">
        <w:rPr>
          <w:rStyle w:val="TextoNormalNegritaCaracter"/>
        </w:rPr>
        <w:t>Artículo 149.1.3.</w:t>
      </w:r>
      <w:r w:rsidRPr="00E27756">
        <w:rPr>
          <w:rStyle w:val="TextoNormalCaracter"/>
        </w:rPr>
        <w:t>-</w:t>
      </w:r>
      <w:r>
        <w:t xml:space="preserve"> Sentencias </w:t>
      </w:r>
      <w:hyperlink w:anchor="SENTENCIA_2013_21" w:history="1">
        <w:r w:rsidRPr="00E27756">
          <w:rPr>
            <w:rStyle w:val="TextoNormalCaracter"/>
          </w:rPr>
          <w:t>21/2013</w:t>
        </w:r>
      </w:hyperlink>
      <w:r>
        <w:t xml:space="preserve">, f. 5; </w:t>
      </w:r>
      <w:hyperlink w:anchor="SENTENCIA_2013_52" w:history="1">
        <w:r w:rsidRPr="00E27756">
          <w:rPr>
            <w:rStyle w:val="TextoNormalCaracter"/>
          </w:rPr>
          <w:t>52/2013</w:t>
        </w:r>
      </w:hyperlink>
      <w:r>
        <w:t xml:space="preserve">, f. 5; </w:t>
      </w:r>
      <w:hyperlink w:anchor="SENTENCIA_2013_65" w:history="1">
        <w:r w:rsidRPr="00E27756">
          <w:rPr>
            <w:rStyle w:val="TextoNormalCaracter"/>
          </w:rPr>
          <w:t>65/2013</w:t>
        </w:r>
      </w:hyperlink>
      <w:r>
        <w:t>, f. 3.</w:t>
      </w:r>
    </w:p>
    <w:p w:rsidR="00E27756" w:rsidRDefault="00E27756" w:rsidP="00E27756">
      <w:pPr>
        <w:pStyle w:val="SangriaFrancesaArticulo"/>
      </w:pPr>
      <w:r w:rsidRPr="00E27756">
        <w:rPr>
          <w:rStyle w:val="TextoNormalNegritaCaracter"/>
        </w:rPr>
        <w:t>Artículo 149.1.5.</w:t>
      </w:r>
      <w:r w:rsidRPr="00E27756">
        <w:rPr>
          <w:rStyle w:val="TextoNormalCaracter"/>
        </w:rPr>
        <w:t>-</w:t>
      </w:r>
      <w:r>
        <w:t xml:space="preserve"> Sentencia </w:t>
      </w:r>
      <w:hyperlink w:anchor="SENTENCIA_2013_18" w:history="1">
        <w:r w:rsidRPr="00E27756">
          <w:rPr>
            <w:rStyle w:val="TextoNormalCaracter"/>
          </w:rPr>
          <w:t>18/2013</w:t>
        </w:r>
      </w:hyperlink>
      <w:r>
        <w:t>, ff. 1, 3.</w:t>
      </w:r>
    </w:p>
    <w:p w:rsidR="00E27756" w:rsidRDefault="00E27756" w:rsidP="00E27756">
      <w:pPr>
        <w:pStyle w:val="SangriaFrancesaArticulo"/>
      </w:pPr>
      <w:r w:rsidRPr="00E27756">
        <w:rPr>
          <w:rStyle w:val="TextoNormalNegritaCaracter"/>
        </w:rPr>
        <w:t>Artículo 149.1.6.</w:t>
      </w:r>
      <w:r w:rsidRPr="00E27756">
        <w:rPr>
          <w:rStyle w:val="TextoNormalCaracter"/>
        </w:rPr>
        <w:t>-</w:t>
      </w:r>
      <w:r>
        <w:t xml:space="preserve"> Sentencias </w:t>
      </w:r>
      <w:hyperlink w:anchor="SENTENCIA_2013_21" w:history="1">
        <w:r w:rsidRPr="00E27756">
          <w:rPr>
            <w:rStyle w:val="TextoNormalCaracter"/>
          </w:rPr>
          <w:t>21/2013</w:t>
        </w:r>
      </w:hyperlink>
      <w:r>
        <w:t xml:space="preserve">, f. 5; </w:t>
      </w:r>
      <w:hyperlink w:anchor="SENTENCIA_2013_26" w:history="1">
        <w:r w:rsidRPr="00E27756">
          <w:rPr>
            <w:rStyle w:val="TextoNormalCaracter"/>
          </w:rPr>
          <w:t>26/2013</w:t>
        </w:r>
      </w:hyperlink>
      <w:r>
        <w:t xml:space="preserve">, f. 6; </w:t>
      </w:r>
      <w:hyperlink w:anchor="SENTENCIA_2013_40" w:history="1">
        <w:r w:rsidRPr="00E27756">
          <w:rPr>
            <w:rStyle w:val="TextoNormalCaracter"/>
          </w:rPr>
          <w:t>40/2013</w:t>
        </w:r>
      </w:hyperlink>
      <w:r>
        <w:t xml:space="preserve">, f. 5; </w:t>
      </w:r>
      <w:hyperlink w:anchor="SENTENCIA_2013_42" w:history="1">
        <w:r w:rsidRPr="00E27756">
          <w:rPr>
            <w:rStyle w:val="TextoNormalCaracter"/>
          </w:rPr>
          <w:t>42/2013</w:t>
        </w:r>
      </w:hyperlink>
      <w:r>
        <w:t xml:space="preserve">, f. 1; </w:t>
      </w:r>
      <w:hyperlink w:anchor="SENTENCIA_2013_52" w:history="1">
        <w:r w:rsidRPr="00E27756">
          <w:rPr>
            <w:rStyle w:val="TextoNormalCaracter"/>
          </w:rPr>
          <w:t>52/2013</w:t>
        </w:r>
      </w:hyperlink>
      <w:r>
        <w:t xml:space="preserve">, f. 5; </w:t>
      </w:r>
      <w:hyperlink w:anchor="SENTENCIA_2013_70" w:history="1">
        <w:r w:rsidRPr="00E27756">
          <w:rPr>
            <w:rStyle w:val="TextoNormalCaracter"/>
          </w:rPr>
          <w:t>70/2013</w:t>
        </w:r>
      </w:hyperlink>
      <w:r>
        <w:t xml:space="preserve">, f. 3; </w:t>
      </w:r>
      <w:hyperlink w:anchor="SENTENCIA_2013_92" w:history="1">
        <w:r w:rsidRPr="00E27756">
          <w:rPr>
            <w:rStyle w:val="TextoNormalCaracter"/>
          </w:rPr>
          <w:t>92/2013</w:t>
        </w:r>
      </w:hyperlink>
      <w:r>
        <w:t xml:space="preserve">, ff. 1, 2, 4, 6; </w:t>
      </w:r>
      <w:hyperlink w:anchor="SENTENCIA_2013_94" w:history="1">
        <w:r w:rsidRPr="00E27756">
          <w:rPr>
            <w:rStyle w:val="TextoNormalCaracter"/>
          </w:rPr>
          <w:t>94/2013</w:t>
        </w:r>
      </w:hyperlink>
      <w:r>
        <w:t xml:space="preserve">, f. 3; </w:t>
      </w:r>
      <w:hyperlink w:anchor="SENTENCIA_2013_98" w:history="1">
        <w:r w:rsidRPr="00E27756">
          <w:rPr>
            <w:rStyle w:val="TextoNormalCaracter"/>
          </w:rPr>
          <w:t>98/2013</w:t>
        </w:r>
      </w:hyperlink>
      <w:r>
        <w:t>, f. 2.</w:t>
      </w:r>
    </w:p>
    <w:p w:rsidR="00E27756" w:rsidRDefault="00E27756" w:rsidP="00E27756">
      <w:pPr>
        <w:pStyle w:val="SangriaIzquierdaArticulo"/>
      </w:pPr>
      <w:r>
        <w:t xml:space="preserve">Autos </w:t>
      </w:r>
      <w:hyperlink w:anchor="AUTO_2013_104" w:history="1">
        <w:r w:rsidRPr="00E27756">
          <w:rPr>
            <w:rStyle w:val="TextoNormalCaracter"/>
          </w:rPr>
          <w:t>104/2013</w:t>
        </w:r>
      </w:hyperlink>
      <w:r>
        <w:t xml:space="preserve">, f. único; </w:t>
      </w:r>
      <w:hyperlink w:anchor="AUTO_2013_105" w:history="1">
        <w:r w:rsidRPr="00E27756">
          <w:rPr>
            <w:rStyle w:val="TextoNormalCaracter"/>
          </w:rPr>
          <w:t>105/2013</w:t>
        </w:r>
      </w:hyperlink>
      <w:r>
        <w:t xml:space="preserve">, f. único; </w:t>
      </w:r>
      <w:hyperlink w:anchor="AUTO_2013_106" w:history="1">
        <w:r w:rsidRPr="00E27756">
          <w:rPr>
            <w:rStyle w:val="TextoNormalCaracter"/>
          </w:rPr>
          <w:t>106/2013</w:t>
        </w:r>
      </w:hyperlink>
      <w:r>
        <w:t xml:space="preserve">, f. único; </w:t>
      </w:r>
      <w:hyperlink w:anchor="AUTO_2013_107" w:history="1">
        <w:r w:rsidRPr="00E27756">
          <w:rPr>
            <w:rStyle w:val="TextoNormalCaracter"/>
          </w:rPr>
          <w:t>107/2013</w:t>
        </w:r>
      </w:hyperlink>
      <w:r>
        <w:t xml:space="preserve">, f. único; </w:t>
      </w:r>
      <w:hyperlink w:anchor="AUTO_2013_108" w:history="1">
        <w:r w:rsidRPr="00E27756">
          <w:rPr>
            <w:rStyle w:val="TextoNormalCaracter"/>
          </w:rPr>
          <w:t>108/2013</w:t>
        </w:r>
      </w:hyperlink>
      <w:r>
        <w:t xml:space="preserve">, f. único; </w:t>
      </w:r>
      <w:hyperlink w:anchor="AUTO_2013_109" w:history="1">
        <w:r w:rsidRPr="00E27756">
          <w:rPr>
            <w:rStyle w:val="TextoNormalCaracter"/>
          </w:rPr>
          <w:t>109/2013</w:t>
        </w:r>
      </w:hyperlink>
      <w:r>
        <w:t xml:space="preserve">, f. único; </w:t>
      </w:r>
      <w:hyperlink w:anchor="AUTO_2013_110" w:history="1">
        <w:r w:rsidRPr="00E27756">
          <w:rPr>
            <w:rStyle w:val="TextoNormalCaracter"/>
          </w:rPr>
          <w:t>110/2013</w:t>
        </w:r>
      </w:hyperlink>
      <w:r>
        <w:t xml:space="preserve">, f. único; </w:t>
      </w:r>
      <w:hyperlink w:anchor="AUTO_2013_111" w:history="1">
        <w:r w:rsidRPr="00E27756">
          <w:rPr>
            <w:rStyle w:val="TextoNormalCaracter"/>
          </w:rPr>
          <w:t>111/2013</w:t>
        </w:r>
      </w:hyperlink>
      <w:r>
        <w:t xml:space="preserve">, f. único; </w:t>
      </w:r>
      <w:hyperlink w:anchor="AUTO_2013_112" w:history="1">
        <w:r w:rsidRPr="00E27756">
          <w:rPr>
            <w:rStyle w:val="TextoNormalCaracter"/>
          </w:rPr>
          <w:t>112/2013</w:t>
        </w:r>
      </w:hyperlink>
      <w:r>
        <w:t xml:space="preserve">, f. único; </w:t>
      </w:r>
      <w:hyperlink w:anchor="AUTO_2013_113" w:history="1">
        <w:r w:rsidRPr="00E27756">
          <w:rPr>
            <w:rStyle w:val="TextoNormalCaracter"/>
          </w:rPr>
          <w:t>113/2013</w:t>
        </w:r>
      </w:hyperlink>
      <w:r>
        <w:t xml:space="preserve">, f. único; </w:t>
      </w:r>
      <w:hyperlink w:anchor="AUTO_2013_114" w:history="1">
        <w:r w:rsidRPr="00E27756">
          <w:rPr>
            <w:rStyle w:val="TextoNormalCaracter"/>
          </w:rPr>
          <w:t>114/2013</w:t>
        </w:r>
      </w:hyperlink>
      <w:r>
        <w:t xml:space="preserve">, f. único; </w:t>
      </w:r>
      <w:hyperlink w:anchor="AUTO_2013_115" w:history="1">
        <w:r w:rsidRPr="00E27756">
          <w:rPr>
            <w:rStyle w:val="TextoNormalCaracter"/>
          </w:rPr>
          <w:t>115/2013</w:t>
        </w:r>
      </w:hyperlink>
      <w:r>
        <w:t xml:space="preserve">, f. único; </w:t>
      </w:r>
      <w:hyperlink w:anchor="AUTO_2013_117" w:history="1">
        <w:r w:rsidRPr="00E27756">
          <w:rPr>
            <w:rStyle w:val="TextoNormalCaracter"/>
          </w:rPr>
          <w:t>117/2013</w:t>
        </w:r>
      </w:hyperlink>
      <w:r>
        <w:t xml:space="preserve">, f. único; </w:t>
      </w:r>
      <w:hyperlink w:anchor="AUTO_2013_118" w:history="1">
        <w:r w:rsidRPr="00E27756">
          <w:rPr>
            <w:rStyle w:val="TextoNormalCaracter"/>
          </w:rPr>
          <w:t>118/2013</w:t>
        </w:r>
      </w:hyperlink>
      <w:r>
        <w:t xml:space="preserve">, f. único; </w:t>
      </w:r>
      <w:hyperlink w:anchor="AUTO_2013_119" w:history="1">
        <w:r w:rsidRPr="00E27756">
          <w:rPr>
            <w:rStyle w:val="TextoNormalCaracter"/>
          </w:rPr>
          <w:t>119/2013</w:t>
        </w:r>
      </w:hyperlink>
      <w:r>
        <w:t xml:space="preserve">, f. único; </w:t>
      </w:r>
      <w:hyperlink w:anchor="AUTO_2013_124" w:history="1">
        <w:r w:rsidRPr="00E27756">
          <w:rPr>
            <w:rStyle w:val="TextoNormalCaracter"/>
          </w:rPr>
          <w:t>124/2013</w:t>
        </w:r>
      </w:hyperlink>
      <w:r>
        <w:t xml:space="preserve">, f. 3; </w:t>
      </w:r>
      <w:hyperlink w:anchor="AUTO_2013_140" w:history="1">
        <w:r w:rsidRPr="00E27756">
          <w:rPr>
            <w:rStyle w:val="TextoNormalCaracter"/>
          </w:rPr>
          <w:t>140/2013</w:t>
        </w:r>
      </w:hyperlink>
      <w:r>
        <w:t>, f. único.</w:t>
      </w:r>
    </w:p>
    <w:p w:rsidR="00E27756" w:rsidRDefault="00E27756" w:rsidP="00E27756">
      <w:pPr>
        <w:pStyle w:val="SangriaFrancesaArticulo"/>
      </w:pPr>
      <w:r w:rsidRPr="00E27756">
        <w:rPr>
          <w:rStyle w:val="TextoNormalNegritaCaracter"/>
        </w:rPr>
        <w:t>Artículo 149.1.7.</w:t>
      </w:r>
      <w:r w:rsidRPr="00E27756">
        <w:rPr>
          <w:rStyle w:val="TextoNormalCaracter"/>
        </w:rPr>
        <w:t>-</w:t>
      </w:r>
      <w:r>
        <w:t xml:space="preserve"> Sentencias </w:t>
      </w:r>
      <w:hyperlink w:anchor="SENTENCIA_2013_7" w:history="1">
        <w:r w:rsidRPr="00E27756">
          <w:rPr>
            <w:rStyle w:val="TextoNormalCaracter"/>
          </w:rPr>
          <w:t>7/2013</w:t>
        </w:r>
      </w:hyperlink>
      <w:r>
        <w:t xml:space="preserve">, ff. 1, 3, 5; </w:t>
      </w:r>
      <w:hyperlink w:anchor="SENTENCIA_2013_16" w:history="1">
        <w:r w:rsidRPr="00E27756">
          <w:rPr>
            <w:rStyle w:val="TextoNormalCaracter"/>
          </w:rPr>
          <w:t>16/2013</w:t>
        </w:r>
      </w:hyperlink>
      <w:r>
        <w:t xml:space="preserve">, ff. 1, 3, 4; </w:t>
      </w:r>
      <w:hyperlink w:anchor="SENTENCIA_2013_21" w:history="1">
        <w:r w:rsidRPr="00E27756">
          <w:rPr>
            <w:rStyle w:val="TextoNormalCaracter"/>
          </w:rPr>
          <w:t>21/2013</w:t>
        </w:r>
      </w:hyperlink>
      <w:r>
        <w:t xml:space="preserve">, f. 5; </w:t>
      </w:r>
      <w:hyperlink w:anchor="SENTENCIA_2013_26" w:history="1">
        <w:r w:rsidRPr="00E27756">
          <w:rPr>
            <w:rStyle w:val="TextoNormalCaracter"/>
          </w:rPr>
          <w:t>26/2013</w:t>
        </w:r>
      </w:hyperlink>
      <w:r>
        <w:t xml:space="preserve">, f. 6; </w:t>
      </w:r>
      <w:hyperlink w:anchor="SENTENCIA_2013_35" w:history="1">
        <w:r w:rsidRPr="00E27756">
          <w:rPr>
            <w:rStyle w:val="TextoNormalCaracter"/>
          </w:rPr>
          <w:t>35/2013</w:t>
        </w:r>
      </w:hyperlink>
      <w:r>
        <w:t xml:space="preserve">, ff. 1, 3-5, 9; </w:t>
      </w:r>
      <w:hyperlink w:anchor="SENTENCIA_2013_37" w:history="1">
        <w:r w:rsidRPr="00E27756">
          <w:rPr>
            <w:rStyle w:val="TextoNormalCaracter"/>
          </w:rPr>
          <w:t>37/2013</w:t>
        </w:r>
      </w:hyperlink>
      <w:r>
        <w:t xml:space="preserve">, ff. 2, 4; </w:t>
      </w:r>
      <w:hyperlink w:anchor="SENTENCIA_2013_40" w:history="1">
        <w:r w:rsidRPr="00E27756">
          <w:rPr>
            <w:rStyle w:val="TextoNormalCaracter"/>
          </w:rPr>
          <w:t>40/2013</w:t>
        </w:r>
      </w:hyperlink>
      <w:r>
        <w:t xml:space="preserve">, f. 5; </w:t>
      </w:r>
      <w:hyperlink w:anchor="SENTENCIA_2013_52" w:history="1">
        <w:r w:rsidRPr="00E27756">
          <w:rPr>
            <w:rStyle w:val="TextoNormalCaracter"/>
          </w:rPr>
          <w:t>52/2013</w:t>
        </w:r>
      </w:hyperlink>
      <w:r>
        <w:t xml:space="preserve">, f. 5; </w:t>
      </w:r>
      <w:hyperlink w:anchor="SENTENCIA_2013_62" w:history="1">
        <w:r w:rsidRPr="00E27756">
          <w:rPr>
            <w:rStyle w:val="TextoNormalCaracter"/>
          </w:rPr>
          <w:t>62/2013</w:t>
        </w:r>
      </w:hyperlink>
      <w:r>
        <w:t xml:space="preserve">, ff. 1, 3; </w:t>
      </w:r>
      <w:hyperlink w:anchor="SENTENCIA_2013_65" w:history="1">
        <w:r w:rsidRPr="00E27756">
          <w:rPr>
            <w:rStyle w:val="TextoNormalCaracter"/>
          </w:rPr>
          <w:t>65/2013</w:t>
        </w:r>
      </w:hyperlink>
      <w:r>
        <w:t xml:space="preserve">, ff. 1, 3; </w:t>
      </w:r>
      <w:hyperlink w:anchor="SENTENCIA_2013_70" w:history="1">
        <w:r w:rsidRPr="00E27756">
          <w:rPr>
            <w:rStyle w:val="TextoNormalCaracter"/>
          </w:rPr>
          <w:t>70/2013</w:t>
        </w:r>
      </w:hyperlink>
      <w:r>
        <w:t xml:space="preserve">, f. 3; </w:t>
      </w:r>
      <w:hyperlink w:anchor="SENTENCIA_2013_81" w:history="1">
        <w:r w:rsidRPr="00E27756">
          <w:rPr>
            <w:rStyle w:val="TextoNormalCaracter"/>
          </w:rPr>
          <w:t>81/2013</w:t>
        </w:r>
      </w:hyperlink>
      <w:r>
        <w:t xml:space="preserve">, VP; </w:t>
      </w:r>
      <w:hyperlink w:anchor="SENTENCIA_2013_95" w:history="1">
        <w:r w:rsidRPr="00E27756">
          <w:rPr>
            <w:rStyle w:val="TextoNormalCaracter"/>
          </w:rPr>
          <w:t>95/2013</w:t>
        </w:r>
      </w:hyperlink>
      <w:r>
        <w:t xml:space="preserve">, ff. 1, 3 a 6;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149.1.8.</w:t>
      </w:r>
      <w:r w:rsidRPr="00E27756">
        <w:rPr>
          <w:rStyle w:val="TextoNormalCaracter"/>
        </w:rPr>
        <w:t>-</w:t>
      </w:r>
      <w:r>
        <w:t xml:space="preserve"> Sentencias </w:t>
      </w:r>
      <w:hyperlink w:anchor="SENTENCIA_2013_42" w:history="1">
        <w:r w:rsidRPr="00E27756">
          <w:rPr>
            <w:rStyle w:val="TextoNormalCaracter"/>
          </w:rPr>
          <w:t>42/2013</w:t>
        </w:r>
      </w:hyperlink>
      <w:r>
        <w:t xml:space="preserve">, f. 1; </w:t>
      </w:r>
      <w:hyperlink w:anchor="SENTENCIA_2013_81" w:history="1">
        <w:r w:rsidRPr="00E27756">
          <w:rPr>
            <w:rStyle w:val="TextoNormalCaracter"/>
          </w:rPr>
          <w:t>81/2013</w:t>
        </w:r>
      </w:hyperlink>
      <w:r>
        <w:t xml:space="preserve">, f. 1; </w:t>
      </w:r>
      <w:hyperlink w:anchor="SENTENCIA_2013_81" w:history="1">
        <w:r w:rsidRPr="00E27756">
          <w:rPr>
            <w:rStyle w:val="TextoNormalCaracter"/>
          </w:rPr>
          <w:t>81/2013</w:t>
        </w:r>
      </w:hyperlink>
      <w:r>
        <w:t xml:space="preserve">, ff. 1, 3 a 5, VP; </w:t>
      </w:r>
      <w:hyperlink w:anchor="SENTENCIA_2013_93" w:history="1">
        <w:r w:rsidRPr="00E27756">
          <w:rPr>
            <w:rStyle w:val="TextoNormalCaracter"/>
          </w:rPr>
          <w:t>93/2013</w:t>
        </w:r>
      </w:hyperlink>
      <w:r>
        <w:t xml:space="preserve">, ff. 1, 5, 6, 10, 11, VP I; </w:t>
      </w:r>
      <w:hyperlink w:anchor="SENTENCIA_2013_94" w:history="1">
        <w:r w:rsidRPr="00E27756">
          <w:rPr>
            <w:rStyle w:val="TextoNormalCaracter"/>
          </w:rPr>
          <w:t>94/2013</w:t>
        </w:r>
      </w:hyperlink>
      <w:r>
        <w:t xml:space="preserve">, ff. 3, 7; </w:t>
      </w:r>
      <w:hyperlink w:anchor="SENTENCIA_2013_98" w:history="1">
        <w:r w:rsidRPr="00E27756">
          <w:rPr>
            <w:rStyle w:val="TextoNormalCaracter"/>
          </w:rPr>
          <w:t>98/2013</w:t>
        </w:r>
      </w:hyperlink>
      <w:r>
        <w:t>, ff. 1 a 3.</w:t>
      </w:r>
    </w:p>
    <w:p w:rsidR="00E27756" w:rsidRDefault="00E27756" w:rsidP="00E27756">
      <w:pPr>
        <w:pStyle w:val="SangriaIzquierdaArticulo"/>
      </w:pPr>
      <w:r>
        <w:t xml:space="preserve">Autos </w:t>
      </w:r>
      <w:hyperlink w:anchor="AUTO_2013_93" w:history="1">
        <w:r w:rsidRPr="00E27756">
          <w:rPr>
            <w:rStyle w:val="TextoNormalCaracter"/>
          </w:rPr>
          <w:t>93/2013</w:t>
        </w:r>
      </w:hyperlink>
      <w:r>
        <w:t xml:space="preserve">, ff. 1, 2; </w:t>
      </w:r>
      <w:hyperlink w:anchor="AUTO_2013_124" w:history="1">
        <w:r w:rsidRPr="00E27756">
          <w:rPr>
            <w:rStyle w:val="TextoNormalCaracter"/>
          </w:rPr>
          <w:t>124/2013</w:t>
        </w:r>
      </w:hyperlink>
      <w:r>
        <w:t>, f. 3.</w:t>
      </w:r>
    </w:p>
    <w:p w:rsidR="00E27756" w:rsidRDefault="00E27756" w:rsidP="00E27756">
      <w:pPr>
        <w:pStyle w:val="SangriaFrancesaArticulo"/>
      </w:pPr>
      <w:r w:rsidRPr="00E27756">
        <w:rPr>
          <w:rStyle w:val="TextoNormalNegritaCaracter"/>
        </w:rPr>
        <w:t>Artículo 149.1.11.</w:t>
      </w:r>
      <w:r w:rsidRPr="00E27756">
        <w:rPr>
          <w:rStyle w:val="TextoNormalCaracter"/>
        </w:rPr>
        <w:t>-</w:t>
      </w:r>
      <w:r>
        <w:t xml:space="preserve"> Auto </w:t>
      </w:r>
      <w:hyperlink w:anchor="AUTO_2013_124" w:history="1">
        <w:r w:rsidRPr="00E27756">
          <w:rPr>
            <w:rStyle w:val="TextoNormalCaracter"/>
          </w:rPr>
          <w:t>124/2013</w:t>
        </w:r>
      </w:hyperlink>
      <w:r>
        <w:t>, f. 3.</w:t>
      </w:r>
    </w:p>
    <w:p w:rsidR="00E27756" w:rsidRDefault="00E27756" w:rsidP="00E27756">
      <w:pPr>
        <w:pStyle w:val="SangriaFrancesaArticulo"/>
      </w:pPr>
      <w:r w:rsidRPr="00E27756">
        <w:rPr>
          <w:rStyle w:val="TextoNormalNegritaCaracter"/>
        </w:rPr>
        <w:t>Artículo 149.1.13.</w:t>
      </w:r>
      <w:r w:rsidRPr="00E27756">
        <w:rPr>
          <w:rStyle w:val="TextoNormalCaracter"/>
        </w:rPr>
        <w:t>-</w:t>
      </w:r>
      <w:r>
        <w:t xml:space="preserve"> Sentencias </w:t>
      </w:r>
      <w:hyperlink w:anchor="SENTENCIA_2013_4" w:history="1">
        <w:r w:rsidRPr="00E27756">
          <w:rPr>
            <w:rStyle w:val="TextoNormalCaracter"/>
          </w:rPr>
          <w:t>4/2013</w:t>
        </w:r>
      </w:hyperlink>
      <w:r>
        <w:t xml:space="preserve">, ff. 1, 2, 4, 5; </w:t>
      </w:r>
      <w:hyperlink w:anchor="SENTENCIA_2013_8" w:history="1">
        <w:r w:rsidRPr="00E27756">
          <w:rPr>
            <w:rStyle w:val="TextoNormalCaracter"/>
          </w:rPr>
          <w:t>8/2013</w:t>
        </w:r>
      </w:hyperlink>
      <w:r>
        <w:t xml:space="preserve">, f. 3; </w:t>
      </w:r>
      <w:hyperlink w:anchor="SENTENCIA_2013_16" w:history="1">
        <w:r w:rsidRPr="00E27756">
          <w:rPr>
            <w:rStyle w:val="TextoNormalCaracter"/>
          </w:rPr>
          <w:t>16/2013</w:t>
        </w:r>
      </w:hyperlink>
      <w:r>
        <w:t xml:space="preserve">, ff. 1, 3, 10; </w:t>
      </w:r>
      <w:hyperlink w:anchor="SENTENCIA_2013_34" w:history="1">
        <w:r w:rsidRPr="00E27756">
          <w:rPr>
            <w:rStyle w:val="TextoNormalCaracter"/>
          </w:rPr>
          <w:t>34/2013</w:t>
        </w:r>
      </w:hyperlink>
      <w:r>
        <w:t xml:space="preserve">, ff. 1, 3, 4, 6, 7, 9, 10, 12-19, 21, VP I; </w:t>
      </w:r>
      <w:hyperlink w:anchor="SENTENCIA_2013_35" w:history="1">
        <w:r w:rsidRPr="00E27756">
          <w:rPr>
            <w:rStyle w:val="TextoNormalCaracter"/>
          </w:rPr>
          <w:t>35/2013</w:t>
        </w:r>
      </w:hyperlink>
      <w:r>
        <w:t xml:space="preserve">, f. 3; </w:t>
      </w:r>
      <w:hyperlink w:anchor="SENTENCIA_2013_36" w:history="1">
        <w:r w:rsidRPr="00E27756">
          <w:rPr>
            <w:rStyle w:val="TextoNormalCaracter"/>
          </w:rPr>
          <w:t>36/2013</w:t>
        </w:r>
      </w:hyperlink>
      <w:r>
        <w:t xml:space="preserve">, f. 7; </w:t>
      </w:r>
      <w:hyperlink w:anchor="SENTENCIA_2013_37" w:history="1">
        <w:r w:rsidRPr="00E27756">
          <w:rPr>
            <w:rStyle w:val="TextoNormalCaracter"/>
          </w:rPr>
          <w:t>37/2013</w:t>
        </w:r>
      </w:hyperlink>
      <w:r>
        <w:t xml:space="preserve">, f. 4; </w:t>
      </w:r>
      <w:hyperlink w:anchor="SENTENCIA_2013_60" w:history="1">
        <w:r w:rsidRPr="00E27756">
          <w:rPr>
            <w:rStyle w:val="TextoNormalCaracter"/>
          </w:rPr>
          <w:t>60/2013</w:t>
        </w:r>
      </w:hyperlink>
      <w:r>
        <w:t xml:space="preserve">, ff. 1, 2, 7; </w:t>
      </w:r>
      <w:hyperlink w:anchor="SENTENCIA_2013_62" w:history="1">
        <w:r w:rsidRPr="00E27756">
          <w:rPr>
            <w:rStyle w:val="TextoNormalCaracter"/>
          </w:rPr>
          <w:t>62/2013</w:t>
        </w:r>
      </w:hyperlink>
      <w:r>
        <w:t xml:space="preserve">, ff. 1, 3; </w:t>
      </w:r>
      <w:hyperlink w:anchor="SENTENCIA_2013_65" w:history="1">
        <w:r w:rsidRPr="00E27756">
          <w:rPr>
            <w:rStyle w:val="TextoNormalCaracter"/>
          </w:rPr>
          <w:t>65/2013</w:t>
        </w:r>
      </w:hyperlink>
      <w:r>
        <w:t xml:space="preserve">, f. 1; </w:t>
      </w:r>
      <w:hyperlink w:anchor="SENTENCIA_2013_70" w:history="1">
        <w:r w:rsidRPr="00E27756">
          <w:rPr>
            <w:rStyle w:val="TextoNormalCaracter"/>
          </w:rPr>
          <w:t>70/2013</w:t>
        </w:r>
      </w:hyperlink>
      <w:r>
        <w:t xml:space="preserve">, ff. 3 a 6; </w:t>
      </w:r>
      <w:hyperlink w:anchor="SENTENCIA_2013_82" w:history="1">
        <w:r w:rsidRPr="00E27756">
          <w:rPr>
            <w:rStyle w:val="TextoNormalCaracter"/>
          </w:rPr>
          <w:t>82/2013</w:t>
        </w:r>
      </w:hyperlink>
      <w:r>
        <w:t xml:space="preserve">, ff. 1 a 6; </w:t>
      </w:r>
      <w:hyperlink w:anchor="SENTENCIA_2013_83" w:history="1">
        <w:r w:rsidRPr="00E27756">
          <w:rPr>
            <w:rStyle w:val="TextoNormalCaracter"/>
          </w:rPr>
          <w:t>83/2013</w:t>
        </w:r>
      </w:hyperlink>
      <w:r>
        <w:t xml:space="preserve">, f. 1; </w:t>
      </w:r>
      <w:hyperlink w:anchor="SENTENCIA_2013_91" w:history="1">
        <w:r w:rsidRPr="00E27756">
          <w:rPr>
            <w:rStyle w:val="TextoNormalCaracter"/>
          </w:rPr>
          <w:t>91/2013</w:t>
        </w:r>
      </w:hyperlink>
      <w:r>
        <w:t xml:space="preserve">, f. 2; </w:t>
      </w:r>
      <w:hyperlink w:anchor="SENTENCIA_2013_94" w:history="1">
        <w:r w:rsidRPr="00E27756">
          <w:rPr>
            <w:rStyle w:val="TextoNormalCaracter"/>
          </w:rPr>
          <w:t>94/2013</w:t>
        </w:r>
      </w:hyperlink>
      <w:r>
        <w:t xml:space="preserve">, f. 9; </w:t>
      </w:r>
      <w:hyperlink w:anchor="SENTENCIA_2013_95" w:history="1">
        <w:r w:rsidRPr="00E27756">
          <w:rPr>
            <w:rStyle w:val="TextoNormalCaracter"/>
          </w:rPr>
          <w:t>95/2013</w:t>
        </w:r>
      </w:hyperlink>
      <w:r>
        <w:t xml:space="preserve">, f. 3; </w:t>
      </w:r>
      <w:hyperlink w:anchor="SENTENCIA_2013_96" w:history="1">
        <w:r w:rsidRPr="00E27756">
          <w:rPr>
            <w:rStyle w:val="TextoNormalCaracter"/>
          </w:rPr>
          <w:t>96/2013</w:t>
        </w:r>
      </w:hyperlink>
      <w:r>
        <w:t xml:space="preserve">, f. 4; </w:t>
      </w:r>
      <w:hyperlink w:anchor="SENTENCIA_2013_102" w:history="1">
        <w:r w:rsidRPr="00E27756">
          <w:rPr>
            <w:rStyle w:val="TextoNormalCaracter"/>
          </w:rPr>
          <w:t>102/2013</w:t>
        </w:r>
      </w:hyperlink>
      <w:r>
        <w:t xml:space="preserve">, ff. 3, 5, 6, 8; </w:t>
      </w:r>
      <w:hyperlink w:anchor="SENTENCIA_2013_104" w:history="1">
        <w:r w:rsidRPr="00E27756">
          <w:rPr>
            <w:rStyle w:val="TextoNormalCaracter"/>
          </w:rPr>
          <w:t>104/2013</w:t>
        </w:r>
      </w:hyperlink>
      <w:r>
        <w:t xml:space="preserve">, ff. 5, 10; </w:t>
      </w:r>
      <w:hyperlink w:anchor="SENTENCIA_2013_107" w:history="1">
        <w:r w:rsidRPr="00E27756">
          <w:rPr>
            <w:rStyle w:val="TextoNormalCaracter"/>
          </w:rPr>
          <w:t>107/2013</w:t>
        </w:r>
      </w:hyperlink>
      <w:r>
        <w:t xml:space="preserve">, f. 2; </w:t>
      </w:r>
      <w:hyperlink w:anchor="SENTENCIA_2013_112" w:history="1">
        <w:r w:rsidRPr="00E27756">
          <w:rPr>
            <w:rStyle w:val="TextoNormalCaracter"/>
          </w:rPr>
          <w:t>112/2013</w:t>
        </w:r>
      </w:hyperlink>
      <w:r>
        <w:t xml:space="preserve">, ff. 1, 3, 5; </w:t>
      </w:r>
      <w:hyperlink w:anchor="SENTENCIA_2013_123" w:history="1">
        <w:r w:rsidRPr="00E27756">
          <w:rPr>
            <w:rStyle w:val="TextoNormalCaracter"/>
          </w:rPr>
          <w:t>123/2013</w:t>
        </w:r>
      </w:hyperlink>
      <w:r>
        <w:t xml:space="preserve">, ff. 2 a 4, 7; </w:t>
      </w:r>
      <w:hyperlink w:anchor="SENTENCIA_2013_130" w:history="1">
        <w:r w:rsidRPr="00E27756">
          <w:rPr>
            <w:rStyle w:val="TextoNormalCaracter"/>
          </w:rPr>
          <w:t>130/2013</w:t>
        </w:r>
      </w:hyperlink>
      <w:r>
        <w:t xml:space="preserve">, ff. 1, 3, 5, 9, 12 a 14, VP; </w:t>
      </w:r>
      <w:hyperlink w:anchor="SENTENCIA_2013_132" w:history="1">
        <w:r w:rsidRPr="00E27756">
          <w:rPr>
            <w:rStyle w:val="TextoNormalCaracter"/>
          </w:rPr>
          <w:t>132/2013</w:t>
        </w:r>
      </w:hyperlink>
      <w:r>
        <w:t xml:space="preserve">, f. 6; </w:t>
      </w:r>
      <w:hyperlink w:anchor="SENTENCIA_2013_135" w:history="1">
        <w:r w:rsidRPr="00E27756">
          <w:rPr>
            <w:rStyle w:val="TextoNormalCaracter"/>
          </w:rPr>
          <w:t>135/2013</w:t>
        </w:r>
      </w:hyperlink>
      <w:r>
        <w:t>, ff. 1, 3 a 5.</w:t>
      </w:r>
    </w:p>
    <w:p w:rsidR="00E27756" w:rsidRDefault="00E27756" w:rsidP="00E27756">
      <w:pPr>
        <w:pStyle w:val="SangriaIzquierdaArticulo"/>
      </w:pPr>
      <w:r>
        <w:t xml:space="preserve">Autos </w:t>
      </w:r>
      <w:hyperlink w:anchor="AUTO_2013_23" w:history="1">
        <w:r w:rsidRPr="00E27756">
          <w:rPr>
            <w:rStyle w:val="TextoNormalCaracter"/>
          </w:rPr>
          <w:t>23/2013</w:t>
        </w:r>
      </w:hyperlink>
      <w:r>
        <w:t xml:space="preserve">, f. 1; </w:t>
      </w:r>
      <w:hyperlink w:anchor="AUTO_2013_80" w:history="1">
        <w:r w:rsidRPr="00E27756">
          <w:rPr>
            <w:rStyle w:val="TextoNormalCaracter"/>
          </w:rPr>
          <w:t>80/2013</w:t>
        </w:r>
      </w:hyperlink>
      <w:r>
        <w:t xml:space="preserve">, f. 1; </w:t>
      </w:r>
      <w:hyperlink w:anchor="AUTO_2013_124" w:history="1">
        <w:r w:rsidRPr="00E27756">
          <w:rPr>
            <w:rStyle w:val="TextoNormalCaracter"/>
          </w:rPr>
          <w:t>124/2013</w:t>
        </w:r>
      </w:hyperlink>
      <w:r>
        <w:t xml:space="preserve">, f. 3; </w:t>
      </w:r>
      <w:hyperlink w:anchor="AUTO_2013_146" w:history="1">
        <w:r w:rsidRPr="00E27756">
          <w:rPr>
            <w:rStyle w:val="TextoNormalCaracter"/>
          </w:rPr>
          <w:t>146/2013</w:t>
        </w:r>
      </w:hyperlink>
      <w:r>
        <w:t>, f. 3.</w:t>
      </w:r>
    </w:p>
    <w:p w:rsidR="00E27756" w:rsidRDefault="00E27756" w:rsidP="00E27756">
      <w:pPr>
        <w:pStyle w:val="SangriaFrancesaArticulo"/>
      </w:pPr>
      <w:r w:rsidRPr="00E27756">
        <w:rPr>
          <w:rStyle w:val="TextoNormalNegritaCaracter"/>
        </w:rPr>
        <w:t>Artículo 149.1.14.</w:t>
      </w:r>
      <w:r w:rsidRPr="00E27756">
        <w:rPr>
          <w:rStyle w:val="TextoNormalCaracter"/>
        </w:rPr>
        <w:t>-</w:t>
      </w:r>
      <w:r>
        <w:t xml:space="preserve"> Sentencias </w:t>
      </w:r>
      <w:hyperlink w:anchor="SENTENCIA_2013_23" w:history="1">
        <w:r w:rsidRPr="00E27756">
          <w:rPr>
            <w:rStyle w:val="TextoNormalCaracter"/>
          </w:rPr>
          <w:t>23/2013</w:t>
        </w:r>
      </w:hyperlink>
      <w:r>
        <w:t xml:space="preserve">, ff. 1, 4; </w:t>
      </w:r>
      <w:hyperlink w:anchor="SENTENCIA_2013_26" w:history="1">
        <w:r w:rsidRPr="00E27756">
          <w:rPr>
            <w:rStyle w:val="TextoNormalCaracter"/>
          </w:rPr>
          <w:t>26/2013</w:t>
        </w:r>
      </w:hyperlink>
      <w:r>
        <w:t xml:space="preserve">, ff. 3, 5; </w:t>
      </w:r>
      <w:hyperlink w:anchor="SENTENCIA_2013_60" w:history="1">
        <w:r w:rsidRPr="00E27756">
          <w:rPr>
            <w:rStyle w:val="TextoNormalCaracter"/>
          </w:rPr>
          <w:t>60/2013</w:t>
        </w:r>
      </w:hyperlink>
      <w:r>
        <w:t xml:space="preserve">, f. 2; </w:t>
      </w:r>
      <w:hyperlink w:anchor="SENTENCIA_2013_83" w:history="1">
        <w:r w:rsidRPr="00E27756">
          <w:rPr>
            <w:rStyle w:val="TextoNormalCaracter"/>
          </w:rPr>
          <w:t>83/2013</w:t>
        </w:r>
      </w:hyperlink>
      <w:r>
        <w:t xml:space="preserve">, f. 1; </w:t>
      </w:r>
      <w:hyperlink w:anchor="SENTENCIA_2013_96" w:history="1">
        <w:r w:rsidRPr="00E27756">
          <w:rPr>
            <w:rStyle w:val="TextoNormalCaracter"/>
          </w:rPr>
          <w:t>96/2013</w:t>
        </w:r>
      </w:hyperlink>
      <w:r>
        <w:t xml:space="preserve">, ff. 5, 8, 10; </w:t>
      </w:r>
      <w:hyperlink w:anchor="SENTENCIA_2013_98" w:history="1">
        <w:r w:rsidRPr="00E27756">
          <w:rPr>
            <w:rStyle w:val="TextoNormalCaracter"/>
          </w:rPr>
          <w:t>98/2013</w:t>
        </w:r>
      </w:hyperlink>
      <w:r>
        <w:t xml:space="preserve">, f. 2; </w:t>
      </w:r>
      <w:hyperlink w:anchor="SENTENCIA_2013_100" w:history="1">
        <w:r w:rsidRPr="00E27756">
          <w:rPr>
            <w:rStyle w:val="TextoNormalCaracter"/>
          </w:rPr>
          <w:t>100/2013</w:t>
        </w:r>
      </w:hyperlink>
      <w:r>
        <w:t xml:space="preserve">, f. 4; </w:t>
      </w:r>
      <w:hyperlink w:anchor="SENTENCIA_2013_101" w:history="1">
        <w:r w:rsidRPr="00E27756">
          <w:rPr>
            <w:rStyle w:val="TextoNormalCaracter"/>
          </w:rPr>
          <w:t>101/2013</w:t>
        </w:r>
      </w:hyperlink>
      <w:r>
        <w:t xml:space="preserve">, ff. 3, 11; </w:t>
      </w:r>
      <w:hyperlink w:anchor="SENTENCIA_2013_130" w:history="1">
        <w:r w:rsidRPr="00E27756">
          <w:rPr>
            <w:rStyle w:val="TextoNormalCaracter"/>
          </w:rPr>
          <w:t>130/2013</w:t>
        </w:r>
      </w:hyperlink>
      <w:r>
        <w:t xml:space="preserve">, ff. 1, 3, 5, 9 a 11, 13, 14, VP; </w:t>
      </w:r>
      <w:hyperlink w:anchor="SENTENCIA_2013_135" w:history="1">
        <w:r w:rsidRPr="00E27756">
          <w:rPr>
            <w:rStyle w:val="TextoNormalCaracter"/>
          </w:rPr>
          <w:t>135/2013</w:t>
        </w:r>
      </w:hyperlink>
      <w:r>
        <w:t>, ff. 1, 3 a 5.</w:t>
      </w:r>
    </w:p>
    <w:p w:rsidR="00E27756" w:rsidRDefault="00E27756" w:rsidP="00E27756">
      <w:pPr>
        <w:pStyle w:val="SangriaIzquierdaArticulo"/>
      </w:pPr>
      <w:r>
        <w:t xml:space="preserve">Auto </w:t>
      </w:r>
      <w:hyperlink w:anchor="AUTO_2013_122" w:history="1">
        <w:r w:rsidRPr="00E27756">
          <w:rPr>
            <w:rStyle w:val="TextoNormalCaracter"/>
          </w:rPr>
          <w:t>122/2013</w:t>
        </w:r>
      </w:hyperlink>
      <w:r>
        <w:t>, f. 1.</w:t>
      </w:r>
    </w:p>
    <w:p w:rsidR="00E27756" w:rsidRDefault="00E27756" w:rsidP="00E27756">
      <w:pPr>
        <w:pStyle w:val="SangriaFrancesaArticulo"/>
      </w:pPr>
      <w:r w:rsidRPr="00E27756">
        <w:rPr>
          <w:rStyle w:val="TextoNormalNegritaCaracter"/>
        </w:rPr>
        <w:t>Artículo 149.1.15.</w:t>
      </w:r>
      <w:r w:rsidRPr="00E27756">
        <w:rPr>
          <w:rStyle w:val="TextoNormalCaracter"/>
        </w:rPr>
        <w:t>-</w:t>
      </w:r>
      <w:r>
        <w:t xml:space="preserve"> Sentencias </w:t>
      </w:r>
      <w:hyperlink w:anchor="SENTENCIA_2013_49" w:history="1">
        <w:r w:rsidRPr="00E27756">
          <w:rPr>
            <w:rStyle w:val="TextoNormalCaracter"/>
          </w:rPr>
          <w:t>49/2013</w:t>
        </w:r>
      </w:hyperlink>
      <w:r>
        <w:t xml:space="preserve">, f. 7; </w:t>
      </w:r>
      <w:hyperlink w:anchor="SENTENCIA_2013_131" w:history="1">
        <w:r w:rsidRPr="00E27756">
          <w:rPr>
            <w:rStyle w:val="TextoNormalCaracter"/>
          </w:rPr>
          <w:t>131/2013</w:t>
        </w:r>
      </w:hyperlink>
      <w:r>
        <w:t>, ff. 6, 7.</w:t>
      </w:r>
    </w:p>
    <w:p w:rsidR="00E27756" w:rsidRDefault="00E27756" w:rsidP="00E27756">
      <w:pPr>
        <w:pStyle w:val="SangriaFrancesaArticulo"/>
      </w:pPr>
      <w:r w:rsidRPr="00E27756">
        <w:rPr>
          <w:rStyle w:val="TextoNormalNegritaCaracter"/>
        </w:rPr>
        <w:t>Artículo 149.1.16.</w:t>
      </w:r>
      <w:r w:rsidRPr="00E27756">
        <w:rPr>
          <w:rStyle w:val="TextoNormalCaracter"/>
        </w:rPr>
        <w:t>-</w:t>
      </w:r>
      <w:r>
        <w:t xml:space="preserve"> Sentencias </w:t>
      </w:r>
      <w:hyperlink w:anchor="SENTENCIA_2013_96" w:history="1">
        <w:r w:rsidRPr="00E27756">
          <w:rPr>
            <w:rStyle w:val="TextoNormalCaracter"/>
          </w:rPr>
          <w:t>96/2013</w:t>
        </w:r>
      </w:hyperlink>
      <w:r>
        <w:t xml:space="preserve">, f. 7; </w:t>
      </w:r>
      <w:hyperlink w:anchor="SENTENCIA_2013_137" w:history="1">
        <w:r w:rsidRPr="00E27756">
          <w:rPr>
            <w:rStyle w:val="TextoNormalCaracter"/>
          </w:rPr>
          <w:t>137/2013</w:t>
        </w:r>
      </w:hyperlink>
      <w:r>
        <w:t>, ff. 1, 3, 5.</w:t>
      </w:r>
    </w:p>
    <w:p w:rsidR="00E27756" w:rsidRDefault="00E27756" w:rsidP="00E27756">
      <w:pPr>
        <w:pStyle w:val="SangriaIzquierdaArticulo"/>
      </w:pPr>
      <w:r>
        <w:t xml:space="preserve">Autos </w:t>
      </w:r>
      <w:hyperlink w:anchor="AUTO_2013_88" w:history="1">
        <w:r w:rsidRPr="00E27756">
          <w:rPr>
            <w:rStyle w:val="TextoNormalCaracter"/>
          </w:rPr>
          <w:t>88/2013</w:t>
        </w:r>
      </w:hyperlink>
      <w:r>
        <w:t xml:space="preserve">, f. 1; </w:t>
      </w:r>
      <w:hyperlink w:anchor="AUTO_2013_122" w:history="1">
        <w:r w:rsidRPr="00E27756">
          <w:rPr>
            <w:rStyle w:val="TextoNormalCaracter"/>
          </w:rPr>
          <w:t>122/2013</w:t>
        </w:r>
      </w:hyperlink>
      <w:r>
        <w:t xml:space="preserve">, ff. 1, 3; </w:t>
      </w:r>
      <w:hyperlink w:anchor="AUTO_2013_142" w:history="1">
        <w:r w:rsidRPr="00E27756">
          <w:rPr>
            <w:rStyle w:val="TextoNormalCaracter"/>
          </w:rPr>
          <w:t>142/2013</w:t>
        </w:r>
      </w:hyperlink>
      <w:r>
        <w:t>, f. 1.</w:t>
      </w:r>
    </w:p>
    <w:p w:rsidR="00E27756" w:rsidRDefault="00E27756" w:rsidP="00E27756">
      <w:pPr>
        <w:pStyle w:val="SangriaFrancesaArticulo"/>
      </w:pPr>
      <w:r w:rsidRPr="00E27756">
        <w:rPr>
          <w:rStyle w:val="TextoNormalNegritaCaracter"/>
        </w:rPr>
        <w:t>Artículo 149.1.17.</w:t>
      </w:r>
      <w:r w:rsidRPr="00E27756">
        <w:rPr>
          <w:rStyle w:val="TextoNormalCaracter"/>
        </w:rPr>
        <w:t>-</w:t>
      </w:r>
      <w:r>
        <w:t xml:space="preserve"> Sentencias </w:t>
      </w:r>
      <w:hyperlink w:anchor="SENTENCIA_2013_16" w:history="1">
        <w:r w:rsidRPr="00E27756">
          <w:rPr>
            <w:rStyle w:val="TextoNormalCaracter"/>
          </w:rPr>
          <w:t>16/2013</w:t>
        </w:r>
      </w:hyperlink>
      <w:r>
        <w:t xml:space="preserve">, ff. 1, 3, 10; </w:t>
      </w:r>
      <w:hyperlink w:anchor="SENTENCIA_2013_21" w:history="1">
        <w:r w:rsidRPr="00E27756">
          <w:rPr>
            <w:rStyle w:val="TextoNormalCaracter"/>
          </w:rPr>
          <w:t>21/2013</w:t>
        </w:r>
      </w:hyperlink>
      <w:r>
        <w:t xml:space="preserve">, f. 5; </w:t>
      </w:r>
      <w:hyperlink w:anchor="SENTENCIA_2013_26" w:history="1">
        <w:r w:rsidRPr="00E27756">
          <w:rPr>
            <w:rStyle w:val="TextoNormalCaracter"/>
          </w:rPr>
          <w:t>26/2013</w:t>
        </w:r>
      </w:hyperlink>
      <w:r>
        <w:t xml:space="preserve">, f. 6; </w:t>
      </w:r>
      <w:hyperlink w:anchor="SENTENCIA_2013_35" w:history="1">
        <w:r w:rsidRPr="00E27756">
          <w:rPr>
            <w:rStyle w:val="TextoNormalCaracter"/>
          </w:rPr>
          <w:t>35/2013</w:t>
        </w:r>
      </w:hyperlink>
      <w:r>
        <w:t xml:space="preserve">, f. 3; </w:t>
      </w:r>
      <w:hyperlink w:anchor="SENTENCIA_2013_40" w:history="1">
        <w:r w:rsidRPr="00E27756">
          <w:rPr>
            <w:rStyle w:val="TextoNormalCaracter"/>
          </w:rPr>
          <w:t>40/2013</w:t>
        </w:r>
      </w:hyperlink>
      <w:r>
        <w:t xml:space="preserve">, f. 5; </w:t>
      </w:r>
      <w:hyperlink w:anchor="SENTENCIA_2013_52" w:history="1">
        <w:r w:rsidRPr="00E27756">
          <w:rPr>
            <w:rStyle w:val="TextoNormalCaracter"/>
          </w:rPr>
          <w:t>52/2013</w:t>
        </w:r>
      </w:hyperlink>
      <w:r>
        <w:t xml:space="preserve">, f. 5; </w:t>
      </w:r>
      <w:hyperlink w:anchor="SENTENCIA_2013_62" w:history="1">
        <w:r w:rsidRPr="00E27756">
          <w:rPr>
            <w:rStyle w:val="TextoNormalCaracter"/>
          </w:rPr>
          <w:t>62/2013</w:t>
        </w:r>
      </w:hyperlink>
      <w:r>
        <w:t xml:space="preserve">, ff. 1, 3; </w:t>
      </w:r>
      <w:hyperlink w:anchor="SENTENCIA_2013_70" w:history="1">
        <w:r w:rsidRPr="00E27756">
          <w:rPr>
            <w:rStyle w:val="TextoNormalCaracter"/>
          </w:rPr>
          <w:t>70/2013</w:t>
        </w:r>
      </w:hyperlink>
      <w:r>
        <w:t xml:space="preserve">, f. 3; </w:t>
      </w:r>
      <w:hyperlink w:anchor="SENTENCIA_2013_94" w:history="1">
        <w:r w:rsidRPr="00E27756">
          <w:rPr>
            <w:rStyle w:val="TextoNormalCaracter"/>
          </w:rPr>
          <w:t>94/2013</w:t>
        </w:r>
      </w:hyperlink>
      <w:r>
        <w:t xml:space="preserve">, f. 3; </w:t>
      </w:r>
      <w:hyperlink w:anchor="SENTENCIA_2013_95" w:history="1">
        <w:r w:rsidRPr="00E27756">
          <w:rPr>
            <w:rStyle w:val="TextoNormalCaracter"/>
          </w:rPr>
          <w:t>95/2013</w:t>
        </w:r>
      </w:hyperlink>
      <w:r>
        <w:t xml:space="preserve">, ff. 1, 3; </w:t>
      </w:r>
      <w:hyperlink w:anchor="SENTENCIA_2013_104" w:history="1">
        <w:r w:rsidRPr="00E27756">
          <w:rPr>
            <w:rStyle w:val="TextoNormalCaracter"/>
          </w:rPr>
          <w:t>104/2013</w:t>
        </w:r>
      </w:hyperlink>
      <w:r>
        <w:t xml:space="preserve">, f. 4; </w:t>
      </w:r>
      <w:hyperlink w:anchor="SENTENCIA_2013_137" w:history="1">
        <w:r w:rsidRPr="00E27756">
          <w:rPr>
            <w:rStyle w:val="TextoNormalCaracter"/>
          </w:rPr>
          <w:t>137/2013</w:t>
        </w:r>
      </w:hyperlink>
      <w:r>
        <w:t>, ff. 1, 3.</w:t>
      </w:r>
    </w:p>
    <w:p w:rsidR="00E27756" w:rsidRDefault="00E27756" w:rsidP="00E27756">
      <w:pPr>
        <w:pStyle w:val="SangriaIzquierdaArticulo"/>
      </w:pPr>
      <w:r>
        <w:t xml:space="preserve">Auto </w:t>
      </w:r>
      <w:hyperlink w:anchor="AUTO_2013_88" w:history="1">
        <w:r w:rsidRPr="00E27756">
          <w:rPr>
            <w:rStyle w:val="TextoNormalCaracter"/>
          </w:rPr>
          <w:t>88/2013</w:t>
        </w:r>
      </w:hyperlink>
      <w:r>
        <w:t>, f. 1.</w:t>
      </w:r>
    </w:p>
    <w:p w:rsidR="00E27756" w:rsidRDefault="00E27756" w:rsidP="00E27756">
      <w:pPr>
        <w:pStyle w:val="SangriaFrancesaArticulo"/>
      </w:pPr>
      <w:r w:rsidRPr="00E27756">
        <w:rPr>
          <w:rStyle w:val="TextoNormalNegritaCaracter"/>
        </w:rPr>
        <w:t>Artículo 149.1.18.</w:t>
      </w:r>
      <w:r w:rsidRPr="00E27756">
        <w:rPr>
          <w:rStyle w:val="TextoNormalCaracter"/>
        </w:rPr>
        <w:t>-</w:t>
      </w:r>
      <w:r>
        <w:t xml:space="preserve"> Sentencias </w:t>
      </w:r>
      <w:hyperlink w:anchor="SENTENCIA_2013_3" w:history="1">
        <w:r w:rsidRPr="00E27756">
          <w:rPr>
            <w:rStyle w:val="TextoNormalCaracter"/>
          </w:rPr>
          <w:t>3/2013</w:t>
        </w:r>
      </w:hyperlink>
      <w:r>
        <w:t xml:space="preserve">, ff. 3, 5, 7, 8; </w:t>
      </w:r>
      <w:hyperlink w:anchor="SENTENCIA_2013_5" w:history="1">
        <w:r w:rsidRPr="00E27756">
          <w:rPr>
            <w:rStyle w:val="TextoNormalCaracter"/>
          </w:rPr>
          <w:t>5/2013</w:t>
        </w:r>
      </w:hyperlink>
      <w:r>
        <w:t xml:space="preserve">, f. 1; </w:t>
      </w:r>
      <w:hyperlink w:anchor="SENTENCIA_2013_6" w:history="1">
        <w:r w:rsidRPr="00E27756">
          <w:rPr>
            <w:rStyle w:val="TextoNormalCaracter"/>
          </w:rPr>
          <w:t>6/2013</w:t>
        </w:r>
      </w:hyperlink>
      <w:r>
        <w:t xml:space="preserve">, ff. 1, 7; </w:t>
      </w:r>
      <w:hyperlink w:anchor="SENTENCIA_2013_7" w:history="1">
        <w:r w:rsidRPr="00E27756">
          <w:rPr>
            <w:rStyle w:val="TextoNormalCaracter"/>
          </w:rPr>
          <w:t>7/2013</w:t>
        </w:r>
      </w:hyperlink>
      <w:r>
        <w:t xml:space="preserve">, ff. 1, 3, 5; </w:t>
      </w:r>
      <w:hyperlink w:anchor="SENTENCIA_2013_15" w:history="1">
        <w:r w:rsidRPr="00E27756">
          <w:rPr>
            <w:rStyle w:val="TextoNormalCaracter"/>
          </w:rPr>
          <w:t>15/2013</w:t>
        </w:r>
      </w:hyperlink>
      <w:r>
        <w:t xml:space="preserve">, f. 1; </w:t>
      </w:r>
      <w:hyperlink w:anchor="SENTENCIA_2013_17" w:history="1">
        <w:r w:rsidRPr="00E27756">
          <w:rPr>
            <w:rStyle w:val="TextoNormalCaracter"/>
          </w:rPr>
          <w:t>17/2013</w:t>
        </w:r>
      </w:hyperlink>
      <w:r>
        <w:t xml:space="preserve">, ff. 1, 10, 11; </w:t>
      </w:r>
      <w:hyperlink w:anchor="SENTENCIA_2013_23" w:history="1">
        <w:r w:rsidRPr="00E27756">
          <w:rPr>
            <w:rStyle w:val="TextoNormalCaracter"/>
          </w:rPr>
          <w:t>23/2013</w:t>
        </w:r>
      </w:hyperlink>
      <w:r>
        <w:t xml:space="preserve">, ff. 1, 4; </w:t>
      </w:r>
      <w:hyperlink w:anchor="SENTENCIA_2013_26" w:history="1">
        <w:r w:rsidRPr="00E27756">
          <w:rPr>
            <w:rStyle w:val="TextoNormalCaracter"/>
          </w:rPr>
          <w:t>26/2013</w:t>
        </w:r>
      </w:hyperlink>
      <w:r>
        <w:t xml:space="preserve">, ff. 3, 5; </w:t>
      </w:r>
      <w:hyperlink w:anchor="SENTENCIA_2013_33" w:history="1">
        <w:r w:rsidRPr="00E27756">
          <w:rPr>
            <w:rStyle w:val="TextoNormalCaracter"/>
          </w:rPr>
          <w:t>33/2013</w:t>
        </w:r>
      </w:hyperlink>
      <w:r>
        <w:t xml:space="preserve">, ff. 2, 5, 6; </w:t>
      </w:r>
      <w:hyperlink w:anchor="SENTENCIA_2013_34" w:history="1">
        <w:r w:rsidRPr="00E27756">
          <w:rPr>
            <w:rStyle w:val="TextoNormalCaracter"/>
          </w:rPr>
          <w:t>34/2013</w:t>
        </w:r>
      </w:hyperlink>
      <w:r>
        <w:t xml:space="preserve">, ff. 16, 18, VP I; </w:t>
      </w:r>
      <w:hyperlink w:anchor="SENTENCIA_2013_36" w:history="1">
        <w:r w:rsidRPr="00E27756">
          <w:rPr>
            <w:rStyle w:val="TextoNormalCaracter"/>
          </w:rPr>
          <w:t>36/2013</w:t>
        </w:r>
      </w:hyperlink>
      <w:r>
        <w:t xml:space="preserve">, f. 7; </w:t>
      </w:r>
      <w:hyperlink w:anchor="SENTENCIA_2013_46" w:history="1">
        <w:r w:rsidRPr="00E27756">
          <w:rPr>
            <w:rStyle w:val="TextoNormalCaracter"/>
          </w:rPr>
          <w:t>46/2013</w:t>
        </w:r>
      </w:hyperlink>
      <w:r>
        <w:t xml:space="preserve">, f. 3; </w:t>
      </w:r>
      <w:hyperlink w:anchor="SENTENCIA_2013_49" w:history="1">
        <w:r w:rsidRPr="00E27756">
          <w:rPr>
            <w:rStyle w:val="TextoNormalCaracter"/>
          </w:rPr>
          <w:t>49/2013</w:t>
        </w:r>
      </w:hyperlink>
      <w:r>
        <w:t xml:space="preserve">, ff. 10, 11; </w:t>
      </w:r>
      <w:hyperlink w:anchor="SENTENCIA_2013_50" w:history="1">
        <w:r w:rsidRPr="00E27756">
          <w:rPr>
            <w:rStyle w:val="TextoNormalCaracter"/>
          </w:rPr>
          <w:t>50/2013</w:t>
        </w:r>
      </w:hyperlink>
      <w:r>
        <w:t xml:space="preserve">, ff. 1, 4, 5; </w:t>
      </w:r>
      <w:hyperlink w:anchor="SENTENCIA_2013_81" w:history="1">
        <w:r w:rsidRPr="00E27756">
          <w:rPr>
            <w:rStyle w:val="TextoNormalCaracter"/>
          </w:rPr>
          <w:t>81/2013</w:t>
        </w:r>
      </w:hyperlink>
      <w:r>
        <w:t xml:space="preserve">, ff. 1, 3, 6, VP; </w:t>
      </w:r>
      <w:hyperlink w:anchor="SENTENCIA_2013_89" w:history="1">
        <w:r w:rsidRPr="00E27756">
          <w:rPr>
            <w:rStyle w:val="TextoNormalCaracter"/>
          </w:rPr>
          <w:t>89/2013</w:t>
        </w:r>
      </w:hyperlink>
      <w:r>
        <w:t xml:space="preserve">, ff. 2 a 4; </w:t>
      </w:r>
      <w:hyperlink w:anchor="SENTENCIA_2013_91" w:history="1">
        <w:r w:rsidRPr="00E27756">
          <w:rPr>
            <w:rStyle w:val="TextoNormalCaracter"/>
          </w:rPr>
          <w:t>91/2013</w:t>
        </w:r>
      </w:hyperlink>
      <w:r>
        <w:t xml:space="preserve">, ff. 1, 2; </w:t>
      </w:r>
      <w:hyperlink w:anchor="SENTENCIA_2013_92" w:history="1">
        <w:r w:rsidRPr="00E27756">
          <w:rPr>
            <w:rStyle w:val="TextoNormalCaracter"/>
          </w:rPr>
          <w:t>92/2013</w:t>
        </w:r>
      </w:hyperlink>
      <w:r>
        <w:t xml:space="preserve">, ff. 1 a 3; </w:t>
      </w:r>
      <w:hyperlink w:anchor="SENTENCIA_2013_93" w:history="1">
        <w:r w:rsidRPr="00E27756">
          <w:rPr>
            <w:rStyle w:val="TextoNormalCaracter"/>
          </w:rPr>
          <w:t>93/2013</w:t>
        </w:r>
      </w:hyperlink>
      <w:r>
        <w:t xml:space="preserve">, f. 13; </w:t>
      </w:r>
      <w:hyperlink w:anchor="SENTENCIA_2013_94" w:history="1">
        <w:r w:rsidRPr="00E27756">
          <w:rPr>
            <w:rStyle w:val="TextoNormalCaracter"/>
          </w:rPr>
          <w:t>94/2013</w:t>
        </w:r>
      </w:hyperlink>
      <w:r>
        <w:t xml:space="preserve">, ff. 1, 3, 4, 6 a 8, VP I, VP II; </w:t>
      </w:r>
      <w:hyperlink w:anchor="SENTENCIA_2013_103" w:history="1">
        <w:r w:rsidRPr="00E27756">
          <w:rPr>
            <w:rStyle w:val="TextoNormalCaracter"/>
          </w:rPr>
          <w:t>103/2013</w:t>
        </w:r>
      </w:hyperlink>
      <w:r>
        <w:t xml:space="preserve">, ff. 1, 2, 4, 5; </w:t>
      </w:r>
      <w:hyperlink w:anchor="SENTENCIA_2013_112" w:history="1">
        <w:r w:rsidRPr="00E27756">
          <w:rPr>
            <w:rStyle w:val="TextoNormalCaracter"/>
          </w:rPr>
          <w:t>112/2013</w:t>
        </w:r>
      </w:hyperlink>
      <w:r>
        <w:t xml:space="preserve">, f. 3; </w:t>
      </w:r>
      <w:hyperlink w:anchor="SENTENCIA_2013_123" w:history="1">
        <w:r w:rsidRPr="00E27756">
          <w:rPr>
            <w:rStyle w:val="TextoNormalCaracter"/>
          </w:rPr>
          <w:t>123/2013</w:t>
        </w:r>
      </w:hyperlink>
      <w:r>
        <w:t xml:space="preserve">, f. 9; </w:t>
      </w:r>
      <w:hyperlink w:anchor="SENTENCIA_2013_130" w:history="1">
        <w:r w:rsidRPr="00E27756">
          <w:rPr>
            <w:rStyle w:val="TextoNormalCaracter"/>
          </w:rPr>
          <w:t>130/2013</w:t>
        </w:r>
      </w:hyperlink>
      <w:r>
        <w:t xml:space="preserve">, ff. 1, 3, 5 a 11, 13, 14, VP; </w:t>
      </w:r>
      <w:hyperlink w:anchor="SENTENCIA_2013_131" w:history="1">
        <w:r w:rsidRPr="00E27756">
          <w:rPr>
            <w:rStyle w:val="TextoNormalCaracter"/>
          </w:rPr>
          <w:t>131/2013</w:t>
        </w:r>
      </w:hyperlink>
      <w:r>
        <w:t xml:space="preserve">, ff. 6, 7; </w:t>
      </w:r>
      <w:hyperlink w:anchor="SENTENCIA_2013_135" w:history="1">
        <w:r w:rsidRPr="00E27756">
          <w:rPr>
            <w:rStyle w:val="TextoNormalCaracter"/>
          </w:rPr>
          <w:t>135/2013</w:t>
        </w:r>
      </w:hyperlink>
      <w:r>
        <w:t xml:space="preserve">, ff. 1, 3 a 5; </w:t>
      </w:r>
      <w:hyperlink w:anchor="SENTENCIA_2013_137" w:history="1">
        <w:r w:rsidRPr="00E27756">
          <w:rPr>
            <w:rStyle w:val="TextoNormalCaracter"/>
          </w:rPr>
          <w:t>137/2013</w:t>
        </w:r>
      </w:hyperlink>
      <w:r>
        <w:t>, f. 7.</w:t>
      </w:r>
    </w:p>
    <w:p w:rsidR="00E27756" w:rsidRDefault="00E27756" w:rsidP="00E27756">
      <w:pPr>
        <w:pStyle w:val="SangriaIzquierdaArticulo"/>
      </w:pPr>
      <w:r>
        <w:lastRenderedPageBreak/>
        <w:t xml:space="preserve">Autos </w:t>
      </w:r>
      <w:hyperlink w:anchor="AUTO_2013_23" w:history="1">
        <w:r w:rsidRPr="00E27756">
          <w:rPr>
            <w:rStyle w:val="TextoNormalCaracter"/>
          </w:rPr>
          <w:t>23/2013</w:t>
        </w:r>
      </w:hyperlink>
      <w:r>
        <w:t xml:space="preserve">, f. 1; </w:t>
      </w:r>
      <w:hyperlink w:anchor="AUTO_2013_67" w:history="1">
        <w:r w:rsidRPr="00E27756">
          <w:rPr>
            <w:rStyle w:val="TextoNormalCaracter"/>
          </w:rPr>
          <w:t>67/2013</w:t>
        </w:r>
      </w:hyperlink>
      <w:r>
        <w:t xml:space="preserve">, f. 1; </w:t>
      </w:r>
      <w:hyperlink w:anchor="AUTO_2013_80" w:history="1">
        <w:r w:rsidRPr="00E27756">
          <w:rPr>
            <w:rStyle w:val="TextoNormalCaracter"/>
          </w:rPr>
          <w:t>80/2013</w:t>
        </w:r>
      </w:hyperlink>
      <w:r>
        <w:t xml:space="preserve">, f. 1; </w:t>
      </w:r>
      <w:hyperlink w:anchor="AUTO_2013_85" w:history="1">
        <w:r w:rsidRPr="00E27756">
          <w:rPr>
            <w:rStyle w:val="TextoNormalCaracter"/>
          </w:rPr>
          <w:t>85/2013</w:t>
        </w:r>
      </w:hyperlink>
      <w:r>
        <w:t xml:space="preserve">, ff. 1, 4, 5; </w:t>
      </w:r>
      <w:hyperlink w:anchor="AUTO_2013_104" w:history="1">
        <w:r w:rsidRPr="00E27756">
          <w:rPr>
            <w:rStyle w:val="TextoNormalCaracter"/>
          </w:rPr>
          <w:t>104/2013</w:t>
        </w:r>
      </w:hyperlink>
      <w:r>
        <w:t xml:space="preserve">, f. único; </w:t>
      </w:r>
      <w:hyperlink w:anchor="AUTO_2013_105" w:history="1">
        <w:r w:rsidRPr="00E27756">
          <w:rPr>
            <w:rStyle w:val="TextoNormalCaracter"/>
          </w:rPr>
          <w:t>105/2013</w:t>
        </w:r>
      </w:hyperlink>
      <w:r>
        <w:t xml:space="preserve">, f. único; </w:t>
      </w:r>
      <w:hyperlink w:anchor="AUTO_2013_106" w:history="1">
        <w:r w:rsidRPr="00E27756">
          <w:rPr>
            <w:rStyle w:val="TextoNormalCaracter"/>
          </w:rPr>
          <w:t>106/2013</w:t>
        </w:r>
      </w:hyperlink>
      <w:r>
        <w:t xml:space="preserve">, f. único; </w:t>
      </w:r>
      <w:hyperlink w:anchor="AUTO_2013_107" w:history="1">
        <w:r w:rsidRPr="00E27756">
          <w:rPr>
            <w:rStyle w:val="TextoNormalCaracter"/>
          </w:rPr>
          <w:t>107/2013</w:t>
        </w:r>
      </w:hyperlink>
      <w:r>
        <w:t xml:space="preserve">, f. único; </w:t>
      </w:r>
      <w:hyperlink w:anchor="AUTO_2013_108" w:history="1">
        <w:r w:rsidRPr="00E27756">
          <w:rPr>
            <w:rStyle w:val="TextoNormalCaracter"/>
          </w:rPr>
          <w:t>108/2013</w:t>
        </w:r>
      </w:hyperlink>
      <w:r>
        <w:t xml:space="preserve">, f. único; </w:t>
      </w:r>
      <w:hyperlink w:anchor="AUTO_2013_109" w:history="1">
        <w:r w:rsidRPr="00E27756">
          <w:rPr>
            <w:rStyle w:val="TextoNormalCaracter"/>
          </w:rPr>
          <w:t>109/2013</w:t>
        </w:r>
      </w:hyperlink>
      <w:r>
        <w:t xml:space="preserve">, f. único; </w:t>
      </w:r>
      <w:hyperlink w:anchor="AUTO_2013_110" w:history="1">
        <w:r w:rsidRPr="00E27756">
          <w:rPr>
            <w:rStyle w:val="TextoNormalCaracter"/>
          </w:rPr>
          <w:t>110/2013</w:t>
        </w:r>
      </w:hyperlink>
      <w:r>
        <w:t xml:space="preserve">, f. único; </w:t>
      </w:r>
      <w:hyperlink w:anchor="AUTO_2013_111" w:history="1">
        <w:r w:rsidRPr="00E27756">
          <w:rPr>
            <w:rStyle w:val="TextoNormalCaracter"/>
          </w:rPr>
          <w:t>111/2013</w:t>
        </w:r>
      </w:hyperlink>
      <w:r>
        <w:t xml:space="preserve">, f. único; </w:t>
      </w:r>
      <w:hyperlink w:anchor="AUTO_2013_112" w:history="1">
        <w:r w:rsidRPr="00E27756">
          <w:rPr>
            <w:rStyle w:val="TextoNormalCaracter"/>
          </w:rPr>
          <w:t>112/2013</w:t>
        </w:r>
      </w:hyperlink>
      <w:r>
        <w:t xml:space="preserve">, f. único; </w:t>
      </w:r>
      <w:hyperlink w:anchor="AUTO_2013_113" w:history="1">
        <w:r w:rsidRPr="00E27756">
          <w:rPr>
            <w:rStyle w:val="TextoNormalCaracter"/>
          </w:rPr>
          <w:t>113/2013</w:t>
        </w:r>
      </w:hyperlink>
      <w:r>
        <w:t xml:space="preserve">, f. único; </w:t>
      </w:r>
      <w:hyperlink w:anchor="AUTO_2013_114" w:history="1">
        <w:r w:rsidRPr="00E27756">
          <w:rPr>
            <w:rStyle w:val="TextoNormalCaracter"/>
          </w:rPr>
          <w:t>114/2013</w:t>
        </w:r>
      </w:hyperlink>
      <w:r>
        <w:t xml:space="preserve">, f. único; </w:t>
      </w:r>
      <w:hyperlink w:anchor="AUTO_2013_115" w:history="1">
        <w:r w:rsidRPr="00E27756">
          <w:rPr>
            <w:rStyle w:val="TextoNormalCaracter"/>
          </w:rPr>
          <w:t>115/2013</w:t>
        </w:r>
      </w:hyperlink>
      <w:r>
        <w:t xml:space="preserve">, f. único; </w:t>
      </w:r>
      <w:hyperlink w:anchor="AUTO_2013_117" w:history="1">
        <w:r w:rsidRPr="00E27756">
          <w:rPr>
            <w:rStyle w:val="TextoNormalCaracter"/>
          </w:rPr>
          <w:t>117/2013</w:t>
        </w:r>
      </w:hyperlink>
      <w:r>
        <w:t xml:space="preserve">, f. único; </w:t>
      </w:r>
      <w:hyperlink w:anchor="AUTO_2013_118" w:history="1">
        <w:r w:rsidRPr="00E27756">
          <w:rPr>
            <w:rStyle w:val="TextoNormalCaracter"/>
          </w:rPr>
          <w:t>118/2013</w:t>
        </w:r>
      </w:hyperlink>
      <w:r>
        <w:t xml:space="preserve">, f. único; </w:t>
      </w:r>
      <w:hyperlink w:anchor="AUTO_2013_119" w:history="1">
        <w:r w:rsidRPr="00E27756">
          <w:rPr>
            <w:rStyle w:val="TextoNormalCaracter"/>
          </w:rPr>
          <w:t>119/2013</w:t>
        </w:r>
      </w:hyperlink>
      <w:r>
        <w:t xml:space="preserve">, f. único; </w:t>
      </w:r>
      <w:hyperlink w:anchor="AUTO_2013_125" w:history="1">
        <w:r w:rsidRPr="00E27756">
          <w:rPr>
            <w:rStyle w:val="TextoNormalCaracter"/>
          </w:rPr>
          <w:t>125/2013</w:t>
        </w:r>
      </w:hyperlink>
      <w:r>
        <w:t xml:space="preserve">, ff. 1, 2; </w:t>
      </w:r>
      <w:hyperlink w:anchor="AUTO_2013_127" w:history="1">
        <w:r w:rsidRPr="00E27756">
          <w:rPr>
            <w:rStyle w:val="TextoNormalCaracter"/>
          </w:rPr>
          <w:t>127/2013</w:t>
        </w:r>
      </w:hyperlink>
      <w:r>
        <w:t xml:space="preserve">, ff. 1, 2; </w:t>
      </w:r>
      <w:hyperlink w:anchor="AUTO_2013_128" w:history="1">
        <w:r w:rsidRPr="00E27756">
          <w:rPr>
            <w:rStyle w:val="TextoNormalCaracter"/>
          </w:rPr>
          <w:t>128/2013</w:t>
        </w:r>
      </w:hyperlink>
      <w:r>
        <w:t xml:space="preserve">, ff. 1, 2; </w:t>
      </w:r>
      <w:hyperlink w:anchor="AUTO_2013_140" w:history="1">
        <w:r w:rsidRPr="00E27756">
          <w:rPr>
            <w:rStyle w:val="TextoNormalCaracter"/>
          </w:rPr>
          <w:t>140/2013</w:t>
        </w:r>
      </w:hyperlink>
      <w:r>
        <w:t>, f. único.</w:t>
      </w:r>
    </w:p>
    <w:p w:rsidR="00E27756" w:rsidRDefault="00E27756" w:rsidP="00E27756">
      <w:pPr>
        <w:pStyle w:val="SangriaFrancesaArticulo"/>
      </w:pPr>
      <w:r w:rsidRPr="00E27756">
        <w:rPr>
          <w:rStyle w:val="TextoNormalNegritaCaracter"/>
        </w:rPr>
        <w:t>Artículo 149.1.19.</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149.1.20.</w:t>
      </w:r>
      <w:r w:rsidRPr="00E27756">
        <w:rPr>
          <w:rStyle w:val="TextoNormalCaracter"/>
        </w:rPr>
        <w:t>-</w:t>
      </w:r>
      <w:r>
        <w:t xml:space="preserve"> Sentencias </w:t>
      </w:r>
      <w:hyperlink w:anchor="SENTENCIA_2013_5" w:history="1">
        <w:r w:rsidRPr="00E27756">
          <w:rPr>
            <w:rStyle w:val="TextoNormalCaracter"/>
          </w:rPr>
          <w:t>5/2013</w:t>
        </w:r>
      </w:hyperlink>
      <w:r>
        <w:t xml:space="preserve">, ff. 1, 3 a 5, VP; </w:t>
      </w:r>
      <w:hyperlink w:anchor="SENTENCIA_2013_124" w:history="1">
        <w:r w:rsidRPr="00E27756">
          <w:rPr>
            <w:rStyle w:val="TextoNormalCaracter"/>
          </w:rPr>
          <w:t>124/2013</w:t>
        </w:r>
      </w:hyperlink>
      <w:r>
        <w:t>, ff. 1 a 5.</w:t>
      </w:r>
    </w:p>
    <w:p w:rsidR="00E27756" w:rsidRDefault="00E27756" w:rsidP="00E27756">
      <w:pPr>
        <w:pStyle w:val="SangriaFrancesaArticulo"/>
      </w:pPr>
      <w:r w:rsidRPr="00E27756">
        <w:rPr>
          <w:rStyle w:val="TextoNormalNegritaCaracter"/>
        </w:rPr>
        <w:t>Artículo 149.1.21.</w:t>
      </w:r>
      <w:r w:rsidRPr="00E27756">
        <w:rPr>
          <w:rStyle w:val="TextoNormalCaracter"/>
        </w:rPr>
        <w:t>-</w:t>
      </w:r>
      <w:r>
        <w:t xml:space="preserve"> Sentencias </w:t>
      </w:r>
      <w:hyperlink w:anchor="SENTENCIA_2013_5" w:history="1">
        <w:r w:rsidRPr="00E27756">
          <w:rPr>
            <w:rStyle w:val="TextoNormalCaracter"/>
          </w:rPr>
          <w:t>5/2013</w:t>
        </w:r>
      </w:hyperlink>
      <w:r>
        <w:t xml:space="preserve">, ff. 1, 5; </w:t>
      </w:r>
      <w:hyperlink w:anchor="SENTENCIA_2013_83" w:history="1">
        <w:r w:rsidRPr="00E27756">
          <w:rPr>
            <w:rStyle w:val="TextoNormalCaracter"/>
          </w:rPr>
          <w:t>83/2013</w:t>
        </w:r>
      </w:hyperlink>
      <w:r>
        <w:t>, ff. 1, 3.</w:t>
      </w:r>
    </w:p>
    <w:p w:rsidR="00E27756" w:rsidRDefault="00E27756" w:rsidP="00E27756">
      <w:pPr>
        <w:pStyle w:val="SangriaIzquierdaArticulo"/>
      </w:pPr>
      <w:r>
        <w:t xml:space="preserve">Auto </w:t>
      </w:r>
      <w:hyperlink w:anchor="AUTO_2013_60" w:history="1">
        <w:r w:rsidRPr="00E27756">
          <w:rPr>
            <w:rStyle w:val="TextoNormalCaracter"/>
          </w:rPr>
          <w:t>60/2013</w:t>
        </w:r>
      </w:hyperlink>
      <w:r>
        <w:t>, ff. 3, 5.</w:t>
      </w:r>
    </w:p>
    <w:p w:rsidR="00E27756" w:rsidRDefault="00E27756" w:rsidP="00E27756">
      <w:pPr>
        <w:pStyle w:val="SangriaFrancesaArticulo"/>
      </w:pPr>
      <w:r w:rsidRPr="00E27756">
        <w:rPr>
          <w:rStyle w:val="TextoNormalNegritaCaracter"/>
        </w:rPr>
        <w:t>Artículo 149.1.22.</w:t>
      </w:r>
      <w:r w:rsidRPr="00E27756">
        <w:rPr>
          <w:rStyle w:val="TextoNormalCaracter"/>
        </w:rPr>
        <w:t>-</w:t>
      </w:r>
      <w:r>
        <w:t xml:space="preserve"> Sentencias </w:t>
      </w:r>
      <w:hyperlink w:anchor="SENTENCIA_2013_19" w:history="1">
        <w:r w:rsidRPr="00E27756">
          <w:rPr>
            <w:rStyle w:val="TextoNormalCaracter"/>
          </w:rPr>
          <w:t>19/2013</w:t>
        </w:r>
      </w:hyperlink>
      <w:r>
        <w:t xml:space="preserve">, f. 3; </w:t>
      </w:r>
      <w:hyperlink w:anchor="SENTENCIA_2013_36" w:history="1">
        <w:r w:rsidRPr="00E27756">
          <w:rPr>
            <w:rStyle w:val="TextoNormalCaracter"/>
          </w:rPr>
          <w:t>36/2013</w:t>
        </w:r>
      </w:hyperlink>
      <w:r>
        <w:t xml:space="preserve">, ff. 5, 7; </w:t>
      </w:r>
      <w:hyperlink w:anchor="SENTENCIA_2013_59" w:history="1">
        <w:r w:rsidRPr="00E27756">
          <w:rPr>
            <w:rStyle w:val="TextoNormalCaracter"/>
          </w:rPr>
          <w:t>59/2013</w:t>
        </w:r>
      </w:hyperlink>
      <w:r>
        <w:t>, f. 4.</w:t>
      </w:r>
    </w:p>
    <w:p w:rsidR="00E27756" w:rsidRDefault="00E27756" w:rsidP="00E27756">
      <w:pPr>
        <w:pStyle w:val="SangriaFrancesaArticulo"/>
      </w:pPr>
      <w:r w:rsidRPr="00E27756">
        <w:rPr>
          <w:rStyle w:val="TextoNormalNegritaCaracter"/>
        </w:rPr>
        <w:t>Artículo 149.1.23.</w:t>
      </w:r>
      <w:r w:rsidRPr="00E27756">
        <w:rPr>
          <w:rStyle w:val="TextoNormalCaracter"/>
        </w:rPr>
        <w:t>-</w:t>
      </w:r>
      <w:r>
        <w:t xml:space="preserve"> Sentencias </w:t>
      </w:r>
      <w:hyperlink w:anchor="SENTENCIA_2013_5" w:history="1">
        <w:r w:rsidRPr="00E27756">
          <w:rPr>
            <w:rStyle w:val="TextoNormalCaracter"/>
          </w:rPr>
          <w:t>5/2013</w:t>
        </w:r>
      </w:hyperlink>
      <w:r>
        <w:t xml:space="preserve">, ff. 1, 5; </w:t>
      </w:r>
      <w:hyperlink w:anchor="SENTENCIA_2013_36" w:history="1">
        <w:r w:rsidRPr="00E27756">
          <w:rPr>
            <w:rStyle w:val="TextoNormalCaracter"/>
          </w:rPr>
          <w:t>36/2013</w:t>
        </w:r>
      </w:hyperlink>
      <w:r>
        <w:t xml:space="preserve">, f. 7; </w:t>
      </w:r>
      <w:hyperlink w:anchor="SENTENCIA_2013_49" w:history="1">
        <w:r w:rsidRPr="00E27756">
          <w:rPr>
            <w:rStyle w:val="TextoNormalCaracter"/>
          </w:rPr>
          <w:t>49/2013</w:t>
        </w:r>
      </w:hyperlink>
      <w:r>
        <w:t xml:space="preserve">, ff. 1, 5, 7 a 9, 12; </w:t>
      </w:r>
      <w:hyperlink w:anchor="SENTENCIA_2013_49" w:history="1">
        <w:r w:rsidRPr="00E27756">
          <w:rPr>
            <w:rStyle w:val="TextoNormalCaracter"/>
          </w:rPr>
          <w:t>49/2013</w:t>
        </w:r>
      </w:hyperlink>
      <w:r>
        <w:t xml:space="preserve">, f. 5; </w:t>
      </w:r>
      <w:hyperlink w:anchor="SENTENCIA_2013_60" w:history="1">
        <w:r w:rsidRPr="00E27756">
          <w:rPr>
            <w:rStyle w:val="TextoNormalCaracter"/>
          </w:rPr>
          <w:t>60/2013</w:t>
        </w:r>
      </w:hyperlink>
      <w:r>
        <w:t xml:space="preserve">, ff. 1, 2, 7; </w:t>
      </w:r>
      <w:hyperlink w:anchor="SENTENCIA_2013_69" w:history="1">
        <w:r w:rsidRPr="00E27756">
          <w:rPr>
            <w:rStyle w:val="TextoNormalCaracter"/>
          </w:rPr>
          <w:t>69/2013</w:t>
        </w:r>
      </w:hyperlink>
      <w:r>
        <w:t xml:space="preserve">, ff. 1, 2, 6; </w:t>
      </w:r>
      <w:hyperlink w:anchor="SENTENCIA_2013_84" w:history="1">
        <w:r w:rsidRPr="00E27756">
          <w:rPr>
            <w:rStyle w:val="TextoNormalCaracter"/>
          </w:rPr>
          <w:t>84/2013</w:t>
        </w:r>
      </w:hyperlink>
      <w:r>
        <w:t xml:space="preserve">, f. 2; </w:t>
      </w:r>
      <w:hyperlink w:anchor="SENTENCIA_2013_84" w:history="1">
        <w:r w:rsidRPr="00E27756">
          <w:rPr>
            <w:rStyle w:val="TextoNormalCaracter"/>
          </w:rPr>
          <w:t>84/2013</w:t>
        </w:r>
      </w:hyperlink>
      <w:r>
        <w:t xml:space="preserve">, ff. 1, 2, 4, 5; </w:t>
      </w:r>
      <w:hyperlink w:anchor="SENTENCIA_2013_85" w:history="1">
        <w:r w:rsidRPr="00E27756">
          <w:rPr>
            <w:rStyle w:val="TextoNormalCaracter"/>
          </w:rPr>
          <w:t>85/2013</w:t>
        </w:r>
      </w:hyperlink>
      <w:r>
        <w:t xml:space="preserve">, f. 5; </w:t>
      </w:r>
      <w:hyperlink w:anchor="SENTENCIA_2013_87" w:history="1">
        <w:r w:rsidRPr="00E27756">
          <w:rPr>
            <w:rStyle w:val="TextoNormalCaracter"/>
          </w:rPr>
          <w:t>87/2013</w:t>
        </w:r>
      </w:hyperlink>
      <w:r>
        <w:t xml:space="preserve">, f. 3; </w:t>
      </w:r>
      <w:hyperlink w:anchor="SENTENCIA_2013_97" w:history="1">
        <w:r w:rsidRPr="00E27756">
          <w:rPr>
            <w:rStyle w:val="TextoNormalCaracter"/>
          </w:rPr>
          <w:t>97/2013</w:t>
        </w:r>
      </w:hyperlink>
      <w:r>
        <w:t xml:space="preserve">, f. 3; </w:t>
      </w:r>
      <w:hyperlink w:anchor="SENTENCIA_2013_97" w:history="1">
        <w:r w:rsidRPr="00E27756">
          <w:rPr>
            <w:rStyle w:val="TextoNormalCaracter"/>
          </w:rPr>
          <w:t>97/2013</w:t>
        </w:r>
      </w:hyperlink>
      <w:r>
        <w:t xml:space="preserve">, ff. 1, 3 a 6; </w:t>
      </w:r>
      <w:hyperlink w:anchor="SENTENCIA_2013_99" w:history="1">
        <w:r w:rsidRPr="00E27756">
          <w:rPr>
            <w:rStyle w:val="TextoNormalCaracter"/>
          </w:rPr>
          <w:t>99/2013</w:t>
        </w:r>
      </w:hyperlink>
      <w:r>
        <w:t xml:space="preserve">, f. 4; </w:t>
      </w:r>
      <w:hyperlink w:anchor="SENTENCIA_2013_102" w:history="1">
        <w:r w:rsidRPr="00E27756">
          <w:rPr>
            <w:rStyle w:val="TextoNormalCaracter"/>
          </w:rPr>
          <w:t>102/2013</w:t>
        </w:r>
      </w:hyperlink>
      <w:r>
        <w:t xml:space="preserve">, ff. 10, 11; </w:t>
      </w:r>
      <w:hyperlink w:anchor="SENTENCIA_2013_104" w:history="1">
        <w:r w:rsidRPr="00E27756">
          <w:rPr>
            <w:rStyle w:val="TextoNormalCaracter"/>
          </w:rPr>
          <w:t>104/2013</w:t>
        </w:r>
      </w:hyperlink>
      <w:r>
        <w:t xml:space="preserve">, f. 8; </w:t>
      </w:r>
      <w:hyperlink w:anchor="SENTENCIA_2013_111" w:history="1">
        <w:r w:rsidRPr="00E27756">
          <w:rPr>
            <w:rStyle w:val="TextoNormalCaracter"/>
          </w:rPr>
          <w:t>111/2013</w:t>
        </w:r>
      </w:hyperlink>
      <w:r>
        <w:t xml:space="preserve">, f. 1; </w:t>
      </w:r>
      <w:hyperlink w:anchor="SENTENCIA_2013_113" w:history="1">
        <w:r w:rsidRPr="00E27756">
          <w:rPr>
            <w:rStyle w:val="TextoNormalCaracter"/>
          </w:rPr>
          <w:t>113/2013</w:t>
        </w:r>
      </w:hyperlink>
      <w:r>
        <w:t xml:space="preserve">, f. 4; </w:t>
      </w:r>
      <w:hyperlink w:anchor="SENTENCIA_2013_114" w:history="1">
        <w:r w:rsidRPr="00E27756">
          <w:rPr>
            <w:rStyle w:val="TextoNormalCaracter"/>
          </w:rPr>
          <w:t>114/2013</w:t>
        </w:r>
      </w:hyperlink>
      <w:r>
        <w:t xml:space="preserve">, ff. 2, 3; </w:t>
      </w:r>
      <w:hyperlink w:anchor="SENTENCIA_2013_138" w:history="1">
        <w:r w:rsidRPr="00E27756">
          <w:rPr>
            <w:rStyle w:val="TextoNormalCaracter"/>
          </w:rPr>
          <w:t>138/2013</w:t>
        </w:r>
      </w:hyperlink>
      <w:r>
        <w:t>, ff. 1, 3, 4, 8.</w:t>
      </w:r>
    </w:p>
    <w:p w:rsidR="00E27756" w:rsidRDefault="00E27756" w:rsidP="00E27756">
      <w:pPr>
        <w:pStyle w:val="SangriaFrancesaArticulo"/>
      </w:pPr>
      <w:r w:rsidRPr="00E27756">
        <w:rPr>
          <w:rStyle w:val="TextoNormalNegritaCaracter"/>
        </w:rPr>
        <w:t>Artículo 149.1.24.</w:t>
      </w:r>
      <w:r w:rsidRPr="00E27756">
        <w:rPr>
          <w:rStyle w:val="TextoNormalCaracter"/>
        </w:rPr>
        <w:t>-</w:t>
      </w:r>
      <w:r>
        <w:t xml:space="preserve"> Sentencias </w:t>
      </w:r>
      <w:hyperlink w:anchor="SENTENCIA_2013_59" w:history="1">
        <w:r w:rsidRPr="00E27756">
          <w:rPr>
            <w:rStyle w:val="TextoNormalCaracter"/>
          </w:rPr>
          <w:t>59/2013</w:t>
        </w:r>
      </w:hyperlink>
      <w:r>
        <w:t xml:space="preserve">, f. 4; </w:t>
      </w:r>
      <w:hyperlink w:anchor="SENTENCIA_2013_83" w:history="1">
        <w:r w:rsidRPr="00E27756">
          <w:rPr>
            <w:rStyle w:val="TextoNormalCaracter"/>
          </w:rPr>
          <w:t>83/2013</w:t>
        </w:r>
      </w:hyperlink>
      <w:r>
        <w:t>, f. 1.</w:t>
      </w:r>
    </w:p>
    <w:p w:rsidR="00E27756" w:rsidRDefault="00E27756" w:rsidP="00E27756">
      <w:pPr>
        <w:pStyle w:val="SangriaFrancesaArticulo"/>
      </w:pPr>
      <w:r w:rsidRPr="00E27756">
        <w:rPr>
          <w:rStyle w:val="TextoNormalNegritaCaracter"/>
        </w:rPr>
        <w:t>Artículo 149.1.25.</w:t>
      </w:r>
      <w:r w:rsidRPr="00E27756">
        <w:rPr>
          <w:rStyle w:val="TextoNormalCaracter"/>
        </w:rPr>
        <w:t>-</w:t>
      </w:r>
      <w:r>
        <w:t xml:space="preserve"> Sentencias </w:t>
      </w:r>
      <w:hyperlink w:anchor="SENTENCIA_2013_4" w:history="1">
        <w:r w:rsidRPr="00E27756">
          <w:rPr>
            <w:rStyle w:val="TextoNormalCaracter"/>
          </w:rPr>
          <w:t>4/2013</w:t>
        </w:r>
      </w:hyperlink>
      <w:r>
        <w:t xml:space="preserve">, ff. 1, 2, 4, 5; </w:t>
      </w:r>
      <w:hyperlink w:anchor="SENTENCIA_2013_8" w:history="1">
        <w:r w:rsidRPr="00E27756">
          <w:rPr>
            <w:rStyle w:val="TextoNormalCaracter"/>
          </w:rPr>
          <w:t>8/2013</w:t>
        </w:r>
      </w:hyperlink>
      <w:r>
        <w:t xml:space="preserve">, f. 3; </w:t>
      </w:r>
      <w:hyperlink w:anchor="SENTENCIA_2013_60" w:history="1">
        <w:r w:rsidRPr="00E27756">
          <w:rPr>
            <w:rStyle w:val="TextoNormalCaracter"/>
          </w:rPr>
          <w:t>60/2013</w:t>
        </w:r>
      </w:hyperlink>
      <w:r>
        <w:t xml:space="preserve">, ff. 1, 2, 7; </w:t>
      </w:r>
      <w:hyperlink w:anchor="SENTENCIA_2013_102" w:history="1">
        <w:r w:rsidRPr="00E27756">
          <w:rPr>
            <w:rStyle w:val="TextoNormalCaracter"/>
          </w:rPr>
          <w:t>102/2013</w:t>
        </w:r>
      </w:hyperlink>
      <w:r>
        <w:t xml:space="preserve">, ff. 5, 6, 8; </w:t>
      </w:r>
      <w:hyperlink w:anchor="SENTENCIA_2013_123" w:history="1">
        <w:r w:rsidRPr="00E27756">
          <w:rPr>
            <w:rStyle w:val="TextoNormalCaracter"/>
          </w:rPr>
          <w:t>123/2013</w:t>
        </w:r>
      </w:hyperlink>
      <w:r>
        <w:t xml:space="preserve">, ff. 2 a 4, 7; </w:t>
      </w:r>
      <w:hyperlink w:anchor="SENTENCIA_2013_132" w:history="1">
        <w:r w:rsidRPr="00E27756">
          <w:rPr>
            <w:rStyle w:val="TextoNormalCaracter"/>
          </w:rPr>
          <w:t>132/2013</w:t>
        </w:r>
      </w:hyperlink>
      <w:r>
        <w:t>, f. 6.</w:t>
      </w:r>
    </w:p>
    <w:p w:rsidR="00E27756" w:rsidRDefault="00E27756" w:rsidP="00E27756">
      <w:pPr>
        <w:pStyle w:val="SangriaFrancesaArticulo"/>
      </w:pPr>
      <w:r w:rsidRPr="00E27756">
        <w:rPr>
          <w:rStyle w:val="TextoNormalNegritaCaracter"/>
        </w:rPr>
        <w:t>Artículo 149.1.28.</w:t>
      </w:r>
      <w:r w:rsidRPr="00E27756">
        <w:rPr>
          <w:rStyle w:val="TextoNormalCaracter"/>
        </w:rPr>
        <w:t>-</w:t>
      </w:r>
      <w:r>
        <w:t xml:space="preserve"> Sentencias </w:t>
      </w:r>
      <w:hyperlink w:anchor="SENTENCIA_2013_14" w:history="1">
        <w:r w:rsidRPr="00E27756">
          <w:rPr>
            <w:rStyle w:val="TextoNormalCaracter"/>
          </w:rPr>
          <w:t>14/2013</w:t>
        </w:r>
      </w:hyperlink>
      <w:r>
        <w:t xml:space="preserve">, ff. 1 a 3, 5, 6; </w:t>
      </w:r>
      <w:hyperlink w:anchor="SENTENCIA_2013_20" w:history="1">
        <w:r w:rsidRPr="00E27756">
          <w:rPr>
            <w:rStyle w:val="TextoNormalCaracter"/>
          </w:rPr>
          <w:t>20/2013</w:t>
        </w:r>
      </w:hyperlink>
      <w:r>
        <w:t xml:space="preserve">, ff. 1 a 5; </w:t>
      </w:r>
      <w:hyperlink w:anchor="SENTENCIA_2013_38" w:history="1">
        <w:r w:rsidRPr="00E27756">
          <w:rPr>
            <w:rStyle w:val="TextoNormalCaracter"/>
          </w:rPr>
          <w:t>38/2013</w:t>
        </w:r>
      </w:hyperlink>
      <w:r>
        <w:t xml:space="preserve">, ff. 1-5; </w:t>
      </w:r>
      <w:hyperlink w:anchor="SENTENCIA_2013_66" w:history="1">
        <w:r w:rsidRPr="00E27756">
          <w:rPr>
            <w:rStyle w:val="TextoNormalCaracter"/>
          </w:rPr>
          <w:t>66/2013</w:t>
        </w:r>
      </w:hyperlink>
      <w:r>
        <w:t xml:space="preserve">, f. 3; </w:t>
      </w:r>
      <w:hyperlink w:anchor="SENTENCIA_2013_66" w:history="1">
        <w:r w:rsidRPr="00E27756">
          <w:rPr>
            <w:rStyle w:val="TextoNormalCaracter"/>
          </w:rPr>
          <w:t>66/2013</w:t>
        </w:r>
      </w:hyperlink>
      <w:r>
        <w:t xml:space="preserve">, ff. 1 a 4; </w:t>
      </w:r>
      <w:hyperlink w:anchor="SENTENCIA_2013_67" w:history="1">
        <w:r w:rsidRPr="00E27756">
          <w:rPr>
            <w:rStyle w:val="TextoNormalCaracter"/>
          </w:rPr>
          <w:t>67/2013</w:t>
        </w:r>
      </w:hyperlink>
      <w:r>
        <w:t xml:space="preserve">, ff. 1, 2; </w:t>
      </w:r>
      <w:hyperlink w:anchor="SENTENCIA_2013_68" w:history="1">
        <w:r w:rsidRPr="00E27756">
          <w:rPr>
            <w:rStyle w:val="TextoNormalCaracter"/>
          </w:rPr>
          <w:t>68/2013</w:t>
        </w:r>
      </w:hyperlink>
      <w:r>
        <w:t xml:space="preserve">, ff. 1, 4; </w:t>
      </w:r>
      <w:hyperlink w:anchor="SENTENCIA_2013_136" w:history="1">
        <w:r w:rsidRPr="00E27756">
          <w:rPr>
            <w:rStyle w:val="TextoNormalCaracter"/>
          </w:rPr>
          <w:t>136/2013</w:t>
        </w:r>
      </w:hyperlink>
      <w:r>
        <w:t>, ff. 1 a 5.</w:t>
      </w:r>
    </w:p>
    <w:p w:rsidR="00E27756" w:rsidRDefault="00E27756" w:rsidP="00E27756">
      <w:pPr>
        <w:pStyle w:val="SangriaFrancesaArticulo"/>
      </w:pPr>
      <w:r w:rsidRPr="00E27756">
        <w:rPr>
          <w:rStyle w:val="TextoNormalNegritaCaracter"/>
        </w:rPr>
        <w:t>Artículo 149.1.29.</w:t>
      </w:r>
      <w:r w:rsidRPr="00E27756">
        <w:rPr>
          <w:rStyle w:val="TextoNormalCaracter"/>
        </w:rPr>
        <w:t>-</w:t>
      </w:r>
      <w:r>
        <w:t xml:space="preserve"> Sentencias </w:t>
      </w:r>
      <w:hyperlink w:anchor="SENTENCIA_2013_33" w:history="1">
        <w:r w:rsidRPr="00E27756">
          <w:rPr>
            <w:rStyle w:val="TextoNormalCaracter"/>
          </w:rPr>
          <w:t>33/2013</w:t>
        </w:r>
      </w:hyperlink>
      <w:r>
        <w:t xml:space="preserve">, f. 5; </w:t>
      </w:r>
      <w:hyperlink w:anchor="SENTENCIA_2013_49" w:history="1">
        <w:r w:rsidRPr="00E27756">
          <w:rPr>
            <w:rStyle w:val="TextoNormalCaracter"/>
          </w:rPr>
          <w:t>49/2013</w:t>
        </w:r>
      </w:hyperlink>
      <w:r>
        <w:t xml:space="preserve">, f. 12;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149.1.30.</w:t>
      </w:r>
      <w:r w:rsidRPr="00E27756">
        <w:rPr>
          <w:rStyle w:val="TextoNormalCaracter"/>
        </w:rPr>
        <w:t>-</w:t>
      </w:r>
      <w:r>
        <w:t xml:space="preserve"> Sentencias </w:t>
      </w:r>
      <w:hyperlink w:anchor="SENTENCIA_2013_3" w:history="1">
        <w:r w:rsidRPr="00E27756">
          <w:rPr>
            <w:rStyle w:val="TextoNormalCaracter"/>
          </w:rPr>
          <w:t>3/2013</w:t>
        </w:r>
      </w:hyperlink>
      <w:r>
        <w:t xml:space="preserve">, f. 3; </w:t>
      </w:r>
      <w:hyperlink w:anchor="SENTENCIA_2013_6" w:history="1">
        <w:r w:rsidRPr="00E27756">
          <w:rPr>
            <w:rStyle w:val="TextoNormalCaracter"/>
          </w:rPr>
          <w:t>6/2013</w:t>
        </w:r>
      </w:hyperlink>
      <w:r>
        <w:t xml:space="preserve">, f. 1; </w:t>
      </w:r>
      <w:hyperlink w:anchor="SENTENCIA_2013_15" w:history="1">
        <w:r w:rsidRPr="00E27756">
          <w:rPr>
            <w:rStyle w:val="TextoNormalCaracter"/>
          </w:rPr>
          <w:t>15/2013</w:t>
        </w:r>
      </w:hyperlink>
      <w:r>
        <w:t xml:space="preserve">, ff. 1, 3; </w:t>
      </w:r>
      <w:hyperlink w:anchor="SENTENCIA_2013_24" w:history="1">
        <w:r w:rsidRPr="00E27756">
          <w:rPr>
            <w:rStyle w:val="TextoNormalCaracter"/>
          </w:rPr>
          <w:t>24/2013</w:t>
        </w:r>
      </w:hyperlink>
      <w:r>
        <w:t xml:space="preserve">, ff. 1, 3; </w:t>
      </w:r>
      <w:hyperlink w:anchor="SENTENCIA_2013_25" w:history="1">
        <w:r w:rsidRPr="00E27756">
          <w:rPr>
            <w:rStyle w:val="TextoNormalCaracter"/>
          </w:rPr>
          <w:t>25/2013</w:t>
        </w:r>
      </w:hyperlink>
      <w:r>
        <w:t xml:space="preserve">, ff. 1, 3; </w:t>
      </w:r>
      <w:hyperlink w:anchor="SENTENCIA_2013_33" w:history="1">
        <w:r w:rsidRPr="00E27756">
          <w:rPr>
            <w:rStyle w:val="TextoNormalCaracter"/>
          </w:rPr>
          <w:t>33/2013</w:t>
        </w:r>
      </w:hyperlink>
      <w:r>
        <w:t xml:space="preserve">, ff. 2, 3, 6; </w:t>
      </w:r>
      <w:hyperlink w:anchor="SENTENCIA_2013_47" w:history="1">
        <w:r w:rsidRPr="00E27756">
          <w:rPr>
            <w:rStyle w:val="TextoNormalCaracter"/>
          </w:rPr>
          <w:t>47/2013</w:t>
        </w:r>
      </w:hyperlink>
      <w:r>
        <w:t xml:space="preserve">, ff. 1, 3; </w:t>
      </w:r>
      <w:hyperlink w:anchor="SENTENCIA_2013_48" w:history="1">
        <w:r w:rsidRPr="00E27756">
          <w:rPr>
            <w:rStyle w:val="TextoNormalCaracter"/>
          </w:rPr>
          <w:t>48/2013</w:t>
        </w:r>
      </w:hyperlink>
      <w:r>
        <w:t xml:space="preserve">, ff. 1, 3, 5; </w:t>
      </w:r>
      <w:hyperlink w:anchor="SENTENCIA_2013_50" w:history="1">
        <w:r w:rsidRPr="00E27756">
          <w:rPr>
            <w:rStyle w:val="TextoNormalCaracter"/>
          </w:rPr>
          <w:t>50/2013</w:t>
        </w:r>
      </w:hyperlink>
      <w:r>
        <w:t xml:space="preserve">, f. 4; </w:t>
      </w:r>
      <w:hyperlink w:anchor="SENTENCIA_2013_89" w:history="1">
        <w:r w:rsidRPr="00E27756">
          <w:rPr>
            <w:rStyle w:val="TextoNormalCaracter"/>
          </w:rPr>
          <w:t>89/2013</w:t>
        </w:r>
      </w:hyperlink>
      <w:r>
        <w:t xml:space="preserve">, f. 4; </w:t>
      </w:r>
      <w:hyperlink w:anchor="SENTENCIA_2013_131" w:history="1">
        <w:r w:rsidRPr="00E27756">
          <w:rPr>
            <w:rStyle w:val="TextoNormalCaracter"/>
          </w:rPr>
          <w:t>131/2013</w:t>
        </w:r>
      </w:hyperlink>
      <w:r>
        <w:t xml:space="preserve">, ff. 1, 6, 7; </w:t>
      </w:r>
      <w:hyperlink w:anchor="SENTENCIA_2013_134" w:history="1">
        <w:r w:rsidRPr="00E27756">
          <w:rPr>
            <w:rStyle w:val="TextoNormalCaracter"/>
          </w:rPr>
          <w:t>134/2013</w:t>
        </w:r>
      </w:hyperlink>
      <w:r>
        <w:t>, ff. 1, 4.</w:t>
      </w:r>
    </w:p>
    <w:p w:rsidR="00E27756" w:rsidRDefault="00E27756" w:rsidP="00E27756">
      <w:pPr>
        <w:pStyle w:val="SangriaIzquierdaArticulo"/>
      </w:pPr>
      <w:r>
        <w:t xml:space="preserve">Autos </w:t>
      </w:r>
      <w:hyperlink w:anchor="AUTO_2013_33" w:history="1">
        <w:r w:rsidRPr="00E27756">
          <w:rPr>
            <w:rStyle w:val="TextoNormalCaracter"/>
          </w:rPr>
          <w:t>33/2013</w:t>
        </w:r>
      </w:hyperlink>
      <w:r>
        <w:t xml:space="preserve">, f. 1; </w:t>
      </w:r>
      <w:hyperlink w:anchor="AUTO_2013_58" w:history="1">
        <w:r w:rsidRPr="00E27756">
          <w:rPr>
            <w:rStyle w:val="TextoNormalCaracter"/>
          </w:rPr>
          <w:t>58/2013</w:t>
        </w:r>
      </w:hyperlink>
      <w:r>
        <w:t>, f. 1.</w:t>
      </w:r>
    </w:p>
    <w:p w:rsidR="00E27756" w:rsidRDefault="00E27756" w:rsidP="00E27756">
      <w:pPr>
        <w:pStyle w:val="SangriaFrancesaArticulo"/>
      </w:pPr>
      <w:r w:rsidRPr="00E27756">
        <w:rPr>
          <w:rStyle w:val="TextoNormalNegritaCaracter"/>
        </w:rPr>
        <w:t>Artículo 149.1.31.</w:t>
      </w:r>
      <w:r w:rsidRPr="00E27756">
        <w:rPr>
          <w:rStyle w:val="TextoNormalCaracter"/>
        </w:rPr>
        <w:t>-</w:t>
      </w:r>
      <w:r>
        <w:t xml:space="preserve"> Sentencia </w:t>
      </w:r>
      <w:hyperlink w:anchor="SENTENCIA_2013_138" w:history="1">
        <w:r w:rsidRPr="00E27756">
          <w:rPr>
            <w:rStyle w:val="TextoNormalCaracter"/>
          </w:rPr>
          <w:t>138/2013</w:t>
        </w:r>
      </w:hyperlink>
      <w:r>
        <w:t>, f. 4.</w:t>
      </w:r>
    </w:p>
    <w:p w:rsidR="00E27756" w:rsidRDefault="00E27756" w:rsidP="00E27756">
      <w:pPr>
        <w:pStyle w:val="SangriaFrancesaArticulo"/>
      </w:pPr>
      <w:r w:rsidRPr="00E27756">
        <w:rPr>
          <w:rStyle w:val="TextoNormalNegritaCaracter"/>
        </w:rPr>
        <w:t>Artículo 149.2.</w:t>
      </w:r>
      <w:r w:rsidRPr="00E27756">
        <w:rPr>
          <w:rStyle w:val="TextoNormalCaracter"/>
        </w:rPr>
        <w:t>-</w:t>
      </w:r>
      <w:r>
        <w:t xml:space="preserve"> Sentencias </w:t>
      </w:r>
      <w:hyperlink w:anchor="SENTENCIA_2013_14" w:history="1">
        <w:r w:rsidRPr="00E27756">
          <w:rPr>
            <w:rStyle w:val="TextoNormalCaracter"/>
          </w:rPr>
          <w:t>14/2013</w:t>
        </w:r>
      </w:hyperlink>
      <w:r>
        <w:t xml:space="preserve">, ff. 1, 2, 5, 6; </w:t>
      </w:r>
      <w:hyperlink w:anchor="SENTENCIA_2013_34" w:history="1">
        <w:r w:rsidRPr="00E27756">
          <w:rPr>
            <w:rStyle w:val="TextoNormalCaracter"/>
          </w:rPr>
          <w:t>34/2013</w:t>
        </w:r>
      </w:hyperlink>
      <w:r>
        <w:t xml:space="preserve">, f. 4; </w:t>
      </w:r>
      <w:hyperlink w:anchor="SENTENCIA_2013_38" w:history="1">
        <w:r w:rsidRPr="00E27756">
          <w:rPr>
            <w:rStyle w:val="TextoNormalCaracter"/>
          </w:rPr>
          <w:t>38/2013</w:t>
        </w:r>
      </w:hyperlink>
      <w:r>
        <w:t xml:space="preserve">, ff. 1, 2, 4, 5; </w:t>
      </w:r>
      <w:hyperlink w:anchor="SENTENCIA_2013_66" w:history="1">
        <w:r w:rsidRPr="00E27756">
          <w:rPr>
            <w:rStyle w:val="TextoNormalCaracter"/>
          </w:rPr>
          <w:t>66/2013</w:t>
        </w:r>
      </w:hyperlink>
      <w:r>
        <w:t xml:space="preserve">, ff. 1 a 4; </w:t>
      </w:r>
      <w:hyperlink w:anchor="SENTENCIA_2013_130" w:history="1">
        <w:r w:rsidRPr="00E27756">
          <w:rPr>
            <w:rStyle w:val="TextoNormalCaracter"/>
          </w:rPr>
          <w:t>130/2013</w:t>
        </w:r>
      </w:hyperlink>
      <w:r>
        <w:t xml:space="preserve">, VP; </w:t>
      </w:r>
      <w:hyperlink w:anchor="SENTENCIA_2013_136" w:history="1">
        <w:r w:rsidRPr="00E27756">
          <w:rPr>
            <w:rStyle w:val="TextoNormalCaracter"/>
          </w:rPr>
          <w:t>136/2013</w:t>
        </w:r>
      </w:hyperlink>
      <w:r>
        <w:t>, ff. 1, 2, 4, 5.</w:t>
      </w:r>
    </w:p>
    <w:p w:rsidR="00E27756" w:rsidRDefault="00E27756" w:rsidP="00E27756">
      <w:pPr>
        <w:pStyle w:val="SangriaFrancesaArticulo"/>
      </w:pPr>
      <w:r w:rsidRPr="00E27756">
        <w:rPr>
          <w:rStyle w:val="TextoNormalNegritaCaracter"/>
        </w:rPr>
        <w:t>Artículo 149.3.</w:t>
      </w:r>
      <w:r w:rsidRPr="00E27756">
        <w:rPr>
          <w:rStyle w:val="TextoNormalCaracter"/>
        </w:rPr>
        <w:t>-</w:t>
      </w:r>
      <w:r>
        <w:t xml:space="preserve"> Sentencias </w:t>
      </w:r>
      <w:hyperlink w:anchor="SENTENCIA_2013_99" w:history="1">
        <w:r w:rsidRPr="00E27756">
          <w:rPr>
            <w:rStyle w:val="TextoNormalCaracter"/>
          </w:rPr>
          <w:t>99/2013</w:t>
        </w:r>
      </w:hyperlink>
      <w:r>
        <w:t xml:space="preserve">, ff. 4, 8; </w:t>
      </w:r>
      <w:hyperlink w:anchor="SENTENCIA_2013_103" w:history="1">
        <w:r w:rsidRPr="00E27756">
          <w:rPr>
            <w:rStyle w:val="TextoNormalCaracter"/>
          </w:rPr>
          <w:t>103/2013</w:t>
        </w:r>
      </w:hyperlink>
      <w:r>
        <w:t xml:space="preserve">, f. 4; </w:t>
      </w:r>
      <w:hyperlink w:anchor="SENTENCIA_2013_130" w:history="1">
        <w:r w:rsidRPr="00E27756">
          <w:rPr>
            <w:rStyle w:val="TextoNormalCaracter"/>
          </w:rPr>
          <w:t>130/2013</w:t>
        </w:r>
      </w:hyperlink>
      <w:r>
        <w:t xml:space="preserve">, f. 9, VP;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150.2.</w:t>
      </w:r>
      <w:r w:rsidRPr="00E27756">
        <w:rPr>
          <w:rStyle w:val="TextoNormalCaracter"/>
        </w:rPr>
        <w:t>-</w:t>
      </w:r>
      <w:r>
        <w:t xml:space="preserve"> Sentencia </w:t>
      </w:r>
      <w:hyperlink w:anchor="SENTENCIA_2013_20" w:history="1">
        <w:r w:rsidRPr="00E27756">
          <w:rPr>
            <w:rStyle w:val="TextoNormalCaracter"/>
          </w:rPr>
          <w:t>20/2013</w:t>
        </w:r>
      </w:hyperlink>
      <w:r>
        <w:t>, f. 10.</w:t>
      </w:r>
    </w:p>
    <w:p w:rsidR="00E27756" w:rsidRDefault="00E27756" w:rsidP="00E27756">
      <w:pPr>
        <w:pStyle w:val="SangriaFrancesaArticulo"/>
      </w:pPr>
      <w:r w:rsidRPr="00E27756">
        <w:rPr>
          <w:rStyle w:val="TextoNormalNegritaCaracter"/>
        </w:rPr>
        <w:t>Artículo 152.1.</w:t>
      </w:r>
      <w:r w:rsidRPr="00E27756">
        <w:rPr>
          <w:rStyle w:val="TextoNormalCaracter"/>
        </w:rPr>
        <w:t>-</w:t>
      </w:r>
      <w:r>
        <w:t xml:space="preserve"> Sentencias </w:t>
      </w:r>
      <w:hyperlink w:anchor="SENTENCIA_2013_86" w:history="1">
        <w:r w:rsidRPr="00E27756">
          <w:rPr>
            <w:rStyle w:val="TextoNormalCaracter"/>
          </w:rPr>
          <w:t>86/2013</w:t>
        </w:r>
      </w:hyperlink>
      <w:r>
        <w:t xml:space="preserve">, f. 4;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153.</w:t>
      </w:r>
      <w:r w:rsidRPr="00E27756">
        <w:rPr>
          <w:rStyle w:val="TextoNormalCaracter"/>
        </w:rPr>
        <w:t>-</w:t>
      </w:r>
      <w:r>
        <w:t xml:space="preserve"> Sentencias </w:t>
      </w:r>
      <w:hyperlink w:anchor="SENTENCIA_2013_36" w:history="1">
        <w:r w:rsidRPr="00E27756">
          <w:rPr>
            <w:rStyle w:val="TextoNormalCaracter"/>
          </w:rPr>
          <w:t>36/2013</w:t>
        </w:r>
      </w:hyperlink>
      <w:r>
        <w:t xml:space="preserve">, ff. 1, 9; </w:t>
      </w:r>
      <w:hyperlink w:anchor="SENTENCIA_2013_104" w:history="1">
        <w:r w:rsidRPr="00E27756">
          <w:rPr>
            <w:rStyle w:val="TextoNormalCaracter"/>
          </w:rPr>
          <w:t>104/2013</w:t>
        </w:r>
      </w:hyperlink>
      <w:r>
        <w:t xml:space="preserve">, f. 10;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155.</w:t>
      </w:r>
      <w:r w:rsidRPr="00E27756">
        <w:rPr>
          <w:rStyle w:val="TextoNormalCaracter"/>
        </w:rPr>
        <w:t>-</w:t>
      </w:r>
      <w:r>
        <w:t xml:space="preserve"> Sentencia </w:t>
      </w:r>
      <w:hyperlink w:anchor="SENTENCIA_2013_36" w:history="1">
        <w:r w:rsidRPr="00E27756">
          <w:rPr>
            <w:rStyle w:val="TextoNormalCaracter"/>
          </w:rPr>
          <w:t>36/2013</w:t>
        </w:r>
      </w:hyperlink>
      <w:r>
        <w:t>, f. 9.</w:t>
      </w:r>
    </w:p>
    <w:p w:rsidR="00E27756" w:rsidRDefault="00E27756" w:rsidP="00E27756">
      <w:pPr>
        <w:pStyle w:val="SangriaFrancesaArticulo"/>
      </w:pPr>
      <w:r w:rsidRPr="00E27756">
        <w:rPr>
          <w:rStyle w:val="TextoNormalNegritaCaracter"/>
        </w:rPr>
        <w:t>Artículo 156.</w:t>
      </w:r>
      <w:r w:rsidRPr="00E27756">
        <w:rPr>
          <w:rStyle w:val="TextoNormalCaracter"/>
        </w:rPr>
        <w:t>-</w:t>
      </w:r>
      <w:r>
        <w:t xml:space="preserve"> Sentencia </w:t>
      </w:r>
      <w:hyperlink w:anchor="SENTENCIA_2013_100" w:history="1">
        <w:r w:rsidRPr="00E27756">
          <w:rPr>
            <w:rStyle w:val="TextoNormalCaracter"/>
          </w:rPr>
          <w:t>100/2013</w:t>
        </w:r>
      </w:hyperlink>
      <w:r>
        <w:t>, ff. 1, 2.</w:t>
      </w:r>
    </w:p>
    <w:p w:rsidR="00E27756" w:rsidRDefault="00E27756" w:rsidP="00E27756">
      <w:pPr>
        <w:pStyle w:val="SangriaFrancesaArticulo"/>
      </w:pPr>
      <w:r w:rsidRPr="00E27756">
        <w:rPr>
          <w:rStyle w:val="TextoNormalNegritaCaracter"/>
        </w:rPr>
        <w:t>Artículo 156.1.</w:t>
      </w:r>
      <w:r w:rsidRPr="00E27756">
        <w:rPr>
          <w:rStyle w:val="TextoNormalCaracter"/>
        </w:rPr>
        <w:t>-</w:t>
      </w:r>
      <w:r>
        <w:t xml:space="preserve"> Sentencias </w:t>
      </w:r>
      <w:hyperlink w:anchor="SENTENCIA_2013_23" w:history="1">
        <w:r w:rsidRPr="00E27756">
          <w:rPr>
            <w:rStyle w:val="TextoNormalCaracter"/>
          </w:rPr>
          <w:t>23/2013</w:t>
        </w:r>
      </w:hyperlink>
      <w:r>
        <w:t xml:space="preserve">, f. 4; </w:t>
      </w:r>
      <w:hyperlink w:anchor="SENTENCIA_2013_36" w:history="1">
        <w:r w:rsidRPr="00E27756">
          <w:rPr>
            <w:rStyle w:val="TextoNormalCaracter"/>
          </w:rPr>
          <w:t>36/2013</w:t>
        </w:r>
      </w:hyperlink>
      <w:r>
        <w:t xml:space="preserve">, f. 1; </w:t>
      </w:r>
      <w:hyperlink w:anchor="SENTENCIA_2013_37" w:history="1">
        <w:r w:rsidRPr="00E27756">
          <w:rPr>
            <w:rStyle w:val="TextoNormalCaracter"/>
          </w:rPr>
          <w:t>37/2013</w:t>
        </w:r>
      </w:hyperlink>
      <w:r>
        <w:t xml:space="preserve">, F. 6; </w:t>
      </w:r>
      <w:hyperlink w:anchor="SENTENCIA_2013_60" w:history="1">
        <w:r w:rsidRPr="00E27756">
          <w:rPr>
            <w:rStyle w:val="TextoNormalCaracter"/>
          </w:rPr>
          <w:t>60/2013</w:t>
        </w:r>
      </w:hyperlink>
      <w:r>
        <w:t xml:space="preserve">, f. 2; </w:t>
      </w:r>
      <w:hyperlink w:anchor="SENTENCIA_2013_96" w:history="1">
        <w:r w:rsidRPr="00E27756">
          <w:rPr>
            <w:rStyle w:val="TextoNormalCaracter"/>
          </w:rPr>
          <w:t>96/2013</w:t>
        </w:r>
      </w:hyperlink>
      <w:r>
        <w:t xml:space="preserve">, f. 5; </w:t>
      </w:r>
      <w:hyperlink w:anchor="SENTENCIA_2013_101" w:history="1">
        <w:r w:rsidRPr="00E27756">
          <w:rPr>
            <w:rStyle w:val="TextoNormalCaracter"/>
          </w:rPr>
          <w:t>101/2013</w:t>
        </w:r>
      </w:hyperlink>
      <w:r>
        <w:t xml:space="preserve">, ff. 1, 3, 7; </w:t>
      </w:r>
      <w:hyperlink w:anchor="SENTENCIA_2013_130" w:history="1">
        <w:r w:rsidRPr="00E27756">
          <w:rPr>
            <w:rStyle w:val="TextoNormalCaracter"/>
          </w:rPr>
          <w:t>130/2013</w:t>
        </w:r>
      </w:hyperlink>
      <w:r>
        <w:t>, f. 8.</w:t>
      </w:r>
    </w:p>
    <w:p w:rsidR="00E27756" w:rsidRDefault="00E27756" w:rsidP="00E27756">
      <w:pPr>
        <w:pStyle w:val="SangriaIzquierdaArticulo"/>
      </w:pPr>
      <w:r>
        <w:t xml:space="preserve">Auto </w:t>
      </w:r>
      <w:hyperlink w:anchor="AUTO_2013_122" w:history="1">
        <w:r w:rsidRPr="00E27756">
          <w:rPr>
            <w:rStyle w:val="TextoNormalCaracter"/>
          </w:rPr>
          <w:t>122/2013</w:t>
        </w:r>
      </w:hyperlink>
      <w:r>
        <w:t>, f. 4.</w:t>
      </w:r>
    </w:p>
    <w:p w:rsidR="00E27756" w:rsidRDefault="00E27756" w:rsidP="00E27756">
      <w:pPr>
        <w:pStyle w:val="SangriaFrancesaArticulo"/>
      </w:pPr>
      <w:r w:rsidRPr="00E27756">
        <w:rPr>
          <w:rStyle w:val="TextoNormalNegritaCaracter"/>
        </w:rPr>
        <w:t>Artículo 157.</w:t>
      </w:r>
      <w:r w:rsidRPr="00E27756">
        <w:rPr>
          <w:rStyle w:val="TextoNormalCaracter"/>
        </w:rPr>
        <w:t>-</w:t>
      </w:r>
      <w:r>
        <w:t xml:space="preserve"> Sentencias </w:t>
      </w:r>
      <w:hyperlink w:anchor="SENTENCIA_2013_85" w:history="1">
        <w:r w:rsidRPr="00E27756">
          <w:rPr>
            <w:rStyle w:val="TextoNormalCaracter"/>
          </w:rPr>
          <w:t>85/2013</w:t>
        </w:r>
      </w:hyperlink>
      <w:r>
        <w:t xml:space="preserve">, ff. 3, 5; </w:t>
      </w:r>
      <w:hyperlink w:anchor="SENTENCIA_2013_101" w:history="1">
        <w:r w:rsidRPr="00E27756">
          <w:rPr>
            <w:rStyle w:val="TextoNormalCaracter"/>
          </w:rPr>
          <w:t>101/2013</w:t>
        </w:r>
      </w:hyperlink>
      <w:r>
        <w:t>, f. 1.</w:t>
      </w:r>
    </w:p>
    <w:p w:rsidR="00E27756" w:rsidRDefault="00E27756" w:rsidP="00E27756">
      <w:pPr>
        <w:pStyle w:val="SangriaFrancesaArticulo"/>
      </w:pPr>
      <w:r w:rsidRPr="00E27756">
        <w:rPr>
          <w:rStyle w:val="TextoNormalNegritaCaracter"/>
        </w:rPr>
        <w:t>Artículo 157.1.</w:t>
      </w:r>
      <w:r w:rsidRPr="00E27756">
        <w:rPr>
          <w:rStyle w:val="TextoNormalCaracter"/>
        </w:rPr>
        <w:t>-</w:t>
      </w:r>
      <w:r>
        <w:t xml:space="preserve"> Sentencias </w:t>
      </w:r>
      <w:hyperlink w:anchor="SENTENCIA_2013_60" w:history="1">
        <w:r w:rsidRPr="00E27756">
          <w:rPr>
            <w:rStyle w:val="TextoNormalCaracter"/>
          </w:rPr>
          <w:t>60/2013</w:t>
        </w:r>
      </w:hyperlink>
      <w:r>
        <w:t xml:space="preserve">, f. 3; </w:t>
      </w:r>
      <w:hyperlink w:anchor="SENTENCIA_2013_101" w:history="1">
        <w:r w:rsidRPr="00E27756">
          <w:rPr>
            <w:rStyle w:val="TextoNormalCaracter"/>
          </w:rPr>
          <w:t>101/2013</w:t>
        </w:r>
      </w:hyperlink>
      <w:r>
        <w:t>, f. 7.</w:t>
      </w:r>
    </w:p>
    <w:p w:rsidR="00E27756" w:rsidRDefault="00E27756" w:rsidP="00E27756">
      <w:pPr>
        <w:pStyle w:val="SangriaFrancesaArticulo"/>
      </w:pPr>
      <w:r w:rsidRPr="00E27756">
        <w:rPr>
          <w:rStyle w:val="TextoNormalNegritaCaracter"/>
        </w:rPr>
        <w:t>Artículo 157.1 a).</w:t>
      </w:r>
      <w:r w:rsidRPr="00E27756">
        <w:rPr>
          <w:rStyle w:val="TextoNormalCaracter"/>
        </w:rPr>
        <w:t>-</w:t>
      </w:r>
      <w:r>
        <w:t xml:space="preserve"> Sentencia </w:t>
      </w:r>
      <w:hyperlink w:anchor="SENTENCIA_2013_101" w:history="1">
        <w:r w:rsidRPr="00E27756">
          <w:rPr>
            <w:rStyle w:val="TextoNormalCaracter"/>
          </w:rPr>
          <w:t>101/2013</w:t>
        </w:r>
      </w:hyperlink>
      <w:r>
        <w:t>, f. 8.</w:t>
      </w:r>
    </w:p>
    <w:p w:rsidR="00E27756" w:rsidRDefault="00E27756" w:rsidP="00E27756">
      <w:pPr>
        <w:pStyle w:val="SangriaFrancesaArticulo"/>
      </w:pPr>
      <w:r w:rsidRPr="00E27756">
        <w:rPr>
          <w:rStyle w:val="TextoNormalNegritaCaracter"/>
        </w:rPr>
        <w:t>Artículo 157.1 b).</w:t>
      </w:r>
      <w:r w:rsidRPr="00E27756">
        <w:rPr>
          <w:rStyle w:val="TextoNormalCaracter"/>
        </w:rPr>
        <w:t>-</w:t>
      </w:r>
      <w:r>
        <w:t xml:space="preserve"> Sentencias </w:t>
      </w:r>
      <w:hyperlink w:anchor="SENTENCIA_2013_60" w:history="1">
        <w:r w:rsidRPr="00E27756">
          <w:rPr>
            <w:rStyle w:val="TextoNormalCaracter"/>
          </w:rPr>
          <w:t>60/2013</w:t>
        </w:r>
      </w:hyperlink>
      <w:r>
        <w:t xml:space="preserve">, ff. 2, 3, 7; </w:t>
      </w:r>
      <w:hyperlink w:anchor="SENTENCIA_2013_85" w:history="1">
        <w:r w:rsidRPr="00E27756">
          <w:rPr>
            <w:rStyle w:val="TextoNormalCaracter"/>
          </w:rPr>
          <w:t>85/2013</w:t>
        </w:r>
      </w:hyperlink>
      <w:r>
        <w:t xml:space="preserve">, f. 3; </w:t>
      </w:r>
      <w:hyperlink w:anchor="SENTENCIA_2013_96" w:history="1">
        <w:r w:rsidRPr="00E27756">
          <w:rPr>
            <w:rStyle w:val="TextoNormalCaracter"/>
          </w:rPr>
          <w:t>96/2013</w:t>
        </w:r>
      </w:hyperlink>
      <w:r>
        <w:t>, f. 5.</w:t>
      </w:r>
    </w:p>
    <w:p w:rsidR="00E27756" w:rsidRDefault="00E27756" w:rsidP="00E27756">
      <w:pPr>
        <w:pStyle w:val="SangriaFrancesaArticulo"/>
      </w:pPr>
      <w:r w:rsidRPr="00E27756">
        <w:rPr>
          <w:rStyle w:val="TextoNormalNegritaCaracter"/>
        </w:rPr>
        <w:t>Artículo 157.3.</w:t>
      </w:r>
      <w:r w:rsidRPr="00E27756">
        <w:rPr>
          <w:rStyle w:val="TextoNormalCaracter"/>
        </w:rPr>
        <w:t>-</w:t>
      </w:r>
      <w:r>
        <w:t xml:space="preserve"> Sentencias </w:t>
      </w:r>
      <w:hyperlink w:anchor="SENTENCIA_2013_60" w:history="1">
        <w:r w:rsidRPr="00E27756">
          <w:rPr>
            <w:rStyle w:val="TextoNormalCaracter"/>
          </w:rPr>
          <w:t>60/2013</w:t>
        </w:r>
      </w:hyperlink>
      <w:r>
        <w:t xml:space="preserve">, ff. 1 a 3; </w:t>
      </w:r>
      <w:hyperlink w:anchor="SENTENCIA_2013_85" w:history="1">
        <w:r w:rsidRPr="00E27756">
          <w:rPr>
            <w:rStyle w:val="TextoNormalCaracter"/>
          </w:rPr>
          <w:t>85/2013</w:t>
        </w:r>
      </w:hyperlink>
      <w:r>
        <w:t xml:space="preserve">, f. 3; </w:t>
      </w:r>
      <w:hyperlink w:anchor="SENTENCIA_2013_96" w:history="1">
        <w:r w:rsidRPr="00E27756">
          <w:rPr>
            <w:rStyle w:val="TextoNormalCaracter"/>
          </w:rPr>
          <w:t>96/2013</w:t>
        </w:r>
      </w:hyperlink>
      <w:r>
        <w:t xml:space="preserve">, ff. 1, 5, 8, 10; </w:t>
      </w:r>
      <w:hyperlink w:anchor="SENTENCIA_2013_101" w:history="1">
        <w:r w:rsidRPr="00E27756">
          <w:rPr>
            <w:rStyle w:val="TextoNormalCaracter"/>
          </w:rPr>
          <w:t>101/2013</w:t>
        </w:r>
      </w:hyperlink>
      <w:r>
        <w:t xml:space="preserve">, f. 3; </w:t>
      </w:r>
      <w:hyperlink w:anchor="SENTENCIA_2013_130" w:history="1">
        <w:r w:rsidRPr="00E27756">
          <w:rPr>
            <w:rStyle w:val="TextoNormalCaracter"/>
          </w:rPr>
          <w:t>130/2013</w:t>
        </w:r>
      </w:hyperlink>
      <w:r>
        <w:t>, f. 5.</w:t>
      </w:r>
    </w:p>
    <w:p w:rsidR="00E27756" w:rsidRDefault="00E27756" w:rsidP="00E27756">
      <w:pPr>
        <w:pStyle w:val="SangriaIzquierdaArticulo"/>
      </w:pPr>
      <w:r>
        <w:t xml:space="preserve">Auto </w:t>
      </w:r>
      <w:hyperlink w:anchor="AUTO_2013_122" w:history="1">
        <w:r w:rsidRPr="00E27756">
          <w:rPr>
            <w:rStyle w:val="TextoNormalCaracter"/>
          </w:rPr>
          <w:t>122/2013</w:t>
        </w:r>
      </w:hyperlink>
      <w:r>
        <w:t>, f. 1.</w:t>
      </w:r>
    </w:p>
    <w:p w:rsidR="00E27756" w:rsidRDefault="00E27756" w:rsidP="00E27756">
      <w:pPr>
        <w:pStyle w:val="SangriaFrancesaArticulo"/>
      </w:pPr>
      <w:r w:rsidRPr="00E27756">
        <w:rPr>
          <w:rStyle w:val="TextoNormalNegritaCaracter"/>
        </w:rPr>
        <w:t>Artículo 158.</w:t>
      </w:r>
      <w:r w:rsidRPr="00E27756">
        <w:rPr>
          <w:rStyle w:val="TextoNormalCaracter"/>
        </w:rPr>
        <w:t>-</w:t>
      </w:r>
      <w:r>
        <w:t xml:space="preserve"> Sentencias </w:t>
      </w:r>
      <w:hyperlink w:anchor="SENTENCIA_2013_100" w:history="1">
        <w:r w:rsidRPr="00E27756">
          <w:rPr>
            <w:rStyle w:val="TextoNormalCaracter"/>
          </w:rPr>
          <w:t>100/2013</w:t>
        </w:r>
      </w:hyperlink>
      <w:r>
        <w:t xml:space="preserve">, ff. 1, 2, 4; </w:t>
      </w:r>
      <w:hyperlink w:anchor="SENTENCIA_2013_101" w:history="1">
        <w:r w:rsidRPr="00E27756">
          <w:rPr>
            <w:rStyle w:val="TextoNormalCaracter"/>
          </w:rPr>
          <w:t>101/2013</w:t>
        </w:r>
      </w:hyperlink>
      <w:r>
        <w:t>, f. 1.</w:t>
      </w:r>
    </w:p>
    <w:p w:rsidR="00E27756" w:rsidRDefault="00E27756" w:rsidP="00E27756">
      <w:pPr>
        <w:pStyle w:val="SangriaFrancesaArticulo"/>
      </w:pPr>
      <w:r w:rsidRPr="00E27756">
        <w:rPr>
          <w:rStyle w:val="TextoNormalNegritaCaracter"/>
        </w:rPr>
        <w:lastRenderedPageBreak/>
        <w:t>Artículo 158.2.</w:t>
      </w:r>
      <w:r w:rsidRPr="00E27756">
        <w:rPr>
          <w:rStyle w:val="TextoNormalCaracter"/>
        </w:rPr>
        <w:t>-</w:t>
      </w:r>
      <w:r>
        <w:t xml:space="preserve"> Sentencia </w:t>
      </w:r>
      <w:hyperlink w:anchor="SENTENCIA_2013_101" w:history="1">
        <w:r w:rsidRPr="00E27756">
          <w:rPr>
            <w:rStyle w:val="TextoNormalCaracter"/>
          </w:rPr>
          <w:t>101/2013</w:t>
        </w:r>
      </w:hyperlink>
      <w:r>
        <w:t>, ff. 5, 6.</w:t>
      </w:r>
    </w:p>
    <w:p w:rsidR="00E27756" w:rsidRDefault="00E27756" w:rsidP="00E27756">
      <w:pPr>
        <w:pStyle w:val="SangriaFrancesaArticulo"/>
      </w:pPr>
      <w:r w:rsidRPr="00E27756">
        <w:rPr>
          <w:rStyle w:val="TextoNormalNegritaCaracter"/>
        </w:rPr>
        <w:t>Artículo 159.5.</w:t>
      </w:r>
      <w:r w:rsidRPr="00E27756">
        <w:rPr>
          <w:rStyle w:val="TextoNormalCaracter"/>
        </w:rPr>
        <w:t>-</w:t>
      </w:r>
      <w:r>
        <w:t xml:space="preserve"> Sentencia </w:t>
      </w:r>
      <w:hyperlink w:anchor="SENTENCIA_2013_133" w:history="1">
        <w:r w:rsidRPr="00E27756">
          <w:rPr>
            <w:rStyle w:val="TextoNormalCaracter"/>
          </w:rPr>
          <w:t>133/2013</w:t>
        </w:r>
      </w:hyperlink>
      <w:r>
        <w:t>, ff. 5, 6.</w:t>
      </w:r>
    </w:p>
    <w:p w:rsidR="00E27756" w:rsidRDefault="00E27756" w:rsidP="00E27756">
      <w:pPr>
        <w:pStyle w:val="SangriaFrancesaArticulo"/>
      </w:pPr>
      <w:r w:rsidRPr="00E27756">
        <w:rPr>
          <w:rStyle w:val="TextoNormalNegritaCaracter"/>
        </w:rPr>
        <w:t>Artículo 161 a).</w:t>
      </w:r>
      <w:r w:rsidRPr="00E27756">
        <w:rPr>
          <w:rStyle w:val="TextoNormalCaracter"/>
        </w:rPr>
        <w:t>-</w:t>
      </w:r>
      <w:r>
        <w:t xml:space="preserve"> Sentencia </w:t>
      </w:r>
      <w:hyperlink w:anchor="SENTENCIA_2013_31" w:history="1">
        <w:r w:rsidRPr="00E27756">
          <w:rPr>
            <w:rStyle w:val="TextoNormalCaracter"/>
          </w:rPr>
          <w:t>31/2013</w:t>
        </w:r>
      </w:hyperlink>
      <w:r>
        <w:t>, VP I.</w:t>
      </w:r>
    </w:p>
    <w:p w:rsidR="00E27756" w:rsidRDefault="00E27756" w:rsidP="00E27756">
      <w:pPr>
        <w:pStyle w:val="SangriaFrancesaArticulo"/>
      </w:pPr>
      <w:r w:rsidRPr="00E27756">
        <w:rPr>
          <w:rStyle w:val="TextoNormalNegritaCaracter"/>
        </w:rPr>
        <w:t>Artículo 161.1 b).</w:t>
      </w:r>
      <w:r w:rsidRPr="00E27756">
        <w:rPr>
          <w:rStyle w:val="TextoNormalCaracter"/>
        </w:rPr>
        <w:t>-</w:t>
      </w:r>
      <w:r>
        <w:t xml:space="preserve"> Sentencias </w:t>
      </w:r>
      <w:hyperlink w:anchor="SENTENCIA_2013_31" w:history="1">
        <w:r w:rsidRPr="00E27756">
          <w:rPr>
            <w:rStyle w:val="TextoNormalCaracter"/>
          </w:rPr>
          <w:t>31/2013</w:t>
        </w:r>
      </w:hyperlink>
      <w:r>
        <w:t xml:space="preserve">, VP I; </w:t>
      </w:r>
      <w:hyperlink w:anchor="SENTENCIA_2013_57" w:history="1">
        <w:r w:rsidRPr="00E27756">
          <w:rPr>
            <w:rStyle w:val="TextoNormalCaracter"/>
          </w:rPr>
          <w:t>57/2013</w:t>
        </w:r>
      </w:hyperlink>
      <w:r>
        <w:t xml:space="preserve">, f. 6; </w:t>
      </w:r>
      <w:hyperlink w:anchor="SENTENCIA_2013_88" w:history="1">
        <w:r w:rsidRPr="00E27756">
          <w:rPr>
            <w:rStyle w:val="TextoNormalCaracter"/>
          </w:rPr>
          <w:t>88/2013</w:t>
        </w:r>
      </w:hyperlink>
      <w:r>
        <w:t xml:space="preserve">, VP; </w:t>
      </w:r>
      <w:hyperlink w:anchor="SENTENCIA_2013_133" w:history="1">
        <w:r w:rsidRPr="00E27756">
          <w:rPr>
            <w:rStyle w:val="TextoNormalCaracter"/>
          </w:rPr>
          <w:t>133/2013</w:t>
        </w:r>
      </w:hyperlink>
      <w:r>
        <w:t>, ff. 6, 8.</w:t>
      </w:r>
    </w:p>
    <w:p w:rsidR="00E27756" w:rsidRDefault="00E27756" w:rsidP="00E27756">
      <w:pPr>
        <w:pStyle w:val="SangriaIzquierdaArticulo"/>
      </w:pPr>
      <w:r>
        <w:t xml:space="preserve">Autos </w:t>
      </w:r>
      <w:hyperlink w:anchor="AUTO_2013_7" w:history="1">
        <w:r w:rsidRPr="00E27756">
          <w:rPr>
            <w:rStyle w:val="TextoNormalCaracter"/>
          </w:rPr>
          <w:t>7/2013</w:t>
        </w:r>
      </w:hyperlink>
      <w:r>
        <w:t xml:space="preserve">, f. único; </w:t>
      </w:r>
      <w:hyperlink w:anchor="AUTO_2013_14" w:history="1">
        <w:r w:rsidRPr="00E27756">
          <w:rPr>
            <w:rStyle w:val="TextoNormalCaracter"/>
          </w:rPr>
          <w:t>14/2013</w:t>
        </w:r>
      </w:hyperlink>
      <w:r>
        <w:t xml:space="preserve">, f. único; </w:t>
      </w:r>
      <w:hyperlink w:anchor="AUTO_2013_63" w:history="1">
        <w:r w:rsidRPr="00E27756">
          <w:rPr>
            <w:rStyle w:val="TextoNormalCaracter"/>
          </w:rPr>
          <w:t>63/2013</w:t>
        </w:r>
      </w:hyperlink>
      <w:r>
        <w:t xml:space="preserve">, f. único; </w:t>
      </w:r>
      <w:hyperlink w:anchor="AUTO_2013_65" w:history="1">
        <w:r w:rsidRPr="00E27756">
          <w:rPr>
            <w:rStyle w:val="TextoNormalCaracter"/>
          </w:rPr>
          <w:t>65/2013</w:t>
        </w:r>
      </w:hyperlink>
      <w:r>
        <w:t xml:space="preserve">, f. único; </w:t>
      </w:r>
      <w:hyperlink w:anchor="AUTO_2013_89" w:history="1">
        <w:r w:rsidRPr="00E27756">
          <w:rPr>
            <w:rStyle w:val="TextoNormalCaracter"/>
          </w:rPr>
          <w:t>89/2013</w:t>
        </w:r>
      </w:hyperlink>
      <w:r>
        <w:t xml:space="preserve">, VP I; </w:t>
      </w:r>
      <w:hyperlink w:anchor="AUTO_2013_120" w:history="1">
        <w:r w:rsidRPr="00E27756">
          <w:rPr>
            <w:rStyle w:val="TextoNormalCaracter"/>
          </w:rPr>
          <w:t>120/2013</w:t>
        </w:r>
      </w:hyperlink>
      <w:r>
        <w:t xml:space="preserve">, f. único; </w:t>
      </w:r>
      <w:hyperlink w:anchor="AUTO_2013_121" w:history="1">
        <w:r w:rsidRPr="00E27756">
          <w:rPr>
            <w:rStyle w:val="TextoNormalCaracter"/>
          </w:rPr>
          <w:t>121/2013</w:t>
        </w:r>
      </w:hyperlink>
      <w:r>
        <w:t>, f. único.</w:t>
      </w:r>
    </w:p>
    <w:p w:rsidR="00E27756" w:rsidRDefault="00E27756" w:rsidP="00E27756">
      <w:pPr>
        <w:pStyle w:val="SangriaFrancesaArticulo"/>
      </w:pPr>
      <w:r w:rsidRPr="00E27756">
        <w:rPr>
          <w:rStyle w:val="TextoNormalNegritaCaracter"/>
        </w:rPr>
        <w:t>Artículo 161.2.</w:t>
      </w:r>
      <w:r w:rsidRPr="00E27756">
        <w:rPr>
          <w:rStyle w:val="TextoNormalCaracter"/>
        </w:rPr>
        <w:t>-</w:t>
      </w:r>
      <w:r>
        <w:t xml:space="preserve"> Autos </w:t>
      </w:r>
      <w:hyperlink w:anchor="AUTO_2013_10" w:history="1">
        <w:r w:rsidRPr="00E27756">
          <w:rPr>
            <w:rStyle w:val="TextoNormalCaracter"/>
          </w:rPr>
          <w:t>10/2013</w:t>
        </w:r>
      </w:hyperlink>
      <w:r>
        <w:t xml:space="preserve">, f. 1; </w:t>
      </w:r>
      <w:hyperlink w:anchor="AUTO_2013_60" w:history="1">
        <w:r w:rsidRPr="00E27756">
          <w:rPr>
            <w:rStyle w:val="TextoNormalCaracter"/>
          </w:rPr>
          <w:t>60/2013</w:t>
        </w:r>
      </w:hyperlink>
      <w:r>
        <w:t xml:space="preserve">, ff. 1 a 3; </w:t>
      </w:r>
      <w:hyperlink w:anchor="AUTO_2013_80" w:history="1">
        <w:r w:rsidRPr="00E27756">
          <w:rPr>
            <w:rStyle w:val="TextoNormalCaracter"/>
          </w:rPr>
          <w:t>80/2013</w:t>
        </w:r>
      </w:hyperlink>
      <w:r>
        <w:t xml:space="preserve">, ff. 1, 2; </w:t>
      </w:r>
      <w:hyperlink w:anchor="AUTO_2013_86" w:history="1">
        <w:r w:rsidRPr="00E27756">
          <w:rPr>
            <w:rStyle w:val="TextoNormalCaracter"/>
          </w:rPr>
          <w:t>86/2013</w:t>
        </w:r>
      </w:hyperlink>
      <w:r>
        <w:t xml:space="preserve">, ff. 1, 2, 6; </w:t>
      </w:r>
      <w:hyperlink w:anchor="AUTO_2013_88" w:history="1">
        <w:r w:rsidRPr="00E27756">
          <w:rPr>
            <w:rStyle w:val="TextoNormalCaracter"/>
          </w:rPr>
          <w:t>88/2013</w:t>
        </w:r>
      </w:hyperlink>
      <w:r>
        <w:t xml:space="preserve">, ff. 1, 2; </w:t>
      </w:r>
      <w:hyperlink w:anchor="AUTO_2013_122" w:history="1">
        <w:r w:rsidRPr="00E27756">
          <w:rPr>
            <w:rStyle w:val="TextoNormalCaracter"/>
          </w:rPr>
          <w:t>122/2013</w:t>
        </w:r>
      </w:hyperlink>
      <w:r>
        <w:t xml:space="preserve">, ff. 1, 2; </w:t>
      </w:r>
      <w:hyperlink w:anchor="AUTO_2013_123" w:history="1">
        <w:r w:rsidRPr="00E27756">
          <w:rPr>
            <w:rStyle w:val="TextoNormalCaracter"/>
          </w:rPr>
          <w:t>123/2013</w:t>
        </w:r>
      </w:hyperlink>
      <w:r>
        <w:t xml:space="preserve">, f. 1; </w:t>
      </w:r>
      <w:hyperlink w:anchor="AUTO_2013_124" w:history="1">
        <w:r w:rsidRPr="00E27756">
          <w:rPr>
            <w:rStyle w:val="TextoNormalCaracter"/>
          </w:rPr>
          <w:t>124/2013</w:t>
        </w:r>
      </w:hyperlink>
      <w:r>
        <w:t xml:space="preserve">, ff. 1, 2; </w:t>
      </w:r>
      <w:hyperlink w:anchor="AUTO_2013_142" w:history="1">
        <w:r w:rsidRPr="00E27756">
          <w:rPr>
            <w:rStyle w:val="TextoNormalCaracter"/>
          </w:rPr>
          <w:t>142/2013</w:t>
        </w:r>
      </w:hyperlink>
      <w:r>
        <w:t xml:space="preserve">, ff. 1, 3 a); </w:t>
      </w:r>
      <w:hyperlink w:anchor="AUTO_2013_146" w:history="1">
        <w:r w:rsidRPr="00E27756">
          <w:rPr>
            <w:rStyle w:val="TextoNormalCaracter"/>
          </w:rPr>
          <w:t>146/2013</w:t>
        </w:r>
      </w:hyperlink>
      <w:r>
        <w:t>, ff. 2, 4.</w:t>
      </w:r>
    </w:p>
    <w:p w:rsidR="00E27756" w:rsidRDefault="00E27756" w:rsidP="00E27756">
      <w:pPr>
        <w:pStyle w:val="SangriaFrancesaArticulo"/>
      </w:pPr>
      <w:r w:rsidRPr="00E27756">
        <w:rPr>
          <w:rStyle w:val="TextoNormalNegritaCaracter"/>
        </w:rPr>
        <w:t>Artículo 162.1.</w:t>
      </w:r>
      <w:r w:rsidRPr="00E27756">
        <w:rPr>
          <w:rStyle w:val="TextoNormalCaracter"/>
        </w:rPr>
        <w:t>-</w:t>
      </w:r>
      <w:r>
        <w:t xml:space="preserve"> Sentencia </w:t>
      </w:r>
      <w:hyperlink w:anchor="SENTENCIA_2013_20" w:history="1">
        <w:r w:rsidRPr="00E27756">
          <w:rPr>
            <w:rStyle w:val="TextoNormalCaracter"/>
          </w:rPr>
          <w:t>20/2013</w:t>
        </w:r>
      </w:hyperlink>
      <w:r>
        <w:t>, f. 10.</w:t>
      </w:r>
    </w:p>
    <w:p w:rsidR="00E27756" w:rsidRDefault="00E27756" w:rsidP="00E27756">
      <w:pPr>
        <w:pStyle w:val="SangriaFrancesaArticulo"/>
      </w:pPr>
      <w:r w:rsidRPr="00E27756">
        <w:rPr>
          <w:rStyle w:val="TextoNormalNegritaCaracter"/>
        </w:rPr>
        <w:t>Artículo 162.1 a).</w:t>
      </w:r>
      <w:r w:rsidRPr="00E27756">
        <w:rPr>
          <w:rStyle w:val="TextoNormalCaracter"/>
        </w:rPr>
        <w:t>-</w:t>
      </w:r>
      <w:r>
        <w:t xml:space="preserve"> Sentencia </w:t>
      </w:r>
      <w:hyperlink w:anchor="SENTENCIA_2013_131" w:history="1">
        <w:r w:rsidRPr="00E27756">
          <w:rPr>
            <w:rStyle w:val="TextoNormalCaracter"/>
          </w:rPr>
          <w:t>131/2013</w:t>
        </w:r>
      </w:hyperlink>
      <w:r>
        <w:t>, VP II.</w:t>
      </w:r>
    </w:p>
    <w:p w:rsidR="00E27756" w:rsidRDefault="00E27756" w:rsidP="00E27756">
      <w:pPr>
        <w:pStyle w:val="SangriaFrancesaArticulo"/>
      </w:pPr>
      <w:r w:rsidRPr="00E27756">
        <w:rPr>
          <w:rStyle w:val="TextoNormalNegritaCaracter"/>
        </w:rPr>
        <w:t>Artículo 162.1 b).</w:t>
      </w:r>
      <w:r w:rsidRPr="00E27756">
        <w:rPr>
          <w:rStyle w:val="TextoNormalCaracter"/>
        </w:rPr>
        <w:t>-</w:t>
      </w:r>
      <w:r>
        <w:t xml:space="preserve"> Sentencias </w:t>
      </w:r>
      <w:hyperlink w:anchor="SENTENCIA_2013_32" w:history="1">
        <w:r w:rsidRPr="00E27756">
          <w:rPr>
            <w:rStyle w:val="TextoNormalCaracter"/>
          </w:rPr>
          <w:t>32/2013</w:t>
        </w:r>
      </w:hyperlink>
      <w:r>
        <w:t xml:space="preserve">, f. 2; </w:t>
      </w:r>
      <w:hyperlink w:anchor="SENTENCIA_2013_88" w:history="1">
        <w:r w:rsidRPr="00E27756">
          <w:rPr>
            <w:rStyle w:val="TextoNormalCaracter"/>
          </w:rPr>
          <w:t>88/2013</w:t>
        </w:r>
      </w:hyperlink>
      <w:r>
        <w:t xml:space="preserve">, VP; </w:t>
      </w:r>
      <w:hyperlink w:anchor="SENTENCIA_2013_108" w:history="1">
        <w:r w:rsidRPr="00E27756">
          <w:rPr>
            <w:rStyle w:val="TextoNormalCaracter"/>
          </w:rPr>
          <w:t>108/2013</w:t>
        </w:r>
      </w:hyperlink>
      <w:r>
        <w:t xml:space="preserve">, f. 2; </w:t>
      </w:r>
      <w:hyperlink w:anchor="SENTENCIA_2013_126" w:history="1">
        <w:r w:rsidRPr="00E27756">
          <w:rPr>
            <w:rStyle w:val="TextoNormalCaracter"/>
          </w:rPr>
          <w:t>126/2013</w:t>
        </w:r>
      </w:hyperlink>
      <w:r>
        <w:t xml:space="preserve">, f. 2; </w:t>
      </w:r>
      <w:hyperlink w:anchor="SENTENCIA_2013_133" w:history="1">
        <w:r w:rsidRPr="00E27756">
          <w:rPr>
            <w:rStyle w:val="TextoNormalCaracter"/>
          </w:rPr>
          <w:t>133/2013</w:t>
        </w:r>
      </w:hyperlink>
      <w:r>
        <w:t>, f. 2.</w:t>
      </w:r>
    </w:p>
    <w:p w:rsidR="00E27756" w:rsidRDefault="00E27756" w:rsidP="00E27756">
      <w:pPr>
        <w:pStyle w:val="SangriaFrancesaArticulo"/>
      </w:pPr>
      <w:r w:rsidRPr="00E27756">
        <w:rPr>
          <w:rStyle w:val="TextoNormalNegritaCaracter"/>
        </w:rPr>
        <w:t>Artículo 163.</w:t>
      </w:r>
      <w:r w:rsidRPr="00E27756">
        <w:rPr>
          <w:rStyle w:val="TextoNormalCaracter"/>
        </w:rPr>
        <w:t>-</w:t>
      </w:r>
      <w:r>
        <w:t xml:space="preserve"> Sentencias </w:t>
      </w:r>
      <w:hyperlink w:anchor="SENTENCIA_2013_42" w:history="1">
        <w:r w:rsidRPr="00E27756">
          <w:rPr>
            <w:rStyle w:val="TextoNormalCaracter"/>
          </w:rPr>
          <w:t>42/2013</w:t>
        </w:r>
      </w:hyperlink>
      <w:r>
        <w:t xml:space="preserve">, f. 2; </w:t>
      </w:r>
      <w:hyperlink w:anchor="SENTENCIA_2013_60" w:history="1">
        <w:r w:rsidRPr="00E27756">
          <w:rPr>
            <w:rStyle w:val="TextoNormalCaracter"/>
          </w:rPr>
          <w:t>60/2013</w:t>
        </w:r>
      </w:hyperlink>
      <w:r>
        <w:t xml:space="preserve">, f. 1; </w:t>
      </w:r>
      <w:hyperlink w:anchor="SENTENCIA_2013_61" w:history="1">
        <w:r w:rsidRPr="00E27756">
          <w:rPr>
            <w:rStyle w:val="TextoNormalCaracter"/>
          </w:rPr>
          <w:t>61/2013</w:t>
        </w:r>
      </w:hyperlink>
      <w:r>
        <w:t xml:space="preserve">, f. 2; </w:t>
      </w:r>
      <w:hyperlink w:anchor="SENTENCIA_2013_129" w:history="1">
        <w:r w:rsidRPr="00E27756">
          <w:rPr>
            <w:rStyle w:val="TextoNormalCaracter"/>
          </w:rPr>
          <w:t>129/2013</w:t>
        </w:r>
      </w:hyperlink>
      <w:r>
        <w:t>, f. 6.</w:t>
      </w:r>
    </w:p>
    <w:p w:rsidR="00E27756" w:rsidRDefault="00E27756" w:rsidP="00E27756">
      <w:pPr>
        <w:pStyle w:val="SangriaIzquierdaArticulo"/>
      </w:pPr>
      <w:r>
        <w:t xml:space="preserve">Autos </w:t>
      </w:r>
      <w:hyperlink w:anchor="AUTO_2013_30" w:history="1">
        <w:r w:rsidRPr="00E27756">
          <w:rPr>
            <w:rStyle w:val="TextoNormalCaracter"/>
          </w:rPr>
          <w:t>30/2013</w:t>
        </w:r>
      </w:hyperlink>
      <w:r>
        <w:t xml:space="preserve">, f. 4; </w:t>
      </w:r>
      <w:hyperlink w:anchor="AUTO_2013_31" w:history="1">
        <w:r w:rsidRPr="00E27756">
          <w:rPr>
            <w:rStyle w:val="TextoNormalCaracter"/>
          </w:rPr>
          <w:t>31/2013</w:t>
        </w:r>
      </w:hyperlink>
      <w:r>
        <w:t xml:space="preserve">, f. 4; </w:t>
      </w:r>
      <w:hyperlink w:anchor="AUTO_2013_32" w:history="1">
        <w:r w:rsidRPr="00E27756">
          <w:rPr>
            <w:rStyle w:val="TextoNormalCaracter"/>
          </w:rPr>
          <w:t>32/2013</w:t>
        </w:r>
      </w:hyperlink>
      <w:r>
        <w:t xml:space="preserve">, f. 4; </w:t>
      </w:r>
      <w:hyperlink w:anchor="AUTO_2013_96" w:history="1">
        <w:r w:rsidRPr="00E27756">
          <w:rPr>
            <w:rStyle w:val="TextoNormalCaracter"/>
          </w:rPr>
          <w:t>96/2013</w:t>
        </w:r>
      </w:hyperlink>
      <w:r>
        <w:t xml:space="preserve">, f. único; </w:t>
      </w:r>
      <w:hyperlink w:anchor="AUTO_2013_126" w:history="1">
        <w:r w:rsidRPr="00E27756">
          <w:rPr>
            <w:rStyle w:val="TextoNormalCaracter"/>
          </w:rPr>
          <w:t>126/2013</w:t>
        </w:r>
      </w:hyperlink>
      <w:r>
        <w:t>, f. único.</w:t>
      </w:r>
    </w:p>
    <w:p w:rsidR="00E27756" w:rsidRDefault="00E27756" w:rsidP="00E27756">
      <w:pPr>
        <w:pStyle w:val="SangriaFrancesaArticulo"/>
      </w:pPr>
      <w:r w:rsidRPr="00E27756">
        <w:rPr>
          <w:rStyle w:val="TextoNormalNegritaCaracter"/>
        </w:rPr>
        <w:t>Artículo 164.1.</w:t>
      </w:r>
      <w:r w:rsidRPr="00E27756">
        <w:rPr>
          <w:rStyle w:val="TextoNormalCaracter"/>
        </w:rPr>
        <w:t>-</w:t>
      </w:r>
      <w:r>
        <w:t xml:space="preserve"> Sentencias </w:t>
      </w:r>
      <w:hyperlink w:anchor="SENTENCIA_2013_36" w:history="1">
        <w:r w:rsidRPr="00E27756">
          <w:rPr>
            <w:rStyle w:val="TextoNormalCaracter"/>
          </w:rPr>
          <w:t>36/2013</w:t>
        </w:r>
      </w:hyperlink>
      <w:r>
        <w:t xml:space="preserve">, f. 6; </w:t>
      </w:r>
      <w:hyperlink w:anchor="SENTENCIA_2013_40" w:history="1">
        <w:r w:rsidRPr="00E27756">
          <w:rPr>
            <w:rStyle w:val="TextoNormalCaracter"/>
          </w:rPr>
          <w:t>40/2013</w:t>
        </w:r>
      </w:hyperlink>
      <w:r>
        <w:t xml:space="preserve">, f. 8; </w:t>
      </w:r>
      <w:hyperlink w:anchor="SENTENCIA_2013_41" w:history="1">
        <w:r w:rsidRPr="00E27756">
          <w:rPr>
            <w:rStyle w:val="TextoNormalCaracter"/>
          </w:rPr>
          <w:t>41/2013</w:t>
        </w:r>
      </w:hyperlink>
      <w:r>
        <w:t xml:space="preserve">, f. 9; </w:t>
      </w:r>
      <w:hyperlink w:anchor="SENTENCIA_2013_133" w:history="1">
        <w:r w:rsidRPr="00E27756">
          <w:rPr>
            <w:rStyle w:val="TextoNormalCaracter"/>
          </w:rPr>
          <w:t>133/2013</w:t>
        </w:r>
      </w:hyperlink>
      <w:r>
        <w:t>, ff. 5, 6.</w:t>
      </w:r>
    </w:p>
    <w:p w:rsidR="00E27756" w:rsidRDefault="00E27756" w:rsidP="00E27756">
      <w:pPr>
        <w:pStyle w:val="SangriaIzquierdaArticulo"/>
      </w:pPr>
      <w:r>
        <w:t xml:space="preserve">Autos </w:t>
      </w:r>
      <w:hyperlink w:anchor="AUTO_2013_67" w:history="1">
        <w:r w:rsidRPr="00E27756">
          <w:rPr>
            <w:rStyle w:val="TextoNormalCaracter"/>
          </w:rPr>
          <w:t>67/2013</w:t>
        </w:r>
      </w:hyperlink>
      <w:r>
        <w:t xml:space="preserve">, f. 2; </w:t>
      </w:r>
      <w:hyperlink w:anchor="AUTO_2013_73" w:history="1">
        <w:r w:rsidRPr="00E27756">
          <w:rPr>
            <w:rStyle w:val="TextoNormalCaracter"/>
          </w:rPr>
          <w:t>73/2013</w:t>
        </w:r>
      </w:hyperlink>
      <w:r>
        <w:t xml:space="preserve">, f. único; </w:t>
      </w:r>
      <w:hyperlink w:anchor="AUTO_2013_76" w:history="1">
        <w:r w:rsidRPr="00E27756">
          <w:rPr>
            <w:rStyle w:val="TextoNormalCaracter"/>
          </w:rPr>
          <w:t>76/2013</w:t>
        </w:r>
      </w:hyperlink>
      <w:r>
        <w:t xml:space="preserve">, f. único; </w:t>
      </w:r>
      <w:hyperlink w:anchor="AUTO_2013_77" w:history="1">
        <w:r w:rsidRPr="00E27756">
          <w:rPr>
            <w:rStyle w:val="TextoNormalCaracter"/>
          </w:rPr>
          <w:t>77/2013</w:t>
        </w:r>
      </w:hyperlink>
      <w:r>
        <w:t>, f. único.</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Sentencias </w:t>
      </w:r>
      <w:hyperlink w:anchor="SENTENCIA_2013_85" w:history="1">
        <w:r w:rsidRPr="00E27756">
          <w:rPr>
            <w:rStyle w:val="TextoNormalCaracter"/>
          </w:rPr>
          <w:t>85/2013</w:t>
        </w:r>
      </w:hyperlink>
      <w:r>
        <w:t xml:space="preserve">, ff. 1, 5;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Disposición adicional tercera.</w:t>
      </w:r>
      <w:r w:rsidRPr="00E27756">
        <w:rPr>
          <w:rStyle w:val="TextoNormalCaracter"/>
        </w:rPr>
        <w:t>-</w:t>
      </w:r>
      <w:r>
        <w:t xml:space="preserve"> Sentencias </w:t>
      </w:r>
      <w:hyperlink w:anchor="SENTENCIA_2013_68" w:history="1">
        <w:r w:rsidRPr="00E27756">
          <w:rPr>
            <w:rStyle w:val="TextoNormalCaracter"/>
          </w:rPr>
          <w:t>68/2013</w:t>
        </w:r>
      </w:hyperlink>
      <w:r>
        <w:t xml:space="preserve">, f. 2; </w:t>
      </w:r>
      <w:hyperlink w:anchor="SENTENCIA_2013_101" w:history="1">
        <w:r w:rsidRPr="00E27756">
          <w:rPr>
            <w:rStyle w:val="TextoNormalCaracter"/>
          </w:rPr>
          <w:t>101/2013</w:t>
        </w:r>
      </w:hyperlink>
      <w:r>
        <w:t>, ff. 1, 7.</w:t>
      </w:r>
    </w:p>
    <w:p w:rsidR="00E27756" w:rsidRDefault="00E27756" w:rsidP="00E27756">
      <w:pPr>
        <w:pStyle w:val="TextoNormal"/>
      </w:pPr>
    </w:p>
    <w:p w:rsidR="00E27756" w:rsidRDefault="00E27756" w:rsidP="00E27756">
      <w:pPr>
        <w:pStyle w:val="SangriaFrancesaArticulo"/>
      </w:pPr>
      <w:bookmarkStart w:id="295" w:name="INDICE22843"/>
    </w:p>
    <w:bookmarkEnd w:id="295"/>
    <w:p w:rsidR="00E27756" w:rsidRDefault="00E27756" w:rsidP="00E27756">
      <w:pPr>
        <w:pStyle w:val="TextoIndiceNivel2"/>
        <w:suppressAutoHyphens/>
      </w:pPr>
      <w:r>
        <w:t>B) Tribunal Constitucional</w:t>
      </w:r>
    </w:p>
    <w:p w:rsidR="00E27756" w:rsidRDefault="00E27756" w:rsidP="00E27756">
      <w:pPr>
        <w:pStyle w:val="TextoIndiceNivel2"/>
      </w:pPr>
    </w:p>
    <w:p w:rsidR="00E27756" w:rsidRDefault="00E27756" w:rsidP="00E27756">
      <w:pPr>
        <w:pStyle w:val="TextoNormalNegritaCursivandice"/>
      </w:pPr>
      <w:r>
        <w:t>Ley Orgánica 2/1979, de 3 de octubre. Tribunal Constitucional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29" w:history="1">
        <w:r w:rsidRPr="00E27756">
          <w:rPr>
            <w:rStyle w:val="TextoNormalCaracter"/>
          </w:rPr>
          <w:t>129/2013</w:t>
        </w:r>
      </w:hyperlink>
      <w:r>
        <w:t xml:space="preserve">, f. 2; </w:t>
      </w:r>
      <w:hyperlink w:anchor="SENTENCIA_2013_133" w:history="1">
        <w:r w:rsidRPr="00E27756">
          <w:rPr>
            <w:rStyle w:val="TextoNormalCaracter"/>
          </w:rPr>
          <w:t>133/2013</w:t>
        </w:r>
      </w:hyperlink>
      <w:r>
        <w:t>, ff. 5, 6, 8.</w:t>
      </w:r>
    </w:p>
    <w:p w:rsidR="00E27756" w:rsidRDefault="00E27756" w:rsidP="00E27756">
      <w:pPr>
        <w:pStyle w:val="SangriaIzquierdaArticulo"/>
      </w:pPr>
      <w:r>
        <w:t xml:space="preserve">Autos </w:t>
      </w:r>
      <w:hyperlink w:anchor="AUTO_2013_24" w:history="1">
        <w:r w:rsidRPr="00E27756">
          <w:rPr>
            <w:rStyle w:val="TextoNormalCaracter"/>
          </w:rPr>
          <w:t>24/2013</w:t>
        </w:r>
      </w:hyperlink>
      <w:r>
        <w:t xml:space="preserve">, f. 1; </w:t>
      </w:r>
      <w:hyperlink w:anchor="AUTO_2013_28" w:history="1">
        <w:r w:rsidRPr="00E27756">
          <w:rPr>
            <w:rStyle w:val="TextoNormalCaracter"/>
          </w:rPr>
          <w:t>28/2013</w:t>
        </w:r>
      </w:hyperlink>
      <w:r>
        <w:t xml:space="preserve">, f. 1, VP I; </w:t>
      </w:r>
      <w:hyperlink w:anchor="AUTO_2013_30" w:history="1">
        <w:r w:rsidRPr="00E27756">
          <w:rPr>
            <w:rStyle w:val="TextoNormalCaracter"/>
          </w:rPr>
          <w:t>30/2013</w:t>
        </w:r>
      </w:hyperlink>
      <w:r>
        <w:t xml:space="preserve">, f. 2; </w:t>
      </w:r>
      <w:hyperlink w:anchor="AUTO_2013_31" w:history="1">
        <w:r w:rsidRPr="00E27756">
          <w:rPr>
            <w:rStyle w:val="TextoNormalCaracter"/>
          </w:rPr>
          <w:t>31/2013</w:t>
        </w:r>
      </w:hyperlink>
      <w:r>
        <w:t xml:space="preserve">, f. 2; </w:t>
      </w:r>
      <w:hyperlink w:anchor="AUTO_2013_32" w:history="1">
        <w:r w:rsidRPr="00E27756">
          <w:rPr>
            <w:rStyle w:val="TextoNormalCaracter"/>
          </w:rPr>
          <w:t>32/2013</w:t>
        </w:r>
      </w:hyperlink>
      <w:r>
        <w:t xml:space="preserve">, f. 2; </w:t>
      </w:r>
      <w:hyperlink w:anchor="AUTO_2013_46" w:history="1">
        <w:r w:rsidRPr="00E27756">
          <w:rPr>
            <w:rStyle w:val="TextoNormalCaracter"/>
          </w:rPr>
          <w:t>46/2013</w:t>
        </w:r>
      </w:hyperlink>
      <w:r>
        <w:t xml:space="preserve">, f. 2; </w:t>
      </w:r>
      <w:hyperlink w:anchor="AUTO_2013_47" w:history="1">
        <w:r w:rsidRPr="00E27756">
          <w:rPr>
            <w:rStyle w:val="TextoNormalCaracter"/>
          </w:rPr>
          <w:t>47/2013</w:t>
        </w:r>
      </w:hyperlink>
      <w:r>
        <w:t xml:space="preserve">, f. único; </w:t>
      </w:r>
      <w:hyperlink w:anchor="AUTO_2013_67" w:history="1">
        <w:r w:rsidRPr="00E27756">
          <w:rPr>
            <w:rStyle w:val="TextoNormalCaracter"/>
          </w:rPr>
          <w:t>67/2013</w:t>
        </w:r>
      </w:hyperlink>
      <w:r>
        <w:t>, f. 2.</w:t>
      </w:r>
    </w:p>
    <w:p w:rsidR="00E27756" w:rsidRDefault="00E27756" w:rsidP="00E27756">
      <w:pPr>
        <w:pStyle w:val="SangriaFrancesaArticulo"/>
      </w:pPr>
      <w:r w:rsidRPr="00E27756">
        <w:rPr>
          <w:rStyle w:val="TextoNormalNegritaCaracter"/>
        </w:rPr>
        <w:t>Título IV, capítulo IV.</w:t>
      </w:r>
      <w:r w:rsidRPr="00E27756">
        <w:rPr>
          <w:rStyle w:val="TextoNormalCaracter"/>
        </w:rPr>
        <w:t>-</w:t>
      </w:r>
      <w:r>
        <w:t xml:space="preserve"> Auto </w:t>
      </w:r>
      <w:hyperlink w:anchor="AUTO_2013_9" w:history="1">
        <w:r w:rsidRPr="00E27756">
          <w:rPr>
            <w:rStyle w:val="TextoNormalCaracter"/>
          </w:rPr>
          <w:t>9/2013</w:t>
        </w:r>
      </w:hyperlink>
      <w:r>
        <w:t>, f. 2.</w:t>
      </w:r>
    </w:p>
    <w:p w:rsidR="00E27756" w:rsidRDefault="00E27756" w:rsidP="00E27756">
      <w:pPr>
        <w:pStyle w:val="SangriaFrancesaArticulo"/>
      </w:pPr>
      <w:r w:rsidRPr="00E27756">
        <w:rPr>
          <w:rStyle w:val="TextoNormalNegritaCaracter"/>
        </w:rPr>
        <w:t>Capítulo III sección 1.</w:t>
      </w:r>
      <w:r w:rsidRPr="00E27756">
        <w:rPr>
          <w:rStyle w:val="TextoNormalCaracter"/>
        </w:rPr>
        <w:t>-</w:t>
      </w:r>
      <w:r>
        <w:t xml:space="preserve"> Auto </w:t>
      </w:r>
      <w:hyperlink w:anchor="AUTO_2013_46" w:history="1">
        <w:r w:rsidRPr="00E27756">
          <w:rPr>
            <w:rStyle w:val="TextoNormalCaracter"/>
          </w:rPr>
          <w:t>46/2013</w:t>
        </w:r>
      </w:hyperlink>
      <w:r>
        <w:t>, f. 2.</w:t>
      </w:r>
    </w:p>
    <w:p w:rsidR="00E27756" w:rsidRDefault="00E27756" w:rsidP="00E27756">
      <w:pPr>
        <w:pStyle w:val="SangriaFrancesaArticulo"/>
      </w:pPr>
      <w:r w:rsidRPr="00E27756">
        <w:rPr>
          <w:rStyle w:val="TextoNormalNegritaCaracter"/>
        </w:rPr>
        <w:t>Capítulo III sección 2.</w:t>
      </w:r>
      <w:r w:rsidRPr="00E27756">
        <w:rPr>
          <w:rStyle w:val="TextoNormalCaracter"/>
        </w:rPr>
        <w:t>-</w:t>
      </w:r>
      <w:r>
        <w:t xml:space="preserve"> Auto </w:t>
      </w:r>
      <w:hyperlink w:anchor="AUTO_2013_46" w:history="1">
        <w:r w:rsidRPr="00E27756">
          <w:rPr>
            <w:rStyle w:val="TextoNormalCaracter"/>
          </w:rPr>
          <w:t>46/2013</w:t>
        </w:r>
      </w:hyperlink>
      <w:r>
        <w:t>, f. 2.</w:t>
      </w:r>
    </w:p>
    <w:p w:rsidR="00E27756" w:rsidRDefault="00E27756" w:rsidP="00E27756">
      <w:pPr>
        <w:pStyle w:val="SangriaFrancesaArticulo"/>
      </w:pPr>
      <w:r w:rsidRPr="00E27756">
        <w:rPr>
          <w:rStyle w:val="TextoNormalNegritaCaracter"/>
        </w:rPr>
        <w:t>Capítulo IV Título IV.</w:t>
      </w:r>
      <w:r w:rsidRPr="00E27756">
        <w:rPr>
          <w:rStyle w:val="TextoNormalCaracter"/>
        </w:rPr>
        <w:t>-</w:t>
      </w:r>
      <w:r>
        <w:t xml:space="preserve"> Auto </w:t>
      </w:r>
      <w:hyperlink w:anchor="AUTO_2013_9" w:history="1">
        <w:r w:rsidRPr="00E27756">
          <w:rPr>
            <w:rStyle w:val="TextoNormalCaracter"/>
          </w:rPr>
          <w:t>9/2013</w:t>
        </w:r>
      </w:hyperlink>
      <w:r>
        <w:t>, f. 2.</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133" w:history="1">
        <w:r w:rsidRPr="00E27756">
          <w:rPr>
            <w:rStyle w:val="TextoNormalCaracter"/>
          </w:rPr>
          <w:t>133/2013</w:t>
        </w:r>
      </w:hyperlink>
      <w:r>
        <w:t>, f. 6.</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Sentencias </w:t>
      </w:r>
      <w:hyperlink w:anchor="SENTENCIA_2013_31" w:history="1">
        <w:r w:rsidRPr="00E27756">
          <w:rPr>
            <w:rStyle w:val="TextoNormalCaracter"/>
          </w:rPr>
          <w:t>31/2013</w:t>
        </w:r>
      </w:hyperlink>
      <w:r>
        <w:t xml:space="preserve">, VP I; </w:t>
      </w:r>
      <w:hyperlink w:anchor="SENTENCIA_2013_88" w:history="1">
        <w:r w:rsidRPr="00E27756">
          <w:rPr>
            <w:rStyle w:val="TextoNormalCaracter"/>
          </w:rPr>
          <w:t>88/2013</w:t>
        </w:r>
      </w:hyperlink>
      <w:r>
        <w:t xml:space="preserve">, VP; </w:t>
      </w:r>
      <w:hyperlink w:anchor="SENTENCIA_2013_126" w:history="1">
        <w:r w:rsidRPr="00E27756">
          <w:rPr>
            <w:rStyle w:val="TextoNormalCaracter"/>
          </w:rPr>
          <w:t>126/2013</w:t>
        </w:r>
      </w:hyperlink>
      <w:r>
        <w:t xml:space="preserve">, f. 2; </w:t>
      </w:r>
      <w:hyperlink w:anchor="SENTENCIA_2013_133" w:history="1">
        <w:r w:rsidRPr="00E27756">
          <w:rPr>
            <w:rStyle w:val="TextoNormalCaracter"/>
          </w:rPr>
          <w:t>133/2013</w:t>
        </w:r>
      </w:hyperlink>
      <w:r>
        <w:t>, ff. 5, 8.</w:t>
      </w:r>
    </w:p>
    <w:p w:rsidR="00E27756" w:rsidRDefault="00E27756" w:rsidP="00E27756">
      <w:pPr>
        <w:pStyle w:val="SangriaIzquierdaArticulo"/>
      </w:pPr>
      <w:r>
        <w:t xml:space="preserve">Auto </w:t>
      </w:r>
      <w:hyperlink w:anchor="AUTO_2013_28" w:history="1">
        <w:r w:rsidRPr="00E27756">
          <w:rPr>
            <w:rStyle w:val="TextoNormalCaracter"/>
          </w:rPr>
          <w:t>28/2013</w:t>
        </w:r>
      </w:hyperlink>
      <w:r>
        <w:t>, VP I.</w:t>
      </w:r>
    </w:p>
    <w:p w:rsidR="00E27756" w:rsidRDefault="00E27756" w:rsidP="00E27756">
      <w:pPr>
        <w:pStyle w:val="SangriaFrancesaArticulo"/>
      </w:pPr>
      <w:r w:rsidRPr="00E27756">
        <w:rPr>
          <w:rStyle w:val="TextoNormalNegritaCaracter"/>
        </w:rPr>
        <w:t>Artículo 2.1 b).</w:t>
      </w:r>
      <w:r w:rsidRPr="00E27756">
        <w:rPr>
          <w:rStyle w:val="TextoNormalCaracter"/>
        </w:rPr>
        <w:t>-</w:t>
      </w:r>
      <w:r>
        <w:t xml:space="preserve"> Sentencias </w:t>
      </w:r>
      <w:hyperlink w:anchor="SENTENCIA_2013_88" w:history="1">
        <w:r w:rsidRPr="00E27756">
          <w:rPr>
            <w:rStyle w:val="TextoNormalCaracter"/>
          </w:rPr>
          <w:t>88/2013</w:t>
        </w:r>
      </w:hyperlink>
      <w:r>
        <w:t xml:space="preserve">, VP; </w:t>
      </w:r>
      <w:hyperlink w:anchor="SENTENCIA_2013_133" w:history="1">
        <w:r w:rsidRPr="00E27756">
          <w:rPr>
            <w:rStyle w:val="TextoNormalCaracter"/>
          </w:rPr>
          <w:t>133/2013</w:t>
        </w:r>
      </w:hyperlink>
      <w:r>
        <w:t>, f. 6.</w:t>
      </w:r>
    </w:p>
    <w:p w:rsidR="00E27756" w:rsidRDefault="00E27756" w:rsidP="00E27756">
      <w:pPr>
        <w:pStyle w:val="SangriaFrancesaArticulo"/>
      </w:pPr>
      <w:r w:rsidRPr="00E27756">
        <w:rPr>
          <w:rStyle w:val="TextoNormalNegritaCaracter"/>
        </w:rPr>
        <w:t>Artículo 4</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 </w:t>
      </w:r>
      <w:hyperlink w:anchor="SENTENCIA_2013_133" w:history="1">
        <w:r w:rsidRPr="00E27756">
          <w:rPr>
            <w:rStyle w:val="TextoNormalCaracter"/>
          </w:rPr>
          <w:t>133/2013</w:t>
        </w:r>
      </w:hyperlink>
      <w:r>
        <w:t>, f. 6.</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133" w:history="1">
        <w:r w:rsidRPr="00E27756">
          <w:rPr>
            <w:rStyle w:val="TextoNormalCaracter"/>
          </w:rPr>
          <w:t>133/2013</w:t>
        </w:r>
      </w:hyperlink>
      <w:r>
        <w:t>, ff. 5, 8.</w:t>
      </w:r>
    </w:p>
    <w:p w:rsidR="00E27756" w:rsidRDefault="00E27756" w:rsidP="00E27756">
      <w:pPr>
        <w:pStyle w:val="SangriaIzquierdaArticulo"/>
      </w:pPr>
      <w:r>
        <w:t xml:space="preserve">Auto </w:t>
      </w:r>
      <w:hyperlink w:anchor="AUTO_2013_46" w:history="1">
        <w:r w:rsidRPr="00E27756">
          <w:rPr>
            <w:rStyle w:val="TextoNormalCaracter"/>
          </w:rPr>
          <w:t>46/2013</w:t>
        </w:r>
      </w:hyperlink>
      <w:r>
        <w:t>, f. 3.</w:t>
      </w:r>
    </w:p>
    <w:p w:rsidR="00E27756" w:rsidRDefault="00E27756" w:rsidP="00E27756">
      <w:pPr>
        <w:pStyle w:val="SangriaFrancesaArticulo"/>
      </w:pPr>
      <w:r w:rsidRPr="00E27756">
        <w:rPr>
          <w:rStyle w:val="TextoNormalNegritaCaracter"/>
        </w:rPr>
        <w:t>Artículo 4.2</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 </w:t>
      </w:r>
      <w:hyperlink w:anchor="SENTENCIA_2013_133" w:history="1">
        <w:r w:rsidRPr="00E27756">
          <w:rPr>
            <w:rStyle w:val="TextoNormalCaracter"/>
          </w:rPr>
          <w:t>133/2013</w:t>
        </w:r>
      </w:hyperlink>
      <w:r>
        <w:t>, ff. 6, 8.</w:t>
      </w:r>
    </w:p>
    <w:p w:rsidR="00E27756" w:rsidRDefault="00E27756" w:rsidP="00E27756">
      <w:pPr>
        <w:pStyle w:val="SangriaFrancesaArticulo"/>
      </w:pPr>
      <w:r w:rsidRPr="00E27756">
        <w:rPr>
          <w:rStyle w:val="TextoNormalNegritaCaracter"/>
        </w:rPr>
        <w:t>Artículo 8</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Auto </w:t>
      </w:r>
      <w:hyperlink w:anchor="AUTO_2013_46" w:history="1">
        <w:r w:rsidRPr="00E27756">
          <w:rPr>
            <w:rStyle w:val="TextoNormalCaracter"/>
          </w:rPr>
          <w:t>46/2013</w:t>
        </w:r>
      </w:hyperlink>
      <w:r>
        <w:t>, f. 2.</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Auto </w:t>
      </w:r>
      <w:hyperlink w:anchor="AUTO_2013_46" w:history="1">
        <w:r w:rsidRPr="00E27756">
          <w:rPr>
            <w:rStyle w:val="TextoNormalCaracter"/>
          </w:rPr>
          <w:t>46/2013</w:t>
        </w:r>
      </w:hyperlink>
      <w:r>
        <w:t>, f. 2.</w:t>
      </w:r>
    </w:p>
    <w:p w:rsidR="00E27756" w:rsidRDefault="00E27756" w:rsidP="00E27756">
      <w:pPr>
        <w:pStyle w:val="SangriaFrancesaArticulo"/>
      </w:pPr>
      <w:r w:rsidRPr="00E27756">
        <w:rPr>
          <w:rStyle w:val="TextoNormalNegritaCaracter"/>
        </w:rPr>
        <w:t>Artículo 10.1 n).</w:t>
      </w:r>
      <w:r w:rsidRPr="00E27756">
        <w:rPr>
          <w:rStyle w:val="TextoNormalCaracter"/>
        </w:rPr>
        <w:t>-</w:t>
      </w:r>
      <w:r>
        <w:t xml:space="preserve"> Sentencia </w:t>
      </w:r>
      <w:hyperlink w:anchor="SENTENCIA_2013_88" w:history="1">
        <w:r w:rsidRPr="00E27756">
          <w:rPr>
            <w:rStyle w:val="TextoNormalCaracter"/>
          </w:rPr>
          <w:t>88/2013</w:t>
        </w:r>
      </w:hyperlink>
      <w:r>
        <w:t>, f. 3, VP.</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Auto </w:t>
      </w:r>
      <w:hyperlink w:anchor="AUTO_2013_89" w:history="1">
        <w:r w:rsidRPr="00E27756">
          <w:rPr>
            <w:rStyle w:val="TextoNormalCaracter"/>
          </w:rPr>
          <w:t>89/2013</w:t>
        </w:r>
      </w:hyperlink>
      <w:r>
        <w:t>, VP I.</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133" w:history="1">
        <w:r w:rsidRPr="00E27756">
          <w:rPr>
            <w:rStyle w:val="TextoNormalCaracter"/>
          </w:rPr>
          <w:t>133/2013</w:t>
        </w:r>
      </w:hyperlink>
      <w:r>
        <w:t>, ff. 4 a 6.</w:t>
      </w:r>
    </w:p>
    <w:p w:rsidR="00E27756" w:rsidRDefault="00E27756" w:rsidP="00E27756">
      <w:pPr>
        <w:pStyle w:val="SangriaFrancesaArticulo"/>
      </w:pPr>
      <w:r w:rsidRPr="00E27756">
        <w:rPr>
          <w:rStyle w:val="TextoNormalNegritaCaracter"/>
        </w:rPr>
        <w:lastRenderedPageBreak/>
        <w:t>Artículo 22.2.</w:t>
      </w:r>
      <w:r w:rsidRPr="00E27756">
        <w:rPr>
          <w:rStyle w:val="TextoNormalCaracter"/>
        </w:rPr>
        <w:t>-</w:t>
      </w:r>
      <w:r>
        <w:t xml:space="preserve"> Sentencia </w:t>
      </w:r>
      <w:hyperlink w:anchor="SENTENCIA_2013_133" w:history="1">
        <w:r w:rsidRPr="00E27756">
          <w:rPr>
            <w:rStyle w:val="TextoNormalCaracter"/>
          </w:rPr>
          <w:t>133/2013</w:t>
        </w:r>
      </w:hyperlink>
      <w:r>
        <w:t>, f. 5.</w:t>
      </w:r>
    </w:p>
    <w:p w:rsidR="00E27756" w:rsidRDefault="00E27756" w:rsidP="00E27756">
      <w:pPr>
        <w:pStyle w:val="SangriaFrancesaArticulo"/>
      </w:pPr>
      <w:r w:rsidRPr="00E27756">
        <w:rPr>
          <w:rStyle w:val="TextoNormalNegritaCaracter"/>
        </w:rPr>
        <w:t>Artículo 23.1.</w:t>
      </w:r>
      <w:r w:rsidRPr="00E27756">
        <w:rPr>
          <w:rStyle w:val="TextoNormalCaracter"/>
        </w:rPr>
        <w:t>-</w:t>
      </w:r>
      <w:r>
        <w:t xml:space="preserve"> Sentencia </w:t>
      </w:r>
      <w:hyperlink w:anchor="SENTENCIA_2013_133" w:history="1">
        <w:r w:rsidRPr="00E27756">
          <w:rPr>
            <w:rStyle w:val="TextoNormalCaracter"/>
          </w:rPr>
          <w:t>133/2013</w:t>
        </w:r>
      </w:hyperlink>
      <w:r>
        <w:t>, ff. 5, 6.</w:t>
      </w:r>
    </w:p>
    <w:p w:rsidR="00E27756" w:rsidRDefault="00E27756" w:rsidP="00E27756">
      <w:pPr>
        <w:pStyle w:val="SangriaFrancesaArticulo"/>
      </w:pPr>
      <w:r w:rsidRPr="00E27756">
        <w:rPr>
          <w:rStyle w:val="TextoNormalNegritaCaracter"/>
        </w:rPr>
        <w:t>Artículo 23.1.7.</w:t>
      </w:r>
      <w:r w:rsidRPr="00E27756">
        <w:rPr>
          <w:rStyle w:val="TextoNormalCaracter"/>
        </w:rPr>
        <w:t>-</w:t>
      </w:r>
      <w:r>
        <w:t xml:space="preserve"> Sentencia </w:t>
      </w:r>
      <w:hyperlink w:anchor="SENTENCIA_2013_133" w:history="1">
        <w:r w:rsidRPr="00E27756">
          <w:rPr>
            <w:rStyle w:val="TextoNormalCaracter"/>
          </w:rPr>
          <w:t>133/2013</w:t>
        </w:r>
      </w:hyperlink>
      <w:r>
        <w:t>, ff. 5, 6.</w:t>
      </w:r>
    </w:p>
    <w:p w:rsidR="00E27756" w:rsidRDefault="00E27756" w:rsidP="00E27756">
      <w:pPr>
        <w:pStyle w:val="SangriaFrancesaArticulo"/>
      </w:pPr>
      <w:r w:rsidRPr="00E27756">
        <w:rPr>
          <w:rStyle w:val="TextoNormalNegritaCaracter"/>
        </w:rPr>
        <w:t>Artículo 27.2 c).</w:t>
      </w:r>
      <w:r w:rsidRPr="00E27756">
        <w:rPr>
          <w:rStyle w:val="TextoNormalCaracter"/>
        </w:rPr>
        <w:t>-</w:t>
      </w:r>
      <w:r>
        <w:t xml:space="preserve"> Sentencia </w:t>
      </w:r>
      <w:hyperlink w:anchor="SENTENCIA_2013_131" w:history="1">
        <w:r w:rsidRPr="00E27756">
          <w:rPr>
            <w:rStyle w:val="TextoNormalCaracter"/>
          </w:rPr>
          <w:t>131/2013</w:t>
        </w:r>
      </w:hyperlink>
      <w:r>
        <w:t>, VP III.</w:t>
      </w:r>
    </w:p>
    <w:p w:rsidR="00E27756" w:rsidRDefault="00E27756" w:rsidP="00E27756">
      <w:pPr>
        <w:pStyle w:val="SangriaFrancesaArticulo"/>
      </w:pPr>
      <w:r w:rsidRPr="00E27756">
        <w:rPr>
          <w:rStyle w:val="TextoNormalNegritaCaracter"/>
        </w:rPr>
        <w:t>Artículo 28.1.</w:t>
      </w:r>
      <w:r w:rsidRPr="00E27756">
        <w:rPr>
          <w:rStyle w:val="TextoNormalCaracter"/>
        </w:rPr>
        <w:t>-</w:t>
      </w:r>
      <w:r>
        <w:t xml:space="preserve"> Sentencias </w:t>
      </w:r>
      <w:hyperlink w:anchor="SENTENCIA_2013_38" w:history="1">
        <w:r w:rsidRPr="00E27756">
          <w:rPr>
            <w:rStyle w:val="TextoNormalCaracter"/>
          </w:rPr>
          <w:t>38/2013</w:t>
        </w:r>
      </w:hyperlink>
      <w:r>
        <w:t xml:space="preserve">, f. 2; </w:t>
      </w:r>
      <w:hyperlink w:anchor="SENTENCIA_2013_66" w:history="1">
        <w:r w:rsidRPr="00E27756">
          <w:rPr>
            <w:rStyle w:val="TextoNormalCaracter"/>
          </w:rPr>
          <w:t>66/2013</w:t>
        </w:r>
      </w:hyperlink>
      <w:r>
        <w:t xml:space="preserve">, f. 2; </w:t>
      </w:r>
      <w:hyperlink w:anchor="SENTENCIA_2013_132" w:history="1">
        <w:r w:rsidRPr="00E27756">
          <w:rPr>
            <w:rStyle w:val="TextoNormalCaracter"/>
          </w:rPr>
          <w:t>132/2013</w:t>
        </w:r>
      </w:hyperlink>
      <w:r>
        <w:t>, f. 3.</w:t>
      </w:r>
    </w:p>
    <w:p w:rsidR="00E27756" w:rsidRDefault="00E27756" w:rsidP="00E27756">
      <w:pPr>
        <w:pStyle w:val="SangriaFrancesaArticulo"/>
      </w:pPr>
      <w:r w:rsidRPr="00E27756">
        <w:rPr>
          <w:rStyle w:val="TextoNormalNegritaCaracter"/>
        </w:rPr>
        <w:t>Artículo 32.1 c).</w:t>
      </w:r>
      <w:r w:rsidRPr="00E27756">
        <w:rPr>
          <w:rStyle w:val="TextoNormalCaracter"/>
        </w:rPr>
        <w:t>-</w:t>
      </w:r>
      <w:r>
        <w:t xml:space="preserve"> Sentencia </w:t>
      </w:r>
      <w:hyperlink w:anchor="SENTENCIA_2013_131" w:history="1">
        <w:r w:rsidRPr="00E27756">
          <w:rPr>
            <w:rStyle w:val="TextoNormalCaracter"/>
          </w:rPr>
          <w:t>131/2013</w:t>
        </w:r>
      </w:hyperlink>
      <w:r>
        <w:t>, VP II.</w:t>
      </w:r>
    </w:p>
    <w:p w:rsidR="00E27756" w:rsidRDefault="00E27756" w:rsidP="00E27756">
      <w:pPr>
        <w:pStyle w:val="SangriaFrancesaArticulo"/>
      </w:pPr>
      <w:r w:rsidRPr="00E27756">
        <w:rPr>
          <w:rStyle w:val="TextoNormalNegritaCaracter"/>
        </w:rPr>
        <w:t>Artículo 32.2.</w:t>
      </w:r>
      <w:r w:rsidRPr="00E27756">
        <w:rPr>
          <w:rStyle w:val="TextoNormalCaracter"/>
        </w:rPr>
        <w:t>-</w:t>
      </w:r>
      <w:r>
        <w:t xml:space="preserve"> Sentencias </w:t>
      </w:r>
      <w:hyperlink w:anchor="SENTENCIA_2013_82" w:history="1">
        <w:r w:rsidRPr="00E27756">
          <w:rPr>
            <w:rStyle w:val="TextoNormalCaracter"/>
          </w:rPr>
          <w:t>82/2013</w:t>
        </w:r>
      </w:hyperlink>
      <w:r>
        <w:t xml:space="preserve">, f. 2;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33.</w:t>
      </w:r>
      <w:r w:rsidRPr="00E27756">
        <w:rPr>
          <w:rStyle w:val="TextoNormalCaracter"/>
        </w:rPr>
        <w:t>-</w:t>
      </w:r>
      <w:r>
        <w:t xml:space="preserve"> Sentencia </w:t>
      </w:r>
      <w:hyperlink w:anchor="SENTENCIA_2013_8" w:history="1">
        <w:r w:rsidRPr="00E27756">
          <w:rPr>
            <w:rStyle w:val="TextoNormalCaracter"/>
          </w:rPr>
          <w:t>8/2013</w:t>
        </w:r>
      </w:hyperlink>
      <w:r>
        <w:t>, f. 2.</w:t>
      </w:r>
    </w:p>
    <w:p w:rsidR="00E27756" w:rsidRDefault="00E27756" w:rsidP="00E27756">
      <w:pPr>
        <w:pStyle w:val="SangriaFrancesaArticulo"/>
      </w:pPr>
      <w:r w:rsidRPr="00E27756">
        <w:rPr>
          <w:rStyle w:val="TextoNormalNegritaCaracter"/>
        </w:rPr>
        <w:t>Artículo 33.1</w:t>
      </w:r>
      <w:r>
        <w:t xml:space="preserve"> </w:t>
      </w:r>
      <w:r w:rsidRPr="00E27756">
        <w:rPr>
          <w:rStyle w:val="TextoNormalCaracter"/>
        </w:rPr>
        <w:t>(redactado por la Ley Orgánica 1/2000, de 7 de enero)</w:t>
      </w:r>
      <w:r w:rsidRPr="00E27756">
        <w:rPr>
          <w:rStyle w:val="TextoNormalNegritaCaracter"/>
        </w:rPr>
        <w:t>.</w:t>
      </w:r>
      <w:r w:rsidRPr="00E27756">
        <w:rPr>
          <w:rStyle w:val="TextoNormalCaracter"/>
        </w:rPr>
        <w:t>-</w:t>
      </w:r>
      <w:r>
        <w:t xml:space="preserve"> Sentencia </w:t>
      </w:r>
      <w:hyperlink w:anchor="SENTENCIA_2013_82" w:history="1">
        <w:r w:rsidRPr="00E27756">
          <w:rPr>
            <w:rStyle w:val="TextoNormalCaracter"/>
          </w:rPr>
          <w:t>82/2013</w:t>
        </w:r>
      </w:hyperlink>
      <w:r>
        <w:t>, f. 2.</w:t>
      </w:r>
    </w:p>
    <w:p w:rsidR="00E27756" w:rsidRDefault="00E27756" w:rsidP="00E27756">
      <w:pPr>
        <w:pStyle w:val="SangriaFrancesaArticulo"/>
      </w:pPr>
      <w:r w:rsidRPr="00E27756">
        <w:rPr>
          <w:rStyle w:val="TextoNormalNegritaCaracter"/>
        </w:rPr>
        <w:t>Artículo 35.</w:t>
      </w:r>
      <w:r w:rsidRPr="00E27756">
        <w:rPr>
          <w:rStyle w:val="TextoNormalCaracter"/>
        </w:rPr>
        <w:t>-</w:t>
      </w:r>
      <w:r>
        <w:t xml:space="preserve"> Sentencias </w:t>
      </w:r>
      <w:hyperlink w:anchor="SENTENCIA_2013_42" w:history="1">
        <w:r w:rsidRPr="00E27756">
          <w:rPr>
            <w:rStyle w:val="TextoNormalCaracter"/>
          </w:rPr>
          <w:t>42/2013</w:t>
        </w:r>
      </w:hyperlink>
      <w:r>
        <w:t xml:space="preserve">, ff. 2, 3, 5; </w:t>
      </w:r>
      <w:hyperlink w:anchor="SENTENCIA_2013_61" w:history="1">
        <w:r w:rsidRPr="00E27756">
          <w:rPr>
            <w:rStyle w:val="TextoNormalCaracter"/>
          </w:rPr>
          <w:t>61/2013</w:t>
        </w:r>
      </w:hyperlink>
      <w:r>
        <w:t xml:space="preserve">, f. 2; </w:t>
      </w:r>
      <w:hyperlink w:anchor="SENTENCIA_2013_88" w:history="1">
        <w:r w:rsidRPr="00E27756">
          <w:rPr>
            <w:rStyle w:val="TextoNormalCaracter"/>
          </w:rPr>
          <w:t>88/2013</w:t>
        </w:r>
      </w:hyperlink>
      <w:r>
        <w:t>, VP.</w:t>
      </w:r>
    </w:p>
    <w:p w:rsidR="00E27756" w:rsidRDefault="00E27756" w:rsidP="00E27756">
      <w:pPr>
        <w:pStyle w:val="SangriaIzquierdaArticulo"/>
      </w:pPr>
      <w:r>
        <w:t xml:space="preserve">Autos </w:t>
      </w:r>
      <w:hyperlink w:anchor="AUTO_2013_85" w:history="1">
        <w:r w:rsidRPr="00E27756">
          <w:rPr>
            <w:rStyle w:val="TextoNormalCaracter"/>
          </w:rPr>
          <w:t>85/2013</w:t>
        </w:r>
      </w:hyperlink>
      <w:r>
        <w:t xml:space="preserve">, f. 1; </w:t>
      </w:r>
      <w:hyperlink w:anchor="AUTO_2013_125" w:history="1">
        <w:r w:rsidRPr="00E27756">
          <w:rPr>
            <w:rStyle w:val="TextoNormalCaracter"/>
          </w:rPr>
          <w:t>125/2013</w:t>
        </w:r>
      </w:hyperlink>
      <w:r>
        <w:t xml:space="preserve">, f. 1; </w:t>
      </w:r>
      <w:hyperlink w:anchor="AUTO_2013_127" w:history="1">
        <w:r w:rsidRPr="00E27756">
          <w:rPr>
            <w:rStyle w:val="TextoNormalCaracter"/>
          </w:rPr>
          <w:t>127/2013</w:t>
        </w:r>
      </w:hyperlink>
      <w:r>
        <w:t xml:space="preserve">, f. 1; </w:t>
      </w:r>
      <w:hyperlink w:anchor="AUTO_2013_128" w:history="1">
        <w:r w:rsidRPr="00E27756">
          <w:rPr>
            <w:rStyle w:val="TextoNormalCaracter"/>
          </w:rPr>
          <w:t>128/2013</w:t>
        </w:r>
      </w:hyperlink>
      <w:r>
        <w:t>, f. 1.</w:t>
      </w:r>
    </w:p>
    <w:p w:rsidR="00E27756" w:rsidRDefault="00E27756" w:rsidP="00E27756">
      <w:pPr>
        <w:pStyle w:val="SangriaFrancesaArticulo"/>
      </w:pPr>
      <w:r w:rsidRPr="00E27756">
        <w:rPr>
          <w:rStyle w:val="TextoNormalNegritaCaracter"/>
        </w:rPr>
        <w:t>Artículo 35.1.</w:t>
      </w:r>
      <w:r w:rsidRPr="00E27756">
        <w:rPr>
          <w:rStyle w:val="TextoNormalCaracter"/>
        </w:rPr>
        <w:t>-</w:t>
      </w:r>
      <w:r>
        <w:t xml:space="preserve"> Sentencia </w:t>
      </w:r>
      <w:hyperlink w:anchor="SENTENCIA_2013_42" w:history="1">
        <w:r w:rsidRPr="00E27756">
          <w:rPr>
            <w:rStyle w:val="TextoNormalCaracter"/>
          </w:rPr>
          <w:t>42/2013</w:t>
        </w:r>
      </w:hyperlink>
      <w:r>
        <w:t>, f. 2.</w:t>
      </w:r>
    </w:p>
    <w:p w:rsidR="00E27756" w:rsidRDefault="00E27756" w:rsidP="00E27756">
      <w:pPr>
        <w:pStyle w:val="SangriaIzquierdaArticulo"/>
      </w:pPr>
      <w:r>
        <w:t xml:space="preserve">Autos </w:t>
      </w:r>
      <w:hyperlink w:anchor="AUTO_2013_30" w:history="1">
        <w:r w:rsidRPr="00E27756">
          <w:rPr>
            <w:rStyle w:val="TextoNormalCaracter"/>
          </w:rPr>
          <w:t>30/2013</w:t>
        </w:r>
      </w:hyperlink>
      <w:r>
        <w:t xml:space="preserve">, f. 4; </w:t>
      </w:r>
      <w:hyperlink w:anchor="AUTO_2013_31" w:history="1">
        <w:r w:rsidRPr="00E27756">
          <w:rPr>
            <w:rStyle w:val="TextoNormalCaracter"/>
          </w:rPr>
          <w:t>31/2013</w:t>
        </w:r>
      </w:hyperlink>
      <w:r>
        <w:t xml:space="preserve">, f. 4; </w:t>
      </w:r>
      <w:hyperlink w:anchor="AUTO_2013_32" w:history="1">
        <w:r w:rsidRPr="00E27756">
          <w:rPr>
            <w:rStyle w:val="TextoNormalCaracter"/>
          </w:rPr>
          <w:t>32/2013</w:t>
        </w:r>
      </w:hyperlink>
      <w:r>
        <w:t>, f. 4.</w:t>
      </w:r>
    </w:p>
    <w:p w:rsidR="00E27756" w:rsidRDefault="00E27756" w:rsidP="00E27756">
      <w:pPr>
        <w:pStyle w:val="SangriaFrancesaArticulo"/>
      </w:pPr>
      <w:r w:rsidRPr="00E27756">
        <w:rPr>
          <w:rStyle w:val="TextoNormalNegritaCaracter"/>
        </w:rPr>
        <w:t>Artículo 35.2.</w:t>
      </w:r>
      <w:r w:rsidRPr="00E27756">
        <w:rPr>
          <w:rStyle w:val="TextoNormalCaracter"/>
        </w:rPr>
        <w:t>-</w:t>
      </w:r>
      <w:r>
        <w:t xml:space="preserve"> Autos </w:t>
      </w:r>
      <w:hyperlink w:anchor="AUTO_2013_23" w:history="1">
        <w:r w:rsidRPr="00E27756">
          <w:rPr>
            <w:rStyle w:val="TextoNormalCaracter"/>
          </w:rPr>
          <w:t>23/2013</w:t>
        </w:r>
      </w:hyperlink>
      <w:r>
        <w:t xml:space="preserve">, f. 5; </w:t>
      </w:r>
      <w:hyperlink w:anchor="AUTO_2013_24" w:history="1">
        <w:r w:rsidRPr="00E27756">
          <w:rPr>
            <w:rStyle w:val="TextoNormalCaracter"/>
          </w:rPr>
          <w:t>24/2013</w:t>
        </w:r>
      </w:hyperlink>
      <w:r>
        <w:t xml:space="preserve">, ff. 2, 3; </w:t>
      </w:r>
      <w:hyperlink w:anchor="AUTO_2013_24" w:history="1">
        <w:r w:rsidRPr="00E27756">
          <w:rPr>
            <w:rStyle w:val="TextoNormalCaracter"/>
          </w:rPr>
          <w:t>24/2013</w:t>
        </w:r>
      </w:hyperlink>
      <w:r>
        <w:t xml:space="preserve">, f. 3; </w:t>
      </w:r>
      <w:hyperlink w:anchor="AUTO_2013_59" w:history="1">
        <w:r w:rsidRPr="00E27756">
          <w:rPr>
            <w:rStyle w:val="TextoNormalCaracter"/>
          </w:rPr>
          <w:t>59/2013</w:t>
        </w:r>
      </w:hyperlink>
      <w:r>
        <w:t xml:space="preserve">, ff. 2, 3; </w:t>
      </w:r>
      <w:hyperlink w:anchor="AUTO_2013_85" w:history="1">
        <w:r w:rsidRPr="00E27756">
          <w:rPr>
            <w:rStyle w:val="TextoNormalCaracter"/>
          </w:rPr>
          <w:t>85/2013</w:t>
        </w:r>
      </w:hyperlink>
      <w:r>
        <w:t>, f. 2.</w:t>
      </w:r>
    </w:p>
    <w:p w:rsidR="00E27756" w:rsidRDefault="00E27756" w:rsidP="00E27756">
      <w:pPr>
        <w:pStyle w:val="SangriaFrancesaArticulo"/>
      </w:pPr>
      <w:r w:rsidRPr="00E27756">
        <w:rPr>
          <w:rStyle w:val="TextoNormalNegritaCaracter"/>
        </w:rPr>
        <w:t>Artículo 35.2</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Sentencias </w:t>
      </w:r>
      <w:hyperlink w:anchor="SENTENCIA_2013_41" w:history="1">
        <w:r w:rsidRPr="00E27756">
          <w:rPr>
            <w:rStyle w:val="TextoNormalCaracter"/>
          </w:rPr>
          <w:t>41/2013</w:t>
        </w:r>
      </w:hyperlink>
      <w:r>
        <w:t xml:space="preserve">, f. 2; </w:t>
      </w:r>
      <w:hyperlink w:anchor="SENTENCIA_2013_42" w:history="1">
        <w:r w:rsidRPr="00E27756">
          <w:rPr>
            <w:rStyle w:val="TextoNormalCaracter"/>
          </w:rPr>
          <w:t>42/2013</w:t>
        </w:r>
      </w:hyperlink>
      <w:r>
        <w:t xml:space="preserve">, ff. 2, 4; </w:t>
      </w:r>
      <w:hyperlink w:anchor="SENTENCIA_2013_61" w:history="1">
        <w:r w:rsidRPr="00E27756">
          <w:rPr>
            <w:rStyle w:val="TextoNormalCaracter"/>
          </w:rPr>
          <w:t>61/2013</w:t>
        </w:r>
      </w:hyperlink>
      <w:r>
        <w:t>, ff. 1, 2.</w:t>
      </w:r>
    </w:p>
    <w:p w:rsidR="00E27756" w:rsidRDefault="00E27756" w:rsidP="00E27756">
      <w:pPr>
        <w:pStyle w:val="SangriaIzquierdaArticulo"/>
      </w:pPr>
      <w:r>
        <w:t xml:space="preserve">Auto </w:t>
      </w:r>
      <w:hyperlink w:anchor="AUTO_2013_35" w:history="1">
        <w:r w:rsidRPr="00E27756">
          <w:rPr>
            <w:rStyle w:val="TextoNormalCaracter"/>
          </w:rPr>
          <w:t>35/2013</w:t>
        </w:r>
      </w:hyperlink>
      <w:r>
        <w:t>, ff. 3, 4.</w:t>
      </w:r>
    </w:p>
    <w:p w:rsidR="00E27756" w:rsidRDefault="00E27756" w:rsidP="00E27756">
      <w:pPr>
        <w:pStyle w:val="SangriaFrancesaArticulo"/>
      </w:pPr>
      <w:r w:rsidRPr="00E27756">
        <w:rPr>
          <w:rStyle w:val="TextoNormalNegritaCaracter"/>
        </w:rPr>
        <w:t>Artículo 37.1.</w:t>
      </w:r>
      <w:r w:rsidRPr="00E27756">
        <w:rPr>
          <w:rStyle w:val="TextoNormalCaracter"/>
        </w:rPr>
        <w:t>-</w:t>
      </w:r>
      <w:r>
        <w:t xml:space="preserve"> Sentencias </w:t>
      </w:r>
      <w:hyperlink w:anchor="SENTENCIA_2013_42" w:history="1">
        <w:r w:rsidRPr="00E27756">
          <w:rPr>
            <w:rStyle w:val="TextoNormalCaracter"/>
          </w:rPr>
          <w:t>42/2013</w:t>
        </w:r>
      </w:hyperlink>
      <w:r>
        <w:t xml:space="preserve">, ff. 2, 5; </w:t>
      </w:r>
      <w:hyperlink w:anchor="SENTENCIA_2013_61" w:history="1">
        <w:r w:rsidRPr="00E27756">
          <w:rPr>
            <w:rStyle w:val="TextoNormalCaracter"/>
          </w:rPr>
          <w:t>61/2013</w:t>
        </w:r>
      </w:hyperlink>
      <w:r>
        <w:t>, f. 2.</w:t>
      </w:r>
    </w:p>
    <w:p w:rsidR="00E27756" w:rsidRDefault="00E27756" w:rsidP="00E27756">
      <w:pPr>
        <w:pStyle w:val="SangriaIzquierdaArticulo"/>
      </w:pPr>
      <w:r>
        <w:t xml:space="preserve">Autos </w:t>
      </w:r>
      <w:hyperlink w:anchor="AUTO_2013_9" w:history="1">
        <w:r w:rsidRPr="00E27756">
          <w:rPr>
            <w:rStyle w:val="TextoNormalCaracter"/>
          </w:rPr>
          <w:t>9/2013</w:t>
        </w:r>
      </w:hyperlink>
      <w:r>
        <w:t xml:space="preserve">, f. 4; </w:t>
      </w:r>
      <w:hyperlink w:anchor="AUTO_2013_24" w:history="1">
        <w:r w:rsidRPr="00E27756">
          <w:rPr>
            <w:rStyle w:val="TextoNormalCaracter"/>
          </w:rPr>
          <w:t>24/2013</w:t>
        </w:r>
      </w:hyperlink>
      <w:r>
        <w:t xml:space="preserve">, f. 2; </w:t>
      </w:r>
      <w:hyperlink w:anchor="AUTO_2013_35" w:history="1">
        <w:r w:rsidRPr="00E27756">
          <w:rPr>
            <w:rStyle w:val="TextoNormalCaracter"/>
          </w:rPr>
          <w:t>35/2013</w:t>
        </w:r>
      </w:hyperlink>
      <w:r>
        <w:t xml:space="preserve">, ff. 1, 2, 4; </w:t>
      </w:r>
      <w:hyperlink w:anchor="AUTO_2013_59" w:history="1">
        <w:r w:rsidRPr="00E27756">
          <w:rPr>
            <w:rStyle w:val="TextoNormalCaracter"/>
          </w:rPr>
          <w:t>59/2013</w:t>
        </w:r>
      </w:hyperlink>
      <w:r>
        <w:t xml:space="preserve">, f. 2; </w:t>
      </w:r>
      <w:hyperlink w:anchor="AUTO_2013_85" w:history="1">
        <w:r w:rsidRPr="00E27756">
          <w:rPr>
            <w:rStyle w:val="TextoNormalCaracter"/>
          </w:rPr>
          <w:t>85/2013</w:t>
        </w:r>
      </w:hyperlink>
      <w:r>
        <w:t xml:space="preserve">, f. 1; </w:t>
      </w:r>
      <w:hyperlink w:anchor="AUTO_2013_125" w:history="1">
        <w:r w:rsidRPr="00E27756">
          <w:rPr>
            <w:rStyle w:val="TextoNormalCaracter"/>
          </w:rPr>
          <w:t>125/2013</w:t>
        </w:r>
      </w:hyperlink>
      <w:r>
        <w:t xml:space="preserve">, f. 1; </w:t>
      </w:r>
      <w:hyperlink w:anchor="AUTO_2013_127" w:history="1">
        <w:r w:rsidRPr="00E27756">
          <w:rPr>
            <w:rStyle w:val="TextoNormalCaracter"/>
          </w:rPr>
          <w:t>127/2013</w:t>
        </w:r>
      </w:hyperlink>
      <w:r>
        <w:t xml:space="preserve">, f. 1; </w:t>
      </w:r>
      <w:hyperlink w:anchor="AUTO_2013_128" w:history="1">
        <w:r w:rsidRPr="00E27756">
          <w:rPr>
            <w:rStyle w:val="TextoNormalCaracter"/>
          </w:rPr>
          <w:t>128/2013</w:t>
        </w:r>
      </w:hyperlink>
      <w:r>
        <w:t>, f. 1.</w:t>
      </w:r>
    </w:p>
    <w:p w:rsidR="00E27756" w:rsidRDefault="00E27756" w:rsidP="00E27756">
      <w:pPr>
        <w:pStyle w:val="SangriaFrancesaArticulo"/>
      </w:pPr>
      <w:r w:rsidRPr="00E27756">
        <w:rPr>
          <w:rStyle w:val="TextoNormalNegritaCaracter"/>
        </w:rPr>
        <w:t>Artículo 38.1.</w:t>
      </w:r>
      <w:r w:rsidRPr="00E27756">
        <w:rPr>
          <w:rStyle w:val="TextoNormalCaracter"/>
        </w:rPr>
        <w:t>-</w:t>
      </w:r>
      <w:r>
        <w:t xml:space="preserve"> Sentencias </w:t>
      </w:r>
      <w:hyperlink w:anchor="SENTENCIA_2013_36" w:history="1">
        <w:r w:rsidRPr="00E27756">
          <w:rPr>
            <w:rStyle w:val="TextoNormalCaracter"/>
          </w:rPr>
          <w:t>36/2013</w:t>
        </w:r>
      </w:hyperlink>
      <w:r>
        <w:t xml:space="preserve">, f. 6; </w:t>
      </w:r>
      <w:hyperlink w:anchor="SENTENCIA_2013_41" w:history="1">
        <w:r w:rsidRPr="00E27756">
          <w:rPr>
            <w:rStyle w:val="TextoNormalCaracter"/>
          </w:rPr>
          <w:t>41/2013</w:t>
        </w:r>
      </w:hyperlink>
      <w:r>
        <w:t>, f. 9.</w:t>
      </w:r>
    </w:p>
    <w:p w:rsidR="00E27756" w:rsidRDefault="00E27756" w:rsidP="00E27756">
      <w:pPr>
        <w:pStyle w:val="SangriaIzquierdaArticulo"/>
      </w:pPr>
      <w:r>
        <w:t xml:space="preserve">Autos </w:t>
      </w:r>
      <w:hyperlink w:anchor="AUTO_2013_67" w:history="1">
        <w:r w:rsidRPr="00E27756">
          <w:rPr>
            <w:rStyle w:val="TextoNormalCaracter"/>
          </w:rPr>
          <w:t>67/2013</w:t>
        </w:r>
      </w:hyperlink>
      <w:r>
        <w:t xml:space="preserve">, f. 2; </w:t>
      </w:r>
      <w:hyperlink w:anchor="AUTO_2013_73" w:history="1">
        <w:r w:rsidRPr="00E27756">
          <w:rPr>
            <w:rStyle w:val="TextoNormalCaracter"/>
          </w:rPr>
          <w:t>73/2013</w:t>
        </w:r>
      </w:hyperlink>
      <w:r>
        <w:t xml:space="preserve">, f. único; </w:t>
      </w:r>
      <w:hyperlink w:anchor="AUTO_2013_76" w:history="1">
        <w:r w:rsidRPr="00E27756">
          <w:rPr>
            <w:rStyle w:val="TextoNormalCaracter"/>
          </w:rPr>
          <w:t>76/2013</w:t>
        </w:r>
      </w:hyperlink>
      <w:r>
        <w:t xml:space="preserve">, f. único; </w:t>
      </w:r>
      <w:hyperlink w:anchor="AUTO_2013_77" w:history="1">
        <w:r w:rsidRPr="00E27756">
          <w:rPr>
            <w:rStyle w:val="TextoNormalCaracter"/>
          </w:rPr>
          <w:t>77/2013</w:t>
        </w:r>
      </w:hyperlink>
      <w:r>
        <w:t>, f. único.</w:t>
      </w:r>
    </w:p>
    <w:p w:rsidR="00E27756" w:rsidRDefault="00E27756" w:rsidP="00E27756">
      <w:pPr>
        <w:pStyle w:val="SangriaFrancesaArticulo"/>
      </w:pPr>
      <w:r w:rsidRPr="00E27756">
        <w:rPr>
          <w:rStyle w:val="TextoNormalNegritaCaracter"/>
        </w:rPr>
        <w:t>Artículo 38.2</w:t>
      </w:r>
      <w:r>
        <w:t xml:space="preserve"> </w:t>
      </w:r>
      <w:r w:rsidRPr="00E27756">
        <w:rPr>
          <w:rStyle w:val="TextoNormalCaracter"/>
        </w:rPr>
        <w:t>(redactado por la Ley Orgánica 7/1999, de 21 de abril)</w:t>
      </w:r>
      <w:r w:rsidRPr="00E27756">
        <w:rPr>
          <w:rStyle w:val="TextoNormalNegritaCaracter"/>
        </w:rPr>
        <w:t>.</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39.</w:t>
      </w:r>
      <w:r w:rsidRPr="00E27756">
        <w:rPr>
          <w:rStyle w:val="TextoNormalCaracter"/>
        </w:rPr>
        <w:t>-</w:t>
      </w:r>
      <w:r>
        <w:t xml:space="preserve"> Sentencia </w:t>
      </w:r>
      <w:hyperlink w:anchor="SENTENCIA_2013_130" w:history="1">
        <w:r w:rsidRPr="00E27756">
          <w:rPr>
            <w:rStyle w:val="TextoNormalCaracter"/>
          </w:rPr>
          <w:t>130/2013</w:t>
        </w:r>
      </w:hyperlink>
      <w:r>
        <w:t>, f. 5.</w:t>
      </w:r>
    </w:p>
    <w:p w:rsidR="00E27756" w:rsidRDefault="00E27756" w:rsidP="00E27756">
      <w:pPr>
        <w:pStyle w:val="SangriaFrancesaArticulo"/>
      </w:pPr>
      <w:r w:rsidRPr="00E27756">
        <w:rPr>
          <w:rStyle w:val="TextoNormalNegritaCaracter"/>
        </w:rPr>
        <w:t>Artículo 39.1.</w:t>
      </w:r>
      <w:r w:rsidRPr="00E27756">
        <w:rPr>
          <w:rStyle w:val="TextoNormalCaracter"/>
        </w:rPr>
        <w:t>-</w:t>
      </w:r>
      <w:r>
        <w:t xml:space="preserve"> Sentencias </w:t>
      </w:r>
      <w:hyperlink w:anchor="SENTENCIA_2013_41" w:history="1">
        <w:r w:rsidRPr="00E27756">
          <w:rPr>
            <w:rStyle w:val="TextoNormalCaracter"/>
          </w:rPr>
          <w:t>41/2013</w:t>
        </w:r>
      </w:hyperlink>
      <w:r>
        <w:t xml:space="preserve">, f. 9; </w:t>
      </w:r>
      <w:hyperlink w:anchor="SENTENCIA_2013_61" w:history="1">
        <w:r w:rsidRPr="00E27756">
          <w:rPr>
            <w:rStyle w:val="TextoNormalCaracter"/>
          </w:rPr>
          <w:t>61/2013</w:t>
        </w:r>
      </w:hyperlink>
      <w:r>
        <w:t xml:space="preserve">, ff. 3, 6; </w:t>
      </w:r>
      <w:hyperlink w:anchor="SENTENCIA_2013_135" w:history="1">
        <w:r w:rsidRPr="00E27756">
          <w:rPr>
            <w:rStyle w:val="TextoNormalCaracter"/>
          </w:rPr>
          <w:t>135/2013</w:t>
        </w:r>
      </w:hyperlink>
      <w:r>
        <w:t>, f. 6.</w:t>
      </w:r>
    </w:p>
    <w:p w:rsidR="00E27756" w:rsidRDefault="00E27756" w:rsidP="00E27756">
      <w:pPr>
        <w:pStyle w:val="SangriaIzquierdaArticulo"/>
      </w:pPr>
      <w:r>
        <w:t xml:space="preserve">Auto </w:t>
      </w:r>
      <w:hyperlink w:anchor="AUTO_2013_67" w:history="1">
        <w:r w:rsidRPr="00E27756">
          <w:rPr>
            <w:rStyle w:val="TextoNormalCaracter"/>
          </w:rPr>
          <w:t>67/2013</w:t>
        </w:r>
      </w:hyperlink>
      <w:r>
        <w:t>, f. 2.</w:t>
      </w:r>
    </w:p>
    <w:p w:rsidR="00E27756" w:rsidRDefault="00E27756" w:rsidP="00E27756">
      <w:pPr>
        <w:pStyle w:val="SangriaFrancesaArticulo"/>
      </w:pPr>
      <w:r w:rsidRPr="00E27756">
        <w:rPr>
          <w:rStyle w:val="TextoNormalNegritaCaracter"/>
        </w:rPr>
        <w:t>Artículo 39.2.</w:t>
      </w:r>
      <w:r w:rsidRPr="00E27756">
        <w:rPr>
          <w:rStyle w:val="TextoNormalCaracter"/>
        </w:rPr>
        <w:t>-</w:t>
      </w:r>
      <w:r>
        <w:t xml:space="preserve"> Sentencias </w:t>
      </w:r>
      <w:hyperlink w:anchor="SENTENCIA_2013_93" w:history="1">
        <w:r w:rsidRPr="00E27756">
          <w:rPr>
            <w:rStyle w:val="TextoNormalCaracter"/>
          </w:rPr>
          <w:t>93/2013</w:t>
        </w:r>
      </w:hyperlink>
      <w:r>
        <w:t xml:space="preserve">, VP I; </w:t>
      </w:r>
      <w:hyperlink w:anchor="SENTENCIA_2013_94" w:history="1">
        <w:r w:rsidRPr="00E27756">
          <w:rPr>
            <w:rStyle w:val="TextoNormalCaracter"/>
          </w:rPr>
          <w:t>94/2013</w:t>
        </w:r>
      </w:hyperlink>
      <w:r>
        <w:t>, VP I.</w:t>
      </w:r>
    </w:p>
    <w:p w:rsidR="00E27756" w:rsidRDefault="00E27756" w:rsidP="00E27756">
      <w:pPr>
        <w:pStyle w:val="SangriaFrancesaArticulo"/>
      </w:pPr>
      <w:r w:rsidRPr="00E27756">
        <w:rPr>
          <w:rStyle w:val="TextoNormalNegritaCaracter"/>
        </w:rPr>
        <w:t>Artículo 40.</w:t>
      </w:r>
      <w:r w:rsidRPr="00E27756">
        <w:rPr>
          <w:rStyle w:val="TextoNormalCaracter"/>
        </w:rPr>
        <w:t>-</w:t>
      </w:r>
      <w:r>
        <w:t xml:space="preserve"> Sentencia </w:t>
      </w:r>
      <w:hyperlink w:anchor="SENTENCIA_2013_41" w:history="1">
        <w:r w:rsidRPr="00E27756">
          <w:rPr>
            <w:rStyle w:val="TextoNormalCaracter"/>
          </w:rPr>
          <w:t>41/2013</w:t>
        </w:r>
      </w:hyperlink>
      <w:r>
        <w:t>, f. 9.</w:t>
      </w:r>
    </w:p>
    <w:p w:rsidR="00E27756" w:rsidRDefault="00E27756" w:rsidP="00E27756">
      <w:pPr>
        <w:pStyle w:val="SangriaFrancesaArticulo"/>
      </w:pPr>
      <w:r w:rsidRPr="00E27756">
        <w:rPr>
          <w:rStyle w:val="TextoNormalNegritaCaracter"/>
        </w:rPr>
        <w:t>Artículo 40.1.</w:t>
      </w:r>
      <w:r w:rsidRPr="00E27756">
        <w:rPr>
          <w:rStyle w:val="TextoNormalCaracter"/>
        </w:rPr>
        <w:t>-</w:t>
      </w:r>
      <w:r>
        <w:t xml:space="preserve"> Sentencias </w:t>
      </w:r>
      <w:hyperlink w:anchor="SENTENCIA_2013_39" w:history="1">
        <w:r w:rsidRPr="00E27756">
          <w:rPr>
            <w:rStyle w:val="TextoNormalCaracter"/>
          </w:rPr>
          <w:t>39/2013</w:t>
        </w:r>
      </w:hyperlink>
      <w:r>
        <w:t xml:space="preserve">, f. 3; </w:t>
      </w:r>
      <w:hyperlink w:anchor="SENTENCIA_2013_93" w:history="1">
        <w:r w:rsidRPr="00E27756">
          <w:rPr>
            <w:rStyle w:val="TextoNormalCaracter"/>
          </w:rPr>
          <w:t>93/2013</w:t>
        </w:r>
      </w:hyperlink>
      <w:r>
        <w:t xml:space="preserve">, f. 14; </w:t>
      </w:r>
      <w:hyperlink w:anchor="SENTENCIA_2013_104" w:history="1">
        <w:r w:rsidRPr="00E27756">
          <w:rPr>
            <w:rStyle w:val="TextoNormalCaracter"/>
          </w:rPr>
          <w:t>104/2013</w:t>
        </w:r>
      </w:hyperlink>
      <w:r>
        <w:t xml:space="preserve">, f. 4; </w:t>
      </w:r>
      <w:hyperlink w:anchor="SENTENCIA_2013_131" w:history="1">
        <w:r w:rsidRPr="00E27756">
          <w:rPr>
            <w:rStyle w:val="TextoNormalCaracter"/>
          </w:rPr>
          <w:t>131/2013</w:t>
        </w:r>
      </w:hyperlink>
      <w:r>
        <w:t>, ff. 3, 10.</w:t>
      </w:r>
    </w:p>
    <w:p w:rsidR="00E27756" w:rsidRDefault="00E27756" w:rsidP="00E27756">
      <w:pPr>
        <w:pStyle w:val="SangriaFrancesaArticulo"/>
      </w:pPr>
      <w:r w:rsidRPr="00E27756">
        <w:rPr>
          <w:rStyle w:val="TextoNormalNegritaCaracter"/>
        </w:rPr>
        <w:t>Artículo 40.2.</w:t>
      </w:r>
      <w:r w:rsidRPr="00E27756">
        <w:rPr>
          <w:rStyle w:val="TextoNormalCaracter"/>
        </w:rPr>
        <w:t>-</w:t>
      </w:r>
      <w:r>
        <w:t xml:space="preserve"> Sentencia </w:t>
      </w:r>
      <w:hyperlink w:anchor="SENTENCIA_2013_40" w:history="1">
        <w:r w:rsidRPr="00E27756">
          <w:rPr>
            <w:rStyle w:val="TextoNormalCaracter"/>
          </w:rPr>
          <w:t>40/2013</w:t>
        </w:r>
      </w:hyperlink>
      <w:r>
        <w:t>, f. 8.</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88" w:history="1">
        <w:r w:rsidRPr="00E27756">
          <w:rPr>
            <w:rStyle w:val="TextoNormalCaracter"/>
          </w:rPr>
          <w:t>88/2013</w:t>
        </w:r>
      </w:hyperlink>
      <w:r>
        <w:t>, VP.</w:t>
      </w:r>
    </w:p>
    <w:p w:rsidR="00E27756" w:rsidRDefault="00E27756" w:rsidP="00E27756">
      <w:pPr>
        <w:pStyle w:val="SangriaFrancesaArticulo"/>
      </w:pPr>
      <w:r w:rsidRPr="00E27756">
        <w:rPr>
          <w:rStyle w:val="TextoNormalNegritaCaracter"/>
        </w:rPr>
        <w:t>Artículo 41.1.</w:t>
      </w:r>
      <w:r w:rsidRPr="00E27756">
        <w:rPr>
          <w:rStyle w:val="TextoNormalCaracter"/>
        </w:rPr>
        <w:t>-</w:t>
      </w:r>
      <w:r>
        <w:t xml:space="preserve"> Sentencias </w:t>
      </w:r>
      <w:hyperlink w:anchor="SENTENCIA_2013_31" w:history="1">
        <w:r w:rsidRPr="00E27756">
          <w:rPr>
            <w:rStyle w:val="TextoNormalCaracter"/>
          </w:rPr>
          <w:t>31/2013</w:t>
        </w:r>
      </w:hyperlink>
      <w:r>
        <w:t xml:space="preserve">, f. 3; </w:t>
      </w:r>
      <w:hyperlink w:anchor="SENTENCIA_2013_44" w:history="1">
        <w:r w:rsidRPr="00E27756">
          <w:rPr>
            <w:rStyle w:val="TextoNormalCaracter"/>
          </w:rPr>
          <w:t>44/2013</w:t>
        </w:r>
      </w:hyperlink>
      <w:r>
        <w:t xml:space="preserve">, f. 3; </w:t>
      </w:r>
      <w:hyperlink w:anchor="SENTENCIA_2013_127" w:history="1">
        <w:r w:rsidRPr="00E27756">
          <w:rPr>
            <w:rStyle w:val="TextoNormalCaracter"/>
          </w:rPr>
          <w:t>127/2013</w:t>
        </w:r>
      </w:hyperlink>
      <w:r>
        <w:t xml:space="preserve">, f. 3; </w:t>
      </w:r>
      <w:hyperlink w:anchor="SENTENCIA_2013_128" w:history="1">
        <w:r w:rsidRPr="00E27756">
          <w:rPr>
            <w:rStyle w:val="TextoNormalCaracter"/>
          </w:rPr>
          <w:t>128/2013</w:t>
        </w:r>
      </w:hyperlink>
      <w:r>
        <w:t>, f. 2.</w:t>
      </w:r>
    </w:p>
    <w:p w:rsidR="00E27756" w:rsidRDefault="00E27756" w:rsidP="00E27756">
      <w:pPr>
        <w:pStyle w:val="SangriaFrancesaArticulo"/>
      </w:pPr>
      <w:r w:rsidRPr="00E27756">
        <w:rPr>
          <w:rStyle w:val="TextoNormalNegritaCaracter"/>
        </w:rPr>
        <w:t>Artículo 41.2.</w:t>
      </w:r>
      <w:r w:rsidRPr="00E27756">
        <w:rPr>
          <w:rStyle w:val="TextoNormalCaracter"/>
        </w:rPr>
        <w:t>-</w:t>
      </w:r>
      <w:r>
        <w:t xml:space="preserve"> Sentencia </w:t>
      </w:r>
      <w:hyperlink w:anchor="SENTENCIA_2013_29" w:history="1">
        <w:r w:rsidRPr="00E27756">
          <w:rPr>
            <w:rStyle w:val="TextoNormalCaracter"/>
          </w:rPr>
          <w:t>29/2013</w:t>
        </w:r>
      </w:hyperlink>
      <w:r>
        <w:t>, f. 1.</w:t>
      </w:r>
    </w:p>
    <w:p w:rsidR="00E27756" w:rsidRDefault="00E27756" w:rsidP="00E27756">
      <w:pPr>
        <w:pStyle w:val="SangriaFrancesaArticulo"/>
      </w:pPr>
      <w:r w:rsidRPr="00E27756">
        <w:rPr>
          <w:rStyle w:val="TextoNormalNegritaCaracter"/>
        </w:rPr>
        <w:t>Artículo 41.3.</w:t>
      </w:r>
      <w:r w:rsidRPr="00E27756">
        <w:rPr>
          <w:rStyle w:val="TextoNormalCaracter"/>
        </w:rPr>
        <w:t>-</w:t>
      </w:r>
      <w:r>
        <w:t xml:space="preserve"> Autos </w:t>
      </w:r>
      <w:hyperlink w:anchor="AUTO_2013_7" w:history="1">
        <w:r w:rsidRPr="00E27756">
          <w:rPr>
            <w:rStyle w:val="TextoNormalCaracter"/>
          </w:rPr>
          <w:t>7/2013</w:t>
        </w:r>
      </w:hyperlink>
      <w:r>
        <w:t xml:space="preserve">, f. único; </w:t>
      </w:r>
      <w:hyperlink w:anchor="AUTO_2013_14" w:history="1">
        <w:r w:rsidRPr="00E27756">
          <w:rPr>
            <w:rStyle w:val="TextoNormalCaracter"/>
          </w:rPr>
          <w:t>14/2013</w:t>
        </w:r>
      </w:hyperlink>
      <w:r>
        <w:t xml:space="preserve">, f. único; </w:t>
      </w:r>
      <w:hyperlink w:anchor="AUTO_2013_41" w:history="1">
        <w:r w:rsidRPr="00E27756">
          <w:rPr>
            <w:rStyle w:val="TextoNormalCaracter"/>
          </w:rPr>
          <w:t>41/2013</w:t>
        </w:r>
      </w:hyperlink>
      <w:r>
        <w:t xml:space="preserve">, f. único; </w:t>
      </w:r>
      <w:hyperlink w:anchor="AUTO_2013_63" w:history="1">
        <w:r w:rsidRPr="00E27756">
          <w:rPr>
            <w:rStyle w:val="TextoNormalCaracter"/>
          </w:rPr>
          <w:t>63/2013</w:t>
        </w:r>
      </w:hyperlink>
      <w:r>
        <w:t xml:space="preserve">, f. único; </w:t>
      </w:r>
      <w:hyperlink w:anchor="AUTO_2013_65" w:history="1">
        <w:r w:rsidRPr="00E27756">
          <w:rPr>
            <w:rStyle w:val="TextoNormalCaracter"/>
          </w:rPr>
          <w:t>65/2013</w:t>
        </w:r>
      </w:hyperlink>
      <w:r>
        <w:t xml:space="preserve">, f. único; </w:t>
      </w:r>
      <w:hyperlink w:anchor="AUTO_2013_89" w:history="1">
        <w:r w:rsidRPr="00E27756">
          <w:rPr>
            <w:rStyle w:val="TextoNormalCaracter"/>
          </w:rPr>
          <w:t>89/2013</w:t>
        </w:r>
      </w:hyperlink>
      <w:r>
        <w:t xml:space="preserve">, VP I; </w:t>
      </w:r>
      <w:hyperlink w:anchor="AUTO_2013_120" w:history="1">
        <w:r w:rsidRPr="00E27756">
          <w:rPr>
            <w:rStyle w:val="TextoNormalCaracter"/>
          </w:rPr>
          <w:t>120/2013</w:t>
        </w:r>
      </w:hyperlink>
      <w:r>
        <w:t xml:space="preserve">, f. único; </w:t>
      </w:r>
      <w:hyperlink w:anchor="AUTO_2013_121" w:history="1">
        <w:r w:rsidRPr="00E27756">
          <w:rPr>
            <w:rStyle w:val="TextoNormalCaracter"/>
          </w:rPr>
          <w:t>121/2013</w:t>
        </w:r>
      </w:hyperlink>
      <w:r>
        <w:t>, f. único.</w:t>
      </w:r>
    </w:p>
    <w:p w:rsidR="00E27756" w:rsidRDefault="00E27756" w:rsidP="00E27756">
      <w:pPr>
        <w:pStyle w:val="SangriaFrancesaArticulo"/>
      </w:pPr>
      <w:r w:rsidRPr="00E27756">
        <w:rPr>
          <w:rStyle w:val="TextoNormalNegritaCaracter"/>
        </w:rPr>
        <w:t>Artículos 42 a 44.</w:t>
      </w:r>
      <w:r w:rsidRPr="00E27756">
        <w:rPr>
          <w:rStyle w:val="TextoNormalCaracter"/>
        </w:rPr>
        <w:t>-</w:t>
      </w:r>
      <w:r>
        <w:t xml:space="preserve"> Sentencias </w:t>
      </w:r>
      <w:hyperlink w:anchor="SENTENCIA_2013_127" w:history="1">
        <w:r w:rsidRPr="00E27756">
          <w:rPr>
            <w:rStyle w:val="TextoNormalCaracter"/>
          </w:rPr>
          <w:t>127/2013</w:t>
        </w:r>
      </w:hyperlink>
      <w:r>
        <w:t xml:space="preserve">, f. 2; </w:t>
      </w:r>
      <w:hyperlink w:anchor="SENTENCIA_2013_133" w:history="1">
        <w:r w:rsidRPr="00E27756">
          <w:rPr>
            <w:rStyle w:val="TextoNormalCaracter"/>
          </w:rPr>
          <w:t>133/2013</w:t>
        </w:r>
      </w:hyperlink>
      <w:r>
        <w:t>, f. 2.</w:t>
      </w:r>
    </w:p>
    <w:p w:rsidR="00E27756" w:rsidRDefault="00E27756" w:rsidP="00E27756">
      <w:pPr>
        <w:pStyle w:val="SangriaFrancesaArticulo"/>
      </w:pPr>
      <w:r w:rsidRPr="00E27756">
        <w:rPr>
          <w:rStyle w:val="TextoNormalNegritaCaracter"/>
        </w:rPr>
        <w:t>Artículo 43.</w:t>
      </w:r>
      <w:r w:rsidRPr="00E27756">
        <w:rPr>
          <w:rStyle w:val="TextoNormalCaracter"/>
        </w:rPr>
        <w:t>-</w:t>
      </w:r>
      <w:r>
        <w:t xml:space="preserve"> Sentencias </w:t>
      </w:r>
      <w:hyperlink w:anchor="SENTENCIA_2013_29" w:history="1">
        <w:r w:rsidRPr="00E27756">
          <w:rPr>
            <w:rStyle w:val="TextoNormalCaracter"/>
          </w:rPr>
          <w:t>29/2013</w:t>
        </w:r>
      </w:hyperlink>
      <w:r>
        <w:t xml:space="preserve">, f. 1; </w:t>
      </w:r>
      <w:hyperlink w:anchor="SENTENCIA_2013_72" w:history="1">
        <w:r w:rsidRPr="00E27756">
          <w:rPr>
            <w:rStyle w:val="TextoNormalCaracter"/>
          </w:rPr>
          <w:t>72/2013</w:t>
        </w:r>
      </w:hyperlink>
      <w:r>
        <w:t xml:space="preserve">, f. 2; </w:t>
      </w:r>
      <w:hyperlink w:anchor="SENTENCIA_2013_77" w:history="1">
        <w:r w:rsidRPr="00E27756">
          <w:rPr>
            <w:rStyle w:val="TextoNormalCaracter"/>
          </w:rPr>
          <w:t>77/2013</w:t>
        </w:r>
      </w:hyperlink>
      <w:r>
        <w:t xml:space="preserve">, f. 3; </w:t>
      </w:r>
      <w:hyperlink w:anchor="SENTENCIA_2013_88" w:history="1">
        <w:r w:rsidRPr="00E27756">
          <w:rPr>
            <w:rStyle w:val="TextoNormalCaracter"/>
          </w:rPr>
          <w:t>88/2013</w:t>
        </w:r>
      </w:hyperlink>
      <w:r>
        <w:t xml:space="preserve">, f. 4; </w:t>
      </w:r>
      <w:hyperlink w:anchor="SENTENCIA_2013_117" w:history="1">
        <w:r w:rsidRPr="00E27756">
          <w:rPr>
            <w:rStyle w:val="TextoNormalCaracter"/>
          </w:rPr>
          <w:t>117/2013</w:t>
        </w:r>
      </w:hyperlink>
      <w:r>
        <w:t xml:space="preserve">, f. 2; </w:t>
      </w:r>
      <w:hyperlink w:anchor="SENTENCIA_2013_126" w:history="1">
        <w:r w:rsidRPr="00E27756">
          <w:rPr>
            <w:rStyle w:val="TextoNormalCaracter"/>
          </w:rPr>
          <w:t>126/2013</w:t>
        </w:r>
      </w:hyperlink>
      <w:r>
        <w:t xml:space="preserve">, f. 2; </w:t>
      </w:r>
      <w:hyperlink w:anchor="SENTENCIA_2013_128" w:history="1">
        <w:r w:rsidRPr="00E27756">
          <w:rPr>
            <w:rStyle w:val="TextoNormalCaracter"/>
          </w:rPr>
          <w:t>128/2013</w:t>
        </w:r>
      </w:hyperlink>
      <w:r>
        <w:t>, f. 1.</w:t>
      </w:r>
    </w:p>
    <w:p w:rsidR="00E27756" w:rsidRDefault="00E27756" w:rsidP="00E27756">
      <w:pPr>
        <w:pStyle w:val="SangriaIzquierdaArticulo"/>
      </w:pPr>
      <w:r>
        <w:t xml:space="preserve">Autos </w:t>
      </w:r>
      <w:hyperlink w:anchor="AUTO_2013_46" w:history="1">
        <w:r w:rsidRPr="00E27756">
          <w:rPr>
            <w:rStyle w:val="TextoNormalCaracter"/>
          </w:rPr>
          <w:t>46/2013</w:t>
        </w:r>
      </w:hyperlink>
      <w:r>
        <w:t xml:space="preserve">, f. 2; </w:t>
      </w:r>
      <w:hyperlink w:anchor="AUTO_2013_95" w:history="1">
        <w:r w:rsidRPr="00E27756">
          <w:rPr>
            <w:rStyle w:val="TextoNormalCaracter"/>
          </w:rPr>
          <w:t>95/2013</w:t>
        </w:r>
      </w:hyperlink>
      <w:r>
        <w:t>, f. 2.</w:t>
      </w:r>
    </w:p>
    <w:p w:rsidR="00E27756" w:rsidRDefault="00E27756" w:rsidP="00E27756">
      <w:pPr>
        <w:pStyle w:val="SangriaFrancesaArticulo"/>
      </w:pPr>
      <w:r w:rsidRPr="00E27756">
        <w:rPr>
          <w:rStyle w:val="TextoNormalNegritaCaracter"/>
        </w:rPr>
        <w:t>Artículo 43.1.</w:t>
      </w:r>
      <w:r w:rsidRPr="00E27756">
        <w:rPr>
          <w:rStyle w:val="TextoNormalCaracter"/>
        </w:rPr>
        <w:t>-</w:t>
      </w:r>
      <w:r>
        <w:t xml:space="preserve"> Sentencia </w:t>
      </w:r>
      <w:hyperlink w:anchor="SENTENCIA_2013_29" w:history="1">
        <w:r w:rsidRPr="00E27756">
          <w:rPr>
            <w:rStyle w:val="TextoNormalCaracter"/>
          </w:rPr>
          <w:t>29/2013</w:t>
        </w:r>
      </w:hyperlink>
      <w:r>
        <w:t>, f. 1.</w:t>
      </w:r>
    </w:p>
    <w:p w:rsidR="00E27756" w:rsidRDefault="00E27756" w:rsidP="00E27756">
      <w:pPr>
        <w:pStyle w:val="SangriaFrancesaArticulo"/>
      </w:pPr>
      <w:r w:rsidRPr="00E27756">
        <w:rPr>
          <w:rStyle w:val="TextoNormalNegritaCaracter"/>
        </w:rPr>
        <w:t>Artículo 43.2.</w:t>
      </w:r>
      <w:r w:rsidRPr="00E27756">
        <w:rPr>
          <w:rStyle w:val="TextoNormalCaracter"/>
        </w:rPr>
        <w:t>-</w:t>
      </w:r>
      <w:r>
        <w:t xml:space="preserve"> Sentencia </w:t>
      </w:r>
      <w:hyperlink w:anchor="SENTENCIA_2013_88" w:history="1">
        <w:r w:rsidRPr="00E27756">
          <w:rPr>
            <w:rStyle w:val="TextoNormalCaracter"/>
          </w:rPr>
          <w:t>88/2013</w:t>
        </w:r>
      </w:hyperlink>
      <w:r>
        <w:t>, VP.</w:t>
      </w:r>
    </w:p>
    <w:p w:rsidR="00E27756" w:rsidRDefault="00E27756" w:rsidP="00E27756">
      <w:pPr>
        <w:pStyle w:val="SangriaFrancesaArticulo"/>
      </w:pPr>
      <w:r w:rsidRPr="00E27756">
        <w:rPr>
          <w:rStyle w:val="TextoNormalNegritaCaracter"/>
        </w:rPr>
        <w:t>Artículo 44.</w:t>
      </w:r>
      <w:r w:rsidRPr="00E27756">
        <w:rPr>
          <w:rStyle w:val="TextoNormalCaracter"/>
        </w:rPr>
        <w:t>-</w:t>
      </w:r>
      <w:r>
        <w:t xml:space="preserve"> Sentencias </w:t>
      </w:r>
      <w:hyperlink w:anchor="SENTENCIA_2013_29" w:history="1">
        <w:r w:rsidRPr="00E27756">
          <w:rPr>
            <w:rStyle w:val="TextoNormalCaracter"/>
          </w:rPr>
          <w:t>29/2013</w:t>
        </w:r>
      </w:hyperlink>
      <w:r>
        <w:t xml:space="preserve">, f. 1; </w:t>
      </w:r>
      <w:hyperlink w:anchor="SENTENCIA_2013_88" w:history="1">
        <w:r w:rsidRPr="00E27756">
          <w:rPr>
            <w:rStyle w:val="TextoNormalCaracter"/>
          </w:rPr>
          <w:t>88/2013</w:t>
        </w:r>
      </w:hyperlink>
      <w:r>
        <w:t xml:space="preserve">, f. 1; </w:t>
      </w:r>
      <w:hyperlink w:anchor="SENTENCIA_2013_126" w:history="1">
        <w:r w:rsidRPr="00E27756">
          <w:rPr>
            <w:rStyle w:val="TextoNormalCaracter"/>
          </w:rPr>
          <w:t>126/2013</w:t>
        </w:r>
      </w:hyperlink>
      <w:r>
        <w:t xml:space="preserve">, f. 2; </w:t>
      </w:r>
      <w:hyperlink w:anchor="SENTENCIA_2013_128" w:history="1">
        <w:r w:rsidRPr="00E27756">
          <w:rPr>
            <w:rStyle w:val="TextoNormalCaracter"/>
          </w:rPr>
          <w:t>128/2013</w:t>
        </w:r>
      </w:hyperlink>
      <w:r>
        <w:t>, f. 1.</w:t>
      </w:r>
    </w:p>
    <w:p w:rsidR="00E27756" w:rsidRDefault="00E27756" w:rsidP="00E27756">
      <w:pPr>
        <w:pStyle w:val="SangriaIzquierdaArticulo"/>
      </w:pPr>
      <w:r>
        <w:t xml:space="preserve">Autos </w:t>
      </w:r>
      <w:hyperlink w:anchor="AUTO_2013_46" w:history="1">
        <w:r w:rsidRPr="00E27756">
          <w:rPr>
            <w:rStyle w:val="TextoNormalCaracter"/>
          </w:rPr>
          <w:t>46/2013</w:t>
        </w:r>
      </w:hyperlink>
      <w:r>
        <w:t xml:space="preserve">, f. único; </w:t>
      </w:r>
      <w:hyperlink w:anchor="AUTO_2013_95" w:history="1">
        <w:r w:rsidRPr="00E27756">
          <w:rPr>
            <w:rStyle w:val="TextoNormalCaracter"/>
          </w:rPr>
          <w:t>95/2013</w:t>
        </w:r>
      </w:hyperlink>
      <w:r>
        <w:t>, f. 2.</w:t>
      </w:r>
    </w:p>
    <w:p w:rsidR="00E27756" w:rsidRDefault="00E27756" w:rsidP="00E27756">
      <w:pPr>
        <w:pStyle w:val="SangriaFrancesaArticulo"/>
      </w:pPr>
      <w:r w:rsidRPr="00E27756">
        <w:rPr>
          <w:rStyle w:val="TextoNormalNegritaCaracter"/>
        </w:rPr>
        <w:lastRenderedPageBreak/>
        <w:t>Artículo 44</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 </w:t>
      </w:r>
      <w:hyperlink w:anchor="SENTENCIA_2013_57" w:history="1">
        <w:r w:rsidRPr="00E27756">
          <w:rPr>
            <w:rStyle w:val="TextoNormalCaracter"/>
          </w:rPr>
          <w:t>57/2013</w:t>
        </w:r>
      </w:hyperlink>
      <w:r>
        <w:t>, f. 6.</w:t>
      </w:r>
    </w:p>
    <w:p w:rsidR="00E27756" w:rsidRDefault="00E27756" w:rsidP="00E27756">
      <w:pPr>
        <w:pStyle w:val="SangriaFrancesaArticulo"/>
      </w:pPr>
      <w:r w:rsidRPr="00E27756">
        <w:rPr>
          <w:rStyle w:val="TextoNormalNegritaCaracter"/>
        </w:rPr>
        <w:t>Artículo 44.1.</w:t>
      </w:r>
      <w:r w:rsidRPr="00E27756">
        <w:rPr>
          <w:rStyle w:val="TextoNormalCaracter"/>
        </w:rPr>
        <w:t>-</w:t>
      </w:r>
      <w:r>
        <w:t xml:space="preserve"> Auto </w:t>
      </w:r>
      <w:hyperlink w:anchor="AUTO_2013_2" w:history="1">
        <w:r w:rsidRPr="00E27756">
          <w:rPr>
            <w:rStyle w:val="TextoNormalCaracter"/>
          </w:rPr>
          <w:t>2/2013</w:t>
        </w:r>
      </w:hyperlink>
      <w:r>
        <w:t>, f.4.</w:t>
      </w:r>
    </w:p>
    <w:p w:rsidR="00E27756" w:rsidRDefault="00E27756" w:rsidP="00E27756">
      <w:pPr>
        <w:pStyle w:val="SangriaFrancesaArticulo"/>
      </w:pPr>
      <w:r w:rsidRPr="00E27756">
        <w:rPr>
          <w:rStyle w:val="TextoNormalNegritaCaracter"/>
        </w:rPr>
        <w:t>Artículo 44.1</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 </w:t>
      </w:r>
      <w:hyperlink w:anchor="SENTENCIA_2013_57" w:history="1">
        <w:r w:rsidRPr="00E27756">
          <w:rPr>
            <w:rStyle w:val="TextoNormalCaracter"/>
          </w:rPr>
          <w:t>57/2013</w:t>
        </w:r>
      </w:hyperlink>
      <w:r>
        <w:t>, f. 2.</w:t>
      </w:r>
    </w:p>
    <w:p w:rsidR="00E27756" w:rsidRDefault="00E27756" w:rsidP="00E27756">
      <w:pPr>
        <w:pStyle w:val="SangriaFrancesaArticulo"/>
      </w:pPr>
      <w:r w:rsidRPr="00E27756">
        <w:rPr>
          <w:rStyle w:val="TextoNormalNegritaCaracter"/>
        </w:rPr>
        <w:t>Artículo 44.1 a).</w:t>
      </w:r>
      <w:r w:rsidRPr="00E27756">
        <w:rPr>
          <w:rStyle w:val="TextoNormalCaracter"/>
        </w:rPr>
        <w:t>-</w:t>
      </w:r>
      <w:r>
        <w:t xml:space="preserve"> Sentencias </w:t>
      </w:r>
      <w:hyperlink w:anchor="SENTENCIA_2013_28" w:history="1">
        <w:r w:rsidRPr="00E27756">
          <w:rPr>
            <w:rStyle w:val="TextoNormalCaracter"/>
          </w:rPr>
          <w:t>28/2013</w:t>
        </w:r>
      </w:hyperlink>
      <w:r>
        <w:t xml:space="preserve">, ff. 1-3; </w:t>
      </w:r>
      <w:hyperlink w:anchor="SENTENCIA_2013_29" w:history="1">
        <w:r w:rsidRPr="00E27756">
          <w:rPr>
            <w:rStyle w:val="TextoNormalCaracter"/>
          </w:rPr>
          <w:t>29/2013</w:t>
        </w:r>
      </w:hyperlink>
      <w:r>
        <w:t>, f. 3.</w:t>
      </w:r>
    </w:p>
    <w:p w:rsidR="00E27756" w:rsidRDefault="00E27756" w:rsidP="00E27756">
      <w:pPr>
        <w:pStyle w:val="SangriaFrancesaArticulo"/>
      </w:pPr>
      <w:r w:rsidRPr="00E27756">
        <w:rPr>
          <w:rStyle w:val="TextoNormalNegritaCaracter"/>
        </w:rPr>
        <w:t>Artículo 44.1 a)</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Sentencias </w:t>
      </w:r>
      <w:hyperlink w:anchor="SENTENCIA_2013_1" w:history="1">
        <w:r w:rsidRPr="00E27756">
          <w:rPr>
            <w:rStyle w:val="TextoNormalCaracter"/>
          </w:rPr>
          <w:t>1/2013</w:t>
        </w:r>
      </w:hyperlink>
      <w:r>
        <w:t xml:space="preserve">, ff. 1, 2; </w:t>
      </w:r>
      <w:hyperlink w:anchor="SENTENCIA_2013_11" w:history="1">
        <w:r w:rsidRPr="00E27756">
          <w:rPr>
            <w:rStyle w:val="TextoNormalCaracter"/>
          </w:rPr>
          <w:t>11/2013</w:t>
        </w:r>
      </w:hyperlink>
      <w:r>
        <w:t xml:space="preserve">, ff. 1, 2; </w:t>
      </w:r>
      <w:hyperlink w:anchor="SENTENCIA_2013_54" w:history="1">
        <w:r w:rsidRPr="00E27756">
          <w:rPr>
            <w:rStyle w:val="TextoNormalCaracter"/>
          </w:rPr>
          <w:t>54/2013</w:t>
        </w:r>
      </w:hyperlink>
      <w:r>
        <w:t xml:space="preserve">, ff. 1 a 3; </w:t>
      </w:r>
      <w:hyperlink w:anchor="SENTENCIA_2013_56" w:history="1">
        <w:r w:rsidRPr="00E27756">
          <w:rPr>
            <w:rStyle w:val="TextoNormalCaracter"/>
          </w:rPr>
          <w:t>56/2013</w:t>
        </w:r>
      </w:hyperlink>
      <w:r>
        <w:t xml:space="preserve">, f. 1; </w:t>
      </w:r>
      <w:hyperlink w:anchor="SENTENCIA_2013_106" w:history="1">
        <w:r w:rsidRPr="00E27756">
          <w:rPr>
            <w:rStyle w:val="TextoNormalCaracter"/>
          </w:rPr>
          <w:t>106/2013</w:t>
        </w:r>
      </w:hyperlink>
      <w:r>
        <w:t xml:space="preserve">, f. 3; </w:t>
      </w:r>
      <w:hyperlink w:anchor="SENTENCIA_2013_110" w:history="1">
        <w:r w:rsidRPr="00E27756">
          <w:rPr>
            <w:rStyle w:val="TextoNormalCaracter"/>
          </w:rPr>
          <w:t>110/2013</w:t>
        </w:r>
      </w:hyperlink>
      <w:r>
        <w:t xml:space="preserve">, f. 2; </w:t>
      </w:r>
      <w:hyperlink w:anchor="SENTENCIA_2013_126" w:history="1">
        <w:r w:rsidRPr="00E27756">
          <w:rPr>
            <w:rStyle w:val="TextoNormalCaracter"/>
          </w:rPr>
          <w:t>126/2013</w:t>
        </w:r>
      </w:hyperlink>
      <w:r>
        <w:t xml:space="preserve">, f. 2; </w:t>
      </w:r>
      <w:hyperlink w:anchor="SENTENCIA_2013_127" w:history="1">
        <w:r w:rsidRPr="00E27756">
          <w:rPr>
            <w:rStyle w:val="TextoNormalCaracter"/>
          </w:rPr>
          <w:t>127/2013</w:t>
        </w:r>
      </w:hyperlink>
      <w:r>
        <w:t xml:space="preserve">, f. 2; </w:t>
      </w:r>
      <w:hyperlink w:anchor="SENTENCIA_2013_128" w:history="1">
        <w:r w:rsidRPr="00E27756">
          <w:rPr>
            <w:rStyle w:val="TextoNormalCaracter"/>
          </w:rPr>
          <w:t>128/2013</w:t>
        </w:r>
      </w:hyperlink>
      <w:r>
        <w:t xml:space="preserve">, f. 1; </w:t>
      </w:r>
      <w:hyperlink w:anchor="SENTENCIA_2013_133" w:history="1">
        <w:r w:rsidRPr="00E27756">
          <w:rPr>
            <w:rStyle w:val="TextoNormalCaracter"/>
          </w:rPr>
          <w:t>133/2013</w:t>
        </w:r>
      </w:hyperlink>
      <w:r>
        <w:t>, f. 3.</w:t>
      </w:r>
    </w:p>
    <w:p w:rsidR="00E27756" w:rsidRDefault="00E27756" w:rsidP="00E27756">
      <w:pPr>
        <w:pStyle w:val="SangriaIzquierdaArticulo"/>
      </w:pPr>
      <w:r>
        <w:t xml:space="preserve">Autos </w:t>
      </w:r>
      <w:hyperlink w:anchor="AUTO_2013_25" w:history="1">
        <w:r w:rsidRPr="00E27756">
          <w:rPr>
            <w:rStyle w:val="TextoNormalCaracter"/>
          </w:rPr>
          <w:t>25/2013</w:t>
        </w:r>
      </w:hyperlink>
      <w:r>
        <w:t xml:space="preserve">, f. 3; </w:t>
      </w:r>
      <w:hyperlink w:anchor="AUTO_2013_132" w:history="1">
        <w:r w:rsidRPr="00E27756">
          <w:rPr>
            <w:rStyle w:val="TextoNormalCaracter"/>
          </w:rPr>
          <w:t>132/2013</w:t>
        </w:r>
      </w:hyperlink>
      <w:r>
        <w:t>, f. 1.</w:t>
      </w:r>
    </w:p>
    <w:p w:rsidR="00E27756" w:rsidRDefault="00E27756" w:rsidP="00E27756">
      <w:pPr>
        <w:pStyle w:val="SangriaFrancesaArticulo"/>
      </w:pPr>
      <w:r w:rsidRPr="00E27756">
        <w:rPr>
          <w:rStyle w:val="TextoNormalNegritaCaracter"/>
        </w:rPr>
        <w:t>Artículo 44.1 b).</w:t>
      </w:r>
      <w:r w:rsidRPr="00E27756">
        <w:rPr>
          <w:rStyle w:val="TextoNormalCaracter"/>
        </w:rPr>
        <w:t>-</w:t>
      </w:r>
      <w:r>
        <w:t xml:space="preserve"> Sentencias </w:t>
      </w:r>
      <w:hyperlink w:anchor="SENTENCIA_2013_53" w:history="1">
        <w:r w:rsidRPr="00E27756">
          <w:rPr>
            <w:rStyle w:val="TextoNormalCaracter"/>
          </w:rPr>
          <w:t>53/2013</w:t>
        </w:r>
      </w:hyperlink>
      <w:r>
        <w:t xml:space="preserve">, f. 7; </w:t>
      </w:r>
      <w:hyperlink w:anchor="SENTENCIA_2013_115" w:history="1">
        <w:r w:rsidRPr="00E27756">
          <w:rPr>
            <w:rStyle w:val="TextoNormalCaracter"/>
          </w:rPr>
          <w:t>115/2013</w:t>
        </w:r>
      </w:hyperlink>
      <w:r>
        <w:t>, f. 3.</w:t>
      </w:r>
    </w:p>
    <w:p w:rsidR="00E27756" w:rsidRDefault="00E27756" w:rsidP="00E27756">
      <w:pPr>
        <w:pStyle w:val="SangriaFrancesaArticulo"/>
      </w:pPr>
      <w:r w:rsidRPr="00E27756">
        <w:rPr>
          <w:rStyle w:val="TextoNormalNegritaCaracter"/>
        </w:rPr>
        <w:t>Artículo 44.1 c).</w:t>
      </w:r>
      <w:r w:rsidRPr="00E27756">
        <w:rPr>
          <w:rStyle w:val="TextoNormalCaracter"/>
        </w:rPr>
        <w:t>-</w:t>
      </w:r>
      <w:r>
        <w:t xml:space="preserve"> Auto </w:t>
      </w:r>
      <w:hyperlink w:anchor="AUTO_2013_21" w:history="1">
        <w:r w:rsidRPr="00E27756">
          <w:rPr>
            <w:rStyle w:val="TextoNormalCaracter"/>
          </w:rPr>
          <w:t>21/2013</w:t>
        </w:r>
      </w:hyperlink>
      <w:r>
        <w:t>, f. 3.</w:t>
      </w:r>
    </w:p>
    <w:p w:rsidR="00E27756" w:rsidRDefault="00E27756" w:rsidP="00E27756">
      <w:pPr>
        <w:pStyle w:val="SangriaFrancesaArticulo"/>
      </w:pPr>
      <w:r w:rsidRPr="00E27756">
        <w:rPr>
          <w:rStyle w:val="TextoNormalNegritaCaracter"/>
        </w:rPr>
        <w:t>Artículo 44.1 c)</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Sentencias </w:t>
      </w:r>
      <w:hyperlink w:anchor="SENTENCIA_2013_2" w:history="1">
        <w:r w:rsidRPr="00E27756">
          <w:rPr>
            <w:rStyle w:val="TextoNormalCaracter"/>
          </w:rPr>
          <w:t>2/2013</w:t>
        </w:r>
      </w:hyperlink>
      <w:r>
        <w:t xml:space="preserve">, f. 4; </w:t>
      </w:r>
      <w:hyperlink w:anchor="SENTENCIA_2013_44" w:history="1">
        <w:r w:rsidRPr="00E27756">
          <w:rPr>
            <w:rStyle w:val="TextoNormalCaracter"/>
          </w:rPr>
          <w:t>44/2013</w:t>
        </w:r>
      </w:hyperlink>
      <w:r>
        <w:t xml:space="preserve">, f. 3; </w:t>
      </w:r>
      <w:hyperlink w:anchor="SENTENCIA_2013_53" w:history="1">
        <w:r w:rsidRPr="00E27756">
          <w:rPr>
            <w:rStyle w:val="TextoNormalCaracter"/>
          </w:rPr>
          <w:t>53/2013</w:t>
        </w:r>
      </w:hyperlink>
      <w:r>
        <w:t xml:space="preserve">, ff. 1, 6; </w:t>
      </w:r>
      <w:hyperlink w:anchor="SENTENCIA_2013_75" w:history="1">
        <w:r w:rsidRPr="00E27756">
          <w:rPr>
            <w:rStyle w:val="TextoNormalCaracter"/>
          </w:rPr>
          <w:t>75/2013</w:t>
        </w:r>
      </w:hyperlink>
      <w:r>
        <w:t xml:space="preserve">, f. 2; </w:t>
      </w:r>
      <w:hyperlink w:anchor="SENTENCIA_2013_108" w:history="1">
        <w:r w:rsidRPr="00E27756">
          <w:rPr>
            <w:rStyle w:val="TextoNormalCaracter"/>
          </w:rPr>
          <w:t>108/2013</w:t>
        </w:r>
      </w:hyperlink>
      <w:r>
        <w:t xml:space="preserve">, f. 3; </w:t>
      </w:r>
      <w:hyperlink w:anchor="SENTENCIA_2013_126" w:history="1">
        <w:r w:rsidRPr="00E27756">
          <w:rPr>
            <w:rStyle w:val="TextoNormalCaracter"/>
          </w:rPr>
          <w:t>126/2013</w:t>
        </w:r>
      </w:hyperlink>
      <w:r>
        <w:t xml:space="preserve">, f. 2; </w:t>
      </w:r>
      <w:hyperlink w:anchor="SENTENCIA_2013_127" w:history="1">
        <w:r w:rsidRPr="00E27756">
          <w:rPr>
            <w:rStyle w:val="TextoNormalCaracter"/>
          </w:rPr>
          <w:t>127/2013</w:t>
        </w:r>
      </w:hyperlink>
      <w:r>
        <w:t xml:space="preserve">, f. 2; </w:t>
      </w:r>
      <w:hyperlink w:anchor="SENTENCIA_2013_128" w:history="1">
        <w:r w:rsidRPr="00E27756">
          <w:rPr>
            <w:rStyle w:val="TextoNormalCaracter"/>
          </w:rPr>
          <w:t>128/2013</w:t>
        </w:r>
      </w:hyperlink>
      <w:r>
        <w:t xml:space="preserve">, f. 2; </w:t>
      </w:r>
      <w:hyperlink w:anchor="SENTENCIA_2013_133" w:history="1">
        <w:r w:rsidRPr="00E27756">
          <w:rPr>
            <w:rStyle w:val="TextoNormalCaracter"/>
          </w:rPr>
          <w:t>133/2013</w:t>
        </w:r>
      </w:hyperlink>
      <w:r>
        <w:t>, f. 3.</w:t>
      </w:r>
    </w:p>
    <w:p w:rsidR="00E27756" w:rsidRDefault="00E27756" w:rsidP="00E27756">
      <w:pPr>
        <w:pStyle w:val="SangriaFrancesaArticulo"/>
      </w:pPr>
      <w:r w:rsidRPr="00E27756">
        <w:rPr>
          <w:rStyle w:val="TextoNormalNegritaCaracter"/>
        </w:rPr>
        <w:t>Artículo 44.2.</w:t>
      </w:r>
      <w:r w:rsidRPr="00E27756">
        <w:rPr>
          <w:rStyle w:val="TextoNormalCaracter"/>
        </w:rPr>
        <w:t>-</w:t>
      </w:r>
      <w:r>
        <w:t xml:space="preserve"> Sentencias </w:t>
      </w:r>
      <w:hyperlink w:anchor="SENTENCIA_2013_43" w:history="1">
        <w:r w:rsidRPr="00E27756">
          <w:rPr>
            <w:rStyle w:val="TextoNormalCaracter"/>
          </w:rPr>
          <w:t>43/2013</w:t>
        </w:r>
      </w:hyperlink>
      <w:r>
        <w:t xml:space="preserve">, f. 2; </w:t>
      </w:r>
      <w:hyperlink w:anchor="SENTENCIA_2013_88" w:history="1">
        <w:r w:rsidRPr="00E27756">
          <w:rPr>
            <w:rStyle w:val="TextoNormalCaracter"/>
          </w:rPr>
          <w:t>88/2013</w:t>
        </w:r>
      </w:hyperlink>
      <w:r>
        <w:t xml:space="preserve">, f. 2, VP; </w:t>
      </w:r>
      <w:hyperlink w:anchor="SENTENCIA_2013_118" w:history="1">
        <w:r w:rsidRPr="00E27756">
          <w:rPr>
            <w:rStyle w:val="TextoNormalCaracter"/>
          </w:rPr>
          <w:t>118/2013</w:t>
        </w:r>
      </w:hyperlink>
      <w:r>
        <w:t xml:space="preserve">, f. 2; </w:t>
      </w:r>
      <w:hyperlink w:anchor="SENTENCIA_2013_119" w:history="1">
        <w:r w:rsidRPr="00E27756">
          <w:rPr>
            <w:rStyle w:val="TextoNormalCaracter"/>
          </w:rPr>
          <w:t>119/2013</w:t>
        </w:r>
      </w:hyperlink>
      <w:r>
        <w:t xml:space="preserve">, f. 2; </w:t>
      </w:r>
      <w:hyperlink w:anchor="SENTENCIA_2013_120" w:history="1">
        <w:r w:rsidRPr="00E27756">
          <w:rPr>
            <w:rStyle w:val="TextoNormalCaracter"/>
          </w:rPr>
          <w:t>120/2013</w:t>
        </w:r>
      </w:hyperlink>
      <w:r>
        <w:t xml:space="preserve">, f. 2; </w:t>
      </w:r>
      <w:hyperlink w:anchor="SENTENCIA_2013_126" w:history="1">
        <w:r w:rsidRPr="00E27756">
          <w:rPr>
            <w:rStyle w:val="TextoNormalCaracter"/>
          </w:rPr>
          <w:t>126/2013</w:t>
        </w:r>
      </w:hyperlink>
      <w:r>
        <w:t>, f. 2.</w:t>
      </w:r>
    </w:p>
    <w:p w:rsidR="00E27756" w:rsidRDefault="00E27756" w:rsidP="00E27756">
      <w:pPr>
        <w:pStyle w:val="SangriaIzquierdaArticulo"/>
      </w:pPr>
      <w:r>
        <w:t xml:space="preserve">Autos </w:t>
      </w:r>
      <w:hyperlink w:anchor="AUTO_2013_25" w:history="1">
        <w:r w:rsidRPr="00E27756">
          <w:rPr>
            <w:rStyle w:val="TextoNormalCaracter"/>
          </w:rPr>
          <w:t>25/2013</w:t>
        </w:r>
      </w:hyperlink>
      <w:r>
        <w:t xml:space="preserve">, f. 2; </w:t>
      </w:r>
      <w:hyperlink w:anchor="AUTO_2013_28" w:history="1">
        <w:r w:rsidRPr="00E27756">
          <w:rPr>
            <w:rStyle w:val="TextoNormalCaracter"/>
          </w:rPr>
          <w:t>28/2013</w:t>
        </w:r>
      </w:hyperlink>
      <w:r>
        <w:t xml:space="preserve">, f. 2; </w:t>
      </w:r>
      <w:hyperlink w:anchor="AUTO_2013_143" w:history="1">
        <w:r w:rsidRPr="00E27756">
          <w:rPr>
            <w:rStyle w:val="TextoNormalCaracter"/>
          </w:rPr>
          <w:t>143/2013</w:t>
        </w:r>
      </w:hyperlink>
      <w:r>
        <w:t>, f. 3.</w:t>
      </w:r>
    </w:p>
    <w:p w:rsidR="00E27756" w:rsidRDefault="00E27756" w:rsidP="00E27756">
      <w:pPr>
        <w:pStyle w:val="SangriaFrancesaArticulo"/>
      </w:pPr>
      <w:r w:rsidRPr="00E27756">
        <w:rPr>
          <w:rStyle w:val="TextoNormalNegritaCaracter"/>
        </w:rPr>
        <w:t>Artículo 46.</w:t>
      </w:r>
      <w:r w:rsidRPr="00E27756">
        <w:rPr>
          <w:rStyle w:val="TextoNormalCaracter"/>
        </w:rPr>
        <w:t>-</w:t>
      </w:r>
      <w:r>
        <w:t xml:space="preserve"> Sentencia </w:t>
      </w:r>
      <w:hyperlink w:anchor="SENTENCIA_2013_126" w:history="1">
        <w:r w:rsidRPr="00E27756">
          <w:rPr>
            <w:rStyle w:val="TextoNormalCaracter"/>
          </w:rPr>
          <w:t>126/2013</w:t>
        </w:r>
      </w:hyperlink>
      <w:r>
        <w:t>, f. 2.</w:t>
      </w:r>
    </w:p>
    <w:p w:rsidR="00E27756" w:rsidRDefault="00E27756" w:rsidP="00E27756">
      <w:pPr>
        <w:pStyle w:val="SangriaFrancesaArticulo"/>
      </w:pPr>
      <w:r w:rsidRPr="00E27756">
        <w:rPr>
          <w:rStyle w:val="TextoNormalNegritaCaracter"/>
        </w:rPr>
        <w:t>Artículo 46.1.</w:t>
      </w:r>
      <w:r w:rsidRPr="00E27756">
        <w:rPr>
          <w:rStyle w:val="TextoNormalCaracter"/>
        </w:rPr>
        <w:t>-</w:t>
      </w:r>
      <w:r>
        <w:t xml:space="preserve"> Sentencia </w:t>
      </w:r>
      <w:hyperlink w:anchor="SENTENCIA_2013_126" w:history="1">
        <w:r w:rsidRPr="00E27756">
          <w:rPr>
            <w:rStyle w:val="TextoNormalCaracter"/>
          </w:rPr>
          <w:t>126/2013</w:t>
        </w:r>
      </w:hyperlink>
      <w:r>
        <w:t>, f. 2.</w:t>
      </w:r>
    </w:p>
    <w:p w:rsidR="00E27756" w:rsidRDefault="00E27756" w:rsidP="00E27756">
      <w:pPr>
        <w:pStyle w:val="SangriaFrancesaArticulo"/>
      </w:pPr>
      <w:r w:rsidRPr="00E27756">
        <w:rPr>
          <w:rStyle w:val="TextoNormalNegritaCaracter"/>
        </w:rPr>
        <w:t>Artículo 46.1 a).</w:t>
      </w:r>
      <w:r w:rsidRPr="00E27756">
        <w:rPr>
          <w:rStyle w:val="TextoNormalCaracter"/>
        </w:rPr>
        <w:t>-</w:t>
      </w:r>
      <w:r>
        <w:t xml:space="preserve"> Sentencia </w:t>
      </w:r>
      <w:hyperlink w:anchor="SENTENCIA_2013_133" w:history="1">
        <w:r w:rsidRPr="00E27756">
          <w:rPr>
            <w:rStyle w:val="TextoNormalCaracter"/>
          </w:rPr>
          <w:t>133/2013</w:t>
        </w:r>
      </w:hyperlink>
      <w:r>
        <w:t>, f. 2.</w:t>
      </w:r>
    </w:p>
    <w:p w:rsidR="00E27756" w:rsidRDefault="00E27756" w:rsidP="00E27756">
      <w:pPr>
        <w:pStyle w:val="SangriaFrancesaArticulo"/>
      </w:pPr>
      <w:r w:rsidRPr="00E27756">
        <w:rPr>
          <w:rStyle w:val="TextoNormalNegritaCaracter"/>
        </w:rPr>
        <w:t>Artículo 46.1 b).</w:t>
      </w:r>
      <w:r w:rsidRPr="00E27756">
        <w:rPr>
          <w:rStyle w:val="TextoNormalCaracter"/>
        </w:rPr>
        <w:t>-</w:t>
      </w:r>
      <w:r>
        <w:t xml:space="preserve"> Sentencias </w:t>
      </w:r>
      <w:hyperlink w:anchor="SENTENCIA_2013_32" w:history="1">
        <w:r w:rsidRPr="00E27756">
          <w:rPr>
            <w:rStyle w:val="TextoNormalCaracter"/>
          </w:rPr>
          <w:t>32/2013</w:t>
        </w:r>
      </w:hyperlink>
      <w:r>
        <w:t xml:space="preserve">, f. 2; </w:t>
      </w:r>
      <w:hyperlink w:anchor="SENTENCIA_2013_108" w:history="1">
        <w:r w:rsidRPr="00E27756">
          <w:rPr>
            <w:rStyle w:val="TextoNormalCaracter"/>
          </w:rPr>
          <w:t>108/2013</w:t>
        </w:r>
      </w:hyperlink>
      <w:r>
        <w:t>, f. 2.</w:t>
      </w:r>
    </w:p>
    <w:p w:rsidR="00E27756" w:rsidRDefault="00E27756" w:rsidP="00E27756">
      <w:pPr>
        <w:pStyle w:val="SangriaIzquierdaArticulo"/>
      </w:pPr>
      <w:r>
        <w:t xml:space="preserve">Auto </w:t>
      </w:r>
      <w:hyperlink w:anchor="AUTO_2013_28" w:history="1">
        <w:r w:rsidRPr="00E27756">
          <w:rPr>
            <w:rStyle w:val="TextoNormalCaracter"/>
          </w:rPr>
          <w:t>28/2013</w:t>
        </w:r>
      </w:hyperlink>
      <w:r>
        <w:t>, f. 2.</w:t>
      </w:r>
    </w:p>
    <w:p w:rsidR="00E27756" w:rsidRDefault="00E27756" w:rsidP="00E27756">
      <w:pPr>
        <w:pStyle w:val="SangriaFrancesaArticulo"/>
      </w:pPr>
      <w:r w:rsidRPr="00E27756">
        <w:rPr>
          <w:rStyle w:val="TextoNormalNegritaCaracter"/>
        </w:rPr>
        <w:t>Artículo 46.2.</w:t>
      </w:r>
      <w:r w:rsidRPr="00E27756">
        <w:rPr>
          <w:rStyle w:val="TextoNormalCaracter"/>
        </w:rPr>
        <w:t>-</w:t>
      </w:r>
      <w:r>
        <w:t xml:space="preserve"> Auto </w:t>
      </w:r>
      <w:hyperlink w:anchor="AUTO_2013_47" w:history="1">
        <w:r w:rsidRPr="00E27756">
          <w:rPr>
            <w:rStyle w:val="TextoNormalCaracter"/>
          </w:rPr>
          <w:t>47/2013</w:t>
        </w:r>
      </w:hyperlink>
      <w:r>
        <w:t>, f. único.</w:t>
      </w:r>
    </w:p>
    <w:p w:rsidR="00E27756" w:rsidRDefault="00E27756" w:rsidP="00E27756">
      <w:pPr>
        <w:pStyle w:val="SangriaFrancesaArticulo"/>
      </w:pPr>
      <w:r w:rsidRPr="00E27756">
        <w:rPr>
          <w:rStyle w:val="TextoNormalNegritaCaracter"/>
        </w:rPr>
        <w:t>Artículo 47.1.</w:t>
      </w:r>
      <w:r w:rsidRPr="00E27756">
        <w:rPr>
          <w:rStyle w:val="TextoNormalCaracter"/>
        </w:rPr>
        <w:t>-</w:t>
      </w:r>
      <w:r>
        <w:t xml:space="preserve"> Auto </w:t>
      </w:r>
      <w:hyperlink w:anchor="AUTO_2013_47" w:history="1">
        <w:r w:rsidRPr="00E27756">
          <w:rPr>
            <w:rStyle w:val="TextoNormalCaracter"/>
          </w:rPr>
          <w:t>47/2013</w:t>
        </w:r>
      </w:hyperlink>
      <w:r>
        <w:t>, f. único.</w:t>
      </w:r>
    </w:p>
    <w:p w:rsidR="00E27756" w:rsidRDefault="00E27756" w:rsidP="00E27756">
      <w:pPr>
        <w:pStyle w:val="SangriaFrancesaArticulo"/>
      </w:pPr>
      <w:r w:rsidRPr="00E27756">
        <w:rPr>
          <w:rStyle w:val="TextoNormalNegritaCaracter"/>
        </w:rPr>
        <w:t>Artículo 47.2.</w:t>
      </w:r>
      <w:r w:rsidRPr="00E27756">
        <w:rPr>
          <w:rStyle w:val="TextoNormalCaracter"/>
        </w:rPr>
        <w:t>-</w:t>
      </w:r>
      <w:r>
        <w:t xml:space="preserve"> Auto </w:t>
      </w:r>
      <w:hyperlink w:anchor="AUTO_2013_89" w:history="1">
        <w:r w:rsidRPr="00E27756">
          <w:rPr>
            <w:rStyle w:val="TextoNormalCaracter"/>
          </w:rPr>
          <w:t>89/2013</w:t>
        </w:r>
      </w:hyperlink>
      <w:r>
        <w:t>, f. 3, VP I.</w:t>
      </w:r>
    </w:p>
    <w:p w:rsidR="00E27756" w:rsidRDefault="00E27756" w:rsidP="00E27756">
      <w:pPr>
        <w:pStyle w:val="SangriaFrancesaArticulo"/>
      </w:pPr>
      <w:r w:rsidRPr="00E27756">
        <w:rPr>
          <w:rStyle w:val="TextoNormalNegritaCaracter"/>
        </w:rPr>
        <w:t>Artículo 49.</w:t>
      </w:r>
      <w:r w:rsidRPr="00E27756">
        <w:rPr>
          <w:rStyle w:val="TextoNormalCaracter"/>
        </w:rPr>
        <w:t>-</w:t>
      </w:r>
      <w:r>
        <w:t xml:space="preserve"> Sentencia </w:t>
      </w:r>
      <w:hyperlink w:anchor="SENTENCIA_2013_133" w:history="1">
        <w:r w:rsidRPr="00E27756">
          <w:rPr>
            <w:rStyle w:val="TextoNormalCaracter"/>
          </w:rPr>
          <w:t>133/2013</w:t>
        </w:r>
      </w:hyperlink>
      <w:r>
        <w:t>, ff. 7, 8.</w:t>
      </w:r>
    </w:p>
    <w:p w:rsidR="00E27756" w:rsidRDefault="00E27756" w:rsidP="00E27756">
      <w:pPr>
        <w:pStyle w:val="SangriaFrancesaArticulo"/>
      </w:pPr>
      <w:r w:rsidRPr="00E27756">
        <w:rPr>
          <w:rStyle w:val="TextoNormalNegritaCaracter"/>
        </w:rPr>
        <w:t>Artículo 49.1.</w:t>
      </w:r>
      <w:r w:rsidRPr="00E27756">
        <w:rPr>
          <w:rStyle w:val="TextoNormalCaracter"/>
        </w:rPr>
        <w:t>-</w:t>
      </w:r>
      <w:r>
        <w:t xml:space="preserve"> Sentencias </w:t>
      </w:r>
      <w:hyperlink w:anchor="SENTENCIA_2013_2" w:history="1">
        <w:r w:rsidRPr="00E27756">
          <w:rPr>
            <w:rStyle w:val="TextoNormalCaracter"/>
          </w:rPr>
          <w:t>2/2013</w:t>
        </w:r>
      </w:hyperlink>
      <w:r>
        <w:t xml:space="preserve">, f. 3; </w:t>
      </w:r>
      <w:hyperlink w:anchor="SENTENCIA_2013_27" w:history="1">
        <w:r w:rsidRPr="00E27756">
          <w:rPr>
            <w:rStyle w:val="TextoNormalCaracter"/>
          </w:rPr>
          <w:t>27/2013</w:t>
        </w:r>
      </w:hyperlink>
      <w:r>
        <w:t xml:space="preserve">, f. 2; </w:t>
      </w:r>
      <w:hyperlink w:anchor="SENTENCIA_2013_31" w:history="1">
        <w:r w:rsidRPr="00E27756">
          <w:rPr>
            <w:rStyle w:val="TextoNormalCaracter"/>
          </w:rPr>
          <w:t>31/2013</w:t>
        </w:r>
      </w:hyperlink>
      <w:r>
        <w:t xml:space="preserve">, ff. 2, VP I; </w:t>
      </w:r>
      <w:hyperlink w:anchor="SENTENCIA_2013_32" w:history="1">
        <w:r w:rsidRPr="00E27756">
          <w:rPr>
            <w:rStyle w:val="TextoNormalCaracter"/>
          </w:rPr>
          <w:t>32/2013</w:t>
        </w:r>
      </w:hyperlink>
      <w:r>
        <w:t xml:space="preserve">, f. 2; </w:t>
      </w:r>
      <w:hyperlink w:anchor="SENTENCIA_2013_44" w:history="1">
        <w:r w:rsidRPr="00E27756">
          <w:rPr>
            <w:rStyle w:val="TextoNormalCaracter"/>
          </w:rPr>
          <w:t>44/2013</w:t>
        </w:r>
      </w:hyperlink>
      <w:r>
        <w:t xml:space="preserve">, f. 2; </w:t>
      </w:r>
      <w:hyperlink w:anchor="SENTENCIA_2013_77" w:history="1">
        <w:r w:rsidRPr="00E27756">
          <w:rPr>
            <w:rStyle w:val="TextoNormalCaracter"/>
          </w:rPr>
          <w:t>77/2013</w:t>
        </w:r>
      </w:hyperlink>
      <w:r>
        <w:t xml:space="preserve">, ff. 1, 2; </w:t>
      </w:r>
      <w:hyperlink w:anchor="SENTENCIA_2013_115" w:history="1">
        <w:r w:rsidRPr="00E27756">
          <w:rPr>
            <w:rStyle w:val="TextoNormalCaracter"/>
          </w:rPr>
          <w:t>115/2013</w:t>
        </w:r>
      </w:hyperlink>
      <w:r>
        <w:t xml:space="preserve">, f. 2; </w:t>
      </w:r>
      <w:hyperlink w:anchor="SENTENCIA_2013_116" w:history="1">
        <w:r w:rsidRPr="00E27756">
          <w:rPr>
            <w:rStyle w:val="TextoNormalCaracter"/>
          </w:rPr>
          <w:t>116/2013</w:t>
        </w:r>
      </w:hyperlink>
      <w:r>
        <w:t xml:space="preserve">, ff. 1, 3; </w:t>
      </w:r>
      <w:hyperlink w:anchor="SENTENCIA_2013_125" w:history="1">
        <w:r w:rsidRPr="00E27756">
          <w:rPr>
            <w:rStyle w:val="TextoNormalCaracter"/>
          </w:rPr>
          <w:t>125/2013</w:t>
        </w:r>
      </w:hyperlink>
      <w:r>
        <w:t xml:space="preserve">, f. 3; </w:t>
      </w:r>
      <w:hyperlink w:anchor="SENTENCIA_2013_127" w:history="1">
        <w:r w:rsidRPr="00E27756">
          <w:rPr>
            <w:rStyle w:val="TextoNormalCaracter"/>
          </w:rPr>
          <w:t>127/2013</w:t>
        </w:r>
      </w:hyperlink>
      <w:r>
        <w:t>, f. 2.</w:t>
      </w:r>
    </w:p>
    <w:p w:rsidR="00E27756" w:rsidRDefault="00E27756" w:rsidP="00E27756">
      <w:pPr>
        <w:pStyle w:val="SangriaIzquierdaArticulo"/>
      </w:pPr>
      <w:r>
        <w:t xml:space="preserve">Auto </w:t>
      </w:r>
      <w:hyperlink w:anchor="AUTO_2013_25" w:history="1">
        <w:r w:rsidRPr="00E27756">
          <w:rPr>
            <w:rStyle w:val="TextoNormalCaracter"/>
          </w:rPr>
          <w:t>25/2013</w:t>
        </w:r>
      </w:hyperlink>
      <w:r>
        <w:t>, f. 4.</w:t>
      </w:r>
    </w:p>
    <w:p w:rsidR="00E27756" w:rsidRDefault="00E27756" w:rsidP="00E27756">
      <w:pPr>
        <w:pStyle w:val="SangriaFrancesaArticulo"/>
      </w:pPr>
      <w:r w:rsidRPr="00E27756">
        <w:rPr>
          <w:rStyle w:val="TextoNormalNegritaCaracter"/>
        </w:rPr>
        <w:t>Artículo 49.1</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Sentencias </w:t>
      </w:r>
      <w:hyperlink w:anchor="SENTENCIA_2013_44" w:history="1">
        <w:r w:rsidRPr="00E27756">
          <w:rPr>
            <w:rStyle w:val="TextoNormalCaracter"/>
          </w:rPr>
          <w:t>44/2013</w:t>
        </w:r>
      </w:hyperlink>
      <w:r>
        <w:t xml:space="preserve">, f. 2; </w:t>
      </w:r>
      <w:hyperlink w:anchor="SENTENCIA_2013_56" w:history="1">
        <w:r w:rsidRPr="00E27756">
          <w:rPr>
            <w:rStyle w:val="TextoNormalCaracter"/>
          </w:rPr>
          <w:t>56/2013</w:t>
        </w:r>
      </w:hyperlink>
      <w:r>
        <w:t xml:space="preserve">, f. 1; </w:t>
      </w:r>
      <w:hyperlink w:anchor="SENTENCIA_2013_88" w:history="1">
        <w:r w:rsidRPr="00E27756">
          <w:rPr>
            <w:rStyle w:val="TextoNormalCaracter"/>
          </w:rPr>
          <w:t>88/2013</w:t>
        </w:r>
      </w:hyperlink>
      <w:r>
        <w:t xml:space="preserve">, f. 4; </w:t>
      </w:r>
      <w:hyperlink w:anchor="SENTENCIA_2013_116" w:history="1">
        <w:r w:rsidRPr="00E27756">
          <w:rPr>
            <w:rStyle w:val="TextoNormalCaracter"/>
          </w:rPr>
          <w:t>116/2013</w:t>
        </w:r>
      </w:hyperlink>
      <w:r>
        <w:t xml:space="preserve">, f. 3; </w:t>
      </w:r>
      <w:hyperlink w:anchor="SENTENCIA_2013_127" w:history="1">
        <w:r w:rsidRPr="00E27756">
          <w:rPr>
            <w:rStyle w:val="TextoNormalCaracter"/>
          </w:rPr>
          <w:t>127/2013</w:t>
        </w:r>
      </w:hyperlink>
      <w:r>
        <w:t>, f. 2.</w:t>
      </w:r>
    </w:p>
    <w:p w:rsidR="00E27756" w:rsidRDefault="00E27756" w:rsidP="00E27756">
      <w:pPr>
        <w:pStyle w:val="SangriaIzquierdaArticulo"/>
      </w:pPr>
      <w:r>
        <w:t xml:space="preserve">Autos </w:t>
      </w:r>
      <w:hyperlink w:anchor="AUTO_2013_25" w:history="1">
        <w:r w:rsidRPr="00E27756">
          <w:rPr>
            <w:rStyle w:val="TextoNormalCaracter"/>
          </w:rPr>
          <w:t>25/2013</w:t>
        </w:r>
      </w:hyperlink>
      <w:r>
        <w:t xml:space="preserve">, f. 4; </w:t>
      </w:r>
      <w:hyperlink w:anchor="AUTO_2013_28" w:history="1">
        <w:r w:rsidRPr="00E27756">
          <w:rPr>
            <w:rStyle w:val="TextoNormalCaracter"/>
          </w:rPr>
          <w:t>28/2013</w:t>
        </w:r>
      </w:hyperlink>
      <w:r>
        <w:t>, ff. 1, 2, VP I.</w:t>
      </w:r>
    </w:p>
    <w:p w:rsidR="00E27756" w:rsidRDefault="00E27756" w:rsidP="00E27756">
      <w:pPr>
        <w:pStyle w:val="SangriaFrancesaArticulo"/>
      </w:pPr>
      <w:r w:rsidRPr="00E27756">
        <w:rPr>
          <w:rStyle w:val="TextoNormalNegritaCaracter"/>
        </w:rPr>
        <w:t>Artículo 50.</w:t>
      </w:r>
      <w:r w:rsidRPr="00E27756">
        <w:rPr>
          <w:rStyle w:val="TextoNormalCaracter"/>
        </w:rPr>
        <w:t>-</w:t>
      </w:r>
      <w:r>
        <w:t xml:space="preserve"> Sentencia </w:t>
      </w:r>
      <w:hyperlink w:anchor="SENTENCIA_2013_133" w:history="1">
        <w:r w:rsidRPr="00E27756">
          <w:rPr>
            <w:rStyle w:val="TextoNormalCaracter"/>
          </w:rPr>
          <w:t>133/2013</w:t>
        </w:r>
      </w:hyperlink>
      <w:r>
        <w:t>, f. 5.</w:t>
      </w:r>
    </w:p>
    <w:p w:rsidR="00E27756" w:rsidRDefault="00E27756" w:rsidP="00E27756">
      <w:pPr>
        <w:pStyle w:val="SangriaFrancesaArticulo"/>
      </w:pPr>
      <w:r w:rsidRPr="00E27756">
        <w:rPr>
          <w:rStyle w:val="TextoNormalNegritaCaracter"/>
        </w:rPr>
        <w:t>Artículo 50.1.</w:t>
      </w:r>
      <w:r w:rsidRPr="00E27756">
        <w:rPr>
          <w:rStyle w:val="TextoNormalCaracter"/>
        </w:rPr>
        <w:t>-</w:t>
      </w:r>
      <w:r>
        <w:t xml:space="preserve"> Sentencia </w:t>
      </w:r>
      <w:hyperlink w:anchor="SENTENCIA_2013_133" w:history="1">
        <w:r w:rsidRPr="00E27756">
          <w:rPr>
            <w:rStyle w:val="TextoNormalCaracter"/>
          </w:rPr>
          <w:t>133/2013</w:t>
        </w:r>
      </w:hyperlink>
      <w:r>
        <w:t>, ff. 2, 8.</w:t>
      </w:r>
    </w:p>
    <w:p w:rsidR="00E27756" w:rsidRDefault="00E27756" w:rsidP="00E27756">
      <w:pPr>
        <w:pStyle w:val="SangriaIzquierdaArticulo"/>
      </w:pPr>
      <w:r>
        <w:t xml:space="preserve">Auto </w:t>
      </w:r>
      <w:hyperlink w:anchor="AUTO_2013_28" w:history="1">
        <w:r w:rsidRPr="00E27756">
          <w:rPr>
            <w:rStyle w:val="TextoNormalCaracter"/>
          </w:rPr>
          <w:t>28/2013</w:t>
        </w:r>
      </w:hyperlink>
      <w:r>
        <w:t>, f. 1.</w:t>
      </w:r>
    </w:p>
    <w:p w:rsidR="00E27756" w:rsidRDefault="00E27756" w:rsidP="00E27756">
      <w:pPr>
        <w:pStyle w:val="SangriaFrancesaArticulo"/>
      </w:pPr>
      <w:r w:rsidRPr="00E27756">
        <w:rPr>
          <w:rStyle w:val="TextoNormalNegritaCaracter"/>
        </w:rPr>
        <w:t>Artículo 50.1 a).</w:t>
      </w:r>
      <w:r w:rsidRPr="00E27756">
        <w:rPr>
          <w:rStyle w:val="TextoNormalCaracter"/>
        </w:rPr>
        <w:t>-</w:t>
      </w:r>
      <w:r>
        <w:t xml:space="preserve"> Sentencias </w:t>
      </w:r>
      <w:hyperlink w:anchor="SENTENCIA_2013_28" w:history="1">
        <w:r w:rsidRPr="00E27756">
          <w:rPr>
            <w:rStyle w:val="TextoNormalCaracter"/>
          </w:rPr>
          <w:t>28/2013</w:t>
        </w:r>
      </w:hyperlink>
      <w:r>
        <w:t xml:space="preserve">, f. 1; </w:t>
      </w:r>
      <w:hyperlink w:anchor="SENTENCIA_2013_31" w:history="1">
        <w:r w:rsidRPr="00E27756">
          <w:rPr>
            <w:rStyle w:val="TextoNormalCaracter"/>
          </w:rPr>
          <w:t>31/2013</w:t>
        </w:r>
      </w:hyperlink>
      <w:r>
        <w:t xml:space="preserve">, VP I; </w:t>
      </w:r>
      <w:hyperlink w:anchor="SENTENCIA_2013_54" w:history="1">
        <w:r w:rsidRPr="00E27756">
          <w:rPr>
            <w:rStyle w:val="TextoNormalCaracter"/>
          </w:rPr>
          <w:t>54/2013</w:t>
        </w:r>
      </w:hyperlink>
      <w:r>
        <w:t>, f. 1.</w:t>
      </w:r>
    </w:p>
    <w:p w:rsidR="00E27756" w:rsidRDefault="00E27756" w:rsidP="00E27756">
      <w:pPr>
        <w:pStyle w:val="SangriaFrancesaArticulo"/>
      </w:pPr>
      <w:r w:rsidRPr="00E27756">
        <w:rPr>
          <w:rStyle w:val="TextoNormalNegritaCaracter"/>
        </w:rPr>
        <w:t>Artículo 50.1 a)</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Sentencias </w:t>
      </w:r>
      <w:hyperlink w:anchor="SENTENCIA_2013_11" w:history="1">
        <w:r w:rsidRPr="00E27756">
          <w:rPr>
            <w:rStyle w:val="TextoNormalCaracter"/>
          </w:rPr>
          <w:t>11/2013</w:t>
        </w:r>
      </w:hyperlink>
      <w:r>
        <w:t xml:space="preserve">, ff. 1, 2; </w:t>
      </w:r>
      <w:hyperlink w:anchor="SENTENCIA_2013_43" w:history="1">
        <w:r w:rsidRPr="00E27756">
          <w:rPr>
            <w:rStyle w:val="TextoNormalCaracter"/>
          </w:rPr>
          <w:t>43/2013</w:t>
        </w:r>
      </w:hyperlink>
      <w:r>
        <w:t xml:space="preserve">, f. 2; </w:t>
      </w:r>
      <w:hyperlink w:anchor="SENTENCIA_2013_108" w:history="1">
        <w:r w:rsidRPr="00E27756">
          <w:rPr>
            <w:rStyle w:val="TextoNormalCaracter"/>
          </w:rPr>
          <w:t>108/2013</w:t>
        </w:r>
      </w:hyperlink>
      <w:r>
        <w:t xml:space="preserve">, f. 3; </w:t>
      </w:r>
      <w:hyperlink w:anchor="SENTENCIA_2013_110" w:history="1">
        <w:r w:rsidRPr="00E27756">
          <w:rPr>
            <w:rStyle w:val="TextoNormalCaracter"/>
          </w:rPr>
          <w:t>110/2013</w:t>
        </w:r>
      </w:hyperlink>
      <w:r>
        <w:t xml:space="preserve">, f. 2; </w:t>
      </w:r>
      <w:hyperlink w:anchor="SENTENCIA_2013_115" w:history="1">
        <w:r w:rsidRPr="00E27756">
          <w:rPr>
            <w:rStyle w:val="TextoNormalCaracter"/>
          </w:rPr>
          <w:t>115/2013</w:t>
        </w:r>
      </w:hyperlink>
      <w:r>
        <w:t xml:space="preserve">, f. 2; </w:t>
      </w:r>
      <w:hyperlink w:anchor="SENTENCIA_2013_116" w:history="1">
        <w:r w:rsidRPr="00E27756">
          <w:rPr>
            <w:rStyle w:val="TextoNormalCaracter"/>
          </w:rPr>
          <w:t>116/2013</w:t>
        </w:r>
      </w:hyperlink>
      <w:r>
        <w:t xml:space="preserve">, f. 3; </w:t>
      </w:r>
      <w:hyperlink w:anchor="SENTENCIA_2013_127" w:history="1">
        <w:r w:rsidRPr="00E27756">
          <w:rPr>
            <w:rStyle w:val="TextoNormalCaracter"/>
          </w:rPr>
          <w:t>127/2013</w:t>
        </w:r>
      </w:hyperlink>
      <w:r>
        <w:t xml:space="preserve">, f. 2; </w:t>
      </w:r>
      <w:hyperlink w:anchor="SENTENCIA_2013_133" w:history="1">
        <w:r w:rsidRPr="00E27756">
          <w:rPr>
            <w:rStyle w:val="TextoNormalCaracter"/>
          </w:rPr>
          <w:t>133/2013</w:t>
        </w:r>
      </w:hyperlink>
      <w:r>
        <w:t>, f. 8.</w:t>
      </w:r>
    </w:p>
    <w:p w:rsidR="00E27756" w:rsidRDefault="00E27756" w:rsidP="00E27756">
      <w:pPr>
        <w:pStyle w:val="SangriaFrancesaArticulo"/>
      </w:pPr>
      <w:r w:rsidRPr="00E27756">
        <w:rPr>
          <w:rStyle w:val="TextoNormalNegritaCaracter"/>
        </w:rPr>
        <w:t>Artículo 50.1 b).</w:t>
      </w:r>
      <w:r w:rsidRPr="00E27756">
        <w:rPr>
          <w:rStyle w:val="TextoNormalCaracter"/>
        </w:rPr>
        <w:t>-</w:t>
      </w:r>
      <w:r>
        <w:t xml:space="preserve"> Sentencias </w:t>
      </w:r>
      <w:hyperlink w:anchor="SENTENCIA_2013_31" w:history="1">
        <w:r w:rsidRPr="00E27756">
          <w:rPr>
            <w:rStyle w:val="TextoNormalCaracter"/>
          </w:rPr>
          <w:t>31/2013</w:t>
        </w:r>
      </w:hyperlink>
      <w:r>
        <w:t xml:space="preserve">, VP I; </w:t>
      </w:r>
      <w:hyperlink w:anchor="SENTENCIA_2013_32" w:history="1">
        <w:r w:rsidRPr="00E27756">
          <w:rPr>
            <w:rStyle w:val="TextoNormalCaracter"/>
          </w:rPr>
          <w:t>32/2013</w:t>
        </w:r>
      </w:hyperlink>
      <w:r>
        <w:t xml:space="preserve">, ff. 2, 4; </w:t>
      </w:r>
      <w:hyperlink w:anchor="SENTENCIA_2013_44" w:history="1">
        <w:r w:rsidRPr="00E27756">
          <w:rPr>
            <w:rStyle w:val="TextoNormalCaracter"/>
          </w:rPr>
          <w:t>44/2013</w:t>
        </w:r>
      </w:hyperlink>
      <w:r>
        <w:t xml:space="preserve">, f. 2; </w:t>
      </w:r>
      <w:hyperlink w:anchor="SENTENCIA_2013_76" w:history="1">
        <w:r w:rsidRPr="00E27756">
          <w:rPr>
            <w:rStyle w:val="TextoNormalCaracter"/>
          </w:rPr>
          <w:t>76/2013</w:t>
        </w:r>
      </w:hyperlink>
      <w:r>
        <w:t xml:space="preserve">, f. 3; </w:t>
      </w:r>
      <w:hyperlink w:anchor="SENTENCIA_2013_127" w:history="1">
        <w:r w:rsidRPr="00E27756">
          <w:rPr>
            <w:rStyle w:val="TextoNormalCaracter"/>
          </w:rPr>
          <w:t>127/2013</w:t>
        </w:r>
      </w:hyperlink>
      <w:r>
        <w:t>, f. 2.</w:t>
      </w:r>
    </w:p>
    <w:p w:rsidR="00E27756" w:rsidRDefault="00E27756" w:rsidP="00E27756">
      <w:pPr>
        <w:pStyle w:val="SangriaFrancesaArticulo"/>
      </w:pPr>
      <w:r w:rsidRPr="00E27756">
        <w:rPr>
          <w:rStyle w:val="TextoNormalNegritaCaracter"/>
        </w:rPr>
        <w:t>Artículo 50.1 b)</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Sentencias </w:t>
      </w:r>
      <w:hyperlink w:anchor="SENTENCIA_2013_1" w:history="1">
        <w:r w:rsidRPr="00E27756">
          <w:rPr>
            <w:rStyle w:val="TextoNormalCaracter"/>
          </w:rPr>
          <w:t>1/2013</w:t>
        </w:r>
      </w:hyperlink>
      <w:r>
        <w:t xml:space="preserve">, f. 3; </w:t>
      </w:r>
      <w:hyperlink w:anchor="SENTENCIA_2013_2" w:history="1">
        <w:r w:rsidRPr="00E27756">
          <w:rPr>
            <w:rStyle w:val="TextoNormalCaracter"/>
          </w:rPr>
          <w:t>2/2013</w:t>
        </w:r>
      </w:hyperlink>
      <w:r>
        <w:t xml:space="preserve">, f. 3; </w:t>
      </w:r>
      <w:hyperlink w:anchor="SENTENCIA_2013_56" w:history="1">
        <w:r w:rsidRPr="00E27756">
          <w:rPr>
            <w:rStyle w:val="TextoNormalCaracter"/>
          </w:rPr>
          <w:t>56/2013</w:t>
        </w:r>
      </w:hyperlink>
      <w:r>
        <w:t xml:space="preserve">, f. 1; </w:t>
      </w:r>
      <w:hyperlink w:anchor="SENTENCIA_2013_115" w:history="1">
        <w:r w:rsidRPr="00E27756">
          <w:rPr>
            <w:rStyle w:val="TextoNormalCaracter"/>
          </w:rPr>
          <w:t>115/2013</w:t>
        </w:r>
      </w:hyperlink>
      <w:r>
        <w:t xml:space="preserve">, f. 2; </w:t>
      </w:r>
      <w:hyperlink w:anchor="SENTENCIA_2013_116" w:history="1">
        <w:r w:rsidRPr="00E27756">
          <w:rPr>
            <w:rStyle w:val="TextoNormalCaracter"/>
          </w:rPr>
          <w:t>116/2013</w:t>
        </w:r>
      </w:hyperlink>
      <w:r>
        <w:t xml:space="preserve">, ff. 1, 3; </w:t>
      </w:r>
      <w:hyperlink w:anchor="SENTENCIA_2013_126" w:history="1">
        <w:r w:rsidRPr="00E27756">
          <w:rPr>
            <w:rStyle w:val="TextoNormalCaracter"/>
          </w:rPr>
          <w:t>126/2013</w:t>
        </w:r>
      </w:hyperlink>
      <w:r>
        <w:t>, f. 2.</w:t>
      </w:r>
    </w:p>
    <w:p w:rsidR="00E27756" w:rsidRDefault="00E27756" w:rsidP="00E27756">
      <w:pPr>
        <w:pStyle w:val="SangriaIzquierdaArticulo"/>
      </w:pPr>
      <w:r>
        <w:t xml:space="preserve">Autos </w:t>
      </w:r>
      <w:hyperlink w:anchor="AUTO_2013_25" w:history="1">
        <w:r w:rsidRPr="00E27756">
          <w:rPr>
            <w:rStyle w:val="TextoNormalCaracter"/>
          </w:rPr>
          <w:t>25/2013</w:t>
        </w:r>
      </w:hyperlink>
      <w:r>
        <w:t xml:space="preserve">, f. 4; </w:t>
      </w:r>
      <w:hyperlink w:anchor="AUTO_2013_28" w:history="1">
        <w:r w:rsidRPr="00E27756">
          <w:rPr>
            <w:rStyle w:val="TextoNormalCaracter"/>
          </w:rPr>
          <w:t>28/2013</w:t>
        </w:r>
      </w:hyperlink>
      <w:r>
        <w:t xml:space="preserve">, ff. 1, 2, VP I; </w:t>
      </w:r>
      <w:hyperlink w:anchor="AUTO_2013_89" w:history="1">
        <w:r w:rsidRPr="00E27756">
          <w:rPr>
            <w:rStyle w:val="TextoNormalCaracter"/>
          </w:rPr>
          <w:t>89/2013</w:t>
        </w:r>
      </w:hyperlink>
      <w:r>
        <w:t>, VP I.</w:t>
      </w:r>
    </w:p>
    <w:p w:rsidR="00E27756" w:rsidRDefault="00E27756" w:rsidP="00E27756">
      <w:pPr>
        <w:pStyle w:val="SangriaFrancesaArticulo"/>
      </w:pPr>
      <w:r w:rsidRPr="00E27756">
        <w:rPr>
          <w:rStyle w:val="TextoNormalNegritaCaracter"/>
        </w:rPr>
        <w:t>Artículo 50.1 c).</w:t>
      </w:r>
      <w:r w:rsidRPr="00E27756">
        <w:rPr>
          <w:rStyle w:val="TextoNormalCaracter"/>
        </w:rPr>
        <w:t>-</w:t>
      </w:r>
      <w:r>
        <w:t xml:space="preserve"> Sentencia </w:t>
      </w:r>
      <w:hyperlink w:anchor="SENTENCIA_2013_133" w:history="1">
        <w:r w:rsidRPr="00E27756">
          <w:rPr>
            <w:rStyle w:val="TextoNormalCaracter"/>
          </w:rPr>
          <w:t>133/2013</w:t>
        </w:r>
      </w:hyperlink>
      <w:r>
        <w:t>, f. 8.</w:t>
      </w:r>
    </w:p>
    <w:p w:rsidR="00E27756" w:rsidRDefault="00E27756" w:rsidP="00E27756">
      <w:pPr>
        <w:pStyle w:val="SangriaFrancesaArticulo"/>
      </w:pPr>
      <w:r w:rsidRPr="00E27756">
        <w:rPr>
          <w:rStyle w:val="TextoNormalNegritaCaracter"/>
        </w:rPr>
        <w:lastRenderedPageBreak/>
        <w:t>Artículo 50.2</w:t>
      </w:r>
      <w:r>
        <w:t xml:space="preserve"> </w:t>
      </w:r>
      <w:r w:rsidRPr="00E27756">
        <w:rPr>
          <w:rStyle w:val="TextoNormalCaracter"/>
        </w:rPr>
        <w:t>(redactado por la Ley Orgánica 6/1988, de 9 de junio)</w:t>
      </w:r>
      <w:r w:rsidRPr="00E27756">
        <w:rPr>
          <w:rStyle w:val="TextoNormalNegritaCaracter"/>
        </w:rPr>
        <w:t>.</w:t>
      </w:r>
      <w:r w:rsidRPr="00E27756">
        <w:rPr>
          <w:rStyle w:val="TextoNormalCaracter"/>
        </w:rPr>
        <w:t>-</w:t>
      </w:r>
      <w:r>
        <w:t xml:space="preserve"> Sentencia </w:t>
      </w:r>
      <w:hyperlink w:anchor="SENTENCIA_2013_133" w:history="1">
        <w:r w:rsidRPr="00E27756">
          <w:rPr>
            <w:rStyle w:val="TextoNormalCaracter"/>
          </w:rPr>
          <w:t>133/2013</w:t>
        </w:r>
      </w:hyperlink>
      <w:r>
        <w:t>, ff. 6, 8.</w:t>
      </w:r>
    </w:p>
    <w:p w:rsidR="00E27756" w:rsidRDefault="00E27756" w:rsidP="00E27756">
      <w:pPr>
        <w:pStyle w:val="SangriaFrancesaArticulo"/>
      </w:pPr>
      <w:r w:rsidRPr="00E27756">
        <w:rPr>
          <w:rStyle w:val="TextoNormalNegritaCaracter"/>
        </w:rPr>
        <w:t>Artículo 50.3</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 </w:t>
      </w:r>
      <w:hyperlink w:anchor="SENTENCIA_2013_133" w:history="1">
        <w:r w:rsidRPr="00E27756">
          <w:rPr>
            <w:rStyle w:val="TextoNormalCaracter"/>
          </w:rPr>
          <w:t>133/2013</w:t>
        </w:r>
      </w:hyperlink>
      <w:r>
        <w:t>, f. 6.</w:t>
      </w:r>
    </w:p>
    <w:p w:rsidR="00E27756" w:rsidRDefault="00E27756" w:rsidP="00E27756">
      <w:pPr>
        <w:pStyle w:val="SangriaFrancesaArticulo"/>
      </w:pPr>
      <w:r w:rsidRPr="00E27756">
        <w:rPr>
          <w:rStyle w:val="TextoNormalNegritaCaracter"/>
        </w:rPr>
        <w:t>Artículo 51.2.</w:t>
      </w:r>
      <w:r w:rsidRPr="00E27756">
        <w:rPr>
          <w:rStyle w:val="TextoNormalCaracter"/>
        </w:rPr>
        <w:t>-</w:t>
      </w:r>
      <w:r>
        <w:t xml:space="preserve"> Sentencias </w:t>
      </w:r>
      <w:hyperlink w:anchor="SENTENCIA_2013_22" w:history="1">
        <w:r w:rsidRPr="00E27756">
          <w:rPr>
            <w:rStyle w:val="TextoNormalCaracter"/>
          </w:rPr>
          <w:t>22/2013</w:t>
        </w:r>
      </w:hyperlink>
      <w:r>
        <w:t xml:space="preserve">, f. 2; </w:t>
      </w:r>
      <w:hyperlink w:anchor="SENTENCIA_2013_43" w:history="1">
        <w:r w:rsidRPr="00E27756">
          <w:rPr>
            <w:rStyle w:val="TextoNormalCaracter"/>
          </w:rPr>
          <w:t>43/2013</w:t>
        </w:r>
      </w:hyperlink>
      <w:r>
        <w:t>, f. 8.</w:t>
      </w:r>
    </w:p>
    <w:p w:rsidR="00E27756" w:rsidRDefault="00E27756" w:rsidP="00E27756">
      <w:pPr>
        <w:pStyle w:val="SangriaIzquierdaArticulo"/>
      </w:pPr>
      <w:r>
        <w:t xml:space="preserve">Auto </w:t>
      </w:r>
      <w:hyperlink w:anchor="AUTO_2013_47" w:history="1">
        <w:r w:rsidRPr="00E27756">
          <w:rPr>
            <w:rStyle w:val="TextoNormalCaracter"/>
          </w:rPr>
          <w:t>47/2013</w:t>
        </w:r>
      </w:hyperlink>
      <w:r>
        <w:t>, f. único.</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Auto </w:t>
      </w:r>
      <w:hyperlink w:anchor="AUTO_2013_70" w:history="1">
        <w:r w:rsidRPr="00E27756">
          <w:rPr>
            <w:rStyle w:val="TextoNormalCaracter"/>
          </w:rPr>
          <w:t>70/2013</w:t>
        </w:r>
      </w:hyperlink>
      <w:r>
        <w:t>, f. 4.</w:t>
      </w:r>
    </w:p>
    <w:p w:rsidR="00E27756" w:rsidRDefault="00E27756" w:rsidP="00E27756">
      <w:pPr>
        <w:pStyle w:val="SangriaFrancesaArticulo"/>
      </w:pPr>
      <w:r w:rsidRPr="00E27756">
        <w:rPr>
          <w:rStyle w:val="TextoNormalNegritaCaracter"/>
        </w:rPr>
        <w:t>Artículo 52.1.</w:t>
      </w:r>
      <w:r w:rsidRPr="00E27756">
        <w:rPr>
          <w:rStyle w:val="TextoNormalCaracter"/>
        </w:rPr>
        <w:t>-</w:t>
      </w:r>
      <w:r>
        <w:t xml:space="preserve"> Sentencias </w:t>
      </w:r>
      <w:hyperlink w:anchor="SENTENCIA_2013_118" w:history="1">
        <w:r w:rsidRPr="00E27756">
          <w:rPr>
            <w:rStyle w:val="TextoNormalCaracter"/>
          </w:rPr>
          <w:t>118/2013</w:t>
        </w:r>
      </w:hyperlink>
      <w:r>
        <w:t xml:space="preserve">, f. 2; </w:t>
      </w:r>
      <w:hyperlink w:anchor="SENTENCIA_2013_119" w:history="1">
        <w:r w:rsidRPr="00E27756">
          <w:rPr>
            <w:rStyle w:val="TextoNormalCaracter"/>
          </w:rPr>
          <w:t>119/2013</w:t>
        </w:r>
      </w:hyperlink>
      <w:r>
        <w:t xml:space="preserve">, f. 2; </w:t>
      </w:r>
      <w:hyperlink w:anchor="SENTENCIA_2013_120" w:history="1">
        <w:r w:rsidRPr="00E27756">
          <w:rPr>
            <w:rStyle w:val="TextoNormalCaracter"/>
          </w:rPr>
          <w:t>120/2013</w:t>
        </w:r>
      </w:hyperlink>
      <w:r>
        <w:t>, f. 2.</w:t>
      </w:r>
    </w:p>
    <w:p w:rsidR="00E27756" w:rsidRDefault="00E27756" w:rsidP="00E27756">
      <w:pPr>
        <w:pStyle w:val="SangriaFrancesaArticulo"/>
      </w:pPr>
      <w:r w:rsidRPr="00E27756">
        <w:rPr>
          <w:rStyle w:val="TextoNormalNegritaCaracter"/>
        </w:rPr>
        <w:t>Artículo 52.2.</w:t>
      </w:r>
      <w:r w:rsidRPr="00E27756">
        <w:rPr>
          <w:rStyle w:val="TextoNormalCaracter"/>
        </w:rPr>
        <w:t>-</w:t>
      </w:r>
      <w:r>
        <w:t xml:space="preserve"> Autos </w:t>
      </w:r>
      <w:hyperlink w:anchor="AUTO_2013_61" w:history="1">
        <w:r w:rsidRPr="00E27756">
          <w:rPr>
            <w:rStyle w:val="TextoNormalCaracter"/>
          </w:rPr>
          <w:t>61/2013</w:t>
        </w:r>
      </w:hyperlink>
      <w:r>
        <w:t xml:space="preserve">, f. 1; </w:t>
      </w:r>
      <w:hyperlink w:anchor="AUTO_2013_116" w:history="1">
        <w:r w:rsidRPr="00E27756">
          <w:rPr>
            <w:rStyle w:val="TextoNormalCaracter"/>
          </w:rPr>
          <w:t>116/2013</w:t>
        </w:r>
      </w:hyperlink>
      <w:r>
        <w:t xml:space="preserve">, f. 1; </w:t>
      </w:r>
      <w:hyperlink w:anchor="AUTO_2013_133" w:history="1">
        <w:r w:rsidRPr="00E27756">
          <w:rPr>
            <w:rStyle w:val="TextoNormalCaracter"/>
          </w:rPr>
          <w:t>133/2013</w:t>
        </w:r>
      </w:hyperlink>
      <w:r>
        <w:t xml:space="preserve">, f. 1; </w:t>
      </w:r>
      <w:hyperlink w:anchor="AUTO_2013_136" w:history="1">
        <w:r w:rsidRPr="00E27756">
          <w:rPr>
            <w:rStyle w:val="TextoNormalCaracter"/>
          </w:rPr>
          <w:t>136/2013</w:t>
        </w:r>
      </w:hyperlink>
      <w:r>
        <w:t>, f. 1.</w:t>
      </w:r>
    </w:p>
    <w:p w:rsidR="00E27756" w:rsidRDefault="00E27756" w:rsidP="00E27756">
      <w:pPr>
        <w:pStyle w:val="SangriaFrancesaArticulo"/>
      </w:pPr>
      <w:r w:rsidRPr="00E27756">
        <w:rPr>
          <w:rStyle w:val="TextoNormalNegritaCaracter"/>
        </w:rPr>
        <w:t>Artículo 53.</w:t>
      </w:r>
      <w:r w:rsidRPr="00E27756">
        <w:rPr>
          <w:rStyle w:val="TextoNormalCaracter"/>
        </w:rPr>
        <w:t>-</w:t>
      </w:r>
      <w:r>
        <w:t xml:space="preserve"> Sentencias </w:t>
      </w:r>
      <w:hyperlink w:anchor="SENTENCIA_2013_28" w:history="1">
        <w:r w:rsidRPr="00E27756">
          <w:rPr>
            <w:rStyle w:val="TextoNormalCaracter"/>
          </w:rPr>
          <w:t>28/2013</w:t>
        </w:r>
      </w:hyperlink>
      <w:r>
        <w:t xml:space="preserve">, f. 2; </w:t>
      </w:r>
      <w:hyperlink w:anchor="SENTENCIA_2013_110" w:history="1">
        <w:r w:rsidRPr="00E27756">
          <w:rPr>
            <w:rStyle w:val="TextoNormalCaracter"/>
          </w:rPr>
          <w:t>110/2013</w:t>
        </w:r>
      </w:hyperlink>
      <w:r>
        <w:t>, f. 2.</w:t>
      </w:r>
    </w:p>
    <w:p w:rsidR="00E27756" w:rsidRDefault="00E27756" w:rsidP="00E27756">
      <w:pPr>
        <w:pStyle w:val="SangriaFrancesaArticulo"/>
      </w:pPr>
      <w:r w:rsidRPr="00E27756">
        <w:rPr>
          <w:rStyle w:val="TextoNormalNegritaCaracter"/>
        </w:rPr>
        <w:t>Artículo 53</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Sentencias </w:t>
      </w:r>
      <w:hyperlink w:anchor="SENTENCIA_2013_54" w:history="1">
        <w:r w:rsidRPr="00E27756">
          <w:rPr>
            <w:rStyle w:val="TextoNormalCaracter"/>
          </w:rPr>
          <w:t>54/2013</w:t>
        </w:r>
      </w:hyperlink>
      <w:r>
        <w:t xml:space="preserve">, f. 2; </w:t>
      </w:r>
      <w:hyperlink w:anchor="SENTENCIA_2013_74" w:history="1">
        <w:r w:rsidRPr="00E27756">
          <w:rPr>
            <w:rStyle w:val="TextoNormalCaracter"/>
          </w:rPr>
          <w:t>74/2013</w:t>
        </w:r>
      </w:hyperlink>
      <w:r>
        <w:t xml:space="preserve">, f. 1; </w:t>
      </w:r>
      <w:hyperlink w:anchor="SENTENCIA_2013_126" w:history="1">
        <w:r w:rsidRPr="00E27756">
          <w:rPr>
            <w:rStyle w:val="TextoNormalCaracter"/>
          </w:rPr>
          <w:t>126/2013</w:t>
        </w:r>
      </w:hyperlink>
      <w:r>
        <w:t>, f. 2.</w:t>
      </w:r>
    </w:p>
    <w:p w:rsidR="00E27756" w:rsidRDefault="00E27756" w:rsidP="00E27756">
      <w:pPr>
        <w:pStyle w:val="SangriaFrancesaArticulo"/>
      </w:pPr>
      <w:r w:rsidRPr="00E27756">
        <w:rPr>
          <w:rStyle w:val="TextoNormalNegritaCaracter"/>
        </w:rPr>
        <w:t>Artículo 54</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 </w:t>
      </w:r>
      <w:hyperlink w:anchor="SENTENCIA_2013_57" w:history="1">
        <w:r w:rsidRPr="00E27756">
          <w:rPr>
            <w:rStyle w:val="TextoNormalCaracter"/>
          </w:rPr>
          <w:t>57/2013</w:t>
        </w:r>
      </w:hyperlink>
      <w:r>
        <w:t>, f. 6.</w:t>
      </w:r>
    </w:p>
    <w:p w:rsidR="00E27756" w:rsidRDefault="00E27756" w:rsidP="00E27756">
      <w:pPr>
        <w:pStyle w:val="SangriaFrancesaArticulo"/>
      </w:pPr>
      <w:r w:rsidRPr="00E27756">
        <w:rPr>
          <w:rStyle w:val="TextoNormalNegritaCaracter"/>
        </w:rPr>
        <w:t>Artículo 55.1.</w:t>
      </w:r>
      <w:r w:rsidRPr="00E27756">
        <w:rPr>
          <w:rStyle w:val="TextoNormalCaracter"/>
        </w:rPr>
        <w:t>-</w:t>
      </w:r>
      <w:r>
        <w:t xml:space="preserve"> Sentencias </w:t>
      </w:r>
      <w:hyperlink w:anchor="SENTENCIA_2013_79" w:history="1">
        <w:r w:rsidRPr="00E27756">
          <w:rPr>
            <w:rStyle w:val="TextoNormalCaracter"/>
          </w:rPr>
          <w:t>79/2013</w:t>
        </w:r>
      </w:hyperlink>
      <w:r>
        <w:t xml:space="preserve">, f. 5; </w:t>
      </w:r>
      <w:hyperlink w:anchor="SENTENCIA_2013_122" w:history="1">
        <w:r w:rsidRPr="00E27756">
          <w:rPr>
            <w:rStyle w:val="TextoNormalCaracter"/>
          </w:rPr>
          <w:t>122/2013</w:t>
        </w:r>
      </w:hyperlink>
      <w:r>
        <w:t>, f. 6.</w:t>
      </w:r>
    </w:p>
    <w:p w:rsidR="00E27756" w:rsidRDefault="00E27756" w:rsidP="00E27756">
      <w:pPr>
        <w:pStyle w:val="SangriaFrancesaArticulo"/>
      </w:pPr>
      <w:r w:rsidRPr="00E27756">
        <w:rPr>
          <w:rStyle w:val="TextoNormalNegritaCaracter"/>
        </w:rPr>
        <w:t>Artículo 55.1</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Sentencias </w:t>
      </w:r>
      <w:hyperlink w:anchor="SENTENCIA_2013_79" w:history="1">
        <w:r w:rsidRPr="00E27756">
          <w:rPr>
            <w:rStyle w:val="TextoNormalCaracter"/>
          </w:rPr>
          <w:t>79/2013</w:t>
        </w:r>
      </w:hyperlink>
      <w:r>
        <w:t xml:space="preserve">, f. 5; </w:t>
      </w:r>
      <w:hyperlink w:anchor="SENTENCIA_2013_122" w:history="1">
        <w:r w:rsidRPr="00E27756">
          <w:rPr>
            <w:rStyle w:val="TextoNormalCaracter"/>
          </w:rPr>
          <w:t>122/2013</w:t>
        </w:r>
      </w:hyperlink>
      <w:r>
        <w:t>, f. 6.</w:t>
      </w:r>
    </w:p>
    <w:p w:rsidR="00E27756" w:rsidRDefault="00E27756" w:rsidP="00E27756">
      <w:pPr>
        <w:pStyle w:val="SangriaFrancesaArticulo"/>
      </w:pPr>
      <w:r w:rsidRPr="00E27756">
        <w:rPr>
          <w:rStyle w:val="TextoNormalNegritaCaracter"/>
        </w:rPr>
        <w:t>Artículo 55.2</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 </w:t>
      </w:r>
      <w:hyperlink w:anchor="SENTENCIA_2013_88" w:history="1">
        <w:r w:rsidRPr="00E27756">
          <w:rPr>
            <w:rStyle w:val="TextoNormalCaracter"/>
          </w:rPr>
          <w:t>88/2013</w:t>
        </w:r>
      </w:hyperlink>
      <w:r>
        <w:t>, VP.</w:t>
      </w:r>
    </w:p>
    <w:p w:rsidR="00E27756" w:rsidRDefault="00E27756" w:rsidP="00E27756">
      <w:pPr>
        <w:pStyle w:val="SangriaIzquierdaArticulo"/>
      </w:pPr>
      <w:r>
        <w:t xml:space="preserve">Auto </w:t>
      </w:r>
      <w:hyperlink w:anchor="AUTO_2013_8" w:history="1">
        <w:r w:rsidRPr="00E27756">
          <w:rPr>
            <w:rStyle w:val="TextoNormalCaracter"/>
          </w:rPr>
          <w:t>8/2013</w:t>
        </w:r>
      </w:hyperlink>
      <w:r>
        <w:t>, f. único.</w:t>
      </w:r>
    </w:p>
    <w:p w:rsidR="00E27756" w:rsidRDefault="00E27756" w:rsidP="00E27756">
      <w:pPr>
        <w:pStyle w:val="SangriaFrancesaArticulo"/>
      </w:pPr>
      <w:r w:rsidRPr="00E27756">
        <w:rPr>
          <w:rStyle w:val="TextoNormalNegritaCaracter"/>
        </w:rPr>
        <w:t>Artículo 56.</w:t>
      </w:r>
      <w:r w:rsidRPr="00E27756">
        <w:rPr>
          <w:rStyle w:val="TextoNormalCaracter"/>
        </w:rPr>
        <w:t>-</w:t>
      </w:r>
      <w:r>
        <w:t xml:space="preserve"> Autos </w:t>
      </w:r>
      <w:hyperlink w:anchor="AUTO_2013_18" w:history="1">
        <w:r w:rsidRPr="00E27756">
          <w:rPr>
            <w:rStyle w:val="TextoNormalCaracter"/>
          </w:rPr>
          <w:t>18/2013</w:t>
        </w:r>
      </w:hyperlink>
      <w:r>
        <w:t xml:space="preserve">, f. único; </w:t>
      </w:r>
      <w:hyperlink w:anchor="AUTO_2013_61" w:history="1">
        <w:r w:rsidRPr="00E27756">
          <w:rPr>
            <w:rStyle w:val="TextoNormalCaracter"/>
          </w:rPr>
          <w:t>61/2013</w:t>
        </w:r>
      </w:hyperlink>
      <w:r>
        <w:t>, f. 2.</w:t>
      </w:r>
    </w:p>
    <w:p w:rsidR="00E27756" w:rsidRDefault="00E27756" w:rsidP="00E27756">
      <w:pPr>
        <w:pStyle w:val="SangriaFrancesaArticulo"/>
      </w:pPr>
      <w:r w:rsidRPr="00E27756">
        <w:rPr>
          <w:rStyle w:val="TextoNormalNegritaCaracter"/>
        </w:rPr>
        <w:t>Artículo 56</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Auto </w:t>
      </w:r>
      <w:hyperlink w:anchor="AUTO_2013_56" w:history="1">
        <w:r w:rsidRPr="00E27756">
          <w:rPr>
            <w:rStyle w:val="TextoNormalCaracter"/>
          </w:rPr>
          <w:t>56/2013</w:t>
        </w:r>
      </w:hyperlink>
      <w:r>
        <w:t>, f. 1.</w:t>
      </w:r>
    </w:p>
    <w:p w:rsidR="00E27756" w:rsidRDefault="00E27756" w:rsidP="00E27756">
      <w:pPr>
        <w:pStyle w:val="SangriaFrancesaArticulo"/>
      </w:pPr>
      <w:r w:rsidRPr="00E27756">
        <w:rPr>
          <w:rStyle w:val="TextoNormalNegritaCaracter"/>
        </w:rPr>
        <w:t>Artículo 56.1.</w:t>
      </w:r>
      <w:r w:rsidRPr="00E27756">
        <w:rPr>
          <w:rStyle w:val="TextoNormalCaracter"/>
        </w:rPr>
        <w:t>-</w:t>
      </w:r>
      <w:r>
        <w:t xml:space="preserve"> Autos </w:t>
      </w:r>
      <w:hyperlink w:anchor="AUTO_2013_20" w:history="1">
        <w:r w:rsidRPr="00E27756">
          <w:rPr>
            <w:rStyle w:val="TextoNormalCaracter"/>
          </w:rPr>
          <w:t>20/2013</w:t>
        </w:r>
      </w:hyperlink>
      <w:r>
        <w:t xml:space="preserve">, f. 1; </w:t>
      </w:r>
      <w:hyperlink w:anchor="AUTO_2013_40" w:history="1">
        <w:r w:rsidRPr="00E27756">
          <w:rPr>
            <w:rStyle w:val="TextoNormalCaracter"/>
          </w:rPr>
          <w:t>40/2013</w:t>
        </w:r>
      </w:hyperlink>
      <w:r>
        <w:t xml:space="preserve">, f. 1; </w:t>
      </w:r>
      <w:hyperlink w:anchor="AUTO_2013_64" w:history="1">
        <w:r w:rsidRPr="00E27756">
          <w:rPr>
            <w:rStyle w:val="TextoNormalCaracter"/>
          </w:rPr>
          <w:t>64/2013</w:t>
        </w:r>
      </w:hyperlink>
      <w:r>
        <w:t xml:space="preserve">, f. 1; </w:t>
      </w:r>
      <w:hyperlink w:anchor="AUTO_2013_139" w:history="1">
        <w:r w:rsidRPr="00E27756">
          <w:rPr>
            <w:rStyle w:val="TextoNormalCaracter"/>
          </w:rPr>
          <w:t>139/2013</w:t>
        </w:r>
      </w:hyperlink>
      <w:r>
        <w:t>, f. 1.</w:t>
      </w:r>
    </w:p>
    <w:p w:rsidR="00E27756" w:rsidRDefault="00E27756" w:rsidP="00E27756">
      <w:pPr>
        <w:pStyle w:val="SangriaFrancesaArticulo"/>
      </w:pPr>
      <w:r w:rsidRPr="00E27756">
        <w:rPr>
          <w:rStyle w:val="TextoNormalNegritaCaracter"/>
        </w:rPr>
        <w:t>Artículo 56.2.</w:t>
      </w:r>
      <w:r w:rsidRPr="00E27756">
        <w:rPr>
          <w:rStyle w:val="TextoNormalCaracter"/>
        </w:rPr>
        <w:t>-</w:t>
      </w:r>
      <w:r>
        <w:t xml:space="preserve"> Autos </w:t>
      </w:r>
      <w:hyperlink w:anchor="AUTO_2013_19" w:history="1">
        <w:r w:rsidRPr="00E27756">
          <w:rPr>
            <w:rStyle w:val="TextoNormalCaracter"/>
          </w:rPr>
          <w:t>19/2013</w:t>
        </w:r>
      </w:hyperlink>
      <w:r>
        <w:t xml:space="preserve">, f. único; </w:t>
      </w:r>
      <w:hyperlink w:anchor="AUTO_2013_20" w:history="1">
        <w:r w:rsidRPr="00E27756">
          <w:rPr>
            <w:rStyle w:val="TextoNormalCaracter"/>
          </w:rPr>
          <w:t>20/2013</w:t>
        </w:r>
      </w:hyperlink>
      <w:r>
        <w:t xml:space="preserve">, f. 1; </w:t>
      </w:r>
      <w:hyperlink w:anchor="AUTO_2013_61" w:history="1">
        <w:r w:rsidRPr="00E27756">
          <w:rPr>
            <w:rStyle w:val="TextoNormalCaracter"/>
          </w:rPr>
          <w:t>61/2013</w:t>
        </w:r>
      </w:hyperlink>
      <w:r>
        <w:t xml:space="preserve">, f. 1; </w:t>
      </w:r>
      <w:hyperlink w:anchor="AUTO_2013_64" w:history="1">
        <w:r w:rsidRPr="00E27756">
          <w:rPr>
            <w:rStyle w:val="TextoNormalCaracter"/>
          </w:rPr>
          <w:t>64/2013</w:t>
        </w:r>
      </w:hyperlink>
      <w:r>
        <w:t xml:space="preserve">, f. 1; </w:t>
      </w:r>
      <w:hyperlink w:anchor="AUTO_2013_116" w:history="1">
        <w:r w:rsidRPr="00E27756">
          <w:rPr>
            <w:rStyle w:val="TextoNormalCaracter"/>
          </w:rPr>
          <w:t>116/2013</w:t>
        </w:r>
      </w:hyperlink>
      <w:r>
        <w:t xml:space="preserve">, f. 1; </w:t>
      </w:r>
      <w:hyperlink w:anchor="AUTO_2013_133" w:history="1">
        <w:r w:rsidRPr="00E27756">
          <w:rPr>
            <w:rStyle w:val="TextoNormalCaracter"/>
          </w:rPr>
          <w:t>133/2013</w:t>
        </w:r>
      </w:hyperlink>
      <w:r>
        <w:t xml:space="preserve">, f. 1; </w:t>
      </w:r>
      <w:hyperlink w:anchor="AUTO_2013_136" w:history="1">
        <w:r w:rsidRPr="00E27756">
          <w:rPr>
            <w:rStyle w:val="TextoNormalCaracter"/>
          </w:rPr>
          <w:t>136/2013</w:t>
        </w:r>
      </w:hyperlink>
      <w:r>
        <w:t xml:space="preserve">, f. 1; </w:t>
      </w:r>
      <w:hyperlink w:anchor="AUTO_2013_137" w:history="1">
        <w:r w:rsidRPr="00E27756">
          <w:rPr>
            <w:rStyle w:val="TextoNormalCaracter"/>
          </w:rPr>
          <w:t>137/2013</w:t>
        </w:r>
      </w:hyperlink>
      <w:r>
        <w:t xml:space="preserve">, f. 1; </w:t>
      </w:r>
      <w:hyperlink w:anchor="AUTO_2013_139" w:history="1">
        <w:r w:rsidRPr="00E27756">
          <w:rPr>
            <w:rStyle w:val="TextoNormalCaracter"/>
          </w:rPr>
          <w:t>139/2013</w:t>
        </w:r>
      </w:hyperlink>
      <w:r>
        <w:t>, f. 1.</w:t>
      </w:r>
    </w:p>
    <w:p w:rsidR="00E27756" w:rsidRDefault="00E27756" w:rsidP="00E27756">
      <w:pPr>
        <w:pStyle w:val="SangriaFrancesaArticulo"/>
      </w:pPr>
      <w:r w:rsidRPr="00E27756">
        <w:rPr>
          <w:rStyle w:val="TextoNormalNegritaCaracter"/>
        </w:rPr>
        <w:t>Artículo 56.3</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Auto </w:t>
      </w:r>
      <w:hyperlink w:anchor="AUTO_2013_56" w:history="1">
        <w:r w:rsidRPr="00E27756">
          <w:rPr>
            <w:rStyle w:val="TextoNormalCaracter"/>
          </w:rPr>
          <w:t>56/2013</w:t>
        </w:r>
      </w:hyperlink>
      <w:r>
        <w:t>, f. 1.</w:t>
      </w:r>
    </w:p>
    <w:p w:rsidR="00E27756" w:rsidRDefault="00E27756" w:rsidP="00E27756">
      <w:pPr>
        <w:pStyle w:val="SangriaFrancesaArticulo"/>
      </w:pPr>
      <w:r w:rsidRPr="00E27756">
        <w:rPr>
          <w:rStyle w:val="TextoNormalNegritaCaracter"/>
        </w:rPr>
        <w:t>Artículo 66.</w:t>
      </w:r>
      <w:r w:rsidRPr="00E27756">
        <w:rPr>
          <w:rStyle w:val="TextoNormalCaracter"/>
        </w:rPr>
        <w:t>-</w:t>
      </w:r>
      <w:r>
        <w:t xml:space="preserve"> Sentencias </w:t>
      </w:r>
      <w:hyperlink w:anchor="SENTENCIA_2013_26" w:history="1">
        <w:r w:rsidRPr="00E27756">
          <w:rPr>
            <w:rStyle w:val="TextoNormalCaracter"/>
          </w:rPr>
          <w:t>26/2013</w:t>
        </w:r>
      </w:hyperlink>
      <w:r>
        <w:t xml:space="preserve">, f. 8; </w:t>
      </w:r>
      <w:hyperlink w:anchor="SENTENCIA_2013_70" w:history="1">
        <w:r w:rsidRPr="00E27756">
          <w:rPr>
            <w:rStyle w:val="TextoNormalCaracter"/>
          </w:rPr>
          <w:t>70/2013</w:t>
        </w:r>
      </w:hyperlink>
      <w:r>
        <w:t xml:space="preserve">, f. 8; </w:t>
      </w:r>
      <w:hyperlink w:anchor="SENTENCIA_2013_113" w:history="1">
        <w:r w:rsidRPr="00E27756">
          <w:rPr>
            <w:rStyle w:val="TextoNormalCaracter"/>
          </w:rPr>
          <w:t>113/2013</w:t>
        </w:r>
      </w:hyperlink>
      <w:r>
        <w:t>, f. 9.</w:t>
      </w:r>
    </w:p>
    <w:p w:rsidR="00E27756" w:rsidRDefault="00E27756" w:rsidP="00E27756">
      <w:pPr>
        <w:pStyle w:val="SangriaFrancesaArticulo"/>
      </w:pPr>
      <w:r w:rsidRPr="00E27756">
        <w:rPr>
          <w:rStyle w:val="TextoNormalNegritaCaracter"/>
        </w:rPr>
        <w:t>Artículo 75 bis.</w:t>
      </w:r>
      <w:r w:rsidRPr="00E27756">
        <w:rPr>
          <w:rStyle w:val="TextoNormalCaracter"/>
        </w:rPr>
        <w:t>-</w:t>
      </w:r>
      <w:r>
        <w:t xml:space="preserve"> Auto </w:t>
      </w:r>
      <w:hyperlink w:anchor="AUTO_2013_9" w:history="1">
        <w:r w:rsidRPr="00E27756">
          <w:rPr>
            <w:rStyle w:val="TextoNormalCaracter"/>
          </w:rPr>
          <w:t>9/2013</w:t>
        </w:r>
      </w:hyperlink>
      <w:r>
        <w:t>, f. 2.</w:t>
      </w:r>
    </w:p>
    <w:p w:rsidR="00E27756" w:rsidRDefault="00E27756" w:rsidP="00E27756">
      <w:pPr>
        <w:pStyle w:val="SangriaFrancesaArticulo"/>
      </w:pPr>
      <w:r w:rsidRPr="00E27756">
        <w:rPr>
          <w:rStyle w:val="TextoNormalNegritaCaracter"/>
        </w:rPr>
        <w:t>Artículo 75 quater, apartado 1.</w:t>
      </w:r>
      <w:r w:rsidRPr="00E27756">
        <w:rPr>
          <w:rStyle w:val="TextoNormalCaracter"/>
        </w:rPr>
        <w:t>-</w:t>
      </w:r>
      <w:r>
        <w:t xml:space="preserve"> Auto </w:t>
      </w:r>
      <w:hyperlink w:anchor="AUTO_2013_9" w:history="1">
        <w:r w:rsidRPr="00E27756">
          <w:rPr>
            <w:rStyle w:val="TextoNormalCaracter"/>
          </w:rPr>
          <w:t>9/2013</w:t>
        </w:r>
      </w:hyperlink>
      <w:r>
        <w:t>, f. 2.</w:t>
      </w:r>
    </w:p>
    <w:p w:rsidR="00E27756" w:rsidRDefault="00E27756" w:rsidP="00E27756">
      <w:pPr>
        <w:pStyle w:val="SangriaFrancesaArticulo"/>
      </w:pPr>
      <w:r w:rsidRPr="00E27756">
        <w:rPr>
          <w:rStyle w:val="TextoNormalNegritaCaracter"/>
        </w:rPr>
        <w:t>Artículo 75 quater, apartado 2.</w:t>
      </w:r>
      <w:r w:rsidRPr="00E27756">
        <w:rPr>
          <w:rStyle w:val="TextoNormalCaracter"/>
        </w:rPr>
        <w:t>-</w:t>
      </w:r>
      <w:r>
        <w:t xml:space="preserve"> Auto </w:t>
      </w:r>
      <w:hyperlink w:anchor="AUTO_2013_9" w:history="1">
        <w:r w:rsidRPr="00E27756">
          <w:rPr>
            <w:rStyle w:val="TextoNormalCaracter"/>
          </w:rPr>
          <w:t>9/2013</w:t>
        </w:r>
      </w:hyperlink>
      <w:r>
        <w:t>, f. 2.</w:t>
      </w:r>
    </w:p>
    <w:p w:rsidR="00E27756" w:rsidRDefault="00E27756" w:rsidP="00E27756">
      <w:pPr>
        <w:pStyle w:val="SangriaFrancesaArticulo"/>
      </w:pPr>
      <w:r w:rsidRPr="00E27756">
        <w:rPr>
          <w:rStyle w:val="TextoNormalNegritaCaracter"/>
        </w:rPr>
        <w:t>Artículo 75 quinquies, apartado 1.</w:t>
      </w:r>
      <w:r w:rsidRPr="00E27756">
        <w:rPr>
          <w:rStyle w:val="TextoNormalCaracter"/>
        </w:rPr>
        <w:t>-</w:t>
      </w:r>
      <w:r>
        <w:t xml:space="preserve"> Autos </w:t>
      </w:r>
      <w:hyperlink w:anchor="AUTO_2013_9" w:history="1">
        <w:r w:rsidRPr="00E27756">
          <w:rPr>
            <w:rStyle w:val="TextoNormalCaracter"/>
          </w:rPr>
          <w:t>9/2013</w:t>
        </w:r>
      </w:hyperlink>
      <w:r>
        <w:t xml:space="preserve">, ff. 4, 5; </w:t>
      </w:r>
      <w:hyperlink w:anchor="AUTO_2013_9" w:history="1">
        <w:r w:rsidRPr="00E27756">
          <w:rPr>
            <w:rStyle w:val="TextoNormalCaracter"/>
          </w:rPr>
          <w:t>9/2013</w:t>
        </w:r>
      </w:hyperlink>
      <w:r>
        <w:t>, f. 4, 5.</w:t>
      </w:r>
    </w:p>
    <w:p w:rsidR="00E27756" w:rsidRDefault="00E27756" w:rsidP="00E27756">
      <w:pPr>
        <w:pStyle w:val="SangriaFrancesaArticulo"/>
      </w:pPr>
      <w:r w:rsidRPr="00E27756">
        <w:rPr>
          <w:rStyle w:val="TextoNormalNegritaCaracter"/>
        </w:rPr>
        <w:t>Artículo 75 ter, apartado 1 b).</w:t>
      </w:r>
      <w:r w:rsidRPr="00E27756">
        <w:rPr>
          <w:rStyle w:val="TextoNormalCaracter"/>
        </w:rPr>
        <w:t>-</w:t>
      </w:r>
      <w:r>
        <w:t xml:space="preserve"> Auto </w:t>
      </w:r>
      <w:hyperlink w:anchor="AUTO_2013_9" w:history="1">
        <w:r w:rsidRPr="00E27756">
          <w:rPr>
            <w:rStyle w:val="TextoNormalCaracter"/>
          </w:rPr>
          <w:t>9/2013</w:t>
        </w:r>
      </w:hyperlink>
      <w:r>
        <w:t>, f. 2.</w:t>
      </w:r>
    </w:p>
    <w:p w:rsidR="00E27756" w:rsidRDefault="00E27756" w:rsidP="00E27756">
      <w:pPr>
        <w:pStyle w:val="SangriaFrancesaArticulo"/>
      </w:pPr>
      <w:r w:rsidRPr="00E27756">
        <w:rPr>
          <w:rStyle w:val="TextoNormalNegritaCaracter"/>
        </w:rPr>
        <w:t>Artículo 75 ter, apartado 3.</w:t>
      </w:r>
      <w:r w:rsidRPr="00E27756">
        <w:rPr>
          <w:rStyle w:val="TextoNormalCaracter"/>
        </w:rPr>
        <w:t>-</w:t>
      </w:r>
      <w:r>
        <w:t xml:space="preserve"> Auto </w:t>
      </w:r>
      <w:hyperlink w:anchor="AUTO_2013_9" w:history="1">
        <w:r w:rsidRPr="00E27756">
          <w:rPr>
            <w:rStyle w:val="TextoNormalCaracter"/>
          </w:rPr>
          <w:t>9/2013</w:t>
        </w:r>
      </w:hyperlink>
      <w:r>
        <w:t>, ff. 2, 3.</w:t>
      </w:r>
    </w:p>
    <w:p w:rsidR="00E27756" w:rsidRDefault="00E27756" w:rsidP="00E27756">
      <w:pPr>
        <w:pStyle w:val="SangriaFrancesaArticulo"/>
      </w:pPr>
      <w:r w:rsidRPr="00E27756">
        <w:rPr>
          <w:rStyle w:val="TextoNormalNegritaCaracter"/>
        </w:rPr>
        <w:t>Artículo 75 ter.1 b).</w:t>
      </w:r>
      <w:r w:rsidRPr="00E27756">
        <w:rPr>
          <w:rStyle w:val="TextoNormalCaracter"/>
        </w:rPr>
        <w:t>-</w:t>
      </w:r>
      <w:r>
        <w:t xml:space="preserve"> Auto </w:t>
      </w:r>
      <w:hyperlink w:anchor="AUTO_2013_9" w:history="1">
        <w:r w:rsidRPr="00E27756">
          <w:rPr>
            <w:rStyle w:val="TextoNormalCaracter"/>
          </w:rPr>
          <w:t>9/2013</w:t>
        </w:r>
      </w:hyperlink>
      <w:r>
        <w:t>, f. 2.</w:t>
      </w:r>
    </w:p>
    <w:p w:rsidR="00E27756" w:rsidRDefault="00E27756" w:rsidP="00E27756">
      <w:pPr>
        <w:pStyle w:val="SangriaFrancesaArticulo"/>
      </w:pPr>
      <w:r w:rsidRPr="00E27756">
        <w:rPr>
          <w:rStyle w:val="TextoNormalNegritaCaracter"/>
        </w:rPr>
        <w:t>Artículo 75 ter.2.</w:t>
      </w:r>
      <w:r w:rsidRPr="00E27756">
        <w:rPr>
          <w:rStyle w:val="TextoNormalCaracter"/>
        </w:rPr>
        <w:t>-</w:t>
      </w:r>
      <w:r>
        <w:t xml:space="preserve"> Auto </w:t>
      </w:r>
      <w:hyperlink w:anchor="AUTO_2013_9" w:history="1">
        <w:r w:rsidRPr="00E27756">
          <w:rPr>
            <w:rStyle w:val="TextoNormalCaracter"/>
          </w:rPr>
          <w:t>9/2013</w:t>
        </w:r>
      </w:hyperlink>
      <w:r>
        <w:t>, f. 2, 3.</w:t>
      </w:r>
    </w:p>
    <w:p w:rsidR="00E27756" w:rsidRDefault="00E27756" w:rsidP="00E27756">
      <w:pPr>
        <w:pStyle w:val="SangriaFrancesaArticulo"/>
      </w:pPr>
      <w:r w:rsidRPr="00E27756">
        <w:rPr>
          <w:rStyle w:val="TextoNormalNegritaCaracter"/>
        </w:rPr>
        <w:t>Artículo 75 ter.3.</w:t>
      </w:r>
      <w:r w:rsidRPr="00E27756">
        <w:rPr>
          <w:rStyle w:val="TextoNormalCaracter"/>
        </w:rPr>
        <w:t>-</w:t>
      </w:r>
      <w:r>
        <w:t xml:space="preserve"> Auto </w:t>
      </w:r>
      <w:hyperlink w:anchor="AUTO_2013_9" w:history="1">
        <w:r w:rsidRPr="00E27756">
          <w:rPr>
            <w:rStyle w:val="TextoNormalCaracter"/>
          </w:rPr>
          <w:t>9/2013</w:t>
        </w:r>
      </w:hyperlink>
      <w:r>
        <w:t>, f. 2, 3.</w:t>
      </w:r>
    </w:p>
    <w:p w:rsidR="00E27756" w:rsidRDefault="00E27756" w:rsidP="00E27756">
      <w:pPr>
        <w:pStyle w:val="SangriaFrancesaArticulo"/>
      </w:pPr>
      <w:r w:rsidRPr="00E27756">
        <w:rPr>
          <w:rStyle w:val="TextoNormalNegritaCaracter"/>
        </w:rPr>
        <w:t>Artículo 80.</w:t>
      </w:r>
      <w:r w:rsidRPr="00E27756">
        <w:rPr>
          <w:rStyle w:val="TextoNormalCaracter"/>
        </w:rPr>
        <w:t>-</w:t>
      </w:r>
      <w:r>
        <w:t xml:space="preserve"> Autos </w:t>
      </w:r>
      <w:hyperlink w:anchor="AUTO_2013_1" w:history="1">
        <w:r w:rsidRPr="00E27756">
          <w:rPr>
            <w:rStyle w:val="TextoNormalCaracter"/>
          </w:rPr>
          <w:t>1/2013</w:t>
        </w:r>
      </w:hyperlink>
      <w:r>
        <w:t xml:space="preserve">, f. único; </w:t>
      </w:r>
      <w:hyperlink w:anchor="AUTO_2013_3" w:history="1">
        <w:r w:rsidRPr="00E27756">
          <w:rPr>
            <w:rStyle w:val="TextoNormalCaracter"/>
          </w:rPr>
          <w:t>3/2013</w:t>
        </w:r>
      </w:hyperlink>
      <w:r>
        <w:t xml:space="preserve">, f. único; </w:t>
      </w:r>
      <w:hyperlink w:anchor="AUTO_2013_4" w:history="1">
        <w:r w:rsidRPr="00E27756">
          <w:rPr>
            <w:rStyle w:val="TextoNormalCaracter"/>
          </w:rPr>
          <w:t>4/2013</w:t>
        </w:r>
      </w:hyperlink>
      <w:r>
        <w:t xml:space="preserve">, f. único; </w:t>
      </w:r>
      <w:hyperlink w:anchor="AUTO_2013_6" w:history="1">
        <w:r w:rsidRPr="00E27756">
          <w:rPr>
            <w:rStyle w:val="TextoNormalCaracter"/>
          </w:rPr>
          <w:t>6/2013</w:t>
        </w:r>
      </w:hyperlink>
      <w:r>
        <w:t xml:space="preserve">, f. 3; </w:t>
      </w:r>
      <w:hyperlink w:anchor="AUTO_2013_7" w:history="1">
        <w:r w:rsidRPr="00E27756">
          <w:rPr>
            <w:rStyle w:val="TextoNormalCaracter"/>
          </w:rPr>
          <w:t>7/2013</w:t>
        </w:r>
      </w:hyperlink>
      <w:r>
        <w:t xml:space="preserve">, f. único; </w:t>
      </w:r>
      <w:hyperlink w:anchor="AUTO_2013_11" w:history="1">
        <w:r w:rsidRPr="00E27756">
          <w:rPr>
            <w:rStyle w:val="TextoNormalCaracter"/>
          </w:rPr>
          <w:t>11/2013</w:t>
        </w:r>
      </w:hyperlink>
      <w:r>
        <w:t xml:space="preserve">, f. único; </w:t>
      </w:r>
      <w:hyperlink w:anchor="AUTO_2013_12" w:history="1">
        <w:r w:rsidRPr="00E27756">
          <w:rPr>
            <w:rStyle w:val="TextoNormalCaracter"/>
          </w:rPr>
          <w:t>12/2013</w:t>
        </w:r>
      </w:hyperlink>
      <w:r>
        <w:t xml:space="preserve">, f. único; </w:t>
      </w:r>
      <w:hyperlink w:anchor="AUTO_2013_13" w:history="1">
        <w:r w:rsidRPr="00E27756">
          <w:rPr>
            <w:rStyle w:val="TextoNormalCaracter"/>
          </w:rPr>
          <w:t>13/2013</w:t>
        </w:r>
      </w:hyperlink>
      <w:r>
        <w:t xml:space="preserve">, f. único; </w:t>
      </w:r>
      <w:hyperlink w:anchor="AUTO_2013_14" w:history="1">
        <w:r w:rsidRPr="00E27756">
          <w:rPr>
            <w:rStyle w:val="TextoNormalCaracter"/>
          </w:rPr>
          <w:t>14/2013</w:t>
        </w:r>
      </w:hyperlink>
      <w:r>
        <w:t xml:space="preserve">, f. único; </w:t>
      </w:r>
      <w:hyperlink w:anchor="AUTO_2013_15" w:history="1">
        <w:r w:rsidRPr="00E27756">
          <w:rPr>
            <w:rStyle w:val="TextoNormalCaracter"/>
          </w:rPr>
          <w:t>15/2013</w:t>
        </w:r>
      </w:hyperlink>
      <w:r>
        <w:t xml:space="preserve">, f. único; </w:t>
      </w:r>
      <w:hyperlink w:anchor="AUTO_2013_16" w:history="1">
        <w:r w:rsidRPr="00E27756">
          <w:rPr>
            <w:rStyle w:val="TextoNormalCaracter"/>
          </w:rPr>
          <w:t>16/2013</w:t>
        </w:r>
      </w:hyperlink>
      <w:r>
        <w:t xml:space="preserve">, f. único; </w:t>
      </w:r>
      <w:hyperlink w:anchor="AUTO_2013_17" w:history="1">
        <w:r w:rsidRPr="00E27756">
          <w:rPr>
            <w:rStyle w:val="TextoNormalCaracter"/>
          </w:rPr>
          <w:t>17/2013</w:t>
        </w:r>
      </w:hyperlink>
      <w:r>
        <w:t xml:space="preserve">, f. único; </w:t>
      </w:r>
      <w:hyperlink w:anchor="AUTO_2013_26" w:history="1">
        <w:r w:rsidRPr="00E27756">
          <w:rPr>
            <w:rStyle w:val="TextoNormalCaracter"/>
          </w:rPr>
          <w:t>26/2013</w:t>
        </w:r>
      </w:hyperlink>
      <w:r>
        <w:t xml:space="preserve">, f. único; </w:t>
      </w:r>
      <w:hyperlink w:anchor="AUTO_2013_29" w:history="1">
        <w:r w:rsidRPr="00E27756">
          <w:rPr>
            <w:rStyle w:val="TextoNormalCaracter"/>
          </w:rPr>
          <w:t>29/2013</w:t>
        </w:r>
      </w:hyperlink>
      <w:r>
        <w:t xml:space="preserve">, f. único; </w:t>
      </w:r>
      <w:hyperlink w:anchor="AUTO_2013_34" w:history="1">
        <w:r w:rsidRPr="00E27756">
          <w:rPr>
            <w:rStyle w:val="TextoNormalCaracter"/>
          </w:rPr>
          <w:t>34/2013</w:t>
        </w:r>
      </w:hyperlink>
      <w:r>
        <w:t xml:space="preserve">, f. único; </w:t>
      </w:r>
      <w:hyperlink w:anchor="AUTO_2013_36" w:history="1">
        <w:r w:rsidRPr="00E27756">
          <w:rPr>
            <w:rStyle w:val="TextoNormalCaracter"/>
          </w:rPr>
          <w:t>36/2013</w:t>
        </w:r>
      </w:hyperlink>
      <w:r>
        <w:t xml:space="preserve">, f. único; </w:t>
      </w:r>
      <w:hyperlink w:anchor="AUTO_2013_37" w:history="1">
        <w:r w:rsidRPr="00E27756">
          <w:rPr>
            <w:rStyle w:val="TextoNormalCaracter"/>
          </w:rPr>
          <w:t>37/2013</w:t>
        </w:r>
      </w:hyperlink>
      <w:r>
        <w:t xml:space="preserve">, f. único; </w:t>
      </w:r>
      <w:hyperlink w:anchor="AUTO_2013_38" w:history="1">
        <w:r w:rsidRPr="00E27756">
          <w:rPr>
            <w:rStyle w:val="TextoNormalCaracter"/>
          </w:rPr>
          <w:t>38/2013</w:t>
        </w:r>
      </w:hyperlink>
      <w:r>
        <w:t xml:space="preserve">, f. único; </w:t>
      </w:r>
      <w:hyperlink w:anchor="AUTO_2013_39" w:history="1">
        <w:r w:rsidRPr="00E27756">
          <w:rPr>
            <w:rStyle w:val="TextoNormalCaracter"/>
          </w:rPr>
          <w:t>39/2013</w:t>
        </w:r>
      </w:hyperlink>
      <w:r>
        <w:t xml:space="preserve">, f. único; </w:t>
      </w:r>
      <w:hyperlink w:anchor="AUTO_2013_41" w:history="1">
        <w:r w:rsidRPr="00E27756">
          <w:rPr>
            <w:rStyle w:val="TextoNormalCaracter"/>
          </w:rPr>
          <w:t>41/2013</w:t>
        </w:r>
      </w:hyperlink>
      <w:r>
        <w:t xml:space="preserve">, f. único; </w:t>
      </w:r>
      <w:hyperlink w:anchor="AUTO_2013_43" w:history="1">
        <w:r w:rsidRPr="00E27756">
          <w:rPr>
            <w:rStyle w:val="TextoNormalCaracter"/>
          </w:rPr>
          <w:t>43/2013</w:t>
        </w:r>
      </w:hyperlink>
      <w:r>
        <w:t xml:space="preserve">, f. único; </w:t>
      </w:r>
      <w:hyperlink w:anchor="AUTO_2013_44" w:history="1">
        <w:r w:rsidRPr="00E27756">
          <w:rPr>
            <w:rStyle w:val="TextoNormalCaracter"/>
          </w:rPr>
          <w:t>44/2013</w:t>
        </w:r>
      </w:hyperlink>
      <w:r>
        <w:t xml:space="preserve">, f. único; </w:t>
      </w:r>
      <w:hyperlink w:anchor="AUTO_2013_45" w:history="1">
        <w:r w:rsidRPr="00E27756">
          <w:rPr>
            <w:rStyle w:val="TextoNormalCaracter"/>
          </w:rPr>
          <w:t>45/2013</w:t>
        </w:r>
      </w:hyperlink>
      <w:r>
        <w:t xml:space="preserve">, f. único; </w:t>
      </w:r>
      <w:hyperlink w:anchor="AUTO_2013_47" w:history="1">
        <w:r w:rsidRPr="00E27756">
          <w:rPr>
            <w:rStyle w:val="TextoNormalCaracter"/>
          </w:rPr>
          <w:t>47/2013</w:t>
        </w:r>
      </w:hyperlink>
      <w:r>
        <w:t xml:space="preserve">, f. único; </w:t>
      </w:r>
      <w:hyperlink w:anchor="AUTO_2013_48" w:history="1">
        <w:r w:rsidRPr="00E27756">
          <w:rPr>
            <w:rStyle w:val="TextoNormalCaracter"/>
          </w:rPr>
          <w:t>48/2013</w:t>
        </w:r>
      </w:hyperlink>
      <w:r>
        <w:t xml:space="preserve">, f. único; </w:t>
      </w:r>
      <w:hyperlink w:anchor="AUTO_2013_49" w:history="1">
        <w:r w:rsidRPr="00E27756">
          <w:rPr>
            <w:rStyle w:val="TextoNormalCaracter"/>
          </w:rPr>
          <w:t>49/2013</w:t>
        </w:r>
      </w:hyperlink>
      <w:r>
        <w:t xml:space="preserve">, f. único; </w:t>
      </w:r>
      <w:hyperlink w:anchor="AUTO_2013_62" w:history="1">
        <w:r w:rsidRPr="00E27756">
          <w:rPr>
            <w:rStyle w:val="TextoNormalCaracter"/>
          </w:rPr>
          <w:t>62/2013</w:t>
        </w:r>
      </w:hyperlink>
      <w:r>
        <w:t xml:space="preserve">, f. único; </w:t>
      </w:r>
      <w:hyperlink w:anchor="AUTO_2013_63" w:history="1">
        <w:r w:rsidRPr="00E27756">
          <w:rPr>
            <w:rStyle w:val="TextoNormalCaracter"/>
          </w:rPr>
          <w:t>63/2013</w:t>
        </w:r>
      </w:hyperlink>
      <w:r>
        <w:t xml:space="preserve">, f. único; </w:t>
      </w:r>
      <w:hyperlink w:anchor="AUTO_2013_65" w:history="1">
        <w:r w:rsidRPr="00E27756">
          <w:rPr>
            <w:rStyle w:val="TextoNormalCaracter"/>
          </w:rPr>
          <w:t>65/2013</w:t>
        </w:r>
      </w:hyperlink>
      <w:r>
        <w:t xml:space="preserve">, f. único; </w:t>
      </w:r>
      <w:hyperlink w:anchor="AUTO_2013_68" w:history="1">
        <w:r w:rsidRPr="00E27756">
          <w:rPr>
            <w:rStyle w:val="TextoNormalCaracter"/>
          </w:rPr>
          <w:t>68/2013</w:t>
        </w:r>
      </w:hyperlink>
      <w:r>
        <w:t xml:space="preserve">, f. único; </w:t>
      </w:r>
      <w:hyperlink w:anchor="AUTO_2013_70" w:history="1">
        <w:r w:rsidRPr="00E27756">
          <w:rPr>
            <w:rStyle w:val="TextoNormalCaracter"/>
          </w:rPr>
          <w:t>70/2013</w:t>
        </w:r>
      </w:hyperlink>
      <w:r>
        <w:t xml:space="preserve">, f. 1; </w:t>
      </w:r>
      <w:hyperlink w:anchor="AUTO_2013_71" w:history="1">
        <w:r w:rsidRPr="00E27756">
          <w:rPr>
            <w:rStyle w:val="TextoNormalCaracter"/>
          </w:rPr>
          <w:t>71/2013</w:t>
        </w:r>
      </w:hyperlink>
      <w:r>
        <w:t xml:space="preserve">, f. único; </w:t>
      </w:r>
      <w:hyperlink w:anchor="AUTO_2013_72" w:history="1">
        <w:r w:rsidRPr="00E27756">
          <w:rPr>
            <w:rStyle w:val="TextoNormalCaracter"/>
          </w:rPr>
          <w:t>72/2013</w:t>
        </w:r>
      </w:hyperlink>
      <w:r>
        <w:t xml:space="preserve">, f. único; </w:t>
      </w:r>
      <w:hyperlink w:anchor="AUTO_2013_89" w:history="1">
        <w:r w:rsidRPr="00E27756">
          <w:rPr>
            <w:rStyle w:val="TextoNormalCaracter"/>
          </w:rPr>
          <w:t>89/2013</w:t>
        </w:r>
      </w:hyperlink>
      <w:r>
        <w:t xml:space="preserve">, f. 1, VP I; </w:t>
      </w:r>
      <w:hyperlink w:anchor="AUTO_2013_90" w:history="1">
        <w:r w:rsidRPr="00E27756">
          <w:rPr>
            <w:rStyle w:val="TextoNormalCaracter"/>
          </w:rPr>
          <w:t>90/2013</w:t>
        </w:r>
      </w:hyperlink>
      <w:r>
        <w:t xml:space="preserve">, f. único; </w:t>
      </w:r>
      <w:hyperlink w:anchor="AUTO_2013_91" w:history="1">
        <w:r w:rsidRPr="00E27756">
          <w:rPr>
            <w:rStyle w:val="TextoNormalCaracter"/>
          </w:rPr>
          <w:t>91/2013</w:t>
        </w:r>
      </w:hyperlink>
      <w:r>
        <w:t xml:space="preserve">, f. único; </w:t>
      </w:r>
      <w:hyperlink w:anchor="AUTO_2013_92" w:history="1">
        <w:r w:rsidRPr="00E27756">
          <w:rPr>
            <w:rStyle w:val="TextoNormalCaracter"/>
          </w:rPr>
          <w:t>92/2013</w:t>
        </w:r>
      </w:hyperlink>
      <w:r>
        <w:t xml:space="preserve">, f. único; </w:t>
      </w:r>
      <w:hyperlink w:anchor="AUTO_2013_97" w:history="1">
        <w:r w:rsidRPr="00E27756">
          <w:rPr>
            <w:rStyle w:val="TextoNormalCaracter"/>
          </w:rPr>
          <w:t>97/2013</w:t>
        </w:r>
      </w:hyperlink>
      <w:r>
        <w:t xml:space="preserve">, f. único; </w:t>
      </w:r>
      <w:hyperlink w:anchor="AUTO_2013_98" w:history="1">
        <w:r w:rsidRPr="00E27756">
          <w:rPr>
            <w:rStyle w:val="TextoNormalCaracter"/>
          </w:rPr>
          <w:t>98/2013</w:t>
        </w:r>
      </w:hyperlink>
      <w:r>
        <w:t xml:space="preserve">, f. único; </w:t>
      </w:r>
      <w:hyperlink w:anchor="AUTO_2013_99" w:history="1">
        <w:r w:rsidRPr="00E27756">
          <w:rPr>
            <w:rStyle w:val="TextoNormalCaracter"/>
          </w:rPr>
          <w:t>99/2013</w:t>
        </w:r>
      </w:hyperlink>
      <w:r>
        <w:t xml:space="preserve">, f. único; </w:t>
      </w:r>
      <w:hyperlink w:anchor="AUTO_2013_100" w:history="1">
        <w:r w:rsidRPr="00E27756">
          <w:rPr>
            <w:rStyle w:val="TextoNormalCaracter"/>
          </w:rPr>
          <w:t>100/2013</w:t>
        </w:r>
      </w:hyperlink>
      <w:r>
        <w:t xml:space="preserve">, f. único; </w:t>
      </w:r>
      <w:hyperlink w:anchor="AUTO_2013_101" w:history="1">
        <w:r w:rsidRPr="00E27756">
          <w:rPr>
            <w:rStyle w:val="TextoNormalCaracter"/>
          </w:rPr>
          <w:t>101/2013</w:t>
        </w:r>
      </w:hyperlink>
      <w:r>
        <w:t xml:space="preserve">, f. único; </w:t>
      </w:r>
      <w:hyperlink w:anchor="AUTO_2013_102" w:history="1">
        <w:r w:rsidRPr="00E27756">
          <w:rPr>
            <w:rStyle w:val="TextoNormalCaracter"/>
          </w:rPr>
          <w:t>102/2013</w:t>
        </w:r>
      </w:hyperlink>
      <w:r>
        <w:t xml:space="preserve">, f. único; </w:t>
      </w:r>
      <w:hyperlink w:anchor="AUTO_2013_103" w:history="1">
        <w:r w:rsidRPr="00E27756">
          <w:rPr>
            <w:rStyle w:val="TextoNormalCaracter"/>
          </w:rPr>
          <w:t>103/2013</w:t>
        </w:r>
      </w:hyperlink>
      <w:r>
        <w:t xml:space="preserve">, f. único; </w:t>
      </w:r>
      <w:hyperlink w:anchor="AUTO_2013_120" w:history="1">
        <w:r w:rsidRPr="00E27756">
          <w:rPr>
            <w:rStyle w:val="TextoNormalCaracter"/>
          </w:rPr>
          <w:t>120/2013</w:t>
        </w:r>
      </w:hyperlink>
      <w:r>
        <w:t xml:space="preserve">, f. único; </w:t>
      </w:r>
      <w:hyperlink w:anchor="AUTO_2013_121" w:history="1">
        <w:r w:rsidRPr="00E27756">
          <w:rPr>
            <w:rStyle w:val="TextoNormalCaracter"/>
          </w:rPr>
          <w:t>121/2013</w:t>
        </w:r>
      </w:hyperlink>
      <w:r>
        <w:t xml:space="preserve">, f. único; </w:t>
      </w:r>
      <w:hyperlink w:anchor="AUTO_2013_129" w:history="1">
        <w:r w:rsidRPr="00E27756">
          <w:rPr>
            <w:rStyle w:val="TextoNormalCaracter"/>
          </w:rPr>
          <w:t>129/2013</w:t>
        </w:r>
      </w:hyperlink>
      <w:r>
        <w:t xml:space="preserve">, f. único; </w:t>
      </w:r>
      <w:hyperlink w:anchor="AUTO_2013_130" w:history="1">
        <w:r w:rsidRPr="00E27756">
          <w:rPr>
            <w:rStyle w:val="TextoNormalCaracter"/>
          </w:rPr>
          <w:t>130/2013</w:t>
        </w:r>
      </w:hyperlink>
      <w:r>
        <w:t xml:space="preserve">, f. único; </w:t>
      </w:r>
      <w:hyperlink w:anchor="AUTO_2013_131" w:history="1">
        <w:r w:rsidRPr="00E27756">
          <w:rPr>
            <w:rStyle w:val="TextoNormalCaracter"/>
          </w:rPr>
          <w:t>131/2013</w:t>
        </w:r>
      </w:hyperlink>
      <w:r>
        <w:t xml:space="preserve">, f. único; </w:t>
      </w:r>
      <w:hyperlink w:anchor="AUTO_2013_135" w:history="1">
        <w:r w:rsidRPr="00E27756">
          <w:rPr>
            <w:rStyle w:val="TextoNormalCaracter"/>
          </w:rPr>
          <w:t>135/2013</w:t>
        </w:r>
      </w:hyperlink>
      <w:r>
        <w:t xml:space="preserve">, f. único; </w:t>
      </w:r>
      <w:hyperlink w:anchor="AUTO_2013_136" w:history="1">
        <w:r w:rsidRPr="00E27756">
          <w:rPr>
            <w:rStyle w:val="TextoNormalCaracter"/>
          </w:rPr>
          <w:t>136/2013</w:t>
        </w:r>
      </w:hyperlink>
      <w:r>
        <w:t xml:space="preserve">, f. 4; </w:t>
      </w:r>
      <w:hyperlink w:anchor="AUTO_2013_138" w:history="1">
        <w:r w:rsidRPr="00E27756">
          <w:rPr>
            <w:rStyle w:val="TextoNormalCaracter"/>
          </w:rPr>
          <w:t>138/2013</w:t>
        </w:r>
      </w:hyperlink>
      <w:r>
        <w:t xml:space="preserve">, f. único; </w:t>
      </w:r>
      <w:hyperlink w:anchor="AUTO_2013_144" w:history="1">
        <w:r w:rsidRPr="00E27756">
          <w:rPr>
            <w:rStyle w:val="TextoNormalCaracter"/>
          </w:rPr>
          <w:t>144/2013</w:t>
        </w:r>
      </w:hyperlink>
      <w:r>
        <w:t xml:space="preserve">, f. único; </w:t>
      </w:r>
      <w:hyperlink w:anchor="AUTO_2013_147" w:history="1">
        <w:r w:rsidRPr="00E27756">
          <w:rPr>
            <w:rStyle w:val="TextoNormalCaracter"/>
          </w:rPr>
          <w:t>147/2013</w:t>
        </w:r>
      </w:hyperlink>
      <w:r>
        <w:t xml:space="preserve">, f. único; </w:t>
      </w:r>
      <w:hyperlink w:anchor="AUTO_2013_148" w:history="1">
        <w:r w:rsidRPr="00E27756">
          <w:rPr>
            <w:rStyle w:val="TextoNormalCaracter"/>
          </w:rPr>
          <w:t>148/2013</w:t>
        </w:r>
      </w:hyperlink>
      <w:r>
        <w:t>, f. único.</w:t>
      </w:r>
    </w:p>
    <w:p w:rsidR="00E27756" w:rsidRDefault="00E27756" w:rsidP="00E27756">
      <w:pPr>
        <w:pStyle w:val="SangriaFrancesaArticulo"/>
      </w:pPr>
      <w:r w:rsidRPr="00E27756">
        <w:rPr>
          <w:rStyle w:val="TextoNormalNegritaCaracter"/>
        </w:rPr>
        <w:t>Artículo 81.1.</w:t>
      </w:r>
      <w:r w:rsidRPr="00E27756">
        <w:rPr>
          <w:rStyle w:val="TextoNormalCaracter"/>
        </w:rPr>
        <w:t>-</w:t>
      </w:r>
      <w:r>
        <w:t xml:space="preserve"> Sentencia </w:t>
      </w:r>
      <w:hyperlink w:anchor="SENTENCIA_2013_88" w:history="1">
        <w:r w:rsidRPr="00E27756">
          <w:rPr>
            <w:rStyle w:val="TextoNormalCaracter"/>
          </w:rPr>
          <w:t>88/2013</w:t>
        </w:r>
      </w:hyperlink>
      <w:r>
        <w:t>, f. 4.</w:t>
      </w:r>
    </w:p>
    <w:p w:rsidR="00E27756" w:rsidRDefault="00E27756" w:rsidP="00E27756">
      <w:pPr>
        <w:pStyle w:val="SangriaFrancesaArticulo"/>
      </w:pPr>
      <w:r w:rsidRPr="00E27756">
        <w:rPr>
          <w:rStyle w:val="TextoNormalNegritaCaracter"/>
        </w:rPr>
        <w:t>Artículo 83.</w:t>
      </w:r>
      <w:r w:rsidRPr="00E27756">
        <w:rPr>
          <w:rStyle w:val="TextoNormalCaracter"/>
        </w:rPr>
        <w:t>-</w:t>
      </w:r>
      <w:r>
        <w:t xml:space="preserve"> Autos </w:t>
      </w:r>
      <w:hyperlink w:anchor="AUTO_2013_5" w:history="1">
        <w:r w:rsidRPr="00E27756">
          <w:rPr>
            <w:rStyle w:val="TextoNormalCaracter"/>
          </w:rPr>
          <w:t>5/2013</w:t>
        </w:r>
      </w:hyperlink>
      <w:r>
        <w:t xml:space="preserve">, f. único; </w:t>
      </w:r>
      <w:hyperlink w:anchor="AUTO_2013_78" w:history="1">
        <w:r w:rsidRPr="00E27756">
          <w:rPr>
            <w:rStyle w:val="TextoNormalCaracter"/>
          </w:rPr>
          <w:t>78/2013</w:t>
        </w:r>
      </w:hyperlink>
      <w:r>
        <w:t xml:space="preserve">, f. único; </w:t>
      </w:r>
      <w:hyperlink w:anchor="AUTO_2013_136" w:history="1">
        <w:r w:rsidRPr="00E27756">
          <w:rPr>
            <w:rStyle w:val="TextoNormalCaracter"/>
          </w:rPr>
          <w:t>136/2013</w:t>
        </w:r>
      </w:hyperlink>
      <w:r>
        <w:t>, f. 4.</w:t>
      </w:r>
    </w:p>
    <w:p w:rsidR="00E27756" w:rsidRDefault="00E27756" w:rsidP="00E27756">
      <w:pPr>
        <w:pStyle w:val="SangriaFrancesaArticulo"/>
      </w:pPr>
      <w:r w:rsidRPr="00E27756">
        <w:rPr>
          <w:rStyle w:val="TextoNormalNegritaCaracter"/>
        </w:rPr>
        <w:t>Artículo 84.</w:t>
      </w:r>
      <w:r w:rsidRPr="00E27756">
        <w:rPr>
          <w:rStyle w:val="TextoNormalCaracter"/>
        </w:rPr>
        <w:t>-</w:t>
      </w:r>
      <w:r>
        <w:t xml:space="preserve"> Sentencia </w:t>
      </w:r>
      <w:hyperlink w:anchor="SENTENCIA_2013_65" w:history="1">
        <w:r w:rsidRPr="00E27756">
          <w:rPr>
            <w:rStyle w:val="TextoNormalCaracter"/>
          </w:rPr>
          <w:t>65/2013</w:t>
        </w:r>
      </w:hyperlink>
      <w:r>
        <w:t>, f. 2.</w:t>
      </w:r>
    </w:p>
    <w:p w:rsidR="00E27756" w:rsidRDefault="00E27756" w:rsidP="00E27756">
      <w:pPr>
        <w:pStyle w:val="SangriaFrancesaArticulo"/>
      </w:pPr>
      <w:r w:rsidRPr="00E27756">
        <w:rPr>
          <w:rStyle w:val="TextoNormalNegritaCaracter"/>
        </w:rPr>
        <w:t>Artículo 85.1.</w:t>
      </w:r>
      <w:r w:rsidRPr="00E27756">
        <w:rPr>
          <w:rStyle w:val="TextoNormalCaracter"/>
        </w:rPr>
        <w:t>-</w:t>
      </w:r>
      <w:r>
        <w:t xml:space="preserve"> Sentencia </w:t>
      </w:r>
      <w:hyperlink w:anchor="SENTENCIA_2013_82" w:history="1">
        <w:r w:rsidRPr="00E27756">
          <w:rPr>
            <w:rStyle w:val="TextoNormalCaracter"/>
          </w:rPr>
          <w:t>82/2013</w:t>
        </w:r>
      </w:hyperlink>
      <w:r>
        <w:t>, f. 2.</w:t>
      </w:r>
    </w:p>
    <w:p w:rsidR="00E27756" w:rsidRDefault="00E27756" w:rsidP="00E27756">
      <w:pPr>
        <w:pStyle w:val="SangriaFrancesaArticulo"/>
      </w:pPr>
      <w:r w:rsidRPr="00E27756">
        <w:rPr>
          <w:rStyle w:val="TextoNormalNegritaCaracter"/>
        </w:rPr>
        <w:t>Artículo 85.2.</w:t>
      </w:r>
      <w:r w:rsidRPr="00E27756">
        <w:rPr>
          <w:rStyle w:val="TextoNormalCaracter"/>
        </w:rPr>
        <w:t>-</w:t>
      </w:r>
      <w:r>
        <w:t xml:space="preserve"> Sentencias </w:t>
      </w:r>
      <w:hyperlink w:anchor="SENTENCIA_2013_88" w:history="1">
        <w:r w:rsidRPr="00E27756">
          <w:rPr>
            <w:rStyle w:val="TextoNormalCaracter"/>
          </w:rPr>
          <w:t>88/2013</w:t>
        </w:r>
      </w:hyperlink>
      <w:r>
        <w:t xml:space="preserve">, VP; </w:t>
      </w:r>
      <w:hyperlink w:anchor="SENTENCIA_2013_120" w:history="1">
        <w:r w:rsidRPr="00E27756">
          <w:rPr>
            <w:rStyle w:val="TextoNormalCaracter"/>
          </w:rPr>
          <w:t>120/2013</w:t>
        </w:r>
      </w:hyperlink>
      <w:r>
        <w:t>, f. 2.</w:t>
      </w:r>
    </w:p>
    <w:p w:rsidR="00E27756" w:rsidRDefault="00E27756" w:rsidP="00E27756">
      <w:pPr>
        <w:pStyle w:val="SangriaFrancesaArticulo"/>
      </w:pPr>
      <w:r w:rsidRPr="00E27756">
        <w:rPr>
          <w:rStyle w:val="TextoNormalNegritaCaracter"/>
        </w:rPr>
        <w:t>Artículo 85.2</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Sentencias </w:t>
      </w:r>
      <w:hyperlink w:anchor="SENTENCIA_2013_88" w:history="1">
        <w:r w:rsidRPr="00E27756">
          <w:rPr>
            <w:rStyle w:val="TextoNormalCaracter"/>
          </w:rPr>
          <w:t>88/2013</w:t>
        </w:r>
      </w:hyperlink>
      <w:r>
        <w:t xml:space="preserve">, VP; </w:t>
      </w:r>
      <w:hyperlink w:anchor="SENTENCIA_2013_88" w:history="1">
        <w:r w:rsidRPr="00E27756">
          <w:rPr>
            <w:rStyle w:val="TextoNormalCaracter"/>
          </w:rPr>
          <w:t>88/2013</w:t>
        </w:r>
      </w:hyperlink>
      <w:r>
        <w:t>, ff. 2 a 5, VP.</w:t>
      </w:r>
    </w:p>
    <w:p w:rsidR="00E27756" w:rsidRDefault="00E27756" w:rsidP="00E27756">
      <w:pPr>
        <w:pStyle w:val="SangriaFrancesaArticulo"/>
      </w:pPr>
      <w:r w:rsidRPr="00E27756">
        <w:rPr>
          <w:rStyle w:val="TextoNormalNegritaCaracter"/>
        </w:rPr>
        <w:t>Artículo 86.</w:t>
      </w:r>
      <w:r w:rsidRPr="00E27756">
        <w:rPr>
          <w:rStyle w:val="TextoNormalCaracter"/>
        </w:rPr>
        <w:t>-</w:t>
      </w:r>
      <w:r>
        <w:t xml:space="preserve"> Autos </w:t>
      </w:r>
      <w:hyperlink w:anchor="AUTO_2013_7" w:history="1">
        <w:r w:rsidRPr="00E27756">
          <w:rPr>
            <w:rStyle w:val="TextoNormalCaracter"/>
          </w:rPr>
          <w:t>7/2013</w:t>
        </w:r>
      </w:hyperlink>
      <w:r>
        <w:t xml:space="preserve">, f. único; </w:t>
      </w:r>
      <w:hyperlink w:anchor="AUTO_2013_14" w:history="1">
        <w:r w:rsidRPr="00E27756">
          <w:rPr>
            <w:rStyle w:val="TextoNormalCaracter"/>
          </w:rPr>
          <w:t>14/2013</w:t>
        </w:r>
      </w:hyperlink>
      <w:r>
        <w:t xml:space="preserve">, f. único; </w:t>
      </w:r>
      <w:hyperlink w:anchor="AUTO_2013_41" w:history="1">
        <w:r w:rsidRPr="00E27756">
          <w:rPr>
            <w:rStyle w:val="TextoNormalCaracter"/>
          </w:rPr>
          <w:t>41/2013</w:t>
        </w:r>
      </w:hyperlink>
      <w:r>
        <w:t xml:space="preserve">, f. único; </w:t>
      </w:r>
      <w:hyperlink w:anchor="AUTO_2013_63" w:history="1">
        <w:r w:rsidRPr="00E27756">
          <w:rPr>
            <w:rStyle w:val="TextoNormalCaracter"/>
          </w:rPr>
          <w:t>63/2013</w:t>
        </w:r>
      </w:hyperlink>
      <w:r>
        <w:t xml:space="preserve">, f. único; </w:t>
      </w:r>
      <w:hyperlink w:anchor="AUTO_2013_65" w:history="1">
        <w:r w:rsidRPr="00E27756">
          <w:rPr>
            <w:rStyle w:val="TextoNormalCaracter"/>
          </w:rPr>
          <w:t>65/2013</w:t>
        </w:r>
      </w:hyperlink>
      <w:r>
        <w:t xml:space="preserve">, f. único; </w:t>
      </w:r>
      <w:hyperlink w:anchor="AUTO_2013_89" w:history="1">
        <w:r w:rsidRPr="00E27756">
          <w:rPr>
            <w:rStyle w:val="TextoNormalCaracter"/>
          </w:rPr>
          <w:t>89/2013</w:t>
        </w:r>
      </w:hyperlink>
      <w:r>
        <w:t xml:space="preserve">, VP I; </w:t>
      </w:r>
      <w:hyperlink w:anchor="AUTO_2013_120" w:history="1">
        <w:r w:rsidRPr="00E27756">
          <w:rPr>
            <w:rStyle w:val="TextoNormalCaracter"/>
          </w:rPr>
          <w:t>120/2013</w:t>
        </w:r>
      </w:hyperlink>
      <w:r>
        <w:t xml:space="preserve">, f. único; </w:t>
      </w:r>
      <w:hyperlink w:anchor="AUTO_2013_121" w:history="1">
        <w:r w:rsidRPr="00E27756">
          <w:rPr>
            <w:rStyle w:val="TextoNormalCaracter"/>
          </w:rPr>
          <w:t>121/2013</w:t>
        </w:r>
      </w:hyperlink>
      <w:r>
        <w:t>, f. único.</w:t>
      </w:r>
    </w:p>
    <w:p w:rsidR="00E27756" w:rsidRDefault="00E27756" w:rsidP="00E27756">
      <w:pPr>
        <w:pStyle w:val="SangriaFrancesaArticulo"/>
      </w:pPr>
      <w:r w:rsidRPr="00E27756">
        <w:rPr>
          <w:rStyle w:val="TextoNormalNegritaCaracter"/>
        </w:rPr>
        <w:t>Artículo 86.1.</w:t>
      </w:r>
      <w:r w:rsidRPr="00E27756">
        <w:rPr>
          <w:rStyle w:val="TextoNormalCaracter"/>
        </w:rPr>
        <w:t>-</w:t>
      </w:r>
      <w:r>
        <w:t xml:space="preserve"> Autos </w:t>
      </w:r>
      <w:hyperlink w:anchor="AUTO_2013_1" w:history="1">
        <w:r w:rsidRPr="00E27756">
          <w:rPr>
            <w:rStyle w:val="TextoNormalCaracter"/>
          </w:rPr>
          <w:t>1/2013</w:t>
        </w:r>
      </w:hyperlink>
      <w:r>
        <w:t xml:space="preserve">, f. único; </w:t>
      </w:r>
      <w:hyperlink w:anchor="AUTO_2013_6" w:history="1">
        <w:r w:rsidRPr="00E27756">
          <w:rPr>
            <w:rStyle w:val="TextoNormalCaracter"/>
          </w:rPr>
          <w:t>6/2013</w:t>
        </w:r>
      </w:hyperlink>
      <w:r>
        <w:t xml:space="preserve">, f. 3; </w:t>
      </w:r>
      <w:hyperlink w:anchor="AUTO_2013_13" w:history="1">
        <w:r w:rsidRPr="00E27756">
          <w:rPr>
            <w:rStyle w:val="TextoNormalCaracter"/>
          </w:rPr>
          <w:t>13/2013</w:t>
        </w:r>
      </w:hyperlink>
      <w:r>
        <w:t xml:space="preserve">, f. único; </w:t>
      </w:r>
      <w:hyperlink w:anchor="AUTO_2013_36" w:history="1">
        <w:r w:rsidRPr="00E27756">
          <w:rPr>
            <w:rStyle w:val="TextoNormalCaracter"/>
          </w:rPr>
          <w:t>36/2013</w:t>
        </w:r>
      </w:hyperlink>
      <w:r>
        <w:t xml:space="preserve">, f. único; </w:t>
      </w:r>
      <w:hyperlink w:anchor="AUTO_2013_70" w:history="1">
        <w:r w:rsidRPr="00E27756">
          <w:rPr>
            <w:rStyle w:val="TextoNormalCaracter"/>
          </w:rPr>
          <w:t>70/2013</w:t>
        </w:r>
      </w:hyperlink>
      <w:r>
        <w:t xml:space="preserve">, f. 1; </w:t>
      </w:r>
      <w:hyperlink w:anchor="AUTO_2013_71" w:history="1">
        <w:r w:rsidRPr="00E27756">
          <w:rPr>
            <w:rStyle w:val="TextoNormalCaracter"/>
          </w:rPr>
          <w:t>71/2013</w:t>
        </w:r>
      </w:hyperlink>
      <w:r>
        <w:t xml:space="preserve">, f. único; </w:t>
      </w:r>
      <w:hyperlink w:anchor="AUTO_2013_72" w:history="1">
        <w:r w:rsidRPr="00E27756">
          <w:rPr>
            <w:rStyle w:val="TextoNormalCaracter"/>
          </w:rPr>
          <w:t>72/2013</w:t>
        </w:r>
      </w:hyperlink>
      <w:r>
        <w:t xml:space="preserve">, f. único; </w:t>
      </w:r>
      <w:hyperlink w:anchor="AUTO_2013_126" w:history="1">
        <w:r w:rsidRPr="00E27756">
          <w:rPr>
            <w:rStyle w:val="TextoNormalCaracter"/>
          </w:rPr>
          <w:t>126/2013</w:t>
        </w:r>
      </w:hyperlink>
      <w:r>
        <w:t>, f. único.</w:t>
      </w:r>
    </w:p>
    <w:p w:rsidR="00E27756" w:rsidRDefault="00E27756" w:rsidP="00E27756">
      <w:pPr>
        <w:pStyle w:val="SangriaFrancesaArticulo"/>
      </w:pPr>
      <w:r w:rsidRPr="00E27756">
        <w:rPr>
          <w:rStyle w:val="TextoNormalNegritaCaracter"/>
        </w:rPr>
        <w:t>Artículo 86.1</w:t>
      </w:r>
      <w:r>
        <w:t xml:space="preserve"> </w:t>
      </w:r>
      <w:r w:rsidRPr="00E27756">
        <w:rPr>
          <w:rStyle w:val="TextoNormalCaracter"/>
        </w:rPr>
        <w:t>(redactado por la Ley Orgánica 6/1988, de 9 de junio)</w:t>
      </w:r>
      <w:r w:rsidRPr="00E27756">
        <w:rPr>
          <w:rStyle w:val="TextoNormalNegritaCaracter"/>
        </w:rPr>
        <w:t>.</w:t>
      </w:r>
      <w:r w:rsidRPr="00E27756">
        <w:rPr>
          <w:rStyle w:val="TextoNormalCaracter"/>
        </w:rPr>
        <w:t>-</w:t>
      </w:r>
      <w:r>
        <w:t xml:space="preserve"> Sentencia </w:t>
      </w:r>
      <w:hyperlink w:anchor="SENTENCIA_2013_44" w:history="1">
        <w:r w:rsidRPr="00E27756">
          <w:rPr>
            <w:rStyle w:val="TextoNormalCaracter"/>
          </w:rPr>
          <w:t>44/2013</w:t>
        </w:r>
      </w:hyperlink>
      <w:r>
        <w:t>, f. 6.</w:t>
      </w:r>
    </w:p>
    <w:p w:rsidR="00E27756" w:rsidRDefault="00E27756" w:rsidP="00E27756">
      <w:pPr>
        <w:pStyle w:val="SangriaIzquierdaArticulo"/>
      </w:pPr>
      <w:r>
        <w:t xml:space="preserve">Autos </w:t>
      </w:r>
      <w:hyperlink w:anchor="AUTO_2013_26" w:history="1">
        <w:r w:rsidRPr="00E27756">
          <w:rPr>
            <w:rStyle w:val="TextoNormalCaracter"/>
          </w:rPr>
          <w:t>26/2013</w:t>
        </w:r>
      </w:hyperlink>
      <w:r>
        <w:t xml:space="preserve">, f. único; </w:t>
      </w:r>
      <w:hyperlink w:anchor="AUTO_2013_43" w:history="1">
        <w:r w:rsidRPr="00E27756">
          <w:rPr>
            <w:rStyle w:val="TextoNormalCaracter"/>
          </w:rPr>
          <w:t>43/2013</w:t>
        </w:r>
      </w:hyperlink>
      <w:r>
        <w:t xml:space="preserve">, f. único; </w:t>
      </w:r>
      <w:hyperlink w:anchor="AUTO_2013_48" w:history="1">
        <w:r w:rsidRPr="00E27756">
          <w:rPr>
            <w:rStyle w:val="TextoNormalCaracter"/>
          </w:rPr>
          <w:t>48/2013</w:t>
        </w:r>
      </w:hyperlink>
      <w:r>
        <w:t xml:space="preserve">, f. único; </w:t>
      </w:r>
      <w:hyperlink w:anchor="AUTO_2013_89" w:history="1">
        <w:r w:rsidRPr="00E27756">
          <w:rPr>
            <w:rStyle w:val="TextoNormalCaracter"/>
          </w:rPr>
          <w:t>89/2013</w:t>
        </w:r>
      </w:hyperlink>
      <w:r>
        <w:t xml:space="preserve">, f. 1, VP I; </w:t>
      </w:r>
      <w:hyperlink w:anchor="AUTO_2013_96" w:history="1">
        <w:r w:rsidRPr="00E27756">
          <w:rPr>
            <w:rStyle w:val="TextoNormalCaracter"/>
          </w:rPr>
          <w:t>96/2013</w:t>
        </w:r>
      </w:hyperlink>
      <w:r>
        <w:t xml:space="preserve">, f. único; </w:t>
      </w:r>
      <w:hyperlink w:anchor="AUTO_2013_129" w:history="1">
        <w:r w:rsidRPr="00E27756">
          <w:rPr>
            <w:rStyle w:val="TextoNormalCaracter"/>
          </w:rPr>
          <w:t>129/2013</w:t>
        </w:r>
      </w:hyperlink>
      <w:r>
        <w:t xml:space="preserve">, f. único; </w:t>
      </w:r>
      <w:hyperlink w:anchor="AUTO_2013_130" w:history="1">
        <w:r w:rsidRPr="00E27756">
          <w:rPr>
            <w:rStyle w:val="TextoNormalCaracter"/>
          </w:rPr>
          <w:t>130/2013</w:t>
        </w:r>
      </w:hyperlink>
      <w:r>
        <w:t>, f. único.</w:t>
      </w:r>
    </w:p>
    <w:p w:rsidR="00E27756" w:rsidRDefault="00E27756" w:rsidP="00E27756">
      <w:pPr>
        <w:pStyle w:val="SangriaFrancesaArticulo"/>
      </w:pPr>
      <w:r w:rsidRPr="00E27756">
        <w:rPr>
          <w:rStyle w:val="TextoNormalNegritaCaracter"/>
        </w:rPr>
        <w:t>Artículo 87.1.</w:t>
      </w:r>
      <w:r w:rsidRPr="00E27756">
        <w:rPr>
          <w:rStyle w:val="TextoNormalCaracter"/>
        </w:rPr>
        <w:t>-</w:t>
      </w:r>
      <w:r>
        <w:t xml:space="preserve"> Sentencia </w:t>
      </w:r>
      <w:hyperlink w:anchor="SENTENCIA_2013_40" w:history="1">
        <w:r w:rsidRPr="00E27756">
          <w:rPr>
            <w:rStyle w:val="TextoNormalCaracter"/>
          </w:rPr>
          <w:t>40/2013</w:t>
        </w:r>
      </w:hyperlink>
      <w:r>
        <w:t>, f. 8.</w:t>
      </w:r>
    </w:p>
    <w:p w:rsidR="00E27756" w:rsidRDefault="00E27756" w:rsidP="00E27756">
      <w:pPr>
        <w:pStyle w:val="SangriaFrancesaArticulo"/>
      </w:pPr>
      <w:r w:rsidRPr="00E27756">
        <w:rPr>
          <w:rStyle w:val="TextoNormalNegritaCaracter"/>
        </w:rPr>
        <w:t>Artículo 90.2.</w:t>
      </w:r>
      <w:r w:rsidRPr="00E27756">
        <w:rPr>
          <w:rStyle w:val="TextoNormalCaracter"/>
        </w:rPr>
        <w:t>-</w:t>
      </w:r>
      <w:r>
        <w:t xml:space="preserve"> Sentencias </w:t>
      </w:r>
      <w:hyperlink w:anchor="SENTENCIA_2013_27" w:history="1">
        <w:r w:rsidRPr="00E27756">
          <w:rPr>
            <w:rStyle w:val="TextoNormalCaracter"/>
          </w:rPr>
          <w:t>27/2013</w:t>
        </w:r>
      </w:hyperlink>
      <w:r>
        <w:t xml:space="preserve">, VP I; </w:t>
      </w:r>
      <w:hyperlink w:anchor="SENTENCIA_2013_29" w:history="1">
        <w:r w:rsidRPr="00E27756">
          <w:rPr>
            <w:rStyle w:val="TextoNormalCaracter"/>
          </w:rPr>
          <w:t>29/2013</w:t>
        </w:r>
      </w:hyperlink>
      <w:r>
        <w:t xml:space="preserve">, VP I; </w:t>
      </w:r>
      <w:hyperlink w:anchor="SENTENCIA_2013_34" w:history="1">
        <w:r w:rsidRPr="00E27756">
          <w:rPr>
            <w:rStyle w:val="TextoNormalCaracter"/>
          </w:rPr>
          <w:t>34/2013</w:t>
        </w:r>
      </w:hyperlink>
      <w:r>
        <w:t xml:space="preserve">, VP I; </w:t>
      </w:r>
      <w:hyperlink w:anchor="SENTENCIA_2013_93" w:history="1">
        <w:r w:rsidRPr="00E27756">
          <w:rPr>
            <w:rStyle w:val="TextoNormalCaracter"/>
          </w:rPr>
          <w:t>93/2013</w:t>
        </w:r>
      </w:hyperlink>
      <w:r>
        <w:t xml:space="preserve">, VP I, VP II; </w:t>
      </w:r>
      <w:hyperlink w:anchor="SENTENCIA_2013_94" w:history="1">
        <w:r w:rsidRPr="00E27756">
          <w:rPr>
            <w:rStyle w:val="TextoNormalCaracter"/>
          </w:rPr>
          <w:t>94/2013</w:t>
        </w:r>
      </w:hyperlink>
      <w:r>
        <w:t xml:space="preserve">, VP I; </w:t>
      </w:r>
      <w:hyperlink w:anchor="SENTENCIA_2013_95" w:history="1">
        <w:r w:rsidRPr="00E27756">
          <w:rPr>
            <w:rStyle w:val="TextoNormalCaracter"/>
          </w:rPr>
          <w:t>95/2013</w:t>
        </w:r>
      </w:hyperlink>
      <w:r>
        <w:t>, VP.</w:t>
      </w:r>
    </w:p>
    <w:p w:rsidR="00E27756" w:rsidRDefault="00E27756" w:rsidP="00E27756">
      <w:pPr>
        <w:pStyle w:val="SangriaFrancesaArticulo"/>
      </w:pPr>
      <w:r w:rsidRPr="00E27756">
        <w:rPr>
          <w:rStyle w:val="TextoNormalNegritaCaracter"/>
        </w:rPr>
        <w:t>Artículo 90.2</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Sentencias </w:t>
      </w:r>
      <w:hyperlink w:anchor="SENTENCIA_2013_5" w:history="1">
        <w:r w:rsidRPr="00E27756">
          <w:rPr>
            <w:rStyle w:val="TextoNormalCaracter"/>
          </w:rPr>
          <w:t>5/2013</w:t>
        </w:r>
      </w:hyperlink>
      <w:r>
        <w:t xml:space="preserve">, VP; </w:t>
      </w:r>
      <w:hyperlink w:anchor="SENTENCIA_2013_16" w:history="1">
        <w:r w:rsidRPr="00E27756">
          <w:rPr>
            <w:rStyle w:val="TextoNormalCaracter"/>
          </w:rPr>
          <w:t>16/2013</w:t>
        </w:r>
      </w:hyperlink>
      <w:r>
        <w:t xml:space="preserve">, VP; </w:t>
      </w:r>
      <w:hyperlink w:anchor="SENTENCIA_2013_21" w:history="1">
        <w:r w:rsidRPr="00E27756">
          <w:rPr>
            <w:rStyle w:val="TextoNormalCaracter"/>
          </w:rPr>
          <w:t>21/2013</w:t>
        </w:r>
      </w:hyperlink>
      <w:r>
        <w:t xml:space="preserve">, VP; </w:t>
      </w:r>
      <w:hyperlink w:anchor="SENTENCIA_2013_41" w:history="1">
        <w:r w:rsidRPr="00E27756">
          <w:rPr>
            <w:rStyle w:val="TextoNormalCaracter"/>
          </w:rPr>
          <w:t>41/2013</w:t>
        </w:r>
      </w:hyperlink>
      <w:r>
        <w:t xml:space="preserve">, VP I; </w:t>
      </w:r>
      <w:hyperlink w:anchor="SENTENCIA_2013_81" w:history="1">
        <w:r w:rsidRPr="00E27756">
          <w:rPr>
            <w:rStyle w:val="TextoNormalCaracter"/>
          </w:rPr>
          <w:t>81/2013</w:t>
        </w:r>
      </w:hyperlink>
      <w:r>
        <w:t xml:space="preserve">, VP; </w:t>
      </w:r>
      <w:hyperlink w:anchor="SENTENCIA_2013_88" w:history="1">
        <w:r w:rsidRPr="00E27756">
          <w:rPr>
            <w:rStyle w:val="TextoNormalCaracter"/>
          </w:rPr>
          <w:t>88/2013</w:t>
        </w:r>
      </w:hyperlink>
      <w:r>
        <w:t xml:space="preserve">, VP; </w:t>
      </w:r>
      <w:hyperlink w:anchor="SENTENCIA_2013_103" w:history="1">
        <w:r w:rsidRPr="00E27756">
          <w:rPr>
            <w:rStyle w:val="TextoNormalCaracter"/>
          </w:rPr>
          <w:t>103/2013</w:t>
        </w:r>
      </w:hyperlink>
      <w:r>
        <w:t xml:space="preserve">, VP; </w:t>
      </w:r>
      <w:hyperlink w:anchor="SENTENCIA_2013_125" w:history="1">
        <w:r w:rsidRPr="00E27756">
          <w:rPr>
            <w:rStyle w:val="TextoNormalCaracter"/>
          </w:rPr>
          <w:t>125/2013</w:t>
        </w:r>
      </w:hyperlink>
      <w:r>
        <w:t xml:space="preserve">, VP; </w:t>
      </w:r>
      <w:hyperlink w:anchor="SENTENCIA_2013_130" w:history="1">
        <w:r w:rsidRPr="00E27756">
          <w:rPr>
            <w:rStyle w:val="TextoNormalCaracter"/>
          </w:rPr>
          <w:t>130/2013</w:t>
        </w:r>
      </w:hyperlink>
      <w:r>
        <w:t xml:space="preserve">, VP; </w:t>
      </w:r>
      <w:hyperlink w:anchor="SENTENCIA_2013_131" w:history="1">
        <w:r w:rsidRPr="00E27756">
          <w:rPr>
            <w:rStyle w:val="TextoNormalCaracter"/>
          </w:rPr>
          <w:t>131/2013</w:t>
        </w:r>
      </w:hyperlink>
      <w:r>
        <w:t xml:space="preserve">, VP I, VP II, VP III, VP IV; </w:t>
      </w:r>
      <w:hyperlink w:anchor="SENTENCIA_2013_132" w:history="1">
        <w:r w:rsidRPr="00E27756">
          <w:rPr>
            <w:rStyle w:val="TextoNormalCaracter"/>
          </w:rPr>
          <w:t>132/2013</w:t>
        </w:r>
      </w:hyperlink>
      <w:r>
        <w:t xml:space="preserve">, VP; </w:t>
      </w:r>
      <w:hyperlink w:anchor="SENTENCIA_2013_135" w:history="1">
        <w:r w:rsidRPr="00E27756">
          <w:rPr>
            <w:rStyle w:val="TextoNormalCaracter"/>
          </w:rPr>
          <w:t>135/2013</w:t>
        </w:r>
      </w:hyperlink>
      <w:r>
        <w:t>, VP.</w:t>
      </w:r>
    </w:p>
    <w:p w:rsidR="00E27756" w:rsidRDefault="00E27756" w:rsidP="00E27756">
      <w:pPr>
        <w:pStyle w:val="SangriaIzquierdaArticulo"/>
      </w:pPr>
      <w:r>
        <w:t xml:space="preserve">Autos </w:t>
      </w:r>
      <w:hyperlink w:anchor="AUTO_2013_28" w:history="1">
        <w:r w:rsidRPr="00E27756">
          <w:rPr>
            <w:rStyle w:val="TextoNormalCaracter"/>
          </w:rPr>
          <w:t>28/2013</w:t>
        </w:r>
      </w:hyperlink>
      <w:r>
        <w:t xml:space="preserve">, VP I; </w:t>
      </w:r>
      <w:hyperlink w:anchor="AUTO_2013_89" w:history="1">
        <w:r w:rsidRPr="00E27756">
          <w:rPr>
            <w:rStyle w:val="TextoNormalCaracter"/>
          </w:rPr>
          <w:t>89/2013</w:t>
        </w:r>
      </w:hyperlink>
      <w:r>
        <w:t>, VP I, VP II.</w:t>
      </w:r>
    </w:p>
    <w:p w:rsidR="00E27756" w:rsidRDefault="00E27756" w:rsidP="00E27756">
      <w:pPr>
        <w:pStyle w:val="SangriaFrancesaArticulo"/>
      </w:pPr>
      <w:r w:rsidRPr="00E27756">
        <w:rPr>
          <w:rStyle w:val="TextoNormalNegritaCaracter"/>
        </w:rPr>
        <w:t>Artículo 93.</w:t>
      </w:r>
      <w:r w:rsidRPr="00E27756">
        <w:rPr>
          <w:rStyle w:val="TextoNormalCaracter"/>
        </w:rPr>
        <w:t>-</w:t>
      </w:r>
      <w:r>
        <w:t xml:space="preserve"> Sentencia </w:t>
      </w:r>
      <w:hyperlink w:anchor="SENTENCIA_2013_133" w:history="1">
        <w:r w:rsidRPr="00E27756">
          <w:rPr>
            <w:rStyle w:val="TextoNormalCaracter"/>
          </w:rPr>
          <w:t>133/2013</w:t>
        </w:r>
      </w:hyperlink>
      <w:r>
        <w:t>, ff. 5, 6.</w:t>
      </w:r>
    </w:p>
    <w:p w:rsidR="00E27756" w:rsidRDefault="00E27756" w:rsidP="00E27756">
      <w:pPr>
        <w:pStyle w:val="SangriaFrancesaArticulo"/>
      </w:pPr>
      <w:r w:rsidRPr="00E27756">
        <w:rPr>
          <w:rStyle w:val="TextoNormalNegritaCaracter"/>
        </w:rPr>
        <w:t>Artículo 93.1.</w:t>
      </w:r>
      <w:r w:rsidRPr="00E27756">
        <w:rPr>
          <w:rStyle w:val="TextoNormalCaracter"/>
        </w:rPr>
        <w:t>-</w:t>
      </w:r>
      <w:r>
        <w:t xml:space="preserve"> Autos </w:t>
      </w:r>
      <w:hyperlink w:anchor="AUTO_2013_66" w:history="1">
        <w:r w:rsidRPr="00E27756">
          <w:rPr>
            <w:rStyle w:val="TextoNormalCaracter"/>
          </w:rPr>
          <w:t>66/2013</w:t>
        </w:r>
      </w:hyperlink>
      <w:r>
        <w:t xml:space="preserve">, ff. 1, 2; </w:t>
      </w:r>
      <w:hyperlink w:anchor="AUTO_2013_94" w:history="1">
        <w:r w:rsidRPr="00E27756">
          <w:rPr>
            <w:rStyle w:val="TextoNormalCaracter"/>
          </w:rPr>
          <w:t>94/2013</w:t>
        </w:r>
      </w:hyperlink>
      <w:r>
        <w:t xml:space="preserve">, f. 1; </w:t>
      </w:r>
      <w:hyperlink w:anchor="AUTO_2013_134" w:history="1">
        <w:r w:rsidRPr="00E27756">
          <w:rPr>
            <w:rStyle w:val="TextoNormalCaracter"/>
          </w:rPr>
          <w:t>134/2013</w:t>
        </w:r>
      </w:hyperlink>
      <w:r>
        <w:t>, f. 1.</w:t>
      </w:r>
    </w:p>
    <w:p w:rsidR="00E27756" w:rsidRDefault="00E27756" w:rsidP="00E27756">
      <w:pPr>
        <w:pStyle w:val="SangriaFrancesaArticulo"/>
      </w:pPr>
      <w:r w:rsidRPr="00E27756">
        <w:rPr>
          <w:rStyle w:val="TextoNormalNegritaCaracter"/>
        </w:rPr>
        <w:t>Artículo 95.2.</w:t>
      </w:r>
      <w:r w:rsidRPr="00E27756">
        <w:rPr>
          <w:rStyle w:val="TextoNormalCaracter"/>
        </w:rPr>
        <w:t>-</w:t>
      </w:r>
      <w:r>
        <w:t xml:space="preserve"> Sentencia </w:t>
      </w:r>
      <w:hyperlink w:anchor="SENTENCIA_2013_126" w:history="1">
        <w:r w:rsidRPr="00E27756">
          <w:rPr>
            <w:rStyle w:val="TextoNormalCaracter"/>
          </w:rPr>
          <w:t>126/2013</w:t>
        </w:r>
      </w:hyperlink>
      <w:r>
        <w:t>, f. 8.</w:t>
      </w:r>
    </w:p>
    <w:p w:rsidR="00E27756" w:rsidRDefault="00E27756" w:rsidP="00E27756">
      <w:pPr>
        <w:pStyle w:val="SangriaIzquierdaArticulo"/>
      </w:pPr>
      <w:r>
        <w:t xml:space="preserve">Auto </w:t>
      </w:r>
      <w:hyperlink w:anchor="AUTO_2013_6" w:history="1">
        <w:r w:rsidRPr="00E27756">
          <w:rPr>
            <w:rStyle w:val="TextoNormalCaracter"/>
          </w:rPr>
          <w:t>6/2013</w:t>
        </w:r>
      </w:hyperlink>
      <w:r>
        <w:t>, f. 3.</w:t>
      </w:r>
    </w:p>
    <w:p w:rsidR="00E27756" w:rsidRDefault="00E27756" w:rsidP="00E27756">
      <w:pPr>
        <w:pStyle w:val="SangriaIzquierdaArticulo"/>
      </w:pPr>
    </w:p>
    <w:p w:rsidR="00E27756" w:rsidRDefault="00E27756" w:rsidP="00E27756">
      <w:pPr>
        <w:pStyle w:val="TextoNormalNegritaCursivandice"/>
      </w:pPr>
      <w:r>
        <w:t>Ley Orgánica 6/1988, de 9 de junio. Modifica los artículos 50 y 86 de la Ley Orgánica 2/1979, de 3 de octubre, del Tribunal Constitucional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3" w:history="1">
        <w:r w:rsidRPr="00E27756">
          <w:rPr>
            <w:rStyle w:val="TextoNormalCaracter"/>
          </w:rPr>
          <w:t>133/2013</w:t>
        </w:r>
      </w:hyperlink>
      <w:r>
        <w:t>, ff. 6, 8.</w:t>
      </w:r>
    </w:p>
    <w:p w:rsidR="00E27756" w:rsidRDefault="00E27756" w:rsidP="00E27756">
      <w:pPr>
        <w:pStyle w:val="SangriaFrancesaArticulo"/>
      </w:pPr>
      <w:r w:rsidRPr="00E27756">
        <w:rPr>
          <w:rStyle w:val="TextoNormalNegritaCaracter"/>
        </w:rPr>
        <w:t>Artículos 41 a 46.</w:t>
      </w:r>
      <w:r w:rsidRPr="00E27756">
        <w:rPr>
          <w:rStyle w:val="TextoNormalCaracter"/>
        </w:rPr>
        <w:t>-</w:t>
      </w:r>
      <w:r>
        <w:t xml:space="preserve"> Sentencia </w:t>
      </w:r>
      <w:hyperlink w:anchor="SENTENCIA_2013_133" w:history="1">
        <w:r w:rsidRPr="00E27756">
          <w:rPr>
            <w:rStyle w:val="TextoNormalCaracter"/>
          </w:rPr>
          <w:t>133/2013</w:t>
        </w:r>
      </w:hyperlink>
      <w:r>
        <w:t>, f. 8.</w:t>
      </w:r>
    </w:p>
    <w:p w:rsidR="00E27756" w:rsidRDefault="00E27756" w:rsidP="00E27756">
      <w:pPr>
        <w:pStyle w:val="SangriaFrancesaArticulo"/>
      </w:pPr>
    </w:p>
    <w:p w:rsidR="00E27756" w:rsidRDefault="00E27756" w:rsidP="00E27756">
      <w:pPr>
        <w:pStyle w:val="TextoNormalNegritaCursivandice"/>
      </w:pPr>
      <w:r>
        <w:t>Acuerdo del Pleno del Tribunal Constitucional, de 18 de junio de 1996. Asistencia jurídica gratuita en los procesos de amparo constitucional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95" w:history="1">
        <w:r w:rsidRPr="00E27756">
          <w:rPr>
            <w:rStyle w:val="TextoNormalCaracter"/>
          </w:rPr>
          <w:t>95/2013</w:t>
        </w:r>
      </w:hyperlink>
      <w:r>
        <w:t>, f. 2.</w:t>
      </w:r>
    </w:p>
    <w:p w:rsidR="00E27756" w:rsidRDefault="00E27756" w:rsidP="00E27756">
      <w:pPr>
        <w:pStyle w:val="SangriaFrancesaArticulo"/>
      </w:pPr>
      <w:r w:rsidRPr="00E27756">
        <w:rPr>
          <w:rStyle w:val="TextoNormalNegritaCaracter"/>
        </w:rPr>
        <w:t>Capítulo III, sección 1.</w:t>
      </w:r>
      <w:r w:rsidRPr="00E27756">
        <w:rPr>
          <w:rStyle w:val="TextoNormalCaracter"/>
        </w:rPr>
        <w:t>-</w:t>
      </w:r>
      <w:r>
        <w:t xml:space="preserve"> Auto </w:t>
      </w:r>
      <w:hyperlink w:anchor="AUTO_2013_95" w:history="1">
        <w:r w:rsidRPr="00E27756">
          <w:rPr>
            <w:rStyle w:val="TextoNormalCaracter"/>
          </w:rPr>
          <w:t>95/2013</w:t>
        </w:r>
      </w:hyperlink>
      <w:r>
        <w:t>, f. 2.</w:t>
      </w:r>
    </w:p>
    <w:p w:rsidR="00E27756" w:rsidRDefault="00E27756" w:rsidP="00E27756">
      <w:pPr>
        <w:pStyle w:val="SangriaFrancesaArticulo"/>
      </w:pPr>
      <w:r w:rsidRPr="00E27756">
        <w:rPr>
          <w:rStyle w:val="TextoNormalNegritaCaracter"/>
        </w:rPr>
        <w:t>Capítulo III, sección 2.</w:t>
      </w:r>
      <w:r w:rsidRPr="00E27756">
        <w:rPr>
          <w:rStyle w:val="TextoNormalCaracter"/>
        </w:rPr>
        <w:t>-</w:t>
      </w:r>
      <w:r>
        <w:t xml:space="preserve"> Auto </w:t>
      </w:r>
      <w:hyperlink w:anchor="AUTO_2013_95" w:history="1">
        <w:r w:rsidRPr="00E27756">
          <w:rPr>
            <w:rStyle w:val="TextoNormalCaracter"/>
          </w:rPr>
          <w:t>95/2013</w:t>
        </w:r>
      </w:hyperlink>
      <w:r>
        <w:t>, f. 2.</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Auto </w:t>
      </w:r>
      <w:hyperlink w:anchor="AUTO_2013_95" w:history="1">
        <w:r w:rsidRPr="00E27756">
          <w:rPr>
            <w:rStyle w:val="TextoNormalCaracter"/>
          </w:rPr>
          <w:t>95/2013</w:t>
        </w:r>
      </w:hyperlink>
      <w:r>
        <w:t>, f. 1.</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88" w:history="1">
        <w:r w:rsidRPr="00E27756">
          <w:rPr>
            <w:rStyle w:val="TextoNormalCaracter"/>
          </w:rPr>
          <w:t>88/2013</w:t>
        </w:r>
      </w:hyperlink>
      <w:r>
        <w:t>, f. 4.</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88" w:history="1">
        <w:r w:rsidRPr="00E27756">
          <w:rPr>
            <w:rStyle w:val="TextoNormalCaracter"/>
          </w:rPr>
          <w:t>88/2013</w:t>
        </w:r>
      </w:hyperlink>
      <w:r>
        <w:t>, f. 4.</w:t>
      </w:r>
    </w:p>
    <w:p w:rsidR="00E27756" w:rsidRDefault="00E27756" w:rsidP="00E27756">
      <w:pPr>
        <w:pStyle w:val="SangriaFrancesaArticulo"/>
      </w:pPr>
      <w:r w:rsidRPr="00E27756">
        <w:rPr>
          <w:rStyle w:val="TextoNormalNegritaCaracter"/>
        </w:rPr>
        <w:t>Artículo 4.4.</w:t>
      </w:r>
      <w:r w:rsidRPr="00E27756">
        <w:rPr>
          <w:rStyle w:val="TextoNormalCaracter"/>
        </w:rPr>
        <w:t>-</w:t>
      </w:r>
      <w:r>
        <w:t xml:space="preserve"> Sentencia </w:t>
      </w:r>
      <w:hyperlink w:anchor="SENTENCIA_2013_88" w:history="1">
        <w:r w:rsidRPr="00E27756">
          <w:rPr>
            <w:rStyle w:val="TextoNormalCaracter"/>
          </w:rPr>
          <w:t>88/2013</w:t>
        </w:r>
      </w:hyperlink>
      <w:r>
        <w:t>, f. 4.</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Auto </w:t>
      </w:r>
      <w:hyperlink w:anchor="AUTO_2013_95" w:history="1">
        <w:r w:rsidRPr="00E27756">
          <w:rPr>
            <w:rStyle w:val="TextoNormalCaracter"/>
          </w:rPr>
          <w:t>95/2013</w:t>
        </w:r>
      </w:hyperlink>
      <w:r>
        <w:t>, f. 2.</w:t>
      </w:r>
    </w:p>
    <w:p w:rsidR="00E27756" w:rsidRDefault="00E27756" w:rsidP="00E27756">
      <w:pPr>
        <w:pStyle w:val="SangriaFrancesaArticulo"/>
      </w:pPr>
      <w:r w:rsidRPr="00E27756">
        <w:rPr>
          <w:rStyle w:val="TextoNormalNegritaCaracter"/>
        </w:rPr>
        <w:t>Artículo 8.1.</w:t>
      </w:r>
      <w:r w:rsidRPr="00E27756">
        <w:rPr>
          <w:rStyle w:val="TextoNormalCaracter"/>
        </w:rPr>
        <w:t>-</w:t>
      </w:r>
      <w:r>
        <w:t xml:space="preserve"> Sentencia </w:t>
      </w:r>
      <w:hyperlink w:anchor="SENTENCIA_2013_88" w:history="1">
        <w:r w:rsidRPr="00E27756">
          <w:rPr>
            <w:rStyle w:val="TextoNormalCaracter"/>
          </w:rPr>
          <w:t>88/2013</w:t>
        </w:r>
      </w:hyperlink>
      <w:r>
        <w:t>, f. 4.</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Autos </w:t>
      </w:r>
      <w:hyperlink w:anchor="AUTO_2013_46" w:history="1">
        <w:r w:rsidRPr="00E27756">
          <w:rPr>
            <w:rStyle w:val="TextoNormalCaracter"/>
          </w:rPr>
          <w:t>46/2013</w:t>
        </w:r>
      </w:hyperlink>
      <w:r>
        <w:t xml:space="preserve">, f. 3; </w:t>
      </w:r>
      <w:hyperlink w:anchor="AUTO_2013_95" w:history="1">
        <w:r w:rsidRPr="00E27756">
          <w:rPr>
            <w:rStyle w:val="TextoNormalCaracter"/>
          </w:rPr>
          <w:t>95/2013</w:t>
        </w:r>
      </w:hyperlink>
      <w:r>
        <w:t>, f. 2.</w:t>
      </w:r>
    </w:p>
    <w:p w:rsidR="00E27756" w:rsidRDefault="00E27756" w:rsidP="00E27756">
      <w:pPr>
        <w:pStyle w:val="SangriaFrancesaArticulo"/>
      </w:pPr>
      <w:r w:rsidRPr="00E27756">
        <w:rPr>
          <w:rStyle w:val="TextoNormalNegritaCaracter"/>
        </w:rPr>
        <w:lastRenderedPageBreak/>
        <w:t>Artículo 10.</w:t>
      </w:r>
      <w:r w:rsidRPr="00E27756">
        <w:rPr>
          <w:rStyle w:val="TextoNormalCaracter"/>
        </w:rPr>
        <w:t>-</w:t>
      </w:r>
      <w:r>
        <w:t xml:space="preserve"> Autos </w:t>
      </w:r>
      <w:hyperlink w:anchor="AUTO_2013_46" w:history="1">
        <w:r w:rsidRPr="00E27756">
          <w:rPr>
            <w:rStyle w:val="TextoNormalCaracter"/>
          </w:rPr>
          <w:t>46/2013</w:t>
        </w:r>
      </w:hyperlink>
      <w:r>
        <w:t xml:space="preserve">, f. 3; </w:t>
      </w:r>
      <w:hyperlink w:anchor="AUTO_2013_95" w:history="1">
        <w:r w:rsidRPr="00E27756">
          <w:rPr>
            <w:rStyle w:val="TextoNormalCaracter"/>
          </w:rPr>
          <w:t>95/2013</w:t>
        </w:r>
      </w:hyperlink>
      <w:r>
        <w:t>, f. 2.</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Sentencia </w:t>
      </w:r>
      <w:hyperlink w:anchor="SENTENCIA_2013_88" w:history="1">
        <w:r w:rsidRPr="00E27756">
          <w:rPr>
            <w:rStyle w:val="TextoNormalCaracter"/>
          </w:rPr>
          <w:t>88/2013</w:t>
        </w:r>
      </w:hyperlink>
      <w:r>
        <w:t>, f. 4.</w:t>
      </w:r>
    </w:p>
    <w:p w:rsidR="00E27756" w:rsidRDefault="00E27756" w:rsidP="00E27756">
      <w:pPr>
        <w:pStyle w:val="SangriaFrancesaArticulo"/>
      </w:pPr>
      <w:r w:rsidRPr="00E27756">
        <w:rPr>
          <w:rStyle w:val="TextoNormalNegritaCaracter"/>
        </w:rPr>
        <w:t>Disposición adicional segunda.</w:t>
      </w:r>
      <w:r w:rsidRPr="00E27756">
        <w:rPr>
          <w:rStyle w:val="TextoNormalCaracter"/>
        </w:rPr>
        <w:t>-</w:t>
      </w:r>
      <w:r>
        <w:t xml:space="preserve"> Sentencia </w:t>
      </w:r>
      <w:hyperlink w:anchor="SENTENCIA_2013_88" w:history="1">
        <w:r w:rsidRPr="00E27756">
          <w:rPr>
            <w:rStyle w:val="TextoNormalCaracter"/>
          </w:rPr>
          <w:t>88/2013</w:t>
        </w:r>
      </w:hyperlink>
      <w:r>
        <w:t>, f. 4.</w:t>
      </w:r>
    </w:p>
    <w:p w:rsidR="00E27756" w:rsidRDefault="00E27756" w:rsidP="00E27756">
      <w:pPr>
        <w:pStyle w:val="SangriaFrancesaArticulo"/>
      </w:pPr>
      <w:r w:rsidRPr="00E27756">
        <w:rPr>
          <w:rStyle w:val="TextoNormalNegritaCaracter"/>
        </w:rPr>
        <w:t>Disposición adicional tercera.</w:t>
      </w:r>
      <w:r w:rsidRPr="00E27756">
        <w:rPr>
          <w:rStyle w:val="TextoNormalCaracter"/>
        </w:rPr>
        <w:t>-</w:t>
      </w:r>
      <w:r>
        <w:t xml:space="preserve"> Sentencia </w:t>
      </w:r>
      <w:hyperlink w:anchor="SENTENCIA_2013_88" w:history="1">
        <w:r w:rsidRPr="00E27756">
          <w:rPr>
            <w:rStyle w:val="TextoNormalCaracter"/>
          </w:rPr>
          <w:t>88/2013</w:t>
        </w:r>
      </w:hyperlink>
      <w:r>
        <w:t>, f. 4.</w:t>
      </w:r>
    </w:p>
    <w:p w:rsidR="00E27756" w:rsidRDefault="00E27756" w:rsidP="00E27756">
      <w:pPr>
        <w:pStyle w:val="SangriaFrancesaArticulo"/>
      </w:pPr>
    </w:p>
    <w:p w:rsidR="00E27756" w:rsidRDefault="00E27756" w:rsidP="00E27756">
      <w:pPr>
        <w:pStyle w:val="TextoNormalNegritaCursivandice"/>
      </w:pPr>
      <w:r>
        <w:t>Ley Orgánica 7/1999, de 21 de abril. Modificación de la Ley Orgánica 2/1979, de 3 de octubre, del Tribunal Constitucional</w:t>
      </w:r>
    </w:p>
    <w:p w:rsidR="00E27756" w:rsidRDefault="00E27756" w:rsidP="00E27756">
      <w:pPr>
        <w:pStyle w:val="SangriaFrancesaArticulo"/>
      </w:pPr>
      <w:r w:rsidRPr="00E27756">
        <w:rPr>
          <w:rStyle w:val="TextoNormalNegritaCaracter"/>
        </w:rPr>
        <w:t>Artículo 86.1.</w:t>
      </w:r>
      <w:r w:rsidRPr="00E27756">
        <w:rPr>
          <w:rStyle w:val="TextoNormalCaracter"/>
        </w:rPr>
        <w:t>-</w:t>
      </w:r>
      <w:r>
        <w:t xml:space="preserve"> Auto </w:t>
      </w:r>
      <w:hyperlink w:anchor="AUTO_2013_23" w:history="1">
        <w:r w:rsidRPr="00E27756">
          <w:rPr>
            <w:rStyle w:val="TextoNormalCaracter"/>
          </w:rPr>
          <w:t>23/2013</w:t>
        </w:r>
      </w:hyperlink>
      <w:r>
        <w:t>, f. 4.</w:t>
      </w:r>
    </w:p>
    <w:p w:rsidR="00E27756" w:rsidRDefault="00E27756" w:rsidP="00E27756">
      <w:pPr>
        <w:pStyle w:val="SangriaFrancesaArticulo"/>
      </w:pPr>
    </w:p>
    <w:p w:rsidR="00E27756" w:rsidRDefault="00E27756" w:rsidP="00E27756">
      <w:pPr>
        <w:pStyle w:val="TextoNormalNegritaCursivandice"/>
      </w:pPr>
      <w:r>
        <w:t>Ley Orgánica 6/2007, de 24 de mayo. Modificación de la Ley Orgánica 2/1979, de 3 de octubre, del Tribunal Constitucional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 w:history="1">
        <w:r w:rsidRPr="00E27756">
          <w:rPr>
            <w:rStyle w:val="TextoNormalCaracter"/>
          </w:rPr>
          <w:t>1/2013</w:t>
        </w:r>
      </w:hyperlink>
      <w:r>
        <w:t xml:space="preserve">, ff. 1, 2, 3; </w:t>
      </w:r>
      <w:hyperlink w:anchor="SENTENCIA_2013_2" w:history="1">
        <w:r w:rsidRPr="00E27756">
          <w:rPr>
            <w:rStyle w:val="TextoNormalCaracter"/>
          </w:rPr>
          <w:t>2/2013</w:t>
        </w:r>
      </w:hyperlink>
      <w:r>
        <w:t xml:space="preserve">, ff. 3, 4; </w:t>
      </w:r>
      <w:hyperlink w:anchor="SENTENCIA_2013_11" w:history="1">
        <w:r w:rsidRPr="00E27756">
          <w:rPr>
            <w:rStyle w:val="TextoNormalCaracter"/>
          </w:rPr>
          <w:t>11/2013</w:t>
        </w:r>
      </w:hyperlink>
      <w:r>
        <w:t xml:space="preserve">, ff. 1, 2; </w:t>
      </w:r>
      <w:hyperlink w:anchor="SENTENCIA_2013_56" w:history="1">
        <w:r w:rsidRPr="00E27756">
          <w:rPr>
            <w:rStyle w:val="TextoNormalCaracter"/>
          </w:rPr>
          <w:t>56/2013</w:t>
        </w:r>
      </w:hyperlink>
      <w:r>
        <w:t xml:space="preserve">, f. 1; </w:t>
      </w:r>
      <w:hyperlink w:anchor="SENTENCIA_2013_74" w:history="1">
        <w:r w:rsidRPr="00E27756">
          <w:rPr>
            <w:rStyle w:val="TextoNormalCaracter"/>
          </w:rPr>
          <w:t>74/2013</w:t>
        </w:r>
      </w:hyperlink>
      <w:r>
        <w:t xml:space="preserve">, f. 1; </w:t>
      </w:r>
      <w:hyperlink w:anchor="SENTENCIA_2013_75" w:history="1">
        <w:r w:rsidRPr="00E27756">
          <w:rPr>
            <w:rStyle w:val="TextoNormalCaracter"/>
          </w:rPr>
          <w:t>75/2013</w:t>
        </w:r>
      </w:hyperlink>
      <w:r>
        <w:t xml:space="preserve">, f. 2; </w:t>
      </w:r>
      <w:hyperlink w:anchor="SENTENCIA_2013_88" w:history="1">
        <w:r w:rsidRPr="00E27756">
          <w:rPr>
            <w:rStyle w:val="TextoNormalCaracter"/>
          </w:rPr>
          <w:t>88/2013</w:t>
        </w:r>
      </w:hyperlink>
      <w:r>
        <w:t xml:space="preserve">, f. 3, VP; </w:t>
      </w:r>
      <w:hyperlink w:anchor="SENTENCIA_2013_116" w:history="1">
        <w:r w:rsidRPr="00E27756">
          <w:rPr>
            <w:rStyle w:val="TextoNormalCaracter"/>
          </w:rPr>
          <w:t>116/2013</w:t>
        </w:r>
      </w:hyperlink>
      <w:r>
        <w:t xml:space="preserve">, ff. 1, 3; </w:t>
      </w:r>
      <w:hyperlink w:anchor="SENTENCIA_2013_126" w:history="1">
        <w:r w:rsidRPr="00E27756">
          <w:rPr>
            <w:rStyle w:val="TextoNormalCaracter"/>
          </w:rPr>
          <w:t>126/2013</w:t>
        </w:r>
      </w:hyperlink>
      <w:r>
        <w:t xml:space="preserve">, ff. 2, 5; </w:t>
      </w:r>
      <w:hyperlink w:anchor="SENTENCIA_2013_133" w:history="1">
        <w:r w:rsidRPr="00E27756">
          <w:rPr>
            <w:rStyle w:val="TextoNormalCaracter"/>
          </w:rPr>
          <w:t>133/2013</w:t>
        </w:r>
      </w:hyperlink>
      <w:r>
        <w:t>, f. 6.</w:t>
      </w:r>
    </w:p>
    <w:p w:rsidR="00E27756" w:rsidRDefault="00E27756" w:rsidP="00E27756">
      <w:pPr>
        <w:pStyle w:val="SangriaIzquierdaArticulo"/>
      </w:pPr>
      <w:r>
        <w:t xml:space="preserve">Autos </w:t>
      </w:r>
      <w:hyperlink w:anchor="AUTO_2013_28" w:history="1">
        <w:r w:rsidRPr="00E27756">
          <w:rPr>
            <w:rStyle w:val="TextoNormalCaracter"/>
          </w:rPr>
          <w:t>28/2013</w:t>
        </w:r>
      </w:hyperlink>
      <w:r>
        <w:t xml:space="preserve">, f. 2; </w:t>
      </w:r>
      <w:hyperlink w:anchor="AUTO_2013_40" w:history="1">
        <w:r w:rsidRPr="00E27756">
          <w:rPr>
            <w:rStyle w:val="TextoNormalCaracter"/>
          </w:rPr>
          <w:t>40/2013</w:t>
        </w:r>
      </w:hyperlink>
      <w:r>
        <w:t xml:space="preserve">, f. 1; </w:t>
      </w:r>
      <w:hyperlink w:anchor="AUTO_2013_89" w:history="1">
        <w:r w:rsidRPr="00E27756">
          <w:rPr>
            <w:rStyle w:val="TextoNormalCaracter"/>
          </w:rPr>
          <w:t>89/2013</w:t>
        </w:r>
      </w:hyperlink>
      <w:r>
        <w:t>, ff. 2, 3.</w:t>
      </w:r>
    </w:p>
    <w:p w:rsidR="00E27756" w:rsidRDefault="00E27756" w:rsidP="00E27756">
      <w:pPr>
        <w:pStyle w:val="SangriaFrancesaArticulo"/>
      </w:pPr>
      <w:r w:rsidRPr="00E27756">
        <w:rPr>
          <w:rStyle w:val="TextoNormalNegritaCaracter"/>
        </w:rPr>
        <w:t>Disposición transitoria tercera.</w:t>
      </w:r>
      <w:r w:rsidRPr="00E27756">
        <w:rPr>
          <w:rStyle w:val="TextoNormalCaracter"/>
        </w:rPr>
        <w:t>-</w:t>
      </w:r>
      <w:r>
        <w:t xml:space="preserve"> Sentencia </w:t>
      </w:r>
      <w:hyperlink w:anchor="SENTENCIA_2013_133" w:history="1">
        <w:r w:rsidRPr="00E27756">
          <w:rPr>
            <w:rStyle w:val="TextoNormalCaracter"/>
          </w:rPr>
          <w:t>133/2013</w:t>
        </w:r>
      </w:hyperlink>
      <w:r>
        <w:t>, f. 3.</w:t>
      </w:r>
    </w:p>
    <w:p w:rsidR="00E27756" w:rsidRDefault="00E27756" w:rsidP="00E27756">
      <w:pPr>
        <w:pStyle w:val="SangriaFrancesaArticulo"/>
      </w:pPr>
      <w:r w:rsidRPr="00E27756">
        <w:rPr>
          <w:rStyle w:val="TextoNormalNegritaCaracter"/>
        </w:rPr>
        <w:t>Disposición transitoria cuarta.</w:t>
      </w:r>
      <w:r w:rsidRPr="00E27756">
        <w:rPr>
          <w:rStyle w:val="TextoNormalCaracter"/>
        </w:rPr>
        <w:t>-</w:t>
      </w:r>
      <w:r>
        <w:t xml:space="preserve"> Auto </w:t>
      </w:r>
      <w:hyperlink w:anchor="AUTO_2013_8" w:history="1">
        <w:r w:rsidRPr="00E27756">
          <w:rPr>
            <w:rStyle w:val="TextoNormalCaracter"/>
          </w:rPr>
          <w:t>8/2013</w:t>
        </w:r>
      </w:hyperlink>
      <w:r>
        <w:t>, f. único.</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56" w:history="1">
        <w:r w:rsidRPr="00E27756">
          <w:rPr>
            <w:rStyle w:val="TextoNormalCaracter"/>
          </w:rPr>
          <w:t>56/2013</w:t>
        </w:r>
      </w:hyperlink>
      <w:r>
        <w:t>, ff. 1, 4.</w:t>
      </w:r>
    </w:p>
    <w:p w:rsidR="00E27756" w:rsidRDefault="00E27756" w:rsidP="00E27756">
      <w:pPr>
        <w:pStyle w:val="TextoNormal"/>
      </w:pPr>
    </w:p>
    <w:p w:rsidR="00E27756" w:rsidRDefault="00E27756" w:rsidP="00E27756">
      <w:pPr>
        <w:pStyle w:val="SangriaFrancesaArticulo"/>
      </w:pPr>
      <w:bookmarkStart w:id="296" w:name="INDICE22844"/>
    </w:p>
    <w:bookmarkEnd w:id="296"/>
    <w:p w:rsidR="00E27756" w:rsidRDefault="00E27756" w:rsidP="00E27756">
      <w:pPr>
        <w:pStyle w:val="TextoIndiceNivel2"/>
        <w:suppressAutoHyphens/>
      </w:pPr>
      <w:r>
        <w:t>C) Cortes Generales</w:t>
      </w:r>
    </w:p>
    <w:p w:rsidR="00E27756" w:rsidRDefault="00E27756" w:rsidP="00E27756">
      <w:pPr>
        <w:pStyle w:val="TextoIndiceNivel2"/>
      </w:pPr>
    </w:p>
    <w:p w:rsidR="00E27756" w:rsidRDefault="00E27756" w:rsidP="00E27756">
      <w:pPr>
        <w:pStyle w:val="TextoNormalNegritaCursivandice"/>
      </w:pPr>
      <w:r>
        <w:t>Reglamento del Congreso de los Diputados, de 10 de febrero de 1982</w:t>
      </w:r>
    </w:p>
    <w:p w:rsidR="00E27756" w:rsidRDefault="00E27756" w:rsidP="00E27756">
      <w:pPr>
        <w:pStyle w:val="SangriaFrancesaArticulo"/>
      </w:pPr>
      <w:r w:rsidRPr="00E27756">
        <w:rPr>
          <w:rStyle w:val="TextoNormalNegritaCaracter"/>
        </w:rPr>
        <w:t>Artículo 43.</w:t>
      </w:r>
      <w:r w:rsidRPr="00E27756">
        <w:rPr>
          <w:rStyle w:val="TextoNormalCaracter"/>
        </w:rPr>
        <w:t>-</w:t>
      </w:r>
      <w:r>
        <w:t xml:space="preserve"> Sentencia </w:t>
      </w:r>
      <w:hyperlink w:anchor="SENTENCIA_2013_36" w:history="1">
        <w:r w:rsidRPr="00E27756">
          <w:rPr>
            <w:rStyle w:val="TextoNormalCaracter"/>
          </w:rPr>
          <w:t>36/2013</w:t>
        </w:r>
      </w:hyperlink>
      <w:r>
        <w:t>, f. 3.</w:t>
      </w:r>
    </w:p>
    <w:p w:rsidR="00E27756" w:rsidRDefault="00E27756" w:rsidP="00E27756">
      <w:pPr>
        <w:pStyle w:val="SangriaFrancesaArticulo"/>
      </w:pPr>
      <w:r w:rsidRPr="00E27756">
        <w:rPr>
          <w:rStyle w:val="TextoNormalNegritaCaracter"/>
        </w:rPr>
        <w:t>Artículo 43.1.</w:t>
      </w:r>
      <w:r w:rsidRPr="00E27756">
        <w:rPr>
          <w:rStyle w:val="TextoNormalCaracter"/>
        </w:rPr>
        <w:t>-</w:t>
      </w:r>
      <w:r>
        <w:t xml:space="preserve"> Sentencias </w:t>
      </w:r>
      <w:hyperlink w:anchor="SENTENCIA_2013_36" w:history="1">
        <w:r w:rsidRPr="00E27756">
          <w:rPr>
            <w:rStyle w:val="TextoNormalCaracter"/>
          </w:rPr>
          <w:t>36/2013</w:t>
        </w:r>
      </w:hyperlink>
      <w:r>
        <w:t xml:space="preserve">, f. 3; </w:t>
      </w:r>
      <w:hyperlink w:anchor="SENTENCIA_2013_111" w:history="1">
        <w:r w:rsidRPr="00E27756">
          <w:rPr>
            <w:rStyle w:val="TextoNormalCaracter"/>
          </w:rPr>
          <w:t>111/2013</w:t>
        </w:r>
      </w:hyperlink>
      <w:r>
        <w:t>, f. 5.</w:t>
      </w:r>
    </w:p>
    <w:p w:rsidR="00E27756" w:rsidRDefault="00E27756" w:rsidP="00E27756">
      <w:pPr>
        <w:pStyle w:val="SangriaFrancesaArticulo"/>
      </w:pPr>
      <w:r w:rsidRPr="00E27756">
        <w:rPr>
          <w:rStyle w:val="TextoNormalNegritaCaracter"/>
        </w:rPr>
        <w:t>Artículo 43.2.</w:t>
      </w:r>
      <w:r w:rsidRPr="00E27756">
        <w:rPr>
          <w:rStyle w:val="TextoNormalCaracter"/>
        </w:rPr>
        <w:t>-</w:t>
      </w:r>
      <w:r>
        <w:t xml:space="preserve"> Sentencia </w:t>
      </w:r>
      <w:hyperlink w:anchor="SENTENCIA_2013_36" w:history="1">
        <w:r w:rsidRPr="00E27756">
          <w:rPr>
            <w:rStyle w:val="TextoNormalCaracter"/>
          </w:rPr>
          <w:t>36/2013</w:t>
        </w:r>
      </w:hyperlink>
      <w:r>
        <w:t>, f. 3.</w:t>
      </w:r>
    </w:p>
    <w:p w:rsidR="00E27756" w:rsidRDefault="00E27756" w:rsidP="00E27756">
      <w:pPr>
        <w:pStyle w:val="SangriaFrancesaArticulo"/>
      </w:pPr>
      <w:r w:rsidRPr="00E27756">
        <w:rPr>
          <w:rStyle w:val="TextoNormalNegritaCaracter"/>
        </w:rPr>
        <w:t>Artículo 109.</w:t>
      </w:r>
      <w:r w:rsidRPr="00E27756">
        <w:rPr>
          <w:rStyle w:val="TextoNormalCaracter"/>
        </w:rPr>
        <w:t>-</w:t>
      </w:r>
      <w:r>
        <w:t xml:space="preserve"> Sentencias </w:t>
      </w:r>
      <w:hyperlink w:anchor="SENTENCIA_2013_36" w:history="1">
        <w:r w:rsidRPr="00E27756">
          <w:rPr>
            <w:rStyle w:val="TextoNormalCaracter"/>
          </w:rPr>
          <w:t>36/2013</w:t>
        </w:r>
      </w:hyperlink>
      <w:r>
        <w:t xml:space="preserve">, f. 3; </w:t>
      </w:r>
      <w:hyperlink w:anchor="SENTENCIA_2013_111" w:history="1">
        <w:r w:rsidRPr="00E27756">
          <w:rPr>
            <w:rStyle w:val="TextoNormalCaracter"/>
          </w:rPr>
          <w:t>111/2013</w:t>
        </w:r>
      </w:hyperlink>
      <w:r>
        <w:t xml:space="preserve">, f. 5; </w:t>
      </w:r>
      <w:hyperlink w:anchor="SENTENCIA_2013_132" w:history="1">
        <w:r w:rsidRPr="00E27756">
          <w:rPr>
            <w:rStyle w:val="TextoNormalCaracter"/>
          </w:rPr>
          <w:t>132/2013</w:t>
        </w:r>
      </w:hyperlink>
      <w:r>
        <w:t>, f. 3.</w:t>
      </w:r>
    </w:p>
    <w:p w:rsidR="00E27756" w:rsidRDefault="00E27756" w:rsidP="00E27756">
      <w:pPr>
        <w:pStyle w:val="SangriaFrancesaArticulo"/>
      </w:pPr>
    </w:p>
    <w:p w:rsidR="00E27756" w:rsidRDefault="00E27756" w:rsidP="00E27756">
      <w:pPr>
        <w:pStyle w:val="TextoNormalNegritaCursivandice"/>
      </w:pPr>
      <w:r>
        <w:t>Reglamento del Senado, de 26 de mayo de 1982</w:t>
      </w:r>
    </w:p>
    <w:p w:rsidR="00E27756" w:rsidRDefault="00E27756" w:rsidP="00E27756">
      <w:pPr>
        <w:pStyle w:val="SangriaFrancesaArticulo"/>
      </w:pPr>
      <w:r w:rsidRPr="00E27756">
        <w:rPr>
          <w:rStyle w:val="TextoNormalNegritaCaracter"/>
        </w:rPr>
        <w:t>Artículo 54.</w:t>
      </w:r>
      <w:r w:rsidRPr="00E27756">
        <w:rPr>
          <w:rStyle w:val="TextoNormalCaracter"/>
        </w:rPr>
        <w:t>-</w:t>
      </w:r>
      <w:r>
        <w:t xml:space="preserve"> Sentencia </w:t>
      </w:r>
      <w:hyperlink w:anchor="SENTENCIA_2013_36" w:history="1">
        <w:r w:rsidRPr="00E27756">
          <w:rPr>
            <w:rStyle w:val="TextoNormalCaracter"/>
          </w:rPr>
          <w:t>36/2013</w:t>
        </w:r>
      </w:hyperlink>
      <w:r>
        <w:t>, f. 3.</w:t>
      </w:r>
    </w:p>
    <w:p w:rsidR="00E27756" w:rsidRDefault="00E27756" w:rsidP="00E27756">
      <w:pPr>
        <w:pStyle w:val="SangriaFrancesaArticulo"/>
      </w:pPr>
      <w:r w:rsidRPr="00E27756">
        <w:rPr>
          <w:rStyle w:val="TextoNormalNegritaCaracter"/>
        </w:rPr>
        <w:t>Artículo 104.2.</w:t>
      </w:r>
      <w:r w:rsidRPr="00E27756">
        <w:rPr>
          <w:rStyle w:val="TextoNormalCaracter"/>
        </w:rPr>
        <w:t>-</w:t>
      </w:r>
      <w:r>
        <w:t xml:space="preserve"> Sentencia </w:t>
      </w:r>
      <w:hyperlink w:anchor="SENTENCIA_2013_36" w:history="1">
        <w:r w:rsidRPr="00E27756">
          <w:rPr>
            <w:rStyle w:val="TextoNormalCaracter"/>
          </w:rPr>
          <w:t>36/2013</w:t>
        </w:r>
      </w:hyperlink>
      <w:r>
        <w:t>, f. 3.</w:t>
      </w:r>
    </w:p>
    <w:p w:rsidR="00E27756" w:rsidRDefault="00E27756" w:rsidP="00E27756">
      <w:pPr>
        <w:pStyle w:val="SangriaFrancesaArticulo"/>
      </w:pPr>
    </w:p>
    <w:p w:rsidR="00E27756" w:rsidRDefault="00E27756" w:rsidP="00E27756">
      <w:pPr>
        <w:pStyle w:val="TextoNormalNegritaCursivandice"/>
      </w:pPr>
      <w:r>
        <w:t>Reglamento del Senado de 3 de mayo de 1994. Texto refundido</w:t>
      </w:r>
    </w:p>
    <w:p w:rsidR="00E27756" w:rsidRDefault="00E27756" w:rsidP="00E27756">
      <w:pPr>
        <w:pStyle w:val="SangriaFrancesaArticulo"/>
      </w:pPr>
      <w:r w:rsidRPr="00E27756">
        <w:rPr>
          <w:rStyle w:val="TextoNormalNegritaCaracter"/>
        </w:rPr>
        <w:t>Artículo 54.</w:t>
      </w:r>
      <w:r w:rsidRPr="00E27756">
        <w:rPr>
          <w:rStyle w:val="TextoNormalCaracter"/>
        </w:rPr>
        <w:t>-</w:t>
      </w:r>
      <w:r>
        <w:t xml:space="preserve"> Sentencia </w:t>
      </w:r>
      <w:hyperlink w:anchor="SENTENCIA_2013_111" w:history="1">
        <w:r w:rsidRPr="00E27756">
          <w:rPr>
            <w:rStyle w:val="TextoNormalCaracter"/>
          </w:rPr>
          <w:t>111/2013</w:t>
        </w:r>
      </w:hyperlink>
      <w:r>
        <w:t>, f. 5.</w:t>
      </w:r>
    </w:p>
    <w:p w:rsidR="00E27756" w:rsidRDefault="00E27756" w:rsidP="00E27756">
      <w:pPr>
        <w:pStyle w:val="SangriaFrancesaArticulo"/>
      </w:pPr>
      <w:r w:rsidRPr="00E27756">
        <w:rPr>
          <w:rStyle w:val="TextoNormalNegritaCaracter"/>
        </w:rPr>
        <w:t>Artículo 104.2.</w:t>
      </w:r>
      <w:r w:rsidRPr="00E27756">
        <w:rPr>
          <w:rStyle w:val="TextoNormalCaracter"/>
        </w:rPr>
        <w:t>-</w:t>
      </w:r>
      <w:r>
        <w:t xml:space="preserve"> Sentencia </w:t>
      </w:r>
      <w:hyperlink w:anchor="SENTENCIA_2013_111" w:history="1">
        <w:r w:rsidRPr="00E27756">
          <w:rPr>
            <w:rStyle w:val="TextoNormalCaracter"/>
          </w:rPr>
          <w:t>111/2013</w:t>
        </w:r>
      </w:hyperlink>
      <w:r>
        <w:t>, f. 5.</w:t>
      </w:r>
    </w:p>
    <w:p w:rsidR="00E27756" w:rsidRDefault="00E27756" w:rsidP="00E27756">
      <w:pPr>
        <w:pStyle w:val="TextoNormal"/>
      </w:pPr>
    </w:p>
    <w:p w:rsidR="00E27756" w:rsidRDefault="00E27756" w:rsidP="00E27756">
      <w:pPr>
        <w:pStyle w:val="SangriaFrancesaArticulo"/>
      </w:pPr>
      <w:bookmarkStart w:id="297" w:name="INDICE22845"/>
    </w:p>
    <w:bookmarkEnd w:id="297"/>
    <w:p w:rsidR="00E27756" w:rsidRDefault="00E27756" w:rsidP="00E27756">
      <w:pPr>
        <w:pStyle w:val="TextoIndiceNivel2"/>
        <w:suppressAutoHyphens/>
      </w:pPr>
      <w:r>
        <w:t>D) Leyes Orgánicas</w:t>
      </w:r>
    </w:p>
    <w:p w:rsidR="00E27756" w:rsidRDefault="00E27756" w:rsidP="00E27756">
      <w:pPr>
        <w:pStyle w:val="TextoIndiceNivel2"/>
      </w:pPr>
    </w:p>
    <w:p w:rsidR="00E27756" w:rsidRDefault="00E27756" w:rsidP="00E27756">
      <w:pPr>
        <w:pStyle w:val="TextoNormalNegritaCursivandice"/>
      </w:pPr>
      <w:r>
        <w:t>Ley Orgánica 1/1979, de 26 de septiembre. General penitenciaria</w:t>
      </w:r>
    </w:p>
    <w:p w:rsidR="00E27756" w:rsidRDefault="00E27756" w:rsidP="00E27756">
      <w:pPr>
        <w:pStyle w:val="SangriaFrancesaArticulo"/>
      </w:pPr>
      <w:r w:rsidRPr="00E27756">
        <w:rPr>
          <w:rStyle w:val="TextoNormalNegritaCaracter"/>
        </w:rPr>
        <w:t>Artículo 51.</w:t>
      </w:r>
      <w:r w:rsidRPr="00E27756">
        <w:rPr>
          <w:rStyle w:val="TextoNormalCaracter"/>
        </w:rPr>
        <w:t>-</w:t>
      </w:r>
      <w:r>
        <w:t xml:space="preserve"> Sentencia </w:t>
      </w:r>
      <w:hyperlink w:anchor="SENTENCIA_2013_128" w:history="1">
        <w:r w:rsidRPr="00E27756">
          <w:rPr>
            <w:rStyle w:val="TextoNormalCaracter"/>
          </w:rPr>
          <w:t>128/2013</w:t>
        </w:r>
      </w:hyperlink>
      <w:r>
        <w:t>, f. 4.</w:t>
      </w:r>
    </w:p>
    <w:p w:rsidR="00E27756" w:rsidRDefault="00E27756" w:rsidP="00E27756">
      <w:pPr>
        <w:pStyle w:val="SangriaFrancesaArticulo"/>
      </w:pPr>
      <w:r w:rsidRPr="00E27756">
        <w:rPr>
          <w:rStyle w:val="TextoNormalNegritaCaracter"/>
        </w:rPr>
        <w:t>Artículo 51.1.</w:t>
      </w:r>
      <w:r w:rsidRPr="00E27756">
        <w:rPr>
          <w:rStyle w:val="TextoNormalCaracter"/>
        </w:rPr>
        <w:t>-</w:t>
      </w:r>
      <w:r>
        <w:t xml:space="preserve"> Sentencia </w:t>
      </w:r>
      <w:hyperlink w:anchor="SENTENCIA_2013_128" w:history="1">
        <w:r w:rsidRPr="00E27756">
          <w:rPr>
            <w:rStyle w:val="TextoNormalCaracter"/>
          </w:rPr>
          <w:t>128/2013</w:t>
        </w:r>
      </w:hyperlink>
      <w:r>
        <w:t>, ff. 3, 5.</w:t>
      </w:r>
    </w:p>
    <w:p w:rsidR="00E27756" w:rsidRDefault="00E27756" w:rsidP="00E27756">
      <w:pPr>
        <w:pStyle w:val="SangriaFrancesaArticulo"/>
      </w:pPr>
      <w:r w:rsidRPr="00E27756">
        <w:rPr>
          <w:rStyle w:val="TextoNormalNegritaCaracter"/>
        </w:rPr>
        <w:t>Artículo 51.2.</w:t>
      </w:r>
      <w:r w:rsidRPr="00E27756">
        <w:rPr>
          <w:rStyle w:val="TextoNormalCaracter"/>
        </w:rPr>
        <w:t>-</w:t>
      </w:r>
      <w:r>
        <w:t xml:space="preserve"> Sentencia </w:t>
      </w:r>
      <w:hyperlink w:anchor="SENTENCIA_2013_128" w:history="1">
        <w:r w:rsidRPr="00E27756">
          <w:rPr>
            <w:rStyle w:val="TextoNormalCaracter"/>
          </w:rPr>
          <w:t>128/2013</w:t>
        </w:r>
      </w:hyperlink>
      <w:r>
        <w:t>, f. 3.</w:t>
      </w:r>
    </w:p>
    <w:p w:rsidR="00E27756" w:rsidRDefault="00E27756" w:rsidP="00E27756">
      <w:pPr>
        <w:pStyle w:val="SangriaFrancesaArticulo"/>
      </w:pPr>
    </w:p>
    <w:p w:rsidR="00E27756" w:rsidRDefault="00E27756" w:rsidP="00E27756">
      <w:pPr>
        <w:pStyle w:val="TextoNormalNegritaCursivandice"/>
      </w:pPr>
      <w:r>
        <w:t>Ley Orgánica 3/1980, de 22 de abril. Consejo de Estado</w:t>
      </w:r>
    </w:p>
    <w:p w:rsidR="00E27756" w:rsidRDefault="00E27756" w:rsidP="00E27756">
      <w:pPr>
        <w:pStyle w:val="SangriaFrancesaArticulo"/>
      </w:pPr>
      <w:r w:rsidRPr="00E27756">
        <w:rPr>
          <w:rStyle w:val="TextoNormalNegritaCaracter"/>
        </w:rPr>
        <w:lastRenderedPageBreak/>
        <w:t>En general.</w:t>
      </w:r>
      <w:r w:rsidRPr="00E27756">
        <w:rPr>
          <w:rStyle w:val="TextoNormalCaracter"/>
        </w:rPr>
        <w:t>-</w:t>
      </w:r>
      <w:r>
        <w:t xml:space="preserve"> Sentencia </w:t>
      </w:r>
      <w:hyperlink w:anchor="SENTENCIA_2013_36" w:history="1">
        <w:r w:rsidRPr="00E27756">
          <w:rPr>
            <w:rStyle w:val="TextoNormalCaracter"/>
          </w:rPr>
          <w:t>36/2013</w:t>
        </w:r>
      </w:hyperlink>
      <w:r>
        <w:t>, f. 4.</w:t>
      </w:r>
    </w:p>
    <w:p w:rsidR="00E27756" w:rsidRDefault="00E27756" w:rsidP="00E27756">
      <w:pPr>
        <w:pStyle w:val="SangriaFrancesaArticulo"/>
      </w:pPr>
      <w:r w:rsidRPr="00E27756">
        <w:rPr>
          <w:rStyle w:val="TextoNormalNegritaCaracter"/>
        </w:rPr>
        <w:t>Artículo 21.2.</w:t>
      </w:r>
      <w:r w:rsidRPr="00E27756">
        <w:rPr>
          <w:rStyle w:val="TextoNormalCaracter"/>
        </w:rPr>
        <w:t>-</w:t>
      </w:r>
      <w:r>
        <w:t xml:space="preserve"> Sentencia </w:t>
      </w:r>
      <w:hyperlink w:anchor="SENTENCIA_2013_36" w:history="1">
        <w:r w:rsidRPr="00E27756">
          <w:rPr>
            <w:rStyle w:val="TextoNormalCaracter"/>
          </w:rPr>
          <w:t>36/2013</w:t>
        </w:r>
      </w:hyperlink>
      <w:r>
        <w:t>, f. 4.</w:t>
      </w:r>
    </w:p>
    <w:p w:rsidR="00E27756" w:rsidRDefault="00E27756" w:rsidP="00E27756">
      <w:pPr>
        <w:pStyle w:val="SangriaFrancesaArticulo"/>
      </w:pPr>
    </w:p>
    <w:p w:rsidR="00E27756" w:rsidRDefault="00E27756" w:rsidP="00E27756">
      <w:pPr>
        <w:pStyle w:val="TextoNormalNegritaCursivandice"/>
      </w:pPr>
      <w:r>
        <w:t>Ley Orgánica 8/1980, de 22 de septiembre. Financiación de las Comunidades Autónomas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60" w:history="1">
        <w:r w:rsidRPr="00E27756">
          <w:rPr>
            <w:rStyle w:val="TextoNormalCaracter"/>
          </w:rPr>
          <w:t>60/2013</w:t>
        </w:r>
      </w:hyperlink>
      <w:r>
        <w:t xml:space="preserve">, f. 1; </w:t>
      </w:r>
      <w:hyperlink w:anchor="SENTENCIA_2013_85" w:history="1">
        <w:r w:rsidRPr="00E27756">
          <w:rPr>
            <w:rStyle w:val="TextoNormalCaracter"/>
          </w:rPr>
          <w:t>85/2013</w:t>
        </w:r>
      </w:hyperlink>
      <w:r>
        <w:t xml:space="preserve">, ff. 3, 5; </w:t>
      </w:r>
      <w:hyperlink w:anchor="SENTENCIA_2013_96" w:history="1">
        <w:r w:rsidRPr="00E27756">
          <w:rPr>
            <w:rStyle w:val="TextoNormalCaracter"/>
          </w:rPr>
          <w:t>96/2013</w:t>
        </w:r>
      </w:hyperlink>
      <w:r>
        <w:t xml:space="preserve">, f. 8; </w:t>
      </w:r>
      <w:hyperlink w:anchor="SENTENCIA_2013_101" w:history="1">
        <w:r w:rsidRPr="00E27756">
          <w:rPr>
            <w:rStyle w:val="TextoNormalCaracter"/>
          </w:rPr>
          <w:t>101/2013</w:t>
        </w:r>
      </w:hyperlink>
      <w:r>
        <w:t xml:space="preserve">, ff. 3, 4, 6, 8;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101" w:history="1">
        <w:r w:rsidRPr="00E27756">
          <w:rPr>
            <w:rStyle w:val="TextoNormalCaracter"/>
          </w:rPr>
          <w:t>101/2013</w:t>
        </w:r>
      </w:hyperlink>
      <w:r>
        <w:t>, f. 1.</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Sentencias </w:t>
      </w:r>
      <w:hyperlink w:anchor="SENTENCIA_2013_60" w:history="1">
        <w:r w:rsidRPr="00E27756">
          <w:rPr>
            <w:rStyle w:val="TextoNormalCaracter"/>
          </w:rPr>
          <w:t>60/2013</w:t>
        </w:r>
      </w:hyperlink>
      <w:r>
        <w:t xml:space="preserve">, f. 2; </w:t>
      </w:r>
      <w:hyperlink w:anchor="SENTENCIA_2013_100" w:history="1">
        <w:r w:rsidRPr="00E27756">
          <w:rPr>
            <w:rStyle w:val="TextoNormalCaracter"/>
          </w:rPr>
          <w:t>100/2013</w:t>
        </w:r>
      </w:hyperlink>
      <w:r>
        <w:t xml:space="preserve">, ff. 1, 2; </w:t>
      </w:r>
      <w:hyperlink w:anchor="SENTENCIA_2013_130" w:history="1">
        <w:r w:rsidRPr="00E27756">
          <w:rPr>
            <w:rStyle w:val="TextoNormalCaracter"/>
          </w:rPr>
          <w:t>130/2013</w:t>
        </w:r>
      </w:hyperlink>
      <w:r>
        <w:t>, f. 8.</w:t>
      </w:r>
    </w:p>
    <w:p w:rsidR="00E27756" w:rsidRDefault="00E27756" w:rsidP="00E27756">
      <w:pPr>
        <w:pStyle w:val="SangriaFrancesaArticulo"/>
      </w:pPr>
      <w:r w:rsidRPr="00E27756">
        <w:rPr>
          <w:rStyle w:val="TextoNormalNegritaCaracter"/>
        </w:rPr>
        <w:t>Artículo 2.1 b).</w:t>
      </w:r>
      <w:r w:rsidRPr="00E27756">
        <w:rPr>
          <w:rStyle w:val="TextoNormalCaracter"/>
        </w:rPr>
        <w:t>-</w:t>
      </w:r>
      <w:r>
        <w:t xml:space="preserve"> Sentencia </w:t>
      </w:r>
      <w:hyperlink w:anchor="SENTENCIA_2013_100" w:history="1">
        <w:r w:rsidRPr="00E27756">
          <w:rPr>
            <w:rStyle w:val="TextoNormalCaracter"/>
          </w:rPr>
          <w:t>100/2013</w:t>
        </w:r>
      </w:hyperlink>
      <w:r>
        <w:t>, ff. 1, 2.</w:t>
      </w:r>
    </w:p>
    <w:p w:rsidR="00E27756" w:rsidRDefault="00E27756" w:rsidP="00E27756">
      <w:pPr>
        <w:pStyle w:val="SangriaFrancesaArticulo"/>
      </w:pPr>
      <w:r w:rsidRPr="00E27756">
        <w:rPr>
          <w:rStyle w:val="TextoNormalNegritaCaracter"/>
        </w:rPr>
        <w:t>Artículo 2.1 c).</w:t>
      </w:r>
      <w:r w:rsidRPr="00E27756">
        <w:rPr>
          <w:rStyle w:val="TextoNormalCaracter"/>
        </w:rPr>
        <w:t>-</w:t>
      </w:r>
      <w:r>
        <w:t xml:space="preserve"> Sentencias </w:t>
      </w:r>
      <w:hyperlink w:anchor="SENTENCIA_2013_100" w:history="1">
        <w:r w:rsidRPr="00E27756">
          <w:rPr>
            <w:rStyle w:val="TextoNormalCaracter"/>
          </w:rPr>
          <w:t>100/2013</w:t>
        </w:r>
      </w:hyperlink>
      <w:r>
        <w:t xml:space="preserve">, ff. 1, 2; </w:t>
      </w:r>
      <w:hyperlink w:anchor="SENTENCIA_2013_101" w:history="1">
        <w:r w:rsidRPr="00E27756">
          <w:rPr>
            <w:rStyle w:val="TextoNormalCaracter"/>
          </w:rPr>
          <w:t>101/2013</w:t>
        </w:r>
      </w:hyperlink>
      <w:r>
        <w:t>, f. 3.</w:t>
      </w:r>
    </w:p>
    <w:p w:rsidR="00E27756" w:rsidRDefault="00E27756" w:rsidP="00E27756">
      <w:pPr>
        <w:pStyle w:val="SangriaFrancesaArticulo"/>
      </w:pPr>
      <w:r w:rsidRPr="00E27756">
        <w:rPr>
          <w:rStyle w:val="TextoNormalNegritaCaracter"/>
        </w:rPr>
        <w:t>Artículo 2.1 d).</w:t>
      </w:r>
      <w:r w:rsidRPr="00E27756">
        <w:rPr>
          <w:rStyle w:val="TextoNormalCaracter"/>
        </w:rPr>
        <w:t>-</w:t>
      </w:r>
      <w:r>
        <w:t xml:space="preserve"> Sentencia </w:t>
      </w:r>
      <w:hyperlink w:anchor="SENTENCIA_2013_101" w:history="1">
        <w:r w:rsidRPr="00E27756">
          <w:rPr>
            <w:rStyle w:val="TextoNormalCaracter"/>
          </w:rPr>
          <w:t>101/2013</w:t>
        </w:r>
      </w:hyperlink>
      <w:r>
        <w:t>, ff. 1, 7.</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100" w:history="1">
        <w:r w:rsidRPr="00E27756">
          <w:rPr>
            <w:rStyle w:val="TextoNormalCaracter"/>
          </w:rPr>
          <w:t>100/2013</w:t>
        </w:r>
      </w:hyperlink>
      <w:r>
        <w:t>, ff. 1, 2.</w:t>
      </w:r>
    </w:p>
    <w:p w:rsidR="00E27756" w:rsidRDefault="00E27756" w:rsidP="00E27756">
      <w:pPr>
        <w:pStyle w:val="SangriaFrancesaArticulo"/>
      </w:pPr>
      <w:r w:rsidRPr="00E27756">
        <w:rPr>
          <w:rStyle w:val="TextoNormalNegritaCaracter"/>
        </w:rPr>
        <w:t>Artículo 4.1 e).</w:t>
      </w:r>
      <w:r w:rsidRPr="00E27756">
        <w:rPr>
          <w:rStyle w:val="TextoNormalCaracter"/>
        </w:rPr>
        <w:t>-</w:t>
      </w:r>
      <w:r>
        <w:t xml:space="preserve"> Sentencia </w:t>
      </w:r>
      <w:hyperlink w:anchor="SENTENCIA_2013_101" w:history="1">
        <w:r w:rsidRPr="00E27756">
          <w:rPr>
            <w:rStyle w:val="TextoNormalCaracter"/>
          </w:rPr>
          <w:t>101/2013</w:t>
        </w:r>
      </w:hyperlink>
      <w:r>
        <w:t>, f. 3.</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101" w:history="1">
        <w:r w:rsidRPr="00E27756">
          <w:rPr>
            <w:rStyle w:val="TextoNormalCaracter"/>
          </w:rPr>
          <w:t>101/2013</w:t>
        </w:r>
      </w:hyperlink>
      <w:r>
        <w:t>, f. 6.</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Sentencias </w:t>
      </w:r>
      <w:hyperlink w:anchor="SENTENCIA_2013_60" w:history="1">
        <w:r w:rsidRPr="00E27756">
          <w:rPr>
            <w:rStyle w:val="TextoNormalCaracter"/>
          </w:rPr>
          <w:t>60/2013</w:t>
        </w:r>
      </w:hyperlink>
      <w:r>
        <w:t xml:space="preserve">, f. 3; </w:t>
      </w:r>
      <w:hyperlink w:anchor="SENTENCIA_2013_85" w:history="1">
        <w:r w:rsidRPr="00E27756">
          <w:rPr>
            <w:rStyle w:val="TextoNormalCaracter"/>
          </w:rPr>
          <w:t>85/2013</w:t>
        </w:r>
      </w:hyperlink>
      <w:r>
        <w:t>, f. 3.</w:t>
      </w:r>
    </w:p>
    <w:p w:rsidR="00E27756" w:rsidRDefault="00E27756" w:rsidP="00E27756">
      <w:pPr>
        <w:pStyle w:val="SangriaFrancesaArticulo"/>
      </w:pPr>
      <w:r w:rsidRPr="00E27756">
        <w:rPr>
          <w:rStyle w:val="TextoNormalNegritaCaracter"/>
        </w:rPr>
        <w:t>Artículo 6</w:t>
      </w:r>
      <w:r>
        <w:t xml:space="preserve"> </w:t>
      </w:r>
      <w:r w:rsidRPr="00E27756">
        <w:rPr>
          <w:rStyle w:val="TextoNormalCaracter"/>
        </w:rPr>
        <w:t>(redactado por la Ley Orgánica 3/2009, de 18 de diciembre)</w:t>
      </w:r>
      <w:r w:rsidRPr="00E27756">
        <w:rPr>
          <w:rStyle w:val="TextoNormalNegritaCaracter"/>
        </w:rPr>
        <w:t>.</w:t>
      </w:r>
      <w:r w:rsidRPr="00E27756">
        <w:rPr>
          <w:rStyle w:val="TextoNormalCaracter"/>
        </w:rPr>
        <w:t>-</w:t>
      </w:r>
      <w:r>
        <w:t xml:space="preserve"> Sentencias </w:t>
      </w:r>
      <w:hyperlink w:anchor="SENTENCIA_2013_60" w:history="1">
        <w:r w:rsidRPr="00E27756">
          <w:rPr>
            <w:rStyle w:val="TextoNormalCaracter"/>
          </w:rPr>
          <w:t>60/2013</w:t>
        </w:r>
      </w:hyperlink>
      <w:r>
        <w:t xml:space="preserve">, f. 1; </w:t>
      </w:r>
      <w:hyperlink w:anchor="SENTENCIA_2013_96" w:history="1">
        <w:r w:rsidRPr="00E27756">
          <w:rPr>
            <w:rStyle w:val="TextoNormalCaracter"/>
          </w:rPr>
          <w:t>96/2013</w:t>
        </w:r>
      </w:hyperlink>
      <w:r>
        <w:t>, f. 10.</w:t>
      </w:r>
    </w:p>
    <w:p w:rsidR="00E27756" w:rsidRDefault="00E27756" w:rsidP="00E27756">
      <w:pPr>
        <w:pStyle w:val="SangriaFrancesaArticulo"/>
      </w:pPr>
      <w:r w:rsidRPr="00E27756">
        <w:rPr>
          <w:rStyle w:val="TextoNormalNegritaCaracter"/>
        </w:rPr>
        <w:t>Artículo 6 apartados 2, 3.</w:t>
      </w:r>
      <w:r w:rsidRPr="00E27756">
        <w:rPr>
          <w:rStyle w:val="TextoNormalCaracter"/>
        </w:rPr>
        <w:t>-</w:t>
      </w:r>
      <w:r>
        <w:t xml:space="preserve"> Sentencias </w:t>
      </w:r>
      <w:hyperlink w:anchor="SENTENCIA_2013_85" w:history="1">
        <w:r w:rsidRPr="00E27756">
          <w:rPr>
            <w:rStyle w:val="TextoNormalCaracter"/>
          </w:rPr>
          <w:t>85/2013</w:t>
        </w:r>
      </w:hyperlink>
      <w:r>
        <w:t xml:space="preserve">, ff. 1, 3, 4; </w:t>
      </w:r>
      <w:hyperlink w:anchor="SENTENCIA_2013_85" w:history="1">
        <w:r w:rsidRPr="00E27756">
          <w:rPr>
            <w:rStyle w:val="TextoNormalCaracter"/>
          </w:rPr>
          <w:t>85/2013</w:t>
        </w:r>
      </w:hyperlink>
      <w:r>
        <w:t>, f. 2.</w:t>
      </w:r>
    </w:p>
    <w:p w:rsidR="00E27756" w:rsidRDefault="00E27756" w:rsidP="00E27756">
      <w:pPr>
        <w:pStyle w:val="SangriaFrancesaArticulo"/>
      </w:pPr>
      <w:r w:rsidRPr="00E27756">
        <w:rPr>
          <w:rStyle w:val="TextoNormalNegritaCaracter"/>
        </w:rPr>
        <w:t>Artículo 6.1.</w:t>
      </w:r>
      <w:r w:rsidRPr="00E27756">
        <w:rPr>
          <w:rStyle w:val="TextoNormalCaracter"/>
        </w:rPr>
        <w:t>-</w:t>
      </w:r>
      <w:r>
        <w:t xml:space="preserve"> Sentencia </w:t>
      </w:r>
      <w:hyperlink w:anchor="SENTENCIA_2013_85" w:history="1">
        <w:r w:rsidRPr="00E27756">
          <w:rPr>
            <w:rStyle w:val="TextoNormalCaracter"/>
          </w:rPr>
          <w:t>85/2013</w:t>
        </w:r>
      </w:hyperlink>
      <w:r>
        <w:t>, f. 3.</w:t>
      </w:r>
    </w:p>
    <w:p w:rsidR="00E27756" w:rsidRDefault="00E27756" w:rsidP="00E27756">
      <w:pPr>
        <w:pStyle w:val="SangriaFrancesaArticulo"/>
      </w:pPr>
      <w:r w:rsidRPr="00E27756">
        <w:rPr>
          <w:rStyle w:val="TextoNormalNegritaCaracter"/>
        </w:rPr>
        <w:t>Artículo 6.2.</w:t>
      </w:r>
      <w:r w:rsidRPr="00E27756">
        <w:rPr>
          <w:rStyle w:val="TextoNormalCaracter"/>
        </w:rPr>
        <w:t>-</w:t>
      </w:r>
      <w:r>
        <w:t xml:space="preserve"> Sentencias </w:t>
      </w:r>
      <w:hyperlink w:anchor="SENTENCIA_2013_60" w:history="1">
        <w:r w:rsidRPr="00E27756">
          <w:rPr>
            <w:rStyle w:val="TextoNormalCaracter"/>
          </w:rPr>
          <w:t>60/2013</w:t>
        </w:r>
      </w:hyperlink>
      <w:r>
        <w:t xml:space="preserve">, ff. 1 a 4, 7; </w:t>
      </w:r>
      <w:hyperlink w:anchor="SENTENCIA_2013_85" w:history="1">
        <w:r w:rsidRPr="00E27756">
          <w:rPr>
            <w:rStyle w:val="TextoNormalCaracter"/>
          </w:rPr>
          <w:t>85/2013</w:t>
        </w:r>
      </w:hyperlink>
      <w:r>
        <w:t xml:space="preserve">, ff. 2, 4; </w:t>
      </w:r>
      <w:hyperlink w:anchor="SENTENCIA_2013_96" w:history="1">
        <w:r w:rsidRPr="00E27756">
          <w:rPr>
            <w:rStyle w:val="TextoNormalCaracter"/>
          </w:rPr>
          <w:t>96/2013</w:t>
        </w:r>
      </w:hyperlink>
      <w:r>
        <w:t>, ff. 1, 2, 5, 8, 12.</w:t>
      </w:r>
    </w:p>
    <w:p w:rsidR="00E27756" w:rsidRDefault="00E27756" w:rsidP="00E27756">
      <w:pPr>
        <w:pStyle w:val="SangriaIzquierdaArticulo"/>
      </w:pPr>
      <w:r>
        <w:t xml:space="preserve">Autos </w:t>
      </w:r>
      <w:hyperlink w:anchor="AUTO_2013_122" w:history="1">
        <w:r w:rsidRPr="00E27756">
          <w:rPr>
            <w:rStyle w:val="TextoNormalCaracter"/>
          </w:rPr>
          <w:t>122/2013</w:t>
        </w:r>
      </w:hyperlink>
      <w:r>
        <w:t xml:space="preserve">, ff. 1, 3; </w:t>
      </w:r>
      <w:hyperlink w:anchor="AUTO_2013_123" w:history="1">
        <w:r w:rsidRPr="00E27756">
          <w:rPr>
            <w:rStyle w:val="TextoNormalCaracter"/>
          </w:rPr>
          <w:t>123/2013</w:t>
        </w:r>
      </w:hyperlink>
      <w:r>
        <w:t>, ff. 1, 3, 6.</w:t>
      </w:r>
    </w:p>
    <w:p w:rsidR="00E27756" w:rsidRDefault="00E27756" w:rsidP="00E27756">
      <w:pPr>
        <w:pStyle w:val="SangriaFrancesaArticulo"/>
      </w:pPr>
      <w:r w:rsidRPr="00E27756">
        <w:rPr>
          <w:rStyle w:val="TextoNormalNegritaCaracter"/>
        </w:rPr>
        <w:t>Artículo 6.2</w:t>
      </w:r>
      <w:r>
        <w:t xml:space="preserve"> </w:t>
      </w:r>
      <w:r w:rsidRPr="00E27756">
        <w:rPr>
          <w:rStyle w:val="TextoNormalCaracter"/>
        </w:rPr>
        <w:t>(redactado por la Ley Orgánica 3/2009, de 18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ff. 10, 11.</w:t>
      </w:r>
    </w:p>
    <w:p w:rsidR="00E27756" w:rsidRDefault="00E27756" w:rsidP="00E27756">
      <w:pPr>
        <w:pStyle w:val="SangriaFrancesaArticulo"/>
      </w:pPr>
      <w:r w:rsidRPr="00E27756">
        <w:rPr>
          <w:rStyle w:val="TextoNormalNegritaCaracter"/>
        </w:rPr>
        <w:t>Artículo 6.3.</w:t>
      </w:r>
      <w:r w:rsidRPr="00E27756">
        <w:rPr>
          <w:rStyle w:val="TextoNormalCaracter"/>
        </w:rPr>
        <w:t>-</w:t>
      </w:r>
      <w:r>
        <w:t xml:space="preserve"> Sentencias </w:t>
      </w:r>
      <w:hyperlink w:anchor="SENTENCIA_2013_60" w:history="1">
        <w:r w:rsidRPr="00E27756">
          <w:rPr>
            <w:rStyle w:val="TextoNormalCaracter"/>
          </w:rPr>
          <w:t>60/2013</w:t>
        </w:r>
      </w:hyperlink>
      <w:r>
        <w:t xml:space="preserve">, ff. 1 a 7; </w:t>
      </w:r>
      <w:hyperlink w:anchor="SENTENCIA_2013_85" w:history="1">
        <w:r w:rsidRPr="00E27756">
          <w:rPr>
            <w:rStyle w:val="TextoNormalCaracter"/>
          </w:rPr>
          <w:t>85/2013</w:t>
        </w:r>
      </w:hyperlink>
      <w:r>
        <w:t xml:space="preserve">, f. 4; </w:t>
      </w:r>
      <w:hyperlink w:anchor="SENTENCIA_2013_96" w:history="1">
        <w:r w:rsidRPr="00E27756">
          <w:rPr>
            <w:rStyle w:val="TextoNormalCaracter"/>
          </w:rPr>
          <w:t>96/2013</w:t>
        </w:r>
      </w:hyperlink>
      <w:r>
        <w:t>, ff. 1, 2, 5, 8, 12.</w:t>
      </w:r>
    </w:p>
    <w:p w:rsidR="00E27756" w:rsidRDefault="00E27756" w:rsidP="00E27756">
      <w:pPr>
        <w:pStyle w:val="SangriaFrancesaArticulo"/>
      </w:pPr>
      <w:r w:rsidRPr="00E27756">
        <w:rPr>
          <w:rStyle w:val="TextoNormalNegritaCaracter"/>
        </w:rPr>
        <w:t>Artículo 6.3</w:t>
      </w:r>
      <w:r>
        <w:t xml:space="preserve"> </w:t>
      </w:r>
      <w:r w:rsidRPr="00E27756">
        <w:rPr>
          <w:rStyle w:val="TextoNormalCaracter"/>
        </w:rPr>
        <w:t>(redactado por la Ley Orgánica 3/2009, de 18 de diciembre)</w:t>
      </w:r>
      <w:r w:rsidRPr="00E27756">
        <w:rPr>
          <w:rStyle w:val="TextoNormalNegritaCaracter"/>
        </w:rPr>
        <w:t>.</w:t>
      </w:r>
      <w:r w:rsidRPr="00E27756">
        <w:rPr>
          <w:rStyle w:val="TextoNormalCaracter"/>
        </w:rPr>
        <w:t>-</w:t>
      </w:r>
      <w:r>
        <w:t xml:space="preserve"> Sentencias </w:t>
      </w:r>
      <w:hyperlink w:anchor="SENTENCIA_2013_85" w:history="1">
        <w:r w:rsidRPr="00E27756">
          <w:rPr>
            <w:rStyle w:val="TextoNormalCaracter"/>
          </w:rPr>
          <w:t>85/2013</w:t>
        </w:r>
      </w:hyperlink>
      <w:r>
        <w:t xml:space="preserve">, f. 2; </w:t>
      </w:r>
      <w:hyperlink w:anchor="SENTENCIA_2013_96" w:history="1">
        <w:r w:rsidRPr="00E27756">
          <w:rPr>
            <w:rStyle w:val="TextoNormalCaracter"/>
          </w:rPr>
          <w:t>96/2013</w:t>
        </w:r>
      </w:hyperlink>
      <w:r>
        <w:t>, ff. 10, 11.</w:t>
      </w:r>
    </w:p>
    <w:p w:rsidR="00E27756" w:rsidRDefault="00E27756" w:rsidP="00E27756">
      <w:pPr>
        <w:pStyle w:val="SangriaFrancesaArticulo"/>
      </w:pPr>
      <w:r w:rsidRPr="00E27756">
        <w:rPr>
          <w:rStyle w:val="TextoNormalNegritaCaracter"/>
        </w:rPr>
        <w:t>Artículo 6.4.</w:t>
      </w:r>
      <w:r w:rsidRPr="00E27756">
        <w:rPr>
          <w:rStyle w:val="TextoNormalCaracter"/>
        </w:rPr>
        <w:t>-</w:t>
      </w:r>
      <w:r>
        <w:t xml:space="preserve"> Sentencia </w:t>
      </w:r>
      <w:hyperlink w:anchor="SENTENCIA_2013_85" w:history="1">
        <w:r w:rsidRPr="00E27756">
          <w:rPr>
            <w:rStyle w:val="TextoNormalCaracter"/>
          </w:rPr>
          <w:t>85/2013</w:t>
        </w:r>
      </w:hyperlink>
      <w:r>
        <w:t>, f. 2.</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101" w:history="1">
        <w:r w:rsidRPr="00E27756">
          <w:rPr>
            <w:rStyle w:val="TextoNormalCaracter"/>
          </w:rPr>
          <w:t>101/2013</w:t>
        </w:r>
      </w:hyperlink>
      <w:r>
        <w:t>, f. 7.</w:t>
      </w:r>
    </w:p>
    <w:p w:rsidR="00E27756" w:rsidRDefault="00E27756" w:rsidP="00E27756">
      <w:pPr>
        <w:pStyle w:val="SangriaFrancesaArticulo"/>
      </w:pPr>
      <w:r w:rsidRPr="00E27756">
        <w:rPr>
          <w:rStyle w:val="TextoNormalNegritaCaracter"/>
        </w:rPr>
        <w:t>Artículo 13.2.</w:t>
      </w:r>
      <w:r w:rsidRPr="00E27756">
        <w:rPr>
          <w:rStyle w:val="TextoNormalCaracter"/>
        </w:rPr>
        <w:t>-</w:t>
      </w:r>
      <w:r>
        <w:t xml:space="preserve"> Sentencia </w:t>
      </w:r>
      <w:hyperlink w:anchor="SENTENCIA_2013_101" w:history="1">
        <w:r w:rsidRPr="00E27756">
          <w:rPr>
            <w:rStyle w:val="TextoNormalCaracter"/>
          </w:rPr>
          <w:t>101/2013</w:t>
        </w:r>
      </w:hyperlink>
      <w:r>
        <w:t>, f. 8.</w:t>
      </w:r>
    </w:p>
    <w:p w:rsidR="00E27756" w:rsidRDefault="00E27756" w:rsidP="00E27756">
      <w:pPr>
        <w:pStyle w:val="SangriaFrancesaArticulo"/>
      </w:pPr>
      <w:r w:rsidRPr="00E27756">
        <w:rPr>
          <w:rStyle w:val="TextoNormalNegritaCaracter"/>
        </w:rPr>
        <w:t>Artículo 13.4.</w:t>
      </w:r>
      <w:r w:rsidRPr="00E27756">
        <w:rPr>
          <w:rStyle w:val="TextoNormalCaracter"/>
        </w:rPr>
        <w:t>-</w:t>
      </w:r>
      <w:r>
        <w:t xml:space="preserve"> Sentencia </w:t>
      </w:r>
      <w:hyperlink w:anchor="SENTENCIA_2013_101" w:history="1">
        <w:r w:rsidRPr="00E27756">
          <w:rPr>
            <w:rStyle w:val="TextoNormalCaracter"/>
          </w:rPr>
          <w:t>101/2013</w:t>
        </w:r>
      </w:hyperlink>
      <w:r>
        <w:t>, f. 1.</w:t>
      </w:r>
    </w:p>
    <w:p w:rsidR="00E27756" w:rsidRDefault="00E27756" w:rsidP="00E27756">
      <w:pPr>
        <w:pStyle w:val="SangriaFrancesaArticulo"/>
      </w:pPr>
      <w:r w:rsidRPr="00E27756">
        <w:rPr>
          <w:rStyle w:val="TextoNormalNegritaCaracter"/>
        </w:rPr>
        <w:t>Artículo 16.</w:t>
      </w:r>
      <w:r w:rsidRPr="00E27756">
        <w:rPr>
          <w:rStyle w:val="TextoNormalCaracter"/>
        </w:rPr>
        <w:t>-</w:t>
      </w:r>
      <w:r>
        <w:t xml:space="preserve"> Sentencia </w:t>
      </w:r>
      <w:hyperlink w:anchor="SENTENCIA_2013_101" w:history="1">
        <w:r w:rsidRPr="00E27756">
          <w:rPr>
            <w:rStyle w:val="TextoNormalCaracter"/>
          </w:rPr>
          <w:t>101/2013</w:t>
        </w:r>
      </w:hyperlink>
      <w:r>
        <w:t>, f. 6.</w:t>
      </w:r>
    </w:p>
    <w:p w:rsidR="00E27756" w:rsidRDefault="00E27756" w:rsidP="00E27756">
      <w:pPr>
        <w:pStyle w:val="SangriaFrancesaArticulo"/>
      </w:pPr>
      <w:r w:rsidRPr="00E27756">
        <w:rPr>
          <w:rStyle w:val="TextoNormalNegritaCaracter"/>
        </w:rPr>
        <w:t>Artículo 16.1.</w:t>
      </w:r>
      <w:r w:rsidRPr="00E27756">
        <w:rPr>
          <w:rStyle w:val="TextoNormalCaracter"/>
        </w:rPr>
        <w:t>-</w:t>
      </w:r>
      <w:r>
        <w:t xml:space="preserve"> Sentencia </w:t>
      </w:r>
      <w:hyperlink w:anchor="SENTENCIA_2013_101" w:history="1">
        <w:r w:rsidRPr="00E27756">
          <w:rPr>
            <w:rStyle w:val="TextoNormalCaracter"/>
          </w:rPr>
          <w:t>101/2013</w:t>
        </w:r>
      </w:hyperlink>
      <w:r>
        <w:t>, f. 6.</w:t>
      </w:r>
    </w:p>
    <w:p w:rsidR="00E27756" w:rsidRDefault="00E27756" w:rsidP="00E27756">
      <w:pPr>
        <w:pStyle w:val="SangriaFrancesaArticulo"/>
      </w:pPr>
      <w:r w:rsidRPr="00E27756">
        <w:rPr>
          <w:rStyle w:val="TextoNormalNegritaCaracter"/>
        </w:rPr>
        <w:t>Artículo 16.3.</w:t>
      </w:r>
      <w:r w:rsidRPr="00E27756">
        <w:rPr>
          <w:rStyle w:val="TextoNormalCaracter"/>
        </w:rPr>
        <w:t>-</w:t>
      </w:r>
      <w:r>
        <w:t xml:space="preserve"> Sentencia </w:t>
      </w:r>
      <w:hyperlink w:anchor="SENTENCIA_2013_101" w:history="1">
        <w:r w:rsidRPr="00E27756">
          <w:rPr>
            <w:rStyle w:val="TextoNormalCaracter"/>
          </w:rPr>
          <w:t>101/2013</w:t>
        </w:r>
      </w:hyperlink>
      <w:r>
        <w:t>, f. 6.</w:t>
      </w:r>
    </w:p>
    <w:p w:rsidR="00E27756" w:rsidRDefault="00E27756" w:rsidP="00E27756">
      <w:pPr>
        <w:pStyle w:val="SangriaFrancesaArticulo"/>
      </w:pPr>
      <w:r w:rsidRPr="00E27756">
        <w:rPr>
          <w:rStyle w:val="TextoNormalNegritaCaracter"/>
        </w:rPr>
        <w:t>Artículo 16.3</w:t>
      </w:r>
      <w:r>
        <w:t xml:space="preserve"> </w:t>
      </w:r>
      <w:r w:rsidRPr="00E27756">
        <w:rPr>
          <w:rStyle w:val="TextoNormalCaracter"/>
        </w:rPr>
        <w:t>(redactado por la Ley Orgánica 7/2001, de 27 de diciembre)</w:t>
      </w:r>
      <w:r w:rsidRPr="00E27756">
        <w:rPr>
          <w:rStyle w:val="TextoNormalNegritaCaracter"/>
        </w:rPr>
        <w:t>.</w:t>
      </w:r>
      <w:r w:rsidRPr="00E27756">
        <w:rPr>
          <w:rStyle w:val="TextoNormalCaracter"/>
        </w:rPr>
        <w:t>-</w:t>
      </w:r>
      <w:r>
        <w:t xml:space="preserve"> Sentencia </w:t>
      </w:r>
      <w:hyperlink w:anchor="SENTENCIA_2013_101" w:history="1">
        <w:r w:rsidRPr="00E27756">
          <w:rPr>
            <w:rStyle w:val="TextoNormalCaracter"/>
          </w:rPr>
          <w:t>101/2013</w:t>
        </w:r>
      </w:hyperlink>
      <w:r>
        <w:t>, f. 5.</w:t>
      </w:r>
    </w:p>
    <w:p w:rsidR="00E27756" w:rsidRDefault="00E27756" w:rsidP="00E27756">
      <w:pPr>
        <w:pStyle w:val="SangriaFrancesaArticulo"/>
      </w:pPr>
      <w:r w:rsidRPr="00E27756">
        <w:rPr>
          <w:rStyle w:val="TextoNormalNegritaCaracter"/>
        </w:rPr>
        <w:t>Artículo 16.3 a).</w:t>
      </w:r>
      <w:r w:rsidRPr="00E27756">
        <w:rPr>
          <w:rStyle w:val="TextoNormalCaracter"/>
        </w:rPr>
        <w:t>-</w:t>
      </w:r>
      <w:r>
        <w:t xml:space="preserve"> Sentencia </w:t>
      </w:r>
      <w:hyperlink w:anchor="SENTENCIA_2013_101" w:history="1">
        <w:r w:rsidRPr="00E27756">
          <w:rPr>
            <w:rStyle w:val="TextoNormalCaracter"/>
          </w:rPr>
          <w:t>101/2013</w:t>
        </w:r>
      </w:hyperlink>
      <w:r>
        <w:t>, f. 6.</w:t>
      </w:r>
    </w:p>
    <w:p w:rsidR="00E27756" w:rsidRDefault="00E27756" w:rsidP="00E27756">
      <w:pPr>
        <w:pStyle w:val="SangriaFrancesaArticulo"/>
      </w:pPr>
      <w:r w:rsidRPr="00E27756">
        <w:rPr>
          <w:rStyle w:val="TextoNormalNegritaCaracter"/>
        </w:rPr>
        <w:t>Artículo 16.3 c).</w:t>
      </w:r>
      <w:r w:rsidRPr="00E27756">
        <w:rPr>
          <w:rStyle w:val="TextoNormalCaracter"/>
        </w:rPr>
        <w:t>-</w:t>
      </w:r>
      <w:r>
        <w:t xml:space="preserve"> Sentencia </w:t>
      </w:r>
      <w:hyperlink w:anchor="SENTENCIA_2013_101" w:history="1">
        <w:r w:rsidRPr="00E27756">
          <w:rPr>
            <w:rStyle w:val="TextoNormalCaracter"/>
          </w:rPr>
          <w:t>101/2013</w:t>
        </w:r>
      </w:hyperlink>
      <w:r>
        <w:t>, ff. 1, 4, 6.</w:t>
      </w:r>
    </w:p>
    <w:p w:rsidR="00E27756" w:rsidRDefault="00E27756" w:rsidP="00E27756">
      <w:pPr>
        <w:pStyle w:val="SangriaFrancesaArticulo"/>
      </w:pPr>
      <w:r w:rsidRPr="00E27756">
        <w:rPr>
          <w:rStyle w:val="TextoNormalNegritaCaracter"/>
        </w:rPr>
        <w:t>Artículo 16.3 inciso in fine.</w:t>
      </w:r>
      <w:r w:rsidRPr="00E27756">
        <w:rPr>
          <w:rStyle w:val="TextoNormalCaracter"/>
        </w:rPr>
        <w:t>-</w:t>
      </w:r>
      <w:r>
        <w:t xml:space="preserve"> Sentencia </w:t>
      </w:r>
      <w:hyperlink w:anchor="SENTENCIA_2013_101" w:history="1">
        <w:r w:rsidRPr="00E27756">
          <w:rPr>
            <w:rStyle w:val="TextoNormalCaracter"/>
          </w:rPr>
          <w:t>101/2013</w:t>
        </w:r>
      </w:hyperlink>
      <w:r>
        <w:t>, f. 6.</w:t>
      </w:r>
    </w:p>
    <w:p w:rsidR="00E27756" w:rsidRDefault="00E27756" w:rsidP="00E27756">
      <w:pPr>
        <w:pStyle w:val="SangriaFrancesaArticulo"/>
      </w:pPr>
      <w:r w:rsidRPr="00E27756">
        <w:rPr>
          <w:rStyle w:val="TextoNormalNegritaCaracter"/>
        </w:rPr>
        <w:t>Artículo 16.4</w:t>
      </w:r>
      <w:r>
        <w:t xml:space="preserve"> </w:t>
      </w:r>
      <w:r w:rsidRPr="00E27756">
        <w:rPr>
          <w:rStyle w:val="TextoNormalCaracter"/>
        </w:rPr>
        <w:t>(redactado por la Ley Orgánica 7/2001, de 27 de diciembre)</w:t>
      </w:r>
      <w:r w:rsidRPr="00E27756">
        <w:rPr>
          <w:rStyle w:val="TextoNormalNegritaCaracter"/>
        </w:rPr>
        <w:t>.</w:t>
      </w:r>
      <w:r w:rsidRPr="00E27756">
        <w:rPr>
          <w:rStyle w:val="TextoNormalCaracter"/>
        </w:rPr>
        <w:t>-</w:t>
      </w:r>
      <w:r>
        <w:t xml:space="preserve"> Sentencia </w:t>
      </w:r>
      <w:hyperlink w:anchor="SENTENCIA_2013_101" w:history="1">
        <w:r w:rsidRPr="00E27756">
          <w:rPr>
            <w:rStyle w:val="TextoNormalCaracter"/>
          </w:rPr>
          <w:t>101/2013</w:t>
        </w:r>
      </w:hyperlink>
      <w:r>
        <w:t>, f. 5.</w:t>
      </w:r>
    </w:p>
    <w:p w:rsidR="00E27756" w:rsidRDefault="00E27756" w:rsidP="00E27756">
      <w:pPr>
        <w:pStyle w:val="SangriaFrancesaArticulo"/>
      </w:pPr>
      <w:r w:rsidRPr="00E27756">
        <w:rPr>
          <w:rStyle w:val="TextoNormalNegritaCaracter"/>
        </w:rPr>
        <w:t>Artículo 16.4 a).</w:t>
      </w:r>
      <w:r w:rsidRPr="00E27756">
        <w:rPr>
          <w:rStyle w:val="TextoNormalCaracter"/>
        </w:rPr>
        <w:t>-</w:t>
      </w:r>
      <w:r>
        <w:t xml:space="preserve"> Sentencia </w:t>
      </w:r>
      <w:hyperlink w:anchor="SENTENCIA_2013_101" w:history="1">
        <w:r w:rsidRPr="00E27756">
          <w:rPr>
            <w:rStyle w:val="TextoNormalCaracter"/>
          </w:rPr>
          <w:t>101/2013</w:t>
        </w:r>
      </w:hyperlink>
      <w:r>
        <w:t>, f. 6.</w:t>
      </w:r>
    </w:p>
    <w:p w:rsidR="00E27756" w:rsidRDefault="00E27756" w:rsidP="00E27756">
      <w:pPr>
        <w:pStyle w:val="SangriaFrancesaArticulo"/>
      </w:pPr>
      <w:r w:rsidRPr="00E27756">
        <w:rPr>
          <w:rStyle w:val="TextoNormalNegritaCaracter"/>
        </w:rPr>
        <w:t>Artículo 16.4 e).</w:t>
      </w:r>
      <w:r w:rsidRPr="00E27756">
        <w:rPr>
          <w:rStyle w:val="TextoNormalCaracter"/>
        </w:rPr>
        <w:t>-</w:t>
      </w:r>
      <w:r>
        <w:t xml:space="preserve"> Sentencia </w:t>
      </w:r>
      <w:hyperlink w:anchor="SENTENCIA_2013_101" w:history="1">
        <w:r w:rsidRPr="00E27756">
          <w:rPr>
            <w:rStyle w:val="TextoNormalCaracter"/>
          </w:rPr>
          <w:t>101/2013</w:t>
        </w:r>
      </w:hyperlink>
      <w:r>
        <w:t>, f. 6.</w:t>
      </w:r>
    </w:p>
    <w:p w:rsidR="00E27756" w:rsidRDefault="00E27756" w:rsidP="00E27756">
      <w:pPr>
        <w:pStyle w:val="SangriaFrancesaArticulo"/>
      </w:pPr>
      <w:r w:rsidRPr="00E27756">
        <w:rPr>
          <w:rStyle w:val="TextoNormalNegritaCaracter"/>
        </w:rPr>
        <w:t>Artículo 16.5.</w:t>
      </w:r>
      <w:r w:rsidRPr="00E27756">
        <w:rPr>
          <w:rStyle w:val="TextoNormalCaracter"/>
        </w:rPr>
        <w:t>-</w:t>
      </w:r>
      <w:r>
        <w:t xml:space="preserve"> Sentencia </w:t>
      </w:r>
      <w:hyperlink w:anchor="SENTENCIA_2013_101" w:history="1">
        <w:r w:rsidRPr="00E27756">
          <w:rPr>
            <w:rStyle w:val="TextoNormalCaracter"/>
          </w:rPr>
          <w:t>101/2013</w:t>
        </w:r>
      </w:hyperlink>
      <w:r>
        <w:t>, ff. 5, 6.</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 </w:t>
      </w:r>
      <w:hyperlink w:anchor="SENTENCIA_2013_86" w:history="1">
        <w:r w:rsidRPr="00E27756">
          <w:rPr>
            <w:rStyle w:val="TextoNormalCaracter"/>
          </w:rPr>
          <w:t>86/2013</w:t>
        </w:r>
      </w:hyperlink>
      <w:r>
        <w:t>, f. 3.</w:t>
      </w:r>
    </w:p>
    <w:p w:rsidR="00E27756" w:rsidRDefault="00E27756" w:rsidP="00E27756">
      <w:pPr>
        <w:pStyle w:val="SangriaFrancesaArticulo"/>
      </w:pPr>
      <w:r w:rsidRPr="00E27756">
        <w:rPr>
          <w:rStyle w:val="TextoNormalNegritaCaracter"/>
        </w:rPr>
        <w:t>Artículo 21.1.</w:t>
      </w:r>
      <w:r w:rsidRPr="00E27756">
        <w:rPr>
          <w:rStyle w:val="TextoNormalCaracter"/>
        </w:rPr>
        <w:t>-</w:t>
      </w:r>
      <w:r>
        <w:t xml:space="preserve"> Sentencias </w:t>
      </w:r>
      <w:hyperlink w:anchor="SENTENCIA_2013_86" w:history="1">
        <w:r w:rsidRPr="00E27756">
          <w:rPr>
            <w:rStyle w:val="TextoNormalCaracter"/>
          </w:rPr>
          <w:t>86/2013</w:t>
        </w:r>
      </w:hyperlink>
      <w:r>
        <w:t xml:space="preserve">, ff. 1, 4; </w:t>
      </w:r>
      <w:hyperlink w:anchor="SENTENCIA_2013_132" w:history="1">
        <w:r w:rsidRPr="00E27756">
          <w:rPr>
            <w:rStyle w:val="TextoNormalCaracter"/>
          </w:rPr>
          <w:t>132/2013</w:t>
        </w:r>
      </w:hyperlink>
      <w:r>
        <w:t>, f. 5.</w:t>
      </w:r>
    </w:p>
    <w:p w:rsidR="00E27756" w:rsidRDefault="00E27756" w:rsidP="00E27756">
      <w:pPr>
        <w:pStyle w:val="SangriaFrancesaArticulo"/>
      </w:pPr>
      <w:r w:rsidRPr="00E27756">
        <w:rPr>
          <w:rStyle w:val="TextoNormalNegritaCaracter"/>
        </w:rPr>
        <w:lastRenderedPageBreak/>
        <w:t>Artículo 21.1</w:t>
      </w:r>
      <w:r>
        <w:t xml:space="preserve"> </w:t>
      </w:r>
      <w:r w:rsidRPr="00E27756">
        <w:rPr>
          <w:rStyle w:val="TextoNormalCaracter"/>
        </w:rPr>
        <w:t>(redactado por la Ley Orgánica 5/2001, de 13 de diciembre)</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p>
    <w:p w:rsidR="00E27756" w:rsidRDefault="00E27756" w:rsidP="00E27756">
      <w:pPr>
        <w:pStyle w:val="TextoNormalNegritaCursivandice"/>
      </w:pPr>
      <w:r>
        <w:t>Ley Orgánica 1/1982, de 5 de mayo. Derecho al honor, a la intimidad personal y familiar y a la propia imagen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9" w:history="1">
        <w:r w:rsidRPr="00E27756">
          <w:rPr>
            <w:rStyle w:val="TextoNormalCaracter"/>
          </w:rPr>
          <w:t>29/2013</w:t>
        </w:r>
      </w:hyperlink>
      <w:r>
        <w:t>, f. 6.</w:t>
      </w:r>
    </w:p>
    <w:p w:rsidR="00E27756" w:rsidRDefault="00E27756" w:rsidP="00E27756">
      <w:pPr>
        <w:pStyle w:val="SangriaFrancesaArticulo"/>
      </w:pPr>
    </w:p>
    <w:p w:rsidR="00E27756" w:rsidRDefault="00E27756" w:rsidP="00E27756">
      <w:pPr>
        <w:pStyle w:val="TextoNormalNegritaCursivandice"/>
      </w:pPr>
      <w:r>
        <w:t>Ley Orgánica 11/1983, de 25 de agosto. Reforma universitaria</w:t>
      </w:r>
    </w:p>
    <w:p w:rsidR="00E27756" w:rsidRDefault="00E27756" w:rsidP="00E27756">
      <w:pPr>
        <w:pStyle w:val="SangriaFrancesaArticulo"/>
      </w:pPr>
      <w:r w:rsidRPr="00E27756">
        <w:rPr>
          <w:rStyle w:val="TextoNormalNegritaCaracter"/>
        </w:rPr>
        <w:t>Artículo 14.3.</w:t>
      </w:r>
      <w:r w:rsidRPr="00E27756">
        <w:rPr>
          <w:rStyle w:val="TextoNormalCaracter"/>
        </w:rPr>
        <w:t>-</w:t>
      </w:r>
      <w:r>
        <w:t xml:space="preserve"> Sentencia </w:t>
      </w:r>
      <w:hyperlink w:anchor="SENTENCIA_2013_131" w:history="1">
        <w:r w:rsidRPr="00E27756">
          <w:rPr>
            <w:rStyle w:val="TextoNormalCaracter"/>
          </w:rPr>
          <w:t>131/2013</w:t>
        </w:r>
      </w:hyperlink>
      <w:r>
        <w:t>, f. 8.</w:t>
      </w:r>
    </w:p>
    <w:p w:rsidR="00E27756" w:rsidRDefault="00E27756" w:rsidP="00E27756">
      <w:pPr>
        <w:pStyle w:val="SangriaFrancesaArticulo"/>
      </w:pPr>
      <w:r w:rsidRPr="00E27756">
        <w:rPr>
          <w:rStyle w:val="TextoNormalNegritaCaracter"/>
        </w:rPr>
        <w:t>Artículo 39.1.</w:t>
      </w:r>
      <w:r w:rsidRPr="00E27756">
        <w:rPr>
          <w:rStyle w:val="TextoNormalCaracter"/>
        </w:rPr>
        <w:t>-</w:t>
      </w:r>
      <w:r>
        <w:t xml:space="preserve"> Sentencia </w:t>
      </w:r>
      <w:hyperlink w:anchor="SENTENCIA_2013_131" w:history="1">
        <w:r w:rsidRPr="00E27756">
          <w:rPr>
            <w:rStyle w:val="TextoNormalCaracter"/>
          </w:rPr>
          <w:t>131/2013</w:t>
        </w:r>
      </w:hyperlink>
      <w:r>
        <w:t>, f. 8.</w:t>
      </w:r>
    </w:p>
    <w:p w:rsidR="00E27756" w:rsidRDefault="00E27756" w:rsidP="00E27756">
      <w:pPr>
        <w:pStyle w:val="SangriaFrancesaArticulo"/>
      </w:pPr>
      <w:r w:rsidRPr="00E27756">
        <w:rPr>
          <w:rStyle w:val="TextoNormalNegritaCaracter"/>
        </w:rPr>
        <w:t>Disposición adicional sexta.</w:t>
      </w:r>
      <w:r w:rsidRPr="00E27756">
        <w:rPr>
          <w:rStyle w:val="TextoNormalCaracter"/>
        </w:rPr>
        <w:t>-</w:t>
      </w:r>
      <w:r>
        <w:t xml:space="preserve"> Sentencia </w:t>
      </w:r>
      <w:hyperlink w:anchor="SENTENCIA_2013_131" w:history="1">
        <w:r w:rsidRPr="00E27756">
          <w:rPr>
            <w:rStyle w:val="TextoNormalCaracter"/>
          </w:rPr>
          <w:t>131/2013</w:t>
        </w:r>
      </w:hyperlink>
      <w:r>
        <w:t>, f. 6.</w:t>
      </w:r>
    </w:p>
    <w:p w:rsidR="00E27756" w:rsidRDefault="00E27756" w:rsidP="00E27756">
      <w:pPr>
        <w:pStyle w:val="SangriaFrancesaArticulo"/>
      </w:pPr>
    </w:p>
    <w:p w:rsidR="00E27756" w:rsidRDefault="00E27756" w:rsidP="00E27756">
      <w:pPr>
        <w:pStyle w:val="TextoNormalNegritaCursivandice"/>
      </w:pPr>
      <w:r>
        <w:t>Ley Orgánica 6/1984, de 24 de mayo. Regula del procedimiento de Habeas Corpus.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8" w:history="1">
        <w:r w:rsidRPr="00E27756">
          <w:rPr>
            <w:rStyle w:val="TextoNormalCaracter"/>
          </w:rPr>
          <w:t>88/2013</w:t>
        </w:r>
      </w:hyperlink>
      <w:r>
        <w:t>, f. 4.</w:t>
      </w:r>
    </w:p>
    <w:p w:rsidR="00E27756" w:rsidRDefault="00E27756" w:rsidP="00E27756">
      <w:pPr>
        <w:pStyle w:val="SangriaFrancesaArticulo"/>
      </w:pPr>
    </w:p>
    <w:p w:rsidR="00E27756" w:rsidRDefault="00E27756" w:rsidP="00E27756">
      <w:pPr>
        <w:pStyle w:val="TextoNormalNegritaCursivandice"/>
      </w:pPr>
      <w:r>
        <w:t>Ley Orgánica 5/1985, de 19 de junio. Régimen electoral general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5" w:history="1">
        <w:r w:rsidRPr="00E27756">
          <w:rPr>
            <w:rStyle w:val="TextoNormalCaracter"/>
          </w:rPr>
          <w:t>125/2013</w:t>
        </w:r>
      </w:hyperlink>
      <w:r>
        <w:t>, ff. 2, 4, 5.</w:t>
      </w:r>
    </w:p>
    <w:p w:rsidR="00E27756" w:rsidRDefault="00E27756" w:rsidP="00E27756">
      <w:pPr>
        <w:pStyle w:val="SangriaFrancesaArticulo"/>
      </w:pPr>
      <w:r w:rsidRPr="00E27756">
        <w:rPr>
          <w:rStyle w:val="TextoNormalNegritaCaracter"/>
        </w:rPr>
        <w:t>Artículo 44.</w:t>
      </w:r>
      <w:r w:rsidRPr="00E27756">
        <w:rPr>
          <w:rStyle w:val="TextoNormalCaracter"/>
        </w:rPr>
        <w:t>-</w:t>
      </w:r>
      <w:r>
        <w:t xml:space="preserve"> Sentencias </w:t>
      </w:r>
      <w:hyperlink w:anchor="SENTENCIA_2013_10" w:history="1">
        <w:r w:rsidRPr="00E27756">
          <w:rPr>
            <w:rStyle w:val="TextoNormalCaracter"/>
          </w:rPr>
          <w:t>10/2013</w:t>
        </w:r>
      </w:hyperlink>
      <w:r>
        <w:t xml:space="preserve">, f. 2; </w:t>
      </w:r>
      <w:hyperlink w:anchor="SENTENCIA_2013_125" w:history="1">
        <w:r w:rsidRPr="00E27756">
          <w:rPr>
            <w:rStyle w:val="TextoNormalCaracter"/>
          </w:rPr>
          <w:t>125/2013</w:t>
        </w:r>
      </w:hyperlink>
      <w:r>
        <w:t>, f. 6.</w:t>
      </w:r>
    </w:p>
    <w:p w:rsidR="00E27756" w:rsidRDefault="00E27756" w:rsidP="00E27756">
      <w:pPr>
        <w:pStyle w:val="SangriaFrancesaArticulo"/>
      </w:pPr>
      <w:r w:rsidRPr="00E27756">
        <w:rPr>
          <w:rStyle w:val="TextoNormalNegritaCaracter"/>
        </w:rPr>
        <w:t>Artículo 44.1.</w:t>
      </w:r>
      <w:r w:rsidRPr="00E27756">
        <w:rPr>
          <w:rStyle w:val="TextoNormalCaracter"/>
        </w:rPr>
        <w:t>-</w:t>
      </w:r>
      <w:r>
        <w:t xml:space="preserve"> Sentencia </w:t>
      </w:r>
      <w:hyperlink w:anchor="SENTENCIA_2013_125" w:history="1">
        <w:r w:rsidRPr="00E27756">
          <w:rPr>
            <w:rStyle w:val="TextoNormalCaracter"/>
          </w:rPr>
          <w:t>125/2013</w:t>
        </w:r>
      </w:hyperlink>
      <w:r>
        <w:t>, ff. 6, 7.</w:t>
      </w:r>
    </w:p>
    <w:p w:rsidR="00E27756" w:rsidRDefault="00E27756" w:rsidP="00E27756">
      <w:pPr>
        <w:pStyle w:val="SangriaFrancesaArticulo"/>
      </w:pPr>
      <w:r w:rsidRPr="00E27756">
        <w:rPr>
          <w:rStyle w:val="TextoNormalNegritaCaracter"/>
        </w:rPr>
        <w:t>Artículo 109.</w:t>
      </w:r>
      <w:r w:rsidRPr="00E27756">
        <w:rPr>
          <w:rStyle w:val="TextoNormalCaracter"/>
        </w:rPr>
        <w:t>-</w:t>
      </w:r>
      <w:r>
        <w:t xml:space="preserve"> Sentencia </w:t>
      </w:r>
      <w:hyperlink w:anchor="SENTENCIA_2013_125" w:history="1">
        <w:r w:rsidRPr="00E27756">
          <w:rPr>
            <w:rStyle w:val="TextoNormalCaracter"/>
          </w:rPr>
          <w:t>125/2013</w:t>
        </w:r>
      </w:hyperlink>
      <w:r>
        <w:t>, f. 2.</w:t>
      </w:r>
    </w:p>
    <w:p w:rsidR="00E27756" w:rsidRDefault="00E27756" w:rsidP="00E27756">
      <w:pPr>
        <w:pStyle w:val="SangriaFrancesaArticulo"/>
      </w:pPr>
      <w:r w:rsidRPr="00E27756">
        <w:rPr>
          <w:rStyle w:val="TextoNormalNegritaCaracter"/>
        </w:rPr>
        <w:t>Artículo 114.2.</w:t>
      </w:r>
      <w:r w:rsidRPr="00E27756">
        <w:rPr>
          <w:rStyle w:val="TextoNormalCaracter"/>
        </w:rPr>
        <w:t>-</w:t>
      </w:r>
      <w:r>
        <w:t xml:space="preserve"> Sentencia </w:t>
      </w:r>
      <w:hyperlink w:anchor="SENTENCIA_2013_125" w:history="1">
        <w:r w:rsidRPr="00E27756">
          <w:rPr>
            <w:rStyle w:val="TextoNormalCaracter"/>
          </w:rPr>
          <w:t>125/2013</w:t>
        </w:r>
      </w:hyperlink>
      <w:r>
        <w:t>, f. 2.</w:t>
      </w:r>
    </w:p>
    <w:p w:rsidR="00E27756" w:rsidRDefault="00E27756" w:rsidP="00E27756">
      <w:pPr>
        <w:pStyle w:val="SangriaFrancesaArticulo"/>
      </w:pPr>
      <w:r w:rsidRPr="00E27756">
        <w:rPr>
          <w:rStyle w:val="TextoNormalNegritaCaracter"/>
        </w:rPr>
        <w:t>Artículo 127.</w:t>
      </w:r>
      <w:r w:rsidRPr="00E27756">
        <w:rPr>
          <w:rStyle w:val="TextoNormalCaracter"/>
        </w:rPr>
        <w:t>-</w:t>
      </w:r>
      <w:r>
        <w:t xml:space="preserve"> Autos </w:t>
      </w:r>
      <w:hyperlink w:anchor="AUTO_2013_30" w:history="1">
        <w:r w:rsidRPr="00E27756">
          <w:rPr>
            <w:rStyle w:val="TextoNormalCaracter"/>
          </w:rPr>
          <w:t>30/2013</w:t>
        </w:r>
      </w:hyperlink>
      <w:r>
        <w:t xml:space="preserve">, f. 1; </w:t>
      </w:r>
      <w:hyperlink w:anchor="AUTO_2013_31" w:history="1">
        <w:r w:rsidRPr="00E27756">
          <w:rPr>
            <w:rStyle w:val="TextoNormalCaracter"/>
          </w:rPr>
          <w:t>31/2013</w:t>
        </w:r>
      </w:hyperlink>
      <w:r>
        <w:t xml:space="preserve">, f. 1; </w:t>
      </w:r>
      <w:hyperlink w:anchor="AUTO_2013_32" w:history="1">
        <w:r w:rsidRPr="00E27756">
          <w:rPr>
            <w:rStyle w:val="TextoNormalCaracter"/>
          </w:rPr>
          <w:t>32/2013</w:t>
        </w:r>
      </w:hyperlink>
      <w:r>
        <w:t>, f. 1.</w:t>
      </w:r>
    </w:p>
    <w:p w:rsidR="00E27756" w:rsidRDefault="00E27756" w:rsidP="00E27756">
      <w:pPr>
        <w:pStyle w:val="SangriaFrancesaArticulo"/>
      </w:pPr>
      <w:r w:rsidRPr="00E27756">
        <w:rPr>
          <w:rStyle w:val="TextoNormalNegritaCaracter"/>
        </w:rPr>
        <w:t>Artículo 182.</w:t>
      </w:r>
      <w:r w:rsidRPr="00E27756">
        <w:rPr>
          <w:rStyle w:val="TextoNormalCaracter"/>
        </w:rPr>
        <w:t>-</w:t>
      </w:r>
      <w:r>
        <w:t xml:space="preserve"> Sentencia </w:t>
      </w:r>
      <w:hyperlink w:anchor="SENTENCIA_2013_125" w:history="1">
        <w:r w:rsidRPr="00E27756">
          <w:rPr>
            <w:rStyle w:val="TextoNormalCaracter"/>
          </w:rPr>
          <w:t>125/2013</w:t>
        </w:r>
      </w:hyperlink>
      <w:r>
        <w:t>, f. 6.</w:t>
      </w:r>
    </w:p>
    <w:p w:rsidR="00E27756" w:rsidRDefault="00E27756" w:rsidP="00E27756">
      <w:pPr>
        <w:pStyle w:val="SangriaFrancesaArticulo"/>
      </w:pPr>
      <w:r w:rsidRPr="00E27756">
        <w:rPr>
          <w:rStyle w:val="TextoNormalNegritaCaracter"/>
        </w:rPr>
        <w:t>Artículo 182.2.</w:t>
      </w:r>
      <w:r w:rsidRPr="00E27756">
        <w:rPr>
          <w:rStyle w:val="TextoNormalCaracter"/>
        </w:rPr>
        <w:t>-</w:t>
      </w:r>
      <w:r>
        <w:t xml:space="preserve"> Sentencia </w:t>
      </w:r>
      <w:hyperlink w:anchor="SENTENCIA_2013_125" w:history="1">
        <w:r w:rsidRPr="00E27756">
          <w:rPr>
            <w:rStyle w:val="TextoNormalCaracter"/>
          </w:rPr>
          <w:t>125/2013</w:t>
        </w:r>
      </w:hyperlink>
      <w:r>
        <w:t>, ff. 1, 2, 4, 6 a 8, VP.</w:t>
      </w:r>
    </w:p>
    <w:p w:rsidR="00E27756" w:rsidRDefault="00E27756" w:rsidP="00E27756">
      <w:pPr>
        <w:pStyle w:val="SangriaFrancesaArticulo"/>
      </w:pPr>
      <w:r w:rsidRPr="00E27756">
        <w:rPr>
          <w:rStyle w:val="TextoNormalNegritaCaracter"/>
        </w:rPr>
        <w:t>Artículo 182.2</w:t>
      </w:r>
      <w:r>
        <w:t xml:space="preserve"> </w:t>
      </w:r>
      <w:r w:rsidRPr="00E27756">
        <w:rPr>
          <w:rStyle w:val="TextoNormalCaracter"/>
        </w:rPr>
        <w:t>(redactado por la Ley Orgánica 1/2003, de 10 de marzo)</w:t>
      </w:r>
      <w:r w:rsidRPr="00E27756">
        <w:rPr>
          <w:rStyle w:val="TextoNormalNegritaCaracter"/>
        </w:rPr>
        <w:t>.</w:t>
      </w:r>
      <w:r w:rsidRPr="00E27756">
        <w:rPr>
          <w:rStyle w:val="TextoNormalCaracter"/>
        </w:rPr>
        <w:t>-</w:t>
      </w:r>
      <w:r>
        <w:t xml:space="preserve"> Sentencia </w:t>
      </w:r>
      <w:hyperlink w:anchor="SENTENCIA_2013_125" w:history="1">
        <w:r w:rsidRPr="00E27756">
          <w:rPr>
            <w:rStyle w:val="TextoNormalCaracter"/>
          </w:rPr>
          <w:t>125/2013</w:t>
        </w:r>
      </w:hyperlink>
      <w:r>
        <w:t>, f. 7.</w:t>
      </w:r>
    </w:p>
    <w:p w:rsidR="00E27756" w:rsidRDefault="00E27756" w:rsidP="00E27756">
      <w:pPr>
        <w:pStyle w:val="SangriaFrancesaArticulo"/>
      </w:pPr>
      <w:r w:rsidRPr="00E27756">
        <w:rPr>
          <w:rStyle w:val="TextoNormalNegritaCaracter"/>
        </w:rPr>
        <w:t>Artículo 196.</w:t>
      </w:r>
      <w:r w:rsidRPr="00E27756">
        <w:rPr>
          <w:rStyle w:val="TextoNormalCaracter"/>
        </w:rPr>
        <w:t>-</w:t>
      </w:r>
      <w:r>
        <w:t xml:space="preserve"> Sentencia </w:t>
      </w:r>
      <w:hyperlink w:anchor="SENTENCIA_2013_125" w:history="1">
        <w:r w:rsidRPr="00E27756">
          <w:rPr>
            <w:rStyle w:val="TextoNormalCaracter"/>
          </w:rPr>
          <w:t>125/2013</w:t>
        </w:r>
      </w:hyperlink>
      <w:r>
        <w:t>, ff. 2, 5 a 8.</w:t>
      </w:r>
    </w:p>
    <w:p w:rsidR="00E27756" w:rsidRDefault="00E27756" w:rsidP="00E27756">
      <w:pPr>
        <w:pStyle w:val="SangriaFrancesaArticulo"/>
      </w:pPr>
      <w:r w:rsidRPr="00E27756">
        <w:rPr>
          <w:rStyle w:val="TextoNormalNegritaCaracter"/>
        </w:rPr>
        <w:t>Artículo 196 a).</w:t>
      </w:r>
      <w:r w:rsidRPr="00E27756">
        <w:rPr>
          <w:rStyle w:val="TextoNormalCaracter"/>
        </w:rPr>
        <w:t>-</w:t>
      </w:r>
      <w:r>
        <w:t xml:space="preserve"> Sentencia </w:t>
      </w:r>
      <w:hyperlink w:anchor="SENTENCIA_2013_125" w:history="1">
        <w:r w:rsidRPr="00E27756">
          <w:rPr>
            <w:rStyle w:val="TextoNormalCaracter"/>
          </w:rPr>
          <w:t>125/2013</w:t>
        </w:r>
      </w:hyperlink>
      <w:r>
        <w:t>, ff. 5, 6.</w:t>
      </w:r>
    </w:p>
    <w:p w:rsidR="00E27756" w:rsidRDefault="00E27756" w:rsidP="00E27756">
      <w:pPr>
        <w:pStyle w:val="SangriaFrancesaArticulo"/>
      </w:pPr>
      <w:r w:rsidRPr="00E27756">
        <w:rPr>
          <w:rStyle w:val="TextoNormalNegritaCaracter"/>
        </w:rPr>
        <w:t>Artículo 198.</w:t>
      </w:r>
      <w:r w:rsidRPr="00E27756">
        <w:rPr>
          <w:rStyle w:val="TextoNormalCaracter"/>
        </w:rPr>
        <w:t>-</w:t>
      </w:r>
      <w:r>
        <w:t xml:space="preserve"> Sentencia </w:t>
      </w:r>
      <w:hyperlink w:anchor="SENTENCIA_2013_125" w:history="1">
        <w:r w:rsidRPr="00E27756">
          <w:rPr>
            <w:rStyle w:val="TextoNormalCaracter"/>
          </w:rPr>
          <w:t>125/2013</w:t>
        </w:r>
      </w:hyperlink>
      <w:r>
        <w:t>, ff. 2, 5 a 7.</w:t>
      </w:r>
    </w:p>
    <w:p w:rsidR="00E27756" w:rsidRDefault="00E27756" w:rsidP="00E27756">
      <w:pPr>
        <w:pStyle w:val="SangriaFrancesaArticulo"/>
      </w:pPr>
    </w:p>
    <w:p w:rsidR="00E27756" w:rsidRDefault="00E27756" w:rsidP="00E27756">
      <w:pPr>
        <w:pStyle w:val="TextoNormalNegritaCursivandice"/>
      </w:pPr>
      <w:r>
        <w:t>Ley Orgánica 6/1985, de 1 de julio. Poder judicial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1" w:history="1">
        <w:r w:rsidRPr="00E27756">
          <w:rPr>
            <w:rStyle w:val="TextoNormalCaracter"/>
          </w:rPr>
          <w:t>11/2013</w:t>
        </w:r>
      </w:hyperlink>
      <w:r>
        <w:t xml:space="preserve">, f. 4; </w:t>
      </w:r>
      <w:hyperlink w:anchor="SENTENCIA_2013_18" w:history="1">
        <w:r w:rsidRPr="00E27756">
          <w:rPr>
            <w:rStyle w:val="TextoNormalCaracter"/>
          </w:rPr>
          <w:t>18/2013</w:t>
        </w:r>
      </w:hyperlink>
      <w:r>
        <w:t>, ff. 3, 5.</w:t>
      </w:r>
    </w:p>
    <w:p w:rsidR="00E27756" w:rsidRDefault="00E27756" w:rsidP="00E27756">
      <w:pPr>
        <w:pStyle w:val="SangriaIzquierdaArticulo"/>
      </w:pPr>
      <w:r>
        <w:t xml:space="preserve">Autos </w:t>
      </w:r>
      <w:hyperlink w:anchor="AUTO_2013_7" w:history="1">
        <w:r w:rsidRPr="00E27756">
          <w:rPr>
            <w:rStyle w:val="TextoNormalCaracter"/>
          </w:rPr>
          <w:t>7/2013</w:t>
        </w:r>
      </w:hyperlink>
      <w:r>
        <w:t xml:space="preserve">, f. único; </w:t>
      </w:r>
      <w:hyperlink w:anchor="AUTO_2013_41" w:history="1">
        <w:r w:rsidRPr="00E27756">
          <w:rPr>
            <w:rStyle w:val="TextoNormalCaracter"/>
          </w:rPr>
          <w:t>41/2013</w:t>
        </w:r>
      </w:hyperlink>
      <w:r>
        <w:t xml:space="preserve">, f. único; </w:t>
      </w:r>
      <w:hyperlink w:anchor="AUTO_2013_63" w:history="1">
        <w:r w:rsidRPr="00E27756">
          <w:rPr>
            <w:rStyle w:val="TextoNormalCaracter"/>
          </w:rPr>
          <w:t>63/2013</w:t>
        </w:r>
      </w:hyperlink>
      <w:r>
        <w:t xml:space="preserve">, f. único; </w:t>
      </w:r>
      <w:hyperlink w:anchor="AUTO_2013_65" w:history="1">
        <w:r w:rsidRPr="00E27756">
          <w:rPr>
            <w:rStyle w:val="TextoNormalCaracter"/>
          </w:rPr>
          <w:t>65/2013</w:t>
        </w:r>
      </w:hyperlink>
      <w:r>
        <w:t xml:space="preserve">, f. 1; </w:t>
      </w:r>
      <w:hyperlink w:anchor="AUTO_2013_70" w:history="1">
        <w:r w:rsidRPr="00E27756">
          <w:rPr>
            <w:rStyle w:val="TextoNormalCaracter"/>
          </w:rPr>
          <w:t>70/2013</w:t>
        </w:r>
      </w:hyperlink>
      <w:r>
        <w:t xml:space="preserve">, f. 1; </w:t>
      </w:r>
      <w:hyperlink w:anchor="AUTO_2013_120" w:history="1">
        <w:r w:rsidRPr="00E27756">
          <w:rPr>
            <w:rStyle w:val="TextoNormalCaracter"/>
          </w:rPr>
          <w:t>120/2013</w:t>
        </w:r>
      </w:hyperlink>
      <w:r>
        <w:t xml:space="preserve">, f. único; </w:t>
      </w:r>
      <w:hyperlink w:anchor="AUTO_2013_121" w:history="1">
        <w:r w:rsidRPr="00E27756">
          <w:rPr>
            <w:rStyle w:val="TextoNormalCaracter"/>
          </w:rPr>
          <w:t>121/2013</w:t>
        </w:r>
      </w:hyperlink>
      <w:r>
        <w:t xml:space="preserve">, f. único; </w:t>
      </w:r>
      <w:hyperlink w:anchor="AUTO_2013_136" w:history="1">
        <w:r w:rsidRPr="00E27756">
          <w:rPr>
            <w:rStyle w:val="TextoNormalCaracter"/>
          </w:rPr>
          <w:t>136/2013</w:t>
        </w:r>
      </w:hyperlink>
      <w:r>
        <w:t>, f. 4.</w:t>
      </w:r>
    </w:p>
    <w:p w:rsidR="00E27756" w:rsidRDefault="00E27756" w:rsidP="00E27756">
      <w:pPr>
        <w:pStyle w:val="SangriaFrancesaArticulo"/>
      </w:pPr>
      <w:r w:rsidRPr="00E27756">
        <w:rPr>
          <w:rStyle w:val="TextoNormalNegritaCaracter"/>
        </w:rPr>
        <w:t>Artículo 5.1.</w:t>
      </w:r>
      <w:r w:rsidRPr="00E27756">
        <w:rPr>
          <w:rStyle w:val="TextoNormalCaracter"/>
        </w:rPr>
        <w:t>-</w:t>
      </w:r>
      <w:r>
        <w:t xml:space="preserve"> Sentencias </w:t>
      </w:r>
      <w:hyperlink w:anchor="SENTENCIA_2013_1" w:history="1">
        <w:r w:rsidRPr="00E27756">
          <w:rPr>
            <w:rStyle w:val="TextoNormalCaracter"/>
          </w:rPr>
          <w:t>1/2013</w:t>
        </w:r>
      </w:hyperlink>
      <w:r>
        <w:t xml:space="preserve">, ff. 1, 3; </w:t>
      </w:r>
      <w:hyperlink w:anchor="SENTENCIA_2013_2" w:history="1">
        <w:r w:rsidRPr="00E27756">
          <w:rPr>
            <w:rStyle w:val="TextoNormalCaracter"/>
          </w:rPr>
          <w:t>2/2013</w:t>
        </w:r>
      </w:hyperlink>
      <w:r>
        <w:t xml:space="preserve">, f. 7; </w:t>
      </w:r>
      <w:hyperlink w:anchor="SENTENCIA_2013_32" w:history="1">
        <w:r w:rsidRPr="00E27756">
          <w:rPr>
            <w:rStyle w:val="TextoNormalCaracter"/>
          </w:rPr>
          <w:t>32/2013</w:t>
        </w:r>
      </w:hyperlink>
      <w:r>
        <w:t xml:space="preserve">, f. 4; </w:t>
      </w:r>
      <w:hyperlink w:anchor="SENTENCIA_2013_109" w:history="1">
        <w:r w:rsidRPr="00E27756">
          <w:rPr>
            <w:rStyle w:val="TextoNormalCaracter"/>
          </w:rPr>
          <w:t>109/2013</w:t>
        </w:r>
      </w:hyperlink>
      <w:r>
        <w:t>, f. 5.</w:t>
      </w:r>
    </w:p>
    <w:p w:rsidR="00E27756" w:rsidRDefault="00E27756" w:rsidP="00E27756">
      <w:pPr>
        <w:pStyle w:val="SangriaFrancesaArticulo"/>
      </w:pPr>
      <w:r w:rsidRPr="00E27756">
        <w:rPr>
          <w:rStyle w:val="TextoNormalNegritaCaracter"/>
        </w:rPr>
        <w:t>Artículo 7.2.</w:t>
      </w:r>
      <w:r w:rsidRPr="00E27756">
        <w:rPr>
          <w:rStyle w:val="TextoNormalCaracter"/>
        </w:rPr>
        <w:t>-</w:t>
      </w:r>
      <w:r>
        <w:t xml:space="preserve"> Sentencia </w:t>
      </w:r>
      <w:hyperlink w:anchor="SENTENCIA_2013_133" w:history="1">
        <w:r w:rsidRPr="00E27756">
          <w:rPr>
            <w:rStyle w:val="TextoNormalCaracter"/>
          </w:rPr>
          <w:t>133/2013</w:t>
        </w:r>
      </w:hyperlink>
      <w:r>
        <w:t>, f. 6.</w:t>
      </w:r>
    </w:p>
    <w:p w:rsidR="00E27756" w:rsidRDefault="00E27756" w:rsidP="00E27756">
      <w:pPr>
        <w:pStyle w:val="SangriaFrancesaArticulo"/>
      </w:pPr>
      <w:r w:rsidRPr="00E27756">
        <w:rPr>
          <w:rStyle w:val="TextoNormalNegritaCaracter"/>
        </w:rPr>
        <w:t>Artículo 36.</w:t>
      </w:r>
      <w:r w:rsidRPr="00E27756">
        <w:rPr>
          <w:rStyle w:val="TextoNormalCaracter"/>
        </w:rPr>
        <w:t>-</w:t>
      </w:r>
      <w:r>
        <w:t xml:space="preserve"> Sentencia </w:t>
      </w:r>
      <w:hyperlink w:anchor="SENTENCIA_2013_11" w:history="1">
        <w:r w:rsidRPr="00E27756">
          <w:rPr>
            <w:rStyle w:val="TextoNormalCaracter"/>
          </w:rPr>
          <w:t>11/2013</w:t>
        </w:r>
      </w:hyperlink>
      <w:r>
        <w:t>, f. 4.</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Sentencia </w:t>
      </w:r>
      <w:hyperlink w:anchor="SENTENCIA_2013_121" w:history="1">
        <w:r w:rsidRPr="00E27756">
          <w:rPr>
            <w:rStyle w:val="TextoNormalCaracter"/>
          </w:rPr>
          <w:t>121/2013</w:t>
        </w:r>
      </w:hyperlink>
      <w:r>
        <w:t>, f. 4.</w:t>
      </w:r>
    </w:p>
    <w:p w:rsidR="00E27756" w:rsidRDefault="00E27756" w:rsidP="00E27756">
      <w:pPr>
        <w:pStyle w:val="SangriaFrancesaArticulo"/>
      </w:pPr>
      <w:r w:rsidRPr="00E27756">
        <w:rPr>
          <w:rStyle w:val="TextoNormalNegritaCaracter"/>
        </w:rPr>
        <w:t>Artículo 54.</w:t>
      </w:r>
      <w:r w:rsidRPr="00E27756">
        <w:rPr>
          <w:rStyle w:val="TextoNormalCaracter"/>
        </w:rPr>
        <w:t>-</w:t>
      </w:r>
      <w:r>
        <w:t xml:space="preserve"> Sentencia </w:t>
      </w:r>
      <w:hyperlink w:anchor="SENTENCIA_2013_11" w:history="1">
        <w:r w:rsidRPr="00E27756">
          <w:rPr>
            <w:rStyle w:val="TextoNormalCaracter"/>
          </w:rPr>
          <w:t>11/2013</w:t>
        </w:r>
      </w:hyperlink>
      <w:r>
        <w:t>, f. 4.</w:t>
      </w:r>
    </w:p>
    <w:p w:rsidR="00E27756" w:rsidRDefault="00E27756" w:rsidP="00E27756">
      <w:pPr>
        <w:pStyle w:val="SangriaFrancesaArticulo"/>
      </w:pPr>
      <w:r w:rsidRPr="00E27756">
        <w:rPr>
          <w:rStyle w:val="TextoNormalNegritaCaracter"/>
        </w:rPr>
        <w:t>Artículo 56.2.</w:t>
      </w:r>
      <w:r w:rsidRPr="00E27756">
        <w:rPr>
          <w:rStyle w:val="TextoNormalCaracter"/>
        </w:rPr>
        <w:t>-</w:t>
      </w:r>
      <w:r>
        <w:t xml:space="preserve"> Sentencia </w:t>
      </w:r>
      <w:hyperlink w:anchor="SENTENCIA_2013_133" w:history="1">
        <w:r w:rsidRPr="00E27756">
          <w:rPr>
            <w:rStyle w:val="TextoNormalCaracter"/>
          </w:rPr>
          <w:t>133/2013</w:t>
        </w:r>
      </w:hyperlink>
      <w:r>
        <w:t>, ff. 5, 6.</w:t>
      </w:r>
    </w:p>
    <w:p w:rsidR="00E27756" w:rsidRDefault="00E27756" w:rsidP="00E27756">
      <w:pPr>
        <w:pStyle w:val="SangriaFrancesaArticulo"/>
      </w:pPr>
      <w:r w:rsidRPr="00E27756">
        <w:rPr>
          <w:rStyle w:val="TextoNormalNegritaCaracter"/>
        </w:rPr>
        <w:t>Artículo 61.</w:t>
      </w:r>
      <w:r w:rsidRPr="00E27756">
        <w:rPr>
          <w:rStyle w:val="TextoNormalCaracter"/>
        </w:rPr>
        <w:t>-</w:t>
      </w:r>
      <w:r>
        <w:t xml:space="preserve"> Sentencia </w:t>
      </w:r>
      <w:hyperlink w:anchor="SENTENCIA_2013_10" w:history="1">
        <w:r w:rsidRPr="00E27756">
          <w:rPr>
            <w:rStyle w:val="TextoNormalCaracter"/>
          </w:rPr>
          <w:t>10/2013</w:t>
        </w:r>
      </w:hyperlink>
      <w:r>
        <w:t>, ff. 1 a 4.</w:t>
      </w:r>
    </w:p>
    <w:p w:rsidR="00E27756" w:rsidRDefault="00E27756" w:rsidP="00E27756">
      <w:pPr>
        <w:pStyle w:val="SangriaIzquierdaArticulo"/>
      </w:pPr>
      <w:r>
        <w:t xml:space="preserve">Autos </w:t>
      </w:r>
      <w:hyperlink w:anchor="AUTO_2013_30" w:history="1">
        <w:r w:rsidRPr="00E27756">
          <w:rPr>
            <w:rStyle w:val="TextoNormalCaracter"/>
          </w:rPr>
          <w:t>30/2013</w:t>
        </w:r>
      </w:hyperlink>
      <w:r>
        <w:t xml:space="preserve">, ff. 2 a 4; </w:t>
      </w:r>
      <w:hyperlink w:anchor="AUTO_2013_31" w:history="1">
        <w:r w:rsidRPr="00E27756">
          <w:rPr>
            <w:rStyle w:val="TextoNormalCaracter"/>
          </w:rPr>
          <w:t>31/2013</w:t>
        </w:r>
      </w:hyperlink>
      <w:r>
        <w:t xml:space="preserve">, ff. 2 a 4; </w:t>
      </w:r>
      <w:hyperlink w:anchor="AUTO_2013_32" w:history="1">
        <w:r w:rsidRPr="00E27756">
          <w:rPr>
            <w:rStyle w:val="TextoNormalCaracter"/>
          </w:rPr>
          <w:t>32/2013</w:t>
        </w:r>
      </w:hyperlink>
      <w:r>
        <w:t>, ff. 2 a 4.</w:t>
      </w:r>
    </w:p>
    <w:p w:rsidR="00E27756" w:rsidRDefault="00E27756" w:rsidP="00E27756">
      <w:pPr>
        <w:pStyle w:val="SangriaFrancesaArticulo"/>
      </w:pPr>
      <w:r w:rsidRPr="00E27756">
        <w:rPr>
          <w:rStyle w:val="TextoNormalNegritaCaracter"/>
        </w:rPr>
        <w:t>Artículo 64.2.</w:t>
      </w:r>
      <w:r w:rsidRPr="00E27756">
        <w:rPr>
          <w:rStyle w:val="TextoNormalCaracter"/>
        </w:rPr>
        <w:t>-</w:t>
      </w:r>
      <w:r>
        <w:t xml:space="preserve"> Sentencia </w:t>
      </w:r>
      <w:hyperlink w:anchor="SENTENCIA_2013_11" w:history="1">
        <w:r w:rsidRPr="00E27756">
          <w:rPr>
            <w:rStyle w:val="TextoNormalCaracter"/>
          </w:rPr>
          <w:t>11/2013</w:t>
        </w:r>
      </w:hyperlink>
      <w:r>
        <w:t>, f. 4.</w:t>
      </w:r>
    </w:p>
    <w:p w:rsidR="00E27756" w:rsidRDefault="00E27756" w:rsidP="00E27756">
      <w:pPr>
        <w:pStyle w:val="SangriaFrancesaArticulo"/>
      </w:pPr>
      <w:r w:rsidRPr="00E27756">
        <w:rPr>
          <w:rStyle w:val="TextoNormalNegritaCaracter"/>
        </w:rPr>
        <w:t>Artículo 72.2.</w:t>
      </w:r>
      <w:r w:rsidRPr="00E27756">
        <w:rPr>
          <w:rStyle w:val="TextoNormalCaracter"/>
        </w:rPr>
        <w:t>-</w:t>
      </w:r>
      <w:r>
        <w:t xml:space="preserve"> Sentencia </w:t>
      </w:r>
      <w:hyperlink w:anchor="SENTENCIA_2013_11" w:history="1">
        <w:r w:rsidRPr="00E27756">
          <w:rPr>
            <w:rStyle w:val="TextoNormalCaracter"/>
          </w:rPr>
          <w:t>11/2013</w:t>
        </w:r>
      </w:hyperlink>
      <w:r>
        <w:t>, f. 4.</w:t>
      </w:r>
    </w:p>
    <w:p w:rsidR="00E27756" w:rsidRDefault="00E27756" w:rsidP="00E27756">
      <w:pPr>
        <w:pStyle w:val="SangriaFrancesaArticulo"/>
      </w:pPr>
      <w:r w:rsidRPr="00E27756">
        <w:rPr>
          <w:rStyle w:val="TextoNormalNegritaCaracter"/>
        </w:rPr>
        <w:t>Artículo 81.</w:t>
      </w:r>
      <w:r w:rsidRPr="00E27756">
        <w:rPr>
          <w:rStyle w:val="TextoNormalCaracter"/>
        </w:rPr>
        <w:t>-</w:t>
      </w:r>
      <w:r>
        <w:t xml:space="preserve"> Sentencia </w:t>
      </w:r>
      <w:hyperlink w:anchor="SENTENCIA_2013_11" w:history="1">
        <w:r w:rsidRPr="00E27756">
          <w:rPr>
            <w:rStyle w:val="TextoNormalCaracter"/>
          </w:rPr>
          <w:t>11/2013</w:t>
        </w:r>
      </w:hyperlink>
      <w:r>
        <w:t>, f. 4.</w:t>
      </w:r>
    </w:p>
    <w:p w:rsidR="00E27756" w:rsidRDefault="00E27756" w:rsidP="00E27756">
      <w:pPr>
        <w:pStyle w:val="SangriaFrancesaArticulo"/>
      </w:pPr>
      <w:r w:rsidRPr="00E27756">
        <w:rPr>
          <w:rStyle w:val="TextoNormalNegritaCaracter"/>
        </w:rPr>
        <w:t>Artículo 167.1.</w:t>
      </w:r>
      <w:r w:rsidRPr="00E27756">
        <w:rPr>
          <w:rStyle w:val="TextoNormalCaracter"/>
        </w:rPr>
        <w:t>-</w:t>
      </w:r>
      <w:r>
        <w:t xml:space="preserve"> Sentencia </w:t>
      </w:r>
      <w:hyperlink w:anchor="SENTENCIA_2013_11" w:history="1">
        <w:r w:rsidRPr="00E27756">
          <w:rPr>
            <w:rStyle w:val="TextoNormalCaracter"/>
          </w:rPr>
          <w:t>11/2013</w:t>
        </w:r>
      </w:hyperlink>
      <w:r>
        <w:t>, f. 4.</w:t>
      </w:r>
    </w:p>
    <w:p w:rsidR="00E27756" w:rsidRDefault="00E27756" w:rsidP="00E27756">
      <w:pPr>
        <w:pStyle w:val="SangriaFrancesaArticulo"/>
      </w:pPr>
      <w:r w:rsidRPr="00E27756">
        <w:rPr>
          <w:rStyle w:val="TextoNormalNegritaCaracter"/>
        </w:rPr>
        <w:t>Artículo 209, párrafo 11 a).</w:t>
      </w:r>
      <w:r w:rsidRPr="00E27756">
        <w:rPr>
          <w:rStyle w:val="TextoNormalCaracter"/>
        </w:rPr>
        <w:t>-</w:t>
      </w:r>
      <w:r>
        <w:t xml:space="preserve"> Auto </w:t>
      </w:r>
      <w:hyperlink w:anchor="AUTO_2013_131" w:history="1">
        <w:r w:rsidRPr="00E27756">
          <w:rPr>
            <w:rStyle w:val="TextoNormalCaracter"/>
          </w:rPr>
          <w:t>131/2013</w:t>
        </w:r>
      </w:hyperlink>
      <w:r>
        <w:t>, f. único.</w:t>
      </w:r>
    </w:p>
    <w:p w:rsidR="00E27756" w:rsidRDefault="00E27756" w:rsidP="00E27756">
      <w:pPr>
        <w:pStyle w:val="SangriaFrancesaArticulo"/>
      </w:pPr>
      <w:r w:rsidRPr="00E27756">
        <w:rPr>
          <w:rStyle w:val="TextoNormalNegritaCaracter"/>
        </w:rPr>
        <w:lastRenderedPageBreak/>
        <w:t>Artículo 216 bis inciso 1</w:t>
      </w:r>
      <w:r>
        <w:t xml:space="preserve"> </w:t>
      </w:r>
      <w:r w:rsidRPr="00E27756">
        <w:rPr>
          <w:rStyle w:val="TextoNormalCaracter"/>
        </w:rPr>
        <w:t>(redactado por la Ley Orgánica 19/2003, de 23 de diciembre)</w:t>
      </w:r>
      <w:r w:rsidRPr="00E27756">
        <w:rPr>
          <w:rStyle w:val="TextoNormalNegritaCaracter"/>
        </w:rPr>
        <w:t>.</w:t>
      </w:r>
      <w:r w:rsidRPr="00E27756">
        <w:rPr>
          <w:rStyle w:val="TextoNormalCaracter"/>
        </w:rPr>
        <w:t>-</w:t>
      </w:r>
      <w:r>
        <w:t xml:space="preserve"> Sentencia </w:t>
      </w:r>
      <w:hyperlink w:anchor="SENTENCIA_2013_11" w:history="1">
        <w:r w:rsidRPr="00E27756">
          <w:rPr>
            <w:rStyle w:val="TextoNormalCaracter"/>
          </w:rPr>
          <w:t>11/2013</w:t>
        </w:r>
      </w:hyperlink>
      <w:r>
        <w:t>, f. 4.</w:t>
      </w:r>
    </w:p>
    <w:p w:rsidR="00E27756" w:rsidRDefault="00E27756" w:rsidP="00E27756">
      <w:pPr>
        <w:pStyle w:val="SangriaFrancesaArticulo"/>
      </w:pPr>
      <w:r w:rsidRPr="00E27756">
        <w:rPr>
          <w:rStyle w:val="TextoNormalNegritaCaracter"/>
        </w:rPr>
        <w:t>Artículo 219.6.</w:t>
      </w:r>
      <w:r w:rsidRPr="00E27756">
        <w:rPr>
          <w:rStyle w:val="TextoNormalCaracter"/>
        </w:rPr>
        <w:t>-</w:t>
      </w:r>
      <w:r>
        <w:t xml:space="preserve"> Auto </w:t>
      </w:r>
      <w:hyperlink w:anchor="AUTO_2013_34" w:history="1">
        <w:r w:rsidRPr="00E27756">
          <w:rPr>
            <w:rStyle w:val="TextoNormalCaracter"/>
          </w:rPr>
          <w:t>34/2013</w:t>
        </w:r>
      </w:hyperlink>
      <w:r>
        <w:t>, f. único.</w:t>
      </w:r>
    </w:p>
    <w:p w:rsidR="00E27756" w:rsidRDefault="00E27756" w:rsidP="00E27756">
      <w:pPr>
        <w:pStyle w:val="SangriaFrancesaArticulo"/>
      </w:pPr>
      <w:r w:rsidRPr="00E27756">
        <w:rPr>
          <w:rStyle w:val="TextoNormalNegritaCaracter"/>
        </w:rPr>
        <w:t>Artículo 219.11.</w:t>
      </w:r>
      <w:r w:rsidRPr="00E27756">
        <w:rPr>
          <w:rStyle w:val="TextoNormalCaracter"/>
        </w:rPr>
        <w:t>-</w:t>
      </w:r>
      <w:r>
        <w:t xml:space="preserve"> Autos </w:t>
      </w:r>
      <w:hyperlink w:anchor="AUTO_2013_3" w:history="1">
        <w:r w:rsidRPr="00E27756">
          <w:rPr>
            <w:rStyle w:val="TextoNormalCaracter"/>
          </w:rPr>
          <w:t>3/2013</w:t>
        </w:r>
      </w:hyperlink>
      <w:r>
        <w:t xml:space="preserve">, f. único; </w:t>
      </w:r>
      <w:hyperlink w:anchor="AUTO_2013_4" w:history="1">
        <w:r w:rsidRPr="00E27756">
          <w:rPr>
            <w:rStyle w:val="TextoNormalCaracter"/>
          </w:rPr>
          <w:t>4/2013</w:t>
        </w:r>
      </w:hyperlink>
      <w:r>
        <w:t xml:space="preserve">, f. único; </w:t>
      </w:r>
      <w:hyperlink w:anchor="AUTO_2013_11" w:history="1">
        <w:r w:rsidRPr="00E27756">
          <w:rPr>
            <w:rStyle w:val="TextoNormalCaracter"/>
          </w:rPr>
          <w:t>11/2013</w:t>
        </w:r>
      </w:hyperlink>
      <w:r>
        <w:t xml:space="preserve">, f. único; </w:t>
      </w:r>
      <w:hyperlink w:anchor="AUTO_2013_12" w:history="1">
        <w:r w:rsidRPr="00E27756">
          <w:rPr>
            <w:rStyle w:val="TextoNormalCaracter"/>
          </w:rPr>
          <w:t>12/2013</w:t>
        </w:r>
      </w:hyperlink>
      <w:r>
        <w:t xml:space="preserve">, f. único; </w:t>
      </w:r>
      <w:hyperlink w:anchor="AUTO_2013_15" w:history="1">
        <w:r w:rsidRPr="00E27756">
          <w:rPr>
            <w:rStyle w:val="TextoNormalCaracter"/>
          </w:rPr>
          <w:t>15/2013</w:t>
        </w:r>
      </w:hyperlink>
      <w:r>
        <w:t xml:space="preserve">, f. único; </w:t>
      </w:r>
      <w:hyperlink w:anchor="AUTO_2013_16" w:history="1">
        <w:r w:rsidRPr="00E27756">
          <w:rPr>
            <w:rStyle w:val="TextoNormalCaracter"/>
          </w:rPr>
          <w:t>16/2013</w:t>
        </w:r>
      </w:hyperlink>
      <w:r>
        <w:t xml:space="preserve">, f. único; </w:t>
      </w:r>
      <w:hyperlink w:anchor="AUTO_2013_17" w:history="1">
        <w:r w:rsidRPr="00E27756">
          <w:rPr>
            <w:rStyle w:val="TextoNormalCaracter"/>
          </w:rPr>
          <w:t>17/2013</w:t>
        </w:r>
      </w:hyperlink>
      <w:r>
        <w:t xml:space="preserve">, f. único; </w:t>
      </w:r>
      <w:hyperlink w:anchor="AUTO_2013_37" w:history="1">
        <w:r w:rsidRPr="00E27756">
          <w:rPr>
            <w:rStyle w:val="TextoNormalCaracter"/>
          </w:rPr>
          <w:t>37/2013</w:t>
        </w:r>
      </w:hyperlink>
      <w:r>
        <w:t xml:space="preserve">, f. único; </w:t>
      </w:r>
      <w:hyperlink w:anchor="AUTO_2013_38" w:history="1">
        <w:r w:rsidRPr="00E27756">
          <w:rPr>
            <w:rStyle w:val="TextoNormalCaracter"/>
          </w:rPr>
          <w:t>38/2013</w:t>
        </w:r>
      </w:hyperlink>
      <w:r>
        <w:t xml:space="preserve">, f. único; </w:t>
      </w:r>
      <w:hyperlink w:anchor="AUTO_2013_39" w:history="1">
        <w:r w:rsidRPr="00E27756">
          <w:rPr>
            <w:rStyle w:val="TextoNormalCaracter"/>
          </w:rPr>
          <w:t>39/2013</w:t>
        </w:r>
      </w:hyperlink>
      <w:r>
        <w:t xml:space="preserve">, f. único; </w:t>
      </w:r>
      <w:hyperlink w:anchor="AUTO_2013_44" w:history="1">
        <w:r w:rsidRPr="00E27756">
          <w:rPr>
            <w:rStyle w:val="TextoNormalCaracter"/>
          </w:rPr>
          <w:t>44/2013</w:t>
        </w:r>
      </w:hyperlink>
      <w:r>
        <w:t xml:space="preserve">, f. único; </w:t>
      </w:r>
      <w:hyperlink w:anchor="AUTO_2013_45" w:history="1">
        <w:r w:rsidRPr="00E27756">
          <w:rPr>
            <w:rStyle w:val="TextoNormalCaracter"/>
          </w:rPr>
          <w:t>45/2013</w:t>
        </w:r>
      </w:hyperlink>
      <w:r>
        <w:t xml:space="preserve">, f. único; </w:t>
      </w:r>
      <w:hyperlink w:anchor="AUTO_2013_49" w:history="1">
        <w:r w:rsidRPr="00E27756">
          <w:rPr>
            <w:rStyle w:val="TextoNormalCaracter"/>
          </w:rPr>
          <w:t>49/2013</w:t>
        </w:r>
      </w:hyperlink>
      <w:r>
        <w:t xml:space="preserve">, f. único; </w:t>
      </w:r>
      <w:hyperlink w:anchor="AUTO_2013_62" w:history="1">
        <w:r w:rsidRPr="00E27756">
          <w:rPr>
            <w:rStyle w:val="TextoNormalCaracter"/>
          </w:rPr>
          <w:t>62/2013</w:t>
        </w:r>
      </w:hyperlink>
      <w:r>
        <w:t xml:space="preserve">, f. único; </w:t>
      </w:r>
      <w:hyperlink w:anchor="AUTO_2013_90" w:history="1">
        <w:r w:rsidRPr="00E27756">
          <w:rPr>
            <w:rStyle w:val="TextoNormalCaracter"/>
          </w:rPr>
          <w:t>90/2013</w:t>
        </w:r>
      </w:hyperlink>
      <w:r>
        <w:t xml:space="preserve">, f. único; </w:t>
      </w:r>
      <w:hyperlink w:anchor="AUTO_2013_91" w:history="1">
        <w:r w:rsidRPr="00E27756">
          <w:rPr>
            <w:rStyle w:val="TextoNormalCaracter"/>
          </w:rPr>
          <w:t>91/2013</w:t>
        </w:r>
      </w:hyperlink>
      <w:r>
        <w:t xml:space="preserve">, f. único; </w:t>
      </w:r>
      <w:hyperlink w:anchor="AUTO_2013_97" w:history="1">
        <w:r w:rsidRPr="00E27756">
          <w:rPr>
            <w:rStyle w:val="TextoNormalCaracter"/>
          </w:rPr>
          <w:t>97/2013</w:t>
        </w:r>
      </w:hyperlink>
      <w:r>
        <w:t xml:space="preserve">, f. único; </w:t>
      </w:r>
      <w:hyperlink w:anchor="AUTO_2013_98" w:history="1">
        <w:r w:rsidRPr="00E27756">
          <w:rPr>
            <w:rStyle w:val="TextoNormalCaracter"/>
          </w:rPr>
          <w:t>98/2013</w:t>
        </w:r>
      </w:hyperlink>
      <w:r>
        <w:t xml:space="preserve">, f. único; </w:t>
      </w:r>
      <w:hyperlink w:anchor="AUTO_2013_99" w:history="1">
        <w:r w:rsidRPr="00E27756">
          <w:rPr>
            <w:rStyle w:val="TextoNormalCaracter"/>
          </w:rPr>
          <w:t>99/2013</w:t>
        </w:r>
      </w:hyperlink>
      <w:r>
        <w:t xml:space="preserve">, f. único; </w:t>
      </w:r>
      <w:hyperlink w:anchor="AUTO_2013_100" w:history="1">
        <w:r w:rsidRPr="00E27756">
          <w:rPr>
            <w:rStyle w:val="TextoNormalCaracter"/>
          </w:rPr>
          <w:t>100/2013</w:t>
        </w:r>
      </w:hyperlink>
      <w:r>
        <w:t xml:space="preserve">, f. único; </w:t>
      </w:r>
      <w:hyperlink w:anchor="AUTO_2013_101" w:history="1">
        <w:r w:rsidRPr="00E27756">
          <w:rPr>
            <w:rStyle w:val="TextoNormalCaracter"/>
          </w:rPr>
          <w:t>101/2013</w:t>
        </w:r>
      </w:hyperlink>
      <w:r>
        <w:t xml:space="preserve">, f. único; </w:t>
      </w:r>
      <w:hyperlink w:anchor="AUTO_2013_102" w:history="1">
        <w:r w:rsidRPr="00E27756">
          <w:rPr>
            <w:rStyle w:val="TextoNormalCaracter"/>
          </w:rPr>
          <w:t>102/2013</w:t>
        </w:r>
      </w:hyperlink>
      <w:r>
        <w:t xml:space="preserve">, f. único; </w:t>
      </w:r>
      <w:hyperlink w:anchor="AUTO_2013_103" w:history="1">
        <w:r w:rsidRPr="00E27756">
          <w:rPr>
            <w:rStyle w:val="TextoNormalCaracter"/>
          </w:rPr>
          <w:t>103/2013</w:t>
        </w:r>
      </w:hyperlink>
      <w:r>
        <w:t xml:space="preserve">, f. único; </w:t>
      </w:r>
      <w:hyperlink w:anchor="AUTO_2013_135" w:history="1">
        <w:r w:rsidRPr="00E27756">
          <w:rPr>
            <w:rStyle w:val="TextoNormalCaracter"/>
          </w:rPr>
          <w:t>135/2013</w:t>
        </w:r>
      </w:hyperlink>
      <w:r>
        <w:t xml:space="preserve">, f. único; </w:t>
      </w:r>
      <w:hyperlink w:anchor="AUTO_2013_138" w:history="1">
        <w:r w:rsidRPr="00E27756">
          <w:rPr>
            <w:rStyle w:val="TextoNormalCaracter"/>
          </w:rPr>
          <w:t>138/2013</w:t>
        </w:r>
      </w:hyperlink>
      <w:r>
        <w:t xml:space="preserve">, f. único; </w:t>
      </w:r>
      <w:hyperlink w:anchor="AUTO_2013_141" w:history="1">
        <w:r w:rsidRPr="00E27756">
          <w:rPr>
            <w:rStyle w:val="TextoNormalCaracter"/>
          </w:rPr>
          <w:t>141/2013</w:t>
        </w:r>
      </w:hyperlink>
      <w:r>
        <w:t xml:space="preserve">, f. 3; </w:t>
      </w:r>
      <w:hyperlink w:anchor="AUTO_2013_144" w:history="1">
        <w:r w:rsidRPr="00E27756">
          <w:rPr>
            <w:rStyle w:val="TextoNormalCaracter"/>
          </w:rPr>
          <w:t>144/2013</w:t>
        </w:r>
      </w:hyperlink>
      <w:r>
        <w:t xml:space="preserve">, f. único; </w:t>
      </w:r>
      <w:hyperlink w:anchor="AUTO_2013_147" w:history="1">
        <w:r w:rsidRPr="00E27756">
          <w:rPr>
            <w:rStyle w:val="TextoNormalCaracter"/>
          </w:rPr>
          <w:t>147/2013</w:t>
        </w:r>
      </w:hyperlink>
      <w:r>
        <w:t xml:space="preserve">, f. único; </w:t>
      </w:r>
      <w:hyperlink w:anchor="AUTO_2013_148" w:history="1">
        <w:r w:rsidRPr="00E27756">
          <w:rPr>
            <w:rStyle w:val="TextoNormalCaracter"/>
          </w:rPr>
          <w:t>148/2013</w:t>
        </w:r>
      </w:hyperlink>
      <w:r>
        <w:t>, f. único.</w:t>
      </w:r>
    </w:p>
    <w:p w:rsidR="00E27756" w:rsidRDefault="00E27756" w:rsidP="00E27756">
      <w:pPr>
        <w:pStyle w:val="SangriaFrancesaArticulo"/>
      </w:pPr>
      <w:r w:rsidRPr="00E27756">
        <w:rPr>
          <w:rStyle w:val="TextoNormalNegritaCaracter"/>
        </w:rPr>
        <w:t>Artículo 219.13.</w:t>
      </w:r>
      <w:r w:rsidRPr="00E27756">
        <w:rPr>
          <w:rStyle w:val="TextoNormalCaracter"/>
        </w:rPr>
        <w:t>-</w:t>
      </w:r>
      <w:r>
        <w:t xml:space="preserve"> Auto </w:t>
      </w:r>
      <w:hyperlink w:anchor="AUTO_2013_29" w:history="1">
        <w:r w:rsidRPr="00E27756">
          <w:rPr>
            <w:rStyle w:val="TextoNormalCaracter"/>
          </w:rPr>
          <w:t>29/2013</w:t>
        </w:r>
      </w:hyperlink>
      <w:r>
        <w:t>, f. único.</w:t>
      </w:r>
    </w:p>
    <w:p w:rsidR="00E27756" w:rsidRDefault="00E27756" w:rsidP="00E27756">
      <w:pPr>
        <w:pStyle w:val="SangriaFrancesaArticulo"/>
      </w:pPr>
      <w:r w:rsidRPr="00E27756">
        <w:rPr>
          <w:rStyle w:val="TextoNormalNegritaCaracter"/>
        </w:rPr>
        <w:t>Artículo 221.4.</w:t>
      </w:r>
      <w:r w:rsidRPr="00E27756">
        <w:rPr>
          <w:rStyle w:val="TextoNormalCaracter"/>
        </w:rPr>
        <w:t>-</w:t>
      </w:r>
      <w:r>
        <w:t xml:space="preserve"> Autos </w:t>
      </w:r>
      <w:hyperlink w:anchor="AUTO_2013_3" w:history="1">
        <w:r w:rsidRPr="00E27756">
          <w:rPr>
            <w:rStyle w:val="TextoNormalCaracter"/>
          </w:rPr>
          <w:t>3/2013</w:t>
        </w:r>
      </w:hyperlink>
      <w:r>
        <w:t xml:space="preserve">, f. único; </w:t>
      </w:r>
      <w:hyperlink w:anchor="AUTO_2013_4" w:history="1">
        <w:r w:rsidRPr="00E27756">
          <w:rPr>
            <w:rStyle w:val="TextoNormalCaracter"/>
          </w:rPr>
          <w:t>4/2013</w:t>
        </w:r>
      </w:hyperlink>
      <w:r>
        <w:t xml:space="preserve">, f. único; </w:t>
      </w:r>
      <w:hyperlink w:anchor="AUTO_2013_11" w:history="1">
        <w:r w:rsidRPr="00E27756">
          <w:rPr>
            <w:rStyle w:val="TextoNormalCaracter"/>
          </w:rPr>
          <w:t>11/2013</w:t>
        </w:r>
      </w:hyperlink>
      <w:r>
        <w:t xml:space="preserve">, f. único; </w:t>
      </w:r>
      <w:hyperlink w:anchor="AUTO_2013_12" w:history="1">
        <w:r w:rsidRPr="00E27756">
          <w:rPr>
            <w:rStyle w:val="TextoNormalCaracter"/>
          </w:rPr>
          <w:t>12/2013</w:t>
        </w:r>
      </w:hyperlink>
      <w:r>
        <w:t xml:space="preserve">, f. único; </w:t>
      </w:r>
      <w:hyperlink w:anchor="AUTO_2013_15" w:history="1">
        <w:r w:rsidRPr="00E27756">
          <w:rPr>
            <w:rStyle w:val="TextoNormalCaracter"/>
          </w:rPr>
          <w:t>15/2013</w:t>
        </w:r>
      </w:hyperlink>
      <w:r>
        <w:t xml:space="preserve">, f. único; </w:t>
      </w:r>
      <w:hyperlink w:anchor="AUTO_2013_16" w:history="1">
        <w:r w:rsidRPr="00E27756">
          <w:rPr>
            <w:rStyle w:val="TextoNormalCaracter"/>
          </w:rPr>
          <w:t>16/2013</w:t>
        </w:r>
      </w:hyperlink>
      <w:r>
        <w:t xml:space="preserve">, f. único; </w:t>
      </w:r>
      <w:hyperlink w:anchor="AUTO_2013_17" w:history="1">
        <w:r w:rsidRPr="00E27756">
          <w:rPr>
            <w:rStyle w:val="TextoNormalCaracter"/>
          </w:rPr>
          <w:t>17/2013</w:t>
        </w:r>
      </w:hyperlink>
      <w:r>
        <w:t xml:space="preserve">, f. único; </w:t>
      </w:r>
      <w:hyperlink w:anchor="AUTO_2013_37" w:history="1">
        <w:r w:rsidRPr="00E27756">
          <w:rPr>
            <w:rStyle w:val="TextoNormalCaracter"/>
          </w:rPr>
          <w:t>37/2013</w:t>
        </w:r>
      </w:hyperlink>
      <w:r>
        <w:t xml:space="preserve">, f. único; </w:t>
      </w:r>
      <w:hyperlink w:anchor="AUTO_2013_38" w:history="1">
        <w:r w:rsidRPr="00E27756">
          <w:rPr>
            <w:rStyle w:val="TextoNormalCaracter"/>
          </w:rPr>
          <w:t>38/2013</w:t>
        </w:r>
      </w:hyperlink>
      <w:r>
        <w:t xml:space="preserve">, f. único; </w:t>
      </w:r>
      <w:hyperlink w:anchor="AUTO_2013_39" w:history="1">
        <w:r w:rsidRPr="00E27756">
          <w:rPr>
            <w:rStyle w:val="TextoNormalCaracter"/>
          </w:rPr>
          <w:t>39/2013</w:t>
        </w:r>
      </w:hyperlink>
      <w:r>
        <w:t xml:space="preserve">, f. único; </w:t>
      </w:r>
      <w:hyperlink w:anchor="AUTO_2013_44" w:history="1">
        <w:r w:rsidRPr="00E27756">
          <w:rPr>
            <w:rStyle w:val="TextoNormalCaracter"/>
          </w:rPr>
          <w:t>44/2013</w:t>
        </w:r>
      </w:hyperlink>
      <w:r>
        <w:t xml:space="preserve">, f. único; </w:t>
      </w:r>
      <w:hyperlink w:anchor="AUTO_2013_45" w:history="1">
        <w:r w:rsidRPr="00E27756">
          <w:rPr>
            <w:rStyle w:val="TextoNormalCaracter"/>
          </w:rPr>
          <w:t>45/2013</w:t>
        </w:r>
      </w:hyperlink>
      <w:r>
        <w:t xml:space="preserve">, f. único; </w:t>
      </w:r>
      <w:hyperlink w:anchor="AUTO_2013_49" w:history="1">
        <w:r w:rsidRPr="00E27756">
          <w:rPr>
            <w:rStyle w:val="TextoNormalCaracter"/>
          </w:rPr>
          <w:t>49/2013</w:t>
        </w:r>
      </w:hyperlink>
      <w:r>
        <w:t xml:space="preserve">, f. único; </w:t>
      </w:r>
      <w:hyperlink w:anchor="AUTO_2013_62" w:history="1">
        <w:r w:rsidRPr="00E27756">
          <w:rPr>
            <w:rStyle w:val="TextoNormalCaracter"/>
          </w:rPr>
          <w:t>62/2013</w:t>
        </w:r>
      </w:hyperlink>
      <w:r>
        <w:t xml:space="preserve">, f. único; </w:t>
      </w:r>
      <w:hyperlink w:anchor="AUTO_2013_90" w:history="1">
        <w:r w:rsidRPr="00E27756">
          <w:rPr>
            <w:rStyle w:val="TextoNormalCaracter"/>
          </w:rPr>
          <w:t>90/2013</w:t>
        </w:r>
      </w:hyperlink>
      <w:r>
        <w:t xml:space="preserve">, f. único; </w:t>
      </w:r>
      <w:hyperlink w:anchor="AUTO_2013_91" w:history="1">
        <w:r w:rsidRPr="00E27756">
          <w:rPr>
            <w:rStyle w:val="TextoNormalCaracter"/>
          </w:rPr>
          <w:t>91/2013</w:t>
        </w:r>
      </w:hyperlink>
      <w:r>
        <w:t xml:space="preserve">, f. único; </w:t>
      </w:r>
      <w:hyperlink w:anchor="AUTO_2013_97" w:history="1">
        <w:r w:rsidRPr="00E27756">
          <w:rPr>
            <w:rStyle w:val="TextoNormalCaracter"/>
          </w:rPr>
          <w:t>97/2013</w:t>
        </w:r>
      </w:hyperlink>
      <w:r>
        <w:t xml:space="preserve">, f. único; </w:t>
      </w:r>
      <w:hyperlink w:anchor="AUTO_2013_98" w:history="1">
        <w:r w:rsidRPr="00E27756">
          <w:rPr>
            <w:rStyle w:val="TextoNormalCaracter"/>
          </w:rPr>
          <w:t>98/2013</w:t>
        </w:r>
      </w:hyperlink>
      <w:r>
        <w:t xml:space="preserve">, f. único; </w:t>
      </w:r>
      <w:hyperlink w:anchor="AUTO_2013_99" w:history="1">
        <w:r w:rsidRPr="00E27756">
          <w:rPr>
            <w:rStyle w:val="TextoNormalCaracter"/>
          </w:rPr>
          <w:t>99/2013</w:t>
        </w:r>
      </w:hyperlink>
      <w:r>
        <w:t xml:space="preserve">, f. único; </w:t>
      </w:r>
      <w:hyperlink w:anchor="AUTO_2013_100" w:history="1">
        <w:r w:rsidRPr="00E27756">
          <w:rPr>
            <w:rStyle w:val="TextoNormalCaracter"/>
          </w:rPr>
          <w:t>100/2013</w:t>
        </w:r>
      </w:hyperlink>
      <w:r>
        <w:t xml:space="preserve">, f. único; </w:t>
      </w:r>
      <w:hyperlink w:anchor="AUTO_2013_101" w:history="1">
        <w:r w:rsidRPr="00E27756">
          <w:rPr>
            <w:rStyle w:val="TextoNormalCaracter"/>
          </w:rPr>
          <w:t>101/2013</w:t>
        </w:r>
      </w:hyperlink>
      <w:r>
        <w:t xml:space="preserve">, f. único; </w:t>
      </w:r>
      <w:hyperlink w:anchor="AUTO_2013_102" w:history="1">
        <w:r w:rsidRPr="00E27756">
          <w:rPr>
            <w:rStyle w:val="TextoNormalCaracter"/>
          </w:rPr>
          <w:t>102/2013</w:t>
        </w:r>
      </w:hyperlink>
      <w:r>
        <w:t xml:space="preserve">, f. único; </w:t>
      </w:r>
      <w:hyperlink w:anchor="AUTO_2013_103" w:history="1">
        <w:r w:rsidRPr="00E27756">
          <w:rPr>
            <w:rStyle w:val="TextoNormalCaracter"/>
          </w:rPr>
          <w:t>103/2013</w:t>
        </w:r>
      </w:hyperlink>
      <w:r>
        <w:t xml:space="preserve">, f. único; </w:t>
      </w:r>
      <w:hyperlink w:anchor="AUTO_2013_131" w:history="1">
        <w:r w:rsidRPr="00E27756">
          <w:rPr>
            <w:rStyle w:val="TextoNormalCaracter"/>
          </w:rPr>
          <w:t>131/2013</w:t>
        </w:r>
      </w:hyperlink>
      <w:r>
        <w:t xml:space="preserve">, f. único; </w:t>
      </w:r>
      <w:hyperlink w:anchor="AUTO_2013_135" w:history="1">
        <w:r w:rsidRPr="00E27756">
          <w:rPr>
            <w:rStyle w:val="TextoNormalCaracter"/>
          </w:rPr>
          <w:t>135/2013</w:t>
        </w:r>
      </w:hyperlink>
      <w:r>
        <w:t xml:space="preserve">, f. único; </w:t>
      </w:r>
      <w:hyperlink w:anchor="AUTO_2013_138" w:history="1">
        <w:r w:rsidRPr="00E27756">
          <w:rPr>
            <w:rStyle w:val="TextoNormalCaracter"/>
          </w:rPr>
          <w:t>138/2013</w:t>
        </w:r>
      </w:hyperlink>
      <w:r>
        <w:t xml:space="preserve">, f. único; </w:t>
      </w:r>
      <w:hyperlink w:anchor="AUTO_2013_144" w:history="1">
        <w:r w:rsidRPr="00E27756">
          <w:rPr>
            <w:rStyle w:val="TextoNormalCaracter"/>
          </w:rPr>
          <w:t>144/2013</w:t>
        </w:r>
      </w:hyperlink>
      <w:r>
        <w:t xml:space="preserve">, f. único; </w:t>
      </w:r>
      <w:hyperlink w:anchor="AUTO_2013_147" w:history="1">
        <w:r w:rsidRPr="00E27756">
          <w:rPr>
            <w:rStyle w:val="TextoNormalCaracter"/>
          </w:rPr>
          <w:t>147/2013</w:t>
        </w:r>
      </w:hyperlink>
      <w:r>
        <w:t xml:space="preserve">, f. único; </w:t>
      </w:r>
      <w:hyperlink w:anchor="AUTO_2013_148" w:history="1">
        <w:r w:rsidRPr="00E27756">
          <w:rPr>
            <w:rStyle w:val="TextoNormalCaracter"/>
          </w:rPr>
          <w:t>148/2013</w:t>
        </w:r>
      </w:hyperlink>
      <w:r>
        <w:t>, f. único.</w:t>
      </w:r>
    </w:p>
    <w:p w:rsidR="00E27756" w:rsidRDefault="00E27756" w:rsidP="00E27756">
      <w:pPr>
        <w:pStyle w:val="SangriaFrancesaArticulo"/>
      </w:pPr>
      <w:r w:rsidRPr="00E27756">
        <w:rPr>
          <w:rStyle w:val="TextoNormalNegritaCaracter"/>
        </w:rPr>
        <w:t>Artículo 225.3.</w:t>
      </w:r>
      <w:r w:rsidRPr="00E27756">
        <w:rPr>
          <w:rStyle w:val="TextoNormalCaracter"/>
        </w:rPr>
        <w:t>-</w:t>
      </w:r>
      <w:r>
        <w:t xml:space="preserve"> Auto </w:t>
      </w:r>
      <w:hyperlink w:anchor="AUTO_2013_141" w:history="1">
        <w:r w:rsidRPr="00E27756">
          <w:rPr>
            <w:rStyle w:val="TextoNormalCaracter"/>
          </w:rPr>
          <w:t>141/2013</w:t>
        </w:r>
      </w:hyperlink>
      <w:r>
        <w:t>, f. 3.</w:t>
      </w:r>
    </w:p>
    <w:p w:rsidR="00E27756" w:rsidRDefault="00E27756" w:rsidP="00E27756">
      <w:pPr>
        <w:pStyle w:val="SangriaFrancesaArticulo"/>
      </w:pPr>
      <w:r w:rsidRPr="00E27756">
        <w:rPr>
          <w:rStyle w:val="TextoNormalNegritaCaracter"/>
        </w:rPr>
        <w:t>Artículo 228.</w:t>
      </w:r>
      <w:r w:rsidRPr="00E27756">
        <w:rPr>
          <w:rStyle w:val="TextoNormalCaracter"/>
        </w:rPr>
        <w:t>-</w:t>
      </w:r>
      <w:r>
        <w:t xml:space="preserve"> Auto </w:t>
      </w:r>
      <w:hyperlink w:anchor="AUTO_2013_141" w:history="1">
        <w:r w:rsidRPr="00E27756">
          <w:rPr>
            <w:rStyle w:val="TextoNormalCaracter"/>
          </w:rPr>
          <w:t>141/2013</w:t>
        </w:r>
      </w:hyperlink>
      <w:r>
        <w:t>, f. 3.</w:t>
      </w:r>
    </w:p>
    <w:p w:rsidR="00E27756" w:rsidRDefault="00E27756" w:rsidP="00E27756">
      <w:pPr>
        <w:pStyle w:val="SangriaFrancesaArticulo"/>
      </w:pPr>
      <w:r w:rsidRPr="00E27756">
        <w:rPr>
          <w:rStyle w:val="TextoNormalNegritaCaracter"/>
        </w:rPr>
        <w:t>Artículo 238.</w:t>
      </w:r>
      <w:r w:rsidRPr="00E27756">
        <w:rPr>
          <w:rStyle w:val="TextoNormalCaracter"/>
        </w:rPr>
        <w:t>-</w:t>
      </w:r>
      <w:r>
        <w:t xml:space="preserve"> Auto </w:t>
      </w:r>
      <w:hyperlink w:anchor="AUTO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241.</w:t>
      </w:r>
      <w:r w:rsidRPr="00E27756">
        <w:rPr>
          <w:rStyle w:val="TextoNormalCaracter"/>
        </w:rPr>
        <w:t>-</w:t>
      </w:r>
      <w:r>
        <w:t xml:space="preserve"> Sentencia </w:t>
      </w:r>
      <w:hyperlink w:anchor="SENTENCIA_2013_105" w:history="1">
        <w:r w:rsidRPr="00E27756">
          <w:rPr>
            <w:rStyle w:val="TextoNormalCaracter"/>
          </w:rPr>
          <w:t>105/2013</w:t>
        </w:r>
      </w:hyperlink>
      <w:r>
        <w:t>, f. 2.</w:t>
      </w:r>
    </w:p>
    <w:p w:rsidR="00E27756" w:rsidRDefault="00E27756" w:rsidP="00E27756">
      <w:pPr>
        <w:pStyle w:val="SangriaFrancesaArticulo"/>
      </w:pPr>
      <w:r w:rsidRPr="00E27756">
        <w:rPr>
          <w:rStyle w:val="TextoNormalNegritaCaracter"/>
        </w:rPr>
        <w:t>Artículo 241</w:t>
      </w:r>
      <w:r>
        <w:t xml:space="preserve"> </w:t>
      </w:r>
      <w:r w:rsidRPr="00E27756">
        <w:rPr>
          <w:rStyle w:val="TextoNormalCaracter"/>
        </w:rPr>
        <w:t>(redactado por la Ley Orgánica 19/2003, de 23 de diciembre)</w:t>
      </w:r>
      <w:r w:rsidRPr="00E27756">
        <w:rPr>
          <w:rStyle w:val="TextoNormalNegritaCaracter"/>
        </w:rPr>
        <w:t>.</w:t>
      </w:r>
      <w:r w:rsidRPr="00E27756">
        <w:rPr>
          <w:rStyle w:val="TextoNormalCaracter"/>
        </w:rPr>
        <w:t>-</w:t>
      </w:r>
      <w:r>
        <w:t xml:space="preserve"> Sentencias </w:t>
      </w:r>
      <w:hyperlink w:anchor="SENTENCIA_2013_108" w:history="1">
        <w:r w:rsidRPr="00E27756">
          <w:rPr>
            <w:rStyle w:val="TextoNormalCaracter"/>
          </w:rPr>
          <w:t>108/2013</w:t>
        </w:r>
      </w:hyperlink>
      <w:r>
        <w:t xml:space="preserve">, f. 3; </w:t>
      </w:r>
      <w:hyperlink w:anchor="SENTENCIA_2013_126" w:history="1">
        <w:r w:rsidRPr="00E27756">
          <w:rPr>
            <w:rStyle w:val="TextoNormalCaracter"/>
          </w:rPr>
          <w:t>126/2013</w:t>
        </w:r>
      </w:hyperlink>
      <w:r>
        <w:t xml:space="preserve">, ff. 2, 5; </w:t>
      </w:r>
      <w:hyperlink w:anchor="SENTENCIA_2013_128" w:history="1">
        <w:r w:rsidRPr="00E27756">
          <w:rPr>
            <w:rStyle w:val="TextoNormalCaracter"/>
          </w:rPr>
          <w:t>128/2013</w:t>
        </w:r>
      </w:hyperlink>
      <w:r>
        <w:t>, f. 1.</w:t>
      </w:r>
    </w:p>
    <w:p w:rsidR="00E27756" w:rsidRDefault="00E27756" w:rsidP="00E27756">
      <w:pPr>
        <w:pStyle w:val="SangriaFrancesaArticulo"/>
      </w:pPr>
      <w:r w:rsidRPr="00E27756">
        <w:rPr>
          <w:rStyle w:val="TextoNormalNegritaCaracter"/>
        </w:rPr>
        <w:t>Artículo 241</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 </w:t>
      </w:r>
      <w:hyperlink w:anchor="SENTENCIA_2013_11" w:history="1">
        <w:r w:rsidRPr="00E27756">
          <w:rPr>
            <w:rStyle w:val="TextoNormalCaracter"/>
          </w:rPr>
          <w:t>11/2013</w:t>
        </w:r>
      </w:hyperlink>
      <w:r>
        <w:t>, f. 2.</w:t>
      </w:r>
    </w:p>
    <w:p w:rsidR="00E27756" w:rsidRDefault="00E27756" w:rsidP="00E27756">
      <w:pPr>
        <w:pStyle w:val="SangriaFrancesaArticulo"/>
      </w:pPr>
      <w:r w:rsidRPr="00E27756">
        <w:rPr>
          <w:rStyle w:val="TextoNormalNegritaCaracter"/>
        </w:rPr>
        <w:t>Artículo 241.1.</w:t>
      </w:r>
      <w:r w:rsidRPr="00E27756">
        <w:rPr>
          <w:rStyle w:val="TextoNormalCaracter"/>
        </w:rPr>
        <w:t>-</w:t>
      </w:r>
      <w:r>
        <w:t xml:space="preserve"> Sentencia </w:t>
      </w:r>
      <w:hyperlink w:anchor="SENTENCIA_2013_108" w:history="1">
        <w:r w:rsidRPr="00E27756">
          <w:rPr>
            <w:rStyle w:val="TextoNormalCaracter"/>
          </w:rPr>
          <w:t>108/2013</w:t>
        </w:r>
      </w:hyperlink>
      <w:r>
        <w:t>, f. 3.</w:t>
      </w:r>
    </w:p>
    <w:p w:rsidR="00E27756" w:rsidRDefault="00E27756" w:rsidP="00E27756">
      <w:pPr>
        <w:pStyle w:val="SangriaFrancesaArticulo"/>
      </w:pPr>
      <w:r w:rsidRPr="00E27756">
        <w:rPr>
          <w:rStyle w:val="TextoNormalNegritaCaracter"/>
        </w:rPr>
        <w:t>Artículo 241.1</w:t>
      </w:r>
      <w:r>
        <w:t xml:space="preserve"> </w:t>
      </w:r>
      <w:r w:rsidRPr="00E27756">
        <w:rPr>
          <w:rStyle w:val="TextoNormalCaracter"/>
        </w:rPr>
        <w:t>(redactado por la Ley Orgánica 19/2003 de 23 de diciembre)</w:t>
      </w:r>
      <w:r w:rsidRPr="00E27756">
        <w:rPr>
          <w:rStyle w:val="TextoNormalNegritaCaracter"/>
        </w:rPr>
        <w:t>.</w:t>
      </w:r>
      <w:r w:rsidRPr="00E27756">
        <w:rPr>
          <w:rStyle w:val="TextoNormalCaracter"/>
        </w:rPr>
        <w:t>-</w:t>
      </w:r>
      <w:r>
        <w:t xml:space="preserve"> Sentencias </w:t>
      </w:r>
      <w:hyperlink w:anchor="SENTENCIA_2013_1" w:history="1">
        <w:r w:rsidRPr="00E27756">
          <w:rPr>
            <w:rStyle w:val="TextoNormalCaracter"/>
          </w:rPr>
          <w:t>1/2013</w:t>
        </w:r>
      </w:hyperlink>
      <w:r>
        <w:t xml:space="preserve">, ff. 1, 2; </w:t>
      </w:r>
      <w:hyperlink w:anchor="SENTENCIA_2013_2" w:history="1">
        <w:r w:rsidRPr="00E27756">
          <w:rPr>
            <w:rStyle w:val="TextoNormalCaracter"/>
          </w:rPr>
          <w:t>2/2013</w:t>
        </w:r>
      </w:hyperlink>
      <w:r>
        <w:t xml:space="preserve">, f. 5; </w:t>
      </w:r>
      <w:hyperlink w:anchor="SENTENCIA_2013_56" w:history="1">
        <w:r w:rsidRPr="00E27756">
          <w:rPr>
            <w:rStyle w:val="TextoNormalCaracter"/>
          </w:rPr>
          <w:t>56/2013</w:t>
        </w:r>
      </w:hyperlink>
      <w:r>
        <w:t xml:space="preserve">, f. 1; </w:t>
      </w:r>
      <w:hyperlink w:anchor="SENTENCIA_2013_133" w:history="1">
        <w:r w:rsidRPr="00E27756">
          <w:rPr>
            <w:rStyle w:val="TextoNormalCaracter"/>
          </w:rPr>
          <w:t>133/2013</w:t>
        </w:r>
      </w:hyperlink>
      <w:r>
        <w:t>, f. 3.</w:t>
      </w:r>
    </w:p>
    <w:p w:rsidR="00E27756" w:rsidRDefault="00E27756" w:rsidP="00E27756">
      <w:pPr>
        <w:pStyle w:val="SangriaFrancesaArticulo"/>
      </w:pPr>
      <w:r w:rsidRPr="00E27756">
        <w:rPr>
          <w:rStyle w:val="TextoNormalNegritaCaracter"/>
        </w:rPr>
        <w:t>Artículo 241.1</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Sentencias </w:t>
      </w:r>
      <w:hyperlink w:anchor="SENTENCIA_2013_11" w:history="1">
        <w:r w:rsidRPr="00E27756">
          <w:rPr>
            <w:rStyle w:val="TextoNormalCaracter"/>
          </w:rPr>
          <w:t>11/2013</w:t>
        </w:r>
      </w:hyperlink>
      <w:r>
        <w:t xml:space="preserve">, f. 2; </w:t>
      </w:r>
      <w:hyperlink w:anchor="SENTENCIA_2013_56" w:history="1">
        <w:r w:rsidRPr="00E27756">
          <w:rPr>
            <w:rStyle w:val="TextoNormalCaracter"/>
          </w:rPr>
          <w:t>56/2013</w:t>
        </w:r>
      </w:hyperlink>
      <w:r>
        <w:t xml:space="preserve">, f. 4; </w:t>
      </w:r>
      <w:hyperlink w:anchor="SENTENCIA_2013_126" w:history="1">
        <w:r w:rsidRPr="00E27756">
          <w:rPr>
            <w:rStyle w:val="TextoNormalCaracter"/>
          </w:rPr>
          <w:t>126/2013</w:t>
        </w:r>
      </w:hyperlink>
      <w:r>
        <w:t xml:space="preserve">, f. 5; </w:t>
      </w:r>
      <w:hyperlink w:anchor="SENTENCIA_2013_127" w:history="1">
        <w:r w:rsidRPr="00E27756">
          <w:rPr>
            <w:rStyle w:val="TextoNormalCaracter"/>
          </w:rPr>
          <w:t>127/2013</w:t>
        </w:r>
      </w:hyperlink>
      <w:r>
        <w:t>, f. 2.</w:t>
      </w:r>
    </w:p>
    <w:p w:rsidR="00E27756" w:rsidRDefault="00E27756" w:rsidP="00E27756">
      <w:pPr>
        <w:pStyle w:val="SangriaFrancesaArticulo"/>
      </w:pPr>
      <w:r w:rsidRPr="00E27756">
        <w:rPr>
          <w:rStyle w:val="TextoNormalNegritaCaracter"/>
        </w:rPr>
        <w:t>Artículo 241.1 párrafo 1</w:t>
      </w:r>
      <w:r>
        <w:t xml:space="preserve"> </w:t>
      </w:r>
      <w:r w:rsidRPr="00E27756">
        <w:rPr>
          <w:rStyle w:val="TextoNormalCaracter"/>
        </w:rPr>
        <w:t>(redactado por la Ley Orgánica 6/2007, de 24 de mayo)</w:t>
      </w:r>
      <w:r w:rsidRPr="00E27756">
        <w:rPr>
          <w:rStyle w:val="TextoNormalNegritaCaracter"/>
        </w:rPr>
        <w:t>.</w:t>
      </w:r>
      <w:r w:rsidRPr="00E27756">
        <w:rPr>
          <w:rStyle w:val="TextoNormalCaracter"/>
        </w:rPr>
        <w:t>-</w:t>
      </w:r>
      <w:r>
        <w:t xml:space="preserve"> Sentencia </w:t>
      </w:r>
      <w:hyperlink w:anchor="SENTENCIA_2013_11" w:history="1">
        <w:r w:rsidRPr="00E27756">
          <w:rPr>
            <w:rStyle w:val="TextoNormalCaracter"/>
          </w:rPr>
          <w:t>11/2013</w:t>
        </w:r>
      </w:hyperlink>
      <w:r>
        <w:t>, f. 2.</w:t>
      </w:r>
    </w:p>
    <w:p w:rsidR="00E27756" w:rsidRDefault="00E27756" w:rsidP="00E27756">
      <w:pPr>
        <w:pStyle w:val="SangriaFrancesaArticulo"/>
      </w:pPr>
      <w:r w:rsidRPr="00E27756">
        <w:rPr>
          <w:rStyle w:val="TextoNormalNegritaCaracter"/>
        </w:rPr>
        <w:t>Artículo 267.</w:t>
      </w:r>
      <w:r w:rsidRPr="00E27756">
        <w:rPr>
          <w:rStyle w:val="TextoNormalCaracter"/>
        </w:rPr>
        <w:t>-</w:t>
      </w:r>
      <w:r>
        <w:t xml:space="preserve"> Auto </w:t>
      </w:r>
      <w:hyperlink w:anchor="AUTO_2013_68" w:history="1">
        <w:r w:rsidRPr="00E27756">
          <w:rPr>
            <w:rStyle w:val="TextoNormalCaracter"/>
          </w:rPr>
          <w:t>68/2013</w:t>
        </w:r>
      </w:hyperlink>
      <w:r>
        <w:t>, f. único.</w:t>
      </w:r>
    </w:p>
    <w:p w:rsidR="00E27756" w:rsidRDefault="00E27756" w:rsidP="00E27756">
      <w:pPr>
        <w:pStyle w:val="SangriaFrancesaArticulo"/>
      </w:pPr>
      <w:r w:rsidRPr="00E27756">
        <w:rPr>
          <w:rStyle w:val="TextoNormalNegritaCaracter"/>
        </w:rPr>
        <w:t>Artículo 267.1.</w:t>
      </w:r>
      <w:r w:rsidRPr="00E27756">
        <w:rPr>
          <w:rStyle w:val="TextoNormalCaracter"/>
        </w:rPr>
        <w:t>-</w:t>
      </w:r>
      <w:r>
        <w:t xml:space="preserve"> Autos </w:t>
      </w:r>
      <w:hyperlink w:anchor="AUTO_2013_66" w:history="1">
        <w:r w:rsidRPr="00E27756">
          <w:rPr>
            <w:rStyle w:val="TextoNormalCaracter"/>
          </w:rPr>
          <w:t>66/2013</w:t>
        </w:r>
      </w:hyperlink>
      <w:r>
        <w:t xml:space="preserve">, f. 1; </w:t>
      </w:r>
      <w:hyperlink w:anchor="AUTO_2013_134" w:history="1">
        <w:r w:rsidRPr="00E27756">
          <w:rPr>
            <w:rStyle w:val="TextoNormalCaracter"/>
          </w:rPr>
          <w:t>134/2013</w:t>
        </w:r>
      </w:hyperlink>
      <w:r>
        <w:t>, f. 1.</w:t>
      </w:r>
    </w:p>
    <w:p w:rsidR="00E27756" w:rsidRDefault="00E27756" w:rsidP="00E27756">
      <w:pPr>
        <w:pStyle w:val="SangriaFrancesaArticulo"/>
      </w:pPr>
      <w:r w:rsidRPr="00E27756">
        <w:rPr>
          <w:rStyle w:val="TextoNormalNegritaCaracter"/>
        </w:rPr>
        <w:t>Artículo 267.3.</w:t>
      </w:r>
      <w:r w:rsidRPr="00E27756">
        <w:rPr>
          <w:rStyle w:val="TextoNormalCaracter"/>
        </w:rPr>
        <w:t>-</w:t>
      </w:r>
      <w:r>
        <w:t xml:space="preserve"> Auto </w:t>
      </w:r>
      <w:hyperlink w:anchor="AUTO_2013_92" w:history="1">
        <w:r w:rsidRPr="00E27756">
          <w:rPr>
            <w:rStyle w:val="TextoNormalCaracter"/>
          </w:rPr>
          <w:t>92/2013</w:t>
        </w:r>
      </w:hyperlink>
      <w:r>
        <w:t>, f. único.</w:t>
      </w:r>
    </w:p>
    <w:p w:rsidR="00E27756" w:rsidRDefault="00E27756" w:rsidP="00E27756">
      <w:pPr>
        <w:pStyle w:val="SangriaFrancesaArticulo"/>
      </w:pPr>
      <w:r w:rsidRPr="00E27756">
        <w:rPr>
          <w:rStyle w:val="TextoNormalNegritaCaracter"/>
        </w:rPr>
        <w:t>Artículo 270.</w:t>
      </w:r>
      <w:r w:rsidRPr="00E27756">
        <w:rPr>
          <w:rStyle w:val="TextoNormalCaracter"/>
        </w:rPr>
        <w:t>-</w:t>
      </w:r>
      <w:r>
        <w:t xml:space="preserve"> Sentencia </w:t>
      </w:r>
      <w:hyperlink w:anchor="SENTENCIA_2013_79" w:history="1">
        <w:r w:rsidRPr="00E27756">
          <w:rPr>
            <w:rStyle w:val="TextoNormalCaracter"/>
          </w:rPr>
          <w:t>79/2013</w:t>
        </w:r>
      </w:hyperlink>
      <w:r>
        <w:t>, f. 2.</w:t>
      </w:r>
    </w:p>
    <w:p w:rsidR="00E27756" w:rsidRDefault="00E27756" w:rsidP="00E27756">
      <w:pPr>
        <w:pStyle w:val="SangriaFrancesaArticulo"/>
      </w:pPr>
      <w:r w:rsidRPr="00E27756">
        <w:rPr>
          <w:rStyle w:val="TextoNormalNegritaCaracter"/>
        </w:rPr>
        <w:t>Artículo 307.1.</w:t>
      </w:r>
      <w:r w:rsidRPr="00E27756">
        <w:rPr>
          <w:rStyle w:val="TextoNormalCaracter"/>
        </w:rPr>
        <w:t>-</w:t>
      </w:r>
      <w:r>
        <w:t xml:space="preserve"> Sentencia </w:t>
      </w:r>
      <w:hyperlink w:anchor="SENTENCIA_2013_11" w:history="1">
        <w:r w:rsidRPr="00E27756">
          <w:rPr>
            <w:rStyle w:val="TextoNormalCaracter"/>
          </w:rPr>
          <w:t>11/2013</w:t>
        </w:r>
      </w:hyperlink>
      <w:r>
        <w:t>, f. 4.</w:t>
      </w:r>
    </w:p>
    <w:p w:rsidR="00E27756" w:rsidRDefault="00E27756" w:rsidP="00E27756">
      <w:pPr>
        <w:pStyle w:val="SangriaFrancesaArticulo"/>
      </w:pPr>
      <w:r w:rsidRPr="00E27756">
        <w:rPr>
          <w:rStyle w:val="TextoNormalNegritaCaracter"/>
        </w:rPr>
        <w:t>Artículo 450.1.3.</w:t>
      </w:r>
      <w:r w:rsidRPr="00E27756">
        <w:rPr>
          <w:rStyle w:val="TextoNormalCaracter"/>
        </w:rPr>
        <w:t>-</w:t>
      </w:r>
      <w:r>
        <w:t xml:space="preserve"> Sentencia </w:t>
      </w:r>
      <w:hyperlink w:anchor="SENTENCIA_2013_18" w:history="1">
        <w:r w:rsidRPr="00E27756">
          <w:rPr>
            <w:rStyle w:val="TextoNormalCaracter"/>
          </w:rPr>
          <w:t>18/2013</w:t>
        </w:r>
      </w:hyperlink>
      <w:r>
        <w:t>, f. 5.</w:t>
      </w:r>
    </w:p>
    <w:p w:rsidR="00E27756" w:rsidRDefault="00E27756" w:rsidP="00E27756">
      <w:pPr>
        <w:pStyle w:val="SangriaFrancesaArticulo"/>
      </w:pPr>
      <w:r w:rsidRPr="00E27756">
        <w:rPr>
          <w:rStyle w:val="TextoNormalNegritaCaracter"/>
        </w:rPr>
        <w:t>Artículo  452.3.</w:t>
      </w:r>
      <w:r w:rsidRPr="00E27756">
        <w:rPr>
          <w:rStyle w:val="TextoNormalCaracter"/>
        </w:rPr>
        <w:t>-</w:t>
      </w:r>
      <w:r>
        <w:t xml:space="preserve"> Auto </w:t>
      </w:r>
      <w:hyperlink w:anchor="AUTO_2013_122" w:history="1">
        <w:r w:rsidRPr="00E27756">
          <w:rPr>
            <w:rStyle w:val="TextoNormalCaracter"/>
          </w:rPr>
          <w:t>122/2013</w:t>
        </w:r>
      </w:hyperlink>
      <w:r>
        <w:t>, f. 4.</w:t>
      </w:r>
    </w:p>
    <w:p w:rsidR="00E27756" w:rsidRDefault="00E27756" w:rsidP="00E27756">
      <w:pPr>
        <w:pStyle w:val="SangriaFrancesaArticulo"/>
      </w:pPr>
      <w:r w:rsidRPr="00E27756">
        <w:rPr>
          <w:rStyle w:val="TextoNormalNegritaCaracter"/>
        </w:rPr>
        <w:t>Artículo 464</w:t>
      </w:r>
      <w:r>
        <w:t xml:space="preserve"> </w:t>
      </w:r>
      <w:r w:rsidRPr="00E27756">
        <w:rPr>
          <w:rStyle w:val="TextoNormalCaracter"/>
        </w:rPr>
        <w:t>(redactado por la Ley Orgánica 19/2003, de 23 de diciembre)</w:t>
      </w:r>
      <w:r w:rsidRPr="00E27756">
        <w:rPr>
          <w:rStyle w:val="TextoNormalNegritaCaracter"/>
        </w:rPr>
        <w:t>.</w:t>
      </w:r>
      <w:r w:rsidRPr="00E27756">
        <w:rPr>
          <w:rStyle w:val="TextoNormalCaracter"/>
        </w:rPr>
        <w:t>-</w:t>
      </w:r>
      <w:r>
        <w:t xml:space="preserve"> Sentencia </w:t>
      </w:r>
      <w:hyperlink w:anchor="SENTENCIA_2013_18" w:history="1">
        <w:r w:rsidRPr="00E27756">
          <w:rPr>
            <w:rStyle w:val="TextoNormalCaracter"/>
          </w:rPr>
          <w:t>18/2013</w:t>
        </w:r>
      </w:hyperlink>
      <w:r>
        <w:t>, ff. 4, 6.</w:t>
      </w:r>
    </w:p>
    <w:p w:rsidR="00E27756" w:rsidRDefault="00E27756" w:rsidP="00E27756">
      <w:pPr>
        <w:pStyle w:val="SangriaFrancesaArticulo"/>
      </w:pPr>
      <w:r w:rsidRPr="00E27756">
        <w:rPr>
          <w:rStyle w:val="TextoNormalNegritaCaracter"/>
        </w:rPr>
        <w:t>Artículo 464.2.</w:t>
      </w:r>
      <w:r w:rsidRPr="00E27756">
        <w:rPr>
          <w:rStyle w:val="TextoNormalCaracter"/>
        </w:rPr>
        <w:t>-</w:t>
      </w:r>
      <w:r>
        <w:t xml:space="preserve"> Sentencia </w:t>
      </w:r>
      <w:hyperlink w:anchor="SENTENCIA_2013_18" w:history="1">
        <w:r w:rsidRPr="00E27756">
          <w:rPr>
            <w:rStyle w:val="TextoNormalCaracter"/>
          </w:rPr>
          <w:t>18/2013</w:t>
        </w:r>
      </w:hyperlink>
      <w:r>
        <w:t>, f. 5.</w:t>
      </w:r>
    </w:p>
    <w:p w:rsidR="00E27756" w:rsidRDefault="00E27756" w:rsidP="00E27756">
      <w:pPr>
        <w:pStyle w:val="SangriaFrancesaArticulo"/>
      </w:pPr>
      <w:r w:rsidRPr="00E27756">
        <w:rPr>
          <w:rStyle w:val="TextoNormalNegritaCaracter"/>
        </w:rPr>
        <w:t>Artículo 464.3.</w:t>
      </w:r>
      <w:r w:rsidRPr="00E27756">
        <w:rPr>
          <w:rStyle w:val="TextoNormalCaracter"/>
        </w:rPr>
        <w:t>-</w:t>
      </w:r>
      <w:r>
        <w:t xml:space="preserve"> Sentencia </w:t>
      </w:r>
      <w:hyperlink w:anchor="SENTENCIA_2013_18" w:history="1">
        <w:r w:rsidRPr="00E27756">
          <w:rPr>
            <w:rStyle w:val="TextoNormalCaracter"/>
          </w:rPr>
          <w:t>18/2013</w:t>
        </w:r>
      </w:hyperlink>
      <w:r>
        <w:t>, ff. 5, 6.</w:t>
      </w:r>
    </w:p>
    <w:p w:rsidR="00E27756" w:rsidRDefault="00E27756" w:rsidP="00E27756">
      <w:pPr>
        <w:pStyle w:val="SangriaFrancesaArticulo"/>
      </w:pPr>
      <w:r w:rsidRPr="00E27756">
        <w:rPr>
          <w:rStyle w:val="TextoNormalNegritaCaracter"/>
        </w:rPr>
        <w:t>Artículo 464.3 párrafo 1.</w:t>
      </w:r>
      <w:r w:rsidRPr="00E27756">
        <w:rPr>
          <w:rStyle w:val="TextoNormalCaracter"/>
        </w:rPr>
        <w:t>-</w:t>
      </w:r>
      <w:r>
        <w:t xml:space="preserve"> Sentencia </w:t>
      </w:r>
      <w:hyperlink w:anchor="SENTENCIA_2013_18" w:history="1">
        <w:r w:rsidRPr="00E27756">
          <w:rPr>
            <w:rStyle w:val="TextoNormalCaracter"/>
          </w:rPr>
          <w:t>18/2013</w:t>
        </w:r>
      </w:hyperlink>
      <w:r>
        <w:t>, f. 5.</w:t>
      </w:r>
    </w:p>
    <w:p w:rsidR="00E27756" w:rsidRDefault="00E27756" w:rsidP="00E27756">
      <w:pPr>
        <w:pStyle w:val="SangriaFrancesaArticulo"/>
      </w:pPr>
      <w:r w:rsidRPr="00E27756">
        <w:rPr>
          <w:rStyle w:val="TextoNormalNegritaCaracter"/>
        </w:rPr>
        <w:t>Artículo 465.3.</w:t>
      </w:r>
      <w:r w:rsidRPr="00E27756">
        <w:rPr>
          <w:rStyle w:val="TextoNormalCaracter"/>
        </w:rPr>
        <w:t>-</w:t>
      </w:r>
      <w:r>
        <w:t xml:space="preserve"> Sentencia </w:t>
      </w:r>
      <w:hyperlink w:anchor="SENTENCIA_2013_18" w:history="1">
        <w:r w:rsidRPr="00E27756">
          <w:rPr>
            <w:rStyle w:val="TextoNormalCaracter"/>
          </w:rPr>
          <w:t>18/2013</w:t>
        </w:r>
      </w:hyperlink>
      <w:r>
        <w:t>, f. 5.</w:t>
      </w:r>
    </w:p>
    <w:p w:rsidR="00E27756" w:rsidRDefault="00E27756" w:rsidP="00E27756">
      <w:pPr>
        <w:pStyle w:val="SangriaFrancesaArticulo"/>
      </w:pPr>
      <w:r w:rsidRPr="00E27756">
        <w:rPr>
          <w:rStyle w:val="TextoNormalNegritaCaracter"/>
        </w:rPr>
        <w:t>Artículo 465.5.</w:t>
      </w:r>
      <w:r w:rsidRPr="00E27756">
        <w:rPr>
          <w:rStyle w:val="TextoNormalCaracter"/>
        </w:rPr>
        <w:t>-</w:t>
      </w:r>
      <w:r>
        <w:t xml:space="preserve"> Sentencia </w:t>
      </w:r>
      <w:hyperlink w:anchor="SENTENCIA_2013_18" w:history="1">
        <w:r w:rsidRPr="00E27756">
          <w:rPr>
            <w:rStyle w:val="TextoNormalCaracter"/>
          </w:rPr>
          <w:t>18/2013</w:t>
        </w:r>
      </w:hyperlink>
      <w:r>
        <w:t>, f. 5.</w:t>
      </w:r>
    </w:p>
    <w:p w:rsidR="00E27756" w:rsidRDefault="00E27756" w:rsidP="00E27756">
      <w:pPr>
        <w:pStyle w:val="SangriaFrancesaArticulo"/>
      </w:pPr>
      <w:r w:rsidRPr="00E27756">
        <w:rPr>
          <w:rStyle w:val="TextoNormalNegritaCaracter"/>
        </w:rPr>
        <w:t>Disposición adicional quinta, apartado 2.</w:t>
      </w:r>
      <w:r w:rsidRPr="00E27756">
        <w:rPr>
          <w:rStyle w:val="TextoNormalCaracter"/>
        </w:rPr>
        <w:t>-</w:t>
      </w:r>
      <w:r>
        <w:t xml:space="preserve"> Auto </w:t>
      </w:r>
      <w:hyperlink w:anchor="AUTO_2013_59" w:history="1">
        <w:r w:rsidRPr="00E27756">
          <w:rPr>
            <w:rStyle w:val="TextoNormalCaracter"/>
          </w:rPr>
          <w:t>59/2013</w:t>
        </w:r>
      </w:hyperlink>
      <w:r>
        <w:t>, f. 1.</w:t>
      </w:r>
    </w:p>
    <w:p w:rsidR="00E27756" w:rsidRDefault="00E27756" w:rsidP="00E27756">
      <w:pPr>
        <w:pStyle w:val="SangriaFrancesaArticulo"/>
      </w:pPr>
      <w:r w:rsidRPr="00E27756">
        <w:rPr>
          <w:rStyle w:val="TextoNormalNegritaCaracter"/>
        </w:rPr>
        <w:lastRenderedPageBreak/>
        <w:t>Disposición adicional quinta, norma segunda.</w:t>
      </w:r>
      <w:r w:rsidRPr="00E27756">
        <w:rPr>
          <w:rStyle w:val="TextoNormalCaracter"/>
        </w:rPr>
        <w:t>-</w:t>
      </w:r>
      <w:r>
        <w:t xml:space="preserve"> Auto </w:t>
      </w:r>
      <w:hyperlink w:anchor="AUTO_2013_59" w:history="1">
        <w:r w:rsidRPr="00E27756">
          <w:rPr>
            <w:rStyle w:val="TextoNormalCaracter"/>
          </w:rPr>
          <w:t>59/2013</w:t>
        </w:r>
      </w:hyperlink>
      <w:r>
        <w:t>, f. 1.</w:t>
      </w:r>
    </w:p>
    <w:p w:rsidR="00E27756" w:rsidRDefault="00E27756" w:rsidP="00E27756">
      <w:pPr>
        <w:pStyle w:val="SangriaFrancesaArticulo"/>
      </w:pPr>
      <w:r w:rsidRPr="00E27756">
        <w:rPr>
          <w:rStyle w:val="TextoNormalNegritaCaracter"/>
        </w:rPr>
        <w:t>Disposición adicional decimoquinta.</w:t>
      </w:r>
      <w:r w:rsidRPr="00E27756">
        <w:rPr>
          <w:rStyle w:val="TextoNormalCaracter"/>
        </w:rPr>
        <w:t>-</w:t>
      </w:r>
      <w:r>
        <w:t xml:space="preserve"> Sentencias </w:t>
      </w:r>
      <w:hyperlink w:anchor="SENTENCIA_2013_73" w:history="1">
        <w:r w:rsidRPr="00E27756">
          <w:rPr>
            <w:rStyle w:val="TextoNormalCaracter"/>
          </w:rPr>
          <w:t>73/2013</w:t>
        </w:r>
      </w:hyperlink>
      <w:r>
        <w:t xml:space="preserve">, ff. 1 a 3; </w:t>
      </w:r>
      <w:hyperlink w:anchor="SENTENCIA_2013_74" w:history="1">
        <w:r w:rsidRPr="00E27756">
          <w:rPr>
            <w:rStyle w:val="TextoNormalCaracter"/>
          </w:rPr>
          <w:t>74/2013</w:t>
        </w:r>
      </w:hyperlink>
      <w:r>
        <w:t>, ff. 1, 2.</w:t>
      </w:r>
    </w:p>
    <w:p w:rsidR="00E27756" w:rsidRDefault="00E27756" w:rsidP="00E27756">
      <w:pPr>
        <w:pStyle w:val="SangriaFrancesaArticulo"/>
      </w:pPr>
      <w:r w:rsidRPr="00E27756">
        <w:rPr>
          <w:rStyle w:val="TextoNormalNegritaCaracter"/>
        </w:rPr>
        <w:t>Disposición adicional decimoquinta, apartado 6 párrafo 1 in fine.</w:t>
      </w:r>
      <w:r w:rsidRPr="00E27756">
        <w:rPr>
          <w:rStyle w:val="TextoNormalCaracter"/>
        </w:rPr>
        <w:t>-</w:t>
      </w:r>
      <w:r>
        <w:t xml:space="preserve"> Sentencia </w:t>
      </w:r>
      <w:hyperlink w:anchor="SENTENCIA_2013_73" w:history="1">
        <w:r w:rsidRPr="00E27756">
          <w:rPr>
            <w:rStyle w:val="TextoNormalCaracter"/>
          </w:rPr>
          <w:t>73/2013</w:t>
        </w:r>
      </w:hyperlink>
      <w:r>
        <w:t>, f. 2.</w:t>
      </w:r>
    </w:p>
    <w:p w:rsidR="00E27756" w:rsidRDefault="00E27756" w:rsidP="00E27756">
      <w:pPr>
        <w:pStyle w:val="SangriaFrancesaArticulo"/>
      </w:pPr>
      <w:r w:rsidRPr="00E27756">
        <w:rPr>
          <w:rStyle w:val="TextoNormalNegritaCaracter"/>
        </w:rPr>
        <w:t>Disposición adicional decimoquinta, apartado 7 in fine.</w:t>
      </w:r>
      <w:r w:rsidRPr="00E27756">
        <w:rPr>
          <w:rStyle w:val="TextoNormalCaracter"/>
        </w:rPr>
        <w:t>-</w:t>
      </w:r>
      <w:r>
        <w:t xml:space="preserve"> Sentencia </w:t>
      </w:r>
      <w:hyperlink w:anchor="SENTENCIA_2013_73" w:history="1">
        <w:r w:rsidRPr="00E27756">
          <w:rPr>
            <w:rStyle w:val="TextoNormalCaracter"/>
          </w:rPr>
          <w:t>73/2013</w:t>
        </w:r>
      </w:hyperlink>
      <w:r>
        <w:t>, f. 2.</w:t>
      </w:r>
    </w:p>
    <w:p w:rsidR="00E27756" w:rsidRDefault="00E27756" w:rsidP="00E27756">
      <w:pPr>
        <w:pStyle w:val="SangriaFrancesaArticulo"/>
      </w:pPr>
      <w:r w:rsidRPr="00E27756">
        <w:rPr>
          <w:rStyle w:val="TextoNormalNegritaCaracter"/>
        </w:rPr>
        <w:t>Disposición adicional decimoquinta, apartado 7 párrafo 1.</w:t>
      </w:r>
      <w:r w:rsidRPr="00E27756">
        <w:rPr>
          <w:rStyle w:val="TextoNormalCaracter"/>
        </w:rPr>
        <w:t>-</w:t>
      </w:r>
      <w:r>
        <w:t xml:space="preserve"> Sentencia </w:t>
      </w:r>
      <w:hyperlink w:anchor="SENTENCIA_2013_73" w:history="1">
        <w:r w:rsidRPr="00E27756">
          <w:rPr>
            <w:rStyle w:val="TextoNormalCaracter"/>
          </w:rPr>
          <w:t>73/2013</w:t>
        </w:r>
      </w:hyperlink>
      <w:r>
        <w:t>, f. 2.</w:t>
      </w:r>
    </w:p>
    <w:p w:rsidR="00E27756" w:rsidRDefault="00E27756" w:rsidP="00E27756">
      <w:pPr>
        <w:pStyle w:val="SangriaFrancesaArticulo"/>
      </w:pPr>
      <w:r w:rsidRPr="00E27756">
        <w:rPr>
          <w:rStyle w:val="TextoNormalNegritaCaracter"/>
        </w:rPr>
        <w:t>Disposición adicional decimoquinta, apartado 7 párrafo 2.</w:t>
      </w:r>
      <w:r w:rsidRPr="00E27756">
        <w:rPr>
          <w:rStyle w:val="TextoNormalCaracter"/>
        </w:rPr>
        <w:t>-</w:t>
      </w:r>
      <w:r>
        <w:t xml:space="preserve"> Sentencia </w:t>
      </w:r>
      <w:hyperlink w:anchor="SENTENCIA_2013_73" w:history="1">
        <w:r w:rsidRPr="00E27756">
          <w:rPr>
            <w:rStyle w:val="TextoNormalCaracter"/>
          </w:rPr>
          <w:t>73/2013</w:t>
        </w:r>
      </w:hyperlink>
      <w:r>
        <w:t>, f. 2.</w:t>
      </w:r>
    </w:p>
    <w:p w:rsidR="00E27756" w:rsidRDefault="00E27756" w:rsidP="00E27756">
      <w:pPr>
        <w:pStyle w:val="SangriaFrancesaArticulo"/>
      </w:pPr>
      <w:r w:rsidRPr="00E27756">
        <w:rPr>
          <w:rStyle w:val="TextoNormalNegritaCaracter"/>
        </w:rPr>
        <w:t>Disposición adicional decimoquinta</w:t>
      </w:r>
      <w:r>
        <w:t xml:space="preserve"> </w:t>
      </w:r>
      <w:r w:rsidRPr="00E27756">
        <w:rPr>
          <w:rStyle w:val="TextoNormalCaracter"/>
        </w:rPr>
        <w:t>(redactada por la Ley Orgánica 1/2009, de 3 de noviembre)</w:t>
      </w:r>
      <w:r w:rsidRPr="00E27756">
        <w:rPr>
          <w:rStyle w:val="TextoNormalNegritaCaracter"/>
        </w:rPr>
        <w:t>.</w:t>
      </w:r>
      <w:r w:rsidRPr="00E27756">
        <w:rPr>
          <w:rStyle w:val="TextoNormalCaracter"/>
        </w:rPr>
        <w:t>-</w:t>
      </w:r>
      <w:r>
        <w:t xml:space="preserve"> Sentencia </w:t>
      </w:r>
      <w:hyperlink w:anchor="SENTENCIA_2013_74" w:history="1">
        <w:r w:rsidRPr="00E27756">
          <w:rPr>
            <w:rStyle w:val="TextoNormalCaracter"/>
          </w:rPr>
          <w:t>74/2013</w:t>
        </w:r>
      </w:hyperlink>
      <w:r>
        <w:t>, ff. 2, 3.</w:t>
      </w:r>
    </w:p>
    <w:p w:rsidR="00E27756" w:rsidRDefault="00E27756" w:rsidP="00E27756">
      <w:pPr>
        <w:pStyle w:val="SangriaFrancesaArticulo"/>
      </w:pPr>
    </w:p>
    <w:p w:rsidR="00E27756" w:rsidRDefault="00E27756" w:rsidP="00E27756">
      <w:pPr>
        <w:pStyle w:val="TextoNormalNegritaCursivandice"/>
      </w:pPr>
      <w:r>
        <w:t>Ley Orgánica 8/1985, de 3 de julio. Reguladora del derecho a la educación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4" w:history="1">
        <w:r w:rsidRPr="00E27756">
          <w:rPr>
            <w:rStyle w:val="TextoNormalCaracter"/>
          </w:rPr>
          <w:t>24/2013</w:t>
        </w:r>
      </w:hyperlink>
      <w:r>
        <w:t>, f. 3.</w:t>
      </w:r>
    </w:p>
    <w:p w:rsidR="00E27756" w:rsidRDefault="00E27756" w:rsidP="00E27756">
      <w:pPr>
        <w:pStyle w:val="SangriaFrancesaArticulo"/>
      </w:pPr>
      <w:r w:rsidRPr="00E27756">
        <w:rPr>
          <w:rStyle w:val="TextoNormalNegritaCaracter"/>
        </w:rPr>
        <w:t>Artículo 6.3.</w:t>
      </w:r>
      <w:r w:rsidRPr="00E27756">
        <w:rPr>
          <w:rStyle w:val="TextoNormalCaracter"/>
        </w:rPr>
        <w:t>-</w:t>
      </w:r>
      <w:r>
        <w:t xml:space="preserve"> Sentencia </w:t>
      </w:r>
      <w:hyperlink w:anchor="SENTENCIA_2013_15" w:history="1">
        <w:r w:rsidRPr="00E27756">
          <w:rPr>
            <w:rStyle w:val="TextoNormalCaracter"/>
          </w:rPr>
          <w:t>15/2013</w:t>
        </w:r>
      </w:hyperlink>
      <w:r>
        <w:t>, f. 4.</w:t>
      </w:r>
    </w:p>
    <w:p w:rsidR="00E27756" w:rsidRDefault="00E27756" w:rsidP="00E27756">
      <w:pPr>
        <w:pStyle w:val="SangriaFrancesaArticulo"/>
      </w:pPr>
      <w:r w:rsidRPr="00E27756">
        <w:rPr>
          <w:rStyle w:val="TextoNormalNegritaCaracter"/>
        </w:rPr>
        <w:t>Artículo 14.</w:t>
      </w:r>
      <w:r w:rsidRPr="00E27756">
        <w:rPr>
          <w:rStyle w:val="TextoNormalCaracter"/>
        </w:rPr>
        <w:t>-</w:t>
      </w:r>
      <w:r>
        <w:t xml:space="preserve"> Sentencia </w:t>
      </w:r>
      <w:hyperlink w:anchor="SENTENCIA_2013_47" w:history="1">
        <w:r w:rsidRPr="00E27756">
          <w:rPr>
            <w:rStyle w:val="TextoNormalCaracter"/>
          </w:rPr>
          <w:t>47/2013</w:t>
        </w:r>
      </w:hyperlink>
      <w:r>
        <w:t>, f. 4.</w:t>
      </w:r>
    </w:p>
    <w:p w:rsidR="00E27756" w:rsidRDefault="00E27756" w:rsidP="00E27756">
      <w:pPr>
        <w:pStyle w:val="SangriaFrancesaArticulo"/>
      </w:pPr>
      <w:r w:rsidRPr="00E27756">
        <w:rPr>
          <w:rStyle w:val="TextoNormalNegritaCaracter"/>
        </w:rPr>
        <w:t>Disposición adicional primera, apartado 2 c).</w:t>
      </w:r>
      <w:r w:rsidRPr="00E27756">
        <w:rPr>
          <w:rStyle w:val="TextoNormalCaracter"/>
        </w:rPr>
        <w:t>-</w:t>
      </w:r>
      <w:r>
        <w:t xml:space="preserve"> Sentencia </w:t>
      </w:r>
      <w:hyperlink w:anchor="SENTENCIA_2013_24" w:history="1">
        <w:r w:rsidRPr="00E27756">
          <w:rPr>
            <w:rStyle w:val="TextoNormalCaracter"/>
          </w:rPr>
          <w:t>24/2013</w:t>
        </w:r>
      </w:hyperlink>
      <w:r>
        <w:t>, ff. 5, 7.</w:t>
      </w:r>
    </w:p>
    <w:p w:rsidR="00E27756" w:rsidRDefault="00E27756" w:rsidP="00E27756">
      <w:pPr>
        <w:pStyle w:val="SangriaIzquierdaArticulo"/>
      </w:pPr>
      <w:r>
        <w:t xml:space="preserve">Auto </w:t>
      </w:r>
      <w:hyperlink w:anchor="AUTO_2013_33" w:history="1">
        <w:r w:rsidRPr="00E27756">
          <w:rPr>
            <w:rStyle w:val="TextoNormalCaracter"/>
          </w:rPr>
          <w:t>33/2013</w:t>
        </w:r>
      </w:hyperlink>
      <w:r>
        <w:t>, f. 2.</w:t>
      </w:r>
    </w:p>
    <w:p w:rsidR="00E27756" w:rsidRDefault="00E27756" w:rsidP="00E27756">
      <w:pPr>
        <w:pStyle w:val="SangriaIzquierdaArticulo"/>
      </w:pPr>
    </w:p>
    <w:p w:rsidR="00E27756" w:rsidRDefault="00E27756" w:rsidP="00E27756">
      <w:pPr>
        <w:pStyle w:val="TextoNormalNegritaCursivandice"/>
      </w:pPr>
      <w:r>
        <w:t>Ley Orgánica 11/1985, de 2 de agosto. Libertad sindical</w:t>
      </w:r>
    </w:p>
    <w:p w:rsidR="00E27756" w:rsidRDefault="00E27756" w:rsidP="00E27756">
      <w:pPr>
        <w:pStyle w:val="SangriaFrancesaArticulo"/>
      </w:pPr>
      <w:r w:rsidRPr="00E27756">
        <w:rPr>
          <w:rStyle w:val="TextoNormalNegritaCaracter"/>
        </w:rPr>
        <w:t>Disposición adicional tercera, párrafo 2.</w:t>
      </w:r>
      <w:r w:rsidRPr="00E27756">
        <w:rPr>
          <w:rStyle w:val="TextoNormalCaracter"/>
        </w:rPr>
        <w:t>-</w:t>
      </w:r>
      <w:r>
        <w:t xml:space="preserve"> Sentencia </w:t>
      </w:r>
      <w:hyperlink w:anchor="SENTENCIA_2013_131" w:history="1">
        <w:r w:rsidRPr="00E27756">
          <w:rPr>
            <w:rStyle w:val="TextoNormalCaracter"/>
          </w:rPr>
          <w:t>131/2013</w:t>
        </w:r>
      </w:hyperlink>
      <w:r>
        <w:t>, f. 5.</w:t>
      </w:r>
    </w:p>
    <w:p w:rsidR="00E27756" w:rsidRDefault="00E27756" w:rsidP="00E27756">
      <w:pPr>
        <w:pStyle w:val="SangriaFrancesaArticulo"/>
      </w:pPr>
    </w:p>
    <w:p w:rsidR="00E27756" w:rsidRDefault="00E27756" w:rsidP="00E27756">
      <w:pPr>
        <w:pStyle w:val="TextoNormalNegritaCursivandice"/>
      </w:pPr>
      <w:r>
        <w:t>Ley Orgánica 2/1986, de 13 de marzo. Fuerzas y cuerpos de seguridad</w:t>
      </w:r>
    </w:p>
    <w:p w:rsidR="00E27756" w:rsidRDefault="00E27756" w:rsidP="00E27756">
      <w:pPr>
        <w:pStyle w:val="SangriaFrancesaArticulo"/>
      </w:pPr>
      <w:r w:rsidRPr="00E27756">
        <w:rPr>
          <w:rStyle w:val="TextoNormalNegritaCaracter"/>
        </w:rPr>
        <w:t>Artículo 5.5.</w:t>
      </w:r>
      <w:r w:rsidRPr="00E27756">
        <w:rPr>
          <w:rStyle w:val="TextoNormalCaracter"/>
        </w:rPr>
        <w:t>-</w:t>
      </w:r>
      <w:r>
        <w:t xml:space="preserve"> Sentencia </w:t>
      </w:r>
      <w:hyperlink w:anchor="SENTENCIA_2013_17" w:history="1">
        <w:r w:rsidRPr="00E27756">
          <w:rPr>
            <w:rStyle w:val="TextoNormalCaracter"/>
          </w:rPr>
          <w:t>17/2013</w:t>
        </w:r>
      </w:hyperlink>
      <w:r>
        <w:t>, f. 9.</w:t>
      </w:r>
    </w:p>
    <w:p w:rsidR="00E27756" w:rsidRDefault="00E27756" w:rsidP="00E27756">
      <w:pPr>
        <w:pStyle w:val="SangriaFrancesaArticulo"/>
      </w:pPr>
      <w:r w:rsidRPr="00E27756">
        <w:rPr>
          <w:rStyle w:val="TextoNormalNegritaCaracter"/>
        </w:rPr>
        <w:t>Artículo 11.1.</w:t>
      </w:r>
      <w:r w:rsidRPr="00E27756">
        <w:rPr>
          <w:rStyle w:val="TextoNormalCaracter"/>
        </w:rPr>
        <w:t>-</w:t>
      </w:r>
      <w:r>
        <w:t xml:space="preserve"> Sentencia </w:t>
      </w:r>
      <w:hyperlink w:anchor="SENTENCIA_2013_115" w:history="1">
        <w:r w:rsidRPr="00E27756">
          <w:rPr>
            <w:rStyle w:val="TextoNormalCaracter"/>
          </w:rPr>
          <w:t>115/2013</w:t>
        </w:r>
      </w:hyperlink>
      <w:r>
        <w:t>, f. 6.</w:t>
      </w:r>
    </w:p>
    <w:p w:rsidR="00E27756" w:rsidRDefault="00E27756" w:rsidP="00E27756">
      <w:pPr>
        <w:pStyle w:val="SangriaFrancesaArticulo"/>
      </w:pPr>
      <w:r w:rsidRPr="00E27756">
        <w:rPr>
          <w:rStyle w:val="TextoNormalNegritaCaracter"/>
        </w:rPr>
        <w:t>Artículo 11.1 a).</w:t>
      </w:r>
      <w:r w:rsidRPr="00E27756">
        <w:rPr>
          <w:rStyle w:val="TextoNormalCaracter"/>
        </w:rPr>
        <w:t>-</w:t>
      </w:r>
      <w:r>
        <w:t xml:space="preserve"> Sentencia </w:t>
      </w:r>
      <w:hyperlink w:anchor="SENTENCIA_2013_17" w:history="1">
        <w:r w:rsidRPr="00E27756">
          <w:rPr>
            <w:rStyle w:val="TextoNormalCaracter"/>
          </w:rPr>
          <w:t>17/2013</w:t>
        </w:r>
      </w:hyperlink>
      <w:r>
        <w:t>, f. 9.</w:t>
      </w:r>
    </w:p>
    <w:p w:rsidR="00E27756" w:rsidRDefault="00E27756" w:rsidP="00E27756">
      <w:pPr>
        <w:pStyle w:val="SangriaFrancesaArticulo"/>
      </w:pPr>
      <w:r w:rsidRPr="00E27756">
        <w:rPr>
          <w:rStyle w:val="TextoNormalNegritaCaracter"/>
        </w:rPr>
        <w:t>Artículo 12.1.A c).</w:t>
      </w:r>
      <w:r w:rsidRPr="00E27756">
        <w:rPr>
          <w:rStyle w:val="TextoNormalCaracter"/>
        </w:rPr>
        <w:t>-</w:t>
      </w:r>
      <w:r>
        <w:t xml:space="preserve"> Sentencia </w:t>
      </w:r>
      <w:hyperlink w:anchor="SENTENCIA_2013_17" w:history="1">
        <w:r w:rsidRPr="00E27756">
          <w:rPr>
            <w:rStyle w:val="TextoNormalCaracter"/>
          </w:rPr>
          <w:t>17/2013</w:t>
        </w:r>
      </w:hyperlink>
      <w:r>
        <w:t>, f. 9.</w:t>
      </w:r>
    </w:p>
    <w:p w:rsidR="00E27756" w:rsidRDefault="00E27756" w:rsidP="00E27756">
      <w:pPr>
        <w:pStyle w:val="SangriaFrancesaArticulo"/>
      </w:pPr>
      <w:r w:rsidRPr="00E27756">
        <w:rPr>
          <w:rStyle w:val="TextoNormalNegritaCaracter"/>
        </w:rPr>
        <w:t>Artículo 39 c).</w:t>
      </w:r>
      <w:r w:rsidRPr="00E27756">
        <w:rPr>
          <w:rStyle w:val="TextoNormalCaracter"/>
        </w:rPr>
        <w:t>-</w:t>
      </w:r>
      <w:r>
        <w:t xml:space="preserve"> Sentencia </w:t>
      </w:r>
      <w:hyperlink w:anchor="SENTENCIA_2013_33" w:history="1">
        <w:r w:rsidRPr="00E27756">
          <w:rPr>
            <w:rStyle w:val="TextoNormalCaracter"/>
          </w:rPr>
          <w:t>33/2013</w:t>
        </w:r>
      </w:hyperlink>
      <w:r>
        <w:t>, f. 5.</w:t>
      </w:r>
    </w:p>
    <w:p w:rsidR="00E27756" w:rsidRDefault="00E27756" w:rsidP="00E27756">
      <w:pPr>
        <w:pStyle w:val="SangriaFrancesaArticulo"/>
      </w:pPr>
    </w:p>
    <w:p w:rsidR="00E27756" w:rsidRDefault="00E27756" w:rsidP="00E27756">
      <w:pPr>
        <w:pStyle w:val="TextoNormalNegritaCursivandice"/>
      </w:pPr>
      <w:r>
        <w:t>Ley Orgánica 3/1987, de 2 de julio. Financiación de los partidos políticos</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Autos </w:t>
      </w:r>
      <w:hyperlink w:anchor="AUTO_2013_30" w:history="1">
        <w:r w:rsidRPr="00E27756">
          <w:rPr>
            <w:rStyle w:val="TextoNormalCaracter"/>
          </w:rPr>
          <w:t>30/2013</w:t>
        </w:r>
      </w:hyperlink>
      <w:r>
        <w:t xml:space="preserve">, f. 1; </w:t>
      </w:r>
      <w:hyperlink w:anchor="AUTO_2013_31" w:history="1">
        <w:r w:rsidRPr="00E27756">
          <w:rPr>
            <w:rStyle w:val="TextoNormalCaracter"/>
          </w:rPr>
          <w:t>31/2013</w:t>
        </w:r>
      </w:hyperlink>
      <w:r>
        <w:t xml:space="preserve">, f. 1; </w:t>
      </w:r>
      <w:hyperlink w:anchor="AUTO_2013_32" w:history="1">
        <w:r w:rsidRPr="00E27756">
          <w:rPr>
            <w:rStyle w:val="TextoNormalCaracter"/>
          </w:rPr>
          <w:t>32/2013</w:t>
        </w:r>
      </w:hyperlink>
      <w:r>
        <w:t>, f. 1.</w:t>
      </w:r>
    </w:p>
    <w:p w:rsidR="00E27756" w:rsidRDefault="00E27756" w:rsidP="00E27756">
      <w:pPr>
        <w:pStyle w:val="SangriaFrancesaArticulo"/>
      </w:pPr>
    </w:p>
    <w:p w:rsidR="00E27756" w:rsidRDefault="00E27756" w:rsidP="00E27756">
      <w:pPr>
        <w:pStyle w:val="TextoNormalNegritaCursivandice"/>
      </w:pPr>
      <w:r>
        <w:t>Ley Orgánica 4/1988, de 25 de mayo. Reforma la Ley de enjuiciamiento criminal</w:t>
      </w:r>
    </w:p>
    <w:p w:rsidR="00E27756" w:rsidRDefault="00E27756" w:rsidP="00E27756">
      <w:pPr>
        <w:pStyle w:val="SangriaFrancesaArticulo"/>
      </w:pPr>
      <w:r w:rsidRPr="00E27756">
        <w:rPr>
          <w:rStyle w:val="TextoNormalNegritaCaracter"/>
        </w:rPr>
        <w:t>Artículo 641.1.</w:t>
      </w:r>
      <w:r w:rsidRPr="00E27756">
        <w:rPr>
          <w:rStyle w:val="TextoNormalCaracter"/>
        </w:rPr>
        <w:t>-</w:t>
      </w:r>
      <w:r>
        <w:t xml:space="preserve"> Auto </w:t>
      </w:r>
      <w:hyperlink w:anchor="AUTO_2013_21" w:history="1">
        <w:r w:rsidRPr="00E27756">
          <w:rPr>
            <w:rStyle w:val="TextoNormalCaracter"/>
          </w:rPr>
          <w:t>21/2013</w:t>
        </w:r>
      </w:hyperlink>
      <w:r>
        <w:t>, f. 1.</w:t>
      </w:r>
    </w:p>
    <w:p w:rsidR="00E27756" w:rsidRDefault="00E27756" w:rsidP="00E27756">
      <w:pPr>
        <w:pStyle w:val="SangriaFrancesaArticulo"/>
      </w:pPr>
    </w:p>
    <w:p w:rsidR="00E27756" w:rsidRDefault="00E27756" w:rsidP="00E27756">
      <w:pPr>
        <w:pStyle w:val="TextoNormalNegritaCursivandice"/>
      </w:pPr>
      <w:r>
        <w:t>Ley Orgánica 1/1990, de 3 de octubre. Ordenación general del sistema educativo</w:t>
      </w:r>
    </w:p>
    <w:p w:rsidR="00E27756" w:rsidRDefault="00E27756" w:rsidP="00E27756">
      <w:pPr>
        <w:pStyle w:val="SangriaFrancesaArticulo"/>
      </w:pPr>
      <w:r w:rsidRPr="00E27756">
        <w:rPr>
          <w:rStyle w:val="TextoNormalNegritaCaracter"/>
        </w:rPr>
        <w:t>Artículo 7.2.</w:t>
      </w:r>
      <w:r w:rsidRPr="00E27756">
        <w:rPr>
          <w:rStyle w:val="TextoNormalCaracter"/>
        </w:rPr>
        <w:t>-</w:t>
      </w:r>
      <w:r>
        <w:t xml:space="preserve"> Sentencia </w:t>
      </w:r>
      <w:hyperlink w:anchor="SENTENCIA_2013_6" w:history="1">
        <w:r w:rsidRPr="00E27756">
          <w:rPr>
            <w:rStyle w:val="TextoNormalCaracter"/>
          </w:rPr>
          <w:t>6/2013</w:t>
        </w:r>
      </w:hyperlink>
      <w:r>
        <w:t>, f. 3.</w:t>
      </w:r>
    </w:p>
    <w:p w:rsidR="00E27756" w:rsidRDefault="00E27756" w:rsidP="00E27756">
      <w:pPr>
        <w:pStyle w:val="SangriaFrancesaArticulo"/>
      </w:pPr>
    </w:p>
    <w:p w:rsidR="00E27756" w:rsidRDefault="00E27756" w:rsidP="00E27756">
      <w:pPr>
        <w:pStyle w:val="TextoNormalNegritaCursivandice"/>
      </w:pPr>
      <w:r>
        <w:t>Ley Orgánica 1/1992, de 21 de febrero. Protección de la seguridad ciudadana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8.1.</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17" w:history="1">
        <w:r w:rsidRPr="00E27756">
          <w:rPr>
            <w:rStyle w:val="TextoNormalCaracter"/>
          </w:rPr>
          <w:t>17/2013</w:t>
        </w:r>
      </w:hyperlink>
      <w:r>
        <w:t>, f. 10.</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17" w:history="1">
        <w:r w:rsidRPr="00E27756">
          <w:rPr>
            <w:rStyle w:val="TextoNormalCaracter"/>
          </w:rPr>
          <w:t>17/2013</w:t>
        </w:r>
      </w:hyperlink>
      <w:r>
        <w:t>, f. 10.</w:t>
      </w:r>
    </w:p>
    <w:p w:rsidR="00E27756" w:rsidRDefault="00E27756" w:rsidP="00E27756">
      <w:pPr>
        <w:pStyle w:val="SangriaFrancesaArticulo"/>
      </w:pPr>
      <w:r w:rsidRPr="00E27756">
        <w:rPr>
          <w:rStyle w:val="TextoNormalNegritaCaracter"/>
        </w:rPr>
        <w:t>Artículo 14.</w:t>
      </w:r>
      <w:r w:rsidRPr="00E27756">
        <w:rPr>
          <w:rStyle w:val="TextoNormalCaracter"/>
        </w:rPr>
        <w:t>-</w:t>
      </w:r>
      <w:r>
        <w:t xml:space="preserve"> Sentencias </w:t>
      </w:r>
      <w:hyperlink w:anchor="SENTENCIA_2013_115" w:history="1">
        <w:r w:rsidRPr="00E27756">
          <w:rPr>
            <w:rStyle w:val="TextoNormalCaracter"/>
          </w:rPr>
          <w:t>115/2013</w:t>
        </w:r>
      </w:hyperlink>
      <w:r>
        <w:t xml:space="preserve">, f. 6;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15.</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36.</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36.1.</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36.2 b).</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36.2 c).</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p>
    <w:p w:rsidR="00E27756" w:rsidRDefault="00E27756" w:rsidP="00E27756">
      <w:pPr>
        <w:pStyle w:val="TextoNormalNegritaCursivandice"/>
      </w:pPr>
      <w:r>
        <w:lastRenderedPageBreak/>
        <w:t>Ley Orgánica 19/1994, de 23 de diciembre. Protección a testigos y peritos en causas criminales</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p>
    <w:p w:rsidR="00E27756" w:rsidRDefault="00E27756" w:rsidP="00E27756">
      <w:pPr>
        <w:pStyle w:val="TextoNormalNegritaCursivandice"/>
      </w:pPr>
      <w:r>
        <w:t>Ley Orgánica 10/1995, de 23 de noviembre. Código penal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9" w:history="1">
        <w:r w:rsidRPr="00E27756">
          <w:rPr>
            <w:rStyle w:val="TextoNormalCaracter"/>
          </w:rPr>
          <w:t>109/2013</w:t>
        </w:r>
      </w:hyperlink>
      <w:r>
        <w:t>, f. 4.</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78" w:history="1">
        <w:r w:rsidRPr="00E27756">
          <w:rPr>
            <w:rStyle w:val="TextoNormalCaracter"/>
          </w:rPr>
          <w:t>78/2013</w:t>
        </w:r>
      </w:hyperlink>
      <w:r>
        <w:t>, f. 3.</w:t>
      </w:r>
    </w:p>
    <w:p w:rsidR="00E27756" w:rsidRDefault="00E27756" w:rsidP="00E27756">
      <w:pPr>
        <w:pStyle w:val="SangriaFrancesaArticulo"/>
      </w:pPr>
      <w:r w:rsidRPr="00E27756">
        <w:rPr>
          <w:rStyle w:val="TextoNormalNegritaCaracter"/>
        </w:rPr>
        <w:t>Artículo 21.6.</w:t>
      </w:r>
      <w:r w:rsidRPr="00E27756">
        <w:rPr>
          <w:rStyle w:val="TextoNormalCaracter"/>
        </w:rPr>
        <w:t>-</w:t>
      </w:r>
      <w:r>
        <w:t xml:space="preserve"> Sentencia </w:t>
      </w:r>
      <w:hyperlink w:anchor="SENTENCIA_2013_78" w:history="1">
        <w:r w:rsidRPr="00E27756">
          <w:rPr>
            <w:rStyle w:val="TextoNormalCaracter"/>
          </w:rPr>
          <w:t>78/2013</w:t>
        </w:r>
      </w:hyperlink>
      <w:r>
        <w:t>, ff. 1, 3, 4.</w:t>
      </w:r>
    </w:p>
    <w:p w:rsidR="00E27756" w:rsidRDefault="00E27756" w:rsidP="00E27756">
      <w:pPr>
        <w:pStyle w:val="SangriaFrancesaArticulo"/>
      </w:pPr>
      <w:r w:rsidRPr="00E27756">
        <w:rPr>
          <w:rStyle w:val="TextoNormalNegritaCaracter"/>
        </w:rPr>
        <w:t>Artículo 33.</w:t>
      </w:r>
      <w:r w:rsidRPr="00E27756">
        <w:rPr>
          <w:rStyle w:val="TextoNormalCaracter"/>
        </w:rPr>
        <w:t>-</w:t>
      </w:r>
      <w:r>
        <w:t xml:space="preserve"> Auto </w:t>
      </w:r>
      <w:hyperlink w:anchor="AUTO_2013_61" w:history="1">
        <w:r w:rsidRPr="00E27756">
          <w:rPr>
            <w:rStyle w:val="TextoNormalCaracter"/>
          </w:rPr>
          <w:t>61/2013</w:t>
        </w:r>
      </w:hyperlink>
      <w:r>
        <w:t>, f. 2.</w:t>
      </w:r>
    </w:p>
    <w:p w:rsidR="00E27756" w:rsidRDefault="00E27756" w:rsidP="00E27756">
      <w:pPr>
        <w:pStyle w:val="SangriaFrancesaArticulo"/>
      </w:pPr>
      <w:r w:rsidRPr="00E27756">
        <w:rPr>
          <w:rStyle w:val="TextoNormalNegritaCaracter"/>
        </w:rPr>
        <w:t>Artículo 66.2.</w:t>
      </w:r>
      <w:r w:rsidRPr="00E27756">
        <w:rPr>
          <w:rStyle w:val="TextoNormalCaracter"/>
        </w:rPr>
        <w:t>-</w:t>
      </w:r>
      <w:r>
        <w:t xml:space="preserve"> Sentencia </w:t>
      </w:r>
      <w:hyperlink w:anchor="SENTENCIA_2013_78" w:history="1">
        <w:r w:rsidRPr="00E27756">
          <w:rPr>
            <w:rStyle w:val="TextoNormalCaracter"/>
          </w:rPr>
          <w:t>78/2013</w:t>
        </w:r>
      </w:hyperlink>
      <w:r>
        <w:t>, f. 4.</w:t>
      </w:r>
    </w:p>
    <w:p w:rsidR="00E27756" w:rsidRDefault="00E27756" w:rsidP="00E27756">
      <w:pPr>
        <w:pStyle w:val="SangriaFrancesaArticulo"/>
      </w:pPr>
      <w:r w:rsidRPr="00E27756">
        <w:rPr>
          <w:rStyle w:val="TextoNormalNegritaCaracter"/>
        </w:rPr>
        <w:t>Artículo 80.</w:t>
      </w:r>
      <w:r w:rsidRPr="00E27756">
        <w:rPr>
          <w:rStyle w:val="TextoNormalCaracter"/>
        </w:rPr>
        <w:t>-</w:t>
      </w:r>
      <w:r>
        <w:t xml:space="preserve"> Sentencia </w:t>
      </w:r>
      <w:hyperlink w:anchor="SENTENCIA_2013_109" w:history="1">
        <w:r w:rsidRPr="00E27756">
          <w:rPr>
            <w:rStyle w:val="TextoNormalCaracter"/>
          </w:rPr>
          <w:t>109/2013</w:t>
        </w:r>
      </w:hyperlink>
      <w:r>
        <w:t>, ff. 1, 5.</w:t>
      </w:r>
    </w:p>
    <w:p w:rsidR="00E27756" w:rsidRDefault="00E27756" w:rsidP="00E27756">
      <w:pPr>
        <w:pStyle w:val="SangriaFrancesaArticulo"/>
      </w:pPr>
      <w:r w:rsidRPr="00E27756">
        <w:rPr>
          <w:rStyle w:val="TextoNormalNegritaCaracter"/>
        </w:rPr>
        <w:t>Artículo 84.</w:t>
      </w:r>
      <w:r w:rsidRPr="00E27756">
        <w:rPr>
          <w:rStyle w:val="TextoNormalCaracter"/>
        </w:rPr>
        <w:t>-</w:t>
      </w:r>
      <w:r>
        <w:t xml:space="preserve"> Sentencia </w:t>
      </w:r>
      <w:hyperlink w:anchor="SENTENCIA_2013_109" w:history="1">
        <w:r w:rsidRPr="00E27756">
          <w:rPr>
            <w:rStyle w:val="TextoNormalCaracter"/>
          </w:rPr>
          <w:t>109/2013</w:t>
        </w:r>
      </w:hyperlink>
      <w:r>
        <w:t>, f. 1.</w:t>
      </w:r>
    </w:p>
    <w:p w:rsidR="00E27756" w:rsidRDefault="00E27756" w:rsidP="00E27756">
      <w:pPr>
        <w:pStyle w:val="SangriaFrancesaArticulo"/>
      </w:pPr>
      <w:r w:rsidRPr="00E27756">
        <w:rPr>
          <w:rStyle w:val="TextoNormalNegritaCaracter"/>
        </w:rPr>
        <w:t>Artículo 131.</w:t>
      </w:r>
      <w:r w:rsidRPr="00E27756">
        <w:rPr>
          <w:rStyle w:val="TextoNormalCaracter"/>
        </w:rPr>
        <w:t>-</w:t>
      </w:r>
      <w:r>
        <w:t xml:space="preserve"> Sentencia </w:t>
      </w:r>
      <w:hyperlink w:anchor="SENTENCIA_2013_105" w:history="1">
        <w:r w:rsidRPr="00E27756">
          <w:rPr>
            <w:rStyle w:val="TextoNormalCaracter"/>
          </w:rPr>
          <w:t>105/2013</w:t>
        </w:r>
      </w:hyperlink>
      <w:r>
        <w:t>, f. 4.</w:t>
      </w:r>
    </w:p>
    <w:p w:rsidR="00E27756" w:rsidRDefault="00E27756" w:rsidP="00E27756">
      <w:pPr>
        <w:pStyle w:val="SangriaFrancesaArticulo"/>
      </w:pPr>
      <w:r w:rsidRPr="00E27756">
        <w:rPr>
          <w:rStyle w:val="TextoNormalNegritaCaracter"/>
        </w:rPr>
        <w:t>Artículo 131.1.</w:t>
      </w:r>
      <w:r w:rsidRPr="00E27756">
        <w:rPr>
          <w:rStyle w:val="TextoNormalCaracter"/>
        </w:rPr>
        <w:t>-</w:t>
      </w:r>
      <w:r>
        <w:t xml:space="preserve"> Sentencias </w:t>
      </w:r>
      <w:hyperlink w:anchor="SENTENCIA_2013_2" w:history="1">
        <w:r w:rsidRPr="00E27756">
          <w:rPr>
            <w:rStyle w:val="TextoNormalCaracter"/>
          </w:rPr>
          <w:t>2/2013</w:t>
        </w:r>
      </w:hyperlink>
      <w:r>
        <w:t xml:space="preserve">, f. 7; </w:t>
      </w:r>
      <w:hyperlink w:anchor="SENTENCIA_2013_32" w:history="1">
        <w:r w:rsidRPr="00E27756">
          <w:rPr>
            <w:rStyle w:val="TextoNormalCaracter"/>
          </w:rPr>
          <w:t>32/2013</w:t>
        </w:r>
      </w:hyperlink>
      <w:r>
        <w:t>, f. 4.</w:t>
      </w:r>
    </w:p>
    <w:p w:rsidR="00E27756" w:rsidRDefault="00E27756" w:rsidP="00E27756">
      <w:pPr>
        <w:pStyle w:val="SangriaFrancesaArticulo"/>
      </w:pPr>
      <w:r w:rsidRPr="00E27756">
        <w:rPr>
          <w:rStyle w:val="TextoNormalNegritaCaracter"/>
        </w:rPr>
        <w:t>Artículo 131.1 in fine.</w:t>
      </w:r>
      <w:r w:rsidRPr="00E27756">
        <w:rPr>
          <w:rStyle w:val="TextoNormalCaracter"/>
        </w:rPr>
        <w:t>-</w:t>
      </w:r>
      <w:r>
        <w:t xml:space="preserve"> Sentencia </w:t>
      </w:r>
      <w:hyperlink w:anchor="SENTENCIA_2013_1" w:history="1">
        <w:r w:rsidRPr="00E27756">
          <w:rPr>
            <w:rStyle w:val="TextoNormalCaracter"/>
          </w:rPr>
          <w:t>1/2013</w:t>
        </w:r>
      </w:hyperlink>
      <w:r>
        <w:t>, ff. 1, 3.</w:t>
      </w:r>
    </w:p>
    <w:p w:rsidR="00E27756" w:rsidRDefault="00E27756" w:rsidP="00E27756">
      <w:pPr>
        <w:pStyle w:val="SangriaFrancesaArticulo"/>
      </w:pPr>
      <w:r w:rsidRPr="00E27756">
        <w:rPr>
          <w:rStyle w:val="TextoNormalNegritaCaracter"/>
        </w:rPr>
        <w:t>Artículo 132.2.</w:t>
      </w:r>
      <w:r w:rsidRPr="00E27756">
        <w:rPr>
          <w:rStyle w:val="TextoNormalCaracter"/>
        </w:rPr>
        <w:t>-</w:t>
      </w:r>
      <w:r>
        <w:t xml:space="preserve"> Sentencias </w:t>
      </w:r>
      <w:hyperlink w:anchor="SENTENCIA_2013_1" w:history="1">
        <w:r w:rsidRPr="00E27756">
          <w:rPr>
            <w:rStyle w:val="TextoNormalCaracter"/>
          </w:rPr>
          <w:t>1/2013</w:t>
        </w:r>
      </w:hyperlink>
      <w:r>
        <w:t xml:space="preserve">, ff. 1, 3; </w:t>
      </w:r>
      <w:hyperlink w:anchor="SENTENCIA_2013_2" w:history="1">
        <w:r w:rsidRPr="00E27756">
          <w:rPr>
            <w:rStyle w:val="TextoNormalCaracter"/>
          </w:rPr>
          <w:t>2/2013</w:t>
        </w:r>
      </w:hyperlink>
      <w:r>
        <w:t xml:space="preserve">, f. 7; </w:t>
      </w:r>
      <w:hyperlink w:anchor="SENTENCIA_2013_32" w:history="1">
        <w:r w:rsidRPr="00E27756">
          <w:rPr>
            <w:rStyle w:val="TextoNormalCaracter"/>
          </w:rPr>
          <w:t>32/2013</w:t>
        </w:r>
      </w:hyperlink>
      <w:r>
        <w:t>, f. 4.</w:t>
      </w:r>
    </w:p>
    <w:p w:rsidR="00E27756" w:rsidRDefault="00E27756" w:rsidP="00E27756">
      <w:pPr>
        <w:pStyle w:val="SangriaFrancesaArticulo"/>
      </w:pPr>
      <w:r w:rsidRPr="00E27756">
        <w:rPr>
          <w:rStyle w:val="TextoNormalNegritaCaracter"/>
        </w:rPr>
        <w:t>Artículo 134.</w:t>
      </w:r>
      <w:r w:rsidRPr="00E27756">
        <w:rPr>
          <w:rStyle w:val="TextoNormalCaracter"/>
        </w:rPr>
        <w:t>-</w:t>
      </w:r>
      <w:r>
        <w:t xml:space="preserve"> Sentencia </w:t>
      </w:r>
      <w:hyperlink w:anchor="SENTENCIA_2013_109" w:history="1">
        <w:r w:rsidRPr="00E27756">
          <w:rPr>
            <w:rStyle w:val="TextoNormalCaracter"/>
          </w:rPr>
          <w:t>109/2013</w:t>
        </w:r>
      </w:hyperlink>
      <w:r>
        <w:t>, f. 1.</w:t>
      </w:r>
    </w:p>
    <w:p w:rsidR="00E27756" w:rsidRDefault="00E27756" w:rsidP="00E27756">
      <w:pPr>
        <w:pStyle w:val="SangriaFrancesaArticulo"/>
      </w:pPr>
      <w:r w:rsidRPr="00E27756">
        <w:rPr>
          <w:rStyle w:val="TextoNormalNegritaCaracter"/>
        </w:rPr>
        <w:t>Artículo 147.1.</w:t>
      </w:r>
      <w:r w:rsidRPr="00E27756">
        <w:rPr>
          <w:rStyle w:val="TextoNormalCaracter"/>
        </w:rPr>
        <w:t>-</w:t>
      </w:r>
      <w:r>
        <w:t xml:space="preserve"> Sentencia </w:t>
      </w:r>
      <w:hyperlink w:anchor="SENTENCIA_2013_78" w:history="1">
        <w:r w:rsidRPr="00E27756">
          <w:rPr>
            <w:rStyle w:val="TextoNormalCaracter"/>
          </w:rPr>
          <w:t>78/2013</w:t>
        </w:r>
      </w:hyperlink>
      <w:r>
        <w:t>, f. 1.</w:t>
      </w:r>
    </w:p>
    <w:p w:rsidR="00E27756" w:rsidRDefault="00E27756" w:rsidP="00E27756">
      <w:pPr>
        <w:pStyle w:val="SangriaFrancesaArticulo"/>
      </w:pPr>
      <w:r w:rsidRPr="00E27756">
        <w:rPr>
          <w:rStyle w:val="TextoNormalNegritaCaracter"/>
        </w:rPr>
        <w:t>Artículo 148.1.</w:t>
      </w:r>
      <w:r w:rsidRPr="00E27756">
        <w:rPr>
          <w:rStyle w:val="TextoNormalCaracter"/>
        </w:rPr>
        <w:t>-</w:t>
      </w:r>
      <w:r>
        <w:t xml:space="preserve"> Sentencia </w:t>
      </w:r>
      <w:hyperlink w:anchor="SENTENCIA_2013_78" w:history="1">
        <w:r w:rsidRPr="00E27756">
          <w:rPr>
            <w:rStyle w:val="TextoNormalCaracter"/>
          </w:rPr>
          <w:t>78/2013</w:t>
        </w:r>
      </w:hyperlink>
      <w:r>
        <w:t>, f. 1.</w:t>
      </w:r>
    </w:p>
    <w:p w:rsidR="00E27756" w:rsidRDefault="00E27756" w:rsidP="00E27756">
      <w:pPr>
        <w:pStyle w:val="SangriaFrancesaArticulo"/>
      </w:pPr>
      <w:r w:rsidRPr="00E27756">
        <w:rPr>
          <w:rStyle w:val="TextoNormalNegritaCaracter"/>
        </w:rPr>
        <w:t>Artículo 291.</w:t>
      </w:r>
      <w:r w:rsidRPr="00E27756">
        <w:rPr>
          <w:rStyle w:val="TextoNormalCaracter"/>
        </w:rPr>
        <w:t>-</w:t>
      </w:r>
      <w:r>
        <w:t xml:space="preserve"> Sentencia </w:t>
      </w:r>
      <w:hyperlink w:anchor="SENTENCIA_2013_88" w:history="1">
        <w:r w:rsidRPr="00E27756">
          <w:rPr>
            <w:rStyle w:val="TextoNormalCaracter"/>
          </w:rPr>
          <w:t>88/2013</w:t>
        </w:r>
      </w:hyperlink>
      <w:r>
        <w:t>, f. 6.</w:t>
      </w:r>
    </w:p>
    <w:p w:rsidR="00E27756" w:rsidRDefault="00E27756" w:rsidP="00E27756">
      <w:pPr>
        <w:pStyle w:val="SangriaFrancesaArticulo"/>
      </w:pPr>
      <w:r w:rsidRPr="00E27756">
        <w:rPr>
          <w:rStyle w:val="TextoNormalNegritaCaracter"/>
        </w:rPr>
        <w:t>Artículo 316.</w:t>
      </w:r>
      <w:r w:rsidRPr="00E27756">
        <w:rPr>
          <w:rStyle w:val="TextoNormalCaracter"/>
        </w:rPr>
        <w:t>-</w:t>
      </w:r>
      <w:r>
        <w:t xml:space="preserve"> Sentencias </w:t>
      </w:r>
      <w:hyperlink w:anchor="SENTENCIA_2013_43" w:history="1">
        <w:r w:rsidRPr="00E27756">
          <w:rPr>
            <w:rStyle w:val="TextoNormalCaracter"/>
          </w:rPr>
          <w:t>43/2013</w:t>
        </w:r>
      </w:hyperlink>
      <w:r>
        <w:t xml:space="preserve">, f. 1; </w:t>
      </w:r>
      <w:hyperlink w:anchor="SENTENCIA_2013_118" w:history="1">
        <w:r w:rsidRPr="00E27756">
          <w:rPr>
            <w:rStyle w:val="TextoNormalCaracter"/>
          </w:rPr>
          <w:t>118/2013</w:t>
        </w:r>
      </w:hyperlink>
      <w:r>
        <w:t xml:space="preserve">, f. 1; </w:t>
      </w:r>
      <w:hyperlink w:anchor="SENTENCIA_2013_119" w:history="1">
        <w:r w:rsidRPr="00E27756">
          <w:rPr>
            <w:rStyle w:val="TextoNormalCaracter"/>
          </w:rPr>
          <w:t>119/2013</w:t>
        </w:r>
      </w:hyperlink>
      <w:r>
        <w:t xml:space="preserve">, f. 1; </w:t>
      </w:r>
      <w:hyperlink w:anchor="SENTENCIA_2013_120" w:history="1">
        <w:r w:rsidRPr="00E27756">
          <w:rPr>
            <w:rStyle w:val="TextoNormalCaracter"/>
          </w:rPr>
          <w:t>120/2013</w:t>
        </w:r>
      </w:hyperlink>
      <w:r>
        <w:t>, f. 1.</w:t>
      </w:r>
    </w:p>
    <w:p w:rsidR="00E27756" w:rsidRDefault="00E27756" w:rsidP="00E27756">
      <w:pPr>
        <w:pStyle w:val="SangriaFrancesaArticulo"/>
      </w:pPr>
      <w:r w:rsidRPr="00E27756">
        <w:rPr>
          <w:rStyle w:val="TextoNormalNegritaCaracter"/>
        </w:rPr>
        <w:t>Artículo 319.2.</w:t>
      </w:r>
      <w:r w:rsidRPr="00E27756">
        <w:rPr>
          <w:rStyle w:val="TextoNormalCaracter"/>
        </w:rPr>
        <w:t>-</w:t>
      </w:r>
      <w:r>
        <w:t xml:space="preserve"> Sentencia </w:t>
      </w:r>
      <w:hyperlink w:anchor="SENTENCIA_2013_105" w:history="1">
        <w:r w:rsidRPr="00E27756">
          <w:rPr>
            <w:rStyle w:val="TextoNormalCaracter"/>
          </w:rPr>
          <w:t>105/2013</w:t>
        </w:r>
      </w:hyperlink>
      <w:r>
        <w:t>, ff. 1, 4 a 6.</w:t>
      </w:r>
    </w:p>
    <w:p w:rsidR="00E27756" w:rsidRDefault="00E27756" w:rsidP="00E27756">
      <w:pPr>
        <w:pStyle w:val="SangriaFrancesaArticulo"/>
      </w:pPr>
      <w:r w:rsidRPr="00E27756">
        <w:rPr>
          <w:rStyle w:val="TextoNormalNegritaCaracter"/>
        </w:rPr>
        <w:t>Artículo 621.3.</w:t>
      </w:r>
      <w:r w:rsidRPr="00E27756">
        <w:rPr>
          <w:rStyle w:val="TextoNormalCaracter"/>
        </w:rPr>
        <w:t>-</w:t>
      </w:r>
      <w:r>
        <w:t xml:space="preserve"> Sentencias </w:t>
      </w:r>
      <w:hyperlink w:anchor="SENTENCIA_2013_43" w:history="1">
        <w:r w:rsidRPr="00E27756">
          <w:rPr>
            <w:rStyle w:val="TextoNormalCaracter"/>
          </w:rPr>
          <w:t>43/2013</w:t>
        </w:r>
      </w:hyperlink>
      <w:r>
        <w:t xml:space="preserve">, f. 1; </w:t>
      </w:r>
      <w:hyperlink w:anchor="SENTENCIA_2013_118" w:history="1">
        <w:r w:rsidRPr="00E27756">
          <w:rPr>
            <w:rStyle w:val="TextoNormalCaracter"/>
          </w:rPr>
          <w:t>118/2013</w:t>
        </w:r>
      </w:hyperlink>
      <w:r>
        <w:t xml:space="preserve">, f. 1; </w:t>
      </w:r>
      <w:hyperlink w:anchor="SENTENCIA_2013_119" w:history="1">
        <w:r w:rsidRPr="00E27756">
          <w:rPr>
            <w:rStyle w:val="TextoNormalCaracter"/>
          </w:rPr>
          <w:t>119/2013</w:t>
        </w:r>
      </w:hyperlink>
      <w:r>
        <w:t xml:space="preserve">, f. 1; </w:t>
      </w:r>
      <w:hyperlink w:anchor="SENTENCIA_2013_120" w:history="1">
        <w:r w:rsidRPr="00E27756">
          <w:rPr>
            <w:rStyle w:val="TextoNormalCaracter"/>
          </w:rPr>
          <w:t>120/2013</w:t>
        </w:r>
      </w:hyperlink>
      <w:r>
        <w:t>, f. 1.</w:t>
      </w:r>
    </w:p>
    <w:p w:rsidR="00E27756" w:rsidRDefault="00E27756" w:rsidP="00E27756">
      <w:pPr>
        <w:pStyle w:val="SangriaFrancesaArticulo"/>
      </w:pPr>
    </w:p>
    <w:p w:rsidR="00E27756" w:rsidRDefault="00E27756" w:rsidP="00E27756">
      <w:pPr>
        <w:pStyle w:val="TextoNormalNegritaCursivandice"/>
      </w:pPr>
      <w:r>
        <w:t>Ley Orgánica 16/1995, de 27 de diciembre. Transferencia de competencias a la Comunidad Autónoma gallega</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91" w:history="1">
        <w:r w:rsidRPr="00E27756">
          <w:rPr>
            <w:rStyle w:val="TextoNormalCaracter"/>
          </w:rPr>
          <w:t>91/2013</w:t>
        </w:r>
      </w:hyperlink>
      <w:r>
        <w:t>, f. 3.</w:t>
      </w:r>
    </w:p>
    <w:p w:rsidR="00E27756" w:rsidRDefault="00E27756" w:rsidP="00E27756">
      <w:pPr>
        <w:pStyle w:val="SangriaFrancesaArticulo"/>
      </w:pPr>
    </w:p>
    <w:p w:rsidR="00E27756" w:rsidRDefault="00E27756" w:rsidP="00E27756">
      <w:pPr>
        <w:pStyle w:val="TextoNormalNegritaCursivandice"/>
      </w:pPr>
      <w:r>
        <w:t>Ley Orgánica 1/1996, de 15 de enero. Protección jurídica del menor, modificación parcial del Código civil y de la Ley de enjuiciamiento civil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r w:rsidRPr="00E27756">
        <w:rPr>
          <w:rStyle w:val="TextoNormalNegritaCaracter"/>
        </w:rPr>
        <w:t>Artículo 11.2.</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p>
    <w:p w:rsidR="00E27756" w:rsidRDefault="00E27756" w:rsidP="00E27756">
      <w:pPr>
        <w:pStyle w:val="TextoNormalNegritaCursivandice"/>
      </w:pPr>
      <w:r>
        <w:t>Ley Orgánica 15/1999, de 13 de diciembre. Protección de datos de carácter personal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7" w:history="1">
        <w:r w:rsidRPr="00E27756">
          <w:rPr>
            <w:rStyle w:val="TextoNormalCaracter"/>
          </w:rPr>
          <w:t>17/2013</w:t>
        </w:r>
      </w:hyperlink>
      <w:r>
        <w:t xml:space="preserve">, ff. 4, 7 a 9, VP; </w:t>
      </w:r>
      <w:hyperlink w:anchor="SENTENCIA_2013_29" w:history="1">
        <w:r w:rsidRPr="00E27756">
          <w:rPr>
            <w:rStyle w:val="TextoNormalCaracter"/>
          </w:rPr>
          <w:t>29/2013</w:t>
        </w:r>
      </w:hyperlink>
      <w:r>
        <w:t>, f. 5.</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29" w:history="1">
        <w:r w:rsidRPr="00E27756">
          <w:rPr>
            <w:rStyle w:val="TextoNormalCaracter"/>
          </w:rPr>
          <w:t>29/2013</w:t>
        </w:r>
      </w:hyperlink>
      <w:r>
        <w:t>, f. 7.</w:t>
      </w:r>
    </w:p>
    <w:p w:rsidR="00E27756" w:rsidRDefault="00E27756" w:rsidP="00E27756">
      <w:pPr>
        <w:pStyle w:val="SangriaFrancesaArticulo"/>
      </w:pPr>
      <w:r w:rsidRPr="00E27756">
        <w:rPr>
          <w:rStyle w:val="TextoNormalNegritaCaracter"/>
        </w:rPr>
        <w:t>Artículo 3 a).</w:t>
      </w:r>
      <w:r w:rsidRPr="00E27756">
        <w:rPr>
          <w:rStyle w:val="TextoNormalCaracter"/>
        </w:rPr>
        <w:t>-</w:t>
      </w:r>
      <w:r>
        <w:t xml:space="preserve"> Sentencia </w:t>
      </w:r>
      <w:hyperlink w:anchor="SENTENCIA_2013_29" w:history="1">
        <w:r w:rsidRPr="00E27756">
          <w:rPr>
            <w:rStyle w:val="TextoNormalCaracter"/>
          </w:rPr>
          <w:t>29/2013</w:t>
        </w:r>
      </w:hyperlink>
      <w:r>
        <w:t>, f. 5.</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17" w:history="1">
        <w:r w:rsidRPr="00E27756">
          <w:rPr>
            <w:rStyle w:val="TextoNormalCaracter"/>
          </w:rPr>
          <w:t>17/2013</w:t>
        </w:r>
      </w:hyperlink>
      <w:r>
        <w:t>, ff. 4, 7.</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17" w:history="1">
        <w:r w:rsidRPr="00E27756">
          <w:rPr>
            <w:rStyle w:val="TextoNormalCaracter"/>
          </w:rPr>
          <w:t>17/2013</w:t>
        </w:r>
      </w:hyperlink>
      <w:r>
        <w:t>, ff. 4, 7.</w:t>
      </w:r>
    </w:p>
    <w:p w:rsidR="00E27756" w:rsidRDefault="00E27756" w:rsidP="00E27756">
      <w:pPr>
        <w:pStyle w:val="SangriaFrancesaArticulo"/>
      </w:pPr>
      <w:r w:rsidRPr="00E27756">
        <w:rPr>
          <w:rStyle w:val="TextoNormalNegritaCaracter"/>
        </w:rPr>
        <w:t>Artículo 4.5.</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Sentencias </w:t>
      </w:r>
      <w:hyperlink w:anchor="SENTENCIA_2013_17" w:history="1">
        <w:r w:rsidRPr="00E27756">
          <w:rPr>
            <w:rStyle w:val="TextoNormalCaracter"/>
          </w:rPr>
          <w:t>17/2013</w:t>
        </w:r>
      </w:hyperlink>
      <w:r>
        <w:t xml:space="preserve">, ff. 6, 7; </w:t>
      </w:r>
      <w:hyperlink w:anchor="SENTENCIA_2013_29" w:history="1">
        <w:r w:rsidRPr="00E27756">
          <w:rPr>
            <w:rStyle w:val="TextoNormalCaracter"/>
          </w:rPr>
          <w:t>29/2013</w:t>
        </w:r>
      </w:hyperlink>
      <w:r>
        <w:t>, f. 7.</w:t>
      </w:r>
    </w:p>
    <w:p w:rsidR="00E27756" w:rsidRDefault="00E27756" w:rsidP="00E27756">
      <w:pPr>
        <w:pStyle w:val="SangriaFrancesaArticulo"/>
      </w:pPr>
      <w:r w:rsidRPr="00E27756">
        <w:rPr>
          <w:rStyle w:val="TextoNormalNegritaCaracter"/>
        </w:rPr>
        <w:t>Artículo 5.1.</w:t>
      </w:r>
      <w:r w:rsidRPr="00E27756">
        <w:rPr>
          <w:rStyle w:val="TextoNormalCaracter"/>
        </w:rPr>
        <w:t>-</w:t>
      </w:r>
      <w:r>
        <w:t xml:space="preserve"> Sentencia </w:t>
      </w:r>
      <w:hyperlink w:anchor="SENTENCIA_2013_29" w:history="1">
        <w:r w:rsidRPr="00E27756">
          <w:rPr>
            <w:rStyle w:val="TextoNormalCaracter"/>
          </w:rPr>
          <w:t>29/2013</w:t>
        </w:r>
      </w:hyperlink>
      <w:r>
        <w:t>, f. 7.</w:t>
      </w:r>
    </w:p>
    <w:p w:rsidR="00E27756" w:rsidRDefault="00E27756" w:rsidP="00E27756">
      <w:pPr>
        <w:pStyle w:val="SangriaFrancesaArticulo"/>
      </w:pPr>
      <w:r w:rsidRPr="00E27756">
        <w:rPr>
          <w:rStyle w:val="TextoNormalNegritaCaracter"/>
        </w:rPr>
        <w:t>Artículo 5.4.</w:t>
      </w:r>
      <w:r w:rsidRPr="00E27756">
        <w:rPr>
          <w:rStyle w:val="TextoNormalCaracter"/>
        </w:rPr>
        <w:t>-</w:t>
      </w:r>
      <w:r>
        <w:t xml:space="preserve"> Sentencia </w:t>
      </w:r>
      <w:hyperlink w:anchor="SENTENCIA_2013_17" w:history="1">
        <w:r w:rsidRPr="00E27756">
          <w:rPr>
            <w:rStyle w:val="TextoNormalCaracter"/>
          </w:rPr>
          <w:t>17/2013</w:t>
        </w:r>
      </w:hyperlink>
      <w:r>
        <w:t>, ff. 4, 7.</w:t>
      </w:r>
    </w:p>
    <w:p w:rsidR="00E27756" w:rsidRDefault="00E27756" w:rsidP="00E27756">
      <w:pPr>
        <w:pStyle w:val="SangriaFrancesaArticulo"/>
      </w:pPr>
      <w:r w:rsidRPr="00E27756">
        <w:rPr>
          <w:rStyle w:val="TextoNormalNegritaCaracter"/>
        </w:rPr>
        <w:lastRenderedPageBreak/>
        <w:t>Artículo 5.5.</w:t>
      </w:r>
      <w:r w:rsidRPr="00E27756">
        <w:rPr>
          <w:rStyle w:val="TextoNormalCaracter"/>
        </w:rPr>
        <w:t>-</w:t>
      </w:r>
      <w:r>
        <w:t xml:space="preserve"> Sentencia </w:t>
      </w:r>
      <w:hyperlink w:anchor="SENTENCIA_2013_17" w:history="1">
        <w:r w:rsidRPr="00E27756">
          <w:rPr>
            <w:rStyle w:val="TextoNormalCaracter"/>
          </w:rPr>
          <w:t>17/2013</w:t>
        </w:r>
      </w:hyperlink>
      <w:r>
        <w:t>, f. 4.</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17" w:history="1">
        <w:r w:rsidRPr="00E27756">
          <w:rPr>
            <w:rStyle w:val="TextoNormalCaracter"/>
          </w:rPr>
          <w:t>17/2013</w:t>
        </w:r>
      </w:hyperlink>
      <w:r>
        <w:t>, VP.</w:t>
      </w:r>
    </w:p>
    <w:p w:rsidR="00E27756" w:rsidRDefault="00E27756" w:rsidP="00E27756">
      <w:pPr>
        <w:pStyle w:val="SangriaFrancesaArticulo"/>
      </w:pPr>
      <w:r w:rsidRPr="00E27756">
        <w:rPr>
          <w:rStyle w:val="TextoNormalNegritaCaracter"/>
        </w:rPr>
        <w:t>Artículo 6.1.</w:t>
      </w:r>
      <w:r w:rsidRPr="00E27756">
        <w:rPr>
          <w:rStyle w:val="TextoNormalCaracter"/>
        </w:rPr>
        <w:t>-</w:t>
      </w:r>
      <w:r>
        <w:t xml:space="preserve"> Sentencia </w:t>
      </w:r>
      <w:hyperlink w:anchor="SENTENCIA_2013_17" w:history="1">
        <w:r w:rsidRPr="00E27756">
          <w:rPr>
            <w:rStyle w:val="TextoNormalCaracter"/>
          </w:rPr>
          <w:t>17/2013</w:t>
        </w:r>
      </w:hyperlink>
      <w:r>
        <w:t>, ff. 4, 8.</w:t>
      </w:r>
    </w:p>
    <w:p w:rsidR="00E27756" w:rsidRDefault="00E27756" w:rsidP="00E27756">
      <w:pPr>
        <w:pStyle w:val="SangriaFrancesaArticulo"/>
      </w:pPr>
      <w:r w:rsidRPr="00E27756">
        <w:rPr>
          <w:rStyle w:val="TextoNormalNegritaCaracter"/>
        </w:rPr>
        <w:t>Artículo 6.2.</w:t>
      </w:r>
      <w:r w:rsidRPr="00E27756">
        <w:rPr>
          <w:rStyle w:val="TextoNormalCaracter"/>
        </w:rPr>
        <w:t>-</w:t>
      </w:r>
      <w:r>
        <w:t xml:space="preserve"> Sentencias </w:t>
      </w:r>
      <w:hyperlink w:anchor="SENTENCIA_2013_17" w:history="1">
        <w:r w:rsidRPr="00E27756">
          <w:rPr>
            <w:rStyle w:val="TextoNormalCaracter"/>
          </w:rPr>
          <w:t>17/2013</w:t>
        </w:r>
      </w:hyperlink>
      <w:r>
        <w:t xml:space="preserve">, f. 8; </w:t>
      </w:r>
      <w:hyperlink w:anchor="SENTENCIA_2013_29" w:history="1">
        <w:r w:rsidRPr="00E27756">
          <w:rPr>
            <w:rStyle w:val="TextoNormalCaracter"/>
          </w:rPr>
          <w:t>29/2013</w:t>
        </w:r>
      </w:hyperlink>
      <w:r>
        <w:t>, f. 7.</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17" w:history="1">
        <w:r w:rsidRPr="00E27756">
          <w:rPr>
            <w:rStyle w:val="TextoNormalCaracter"/>
          </w:rPr>
          <w:t>17/2013</w:t>
        </w:r>
      </w:hyperlink>
      <w:r>
        <w:t>, ff. 7, 8.</w:t>
      </w:r>
    </w:p>
    <w:p w:rsidR="00E27756" w:rsidRDefault="00E27756" w:rsidP="00E27756">
      <w:pPr>
        <w:pStyle w:val="SangriaFrancesaArticulo"/>
      </w:pPr>
      <w:r w:rsidRPr="00E27756">
        <w:rPr>
          <w:rStyle w:val="TextoNormalNegritaCaracter"/>
        </w:rPr>
        <w:t>Artículo 11.1.</w:t>
      </w:r>
      <w:r w:rsidRPr="00E27756">
        <w:rPr>
          <w:rStyle w:val="TextoNormalCaracter"/>
        </w:rPr>
        <w:t>-</w:t>
      </w:r>
      <w:r>
        <w:t xml:space="preserve"> Sentencia </w:t>
      </w:r>
      <w:hyperlink w:anchor="SENTENCIA_2013_17" w:history="1">
        <w:r w:rsidRPr="00E27756">
          <w:rPr>
            <w:rStyle w:val="TextoNormalCaracter"/>
          </w:rPr>
          <w:t>17/2013</w:t>
        </w:r>
      </w:hyperlink>
      <w:r>
        <w:t>, f. 4.</w:t>
      </w:r>
    </w:p>
    <w:p w:rsidR="00E27756" w:rsidRDefault="00E27756" w:rsidP="00E27756">
      <w:pPr>
        <w:pStyle w:val="SangriaFrancesaArticulo"/>
      </w:pPr>
      <w:r w:rsidRPr="00E27756">
        <w:rPr>
          <w:rStyle w:val="TextoNormalNegritaCaracter"/>
        </w:rPr>
        <w:t>Artículo 11.2 a).</w:t>
      </w:r>
      <w:r w:rsidRPr="00E27756">
        <w:rPr>
          <w:rStyle w:val="TextoNormalCaracter"/>
        </w:rPr>
        <w:t>-</w:t>
      </w:r>
      <w:r>
        <w:t xml:space="preserve"> Sentencia </w:t>
      </w:r>
      <w:hyperlink w:anchor="SENTENCIA_2013_17" w:history="1">
        <w:r w:rsidRPr="00E27756">
          <w:rPr>
            <w:rStyle w:val="TextoNormalCaracter"/>
          </w:rPr>
          <w:t>17/2013</w:t>
        </w:r>
      </w:hyperlink>
      <w:r>
        <w:t>, ff. 4, 7 a 9.</w:t>
      </w:r>
    </w:p>
    <w:p w:rsidR="00E27756" w:rsidRDefault="00E27756" w:rsidP="00E27756">
      <w:pPr>
        <w:pStyle w:val="SangriaFrancesaArticulo"/>
      </w:pPr>
      <w:r w:rsidRPr="00E27756">
        <w:rPr>
          <w:rStyle w:val="TextoNormalNegritaCaracter"/>
        </w:rPr>
        <w:t>Artículo 11.5.</w:t>
      </w:r>
      <w:r w:rsidRPr="00E27756">
        <w:rPr>
          <w:rStyle w:val="TextoNormalCaracter"/>
        </w:rPr>
        <w:t>-</w:t>
      </w:r>
      <w:r>
        <w:t xml:space="preserve"> Sentencia </w:t>
      </w:r>
      <w:hyperlink w:anchor="SENTENCIA_2013_17" w:history="1">
        <w:r w:rsidRPr="00E27756">
          <w:rPr>
            <w:rStyle w:val="TextoNormalCaracter"/>
          </w:rPr>
          <w:t>17/2013</w:t>
        </w:r>
      </w:hyperlink>
      <w:r>
        <w:t>, ff. 6, 7.</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 </w:t>
      </w:r>
      <w:hyperlink w:anchor="SENTENCIA_2013_17" w:history="1">
        <w:r w:rsidRPr="00E27756">
          <w:rPr>
            <w:rStyle w:val="TextoNormalCaracter"/>
          </w:rPr>
          <w:t>17/2013</w:t>
        </w:r>
      </w:hyperlink>
      <w:r>
        <w:t>, f. 8.</w:t>
      </w:r>
    </w:p>
    <w:p w:rsidR="00E27756" w:rsidRDefault="00E27756" w:rsidP="00E27756">
      <w:pPr>
        <w:pStyle w:val="SangriaFrancesaArticulo"/>
      </w:pPr>
      <w:r w:rsidRPr="00E27756">
        <w:rPr>
          <w:rStyle w:val="TextoNormalNegritaCaracter"/>
        </w:rPr>
        <w:t>Artículo 21.1.</w:t>
      </w:r>
      <w:r w:rsidRPr="00E27756">
        <w:rPr>
          <w:rStyle w:val="TextoNormalCaracter"/>
        </w:rPr>
        <w:t>-</w:t>
      </w:r>
      <w:r>
        <w:t xml:space="preserve"> Sentencia </w:t>
      </w:r>
      <w:hyperlink w:anchor="SENTENCIA_2013_17" w:history="1">
        <w:r w:rsidRPr="00E27756">
          <w:rPr>
            <w:rStyle w:val="TextoNormalCaracter"/>
          </w:rPr>
          <w:t>17/2013</w:t>
        </w:r>
      </w:hyperlink>
      <w:r>
        <w:t>, f. 4.</w:t>
      </w:r>
    </w:p>
    <w:p w:rsidR="00E27756" w:rsidRDefault="00E27756" w:rsidP="00E27756">
      <w:pPr>
        <w:pStyle w:val="SangriaFrancesaArticulo"/>
      </w:pPr>
      <w:r w:rsidRPr="00E27756">
        <w:rPr>
          <w:rStyle w:val="TextoNormalNegritaCaracter"/>
        </w:rPr>
        <w:t>Artículo 22.2.</w:t>
      </w:r>
      <w:r w:rsidRPr="00E27756">
        <w:rPr>
          <w:rStyle w:val="TextoNormalCaracter"/>
        </w:rPr>
        <w:t>-</w:t>
      </w:r>
      <w:r>
        <w:t xml:space="preserve"> Sentencia </w:t>
      </w:r>
      <w:hyperlink w:anchor="SENTENCIA_2013_17" w:history="1">
        <w:r w:rsidRPr="00E27756">
          <w:rPr>
            <w:rStyle w:val="TextoNormalCaracter"/>
          </w:rPr>
          <w:t>17/2013</w:t>
        </w:r>
      </w:hyperlink>
      <w:r>
        <w:t>, f. 9.</w:t>
      </w:r>
    </w:p>
    <w:p w:rsidR="00E27756" w:rsidRDefault="00E27756" w:rsidP="00E27756">
      <w:pPr>
        <w:pStyle w:val="SangriaFrancesaArticulo"/>
      </w:pPr>
      <w:r w:rsidRPr="00E27756">
        <w:rPr>
          <w:rStyle w:val="TextoNormalNegritaCaracter"/>
        </w:rPr>
        <w:t>Artículo 24.1.</w:t>
      </w:r>
      <w:r w:rsidRPr="00E27756">
        <w:rPr>
          <w:rStyle w:val="TextoNormalCaracter"/>
        </w:rPr>
        <w:t>-</w:t>
      </w:r>
      <w:r>
        <w:t xml:space="preserve"> Sentencia </w:t>
      </w:r>
      <w:hyperlink w:anchor="SENTENCIA_2013_17" w:history="1">
        <w:r w:rsidRPr="00E27756">
          <w:rPr>
            <w:rStyle w:val="TextoNormalCaracter"/>
          </w:rPr>
          <w:t>17/2013</w:t>
        </w:r>
      </w:hyperlink>
      <w:r>
        <w:t>, f. 4.</w:t>
      </w:r>
    </w:p>
    <w:p w:rsidR="00E27756" w:rsidRDefault="00E27756" w:rsidP="00E27756">
      <w:pPr>
        <w:pStyle w:val="SangriaFrancesaArticulo"/>
      </w:pPr>
      <w:r w:rsidRPr="00E27756">
        <w:rPr>
          <w:rStyle w:val="TextoNormalNegritaCaracter"/>
        </w:rPr>
        <w:t>Artículo 24.2.</w:t>
      </w:r>
      <w:r w:rsidRPr="00E27756">
        <w:rPr>
          <w:rStyle w:val="TextoNormalCaracter"/>
        </w:rPr>
        <w:t>-</w:t>
      </w:r>
      <w:r>
        <w:t xml:space="preserve"> Sentencia </w:t>
      </w:r>
      <w:hyperlink w:anchor="SENTENCIA_2013_17" w:history="1">
        <w:r w:rsidRPr="00E27756">
          <w:rPr>
            <w:rStyle w:val="TextoNormalCaracter"/>
          </w:rPr>
          <w:t>17/2013</w:t>
        </w:r>
      </w:hyperlink>
      <w:r>
        <w:t>, f. 4.</w:t>
      </w:r>
    </w:p>
    <w:p w:rsidR="00E27756" w:rsidRDefault="00E27756" w:rsidP="00E27756">
      <w:pPr>
        <w:pStyle w:val="SangriaFrancesaArticulo"/>
      </w:pPr>
      <w:r w:rsidRPr="00E27756">
        <w:rPr>
          <w:rStyle w:val="TextoNormalNegritaCaracter"/>
        </w:rPr>
        <w:t>Disposición adicional segunda.</w:t>
      </w:r>
      <w:r w:rsidRPr="00E27756">
        <w:rPr>
          <w:rStyle w:val="TextoNormalCaracter"/>
        </w:rPr>
        <w:t>-</w:t>
      </w:r>
      <w:r>
        <w:t xml:space="preserve"> Sentencia </w:t>
      </w:r>
      <w:hyperlink w:anchor="SENTENCIA_2013_17" w:history="1">
        <w:r w:rsidRPr="00E27756">
          <w:rPr>
            <w:rStyle w:val="TextoNormalCaracter"/>
          </w:rPr>
          <w:t>17/2013</w:t>
        </w:r>
      </w:hyperlink>
      <w:r>
        <w:t>, f. 9.</w:t>
      </w:r>
    </w:p>
    <w:p w:rsidR="00E27756" w:rsidRDefault="00E27756" w:rsidP="00E27756">
      <w:pPr>
        <w:pStyle w:val="SangriaFrancesaArticulo"/>
      </w:pPr>
      <w:r w:rsidRPr="00E27756">
        <w:rPr>
          <w:rStyle w:val="TextoNormalNegritaCaracter"/>
        </w:rPr>
        <w:t>Disposición adicional segunda, apartado 2.</w:t>
      </w:r>
      <w:r w:rsidRPr="00E27756">
        <w:rPr>
          <w:rStyle w:val="TextoNormalCaracter"/>
        </w:rPr>
        <w:t>-</w:t>
      </w:r>
      <w:r>
        <w:t xml:space="preserve"> Sentencia </w:t>
      </w:r>
      <w:hyperlink w:anchor="SENTENCIA_2013_17" w:history="1">
        <w:r w:rsidRPr="00E27756">
          <w:rPr>
            <w:rStyle w:val="TextoNormalCaracter"/>
          </w:rPr>
          <w:t>17/2013</w:t>
        </w:r>
      </w:hyperlink>
      <w:r>
        <w:t>, f. 8.</w:t>
      </w:r>
    </w:p>
    <w:p w:rsidR="00E27756" w:rsidRDefault="00E27756" w:rsidP="00E27756">
      <w:pPr>
        <w:pStyle w:val="SangriaFrancesaArticulo"/>
      </w:pPr>
    </w:p>
    <w:p w:rsidR="00E27756" w:rsidRDefault="00E27756" w:rsidP="00E27756">
      <w:pPr>
        <w:pStyle w:val="TextoNormalNegritaCursivandice"/>
      </w:pPr>
      <w:r>
        <w:t>Ley Orgánica 4/2000, de 11 de enero. Derechos y libertades de los extranjeros en España y su integración social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ff. 1, 4, 6, 7, 9, 11, 13, 15.</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17" w:history="1">
        <w:r w:rsidRPr="00E27756">
          <w:rPr>
            <w:rStyle w:val="TextoNormalCaracter"/>
          </w:rPr>
          <w:t>17/2013</w:t>
        </w:r>
      </w:hyperlink>
      <w:r>
        <w:t>, f. 4.</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17" w:history="1">
        <w:r w:rsidRPr="00E27756">
          <w:rPr>
            <w:rStyle w:val="TextoNormalCaracter"/>
          </w:rPr>
          <w:t>17/2013</w:t>
        </w:r>
      </w:hyperlink>
      <w:r>
        <w:t>, f. 10.</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17" w:history="1">
        <w:r w:rsidRPr="00E27756">
          <w:rPr>
            <w:rStyle w:val="TextoNormalCaracter"/>
          </w:rPr>
          <w:t>17/2013</w:t>
        </w:r>
      </w:hyperlink>
      <w:r>
        <w:t>, f. 9.</w:t>
      </w:r>
    </w:p>
    <w:p w:rsidR="00E27756" w:rsidRDefault="00E27756" w:rsidP="00E27756">
      <w:pPr>
        <w:pStyle w:val="SangriaFrancesaArticulo"/>
      </w:pPr>
      <w:r w:rsidRPr="00E27756">
        <w:rPr>
          <w:rStyle w:val="TextoNormalNegritaCaracter"/>
        </w:rPr>
        <w:t>Artículo 12</w:t>
      </w:r>
      <w:r>
        <w:t xml:space="preserve"> </w:t>
      </w:r>
      <w:r w:rsidRPr="00E27756">
        <w:rPr>
          <w:rStyle w:val="TextoNormalCaracter"/>
        </w:rPr>
        <w:t>(redactado por el Real Decreto-ley 16/2012, de 20 de abril)</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9.</w:t>
      </w:r>
    </w:p>
    <w:p w:rsidR="00E27756" w:rsidRDefault="00E27756" w:rsidP="00E27756">
      <w:pPr>
        <w:pStyle w:val="SangriaFrancesaArticulo"/>
      </w:pPr>
      <w:r w:rsidRPr="00E27756">
        <w:rPr>
          <w:rStyle w:val="TextoNormalNegritaCaracter"/>
        </w:rPr>
        <w:t>Artículo 16.2 f).</w:t>
      </w:r>
      <w:r w:rsidRPr="00E27756">
        <w:rPr>
          <w:rStyle w:val="TextoNormalCaracter"/>
        </w:rPr>
        <w:t>-</w:t>
      </w:r>
      <w:r>
        <w:t xml:space="preserve"> Sentencia </w:t>
      </w:r>
      <w:hyperlink w:anchor="SENTENCIA_2013_17" w:history="1">
        <w:r w:rsidRPr="00E27756">
          <w:rPr>
            <w:rStyle w:val="TextoNormalCaracter"/>
          </w:rPr>
          <w:t>17/2013</w:t>
        </w:r>
      </w:hyperlink>
      <w:r>
        <w:t>, VP.</w:t>
      </w:r>
    </w:p>
    <w:p w:rsidR="00E27756" w:rsidRDefault="00E27756" w:rsidP="00E27756">
      <w:pPr>
        <w:pStyle w:val="SangriaFrancesaArticulo"/>
      </w:pPr>
      <w:r w:rsidRPr="00E27756">
        <w:rPr>
          <w:rStyle w:val="TextoNormalNegritaCaracter"/>
        </w:rPr>
        <w:t>Artículo 20.2.</w:t>
      </w:r>
      <w:r w:rsidRPr="00E27756">
        <w:rPr>
          <w:rStyle w:val="TextoNormalCaracter"/>
        </w:rPr>
        <w:t>-</w:t>
      </w:r>
      <w:r>
        <w:t xml:space="preserve"> Sentencia </w:t>
      </w:r>
      <w:hyperlink w:anchor="SENTENCIA_2013_17" w:history="1">
        <w:r w:rsidRPr="00E27756">
          <w:rPr>
            <w:rStyle w:val="TextoNormalCaracter"/>
          </w:rPr>
          <w:t>17/2013</w:t>
        </w:r>
      </w:hyperlink>
      <w:r>
        <w:t>, ff. 11, 12.</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 </w:t>
      </w:r>
      <w:hyperlink w:anchor="SENTENCIA_2013_17" w:history="1">
        <w:r w:rsidRPr="00E27756">
          <w:rPr>
            <w:rStyle w:val="TextoNormalCaracter"/>
          </w:rPr>
          <w:t>17/2013</w:t>
        </w:r>
      </w:hyperlink>
      <w:r>
        <w:t>, f. 12.</w:t>
      </w:r>
    </w:p>
    <w:p w:rsidR="00E27756" w:rsidRDefault="00E27756" w:rsidP="00E27756">
      <w:pPr>
        <w:pStyle w:val="SangriaFrancesaArticulo"/>
      </w:pPr>
      <w:r w:rsidRPr="00E27756">
        <w:rPr>
          <w:rStyle w:val="TextoNormalNegritaCaracter"/>
        </w:rPr>
        <w:t>Artículo 21.1.</w:t>
      </w:r>
      <w:r w:rsidRPr="00E27756">
        <w:rPr>
          <w:rStyle w:val="TextoNormalCaracter"/>
        </w:rPr>
        <w:t>-</w:t>
      </w:r>
      <w:r>
        <w:t xml:space="preserve"> Sentencia </w:t>
      </w:r>
      <w:hyperlink w:anchor="SENTENCIA_2013_17" w:history="1">
        <w:r w:rsidRPr="00E27756">
          <w:rPr>
            <w:rStyle w:val="TextoNormalCaracter"/>
          </w:rPr>
          <w:t>17/2013</w:t>
        </w:r>
      </w:hyperlink>
      <w:r>
        <w:t>, f. 11.</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17" w:history="1">
        <w:r w:rsidRPr="00E27756">
          <w:rPr>
            <w:rStyle w:val="TextoNormalCaracter"/>
          </w:rPr>
          <w:t>17/2013</w:t>
        </w:r>
      </w:hyperlink>
      <w:r>
        <w:t>, f. 12.</w:t>
      </w:r>
    </w:p>
    <w:p w:rsidR="00E27756" w:rsidRDefault="00E27756" w:rsidP="00E27756">
      <w:pPr>
        <w:pStyle w:val="SangriaFrancesaArticulo"/>
      </w:pPr>
      <w:r w:rsidRPr="00E27756">
        <w:rPr>
          <w:rStyle w:val="TextoNormalNegritaCaracter"/>
        </w:rPr>
        <w:t>Artículos 25 a 27.</w:t>
      </w:r>
      <w:r w:rsidRPr="00E27756">
        <w:rPr>
          <w:rStyle w:val="TextoNormalCaracter"/>
        </w:rPr>
        <w:t>-</w:t>
      </w:r>
      <w:r>
        <w:t xml:space="preserve"> Sentencia </w:t>
      </w:r>
      <w:hyperlink w:anchor="SENTENCIA_2013_17" w:history="1">
        <w:r w:rsidRPr="00E27756">
          <w:rPr>
            <w:rStyle w:val="TextoNormalCaracter"/>
          </w:rPr>
          <w:t>17/2013</w:t>
        </w:r>
      </w:hyperlink>
      <w:r>
        <w:t>, f. 12.</w:t>
      </w:r>
    </w:p>
    <w:p w:rsidR="00E27756" w:rsidRDefault="00E27756" w:rsidP="00E27756">
      <w:pPr>
        <w:pStyle w:val="SangriaFrancesaArticulo"/>
      </w:pPr>
      <w:r w:rsidRPr="00E27756">
        <w:rPr>
          <w:rStyle w:val="TextoNormalNegritaCaracter"/>
        </w:rPr>
        <w:t>Artículo 28.3 b).</w:t>
      </w:r>
      <w:r w:rsidRPr="00E27756">
        <w:rPr>
          <w:rStyle w:val="TextoNormalCaracter"/>
        </w:rPr>
        <w:t>-</w:t>
      </w:r>
      <w:r>
        <w:t xml:space="preserve"> Sentencia </w:t>
      </w:r>
      <w:hyperlink w:anchor="SENTENCIA_2013_17" w:history="1">
        <w:r w:rsidRPr="00E27756">
          <w:rPr>
            <w:rStyle w:val="TextoNormalCaracter"/>
          </w:rPr>
          <w:t>17/2013</w:t>
        </w:r>
      </w:hyperlink>
      <w:r>
        <w:t>, f. 12.</w:t>
      </w:r>
    </w:p>
    <w:p w:rsidR="00E27756" w:rsidRDefault="00E27756" w:rsidP="00E27756">
      <w:pPr>
        <w:pStyle w:val="SangriaFrancesaArticulo"/>
      </w:pPr>
      <w:r w:rsidRPr="00E27756">
        <w:rPr>
          <w:rStyle w:val="TextoNormalNegritaCaracter"/>
        </w:rPr>
        <w:t>Artículo 31.3.</w:t>
      </w:r>
      <w:r w:rsidRPr="00E27756">
        <w:rPr>
          <w:rStyle w:val="TextoNormalCaracter"/>
        </w:rPr>
        <w:t>-</w:t>
      </w:r>
      <w:r>
        <w:t xml:space="preserve"> Sentencia </w:t>
      </w:r>
      <w:hyperlink w:anchor="SENTENCIA_2013_17" w:history="1">
        <w:r w:rsidRPr="00E27756">
          <w:rPr>
            <w:rStyle w:val="TextoNormalCaracter"/>
          </w:rPr>
          <w:t>17/2013</w:t>
        </w:r>
      </w:hyperlink>
      <w:r>
        <w:t>, f. 11.</w:t>
      </w:r>
    </w:p>
    <w:p w:rsidR="00E27756" w:rsidRDefault="00E27756" w:rsidP="00E27756">
      <w:pPr>
        <w:pStyle w:val="SangriaFrancesaArticulo"/>
      </w:pPr>
      <w:r w:rsidRPr="00E27756">
        <w:rPr>
          <w:rStyle w:val="TextoNormalNegritaCaracter"/>
        </w:rPr>
        <w:t>Artículo 57.4.</w:t>
      </w:r>
      <w:r w:rsidRPr="00E27756">
        <w:rPr>
          <w:rStyle w:val="TextoNormalCaracter"/>
        </w:rPr>
        <w:t>-</w:t>
      </w:r>
      <w:r>
        <w:t xml:space="preserve"> Sentencia </w:t>
      </w:r>
      <w:hyperlink w:anchor="SENTENCIA_2013_17" w:history="1">
        <w:r w:rsidRPr="00E27756">
          <w:rPr>
            <w:rStyle w:val="TextoNormalCaracter"/>
          </w:rPr>
          <w:t>17/2013</w:t>
        </w:r>
      </w:hyperlink>
      <w:r>
        <w:t>, f. 11.</w:t>
      </w:r>
    </w:p>
    <w:p w:rsidR="00E27756" w:rsidRDefault="00E27756" w:rsidP="00E27756">
      <w:pPr>
        <w:pStyle w:val="SangriaFrancesaArticulo"/>
      </w:pPr>
      <w:r w:rsidRPr="00E27756">
        <w:rPr>
          <w:rStyle w:val="TextoNormalNegritaCaracter"/>
        </w:rPr>
        <w:t>Artículo 58.2 b).</w:t>
      </w:r>
      <w:r w:rsidRPr="00E27756">
        <w:rPr>
          <w:rStyle w:val="TextoNormalCaracter"/>
        </w:rPr>
        <w:t>-</w:t>
      </w:r>
      <w:r>
        <w:t xml:space="preserve"> Sentencia </w:t>
      </w:r>
      <w:hyperlink w:anchor="SENTENCIA_2013_17" w:history="1">
        <w:r w:rsidRPr="00E27756">
          <w:rPr>
            <w:rStyle w:val="TextoNormalCaracter"/>
          </w:rPr>
          <w:t>17/2013</w:t>
        </w:r>
      </w:hyperlink>
      <w:r>
        <w:t>, f. 12.</w:t>
      </w:r>
    </w:p>
    <w:p w:rsidR="00E27756" w:rsidRDefault="00E27756" w:rsidP="00E27756">
      <w:pPr>
        <w:pStyle w:val="SangriaFrancesaArticulo"/>
      </w:pPr>
      <w:r w:rsidRPr="00E27756">
        <w:rPr>
          <w:rStyle w:val="TextoNormalNegritaCaracter"/>
        </w:rPr>
        <w:t>Artículo 58.5.</w:t>
      </w:r>
      <w:r w:rsidRPr="00E27756">
        <w:rPr>
          <w:rStyle w:val="TextoNormalCaracter"/>
        </w:rPr>
        <w:t>-</w:t>
      </w:r>
      <w:r>
        <w:t xml:space="preserve"> Sentencia </w:t>
      </w:r>
      <w:hyperlink w:anchor="SENTENCIA_2013_17" w:history="1">
        <w:r w:rsidRPr="00E27756">
          <w:rPr>
            <w:rStyle w:val="TextoNormalCaracter"/>
          </w:rPr>
          <w:t>17/2013</w:t>
        </w:r>
      </w:hyperlink>
      <w:r>
        <w:t>, ff. 12, 15.</w:t>
      </w:r>
    </w:p>
    <w:p w:rsidR="00E27756" w:rsidRDefault="00E27756" w:rsidP="00E27756">
      <w:pPr>
        <w:pStyle w:val="SangriaFrancesaArticulo"/>
      </w:pPr>
      <w:r w:rsidRPr="00E27756">
        <w:rPr>
          <w:rStyle w:val="TextoNormalNegritaCaracter"/>
        </w:rPr>
        <w:t>Artículo 58.6.</w:t>
      </w:r>
      <w:r w:rsidRPr="00E27756">
        <w:rPr>
          <w:rStyle w:val="TextoNormalCaracter"/>
        </w:rPr>
        <w:t>-</w:t>
      </w:r>
      <w:r>
        <w:t xml:space="preserve"> Sentencia </w:t>
      </w:r>
      <w:hyperlink w:anchor="SENTENCIA_2013_17" w:history="1">
        <w:r w:rsidRPr="00E27756">
          <w:rPr>
            <w:rStyle w:val="TextoNormalCaracter"/>
          </w:rPr>
          <w:t>17/2013</w:t>
        </w:r>
      </w:hyperlink>
      <w:r>
        <w:t>, f. 12.</w:t>
      </w:r>
    </w:p>
    <w:p w:rsidR="00E27756" w:rsidRDefault="00E27756" w:rsidP="00E27756">
      <w:pPr>
        <w:pStyle w:val="SangriaFrancesaArticulo"/>
      </w:pPr>
      <w:r w:rsidRPr="00E27756">
        <w:rPr>
          <w:rStyle w:val="TextoNormalNegritaCaracter"/>
        </w:rPr>
        <w:t>Artículo 58.6 inciso 2.</w:t>
      </w:r>
      <w:r w:rsidRPr="00E27756">
        <w:rPr>
          <w:rStyle w:val="TextoNormalCaracter"/>
        </w:rPr>
        <w:t>-</w:t>
      </w:r>
      <w:r>
        <w:t xml:space="preserve"> Sentencia </w:t>
      </w:r>
      <w:hyperlink w:anchor="SENTENCIA_2013_17" w:history="1">
        <w:r w:rsidRPr="00E27756">
          <w:rPr>
            <w:rStyle w:val="TextoNormalCaracter"/>
          </w:rPr>
          <w:t>17/2013</w:t>
        </w:r>
      </w:hyperlink>
      <w:r>
        <w:t>, f. 12.</w:t>
      </w:r>
    </w:p>
    <w:p w:rsidR="00E27756" w:rsidRDefault="00E27756" w:rsidP="00E27756">
      <w:pPr>
        <w:pStyle w:val="SangriaFrancesaArticulo"/>
      </w:pPr>
      <w:r w:rsidRPr="00E27756">
        <w:rPr>
          <w:rStyle w:val="TextoNormalNegritaCaracter"/>
        </w:rPr>
        <w:t>Artículo 60.2.</w:t>
      </w:r>
      <w:r w:rsidRPr="00E27756">
        <w:rPr>
          <w:rStyle w:val="TextoNormalCaracter"/>
        </w:rPr>
        <w:t>-</w:t>
      </w:r>
      <w:r>
        <w:t xml:space="preserve"> Sentencia </w:t>
      </w:r>
      <w:hyperlink w:anchor="SENTENCIA_2013_17" w:history="1">
        <w:r w:rsidRPr="00E27756">
          <w:rPr>
            <w:rStyle w:val="TextoNormalCaracter"/>
          </w:rPr>
          <w:t>17/2013</w:t>
        </w:r>
      </w:hyperlink>
      <w:r>
        <w:t>, f. 13.</w:t>
      </w:r>
    </w:p>
    <w:p w:rsidR="00E27756" w:rsidRDefault="00E27756" w:rsidP="00E27756">
      <w:pPr>
        <w:pStyle w:val="SangriaFrancesaArticulo"/>
      </w:pPr>
      <w:r w:rsidRPr="00E27756">
        <w:rPr>
          <w:rStyle w:val="TextoNormalNegritaCaracter"/>
        </w:rPr>
        <w:t>Artículo 60.3.</w:t>
      </w:r>
      <w:r w:rsidRPr="00E27756">
        <w:rPr>
          <w:rStyle w:val="TextoNormalCaracter"/>
        </w:rPr>
        <w:t>-</w:t>
      </w:r>
      <w:r>
        <w:t xml:space="preserve"> Sentencia </w:t>
      </w:r>
      <w:hyperlink w:anchor="SENTENCIA_2013_17" w:history="1">
        <w:r w:rsidRPr="00E27756">
          <w:rPr>
            <w:rStyle w:val="TextoNormalCaracter"/>
          </w:rPr>
          <w:t>17/2013</w:t>
        </w:r>
      </w:hyperlink>
      <w:r>
        <w:t>, ff. 13, 15.</w:t>
      </w:r>
    </w:p>
    <w:p w:rsidR="00E27756" w:rsidRDefault="00E27756" w:rsidP="00E27756">
      <w:pPr>
        <w:pStyle w:val="SangriaFrancesaArticulo"/>
      </w:pPr>
      <w:r w:rsidRPr="00E27756">
        <w:rPr>
          <w:rStyle w:val="TextoNormalNegritaCaracter"/>
        </w:rPr>
        <w:t>Artículo 62</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15.</w:t>
      </w:r>
    </w:p>
    <w:p w:rsidR="00E27756" w:rsidRDefault="00E27756" w:rsidP="00E27756">
      <w:pPr>
        <w:pStyle w:val="SangriaFrancesaArticulo"/>
      </w:pPr>
      <w:r w:rsidRPr="00E27756">
        <w:rPr>
          <w:rStyle w:val="TextoNormalNegritaCaracter"/>
        </w:rPr>
        <w:t>Artículo 62 bis b)</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14.</w:t>
      </w:r>
    </w:p>
    <w:p w:rsidR="00E27756" w:rsidRDefault="00E27756" w:rsidP="00E27756">
      <w:pPr>
        <w:pStyle w:val="SangriaFrancesaArticulo"/>
      </w:pPr>
      <w:r w:rsidRPr="00E27756">
        <w:rPr>
          <w:rStyle w:val="TextoNormalNegritaCaracter"/>
        </w:rPr>
        <w:t>Artículo 62 bis f)</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14.</w:t>
      </w:r>
    </w:p>
    <w:p w:rsidR="00E27756" w:rsidRDefault="00E27756" w:rsidP="00E27756">
      <w:pPr>
        <w:pStyle w:val="SangriaFrancesaArticulo"/>
      </w:pPr>
      <w:r w:rsidRPr="00E27756">
        <w:rPr>
          <w:rStyle w:val="TextoNormalNegritaCaracter"/>
        </w:rPr>
        <w:t>Artículo 62 quater</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14.</w:t>
      </w:r>
    </w:p>
    <w:p w:rsidR="00E27756" w:rsidRDefault="00E27756" w:rsidP="00E27756">
      <w:pPr>
        <w:pStyle w:val="SangriaFrancesaArticulo"/>
      </w:pPr>
      <w:r w:rsidRPr="00E27756">
        <w:rPr>
          <w:rStyle w:val="TextoNormalNegritaCaracter"/>
        </w:rPr>
        <w:lastRenderedPageBreak/>
        <w:t>Artículo 62 quinquies, apartado 1</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14, VP.</w:t>
      </w:r>
    </w:p>
    <w:p w:rsidR="00E27756" w:rsidRDefault="00E27756" w:rsidP="00E27756">
      <w:pPr>
        <w:pStyle w:val="SangriaFrancesaArticulo"/>
      </w:pPr>
      <w:r w:rsidRPr="00E27756">
        <w:rPr>
          <w:rStyle w:val="TextoNormalNegritaCaracter"/>
        </w:rPr>
        <w:t>Artículo 62 quinquies, apartado 2</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15, VP.</w:t>
      </w:r>
    </w:p>
    <w:p w:rsidR="00E27756" w:rsidRDefault="00E27756" w:rsidP="00E27756">
      <w:pPr>
        <w:pStyle w:val="SangriaFrancesaArticulo"/>
      </w:pPr>
      <w:r w:rsidRPr="00E27756">
        <w:rPr>
          <w:rStyle w:val="TextoNormalNegritaCaracter"/>
        </w:rPr>
        <w:t>Artículo 62 quinquies, apartado 3.</w:t>
      </w:r>
      <w:r w:rsidRPr="00E27756">
        <w:rPr>
          <w:rStyle w:val="TextoNormalCaracter"/>
        </w:rPr>
        <w:t>-</w:t>
      </w:r>
      <w:r>
        <w:t xml:space="preserve"> Sentencia </w:t>
      </w:r>
      <w:hyperlink w:anchor="SENTENCIA_2013_17" w:history="1">
        <w:r w:rsidRPr="00E27756">
          <w:rPr>
            <w:rStyle w:val="TextoNormalCaracter"/>
          </w:rPr>
          <w:t>17/2013</w:t>
        </w:r>
      </w:hyperlink>
      <w:r>
        <w:t>, VP.</w:t>
      </w:r>
    </w:p>
    <w:p w:rsidR="00E27756" w:rsidRDefault="00E27756" w:rsidP="00E27756">
      <w:pPr>
        <w:pStyle w:val="SangriaFrancesaArticulo"/>
      </w:pPr>
      <w:r w:rsidRPr="00E27756">
        <w:rPr>
          <w:rStyle w:val="TextoNormalNegritaCaracter"/>
        </w:rPr>
        <w:t>Artículo 62 quinquies, apartados 1, 2</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13, VP.</w:t>
      </w:r>
    </w:p>
    <w:p w:rsidR="00E27756" w:rsidRDefault="00E27756" w:rsidP="00E27756">
      <w:pPr>
        <w:pStyle w:val="SangriaFrancesaArticulo"/>
      </w:pPr>
      <w:r w:rsidRPr="00E27756">
        <w:rPr>
          <w:rStyle w:val="TextoNormalNegritaCaracter"/>
        </w:rPr>
        <w:t>Artículo 62 ter</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15.</w:t>
      </w:r>
    </w:p>
    <w:p w:rsidR="00E27756" w:rsidRDefault="00E27756" w:rsidP="00E27756">
      <w:pPr>
        <w:pStyle w:val="SangriaFrancesaArticulo"/>
      </w:pPr>
      <w:r w:rsidRPr="00E27756">
        <w:rPr>
          <w:rStyle w:val="TextoNormalNegritaCaracter"/>
        </w:rPr>
        <w:t>Artículo 62 ter, apartados b), c), d)</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13.</w:t>
      </w:r>
    </w:p>
    <w:p w:rsidR="00E27756" w:rsidRDefault="00E27756" w:rsidP="00E27756">
      <w:pPr>
        <w:pStyle w:val="SangriaFrancesaArticulo"/>
      </w:pPr>
      <w:r w:rsidRPr="00E27756">
        <w:rPr>
          <w:rStyle w:val="TextoNormalNegritaCaracter"/>
        </w:rPr>
        <w:t>Artículo 62.1 párrafo 2</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15.</w:t>
      </w:r>
    </w:p>
    <w:p w:rsidR="00E27756" w:rsidRDefault="00E27756" w:rsidP="00E27756">
      <w:pPr>
        <w:pStyle w:val="SangriaFrancesaArticulo"/>
      </w:pPr>
      <w:r w:rsidRPr="00E27756">
        <w:rPr>
          <w:rStyle w:val="TextoNormalNegritaCaracter"/>
        </w:rPr>
        <w:t>Artículo 62.6</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ff. 13 a 15.</w:t>
      </w:r>
    </w:p>
    <w:p w:rsidR="00E27756" w:rsidRDefault="00E27756" w:rsidP="00E27756">
      <w:pPr>
        <w:pStyle w:val="SangriaFrancesaArticulo"/>
      </w:pPr>
      <w:r w:rsidRPr="00E27756">
        <w:rPr>
          <w:rStyle w:val="TextoNormalNegritaCaracter"/>
        </w:rPr>
        <w:t>Artículos 62 bis a 62 sexies</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13.</w:t>
      </w:r>
    </w:p>
    <w:p w:rsidR="00E27756" w:rsidRDefault="00E27756" w:rsidP="00E27756">
      <w:pPr>
        <w:pStyle w:val="SangriaFrancesaArticulo"/>
      </w:pPr>
      <w:r w:rsidRPr="00E27756">
        <w:rPr>
          <w:rStyle w:val="TextoNormalNegritaCaracter"/>
        </w:rPr>
        <w:t>Artículo 64.3</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12.</w:t>
      </w:r>
    </w:p>
    <w:p w:rsidR="00E27756" w:rsidRDefault="00E27756" w:rsidP="00E27756">
      <w:pPr>
        <w:pStyle w:val="SangriaFrancesaArticulo"/>
      </w:pPr>
      <w:r w:rsidRPr="00E27756">
        <w:rPr>
          <w:rStyle w:val="TextoNormalNegritaCaracter"/>
        </w:rPr>
        <w:t>Artículo 64.4.</w:t>
      </w:r>
      <w:r w:rsidRPr="00E27756">
        <w:rPr>
          <w:rStyle w:val="TextoNormalCaracter"/>
        </w:rPr>
        <w:t>-</w:t>
      </w:r>
      <w:r>
        <w:t xml:space="preserve"> Sentencia </w:t>
      </w:r>
      <w:hyperlink w:anchor="SENTENCIA_2013_17" w:history="1">
        <w:r w:rsidRPr="00E27756">
          <w:rPr>
            <w:rStyle w:val="TextoNormalCaracter"/>
          </w:rPr>
          <w:t>17/2013</w:t>
        </w:r>
      </w:hyperlink>
      <w:r>
        <w:t>, f. 12.</w:t>
      </w:r>
    </w:p>
    <w:p w:rsidR="00E27756" w:rsidRDefault="00E27756" w:rsidP="00E27756">
      <w:pPr>
        <w:pStyle w:val="SangriaFrancesaArticulo"/>
      </w:pPr>
      <w:r w:rsidRPr="00E27756">
        <w:rPr>
          <w:rStyle w:val="TextoNormalNegritaCaracter"/>
        </w:rPr>
        <w:t>Artículo 65 quinquies 2.</w:t>
      </w:r>
      <w:r w:rsidRPr="00E27756">
        <w:rPr>
          <w:rStyle w:val="TextoNormalCaracter"/>
        </w:rPr>
        <w:t>-</w:t>
      </w:r>
      <w:r>
        <w:t xml:space="preserve"> Sentencia </w:t>
      </w:r>
      <w:hyperlink w:anchor="SENTENCIA_2013_17" w:history="1">
        <w:r w:rsidRPr="00E27756">
          <w:rPr>
            <w:rStyle w:val="TextoNormalCaracter"/>
          </w:rPr>
          <w:t>17/2013</w:t>
        </w:r>
      </w:hyperlink>
      <w:r>
        <w:t>, f. 15.</w:t>
      </w:r>
    </w:p>
    <w:p w:rsidR="00E27756" w:rsidRDefault="00E27756" w:rsidP="00E27756">
      <w:pPr>
        <w:pStyle w:val="SangriaFrancesaArticulo"/>
      </w:pPr>
      <w:r w:rsidRPr="00E27756">
        <w:rPr>
          <w:rStyle w:val="TextoNormalNegritaCaracter"/>
        </w:rPr>
        <w:t>Artículo 65 quinquies 3.</w:t>
      </w:r>
      <w:r w:rsidRPr="00E27756">
        <w:rPr>
          <w:rStyle w:val="TextoNormalCaracter"/>
        </w:rPr>
        <w:t>-</w:t>
      </w:r>
      <w:r>
        <w:t xml:space="preserve"> Sentencia </w:t>
      </w:r>
      <w:hyperlink w:anchor="SENTENCIA_2013_17" w:history="1">
        <w:r w:rsidRPr="00E27756">
          <w:rPr>
            <w:rStyle w:val="TextoNormalCaracter"/>
          </w:rPr>
          <w:t>17/2013</w:t>
        </w:r>
      </w:hyperlink>
      <w:r>
        <w:t>, f. 15.</w:t>
      </w:r>
    </w:p>
    <w:p w:rsidR="00E27756" w:rsidRDefault="00E27756" w:rsidP="00E27756">
      <w:pPr>
        <w:pStyle w:val="SangriaFrancesaArticulo"/>
      </w:pPr>
      <w:r w:rsidRPr="00E27756">
        <w:rPr>
          <w:rStyle w:val="TextoNormalNegritaCaracter"/>
        </w:rPr>
        <w:t>Artículo 66.</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r w:rsidRPr="00E27756">
        <w:rPr>
          <w:rStyle w:val="TextoNormalNegritaCaracter"/>
        </w:rPr>
        <w:t>Artículo 66 apartado 1</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r w:rsidRPr="00E27756">
        <w:rPr>
          <w:rStyle w:val="TextoNormalNegritaCaracter"/>
        </w:rPr>
        <w:t>Artículo 66 apartado 1, párrafo 2</w:t>
      </w:r>
      <w:r>
        <w:t xml:space="preserve"> </w:t>
      </w:r>
      <w:r w:rsidRPr="00E27756">
        <w:rPr>
          <w:rStyle w:val="TextoNormalCaracter"/>
        </w:rPr>
        <w:t>(redactado por la Ley Orgánica 2/2009 de 11 de diciembre)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r w:rsidRPr="00E27756">
        <w:rPr>
          <w:rStyle w:val="TextoNormalNegritaCaracter"/>
        </w:rPr>
        <w:t>Artículo 66 apartado 2, párrafo 2</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r w:rsidRPr="00E27756">
        <w:rPr>
          <w:rStyle w:val="TextoNormalNegritaCaracter"/>
        </w:rPr>
        <w:t>Disposición adicional tercera</w:t>
      </w:r>
      <w:r>
        <w:t xml:space="preserve"> </w:t>
      </w:r>
      <w:r w:rsidRPr="00E27756">
        <w:rPr>
          <w:rStyle w:val="TextoNormalCaracter"/>
        </w:rPr>
        <w:t>(redactada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10.</w:t>
      </w:r>
    </w:p>
    <w:p w:rsidR="00E27756" w:rsidRDefault="00E27756" w:rsidP="00E27756">
      <w:pPr>
        <w:pStyle w:val="SangriaFrancesaArticulo"/>
      </w:pPr>
      <w:r w:rsidRPr="00E27756">
        <w:rPr>
          <w:rStyle w:val="TextoNormalNegritaCaracter"/>
        </w:rPr>
        <w:t>Disposición adicional tercera, apartado 1</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10.</w:t>
      </w:r>
    </w:p>
    <w:p w:rsidR="00E27756" w:rsidRDefault="00E27756" w:rsidP="00E27756">
      <w:pPr>
        <w:pStyle w:val="SangriaFrancesaArticulo"/>
      </w:pPr>
      <w:r w:rsidRPr="00E27756">
        <w:rPr>
          <w:rStyle w:val="TextoNormalNegritaCaracter"/>
        </w:rPr>
        <w:t>Disposición adicional tercera, apartado 1 inciso 1</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10.</w:t>
      </w:r>
    </w:p>
    <w:p w:rsidR="00E27756" w:rsidRDefault="00E27756" w:rsidP="00E27756">
      <w:pPr>
        <w:pStyle w:val="SangriaFrancesaArticulo"/>
      </w:pPr>
      <w:r w:rsidRPr="00E27756">
        <w:rPr>
          <w:rStyle w:val="TextoNormalNegritaCaracter"/>
        </w:rPr>
        <w:t>Disposición adicional tercera, apartado 1 inciso final</w:t>
      </w:r>
      <w:r>
        <w:t xml:space="preserve"> </w:t>
      </w:r>
      <w:r w:rsidRPr="00E27756">
        <w:rPr>
          <w:rStyle w:val="TextoNormalCaracter"/>
        </w:rPr>
        <w:t>(redactada por la Ley Orgánica 2/2009, de 11 de diciembre)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10.</w:t>
      </w:r>
    </w:p>
    <w:p w:rsidR="00E27756" w:rsidRDefault="00E27756" w:rsidP="00E27756">
      <w:pPr>
        <w:pStyle w:val="SangriaFrancesaArticulo"/>
      </w:pPr>
      <w:r w:rsidRPr="00E27756">
        <w:rPr>
          <w:rStyle w:val="TextoNormalNegritaCaracter"/>
        </w:rPr>
        <w:t>Disposición adicional tercera, apartado 1 inciso final</w:t>
      </w:r>
      <w:r>
        <w:t xml:space="preserve"> </w:t>
      </w:r>
      <w:r w:rsidRPr="00E27756">
        <w:rPr>
          <w:rStyle w:val="TextoNormalCaracter"/>
        </w:rPr>
        <w:t>(redactado por la Ley Orgánica 2/2009, de 11 de diciembre)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10.</w:t>
      </w:r>
    </w:p>
    <w:p w:rsidR="00E27756" w:rsidRDefault="00E27756" w:rsidP="00E27756">
      <w:pPr>
        <w:pStyle w:val="SangriaFrancesaArticulo"/>
      </w:pPr>
      <w:r w:rsidRPr="00E27756">
        <w:rPr>
          <w:rStyle w:val="TextoNormalNegritaCaracter"/>
        </w:rPr>
        <w:t>Disposición adicional cuarta, apartados 1, 4, 7, 8.</w:t>
      </w:r>
      <w:r w:rsidRPr="00E27756">
        <w:rPr>
          <w:rStyle w:val="TextoNormalCaracter"/>
        </w:rPr>
        <w:t>-</w:t>
      </w:r>
      <w:r>
        <w:t xml:space="preserve"> Sentencia </w:t>
      </w:r>
      <w:hyperlink w:anchor="SENTENCIA_2013_17" w:history="1">
        <w:r w:rsidRPr="00E27756">
          <w:rPr>
            <w:rStyle w:val="TextoNormalCaracter"/>
          </w:rPr>
          <w:t>17/2013</w:t>
        </w:r>
      </w:hyperlink>
      <w:r>
        <w:t>, f. 11.</w:t>
      </w:r>
    </w:p>
    <w:p w:rsidR="00E27756" w:rsidRDefault="00E27756" w:rsidP="00E27756">
      <w:pPr>
        <w:pStyle w:val="SangriaFrancesaArticulo"/>
      </w:pPr>
      <w:r w:rsidRPr="00E27756">
        <w:rPr>
          <w:rStyle w:val="TextoNormalNegritaCaracter"/>
        </w:rPr>
        <w:t>Disposición adicional cuarta</w:t>
      </w:r>
      <w:r>
        <w:t xml:space="preserve"> </w:t>
      </w:r>
      <w:r w:rsidRPr="00E27756">
        <w:rPr>
          <w:rStyle w:val="TextoNormalCaracter"/>
        </w:rPr>
        <w:t>(redactada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10.</w:t>
      </w:r>
    </w:p>
    <w:p w:rsidR="00E27756" w:rsidRDefault="00E27756" w:rsidP="00E27756">
      <w:pPr>
        <w:pStyle w:val="SangriaFrancesaArticulo"/>
      </w:pPr>
      <w:r w:rsidRPr="00E27756">
        <w:rPr>
          <w:rStyle w:val="TextoNormalNegritaCaracter"/>
        </w:rPr>
        <w:t>Disposición adicional cuarta</w:t>
      </w:r>
      <w:r>
        <w:t xml:space="preserve"> </w:t>
      </w:r>
      <w:r w:rsidRPr="00E27756">
        <w:rPr>
          <w:rStyle w:val="TextoNormalCaracter"/>
        </w:rPr>
        <w:t>(redactada por la Ley Orgánica 2/2009, de 11 de diciembre)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11.</w:t>
      </w:r>
    </w:p>
    <w:p w:rsidR="00E27756" w:rsidRDefault="00E27756" w:rsidP="00E27756">
      <w:pPr>
        <w:pStyle w:val="SangriaFrancesaArticulo"/>
      </w:pPr>
      <w:r w:rsidRPr="00E27756">
        <w:rPr>
          <w:rStyle w:val="TextoNormalNegritaCaracter"/>
        </w:rPr>
        <w:t>Disposición adicional cuarta</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10.</w:t>
      </w:r>
    </w:p>
    <w:p w:rsidR="00E27756" w:rsidRDefault="00E27756" w:rsidP="00E27756">
      <w:pPr>
        <w:pStyle w:val="SangriaFrancesaArticulo"/>
      </w:pPr>
      <w:r w:rsidRPr="00E27756">
        <w:rPr>
          <w:rStyle w:val="TextoNormalNegritaCaracter"/>
        </w:rPr>
        <w:t>Disposición adicional cuarta, apartado 1 epígrafes a), d), g), h)</w:t>
      </w:r>
      <w:r>
        <w:t xml:space="preserve"> </w:t>
      </w:r>
      <w:r w:rsidRPr="00E27756">
        <w:rPr>
          <w:rStyle w:val="TextoNormalCaracter"/>
        </w:rPr>
        <w:t>(redactada por la Ley Orgánica 2/2009, de 11 de diciembre)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11.</w:t>
      </w:r>
    </w:p>
    <w:p w:rsidR="00E27756" w:rsidRDefault="00E27756" w:rsidP="00E27756">
      <w:pPr>
        <w:pStyle w:val="SangriaFrancesaArticulo"/>
      </w:pPr>
      <w:r w:rsidRPr="00E27756">
        <w:rPr>
          <w:rStyle w:val="TextoNormalNegritaCaracter"/>
        </w:rPr>
        <w:lastRenderedPageBreak/>
        <w:t>Disposición adicional cuarta, apartado 2</w:t>
      </w:r>
      <w:r>
        <w:t xml:space="preserve"> </w:t>
      </w:r>
      <w:r w:rsidRPr="00E27756">
        <w:rPr>
          <w:rStyle w:val="TextoNormalCaracter"/>
        </w:rPr>
        <w:t>(redactado por la Ley Orgánica 2/2009, de 11 de diciembre)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11.</w:t>
      </w:r>
    </w:p>
    <w:p w:rsidR="00E27756" w:rsidRDefault="00E27756" w:rsidP="00E27756">
      <w:pPr>
        <w:pStyle w:val="SangriaFrancesaArticulo"/>
      </w:pPr>
      <w:r w:rsidRPr="00E27756">
        <w:rPr>
          <w:rStyle w:val="TextoNormalNegritaCaracter"/>
        </w:rPr>
        <w:t>Disposición adicional quinta</w:t>
      </w:r>
      <w:r>
        <w:t xml:space="preserve"> </w:t>
      </w:r>
      <w:r w:rsidRPr="00E27756">
        <w:rPr>
          <w:rStyle w:val="TextoNormalCaracter"/>
        </w:rPr>
        <w:t>(redactada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7.</w:t>
      </w:r>
    </w:p>
    <w:p w:rsidR="00E27756" w:rsidRDefault="00E27756" w:rsidP="00E27756">
      <w:pPr>
        <w:pStyle w:val="SangriaFrancesaArticulo"/>
      </w:pPr>
      <w:r w:rsidRPr="00E27756">
        <w:rPr>
          <w:rStyle w:val="TextoNormalNegritaCaracter"/>
        </w:rPr>
        <w:t>Disposición adicional quinta</w:t>
      </w:r>
      <w:r>
        <w:t xml:space="preserve"> </w:t>
      </w:r>
      <w:r w:rsidRPr="00E27756">
        <w:rPr>
          <w:rStyle w:val="TextoNormalCaracter"/>
        </w:rPr>
        <w:t>(redactada por la Ley Orgánica 2/2009, de 11 de diciembre)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7.</w:t>
      </w:r>
    </w:p>
    <w:p w:rsidR="00E27756" w:rsidRDefault="00E27756" w:rsidP="00E27756">
      <w:pPr>
        <w:pStyle w:val="SangriaFrancesaArticulo"/>
      </w:pPr>
      <w:r w:rsidRPr="00E27756">
        <w:rPr>
          <w:rStyle w:val="TextoNormalNegritaCaracter"/>
        </w:rPr>
        <w:t>Disposición adicional quinta, párrafo 2</w:t>
      </w:r>
      <w:r>
        <w:t xml:space="preserve"> </w:t>
      </w:r>
      <w:r w:rsidRPr="00E27756">
        <w:rPr>
          <w:rStyle w:val="TextoNormalCaracter"/>
        </w:rPr>
        <w:t>(redactada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7.</w:t>
      </w:r>
    </w:p>
    <w:p w:rsidR="00E27756" w:rsidRDefault="00E27756" w:rsidP="00E27756">
      <w:pPr>
        <w:pStyle w:val="SangriaFrancesaArticulo"/>
      </w:pPr>
    </w:p>
    <w:p w:rsidR="00E27756" w:rsidRDefault="00E27756" w:rsidP="00E27756">
      <w:pPr>
        <w:pStyle w:val="TextoNormalNegritaCursivandice"/>
      </w:pPr>
      <w:r>
        <w:t>Ley Orgánica 8/2000, de 22 de diciembre. Reforma parcial de la Ley Orgánica 4/2000, de 11 de enero, sobre derechos y libertades de los extranjeros en España y su integración social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f. 1.</w:t>
      </w:r>
    </w:p>
    <w:p w:rsidR="00E27756" w:rsidRDefault="00E27756" w:rsidP="00E27756">
      <w:pPr>
        <w:pStyle w:val="SangriaFrancesaArticulo"/>
      </w:pPr>
    </w:p>
    <w:p w:rsidR="00E27756" w:rsidRDefault="00E27756" w:rsidP="00E27756">
      <w:pPr>
        <w:pStyle w:val="TextoNormalNegritaCursivandice"/>
      </w:pPr>
      <w:r>
        <w:t>Ley Orgánica 1/2001, de 26 de marzo. Modifica la Ley Orgánica 13/1982, de 10 de agosto, de reintegración y amejoramiento del régimen foral de Navarra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 2.</w:t>
      </w:r>
    </w:p>
    <w:p w:rsidR="00E27756" w:rsidRDefault="00E27756" w:rsidP="00E27756">
      <w:pPr>
        <w:pStyle w:val="SangriaFrancesaArticulo"/>
      </w:pPr>
    </w:p>
    <w:p w:rsidR="00E27756" w:rsidRDefault="00E27756" w:rsidP="00E27756">
      <w:pPr>
        <w:pStyle w:val="TextoNormalNegritaCursivandice"/>
      </w:pPr>
      <w:r>
        <w:t>Ley Orgánica 5/2001, de 13 de diciembre. Complementaria a la Ley general de estabilidad presupuestaria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p>
    <w:p w:rsidR="00E27756" w:rsidRDefault="00E27756" w:rsidP="00E27756">
      <w:pPr>
        <w:pStyle w:val="TextoNormalNegritaCursivandice"/>
      </w:pPr>
      <w:r>
        <w:t>Ley Orgánica 6/2001, de 21 de diciembre. Universidades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31" w:history="1">
        <w:r w:rsidRPr="00E27756">
          <w:rPr>
            <w:rStyle w:val="TextoNormalCaracter"/>
          </w:rPr>
          <w:t>131/2013</w:t>
        </w:r>
      </w:hyperlink>
      <w:r>
        <w:t xml:space="preserve">, ff. 1, 3, 8 a 10, VP II; </w:t>
      </w:r>
      <w:hyperlink w:anchor="SENTENCIA_2013_134" w:history="1">
        <w:r w:rsidRPr="00E27756">
          <w:rPr>
            <w:rStyle w:val="TextoNormalCaracter"/>
          </w:rPr>
          <w:t>134/2013</w:t>
        </w:r>
      </w:hyperlink>
      <w:r>
        <w:t>, ff. 2, 3, 5, 8.</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131" w:history="1">
        <w:r w:rsidRPr="00E27756">
          <w:rPr>
            <w:rStyle w:val="TextoNormalCaracter"/>
          </w:rPr>
          <w:t>131/2013</w:t>
        </w:r>
      </w:hyperlink>
      <w:r>
        <w:t>, f. 10.</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Sentencias </w:t>
      </w:r>
      <w:hyperlink w:anchor="SENTENCIA_2013_131" w:history="1">
        <w:r w:rsidRPr="00E27756">
          <w:rPr>
            <w:rStyle w:val="TextoNormalCaracter"/>
          </w:rPr>
          <w:t>131/2013</w:t>
        </w:r>
      </w:hyperlink>
      <w:r>
        <w:t xml:space="preserve">, ff. 5, 10, VP II; </w:t>
      </w:r>
      <w:hyperlink w:anchor="SENTENCIA_2013_134" w:history="1">
        <w:r w:rsidRPr="00E27756">
          <w:rPr>
            <w:rStyle w:val="TextoNormalCaracter"/>
          </w:rPr>
          <w:t>134/2013</w:t>
        </w:r>
      </w:hyperlink>
      <w:r>
        <w:t>, f. 4.</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131" w:history="1">
        <w:r w:rsidRPr="00E27756">
          <w:rPr>
            <w:rStyle w:val="TextoNormalCaracter"/>
          </w:rPr>
          <w:t>131/2013</w:t>
        </w:r>
      </w:hyperlink>
      <w:r>
        <w:t>, f. 9, VP II.</w:t>
      </w:r>
    </w:p>
    <w:p w:rsidR="00E27756" w:rsidRDefault="00E27756" w:rsidP="00E27756">
      <w:pPr>
        <w:pStyle w:val="SangriaFrancesaArticulo"/>
      </w:pPr>
      <w:r w:rsidRPr="00E27756">
        <w:rPr>
          <w:rStyle w:val="TextoNormalNegritaCaracter"/>
        </w:rPr>
        <w:t>Artículo 2.2 f).</w:t>
      </w:r>
      <w:r w:rsidRPr="00E27756">
        <w:rPr>
          <w:rStyle w:val="TextoNormalCaracter"/>
        </w:rPr>
        <w:t>-</w:t>
      </w:r>
      <w:r>
        <w:t xml:space="preserve"> Sentencias </w:t>
      </w:r>
      <w:hyperlink w:anchor="SENTENCIA_2013_131" w:history="1">
        <w:r w:rsidRPr="00E27756">
          <w:rPr>
            <w:rStyle w:val="TextoNormalCaracter"/>
          </w:rPr>
          <w:t>131/2013</w:t>
        </w:r>
      </w:hyperlink>
      <w:r>
        <w:t xml:space="preserve">, f. 8; </w:t>
      </w:r>
      <w:hyperlink w:anchor="SENTENCIA_2013_134" w:history="1">
        <w:r w:rsidRPr="00E27756">
          <w:rPr>
            <w:rStyle w:val="TextoNormalCaracter"/>
          </w:rPr>
          <w:t>134/2013</w:t>
        </w:r>
      </w:hyperlink>
      <w:r>
        <w:t>, f. 7.</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131" w:history="1">
        <w:r w:rsidRPr="00E27756">
          <w:rPr>
            <w:rStyle w:val="TextoNormalCaracter"/>
          </w:rPr>
          <w:t>131/2013</w:t>
        </w:r>
      </w:hyperlink>
      <w:r>
        <w:t>, VP II.</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Sentencias </w:t>
      </w:r>
      <w:hyperlink w:anchor="SENTENCIA_2013_131" w:history="1">
        <w:r w:rsidRPr="00E27756">
          <w:rPr>
            <w:rStyle w:val="TextoNormalCaracter"/>
          </w:rPr>
          <w:t>131/2013</w:t>
        </w:r>
      </w:hyperlink>
      <w:r>
        <w:t xml:space="preserve">, ff. 5, 10, VP II, VP V; </w:t>
      </w:r>
      <w:hyperlink w:anchor="SENTENCIA_2013_134" w:history="1">
        <w:r w:rsidRPr="00E27756">
          <w:rPr>
            <w:rStyle w:val="TextoNormalCaracter"/>
          </w:rPr>
          <w:t>134/2013</w:t>
        </w:r>
      </w:hyperlink>
      <w:r>
        <w:t>, f. 4.</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131" w:history="1">
        <w:r w:rsidRPr="00E27756">
          <w:rPr>
            <w:rStyle w:val="TextoNormalCaracter"/>
          </w:rPr>
          <w:t>131/2013</w:t>
        </w:r>
      </w:hyperlink>
      <w:r>
        <w:t>, f. 5.</w:t>
      </w:r>
    </w:p>
    <w:p w:rsidR="00E27756" w:rsidRDefault="00E27756" w:rsidP="00E27756">
      <w:pPr>
        <w:pStyle w:val="SangriaFrancesaArticulo"/>
      </w:pPr>
      <w:r w:rsidRPr="00E27756">
        <w:rPr>
          <w:rStyle w:val="TextoNormalNegritaCaracter"/>
        </w:rPr>
        <w:t>Artículo 4.3.</w:t>
      </w:r>
      <w:r w:rsidRPr="00E27756">
        <w:rPr>
          <w:rStyle w:val="TextoNormalCaracter"/>
        </w:rPr>
        <w:t>-</w:t>
      </w:r>
      <w:r>
        <w:t xml:space="preserve"> Sentencias </w:t>
      </w:r>
      <w:hyperlink w:anchor="SENTENCIA_2013_131" w:history="1">
        <w:r w:rsidRPr="00E27756">
          <w:rPr>
            <w:rStyle w:val="TextoNormalCaracter"/>
          </w:rPr>
          <w:t>131/2013</w:t>
        </w:r>
      </w:hyperlink>
      <w:r>
        <w:t xml:space="preserve">, ff. 2, 4 a 6, 9, VP II, VP IV; </w:t>
      </w:r>
      <w:hyperlink w:anchor="SENTENCIA_2013_134" w:history="1">
        <w:r w:rsidRPr="00E27756">
          <w:rPr>
            <w:rStyle w:val="TextoNormalCaracter"/>
          </w:rPr>
          <w:t>134/2013</w:t>
        </w:r>
      </w:hyperlink>
      <w:r>
        <w:t>, ff. 1, 3, 4.</w:t>
      </w:r>
    </w:p>
    <w:p w:rsidR="00E27756" w:rsidRDefault="00E27756" w:rsidP="00E27756">
      <w:pPr>
        <w:pStyle w:val="SangriaFrancesaArticulo"/>
      </w:pPr>
      <w:r w:rsidRPr="00E27756">
        <w:rPr>
          <w:rStyle w:val="TextoNormalNegritaCaracter"/>
        </w:rPr>
        <w:t>Artículo 4.3 párrafo 1.</w:t>
      </w:r>
      <w:r w:rsidRPr="00E27756">
        <w:rPr>
          <w:rStyle w:val="TextoNormalCaracter"/>
        </w:rPr>
        <w:t>-</w:t>
      </w:r>
      <w:r>
        <w:t xml:space="preserve"> Sentencia </w:t>
      </w:r>
      <w:hyperlink w:anchor="SENTENCIA_2013_131" w:history="1">
        <w:r w:rsidRPr="00E27756">
          <w:rPr>
            <w:rStyle w:val="TextoNormalCaracter"/>
          </w:rPr>
          <w:t>131/2013</w:t>
        </w:r>
      </w:hyperlink>
      <w:r>
        <w:t>, f. 6, VP II.</w:t>
      </w:r>
    </w:p>
    <w:p w:rsidR="00E27756" w:rsidRDefault="00E27756" w:rsidP="00E27756">
      <w:pPr>
        <w:pStyle w:val="SangriaFrancesaArticulo"/>
      </w:pPr>
      <w:r w:rsidRPr="00E27756">
        <w:rPr>
          <w:rStyle w:val="TextoNormalNegritaCaracter"/>
        </w:rPr>
        <w:t>Artículo 4.4.</w:t>
      </w:r>
      <w:r w:rsidRPr="00E27756">
        <w:rPr>
          <w:rStyle w:val="TextoNormalCaracter"/>
        </w:rPr>
        <w:t>-</w:t>
      </w:r>
      <w:r>
        <w:t xml:space="preserve"> Sentencia </w:t>
      </w:r>
      <w:hyperlink w:anchor="SENTENCIA_2013_131" w:history="1">
        <w:r w:rsidRPr="00E27756">
          <w:rPr>
            <w:rStyle w:val="TextoNormalCaracter"/>
          </w:rPr>
          <w:t>131/2013</w:t>
        </w:r>
      </w:hyperlink>
      <w:r>
        <w:t>, f. 10, VP II.</w:t>
      </w:r>
    </w:p>
    <w:p w:rsidR="00E27756" w:rsidRDefault="00E27756" w:rsidP="00E27756">
      <w:pPr>
        <w:pStyle w:val="SangriaFrancesaArticulo"/>
      </w:pPr>
      <w:r w:rsidRPr="00E27756">
        <w:rPr>
          <w:rStyle w:val="TextoNormalNegritaCaracter"/>
        </w:rPr>
        <w:t>Artículo 4.5.</w:t>
      </w:r>
      <w:r w:rsidRPr="00E27756">
        <w:rPr>
          <w:rStyle w:val="TextoNormalCaracter"/>
        </w:rPr>
        <w:t>-</w:t>
      </w:r>
      <w:r>
        <w:t xml:space="preserve"> Sentencia </w:t>
      </w:r>
      <w:hyperlink w:anchor="SENTENCIA_2013_131" w:history="1">
        <w:r w:rsidRPr="00E27756">
          <w:rPr>
            <w:rStyle w:val="TextoNormalCaracter"/>
          </w:rPr>
          <w:t>131/2013</w:t>
        </w:r>
      </w:hyperlink>
      <w:r>
        <w:t>, f. 10.</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Sentencias </w:t>
      </w:r>
      <w:hyperlink w:anchor="SENTENCIA_2013_131" w:history="1">
        <w:r w:rsidRPr="00E27756">
          <w:rPr>
            <w:rStyle w:val="TextoNormalCaracter"/>
          </w:rPr>
          <w:t>131/2013</w:t>
        </w:r>
      </w:hyperlink>
      <w:r>
        <w:t xml:space="preserve">, f. 5; </w:t>
      </w:r>
      <w:hyperlink w:anchor="SENTENCIA_2013_134" w:history="1">
        <w:r w:rsidRPr="00E27756">
          <w:rPr>
            <w:rStyle w:val="TextoNormalCaracter"/>
          </w:rPr>
          <w:t>134/2013</w:t>
        </w:r>
      </w:hyperlink>
      <w:r>
        <w:t>, f. 4.</w:t>
      </w:r>
    </w:p>
    <w:p w:rsidR="00E27756" w:rsidRDefault="00E27756" w:rsidP="00E27756">
      <w:pPr>
        <w:pStyle w:val="SangriaFrancesaArticulo"/>
      </w:pPr>
      <w:r w:rsidRPr="00E27756">
        <w:rPr>
          <w:rStyle w:val="TextoNormalNegritaCaracter"/>
        </w:rPr>
        <w:t>Artículo 5.1.</w:t>
      </w:r>
      <w:r w:rsidRPr="00E27756">
        <w:rPr>
          <w:rStyle w:val="TextoNormalCaracter"/>
        </w:rPr>
        <w:t>-</w:t>
      </w:r>
      <w:r>
        <w:t xml:space="preserve"> Sentencia </w:t>
      </w:r>
      <w:hyperlink w:anchor="SENTENCIA_2013_131" w:history="1">
        <w:r w:rsidRPr="00E27756">
          <w:rPr>
            <w:rStyle w:val="TextoNormalCaracter"/>
          </w:rPr>
          <w:t>131/2013</w:t>
        </w:r>
      </w:hyperlink>
      <w:r>
        <w:t>, f. 9, VP II.</w:t>
      </w:r>
    </w:p>
    <w:p w:rsidR="00E27756" w:rsidRDefault="00E27756" w:rsidP="00E27756">
      <w:pPr>
        <w:pStyle w:val="SangriaFrancesaArticulo"/>
      </w:pPr>
      <w:r w:rsidRPr="00E27756">
        <w:rPr>
          <w:rStyle w:val="TextoNormalNegritaCaracter"/>
        </w:rPr>
        <w:t>Artículo 5.3.</w:t>
      </w:r>
      <w:r w:rsidRPr="00E27756">
        <w:rPr>
          <w:rStyle w:val="TextoNormalCaracter"/>
        </w:rPr>
        <w:t>-</w:t>
      </w:r>
      <w:r>
        <w:t xml:space="preserve"> Sentencia </w:t>
      </w:r>
      <w:hyperlink w:anchor="SENTENCIA_2013_131" w:history="1">
        <w:r w:rsidRPr="00E27756">
          <w:rPr>
            <w:rStyle w:val="TextoNormalCaracter"/>
          </w:rPr>
          <w:t>131/2013</w:t>
        </w:r>
      </w:hyperlink>
      <w:r>
        <w:t>, f. 9.</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131" w:history="1">
        <w:r w:rsidRPr="00E27756">
          <w:rPr>
            <w:rStyle w:val="TextoNormalCaracter"/>
          </w:rPr>
          <w:t>131/2013</w:t>
        </w:r>
      </w:hyperlink>
      <w:r>
        <w:t>, VP II.</w:t>
      </w:r>
    </w:p>
    <w:p w:rsidR="00E27756" w:rsidRDefault="00E27756" w:rsidP="00E27756">
      <w:pPr>
        <w:pStyle w:val="SangriaFrancesaArticulo"/>
      </w:pPr>
      <w:r w:rsidRPr="00E27756">
        <w:rPr>
          <w:rStyle w:val="TextoNormalNegritaCaracter"/>
        </w:rPr>
        <w:t>Artículo 6.1.</w:t>
      </w:r>
      <w:r w:rsidRPr="00E27756">
        <w:rPr>
          <w:rStyle w:val="TextoNormalCaracter"/>
        </w:rPr>
        <w:t>-</w:t>
      </w:r>
      <w:r>
        <w:t xml:space="preserve"> Sentencia </w:t>
      </w:r>
      <w:hyperlink w:anchor="SENTENCIA_2013_131" w:history="1">
        <w:r w:rsidRPr="00E27756">
          <w:rPr>
            <w:rStyle w:val="TextoNormalCaracter"/>
          </w:rPr>
          <w:t>131/2013</w:t>
        </w:r>
      </w:hyperlink>
      <w:r>
        <w:t>, VP II.</w:t>
      </w:r>
    </w:p>
    <w:p w:rsidR="00E27756" w:rsidRDefault="00E27756" w:rsidP="00E27756">
      <w:pPr>
        <w:pStyle w:val="SangriaFrancesaArticulo"/>
      </w:pPr>
      <w:r w:rsidRPr="00E27756">
        <w:rPr>
          <w:rStyle w:val="TextoNormalNegritaCaracter"/>
        </w:rPr>
        <w:t>Artículo 6.5.</w:t>
      </w:r>
      <w:r w:rsidRPr="00E27756">
        <w:rPr>
          <w:rStyle w:val="TextoNormalCaracter"/>
        </w:rPr>
        <w:t>-</w:t>
      </w:r>
      <w:r>
        <w:t xml:space="preserve"> Sentencia </w:t>
      </w:r>
      <w:hyperlink w:anchor="SENTENCIA_2013_131" w:history="1">
        <w:r w:rsidRPr="00E27756">
          <w:rPr>
            <w:rStyle w:val="TextoNormalCaracter"/>
          </w:rPr>
          <w:t>131/2013</w:t>
        </w:r>
      </w:hyperlink>
      <w:r>
        <w:t>, ff. 2, 9, VP II, VP IV.</w:t>
      </w:r>
    </w:p>
    <w:p w:rsidR="00E27756" w:rsidRDefault="00E27756" w:rsidP="00E27756">
      <w:pPr>
        <w:pStyle w:val="SangriaFrancesaArticulo"/>
      </w:pPr>
      <w:r w:rsidRPr="00E27756">
        <w:rPr>
          <w:rStyle w:val="TextoNormalNegritaCaracter"/>
        </w:rPr>
        <w:t>Artículo 6.5.1.</w:t>
      </w:r>
      <w:r w:rsidRPr="00E27756">
        <w:rPr>
          <w:rStyle w:val="TextoNormalCaracter"/>
        </w:rPr>
        <w:t>-</w:t>
      </w:r>
      <w:r>
        <w:t xml:space="preserve"> Sentencia </w:t>
      </w:r>
      <w:hyperlink w:anchor="SENTENCIA_2013_131" w:history="1">
        <w:r w:rsidRPr="00E27756">
          <w:rPr>
            <w:rStyle w:val="TextoNormalCaracter"/>
          </w:rPr>
          <w:t>131/2013</w:t>
        </w:r>
      </w:hyperlink>
      <w:r>
        <w:t>, f. 9.</w:t>
      </w:r>
    </w:p>
    <w:p w:rsidR="00E27756" w:rsidRDefault="00E27756" w:rsidP="00E27756">
      <w:pPr>
        <w:pStyle w:val="SangriaFrancesaArticulo"/>
      </w:pPr>
      <w:r w:rsidRPr="00E27756">
        <w:rPr>
          <w:rStyle w:val="TextoNormalNegritaCaracter"/>
        </w:rPr>
        <w:t>Artículo 9.2.</w:t>
      </w:r>
      <w:r w:rsidRPr="00E27756">
        <w:rPr>
          <w:rStyle w:val="TextoNormalCaracter"/>
        </w:rPr>
        <w:t>-</w:t>
      </w:r>
      <w:r>
        <w:t xml:space="preserve"> Sentencia </w:t>
      </w:r>
      <w:hyperlink w:anchor="SENTENCIA_2013_131" w:history="1">
        <w:r w:rsidRPr="00E27756">
          <w:rPr>
            <w:rStyle w:val="TextoNormalCaracter"/>
          </w:rPr>
          <w:t>131/2013</w:t>
        </w:r>
      </w:hyperlink>
      <w:r>
        <w:t>, ff. 2, 4, VP IV.</w:t>
      </w:r>
    </w:p>
    <w:p w:rsidR="00E27756" w:rsidRDefault="00E27756" w:rsidP="00E27756">
      <w:pPr>
        <w:pStyle w:val="SangriaFrancesaArticulo"/>
      </w:pPr>
      <w:r w:rsidRPr="00E27756">
        <w:rPr>
          <w:rStyle w:val="TextoNormalNegritaCaracter"/>
        </w:rPr>
        <w:t>Artículo 9.2</w:t>
      </w:r>
      <w:r>
        <w:t xml:space="preserve"> </w:t>
      </w:r>
      <w:r w:rsidRPr="00E27756">
        <w:rPr>
          <w:rStyle w:val="TextoNormalCaracter"/>
        </w:rPr>
        <w:t>(redactado por la Ley Orgánica 4/2007, de 12 de abril)</w:t>
      </w:r>
      <w:r w:rsidRPr="00E27756">
        <w:rPr>
          <w:rStyle w:val="TextoNormalNegritaCaracter"/>
        </w:rPr>
        <w:t>.</w:t>
      </w:r>
      <w:r w:rsidRPr="00E27756">
        <w:rPr>
          <w:rStyle w:val="TextoNormalCaracter"/>
        </w:rPr>
        <w:t>-</w:t>
      </w:r>
      <w:r>
        <w:t xml:space="preserve"> Sentencia </w:t>
      </w:r>
      <w:hyperlink w:anchor="SENTENCIA_2013_131" w:history="1">
        <w:r w:rsidRPr="00E27756">
          <w:rPr>
            <w:rStyle w:val="TextoNormalCaracter"/>
          </w:rPr>
          <w:t>131/2013</w:t>
        </w:r>
      </w:hyperlink>
      <w:r>
        <w:t>, ff. 3, 4.</w:t>
      </w:r>
    </w:p>
    <w:p w:rsidR="00E27756" w:rsidRDefault="00E27756" w:rsidP="00E27756">
      <w:pPr>
        <w:pStyle w:val="SangriaFrancesaArticulo"/>
      </w:pPr>
      <w:r w:rsidRPr="00E27756">
        <w:rPr>
          <w:rStyle w:val="TextoNormalNegritaCaracter"/>
        </w:rPr>
        <w:t>Artículo 11.1.</w:t>
      </w:r>
      <w:r w:rsidRPr="00E27756">
        <w:rPr>
          <w:rStyle w:val="TextoNormalCaracter"/>
        </w:rPr>
        <w:t>-</w:t>
      </w:r>
      <w:r>
        <w:t xml:space="preserve"> Sentencia </w:t>
      </w:r>
      <w:hyperlink w:anchor="SENTENCIA_2013_134" w:history="1">
        <w:r w:rsidRPr="00E27756">
          <w:rPr>
            <w:rStyle w:val="TextoNormalCaracter"/>
          </w:rPr>
          <w:t>134/2013</w:t>
        </w:r>
      </w:hyperlink>
      <w:r>
        <w:t>, ff. 1, 3, 7, 8.</w:t>
      </w:r>
    </w:p>
    <w:p w:rsidR="00E27756" w:rsidRDefault="00E27756" w:rsidP="00E27756">
      <w:pPr>
        <w:pStyle w:val="SangriaFrancesaArticulo"/>
      </w:pPr>
      <w:r w:rsidRPr="00E27756">
        <w:rPr>
          <w:rStyle w:val="TextoNormalNegritaCaracter"/>
        </w:rPr>
        <w:t>Artículo 11.1</w:t>
      </w:r>
      <w:r>
        <w:t xml:space="preserve"> </w:t>
      </w:r>
      <w:r w:rsidRPr="00E27756">
        <w:rPr>
          <w:rStyle w:val="TextoNormalCaracter"/>
        </w:rPr>
        <w:t>(redactado por la Ley Orgánica 4/2007, de 12 de abril)</w:t>
      </w:r>
      <w:r w:rsidRPr="00E27756">
        <w:rPr>
          <w:rStyle w:val="TextoNormalNegritaCaracter"/>
        </w:rPr>
        <w:t>.</w:t>
      </w:r>
      <w:r w:rsidRPr="00E27756">
        <w:rPr>
          <w:rStyle w:val="TextoNormalCaracter"/>
        </w:rPr>
        <w:t>-</w:t>
      </w:r>
      <w:r>
        <w:t xml:space="preserve"> Sentencia </w:t>
      </w:r>
      <w:hyperlink w:anchor="SENTENCIA_2013_134" w:history="1">
        <w:r w:rsidRPr="00E27756">
          <w:rPr>
            <w:rStyle w:val="TextoNormalCaracter"/>
          </w:rPr>
          <w:t>134/2013</w:t>
        </w:r>
      </w:hyperlink>
      <w:r>
        <w:t>, f. 3.</w:t>
      </w:r>
    </w:p>
    <w:p w:rsidR="00E27756" w:rsidRDefault="00E27756" w:rsidP="00E27756">
      <w:pPr>
        <w:pStyle w:val="SangriaFrancesaArticulo"/>
      </w:pPr>
      <w:r w:rsidRPr="00E27756">
        <w:rPr>
          <w:rStyle w:val="TextoNormalNegritaCaracter"/>
        </w:rPr>
        <w:lastRenderedPageBreak/>
        <w:t>Artículo 12.2.</w:t>
      </w:r>
      <w:r w:rsidRPr="00E27756">
        <w:rPr>
          <w:rStyle w:val="TextoNormalCaracter"/>
        </w:rPr>
        <w:t>-</w:t>
      </w:r>
      <w:r>
        <w:t xml:space="preserve"> Sentencia </w:t>
      </w:r>
      <w:hyperlink w:anchor="SENTENCIA_2013_131" w:history="1">
        <w:r w:rsidRPr="00E27756">
          <w:rPr>
            <w:rStyle w:val="TextoNormalCaracter"/>
          </w:rPr>
          <w:t>131/2013</w:t>
        </w:r>
      </w:hyperlink>
      <w:r>
        <w:t>, VP II.</w:t>
      </w:r>
    </w:p>
    <w:p w:rsidR="00E27756" w:rsidRDefault="00E27756" w:rsidP="00E27756">
      <w:pPr>
        <w:pStyle w:val="SangriaFrancesaArticulo"/>
      </w:pPr>
      <w:r w:rsidRPr="00E27756">
        <w:rPr>
          <w:rStyle w:val="TextoNormalNegritaCaracter"/>
        </w:rPr>
        <w:t>Artículo 14.1.</w:t>
      </w:r>
      <w:r w:rsidRPr="00E27756">
        <w:rPr>
          <w:rStyle w:val="TextoNormalCaracter"/>
        </w:rPr>
        <w:t>-</w:t>
      </w:r>
      <w:r>
        <w:t xml:space="preserve"> Sentencias </w:t>
      </w:r>
      <w:hyperlink w:anchor="SENTENCIA_2013_131" w:history="1">
        <w:r w:rsidRPr="00E27756">
          <w:rPr>
            <w:rStyle w:val="TextoNormalCaracter"/>
          </w:rPr>
          <w:t>131/2013</w:t>
        </w:r>
      </w:hyperlink>
      <w:r>
        <w:t xml:space="preserve">, f. 8; </w:t>
      </w:r>
      <w:hyperlink w:anchor="SENTENCIA_2013_134" w:history="1">
        <w:r w:rsidRPr="00E27756">
          <w:rPr>
            <w:rStyle w:val="TextoNormalCaracter"/>
          </w:rPr>
          <w:t>134/2013</w:t>
        </w:r>
      </w:hyperlink>
      <w:r>
        <w:t>, ff. 5, 8.</w:t>
      </w:r>
    </w:p>
    <w:p w:rsidR="00E27756" w:rsidRDefault="00E27756" w:rsidP="00E27756">
      <w:pPr>
        <w:pStyle w:val="SangriaFrancesaArticulo"/>
      </w:pPr>
      <w:r w:rsidRPr="00E27756">
        <w:rPr>
          <w:rStyle w:val="TextoNormalNegritaCaracter"/>
        </w:rPr>
        <w:t>Artículo 14.2 párrafo 1.</w:t>
      </w:r>
      <w:r w:rsidRPr="00E27756">
        <w:rPr>
          <w:rStyle w:val="TextoNormalCaracter"/>
        </w:rPr>
        <w:t>-</w:t>
      </w:r>
      <w:r>
        <w:t xml:space="preserve"> Sentencias </w:t>
      </w:r>
      <w:hyperlink w:anchor="SENTENCIA_2013_131" w:history="1">
        <w:r w:rsidRPr="00E27756">
          <w:rPr>
            <w:rStyle w:val="TextoNormalCaracter"/>
          </w:rPr>
          <w:t>131/2013</w:t>
        </w:r>
      </w:hyperlink>
      <w:r>
        <w:t xml:space="preserve">, f. 8; </w:t>
      </w:r>
      <w:hyperlink w:anchor="SENTENCIA_2013_134" w:history="1">
        <w:r w:rsidRPr="00E27756">
          <w:rPr>
            <w:rStyle w:val="TextoNormalCaracter"/>
          </w:rPr>
          <w:t>134/2013</w:t>
        </w:r>
      </w:hyperlink>
      <w:r>
        <w:t>, f. 5.</w:t>
      </w:r>
    </w:p>
    <w:p w:rsidR="00E27756" w:rsidRDefault="00E27756" w:rsidP="00E27756">
      <w:pPr>
        <w:pStyle w:val="SangriaFrancesaArticulo"/>
      </w:pPr>
      <w:r w:rsidRPr="00E27756">
        <w:rPr>
          <w:rStyle w:val="TextoNormalNegritaCaracter"/>
        </w:rPr>
        <w:t>Artículo 14.2 párrafo 2.</w:t>
      </w:r>
      <w:r w:rsidRPr="00E27756">
        <w:rPr>
          <w:rStyle w:val="TextoNormalCaracter"/>
        </w:rPr>
        <w:t>-</w:t>
      </w:r>
      <w:r>
        <w:t xml:space="preserve"> Sentencia </w:t>
      </w:r>
      <w:hyperlink w:anchor="SENTENCIA_2013_134" w:history="1">
        <w:r w:rsidRPr="00E27756">
          <w:rPr>
            <w:rStyle w:val="TextoNormalCaracter"/>
          </w:rPr>
          <w:t>134/2013</w:t>
        </w:r>
      </w:hyperlink>
      <w:r>
        <w:t>, f. 5.</w:t>
      </w:r>
    </w:p>
    <w:p w:rsidR="00E27756" w:rsidRDefault="00E27756" w:rsidP="00E27756">
      <w:pPr>
        <w:pStyle w:val="SangriaFrancesaArticulo"/>
      </w:pPr>
      <w:r w:rsidRPr="00E27756">
        <w:rPr>
          <w:rStyle w:val="TextoNormalNegritaCaracter"/>
        </w:rPr>
        <w:t>Artículo 14.2.2.</w:t>
      </w:r>
      <w:r w:rsidRPr="00E27756">
        <w:rPr>
          <w:rStyle w:val="TextoNormalCaracter"/>
        </w:rPr>
        <w:t>-</w:t>
      </w:r>
      <w:r>
        <w:t xml:space="preserve"> Sentencia </w:t>
      </w:r>
      <w:hyperlink w:anchor="SENTENCIA_2013_131" w:history="1">
        <w:r w:rsidRPr="00E27756">
          <w:rPr>
            <w:rStyle w:val="TextoNormalCaracter"/>
          </w:rPr>
          <w:t>131/2013</w:t>
        </w:r>
      </w:hyperlink>
      <w:r>
        <w:t>, f. 8.</w:t>
      </w:r>
    </w:p>
    <w:p w:rsidR="00E27756" w:rsidRDefault="00E27756" w:rsidP="00E27756">
      <w:pPr>
        <w:pStyle w:val="SangriaFrancesaArticulo"/>
      </w:pPr>
      <w:r w:rsidRPr="00E27756">
        <w:rPr>
          <w:rStyle w:val="TextoNormalNegritaCaracter"/>
        </w:rPr>
        <w:t>Artículo 14.3.</w:t>
      </w:r>
      <w:r w:rsidRPr="00E27756">
        <w:rPr>
          <w:rStyle w:val="TextoNormalCaracter"/>
        </w:rPr>
        <w:t>-</w:t>
      </w:r>
      <w:r>
        <w:t xml:space="preserve"> Sentencias </w:t>
      </w:r>
      <w:hyperlink w:anchor="SENTENCIA_2013_131" w:history="1">
        <w:r w:rsidRPr="00E27756">
          <w:rPr>
            <w:rStyle w:val="TextoNormalCaracter"/>
          </w:rPr>
          <w:t>131/2013</w:t>
        </w:r>
      </w:hyperlink>
      <w:r>
        <w:t xml:space="preserve">, f. 8; </w:t>
      </w:r>
      <w:hyperlink w:anchor="SENTENCIA_2013_134" w:history="1">
        <w:r w:rsidRPr="00E27756">
          <w:rPr>
            <w:rStyle w:val="TextoNormalCaracter"/>
          </w:rPr>
          <w:t>134/2013</w:t>
        </w:r>
      </w:hyperlink>
      <w:r>
        <w:t>, f. 7.</w:t>
      </w:r>
    </w:p>
    <w:p w:rsidR="00E27756" w:rsidRDefault="00E27756" w:rsidP="00E27756">
      <w:pPr>
        <w:pStyle w:val="SangriaFrancesaArticulo"/>
      </w:pPr>
      <w:r w:rsidRPr="00E27756">
        <w:rPr>
          <w:rStyle w:val="TextoNormalNegritaCaracter"/>
        </w:rPr>
        <w:t>Artículo 15.2.</w:t>
      </w:r>
      <w:r w:rsidRPr="00E27756">
        <w:rPr>
          <w:rStyle w:val="TextoNormalCaracter"/>
        </w:rPr>
        <w:t>-</w:t>
      </w:r>
      <w:r>
        <w:t xml:space="preserve"> Sentencias </w:t>
      </w:r>
      <w:hyperlink w:anchor="SENTENCIA_2013_131" w:history="1">
        <w:r w:rsidRPr="00E27756">
          <w:rPr>
            <w:rStyle w:val="TextoNormalCaracter"/>
          </w:rPr>
          <w:t>131/2013</w:t>
        </w:r>
      </w:hyperlink>
      <w:r>
        <w:t xml:space="preserve">, ff. 2, 4, VP IV; </w:t>
      </w:r>
      <w:hyperlink w:anchor="SENTENCIA_2013_134" w:history="1">
        <w:r w:rsidRPr="00E27756">
          <w:rPr>
            <w:rStyle w:val="TextoNormalCaracter"/>
          </w:rPr>
          <w:t>134/2013</w:t>
        </w:r>
      </w:hyperlink>
      <w:r>
        <w:t>, ff. 1, 3, 7.</w:t>
      </w:r>
    </w:p>
    <w:p w:rsidR="00E27756" w:rsidRDefault="00E27756" w:rsidP="00E27756">
      <w:pPr>
        <w:pStyle w:val="SangriaFrancesaArticulo"/>
      </w:pPr>
      <w:r w:rsidRPr="00E27756">
        <w:rPr>
          <w:rStyle w:val="TextoNormalNegritaCaracter"/>
        </w:rPr>
        <w:t>Artículo 15.2</w:t>
      </w:r>
      <w:r>
        <w:t xml:space="preserve"> </w:t>
      </w:r>
      <w:r w:rsidRPr="00E27756">
        <w:rPr>
          <w:rStyle w:val="TextoNormalCaracter"/>
        </w:rPr>
        <w:t>(redactado por la Ley Orgánica 4/2007, de 12 de abril)</w:t>
      </w:r>
      <w:r w:rsidRPr="00E27756">
        <w:rPr>
          <w:rStyle w:val="TextoNormalNegritaCaracter"/>
        </w:rPr>
        <w:t>.</w:t>
      </w:r>
      <w:r w:rsidRPr="00E27756">
        <w:rPr>
          <w:rStyle w:val="TextoNormalCaracter"/>
        </w:rPr>
        <w:t>-</w:t>
      </w:r>
      <w:r>
        <w:t xml:space="preserve"> Sentencia </w:t>
      </w:r>
      <w:hyperlink w:anchor="SENTENCIA_2013_131" w:history="1">
        <w:r w:rsidRPr="00E27756">
          <w:rPr>
            <w:rStyle w:val="TextoNormalCaracter"/>
          </w:rPr>
          <w:t>131/2013</w:t>
        </w:r>
      </w:hyperlink>
      <w:r>
        <w:t>, ff. 3, 4.</w:t>
      </w:r>
    </w:p>
    <w:p w:rsidR="00E27756" w:rsidRDefault="00E27756" w:rsidP="00E27756">
      <w:pPr>
        <w:pStyle w:val="SangriaFrancesaArticulo"/>
      </w:pPr>
      <w:r w:rsidRPr="00E27756">
        <w:rPr>
          <w:rStyle w:val="TextoNormalNegritaCaracter"/>
        </w:rPr>
        <w:t>Artículo 15.2 in fine.</w:t>
      </w:r>
      <w:r w:rsidRPr="00E27756">
        <w:rPr>
          <w:rStyle w:val="TextoNormalCaracter"/>
        </w:rPr>
        <w:t>-</w:t>
      </w:r>
      <w:r>
        <w:t xml:space="preserve"> Sentencia </w:t>
      </w:r>
      <w:hyperlink w:anchor="SENTENCIA_2013_134" w:history="1">
        <w:r w:rsidRPr="00E27756">
          <w:rPr>
            <w:rStyle w:val="TextoNormalCaracter"/>
          </w:rPr>
          <w:t>134/2013</w:t>
        </w:r>
      </w:hyperlink>
      <w:r>
        <w:t>, f. 3.</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 </w:t>
      </w:r>
      <w:hyperlink w:anchor="SENTENCIA_2013_134" w:history="1">
        <w:r w:rsidRPr="00E27756">
          <w:rPr>
            <w:rStyle w:val="TextoNormalCaracter"/>
          </w:rPr>
          <w:t>134/2013</w:t>
        </w:r>
      </w:hyperlink>
      <w:r>
        <w:t>, ff. 1, 3, 5, 7.</w:t>
      </w:r>
    </w:p>
    <w:p w:rsidR="00E27756" w:rsidRDefault="00E27756" w:rsidP="00E27756">
      <w:pPr>
        <w:pStyle w:val="SangriaFrancesaArticulo"/>
      </w:pPr>
      <w:r w:rsidRPr="00E27756">
        <w:rPr>
          <w:rStyle w:val="TextoNormalNegritaCaracter"/>
        </w:rPr>
        <w:t>Artículo 23 in fine.</w:t>
      </w:r>
      <w:r w:rsidRPr="00E27756">
        <w:rPr>
          <w:rStyle w:val="TextoNormalCaracter"/>
        </w:rPr>
        <w:t>-</w:t>
      </w:r>
      <w:r>
        <w:t xml:space="preserve"> Sentencias </w:t>
      </w:r>
      <w:hyperlink w:anchor="SENTENCIA_2013_131" w:history="1">
        <w:r w:rsidRPr="00E27756">
          <w:rPr>
            <w:rStyle w:val="TextoNormalCaracter"/>
          </w:rPr>
          <w:t>131/2013</w:t>
        </w:r>
      </w:hyperlink>
      <w:r>
        <w:t xml:space="preserve">, f. 8; </w:t>
      </w:r>
      <w:hyperlink w:anchor="SENTENCIA_2013_134" w:history="1">
        <w:r w:rsidRPr="00E27756">
          <w:rPr>
            <w:rStyle w:val="TextoNormalCaracter"/>
          </w:rPr>
          <w:t>134/2013</w:t>
        </w:r>
      </w:hyperlink>
      <w:r>
        <w:t>, f. 5.</w:t>
      </w:r>
    </w:p>
    <w:p w:rsidR="00E27756" w:rsidRDefault="00E27756" w:rsidP="00E27756">
      <w:pPr>
        <w:pStyle w:val="SangriaFrancesaArticulo"/>
      </w:pPr>
      <w:r w:rsidRPr="00E27756">
        <w:rPr>
          <w:rStyle w:val="TextoNormalNegritaCaracter"/>
        </w:rPr>
        <w:t>Artículo 23 inciso 1.</w:t>
      </w:r>
      <w:r w:rsidRPr="00E27756">
        <w:rPr>
          <w:rStyle w:val="TextoNormalCaracter"/>
        </w:rPr>
        <w:t>-</w:t>
      </w:r>
      <w:r>
        <w:t xml:space="preserve"> Sentencias </w:t>
      </w:r>
      <w:hyperlink w:anchor="SENTENCIA_2013_131" w:history="1">
        <w:r w:rsidRPr="00E27756">
          <w:rPr>
            <w:rStyle w:val="TextoNormalCaracter"/>
          </w:rPr>
          <w:t>131/2013</w:t>
        </w:r>
      </w:hyperlink>
      <w:r>
        <w:t xml:space="preserve">, f. 8; </w:t>
      </w:r>
      <w:hyperlink w:anchor="SENTENCIA_2013_134" w:history="1">
        <w:r w:rsidRPr="00E27756">
          <w:rPr>
            <w:rStyle w:val="TextoNormalCaracter"/>
          </w:rPr>
          <w:t>134/2013</w:t>
        </w:r>
      </w:hyperlink>
      <w:r>
        <w:t>, f. 5.</w:t>
      </w:r>
    </w:p>
    <w:p w:rsidR="00E27756" w:rsidRDefault="00E27756" w:rsidP="00E27756">
      <w:pPr>
        <w:pStyle w:val="SangriaFrancesaArticulo"/>
      </w:pPr>
      <w:r w:rsidRPr="00E27756">
        <w:rPr>
          <w:rStyle w:val="TextoNormalNegritaCaracter"/>
        </w:rPr>
        <w:t>Artículo 23 inciso 2.</w:t>
      </w:r>
      <w:r w:rsidRPr="00E27756">
        <w:rPr>
          <w:rStyle w:val="TextoNormalCaracter"/>
        </w:rPr>
        <w:t>-</w:t>
      </w:r>
      <w:r>
        <w:t xml:space="preserve"> Sentencia </w:t>
      </w:r>
      <w:hyperlink w:anchor="SENTENCIA_2013_131" w:history="1">
        <w:r w:rsidRPr="00E27756">
          <w:rPr>
            <w:rStyle w:val="TextoNormalCaracter"/>
          </w:rPr>
          <w:t>131/2013</w:t>
        </w:r>
      </w:hyperlink>
      <w:r>
        <w:t>, ff. 2, 8, VP IV.</w:t>
      </w:r>
    </w:p>
    <w:p w:rsidR="00E27756" w:rsidRDefault="00E27756" w:rsidP="00E27756">
      <w:pPr>
        <w:pStyle w:val="SangriaFrancesaArticulo"/>
      </w:pPr>
      <w:r w:rsidRPr="00E27756">
        <w:rPr>
          <w:rStyle w:val="TextoNormalNegritaCaracter"/>
        </w:rPr>
        <w:t>Artículo 23 inciso 2</w:t>
      </w:r>
      <w:r>
        <w:t xml:space="preserve"> </w:t>
      </w:r>
      <w:r w:rsidRPr="00E27756">
        <w:rPr>
          <w:rStyle w:val="TextoNormalCaracter"/>
        </w:rPr>
        <w:t>(redactado por la Ley Orgánica 4/2007, de 12 de abril)</w:t>
      </w:r>
      <w:r w:rsidRPr="00E27756">
        <w:rPr>
          <w:rStyle w:val="TextoNormalNegritaCaracter"/>
        </w:rPr>
        <w:t>.</w:t>
      </w:r>
      <w:r w:rsidRPr="00E27756">
        <w:rPr>
          <w:rStyle w:val="TextoNormalCaracter"/>
        </w:rPr>
        <w:t>-</w:t>
      </w:r>
      <w:r>
        <w:t xml:space="preserve"> Sentencia </w:t>
      </w:r>
      <w:hyperlink w:anchor="SENTENCIA_2013_131" w:history="1">
        <w:r w:rsidRPr="00E27756">
          <w:rPr>
            <w:rStyle w:val="TextoNormalCaracter"/>
          </w:rPr>
          <w:t>131/2013</w:t>
        </w:r>
      </w:hyperlink>
      <w:r>
        <w:t>, ff. 3, 4.</w:t>
      </w:r>
    </w:p>
    <w:p w:rsidR="00E27756" w:rsidRDefault="00E27756" w:rsidP="00E27756">
      <w:pPr>
        <w:pStyle w:val="SangriaFrancesaArticulo"/>
      </w:pPr>
      <w:r w:rsidRPr="00E27756">
        <w:rPr>
          <w:rStyle w:val="TextoNormalNegritaCaracter"/>
        </w:rPr>
        <w:t>Artículo 23.2.</w:t>
      </w:r>
      <w:r w:rsidRPr="00E27756">
        <w:rPr>
          <w:rStyle w:val="TextoNormalCaracter"/>
        </w:rPr>
        <w:t>-</w:t>
      </w:r>
      <w:r>
        <w:t xml:space="preserve"> Sentencia </w:t>
      </w:r>
      <w:hyperlink w:anchor="SENTENCIA_2013_134" w:history="1">
        <w:r w:rsidRPr="00E27756">
          <w:rPr>
            <w:rStyle w:val="TextoNormalCaracter"/>
          </w:rPr>
          <w:t>134/2013</w:t>
        </w:r>
      </w:hyperlink>
      <w:r>
        <w:t>, f. 3.</w:t>
      </w:r>
    </w:p>
    <w:p w:rsidR="00E27756" w:rsidRDefault="00E27756" w:rsidP="00E27756">
      <w:pPr>
        <w:pStyle w:val="SangriaFrancesaArticulo"/>
      </w:pPr>
      <w:r w:rsidRPr="00E27756">
        <w:rPr>
          <w:rStyle w:val="TextoNormalNegritaCaracter"/>
        </w:rPr>
        <w:t>Artículo 27.</w:t>
      </w:r>
      <w:r w:rsidRPr="00E27756">
        <w:rPr>
          <w:rStyle w:val="TextoNormalCaracter"/>
        </w:rPr>
        <w:t>-</w:t>
      </w:r>
      <w:r>
        <w:t xml:space="preserve"> Sentencia </w:t>
      </w:r>
      <w:hyperlink w:anchor="SENTENCIA_2013_131" w:history="1">
        <w:r w:rsidRPr="00E27756">
          <w:rPr>
            <w:rStyle w:val="TextoNormalCaracter"/>
          </w:rPr>
          <w:t>131/2013</w:t>
        </w:r>
      </w:hyperlink>
      <w:r>
        <w:t>, VP II.</w:t>
      </w:r>
    </w:p>
    <w:p w:rsidR="00E27756" w:rsidRDefault="00E27756" w:rsidP="00E27756">
      <w:pPr>
        <w:pStyle w:val="SangriaFrancesaArticulo"/>
      </w:pPr>
      <w:r w:rsidRPr="00E27756">
        <w:rPr>
          <w:rStyle w:val="TextoNormalNegritaCaracter"/>
        </w:rPr>
        <w:t>Artículo 27.1.</w:t>
      </w:r>
      <w:r w:rsidRPr="00E27756">
        <w:rPr>
          <w:rStyle w:val="TextoNormalCaracter"/>
        </w:rPr>
        <w:t>-</w:t>
      </w:r>
      <w:r>
        <w:t xml:space="preserve"> Sentencia </w:t>
      </w:r>
      <w:hyperlink w:anchor="SENTENCIA_2013_131" w:history="1">
        <w:r w:rsidRPr="00E27756">
          <w:rPr>
            <w:rStyle w:val="TextoNormalCaracter"/>
          </w:rPr>
          <w:t>131/2013</w:t>
        </w:r>
      </w:hyperlink>
      <w:r>
        <w:t>, ff. 2, 4, VP IV.</w:t>
      </w:r>
    </w:p>
    <w:p w:rsidR="00E27756" w:rsidRDefault="00E27756" w:rsidP="00E27756">
      <w:pPr>
        <w:pStyle w:val="SangriaFrancesaArticulo"/>
      </w:pPr>
      <w:r w:rsidRPr="00E27756">
        <w:rPr>
          <w:rStyle w:val="TextoNormalNegritaCaracter"/>
        </w:rPr>
        <w:t>Artículo 27.1</w:t>
      </w:r>
      <w:r>
        <w:t xml:space="preserve"> </w:t>
      </w:r>
      <w:r w:rsidRPr="00E27756">
        <w:rPr>
          <w:rStyle w:val="TextoNormalCaracter"/>
        </w:rPr>
        <w:t>(redactado por la Ley Orgánica 4/2007, de 12 de abril)</w:t>
      </w:r>
      <w:r w:rsidRPr="00E27756">
        <w:rPr>
          <w:rStyle w:val="TextoNormalNegritaCaracter"/>
        </w:rPr>
        <w:t>.</w:t>
      </w:r>
      <w:r w:rsidRPr="00E27756">
        <w:rPr>
          <w:rStyle w:val="TextoNormalCaracter"/>
        </w:rPr>
        <w:t>-</w:t>
      </w:r>
      <w:r>
        <w:t xml:space="preserve"> Sentencia </w:t>
      </w:r>
      <w:hyperlink w:anchor="SENTENCIA_2013_131" w:history="1">
        <w:r w:rsidRPr="00E27756">
          <w:rPr>
            <w:rStyle w:val="TextoNormalCaracter"/>
          </w:rPr>
          <w:t>131/2013</w:t>
        </w:r>
      </w:hyperlink>
      <w:r>
        <w:t>, ff. 3, 4.</w:t>
      </w:r>
    </w:p>
    <w:p w:rsidR="00E27756" w:rsidRDefault="00E27756" w:rsidP="00E27756">
      <w:pPr>
        <w:pStyle w:val="SangriaFrancesaArticulo"/>
      </w:pPr>
      <w:r w:rsidRPr="00E27756">
        <w:rPr>
          <w:rStyle w:val="TextoNormalNegritaCaracter"/>
        </w:rPr>
        <w:t>Artículo 31.1 c).</w:t>
      </w:r>
      <w:r w:rsidRPr="00E27756">
        <w:rPr>
          <w:rStyle w:val="TextoNormalCaracter"/>
        </w:rPr>
        <w:t>-</w:t>
      </w:r>
      <w:r>
        <w:t xml:space="preserve"> Sentencia </w:t>
      </w:r>
      <w:hyperlink w:anchor="SENTENCIA_2013_131" w:history="1">
        <w:r w:rsidRPr="00E27756">
          <w:rPr>
            <w:rStyle w:val="TextoNormalCaracter"/>
          </w:rPr>
          <w:t>131/2013</w:t>
        </w:r>
      </w:hyperlink>
      <w:r>
        <w:t>, f. 8.</w:t>
      </w:r>
    </w:p>
    <w:p w:rsidR="00E27756" w:rsidRDefault="00E27756" w:rsidP="00E27756">
      <w:pPr>
        <w:pStyle w:val="SangriaFrancesaArticulo"/>
      </w:pPr>
      <w:r w:rsidRPr="00E27756">
        <w:rPr>
          <w:rStyle w:val="TextoNormalNegritaCaracter"/>
        </w:rPr>
        <w:t>Artículo 31.2.</w:t>
      </w:r>
      <w:r w:rsidRPr="00E27756">
        <w:rPr>
          <w:rStyle w:val="TextoNormalCaracter"/>
        </w:rPr>
        <w:t>-</w:t>
      </w:r>
      <w:r>
        <w:t xml:space="preserve"> Sentencia </w:t>
      </w:r>
      <w:hyperlink w:anchor="SENTENCIA_2013_131" w:history="1">
        <w:r w:rsidRPr="00E27756">
          <w:rPr>
            <w:rStyle w:val="TextoNormalCaracter"/>
          </w:rPr>
          <w:t>131/2013</w:t>
        </w:r>
      </w:hyperlink>
      <w:r>
        <w:t>, f. 8.</w:t>
      </w:r>
    </w:p>
    <w:p w:rsidR="00E27756" w:rsidRDefault="00E27756" w:rsidP="00E27756">
      <w:pPr>
        <w:pStyle w:val="SangriaFrancesaArticulo"/>
      </w:pPr>
      <w:r w:rsidRPr="00E27756">
        <w:rPr>
          <w:rStyle w:val="TextoNormalNegritaCaracter"/>
        </w:rPr>
        <w:t>Artículo 31.3.</w:t>
      </w:r>
      <w:r w:rsidRPr="00E27756">
        <w:rPr>
          <w:rStyle w:val="TextoNormalCaracter"/>
        </w:rPr>
        <w:t>-</w:t>
      </w:r>
      <w:r>
        <w:t xml:space="preserve"> Sentencias </w:t>
      </w:r>
      <w:hyperlink w:anchor="SENTENCIA_2013_131" w:history="1">
        <w:r w:rsidRPr="00E27756">
          <w:rPr>
            <w:rStyle w:val="TextoNormalCaracter"/>
          </w:rPr>
          <w:t>131/2013</w:t>
        </w:r>
      </w:hyperlink>
      <w:r>
        <w:t xml:space="preserve">, ff. 5, 8; </w:t>
      </w:r>
      <w:hyperlink w:anchor="SENTENCIA_2013_134" w:history="1">
        <w:r w:rsidRPr="00E27756">
          <w:rPr>
            <w:rStyle w:val="TextoNormalCaracter"/>
          </w:rPr>
          <w:t>134/2013</w:t>
        </w:r>
      </w:hyperlink>
      <w:r>
        <w:t>, f. 6.</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Sentencias </w:t>
      </w:r>
      <w:hyperlink w:anchor="SENTENCIA_2013_131" w:history="1">
        <w:r w:rsidRPr="00E27756">
          <w:rPr>
            <w:rStyle w:val="TextoNormalCaracter"/>
          </w:rPr>
          <w:t>131/2013</w:t>
        </w:r>
      </w:hyperlink>
      <w:r>
        <w:t xml:space="preserve">, ff. 2, 4, 5, VP IV; </w:t>
      </w:r>
      <w:hyperlink w:anchor="SENTENCIA_2013_134" w:history="1">
        <w:r w:rsidRPr="00E27756">
          <w:rPr>
            <w:rStyle w:val="TextoNormalCaracter"/>
          </w:rPr>
          <w:t>134/2013</w:t>
        </w:r>
      </w:hyperlink>
      <w:r>
        <w:t>, ff. 1, 3, 6.</w:t>
      </w:r>
    </w:p>
    <w:p w:rsidR="00E27756" w:rsidRDefault="00E27756" w:rsidP="00E27756">
      <w:pPr>
        <w:pStyle w:val="SangriaFrancesaArticulo"/>
      </w:pPr>
      <w:r w:rsidRPr="00E27756">
        <w:rPr>
          <w:rStyle w:val="TextoNormalNegritaCaracter"/>
        </w:rPr>
        <w:t>Artículo 32</w:t>
      </w:r>
      <w:r>
        <w:t xml:space="preserve"> </w:t>
      </w:r>
      <w:r w:rsidRPr="00E27756">
        <w:rPr>
          <w:rStyle w:val="TextoNormalCaracter"/>
        </w:rPr>
        <w:t>(redactado por la Ley Orgánica 4/2007, de 12 de abril)</w:t>
      </w:r>
      <w:r w:rsidRPr="00E27756">
        <w:rPr>
          <w:rStyle w:val="TextoNormalNegritaCaracter"/>
        </w:rPr>
        <w:t>.</w:t>
      </w:r>
      <w:r w:rsidRPr="00E27756">
        <w:rPr>
          <w:rStyle w:val="TextoNormalCaracter"/>
        </w:rPr>
        <w:t>-</w:t>
      </w:r>
      <w:r>
        <w:t xml:space="preserve"> Sentencia </w:t>
      </w:r>
      <w:hyperlink w:anchor="SENTENCIA_2013_131" w:history="1">
        <w:r w:rsidRPr="00E27756">
          <w:rPr>
            <w:rStyle w:val="TextoNormalCaracter"/>
          </w:rPr>
          <w:t>131/2013</w:t>
        </w:r>
      </w:hyperlink>
      <w:r>
        <w:t>, ff. 3, 4.</w:t>
      </w:r>
    </w:p>
    <w:p w:rsidR="00E27756" w:rsidRDefault="00E27756" w:rsidP="00E27756">
      <w:pPr>
        <w:pStyle w:val="SangriaFrancesaArticulo"/>
      </w:pPr>
      <w:r w:rsidRPr="00E27756">
        <w:rPr>
          <w:rStyle w:val="TextoNormalNegritaCaracter"/>
        </w:rPr>
        <w:t>Artículo 32.1.</w:t>
      </w:r>
      <w:r w:rsidRPr="00E27756">
        <w:rPr>
          <w:rStyle w:val="TextoNormalCaracter"/>
        </w:rPr>
        <w:t>-</w:t>
      </w:r>
      <w:r>
        <w:t xml:space="preserve"> Sentencia </w:t>
      </w:r>
      <w:hyperlink w:anchor="SENTENCIA_2013_134" w:history="1">
        <w:r w:rsidRPr="00E27756">
          <w:rPr>
            <w:rStyle w:val="TextoNormalCaracter"/>
          </w:rPr>
          <w:t>134/2013</w:t>
        </w:r>
      </w:hyperlink>
      <w:r>
        <w:t>, f. 3.</w:t>
      </w:r>
    </w:p>
    <w:p w:rsidR="00E27756" w:rsidRDefault="00E27756" w:rsidP="00E27756">
      <w:pPr>
        <w:pStyle w:val="SangriaFrancesaArticulo"/>
      </w:pPr>
      <w:r w:rsidRPr="00E27756">
        <w:rPr>
          <w:rStyle w:val="TextoNormalNegritaCaracter"/>
        </w:rPr>
        <w:t>Artículo 33.3.</w:t>
      </w:r>
      <w:r w:rsidRPr="00E27756">
        <w:rPr>
          <w:rStyle w:val="TextoNormalCaracter"/>
        </w:rPr>
        <w:t>-</w:t>
      </w:r>
      <w:r>
        <w:t xml:space="preserve"> Sentencia </w:t>
      </w:r>
      <w:hyperlink w:anchor="SENTENCIA_2013_131" w:history="1">
        <w:r w:rsidRPr="00E27756">
          <w:rPr>
            <w:rStyle w:val="TextoNormalCaracter"/>
          </w:rPr>
          <w:t>131/2013</w:t>
        </w:r>
      </w:hyperlink>
      <w:r>
        <w:t>, f. 8.</w:t>
      </w:r>
    </w:p>
    <w:p w:rsidR="00E27756" w:rsidRDefault="00E27756" w:rsidP="00E27756">
      <w:pPr>
        <w:pStyle w:val="SangriaFrancesaArticulo"/>
      </w:pPr>
      <w:r w:rsidRPr="00E27756">
        <w:rPr>
          <w:rStyle w:val="TextoNormalNegritaCaracter"/>
        </w:rPr>
        <w:t>Artículo 34.</w:t>
      </w:r>
      <w:r w:rsidRPr="00E27756">
        <w:rPr>
          <w:rStyle w:val="TextoNormalCaracter"/>
        </w:rPr>
        <w:t>-</w:t>
      </w:r>
      <w:r>
        <w:t xml:space="preserve"> Sentencia </w:t>
      </w:r>
      <w:hyperlink w:anchor="SENTENCIA_2013_131" w:history="1">
        <w:r w:rsidRPr="00E27756">
          <w:rPr>
            <w:rStyle w:val="TextoNormalCaracter"/>
          </w:rPr>
          <w:t>131/2013</w:t>
        </w:r>
      </w:hyperlink>
      <w:r>
        <w:t>, VP II.</w:t>
      </w:r>
    </w:p>
    <w:p w:rsidR="00E27756" w:rsidRDefault="00E27756" w:rsidP="00E27756">
      <w:pPr>
        <w:pStyle w:val="SangriaFrancesaArticulo"/>
      </w:pPr>
      <w:r w:rsidRPr="00E27756">
        <w:rPr>
          <w:rStyle w:val="TextoNormalNegritaCaracter"/>
        </w:rPr>
        <w:t>Artículo 35.</w:t>
      </w:r>
      <w:r w:rsidRPr="00E27756">
        <w:rPr>
          <w:rStyle w:val="TextoNormalCaracter"/>
        </w:rPr>
        <w:t>-</w:t>
      </w:r>
      <w:r>
        <w:t xml:space="preserve"> Sentencia </w:t>
      </w:r>
      <w:hyperlink w:anchor="SENTENCIA_2013_131" w:history="1">
        <w:r w:rsidRPr="00E27756">
          <w:rPr>
            <w:rStyle w:val="TextoNormalCaracter"/>
          </w:rPr>
          <w:t>131/2013</w:t>
        </w:r>
      </w:hyperlink>
      <w:r>
        <w:t>, VP II.</w:t>
      </w:r>
    </w:p>
    <w:p w:rsidR="00E27756" w:rsidRDefault="00E27756" w:rsidP="00E27756">
      <w:pPr>
        <w:pStyle w:val="SangriaFrancesaArticulo"/>
      </w:pPr>
      <w:r w:rsidRPr="00E27756">
        <w:rPr>
          <w:rStyle w:val="TextoNormalNegritaCaracter"/>
        </w:rPr>
        <w:t>Artículo 35</w:t>
      </w:r>
      <w:r>
        <w:t xml:space="preserve"> </w:t>
      </w:r>
      <w:r w:rsidRPr="00E27756">
        <w:rPr>
          <w:rStyle w:val="TextoNormalCaracter"/>
        </w:rPr>
        <w:t>(redactado por la Ley Orgánica 4/2007, de 12 de abril)</w:t>
      </w:r>
      <w:r w:rsidRPr="00E27756">
        <w:rPr>
          <w:rStyle w:val="TextoNormalNegritaCaracter"/>
        </w:rPr>
        <w:t>.</w:t>
      </w:r>
      <w:r w:rsidRPr="00E27756">
        <w:rPr>
          <w:rStyle w:val="TextoNormalCaracter"/>
        </w:rPr>
        <w:t>-</w:t>
      </w:r>
      <w:r>
        <w:t xml:space="preserve"> Sentencia </w:t>
      </w:r>
      <w:hyperlink w:anchor="SENTENCIA_2013_134" w:history="1">
        <w:r w:rsidRPr="00E27756">
          <w:rPr>
            <w:rStyle w:val="TextoNormalCaracter"/>
          </w:rPr>
          <w:t>134/2013</w:t>
        </w:r>
      </w:hyperlink>
      <w:r>
        <w:t>, f. 3.</w:t>
      </w:r>
    </w:p>
    <w:p w:rsidR="00E27756" w:rsidRDefault="00E27756" w:rsidP="00E27756">
      <w:pPr>
        <w:pStyle w:val="SangriaFrancesaArticulo"/>
      </w:pPr>
      <w:r w:rsidRPr="00E27756">
        <w:rPr>
          <w:rStyle w:val="TextoNormalNegritaCaracter"/>
        </w:rPr>
        <w:t>Artículo 35.1.</w:t>
      </w:r>
      <w:r w:rsidRPr="00E27756">
        <w:rPr>
          <w:rStyle w:val="TextoNormalCaracter"/>
        </w:rPr>
        <w:t>-</w:t>
      </w:r>
      <w:r>
        <w:t xml:space="preserve"> Sentencia </w:t>
      </w:r>
      <w:hyperlink w:anchor="SENTENCIA_2013_134" w:history="1">
        <w:r w:rsidRPr="00E27756">
          <w:rPr>
            <w:rStyle w:val="TextoNormalCaracter"/>
          </w:rPr>
          <w:t>134/2013</w:t>
        </w:r>
      </w:hyperlink>
      <w:r>
        <w:t>, f. 3.</w:t>
      </w:r>
    </w:p>
    <w:p w:rsidR="00E27756" w:rsidRDefault="00E27756" w:rsidP="00E27756">
      <w:pPr>
        <w:pStyle w:val="SangriaFrancesaArticulo"/>
      </w:pPr>
      <w:r w:rsidRPr="00E27756">
        <w:rPr>
          <w:rStyle w:val="TextoNormalNegritaCaracter"/>
        </w:rPr>
        <w:t>Artículo 35.2.</w:t>
      </w:r>
      <w:r w:rsidRPr="00E27756">
        <w:rPr>
          <w:rStyle w:val="TextoNormalCaracter"/>
        </w:rPr>
        <w:t>-</w:t>
      </w:r>
      <w:r>
        <w:t xml:space="preserve"> Sentencia </w:t>
      </w:r>
      <w:hyperlink w:anchor="SENTENCIA_2013_134" w:history="1">
        <w:r w:rsidRPr="00E27756">
          <w:rPr>
            <w:rStyle w:val="TextoNormalCaracter"/>
          </w:rPr>
          <w:t>134/2013</w:t>
        </w:r>
      </w:hyperlink>
      <w:r>
        <w:t>, f. 3.</w:t>
      </w:r>
    </w:p>
    <w:p w:rsidR="00E27756" w:rsidRDefault="00E27756" w:rsidP="00E27756">
      <w:pPr>
        <w:pStyle w:val="SangriaFrancesaArticulo"/>
      </w:pPr>
      <w:r w:rsidRPr="00E27756">
        <w:rPr>
          <w:rStyle w:val="TextoNormalNegritaCaracter"/>
        </w:rPr>
        <w:t>Artículo 35.6.</w:t>
      </w:r>
      <w:r w:rsidRPr="00E27756">
        <w:rPr>
          <w:rStyle w:val="TextoNormalCaracter"/>
        </w:rPr>
        <w:t>-</w:t>
      </w:r>
      <w:r>
        <w:t xml:space="preserve"> Sentencia </w:t>
      </w:r>
      <w:hyperlink w:anchor="SENTENCIA_2013_134" w:history="1">
        <w:r w:rsidRPr="00E27756">
          <w:rPr>
            <w:rStyle w:val="TextoNormalCaracter"/>
          </w:rPr>
          <w:t>134/2013</w:t>
        </w:r>
      </w:hyperlink>
      <w:r>
        <w:t>, ff. 1, 3.</w:t>
      </w:r>
    </w:p>
    <w:p w:rsidR="00E27756" w:rsidRDefault="00E27756" w:rsidP="00E27756">
      <w:pPr>
        <w:pStyle w:val="SangriaFrancesaArticulo"/>
      </w:pPr>
      <w:r w:rsidRPr="00E27756">
        <w:rPr>
          <w:rStyle w:val="TextoNormalNegritaCaracter"/>
        </w:rPr>
        <w:t>Artículo 40.3.</w:t>
      </w:r>
      <w:r w:rsidRPr="00E27756">
        <w:rPr>
          <w:rStyle w:val="TextoNormalCaracter"/>
        </w:rPr>
        <w:t>-</w:t>
      </w:r>
      <w:r>
        <w:t xml:space="preserve"> Sentencia </w:t>
      </w:r>
      <w:hyperlink w:anchor="SENTENCIA_2013_131" w:history="1">
        <w:r w:rsidRPr="00E27756">
          <w:rPr>
            <w:rStyle w:val="TextoNormalCaracter"/>
          </w:rPr>
          <w:t>131/2013</w:t>
        </w:r>
      </w:hyperlink>
      <w:r>
        <w:t>, f. 8.</w:t>
      </w:r>
    </w:p>
    <w:p w:rsidR="00E27756" w:rsidRDefault="00E27756" w:rsidP="00E27756">
      <w:pPr>
        <w:pStyle w:val="SangriaFrancesaArticulo"/>
      </w:pPr>
      <w:r w:rsidRPr="00E27756">
        <w:rPr>
          <w:rStyle w:val="TextoNormalNegritaCaracter"/>
        </w:rPr>
        <w:t>Artículo 42.3.</w:t>
      </w:r>
      <w:r w:rsidRPr="00E27756">
        <w:rPr>
          <w:rStyle w:val="TextoNormalCaracter"/>
        </w:rPr>
        <w:t>-</w:t>
      </w:r>
      <w:r>
        <w:t xml:space="preserve"> Sentencia </w:t>
      </w:r>
      <w:hyperlink w:anchor="SENTENCIA_2013_131" w:history="1">
        <w:r w:rsidRPr="00E27756">
          <w:rPr>
            <w:rStyle w:val="TextoNormalCaracter"/>
          </w:rPr>
          <w:t>131/2013</w:t>
        </w:r>
      </w:hyperlink>
      <w:r>
        <w:t>, ff. 2, 6, VP IV.</w:t>
      </w:r>
    </w:p>
    <w:p w:rsidR="00E27756" w:rsidRDefault="00E27756" w:rsidP="00E27756">
      <w:pPr>
        <w:pStyle w:val="SangriaFrancesaArticulo"/>
      </w:pPr>
      <w:r w:rsidRPr="00E27756">
        <w:rPr>
          <w:rStyle w:val="TextoNormalNegritaCaracter"/>
        </w:rPr>
        <w:t>Artículo 42.3</w:t>
      </w:r>
      <w:r>
        <w:t xml:space="preserve"> </w:t>
      </w:r>
      <w:r w:rsidRPr="00E27756">
        <w:rPr>
          <w:rStyle w:val="TextoNormalCaracter"/>
        </w:rPr>
        <w:t>(redactado por la Ley Orgánica 4/2007, de 12 de abril)</w:t>
      </w:r>
      <w:r w:rsidRPr="00E27756">
        <w:rPr>
          <w:rStyle w:val="TextoNormalNegritaCaracter"/>
        </w:rPr>
        <w:t>.</w:t>
      </w:r>
      <w:r w:rsidRPr="00E27756">
        <w:rPr>
          <w:rStyle w:val="TextoNormalCaracter"/>
        </w:rPr>
        <w:t>-</w:t>
      </w:r>
      <w:r>
        <w:t xml:space="preserve"> Sentencia </w:t>
      </w:r>
      <w:hyperlink w:anchor="SENTENCIA_2013_131" w:history="1">
        <w:r w:rsidRPr="00E27756">
          <w:rPr>
            <w:rStyle w:val="TextoNormalCaracter"/>
          </w:rPr>
          <w:t>131/2013</w:t>
        </w:r>
      </w:hyperlink>
      <w:r>
        <w:t>, ff. 3, 4.</w:t>
      </w:r>
    </w:p>
    <w:p w:rsidR="00E27756" w:rsidRDefault="00E27756" w:rsidP="00E27756">
      <w:pPr>
        <w:pStyle w:val="SangriaFrancesaArticulo"/>
      </w:pPr>
      <w:r w:rsidRPr="00E27756">
        <w:rPr>
          <w:rStyle w:val="TextoNormalNegritaCaracter"/>
        </w:rPr>
        <w:t>Artículo 42.3.1.</w:t>
      </w:r>
      <w:r w:rsidRPr="00E27756">
        <w:rPr>
          <w:rStyle w:val="TextoNormalCaracter"/>
        </w:rPr>
        <w:t>-</w:t>
      </w:r>
      <w:r>
        <w:t xml:space="preserve"> Sentencia </w:t>
      </w:r>
      <w:hyperlink w:anchor="SENTENCIA_2013_131" w:history="1">
        <w:r w:rsidRPr="00E27756">
          <w:rPr>
            <w:rStyle w:val="TextoNormalCaracter"/>
          </w:rPr>
          <w:t>131/2013</w:t>
        </w:r>
      </w:hyperlink>
      <w:r>
        <w:t>, f. 6.</w:t>
      </w:r>
    </w:p>
    <w:p w:rsidR="00E27756" w:rsidRDefault="00E27756" w:rsidP="00E27756">
      <w:pPr>
        <w:pStyle w:val="SangriaFrancesaArticulo"/>
      </w:pPr>
      <w:r w:rsidRPr="00E27756">
        <w:rPr>
          <w:rStyle w:val="TextoNormalNegritaCaracter"/>
        </w:rPr>
        <w:t>Artículo 46.3.</w:t>
      </w:r>
      <w:r w:rsidRPr="00E27756">
        <w:rPr>
          <w:rStyle w:val="TextoNormalCaracter"/>
        </w:rPr>
        <w:t>-</w:t>
      </w:r>
      <w:r>
        <w:t xml:space="preserve"> Sentencias </w:t>
      </w:r>
      <w:hyperlink w:anchor="SENTENCIA_2013_131" w:history="1">
        <w:r w:rsidRPr="00E27756">
          <w:rPr>
            <w:rStyle w:val="TextoNormalCaracter"/>
          </w:rPr>
          <w:t>131/2013</w:t>
        </w:r>
      </w:hyperlink>
      <w:r>
        <w:t xml:space="preserve">, ff. 2, 8; </w:t>
      </w:r>
      <w:hyperlink w:anchor="SENTENCIA_2013_134" w:history="1">
        <w:r w:rsidRPr="00E27756">
          <w:rPr>
            <w:rStyle w:val="TextoNormalCaracter"/>
          </w:rPr>
          <w:t>134/2013</w:t>
        </w:r>
      </w:hyperlink>
      <w:r>
        <w:t>, ff. 1, 3, 7.</w:t>
      </w:r>
    </w:p>
    <w:p w:rsidR="00E27756" w:rsidRDefault="00E27756" w:rsidP="00E27756">
      <w:pPr>
        <w:pStyle w:val="SangriaFrancesaArticulo"/>
      </w:pPr>
      <w:r w:rsidRPr="00E27756">
        <w:rPr>
          <w:rStyle w:val="TextoNormalNegritaCaracter"/>
        </w:rPr>
        <w:t>Artículo 46.3 inciso 2.</w:t>
      </w:r>
      <w:r w:rsidRPr="00E27756">
        <w:rPr>
          <w:rStyle w:val="TextoNormalCaracter"/>
        </w:rPr>
        <w:t>-</w:t>
      </w:r>
      <w:r>
        <w:t xml:space="preserve"> Sentencia </w:t>
      </w:r>
      <w:hyperlink w:anchor="SENTENCIA_2013_131" w:history="1">
        <w:r w:rsidRPr="00E27756">
          <w:rPr>
            <w:rStyle w:val="TextoNormalCaracter"/>
          </w:rPr>
          <w:t>131/2013</w:t>
        </w:r>
      </w:hyperlink>
      <w:r>
        <w:t>, f. 8, VP IV.</w:t>
      </w:r>
    </w:p>
    <w:p w:rsidR="00E27756" w:rsidRDefault="00E27756" w:rsidP="00E27756">
      <w:pPr>
        <w:pStyle w:val="SangriaFrancesaArticulo"/>
      </w:pPr>
      <w:r w:rsidRPr="00E27756">
        <w:rPr>
          <w:rStyle w:val="TextoNormalNegritaCaracter"/>
        </w:rPr>
        <w:t>Artículo 46.4.</w:t>
      </w:r>
      <w:r w:rsidRPr="00E27756">
        <w:rPr>
          <w:rStyle w:val="TextoNormalCaracter"/>
        </w:rPr>
        <w:t>-</w:t>
      </w:r>
      <w:r>
        <w:t xml:space="preserve"> Sentencia </w:t>
      </w:r>
      <w:hyperlink w:anchor="SENTENCIA_2013_131" w:history="1">
        <w:r w:rsidRPr="00E27756">
          <w:rPr>
            <w:rStyle w:val="TextoNormalCaracter"/>
          </w:rPr>
          <w:t>131/2013</w:t>
        </w:r>
      </w:hyperlink>
      <w:r>
        <w:t>, f. 8.</w:t>
      </w:r>
    </w:p>
    <w:p w:rsidR="00E27756" w:rsidRDefault="00E27756" w:rsidP="00E27756">
      <w:pPr>
        <w:pStyle w:val="SangriaFrancesaArticulo"/>
      </w:pPr>
      <w:r w:rsidRPr="00E27756">
        <w:rPr>
          <w:rStyle w:val="TextoNormalNegritaCaracter"/>
        </w:rPr>
        <w:t>Artículo 46.4 inciso 2.</w:t>
      </w:r>
      <w:r w:rsidRPr="00E27756">
        <w:rPr>
          <w:rStyle w:val="TextoNormalCaracter"/>
        </w:rPr>
        <w:t>-</w:t>
      </w:r>
      <w:r>
        <w:t xml:space="preserve"> Sentencia </w:t>
      </w:r>
      <w:hyperlink w:anchor="SENTENCIA_2013_131" w:history="1">
        <w:r w:rsidRPr="00E27756">
          <w:rPr>
            <w:rStyle w:val="TextoNormalCaracter"/>
          </w:rPr>
          <w:t>131/2013</w:t>
        </w:r>
      </w:hyperlink>
      <w:r>
        <w:t>, f. 8.</w:t>
      </w:r>
    </w:p>
    <w:p w:rsidR="00E27756" w:rsidRDefault="00E27756" w:rsidP="00E27756">
      <w:pPr>
        <w:pStyle w:val="SangriaFrancesaArticulo"/>
      </w:pPr>
      <w:r w:rsidRPr="00E27756">
        <w:rPr>
          <w:rStyle w:val="TextoNormalNegritaCaracter"/>
        </w:rPr>
        <w:t>Artículo 48.</w:t>
      </w:r>
      <w:r w:rsidRPr="00E27756">
        <w:rPr>
          <w:rStyle w:val="TextoNormalCaracter"/>
        </w:rPr>
        <w:t>-</w:t>
      </w:r>
      <w:r>
        <w:t xml:space="preserve"> Sentencia </w:t>
      </w:r>
      <w:hyperlink w:anchor="SENTENCIA_2013_131" w:history="1">
        <w:r w:rsidRPr="00E27756">
          <w:rPr>
            <w:rStyle w:val="TextoNormalCaracter"/>
          </w:rPr>
          <w:t>131/2013</w:t>
        </w:r>
      </w:hyperlink>
      <w:r>
        <w:t>, f. 8.</w:t>
      </w:r>
    </w:p>
    <w:p w:rsidR="00E27756" w:rsidRDefault="00E27756" w:rsidP="00E27756">
      <w:pPr>
        <w:pStyle w:val="SangriaFrancesaArticulo"/>
      </w:pPr>
      <w:r w:rsidRPr="00E27756">
        <w:rPr>
          <w:rStyle w:val="TextoNormalNegritaCaracter"/>
        </w:rPr>
        <w:t>Artículo 50.</w:t>
      </w:r>
      <w:r w:rsidRPr="00E27756">
        <w:rPr>
          <w:rStyle w:val="TextoNormalCaracter"/>
        </w:rPr>
        <w:t>-</w:t>
      </w:r>
      <w:r>
        <w:t xml:space="preserve"> Sentencias </w:t>
      </w:r>
      <w:hyperlink w:anchor="SENTENCIA_2013_131" w:history="1">
        <w:r w:rsidRPr="00E27756">
          <w:rPr>
            <w:rStyle w:val="TextoNormalCaracter"/>
          </w:rPr>
          <w:t>131/2013</w:t>
        </w:r>
      </w:hyperlink>
      <w:r>
        <w:t xml:space="preserve">, ff. 5, 8; </w:t>
      </w:r>
      <w:hyperlink w:anchor="SENTENCIA_2013_134" w:history="1">
        <w:r w:rsidRPr="00E27756">
          <w:rPr>
            <w:rStyle w:val="TextoNormalCaracter"/>
          </w:rPr>
          <w:t>134/2013</w:t>
        </w:r>
      </w:hyperlink>
      <w:r>
        <w:t>, f. 6.</w:t>
      </w:r>
    </w:p>
    <w:p w:rsidR="00E27756" w:rsidRDefault="00E27756" w:rsidP="00E27756">
      <w:pPr>
        <w:pStyle w:val="SangriaFrancesaArticulo"/>
      </w:pPr>
      <w:r w:rsidRPr="00E27756">
        <w:rPr>
          <w:rStyle w:val="TextoNormalNegritaCaracter"/>
        </w:rPr>
        <w:t>Artículo 50 inciso in fine.</w:t>
      </w:r>
      <w:r w:rsidRPr="00E27756">
        <w:rPr>
          <w:rStyle w:val="TextoNormalCaracter"/>
        </w:rPr>
        <w:t>-</w:t>
      </w:r>
      <w:r>
        <w:t xml:space="preserve"> Sentencia </w:t>
      </w:r>
      <w:hyperlink w:anchor="SENTENCIA_2013_131" w:history="1">
        <w:r w:rsidRPr="00E27756">
          <w:rPr>
            <w:rStyle w:val="TextoNormalCaracter"/>
          </w:rPr>
          <w:t>131/2013</w:t>
        </w:r>
      </w:hyperlink>
      <w:r>
        <w:t>, VP IV.</w:t>
      </w:r>
    </w:p>
    <w:p w:rsidR="00E27756" w:rsidRDefault="00E27756" w:rsidP="00E27756">
      <w:pPr>
        <w:pStyle w:val="SangriaFrancesaArticulo"/>
      </w:pPr>
      <w:r w:rsidRPr="00E27756">
        <w:rPr>
          <w:rStyle w:val="TextoNormalNegritaCaracter"/>
        </w:rPr>
        <w:lastRenderedPageBreak/>
        <w:t>Artículos 50 a 52.</w:t>
      </w:r>
      <w:r w:rsidRPr="00E27756">
        <w:rPr>
          <w:rStyle w:val="TextoNormalCaracter"/>
        </w:rPr>
        <w:t>-</w:t>
      </w:r>
      <w:r>
        <w:t xml:space="preserve"> Sentencia </w:t>
      </w:r>
      <w:hyperlink w:anchor="SENTENCIA_2013_131" w:history="1">
        <w:r w:rsidRPr="00E27756">
          <w:rPr>
            <w:rStyle w:val="TextoNormalCaracter"/>
          </w:rPr>
          <w:t>131/2013</w:t>
        </w:r>
      </w:hyperlink>
      <w:r>
        <w:t>, ff. 2, 8.</w:t>
      </w:r>
    </w:p>
    <w:p w:rsidR="00E27756" w:rsidRDefault="00E27756" w:rsidP="00E27756">
      <w:pPr>
        <w:pStyle w:val="SangriaFrancesaArticulo"/>
      </w:pPr>
      <w:r w:rsidRPr="00E27756">
        <w:rPr>
          <w:rStyle w:val="TextoNormalNegritaCaracter"/>
        </w:rPr>
        <w:t>Artículos 50 a 52</w:t>
      </w:r>
      <w:r>
        <w:t xml:space="preserve"> </w:t>
      </w:r>
      <w:r w:rsidRPr="00E27756">
        <w:rPr>
          <w:rStyle w:val="TextoNormalCaracter"/>
        </w:rPr>
        <w:t>(redactado por la Ley Orgánica 4/2007, de 12 de abril)</w:t>
      </w:r>
      <w:r w:rsidRPr="00E27756">
        <w:rPr>
          <w:rStyle w:val="TextoNormalNegritaCaracter"/>
        </w:rPr>
        <w:t>.</w:t>
      </w:r>
      <w:r w:rsidRPr="00E27756">
        <w:rPr>
          <w:rStyle w:val="TextoNormalCaracter"/>
        </w:rPr>
        <w:t>-</w:t>
      </w:r>
      <w:r>
        <w:t xml:space="preserve"> Sentencia </w:t>
      </w:r>
      <w:hyperlink w:anchor="SENTENCIA_2013_131" w:history="1">
        <w:r w:rsidRPr="00E27756">
          <w:rPr>
            <w:rStyle w:val="TextoNormalCaracter"/>
          </w:rPr>
          <w:t>131/2013</w:t>
        </w:r>
      </w:hyperlink>
      <w:r>
        <w:t>, ff. 3, 4.</w:t>
      </w:r>
    </w:p>
    <w:p w:rsidR="00E27756" w:rsidRDefault="00E27756" w:rsidP="00E27756">
      <w:pPr>
        <w:pStyle w:val="SangriaFrancesaArticulo"/>
      </w:pPr>
      <w:r w:rsidRPr="00E27756">
        <w:rPr>
          <w:rStyle w:val="TextoNormalNegritaCaracter"/>
        </w:rPr>
        <w:t>Artículo 51.</w:t>
      </w:r>
      <w:r w:rsidRPr="00E27756">
        <w:rPr>
          <w:rStyle w:val="TextoNormalCaracter"/>
        </w:rPr>
        <w:t>-</w:t>
      </w:r>
      <w:r>
        <w:t xml:space="preserve"> Sentencias </w:t>
      </w:r>
      <w:hyperlink w:anchor="SENTENCIA_2013_131" w:history="1">
        <w:r w:rsidRPr="00E27756">
          <w:rPr>
            <w:rStyle w:val="TextoNormalCaracter"/>
          </w:rPr>
          <w:t>131/2013</w:t>
        </w:r>
      </w:hyperlink>
      <w:r>
        <w:t xml:space="preserve">, f. 4, VP IV; </w:t>
      </w:r>
      <w:hyperlink w:anchor="SENTENCIA_2013_134" w:history="1">
        <w:r w:rsidRPr="00E27756">
          <w:rPr>
            <w:rStyle w:val="TextoNormalCaracter"/>
          </w:rPr>
          <w:t>134/2013</w:t>
        </w:r>
      </w:hyperlink>
      <w:r>
        <w:t>, ff. 1, 3.</w:t>
      </w:r>
    </w:p>
    <w:p w:rsidR="00E27756" w:rsidRDefault="00E27756" w:rsidP="00E27756">
      <w:pPr>
        <w:pStyle w:val="SangriaFrancesaArticulo"/>
      </w:pPr>
      <w:r w:rsidRPr="00E27756">
        <w:rPr>
          <w:rStyle w:val="TextoNormalNegritaCaracter"/>
        </w:rPr>
        <w:t>Artículo 51</w:t>
      </w:r>
      <w:r>
        <w:t xml:space="preserve"> </w:t>
      </w:r>
      <w:r w:rsidRPr="00E27756">
        <w:rPr>
          <w:rStyle w:val="TextoNormalCaracter"/>
        </w:rPr>
        <w:t>(redactado por la Ley Orgánica 4/2007, de 12 de abril)</w:t>
      </w:r>
      <w:r w:rsidRPr="00E27756">
        <w:rPr>
          <w:rStyle w:val="TextoNormalNegritaCaracter"/>
        </w:rPr>
        <w:t>.</w:t>
      </w:r>
      <w:r w:rsidRPr="00E27756">
        <w:rPr>
          <w:rStyle w:val="TextoNormalCaracter"/>
        </w:rPr>
        <w:t>-</w:t>
      </w:r>
      <w:r>
        <w:t xml:space="preserve"> Sentencia </w:t>
      </w:r>
      <w:hyperlink w:anchor="SENTENCIA_2013_131" w:history="1">
        <w:r w:rsidRPr="00E27756">
          <w:rPr>
            <w:rStyle w:val="TextoNormalCaracter"/>
          </w:rPr>
          <w:t>131/2013</w:t>
        </w:r>
      </w:hyperlink>
      <w:r>
        <w:t>, f. 8.</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Sentencias </w:t>
      </w:r>
      <w:hyperlink w:anchor="SENTENCIA_2013_131" w:history="1">
        <w:r w:rsidRPr="00E27756">
          <w:rPr>
            <w:rStyle w:val="TextoNormalCaracter"/>
          </w:rPr>
          <w:t>131/2013</w:t>
        </w:r>
      </w:hyperlink>
      <w:r>
        <w:t xml:space="preserve">, ff. 5, 8, 9; </w:t>
      </w:r>
      <w:hyperlink w:anchor="SENTENCIA_2013_134" w:history="1">
        <w:r w:rsidRPr="00E27756">
          <w:rPr>
            <w:rStyle w:val="TextoNormalCaracter"/>
          </w:rPr>
          <w:t>134/2013</w:t>
        </w:r>
      </w:hyperlink>
      <w:r>
        <w:t>, f. 6.</w:t>
      </w:r>
    </w:p>
    <w:p w:rsidR="00E27756" w:rsidRDefault="00E27756" w:rsidP="00E27756">
      <w:pPr>
        <w:pStyle w:val="SangriaFrancesaArticulo"/>
      </w:pPr>
      <w:r w:rsidRPr="00E27756">
        <w:rPr>
          <w:rStyle w:val="TextoNormalNegritaCaracter"/>
        </w:rPr>
        <w:t>Artículo 52 in fine.</w:t>
      </w:r>
      <w:r w:rsidRPr="00E27756">
        <w:rPr>
          <w:rStyle w:val="TextoNormalCaracter"/>
        </w:rPr>
        <w:t>-</w:t>
      </w:r>
      <w:r>
        <w:t xml:space="preserve"> Sentencia </w:t>
      </w:r>
      <w:hyperlink w:anchor="SENTENCIA_2013_131" w:history="1">
        <w:r w:rsidRPr="00E27756">
          <w:rPr>
            <w:rStyle w:val="TextoNormalCaracter"/>
          </w:rPr>
          <w:t>131/2013</w:t>
        </w:r>
      </w:hyperlink>
      <w:r>
        <w:t>, VP II.</w:t>
      </w:r>
    </w:p>
    <w:p w:rsidR="00E27756" w:rsidRDefault="00E27756" w:rsidP="00E27756">
      <w:pPr>
        <w:pStyle w:val="SangriaFrancesaArticulo"/>
      </w:pPr>
      <w:r w:rsidRPr="00E27756">
        <w:rPr>
          <w:rStyle w:val="TextoNormalNegritaCaracter"/>
        </w:rPr>
        <w:t>Artículo 55.4.</w:t>
      </w:r>
      <w:r w:rsidRPr="00E27756">
        <w:rPr>
          <w:rStyle w:val="TextoNormalCaracter"/>
        </w:rPr>
        <w:t>-</w:t>
      </w:r>
      <w:r>
        <w:t xml:space="preserve"> Sentencias </w:t>
      </w:r>
      <w:hyperlink w:anchor="SENTENCIA_2013_131" w:history="1">
        <w:r w:rsidRPr="00E27756">
          <w:rPr>
            <w:rStyle w:val="TextoNormalCaracter"/>
          </w:rPr>
          <w:t>131/2013</w:t>
        </w:r>
      </w:hyperlink>
      <w:r>
        <w:t xml:space="preserve">, f. 5; </w:t>
      </w:r>
      <w:hyperlink w:anchor="SENTENCIA_2013_134" w:history="1">
        <w:r w:rsidRPr="00E27756">
          <w:rPr>
            <w:rStyle w:val="TextoNormalCaracter"/>
          </w:rPr>
          <w:t>134/2013</w:t>
        </w:r>
      </w:hyperlink>
      <w:r>
        <w:t>, f. 6.</w:t>
      </w:r>
    </w:p>
    <w:p w:rsidR="00E27756" w:rsidRDefault="00E27756" w:rsidP="00E27756">
      <w:pPr>
        <w:pStyle w:val="SangriaFrancesaArticulo"/>
      </w:pPr>
      <w:r w:rsidRPr="00E27756">
        <w:rPr>
          <w:rStyle w:val="TextoNormalNegritaCaracter"/>
        </w:rPr>
        <w:t>Artículo 58.1.</w:t>
      </w:r>
      <w:r w:rsidRPr="00E27756">
        <w:rPr>
          <w:rStyle w:val="TextoNormalCaracter"/>
        </w:rPr>
        <w:t>-</w:t>
      </w:r>
      <w:r>
        <w:t xml:space="preserve"> Sentencia </w:t>
      </w:r>
      <w:hyperlink w:anchor="SENTENCIA_2013_131" w:history="1">
        <w:r w:rsidRPr="00E27756">
          <w:rPr>
            <w:rStyle w:val="TextoNormalCaracter"/>
          </w:rPr>
          <w:t>131/2013</w:t>
        </w:r>
      </w:hyperlink>
      <w:r>
        <w:t>, f. 9.</w:t>
      </w:r>
    </w:p>
    <w:p w:rsidR="00E27756" w:rsidRDefault="00E27756" w:rsidP="00E27756">
      <w:pPr>
        <w:pStyle w:val="SangriaFrancesaArticulo"/>
      </w:pPr>
      <w:r w:rsidRPr="00E27756">
        <w:rPr>
          <w:rStyle w:val="TextoNormalNegritaCaracter"/>
        </w:rPr>
        <w:t>Artículo 69.4.</w:t>
      </w:r>
      <w:r w:rsidRPr="00E27756">
        <w:rPr>
          <w:rStyle w:val="TextoNormalCaracter"/>
        </w:rPr>
        <w:t>-</w:t>
      </w:r>
      <w:r>
        <w:t xml:space="preserve"> Sentencias </w:t>
      </w:r>
      <w:hyperlink w:anchor="SENTENCIA_2013_131" w:history="1">
        <w:r w:rsidRPr="00E27756">
          <w:rPr>
            <w:rStyle w:val="TextoNormalCaracter"/>
          </w:rPr>
          <w:t>131/2013</w:t>
        </w:r>
      </w:hyperlink>
      <w:r>
        <w:t xml:space="preserve">, f. 5; </w:t>
      </w:r>
      <w:hyperlink w:anchor="SENTENCIA_2013_134" w:history="1">
        <w:r w:rsidRPr="00E27756">
          <w:rPr>
            <w:rStyle w:val="TextoNormalCaracter"/>
          </w:rPr>
          <w:t>134/2013</w:t>
        </w:r>
      </w:hyperlink>
      <w:r>
        <w:t>, f. 6.</w:t>
      </w:r>
    </w:p>
    <w:p w:rsidR="00E27756" w:rsidRDefault="00E27756" w:rsidP="00E27756">
      <w:pPr>
        <w:pStyle w:val="SangriaFrancesaArticulo"/>
      </w:pPr>
      <w:r w:rsidRPr="00E27756">
        <w:rPr>
          <w:rStyle w:val="TextoNormalNegritaCaracter"/>
        </w:rPr>
        <w:t>Artículo 72.</w:t>
      </w:r>
      <w:r w:rsidRPr="00E27756">
        <w:rPr>
          <w:rStyle w:val="TextoNormalCaracter"/>
        </w:rPr>
        <w:t>-</w:t>
      </w:r>
      <w:r>
        <w:t xml:space="preserve"> Sentencia </w:t>
      </w:r>
      <w:hyperlink w:anchor="SENTENCIA_2013_131" w:history="1">
        <w:r w:rsidRPr="00E27756">
          <w:rPr>
            <w:rStyle w:val="TextoNormalCaracter"/>
          </w:rPr>
          <w:t>131/2013</w:t>
        </w:r>
      </w:hyperlink>
      <w:r>
        <w:t>, ff. 2, 9, VP IV.</w:t>
      </w:r>
    </w:p>
    <w:p w:rsidR="00E27756" w:rsidRDefault="00E27756" w:rsidP="00E27756">
      <w:pPr>
        <w:pStyle w:val="SangriaFrancesaArticulo"/>
      </w:pPr>
      <w:r w:rsidRPr="00E27756">
        <w:rPr>
          <w:rStyle w:val="TextoNormalNegritaCaracter"/>
        </w:rPr>
        <w:t>Artículo 72</w:t>
      </w:r>
      <w:r>
        <w:t xml:space="preserve"> </w:t>
      </w:r>
      <w:r w:rsidRPr="00E27756">
        <w:rPr>
          <w:rStyle w:val="TextoNormalCaracter"/>
        </w:rPr>
        <w:t>(redactado por la Ley Orgánica 4/2007, de 12 de abril)</w:t>
      </w:r>
      <w:r w:rsidRPr="00E27756">
        <w:rPr>
          <w:rStyle w:val="TextoNormalNegritaCaracter"/>
        </w:rPr>
        <w:t>.</w:t>
      </w:r>
      <w:r w:rsidRPr="00E27756">
        <w:rPr>
          <w:rStyle w:val="TextoNormalCaracter"/>
        </w:rPr>
        <w:t>-</w:t>
      </w:r>
      <w:r>
        <w:t xml:space="preserve"> Sentencia </w:t>
      </w:r>
      <w:hyperlink w:anchor="SENTENCIA_2013_131" w:history="1">
        <w:r w:rsidRPr="00E27756">
          <w:rPr>
            <w:rStyle w:val="TextoNormalCaracter"/>
          </w:rPr>
          <w:t>131/2013</w:t>
        </w:r>
      </w:hyperlink>
      <w:r>
        <w:t>, ff. 3, 4, 9.</w:t>
      </w:r>
    </w:p>
    <w:p w:rsidR="00E27756" w:rsidRDefault="00E27756" w:rsidP="00E27756">
      <w:pPr>
        <w:pStyle w:val="SangriaFrancesaArticulo"/>
      </w:pPr>
      <w:r w:rsidRPr="00E27756">
        <w:rPr>
          <w:rStyle w:val="TextoNormalNegritaCaracter"/>
        </w:rPr>
        <w:t>Artículo 72.2.</w:t>
      </w:r>
      <w:r w:rsidRPr="00E27756">
        <w:rPr>
          <w:rStyle w:val="TextoNormalCaracter"/>
        </w:rPr>
        <w:t>-</w:t>
      </w:r>
      <w:r>
        <w:t xml:space="preserve"> Sentencia </w:t>
      </w:r>
      <w:hyperlink w:anchor="SENTENCIA_2013_131" w:history="1">
        <w:r w:rsidRPr="00E27756">
          <w:rPr>
            <w:rStyle w:val="TextoNormalCaracter"/>
          </w:rPr>
          <w:t>131/2013</w:t>
        </w:r>
      </w:hyperlink>
      <w:r>
        <w:t>, f. 9.</w:t>
      </w:r>
    </w:p>
    <w:p w:rsidR="00E27756" w:rsidRDefault="00E27756" w:rsidP="00E27756">
      <w:pPr>
        <w:pStyle w:val="SangriaFrancesaArticulo"/>
      </w:pPr>
      <w:r w:rsidRPr="00E27756">
        <w:rPr>
          <w:rStyle w:val="TextoNormalNegritaCaracter"/>
        </w:rPr>
        <w:t>Artículo 81.</w:t>
      </w:r>
      <w:r w:rsidRPr="00E27756">
        <w:rPr>
          <w:rStyle w:val="TextoNormalCaracter"/>
        </w:rPr>
        <w:t>-</w:t>
      </w:r>
      <w:r>
        <w:t xml:space="preserve"> Sentencia </w:t>
      </w:r>
      <w:hyperlink w:anchor="SENTENCIA_2013_134" w:history="1">
        <w:r w:rsidRPr="00E27756">
          <w:rPr>
            <w:rStyle w:val="TextoNormalCaracter"/>
          </w:rPr>
          <w:t>134/2013</w:t>
        </w:r>
      </w:hyperlink>
      <w:r>
        <w:t>, f. 8.</w:t>
      </w:r>
    </w:p>
    <w:p w:rsidR="00E27756" w:rsidRDefault="00E27756" w:rsidP="00E27756">
      <w:pPr>
        <w:pStyle w:val="SangriaFrancesaArticulo"/>
      </w:pPr>
      <w:r w:rsidRPr="00E27756">
        <w:rPr>
          <w:rStyle w:val="TextoNormalNegritaCaracter"/>
        </w:rPr>
        <w:t>Artículo 83.2.</w:t>
      </w:r>
      <w:r w:rsidRPr="00E27756">
        <w:rPr>
          <w:rStyle w:val="TextoNormalCaracter"/>
        </w:rPr>
        <w:t>-</w:t>
      </w:r>
      <w:r>
        <w:t xml:space="preserve"> Sentencia </w:t>
      </w:r>
      <w:hyperlink w:anchor="SENTENCIA_2013_131" w:history="1">
        <w:r w:rsidRPr="00E27756">
          <w:rPr>
            <w:rStyle w:val="TextoNormalCaracter"/>
          </w:rPr>
          <w:t>131/2013</w:t>
        </w:r>
      </w:hyperlink>
      <w:r>
        <w:t>, ff. 2, 6, VP IV.</w:t>
      </w:r>
    </w:p>
    <w:p w:rsidR="00E27756" w:rsidRDefault="00E27756" w:rsidP="00E27756">
      <w:pPr>
        <w:pStyle w:val="SangriaFrancesaArticulo"/>
      </w:pPr>
      <w:r w:rsidRPr="00E27756">
        <w:rPr>
          <w:rStyle w:val="TextoNormalNegritaCaracter"/>
        </w:rPr>
        <w:t>Artículo 84.</w:t>
      </w:r>
      <w:r w:rsidRPr="00E27756">
        <w:rPr>
          <w:rStyle w:val="TextoNormalCaracter"/>
        </w:rPr>
        <w:t>-</w:t>
      </w:r>
      <w:r>
        <w:t xml:space="preserve"> Sentencias </w:t>
      </w:r>
      <w:hyperlink w:anchor="SENTENCIA_2013_131" w:history="1">
        <w:r w:rsidRPr="00E27756">
          <w:rPr>
            <w:rStyle w:val="TextoNormalCaracter"/>
          </w:rPr>
          <w:t>131/2013</w:t>
        </w:r>
      </w:hyperlink>
      <w:r>
        <w:t xml:space="preserve">, f. 8; </w:t>
      </w:r>
      <w:hyperlink w:anchor="SENTENCIA_2013_134" w:history="1">
        <w:r w:rsidRPr="00E27756">
          <w:rPr>
            <w:rStyle w:val="TextoNormalCaracter"/>
          </w:rPr>
          <w:t>134/2013</w:t>
        </w:r>
      </w:hyperlink>
      <w:r>
        <w:t>, f. 8.</w:t>
      </w:r>
    </w:p>
    <w:p w:rsidR="00E27756" w:rsidRDefault="00E27756" w:rsidP="00E27756">
      <w:pPr>
        <w:pStyle w:val="SangriaFrancesaArticulo"/>
      </w:pPr>
      <w:r w:rsidRPr="00E27756">
        <w:rPr>
          <w:rStyle w:val="TextoNormalNegritaCaracter"/>
        </w:rPr>
        <w:t>Artículo 84</w:t>
      </w:r>
      <w:r>
        <w:t xml:space="preserve"> </w:t>
      </w:r>
      <w:r w:rsidRPr="00E27756">
        <w:rPr>
          <w:rStyle w:val="TextoNormalCaracter"/>
        </w:rPr>
        <w:t>(redactado por la Ley 14/2011, de 1 de junio)</w:t>
      </w:r>
      <w:r w:rsidRPr="00E27756">
        <w:rPr>
          <w:rStyle w:val="TextoNormalNegritaCaracter"/>
        </w:rPr>
        <w:t>.</w:t>
      </w:r>
      <w:r w:rsidRPr="00E27756">
        <w:rPr>
          <w:rStyle w:val="TextoNormalCaracter"/>
        </w:rPr>
        <w:t>-</w:t>
      </w:r>
      <w:r>
        <w:t xml:space="preserve"> Sentencia </w:t>
      </w:r>
      <w:hyperlink w:anchor="SENTENCIA_2013_131" w:history="1">
        <w:r w:rsidRPr="00E27756">
          <w:rPr>
            <w:rStyle w:val="TextoNormalCaracter"/>
          </w:rPr>
          <w:t>131/2013</w:t>
        </w:r>
      </w:hyperlink>
      <w:r>
        <w:t>, f. 3.</w:t>
      </w:r>
    </w:p>
    <w:p w:rsidR="00E27756" w:rsidRDefault="00E27756" w:rsidP="00E27756">
      <w:pPr>
        <w:pStyle w:val="SangriaFrancesaArticulo"/>
      </w:pPr>
      <w:r w:rsidRPr="00E27756">
        <w:rPr>
          <w:rStyle w:val="TextoNormalNegritaCaracter"/>
        </w:rPr>
        <w:t>Artículo 84 inciso 1.</w:t>
      </w:r>
      <w:r w:rsidRPr="00E27756">
        <w:rPr>
          <w:rStyle w:val="TextoNormalCaracter"/>
        </w:rPr>
        <w:t>-</w:t>
      </w:r>
      <w:r>
        <w:t xml:space="preserve"> Sentencia </w:t>
      </w:r>
      <w:hyperlink w:anchor="SENTENCIA_2013_131" w:history="1">
        <w:r w:rsidRPr="00E27756">
          <w:rPr>
            <w:rStyle w:val="TextoNormalCaracter"/>
          </w:rPr>
          <w:t>131/2013</w:t>
        </w:r>
      </w:hyperlink>
      <w:r>
        <w:t>, ff. 2, 8, VP IV.</w:t>
      </w:r>
    </w:p>
    <w:p w:rsidR="00E27756" w:rsidRDefault="00E27756" w:rsidP="00E27756">
      <w:pPr>
        <w:pStyle w:val="SangriaFrancesaArticulo"/>
      </w:pPr>
      <w:r w:rsidRPr="00E27756">
        <w:rPr>
          <w:rStyle w:val="TextoNormalNegritaCaracter"/>
        </w:rPr>
        <w:t>Disposición adicional cuarta.</w:t>
      </w:r>
      <w:r w:rsidRPr="00E27756">
        <w:rPr>
          <w:rStyle w:val="TextoNormalCaracter"/>
        </w:rPr>
        <w:t>-</w:t>
      </w:r>
      <w:r>
        <w:t xml:space="preserve"> Sentencia </w:t>
      </w:r>
      <w:hyperlink w:anchor="SENTENCIA_2013_131" w:history="1">
        <w:r w:rsidRPr="00E27756">
          <w:rPr>
            <w:rStyle w:val="TextoNormalCaracter"/>
          </w:rPr>
          <w:t>131/2013</w:t>
        </w:r>
      </w:hyperlink>
      <w:r>
        <w:t>, f. 10, VP III, VP IV, VP V.</w:t>
      </w:r>
    </w:p>
    <w:p w:rsidR="00E27756" w:rsidRDefault="00E27756" w:rsidP="00E27756">
      <w:pPr>
        <w:pStyle w:val="SangriaFrancesaArticulo"/>
      </w:pPr>
      <w:r w:rsidRPr="00E27756">
        <w:rPr>
          <w:rStyle w:val="TextoNormalNegritaCaracter"/>
        </w:rPr>
        <w:t>Disposición adicional cuarta, apartado 1.</w:t>
      </w:r>
      <w:r w:rsidRPr="00E27756">
        <w:rPr>
          <w:rStyle w:val="TextoNormalCaracter"/>
        </w:rPr>
        <w:t>-</w:t>
      </w:r>
      <w:r>
        <w:t xml:space="preserve"> Sentencia </w:t>
      </w:r>
      <w:hyperlink w:anchor="SENTENCIA_2013_131" w:history="1">
        <w:r w:rsidRPr="00E27756">
          <w:rPr>
            <w:rStyle w:val="TextoNormalCaracter"/>
          </w:rPr>
          <w:t>131/2013</w:t>
        </w:r>
      </w:hyperlink>
      <w:r>
        <w:t>, f. 10.</w:t>
      </w:r>
    </w:p>
    <w:p w:rsidR="00E27756" w:rsidRDefault="00E27756" w:rsidP="00E27756">
      <w:pPr>
        <w:pStyle w:val="SangriaFrancesaArticulo"/>
      </w:pPr>
      <w:r w:rsidRPr="00E27756">
        <w:rPr>
          <w:rStyle w:val="TextoNormalNegritaCaracter"/>
        </w:rPr>
        <w:t>Disposición adicional cuarta, apartado 2.</w:t>
      </w:r>
      <w:r w:rsidRPr="00E27756">
        <w:rPr>
          <w:rStyle w:val="TextoNormalCaracter"/>
        </w:rPr>
        <w:t>-</w:t>
      </w:r>
      <w:r>
        <w:t xml:space="preserve"> Sentencia </w:t>
      </w:r>
      <w:hyperlink w:anchor="SENTENCIA_2013_131" w:history="1">
        <w:r w:rsidRPr="00E27756">
          <w:rPr>
            <w:rStyle w:val="TextoNormalCaracter"/>
          </w:rPr>
          <w:t>131/2013</w:t>
        </w:r>
      </w:hyperlink>
      <w:r>
        <w:t>, f. 2, VP I, VP II, VP IV, VP V.</w:t>
      </w:r>
    </w:p>
    <w:p w:rsidR="00E27756" w:rsidRDefault="00E27756" w:rsidP="00E27756">
      <w:pPr>
        <w:pStyle w:val="SangriaFrancesaArticulo"/>
      </w:pPr>
      <w:r w:rsidRPr="00E27756">
        <w:rPr>
          <w:rStyle w:val="TextoNormalNegritaCaracter"/>
        </w:rPr>
        <w:t>Disposición adicional cuarta, apartado 2 párrafo 1.</w:t>
      </w:r>
      <w:r w:rsidRPr="00E27756">
        <w:rPr>
          <w:rStyle w:val="TextoNormalCaracter"/>
        </w:rPr>
        <w:t>-</w:t>
      </w:r>
      <w:r>
        <w:t xml:space="preserve"> Sentencia </w:t>
      </w:r>
      <w:hyperlink w:anchor="SENTENCIA_2013_131" w:history="1">
        <w:r w:rsidRPr="00E27756">
          <w:rPr>
            <w:rStyle w:val="TextoNormalCaracter"/>
          </w:rPr>
          <w:t>131/2013</w:t>
        </w:r>
      </w:hyperlink>
      <w:r>
        <w:t>, f. 10, VP II, VP III.</w:t>
      </w:r>
    </w:p>
    <w:p w:rsidR="00E27756" w:rsidRDefault="00E27756" w:rsidP="00E27756">
      <w:pPr>
        <w:pStyle w:val="SangriaFrancesaArticulo"/>
      </w:pPr>
      <w:r w:rsidRPr="00E27756">
        <w:rPr>
          <w:rStyle w:val="TextoNormalNegritaCaracter"/>
        </w:rPr>
        <w:t>Disposición adicional séptima.</w:t>
      </w:r>
      <w:r w:rsidRPr="00E27756">
        <w:rPr>
          <w:rStyle w:val="TextoNormalCaracter"/>
        </w:rPr>
        <w:t>-</w:t>
      </w:r>
      <w:r>
        <w:t xml:space="preserve"> Sentencia </w:t>
      </w:r>
      <w:hyperlink w:anchor="SENTENCIA_2013_131" w:history="1">
        <w:r w:rsidRPr="00E27756">
          <w:rPr>
            <w:rStyle w:val="TextoNormalCaracter"/>
          </w:rPr>
          <w:t>131/2013</w:t>
        </w:r>
      </w:hyperlink>
      <w:r>
        <w:t>, f. 6, VP IV.</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131" w:history="1">
        <w:r w:rsidRPr="00E27756">
          <w:rPr>
            <w:rStyle w:val="TextoNormalCaracter"/>
          </w:rPr>
          <w:t>131/2013</w:t>
        </w:r>
      </w:hyperlink>
      <w:r>
        <w:t>, f. 7.</w:t>
      </w:r>
    </w:p>
    <w:p w:rsidR="00E27756" w:rsidRDefault="00E27756" w:rsidP="00E27756">
      <w:pPr>
        <w:pStyle w:val="SangriaFrancesaArticulo"/>
      </w:pPr>
      <w:r w:rsidRPr="00E27756">
        <w:rPr>
          <w:rStyle w:val="TextoNormalNegritaCaracter"/>
        </w:rPr>
        <w:t>Disposición final cuarta.</w:t>
      </w:r>
      <w:r w:rsidRPr="00E27756">
        <w:rPr>
          <w:rStyle w:val="TextoNormalCaracter"/>
        </w:rPr>
        <w:t>-</w:t>
      </w:r>
      <w:r>
        <w:t xml:space="preserve"> Sentencia </w:t>
      </w:r>
      <w:hyperlink w:anchor="SENTENCIA_2013_131" w:history="1">
        <w:r w:rsidRPr="00E27756">
          <w:rPr>
            <w:rStyle w:val="TextoNormalCaracter"/>
          </w:rPr>
          <w:t>131/2013</w:t>
        </w:r>
      </w:hyperlink>
      <w:r>
        <w:t>, ff. 2, 4, 6, 7, VP IV.</w:t>
      </w:r>
    </w:p>
    <w:p w:rsidR="00E27756" w:rsidRDefault="00E27756" w:rsidP="00E27756">
      <w:pPr>
        <w:pStyle w:val="SangriaFrancesaArticulo"/>
      </w:pPr>
      <w:r w:rsidRPr="00E27756">
        <w:rPr>
          <w:rStyle w:val="TextoNormalNegritaCaracter"/>
        </w:rPr>
        <w:t>Disposición final cuarta</w:t>
      </w:r>
      <w:r>
        <w:t xml:space="preserve"> </w:t>
      </w:r>
      <w:r w:rsidRPr="00E27756">
        <w:rPr>
          <w:rStyle w:val="TextoNormalCaracter"/>
        </w:rPr>
        <w:t>(redactada por la Ley Orgánica 4/2007, de 12 de abril)</w:t>
      </w:r>
      <w:r w:rsidRPr="00E27756">
        <w:rPr>
          <w:rStyle w:val="TextoNormalNegritaCaracter"/>
        </w:rPr>
        <w:t>.</w:t>
      </w:r>
      <w:r w:rsidRPr="00E27756">
        <w:rPr>
          <w:rStyle w:val="TextoNormalCaracter"/>
        </w:rPr>
        <w:t>-</w:t>
      </w:r>
      <w:r>
        <w:t xml:space="preserve"> Sentencia </w:t>
      </w:r>
      <w:hyperlink w:anchor="SENTENCIA_2013_131" w:history="1">
        <w:r w:rsidRPr="00E27756">
          <w:rPr>
            <w:rStyle w:val="TextoNormalCaracter"/>
          </w:rPr>
          <w:t>131/2013</w:t>
        </w:r>
      </w:hyperlink>
      <w:r>
        <w:t>, ff. 3, 4.</w:t>
      </w:r>
    </w:p>
    <w:p w:rsidR="00E27756" w:rsidRDefault="00E27756" w:rsidP="00E27756">
      <w:pPr>
        <w:pStyle w:val="SangriaFrancesaArticulo"/>
      </w:pPr>
    </w:p>
    <w:p w:rsidR="00E27756" w:rsidRDefault="00E27756" w:rsidP="00E27756">
      <w:pPr>
        <w:pStyle w:val="TextoNormalNegritaCursivandice"/>
      </w:pPr>
      <w:r>
        <w:t>Ley Orgánica 7/2001, de 27 de diciembre. Modificación de la Ley Orgánica 8/1980, de 22 de septiembre. Financiación de las Comunidades Autónomas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1" w:history="1">
        <w:r w:rsidRPr="00E27756">
          <w:rPr>
            <w:rStyle w:val="TextoNormalCaracter"/>
          </w:rPr>
          <w:t>101/2013</w:t>
        </w:r>
      </w:hyperlink>
      <w:r>
        <w:t>, f. 5.</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101" w:history="1">
        <w:r w:rsidRPr="00E27756">
          <w:rPr>
            <w:rStyle w:val="TextoNormalCaracter"/>
          </w:rPr>
          <w:t>101/2013</w:t>
        </w:r>
      </w:hyperlink>
      <w:r>
        <w:t>, f. 5.</w:t>
      </w:r>
    </w:p>
    <w:p w:rsidR="00E27756" w:rsidRDefault="00E27756" w:rsidP="00E27756">
      <w:pPr>
        <w:pStyle w:val="SangriaFrancesaArticulo"/>
      </w:pPr>
    </w:p>
    <w:p w:rsidR="00E27756" w:rsidRDefault="00E27756" w:rsidP="00E27756">
      <w:pPr>
        <w:pStyle w:val="TextoNormalNegritaCursivandice"/>
      </w:pPr>
      <w:r>
        <w:t>Ley Orgánica 1/2002, de 22 de marzo. Derecho de asociación</w:t>
      </w:r>
    </w:p>
    <w:p w:rsidR="00E27756" w:rsidRDefault="00E27756" w:rsidP="00E27756">
      <w:pPr>
        <w:pStyle w:val="SangriaFrancesaArticulo"/>
      </w:pPr>
      <w:r w:rsidRPr="00E27756">
        <w:rPr>
          <w:rStyle w:val="TextoNormalNegritaCaracter"/>
        </w:rPr>
        <w:t>Artículo 4.6.</w:t>
      </w:r>
      <w:r w:rsidRPr="00E27756">
        <w:rPr>
          <w:rStyle w:val="TextoNormalCaracter"/>
        </w:rPr>
        <w:t>-</w:t>
      </w:r>
      <w:r>
        <w:t xml:space="preserve"> Sentencia </w:t>
      </w:r>
      <w:hyperlink w:anchor="SENTENCIA_2013_135" w:history="1">
        <w:r w:rsidRPr="00E27756">
          <w:rPr>
            <w:rStyle w:val="TextoNormalCaracter"/>
          </w:rPr>
          <w:t>135/2013</w:t>
        </w:r>
      </w:hyperlink>
      <w:r>
        <w:t>, f. 6.</w:t>
      </w:r>
    </w:p>
    <w:p w:rsidR="00E27756" w:rsidRDefault="00E27756" w:rsidP="00E27756">
      <w:pPr>
        <w:pStyle w:val="SangriaFrancesaArticulo"/>
      </w:pPr>
    </w:p>
    <w:p w:rsidR="00E27756" w:rsidRDefault="00E27756" w:rsidP="00E27756">
      <w:pPr>
        <w:pStyle w:val="TextoNormalNegritaCursivandice"/>
      </w:pPr>
      <w:r>
        <w:t>Ley Orgánica 5/2002, de 19 de junio. Cualificaciones y formación profesional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5" w:history="1">
        <w:r w:rsidRPr="00E27756">
          <w:rPr>
            <w:rStyle w:val="TextoNormalCaracter"/>
          </w:rPr>
          <w:t>25/2013</w:t>
        </w:r>
      </w:hyperlink>
      <w:r>
        <w:t>, f. 3.</w:t>
      </w:r>
    </w:p>
    <w:p w:rsidR="00E27756" w:rsidRDefault="00E27756" w:rsidP="00E27756">
      <w:pPr>
        <w:pStyle w:val="SangriaIzquierdaArticulo"/>
      </w:pPr>
      <w:r>
        <w:t xml:space="preserve">Auto </w:t>
      </w:r>
      <w:hyperlink w:anchor="AUTO_2013_58" w:history="1">
        <w:r w:rsidRPr="00E27756">
          <w:rPr>
            <w:rStyle w:val="TextoNormalCaracter"/>
          </w:rPr>
          <w:t>58/2013</w:t>
        </w:r>
      </w:hyperlink>
      <w:r>
        <w:t>, f. 3.</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Auto </w:t>
      </w:r>
      <w:hyperlink w:anchor="AUTO_2013_58" w:history="1">
        <w:r w:rsidRPr="00E27756">
          <w:rPr>
            <w:rStyle w:val="TextoNormalCaracter"/>
          </w:rPr>
          <w:t>58/2013</w:t>
        </w:r>
      </w:hyperlink>
      <w:r>
        <w:t>, ff. 2, 3.</w:t>
      </w:r>
    </w:p>
    <w:p w:rsidR="00E27756" w:rsidRDefault="00E27756" w:rsidP="00E27756">
      <w:pPr>
        <w:pStyle w:val="SangriaFrancesaArticulo"/>
      </w:pPr>
      <w:r w:rsidRPr="00E27756">
        <w:rPr>
          <w:rStyle w:val="TextoNormalNegritaCaracter"/>
        </w:rPr>
        <w:t>Artículo 8.3.</w:t>
      </w:r>
      <w:r w:rsidRPr="00E27756">
        <w:rPr>
          <w:rStyle w:val="TextoNormalCaracter"/>
        </w:rPr>
        <w:t>-</w:t>
      </w:r>
      <w:r>
        <w:t xml:space="preserve"> Auto </w:t>
      </w:r>
      <w:hyperlink w:anchor="AUTO_2013_58" w:history="1">
        <w:r w:rsidRPr="00E27756">
          <w:rPr>
            <w:rStyle w:val="TextoNormalCaracter"/>
          </w:rPr>
          <w:t>58/2013</w:t>
        </w:r>
      </w:hyperlink>
      <w:r>
        <w:t>, f. 2.</w:t>
      </w:r>
    </w:p>
    <w:p w:rsidR="00E27756" w:rsidRDefault="00E27756" w:rsidP="00E27756">
      <w:pPr>
        <w:pStyle w:val="SangriaFrancesaArticulo"/>
      </w:pPr>
    </w:p>
    <w:p w:rsidR="00E27756" w:rsidRDefault="00E27756" w:rsidP="00E27756">
      <w:pPr>
        <w:pStyle w:val="TextoNormalNegritaCursivandice"/>
      </w:pPr>
      <w:r>
        <w:t>Ley Orgánica 6/2002, de 27 de junio. Partidos políticos</w:t>
      </w:r>
    </w:p>
    <w:p w:rsidR="00E27756" w:rsidRDefault="00E27756" w:rsidP="00E27756">
      <w:pPr>
        <w:pStyle w:val="SangriaFrancesaArticulo"/>
      </w:pPr>
      <w:r w:rsidRPr="00E27756">
        <w:rPr>
          <w:rStyle w:val="TextoNormalNegritaCaracter"/>
        </w:rPr>
        <w:t>Artículo 9.4.</w:t>
      </w:r>
      <w:r w:rsidRPr="00E27756">
        <w:rPr>
          <w:rStyle w:val="TextoNormalCaracter"/>
        </w:rPr>
        <w:t>-</w:t>
      </w:r>
      <w:r>
        <w:t xml:space="preserve"> Sentencia </w:t>
      </w:r>
      <w:hyperlink w:anchor="SENTENCIA_2013_10" w:history="1">
        <w:r w:rsidRPr="00E27756">
          <w:rPr>
            <w:rStyle w:val="TextoNormalCaracter"/>
          </w:rPr>
          <w:t>10/2013</w:t>
        </w:r>
      </w:hyperlink>
      <w:r>
        <w:t>, f. 2.</w:t>
      </w:r>
    </w:p>
    <w:p w:rsidR="00E27756" w:rsidRDefault="00E27756" w:rsidP="00E27756">
      <w:pPr>
        <w:pStyle w:val="SangriaFrancesaArticulo"/>
      </w:pPr>
      <w:r w:rsidRPr="00E27756">
        <w:rPr>
          <w:rStyle w:val="TextoNormalNegritaCaracter"/>
        </w:rPr>
        <w:lastRenderedPageBreak/>
        <w:t>Artículo 12.1 a).</w:t>
      </w:r>
      <w:r w:rsidRPr="00E27756">
        <w:rPr>
          <w:rStyle w:val="TextoNormalCaracter"/>
        </w:rPr>
        <w:t>-</w:t>
      </w:r>
      <w:r>
        <w:t xml:space="preserve"> Sentencia </w:t>
      </w:r>
      <w:hyperlink w:anchor="SENTENCIA_2013_10" w:history="1">
        <w:r w:rsidRPr="00E27756">
          <w:rPr>
            <w:rStyle w:val="TextoNormalCaracter"/>
          </w:rPr>
          <w:t>10/2013</w:t>
        </w:r>
      </w:hyperlink>
      <w:r>
        <w:t>, ff. 2, 3.</w:t>
      </w:r>
    </w:p>
    <w:p w:rsidR="00E27756" w:rsidRDefault="00E27756" w:rsidP="00E27756">
      <w:pPr>
        <w:pStyle w:val="SangriaFrancesaArticulo"/>
      </w:pPr>
      <w:r w:rsidRPr="00E27756">
        <w:rPr>
          <w:rStyle w:val="TextoNormalNegritaCaracter"/>
        </w:rPr>
        <w:t>Artículo 12.1 b).</w:t>
      </w:r>
      <w:r w:rsidRPr="00E27756">
        <w:rPr>
          <w:rStyle w:val="TextoNormalCaracter"/>
        </w:rPr>
        <w:t>-</w:t>
      </w:r>
      <w:r>
        <w:t xml:space="preserve"> Sentencia </w:t>
      </w:r>
      <w:hyperlink w:anchor="SENTENCIA_2013_10" w:history="1">
        <w:r w:rsidRPr="00E27756">
          <w:rPr>
            <w:rStyle w:val="TextoNormalCaracter"/>
          </w:rPr>
          <w:t>10/2013</w:t>
        </w:r>
      </w:hyperlink>
      <w:r>
        <w:t>, f. 2.</w:t>
      </w:r>
    </w:p>
    <w:p w:rsidR="00E27756" w:rsidRDefault="00E27756" w:rsidP="00E27756">
      <w:pPr>
        <w:pStyle w:val="SangriaFrancesaArticulo"/>
      </w:pPr>
      <w:r w:rsidRPr="00E27756">
        <w:rPr>
          <w:rStyle w:val="TextoNormalNegritaCaracter"/>
        </w:rPr>
        <w:t>Artículo 12.1 c).</w:t>
      </w:r>
      <w:r w:rsidRPr="00E27756">
        <w:rPr>
          <w:rStyle w:val="TextoNormalCaracter"/>
        </w:rPr>
        <w:t>-</w:t>
      </w:r>
      <w:r>
        <w:t xml:space="preserve"> Autos </w:t>
      </w:r>
      <w:hyperlink w:anchor="AUTO_2013_30" w:history="1">
        <w:r w:rsidRPr="00E27756">
          <w:rPr>
            <w:rStyle w:val="TextoNormalCaracter"/>
          </w:rPr>
          <w:t>30/2013</w:t>
        </w:r>
      </w:hyperlink>
      <w:r>
        <w:t xml:space="preserve">, f. 3; </w:t>
      </w:r>
      <w:hyperlink w:anchor="AUTO_2013_31" w:history="1">
        <w:r w:rsidRPr="00E27756">
          <w:rPr>
            <w:rStyle w:val="TextoNormalCaracter"/>
          </w:rPr>
          <w:t>31/2013</w:t>
        </w:r>
      </w:hyperlink>
      <w:r>
        <w:t xml:space="preserve">, f. 3; </w:t>
      </w:r>
      <w:hyperlink w:anchor="AUTO_2013_32" w:history="1">
        <w:r w:rsidRPr="00E27756">
          <w:rPr>
            <w:rStyle w:val="TextoNormalCaracter"/>
          </w:rPr>
          <w:t>32/2013</w:t>
        </w:r>
      </w:hyperlink>
      <w:r>
        <w:t>, f. 3.</w:t>
      </w:r>
    </w:p>
    <w:p w:rsidR="00E27756" w:rsidRDefault="00E27756" w:rsidP="00E27756">
      <w:pPr>
        <w:pStyle w:val="SangriaFrancesaArticulo"/>
      </w:pPr>
      <w:r w:rsidRPr="00E27756">
        <w:rPr>
          <w:rStyle w:val="TextoNormalNegritaCaracter"/>
        </w:rPr>
        <w:t>Artículo 12.2.</w:t>
      </w:r>
      <w:r w:rsidRPr="00E27756">
        <w:rPr>
          <w:rStyle w:val="TextoNormalCaracter"/>
        </w:rPr>
        <w:t>-</w:t>
      </w:r>
      <w:r>
        <w:t xml:space="preserve"> Sentencia </w:t>
      </w:r>
      <w:hyperlink w:anchor="SENTENCIA_2013_10" w:history="1">
        <w:r w:rsidRPr="00E27756">
          <w:rPr>
            <w:rStyle w:val="TextoNormalCaracter"/>
          </w:rPr>
          <w:t>10/2013</w:t>
        </w:r>
      </w:hyperlink>
      <w:r>
        <w:t>, ff. 3, 4.</w:t>
      </w:r>
    </w:p>
    <w:p w:rsidR="00E27756" w:rsidRDefault="00E27756" w:rsidP="00E27756">
      <w:pPr>
        <w:pStyle w:val="SangriaFrancesaArticulo"/>
      </w:pPr>
      <w:r w:rsidRPr="00E27756">
        <w:rPr>
          <w:rStyle w:val="TextoNormalNegritaCaracter"/>
        </w:rPr>
        <w:t>Artículo 12.2 b).</w:t>
      </w:r>
      <w:r w:rsidRPr="00E27756">
        <w:rPr>
          <w:rStyle w:val="TextoNormalCaracter"/>
        </w:rPr>
        <w:t>-</w:t>
      </w:r>
      <w:r>
        <w:t xml:space="preserve"> Sentencia </w:t>
      </w:r>
      <w:hyperlink w:anchor="SENTENCIA_2013_10" w:history="1">
        <w:r w:rsidRPr="00E27756">
          <w:rPr>
            <w:rStyle w:val="TextoNormalCaracter"/>
          </w:rPr>
          <w:t>10/2013</w:t>
        </w:r>
      </w:hyperlink>
      <w:r>
        <w:t>, f. 2.</w:t>
      </w:r>
    </w:p>
    <w:p w:rsidR="00E27756" w:rsidRDefault="00E27756" w:rsidP="00E27756">
      <w:pPr>
        <w:pStyle w:val="SangriaFrancesaArticulo"/>
      </w:pPr>
      <w:r w:rsidRPr="00E27756">
        <w:rPr>
          <w:rStyle w:val="TextoNormalNegritaCaracter"/>
        </w:rPr>
        <w:t>Artículo 12.3.</w:t>
      </w:r>
      <w:r w:rsidRPr="00E27756">
        <w:rPr>
          <w:rStyle w:val="TextoNormalCaracter"/>
        </w:rPr>
        <w:t>-</w:t>
      </w:r>
      <w:r>
        <w:t xml:space="preserve"> Sentencia </w:t>
      </w:r>
      <w:hyperlink w:anchor="SENTENCIA_2013_10" w:history="1">
        <w:r w:rsidRPr="00E27756">
          <w:rPr>
            <w:rStyle w:val="TextoNormalCaracter"/>
          </w:rPr>
          <w:t>10/2013</w:t>
        </w:r>
      </w:hyperlink>
      <w:r>
        <w:t>, f. 4.</w:t>
      </w:r>
    </w:p>
    <w:p w:rsidR="00E27756" w:rsidRDefault="00E27756" w:rsidP="00E27756">
      <w:pPr>
        <w:pStyle w:val="SangriaFrancesaArticulo"/>
      </w:pPr>
      <w:r w:rsidRPr="00E27756">
        <w:rPr>
          <w:rStyle w:val="TextoNormalNegritaCaracter"/>
        </w:rPr>
        <w:t>Artículo 12.4.</w:t>
      </w:r>
      <w:r w:rsidRPr="00E27756">
        <w:rPr>
          <w:rStyle w:val="TextoNormalCaracter"/>
        </w:rPr>
        <w:t>-</w:t>
      </w:r>
      <w:r>
        <w:t xml:space="preserve"> Sentencia </w:t>
      </w:r>
      <w:hyperlink w:anchor="SENTENCIA_2013_10" w:history="1">
        <w:r w:rsidRPr="00E27756">
          <w:rPr>
            <w:rStyle w:val="TextoNormalCaracter"/>
          </w:rPr>
          <w:t>10/2013</w:t>
        </w:r>
      </w:hyperlink>
      <w:r>
        <w:t>, f. 2.</w:t>
      </w:r>
    </w:p>
    <w:p w:rsidR="00E27756" w:rsidRDefault="00E27756" w:rsidP="00E27756">
      <w:pPr>
        <w:pStyle w:val="SangriaFrancesaArticulo"/>
      </w:pPr>
    </w:p>
    <w:p w:rsidR="00E27756" w:rsidRDefault="00E27756" w:rsidP="00E27756">
      <w:pPr>
        <w:pStyle w:val="TextoNormalNegritaCursivandice"/>
      </w:pPr>
      <w:r>
        <w:t>Ley Orgánica 10/2002, de 23 de diciembre. Calidad de la educación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6" w:history="1">
        <w:r w:rsidRPr="00E27756">
          <w:rPr>
            <w:rStyle w:val="TextoNormalCaracter"/>
          </w:rPr>
          <w:t>6/2013</w:t>
        </w:r>
      </w:hyperlink>
      <w:r>
        <w:t xml:space="preserve">, ff. 1 a 4, 6; </w:t>
      </w:r>
      <w:hyperlink w:anchor="SENTENCIA_2013_15" w:history="1">
        <w:r w:rsidRPr="00E27756">
          <w:rPr>
            <w:rStyle w:val="TextoNormalCaracter"/>
          </w:rPr>
          <w:t>15/2013</w:t>
        </w:r>
      </w:hyperlink>
      <w:r>
        <w:t xml:space="preserve">, ff. 1, 2; </w:t>
      </w:r>
      <w:hyperlink w:anchor="SENTENCIA_2013_47" w:history="1">
        <w:r w:rsidRPr="00E27756">
          <w:rPr>
            <w:rStyle w:val="TextoNormalCaracter"/>
          </w:rPr>
          <w:t>47/2013</w:t>
        </w:r>
      </w:hyperlink>
      <w:r>
        <w:t xml:space="preserve">, ff. 2, 3; </w:t>
      </w:r>
      <w:hyperlink w:anchor="SENTENCIA_2013_48" w:history="1">
        <w:r w:rsidRPr="00E27756">
          <w:rPr>
            <w:rStyle w:val="TextoNormalCaracter"/>
          </w:rPr>
          <w:t>48/2013</w:t>
        </w:r>
      </w:hyperlink>
      <w:r>
        <w:t>, ff. 1, 2, 5.</w:t>
      </w:r>
    </w:p>
    <w:p w:rsidR="00E27756" w:rsidRDefault="00E27756" w:rsidP="00E27756">
      <w:pPr>
        <w:pStyle w:val="SangriaIzquierdaArticulo"/>
      </w:pPr>
      <w:r>
        <w:t xml:space="preserve">Auto </w:t>
      </w:r>
      <w:hyperlink w:anchor="AUTO_2013_33" w:history="1">
        <w:r w:rsidRPr="00E27756">
          <w:rPr>
            <w:rStyle w:val="TextoNormalCaracter"/>
          </w:rPr>
          <w:t>33/2013</w:t>
        </w:r>
      </w:hyperlink>
      <w:r>
        <w:t>, f. 6.</w:t>
      </w:r>
    </w:p>
    <w:p w:rsidR="00E27756" w:rsidRDefault="00E27756" w:rsidP="00E27756">
      <w:pPr>
        <w:pStyle w:val="SangriaFrancesaArticulo"/>
      </w:pPr>
      <w:r w:rsidRPr="00E27756">
        <w:rPr>
          <w:rStyle w:val="TextoNormalNegritaCaracter"/>
        </w:rPr>
        <w:t>Artículo 6.2.</w:t>
      </w:r>
      <w:r w:rsidRPr="00E27756">
        <w:rPr>
          <w:rStyle w:val="TextoNormalCaracter"/>
        </w:rPr>
        <w:t>-</w:t>
      </w:r>
      <w:r>
        <w:t xml:space="preserve"> Sentencia </w:t>
      </w:r>
      <w:hyperlink w:anchor="SENTENCIA_2013_6" w:history="1">
        <w:r w:rsidRPr="00E27756">
          <w:rPr>
            <w:rStyle w:val="TextoNormalCaracter"/>
          </w:rPr>
          <w:t>6/2013</w:t>
        </w:r>
      </w:hyperlink>
      <w:r>
        <w:t>, f. 3.</w:t>
      </w:r>
    </w:p>
    <w:p w:rsidR="00E27756" w:rsidRDefault="00E27756" w:rsidP="00E27756">
      <w:pPr>
        <w:pStyle w:val="SangriaFrancesaArticulo"/>
      </w:pPr>
      <w:r w:rsidRPr="00E27756">
        <w:rPr>
          <w:rStyle w:val="TextoNormalNegritaCaracter"/>
        </w:rPr>
        <w:t>Artículo 7 apartados 1, 2.</w:t>
      </w:r>
      <w:r w:rsidRPr="00E27756">
        <w:rPr>
          <w:rStyle w:val="TextoNormalCaracter"/>
        </w:rPr>
        <w:t>-</w:t>
      </w:r>
      <w:r>
        <w:t xml:space="preserve"> Sentencia </w:t>
      </w:r>
      <w:hyperlink w:anchor="SENTENCIA_2013_47" w:history="1">
        <w:r w:rsidRPr="00E27756">
          <w:rPr>
            <w:rStyle w:val="TextoNormalCaracter"/>
          </w:rPr>
          <w:t>47/2013</w:t>
        </w:r>
      </w:hyperlink>
      <w:r>
        <w:t>, f. 3.</w:t>
      </w:r>
    </w:p>
    <w:p w:rsidR="00E27756" w:rsidRDefault="00E27756" w:rsidP="00E27756">
      <w:pPr>
        <w:pStyle w:val="SangriaFrancesaArticulo"/>
      </w:pPr>
      <w:r w:rsidRPr="00E27756">
        <w:rPr>
          <w:rStyle w:val="TextoNormalNegritaCaracter"/>
        </w:rPr>
        <w:t>Artículo 8.2.</w:t>
      </w:r>
      <w:r w:rsidRPr="00E27756">
        <w:rPr>
          <w:rStyle w:val="TextoNormalCaracter"/>
        </w:rPr>
        <w:t>-</w:t>
      </w:r>
      <w:r>
        <w:t xml:space="preserve"> Sentencias </w:t>
      </w:r>
      <w:hyperlink w:anchor="SENTENCIA_2013_15" w:history="1">
        <w:r w:rsidRPr="00E27756">
          <w:rPr>
            <w:rStyle w:val="TextoNormalCaracter"/>
          </w:rPr>
          <w:t>15/2013</w:t>
        </w:r>
      </w:hyperlink>
      <w:r>
        <w:t xml:space="preserve">, f. 4; </w:t>
      </w:r>
      <w:hyperlink w:anchor="SENTENCIA_2013_48" w:history="1">
        <w:r w:rsidRPr="00E27756">
          <w:rPr>
            <w:rStyle w:val="TextoNormalCaracter"/>
          </w:rPr>
          <w:t>48/2013</w:t>
        </w:r>
      </w:hyperlink>
      <w:r>
        <w:t>, ff. 1, 2, 4.</w:t>
      </w:r>
    </w:p>
    <w:p w:rsidR="00E27756" w:rsidRDefault="00E27756" w:rsidP="00E27756">
      <w:pPr>
        <w:pStyle w:val="SangriaFrancesaArticulo"/>
      </w:pPr>
      <w:r w:rsidRPr="00E27756">
        <w:rPr>
          <w:rStyle w:val="TextoNormalNegritaCaracter"/>
        </w:rPr>
        <w:t>Artículo 8.3.</w:t>
      </w:r>
      <w:r w:rsidRPr="00E27756">
        <w:rPr>
          <w:rStyle w:val="TextoNormalCaracter"/>
        </w:rPr>
        <w:t>-</w:t>
      </w:r>
      <w:r>
        <w:t xml:space="preserve"> Sentencia </w:t>
      </w:r>
      <w:hyperlink w:anchor="SENTENCIA_2013_48" w:history="1">
        <w:r w:rsidRPr="00E27756">
          <w:rPr>
            <w:rStyle w:val="TextoNormalCaracter"/>
          </w:rPr>
          <w:t>48/2013</w:t>
        </w:r>
      </w:hyperlink>
      <w:r>
        <w:t>, f. 1.</w:t>
      </w:r>
    </w:p>
    <w:p w:rsidR="00E27756" w:rsidRDefault="00E27756" w:rsidP="00E27756">
      <w:pPr>
        <w:pStyle w:val="SangriaFrancesaArticulo"/>
      </w:pPr>
      <w:r w:rsidRPr="00E27756">
        <w:rPr>
          <w:rStyle w:val="TextoNormalNegritaCaracter"/>
        </w:rPr>
        <w:t>Artículo 10.2.</w:t>
      </w:r>
      <w:r w:rsidRPr="00E27756">
        <w:rPr>
          <w:rStyle w:val="TextoNormalCaracter"/>
        </w:rPr>
        <w:t>-</w:t>
      </w:r>
      <w:r>
        <w:t xml:space="preserve"> Sentencia </w:t>
      </w:r>
      <w:hyperlink w:anchor="SENTENCIA_2013_6" w:history="1">
        <w:r w:rsidRPr="00E27756">
          <w:rPr>
            <w:rStyle w:val="TextoNormalCaracter"/>
          </w:rPr>
          <w:t>6/2013</w:t>
        </w:r>
      </w:hyperlink>
      <w:r>
        <w:t>, f. 3.</w:t>
      </w:r>
    </w:p>
    <w:p w:rsidR="00E27756" w:rsidRDefault="00E27756" w:rsidP="00E27756">
      <w:pPr>
        <w:pStyle w:val="SangriaFrancesaArticulo"/>
      </w:pPr>
      <w:r w:rsidRPr="00E27756">
        <w:rPr>
          <w:rStyle w:val="TextoNormalNegritaCaracter"/>
        </w:rPr>
        <w:t>Artículo 10.4.</w:t>
      </w:r>
      <w:r w:rsidRPr="00E27756">
        <w:rPr>
          <w:rStyle w:val="TextoNormalCaracter"/>
        </w:rPr>
        <w:t>-</w:t>
      </w:r>
      <w:r>
        <w:t xml:space="preserve"> Sentencia </w:t>
      </w:r>
      <w:hyperlink w:anchor="SENTENCIA_2013_6" w:history="1">
        <w:r w:rsidRPr="00E27756">
          <w:rPr>
            <w:rStyle w:val="TextoNormalCaracter"/>
          </w:rPr>
          <w:t>6/2013</w:t>
        </w:r>
      </w:hyperlink>
      <w:r>
        <w:t>, f. 3.</w:t>
      </w:r>
    </w:p>
    <w:p w:rsidR="00E27756" w:rsidRDefault="00E27756" w:rsidP="00E27756">
      <w:pPr>
        <w:pStyle w:val="SangriaFrancesaArticulo"/>
      </w:pPr>
      <w:r w:rsidRPr="00E27756">
        <w:rPr>
          <w:rStyle w:val="TextoNormalNegritaCaracter"/>
        </w:rPr>
        <w:t>Artículo 10.5.</w:t>
      </w:r>
      <w:r w:rsidRPr="00E27756">
        <w:rPr>
          <w:rStyle w:val="TextoNormalCaracter"/>
        </w:rPr>
        <w:t>-</w:t>
      </w:r>
      <w:r>
        <w:t xml:space="preserve"> Sentencias </w:t>
      </w:r>
      <w:hyperlink w:anchor="SENTENCIA_2013_6" w:history="1">
        <w:r w:rsidRPr="00E27756">
          <w:rPr>
            <w:rStyle w:val="TextoNormalCaracter"/>
          </w:rPr>
          <w:t>6/2013</w:t>
        </w:r>
      </w:hyperlink>
      <w:r>
        <w:t xml:space="preserve">, f. 3; </w:t>
      </w:r>
      <w:hyperlink w:anchor="SENTENCIA_2013_47" w:history="1">
        <w:r w:rsidRPr="00E27756">
          <w:rPr>
            <w:rStyle w:val="TextoNormalCaracter"/>
          </w:rPr>
          <w:t>47/2013</w:t>
        </w:r>
      </w:hyperlink>
      <w:r>
        <w:t>, f. 3.</w:t>
      </w:r>
    </w:p>
    <w:p w:rsidR="00E27756" w:rsidRDefault="00E27756" w:rsidP="00E27756">
      <w:pPr>
        <w:pStyle w:val="SangriaFrancesaArticulo"/>
      </w:pPr>
      <w:r w:rsidRPr="00E27756">
        <w:rPr>
          <w:rStyle w:val="TextoNormalNegritaCaracter"/>
        </w:rPr>
        <w:t>Artículo 11.2.</w:t>
      </w:r>
      <w:r w:rsidRPr="00E27756">
        <w:rPr>
          <w:rStyle w:val="TextoNormalCaracter"/>
        </w:rPr>
        <w:t>-</w:t>
      </w:r>
      <w:r>
        <w:t xml:space="preserve"> Sentencia </w:t>
      </w:r>
      <w:hyperlink w:anchor="SENTENCIA_2013_6" w:history="1">
        <w:r w:rsidRPr="00E27756">
          <w:rPr>
            <w:rStyle w:val="TextoNormalCaracter"/>
          </w:rPr>
          <w:t>6/2013</w:t>
        </w:r>
      </w:hyperlink>
      <w:r>
        <w:t>, f. 3.</w:t>
      </w:r>
    </w:p>
    <w:p w:rsidR="00E27756" w:rsidRDefault="00E27756" w:rsidP="00E27756">
      <w:pPr>
        <w:pStyle w:val="SangriaFrancesaArticulo"/>
      </w:pPr>
      <w:r w:rsidRPr="00E27756">
        <w:rPr>
          <w:rStyle w:val="TextoNormalNegritaCaracter"/>
        </w:rPr>
        <w:t>Artículo 16.3.</w:t>
      </w:r>
      <w:r w:rsidRPr="00E27756">
        <w:rPr>
          <w:rStyle w:val="TextoNormalCaracter"/>
        </w:rPr>
        <w:t>-</w:t>
      </w:r>
      <w:r>
        <w:t xml:space="preserve"> Sentencia </w:t>
      </w:r>
      <w:hyperlink w:anchor="SENTENCIA_2013_48" w:history="1">
        <w:r w:rsidRPr="00E27756">
          <w:rPr>
            <w:rStyle w:val="TextoNormalCaracter"/>
          </w:rPr>
          <w:t>48/2013</w:t>
        </w:r>
      </w:hyperlink>
      <w:r>
        <w:t>, f. 1.</w:t>
      </w:r>
    </w:p>
    <w:p w:rsidR="00E27756" w:rsidRDefault="00E27756" w:rsidP="00E27756">
      <w:pPr>
        <w:pStyle w:val="SangriaFrancesaArticulo"/>
      </w:pPr>
      <w:r w:rsidRPr="00E27756">
        <w:rPr>
          <w:rStyle w:val="TextoNormalNegritaCaracter"/>
        </w:rPr>
        <w:t>Artículo 23.2.</w:t>
      </w:r>
      <w:r w:rsidRPr="00E27756">
        <w:rPr>
          <w:rStyle w:val="TextoNormalCaracter"/>
        </w:rPr>
        <w:t>-</w:t>
      </w:r>
      <w:r>
        <w:t xml:space="preserve"> Sentencia </w:t>
      </w:r>
      <w:hyperlink w:anchor="SENTENCIA_2013_48" w:history="1">
        <w:r w:rsidRPr="00E27756">
          <w:rPr>
            <w:rStyle w:val="TextoNormalCaracter"/>
          </w:rPr>
          <w:t>48/2013</w:t>
        </w:r>
      </w:hyperlink>
      <w:r>
        <w:t>, f. 1.</w:t>
      </w:r>
    </w:p>
    <w:p w:rsidR="00E27756" w:rsidRDefault="00E27756" w:rsidP="00E27756">
      <w:pPr>
        <w:pStyle w:val="SangriaFrancesaArticulo"/>
      </w:pPr>
      <w:r w:rsidRPr="00E27756">
        <w:rPr>
          <w:rStyle w:val="TextoNormalNegritaCaracter"/>
        </w:rPr>
        <w:t>Artículo 26.2.</w:t>
      </w:r>
      <w:r w:rsidRPr="00E27756">
        <w:rPr>
          <w:rStyle w:val="TextoNormalCaracter"/>
        </w:rPr>
        <w:t>-</w:t>
      </w:r>
      <w:r>
        <w:t xml:space="preserve"> Sentencia </w:t>
      </w:r>
      <w:hyperlink w:anchor="SENTENCIA_2013_48" w:history="1">
        <w:r w:rsidRPr="00E27756">
          <w:rPr>
            <w:rStyle w:val="TextoNormalCaracter"/>
          </w:rPr>
          <w:t>48/2013</w:t>
        </w:r>
      </w:hyperlink>
      <w:r>
        <w:t>, f. 1.</w:t>
      </w:r>
    </w:p>
    <w:p w:rsidR="00E27756" w:rsidRDefault="00E27756" w:rsidP="00E27756">
      <w:pPr>
        <w:pStyle w:val="SangriaFrancesaArticulo"/>
      </w:pPr>
      <w:r w:rsidRPr="00E27756">
        <w:rPr>
          <w:rStyle w:val="TextoNormalNegritaCaracter"/>
        </w:rPr>
        <w:t>Artículo 26.5.</w:t>
      </w:r>
      <w:r w:rsidRPr="00E27756">
        <w:rPr>
          <w:rStyle w:val="TextoNormalCaracter"/>
        </w:rPr>
        <w:t>-</w:t>
      </w:r>
      <w:r>
        <w:t xml:space="preserve"> Sentencia </w:t>
      </w:r>
      <w:hyperlink w:anchor="SENTENCIA_2013_6" w:history="1">
        <w:r w:rsidRPr="00E27756">
          <w:rPr>
            <w:rStyle w:val="TextoNormalCaracter"/>
          </w:rPr>
          <w:t>6/2013</w:t>
        </w:r>
      </w:hyperlink>
      <w:r>
        <w:t>, f. 4.</w:t>
      </w:r>
    </w:p>
    <w:p w:rsidR="00E27756" w:rsidRDefault="00E27756" w:rsidP="00E27756">
      <w:pPr>
        <w:pStyle w:val="SangriaFrancesaArticulo"/>
      </w:pPr>
      <w:r w:rsidRPr="00E27756">
        <w:rPr>
          <w:rStyle w:val="TextoNormalNegritaCaracter"/>
        </w:rPr>
        <w:t>Artículo 28.</w:t>
      </w:r>
      <w:r w:rsidRPr="00E27756">
        <w:rPr>
          <w:rStyle w:val="TextoNormalCaracter"/>
        </w:rPr>
        <w:t>-</w:t>
      </w:r>
      <w:r>
        <w:t xml:space="preserve"> Sentencia </w:t>
      </w:r>
      <w:hyperlink w:anchor="SENTENCIA_2013_48" w:history="1">
        <w:r w:rsidRPr="00E27756">
          <w:rPr>
            <w:rStyle w:val="TextoNormalCaracter"/>
          </w:rPr>
          <w:t>48/2013</w:t>
        </w:r>
      </w:hyperlink>
      <w:r>
        <w:t>, f. 5.</w:t>
      </w:r>
    </w:p>
    <w:p w:rsidR="00E27756" w:rsidRDefault="00E27756" w:rsidP="00E27756">
      <w:pPr>
        <w:pStyle w:val="SangriaFrancesaArticulo"/>
      </w:pPr>
      <w:r w:rsidRPr="00E27756">
        <w:rPr>
          <w:rStyle w:val="TextoNormalNegritaCaracter"/>
        </w:rPr>
        <w:t>Artículo 29.</w:t>
      </w:r>
      <w:r w:rsidRPr="00E27756">
        <w:rPr>
          <w:rStyle w:val="TextoNormalCaracter"/>
        </w:rPr>
        <w:t>-</w:t>
      </w:r>
      <w:r>
        <w:t xml:space="preserve"> Sentencia </w:t>
      </w:r>
      <w:hyperlink w:anchor="SENTENCIA_2013_48" w:history="1">
        <w:r w:rsidRPr="00E27756">
          <w:rPr>
            <w:rStyle w:val="TextoNormalCaracter"/>
          </w:rPr>
          <w:t>48/2013</w:t>
        </w:r>
      </w:hyperlink>
      <w:r>
        <w:t>, f. 5.</w:t>
      </w:r>
    </w:p>
    <w:p w:rsidR="00E27756" w:rsidRDefault="00E27756" w:rsidP="00E27756">
      <w:pPr>
        <w:pStyle w:val="SangriaFrancesaArticulo"/>
      </w:pPr>
      <w:r w:rsidRPr="00E27756">
        <w:rPr>
          <w:rStyle w:val="TextoNormalNegritaCaracter"/>
        </w:rPr>
        <w:t>Artículo 29.3.</w:t>
      </w:r>
      <w:r w:rsidRPr="00E27756">
        <w:rPr>
          <w:rStyle w:val="TextoNormalCaracter"/>
        </w:rPr>
        <w:t>-</w:t>
      </w:r>
      <w:r>
        <w:t xml:space="preserve"> Sentencias </w:t>
      </w:r>
      <w:hyperlink w:anchor="SENTENCIA_2013_6" w:history="1">
        <w:r w:rsidRPr="00E27756">
          <w:rPr>
            <w:rStyle w:val="TextoNormalCaracter"/>
          </w:rPr>
          <w:t>6/2013</w:t>
        </w:r>
      </w:hyperlink>
      <w:r>
        <w:t xml:space="preserve">, f. 4; </w:t>
      </w:r>
      <w:hyperlink w:anchor="SENTENCIA_2013_48" w:history="1">
        <w:r w:rsidRPr="00E27756">
          <w:rPr>
            <w:rStyle w:val="TextoNormalCaracter"/>
          </w:rPr>
          <w:t>48/2013</w:t>
        </w:r>
      </w:hyperlink>
      <w:r>
        <w:t>, f. 5.</w:t>
      </w:r>
    </w:p>
    <w:p w:rsidR="00E27756" w:rsidRDefault="00E27756" w:rsidP="00E27756">
      <w:pPr>
        <w:pStyle w:val="SangriaFrancesaArticulo"/>
      </w:pPr>
      <w:r w:rsidRPr="00E27756">
        <w:rPr>
          <w:rStyle w:val="TextoNormalNegritaCaracter"/>
        </w:rPr>
        <w:t>Artículo 31.2.</w:t>
      </w:r>
      <w:r w:rsidRPr="00E27756">
        <w:rPr>
          <w:rStyle w:val="TextoNormalCaracter"/>
        </w:rPr>
        <w:t>-</w:t>
      </w:r>
      <w:r>
        <w:t xml:space="preserve"> Sentencia </w:t>
      </w:r>
      <w:hyperlink w:anchor="SENTENCIA_2013_6" w:history="1">
        <w:r w:rsidRPr="00E27756">
          <w:rPr>
            <w:rStyle w:val="TextoNormalCaracter"/>
          </w:rPr>
          <w:t>6/2013</w:t>
        </w:r>
      </w:hyperlink>
      <w:r>
        <w:t>, f. 4.</w:t>
      </w:r>
    </w:p>
    <w:p w:rsidR="00E27756" w:rsidRDefault="00E27756" w:rsidP="00E27756">
      <w:pPr>
        <w:pStyle w:val="SangriaFrancesaArticulo"/>
      </w:pPr>
      <w:r w:rsidRPr="00E27756">
        <w:rPr>
          <w:rStyle w:val="TextoNormalNegritaCaracter"/>
        </w:rPr>
        <w:t>Artículo 35.4.</w:t>
      </w:r>
      <w:r w:rsidRPr="00E27756">
        <w:rPr>
          <w:rStyle w:val="TextoNormalCaracter"/>
        </w:rPr>
        <w:t>-</w:t>
      </w:r>
      <w:r>
        <w:t xml:space="preserve"> Sentencia </w:t>
      </w:r>
      <w:hyperlink w:anchor="SENTENCIA_2013_6" w:history="1">
        <w:r w:rsidRPr="00E27756">
          <w:rPr>
            <w:rStyle w:val="TextoNormalCaracter"/>
          </w:rPr>
          <w:t>6/2013</w:t>
        </w:r>
      </w:hyperlink>
      <w:r>
        <w:t>, f. 4.</w:t>
      </w:r>
    </w:p>
    <w:p w:rsidR="00E27756" w:rsidRDefault="00E27756" w:rsidP="00E27756">
      <w:pPr>
        <w:pStyle w:val="SangriaFrancesaArticulo"/>
      </w:pPr>
      <w:r w:rsidRPr="00E27756">
        <w:rPr>
          <w:rStyle w:val="TextoNormalNegritaCaracter"/>
        </w:rPr>
        <w:t>Artículo 35.6.</w:t>
      </w:r>
      <w:r w:rsidRPr="00E27756">
        <w:rPr>
          <w:rStyle w:val="TextoNormalCaracter"/>
        </w:rPr>
        <w:t>-</w:t>
      </w:r>
      <w:r>
        <w:t xml:space="preserve"> Sentencia </w:t>
      </w:r>
      <w:hyperlink w:anchor="SENTENCIA_2013_48" w:history="1">
        <w:r w:rsidRPr="00E27756">
          <w:rPr>
            <w:rStyle w:val="TextoNormalCaracter"/>
          </w:rPr>
          <w:t>48/2013</w:t>
        </w:r>
      </w:hyperlink>
      <w:r>
        <w:t>, f. 1.</w:t>
      </w:r>
    </w:p>
    <w:p w:rsidR="00E27756" w:rsidRDefault="00E27756" w:rsidP="00E27756">
      <w:pPr>
        <w:pStyle w:val="SangriaFrancesaArticulo"/>
      </w:pPr>
      <w:r w:rsidRPr="00E27756">
        <w:rPr>
          <w:rStyle w:val="TextoNormalNegritaCaracter"/>
        </w:rPr>
        <w:t>Artículo 37.1.</w:t>
      </w:r>
      <w:r w:rsidRPr="00E27756">
        <w:rPr>
          <w:rStyle w:val="TextoNormalCaracter"/>
        </w:rPr>
        <w:t>-</w:t>
      </w:r>
      <w:r>
        <w:t xml:space="preserve"> Sentencia </w:t>
      </w:r>
      <w:hyperlink w:anchor="SENTENCIA_2013_6" w:history="1">
        <w:r w:rsidRPr="00E27756">
          <w:rPr>
            <w:rStyle w:val="TextoNormalCaracter"/>
          </w:rPr>
          <w:t>6/2013</w:t>
        </w:r>
      </w:hyperlink>
      <w:r>
        <w:t>, f. 4.</w:t>
      </w:r>
    </w:p>
    <w:p w:rsidR="00E27756" w:rsidRDefault="00E27756" w:rsidP="00E27756">
      <w:pPr>
        <w:pStyle w:val="SangriaFrancesaArticulo"/>
      </w:pPr>
      <w:r w:rsidRPr="00E27756">
        <w:rPr>
          <w:rStyle w:val="TextoNormalNegritaCaracter"/>
        </w:rPr>
        <w:t>Artículo 38.5.</w:t>
      </w:r>
      <w:r w:rsidRPr="00E27756">
        <w:rPr>
          <w:rStyle w:val="TextoNormalCaracter"/>
        </w:rPr>
        <w:t>-</w:t>
      </w:r>
      <w:r>
        <w:t xml:space="preserve"> Sentencia </w:t>
      </w:r>
      <w:hyperlink w:anchor="SENTENCIA_2013_6" w:history="1">
        <w:r w:rsidRPr="00E27756">
          <w:rPr>
            <w:rStyle w:val="TextoNormalCaracter"/>
          </w:rPr>
          <w:t>6/2013</w:t>
        </w:r>
      </w:hyperlink>
      <w:r>
        <w:t>, f. 4.</w:t>
      </w:r>
    </w:p>
    <w:p w:rsidR="00E27756" w:rsidRDefault="00E27756" w:rsidP="00E27756">
      <w:pPr>
        <w:pStyle w:val="SangriaFrancesaArticulo"/>
      </w:pPr>
      <w:r w:rsidRPr="00E27756">
        <w:rPr>
          <w:rStyle w:val="TextoNormalNegritaCaracter"/>
        </w:rPr>
        <w:t>Artículo 40.2.</w:t>
      </w:r>
      <w:r w:rsidRPr="00E27756">
        <w:rPr>
          <w:rStyle w:val="TextoNormalCaracter"/>
        </w:rPr>
        <w:t>-</w:t>
      </w:r>
      <w:r>
        <w:t xml:space="preserve"> Sentencia </w:t>
      </w:r>
      <w:hyperlink w:anchor="SENTENCIA_2013_6" w:history="1">
        <w:r w:rsidRPr="00E27756">
          <w:rPr>
            <w:rStyle w:val="TextoNormalCaracter"/>
          </w:rPr>
          <w:t>6/2013</w:t>
        </w:r>
      </w:hyperlink>
      <w:r>
        <w:t>, f. 5.</w:t>
      </w:r>
    </w:p>
    <w:p w:rsidR="00E27756" w:rsidRDefault="00E27756" w:rsidP="00E27756">
      <w:pPr>
        <w:pStyle w:val="SangriaFrancesaArticulo"/>
      </w:pPr>
      <w:r w:rsidRPr="00E27756">
        <w:rPr>
          <w:rStyle w:val="TextoNormalNegritaCaracter"/>
        </w:rPr>
        <w:t>Artículo 43.3.</w:t>
      </w:r>
      <w:r w:rsidRPr="00E27756">
        <w:rPr>
          <w:rStyle w:val="TextoNormalCaracter"/>
        </w:rPr>
        <w:t>-</w:t>
      </w:r>
      <w:r>
        <w:t xml:space="preserve"> Sentencia </w:t>
      </w:r>
      <w:hyperlink w:anchor="SENTENCIA_2013_6" w:history="1">
        <w:r w:rsidRPr="00E27756">
          <w:rPr>
            <w:rStyle w:val="TextoNormalCaracter"/>
          </w:rPr>
          <w:t>6/2013</w:t>
        </w:r>
      </w:hyperlink>
      <w:r>
        <w:t>, f. 4.</w:t>
      </w:r>
    </w:p>
    <w:p w:rsidR="00E27756" w:rsidRDefault="00E27756" w:rsidP="00E27756">
      <w:pPr>
        <w:pStyle w:val="SangriaFrancesaArticulo"/>
      </w:pPr>
      <w:r w:rsidRPr="00E27756">
        <w:rPr>
          <w:rStyle w:val="TextoNormalNegritaCaracter"/>
        </w:rPr>
        <w:t>Artículo 49.2.</w:t>
      </w:r>
      <w:r w:rsidRPr="00E27756">
        <w:rPr>
          <w:rStyle w:val="TextoNormalCaracter"/>
        </w:rPr>
        <w:t>-</w:t>
      </w:r>
      <w:r>
        <w:t xml:space="preserve"> Sentencias </w:t>
      </w:r>
      <w:hyperlink w:anchor="SENTENCIA_2013_6" w:history="1">
        <w:r w:rsidRPr="00E27756">
          <w:rPr>
            <w:rStyle w:val="TextoNormalCaracter"/>
          </w:rPr>
          <w:t>6/2013</w:t>
        </w:r>
      </w:hyperlink>
      <w:r>
        <w:t xml:space="preserve">, f. 4; </w:t>
      </w:r>
      <w:hyperlink w:anchor="SENTENCIA_2013_48" w:history="1">
        <w:r w:rsidRPr="00E27756">
          <w:rPr>
            <w:rStyle w:val="TextoNormalCaracter"/>
          </w:rPr>
          <w:t>48/2013</w:t>
        </w:r>
      </w:hyperlink>
      <w:r>
        <w:t>, f. 1.</w:t>
      </w:r>
    </w:p>
    <w:p w:rsidR="00E27756" w:rsidRDefault="00E27756" w:rsidP="00E27756">
      <w:pPr>
        <w:pStyle w:val="SangriaFrancesaArticulo"/>
      </w:pPr>
      <w:r w:rsidRPr="00E27756">
        <w:rPr>
          <w:rStyle w:val="TextoNormalNegritaCaracter"/>
        </w:rPr>
        <w:t>Artículo 49.5.</w:t>
      </w:r>
      <w:r w:rsidRPr="00E27756">
        <w:rPr>
          <w:rStyle w:val="TextoNormalCaracter"/>
        </w:rPr>
        <w:t>-</w:t>
      </w:r>
      <w:r>
        <w:t xml:space="preserve"> Sentencia </w:t>
      </w:r>
      <w:hyperlink w:anchor="SENTENCIA_2013_6" w:history="1">
        <w:r w:rsidRPr="00E27756">
          <w:rPr>
            <w:rStyle w:val="TextoNormalCaracter"/>
          </w:rPr>
          <w:t>6/2013</w:t>
        </w:r>
      </w:hyperlink>
      <w:r>
        <w:t>, f. 4.</w:t>
      </w:r>
    </w:p>
    <w:p w:rsidR="00E27756" w:rsidRDefault="00E27756" w:rsidP="00E27756">
      <w:pPr>
        <w:pStyle w:val="SangriaFrancesaArticulo"/>
      </w:pPr>
      <w:r w:rsidRPr="00E27756">
        <w:rPr>
          <w:rStyle w:val="TextoNormalNegritaCaracter"/>
        </w:rPr>
        <w:t>Artículo 54.5.</w:t>
      </w:r>
      <w:r w:rsidRPr="00E27756">
        <w:rPr>
          <w:rStyle w:val="TextoNormalCaracter"/>
        </w:rPr>
        <w:t>-</w:t>
      </w:r>
      <w:r>
        <w:t xml:space="preserve"> Auto </w:t>
      </w:r>
      <w:hyperlink w:anchor="AUTO_2013_58" w:history="1">
        <w:r w:rsidRPr="00E27756">
          <w:rPr>
            <w:rStyle w:val="TextoNormalCaracter"/>
          </w:rPr>
          <w:t>58/2013</w:t>
        </w:r>
      </w:hyperlink>
      <w:r>
        <w:t>, ff. 2, 3, 5.</w:t>
      </w:r>
    </w:p>
    <w:p w:rsidR="00E27756" w:rsidRDefault="00E27756" w:rsidP="00E27756">
      <w:pPr>
        <w:pStyle w:val="SangriaFrancesaArticulo"/>
      </w:pPr>
      <w:r w:rsidRPr="00E27756">
        <w:rPr>
          <w:rStyle w:val="TextoNormalNegritaCaracter"/>
        </w:rPr>
        <w:t>Artículo 59.1.</w:t>
      </w:r>
      <w:r w:rsidRPr="00E27756">
        <w:rPr>
          <w:rStyle w:val="TextoNormalCaracter"/>
        </w:rPr>
        <w:t>-</w:t>
      </w:r>
      <w:r>
        <w:t xml:space="preserve"> Sentencia </w:t>
      </w:r>
      <w:hyperlink w:anchor="SENTENCIA_2013_6" w:history="1">
        <w:r w:rsidRPr="00E27756">
          <w:rPr>
            <w:rStyle w:val="TextoNormalCaracter"/>
          </w:rPr>
          <w:t>6/2013</w:t>
        </w:r>
      </w:hyperlink>
      <w:r>
        <w:t>, f. 5.</w:t>
      </w:r>
    </w:p>
    <w:p w:rsidR="00E27756" w:rsidRDefault="00E27756" w:rsidP="00E27756">
      <w:pPr>
        <w:pStyle w:val="SangriaFrancesaArticulo"/>
      </w:pPr>
      <w:r w:rsidRPr="00E27756">
        <w:rPr>
          <w:rStyle w:val="TextoNormalNegritaCaracter"/>
        </w:rPr>
        <w:t>Artículo 75.</w:t>
      </w:r>
      <w:r w:rsidRPr="00E27756">
        <w:rPr>
          <w:rStyle w:val="TextoNormalCaracter"/>
        </w:rPr>
        <w:t>-</w:t>
      </w:r>
      <w:r>
        <w:t xml:space="preserve"> Sentencia </w:t>
      </w:r>
      <w:hyperlink w:anchor="SENTENCIA_2013_6" w:history="1">
        <w:r w:rsidRPr="00E27756">
          <w:rPr>
            <w:rStyle w:val="TextoNormalCaracter"/>
          </w:rPr>
          <w:t>6/2013</w:t>
        </w:r>
      </w:hyperlink>
      <w:r>
        <w:t>, ff. 3, 6.</w:t>
      </w:r>
    </w:p>
    <w:p w:rsidR="00E27756" w:rsidRDefault="00E27756" w:rsidP="00E27756">
      <w:pPr>
        <w:pStyle w:val="SangriaFrancesaArticulo"/>
      </w:pPr>
      <w:r w:rsidRPr="00E27756">
        <w:rPr>
          <w:rStyle w:val="TextoNormalNegritaCaracter"/>
        </w:rPr>
        <w:t>Artículo 75.1.</w:t>
      </w:r>
      <w:r w:rsidRPr="00E27756">
        <w:rPr>
          <w:rStyle w:val="TextoNormalCaracter"/>
        </w:rPr>
        <w:t>-</w:t>
      </w:r>
      <w:r>
        <w:t xml:space="preserve"> Sentencia </w:t>
      </w:r>
      <w:hyperlink w:anchor="SENTENCIA_2013_6" w:history="1">
        <w:r w:rsidRPr="00E27756">
          <w:rPr>
            <w:rStyle w:val="TextoNormalCaracter"/>
          </w:rPr>
          <w:t>6/2013</w:t>
        </w:r>
      </w:hyperlink>
      <w:r>
        <w:t>, f. 3.</w:t>
      </w:r>
    </w:p>
    <w:p w:rsidR="00E27756" w:rsidRDefault="00E27756" w:rsidP="00E27756">
      <w:pPr>
        <w:pStyle w:val="SangriaFrancesaArticulo"/>
      </w:pPr>
      <w:r w:rsidRPr="00E27756">
        <w:rPr>
          <w:rStyle w:val="TextoNormalNegritaCaracter"/>
        </w:rPr>
        <w:t>Artículo 75.2 in fine.</w:t>
      </w:r>
      <w:r w:rsidRPr="00E27756">
        <w:rPr>
          <w:rStyle w:val="TextoNormalCaracter"/>
        </w:rPr>
        <w:t>-</w:t>
      </w:r>
      <w:r>
        <w:t xml:space="preserve"> Sentencia </w:t>
      </w:r>
      <w:hyperlink w:anchor="SENTENCIA_2013_6" w:history="1">
        <w:r w:rsidRPr="00E27756">
          <w:rPr>
            <w:rStyle w:val="TextoNormalCaracter"/>
          </w:rPr>
          <w:t>6/2013</w:t>
        </w:r>
      </w:hyperlink>
      <w:r>
        <w:t>, f. 6.</w:t>
      </w:r>
    </w:p>
    <w:p w:rsidR="00E27756" w:rsidRDefault="00E27756" w:rsidP="00E27756">
      <w:pPr>
        <w:pStyle w:val="SangriaFrancesaArticulo"/>
      </w:pPr>
      <w:r w:rsidRPr="00E27756">
        <w:rPr>
          <w:rStyle w:val="TextoNormalNegritaCaracter"/>
        </w:rPr>
        <w:t>Artículo 75.5.</w:t>
      </w:r>
      <w:r w:rsidRPr="00E27756">
        <w:rPr>
          <w:rStyle w:val="TextoNormalCaracter"/>
        </w:rPr>
        <w:t>-</w:t>
      </w:r>
      <w:r>
        <w:t xml:space="preserve"> Sentencia </w:t>
      </w:r>
      <w:hyperlink w:anchor="SENTENCIA_2013_6" w:history="1">
        <w:r w:rsidRPr="00E27756">
          <w:rPr>
            <w:rStyle w:val="TextoNormalCaracter"/>
          </w:rPr>
          <w:t>6/2013</w:t>
        </w:r>
      </w:hyperlink>
      <w:r>
        <w:t>, f. 6.</w:t>
      </w:r>
    </w:p>
    <w:p w:rsidR="00E27756" w:rsidRDefault="00E27756" w:rsidP="00E27756">
      <w:pPr>
        <w:pStyle w:val="SangriaFrancesaArticulo"/>
      </w:pPr>
      <w:r w:rsidRPr="00E27756">
        <w:rPr>
          <w:rStyle w:val="TextoNormalNegritaCaracter"/>
        </w:rPr>
        <w:t>Artículo 76.</w:t>
      </w:r>
      <w:r w:rsidRPr="00E27756">
        <w:rPr>
          <w:rStyle w:val="TextoNormalCaracter"/>
        </w:rPr>
        <w:t>-</w:t>
      </w:r>
      <w:r>
        <w:t xml:space="preserve"> Sentencia </w:t>
      </w:r>
      <w:hyperlink w:anchor="SENTENCIA_2013_6" w:history="1">
        <w:r w:rsidRPr="00E27756">
          <w:rPr>
            <w:rStyle w:val="TextoNormalCaracter"/>
          </w:rPr>
          <w:t>6/2013</w:t>
        </w:r>
      </w:hyperlink>
      <w:r>
        <w:t>, ff. 3, 6.</w:t>
      </w:r>
    </w:p>
    <w:p w:rsidR="00E27756" w:rsidRDefault="00E27756" w:rsidP="00E27756">
      <w:pPr>
        <w:pStyle w:val="SangriaFrancesaArticulo"/>
      </w:pPr>
      <w:r w:rsidRPr="00E27756">
        <w:rPr>
          <w:rStyle w:val="TextoNormalNegritaCaracter"/>
        </w:rPr>
        <w:t>Artículo 85.</w:t>
      </w:r>
      <w:r w:rsidRPr="00E27756">
        <w:rPr>
          <w:rStyle w:val="TextoNormalCaracter"/>
        </w:rPr>
        <w:t>-</w:t>
      </w:r>
      <w:r>
        <w:t xml:space="preserve"> Sentencia </w:t>
      </w:r>
      <w:hyperlink w:anchor="SENTENCIA_2013_6" w:history="1">
        <w:r w:rsidRPr="00E27756">
          <w:rPr>
            <w:rStyle w:val="TextoNormalCaracter"/>
          </w:rPr>
          <w:t>6/2013</w:t>
        </w:r>
      </w:hyperlink>
      <w:r>
        <w:t>, f. 7.</w:t>
      </w:r>
    </w:p>
    <w:p w:rsidR="00E27756" w:rsidRDefault="00E27756" w:rsidP="00E27756">
      <w:pPr>
        <w:pStyle w:val="SangriaFrancesaArticulo"/>
      </w:pPr>
      <w:r w:rsidRPr="00E27756">
        <w:rPr>
          <w:rStyle w:val="TextoNormalNegritaCaracter"/>
        </w:rPr>
        <w:t>Artículo 85.3.</w:t>
      </w:r>
      <w:r w:rsidRPr="00E27756">
        <w:rPr>
          <w:rStyle w:val="TextoNormalCaracter"/>
        </w:rPr>
        <w:t>-</w:t>
      </w:r>
      <w:r>
        <w:t xml:space="preserve"> Sentencia </w:t>
      </w:r>
      <w:hyperlink w:anchor="SENTENCIA_2013_6" w:history="1">
        <w:r w:rsidRPr="00E27756">
          <w:rPr>
            <w:rStyle w:val="TextoNormalCaracter"/>
          </w:rPr>
          <w:t>6/2013</w:t>
        </w:r>
      </w:hyperlink>
      <w:r>
        <w:t>, f. 7.</w:t>
      </w:r>
    </w:p>
    <w:p w:rsidR="00E27756" w:rsidRDefault="00E27756" w:rsidP="00E27756">
      <w:pPr>
        <w:pStyle w:val="SangriaFrancesaArticulo"/>
      </w:pPr>
      <w:r w:rsidRPr="00E27756">
        <w:rPr>
          <w:rStyle w:val="TextoNormalNegritaCaracter"/>
        </w:rPr>
        <w:t>Disposición adicional segunda, apartado 2.</w:t>
      </w:r>
      <w:r w:rsidRPr="00E27756">
        <w:rPr>
          <w:rStyle w:val="TextoNormalCaracter"/>
        </w:rPr>
        <w:t>-</w:t>
      </w:r>
      <w:r>
        <w:t xml:space="preserve"> Sentencia </w:t>
      </w:r>
      <w:hyperlink w:anchor="SENTENCIA_2013_48" w:history="1">
        <w:r w:rsidRPr="00E27756">
          <w:rPr>
            <w:rStyle w:val="TextoNormalCaracter"/>
          </w:rPr>
          <w:t>48/2013</w:t>
        </w:r>
      </w:hyperlink>
      <w:r>
        <w:t>, f. 1.</w:t>
      </w:r>
    </w:p>
    <w:p w:rsidR="00E27756" w:rsidRDefault="00E27756" w:rsidP="00E27756">
      <w:pPr>
        <w:pStyle w:val="SangriaFrancesaArticulo"/>
      </w:pPr>
      <w:r w:rsidRPr="00E27756">
        <w:rPr>
          <w:rStyle w:val="TextoNormalNegritaCaracter"/>
        </w:rPr>
        <w:t>Disposición adicional tercera, apartado 1.</w:t>
      </w:r>
      <w:r w:rsidRPr="00E27756">
        <w:rPr>
          <w:rStyle w:val="TextoNormalCaracter"/>
        </w:rPr>
        <w:t>-</w:t>
      </w:r>
      <w:r>
        <w:t xml:space="preserve"> Sentencia </w:t>
      </w:r>
      <w:hyperlink w:anchor="SENTENCIA_2013_6" w:history="1">
        <w:r w:rsidRPr="00E27756">
          <w:rPr>
            <w:rStyle w:val="TextoNormalCaracter"/>
          </w:rPr>
          <w:t>6/2013</w:t>
        </w:r>
      </w:hyperlink>
      <w:r>
        <w:t>, f. 7.</w:t>
      </w:r>
    </w:p>
    <w:p w:rsidR="00E27756" w:rsidRDefault="00E27756" w:rsidP="00E27756">
      <w:pPr>
        <w:pStyle w:val="SangriaFrancesaArticulo"/>
      </w:pPr>
      <w:r w:rsidRPr="00E27756">
        <w:rPr>
          <w:rStyle w:val="TextoNormalNegritaCaracter"/>
        </w:rPr>
        <w:t>Disposición adicional tercera, apartado 4.</w:t>
      </w:r>
      <w:r w:rsidRPr="00E27756">
        <w:rPr>
          <w:rStyle w:val="TextoNormalCaracter"/>
        </w:rPr>
        <w:t>-</w:t>
      </w:r>
      <w:r>
        <w:t xml:space="preserve"> Sentencia </w:t>
      </w:r>
      <w:hyperlink w:anchor="SENTENCIA_2013_6" w:history="1">
        <w:r w:rsidRPr="00E27756">
          <w:rPr>
            <w:rStyle w:val="TextoNormalCaracter"/>
          </w:rPr>
          <w:t>6/2013</w:t>
        </w:r>
      </w:hyperlink>
      <w:r>
        <w:t>, f. 7.</w:t>
      </w:r>
    </w:p>
    <w:p w:rsidR="00E27756" w:rsidRDefault="00E27756" w:rsidP="00E27756">
      <w:pPr>
        <w:pStyle w:val="SangriaFrancesaArticulo"/>
      </w:pPr>
      <w:r w:rsidRPr="00E27756">
        <w:rPr>
          <w:rStyle w:val="TextoNormalNegritaCaracter"/>
        </w:rPr>
        <w:lastRenderedPageBreak/>
        <w:t>Disposición adicional quinta, apartado 2.</w:t>
      </w:r>
      <w:r w:rsidRPr="00E27756">
        <w:rPr>
          <w:rStyle w:val="TextoNormalCaracter"/>
        </w:rPr>
        <w:t>-</w:t>
      </w:r>
      <w:r>
        <w:t xml:space="preserve"> Sentencia </w:t>
      </w:r>
      <w:hyperlink w:anchor="SENTENCIA_2013_6" w:history="1">
        <w:r w:rsidRPr="00E27756">
          <w:rPr>
            <w:rStyle w:val="TextoNormalCaracter"/>
          </w:rPr>
          <w:t>6/2013</w:t>
        </w:r>
      </w:hyperlink>
      <w:r>
        <w:t>, f. 6.</w:t>
      </w:r>
    </w:p>
    <w:p w:rsidR="00E27756" w:rsidRDefault="00E27756" w:rsidP="00E27756">
      <w:pPr>
        <w:pStyle w:val="SangriaFrancesaArticulo"/>
      </w:pPr>
      <w:r w:rsidRPr="00E27756">
        <w:rPr>
          <w:rStyle w:val="TextoNormalNegritaCaracter"/>
        </w:rPr>
        <w:t>Disposición adicional décima.</w:t>
      </w:r>
      <w:r w:rsidRPr="00E27756">
        <w:rPr>
          <w:rStyle w:val="TextoNormalCaracter"/>
        </w:rPr>
        <w:t>-</w:t>
      </w:r>
      <w:r>
        <w:t xml:space="preserve"> Sentencia </w:t>
      </w:r>
      <w:hyperlink w:anchor="SENTENCIA_2013_6" w:history="1">
        <w:r w:rsidRPr="00E27756">
          <w:rPr>
            <w:rStyle w:val="TextoNormalCaracter"/>
          </w:rPr>
          <w:t>6/2013</w:t>
        </w:r>
      </w:hyperlink>
      <w:r>
        <w:t>, f. 7.</w:t>
      </w:r>
    </w:p>
    <w:p w:rsidR="00E27756" w:rsidRDefault="00E27756" w:rsidP="00E27756">
      <w:pPr>
        <w:pStyle w:val="SangriaFrancesaArticulo"/>
      </w:pPr>
      <w:r w:rsidRPr="00E27756">
        <w:rPr>
          <w:rStyle w:val="TextoNormalNegritaCaracter"/>
        </w:rPr>
        <w:t>Disposición transitoria única.</w:t>
      </w:r>
      <w:r w:rsidRPr="00E27756">
        <w:rPr>
          <w:rStyle w:val="TextoNormalCaracter"/>
        </w:rPr>
        <w:t>-</w:t>
      </w:r>
      <w:r>
        <w:t xml:space="preserve"> Auto </w:t>
      </w:r>
      <w:hyperlink w:anchor="AUTO_2013_58" w:history="1">
        <w:r w:rsidRPr="00E27756">
          <w:rPr>
            <w:rStyle w:val="TextoNormalCaracter"/>
          </w:rPr>
          <w:t>58/2013</w:t>
        </w:r>
      </w:hyperlink>
      <w:r>
        <w:t>, f. 3.</w:t>
      </w:r>
    </w:p>
    <w:p w:rsidR="00E27756" w:rsidRDefault="00E27756" w:rsidP="00E27756">
      <w:pPr>
        <w:pStyle w:val="SangriaFrancesaArticulo"/>
      </w:pPr>
    </w:p>
    <w:p w:rsidR="00E27756" w:rsidRDefault="00E27756" w:rsidP="00E27756">
      <w:pPr>
        <w:pStyle w:val="TextoNormalNegritaCursivandice"/>
      </w:pPr>
      <w:r>
        <w:t>Ley Orgánica 1/2003, de 10 de marzo. Garantía de la democracia en los ayuntamientos y la seguridad de los concejales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5" w:history="1">
        <w:r w:rsidRPr="00E27756">
          <w:rPr>
            <w:rStyle w:val="TextoNormalCaracter"/>
          </w:rPr>
          <w:t>125/2013</w:t>
        </w:r>
      </w:hyperlink>
      <w:r>
        <w:t>, f. 7.</w:t>
      </w:r>
    </w:p>
    <w:p w:rsidR="00E27756" w:rsidRDefault="00E27756" w:rsidP="00E27756">
      <w:pPr>
        <w:pStyle w:val="SangriaFrancesaArticulo"/>
      </w:pPr>
    </w:p>
    <w:p w:rsidR="00E27756" w:rsidRDefault="00E27756" w:rsidP="00E27756">
      <w:pPr>
        <w:pStyle w:val="TextoNormalNegritaCursivandice"/>
      </w:pPr>
      <w:r>
        <w:t>Ley Orgánica 14/2003, de 20 de noviembre. Reforma de la Ley Orgánica 4/2000, sobre derechos y libertades de los extranjeros en España y su integración social, y de las Leyes 7/1985, 30/1992 y 3/1991</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ff. 1, 8, 13.</w:t>
      </w:r>
    </w:p>
    <w:p w:rsidR="00E27756" w:rsidRDefault="00E27756" w:rsidP="00E27756">
      <w:pPr>
        <w:pStyle w:val="SangriaFrancesaArticulo"/>
      </w:pPr>
      <w:r w:rsidRPr="00E27756">
        <w:rPr>
          <w:rStyle w:val="TextoNormalNegritaCaracter"/>
        </w:rPr>
        <w:t>Artículo 1 apartado 31.</w:t>
      </w:r>
      <w:r w:rsidRPr="00E27756">
        <w:rPr>
          <w:rStyle w:val="TextoNormalCaracter"/>
        </w:rPr>
        <w:t>-</w:t>
      </w:r>
      <w:r>
        <w:t xml:space="preserve"> Sentencia </w:t>
      </w:r>
      <w:hyperlink w:anchor="SENTENCIA_2013_17" w:history="1">
        <w:r w:rsidRPr="00E27756">
          <w:rPr>
            <w:rStyle w:val="TextoNormalCaracter"/>
          </w:rPr>
          <w:t>17/2013</w:t>
        </w:r>
      </w:hyperlink>
      <w:r>
        <w:t>, ff. 1, 12.</w:t>
      </w:r>
    </w:p>
    <w:p w:rsidR="00E27756" w:rsidRDefault="00E27756" w:rsidP="00E27756">
      <w:pPr>
        <w:pStyle w:val="SangriaFrancesaArticulo"/>
      </w:pPr>
      <w:r w:rsidRPr="00E27756">
        <w:rPr>
          <w:rStyle w:val="TextoNormalNegritaCaracter"/>
        </w:rPr>
        <w:t>Artículo 1 apartado 32.</w:t>
      </w:r>
      <w:r w:rsidRPr="00E27756">
        <w:rPr>
          <w:rStyle w:val="TextoNormalCaracter"/>
        </w:rPr>
        <w:t>-</w:t>
      </w:r>
      <w:r>
        <w:t xml:space="preserve"> Sentencia </w:t>
      </w:r>
      <w:hyperlink w:anchor="SENTENCIA_2013_17" w:history="1">
        <w:r w:rsidRPr="00E27756">
          <w:rPr>
            <w:rStyle w:val="TextoNormalCaracter"/>
          </w:rPr>
          <w:t>17/2013</w:t>
        </w:r>
      </w:hyperlink>
      <w:r>
        <w:t>, ff. 1, 13, VP.</w:t>
      </w:r>
    </w:p>
    <w:p w:rsidR="00E27756" w:rsidRDefault="00E27756" w:rsidP="00E27756">
      <w:pPr>
        <w:pStyle w:val="SangriaFrancesaArticulo"/>
      </w:pPr>
      <w:r w:rsidRPr="00E27756">
        <w:rPr>
          <w:rStyle w:val="TextoNormalNegritaCaracter"/>
        </w:rPr>
        <w:t>Artículo 1 apartado 34.</w:t>
      </w:r>
      <w:r w:rsidRPr="00E27756">
        <w:rPr>
          <w:rStyle w:val="TextoNormalCaracter"/>
        </w:rPr>
        <w:t>-</w:t>
      </w:r>
      <w:r>
        <w:t xml:space="preserve"> Sentencia </w:t>
      </w:r>
      <w:hyperlink w:anchor="SENTENCIA_2013_17" w:history="1">
        <w:r w:rsidRPr="00E27756">
          <w:rPr>
            <w:rStyle w:val="TextoNormalCaracter"/>
          </w:rPr>
          <w:t>17/2013</w:t>
        </w:r>
      </w:hyperlink>
      <w:r>
        <w:t>, ff. 1, 12.</w:t>
      </w:r>
    </w:p>
    <w:p w:rsidR="00E27756" w:rsidRDefault="00E27756" w:rsidP="00E27756">
      <w:pPr>
        <w:pStyle w:val="SangriaFrancesaArticulo"/>
      </w:pPr>
      <w:r w:rsidRPr="00E27756">
        <w:rPr>
          <w:rStyle w:val="TextoNormalNegritaCaracter"/>
        </w:rPr>
        <w:t>Artículo 1 apartado 35.</w:t>
      </w:r>
      <w:r w:rsidRPr="00E27756">
        <w:rPr>
          <w:rStyle w:val="TextoNormalCaracter"/>
        </w:rPr>
        <w:t>-</w:t>
      </w:r>
      <w:r>
        <w:t xml:space="preserve"> Sentencia </w:t>
      </w:r>
      <w:hyperlink w:anchor="SENTENCIA_2013_17" w:history="1">
        <w:r w:rsidRPr="00E27756">
          <w:rPr>
            <w:rStyle w:val="TextoNormalCaracter"/>
          </w:rPr>
          <w:t>17/2013</w:t>
        </w:r>
      </w:hyperlink>
      <w:r>
        <w:t>, ff. 1, 3, 6.</w:t>
      </w:r>
    </w:p>
    <w:p w:rsidR="00E27756" w:rsidRDefault="00E27756" w:rsidP="00E27756">
      <w:pPr>
        <w:pStyle w:val="SangriaFrancesaArticulo"/>
      </w:pPr>
      <w:r w:rsidRPr="00E27756">
        <w:rPr>
          <w:rStyle w:val="TextoNormalNegritaCaracter"/>
        </w:rPr>
        <w:t>Artículo 1 apartado 38.</w:t>
      </w:r>
      <w:r w:rsidRPr="00E27756">
        <w:rPr>
          <w:rStyle w:val="TextoNormalCaracter"/>
        </w:rPr>
        <w:t>-</w:t>
      </w:r>
      <w:r>
        <w:t xml:space="preserve"> Sentencia </w:t>
      </w:r>
      <w:hyperlink w:anchor="SENTENCIA_2013_17" w:history="1">
        <w:r w:rsidRPr="00E27756">
          <w:rPr>
            <w:rStyle w:val="TextoNormalCaracter"/>
          </w:rPr>
          <w:t>17/2013</w:t>
        </w:r>
      </w:hyperlink>
      <w:r>
        <w:t>, ff. 1, 10.</w:t>
      </w:r>
    </w:p>
    <w:p w:rsidR="00E27756" w:rsidRDefault="00E27756" w:rsidP="00E27756">
      <w:pPr>
        <w:pStyle w:val="SangriaFrancesaArticulo"/>
      </w:pPr>
      <w:r w:rsidRPr="00E27756">
        <w:rPr>
          <w:rStyle w:val="TextoNormalNegritaCaracter"/>
        </w:rPr>
        <w:t>Artículo 1 apartado 39.</w:t>
      </w:r>
      <w:r w:rsidRPr="00E27756">
        <w:rPr>
          <w:rStyle w:val="TextoNormalCaracter"/>
        </w:rPr>
        <w:t>-</w:t>
      </w:r>
      <w:r>
        <w:t xml:space="preserve"> Sentencia </w:t>
      </w:r>
      <w:hyperlink w:anchor="SENTENCIA_2013_17" w:history="1">
        <w:r w:rsidRPr="00E27756">
          <w:rPr>
            <w:rStyle w:val="TextoNormalCaracter"/>
          </w:rPr>
          <w:t>17/2013</w:t>
        </w:r>
      </w:hyperlink>
      <w:r>
        <w:t>, ff. 1, 10.</w:t>
      </w:r>
    </w:p>
    <w:p w:rsidR="00E27756" w:rsidRDefault="00E27756" w:rsidP="00E27756">
      <w:pPr>
        <w:pStyle w:val="SangriaFrancesaArticulo"/>
      </w:pPr>
      <w:r w:rsidRPr="00E27756">
        <w:rPr>
          <w:rStyle w:val="TextoNormalNegritaCaracter"/>
        </w:rPr>
        <w:t>Artículo 1 apartado 40.</w:t>
      </w:r>
      <w:r w:rsidRPr="00E27756">
        <w:rPr>
          <w:rStyle w:val="TextoNormalCaracter"/>
        </w:rPr>
        <w:t>-</w:t>
      </w:r>
      <w:r>
        <w:t xml:space="preserve"> Sentencia </w:t>
      </w:r>
      <w:hyperlink w:anchor="SENTENCIA_2013_17" w:history="1">
        <w:r w:rsidRPr="00E27756">
          <w:rPr>
            <w:rStyle w:val="TextoNormalCaracter"/>
          </w:rPr>
          <w:t>17/2013</w:t>
        </w:r>
      </w:hyperlink>
      <w:r>
        <w:t>, ff. 1, 3, 7.</w:t>
      </w:r>
    </w:p>
    <w:p w:rsidR="00E27756" w:rsidRDefault="00E27756" w:rsidP="00E27756">
      <w:pPr>
        <w:pStyle w:val="SangriaFrancesaArticulo"/>
      </w:pPr>
      <w:r w:rsidRPr="00E27756">
        <w:rPr>
          <w:rStyle w:val="TextoNormalNegritaCaracter"/>
        </w:rPr>
        <w:t>Artículo 3 apartado 3.</w:t>
      </w:r>
      <w:r w:rsidRPr="00E27756">
        <w:rPr>
          <w:rStyle w:val="TextoNormalCaracter"/>
        </w:rPr>
        <w:t>-</w:t>
      </w:r>
      <w:r>
        <w:t xml:space="preserve"> Sentencia </w:t>
      </w:r>
      <w:hyperlink w:anchor="SENTENCIA_2013_17" w:history="1">
        <w:r w:rsidRPr="00E27756">
          <w:rPr>
            <w:rStyle w:val="TextoNormalCaracter"/>
          </w:rPr>
          <w:t>17/2013</w:t>
        </w:r>
      </w:hyperlink>
      <w:r>
        <w:t>, ff. 1, 3, 8.</w:t>
      </w:r>
    </w:p>
    <w:p w:rsidR="00E27756" w:rsidRDefault="00E27756" w:rsidP="00E27756">
      <w:pPr>
        <w:pStyle w:val="SangriaFrancesaArticulo"/>
      </w:pPr>
      <w:r w:rsidRPr="00E27756">
        <w:rPr>
          <w:rStyle w:val="TextoNormalNegritaCaracter"/>
        </w:rPr>
        <w:t>Artículo 3 apartado 5.</w:t>
      </w:r>
      <w:r w:rsidRPr="00E27756">
        <w:rPr>
          <w:rStyle w:val="TextoNormalCaracter"/>
        </w:rPr>
        <w:t>-</w:t>
      </w:r>
      <w:r>
        <w:t xml:space="preserve"> Sentencia </w:t>
      </w:r>
      <w:hyperlink w:anchor="SENTENCIA_2013_17" w:history="1">
        <w:r w:rsidRPr="00E27756">
          <w:rPr>
            <w:rStyle w:val="TextoNormalCaracter"/>
          </w:rPr>
          <w:t>17/2013</w:t>
        </w:r>
      </w:hyperlink>
      <w:r>
        <w:t>, ff. 1, 3, 8, VP.</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17" w:history="1">
        <w:r w:rsidRPr="00E27756">
          <w:rPr>
            <w:rStyle w:val="TextoNormalCaracter"/>
          </w:rPr>
          <w:t>17/2013</w:t>
        </w:r>
      </w:hyperlink>
      <w:r>
        <w:t>, f. 10.</w:t>
      </w:r>
    </w:p>
    <w:p w:rsidR="00E27756" w:rsidRDefault="00E27756" w:rsidP="00E27756">
      <w:pPr>
        <w:pStyle w:val="SangriaFrancesaArticulo"/>
      </w:pPr>
    </w:p>
    <w:p w:rsidR="00E27756" w:rsidRDefault="00E27756" w:rsidP="00E27756">
      <w:pPr>
        <w:pStyle w:val="TextoNormalNegritaCursivandice"/>
      </w:pPr>
      <w:r>
        <w:t>Ley Orgánica 19/2003, de 23 de diciembre. Modificación de la Ley Orgánica 6/1985, de 1 de julio, del Poder Judicial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 w:history="1">
        <w:r w:rsidRPr="00E27756">
          <w:rPr>
            <w:rStyle w:val="TextoNormalCaracter"/>
          </w:rPr>
          <w:t>1/2013</w:t>
        </w:r>
      </w:hyperlink>
      <w:r>
        <w:t xml:space="preserve">, ff. 1, 2; </w:t>
      </w:r>
      <w:hyperlink w:anchor="SENTENCIA_2013_2" w:history="1">
        <w:r w:rsidRPr="00E27756">
          <w:rPr>
            <w:rStyle w:val="TextoNormalCaracter"/>
          </w:rPr>
          <w:t>2/2013</w:t>
        </w:r>
      </w:hyperlink>
      <w:r>
        <w:t xml:space="preserve">, f. 5; </w:t>
      </w:r>
      <w:hyperlink w:anchor="SENTENCIA_2013_18" w:history="1">
        <w:r w:rsidRPr="00E27756">
          <w:rPr>
            <w:rStyle w:val="TextoNormalCaracter"/>
          </w:rPr>
          <w:t>18/2013</w:t>
        </w:r>
      </w:hyperlink>
      <w:r>
        <w:t xml:space="preserve">, ff. 3, 4, 6; </w:t>
      </w:r>
      <w:hyperlink w:anchor="SENTENCIA_2013_56" w:history="1">
        <w:r w:rsidRPr="00E27756">
          <w:rPr>
            <w:rStyle w:val="TextoNormalCaracter"/>
          </w:rPr>
          <w:t>56/2013</w:t>
        </w:r>
      </w:hyperlink>
      <w:r>
        <w:t xml:space="preserve">, f. 1; </w:t>
      </w:r>
      <w:hyperlink w:anchor="SENTENCIA_2013_133" w:history="1">
        <w:r w:rsidRPr="00E27756">
          <w:rPr>
            <w:rStyle w:val="TextoNormalCaracter"/>
          </w:rPr>
          <w:t>133/2013</w:t>
        </w:r>
      </w:hyperlink>
      <w:r>
        <w:t>, f. 3.</w:t>
      </w:r>
    </w:p>
    <w:p w:rsidR="00E27756" w:rsidRDefault="00E27756" w:rsidP="00E27756">
      <w:pPr>
        <w:pStyle w:val="SangriaFrancesaArticulo"/>
      </w:pPr>
      <w:r w:rsidRPr="00E27756">
        <w:rPr>
          <w:rStyle w:val="TextoNormalNegritaCaracter"/>
        </w:rPr>
        <w:t>Artículo único 40.</w:t>
      </w:r>
      <w:r w:rsidRPr="00E27756">
        <w:rPr>
          <w:rStyle w:val="TextoNormalCaracter"/>
        </w:rPr>
        <w:t>-</w:t>
      </w:r>
      <w:r>
        <w:t xml:space="preserve"> Sentencia </w:t>
      </w:r>
      <w:hyperlink w:anchor="SENTENCIA_2013_11" w:history="1">
        <w:r w:rsidRPr="00E27756">
          <w:rPr>
            <w:rStyle w:val="TextoNormalCaracter"/>
          </w:rPr>
          <w:t>11/2013</w:t>
        </w:r>
      </w:hyperlink>
      <w:r>
        <w:t>, f. 4.</w:t>
      </w:r>
    </w:p>
    <w:p w:rsidR="00E27756" w:rsidRDefault="00E27756" w:rsidP="00E27756">
      <w:pPr>
        <w:pStyle w:val="SangriaFrancesaArticulo"/>
      </w:pPr>
    </w:p>
    <w:p w:rsidR="00E27756" w:rsidRDefault="00E27756" w:rsidP="00E27756">
      <w:pPr>
        <w:pStyle w:val="TextoNormalNegritaCursivandice"/>
      </w:pPr>
      <w:r>
        <w:t>Ley Orgánica 2/2006, de 3 de mayo. Educación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6" w:history="1">
        <w:r w:rsidRPr="00E27756">
          <w:rPr>
            <w:rStyle w:val="TextoNormalCaracter"/>
          </w:rPr>
          <w:t>6/2013</w:t>
        </w:r>
      </w:hyperlink>
      <w:r>
        <w:t xml:space="preserve">, f. 2; </w:t>
      </w:r>
      <w:hyperlink w:anchor="SENTENCIA_2013_15" w:history="1">
        <w:r w:rsidRPr="00E27756">
          <w:rPr>
            <w:rStyle w:val="TextoNormalCaracter"/>
          </w:rPr>
          <w:t>15/2013</w:t>
        </w:r>
      </w:hyperlink>
      <w:r>
        <w:t xml:space="preserve">, f. 2; </w:t>
      </w:r>
      <w:hyperlink w:anchor="SENTENCIA_2013_24" w:history="1">
        <w:r w:rsidRPr="00E27756">
          <w:rPr>
            <w:rStyle w:val="TextoNormalCaracter"/>
          </w:rPr>
          <w:t>24/2013</w:t>
        </w:r>
      </w:hyperlink>
      <w:r>
        <w:t xml:space="preserve">, ff. 2, 3, 5 a 7; </w:t>
      </w:r>
      <w:hyperlink w:anchor="SENTENCIA_2013_25" w:history="1">
        <w:r w:rsidRPr="00E27756">
          <w:rPr>
            <w:rStyle w:val="TextoNormalCaracter"/>
          </w:rPr>
          <w:t>25/2013</w:t>
        </w:r>
      </w:hyperlink>
      <w:r>
        <w:t xml:space="preserve">, ff. 4, 5; </w:t>
      </w:r>
      <w:hyperlink w:anchor="SENTENCIA_2013_47" w:history="1">
        <w:r w:rsidRPr="00E27756">
          <w:rPr>
            <w:rStyle w:val="TextoNormalCaracter"/>
          </w:rPr>
          <w:t>47/2013</w:t>
        </w:r>
      </w:hyperlink>
      <w:r>
        <w:t xml:space="preserve">, f. 2; </w:t>
      </w:r>
      <w:hyperlink w:anchor="SENTENCIA_2013_48" w:history="1">
        <w:r w:rsidRPr="00E27756">
          <w:rPr>
            <w:rStyle w:val="TextoNormalCaracter"/>
          </w:rPr>
          <w:t>48/2013</w:t>
        </w:r>
      </w:hyperlink>
      <w:r>
        <w:t>, f. 2.</w:t>
      </w:r>
    </w:p>
    <w:p w:rsidR="00E27756" w:rsidRDefault="00E27756" w:rsidP="00E27756">
      <w:pPr>
        <w:pStyle w:val="SangriaIzquierdaArticulo"/>
      </w:pPr>
      <w:r>
        <w:t xml:space="preserve">Autos </w:t>
      </w:r>
      <w:hyperlink w:anchor="AUTO_2013_33" w:history="1">
        <w:r w:rsidRPr="00E27756">
          <w:rPr>
            <w:rStyle w:val="TextoNormalCaracter"/>
          </w:rPr>
          <w:t>33/2013</w:t>
        </w:r>
      </w:hyperlink>
      <w:r>
        <w:t xml:space="preserve">, f. 2; </w:t>
      </w:r>
      <w:hyperlink w:anchor="AUTO_2013_58" w:history="1">
        <w:r w:rsidRPr="00E27756">
          <w:rPr>
            <w:rStyle w:val="TextoNormalCaracter"/>
          </w:rPr>
          <w:t>58/2013</w:t>
        </w:r>
      </w:hyperlink>
      <w:r>
        <w:t>, f. 2.</w:t>
      </w:r>
    </w:p>
    <w:p w:rsidR="00E27756" w:rsidRDefault="00E27756" w:rsidP="00E27756">
      <w:pPr>
        <w:pStyle w:val="SangriaFrancesaArticulo"/>
      </w:pPr>
      <w:r w:rsidRPr="00E27756">
        <w:rPr>
          <w:rStyle w:val="TextoNormalNegritaCaracter"/>
        </w:rPr>
        <w:t>Título preliminar.</w:t>
      </w:r>
      <w:r w:rsidRPr="00E27756">
        <w:rPr>
          <w:rStyle w:val="TextoNormalCaracter"/>
        </w:rPr>
        <w:t>-</w:t>
      </w:r>
      <w:r>
        <w:t xml:space="preserve"> Sentencia </w:t>
      </w:r>
      <w:hyperlink w:anchor="SENTENCIA_2013_24" w:history="1">
        <w:r w:rsidRPr="00E27756">
          <w:rPr>
            <w:rStyle w:val="TextoNormalCaracter"/>
          </w:rPr>
          <w:t>24/2013</w:t>
        </w:r>
      </w:hyperlink>
      <w:r>
        <w:t>, f. 5.</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24" w:history="1">
        <w:r w:rsidRPr="00E27756">
          <w:rPr>
            <w:rStyle w:val="TextoNormalCaracter"/>
          </w:rPr>
          <w:t>24/2013</w:t>
        </w:r>
      </w:hyperlink>
      <w:r>
        <w:t>, f. 5.</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 </w:t>
      </w:r>
      <w:hyperlink w:anchor="SENTENCIA_2013_25" w:history="1">
        <w:r w:rsidRPr="00E27756">
          <w:rPr>
            <w:rStyle w:val="TextoNormalCaracter"/>
          </w:rPr>
          <w:t>25/2013</w:t>
        </w:r>
      </w:hyperlink>
      <w:r>
        <w:t>, f. 5.</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24" w:history="1">
        <w:r w:rsidRPr="00E27756">
          <w:rPr>
            <w:rStyle w:val="TextoNormalCaracter"/>
          </w:rPr>
          <w:t>24/2013</w:t>
        </w:r>
      </w:hyperlink>
      <w:r>
        <w:t>, ff. 5, 6.</w:t>
      </w:r>
    </w:p>
    <w:p w:rsidR="00E27756" w:rsidRDefault="00E27756" w:rsidP="00E27756">
      <w:pPr>
        <w:pStyle w:val="SangriaFrancesaArticulo"/>
      </w:pPr>
      <w:r w:rsidRPr="00E27756">
        <w:rPr>
          <w:rStyle w:val="TextoNormalNegritaCaracter"/>
        </w:rPr>
        <w:t>Artículo 6.1.</w:t>
      </w:r>
      <w:r w:rsidRPr="00E27756">
        <w:rPr>
          <w:rStyle w:val="TextoNormalCaracter"/>
        </w:rPr>
        <w:t>-</w:t>
      </w:r>
      <w:r>
        <w:t xml:space="preserve"> Sentencia </w:t>
      </w:r>
      <w:hyperlink w:anchor="SENTENCIA_2013_24" w:history="1">
        <w:r w:rsidRPr="00E27756">
          <w:rPr>
            <w:rStyle w:val="TextoNormalCaracter"/>
          </w:rPr>
          <w:t>24/2013</w:t>
        </w:r>
      </w:hyperlink>
      <w:r>
        <w:t>, f. 5.</w:t>
      </w:r>
    </w:p>
    <w:p w:rsidR="00E27756" w:rsidRDefault="00E27756" w:rsidP="00E27756">
      <w:pPr>
        <w:pStyle w:val="SangriaFrancesaArticulo"/>
      </w:pPr>
      <w:r w:rsidRPr="00E27756">
        <w:rPr>
          <w:rStyle w:val="TextoNormalNegritaCaracter"/>
        </w:rPr>
        <w:t>Artículo 6.2.</w:t>
      </w:r>
      <w:r w:rsidRPr="00E27756">
        <w:rPr>
          <w:rStyle w:val="TextoNormalCaracter"/>
        </w:rPr>
        <w:t>-</w:t>
      </w:r>
      <w:r>
        <w:t xml:space="preserve"> Sentencias </w:t>
      </w:r>
      <w:hyperlink w:anchor="SENTENCIA_2013_24" w:history="1">
        <w:r w:rsidRPr="00E27756">
          <w:rPr>
            <w:rStyle w:val="TextoNormalCaracter"/>
          </w:rPr>
          <w:t>24/2013</w:t>
        </w:r>
      </w:hyperlink>
      <w:r>
        <w:t xml:space="preserve">, ff. 1, 5; </w:t>
      </w:r>
      <w:hyperlink w:anchor="SENTENCIA_2013_25" w:history="1">
        <w:r w:rsidRPr="00E27756">
          <w:rPr>
            <w:rStyle w:val="TextoNormalCaracter"/>
          </w:rPr>
          <w:t>25/2013</w:t>
        </w:r>
      </w:hyperlink>
      <w:r>
        <w:t xml:space="preserve">, f. 5; </w:t>
      </w:r>
      <w:hyperlink w:anchor="SENTENCIA_2013_48" w:history="1">
        <w:r w:rsidRPr="00E27756">
          <w:rPr>
            <w:rStyle w:val="TextoNormalCaracter"/>
          </w:rPr>
          <w:t>48/2013</w:t>
        </w:r>
      </w:hyperlink>
      <w:r>
        <w:t>, f. 2.</w:t>
      </w:r>
    </w:p>
    <w:p w:rsidR="00E27756" w:rsidRDefault="00E27756" w:rsidP="00E27756">
      <w:pPr>
        <w:pStyle w:val="SangriaIzquierdaArticulo"/>
      </w:pPr>
      <w:r>
        <w:t xml:space="preserve">Auto </w:t>
      </w:r>
      <w:hyperlink w:anchor="AUTO_2013_33" w:history="1">
        <w:r w:rsidRPr="00E27756">
          <w:rPr>
            <w:rStyle w:val="TextoNormalCaracter"/>
          </w:rPr>
          <w:t>33/2013</w:t>
        </w:r>
      </w:hyperlink>
      <w:r>
        <w:t>, f. 2.</w:t>
      </w:r>
    </w:p>
    <w:p w:rsidR="00E27756" w:rsidRDefault="00E27756" w:rsidP="00E27756">
      <w:pPr>
        <w:pStyle w:val="SangriaFrancesaArticulo"/>
      </w:pPr>
      <w:r w:rsidRPr="00E27756">
        <w:rPr>
          <w:rStyle w:val="TextoNormalNegritaCaracter"/>
        </w:rPr>
        <w:t>Artículo 6.3.</w:t>
      </w:r>
      <w:r w:rsidRPr="00E27756">
        <w:rPr>
          <w:rStyle w:val="TextoNormalCaracter"/>
        </w:rPr>
        <w:t>-</w:t>
      </w:r>
      <w:r>
        <w:t xml:space="preserve"> Sentencias </w:t>
      </w:r>
      <w:hyperlink w:anchor="SENTENCIA_2013_24" w:history="1">
        <w:r w:rsidRPr="00E27756">
          <w:rPr>
            <w:rStyle w:val="TextoNormalCaracter"/>
          </w:rPr>
          <w:t>24/2013</w:t>
        </w:r>
      </w:hyperlink>
      <w:r>
        <w:t xml:space="preserve">, f. 7; </w:t>
      </w:r>
      <w:hyperlink w:anchor="SENTENCIA_2013_48" w:history="1">
        <w:r w:rsidRPr="00E27756">
          <w:rPr>
            <w:rStyle w:val="TextoNormalCaracter"/>
          </w:rPr>
          <w:t>48/2013</w:t>
        </w:r>
      </w:hyperlink>
      <w:r>
        <w:t>, f. 4.</w:t>
      </w:r>
    </w:p>
    <w:p w:rsidR="00E27756" w:rsidRDefault="00E27756" w:rsidP="00E27756">
      <w:pPr>
        <w:pStyle w:val="SangriaFrancesaArticulo"/>
      </w:pPr>
      <w:r w:rsidRPr="00E27756">
        <w:rPr>
          <w:rStyle w:val="TextoNormalNegritaCaracter"/>
        </w:rPr>
        <w:t>Artículo 6.4.</w:t>
      </w:r>
      <w:r w:rsidRPr="00E27756">
        <w:rPr>
          <w:rStyle w:val="TextoNormalCaracter"/>
        </w:rPr>
        <w:t>-</w:t>
      </w:r>
      <w:r>
        <w:t xml:space="preserve"> Sentencia </w:t>
      </w:r>
      <w:hyperlink w:anchor="SENTENCIA_2013_24" w:history="1">
        <w:r w:rsidRPr="00E27756">
          <w:rPr>
            <w:rStyle w:val="TextoNormalCaracter"/>
          </w:rPr>
          <w:t>24/2013</w:t>
        </w:r>
      </w:hyperlink>
      <w:r>
        <w:t>, f. 5.</w:t>
      </w:r>
    </w:p>
    <w:p w:rsidR="00E27756" w:rsidRDefault="00E27756" w:rsidP="00E27756">
      <w:pPr>
        <w:pStyle w:val="SangriaFrancesaArticulo"/>
      </w:pPr>
      <w:r w:rsidRPr="00E27756">
        <w:rPr>
          <w:rStyle w:val="TextoNormalNegritaCaracter"/>
        </w:rPr>
        <w:t>Artículo 6.5.</w:t>
      </w:r>
      <w:r w:rsidRPr="00E27756">
        <w:rPr>
          <w:rStyle w:val="TextoNormalCaracter"/>
        </w:rPr>
        <w:t>-</w:t>
      </w:r>
      <w:r>
        <w:t xml:space="preserve"> Sentencia </w:t>
      </w:r>
      <w:hyperlink w:anchor="SENTENCIA_2013_24" w:history="1">
        <w:r w:rsidRPr="00E27756">
          <w:rPr>
            <w:rStyle w:val="TextoNormalCaracter"/>
          </w:rPr>
          <w:t>24/2013</w:t>
        </w:r>
      </w:hyperlink>
      <w:r>
        <w:t>, f. 5.</w:t>
      </w:r>
    </w:p>
    <w:p w:rsidR="00E27756" w:rsidRDefault="00E27756" w:rsidP="00E27756">
      <w:pPr>
        <w:pStyle w:val="SangriaFrancesaArticulo"/>
      </w:pPr>
      <w:r w:rsidRPr="00E27756">
        <w:rPr>
          <w:rStyle w:val="TextoNormalNegritaCaracter"/>
        </w:rPr>
        <w:t>Artículo 12.1.</w:t>
      </w:r>
      <w:r w:rsidRPr="00E27756">
        <w:rPr>
          <w:rStyle w:val="TextoNormalCaracter"/>
        </w:rPr>
        <w:t>-</w:t>
      </w:r>
      <w:r>
        <w:t xml:space="preserve"> Sentencia </w:t>
      </w:r>
      <w:hyperlink w:anchor="SENTENCIA_2013_47" w:history="1">
        <w:r w:rsidRPr="00E27756">
          <w:rPr>
            <w:rStyle w:val="TextoNormalCaracter"/>
          </w:rPr>
          <w:t>47/2013</w:t>
        </w:r>
      </w:hyperlink>
      <w:r>
        <w:t>, f. 2.</w:t>
      </w:r>
    </w:p>
    <w:p w:rsidR="00E27756" w:rsidRDefault="00E27756" w:rsidP="00E27756">
      <w:pPr>
        <w:pStyle w:val="SangriaFrancesaArticulo"/>
      </w:pPr>
      <w:r w:rsidRPr="00E27756">
        <w:rPr>
          <w:rStyle w:val="TextoNormalNegritaCaracter"/>
        </w:rPr>
        <w:t>Artículos 12 a 15.</w:t>
      </w:r>
      <w:r w:rsidRPr="00E27756">
        <w:rPr>
          <w:rStyle w:val="TextoNormalCaracter"/>
        </w:rPr>
        <w:t>-</w:t>
      </w:r>
      <w:r>
        <w:t xml:space="preserve"> Sentencia </w:t>
      </w:r>
      <w:hyperlink w:anchor="SENTENCIA_2013_47" w:history="1">
        <w:r w:rsidRPr="00E27756">
          <w:rPr>
            <w:rStyle w:val="TextoNormalCaracter"/>
          </w:rPr>
          <w:t>47/2013</w:t>
        </w:r>
      </w:hyperlink>
      <w:r>
        <w:t>, f. 2.</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47" w:history="1">
        <w:r w:rsidRPr="00E27756">
          <w:rPr>
            <w:rStyle w:val="TextoNormalCaracter"/>
          </w:rPr>
          <w:t>47/2013</w:t>
        </w:r>
      </w:hyperlink>
      <w:r>
        <w:t>, f. 2.</w:t>
      </w:r>
    </w:p>
    <w:p w:rsidR="00E27756" w:rsidRDefault="00E27756" w:rsidP="00E27756">
      <w:pPr>
        <w:pStyle w:val="SangriaFrancesaArticulo"/>
      </w:pPr>
      <w:r w:rsidRPr="00E27756">
        <w:rPr>
          <w:rStyle w:val="TextoNormalNegritaCaracter"/>
        </w:rPr>
        <w:t>Artículo 14.</w:t>
      </w:r>
      <w:r w:rsidRPr="00E27756">
        <w:rPr>
          <w:rStyle w:val="TextoNormalCaracter"/>
        </w:rPr>
        <w:t>-</w:t>
      </w:r>
      <w:r>
        <w:t xml:space="preserve"> Sentencia </w:t>
      </w:r>
      <w:hyperlink w:anchor="SENTENCIA_2013_47" w:history="1">
        <w:r w:rsidRPr="00E27756">
          <w:rPr>
            <w:rStyle w:val="TextoNormalCaracter"/>
          </w:rPr>
          <w:t>47/2013</w:t>
        </w:r>
      </w:hyperlink>
      <w:r>
        <w:t>, f. 2.</w:t>
      </w:r>
    </w:p>
    <w:p w:rsidR="00E27756" w:rsidRDefault="00E27756" w:rsidP="00E27756">
      <w:pPr>
        <w:pStyle w:val="SangriaFrancesaArticulo"/>
      </w:pPr>
      <w:r w:rsidRPr="00E27756">
        <w:rPr>
          <w:rStyle w:val="TextoNormalNegritaCaracter"/>
        </w:rPr>
        <w:t>Artículo 14.7.</w:t>
      </w:r>
      <w:r w:rsidRPr="00E27756">
        <w:rPr>
          <w:rStyle w:val="TextoNormalCaracter"/>
        </w:rPr>
        <w:t>-</w:t>
      </w:r>
      <w:r>
        <w:t xml:space="preserve"> Sentencia </w:t>
      </w:r>
      <w:hyperlink w:anchor="SENTENCIA_2013_47" w:history="1">
        <w:r w:rsidRPr="00E27756">
          <w:rPr>
            <w:rStyle w:val="TextoNormalCaracter"/>
          </w:rPr>
          <w:t>47/2013</w:t>
        </w:r>
      </w:hyperlink>
      <w:r>
        <w:t>, f. 2.</w:t>
      </w:r>
    </w:p>
    <w:p w:rsidR="00E27756" w:rsidRDefault="00E27756" w:rsidP="00E27756">
      <w:pPr>
        <w:pStyle w:val="SangriaFrancesaArticulo"/>
      </w:pPr>
      <w:r w:rsidRPr="00E27756">
        <w:rPr>
          <w:rStyle w:val="TextoNormalNegritaCaracter"/>
        </w:rPr>
        <w:lastRenderedPageBreak/>
        <w:t>Artículo 22.</w:t>
      </w:r>
      <w:r w:rsidRPr="00E27756">
        <w:rPr>
          <w:rStyle w:val="TextoNormalCaracter"/>
        </w:rPr>
        <w:t>-</w:t>
      </w:r>
      <w:r>
        <w:t xml:space="preserve"> Sentencia </w:t>
      </w:r>
      <w:hyperlink w:anchor="SENTENCIA_2013_24" w:history="1">
        <w:r w:rsidRPr="00E27756">
          <w:rPr>
            <w:rStyle w:val="TextoNormalCaracter"/>
          </w:rPr>
          <w:t>24/2013</w:t>
        </w:r>
      </w:hyperlink>
      <w:r>
        <w:t>, f. 5.</w:t>
      </w:r>
    </w:p>
    <w:p w:rsidR="00E27756" w:rsidRDefault="00E27756" w:rsidP="00E27756">
      <w:pPr>
        <w:pStyle w:val="SangriaFrancesaArticulo"/>
      </w:pPr>
      <w:r w:rsidRPr="00E27756">
        <w:rPr>
          <w:rStyle w:val="TextoNormalNegritaCaracter"/>
        </w:rPr>
        <w:t>Artículo 24.</w:t>
      </w:r>
      <w:r w:rsidRPr="00E27756">
        <w:rPr>
          <w:rStyle w:val="TextoNormalCaracter"/>
        </w:rPr>
        <w:t>-</w:t>
      </w:r>
      <w:r>
        <w:t xml:space="preserve"> Sentencia </w:t>
      </w:r>
      <w:hyperlink w:anchor="SENTENCIA_2013_24" w:history="1">
        <w:r w:rsidRPr="00E27756">
          <w:rPr>
            <w:rStyle w:val="TextoNormalCaracter"/>
          </w:rPr>
          <w:t>24/2013</w:t>
        </w:r>
      </w:hyperlink>
      <w:r>
        <w:t>, ff. 5, 6.</w:t>
      </w:r>
    </w:p>
    <w:p w:rsidR="00E27756" w:rsidRDefault="00E27756" w:rsidP="00E27756">
      <w:pPr>
        <w:pStyle w:val="SangriaFrancesaArticulo"/>
      </w:pPr>
      <w:r w:rsidRPr="00E27756">
        <w:rPr>
          <w:rStyle w:val="TextoNormalNegritaCaracter"/>
        </w:rPr>
        <w:t>Artículo 25.</w:t>
      </w:r>
      <w:r w:rsidRPr="00E27756">
        <w:rPr>
          <w:rStyle w:val="TextoNormalCaracter"/>
        </w:rPr>
        <w:t>-</w:t>
      </w:r>
      <w:r>
        <w:t xml:space="preserve"> Sentencia </w:t>
      </w:r>
      <w:hyperlink w:anchor="SENTENCIA_2013_24" w:history="1">
        <w:r w:rsidRPr="00E27756">
          <w:rPr>
            <w:rStyle w:val="TextoNormalCaracter"/>
          </w:rPr>
          <w:t>24/2013</w:t>
        </w:r>
      </w:hyperlink>
      <w:r>
        <w:t>, ff. 5, 6.</w:t>
      </w:r>
    </w:p>
    <w:p w:rsidR="00E27756" w:rsidRDefault="00E27756" w:rsidP="00E27756">
      <w:pPr>
        <w:pStyle w:val="SangriaFrancesaArticulo"/>
      </w:pPr>
      <w:r w:rsidRPr="00E27756">
        <w:rPr>
          <w:rStyle w:val="TextoNormalNegritaCaracter"/>
        </w:rPr>
        <w:t>Artículo 30.</w:t>
      </w:r>
      <w:r w:rsidRPr="00E27756">
        <w:rPr>
          <w:rStyle w:val="TextoNormalCaracter"/>
        </w:rPr>
        <w:t>-</w:t>
      </w:r>
      <w:r>
        <w:t xml:space="preserve"> Sentencia </w:t>
      </w:r>
      <w:hyperlink w:anchor="SENTENCIA_2013_24" w:history="1">
        <w:r w:rsidRPr="00E27756">
          <w:rPr>
            <w:rStyle w:val="TextoNormalCaracter"/>
          </w:rPr>
          <w:t>24/2013</w:t>
        </w:r>
      </w:hyperlink>
      <w:r>
        <w:t>, f. 5.</w:t>
      </w:r>
    </w:p>
    <w:p w:rsidR="00E27756" w:rsidRDefault="00E27756" w:rsidP="00E27756">
      <w:pPr>
        <w:pStyle w:val="SangriaFrancesaArticulo"/>
      </w:pPr>
      <w:r w:rsidRPr="00E27756">
        <w:rPr>
          <w:rStyle w:val="TextoNormalNegritaCaracter"/>
        </w:rPr>
        <w:t>Artículo 30.6.</w:t>
      </w:r>
      <w:r w:rsidRPr="00E27756">
        <w:rPr>
          <w:rStyle w:val="TextoNormalCaracter"/>
        </w:rPr>
        <w:t>-</w:t>
      </w:r>
      <w:r>
        <w:t xml:space="preserve"> Sentencia </w:t>
      </w:r>
      <w:hyperlink w:anchor="SENTENCIA_2013_24" w:history="1">
        <w:r w:rsidRPr="00E27756">
          <w:rPr>
            <w:rStyle w:val="TextoNormalCaracter"/>
          </w:rPr>
          <w:t>24/2013</w:t>
        </w:r>
      </w:hyperlink>
      <w:r>
        <w:t>, f. 5.</w:t>
      </w:r>
    </w:p>
    <w:p w:rsidR="00E27756" w:rsidRDefault="00E27756" w:rsidP="00E27756">
      <w:pPr>
        <w:pStyle w:val="SangriaFrancesaArticulo"/>
      </w:pPr>
      <w:r w:rsidRPr="00E27756">
        <w:rPr>
          <w:rStyle w:val="TextoNormalNegritaCaracter"/>
        </w:rPr>
        <w:t>Artículo 39.2.</w:t>
      </w:r>
      <w:r w:rsidRPr="00E27756">
        <w:rPr>
          <w:rStyle w:val="TextoNormalCaracter"/>
        </w:rPr>
        <w:t>-</w:t>
      </w:r>
      <w:r>
        <w:t xml:space="preserve"> Sentencia </w:t>
      </w:r>
      <w:hyperlink w:anchor="SENTENCIA_2013_25" w:history="1">
        <w:r w:rsidRPr="00E27756">
          <w:rPr>
            <w:rStyle w:val="TextoNormalCaracter"/>
          </w:rPr>
          <w:t>25/2013</w:t>
        </w:r>
      </w:hyperlink>
      <w:r>
        <w:t>, f. 5.</w:t>
      </w:r>
    </w:p>
    <w:p w:rsidR="00E27756" w:rsidRDefault="00E27756" w:rsidP="00E27756">
      <w:pPr>
        <w:pStyle w:val="SangriaFrancesaArticulo"/>
      </w:pPr>
      <w:r w:rsidRPr="00E27756">
        <w:rPr>
          <w:rStyle w:val="TextoNormalNegritaCaracter"/>
        </w:rPr>
        <w:t>Artículo 42.2.</w:t>
      </w:r>
      <w:r w:rsidRPr="00E27756">
        <w:rPr>
          <w:rStyle w:val="TextoNormalCaracter"/>
        </w:rPr>
        <w:t>-</w:t>
      </w:r>
      <w:r>
        <w:t xml:space="preserve"> Sentencia </w:t>
      </w:r>
      <w:hyperlink w:anchor="SENTENCIA_2013_25" w:history="1">
        <w:r w:rsidRPr="00E27756">
          <w:rPr>
            <w:rStyle w:val="TextoNormalCaracter"/>
          </w:rPr>
          <w:t>25/2013</w:t>
        </w:r>
      </w:hyperlink>
      <w:r>
        <w:t>, f. 5.</w:t>
      </w:r>
    </w:p>
    <w:p w:rsidR="00E27756" w:rsidRDefault="00E27756" w:rsidP="00E27756">
      <w:pPr>
        <w:pStyle w:val="SangriaFrancesaArticulo"/>
      </w:pPr>
      <w:r w:rsidRPr="00E27756">
        <w:rPr>
          <w:rStyle w:val="TextoNormalNegritaCaracter"/>
        </w:rPr>
        <w:t>Artículo 44.</w:t>
      </w:r>
      <w:r w:rsidRPr="00E27756">
        <w:rPr>
          <w:rStyle w:val="TextoNormalCaracter"/>
        </w:rPr>
        <w:t>-</w:t>
      </w:r>
      <w:r>
        <w:t xml:space="preserve"> Sentencia </w:t>
      </w:r>
      <w:hyperlink w:anchor="SENTENCIA_2013_25" w:history="1">
        <w:r w:rsidRPr="00E27756">
          <w:rPr>
            <w:rStyle w:val="TextoNormalCaracter"/>
          </w:rPr>
          <w:t>25/2013</w:t>
        </w:r>
      </w:hyperlink>
      <w:r>
        <w:t>, f. 3.</w:t>
      </w:r>
    </w:p>
    <w:p w:rsidR="00E27756" w:rsidRDefault="00E27756" w:rsidP="00E27756">
      <w:pPr>
        <w:pStyle w:val="SangriaFrancesaArticulo"/>
      </w:pPr>
      <w:r w:rsidRPr="00E27756">
        <w:rPr>
          <w:rStyle w:val="TextoNormalNegritaCaracter"/>
        </w:rPr>
        <w:t>Artículo 66.3 a).</w:t>
      </w:r>
      <w:r w:rsidRPr="00E27756">
        <w:rPr>
          <w:rStyle w:val="TextoNormalCaracter"/>
        </w:rPr>
        <w:t>-</w:t>
      </w:r>
      <w:r>
        <w:t xml:space="preserve"> Sentencia </w:t>
      </w:r>
      <w:hyperlink w:anchor="SENTENCIA_2013_24" w:history="1">
        <w:r w:rsidRPr="00E27756">
          <w:rPr>
            <w:rStyle w:val="TextoNormalCaracter"/>
          </w:rPr>
          <w:t>24/2013</w:t>
        </w:r>
      </w:hyperlink>
      <w:r>
        <w:t>, f. 6.</w:t>
      </w:r>
    </w:p>
    <w:p w:rsidR="00E27756" w:rsidRDefault="00E27756" w:rsidP="00E27756">
      <w:pPr>
        <w:pStyle w:val="SangriaFrancesaArticulo"/>
      </w:pPr>
      <w:r w:rsidRPr="00E27756">
        <w:rPr>
          <w:rStyle w:val="TextoNormalNegritaCaracter"/>
        </w:rPr>
        <w:t>Artículos 66 a 69.</w:t>
      </w:r>
      <w:r w:rsidRPr="00E27756">
        <w:rPr>
          <w:rStyle w:val="TextoNormalCaracter"/>
        </w:rPr>
        <w:t>-</w:t>
      </w:r>
      <w:r>
        <w:t xml:space="preserve"> Sentencia </w:t>
      </w:r>
      <w:hyperlink w:anchor="SENTENCIA_2013_24" w:history="1">
        <w:r w:rsidRPr="00E27756">
          <w:rPr>
            <w:rStyle w:val="TextoNormalCaracter"/>
          </w:rPr>
          <w:t>24/2013</w:t>
        </w:r>
      </w:hyperlink>
      <w:r>
        <w:t>, f. 6.</w:t>
      </w:r>
    </w:p>
    <w:p w:rsidR="00E27756" w:rsidRDefault="00E27756" w:rsidP="00E27756">
      <w:pPr>
        <w:pStyle w:val="SangriaFrancesaArticulo"/>
      </w:pPr>
      <w:r w:rsidRPr="00E27756">
        <w:rPr>
          <w:rStyle w:val="TextoNormalNegritaCaracter"/>
        </w:rPr>
        <w:t>Artículo 68.1.</w:t>
      </w:r>
      <w:r w:rsidRPr="00E27756">
        <w:rPr>
          <w:rStyle w:val="TextoNormalCaracter"/>
        </w:rPr>
        <w:t>-</w:t>
      </w:r>
      <w:r>
        <w:t xml:space="preserve"> Sentencia </w:t>
      </w:r>
      <w:hyperlink w:anchor="SENTENCIA_2013_24" w:history="1">
        <w:r w:rsidRPr="00E27756">
          <w:rPr>
            <w:rStyle w:val="TextoNormalCaracter"/>
          </w:rPr>
          <w:t>24/2013</w:t>
        </w:r>
      </w:hyperlink>
      <w:r>
        <w:t>, f. 6.</w:t>
      </w:r>
    </w:p>
    <w:p w:rsidR="00E27756" w:rsidRDefault="00E27756" w:rsidP="00E27756">
      <w:pPr>
        <w:pStyle w:val="SangriaFrancesaArticulo"/>
      </w:pPr>
      <w:r w:rsidRPr="00E27756">
        <w:rPr>
          <w:rStyle w:val="TextoNormalNegritaCaracter"/>
        </w:rPr>
        <w:t>Artículo 92.1.</w:t>
      </w:r>
      <w:r w:rsidRPr="00E27756">
        <w:rPr>
          <w:rStyle w:val="TextoNormalCaracter"/>
        </w:rPr>
        <w:t>-</w:t>
      </w:r>
      <w:r>
        <w:t xml:space="preserve"> Sentencia </w:t>
      </w:r>
      <w:hyperlink w:anchor="SENTENCIA_2013_47" w:history="1">
        <w:r w:rsidRPr="00E27756">
          <w:rPr>
            <w:rStyle w:val="TextoNormalCaracter"/>
          </w:rPr>
          <w:t>47/2013</w:t>
        </w:r>
      </w:hyperlink>
      <w:r>
        <w:t>, f. 2.</w:t>
      </w:r>
    </w:p>
    <w:p w:rsidR="00E27756" w:rsidRDefault="00E27756" w:rsidP="00E27756">
      <w:pPr>
        <w:pStyle w:val="SangriaFrancesaArticulo"/>
      </w:pPr>
    </w:p>
    <w:p w:rsidR="00E27756" w:rsidRDefault="00E27756" w:rsidP="00E27756">
      <w:pPr>
        <w:pStyle w:val="TextoNormalNegritaCursivandice"/>
      </w:pPr>
      <w:r>
        <w:t>Ley Orgánica 3/2007, de 22 de marzo. Igualdad efectiva de mujeres y hombres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1" w:history="1">
        <w:r w:rsidRPr="00E27756">
          <w:rPr>
            <w:rStyle w:val="TextoNormalCaracter"/>
          </w:rPr>
          <w:t>61/2013</w:t>
        </w:r>
      </w:hyperlink>
      <w:r>
        <w:t>, f. 3.</w:t>
      </w:r>
    </w:p>
    <w:p w:rsidR="00E27756" w:rsidRDefault="00E27756" w:rsidP="00E27756">
      <w:pPr>
        <w:pStyle w:val="SangriaFrancesaArticulo"/>
      </w:pPr>
    </w:p>
    <w:p w:rsidR="00E27756" w:rsidRDefault="00E27756" w:rsidP="00E27756">
      <w:pPr>
        <w:pStyle w:val="TextoNormalNegritaCursivandice"/>
      </w:pPr>
      <w:r>
        <w:t>Ley Orgánica 4/2007, de 12 de abril. Modificación de la Ley Orgánica 6/2001, de 21 de diciembre. Universidades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31" w:history="1">
        <w:r w:rsidRPr="00E27756">
          <w:rPr>
            <w:rStyle w:val="TextoNormalCaracter"/>
          </w:rPr>
          <w:t>131/2013</w:t>
        </w:r>
      </w:hyperlink>
      <w:r>
        <w:t xml:space="preserve">, ff. 3, 4, 7; </w:t>
      </w:r>
      <w:hyperlink w:anchor="SENTENCIA_2013_134" w:history="1">
        <w:r w:rsidRPr="00E27756">
          <w:rPr>
            <w:rStyle w:val="TextoNormalCaracter"/>
          </w:rPr>
          <w:t>134/2013</w:t>
        </w:r>
      </w:hyperlink>
      <w:r>
        <w:t>, ff. 3, 8.</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Sentencia </w:t>
      </w:r>
      <w:hyperlink w:anchor="SENTENCIA_2013_131" w:history="1">
        <w:r w:rsidRPr="00E27756">
          <w:rPr>
            <w:rStyle w:val="TextoNormalCaracter"/>
          </w:rPr>
          <w:t>131/2013</w:t>
        </w:r>
      </w:hyperlink>
      <w:r>
        <w:t>, f. 10.</w:t>
      </w:r>
    </w:p>
    <w:p w:rsidR="00E27756" w:rsidRDefault="00E27756" w:rsidP="00E27756">
      <w:pPr>
        <w:pStyle w:val="SangriaFrancesaArticulo"/>
      </w:pPr>
      <w:r w:rsidRPr="00E27756">
        <w:rPr>
          <w:rStyle w:val="TextoNormalNegritaCaracter"/>
        </w:rPr>
        <w:t>Artículo 48.2.</w:t>
      </w:r>
      <w:r w:rsidRPr="00E27756">
        <w:rPr>
          <w:rStyle w:val="TextoNormalCaracter"/>
        </w:rPr>
        <w:t>-</w:t>
      </w:r>
      <w:r>
        <w:t xml:space="preserve"> Sentencia </w:t>
      </w:r>
      <w:hyperlink w:anchor="SENTENCIA_2013_131" w:history="1">
        <w:r w:rsidRPr="00E27756">
          <w:rPr>
            <w:rStyle w:val="TextoNormalCaracter"/>
          </w:rPr>
          <w:t>131/2013</w:t>
        </w:r>
      </w:hyperlink>
      <w:r>
        <w:t>, f. 4.</w:t>
      </w:r>
    </w:p>
    <w:p w:rsidR="00E27756" w:rsidRDefault="00E27756" w:rsidP="00E27756">
      <w:pPr>
        <w:pStyle w:val="SangriaFrancesaArticulo"/>
      </w:pPr>
      <w:r w:rsidRPr="00E27756">
        <w:rPr>
          <w:rStyle w:val="TextoNormalNegritaCaracter"/>
        </w:rPr>
        <w:t>Disposición transitoria segunda.</w:t>
      </w:r>
      <w:r w:rsidRPr="00E27756">
        <w:rPr>
          <w:rStyle w:val="TextoNormalCaracter"/>
        </w:rPr>
        <w:t>-</w:t>
      </w:r>
      <w:r>
        <w:t xml:space="preserve"> Sentencia </w:t>
      </w:r>
      <w:hyperlink w:anchor="SENTENCIA_2013_131" w:history="1">
        <w:r w:rsidRPr="00E27756">
          <w:rPr>
            <w:rStyle w:val="TextoNormalCaracter"/>
          </w:rPr>
          <w:t>131/2013</w:t>
        </w:r>
      </w:hyperlink>
      <w:r>
        <w:t>, ff. 4, 8.</w:t>
      </w:r>
    </w:p>
    <w:p w:rsidR="00E27756" w:rsidRDefault="00E27756" w:rsidP="00E27756">
      <w:pPr>
        <w:pStyle w:val="SangriaFrancesaArticulo"/>
      </w:pPr>
      <w:r w:rsidRPr="00E27756">
        <w:rPr>
          <w:rStyle w:val="TextoNormalNegritaCaracter"/>
        </w:rPr>
        <w:t>Disposición final octava.</w:t>
      </w:r>
      <w:r w:rsidRPr="00E27756">
        <w:rPr>
          <w:rStyle w:val="TextoNormalCaracter"/>
        </w:rPr>
        <w:t>-</w:t>
      </w:r>
      <w:r>
        <w:t xml:space="preserve"> Sentencia </w:t>
      </w:r>
      <w:hyperlink w:anchor="SENTENCIA_2013_131" w:history="1">
        <w:r w:rsidRPr="00E27756">
          <w:rPr>
            <w:rStyle w:val="TextoNormalCaracter"/>
          </w:rPr>
          <w:t>131/2013</w:t>
        </w:r>
      </w:hyperlink>
      <w:r>
        <w:t>, f. 4.</w:t>
      </w:r>
    </w:p>
    <w:p w:rsidR="00E27756" w:rsidRDefault="00E27756" w:rsidP="00E27756">
      <w:pPr>
        <w:pStyle w:val="SangriaFrancesaArticulo"/>
      </w:pPr>
    </w:p>
    <w:p w:rsidR="00E27756" w:rsidRDefault="00E27756" w:rsidP="00E27756">
      <w:pPr>
        <w:pStyle w:val="TextoNormalNegritaCursivandice"/>
      </w:pPr>
      <w:r>
        <w:t>Ley Orgánica 1/2009, de 3 de noviembre. Complementaria de la Ley de reforma de la legislación procesal para la implantación de la nueva oficina judicial, por la que se modifica la Ley Orgánica 6/1985, de 1 de julio, del Poder Judicial</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Sentencia </w:t>
      </w:r>
      <w:hyperlink w:anchor="SENTENCIA_2013_74" w:history="1">
        <w:r w:rsidRPr="00E27756">
          <w:rPr>
            <w:rStyle w:val="TextoNormalCaracter"/>
          </w:rPr>
          <w:t>74/2013</w:t>
        </w:r>
      </w:hyperlink>
      <w:r>
        <w:t>, f. 2.</w:t>
      </w:r>
    </w:p>
    <w:p w:rsidR="00E27756" w:rsidRDefault="00E27756" w:rsidP="00E27756">
      <w:pPr>
        <w:pStyle w:val="SangriaFrancesaArticulo"/>
      </w:pPr>
      <w:r w:rsidRPr="00E27756">
        <w:rPr>
          <w:rStyle w:val="TextoNormalNegritaCaracter"/>
        </w:rPr>
        <w:t>Artículo 1.19.</w:t>
      </w:r>
      <w:r w:rsidRPr="00E27756">
        <w:rPr>
          <w:rStyle w:val="TextoNormalCaracter"/>
        </w:rPr>
        <w:t>-</w:t>
      </w:r>
      <w:r>
        <w:t xml:space="preserve"> Sentencias </w:t>
      </w:r>
      <w:hyperlink w:anchor="SENTENCIA_2013_73" w:history="1">
        <w:r w:rsidRPr="00E27756">
          <w:rPr>
            <w:rStyle w:val="TextoNormalCaracter"/>
          </w:rPr>
          <w:t>73/2013</w:t>
        </w:r>
      </w:hyperlink>
      <w:r>
        <w:t xml:space="preserve">, f. 2; </w:t>
      </w:r>
      <w:hyperlink w:anchor="SENTENCIA_2013_74" w:history="1">
        <w:r w:rsidRPr="00E27756">
          <w:rPr>
            <w:rStyle w:val="TextoNormalCaracter"/>
          </w:rPr>
          <w:t>74/2013</w:t>
        </w:r>
      </w:hyperlink>
      <w:r>
        <w:t>, f. 2.</w:t>
      </w:r>
    </w:p>
    <w:p w:rsidR="00E27756" w:rsidRDefault="00E27756" w:rsidP="00E27756">
      <w:pPr>
        <w:pStyle w:val="SangriaFrancesaArticulo"/>
      </w:pPr>
      <w:r w:rsidRPr="00E27756">
        <w:rPr>
          <w:rStyle w:val="TextoNormalNegritaCaracter"/>
        </w:rPr>
        <w:t>Disposición adicional decimoquinta, apartado 6 inciso 2.</w:t>
      </w:r>
      <w:r w:rsidRPr="00E27756">
        <w:rPr>
          <w:rStyle w:val="TextoNormalCaracter"/>
        </w:rPr>
        <w:t>-</w:t>
      </w:r>
      <w:r>
        <w:t xml:space="preserve"> Sentencia </w:t>
      </w:r>
      <w:hyperlink w:anchor="SENTENCIA_2013_74" w:history="1">
        <w:r w:rsidRPr="00E27756">
          <w:rPr>
            <w:rStyle w:val="TextoNormalCaracter"/>
          </w:rPr>
          <w:t>74/2013</w:t>
        </w:r>
      </w:hyperlink>
      <w:r>
        <w:t>, f. 2.</w:t>
      </w:r>
    </w:p>
    <w:p w:rsidR="00E27756" w:rsidRDefault="00E27756" w:rsidP="00E27756">
      <w:pPr>
        <w:pStyle w:val="SangriaFrancesaArticulo"/>
      </w:pPr>
      <w:r w:rsidRPr="00E27756">
        <w:rPr>
          <w:rStyle w:val="TextoNormalNegritaCaracter"/>
        </w:rPr>
        <w:t>Disposición adicional decimoquinta, apartado 6 párrafo 1 in fine.</w:t>
      </w:r>
      <w:r w:rsidRPr="00E27756">
        <w:rPr>
          <w:rStyle w:val="TextoNormalCaracter"/>
        </w:rPr>
        <w:t>-</w:t>
      </w:r>
      <w:r>
        <w:t xml:space="preserve"> Sentencia </w:t>
      </w:r>
      <w:hyperlink w:anchor="SENTENCIA_2013_74" w:history="1">
        <w:r w:rsidRPr="00E27756">
          <w:rPr>
            <w:rStyle w:val="TextoNormalCaracter"/>
          </w:rPr>
          <w:t>74/2013</w:t>
        </w:r>
      </w:hyperlink>
      <w:r>
        <w:t>, f. 2.</w:t>
      </w:r>
    </w:p>
    <w:p w:rsidR="00E27756" w:rsidRDefault="00E27756" w:rsidP="00E27756">
      <w:pPr>
        <w:pStyle w:val="SangriaFrancesaArticulo"/>
      </w:pPr>
      <w:r w:rsidRPr="00E27756">
        <w:rPr>
          <w:rStyle w:val="TextoNormalNegritaCaracter"/>
        </w:rPr>
        <w:t>Disposición adicional decimoquinta, apartado 7 párrafo 1.</w:t>
      </w:r>
      <w:r w:rsidRPr="00E27756">
        <w:rPr>
          <w:rStyle w:val="TextoNormalCaracter"/>
        </w:rPr>
        <w:t>-</w:t>
      </w:r>
      <w:r>
        <w:t xml:space="preserve"> Sentencia </w:t>
      </w:r>
      <w:hyperlink w:anchor="SENTENCIA_2013_74" w:history="1">
        <w:r w:rsidRPr="00E27756">
          <w:rPr>
            <w:rStyle w:val="TextoNormalCaracter"/>
          </w:rPr>
          <w:t>74/2013</w:t>
        </w:r>
      </w:hyperlink>
      <w:r>
        <w:t>, f. 2.</w:t>
      </w:r>
    </w:p>
    <w:p w:rsidR="00E27756" w:rsidRDefault="00E27756" w:rsidP="00E27756">
      <w:pPr>
        <w:pStyle w:val="SangriaFrancesaArticulo"/>
      </w:pPr>
      <w:r w:rsidRPr="00E27756">
        <w:rPr>
          <w:rStyle w:val="TextoNormalNegritaCaracter"/>
        </w:rPr>
        <w:t>Disposición adicional decimoquinta, apartado 7 párrafo 2.</w:t>
      </w:r>
      <w:r w:rsidRPr="00E27756">
        <w:rPr>
          <w:rStyle w:val="TextoNormalCaracter"/>
        </w:rPr>
        <w:t>-</w:t>
      </w:r>
      <w:r>
        <w:t xml:space="preserve"> Sentencia </w:t>
      </w:r>
      <w:hyperlink w:anchor="SENTENCIA_2013_74" w:history="1">
        <w:r w:rsidRPr="00E27756">
          <w:rPr>
            <w:rStyle w:val="TextoNormalCaracter"/>
          </w:rPr>
          <w:t>74/2013</w:t>
        </w:r>
      </w:hyperlink>
      <w:r>
        <w:t>, f. 2.</w:t>
      </w:r>
    </w:p>
    <w:p w:rsidR="00E27756" w:rsidRDefault="00E27756" w:rsidP="00E27756">
      <w:pPr>
        <w:pStyle w:val="SangriaFrancesaArticulo"/>
      </w:pPr>
      <w:r w:rsidRPr="00E27756">
        <w:rPr>
          <w:rStyle w:val="TextoNormalNegritaCaracter"/>
        </w:rPr>
        <w:t>Disposición adicional decimoquinta, apartado 7 párrafo 3.</w:t>
      </w:r>
      <w:r w:rsidRPr="00E27756">
        <w:rPr>
          <w:rStyle w:val="TextoNormalCaracter"/>
        </w:rPr>
        <w:t>-</w:t>
      </w:r>
      <w:r>
        <w:t xml:space="preserve"> Sentencia </w:t>
      </w:r>
      <w:hyperlink w:anchor="SENTENCIA_2013_74" w:history="1">
        <w:r w:rsidRPr="00E27756">
          <w:rPr>
            <w:rStyle w:val="TextoNormalCaracter"/>
          </w:rPr>
          <w:t>74/2013</w:t>
        </w:r>
      </w:hyperlink>
      <w:r>
        <w:t>, f. 3.</w:t>
      </w:r>
    </w:p>
    <w:p w:rsidR="00E27756" w:rsidRDefault="00E27756" w:rsidP="00E27756">
      <w:pPr>
        <w:pStyle w:val="SangriaFrancesaArticulo"/>
      </w:pPr>
    </w:p>
    <w:p w:rsidR="00E27756" w:rsidRDefault="00E27756" w:rsidP="00E27756">
      <w:pPr>
        <w:pStyle w:val="TextoNormalNegritaCursivandice"/>
      </w:pPr>
      <w:r>
        <w:t>Ley Orgánica 2/2009, de 11 de diciembre. Reforma de la Ley Orgánica 4/2000, de 11 de enero, sobre derechos y libertades de los extranjeros en España y su integración social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ff. 1, 6, 7, 9 a 12.</w:t>
      </w:r>
    </w:p>
    <w:p w:rsidR="00E27756" w:rsidRDefault="00E27756" w:rsidP="00E27756">
      <w:pPr>
        <w:pStyle w:val="SangriaFrancesaArticulo"/>
      </w:pPr>
      <w:r w:rsidRPr="00E27756">
        <w:rPr>
          <w:rStyle w:val="TextoNormalNegritaCaracter"/>
        </w:rPr>
        <w:t>Artículo 31 bis.</w:t>
      </w:r>
      <w:r w:rsidRPr="00E27756">
        <w:rPr>
          <w:rStyle w:val="TextoNormalCaracter"/>
        </w:rPr>
        <w:t>-</w:t>
      </w:r>
      <w:r>
        <w:t xml:space="preserve"> Sentencia </w:t>
      </w:r>
      <w:hyperlink w:anchor="SENTENCIA_2013_17" w:history="1">
        <w:r w:rsidRPr="00E27756">
          <w:rPr>
            <w:rStyle w:val="TextoNormalCaracter"/>
          </w:rPr>
          <w:t>17/2013</w:t>
        </w:r>
      </w:hyperlink>
      <w:r>
        <w:t>, f. 11.</w:t>
      </w:r>
    </w:p>
    <w:p w:rsidR="00E27756" w:rsidRDefault="00E27756" w:rsidP="00E27756">
      <w:pPr>
        <w:pStyle w:val="SangriaFrancesaArticulo"/>
      </w:pPr>
      <w:r w:rsidRPr="00E27756">
        <w:rPr>
          <w:rStyle w:val="TextoNormalNegritaCaracter"/>
        </w:rPr>
        <w:t>Artículo 59.</w:t>
      </w:r>
      <w:r w:rsidRPr="00E27756">
        <w:rPr>
          <w:rStyle w:val="TextoNormalCaracter"/>
        </w:rPr>
        <w:t>-</w:t>
      </w:r>
      <w:r>
        <w:t xml:space="preserve"> Sentencia </w:t>
      </w:r>
      <w:hyperlink w:anchor="SENTENCIA_2013_17" w:history="1">
        <w:r w:rsidRPr="00E27756">
          <w:rPr>
            <w:rStyle w:val="TextoNormalCaracter"/>
          </w:rPr>
          <w:t>17/2013</w:t>
        </w:r>
      </w:hyperlink>
      <w:r>
        <w:t>, f. 11.</w:t>
      </w:r>
    </w:p>
    <w:p w:rsidR="00E27756" w:rsidRDefault="00E27756" w:rsidP="00E27756">
      <w:pPr>
        <w:pStyle w:val="SangriaFrancesaArticulo"/>
      </w:pPr>
      <w:r w:rsidRPr="00E27756">
        <w:rPr>
          <w:rStyle w:val="TextoNormalNegritaCaracter"/>
        </w:rPr>
        <w:t>Artículo 59 bis.</w:t>
      </w:r>
      <w:r w:rsidRPr="00E27756">
        <w:rPr>
          <w:rStyle w:val="TextoNormalCaracter"/>
        </w:rPr>
        <w:t>-</w:t>
      </w:r>
      <w:r>
        <w:t xml:space="preserve"> Sentencia </w:t>
      </w:r>
      <w:hyperlink w:anchor="SENTENCIA_2013_17" w:history="1">
        <w:r w:rsidRPr="00E27756">
          <w:rPr>
            <w:rStyle w:val="TextoNormalCaracter"/>
          </w:rPr>
          <w:t>17/2013</w:t>
        </w:r>
      </w:hyperlink>
      <w:r>
        <w:t>, f. 11.</w:t>
      </w:r>
    </w:p>
    <w:p w:rsidR="00E27756" w:rsidRDefault="00E27756" w:rsidP="00E27756">
      <w:pPr>
        <w:pStyle w:val="SangriaFrancesaArticulo"/>
      </w:pPr>
      <w:r w:rsidRPr="00E27756">
        <w:rPr>
          <w:rStyle w:val="TextoNormalNegritaCaracter"/>
        </w:rPr>
        <w:t>Artículo 68.3.</w:t>
      </w:r>
      <w:r w:rsidRPr="00E27756">
        <w:rPr>
          <w:rStyle w:val="TextoNormalCaracter"/>
        </w:rPr>
        <w:t>-</w:t>
      </w:r>
      <w:r>
        <w:t xml:space="preserve"> Sentencia </w:t>
      </w:r>
      <w:hyperlink w:anchor="SENTENCIA_2013_17" w:history="1">
        <w:r w:rsidRPr="00E27756">
          <w:rPr>
            <w:rStyle w:val="TextoNormalCaracter"/>
          </w:rPr>
          <w:t>17/2013</w:t>
        </w:r>
      </w:hyperlink>
      <w:r>
        <w:t>, f. 11.</w:t>
      </w:r>
    </w:p>
    <w:p w:rsidR="00E27756" w:rsidRDefault="00E27756" w:rsidP="00E27756">
      <w:pPr>
        <w:pStyle w:val="SangriaFrancesaArticulo"/>
      </w:pPr>
    </w:p>
    <w:p w:rsidR="00E27756" w:rsidRDefault="00E27756" w:rsidP="00E27756">
      <w:pPr>
        <w:pStyle w:val="TextoNormalNegritaCursivandice"/>
      </w:pPr>
      <w:r>
        <w:t>Ley Orgánica 3/2009, de 18 de diciembre. Modificación de la Ley Orgánica 8/1980, de 22 de septiembre. Financiación de las Comunidades Autónomas</w:t>
      </w:r>
    </w:p>
    <w:p w:rsidR="00E27756" w:rsidRDefault="00E27756" w:rsidP="00E27756">
      <w:pPr>
        <w:pStyle w:val="SangriaFrancesaArticulo"/>
      </w:pPr>
      <w:r w:rsidRPr="00E27756">
        <w:rPr>
          <w:rStyle w:val="TextoNormalNegritaCaracter"/>
        </w:rPr>
        <w:lastRenderedPageBreak/>
        <w:t>En general.</w:t>
      </w:r>
      <w:r w:rsidRPr="00E27756">
        <w:rPr>
          <w:rStyle w:val="TextoNormalCaracter"/>
        </w:rPr>
        <w:t>-</w:t>
      </w:r>
      <w:r>
        <w:t xml:space="preserve"> Sentencias </w:t>
      </w:r>
      <w:hyperlink w:anchor="SENTENCIA_2013_60" w:history="1">
        <w:r w:rsidRPr="00E27756">
          <w:rPr>
            <w:rStyle w:val="TextoNormalCaracter"/>
          </w:rPr>
          <w:t>60/2013</w:t>
        </w:r>
      </w:hyperlink>
      <w:r>
        <w:t xml:space="preserve">, ff. 1, 5 a 7; </w:t>
      </w:r>
      <w:hyperlink w:anchor="SENTENCIA_2013_85" w:history="1">
        <w:r w:rsidRPr="00E27756">
          <w:rPr>
            <w:rStyle w:val="TextoNormalCaracter"/>
          </w:rPr>
          <w:t>85/2013</w:t>
        </w:r>
      </w:hyperlink>
      <w:r>
        <w:t xml:space="preserve">, ff. 2, 3; </w:t>
      </w:r>
      <w:hyperlink w:anchor="SENTENCIA_2013_96" w:history="1">
        <w:r w:rsidRPr="00E27756">
          <w:rPr>
            <w:rStyle w:val="TextoNormalCaracter"/>
          </w:rPr>
          <w:t>96/2013</w:t>
        </w:r>
      </w:hyperlink>
      <w:r>
        <w:t xml:space="preserve">, ff. 10, 11; </w:t>
      </w:r>
      <w:hyperlink w:anchor="SENTENCIA_2013_101" w:history="1">
        <w:r w:rsidRPr="00E27756">
          <w:rPr>
            <w:rStyle w:val="TextoNormalCaracter"/>
          </w:rPr>
          <w:t>101/2013</w:t>
        </w:r>
      </w:hyperlink>
      <w:r>
        <w:t>, f. 8.</w:t>
      </w:r>
    </w:p>
    <w:p w:rsidR="00E27756" w:rsidRDefault="00E27756" w:rsidP="00E27756">
      <w:pPr>
        <w:pStyle w:val="SangriaFrancesaArticulo"/>
      </w:pPr>
    </w:p>
    <w:p w:rsidR="00E27756" w:rsidRDefault="00E27756" w:rsidP="00E27756">
      <w:pPr>
        <w:pStyle w:val="TextoNormalNegritaCursivandice"/>
      </w:pPr>
      <w:r>
        <w:t>Ley Orgánica 5/2010, de 22 de junio. Modifica la Ley Orgánica 10/1995, de 23 de noviembre, del Código penal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2" w:history="1">
        <w:r w:rsidRPr="00E27756">
          <w:rPr>
            <w:rStyle w:val="TextoNormalCaracter"/>
          </w:rPr>
          <w:t>2/2013</w:t>
        </w:r>
      </w:hyperlink>
      <w:r>
        <w:t xml:space="preserve">, f. 7; </w:t>
      </w:r>
      <w:hyperlink w:anchor="SENTENCIA_2013_78" w:history="1">
        <w:r w:rsidRPr="00E27756">
          <w:rPr>
            <w:rStyle w:val="TextoNormalCaracter"/>
          </w:rPr>
          <w:t>78/2013</w:t>
        </w:r>
      </w:hyperlink>
      <w:r>
        <w:t>, f. 3.</w:t>
      </w:r>
    </w:p>
    <w:p w:rsidR="00E27756" w:rsidRDefault="00E27756" w:rsidP="00E27756">
      <w:pPr>
        <w:pStyle w:val="SangriaFrancesaArticulo"/>
      </w:pPr>
    </w:p>
    <w:p w:rsidR="00E27756" w:rsidRDefault="00E27756" w:rsidP="00E27756">
      <w:pPr>
        <w:pStyle w:val="TextoNormalNegritaCursivandice"/>
      </w:pPr>
      <w:r>
        <w:t>Ley Orgánica 7/2010, de 27 de octubre. Reforma de la Ley Orgánica 13/1982, de 10 de agosto, de reintegración y amejoramiento del régimen foral de Navarra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 2.</w:t>
      </w:r>
    </w:p>
    <w:p w:rsidR="00E27756" w:rsidRDefault="00E27756" w:rsidP="00E27756">
      <w:pPr>
        <w:pStyle w:val="SangriaFrancesaArticulo"/>
      </w:pPr>
    </w:p>
    <w:p w:rsidR="00E27756" w:rsidRDefault="00E27756" w:rsidP="00E27756">
      <w:pPr>
        <w:pStyle w:val="TextoNormalNegritaCursivandice"/>
      </w:pPr>
      <w:r>
        <w:t>Ley Orgánica 4/2011, de 11 de marzo. Complementaria de la Ley de economía sostenible, por la que se modifican las Leyes Orgánicas 5/2002, de 19 de junio, 2/2006, de 3 de mayo, y 6/1985, de 1 de julio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4" w:history="1">
        <w:r w:rsidRPr="00E27756">
          <w:rPr>
            <w:rStyle w:val="TextoNormalCaracter"/>
          </w:rPr>
          <w:t>24/2013</w:t>
        </w:r>
      </w:hyperlink>
      <w:r>
        <w:t>, f. 2.</w:t>
      </w:r>
    </w:p>
    <w:p w:rsidR="00E27756" w:rsidRDefault="00E27756" w:rsidP="00E27756">
      <w:pPr>
        <w:pStyle w:val="SangriaFrancesaArticulo"/>
      </w:pPr>
    </w:p>
    <w:p w:rsidR="00E27756" w:rsidRDefault="00E27756" w:rsidP="00E27756">
      <w:pPr>
        <w:pStyle w:val="TextoNormalNegritaCursivandice"/>
      </w:pPr>
      <w:r>
        <w:t>Ley Orgánica 10/2011, de 27 de julio. Modificación de los artículos 31 bis y 59 bis de la Ley Orgánica 4/2000, de 11 de enero, sobre derechos y libertades de los extranjeros en España y su integración social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f. 1.</w:t>
      </w:r>
    </w:p>
    <w:p w:rsidR="00E27756" w:rsidRDefault="00E27756" w:rsidP="00E27756">
      <w:pPr>
        <w:pStyle w:val="TextoNormal"/>
      </w:pPr>
    </w:p>
    <w:p w:rsidR="00E27756" w:rsidRDefault="00E27756" w:rsidP="00E27756">
      <w:pPr>
        <w:pStyle w:val="SangriaFrancesaArticulo"/>
      </w:pPr>
      <w:bookmarkStart w:id="298" w:name="INDICE22846"/>
    </w:p>
    <w:bookmarkEnd w:id="298"/>
    <w:p w:rsidR="00E27756" w:rsidRDefault="00E27756" w:rsidP="00E27756">
      <w:pPr>
        <w:pStyle w:val="TextoIndiceNivel2"/>
        <w:suppressAutoHyphens/>
      </w:pPr>
      <w:r>
        <w:t>E) Leyes de las Cortes Generales</w:t>
      </w:r>
    </w:p>
    <w:p w:rsidR="00E27756" w:rsidRDefault="00E27756" w:rsidP="00E27756">
      <w:pPr>
        <w:pStyle w:val="TextoIndiceNivel2"/>
      </w:pPr>
    </w:p>
    <w:p w:rsidR="00E27756" w:rsidRDefault="00E27756" w:rsidP="00E27756">
      <w:pPr>
        <w:pStyle w:val="TextoNormalNegritaCursivandice"/>
      </w:pPr>
      <w:r>
        <w:t>Ley 8/1980, de 10 de marzo. Estatuto de los trabajadores</w:t>
      </w:r>
    </w:p>
    <w:p w:rsidR="00E27756" w:rsidRDefault="00E27756" w:rsidP="00E27756">
      <w:pPr>
        <w:pStyle w:val="SangriaFrancesaArticulo"/>
      </w:pPr>
      <w:r w:rsidRPr="00E27756">
        <w:rPr>
          <w:rStyle w:val="TextoNormalNegritaCaracter"/>
        </w:rPr>
        <w:t>Artículo 12.4.2</w:t>
      </w:r>
      <w:r>
        <w:t xml:space="preserve"> </w:t>
      </w:r>
      <w:r w:rsidRPr="00E27756">
        <w:rPr>
          <w:rStyle w:val="TextoNormalCaracter"/>
        </w:rPr>
        <w:t>(redactado por el Real Decreto Legislativo 1/1995, de 24 de marzo)</w:t>
      </w:r>
      <w:r w:rsidRPr="00E27756">
        <w:rPr>
          <w:rStyle w:val="TextoNormalNegritaCaracter"/>
        </w:rPr>
        <w:t>.</w:t>
      </w:r>
      <w:r w:rsidRPr="00E27756">
        <w:rPr>
          <w:rStyle w:val="TextoNormalCaracter"/>
        </w:rPr>
        <w:t>-</w:t>
      </w:r>
      <w:r>
        <w:t xml:space="preserve"> Sentencia </w:t>
      </w:r>
      <w:hyperlink w:anchor="SENTENCIA_2013_61" w:history="1">
        <w:r w:rsidRPr="00E27756">
          <w:rPr>
            <w:rStyle w:val="TextoNormalCaracter"/>
          </w:rPr>
          <w:t>61/2013</w:t>
        </w:r>
      </w:hyperlink>
      <w:r>
        <w:t>, f. 3.</w:t>
      </w:r>
    </w:p>
    <w:p w:rsidR="00E27756" w:rsidRDefault="00E27756" w:rsidP="00E27756">
      <w:pPr>
        <w:pStyle w:val="SangriaFrancesaArticulo"/>
      </w:pPr>
    </w:p>
    <w:p w:rsidR="00E27756" w:rsidRDefault="00E27756" w:rsidP="00E27756">
      <w:pPr>
        <w:pStyle w:val="TextoNormalNegritaCursivandice"/>
      </w:pPr>
      <w:r>
        <w:t>Ley 30/1981, de 7 de julio. Modificación de la regulación del matrimonio en el Código civil y determinación del procedimiento a seguir en las causas de nulidad, separación y divorcio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 8.</w:t>
      </w:r>
    </w:p>
    <w:p w:rsidR="00E27756" w:rsidRDefault="00E27756" w:rsidP="00E27756">
      <w:pPr>
        <w:pStyle w:val="SangriaFrancesaArticulo"/>
      </w:pPr>
      <w:r w:rsidRPr="00E27756">
        <w:rPr>
          <w:rStyle w:val="TextoNormalNegritaCaracter"/>
        </w:rPr>
        <w:t>Disposición adicional décima.</w:t>
      </w:r>
      <w:r w:rsidRPr="00E27756">
        <w:rPr>
          <w:rStyle w:val="TextoNormalCaracter"/>
        </w:rPr>
        <w:t>-</w:t>
      </w:r>
      <w:r>
        <w:t xml:space="preserve"> Sentencia </w:t>
      </w:r>
      <w:hyperlink w:anchor="SENTENCIA_2013_77" w:history="1">
        <w:r w:rsidRPr="00E27756">
          <w:rPr>
            <w:rStyle w:val="TextoNormalCaracter"/>
          </w:rPr>
          <w:t>77/2013</w:t>
        </w:r>
      </w:hyperlink>
      <w:r>
        <w:t>, f. 1.</w:t>
      </w:r>
    </w:p>
    <w:p w:rsidR="00E27756" w:rsidRDefault="00E27756" w:rsidP="00E27756">
      <w:pPr>
        <w:pStyle w:val="SangriaFrancesaArticulo"/>
      </w:pPr>
    </w:p>
    <w:p w:rsidR="00E27756" w:rsidRDefault="00E27756" w:rsidP="00E27756">
      <w:pPr>
        <w:pStyle w:val="TextoNormalNegritaCursivandice"/>
      </w:pPr>
      <w:r>
        <w:t>Ley 30/1984, de 2 de agosto. Medidas para la reforma de la función pública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3" w:history="1">
        <w:r w:rsidRPr="00E27756">
          <w:rPr>
            <w:rStyle w:val="TextoNormalCaracter"/>
          </w:rPr>
          <w:t>33/2013</w:t>
        </w:r>
      </w:hyperlink>
      <w:r>
        <w:t>, f. 4.</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33" w:history="1">
        <w:r w:rsidRPr="00E27756">
          <w:rPr>
            <w:rStyle w:val="TextoNormalCaracter"/>
          </w:rPr>
          <w:t>33/2013</w:t>
        </w:r>
      </w:hyperlink>
      <w:r>
        <w:t>, f. 5.</w:t>
      </w:r>
    </w:p>
    <w:p w:rsidR="00E27756" w:rsidRDefault="00E27756" w:rsidP="00E27756">
      <w:pPr>
        <w:pStyle w:val="SangriaFrancesaArticulo"/>
      </w:pPr>
      <w:r w:rsidRPr="00E27756">
        <w:rPr>
          <w:rStyle w:val="TextoNormalNegritaCaracter"/>
        </w:rPr>
        <w:t>Artículo 22.1.</w:t>
      </w:r>
      <w:r w:rsidRPr="00E27756">
        <w:rPr>
          <w:rStyle w:val="TextoNormalCaracter"/>
        </w:rPr>
        <w:t>-</w:t>
      </w:r>
      <w:r>
        <w:t xml:space="preserve"> Sentencia </w:t>
      </w:r>
      <w:hyperlink w:anchor="SENTENCIA_2013_33" w:history="1">
        <w:r w:rsidRPr="00E27756">
          <w:rPr>
            <w:rStyle w:val="TextoNormalCaracter"/>
          </w:rPr>
          <w:t>33/2013</w:t>
        </w:r>
      </w:hyperlink>
      <w:r>
        <w:t>, ff. 2, 4.</w:t>
      </w:r>
    </w:p>
    <w:p w:rsidR="00E27756" w:rsidRDefault="00E27756" w:rsidP="00E27756">
      <w:pPr>
        <w:pStyle w:val="SangriaFrancesaArticulo"/>
      </w:pPr>
      <w:r w:rsidRPr="00E27756">
        <w:rPr>
          <w:rStyle w:val="TextoNormalNegritaCaracter"/>
        </w:rPr>
        <w:t>Artículo 25.</w:t>
      </w:r>
      <w:r w:rsidRPr="00E27756">
        <w:rPr>
          <w:rStyle w:val="TextoNormalCaracter"/>
        </w:rPr>
        <w:t>-</w:t>
      </w:r>
      <w:r>
        <w:t xml:space="preserve"> Sentencia </w:t>
      </w:r>
      <w:hyperlink w:anchor="SENTENCIA_2013_33" w:history="1">
        <w:r w:rsidRPr="00E27756">
          <w:rPr>
            <w:rStyle w:val="TextoNormalCaracter"/>
          </w:rPr>
          <w:t>33/2013</w:t>
        </w:r>
      </w:hyperlink>
      <w:r>
        <w:t>, ff. 2, 4, 5.</w:t>
      </w:r>
    </w:p>
    <w:p w:rsidR="00E27756" w:rsidRDefault="00E27756" w:rsidP="00E27756">
      <w:pPr>
        <w:pStyle w:val="SangriaFrancesaArticulo"/>
      </w:pPr>
    </w:p>
    <w:p w:rsidR="00E27756" w:rsidRDefault="00E27756" w:rsidP="00E27756">
      <w:pPr>
        <w:pStyle w:val="TextoNormalNegritaCursivandice"/>
      </w:pPr>
      <w:r>
        <w:t>Ley 53/1984, de 26 de diciembre. Incompatibilidades del personal al servicio de las Administraciones públicas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p>
    <w:p w:rsidR="00E27756" w:rsidRDefault="00E27756" w:rsidP="00E27756">
      <w:pPr>
        <w:pStyle w:val="TextoNormalNegritaCursivandice"/>
      </w:pPr>
      <w:r>
        <w:t>Ley 4/1985, de 21 de marzo. Extradición pasiva</w:t>
      </w:r>
    </w:p>
    <w:p w:rsidR="00E27756" w:rsidRDefault="00E27756" w:rsidP="00E27756">
      <w:pPr>
        <w:pStyle w:val="SangriaFrancesaArticulo"/>
      </w:pPr>
      <w:r w:rsidRPr="00E27756">
        <w:rPr>
          <w:rStyle w:val="TextoNormalNegritaCaracter"/>
        </w:rPr>
        <w:lastRenderedPageBreak/>
        <w:t>En general.</w:t>
      </w:r>
      <w:r w:rsidRPr="00E27756">
        <w:rPr>
          <w:rStyle w:val="TextoNormalCaracter"/>
        </w:rPr>
        <w:t>-</w:t>
      </w:r>
      <w:r>
        <w:t xml:space="preserve"> Sentencia </w:t>
      </w:r>
      <w:hyperlink w:anchor="SENTENCIA_2013_31" w:history="1">
        <w:r w:rsidRPr="00E27756">
          <w:rPr>
            <w:rStyle w:val="TextoNormalCaracter"/>
          </w:rPr>
          <w:t>31/2013</w:t>
        </w:r>
      </w:hyperlink>
      <w:r>
        <w:t>, ff. 1, 4, 5.</w:t>
      </w:r>
    </w:p>
    <w:p w:rsidR="00E27756" w:rsidRDefault="00E27756" w:rsidP="00E27756">
      <w:pPr>
        <w:pStyle w:val="SangriaIzquierdaArticulo"/>
      </w:pPr>
      <w:r>
        <w:t xml:space="preserve">Auto </w:t>
      </w:r>
      <w:hyperlink w:anchor="AUTO_2013_2" w:history="1">
        <w:r w:rsidRPr="00E27756">
          <w:rPr>
            <w:rStyle w:val="TextoNormalCaracter"/>
          </w:rPr>
          <w:t>2/2013</w:t>
        </w:r>
      </w:hyperlink>
      <w:r>
        <w:t>, f. 2.</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31" w:history="1">
        <w:r w:rsidRPr="00E27756">
          <w:rPr>
            <w:rStyle w:val="TextoNormalCaracter"/>
          </w:rPr>
          <w:t>31/2013</w:t>
        </w:r>
      </w:hyperlink>
      <w:r>
        <w:t>, f. 5.</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Auto </w:t>
      </w:r>
      <w:hyperlink w:anchor="AUTO_2013_2" w:history="1">
        <w:r w:rsidRPr="00E27756">
          <w:rPr>
            <w:rStyle w:val="TextoNormalCaracter"/>
          </w:rPr>
          <w:t>2/2013</w:t>
        </w:r>
      </w:hyperlink>
      <w:r>
        <w:t>, f. 2.</w:t>
      </w:r>
    </w:p>
    <w:p w:rsidR="00E27756" w:rsidRDefault="00E27756" w:rsidP="00E27756">
      <w:pPr>
        <w:pStyle w:val="SangriaFrancesaArticulo"/>
      </w:pPr>
    </w:p>
    <w:p w:rsidR="00E27756" w:rsidRDefault="00E27756" w:rsidP="00E27756">
      <w:pPr>
        <w:pStyle w:val="TextoNormalNegritaCursivandice"/>
      </w:pPr>
      <w:r>
        <w:t>Ley 7/1985, de 2 de abril. Reguladora de bases del régimen local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7" w:history="1">
        <w:r w:rsidRPr="00E27756">
          <w:rPr>
            <w:rStyle w:val="TextoNormalCaracter"/>
          </w:rPr>
          <w:t>17/2013</w:t>
        </w:r>
      </w:hyperlink>
      <w:r>
        <w:t xml:space="preserve">, ff. 1, 8; </w:t>
      </w:r>
      <w:hyperlink w:anchor="SENTENCIA_2013_94" w:history="1">
        <w:r w:rsidRPr="00E27756">
          <w:rPr>
            <w:rStyle w:val="TextoNormalCaracter"/>
          </w:rPr>
          <w:t>94/2013</w:t>
        </w:r>
      </w:hyperlink>
      <w:r>
        <w:t xml:space="preserve">, VP I;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Título IV.</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7" w:history="1">
        <w:r w:rsidRPr="00E27756">
          <w:rPr>
            <w:rStyle w:val="TextoNormalCaracter"/>
          </w:rPr>
          <w:t>7/2013</w:t>
        </w:r>
      </w:hyperlink>
      <w:r>
        <w:t>, f. 4.</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4.2 in fine</w:t>
      </w:r>
      <w:r>
        <w:t xml:space="preserve"> </w:t>
      </w:r>
      <w:r w:rsidRPr="00E27756">
        <w:rPr>
          <w:rStyle w:val="TextoNormalCaracter"/>
        </w:rPr>
        <w:t>(redactado por la Ley 57/2003, de 16 de diciembre)</w:t>
      </w:r>
      <w:r w:rsidRPr="00E27756">
        <w:rPr>
          <w:rStyle w:val="TextoNormalNegritaCaracter"/>
        </w:rPr>
        <w:t>.</w:t>
      </w:r>
      <w:r w:rsidRPr="00E27756">
        <w:rPr>
          <w:rStyle w:val="TextoNormalCaracter"/>
        </w:rPr>
        <w:t>-</w:t>
      </w:r>
      <w:r>
        <w:t xml:space="preserve"> Sentencia </w:t>
      </w:r>
      <w:hyperlink w:anchor="SENTENCIA_2013_103" w:history="1">
        <w:r w:rsidRPr="00E27756">
          <w:rPr>
            <w:rStyle w:val="TextoNormalCaracter"/>
          </w:rPr>
          <w:t>103/2013</w:t>
        </w:r>
      </w:hyperlink>
      <w:r>
        <w:t>, ff. 1, 5.</w:t>
      </w:r>
    </w:p>
    <w:p w:rsidR="00E27756" w:rsidRDefault="00E27756" w:rsidP="00E27756">
      <w:pPr>
        <w:pStyle w:val="SangriaFrancesaArticulo"/>
      </w:pPr>
      <w:r w:rsidRPr="00E27756">
        <w:rPr>
          <w:rStyle w:val="TextoNormalNegritaCaracter"/>
        </w:rPr>
        <w:t>Artículo 4.3.</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4.3.2</w:t>
      </w:r>
      <w:r>
        <w:t xml:space="preserve"> </w:t>
      </w:r>
      <w:r w:rsidRPr="00E27756">
        <w:rPr>
          <w:rStyle w:val="TextoNormalCaracter"/>
        </w:rPr>
        <w:t>(redactado por la Ley 57/2003, de 16 de diciembre)</w:t>
      </w:r>
      <w:r w:rsidRPr="00E27756">
        <w:rPr>
          <w:rStyle w:val="TextoNormalNegritaCaracter"/>
        </w:rPr>
        <w:t>.</w:t>
      </w:r>
      <w:r w:rsidRPr="00E27756">
        <w:rPr>
          <w:rStyle w:val="TextoNormalCaracter"/>
        </w:rPr>
        <w:t>-</w:t>
      </w:r>
      <w:r>
        <w:t xml:space="preserve"> Sentencia </w:t>
      </w:r>
      <w:hyperlink w:anchor="SENTENCIA_2013_103" w:history="1">
        <w:r w:rsidRPr="00E27756">
          <w:rPr>
            <w:rStyle w:val="TextoNormalCaracter"/>
          </w:rPr>
          <w:t>103/2013</w:t>
        </w:r>
      </w:hyperlink>
      <w:r>
        <w:t>, ff. 1, 5.</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 </w:t>
      </w:r>
      <w:hyperlink w:anchor="SENTENCIA_2013_17" w:history="1">
        <w:r w:rsidRPr="00E27756">
          <w:rPr>
            <w:rStyle w:val="TextoNormalCaracter"/>
          </w:rPr>
          <w:t>17/2013</w:t>
        </w:r>
      </w:hyperlink>
      <w:r>
        <w:t>, f. 9.</w:t>
      </w:r>
    </w:p>
    <w:p w:rsidR="00E27756" w:rsidRDefault="00E27756" w:rsidP="00E27756">
      <w:pPr>
        <w:pStyle w:val="SangriaFrancesaArticulo"/>
      </w:pPr>
      <w:r w:rsidRPr="00E27756">
        <w:rPr>
          <w:rStyle w:val="TextoNormalNegritaCaracter"/>
        </w:rPr>
        <w:t>Artículo 11.2.</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13.1.</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13.2.</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13.3.</w:t>
      </w:r>
      <w:r w:rsidRPr="00E27756">
        <w:rPr>
          <w:rStyle w:val="TextoNormalCaracter"/>
        </w:rPr>
        <w:t>-</w:t>
      </w:r>
      <w:r>
        <w:t xml:space="preserve"> Sentencia </w:t>
      </w:r>
      <w:hyperlink w:anchor="SENTENCIA_2013_103" w:history="1">
        <w:r w:rsidRPr="00E27756">
          <w:rPr>
            <w:rStyle w:val="TextoNormalCaracter"/>
          </w:rPr>
          <w:t>103/2013</w:t>
        </w:r>
      </w:hyperlink>
      <w:r>
        <w:t>, ff. 1, 5.</w:t>
      </w:r>
    </w:p>
    <w:p w:rsidR="00E27756" w:rsidRDefault="00E27756" w:rsidP="00E27756">
      <w:pPr>
        <w:pStyle w:val="SangriaFrancesaArticulo"/>
      </w:pPr>
      <w:r w:rsidRPr="00E27756">
        <w:rPr>
          <w:rStyle w:val="TextoNormalNegritaCaracter"/>
        </w:rPr>
        <w:t>Artículo 15.</w:t>
      </w:r>
      <w:r w:rsidRPr="00E27756">
        <w:rPr>
          <w:rStyle w:val="TextoNormalCaracter"/>
        </w:rPr>
        <w:t>-</w:t>
      </w:r>
      <w:r>
        <w:t xml:space="preserve"> Sentencia </w:t>
      </w:r>
      <w:hyperlink w:anchor="SENTENCIA_2013_17" w:history="1">
        <w:r w:rsidRPr="00E27756">
          <w:rPr>
            <w:rStyle w:val="TextoNormalCaracter"/>
          </w:rPr>
          <w:t>17/2013</w:t>
        </w:r>
      </w:hyperlink>
      <w:r>
        <w:t>, f. 8.</w:t>
      </w:r>
    </w:p>
    <w:p w:rsidR="00E27756" w:rsidRDefault="00E27756" w:rsidP="00E27756">
      <w:pPr>
        <w:pStyle w:val="SangriaFrancesaArticulo"/>
      </w:pPr>
      <w:r w:rsidRPr="00E27756">
        <w:rPr>
          <w:rStyle w:val="TextoNormalNegritaCaracter"/>
        </w:rPr>
        <w:t>Artículo 16.</w:t>
      </w:r>
      <w:r w:rsidRPr="00E27756">
        <w:rPr>
          <w:rStyle w:val="TextoNormalCaracter"/>
        </w:rPr>
        <w:t>-</w:t>
      </w:r>
      <w:r>
        <w:t xml:space="preserve"> Sentencia </w:t>
      </w:r>
      <w:hyperlink w:anchor="SENTENCIA_2013_17" w:history="1">
        <w:r w:rsidRPr="00E27756">
          <w:rPr>
            <w:rStyle w:val="TextoNormalCaracter"/>
          </w:rPr>
          <w:t>17/2013</w:t>
        </w:r>
      </w:hyperlink>
      <w:r>
        <w:t>, f. 8.</w:t>
      </w:r>
    </w:p>
    <w:p w:rsidR="00E27756" w:rsidRDefault="00E27756" w:rsidP="00E27756">
      <w:pPr>
        <w:pStyle w:val="SangriaFrancesaArticulo"/>
      </w:pPr>
      <w:r w:rsidRPr="00E27756">
        <w:rPr>
          <w:rStyle w:val="TextoNormalNegritaCaracter"/>
        </w:rPr>
        <w:t>Artículo 16.3</w:t>
      </w:r>
      <w:r>
        <w:t xml:space="preserve"> </w:t>
      </w:r>
      <w:r w:rsidRPr="00E27756">
        <w:rPr>
          <w:rStyle w:val="TextoNormalCaracter"/>
        </w:rPr>
        <w:t>(redactado por la Ley 4/1996, de 10 de enero)</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ff. 8, 9.</w:t>
      </w:r>
    </w:p>
    <w:p w:rsidR="00E27756" w:rsidRDefault="00E27756" w:rsidP="00E27756">
      <w:pPr>
        <w:pStyle w:val="SangriaFrancesaArticulo"/>
      </w:pPr>
      <w:r w:rsidRPr="00E27756">
        <w:rPr>
          <w:rStyle w:val="TextoNormalNegritaCaracter"/>
        </w:rPr>
        <w:t>Artículo 16.3</w:t>
      </w:r>
      <w:r>
        <w:t xml:space="preserve"> </w:t>
      </w:r>
      <w:r w:rsidRPr="00E27756">
        <w:rPr>
          <w:rStyle w:val="TextoNormalCaracter"/>
        </w:rPr>
        <w:t>(redactado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8.</w:t>
      </w:r>
    </w:p>
    <w:p w:rsidR="00E27756" w:rsidRDefault="00E27756" w:rsidP="00E27756">
      <w:pPr>
        <w:pStyle w:val="SangriaFrancesaArticulo"/>
      </w:pPr>
      <w:r w:rsidRPr="00E27756">
        <w:rPr>
          <w:rStyle w:val="TextoNormalNegritaCaracter"/>
        </w:rPr>
        <w:t>Artículo 17.</w:t>
      </w:r>
      <w:r w:rsidRPr="00E27756">
        <w:rPr>
          <w:rStyle w:val="TextoNormalCaracter"/>
        </w:rPr>
        <w:t>-</w:t>
      </w:r>
      <w:r>
        <w:t xml:space="preserve"> Sentencia </w:t>
      </w:r>
      <w:hyperlink w:anchor="SENTENCIA_2013_17" w:history="1">
        <w:r w:rsidRPr="00E27756">
          <w:rPr>
            <w:rStyle w:val="TextoNormalCaracter"/>
          </w:rPr>
          <w:t>17/2013</w:t>
        </w:r>
      </w:hyperlink>
      <w:r>
        <w:t>, f. 9.</w:t>
      </w:r>
    </w:p>
    <w:p w:rsidR="00E27756" w:rsidRDefault="00E27756" w:rsidP="00E27756">
      <w:pPr>
        <w:pStyle w:val="SangriaFrancesaArticulo"/>
      </w:pPr>
      <w:r w:rsidRPr="00E27756">
        <w:rPr>
          <w:rStyle w:val="TextoNormalNegritaCaracter"/>
        </w:rPr>
        <w:t>Artículo 17.1.</w:t>
      </w:r>
      <w:r w:rsidRPr="00E27756">
        <w:rPr>
          <w:rStyle w:val="TextoNormalCaracter"/>
        </w:rPr>
        <w:t>-</w:t>
      </w:r>
      <w:r>
        <w:t xml:space="preserve"> Sentencia </w:t>
      </w:r>
      <w:hyperlink w:anchor="SENTENCIA_2013_17" w:history="1">
        <w:r w:rsidRPr="00E27756">
          <w:rPr>
            <w:rStyle w:val="TextoNormalCaracter"/>
          </w:rPr>
          <w:t>17/2013</w:t>
        </w:r>
      </w:hyperlink>
      <w:r>
        <w:t>, f. 8.</w:t>
      </w:r>
    </w:p>
    <w:p w:rsidR="00E27756" w:rsidRDefault="00E27756" w:rsidP="00E27756">
      <w:pPr>
        <w:pStyle w:val="SangriaFrancesaArticulo"/>
      </w:pPr>
      <w:r w:rsidRPr="00E27756">
        <w:rPr>
          <w:rStyle w:val="TextoNormalNegritaCaracter"/>
        </w:rPr>
        <w:t>Artículo 20.1 c).</w:t>
      </w:r>
      <w:r w:rsidRPr="00E27756">
        <w:rPr>
          <w:rStyle w:val="TextoNormalCaracter"/>
        </w:rPr>
        <w:t>-</w:t>
      </w:r>
      <w:r>
        <w:t xml:space="preserve"> Sentencia </w:t>
      </w:r>
      <w:hyperlink w:anchor="SENTENCIA_2013_103" w:history="1">
        <w:r w:rsidRPr="00E27756">
          <w:rPr>
            <w:rStyle w:val="TextoNormalCaracter"/>
          </w:rPr>
          <w:t>103/2013</w:t>
        </w:r>
      </w:hyperlink>
      <w:r>
        <w:t>, ff. 1, 5.</w:t>
      </w:r>
    </w:p>
    <w:p w:rsidR="00E27756" w:rsidRDefault="00E27756" w:rsidP="00E27756">
      <w:pPr>
        <w:pStyle w:val="SangriaFrancesaArticulo"/>
      </w:pPr>
      <w:r w:rsidRPr="00E27756">
        <w:rPr>
          <w:rStyle w:val="TextoNormalNegritaCaracter"/>
        </w:rPr>
        <w:t>Artículo 20.1 d).</w:t>
      </w:r>
      <w:r w:rsidRPr="00E27756">
        <w:rPr>
          <w:rStyle w:val="TextoNormalCaracter"/>
        </w:rPr>
        <w:t>-</w:t>
      </w:r>
      <w:r>
        <w:t xml:space="preserve"> Sentencia </w:t>
      </w:r>
      <w:hyperlink w:anchor="SENTENCIA_2013_103" w:history="1">
        <w:r w:rsidRPr="00E27756">
          <w:rPr>
            <w:rStyle w:val="TextoNormalCaracter"/>
          </w:rPr>
          <w:t>103/2013</w:t>
        </w:r>
      </w:hyperlink>
      <w:r>
        <w:t>, ff. 1, 5.</w:t>
      </w:r>
    </w:p>
    <w:p w:rsidR="00E27756" w:rsidRDefault="00E27756" w:rsidP="00E27756">
      <w:pPr>
        <w:pStyle w:val="SangriaFrancesaArticulo"/>
      </w:pPr>
      <w:r w:rsidRPr="00E27756">
        <w:rPr>
          <w:rStyle w:val="TextoNormalNegritaCaracter"/>
        </w:rPr>
        <w:t>Artículo 20.2.</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20.3.</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24.1.</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25.2 d).</w:t>
      </w:r>
      <w:r w:rsidRPr="00E27756">
        <w:rPr>
          <w:rStyle w:val="TextoNormalCaracter"/>
        </w:rPr>
        <w:t>-</w:t>
      </w:r>
      <w:r>
        <w:t xml:space="preserve"> Sentencia </w:t>
      </w:r>
      <w:hyperlink w:anchor="SENTENCIA_2013_104" w:history="1">
        <w:r w:rsidRPr="00E27756">
          <w:rPr>
            <w:rStyle w:val="TextoNormalCaracter"/>
          </w:rPr>
          <w:t>104/2013</w:t>
        </w:r>
      </w:hyperlink>
      <w:r>
        <w:t>, f. 6.</w:t>
      </w:r>
    </w:p>
    <w:p w:rsidR="00E27756" w:rsidRDefault="00E27756" w:rsidP="00E27756">
      <w:pPr>
        <w:pStyle w:val="SangriaFrancesaArticulo"/>
      </w:pPr>
      <w:r w:rsidRPr="00E27756">
        <w:rPr>
          <w:rStyle w:val="TextoNormalNegritaCaracter"/>
        </w:rPr>
        <w:t>Artículo 25.2 l).</w:t>
      </w:r>
      <w:r w:rsidRPr="00E27756">
        <w:rPr>
          <w:rStyle w:val="TextoNormalCaracter"/>
        </w:rPr>
        <w:t>-</w:t>
      </w:r>
      <w:r>
        <w:t xml:space="preserve"> Sentencia </w:t>
      </w:r>
      <w:hyperlink w:anchor="SENTENCIA_2013_85" w:history="1">
        <w:r w:rsidRPr="00E27756">
          <w:rPr>
            <w:rStyle w:val="TextoNormalCaracter"/>
          </w:rPr>
          <w:t>85/2013</w:t>
        </w:r>
      </w:hyperlink>
      <w:r>
        <w:t>, ff. 4, 5.</w:t>
      </w:r>
    </w:p>
    <w:p w:rsidR="00E27756" w:rsidRDefault="00E27756" w:rsidP="00E27756">
      <w:pPr>
        <w:pStyle w:val="SangriaFrancesaArticulo"/>
      </w:pPr>
      <w:r w:rsidRPr="00E27756">
        <w:rPr>
          <w:rStyle w:val="TextoNormalNegritaCaracter"/>
        </w:rPr>
        <w:t>Artículo 26.1 a).</w:t>
      </w:r>
      <w:r w:rsidRPr="00E27756">
        <w:rPr>
          <w:rStyle w:val="TextoNormalCaracter"/>
        </w:rPr>
        <w:t>-</w:t>
      </w:r>
      <w:r>
        <w:t xml:space="preserve"> Sentencia </w:t>
      </w:r>
      <w:hyperlink w:anchor="SENTENCIA_2013_85" w:history="1">
        <w:r w:rsidRPr="00E27756">
          <w:rPr>
            <w:rStyle w:val="TextoNormalCaracter"/>
          </w:rPr>
          <w:t>85/2013</w:t>
        </w:r>
      </w:hyperlink>
      <w:r>
        <w:t>, ff. 4, 5.</w:t>
      </w:r>
    </w:p>
    <w:p w:rsidR="00E27756" w:rsidRDefault="00E27756" w:rsidP="00E27756">
      <w:pPr>
        <w:pStyle w:val="SangriaFrancesaArticulo"/>
      </w:pPr>
      <w:r w:rsidRPr="00E27756">
        <w:rPr>
          <w:rStyle w:val="TextoNormalNegritaCaracter"/>
        </w:rPr>
        <w:t>Artículo 36.1 a).</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36.1 b).</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36.1 c).</w:t>
      </w:r>
      <w:r w:rsidRPr="00E27756">
        <w:rPr>
          <w:rStyle w:val="TextoNormalCaracter"/>
        </w:rPr>
        <w:t>-</w:t>
      </w:r>
      <w:r>
        <w:t xml:space="preserve"> Sentencia </w:t>
      </w:r>
      <w:hyperlink w:anchor="SENTENCIA_2013_103" w:history="1">
        <w:r w:rsidRPr="00E27756">
          <w:rPr>
            <w:rStyle w:val="TextoNormalCaracter"/>
          </w:rPr>
          <w:t>103/2013</w:t>
        </w:r>
      </w:hyperlink>
      <w:r>
        <w:t>, ff. 1, 5.</w:t>
      </w:r>
    </w:p>
    <w:p w:rsidR="00E27756" w:rsidRDefault="00E27756" w:rsidP="00E27756">
      <w:pPr>
        <w:pStyle w:val="SangriaFrancesaArticulo"/>
      </w:pPr>
      <w:r w:rsidRPr="00E27756">
        <w:rPr>
          <w:rStyle w:val="TextoNormalNegritaCaracter"/>
        </w:rPr>
        <w:t>Artículo 44.1.</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44.2.</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44.3.</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55.</w:t>
      </w:r>
      <w:r w:rsidRPr="00E27756">
        <w:rPr>
          <w:rStyle w:val="TextoNormalCaracter"/>
        </w:rPr>
        <w:t>-</w:t>
      </w:r>
      <w:r>
        <w:t xml:space="preserve"> Sentencia </w:t>
      </w:r>
      <w:hyperlink w:anchor="SENTENCIA_2013_17" w:history="1">
        <w:r w:rsidRPr="00E27756">
          <w:rPr>
            <w:rStyle w:val="TextoNormalCaracter"/>
          </w:rPr>
          <w:t>17/2013</w:t>
        </w:r>
      </w:hyperlink>
      <w:r>
        <w:t>, f. 9.</w:t>
      </w:r>
    </w:p>
    <w:p w:rsidR="00E27756" w:rsidRDefault="00E27756" w:rsidP="00E27756">
      <w:pPr>
        <w:pStyle w:val="SangriaFrancesaArticulo"/>
      </w:pPr>
      <w:r w:rsidRPr="00E27756">
        <w:rPr>
          <w:rStyle w:val="TextoNormalNegritaCaracter"/>
        </w:rPr>
        <w:t>Artículo 56.1.</w:t>
      </w:r>
      <w:r w:rsidRPr="00E27756">
        <w:rPr>
          <w:rStyle w:val="TextoNormalCaracter"/>
        </w:rPr>
        <w:t>-</w:t>
      </w:r>
      <w:r>
        <w:t xml:space="preserve"> Sentencia </w:t>
      </w:r>
      <w:hyperlink w:anchor="SENTENCIA_2013_94" w:history="1">
        <w:r w:rsidRPr="00E27756">
          <w:rPr>
            <w:rStyle w:val="TextoNormalCaracter"/>
          </w:rPr>
          <w:t>94/2013</w:t>
        </w:r>
      </w:hyperlink>
      <w:r>
        <w:t>, f. 6, VP I.</w:t>
      </w:r>
    </w:p>
    <w:p w:rsidR="00E27756" w:rsidRDefault="00E27756" w:rsidP="00E27756">
      <w:pPr>
        <w:pStyle w:val="SangriaFrancesaArticulo"/>
      </w:pPr>
      <w:r w:rsidRPr="00E27756">
        <w:rPr>
          <w:rStyle w:val="TextoNormalNegritaCaracter"/>
        </w:rPr>
        <w:t>Artículo 64.</w:t>
      </w:r>
      <w:r w:rsidRPr="00E27756">
        <w:rPr>
          <w:rStyle w:val="TextoNormalCaracter"/>
        </w:rPr>
        <w:t>-</w:t>
      </w:r>
      <w:r>
        <w:t xml:space="preserve"> Sentencia </w:t>
      </w:r>
      <w:hyperlink w:anchor="SENTENCIA_2013_94" w:history="1">
        <w:r w:rsidRPr="00E27756">
          <w:rPr>
            <w:rStyle w:val="TextoNormalCaracter"/>
          </w:rPr>
          <w:t>94/2013</w:t>
        </w:r>
      </w:hyperlink>
      <w:r>
        <w:t>, f. 6, VP I.</w:t>
      </w:r>
    </w:p>
    <w:p w:rsidR="00E27756" w:rsidRDefault="00E27756" w:rsidP="00E27756">
      <w:pPr>
        <w:pStyle w:val="SangriaFrancesaArticulo"/>
      </w:pPr>
      <w:r w:rsidRPr="00E27756">
        <w:rPr>
          <w:rStyle w:val="TextoNormalNegritaCaracter"/>
        </w:rPr>
        <w:t>Artículo 70 bis.</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lastRenderedPageBreak/>
        <w:t>Artículo 70.1 in fine.</w:t>
      </w:r>
      <w:r w:rsidRPr="00E27756">
        <w:rPr>
          <w:rStyle w:val="TextoNormalCaracter"/>
        </w:rPr>
        <w:t>-</w:t>
      </w:r>
      <w:r>
        <w:t xml:space="preserve"> Sentencia </w:t>
      </w:r>
      <w:hyperlink w:anchor="SENTENCIA_2013_103" w:history="1">
        <w:r w:rsidRPr="00E27756">
          <w:rPr>
            <w:rStyle w:val="TextoNormalCaracter"/>
          </w:rPr>
          <w:t>103/2013</w:t>
        </w:r>
      </w:hyperlink>
      <w:r>
        <w:t>, f. 7.</w:t>
      </w:r>
    </w:p>
    <w:p w:rsidR="00E27756" w:rsidRDefault="00E27756" w:rsidP="00E27756">
      <w:pPr>
        <w:pStyle w:val="SangriaFrancesaArticulo"/>
      </w:pPr>
      <w:r w:rsidRPr="00E27756">
        <w:rPr>
          <w:rStyle w:val="TextoNormalNegritaCaracter"/>
        </w:rPr>
        <w:t>Artículo 73.3.</w:t>
      </w:r>
      <w:r w:rsidRPr="00E27756">
        <w:rPr>
          <w:rStyle w:val="TextoNormalCaracter"/>
        </w:rPr>
        <w:t>-</w:t>
      </w:r>
      <w:r>
        <w:t xml:space="preserve"> Sentencias </w:t>
      </w:r>
      <w:hyperlink w:anchor="SENTENCIA_2013_10" w:history="1">
        <w:r w:rsidRPr="00E27756">
          <w:rPr>
            <w:rStyle w:val="TextoNormalCaracter"/>
          </w:rPr>
          <w:t>10/2013</w:t>
        </w:r>
      </w:hyperlink>
      <w:r>
        <w:t xml:space="preserve">, ff. 2, 3; </w:t>
      </w:r>
      <w:hyperlink w:anchor="SENTENCIA_2013_103" w:history="1">
        <w:r w:rsidRPr="00E27756">
          <w:rPr>
            <w:rStyle w:val="TextoNormalCaracter"/>
          </w:rPr>
          <w:t>103/2013</w:t>
        </w:r>
      </w:hyperlink>
      <w:r>
        <w:t>, ff. 1, 5.</w:t>
      </w:r>
    </w:p>
    <w:p w:rsidR="00E27756" w:rsidRDefault="00E27756" w:rsidP="00E27756">
      <w:pPr>
        <w:pStyle w:val="SangriaFrancesaArticulo"/>
      </w:pPr>
      <w:r w:rsidRPr="00E27756">
        <w:rPr>
          <w:rStyle w:val="TextoNormalNegritaCaracter"/>
        </w:rPr>
        <w:t>Artículo 84</w:t>
      </w:r>
      <w:r>
        <w:t xml:space="preserve"> </w:t>
      </w:r>
      <w:r w:rsidRPr="00E27756">
        <w:rPr>
          <w:rStyle w:val="TextoNormalCaracter"/>
        </w:rPr>
        <w:t>(redactado por la Ley 25/2009, de 22 de diciembre)</w:t>
      </w:r>
      <w:r w:rsidRPr="00E27756">
        <w:rPr>
          <w:rStyle w:val="TextoNormalNegritaCaracter"/>
        </w:rPr>
        <w:t>.</w:t>
      </w:r>
      <w:r w:rsidRPr="00E27756">
        <w:rPr>
          <w:rStyle w:val="TextoNormalCaracter"/>
        </w:rPr>
        <w:t>-</w:t>
      </w:r>
      <w:r>
        <w:t xml:space="preserve"> Auto </w:t>
      </w:r>
      <w:hyperlink w:anchor="AUTO_2013_23" w:history="1">
        <w:r w:rsidRPr="00E27756">
          <w:rPr>
            <w:rStyle w:val="TextoNormalCaracter"/>
          </w:rPr>
          <w:t>23/2013</w:t>
        </w:r>
      </w:hyperlink>
      <w:r>
        <w:t>, ff. 1, 2.</w:t>
      </w:r>
    </w:p>
    <w:p w:rsidR="00E27756" w:rsidRDefault="00E27756" w:rsidP="00E27756">
      <w:pPr>
        <w:pStyle w:val="SangriaFrancesaArticulo"/>
      </w:pPr>
      <w:r w:rsidRPr="00E27756">
        <w:rPr>
          <w:rStyle w:val="TextoNormalNegritaCaracter"/>
        </w:rPr>
        <w:t>Artículo 84 redactado por la Ley 25/2009.</w:t>
      </w:r>
      <w:r w:rsidRPr="00E27756">
        <w:rPr>
          <w:rStyle w:val="TextoNormalCaracter"/>
        </w:rPr>
        <w:t>-</w:t>
      </w:r>
      <w:r>
        <w:t xml:space="preserve"> Auto </w:t>
      </w:r>
      <w:hyperlink w:anchor="AUTO_2013_23" w:history="1">
        <w:r w:rsidRPr="00E27756">
          <w:rPr>
            <w:rStyle w:val="TextoNormalCaracter"/>
          </w:rPr>
          <w:t>23/2013</w:t>
        </w:r>
      </w:hyperlink>
      <w:r>
        <w:t>, f. 1, 2.</w:t>
      </w:r>
    </w:p>
    <w:p w:rsidR="00E27756" w:rsidRDefault="00E27756" w:rsidP="00E27756">
      <w:pPr>
        <w:pStyle w:val="SangriaFrancesaArticulo"/>
      </w:pPr>
      <w:r w:rsidRPr="00E27756">
        <w:rPr>
          <w:rStyle w:val="TextoNormalNegritaCaracter"/>
        </w:rPr>
        <w:t>Artículo 84.1 b).</w:t>
      </w:r>
      <w:r w:rsidRPr="00E27756">
        <w:rPr>
          <w:rStyle w:val="TextoNormalCaracter"/>
        </w:rPr>
        <w:t>-</w:t>
      </w:r>
      <w:r>
        <w:t xml:space="preserve"> Sentencias </w:t>
      </w:r>
      <w:hyperlink w:anchor="SENTENCIA_2013_104" w:history="1">
        <w:r w:rsidRPr="00E27756">
          <w:rPr>
            <w:rStyle w:val="TextoNormalCaracter"/>
          </w:rPr>
          <w:t>104/2013</w:t>
        </w:r>
      </w:hyperlink>
      <w:r>
        <w:t xml:space="preserve">, f. 6; </w:t>
      </w:r>
      <w:hyperlink w:anchor="SENTENCIA_2013_129" w:history="1">
        <w:r w:rsidRPr="00E27756">
          <w:rPr>
            <w:rStyle w:val="TextoNormalCaracter"/>
          </w:rPr>
          <w:t>129/2013</w:t>
        </w:r>
      </w:hyperlink>
      <w:r>
        <w:t>, f. 8.</w:t>
      </w:r>
    </w:p>
    <w:p w:rsidR="00E27756" w:rsidRDefault="00E27756" w:rsidP="00E27756">
      <w:pPr>
        <w:pStyle w:val="SangriaFrancesaArticulo"/>
      </w:pPr>
      <w:r w:rsidRPr="00E27756">
        <w:rPr>
          <w:rStyle w:val="TextoNormalNegritaCaracter"/>
        </w:rPr>
        <w:t>Artículo 84.1 b)</w:t>
      </w:r>
      <w:r>
        <w:t xml:space="preserve"> </w:t>
      </w:r>
      <w:r w:rsidRPr="00E27756">
        <w:rPr>
          <w:rStyle w:val="TextoNormalCaracter"/>
        </w:rPr>
        <w:t>(redactado por la Ley 25/2009, de 22 de diciembre)</w:t>
      </w:r>
      <w:r w:rsidRPr="00E27756">
        <w:rPr>
          <w:rStyle w:val="TextoNormalNegritaCaracter"/>
        </w:rPr>
        <w:t>.</w:t>
      </w:r>
      <w:r w:rsidRPr="00E27756">
        <w:rPr>
          <w:rStyle w:val="TextoNormalCaracter"/>
        </w:rPr>
        <w:t>-</w:t>
      </w:r>
      <w:r>
        <w:t xml:space="preserve"> Sentencia </w:t>
      </w:r>
      <w:hyperlink w:anchor="SENTENCIA_2013_129" w:history="1">
        <w:r w:rsidRPr="00E27756">
          <w:rPr>
            <w:rStyle w:val="TextoNormalCaracter"/>
          </w:rPr>
          <w:t>129/2013</w:t>
        </w:r>
      </w:hyperlink>
      <w:r>
        <w:t>, f. 9.</w:t>
      </w:r>
    </w:p>
    <w:p w:rsidR="00E27756" w:rsidRDefault="00E27756" w:rsidP="00E27756">
      <w:pPr>
        <w:pStyle w:val="SangriaFrancesaArticulo"/>
      </w:pPr>
      <w:r w:rsidRPr="00E27756">
        <w:rPr>
          <w:rStyle w:val="TextoNormalNegritaCaracter"/>
        </w:rPr>
        <w:t>Artículo 85 bis 1.</w:t>
      </w:r>
      <w:r w:rsidRPr="00E27756">
        <w:rPr>
          <w:rStyle w:val="TextoNormalCaracter"/>
        </w:rPr>
        <w:t>-</w:t>
      </w:r>
      <w:r>
        <w:t xml:space="preserve"> Sentencia </w:t>
      </w:r>
      <w:hyperlink w:anchor="SENTENCIA_2013_103" w:history="1">
        <w:r w:rsidRPr="00E27756">
          <w:rPr>
            <w:rStyle w:val="TextoNormalCaracter"/>
          </w:rPr>
          <w:t>103/2013</w:t>
        </w:r>
      </w:hyperlink>
      <w:r>
        <w:t>, ff. 1, 5.</w:t>
      </w:r>
    </w:p>
    <w:p w:rsidR="00E27756" w:rsidRDefault="00E27756" w:rsidP="00E27756">
      <w:pPr>
        <w:pStyle w:val="SangriaFrancesaArticulo"/>
      </w:pPr>
      <w:r w:rsidRPr="00E27756">
        <w:rPr>
          <w:rStyle w:val="TextoNormalNegritaCaracter"/>
        </w:rPr>
        <w:t>Artículo 85 bis 1 a).</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85 bis 1 apartado 1 párrafo 1.</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85 bis 2.</w:t>
      </w:r>
      <w:r w:rsidRPr="00E27756">
        <w:rPr>
          <w:rStyle w:val="TextoNormalCaracter"/>
        </w:rPr>
        <w:t>-</w:t>
      </w:r>
      <w:r>
        <w:t xml:space="preserve"> Sentencia </w:t>
      </w:r>
      <w:hyperlink w:anchor="SENTENCIA_2013_103" w:history="1">
        <w:r w:rsidRPr="00E27756">
          <w:rPr>
            <w:rStyle w:val="TextoNormalCaracter"/>
          </w:rPr>
          <w:t>103/2013</w:t>
        </w:r>
      </w:hyperlink>
      <w:r>
        <w:t>, ff. 1, 5.</w:t>
      </w:r>
    </w:p>
    <w:p w:rsidR="00E27756" w:rsidRDefault="00E27756" w:rsidP="00E27756">
      <w:pPr>
        <w:pStyle w:val="SangriaFrancesaArticulo"/>
      </w:pPr>
      <w:r w:rsidRPr="00E27756">
        <w:rPr>
          <w:rStyle w:val="TextoNormalNegritaCaracter"/>
        </w:rPr>
        <w:t>Artículo 85.2.</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92.</w:t>
      </w:r>
      <w:r w:rsidRPr="00E27756">
        <w:rPr>
          <w:rStyle w:val="TextoNormalCaracter"/>
        </w:rPr>
        <w:t>-</w:t>
      </w:r>
      <w:r>
        <w:t xml:space="preserve"> Sentencia </w:t>
      </w:r>
      <w:hyperlink w:anchor="SENTENCIA_2013_33" w:history="1">
        <w:r w:rsidRPr="00E27756">
          <w:rPr>
            <w:rStyle w:val="TextoNormalCaracter"/>
          </w:rPr>
          <w:t>33/2013</w:t>
        </w:r>
      </w:hyperlink>
      <w:r>
        <w:t>, f. 5.</w:t>
      </w:r>
    </w:p>
    <w:p w:rsidR="00E27756" w:rsidRDefault="00E27756" w:rsidP="00E27756">
      <w:pPr>
        <w:pStyle w:val="SangriaFrancesaArticulo"/>
      </w:pPr>
      <w:r w:rsidRPr="00E27756">
        <w:rPr>
          <w:rStyle w:val="TextoNormalNegritaCaracter"/>
        </w:rPr>
        <w:t>Artículo 96.</w:t>
      </w:r>
      <w:r w:rsidRPr="00E27756">
        <w:rPr>
          <w:rStyle w:val="TextoNormalCaracter"/>
        </w:rPr>
        <w:t>-</w:t>
      </w:r>
      <w:r>
        <w:t xml:space="preserve"> Sentencia </w:t>
      </w:r>
      <w:hyperlink w:anchor="SENTENCIA_2013_7" w:history="1">
        <w:r w:rsidRPr="00E27756">
          <w:rPr>
            <w:rStyle w:val="TextoNormalCaracter"/>
          </w:rPr>
          <w:t>7/2013</w:t>
        </w:r>
      </w:hyperlink>
      <w:r>
        <w:t>, f. 3.</w:t>
      </w:r>
    </w:p>
    <w:p w:rsidR="00E27756" w:rsidRDefault="00E27756" w:rsidP="00E27756">
      <w:pPr>
        <w:pStyle w:val="SangriaFrancesaArticulo"/>
      </w:pPr>
      <w:r w:rsidRPr="00E27756">
        <w:rPr>
          <w:rStyle w:val="TextoNormalNegritaCaracter"/>
        </w:rPr>
        <w:t>Artículo 98.</w:t>
      </w:r>
      <w:r w:rsidRPr="00E27756">
        <w:rPr>
          <w:rStyle w:val="TextoNormalCaracter"/>
        </w:rPr>
        <w:t>-</w:t>
      </w:r>
      <w:r>
        <w:t xml:space="preserve"> Sentencia </w:t>
      </w:r>
      <w:hyperlink w:anchor="SENTENCIA_2013_7" w:history="1">
        <w:r w:rsidRPr="00E27756">
          <w:rPr>
            <w:rStyle w:val="TextoNormalCaracter"/>
          </w:rPr>
          <w:t>7/2013</w:t>
        </w:r>
      </w:hyperlink>
      <w:r>
        <w:t>, f. 3.</w:t>
      </w:r>
    </w:p>
    <w:p w:rsidR="00E27756" w:rsidRDefault="00E27756" w:rsidP="00E27756">
      <w:pPr>
        <w:pStyle w:val="SangriaFrancesaArticulo"/>
      </w:pPr>
      <w:r w:rsidRPr="00E27756">
        <w:rPr>
          <w:rStyle w:val="TextoNormalNegritaCaracter"/>
        </w:rPr>
        <w:t>Artículo 122.</w:t>
      </w:r>
      <w:r w:rsidRPr="00E27756">
        <w:rPr>
          <w:rStyle w:val="TextoNormalCaracter"/>
        </w:rPr>
        <w:t>-</w:t>
      </w:r>
      <w:r>
        <w:t xml:space="preserve"> Sentencia </w:t>
      </w:r>
      <w:hyperlink w:anchor="SENTENCIA_2013_103" w:history="1">
        <w:r w:rsidRPr="00E27756">
          <w:rPr>
            <w:rStyle w:val="TextoNormalCaracter"/>
          </w:rPr>
          <w:t>103/2013</w:t>
        </w:r>
      </w:hyperlink>
      <w:r>
        <w:t>, f. 6.</w:t>
      </w:r>
    </w:p>
    <w:p w:rsidR="00E27756" w:rsidRDefault="00E27756" w:rsidP="00E27756">
      <w:pPr>
        <w:pStyle w:val="SangriaFrancesaArticulo"/>
      </w:pPr>
      <w:r w:rsidRPr="00E27756">
        <w:rPr>
          <w:rStyle w:val="TextoNormalNegritaCaracter"/>
        </w:rPr>
        <w:t>Artículo 122.3.</w:t>
      </w:r>
      <w:r w:rsidRPr="00E27756">
        <w:rPr>
          <w:rStyle w:val="TextoNormalCaracter"/>
        </w:rPr>
        <w:t>-</w:t>
      </w:r>
      <w:r>
        <w:t xml:space="preserve"> Sentencia </w:t>
      </w:r>
      <w:hyperlink w:anchor="SENTENCIA_2013_103" w:history="1">
        <w:r w:rsidRPr="00E27756">
          <w:rPr>
            <w:rStyle w:val="TextoNormalCaracter"/>
          </w:rPr>
          <w:t>103/2013</w:t>
        </w:r>
      </w:hyperlink>
      <w:r>
        <w:t>, f. 1.</w:t>
      </w:r>
    </w:p>
    <w:p w:rsidR="00E27756" w:rsidRDefault="00E27756" w:rsidP="00E27756">
      <w:pPr>
        <w:pStyle w:val="SangriaFrancesaArticulo"/>
      </w:pPr>
      <w:r w:rsidRPr="00E27756">
        <w:rPr>
          <w:rStyle w:val="TextoNormalNegritaCaracter"/>
        </w:rPr>
        <w:t>Artículo 122.5.</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123.</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123.1 c).</w:t>
      </w:r>
      <w:r w:rsidRPr="00E27756">
        <w:rPr>
          <w:rStyle w:val="TextoNormalCaracter"/>
        </w:rPr>
        <w:t>-</w:t>
      </w:r>
      <w:r>
        <w:t xml:space="preserve"> Sentencia </w:t>
      </w:r>
      <w:hyperlink w:anchor="SENTENCIA_2013_103" w:history="1">
        <w:r w:rsidRPr="00E27756">
          <w:rPr>
            <w:rStyle w:val="TextoNormalCaracter"/>
          </w:rPr>
          <w:t>103/2013</w:t>
        </w:r>
      </w:hyperlink>
      <w:r>
        <w:t>, ff. 1, 5.</w:t>
      </w:r>
    </w:p>
    <w:p w:rsidR="00E27756" w:rsidRDefault="00E27756" w:rsidP="00E27756">
      <w:pPr>
        <w:pStyle w:val="SangriaFrancesaArticulo"/>
      </w:pPr>
      <w:r w:rsidRPr="00E27756">
        <w:rPr>
          <w:rStyle w:val="TextoNormalNegritaCaracter"/>
        </w:rPr>
        <w:t>Artículo 126.</w:t>
      </w:r>
      <w:r w:rsidRPr="00E27756">
        <w:rPr>
          <w:rStyle w:val="TextoNormalCaracter"/>
        </w:rPr>
        <w:t>-</w:t>
      </w:r>
      <w:r>
        <w:t xml:space="preserve"> Sentencia </w:t>
      </w:r>
      <w:hyperlink w:anchor="SENTENCIA_2013_103" w:history="1">
        <w:r w:rsidRPr="00E27756">
          <w:rPr>
            <w:rStyle w:val="TextoNormalCaracter"/>
          </w:rPr>
          <w:t>103/2013</w:t>
        </w:r>
      </w:hyperlink>
      <w:r>
        <w:t>, f. 1.</w:t>
      </w:r>
    </w:p>
    <w:p w:rsidR="00E27756" w:rsidRDefault="00E27756" w:rsidP="00E27756">
      <w:pPr>
        <w:pStyle w:val="SangriaFrancesaArticulo"/>
      </w:pPr>
      <w:r w:rsidRPr="00E27756">
        <w:rPr>
          <w:rStyle w:val="TextoNormalNegritaCaracter"/>
        </w:rPr>
        <w:t>Artículo 126 e)</w:t>
      </w:r>
      <w:r>
        <w:t xml:space="preserve"> </w:t>
      </w:r>
      <w:r w:rsidRPr="00E27756">
        <w:rPr>
          <w:rStyle w:val="TextoNormalCaracter"/>
        </w:rPr>
        <w:t>(redactado por la Ley 57/2003, de 16 de diciembre)</w:t>
      </w:r>
      <w:r w:rsidRPr="00E27756">
        <w:rPr>
          <w:rStyle w:val="TextoNormalNegritaCaracter"/>
        </w:rPr>
        <w:t>.</w:t>
      </w:r>
      <w:r w:rsidRPr="00E27756">
        <w:rPr>
          <w:rStyle w:val="TextoNormalCaracter"/>
        </w:rPr>
        <w:t>-</w:t>
      </w:r>
      <w:r>
        <w:t xml:space="preserve"> Sentencia </w:t>
      </w:r>
      <w:hyperlink w:anchor="SENTENCIA_2013_103" w:history="1">
        <w:r w:rsidRPr="00E27756">
          <w:rPr>
            <w:rStyle w:val="TextoNormalCaracter"/>
          </w:rPr>
          <w:t>103/2013</w:t>
        </w:r>
      </w:hyperlink>
      <w:r>
        <w:t>, f. 7.</w:t>
      </w:r>
    </w:p>
    <w:p w:rsidR="00E27756" w:rsidRDefault="00E27756" w:rsidP="00E27756">
      <w:pPr>
        <w:pStyle w:val="SangriaFrancesaArticulo"/>
      </w:pPr>
      <w:r w:rsidRPr="00E27756">
        <w:rPr>
          <w:rStyle w:val="TextoNormalNegritaCaracter"/>
        </w:rPr>
        <w:t>Artículo 126.1.</w:t>
      </w:r>
      <w:r w:rsidRPr="00E27756">
        <w:rPr>
          <w:rStyle w:val="TextoNormalCaracter"/>
        </w:rPr>
        <w:t>-</w:t>
      </w:r>
      <w:r>
        <w:t xml:space="preserve"> Sentencia </w:t>
      </w:r>
      <w:hyperlink w:anchor="SENTENCIA_2013_103" w:history="1">
        <w:r w:rsidRPr="00E27756">
          <w:rPr>
            <w:rStyle w:val="TextoNormalCaracter"/>
          </w:rPr>
          <w:t>103/2013</w:t>
        </w:r>
      </w:hyperlink>
      <w:r>
        <w:t>, f. 6.</w:t>
      </w:r>
    </w:p>
    <w:p w:rsidR="00E27756" w:rsidRDefault="00E27756" w:rsidP="00E27756">
      <w:pPr>
        <w:pStyle w:val="SangriaFrancesaArticulo"/>
      </w:pPr>
      <w:r w:rsidRPr="00E27756">
        <w:rPr>
          <w:rStyle w:val="TextoNormalNegritaCaracter"/>
        </w:rPr>
        <w:t>Artículo 126.2.2 inciso 1.</w:t>
      </w:r>
      <w:r w:rsidRPr="00E27756">
        <w:rPr>
          <w:rStyle w:val="TextoNormalCaracter"/>
        </w:rPr>
        <w:t>-</w:t>
      </w:r>
      <w:r>
        <w:t xml:space="preserve"> Sentencia </w:t>
      </w:r>
      <w:hyperlink w:anchor="SENTENCIA_2013_103" w:history="1">
        <w:r w:rsidRPr="00E27756">
          <w:rPr>
            <w:rStyle w:val="TextoNormalCaracter"/>
          </w:rPr>
          <w:t>103/2013</w:t>
        </w:r>
      </w:hyperlink>
      <w:r>
        <w:t>, ff. 1, 6.</w:t>
      </w:r>
    </w:p>
    <w:p w:rsidR="00E27756" w:rsidRDefault="00E27756" w:rsidP="00E27756">
      <w:pPr>
        <w:pStyle w:val="SangriaFrancesaArticulo"/>
      </w:pPr>
      <w:r w:rsidRPr="00E27756">
        <w:rPr>
          <w:rStyle w:val="TextoNormalNegritaCaracter"/>
        </w:rPr>
        <w:t>Artículo 126.2.2 inciso 1</w:t>
      </w:r>
      <w:r>
        <w:t xml:space="preserve"> </w:t>
      </w:r>
      <w:r w:rsidRPr="00E27756">
        <w:rPr>
          <w:rStyle w:val="TextoNormalCaracter"/>
        </w:rPr>
        <w:t>(redactado por la Ley 57/2003, de 16 de diciembre)</w:t>
      </w:r>
      <w:r w:rsidRPr="00E27756">
        <w:rPr>
          <w:rStyle w:val="TextoNormalNegritaCaracter"/>
        </w:rPr>
        <w:t>.</w:t>
      </w:r>
      <w:r w:rsidRPr="00E27756">
        <w:rPr>
          <w:rStyle w:val="TextoNormalCaracter"/>
        </w:rPr>
        <w:t>-</w:t>
      </w:r>
      <w:r>
        <w:t xml:space="preserve"> Sentencia </w:t>
      </w:r>
      <w:hyperlink w:anchor="SENTENCIA_2013_103" w:history="1">
        <w:r w:rsidRPr="00E27756">
          <w:rPr>
            <w:rStyle w:val="TextoNormalCaracter"/>
          </w:rPr>
          <w:t>103/2013</w:t>
        </w:r>
      </w:hyperlink>
      <w:r>
        <w:t>, f. 6.</w:t>
      </w:r>
    </w:p>
    <w:p w:rsidR="00E27756" w:rsidRDefault="00E27756" w:rsidP="00E27756">
      <w:pPr>
        <w:pStyle w:val="SangriaFrancesaArticulo"/>
      </w:pPr>
      <w:r w:rsidRPr="00E27756">
        <w:rPr>
          <w:rStyle w:val="TextoNormalNegritaCaracter"/>
        </w:rPr>
        <w:t>Artículo 126.4.</w:t>
      </w:r>
      <w:r w:rsidRPr="00E27756">
        <w:rPr>
          <w:rStyle w:val="TextoNormalCaracter"/>
        </w:rPr>
        <w:t>-</w:t>
      </w:r>
      <w:r>
        <w:t xml:space="preserve"> Sentencia </w:t>
      </w:r>
      <w:hyperlink w:anchor="SENTENCIA_2013_103" w:history="1">
        <w:r w:rsidRPr="00E27756">
          <w:rPr>
            <w:rStyle w:val="TextoNormalCaracter"/>
          </w:rPr>
          <w:t>103/2013</w:t>
        </w:r>
      </w:hyperlink>
      <w:r>
        <w:t>, ff. 1, 5.</w:t>
      </w:r>
    </w:p>
    <w:p w:rsidR="00E27756" w:rsidRDefault="00E27756" w:rsidP="00E27756">
      <w:pPr>
        <w:pStyle w:val="SangriaFrancesaArticulo"/>
      </w:pPr>
      <w:r w:rsidRPr="00E27756">
        <w:rPr>
          <w:rStyle w:val="TextoNormalNegritaCaracter"/>
        </w:rPr>
        <w:t>Artículo 126.5 inciso 1.</w:t>
      </w:r>
      <w:r w:rsidRPr="00E27756">
        <w:rPr>
          <w:rStyle w:val="TextoNormalCaracter"/>
        </w:rPr>
        <w:t>-</w:t>
      </w:r>
      <w:r>
        <w:t xml:space="preserve"> Sentencia </w:t>
      </w:r>
      <w:hyperlink w:anchor="SENTENCIA_2013_103" w:history="1">
        <w:r w:rsidRPr="00E27756">
          <w:rPr>
            <w:rStyle w:val="TextoNormalCaracter"/>
          </w:rPr>
          <w:t>103/2013</w:t>
        </w:r>
      </w:hyperlink>
      <w:r>
        <w:t>, ff. 1.</w:t>
      </w:r>
    </w:p>
    <w:p w:rsidR="00E27756" w:rsidRDefault="00E27756" w:rsidP="00E27756">
      <w:pPr>
        <w:pStyle w:val="SangriaFrancesaArticulo"/>
      </w:pPr>
      <w:r w:rsidRPr="00E27756">
        <w:rPr>
          <w:rStyle w:val="TextoNormalNegritaCaracter"/>
        </w:rPr>
        <w:t>Artículo 126.5 inciso 1</w:t>
      </w:r>
      <w:r>
        <w:t xml:space="preserve"> </w:t>
      </w:r>
      <w:r w:rsidRPr="00E27756">
        <w:rPr>
          <w:rStyle w:val="TextoNormalCaracter"/>
        </w:rPr>
        <w:t>(redactado por la Ley 57/2003, de 16 de diciembre)</w:t>
      </w:r>
      <w:r w:rsidRPr="00E27756">
        <w:rPr>
          <w:rStyle w:val="TextoNormalNegritaCaracter"/>
        </w:rPr>
        <w:t>.</w:t>
      </w:r>
      <w:r w:rsidRPr="00E27756">
        <w:rPr>
          <w:rStyle w:val="TextoNormalCaracter"/>
        </w:rPr>
        <w:t>-</w:t>
      </w:r>
      <w:r>
        <w:t xml:space="preserve"> Sentencia </w:t>
      </w:r>
      <w:hyperlink w:anchor="SENTENCIA_2013_103" w:history="1">
        <w:r w:rsidRPr="00E27756">
          <w:rPr>
            <w:rStyle w:val="TextoNormalCaracter"/>
          </w:rPr>
          <w:t>103/2013</w:t>
        </w:r>
      </w:hyperlink>
      <w:r>
        <w:t>, f. 7.</w:t>
      </w:r>
    </w:p>
    <w:p w:rsidR="00E27756" w:rsidRDefault="00E27756" w:rsidP="00E27756">
      <w:pPr>
        <w:pStyle w:val="SangriaFrancesaArticulo"/>
      </w:pPr>
      <w:r w:rsidRPr="00E27756">
        <w:rPr>
          <w:rStyle w:val="TextoNormalNegritaCaracter"/>
        </w:rPr>
        <w:t>Artículo 127.</w:t>
      </w:r>
      <w:r w:rsidRPr="00E27756">
        <w:rPr>
          <w:rStyle w:val="TextoNormalCaracter"/>
        </w:rPr>
        <w:t>-</w:t>
      </w:r>
      <w:r>
        <w:t xml:space="preserve"> Sentencia </w:t>
      </w:r>
      <w:hyperlink w:anchor="SENTENCIA_2013_103" w:history="1">
        <w:r w:rsidRPr="00E27756">
          <w:rPr>
            <w:rStyle w:val="TextoNormalCaracter"/>
          </w:rPr>
          <w:t>103/2013</w:t>
        </w:r>
      </w:hyperlink>
      <w:r>
        <w:t>, f. 6.</w:t>
      </w:r>
    </w:p>
    <w:p w:rsidR="00E27756" w:rsidRDefault="00E27756" w:rsidP="00E27756">
      <w:pPr>
        <w:pStyle w:val="SangriaFrancesaArticulo"/>
      </w:pPr>
      <w:r w:rsidRPr="00E27756">
        <w:rPr>
          <w:rStyle w:val="TextoNormalNegritaCaracter"/>
        </w:rPr>
        <w:t>Artículo 127.1 i).</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127.2.</w:t>
      </w:r>
      <w:r w:rsidRPr="00E27756">
        <w:rPr>
          <w:rStyle w:val="TextoNormalCaracter"/>
        </w:rPr>
        <w:t>-</w:t>
      </w:r>
      <w:r>
        <w:t xml:space="preserve"> Auto </w:t>
      </w:r>
      <w:hyperlink w:anchor="AUTO_2013_94" w:history="1">
        <w:r w:rsidRPr="00E27756">
          <w:rPr>
            <w:rStyle w:val="TextoNormalCaracter"/>
          </w:rPr>
          <w:t>94/2013</w:t>
        </w:r>
      </w:hyperlink>
      <w:r>
        <w:t>, f. 2.</w:t>
      </w:r>
    </w:p>
    <w:p w:rsidR="00E27756" w:rsidRDefault="00E27756" w:rsidP="00E27756">
      <w:pPr>
        <w:pStyle w:val="SangriaFrancesaArticulo"/>
      </w:pPr>
      <w:r w:rsidRPr="00E27756">
        <w:rPr>
          <w:rStyle w:val="TextoNormalNegritaCaracter"/>
        </w:rPr>
        <w:t>Artículo 128.</w:t>
      </w:r>
      <w:r w:rsidRPr="00E27756">
        <w:rPr>
          <w:rStyle w:val="TextoNormalCaracter"/>
        </w:rPr>
        <w:t>-</w:t>
      </w:r>
      <w:r>
        <w:t xml:space="preserve"> Sentencia </w:t>
      </w:r>
      <w:hyperlink w:anchor="SENTENCIA_2013_103" w:history="1">
        <w:r w:rsidRPr="00E27756">
          <w:rPr>
            <w:rStyle w:val="TextoNormalCaracter"/>
          </w:rPr>
          <w:t>103/2013</w:t>
        </w:r>
      </w:hyperlink>
      <w:r>
        <w:t>, ff. 1, 5.</w:t>
      </w:r>
    </w:p>
    <w:p w:rsidR="00E27756" w:rsidRDefault="00E27756" w:rsidP="00E27756">
      <w:pPr>
        <w:pStyle w:val="SangriaFrancesaArticulo"/>
      </w:pPr>
      <w:r w:rsidRPr="00E27756">
        <w:rPr>
          <w:rStyle w:val="TextoNormalNegritaCaracter"/>
        </w:rPr>
        <w:t>Artículo 129.</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129.2 inciso 1.</w:t>
      </w:r>
      <w:r w:rsidRPr="00E27756">
        <w:rPr>
          <w:rStyle w:val="TextoNormalCaracter"/>
        </w:rPr>
        <w:t>-</w:t>
      </w:r>
      <w:r>
        <w:t xml:space="preserve"> Sentencia </w:t>
      </w:r>
      <w:hyperlink w:anchor="SENTENCIA_2013_103" w:history="1">
        <w:r w:rsidRPr="00E27756">
          <w:rPr>
            <w:rStyle w:val="TextoNormalCaracter"/>
          </w:rPr>
          <w:t>103/2013</w:t>
        </w:r>
      </w:hyperlink>
      <w:r>
        <w:t>, f. 1.</w:t>
      </w:r>
    </w:p>
    <w:p w:rsidR="00E27756" w:rsidRDefault="00E27756" w:rsidP="00E27756">
      <w:pPr>
        <w:pStyle w:val="SangriaFrancesaArticulo"/>
      </w:pPr>
      <w:r w:rsidRPr="00E27756">
        <w:rPr>
          <w:rStyle w:val="TextoNormalNegritaCaracter"/>
        </w:rPr>
        <w:t>Artículo 130.</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130.1 b).</w:t>
      </w:r>
      <w:r w:rsidRPr="00E27756">
        <w:rPr>
          <w:rStyle w:val="TextoNormalCaracter"/>
        </w:rPr>
        <w:t>-</w:t>
      </w:r>
      <w:r>
        <w:t xml:space="preserve"> Sentencia </w:t>
      </w:r>
      <w:hyperlink w:anchor="SENTENCIA_2013_103" w:history="1">
        <w:r w:rsidRPr="00E27756">
          <w:rPr>
            <w:rStyle w:val="TextoNormalCaracter"/>
          </w:rPr>
          <w:t>103/2013</w:t>
        </w:r>
      </w:hyperlink>
      <w:r>
        <w:t>, ff. 1, 5.</w:t>
      </w:r>
    </w:p>
    <w:p w:rsidR="00E27756" w:rsidRDefault="00E27756" w:rsidP="00E27756">
      <w:pPr>
        <w:pStyle w:val="SangriaFrancesaArticulo"/>
      </w:pPr>
      <w:r w:rsidRPr="00E27756">
        <w:rPr>
          <w:rStyle w:val="TextoNormalNegritaCaracter"/>
        </w:rPr>
        <w:t>Artículo 130.2.</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130.4.</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131.</w:t>
      </w:r>
      <w:r w:rsidRPr="00E27756">
        <w:rPr>
          <w:rStyle w:val="TextoNormalCaracter"/>
        </w:rPr>
        <w:t>-</w:t>
      </w:r>
      <w:r>
        <w:t xml:space="preserve"> Sentencia </w:t>
      </w:r>
      <w:hyperlink w:anchor="SENTENCIA_2013_103" w:history="1">
        <w:r w:rsidRPr="00E27756">
          <w:rPr>
            <w:rStyle w:val="TextoNormalCaracter"/>
          </w:rPr>
          <w:t>103/2013</w:t>
        </w:r>
      </w:hyperlink>
      <w:r>
        <w:t>, ff. 1, 5.</w:t>
      </w:r>
    </w:p>
    <w:p w:rsidR="00E27756" w:rsidRDefault="00E27756" w:rsidP="00E27756">
      <w:pPr>
        <w:pStyle w:val="SangriaFrancesaArticulo"/>
      </w:pPr>
      <w:r w:rsidRPr="00E27756">
        <w:rPr>
          <w:rStyle w:val="TextoNormalNegritaCaracter"/>
        </w:rPr>
        <w:t>Artículo 132.</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132.1.</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132.2.</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132.3.</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Disposición adicional séptima, párrafos 1, 2.</w:t>
      </w:r>
      <w:r w:rsidRPr="00E27756">
        <w:rPr>
          <w:rStyle w:val="TextoNormalCaracter"/>
        </w:rPr>
        <w:t>-</w:t>
      </w:r>
      <w:r>
        <w:t xml:space="preserve"> Sentencia </w:t>
      </w:r>
      <w:hyperlink w:anchor="SENTENCIA_2013_17" w:history="1">
        <w:r w:rsidRPr="00E27756">
          <w:rPr>
            <w:rStyle w:val="TextoNormalCaracter"/>
          </w:rPr>
          <w:t>17/2013</w:t>
        </w:r>
      </w:hyperlink>
      <w:r>
        <w:t>, f. 9.</w:t>
      </w:r>
    </w:p>
    <w:p w:rsidR="00E27756" w:rsidRDefault="00E27756" w:rsidP="00E27756">
      <w:pPr>
        <w:pStyle w:val="SangriaFrancesaArticulo"/>
      </w:pPr>
      <w:r w:rsidRPr="00E27756">
        <w:rPr>
          <w:rStyle w:val="TextoNormalNegritaCaracter"/>
        </w:rPr>
        <w:lastRenderedPageBreak/>
        <w:t>Disposición adicional séptima</w:t>
      </w:r>
      <w:r>
        <w:t xml:space="preserve"> </w:t>
      </w:r>
      <w:r w:rsidRPr="00E27756">
        <w:rPr>
          <w:rStyle w:val="TextoNormalCaracter"/>
        </w:rPr>
        <w:t>(redactada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9, VP.</w:t>
      </w:r>
    </w:p>
    <w:p w:rsidR="00E27756" w:rsidRDefault="00E27756" w:rsidP="00E27756">
      <w:pPr>
        <w:pStyle w:val="SangriaFrancesaArticulo"/>
      </w:pPr>
      <w:r w:rsidRPr="00E27756">
        <w:rPr>
          <w:rStyle w:val="TextoNormalNegritaCaracter"/>
        </w:rPr>
        <w:t>Disposición adicional octava.</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Disposición adicional novena.</w:t>
      </w:r>
      <w:r w:rsidRPr="00E27756">
        <w:rPr>
          <w:rStyle w:val="TextoNormalCaracter"/>
        </w:rPr>
        <w:t>-</w:t>
      </w:r>
      <w:r>
        <w:t xml:space="preserve"> Sentencia </w:t>
      </w:r>
      <w:hyperlink w:anchor="SENTENCIA_2013_103" w:history="1">
        <w:r w:rsidRPr="00E27756">
          <w:rPr>
            <w:rStyle w:val="TextoNormalCaracter"/>
          </w:rPr>
          <w:t>103/2013</w:t>
        </w:r>
      </w:hyperlink>
      <w:r>
        <w:t>, f. 2.</w:t>
      </w:r>
    </w:p>
    <w:p w:rsidR="00E27756" w:rsidRDefault="00E27756" w:rsidP="00E27756">
      <w:pPr>
        <w:pStyle w:val="SangriaFrancesaArticulo"/>
      </w:pPr>
      <w:r w:rsidRPr="00E27756">
        <w:rPr>
          <w:rStyle w:val="TextoNormalNegritaCaracter"/>
        </w:rPr>
        <w:t>Disposición adicional decimoquinta</w:t>
      </w:r>
      <w:r>
        <w:t xml:space="preserve"> </w:t>
      </w:r>
      <w:r w:rsidRPr="00E27756">
        <w:rPr>
          <w:rStyle w:val="TextoNormalCaracter"/>
        </w:rPr>
        <w:t>(redactada por el Real Decreto Legislativo 2/2008, de 20 de junio)</w:t>
      </w:r>
      <w:r w:rsidRPr="00E27756">
        <w:rPr>
          <w:rStyle w:val="TextoNormalNegritaCaracter"/>
        </w:rPr>
        <w:t>.</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Sentencias </w:t>
      </w:r>
      <w:hyperlink w:anchor="SENTENCIA_2013_94" w:history="1">
        <w:r w:rsidRPr="00E27756">
          <w:rPr>
            <w:rStyle w:val="TextoNormalCaracter"/>
          </w:rPr>
          <w:t>94/2013</w:t>
        </w:r>
      </w:hyperlink>
      <w:r>
        <w:t xml:space="preserve">, f. 6, VP I; </w:t>
      </w:r>
      <w:hyperlink w:anchor="SENTENCIA_2013_103" w:history="1">
        <w:r w:rsidRPr="00E27756">
          <w:rPr>
            <w:rStyle w:val="TextoNormalCaracter"/>
          </w:rPr>
          <w:t>103/2013</w:t>
        </w:r>
      </w:hyperlink>
      <w:r>
        <w:t>, ff. 4, 5.</w:t>
      </w:r>
    </w:p>
    <w:p w:rsidR="00E27756" w:rsidRDefault="00E27756" w:rsidP="00E27756">
      <w:pPr>
        <w:pStyle w:val="SangriaFrancesaArticulo"/>
      </w:pPr>
    </w:p>
    <w:p w:rsidR="00E27756" w:rsidRDefault="00E27756" w:rsidP="00E27756">
      <w:pPr>
        <w:pStyle w:val="TextoNormalNegritaCursivandice"/>
      </w:pPr>
      <w:r>
        <w:t>Ley 16/1985, de 25 de junio. Patrimonio histórico español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4" w:history="1">
        <w:r w:rsidRPr="00E27756">
          <w:rPr>
            <w:rStyle w:val="TextoNormalCaracter"/>
          </w:rPr>
          <w:t>14/2013</w:t>
        </w:r>
      </w:hyperlink>
      <w:r>
        <w:t xml:space="preserve">, f. 4; </w:t>
      </w:r>
      <w:hyperlink w:anchor="SENTENCIA_2013_20" w:history="1">
        <w:r w:rsidRPr="00E27756">
          <w:rPr>
            <w:rStyle w:val="TextoNormalCaracter"/>
          </w:rPr>
          <w:t>20/2013</w:t>
        </w:r>
      </w:hyperlink>
      <w:r>
        <w:t xml:space="preserve">, ff. 3, 9; </w:t>
      </w:r>
      <w:hyperlink w:anchor="SENTENCIA_2013_68" w:history="1">
        <w:r w:rsidRPr="00E27756">
          <w:rPr>
            <w:rStyle w:val="TextoNormalCaracter"/>
          </w:rPr>
          <w:t>68/2013</w:t>
        </w:r>
      </w:hyperlink>
      <w:r>
        <w:t xml:space="preserve">, f. 3; </w:t>
      </w:r>
      <w:hyperlink w:anchor="SENTENCIA_2013_136" w:history="1">
        <w:r w:rsidRPr="00E27756">
          <w:rPr>
            <w:rStyle w:val="TextoNormalCaracter"/>
          </w:rPr>
          <w:t>136/2013</w:t>
        </w:r>
      </w:hyperlink>
      <w:r>
        <w:t>, ff. 4, 5.</w:t>
      </w:r>
    </w:p>
    <w:p w:rsidR="00E27756" w:rsidRDefault="00E27756" w:rsidP="00E27756">
      <w:pPr>
        <w:pStyle w:val="SangriaFrancesaArticulo"/>
      </w:pPr>
      <w:r w:rsidRPr="00E27756">
        <w:rPr>
          <w:rStyle w:val="TextoNormalNegritaCaracter"/>
        </w:rPr>
        <w:t>Título VII.</w:t>
      </w:r>
      <w:r w:rsidRPr="00E27756">
        <w:rPr>
          <w:rStyle w:val="TextoNormalCaracter"/>
        </w:rPr>
        <w:t>-</w:t>
      </w:r>
      <w:r>
        <w:t xml:space="preserve"> Sentencia </w:t>
      </w:r>
      <w:hyperlink w:anchor="SENTENCIA_2013_136" w:history="1">
        <w:r w:rsidRPr="00E27756">
          <w:rPr>
            <w:rStyle w:val="TextoNormalCaracter"/>
          </w:rPr>
          <w:t>136/2013</w:t>
        </w:r>
      </w:hyperlink>
      <w:r>
        <w:t>, f. 3.</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136" w:history="1">
        <w:r w:rsidRPr="00E27756">
          <w:rPr>
            <w:rStyle w:val="TextoNormalCaracter"/>
          </w:rPr>
          <w:t>136/2013</w:t>
        </w:r>
      </w:hyperlink>
      <w:r>
        <w:t>, f. 4.</w:t>
      </w:r>
    </w:p>
    <w:p w:rsidR="00E27756" w:rsidRDefault="00E27756" w:rsidP="00E27756">
      <w:pPr>
        <w:pStyle w:val="SangriaFrancesaArticulo"/>
      </w:pPr>
      <w:r w:rsidRPr="00E27756">
        <w:rPr>
          <w:rStyle w:val="TextoNormalNegritaCaracter"/>
        </w:rPr>
        <w:t>Artículo 6 b).</w:t>
      </w:r>
      <w:r w:rsidRPr="00E27756">
        <w:rPr>
          <w:rStyle w:val="TextoNormalCaracter"/>
        </w:rPr>
        <w:t>-</w:t>
      </w:r>
      <w:r>
        <w:t xml:space="preserve"> Sentencia </w:t>
      </w:r>
      <w:hyperlink w:anchor="SENTENCIA_2013_136" w:history="1">
        <w:r w:rsidRPr="00E27756">
          <w:rPr>
            <w:rStyle w:val="TextoNormalCaracter"/>
          </w:rPr>
          <w:t>136/2013</w:t>
        </w:r>
      </w:hyperlink>
      <w:r>
        <w:t>, f. 4.</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136" w:history="1">
        <w:r w:rsidRPr="00E27756">
          <w:rPr>
            <w:rStyle w:val="TextoNormalCaracter"/>
          </w:rPr>
          <w:t>136/2013</w:t>
        </w:r>
      </w:hyperlink>
      <w:r>
        <w:t>, f. 4.</w:t>
      </w:r>
    </w:p>
    <w:p w:rsidR="00E27756" w:rsidRDefault="00E27756" w:rsidP="00E27756">
      <w:pPr>
        <w:pStyle w:val="SangriaFrancesaArticulo"/>
      </w:pPr>
      <w:r w:rsidRPr="00E27756">
        <w:rPr>
          <w:rStyle w:val="TextoNormalNegritaCaracter"/>
        </w:rPr>
        <w:t>Artículo 9.1.</w:t>
      </w:r>
      <w:r w:rsidRPr="00E27756">
        <w:rPr>
          <w:rStyle w:val="TextoNormalCaracter"/>
        </w:rPr>
        <w:t>-</w:t>
      </w:r>
      <w:r>
        <w:t xml:space="preserve"> Sentencia </w:t>
      </w:r>
      <w:hyperlink w:anchor="SENTENCIA_2013_136" w:history="1">
        <w:r w:rsidRPr="00E27756">
          <w:rPr>
            <w:rStyle w:val="TextoNormalCaracter"/>
          </w:rPr>
          <w:t>136/2013</w:t>
        </w:r>
      </w:hyperlink>
      <w:r>
        <w:t>, ff. 3, 4.</w:t>
      </w:r>
    </w:p>
    <w:p w:rsidR="00E27756" w:rsidRDefault="00E27756" w:rsidP="00E27756">
      <w:pPr>
        <w:pStyle w:val="SangriaFrancesaArticulo"/>
      </w:pPr>
      <w:r w:rsidRPr="00E27756">
        <w:rPr>
          <w:rStyle w:val="TextoNormalNegritaCaracter"/>
        </w:rPr>
        <w:t>Artículo 48.</w:t>
      </w:r>
      <w:r w:rsidRPr="00E27756">
        <w:rPr>
          <w:rStyle w:val="TextoNormalCaracter"/>
        </w:rPr>
        <w:t>-</w:t>
      </w:r>
      <w:r>
        <w:t xml:space="preserve"> Sentencia </w:t>
      </w:r>
      <w:hyperlink w:anchor="SENTENCIA_2013_136" w:history="1">
        <w:r w:rsidRPr="00E27756">
          <w:rPr>
            <w:rStyle w:val="TextoNormalCaracter"/>
          </w:rPr>
          <w:t>136/2013</w:t>
        </w:r>
      </w:hyperlink>
      <w:r>
        <w:t>, f. 3.</w:t>
      </w:r>
    </w:p>
    <w:p w:rsidR="00E27756" w:rsidRDefault="00E27756" w:rsidP="00E27756">
      <w:pPr>
        <w:pStyle w:val="SangriaFrancesaArticulo"/>
      </w:pPr>
      <w:r w:rsidRPr="00E27756">
        <w:rPr>
          <w:rStyle w:val="TextoNormalNegritaCaracter"/>
        </w:rPr>
        <w:t>Artículo 60.1.</w:t>
      </w:r>
      <w:r w:rsidRPr="00E27756">
        <w:rPr>
          <w:rStyle w:val="TextoNormalCaracter"/>
        </w:rPr>
        <w:t>-</w:t>
      </w:r>
      <w:r>
        <w:t xml:space="preserve"> Sentencia </w:t>
      </w:r>
      <w:hyperlink w:anchor="SENTENCIA_2013_136" w:history="1">
        <w:r w:rsidRPr="00E27756">
          <w:rPr>
            <w:rStyle w:val="TextoNormalCaracter"/>
          </w:rPr>
          <w:t>136/2013</w:t>
        </w:r>
      </w:hyperlink>
      <w:r>
        <w:t>, ff. 3 a 5.</w:t>
      </w:r>
    </w:p>
    <w:p w:rsidR="00E27756" w:rsidRDefault="00E27756" w:rsidP="00E27756">
      <w:pPr>
        <w:pStyle w:val="SangriaFrancesaArticulo"/>
      </w:pPr>
      <w:r w:rsidRPr="00E27756">
        <w:rPr>
          <w:rStyle w:val="TextoNormalNegritaCaracter"/>
        </w:rPr>
        <w:t>Artículo 61.</w:t>
      </w:r>
      <w:r w:rsidRPr="00E27756">
        <w:rPr>
          <w:rStyle w:val="TextoNormalCaracter"/>
        </w:rPr>
        <w:t>-</w:t>
      </w:r>
      <w:r>
        <w:t xml:space="preserve"> Sentencias </w:t>
      </w:r>
      <w:hyperlink w:anchor="SENTENCIA_2013_14" w:history="1">
        <w:r w:rsidRPr="00E27756">
          <w:rPr>
            <w:rStyle w:val="TextoNormalCaracter"/>
          </w:rPr>
          <w:t>14/2013</w:t>
        </w:r>
      </w:hyperlink>
      <w:r>
        <w:t xml:space="preserve">, f. 3; </w:t>
      </w:r>
      <w:hyperlink w:anchor="SENTENCIA_2013_38" w:history="1">
        <w:r w:rsidRPr="00E27756">
          <w:rPr>
            <w:rStyle w:val="TextoNormalCaracter"/>
          </w:rPr>
          <w:t>38/2013</w:t>
        </w:r>
      </w:hyperlink>
      <w:r>
        <w:t xml:space="preserve">, f. 3; </w:t>
      </w:r>
      <w:hyperlink w:anchor="SENTENCIA_2013_136" w:history="1">
        <w:r w:rsidRPr="00E27756">
          <w:rPr>
            <w:rStyle w:val="TextoNormalCaracter"/>
          </w:rPr>
          <w:t>136/2013</w:t>
        </w:r>
      </w:hyperlink>
      <w:r>
        <w:t>, f. 3.</w:t>
      </w:r>
    </w:p>
    <w:p w:rsidR="00E27756" w:rsidRDefault="00E27756" w:rsidP="00E27756">
      <w:pPr>
        <w:pStyle w:val="SangriaFrancesaArticulo"/>
      </w:pPr>
    </w:p>
    <w:p w:rsidR="00E27756" w:rsidRDefault="00E27756" w:rsidP="00E27756">
      <w:pPr>
        <w:pStyle w:val="TextoNormalNegritaCursivandice"/>
      </w:pPr>
      <w:r>
        <w:t>Ley 29/1985, de 2 de agosto. Aguas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6" w:history="1">
        <w:r w:rsidRPr="00E27756">
          <w:rPr>
            <w:rStyle w:val="TextoNormalCaracter"/>
          </w:rPr>
          <w:t>36/2013</w:t>
        </w:r>
      </w:hyperlink>
      <w:r>
        <w:t>, ff. 5, 6, 8.</w:t>
      </w:r>
    </w:p>
    <w:p w:rsidR="00E27756" w:rsidRDefault="00E27756" w:rsidP="00E27756">
      <w:pPr>
        <w:pStyle w:val="SangriaFrancesaArticulo"/>
      </w:pPr>
      <w:r w:rsidRPr="00E27756">
        <w:rPr>
          <w:rStyle w:val="TextoNormalNegritaCaracter"/>
        </w:rPr>
        <w:t>Título V.</w:t>
      </w:r>
      <w:r w:rsidRPr="00E27756">
        <w:rPr>
          <w:rStyle w:val="TextoNormalCaracter"/>
        </w:rPr>
        <w:t>-</w:t>
      </w:r>
      <w:r>
        <w:t xml:space="preserve"> Sentencia </w:t>
      </w:r>
      <w:hyperlink w:anchor="SENTENCIA_2013_36" w:history="1">
        <w:r w:rsidRPr="00E27756">
          <w:rPr>
            <w:rStyle w:val="TextoNormalCaracter"/>
          </w:rPr>
          <w:t>36/2013</w:t>
        </w:r>
      </w:hyperlink>
      <w:r>
        <w:t>, f. 7.</w:t>
      </w:r>
    </w:p>
    <w:p w:rsidR="00E27756" w:rsidRDefault="00E27756" w:rsidP="00E27756">
      <w:pPr>
        <w:pStyle w:val="SangriaFrancesaArticulo"/>
      </w:pPr>
      <w:r w:rsidRPr="00E27756">
        <w:rPr>
          <w:rStyle w:val="TextoNormalNegritaCaracter"/>
        </w:rPr>
        <w:t>Artículo 38.2.</w:t>
      </w:r>
      <w:r w:rsidRPr="00E27756">
        <w:rPr>
          <w:rStyle w:val="TextoNormalCaracter"/>
        </w:rPr>
        <w:t>-</w:t>
      </w:r>
      <w:r>
        <w:t xml:space="preserve"> Sentencia </w:t>
      </w:r>
      <w:hyperlink w:anchor="SENTENCIA_2013_36" w:history="1">
        <w:r w:rsidRPr="00E27756">
          <w:rPr>
            <w:rStyle w:val="TextoNormalCaracter"/>
          </w:rPr>
          <w:t>36/2013</w:t>
        </w:r>
      </w:hyperlink>
      <w:r>
        <w:t>, f. 6.</w:t>
      </w:r>
    </w:p>
    <w:p w:rsidR="00E27756" w:rsidRDefault="00E27756" w:rsidP="00E27756">
      <w:pPr>
        <w:pStyle w:val="SangriaFrancesaArticulo"/>
      </w:pPr>
      <w:r w:rsidRPr="00E27756">
        <w:rPr>
          <w:rStyle w:val="TextoNormalNegritaCaracter"/>
        </w:rPr>
        <w:t>Artículo 39.2.</w:t>
      </w:r>
      <w:r w:rsidRPr="00E27756">
        <w:rPr>
          <w:rStyle w:val="TextoNormalCaracter"/>
        </w:rPr>
        <w:t>-</w:t>
      </w:r>
      <w:r>
        <w:t xml:space="preserve"> Sentencias </w:t>
      </w:r>
      <w:hyperlink w:anchor="SENTENCIA_2013_36" w:history="1">
        <w:r w:rsidRPr="00E27756">
          <w:rPr>
            <w:rStyle w:val="TextoNormalCaracter"/>
          </w:rPr>
          <w:t>36/2013</w:t>
        </w:r>
      </w:hyperlink>
      <w:r>
        <w:t xml:space="preserve">, f. 6; </w:t>
      </w:r>
      <w:hyperlink w:anchor="SENTENCIA_2013_104" w:history="1">
        <w:r w:rsidRPr="00E27756">
          <w:rPr>
            <w:rStyle w:val="TextoNormalCaracter"/>
          </w:rPr>
          <w:t>104/2013</w:t>
        </w:r>
      </w:hyperlink>
      <w:r>
        <w:t>, f. 10.</w:t>
      </w:r>
    </w:p>
    <w:p w:rsidR="00E27756" w:rsidRDefault="00E27756" w:rsidP="00E27756">
      <w:pPr>
        <w:pStyle w:val="SangriaFrancesaArticulo"/>
      </w:pPr>
      <w:r w:rsidRPr="00E27756">
        <w:rPr>
          <w:rStyle w:val="TextoNormalNegritaCaracter"/>
        </w:rPr>
        <w:t>Artículo 40 f).</w:t>
      </w:r>
      <w:r w:rsidRPr="00E27756">
        <w:rPr>
          <w:rStyle w:val="TextoNormalCaracter"/>
        </w:rPr>
        <w:t>-</w:t>
      </w:r>
      <w:r>
        <w:t xml:space="preserve"> Sentencia </w:t>
      </w:r>
      <w:hyperlink w:anchor="SENTENCIA_2013_36" w:history="1">
        <w:r w:rsidRPr="00E27756">
          <w:rPr>
            <w:rStyle w:val="TextoNormalCaracter"/>
          </w:rPr>
          <w:t>36/2013</w:t>
        </w:r>
      </w:hyperlink>
      <w:r>
        <w:t>, f. 6.</w:t>
      </w:r>
    </w:p>
    <w:p w:rsidR="00E27756" w:rsidRDefault="00E27756" w:rsidP="00E27756">
      <w:pPr>
        <w:pStyle w:val="SangriaFrancesaArticulo"/>
      </w:pPr>
      <w:r w:rsidRPr="00E27756">
        <w:rPr>
          <w:rStyle w:val="TextoNormalNegritaCaracter"/>
        </w:rPr>
        <w:t>Artículo 40 f) y ss.</w:t>
      </w:r>
      <w:r w:rsidRPr="00E27756">
        <w:rPr>
          <w:rStyle w:val="TextoNormalCaracter"/>
        </w:rPr>
        <w:t>-</w:t>
      </w:r>
      <w:r>
        <w:t xml:space="preserve"> Sentencia </w:t>
      </w:r>
      <w:hyperlink w:anchor="SENTENCIA_2013_36" w:history="1">
        <w:r w:rsidRPr="00E27756">
          <w:rPr>
            <w:rStyle w:val="TextoNormalCaracter"/>
          </w:rPr>
          <w:t>36/2013</w:t>
        </w:r>
      </w:hyperlink>
      <w:r>
        <w:t>, f. 6.</w:t>
      </w:r>
    </w:p>
    <w:p w:rsidR="00E27756" w:rsidRDefault="00E27756" w:rsidP="00E27756">
      <w:pPr>
        <w:pStyle w:val="SangriaFrancesaArticulo"/>
      </w:pPr>
    </w:p>
    <w:p w:rsidR="00E27756" w:rsidRDefault="00E27756" w:rsidP="00E27756">
      <w:pPr>
        <w:pStyle w:val="TextoNormalNegritaCursivandice"/>
      </w:pPr>
      <w:r>
        <w:t>Ley 38/1985, de 22 de noviembre. Monopolio fiscal de tabacos</w:t>
      </w:r>
    </w:p>
    <w:p w:rsidR="00E27756" w:rsidRDefault="00E27756" w:rsidP="00E27756">
      <w:pPr>
        <w:pStyle w:val="SangriaFrancesaArticulo"/>
      </w:pPr>
      <w:r w:rsidRPr="00E27756">
        <w:rPr>
          <w:rStyle w:val="TextoNormalNegritaCaracter"/>
        </w:rPr>
        <w:t>Artículo 8.3.</w:t>
      </w:r>
      <w:r w:rsidRPr="00E27756">
        <w:rPr>
          <w:rStyle w:val="TextoNormalCaracter"/>
        </w:rPr>
        <w:t>-</w:t>
      </w:r>
      <w:r>
        <w:t xml:space="preserve"> Sentencia </w:t>
      </w:r>
      <w:hyperlink w:anchor="SENTENCIA_2013_13" w:history="1">
        <w:r w:rsidRPr="00E27756">
          <w:rPr>
            <w:rStyle w:val="TextoNormalCaracter"/>
          </w:rPr>
          <w:t>13/2013</w:t>
        </w:r>
      </w:hyperlink>
      <w:r>
        <w:t>, f. 3.</w:t>
      </w:r>
    </w:p>
    <w:p w:rsidR="00E27756" w:rsidRDefault="00E27756" w:rsidP="00E27756">
      <w:pPr>
        <w:pStyle w:val="SangriaFrancesaArticulo"/>
      </w:pPr>
      <w:r w:rsidRPr="00E27756">
        <w:rPr>
          <w:rStyle w:val="TextoNormalNegritaCaracter"/>
        </w:rPr>
        <w:t>Artículo 8.4.</w:t>
      </w:r>
      <w:r w:rsidRPr="00E27756">
        <w:rPr>
          <w:rStyle w:val="TextoNormalCaracter"/>
        </w:rPr>
        <w:t>-</w:t>
      </w:r>
      <w:r>
        <w:t xml:space="preserve"> Sentencia </w:t>
      </w:r>
      <w:hyperlink w:anchor="SENTENCIA_2013_13" w:history="1">
        <w:r w:rsidRPr="00E27756">
          <w:rPr>
            <w:rStyle w:val="TextoNormalCaracter"/>
          </w:rPr>
          <w:t>13/2013</w:t>
        </w:r>
      </w:hyperlink>
      <w:r>
        <w:t>, f. 3.</w:t>
      </w:r>
    </w:p>
    <w:p w:rsidR="00E27756" w:rsidRDefault="00E27756" w:rsidP="00E27756">
      <w:pPr>
        <w:pStyle w:val="SangriaFrancesaArticulo"/>
      </w:pPr>
    </w:p>
    <w:p w:rsidR="00E27756" w:rsidRDefault="00E27756" w:rsidP="00E27756">
      <w:pPr>
        <w:pStyle w:val="TextoNormalNegritaCursivandice"/>
      </w:pPr>
      <w:r>
        <w:t>Ley 46/1985, de 27 de diciembre. Presupuestos generales del Estado para 1986</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6" w:history="1">
        <w:r w:rsidRPr="00E27756">
          <w:rPr>
            <w:rStyle w:val="TextoNormalCaracter"/>
          </w:rPr>
          <w:t>86/2013</w:t>
        </w:r>
      </w:hyperlink>
      <w:r>
        <w:t>, f. 5.</w:t>
      </w:r>
    </w:p>
    <w:p w:rsidR="00E27756" w:rsidRDefault="00E27756" w:rsidP="00E27756">
      <w:pPr>
        <w:pStyle w:val="SangriaFrancesaArticulo"/>
      </w:pPr>
    </w:p>
    <w:p w:rsidR="00E27756" w:rsidRDefault="00E27756" w:rsidP="00E27756">
      <w:pPr>
        <w:pStyle w:val="TextoNormalNegritaCursivandice"/>
      </w:pPr>
      <w:r>
        <w:t>Ley 14/1986, de 25 de abril. General de sanidad</w:t>
      </w:r>
    </w:p>
    <w:p w:rsidR="00E27756" w:rsidRDefault="00E27756" w:rsidP="00E27756">
      <w:pPr>
        <w:pStyle w:val="SangriaFrancesaArticulo"/>
      </w:pPr>
      <w:r w:rsidRPr="00E27756">
        <w:rPr>
          <w:rStyle w:val="TextoNormalNegritaCaracter"/>
        </w:rPr>
        <w:t>Título IV.</w:t>
      </w:r>
      <w:r w:rsidRPr="00E27756">
        <w:rPr>
          <w:rStyle w:val="TextoNormalCaracter"/>
        </w:rPr>
        <w:t>-</w:t>
      </w:r>
      <w:r>
        <w:t xml:space="preserve"> Sentencia </w:t>
      </w:r>
      <w:hyperlink w:anchor="SENTENCIA_2013_137" w:history="1">
        <w:r w:rsidRPr="00E27756">
          <w:rPr>
            <w:rStyle w:val="TextoNormalCaracter"/>
          </w:rPr>
          <w:t>137/2013</w:t>
        </w:r>
      </w:hyperlink>
      <w:r>
        <w:t>, f. 5.</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 </w:t>
      </w:r>
      <w:hyperlink w:anchor="SENTENCIA_2013_137" w:history="1">
        <w:r w:rsidRPr="00E27756">
          <w:rPr>
            <w:rStyle w:val="TextoNormalCaracter"/>
          </w:rPr>
          <w:t>137/2013</w:t>
        </w:r>
      </w:hyperlink>
      <w:r>
        <w:t>, f. 5.</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137" w:history="1">
        <w:r w:rsidRPr="00E27756">
          <w:rPr>
            <w:rStyle w:val="TextoNormalCaracter"/>
          </w:rPr>
          <w:t>137/2013</w:t>
        </w:r>
      </w:hyperlink>
      <w:r>
        <w:t>, f. 5.</w:t>
      </w:r>
    </w:p>
    <w:p w:rsidR="00E27756" w:rsidRDefault="00E27756" w:rsidP="00E27756">
      <w:pPr>
        <w:pStyle w:val="SangriaFrancesaArticulo"/>
      </w:pPr>
      <w:r w:rsidRPr="00E27756">
        <w:rPr>
          <w:rStyle w:val="TextoNormalNegritaCaracter"/>
        </w:rPr>
        <w:t>Artículo 10.14.</w:t>
      </w:r>
      <w:r w:rsidRPr="00E27756">
        <w:rPr>
          <w:rStyle w:val="TextoNormalCaracter"/>
        </w:rPr>
        <w:t>-</w:t>
      </w:r>
      <w:r>
        <w:t xml:space="preserve"> Sentencia </w:t>
      </w:r>
      <w:hyperlink w:anchor="SENTENCIA_2013_137" w:history="1">
        <w:r w:rsidRPr="00E27756">
          <w:rPr>
            <w:rStyle w:val="TextoNormalCaracter"/>
          </w:rPr>
          <w:t>137/2013</w:t>
        </w:r>
      </w:hyperlink>
      <w:r>
        <w:t>, f. 5.</w:t>
      </w:r>
    </w:p>
    <w:p w:rsidR="00E27756" w:rsidRDefault="00E27756" w:rsidP="00E27756">
      <w:pPr>
        <w:pStyle w:val="SangriaFrancesaArticulo"/>
      </w:pPr>
      <w:r w:rsidRPr="00E27756">
        <w:rPr>
          <w:rStyle w:val="TextoNormalNegritaCaracter"/>
        </w:rPr>
        <w:t>Artículo 90.1.</w:t>
      </w:r>
      <w:r w:rsidRPr="00E27756">
        <w:rPr>
          <w:rStyle w:val="TextoNormalCaracter"/>
        </w:rPr>
        <w:t>-</w:t>
      </w:r>
      <w:r>
        <w:t xml:space="preserve"> Sentencia </w:t>
      </w:r>
      <w:hyperlink w:anchor="SENTENCIA_2013_137" w:history="1">
        <w:r w:rsidRPr="00E27756">
          <w:rPr>
            <w:rStyle w:val="TextoNormalCaracter"/>
          </w:rPr>
          <w:t>137/2013</w:t>
        </w:r>
      </w:hyperlink>
      <w:r>
        <w:t>, f. 5.</w:t>
      </w:r>
    </w:p>
    <w:p w:rsidR="00E27756" w:rsidRDefault="00E27756" w:rsidP="00E27756">
      <w:pPr>
        <w:pStyle w:val="SangriaFrancesaArticulo"/>
      </w:pPr>
      <w:r w:rsidRPr="00E27756">
        <w:rPr>
          <w:rStyle w:val="TextoNormalNegritaCaracter"/>
        </w:rPr>
        <w:t>Artículo 103.2.</w:t>
      </w:r>
      <w:r w:rsidRPr="00E27756">
        <w:rPr>
          <w:rStyle w:val="TextoNormalCaracter"/>
        </w:rPr>
        <w:t>-</w:t>
      </w:r>
      <w:r>
        <w:t xml:space="preserve"> Sentencia </w:t>
      </w:r>
      <w:hyperlink w:anchor="SENTENCIA_2013_137" w:history="1">
        <w:r w:rsidRPr="00E27756">
          <w:rPr>
            <w:rStyle w:val="TextoNormalCaracter"/>
          </w:rPr>
          <w:t>137/2013</w:t>
        </w:r>
      </w:hyperlink>
      <w:r>
        <w:t>, ff. 3, 5.</w:t>
      </w:r>
    </w:p>
    <w:p w:rsidR="00E27756" w:rsidRDefault="00E27756" w:rsidP="00E27756">
      <w:pPr>
        <w:pStyle w:val="SangriaFrancesaArticulo"/>
      </w:pPr>
    </w:p>
    <w:p w:rsidR="00E27756" w:rsidRDefault="00E27756" w:rsidP="00E27756">
      <w:pPr>
        <w:pStyle w:val="TextoNormalNegritaCursivandice"/>
      </w:pPr>
      <w:r>
        <w:t>Ley 7/1988, de 5 de abril. Funcionamiento del Tribunal de Cuentas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 w:history="1">
        <w:r w:rsidRPr="00E27756">
          <w:rPr>
            <w:rStyle w:val="TextoNormalCaracter"/>
          </w:rPr>
          <w:t>9/2013</w:t>
        </w:r>
      </w:hyperlink>
      <w:r>
        <w:t>, f. 4.</w:t>
      </w:r>
    </w:p>
    <w:p w:rsidR="00E27756" w:rsidRDefault="00E27756" w:rsidP="00E27756">
      <w:pPr>
        <w:pStyle w:val="SangriaFrancesaArticulo"/>
      </w:pPr>
      <w:r w:rsidRPr="00E27756">
        <w:rPr>
          <w:rStyle w:val="TextoNormalNegritaCaracter"/>
        </w:rPr>
        <w:t>Disposición adicional cuarta, párrafo 2.</w:t>
      </w:r>
      <w:r w:rsidRPr="00E27756">
        <w:rPr>
          <w:rStyle w:val="TextoNormalCaracter"/>
        </w:rPr>
        <w:t>-</w:t>
      </w:r>
      <w:r>
        <w:t xml:space="preserve"> Sentencia </w:t>
      </w:r>
      <w:hyperlink w:anchor="SENTENCIA_2013_9" w:history="1">
        <w:r w:rsidRPr="00E27756">
          <w:rPr>
            <w:rStyle w:val="TextoNormalCaracter"/>
          </w:rPr>
          <w:t>9/2013</w:t>
        </w:r>
      </w:hyperlink>
      <w:r>
        <w:t>, ff. 1, 4.</w:t>
      </w:r>
    </w:p>
    <w:p w:rsidR="00E27756" w:rsidRDefault="00E27756" w:rsidP="00E27756">
      <w:pPr>
        <w:pStyle w:val="SangriaFrancesaArticulo"/>
      </w:pPr>
    </w:p>
    <w:p w:rsidR="00E27756" w:rsidRDefault="00E27756" w:rsidP="00E27756">
      <w:pPr>
        <w:pStyle w:val="TextoNormalNegritaCursivandice"/>
      </w:pPr>
      <w:r>
        <w:t>Ley 8/1988, de 7 de abril. Infracciones y sanciones en el orden social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r w:rsidRPr="00E27756">
        <w:rPr>
          <w:rStyle w:val="TextoNormalNegritaCaracter"/>
        </w:rPr>
        <w:lastRenderedPageBreak/>
        <w:t>Artículo 30.1.</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r w:rsidRPr="00E27756">
        <w:rPr>
          <w:rStyle w:val="TextoNormalNegritaCaracter"/>
        </w:rPr>
        <w:t>Artículo 30.2.</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r w:rsidRPr="00E27756">
        <w:rPr>
          <w:rStyle w:val="TextoNormalNegritaCaracter"/>
        </w:rPr>
        <w:t>Artículo 47.1 a) y b).</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p>
    <w:p w:rsidR="00E27756" w:rsidRDefault="00E27756" w:rsidP="00E27756">
      <w:pPr>
        <w:pStyle w:val="TextoNormalNegritaCursivandice"/>
      </w:pPr>
      <w:r>
        <w:t>Ley 22/1988, de 28 de julio. Costas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80" w:history="1">
        <w:r w:rsidRPr="00E27756">
          <w:rPr>
            <w:rStyle w:val="TextoNormalCaracter"/>
          </w:rPr>
          <w:t>80/2013</w:t>
        </w:r>
      </w:hyperlink>
      <w:r>
        <w:t>, f. 1.</w:t>
      </w:r>
    </w:p>
    <w:p w:rsidR="00E27756" w:rsidRDefault="00E27756" w:rsidP="00E27756">
      <w:pPr>
        <w:pStyle w:val="SangriaFrancesaArticulo"/>
      </w:pPr>
      <w:r w:rsidRPr="00E27756">
        <w:rPr>
          <w:rStyle w:val="TextoNormalNegritaCaracter"/>
        </w:rPr>
        <w:t>Artículo 25.3.</w:t>
      </w:r>
      <w:r w:rsidRPr="00E27756">
        <w:rPr>
          <w:rStyle w:val="TextoNormalCaracter"/>
        </w:rPr>
        <w:t>-</w:t>
      </w:r>
      <w:r>
        <w:t xml:space="preserve"> Auto </w:t>
      </w:r>
      <w:hyperlink w:anchor="AUTO_2013_80" w:history="1">
        <w:r w:rsidRPr="00E27756">
          <w:rPr>
            <w:rStyle w:val="TextoNormalCaracter"/>
          </w:rPr>
          <w:t>80/2013</w:t>
        </w:r>
      </w:hyperlink>
      <w:r>
        <w:t>, f. 5.</w:t>
      </w:r>
    </w:p>
    <w:p w:rsidR="00E27756" w:rsidRDefault="00E27756" w:rsidP="00E27756">
      <w:pPr>
        <w:pStyle w:val="SangriaFrancesaArticulo"/>
      </w:pPr>
    </w:p>
    <w:p w:rsidR="00E27756" w:rsidRDefault="00E27756" w:rsidP="00E27756">
      <w:pPr>
        <w:pStyle w:val="TextoNormalNegritaCursivandice"/>
      </w:pPr>
      <w:r>
        <w:t>Ley 39/1988, de 28 de diciembre. Haciendas locales</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26" w:history="1">
        <w:r w:rsidRPr="00E27756">
          <w:rPr>
            <w:rStyle w:val="TextoNormalCaracter"/>
          </w:rPr>
          <w:t>26/2013</w:t>
        </w:r>
      </w:hyperlink>
      <w:r>
        <w:t>, f. 5.</w:t>
      </w:r>
    </w:p>
    <w:p w:rsidR="00E27756" w:rsidRDefault="00E27756" w:rsidP="00E27756">
      <w:pPr>
        <w:pStyle w:val="SangriaFrancesaArticulo"/>
      </w:pPr>
    </w:p>
    <w:p w:rsidR="00E27756" w:rsidRDefault="00E27756" w:rsidP="00E27756">
      <w:pPr>
        <w:pStyle w:val="TextoNormalNegritaCursivandice"/>
      </w:pPr>
      <w:r>
        <w:t>Ley 4/1989, de 27 de marzo. Conservación de los espacios naturales y de la flora y fauna silvestres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69" w:history="1">
        <w:r w:rsidRPr="00E27756">
          <w:rPr>
            <w:rStyle w:val="TextoNormalCaracter"/>
          </w:rPr>
          <w:t>69/2013</w:t>
        </w:r>
      </w:hyperlink>
      <w:r>
        <w:t xml:space="preserve">, f. 2; </w:t>
      </w:r>
      <w:hyperlink w:anchor="SENTENCIA_2013_99" w:history="1">
        <w:r w:rsidRPr="00E27756">
          <w:rPr>
            <w:rStyle w:val="TextoNormalCaracter"/>
          </w:rPr>
          <w:t>99/2013</w:t>
        </w:r>
      </w:hyperlink>
      <w:r>
        <w:t xml:space="preserve">, f. 3; </w:t>
      </w:r>
      <w:hyperlink w:anchor="SENTENCIA_2013_111" w:history="1">
        <w:r w:rsidRPr="00E27756">
          <w:rPr>
            <w:rStyle w:val="TextoNormalCaracter"/>
          </w:rPr>
          <w:t>111/2013</w:t>
        </w:r>
      </w:hyperlink>
      <w:r>
        <w:t>, f. 2.</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138" w:history="1">
        <w:r w:rsidRPr="00E27756">
          <w:rPr>
            <w:rStyle w:val="TextoNormalCaracter"/>
          </w:rPr>
          <w:t>138/2013</w:t>
        </w:r>
      </w:hyperlink>
      <w:r>
        <w:t>, f. 5.</w:t>
      </w:r>
    </w:p>
    <w:p w:rsidR="00E27756" w:rsidRDefault="00E27756" w:rsidP="00E27756">
      <w:pPr>
        <w:pStyle w:val="SangriaFrancesaArticulo"/>
      </w:pPr>
      <w:r w:rsidRPr="00E27756">
        <w:rPr>
          <w:rStyle w:val="TextoNormalNegritaCaracter"/>
        </w:rPr>
        <w:t>Artículo 19.</w:t>
      </w:r>
      <w:r w:rsidRPr="00E27756">
        <w:rPr>
          <w:rStyle w:val="TextoNormalCaracter"/>
        </w:rPr>
        <w:t>-</w:t>
      </w:r>
      <w:r>
        <w:t xml:space="preserve"> Sentencia </w:t>
      </w:r>
      <w:hyperlink w:anchor="SENTENCIA_2013_138" w:history="1">
        <w:r w:rsidRPr="00E27756">
          <w:rPr>
            <w:rStyle w:val="TextoNormalCaracter"/>
          </w:rPr>
          <w:t>138/2013</w:t>
        </w:r>
      </w:hyperlink>
      <w:r>
        <w:t>, f. 5.</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 </w:t>
      </w:r>
      <w:hyperlink w:anchor="SENTENCIA_2013_138" w:history="1">
        <w:r w:rsidRPr="00E27756">
          <w:rPr>
            <w:rStyle w:val="TextoNormalCaracter"/>
          </w:rPr>
          <w:t>138/2013</w:t>
        </w:r>
      </w:hyperlink>
      <w:r>
        <w:t>, f. 7.</w:t>
      </w:r>
    </w:p>
    <w:p w:rsidR="00E27756" w:rsidRDefault="00E27756" w:rsidP="00E27756">
      <w:pPr>
        <w:pStyle w:val="SangriaFrancesaArticulo"/>
      </w:pPr>
      <w:r w:rsidRPr="00E27756">
        <w:rPr>
          <w:rStyle w:val="TextoNormalNegritaCaracter"/>
        </w:rPr>
        <w:t>Artículo 22.3</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11" w:history="1">
        <w:r w:rsidRPr="00E27756">
          <w:rPr>
            <w:rStyle w:val="TextoNormalCaracter"/>
          </w:rPr>
          <w:t>111/2013</w:t>
        </w:r>
      </w:hyperlink>
      <w:r>
        <w:t>, ff. 1, 2.</w:t>
      </w:r>
    </w:p>
    <w:p w:rsidR="00E27756" w:rsidRDefault="00E27756" w:rsidP="00E27756">
      <w:pPr>
        <w:pStyle w:val="SangriaFrancesaArticulo"/>
      </w:pPr>
      <w:r w:rsidRPr="00E27756">
        <w:rPr>
          <w:rStyle w:val="TextoNormalNegritaCaracter"/>
        </w:rPr>
        <w:t>Artículo 23 ter</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11" w:history="1">
        <w:r w:rsidRPr="00E27756">
          <w:rPr>
            <w:rStyle w:val="TextoNormalCaracter"/>
          </w:rPr>
          <w:t>111/2013</w:t>
        </w:r>
      </w:hyperlink>
      <w:r>
        <w:t>, ff. 1, 2.</w:t>
      </w:r>
    </w:p>
    <w:p w:rsidR="00E27756" w:rsidRDefault="00E27756" w:rsidP="00E27756">
      <w:pPr>
        <w:pStyle w:val="SangriaFrancesaArticulo"/>
      </w:pPr>
      <w:r w:rsidRPr="00E27756">
        <w:rPr>
          <w:rStyle w:val="TextoNormalNegritaCaracter"/>
        </w:rPr>
        <w:t>Artículo 23.4</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11" w:history="1">
        <w:r w:rsidRPr="00E27756">
          <w:rPr>
            <w:rStyle w:val="TextoNormalCaracter"/>
          </w:rPr>
          <w:t>111/2013</w:t>
        </w:r>
      </w:hyperlink>
      <w:r>
        <w:t>, ff. 1, 2.</w:t>
      </w:r>
    </w:p>
    <w:p w:rsidR="00E27756" w:rsidRDefault="00E27756" w:rsidP="00E27756">
      <w:pPr>
        <w:pStyle w:val="SangriaFrancesaArticulo"/>
      </w:pPr>
      <w:r w:rsidRPr="00E27756">
        <w:rPr>
          <w:rStyle w:val="TextoNormalNegritaCaracter"/>
        </w:rPr>
        <w:t>Artículo 24.</w:t>
      </w:r>
      <w:r w:rsidRPr="00E27756">
        <w:rPr>
          <w:rStyle w:val="TextoNormalCaracter"/>
        </w:rPr>
        <w:t>-</w:t>
      </w:r>
      <w:r>
        <w:t xml:space="preserve"> Sentencia </w:t>
      </w:r>
      <w:hyperlink w:anchor="SENTENCIA_2013_138" w:history="1">
        <w:r w:rsidRPr="00E27756">
          <w:rPr>
            <w:rStyle w:val="TextoNormalCaracter"/>
          </w:rPr>
          <w:t>138/2013</w:t>
        </w:r>
      </w:hyperlink>
      <w:r>
        <w:t>, f. 7.</w:t>
      </w:r>
    </w:p>
    <w:p w:rsidR="00E27756" w:rsidRDefault="00E27756" w:rsidP="00E27756">
      <w:pPr>
        <w:pStyle w:val="SangriaFrancesaArticulo"/>
      </w:pPr>
      <w:r w:rsidRPr="00E27756">
        <w:rPr>
          <w:rStyle w:val="TextoNormalNegritaCaracter"/>
        </w:rPr>
        <w:t>Artículo 34 a).</w:t>
      </w:r>
      <w:r w:rsidRPr="00E27756">
        <w:rPr>
          <w:rStyle w:val="TextoNormalCaracter"/>
        </w:rPr>
        <w:t>-</w:t>
      </w:r>
      <w:r>
        <w:t xml:space="preserve"> Sentencia </w:t>
      </w:r>
      <w:hyperlink w:anchor="SENTENCIA_2013_69" w:history="1">
        <w:r w:rsidRPr="00E27756">
          <w:rPr>
            <w:rStyle w:val="TextoNormalCaracter"/>
          </w:rPr>
          <w:t>69/2013</w:t>
        </w:r>
      </w:hyperlink>
      <w:r>
        <w:t>, f. 6.</w:t>
      </w:r>
    </w:p>
    <w:p w:rsidR="00E27756" w:rsidRDefault="00E27756" w:rsidP="00E27756">
      <w:pPr>
        <w:pStyle w:val="SangriaFrancesaArticulo"/>
      </w:pPr>
      <w:r w:rsidRPr="00E27756">
        <w:rPr>
          <w:rStyle w:val="TextoNormalNegritaCaracter"/>
        </w:rPr>
        <w:t>Artículo 45.1.</w:t>
      </w:r>
      <w:r w:rsidRPr="00E27756">
        <w:rPr>
          <w:rStyle w:val="TextoNormalCaracter"/>
        </w:rPr>
        <w:t>-</w:t>
      </w:r>
      <w:r>
        <w:t xml:space="preserve"> Sentencia </w:t>
      </w:r>
      <w:hyperlink w:anchor="SENTENCIA_2013_138" w:history="1">
        <w:r w:rsidRPr="00E27756">
          <w:rPr>
            <w:rStyle w:val="TextoNormalCaracter"/>
          </w:rPr>
          <w:t>138/2013</w:t>
        </w:r>
      </w:hyperlink>
      <w:r>
        <w:t>, f. 5.</w:t>
      </w:r>
    </w:p>
    <w:p w:rsidR="00E27756" w:rsidRDefault="00E27756" w:rsidP="00E27756">
      <w:pPr>
        <w:pStyle w:val="SangriaFrancesaArticulo"/>
      </w:pPr>
    </w:p>
    <w:p w:rsidR="00E27756" w:rsidRDefault="00E27756" w:rsidP="00E27756">
      <w:pPr>
        <w:pStyle w:val="TextoNormalNegritaCursivandice"/>
      </w:pPr>
      <w:r>
        <w:t>Ley 12/1989, de 9 de mayo. Función estadística pública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f. 8.</w:t>
      </w:r>
    </w:p>
    <w:p w:rsidR="00E27756" w:rsidRDefault="00E27756" w:rsidP="00E27756">
      <w:pPr>
        <w:pStyle w:val="SangriaFrancesaArticulo"/>
      </w:pPr>
    </w:p>
    <w:p w:rsidR="00E27756" w:rsidRDefault="00E27756" w:rsidP="00E27756">
      <w:pPr>
        <w:pStyle w:val="TextoNormalNegritaCursivandice"/>
      </w:pPr>
      <w:r>
        <w:t>Ley 18/1989, de 25 de julio. Bases sobre tráfico, circulación de vehículos a motor y seguridad vial</w:t>
      </w:r>
    </w:p>
    <w:p w:rsidR="00E27756" w:rsidRDefault="00E27756" w:rsidP="00E27756">
      <w:pPr>
        <w:pStyle w:val="SangriaFrancesaArticulo"/>
      </w:pPr>
      <w:r w:rsidRPr="00E27756">
        <w:rPr>
          <w:rStyle w:val="TextoNormalNegritaCaracter"/>
        </w:rPr>
        <w:t>Artículo 72.3.</w:t>
      </w:r>
      <w:r w:rsidRPr="00E27756">
        <w:rPr>
          <w:rStyle w:val="TextoNormalCaracter"/>
        </w:rPr>
        <w:t>-</w:t>
      </w:r>
      <w:r>
        <w:t xml:space="preserve"> Sentencia </w:t>
      </w:r>
      <w:hyperlink w:anchor="SENTENCIA_2013_30" w:history="1">
        <w:r w:rsidRPr="00E27756">
          <w:rPr>
            <w:rStyle w:val="TextoNormalCaracter"/>
          </w:rPr>
          <w:t>30/2013</w:t>
        </w:r>
      </w:hyperlink>
      <w:r>
        <w:t>, f. 2.</w:t>
      </w:r>
    </w:p>
    <w:p w:rsidR="00E27756" w:rsidRDefault="00E27756" w:rsidP="00E27756">
      <w:pPr>
        <w:pStyle w:val="SangriaFrancesaArticulo"/>
      </w:pPr>
    </w:p>
    <w:p w:rsidR="00E27756" w:rsidRDefault="00E27756" w:rsidP="00E27756">
      <w:pPr>
        <w:pStyle w:val="TextoNormalNegritaCursivandice"/>
      </w:pPr>
      <w:r>
        <w:t>Ley 10/1990, de 15 de octubre. Deporte</w:t>
      </w:r>
    </w:p>
    <w:p w:rsidR="00E27756" w:rsidRDefault="00E27756" w:rsidP="00E27756">
      <w:pPr>
        <w:pStyle w:val="SangriaFrancesaArticulo"/>
      </w:pPr>
      <w:r w:rsidRPr="00E27756">
        <w:rPr>
          <w:rStyle w:val="TextoNormalNegritaCaracter"/>
        </w:rPr>
        <w:t>Artículo 69.3 c).</w:t>
      </w:r>
      <w:r w:rsidRPr="00E27756">
        <w:rPr>
          <w:rStyle w:val="TextoNormalCaracter"/>
        </w:rPr>
        <w:t>-</w:t>
      </w:r>
      <w:r>
        <w:t xml:space="preserve"> Sentencia </w:t>
      </w:r>
      <w:hyperlink w:anchor="SENTENCIA_2013_13" w:history="1">
        <w:r w:rsidRPr="00E27756">
          <w:rPr>
            <w:rStyle w:val="TextoNormalCaracter"/>
          </w:rPr>
          <w:t>13/2013</w:t>
        </w:r>
      </w:hyperlink>
      <w:r>
        <w:t>, f. 3.</w:t>
      </w:r>
    </w:p>
    <w:p w:rsidR="00E27756" w:rsidRDefault="00E27756" w:rsidP="00E27756">
      <w:pPr>
        <w:pStyle w:val="SangriaFrancesaArticulo"/>
      </w:pPr>
    </w:p>
    <w:p w:rsidR="00E27756" w:rsidRDefault="00E27756" w:rsidP="00E27756">
      <w:pPr>
        <w:pStyle w:val="TextoNormalNegritaCursivandice"/>
      </w:pPr>
      <w:r>
        <w:t>Ley 25/1990, de 20 de diciembre. Medicamento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7" w:history="1">
        <w:r w:rsidRPr="00E27756">
          <w:rPr>
            <w:rStyle w:val="TextoNormalCaracter"/>
          </w:rPr>
          <w:t>137/2013</w:t>
        </w:r>
      </w:hyperlink>
      <w:r>
        <w:t>, f. 6.</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137" w:history="1">
        <w:r w:rsidRPr="00E27756">
          <w:rPr>
            <w:rStyle w:val="TextoNormalCaracter"/>
          </w:rPr>
          <w:t>137/2013</w:t>
        </w:r>
      </w:hyperlink>
      <w:r>
        <w:t>, f. 5.</w:t>
      </w:r>
    </w:p>
    <w:p w:rsidR="00E27756" w:rsidRDefault="00E27756" w:rsidP="00E27756">
      <w:pPr>
        <w:pStyle w:val="SangriaFrancesaArticulo"/>
      </w:pPr>
      <w:r w:rsidRPr="00E27756">
        <w:rPr>
          <w:rStyle w:val="TextoNormalNegritaCaracter"/>
        </w:rPr>
        <w:t>Artículo 87.</w:t>
      </w:r>
      <w:r w:rsidRPr="00E27756">
        <w:rPr>
          <w:rStyle w:val="TextoNormalCaracter"/>
        </w:rPr>
        <w:t>-</w:t>
      </w:r>
      <w:r>
        <w:t xml:space="preserve"> Sentencia </w:t>
      </w:r>
      <w:hyperlink w:anchor="SENTENCIA_2013_137" w:history="1">
        <w:r w:rsidRPr="00E27756">
          <w:rPr>
            <w:rStyle w:val="TextoNormalCaracter"/>
          </w:rPr>
          <w:t>137/2013</w:t>
        </w:r>
      </w:hyperlink>
      <w:r>
        <w:t>, f. 6.</w:t>
      </w:r>
    </w:p>
    <w:p w:rsidR="00E27756" w:rsidRDefault="00E27756" w:rsidP="00E27756">
      <w:pPr>
        <w:pStyle w:val="SangriaFrancesaArticulo"/>
      </w:pPr>
      <w:r w:rsidRPr="00E27756">
        <w:rPr>
          <w:rStyle w:val="TextoNormalNegritaCaracter"/>
        </w:rPr>
        <w:t>Artículo 88.1.</w:t>
      </w:r>
      <w:r w:rsidRPr="00E27756">
        <w:rPr>
          <w:rStyle w:val="TextoNormalCaracter"/>
        </w:rPr>
        <w:t>-</w:t>
      </w:r>
      <w:r>
        <w:t xml:space="preserve"> Sentencia </w:t>
      </w:r>
      <w:hyperlink w:anchor="SENTENCIA_2013_137" w:history="1">
        <w:r w:rsidRPr="00E27756">
          <w:rPr>
            <w:rStyle w:val="TextoNormalCaracter"/>
          </w:rPr>
          <w:t>137/2013</w:t>
        </w:r>
      </w:hyperlink>
      <w:r>
        <w:t>, f. 5.</w:t>
      </w:r>
    </w:p>
    <w:p w:rsidR="00E27756" w:rsidRDefault="00E27756" w:rsidP="00E27756">
      <w:pPr>
        <w:pStyle w:val="SangriaFrancesaArticulo"/>
      </w:pPr>
      <w:r w:rsidRPr="00E27756">
        <w:rPr>
          <w:rStyle w:val="TextoNormalNegritaCaracter"/>
        </w:rPr>
        <w:t>Artículo 88.1 d).</w:t>
      </w:r>
      <w:r w:rsidRPr="00E27756">
        <w:rPr>
          <w:rStyle w:val="TextoNormalCaracter"/>
        </w:rPr>
        <w:t>-</w:t>
      </w:r>
      <w:r>
        <w:t xml:space="preserve"> Sentencia </w:t>
      </w:r>
      <w:hyperlink w:anchor="SENTENCIA_2013_137" w:history="1">
        <w:r w:rsidRPr="00E27756">
          <w:rPr>
            <w:rStyle w:val="TextoNormalCaracter"/>
          </w:rPr>
          <w:t>137/2013</w:t>
        </w:r>
      </w:hyperlink>
      <w:r>
        <w:t>, ff. 5, 6.</w:t>
      </w:r>
    </w:p>
    <w:p w:rsidR="00E27756" w:rsidRDefault="00E27756" w:rsidP="00E27756">
      <w:pPr>
        <w:pStyle w:val="SangriaFrancesaArticulo"/>
      </w:pPr>
      <w:r w:rsidRPr="00E27756">
        <w:rPr>
          <w:rStyle w:val="TextoNormalNegritaCaracter"/>
        </w:rPr>
        <w:t>Artículo 93.</w:t>
      </w:r>
      <w:r w:rsidRPr="00E27756">
        <w:rPr>
          <w:rStyle w:val="TextoNormalCaracter"/>
        </w:rPr>
        <w:t>-</w:t>
      </w:r>
      <w:r>
        <w:t xml:space="preserve"> Sentencia </w:t>
      </w:r>
      <w:hyperlink w:anchor="SENTENCIA_2013_137" w:history="1">
        <w:r w:rsidRPr="00E27756">
          <w:rPr>
            <w:rStyle w:val="TextoNormalCaracter"/>
          </w:rPr>
          <w:t>137/2013</w:t>
        </w:r>
      </w:hyperlink>
      <w:r>
        <w:t>, f. 3.</w:t>
      </w:r>
    </w:p>
    <w:p w:rsidR="00E27756" w:rsidRDefault="00E27756" w:rsidP="00E27756">
      <w:pPr>
        <w:pStyle w:val="SangriaFrancesaArticulo"/>
      </w:pPr>
      <w:r w:rsidRPr="00E27756">
        <w:rPr>
          <w:rStyle w:val="TextoNormalNegritaCaracter"/>
        </w:rPr>
        <w:t>Artículo 93.1.</w:t>
      </w:r>
      <w:r w:rsidRPr="00E27756">
        <w:rPr>
          <w:rStyle w:val="TextoNormalCaracter"/>
        </w:rPr>
        <w:t>-</w:t>
      </w:r>
      <w:r>
        <w:t xml:space="preserve"> Sentencia </w:t>
      </w:r>
      <w:hyperlink w:anchor="SENTENCIA_2013_137" w:history="1">
        <w:r w:rsidRPr="00E27756">
          <w:rPr>
            <w:rStyle w:val="TextoNormalCaracter"/>
          </w:rPr>
          <w:t>137/2013</w:t>
        </w:r>
      </w:hyperlink>
      <w:r>
        <w:t>, f. 5.</w:t>
      </w:r>
    </w:p>
    <w:p w:rsidR="00E27756" w:rsidRDefault="00E27756" w:rsidP="00E27756">
      <w:pPr>
        <w:pStyle w:val="SangriaFrancesaArticulo"/>
      </w:pPr>
      <w:r w:rsidRPr="00E27756">
        <w:rPr>
          <w:rStyle w:val="TextoNormalNegritaCaracter"/>
        </w:rPr>
        <w:t>Artículo 93.3.</w:t>
      </w:r>
      <w:r w:rsidRPr="00E27756">
        <w:rPr>
          <w:rStyle w:val="TextoNormalCaracter"/>
        </w:rPr>
        <w:t>-</w:t>
      </w:r>
      <w:r>
        <w:t xml:space="preserve"> Sentencia </w:t>
      </w:r>
      <w:hyperlink w:anchor="SENTENCIA_2013_137" w:history="1">
        <w:r w:rsidRPr="00E27756">
          <w:rPr>
            <w:rStyle w:val="TextoNormalCaracter"/>
          </w:rPr>
          <w:t>137/2013</w:t>
        </w:r>
      </w:hyperlink>
      <w:r>
        <w:t>, ff. 5, 6.</w:t>
      </w:r>
    </w:p>
    <w:p w:rsidR="00E27756" w:rsidRDefault="00E27756" w:rsidP="00E27756">
      <w:pPr>
        <w:pStyle w:val="SangriaFrancesaArticulo"/>
      </w:pPr>
      <w:r w:rsidRPr="00E27756">
        <w:rPr>
          <w:rStyle w:val="TextoNormalNegritaCaracter"/>
        </w:rPr>
        <w:t>Artículo 94.</w:t>
      </w:r>
      <w:r w:rsidRPr="00E27756">
        <w:rPr>
          <w:rStyle w:val="TextoNormalCaracter"/>
        </w:rPr>
        <w:t>-</w:t>
      </w:r>
      <w:r>
        <w:t xml:space="preserve"> Sentencia </w:t>
      </w:r>
      <w:hyperlink w:anchor="SENTENCIA_2013_137" w:history="1">
        <w:r w:rsidRPr="00E27756">
          <w:rPr>
            <w:rStyle w:val="TextoNormalCaracter"/>
          </w:rPr>
          <w:t>137/2013</w:t>
        </w:r>
      </w:hyperlink>
      <w:r>
        <w:t>, f. 3.</w:t>
      </w:r>
    </w:p>
    <w:p w:rsidR="00E27756" w:rsidRDefault="00E27756" w:rsidP="00E27756">
      <w:pPr>
        <w:pStyle w:val="SangriaFrancesaArticulo"/>
      </w:pPr>
      <w:r w:rsidRPr="00E27756">
        <w:rPr>
          <w:rStyle w:val="TextoNormalNegritaCaracter"/>
        </w:rPr>
        <w:lastRenderedPageBreak/>
        <w:t>Artículo 97.</w:t>
      </w:r>
      <w:r w:rsidRPr="00E27756">
        <w:rPr>
          <w:rStyle w:val="TextoNormalCaracter"/>
        </w:rPr>
        <w:t>-</w:t>
      </w:r>
      <w:r>
        <w:t xml:space="preserve"> Sentencia </w:t>
      </w:r>
      <w:hyperlink w:anchor="SENTENCIA_2013_137" w:history="1">
        <w:r w:rsidRPr="00E27756">
          <w:rPr>
            <w:rStyle w:val="TextoNormalCaracter"/>
          </w:rPr>
          <w:t>137/2013</w:t>
        </w:r>
      </w:hyperlink>
      <w:r>
        <w:t>, f. 5.</w:t>
      </w:r>
    </w:p>
    <w:p w:rsidR="00E27756" w:rsidRDefault="00E27756" w:rsidP="00E27756">
      <w:pPr>
        <w:pStyle w:val="SangriaFrancesaArticulo"/>
      </w:pPr>
      <w:r w:rsidRPr="00E27756">
        <w:rPr>
          <w:rStyle w:val="TextoNormalNegritaCaracter"/>
        </w:rPr>
        <w:t>Artículo 97.1.</w:t>
      </w:r>
      <w:r w:rsidRPr="00E27756">
        <w:rPr>
          <w:rStyle w:val="TextoNormalCaracter"/>
        </w:rPr>
        <w:t>-</w:t>
      </w:r>
      <w:r>
        <w:t xml:space="preserve"> Sentencia </w:t>
      </w:r>
      <w:hyperlink w:anchor="SENTENCIA_2013_137" w:history="1">
        <w:r w:rsidRPr="00E27756">
          <w:rPr>
            <w:rStyle w:val="TextoNormalCaracter"/>
          </w:rPr>
          <w:t>137/2013</w:t>
        </w:r>
      </w:hyperlink>
      <w:r>
        <w:t>, f. 6.</w:t>
      </w:r>
    </w:p>
    <w:p w:rsidR="00E27756" w:rsidRDefault="00E27756" w:rsidP="00E27756">
      <w:pPr>
        <w:pStyle w:val="SangriaFrancesaArticulo"/>
      </w:pPr>
      <w:r w:rsidRPr="00E27756">
        <w:rPr>
          <w:rStyle w:val="TextoNormalNegritaCaracter"/>
        </w:rPr>
        <w:t>Artículo 97.2.</w:t>
      </w:r>
      <w:r w:rsidRPr="00E27756">
        <w:rPr>
          <w:rStyle w:val="TextoNormalCaracter"/>
        </w:rPr>
        <w:t>-</w:t>
      </w:r>
      <w:r>
        <w:t xml:space="preserve"> Sentencia </w:t>
      </w:r>
      <w:hyperlink w:anchor="SENTENCIA_2013_137" w:history="1">
        <w:r w:rsidRPr="00E27756">
          <w:rPr>
            <w:rStyle w:val="TextoNormalCaracter"/>
          </w:rPr>
          <w:t>137/2013</w:t>
        </w:r>
      </w:hyperlink>
      <w:r>
        <w:t>, ff. 5, 6.</w:t>
      </w:r>
    </w:p>
    <w:p w:rsidR="00E27756" w:rsidRDefault="00E27756" w:rsidP="00E27756">
      <w:pPr>
        <w:pStyle w:val="SangriaFrancesaArticulo"/>
      </w:pPr>
    </w:p>
    <w:p w:rsidR="00E27756" w:rsidRDefault="00E27756" w:rsidP="00E27756">
      <w:pPr>
        <w:pStyle w:val="TextoNormalNegritaCursivandice"/>
      </w:pPr>
      <w:r>
        <w:t>Ley 3/1991, de 10 de enero. Competencia desleal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f. 1.</w:t>
      </w:r>
    </w:p>
    <w:p w:rsidR="00E27756" w:rsidRDefault="00E27756" w:rsidP="00E27756">
      <w:pPr>
        <w:pStyle w:val="SangriaFrancesaArticulo"/>
      </w:pPr>
    </w:p>
    <w:p w:rsidR="00E27756" w:rsidRDefault="00E27756" w:rsidP="00E27756">
      <w:pPr>
        <w:pStyle w:val="TextoNormalNegritaCursivandice"/>
      </w:pPr>
      <w:r>
        <w:t>Ley 20/1991, de 7 de junio. Modificación de los aspectos fiscales de la Ley 30/1972, del régimen económico fiscal de Canarias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1" w:history="1">
        <w:r w:rsidRPr="00E27756">
          <w:rPr>
            <w:rStyle w:val="TextoNormalCaracter"/>
          </w:rPr>
          <w:t>101/2013</w:t>
        </w:r>
      </w:hyperlink>
      <w:r>
        <w:t>, ff. 9, 11.</w:t>
      </w:r>
    </w:p>
    <w:p w:rsidR="00E27756" w:rsidRDefault="00E27756" w:rsidP="00E27756">
      <w:pPr>
        <w:pStyle w:val="SangriaFrancesaArticulo"/>
      </w:pPr>
      <w:r w:rsidRPr="00E27756">
        <w:rPr>
          <w:rStyle w:val="TextoNormalNegritaCaracter"/>
        </w:rPr>
        <w:t>Exposición de motivos, apartado IV.</w:t>
      </w:r>
      <w:r w:rsidRPr="00E27756">
        <w:rPr>
          <w:rStyle w:val="TextoNormalCaracter"/>
        </w:rPr>
        <w:t>-</w:t>
      </w:r>
      <w:r>
        <w:t xml:space="preserve"> Sentencia </w:t>
      </w:r>
      <w:hyperlink w:anchor="SENTENCIA_2013_101" w:history="1">
        <w:r w:rsidRPr="00E27756">
          <w:rPr>
            <w:rStyle w:val="TextoNormalCaracter"/>
          </w:rPr>
          <w:t>101/2013</w:t>
        </w:r>
      </w:hyperlink>
      <w:r>
        <w:t>, f. 9.</w:t>
      </w:r>
    </w:p>
    <w:p w:rsidR="00E27756" w:rsidRDefault="00E27756" w:rsidP="00E27756">
      <w:pPr>
        <w:pStyle w:val="SangriaFrancesaArticulo"/>
      </w:pPr>
      <w:r w:rsidRPr="00E27756">
        <w:rPr>
          <w:rStyle w:val="TextoNormalNegritaCaracter"/>
        </w:rPr>
        <w:t>Artículo 64.</w:t>
      </w:r>
      <w:r w:rsidRPr="00E27756">
        <w:rPr>
          <w:rStyle w:val="TextoNormalCaracter"/>
        </w:rPr>
        <w:t>-</w:t>
      </w:r>
      <w:r>
        <w:t xml:space="preserve"> Sentencia </w:t>
      </w:r>
      <w:hyperlink w:anchor="SENTENCIA_2013_101" w:history="1">
        <w:r w:rsidRPr="00E27756">
          <w:rPr>
            <w:rStyle w:val="TextoNormalCaracter"/>
          </w:rPr>
          <w:t>101/2013</w:t>
        </w:r>
      </w:hyperlink>
      <w:r>
        <w:t>, f. 9.</w:t>
      </w:r>
    </w:p>
    <w:p w:rsidR="00E27756" w:rsidRDefault="00E27756" w:rsidP="00E27756">
      <w:pPr>
        <w:pStyle w:val="SangriaFrancesaArticulo"/>
      </w:pPr>
      <w:r w:rsidRPr="00E27756">
        <w:rPr>
          <w:rStyle w:val="TextoNormalNegritaCaracter"/>
        </w:rPr>
        <w:t>Artículo 96.</w:t>
      </w:r>
      <w:r w:rsidRPr="00E27756">
        <w:rPr>
          <w:rStyle w:val="TextoNormalCaracter"/>
        </w:rPr>
        <w:t>-</w:t>
      </w:r>
      <w:r>
        <w:t xml:space="preserve"> Sentencia </w:t>
      </w:r>
      <w:hyperlink w:anchor="SENTENCIA_2013_101" w:history="1">
        <w:r w:rsidRPr="00E27756">
          <w:rPr>
            <w:rStyle w:val="TextoNormalCaracter"/>
          </w:rPr>
          <w:t>101/2013</w:t>
        </w:r>
      </w:hyperlink>
      <w:r>
        <w:t>, f. 11.</w:t>
      </w:r>
    </w:p>
    <w:p w:rsidR="00E27756" w:rsidRDefault="00E27756" w:rsidP="00E27756">
      <w:pPr>
        <w:pStyle w:val="SangriaFrancesaArticulo"/>
      </w:pPr>
    </w:p>
    <w:p w:rsidR="00E27756" w:rsidRDefault="00E27756" w:rsidP="00E27756">
      <w:pPr>
        <w:pStyle w:val="TextoNormalNegritaCursivandice"/>
      </w:pPr>
      <w:r>
        <w:t>Ley 9/1992, de 30 de abril. Mediación de seguros privados</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 </w:t>
      </w:r>
      <w:hyperlink w:anchor="SENTENCIA_2013_89" w:history="1">
        <w:r w:rsidRPr="00E27756">
          <w:rPr>
            <w:rStyle w:val="TextoNormalCaracter"/>
          </w:rPr>
          <w:t>89/2013</w:t>
        </w:r>
      </w:hyperlink>
      <w:r>
        <w:t>, f. 2.</w:t>
      </w:r>
    </w:p>
    <w:p w:rsidR="00E27756" w:rsidRDefault="00E27756" w:rsidP="00E27756">
      <w:pPr>
        <w:pStyle w:val="SangriaFrancesaArticulo"/>
      </w:pPr>
    </w:p>
    <w:p w:rsidR="00E27756" w:rsidRDefault="00E27756" w:rsidP="00E27756">
      <w:pPr>
        <w:pStyle w:val="TextoNormalNegritaCursivandice"/>
      </w:pPr>
      <w:r>
        <w:t>Ley 24/1992, de 10 de noviembre. Aprueba el Acuerdo de Cooperación del Estado con la Federación de Entidades Religiosas Evangélicas de España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 5.</w:t>
      </w:r>
    </w:p>
    <w:p w:rsidR="00E27756" w:rsidRDefault="00E27756" w:rsidP="00E27756">
      <w:pPr>
        <w:pStyle w:val="SangriaFrancesaArticulo"/>
      </w:pPr>
    </w:p>
    <w:p w:rsidR="00E27756" w:rsidRDefault="00E27756" w:rsidP="00E27756">
      <w:pPr>
        <w:pStyle w:val="TextoNormalNegritaCursivandice"/>
      </w:pPr>
      <w:r>
        <w:t>Ley 25/1992, de 10 de noviembre. Aprueba el Acuerdo de Cooperación del Estado con la Federación de Comunidades Israelitas de España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 5.</w:t>
      </w:r>
    </w:p>
    <w:p w:rsidR="00E27756" w:rsidRDefault="00E27756" w:rsidP="00E27756">
      <w:pPr>
        <w:pStyle w:val="SangriaFrancesaArticulo"/>
      </w:pPr>
    </w:p>
    <w:p w:rsidR="00E27756" w:rsidRDefault="00E27756" w:rsidP="00E27756">
      <w:pPr>
        <w:pStyle w:val="TextoNormalNegritaCursivandice"/>
      </w:pPr>
      <w:r>
        <w:t>Ley 26/1992, de 10 de noviembre. Aprueba el Acuerdo de Cooperación del Estado con la Comisión Islámica de España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 5.</w:t>
      </w:r>
    </w:p>
    <w:p w:rsidR="00E27756" w:rsidRDefault="00E27756" w:rsidP="00E27756">
      <w:pPr>
        <w:pStyle w:val="SangriaFrancesaArticulo"/>
      </w:pPr>
    </w:p>
    <w:p w:rsidR="00E27756" w:rsidRDefault="00E27756" w:rsidP="00E27756">
      <w:pPr>
        <w:pStyle w:val="TextoNormalNegritaCursivandice"/>
      </w:pPr>
      <w:r>
        <w:t>Ley 30/1992, de 26 de noviembre. Régimen jurídico de las Administraciones públicas y del procedimiento administrativo común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7" w:history="1">
        <w:r w:rsidRPr="00E27756">
          <w:rPr>
            <w:rStyle w:val="TextoNormalCaracter"/>
          </w:rPr>
          <w:t>17/2013</w:t>
        </w:r>
      </w:hyperlink>
      <w:r>
        <w:t xml:space="preserve">, ff. 1, 10; </w:t>
      </w:r>
      <w:hyperlink w:anchor="SENTENCIA_2013_21" w:history="1">
        <w:r w:rsidRPr="00E27756">
          <w:rPr>
            <w:rStyle w:val="TextoNormalCaracter"/>
          </w:rPr>
          <w:t>21/2013</w:t>
        </w:r>
      </w:hyperlink>
      <w:r>
        <w:t xml:space="preserve">, f. 7; </w:t>
      </w:r>
      <w:hyperlink w:anchor="SENTENCIA_2013_26" w:history="1">
        <w:r w:rsidRPr="00E27756">
          <w:rPr>
            <w:rStyle w:val="TextoNormalCaracter"/>
          </w:rPr>
          <w:t>26/2013</w:t>
        </w:r>
      </w:hyperlink>
      <w:r>
        <w:t xml:space="preserve">, f. 8; </w:t>
      </w:r>
      <w:hyperlink w:anchor="SENTENCIA_2013_40" w:history="1">
        <w:r w:rsidRPr="00E27756">
          <w:rPr>
            <w:rStyle w:val="TextoNormalCaracter"/>
          </w:rPr>
          <w:t>40/2013</w:t>
        </w:r>
      </w:hyperlink>
      <w:r>
        <w:t xml:space="preserve">, f. 7; </w:t>
      </w:r>
      <w:hyperlink w:anchor="SENTENCIA_2013_52" w:history="1">
        <w:r w:rsidRPr="00E27756">
          <w:rPr>
            <w:rStyle w:val="TextoNormalCaracter"/>
          </w:rPr>
          <w:t>52/2013</w:t>
        </w:r>
      </w:hyperlink>
      <w:r>
        <w:t xml:space="preserve">, f. 7; </w:t>
      </w:r>
      <w:hyperlink w:anchor="SENTENCIA_2013_130" w:history="1">
        <w:r w:rsidRPr="00E27756">
          <w:rPr>
            <w:rStyle w:val="TextoNormalCaracter"/>
          </w:rPr>
          <w:t>130/2013</w:t>
        </w:r>
      </w:hyperlink>
      <w:r>
        <w:t xml:space="preserve">, f. 8;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17" w:history="1">
        <w:r w:rsidRPr="00E27756">
          <w:rPr>
            <w:rStyle w:val="TextoNormalCaracter"/>
          </w:rPr>
          <w:t>17/2013</w:t>
        </w:r>
      </w:hyperlink>
      <w:r>
        <w:t>, ff. 7, 8.</w:t>
      </w:r>
    </w:p>
    <w:p w:rsidR="00E27756" w:rsidRDefault="00E27756" w:rsidP="00E27756">
      <w:pPr>
        <w:pStyle w:val="SangriaFrancesaArticulo"/>
      </w:pPr>
      <w:r w:rsidRPr="00E27756">
        <w:rPr>
          <w:rStyle w:val="TextoNormalNegritaCaracter"/>
        </w:rPr>
        <w:t>Artículo 4.1 c) y d).</w:t>
      </w:r>
      <w:r w:rsidRPr="00E27756">
        <w:rPr>
          <w:rStyle w:val="TextoNormalCaracter"/>
        </w:rPr>
        <w:t>-</w:t>
      </w:r>
      <w:r>
        <w:t xml:space="preserve"> Sentencia </w:t>
      </w:r>
      <w:hyperlink w:anchor="SENTENCIA_2013_94" w:history="1">
        <w:r w:rsidRPr="00E27756">
          <w:rPr>
            <w:rStyle w:val="TextoNormalCaracter"/>
          </w:rPr>
          <w:t>94/2013</w:t>
        </w:r>
      </w:hyperlink>
      <w:r>
        <w:t>, f. 6.</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Sentencias </w:t>
      </w:r>
      <w:hyperlink w:anchor="SENTENCIA_2013_59" w:history="1">
        <w:r w:rsidRPr="00E27756">
          <w:rPr>
            <w:rStyle w:val="TextoNormalCaracter"/>
          </w:rPr>
          <w:t>59/2013</w:t>
        </w:r>
      </w:hyperlink>
      <w:r>
        <w:t xml:space="preserve">, f. 2; </w:t>
      </w:r>
      <w:hyperlink w:anchor="SENTENCIA_2013_104" w:history="1">
        <w:r w:rsidRPr="00E27756">
          <w:rPr>
            <w:rStyle w:val="TextoNormalCaracter"/>
          </w:rPr>
          <w:t>104/2013</w:t>
        </w:r>
      </w:hyperlink>
      <w:r>
        <w:t>, f. 7.</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15.</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38.4.</w:t>
      </w:r>
      <w:r w:rsidRPr="00E27756">
        <w:rPr>
          <w:rStyle w:val="TextoNormalCaracter"/>
        </w:rPr>
        <w:t>-</w:t>
      </w:r>
      <w:r>
        <w:t xml:space="preserve"> Sentencia </w:t>
      </w:r>
      <w:hyperlink w:anchor="SENTENCIA_2013_17" w:history="1">
        <w:r w:rsidRPr="00E27756">
          <w:rPr>
            <w:rStyle w:val="TextoNormalCaracter"/>
          </w:rPr>
          <w:t>17/2013</w:t>
        </w:r>
      </w:hyperlink>
      <w:r>
        <w:t>, f. 10.</w:t>
      </w:r>
    </w:p>
    <w:p w:rsidR="00E27756" w:rsidRDefault="00E27756" w:rsidP="00E27756">
      <w:pPr>
        <w:pStyle w:val="SangriaFrancesaArticulo"/>
      </w:pPr>
      <w:r w:rsidRPr="00E27756">
        <w:rPr>
          <w:rStyle w:val="TextoNormalNegritaCaracter"/>
        </w:rPr>
        <w:t>Artículo 42.5 e).</w:t>
      </w:r>
      <w:r w:rsidRPr="00E27756">
        <w:rPr>
          <w:rStyle w:val="TextoNormalCaracter"/>
        </w:rPr>
        <w:t>-</w:t>
      </w:r>
      <w:r>
        <w:t xml:space="preserve"> Sentencia </w:t>
      </w:r>
      <w:hyperlink w:anchor="SENTENCIA_2013_92" w:history="1">
        <w:r w:rsidRPr="00E27756">
          <w:rPr>
            <w:rStyle w:val="TextoNormalCaracter"/>
          </w:rPr>
          <w:t>92/2013</w:t>
        </w:r>
      </w:hyperlink>
      <w:r>
        <w:t>, f. 1.</w:t>
      </w:r>
    </w:p>
    <w:p w:rsidR="00E27756" w:rsidRDefault="00E27756" w:rsidP="00E27756">
      <w:pPr>
        <w:pStyle w:val="SangriaFrancesaArticulo"/>
      </w:pPr>
      <w:r w:rsidRPr="00E27756">
        <w:rPr>
          <w:rStyle w:val="TextoNormalNegritaCaracter"/>
        </w:rPr>
        <w:t>Artículo 54.1 a).</w:t>
      </w:r>
      <w:r w:rsidRPr="00E27756">
        <w:rPr>
          <w:rStyle w:val="TextoNormalCaracter"/>
        </w:rPr>
        <w:t>-</w:t>
      </w:r>
      <w:r>
        <w:t xml:space="preserve"> Sentencia </w:t>
      </w:r>
      <w:hyperlink w:anchor="SENTENCIA_2013_49" w:history="1">
        <w:r w:rsidRPr="00E27756">
          <w:rPr>
            <w:rStyle w:val="TextoNormalCaracter"/>
          </w:rPr>
          <w:t>49/2013</w:t>
        </w:r>
      </w:hyperlink>
      <w:r>
        <w:t>, f. 11.</w:t>
      </w:r>
    </w:p>
    <w:p w:rsidR="00E27756" w:rsidRDefault="00E27756" w:rsidP="00E27756">
      <w:pPr>
        <w:pStyle w:val="SangriaFrancesaArticulo"/>
      </w:pPr>
      <w:r w:rsidRPr="00E27756">
        <w:rPr>
          <w:rStyle w:val="TextoNormalNegritaCaracter"/>
        </w:rPr>
        <w:t>Artículo 54.1 d).</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57.1.</w:t>
      </w:r>
      <w:r w:rsidRPr="00E27756">
        <w:rPr>
          <w:rStyle w:val="TextoNormalCaracter"/>
        </w:rPr>
        <w:t>-</w:t>
      </w:r>
      <w:r>
        <w:t xml:space="preserve"> Sentencia </w:t>
      </w:r>
      <w:hyperlink w:anchor="SENTENCIA_2013_126" w:history="1">
        <w:r w:rsidRPr="00E27756">
          <w:rPr>
            <w:rStyle w:val="TextoNormalCaracter"/>
          </w:rPr>
          <w:t>126/2013</w:t>
        </w:r>
      </w:hyperlink>
      <w:r>
        <w:t>, f. 3.</w:t>
      </w:r>
    </w:p>
    <w:p w:rsidR="00E27756" w:rsidRDefault="00E27756" w:rsidP="00E27756">
      <w:pPr>
        <w:pStyle w:val="SangriaFrancesaArticulo"/>
      </w:pPr>
      <w:r w:rsidRPr="00E27756">
        <w:rPr>
          <w:rStyle w:val="TextoNormalNegritaCaracter"/>
        </w:rPr>
        <w:t>Artículo 57.2.</w:t>
      </w:r>
      <w:r w:rsidRPr="00E27756">
        <w:rPr>
          <w:rStyle w:val="TextoNormalCaracter"/>
        </w:rPr>
        <w:t>-</w:t>
      </w:r>
      <w:r>
        <w:t xml:space="preserve"> Sentencia </w:t>
      </w:r>
      <w:hyperlink w:anchor="SENTENCIA_2013_94" w:history="1">
        <w:r w:rsidRPr="00E27756">
          <w:rPr>
            <w:rStyle w:val="TextoNormalCaracter"/>
          </w:rPr>
          <w:t>94/2013</w:t>
        </w:r>
      </w:hyperlink>
      <w:r>
        <w:t>, f. 6.</w:t>
      </w:r>
    </w:p>
    <w:p w:rsidR="00E27756" w:rsidRDefault="00E27756" w:rsidP="00E27756">
      <w:pPr>
        <w:pStyle w:val="SangriaFrancesaArticulo"/>
      </w:pPr>
      <w:r w:rsidRPr="00E27756">
        <w:rPr>
          <w:rStyle w:val="TextoNormalNegritaCaracter"/>
        </w:rPr>
        <w:t>Artículo 68.</w:t>
      </w:r>
      <w:r w:rsidRPr="00E27756">
        <w:rPr>
          <w:rStyle w:val="TextoNormalCaracter"/>
        </w:rPr>
        <w:t>-</w:t>
      </w:r>
      <w:r>
        <w:t xml:space="preserve"> Sentencia </w:t>
      </w:r>
      <w:hyperlink w:anchor="SENTENCIA_2013_130" w:history="1">
        <w:r w:rsidRPr="00E27756">
          <w:rPr>
            <w:rStyle w:val="TextoNormalCaracter"/>
          </w:rPr>
          <w:t>130/2013</w:t>
        </w:r>
      </w:hyperlink>
      <w:r>
        <w:t>, f. 13.</w:t>
      </w:r>
    </w:p>
    <w:p w:rsidR="00E27756" w:rsidRDefault="00E27756" w:rsidP="00E27756">
      <w:pPr>
        <w:pStyle w:val="SangriaFrancesaArticulo"/>
      </w:pPr>
      <w:r w:rsidRPr="00E27756">
        <w:rPr>
          <w:rStyle w:val="TextoNormalNegritaCaracter"/>
        </w:rPr>
        <w:t>Artículo 69.</w:t>
      </w:r>
      <w:r w:rsidRPr="00E27756">
        <w:rPr>
          <w:rStyle w:val="TextoNormalCaracter"/>
        </w:rPr>
        <w:t>-</w:t>
      </w:r>
      <w:r>
        <w:t xml:space="preserve"> Sentencia </w:t>
      </w:r>
      <w:hyperlink w:anchor="SENTENCIA_2013_130" w:history="1">
        <w:r w:rsidRPr="00E27756">
          <w:rPr>
            <w:rStyle w:val="TextoNormalCaracter"/>
          </w:rPr>
          <w:t>130/2013</w:t>
        </w:r>
      </w:hyperlink>
      <w:r>
        <w:t>, f. 13.</w:t>
      </w:r>
    </w:p>
    <w:p w:rsidR="00E27756" w:rsidRDefault="00E27756" w:rsidP="00E27756">
      <w:pPr>
        <w:pStyle w:val="SangriaFrancesaArticulo"/>
      </w:pPr>
      <w:r w:rsidRPr="00E27756">
        <w:rPr>
          <w:rStyle w:val="TextoNormalNegritaCaracter"/>
        </w:rPr>
        <w:lastRenderedPageBreak/>
        <w:t>Artículo 71 bis</w:t>
      </w:r>
      <w:r>
        <w:t xml:space="preserve"> </w:t>
      </w:r>
      <w:r w:rsidRPr="00E27756">
        <w:rPr>
          <w:rStyle w:val="TextoNormalCaracter"/>
        </w:rPr>
        <w:t>(redactado por la Ley 25/2009, de 22 de diciembre)</w:t>
      </w:r>
      <w:r w:rsidRPr="00E27756">
        <w:rPr>
          <w:rStyle w:val="TextoNormalNegritaCaracter"/>
        </w:rPr>
        <w:t>.</w:t>
      </w:r>
      <w:r w:rsidRPr="00E27756">
        <w:rPr>
          <w:rStyle w:val="TextoNormalCaracter"/>
        </w:rPr>
        <w:t>-</w:t>
      </w:r>
      <w:r>
        <w:t xml:space="preserve"> Sentencia </w:t>
      </w:r>
      <w:hyperlink w:anchor="SENTENCIA_2013_49" w:history="1">
        <w:r w:rsidRPr="00E27756">
          <w:rPr>
            <w:rStyle w:val="TextoNormalCaracter"/>
          </w:rPr>
          <w:t>49/2013</w:t>
        </w:r>
      </w:hyperlink>
      <w:r>
        <w:t>, f. 11.</w:t>
      </w:r>
    </w:p>
    <w:p w:rsidR="00E27756" w:rsidRDefault="00E27756" w:rsidP="00E27756">
      <w:pPr>
        <w:pStyle w:val="SangriaIzquierdaArticulo"/>
      </w:pPr>
      <w:r>
        <w:t xml:space="preserve">Auto </w:t>
      </w:r>
      <w:hyperlink w:anchor="AUTO_2013_23" w:history="1">
        <w:r w:rsidRPr="00E27756">
          <w:rPr>
            <w:rStyle w:val="TextoNormalCaracter"/>
          </w:rPr>
          <w:t>23/2013</w:t>
        </w:r>
      </w:hyperlink>
      <w:r>
        <w:t>, ff. 1, 2.</w:t>
      </w:r>
    </w:p>
    <w:p w:rsidR="00E27756" w:rsidRDefault="00E27756" w:rsidP="00E27756">
      <w:pPr>
        <w:pStyle w:val="SangriaFrancesaArticulo"/>
      </w:pPr>
      <w:r w:rsidRPr="00E27756">
        <w:rPr>
          <w:rStyle w:val="TextoNormalNegritaCaracter"/>
        </w:rPr>
        <w:t>Artículo 71 bis redactado por la Ley 25/2009.</w:t>
      </w:r>
      <w:r w:rsidRPr="00E27756">
        <w:rPr>
          <w:rStyle w:val="TextoNormalCaracter"/>
        </w:rPr>
        <w:t>-</w:t>
      </w:r>
      <w:r>
        <w:t xml:space="preserve"> Auto </w:t>
      </w:r>
      <w:hyperlink w:anchor="AUTO_2013_23" w:history="1">
        <w:r w:rsidRPr="00E27756">
          <w:rPr>
            <w:rStyle w:val="TextoNormalCaracter"/>
          </w:rPr>
          <w:t>23/2013</w:t>
        </w:r>
      </w:hyperlink>
      <w:r>
        <w:t>, ff. 1, 2.</w:t>
      </w:r>
    </w:p>
    <w:p w:rsidR="00E27756" w:rsidRDefault="00E27756" w:rsidP="00E27756">
      <w:pPr>
        <w:pStyle w:val="SangriaFrancesaArticulo"/>
      </w:pPr>
      <w:r w:rsidRPr="00E27756">
        <w:rPr>
          <w:rStyle w:val="TextoNormalNegritaCaracter"/>
        </w:rPr>
        <w:t>Artículo 72.</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72.2.</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109 a)</w:t>
      </w:r>
      <w:r>
        <w:t xml:space="preserve"> </w:t>
      </w:r>
      <w:r w:rsidRPr="00E27756">
        <w:rPr>
          <w:rStyle w:val="TextoNormalCaracter"/>
        </w:rPr>
        <w:t>(redactado por la Ley 4/1999, de 13 de enero)</w:t>
      </w:r>
      <w:r w:rsidRPr="00E27756">
        <w:rPr>
          <w:rStyle w:val="TextoNormalNegritaCaracter"/>
        </w:rPr>
        <w:t>.</w:t>
      </w:r>
      <w:r w:rsidRPr="00E27756">
        <w:rPr>
          <w:rStyle w:val="TextoNormalCaracter"/>
        </w:rPr>
        <w:t>-</w:t>
      </w:r>
      <w:r>
        <w:t xml:space="preserve"> Sentencia </w:t>
      </w:r>
      <w:hyperlink w:anchor="SENTENCIA_2013_130" w:history="1">
        <w:r w:rsidRPr="00E27756">
          <w:rPr>
            <w:rStyle w:val="TextoNormalCaracter"/>
          </w:rPr>
          <w:t>130/2013</w:t>
        </w:r>
      </w:hyperlink>
      <w:r>
        <w:t>, f. 13.</w:t>
      </w:r>
    </w:p>
    <w:p w:rsidR="00E27756" w:rsidRDefault="00E27756" w:rsidP="00E27756">
      <w:pPr>
        <w:pStyle w:val="SangriaFrancesaArticulo"/>
      </w:pPr>
      <w:r w:rsidRPr="00E27756">
        <w:rPr>
          <w:rStyle w:val="TextoNormalNegritaCaracter"/>
        </w:rPr>
        <w:t>Artículo 109 d).</w:t>
      </w:r>
      <w:r w:rsidRPr="00E27756">
        <w:rPr>
          <w:rStyle w:val="TextoNormalCaracter"/>
        </w:rPr>
        <w:t>-</w:t>
      </w:r>
      <w:r>
        <w:t xml:space="preserve"> Sentencia </w:t>
      </w:r>
      <w:hyperlink w:anchor="SENTENCIA_2013_130" w:history="1">
        <w:r w:rsidRPr="00E27756">
          <w:rPr>
            <w:rStyle w:val="TextoNormalCaracter"/>
          </w:rPr>
          <w:t>130/2013</w:t>
        </w:r>
      </w:hyperlink>
      <w:r>
        <w:t>, f. 13.</w:t>
      </w:r>
    </w:p>
    <w:p w:rsidR="00E27756" w:rsidRDefault="00E27756" w:rsidP="00E27756">
      <w:pPr>
        <w:pStyle w:val="SangriaFrancesaArticulo"/>
      </w:pPr>
      <w:r w:rsidRPr="00E27756">
        <w:rPr>
          <w:rStyle w:val="TextoNormalNegritaCaracter"/>
        </w:rPr>
        <w:t>Artículo 136.</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138.3</w:t>
      </w:r>
      <w:r>
        <w:t xml:space="preserve"> </w:t>
      </w:r>
      <w:r w:rsidRPr="00E27756">
        <w:rPr>
          <w:rStyle w:val="TextoNormalCaracter"/>
        </w:rPr>
        <w:t>(redactado por la Ley 4/1999, de 13 de enero)</w:t>
      </w:r>
      <w:r w:rsidRPr="00E27756">
        <w:rPr>
          <w:rStyle w:val="TextoNormalNegritaCaracter"/>
        </w:rPr>
        <w:t>.</w:t>
      </w:r>
      <w:r w:rsidRPr="00E27756">
        <w:rPr>
          <w:rStyle w:val="TextoNormalCaracter"/>
        </w:rPr>
        <w:t>-</w:t>
      </w:r>
      <w:r>
        <w:t xml:space="preserve"> Sentencia </w:t>
      </w:r>
      <w:hyperlink w:anchor="SENTENCIA_2013_130" w:history="1">
        <w:r w:rsidRPr="00E27756">
          <w:rPr>
            <w:rStyle w:val="TextoNormalCaracter"/>
          </w:rPr>
          <w:t>130/2013</w:t>
        </w:r>
      </w:hyperlink>
      <w:r>
        <w:t>, f. 13.</w:t>
      </w:r>
    </w:p>
    <w:p w:rsidR="00E27756" w:rsidRDefault="00E27756" w:rsidP="00E27756">
      <w:pPr>
        <w:pStyle w:val="SangriaFrancesaArticulo"/>
      </w:pPr>
      <w:r w:rsidRPr="00E27756">
        <w:rPr>
          <w:rStyle w:val="TextoNormalNegritaCaracter"/>
        </w:rPr>
        <w:t>Artículo 142.</w:t>
      </w:r>
      <w:r w:rsidRPr="00E27756">
        <w:rPr>
          <w:rStyle w:val="TextoNormalCaracter"/>
        </w:rPr>
        <w:t>-</w:t>
      </w:r>
      <w:r>
        <w:t xml:space="preserve"> Sentencia </w:t>
      </w:r>
      <w:hyperlink w:anchor="SENTENCIA_2013_92" w:history="1">
        <w:r w:rsidRPr="00E27756">
          <w:rPr>
            <w:rStyle w:val="TextoNormalCaracter"/>
          </w:rPr>
          <w:t>92/2013</w:t>
        </w:r>
      </w:hyperlink>
      <w:r>
        <w:t>, f. 5.</w:t>
      </w:r>
    </w:p>
    <w:p w:rsidR="00E27756" w:rsidRDefault="00E27756" w:rsidP="00E27756">
      <w:pPr>
        <w:pStyle w:val="SangriaFrancesaArticulo"/>
      </w:pPr>
      <w:r w:rsidRPr="00E27756">
        <w:rPr>
          <w:rStyle w:val="TextoNormalNegritaCaracter"/>
        </w:rPr>
        <w:t>Disposiciones adicionales quinta a octava.</w:t>
      </w:r>
      <w:r w:rsidRPr="00E27756">
        <w:rPr>
          <w:rStyle w:val="TextoNormalCaracter"/>
        </w:rPr>
        <w:t>-</w:t>
      </w:r>
      <w:r>
        <w:t xml:space="preserve"> Sentencia </w:t>
      </w:r>
      <w:hyperlink w:anchor="SENTENCIA_2013_17" w:history="1">
        <w:r w:rsidRPr="00E27756">
          <w:rPr>
            <w:rStyle w:val="TextoNormalCaracter"/>
          </w:rPr>
          <w:t>17/2013</w:t>
        </w:r>
      </w:hyperlink>
      <w:r>
        <w:t>, f. 10.</w:t>
      </w:r>
    </w:p>
    <w:p w:rsidR="00E27756" w:rsidRDefault="00E27756" w:rsidP="00E27756">
      <w:pPr>
        <w:pStyle w:val="SangriaFrancesaArticulo"/>
      </w:pPr>
      <w:r w:rsidRPr="00E27756">
        <w:rPr>
          <w:rStyle w:val="TextoNormalNegritaCaracter"/>
        </w:rPr>
        <w:t>Disposición adicional decimoctava.</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Disposición adicional decimonovena</w:t>
      </w:r>
      <w:r>
        <w:t xml:space="preserve"> </w:t>
      </w:r>
      <w:r w:rsidRPr="00E27756">
        <w:rPr>
          <w:rStyle w:val="TextoNormalCaracter"/>
        </w:rPr>
        <w:t>(redactada por la Ley Orgánica 14/2003, de 20 de noviembre)</w:t>
      </w:r>
      <w:r w:rsidRPr="00E27756">
        <w:rPr>
          <w:rStyle w:val="TextoNormalNegritaCaracter"/>
        </w:rPr>
        <w:t>.</w:t>
      </w:r>
      <w:r w:rsidRPr="00E27756">
        <w:rPr>
          <w:rStyle w:val="TextoNormalCaracter"/>
        </w:rPr>
        <w:t>-</w:t>
      </w:r>
      <w:r>
        <w:t xml:space="preserve"> Sentencia </w:t>
      </w:r>
      <w:hyperlink w:anchor="SENTENCIA_2013_17" w:history="1">
        <w:r w:rsidRPr="00E27756">
          <w:rPr>
            <w:rStyle w:val="TextoNormalCaracter"/>
          </w:rPr>
          <w:t>17/2013</w:t>
        </w:r>
      </w:hyperlink>
      <w:r>
        <w:t>, f. 10.</w:t>
      </w:r>
    </w:p>
    <w:p w:rsidR="00E27756" w:rsidRDefault="00E27756" w:rsidP="00E27756">
      <w:pPr>
        <w:pStyle w:val="SangriaFrancesaArticulo"/>
      </w:pPr>
    </w:p>
    <w:p w:rsidR="00E27756" w:rsidRDefault="00E27756" w:rsidP="00E27756">
      <w:pPr>
        <w:pStyle w:val="TextoNormalNegritaCursivandice"/>
      </w:pPr>
      <w:r>
        <w:t>Ley 38/1992, de 28 de diciembre. Impuestos especiales</w:t>
      </w:r>
    </w:p>
    <w:p w:rsidR="00E27756" w:rsidRDefault="00E27756" w:rsidP="00E27756">
      <w:pPr>
        <w:pStyle w:val="SangriaFrancesaArticulo"/>
      </w:pPr>
      <w:r w:rsidRPr="00E27756">
        <w:rPr>
          <w:rStyle w:val="TextoNormalNegritaCaracter"/>
        </w:rPr>
        <w:t>Artículo 2.4.</w:t>
      </w:r>
      <w:r w:rsidRPr="00E27756">
        <w:rPr>
          <w:rStyle w:val="TextoNormalCaracter"/>
        </w:rPr>
        <w:t>-</w:t>
      </w:r>
      <w:r>
        <w:t xml:space="preserve"> Sentencia </w:t>
      </w:r>
      <w:hyperlink w:anchor="SENTENCIA_2013_60" w:history="1">
        <w:r w:rsidRPr="00E27756">
          <w:rPr>
            <w:rStyle w:val="TextoNormalCaracter"/>
          </w:rPr>
          <w:t>60/2013</w:t>
        </w:r>
      </w:hyperlink>
      <w:r>
        <w:t>, f. 4.</w:t>
      </w:r>
    </w:p>
    <w:p w:rsidR="00E27756" w:rsidRDefault="00E27756" w:rsidP="00E27756">
      <w:pPr>
        <w:pStyle w:val="SangriaFrancesaArticulo"/>
      </w:pPr>
      <w:r w:rsidRPr="00E27756">
        <w:rPr>
          <w:rStyle w:val="TextoNormalNegritaCaracter"/>
        </w:rPr>
        <w:t>Artículo 5.1.</w:t>
      </w:r>
      <w:r w:rsidRPr="00E27756">
        <w:rPr>
          <w:rStyle w:val="TextoNormalCaracter"/>
        </w:rPr>
        <w:t>-</w:t>
      </w:r>
      <w:r>
        <w:t xml:space="preserve"> Sentencia </w:t>
      </w:r>
      <w:hyperlink w:anchor="SENTENCIA_2013_60" w:history="1">
        <w:r w:rsidRPr="00E27756">
          <w:rPr>
            <w:rStyle w:val="TextoNormalCaracter"/>
          </w:rPr>
          <w:t>60/2013</w:t>
        </w:r>
      </w:hyperlink>
      <w:r>
        <w:t>, f. 4.</w:t>
      </w:r>
    </w:p>
    <w:p w:rsidR="00E27756" w:rsidRDefault="00E27756" w:rsidP="00E27756">
      <w:pPr>
        <w:pStyle w:val="SangriaFrancesaArticulo"/>
      </w:pPr>
      <w:r w:rsidRPr="00E27756">
        <w:rPr>
          <w:rStyle w:val="TextoNormalNegritaCaracter"/>
        </w:rPr>
        <w:t>Artículo 64.</w:t>
      </w:r>
      <w:r w:rsidRPr="00E27756">
        <w:rPr>
          <w:rStyle w:val="TextoNormalCaracter"/>
        </w:rPr>
        <w:t>-</w:t>
      </w:r>
      <w:r>
        <w:t xml:space="preserve"> Sentencia </w:t>
      </w:r>
      <w:hyperlink w:anchor="SENTENCIA_2013_60" w:history="1">
        <w:r w:rsidRPr="00E27756">
          <w:rPr>
            <w:rStyle w:val="TextoNormalCaracter"/>
          </w:rPr>
          <w:t>60/2013</w:t>
        </w:r>
      </w:hyperlink>
      <w:r>
        <w:t>, f. 4.</w:t>
      </w:r>
    </w:p>
    <w:p w:rsidR="00E27756" w:rsidRDefault="00E27756" w:rsidP="00E27756">
      <w:pPr>
        <w:pStyle w:val="SangriaFrancesaArticulo"/>
      </w:pPr>
      <w:r w:rsidRPr="00E27756">
        <w:rPr>
          <w:rStyle w:val="TextoNormalNegritaCaracter"/>
        </w:rPr>
        <w:t>Artículo 64 sexies.</w:t>
      </w:r>
      <w:r w:rsidRPr="00E27756">
        <w:rPr>
          <w:rStyle w:val="TextoNormalCaracter"/>
        </w:rPr>
        <w:t>-</w:t>
      </w:r>
      <w:r>
        <w:t xml:space="preserve"> Sentencia </w:t>
      </w:r>
      <w:hyperlink w:anchor="SENTENCIA_2013_60" w:history="1">
        <w:r w:rsidRPr="00E27756">
          <w:rPr>
            <w:rStyle w:val="TextoNormalCaracter"/>
          </w:rPr>
          <w:t>60/2013</w:t>
        </w:r>
      </w:hyperlink>
      <w:r>
        <w:t>, f. 4.</w:t>
      </w:r>
    </w:p>
    <w:p w:rsidR="00E27756" w:rsidRDefault="00E27756" w:rsidP="00E27756">
      <w:pPr>
        <w:pStyle w:val="SangriaFrancesaArticulo"/>
      </w:pPr>
    </w:p>
    <w:p w:rsidR="00E27756" w:rsidRDefault="00E27756" w:rsidP="00E27756">
      <w:pPr>
        <w:pStyle w:val="TextoNormalNegritaCursivandice"/>
      </w:pPr>
      <w:r>
        <w:t>Ley 19/1994, de 6 de julio. Modificación del régimen económico y fiscal de Canarias</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101" w:history="1">
        <w:r w:rsidRPr="00E27756">
          <w:rPr>
            <w:rStyle w:val="TextoNormalCaracter"/>
          </w:rPr>
          <w:t>101/2013</w:t>
        </w:r>
      </w:hyperlink>
      <w:r>
        <w:t>, ff. 9, 10.</w:t>
      </w:r>
    </w:p>
    <w:p w:rsidR="00E27756" w:rsidRDefault="00E27756" w:rsidP="00E27756">
      <w:pPr>
        <w:pStyle w:val="SangriaFrancesaArticulo"/>
      </w:pPr>
    </w:p>
    <w:p w:rsidR="00E27756" w:rsidRDefault="00E27756" w:rsidP="00E27756">
      <w:pPr>
        <w:pStyle w:val="TextoNormalNegritaCursivandice"/>
      </w:pPr>
      <w:r>
        <w:t>Ley 1/1996, de 10 de enero. Asistencia jurídica gratuita</w:t>
      </w:r>
    </w:p>
    <w:p w:rsidR="00E27756" w:rsidRDefault="00E27756" w:rsidP="00E27756">
      <w:pPr>
        <w:pStyle w:val="SangriaFrancesaArticulo"/>
      </w:pPr>
      <w:r w:rsidRPr="00E27756">
        <w:rPr>
          <w:rStyle w:val="TextoNormalNegritaCaracter"/>
        </w:rPr>
        <w:t>Artículos 2 a 5.</w:t>
      </w:r>
      <w:r w:rsidRPr="00E27756">
        <w:rPr>
          <w:rStyle w:val="TextoNormalCaracter"/>
        </w:rPr>
        <w:t>-</w:t>
      </w:r>
      <w:r>
        <w:t xml:space="preserve"> Autos </w:t>
      </w:r>
      <w:hyperlink w:anchor="AUTO_2013_46" w:history="1">
        <w:r w:rsidRPr="00E27756">
          <w:rPr>
            <w:rStyle w:val="TextoNormalCaracter"/>
          </w:rPr>
          <w:t>46/2013</w:t>
        </w:r>
      </w:hyperlink>
      <w:r>
        <w:t xml:space="preserve">, f. 2; </w:t>
      </w:r>
      <w:hyperlink w:anchor="AUTO_2013_95" w:history="1">
        <w:r w:rsidRPr="00E27756">
          <w:rPr>
            <w:rStyle w:val="TextoNormalCaracter"/>
          </w:rPr>
          <w:t>95/2013</w:t>
        </w:r>
      </w:hyperlink>
      <w:r>
        <w:t>, f. 2.</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Auto </w:t>
      </w:r>
      <w:hyperlink w:anchor="AUTO_2013_95" w:history="1">
        <w:r w:rsidRPr="00E27756">
          <w:rPr>
            <w:rStyle w:val="TextoNormalCaracter"/>
          </w:rPr>
          <w:t>95/2013</w:t>
        </w:r>
      </w:hyperlink>
      <w:r>
        <w:t>, f. 2.</w:t>
      </w:r>
    </w:p>
    <w:p w:rsidR="00E27756" w:rsidRDefault="00E27756" w:rsidP="00E27756">
      <w:pPr>
        <w:pStyle w:val="SangriaFrancesaArticulo"/>
      </w:pPr>
      <w:r w:rsidRPr="00E27756">
        <w:rPr>
          <w:rStyle w:val="TextoNormalNegritaCaracter"/>
        </w:rPr>
        <w:t>Artículo 20.</w:t>
      </w:r>
      <w:r w:rsidRPr="00E27756">
        <w:rPr>
          <w:rStyle w:val="TextoNormalCaracter"/>
        </w:rPr>
        <w:t>-</w:t>
      </w:r>
      <w:r>
        <w:t xml:space="preserve"> Autos </w:t>
      </w:r>
      <w:hyperlink w:anchor="AUTO_2013_46" w:history="1">
        <w:r w:rsidRPr="00E27756">
          <w:rPr>
            <w:rStyle w:val="TextoNormalCaracter"/>
          </w:rPr>
          <w:t>46/2013</w:t>
        </w:r>
      </w:hyperlink>
      <w:r>
        <w:t xml:space="preserve">, ff. 1, 2; </w:t>
      </w:r>
      <w:hyperlink w:anchor="AUTO_2013_95" w:history="1">
        <w:r w:rsidRPr="00E27756">
          <w:rPr>
            <w:rStyle w:val="TextoNormalCaracter"/>
          </w:rPr>
          <w:t>95/2013</w:t>
        </w:r>
      </w:hyperlink>
      <w:r>
        <w:t>, f. 2.</w:t>
      </w:r>
    </w:p>
    <w:p w:rsidR="00E27756" w:rsidRDefault="00E27756" w:rsidP="00E27756">
      <w:pPr>
        <w:pStyle w:val="SangriaFrancesaArticulo"/>
      </w:pPr>
      <w:r w:rsidRPr="00E27756">
        <w:rPr>
          <w:rStyle w:val="TextoNormalNegritaCaracter"/>
        </w:rPr>
        <w:t>Artículo 20.2.</w:t>
      </w:r>
      <w:r w:rsidRPr="00E27756">
        <w:rPr>
          <w:rStyle w:val="TextoNormalCaracter"/>
        </w:rPr>
        <w:t>-</w:t>
      </w:r>
      <w:r>
        <w:t xml:space="preserve"> Auto </w:t>
      </w:r>
      <w:hyperlink w:anchor="AUTO_2013_46" w:history="1">
        <w:r w:rsidRPr="00E27756">
          <w:rPr>
            <w:rStyle w:val="TextoNormalCaracter"/>
          </w:rPr>
          <w:t>46/2013</w:t>
        </w:r>
      </w:hyperlink>
      <w:r>
        <w:t>, f. 3.</w:t>
      </w:r>
    </w:p>
    <w:p w:rsidR="00E27756" w:rsidRDefault="00E27756" w:rsidP="00E27756">
      <w:pPr>
        <w:pStyle w:val="SangriaFrancesaArticulo"/>
      </w:pPr>
    </w:p>
    <w:p w:rsidR="00E27756" w:rsidRDefault="00E27756" w:rsidP="00E27756">
      <w:pPr>
        <w:pStyle w:val="TextoNormalNegritaCursivandice"/>
      </w:pPr>
      <w:r>
        <w:t>Ley 4/1996, de 10 de enero. Modificación de la Ley 7/1985, de 2 de abril, reguladora de las bases del régimen local, en relación con el padrón municipal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f. 8.</w:t>
      </w:r>
    </w:p>
    <w:p w:rsidR="00E27756" w:rsidRDefault="00E27756" w:rsidP="00E27756">
      <w:pPr>
        <w:pStyle w:val="SangriaFrancesaArticulo"/>
      </w:pPr>
    </w:p>
    <w:p w:rsidR="00E27756" w:rsidRDefault="00E27756" w:rsidP="00E27756">
      <w:pPr>
        <w:pStyle w:val="TextoNormalNegritaCursivandice"/>
      </w:pPr>
      <w:r>
        <w:t>Ley 7/1996, de 15 de enero. Ordenación del comercio minorista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46" w:history="1">
        <w:r w:rsidRPr="00E27756">
          <w:rPr>
            <w:rStyle w:val="TextoNormalCaracter"/>
          </w:rPr>
          <w:t>146/2013</w:t>
        </w:r>
      </w:hyperlink>
      <w:r>
        <w:t>, f. 3.</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Auto </w:t>
      </w:r>
      <w:hyperlink w:anchor="AUTO_2013_10" w:history="1">
        <w:r w:rsidRPr="00E27756">
          <w:rPr>
            <w:rStyle w:val="TextoNormalCaracter"/>
          </w:rPr>
          <w:t>10/2013</w:t>
        </w:r>
      </w:hyperlink>
      <w:r>
        <w:t>, f. 2.</w:t>
      </w:r>
    </w:p>
    <w:p w:rsidR="00E27756" w:rsidRDefault="00E27756" w:rsidP="00E27756">
      <w:pPr>
        <w:pStyle w:val="SangriaFrancesaArticulo"/>
      </w:pPr>
    </w:p>
    <w:p w:rsidR="00E27756" w:rsidRDefault="00E27756" w:rsidP="00E27756">
      <w:pPr>
        <w:pStyle w:val="TextoNormalNegritaCursivandice"/>
      </w:pPr>
      <w:r>
        <w:t>Ley 5/1997, de 24 de marzo. Reforma el texto articulado de la Ley sobre tráfico, circulación de vehículos a motor y seguridad vial, aprobado por Real Decreto Legislativo 339/1990, de 2 de marzo</w:t>
      </w:r>
    </w:p>
    <w:p w:rsidR="00E27756" w:rsidRDefault="00E27756" w:rsidP="00E27756">
      <w:pPr>
        <w:pStyle w:val="SangriaFrancesaArticulo"/>
      </w:pPr>
      <w:r w:rsidRPr="00E27756">
        <w:rPr>
          <w:rStyle w:val="TextoNormalNegritaCaracter"/>
        </w:rPr>
        <w:t>Artículo 72.3.</w:t>
      </w:r>
      <w:r w:rsidRPr="00E27756">
        <w:rPr>
          <w:rStyle w:val="TextoNormalCaracter"/>
        </w:rPr>
        <w:t>-</w:t>
      </w:r>
      <w:r>
        <w:t xml:space="preserve"> Sentencia </w:t>
      </w:r>
      <w:hyperlink w:anchor="SENTENCIA_2013_45" w:history="1">
        <w:r w:rsidRPr="00E27756">
          <w:rPr>
            <w:rStyle w:val="TextoNormalCaracter"/>
          </w:rPr>
          <w:t>45/2013</w:t>
        </w:r>
      </w:hyperlink>
      <w:r>
        <w:t>, f. 2.</w:t>
      </w:r>
    </w:p>
    <w:p w:rsidR="00E27756" w:rsidRDefault="00E27756" w:rsidP="00E27756">
      <w:pPr>
        <w:pStyle w:val="SangriaFrancesaArticulo"/>
      </w:pPr>
    </w:p>
    <w:p w:rsidR="00E27756" w:rsidRDefault="00E27756" w:rsidP="00E27756">
      <w:pPr>
        <w:pStyle w:val="TextoNormalNegritaCursivandice"/>
      </w:pPr>
      <w:r>
        <w:lastRenderedPageBreak/>
        <w:t>Ley 6/1997, de 14 de abril. Organización y funcionamiento de la Administración General del Estado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Artículos 45 a 52.</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Artículos 53 a 60.</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p>
    <w:p w:rsidR="00E27756" w:rsidRDefault="00E27756" w:rsidP="00E27756">
      <w:pPr>
        <w:pStyle w:val="TextoNormalNegritaCursivandice"/>
      </w:pPr>
      <w:r>
        <w:t>Ley 7/1997, de 14 de abril. Medidas liberalizadoras en materia de suelo y colegios profesionales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1" w:history="1">
        <w:r w:rsidRPr="00E27756">
          <w:rPr>
            <w:rStyle w:val="TextoNormalCaracter"/>
          </w:rPr>
          <w:t>91/2013</w:t>
        </w:r>
      </w:hyperlink>
      <w:r>
        <w:t>, f. 2.</w:t>
      </w:r>
    </w:p>
    <w:p w:rsidR="00E27756" w:rsidRDefault="00E27756" w:rsidP="00E27756">
      <w:pPr>
        <w:pStyle w:val="SangriaFrancesaArticulo"/>
      </w:pPr>
    </w:p>
    <w:p w:rsidR="00E27756" w:rsidRDefault="00E27756" w:rsidP="00E27756">
      <w:pPr>
        <w:pStyle w:val="TextoNormalNegritaCursivandice"/>
      </w:pPr>
      <w:r>
        <w:t>Ley 16/1997, de 25 de abril. Regulación de servicios de oficinas de farmacia</w:t>
      </w:r>
    </w:p>
    <w:p w:rsidR="00E27756" w:rsidRDefault="00E27756" w:rsidP="00E27756">
      <w:pPr>
        <w:pStyle w:val="SangriaFrancesaArticulo"/>
      </w:pPr>
      <w:r w:rsidRPr="00E27756">
        <w:rPr>
          <w:rStyle w:val="TextoNormalNegritaCaracter"/>
        </w:rPr>
        <w:t>Artículo 6.1.</w:t>
      </w:r>
      <w:r w:rsidRPr="00E27756">
        <w:rPr>
          <w:rStyle w:val="TextoNormalCaracter"/>
        </w:rPr>
        <w:t>-</w:t>
      </w:r>
      <w:r>
        <w:t xml:space="preserve"> Sentencia </w:t>
      </w:r>
      <w:hyperlink w:anchor="SENTENCIA_2013_137" w:history="1">
        <w:r w:rsidRPr="00E27756">
          <w:rPr>
            <w:rStyle w:val="TextoNormalCaracter"/>
          </w:rPr>
          <w:t>137/2013</w:t>
        </w:r>
      </w:hyperlink>
      <w:r>
        <w:t>, f. 6.</w:t>
      </w:r>
    </w:p>
    <w:p w:rsidR="00E27756" w:rsidRDefault="00E27756" w:rsidP="00E27756">
      <w:pPr>
        <w:pStyle w:val="SangriaFrancesaArticulo"/>
      </w:pPr>
    </w:p>
    <w:p w:rsidR="00E27756" w:rsidRDefault="00E27756" w:rsidP="00E27756">
      <w:pPr>
        <w:pStyle w:val="TextoNormalNegritaCursivandice"/>
      </w:pPr>
      <w:r>
        <w:t>Ley 42/1997, de 14 de noviembre. Ordenadora de la Inspección de trabajo y seguridad social</w:t>
      </w:r>
    </w:p>
    <w:p w:rsidR="00E27756" w:rsidRDefault="00E27756" w:rsidP="00E27756">
      <w:pPr>
        <w:pStyle w:val="SangriaFrancesaArticulo"/>
      </w:pPr>
      <w:r w:rsidRPr="00E27756">
        <w:rPr>
          <w:rStyle w:val="TextoNormalNegritaCaracter"/>
        </w:rPr>
        <w:t>Artículo 9.2.</w:t>
      </w:r>
      <w:r w:rsidRPr="00E27756">
        <w:rPr>
          <w:rStyle w:val="TextoNormalCaracter"/>
        </w:rPr>
        <w:t>-</w:t>
      </w:r>
      <w:r>
        <w:t xml:space="preserve"> Sentencia </w:t>
      </w:r>
      <w:hyperlink w:anchor="SENTENCIA_2013_17" w:history="1">
        <w:r w:rsidRPr="00E27756">
          <w:rPr>
            <w:rStyle w:val="TextoNormalCaracter"/>
          </w:rPr>
          <w:t>17/2013</w:t>
        </w:r>
      </w:hyperlink>
      <w:r>
        <w:t>, f. 8.</w:t>
      </w:r>
    </w:p>
    <w:p w:rsidR="00E27756" w:rsidRDefault="00E27756" w:rsidP="00E27756">
      <w:pPr>
        <w:pStyle w:val="SangriaFrancesaArticulo"/>
      </w:pPr>
    </w:p>
    <w:p w:rsidR="00E27756" w:rsidRDefault="00E27756" w:rsidP="00E27756">
      <w:pPr>
        <w:pStyle w:val="TextoNormalNegritaCursivandice"/>
      </w:pPr>
      <w:r>
        <w:t>Ley 54/1997, de 27 de noviembre. Sector eléctrico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4" w:history="1">
        <w:r w:rsidRPr="00E27756">
          <w:rPr>
            <w:rStyle w:val="TextoNormalCaracter"/>
          </w:rPr>
          <w:t>4/2013</w:t>
        </w:r>
      </w:hyperlink>
      <w:r>
        <w:t xml:space="preserve">, ff. 1, 2, 4, 5, 7 a 11; </w:t>
      </w:r>
      <w:hyperlink w:anchor="SENTENCIA_2013_13" w:history="1">
        <w:r w:rsidRPr="00E27756">
          <w:rPr>
            <w:rStyle w:val="TextoNormalCaracter"/>
          </w:rPr>
          <w:t>13/2013</w:t>
        </w:r>
      </w:hyperlink>
      <w:r>
        <w:t xml:space="preserve">, f. 3; </w:t>
      </w:r>
      <w:hyperlink w:anchor="SENTENCIA_2013_60" w:history="1">
        <w:r w:rsidRPr="00E27756">
          <w:rPr>
            <w:rStyle w:val="TextoNormalCaracter"/>
          </w:rPr>
          <w:t>60/2013</w:t>
        </w:r>
      </w:hyperlink>
      <w:r>
        <w:t xml:space="preserve">, f. 2; </w:t>
      </w:r>
      <w:hyperlink w:anchor="SENTENCIA_2013_102" w:history="1">
        <w:r w:rsidRPr="00E27756">
          <w:rPr>
            <w:rStyle w:val="TextoNormalCaracter"/>
          </w:rPr>
          <w:t>102/2013</w:t>
        </w:r>
      </w:hyperlink>
      <w:r>
        <w:t xml:space="preserve">, f. 3; </w:t>
      </w:r>
      <w:hyperlink w:anchor="SENTENCIA_2013_123" w:history="1">
        <w:r w:rsidRPr="00E27756">
          <w:rPr>
            <w:rStyle w:val="TextoNormalCaracter"/>
          </w:rPr>
          <w:t>123/2013</w:t>
        </w:r>
      </w:hyperlink>
      <w:r>
        <w:t>, ff. 2 a 8.</w:t>
      </w:r>
    </w:p>
    <w:p w:rsidR="00E27756" w:rsidRDefault="00E27756" w:rsidP="00E27756">
      <w:pPr>
        <w:pStyle w:val="SangriaFrancesaArticulo"/>
      </w:pPr>
      <w:r w:rsidRPr="00E27756">
        <w:rPr>
          <w:rStyle w:val="TextoNormalNegritaCaracter"/>
        </w:rPr>
        <w:t>Título V.</w:t>
      </w:r>
      <w:r w:rsidRPr="00E27756">
        <w:rPr>
          <w:rStyle w:val="TextoNormalCaracter"/>
        </w:rPr>
        <w:t>-</w:t>
      </w:r>
      <w:r>
        <w:t xml:space="preserve"> Sentencia </w:t>
      </w:r>
      <w:hyperlink w:anchor="SENTENCIA_2013_123" w:history="1">
        <w:r w:rsidRPr="00E27756">
          <w:rPr>
            <w:rStyle w:val="TextoNormalCaracter"/>
          </w:rPr>
          <w:t>123/2013</w:t>
        </w:r>
      </w:hyperlink>
      <w:r>
        <w:t>, ff. 4, 5.</w:t>
      </w:r>
    </w:p>
    <w:p w:rsidR="00E27756" w:rsidRDefault="00E27756" w:rsidP="00E27756">
      <w:pPr>
        <w:pStyle w:val="SangriaFrancesaArticulo"/>
      </w:pPr>
      <w:r w:rsidRPr="00E27756">
        <w:rPr>
          <w:rStyle w:val="TextoNormalNegritaCaracter"/>
        </w:rPr>
        <w:t>Título VI.</w:t>
      </w:r>
      <w:r w:rsidRPr="00E27756">
        <w:rPr>
          <w:rStyle w:val="TextoNormalCaracter"/>
        </w:rPr>
        <w:t>-</w:t>
      </w:r>
      <w:r>
        <w:t xml:space="preserve"> Sentencia </w:t>
      </w:r>
      <w:hyperlink w:anchor="SENTENCIA_2013_123" w:history="1">
        <w:r w:rsidRPr="00E27756">
          <w:rPr>
            <w:rStyle w:val="TextoNormalCaracter"/>
          </w:rPr>
          <w:t>123/2013</w:t>
        </w:r>
      </w:hyperlink>
      <w:r>
        <w:t>, ff. 4, 6.</w:t>
      </w:r>
    </w:p>
    <w:p w:rsidR="00E27756" w:rsidRDefault="00E27756" w:rsidP="00E27756">
      <w:pPr>
        <w:pStyle w:val="SangriaFrancesaArticulo"/>
      </w:pPr>
      <w:r w:rsidRPr="00E27756">
        <w:rPr>
          <w:rStyle w:val="TextoNormalNegritaCaracter"/>
        </w:rPr>
        <w:t>Título VII.</w:t>
      </w:r>
      <w:r w:rsidRPr="00E27756">
        <w:rPr>
          <w:rStyle w:val="TextoNormalCaracter"/>
        </w:rPr>
        <w:t>-</w:t>
      </w:r>
      <w:r>
        <w:t xml:space="preserve"> Sentencia </w:t>
      </w:r>
      <w:hyperlink w:anchor="SENTENCIA_2013_123" w:history="1">
        <w:r w:rsidRPr="00E27756">
          <w:rPr>
            <w:rStyle w:val="TextoNormalCaracter"/>
          </w:rPr>
          <w:t>123/2013</w:t>
        </w:r>
      </w:hyperlink>
      <w:r>
        <w:t>, f. 4.</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Sentencias </w:t>
      </w:r>
      <w:hyperlink w:anchor="SENTENCIA_2013_4" w:history="1">
        <w:r w:rsidRPr="00E27756">
          <w:rPr>
            <w:rStyle w:val="TextoNormalCaracter"/>
          </w:rPr>
          <w:t>4/2013</w:t>
        </w:r>
      </w:hyperlink>
      <w:r>
        <w:t xml:space="preserve">, f. 5; </w:t>
      </w:r>
      <w:hyperlink w:anchor="SENTENCIA_2013_102" w:history="1">
        <w:r w:rsidRPr="00E27756">
          <w:rPr>
            <w:rStyle w:val="TextoNormalCaracter"/>
          </w:rPr>
          <w:t>102/2013</w:t>
        </w:r>
      </w:hyperlink>
      <w:r>
        <w:t>, ff. 3, 7.</w:t>
      </w:r>
    </w:p>
    <w:p w:rsidR="00E27756" w:rsidRDefault="00E27756" w:rsidP="00E27756">
      <w:pPr>
        <w:pStyle w:val="SangriaIzquierdaArticulo"/>
      </w:pPr>
      <w:r>
        <w:t xml:space="preserve">Auto </w:t>
      </w:r>
      <w:hyperlink w:anchor="AUTO_2013_9" w:history="1">
        <w:r w:rsidRPr="00E27756">
          <w:rPr>
            <w:rStyle w:val="TextoNormalCaracter"/>
          </w:rPr>
          <w:t>9/2013</w:t>
        </w:r>
      </w:hyperlink>
      <w:r>
        <w:t>, f. 5.</w:t>
      </w:r>
    </w:p>
    <w:p w:rsidR="00E27756" w:rsidRDefault="00E27756" w:rsidP="00E27756">
      <w:pPr>
        <w:pStyle w:val="SangriaFrancesaArticulo"/>
      </w:pPr>
      <w:r w:rsidRPr="00E27756">
        <w:rPr>
          <w:rStyle w:val="TextoNormalNegritaCaracter"/>
        </w:rPr>
        <w:t>Artículo 3.1 i).</w:t>
      </w:r>
      <w:r w:rsidRPr="00E27756">
        <w:rPr>
          <w:rStyle w:val="TextoNormalCaracter"/>
        </w:rPr>
        <w:t>-</w:t>
      </w:r>
      <w:r>
        <w:t xml:space="preserve"> Sentencia </w:t>
      </w:r>
      <w:hyperlink w:anchor="SENTENCIA_2013_4" w:history="1">
        <w:r w:rsidRPr="00E27756">
          <w:rPr>
            <w:rStyle w:val="TextoNormalCaracter"/>
          </w:rPr>
          <w:t>4/2013</w:t>
        </w:r>
      </w:hyperlink>
      <w:r>
        <w:t>, f. 4.</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r w:rsidRPr="00E27756">
        <w:rPr>
          <w:rStyle w:val="TextoNormalNegritaCaracter"/>
        </w:rPr>
        <w:t>Artículo 9.1 e), f).</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t>Artículo 9.1 f).</w:t>
      </w:r>
      <w:r w:rsidRPr="00E27756">
        <w:rPr>
          <w:rStyle w:val="TextoNormalCaracter"/>
        </w:rPr>
        <w:t>-</w:t>
      </w:r>
      <w:r>
        <w:t xml:space="preserve"> Sentencia </w:t>
      </w:r>
      <w:hyperlink w:anchor="SENTENCIA_2013_132" w:history="1">
        <w:r w:rsidRPr="00E27756">
          <w:rPr>
            <w:rStyle w:val="TextoNormalCaracter"/>
          </w:rPr>
          <w:t>132/2013</w:t>
        </w:r>
      </w:hyperlink>
      <w:r>
        <w:t>, f. 6.</w:t>
      </w:r>
    </w:p>
    <w:p w:rsidR="00E27756" w:rsidRDefault="00E27756" w:rsidP="00E27756">
      <w:pPr>
        <w:pStyle w:val="SangriaFrancesaArticulo"/>
      </w:pPr>
      <w:r w:rsidRPr="00E27756">
        <w:rPr>
          <w:rStyle w:val="TextoNormalNegritaCaracter"/>
        </w:rPr>
        <w:t>Artículo 10.1.</w:t>
      </w:r>
      <w:r w:rsidRPr="00E27756">
        <w:rPr>
          <w:rStyle w:val="TextoNormalCaracter"/>
        </w:rPr>
        <w:t>-</w:t>
      </w:r>
      <w:r>
        <w:t xml:space="preserve"> Sentencias </w:t>
      </w:r>
      <w:hyperlink w:anchor="SENTENCIA_2013_4" w:history="1">
        <w:r w:rsidRPr="00E27756">
          <w:rPr>
            <w:rStyle w:val="TextoNormalCaracter"/>
          </w:rPr>
          <w:t>4/2013</w:t>
        </w:r>
      </w:hyperlink>
      <w:r>
        <w:t xml:space="preserve">, f. 5; </w:t>
      </w:r>
      <w:hyperlink w:anchor="SENTENCIA_2013_102" w:history="1">
        <w:r w:rsidRPr="00E27756">
          <w:rPr>
            <w:rStyle w:val="TextoNormalCaracter"/>
          </w:rPr>
          <w:t>102/2013</w:t>
        </w:r>
      </w:hyperlink>
      <w:r>
        <w:t>, ff. 3, 6.</w:t>
      </w:r>
    </w:p>
    <w:p w:rsidR="00E27756" w:rsidRDefault="00E27756" w:rsidP="00E27756">
      <w:pPr>
        <w:pStyle w:val="SangriaFrancesaArticulo"/>
      </w:pPr>
      <w:r w:rsidRPr="00E27756">
        <w:rPr>
          <w:rStyle w:val="TextoNormalNegritaCaracter"/>
        </w:rPr>
        <w:t>Artículo 10.2.</w:t>
      </w:r>
      <w:r w:rsidRPr="00E27756">
        <w:rPr>
          <w:rStyle w:val="TextoNormalCaracter"/>
        </w:rPr>
        <w:t>-</w:t>
      </w:r>
      <w:r>
        <w:t xml:space="preserve"> Sentencia </w:t>
      </w:r>
      <w:hyperlink w:anchor="SENTENCIA_2013_102" w:history="1">
        <w:r w:rsidRPr="00E27756">
          <w:rPr>
            <w:rStyle w:val="TextoNormalCaracter"/>
          </w:rPr>
          <w:t>102/2013</w:t>
        </w:r>
      </w:hyperlink>
      <w:r>
        <w:t>, f. 6.</w:t>
      </w:r>
    </w:p>
    <w:p w:rsidR="00E27756" w:rsidRDefault="00E27756" w:rsidP="00E27756">
      <w:pPr>
        <w:pStyle w:val="SangriaFrancesaArticulo"/>
      </w:pPr>
      <w:r w:rsidRPr="00E27756">
        <w:rPr>
          <w:rStyle w:val="TextoNormalNegritaCaracter"/>
        </w:rPr>
        <w:t>Artículo 10.2 a).</w:t>
      </w:r>
      <w:r w:rsidRPr="00E27756">
        <w:rPr>
          <w:rStyle w:val="TextoNormalCaracter"/>
        </w:rPr>
        <w:t>-</w:t>
      </w:r>
      <w:r>
        <w:t xml:space="preserve"> Sentencia </w:t>
      </w:r>
      <w:hyperlink w:anchor="SENTENCIA_2013_102" w:history="1">
        <w:r w:rsidRPr="00E27756">
          <w:rPr>
            <w:rStyle w:val="TextoNormalCaracter"/>
          </w:rPr>
          <w:t>102/2013</w:t>
        </w:r>
      </w:hyperlink>
      <w:r>
        <w:t>, f. 6.</w:t>
      </w:r>
    </w:p>
    <w:p w:rsidR="00E27756" w:rsidRDefault="00E27756" w:rsidP="00E27756">
      <w:pPr>
        <w:pStyle w:val="SangriaFrancesaArticulo"/>
      </w:pPr>
      <w:r w:rsidRPr="00E27756">
        <w:rPr>
          <w:rStyle w:val="TextoNormalNegritaCaracter"/>
        </w:rPr>
        <w:t>Artículo 10.2 c).</w:t>
      </w:r>
      <w:r w:rsidRPr="00E27756">
        <w:rPr>
          <w:rStyle w:val="TextoNormalCaracter"/>
        </w:rPr>
        <w:t>-</w:t>
      </w:r>
      <w:r>
        <w:t xml:space="preserve"> Sentencia </w:t>
      </w:r>
      <w:hyperlink w:anchor="SENTENCIA_2013_102" w:history="1">
        <w:r w:rsidRPr="00E27756">
          <w:rPr>
            <w:rStyle w:val="TextoNormalCaracter"/>
          </w:rPr>
          <w:t>102/2013</w:t>
        </w:r>
      </w:hyperlink>
      <w:r>
        <w:t>, f. 6.</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Sentencias </w:t>
      </w:r>
      <w:hyperlink w:anchor="SENTENCIA_2013_102" w:history="1">
        <w:r w:rsidRPr="00E27756">
          <w:rPr>
            <w:rStyle w:val="TextoNormalCaracter"/>
          </w:rPr>
          <w:t>102/2013</w:t>
        </w:r>
      </w:hyperlink>
      <w:r>
        <w:t xml:space="preserve">, f. 3; </w:t>
      </w:r>
      <w:hyperlink w:anchor="SENTENCIA_2013_123" w:history="1">
        <w:r w:rsidRPr="00E27756">
          <w:rPr>
            <w:rStyle w:val="TextoNormalCaracter"/>
          </w:rPr>
          <w:t>123/2013</w:t>
        </w:r>
      </w:hyperlink>
      <w:r>
        <w:t>, f. 4.</w:t>
      </w:r>
    </w:p>
    <w:p w:rsidR="00E27756" w:rsidRDefault="00E27756" w:rsidP="00E27756">
      <w:pPr>
        <w:pStyle w:val="SangriaFrancesaArticulo"/>
      </w:pPr>
      <w:r w:rsidRPr="00E27756">
        <w:rPr>
          <w:rStyle w:val="TextoNormalNegritaCaracter"/>
        </w:rPr>
        <w:t>Artículo 11.2.</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t>Artículo 11.3.</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t>Artículo 12.1.</w:t>
      </w:r>
      <w:r w:rsidRPr="00E27756">
        <w:rPr>
          <w:rStyle w:val="TextoNormalCaracter"/>
        </w:rPr>
        <w:t>-</w:t>
      </w:r>
      <w:r>
        <w:t xml:space="preserve"> Sentencia </w:t>
      </w:r>
      <w:hyperlink w:anchor="SENTENCIA_2013_123" w:history="1">
        <w:r w:rsidRPr="00E27756">
          <w:rPr>
            <w:rStyle w:val="TextoNormalCaracter"/>
          </w:rPr>
          <w:t>123/2013</w:t>
        </w:r>
      </w:hyperlink>
      <w:r>
        <w:t>, ff. 5, 8.</w:t>
      </w:r>
    </w:p>
    <w:p w:rsidR="00E27756" w:rsidRDefault="00E27756" w:rsidP="00E27756">
      <w:pPr>
        <w:pStyle w:val="SangriaIzquierdaArticulo"/>
      </w:pPr>
      <w:r>
        <w:t xml:space="preserve">Auto </w:t>
      </w:r>
      <w:hyperlink w:anchor="AUTO_2013_9" w:history="1">
        <w:r w:rsidRPr="00E27756">
          <w:rPr>
            <w:rStyle w:val="TextoNormalCaracter"/>
          </w:rPr>
          <w:t>9/2013</w:t>
        </w:r>
      </w:hyperlink>
      <w:r>
        <w:t>, f. 5.</w:t>
      </w:r>
    </w:p>
    <w:p w:rsidR="00E27756" w:rsidRDefault="00E27756" w:rsidP="00E27756">
      <w:pPr>
        <w:pStyle w:val="SangriaFrancesaArticulo"/>
      </w:pPr>
      <w:r w:rsidRPr="00E27756">
        <w:rPr>
          <w:rStyle w:val="TextoNormalNegritaCaracter"/>
        </w:rPr>
        <w:t>Artículo 12.2.</w:t>
      </w:r>
      <w:r w:rsidRPr="00E27756">
        <w:rPr>
          <w:rStyle w:val="TextoNormalCaracter"/>
        </w:rPr>
        <w:t>-</w:t>
      </w:r>
      <w:r>
        <w:t xml:space="preserve"> Sentencia </w:t>
      </w:r>
      <w:hyperlink w:anchor="SENTENCIA_2013_123" w:history="1">
        <w:r w:rsidRPr="00E27756">
          <w:rPr>
            <w:rStyle w:val="TextoNormalCaracter"/>
          </w:rPr>
          <w:t>123/2013</w:t>
        </w:r>
      </w:hyperlink>
      <w:r>
        <w:t>, f. 5.</w:t>
      </w:r>
    </w:p>
    <w:p w:rsidR="00E27756" w:rsidRDefault="00E27756" w:rsidP="00E27756">
      <w:pPr>
        <w:pStyle w:val="SangriaFrancesaArticulo"/>
      </w:pPr>
      <w:r w:rsidRPr="00E27756">
        <w:rPr>
          <w:rStyle w:val="TextoNormalNegritaCaracter"/>
        </w:rPr>
        <w:t>Artículo 15.</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t>Artículo 15.1.</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r w:rsidRPr="00E27756">
        <w:rPr>
          <w:rStyle w:val="TextoNormalNegritaCaracter"/>
        </w:rPr>
        <w:t>Artículo 16.</w:t>
      </w:r>
      <w:r w:rsidRPr="00E27756">
        <w:rPr>
          <w:rStyle w:val="TextoNormalCaracter"/>
        </w:rPr>
        <w:t>-</w:t>
      </w:r>
      <w:r>
        <w:t xml:space="preserve"> Sentencia </w:t>
      </w:r>
      <w:hyperlink w:anchor="SENTENCIA_2013_4" w:history="1">
        <w:r w:rsidRPr="00E27756">
          <w:rPr>
            <w:rStyle w:val="TextoNormalCaracter"/>
          </w:rPr>
          <w:t>4/2013</w:t>
        </w:r>
      </w:hyperlink>
      <w:r>
        <w:t>, f. 9.</w:t>
      </w:r>
    </w:p>
    <w:p w:rsidR="00E27756" w:rsidRDefault="00E27756" w:rsidP="00E27756">
      <w:pPr>
        <w:pStyle w:val="SangriaFrancesaArticulo"/>
      </w:pPr>
      <w:r w:rsidRPr="00E27756">
        <w:rPr>
          <w:rStyle w:val="TextoNormalNegritaCaracter"/>
        </w:rPr>
        <w:t>Artículo 16.3.</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t>Artículo 16.4.</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t>Artículo 17.</w:t>
      </w:r>
      <w:r w:rsidRPr="00E27756">
        <w:rPr>
          <w:rStyle w:val="TextoNormalCaracter"/>
        </w:rPr>
        <w:t>-</w:t>
      </w:r>
      <w:r>
        <w:t xml:space="preserve"> Sentencia </w:t>
      </w:r>
      <w:hyperlink w:anchor="SENTENCIA_2013_4" w:history="1">
        <w:r w:rsidRPr="00E27756">
          <w:rPr>
            <w:rStyle w:val="TextoNormalCaracter"/>
          </w:rPr>
          <w:t>4/2013</w:t>
        </w:r>
      </w:hyperlink>
      <w:r>
        <w:t>, f. 9.</w:t>
      </w:r>
    </w:p>
    <w:p w:rsidR="00E27756" w:rsidRDefault="00E27756" w:rsidP="00E27756">
      <w:pPr>
        <w:pStyle w:val="SangriaFrancesaArticulo"/>
      </w:pPr>
      <w:r w:rsidRPr="00E27756">
        <w:rPr>
          <w:rStyle w:val="TextoNormalNegritaCaracter"/>
        </w:rPr>
        <w:t>Artículo 17.4.</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lastRenderedPageBreak/>
        <w:t>Artículo 17.4</w:t>
      </w:r>
      <w:r>
        <w:t xml:space="preserve"> </w:t>
      </w:r>
      <w:r w:rsidRPr="00E27756">
        <w:rPr>
          <w:rStyle w:val="TextoNormalCaracter"/>
        </w:rPr>
        <w:t>(redactado por el Real Decreto-ley 20/2012, de 13 de julio)</w:t>
      </w:r>
      <w:r w:rsidRPr="00E27756">
        <w:rPr>
          <w:rStyle w:val="TextoNormalNegritaCaracter"/>
        </w:rPr>
        <w:t>.</w:t>
      </w:r>
      <w:r w:rsidRPr="00E27756">
        <w:rPr>
          <w:rStyle w:val="TextoNormalCaracter"/>
        </w:rPr>
        <w:t>-</w:t>
      </w:r>
      <w:r>
        <w:t xml:space="preserve"> Sentencia </w:t>
      </w:r>
      <w:hyperlink w:anchor="SENTENCIA_2013_60" w:history="1">
        <w:r w:rsidRPr="00E27756">
          <w:rPr>
            <w:rStyle w:val="TextoNormalCaracter"/>
          </w:rPr>
          <w:t>60/2013</w:t>
        </w:r>
      </w:hyperlink>
      <w:r>
        <w:t>, f. 2.</w:t>
      </w:r>
    </w:p>
    <w:p w:rsidR="00E27756" w:rsidRDefault="00E27756" w:rsidP="00E27756">
      <w:pPr>
        <w:pStyle w:val="SangriaFrancesaArticulo"/>
      </w:pPr>
      <w:r w:rsidRPr="00E27756">
        <w:rPr>
          <w:rStyle w:val="TextoNormalNegritaCaracter"/>
        </w:rPr>
        <w:t>Artículo 17.4</w:t>
      </w:r>
      <w:r>
        <w:t xml:space="preserve"> </w:t>
      </w:r>
      <w:r w:rsidRPr="00E27756">
        <w:rPr>
          <w:rStyle w:val="TextoNormalCaracter"/>
        </w:rPr>
        <w:t>(redactado por la Ley 17/2007, de 4 de julio)</w:t>
      </w:r>
      <w:r w:rsidRPr="00E27756">
        <w:rPr>
          <w:rStyle w:val="TextoNormalNegritaCaracter"/>
        </w:rPr>
        <w:t>.</w:t>
      </w:r>
      <w:r w:rsidRPr="00E27756">
        <w:rPr>
          <w:rStyle w:val="TextoNormalCaracter"/>
        </w:rPr>
        <w:t>-</w:t>
      </w:r>
      <w:r>
        <w:t xml:space="preserve"> Sentencia </w:t>
      </w:r>
      <w:hyperlink w:anchor="SENTENCIA_2013_60" w:history="1">
        <w:r w:rsidRPr="00E27756">
          <w:rPr>
            <w:rStyle w:val="TextoNormalCaracter"/>
          </w:rPr>
          <w:t>60/2013</w:t>
        </w:r>
      </w:hyperlink>
      <w:r>
        <w:t>, f. 2.</w:t>
      </w:r>
    </w:p>
    <w:p w:rsidR="00E27756" w:rsidRDefault="00E27756" w:rsidP="00E27756">
      <w:pPr>
        <w:pStyle w:val="SangriaFrancesaArticulo"/>
      </w:pPr>
      <w:r w:rsidRPr="00E27756">
        <w:rPr>
          <w:rStyle w:val="TextoNormalNegritaCaracter"/>
        </w:rPr>
        <w:t>Artículo 18.</w:t>
      </w:r>
      <w:r w:rsidRPr="00E27756">
        <w:rPr>
          <w:rStyle w:val="TextoNormalCaracter"/>
        </w:rPr>
        <w:t>-</w:t>
      </w:r>
      <w:r>
        <w:t xml:space="preserve"> Sentencias </w:t>
      </w:r>
      <w:hyperlink w:anchor="SENTENCIA_2013_4" w:history="1">
        <w:r w:rsidRPr="00E27756">
          <w:rPr>
            <w:rStyle w:val="TextoNormalCaracter"/>
          </w:rPr>
          <w:t>4/2013</w:t>
        </w:r>
      </w:hyperlink>
      <w:r>
        <w:t xml:space="preserve">, f. 8; </w:t>
      </w:r>
      <w:hyperlink w:anchor="SENTENCIA_2013_102" w:history="1">
        <w:r w:rsidRPr="00E27756">
          <w:rPr>
            <w:rStyle w:val="TextoNormalCaracter"/>
          </w:rPr>
          <w:t>102/2013</w:t>
        </w:r>
      </w:hyperlink>
      <w:r>
        <w:t>, f. 6.</w:t>
      </w:r>
    </w:p>
    <w:p w:rsidR="00E27756" w:rsidRDefault="00E27756" w:rsidP="00E27756">
      <w:pPr>
        <w:pStyle w:val="SangriaFrancesaArticulo"/>
      </w:pPr>
      <w:r w:rsidRPr="00E27756">
        <w:rPr>
          <w:rStyle w:val="TextoNormalNegritaCaracter"/>
        </w:rPr>
        <w:t>Artículo 18.3.</w:t>
      </w:r>
      <w:r w:rsidRPr="00E27756">
        <w:rPr>
          <w:rStyle w:val="TextoNormalCaracter"/>
        </w:rPr>
        <w:t>-</w:t>
      </w:r>
      <w:r>
        <w:t xml:space="preserve"> Sentencia </w:t>
      </w:r>
      <w:hyperlink w:anchor="SENTENCIA_2013_102" w:history="1">
        <w:r w:rsidRPr="00E27756">
          <w:rPr>
            <w:rStyle w:val="TextoNormalCaracter"/>
          </w:rPr>
          <w:t>102/2013</w:t>
        </w:r>
      </w:hyperlink>
      <w:r>
        <w:t>, f. 7.</w:t>
      </w:r>
    </w:p>
    <w:p w:rsidR="00E27756" w:rsidRDefault="00E27756" w:rsidP="00E27756">
      <w:pPr>
        <w:pStyle w:val="SangriaFrancesaArticulo"/>
      </w:pPr>
      <w:r w:rsidRPr="00E27756">
        <w:rPr>
          <w:rStyle w:val="TextoNormalNegritaCaracter"/>
        </w:rPr>
        <w:t>Artículo 18.5.</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t>Artículo 18.5</w:t>
      </w:r>
      <w:r>
        <w:t xml:space="preserve"> </w:t>
      </w:r>
      <w:r w:rsidRPr="00E27756">
        <w:rPr>
          <w:rStyle w:val="TextoNormalCaracter"/>
        </w:rPr>
        <w:t>(redactado por el Real Decreto-ley 20/2012, de 13 de julio)</w:t>
      </w:r>
      <w:r w:rsidRPr="00E27756">
        <w:rPr>
          <w:rStyle w:val="TextoNormalNegritaCaracter"/>
        </w:rPr>
        <w:t>.</w:t>
      </w:r>
      <w:r w:rsidRPr="00E27756">
        <w:rPr>
          <w:rStyle w:val="TextoNormalCaracter"/>
        </w:rPr>
        <w:t>-</w:t>
      </w:r>
      <w:r>
        <w:t xml:space="preserve"> Sentencia </w:t>
      </w:r>
      <w:hyperlink w:anchor="SENTENCIA_2013_60" w:history="1">
        <w:r w:rsidRPr="00E27756">
          <w:rPr>
            <w:rStyle w:val="TextoNormalCaracter"/>
          </w:rPr>
          <w:t>60/2013</w:t>
        </w:r>
      </w:hyperlink>
      <w:r>
        <w:t>, f. 2.</w:t>
      </w:r>
    </w:p>
    <w:p w:rsidR="00E27756" w:rsidRDefault="00E27756" w:rsidP="00E27756">
      <w:pPr>
        <w:pStyle w:val="SangriaFrancesaArticulo"/>
      </w:pPr>
      <w:r w:rsidRPr="00E27756">
        <w:rPr>
          <w:rStyle w:val="TextoNormalNegritaCaracter"/>
        </w:rPr>
        <w:t>Artículo 18.5</w:t>
      </w:r>
      <w:r>
        <w:t xml:space="preserve"> </w:t>
      </w:r>
      <w:r w:rsidRPr="00E27756">
        <w:rPr>
          <w:rStyle w:val="TextoNormalCaracter"/>
        </w:rPr>
        <w:t>(redactado por la Ley 17/2007, de 4 de julio)</w:t>
      </w:r>
      <w:r w:rsidRPr="00E27756">
        <w:rPr>
          <w:rStyle w:val="TextoNormalNegritaCaracter"/>
        </w:rPr>
        <w:t>.</w:t>
      </w:r>
      <w:r w:rsidRPr="00E27756">
        <w:rPr>
          <w:rStyle w:val="TextoNormalCaracter"/>
        </w:rPr>
        <w:t>-</w:t>
      </w:r>
      <w:r>
        <w:t xml:space="preserve"> Sentencia </w:t>
      </w:r>
      <w:hyperlink w:anchor="SENTENCIA_2013_60" w:history="1">
        <w:r w:rsidRPr="00E27756">
          <w:rPr>
            <w:rStyle w:val="TextoNormalCaracter"/>
          </w:rPr>
          <w:t>60/2013</w:t>
        </w:r>
      </w:hyperlink>
      <w:r>
        <w:t>, f. 2.</w:t>
      </w:r>
    </w:p>
    <w:p w:rsidR="00E27756" w:rsidRDefault="00E27756" w:rsidP="00E27756">
      <w:pPr>
        <w:pStyle w:val="SangriaFrancesaArticulo"/>
      </w:pPr>
      <w:r w:rsidRPr="00E27756">
        <w:rPr>
          <w:rStyle w:val="TextoNormalNegritaCaracter"/>
        </w:rPr>
        <w:t>Artículo 20.</w:t>
      </w:r>
      <w:r w:rsidRPr="00E27756">
        <w:rPr>
          <w:rStyle w:val="TextoNormalCaracter"/>
        </w:rPr>
        <w:t>-</w:t>
      </w:r>
      <w:r>
        <w:t xml:space="preserve"> Sentencia </w:t>
      </w:r>
      <w:hyperlink w:anchor="SENTENCIA_2013_4" w:history="1">
        <w:r w:rsidRPr="00E27756">
          <w:rPr>
            <w:rStyle w:val="TextoNormalCaracter"/>
          </w:rPr>
          <w:t>4/2013</w:t>
        </w:r>
      </w:hyperlink>
      <w:r>
        <w:t>, f. 11.</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123" w:history="1">
        <w:r w:rsidRPr="00E27756">
          <w:rPr>
            <w:rStyle w:val="TextoNormalCaracter"/>
          </w:rPr>
          <w:t>123/2013</w:t>
        </w:r>
      </w:hyperlink>
      <w:r>
        <w:t>, f. 5.</w:t>
      </w:r>
    </w:p>
    <w:p w:rsidR="00E27756" w:rsidRDefault="00E27756" w:rsidP="00E27756">
      <w:pPr>
        <w:pStyle w:val="SangriaFrancesaArticulo"/>
      </w:pPr>
      <w:r w:rsidRPr="00E27756">
        <w:rPr>
          <w:rStyle w:val="TextoNormalNegritaCaracter"/>
        </w:rPr>
        <w:t>Artículo 33.</w:t>
      </w:r>
      <w:r w:rsidRPr="00E27756">
        <w:rPr>
          <w:rStyle w:val="TextoNormalCaracter"/>
        </w:rPr>
        <w:t>-</w:t>
      </w:r>
      <w:r>
        <w:t xml:space="preserve"> Sentencia </w:t>
      </w:r>
      <w:hyperlink w:anchor="SENTENCIA_2013_123" w:history="1">
        <w:r w:rsidRPr="00E27756">
          <w:rPr>
            <w:rStyle w:val="TextoNormalCaracter"/>
          </w:rPr>
          <w:t>123/2013</w:t>
        </w:r>
      </w:hyperlink>
      <w:r>
        <w:t>, f. 5.</w:t>
      </w:r>
    </w:p>
    <w:p w:rsidR="00E27756" w:rsidRDefault="00E27756" w:rsidP="00E27756">
      <w:pPr>
        <w:pStyle w:val="SangriaFrancesaArticulo"/>
      </w:pPr>
      <w:r w:rsidRPr="00E27756">
        <w:rPr>
          <w:rStyle w:val="TextoNormalNegritaCaracter"/>
        </w:rPr>
        <w:t>Artículo 34.</w:t>
      </w:r>
      <w:r w:rsidRPr="00E27756">
        <w:rPr>
          <w:rStyle w:val="TextoNormalCaracter"/>
        </w:rPr>
        <w:t>-</w:t>
      </w:r>
      <w:r>
        <w:t xml:space="preserve"> Sentencias </w:t>
      </w:r>
      <w:hyperlink w:anchor="SENTENCIA_2013_123" w:history="1">
        <w:r w:rsidRPr="00E27756">
          <w:rPr>
            <w:rStyle w:val="TextoNormalCaracter"/>
          </w:rPr>
          <w:t>123/2013</w:t>
        </w:r>
      </w:hyperlink>
      <w:r>
        <w:t xml:space="preserve">, ff. 2, 5, 7, 8; </w:t>
      </w:r>
      <w:hyperlink w:anchor="SENTENCIA_2013_132" w:history="1">
        <w:r w:rsidRPr="00E27756">
          <w:rPr>
            <w:rStyle w:val="TextoNormalCaracter"/>
          </w:rPr>
          <w:t>132/2013</w:t>
        </w:r>
      </w:hyperlink>
      <w:r>
        <w:t>, f. 6.</w:t>
      </w:r>
    </w:p>
    <w:p w:rsidR="00E27756" w:rsidRDefault="00E27756" w:rsidP="00E27756">
      <w:pPr>
        <w:pStyle w:val="SangriaFrancesaArticulo"/>
      </w:pPr>
      <w:r w:rsidRPr="00E27756">
        <w:rPr>
          <w:rStyle w:val="TextoNormalNegritaCaracter"/>
        </w:rPr>
        <w:t>Artículo 34.1</w:t>
      </w:r>
      <w:r>
        <w:t xml:space="preserve"> </w:t>
      </w:r>
      <w:r w:rsidRPr="00E27756">
        <w:rPr>
          <w:rStyle w:val="TextoNormalCaracter"/>
        </w:rPr>
        <w:t>(redactado por la Ley 17/2007, de 4 de julio)</w:t>
      </w:r>
      <w:r w:rsidRPr="00E27756">
        <w:rPr>
          <w:rStyle w:val="TextoNormalNegritaCaracter"/>
        </w:rPr>
        <w:t>.</w:t>
      </w:r>
      <w:r w:rsidRPr="00E27756">
        <w:rPr>
          <w:rStyle w:val="TextoNormalCaracter"/>
        </w:rPr>
        <w:t>-</w:t>
      </w:r>
      <w:r>
        <w:t xml:space="preserve"> Sentencia </w:t>
      </w:r>
      <w:hyperlink w:anchor="SENTENCIA_2013_123" w:history="1">
        <w:r w:rsidRPr="00E27756">
          <w:rPr>
            <w:rStyle w:val="TextoNormalCaracter"/>
          </w:rPr>
          <w:t>123/2013</w:t>
        </w:r>
      </w:hyperlink>
      <w:r>
        <w:t>, f. 6.</w:t>
      </w:r>
    </w:p>
    <w:p w:rsidR="00E27756" w:rsidRDefault="00E27756" w:rsidP="00E27756">
      <w:pPr>
        <w:pStyle w:val="SangriaFrancesaArticulo"/>
      </w:pPr>
      <w:r w:rsidRPr="00E27756">
        <w:rPr>
          <w:rStyle w:val="TextoNormalNegritaCaracter"/>
        </w:rPr>
        <w:t>Artículo 34.2.</w:t>
      </w:r>
      <w:r w:rsidRPr="00E27756">
        <w:rPr>
          <w:rStyle w:val="TextoNormalCaracter"/>
        </w:rPr>
        <w:t>-</w:t>
      </w:r>
      <w:r>
        <w:t xml:space="preserve"> Sentencia </w:t>
      </w:r>
      <w:hyperlink w:anchor="SENTENCIA_2013_123" w:history="1">
        <w:r w:rsidRPr="00E27756">
          <w:rPr>
            <w:rStyle w:val="TextoNormalCaracter"/>
          </w:rPr>
          <w:t>123/2013</w:t>
        </w:r>
      </w:hyperlink>
      <w:r>
        <w:t>, f. 5.</w:t>
      </w:r>
    </w:p>
    <w:p w:rsidR="00E27756" w:rsidRDefault="00E27756" w:rsidP="00E27756">
      <w:pPr>
        <w:pStyle w:val="SangriaFrancesaArticulo"/>
      </w:pPr>
      <w:r w:rsidRPr="00E27756">
        <w:rPr>
          <w:rStyle w:val="TextoNormalNegritaCaracter"/>
        </w:rPr>
        <w:t>Artículo 34.2</w:t>
      </w:r>
      <w:r>
        <w:t xml:space="preserve"> </w:t>
      </w:r>
      <w:r w:rsidRPr="00E27756">
        <w:rPr>
          <w:rStyle w:val="TextoNormalCaracter"/>
        </w:rPr>
        <w:t>(redactado por la Ley 17/2007, de 4 de julio)</w:t>
      </w:r>
      <w:r w:rsidRPr="00E27756">
        <w:rPr>
          <w:rStyle w:val="TextoNormalNegritaCaracter"/>
        </w:rPr>
        <w:t>.</w:t>
      </w:r>
      <w:r w:rsidRPr="00E27756">
        <w:rPr>
          <w:rStyle w:val="TextoNormalCaracter"/>
        </w:rPr>
        <w:t>-</w:t>
      </w:r>
      <w:r>
        <w:t xml:space="preserve"> Sentencia </w:t>
      </w:r>
      <w:hyperlink w:anchor="SENTENCIA_2013_123" w:history="1">
        <w:r w:rsidRPr="00E27756">
          <w:rPr>
            <w:rStyle w:val="TextoNormalCaracter"/>
          </w:rPr>
          <w:t>123/2013</w:t>
        </w:r>
      </w:hyperlink>
      <w:r>
        <w:t>, f. 6.</w:t>
      </w:r>
    </w:p>
    <w:p w:rsidR="00E27756" w:rsidRDefault="00E27756" w:rsidP="00E27756">
      <w:pPr>
        <w:pStyle w:val="SangriaFrancesaArticulo"/>
      </w:pPr>
      <w:r w:rsidRPr="00E27756">
        <w:rPr>
          <w:rStyle w:val="TextoNormalNegritaCaracter"/>
        </w:rPr>
        <w:t>Artículo 34.2 q).</w:t>
      </w:r>
      <w:r w:rsidRPr="00E27756">
        <w:rPr>
          <w:rStyle w:val="TextoNormalCaracter"/>
        </w:rPr>
        <w:t>-</w:t>
      </w:r>
      <w:r>
        <w:t xml:space="preserve"> Sentencia </w:t>
      </w:r>
      <w:hyperlink w:anchor="SENTENCIA_2013_123" w:history="1">
        <w:r w:rsidRPr="00E27756">
          <w:rPr>
            <w:rStyle w:val="TextoNormalCaracter"/>
          </w:rPr>
          <w:t>123/2013</w:t>
        </w:r>
      </w:hyperlink>
      <w:r>
        <w:t>, f. 6.</w:t>
      </w:r>
    </w:p>
    <w:p w:rsidR="00E27756" w:rsidRDefault="00E27756" w:rsidP="00E27756">
      <w:pPr>
        <w:pStyle w:val="SangriaFrancesaArticulo"/>
      </w:pPr>
      <w:r w:rsidRPr="00E27756">
        <w:rPr>
          <w:rStyle w:val="TextoNormalNegritaCaracter"/>
        </w:rPr>
        <w:t>Artículo 34.2 r).</w:t>
      </w:r>
      <w:r w:rsidRPr="00E27756">
        <w:rPr>
          <w:rStyle w:val="TextoNormalCaracter"/>
        </w:rPr>
        <w:t>-</w:t>
      </w:r>
      <w:r>
        <w:t xml:space="preserve"> Sentencia </w:t>
      </w:r>
      <w:hyperlink w:anchor="SENTENCIA_2013_123" w:history="1">
        <w:r w:rsidRPr="00E27756">
          <w:rPr>
            <w:rStyle w:val="TextoNormalCaracter"/>
          </w:rPr>
          <w:t>123/2013</w:t>
        </w:r>
      </w:hyperlink>
      <w:r>
        <w:t>, f. 6.</w:t>
      </w:r>
    </w:p>
    <w:p w:rsidR="00E27756" w:rsidRDefault="00E27756" w:rsidP="00E27756">
      <w:pPr>
        <w:pStyle w:val="SangriaFrancesaArticulo"/>
      </w:pPr>
      <w:r w:rsidRPr="00E27756">
        <w:rPr>
          <w:rStyle w:val="TextoNormalNegritaCaracter"/>
        </w:rPr>
        <w:t>Artículo 34.2 u).</w:t>
      </w:r>
      <w:r w:rsidRPr="00E27756">
        <w:rPr>
          <w:rStyle w:val="TextoNormalCaracter"/>
        </w:rPr>
        <w:t>-</w:t>
      </w:r>
      <w:r>
        <w:t xml:space="preserve"> Sentencia </w:t>
      </w:r>
      <w:hyperlink w:anchor="SENTENCIA_2013_123" w:history="1">
        <w:r w:rsidRPr="00E27756">
          <w:rPr>
            <w:rStyle w:val="TextoNormalCaracter"/>
          </w:rPr>
          <w:t>123/2013</w:t>
        </w:r>
      </w:hyperlink>
      <w:r>
        <w:t>, f. 6.</w:t>
      </w:r>
    </w:p>
    <w:p w:rsidR="00E27756" w:rsidRDefault="00E27756" w:rsidP="00E27756">
      <w:pPr>
        <w:pStyle w:val="SangriaFrancesaArticulo"/>
      </w:pPr>
      <w:r w:rsidRPr="00E27756">
        <w:rPr>
          <w:rStyle w:val="TextoNormalNegritaCaracter"/>
        </w:rPr>
        <w:t>Artículo 34.2 w).</w:t>
      </w:r>
      <w:r w:rsidRPr="00E27756">
        <w:rPr>
          <w:rStyle w:val="TextoNormalCaracter"/>
        </w:rPr>
        <w:t>-</w:t>
      </w:r>
      <w:r>
        <w:t xml:space="preserve"> Sentencia </w:t>
      </w:r>
      <w:hyperlink w:anchor="SENTENCIA_2013_123" w:history="1">
        <w:r w:rsidRPr="00E27756">
          <w:rPr>
            <w:rStyle w:val="TextoNormalCaracter"/>
          </w:rPr>
          <w:t>123/2013</w:t>
        </w:r>
      </w:hyperlink>
      <w:r>
        <w:t>, f. 6.</w:t>
      </w:r>
    </w:p>
    <w:p w:rsidR="00E27756" w:rsidRDefault="00E27756" w:rsidP="00E27756">
      <w:pPr>
        <w:pStyle w:val="SangriaFrancesaArticulo"/>
      </w:pPr>
      <w:r w:rsidRPr="00E27756">
        <w:rPr>
          <w:rStyle w:val="TextoNormalNegritaCaracter"/>
        </w:rPr>
        <w:t>Artículo 35.</w:t>
      </w:r>
      <w:r w:rsidRPr="00E27756">
        <w:rPr>
          <w:rStyle w:val="TextoNormalCaracter"/>
        </w:rPr>
        <w:t>-</w:t>
      </w:r>
      <w:r>
        <w:t xml:space="preserve"> Sentencias </w:t>
      </w:r>
      <w:hyperlink w:anchor="SENTENCIA_2013_123" w:history="1">
        <w:r w:rsidRPr="00E27756">
          <w:rPr>
            <w:rStyle w:val="TextoNormalCaracter"/>
          </w:rPr>
          <w:t>123/2013</w:t>
        </w:r>
      </w:hyperlink>
      <w:r>
        <w:t xml:space="preserve">, f. 2; </w:t>
      </w:r>
      <w:hyperlink w:anchor="SENTENCIA_2013_132" w:history="1">
        <w:r w:rsidRPr="00E27756">
          <w:rPr>
            <w:rStyle w:val="TextoNormalCaracter"/>
          </w:rPr>
          <w:t>132/2013</w:t>
        </w:r>
      </w:hyperlink>
      <w:r>
        <w:t>, f. 6.</w:t>
      </w:r>
    </w:p>
    <w:p w:rsidR="00E27756" w:rsidRDefault="00E27756" w:rsidP="00E27756">
      <w:pPr>
        <w:pStyle w:val="SangriaFrancesaArticulo"/>
      </w:pPr>
      <w:r w:rsidRPr="00E27756">
        <w:rPr>
          <w:rStyle w:val="TextoNormalNegritaCaracter"/>
        </w:rPr>
        <w:t>Artículo 35.2.</w:t>
      </w:r>
      <w:r w:rsidRPr="00E27756">
        <w:rPr>
          <w:rStyle w:val="TextoNormalCaracter"/>
        </w:rPr>
        <w:t>-</w:t>
      </w:r>
      <w:r>
        <w:t xml:space="preserve"> Sentencia </w:t>
      </w:r>
      <w:hyperlink w:anchor="SENTENCIA_2013_123" w:history="1">
        <w:r w:rsidRPr="00E27756">
          <w:rPr>
            <w:rStyle w:val="TextoNormalCaracter"/>
          </w:rPr>
          <w:t>123/2013</w:t>
        </w:r>
      </w:hyperlink>
      <w:r>
        <w:t>, f. 6.</w:t>
      </w:r>
    </w:p>
    <w:p w:rsidR="00E27756" w:rsidRDefault="00E27756" w:rsidP="00E27756">
      <w:pPr>
        <w:pStyle w:val="SangriaFrancesaArticulo"/>
      </w:pPr>
      <w:r w:rsidRPr="00E27756">
        <w:rPr>
          <w:rStyle w:val="TextoNormalNegritaCaracter"/>
        </w:rPr>
        <w:t>Artículo 39.1.</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t>Artículos 39 a 43.</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t>Artículo 40.</w:t>
      </w:r>
      <w:r w:rsidRPr="00E27756">
        <w:rPr>
          <w:rStyle w:val="TextoNormalCaracter"/>
        </w:rPr>
        <w:t>-</w:t>
      </w:r>
      <w:r>
        <w:t xml:space="preserve"> Sentencia </w:t>
      </w:r>
      <w:hyperlink w:anchor="SENTENCIA_2013_4" w:history="1">
        <w:r w:rsidRPr="00E27756">
          <w:rPr>
            <w:rStyle w:val="TextoNormalCaracter"/>
          </w:rPr>
          <w:t>4/2013</w:t>
        </w:r>
      </w:hyperlink>
      <w:r>
        <w:t>, f. 11.</w:t>
      </w:r>
    </w:p>
    <w:p w:rsidR="00E27756" w:rsidRDefault="00E27756" w:rsidP="00E27756">
      <w:pPr>
        <w:pStyle w:val="SangriaFrancesaArticulo"/>
      </w:pPr>
      <w:r w:rsidRPr="00E27756">
        <w:rPr>
          <w:rStyle w:val="TextoNormalNegritaCaracter"/>
        </w:rPr>
        <w:t>Artículo 41.1 a).</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t>Artículo 41.1 k).</w:t>
      </w:r>
      <w:r w:rsidRPr="00E27756">
        <w:rPr>
          <w:rStyle w:val="TextoNormalCaracter"/>
        </w:rPr>
        <w:t>-</w:t>
      </w:r>
      <w:r>
        <w:t xml:space="preserve"> Sentencia </w:t>
      </w:r>
      <w:hyperlink w:anchor="SENTENCIA_2013_4" w:history="1">
        <w:r w:rsidRPr="00E27756">
          <w:rPr>
            <w:rStyle w:val="TextoNormalCaracter"/>
          </w:rPr>
          <w:t>4/2013</w:t>
        </w:r>
      </w:hyperlink>
      <w:r>
        <w:t>, ff. 4, 10.</w:t>
      </w:r>
    </w:p>
    <w:p w:rsidR="00E27756" w:rsidRDefault="00E27756" w:rsidP="00E27756">
      <w:pPr>
        <w:pStyle w:val="SangriaFrancesaArticulo"/>
      </w:pPr>
      <w:r w:rsidRPr="00E27756">
        <w:rPr>
          <w:rStyle w:val="TextoNormalNegritaCaracter"/>
        </w:rPr>
        <w:t>Artículo 41.2 a), b).</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t>Artículo 44.</w:t>
      </w:r>
      <w:r w:rsidRPr="00E27756">
        <w:rPr>
          <w:rStyle w:val="TextoNormalCaracter"/>
        </w:rPr>
        <w:t>-</w:t>
      </w:r>
      <w:r>
        <w:t xml:space="preserve"> Sentencias </w:t>
      </w:r>
      <w:hyperlink w:anchor="SENTENCIA_2013_4" w:history="1">
        <w:r w:rsidRPr="00E27756">
          <w:rPr>
            <w:rStyle w:val="TextoNormalCaracter"/>
          </w:rPr>
          <w:t>4/2013</w:t>
        </w:r>
      </w:hyperlink>
      <w:r>
        <w:t xml:space="preserve">, f. 11; </w:t>
      </w:r>
      <w:hyperlink w:anchor="SENTENCIA_2013_102" w:history="1">
        <w:r w:rsidRPr="00E27756">
          <w:rPr>
            <w:rStyle w:val="TextoNormalCaracter"/>
          </w:rPr>
          <w:t>102/2013</w:t>
        </w:r>
      </w:hyperlink>
      <w:r>
        <w:t>, ff. 4, 7.</w:t>
      </w:r>
    </w:p>
    <w:p w:rsidR="00E27756" w:rsidRDefault="00E27756" w:rsidP="00E27756">
      <w:pPr>
        <w:pStyle w:val="SangriaFrancesaArticulo"/>
      </w:pPr>
      <w:r w:rsidRPr="00E27756">
        <w:rPr>
          <w:rStyle w:val="TextoNormalNegritaCaracter"/>
        </w:rPr>
        <w:t>Artículo 44.1.</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t>Artículo 44.4.</w:t>
      </w:r>
      <w:r w:rsidRPr="00E27756">
        <w:rPr>
          <w:rStyle w:val="TextoNormalCaracter"/>
        </w:rPr>
        <w:t>-</w:t>
      </w:r>
      <w:r>
        <w:t xml:space="preserve"> Sentencia </w:t>
      </w:r>
      <w:hyperlink w:anchor="SENTENCIA_2013_102" w:history="1">
        <w:r w:rsidRPr="00E27756">
          <w:rPr>
            <w:rStyle w:val="TextoNormalCaracter"/>
          </w:rPr>
          <w:t>102/2013</w:t>
        </w:r>
      </w:hyperlink>
      <w:r>
        <w:t>, ff. 1 a 3, 8.</w:t>
      </w:r>
    </w:p>
    <w:p w:rsidR="00E27756" w:rsidRDefault="00E27756" w:rsidP="00E27756">
      <w:pPr>
        <w:pStyle w:val="SangriaFrancesaArticulo"/>
      </w:pPr>
      <w:r w:rsidRPr="00E27756">
        <w:rPr>
          <w:rStyle w:val="TextoNormalNegritaCaracter"/>
        </w:rPr>
        <w:t>Artículo 44.4.1.</w:t>
      </w:r>
      <w:r w:rsidRPr="00E27756">
        <w:rPr>
          <w:rStyle w:val="TextoNormalCaracter"/>
        </w:rPr>
        <w:t>-</w:t>
      </w:r>
      <w:r>
        <w:t xml:space="preserve"> Sentencia </w:t>
      </w:r>
      <w:hyperlink w:anchor="SENTENCIA_2013_102" w:history="1">
        <w:r w:rsidRPr="00E27756">
          <w:rPr>
            <w:rStyle w:val="TextoNormalCaracter"/>
          </w:rPr>
          <w:t>102/2013</w:t>
        </w:r>
      </w:hyperlink>
      <w:r>
        <w:t>, f. 4.</w:t>
      </w:r>
    </w:p>
    <w:p w:rsidR="00E27756" w:rsidRDefault="00E27756" w:rsidP="00E27756">
      <w:pPr>
        <w:pStyle w:val="SangriaFrancesaArticulo"/>
      </w:pPr>
      <w:r w:rsidRPr="00E27756">
        <w:rPr>
          <w:rStyle w:val="TextoNormalNegritaCaracter"/>
        </w:rPr>
        <w:t>Artículo 44.4.2.</w:t>
      </w:r>
      <w:r w:rsidRPr="00E27756">
        <w:rPr>
          <w:rStyle w:val="TextoNormalCaracter"/>
        </w:rPr>
        <w:t>-</w:t>
      </w:r>
      <w:r>
        <w:t xml:space="preserve"> Sentencia </w:t>
      </w:r>
      <w:hyperlink w:anchor="SENTENCIA_2013_102" w:history="1">
        <w:r w:rsidRPr="00E27756">
          <w:rPr>
            <w:rStyle w:val="TextoNormalCaracter"/>
          </w:rPr>
          <w:t>102/2013</w:t>
        </w:r>
      </w:hyperlink>
      <w:r>
        <w:t>, f. 4.</w:t>
      </w:r>
    </w:p>
    <w:p w:rsidR="00E27756" w:rsidRDefault="00E27756" w:rsidP="00E27756">
      <w:pPr>
        <w:pStyle w:val="SangriaFrancesaArticulo"/>
      </w:pPr>
      <w:r w:rsidRPr="00E27756">
        <w:rPr>
          <w:rStyle w:val="TextoNormalNegritaCaracter"/>
        </w:rPr>
        <w:t>Artículo 44.4.3.</w:t>
      </w:r>
      <w:r w:rsidRPr="00E27756">
        <w:rPr>
          <w:rStyle w:val="TextoNormalCaracter"/>
        </w:rPr>
        <w:t>-</w:t>
      </w:r>
      <w:r>
        <w:t xml:space="preserve"> Sentencia </w:t>
      </w:r>
      <w:hyperlink w:anchor="SENTENCIA_2013_102" w:history="1">
        <w:r w:rsidRPr="00E27756">
          <w:rPr>
            <w:rStyle w:val="TextoNormalCaracter"/>
          </w:rPr>
          <w:t>102/2013</w:t>
        </w:r>
      </w:hyperlink>
      <w:r>
        <w:t>, f. 4.</w:t>
      </w:r>
    </w:p>
    <w:p w:rsidR="00E27756" w:rsidRDefault="00E27756" w:rsidP="00E27756">
      <w:pPr>
        <w:pStyle w:val="SangriaFrancesaArticulo"/>
      </w:pPr>
      <w:r w:rsidRPr="00E27756">
        <w:rPr>
          <w:rStyle w:val="TextoNormalNegritaCaracter"/>
        </w:rPr>
        <w:t>Artículo 44.4.3 a).</w:t>
      </w:r>
      <w:r w:rsidRPr="00E27756">
        <w:rPr>
          <w:rStyle w:val="TextoNormalCaracter"/>
        </w:rPr>
        <w:t>-</w:t>
      </w:r>
      <w:r>
        <w:t xml:space="preserve"> Sentencia </w:t>
      </w:r>
      <w:hyperlink w:anchor="SENTENCIA_2013_102" w:history="1">
        <w:r w:rsidRPr="00E27756">
          <w:rPr>
            <w:rStyle w:val="TextoNormalCaracter"/>
          </w:rPr>
          <w:t>102/2013</w:t>
        </w:r>
      </w:hyperlink>
      <w:r>
        <w:t>, f. 4.</w:t>
      </w:r>
    </w:p>
    <w:p w:rsidR="00E27756" w:rsidRDefault="00E27756" w:rsidP="00E27756">
      <w:pPr>
        <w:pStyle w:val="SangriaFrancesaArticulo"/>
      </w:pPr>
      <w:r w:rsidRPr="00E27756">
        <w:rPr>
          <w:rStyle w:val="TextoNormalNegritaCaracter"/>
        </w:rPr>
        <w:t>Artículo 44.4.3 b).</w:t>
      </w:r>
      <w:r w:rsidRPr="00E27756">
        <w:rPr>
          <w:rStyle w:val="TextoNormalCaracter"/>
        </w:rPr>
        <w:t>-</w:t>
      </w:r>
      <w:r>
        <w:t xml:space="preserve"> Sentencia </w:t>
      </w:r>
      <w:hyperlink w:anchor="SENTENCIA_2013_102" w:history="1">
        <w:r w:rsidRPr="00E27756">
          <w:rPr>
            <w:rStyle w:val="TextoNormalCaracter"/>
          </w:rPr>
          <w:t>102/2013</w:t>
        </w:r>
      </w:hyperlink>
      <w:r>
        <w:t>, f. 4.</w:t>
      </w:r>
    </w:p>
    <w:p w:rsidR="00E27756" w:rsidRDefault="00E27756" w:rsidP="00E27756">
      <w:pPr>
        <w:pStyle w:val="SangriaFrancesaArticulo"/>
      </w:pPr>
      <w:r w:rsidRPr="00E27756">
        <w:rPr>
          <w:rStyle w:val="TextoNormalNegritaCaracter"/>
        </w:rPr>
        <w:t>Artículo 44.4.3 h).</w:t>
      </w:r>
      <w:r w:rsidRPr="00E27756">
        <w:rPr>
          <w:rStyle w:val="TextoNormalCaracter"/>
        </w:rPr>
        <w:t>-</w:t>
      </w:r>
      <w:r>
        <w:t xml:space="preserve"> Sentencia </w:t>
      </w:r>
      <w:hyperlink w:anchor="SENTENCIA_2013_102" w:history="1">
        <w:r w:rsidRPr="00E27756">
          <w:rPr>
            <w:rStyle w:val="TextoNormalCaracter"/>
          </w:rPr>
          <w:t>102/2013</w:t>
        </w:r>
      </w:hyperlink>
      <w:r>
        <w:t>, f. 4.</w:t>
      </w:r>
    </w:p>
    <w:p w:rsidR="00E27756" w:rsidRDefault="00E27756" w:rsidP="00E27756">
      <w:pPr>
        <w:pStyle w:val="SangriaFrancesaArticulo"/>
      </w:pPr>
      <w:r w:rsidRPr="00E27756">
        <w:rPr>
          <w:rStyle w:val="TextoNormalNegritaCaracter"/>
        </w:rPr>
        <w:t>Artículo 44.5.</w:t>
      </w:r>
      <w:r w:rsidRPr="00E27756">
        <w:rPr>
          <w:rStyle w:val="TextoNormalCaracter"/>
        </w:rPr>
        <w:t>-</w:t>
      </w:r>
      <w:r>
        <w:t xml:space="preserve"> Sentencia </w:t>
      </w:r>
      <w:hyperlink w:anchor="SENTENCIA_2013_102" w:history="1">
        <w:r w:rsidRPr="00E27756">
          <w:rPr>
            <w:rStyle w:val="TextoNormalCaracter"/>
          </w:rPr>
          <w:t>102/2013</w:t>
        </w:r>
      </w:hyperlink>
      <w:r>
        <w:t>, ff. 2, 5.</w:t>
      </w:r>
    </w:p>
    <w:p w:rsidR="00E27756" w:rsidRDefault="00E27756" w:rsidP="00E27756">
      <w:pPr>
        <w:pStyle w:val="SangriaFrancesaArticulo"/>
      </w:pPr>
      <w:r w:rsidRPr="00E27756">
        <w:rPr>
          <w:rStyle w:val="TextoNormalNegritaCaracter"/>
        </w:rPr>
        <w:t>Artículo 45.1.</w:t>
      </w:r>
      <w:r w:rsidRPr="00E27756">
        <w:rPr>
          <w:rStyle w:val="TextoNormalCaracter"/>
        </w:rPr>
        <w:t>-</w:t>
      </w:r>
      <w:r>
        <w:t xml:space="preserve"> Sentencia </w:t>
      </w:r>
      <w:hyperlink w:anchor="SENTENCIA_2013_102" w:history="1">
        <w:r w:rsidRPr="00E27756">
          <w:rPr>
            <w:rStyle w:val="TextoNormalCaracter"/>
          </w:rPr>
          <w:t>102/2013</w:t>
        </w:r>
      </w:hyperlink>
      <w:r>
        <w:t>, f. 4.</w:t>
      </w:r>
    </w:p>
    <w:p w:rsidR="00E27756" w:rsidRDefault="00E27756" w:rsidP="00E27756">
      <w:pPr>
        <w:pStyle w:val="SangriaFrancesaArticulo"/>
      </w:pPr>
      <w:r w:rsidRPr="00E27756">
        <w:rPr>
          <w:rStyle w:val="TextoNormalNegritaCaracter"/>
        </w:rPr>
        <w:t>Artículo 48.1.</w:t>
      </w:r>
      <w:r w:rsidRPr="00E27756">
        <w:rPr>
          <w:rStyle w:val="TextoNormalCaracter"/>
        </w:rPr>
        <w:t>-</w:t>
      </w:r>
      <w:r>
        <w:t xml:space="preserve"> Sentencia </w:t>
      </w:r>
      <w:hyperlink w:anchor="SENTENCIA_2013_4" w:history="1">
        <w:r w:rsidRPr="00E27756">
          <w:rPr>
            <w:rStyle w:val="TextoNormalCaracter"/>
          </w:rPr>
          <w:t>4/2013</w:t>
        </w:r>
      </w:hyperlink>
      <w:r>
        <w:t>, ff. 4, 10.</w:t>
      </w:r>
    </w:p>
    <w:p w:rsidR="00E27756" w:rsidRDefault="00E27756" w:rsidP="00E27756">
      <w:pPr>
        <w:pStyle w:val="SangriaFrancesaArticulo"/>
      </w:pPr>
      <w:r w:rsidRPr="00E27756">
        <w:rPr>
          <w:rStyle w:val="TextoNormalNegritaCaracter"/>
        </w:rPr>
        <w:t>Artículo 48.4.</w:t>
      </w:r>
      <w:r w:rsidRPr="00E27756">
        <w:rPr>
          <w:rStyle w:val="TextoNormalCaracter"/>
        </w:rPr>
        <w:t>-</w:t>
      </w:r>
      <w:r>
        <w:t xml:space="preserve"> Sentencia </w:t>
      </w:r>
      <w:hyperlink w:anchor="SENTENCIA_2013_4" w:history="1">
        <w:r w:rsidRPr="00E27756">
          <w:rPr>
            <w:rStyle w:val="TextoNormalCaracter"/>
          </w:rPr>
          <w:t>4/2013</w:t>
        </w:r>
      </w:hyperlink>
      <w:r>
        <w:t>, ff. 4, 7, 8.</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Sentencia </w:t>
      </w:r>
      <w:hyperlink w:anchor="SENTENCIA_2013_123" w:history="1">
        <w:r w:rsidRPr="00E27756">
          <w:rPr>
            <w:rStyle w:val="TextoNormalCaracter"/>
          </w:rPr>
          <w:t>123/2013</w:t>
        </w:r>
      </w:hyperlink>
      <w:r>
        <w:t>, f. 4.</w:t>
      </w:r>
    </w:p>
    <w:p w:rsidR="00E27756" w:rsidRDefault="00E27756" w:rsidP="00E27756">
      <w:pPr>
        <w:pStyle w:val="SangriaFrancesaArticulo"/>
      </w:pPr>
      <w:r w:rsidRPr="00E27756">
        <w:rPr>
          <w:rStyle w:val="TextoNormalNegritaCaracter"/>
        </w:rPr>
        <w:t>Disposición adicional quinta.</w:t>
      </w:r>
      <w:r w:rsidRPr="00E27756">
        <w:rPr>
          <w:rStyle w:val="TextoNormalCaracter"/>
        </w:rPr>
        <w:t>-</w:t>
      </w:r>
      <w:r>
        <w:t xml:space="preserve"> Sentencia </w:t>
      </w:r>
      <w:hyperlink w:anchor="SENTENCIA_2013_13" w:history="1">
        <w:r w:rsidRPr="00E27756">
          <w:rPr>
            <w:rStyle w:val="TextoNormalCaracter"/>
          </w:rPr>
          <w:t>13/2013</w:t>
        </w:r>
      </w:hyperlink>
      <w:r>
        <w:t>, f. 3.</w:t>
      </w:r>
    </w:p>
    <w:p w:rsidR="00E27756" w:rsidRDefault="00E27756" w:rsidP="00E27756">
      <w:pPr>
        <w:pStyle w:val="SangriaFrancesaArticulo"/>
      </w:pPr>
      <w:r w:rsidRPr="00E27756">
        <w:rPr>
          <w:rStyle w:val="TextoNormalNegritaCaracter"/>
        </w:rPr>
        <w:t>Disposición adicional decimoquinta, apartado 3</w:t>
      </w:r>
      <w:r>
        <w:t xml:space="preserve"> </w:t>
      </w:r>
      <w:r w:rsidRPr="00E27756">
        <w:rPr>
          <w:rStyle w:val="TextoNormalCaracter"/>
        </w:rPr>
        <w:t>(redactada por la Ley 34/1998, de 7 de octubre)</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6.</w:t>
      </w:r>
    </w:p>
    <w:p w:rsidR="00E27756" w:rsidRDefault="00E27756" w:rsidP="00E27756">
      <w:pPr>
        <w:pStyle w:val="SangriaFrancesaArticulo"/>
      </w:pPr>
      <w:r w:rsidRPr="00E27756">
        <w:rPr>
          <w:rStyle w:val="TextoNormalNegritaCaracter"/>
        </w:rPr>
        <w:t>Disposición transitoria novena.</w:t>
      </w:r>
      <w:r w:rsidRPr="00E27756">
        <w:rPr>
          <w:rStyle w:val="TextoNormalCaracter"/>
        </w:rPr>
        <w:t>-</w:t>
      </w:r>
      <w:r>
        <w:t xml:space="preserve"> Sentencia </w:t>
      </w:r>
      <w:hyperlink w:anchor="SENTENCIA_2013_123" w:history="1">
        <w:r w:rsidRPr="00E27756">
          <w:rPr>
            <w:rStyle w:val="TextoNormalCaracter"/>
          </w:rPr>
          <w:t>123/2013</w:t>
        </w:r>
      </w:hyperlink>
      <w:r>
        <w:t>, f. 6.</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Sentencias </w:t>
      </w:r>
      <w:hyperlink w:anchor="SENTENCIA_2013_4" w:history="1">
        <w:r w:rsidRPr="00E27756">
          <w:rPr>
            <w:rStyle w:val="TextoNormalCaracter"/>
          </w:rPr>
          <w:t>4/2013</w:t>
        </w:r>
      </w:hyperlink>
      <w:r>
        <w:t xml:space="preserve">, f. 5; </w:t>
      </w:r>
      <w:hyperlink w:anchor="SENTENCIA_2013_102" w:history="1">
        <w:r w:rsidRPr="00E27756">
          <w:rPr>
            <w:rStyle w:val="TextoNormalCaracter"/>
          </w:rPr>
          <w:t>102/2013</w:t>
        </w:r>
      </w:hyperlink>
      <w:r>
        <w:t xml:space="preserve">, f. 3; </w:t>
      </w:r>
      <w:hyperlink w:anchor="SENTENCIA_2013_123" w:history="1">
        <w:r w:rsidRPr="00E27756">
          <w:rPr>
            <w:rStyle w:val="TextoNormalCaracter"/>
          </w:rPr>
          <w:t>123/2013</w:t>
        </w:r>
      </w:hyperlink>
      <w:r>
        <w:t>, ff. 3, 6.</w:t>
      </w:r>
    </w:p>
    <w:p w:rsidR="00E27756" w:rsidRDefault="00E27756" w:rsidP="00E27756">
      <w:pPr>
        <w:pStyle w:val="SangriaFrancesaArticulo"/>
      </w:pPr>
    </w:p>
    <w:p w:rsidR="00E27756" w:rsidRDefault="00E27756" w:rsidP="00E27756">
      <w:pPr>
        <w:pStyle w:val="TextoNormalNegritaCursivandice"/>
      </w:pPr>
      <w:r>
        <w:lastRenderedPageBreak/>
        <w:t>Ley 6/1998, de 13 de abril. Régimen del suelo y valoraciones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4" w:history="1">
        <w:r w:rsidRPr="00E27756">
          <w:rPr>
            <w:rStyle w:val="TextoNormalCaracter"/>
          </w:rPr>
          <w:t>94/2013</w:t>
        </w:r>
      </w:hyperlink>
      <w:r>
        <w:t>, f. 8.</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94" w:history="1">
        <w:r w:rsidRPr="00E27756">
          <w:rPr>
            <w:rStyle w:val="TextoNormalCaracter"/>
          </w:rPr>
          <w:t>94/2013</w:t>
        </w:r>
      </w:hyperlink>
      <w:r>
        <w:t>, f. 8.</w:t>
      </w:r>
    </w:p>
    <w:p w:rsidR="00E27756" w:rsidRDefault="00E27756" w:rsidP="00E27756">
      <w:pPr>
        <w:pStyle w:val="SangriaFrancesaArticulo"/>
      </w:pPr>
      <w:r w:rsidRPr="00E27756">
        <w:rPr>
          <w:rStyle w:val="TextoNormalNegritaCaracter"/>
        </w:rPr>
        <w:t>Artículo 44.2.</w:t>
      </w:r>
      <w:r w:rsidRPr="00E27756">
        <w:rPr>
          <w:rStyle w:val="TextoNormalCaracter"/>
        </w:rPr>
        <w:t>-</w:t>
      </w:r>
      <w:r>
        <w:t xml:space="preserve"> Sentencia </w:t>
      </w:r>
      <w:hyperlink w:anchor="SENTENCIA_2013_92" w:history="1">
        <w:r w:rsidRPr="00E27756">
          <w:rPr>
            <w:rStyle w:val="TextoNormalCaracter"/>
          </w:rPr>
          <w:t>92/2013</w:t>
        </w:r>
      </w:hyperlink>
      <w:r>
        <w:t>, f. 5.</w:t>
      </w:r>
    </w:p>
    <w:p w:rsidR="00E27756" w:rsidRDefault="00E27756" w:rsidP="00E27756">
      <w:pPr>
        <w:pStyle w:val="SangriaFrancesaArticulo"/>
      </w:pPr>
    </w:p>
    <w:p w:rsidR="00E27756" w:rsidRDefault="00E27756" w:rsidP="00E27756">
      <w:pPr>
        <w:pStyle w:val="TextoNormalNegritaCursivandice"/>
      </w:pPr>
      <w:r>
        <w:t>Ley 10/1998, de 21 de abril. Residuos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04" w:history="1">
        <w:r w:rsidRPr="00E27756">
          <w:rPr>
            <w:rStyle w:val="TextoNormalCaracter"/>
          </w:rPr>
          <w:t>104/2013</w:t>
        </w:r>
      </w:hyperlink>
      <w:r>
        <w:t xml:space="preserve">, f. 2; </w:t>
      </w:r>
      <w:hyperlink w:anchor="SENTENCIA_2013_111" w:history="1">
        <w:r w:rsidRPr="00E27756">
          <w:rPr>
            <w:rStyle w:val="TextoNormalCaracter"/>
          </w:rPr>
          <w:t>111/2013</w:t>
        </w:r>
      </w:hyperlink>
      <w:r>
        <w:t>, f. 2.</w:t>
      </w:r>
    </w:p>
    <w:p w:rsidR="00E27756" w:rsidRDefault="00E27756" w:rsidP="00E27756">
      <w:pPr>
        <w:pStyle w:val="SangriaFrancesaArticulo"/>
      </w:pPr>
      <w:r w:rsidRPr="00E27756">
        <w:rPr>
          <w:rStyle w:val="TextoNormalNegritaCaracter"/>
        </w:rPr>
        <w:t>Artículo 27.</w:t>
      </w:r>
      <w:r w:rsidRPr="00E27756">
        <w:rPr>
          <w:rStyle w:val="TextoNormalCaracter"/>
        </w:rPr>
        <w:t>-</w:t>
      </w:r>
      <w:r>
        <w:t xml:space="preserve"> Sentencia </w:t>
      </w:r>
      <w:hyperlink w:anchor="SENTENCIA_2013_111" w:history="1">
        <w:r w:rsidRPr="00E27756">
          <w:rPr>
            <w:rStyle w:val="TextoNormalCaracter"/>
          </w:rPr>
          <w:t>111/2013</w:t>
        </w:r>
      </w:hyperlink>
      <w:r>
        <w:t>, f. 2.</w:t>
      </w:r>
    </w:p>
    <w:p w:rsidR="00E27756" w:rsidRDefault="00E27756" w:rsidP="00E27756">
      <w:pPr>
        <w:pStyle w:val="SangriaFrancesaArticulo"/>
      </w:pPr>
      <w:r w:rsidRPr="00E27756">
        <w:rPr>
          <w:rStyle w:val="TextoNormalNegritaCaracter"/>
        </w:rPr>
        <w:t>Artículo 27</w:t>
      </w:r>
      <w:r>
        <w:t xml:space="preserve"> </w:t>
      </w:r>
      <w:r w:rsidRPr="00E27756">
        <w:rPr>
          <w:rStyle w:val="TextoNormalCaracter"/>
        </w:rPr>
        <w:t>(redactado por el Real Decreto 9/2005, de 14 de enero)</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r w:rsidRPr="00E27756">
        <w:rPr>
          <w:rStyle w:val="TextoNormalNegritaCaracter"/>
        </w:rPr>
        <w:t>Artículo 27.2</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11" w:history="1">
        <w:r w:rsidRPr="00E27756">
          <w:rPr>
            <w:rStyle w:val="TextoNormalCaracter"/>
          </w:rPr>
          <w:t>111/2013</w:t>
        </w:r>
      </w:hyperlink>
      <w:r>
        <w:t>, f. 4.</w:t>
      </w:r>
    </w:p>
    <w:p w:rsidR="00E27756" w:rsidRDefault="00E27756" w:rsidP="00E27756">
      <w:pPr>
        <w:pStyle w:val="SangriaFrancesaArticulo"/>
      </w:pPr>
      <w:r w:rsidRPr="00E27756">
        <w:rPr>
          <w:rStyle w:val="TextoNormalNegritaCaracter"/>
        </w:rPr>
        <w:t>Artículo 27.4.</w:t>
      </w:r>
      <w:r w:rsidRPr="00E27756">
        <w:rPr>
          <w:rStyle w:val="TextoNormalCaracter"/>
        </w:rPr>
        <w:t>-</w:t>
      </w:r>
      <w:r>
        <w:t xml:space="preserve"> Sentencia </w:t>
      </w:r>
      <w:hyperlink w:anchor="SENTENCIA_2013_111" w:history="1">
        <w:r w:rsidRPr="00E27756">
          <w:rPr>
            <w:rStyle w:val="TextoNormalCaracter"/>
          </w:rPr>
          <w:t>111/2013</w:t>
        </w:r>
      </w:hyperlink>
      <w:r>
        <w:t>, f. 4.</w:t>
      </w:r>
    </w:p>
    <w:p w:rsidR="00E27756" w:rsidRDefault="00E27756" w:rsidP="00E27756">
      <w:pPr>
        <w:pStyle w:val="SangriaFrancesaArticulo"/>
      </w:pPr>
      <w:r w:rsidRPr="00E27756">
        <w:rPr>
          <w:rStyle w:val="TextoNormalNegritaCaracter"/>
        </w:rPr>
        <w:t>Artículo 27.4.2</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Sentencias </w:t>
      </w:r>
      <w:hyperlink w:anchor="SENTENCIA_2013_104" w:history="1">
        <w:r w:rsidRPr="00E27756">
          <w:rPr>
            <w:rStyle w:val="TextoNormalCaracter"/>
          </w:rPr>
          <w:t>104/2013</w:t>
        </w:r>
      </w:hyperlink>
      <w:r>
        <w:t xml:space="preserve">, ff. 1, 2, 8; </w:t>
      </w:r>
      <w:hyperlink w:anchor="SENTENCIA_2013_111" w:history="1">
        <w:r w:rsidRPr="00E27756">
          <w:rPr>
            <w:rStyle w:val="TextoNormalCaracter"/>
          </w:rPr>
          <w:t>111/2013</w:t>
        </w:r>
      </w:hyperlink>
      <w:r>
        <w:t>, ff. 1, 2.</w:t>
      </w:r>
    </w:p>
    <w:p w:rsidR="00E27756" w:rsidRDefault="00E27756" w:rsidP="00E27756">
      <w:pPr>
        <w:pStyle w:val="SangriaFrancesaArticulo"/>
      </w:pPr>
    </w:p>
    <w:p w:rsidR="00E27756" w:rsidRDefault="00E27756" w:rsidP="00E27756">
      <w:pPr>
        <w:pStyle w:val="TextoNormalNegritaCursivandice"/>
      </w:pPr>
      <w:r>
        <w:t>Ley 29/1998, de 13 de julio. Jurisdicción contencioso-administrativa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76" w:history="1">
        <w:r w:rsidRPr="00E27756">
          <w:rPr>
            <w:rStyle w:val="TextoNormalCaracter"/>
          </w:rPr>
          <w:t>76/2013</w:t>
        </w:r>
      </w:hyperlink>
      <w:r>
        <w:t>, f. 3.</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Auto </w:t>
      </w:r>
      <w:hyperlink w:anchor="AUTO_2013_42" w:history="1">
        <w:r w:rsidRPr="00E27756">
          <w:rPr>
            <w:rStyle w:val="TextoNormalCaracter"/>
          </w:rPr>
          <w:t>42/2013</w:t>
        </w:r>
      </w:hyperlink>
      <w:r>
        <w:t>, f. único.</w:t>
      </w:r>
    </w:p>
    <w:p w:rsidR="00E27756" w:rsidRDefault="00E27756" w:rsidP="00E27756">
      <w:pPr>
        <w:pStyle w:val="SangriaFrancesaArticulo"/>
      </w:pPr>
      <w:r w:rsidRPr="00E27756">
        <w:rPr>
          <w:rStyle w:val="TextoNormalNegritaCaracter"/>
        </w:rPr>
        <w:t>Artículo 45.2 d).</w:t>
      </w:r>
      <w:r w:rsidRPr="00E27756">
        <w:rPr>
          <w:rStyle w:val="TextoNormalCaracter"/>
        </w:rPr>
        <w:t>-</w:t>
      </w:r>
      <w:r>
        <w:t xml:space="preserve"> Sentencias </w:t>
      </w:r>
      <w:hyperlink w:anchor="SENTENCIA_2013_60" w:history="1">
        <w:r w:rsidRPr="00E27756">
          <w:rPr>
            <w:rStyle w:val="TextoNormalCaracter"/>
          </w:rPr>
          <w:t>60/2013</w:t>
        </w:r>
      </w:hyperlink>
      <w:r>
        <w:t xml:space="preserve">, f. 1; </w:t>
      </w:r>
      <w:hyperlink w:anchor="SENTENCIA_2013_126" w:history="1">
        <w:r w:rsidRPr="00E27756">
          <w:rPr>
            <w:rStyle w:val="TextoNormalCaracter"/>
          </w:rPr>
          <w:t>126/2013</w:t>
        </w:r>
      </w:hyperlink>
      <w:r>
        <w:t>, f. 2.</w:t>
      </w:r>
    </w:p>
    <w:p w:rsidR="00E27756" w:rsidRDefault="00E27756" w:rsidP="00E27756">
      <w:pPr>
        <w:pStyle w:val="SangriaFrancesaArticulo"/>
      </w:pPr>
      <w:r w:rsidRPr="00E27756">
        <w:rPr>
          <w:rStyle w:val="TextoNormalNegritaCaracter"/>
        </w:rPr>
        <w:t>Artículo 49.1.</w:t>
      </w:r>
      <w:r w:rsidRPr="00E27756">
        <w:rPr>
          <w:rStyle w:val="TextoNormalCaracter"/>
        </w:rPr>
        <w:t>-</w:t>
      </w:r>
      <w:r>
        <w:t xml:space="preserve"> Sentencia </w:t>
      </w:r>
      <w:hyperlink w:anchor="SENTENCIA_2013_76" w:history="1">
        <w:r w:rsidRPr="00E27756">
          <w:rPr>
            <w:rStyle w:val="TextoNormalCaracter"/>
          </w:rPr>
          <w:t>76/2013</w:t>
        </w:r>
      </w:hyperlink>
      <w:r>
        <w:t>, f. 4.</w:t>
      </w:r>
    </w:p>
    <w:p w:rsidR="00E27756" w:rsidRDefault="00E27756" w:rsidP="00E27756">
      <w:pPr>
        <w:pStyle w:val="SangriaFrancesaArticulo"/>
      </w:pPr>
      <w:r w:rsidRPr="00E27756">
        <w:rPr>
          <w:rStyle w:val="TextoNormalNegritaCaracter"/>
        </w:rPr>
        <w:t>Artículo 49.4.</w:t>
      </w:r>
      <w:r w:rsidRPr="00E27756">
        <w:rPr>
          <w:rStyle w:val="TextoNormalCaracter"/>
        </w:rPr>
        <w:t>-</w:t>
      </w:r>
      <w:r>
        <w:t xml:space="preserve"> Sentencia </w:t>
      </w:r>
      <w:hyperlink w:anchor="SENTENCIA_2013_76" w:history="1">
        <w:r w:rsidRPr="00E27756">
          <w:rPr>
            <w:rStyle w:val="TextoNormalCaracter"/>
          </w:rPr>
          <w:t>76/2013</w:t>
        </w:r>
      </w:hyperlink>
      <w:r>
        <w:t>, f. 4.</w:t>
      </w:r>
    </w:p>
    <w:p w:rsidR="00E27756" w:rsidRDefault="00E27756" w:rsidP="00E27756">
      <w:pPr>
        <w:pStyle w:val="SangriaFrancesaArticulo"/>
      </w:pPr>
      <w:r w:rsidRPr="00E27756">
        <w:rPr>
          <w:rStyle w:val="TextoNormalNegritaCaracter"/>
        </w:rPr>
        <w:t>Artículo 69 b).</w:t>
      </w:r>
      <w:r w:rsidRPr="00E27756">
        <w:rPr>
          <w:rStyle w:val="TextoNormalCaracter"/>
        </w:rPr>
        <w:t>-</w:t>
      </w:r>
      <w:r>
        <w:t xml:space="preserve"> Sentencia </w:t>
      </w:r>
      <w:hyperlink w:anchor="SENTENCIA_2013_60" w:history="1">
        <w:r w:rsidRPr="00E27756">
          <w:rPr>
            <w:rStyle w:val="TextoNormalCaracter"/>
          </w:rPr>
          <w:t>60/2013</w:t>
        </w:r>
      </w:hyperlink>
      <w:r>
        <w:t>, f. 1.</w:t>
      </w:r>
    </w:p>
    <w:p w:rsidR="00E27756" w:rsidRDefault="00E27756" w:rsidP="00E27756">
      <w:pPr>
        <w:pStyle w:val="SangriaFrancesaArticulo"/>
      </w:pPr>
      <w:r w:rsidRPr="00E27756">
        <w:rPr>
          <w:rStyle w:val="TextoNormalNegritaCaracter"/>
        </w:rPr>
        <w:t>Artículo 103.</w:t>
      </w:r>
      <w:r w:rsidRPr="00E27756">
        <w:rPr>
          <w:rStyle w:val="TextoNormalCaracter"/>
        </w:rPr>
        <w:t>-</w:t>
      </w:r>
      <w:r>
        <w:t xml:space="preserve"> Sentencia </w:t>
      </w:r>
      <w:hyperlink w:anchor="SENTENCIA_2013_92" w:history="1">
        <w:r w:rsidRPr="00E27756">
          <w:rPr>
            <w:rStyle w:val="TextoNormalCaracter"/>
          </w:rPr>
          <w:t>92/2013</w:t>
        </w:r>
      </w:hyperlink>
      <w:r>
        <w:t>, f. 5.</w:t>
      </w:r>
    </w:p>
    <w:p w:rsidR="00E27756" w:rsidRDefault="00E27756" w:rsidP="00E27756">
      <w:pPr>
        <w:pStyle w:val="SangriaFrancesaArticulo"/>
      </w:pPr>
      <w:r w:rsidRPr="00E27756">
        <w:rPr>
          <w:rStyle w:val="TextoNormalNegritaCaracter"/>
        </w:rPr>
        <w:t>Artículo 103.4.</w:t>
      </w:r>
      <w:r w:rsidRPr="00E27756">
        <w:rPr>
          <w:rStyle w:val="TextoNormalCaracter"/>
        </w:rPr>
        <w:t>-</w:t>
      </w:r>
      <w:r>
        <w:t xml:space="preserve"> Sentencia </w:t>
      </w:r>
      <w:hyperlink w:anchor="SENTENCIA_2013_76" w:history="1">
        <w:r w:rsidRPr="00E27756">
          <w:rPr>
            <w:rStyle w:val="TextoNormalCaracter"/>
          </w:rPr>
          <w:t>76/2013</w:t>
        </w:r>
      </w:hyperlink>
      <w:r>
        <w:t>, f. 1.</w:t>
      </w:r>
    </w:p>
    <w:p w:rsidR="00E27756" w:rsidRDefault="00E27756" w:rsidP="00E27756">
      <w:pPr>
        <w:pStyle w:val="SangriaFrancesaArticulo"/>
      </w:pPr>
      <w:r w:rsidRPr="00E27756">
        <w:rPr>
          <w:rStyle w:val="TextoNormalNegritaCaracter"/>
        </w:rPr>
        <w:t>Artículo 105.</w:t>
      </w:r>
      <w:r w:rsidRPr="00E27756">
        <w:rPr>
          <w:rStyle w:val="TextoNormalCaracter"/>
        </w:rPr>
        <w:t>-</w:t>
      </w:r>
      <w:r>
        <w:t xml:space="preserve"> Autos </w:t>
      </w:r>
      <w:hyperlink w:anchor="AUTO_2013_30" w:history="1">
        <w:r w:rsidRPr="00E27756">
          <w:rPr>
            <w:rStyle w:val="TextoNormalCaracter"/>
          </w:rPr>
          <w:t>30/2013</w:t>
        </w:r>
      </w:hyperlink>
      <w:r>
        <w:t xml:space="preserve">, f. 1; </w:t>
      </w:r>
      <w:hyperlink w:anchor="AUTO_2013_31" w:history="1">
        <w:r w:rsidRPr="00E27756">
          <w:rPr>
            <w:rStyle w:val="TextoNormalCaracter"/>
          </w:rPr>
          <w:t>31/2013</w:t>
        </w:r>
      </w:hyperlink>
      <w:r>
        <w:t xml:space="preserve">, f. 1; </w:t>
      </w:r>
      <w:hyperlink w:anchor="AUTO_2013_32" w:history="1">
        <w:r w:rsidRPr="00E27756">
          <w:rPr>
            <w:rStyle w:val="TextoNormalCaracter"/>
          </w:rPr>
          <w:t>32/2013</w:t>
        </w:r>
      </w:hyperlink>
      <w:r>
        <w:t>, f. 1.</w:t>
      </w:r>
    </w:p>
    <w:p w:rsidR="00E27756" w:rsidRDefault="00E27756" w:rsidP="00E27756">
      <w:pPr>
        <w:pStyle w:val="SangriaFrancesaArticulo"/>
      </w:pPr>
      <w:r w:rsidRPr="00E27756">
        <w:rPr>
          <w:rStyle w:val="TextoNormalNegritaCaracter"/>
        </w:rPr>
        <w:t>Artículo 132.1.</w:t>
      </w:r>
      <w:r w:rsidRPr="00E27756">
        <w:rPr>
          <w:rStyle w:val="TextoNormalCaracter"/>
        </w:rPr>
        <w:t>-</w:t>
      </w:r>
      <w:r>
        <w:t xml:space="preserve"> Autos </w:t>
      </w:r>
      <w:hyperlink w:anchor="AUTO_2013_85" w:history="1">
        <w:r w:rsidRPr="00E27756">
          <w:rPr>
            <w:rStyle w:val="TextoNormalCaracter"/>
          </w:rPr>
          <w:t>85/2013</w:t>
        </w:r>
      </w:hyperlink>
      <w:r>
        <w:t xml:space="preserve">, f. 2; </w:t>
      </w:r>
      <w:hyperlink w:anchor="AUTO_2013_125" w:history="1">
        <w:r w:rsidRPr="00E27756">
          <w:rPr>
            <w:rStyle w:val="TextoNormalCaracter"/>
          </w:rPr>
          <w:t>125/2013</w:t>
        </w:r>
      </w:hyperlink>
      <w:r>
        <w:t xml:space="preserve">, f. 2; </w:t>
      </w:r>
      <w:hyperlink w:anchor="AUTO_2013_127" w:history="1">
        <w:r w:rsidRPr="00E27756">
          <w:rPr>
            <w:rStyle w:val="TextoNormalCaracter"/>
          </w:rPr>
          <w:t>127/2013</w:t>
        </w:r>
      </w:hyperlink>
      <w:r>
        <w:t xml:space="preserve">, f. 1; </w:t>
      </w:r>
      <w:hyperlink w:anchor="AUTO_2013_128" w:history="1">
        <w:r w:rsidRPr="00E27756">
          <w:rPr>
            <w:rStyle w:val="TextoNormalCaracter"/>
          </w:rPr>
          <w:t>128/2013</w:t>
        </w:r>
      </w:hyperlink>
      <w:r>
        <w:t>, f. 2.</w:t>
      </w:r>
    </w:p>
    <w:p w:rsidR="00E27756" w:rsidRDefault="00E27756" w:rsidP="00E27756">
      <w:pPr>
        <w:pStyle w:val="SangriaFrancesaArticulo"/>
      </w:pPr>
      <w:r w:rsidRPr="00E27756">
        <w:rPr>
          <w:rStyle w:val="TextoNormalNegritaCaracter"/>
        </w:rPr>
        <w:t>Artículo 139.3.</w:t>
      </w:r>
      <w:r w:rsidRPr="00E27756">
        <w:rPr>
          <w:rStyle w:val="TextoNormalCaracter"/>
        </w:rPr>
        <w:t>-</w:t>
      </w:r>
      <w:r>
        <w:t xml:space="preserve"> Sentencia </w:t>
      </w:r>
      <w:hyperlink w:anchor="SENTENCIA_2013_108" w:history="1">
        <w:r w:rsidRPr="00E27756">
          <w:rPr>
            <w:rStyle w:val="TextoNormalCaracter"/>
          </w:rPr>
          <w:t>108/2013</w:t>
        </w:r>
      </w:hyperlink>
      <w:r>
        <w:t>, ff. 4, 5.</w:t>
      </w:r>
    </w:p>
    <w:p w:rsidR="00E27756" w:rsidRDefault="00E27756" w:rsidP="00E27756">
      <w:pPr>
        <w:pStyle w:val="SangriaFrancesaArticulo"/>
      </w:pPr>
    </w:p>
    <w:p w:rsidR="00E27756" w:rsidRDefault="00E27756" w:rsidP="00E27756">
      <w:pPr>
        <w:pStyle w:val="TextoNormalNegritaCursivandice"/>
      </w:pPr>
      <w:r>
        <w:t>Ley 34/1998, de 7 de octubre. Sector de hidrocarburos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 w:history="1">
        <w:r w:rsidRPr="00E27756">
          <w:rPr>
            <w:rStyle w:val="TextoNormalCaracter"/>
          </w:rPr>
          <w:t>8/2013</w:t>
        </w:r>
      </w:hyperlink>
      <w:r>
        <w:t>, ff. 1 a 3.</w:t>
      </w:r>
    </w:p>
    <w:p w:rsidR="00E27756" w:rsidRDefault="00E27756" w:rsidP="00E27756">
      <w:pPr>
        <w:pStyle w:val="SangriaFrancesaArticulo"/>
      </w:pPr>
      <w:r w:rsidRPr="00E27756">
        <w:rPr>
          <w:rStyle w:val="TextoNormalNegritaCaracter"/>
        </w:rPr>
        <w:t>Artículo 3</w:t>
      </w:r>
      <w:r>
        <w:t xml:space="preserve"> </w:t>
      </w:r>
      <w:r w:rsidRPr="00E27756">
        <w:rPr>
          <w:rStyle w:val="TextoNormalCaracter"/>
        </w:rPr>
        <w:t>(redactado por la Ley 25/2009, de 22 de diciembre)</w:t>
      </w:r>
      <w:r w:rsidRPr="00E27756">
        <w:rPr>
          <w:rStyle w:val="TextoNormalNegritaCaracter"/>
        </w:rPr>
        <w:t>.</w:t>
      </w:r>
      <w:r w:rsidRPr="00E27756">
        <w:rPr>
          <w:rStyle w:val="TextoNormalCaracter"/>
        </w:rPr>
        <w:t>-</w:t>
      </w:r>
      <w:r>
        <w:t xml:space="preserve"> Sentencia </w:t>
      </w:r>
      <w:hyperlink w:anchor="SENTENCIA_2013_8" w:history="1">
        <w:r w:rsidRPr="00E27756">
          <w:rPr>
            <w:rStyle w:val="TextoNormalCaracter"/>
          </w:rPr>
          <w:t>8/2013</w:t>
        </w:r>
      </w:hyperlink>
      <w:r>
        <w:t>, f. 2.</w:t>
      </w:r>
    </w:p>
    <w:p w:rsidR="00E27756" w:rsidRDefault="00E27756" w:rsidP="00E27756">
      <w:pPr>
        <w:pStyle w:val="SangriaFrancesaArticulo"/>
      </w:pPr>
      <w:r w:rsidRPr="00E27756">
        <w:rPr>
          <w:rStyle w:val="TextoNormalNegritaCaracter"/>
        </w:rPr>
        <w:t>Artículo 3.2 a).</w:t>
      </w:r>
      <w:r w:rsidRPr="00E27756">
        <w:rPr>
          <w:rStyle w:val="TextoNormalCaracter"/>
        </w:rPr>
        <w:t>-</w:t>
      </w:r>
      <w:r>
        <w:t xml:space="preserve"> Sentencia </w:t>
      </w:r>
      <w:hyperlink w:anchor="SENTENCIA_2013_8" w:history="1">
        <w:r w:rsidRPr="00E27756">
          <w:rPr>
            <w:rStyle w:val="TextoNormalCaracter"/>
          </w:rPr>
          <w:t>8/2013</w:t>
        </w:r>
      </w:hyperlink>
      <w:r>
        <w:t>, ff. 2, 4, 9.</w:t>
      </w:r>
    </w:p>
    <w:p w:rsidR="00E27756" w:rsidRDefault="00E27756" w:rsidP="00E27756">
      <w:pPr>
        <w:pStyle w:val="SangriaFrancesaArticulo"/>
      </w:pPr>
      <w:r w:rsidRPr="00E27756">
        <w:rPr>
          <w:rStyle w:val="TextoNormalNegritaCaracter"/>
        </w:rPr>
        <w:t>Artículo 3.2 b)</w:t>
      </w:r>
      <w:r>
        <w:t xml:space="preserve"> </w:t>
      </w:r>
      <w:r w:rsidRPr="00E27756">
        <w:rPr>
          <w:rStyle w:val="TextoNormalCaracter"/>
        </w:rPr>
        <w:t>(redactado por la Ley 12/2007, de 2 de julio)</w:t>
      </w:r>
      <w:r w:rsidRPr="00E27756">
        <w:rPr>
          <w:rStyle w:val="TextoNormalNegritaCaracter"/>
        </w:rPr>
        <w:t>.</w:t>
      </w:r>
      <w:r w:rsidRPr="00E27756">
        <w:rPr>
          <w:rStyle w:val="TextoNormalCaracter"/>
        </w:rPr>
        <w:t>-</w:t>
      </w:r>
      <w:r>
        <w:t xml:space="preserve"> Sentencia </w:t>
      </w:r>
      <w:hyperlink w:anchor="SENTENCIA_2013_8" w:history="1">
        <w:r w:rsidRPr="00E27756">
          <w:rPr>
            <w:rStyle w:val="TextoNormalCaracter"/>
          </w:rPr>
          <w:t>8/2013</w:t>
        </w:r>
      </w:hyperlink>
      <w:r>
        <w:t>, ff. 1 a 3, 9.</w:t>
      </w:r>
    </w:p>
    <w:p w:rsidR="00E27756" w:rsidRDefault="00E27756" w:rsidP="00E27756">
      <w:pPr>
        <w:pStyle w:val="SangriaFrancesaArticulo"/>
      </w:pPr>
      <w:r w:rsidRPr="00E27756">
        <w:rPr>
          <w:rStyle w:val="TextoNormalNegritaCaracter"/>
        </w:rPr>
        <w:t>Artículo 3.2 c) inciso in fine</w:t>
      </w:r>
      <w:r>
        <w:t xml:space="preserve"> </w:t>
      </w:r>
      <w:r w:rsidRPr="00E27756">
        <w:rPr>
          <w:rStyle w:val="TextoNormalCaracter"/>
        </w:rPr>
        <w:t>(redactado por la Ley 12/2007, de 2 de julio)</w:t>
      </w:r>
      <w:r w:rsidRPr="00E27756">
        <w:rPr>
          <w:rStyle w:val="TextoNormalNegritaCaracter"/>
        </w:rPr>
        <w:t>.</w:t>
      </w:r>
      <w:r w:rsidRPr="00E27756">
        <w:rPr>
          <w:rStyle w:val="TextoNormalCaracter"/>
        </w:rPr>
        <w:t>-</w:t>
      </w:r>
      <w:r>
        <w:t xml:space="preserve"> Sentencia </w:t>
      </w:r>
      <w:hyperlink w:anchor="SENTENCIA_2013_8" w:history="1">
        <w:r w:rsidRPr="00E27756">
          <w:rPr>
            <w:rStyle w:val="TextoNormalCaracter"/>
          </w:rPr>
          <w:t>8/2013</w:t>
        </w:r>
      </w:hyperlink>
      <w:r>
        <w:t>, f. 2.</w:t>
      </w:r>
    </w:p>
    <w:p w:rsidR="00E27756" w:rsidRDefault="00E27756" w:rsidP="00E27756">
      <w:pPr>
        <w:pStyle w:val="SangriaFrancesaArticulo"/>
      </w:pPr>
      <w:r w:rsidRPr="00E27756">
        <w:rPr>
          <w:rStyle w:val="TextoNormalNegritaCaracter"/>
        </w:rPr>
        <w:t>Artículo 3.2 e)</w:t>
      </w:r>
      <w:r>
        <w:t xml:space="preserve"> </w:t>
      </w:r>
      <w:r w:rsidRPr="00E27756">
        <w:rPr>
          <w:rStyle w:val="TextoNormalCaracter"/>
        </w:rPr>
        <w:t>(redactado por la Ley 12/2007, de 2 de julio)</w:t>
      </w:r>
      <w:r w:rsidRPr="00E27756">
        <w:rPr>
          <w:rStyle w:val="TextoNormalNegritaCaracter"/>
        </w:rPr>
        <w:t>.</w:t>
      </w:r>
      <w:r w:rsidRPr="00E27756">
        <w:rPr>
          <w:rStyle w:val="TextoNormalCaracter"/>
        </w:rPr>
        <w:t>-</w:t>
      </w:r>
      <w:r>
        <w:t xml:space="preserve"> Sentencia </w:t>
      </w:r>
      <w:hyperlink w:anchor="SENTENCIA_2013_8" w:history="1">
        <w:r w:rsidRPr="00E27756">
          <w:rPr>
            <w:rStyle w:val="TextoNormalCaracter"/>
          </w:rPr>
          <w:t>8/2013</w:t>
        </w:r>
      </w:hyperlink>
      <w:r>
        <w:t>, f. 2.</w:t>
      </w:r>
    </w:p>
    <w:p w:rsidR="00E27756" w:rsidRDefault="00E27756" w:rsidP="00E27756">
      <w:pPr>
        <w:pStyle w:val="SangriaFrancesaArticulo"/>
      </w:pPr>
      <w:r w:rsidRPr="00E27756">
        <w:rPr>
          <w:rStyle w:val="TextoNormalNegritaCaracter"/>
        </w:rPr>
        <w:t>Artículo 3.3</w:t>
      </w:r>
      <w:r>
        <w:t xml:space="preserve"> </w:t>
      </w:r>
      <w:r w:rsidRPr="00E27756">
        <w:rPr>
          <w:rStyle w:val="TextoNormalCaracter"/>
        </w:rPr>
        <w:t>(redactado por el Real Decreto-ley 13/2012, de 30 de marzo)</w:t>
      </w:r>
      <w:r w:rsidRPr="00E27756">
        <w:rPr>
          <w:rStyle w:val="TextoNormalNegritaCaracter"/>
        </w:rPr>
        <w:t>.</w:t>
      </w:r>
      <w:r w:rsidRPr="00E27756">
        <w:rPr>
          <w:rStyle w:val="TextoNormalCaracter"/>
        </w:rPr>
        <w:t>-</w:t>
      </w:r>
      <w:r>
        <w:t xml:space="preserve"> Sentencia </w:t>
      </w:r>
      <w:hyperlink w:anchor="SENTENCIA_2013_8" w:history="1">
        <w:r w:rsidRPr="00E27756">
          <w:rPr>
            <w:rStyle w:val="TextoNormalCaracter"/>
          </w:rPr>
          <w:t>8/2013</w:t>
        </w:r>
      </w:hyperlink>
      <w:r>
        <w:t>, f. 2.</w:t>
      </w:r>
    </w:p>
    <w:p w:rsidR="00E27756" w:rsidRDefault="00E27756" w:rsidP="00E27756">
      <w:pPr>
        <w:pStyle w:val="SangriaFrancesaArticulo"/>
      </w:pPr>
      <w:r w:rsidRPr="00E27756">
        <w:rPr>
          <w:rStyle w:val="TextoNormalNegritaCaracter"/>
        </w:rPr>
        <w:t>Artículo 3.4</w:t>
      </w:r>
      <w:r>
        <w:t xml:space="preserve"> </w:t>
      </w:r>
      <w:r w:rsidRPr="00E27756">
        <w:rPr>
          <w:rStyle w:val="TextoNormalCaracter"/>
        </w:rPr>
        <w:t>(redactado por el Real Decreto-ley 13/2012, de 30 de marzo)</w:t>
      </w:r>
      <w:r w:rsidRPr="00E27756">
        <w:rPr>
          <w:rStyle w:val="TextoNormalNegritaCaracter"/>
        </w:rPr>
        <w:t>.</w:t>
      </w:r>
      <w:r w:rsidRPr="00E27756">
        <w:rPr>
          <w:rStyle w:val="TextoNormalCaracter"/>
        </w:rPr>
        <w:t>-</w:t>
      </w:r>
      <w:r>
        <w:t xml:space="preserve"> Sentencia </w:t>
      </w:r>
      <w:hyperlink w:anchor="SENTENCIA_2013_8" w:history="1">
        <w:r w:rsidRPr="00E27756">
          <w:rPr>
            <w:rStyle w:val="TextoNormalCaracter"/>
          </w:rPr>
          <w:t>8/2013</w:t>
        </w:r>
      </w:hyperlink>
      <w:r>
        <w:t>, f. 2.</w:t>
      </w:r>
    </w:p>
    <w:p w:rsidR="00E27756" w:rsidRDefault="00E27756" w:rsidP="00E27756">
      <w:pPr>
        <w:pStyle w:val="SangriaFrancesaArticulo"/>
      </w:pPr>
      <w:r w:rsidRPr="00E27756">
        <w:rPr>
          <w:rStyle w:val="TextoNormalNegritaCaracter"/>
        </w:rPr>
        <w:t>Disposición adicional séptima.</w:t>
      </w:r>
      <w:r w:rsidRPr="00E27756">
        <w:rPr>
          <w:rStyle w:val="TextoNormalCaracter"/>
        </w:rPr>
        <w:t>-</w:t>
      </w:r>
      <w:r>
        <w:t xml:space="preserve"> Sentencia </w:t>
      </w:r>
      <w:hyperlink w:anchor="SENTENCIA_2013_132" w:history="1">
        <w:r w:rsidRPr="00E27756">
          <w:rPr>
            <w:rStyle w:val="TextoNormalCaracter"/>
          </w:rPr>
          <w:t>132/2013</w:t>
        </w:r>
      </w:hyperlink>
      <w:r>
        <w:t>, f. 6.</w:t>
      </w:r>
    </w:p>
    <w:p w:rsidR="00E27756" w:rsidRDefault="00E27756" w:rsidP="00E27756">
      <w:pPr>
        <w:pStyle w:val="SangriaFrancesaArticulo"/>
      </w:pPr>
      <w:r w:rsidRPr="00E27756">
        <w:rPr>
          <w:rStyle w:val="TextoNormalNegritaCaracter"/>
        </w:rPr>
        <w:t>Disposición adicional undécima.1.2.</w:t>
      </w:r>
      <w:r w:rsidRPr="00E27756">
        <w:rPr>
          <w:rStyle w:val="TextoNormalCaracter"/>
        </w:rPr>
        <w:t>-</w:t>
      </w:r>
      <w:r>
        <w:t xml:space="preserve"> Sentencia </w:t>
      </w:r>
      <w:hyperlink w:anchor="SENTENCIA_2013_39" w:history="1">
        <w:r w:rsidRPr="00E27756">
          <w:rPr>
            <w:rStyle w:val="TextoNormalCaracter"/>
          </w:rPr>
          <w:t>39/2013</w:t>
        </w:r>
      </w:hyperlink>
      <w:r>
        <w:t>, f. 1.</w:t>
      </w:r>
    </w:p>
    <w:p w:rsidR="00E27756" w:rsidRDefault="00E27756" w:rsidP="00E27756">
      <w:pPr>
        <w:pStyle w:val="SangriaFrancesaArticulo"/>
      </w:pPr>
      <w:r w:rsidRPr="00E27756">
        <w:rPr>
          <w:rStyle w:val="TextoNormalNegritaCaracter"/>
        </w:rPr>
        <w:t>Disposición adicional undécima.3.1.</w:t>
      </w:r>
      <w:r w:rsidRPr="00E27756">
        <w:rPr>
          <w:rStyle w:val="TextoNormalCaracter"/>
        </w:rPr>
        <w:t>-</w:t>
      </w:r>
      <w:r>
        <w:t xml:space="preserve"> Sentencia </w:t>
      </w:r>
      <w:hyperlink w:anchor="SENTENCIA_2013_39" w:history="1">
        <w:r w:rsidRPr="00E27756">
          <w:rPr>
            <w:rStyle w:val="TextoNormalCaracter"/>
          </w:rPr>
          <w:t>39/2013</w:t>
        </w:r>
      </w:hyperlink>
      <w:r>
        <w:t>, f. 6.</w:t>
      </w:r>
    </w:p>
    <w:p w:rsidR="00E27756" w:rsidRDefault="00E27756" w:rsidP="00E27756">
      <w:pPr>
        <w:pStyle w:val="SangriaFrancesaArticulo"/>
      </w:pPr>
      <w:r w:rsidRPr="00E27756">
        <w:rPr>
          <w:rStyle w:val="TextoNormalNegritaCaracter"/>
        </w:rPr>
        <w:t>Disposición adicional undécima.3.1.14.</w:t>
      </w:r>
      <w:r w:rsidRPr="00E27756">
        <w:rPr>
          <w:rStyle w:val="TextoNormalCaracter"/>
        </w:rPr>
        <w:t>-</w:t>
      </w:r>
      <w:r>
        <w:t xml:space="preserve"> Sentencia </w:t>
      </w:r>
      <w:hyperlink w:anchor="SENTENCIA_2013_39" w:history="1">
        <w:r w:rsidRPr="00E27756">
          <w:rPr>
            <w:rStyle w:val="TextoNormalCaracter"/>
          </w:rPr>
          <w:t>39/2013</w:t>
        </w:r>
      </w:hyperlink>
      <w:r>
        <w:t>, ff. 2, 9.</w:t>
      </w:r>
    </w:p>
    <w:p w:rsidR="00E27756" w:rsidRDefault="00E27756" w:rsidP="00E27756">
      <w:pPr>
        <w:pStyle w:val="SangriaFrancesaArticulo"/>
      </w:pPr>
      <w:r w:rsidRPr="00E27756">
        <w:rPr>
          <w:rStyle w:val="TextoNormalNegritaCaracter"/>
        </w:rPr>
        <w:t>Disposición adicional decimoséptima.2.</w:t>
      </w:r>
      <w:r w:rsidRPr="00E27756">
        <w:rPr>
          <w:rStyle w:val="TextoNormalCaracter"/>
        </w:rPr>
        <w:t>-</w:t>
      </w:r>
      <w:r>
        <w:t xml:space="preserve"> Sentencia </w:t>
      </w:r>
      <w:hyperlink w:anchor="SENTENCIA_2013_102" w:history="1">
        <w:r w:rsidRPr="00E27756">
          <w:rPr>
            <w:rStyle w:val="TextoNormalCaracter"/>
          </w:rPr>
          <w:t>102/2013</w:t>
        </w:r>
      </w:hyperlink>
      <w:r>
        <w:t>, f. 6.</w:t>
      </w:r>
    </w:p>
    <w:p w:rsidR="00E27756" w:rsidRDefault="00E27756" w:rsidP="00E27756">
      <w:pPr>
        <w:pStyle w:val="SangriaFrancesaArticulo"/>
      </w:pPr>
    </w:p>
    <w:p w:rsidR="00E27756" w:rsidRDefault="00E27756" w:rsidP="00E27756">
      <w:pPr>
        <w:pStyle w:val="TextoNormalNegritaCursivandice"/>
      </w:pPr>
      <w:r>
        <w:lastRenderedPageBreak/>
        <w:t>Ley 50/1998, de 30 de diciembre. Medidas fiscales, administrativas y del orden social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 1.</w:t>
      </w:r>
    </w:p>
    <w:p w:rsidR="00E27756" w:rsidRDefault="00E27756" w:rsidP="00E27756">
      <w:pPr>
        <w:pStyle w:val="SangriaFrancesaArticulo"/>
      </w:pPr>
      <w:r w:rsidRPr="00E27756">
        <w:rPr>
          <w:rStyle w:val="TextoNormalNegritaCaracter"/>
        </w:rPr>
        <w:t>Artículo 32.Uno.</w:t>
      </w:r>
      <w:r w:rsidRPr="00E27756">
        <w:rPr>
          <w:rStyle w:val="TextoNormalCaracter"/>
        </w:rPr>
        <w:t>-</w:t>
      </w:r>
      <w:r>
        <w:t xml:space="preserve"> Auto </w:t>
      </w:r>
      <w:hyperlink w:anchor="AUTO_2013_8" w:history="1">
        <w:r w:rsidRPr="00E27756">
          <w:rPr>
            <w:rStyle w:val="TextoNormalCaracter"/>
          </w:rPr>
          <w:t>8/2013</w:t>
        </w:r>
      </w:hyperlink>
      <w:r>
        <w:t>, f. único.</w:t>
      </w:r>
    </w:p>
    <w:p w:rsidR="00E27756" w:rsidRDefault="00E27756" w:rsidP="00E27756">
      <w:pPr>
        <w:pStyle w:val="SangriaFrancesaArticulo"/>
      </w:pPr>
    </w:p>
    <w:p w:rsidR="00E27756" w:rsidRDefault="00E27756" w:rsidP="00E27756">
      <w:pPr>
        <w:pStyle w:val="TextoNormalNegritaCursivandice"/>
      </w:pPr>
      <w:r>
        <w:t>Ley 4/1999, de 13 de enero. Modificación de la Ley 30/1992, de 26 de noviembre, de  régimen jurídico de las Administraciones públicas y del procedimiento administrativo común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0" w:history="1">
        <w:r w:rsidRPr="00E27756">
          <w:rPr>
            <w:rStyle w:val="TextoNormalCaracter"/>
          </w:rPr>
          <w:t>130/2013</w:t>
        </w:r>
      </w:hyperlink>
      <w:r>
        <w:t>, f. 13.</w:t>
      </w:r>
    </w:p>
    <w:p w:rsidR="00E27756" w:rsidRDefault="00E27756" w:rsidP="00E27756">
      <w:pPr>
        <w:pStyle w:val="SangriaFrancesaArticulo"/>
      </w:pPr>
    </w:p>
    <w:p w:rsidR="00E27756" w:rsidRDefault="00E27756" w:rsidP="00E27756">
      <w:pPr>
        <w:pStyle w:val="TextoNormalNegritaCursivandice"/>
      </w:pPr>
      <w:r>
        <w:t>Ley 11/1999, de 21 de abril. Modificación de la Ley 7/1985, de 2 de abril, reguladora de las bases del régimen local, y otras medidas para el desarrollo del Gobierno Local en materia de tráfico, circulación de vehículos a motor y seguridad vial y en materia de aguas</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r w:rsidRPr="00E27756">
        <w:rPr>
          <w:rStyle w:val="TextoNormalNegritaCaracter"/>
        </w:rPr>
        <w:t>Artículo 25.2 d).</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r w:rsidRPr="00E27756">
        <w:rPr>
          <w:rStyle w:val="TextoNormalNegritaCaracter"/>
        </w:rPr>
        <w:t>Artículo 25.2 f).</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r w:rsidRPr="00E27756">
        <w:rPr>
          <w:rStyle w:val="TextoNormalNegritaCaracter"/>
        </w:rPr>
        <w:t>Artículo 25.3.</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r w:rsidRPr="00E27756">
        <w:rPr>
          <w:rStyle w:val="TextoNormalNegritaCaracter"/>
        </w:rPr>
        <w:t>Artículo 30.26.</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r w:rsidRPr="00E27756">
        <w:rPr>
          <w:rStyle w:val="TextoNormalNegritaCaracter"/>
        </w:rPr>
        <w:t>Artículo 32.9.</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p>
    <w:p w:rsidR="00E27756" w:rsidRDefault="00E27756" w:rsidP="00E27756">
      <w:pPr>
        <w:pStyle w:val="TextoNormalNegritaCursivandice"/>
      </w:pPr>
      <w:r>
        <w:t>Ley 55/1999, de 29 de diciembre. Medidas fiscales, administrativas y del orden social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 1.</w:t>
      </w:r>
    </w:p>
    <w:p w:rsidR="00E27756" w:rsidRDefault="00E27756" w:rsidP="00E27756">
      <w:pPr>
        <w:pStyle w:val="SangriaFrancesaArticulo"/>
      </w:pPr>
    </w:p>
    <w:p w:rsidR="00E27756" w:rsidRDefault="00E27756" w:rsidP="00E27756">
      <w:pPr>
        <w:pStyle w:val="TextoNormalNegritaCursivandice"/>
      </w:pPr>
      <w:r>
        <w:t>Ley 1/2000, de 7 de enero. Enjuiciamiento civil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56" w:history="1">
        <w:r w:rsidRPr="00E27756">
          <w:rPr>
            <w:rStyle w:val="TextoNormalCaracter"/>
          </w:rPr>
          <w:t>56/2013</w:t>
        </w:r>
      </w:hyperlink>
      <w:r>
        <w:t xml:space="preserve">, f. 3; </w:t>
      </w:r>
      <w:hyperlink w:anchor="SENTENCIA_2013_79" w:history="1">
        <w:r w:rsidRPr="00E27756">
          <w:rPr>
            <w:rStyle w:val="TextoNormalCaracter"/>
          </w:rPr>
          <w:t>79/2013</w:t>
        </w:r>
      </w:hyperlink>
      <w:r>
        <w:t xml:space="preserve">, ff. 2, 3; </w:t>
      </w:r>
      <w:hyperlink w:anchor="SENTENCIA_2013_108" w:history="1">
        <w:r w:rsidRPr="00E27756">
          <w:rPr>
            <w:rStyle w:val="TextoNormalCaracter"/>
          </w:rPr>
          <w:t>108/2013</w:t>
        </w:r>
      </w:hyperlink>
      <w:r>
        <w:t>, f. 5.</w:t>
      </w:r>
    </w:p>
    <w:p w:rsidR="00E27756" w:rsidRDefault="00E27756" w:rsidP="00E27756">
      <w:pPr>
        <w:pStyle w:val="SangriaIzquierdaArticulo"/>
      </w:pPr>
      <w:r>
        <w:t xml:space="preserve">Autos </w:t>
      </w:r>
      <w:hyperlink w:anchor="AUTO_2013_7" w:history="1">
        <w:r w:rsidRPr="00E27756">
          <w:rPr>
            <w:rStyle w:val="TextoNormalCaracter"/>
          </w:rPr>
          <w:t>7/2013</w:t>
        </w:r>
      </w:hyperlink>
      <w:r>
        <w:t xml:space="preserve">, f. único; </w:t>
      </w:r>
      <w:hyperlink w:anchor="AUTO_2013_14" w:history="1">
        <w:r w:rsidRPr="00E27756">
          <w:rPr>
            <w:rStyle w:val="TextoNormalCaracter"/>
          </w:rPr>
          <w:t>14/2013</w:t>
        </w:r>
      </w:hyperlink>
      <w:r>
        <w:t xml:space="preserve">, f. único; </w:t>
      </w:r>
      <w:hyperlink w:anchor="AUTO_2013_41" w:history="1">
        <w:r w:rsidRPr="00E27756">
          <w:rPr>
            <w:rStyle w:val="TextoNormalCaracter"/>
          </w:rPr>
          <w:t>41/2013</w:t>
        </w:r>
      </w:hyperlink>
      <w:r>
        <w:t xml:space="preserve">, f. único; </w:t>
      </w:r>
      <w:hyperlink w:anchor="AUTO_2013_63" w:history="1">
        <w:r w:rsidRPr="00E27756">
          <w:rPr>
            <w:rStyle w:val="TextoNormalCaracter"/>
          </w:rPr>
          <w:t>63/2013</w:t>
        </w:r>
      </w:hyperlink>
      <w:r>
        <w:t xml:space="preserve">, f. único; </w:t>
      </w:r>
      <w:hyperlink w:anchor="AUTO_2013_65" w:history="1">
        <w:r w:rsidRPr="00E27756">
          <w:rPr>
            <w:rStyle w:val="TextoNormalCaracter"/>
          </w:rPr>
          <w:t>65/2013</w:t>
        </w:r>
      </w:hyperlink>
      <w:r>
        <w:t xml:space="preserve">, f. único; </w:t>
      </w:r>
      <w:hyperlink w:anchor="AUTO_2013_70" w:history="1">
        <w:r w:rsidRPr="00E27756">
          <w:rPr>
            <w:rStyle w:val="TextoNormalCaracter"/>
          </w:rPr>
          <w:t>70/2013</w:t>
        </w:r>
      </w:hyperlink>
      <w:r>
        <w:t xml:space="preserve">, f. 1; </w:t>
      </w:r>
      <w:hyperlink w:anchor="AUTO_2013_120" w:history="1">
        <w:r w:rsidRPr="00E27756">
          <w:rPr>
            <w:rStyle w:val="TextoNormalCaracter"/>
          </w:rPr>
          <w:t>120/2013</w:t>
        </w:r>
      </w:hyperlink>
      <w:r>
        <w:t xml:space="preserve">, f. único; </w:t>
      </w:r>
      <w:hyperlink w:anchor="AUTO_2013_121" w:history="1">
        <w:r w:rsidRPr="00E27756">
          <w:rPr>
            <w:rStyle w:val="TextoNormalCaracter"/>
          </w:rPr>
          <w:t>121/2013</w:t>
        </w:r>
      </w:hyperlink>
      <w:r>
        <w:t xml:space="preserve">, f. único; </w:t>
      </w:r>
      <w:hyperlink w:anchor="AUTO_2013_136" w:history="1">
        <w:r w:rsidRPr="00E27756">
          <w:rPr>
            <w:rStyle w:val="TextoNormalCaracter"/>
          </w:rPr>
          <w:t>136/2013</w:t>
        </w:r>
      </w:hyperlink>
      <w:r>
        <w:t>, f. 4.</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Autos </w:t>
      </w:r>
      <w:hyperlink w:anchor="AUTO_2013_1" w:history="1">
        <w:r w:rsidRPr="00E27756">
          <w:rPr>
            <w:rStyle w:val="TextoNormalCaracter"/>
          </w:rPr>
          <w:t>1/2013</w:t>
        </w:r>
      </w:hyperlink>
      <w:r>
        <w:t xml:space="preserve">, f. único; </w:t>
      </w:r>
      <w:hyperlink w:anchor="AUTO_2013_36" w:history="1">
        <w:r w:rsidRPr="00E27756">
          <w:rPr>
            <w:rStyle w:val="TextoNormalCaracter"/>
          </w:rPr>
          <w:t>36/2013</w:t>
        </w:r>
      </w:hyperlink>
      <w:r>
        <w:t xml:space="preserve">, f. único; </w:t>
      </w:r>
      <w:hyperlink w:anchor="AUTO_2013_43" w:history="1">
        <w:r w:rsidRPr="00E27756">
          <w:rPr>
            <w:rStyle w:val="TextoNormalCaracter"/>
          </w:rPr>
          <w:t>43/2013</w:t>
        </w:r>
      </w:hyperlink>
      <w:r>
        <w:t>, f. único.</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44" w:history="1">
        <w:r w:rsidRPr="00E27756">
          <w:rPr>
            <w:rStyle w:val="TextoNormalCaracter"/>
          </w:rPr>
          <w:t>44/2013</w:t>
        </w:r>
      </w:hyperlink>
      <w:r>
        <w:t>, f. 5.</w:t>
      </w:r>
    </w:p>
    <w:p w:rsidR="00E27756" w:rsidRDefault="00E27756" w:rsidP="00E27756">
      <w:pPr>
        <w:pStyle w:val="SangriaFrancesaArticulo"/>
      </w:pPr>
      <w:r w:rsidRPr="00E27756">
        <w:rPr>
          <w:rStyle w:val="TextoNormalNegritaCaracter"/>
        </w:rPr>
        <w:t>Artículo 13.1.</w:t>
      </w:r>
      <w:r w:rsidRPr="00E27756">
        <w:rPr>
          <w:rStyle w:val="TextoNormalCaracter"/>
        </w:rPr>
        <w:t>-</w:t>
      </w:r>
      <w:r>
        <w:t xml:space="preserve"> Auto </w:t>
      </w:r>
      <w:hyperlink w:anchor="AUTO_2013_47" w:history="1">
        <w:r w:rsidRPr="00E27756">
          <w:rPr>
            <w:rStyle w:val="TextoNormalCaracter"/>
          </w:rPr>
          <w:t>47/2013</w:t>
        </w:r>
      </w:hyperlink>
      <w:r>
        <w:t>, f. único.</w:t>
      </w:r>
    </w:p>
    <w:p w:rsidR="00E27756" w:rsidRDefault="00E27756" w:rsidP="00E27756">
      <w:pPr>
        <w:pStyle w:val="SangriaFrancesaArticulo"/>
      </w:pPr>
      <w:r w:rsidRPr="00E27756">
        <w:rPr>
          <w:rStyle w:val="TextoNormalNegritaCaracter"/>
        </w:rPr>
        <w:t>Artículo 19.1.</w:t>
      </w:r>
      <w:r w:rsidRPr="00E27756">
        <w:rPr>
          <w:rStyle w:val="TextoNormalCaracter"/>
        </w:rPr>
        <w:t>-</w:t>
      </w:r>
      <w:r>
        <w:t xml:space="preserve"> Autos </w:t>
      </w:r>
      <w:hyperlink w:anchor="AUTO_2013_1" w:history="1">
        <w:r w:rsidRPr="00E27756">
          <w:rPr>
            <w:rStyle w:val="TextoNormalCaracter"/>
          </w:rPr>
          <w:t>1/2013</w:t>
        </w:r>
      </w:hyperlink>
      <w:r>
        <w:t xml:space="preserve">, f. único; </w:t>
      </w:r>
      <w:hyperlink w:anchor="AUTO_2013_13" w:history="1">
        <w:r w:rsidRPr="00E27756">
          <w:rPr>
            <w:rStyle w:val="TextoNormalCaracter"/>
          </w:rPr>
          <w:t>13/2013</w:t>
        </w:r>
      </w:hyperlink>
      <w:r>
        <w:t xml:space="preserve">, f. único; </w:t>
      </w:r>
      <w:hyperlink w:anchor="AUTO_2013_26" w:history="1">
        <w:r w:rsidRPr="00E27756">
          <w:rPr>
            <w:rStyle w:val="TextoNormalCaracter"/>
          </w:rPr>
          <w:t>26/2013</w:t>
        </w:r>
      </w:hyperlink>
      <w:r>
        <w:t xml:space="preserve">, f. único; </w:t>
      </w:r>
      <w:hyperlink w:anchor="AUTO_2013_36" w:history="1">
        <w:r w:rsidRPr="00E27756">
          <w:rPr>
            <w:rStyle w:val="TextoNormalCaracter"/>
          </w:rPr>
          <w:t>36/2013</w:t>
        </w:r>
      </w:hyperlink>
      <w:r>
        <w:t xml:space="preserve">, f. único; </w:t>
      </w:r>
      <w:hyperlink w:anchor="AUTO_2013_43" w:history="1">
        <w:r w:rsidRPr="00E27756">
          <w:rPr>
            <w:rStyle w:val="TextoNormalCaracter"/>
          </w:rPr>
          <w:t>43/2013</w:t>
        </w:r>
      </w:hyperlink>
      <w:r>
        <w:t xml:space="preserve">, f. único; </w:t>
      </w:r>
      <w:hyperlink w:anchor="AUTO_2013_71" w:history="1">
        <w:r w:rsidRPr="00E27756">
          <w:rPr>
            <w:rStyle w:val="TextoNormalCaracter"/>
          </w:rPr>
          <w:t>71/2013</w:t>
        </w:r>
      </w:hyperlink>
      <w:r>
        <w:t xml:space="preserve">, f. único; </w:t>
      </w:r>
      <w:hyperlink w:anchor="AUTO_2013_72" w:history="1">
        <w:r w:rsidRPr="00E27756">
          <w:rPr>
            <w:rStyle w:val="TextoNormalCaracter"/>
          </w:rPr>
          <w:t>72/2013</w:t>
        </w:r>
      </w:hyperlink>
      <w:r>
        <w:t xml:space="preserve">, f. único; </w:t>
      </w:r>
      <w:hyperlink w:anchor="AUTO_2013_89" w:history="1">
        <w:r w:rsidRPr="00E27756">
          <w:rPr>
            <w:rStyle w:val="TextoNormalCaracter"/>
          </w:rPr>
          <w:t>89/2013</w:t>
        </w:r>
      </w:hyperlink>
      <w:r>
        <w:t xml:space="preserve">, VP I; </w:t>
      </w:r>
      <w:hyperlink w:anchor="AUTO_2013_129" w:history="1">
        <w:r w:rsidRPr="00E27756">
          <w:rPr>
            <w:rStyle w:val="TextoNormalCaracter"/>
          </w:rPr>
          <w:t>129/2013</w:t>
        </w:r>
      </w:hyperlink>
      <w:r>
        <w:t xml:space="preserve">, f. único; </w:t>
      </w:r>
      <w:hyperlink w:anchor="AUTO_2013_130" w:history="1">
        <w:r w:rsidRPr="00E27756">
          <w:rPr>
            <w:rStyle w:val="TextoNormalCaracter"/>
          </w:rPr>
          <w:t>130/2013</w:t>
        </w:r>
      </w:hyperlink>
      <w:r>
        <w:t>, f. único.</w:t>
      </w:r>
    </w:p>
    <w:p w:rsidR="00E27756" w:rsidRDefault="00E27756" w:rsidP="00E27756">
      <w:pPr>
        <w:pStyle w:val="SangriaFrancesaArticulo"/>
      </w:pPr>
      <w:r w:rsidRPr="00E27756">
        <w:rPr>
          <w:rStyle w:val="TextoNormalNegritaCaracter"/>
        </w:rPr>
        <w:t>Artículo 20.2.</w:t>
      </w:r>
      <w:r w:rsidRPr="00E27756">
        <w:rPr>
          <w:rStyle w:val="TextoNormalCaracter"/>
        </w:rPr>
        <w:t>-</w:t>
      </w:r>
      <w:r>
        <w:t xml:space="preserve"> Autos </w:t>
      </w:r>
      <w:hyperlink w:anchor="AUTO_2013_1" w:history="1">
        <w:r w:rsidRPr="00E27756">
          <w:rPr>
            <w:rStyle w:val="TextoNormalCaracter"/>
          </w:rPr>
          <w:t>1/2013</w:t>
        </w:r>
      </w:hyperlink>
      <w:r>
        <w:t xml:space="preserve">, f. único; </w:t>
      </w:r>
      <w:hyperlink w:anchor="AUTO_2013_13" w:history="1">
        <w:r w:rsidRPr="00E27756">
          <w:rPr>
            <w:rStyle w:val="TextoNormalCaracter"/>
          </w:rPr>
          <w:t>13/2013</w:t>
        </w:r>
      </w:hyperlink>
      <w:r>
        <w:t xml:space="preserve">, f. único; </w:t>
      </w:r>
      <w:hyperlink w:anchor="AUTO_2013_26" w:history="1">
        <w:r w:rsidRPr="00E27756">
          <w:rPr>
            <w:rStyle w:val="TextoNormalCaracter"/>
          </w:rPr>
          <w:t>26/2013</w:t>
        </w:r>
      </w:hyperlink>
      <w:r>
        <w:t xml:space="preserve">, f. único; </w:t>
      </w:r>
      <w:hyperlink w:anchor="AUTO_2013_36" w:history="1">
        <w:r w:rsidRPr="00E27756">
          <w:rPr>
            <w:rStyle w:val="TextoNormalCaracter"/>
          </w:rPr>
          <w:t>36/2013</w:t>
        </w:r>
      </w:hyperlink>
      <w:r>
        <w:t xml:space="preserve">, f. único; </w:t>
      </w:r>
      <w:hyperlink w:anchor="AUTO_2013_43" w:history="1">
        <w:r w:rsidRPr="00E27756">
          <w:rPr>
            <w:rStyle w:val="TextoNormalCaracter"/>
          </w:rPr>
          <w:t>43/2013</w:t>
        </w:r>
      </w:hyperlink>
      <w:r>
        <w:t xml:space="preserve">, f. único; </w:t>
      </w:r>
      <w:hyperlink w:anchor="AUTO_2013_71" w:history="1">
        <w:r w:rsidRPr="00E27756">
          <w:rPr>
            <w:rStyle w:val="TextoNormalCaracter"/>
          </w:rPr>
          <w:t>71/2013</w:t>
        </w:r>
      </w:hyperlink>
      <w:r>
        <w:t xml:space="preserve">, f. único; </w:t>
      </w:r>
      <w:hyperlink w:anchor="AUTO_2013_72" w:history="1">
        <w:r w:rsidRPr="00E27756">
          <w:rPr>
            <w:rStyle w:val="TextoNormalCaracter"/>
          </w:rPr>
          <w:t>72/2013</w:t>
        </w:r>
      </w:hyperlink>
      <w:r>
        <w:t xml:space="preserve">, f. único; </w:t>
      </w:r>
      <w:hyperlink w:anchor="AUTO_2013_89" w:history="1">
        <w:r w:rsidRPr="00E27756">
          <w:rPr>
            <w:rStyle w:val="TextoNormalCaracter"/>
          </w:rPr>
          <w:t>89/2013</w:t>
        </w:r>
      </w:hyperlink>
      <w:r>
        <w:t xml:space="preserve">, VP I; </w:t>
      </w:r>
      <w:hyperlink w:anchor="AUTO_2013_129" w:history="1">
        <w:r w:rsidRPr="00E27756">
          <w:rPr>
            <w:rStyle w:val="TextoNormalCaracter"/>
          </w:rPr>
          <w:t>129/2013</w:t>
        </w:r>
      </w:hyperlink>
      <w:r>
        <w:t xml:space="preserve">, f. único; </w:t>
      </w:r>
      <w:hyperlink w:anchor="AUTO_2013_130" w:history="1">
        <w:r w:rsidRPr="00E27756">
          <w:rPr>
            <w:rStyle w:val="TextoNormalCaracter"/>
          </w:rPr>
          <w:t>130/2013</w:t>
        </w:r>
      </w:hyperlink>
      <w:r>
        <w:t>, f. único.</w:t>
      </w:r>
    </w:p>
    <w:p w:rsidR="00E27756" w:rsidRDefault="00E27756" w:rsidP="00E27756">
      <w:pPr>
        <w:pStyle w:val="SangriaFrancesaArticulo"/>
      </w:pPr>
      <w:r w:rsidRPr="00E27756">
        <w:rPr>
          <w:rStyle w:val="TextoNormalNegritaCaracter"/>
        </w:rPr>
        <w:t>Artículo 20.3.</w:t>
      </w:r>
      <w:r w:rsidRPr="00E27756">
        <w:rPr>
          <w:rStyle w:val="TextoNormalCaracter"/>
        </w:rPr>
        <w:t>-</w:t>
      </w:r>
      <w:r>
        <w:t xml:space="preserve"> Autos </w:t>
      </w:r>
      <w:hyperlink w:anchor="AUTO_2013_13" w:history="1">
        <w:r w:rsidRPr="00E27756">
          <w:rPr>
            <w:rStyle w:val="TextoNormalCaracter"/>
          </w:rPr>
          <w:t>13/2013</w:t>
        </w:r>
      </w:hyperlink>
      <w:r>
        <w:t xml:space="preserve">, f. único; </w:t>
      </w:r>
      <w:hyperlink w:anchor="AUTO_2013_26" w:history="1">
        <w:r w:rsidRPr="00E27756">
          <w:rPr>
            <w:rStyle w:val="TextoNormalCaracter"/>
          </w:rPr>
          <w:t>26/2013</w:t>
        </w:r>
      </w:hyperlink>
      <w:r>
        <w:t xml:space="preserve">, f. único; </w:t>
      </w:r>
      <w:hyperlink w:anchor="AUTO_2013_70" w:history="1">
        <w:r w:rsidRPr="00E27756">
          <w:rPr>
            <w:rStyle w:val="TextoNormalCaracter"/>
          </w:rPr>
          <w:t>70/2013</w:t>
        </w:r>
      </w:hyperlink>
      <w:r>
        <w:t xml:space="preserve">, f. 1; </w:t>
      </w:r>
      <w:hyperlink w:anchor="AUTO_2013_71" w:history="1">
        <w:r w:rsidRPr="00E27756">
          <w:rPr>
            <w:rStyle w:val="TextoNormalCaracter"/>
          </w:rPr>
          <w:t>71/2013</w:t>
        </w:r>
      </w:hyperlink>
      <w:r>
        <w:t xml:space="preserve">, f. único; </w:t>
      </w:r>
      <w:hyperlink w:anchor="AUTO_2013_72" w:history="1">
        <w:r w:rsidRPr="00E27756">
          <w:rPr>
            <w:rStyle w:val="TextoNormalCaracter"/>
          </w:rPr>
          <w:t>72/2013</w:t>
        </w:r>
      </w:hyperlink>
      <w:r>
        <w:t xml:space="preserve">, f. único; </w:t>
      </w:r>
      <w:hyperlink w:anchor="AUTO_2013_89" w:history="1">
        <w:r w:rsidRPr="00E27756">
          <w:rPr>
            <w:rStyle w:val="TextoNormalCaracter"/>
          </w:rPr>
          <w:t>89/2013</w:t>
        </w:r>
      </w:hyperlink>
      <w:r>
        <w:t xml:space="preserve">, VP I; </w:t>
      </w:r>
      <w:hyperlink w:anchor="AUTO_2013_129" w:history="1">
        <w:r w:rsidRPr="00E27756">
          <w:rPr>
            <w:rStyle w:val="TextoNormalCaracter"/>
          </w:rPr>
          <w:t>129/2013</w:t>
        </w:r>
      </w:hyperlink>
      <w:r>
        <w:t xml:space="preserve">, f. único; </w:t>
      </w:r>
      <w:hyperlink w:anchor="AUTO_2013_130" w:history="1">
        <w:r w:rsidRPr="00E27756">
          <w:rPr>
            <w:rStyle w:val="TextoNormalCaracter"/>
          </w:rPr>
          <w:t>130/2013</w:t>
        </w:r>
      </w:hyperlink>
      <w:r>
        <w:t>, f. único.</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44" w:history="1">
        <w:r w:rsidRPr="00E27756">
          <w:rPr>
            <w:rStyle w:val="TextoNormalCaracter"/>
          </w:rPr>
          <w:t>44/2013</w:t>
        </w:r>
      </w:hyperlink>
      <w:r>
        <w:t>, ff. 1 a 3, 5, 6.</w:t>
      </w:r>
    </w:p>
    <w:p w:rsidR="00E27756" w:rsidRDefault="00E27756" w:rsidP="00E27756">
      <w:pPr>
        <w:pStyle w:val="SangriaIzquierdaArticulo"/>
      </w:pPr>
      <w:r>
        <w:t xml:space="preserve">Autos </w:t>
      </w:r>
      <w:hyperlink w:anchor="AUTO_2013_6" w:history="1">
        <w:r w:rsidRPr="00E27756">
          <w:rPr>
            <w:rStyle w:val="TextoNormalCaracter"/>
          </w:rPr>
          <w:t>6/2013</w:t>
        </w:r>
      </w:hyperlink>
      <w:r>
        <w:t xml:space="preserve">, f. 3; </w:t>
      </w:r>
      <w:hyperlink w:anchor="AUTO_2013_23" w:history="1">
        <w:r w:rsidRPr="00E27756">
          <w:rPr>
            <w:rStyle w:val="TextoNormalCaracter"/>
          </w:rPr>
          <w:t>23/2013</w:t>
        </w:r>
      </w:hyperlink>
      <w:r>
        <w:t>, f. 4.</w:t>
      </w:r>
    </w:p>
    <w:p w:rsidR="00E27756" w:rsidRDefault="00E27756" w:rsidP="00E27756">
      <w:pPr>
        <w:pStyle w:val="SangriaFrancesaArticulo"/>
      </w:pPr>
      <w:r w:rsidRPr="00E27756">
        <w:rPr>
          <w:rStyle w:val="TextoNormalNegritaCaracter"/>
        </w:rPr>
        <w:t>Artículo 24.</w:t>
      </w:r>
      <w:r w:rsidRPr="00E27756">
        <w:rPr>
          <w:rStyle w:val="TextoNormalCaracter"/>
        </w:rPr>
        <w:t>-</w:t>
      </w:r>
      <w:r>
        <w:t xml:space="preserve"> Sentencia </w:t>
      </w:r>
      <w:hyperlink w:anchor="SENTENCIA_2013_90" w:history="1">
        <w:r w:rsidRPr="00E27756">
          <w:rPr>
            <w:rStyle w:val="TextoNormalCaracter"/>
          </w:rPr>
          <w:t>90/2013</w:t>
        </w:r>
      </w:hyperlink>
      <w:r>
        <w:t>, ff. 1, 4.</w:t>
      </w:r>
    </w:p>
    <w:p w:rsidR="00E27756" w:rsidRDefault="00E27756" w:rsidP="00E27756">
      <w:pPr>
        <w:pStyle w:val="SangriaFrancesaArticulo"/>
      </w:pPr>
      <w:r w:rsidRPr="00E27756">
        <w:rPr>
          <w:rStyle w:val="TextoNormalNegritaCaracter"/>
        </w:rPr>
        <w:t>Artículo 24.2.</w:t>
      </w:r>
      <w:r w:rsidRPr="00E27756">
        <w:rPr>
          <w:rStyle w:val="TextoNormalCaracter"/>
        </w:rPr>
        <w:t>-</w:t>
      </w:r>
      <w:r>
        <w:t xml:space="preserve"> Sentencia </w:t>
      </w:r>
      <w:hyperlink w:anchor="SENTENCIA_2013_90" w:history="1">
        <w:r w:rsidRPr="00E27756">
          <w:rPr>
            <w:rStyle w:val="TextoNormalCaracter"/>
          </w:rPr>
          <w:t>90/2013</w:t>
        </w:r>
      </w:hyperlink>
      <w:r>
        <w:t>, ff. 2, 4.</w:t>
      </w:r>
    </w:p>
    <w:p w:rsidR="00E27756" w:rsidRDefault="00E27756" w:rsidP="00E27756">
      <w:pPr>
        <w:pStyle w:val="SangriaFrancesaArticulo"/>
      </w:pPr>
      <w:r w:rsidRPr="00E27756">
        <w:rPr>
          <w:rStyle w:val="TextoNormalNegritaCaracter"/>
        </w:rPr>
        <w:t>Artículo 25.2.1.</w:t>
      </w:r>
      <w:r w:rsidRPr="00E27756">
        <w:rPr>
          <w:rStyle w:val="TextoNormalCaracter"/>
        </w:rPr>
        <w:t>-</w:t>
      </w:r>
      <w:r>
        <w:t xml:space="preserve"> Autos </w:t>
      </w:r>
      <w:hyperlink w:anchor="AUTO_2013_36" w:history="1">
        <w:r w:rsidRPr="00E27756">
          <w:rPr>
            <w:rStyle w:val="TextoNormalCaracter"/>
          </w:rPr>
          <w:t>36/2013</w:t>
        </w:r>
      </w:hyperlink>
      <w:r>
        <w:t xml:space="preserve">, f. único; </w:t>
      </w:r>
      <w:hyperlink w:anchor="AUTO_2013_43" w:history="1">
        <w:r w:rsidRPr="00E27756">
          <w:rPr>
            <w:rStyle w:val="TextoNormalCaracter"/>
          </w:rPr>
          <w:t>43/2013</w:t>
        </w:r>
      </w:hyperlink>
      <w:r>
        <w:t xml:space="preserve">, f. único; </w:t>
      </w:r>
      <w:hyperlink w:anchor="AUTO_2013_70" w:history="1">
        <w:r w:rsidRPr="00E27756">
          <w:rPr>
            <w:rStyle w:val="TextoNormalCaracter"/>
          </w:rPr>
          <w:t>70/2013</w:t>
        </w:r>
      </w:hyperlink>
      <w:r>
        <w:t xml:space="preserve">, ff. 1, 2; </w:t>
      </w:r>
      <w:hyperlink w:anchor="AUTO_2013_71" w:history="1">
        <w:r w:rsidRPr="00E27756">
          <w:rPr>
            <w:rStyle w:val="TextoNormalCaracter"/>
          </w:rPr>
          <w:t>71/2013</w:t>
        </w:r>
      </w:hyperlink>
      <w:r>
        <w:t xml:space="preserve">, f. único; </w:t>
      </w:r>
      <w:hyperlink w:anchor="AUTO_2013_89" w:history="1">
        <w:r w:rsidRPr="00E27756">
          <w:rPr>
            <w:rStyle w:val="TextoNormalCaracter"/>
          </w:rPr>
          <w:t>89/2013</w:t>
        </w:r>
      </w:hyperlink>
      <w:r>
        <w:t xml:space="preserve">, f. 1, VP I; </w:t>
      </w:r>
      <w:hyperlink w:anchor="AUTO_2013_129" w:history="1">
        <w:r w:rsidRPr="00E27756">
          <w:rPr>
            <w:rStyle w:val="TextoNormalCaracter"/>
          </w:rPr>
          <w:t>129/2013</w:t>
        </w:r>
      </w:hyperlink>
      <w:r>
        <w:t xml:space="preserve">, f. único; </w:t>
      </w:r>
      <w:hyperlink w:anchor="AUTO_2013_130" w:history="1">
        <w:r w:rsidRPr="00E27756">
          <w:rPr>
            <w:rStyle w:val="TextoNormalCaracter"/>
          </w:rPr>
          <w:t>130/2013</w:t>
        </w:r>
      </w:hyperlink>
      <w:r>
        <w:t>, f. único.</w:t>
      </w:r>
    </w:p>
    <w:p w:rsidR="00E27756" w:rsidRDefault="00E27756" w:rsidP="00E27756">
      <w:pPr>
        <w:pStyle w:val="SangriaFrancesaArticulo"/>
      </w:pPr>
      <w:r w:rsidRPr="00E27756">
        <w:rPr>
          <w:rStyle w:val="TextoNormalNegritaCaracter"/>
        </w:rPr>
        <w:lastRenderedPageBreak/>
        <w:t>Artículo 135.1.</w:t>
      </w:r>
      <w:r w:rsidRPr="00E27756">
        <w:rPr>
          <w:rStyle w:val="TextoNormalCaracter"/>
        </w:rPr>
        <w:t>-</w:t>
      </w:r>
      <w:r>
        <w:t xml:space="preserve"> Sentencia </w:t>
      </w:r>
      <w:hyperlink w:anchor="SENTENCIA_2013_88" w:history="1">
        <w:r w:rsidRPr="00E27756">
          <w:rPr>
            <w:rStyle w:val="TextoNormalCaracter"/>
          </w:rPr>
          <w:t>88/2013</w:t>
        </w:r>
      </w:hyperlink>
      <w:r>
        <w:t>, ff. 2, 3, VP.</w:t>
      </w:r>
    </w:p>
    <w:p w:rsidR="00E27756" w:rsidRDefault="00E27756" w:rsidP="00E27756">
      <w:pPr>
        <w:pStyle w:val="SangriaFrancesaArticulo"/>
      </w:pPr>
      <w:r w:rsidRPr="00E27756">
        <w:rPr>
          <w:rStyle w:val="TextoNormalNegritaCaracter"/>
        </w:rPr>
        <w:t>Artículo 164.</w:t>
      </w:r>
      <w:r w:rsidRPr="00E27756">
        <w:rPr>
          <w:rStyle w:val="TextoNormalCaracter"/>
        </w:rPr>
        <w:t>-</w:t>
      </w:r>
      <w:r>
        <w:t xml:space="preserve"> Sentencia </w:t>
      </w:r>
      <w:hyperlink w:anchor="SENTENCIA_2013_122" w:history="1">
        <w:r w:rsidRPr="00E27756">
          <w:rPr>
            <w:rStyle w:val="TextoNormalCaracter"/>
          </w:rPr>
          <w:t>122/2013</w:t>
        </w:r>
      </w:hyperlink>
      <w:r>
        <w:t>, f. 2.</w:t>
      </w:r>
    </w:p>
    <w:p w:rsidR="00E27756" w:rsidRDefault="00E27756" w:rsidP="00E27756">
      <w:pPr>
        <w:pStyle w:val="SangriaFrancesaArticulo"/>
      </w:pPr>
      <w:r w:rsidRPr="00E27756">
        <w:rPr>
          <w:rStyle w:val="TextoNormalNegritaCaracter"/>
        </w:rPr>
        <w:t>Artículo 217.</w:t>
      </w:r>
      <w:r w:rsidRPr="00E27756">
        <w:rPr>
          <w:rStyle w:val="TextoNormalCaracter"/>
        </w:rPr>
        <w:t>-</w:t>
      </w:r>
      <w:r>
        <w:t xml:space="preserve"> Sentencia </w:t>
      </w:r>
      <w:hyperlink w:anchor="SENTENCIA_2013_126" w:history="1">
        <w:r w:rsidRPr="00E27756">
          <w:rPr>
            <w:rStyle w:val="TextoNormalCaracter"/>
          </w:rPr>
          <w:t>126/2013</w:t>
        </w:r>
      </w:hyperlink>
      <w:r>
        <w:t>, f. 3.</w:t>
      </w:r>
    </w:p>
    <w:p w:rsidR="00E27756" w:rsidRDefault="00E27756" w:rsidP="00E27756">
      <w:pPr>
        <w:pStyle w:val="SangriaFrancesaArticulo"/>
      </w:pPr>
      <w:r w:rsidRPr="00E27756">
        <w:rPr>
          <w:rStyle w:val="TextoNormalNegritaCaracter"/>
        </w:rPr>
        <w:t>Artículo 222.2.</w:t>
      </w:r>
      <w:r w:rsidRPr="00E27756">
        <w:rPr>
          <w:rStyle w:val="TextoNormalCaracter"/>
        </w:rPr>
        <w:t>-</w:t>
      </w:r>
      <w:r>
        <w:t xml:space="preserve"> Sentencia </w:t>
      </w:r>
      <w:hyperlink w:anchor="SENTENCIA_2013_106" w:history="1">
        <w:r w:rsidRPr="00E27756">
          <w:rPr>
            <w:rStyle w:val="TextoNormalCaracter"/>
          </w:rPr>
          <w:t>106/2013</w:t>
        </w:r>
      </w:hyperlink>
      <w:r>
        <w:t>, f. 5.</w:t>
      </w:r>
    </w:p>
    <w:p w:rsidR="00E27756" w:rsidRDefault="00E27756" w:rsidP="00E27756">
      <w:pPr>
        <w:pStyle w:val="SangriaFrancesaArticulo"/>
      </w:pPr>
      <w:r w:rsidRPr="00E27756">
        <w:rPr>
          <w:rStyle w:val="TextoNormalNegritaCaracter"/>
        </w:rPr>
        <w:t>Artículo 231.</w:t>
      </w:r>
      <w:r w:rsidRPr="00E27756">
        <w:rPr>
          <w:rStyle w:val="TextoNormalCaracter"/>
        </w:rPr>
        <w:t>-</w:t>
      </w:r>
      <w:r>
        <w:t xml:space="preserve"> Sentencia </w:t>
      </w:r>
      <w:hyperlink w:anchor="SENTENCIA_2013_90" w:history="1">
        <w:r w:rsidRPr="00E27756">
          <w:rPr>
            <w:rStyle w:val="TextoNormalCaracter"/>
          </w:rPr>
          <w:t>90/2013</w:t>
        </w:r>
      </w:hyperlink>
      <w:r>
        <w:t>, f. 2.</w:t>
      </w:r>
    </w:p>
    <w:p w:rsidR="00E27756" w:rsidRDefault="00E27756" w:rsidP="00E27756">
      <w:pPr>
        <w:pStyle w:val="SangriaFrancesaArticulo"/>
      </w:pPr>
      <w:r w:rsidRPr="00E27756">
        <w:rPr>
          <w:rStyle w:val="TextoNormalNegritaCaracter"/>
        </w:rPr>
        <w:t>Artículo 242.4.</w:t>
      </w:r>
      <w:r w:rsidRPr="00E27756">
        <w:rPr>
          <w:rStyle w:val="TextoNormalCaracter"/>
        </w:rPr>
        <w:t>-</w:t>
      </w:r>
      <w:r>
        <w:t xml:space="preserve"> Sentencia </w:t>
      </w:r>
      <w:hyperlink w:anchor="SENTENCIA_2013_108" w:history="1">
        <w:r w:rsidRPr="00E27756">
          <w:rPr>
            <w:rStyle w:val="TextoNormalCaracter"/>
          </w:rPr>
          <w:t>108/2013</w:t>
        </w:r>
      </w:hyperlink>
      <w:r>
        <w:t>, f. 5.</w:t>
      </w:r>
    </w:p>
    <w:p w:rsidR="00E27756" w:rsidRDefault="00E27756" w:rsidP="00E27756">
      <w:pPr>
        <w:pStyle w:val="SangriaFrancesaArticulo"/>
      </w:pPr>
      <w:r w:rsidRPr="00E27756">
        <w:rPr>
          <w:rStyle w:val="TextoNormalNegritaCaracter"/>
        </w:rPr>
        <w:t>Artículo 243.1.</w:t>
      </w:r>
      <w:r w:rsidRPr="00E27756">
        <w:rPr>
          <w:rStyle w:val="TextoNormalCaracter"/>
        </w:rPr>
        <w:t>-</w:t>
      </w:r>
      <w:r>
        <w:t xml:space="preserve"> Sentencia </w:t>
      </w:r>
      <w:hyperlink w:anchor="SENTENCIA_2013_121" w:history="1">
        <w:r w:rsidRPr="00E27756">
          <w:rPr>
            <w:rStyle w:val="TextoNormalCaracter"/>
          </w:rPr>
          <w:t>121/2013</w:t>
        </w:r>
      </w:hyperlink>
      <w:r>
        <w:t>, ff. 1, 4.</w:t>
      </w:r>
    </w:p>
    <w:p w:rsidR="00E27756" w:rsidRDefault="00E27756" w:rsidP="00E27756">
      <w:pPr>
        <w:pStyle w:val="SangriaFrancesaArticulo"/>
      </w:pPr>
      <w:r w:rsidRPr="00E27756">
        <w:rPr>
          <w:rStyle w:val="TextoNormalNegritaCaracter"/>
        </w:rPr>
        <w:t>Artículo 245.2.</w:t>
      </w:r>
      <w:r w:rsidRPr="00E27756">
        <w:rPr>
          <w:rStyle w:val="TextoNormalCaracter"/>
        </w:rPr>
        <w:t>-</w:t>
      </w:r>
      <w:r>
        <w:t xml:space="preserve"> Sentencia </w:t>
      </w:r>
      <w:hyperlink w:anchor="SENTENCIA_2013_108" w:history="1">
        <w:r w:rsidRPr="00E27756">
          <w:rPr>
            <w:rStyle w:val="TextoNormalCaracter"/>
          </w:rPr>
          <w:t>108/2013</w:t>
        </w:r>
      </w:hyperlink>
      <w:r>
        <w:t>, f. 5.</w:t>
      </w:r>
    </w:p>
    <w:p w:rsidR="00E27756" w:rsidRDefault="00E27756" w:rsidP="00E27756">
      <w:pPr>
        <w:pStyle w:val="SangriaFrancesaArticulo"/>
      </w:pPr>
      <w:r w:rsidRPr="00E27756">
        <w:rPr>
          <w:rStyle w:val="TextoNormalNegritaCaracter"/>
        </w:rPr>
        <w:t>Artículo 400.</w:t>
      </w:r>
      <w:r w:rsidRPr="00E27756">
        <w:rPr>
          <w:rStyle w:val="TextoNormalCaracter"/>
        </w:rPr>
        <w:t>-</w:t>
      </w:r>
      <w:r>
        <w:t xml:space="preserve"> Sentencia </w:t>
      </w:r>
      <w:hyperlink w:anchor="SENTENCIA_2013_106" w:history="1">
        <w:r w:rsidRPr="00E27756">
          <w:rPr>
            <w:rStyle w:val="TextoNormalCaracter"/>
          </w:rPr>
          <w:t>106/2013</w:t>
        </w:r>
      </w:hyperlink>
      <w:r>
        <w:t>, ff. 1, 5.</w:t>
      </w:r>
    </w:p>
    <w:p w:rsidR="00E27756" w:rsidRDefault="00E27756" w:rsidP="00E27756">
      <w:pPr>
        <w:pStyle w:val="SangriaFrancesaArticulo"/>
      </w:pPr>
      <w:r w:rsidRPr="00E27756">
        <w:rPr>
          <w:rStyle w:val="TextoNormalNegritaCaracter"/>
        </w:rPr>
        <w:t>Artículo 400.2.</w:t>
      </w:r>
      <w:r w:rsidRPr="00E27756">
        <w:rPr>
          <w:rStyle w:val="TextoNormalCaracter"/>
        </w:rPr>
        <w:t>-</w:t>
      </w:r>
      <w:r>
        <w:t xml:space="preserve"> Sentencia </w:t>
      </w:r>
      <w:hyperlink w:anchor="SENTENCIA_2013_106" w:history="1">
        <w:r w:rsidRPr="00E27756">
          <w:rPr>
            <w:rStyle w:val="TextoNormalCaracter"/>
          </w:rPr>
          <w:t>106/2013</w:t>
        </w:r>
      </w:hyperlink>
      <w:r>
        <w:t>, f. 5.</w:t>
      </w:r>
    </w:p>
    <w:p w:rsidR="00E27756" w:rsidRDefault="00E27756" w:rsidP="00E27756">
      <w:pPr>
        <w:pStyle w:val="SangriaFrancesaArticulo"/>
      </w:pPr>
      <w:r w:rsidRPr="00E27756">
        <w:rPr>
          <w:rStyle w:val="TextoNormalNegritaCaracter"/>
        </w:rPr>
        <w:t>Artículo 406.</w:t>
      </w:r>
      <w:r w:rsidRPr="00E27756">
        <w:rPr>
          <w:rStyle w:val="TextoNormalCaracter"/>
        </w:rPr>
        <w:t>-</w:t>
      </w:r>
      <w:r>
        <w:t xml:space="preserve"> Sentencia </w:t>
      </w:r>
      <w:hyperlink w:anchor="SENTENCIA_2013_106" w:history="1">
        <w:r w:rsidRPr="00E27756">
          <w:rPr>
            <w:rStyle w:val="TextoNormalCaracter"/>
          </w:rPr>
          <w:t>106/2013</w:t>
        </w:r>
      </w:hyperlink>
      <w:r>
        <w:t>, f. 5.</w:t>
      </w:r>
    </w:p>
    <w:p w:rsidR="00E27756" w:rsidRDefault="00E27756" w:rsidP="00E27756">
      <w:pPr>
        <w:pStyle w:val="SangriaFrancesaArticulo"/>
      </w:pPr>
      <w:r w:rsidRPr="00E27756">
        <w:rPr>
          <w:rStyle w:val="TextoNormalNegritaCaracter"/>
        </w:rPr>
        <w:t>Artículo 406.4.</w:t>
      </w:r>
      <w:r w:rsidRPr="00E27756">
        <w:rPr>
          <w:rStyle w:val="TextoNormalCaracter"/>
        </w:rPr>
        <w:t>-</w:t>
      </w:r>
      <w:r>
        <w:t xml:space="preserve"> Sentencia </w:t>
      </w:r>
      <w:hyperlink w:anchor="SENTENCIA_2013_106" w:history="1">
        <w:r w:rsidRPr="00E27756">
          <w:rPr>
            <w:rStyle w:val="TextoNormalCaracter"/>
          </w:rPr>
          <w:t>106/2013</w:t>
        </w:r>
      </w:hyperlink>
      <w:r>
        <w:t>, f. 5.</w:t>
      </w:r>
    </w:p>
    <w:p w:rsidR="00E27756" w:rsidRDefault="00E27756" w:rsidP="00E27756">
      <w:pPr>
        <w:pStyle w:val="SangriaFrancesaArticulo"/>
      </w:pPr>
      <w:r w:rsidRPr="00E27756">
        <w:rPr>
          <w:rStyle w:val="TextoNormalNegritaCaracter"/>
        </w:rPr>
        <w:t>Artículo 469.1.4.</w:t>
      </w:r>
      <w:r w:rsidRPr="00E27756">
        <w:rPr>
          <w:rStyle w:val="TextoNormalCaracter"/>
        </w:rPr>
        <w:t>-</w:t>
      </w:r>
      <w:r>
        <w:t xml:space="preserve"> Sentencia </w:t>
      </w:r>
      <w:hyperlink w:anchor="SENTENCIA_2013_56" w:history="1">
        <w:r w:rsidRPr="00E27756">
          <w:rPr>
            <w:rStyle w:val="TextoNormalCaracter"/>
          </w:rPr>
          <w:t>56/2013</w:t>
        </w:r>
      </w:hyperlink>
      <w:r>
        <w:t>, f. 3.</w:t>
      </w:r>
    </w:p>
    <w:p w:rsidR="00E27756" w:rsidRDefault="00E27756" w:rsidP="00E27756">
      <w:pPr>
        <w:pStyle w:val="SangriaFrancesaArticulo"/>
      </w:pPr>
      <w:r w:rsidRPr="00E27756">
        <w:rPr>
          <w:rStyle w:val="TextoNormalNegritaCaracter"/>
        </w:rPr>
        <w:t>Artículo 469.4.</w:t>
      </w:r>
      <w:r w:rsidRPr="00E27756">
        <w:rPr>
          <w:rStyle w:val="TextoNormalCaracter"/>
        </w:rPr>
        <w:t>-</w:t>
      </w:r>
      <w:r>
        <w:t xml:space="preserve"> Sentencia </w:t>
      </w:r>
      <w:hyperlink w:anchor="SENTENCIA_2013_106" w:history="1">
        <w:r w:rsidRPr="00E27756">
          <w:rPr>
            <w:rStyle w:val="TextoNormalCaracter"/>
          </w:rPr>
          <w:t>106/2013</w:t>
        </w:r>
      </w:hyperlink>
      <w:r>
        <w:t>, f. 3.</w:t>
      </w:r>
    </w:p>
    <w:p w:rsidR="00E27756" w:rsidRDefault="00E27756" w:rsidP="00E27756">
      <w:pPr>
        <w:pStyle w:val="SangriaFrancesaArticulo"/>
      </w:pPr>
      <w:r w:rsidRPr="00E27756">
        <w:rPr>
          <w:rStyle w:val="TextoNormalNegritaCaracter"/>
        </w:rPr>
        <w:t>Artículo 477.</w:t>
      </w:r>
      <w:r w:rsidRPr="00E27756">
        <w:rPr>
          <w:rStyle w:val="TextoNormalCaracter"/>
        </w:rPr>
        <w:t>-</w:t>
      </w:r>
      <w:r>
        <w:t xml:space="preserve"> Sentencia </w:t>
      </w:r>
      <w:hyperlink w:anchor="SENTENCIA_2013_106" w:history="1">
        <w:r w:rsidRPr="00E27756">
          <w:rPr>
            <w:rStyle w:val="TextoNormalCaracter"/>
          </w:rPr>
          <w:t>106/2013</w:t>
        </w:r>
      </w:hyperlink>
      <w:r>
        <w:t>, f. 3.</w:t>
      </w:r>
    </w:p>
    <w:p w:rsidR="00E27756" w:rsidRDefault="00E27756" w:rsidP="00E27756">
      <w:pPr>
        <w:pStyle w:val="SangriaFrancesaArticulo"/>
      </w:pPr>
      <w:r w:rsidRPr="00E27756">
        <w:rPr>
          <w:rStyle w:val="TextoNormalNegritaCaracter"/>
        </w:rPr>
        <w:t>Artículo 477.3.</w:t>
      </w:r>
      <w:r w:rsidRPr="00E27756">
        <w:rPr>
          <w:rStyle w:val="TextoNormalCaracter"/>
        </w:rPr>
        <w:t>-</w:t>
      </w:r>
      <w:r>
        <w:t xml:space="preserve"> Sentencia </w:t>
      </w:r>
      <w:hyperlink w:anchor="SENTENCIA_2013_106" w:history="1">
        <w:r w:rsidRPr="00E27756">
          <w:rPr>
            <w:rStyle w:val="TextoNormalCaracter"/>
          </w:rPr>
          <w:t>106/2013</w:t>
        </w:r>
      </w:hyperlink>
      <w:r>
        <w:t>, f. 3.</w:t>
      </w:r>
    </w:p>
    <w:p w:rsidR="00E27756" w:rsidRDefault="00E27756" w:rsidP="00E27756">
      <w:pPr>
        <w:pStyle w:val="SangriaFrancesaArticulo"/>
      </w:pPr>
      <w:r w:rsidRPr="00E27756">
        <w:rPr>
          <w:rStyle w:val="TextoNormalNegritaCaracter"/>
        </w:rPr>
        <w:t>Artículo 538.1.3.</w:t>
      </w:r>
      <w:r w:rsidRPr="00E27756">
        <w:rPr>
          <w:rStyle w:val="TextoNormalCaracter"/>
        </w:rPr>
        <w:t>-</w:t>
      </w:r>
      <w:r>
        <w:t xml:space="preserve"> Sentencia </w:t>
      </w:r>
      <w:hyperlink w:anchor="SENTENCIA_2013_79" w:history="1">
        <w:r w:rsidRPr="00E27756">
          <w:rPr>
            <w:rStyle w:val="TextoNormalCaracter"/>
          </w:rPr>
          <w:t>79/2013</w:t>
        </w:r>
      </w:hyperlink>
      <w:r>
        <w:t>, f. 4.</w:t>
      </w:r>
    </w:p>
    <w:p w:rsidR="00E27756" w:rsidRDefault="00E27756" w:rsidP="00E27756">
      <w:pPr>
        <w:pStyle w:val="SangriaFrancesaArticulo"/>
      </w:pPr>
      <w:r w:rsidRPr="00E27756">
        <w:rPr>
          <w:rStyle w:val="TextoNormalNegritaCaracter"/>
        </w:rPr>
        <w:t>Artículo 553.</w:t>
      </w:r>
      <w:r w:rsidRPr="00E27756">
        <w:rPr>
          <w:rStyle w:val="TextoNormalCaracter"/>
        </w:rPr>
        <w:t>-</w:t>
      </w:r>
      <w:r>
        <w:t xml:space="preserve"> Sentencia </w:t>
      </w:r>
      <w:hyperlink w:anchor="SENTENCIA_2013_122" w:history="1">
        <w:r w:rsidRPr="00E27756">
          <w:rPr>
            <w:rStyle w:val="TextoNormalCaracter"/>
          </w:rPr>
          <w:t>122/2013</w:t>
        </w:r>
      </w:hyperlink>
      <w:r>
        <w:t>, f. 5.</w:t>
      </w:r>
    </w:p>
    <w:p w:rsidR="00E27756" w:rsidRDefault="00E27756" w:rsidP="00E27756">
      <w:pPr>
        <w:pStyle w:val="SangriaFrancesaArticulo"/>
      </w:pPr>
      <w:r w:rsidRPr="00E27756">
        <w:rPr>
          <w:rStyle w:val="TextoNormalNegritaCaracter"/>
        </w:rPr>
        <w:t>Artículo 556.</w:t>
      </w:r>
      <w:r w:rsidRPr="00E27756">
        <w:rPr>
          <w:rStyle w:val="TextoNormalCaracter"/>
        </w:rPr>
        <w:t>-</w:t>
      </w:r>
      <w:r>
        <w:t xml:space="preserve"> Sentencia </w:t>
      </w:r>
      <w:hyperlink w:anchor="SENTENCIA_2013_10" w:history="1">
        <w:r w:rsidRPr="00E27756">
          <w:rPr>
            <w:rStyle w:val="TextoNormalCaracter"/>
          </w:rPr>
          <w:t>10/2013</w:t>
        </w:r>
      </w:hyperlink>
      <w:r>
        <w:t>, f. 4.</w:t>
      </w:r>
    </w:p>
    <w:p w:rsidR="00E27756" w:rsidRDefault="00E27756" w:rsidP="00E27756">
      <w:pPr>
        <w:pStyle w:val="SangriaFrancesaArticulo"/>
      </w:pPr>
      <w:r w:rsidRPr="00E27756">
        <w:rPr>
          <w:rStyle w:val="TextoNormalNegritaCaracter"/>
        </w:rPr>
        <w:t>Artículo 681.1.</w:t>
      </w:r>
      <w:r w:rsidRPr="00E27756">
        <w:rPr>
          <w:rStyle w:val="TextoNormalCaracter"/>
        </w:rPr>
        <w:t>-</w:t>
      </w:r>
      <w:r>
        <w:t xml:space="preserve"> Sentencia </w:t>
      </w:r>
      <w:hyperlink w:anchor="SENTENCIA_2013_79" w:history="1">
        <w:r w:rsidRPr="00E27756">
          <w:rPr>
            <w:rStyle w:val="TextoNormalCaracter"/>
          </w:rPr>
          <w:t>79/2013</w:t>
        </w:r>
      </w:hyperlink>
      <w:r>
        <w:t>, f. 4.</w:t>
      </w:r>
    </w:p>
    <w:p w:rsidR="00E27756" w:rsidRDefault="00E27756" w:rsidP="00E27756">
      <w:pPr>
        <w:pStyle w:val="SangriaFrancesaArticulo"/>
      </w:pPr>
      <w:r w:rsidRPr="00E27756">
        <w:rPr>
          <w:rStyle w:val="TextoNormalNegritaCaracter"/>
        </w:rPr>
        <w:t>Artículo 685.</w:t>
      </w:r>
      <w:r w:rsidRPr="00E27756">
        <w:rPr>
          <w:rStyle w:val="TextoNormalCaracter"/>
        </w:rPr>
        <w:t>-</w:t>
      </w:r>
      <w:r>
        <w:t xml:space="preserve"> Sentencia </w:t>
      </w:r>
      <w:hyperlink w:anchor="SENTENCIA_2013_79" w:history="1">
        <w:r w:rsidRPr="00E27756">
          <w:rPr>
            <w:rStyle w:val="TextoNormalCaracter"/>
          </w:rPr>
          <w:t>79/2013</w:t>
        </w:r>
      </w:hyperlink>
      <w:r>
        <w:t>, f. 4.</w:t>
      </w:r>
    </w:p>
    <w:p w:rsidR="00E27756" w:rsidRDefault="00E27756" w:rsidP="00E27756">
      <w:pPr>
        <w:pStyle w:val="SangriaFrancesaArticulo"/>
      </w:pPr>
      <w:r w:rsidRPr="00E27756">
        <w:rPr>
          <w:rStyle w:val="TextoNormalNegritaCaracter"/>
        </w:rPr>
        <w:t>Artículo 686.3.</w:t>
      </w:r>
      <w:r w:rsidRPr="00E27756">
        <w:rPr>
          <w:rStyle w:val="TextoNormalCaracter"/>
        </w:rPr>
        <w:t>-</w:t>
      </w:r>
      <w:r>
        <w:t xml:space="preserve"> Sentencia </w:t>
      </w:r>
      <w:hyperlink w:anchor="SENTENCIA_2013_122" w:history="1">
        <w:r w:rsidRPr="00E27756">
          <w:rPr>
            <w:rStyle w:val="TextoNormalCaracter"/>
          </w:rPr>
          <w:t>122/2013</w:t>
        </w:r>
      </w:hyperlink>
      <w:r>
        <w:t>, ff. 2, 3, 5.</w:t>
      </w:r>
    </w:p>
    <w:p w:rsidR="00E27756" w:rsidRDefault="00E27756" w:rsidP="00E27756">
      <w:pPr>
        <w:pStyle w:val="SangriaFrancesaArticulo"/>
      </w:pPr>
      <w:r w:rsidRPr="00E27756">
        <w:rPr>
          <w:rStyle w:val="TextoNormalNegritaCaracter"/>
        </w:rPr>
        <w:t>Artículo 686.3</w:t>
      </w:r>
      <w:r>
        <w:t xml:space="preserve"> </w:t>
      </w:r>
      <w:r w:rsidRPr="00E27756">
        <w:rPr>
          <w:rStyle w:val="TextoNormalCaracter"/>
        </w:rPr>
        <w:t>(redactado por la Ley 13/2009, de 3 de noviembre)</w:t>
      </w:r>
      <w:r w:rsidRPr="00E27756">
        <w:rPr>
          <w:rStyle w:val="TextoNormalNegritaCaracter"/>
        </w:rPr>
        <w:t>.</w:t>
      </w:r>
      <w:r w:rsidRPr="00E27756">
        <w:rPr>
          <w:rStyle w:val="TextoNormalCaracter"/>
        </w:rPr>
        <w:t>-</w:t>
      </w:r>
      <w:r>
        <w:t xml:space="preserve"> Sentencia </w:t>
      </w:r>
      <w:hyperlink w:anchor="SENTENCIA_2013_122" w:history="1">
        <w:r w:rsidRPr="00E27756">
          <w:rPr>
            <w:rStyle w:val="TextoNormalCaracter"/>
          </w:rPr>
          <w:t>122/2013</w:t>
        </w:r>
      </w:hyperlink>
      <w:r>
        <w:t>, ff. 2, 4.</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Auto </w:t>
      </w:r>
      <w:hyperlink w:anchor="AUTO_2013_23" w:history="1">
        <w:r w:rsidRPr="00E27756">
          <w:rPr>
            <w:rStyle w:val="TextoNormalCaracter"/>
          </w:rPr>
          <w:t>23/2013</w:t>
        </w:r>
      </w:hyperlink>
      <w:r>
        <w:t>, f. 4.</w:t>
      </w:r>
    </w:p>
    <w:p w:rsidR="00E27756" w:rsidRDefault="00E27756" w:rsidP="00E27756">
      <w:pPr>
        <w:pStyle w:val="SangriaFrancesaArticulo"/>
      </w:pPr>
    </w:p>
    <w:p w:rsidR="00E27756" w:rsidRDefault="00E27756" w:rsidP="00E27756">
      <w:pPr>
        <w:pStyle w:val="TextoNormalNegritaCursivandice"/>
      </w:pPr>
      <w:r>
        <w:t>Ley 10/2001, de 5 de julio. Plan hidrológico nacional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51" w:history="1">
        <w:r w:rsidRPr="00E27756">
          <w:rPr>
            <w:rStyle w:val="TextoNormalCaracter"/>
          </w:rPr>
          <w:t>51/2013</w:t>
        </w:r>
      </w:hyperlink>
      <w:r>
        <w:t xml:space="preserve">, ff. 1, 4, 5; </w:t>
      </w:r>
      <w:hyperlink w:anchor="SENTENCIA_2013_63" w:history="1">
        <w:r w:rsidRPr="00E27756">
          <w:rPr>
            <w:rStyle w:val="TextoNormalCaracter"/>
          </w:rPr>
          <w:t>63/2013</w:t>
        </w:r>
      </w:hyperlink>
      <w:r>
        <w:t xml:space="preserve">, ff. 1, 2; </w:t>
      </w:r>
      <w:hyperlink w:anchor="SENTENCIA_2013_64" w:history="1">
        <w:r w:rsidRPr="00E27756">
          <w:rPr>
            <w:rStyle w:val="TextoNormalCaracter"/>
          </w:rPr>
          <w:t>64/2013</w:t>
        </w:r>
      </w:hyperlink>
      <w:r>
        <w:t>, ff. 1, 2.</w:t>
      </w:r>
    </w:p>
    <w:p w:rsidR="00E27756" w:rsidRDefault="00E27756" w:rsidP="00E27756">
      <w:pPr>
        <w:pStyle w:val="SangriaFrancesaArticulo"/>
      </w:pPr>
      <w:r w:rsidRPr="00E27756">
        <w:rPr>
          <w:rStyle w:val="TextoNormalNegritaCaracter"/>
        </w:rPr>
        <w:t>Artículo 2.2 e).</w:t>
      </w:r>
      <w:r w:rsidRPr="00E27756">
        <w:rPr>
          <w:rStyle w:val="TextoNormalCaracter"/>
        </w:rPr>
        <w:t>-</w:t>
      </w:r>
      <w:r>
        <w:t xml:space="preserve"> Sentencia </w:t>
      </w:r>
      <w:hyperlink w:anchor="SENTENCIA_2013_19" w:history="1">
        <w:r w:rsidRPr="00E27756">
          <w:rPr>
            <w:rStyle w:val="TextoNormalCaracter"/>
          </w:rPr>
          <w:t>19/2013</w:t>
        </w:r>
      </w:hyperlink>
      <w:r>
        <w:t>, f. 2.</w:t>
      </w:r>
    </w:p>
    <w:p w:rsidR="00E27756" w:rsidRDefault="00E27756" w:rsidP="00E27756">
      <w:pPr>
        <w:pStyle w:val="SangriaFrancesaArticulo"/>
      </w:pPr>
      <w:r w:rsidRPr="00E27756">
        <w:rPr>
          <w:rStyle w:val="TextoNormalNegritaCaracter"/>
        </w:rPr>
        <w:t>Artículo 6 c).</w:t>
      </w:r>
      <w:r w:rsidRPr="00E27756">
        <w:rPr>
          <w:rStyle w:val="TextoNormalCaracter"/>
        </w:rPr>
        <w:t>-</w:t>
      </w:r>
      <w:r>
        <w:t xml:space="preserve"> Sentencia </w:t>
      </w:r>
      <w:hyperlink w:anchor="SENTENCIA_2013_19" w:history="1">
        <w:r w:rsidRPr="00E27756">
          <w:rPr>
            <w:rStyle w:val="TextoNormalCaracter"/>
          </w:rPr>
          <w:t>19/2013</w:t>
        </w:r>
      </w:hyperlink>
      <w:r>
        <w:t>, f. 2.</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51" w:history="1">
        <w:r w:rsidRPr="00E27756">
          <w:rPr>
            <w:rStyle w:val="TextoNormalCaracter"/>
          </w:rPr>
          <w:t>51/2013</w:t>
        </w:r>
      </w:hyperlink>
      <w:r>
        <w:t>, ff. 1, 4.</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51" w:history="1">
        <w:r w:rsidRPr="00E27756">
          <w:rPr>
            <w:rStyle w:val="TextoNormalCaracter"/>
          </w:rPr>
          <w:t>51/2013</w:t>
        </w:r>
      </w:hyperlink>
      <w:r>
        <w:t>, f. 1.</w:t>
      </w:r>
    </w:p>
    <w:p w:rsidR="00E27756" w:rsidRDefault="00E27756" w:rsidP="00E27756">
      <w:pPr>
        <w:pStyle w:val="SangriaFrancesaArticulo"/>
      </w:pPr>
      <w:r w:rsidRPr="00E27756">
        <w:rPr>
          <w:rStyle w:val="TextoNormalNegritaCaracter"/>
        </w:rPr>
        <w:t>Artículo 16.</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51" w:history="1">
        <w:r w:rsidRPr="00E27756">
          <w:rPr>
            <w:rStyle w:val="TextoNormalCaracter"/>
          </w:rPr>
          <w:t>51/2013</w:t>
        </w:r>
      </w:hyperlink>
      <w:r>
        <w:t>, f. 1.</w:t>
      </w:r>
    </w:p>
    <w:p w:rsidR="00E27756" w:rsidRDefault="00E27756" w:rsidP="00E27756">
      <w:pPr>
        <w:pStyle w:val="SangriaFrancesaArticulo"/>
      </w:pPr>
      <w:r w:rsidRPr="00E27756">
        <w:rPr>
          <w:rStyle w:val="TextoNormalNegritaCaracter"/>
        </w:rPr>
        <w:t>Artículo 17.</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51" w:history="1">
        <w:r w:rsidRPr="00E27756">
          <w:rPr>
            <w:rStyle w:val="TextoNormalCaracter"/>
          </w:rPr>
          <w:t>51/2013</w:t>
        </w:r>
      </w:hyperlink>
      <w:r>
        <w:t>, f. 1.</w:t>
      </w:r>
    </w:p>
    <w:p w:rsidR="00E27756" w:rsidRDefault="00E27756" w:rsidP="00E27756">
      <w:pPr>
        <w:pStyle w:val="SangriaFrancesaArticulo"/>
      </w:pPr>
      <w:r w:rsidRPr="00E27756">
        <w:rPr>
          <w:rStyle w:val="TextoNormalNegritaCaracter"/>
        </w:rPr>
        <w:t>Artículo 17.1 c).</w:t>
      </w:r>
      <w:r w:rsidRPr="00E27756">
        <w:rPr>
          <w:rStyle w:val="TextoNormalCaracter"/>
        </w:rPr>
        <w:t>-</w:t>
      </w:r>
      <w:r>
        <w:t xml:space="preserve"> Sentencia </w:t>
      </w:r>
      <w:hyperlink w:anchor="SENTENCIA_2013_19" w:history="1">
        <w:r w:rsidRPr="00E27756">
          <w:rPr>
            <w:rStyle w:val="TextoNormalCaracter"/>
          </w:rPr>
          <w:t>19/2013</w:t>
        </w:r>
      </w:hyperlink>
      <w:r>
        <w:t>, f. 2.</w:t>
      </w:r>
    </w:p>
    <w:p w:rsidR="00E27756" w:rsidRDefault="00E27756" w:rsidP="00E27756">
      <w:pPr>
        <w:pStyle w:val="SangriaFrancesaArticulo"/>
      </w:pPr>
      <w:r w:rsidRPr="00E27756">
        <w:rPr>
          <w:rStyle w:val="TextoNormalNegritaCaracter"/>
        </w:rPr>
        <w:t>Artículo 18.</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51" w:history="1">
        <w:r w:rsidRPr="00E27756">
          <w:rPr>
            <w:rStyle w:val="TextoNormalCaracter"/>
          </w:rPr>
          <w:t>51/2013</w:t>
        </w:r>
      </w:hyperlink>
      <w:r>
        <w:t>, f. 1.</w:t>
      </w:r>
    </w:p>
    <w:p w:rsidR="00E27756" w:rsidRDefault="00E27756" w:rsidP="00E27756">
      <w:pPr>
        <w:pStyle w:val="SangriaFrancesaArticulo"/>
      </w:pPr>
      <w:r w:rsidRPr="00E27756">
        <w:rPr>
          <w:rStyle w:val="TextoNormalNegritaCaracter"/>
        </w:rPr>
        <w:t>Artículo 19.</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51" w:history="1">
        <w:r w:rsidRPr="00E27756">
          <w:rPr>
            <w:rStyle w:val="TextoNormalCaracter"/>
          </w:rPr>
          <w:t>51/2013</w:t>
        </w:r>
      </w:hyperlink>
      <w:r>
        <w:t>, f. 1.</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51" w:history="1">
        <w:r w:rsidRPr="00E27756">
          <w:rPr>
            <w:rStyle w:val="TextoNormalCaracter"/>
          </w:rPr>
          <w:t>51/2013</w:t>
        </w:r>
      </w:hyperlink>
      <w:r>
        <w:t>, f. 1.</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51" w:history="1">
        <w:r w:rsidRPr="00E27756">
          <w:rPr>
            <w:rStyle w:val="TextoNormalCaracter"/>
          </w:rPr>
          <w:t>51/2013</w:t>
        </w:r>
      </w:hyperlink>
      <w:r>
        <w:t>, f. 1.</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51" w:history="1">
        <w:r w:rsidRPr="00E27756">
          <w:rPr>
            <w:rStyle w:val="TextoNormalCaracter"/>
          </w:rPr>
          <w:t>51/2013</w:t>
        </w:r>
      </w:hyperlink>
      <w:r>
        <w:t>, f. 1.</w:t>
      </w:r>
    </w:p>
    <w:p w:rsidR="00E27756" w:rsidRDefault="00E27756" w:rsidP="00E27756">
      <w:pPr>
        <w:pStyle w:val="SangriaFrancesaArticulo"/>
      </w:pPr>
      <w:r w:rsidRPr="00E27756">
        <w:rPr>
          <w:rStyle w:val="TextoNormalNegritaCaracter"/>
        </w:rPr>
        <w:t>Artículo 26.1</w:t>
      </w:r>
      <w:r>
        <w:t xml:space="preserve"> </w:t>
      </w:r>
      <w:r w:rsidRPr="00E27756">
        <w:rPr>
          <w:rStyle w:val="TextoNormalCaracter"/>
        </w:rPr>
        <w:t>(redactado por la Ley 11/2005, de 22 de junio)</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r w:rsidRPr="00E27756">
        <w:rPr>
          <w:rStyle w:val="TextoNormalNegritaCaracter"/>
        </w:rPr>
        <w:t>Artículo 26.1 párrafo 2 inciso in fine</w:t>
      </w:r>
      <w:r>
        <w:t xml:space="preserve"> </w:t>
      </w:r>
      <w:r w:rsidRPr="00E27756">
        <w:rPr>
          <w:rStyle w:val="TextoNormalCaracter"/>
        </w:rPr>
        <w:t>(redactado por la Ley 11/2005, de 22 de junio)</w:t>
      </w:r>
      <w:r w:rsidRPr="00E27756">
        <w:rPr>
          <w:rStyle w:val="TextoNormalNegritaCaracter"/>
        </w:rPr>
        <w:t>.</w:t>
      </w:r>
      <w:r w:rsidRPr="00E27756">
        <w:rPr>
          <w:rStyle w:val="TextoNormalCaracter"/>
        </w:rPr>
        <w:t>-</w:t>
      </w:r>
      <w:r>
        <w:t xml:space="preserve"> Sentencia </w:t>
      </w:r>
      <w:hyperlink w:anchor="SENTENCIA_2013_19" w:history="1">
        <w:r w:rsidRPr="00E27756">
          <w:rPr>
            <w:rStyle w:val="TextoNormalCaracter"/>
          </w:rPr>
          <w:t>19/2013</w:t>
        </w:r>
      </w:hyperlink>
      <w:r>
        <w:t>, ff. 1, 3.</w:t>
      </w:r>
    </w:p>
    <w:p w:rsidR="00E27756" w:rsidRDefault="00E27756" w:rsidP="00E27756">
      <w:pPr>
        <w:pStyle w:val="SangriaFrancesaArticulo"/>
      </w:pPr>
      <w:r w:rsidRPr="00E27756">
        <w:rPr>
          <w:rStyle w:val="TextoNormalNegritaCaracter"/>
        </w:rPr>
        <w:t>Artículo 36.4 in fine.</w:t>
      </w:r>
      <w:r w:rsidRPr="00E27756">
        <w:rPr>
          <w:rStyle w:val="TextoNormalCaracter"/>
        </w:rPr>
        <w:t>-</w:t>
      </w:r>
      <w:r>
        <w:t xml:space="preserve"> Sentencia </w:t>
      </w:r>
      <w:hyperlink w:anchor="SENTENCIA_2013_51" w:history="1">
        <w:r w:rsidRPr="00E27756">
          <w:rPr>
            <w:rStyle w:val="TextoNormalCaracter"/>
          </w:rPr>
          <w:t>51/2013</w:t>
        </w:r>
      </w:hyperlink>
      <w:r>
        <w:t>, f. 1.</w:t>
      </w:r>
    </w:p>
    <w:p w:rsidR="00E27756" w:rsidRDefault="00E27756" w:rsidP="00E27756">
      <w:pPr>
        <w:pStyle w:val="SangriaFrancesaArticulo"/>
      </w:pPr>
      <w:r w:rsidRPr="00E27756">
        <w:rPr>
          <w:rStyle w:val="TextoNormalNegritaCaracter"/>
        </w:rPr>
        <w:t>Artículo 36.4 inciso 2 in fine.</w:t>
      </w:r>
      <w:r w:rsidRPr="00E27756">
        <w:rPr>
          <w:rStyle w:val="TextoNormalCaracter"/>
        </w:rPr>
        <w:t>-</w:t>
      </w:r>
      <w:r>
        <w:t xml:space="preserve"> Sentencia </w:t>
      </w:r>
      <w:hyperlink w:anchor="SENTENCIA_2013_19" w:history="1">
        <w:r w:rsidRPr="00E27756">
          <w:rPr>
            <w:rStyle w:val="TextoNormalCaracter"/>
          </w:rPr>
          <w:t>19/2013</w:t>
        </w:r>
      </w:hyperlink>
      <w:r>
        <w:t>, f. 2.</w:t>
      </w:r>
    </w:p>
    <w:p w:rsidR="00E27756" w:rsidRDefault="00E27756" w:rsidP="00E27756">
      <w:pPr>
        <w:pStyle w:val="SangriaFrancesaArticulo"/>
      </w:pPr>
      <w:r w:rsidRPr="00E27756">
        <w:rPr>
          <w:rStyle w:val="TextoNormalNegritaCaracter"/>
        </w:rPr>
        <w:t>Artículo 36.5</w:t>
      </w:r>
      <w:r>
        <w:t xml:space="preserve"> </w:t>
      </w:r>
      <w:r w:rsidRPr="00E27756">
        <w:rPr>
          <w:rStyle w:val="TextoNormalCaracter"/>
        </w:rPr>
        <w:t>(redactado por el Real Decreto-ley-2/2004, de 18 de junio)</w:t>
      </w:r>
      <w:r w:rsidRPr="00E27756">
        <w:rPr>
          <w:rStyle w:val="TextoNormalNegritaCaracter"/>
        </w:rPr>
        <w:t>.</w:t>
      </w:r>
      <w:r w:rsidRPr="00E27756">
        <w:rPr>
          <w:rStyle w:val="TextoNormalCaracter"/>
        </w:rPr>
        <w:t>-</w:t>
      </w:r>
      <w:r>
        <w:t xml:space="preserve"> Sentencia </w:t>
      </w:r>
      <w:hyperlink w:anchor="SENTENCIA_2013_51" w:history="1">
        <w:r w:rsidRPr="00E27756">
          <w:rPr>
            <w:rStyle w:val="TextoNormalCaracter"/>
          </w:rPr>
          <w:t>51/2013</w:t>
        </w:r>
      </w:hyperlink>
      <w:r>
        <w:t>, f. 1.</w:t>
      </w:r>
    </w:p>
    <w:p w:rsidR="00E27756" w:rsidRDefault="00E27756" w:rsidP="00E27756">
      <w:pPr>
        <w:pStyle w:val="SangriaFrancesaArticulo"/>
      </w:pPr>
      <w:r w:rsidRPr="00E27756">
        <w:rPr>
          <w:rStyle w:val="TextoNormalNegritaCaracter"/>
        </w:rPr>
        <w:lastRenderedPageBreak/>
        <w:t>Disposición adicional décima</w:t>
      </w:r>
      <w:r>
        <w:t xml:space="preserve"> </w:t>
      </w:r>
      <w:r w:rsidRPr="00E27756">
        <w:rPr>
          <w:rStyle w:val="TextoNormalCaracter"/>
        </w:rPr>
        <w:t>(redactada por la Ley 11/2005, de 22 de junio)</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r w:rsidRPr="00E27756">
        <w:rPr>
          <w:rStyle w:val="TextoNormalNegritaCaracter"/>
        </w:rPr>
        <w:t>Disposición adicional décima, apartado 1 a)</w:t>
      </w:r>
      <w:r>
        <w:t xml:space="preserve"> </w:t>
      </w:r>
      <w:r w:rsidRPr="00E27756">
        <w:rPr>
          <w:rStyle w:val="TextoNormalCaracter"/>
        </w:rPr>
        <w:t>(redactada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ff. 1, 2.</w:t>
      </w:r>
    </w:p>
    <w:p w:rsidR="00E27756" w:rsidRDefault="00E27756" w:rsidP="00E27756">
      <w:pPr>
        <w:pStyle w:val="SangriaFrancesaArticulo"/>
      </w:pPr>
      <w:r w:rsidRPr="00E27756">
        <w:rPr>
          <w:rStyle w:val="TextoNormalNegritaCaracter"/>
        </w:rPr>
        <w:t>Disposición adicional décima, apartado 1 a)</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ff. 1, 2.</w:t>
      </w:r>
    </w:p>
    <w:p w:rsidR="00E27756" w:rsidRDefault="00E27756" w:rsidP="00E27756">
      <w:pPr>
        <w:pStyle w:val="SangriaFrancesaArticulo"/>
      </w:pPr>
      <w:r w:rsidRPr="00E27756">
        <w:rPr>
          <w:rStyle w:val="TextoNormalNegritaCaracter"/>
        </w:rPr>
        <w:t>Disposición adicional décima, apartados 3, 5</w:t>
      </w:r>
      <w:r>
        <w:t xml:space="preserve"> </w:t>
      </w:r>
      <w:r w:rsidRPr="00E27756">
        <w:rPr>
          <w:rStyle w:val="TextoNormalCaracter"/>
        </w:rPr>
        <w:t>(redactada por la Ley 11/2005, de 22 de junio)</w:t>
      </w:r>
      <w:r w:rsidRPr="00E27756">
        <w:rPr>
          <w:rStyle w:val="TextoNormalNegritaCaracter"/>
        </w:rPr>
        <w:t>.</w:t>
      </w:r>
      <w:r w:rsidRPr="00E27756">
        <w:rPr>
          <w:rStyle w:val="TextoNormalCaracter"/>
        </w:rPr>
        <w:t>-</w:t>
      </w:r>
      <w:r>
        <w:t xml:space="preserve"> Sentencia </w:t>
      </w:r>
      <w:hyperlink w:anchor="SENTENCIA_2013_19" w:history="1">
        <w:r w:rsidRPr="00E27756">
          <w:rPr>
            <w:rStyle w:val="TextoNormalCaracter"/>
          </w:rPr>
          <w:t>19/2013</w:t>
        </w:r>
      </w:hyperlink>
      <w:r>
        <w:t>, ff. 1, 3.</w:t>
      </w:r>
    </w:p>
    <w:p w:rsidR="00E27756" w:rsidRDefault="00E27756" w:rsidP="00E27756">
      <w:pPr>
        <w:pStyle w:val="SangriaFrancesaArticulo"/>
      </w:pPr>
      <w:r w:rsidRPr="00E27756">
        <w:rPr>
          <w:rStyle w:val="TextoNormalNegritaCaracter"/>
        </w:rPr>
        <w:t>Disposición adicional décima, apartados 3, 5</w:t>
      </w:r>
      <w:r>
        <w:t xml:space="preserve"> </w:t>
      </w:r>
      <w:r w:rsidRPr="00E27756">
        <w:rPr>
          <w:rStyle w:val="TextoNormalCaracter"/>
        </w:rPr>
        <w:t>(redactados por la Ley 11/2005, de 22 de junio)</w:t>
      </w:r>
      <w:r w:rsidRPr="00E27756">
        <w:rPr>
          <w:rStyle w:val="TextoNormalNegritaCaracter"/>
        </w:rPr>
        <w:t>.</w:t>
      </w:r>
      <w:r w:rsidRPr="00E27756">
        <w:rPr>
          <w:rStyle w:val="TextoNormalCaracter"/>
        </w:rPr>
        <w:t>-</w:t>
      </w:r>
      <w:r>
        <w:t xml:space="preserve"> Sentencia </w:t>
      </w:r>
      <w:hyperlink w:anchor="SENTENCIA_2013_19" w:history="1">
        <w:r w:rsidRPr="00E27756">
          <w:rPr>
            <w:rStyle w:val="TextoNormalCaracter"/>
          </w:rPr>
          <w:t>19/2013</w:t>
        </w:r>
      </w:hyperlink>
      <w:r>
        <w:t>, ff. 1, 3.</w:t>
      </w:r>
    </w:p>
    <w:p w:rsidR="00E27756" w:rsidRDefault="00E27756" w:rsidP="00E27756">
      <w:pPr>
        <w:pStyle w:val="SangriaFrancesaArticulo"/>
      </w:pPr>
      <w:r w:rsidRPr="00E27756">
        <w:rPr>
          <w:rStyle w:val="TextoNormalNegritaCaracter"/>
        </w:rPr>
        <w:t>Anexo II.</w:t>
      </w:r>
      <w:r w:rsidRPr="00E27756">
        <w:rPr>
          <w:rStyle w:val="TextoNormalCaracter"/>
        </w:rPr>
        <w:t>-</w:t>
      </w:r>
      <w:r>
        <w:t xml:space="preserve"> Sentencia </w:t>
      </w:r>
      <w:hyperlink w:anchor="SENTENCIA_2013_51" w:history="1">
        <w:r w:rsidRPr="00E27756">
          <w:rPr>
            <w:rStyle w:val="TextoNormalCaracter"/>
          </w:rPr>
          <w:t>51/2013</w:t>
        </w:r>
      </w:hyperlink>
      <w:r>
        <w:t>, f. 2.</w:t>
      </w:r>
    </w:p>
    <w:p w:rsidR="00E27756" w:rsidRDefault="00E27756" w:rsidP="00E27756">
      <w:pPr>
        <w:pStyle w:val="SangriaFrancesaArticulo"/>
      </w:pPr>
      <w:r w:rsidRPr="00E27756">
        <w:rPr>
          <w:rStyle w:val="TextoNormalNegritaCaracter"/>
        </w:rPr>
        <w:t>Anexo III.</w:t>
      </w:r>
      <w:r w:rsidRPr="00E27756">
        <w:rPr>
          <w:rStyle w:val="TextoNormalCaracter"/>
        </w:rPr>
        <w:t>-</w:t>
      </w:r>
      <w:r>
        <w:t xml:space="preserve"> Sentencia </w:t>
      </w:r>
      <w:hyperlink w:anchor="SENTENCIA_2013_51" w:history="1">
        <w:r w:rsidRPr="00E27756">
          <w:rPr>
            <w:rStyle w:val="TextoNormalCaracter"/>
          </w:rPr>
          <w:t>51/2013</w:t>
        </w:r>
      </w:hyperlink>
      <w:r>
        <w:t>, ff. 1, 4.</w:t>
      </w:r>
    </w:p>
    <w:p w:rsidR="00E27756" w:rsidRDefault="00E27756" w:rsidP="00E27756">
      <w:pPr>
        <w:pStyle w:val="SangriaFrancesaArticulo"/>
      </w:pPr>
      <w:r w:rsidRPr="00E27756">
        <w:rPr>
          <w:rStyle w:val="TextoNormalNegritaCaracter"/>
        </w:rPr>
        <w:t>Anexo IV.</w:t>
      </w:r>
      <w:r w:rsidRPr="00E27756">
        <w:rPr>
          <w:rStyle w:val="TextoNormalCaracter"/>
        </w:rPr>
        <w:t>-</w:t>
      </w:r>
      <w:r>
        <w:t xml:space="preserve"> Sentencia </w:t>
      </w:r>
      <w:hyperlink w:anchor="SENTENCIA_2013_51" w:history="1">
        <w:r w:rsidRPr="00E27756">
          <w:rPr>
            <w:rStyle w:val="TextoNormalCaracter"/>
          </w:rPr>
          <w:t>51/2013</w:t>
        </w:r>
      </w:hyperlink>
      <w:r>
        <w:t>, ff. 1, 4.</w:t>
      </w:r>
    </w:p>
    <w:p w:rsidR="00E27756" w:rsidRDefault="00E27756" w:rsidP="00E27756">
      <w:pPr>
        <w:pStyle w:val="SangriaFrancesaArticulo"/>
      </w:pPr>
    </w:p>
    <w:p w:rsidR="00E27756" w:rsidRDefault="00E27756" w:rsidP="00E27756">
      <w:pPr>
        <w:pStyle w:val="TextoNormalNegritaCursivandice"/>
      </w:pPr>
      <w:r>
        <w:t>Ley 18/2001, de 12 de diciembre. General de estabilidad presupuestaria</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36" w:history="1">
        <w:r w:rsidRPr="00E27756">
          <w:rPr>
            <w:rStyle w:val="TextoNormalCaracter"/>
          </w:rPr>
          <w:t>36/2013</w:t>
        </w:r>
      </w:hyperlink>
      <w:r>
        <w:t>, f. 9.</w:t>
      </w:r>
    </w:p>
    <w:p w:rsidR="00E27756" w:rsidRDefault="00E27756" w:rsidP="00E27756">
      <w:pPr>
        <w:pStyle w:val="SangriaFrancesaArticulo"/>
      </w:pPr>
    </w:p>
    <w:p w:rsidR="00E27756" w:rsidRDefault="00E27756" w:rsidP="00E27756">
      <w:pPr>
        <w:pStyle w:val="TextoNormalNegritaCursivandice"/>
      </w:pPr>
      <w:r>
        <w:t>Ley 21/2001, de 27 de diciembre.  Medidas fiscales y administrativas del nuevo sistema de financiación de las Comunidades Autónomas de régimen común y ciudades con estatuto de autonomía</w:t>
      </w:r>
    </w:p>
    <w:p w:rsidR="00E27756" w:rsidRDefault="00E27756" w:rsidP="00E27756">
      <w:pPr>
        <w:pStyle w:val="SangriaFrancesaArticulo"/>
      </w:pPr>
      <w:r w:rsidRPr="00E27756">
        <w:rPr>
          <w:rStyle w:val="TextoNormalNegritaCaracter"/>
        </w:rPr>
        <w:t>Artículos 2 a 6.</w:t>
      </w:r>
      <w:r w:rsidRPr="00E27756">
        <w:rPr>
          <w:rStyle w:val="TextoNormalCaracter"/>
        </w:rPr>
        <w:t>-</w:t>
      </w:r>
      <w:r>
        <w:t xml:space="preserve"> Sentencia </w:t>
      </w:r>
      <w:hyperlink w:anchor="SENTENCIA_2013_101" w:history="1">
        <w:r w:rsidRPr="00E27756">
          <w:rPr>
            <w:rStyle w:val="TextoNormalCaracter"/>
          </w:rPr>
          <w:t>101/2013</w:t>
        </w:r>
      </w:hyperlink>
      <w:r>
        <w:t>, f. 8.</w:t>
      </w:r>
    </w:p>
    <w:p w:rsidR="00E27756" w:rsidRDefault="00E27756" w:rsidP="00E27756">
      <w:pPr>
        <w:pStyle w:val="SangriaFrancesaArticulo"/>
      </w:pPr>
      <w:r w:rsidRPr="00E27756">
        <w:rPr>
          <w:rStyle w:val="TextoNormalNegritaCaracter"/>
        </w:rPr>
        <w:t>Disposición adicional tercera.</w:t>
      </w:r>
      <w:r w:rsidRPr="00E27756">
        <w:rPr>
          <w:rStyle w:val="TextoNormalCaracter"/>
        </w:rPr>
        <w:t>-</w:t>
      </w:r>
      <w:r>
        <w:t xml:space="preserve"> Sentencia </w:t>
      </w:r>
      <w:hyperlink w:anchor="SENTENCIA_2013_101" w:history="1">
        <w:r w:rsidRPr="00E27756">
          <w:rPr>
            <w:rStyle w:val="TextoNormalCaracter"/>
          </w:rPr>
          <w:t>101/2013</w:t>
        </w:r>
      </w:hyperlink>
      <w:r>
        <w:t>, f. 10.</w:t>
      </w:r>
    </w:p>
    <w:p w:rsidR="00E27756" w:rsidRDefault="00E27756" w:rsidP="00E27756">
      <w:pPr>
        <w:pStyle w:val="SangriaFrancesaArticulo"/>
      </w:pPr>
    </w:p>
    <w:p w:rsidR="00E27756" w:rsidRDefault="00E27756" w:rsidP="00E27756">
      <w:pPr>
        <w:pStyle w:val="TextoNormalNegritaCursivandice"/>
      </w:pPr>
      <w:r>
        <w:t>Ley 22/2001, de 27 de diciembre. Reguladora de los fondos de compensación interterritorial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1" w:history="1">
        <w:r w:rsidRPr="00E27756">
          <w:rPr>
            <w:rStyle w:val="TextoNormalCaracter"/>
          </w:rPr>
          <w:t>101/2013</w:t>
        </w:r>
      </w:hyperlink>
      <w:r>
        <w:t>, ff. 4 a 6.</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101" w:history="1">
        <w:r w:rsidRPr="00E27756">
          <w:rPr>
            <w:rStyle w:val="TextoNormalCaracter"/>
          </w:rPr>
          <w:t>101/2013</w:t>
        </w:r>
      </w:hyperlink>
      <w:r>
        <w:t>, f. 6.</w:t>
      </w:r>
    </w:p>
    <w:p w:rsidR="00E27756" w:rsidRDefault="00E27756" w:rsidP="00E27756">
      <w:pPr>
        <w:pStyle w:val="SangriaFrancesaArticulo"/>
      </w:pPr>
      <w:r w:rsidRPr="00E27756">
        <w:rPr>
          <w:rStyle w:val="TextoNormalNegritaCaracter"/>
        </w:rPr>
        <w:t>Artículo 2.1 a).</w:t>
      </w:r>
      <w:r w:rsidRPr="00E27756">
        <w:rPr>
          <w:rStyle w:val="TextoNormalCaracter"/>
        </w:rPr>
        <w:t>-</w:t>
      </w:r>
      <w:r>
        <w:t xml:space="preserve"> Sentencia </w:t>
      </w:r>
      <w:hyperlink w:anchor="SENTENCIA_2013_101" w:history="1">
        <w:r w:rsidRPr="00E27756">
          <w:rPr>
            <w:rStyle w:val="TextoNormalCaracter"/>
          </w:rPr>
          <w:t>101/2013</w:t>
        </w:r>
      </w:hyperlink>
      <w:r>
        <w:t>, f. 6.</w:t>
      </w:r>
    </w:p>
    <w:p w:rsidR="00E27756" w:rsidRDefault="00E27756" w:rsidP="00E27756">
      <w:pPr>
        <w:pStyle w:val="SangriaFrancesaArticulo"/>
      </w:pPr>
      <w:r w:rsidRPr="00E27756">
        <w:rPr>
          <w:rStyle w:val="TextoNormalNegritaCaracter"/>
        </w:rPr>
        <w:t>Artículo 2.1 c)</w:t>
      </w:r>
      <w:r>
        <w:t xml:space="preserve"> </w:t>
      </w:r>
      <w:r w:rsidRPr="00E27756">
        <w:rPr>
          <w:rStyle w:val="TextoNormalCaracter"/>
        </w:rPr>
        <w:t>(redactado por la Ley 23/2009, de 18 de diciembre)</w:t>
      </w:r>
      <w:r w:rsidRPr="00E27756">
        <w:rPr>
          <w:rStyle w:val="TextoNormalNegritaCaracter"/>
        </w:rPr>
        <w:t>.</w:t>
      </w:r>
      <w:r w:rsidRPr="00E27756">
        <w:rPr>
          <w:rStyle w:val="TextoNormalCaracter"/>
        </w:rPr>
        <w:t>-</w:t>
      </w:r>
      <w:r>
        <w:t xml:space="preserve"> Sentencia </w:t>
      </w:r>
      <w:hyperlink w:anchor="SENTENCIA_2013_101" w:history="1">
        <w:r w:rsidRPr="00E27756">
          <w:rPr>
            <w:rStyle w:val="TextoNormalCaracter"/>
          </w:rPr>
          <w:t>101/2013</w:t>
        </w:r>
      </w:hyperlink>
      <w:r>
        <w:t>, f. 5.</w:t>
      </w:r>
    </w:p>
    <w:p w:rsidR="00E27756" w:rsidRDefault="00E27756" w:rsidP="00E27756">
      <w:pPr>
        <w:pStyle w:val="SangriaFrancesaArticulo"/>
      </w:pPr>
      <w:r w:rsidRPr="00E27756">
        <w:rPr>
          <w:rStyle w:val="TextoNormalNegritaCaracter"/>
        </w:rPr>
        <w:t>Artículo 4.4.</w:t>
      </w:r>
      <w:r w:rsidRPr="00E27756">
        <w:rPr>
          <w:rStyle w:val="TextoNormalCaracter"/>
        </w:rPr>
        <w:t>-</w:t>
      </w:r>
      <w:r>
        <w:t xml:space="preserve"> Sentencia </w:t>
      </w:r>
      <w:hyperlink w:anchor="SENTENCIA_2013_101" w:history="1">
        <w:r w:rsidRPr="00E27756">
          <w:rPr>
            <w:rStyle w:val="TextoNormalCaracter"/>
          </w:rPr>
          <w:t>101/2013</w:t>
        </w:r>
      </w:hyperlink>
      <w:r>
        <w:t>, f. 6.</w:t>
      </w:r>
    </w:p>
    <w:p w:rsidR="00E27756" w:rsidRDefault="00E27756" w:rsidP="00E27756">
      <w:pPr>
        <w:pStyle w:val="SangriaFrancesaArticulo"/>
      </w:pPr>
      <w:r w:rsidRPr="00E27756">
        <w:rPr>
          <w:rStyle w:val="TextoNormalNegritaCaracter"/>
        </w:rPr>
        <w:t>Disposición adicional única.</w:t>
      </w:r>
      <w:r w:rsidRPr="00E27756">
        <w:rPr>
          <w:rStyle w:val="TextoNormalCaracter"/>
        </w:rPr>
        <w:t>-</w:t>
      </w:r>
      <w:r>
        <w:t xml:space="preserve"> Sentencia </w:t>
      </w:r>
      <w:hyperlink w:anchor="SENTENCIA_2013_101" w:history="1">
        <w:r w:rsidRPr="00E27756">
          <w:rPr>
            <w:rStyle w:val="TextoNormalCaracter"/>
          </w:rPr>
          <w:t>101/2013</w:t>
        </w:r>
      </w:hyperlink>
      <w:r>
        <w:t>, f. 6.</w:t>
      </w:r>
    </w:p>
    <w:p w:rsidR="00E27756" w:rsidRDefault="00E27756" w:rsidP="00E27756">
      <w:pPr>
        <w:pStyle w:val="SangriaFrancesaArticulo"/>
      </w:pPr>
    </w:p>
    <w:p w:rsidR="00E27756" w:rsidRDefault="00E27756" w:rsidP="00E27756">
      <w:pPr>
        <w:pStyle w:val="TextoNormalNegritaCursivandice"/>
      </w:pPr>
      <w:r>
        <w:t>Ley 24/2001, de 27 de diciembre.  Medidas fiscales, administrativas y del orden social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 1.</w:t>
      </w:r>
    </w:p>
    <w:p w:rsidR="00E27756" w:rsidRDefault="00E27756" w:rsidP="00E27756">
      <w:pPr>
        <w:pStyle w:val="SangriaFrancesaArticulo"/>
      </w:pPr>
      <w:r w:rsidRPr="00E27756">
        <w:rPr>
          <w:rStyle w:val="TextoNormalNegritaCaracter"/>
        </w:rPr>
        <w:t>Disposición adicional vigesimotercera.</w:t>
      </w:r>
      <w:r w:rsidRPr="00E27756">
        <w:rPr>
          <w:rStyle w:val="TextoNormalCaracter"/>
        </w:rPr>
        <w:t>-</w:t>
      </w:r>
      <w:r>
        <w:t xml:space="preserve"> Autos </w:t>
      </w:r>
      <w:hyperlink w:anchor="AUTO_2013_30" w:history="1">
        <w:r w:rsidRPr="00E27756">
          <w:rPr>
            <w:rStyle w:val="TextoNormalCaracter"/>
          </w:rPr>
          <w:t>30/2013</w:t>
        </w:r>
      </w:hyperlink>
      <w:r>
        <w:t xml:space="preserve">, ff. 1, 4; </w:t>
      </w:r>
      <w:hyperlink w:anchor="AUTO_2013_31" w:history="1">
        <w:r w:rsidRPr="00E27756">
          <w:rPr>
            <w:rStyle w:val="TextoNormalCaracter"/>
          </w:rPr>
          <w:t>31/2013</w:t>
        </w:r>
      </w:hyperlink>
      <w:r>
        <w:t xml:space="preserve">, ff. 1, 4; </w:t>
      </w:r>
      <w:hyperlink w:anchor="AUTO_2013_32" w:history="1">
        <w:r w:rsidRPr="00E27756">
          <w:rPr>
            <w:rStyle w:val="TextoNormalCaracter"/>
          </w:rPr>
          <w:t>32/2013</w:t>
        </w:r>
      </w:hyperlink>
      <w:r>
        <w:t>, ff. 1, 4.</w:t>
      </w:r>
    </w:p>
    <w:p w:rsidR="00E27756" w:rsidRDefault="00E27756" w:rsidP="00E27756">
      <w:pPr>
        <w:pStyle w:val="SangriaFrancesaArticulo"/>
      </w:pPr>
    </w:p>
    <w:p w:rsidR="00E27756" w:rsidRDefault="00E27756" w:rsidP="00E27756">
      <w:pPr>
        <w:pStyle w:val="TextoNormalNegritaCursivandice"/>
      </w:pPr>
      <w:r>
        <w:t>Ley 12/2002, de 23 de mayo. Concierto económico con la Comunidad Autónoma del País Vasco</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85" w:history="1">
        <w:r w:rsidRPr="00E27756">
          <w:rPr>
            <w:rStyle w:val="TextoNormalCaracter"/>
          </w:rPr>
          <w:t>85/2013</w:t>
        </w:r>
      </w:hyperlink>
      <w:r>
        <w:t>, ff. 4, 5.</w:t>
      </w:r>
    </w:p>
    <w:p w:rsidR="00E27756" w:rsidRDefault="00E27756" w:rsidP="00E27756">
      <w:pPr>
        <w:pStyle w:val="SangriaFrancesaArticulo"/>
      </w:pPr>
    </w:p>
    <w:p w:rsidR="00E27756" w:rsidRDefault="00E27756" w:rsidP="00E27756">
      <w:pPr>
        <w:pStyle w:val="TextoNormalNegritaCursivandice"/>
      </w:pPr>
      <w:r>
        <w:t>Ley 16/2002, de 1 de julio. Prevención y control integrados de la contaminación</w:t>
      </w:r>
    </w:p>
    <w:p w:rsidR="00E27756" w:rsidRDefault="00E27756" w:rsidP="00E27756">
      <w:pPr>
        <w:pStyle w:val="SangriaFrancesaArticulo"/>
      </w:pPr>
      <w:r w:rsidRPr="00E27756">
        <w:rPr>
          <w:rStyle w:val="TextoNormalNegritaCaracter"/>
        </w:rPr>
        <w:t>Artículo 29.1.</w:t>
      </w:r>
      <w:r w:rsidRPr="00E27756">
        <w:rPr>
          <w:rStyle w:val="TextoNormalCaracter"/>
        </w:rPr>
        <w:t>-</w:t>
      </w:r>
      <w:r>
        <w:t xml:space="preserve"> Sentencia </w:t>
      </w:r>
      <w:hyperlink w:anchor="SENTENCIA_2013_129" w:history="1">
        <w:r w:rsidRPr="00E27756">
          <w:rPr>
            <w:rStyle w:val="TextoNormalCaracter"/>
          </w:rPr>
          <w:t>129/2013</w:t>
        </w:r>
      </w:hyperlink>
      <w:r>
        <w:t>, f. 8.</w:t>
      </w:r>
    </w:p>
    <w:p w:rsidR="00E27756" w:rsidRDefault="00E27756" w:rsidP="00E27756">
      <w:pPr>
        <w:pStyle w:val="SangriaFrancesaArticulo"/>
      </w:pPr>
      <w:r w:rsidRPr="00E27756">
        <w:rPr>
          <w:rStyle w:val="TextoNormalNegritaCaracter"/>
        </w:rPr>
        <w:t>Artículo 29.1</w:t>
      </w:r>
      <w:r>
        <w:t xml:space="preserve"> </w:t>
      </w:r>
      <w:r w:rsidRPr="00E27756">
        <w:rPr>
          <w:rStyle w:val="TextoNormalCaracter"/>
        </w:rPr>
        <w:t>(redactado por el Real Decreto-ley 8/2011, de 1 de julio)</w:t>
      </w:r>
      <w:r w:rsidRPr="00E27756">
        <w:rPr>
          <w:rStyle w:val="TextoNormalNegritaCaracter"/>
        </w:rPr>
        <w:t>.</w:t>
      </w:r>
      <w:r w:rsidRPr="00E27756">
        <w:rPr>
          <w:rStyle w:val="TextoNormalCaracter"/>
        </w:rPr>
        <w:t>-</w:t>
      </w:r>
      <w:r>
        <w:t xml:space="preserve"> Sentencia </w:t>
      </w:r>
      <w:hyperlink w:anchor="SENTENCIA_2013_129" w:history="1">
        <w:r w:rsidRPr="00E27756">
          <w:rPr>
            <w:rStyle w:val="TextoNormalCaracter"/>
          </w:rPr>
          <w:t>129/2013</w:t>
        </w:r>
      </w:hyperlink>
      <w:r>
        <w:t>, f. 9.</w:t>
      </w:r>
    </w:p>
    <w:p w:rsidR="00E27756" w:rsidRDefault="00E27756" w:rsidP="00E27756">
      <w:pPr>
        <w:pStyle w:val="SangriaFrancesaArticulo"/>
      </w:pPr>
    </w:p>
    <w:p w:rsidR="00E27756" w:rsidRDefault="00E27756" w:rsidP="00E27756">
      <w:pPr>
        <w:pStyle w:val="TextoNormalNegritaCursivandice"/>
      </w:pPr>
      <w:r>
        <w:t>Ley 50/2002, de 26 de diciembre. Fundaciones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8" w:history="1">
        <w:r w:rsidRPr="00E27756">
          <w:rPr>
            <w:rStyle w:val="TextoNormalCaracter"/>
          </w:rPr>
          <w:t>98/2013</w:t>
        </w:r>
      </w:hyperlink>
      <w:r>
        <w:t>, ff. 1 a 4.</w:t>
      </w:r>
    </w:p>
    <w:p w:rsidR="00E27756" w:rsidRDefault="00E27756" w:rsidP="00E27756">
      <w:pPr>
        <w:pStyle w:val="SangriaFrancesaArticulo"/>
      </w:pPr>
      <w:r w:rsidRPr="00E27756">
        <w:rPr>
          <w:rStyle w:val="TextoNormalNegritaCaracter"/>
        </w:rPr>
        <w:t>Artículos 7 a 13.</w:t>
      </w:r>
      <w:r w:rsidRPr="00E27756">
        <w:rPr>
          <w:rStyle w:val="TextoNormalCaracter"/>
        </w:rPr>
        <w:t>-</w:t>
      </w:r>
      <w:r>
        <w:t xml:space="preserve"> Sentencia </w:t>
      </w:r>
      <w:hyperlink w:anchor="SENTENCIA_2013_98" w:history="1">
        <w:r w:rsidRPr="00E27756">
          <w:rPr>
            <w:rStyle w:val="TextoNormalCaracter"/>
          </w:rPr>
          <w:t>98/2013</w:t>
        </w:r>
      </w:hyperlink>
      <w:r>
        <w:t>, f. 3.</w:t>
      </w:r>
    </w:p>
    <w:p w:rsidR="00E27756" w:rsidRDefault="00E27756" w:rsidP="00E27756">
      <w:pPr>
        <w:pStyle w:val="SangriaFrancesaArticulo"/>
      </w:pPr>
      <w:r w:rsidRPr="00E27756">
        <w:rPr>
          <w:rStyle w:val="TextoNormalNegritaCaracter"/>
        </w:rPr>
        <w:t>Artículos 18 a 32.</w:t>
      </w:r>
      <w:r w:rsidRPr="00E27756">
        <w:rPr>
          <w:rStyle w:val="TextoNormalCaracter"/>
        </w:rPr>
        <w:t>-</w:t>
      </w:r>
      <w:r>
        <w:t xml:space="preserve"> Sentencia </w:t>
      </w:r>
      <w:hyperlink w:anchor="SENTENCIA_2013_98" w:history="1">
        <w:r w:rsidRPr="00E27756">
          <w:rPr>
            <w:rStyle w:val="TextoNormalCaracter"/>
          </w:rPr>
          <w:t>98/2013</w:t>
        </w:r>
      </w:hyperlink>
      <w:r>
        <w:t>, f. 3.</w:t>
      </w:r>
    </w:p>
    <w:p w:rsidR="00E27756" w:rsidRDefault="00E27756" w:rsidP="00E27756">
      <w:pPr>
        <w:pStyle w:val="SangriaFrancesaArticulo"/>
      </w:pPr>
      <w:r w:rsidRPr="00E27756">
        <w:rPr>
          <w:rStyle w:val="TextoNormalNegritaCaracter"/>
        </w:rPr>
        <w:t>Artículo 30.1.</w:t>
      </w:r>
      <w:r w:rsidRPr="00E27756">
        <w:rPr>
          <w:rStyle w:val="TextoNormalCaracter"/>
        </w:rPr>
        <w:t>-</w:t>
      </w:r>
      <w:r>
        <w:t xml:space="preserve"> Sentencia </w:t>
      </w:r>
      <w:hyperlink w:anchor="SENTENCIA_2013_98" w:history="1">
        <w:r w:rsidRPr="00E27756">
          <w:rPr>
            <w:rStyle w:val="TextoNormalCaracter"/>
          </w:rPr>
          <w:t>98/2013</w:t>
        </w:r>
      </w:hyperlink>
      <w:r>
        <w:t>, f. 4.</w:t>
      </w:r>
    </w:p>
    <w:p w:rsidR="00E27756" w:rsidRDefault="00E27756" w:rsidP="00E27756">
      <w:pPr>
        <w:pStyle w:val="SangriaFrancesaArticulo"/>
      </w:pPr>
      <w:r w:rsidRPr="00E27756">
        <w:rPr>
          <w:rStyle w:val="TextoNormalNegritaCaracter"/>
        </w:rPr>
        <w:t>Artículo 30.2.</w:t>
      </w:r>
      <w:r w:rsidRPr="00E27756">
        <w:rPr>
          <w:rStyle w:val="TextoNormalCaracter"/>
        </w:rPr>
        <w:t>-</w:t>
      </w:r>
      <w:r>
        <w:t xml:space="preserve"> Sentencia </w:t>
      </w:r>
      <w:hyperlink w:anchor="SENTENCIA_2013_98" w:history="1">
        <w:r w:rsidRPr="00E27756">
          <w:rPr>
            <w:rStyle w:val="TextoNormalCaracter"/>
          </w:rPr>
          <w:t>98/2013</w:t>
        </w:r>
      </w:hyperlink>
      <w:r>
        <w:t>, f. 4.</w:t>
      </w:r>
    </w:p>
    <w:p w:rsidR="00E27756" w:rsidRDefault="00E27756" w:rsidP="00E27756">
      <w:pPr>
        <w:pStyle w:val="SangriaFrancesaArticulo"/>
      </w:pPr>
      <w:r w:rsidRPr="00E27756">
        <w:rPr>
          <w:rStyle w:val="TextoNormalNegritaCaracter"/>
        </w:rPr>
        <w:t>Artículo 30.4.</w:t>
      </w:r>
      <w:r w:rsidRPr="00E27756">
        <w:rPr>
          <w:rStyle w:val="TextoNormalCaracter"/>
        </w:rPr>
        <w:t>-</w:t>
      </w:r>
      <w:r>
        <w:t xml:space="preserve"> Sentencia </w:t>
      </w:r>
      <w:hyperlink w:anchor="SENTENCIA_2013_98" w:history="1">
        <w:r w:rsidRPr="00E27756">
          <w:rPr>
            <w:rStyle w:val="TextoNormalCaracter"/>
          </w:rPr>
          <w:t>98/2013</w:t>
        </w:r>
      </w:hyperlink>
      <w:r>
        <w:t>, ff. 1, 4.</w:t>
      </w:r>
    </w:p>
    <w:p w:rsidR="00E27756" w:rsidRDefault="00E27756" w:rsidP="00E27756">
      <w:pPr>
        <w:pStyle w:val="SangriaFrancesaArticulo"/>
      </w:pPr>
    </w:p>
    <w:p w:rsidR="00E27756" w:rsidRDefault="00E27756" w:rsidP="00E27756">
      <w:pPr>
        <w:pStyle w:val="TextoNormalNegritaCursivandice"/>
      </w:pPr>
      <w:r>
        <w:t>Ley 53/2002, de 30 de diciembre. Medidas fiscales, administrativas y del orden social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3" w:history="1">
        <w:r w:rsidRPr="00E27756">
          <w:rPr>
            <w:rStyle w:val="TextoNormalCaracter"/>
          </w:rPr>
          <w:t>123/2013</w:t>
        </w:r>
      </w:hyperlink>
      <w:r>
        <w:t>, f. 2.</w:t>
      </w:r>
    </w:p>
    <w:p w:rsidR="00E27756" w:rsidRDefault="00E27756" w:rsidP="00E27756">
      <w:pPr>
        <w:pStyle w:val="SangriaFrancesaArticulo"/>
      </w:pPr>
    </w:p>
    <w:p w:rsidR="00E27756" w:rsidRDefault="00E27756" w:rsidP="00E27756">
      <w:pPr>
        <w:pStyle w:val="TextoNormalNegritaCursivandice"/>
      </w:pPr>
      <w:r>
        <w:t>Ley 13/2003, de 23 de mayo. Reguladora del contrato de concesión de obras públicas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p>
    <w:p w:rsidR="00E27756" w:rsidRDefault="00E27756" w:rsidP="00E27756">
      <w:pPr>
        <w:pStyle w:val="TextoNormalNegritaCursivandice"/>
      </w:pPr>
      <w:r>
        <w:t>Ley 16/2003, de 28 de mayo. Cohesión y calidad del sistema nacional de salud</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7" w:history="1">
        <w:r w:rsidRPr="00E27756">
          <w:rPr>
            <w:rStyle w:val="TextoNormalCaracter"/>
          </w:rPr>
          <w:t>137/2013</w:t>
        </w:r>
      </w:hyperlink>
      <w:r>
        <w:t>, ff. 2, 6.</w:t>
      </w:r>
    </w:p>
    <w:p w:rsidR="00E27756" w:rsidRDefault="00E27756" w:rsidP="00E27756">
      <w:pPr>
        <w:pStyle w:val="SangriaFrancesaArticulo"/>
      </w:pPr>
      <w:r w:rsidRPr="00E27756">
        <w:rPr>
          <w:rStyle w:val="TextoNormalNegritaCaracter"/>
        </w:rPr>
        <w:t>Artículo 16.</w:t>
      </w:r>
      <w:r w:rsidRPr="00E27756">
        <w:rPr>
          <w:rStyle w:val="TextoNormalCaracter"/>
        </w:rPr>
        <w:t>-</w:t>
      </w:r>
      <w:r>
        <w:t xml:space="preserve"> Sentencia </w:t>
      </w:r>
      <w:hyperlink w:anchor="SENTENCIA_2013_137" w:history="1">
        <w:r w:rsidRPr="00E27756">
          <w:rPr>
            <w:rStyle w:val="TextoNormalCaracter"/>
          </w:rPr>
          <w:t>137/2013</w:t>
        </w:r>
      </w:hyperlink>
      <w:r>
        <w:t>, f. 6.</w:t>
      </w:r>
    </w:p>
    <w:p w:rsidR="00E27756" w:rsidRDefault="00E27756" w:rsidP="00E27756">
      <w:pPr>
        <w:pStyle w:val="SangriaFrancesaArticulo"/>
      </w:pPr>
    </w:p>
    <w:p w:rsidR="00E27756" w:rsidRDefault="00E27756" w:rsidP="00E27756">
      <w:pPr>
        <w:pStyle w:val="TextoNormalNegritaCursivandice"/>
      </w:pPr>
      <w:r>
        <w:t>Ley 22/2003, de 9 de julio. Concursal</w:t>
      </w:r>
    </w:p>
    <w:p w:rsidR="00E27756" w:rsidRDefault="00E27756" w:rsidP="00E27756">
      <w:pPr>
        <w:pStyle w:val="SangriaFrancesaArticulo"/>
      </w:pPr>
      <w:r w:rsidRPr="00E27756">
        <w:rPr>
          <w:rStyle w:val="TextoNormalNegritaCaracter"/>
        </w:rPr>
        <w:t>Artículo 168.1.</w:t>
      </w:r>
      <w:r w:rsidRPr="00E27756">
        <w:rPr>
          <w:rStyle w:val="TextoNormalCaracter"/>
        </w:rPr>
        <w:t>-</w:t>
      </w:r>
      <w:r>
        <w:t xml:space="preserve"> Auto </w:t>
      </w:r>
      <w:hyperlink w:anchor="AUTO_2013_24" w:history="1">
        <w:r w:rsidRPr="00E27756">
          <w:rPr>
            <w:rStyle w:val="TextoNormalCaracter"/>
          </w:rPr>
          <w:t>24/2013</w:t>
        </w:r>
      </w:hyperlink>
      <w:r>
        <w:t>, f. 3.</w:t>
      </w:r>
    </w:p>
    <w:p w:rsidR="00E27756" w:rsidRDefault="00E27756" w:rsidP="00E27756">
      <w:pPr>
        <w:pStyle w:val="SangriaFrancesaArticulo"/>
      </w:pPr>
      <w:r w:rsidRPr="00E27756">
        <w:rPr>
          <w:rStyle w:val="TextoNormalNegritaCaracter"/>
        </w:rPr>
        <w:t>Artículo 168.1</w:t>
      </w:r>
      <w:r>
        <w:t xml:space="preserve"> </w:t>
      </w:r>
      <w:r w:rsidRPr="00E27756">
        <w:rPr>
          <w:rStyle w:val="TextoNormalCaracter"/>
        </w:rPr>
        <w:t>(redactado por el Real Decreto-ley 3/2009, de 27 de marzo)</w:t>
      </w:r>
      <w:r w:rsidRPr="00E27756">
        <w:rPr>
          <w:rStyle w:val="TextoNormalNegritaCaracter"/>
        </w:rPr>
        <w:t>.</w:t>
      </w:r>
      <w:r w:rsidRPr="00E27756">
        <w:rPr>
          <w:rStyle w:val="TextoNormalCaracter"/>
        </w:rPr>
        <w:t>-</w:t>
      </w:r>
      <w:r>
        <w:t xml:space="preserve"> Auto </w:t>
      </w:r>
      <w:hyperlink w:anchor="AUTO_2013_24" w:history="1">
        <w:r w:rsidRPr="00E27756">
          <w:rPr>
            <w:rStyle w:val="TextoNormalCaracter"/>
          </w:rPr>
          <w:t>24/2013</w:t>
        </w:r>
      </w:hyperlink>
      <w:r>
        <w:t>, f. 1.</w:t>
      </w:r>
    </w:p>
    <w:p w:rsidR="00E27756" w:rsidRDefault="00E27756" w:rsidP="00E27756">
      <w:pPr>
        <w:pStyle w:val="SangriaFrancesaArticulo"/>
      </w:pPr>
      <w:r w:rsidRPr="00E27756">
        <w:rPr>
          <w:rStyle w:val="TextoNormalNegritaCaracter"/>
        </w:rPr>
        <w:t>Artículo 170.1.</w:t>
      </w:r>
      <w:r w:rsidRPr="00E27756">
        <w:rPr>
          <w:rStyle w:val="TextoNormalCaracter"/>
        </w:rPr>
        <w:t>-</w:t>
      </w:r>
      <w:r>
        <w:t xml:space="preserve"> Auto </w:t>
      </w:r>
      <w:hyperlink w:anchor="AUTO_2013_24" w:history="1">
        <w:r w:rsidRPr="00E27756">
          <w:rPr>
            <w:rStyle w:val="TextoNormalCaracter"/>
          </w:rPr>
          <w:t>24/2013</w:t>
        </w:r>
      </w:hyperlink>
      <w:r>
        <w:t>, ff. 1, 3.</w:t>
      </w:r>
    </w:p>
    <w:p w:rsidR="00E27756" w:rsidRDefault="00E27756" w:rsidP="00E27756">
      <w:pPr>
        <w:pStyle w:val="SangriaFrancesaArticulo"/>
      </w:pPr>
    </w:p>
    <w:p w:rsidR="00E27756" w:rsidRDefault="00E27756" w:rsidP="00E27756">
      <w:pPr>
        <w:pStyle w:val="TextoNormalNegritaCursivandice"/>
      </w:pPr>
      <w:r>
        <w:t>Ley 24/2003, de 10 de julio. De la viña y del vino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34" w:history="1">
        <w:r w:rsidRPr="00E27756">
          <w:rPr>
            <w:rStyle w:val="TextoNormalCaracter"/>
          </w:rPr>
          <w:t>34/2013</w:t>
        </w:r>
      </w:hyperlink>
      <w:r>
        <w:t xml:space="preserve">, ff. 5, 6, 8-12, 22; </w:t>
      </w:r>
      <w:hyperlink w:anchor="SENTENCIA_2013_82" w:history="1">
        <w:r w:rsidRPr="00E27756">
          <w:rPr>
            <w:rStyle w:val="TextoNormalCaracter"/>
          </w:rPr>
          <w:t>82/2013</w:t>
        </w:r>
      </w:hyperlink>
      <w:r>
        <w:t xml:space="preserve">, f. 2; </w:t>
      </w:r>
      <w:hyperlink w:anchor="SENTENCIA_2013_107" w:history="1">
        <w:r w:rsidRPr="00E27756">
          <w:rPr>
            <w:rStyle w:val="TextoNormalCaracter"/>
          </w:rPr>
          <w:t>107/2013</w:t>
        </w:r>
      </w:hyperlink>
      <w:r>
        <w:t>, ff. 1, 2.</w:t>
      </w:r>
    </w:p>
    <w:p w:rsidR="00E27756" w:rsidRDefault="00E27756" w:rsidP="00E27756">
      <w:pPr>
        <w:pStyle w:val="SangriaFrancesaArticulo"/>
      </w:pPr>
      <w:r w:rsidRPr="00E27756">
        <w:rPr>
          <w:rStyle w:val="TextoNormalNegritaCaracter"/>
        </w:rPr>
        <w:t>Título I.</w:t>
      </w:r>
      <w:r w:rsidRPr="00E27756">
        <w:rPr>
          <w:rStyle w:val="TextoNormalCaracter"/>
        </w:rPr>
        <w:t>-</w:t>
      </w:r>
      <w:r>
        <w:t xml:space="preserve"> Sentencia </w:t>
      </w:r>
      <w:hyperlink w:anchor="SENTENCIA_2013_34" w:history="1">
        <w:r w:rsidRPr="00E27756">
          <w:rPr>
            <w:rStyle w:val="TextoNormalCaracter"/>
          </w:rPr>
          <w:t>34/2013</w:t>
        </w:r>
      </w:hyperlink>
      <w:r>
        <w:t>, ff. 20, VP I.</w:t>
      </w:r>
    </w:p>
    <w:p w:rsidR="00E27756" w:rsidRDefault="00E27756" w:rsidP="00E27756">
      <w:pPr>
        <w:pStyle w:val="SangriaFrancesaArticulo"/>
      </w:pPr>
      <w:r w:rsidRPr="00E27756">
        <w:rPr>
          <w:rStyle w:val="TextoNormalNegritaCaracter"/>
        </w:rPr>
        <w:t>Título II.</w:t>
      </w:r>
      <w:r w:rsidRPr="00E27756">
        <w:rPr>
          <w:rStyle w:val="TextoNormalCaracter"/>
        </w:rPr>
        <w:t>-</w:t>
      </w:r>
      <w:r>
        <w:t xml:space="preserve"> Sentencia </w:t>
      </w:r>
      <w:hyperlink w:anchor="SENTENCIA_2013_34" w:history="1">
        <w:r w:rsidRPr="00E27756">
          <w:rPr>
            <w:rStyle w:val="TextoNormalCaracter"/>
          </w:rPr>
          <w:t>34/2013</w:t>
        </w:r>
      </w:hyperlink>
      <w:r>
        <w:t>, ff. 20, VP I.</w:t>
      </w:r>
    </w:p>
    <w:p w:rsidR="00E27756" w:rsidRDefault="00E27756" w:rsidP="00E27756">
      <w:pPr>
        <w:pStyle w:val="SangriaFrancesaArticulo"/>
      </w:pPr>
      <w:r w:rsidRPr="00E27756">
        <w:rPr>
          <w:rStyle w:val="TextoNormalNegritaCaracter"/>
        </w:rPr>
        <w:t>Título II, capítulo I.</w:t>
      </w:r>
      <w:r w:rsidRPr="00E27756">
        <w:rPr>
          <w:rStyle w:val="TextoNormalCaracter"/>
        </w:rPr>
        <w:t>-</w:t>
      </w:r>
      <w:r>
        <w:t xml:space="preserve"> Sentencia </w:t>
      </w:r>
      <w:hyperlink w:anchor="SENTENCIA_2013_82" w:history="1">
        <w:r w:rsidRPr="00E27756">
          <w:rPr>
            <w:rStyle w:val="TextoNormalCaracter"/>
          </w:rPr>
          <w:t>82/2013</w:t>
        </w:r>
      </w:hyperlink>
      <w:r>
        <w:t>, f. 4.</w:t>
      </w:r>
    </w:p>
    <w:p w:rsidR="00E27756" w:rsidRDefault="00E27756" w:rsidP="00E27756">
      <w:pPr>
        <w:pStyle w:val="SangriaFrancesaArticulo"/>
      </w:pPr>
      <w:r w:rsidRPr="00E27756">
        <w:rPr>
          <w:rStyle w:val="TextoNormalNegritaCaracter"/>
        </w:rPr>
        <w:t>Título III.</w:t>
      </w:r>
      <w:r w:rsidRPr="00E27756">
        <w:rPr>
          <w:rStyle w:val="TextoNormalCaracter"/>
        </w:rPr>
        <w:t>-</w:t>
      </w:r>
      <w:r>
        <w:t xml:space="preserve"> Sentencias </w:t>
      </w:r>
      <w:hyperlink w:anchor="SENTENCIA_2013_34" w:history="1">
        <w:r w:rsidRPr="00E27756">
          <w:rPr>
            <w:rStyle w:val="TextoNormalCaracter"/>
          </w:rPr>
          <w:t>34/2013</w:t>
        </w:r>
      </w:hyperlink>
      <w:r>
        <w:t xml:space="preserve">, VP I; </w:t>
      </w:r>
      <w:hyperlink w:anchor="SENTENCIA_2013_82" w:history="1">
        <w:r w:rsidRPr="00E27756">
          <w:rPr>
            <w:rStyle w:val="TextoNormalCaracter"/>
          </w:rPr>
          <w:t>82/2013</w:t>
        </w:r>
      </w:hyperlink>
      <w:r>
        <w:t>, f. 6.</w:t>
      </w:r>
    </w:p>
    <w:p w:rsidR="00E27756" w:rsidRDefault="00E27756" w:rsidP="00E27756">
      <w:pPr>
        <w:pStyle w:val="SangriaFrancesaArticulo"/>
      </w:pPr>
      <w:r w:rsidRPr="00E27756">
        <w:rPr>
          <w:rStyle w:val="TextoNormalNegritaCaracter"/>
        </w:rPr>
        <w:t>Capítulo I.</w:t>
      </w:r>
      <w:r w:rsidRPr="00E27756">
        <w:rPr>
          <w:rStyle w:val="TextoNormalCaracter"/>
        </w:rPr>
        <w:t>-</w:t>
      </w:r>
      <w:r>
        <w:t xml:space="preserve"> Sentencia </w:t>
      </w:r>
      <w:hyperlink w:anchor="SENTENCIA_2013_34" w:history="1">
        <w:r w:rsidRPr="00E27756">
          <w:rPr>
            <w:rStyle w:val="TextoNormalCaracter"/>
          </w:rPr>
          <w:t>34/2013</w:t>
        </w:r>
      </w:hyperlink>
      <w:r>
        <w:t>, VP I.</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34" w:history="1">
        <w:r w:rsidRPr="00E27756">
          <w:rPr>
            <w:rStyle w:val="TextoNormalCaracter"/>
          </w:rPr>
          <w:t>34/2013</w:t>
        </w:r>
      </w:hyperlink>
      <w:r>
        <w:t>, f. 5.</w:t>
      </w:r>
    </w:p>
    <w:p w:rsidR="00E27756" w:rsidRDefault="00E27756" w:rsidP="00E27756">
      <w:pPr>
        <w:pStyle w:val="SangriaFrancesaArticulo"/>
      </w:pPr>
      <w:r w:rsidRPr="00E27756">
        <w:rPr>
          <w:rStyle w:val="TextoNormalNegritaCaracter"/>
        </w:rPr>
        <w:t>Artículos 1 a 11.</w:t>
      </w:r>
      <w:r w:rsidRPr="00E27756">
        <w:rPr>
          <w:rStyle w:val="TextoNormalCaracter"/>
        </w:rPr>
        <w:t>-</w:t>
      </w:r>
      <w:r>
        <w:t xml:space="preserve"> Sentencia </w:t>
      </w:r>
      <w:hyperlink w:anchor="SENTENCIA_2013_82" w:history="1">
        <w:r w:rsidRPr="00E27756">
          <w:rPr>
            <w:rStyle w:val="TextoNormalCaracter"/>
          </w:rPr>
          <w:t>82/2013</w:t>
        </w:r>
      </w:hyperlink>
      <w:r>
        <w:t>, f. 2.</w:t>
      </w:r>
    </w:p>
    <w:p w:rsidR="00E27756" w:rsidRDefault="00E27756" w:rsidP="00E27756">
      <w:pPr>
        <w:pStyle w:val="SangriaFrancesaArticulo"/>
      </w:pPr>
      <w:r w:rsidRPr="00E27756">
        <w:rPr>
          <w:rStyle w:val="TextoNormalNegritaCaracter"/>
        </w:rPr>
        <w:t>Artículos 1 a 3, 5 a 11.</w:t>
      </w:r>
      <w:r w:rsidRPr="00E27756">
        <w:rPr>
          <w:rStyle w:val="TextoNormalCaracter"/>
        </w:rPr>
        <w:t>-</w:t>
      </w:r>
      <w:r>
        <w:t xml:space="preserve"> Sentencia </w:t>
      </w:r>
      <w:hyperlink w:anchor="SENTENCIA_2013_82" w:history="1">
        <w:r w:rsidRPr="00E27756">
          <w:rPr>
            <w:rStyle w:val="TextoNormalCaracter"/>
          </w:rPr>
          <w:t>82/2013</w:t>
        </w:r>
      </w:hyperlink>
      <w:r>
        <w:t>, ff. 1, 2.</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34" w:history="1">
        <w:r w:rsidRPr="00E27756">
          <w:rPr>
            <w:rStyle w:val="TextoNormalCaracter"/>
          </w:rPr>
          <w:t>34/2013</w:t>
        </w:r>
      </w:hyperlink>
      <w:r>
        <w:t>, f. 19.</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34" w:history="1">
        <w:r w:rsidRPr="00E27756">
          <w:rPr>
            <w:rStyle w:val="TextoNormalCaracter"/>
          </w:rPr>
          <w:t>34/2013</w:t>
        </w:r>
      </w:hyperlink>
      <w:r>
        <w:t>, f. 20.</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Sentencias </w:t>
      </w:r>
      <w:hyperlink w:anchor="SENTENCIA_2013_34" w:history="1">
        <w:r w:rsidRPr="00E27756">
          <w:rPr>
            <w:rStyle w:val="TextoNormalCaracter"/>
          </w:rPr>
          <w:t>34/2013</w:t>
        </w:r>
      </w:hyperlink>
      <w:r>
        <w:t xml:space="preserve">, ff. 9, 17, VP I; </w:t>
      </w:r>
      <w:hyperlink w:anchor="SENTENCIA_2013_82" w:history="1">
        <w:r w:rsidRPr="00E27756">
          <w:rPr>
            <w:rStyle w:val="TextoNormalCaracter"/>
          </w:rPr>
          <w:t>82/2013</w:t>
        </w:r>
      </w:hyperlink>
      <w:r>
        <w:t>, ff. 4, 5.</w:t>
      </w:r>
    </w:p>
    <w:p w:rsidR="00E27756" w:rsidRDefault="00E27756" w:rsidP="00E27756">
      <w:pPr>
        <w:pStyle w:val="SangriaFrancesaArticulo"/>
      </w:pPr>
      <w:r w:rsidRPr="00E27756">
        <w:rPr>
          <w:rStyle w:val="TextoNormalNegritaCaracter"/>
        </w:rPr>
        <w:t>Artículos 12 a 15, 17 a 24.</w:t>
      </w:r>
      <w:r w:rsidRPr="00E27756">
        <w:rPr>
          <w:rStyle w:val="TextoNormalCaracter"/>
        </w:rPr>
        <w:t>-</w:t>
      </w:r>
      <w:r>
        <w:t xml:space="preserve"> Sentencia </w:t>
      </w:r>
      <w:hyperlink w:anchor="SENTENCIA_2013_82" w:history="1">
        <w:r w:rsidRPr="00E27756">
          <w:rPr>
            <w:rStyle w:val="TextoNormalCaracter"/>
          </w:rPr>
          <w:t>82/2013</w:t>
        </w:r>
      </w:hyperlink>
      <w:r>
        <w:t>, ff. 1, 2.</w:t>
      </w:r>
    </w:p>
    <w:p w:rsidR="00E27756" w:rsidRDefault="00E27756" w:rsidP="00E27756">
      <w:pPr>
        <w:pStyle w:val="SangriaFrancesaArticulo"/>
      </w:pPr>
      <w:r w:rsidRPr="00E27756">
        <w:rPr>
          <w:rStyle w:val="TextoNormalNegritaCaracter"/>
        </w:rPr>
        <w:t>Artículos 12 a 32.</w:t>
      </w:r>
      <w:r w:rsidRPr="00E27756">
        <w:rPr>
          <w:rStyle w:val="TextoNormalCaracter"/>
        </w:rPr>
        <w:t>-</w:t>
      </w:r>
      <w:r>
        <w:t xml:space="preserve"> Sentencia </w:t>
      </w:r>
      <w:hyperlink w:anchor="SENTENCIA_2013_82" w:history="1">
        <w:r w:rsidRPr="00E27756">
          <w:rPr>
            <w:rStyle w:val="TextoNormalCaracter"/>
          </w:rPr>
          <w:t>82/2013</w:t>
        </w:r>
      </w:hyperlink>
      <w:r>
        <w:t>, f. 2.</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82" w:history="1">
        <w:r w:rsidRPr="00E27756">
          <w:rPr>
            <w:rStyle w:val="TextoNormalCaracter"/>
          </w:rPr>
          <w:t>82/2013</w:t>
        </w:r>
      </w:hyperlink>
      <w:r>
        <w:t>, f. 4.</w:t>
      </w:r>
    </w:p>
    <w:p w:rsidR="00E27756" w:rsidRDefault="00E27756" w:rsidP="00E27756">
      <w:pPr>
        <w:pStyle w:val="SangriaFrancesaArticulo"/>
      </w:pPr>
      <w:r w:rsidRPr="00E27756">
        <w:rPr>
          <w:rStyle w:val="TextoNormalNegritaCaracter"/>
        </w:rPr>
        <w:t>Artículo 13.1 b).</w:t>
      </w:r>
      <w:r w:rsidRPr="00E27756">
        <w:rPr>
          <w:rStyle w:val="TextoNormalCaracter"/>
        </w:rPr>
        <w:t>-</w:t>
      </w:r>
      <w:r>
        <w:t xml:space="preserve"> Sentencia </w:t>
      </w:r>
      <w:hyperlink w:anchor="SENTENCIA_2013_82" w:history="1">
        <w:r w:rsidRPr="00E27756">
          <w:rPr>
            <w:rStyle w:val="TextoNormalCaracter"/>
          </w:rPr>
          <w:t>82/2013</w:t>
        </w:r>
      </w:hyperlink>
      <w:r>
        <w:t>, f. 2.</w:t>
      </w:r>
    </w:p>
    <w:p w:rsidR="00E27756" w:rsidRDefault="00E27756" w:rsidP="00E27756">
      <w:pPr>
        <w:pStyle w:val="SangriaFrancesaArticulo"/>
      </w:pPr>
      <w:r w:rsidRPr="00E27756">
        <w:rPr>
          <w:rStyle w:val="TextoNormalNegritaCaracter"/>
        </w:rPr>
        <w:t>Artículo 15.</w:t>
      </w:r>
      <w:r w:rsidRPr="00E27756">
        <w:rPr>
          <w:rStyle w:val="TextoNormalCaracter"/>
        </w:rPr>
        <w:t>-</w:t>
      </w:r>
      <w:r>
        <w:t xml:space="preserve"> Sentencia </w:t>
      </w:r>
      <w:hyperlink w:anchor="SENTENCIA_2013_34" w:history="1">
        <w:r w:rsidRPr="00E27756">
          <w:rPr>
            <w:rStyle w:val="TextoNormalCaracter"/>
          </w:rPr>
          <w:t>34/2013</w:t>
        </w:r>
      </w:hyperlink>
      <w:r>
        <w:t>, f. 10.</w:t>
      </w:r>
    </w:p>
    <w:p w:rsidR="00E27756" w:rsidRDefault="00E27756" w:rsidP="00E27756">
      <w:pPr>
        <w:pStyle w:val="SangriaFrancesaArticulo"/>
      </w:pPr>
      <w:r w:rsidRPr="00E27756">
        <w:rPr>
          <w:rStyle w:val="TextoNormalNegritaCaracter"/>
        </w:rPr>
        <w:t>Artículo 16.</w:t>
      </w:r>
      <w:r w:rsidRPr="00E27756">
        <w:rPr>
          <w:rStyle w:val="TextoNormalCaracter"/>
        </w:rPr>
        <w:t>-</w:t>
      </w:r>
      <w:r>
        <w:t xml:space="preserve"> Sentencia </w:t>
      </w:r>
      <w:hyperlink w:anchor="SENTENCIA_2013_34" w:history="1">
        <w:r w:rsidRPr="00E27756">
          <w:rPr>
            <w:rStyle w:val="TextoNormalCaracter"/>
          </w:rPr>
          <w:t>34/2013</w:t>
        </w:r>
      </w:hyperlink>
      <w:r>
        <w:t>, VP I.</w:t>
      </w:r>
    </w:p>
    <w:p w:rsidR="00E27756" w:rsidRDefault="00E27756" w:rsidP="00E27756">
      <w:pPr>
        <w:pStyle w:val="SangriaFrancesaArticulo"/>
      </w:pPr>
      <w:r w:rsidRPr="00E27756">
        <w:rPr>
          <w:rStyle w:val="TextoNormalNegritaCaracter"/>
        </w:rPr>
        <w:t>Artículo 17.</w:t>
      </w:r>
      <w:r w:rsidRPr="00E27756">
        <w:rPr>
          <w:rStyle w:val="TextoNormalCaracter"/>
        </w:rPr>
        <w:t>-</w:t>
      </w:r>
      <w:r>
        <w:t xml:space="preserve"> Sentencia </w:t>
      </w:r>
      <w:hyperlink w:anchor="SENTENCIA_2013_34" w:history="1">
        <w:r w:rsidRPr="00E27756">
          <w:rPr>
            <w:rStyle w:val="TextoNormalCaracter"/>
          </w:rPr>
          <w:t>34/2013</w:t>
        </w:r>
      </w:hyperlink>
      <w:r>
        <w:t>, ff. 19, 20.</w:t>
      </w:r>
    </w:p>
    <w:p w:rsidR="00E27756" w:rsidRDefault="00E27756" w:rsidP="00E27756">
      <w:pPr>
        <w:pStyle w:val="SangriaFrancesaArticulo"/>
      </w:pPr>
      <w:r w:rsidRPr="00E27756">
        <w:rPr>
          <w:rStyle w:val="TextoNormalNegritaCaracter"/>
        </w:rPr>
        <w:t>Artículo 17.1.</w:t>
      </w:r>
      <w:r w:rsidRPr="00E27756">
        <w:rPr>
          <w:rStyle w:val="TextoNormalCaracter"/>
        </w:rPr>
        <w:t>-</w:t>
      </w:r>
      <w:r>
        <w:t xml:space="preserve"> Sentencia </w:t>
      </w:r>
      <w:hyperlink w:anchor="SENTENCIA_2013_82" w:history="1">
        <w:r w:rsidRPr="00E27756">
          <w:rPr>
            <w:rStyle w:val="TextoNormalCaracter"/>
          </w:rPr>
          <w:t>82/2013</w:t>
        </w:r>
      </w:hyperlink>
      <w:r>
        <w:t>, f. 2.</w:t>
      </w:r>
    </w:p>
    <w:p w:rsidR="00E27756" w:rsidRDefault="00E27756" w:rsidP="00E27756">
      <w:pPr>
        <w:pStyle w:val="SangriaFrancesaArticulo"/>
      </w:pPr>
      <w:r w:rsidRPr="00E27756">
        <w:rPr>
          <w:rStyle w:val="TextoNormalNegritaCaracter"/>
        </w:rPr>
        <w:lastRenderedPageBreak/>
        <w:t>Artículos 17.1, 25, 26.</w:t>
      </w:r>
      <w:r w:rsidRPr="00E27756">
        <w:rPr>
          <w:rStyle w:val="TextoNormalCaracter"/>
        </w:rPr>
        <w:t>-</w:t>
      </w:r>
      <w:r>
        <w:t xml:space="preserve"> Sentencia </w:t>
      </w:r>
      <w:hyperlink w:anchor="SENTENCIA_2013_82" w:history="1">
        <w:r w:rsidRPr="00E27756">
          <w:rPr>
            <w:rStyle w:val="TextoNormalCaracter"/>
          </w:rPr>
          <w:t>82/2013</w:t>
        </w:r>
      </w:hyperlink>
      <w:r>
        <w:t>, f. 2.</w:t>
      </w:r>
    </w:p>
    <w:p w:rsidR="00E27756" w:rsidRDefault="00E27756" w:rsidP="00E27756">
      <w:pPr>
        <w:pStyle w:val="SangriaFrancesaArticulo"/>
      </w:pPr>
      <w:r w:rsidRPr="00E27756">
        <w:rPr>
          <w:rStyle w:val="TextoNormalNegritaCaracter"/>
        </w:rPr>
        <w:t>Artículo 18.</w:t>
      </w:r>
      <w:r w:rsidRPr="00E27756">
        <w:rPr>
          <w:rStyle w:val="TextoNormalCaracter"/>
        </w:rPr>
        <w:t>-</w:t>
      </w:r>
      <w:r>
        <w:t xml:space="preserve"> Sentencia </w:t>
      </w:r>
      <w:hyperlink w:anchor="SENTENCIA_2013_34" w:history="1">
        <w:r w:rsidRPr="00E27756">
          <w:rPr>
            <w:rStyle w:val="TextoNormalCaracter"/>
          </w:rPr>
          <w:t>34/2013</w:t>
        </w:r>
      </w:hyperlink>
      <w:r>
        <w:t>, ff. 19, 20.</w:t>
      </w:r>
    </w:p>
    <w:p w:rsidR="00E27756" w:rsidRDefault="00E27756" w:rsidP="00E27756">
      <w:pPr>
        <w:pStyle w:val="SangriaFrancesaArticulo"/>
      </w:pPr>
      <w:r w:rsidRPr="00E27756">
        <w:rPr>
          <w:rStyle w:val="TextoNormalNegritaCaracter"/>
        </w:rPr>
        <w:t>Artículo 20 a 24.</w:t>
      </w:r>
      <w:r w:rsidRPr="00E27756">
        <w:rPr>
          <w:rStyle w:val="TextoNormalCaracter"/>
        </w:rPr>
        <w:t>-</w:t>
      </w:r>
      <w:r>
        <w:t xml:space="preserve"> Sentencia </w:t>
      </w:r>
      <w:hyperlink w:anchor="SENTENCIA_2013_82" w:history="1">
        <w:r w:rsidRPr="00E27756">
          <w:rPr>
            <w:rStyle w:val="TextoNormalCaracter"/>
          </w:rPr>
          <w:t>82/2013</w:t>
        </w:r>
      </w:hyperlink>
      <w:r>
        <w:t>, ff. 2, 4.</w:t>
      </w:r>
    </w:p>
    <w:p w:rsidR="00E27756" w:rsidRDefault="00E27756" w:rsidP="00E27756">
      <w:pPr>
        <w:pStyle w:val="SangriaFrancesaArticulo"/>
      </w:pPr>
      <w:r w:rsidRPr="00E27756">
        <w:rPr>
          <w:rStyle w:val="TextoNormalNegritaCaracter"/>
        </w:rPr>
        <w:t>Artículo 20.1.</w:t>
      </w:r>
      <w:r w:rsidRPr="00E27756">
        <w:rPr>
          <w:rStyle w:val="TextoNormalCaracter"/>
        </w:rPr>
        <w:t>-</w:t>
      </w:r>
      <w:r>
        <w:t xml:space="preserve"> Sentencia </w:t>
      </w:r>
      <w:hyperlink w:anchor="SENTENCIA_2013_34" w:history="1">
        <w:r w:rsidRPr="00E27756">
          <w:rPr>
            <w:rStyle w:val="TextoNormalCaracter"/>
          </w:rPr>
          <w:t>34/2013</w:t>
        </w:r>
      </w:hyperlink>
      <w:r>
        <w:t>, f. 5.</w:t>
      </w:r>
    </w:p>
    <w:p w:rsidR="00E27756" w:rsidRDefault="00E27756" w:rsidP="00E27756">
      <w:pPr>
        <w:pStyle w:val="SangriaFrancesaArticulo"/>
      </w:pPr>
      <w:r w:rsidRPr="00E27756">
        <w:rPr>
          <w:rStyle w:val="TextoNormalNegritaCaracter"/>
        </w:rPr>
        <w:t>Artículos 20 a 24.</w:t>
      </w:r>
      <w:r w:rsidRPr="00E27756">
        <w:rPr>
          <w:rStyle w:val="TextoNormalCaracter"/>
        </w:rPr>
        <w:t>-</w:t>
      </w:r>
      <w:r>
        <w:t xml:space="preserve"> Sentencia </w:t>
      </w:r>
      <w:hyperlink w:anchor="SENTENCIA_2013_82" w:history="1">
        <w:r w:rsidRPr="00E27756">
          <w:rPr>
            <w:rStyle w:val="TextoNormalCaracter"/>
          </w:rPr>
          <w:t>82/2013</w:t>
        </w:r>
      </w:hyperlink>
      <w:r>
        <w:t>, ff. 2, 4.</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Sentencias </w:t>
      </w:r>
      <w:hyperlink w:anchor="SENTENCIA_2013_34" w:history="1">
        <w:r w:rsidRPr="00E27756">
          <w:rPr>
            <w:rStyle w:val="TextoNormalCaracter"/>
          </w:rPr>
          <w:t>34/2013</w:t>
        </w:r>
      </w:hyperlink>
      <w:r>
        <w:t xml:space="preserve">, ff. 1, 5, 9, 10, 19, 20; </w:t>
      </w:r>
      <w:hyperlink w:anchor="SENTENCIA_2013_82" w:history="1">
        <w:r w:rsidRPr="00E27756">
          <w:rPr>
            <w:rStyle w:val="TextoNormalCaracter"/>
          </w:rPr>
          <w:t>82/2013</w:t>
        </w:r>
      </w:hyperlink>
      <w:r>
        <w:t>, f. 4.</w:t>
      </w:r>
    </w:p>
    <w:p w:rsidR="00E27756" w:rsidRDefault="00E27756" w:rsidP="00E27756">
      <w:pPr>
        <w:pStyle w:val="SangriaFrancesaArticulo"/>
      </w:pPr>
      <w:r w:rsidRPr="00E27756">
        <w:rPr>
          <w:rStyle w:val="TextoNormalNegritaCaracter"/>
        </w:rPr>
        <w:t>Artículo 22.4.</w:t>
      </w:r>
      <w:r w:rsidRPr="00E27756">
        <w:rPr>
          <w:rStyle w:val="TextoNormalCaracter"/>
        </w:rPr>
        <w:t>-</w:t>
      </w:r>
      <w:r>
        <w:t xml:space="preserve"> Sentencia </w:t>
      </w:r>
      <w:hyperlink w:anchor="SENTENCIA_2013_34" w:history="1">
        <w:r w:rsidRPr="00E27756">
          <w:rPr>
            <w:rStyle w:val="TextoNormalCaracter"/>
          </w:rPr>
          <w:t>34/2013</w:t>
        </w:r>
      </w:hyperlink>
      <w:r>
        <w:t>, f. 11.</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Sentencias </w:t>
      </w:r>
      <w:hyperlink w:anchor="SENTENCIA_2013_34" w:history="1">
        <w:r w:rsidRPr="00E27756">
          <w:rPr>
            <w:rStyle w:val="TextoNormalCaracter"/>
          </w:rPr>
          <w:t>34/2013</w:t>
        </w:r>
      </w:hyperlink>
      <w:r>
        <w:t xml:space="preserve">, ff. 1, 5, 9, 11, 19, 20; </w:t>
      </w:r>
      <w:hyperlink w:anchor="SENTENCIA_2013_82" w:history="1">
        <w:r w:rsidRPr="00E27756">
          <w:rPr>
            <w:rStyle w:val="TextoNormalCaracter"/>
          </w:rPr>
          <w:t>82/2013</w:t>
        </w:r>
      </w:hyperlink>
      <w:r>
        <w:t>, f. 4.</w:t>
      </w:r>
    </w:p>
    <w:p w:rsidR="00E27756" w:rsidRDefault="00E27756" w:rsidP="00E27756">
      <w:pPr>
        <w:pStyle w:val="SangriaFrancesaArticulo"/>
      </w:pPr>
      <w:r w:rsidRPr="00E27756">
        <w:rPr>
          <w:rStyle w:val="TextoNormalNegritaCaracter"/>
        </w:rPr>
        <w:t>Artículo 25.</w:t>
      </w:r>
      <w:r w:rsidRPr="00E27756">
        <w:rPr>
          <w:rStyle w:val="TextoNormalCaracter"/>
        </w:rPr>
        <w:t>-</w:t>
      </w:r>
      <w:r>
        <w:t xml:space="preserve"> Sentencias </w:t>
      </w:r>
      <w:hyperlink w:anchor="SENTENCIA_2013_34" w:history="1">
        <w:r w:rsidRPr="00E27756">
          <w:rPr>
            <w:rStyle w:val="TextoNormalCaracter"/>
          </w:rPr>
          <w:t>34/2013</w:t>
        </w:r>
      </w:hyperlink>
      <w:r>
        <w:t xml:space="preserve">, ff. 1, 5, 9-17, 19, 20, VP I; </w:t>
      </w:r>
      <w:hyperlink w:anchor="SENTENCIA_2013_82" w:history="1">
        <w:r w:rsidRPr="00E27756">
          <w:rPr>
            <w:rStyle w:val="TextoNormalCaracter"/>
          </w:rPr>
          <w:t>82/2013</w:t>
        </w:r>
      </w:hyperlink>
      <w:r>
        <w:t>, f. 5.</w:t>
      </w:r>
    </w:p>
    <w:p w:rsidR="00E27756" w:rsidRDefault="00E27756" w:rsidP="00E27756">
      <w:pPr>
        <w:pStyle w:val="SangriaFrancesaArticulo"/>
      </w:pPr>
      <w:r w:rsidRPr="00E27756">
        <w:rPr>
          <w:rStyle w:val="TextoNormalNegritaCaracter"/>
        </w:rPr>
        <w:t>Artículo 25 a 27.</w:t>
      </w:r>
      <w:r w:rsidRPr="00E27756">
        <w:rPr>
          <w:rStyle w:val="TextoNormalCaracter"/>
        </w:rPr>
        <w:t>-</w:t>
      </w:r>
      <w:r>
        <w:t xml:space="preserve"> Sentencia </w:t>
      </w:r>
      <w:hyperlink w:anchor="SENTENCIA_2013_82" w:history="1">
        <w:r w:rsidRPr="00E27756">
          <w:rPr>
            <w:rStyle w:val="TextoNormalCaracter"/>
          </w:rPr>
          <w:t>82/2013</w:t>
        </w:r>
      </w:hyperlink>
      <w:r>
        <w:t>, f. 4.</w:t>
      </w:r>
    </w:p>
    <w:p w:rsidR="00E27756" w:rsidRDefault="00E27756" w:rsidP="00E27756">
      <w:pPr>
        <w:pStyle w:val="SangriaFrancesaArticulo"/>
      </w:pPr>
      <w:r w:rsidRPr="00E27756">
        <w:rPr>
          <w:rStyle w:val="TextoNormalNegritaCaracter"/>
        </w:rPr>
        <w:t>Artículo 25 apartados 5, 7, 9.</w:t>
      </w:r>
      <w:r w:rsidRPr="00E27756">
        <w:rPr>
          <w:rStyle w:val="TextoNormalCaracter"/>
        </w:rPr>
        <w:t>-</w:t>
      </w:r>
      <w:r>
        <w:t xml:space="preserve"> Sentencia </w:t>
      </w:r>
      <w:hyperlink w:anchor="SENTENCIA_2013_82" w:history="1">
        <w:r w:rsidRPr="00E27756">
          <w:rPr>
            <w:rStyle w:val="TextoNormalCaracter"/>
          </w:rPr>
          <w:t>82/2013</w:t>
        </w:r>
      </w:hyperlink>
      <w:r>
        <w:t>, f. 4.</w:t>
      </w:r>
    </w:p>
    <w:p w:rsidR="00E27756" w:rsidRDefault="00E27756" w:rsidP="00E27756">
      <w:pPr>
        <w:pStyle w:val="SangriaFrancesaArticulo"/>
      </w:pPr>
      <w:r w:rsidRPr="00E27756">
        <w:rPr>
          <w:rStyle w:val="TextoNormalNegritaCaracter"/>
        </w:rPr>
        <w:t>Artículo 25 excepto apartados 4 y 8.</w:t>
      </w:r>
      <w:r w:rsidRPr="00E27756">
        <w:rPr>
          <w:rStyle w:val="TextoNormalCaracter"/>
        </w:rPr>
        <w:t>-</w:t>
      </w:r>
      <w:r>
        <w:t xml:space="preserve"> Sentencia </w:t>
      </w:r>
      <w:hyperlink w:anchor="SENTENCIA_2013_82" w:history="1">
        <w:r w:rsidRPr="00E27756">
          <w:rPr>
            <w:rStyle w:val="TextoNormalCaracter"/>
          </w:rPr>
          <w:t>82/2013</w:t>
        </w:r>
      </w:hyperlink>
      <w:r>
        <w:t>, ff. 1, 2, 5.</w:t>
      </w:r>
    </w:p>
    <w:p w:rsidR="00E27756" w:rsidRDefault="00E27756" w:rsidP="00E27756">
      <w:pPr>
        <w:pStyle w:val="SangriaFrancesaArticulo"/>
      </w:pPr>
      <w:r w:rsidRPr="00E27756">
        <w:rPr>
          <w:rStyle w:val="TextoNormalNegritaCaracter"/>
        </w:rPr>
        <w:t>Artículo 25.1.</w:t>
      </w:r>
      <w:r w:rsidRPr="00E27756">
        <w:rPr>
          <w:rStyle w:val="TextoNormalCaracter"/>
        </w:rPr>
        <w:t>-</w:t>
      </w:r>
      <w:r>
        <w:t xml:space="preserve"> Sentencia </w:t>
      </w:r>
      <w:hyperlink w:anchor="SENTENCIA_2013_34" w:history="1">
        <w:r w:rsidRPr="00E27756">
          <w:rPr>
            <w:rStyle w:val="TextoNormalCaracter"/>
          </w:rPr>
          <w:t>34/2013</w:t>
        </w:r>
      </w:hyperlink>
      <w:r>
        <w:t>, f. VP I.</w:t>
      </w:r>
    </w:p>
    <w:p w:rsidR="00E27756" w:rsidRDefault="00E27756" w:rsidP="00E27756">
      <w:pPr>
        <w:pStyle w:val="SangriaFrancesaArticulo"/>
      </w:pPr>
      <w:r w:rsidRPr="00E27756">
        <w:rPr>
          <w:rStyle w:val="TextoNormalNegritaCaracter"/>
        </w:rPr>
        <w:t>Artículo 25.4.</w:t>
      </w:r>
      <w:r w:rsidRPr="00E27756">
        <w:rPr>
          <w:rStyle w:val="TextoNormalCaracter"/>
        </w:rPr>
        <w:t>-</w:t>
      </w:r>
      <w:r>
        <w:t xml:space="preserve"> Sentencia </w:t>
      </w:r>
      <w:hyperlink w:anchor="SENTENCIA_2013_34" w:history="1">
        <w:r w:rsidRPr="00E27756">
          <w:rPr>
            <w:rStyle w:val="TextoNormalCaracter"/>
          </w:rPr>
          <w:t>34/2013</w:t>
        </w:r>
      </w:hyperlink>
      <w:r>
        <w:t>, VP I.</w:t>
      </w:r>
    </w:p>
    <w:p w:rsidR="00E27756" w:rsidRDefault="00E27756" w:rsidP="00E27756">
      <w:pPr>
        <w:pStyle w:val="SangriaFrancesaArticulo"/>
      </w:pPr>
      <w:r w:rsidRPr="00E27756">
        <w:rPr>
          <w:rStyle w:val="TextoNormalNegritaCaracter"/>
        </w:rPr>
        <w:t>Artículo 25.5.</w:t>
      </w:r>
      <w:r w:rsidRPr="00E27756">
        <w:rPr>
          <w:rStyle w:val="TextoNormalCaracter"/>
        </w:rPr>
        <w:t>-</w:t>
      </w:r>
      <w:r>
        <w:t xml:space="preserve"> Sentencia </w:t>
      </w:r>
      <w:hyperlink w:anchor="SENTENCIA_2013_34" w:history="1">
        <w:r w:rsidRPr="00E27756">
          <w:rPr>
            <w:rStyle w:val="TextoNormalCaracter"/>
          </w:rPr>
          <w:t>34/2013</w:t>
        </w:r>
      </w:hyperlink>
      <w:r>
        <w:t>, ff. 12, 15, VP I.</w:t>
      </w:r>
    </w:p>
    <w:p w:rsidR="00E27756" w:rsidRDefault="00E27756" w:rsidP="00E27756">
      <w:pPr>
        <w:pStyle w:val="SangriaFrancesaArticulo"/>
      </w:pPr>
      <w:r w:rsidRPr="00E27756">
        <w:rPr>
          <w:rStyle w:val="TextoNormalNegritaCaracter"/>
        </w:rPr>
        <w:t>Artículo 25.6.</w:t>
      </w:r>
      <w:r w:rsidRPr="00E27756">
        <w:rPr>
          <w:rStyle w:val="TextoNormalCaracter"/>
        </w:rPr>
        <w:t>-</w:t>
      </w:r>
      <w:r>
        <w:t xml:space="preserve"> Sentencia </w:t>
      </w:r>
      <w:hyperlink w:anchor="SENTENCIA_2013_34" w:history="1">
        <w:r w:rsidRPr="00E27756">
          <w:rPr>
            <w:rStyle w:val="TextoNormalCaracter"/>
          </w:rPr>
          <w:t>34/2013</w:t>
        </w:r>
      </w:hyperlink>
      <w:r>
        <w:t>, f. 12.</w:t>
      </w:r>
    </w:p>
    <w:p w:rsidR="00E27756" w:rsidRDefault="00E27756" w:rsidP="00E27756">
      <w:pPr>
        <w:pStyle w:val="SangriaFrancesaArticulo"/>
      </w:pPr>
      <w:r w:rsidRPr="00E27756">
        <w:rPr>
          <w:rStyle w:val="TextoNormalNegritaCaracter"/>
        </w:rPr>
        <w:t>Artículo 25.7.</w:t>
      </w:r>
      <w:r w:rsidRPr="00E27756">
        <w:rPr>
          <w:rStyle w:val="TextoNormalCaracter"/>
        </w:rPr>
        <w:t>-</w:t>
      </w:r>
      <w:r>
        <w:t xml:space="preserve"> Sentencia </w:t>
      </w:r>
      <w:hyperlink w:anchor="SENTENCIA_2013_34" w:history="1">
        <w:r w:rsidRPr="00E27756">
          <w:rPr>
            <w:rStyle w:val="TextoNormalCaracter"/>
          </w:rPr>
          <w:t>34/2013</w:t>
        </w:r>
      </w:hyperlink>
      <w:r>
        <w:t>, ff. 12, 15, VP I.</w:t>
      </w:r>
    </w:p>
    <w:p w:rsidR="00E27756" w:rsidRDefault="00E27756" w:rsidP="00E27756">
      <w:pPr>
        <w:pStyle w:val="SangriaFrancesaArticulo"/>
      </w:pPr>
      <w:r w:rsidRPr="00E27756">
        <w:rPr>
          <w:rStyle w:val="TextoNormalNegritaCaracter"/>
        </w:rPr>
        <w:t>Artículo 25.8.</w:t>
      </w:r>
      <w:r w:rsidRPr="00E27756">
        <w:rPr>
          <w:rStyle w:val="TextoNormalCaracter"/>
        </w:rPr>
        <w:t>-</w:t>
      </w:r>
      <w:r>
        <w:t xml:space="preserve"> Sentencia </w:t>
      </w:r>
      <w:hyperlink w:anchor="SENTENCIA_2013_34" w:history="1">
        <w:r w:rsidRPr="00E27756">
          <w:rPr>
            <w:rStyle w:val="TextoNormalCaracter"/>
          </w:rPr>
          <w:t>34/2013</w:t>
        </w:r>
      </w:hyperlink>
      <w:r>
        <w:t>, VP I.</w:t>
      </w:r>
    </w:p>
    <w:p w:rsidR="00E27756" w:rsidRDefault="00E27756" w:rsidP="00E27756">
      <w:pPr>
        <w:pStyle w:val="SangriaFrancesaArticulo"/>
      </w:pPr>
      <w:r w:rsidRPr="00E27756">
        <w:rPr>
          <w:rStyle w:val="TextoNormalNegritaCaracter"/>
        </w:rPr>
        <w:t>Artículo 25.9.</w:t>
      </w:r>
      <w:r w:rsidRPr="00E27756">
        <w:rPr>
          <w:rStyle w:val="TextoNormalCaracter"/>
        </w:rPr>
        <w:t>-</w:t>
      </w:r>
      <w:r>
        <w:t xml:space="preserve"> Sentencia </w:t>
      </w:r>
      <w:hyperlink w:anchor="SENTENCIA_2013_34" w:history="1">
        <w:r w:rsidRPr="00E27756">
          <w:rPr>
            <w:rStyle w:val="TextoNormalCaracter"/>
          </w:rPr>
          <w:t>34/2013</w:t>
        </w:r>
      </w:hyperlink>
      <w:r>
        <w:t>, ff. 12, 15, 22, VP I.</w:t>
      </w:r>
    </w:p>
    <w:p w:rsidR="00E27756" w:rsidRDefault="00E27756" w:rsidP="00E27756">
      <w:pPr>
        <w:pStyle w:val="SangriaFrancesaArticulo"/>
      </w:pPr>
      <w:r w:rsidRPr="00E27756">
        <w:rPr>
          <w:rStyle w:val="TextoNormalNegritaCaracter"/>
        </w:rPr>
        <w:t>Artículo 26.</w:t>
      </w:r>
      <w:r w:rsidRPr="00E27756">
        <w:rPr>
          <w:rStyle w:val="TextoNormalCaracter"/>
        </w:rPr>
        <w:t>-</w:t>
      </w:r>
      <w:r>
        <w:t xml:space="preserve"> Sentencias </w:t>
      </w:r>
      <w:hyperlink w:anchor="SENTENCIA_2013_34" w:history="1">
        <w:r w:rsidRPr="00E27756">
          <w:rPr>
            <w:rStyle w:val="TextoNormalCaracter"/>
          </w:rPr>
          <w:t>34/2013</w:t>
        </w:r>
      </w:hyperlink>
      <w:r>
        <w:t xml:space="preserve">, ff. 1, 5, 9, 13, 15-17, 19, 20, VP I; </w:t>
      </w:r>
      <w:hyperlink w:anchor="SENTENCIA_2013_82" w:history="1">
        <w:r w:rsidRPr="00E27756">
          <w:rPr>
            <w:rStyle w:val="TextoNormalCaracter"/>
          </w:rPr>
          <w:t>82/2013</w:t>
        </w:r>
      </w:hyperlink>
      <w:r>
        <w:t>, f. 5.</w:t>
      </w:r>
    </w:p>
    <w:p w:rsidR="00E27756" w:rsidRDefault="00E27756" w:rsidP="00E27756">
      <w:pPr>
        <w:pStyle w:val="SangriaFrancesaArticulo"/>
      </w:pPr>
      <w:r w:rsidRPr="00E27756">
        <w:rPr>
          <w:rStyle w:val="TextoNormalNegritaCaracter"/>
        </w:rPr>
        <w:t>Artículo 26.1.</w:t>
      </w:r>
      <w:r w:rsidRPr="00E27756">
        <w:rPr>
          <w:rStyle w:val="TextoNormalCaracter"/>
        </w:rPr>
        <w:t>-</w:t>
      </w:r>
      <w:r>
        <w:t xml:space="preserve"> Sentencia </w:t>
      </w:r>
      <w:hyperlink w:anchor="SENTENCIA_2013_34" w:history="1">
        <w:r w:rsidRPr="00E27756">
          <w:rPr>
            <w:rStyle w:val="TextoNormalCaracter"/>
          </w:rPr>
          <w:t>34/2013</w:t>
        </w:r>
      </w:hyperlink>
      <w:r>
        <w:t>, f. 13.</w:t>
      </w:r>
    </w:p>
    <w:p w:rsidR="00E27756" w:rsidRDefault="00E27756" w:rsidP="00E27756">
      <w:pPr>
        <w:pStyle w:val="SangriaFrancesaArticulo"/>
      </w:pPr>
      <w:r w:rsidRPr="00E27756">
        <w:rPr>
          <w:rStyle w:val="TextoNormalNegritaCaracter"/>
        </w:rPr>
        <w:t>Artículo 26.2.</w:t>
      </w:r>
      <w:r w:rsidRPr="00E27756">
        <w:rPr>
          <w:rStyle w:val="TextoNormalCaracter"/>
        </w:rPr>
        <w:t>-</w:t>
      </w:r>
      <w:r>
        <w:t xml:space="preserve"> Sentencias </w:t>
      </w:r>
      <w:hyperlink w:anchor="SENTENCIA_2013_34" w:history="1">
        <w:r w:rsidRPr="00E27756">
          <w:rPr>
            <w:rStyle w:val="TextoNormalCaracter"/>
          </w:rPr>
          <w:t>34/2013</w:t>
        </w:r>
      </w:hyperlink>
      <w:r>
        <w:t xml:space="preserve">, f. 13; </w:t>
      </w:r>
      <w:hyperlink w:anchor="SENTENCIA_2013_82" w:history="1">
        <w:r w:rsidRPr="00E27756">
          <w:rPr>
            <w:rStyle w:val="TextoNormalCaracter"/>
          </w:rPr>
          <w:t>82/2013</w:t>
        </w:r>
      </w:hyperlink>
      <w:r>
        <w:t>, f. 4.</w:t>
      </w:r>
    </w:p>
    <w:p w:rsidR="00E27756" w:rsidRDefault="00E27756" w:rsidP="00E27756">
      <w:pPr>
        <w:pStyle w:val="SangriaFrancesaArticulo"/>
      </w:pPr>
      <w:r w:rsidRPr="00E27756">
        <w:rPr>
          <w:rStyle w:val="TextoNormalNegritaCaracter"/>
        </w:rPr>
        <w:t>Artículo 26.2 a).</w:t>
      </w:r>
      <w:r w:rsidRPr="00E27756">
        <w:rPr>
          <w:rStyle w:val="TextoNormalCaracter"/>
        </w:rPr>
        <w:t>-</w:t>
      </w:r>
      <w:r>
        <w:t xml:space="preserve"> Sentencia </w:t>
      </w:r>
      <w:hyperlink w:anchor="SENTENCIA_2013_34" w:history="1">
        <w:r w:rsidRPr="00E27756">
          <w:rPr>
            <w:rStyle w:val="TextoNormalCaracter"/>
          </w:rPr>
          <w:t>34/2013</w:t>
        </w:r>
      </w:hyperlink>
      <w:r>
        <w:t>, f. 13.</w:t>
      </w:r>
    </w:p>
    <w:p w:rsidR="00E27756" w:rsidRDefault="00E27756" w:rsidP="00E27756">
      <w:pPr>
        <w:pStyle w:val="SangriaFrancesaArticulo"/>
      </w:pPr>
      <w:r w:rsidRPr="00E27756">
        <w:rPr>
          <w:rStyle w:val="TextoNormalNegritaCaracter"/>
        </w:rPr>
        <w:t>Artículo 26.2 apartados b), e) y g).</w:t>
      </w:r>
      <w:r w:rsidRPr="00E27756">
        <w:rPr>
          <w:rStyle w:val="TextoNormalCaracter"/>
        </w:rPr>
        <w:t>-</w:t>
      </w:r>
      <w:r>
        <w:t xml:space="preserve"> Sentencia </w:t>
      </w:r>
      <w:hyperlink w:anchor="SENTENCIA_2013_34" w:history="1">
        <w:r w:rsidRPr="00E27756">
          <w:rPr>
            <w:rStyle w:val="TextoNormalCaracter"/>
          </w:rPr>
          <w:t>34/2013</w:t>
        </w:r>
      </w:hyperlink>
      <w:r>
        <w:t>, VP.</w:t>
      </w:r>
    </w:p>
    <w:p w:rsidR="00E27756" w:rsidRDefault="00E27756" w:rsidP="00E27756">
      <w:pPr>
        <w:pStyle w:val="SangriaFrancesaArticulo"/>
      </w:pPr>
      <w:r w:rsidRPr="00E27756">
        <w:rPr>
          <w:rStyle w:val="TextoNormalNegritaCaracter"/>
        </w:rPr>
        <w:t>Artículo 26.2 apartados b), e), g).</w:t>
      </w:r>
      <w:r w:rsidRPr="00E27756">
        <w:rPr>
          <w:rStyle w:val="TextoNormalCaracter"/>
        </w:rPr>
        <w:t>-</w:t>
      </w:r>
      <w:r>
        <w:t xml:space="preserve"> Sentencia </w:t>
      </w:r>
      <w:hyperlink w:anchor="SENTENCIA_2013_82" w:history="1">
        <w:r w:rsidRPr="00E27756">
          <w:rPr>
            <w:rStyle w:val="TextoNormalCaracter"/>
          </w:rPr>
          <w:t>82/2013</w:t>
        </w:r>
      </w:hyperlink>
      <w:r>
        <w:t>, ff. 1, 2, 4.</w:t>
      </w:r>
    </w:p>
    <w:p w:rsidR="00E27756" w:rsidRDefault="00E27756" w:rsidP="00E27756">
      <w:pPr>
        <w:pStyle w:val="SangriaFrancesaArticulo"/>
      </w:pPr>
      <w:r w:rsidRPr="00E27756">
        <w:rPr>
          <w:rStyle w:val="TextoNormalNegritaCaracter"/>
        </w:rPr>
        <w:t>Artículo 26.2 b).</w:t>
      </w:r>
      <w:r w:rsidRPr="00E27756">
        <w:rPr>
          <w:rStyle w:val="TextoNormalCaracter"/>
        </w:rPr>
        <w:t>-</w:t>
      </w:r>
      <w:r>
        <w:t xml:space="preserve"> Sentencia </w:t>
      </w:r>
      <w:hyperlink w:anchor="SENTENCIA_2013_34" w:history="1">
        <w:r w:rsidRPr="00E27756">
          <w:rPr>
            <w:rStyle w:val="TextoNormalCaracter"/>
          </w:rPr>
          <w:t>34/2013</w:t>
        </w:r>
      </w:hyperlink>
      <w:r>
        <w:t>, ff. 13, VP I.</w:t>
      </w:r>
    </w:p>
    <w:p w:rsidR="00E27756" w:rsidRDefault="00E27756" w:rsidP="00E27756">
      <w:pPr>
        <w:pStyle w:val="SangriaFrancesaArticulo"/>
      </w:pPr>
      <w:r w:rsidRPr="00E27756">
        <w:rPr>
          <w:rStyle w:val="TextoNormalNegritaCaracter"/>
        </w:rPr>
        <w:t>Artículo 26.2 d).</w:t>
      </w:r>
      <w:r w:rsidRPr="00E27756">
        <w:rPr>
          <w:rStyle w:val="TextoNormalCaracter"/>
        </w:rPr>
        <w:t>-</w:t>
      </w:r>
      <w:r>
        <w:t xml:space="preserve"> Sentencia </w:t>
      </w:r>
      <w:hyperlink w:anchor="SENTENCIA_2013_34" w:history="1">
        <w:r w:rsidRPr="00E27756">
          <w:rPr>
            <w:rStyle w:val="TextoNormalCaracter"/>
          </w:rPr>
          <w:t>34/2013</w:t>
        </w:r>
      </w:hyperlink>
      <w:r>
        <w:t>, f. 13.</w:t>
      </w:r>
    </w:p>
    <w:p w:rsidR="00E27756" w:rsidRDefault="00E27756" w:rsidP="00E27756">
      <w:pPr>
        <w:pStyle w:val="SangriaFrancesaArticulo"/>
      </w:pPr>
      <w:r w:rsidRPr="00E27756">
        <w:rPr>
          <w:rStyle w:val="TextoNormalNegritaCaracter"/>
        </w:rPr>
        <w:t>Artículo 26.2 e).</w:t>
      </w:r>
      <w:r w:rsidRPr="00E27756">
        <w:rPr>
          <w:rStyle w:val="TextoNormalCaracter"/>
        </w:rPr>
        <w:t>-</w:t>
      </w:r>
      <w:r>
        <w:t xml:space="preserve"> Sentencia </w:t>
      </w:r>
      <w:hyperlink w:anchor="SENTENCIA_2013_34" w:history="1">
        <w:r w:rsidRPr="00E27756">
          <w:rPr>
            <w:rStyle w:val="TextoNormalCaracter"/>
          </w:rPr>
          <w:t>34/2013</w:t>
        </w:r>
      </w:hyperlink>
      <w:r>
        <w:t>, VP I.</w:t>
      </w:r>
    </w:p>
    <w:p w:rsidR="00E27756" w:rsidRDefault="00E27756" w:rsidP="00E27756">
      <w:pPr>
        <w:pStyle w:val="SangriaFrancesaArticulo"/>
      </w:pPr>
      <w:r w:rsidRPr="00E27756">
        <w:rPr>
          <w:rStyle w:val="TextoNormalNegritaCaracter"/>
        </w:rPr>
        <w:t>Artículo 26.2 f).</w:t>
      </w:r>
      <w:r w:rsidRPr="00E27756">
        <w:rPr>
          <w:rStyle w:val="TextoNormalCaracter"/>
        </w:rPr>
        <w:t>-</w:t>
      </w:r>
      <w:r>
        <w:t xml:space="preserve"> Sentencia </w:t>
      </w:r>
      <w:hyperlink w:anchor="SENTENCIA_2013_34" w:history="1">
        <w:r w:rsidRPr="00E27756">
          <w:rPr>
            <w:rStyle w:val="TextoNormalCaracter"/>
          </w:rPr>
          <w:t>34/2013</w:t>
        </w:r>
      </w:hyperlink>
      <w:r>
        <w:t>, f. 13.</w:t>
      </w:r>
    </w:p>
    <w:p w:rsidR="00E27756" w:rsidRDefault="00E27756" w:rsidP="00E27756">
      <w:pPr>
        <w:pStyle w:val="SangriaFrancesaArticulo"/>
      </w:pPr>
      <w:r w:rsidRPr="00E27756">
        <w:rPr>
          <w:rStyle w:val="TextoNormalNegritaCaracter"/>
        </w:rPr>
        <w:t>Artículo 26.2 g).</w:t>
      </w:r>
      <w:r w:rsidRPr="00E27756">
        <w:rPr>
          <w:rStyle w:val="TextoNormalCaracter"/>
        </w:rPr>
        <w:t>-</w:t>
      </w:r>
      <w:r>
        <w:t xml:space="preserve"> Sentencia </w:t>
      </w:r>
      <w:hyperlink w:anchor="SENTENCIA_2013_34" w:history="1">
        <w:r w:rsidRPr="00E27756">
          <w:rPr>
            <w:rStyle w:val="TextoNormalCaracter"/>
          </w:rPr>
          <w:t>34/2013</w:t>
        </w:r>
      </w:hyperlink>
      <w:r>
        <w:t>, VP I.</w:t>
      </w:r>
    </w:p>
    <w:p w:rsidR="00E27756" w:rsidRDefault="00E27756" w:rsidP="00E27756">
      <w:pPr>
        <w:pStyle w:val="SangriaFrancesaArticulo"/>
      </w:pPr>
      <w:r w:rsidRPr="00E27756">
        <w:rPr>
          <w:rStyle w:val="TextoNormalNegritaCaracter"/>
        </w:rPr>
        <w:t>Artículo 26.2 h).</w:t>
      </w:r>
      <w:r w:rsidRPr="00E27756">
        <w:rPr>
          <w:rStyle w:val="TextoNormalCaracter"/>
        </w:rPr>
        <w:t>-</w:t>
      </w:r>
      <w:r>
        <w:t xml:space="preserve"> Sentencia </w:t>
      </w:r>
      <w:hyperlink w:anchor="SENTENCIA_2013_34" w:history="1">
        <w:r w:rsidRPr="00E27756">
          <w:rPr>
            <w:rStyle w:val="TextoNormalCaracter"/>
          </w:rPr>
          <w:t>34/2013</w:t>
        </w:r>
      </w:hyperlink>
      <w:r>
        <w:t>, f. 13.</w:t>
      </w:r>
    </w:p>
    <w:p w:rsidR="00E27756" w:rsidRDefault="00E27756" w:rsidP="00E27756">
      <w:pPr>
        <w:pStyle w:val="SangriaFrancesaArticulo"/>
      </w:pPr>
      <w:r w:rsidRPr="00E27756">
        <w:rPr>
          <w:rStyle w:val="TextoNormalNegritaCaracter"/>
        </w:rPr>
        <w:t>Artículo 26.2 i).</w:t>
      </w:r>
      <w:r w:rsidRPr="00E27756">
        <w:rPr>
          <w:rStyle w:val="TextoNormalCaracter"/>
        </w:rPr>
        <w:t>-</w:t>
      </w:r>
      <w:r>
        <w:t xml:space="preserve"> Sentencia </w:t>
      </w:r>
      <w:hyperlink w:anchor="SENTENCIA_2013_34" w:history="1">
        <w:r w:rsidRPr="00E27756">
          <w:rPr>
            <w:rStyle w:val="TextoNormalCaracter"/>
          </w:rPr>
          <w:t>34/2013</w:t>
        </w:r>
      </w:hyperlink>
      <w:r>
        <w:t>, f. 13.</w:t>
      </w:r>
    </w:p>
    <w:p w:rsidR="00E27756" w:rsidRDefault="00E27756" w:rsidP="00E27756">
      <w:pPr>
        <w:pStyle w:val="SangriaFrancesaArticulo"/>
      </w:pPr>
      <w:r w:rsidRPr="00E27756">
        <w:rPr>
          <w:rStyle w:val="TextoNormalNegritaCaracter"/>
        </w:rPr>
        <w:t>Artículo 26.2 j).</w:t>
      </w:r>
      <w:r w:rsidRPr="00E27756">
        <w:rPr>
          <w:rStyle w:val="TextoNormalCaracter"/>
        </w:rPr>
        <w:t>-</w:t>
      </w:r>
      <w:r>
        <w:t xml:space="preserve"> Sentencia </w:t>
      </w:r>
      <w:hyperlink w:anchor="SENTENCIA_2013_34" w:history="1">
        <w:r w:rsidRPr="00E27756">
          <w:rPr>
            <w:rStyle w:val="TextoNormalCaracter"/>
          </w:rPr>
          <w:t>34/2013</w:t>
        </w:r>
      </w:hyperlink>
      <w:r>
        <w:t>, f. 13.</w:t>
      </w:r>
    </w:p>
    <w:p w:rsidR="00E27756" w:rsidRDefault="00E27756" w:rsidP="00E27756">
      <w:pPr>
        <w:pStyle w:val="SangriaFrancesaArticulo"/>
      </w:pPr>
      <w:r w:rsidRPr="00E27756">
        <w:rPr>
          <w:rStyle w:val="TextoNormalNegritaCaracter"/>
        </w:rPr>
        <w:t>Artículo 26.3.</w:t>
      </w:r>
      <w:r w:rsidRPr="00E27756">
        <w:rPr>
          <w:rStyle w:val="TextoNormalCaracter"/>
        </w:rPr>
        <w:t>-</w:t>
      </w:r>
      <w:r>
        <w:t xml:space="preserve"> Sentencia </w:t>
      </w:r>
      <w:hyperlink w:anchor="SENTENCIA_2013_34" w:history="1">
        <w:r w:rsidRPr="00E27756">
          <w:rPr>
            <w:rStyle w:val="TextoNormalCaracter"/>
          </w:rPr>
          <w:t>34/2013</w:t>
        </w:r>
      </w:hyperlink>
      <w:r>
        <w:t>, f. 13.</w:t>
      </w:r>
    </w:p>
    <w:p w:rsidR="00E27756" w:rsidRDefault="00E27756" w:rsidP="00E27756">
      <w:pPr>
        <w:pStyle w:val="SangriaFrancesaArticulo"/>
      </w:pPr>
      <w:r w:rsidRPr="00E27756">
        <w:rPr>
          <w:rStyle w:val="TextoNormalNegritaCaracter"/>
        </w:rPr>
        <w:t>Artículo 26.4.</w:t>
      </w:r>
      <w:r w:rsidRPr="00E27756">
        <w:rPr>
          <w:rStyle w:val="TextoNormalCaracter"/>
        </w:rPr>
        <w:t>-</w:t>
      </w:r>
      <w:r>
        <w:t xml:space="preserve"> Sentencia </w:t>
      </w:r>
      <w:hyperlink w:anchor="SENTENCIA_2013_34" w:history="1">
        <w:r w:rsidRPr="00E27756">
          <w:rPr>
            <w:rStyle w:val="TextoNormalCaracter"/>
          </w:rPr>
          <w:t>34/2013</w:t>
        </w:r>
      </w:hyperlink>
      <w:r>
        <w:t>, f. 13.</w:t>
      </w:r>
    </w:p>
    <w:p w:rsidR="00E27756" w:rsidRDefault="00E27756" w:rsidP="00E27756">
      <w:pPr>
        <w:pStyle w:val="SangriaFrancesaArticulo"/>
      </w:pPr>
      <w:r w:rsidRPr="00E27756">
        <w:rPr>
          <w:rStyle w:val="TextoNormalNegritaCaracter"/>
        </w:rPr>
        <w:t>Artículo 27.</w:t>
      </w:r>
      <w:r w:rsidRPr="00E27756">
        <w:rPr>
          <w:rStyle w:val="TextoNormalCaracter"/>
        </w:rPr>
        <w:t>-</w:t>
      </w:r>
      <w:r>
        <w:t xml:space="preserve"> Sentencias </w:t>
      </w:r>
      <w:hyperlink w:anchor="SENTENCIA_2013_34" w:history="1">
        <w:r w:rsidRPr="00E27756">
          <w:rPr>
            <w:rStyle w:val="TextoNormalCaracter"/>
          </w:rPr>
          <w:t>34/2013</w:t>
        </w:r>
      </w:hyperlink>
      <w:r>
        <w:t xml:space="preserve">, ff. 1, 5, 9, 14, 19-21, VP I; </w:t>
      </w:r>
      <w:hyperlink w:anchor="SENTENCIA_2013_82" w:history="1">
        <w:r w:rsidRPr="00E27756">
          <w:rPr>
            <w:rStyle w:val="TextoNormalCaracter"/>
          </w:rPr>
          <w:t>82/2013</w:t>
        </w:r>
      </w:hyperlink>
      <w:r>
        <w:t>, ff. 1, 2, 4.</w:t>
      </w:r>
    </w:p>
    <w:p w:rsidR="00E27756" w:rsidRDefault="00E27756" w:rsidP="00E27756">
      <w:pPr>
        <w:pStyle w:val="SangriaFrancesaArticulo"/>
      </w:pPr>
      <w:r w:rsidRPr="00E27756">
        <w:rPr>
          <w:rStyle w:val="TextoNormalNegritaCaracter"/>
        </w:rPr>
        <w:t>Artículo 27.1.</w:t>
      </w:r>
      <w:r w:rsidRPr="00E27756">
        <w:rPr>
          <w:rStyle w:val="TextoNormalCaracter"/>
        </w:rPr>
        <w:t>-</w:t>
      </w:r>
      <w:r>
        <w:t xml:space="preserve"> Sentencia </w:t>
      </w:r>
      <w:hyperlink w:anchor="SENTENCIA_2013_34" w:history="1">
        <w:r w:rsidRPr="00E27756">
          <w:rPr>
            <w:rStyle w:val="TextoNormalCaracter"/>
          </w:rPr>
          <w:t>34/2013</w:t>
        </w:r>
      </w:hyperlink>
      <w:r>
        <w:t>, ff. 14, 22, VP I.</w:t>
      </w:r>
    </w:p>
    <w:p w:rsidR="00E27756" w:rsidRDefault="00E27756" w:rsidP="00E27756">
      <w:pPr>
        <w:pStyle w:val="SangriaFrancesaArticulo"/>
      </w:pPr>
      <w:r w:rsidRPr="00E27756">
        <w:rPr>
          <w:rStyle w:val="TextoNormalNegritaCaracter"/>
        </w:rPr>
        <w:t>Artículo 27.1 b).</w:t>
      </w:r>
      <w:r w:rsidRPr="00E27756">
        <w:rPr>
          <w:rStyle w:val="TextoNormalCaracter"/>
        </w:rPr>
        <w:t>-</w:t>
      </w:r>
      <w:r>
        <w:t xml:space="preserve"> Sentencia </w:t>
      </w:r>
      <w:hyperlink w:anchor="SENTENCIA_2013_34" w:history="1">
        <w:r w:rsidRPr="00E27756">
          <w:rPr>
            <w:rStyle w:val="TextoNormalCaracter"/>
          </w:rPr>
          <w:t>34/2013</w:t>
        </w:r>
      </w:hyperlink>
      <w:r>
        <w:t>, ff. 14, 21.</w:t>
      </w:r>
    </w:p>
    <w:p w:rsidR="00E27756" w:rsidRDefault="00E27756" w:rsidP="00E27756">
      <w:pPr>
        <w:pStyle w:val="SangriaFrancesaArticulo"/>
      </w:pPr>
      <w:r w:rsidRPr="00E27756">
        <w:rPr>
          <w:rStyle w:val="TextoNormalNegritaCaracter"/>
        </w:rPr>
        <w:t>Artículo 27.1 c).</w:t>
      </w:r>
      <w:r w:rsidRPr="00E27756">
        <w:rPr>
          <w:rStyle w:val="TextoNormalCaracter"/>
        </w:rPr>
        <w:t>-</w:t>
      </w:r>
      <w:r>
        <w:t xml:space="preserve"> Sentencia </w:t>
      </w:r>
      <w:hyperlink w:anchor="SENTENCIA_2013_34" w:history="1">
        <w:r w:rsidRPr="00E27756">
          <w:rPr>
            <w:rStyle w:val="TextoNormalCaracter"/>
          </w:rPr>
          <w:t>34/2013</w:t>
        </w:r>
      </w:hyperlink>
      <w:r>
        <w:t>, f. 14.</w:t>
      </w:r>
    </w:p>
    <w:p w:rsidR="00E27756" w:rsidRDefault="00E27756" w:rsidP="00E27756">
      <w:pPr>
        <w:pStyle w:val="SangriaFrancesaArticulo"/>
      </w:pPr>
      <w:r w:rsidRPr="00E27756">
        <w:rPr>
          <w:rStyle w:val="TextoNormalNegritaCaracter"/>
        </w:rPr>
        <w:t>Artículo 27.1 d).</w:t>
      </w:r>
      <w:r w:rsidRPr="00E27756">
        <w:rPr>
          <w:rStyle w:val="TextoNormalCaracter"/>
        </w:rPr>
        <w:t>-</w:t>
      </w:r>
      <w:r>
        <w:t xml:space="preserve"> Sentencia </w:t>
      </w:r>
      <w:hyperlink w:anchor="SENTENCIA_2013_34" w:history="1">
        <w:r w:rsidRPr="00E27756">
          <w:rPr>
            <w:rStyle w:val="TextoNormalCaracter"/>
          </w:rPr>
          <w:t>34/2013</w:t>
        </w:r>
      </w:hyperlink>
      <w:r>
        <w:t>, f. 14.</w:t>
      </w:r>
    </w:p>
    <w:p w:rsidR="00E27756" w:rsidRDefault="00E27756" w:rsidP="00E27756">
      <w:pPr>
        <w:pStyle w:val="SangriaFrancesaArticulo"/>
      </w:pPr>
      <w:r w:rsidRPr="00E27756">
        <w:rPr>
          <w:rStyle w:val="TextoNormalNegritaCaracter"/>
        </w:rPr>
        <w:t>Artículo 27.2.</w:t>
      </w:r>
      <w:r w:rsidRPr="00E27756">
        <w:rPr>
          <w:rStyle w:val="TextoNormalCaracter"/>
        </w:rPr>
        <w:t>-</w:t>
      </w:r>
      <w:r>
        <w:t xml:space="preserve"> Sentencia </w:t>
      </w:r>
      <w:hyperlink w:anchor="SENTENCIA_2013_34" w:history="1">
        <w:r w:rsidRPr="00E27756">
          <w:rPr>
            <w:rStyle w:val="TextoNormalCaracter"/>
          </w:rPr>
          <w:t>34/2013</w:t>
        </w:r>
      </w:hyperlink>
      <w:r>
        <w:t>, ff. 14, 22.</w:t>
      </w:r>
    </w:p>
    <w:p w:rsidR="00E27756" w:rsidRDefault="00E27756" w:rsidP="00E27756">
      <w:pPr>
        <w:pStyle w:val="SangriaFrancesaArticulo"/>
      </w:pPr>
      <w:r w:rsidRPr="00E27756">
        <w:rPr>
          <w:rStyle w:val="TextoNormalNegritaCaracter"/>
        </w:rPr>
        <w:t>Artículo 27.3.</w:t>
      </w:r>
      <w:r w:rsidRPr="00E27756">
        <w:rPr>
          <w:rStyle w:val="TextoNormalCaracter"/>
        </w:rPr>
        <w:t>-</w:t>
      </w:r>
      <w:r>
        <w:t xml:space="preserve"> Sentencia </w:t>
      </w:r>
      <w:hyperlink w:anchor="SENTENCIA_2013_34" w:history="1">
        <w:r w:rsidRPr="00E27756">
          <w:rPr>
            <w:rStyle w:val="TextoNormalCaracter"/>
          </w:rPr>
          <w:t>34/2013</w:t>
        </w:r>
      </w:hyperlink>
      <w:r>
        <w:t>, f. 14.</w:t>
      </w:r>
    </w:p>
    <w:p w:rsidR="00E27756" w:rsidRDefault="00E27756" w:rsidP="00E27756">
      <w:pPr>
        <w:pStyle w:val="SangriaFrancesaArticulo"/>
      </w:pPr>
      <w:r w:rsidRPr="00E27756">
        <w:rPr>
          <w:rStyle w:val="TextoNormalNegritaCaracter"/>
        </w:rPr>
        <w:t>Artículo 27.4.</w:t>
      </w:r>
      <w:r w:rsidRPr="00E27756">
        <w:rPr>
          <w:rStyle w:val="TextoNormalCaracter"/>
        </w:rPr>
        <w:t>-</w:t>
      </w:r>
      <w:r>
        <w:t xml:space="preserve"> Sentencia </w:t>
      </w:r>
      <w:hyperlink w:anchor="SENTENCIA_2013_34" w:history="1">
        <w:r w:rsidRPr="00E27756">
          <w:rPr>
            <w:rStyle w:val="TextoNormalCaracter"/>
          </w:rPr>
          <w:t>34/2013</w:t>
        </w:r>
      </w:hyperlink>
      <w:r>
        <w:t>, f. 14.</w:t>
      </w:r>
    </w:p>
    <w:p w:rsidR="00E27756" w:rsidRDefault="00E27756" w:rsidP="00E27756">
      <w:pPr>
        <w:pStyle w:val="SangriaFrancesaArticulo"/>
      </w:pPr>
      <w:r w:rsidRPr="00E27756">
        <w:rPr>
          <w:rStyle w:val="TextoNormalNegritaCaracter"/>
        </w:rPr>
        <w:t>Artículo 27.5.</w:t>
      </w:r>
      <w:r w:rsidRPr="00E27756">
        <w:rPr>
          <w:rStyle w:val="TextoNormalCaracter"/>
        </w:rPr>
        <w:t>-</w:t>
      </w:r>
      <w:r>
        <w:t xml:space="preserve"> Sentencia </w:t>
      </w:r>
      <w:hyperlink w:anchor="SENTENCIA_2013_34" w:history="1">
        <w:r w:rsidRPr="00E27756">
          <w:rPr>
            <w:rStyle w:val="TextoNormalCaracter"/>
          </w:rPr>
          <w:t>34/2013</w:t>
        </w:r>
      </w:hyperlink>
      <w:r>
        <w:t>, f. 14.</w:t>
      </w:r>
    </w:p>
    <w:p w:rsidR="00E27756" w:rsidRDefault="00E27756" w:rsidP="00E27756">
      <w:pPr>
        <w:pStyle w:val="SangriaFrancesaArticulo"/>
      </w:pPr>
      <w:r w:rsidRPr="00E27756">
        <w:rPr>
          <w:rStyle w:val="TextoNormalNegritaCaracter"/>
        </w:rPr>
        <w:t>Artículo 27.6.</w:t>
      </w:r>
      <w:r w:rsidRPr="00E27756">
        <w:rPr>
          <w:rStyle w:val="TextoNormalCaracter"/>
        </w:rPr>
        <w:t>-</w:t>
      </w:r>
      <w:r>
        <w:t xml:space="preserve"> Sentencia </w:t>
      </w:r>
      <w:hyperlink w:anchor="SENTENCIA_2013_34" w:history="1">
        <w:r w:rsidRPr="00E27756">
          <w:rPr>
            <w:rStyle w:val="TextoNormalCaracter"/>
          </w:rPr>
          <w:t>34/2013</w:t>
        </w:r>
      </w:hyperlink>
      <w:r>
        <w:t>, f. 14.</w:t>
      </w:r>
    </w:p>
    <w:p w:rsidR="00E27756" w:rsidRDefault="00E27756" w:rsidP="00E27756">
      <w:pPr>
        <w:pStyle w:val="SangriaFrancesaArticulo"/>
      </w:pPr>
      <w:r w:rsidRPr="00E27756">
        <w:rPr>
          <w:rStyle w:val="TextoNormalNegritaCaracter"/>
        </w:rPr>
        <w:t>Artículos 27, 31.1, 32.</w:t>
      </w:r>
      <w:r w:rsidRPr="00E27756">
        <w:rPr>
          <w:rStyle w:val="TextoNormalCaracter"/>
        </w:rPr>
        <w:t>-</w:t>
      </w:r>
      <w:r>
        <w:t xml:space="preserve"> Sentencia </w:t>
      </w:r>
      <w:hyperlink w:anchor="SENTENCIA_2013_82" w:history="1">
        <w:r w:rsidRPr="00E27756">
          <w:rPr>
            <w:rStyle w:val="TextoNormalCaracter"/>
          </w:rPr>
          <w:t>82/2013</w:t>
        </w:r>
      </w:hyperlink>
      <w:r>
        <w:t>, f. 2.</w:t>
      </w:r>
    </w:p>
    <w:p w:rsidR="00E27756" w:rsidRDefault="00E27756" w:rsidP="00E27756">
      <w:pPr>
        <w:pStyle w:val="SangriaFrancesaArticulo"/>
      </w:pPr>
      <w:r w:rsidRPr="00E27756">
        <w:rPr>
          <w:rStyle w:val="TextoNormalNegritaCaracter"/>
        </w:rPr>
        <w:t>Artículos 27, 31.1, 32, 37, 38.1, 39 apartados 1, 3.</w:t>
      </w:r>
      <w:r w:rsidRPr="00E27756">
        <w:rPr>
          <w:rStyle w:val="TextoNormalCaracter"/>
        </w:rPr>
        <w:t>-</w:t>
      </w:r>
      <w:r>
        <w:t xml:space="preserve"> Sentencia </w:t>
      </w:r>
      <w:hyperlink w:anchor="SENTENCIA_2013_82" w:history="1">
        <w:r w:rsidRPr="00E27756">
          <w:rPr>
            <w:rStyle w:val="TextoNormalCaracter"/>
          </w:rPr>
          <w:t>82/2013</w:t>
        </w:r>
      </w:hyperlink>
      <w:r>
        <w:t>, ff. 1, 2.</w:t>
      </w:r>
    </w:p>
    <w:p w:rsidR="00E27756" w:rsidRDefault="00E27756" w:rsidP="00E27756">
      <w:pPr>
        <w:pStyle w:val="SangriaFrancesaArticulo"/>
      </w:pPr>
      <w:r w:rsidRPr="00E27756">
        <w:rPr>
          <w:rStyle w:val="TextoNormalNegritaCaracter"/>
        </w:rPr>
        <w:t>Artículo 28.</w:t>
      </w:r>
      <w:r w:rsidRPr="00E27756">
        <w:rPr>
          <w:rStyle w:val="TextoNormalCaracter"/>
        </w:rPr>
        <w:t>-</w:t>
      </w:r>
      <w:r>
        <w:t xml:space="preserve"> Sentencia </w:t>
      </w:r>
      <w:hyperlink w:anchor="SENTENCIA_2013_34" w:history="1">
        <w:r w:rsidRPr="00E27756">
          <w:rPr>
            <w:rStyle w:val="TextoNormalCaracter"/>
          </w:rPr>
          <w:t>34/2013</w:t>
        </w:r>
      </w:hyperlink>
      <w:r>
        <w:t>, f. 5.</w:t>
      </w:r>
    </w:p>
    <w:p w:rsidR="00E27756" w:rsidRDefault="00E27756" w:rsidP="00E27756">
      <w:pPr>
        <w:pStyle w:val="SangriaFrancesaArticulo"/>
      </w:pPr>
      <w:r w:rsidRPr="00E27756">
        <w:rPr>
          <w:rStyle w:val="TextoNormalNegritaCaracter"/>
        </w:rPr>
        <w:lastRenderedPageBreak/>
        <w:t>Artículo 28.1.</w:t>
      </w:r>
      <w:r w:rsidRPr="00E27756">
        <w:rPr>
          <w:rStyle w:val="TextoNormalCaracter"/>
        </w:rPr>
        <w:t>-</w:t>
      </w:r>
      <w:r>
        <w:t xml:space="preserve"> Sentencia </w:t>
      </w:r>
      <w:hyperlink w:anchor="SENTENCIA_2013_34" w:history="1">
        <w:r w:rsidRPr="00E27756">
          <w:rPr>
            <w:rStyle w:val="TextoNormalCaracter"/>
          </w:rPr>
          <w:t>34/2013</w:t>
        </w:r>
      </w:hyperlink>
      <w:r>
        <w:t>, f. 5.</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 </w:t>
      </w:r>
      <w:hyperlink w:anchor="SENTENCIA_2013_34" w:history="1">
        <w:r w:rsidRPr="00E27756">
          <w:rPr>
            <w:rStyle w:val="TextoNormalCaracter"/>
          </w:rPr>
          <w:t>34/2013</w:t>
        </w:r>
      </w:hyperlink>
      <w:r>
        <w:t>, f. 5.</w:t>
      </w:r>
    </w:p>
    <w:p w:rsidR="00E27756" w:rsidRDefault="00E27756" w:rsidP="00E27756">
      <w:pPr>
        <w:pStyle w:val="SangriaFrancesaArticulo"/>
      </w:pPr>
      <w:r w:rsidRPr="00E27756">
        <w:rPr>
          <w:rStyle w:val="TextoNormalNegritaCaracter"/>
        </w:rPr>
        <w:t>Artículo 31.1.</w:t>
      </w:r>
      <w:r w:rsidRPr="00E27756">
        <w:rPr>
          <w:rStyle w:val="TextoNormalCaracter"/>
        </w:rPr>
        <w:t>-</w:t>
      </w:r>
      <w:r>
        <w:t xml:space="preserve"> Sentencias </w:t>
      </w:r>
      <w:hyperlink w:anchor="SENTENCIA_2013_34" w:history="1">
        <w:r w:rsidRPr="00E27756">
          <w:rPr>
            <w:rStyle w:val="TextoNormalCaracter"/>
          </w:rPr>
          <w:t>34/2013</w:t>
        </w:r>
      </w:hyperlink>
      <w:r>
        <w:t xml:space="preserve">, VP I; </w:t>
      </w:r>
      <w:hyperlink w:anchor="SENTENCIA_2013_82" w:history="1">
        <w:r w:rsidRPr="00E27756">
          <w:rPr>
            <w:rStyle w:val="TextoNormalCaracter"/>
          </w:rPr>
          <w:t>82/2013</w:t>
        </w:r>
      </w:hyperlink>
      <w:r>
        <w:t>, ff. 1, 2.</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Sentencias </w:t>
      </w:r>
      <w:hyperlink w:anchor="SENTENCIA_2013_34" w:history="1">
        <w:r w:rsidRPr="00E27756">
          <w:rPr>
            <w:rStyle w:val="TextoNormalCaracter"/>
          </w:rPr>
          <w:t>34/2013</w:t>
        </w:r>
      </w:hyperlink>
      <w:r>
        <w:t xml:space="preserve">, ff. 5, VP I; </w:t>
      </w:r>
      <w:hyperlink w:anchor="SENTENCIA_2013_82" w:history="1">
        <w:r w:rsidRPr="00E27756">
          <w:rPr>
            <w:rStyle w:val="TextoNormalCaracter"/>
          </w:rPr>
          <w:t>82/2013</w:t>
        </w:r>
      </w:hyperlink>
      <w:r>
        <w:t>, ff. 1, 2.</w:t>
      </w:r>
    </w:p>
    <w:p w:rsidR="00E27756" w:rsidRDefault="00E27756" w:rsidP="00E27756">
      <w:pPr>
        <w:pStyle w:val="SangriaFrancesaArticulo"/>
      </w:pPr>
      <w:r w:rsidRPr="00E27756">
        <w:rPr>
          <w:rStyle w:val="TextoNormalNegritaCaracter"/>
        </w:rPr>
        <w:t>Artículo 32.2.</w:t>
      </w:r>
      <w:r w:rsidRPr="00E27756">
        <w:rPr>
          <w:rStyle w:val="TextoNormalCaracter"/>
        </w:rPr>
        <w:t>-</w:t>
      </w:r>
      <w:r>
        <w:t xml:space="preserve"> Sentencia </w:t>
      </w:r>
      <w:hyperlink w:anchor="SENTENCIA_2013_34" w:history="1">
        <w:r w:rsidRPr="00E27756">
          <w:rPr>
            <w:rStyle w:val="TextoNormalCaracter"/>
          </w:rPr>
          <w:t>34/2013</w:t>
        </w:r>
      </w:hyperlink>
      <w:r>
        <w:t>, f. 4.</w:t>
      </w:r>
    </w:p>
    <w:p w:rsidR="00E27756" w:rsidRDefault="00E27756" w:rsidP="00E27756">
      <w:pPr>
        <w:pStyle w:val="SangriaFrancesaArticulo"/>
      </w:pPr>
      <w:r w:rsidRPr="00E27756">
        <w:rPr>
          <w:rStyle w:val="TextoNormalNegritaCaracter"/>
        </w:rPr>
        <w:t>Artículo 37.</w:t>
      </w:r>
      <w:r w:rsidRPr="00E27756">
        <w:rPr>
          <w:rStyle w:val="TextoNormalCaracter"/>
        </w:rPr>
        <w:t>-</w:t>
      </w:r>
      <w:r>
        <w:t xml:space="preserve"> Sentencias </w:t>
      </w:r>
      <w:hyperlink w:anchor="SENTENCIA_2013_34" w:history="1">
        <w:r w:rsidRPr="00E27756">
          <w:rPr>
            <w:rStyle w:val="TextoNormalCaracter"/>
          </w:rPr>
          <w:t>34/2013</w:t>
        </w:r>
      </w:hyperlink>
      <w:r>
        <w:t xml:space="preserve">, VP I; </w:t>
      </w:r>
      <w:hyperlink w:anchor="SENTENCIA_2013_82" w:history="1">
        <w:r w:rsidRPr="00E27756">
          <w:rPr>
            <w:rStyle w:val="TextoNormalCaracter"/>
          </w:rPr>
          <w:t>82/2013</w:t>
        </w:r>
      </w:hyperlink>
      <w:r>
        <w:t>, f. 6.</w:t>
      </w:r>
    </w:p>
    <w:p w:rsidR="00E27756" w:rsidRDefault="00E27756" w:rsidP="00E27756">
      <w:pPr>
        <w:pStyle w:val="SangriaFrancesaArticulo"/>
      </w:pPr>
      <w:r w:rsidRPr="00E27756">
        <w:rPr>
          <w:rStyle w:val="TextoNormalNegritaCaracter"/>
        </w:rPr>
        <w:t>Artículo 38.</w:t>
      </w:r>
      <w:r w:rsidRPr="00E27756">
        <w:rPr>
          <w:rStyle w:val="TextoNormalCaracter"/>
        </w:rPr>
        <w:t>-</w:t>
      </w:r>
      <w:r>
        <w:t xml:space="preserve"> Sentencia </w:t>
      </w:r>
      <w:hyperlink w:anchor="SENTENCIA_2013_34" w:history="1">
        <w:r w:rsidRPr="00E27756">
          <w:rPr>
            <w:rStyle w:val="TextoNormalCaracter"/>
          </w:rPr>
          <w:t>34/2013</w:t>
        </w:r>
      </w:hyperlink>
      <w:r>
        <w:t>, f. 19.</w:t>
      </w:r>
    </w:p>
    <w:p w:rsidR="00E27756" w:rsidRDefault="00E27756" w:rsidP="00E27756">
      <w:pPr>
        <w:pStyle w:val="SangriaFrancesaArticulo"/>
      </w:pPr>
      <w:r w:rsidRPr="00E27756">
        <w:rPr>
          <w:rStyle w:val="TextoNormalNegritaCaracter"/>
        </w:rPr>
        <w:t>Artículo 38.1.</w:t>
      </w:r>
      <w:r w:rsidRPr="00E27756">
        <w:rPr>
          <w:rStyle w:val="TextoNormalCaracter"/>
        </w:rPr>
        <w:t>-</w:t>
      </w:r>
      <w:r>
        <w:t xml:space="preserve"> Sentencias </w:t>
      </w:r>
      <w:hyperlink w:anchor="SENTENCIA_2013_34" w:history="1">
        <w:r w:rsidRPr="00E27756">
          <w:rPr>
            <w:rStyle w:val="TextoNormalCaracter"/>
          </w:rPr>
          <w:t>34/2013</w:t>
        </w:r>
      </w:hyperlink>
      <w:r>
        <w:t xml:space="preserve">, ff. 1, 19, VP I; </w:t>
      </w:r>
      <w:hyperlink w:anchor="SENTENCIA_2013_82" w:history="1">
        <w:r w:rsidRPr="00E27756">
          <w:rPr>
            <w:rStyle w:val="TextoNormalCaracter"/>
          </w:rPr>
          <w:t>82/2013</w:t>
        </w:r>
      </w:hyperlink>
      <w:r>
        <w:t>, f. 6.</w:t>
      </w:r>
    </w:p>
    <w:p w:rsidR="00E27756" w:rsidRDefault="00E27756" w:rsidP="00E27756">
      <w:pPr>
        <w:pStyle w:val="SangriaFrancesaArticulo"/>
      </w:pPr>
      <w:r w:rsidRPr="00E27756">
        <w:rPr>
          <w:rStyle w:val="TextoNormalNegritaCaracter"/>
        </w:rPr>
        <w:t>Artículo 38.2.</w:t>
      </w:r>
      <w:r w:rsidRPr="00E27756">
        <w:rPr>
          <w:rStyle w:val="TextoNormalCaracter"/>
        </w:rPr>
        <w:t>-</w:t>
      </w:r>
      <w:r>
        <w:t xml:space="preserve"> Sentencia </w:t>
      </w:r>
      <w:hyperlink w:anchor="SENTENCIA_2013_34" w:history="1">
        <w:r w:rsidRPr="00E27756">
          <w:rPr>
            <w:rStyle w:val="TextoNormalCaracter"/>
          </w:rPr>
          <w:t>34/2013</w:t>
        </w:r>
      </w:hyperlink>
      <w:r>
        <w:t>, f. 19.</w:t>
      </w:r>
    </w:p>
    <w:p w:rsidR="00E27756" w:rsidRDefault="00E27756" w:rsidP="00E27756">
      <w:pPr>
        <w:pStyle w:val="SangriaFrancesaArticulo"/>
      </w:pPr>
      <w:r w:rsidRPr="00E27756">
        <w:rPr>
          <w:rStyle w:val="TextoNormalNegritaCaracter"/>
        </w:rPr>
        <w:t>Artículo 38.3.</w:t>
      </w:r>
      <w:r w:rsidRPr="00E27756">
        <w:rPr>
          <w:rStyle w:val="TextoNormalCaracter"/>
        </w:rPr>
        <w:t>-</w:t>
      </w:r>
      <w:r>
        <w:t xml:space="preserve"> Sentencia </w:t>
      </w:r>
      <w:hyperlink w:anchor="SENTENCIA_2013_34" w:history="1">
        <w:r w:rsidRPr="00E27756">
          <w:rPr>
            <w:rStyle w:val="TextoNormalCaracter"/>
          </w:rPr>
          <w:t>34/2013</w:t>
        </w:r>
      </w:hyperlink>
      <w:r>
        <w:t>, f. 19.</w:t>
      </w:r>
    </w:p>
    <w:p w:rsidR="00E27756" w:rsidRDefault="00E27756" w:rsidP="00E27756">
      <w:pPr>
        <w:pStyle w:val="SangriaFrancesaArticulo"/>
      </w:pPr>
      <w:r w:rsidRPr="00E27756">
        <w:rPr>
          <w:rStyle w:val="TextoNormalNegritaCaracter"/>
        </w:rPr>
        <w:t>Artículo 39.</w:t>
      </w:r>
      <w:r w:rsidRPr="00E27756">
        <w:rPr>
          <w:rStyle w:val="TextoNormalCaracter"/>
        </w:rPr>
        <w:t>-</w:t>
      </w:r>
      <w:r>
        <w:t xml:space="preserve"> Sentencia </w:t>
      </w:r>
      <w:hyperlink w:anchor="SENTENCIA_2013_34" w:history="1">
        <w:r w:rsidRPr="00E27756">
          <w:rPr>
            <w:rStyle w:val="TextoNormalCaracter"/>
          </w:rPr>
          <w:t>34/2013</w:t>
        </w:r>
      </w:hyperlink>
      <w:r>
        <w:t>, f. 19.</w:t>
      </w:r>
    </w:p>
    <w:p w:rsidR="00E27756" w:rsidRDefault="00E27756" w:rsidP="00E27756">
      <w:pPr>
        <w:pStyle w:val="SangriaFrancesaArticulo"/>
      </w:pPr>
      <w:r w:rsidRPr="00E27756">
        <w:rPr>
          <w:rStyle w:val="TextoNormalNegritaCaracter"/>
        </w:rPr>
        <w:t>Artículo 39.1.</w:t>
      </w:r>
      <w:r w:rsidRPr="00E27756">
        <w:rPr>
          <w:rStyle w:val="TextoNormalCaracter"/>
        </w:rPr>
        <w:t>-</w:t>
      </w:r>
      <w:r>
        <w:t xml:space="preserve"> Sentencias </w:t>
      </w:r>
      <w:hyperlink w:anchor="SENTENCIA_2013_34" w:history="1">
        <w:r w:rsidRPr="00E27756">
          <w:rPr>
            <w:rStyle w:val="TextoNormalCaracter"/>
          </w:rPr>
          <w:t>34/2013</w:t>
        </w:r>
      </w:hyperlink>
      <w:r>
        <w:t xml:space="preserve">, ff. 1, 19, VP I; </w:t>
      </w:r>
      <w:hyperlink w:anchor="SENTENCIA_2013_82" w:history="1">
        <w:r w:rsidRPr="00E27756">
          <w:rPr>
            <w:rStyle w:val="TextoNormalCaracter"/>
          </w:rPr>
          <w:t>82/2013</w:t>
        </w:r>
      </w:hyperlink>
      <w:r>
        <w:t>, ff. 1, 2, 6.</w:t>
      </w:r>
    </w:p>
    <w:p w:rsidR="00E27756" w:rsidRDefault="00E27756" w:rsidP="00E27756">
      <w:pPr>
        <w:pStyle w:val="SangriaFrancesaArticulo"/>
      </w:pPr>
      <w:r w:rsidRPr="00E27756">
        <w:rPr>
          <w:rStyle w:val="TextoNormalNegritaCaracter"/>
        </w:rPr>
        <w:t>Artículo 39.1, 3.</w:t>
      </w:r>
      <w:r w:rsidRPr="00E27756">
        <w:rPr>
          <w:rStyle w:val="TextoNormalCaracter"/>
        </w:rPr>
        <w:t>-</w:t>
      </w:r>
      <w:r>
        <w:t xml:space="preserve"> Sentencia </w:t>
      </w:r>
      <w:hyperlink w:anchor="SENTENCIA_2013_82" w:history="1">
        <w:r w:rsidRPr="00E27756">
          <w:rPr>
            <w:rStyle w:val="TextoNormalCaracter"/>
          </w:rPr>
          <w:t>82/2013</w:t>
        </w:r>
      </w:hyperlink>
      <w:r>
        <w:t>, f. 6.</w:t>
      </w:r>
    </w:p>
    <w:p w:rsidR="00E27756" w:rsidRDefault="00E27756" w:rsidP="00E27756">
      <w:pPr>
        <w:pStyle w:val="SangriaFrancesaArticulo"/>
      </w:pPr>
      <w:r w:rsidRPr="00E27756">
        <w:rPr>
          <w:rStyle w:val="TextoNormalNegritaCaracter"/>
        </w:rPr>
        <w:t>Artículo 39.2.</w:t>
      </w:r>
      <w:r w:rsidRPr="00E27756">
        <w:rPr>
          <w:rStyle w:val="TextoNormalCaracter"/>
        </w:rPr>
        <w:t>-</w:t>
      </w:r>
      <w:r>
        <w:t xml:space="preserve"> Sentencia </w:t>
      </w:r>
      <w:hyperlink w:anchor="SENTENCIA_2013_34" w:history="1">
        <w:r w:rsidRPr="00E27756">
          <w:rPr>
            <w:rStyle w:val="TextoNormalCaracter"/>
          </w:rPr>
          <w:t>34/2013</w:t>
        </w:r>
      </w:hyperlink>
      <w:r>
        <w:t>, f. 19.</w:t>
      </w:r>
    </w:p>
    <w:p w:rsidR="00E27756" w:rsidRDefault="00E27756" w:rsidP="00E27756">
      <w:pPr>
        <w:pStyle w:val="SangriaFrancesaArticulo"/>
      </w:pPr>
      <w:r w:rsidRPr="00E27756">
        <w:rPr>
          <w:rStyle w:val="TextoNormalNegritaCaracter"/>
        </w:rPr>
        <w:t>Artículo 39.3.</w:t>
      </w:r>
      <w:r w:rsidRPr="00E27756">
        <w:rPr>
          <w:rStyle w:val="TextoNormalCaracter"/>
        </w:rPr>
        <w:t>-</w:t>
      </w:r>
      <w:r>
        <w:t xml:space="preserve"> Sentencia </w:t>
      </w:r>
      <w:hyperlink w:anchor="SENTENCIA_2013_34" w:history="1">
        <w:r w:rsidRPr="00E27756">
          <w:rPr>
            <w:rStyle w:val="TextoNormalCaracter"/>
          </w:rPr>
          <w:t>34/2013</w:t>
        </w:r>
      </w:hyperlink>
      <w:r>
        <w:t>, ff. 1, 19, 21, VP I.</w:t>
      </w:r>
    </w:p>
    <w:p w:rsidR="00E27756" w:rsidRDefault="00E27756" w:rsidP="00E27756">
      <w:pPr>
        <w:pStyle w:val="SangriaFrancesaArticulo"/>
      </w:pPr>
      <w:r w:rsidRPr="00E27756">
        <w:rPr>
          <w:rStyle w:val="TextoNormalNegritaCaracter"/>
        </w:rPr>
        <w:t>Artículo 40.</w:t>
      </w:r>
      <w:r w:rsidRPr="00E27756">
        <w:rPr>
          <w:rStyle w:val="TextoNormalCaracter"/>
        </w:rPr>
        <w:t>-</w:t>
      </w:r>
      <w:r>
        <w:t xml:space="preserve"> Sentencia </w:t>
      </w:r>
      <w:hyperlink w:anchor="SENTENCIA_2013_34" w:history="1">
        <w:r w:rsidRPr="00E27756">
          <w:rPr>
            <w:rStyle w:val="TextoNormalCaracter"/>
          </w:rPr>
          <w:t>34/2013</w:t>
        </w:r>
      </w:hyperlink>
      <w:r>
        <w:t>, f. 19.</w:t>
      </w:r>
    </w:p>
    <w:p w:rsidR="00E27756" w:rsidRDefault="00E27756" w:rsidP="00E27756">
      <w:pPr>
        <w:pStyle w:val="SangriaFrancesaArticulo"/>
      </w:pPr>
      <w:r w:rsidRPr="00E27756">
        <w:rPr>
          <w:rStyle w:val="TextoNormalNegritaCaracter"/>
        </w:rPr>
        <w:t>Artículo 40 apartados 1, 2 párrafos a) y b), 3 y 4.</w:t>
      </w:r>
      <w:r w:rsidRPr="00E27756">
        <w:rPr>
          <w:rStyle w:val="TextoNormalCaracter"/>
        </w:rPr>
        <w:t>-</w:t>
      </w:r>
      <w:r>
        <w:t xml:space="preserve"> Sentencia </w:t>
      </w:r>
      <w:hyperlink w:anchor="SENTENCIA_2013_82" w:history="1">
        <w:r w:rsidRPr="00E27756">
          <w:rPr>
            <w:rStyle w:val="TextoNormalCaracter"/>
          </w:rPr>
          <w:t>82/2013</w:t>
        </w:r>
      </w:hyperlink>
      <w:r>
        <w:t>, ff. 1, 2, 6.</w:t>
      </w:r>
    </w:p>
    <w:p w:rsidR="00E27756" w:rsidRDefault="00E27756" w:rsidP="00E27756">
      <w:pPr>
        <w:pStyle w:val="SangriaFrancesaArticulo"/>
      </w:pPr>
      <w:r w:rsidRPr="00E27756">
        <w:rPr>
          <w:rStyle w:val="TextoNormalNegritaCaracter"/>
        </w:rPr>
        <w:t>Artículo 40.1.</w:t>
      </w:r>
      <w:r w:rsidRPr="00E27756">
        <w:rPr>
          <w:rStyle w:val="TextoNormalCaracter"/>
        </w:rPr>
        <w:t>-</w:t>
      </w:r>
      <w:r>
        <w:t xml:space="preserve"> Sentencias </w:t>
      </w:r>
      <w:hyperlink w:anchor="SENTENCIA_2013_34" w:history="1">
        <w:r w:rsidRPr="00E27756">
          <w:rPr>
            <w:rStyle w:val="TextoNormalCaracter"/>
          </w:rPr>
          <w:t>34/2013</w:t>
        </w:r>
      </w:hyperlink>
      <w:r>
        <w:t xml:space="preserve">, ff. 1, 19, VP I; </w:t>
      </w:r>
      <w:hyperlink w:anchor="SENTENCIA_2013_82" w:history="1">
        <w:r w:rsidRPr="00E27756">
          <w:rPr>
            <w:rStyle w:val="TextoNormalCaracter"/>
          </w:rPr>
          <w:t>82/2013</w:t>
        </w:r>
      </w:hyperlink>
      <w:r>
        <w:t>, ff. 1, 2, 6.</w:t>
      </w:r>
    </w:p>
    <w:p w:rsidR="00E27756" w:rsidRDefault="00E27756" w:rsidP="00E27756">
      <w:pPr>
        <w:pStyle w:val="SangriaFrancesaArticulo"/>
      </w:pPr>
      <w:r w:rsidRPr="00E27756">
        <w:rPr>
          <w:rStyle w:val="TextoNormalNegritaCaracter"/>
        </w:rPr>
        <w:t>Artículo 40.2.</w:t>
      </w:r>
      <w:r w:rsidRPr="00E27756">
        <w:rPr>
          <w:rStyle w:val="TextoNormalCaracter"/>
        </w:rPr>
        <w:t>-</w:t>
      </w:r>
      <w:r>
        <w:t xml:space="preserve"> Sentencia </w:t>
      </w:r>
      <w:hyperlink w:anchor="SENTENCIA_2013_34" w:history="1">
        <w:r w:rsidRPr="00E27756">
          <w:rPr>
            <w:rStyle w:val="TextoNormalCaracter"/>
          </w:rPr>
          <w:t>34/2013</w:t>
        </w:r>
      </w:hyperlink>
      <w:r>
        <w:t>, ff. 1, 19.</w:t>
      </w:r>
    </w:p>
    <w:p w:rsidR="00E27756" w:rsidRDefault="00E27756" w:rsidP="00E27756">
      <w:pPr>
        <w:pStyle w:val="SangriaFrancesaArticulo"/>
      </w:pPr>
      <w:r w:rsidRPr="00E27756">
        <w:rPr>
          <w:rStyle w:val="TextoNormalNegritaCaracter"/>
        </w:rPr>
        <w:t>Artículo 40.2 a).</w:t>
      </w:r>
      <w:r w:rsidRPr="00E27756">
        <w:rPr>
          <w:rStyle w:val="TextoNormalCaracter"/>
        </w:rPr>
        <w:t>-</w:t>
      </w:r>
      <w:r>
        <w:t xml:space="preserve"> Sentencias </w:t>
      </w:r>
      <w:hyperlink w:anchor="SENTENCIA_2013_34" w:history="1">
        <w:r w:rsidRPr="00E27756">
          <w:rPr>
            <w:rStyle w:val="TextoNormalCaracter"/>
          </w:rPr>
          <w:t>34/2013</w:t>
        </w:r>
      </w:hyperlink>
      <w:r>
        <w:t xml:space="preserve">, ff. 19, VP I; </w:t>
      </w:r>
      <w:hyperlink w:anchor="SENTENCIA_2013_82" w:history="1">
        <w:r w:rsidRPr="00E27756">
          <w:rPr>
            <w:rStyle w:val="TextoNormalCaracter"/>
          </w:rPr>
          <w:t>82/2013</w:t>
        </w:r>
      </w:hyperlink>
      <w:r>
        <w:t>, ff. 1, 2, 6.</w:t>
      </w:r>
    </w:p>
    <w:p w:rsidR="00E27756" w:rsidRDefault="00E27756" w:rsidP="00E27756">
      <w:pPr>
        <w:pStyle w:val="SangriaFrancesaArticulo"/>
      </w:pPr>
      <w:r w:rsidRPr="00E27756">
        <w:rPr>
          <w:rStyle w:val="TextoNormalNegritaCaracter"/>
        </w:rPr>
        <w:t>Artículo 40.2 b).</w:t>
      </w:r>
      <w:r w:rsidRPr="00E27756">
        <w:rPr>
          <w:rStyle w:val="TextoNormalCaracter"/>
        </w:rPr>
        <w:t>-</w:t>
      </w:r>
      <w:r>
        <w:t xml:space="preserve"> Sentencias </w:t>
      </w:r>
      <w:hyperlink w:anchor="SENTENCIA_2013_34" w:history="1">
        <w:r w:rsidRPr="00E27756">
          <w:rPr>
            <w:rStyle w:val="TextoNormalCaracter"/>
          </w:rPr>
          <w:t>34/2013</w:t>
        </w:r>
      </w:hyperlink>
      <w:r>
        <w:t xml:space="preserve">, ff. 19, VP I; </w:t>
      </w:r>
      <w:hyperlink w:anchor="SENTENCIA_2013_82" w:history="1">
        <w:r w:rsidRPr="00E27756">
          <w:rPr>
            <w:rStyle w:val="TextoNormalCaracter"/>
          </w:rPr>
          <w:t>82/2013</w:t>
        </w:r>
      </w:hyperlink>
      <w:r>
        <w:t>, ff. 1, 2, 6.</w:t>
      </w:r>
    </w:p>
    <w:p w:rsidR="00E27756" w:rsidRDefault="00E27756" w:rsidP="00E27756">
      <w:pPr>
        <w:pStyle w:val="SangriaFrancesaArticulo"/>
      </w:pPr>
      <w:r w:rsidRPr="00E27756">
        <w:rPr>
          <w:rStyle w:val="TextoNormalNegritaCaracter"/>
        </w:rPr>
        <w:t>Artículo 40.2 d).</w:t>
      </w:r>
      <w:r w:rsidRPr="00E27756">
        <w:rPr>
          <w:rStyle w:val="TextoNormalCaracter"/>
        </w:rPr>
        <w:t>-</w:t>
      </w:r>
      <w:r>
        <w:t xml:space="preserve"> Sentencia </w:t>
      </w:r>
      <w:hyperlink w:anchor="SENTENCIA_2013_107" w:history="1">
        <w:r w:rsidRPr="00E27756">
          <w:rPr>
            <w:rStyle w:val="TextoNormalCaracter"/>
          </w:rPr>
          <w:t>107/2013</w:t>
        </w:r>
      </w:hyperlink>
      <w:r>
        <w:t>, ff. 1, 2.</w:t>
      </w:r>
    </w:p>
    <w:p w:rsidR="00E27756" w:rsidRDefault="00E27756" w:rsidP="00E27756">
      <w:pPr>
        <w:pStyle w:val="SangriaFrancesaArticulo"/>
      </w:pPr>
      <w:r w:rsidRPr="00E27756">
        <w:rPr>
          <w:rStyle w:val="TextoNormalNegritaCaracter"/>
        </w:rPr>
        <w:t>Artículo 40.3.</w:t>
      </w:r>
      <w:r w:rsidRPr="00E27756">
        <w:rPr>
          <w:rStyle w:val="TextoNormalCaracter"/>
        </w:rPr>
        <w:t>-</w:t>
      </w:r>
      <w:r>
        <w:t xml:space="preserve"> Sentencias </w:t>
      </w:r>
      <w:hyperlink w:anchor="SENTENCIA_2013_34" w:history="1">
        <w:r w:rsidRPr="00E27756">
          <w:rPr>
            <w:rStyle w:val="TextoNormalCaracter"/>
          </w:rPr>
          <w:t>34/2013</w:t>
        </w:r>
      </w:hyperlink>
      <w:r>
        <w:t xml:space="preserve">, ff. 1, 19, 21, VP I; </w:t>
      </w:r>
      <w:hyperlink w:anchor="SENTENCIA_2013_82" w:history="1">
        <w:r w:rsidRPr="00E27756">
          <w:rPr>
            <w:rStyle w:val="TextoNormalCaracter"/>
          </w:rPr>
          <w:t>82/2013</w:t>
        </w:r>
      </w:hyperlink>
      <w:r>
        <w:t>, ff. 1, 2, 6.</w:t>
      </w:r>
    </w:p>
    <w:p w:rsidR="00E27756" w:rsidRDefault="00E27756" w:rsidP="00E27756">
      <w:pPr>
        <w:pStyle w:val="SangriaFrancesaArticulo"/>
      </w:pPr>
      <w:r w:rsidRPr="00E27756">
        <w:rPr>
          <w:rStyle w:val="TextoNormalNegritaCaracter"/>
        </w:rPr>
        <w:t>Artículo 40.4.</w:t>
      </w:r>
      <w:r w:rsidRPr="00E27756">
        <w:rPr>
          <w:rStyle w:val="TextoNormalCaracter"/>
        </w:rPr>
        <w:t>-</w:t>
      </w:r>
      <w:r>
        <w:t xml:space="preserve"> Sentencias </w:t>
      </w:r>
      <w:hyperlink w:anchor="SENTENCIA_2013_34" w:history="1">
        <w:r w:rsidRPr="00E27756">
          <w:rPr>
            <w:rStyle w:val="TextoNormalCaracter"/>
          </w:rPr>
          <w:t>34/2013</w:t>
        </w:r>
      </w:hyperlink>
      <w:r>
        <w:t xml:space="preserve">, ff. 1, 19, 21, VP I; </w:t>
      </w:r>
      <w:hyperlink w:anchor="SENTENCIA_2013_82" w:history="1">
        <w:r w:rsidRPr="00E27756">
          <w:rPr>
            <w:rStyle w:val="TextoNormalCaracter"/>
          </w:rPr>
          <w:t>82/2013</w:t>
        </w:r>
      </w:hyperlink>
      <w:r>
        <w:t>, ff. 1, 2, 6.</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Sentencias </w:t>
      </w:r>
      <w:hyperlink w:anchor="SENTENCIA_2013_34" w:history="1">
        <w:r w:rsidRPr="00E27756">
          <w:rPr>
            <w:rStyle w:val="TextoNormalCaracter"/>
          </w:rPr>
          <w:t>34/2013</w:t>
        </w:r>
      </w:hyperlink>
      <w:r>
        <w:t xml:space="preserve">, ff. 1, 19, VP I; </w:t>
      </w:r>
      <w:hyperlink w:anchor="SENTENCIA_2013_82" w:history="1">
        <w:r w:rsidRPr="00E27756">
          <w:rPr>
            <w:rStyle w:val="TextoNormalCaracter"/>
          </w:rPr>
          <w:t>82/2013</w:t>
        </w:r>
      </w:hyperlink>
      <w:r>
        <w:t>, ff. 1, 2, 6.</w:t>
      </w:r>
    </w:p>
    <w:p w:rsidR="00E27756" w:rsidRDefault="00E27756" w:rsidP="00E27756">
      <w:pPr>
        <w:pStyle w:val="SangriaFrancesaArticulo"/>
      </w:pPr>
      <w:r w:rsidRPr="00E27756">
        <w:rPr>
          <w:rStyle w:val="TextoNormalNegritaCaracter"/>
        </w:rPr>
        <w:t>Artículo 41.1.</w:t>
      </w:r>
      <w:r w:rsidRPr="00E27756">
        <w:rPr>
          <w:rStyle w:val="TextoNormalCaracter"/>
        </w:rPr>
        <w:t>-</w:t>
      </w:r>
      <w:r>
        <w:t xml:space="preserve"> Sentencia </w:t>
      </w:r>
      <w:hyperlink w:anchor="SENTENCIA_2013_34" w:history="1">
        <w:r w:rsidRPr="00E27756">
          <w:rPr>
            <w:rStyle w:val="TextoNormalCaracter"/>
          </w:rPr>
          <w:t>34/2013</w:t>
        </w:r>
      </w:hyperlink>
      <w:r>
        <w:t>, f. 19.</w:t>
      </w:r>
    </w:p>
    <w:p w:rsidR="00E27756" w:rsidRDefault="00E27756" w:rsidP="00E27756">
      <w:pPr>
        <w:pStyle w:val="SangriaFrancesaArticulo"/>
      </w:pPr>
      <w:r w:rsidRPr="00E27756">
        <w:rPr>
          <w:rStyle w:val="TextoNormalNegritaCaracter"/>
        </w:rPr>
        <w:t>Artículo 41.4.</w:t>
      </w:r>
      <w:r w:rsidRPr="00E27756">
        <w:rPr>
          <w:rStyle w:val="TextoNormalCaracter"/>
        </w:rPr>
        <w:t>-</w:t>
      </w:r>
      <w:r>
        <w:t xml:space="preserve"> Sentencia </w:t>
      </w:r>
      <w:hyperlink w:anchor="SENTENCIA_2013_34" w:history="1">
        <w:r w:rsidRPr="00E27756">
          <w:rPr>
            <w:rStyle w:val="TextoNormalCaracter"/>
          </w:rPr>
          <w:t>34/2013</w:t>
        </w:r>
      </w:hyperlink>
      <w:r>
        <w:t>, ff. 19, 21, VP I.</w:t>
      </w:r>
    </w:p>
    <w:p w:rsidR="00E27756" w:rsidRDefault="00E27756" w:rsidP="00E27756">
      <w:pPr>
        <w:pStyle w:val="SangriaFrancesaArticulo"/>
      </w:pPr>
      <w:r w:rsidRPr="00E27756">
        <w:rPr>
          <w:rStyle w:val="TextoNormalNegritaCaracter"/>
        </w:rPr>
        <w:t>Artículos 41, 42, 44, 45.</w:t>
      </w:r>
      <w:r w:rsidRPr="00E27756">
        <w:rPr>
          <w:rStyle w:val="TextoNormalCaracter"/>
        </w:rPr>
        <w:t>-</w:t>
      </w:r>
      <w:r>
        <w:t xml:space="preserve"> Sentencia </w:t>
      </w:r>
      <w:hyperlink w:anchor="SENTENCIA_2013_82" w:history="1">
        <w:r w:rsidRPr="00E27756">
          <w:rPr>
            <w:rStyle w:val="TextoNormalCaracter"/>
          </w:rPr>
          <w:t>82/2013</w:t>
        </w:r>
      </w:hyperlink>
      <w:r>
        <w:t>, ff. 1, 2, 6.</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Sentencias </w:t>
      </w:r>
      <w:hyperlink w:anchor="SENTENCIA_2013_34" w:history="1">
        <w:r w:rsidRPr="00E27756">
          <w:rPr>
            <w:rStyle w:val="TextoNormalCaracter"/>
          </w:rPr>
          <w:t>34/2013</w:t>
        </w:r>
      </w:hyperlink>
      <w:r>
        <w:t xml:space="preserve">, ff. 1, 19, VP I; </w:t>
      </w:r>
      <w:hyperlink w:anchor="SENTENCIA_2013_82" w:history="1">
        <w:r w:rsidRPr="00E27756">
          <w:rPr>
            <w:rStyle w:val="TextoNormalCaracter"/>
          </w:rPr>
          <w:t>82/2013</w:t>
        </w:r>
      </w:hyperlink>
      <w:r>
        <w:t>, ff. 1, 2, 6.</w:t>
      </w:r>
    </w:p>
    <w:p w:rsidR="00E27756" w:rsidRDefault="00E27756" w:rsidP="00E27756">
      <w:pPr>
        <w:pStyle w:val="SangriaFrancesaArticulo"/>
      </w:pPr>
      <w:r w:rsidRPr="00E27756">
        <w:rPr>
          <w:rStyle w:val="TextoNormalNegritaCaracter"/>
        </w:rPr>
        <w:t>Artículo 44.</w:t>
      </w:r>
      <w:r w:rsidRPr="00E27756">
        <w:rPr>
          <w:rStyle w:val="TextoNormalCaracter"/>
        </w:rPr>
        <w:t>-</w:t>
      </w:r>
      <w:r>
        <w:t xml:space="preserve"> Sentencias </w:t>
      </w:r>
      <w:hyperlink w:anchor="SENTENCIA_2013_34" w:history="1">
        <w:r w:rsidRPr="00E27756">
          <w:rPr>
            <w:rStyle w:val="TextoNormalCaracter"/>
          </w:rPr>
          <w:t>34/2013</w:t>
        </w:r>
      </w:hyperlink>
      <w:r>
        <w:t xml:space="preserve">, ff. 1, 19, VP I; </w:t>
      </w:r>
      <w:hyperlink w:anchor="SENTENCIA_2013_82" w:history="1">
        <w:r w:rsidRPr="00E27756">
          <w:rPr>
            <w:rStyle w:val="TextoNormalCaracter"/>
          </w:rPr>
          <w:t>82/2013</w:t>
        </w:r>
      </w:hyperlink>
      <w:r>
        <w:t>, ff. 1, 2, 6.</w:t>
      </w:r>
    </w:p>
    <w:p w:rsidR="00E27756" w:rsidRDefault="00E27756" w:rsidP="00E27756">
      <w:pPr>
        <w:pStyle w:val="SangriaFrancesaArticulo"/>
      </w:pPr>
      <w:r w:rsidRPr="00E27756">
        <w:rPr>
          <w:rStyle w:val="TextoNormalNegritaCaracter"/>
        </w:rPr>
        <w:t>Artículo 45.</w:t>
      </w:r>
      <w:r w:rsidRPr="00E27756">
        <w:rPr>
          <w:rStyle w:val="TextoNormalCaracter"/>
        </w:rPr>
        <w:t>-</w:t>
      </w:r>
      <w:r>
        <w:t xml:space="preserve"> Sentencias </w:t>
      </w:r>
      <w:hyperlink w:anchor="SENTENCIA_2013_34" w:history="1">
        <w:r w:rsidRPr="00E27756">
          <w:rPr>
            <w:rStyle w:val="TextoNormalCaracter"/>
          </w:rPr>
          <w:t>34/2013</w:t>
        </w:r>
      </w:hyperlink>
      <w:r>
        <w:t xml:space="preserve">, ff. 1, 19, VP I; </w:t>
      </w:r>
      <w:hyperlink w:anchor="SENTENCIA_2013_82" w:history="1">
        <w:r w:rsidRPr="00E27756">
          <w:rPr>
            <w:rStyle w:val="TextoNormalCaracter"/>
          </w:rPr>
          <w:t>82/2013</w:t>
        </w:r>
      </w:hyperlink>
      <w:r>
        <w:t>, ff. 1, 2, 6.</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Sentencia </w:t>
      </w:r>
      <w:hyperlink w:anchor="SENTENCIA_2013_34" w:history="1">
        <w:r w:rsidRPr="00E27756">
          <w:rPr>
            <w:rStyle w:val="TextoNormalCaracter"/>
          </w:rPr>
          <w:t>34/2013</w:t>
        </w:r>
      </w:hyperlink>
      <w:r>
        <w:t>, ff. 1, 8, 19, VP I.</w:t>
      </w:r>
    </w:p>
    <w:p w:rsidR="00E27756" w:rsidRDefault="00E27756" w:rsidP="00E27756">
      <w:pPr>
        <w:pStyle w:val="SangriaFrancesaArticulo"/>
      </w:pPr>
      <w:r w:rsidRPr="00E27756">
        <w:rPr>
          <w:rStyle w:val="TextoNormalNegritaCaracter"/>
        </w:rPr>
        <w:t>Disposición final segunda, apartado 2.</w:t>
      </w:r>
      <w:r w:rsidRPr="00E27756">
        <w:rPr>
          <w:rStyle w:val="TextoNormalCaracter"/>
        </w:rPr>
        <w:t>-</w:t>
      </w:r>
      <w:r>
        <w:t xml:space="preserve"> Sentencias </w:t>
      </w:r>
      <w:hyperlink w:anchor="SENTENCIA_2013_82" w:history="1">
        <w:r w:rsidRPr="00E27756">
          <w:rPr>
            <w:rStyle w:val="TextoNormalCaracter"/>
          </w:rPr>
          <w:t>82/2013</w:t>
        </w:r>
      </w:hyperlink>
      <w:r>
        <w:t xml:space="preserve">, ff. 1 a 3, 6; </w:t>
      </w:r>
      <w:hyperlink w:anchor="SENTENCIA_2013_107" w:history="1">
        <w:r w:rsidRPr="00E27756">
          <w:rPr>
            <w:rStyle w:val="TextoNormalCaracter"/>
          </w:rPr>
          <w:t>107/2013</w:t>
        </w:r>
      </w:hyperlink>
      <w:r>
        <w:t>, f. 1.</w:t>
      </w:r>
    </w:p>
    <w:p w:rsidR="00E27756" w:rsidRDefault="00E27756" w:rsidP="00E27756">
      <w:pPr>
        <w:pStyle w:val="SangriaFrancesaArticulo"/>
      </w:pPr>
    </w:p>
    <w:p w:rsidR="00E27756" w:rsidRDefault="00E27756" w:rsidP="00E27756">
      <w:pPr>
        <w:pStyle w:val="TextoNormalNegritaCursivandice"/>
      </w:pPr>
      <w:r>
        <w:t>Ley 33/2003, de 3 de noviembre. Patrimonio de las Administraciones públicas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4" w:history="1">
        <w:r w:rsidRPr="00E27756">
          <w:rPr>
            <w:rStyle w:val="TextoNormalCaracter"/>
          </w:rPr>
          <w:t>94/2013</w:t>
        </w:r>
      </w:hyperlink>
      <w:r>
        <w:t>, ff. 2, 3.</w:t>
      </w:r>
    </w:p>
    <w:p w:rsidR="00E27756" w:rsidRDefault="00E27756" w:rsidP="00E27756">
      <w:pPr>
        <w:pStyle w:val="SangriaFrancesaArticulo"/>
      </w:pPr>
      <w:r w:rsidRPr="00E27756">
        <w:rPr>
          <w:rStyle w:val="TextoNormalNegritaCaracter"/>
        </w:rPr>
        <w:t>Título V, capítulo V, sección 5.</w:t>
      </w:r>
      <w:r w:rsidRPr="00E27756">
        <w:rPr>
          <w:rStyle w:val="TextoNormalCaracter"/>
        </w:rPr>
        <w:t>-</w:t>
      </w:r>
      <w:r>
        <w:t xml:space="preserve"> Sentencia </w:t>
      </w:r>
      <w:hyperlink w:anchor="SENTENCIA_2013_94" w:history="1">
        <w:r w:rsidRPr="00E27756">
          <w:rPr>
            <w:rStyle w:val="TextoNormalCaracter"/>
          </w:rPr>
          <w:t>94/2013</w:t>
        </w:r>
      </w:hyperlink>
      <w:r>
        <w:t>, f. 8.</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94" w:history="1">
        <w:r w:rsidRPr="00E27756">
          <w:rPr>
            <w:rStyle w:val="TextoNormalCaracter"/>
          </w:rPr>
          <w:t>94/2013</w:t>
        </w:r>
      </w:hyperlink>
      <w:r>
        <w:t>, f. 3.</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94" w:history="1">
        <w:r w:rsidRPr="00E27756">
          <w:rPr>
            <w:rStyle w:val="TextoNormalCaracter"/>
          </w:rPr>
          <w:t>94/2013</w:t>
        </w:r>
      </w:hyperlink>
      <w:r>
        <w:t>, f. 3.</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94" w:history="1">
        <w:r w:rsidRPr="00E27756">
          <w:rPr>
            <w:rStyle w:val="TextoNormalCaracter"/>
          </w:rPr>
          <w:t>94/2013</w:t>
        </w:r>
      </w:hyperlink>
      <w:r>
        <w:t>, f. 3.</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94" w:history="1">
        <w:r w:rsidRPr="00E27756">
          <w:rPr>
            <w:rStyle w:val="TextoNormalCaracter"/>
          </w:rPr>
          <w:t>94/2013</w:t>
        </w:r>
      </w:hyperlink>
      <w:r>
        <w:t>, VP II.</w:t>
      </w:r>
    </w:p>
    <w:p w:rsidR="00E27756" w:rsidRDefault="00E27756" w:rsidP="00E27756">
      <w:pPr>
        <w:pStyle w:val="SangriaFrancesaArticulo"/>
      </w:pPr>
      <w:r w:rsidRPr="00E27756">
        <w:rPr>
          <w:rStyle w:val="TextoNormalNegritaCaracter"/>
        </w:rPr>
        <w:t>Artículo 8.2.</w:t>
      </w:r>
      <w:r w:rsidRPr="00E27756">
        <w:rPr>
          <w:rStyle w:val="TextoNormalCaracter"/>
        </w:rPr>
        <w:t>-</w:t>
      </w:r>
      <w:r>
        <w:t xml:space="preserve"> Sentencia </w:t>
      </w:r>
      <w:hyperlink w:anchor="SENTENCIA_2013_94" w:history="1">
        <w:r w:rsidRPr="00E27756">
          <w:rPr>
            <w:rStyle w:val="TextoNormalCaracter"/>
          </w:rPr>
          <w:t>94/2013</w:t>
        </w:r>
      </w:hyperlink>
      <w:r>
        <w:t>, f. 8.</w:t>
      </w:r>
    </w:p>
    <w:p w:rsidR="00E27756" w:rsidRDefault="00E27756" w:rsidP="00E27756">
      <w:pPr>
        <w:pStyle w:val="SangriaFrancesaArticulo"/>
      </w:pPr>
      <w:r w:rsidRPr="00E27756">
        <w:rPr>
          <w:rStyle w:val="TextoNormalNegritaCaracter"/>
        </w:rPr>
        <w:t>Artículo 9.1.</w:t>
      </w:r>
      <w:r w:rsidRPr="00E27756">
        <w:rPr>
          <w:rStyle w:val="TextoNormalCaracter"/>
        </w:rPr>
        <w:t>-</w:t>
      </w:r>
      <w:r>
        <w:t xml:space="preserve"> Sentencia </w:t>
      </w:r>
      <w:hyperlink w:anchor="SENTENCIA_2013_94" w:history="1">
        <w:r w:rsidRPr="00E27756">
          <w:rPr>
            <w:rStyle w:val="TextoNormalCaracter"/>
          </w:rPr>
          <w:t>94/2013</w:t>
        </w:r>
      </w:hyperlink>
      <w:r>
        <w:t>, f. 3.</w:t>
      </w:r>
    </w:p>
    <w:p w:rsidR="00E27756" w:rsidRDefault="00E27756" w:rsidP="00E27756">
      <w:pPr>
        <w:pStyle w:val="SangriaFrancesaArticulo"/>
      </w:pPr>
      <w:r w:rsidRPr="00E27756">
        <w:rPr>
          <w:rStyle w:val="TextoNormalNegritaCaracter"/>
        </w:rPr>
        <w:t>Artículo 17.1.</w:t>
      </w:r>
      <w:r w:rsidRPr="00E27756">
        <w:rPr>
          <w:rStyle w:val="TextoNormalCaracter"/>
        </w:rPr>
        <w:t>-</w:t>
      </w:r>
      <w:r>
        <w:t xml:space="preserve"> Sentencia </w:t>
      </w:r>
      <w:hyperlink w:anchor="SENTENCIA_2013_94" w:history="1">
        <w:r w:rsidRPr="00E27756">
          <w:rPr>
            <w:rStyle w:val="TextoNormalCaracter"/>
          </w:rPr>
          <w:t>94/2013</w:t>
        </w:r>
      </w:hyperlink>
      <w:r>
        <w:t>, f. 7.</w:t>
      </w:r>
    </w:p>
    <w:p w:rsidR="00E27756" w:rsidRDefault="00E27756" w:rsidP="00E27756">
      <w:pPr>
        <w:pStyle w:val="SangriaFrancesaArticulo"/>
      </w:pPr>
      <w:r w:rsidRPr="00E27756">
        <w:rPr>
          <w:rStyle w:val="TextoNormalNegritaCaracter"/>
        </w:rPr>
        <w:t>Artículo 17.2.</w:t>
      </w:r>
      <w:r w:rsidRPr="00E27756">
        <w:rPr>
          <w:rStyle w:val="TextoNormalCaracter"/>
        </w:rPr>
        <w:t>-</w:t>
      </w:r>
      <w:r>
        <w:t xml:space="preserve"> Sentencia </w:t>
      </w:r>
      <w:hyperlink w:anchor="SENTENCIA_2013_94" w:history="1">
        <w:r w:rsidRPr="00E27756">
          <w:rPr>
            <w:rStyle w:val="TextoNormalCaracter"/>
          </w:rPr>
          <w:t>94/2013</w:t>
        </w:r>
      </w:hyperlink>
      <w:r>
        <w:t>, f. 7.</w:t>
      </w:r>
    </w:p>
    <w:p w:rsidR="00E27756" w:rsidRDefault="00E27756" w:rsidP="00E27756">
      <w:pPr>
        <w:pStyle w:val="SangriaFrancesaArticulo"/>
      </w:pPr>
      <w:r w:rsidRPr="00E27756">
        <w:rPr>
          <w:rStyle w:val="TextoNormalNegritaCaracter"/>
        </w:rPr>
        <w:t>Artículo 69.</w:t>
      </w:r>
      <w:r w:rsidRPr="00E27756">
        <w:rPr>
          <w:rStyle w:val="TextoNormalCaracter"/>
        </w:rPr>
        <w:t>-</w:t>
      </w:r>
      <w:r>
        <w:t xml:space="preserve"> Sentencia </w:t>
      </w:r>
      <w:hyperlink w:anchor="SENTENCIA_2013_94" w:history="1">
        <w:r w:rsidRPr="00E27756">
          <w:rPr>
            <w:rStyle w:val="TextoNormalCaracter"/>
          </w:rPr>
          <w:t>94/2013</w:t>
        </w:r>
      </w:hyperlink>
      <w:r>
        <w:t>, f. 8.</w:t>
      </w:r>
    </w:p>
    <w:p w:rsidR="00E27756" w:rsidRDefault="00E27756" w:rsidP="00E27756">
      <w:pPr>
        <w:pStyle w:val="SangriaFrancesaArticulo"/>
      </w:pPr>
      <w:r w:rsidRPr="00E27756">
        <w:rPr>
          <w:rStyle w:val="TextoNormalNegritaCaracter"/>
        </w:rPr>
        <w:t>Artículo 70.</w:t>
      </w:r>
      <w:r w:rsidRPr="00E27756">
        <w:rPr>
          <w:rStyle w:val="TextoNormalCaracter"/>
        </w:rPr>
        <w:t>-</w:t>
      </w:r>
      <w:r>
        <w:t xml:space="preserve"> Sentencia </w:t>
      </w:r>
      <w:hyperlink w:anchor="SENTENCIA_2013_94" w:history="1">
        <w:r w:rsidRPr="00E27756">
          <w:rPr>
            <w:rStyle w:val="TextoNormalCaracter"/>
          </w:rPr>
          <w:t>94/2013</w:t>
        </w:r>
      </w:hyperlink>
      <w:r>
        <w:t>, f. 8.</w:t>
      </w:r>
    </w:p>
    <w:p w:rsidR="00E27756" w:rsidRDefault="00E27756" w:rsidP="00E27756">
      <w:pPr>
        <w:pStyle w:val="SangriaFrancesaArticulo"/>
      </w:pPr>
      <w:r w:rsidRPr="00E27756">
        <w:rPr>
          <w:rStyle w:val="TextoNormalNegritaCaracter"/>
        </w:rPr>
        <w:lastRenderedPageBreak/>
        <w:t>Artículo 139.</w:t>
      </w:r>
      <w:r w:rsidRPr="00E27756">
        <w:rPr>
          <w:rStyle w:val="TextoNormalCaracter"/>
        </w:rPr>
        <w:t>-</w:t>
      </w:r>
      <w:r>
        <w:t xml:space="preserve"> Sentencia </w:t>
      </w:r>
      <w:hyperlink w:anchor="SENTENCIA_2013_94" w:history="1">
        <w:r w:rsidRPr="00E27756">
          <w:rPr>
            <w:rStyle w:val="TextoNormalCaracter"/>
          </w:rPr>
          <w:t>94/2013</w:t>
        </w:r>
      </w:hyperlink>
      <w:r>
        <w:t>, ff. 1, 5, 7, VP I.</w:t>
      </w:r>
    </w:p>
    <w:p w:rsidR="00E27756" w:rsidRDefault="00E27756" w:rsidP="00E27756">
      <w:pPr>
        <w:pStyle w:val="SangriaFrancesaArticulo"/>
      </w:pPr>
      <w:r w:rsidRPr="00E27756">
        <w:rPr>
          <w:rStyle w:val="TextoNormalNegritaCaracter"/>
        </w:rPr>
        <w:t>Artículo 139.1.</w:t>
      </w:r>
      <w:r w:rsidRPr="00E27756">
        <w:rPr>
          <w:rStyle w:val="TextoNormalCaracter"/>
        </w:rPr>
        <w:t>-</w:t>
      </w:r>
      <w:r>
        <w:t xml:space="preserve"> Sentencia </w:t>
      </w:r>
      <w:hyperlink w:anchor="SENTENCIA_2013_94" w:history="1">
        <w:r w:rsidRPr="00E27756">
          <w:rPr>
            <w:rStyle w:val="TextoNormalCaracter"/>
          </w:rPr>
          <w:t>94/2013</w:t>
        </w:r>
      </w:hyperlink>
      <w:r>
        <w:t>, f. 5.</w:t>
      </w:r>
    </w:p>
    <w:p w:rsidR="00E27756" w:rsidRDefault="00E27756" w:rsidP="00E27756">
      <w:pPr>
        <w:pStyle w:val="SangriaFrancesaArticulo"/>
      </w:pPr>
      <w:r w:rsidRPr="00E27756">
        <w:rPr>
          <w:rStyle w:val="TextoNormalNegritaCaracter"/>
        </w:rPr>
        <w:t>Artículo 139.2.</w:t>
      </w:r>
      <w:r w:rsidRPr="00E27756">
        <w:rPr>
          <w:rStyle w:val="TextoNormalCaracter"/>
        </w:rPr>
        <w:t>-</w:t>
      </w:r>
      <w:r>
        <w:t xml:space="preserve"> Sentencia </w:t>
      </w:r>
      <w:hyperlink w:anchor="SENTENCIA_2013_94" w:history="1">
        <w:r w:rsidRPr="00E27756">
          <w:rPr>
            <w:rStyle w:val="TextoNormalCaracter"/>
          </w:rPr>
          <w:t>94/2013</w:t>
        </w:r>
      </w:hyperlink>
      <w:r>
        <w:t>, f. 5.</w:t>
      </w:r>
    </w:p>
    <w:p w:rsidR="00E27756" w:rsidRDefault="00E27756" w:rsidP="00E27756">
      <w:pPr>
        <w:pStyle w:val="SangriaFrancesaArticulo"/>
      </w:pPr>
      <w:r w:rsidRPr="00E27756">
        <w:rPr>
          <w:rStyle w:val="TextoNormalNegritaCaracter"/>
        </w:rPr>
        <w:t>Artículo 189.</w:t>
      </w:r>
      <w:r w:rsidRPr="00E27756">
        <w:rPr>
          <w:rStyle w:val="TextoNormalCaracter"/>
        </w:rPr>
        <w:t>-</w:t>
      </w:r>
      <w:r>
        <w:t xml:space="preserve"> Sentencia </w:t>
      </w:r>
      <w:hyperlink w:anchor="SENTENCIA_2013_94" w:history="1">
        <w:r w:rsidRPr="00E27756">
          <w:rPr>
            <w:rStyle w:val="TextoNormalCaracter"/>
          </w:rPr>
          <w:t>94/2013</w:t>
        </w:r>
      </w:hyperlink>
      <w:r>
        <w:t>, ff. 1, 6, VP I.</w:t>
      </w:r>
    </w:p>
    <w:p w:rsidR="00E27756" w:rsidRDefault="00E27756" w:rsidP="00E27756">
      <w:pPr>
        <w:pStyle w:val="SangriaFrancesaArticulo"/>
      </w:pPr>
      <w:r w:rsidRPr="00E27756">
        <w:rPr>
          <w:rStyle w:val="TextoNormalNegritaCaracter"/>
        </w:rPr>
        <w:t>Artículo 189.1.</w:t>
      </w:r>
      <w:r w:rsidRPr="00E27756">
        <w:rPr>
          <w:rStyle w:val="TextoNormalCaracter"/>
        </w:rPr>
        <w:t>-</w:t>
      </w:r>
      <w:r>
        <w:t xml:space="preserve"> Sentencia </w:t>
      </w:r>
      <w:hyperlink w:anchor="SENTENCIA_2013_94" w:history="1">
        <w:r w:rsidRPr="00E27756">
          <w:rPr>
            <w:rStyle w:val="TextoNormalCaracter"/>
          </w:rPr>
          <w:t>94/2013</w:t>
        </w:r>
      </w:hyperlink>
      <w:r>
        <w:t>, f. 6.</w:t>
      </w:r>
    </w:p>
    <w:p w:rsidR="00E27756" w:rsidRDefault="00E27756" w:rsidP="00E27756">
      <w:pPr>
        <w:pStyle w:val="SangriaFrancesaArticulo"/>
      </w:pPr>
      <w:r w:rsidRPr="00E27756">
        <w:rPr>
          <w:rStyle w:val="TextoNormalNegritaCaracter"/>
        </w:rPr>
        <w:t>Artículo 189.2.</w:t>
      </w:r>
      <w:r w:rsidRPr="00E27756">
        <w:rPr>
          <w:rStyle w:val="TextoNormalCaracter"/>
        </w:rPr>
        <w:t>-</w:t>
      </w:r>
      <w:r>
        <w:t xml:space="preserve"> Sentencia </w:t>
      </w:r>
      <w:hyperlink w:anchor="SENTENCIA_2013_94" w:history="1">
        <w:r w:rsidRPr="00E27756">
          <w:rPr>
            <w:rStyle w:val="TextoNormalCaracter"/>
          </w:rPr>
          <w:t>94/2013</w:t>
        </w:r>
      </w:hyperlink>
      <w:r>
        <w:t>, f. 6.</w:t>
      </w:r>
    </w:p>
    <w:p w:rsidR="00E27756" w:rsidRDefault="00E27756" w:rsidP="00E27756">
      <w:pPr>
        <w:pStyle w:val="SangriaFrancesaArticulo"/>
      </w:pPr>
      <w:r w:rsidRPr="00E27756">
        <w:rPr>
          <w:rStyle w:val="TextoNormalNegritaCaracter"/>
        </w:rPr>
        <w:t>Artículo 189.3.</w:t>
      </w:r>
      <w:r w:rsidRPr="00E27756">
        <w:rPr>
          <w:rStyle w:val="TextoNormalCaracter"/>
        </w:rPr>
        <w:t>-</w:t>
      </w:r>
      <w:r>
        <w:t xml:space="preserve"> Sentencia </w:t>
      </w:r>
      <w:hyperlink w:anchor="SENTENCIA_2013_94" w:history="1">
        <w:r w:rsidRPr="00E27756">
          <w:rPr>
            <w:rStyle w:val="TextoNormalCaracter"/>
          </w:rPr>
          <w:t>94/2013</w:t>
        </w:r>
      </w:hyperlink>
      <w:r>
        <w:t>, f. 6, VP I.</w:t>
      </w:r>
    </w:p>
    <w:p w:rsidR="00E27756" w:rsidRDefault="00E27756" w:rsidP="00E27756">
      <w:pPr>
        <w:pStyle w:val="SangriaFrancesaArticulo"/>
      </w:pPr>
      <w:r w:rsidRPr="00E27756">
        <w:rPr>
          <w:rStyle w:val="TextoNormalNegritaCaracter"/>
        </w:rPr>
        <w:t>Artículo 190.</w:t>
      </w:r>
      <w:r w:rsidRPr="00E27756">
        <w:rPr>
          <w:rStyle w:val="TextoNormalCaracter"/>
        </w:rPr>
        <w:t>-</w:t>
      </w:r>
      <w:r>
        <w:t xml:space="preserve"> Sentencia </w:t>
      </w:r>
      <w:hyperlink w:anchor="SENTENCIA_2013_94" w:history="1">
        <w:r w:rsidRPr="00E27756">
          <w:rPr>
            <w:rStyle w:val="TextoNormalCaracter"/>
          </w:rPr>
          <w:t>94/2013</w:t>
        </w:r>
      </w:hyperlink>
      <w:r>
        <w:t>, ff. 1, 6, VP I.</w:t>
      </w:r>
    </w:p>
    <w:p w:rsidR="00E27756" w:rsidRDefault="00E27756" w:rsidP="00E27756">
      <w:pPr>
        <w:pStyle w:val="SangriaFrancesaArticulo"/>
      </w:pPr>
      <w:r w:rsidRPr="00E27756">
        <w:rPr>
          <w:rStyle w:val="TextoNormalNegritaCaracter"/>
        </w:rPr>
        <w:t>Artículo 190.1.</w:t>
      </w:r>
      <w:r w:rsidRPr="00E27756">
        <w:rPr>
          <w:rStyle w:val="TextoNormalCaracter"/>
        </w:rPr>
        <w:t>-</w:t>
      </w:r>
      <w:r>
        <w:t xml:space="preserve"> Sentencia </w:t>
      </w:r>
      <w:hyperlink w:anchor="SENTENCIA_2013_94" w:history="1">
        <w:r w:rsidRPr="00E27756">
          <w:rPr>
            <w:rStyle w:val="TextoNormalCaracter"/>
          </w:rPr>
          <w:t>94/2013</w:t>
        </w:r>
      </w:hyperlink>
      <w:r>
        <w:t>, f. 7.</w:t>
      </w:r>
    </w:p>
    <w:p w:rsidR="00E27756" w:rsidRDefault="00E27756" w:rsidP="00E27756">
      <w:pPr>
        <w:pStyle w:val="SangriaFrancesaArticulo"/>
      </w:pPr>
      <w:r w:rsidRPr="00E27756">
        <w:rPr>
          <w:rStyle w:val="TextoNormalNegritaCaracter"/>
        </w:rPr>
        <w:t>Artículo 190.2.</w:t>
      </w:r>
      <w:r w:rsidRPr="00E27756">
        <w:rPr>
          <w:rStyle w:val="TextoNormalCaracter"/>
        </w:rPr>
        <w:t>-</w:t>
      </w:r>
      <w:r>
        <w:t xml:space="preserve"> Sentencia </w:t>
      </w:r>
      <w:hyperlink w:anchor="SENTENCIA_2013_94" w:history="1">
        <w:r w:rsidRPr="00E27756">
          <w:rPr>
            <w:rStyle w:val="TextoNormalCaracter"/>
          </w:rPr>
          <w:t>94/2013</w:t>
        </w:r>
      </w:hyperlink>
      <w:r>
        <w:t>, f. 7.</w:t>
      </w:r>
    </w:p>
    <w:p w:rsidR="00E27756" w:rsidRDefault="00E27756" w:rsidP="00E27756">
      <w:pPr>
        <w:pStyle w:val="SangriaFrancesaArticulo"/>
      </w:pPr>
      <w:r w:rsidRPr="00E27756">
        <w:rPr>
          <w:rStyle w:val="TextoNormalNegritaCaracter"/>
        </w:rPr>
        <w:t>Artículo 191.</w:t>
      </w:r>
      <w:r w:rsidRPr="00E27756">
        <w:rPr>
          <w:rStyle w:val="TextoNormalCaracter"/>
        </w:rPr>
        <w:t>-</w:t>
      </w:r>
      <w:r>
        <w:t xml:space="preserve"> Sentencia </w:t>
      </w:r>
      <w:hyperlink w:anchor="SENTENCIA_2013_94" w:history="1">
        <w:r w:rsidRPr="00E27756">
          <w:rPr>
            <w:rStyle w:val="TextoNormalCaracter"/>
          </w:rPr>
          <w:t>94/2013</w:t>
        </w:r>
      </w:hyperlink>
      <w:r>
        <w:t>, ff. 1, 6, 7, VP I, VP II.</w:t>
      </w:r>
    </w:p>
    <w:p w:rsidR="00E27756" w:rsidRDefault="00E27756" w:rsidP="00E27756">
      <w:pPr>
        <w:pStyle w:val="SangriaFrancesaArticulo"/>
      </w:pPr>
      <w:r w:rsidRPr="00E27756">
        <w:rPr>
          <w:rStyle w:val="TextoNormalNegritaCaracter"/>
        </w:rPr>
        <w:t>Artículo 191.1.</w:t>
      </w:r>
      <w:r w:rsidRPr="00E27756">
        <w:rPr>
          <w:rStyle w:val="TextoNormalCaracter"/>
        </w:rPr>
        <w:t>-</w:t>
      </w:r>
      <w:r>
        <w:t xml:space="preserve"> Sentencia </w:t>
      </w:r>
      <w:hyperlink w:anchor="SENTENCIA_2013_94" w:history="1">
        <w:r w:rsidRPr="00E27756">
          <w:rPr>
            <w:rStyle w:val="TextoNormalCaracter"/>
          </w:rPr>
          <w:t>94/2013</w:t>
        </w:r>
      </w:hyperlink>
      <w:r>
        <w:t>, f. 8.</w:t>
      </w:r>
    </w:p>
    <w:p w:rsidR="00E27756" w:rsidRDefault="00E27756" w:rsidP="00E27756">
      <w:pPr>
        <w:pStyle w:val="SangriaFrancesaArticulo"/>
      </w:pPr>
      <w:r w:rsidRPr="00E27756">
        <w:rPr>
          <w:rStyle w:val="TextoNormalNegritaCaracter"/>
        </w:rPr>
        <w:t>Artículo 191.2.</w:t>
      </w:r>
      <w:r w:rsidRPr="00E27756">
        <w:rPr>
          <w:rStyle w:val="TextoNormalCaracter"/>
        </w:rPr>
        <w:t>-</w:t>
      </w:r>
      <w:r>
        <w:t xml:space="preserve"> Sentencia </w:t>
      </w:r>
      <w:hyperlink w:anchor="SENTENCIA_2013_94" w:history="1">
        <w:r w:rsidRPr="00E27756">
          <w:rPr>
            <w:rStyle w:val="TextoNormalCaracter"/>
          </w:rPr>
          <w:t>94/2013</w:t>
        </w:r>
      </w:hyperlink>
      <w:r>
        <w:t>, f. 8, VP II.</w:t>
      </w:r>
    </w:p>
    <w:p w:rsidR="00E27756" w:rsidRDefault="00E27756" w:rsidP="00E27756">
      <w:pPr>
        <w:pStyle w:val="SangriaFrancesaArticulo"/>
      </w:pPr>
      <w:r w:rsidRPr="00E27756">
        <w:rPr>
          <w:rStyle w:val="TextoNormalNegritaCaracter"/>
        </w:rPr>
        <w:t>Artículo 191.3.</w:t>
      </w:r>
      <w:r w:rsidRPr="00E27756">
        <w:rPr>
          <w:rStyle w:val="TextoNormalCaracter"/>
        </w:rPr>
        <w:t>-</w:t>
      </w:r>
      <w:r>
        <w:t xml:space="preserve"> Sentencia </w:t>
      </w:r>
      <w:hyperlink w:anchor="SENTENCIA_2013_94" w:history="1">
        <w:r w:rsidRPr="00E27756">
          <w:rPr>
            <w:rStyle w:val="TextoNormalCaracter"/>
          </w:rPr>
          <w:t>94/2013</w:t>
        </w:r>
      </w:hyperlink>
      <w:r>
        <w:t>, f. 8, VP I, VP II.</w:t>
      </w:r>
    </w:p>
    <w:p w:rsidR="00E27756" w:rsidRDefault="00E27756" w:rsidP="00E27756">
      <w:pPr>
        <w:pStyle w:val="SangriaFrancesaArticulo"/>
      </w:pPr>
      <w:r w:rsidRPr="00E27756">
        <w:rPr>
          <w:rStyle w:val="TextoNormalNegritaCaracter"/>
        </w:rPr>
        <w:t>Artículo 191.4.</w:t>
      </w:r>
      <w:r w:rsidRPr="00E27756">
        <w:rPr>
          <w:rStyle w:val="TextoNormalCaracter"/>
        </w:rPr>
        <w:t>-</w:t>
      </w:r>
      <w:r>
        <w:t xml:space="preserve"> Sentencia </w:t>
      </w:r>
      <w:hyperlink w:anchor="SENTENCIA_2013_94" w:history="1">
        <w:r w:rsidRPr="00E27756">
          <w:rPr>
            <w:rStyle w:val="TextoNormalCaracter"/>
          </w:rPr>
          <w:t>94/2013</w:t>
        </w:r>
      </w:hyperlink>
      <w:r>
        <w:t>, f. 8.</w:t>
      </w:r>
    </w:p>
    <w:p w:rsidR="00E27756" w:rsidRDefault="00E27756" w:rsidP="00E27756">
      <w:pPr>
        <w:pStyle w:val="SangriaFrancesaArticulo"/>
      </w:pPr>
      <w:r w:rsidRPr="00E27756">
        <w:rPr>
          <w:rStyle w:val="TextoNormalNegritaCaracter"/>
        </w:rPr>
        <w:t>Artículo 191.5.</w:t>
      </w:r>
      <w:r w:rsidRPr="00E27756">
        <w:rPr>
          <w:rStyle w:val="TextoNormalCaracter"/>
        </w:rPr>
        <w:t>-</w:t>
      </w:r>
      <w:r>
        <w:t xml:space="preserve"> Sentencia </w:t>
      </w:r>
      <w:hyperlink w:anchor="SENTENCIA_2013_94" w:history="1">
        <w:r w:rsidRPr="00E27756">
          <w:rPr>
            <w:rStyle w:val="TextoNormalCaracter"/>
          </w:rPr>
          <w:t>94/2013</w:t>
        </w:r>
      </w:hyperlink>
      <w:r>
        <w:t>, f. 8, VP I, VP II.</w:t>
      </w:r>
    </w:p>
    <w:p w:rsidR="00E27756" w:rsidRDefault="00E27756" w:rsidP="00E27756">
      <w:pPr>
        <w:pStyle w:val="SangriaFrancesaArticulo"/>
      </w:pPr>
      <w:r w:rsidRPr="00E27756">
        <w:rPr>
          <w:rStyle w:val="TextoNormalNegritaCaracter"/>
        </w:rPr>
        <w:t>Artículo 191.6.</w:t>
      </w:r>
      <w:r w:rsidRPr="00E27756">
        <w:rPr>
          <w:rStyle w:val="TextoNormalCaracter"/>
        </w:rPr>
        <w:t>-</w:t>
      </w:r>
      <w:r>
        <w:t xml:space="preserve"> Sentencia </w:t>
      </w:r>
      <w:hyperlink w:anchor="SENTENCIA_2013_94" w:history="1">
        <w:r w:rsidRPr="00E27756">
          <w:rPr>
            <w:rStyle w:val="TextoNormalCaracter"/>
          </w:rPr>
          <w:t>94/2013</w:t>
        </w:r>
      </w:hyperlink>
      <w:r>
        <w:t>, f. 8, VP I, VP II.</w:t>
      </w:r>
    </w:p>
    <w:p w:rsidR="00E27756" w:rsidRDefault="00E27756" w:rsidP="00E27756">
      <w:pPr>
        <w:pStyle w:val="SangriaFrancesaArticulo"/>
      </w:pPr>
      <w:r w:rsidRPr="00E27756">
        <w:rPr>
          <w:rStyle w:val="TextoNormalNegritaCaracter"/>
        </w:rPr>
        <w:t>Disposición adicional decimonovena.</w:t>
      </w:r>
      <w:r w:rsidRPr="00E27756">
        <w:rPr>
          <w:rStyle w:val="TextoNormalCaracter"/>
        </w:rPr>
        <w:t>-</w:t>
      </w:r>
      <w:r>
        <w:t xml:space="preserve"> Sentencia </w:t>
      </w:r>
      <w:hyperlink w:anchor="SENTENCIA_2013_94" w:history="1">
        <w:r w:rsidRPr="00E27756">
          <w:rPr>
            <w:rStyle w:val="TextoNormalCaracter"/>
          </w:rPr>
          <w:t>94/2013</w:t>
        </w:r>
      </w:hyperlink>
      <w:r>
        <w:t>, ff. 1, 9, VP I.</w:t>
      </w:r>
    </w:p>
    <w:p w:rsidR="00E27756" w:rsidRDefault="00E27756" w:rsidP="00E27756">
      <w:pPr>
        <w:pStyle w:val="SangriaFrancesaArticulo"/>
      </w:pPr>
      <w:r w:rsidRPr="00E27756">
        <w:rPr>
          <w:rStyle w:val="TextoNormalNegritaCaracter"/>
        </w:rPr>
        <w:t>Disposición final primera, apartado 1.</w:t>
      </w:r>
      <w:r w:rsidRPr="00E27756">
        <w:rPr>
          <w:rStyle w:val="TextoNormalCaracter"/>
        </w:rPr>
        <w:t>-</w:t>
      </w:r>
      <w:r>
        <w:t xml:space="preserve"> Sentencia </w:t>
      </w:r>
      <w:hyperlink w:anchor="SENTENCIA_2013_94" w:history="1">
        <w:r w:rsidRPr="00E27756">
          <w:rPr>
            <w:rStyle w:val="TextoNormalCaracter"/>
          </w:rPr>
          <w:t>94/2013</w:t>
        </w:r>
      </w:hyperlink>
      <w:r>
        <w:t>, f. 8.</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Sentencia </w:t>
      </w:r>
      <w:hyperlink w:anchor="SENTENCIA_2013_94" w:history="1">
        <w:r w:rsidRPr="00E27756">
          <w:rPr>
            <w:rStyle w:val="TextoNormalCaracter"/>
          </w:rPr>
          <w:t>94/2013</w:t>
        </w:r>
      </w:hyperlink>
      <w:r>
        <w:t>, ff. 3, 5, 7, 8.</w:t>
      </w:r>
    </w:p>
    <w:p w:rsidR="00E27756" w:rsidRDefault="00E27756" w:rsidP="00E27756">
      <w:pPr>
        <w:pStyle w:val="SangriaFrancesaArticulo"/>
      </w:pPr>
      <w:r w:rsidRPr="00E27756">
        <w:rPr>
          <w:rStyle w:val="TextoNormalNegritaCaracter"/>
        </w:rPr>
        <w:t>Disposición final segunda, apartado 5.</w:t>
      </w:r>
      <w:r w:rsidRPr="00E27756">
        <w:rPr>
          <w:rStyle w:val="TextoNormalCaracter"/>
        </w:rPr>
        <w:t>-</w:t>
      </w:r>
      <w:r>
        <w:t xml:space="preserve"> Sentencia </w:t>
      </w:r>
      <w:hyperlink w:anchor="SENTENCIA_2013_94" w:history="1">
        <w:r w:rsidRPr="00E27756">
          <w:rPr>
            <w:rStyle w:val="TextoNormalCaracter"/>
          </w:rPr>
          <w:t>94/2013</w:t>
        </w:r>
      </w:hyperlink>
      <w:r>
        <w:t>, ff. 3, 6 a 8.</w:t>
      </w:r>
    </w:p>
    <w:p w:rsidR="00E27756" w:rsidRDefault="00E27756" w:rsidP="00E27756">
      <w:pPr>
        <w:pStyle w:val="SangriaFrancesaArticulo"/>
      </w:pPr>
    </w:p>
    <w:p w:rsidR="00E27756" w:rsidRDefault="00E27756" w:rsidP="00E27756">
      <w:pPr>
        <w:pStyle w:val="TextoNormalNegritaCursivandice"/>
      </w:pPr>
      <w:r>
        <w:t>Ley 36/2003, de 11 de noviembre. Medidas de reforma económica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3" w:history="1">
        <w:r w:rsidRPr="00E27756">
          <w:rPr>
            <w:rStyle w:val="TextoNormalCaracter"/>
          </w:rPr>
          <w:t>123/2013</w:t>
        </w:r>
      </w:hyperlink>
      <w:r>
        <w:t>, f. 2.</w:t>
      </w:r>
    </w:p>
    <w:p w:rsidR="00E27756" w:rsidRDefault="00E27756" w:rsidP="00E27756">
      <w:pPr>
        <w:pStyle w:val="SangriaFrancesaArticulo"/>
      </w:pPr>
    </w:p>
    <w:p w:rsidR="00E27756" w:rsidRDefault="00E27756" w:rsidP="00E27756">
      <w:pPr>
        <w:pStyle w:val="TextoNormalNegritaCursivandice"/>
      </w:pPr>
      <w:r>
        <w:t>Ley 38/2003, de 17 de noviembre. General de subvenciones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21" w:history="1">
        <w:r w:rsidRPr="00E27756">
          <w:rPr>
            <w:rStyle w:val="TextoNormalCaracter"/>
          </w:rPr>
          <w:t>21/2013</w:t>
        </w:r>
      </w:hyperlink>
      <w:r>
        <w:t xml:space="preserve">, f. 7; </w:t>
      </w:r>
      <w:hyperlink w:anchor="SENTENCIA_2013_26" w:history="1">
        <w:r w:rsidRPr="00E27756">
          <w:rPr>
            <w:rStyle w:val="TextoNormalCaracter"/>
          </w:rPr>
          <w:t>26/2013</w:t>
        </w:r>
      </w:hyperlink>
      <w:r>
        <w:t xml:space="preserve">, f. 8; </w:t>
      </w:r>
      <w:hyperlink w:anchor="SENTENCIA_2013_40" w:history="1">
        <w:r w:rsidRPr="00E27756">
          <w:rPr>
            <w:rStyle w:val="TextoNormalCaracter"/>
          </w:rPr>
          <w:t>40/2013</w:t>
        </w:r>
      </w:hyperlink>
      <w:r>
        <w:t xml:space="preserve">, f. 7; </w:t>
      </w:r>
      <w:hyperlink w:anchor="SENTENCIA_2013_52" w:history="1">
        <w:r w:rsidRPr="00E27756">
          <w:rPr>
            <w:rStyle w:val="TextoNormalCaracter"/>
          </w:rPr>
          <w:t>52/2013</w:t>
        </w:r>
      </w:hyperlink>
      <w:r>
        <w:t xml:space="preserve">, f. 7; </w:t>
      </w:r>
      <w:hyperlink w:anchor="SENTENCIA_2013_130" w:history="1">
        <w:r w:rsidRPr="00E27756">
          <w:rPr>
            <w:rStyle w:val="TextoNormalCaracter"/>
          </w:rPr>
          <w:t>130/2013</w:t>
        </w:r>
      </w:hyperlink>
      <w:r>
        <w:t xml:space="preserve">, ff. 1 a 4, 6, 8, 9, 11, 13, VP; </w:t>
      </w:r>
      <w:hyperlink w:anchor="SENTENCIA_2013_135" w:history="1">
        <w:r w:rsidRPr="00E27756">
          <w:rPr>
            <w:rStyle w:val="TextoNormalCaracter"/>
          </w:rPr>
          <w:t>135/2013</w:t>
        </w:r>
      </w:hyperlink>
      <w:r>
        <w:t>, ff. 1 a 4.</w:t>
      </w:r>
    </w:p>
    <w:p w:rsidR="00E27756" w:rsidRDefault="00E27756" w:rsidP="00E27756">
      <w:pPr>
        <w:pStyle w:val="SangriaFrancesaArticulo"/>
      </w:pPr>
      <w:r w:rsidRPr="00E27756">
        <w:rPr>
          <w:rStyle w:val="TextoNormalNegritaCaracter"/>
        </w:rPr>
        <w:t>Título preliminar.</w:t>
      </w:r>
      <w:r w:rsidRPr="00E27756">
        <w:rPr>
          <w:rStyle w:val="TextoNormalCaracter"/>
        </w:rPr>
        <w:t>-</w:t>
      </w:r>
      <w:r>
        <w:t xml:space="preserve"> Sentencia </w:t>
      </w:r>
      <w:hyperlink w:anchor="SENTENCIA_2013_130" w:history="1">
        <w:r w:rsidRPr="00E27756">
          <w:rPr>
            <w:rStyle w:val="TextoNormalCaracter"/>
          </w:rPr>
          <w:t>130/2013</w:t>
        </w:r>
      </w:hyperlink>
      <w:r>
        <w:t>, ff. 3, 9.</w:t>
      </w:r>
    </w:p>
    <w:p w:rsidR="00E27756" w:rsidRDefault="00E27756" w:rsidP="00E27756">
      <w:pPr>
        <w:pStyle w:val="SangriaFrancesaArticulo"/>
      </w:pPr>
      <w:r w:rsidRPr="00E27756">
        <w:rPr>
          <w:rStyle w:val="TextoNormalNegritaCaracter"/>
        </w:rPr>
        <w:t>Título I.</w:t>
      </w:r>
      <w:r w:rsidRPr="00E27756">
        <w:rPr>
          <w:rStyle w:val="TextoNormalCaracter"/>
        </w:rPr>
        <w:t>-</w:t>
      </w:r>
      <w:r>
        <w:t xml:space="preserve"> Sentencia </w:t>
      </w:r>
      <w:hyperlink w:anchor="SENTENCIA_2013_130" w:history="1">
        <w:r w:rsidRPr="00E27756">
          <w:rPr>
            <w:rStyle w:val="TextoNormalCaracter"/>
          </w:rPr>
          <w:t>130/2013</w:t>
        </w:r>
      </w:hyperlink>
      <w:r>
        <w:t>, VP.</w:t>
      </w:r>
    </w:p>
    <w:p w:rsidR="00E27756" w:rsidRDefault="00E27756" w:rsidP="00E27756">
      <w:pPr>
        <w:pStyle w:val="SangriaFrancesaArticulo"/>
      </w:pPr>
      <w:r w:rsidRPr="00E27756">
        <w:rPr>
          <w:rStyle w:val="TextoNormalNegritaCaracter"/>
        </w:rPr>
        <w:t>Título I, capítulo III.</w:t>
      </w:r>
      <w:r w:rsidRPr="00E27756">
        <w:rPr>
          <w:rStyle w:val="TextoNormalCaracter"/>
        </w:rPr>
        <w:t>-</w:t>
      </w:r>
      <w:r>
        <w:t xml:space="preserve"> Sentencia </w:t>
      </w:r>
      <w:hyperlink w:anchor="SENTENCIA_2013_130" w:history="1">
        <w:r w:rsidRPr="00E27756">
          <w:rPr>
            <w:rStyle w:val="TextoNormalCaracter"/>
          </w:rPr>
          <w:t>130/2013</w:t>
        </w:r>
      </w:hyperlink>
      <w:r>
        <w:t>, f. 8.</w:t>
      </w:r>
    </w:p>
    <w:p w:rsidR="00E27756" w:rsidRDefault="00E27756" w:rsidP="00E27756">
      <w:pPr>
        <w:pStyle w:val="SangriaFrancesaArticulo"/>
      </w:pPr>
      <w:r w:rsidRPr="00E27756">
        <w:rPr>
          <w:rStyle w:val="TextoNormalNegritaCaracter"/>
        </w:rPr>
        <w:t>Título III.</w:t>
      </w:r>
      <w:r w:rsidRPr="00E27756">
        <w:rPr>
          <w:rStyle w:val="TextoNormalCaracter"/>
        </w:rPr>
        <w:t>-</w:t>
      </w:r>
      <w:r>
        <w:t xml:space="preserve"> Sentencias </w:t>
      </w:r>
      <w:hyperlink w:anchor="SENTENCIA_2013_130" w:history="1">
        <w:r w:rsidRPr="00E27756">
          <w:rPr>
            <w:rStyle w:val="TextoNormalCaracter"/>
          </w:rPr>
          <w:t>130/2013</w:t>
        </w:r>
      </w:hyperlink>
      <w:r>
        <w:t xml:space="preserve">, VP;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Título IV.</w:t>
      </w:r>
      <w:r w:rsidRPr="00E27756">
        <w:rPr>
          <w:rStyle w:val="TextoNormalCaracter"/>
        </w:rPr>
        <w:t>-</w:t>
      </w:r>
      <w:r>
        <w:t xml:space="preserve"> Sentencia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Capítulo I.</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130" w:history="1">
        <w:r w:rsidRPr="00E27756">
          <w:rPr>
            <w:rStyle w:val="TextoNormalCaracter"/>
          </w:rPr>
          <w:t>130/2013</w:t>
        </w:r>
      </w:hyperlink>
      <w:r>
        <w:t>, ff. 3, 4, 6.</w:t>
      </w:r>
    </w:p>
    <w:p w:rsidR="00E27756" w:rsidRDefault="00E27756" w:rsidP="00E27756">
      <w:pPr>
        <w:pStyle w:val="SangriaFrancesaArticulo"/>
      </w:pPr>
      <w:r w:rsidRPr="00E27756">
        <w:rPr>
          <w:rStyle w:val="TextoNormalNegritaCaracter"/>
        </w:rPr>
        <w:t>Artículos 1 a 8.</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Sentencias </w:t>
      </w:r>
      <w:hyperlink w:anchor="SENTENCIA_2013_112" w:history="1">
        <w:r w:rsidRPr="00E27756">
          <w:rPr>
            <w:rStyle w:val="TextoNormalCaracter"/>
          </w:rPr>
          <w:t>112/2013</w:t>
        </w:r>
      </w:hyperlink>
      <w:r>
        <w:t xml:space="preserve">, f. 3; </w:t>
      </w:r>
      <w:hyperlink w:anchor="SENTENCIA_2013_130" w:history="1">
        <w:r w:rsidRPr="00E27756">
          <w:rPr>
            <w:rStyle w:val="TextoNormalCaracter"/>
          </w:rPr>
          <w:t>130/2013</w:t>
        </w:r>
      </w:hyperlink>
      <w:r>
        <w:t>, f. 4.</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130" w:history="1">
        <w:r w:rsidRPr="00E27756">
          <w:rPr>
            <w:rStyle w:val="TextoNormalCaracter"/>
          </w:rPr>
          <w:t>130/2013</w:t>
        </w:r>
      </w:hyperlink>
      <w:r>
        <w:t>, f. 4, 9, VP.</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3.3.</w:t>
      </w:r>
      <w:r w:rsidRPr="00E27756">
        <w:rPr>
          <w:rStyle w:val="TextoNormalCaracter"/>
        </w:rPr>
        <w:t>-</w:t>
      </w:r>
      <w:r>
        <w:t xml:space="preserve"> Sentencias </w:t>
      </w:r>
      <w:hyperlink w:anchor="SENTENCIA_2013_130" w:history="1">
        <w:r w:rsidRPr="00E27756">
          <w:rPr>
            <w:rStyle w:val="TextoNormalCaracter"/>
          </w:rPr>
          <w:t>130/2013</w:t>
        </w:r>
      </w:hyperlink>
      <w:r>
        <w:t xml:space="preserve">, f. 9, VP;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3.4.</w:t>
      </w:r>
      <w:r w:rsidRPr="00E27756">
        <w:rPr>
          <w:rStyle w:val="TextoNormalCaracter"/>
        </w:rPr>
        <w:t>-</w:t>
      </w:r>
      <w:r>
        <w:t xml:space="preserve"> Sentencias </w:t>
      </w:r>
      <w:hyperlink w:anchor="SENTENCIA_2013_130" w:history="1">
        <w:r w:rsidRPr="00E27756">
          <w:rPr>
            <w:rStyle w:val="TextoNormalCaracter"/>
          </w:rPr>
          <w:t>130/2013</w:t>
        </w:r>
      </w:hyperlink>
      <w:r>
        <w:t xml:space="preserve">, ff. 1, 2, 9;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3.4 a).</w:t>
      </w:r>
      <w:r w:rsidRPr="00E27756">
        <w:rPr>
          <w:rStyle w:val="TextoNormalCaracter"/>
        </w:rPr>
        <w:t>-</w:t>
      </w:r>
      <w:r>
        <w:t xml:space="preserve"> Sentencias </w:t>
      </w:r>
      <w:hyperlink w:anchor="SENTENCIA_2013_130" w:history="1">
        <w:r w:rsidRPr="00E27756">
          <w:rPr>
            <w:rStyle w:val="TextoNormalCaracter"/>
          </w:rPr>
          <w:t>130/2013</w:t>
        </w:r>
      </w:hyperlink>
      <w:r>
        <w:t xml:space="preserve">, f. 9, VP; </w:t>
      </w:r>
      <w:hyperlink w:anchor="SENTENCIA_2013_135" w:history="1">
        <w:r w:rsidRPr="00E27756">
          <w:rPr>
            <w:rStyle w:val="TextoNormalCaracter"/>
          </w:rPr>
          <w:t>135/2013</w:t>
        </w:r>
      </w:hyperlink>
      <w:r>
        <w:t>, ff. 1, 4.</w:t>
      </w:r>
    </w:p>
    <w:p w:rsidR="00E27756" w:rsidRDefault="00E27756" w:rsidP="00E27756">
      <w:pPr>
        <w:pStyle w:val="SangriaFrancesaArticulo"/>
      </w:pPr>
      <w:r w:rsidRPr="00E27756">
        <w:rPr>
          <w:rStyle w:val="TextoNormalNegritaCaracter"/>
        </w:rPr>
        <w:t>Artículo 3.4 b).</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Sentencia </w:t>
      </w:r>
      <w:hyperlink w:anchor="SENTENCIA_2013_130" w:history="1">
        <w:r w:rsidRPr="00E27756">
          <w:rPr>
            <w:rStyle w:val="TextoNormalCaracter"/>
          </w:rPr>
          <w:t>130/2013</w:t>
        </w:r>
      </w:hyperlink>
      <w:r>
        <w:t>, ff. 1, 2, 9.</w:t>
      </w:r>
    </w:p>
    <w:p w:rsidR="00E27756" w:rsidRDefault="00E27756" w:rsidP="00E27756">
      <w:pPr>
        <w:pStyle w:val="SangriaFrancesaArticulo"/>
      </w:pPr>
      <w:r w:rsidRPr="00E27756">
        <w:rPr>
          <w:rStyle w:val="TextoNormalNegritaCaracter"/>
        </w:rPr>
        <w:t>Artículo 6.1.</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6.2.</w:t>
      </w:r>
      <w:r w:rsidRPr="00E27756">
        <w:rPr>
          <w:rStyle w:val="TextoNormalCaracter"/>
        </w:rPr>
        <w:t>-</w:t>
      </w:r>
      <w:r>
        <w:t xml:space="preserve"> Sentencias </w:t>
      </w:r>
      <w:hyperlink w:anchor="SENTENCIA_2013_130" w:history="1">
        <w:r w:rsidRPr="00E27756">
          <w:rPr>
            <w:rStyle w:val="TextoNormalCaracter"/>
          </w:rPr>
          <w:t>130/2013</w:t>
        </w:r>
      </w:hyperlink>
      <w:r>
        <w:t xml:space="preserve">, ff. 1, 2, 9, VP; </w:t>
      </w:r>
      <w:hyperlink w:anchor="SENTENCIA_2013_135" w:history="1">
        <w:r w:rsidRPr="00E27756">
          <w:rPr>
            <w:rStyle w:val="TextoNormalCaracter"/>
          </w:rPr>
          <w:t>135/2013</w:t>
        </w:r>
      </w:hyperlink>
      <w:r>
        <w:t>, ff. 1, 4.</w:t>
      </w:r>
    </w:p>
    <w:p w:rsidR="00E27756" w:rsidRDefault="00E27756" w:rsidP="00E27756">
      <w:pPr>
        <w:pStyle w:val="SangriaFrancesaArticulo"/>
      </w:pPr>
      <w:r w:rsidRPr="00E27756">
        <w:rPr>
          <w:rStyle w:val="TextoNormalNegritaCaracter"/>
        </w:rPr>
        <w:t>Artículo 6.2.2.</w:t>
      </w:r>
      <w:r w:rsidRPr="00E27756">
        <w:rPr>
          <w:rStyle w:val="TextoNormalCaracter"/>
        </w:rPr>
        <w:t>-</w:t>
      </w:r>
      <w:r>
        <w:t xml:space="preserve"> Sentencia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lastRenderedPageBreak/>
        <w:t>Artículo 7.</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7.1.</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7.2.</w:t>
      </w:r>
      <w:r w:rsidRPr="00E27756">
        <w:rPr>
          <w:rStyle w:val="TextoNormalCaracter"/>
        </w:rPr>
        <w:t>-</w:t>
      </w:r>
      <w:r>
        <w:t xml:space="preserve"> Sentencia </w:t>
      </w:r>
      <w:hyperlink w:anchor="SENTENCIA_2013_130" w:history="1">
        <w:r w:rsidRPr="00E27756">
          <w:rPr>
            <w:rStyle w:val="TextoNormalCaracter"/>
          </w:rPr>
          <w:t>130/2013</w:t>
        </w:r>
      </w:hyperlink>
      <w:r>
        <w:t>, ff. 1, 2, 9, 12.</w:t>
      </w:r>
    </w:p>
    <w:p w:rsidR="00E27756" w:rsidRDefault="00E27756" w:rsidP="00E27756">
      <w:pPr>
        <w:pStyle w:val="SangriaFrancesaArticulo"/>
      </w:pPr>
      <w:r w:rsidRPr="00E27756">
        <w:rPr>
          <w:rStyle w:val="TextoNormalNegritaCaracter"/>
        </w:rPr>
        <w:t>Artículo 7.3.</w:t>
      </w:r>
      <w:r w:rsidRPr="00E27756">
        <w:rPr>
          <w:rStyle w:val="TextoNormalCaracter"/>
        </w:rPr>
        <w:t>-</w:t>
      </w:r>
      <w:r>
        <w:t xml:space="preserve"> Sentencia </w:t>
      </w:r>
      <w:hyperlink w:anchor="SENTENCIA_2013_130" w:history="1">
        <w:r w:rsidRPr="00E27756">
          <w:rPr>
            <w:rStyle w:val="TextoNormalCaracter"/>
          </w:rPr>
          <w:t>130/2013</w:t>
        </w:r>
      </w:hyperlink>
      <w:r>
        <w:t>, ff. 1, 2, 9, 12.</w:t>
      </w:r>
    </w:p>
    <w:p w:rsidR="00E27756" w:rsidRDefault="00E27756" w:rsidP="00E27756">
      <w:pPr>
        <w:pStyle w:val="SangriaFrancesaArticulo"/>
      </w:pPr>
      <w:r w:rsidRPr="00E27756">
        <w:rPr>
          <w:rStyle w:val="TextoNormalNegritaCaracter"/>
        </w:rPr>
        <w:t>Artículo 8.1.</w:t>
      </w:r>
      <w:r w:rsidRPr="00E27756">
        <w:rPr>
          <w:rStyle w:val="TextoNormalCaracter"/>
        </w:rPr>
        <w:t>-</w:t>
      </w:r>
      <w:r>
        <w:t xml:space="preserve"> Sentencia </w:t>
      </w:r>
      <w:hyperlink w:anchor="SENTENCIA_2013_130" w:history="1">
        <w:r w:rsidRPr="00E27756">
          <w:rPr>
            <w:rStyle w:val="TextoNormalCaracter"/>
          </w:rPr>
          <w:t>130/2013</w:t>
        </w:r>
      </w:hyperlink>
      <w:r>
        <w:t>, ff. 1 a 3, 9.</w:t>
      </w:r>
    </w:p>
    <w:p w:rsidR="00E27756" w:rsidRDefault="00E27756" w:rsidP="00E27756">
      <w:pPr>
        <w:pStyle w:val="SangriaFrancesaArticulo"/>
      </w:pPr>
      <w:r w:rsidRPr="00E27756">
        <w:rPr>
          <w:rStyle w:val="TextoNormalNegritaCaracter"/>
        </w:rPr>
        <w:t>Artículo 8.2.</w:t>
      </w:r>
      <w:r w:rsidRPr="00E27756">
        <w:rPr>
          <w:rStyle w:val="TextoNormalCaracter"/>
        </w:rPr>
        <w:t>-</w:t>
      </w:r>
      <w:r>
        <w:t xml:space="preserve"> Sentencia </w:t>
      </w:r>
      <w:hyperlink w:anchor="SENTENCIA_2013_130" w:history="1">
        <w:r w:rsidRPr="00E27756">
          <w:rPr>
            <w:rStyle w:val="TextoNormalCaracter"/>
          </w:rPr>
          <w:t>130/2013</w:t>
        </w:r>
      </w:hyperlink>
      <w:r>
        <w:t>, ff. 1 a 3, 9.</w:t>
      </w:r>
    </w:p>
    <w:p w:rsidR="00E27756" w:rsidRDefault="00E27756" w:rsidP="00E27756">
      <w:pPr>
        <w:pStyle w:val="SangriaFrancesaArticulo"/>
      </w:pPr>
      <w:r w:rsidRPr="00E27756">
        <w:rPr>
          <w:rStyle w:val="TextoNormalNegritaCaracter"/>
        </w:rPr>
        <w:t>Artículo 9 excepto apartado 4 d).</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t>Artículo 11.2.</w:t>
      </w:r>
      <w:r w:rsidRPr="00E27756">
        <w:rPr>
          <w:rStyle w:val="TextoNormalCaracter"/>
        </w:rPr>
        <w:t>-</w:t>
      </w:r>
      <w:r>
        <w:t xml:space="preserve"> Sentencia </w:t>
      </w:r>
      <w:hyperlink w:anchor="SENTENCIA_2013_37" w:history="1">
        <w:r w:rsidRPr="00E27756">
          <w:rPr>
            <w:rStyle w:val="TextoNormalCaracter"/>
          </w:rPr>
          <w:t>37/2013</w:t>
        </w:r>
      </w:hyperlink>
      <w:r>
        <w:t>, f. 1.</w:t>
      </w:r>
    </w:p>
    <w:p w:rsidR="00E27756" w:rsidRDefault="00E27756" w:rsidP="00E27756">
      <w:pPr>
        <w:pStyle w:val="SangriaFrancesaArticulo"/>
      </w:pPr>
      <w:r w:rsidRPr="00E27756">
        <w:rPr>
          <w:rStyle w:val="TextoNormalNegritaCaracter"/>
        </w:rPr>
        <w:t>Artículo 11.3.</w:t>
      </w:r>
      <w:r w:rsidRPr="00E27756">
        <w:rPr>
          <w:rStyle w:val="TextoNormalCaracter"/>
        </w:rPr>
        <w:t>-</w:t>
      </w:r>
      <w:r>
        <w:t xml:space="preserve"> Sentencia </w:t>
      </w:r>
      <w:hyperlink w:anchor="SENTENCIA_2013_37" w:history="1">
        <w:r w:rsidRPr="00E27756">
          <w:rPr>
            <w:rStyle w:val="TextoNormalCaracter"/>
          </w:rPr>
          <w:t>37/2013</w:t>
        </w:r>
      </w:hyperlink>
      <w:r>
        <w:t>, f. 1.</w:t>
      </w:r>
    </w:p>
    <w:p w:rsidR="00E27756" w:rsidRDefault="00E27756" w:rsidP="00E27756">
      <w:pPr>
        <w:pStyle w:val="SangriaFrancesaArticulo"/>
      </w:pPr>
      <w:r w:rsidRPr="00E27756">
        <w:rPr>
          <w:rStyle w:val="TextoNormalNegritaCaracter"/>
        </w:rPr>
        <w:t>Artículos 11 a 15.</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t>Artículo 12.1.</w:t>
      </w:r>
      <w:r w:rsidRPr="00E27756">
        <w:rPr>
          <w:rStyle w:val="TextoNormalCaracter"/>
        </w:rPr>
        <w:t>-</w:t>
      </w:r>
      <w:r>
        <w:t xml:space="preserve"> Sentencia </w:t>
      </w:r>
      <w:hyperlink w:anchor="SENTENCIA_2013_130" w:history="1">
        <w:r w:rsidRPr="00E27756">
          <w:rPr>
            <w:rStyle w:val="TextoNormalCaracter"/>
          </w:rPr>
          <w:t>130/2013</w:t>
        </w:r>
      </w:hyperlink>
      <w:r>
        <w:t>, ff. 1, 2, 9.</w:t>
      </w:r>
    </w:p>
    <w:p w:rsidR="00E27756" w:rsidRDefault="00E27756" w:rsidP="00E27756">
      <w:pPr>
        <w:pStyle w:val="SangriaFrancesaArticulo"/>
      </w:pPr>
      <w:r w:rsidRPr="00E27756">
        <w:rPr>
          <w:rStyle w:val="TextoNormalNegritaCaracter"/>
        </w:rPr>
        <w:t>Artículo 12.2.</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13.2.</w:t>
      </w:r>
      <w:r w:rsidRPr="00E27756">
        <w:rPr>
          <w:rStyle w:val="TextoNormalCaracter"/>
        </w:rPr>
        <w:t>-</w:t>
      </w:r>
      <w:r>
        <w:t xml:space="preserve"> Sentencias </w:t>
      </w:r>
      <w:hyperlink w:anchor="SENTENCIA_2013_37" w:history="1">
        <w:r w:rsidRPr="00E27756">
          <w:rPr>
            <w:rStyle w:val="TextoNormalCaracter"/>
          </w:rPr>
          <w:t>37/2013</w:t>
        </w:r>
      </w:hyperlink>
      <w:r>
        <w:t xml:space="preserve">, f. 1; </w:t>
      </w:r>
      <w:hyperlink w:anchor="SENTENCIA_2013_130" w:history="1">
        <w:r w:rsidRPr="00E27756">
          <w:rPr>
            <w:rStyle w:val="TextoNormalCaracter"/>
          </w:rPr>
          <w:t>130/2013</w:t>
        </w:r>
      </w:hyperlink>
      <w:r>
        <w:t>, ff. 2, 9.</w:t>
      </w:r>
    </w:p>
    <w:p w:rsidR="00E27756" w:rsidRDefault="00E27756" w:rsidP="00E27756">
      <w:pPr>
        <w:pStyle w:val="SangriaFrancesaArticulo"/>
      </w:pPr>
      <w:r w:rsidRPr="00E27756">
        <w:rPr>
          <w:rStyle w:val="TextoNormalNegritaCaracter"/>
        </w:rPr>
        <w:t>Artículo 13.2 a).</w:t>
      </w:r>
      <w:r w:rsidRPr="00E27756">
        <w:rPr>
          <w:rStyle w:val="TextoNormalCaracter"/>
        </w:rPr>
        <w:t>-</w:t>
      </w:r>
      <w:r>
        <w:t xml:space="preserve"> Sentencias </w:t>
      </w:r>
      <w:hyperlink w:anchor="SENTENCIA_2013_130" w:history="1">
        <w:r w:rsidRPr="00E27756">
          <w:rPr>
            <w:rStyle w:val="TextoNormalCaracter"/>
          </w:rPr>
          <w:t>130/2013</w:t>
        </w:r>
      </w:hyperlink>
      <w:r>
        <w:t xml:space="preserve">, f. 9; </w:t>
      </w:r>
      <w:hyperlink w:anchor="SENTENCIA_2013_135" w:history="1">
        <w:r w:rsidRPr="00E27756">
          <w:rPr>
            <w:rStyle w:val="TextoNormalCaracter"/>
          </w:rPr>
          <w:t>135/2013</w:t>
        </w:r>
      </w:hyperlink>
      <w:r>
        <w:t>, f. 6.</w:t>
      </w:r>
    </w:p>
    <w:p w:rsidR="00E27756" w:rsidRDefault="00E27756" w:rsidP="00E27756">
      <w:pPr>
        <w:pStyle w:val="SangriaFrancesaArticulo"/>
      </w:pPr>
      <w:r w:rsidRPr="00E27756">
        <w:rPr>
          <w:rStyle w:val="TextoNormalNegritaCaracter"/>
        </w:rPr>
        <w:t>Artículo 13.2 h).</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13.2 párrafos a) y h).</w:t>
      </w:r>
      <w:r w:rsidRPr="00E27756">
        <w:rPr>
          <w:rStyle w:val="TextoNormalCaracter"/>
        </w:rPr>
        <w:t>-</w:t>
      </w:r>
      <w:r>
        <w:t xml:space="preserve"> Sentencia </w:t>
      </w:r>
      <w:hyperlink w:anchor="SENTENCIA_2013_135" w:history="1">
        <w:r w:rsidRPr="00E27756">
          <w:rPr>
            <w:rStyle w:val="TextoNormalCaracter"/>
          </w:rPr>
          <w:t>135/2013</w:t>
        </w:r>
      </w:hyperlink>
      <w:r>
        <w:t>, f. 6.</w:t>
      </w:r>
    </w:p>
    <w:p w:rsidR="00E27756" w:rsidRDefault="00E27756" w:rsidP="00E27756">
      <w:pPr>
        <w:pStyle w:val="SangriaFrancesaArticulo"/>
      </w:pPr>
      <w:r w:rsidRPr="00E27756">
        <w:rPr>
          <w:rStyle w:val="TextoNormalNegritaCaracter"/>
        </w:rPr>
        <w:t>Artículo 13.3.</w:t>
      </w:r>
      <w:r w:rsidRPr="00E27756">
        <w:rPr>
          <w:rStyle w:val="TextoNormalCaracter"/>
        </w:rPr>
        <w:t>-</w:t>
      </w:r>
      <w:r>
        <w:t xml:space="preserve"> Sentencias </w:t>
      </w:r>
      <w:hyperlink w:anchor="SENTENCIA_2013_37" w:history="1">
        <w:r w:rsidRPr="00E27756">
          <w:rPr>
            <w:rStyle w:val="TextoNormalCaracter"/>
          </w:rPr>
          <w:t>37/2013</w:t>
        </w:r>
      </w:hyperlink>
      <w:r>
        <w:t xml:space="preserve">, f. 1; </w:t>
      </w:r>
      <w:hyperlink w:anchor="SENTENCIA_2013_130" w:history="1">
        <w:r w:rsidRPr="00E27756">
          <w:rPr>
            <w:rStyle w:val="TextoNormalCaracter"/>
          </w:rPr>
          <w:t>130/2013</w:t>
        </w:r>
      </w:hyperlink>
      <w:r>
        <w:t xml:space="preserve">, f. 9; </w:t>
      </w:r>
      <w:hyperlink w:anchor="SENTENCIA_2013_135" w:history="1">
        <w:r w:rsidRPr="00E27756">
          <w:rPr>
            <w:rStyle w:val="TextoNormalCaracter"/>
          </w:rPr>
          <w:t>135/2013</w:t>
        </w:r>
      </w:hyperlink>
      <w:r>
        <w:t>, ff. 1, 6.</w:t>
      </w:r>
    </w:p>
    <w:p w:rsidR="00E27756" w:rsidRDefault="00E27756" w:rsidP="00E27756">
      <w:pPr>
        <w:pStyle w:val="SangriaFrancesaArticulo"/>
      </w:pPr>
      <w:r w:rsidRPr="00E27756">
        <w:rPr>
          <w:rStyle w:val="TextoNormalNegritaCaracter"/>
        </w:rPr>
        <w:t>Artículo 13.5.</w:t>
      </w:r>
      <w:r w:rsidRPr="00E27756">
        <w:rPr>
          <w:rStyle w:val="TextoNormalCaracter"/>
        </w:rPr>
        <w:t>-</w:t>
      </w:r>
      <w:r>
        <w:t xml:space="preserve"> Sentencias </w:t>
      </w:r>
      <w:hyperlink w:anchor="SENTENCIA_2013_130" w:history="1">
        <w:r w:rsidRPr="00E27756">
          <w:rPr>
            <w:rStyle w:val="TextoNormalCaracter"/>
          </w:rPr>
          <w:t>130/2013</w:t>
        </w:r>
      </w:hyperlink>
      <w:r>
        <w:t xml:space="preserve">, ff. 1, 2, 9; </w:t>
      </w:r>
      <w:hyperlink w:anchor="SENTENCIA_2013_135" w:history="1">
        <w:r w:rsidRPr="00E27756">
          <w:rPr>
            <w:rStyle w:val="TextoNormalCaracter"/>
          </w:rPr>
          <w:t>135/2013</w:t>
        </w:r>
      </w:hyperlink>
      <w:r>
        <w:t>, ff. 1, 6.</w:t>
      </w:r>
    </w:p>
    <w:p w:rsidR="00E27756" w:rsidRDefault="00E27756" w:rsidP="00E27756">
      <w:pPr>
        <w:pStyle w:val="SangriaFrancesaArticulo"/>
      </w:pPr>
      <w:r w:rsidRPr="00E27756">
        <w:rPr>
          <w:rStyle w:val="TextoNormalNegritaCaracter"/>
        </w:rPr>
        <w:t>Artículo 13.7.</w:t>
      </w:r>
      <w:r w:rsidRPr="00E27756">
        <w:rPr>
          <w:rStyle w:val="TextoNormalCaracter"/>
        </w:rPr>
        <w:t>-</w:t>
      </w:r>
      <w:r>
        <w:t xml:space="preserve"> Sentencia </w:t>
      </w:r>
      <w:hyperlink w:anchor="SENTENCIA_2013_130" w:history="1">
        <w:r w:rsidRPr="00E27756">
          <w:rPr>
            <w:rStyle w:val="TextoNormalCaracter"/>
          </w:rPr>
          <w:t>130/2013</w:t>
        </w:r>
      </w:hyperlink>
      <w:r>
        <w:t>, ff. 1 a 3, 9.</w:t>
      </w:r>
    </w:p>
    <w:p w:rsidR="00E27756" w:rsidRDefault="00E27756" w:rsidP="00E27756">
      <w:pPr>
        <w:pStyle w:val="SangriaFrancesaArticulo"/>
      </w:pPr>
      <w:r w:rsidRPr="00E27756">
        <w:rPr>
          <w:rStyle w:val="TextoNormalNegritaCaracter"/>
        </w:rPr>
        <w:t>Artículo 14.1 e).</w:t>
      </w:r>
      <w:r w:rsidRPr="00E27756">
        <w:rPr>
          <w:rStyle w:val="TextoNormalCaracter"/>
        </w:rPr>
        <w:t>-</w:t>
      </w:r>
      <w:r>
        <w:t xml:space="preserve"> Sentencia </w:t>
      </w:r>
      <w:hyperlink w:anchor="SENTENCIA_2013_130" w:history="1">
        <w:r w:rsidRPr="00E27756">
          <w:rPr>
            <w:rStyle w:val="TextoNormalCaracter"/>
          </w:rPr>
          <w:t>130/2013</w:t>
        </w:r>
      </w:hyperlink>
      <w:r>
        <w:t>, ff. 1, 2, 9, 11.</w:t>
      </w:r>
    </w:p>
    <w:p w:rsidR="00E27756" w:rsidRDefault="00E27756" w:rsidP="00E27756">
      <w:pPr>
        <w:pStyle w:val="SangriaFrancesaArticulo"/>
      </w:pPr>
      <w:r w:rsidRPr="00E27756">
        <w:rPr>
          <w:rStyle w:val="TextoNormalNegritaCaracter"/>
        </w:rPr>
        <w:t>Artículo 14.1 h).</w:t>
      </w:r>
      <w:r w:rsidRPr="00E27756">
        <w:rPr>
          <w:rStyle w:val="TextoNormalCaracter"/>
        </w:rPr>
        <w:t>-</w:t>
      </w:r>
      <w:r>
        <w:t xml:space="preserve"> Sentencia </w:t>
      </w:r>
      <w:hyperlink w:anchor="SENTENCIA_2013_130" w:history="1">
        <w:r w:rsidRPr="00E27756">
          <w:rPr>
            <w:rStyle w:val="TextoNormalCaracter"/>
          </w:rPr>
          <w:t>130/2013</w:t>
        </w:r>
      </w:hyperlink>
      <w:r>
        <w:t>, ff. 1, 2, 9, 11.</w:t>
      </w:r>
    </w:p>
    <w:p w:rsidR="00E27756" w:rsidRDefault="00E27756" w:rsidP="00E27756">
      <w:pPr>
        <w:pStyle w:val="SangriaFrancesaArticulo"/>
      </w:pPr>
      <w:r w:rsidRPr="00E27756">
        <w:rPr>
          <w:rStyle w:val="TextoNormalNegritaCaracter"/>
        </w:rPr>
        <w:t>Artículo 15.</w:t>
      </w:r>
      <w:r w:rsidRPr="00E27756">
        <w:rPr>
          <w:rStyle w:val="TextoNormalCaracter"/>
        </w:rPr>
        <w:t>-</w:t>
      </w:r>
      <w:r>
        <w:t xml:space="preserve"> Sentencia </w:t>
      </w:r>
      <w:hyperlink w:anchor="SENTENCIA_2013_130" w:history="1">
        <w:r w:rsidRPr="00E27756">
          <w:rPr>
            <w:rStyle w:val="TextoNormalCaracter"/>
          </w:rPr>
          <w:t>130/2013</w:t>
        </w:r>
      </w:hyperlink>
      <w:r>
        <w:t>, ff. 9, 13.</w:t>
      </w:r>
    </w:p>
    <w:p w:rsidR="00E27756" w:rsidRDefault="00E27756" w:rsidP="00E27756">
      <w:pPr>
        <w:pStyle w:val="SangriaFrancesaArticulo"/>
      </w:pPr>
      <w:r w:rsidRPr="00E27756">
        <w:rPr>
          <w:rStyle w:val="TextoNormalNegritaCaracter"/>
        </w:rPr>
        <w:t>Artículo 15.1.</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15.1 a).</w:t>
      </w:r>
      <w:r w:rsidRPr="00E27756">
        <w:rPr>
          <w:rStyle w:val="TextoNormalCaracter"/>
        </w:rPr>
        <w:t>-</w:t>
      </w:r>
      <w:r>
        <w:t xml:space="preserve"> Sentencia </w:t>
      </w:r>
      <w:hyperlink w:anchor="SENTENCIA_2013_130" w:history="1">
        <w:r w:rsidRPr="00E27756">
          <w:rPr>
            <w:rStyle w:val="TextoNormalCaracter"/>
          </w:rPr>
          <w:t>130/2013</w:t>
        </w:r>
      </w:hyperlink>
      <w:r>
        <w:t>, ff. 1, 2, 9.</w:t>
      </w:r>
    </w:p>
    <w:p w:rsidR="00E27756" w:rsidRDefault="00E27756" w:rsidP="00E27756">
      <w:pPr>
        <w:pStyle w:val="SangriaFrancesaArticulo"/>
      </w:pPr>
      <w:r w:rsidRPr="00E27756">
        <w:rPr>
          <w:rStyle w:val="TextoNormalNegritaCaracter"/>
        </w:rPr>
        <w:t>Artículo 15.1 b).</w:t>
      </w:r>
      <w:r w:rsidRPr="00E27756">
        <w:rPr>
          <w:rStyle w:val="TextoNormalCaracter"/>
        </w:rPr>
        <w:t>-</w:t>
      </w:r>
      <w:r>
        <w:t xml:space="preserve"> Sentencia </w:t>
      </w:r>
      <w:hyperlink w:anchor="SENTENCIA_2013_130" w:history="1">
        <w:r w:rsidRPr="00E27756">
          <w:rPr>
            <w:rStyle w:val="TextoNormalCaracter"/>
          </w:rPr>
          <w:t>130/2013</w:t>
        </w:r>
      </w:hyperlink>
      <w:r>
        <w:t>, ff. 1, 2, 9.</w:t>
      </w:r>
    </w:p>
    <w:p w:rsidR="00E27756" w:rsidRDefault="00E27756" w:rsidP="00E27756">
      <w:pPr>
        <w:pStyle w:val="SangriaFrancesaArticulo"/>
      </w:pPr>
      <w:r w:rsidRPr="00E27756">
        <w:rPr>
          <w:rStyle w:val="TextoNormalNegritaCaracter"/>
        </w:rPr>
        <w:t>Artículo 15.1 c).</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15.1 d).</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16.</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16.1.</w:t>
      </w:r>
      <w:r w:rsidRPr="00E27756">
        <w:rPr>
          <w:rStyle w:val="TextoNormalCaracter"/>
        </w:rPr>
        <w:t>-</w:t>
      </w:r>
      <w:r>
        <w:t xml:space="preserve"> Sentencia </w:t>
      </w:r>
      <w:hyperlink w:anchor="SENTENCIA_2013_130" w:history="1">
        <w:r w:rsidRPr="00E27756">
          <w:rPr>
            <w:rStyle w:val="TextoNormalCaracter"/>
          </w:rPr>
          <w:t>130/2013</w:t>
        </w:r>
      </w:hyperlink>
      <w:r>
        <w:t>, ff. 1 a 3, 9.</w:t>
      </w:r>
    </w:p>
    <w:p w:rsidR="00E27756" w:rsidRDefault="00E27756" w:rsidP="00E27756">
      <w:pPr>
        <w:pStyle w:val="SangriaFrancesaArticulo"/>
      </w:pPr>
      <w:r w:rsidRPr="00E27756">
        <w:rPr>
          <w:rStyle w:val="TextoNormalNegritaCaracter"/>
        </w:rPr>
        <w:t>Artículo 16.3.</w:t>
      </w:r>
      <w:r w:rsidRPr="00E27756">
        <w:rPr>
          <w:rStyle w:val="TextoNormalCaracter"/>
        </w:rPr>
        <w:t>-</w:t>
      </w:r>
      <w:r>
        <w:t xml:space="preserve"> Sentencia </w:t>
      </w:r>
      <w:hyperlink w:anchor="SENTENCIA_2013_130" w:history="1">
        <w:r w:rsidRPr="00E27756">
          <w:rPr>
            <w:rStyle w:val="TextoNormalCaracter"/>
          </w:rPr>
          <w:t>130/2013</w:t>
        </w:r>
      </w:hyperlink>
      <w:r>
        <w:t>, ff. 2, 9.</w:t>
      </w:r>
    </w:p>
    <w:p w:rsidR="00E27756" w:rsidRDefault="00E27756" w:rsidP="00E27756">
      <w:pPr>
        <w:pStyle w:val="SangriaFrancesaArticulo"/>
      </w:pPr>
      <w:r w:rsidRPr="00E27756">
        <w:rPr>
          <w:rStyle w:val="TextoNormalNegritaCaracter"/>
        </w:rPr>
        <w:t>Artículo 16.3 párrafos a) a c) y m).</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t>Artículo 16.4.</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16.5.</w:t>
      </w:r>
      <w:r w:rsidRPr="00E27756">
        <w:rPr>
          <w:rStyle w:val="TextoNormalCaracter"/>
        </w:rPr>
        <w:t>-</w:t>
      </w:r>
      <w:r>
        <w:t xml:space="preserve"> Sentencia </w:t>
      </w:r>
      <w:hyperlink w:anchor="SENTENCIA_2013_130" w:history="1">
        <w:r w:rsidRPr="00E27756">
          <w:rPr>
            <w:rStyle w:val="TextoNormalCaracter"/>
          </w:rPr>
          <w:t>130/2013</w:t>
        </w:r>
      </w:hyperlink>
      <w:r>
        <w:t>, ff. 1, 2, 9.</w:t>
      </w:r>
    </w:p>
    <w:p w:rsidR="00E27756" w:rsidRDefault="00E27756" w:rsidP="00E27756">
      <w:pPr>
        <w:pStyle w:val="SangriaFrancesaArticulo"/>
      </w:pPr>
      <w:r w:rsidRPr="00E27756">
        <w:rPr>
          <w:rStyle w:val="TextoNormalNegritaCaracter"/>
        </w:rPr>
        <w:t>Artículo 16.5</w:t>
      </w:r>
      <w:r>
        <w:t xml:space="preserve"> </w:t>
      </w:r>
      <w:r w:rsidRPr="00E27756">
        <w:rPr>
          <w:rStyle w:val="TextoNormalCaracter"/>
        </w:rPr>
        <w:t>(redactado por la Ley 2/2008, de 23 de diciembre)</w:t>
      </w:r>
      <w:r w:rsidRPr="00E27756">
        <w:rPr>
          <w:rStyle w:val="TextoNormalNegritaCaracter"/>
        </w:rPr>
        <w:t>.</w:t>
      </w:r>
      <w:r w:rsidRPr="00E27756">
        <w:rPr>
          <w:rStyle w:val="TextoNormalCaracter"/>
        </w:rPr>
        <w:t>-</w:t>
      </w:r>
      <w:r>
        <w:t xml:space="preserve"> Sentencia </w:t>
      </w:r>
      <w:hyperlink w:anchor="SENTENCIA_2013_130" w:history="1">
        <w:r w:rsidRPr="00E27756">
          <w:rPr>
            <w:rStyle w:val="TextoNormalCaracter"/>
          </w:rPr>
          <w:t>130/2013</w:t>
        </w:r>
      </w:hyperlink>
      <w:r>
        <w:t>, ff. 2, 9.</w:t>
      </w:r>
    </w:p>
    <w:p w:rsidR="00E27756" w:rsidRDefault="00E27756" w:rsidP="00E27756">
      <w:pPr>
        <w:pStyle w:val="SangriaFrancesaArticulo"/>
      </w:pPr>
      <w:r w:rsidRPr="00E27756">
        <w:rPr>
          <w:rStyle w:val="TextoNormalNegritaCaracter"/>
        </w:rPr>
        <w:t>Artículo 16.5.1.</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16.5.2</w:t>
      </w:r>
      <w:r>
        <w:t xml:space="preserve"> </w:t>
      </w:r>
      <w:r w:rsidRPr="00E27756">
        <w:rPr>
          <w:rStyle w:val="TextoNormalCaracter"/>
        </w:rPr>
        <w:t>(redactado por la Ley 2/2008, de 23 de diciembre)</w:t>
      </w:r>
      <w:r w:rsidRPr="00E27756">
        <w:rPr>
          <w:rStyle w:val="TextoNormalNegritaCaracter"/>
        </w:rPr>
        <w:t>.</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16.6</w:t>
      </w:r>
      <w:r>
        <w:t xml:space="preserve"> </w:t>
      </w:r>
      <w:r w:rsidRPr="00E27756">
        <w:rPr>
          <w:rStyle w:val="TextoNormalCaracter"/>
        </w:rPr>
        <w:t>(redactado por la Ley 2/2008, de 23 de diciembre)</w:t>
      </w:r>
      <w:r w:rsidRPr="00E27756">
        <w:rPr>
          <w:rStyle w:val="TextoNormalNegritaCaracter"/>
        </w:rPr>
        <w:t>.</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r w:rsidRPr="00E27756">
        <w:rPr>
          <w:rStyle w:val="TextoNormalNegritaCaracter"/>
        </w:rPr>
        <w:t>Artículo 17.3 párrafos a), b), d), e) y g).</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t>Artículo 18.3.</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18.4.</w:t>
      </w:r>
      <w:r w:rsidRPr="00E27756">
        <w:rPr>
          <w:rStyle w:val="TextoNormalCaracter"/>
        </w:rPr>
        <w:t>-</w:t>
      </w:r>
      <w:r>
        <w:t xml:space="preserve"> Sentencia </w:t>
      </w:r>
      <w:hyperlink w:anchor="SENTENCIA_2013_130" w:history="1">
        <w:r w:rsidRPr="00E27756">
          <w:rPr>
            <w:rStyle w:val="TextoNormalCaracter"/>
          </w:rPr>
          <w:t>130/2013</w:t>
        </w:r>
      </w:hyperlink>
      <w:r>
        <w:t>, ff. 1 a 3, 9 a 11.</w:t>
      </w:r>
    </w:p>
    <w:p w:rsidR="00E27756" w:rsidRDefault="00E27756" w:rsidP="00E27756">
      <w:pPr>
        <w:pStyle w:val="SangriaFrancesaArticulo"/>
      </w:pPr>
      <w:r w:rsidRPr="00E27756">
        <w:rPr>
          <w:rStyle w:val="TextoNormalNegritaCaracter"/>
        </w:rPr>
        <w:t>Artículos 18 a 20.</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t>Artículo 19.1.</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19.5.</w:t>
      </w:r>
      <w:r w:rsidRPr="00E27756">
        <w:rPr>
          <w:rStyle w:val="TextoNormalCaracter"/>
        </w:rPr>
        <w:t>-</w:t>
      </w:r>
      <w:r>
        <w:t xml:space="preserve"> Sentencia </w:t>
      </w:r>
      <w:hyperlink w:anchor="SENTENCIA_2013_130" w:history="1">
        <w:r w:rsidRPr="00E27756">
          <w:rPr>
            <w:rStyle w:val="TextoNormalCaracter"/>
          </w:rPr>
          <w:t>130/2013</w:t>
        </w:r>
      </w:hyperlink>
      <w:r>
        <w:t>, ff. 1 a 3, 9.</w:t>
      </w:r>
    </w:p>
    <w:p w:rsidR="00E27756" w:rsidRDefault="00E27756" w:rsidP="00E27756">
      <w:pPr>
        <w:pStyle w:val="SangriaFrancesaArticulo"/>
      </w:pPr>
      <w:r w:rsidRPr="00E27756">
        <w:rPr>
          <w:rStyle w:val="TextoNormalNegritaCaracter"/>
        </w:rPr>
        <w:t>Artículo 20.3.</w:t>
      </w:r>
      <w:r w:rsidRPr="00E27756">
        <w:rPr>
          <w:rStyle w:val="TextoNormalCaracter"/>
        </w:rPr>
        <w:t>-</w:t>
      </w:r>
      <w:r>
        <w:t xml:space="preserve"> Sentencia </w:t>
      </w:r>
      <w:hyperlink w:anchor="SENTENCIA_2013_17" w:history="1">
        <w:r w:rsidRPr="00E27756">
          <w:rPr>
            <w:rStyle w:val="TextoNormalCaracter"/>
          </w:rPr>
          <w:t>17/2013</w:t>
        </w:r>
      </w:hyperlink>
      <w:r>
        <w:t>, f. 8.</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lastRenderedPageBreak/>
        <w:t>Artículo 22.1.</w:t>
      </w:r>
      <w:r w:rsidRPr="00E27756">
        <w:rPr>
          <w:rStyle w:val="TextoNormalCaracter"/>
        </w:rPr>
        <w:t>-</w:t>
      </w:r>
      <w:r>
        <w:t xml:space="preserve"> Sentencia </w:t>
      </w:r>
      <w:hyperlink w:anchor="SENTENCIA_2013_130" w:history="1">
        <w:r w:rsidRPr="00E27756">
          <w:rPr>
            <w:rStyle w:val="TextoNormalCaracter"/>
          </w:rPr>
          <w:t>130/2013</w:t>
        </w:r>
      </w:hyperlink>
      <w:r>
        <w:t>, ff. 1, 2, 9, 10.</w:t>
      </w:r>
    </w:p>
    <w:p w:rsidR="00E27756" w:rsidRDefault="00E27756" w:rsidP="00E27756">
      <w:pPr>
        <w:pStyle w:val="SangriaFrancesaArticulo"/>
      </w:pPr>
      <w:r w:rsidRPr="00E27756">
        <w:rPr>
          <w:rStyle w:val="TextoNormalNegritaCaracter"/>
        </w:rPr>
        <w:t>Artículo 22.1.1.</w:t>
      </w:r>
      <w:r w:rsidRPr="00E27756">
        <w:rPr>
          <w:rStyle w:val="TextoNormalCaracter"/>
        </w:rPr>
        <w:t>-</w:t>
      </w:r>
      <w:r>
        <w:t xml:space="preserve"> Sentencia </w:t>
      </w:r>
      <w:hyperlink w:anchor="SENTENCIA_2013_130" w:history="1">
        <w:r w:rsidRPr="00E27756">
          <w:rPr>
            <w:rStyle w:val="TextoNormalCaracter"/>
          </w:rPr>
          <w:t>130/2013</w:t>
        </w:r>
      </w:hyperlink>
      <w:r>
        <w:t>, f. 10.</w:t>
      </w:r>
    </w:p>
    <w:p w:rsidR="00E27756" w:rsidRDefault="00E27756" w:rsidP="00E27756">
      <w:pPr>
        <w:pStyle w:val="SangriaFrancesaArticulo"/>
      </w:pPr>
      <w:r w:rsidRPr="00E27756">
        <w:rPr>
          <w:rStyle w:val="TextoNormalNegritaCaracter"/>
        </w:rPr>
        <w:t>Artículo 22.1.2.</w:t>
      </w:r>
      <w:r w:rsidRPr="00E27756">
        <w:rPr>
          <w:rStyle w:val="TextoNormalCaracter"/>
        </w:rPr>
        <w:t>-</w:t>
      </w:r>
      <w:r>
        <w:t xml:space="preserve"> Sentencia </w:t>
      </w:r>
      <w:hyperlink w:anchor="SENTENCIA_2013_130" w:history="1">
        <w:r w:rsidRPr="00E27756">
          <w:rPr>
            <w:rStyle w:val="TextoNormalCaracter"/>
          </w:rPr>
          <w:t>130/2013</w:t>
        </w:r>
      </w:hyperlink>
      <w:r>
        <w:t>, f. 10.</w:t>
      </w:r>
    </w:p>
    <w:p w:rsidR="00E27756" w:rsidRDefault="00E27756" w:rsidP="00E27756">
      <w:pPr>
        <w:pStyle w:val="SangriaFrancesaArticulo"/>
      </w:pPr>
      <w:r w:rsidRPr="00E27756">
        <w:rPr>
          <w:rStyle w:val="TextoNormalNegritaCaracter"/>
        </w:rPr>
        <w:t>Artículo 22.1.3.</w:t>
      </w:r>
      <w:r w:rsidRPr="00E27756">
        <w:rPr>
          <w:rStyle w:val="TextoNormalCaracter"/>
        </w:rPr>
        <w:t>-</w:t>
      </w:r>
      <w:r>
        <w:t xml:space="preserve"> Sentencia </w:t>
      </w:r>
      <w:hyperlink w:anchor="SENTENCIA_2013_130" w:history="1">
        <w:r w:rsidRPr="00E27756">
          <w:rPr>
            <w:rStyle w:val="TextoNormalCaracter"/>
          </w:rPr>
          <w:t>130/2013</w:t>
        </w:r>
      </w:hyperlink>
      <w:r>
        <w:t>, f. 10.</w:t>
      </w:r>
    </w:p>
    <w:p w:rsidR="00E27756" w:rsidRDefault="00E27756" w:rsidP="00E27756">
      <w:pPr>
        <w:pStyle w:val="SangriaFrancesaArticulo"/>
      </w:pPr>
      <w:r w:rsidRPr="00E27756">
        <w:rPr>
          <w:rStyle w:val="TextoNormalNegritaCaracter"/>
        </w:rPr>
        <w:t>Artículo 22.2.</w:t>
      </w:r>
      <w:r w:rsidRPr="00E27756">
        <w:rPr>
          <w:rStyle w:val="TextoNormalCaracter"/>
        </w:rPr>
        <w:t>-</w:t>
      </w:r>
      <w:r>
        <w:t xml:space="preserve"> Sentencia </w:t>
      </w:r>
      <w:hyperlink w:anchor="SENTENCIA_2013_130" w:history="1">
        <w:r w:rsidRPr="00E27756">
          <w:rPr>
            <w:rStyle w:val="TextoNormalCaracter"/>
          </w:rPr>
          <w:t>130/2013</w:t>
        </w:r>
      </w:hyperlink>
      <w:r>
        <w:t>, f. 10.</w:t>
      </w:r>
    </w:p>
    <w:p w:rsidR="00E27756" w:rsidRDefault="00E27756" w:rsidP="00E27756">
      <w:pPr>
        <w:pStyle w:val="SangriaFrancesaArticulo"/>
      </w:pPr>
      <w:r w:rsidRPr="00E27756">
        <w:rPr>
          <w:rStyle w:val="TextoNormalNegritaCaracter"/>
        </w:rPr>
        <w:t>Artículo 29.1.</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29.2.</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29.3.</w:t>
      </w:r>
      <w:r w:rsidRPr="00E27756">
        <w:rPr>
          <w:rStyle w:val="TextoNormalCaracter"/>
        </w:rPr>
        <w:t>-</w:t>
      </w:r>
      <w:r>
        <w:t xml:space="preserve"> Sentencias </w:t>
      </w:r>
      <w:hyperlink w:anchor="SENTENCIA_2013_130" w:history="1">
        <w:r w:rsidRPr="00E27756">
          <w:rPr>
            <w:rStyle w:val="TextoNormalCaracter"/>
          </w:rPr>
          <w:t>130/2013</w:t>
        </w:r>
      </w:hyperlink>
      <w:r>
        <w:t xml:space="preserve">, ff. 1, 2, 10; </w:t>
      </w:r>
      <w:hyperlink w:anchor="SENTENCIA_2013_135" w:history="1">
        <w:r w:rsidRPr="00E27756">
          <w:rPr>
            <w:rStyle w:val="TextoNormalCaracter"/>
          </w:rPr>
          <w:t>135/2013</w:t>
        </w:r>
      </w:hyperlink>
      <w:r>
        <w:t>, f. 1.</w:t>
      </w:r>
    </w:p>
    <w:p w:rsidR="00E27756" w:rsidRDefault="00E27756" w:rsidP="00E27756">
      <w:pPr>
        <w:pStyle w:val="SangriaFrancesaArticulo"/>
      </w:pPr>
      <w:r w:rsidRPr="00E27756">
        <w:rPr>
          <w:rStyle w:val="TextoNormalNegritaCaracter"/>
        </w:rPr>
        <w:t>Artículo 29.3 a).</w:t>
      </w:r>
      <w:r w:rsidRPr="00E27756">
        <w:rPr>
          <w:rStyle w:val="TextoNormalCaracter"/>
        </w:rPr>
        <w:t>-</w:t>
      </w:r>
      <w:r>
        <w:t xml:space="preserve"> Sentencias </w:t>
      </w:r>
      <w:hyperlink w:anchor="SENTENCIA_2013_130" w:history="1">
        <w:r w:rsidRPr="00E27756">
          <w:rPr>
            <w:rStyle w:val="TextoNormalCaracter"/>
          </w:rPr>
          <w:t>130/2013</w:t>
        </w:r>
      </w:hyperlink>
      <w:r>
        <w:t xml:space="preserve">, f. 10;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29.3 b).</w:t>
      </w:r>
      <w:r w:rsidRPr="00E27756">
        <w:rPr>
          <w:rStyle w:val="TextoNormalCaracter"/>
        </w:rPr>
        <w:t>-</w:t>
      </w:r>
      <w:r>
        <w:t xml:space="preserve"> Sentencias </w:t>
      </w:r>
      <w:hyperlink w:anchor="SENTENCIA_2013_130" w:history="1">
        <w:r w:rsidRPr="00E27756">
          <w:rPr>
            <w:rStyle w:val="TextoNormalCaracter"/>
          </w:rPr>
          <w:t>130/2013</w:t>
        </w:r>
      </w:hyperlink>
      <w:r>
        <w:t xml:space="preserve">, f. 10;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29.7 a).</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29.7 b).</w:t>
      </w:r>
      <w:r w:rsidRPr="00E27756">
        <w:rPr>
          <w:rStyle w:val="TextoNormalCaracter"/>
        </w:rPr>
        <w:t>-</w:t>
      </w:r>
      <w:r>
        <w:t xml:space="preserve"> Sentencia </w:t>
      </w:r>
      <w:hyperlink w:anchor="SENTENCIA_2013_130" w:history="1">
        <w:r w:rsidRPr="00E27756">
          <w:rPr>
            <w:rStyle w:val="TextoNormalCaracter"/>
          </w:rPr>
          <w:t>130/2013</w:t>
        </w:r>
      </w:hyperlink>
      <w:r>
        <w:t>, ff. 1, 2, 10.</w:t>
      </w:r>
    </w:p>
    <w:p w:rsidR="00E27756" w:rsidRDefault="00E27756" w:rsidP="00E27756">
      <w:pPr>
        <w:pStyle w:val="SangriaFrancesaArticulo"/>
      </w:pPr>
      <w:r w:rsidRPr="00E27756">
        <w:rPr>
          <w:rStyle w:val="TextoNormalNegritaCaracter"/>
        </w:rPr>
        <w:t>Artículo 29.7 c).</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29.7 d).</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29.7 e).</w:t>
      </w:r>
      <w:r w:rsidRPr="00E27756">
        <w:rPr>
          <w:rStyle w:val="TextoNormalCaracter"/>
        </w:rPr>
        <w:t>-</w:t>
      </w:r>
      <w:r>
        <w:t xml:space="preserve"> Sentencia </w:t>
      </w:r>
      <w:hyperlink w:anchor="SENTENCIA_2013_130" w:history="1">
        <w:r w:rsidRPr="00E27756">
          <w:rPr>
            <w:rStyle w:val="TextoNormalCaracter"/>
          </w:rPr>
          <w:t>130/2013</w:t>
        </w:r>
      </w:hyperlink>
      <w:r>
        <w:t>, ff. 1, 2, 10.</w:t>
      </w:r>
    </w:p>
    <w:p w:rsidR="00E27756" w:rsidRDefault="00E27756" w:rsidP="00E27756">
      <w:pPr>
        <w:pStyle w:val="SangriaFrancesaArticulo"/>
      </w:pPr>
      <w:r w:rsidRPr="00E27756">
        <w:rPr>
          <w:rStyle w:val="TextoNormalNegritaCaracter"/>
        </w:rPr>
        <w:t>Artículos 29 a 31.</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t>Artículo 30.3.</w:t>
      </w:r>
      <w:r w:rsidRPr="00E27756">
        <w:rPr>
          <w:rStyle w:val="TextoNormalCaracter"/>
        </w:rPr>
        <w:t>-</w:t>
      </w:r>
      <w:r>
        <w:t xml:space="preserve"> Sentencias </w:t>
      </w:r>
      <w:hyperlink w:anchor="SENTENCIA_2013_130" w:history="1">
        <w:r w:rsidRPr="00E27756">
          <w:rPr>
            <w:rStyle w:val="TextoNormalCaracter"/>
          </w:rPr>
          <w:t>130/2013</w:t>
        </w:r>
      </w:hyperlink>
      <w:r>
        <w:t xml:space="preserve">, f. 10; </w:t>
      </w:r>
      <w:hyperlink w:anchor="SENTENCIA_2013_135" w:history="1">
        <w:r w:rsidRPr="00E27756">
          <w:rPr>
            <w:rStyle w:val="TextoNormalCaracter"/>
          </w:rPr>
          <w:t>135/2013</w:t>
        </w:r>
      </w:hyperlink>
      <w:r>
        <w:t>, ff. 1, 4.</w:t>
      </w:r>
    </w:p>
    <w:p w:rsidR="00E27756" w:rsidRDefault="00E27756" w:rsidP="00E27756">
      <w:pPr>
        <w:pStyle w:val="SangriaFrancesaArticulo"/>
      </w:pPr>
      <w:r w:rsidRPr="00E27756">
        <w:rPr>
          <w:rStyle w:val="TextoNormalNegritaCaracter"/>
        </w:rPr>
        <w:t>Artículo 30.5.</w:t>
      </w:r>
      <w:r w:rsidRPr="00E27756">
        <w:rPr>
          <w:rStyle w:val="TextoNormalCaracter"/>
        </w:rPr>
        <w:t>-</w:t>
      </w:r>
      <w:r>
        <w:t xml:space="preserve"> Sentencias </w:t>
      </w:r>
      <w:hyperlink w:anchor="SENTENCIA_2013_130" w:history="1">
        <w:r w:rsidRPr="00E27756">
          <w:rPr>
            <w:rStyle w:val="TextoNormalCaracter"/>
          </w:rPr>
          <w:t>130/2013</w:t>
        </w:r>
      </w:hyperlink>
      <w:r>
        <w:t xml:space="preserve">, ff. 1 a 3, 10; </w:t>
      </w:r>
      <w:hyperlink w:anchor="SENTENCIA_2013_135" w:history="1">
        <w:r w:rsidRPr="00E27756">
          <w:rPr>
            <w:rStyle w:val="TextoNormalCaracter"/>
          </w:rPr>
          <w:t>135/2013</w:t>
        </w:r>
      </w:hyperlink>
      <w:r>
        <w:t>, ff. 1, 4.</w:t>
      </w:r>
    </w:p>
    <w:p w:rsidR="00E27756" w:rsidRDefault="00E27756" w:rsidP="00E27756">
      <w:pPr>
        <w:pStyle w:val="SangriaFrancesaArticulo"/>
      </w:pPr>
      <w:r w:rsidRPr="00E27756">
        <w:rPr>
          <w:rStyle w:val="TextoNormalNegritaCaracter"/>
        </w:rPr>
        <w:t>Artículo 31 apartados 2 a 8.</w:t>
      </w:r>
      <w:r w:rsidRPr="00E27756">
        <w:rPr>
          <w:rStyle w:val="TextoNormalCaracter"/>
        </w:rPr>
        <w:t>-</w:t>
      </w:r>
      <w:r>
        <w:t xml:space="preserve"> Sentencia </w:t>
      </w:r>
      <w:hyperlink w:anchor="SENTENCIA_2013_130" w:history="1">
        <w:r w:rsidRPr="00E27756">
          <w:rPr>
            <w:rStyle w:val="TextoNormalCaracter"/>
          </w:rPr>
          <w:t>130/2013</w:t>
        </w:r>
      </w:hyperlink>
      <w:r>
        <w:t>, ff. 1, 2, 10.</w:t>
      </w:r>
    </w:p>
    <w:p w:rsidR="00E27756" w:rsidRDefault="00E27756" w:rsidP="00E27756">
      <w:pPr>
        <w:pStyle w:val="SangriaFrancesaArticulo"/>
      </w:pPr>
      <w:r w:rsidRPr="00E27756">
        <w:rPr>
          <w:rStyle w:val="TextoNormalNegritaCaracter"/>
        </w:rPr>
        <w:t>Artículo 31 apartados 3 a 9.</w:t>
      </w:r>
      <w:r w:rsidRPr="00E27756">
        <w:rPr>
          <w:rStyle w:val="TextoNormalCaracter"/>
        </w:rPr>
        <w:t>-</w:t>
      </w:r>
      <w:r>
        <w:t xml:space="preserve"> Sentencia </w:t>
      </w:r>
      <w:hyperlink w:anchor="SENTENCIA_2013_135" w:history="1">
        <w:r w:rsidRPr="00E27756">
          <w:rPr>
            <w:rStyle w:val="TextoNormalCaracter"/>
          </w:rPr>
          <w:t>135/2013</w:t>
        </w:r>
      </w:hyperlink>
      <w:r>
        <w:t>, ff. 1, 4.</w:t>
      </w:r>
    </w:p>
    <w:p w:rsidR="00E27756" w:rsidRDefault="00E27756" w:rsidP="00E27756">
      <w:pPr>
        <w:pStyle w:val="SangriaFrancesaArticulo"/>
      </w:pPr>
      <w:r w:rsidRPr="00E27756">
        <w:rPr>
          <w:rStyle w:val="TextoNormalNegritaCaracter"/>
        </w:rPr>
        <w:t>Artículo 31.1.</w:t>
      </w:r>
      <w:r w:rsidRPr="00E27756">
        <w:rPr>
          <w:rStyle w:val="TextoNormalCaracter"/>
        </w:rPr>
        <w:t>-</w:t>
      </w:r>
      <w:r>
        <w:t xml:space="preserve"> Sentencias </w:t>
      </w:r>
      <w:hyperlink w:anchor="SENTENCIA_2013_130" w:history="1">
        <w:r w:rsidRPr="00E27756">
          <w:rPr>
            <w:rStyle w:val="TextoNormalCaracter"/>
          </w:rPr>
          <w:t>130/2013</w:t>
        </w:r>
      </w:hyperlink>
      <w:r>
        <w:t xml:space="preserve">, f. 10;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31.2.</w:t>
      </w:r>
      <w:r w:rsidRPr="00E27756">
        <w:rPr>
          <w:rStyle w:val="TextoNormalCaracter"/>
        </w:rPr>
        <w:t>-</w:t>
      </w:r>
      <w:r>
        <w:t xml:space="preserve"> Sentencia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31.3.</w:t>
      </w:r>
      <w:r w:rsidRPr="00E27756">
        <w:rPr>
          <w:rStyle w:val="TextoNormalCaracter"/>
        </w:rPr>
        <w:t>-</w:t>
      </w:r>
      <w:r>
        <w:t xml:space="preserve"> Sentencia </w:t>
      </w:r>
      <w:hyperlink w:anchor="SENTENCIA_2013_135" w:history="1">
        <w:r w:rsidRPr="00E27756">
          <w:rPr>
            <w:rStyle w:val="TextoNormalCaracter"/>
          </w:rPr>
          <w:t>135/2013</w:t>
        </w:r>
      </w:hyperlink>
      <w:r>
        <w:t>, ff. 2, 4.</w:t>
      </w:r>
    </w:p>
    <w:p w:rsidR="00E27756" w:rsidRDefault="00E27756" w:rsidP="00E27756">
      <w:pPr>
        <w:pStyle w:val="SangriaFrancesaArticulo"/>
      </w:pPr>
      <w:r w:rsidRPr="00E27756">
        <w:rPr>
          <w:rStyle w:val="TextoNormalNegritaCaracter"/>
        </w:rPr>
        <w:t>Artículo 31.3</w:t>
      </w:r>
      <w:r>
        <w:t xml:space="preserve"> </w:t>
      </w:r>
      <w:r w:rsidRPr="00E27756">
        <w:rPr>
          <w:rStyle w:val="TextoNormalCaracter"/>
        </w:rPr>
        <w:t>(redactado por la ley 14/2011, de 1 de junio)</w:t>
      </w:r>
      <w:r w:rsidRPr="00E27756">
        <w:rPr>
          <w:rStyle w:val="TextoNormalNegritaCaracter"/>
        </w:rPr>
        <w:t>.</w:t>
      </w:r>
      <w:r w:rsidRPr="00E27756">
        <w:rPr>
          <w:rStyle w:val="TextoNormalCaracter"/>
        </w:rPr>
        <w:t>-</w:t>
      </w:r>
      <w:r>
        <w:t xml:space="preserve"> Sentencias </w:t>
      </w:r>
      <w:hyperlink w:anchor="SENTENCIA_2013_130" w:history="1">
        <w:r w:rsidRPr="00E27756">
          <w:rPr>
            <w:rStyle w:val="TextoNormalCaracter"/>
          </w:rPr>
          <w:t>130/2013</w:t>
        </w:r>
      </w:hyperlink>
      <w:r>
        <w:t xml:space="preserve">, ff. 2, 10; </w:t>
      </w:r>
      <w:hyperlink w:anchor="SENTENCIA_2013_135" w:history="1">
        <w:r w:rsidRPr="00E27756">
          <w:rPr>
            <w:rStyle w:val="TextoNormalCaracter"/>
          </w:rPr>
          <w:t>135/2013</w:t>
        </w:r>
      </w:hyperlink>
      <w:r>
        <w:t>, ff. 2, 4.</w:t>
      </w:r>
    </w:p>
    <w:p w:rsidR="00E27756" w:rsidRDefault="00E27756" w:rsidP="00E27756">
      <w:pPr>
        <w:pStyle w:val="SangriaFrancesaArticulo"/>
      </w:pPr>
      <w:r w:rsidRPr="00E27756">
        <w:rPr>
          <w:rStyle w:val="TextoNormalNegritaCaracter"/>
        </w:rPr>
        <w:t>Artículo 31.4.</w:t>
      </w:r>
      <w:r w:rsidRPr="00E27756">
        <w:rPr>
          <w:rStyle w:val="TextoNormalCaracter"/>
        </w:rPr>
        <w:t>-</w:t>
      </w:r>
      <w:r>
        <w:t xml:space="preserve"> Sentencia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31.4 b).</w:t>
      </w:r>
      <w:r w:rsidRPr="00E27756">
        <w:rPr>
          <w:rStyle w:val="TextoNormalCaracter"/>
        </w:rPr>
        <w:t>-</w:t>
      </w:r>
      <w:r>
        <w:t xml:space="preserve"> Sentencias </w:t>
      </w:r>
      <w:hyperlink w:anchor="SENTENCIA_2013_130" w:history="1">
        <w:r w:rsidRPr="00E27756">
          <w:rPr>
            <w:rStyle w:val="TextoNormalCaracter"/>
          </w:rPr>
          <w:t>130/2013</w:t>
        </w:r>
      </w:hyperlink>
      <w:r>
        <w:t xml:space="preserve">, f. 10;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31.5.</w:t>
      </w:r>
      <w:r w:rsidRPr="00E27756">
        <w:rPr>
          <w:rStyle w:val="TextoNormalCaracter"/>
        </w:rPr>
        <w:t>-</w:t>
      </w:r>
      <w:r>
        <w:t xml:space="preserve"> Sentencia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31.5 b) in fine.</w:t>
      </w:r>
      <w:r w:rsidRPr="00E27756">
        <w:rPr>
          <w:rStyle w:val="TextoNormalCaracter"/>
        </w:rPr>
        <w:t>-</w:t>
      </w:r>
      <w:r>
        <w:t xml:space="preserve"> Sentencia </w:t>
      </w:r>
      <w:hyperlink w:anchor="SENTENCIA_2013_130" w:history="1">
        <w:r w:rsidRPr="00E27756">
          <w:rPr>
            <w:rStyle w:val="TextoNormalCaracter"/>
          </w:rPr>
          <w:t>130/2013</w:t>
        </w:r>
      </w:hyperlink>
      <w:r>
        <w:t>, f. 10.</w:t>
      </w:r>
    </w:p>
    <w:p w:rsidR="00E27756" w:rsidRDefault="00E27756" w:rsidP="00E27756">
      <w:pPr>
        <w:pStyle w:val="SangriaFrancesaArticulo"/>
      </w:pPr>
      <w:r w:rsidRPr="00E27756">
        <w:rPr>
          <w:rStyle w:val="TextoNormalNegritaCaracter"/>
        </w:rPr>
        <w:t>Artículo 31.5 inciso final regla b).</w:t>
      </w:r>
      <w:r w:rsidRPr="00E27756">
        <w:rPr>
          <w:rStyle w:val="TextoNormalCaracter"/>
        </w:rPr>
        <w:t>-</w:t>
      </w:r>
      <w:r>
        <w:t xml:space="preserve"> Sentencia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31.6.</w:t>
      </w:r>
      <w:r w:rsidRPr="00E27756">
        <w:rPr>
          <w:rStyle w:val="TextoNormalCaracter"/>
        </w:rPr>
        <w:t>-</w:t>
      </w:r>
      <w:r>
        <w:t xml:space="preserve"> Sentencia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31.6 a).</w:t>
      </w:r>
      <w:r w:rsidRPr="00E27756">
        <w:rPr>
          <w:rStyle w:val="TextoNormalCaracter"/>
        </w:rPr>
        <w:t>-</w:t>
      </w:r>
      <w:r>
        <w:t xml:space="preserve"> Sentencia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31.6 b).</w:t>
      </w:r>
      <w:r w:rsidRPr="00E27756">
        <w:rPr>
          <w:rStyle w:val="TextoNormalCaracter"/>
        </w:rPr>
        <w:t>-</w:t>
      </w:r>
      <w:r>
        <w:t xml:space="preserve"> Sentencia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31.7.</w:t>
      </w:r>
      <w:r w:rsidRPr="00E27756">
        <w:rPr>
          <w:rStyle w:val="TextoNormalCaracter"/>
        </w:rPr>
        <w:t>-</w:t>
      </w:r>
      <w:r>
        <w:t xml:space="preserve"> Sentencia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31.7 a).</w:t>
      </w:r>
      <w:r w:rsidRPr="00E27756">
        <w:rPr>
          <w:rStyle w:val="TextoNormalCaracter"/>
        </w:rPr>
        <w:t>-</w:t>
      </w:r>
      <w:r>
        <w:t xml:space="preserve"> Sentencia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31.7 b).</w:t>
      </w:r>
      <w:r w:rsidRPr="00E27756">
        <w:rPr>
          <w:rStyle w:val="TextoNormalCaracter"/>
        </w:rPr>
        <w:t>-</w:t>
      </w:r>
      <w:r>
        <w:t xml:space="preserve"> Sentencia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31.7 c).</w:t>
      </w:r>
      <w:r w:rsidRPr="00E27756">
        <w:rPr>
          <w:rStyle w:val="TextoNormalCaracter"/>
        </w:rPr>
        <w:t>-</w:t>
      </w:r>
      <w:r>
        <w:t xml:space="preserve"> Sentencia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31.8.</w:t>
      </w:r>
      <w:r w:rsidRPr="00E27756">
        <w:rPr>
          <w:rStyle w:val="TextoNormalCaracter"/>
        </w:rPr>
        <w:t>-</w:t>
      </w:r>
      <w:r>
        <w:t xml:space="preserve"> Sentencia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31.9.</w:t>
      </w:r>
      <w:r w:rsidRPr="00E27756">
        <w:rPr>
          <w:rStyle w:val="TextoNormalCaracter"/>
        </w:rPr>
        <w:t>-</w:t>
      </w:r>
      <w:r>
        <w:t xml:space="preserve"> Sentencia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Artículos 36 y 37.</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t>Artículo 37.1 d).</w:t>
      </w:r>
      <w:r w:rsidRPr="00E27756">
        <w:rPr>
          <w:rStyle w:val="TextoNormalCaracter"/>
        </w:rPr>
        <w:t>-</w:t>
      </w:r>
      <w:r>
        <w:t xml:space="preserve"> Sentencia </w:t>
      </w:r>
      <w:hyperlink w:anchor="SENTENCIA_2013_130" w:history="1">
        <w:r w:rsidRPr="00E27756">
          <w:rPr>
            <w:rStyle w:val="TextoNormalCaracter"/>
          </w:rPr>
          <w:t>130/2013</w:t>
        </w:r>
      </w:hyperlink>
      <w:r>
        <w:t>, ff. 1, 2, 10, 11.</w:t>
      </w:r>
    </w:p>
    <w:p w:rsidR="00E27756" w:rsidRDefault="00E27756" w:rsidP="00E27756">
      <w:pPr>
        <w:pStyle w:val="SangriaFrancesaArticulo"/>
      </w:pPr>
      <w:r w:rsidRPr="00E27756">
        <w:rPr>
          <w:rStyle w:val="TextoNormalNegritaCaracter"/>
        </w:rPr>
        <w:t>Artículo 37.1 e).</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37.1 f).</w:t>
      </w:r>
      <w:r w:rsidRPr="00E27756">
        <w:rPr>
          <w:rStyle w:val="TextoNormalCaracter"/>
        </w:rPr>
        <w:t>-</w:t>
      </w:r>
      <w:r>
        <w:t xml:space="preserve"> Sentencia </w:t>
      </w:r>
      <w:hyperlink w:anchor="SENTENCIA_2013_130" w:history="1">
        <w:r w:rsidRPr="00E27756">
          <w:rPr>
            <w:rStyle w:val="TextoNormalCaracter"/>
          </w:rPr>
          <w:t>130/2013</w:t>
        </w:r>
      </w:hyperlink>
      <w:r>
        <w:t>, ff. 1, 2, 10, 11.</w:t>
      </w:r>
    </w:p>
    <w:p w:rsidR="00E27756" w:rsidRDefault="00E27756" w:rsidP="00E27756">
      <w:pPr>
        <w:pStyle w:val="SangriaFrancesaArticulo"/>
      </w:pPr>
      <w:r w:rsidRPr="00E27756">
        <w:rPr>
          <w:rStyle w:val="TextoNormalNegritaCaracter"/>
        </w:rPr>
        <w:t>Artículo 37.1 g).</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40.1.</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t>Artículo 45.2 a).</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45.2 b).</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45.2 c).</w:t>
      </w:r>
      <w:r w:rsidRPr="00E27756">
        <w:rPr>
          <w:rStyle w:val="TextoNormalCaracter"/>
        </w:rPr>
        <w:t>-</w:t>
      </w:r>
      <w:r>
        <w:t xml:space="preserve"> Sentencia </w:t>
      </w:r>
      <w:hyperlink w:anchor="SENTENCIA_2013_135" w:history="1">
        <w:r w:rsidRPr="00E27756">
          <w:rPr>
            <w:rStyle w:val="TextoNormalCaracter"/>
          </w:rPr>
          <w:t>135/2013</w:t>
        </w:r>
      </w:hyperlink>
      <w:r>
        <w:t>, ff. 1, 4.</w:t>
      </w:r>
    </w:p>
    <w:p w:rsidR="00E27756" w:rsidRDefault="00E27756" w:rsidP="00E27756">
      <w:pPr>
        <w:pStyle w:val="SangriaFrancesaArticulo"/>
      </w:pPr>
      <w:r w:rsidRPr="00E27756">
        <w:rPr>
          <w:rStyle w:val="TextoNormalNegritaCaracter"/>
        </w:rPr>
        <w:lastRenderedPageBreak/>
        <w:t>Artículo 45.2 d).</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45.2 párrafo 3 c).</w:t>
      </w:r>
      <w:r w:rsidRPr="00E27756">
        <w:rPr>
          <w:rStyle w:val="TextoNormalCaracter"/>
        </w:rPr>
        <w:t>-</w:t>
      </w:r>
      <w:r>
        <w:t xml:space="preserve"> Sentencia </w:t>
      </w:r>
      <w:hyperlink w:anchor="SENTENCIA_2013_130" w:history="1">
        <w:r w:rsidRPr="00E27756">
          <w:rPr>
            <w:rStyle w:val="TextoNormalCaracter"/>
          </w:rPr>
          <w:t>130/2013</w:t>
        </w:r>
      </w:hyperlink>
      <w:r>
        <w:t>, ff. 1, 2, 11, 12.</w:t>
      </w:r>
    </w:p>
    <w:p w:rsidR="00E27756" w:rsidRDefault="00E27756" w:rsidP="00E27756">
      <w:pPr>
        <w:pStyle w:val="SangriaFrancesaArticulo"/>
      </w:pPr>
      <w:r w:rsidRPr="00E27756">
        <w:rPr>
          <w:rStyle w:val="TextoNormalNegritaCaracter"/>
        </w:rPr>
        <w:t>Artículo 45.2.2.2.</w:t>
      </w:r>
      <w:r w:rsidRPr="00E27756">
        <w:rPr>
          <w:rStyle w:val="TextoNormalCaracter"/>
        </w:rPr>
        <w:t>-</w:t>
      </w:r>
      <w:r>
        <w:t xml:space="preserve"> Sentencia </w:t>
      </w:r>
      <w:hyperlink w:anchor="SENTENCIA_2013_130" w:history="1">
        <w:r w:rsidRPr="00E27756">
          <w:rPr>
            <w:rStyle w:val="TextoNormalCaracter"/>
          </w:rPr>
          <w:t>130/2013</w:t>
        </w:r>
      </w:hyperlink>
      <w:r>
        <w:t>, f. 12.</w:t>
      </w:r>
    </w:p>
    <w:p w:rsidR="00E27756" w:rsidRDefault="00E27756" w:rsidP="00E27756">
      <w:pPr>
        <w:pStyle w:val="SangriaFrancesaArticulo"/>
      </w:pPr>
      <w:r w:rsidRPr="00E27756">
        <w:rPr>
          <w:rStyle w:val="TextoNormalNegritaCaracter"/>
        </w:rPr>
        <w:t>Artículos 45 y 46.</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t>Artículo 46.</w:t>
      </w:r>
      <w:r w:rsidRPr="00E27756">
        <w:rPr>
          <w:rStyle w:val="TextoNormalCaracter"/>
        </w:rPr>
        <w:t>-</w:t>
      </w:r>
      <w:r>
        <w:t xml:space="preserve"> Sentencia </w:t>
      </w:r>
      <w:hyperlink w:anchor="SENTENCIA_2013_130" w:history="1">
        <w:r w:rsidRPr="00E27756">
          <w:rPr>
            <w:rStyle w:val="TextoNormalCaracter"/>
          </w:rPr>
          <w:t>130/2013</w:t>
        </w:r>
      </w:hyperlink>
      <w:r>
        <w:t>, ff. 3, 13.</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Sentencia </w:t>
      </w:r>
      <w:hyperlink w:anchor="SENTENCIA_2013_135" w:history="1">
        <w:r w:rsidRPr="00E27756">
          <w:rPr>
            <w:rStyle w:val="TextoNormalCaracter"/>
          </w:rPr>
          <w:t>135/2013</w:t>
        </w:r>
      </w:hyperlink>
      <w:r>
        <w:t>, ff. 1, 4.</w:t>
      </w:r>
    </w:p>
    <w:p w:rsidR="00E27756" w:rsidRDefault="00E27756" w:rsidP="00E27756">
      <w:pPr>
        <w:pStyle w:val="SangriaFrancesaArticulo"/>
      </w:pPr>
      <w:r w:rsidRPr="00E27756">
        <w:rPr>
          <w:rStyle w:val="TextoNormalNegritaCaracter"/>
        </w:rPr>
        <w:t>Artículo 56.</w:t>
      </w:r>
      <w:r w:rsidRPr="00E27756">
        <w:rPr>
          <w:rStyle w:val="TextoNormalCaracter"/>
        </w:rPr>
        <w:t>-</w:t>
      </w:r>
      <w:r>
        <w:t xml:space="preserve"> Sentencias </w:t>
      </w:r>
      <w:hyperlink w:anchor="SENTENCIA_2013_130" w:history="1">
        <w:r w:rsidRPr="00E27756">
          <w:rPr>
            <w:rStyle w:val="TextoNormalCaracter"/>
          </w:rPr>
          <w:t>130/2013</w:t>
        </w:r>
      </w:hyperlink>
      <w:r>
        <w:t xml:space="preserve">, ff. 1, 2, 13;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56.1.</w:t>
      </w:r>
      <w:r w:rsidRPr="00E27756">
        <w:rPr>
          <w:rStyle w:val="TextoNormalCaracter"/>
        </w:rPr>
        <w:t>-</w:t>
      </w:r>
      <w:r>
        <w:t xml:space="preserve"> Sentencia </w:t>
      </w:r>
      <w:hyperlink w:anchor="SENTENCIA_2013_130" w:history="1">
        <w:r w:rsidRPr="00E27756">
          <w:rPr>
            <w:rStyle w:val="TextoNormalCaracter"/>
          </w:rPr>
          <w:t>130/2013</w:t>
        </w:r>
      </w:hyperlink>
      <w:r>
        <w:t>, f. 13.</w:t>
      </w:r>
    </w:p>
    <w:p w:rsidR="00E27756" w:rsidRDefault="00E27756" w:rsidP="00E27756">
      <w:pPr>
        <w:pStyle w:val="SangriaFrancesaArticulo"/>
      </w:pPr>
      <w:r w:rsidRPr="00E27756">
        <w:rPr>
          <w:rStyle w:val="TextoNormalNegritaCaracter"/>
        </w:rPr>
        <w:t>Artículo 57 a) a d).</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57 e).</w:t>
      </w:r>
      <w:r w:rsidRPr="00E27756">
        <w:rPr>
          <w:rStyle w:val="TextoNormalCaracter"/>
        </w:rPr>
        <w:t>-</w:t>
      </w:r>
      <w:r>
        <w:t xml:space="preserve"> Sentencia </w:t>
      </w:r>
      <w:hyperlink w:anchor="SENTENCIA_2013_130" w:history="1">
        <w:r w:rsidRPr="00E27756">
          <w:rPr>
            <w:rStyle w:val="TextoNormalCaracter"/>
          </w:rPr>
          <w:t>130/2013</w:t>
        </w:r>
      </w:hyperlink>
      <w:r>
        <w:t>, ff. 1, 2, 13.</w:t>
      </w:r>
    </w:p>
    <w:p w:rsidR="00E27756" w:rsidRDefault="00E27756" w:rsidP="00E27756">
      <w:pPr>
        <w:pStyle w:val="SangriaFrancesaArticulo"/>
      </w:pPr>
      <w:r w:rsidRPr="00E27756">
        <w:rPr>
          <w:rStyle w:val="TextoNormalNegritaCaracter"/>
        </w:rPr>
        <w:t>Artículo 57 f).</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58 a) a c).</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58 d).</w:t>
      </w:r>
      <w:r w:rsidRPr="00E27756">
        <w:rPr>
          <w:rStyle w:val="TextoNormalCaracter"/>
        </w:rPr>
        <w:t>-</w:t>
      </w:r>
      <w:r>
        <w:t xml:space="preserve"> Sentencia </w:t>
      </w:r>
      <w:hyperlink w:anchor="SENTENCIA_2013_130" w:history="1">
        <w:r w:rsidRPr="00E27756">
          <w:rPr>
            <w:rStyle w:val="TextoNormalCaracter"/>
          </w:rPr>
          <w:t>130/2013</w:t>
        </w:r>
      </w:hyperlink>
      <w:r>
        <w:t>, ff. 1, 2, 13.</w:t>
      </w:r>
    </w:p>
    <w:p w:rsidR="00E27756" w:rsidRDefault="00E27756" w:rsidP="00E27756">
      <w:pPr>
        <w:pStyle w:val="SangriaFrancesaArticulo"/>
      </w:pPr>
      <w:r w:rsidRPr="00E27756">
        <w:rPr>
          <w:rStyle w:val="TextoNormalNegritaCaracter"/>
        </w:rPr>
        <w:t>Artículo 58 e).</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Artículos 59, 65, 67 a 69.</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t>Artículo 65.1.</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65.2.</w:t>
      </w:r>
      <w:r w:rsidRPr="00E27756">
        <w:rPr>
          <w:rStyle w:val="TextoNormalCaracter"/>
        </w:rPr>
        <w:t>-</w:t>
      </w:r>
      <w:r>
        <w:t xml:space="preserve"> Sentencia </w:t>
      </w:r>
      <w:hyperlink w:anchor="SENTENCIA_2013_130" w:history="1">
        <w:r w:rsidRPr="00E27756">
          <w:rPr>
            <w:rStyle w:val="TextoNormalCaracter"/>
          </w:rPr>
          <w:t>130/2013</w:t>
        </w:r>
      </w:hyperlink>
      <w:r>
        <w:t>, f. 2.</w:t>
      </w:r>
    </w:p>
    <w:p w:rsidR="00E27756" w:rsidRDefault="00E27756" w:rsidP="00E27756">
      <w:pPr>
        <w:pStyle w:val="SangriaFrancesaArticulo"/>
      </w:pPr>
      <w:r w:rsidRPr="00E27756">
        <w:rPr>
          <w:rStyle w:val="TextoNormalNegritaCaracter"/>
        </w:rPr>
        <w:t>Artículo 67.2.</w:t>
      </w:r>
      <w:r w:rsidRPr="00E27756">
        <w:rPr>
          <w:rStyle w:val="TextoNormalCaracter"/>
        </w:rPr>
        <w:t>-</w:t>
      </w:r>
      <w:r>
        <w:t xml:space="preserve"> Sentencia </w:t>
      </w:r>
      <w:hyperlink w:anchor="SENTENCIA_2013_130" w:history="1">
        <w:r w:rsidRPr="00E27756">
          <w:rPr>
            <w:rStyle w:val="TextoNormalCaracter"/>
          </w:rPr>
          <w:t>130/2013</w:t>
        </w:r>
      </w:hyperlink>
      <w:r>
        <w:t>, ff. 1, 2, 13.</w:t>
      </w:r>
    </w:p>
    <w:p w:rsidR="00E27756" w:rsidRDefault="00E27756" w:rsidP="00E27756">
      <w:pPr>
        <w:pStyle w:val="SangriaFrancesaArticulo"/>
      </w:pPr>
      <w:r w:rsidRPr="00E27756">
        <w:rPr>
          <w:rStyle w:val="TextoNormalNegritaCaracter"/>
        </w:rPr>
        <w:t>Artículo 67.3.</w:t>
      </w:r>
      <w:r w:rsidRPr="00E27756">
        <w:rPr>
          <w:rStyle w:val="TextoNormalCaracter"/>
        </w:rPr>
        <w:t>-</w:t>
      </w:r>
      <w:r>
        <w:t xml:space="preserve"> Sentencia </w:t>
      </w:r>
      <w:hyperlink w:anchor="SENTENCIA_2013_130" w:history="1">
        <w:r w:rsidRPr="00E27756">
          <w:rPr>
            <w:rStyle w:val="TextoNormalCaracter"/>
          </w:rPr>
          <w:t>130/2013</w:t>
        </w:r>
      </w:hyperlink>
      <w:r>
        <w:t>, ff. 1, 2, 13.</w:t>
      </w:r>
    </w:p>
    <w:p w:rsidR="00E27756" w:rsidRDefault="00E27756" w:rsidP="00E27756">
      <w:pPr>
        <w:pStyle w:val="SangriaFrancesaArticulo"/>
      </w:pPr>
      <w:r w:rsidRPr="00E27756">
        <w:rPr>
          <w:rStyle w:val="TextoNormalNegritaCaracter"/>
        </w:rPr>
        <w:t>Disposición adicional segunda, apartado 1.</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t>Disposición adicional decimosexta.</w:t>
      </w:r>
      <w:r w:rsidRPr="00E27756">
        <w:rPr>
          <w:rStyle w:val="TextoNormalCaracter"/>
        </w:rPr>
        <w:t>-</w:t>
      </w:r>
      <w:r>
        <w:t xml:space="preserve"> Sentencia </w:t>
      </w:r>
      <w:hyperlink w:anchor="SENTENCIA_2013_130" w:history="1">
        <w:r w:rsidRPr="00E27756">
          <w:rPr>
            <w:rStyle w:val="TextoNormalCaracter"/>
          </w:rPr>
          <w:t>130/2013</w:t>
        </w:r>
      </w:hyperlink>
      <w:r>
        <w:t>, f. 3.</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Sentencias </w:t>
      </w:r>
      <w:hyperlink w:anchor="SENTENCIA_2013_130" w:history="1">
        <w:r w:rsidRPr="00E27756">
          <w:rPr>
            <w:rStyle w:val="TextoNormalCaracter"/>
          </w:rPr>
          <w:t>130/2013</w:t>
        </w:r>
      </w:hyperlink>
      <w:r>
        <w:t xml:space="preserve">, ff. 1 a 3, 14, VP;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Disposición final primera, apartado 1.</w:t>
      </w:r>
      <w:r w:rsidRPr="00E27756">
        <w:rPr>
          <w:rStyle w:val="TextoNormalCaracter"/>
        </w:rPr>
        <w:t>-</w:t>
      </w:r>
      <w:r>
        <w:t xml:space="preserve"> Sentencias </w:t>
      </w:r>
      <w:hyperlink w:anchor="SENTENCIA_2013_130" w:history="1">
        <w:r w:rsidRPr="00E27756">
          <w:rPr>
            <w:rStyle w:val="TextoNormalCaracter"/>
          </w:rPr>
          <w:t>130/2013</w:t>
        </w:r>
      </w:hyperlink>
      <w:r>
        <w:t xml:space="preserve">, ff. 3, 9; </w:t>
      </w:r>
      <w:hyperlink w:anchor="SENTENCIA_2013_135" w:history="1">
        <w:r w:rsidRPr="00E27756">
          <w:rPr>
            <w:rStyle w:val="TextoNormalCaracter"/>
          </w:rPr>
          <w:t>135/2013</w:t>
        </w:r>
      </w:hyperlink>
      <w:r>
        <w:t>, ff. 1, 5.</w:t>
      </w:r>
    </w:p>
    <w:p w:rsidR="00E27756" w:rsidRDefault="00E27756" w:rsidP="00E27756">
      <w:pPr>
        <w:pStyle w:val="SangriaFrancesaArticulo"/>
      </w:pPr>
      <w:r w:rsidRPr="00E27756">
        <w:rPr>
          <w:rStyle w:val="TextoNormalNegritaCaracter"/>
        </w:rPr>
        <w:t>Disposición final primera, apartado 2.</w:t>
      </w:r>
      <w:r w:rsidRPr="00E27756">
        <w:rPr>
          <w:rStyle w:val="TextoNormalCaracter"/>
        </w:rPr>
        <w:t>-</w:t>
      </w:r>
      <w:r>
        <w:t xml:space="preserve"> Sentencia </w:t>
      </w:r>
      <w:hyperlink w:anchor="SENTENCIA_2013_130" w:history="1">
        <w:r w:rsidRPr="00E27756">
          <w:rPr>
            <w:rStyle w:val="TextoNormalCaracter"/>
          </w:rPr>
          <w:t>130/2013</w:t>
        </w:r>
      </w:hyperlink>
      <w:r>
        <w:t>, f. 9.</w:t>
      </w:r>
    </w:p>
    <w:p w:rsidR="00E27756" w:rsidRDefault="00E27756" w:rsidP="00E27756">
      <w:pPr>
        <w:pStyle w:val="SangriaFrancesaArticulo"/>
      </w:pPr>
    </w:p>
    <w:p w:rsidR="00E27756" w:rsidRDefault="00E27756" w:rsidP="00E27756">
      <w:pPr>
        <w:pStyle w:val="TextoNormalNegritaCursivandice"/>
      </w:pPr>
      <w:r>
        <w:t>Ley 39/2003, de 17 de noviembre. Sector ferroviario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3" w:history="1">
        <w:r w:rsidRPr="00E27756">
          <w:rPr>
            <w:rStyle w:val="TextoNormalCaracter"/>
          </w:rPr>
          <w:t>83/2013</w:t>
        </w:r>
      </w:hyperlink>
      <w:r>
        <w:t>, f. 3.</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83" w:history="1">
        <w:r w:rsidRPr="00E27756">
          <w:rPr>
            <w:rStyle w:val="TextoNormalCaracter"/>
          </w:rPr>
          <w:t>83/2013</w:t>
        </w:r>
      </w:hyperlink>
      <w:r>
        <w:t>, f. 4.</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83" w:history="1">
        <w:r w:rsidRPr="00E27756">
          <w:rPr>
            <w:rStyle w:val="TextoNormalCaracter"/>
          </w:rPr>
          <w:t>83/2013</w:t>
        </w:r>
      </w:hyperlink>
      <w:r>
        <w:t>, f. 4.</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83" w:history="1">
        <w:r w:rsidRPr="00E27756">
          <w:rPr>
            <w:rStyle w:val="TextoNormalCaracter"/>
          </w:rPr>
          <w:t>83/2013</w:t>
        </w:r>
      </w:hyperlink>
      <w:r>
        <w:t>, f. 4.</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83" w:history="1">
        <w:r w:rsidRPr="00E27756">
          <w:rPr>
            <w:rStyle w:val="TextoNormalCaracter"/>
          </w:rPr>
          <w:t>83/2013</w:t>
        </w:r>
      </w:hyperlink>
      <w:r>
        <w:t>, f. 4.</w:t>
      </w:r>
    </w:p>
    <w:p w:rsidR="00E27756" w:rsidRDefault="00E27756" w:rsidP="00E27756">
      <w:pPr>
        <w:pStyle w:val="SangriaFrancesaArticulo"/>
      </w:pPr>
      <w:r w:rsidRPr="00E27756">
        <w:rPr>
          <w:rStyle w:val="TextoNormalNegritaCaracter"/>
        </w:rPr>
        <w:t>Artículo 11.1.</w:t>
      </w:r>
      <w:r w:rsidRPr="00E27756">
        <w:rPr>
          <w:rStyle w:val="TextoNormalCaracter"/>
        </w:rPr>
        <w:t>-</w:t>
      </w:r>
      <w:r>
        <w:t xml:space="preserve"> Sentencia </w:t>
      </w:r>
      <w:hyperlink w:anchor="SENTENCIA_2013_83" w:history="1">
        <w:r w:rsidRPr="00E27756">
          <w:rPr>
            <w:rStyle w:val="TextoNormalCaracter"/>
          </w:rPr>
          <w:t>83/2013</w:t>
        </w:r>
      </w:hyperlink>
      <w:r>
        <w:t>, f. 4.</w:t>
      </w:r>
    </w:p>
    <w:p w:rsidR="00E27756" w:rsidRDefault="00E27756" w:rsidP="00E27756">
      <w:pPr>
        <w:pStyle w:val="SangriaFrancesaArticulo"/>
      </w:pPr>
      <w:r w:rsidRPr="00E27756">
        <w:rPr>
          <w:rStyle w:val="TextoNormalNegritaCaracter"/>
        </w:rPr>
        <w:t>Artículo 11.2.</w:t>
      </w:r>
      <w:r w:rsidRPr="00E27756">
        <w:rPr>
          <w:rStyle w:val="TextoNormalCaracter"/>
        </w:rPr>
        <w:t>-</w:t>
      </w:r>
      <w:r>
        <w:t xml:space="preserve"> Sentencia </w:t>
      </w:r>
      <w:hyperlink w:anchor="SENTENCIA_2013_83" w:history="1">
        <w:r w:rsidRPr="00E27756">
          <w:rPr>
            <w:rStyle w:val="TextoNormalCaracter"/>
          </w:rPr>
          <w:t>83/2013</w:t>
        </w:r>
      </w:hyperlink>
      <w:r>
        <w:t>, f. 4.</w:t>
      </w:r>
    </w:p>
    <w:p w:rsidR="00E27756" w:rsidRDefault="00E27756" w:rsidP="00E27756">
      <w:pPr>
        <w:pStyle w:val="SangriaFrancesaArticulo"/>
      </w:pPr>
      <w:r w:rsidRPr="00E27756">
        <w:rPr>
          <w:rStyle w:val="TextoNormalNegritaCaracter"/>
        </w:rPr>
        <w:t>Artículo 53.</w:t>
      </w:r>
      <w:r w:rsidRPr="00E27756">
        <w:rPr>
          <w:rStyle w:val="TextoNormalCaracter"/>
        </w:rPr>
        <w:t>-</w:t>
      </w:r>
      <w:r>
        <w:t xml:space="preserve"> Sentencia </w:t>
      </w:r>
      <w:hyperlink w:anchor="SENTENCIA_2013_83" w:history="1">
        <w:r w:rsidRPr="00E27756">
          <w:rPr>
            <w:rStyle w:val="TextoNormalCaracter"/>
          </w:rPr>
          <w:t>83/2013</w:t>
        </w:r>
      </w:hyperlink>
      <w:r>
        <w:t>, f. 5.</w:t>
      </w:r>
    </w:p>
    <w:p w:rsidR="00E27756" w:rsidRDefault="00E27756" w:rsidP="00E27756">
      <w:pPr>
        <w:pStyle w:val="SangriaFrancesaArticulo"/>
      </w:pPr>
      <w:r w:rsidRPr="00E27756">
        <w:rPr>
          <w:rStyle w:val="TextoNormalNegritaCaracter"/>
        </w:rPr>
        <w:t>Artículo 53.5.</w:t>
      </w:r>
      <w:r w:rsidRPr="00E27756">
        <w:rPr>
          <w:rStyle w:val="TextoNormalCaracter"/>
        </w:rPr>
        <w:t>-</w:t>
      </w:r>
      <w:r>
        <w:t xml:space="preserve"> Sentencia </w:t>
      </w:r>
      <w:hyperlink w:anchor="SENTENCIA_2013_83" w:history="1">
        <w:r w:rsidRPr="00E27756">
          <w:rPr>
            <w:rStyle w:val="TextoNormalCaracter"/>
          </w:rPr>
          <w:t>83/2013</w:t>
        </w:r>
      </w:hyperlink>
      <w:r>
        <w:t>, f. 5.</w:t>
      </w:r>
    </w:p>
    <w:p w:rsidR="00E27756" w:rsidRDefault="00E27756" w:rsidP="00E27756">
      <w:pPr>
        <w:pStyle w:val="SangriaFrancesaArticulo"/>
      </w:pPr>
      <w:r w:rsidRPr="00E27756">
        <w:rPr>
          <w:rStyle w:val="TextoNormalNegritaCaracter"/>
        </w:rPr>
        <w:t>Artículo 54.</w:t>
      </w:r>
      <w:r w:rsidRPr="00E27756">
        <w:rPr>
          <w:rStyle w:val="TextoNormalCaracter"/>
        </w:rPr>
        <w:t>-</w:t>
      </w:r>
      <w:r>
        <w:t xml:space="preserve"> Sentencia </w:t>
      </w:r>
      <w:hyperlink w:anchor="SENTENCIA_2013_83" w:history="1">
        <w:r w:rsidRPr="00E27756">
          <w:rPr>
            <w:rStyle w:val="TextoNormalCaracter"/>
          </w:rPr>
          <w:t>83/2013</w:t>
        </w:r>
      </w:hyperlink>
      <w:r>
        <w:t>, f. 5.</w:t>
      </w:r>
    </w:p>
    <w:p w:rsidR="00E27756" w:rsidRDefault="00E27756" w:rsidP="00E27756">
      <w:pPr>
        <w:pStyle w:val="SangriaFrancesaArticulo"/>
      </w:pPr>
      <w:r w:rsidRPr="00E27756">
        <w:rPr>
          <w:rStyle w:val="TextoNormalNegritaCaracter"/>
        </w:rPr>
        <w:t>Artículo 82.</w:t>
      </w:r>
      <w:r w:rsidRPr="00E27756">
        <w:rPr>
          <w:rStyle w:val="TextoNormalCaracter"/>
        </w:rPr>
        <w:t>-</w:t>
      </w:r>
      <w:r>
        <w:t xml:space="preserve"> Sentencia </w:t>
      </w:r>
      <w:hyperlink w:anchor="SENTENCIA_2013_83" w:history="1">
        <w:r w:rsidRPr="00E27756">
          <w:rPr>
            <w:rStyle w:val="TextoNormalCaracter"/>
          </w:rPr>
          <w:t>83/2013</w:t>
        </w:r>
      </w:hyperlink>
      <w:r>
        <w:t>, f. 5.</w:t>
      </w:r>
    </w:p>
    <w:p w:rsidR="00E27756" w:rsidRDefault="00E27756" w:rsidP="00E27756">
      <w:pPr>
        <w:pStyle w:val="SangriaFrancesaArticulo"/>
      </w:pPr>
      <w:r w:rsidRPr="00E27756">
        <w:rPr>
          <w:rStyle w:val="TextoNormalNegritaCaracter"/>
        </w:rPr>
        <w:t>Disposición adicional novena.</w:t>
      </w:r>
      <w:r w:rsidRPr="00E27756">
        <w:rPr>
          <w:rStyle w:val="TextoNormalCaracter"/>
        </w:rPr>
        <w:t>-</w:t>
      </w:r>
      <w:r>
        <w:t xml:space="preserve"> Sentencia </w:t>
      </w:r>
      <w:hyperlink w:anchor="SENTENCIA_2013_83" w:history="1">
        <w:r w:rsidRPr="00E27756">
          <w:rPr>
            <w:rStyle w:val="TextoNormalCaracter"/>
          </w:rPr>
          <w:t>83/2013</w:t>
        </w:r>
      </w:hyperlink>
      <w:r>
        <w:t>, ff. 4, 7.</w:t>
      </w:r>
    </w:p>
    <w:p w:rsidR="00E27756" w:rsidRDefault="00E27756" w:rsidP="00E27756">
      <w:pPr>
        <w:pStyle w:val="SangriaFrancesaArticulo"/>
      </w:pPr>
      <w:r w:rsidRPr="00E27756">
        <w:rPr>
          <w:rStyle w:val="TextoNormalNegritaCaracter"/>
        </w:rPr>
        <w:t>Disposición transitoria tercera.</w:t>
      </w:r>
      <w:r w:rsidRPr="00E27756">
        <w:rPr>
          <w:rStyle w:val="TextoNormalCaracter"/>
        </w:rPr>
        <w:t>-</w:t>
      </w:r>
      <w:r>
        <w:t xml:space="preserve"> Sentencia </w:t>
      </w:r>
      <w:hyperlink w:anchor="SENTENCIA_2013_83" w:history="1">
        <w:r w:rsidRPr="00E27756">
          <w:rPr>
            <w:rStyle w:val="TextoNormalCaracter"/>
          </w:rPr>
          <w:t>83/2013</w:t>
        </w:r>
      </w:hyperlink>
      <w:r>
        <w:t>, f. 6.</w:t>
      </w:r>
    </w:p>
    <w:p w:rsidR="00E27756" w:rsidRDefault="00E27756" w:rsidP="00E27756">
      <w:pPr>
        <w:pStyle w:val="SangriaFrancesaArticulo"/>
      </w:pPr>
    </w:p>
    <w:p w:rsidR="00E27756" w:rsidRDefault="00E27756" w:rsidP="00E27756">
      <w:pPr>
        <w:pStyle w:val="TextoNormalNegritaCursivandice"/>
      </w:pPr>
      <w:r>
        <w:t>Ley 43/2003, de 21 de noviembre. Montes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49" w:history="1">
        <w:r w:rsidRPr="00E27756">
          <w:rPr>
            <w:rStyle w:val="TextoNormalCaracter"/>
          </w:rPr>
          <w:t>49/2013</w:t>
        </w:r>
      </w:hyperlink>
      <w:r>
        <w:t xml:space="preserve">, ff. 2, 3, 8, 10; </w:t>
      </w:r>
      <w:hyperlink w:anchor="SENTENCIA_2013_84" w:history="1">
        <w:r w:rsidRPr="00E27756">
          <w:rPr>
            <w:rStyle w:val="TextoNormalCaracter"/>
          </w:rPr>
          <w:t>84/2013</w:t>
        </w:r>
      </w:hyperlink>
      <w:r>
        <w:t xml:space="preserve">, f. 2; </w:t>
      </w:r>
      <w:hyperlink w:anchor="SENTENCIA_2013_97" w:history="1">
        <w:r w:rsidRPr="00E27756">
          <w:rPr>
            <w:rStyle w:val="TextoNormalCaracter"/>
          </w:rPr>
          <w:t>97/2013</w:t>
        </w:r>
      </w:hyperlink>
      <w:r>
        <w:t>, f. 3.</w:t>
      </w:r>
    </w:p>
    <w:p w:rsidR="00E27756" w:rsidRDefault="00E27756" w:rsidP="00E27756">
      <w:pPr>
        <w:pStyle w:val="SangriaFrancesaArticulo"/>
      </w:pPr>
      <w:r w:rsidRPr="00E27756">
        <w:rPr>
          <w:rStyle w:val="TextoNormalNegritaCaracter"/>
        </w:rPr>
        <w:t>Título IV, capítulo V.</w:t>
      </w:r>
      <w:r w:rsidRPr="00E27756">
        <w:rPr>
          <w:rStyle w:val="TextoNormalCaracter"/>
        </w:rPr>
        <w:t>-</w:t>
      </w:r>
      <w:r>
        <w:t xml:space="preserve"> Sentencia </w:t>
      </w:r>
      <w:hyperlink w:anchor="SENTENCIA_2013_97" w:history="1">
        <w:r w:rsidRPr="00E27756">
          <w:rPr>
            <w:rStyle w:val="TextoNormalCaracter"/>
          </w:rPr>
          <w:t>97/2013</w:t>
        </w:r>
      </w:hyperlink>
      <w:r>
        <w:t>, f. 1.</w:t>
      </w:r>
    </w:p>
    <w:p w:rsidR="00E27756" w:rsidRDefault="00E27756" w:rsidP="00E27756">
      <w:pPr>
        <w:pStyle w:val="SangriaFrancesaArticulo"/>
      </w:pPr>
      <w:r w:rsidRPr="00E27756">
        <w:rPr>
          <w:rStyle w:val="TextoNormalNegritaCaracter"/>
        </w:rPr>
        <w:t>Título V, capítulo I.</w:t>
      </w:r>
      <w:r w:rsidRPr="00E27756">
        <w:rPr>
          <w:rStyle w:val="TextoNormalCaracter"/>
        </w:rPr>
        <w:t>-</w:t>
      </w:r>
      <w:r>
        <w:t xml:space="preserve"> Sentencia </w:t>
      </w:r>
      <w:hyperlink w:anchor="SENTENCIA_2013_49" w:history="1">
        <w:r w:rsidRPr="00E27756">
          <w:rPr>
            <w:rStyle w:val="TextoNormalCaracter"/>
          </w:rPr>
          <w:t>49/2013</w:t>
        </w:r>
      </w:hyperlink>
      <w:r>
        <w:t>, f. 7.</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84" w:history="1">
        <w:r w:rsidRPr="00E27756">
          <w:rPr>
            <w:rStyle w:val="TextoNormalCaracter"/>
          </w:rPr>
          <w:t>84/2013</w:t>
        </w:r>
      </w:hyperlink>
      <w:r>
        <w:t>, f. 2.</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Sentencia </w:t>
      </w:r>
      <w:hyperlink w:anchor="SENTENCIA_2013_84" w:history="1">
        <w:r w:rsidRPr="00E27756">
          <w:rPr>
            <w:rStyle w:val="TextoNormalCaracter"/>
          </w:rPr>
          <w:t>84/2013</w:t>
        </w:r>
      </w:hyperlink>
      <w:r>
        <w:t>, f. 4.</w:t>
      </w:r>
    </w:p>
    <w:p w:rsidR="00E27756" w:rsidRDefault="00E27756" w:rsidP="00E27756">
      <w:pPr>
        <w:pStyle w:val="SangriaFrancesaArticulo"/>
      </w:pPr>
      <w:r w:rsidRPr="00E27756">
        <w:rPr>
          <w:rStyle w:val="TextoNormalNegritaCaracter"/>
        </w:rPr>
        <w:lastRenderedPageBreak/>
        <w:t>Artículo único, apartado 32</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97" w:history="1">
        <w:r w:rsidRPr="00E27756">
          <w:rPr>
            <w:rStyle w:val="TextoNormalCaracter"/>
          </w:rPr>
          <w:t>97/2013</w:t>
        </w:r>
      </w:hyperlink>
      <w:r>
        <w:t>, ff. 1, 3.</w:t>
      </w:r>
    </w:p>
    <w:p w:rsidR="00E27756" w:rsidRDefault="00E27756" w:rsidP="00E27756">
      <w:pPr>
        <w:pStyle w:val="SangriaFrancesaArticulo"/>
      </w:pPr>
      <w:r w:rsidRPr="00E27756">
        <w:rPr>
          <w:rStyle w:val="TextoNormalNegritaCaracter"/>
        </w:rPr>
        <w:t>Artículo único, apartado 33</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97" w:history="1">
        <w:r w:rsidRPr="00E27756">
          <w:rPr>
            <w:rStyle w:val="TextoNormalCaracter"/>
          </w:rPr>
          <w:t>97/2013</w:t>
        </w:r>
      </w:hyperlink>
      <w:r>
        <w:t>, ff. 1, 3.</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84" w:history="1">
        <w:r w:rsidRPr="00E27756">
          <w:rPr>
            <w:rStyle w:val="TextoNormalCaracter"/>
          </w:rPr>
          <w:t>84/2013</w:t>
        </w:r>
      </w:hyperlink>
      <w:r>
        <w:t>, f. 2.</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84" w:history="1">
        <w:r w:rsidRPr="00E27756">
          <w:rPr>
            <w:rStyle w:val="TextoNormalCaracter"/>
          </w:rPr>
          <w:t>84/2013</w:t>
        </w:r>
      </w:hyperlink>
      <w:r>
        <w:t>, f. 2.</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84" w:history="1">
        <w:r w:rsidRPr="00E27756">
          <w:rPr>
            <w:rStyle w:val="TextoNormalCaracter"/>
          </w:rPr>
          <w:t>84/2013</w:t>
        </w:r>
      </w:hyperlink>
      <w:r>
        <w:t>, ff. 2, 6.</w:t>
      </w:r>
    </w:p>
    <w:p w:rsidR="00E27756" w:rsidRDefault="00E27756" w:rsidP="00E27756">
      <w:pPr>
        <w:pStyle w:val="SangriaFrancesaArticulo"/>
      </w:pPr>
      <w:r w:rsidRPr="00E27756">
        <w:rPr>
          <w:rStyle w:val="TextoNormalNegritaCaracter"/>
        </w:rPr>
        <w:t>Artículo 7.1 a).</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Artículo 7.1 a)</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49" w:history="1">
        <w:r w:rsidRPr="00E27756">
          <w:rPr>
            <w:rStyle w:val="TextoNormalCaracter"/>
          </w:rPr>
          <w:t>49/2013</w:t>
        </w:r>
      </w:hyperlink>
      <w:r>
        <w:t>, f. 3.</w:t>
      </w:r>
    </w:p>
    <w:p w:rsidR="00E27756" w:rsidRDefault="00E27756" w:rsidP="00E27756">
      <w:pPr>
        <w:pStyle w:val="SangriaFrancesaArticulo"/>
      </w:pPr>
      <w:r w:rsidRPr="00E27756">
        <w:rPr>
          <w:rStyle w:val="TextoNormalNegritaCaracter"/>
        </w:rPr>
        <w:t>Artículo 7.2 c).</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Artículo 7.2 c)</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r w:rsidRPr="00E27756">
        <w:rPr>
          <w:rStyle w:val="TextoNormalNegritaCaracter"/>
        </w:rPr>
        <w:t>Artículo 7.2 g).</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Artículo 7.2 g)</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r w:rsidRPr="00E27756">
        <w:rPr>
          <w:rStyle w:val="TextoNormalNegritaCaracter"/>
        </w:rPr>
        <w:t>Artículo 7.2 h).</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Artículo 7.2 h)</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49" w:history="1">
        <w:r w:rsidRPr="00E27756">
          <w:rPr>
            <w:rStyle w:val="TextoNormalCaracter"/>
          </w:rPr>
          <w:t>49/2013</w:t>
        </w:r>
      </w:hyperlink>
      <w:r>
        <w:t>, f. 3.</w:t>
      </w:r>
    </w:p>
    <w:p w:rsidR="00E27756" w:rsidRDefault="00E27756" w:rsidP="00E27756">
      <w:pPr>
        <w:pStyle w:val="SangriaFrancesaArticulo"/>
      </w:pPr>
      <w:r w:rsidRPr="00E27756">
        <w:rPr>
          <w:rStyle w:val="TextoNormalNegritaCaracter"/>
        </w:rPr>
        <w:t>Artículo 7.3 b).</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Artículo 7.3 b)</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r w:rsidRPr="00E27756">
        <w:rPr>
          <w:rStyle w:val="TextoNormalNegritaCaracter"/>
        </w:rPr>
        <w:t>Artículo 18.4</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r w:rsidRPr="00E27756">
        <w:rPr>
          <w:rStyle w:val="TextoNormalNegritaCaracter"/>
        </w:rPr>
        <w:t>Artículo 18.4 in fine.</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Artículo 18.4 inciso in fine.</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 </w:t>
      </w:r>
      <w:hyperlink w:anchor="SENTENCIA_2013_49" w:history="1">
        <w:r w:rsidRPr="00E27756">
          <w:rPr>
            <w:rStyle w:val="TextoNormalCaracter"/>
          </w:rPr>
          <w:t>49/2013</w:t>
        </w:r>
      </w:hyperlink>
      <w:r>
        <w:t>, f. 10.</w:t>
      </w:r>
    </w:p>
    <w:p w:rsidR="00E27756" w:rsidRDefault="00E27756" w:rsidP="00E27756">
      <w:pPr>
        <w:pStyle w:val="SangriaFrancesaArticulo"/>
      </w:pPr>
      <w:r w:rsidRPr="00E27756">
        <w:rPr>
          <w:rStyle w:val="TextoNormalNegritaCaracter"/>
        </w:rPr>
        <w:t>Artículo 21.2.</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Artículo 21.2</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49" w:history="1">
        <w:r w:rsidRPr="00E27756">
          <w:rPr>
            <w:rStyle w:val="TextoNormalCaracter"/>
          </w:rPr>
          <w:t>49/2013</w:t>
        </w:r>
      </w:hyperlink>
      <w:r>
        <w:t>, f. 3.</w:t>
      </w:r>
    </w:p>
    <w:p w:rsidR="00E27756" w:rsidRDefault="00E27756" w:rsidP="00E27756">
      <w:pPr>
        <w:pStyle w:val="SangriaFrancesaArticulo"/>
      </w:pPr>
      <w:r w:rsidRPr="00E27756">
        <w:rPr>
          <w:rStyle w:val="TextoNormalNegritaCaracter"/>
        </w:rPr>
        <w:t>Artículo 21.3.</w:t>
      </w:r>
      <w:r w:rsidRPr="00E27756">
        <w:rPr>
          <w:rStyle w:val="TextoNormalCaracter"/>
        </w:rPr>
        <w:t>-</w:t>
      </w:r>
      <w:r>
        <w:t xml:space="preserve"> Sentencia </w:t>
      </w:r>
      <w:hyperlink w:anchor="SENTENCIA_2013_49" w:history="1">
        <w:r w:rsidRPr="00E27756">
          <w:rPr>
            <w:rStyle w:val="TextoNormalCaracter"/>
          </w:rPr>
          <w:t>49/2013</w:t>
        </w:r>
      </w:hyperlink>
      <w:r>
        <w:t>, f. 10.</w:t>
      </w:r>
    </w:p>
    <w:p w:rsidR="00E27756" w:rsidRDefault="00E27756" w:rsidP="00E27756">
      <w:pPr>
        <w:pStyle w:val="SangriaFrancesaArticulo"/>
      </w:pPr>
      <w:r w:rsidRPr="00E27756">
        <w:rPr>
          <w:rStyle w:val="TextoNormalNegritaCaracter"/>
        </w:rPr>
        <w:t>Artículo 21.4.</w:t>
      </w:r>
      <w:r w:rsidRPr="00E27756">
        <w:rPr>
          <w:rStyle w:val="TextoNormalCaracter"/>
        </w:rPr>
        <w:t>-</w:t>
      </w:r>
      <w:r>
        <w:t xml:space="preserve"> Sentencia </w:t>
      </w:r>
      <w:hyperlink w:anchor="SENTENCIA_2013_49" w:history="1">
        <w:r w:rsidRPr="00E27756">
          <w:rPr>
            <w:rStyle w:val="TextoNormalCaracter"/>
          </w:rPr>
          <w:t>49/2013</w:t>
        </w:r>
      </w:hyperlink>
      <w:r>
        <w:t>, ff. 3, 10.</w:t>
      </w:r>
    </w:p>
    <w:p w:rsidR="00E27756" w:rsidRDefault="00E27756" w:rsidP="00E27756">
      <w:pPr>
        <w:pStyle w:val="SangriaFrancesaArticulo"/>
      </w:pPr>
      <w:r w:rsidRPr="00E27756">
        <w:rPr>
          <w:rStyle w:val="TextoNormalNegritaCaracter"/>
        </w:rPr>
        <w:t>Artículo 21.7.</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Artículo 21.7</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Artículo 32.1.</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r w:rsidRPr="00E27756">
        <w:rPr>
          <w:rStyle w:val="TextoNormalNegritaCaracter"/>
        </w:rPr>
        <w:t>Artículo 32.2.</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r w:rsidRPr="00E27756">
        <w:rPr>
          <w:rStyle w:val="TextoNormalNegritaCaracter"/>
        </w:rPr>
        <w:t>Artículo 36.5.</w:t>
      </w:r>
      <w:r w:rsidRPr="00E27756">
        <w:rPr>
          <w:rStyle w:val="TextoNormalCaracter"/>
        </w:rPr>
        <w:t>-</w:t>
      </w:r>
      <w:r>
        <w:t xml:space="preserve"> Sentencia </w:t>
      </w:r>
      <w:hyperlink w:anchor="SENTENCIA_2013_49" w:history="1">
        <w:r w:rsidRPr="00E27756">
          <w:rPr>
            <w:rStyle w:val="TextoNormalCaracter"/>
          </w:rPr>
          <w:t>49/2013</w:t>
        </w:r>
      </w:hyperlink>
      <w:r>
        <w:t>, ff. 1, 9.</w:t>
      </w:r>
    </w:p>
    <w:p w:rsidR="00E27756" w:rsidRDefault="00E27756" w:rsidP="00E27756">
      <w:pPr>
        <w:pStyle w:val="SangriaFrancesaArticulo"/>
      </w:pPr>
      <w:r w:rsidRPr="00E27756">
        <w:rPr>
          <w:rStyle w:val="TextoNormalNegritaCaracter"/>
        </w:rPr>
        <w:t>Artículo 37.</w:t>
      </w:r>
      <w:r w:rsidRPr="00E27756">
        <w:rPr>
          <w:rStyle w:val="TextoNormalCaracter"/>
        </w:rPr>
        <w:t>-</w:t>
      </w:r>
      <w:r>
        <w:t xml:space="preserve"> Sentencia </w:t>
      </w:r>
      <w:hyperlink w:anchor="SENTENCIA_2013_49" w:history="1">
        <w:r w:rsidRPr="00E27756">
          <w:rPr>
            <w:rStyle w:val="TextoNormalCaracter"/>
          </w:rPr>
          <w:t>49/2013</w:t>
        </w:r>
      </w:hyperlink>
      <w:r>
        <w:t>, f. 11.</w:t>
      </w:r>
    </w:p>
    <w:p w:rsidR="00E27756" w:rsidRDefault="00E27756" w:rsidP="00E27756">
      <w:pPr>
        <w:pStyle w:val="SangriaFrancesaArticulo"/>
      </w:pPr>
      <w:r w:rsidRPr="00E27756">
        <w:rPr>
          <w:rStyle w:val="TextoNormalNegritaCaracter"/>
        </w:rPr>
        <w:t>Artículo 37 a).</w:t>
      </w:r>
      <w:r w:rsidRPr="00E27756">
        <w:rPr>
          <w:rStyle w:val="TextoNormalCaracter"/>
        </w:rPr>
        <w:t>-</w:t>
      </w:r>
      <w:r>
        <w:t xml:space="preserve"> Sentencia </w:t>
      </w:r>
      <w:hyperlink w:anchor="SENTENCIA_2013_49" w:history="1">
        <w:r w:rsidRPr="00E27756">
          <w:rPr>
            <w:rStyle w:val="TextoNormalCaracter"/>
          </w:rPr>
          <w:t>49/2013</w:t>
        </w:r>
      </w:hyperlink>
      <w:r>
        <w:t>, ff. 1, 4, 11.</w:t>
      </w:r>
    </w:p>
    <w:p w:rsidR="00E27756" w:rsidRDefault="00E27756" w:rsidP="00E27756">
      <w:pPr>
        <w:pStyle w:val="SangriaFrancesaArticulo"/>
      </w:pPr>
      <w:r w:rsidRPr="00E27756">
        <w:rPr>
          <w:rStyle w:val="TextoNormalNegritaCaracter"/>
        </w:rPr>
        <w:t>Artículo 37 b).</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Artículo 37 b)</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49" w:history="1">
        <w:r w:rsidRPr="00E27756">
          <w:rPr>
            <w:rStyle w:val="TextoNormalCaracter"/>
          </w:rPr>
          <w:t>49/2013</w:t>
        </w:r>
      </w:hyperlink>
      <w:r>
        <w:t>, ff. 1, 6.</w:t>
      </w:r>
    </w:p>
    <w:p w:rsidR="00E27756" w:rsidRDefault="00E27756" w:rsidP="00E27756">
      <w:pPr>
        <w:pStyle w:val="SangriaFrancesaArticulo"/>
      </w:pPr>
      <w:r w:rsidRPr="00E27756">
        <w:rPr>
          <w:rStyle w:val="TextoNormalNegritaCaracter"/>
        </w:rPr>
        <w:t>Artículo 46.1.</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Artículo 46.1</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r w:rsidRPr="00E27756">
        <w:rPr>
          <w:rStyle w:val="TextoNormalNegritaCaracter"/>
        </w:rPr>
        <w:t>Artículo 46.2.</w:t>
      </w:r>
      <w:r w:rsidRPr="00E27756">
        <w:rPr>
          <w:rStyle w:val="TextoNormalCaracter"/>
        </w:rPr>
        <w:t>-</w:t>
      </w:r>
      <w:r>
        <w:t xml:space="preserve"> Sentencia </w:t>
      </w:r>
      <w:hyperlink w:anchor="SENTENCIA_2013_49" w:history="1">
        <w:r w:rsidRPr="00E27756">
          <w:rPr>
            <w:rStyle w:val="TextoNormalCaracter"/>
          </w:rPr>
          <w:t>49/2013</w:t>
        </w:r>
      </w:hyperlink>
      <w:r>
        <w:t>, ff. 1, 12.</w:t>
      </w:r>
    </w:p>
    <w:p w:rsidR="00E27756" w:rsidRDefault="00E27756" w:rsidP="00E27756">
      <w:pPr>
        <w:pStyle w:val="SangriaFrancesaArticulo"/>
      </w:pPr>
      <w:r w:rsidRPr="00E27756">
        <w:rPr>
          <w:rStyle w:val="TextoNormalNegritaCaracter"/>
        </w:rPr>
        <w:t>Artículo 47.1</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49" w:history="1">
        <w:r w:rsidRPr="00E27756">
          <w:rPr>
            <w:rStyle w:val="TextoNormalCaracter"/>
          </w:rPr>
          <w:t>49/2013</w:t>
        </w:r>
      </w:hyperlink>
      <w:r>
        <w:t>, f. 12.</w:t>
      </w:r>
    </w:p>
    <w:p w:rsidR="00E27756" w:rsidRDefault="00E27756" w:rsidP="00E27756">
      <w:pPr>
        <w:pStyle w:val="SangriaFrancesaArticulo"/>
      </w:pPr>
      <w:r w:rsidRPr="00E27756">
        <w:rPr>
          <w:rStyle w:val="TextoNormalNegritaCaracter"/>
        </w:rPr>
        <w:t>Artículo 47.1, 3.</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Artículo 47.1, 3</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r w:rsidRPr="00E27756">
        <w:rPr>
          <w:rStyle w:val="TextoNormalNegritaCaracter"/>
        </w:rPr>
        <w:t>Artículo 49.</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r w:rsidRPr="00E27756">
        <w:rPr>
          <w:rStyle w:val="TextoNormalNegritaCaracter"/>
        </w:rPr>
        <w:t>Artículo 49.2 inciso in fine.</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Artículo 50.1</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Sentencias </w:t>
      </w:r>
      <w:hyperlink w:anchor="SENTENCIA_2013_84" w:history="1">
        <w:r w:rsidRPr="00E27756">
          <w:rPr>
            <w:rStyle w:val="TextoNormalCaracter"/>
          </w:rPr>
          <w:t>84/2013</w:t>
        </w:r>
      </w:hyperlink>
      <w:r>
        <w:t xml:space="preserve">, ff. 1, 4; </w:t>
      </w:r>
      <w:hyperlink w:anchor="SENTENCIA_2013_97" w:history="1">
        <w:r w:rsidRPr="00E27756">
          <w:rPr>
            <w:rStyle w:val="TextoNormalCaracter"/>
          </w:rPr>
          <w:t>97/2013</w:t>
        </w:r>
      </w:hyperlink>
      <w:r>
        <w:t>, ff. 1, 4.</w:t>
      </w:r>
    </w:p>
    <w:p w:rsidR="00E27756" w:rsidRDefault="00E27756" w:rsidP="00E27756">
      <w:pPr>
        <w:pStyle w:val="SangriaFrancesaArticulo"/>
      </w:pPr>
      <w:r w:rsidRPr="00E27756">
        <w:rPr>
          <w:rStyle w:val="TextoNormalNegritaCaracter"/>
        </w:rPr>
        <w:lastRenderedPageBreak/>
        <w:t>Artículo 50.1 a) inciso 2</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97" w:history="1">
        <w:r w:rsidRPr="00E27756">
          <w:rPr>
            <w:rStyle w:val="TextoNormalCaracter"/>
          </w:rPr>
          <w:t>97/2013</w:t>
        </w:r>
      </w:hyperlink>
      <w:r>
        <w:t>, ff. 2, 4.</w:t>
      </w:r>
    </w:p>
    <w:p w:rsidR="00E27756" w:rsidRDefault="00E27756" w:rsidP="00E27756">
      <w:pPr>
        <w:pStyle w:val="SangriaFrancesaArticulo"/>
      </w:pPr>
      <w:r w:rsidRPr="00E27756">
        <w:rPr>
          <w:rStyle w:val="TextoNormalNegritaCaracter"/>
        </w:rPr>
        <w:t>Artículo 50.1 a) párrafo 2.</w:t>
      </w:r>
      <w:r w:rsidRPr="00E27756">
        <w:rPr>
          <w:rStyle w:val="TextoNormalCaracter"/>
        </w:rPr>
        <w:t>-</w:t>
      </w:r>
      <w:r>
        <w:t xml:space="preserve"> Sentencia </w:t>
      </w:r>
      <w:hyperlink w:anchor="SENTENCIA_2013_84" w:history="1">
        <w:r w:rsidRPr="00E27756">
          <w:rPr>
            <w:rStyle w:val="TextoNormalCaracter"/>
          </w:rPr>
          <w:t>84/2013</w:t>
        </w:r>
      </w:hyperlink>
      <w:r>
        <w:t>, f. 4.</w:t>
      </w:r>
    </w:p>
    <w:p w:rsidR="00E27756" w:rsidRDefault="00E27756" w:rsidP="00E27756">
      <w:pPr>
        <w:pStyle w:val="SangriaFrancesaArticulo"/>
      </w:pPr>
      <w:r w:rsidRPr="00E27756">
        <w:rPr>
          <w:rStyle w:val="TextoNormalNegritaCaracter"/>
        </w:rPr>
        <w:t>Artículo 50.1.1 b).</w:t>
      </w:r>
      <w:r w:rsidRPr="00E27756">
        <w:rPr>
          <w:rStyle w:val="TextoNormalCaracter"/>
        </w:rPr>
        <w:t>-</w:t>
      </w:r>
      <w:r>
        <w:t xml:space="preserve"> Sentencia </w:t>
      </w:r>
      <w:hyperlink w:anchor="SENTENCIA_2013_84" w:history="1">
        <w:r w:rsidRPr="00E27756">
          <w:rPr>
            <w:rStyle w:val="TextoNormalCaracter"/>
          </w:rPr>
          <w:t>84/2013</w:t>
        </w:r>
      </w:hyperlink>
      <w:r>
        <w:t>, f. 3.</w:t>
      </w:r>
    </w:p>
    <w:p w:rsidR="00E27756" w:rsidRDefault="00E27756" w:rsidP="00E27756">
      <w:pPr>
        <w:pStyle w:val="SangriaFrancesaArticulo"/>
      </w:pPr>
      <w:r w:rsidRPr="00E27756">
        <w:rPr>
          <w:rStyle w:val="TextoNormalNegritaCaracter"/>
        </w:rPr>
        <w:t>Artículo 54 bis</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Sentencias </w:t>
      </w:r>
      <w:hyperlink w:anchor="SENTENCIA_2013_84" w:history="1">
        <w:r w:rsidRPr="00E27756">
          <w:rPr>
            <w:rStyle w:val="TextoNormalCaracter"/>
          </w:rPr>
          <w:t>84/2013</w:t>
        </w:r>
      </w:hyperlink>
      <w:r>
        <w:t xml:space="preserve">, f. 1; </w:t>
      </w:r>
      <w:hyperlink w:anchor="SENTENCIA_2013_97" w:history="1">
        <w:r w:rsidRPr="00E27756">
          <w:rPr>
            <w:rStyle w:val="TextoNormalCaracter"/>
          </w:rPr>
          <w:t>97/2013</w:t>
        </w:r>
      </w:hyperlink>
      <w:r>
        <w:t>, f. 1.</w:t>
      </w:r>
    </w:p>
    <w:p w:rsidR="00E27756" w:rsidRDefault="00E27756" w:rsidP="00E27756">
      <w:pPr>
        <w:pStyle w:val="SangriaFrancesaArticulo"/>
      </w:pPr>
      <w:r w:rsidRPr="00E27756">
        <w:rPr>
          <w:rStyle w:val="TextoNormalNegritaCaracter"/>
        </w:rPr>
        <w:t>Artículo 54 bis 1, 3.</w:t>
      </w:r>
      <w:r w:rsidRPr="00E27756">
        <w:rPr>
          <w:rStyle w:val="TextoNormalCaracter"/>
        </w:rPr>
        <w:t>-</w:t>
      </w:r>
      <w:r>
        <w:t xml:space="preserve"> Sentencia </w:t>
      </w:r>
      <w:hyperlink w:anchor="SENTENCIA_2013_84" w:history="1">
        <w:r w:rsidRPr="00E27756">
          <w:rPr>
            <w:rStyle w:val="TextoNormalCaracter"/>
          </w:rPr>
          <w:t>84/2013</w:t>
        </w:r>
      </w:hyperlink>
      <w:r>
        <w:t>, f. 3.</w:t>
      </w:r>
    </w:p>
    <w:p w:rsidR="00E27756" w:rsidRDefault="00E27756" w:rsidP="00E27756">
      <w:pPr>
        <w:pStyle w:val="SangriaFrancesaArticulo"/>
      </w:pPr>
      <w:r w:rsidRPr="00E27756">
        <w:rPr>
          <w:rStyle w:val="TextoNormalNegritaCaracter"/>
        </w:rPr>
        <w:t>Artículo 54 bis 2.</w:t>
      </w:r>
      <w:r w:rsidRPr="00E27756">
        <w:rPr>
          <w:rStyle w:val="TextoNormalCaracter"/>
        </w:rPr>
        <w:t>-</w:t>
      </w:r>
      <w:r>
        <w:t xml:space="preserve"> Sentencia </w:t>
      </w:r>
      <w:hyperlink w:anchor="SENTENCIA_2013_84" w:history="1">
        <w:r w:rsidRPr="00E27756">
          <w:rPr>
            <w:rStyle w:val="TextoNormalCaracter"/>
          </w:rPr>
          <w:t>84/2013</w:t>
        </w:r>
      </w:hyperlink>
      <w:r>
        <w:t>, ff. 5, 6.</w:t>
      </w:r>
    </w:p>
    <w:p w:rsidR="00E27756" w:rsidRDefault="00E27756" w:rsidP="00E27756">
      <w:pPr>
        <w:pStyle w:val="SangriaFrancesaArticulo"/>
      </w:pPr>
      <w:r w:rsidRPr="00E27756">
        <w:rPr>
          <w:rStyle w:val="TextoNormalNegritaCaracter"/>
        </w:rPr>
        <w:t>Artículo 54 bis 2</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97" w:history="1">
        <w:r w:rsidRPr="00E27756">
          <w:rPr>
            <w:rStyle w:val="TextoNormalCaracter"/>
          </w:rPr>
          <w:t>97/2013</w:t>
        </w:r>
      </w:hyperlink>
      <w:r>
        <w:t>, ff. 2, 5.</w:t>
      </w:r>
    </w:p>
    <w:p w:rsidR="00E27756" w:rsidRDefault="00E27756" w:rsidP="00E27756">
      <w:pPr>
        <w:pStyle w:val="SangriaFrancesaArticulo"/>
      </w:pPr>
      <w:r w:rsidRPr="00E27756">
        <w:rPr>
          <w:rStyle w:val="TextoNormalNegritaCaracter"/>
        </w:rPr>
        <w:t>Artículo 54 bis 3</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97" w:history="1">
        <w:r w:rsidRPr="00E27756">
          <w:rPr>
            <w:rStyle w:val="TextoNormalCaracter"/>
          </w:rPr>
          <w:t>97/2013</w:t>
        </w:r>
      </w:hyperlink>
      <w:r>
        <w:t>, ff. 1, 2, 6.</w:t>
      </w:r>
    </w:p>
    <w:p w:rsidR="00E27756" w:rsidRDefault="00E27756" w:rsidP="00E27756">
      <w:pPr>
        <w:pStyle w:val="SangriaFrancesaArticulo"/>
      </w:pPr>
      <w:r w:rsidRPr="00E27756">
        <w:rPr>
          <w:rStyle w:val="TextoNormalNegritaCaracter"/>
        </w:rPr>
        <w:t>Artículo 56.1.</w:t>
      </w:r>
      <w:r w:rsidRPr="00E27756">
        <w:rPr>
          <w:rStyle w:val="TextoNormalCaracter"/>
        </w:rPr>
        <w:t>-</w:t>
      </w:r>
      <w:r>
        <w:t xml:space="preserve"> Sentencia </w:t>
      </w:r>
      <w:hyperlink w:anchor="SENTENCIA_2013_49" w:history="1">
        <w:r w:rsidRPr="00E27756">
          <w:rPr>
            <w:rStyle w:val="TextoNormalCaracter"/>
          </w:rPr>
          <w:t>49/2013</w:t>
        </w:r>
      </w:hyperlink>
      <w:r>
        <w:t>, ff. 1, 7.</w:t>
      </w:r>
    </w:p>
    <w:p w:rsidR="00E27756" w:rsidRDefault="00E27756" w:rsidP="00E27756">
      <w:pPr>
        <w:pStyle w:val="SangriaFrancesaArticulo"/>
      </w:pPr>
      <w:r w:rsidRPr="00E27756">
        <w:rPr>
          <w:rStyle w:val="TextoNormalNegritaCaracter"/>
        </w:rPr>
        <w:t>Artículo 63.</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Artículo 63.1</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r w:rsidRPr="00E27756">
        <w:rPr>
          <w:rStyle w:val="TextoNormalNegritaCaracter"/>
        </w:rPr>
        <w:t>Artículo 63.3.</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r w:rsidRPr="00E27756">
        <w:rPr>
          <w:rStyle w:val="TextoNormalNegritaCaracter"/>
        </w:rPr>
        <w:t>Artículo 64.</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r w:rsidRPr="00E27756">
        <w:rPr>
          <w:rStyle w:val="TextoNormalNegritaCaracter"/>
        </w:rPr>
        <w:t>Artículos 64 a 66.</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Sentencia </w:t>
      </w:r>
      <w:hyperlink w:anchor="SENTENCIA_2013_49" w:history="1">
        <w:r w:rsidRPr="00E27756">
          <w:rPr>
            <w:rStyle w:val="TextoNormalCaracter"/>
          </w:rPr>
          <w:t>49/2013</w:t>
        </w:r>
      </w:hyperlink>
      <w:r>
        <w:t>, f. 1.</w:t>
      </w:r>
    </w:p>
    <w:p w:rsidR="00E27756" w:rsidRDefault="00E27756" w:rsidP="00E27756">
      <w:pPr>
        <w:pStyle w:val="SangriaFrancesaArticulo"/>
      </w:pPr>
      <w:r w:rsidRPr="00E27756">
        <w:rPr>
          <w:rStyle w:val="TextoNormalNegritaCaracter"/>
        </w:rPr>
        <w:t>Disposición adicional primera, apartado 1.</w:t>
      </w:r>
      <w:r w:rsidRPr="00E27756">
        <w:rPr>
          <w:rStyle w:val="TextoNormalCaracter"/>
        </w:rPr>
        <w:t>-</w:t>
      </w:r>
      <w:r>
        <w:t xml:space="preserve"> Sentencia </w:t>
      </w:r>
      <w:hyperlink w:anchor="SENTENCIA_2013_49" w:history="1">
        <w:r w:rsidRPr="00E27756">
          <w:rPr>
            <w:rStyle w:val="TextoNormalCaracter"/>
          </w:rPr>
          <w:t>49/2013</w:t>
        </w:r>
      </w:hyperlink>
      <w:r>
        <w:t>, f. 8.</w:t>
      </w:r>
    </w:p>
    <w:p w:rsidR="00E27756" w:rsidRDefault="00E27756" w:rsidP="00E27756">
      <w:pPr>
        <w:pStyle w:val="SangriaFrancesaArticulo"/>
      </w:pPr>
      <w:r w:rsidRPr="00E27756">
        <w:rPr>
          <w:rStyle w:val="TextoNormalNegritaCaracter"/>
        </w:rPr>
        <w:t>Disposición adicional primera, apartado 2.</w:t>
      </w:r>
      <w:r w:rsidRPr="00E27756">
        <w:rPr>
          <w:rStyle w:val="TextoNormalCaracter"/>
        </w:rPr>
        <w:t>-</w:t>
      </w:r>
      <w:r>
        <w:t xml:space="preserve"> Sentencia </w:t>
      </w:r>
      <w:hyperlink w:anchor="SENTENCIA_2013_49" w:history="1">
        <w:r w:rsidRPr="00E27756">
          <w:rPr>
            <w:rStyle w:val="TextoNormalCaracter"/>
          </w:rPr>
          <w:t>49/2013</w:t>
        </w:r>
      </w:hyperlink>
      <w:r>
        <w:t>, f. 8.</w:t>
      </w:r>
    </w:p>
    <w:p w:rsidR="00E27756" w:rsidRDefault="00E27756" w:rsidP="00E27756">
      <w:pPr>
        <w:pStyle w:val="SangriaFrancesaArticulo"/>
      </w:pPr>
      <w:r w:rsidRPr="00E27756">
        <w:rPr>
          <w:rStyle w:val="TextoNormalNegritaCaracter"/>
        </w:rPr>
        <w:t>Disposición transitoria tercera.</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Sentencia </w:t>
      </w:r>
      <w:hyperlink w:anchor="SENTENCIA_2013_49" w:history="1">
        <w:r w:rsidRPr="00E27756">
          <w:rPr>
            <w:rStyle w:val="TextoNormalCaracter"/>
          </w:rPr>
          <w:t>49/2013</w:t>
        </w:r>
      </w:hyperlink>
      <w:r>
        <w:t>, ff. 1, 4, 5, 7, 8, 10, 12.</w:t>
      </w:r>
    </w:p>
    <w:p w:rsidR="00E27756" w:rsidRDefault="00E27756" w:rsidP="00E27756">
      <w:pPr>
        <w:pStyle w:val="SangriaFrancesaArticulo"/>
      </w:pPr>
      <w:r w:rsidRPr="00E27756">
        <w:rPr>
          <w:rStyle w:val="TextoNormalNegritaCaracter"/>
        </w:rPr>
        <w:t>Disposición final segunda, apartado 1.</w:t>
      </w:r>
      <w:r w:rsidRPr="00E27756">
        <w:rPr>
          <w:rStyle w:val="TextoNormalCaracter"/>
        </w:rPr>
        <w:t>-</w:t>
      </w:r>
      <w:r>
        <w:t xml:space="preserve"> Sentencia </w:t>
      </w:r>
      <w:hyperlink w:anchor="SENTENCIA_2013_84" w:history="1">
        <w:r w:rsidRPr="00E27756">
          <w:rPr>
            <w:rStyle w:val="TextoNormalCaracter"/>
          </w:rPr>
          <w:t>84/2013</w:t>
        </w:r>
      </w:hyperlink>
      <w:r>
        <w:t>, f. 2.</w:t>
      </w:r>
    </w:p>
    <w:p w:rsidR="00E27756" w:rsidRDefault="00E27756" w:rsidP="00E27756">
      <w:pPr>
        <w:pStyle w:val="SangriaFrancesaArticulo"/>
      </w:pPr>
      <w:r w:rsidRPr="00E27756">
        <w:rPr>
          <w:rStyle w:val="TextoNormalNegritaCaracter"/>
        </w:rPr>
        <w:t>Disposición final segunda, apartado 2.</w:t>
      </w:r>
      <w:r w:rsidRPr="00E27756">
        <w:rPr>
          <w:rStyle w:val="TextoNormalCaracter"/>
        </w:rPr>
        <w:t>-</w:t>
      </w:r>
      <w:r>
        <w:t xml:space="preserve"> Sentencia </w:t>
      </w:r>
      <w:hyperlink w:anchor="SENTENCIA_2013_49" w:history="1">
        <w:r w:rsidRPr="00E27756">
          <w:rPr>
            <w:rStyle w:val="TextoNormalCaracter"/>
          </w:rPr>
          <w:t>49/2013</w:t>
        </w:r>
      </w:hyperlink>
      <w:r>
        <w:t>, f. 10.</w:t>
      </w:r>
    </w:p>
    <w:p w:rsidR="00E27756" w:rsidRDefault="00E27756" w:rsidP="00E27756">
      <w:pPr>
        <w:pStyle w:val="SangriaFrancesaArticulo"/>
      </w:pPr>
      <w:r w:rsidRPr="00E27756">
        <w:rPr>
          <w:rStyle w:val="TextoNormalNegritaCaracter"/>
        </w:rPr>
        <w:t>Disposición final segunda, apartado 3 b).</w:t>
      </w:r>
      <w:r w:rsidRPr="00E27756">
        <w:rPr>
          <w:rStyle w:val="TextoNormalCaracter"/>
        </w:rPr>
        <w:t>-</w:t>
      </w:r>
      <w:r>
        <w:t xml:space="preserve"> Sentencia </w:t>
      </w:r>
      <w:hyperlink w:anchor="SENTENCIA_2013_49" w:history="1">
        <w:r w:rsidRPr="00E27756">
          <w:rPr>
            <w:rStyle w:val="TextoNormalCaracter"/>
          </w:rPr>
          <w:t>49/2013</w:t>
        </w:r>
      </w:hyperlink>
      <w:r>
        <w:t>, f. 7.</w:t>
      </w:r>
    </w:p>
    <w:p w:rsidR="00E27756" w:rsidRDefault="00E27756" w:rsidP="00E27756">
      <w:pPr>
        <w:pStyle w:val="SangriaFrancesaArticulo"/>
      </w:pPr>
      <w:r w:rsidRPr="00E27756">
        <w:rPr>
          <w:rStyle w:val="TextoNormalNegritaCaracter"/>
        </w:rPr>
        <w:t>Disposición final segunda, apartado 1</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97" w:history="1">
        <w:r w:rsidRPr="00E27756">
          <w:rPr>
            <w:rStyle w:val="TextoNormalCaracter"/>
          </w:rPr>
          <w:t>97/2013</w:t>
        </w:r>
      </w:hyperlink>
      <w:r>
        <w:t>, f. 3.</w:t>
      </w:r>
    </w:p>
    <w:p w:rsidR="00E27756" w:rsidRDefault="00E27756" w:rsidP="00E27756">
      <w:pPr>
        <w:pStyle w:val="SangriaFrancesaArticulo"/>
      </w:pPr>
      <w:r w:rsidRPr="00E27756">
        <w:rPr>
          <w:rStyle w:val="TextoNormalNegritaCaracter"/>
        </w:rPr>
        <w:t>Disposición final tercera.</w:t>
      </w:r>
      <w:r w:rsidRPr="00E27756">
        <w:rPr>
          <w:rStyle w:val="TextoNormalCaracter"/>
        </w:rPr>
        <w:t>-</w:t>
      </w:r>
      <w:r>
        <w:t xml:space="preserve"> Sentencia </w:t>
      </w:r>
      <w:hyperlink w:anchor="SENTENCIA_2013_49" w:history="1">
        <w:r w:rsidRPr="00E27756">
          <w:rPr>
            <w:rStyle w:val="TextoNormalCaracter"/>
          </w:rPr>
          <w:t>49/2013</w:t>
        </w:r>
      </w:hyperlink>
      <w:r>
        <w:t>, ff. 1, 4.</w:t>
      </w:r>
    </w:p>
    <w:p w:rsidR="00E27756" w:rsidRDefault="00E27756" w:rsidP="00E27756">
      <w:pPr>
        <w:pStyle w:val="SangriaFrancesaArticulo"/>
      </w:pPr>
      <w:r w:rsidRPr="00E27756">
        <w:rPr>
          <w:rStyle w:val="TextoNormalNegritaCaracter"/>
        </w:rPr>
        <w:t>Disposición final tercera</w:t>
      </w:r>
      <w:r>
        <w:t xml:space="preserve"> </w:t>
      </w:r>
      <w:r w:rsidRPr="00E27756">
        <w:rPr>
          <w:rStyle w:val="TextoNormalCaracter"/>
        </w:rPr>
        <w:t>(redactado por la Ley 10/2006, de 28 de abril)</w:t>
      </w:r>
      <w:r w:rsidRPr="00E27756">
        <w:rPr>
          <w:rStyle w:val="TextoNormalNegritaCaracter"/>
        </w:rPr>
        <w:t>.</w:t>
      </w:r>
      <w:r w:rsidRPr="00E27756">
        <w:rPr>
          <w:rStyle w:val="TextoNormalCaracter"/>
        </w:rPr>
        <w:t>-</w:t>
      </w:r>
      <w:r>
        <w:t xml:space="preserve"> Sentencia </w:t>
      </w:r>
      <w:hyperlink w:anchor="SENTENCIA_2013_49" w:history="1">
        <w:r w:rsidRPr="00E27756">
          <w:rPr>
            <w:rStyle w:val="TextoNormalCaracter"/>
          </w:rPr>
          <w:t>49/2013</w:t>
        </w:r>
      </w:hyperlink>
      <w:r>
        <w:t>, f. 4.</w:t>
      </w:r>
    </w:p>
    <w:p w:rsidR="00E27756" w:rsidRDefault="00E27756" w:rsidP="00E27756">
      <w:pPr>
        <w:pStyle w:val="SangriaFrancesaArticulo"/>
      </w:pPr>
    </w:p>
    <w:p w:rsidR="00E27756" w:rsidRDefault="00E27756" w:rsidP="00E27756">
      <w:pPr>
        <w:pStyle w:val="TextoNormalNegritaCursivandice"/>
      </w:pPr>
      <w:r>
        <w:t>Ley 47/2003, de 26 de noviembre. General presupuestaria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0" w:history="1">
        <w:r w:rsidRPr="00E27756">
          <w:rPr>
            <w:rStyle w:val="TextoNormalCaracter"/>
          </w:rPr>
          <w:t>130/2013</w:t>
        </w:r>
      </w:hyperlink>
      <w:r>
        <w:t>, f. 12.</w:t>
      </w:r>
    </w:p>
    <w:p w:rsidR="00E27756" w:rsidRDefault="00E27756" w:rsidP="00E27756">
      <w:pPr>
        <w:pStyle w:val="SangriaFrancesaArticulo"/>
      </w:pPr>
      <w:r w:rsidRPr="00E27756">
        <w:rPr>
          <w:rStyle w:val="TextoNormalNegritaCaracter"/>
        </w:rPr>
        <w:t>Artículo 86.2.6.</w:t>
      </w:r>
      <w:r w:rsidRPr="00E27756">
        <w:rPr>
          <w:rStyle w:val="TextoNormalCaracter"/>
        </w:rPr>
        <w:t>-</w:t>
      </w:r>
      <w:r>
        <w:t xml:space="preserve"> Sentencia </w:t>
      </w:r>
      <w:hyperlink w:anchor="SENTENCIA_2013_130" w:history="1">
        <w:r w:rsidRPr="00E27756">
          <w:rPr>
            <w:rStyle w:val="TextoNormalCaracter"/>
          </w:rPr>
          <w:t>130/2013</w:t>
        </w:r>
      </w:hyperlink>
      <w:r>
        <w:t>, f. 12.</w:t>
      </w:r>
    </w:p>
    <w:p w:rsidR="00E27756" w:rsidRDefault="00E27756" w:rsidP="00E27756">
      <w:pPr>
        <w:pStyle w:val="SangriaFrancesaArticulo"/>
      </w:pPr>
    </w:p>
    <w:p w:rsidR="00E27756" w:rsidRDefault="00E27756" w:rsidP="00E27756">
      <w:pPr>
        <w:pStyle w:val="TextoNormalNegritaCursivandice"/>
      </w:pPr>
      <w:r>
        <w:t>Ley 55/2003, de 16 de diciembre. Estatuto marco del personal estatutario de los servicios de salud</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Auto </w:t>
      </w:r>
      <w:hyperlink w:anchor="AUTO_2013_85" w:history="1">
        <w:r w:rsidRPr="00E27756">
          <w:rPr>
            <w:rStyle w:val="TextoNormalCaracter"/>
          </w:rPr>
          <w:t>85/2013</w:t>
        </w:r>
      </w:hyperlink>
      <w:r>
        <w:t>, f. 4.</w:t>
      </w:r>
    </w:p>
    <w:p w:rsidR="00E27756" w:rsidRDefault="00E27756" w:rsidP="00E27756">
      <w:pPr>
        <w:pStyle w:val="SangriaFrancesaArticulo"/>
      </w:pPr>
      <w:r w:rsidRPr="00E27756">
        <w:rPr>
          <w:rStyle w:val="TextoNormalNegritaCaracter"/>
        </w:rPr>
        <w:t>Artículo 21 e).</w:t>
      </w:r>
      <w:r w:rsidRPr="00E27756">
        <w:rPr>
          <w:rStyle w:val="TextoNormalCaracter"/>
        </w:rPr>
        <w:t>-</w:t>
      </w:r>
      <w:r>
        <w:t xml:space="preserve"> Autos </w:t>
      </w:r>
      <w:hyperlink w:anchor="AUTO_2013_85" w:history="1">
        <w:r w:rsidRPr="00E27756">
          <w:rPr>
            <w:rStyle w:val="TextoNormalCaracter"/>
          </w:rPr>
          <w:t>85/2013</w:t>
        </w:r>
      </w:hyperlink>
      <w:r>
        <w:t xml:space="preserve">, f. 4; </w:t>
      </w:r>
      <w:hyperlink w:anchor="AUTO_2013_125" w:history="1">
        <w:r w:rsidRPr="00E27756">
          <w:rPr>
            <w:rStyle w:val="TextoNormalCaracter"/>
          </w:rPr>
          <w:t>125/2013</w:t>
        </w:r>
      </w:hyperlink>
      <w:r>
        <w:t xml:space="preserve">, f. 2; </w:t>
      </w:r>
      <w:hyperlink w:anchor="AUTO_2013_127" w:history="1">
        <w:r w:rsidRPr="00E27756">
          <w:rPr>
            <w:rStyle w:val="TextoNormalCaracter"/>
          </w:rPr>
          <w:t>127/2013</w:t>
        </w:r>
      </w:hyperlink>
      <w:r>
        <w:t xml:space="preserve">, f. 2; </w:t>
      </w:r>
      <w:hyperlink w:anchor="AUTO_2013_128" w:history="1">
        <w:r w:rsidRPr="00E27756">
          <w:rPr>
            <w:rStyle w:val="TextoNormalCaracter"/>
          </w:rPr>
          <w:t>128/2013</w:t>
        </w:r>
      </w:hyperlink>
      <w:r>
        <w:t>, f. 2.</w:t>
      </w:r>
    </w:p>
    <w:p w:rsidR="00E27756" w:rsidRDefault="00E27756" w:rsidP="00E27756">
      <w:pPr>
        <w:pStyle w:val="SangriaFrancesaArticulo"/>
      </w:pPr>
      <w:r w:rsidRPr="00E27756">
        <w:rPr>
          <w:rStyle w:val="TextoNormalNegritaCaracter"/>
        </w:rPr>
        <w:t>Artículo 26.2.</w:t>
      </w:r>
      <w:r w:rsidRPr="00E27756">
        <w:rPr>
          <w:rStyle w:val="TextoNormalCaracter"/>
        </w:rPr>
        <w:t>-</w:t>
      </w:r>
      <w:r>
        <w:t xml:space="preserve"> Autos </w:t>
      </w:r>
      <w:hyperlink w:anchor="AUTO_2013_85" w:history="1">
        <w:r w:rsidRPr="00E27756">
          <w:rPr>
            <w:rStyle w:val="TextoNormalCaracter"/>
          </w:rPr>
          <w:t>85/2013</w:t>
        </w:r>
      </w:hyperlink>
      <w:r>
        <w:t xml:space="preserve">, ff. 1, 3, 5, 6; </w:t>
      </w:r>
      <w:hyperlink w:anchor="AUTO_2013_125" w:history="1">
        <w:r w:rsidRPr="00E27756">
          <w:rPr>
            <w:rStyle w:val="TextoNormalCaracter"/>
          </w:rPr>
          <w:t>125/2013</w:t>
        </w:r>
      </w:hyperlink>
      <w:r>
        <w:t xml:space="preserve">, ff. 1, 2; </w:t>
      </w:r>
      <w:hyperlink w:anchor="AUTO_2013_127" w:history="1">
        <w:r w:rsidRPr="00E27756">
          <w:rPr>
            <w:rStyle w:val="TextoNormalCaracter"/>
          </w:rPr>
          <w:t>127/2013</w:t>
        </w:r>
      </w:hyperlink>
      <w:r>
        <w:t xml:space="preserve">, ff. 1, 2; </w:t>
      </w:r>
      <w:hyperlink w:anchor="AUTO_2013_128" w:history="1">
        <w:r w:rsidRPr="00E27756">
          <w:rPr>
            <w:rStyle w:val="TextoNormalCaracter"/>
          </w:rPr>
          <w:t>128/2013</w:t>
        </w:r>
      </w:hyperlink>
      <w:r>
        <w:t>, ff. 1, 2.</w:t>
      </w:r>
    </w:p>
    <w:p w:rsidR="00E27756" w:rsidRDefault="00E27756" w:rsidP="00E27756">
      <w:pPr>
        <w:pStyle w:val="SangriaFrancesaArticulo"/>
      </w:pPr>
      <w:r w:rsidRPr="00E27756">
        <w:rPr>
          <w:rStyle w:val="TextoNormalNegritaCaracter"/>
        </w:rPr>
        <w:t>Artículo 26.2 inciso 2.</w:t>
      </w:r>
      <w:r w:rsidRPr="00E27756">
        <w:rPr>
          <w:rStyle w:val="TextoNormalCaracter"/>
        </w:rPr>
        <w:t>-</w:t>
      </w:r>
      <w:r>
        <w:t xml:space="preserve"> Autos </w:t>
      </w:r>
      <w:hyperlink w:anchor="AUTO_2013_127" w:history="1">
        <w:r w:rsidRPr="00E27756">
          <w:rPr>
            <w:rStyle w:val="TextoNormalCaracter"/>
          </w:rPr>
          <w:t>127/2013</w:t>
        </w:r>
      </w:hyperlink>
      <w:r>
        <w:t xml:space="preserve">, f. 2; </w:t>
      </w:r>
      <w:hyperlink w:anchor="AUTO_2013_128" w:history="1">
        <w:r w:rsidRPr="00E27756">
          <w:rPr>
            <w:rStyle w:val="TextoNormalCaracter"/>
          </w:rPr>
          <w:t>128/2013</w:t>
        </w:r>
      </w:hyperlink>
      <w:r>
        <w:t>, f. 2.</w:t>
      </w:r>
    </w:p>
    <w:p w:rsidR="00E27756" w:rsidRDefault="00E27756" w:rsidP="00E27756">
      <w:pPr>
        <w:pStyle w:val="SangriaFrancesaArticulo"/>
      </w:pPr>
      <w:r w:rsidRPr="00E27756">
        <w:rPr>
          <w:rStyle w:val="TextoNormalNegritaCaracter"/>
        </w:rPr>
        <w:t>Artículo 26.2.2.</w:t>
      </w:r>
      <w:r w:rsidRPr="00E27756">
        <w:rPr>
          <w:rStyle w:val="TextoNormalCaracter"/>
        </w:rPr>
        <w:t>-</w:t>
      </w:r>
      <w:r>
        <w:t xml:space="preserve"> Autos </w:t>
      </w:r>
      <w:hyperlink w:anchor="AUTO_2013_127" w:history="1">
        <w:r w:rsidRPr="00E27756">
          <w:rPr>
            <w:rStyle w:val="TextoNormalCaracter"/>
          </w:rPr>
          <w:t>127/2013</w:t>
        </w:r>
      </w:hyperlink>
      <w:r>
        <w:t xml:space="preserve">, f. 2; </w:t>
      </w:r>
      <w:hyperlink w:anchor="AUTO_2013_128" w:history="1">
        <w:r w:rsidRPr="00E27756">
          <w:rPr>
            <w:rStyle w:val="TextoNormalCaracter"/>
          </w:rPr>
          <w:t>128/2013</w:t>
        </w:r>
      </w:hyperlink>
      <w:r>
        <w:t>, f. 2.</w:t>
      </w:r>
    </w:p>
    <w:p w:rsidR="00E27756" w:rsidRDefault="00E27756" w:rsidP="00E27756">
      <w:pPr>
        <w:pStyle w:val="SangriaFrancesaArticulo"/>
      </w:pPr>
      <w:r w:rsidRPr="00E27756">
        <w:rPr>
          <w:rStyle w:val="TextoNormalNegritaCaracter"/>
        </w:rPr>
        <w:t>Artículo 26.3.</w:t>
      </w:r>
      <w:r w:rsidRPr="00E27756">
        <w:rPr>
          <w:rStyle w:val="TextoNormalCaracter"/>
        </w:rPr>
        <w:t>-</w:t>
      </w:r>
      <w:r>
        <w:t xml:space="preserve"> Auto </w:t>
      </w:r>
      <w:hyperlink w:anchor="AUTO_2013_85" w:history="1">
        <w:r w:rsidRPr="00E27756">
          <w:rPr>
            <w:rStyle w:val="TextoNormalCaracter"/>
          </w:rPr>
          <w:t>85/2013</w:t>
        </w:r>
      </w:hyperlink>
      <w:r>
        <w:t>, f. 5.</w:t>
      </w:r>
    </w:p>
    <w:p w:rsidR="00E27756" w:rsidRDefault="00E27756" w:rsidP="00E27756">
      <w:pPr>
        <w:pStyle w:val="SangriaFrancesaArticulo"/>
      </w:pPr>
      <w:r w:rsidRPr="00E27756">
        <w:rPr>
          <w:rStyle w:val="TextoNormalNegritaCaracter"/>
        </w:rPr>
        <w:t>Disposición transitoria séptima.</w:t>
      </w:r>
      <w:r w:rsidRPr="00E27756">
        <w:rPr>
          <w:rStyle w:val="TextoNormalCaracter"/>
        </w:rPr>
        <w:t>-</w:t>
      </w:r>
      <w:r>
        <w:t xml:space="preserve"> Auto </w:t>
      </w:r>
      <w:hyperlink w:anchor="AUTO_2013_85" w:history="1">
        <w:r w:rsidRPr="00E27756">
          <w:rPr>
            <w:rStyle w:val="TextoNormalCaracter"/>
          </w:rPr>
          <w:t>85/2013</w:t>
        </w:r>
      </w:hyperlink>
      <w:r>
        <w:t>, f. 5.</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Autos </w:t>
      </w:r>
      <w:hyperlink w:anchor="AUTO_2013_85" w:history="1">
        <w:r w:rsidRPr="00E27756">
          <w:rPr>
            <w:rStyle w:val="TextoNormalCaracter"/>
          </w:rPr>
          <w:t>85/2013</w:t>
        </w:r>
      </w:hyperlink>
      <w:r>
        <w:t xml:space="preserve">, f. 5; </w:t>
      </w:r>
      <w:hyperlink w:anchor="AUTO_2013_125" w:history="1">
        <w:r w:rsidRPr="00E27756">
          <w:rPr>
            <w:rStyle w:val="TextoNormalCaracter"/>
          </w:rPr>
          <w:t>125/2013</w:t>
        </w:r>
      </w:hyperlink>
      <w:r>
        <w:t xml:space="preserve">, f. 2; </w:t>
      </w:r>
      <w:hyperlink w:anchor="AUTO_2013_127" w:history="1">
        <w:r w:rsidRPr="00E27756">
          <w:rPr>
            <w:rStyle w:val="TextoNormalCaracter"/>
          </w:rPr>
          <w:t>127/2013</w:t>
        </w:r>
      </w:hyperlink>
      <w:r>
        <w:t xml:space="preserve">, f. 2; </w:t>
      </w:r>
      <w:hyperlink w:anchor="AUTO_2013_128" w:history="1">
        <w:r w:rsidRPr="00E27756">
          <w:rPr>
            <w:rStyle w:val="TextoNormalCaracter"/>
          </w:rPr>
          <w:t>128/2013</w:t>
        </w:r>
      </w:hyperlink>
      <w:r>
        <w:t>, f. 2.</w:t>
      </w:r>
    </w:p>
    <w:p w:rsidR="00E27756" w:rsidRDefault="00E27756" w:rsidP="00E27756">
      <w:pPr>
        <w:pStyle w:val="SangriaFrancesaArticulo"/>
      </w:pPr>
    </w:p>
    <w:p w:rsidR="00E27756" w:rsidRDefault="00E27756" w:rsidP="00E27756">
      <w:pPr>
        <w:pStyle w:val="TextoNormalNegritaCursivandice"/>
      </w:pPr>
      <w:r>
        <w:t>Ley 56/2003, de 16 de diciembre. Empleo</w:t>
      </w:r>
    </w:p>
    <w:p w:rsidR="00E27756" w:rsidRDefault="00E27756" w:rsidP="00E27756">
      <w:pPr>
        <w:pStyle w:val="SangriaFrancesaArticulo"/>
      </w:pPr>
      <w:r w:rsidRPr="00E27756">
        <w:rPr>
          <w:rStyle w:val="TextoNormalNegritaCaracter"/>
        </w:rPr>
        <w:t>Artículo 13 j).</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p>
    <w:p w:rsidR="00E27756" w:rsidRDefault="00E27756" w:rsidP="00E27756">
      <w:pPr>
        <w:pStyle w:val="TextoNormalNegritaCursivandice"/>
      </w:pPr>
      <w:r>
        <w:t>Ley 57/2003, de 16 de diciembre. Medidas para la modernización del gobierno local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3" w:history="1">
        <w:r w:rsidRPr="00E27756">
          <w:rPr>
            <w:rStyle w:val="TextoNormalCaracter"/>
          </w:rPr>
          <w:t>103/2013</w:t>
        </w:r>
      </w:hyperlink>
      <w:r>
        <w:t>, ff. 5 a 7, VP.</w:t>
      </w:r>
    </w:p>
    <w:p w:rsidR="00E27756" w:rsidRDefault="00E27756" w:rsidP="00E27756">
      <w:pPr>
        <w:pStyle w:val="SangriaFrancesaArticulo"/>
      </w:pPr>
      <w:r w:rsidRPr="00E27756">
        <w:rPr>
          <w:rStyle w:val="TextoNormalNegritaCaracter"/>
        </w:rPr>
        <w:t>Título X.</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103" w:history="1">
        <w:r w:rsidRPr="00E27756">
          <w:rPr>
            <w:rStyle w:val="TextoNormalCaracter"/>
          </w:rPr>
          <w:t>103/2013</w:t>
        </w:r>
      </w:hyperlink>
      <w:r>
        <w:t>, f. 5, VP.</w:t>
      </w:r>
    </w:p>
    <w:p w:rsidR="00E27756" w:rsidRDefault="00E27756" w:rsidP="00E27756">
      <w:pPr>
        <w:pStyle w:val="SangriaFrancesaArticulo"/>
      </w:pPr>
      <w:r w:rsidRPr="00E27756">
        <w:rPr>
          <w:rStyle w:val="TextoNormalNegritaCaracter"/>
        </w:rPr>
        <w:t>Exposición de motivos, apartado IV.</w:t>
      </w:r>
      <w:r w:rsidRPr="00E27756">
        <w:rPr>
          <w:rStyle w:val="TextoNormalCaracter"/>
        </w:rPr>
        <w:t>-</w:t>
      </w:r>
      <w:r>
        <w:t xml:space="preserve"> Sentencia </w:t>
      </w:r>
      <w:hyperlink w:anchor="SENTENCIA_2013_103" w:history="1">
        <w:r w:rsidRPr="00E27756">
          <w:rPr>
            <w:rStyle w:val="TextoNormalCaracter"/>
          </w:rPr>
          <w:t>103/2013</w:t>
        </w:r>
      </w:hyperlink>
      <w:r>
        <w:t>, VP.</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103" w:history="1">
        <w:r w:rsidRPr="00E27756">
          <w:rPr>
            <w:rStyle w:val="TextoNormalCaracter"/>
          </w:rPr>
          <w:t>103/2013</w:t>
        </w:r>
      </w:hyperlink>
      <w:r>
        <w:t>, f. 1.</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103" w:history="1">
        <w:r w:rsidRPr="00E27756">
          <w:rPr>
            <w:rStyle w:val="TextoNormalCaracter"/>
          </w:rPr>
          <w:t>103/2013</w:t>
        </w:r>
      </w:hyperlink>
      <w:r>
        <w:t>, ff. 1, 2, 5.</w:t>
      </w:r>
    </w:p>
    <w:p w:rsidR="00E27756" w:rsidRDefault="00E27756" w:rsidP="00E27756">
      <w:pPr>
        <w:pStyle w:val="SangriaFrancesaArticulo"/>
      </w:pPr>
    </w:p>
    <w:p w:rsidR="00E27756" w:rsidRDefault="00E27756" w:rsidP="00E27756">
      <w:pPr>
        <w:pStyle w:val="TextoNormalNegritaCursivandice"/>
      </w:pPr>
      <w:r>
        <w:t>Ley 58/2003, de 17 de diciembre. General tributaria</w:t>
      </w:r>
    </w:p>
    <w:p w:rsidR="00E27756" w:rsidRDefault="00E27756" w:rsidP="00E27756">
      <w:pPr>
        <w:pStyle w:val="SangriaFrancesaArticulo"/>
      </w:pPr>
      <w:r w:rsidRPr="00E27756">
        <w:rPr>
          <w:rStyle w:val="TextoNormalNegritaCaracter"/>
        </w:rPr>
        <w:t>Artículo 50.</w:t>
      </w:r>
      <w:r w:rsidRPr="00E27756">
        <w:rPr>
          <w:rStyle w:val="TextoNormalCaracter"/>
        </w:rPr>
        <w:t>-</w:t>
      </w:r>
      <w:r>
        <w:t xml:space="preserve"> Sentencia </w:t>
      </w:r>
      <w:hyperlink w:anchor="SENTENCIA_2013_2" w:history="1">
        <w:r w:rsidRPr="00E27756">
          <w:rPr>
            <w:rStyle w:val="TextoNormalCaracter"/>
          </w:rPr>
          <w:t>2/2013</w:t>
        </w:r>
      </w:hyperlink>
      <w:r>
        <w:t>, f. 8.</w:t>
      </w:r>
    </w:p>
    <w:p w:rsidR="00E27756" w:rsidRDefault="00E27756" w:rsidP="00E27756">
      <w:pPr>
        <w:pStyle w:val="SangriaFrancesaArticulo"/>
      </w:pPr>
      <w:r w:rsidRPr="00E27756">
        <w:rPr>
          <w:rStyle w:val="TextoNormalNegritaCaracter"/>
        </w:rPr>
        <w:t>Artículo 53.</w:t>
      </w:r>
      <w:r w:rsidRPr="00E27756">
        <w:rPr>
          <w:rStyle w:val="TextoNormalCaracter"/>
        </w:rPr>
        <w:t>-</w:t>
      </w:r>
      <w:r>
        <w:t xml:space="preserve"> Sentencia </w:t>
      </w:r>
      <w:hyperlink w:anchor="SENTENCIA_2013_2" w:history="1">
        <w:r w:rsidRPr="00E27756">
          <w:rPr>
            <w:rStyle w:val="TextoNormalCaracter"/>
          </w:rPr>
          <w:t>2/2013</w:t>
        </w:r>
      </w:hyperlink>
      <w:r>
        <w:t>, f. 8.</w:t>
      </w:r>
    </w:p>
    <w:p w:rsidR="00E27756" w:rsidRDefault="00E27756" w:rsidP="00E27756">
      <w:pPr>
        <w:pStyle w:val="SangriaFrancesaArticulo"/>
      </w:pPr>
      <w:r w:rsidRPr="00E27756">
        <w:rPr>
          <w:rStyle w:val="TextoNormalNegritaCaracter"/>
        </w:rPr>
        <w:t>Artículos 93 a 95.</w:t>
      </w:r>
      <w:r w:rsidRPr="00E27756">
        <w:rPr>
          <w:rStyle w:val="TextoNormalCaracter"/>
        </w:rPr>
        <w:t>-</w:t>
      </w:r>
      <w:r>
        <w:t xml:space="preserve"> Sentencia </w:t>
      </w:r>
      <w:hyperlink w:anchor="SENTENCIA_2013_17" w:history="1">
        <w:r w:rsidRPr="00E27756">
          <w:rPr>
            <w:rStyle w:val="TextoNormalCaracter"/>
          </w:rPr>
          <w:t>17/2013</w:t>
        </w:r>
      </w:hyperlink>
      <w:r>
        <w:t>, f. 8.</w:t>
      </w:r>
    </w:p>
    <w:p w:rsidR="00E27756" w:rsidRDefault="00E27756" w:rsidP="00E27756">
      <w:pPr>
        <w:pStyle w:val="SangriaFrancesaArticulo"/>
      </w:pPr>
      <w:r w:rsidRPr="00E27756">
        <w:rPr>
          <w:rStyle w:val="TextoNormalNegritaCaracter"/>
        </w:rPr>
        <w:t>Artículo 135.</w:t>
      </w:r>
      <w:r w:rsidRPr="00E27756">
        <w:rPr>
          <w:rStyle w:val="TextoNormalCaracter"/>
        </w:rPr>
        <w:t>-</w:t>
      </w:r>
      <w:r>
        <w:t xml:space="preserve"> Sentencia </w:t>
      </w:r>
      <w:hyperlink w:anchor="SENTENCIA_2013_91" w:history="1">
        <w:r w:rsidRPr="00E27756">
          <w:rPr>
            <w:rStyle w:val="TextoNormalCaracter"/>
          </w:rPr>
          <w:t>91/2013</w:t>
        </w:r>
      </w:hyperlink>
      <w:r>
        <w:t>, f. 4.</w:t>
      </w:r>
    </w:p>
    <w:p w:rsidR="00E27756" w:rsidRDefault="00E27756" w:rsidP="00E27756">
      <w:pPr>
        <w:pStyle w:val="SangriaFrancesaArticulo"/>
      </w:pPr>
    </w:p>
    <w:p w:rsidR="00E27756" w:rsidRDefault="00E27756" w:rsidP="00E27756">
      <w:pPr>
        <w:pStyle w:val="TextoNormalNegritaCursivandice"/>
      </w:pPr>
      <w:r>
        <w:t>Ley 61/2003, de 30 de diciembre. Presupuestos generales del Estado para 2004</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11" w:history="1">
        <w:r w:rsidRPr="00E27756">
          <w:rPr>
            <w:rStyle w:val="TextoNormalCaracter"/>
          </w:rPr>
          <w:t>111/2013</w:t>
        </w:r>
      </w:hyperlink>
      <w:r>
        <w:t>, f. 5.</w:t>
      </w:r>
    </w:p>
    <w:p w:rsidR="00E27756" w:rsidRDefault="00E27756" w:rsidP="00E27756">
      <w:pPr>
        <w:pStyle w:val="SangriaFrancesaArticulo"/>
      </w:pPr>
    </w:p>
    <w:p w:rsidR="00E27756" w:rsidRDefault="00E27756" w:rsidP="00E27756">
      <w:pPr>
        <w:pStyle w:val="TextoNormalNegritaCursivandice"/>
      </w:pPr>
      <w:r>
        <w:t>Ley 62/2003, de 30 de diciembre. Medidas fiscales, administrativas y del orden social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36" w:history="1">
        <w:r w:rsidRPr="00E27756">
          <w:rPr>
            <w:rStyle w:val="TextoNormalCaracter"/>
          </w:rPr>
          <w:t>36/2013</w:t>
        </w:r>
      </w:hyperlink>
      <w:r>
        <w:t xml:space="preserve">, ff. 3, 5; </w:t>
      </w:r>
      <w:hyperlink w:anchor="SENTENCIA_2013_59" w:history="1">
        <w:r w:rsidRPr="00E27756">
          <w:rPr>
            <w:rStyle w:val="TextoNormalCaracter"/>
          </w:rPr>
          <w:t>59/2013</w:t>
        </w:r>
      </w:hyperlink>
      <w:r>
        <w:t xml:space="preserve">, f. 2; </w:t>
      </w:r>
      <w:hyperlink w:anchor="SENTENCIA_2013_104" w:history="1">
        <w:r w:rsidRPr="00E27756">
          <w:rPr>
            <w:rStyle w:val="TextoNormalCaracter"/>
          </w:rPr>
          <w:t>104/2013</w:t>
        </w:r>
      </w:hyperlink>
      <w:r>
        <w:t xml:space="preserve">, ff. 1 a 4, 6, 7, 10; </w:t>
      </w:r>
      <w:hyperlink w:anchor="SENTENCIA_2013_111" w:history="1">
        <w:r w:rsidRPr="00E27756">
          <w:rPr>
            <w:rStyle w:val="TextoNormalCaracter"/>
          </w:rPr>
          <w:t>111/2013</w:t>
        </w:r>
      </w:hyperlink>
      <w:r>
        <w:t xml:space="preserve">, ff. 2, 4, 5; </w:t>
      </w:r>
      <w:hyperlink w:anchor="SENTENCIA_2013_123" w:history="1">
        <w:r w:rsidRPr="00E27756">
          <w:rPr>
            <w:rStyle w:val="TextoNormalCaracter"/>
          </w:rPr>
          <w:t>123/2013</w:t>
        </w:r>
      </w:hyperlink>
      <w:r>
        <w:t>, f. 2.</w:t>
      </w:r>
    </w:p>
    <w:p w:rsidR="00E27756" w:rsidRDefault="00E27756" w:rsidP="00E27756">
      <w:pPr>
        <w:pStyle w:val="SangriaFrancesaArticulo"/>
      </w:pPr>
      <w:r w:rsidRPr="00E27756">
        <w:rPr>
          <w:rStyle w:val="TextoNormalNegritaCaracter"/>
        </w:rPr>
        <w:t>Artículo 16.5.</w:t>
      </w:r>
      <w:r w:rsidRPr="00E27756">
        <w:rPr>
          <w:rStyle w:val="TextoNormalCaracter"/>
        </w:rPr>
        <w:t>-</w:t>
      </w:r>
      <w:r>
        <w:t xml:space="preserve"> Sentencia </w:t>
      </w:r>
      <w:hyperlink w:anchor="SENTENCIA_2013_36" w:history="1">
        <w:r w:rsidRPr="00E27756">
          <w:rPr>
            <w:rStyle w:val="TextoNormalCaracter"/>
          </w:rPr>
          <w:t>36/2013</w:t>
        </w:r>
      </w:hyperlink>
      <w:r>
        <w:t>, f. 5.</w:t>
      </w:r>
    </w:p>
    <w:p w:rsidR="00E27756" w:rsidRDefault="00E27756" w:rsidP="00E27756">
      <w:pPr>
        <w:pStyle w:val="SangriaFrancesaArticulo"/>
      </w:pPr>
      <w:r w:rsidRPr="00E27756">
        <w:rPr>
          <w:rStyle w:val="TextoNormalNegritaCaracter"/>
        </w:rPr>
        <w:t>Artículo 29.</w:t>
      </w:r>
      <w:r w:rsidRPr="00E27756">
        <w:rPr>
          <w:rStyle w:val="TextoNormalCaracter"/>
        </w:rPr>
        <w:t>-</w:t>
      </w:r>
      <w:r>
        <w:t xml:space="preserve"> Sentencia </w:t>
      </w:r>
      <w:hyperlink w:anchor="SENTENCIA_2013_104" w:history="1">
        <w:r w:rsidRPr="00E27756">
          <w:rPr>
            <w:rStyle w:val="TextoNormalCaracter"/>
          </w:rPr>
          <w:t>104/2013</w:t>
        </w:r>
      </w:hyperlink>
      <w:r>
        <w:t>, f. 3.</w:t>
      </w:r>
    </w:p>
    <w:p w:rsidR="00E27756" w:rsidRDefault="00E27756" w:rsidP="00E27756">
      <w:pPr>
        <w:pStyle w:val="SangriaFrancesaArticulo"/>
      </w:pPr>
      <w:r w:rsidRPr="00E27756">
        <w:rPr>
          <w:rStyle w:val="TextoNormalNegritaCaracter"/>
        </w:rPr>
        <w:t>Artículo 30.</w:t>
      </w:r>
      <w:r w:rsidRPr="00E27756">
        <w:rPr>
          <w:rStyle w:val="TextoNormalCaracter"/>
        </w:rPr>
        <w:t>-</w:t>
      </w:r>
      <w:r>
        <w:t xml:space="preserve"> Sentencia </w:t>
      </w:r>
      <w:hyperlink w:anchor="SENTENCIA_2013_104" w:history="1">
        <w:r w:rsidRPr="00E27756">
          <w:rPr>
            <w:rStyle w:val="TextoNormalCaracter"/>
          </w:rPr>
          <w:t>104/2013</w:t>
        </w:r>
      </w:hyperlink>
      <w:r>
        <w:t>, f. 3.</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 </w:t>
      </w:r>
      <w:hyperlink w:anchor="SENTENCIA_2013_104" w:history="1">
        <w:r w:rsidRPr="00E27756">
          <w:rPr>
            <w:rStyle w:val="TextoNormalCaracter"/>
          </w:rPr>
          <w:t>104/2013</w:t>
        </w:r>
      </w:hyperlink>
      <w:r>
        <w:t>, f. 3.</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104" w:history="1">
        <w:r w:rsidRPr="00E27756">
          <w:rPr>
            <w:rStyle w:val="TextoNormalCaracter"/>
          </w:rPr>
          <w:t>104/2013</w:t>
        </w:r>
      </w:hyperlink>
      <w:r>
        <w:t>, f. 3.</w:t>
      </w:r>
    </w:p>
    <w:p w:rsidR="00E27756" w:rsidRDefault="00E27756" w:rsidP="00E27756">
      <w:pPr>
        <w:pStyle w:val="SangriaFrancesaArticulo"/>
      </w:pPr>
      <w:r w:rsidRPr="00E27756">
        <w:rPr>
          <w:rStyle w:val="TextoNormalNegritaCaracter"/>
        </w:rPr>
        <w:t>Artículo 33.</w:t>
      </w:r>
      <w:r w:rsidRPr="00E27756">
        <w:rPr>
          <w:rStyle w:val="TextoNormalCaracter"/>
        </w:rPr>
        <w:t>-</w:t>
      </w:r>
      <w:r>
        <w:t xml:space="preserve"> Sentencia </w:t>
      </w:r>
      <w:hyperlink w:anchor="SENTENCIA_2013_104" w:history="1">
        <w:r w:rsidRPr="00E27756">
          <w:rPr>
            <w:rStyle w:val="TextoNormalCaracter"/>
          </w:rPr>
          <w:t>104/2013</w:t>
        </w:r>
      </w:hyperlink>
      <w:r>
        <w:t>, f. 3.</w:t>
      </w:r>
    </w:p>
    <w:p w:rsidR="00E27756" w:rsidRDefault="00E27756" w:rsidP="00E27756">
      <w:pPr>
        <w:pStyle w:val="SangriaFrancesaArticulo"/>
      </w:pPr>
      <w:r w:rsidRPr="00E27756">
        <w:rPr>
          <w:rStyle w:val="TextoNormalNegritaCaracter"/>
        </w:rPr>
        <w:t>Artículo 33.2 a).</w:t>
      </w:r>
      <w:r w:rsidRPr="00E27756">
        <w:rPr>
          <w:rStyle w:val="TextoNormalCaracter"/>
        </w:rPr>
        <w:t>-</w:t>
      </w:r>
      <w:r>
        <w:t xml:space="preserve"> Sentencia </w:t>
      </w:r>
      <w:hyperlink w:anchor="SENTENCIA_2013_104" w:history="1">
        <w:r w:rsidRPr="00E27756">
          <w:rPr>
            <w:rStyle w:val="TextoNormalCaracter"/>
          </w:rPr>
          <w:t>104/2013</w:t>
        </w:r>
      </w:hyperlink>
      <w:r>
        <w:t>, ff. 1 a 3.</w:t>
      </w:r>
    </w:p>
    <w:p w:rsidR="00E27756" w:rsidRDefault="00E27756" w:rsidP="00E27756">
      <w:pPr>
        <w:pStyle w:val="SangriaFrancesaArticulo"/>
      </w:pPr>
      <w:r w:rsidRPr="00E27756">
        <w:rPr>
          <w:rStyle w:val="TextoNormalNegritaCaracter"/>
        </w:rPr>
        <w:t>Artículo 33.5.</w:t>
      </w:r>
      <w:r w:rsidRPr="00E27756">
        <w:rPr>
          <w:rStyle w:val="TextoNormalCaracter"/>
        </w:rPr>
        <w:t>-</w:t>
      </w:r>
      <w:r>
        <w:t xml:space="preserve"> Sentencia </w:t>
      </w:r>
      <w:hyperlink w:anchor="SENTENCIA_2013_104" w:history="1">
        <w:r w:rsidRPr="00E27756">
          <w:rPr>
            <w:rStyle w:val="TextoNormalCaracter"/>
          </w:rPr>
          <w:t>104/2013</w:t>
        </w:r>
      </w:hyperlink>
      <w:r>
        <w:t>, f. 3.</w:t>
      </w:r>
    </w:p>
    <w:p w:rsidR="00E27756" w:rsidRDefault="00E27756" w:rsidP="00E27756">
      <w:pPr>
        <w:pStyle w:val="SangriaFrancesaArticulo"/>
      </w:pPr>
      <w:r w:rsidRPr="00E27756">
        <w:rPr>
          <w:rStyle w:val="TextoNormalNegritaCaracter"/>
        </w:rPr>
        <w:t>Artículo 36.2.</w:t>
      </w:r>
      <w:r w:rsidRPr="00E27756">
        <w:rPr>
          <w:rStyle w:val="TextoNormalCaracter"/>
        </w:rPr>
        <w:t>-</w:t>
      </w:r>
      <w:r>
        <w:t xml:space="preserve"> Sentencia </w:t>
      </w:r>
      <w:hyperlink w:anchor="SENTENCIA_2013_36" w:history="1">
        <w:r w:rsidRPr="00E27756">
          <w:rPr>
            <w:rStyle w:val="TextoNormalCaracter"/>
          </w:rPr>
          <w:t>36/2013</w:t>
        </w:r>
      </w:hyperlink>
      <w:r>
        <w:t>, f. 5.</w:t>
      </w:r>
    </w:p>
    <w:p w:rsidR="00E27756" w:rsidRDefault="00E27756" w:rsidP="00E27756">
      <w:pPr>
        <w:pStyle w:val="SangriaFrancesaArticulo"/>
      </w:pPr>
      <w:r w:rsidRPr="00E27756">
        <w:rPr>
          <w:rStyle w:val="TextoNormalNegritaCaracter"/>
        </w:rPr>
        <w:t>Artículo 46.17.</w:t>
      </w:r>
      <w:r w:rsidRPr="00E27756">
        <w:rPr>
          <w:rStyle w:val="TextoNormalCaracter"/>
        </w:rPr>
        <w:t>-</w:t>
      </w:r>
      <w:r>
        <w:t xml:space="preserve"> Sentencia </w:t>
      </w:r>
      <w:hyperlink w:anchor="SENTENCIA_2013_104" w:history="1">
        <w:r w:rsidRPr="00E27756">
          <w:rPr>
            <w:rStyle w:val="TextoNormalCaracter"/>
          </w:rPr>
          <w:t>104/2013</w:t>
        </w:r>
      </w:hyperlink>
      <w:r>
        <w:t>, ff. 1 a 4.</w:t>
      </w:r>
    </w:p>
    <w:p w:rsidR="00E27756" w:rsidRDefault="00E27756" w:rsidP="00E27756">
      <w:pPr>
        <w:pStyle w:val="SangriaFrancesaArticulo"/>
      </w:pPr>
      <w:r w:rsidRPr="00E27756">
        <w:rPr>
          <w:rStyle w:val="TextoNormalNegritaCaracter"/>
        </w:rPr>
        <w:t>Artículo 120.</w:t>
      </w:r>
      <w:r w:rsidRPr="00E27756">
        <w:rPr>
          <w:rStyle w:val="TextoNormalCaracter"/>
        </w:rPr>
        <w:t>-</w:t>
      </w:r>
      <w:r>
        <w:t xml:space="preserve"> Sentencia </w:t>
      </w:r>
      <w:hyperlink w:anchor="SENTENCIA_2013_104" w:history="1">
        <w:r w:rsidRPr="00E27756">
          <w:rPr>
            <w:rStyle w:val="TextoNormalCaracter"/>
          </w:rPr>
          <w:t>104/2013</w:t>
        </w:r>
      </w:hyperlink>
      <w:r>
        <w:t>, ff. 1, 2, 5.</w:t>
      </w:r>
    </w:p>
    <w:p w:rsidR="00E27756" w:rsidRDefault="00E27756" w:rsidP="00E27756">
      <w:pPr>
        <w:pStyle w:val="SangriaFrancesaArticulo"/>
      </w:pPr>
      <w:r w:rsidRPr="00E27756">
        <w:rPr>
          <w:rStyle w:val="TextoNormalNegritaCaracter"/>
        </w:rPr>
        <w:t>Artículo 122.</w:t>
      </w:r>
      <w:r w:rsidRPr="00E27756">
        <w:rPr>
          <w:rStyle w:val="TextoNormalCaracter"/>
        </w:rPr>
        <w:t>-</w:t>
      </w:r>
      <w:r>
        <w:t xml:space="preserve"> Sentencias </w:t>
      </w:r>
      <w:hyperlink w:anchor="SENTENCIA_2013_36" w:history="1">
        <w:r w:rsidRPr="00E27756">
          <w:rPr>
            <w:rStyle w:val="TextoNormalCaracter"/>
          </w:rPr>
          <w:t>36/2013</w:t>
        </w:r>
      </w:hyperlink>
      <w:r>
        <w:t xml:space="preserve">, f. 1; </w:t>
      </w:r>
      <w:hyperlink w:anchor="SENTENCIA_2013_104" w:history="1">
        <w:r w:rsidRPr="00E27756">
          <w:rPr>
            <w:rStyle w:val="TextoNormalCaracter"/>
          </w:rPr>
          <w:t>104/2013</w:t>
        </w:r>
      </w:hyperlink>
      <w:r>
        <w:t>, ff. 1, 2, 6.</w:t>
      </w:r>
    </w:p>
    <w:p w:rsidR="00E27756" w:rsidRDefault="00E27756" w:rsidP="00E27756">
      <w:pPr>
        <w:pStyle w:val="SangriaFrancesaArticulo"/>
      </w:pPr>
      <w:r w:rsidRPr="00E27756">
        <w:rPr>
          <w:rStyle w:val="TextoNormalNegritaCaracter"/>
        </w:rPr>
        <w:t>Artículo 125.</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51" w:history="1">
        <w:r w:rsidRPr="00E27756">
          <w:rPr>
            <w:rStyle w:val="TextoNormalCaracter"/>
          </w:rPr>
          <w:t>51/2013</w:t>
        </w:r>
      </w:hyperlink>
      <w:r>
        <w:t>, f. 1.</w:t>
      </w:r>
    </w:p>
    <w:p w:rsidR="00E27756" w:rsidRDefault="00E27756" w:rsidP="00E27756">
      <w:pPr>
        <w:pStyle w:val="SangriaFrancesaArticulo"/>
      </w:pPr>
      <w:r w:rsidRPr="00E27756">
        <w:rPr>
          <w:rStyle w:val="TextoNormalNegritaCaracter"/>
        </w:rPr>
        <w:t>Artículo 126.</w:t>
      </w:r>
      <w:r w:rsidRPr="00E27756">
        <w:rPr>
          <w:rStyle w:val="TextoNormalCaracter"/>
        </w:rPr>
        <w:t>-</w:t>
      </w:r>
      <w:r>
        <w:t xml:space="preserve"> Sentencia </w:t>
      </w:r>
      <w:hyperlink w:anchor="SENTENCIA_2013_111" w:history="1">
        <w:r w:rsidRPr="00E27756">
          <w:rPr>
            <w:rStyle w:val="TextoNormalCaracter"/>
          </w:rPr>
          <w:t>111/2013</w:t>
        </w:r>
      </w:hyperlink>
      <w:r>
        <w:t>, f. 2.</w:t>
      </w:r>
    </w:p>
    <w:p w:rsidR="00E27756" w:rsidRDefault="00E27756" w:rsidP="00E27756">
      <w:pPr>
        <w:pStyle w:val="SangriaFrancesaArticulo"/>
      </w:pPr>
      <w:r w:rsidRPr="00E27756">
        <w:rPr>
          <w:rStyle w:val="TextoNormalNegritaCaracter"/>
        </w:rPr>
        <w:t>Artículo 126.1.</w:t>
      </w:r>
      <w:r w:rsidRPr="00E27756">
        <w:rPr>
          <w:rStyle w:val="TextoNormalCaracter"/>
        </w:rPr>
        <w:t>-</w:t>
      </w:r>
      <w:r>
        <w:t xml:space="preserve"> Sentencia </w:t>
      </w:r>
      <w:hyperlink w:anchor="SENTENCIA_2013_111" w:history="1">
        <w:r w:rsidRPr="00E27756">
          <w:rPr>
            <w:rStyle w:val="TextoNormalCaracter"/>
          </w:rPr>
          <w:t>111/2013</w:t>
        </w:r>
      </w:hyperlink>
      <w:r>
        <w:t>, ff. 1, 2.</w:t>
      </w:r>
    </w:p>
    <w:p w:rsidR="00E27756" w:rsidRDefault="00E27756" w:rsidP="00E27756">
      <w:pPr>
        <w:pStyle w:val="SangriaFrancesaArticulo"/>
      </w:pPr>
      <w:r w:rsidRPr="00E27756">
        <w:rPr>
          <w:rStyle w:val="TextoNormalNegritaCaracter"/>
        </w:rPr>
        <w:t>Artículo 126.2.</w:t>
      </w:r>
      <w:r w:rsidRPr="00E27756">
        <w:rPr>
          <w:rStyle w:val="TextoNormalCaracter"/>
        </w:rPr>
        <w:t>-</w:t>
      </w:r>
      <w:r>
        <w:t xml:space="preserve"> Sentencia </w:t>
      </w:r>
      <w:hyperlink w:anchor="SENTENCIA_2013_111" w:history="1">
        <w:r w:rsidRPr="00E27756">
          <w:rPr>
            <w:rStyle w:val="TextoNormalCaracter"/>
          </w:rPr>
          <w:t>111/2013</w:t>
        </w:r>
      </w:hyperlink>
      <w:r>
        <w:t>, ff. 1, 2.</w:t>
      </w:r>
    </w:p>
    <w:p w:rsidR="00E27756" w:rsidRDefault="00E27756" w:rsidP="00E27756">
      <w:pPr>
        <w:pStyle w:val="SangriaFrancesaArticulo"/>
      </w:pPr>
      <w:r w:rsidRPr="00E27756">
        <w:rPr>
          <w:rStyle w:val="TextoNormalNegritaCaracter"/>
        </w:rPr>
        <w:t>Artículo 126.3.</w:t>
      </w:r>
      <w:r w:rsidRPr="00E27756">
        <w:rPr>
          <w:rStyle w:val="TextoNormalCaracter"/>
        </w:rPr>
        <w:t>-</w:t>
      </w:r>
      <w:r>
        <w:t xml:space="preserve"> Sentencia </w:t>
      </w:r>
      <w:hyperlink w:anchor="SENTENCIA_2013_111" w:history="1">
        <w:r w:rsidRPr="00E27756">
          <w:rPr>
            <w:rStyle w:val="TextoNormalCaracter"/>
          </w:rPr>
          <w:t>111/2013</w:t>
        </w:r>
      </w:hyperlink>
      <w:r>
        <w:t>, ff. 1, 2.</w:t>
      </w:r>
    </w:p>
    <w:p w:rsidR="00E27756" w:rsidRDefault="00E27756" w:rsidP="00E27756">
      <w:pPr>
        <w:pStyle w:val="SangriaFrancesaArticulo"/>
      </w:pPr>
      <w:r w:rsidRPr="00E27756">
        <w:rPr>
          <w:rStyle w:val="TextoNormalNegritaCaracter"/>
        </w:rPr>
        <w:t>Artículo 127.</w:t>
      </w:r>
      <w:r w:rsidRPr="00E27756">
        <w:rPr>
          <w:rStyle w:val="TextoNormalCaracter"/>
        </w:rPr>
        <w:t>-</w:t>
      </w:r>
      <w:r>
        <w:t xml:space="preserve"> Sentencias </w:t>
      </w:r>
      <w:hyperlink w:anchor="SENTENCIA_2013_104" w:history="1">
        <w:r w:rsidRPr="00E27756">
          <w:rPr>
            <w:rStyle w:val="TextoNormalCaracter"/>
          </w:rPr>
          <w:t>104/2013</w:t>
        </w:r>
      </w:hyperlink>
      <w:r>
        <w:t xml:space="preserve">, f. 7; </w:t>
      </w:r>
      <w:hyperlink w:anchor="SENTENCIA_2013_111" w:history="1">
        <w:r w:rsidRPr="00E27756">
          <w:rPr>
            <w:rStyle w:val="TextoNormalCaracter"/>
          </w:rPr>
          <w:t>111/2013</w:t>
        </w:r>
      </w:hyperlink>
      <w:r>
        <w:t>, ff. 2, 3.</w:t>
      </w:r>
    </w:p>
    <w:p w:rsidR="00E27756" w:rsidRDefault="00E27756" w:rsidP="00E27756">
      <w:pPr>
        <w:pStyle w:val="SangriaFrancesaArticulo"/>
      </w:pPr>
      <w:r w:rsidRPr="00E27756">
        <w:rPr>
          <w:rStyle w:val="TextoNormalNegritaCaracter"/>
        </w:rPr>
        <w:t>Artículo 127.3.</w:t>
      </w:r>
      <w:r w:rsidRPr="00E27756">
        <w:rPr>
          <w:rStyle w:val="TextoNormalCaracter"/>
        </w:rPr>
        <w:t>-</w:t>
      </w:r>
      <w:r>
        <w:t xml:space="preserve"> Sentencias </w:t>
      </w:r>
      <w:hyperlink w:anchor="SENTENCIA_2013_59" w:history="1">
        <w:r w:rsidRPr="00E27756">
          <w:rPr>
            <w:rStyle w:val="TextoNormalCaracter"/>
          </w:rPr>
          <w:t>59/2013</w:t>
        </w:r>
      </w:hyperlink>
      <w:r>
        <w:t xml:space="preserve">, f. 2; </w:t>
      </w:r>
      <w:hyperlink w:anchor="SENTENCIA_2013_104" w:history="1">
        <w:r w:rsidRPr="00E27756">
          <w:rPr>
            <w:rStyle w:val="TextoNormalCaracter"/>
          </w:rPr>
          <w:t>104/2013</w:t>
        </w:r>
      </w:hyperlink>
      <w:r>
        <w:t xml:space="preserve">, ff. 1, 2; </w:t>
      </w:r>
      <w:hyperlink w:anchor="SENTENCIA_2013_111" w:history="1">
        <w:r w:rsidRPr="00E27756">
          <w:rPr>
            <w:rStyle w:val="TextoNormalCaracter"/>
          </w:rPr>
          <w:t>111/2013</w:t>
        </w:r>
      </w:hyperlink>
      <w:r>
        <w:t>, ff. 1 a 3.</w:t>
      </w:r>
    </w:p>
    <w:p w:rsidR="00E27756" w:rsidRDefault="00E27756" w:rsidP="00E27756">
      <w:pPr>
        <w:pStyle w:val="SangriaFrancesaArticulo"/>
      </w:pPr>
      <w:r w:rsidRPr="00E27756">
        <w:rPr>
          <w:rStyle w:val="TextoNormalNegritaCaracter"/>
        </w:rPr>
        <w:t>Artículo 127.4.</w:t>
      </w:r>
      <w:r w:rsidRPr="00E27756">
        <w:rPr>
          <w:rStyle w:val="TextoNormalCaracter"/>
        </w:rPr>
        <w:t>-</w:t>
      </w:r>
      <w:r>
        <w:t xml:space="preserve"> Sentencia </w:t>
      </w:r>
      <w:hyperlink w:anchor="SENTENCIA_2013_111" w:history="1">
        <w:r w:rsidRPr="00E27756">
          <w:rPr>
            <w:rStyle w:val="TextoNormalCaracter"/>
          </w:rPr>
          <w:t>111/2013</w:t>
        </w:r>
      </w:hyperlink>
      <w:r>
        <w:t>, ff. 1 a 3.</w:t>
      </w:r>
    </w:p>
    <w:p w:rsidR="00E27756" w:rsidRDefault="00E27756" w:rsidP="00E27756">
      <w:pPr>
        <w:pStyle w:val="SangriaFrancesaArticulo"/>
      </w:pPr>
      <w:r w:rsidRPr="00E27756">
        <w:rPr>
          <w:rStyle w:val="TextoNormalNegritaCaracter"/>
        </w:rPr>
        <w:t>Artículo 128.2.</w:t>
      </w:r>
      <w:r w:rsidRPr="00E27756">
        <w:rPr>
          <w:rStyle w:val="TextoNormalCaracter"/>
        </w:rPr>
        <w:t>-</w:t>
      </w:r>
      <w:r>
        <w:t xml:space="preserve"> Sentencias </w:t>
      </w:r>
      <w:hyperlink w:anchor="SENTENCIA_2013_104" w:history="1">
        <w:r w:rsidRPr="00E27756">
          <w:rPr>
            <w:rStyle w:val="TextoNormalCaracter"/>
          </w:rPr>
          <w:t>104/2013</w:t>
        </w:r>
      </w:hyperlink>
      <w:r>
        <w:t xml:space="preserve">, ff. 1, 2, 8; </w:t>
      </w:r>
      <w:hyperlink w:anchor="SENTENCIA_2013_111" w:history="1">
        <w:r w:rsidRPr="00E27756">
          <w:rPr>
            <w:rStyle w:val="TextoNormalCaracter"/>
          </w:rPr>
          <w:t>111/2013</w:t>
        </w:r>
      </w:hyperlink>
      <w:r>
        <w:t>, ff. 1, 2, 4.</w:t>
      </w:r>
    </w:p>
    <w:p w:rsidR="00E27756" w:rsidRDefault="00E27756" w:rsidP="00E27756">
      <w:pPr>
        <w:pStyle w:val="SangriaFrancesaArticulo"/>
      </w:pPr>
      <w:r w:rsidRPr="00E27756">
        <w:rPr>
          <w:rStyle w:val="TextoNormalNegritaCaracter"/>
        </w:rPr>
        <w:t>Artículo 129.</w:t>
      </w:r>
      <w:r w:rsidRPr="00E27756">
        <w:rPr>
          <w:rStyle w:val="TextoNormalCaracter"/>
        </w:rPr>
        <w:t>-</w:t>
      </w:r>
      <w:r>
        <w:t xml:space="preserve"> Sentencias </w:t>
      </w:r>
      <w:hyperlink w:anchor="SENTENCIA_2013_36" w:history="1">
        <w:r w:rsidRPr="00E27756">
          <w:rPr>
            <w:rStyle w:val="TextoNormalCaracter"/>
          </w:rPr>
          <w:t>36/2013</w:t>
        </w:r>
      </w:hyperlink>
      <w:r>
        <w:t xml:space="preserve">, ff. 1-3, 5, 6; </w:t>
      </w:r>
      <w:hyperlink w:anchor="SENTENCIA_2013_104" w:history="1">
        <w:r w:rsidRPr="00E27756">
          <w:rPr>
            <w:rStyle w:val="TextoNormalCaracter"/>
          </w:rPr>
          <w:t>104/2013</w:t>
        </w:r>
      </w:hyperlink>
      <w:r>
        <w:t xml:space="preserve">, f. 9; </w:t>
      </w:r>
      <w:hyperlink w:anchor="SENTENCIA_2013_111" w:history="1">
        <w:r w:rsidRPr="00E27756">
          <w:rPr>
            <w:rStyle w:val="TextoNormalCaracter"/>
          </w:rPr>
          <w:t>111/2013</w:t>
        </w:r>
      </w:hyperlink>
      <w:r>
        <w:t>, ff. 1, 5.</w:t>
      </w:r>
    </w:p>
    <w:p w:rsidR="00E27756" w:rsidRDefault="00E27756" w:rsidP="00E27756">
      <w:pPr>
        <w:pStyle w:val="SangriaFrancesaArticulo"/>
      </w:pPr>
      <w:r w:rsidRPr="00E27756">
        <w:rPr>
          <w:rStyle w:val="TextoNormalNegritaCaracter"/>
        </w:rPr>
        <w:lastRenderedPageBreak/>
        <w:t>Artículo 129.7.</w:t>
      </w:r>
      <w:r w:rsidRPr="00E27756">
        <w:rPr>
          <w:rStyle w:val="TextoNormalCaracter"/>
        </w:rPr>
        <w:t>-</w:t>
      </w:r>
      <w:r>
        <w:t xml:space="preserve"> Sentencia </w:t>
      </w:r>
      <w:hyperlink w:anchor="SENTENCIA_2013_104" w:history="1">
        <w:r w:rsidRPr="00E27756">
          <w:rPr>
            <w:rStyle w:val="TextoNormalCaracter"/>
          </w:rPr>
          <w:t>104/2013</w:t>
        </w:r>
      </w:hyperlink>
      <w:r>
        <w:t>, ff. 1, 2, 9.</w:t>
      </w:r>
    </w:p>
    <w:p w:rsidR="00E27756" w:rsidRDefault="00E27756" w:rsidP="00E27756">
      <w:pPr>
        <w:pStyle w:val="SangriaFrancesaArticulo"/>
      </w:pPr>
      <w:r w:rsidRPr="00E27756">
        <w:rPr>
          <w:rStyle w:val="TextoNormalNegritaCaracter"/>
        </w:rPr>
        <w:t>Artículo 129.21.</w:t>
      </w:r>
      <w:r w:rsidRPr="00E27756">
        <w:rPr>
          <w:rStyle w:val="TextoNormalCaracter"/>
        </w:rPr>
        <w:t>-</w:t>
      </w:r>
      <w:r>
        <w:t xml:space="preserve"> Sentencia </w:t>
      </w:r>
      <w:hyperlink w:anchor="SENTENCIA_2013_104" w:history="1">
        <w:r w:rsidRPr="00E27756">
          <w:rPr>
            <w:rStyle w:val="TextoNormalCaracter"/>
          </w:rPr>
          <w:t>104/2013</w:t>
        </w:r>
      </w:hyperlink>
      <w:r>
        <w:t>, ff. 1, 2, 9, 10.</w:t>
      </w:r>
    </w:p>
    <w:p w:rsidR="00E27756" w:rsidRDefault="00E27756" w:rsidP="00E27756">
      <w:pPr>
        <w:pStyle w:val="SangriaFrancesaArticulo"/>
      </w:pPr>
      <w:r w:rsidRPr="00E27756">
        <w:rPr>
          <w:rStyle w:val="TextoNormalNegritaCaracter"/>
        </w:rPr>
        <w:t>Disposición adicional vigésima tercera.</w:t>
      </w:r>
      <w:r w:rsidRPr="00E27756">
        <w:rPr>
          <w:rStyle w:val="TextoNormalCaracter"/>
        </w:rPr>
        <w:t>-</w:t>
      </w:r>
      <w:r>
        <w:t xml:space="preserve"> Sentencia </w:t>
      </w:r>
      <w:hyperlink w:anchor="SENTENCIA_2013_104" w:history="1">
        <w:r w:rsidRPr="00E27756">
          <w:rPr>
            <w:rStyle w:val="TextoNormalCaracter"/>
          </w:rPr>
          <w:t>104/2013</w:t>
        </w:r>
      </w:hyperlink>
      <w:r>
        <w:t>, ff. 1, 2.</w:t>
      </w:r>
    </w:p>
    <w:p w:rsidR="00E27756" w:rsidRDefault="00E27756" w:rsidP="00E27756">
      <w:pPr>
        <w:pStyle w:val="SangriaFrancesaArticulo"/>
      </w:pPr>
    </w:p>
    <w:p w:rsidR="00E27756" w:rsidRDefault="00E27756" w:rsidP="00E27756">
      <w:pPr>
        <w:pStyle w:val="TextoNormalNegritaCursivandice"/>
      </w:pPr>
      <w:r>
        <w:t>Ley 11/2005, de 22 de junio. Modificación de la Ley 10/2001, de 5 de julio, del Plan hidrológico nacional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9" w:history="1">
        <w:r w:rsidRPr="00E27756">
          <w:rPr>
            <w:rStyle w:val="TextoNormalCaracter"/>
          </w:rPr>
          <w:t>19/2013</w:t>
        </w:r>
      </w:hyperlink>
      <w:r>
        <w:t xml:space="preserve">, ff. 1, 2; </w:t>
      </w:r>
      <w:hyperlink w:anchor="SENTENCIA_2013_51" w:history="1">
        <w:r w:rsidRPr="00E27756">
          <w:rPr>
            <w:rStyle w:val="TextoNormalCaracter"/>
          </w:rPr>
          <w:t>51/2013</w:t>
        </w:r>
      </w:hyperlink>
      <w:r>
        <w:t>, ff. 1, 6.</w:t>
      </w:r>
    </w:p>
    <w:p w:rsidR="00E27756" w:rsidRDefault="00E27756" w:rsidP="00E27756">
      <w:pPr>
        <w:pStyle w:val="SangriaFrancesaArticulo"/>
      </w:pPr>
      <w:r w:rsidRPr="00E27756">
        <w:rPr>
          <w:rStyle w:val="TextoNormalNegritaCaracter"/>
        </w:rPr>
        <w:t>Artículo único, apartado 9.</w:t>
      </w:r>
      <w:r w:rsidRPr="00E27756">
        <w:rPr>
          <w:rStyle w:val="TextoNormalCaracter"/>
        </w:rPr>
        <w:t>-</w:t>
      </w:r>
      <w:r>
        <w:t xml:space="preserve"> Sentencia </w:t>
      </w:r>
      <w:hyperlink w:anchor="SENTENCIA_2013_19" w:history="1">
        <w:r w:rsidRPr="00E27756">
          <w:rPr>
            <w:rStyle w:val="TextoNormalCaracter"/>
          </w:rPr>
          <w:t>19/2013</w:t>
        </w:r>
      </w:hyperlink>
      <w:r>
        <w:t>, f. 1.</w:t>
      </w:r>
    </w:p>
    <w:p w:rsidR="00E27756" w:rsidRDefault="00E27756" w:rsidP="00E27756">
      <w:pPr>
        <w:pStyle w:val="SangriaFrancesaArticulo"/>
      </w:pPr>
      <w:r w:rsidRPr="00E27756">
        <w:rPr>
          <w:rStyle w:val="TextoNormalNegritaCaracter"/>
        </w:rPr>
        <w:t>Artículo único, apartados 9, 15.</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r w:rsidRPr="00E27756">
        <w:rPr>
          <w:rStyle w:val="TextoNormalNegritaCaracter"/>
        </w:rPr>
        <w:t>Artículo único, apartado 15.</w:t>
      </w:r>
      <w:r w:rsidRPr="00E27756">
        <w:rPr>
          <w:rStyle w:val="TextoNormalCaracter"/>
        </w:rPr>
        <w:t>-</w:t>
      </w:r>
      <w:r>
        <w:t xml:space="preserve"> Sentencia </w:t>
      </w:r>
      <w:hyperlink w:anchor="SENTENCIA_2013_19" w:history="1">
        <w:r w:rsidRPr="00E27756">
          <w:rPr>
            <w:rStyle w:val="TextoNormalCaracter"/>
          </w:rPr>
          <w:t>19/2013</w:t>
        </w:r>
      </w:hyperlink>
      <w:r>
        <w:t>, f. 1.</w:t>
      </w:r>
    </w:p>
    <w:p w:rsidR="00E27756" w:rsidRDefault="00E27756" w:rsidP="00E27756">
      <w:pPr>
        <w:pStyle w:val="SangriaFrancesaArticulo"/>
      </w:pPr>
      <w:r w:rsidRPr="00E27756">
        <w:rPr>
          <w:rStyle w:val="TextoNormalNegritaCaracter"/>
        </w:rPr>
        <w:t>Disposición derogatoria única, apartados 1, 3.</w:t>
      </w:r>
      <w:r w:rsidRPr="00E27756">
        <w:rPr>
          <w:rStyle w:val="TextoNormalCaracter"/>
        </w:rPr>
        <w:t>-</w:t>
      </w:r>
      <w:r>
        <w:t xml:space="preserve"> Sentencia </w:t>
      </w:r>
      <w:hyperlink w:anchor="SENTENCIA_2013_19" w:history="1">
        <w:r w:rsidRPr="00E27756">
          <w:rPr>
            <w:rStyle w:val="TextoNormalCaracter"/>
          </w:rPr>
          <w:t>19/2013</w:t>
        </w:r>
      </w:hyperlink>
      <w:r>
        <w:t>, ff. 1, 2.</w:t>
      </w:r>
    </w:p>
    <w:p w:rsidR="00E27756" w:rsidRDefault="00E27756" w:rsidP="00E27756">
      <w:pPr>
        <w:pStyle w:val="SangriaFrancesaArticulo"/>
      </w:pPr>
      <w:r w:rsidRPr="00E27756">
        <w:rPr>
          <w:rStyle w:val="TextoNormalNegritaCaracter"/>
        </w:rPr>
        <w:t>Disposición final primera, apartado 4.</w:t>
      </w:r>
      <w:r w:rsidRPr="00E27756">
        <w:rPr>
          <w:rStyle w:val="TextoNormalCaracter"/>
        </w:rPr>
        <w:t>-</w:t>
      </w:r>
      <w:r>
        <w:t xml:space="preserve"> Sentencia </w:t>
      </w:r>
      <w:hyperlink w:anchor="SENTENCIA_2013_19" w:history="1">
        <w:r w:rsidRPr="00E27756">
          <w:rPr>
            <w:rStyle w:val="TextoNormalCaracter"/>
          </w:rPr>
          <w:t>19/2013</w:t>
        </w:r>
      </w:hyperlink>
      <w:r>
        <w:t>, ff. 1, 4.</w:t>
      </w:r>
    </w:p>
    <w:p w:rsidR="00E27756" w:rsidRDefault="00E27756" w:rsidP="00E27756">
      <w:pPr>
        <w:pStyle w:val="SangriaFrancesaArticulo"/>
      </w:pPr>
    </w:p>
    <w:p w:rsidR="00E27756" w:rsidRDefault="00E27756" w:rsidP="00E27756">
      <w:pPr>
        <w:pStyle w:val="TextoNormalNegritaCursivandice"/>
      </w:pPr>
      <w:r>
        <w:t>Ley 13/2005, de 1 de julio. Modificación del Código civil en materia de derecho a contraer matrimonio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 8.</w:t>
      </w:r>
    </w:p>
    <w:p w:rsidR="00E27756" w:rsidRDefault="00E27756" w:rsidP="00E27756">
      <w:pPr>
        <w:pStyle w:val="SangriaFrancesaArticulo"/>
      </w:pPr>
    </w:p>
    <w:p w:rsidR="00E27756" w:rsidRDefault="00E27756" w:rsidP="00E27756">
      <w:pPr>
        <w:pStyle w:val="TextoNormalNegritaCursivandice"/>
      </w:pPr>
      <w:r>
        <w:t>Ley 21/2005, de 17 de noviembre. Restitución a la Generalidad de Cataluña de los documentos del Archivo general de la guerra civil y creación del Centro documental de la memoria histórica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20" w:history="1">
        <w:r w:rsidRPr="00E27756">
          <w:rPr>
            <w:rStyle w:val="TextoNormalCaracter"/>
          </w:rPr>
          <w:t>20/2013</w:t>
        </w:r>
      </w:hyperlink>
      <w:r>
        <w:t xml:space="preserve">, ff. 3, 7 a 10; </w:t>
      </w:r>
      <w:hyperlink w:anchor="SENTENCIA_2013_67" w:history="1">
        <w:r w:rsidRPr="00E27756">
          <w:rPr>
            <w:rStyle w:val="TextoNormalCaracter"/>
          </w:rPr>
          <w:t>67/2013</w:t>
        </w:r>
      </w:hyperlink>
      <w:r>
        <w:t xml:space="preserve">, f. 2; </w:t>
      </w:r>
      <w:hyperlink w:anchor="SENTENCIA_2013_68" w:history="1">
        <w:r w:rsidRPr="00E27756">
          <w:rPr>
            <w:rStyle w:val="TextoNormalCaracter"/>
          </w:rPr>
          <w:t>68/2013</w:t>
        </w:r>
      </w:hyperlink>
      <w:r>
        <w:t>, ff. 1, 4.</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20" w:history="1">
        <w:r w:rsidRPr="00E27756">
          <w:rPr>
            <w:rStyle w:val="TextoNormalCaracter"/>
          </w:rPr>
          <w:t>20/2013</w:t>
        </w:r>
      </w:hyperlink>
      <w:r>
        <w:t>, ff. 7, 10.</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Sentencias </w:t>
      </w:r>
      <w:hyperlink w:anchor="SENTENCIA_2013_20" w:history="1">
        <w:r w:rsidRPr="00E27756">
          <w:rPr>
            <w:rStyle w:val="TextoNormalCaracter"/>
          </w:rPr>
          <w:t>20/2013</w:t>
        </w:r>
      </w:hyperlink>
      <w:r>
        <w:t xml:space="preserve">, ff. 1 a 3, 6, 10; </w:t>
      </w:r>
      <w:hyperlink w:anchor="SENTENCIA_2013_67" w:history="1">
        <w:r w:rsidRPr="00E27756">
          <w:rPr>
            <w:rStyle w:val="TextoNormalCaracter"/>
          </w:rPr>
          <w:t>67/2013</w:t>
        </w:r>
      </w:hyperlink>
      <w:r>
        <w:t xml:space="preserve">, ff. 1, 2; </w:t>
      </w:r>
      <w:hyperlink w:anchor="SENTENCIA_2013_68" w:history="1">
        <w:r w:rsidRPr="00E27756">
          <w:rPr>
            <w:rStyle w:val="TextoNormalCaracter"/>
          </w:rPr>
          <w:t>68/2013</w:t>
        </w:r>
      </w:hyperlink>
      <w:r>
        <w:t>, ff. 1, 4.</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20" w:history="1">
        <w:r w:rsidRPr="00E27756">
          <w:rPr>
            <w:rStyle w:val="TextoNormalCaracter"/>
          </w:rPr>
          <w:t>20/2013</w:t>
        </w:r>
      </w:hyperlink>
      <w:r>
        <w:t>, f. 7.</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Sentencias </w:t>
      </w:r>
      <w:hyperlink w:anchor="SENTENCIA_2013_20" w:history="1">
        <w:r w:rsidRPr="00E27756">
          <w:rPr>
            <w:rStyle w:val="TextoNormalCaracter"/>
          </w:rPr>
          <w:t>20/2013</w:t>
        </w:r>
      </w:hyperlink>
      <w:r>
        <w:t xml:space="preserve">, ff. 1 a 3, 5 a 7, 9, 10; </w:t>
      </w:r>
      <w:hyperlink w:anchor="SENTENCIA_2013_67" w:history="1">
        <w:r w:rsidRPr="00E27756">
          <w:rPr>
            <w:rStyle w:val="TextoNormalCaracter"/>
          </w:rPr>
          <w:t>67/2013</w:t>
        </w:r>
      </w:hyperlink>
      <w:r>
        <w:t xml:space="preserve">, ff. 1, 2; </w:t>
      </w:r>
      <w:hyperlink w:anchor="SENTENCIA_2013_68" w:history="1">
        <w:r w:rsidRPr="00E27756">
          <w:rPr>
            <w:rStyle w:val="TextoNormalCaracter"/>
          </w:rPr>
          <w:t>68/2013</w:t>
        </w:r>
      </w:hyperlink>
      <w:r>
        <w:t>, ff. 1, 4.</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Sentencias </w:t>
      </w:r>
      <w:hyperlink w:anchor="SENTENCIA_2013_20" w:history="1">
        <w:r w:rsidRPr="00E27756">
          <w:rPr>
            <w:rStyle w:val="TextoNormalCaracter"/>
          </w:rPr>
          <w:t>20/2013</w:t>
        </w:r>
      </w:hyperlink>
      <w:r>
        <w:t xml:space="preserve">, ff. 5, 6; </w:t>
      </w:r>
      <w:hyperlink w:anchor="SENTENCIA_2013_67" w:history="1">
        <w:r w:rsidRPr="00E27756">
          <w:rPr>
            <w:rStyle w:val="TextoNormalCaracter"/>
          </w:rPr>
          <w:t>67/2013</w:t>
        </w:r>
      </w:hyperlink>
      <w:r>
        <w:t xml:space="preserve">, f. 2; </w:t>
      </w:r>
      <w:hyperlink w:anchor="SENTENCIA_2013_68" w:history="1">
        <w:r w:rsidRPr="00E27756">
          <w:rPr>
            <w:rStyle w:val="TextoNormalCaracter"/>
          </w:rPr>
          <w:t>68/2013</w:t>
        </w:r>
      </w:hyperlink>
      <w:r>
        <w:t>, ff. 1, 4.</w:t>
      </w:r>
    </w:p>
    <w:p w:rsidR="00E27756" w:rsidRDefault="00E27756" w:rsidP="00E27756">
      <w:pPr>
        <w:pStyle w:val="SangriaFrancesaArticulo"/>
      </w:pPr>
      <w:r w:rsidRPr="00E27756">
        <w:rPr>
          <w:rStyle w:val="TextoNormalNegritaCaracter"/>
        </w:rPr>
        <w:t>Artículo 3 apartados 1, 3.</w:t>
      </w:r>
      <w:r w:rsidRPr="00E27756">
        <w:rPr>
          <w:rStyle w:val="TextoNormalCaracter"/>
        </w:rPr>
        <w:t>-</w:t>
      </w:r>
      <w:r>
        <w:t xml:space="preserve"> Sentencia </w:t>
      </w:r>
      <w:hyperlink w:anchor="SENTENCIA_2013_20" w:history="1">
        <w:r w:rsidRPr="00E27756">
          <w:rPr>
            <w:rStyle w:val="TextoNormalCaracter"/>
          </w:rPr>
          <w:t>20/2013</w:t>
        </w:r>
      </w:hyperlink>
      <w:r>
        <w:t>, ff. 1, 10.</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Sentencias </w:t>
      </w:r>
      <w:hyperlink w:anchor="SENTENCIA_2013_20" w:history="1">
        <w:r w:rsidRPr="00E27756">
          <w:rPr>
            <w:rStyle w:val="TextoNormalCaracter"/>
          </w:rPr>
          <w:t>20/2013</w:t>
        </w:r>
      </w:hyperlink>
      <w:r>
        <w:t xml:space="preserve">, f. 6; </w:t>
      </w:r>
      <w:hyperlink w:anchor="SENTENCIA_2013_67" w:history="1">
        <w:r w:rsidRPr="00E27756">
          <w:rPr>
            <w:rStyle w:val="TextoNormalCaracter"/>
          </w:rPr>
          <w:t>67/2013</w:t>
        </w:r>
      </w:hyperlink>
      <w:r>
        <w:t xml:space="preserve">, ff. 1, 2; </w:t>
      </w:r>
      <w:hyperlink w:anchor="SENTENCIA_2013_68" w:history="1">
        <w:r w:rsidRPr="00E27756">
          <w:rPr>
            <w:rStyle w:val="TextoNormalCaracter"/>
          </w:rPr>
          <w:t>68/2013</w:t>
        </w:r>
      </w:hyperlink>
      <w:r>
        <w:t>, f. 4.</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20" w:history="1">
        <w:r w:rsidRPr="00E27756">
          <w:rPr>
            <w:rStyle w:val="TextoNormalCaracter"/>
          </w:rPr>
          <w:t>20/2013</w:t>
        </w:r>
      </w:hyperlink>
      <w:r>
        <w:t>, f. 3.</w:t>
      </w:r>
    </w:p>
    <w:p w:rsidR="00E27756" w:rsidRDefault="00E27756" w:rsidP="00E27756">
      <w:pPr>
        <w:pStyle w:val="SangriaFrancesaArticulo"/>
      </w:pPr>
      <w:r w:rsidRPr="00E27756">
        <w:rPr>
          <w:rStyle w:val="TextoNormalNegritaCaracter"/>
        </w:rPr>
        <w:t>Artículo 3.3.</w:t>
      </w:r>
      <w:r w:rsidRPr="00E27756">
        <w:rPr>
          <w:rStyle w:val="TextoNormalCaracter"/>
        </w:rPr>
        <w:t>-</w:t>
      </w:r>
      <w:r>
        <w:t xml:space="preserve"> Sentencias </w:t>
      </w:r>
      <w:hyperlink w:anchor="SENTENCIA_2013_67" w:history="1">
        <w:r w:rsidRPr="00E27756">
          <w:rPr>
            <w:rStyle w:val="TextoNormalCaracter"/>
          </w:rPr>
          <w:t>67/2013</w:t>
        </w:r>
      </w:hyperlink>
      <w:r>
        <w:t xml:space="preserve">, ff. 1, 2; </w:t>
      </w:r>
      <w:hyperlink w:anchor="SENTENCIA_2013_68" w:history="1">
        <w:r w:rsidRPr="00E27756">
          <w:rPr>
            <w:rStyle w:val="TextoNormalCaracter"/>
          </w:rPr>
          <w:t>68/2013</w:t>
        </w:r>
      </w:hyperlink>
      <w:r>
        <w:t>, f. 4.</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Sentencias </w:t>
      </w:r>
      <w:hyperlink w:anchor="SENTENCIA_2013_20" w:history="1">
        <w:r w:rsidRPr="00E27756">
          <w:rPr>
            <w:rStyle w:val="TextoNormalCaracter"/>
          </w:rPr>
          <w:t>20/2013</w:t>
        </w:r>
      </w:hyperlink>
      <w:r>
        <w:t xml:space="preserve">, ff. 1, 10; </w:t>
      </w:r>
      <w:hyperlink w:anchor="SENTENCIA_2013_67" w:history="1">
        <w:r w:rsidRPr="00E27756">
          <w:rPr>
            <w:rStyle w:val="TextoNormalCaracter"/>
          </w:rPr>
          <w:t>67/2013</w:t>
        </w:r>
      </w:hyperlink>
      <w:r>
        <w:t xml:space="preserve">, ff. 1, 2; </w:t>
      </w:r>
      <w:hyperlink w:anchor="SENTENCIA_2013_68" w:history="1">
        <w:r w:rsidRPr="00E27756">
          <w:rPr>
            <w:rStyle w:val="TextoNormalCaracter"/>
          </w:rPr>
          <w:t>68/2013</w:t>
        </w:r>
      </w:hyperlink>
      <w:r>
        <w:t>, ff. 1, 4.</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Sentencias </w:t>
      </w:r>
      <w:hyperlink w:anchor="SENTENCIA_2013_20" w:history="1">
        <w:r w:rsidRPr="00E27756">
          <w:rPr>
            <w:rStyle w:val="TextoNormalCaracter"/>
          </w:rPr>
          <w:t>20/2013</w:t>
        </w:r>
      </w:hyperlink>
      <w:r>
        <w:t xml:space="preserve">, ff. 2, 6, 7, 10; </w:t>
      </w:r>
      <w:hyperlink w:anchor="SENTENCIA_2013_67" w:history="1">
        <w:r w:rsidRPr="00E27756">
          <w:rPr>
            <w:rStyle w:val="TextoNormalCaracter"/>
          </w:rPr>
          <w:t>67/2013</w:t>
        </w:r>
      </w:hyperlink>
      <w:r>
        <w:t xml:space="preserve">, f. 2; </w:t>
      </w:r>
      <w:hyperlink w:anchor="SENTENCIA_2013_68" w:history="1">
        <w:r w:rsidRPr="00E27756">
          <w:rPr>
            <w:rStyle w:val="TextoNormalCaracter"/>
          </w:rPr>
          <w:t>68/2013</w:t>
        </w:r>
      </w:hyperlink>
      <w:r>
        <w:t>, ff. 1, 4.</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Sentencias </w:t>
      </w:r>
      <w:hyperlink w:anchor="SENTENCIA_2013_20" w:history="1">
        <w:r w:rsidRPr="00E27756">
          <w:rPr>
            <w:rStyle w:val="TextoNormalCaracter"/>
          </w:rPr>
          <w:t>20/2013</w:t>
        </w:r>
      </w:hyperlink>
      <w:r>
        <w:t xml:space="preserve">, ff. 1, 3, 5, 9; </w:t>
      </w:r>
      <w:hyperlink w:anchor="SENTENCIA_2013_67" w:history="1">
        <w:r w:rsidRPr="00E27756">
          <w:rPr>
            <w:rStyle w:val="TextoNormalCaracter"/>
          </w:rPr>
          <w:t>67/2013</w:t>
        </w:r>
      </w:hyperlink>
      <w:r>
        <w:t xml:space="preserve">, ff. 1, 2; </w:t>
      </w:r>
      <w:hyperlink w:anchor="SENTENCIA_2013_68" w:history="1">
        <w:r w:rsidRPr="00E27756">
          <w:rPr>
            <w:rStyle w:val="TextoNormalCaracter"/>
          </w:rPr>
          <w:t>68/2013</w:t>
        </w:r>
      </w:hyperlink>
      <w:r>
        <w:t>, f. 4.</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Sentencias </w:t>
      </w:r>
      <w:hyperlink w:anchor="SENTENCIA_2013_20" w:history="1">
        <w:r w:rsidRPr="00E27756">
          <w:rPr>
            <w:rStyle w:val="TextoNormalCaracter"/>
          </w:rPr>
          <w:t>20/2013</w:t>
        </w:r>
      </w:hyperlink>
      <w:r>
        <w:t xml:space="preserve">, ff. 1 a 3, 9, 10; </w:t>
      </w:r>
      <w:hyperlink w:anchor="SENTENCIA_2013_67" w:history="1">
        <w:r w:rsidRPr="00E27756">
          <w:rPr>
            <w:rStyle w:val="TextoNormalCaracter"/>
          </w:rPr>
          <w:t>67/2013</w:t>
        </w:r>
      </w:hyperlink>
      <w:r>
        <w:t xml:space="preserve">, ff. 1, 2; </w:t>
      </w:r>
      <w:hyperlink w:anchor="SENTENCIA_2013_68" w:history="1">
        <w:r w:rsidRPr="00E27756">
          <w:rPr>
            <w:rStyle w:val="TextoNormalCaracter"/>
          </w:rPr>
          <w:t>68/2013</w:t>
        </w:r>
      </w:hyperlink>
      <w:r>
        <w:t>, ff. 1, 4.</w:t>
      </w:r>
    </w:p>
    <w:p w:rsidR="00E27756" w:rsidRDefault="00E27756" w:rsidP="00E27756">
      <w:pPr>
        <w:pStyle w:val="SangriaFrancesaArticulo"/>
      </w:pPr>
      <w:r w:rsidRPr="00E27756">
        <w:rPr>
          <w:rStyle w:val="TextoNormalNegritaCaracter"/>
        </w:rPr>
        <w:t>Disposición adicional segunda.</w:t>
      </w:r>
      <w:r w:rsidRPr="00E27756">
        <w:rPr>
          <w:rStyle w:val="TextoNormalCaracter"/>
        </w:rPr>
        <w:t>-</w:t>
      </w:r>
      <w:r>
        <w:t xml:space="preserve"> Sentencias </w:t>
      </w:r>
      <w:hyperlink w:anchor="SENTENCIA_2013_20" w:history="1">
        <w:r w:rsidRPr="00E27756">
          <w:rPr>
            <w:rStyle w:val="TextoNormalCaracter"/>
          </w:rPr>
          <w:t>20/2013</w:t>
        </w:r>
      </w:hyperlink>
      <w:r>
        <w:t xml:space="preserve">, ff. 1 a 3; </w:t>
      </w:r>
      <w:hyperlink w:anchor="SENTENCIA_2013_67" w:history="1">
        <w:r w:rsidRPr="00E27756">
          <w:rPr>
            <w:rStyle w:val="TextoNormalCaracter"/>
          </w:rPr>
          <w:t>67/2013</w:t>
        </w:r>
      </w:hyperlink>
      <w:r>
        <w:t xml:space="preserve">, ff. 1, 2; </w:t>
      </w:r>
      <w:hyperlink w:anchor="SENTENCIA_2013_68" w:history="1">
        <w:r w:rsidRPr="00E27756">
          <w:rPr>
            <w:rStyle w:val="TextoNormalCaracter"/>
          </w:rPr>
          <w:t>68/2013</w:t>
        </w:r>
      </w:hyperlink>
      <w:r>
        <w:t>, ff. 1, 4.</w:t>
      </w:r>
    </w:p>
    <w:p w:rsidR="00E27756" w:rsidRDefault="00E27756" w:rsidP="00E27756">
      <w:pPr>
        <w:pStyle w:val="SangriaFrancesaArticulo"/>
      </w:pPr>
    </w:p>
    <w:p w:rsidR="00E27756" w:rsidRDefault="00E27756" w:rsidP="00E27756">
      <w:pPr>
        <w:pStyle w:val="TextoNormalNegritaCursivandice"/>
      </w:pPr>
      <w:r>
        <w:t>Ley 24/2005, de 18 de noviembre. Reformas para el impulso a la productividad</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30" w:history="1">
        <w:r w:rsidRPr="00E27756">
          <w:rPr>
            <w:rStyle w:val="TextoNormalCaracter"/>
          </w:rPr>
          <w:t>130/2013</w:t>
        </w:r>
      </w:hyperlink>
      <w:r>
        <w:t xml:space="preserve">, f. 2; </w:t>
      </w:r>
      <w:hyperlink w:anchor="SENTENCIA_2013_135" w:history="1">
        <w:r w:rsidRPr="00E27756">
          <w:rPr>
            <w:rStyle w:val="TextoNormalCaracter"/>
          </w:rPr>
          <w:t>135/2013</w:t>
        </w:r>
      </w:hyperlink>
      <w:r>
        <w:t>, f. 2.</w:t>
      </w:r>
    </w:p>
    <w:p w:rsidR="00E27756" w:rsidRDefault="00E27756" w:rsidP="00E27756">
      <w:pPr>
        <w:pStyle w:val="SangriaFrancesaArticulo"/>
      </w:pPr>
    </w:p>
    <w:p w:rsidR="00E27756" w:rsidRDefault="00E27756" w:rsidP="00E27756">
      <w:pPr>
        <w:pStyle w:val="TextoNormalNegritaCursivandice"/>
      </w:pPr>
      <w:r>
        <w:t>Ley 5/2006, de 10 de abril. Regulación de los conflictos de intereses de los miembros del Gobierno y de los altos cargos de la Administración General del Estado</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p>
    <w:p w:rsidR="00E27756" w:rsidRDefault="00E27756" w:rsidP="00E27756">
      <w:pPr>
        <w:pStyle w:val="TextoNormalNegritaCursivandice"/>
      </w:pPr>
      <w:r>
        <w:lastRenderedPageBreak/>
        <w:t>Ley 10/2006, de 28 de abril. Modificación de la Ley 43/2003, de 21 de noviembre. Montes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49" w:history="1">
        <w:r w:rsidRPr="00E27756">
          <w:rPr>
            <w:rStyle w:val="TextoNormalCaracter"/>
          </w:rPr>
          <w:t>49/2013</w:t>
        </w:r>
      </w:hyperlink>
      <w:r>
        <w:t xml:space="preserve">, ff. 2 a 4, 6, 12; </w:t>
      </w:r>
      <w:hyperlink w:anchor="SENTENCIA_2013_84" w:history="1">
        <w:r w:rsidRPr="00E27756">
          <w:rPr>
            <w:rStyle w:val="TextoNormalCaracter"/>
          </w:rPr>
          <w:t>84/2013</w:t>
        </w:r>
      </w:hyperlink>
      <w:r>
        <w:t xml:space="preserve">, f. 1; </w:t>
      </w:r>
      <w:hyperlink w:anchor="SENTENCIA_2013_97" w:history="1">
        <w:r w:rsidRPr="00E27756">
          <w:rPr>
            <w:rStyle w:val="TextoNormalCaracter"/>
          </w:rPr>
          <w:t>97/2013</w:t>
        </w:r>
      </w:hyperlink>
      <w:r>
        <w:t>, ff. 1, 2, 5.</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Sentencias </w:t>
      </w:r>
      <w:hyperlink w:anchor="SENTENCIA_2013_49" w:history="1">
        <w:r w:rsidRPr="00E27756">
          <w:rPr>
            <w:rStyle w:val="TextoNormalCaracter"/>
          </w:rPr>
          <w:t>49/2013</w:t>
        </w:r>
      </w:hyperlink>
      <w:r>
        <w:t xml:space="preserve">, f. 2; </w:t>
      </w:r>
      <w:hyperlink w:anchor="SENTENCIA_2013_84" w:history="1">
        <w:r w:rsidRPr="00E27756">
          <w:rPr>
            <w:rStyle w:val="TextoNormalCaracter"/>
          </w:rPr>
          <w:t>84/2013</w:t>
        </w:r>
      </w:hyperlink>
      <w:r>
        <w:t>, f. 6.</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Sentencias </w:t>
      </w:r>
      <w:hyperlink w:anchor="SENTENCIA_2013_84" w:history="1">
        <w:r w:rsidRPr="00E27756">
          <w:rPr>
            <w:rStyle w:val="TextoNormalCaracter"/>
          </w:rPr>
          <w:t>84/2013</w:t>
        </w:r>
      </w:hyperlink>
      <w:r>
        <w:t xml:space="preserve">, f. 4; </w:t>
      </w:r>
      <w:hyperlink w:anchor="SENTENCIA_2013_97" w:history="1">
        <w:r w:rsidRPr="00E27756">
          <w:rPr>
            <w:rStyle w:val="TextoNormalCaracter"/>
          </w:rPr>
          <w:t>97/2013</w:t>
        </w:r>
      </w:hyperlink>
      <w:r>
        <w:t>, f. 4.</w:t>
      </w:r>
    </w:p>
    <w:p w:rsidR="00E27756" w:rsidRDefault="00E27756" w:rsidP="00E27756">
      <w:pPr>
        <w:pStyle w:val="SangriaFrancesaArticulo"/>
      </w:pPr>
      <w:r w:rsidRPr="00E27756">
        <w:rPr>
          <w:rStyle w:val="TextoNormalNegritaCaracter"/>
        </w:rPr>
        <w:t>Artículo único, apartado 32.</w:t>
      </w:r>
      <w:r w:rsidRPr="00E27756">
        <w:rPr>
          <w:rStyle w:val="TextoNormalCaracter"/>
        </w:rPr>
        <w:t>-</w:t>
      </w:r>
      <w:r>
        <w:t xml:space="preserve"> Sentencia </w:t>
      </w:r>
      <w:hyperlink w:anchor="SENTENCIA_2013_84" w:history="1">
        <w:r w:rsidRPr="00E27756">
          <w:rPr>
            <w:rStyle w:val="TextoNormalCaracter"/>
          </w:rPr>
          <w:t>84/2013</w:t>
        </w:r>
      </w:hyperlink>
      <w:r>
        <w:t>, f. 1.</w:t>
      </w:r>
    </w:p>
    <w:p w:rsidR="00E27756" w:rsidRDefault="00E27756" w:rsidP="00E27756">
      <w:pPr>
        <w:pStyle w:val="SangriaFrancesaArticulo"/>
      </w:pPr>
      <w:r w:rsidRPr="00E27756">
        <w:rPr>
          <w:rStyle w:val="TextoNormalNegritaCaracter"/>
        </w:rPr>
        <w:t>Artículo único, apartado 33.</w:t>
      </w:r>
      <w:r w:rsidRPr="00E27756">
        <w:rPr>
          <w:rStyle w:val="TextoNormalCaracter"/>
        </w:rPr>
        <w:t>-</w:t>
      </w:r>
      <w:r>
        <w:t xml:space="preserve"> Sentencia </w:t>
      </w:r>
      <w:hyperlink w:anchor="SENTENCIA_2013_84" w:history="1">
        <w:r w:rsidRPr="00E27756">
          <w:rPr>
            <w:rStyle w:val="TextoNormalCaracter"/>
          </w:rPr>
          <w:t>84/2013</w:t>
        </w:r>
      </w:hyperlink>
      <w:r>
        <w:t>, f. 1.</w:t>
      </w:r>
    </w:p>
    <w:p w:rsidR="00E27756" w:rsidRDefault="00E27756" w:rsidP="00E27756">
      <w:pPr>
        <w:pStyle w:val="SangriaFrancesaArticulo"/>
      </w:pPr>
      <w:r w:rsidRPr="00E27756">
        <w:rPr>
          <w:rStyle w:val="TextoNormalNegritaCaracter"/>
        </w:rPr>
        <w:t>Disposición final segunda, apartado 1.</w:t>
      </w:r>
      <w:r w:rsidRPr="00E27756">
        <w:rPr>
          <w:rStyle w:val="TextoNormalCaracter"/>
        </w:rPr>
        <w:t>-</w:t>
      </w:r>
      <w:r>
        <w:t xml:space="preserve"> Sentencias </w:t>
      </w:r>
      <w:hyperlink w:anchor="SENTENCIA_2013_84" w:history="1">
        <w:r w:rsidRPr="00E27756">
          <w:rPr>
            <w:rStyle w:val="TextoNormalCaracter"/>
          </w:rPr>
          <w:t>84/2013</w:t>
        </w:r>
      </w:hyperlink>
      <w:r>
        <w:t xml:space="preserve">, f. 2; </w:t>
      </w:r>
      <w:hyperlink w:anchor="SENTENCIA_2013_97" w:history="1">
        <w:r w:rsidRPr="00E27756">
          <w:rPr>
            <w:rStyle w:val="TextoNormalCaracter"/>
          </w:rPr>
          <w:t>97/2013</w:t>
        </w:r>
      </w:hyperlink>
      <w:r>
        <w:t>, f. 3.</w:t>
      </w:r>
    </w:p>
    <w:p w:rsidR="00E27756" w:rsidRDefault="00E27756" w:rsidP="00E27756">
      <w:pPr>
        <w:pStyle w:val="SangriaFrancesaArticulo"/>
      </w:pPr>
    </w:p>
    <w:p w:rsidR="00E27756" w:rsidRDefault="00E27756" w:rsidP="00E27756">
      <w:pPr>
        <w:pStyle w:val="TextoNormalNegritaCursivandice"/>
      </w:pPr>
      <w:r>
        <w:t>Ley 27/2006, de 18 de julio. Regula los derechos de acceso a la información, de participación pública y de acceso a la justicia en materia de medio ambiente (incorpora las Directivas 2003/4/CE y 2003/35/CE)</w:t>
      </w:r>
    </w:p>
    <w:p w:rsidR="00E27756" w:rsidRDefault="00E27756" w:rsidP="00E27756">
      <w:pPr>
        <w:pStyle w:val="SangriaFrancesaArticulo"/>
      </w:pPr>
      <w:r w:rsidRPr="00E27756">
        <w:rPr>
          <w:rStyle w:val="TextoNormalNegritaCaracter"/>
        </w:rPr>
        <w:t>Artículo 1.1 a).</w:t>
      </w:r>
      <w:r w:rsidRPr="00E27756">
        <w:rPr>
          <w:rStyle w:val="TextoNormalCaracter"/>
        </w:rPr>
        <w:t>-</w:t>
      </w:r>
      <w:r>
        <w:t xml:space="preserve"> Sentencia </w:t>
      </w:r>
      <w:hyperlink w:anchor="SENTENCIA_2013_138" w:history="1">
        <w:r w:rsidRPr="00E27756">
          <w:rPr>
            <w:rStyle w:val="TextoNormalCaracter"/>
          </w:rPr>
          <w:t>138/2013</w:t>
        </w:r>
      </w:hyperlink>
      <w:r>
        <w:t>, f. 4.</w:t>
      </w:r>
    </w:p>
    <w:p w:rsidR="00E27756" w:rsidRDefault="00E27756" w:rsidP="00E27756">
      <w:pPr>
        <w:pStyle w:val="SangriaFrancesaArticulo"/>
      </w:pPr>
      <w:r w:rsidRPr="00E27756">
        <w:rPr>
          <w:rStyle w:val="TextoNormalNegritaCaracter"/>
        </w:rPr>
        <w:t>Artículo 6.1.</w:t>
      </w:r>
      <w:r w:rsidRPr="00E27756">
        <w:rPr>
          <w:rStyle w:val="TextoNormalCaracter"/>
        </w:rPr>
        <w:t>-</w:t>
      </w:r>
      <w:r>
        <w:t xml:space="preserve"> Sentencia </w:t>
      </w:r>
      <w:hyperlink w:anchor="SENTENCIA_2013_138" w:history="1">
        <w:r w:rsidRPr="00E27756">
          <w:rPr>
            <w:rStyle w:val="TextoNormalCaracter"/>
          </w:rPr>
          <w:t>138/2013</w:t>
        </w:r>
      </w:hyperlink>
      <w:r>
        <w:t>, f. 4.</w:t>
      </w:r>
    </w:p>
    <w:p w:rsidR="00E27756" w:rsidRDefault="00E27756" w:rsidP="00E27756">
      <w:pPr>
        <w:pStyle w:val="SangriaFrancesaArticulo"/>
      </w:pPr>
      <w:r w:rsidRPr="00E27756">
        <w:rPr>
          <w:rStyle w:val="TextoNormalNegritaCaracter"/>
        </w:rPr>
        <w:t>Artículo 7.9.</w:t>
      </w:r>
      <w:r w:rsidRPr="00E27756">
        <w:rPr>
          <w:rStyle w:val="TextoNormalCaracter"/>
        </w:rPr>
        <w:t>-</w:t>
      </w:r>
      <w:r>
        <w:t xml:space="preserve"> Sentencia </w:t>
      </w:r>
      <w:hyperlink w:anchor="SENTENCIA_2013_138" w:history="1">
        <w:r w:rsidRPr="00E27756">
          <w:rPr>
            <w:rStyle w:val="TextoNormalCaracter"/>
          </w:rPr>
          <w:t>138/2013</w:t>
        </w:r>
      </w:hyperlink>
      <w:r>
        <w:t>, f. 4.</w:t>
      </w:r>
    </w:p>
    <w:p w:rsidR="00E27756" w:rsidRDefault="00E27756" w:rsidP="00E27756">
      <w:pPr>
        <w:pStyle w:val="SangriaFrancesaArticulo"/>
      </w:pPr>
    </w:p>
    <w:p w:rsidR="00E27756" w:rsidRDefault="00E27756" w:rsidP="00E27756">
      <w:pPr>
        <w:pStyle w:val="TextoNormalNegritaCursivandice"/>
      </w:pPr>
      <w:r>
        <w:t>Ley 28/2006, de 18 de julio. Agencias estatales para la mejora de los servicios públicos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1" w:history="1">
        <w:r w:rsidRPr="00E27756">
          <w:rPr>
            <w:rStyle w:val="TextoNormalCaracter"/>
          </w:rPr>
          <w:t>131/2013</w:t>
        </w:r>
      </w:hyperlink>
      <w:r>
        <w:t>, f. 4.</w:t>
      </w:r>
    </w:p>
    <w:p w:rsidR="00E27756" w:rsidRDefault="00E27756" w:rsidP="00E27756">
      <w:pPr>
        <w:pStyle w:val="SangriaFrancesaArticulo"/>
      </w:pPr>
    </w:p>
    <w:p w:rsidR="00E27756" w:rsidRDefault="00E27756" w:rsidP="00E27756">
      <w:pPr>
        <w:pStyle w:val="TextoNormalNegritaCursivandice"/>
      </w:pPr>
      <w:r>
        <w:t>Ley 29/2006, de 26 de julio. Garantías y uso racional de los medicamentos y productos sanitarios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7" w:history="1">
        <w:r w:rsidRPr="00E27756">
          <w:rPr>
            <w:rStyle w:val="TextoNormalCaracter"/>
          </w:rPr>
          <w:t>137/2013</w:t>
        </w:r>
      </w:hyperlink>
      <w:r>
        <w:t>, f. 2.</w:t>
      </w:r>
    </w:p>
    <w:p w:rsidR="00E27756" w:rsidRDefault="00E27756" w:rsidP="00E27756">
      <w:pPr>
        <w:pStyle w:val="SangriaFrancesaArticulo"/>
      </w:pPr>
    </w:p>
    <w:p w:rsidR="00E27756" w:rsidRDefault="00E27756" w:rsidP="00E27756">
      <w:pPr>
        <w:pStyle w:val="TextoNormalNegritaCursivandice"/>
      </w:pPr>
      <w:r>
        <w:t>Ley 35/2006, de 28 de noviembre. Impuesto sobre la renta de las personas físicas y modificación parcial de las leyes de los impuestos sobre sociedades, sobre la renta de no residentes y sobre el patrimonio</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96" w:history="1">
        <w:r w:rsidRPr="00E27756">
          <w:rPr>
            <w:rStyle w:val="TextoNormalCaracter"/>
          </w:rPr>
          <w:t>96/2013</w:t>
        </w:r>
      </w:hyperlink>
      <w:r>
        <w:t>, f. 12.</w:t>
      </w:r>
    </w:p>
    <w:p w:rsidR="00E27756" w:rsidRDefault="00E27756" w:rsidP="00E27756">
      <w:pPr>
        <w:pStyle w:val="SangriaFrancesaArticulo"/>
      </w:pPr>
    </w:p>
    <w:p w:rsidR="00E27756" w:rsidRDefault="00E27756" w:rsidP="00E27756">
      <w:pPr>
        <w:pStyle w:val="TextoNormalNegritaCursivandice"/>
      </w:pPr>
      <w:r>
        <w:t>Ley 42/2006, de 28 de diciembre. Presupuestos generales del Estado para 2007</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00" w:history="1">
        <w:r w:rsidRPr="00E27756">
          <w:rPr>
            <w:rStyle w:val="TextoNormalCaracter"/>
          </w:rPr>
          <w:t>100/2013</w:t>
        </w:r>
      </w:hyperlink>
      <w:r>
        <w:t xml:space="preserve">, f. 3; </w:t>
      </w:r>
      <w:hyperlink w:anchor="SENTENCIA_2013_130" w:history="1">
        <w:r w:rsidRPr="00E27756">
          <w:rPr>
            <w:rStyle w:val="TextoNormalCaracter"/>
          </w:rPr>
          <w:t>130/2013</w:t>
        </w:r>
      </w:hyperlink>
      <w:r>
        <w:t xml:space="preserve">, f. 2; </w:t>
      </w:r>
      <w:hyperlink w:anchor="SENTENCIA_2013_135" w:history="1">
        <w:r w:rsidRPr="00E27756">
          <w:rPr>
            <w:rStyle w:val="TextoNormalCaracter"/>
          </w:rPr>
          <w:t>135/2013</w:t>
        </w:r>
      </w:hyperlink>
      <w:r>
        <w:t>, f. 2.</w:t>
      </w:r>
    </w:p>
    <w:p w:rsidR="00E27756" w:rsidRDefault="00E27756" w:rsidP="00E27756">
      <w:pPr>
        <w:pStyle w:val="SangriaFrancesaArticulo"/>
      </w:pPr>
      <w:r w:rsidRPr="00E27756">
        <w:rPr>
          <w:rStyle w:val="TextoNormalNegritaCaracter"/>
        </w:rPr>
        <w:t>Disposición adicional quincuagésima séptima.</w:t>
      </w:r>
      <w:r w:rsidRPr="00E27756">
        <w:rPr>
          <w:rStyle w:val="TextoNormalCaracter"/>
        </w:rPr>
        <w:t>-</w:t>
      </w:r>
      <w:r>
        <w:t xml:space="preserve"> Sentencia </w:t>
      </w:r>
      <w:hyperlink w:anchor="SENTENCIA_2013_100" w:history="1">
        <w:r w:rsidRPr="00E27756">
          <w:rPr>
            <w:rStyle w:val="TextoNormalCaracter"/>
          </w:rPr>
          <w:t>100/2013</w:t>
        </w:r>
      </w:hyperlink>
      <w:r>
        <w:t>, f. 3.</w:t>
      </w:r>
    </w:p>
    <w:p w:rsidR="00E27756" w:rsidRDefault="00E27756" w:rsidP="00E27756">
      <w:pPr>
        <w:pStyle w:val="SangriaFrancesaArticulo"/>
      </w:pPr>
    </w:p>
    <w:p w:rsidR="00E27756" w:rsidRDefault="00E27756" w:rsidP="00E27756">
      <w:pPr>
        <w:pStyle w:val="TextoNormalNegritaCursivandice"/>
      </w:pPr>
      <w:r>
        <w:t>Ley 5/2007, de 3 de abril. Red de parques nacionales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99" w:history="1">
        <w:r w:rsidRPr="00E27756">
          <w:rPr>
            <w:rStyle w:val="TextoNormalCaracter"/>
          </w:rPr>
          <w:t>99/2013</w:t>
        </w:r>
      </w:hyperlink>
      <w:r>
        <w:t xml:space="preserve">, ff. 1, 4; </w:t>
      </w:r>
      <w:hyperlink w:anchor="SENTENCIA_2013_111" w:history="1">
        <w:r w:rsidRPr="00E27756">
          <w:rPr>
            <w:rStyle w:val="TextoNormalCaracter"/>
          </w:rPr>
          <w:t>111/2013</w:t>
        </w:r>
      </w:hyperlink>
      <w:r>
        <w:t>, f. 2.</w:t>
      </w:r>
    </w:p>
    <w:p w:rsidR="00E27756" w:rsidRDefault="00E27756" w:rsidP="00E27756">
      <w:pPr>
        <w:pStyle w:val="SangriaFrancesaArticulo"/>
      </w:pPr>
      <w:r w:rsidRPr="00E27756">
        <w:rPr>
          <w:rStyle w:val="TextoNormalNegritaCaracter"/>
        </w:rPr>
        <w:t>Título I</w:t>
      </w:r>
      <w:r>
        <w:t xml:space="preserve"> </w:t>
      </w:r>
      <w:r w:rsidRPr="00E27756">
        <w:rPr>
          <w:rStyle w:val="TextoNormalCaracter"/>
        </w:rPr>
        <w:t>(disposiciones generales)</w:t>
      </w:r>
      <w:r w:rsidRPr="00E27756">
        <w:rPr>
          <w:rStyle w:val="TextoNormalNegritaCaracter"/>
        </w:rPr>
        <w:t>.</w:t>
      </w:r>
      <w:r w:rsidRPr="00E27756">
        <w:rPr>
          <w:rStyle w:val="TextoNormalCaracter"/>
        </w:rPr>
        <w:t>-</w:t>
      </w:r>
      <w:r>
        <w:t xml:space="preserve"> Sentencia </w:t>
      </w:r>
      <w:hyperlink w:anchor="SENTENCIA_2013_99" w:history="1">
        <w:r w:rsidRPr="00E27756">
          <w:rPr>
            <w:rStyle w:val="TextoNormalCaracter"/>
          </w:rPr>
          <w:t>99/2013</w:t>
        </w:r>
      </w:hyperlink>
      <w:r>
        <w:t>, f. 3.</w:t>
      </w:r>
    </w:p>
    <w:p w:rsidR="00E27756" w:rsidRDefault="00E27756" w:rsidP="00E27756">
      <w:pPr>
        <w:pStyle w:val="SangriaFrancesaArticulo"/>
      </w:pPr>
      <w:r w:rsidRPr="00E27756">
        <w:rPr>
          <w:rStyle w:val="TextoNormalNegritaCaracter"/>
        </w:rPr>
        <w:t>Título II</w:t>
      </w:r>
      <w:r>
        <w:t xml:space="preserve"> </w:t>
      </w:r>
      <w:r w:rsidRPr="00E27756">
        <w:rPr>
          <w:rStyle w:val="TextoNormalCaracter"/>
        </w:rPr>
        <w:t>(artículos 4 a 7)</w:t>
      </w:r>
      <w:r w:rsidRPr="00E27756">
        <w:rPr>
          <w:rStyle w:val="TextoNormalNegritaCaracter"/>
        </w:rPr>
        <w:t>.</w:t>
      </w:r>
      <w:r w:rsidRPr="00E27756">
        <w:rPr>
          <w:rStyle w:val="TextoNormalCaracter"/>
        </w:rPr>
        <w:t>-</w:t>
      </w:r>
      <w:r>
        <w:t xml:space="preserve"> Sentencia </w:t>
      </w:r>
      <w:hyperlink w:anchor="SENTENCIA_2013_99" w:history="1">
        <w:r w:rsidRPr="00E27756">
          <w:rPr>
            <w:rStyle w:val="TextoNormalCaracter"/>
          </w:rPr>
          <w:t>99/2013</w:t>
        </w:r>
      </w:hyperlink>
      <w:r>
        <w:t>, f. 3.</w:t>
      </w:r>
    </w:p>
    <w:p w:rsidR="00E27756" w:rsidRDefault="00E27756" w:rsidP="00E27756">
      <w:pPr>
        <w:pStyle w:val="SangriaFrancesaArticulo"/>
      </w:pPr>
      <w:r w:rsidRPr="00E27756">
        <w:rPr>
          <w:rStyle w:val="TextoNormalNegritaCaracter"/>
        </w:rPr>
        <w:t>Título III</w:t>
      </w:r>
      <w:r>
        <w:t xml:space="preserve"> </w:t>
      </w:r>
      <w:r w:rsidRPr="00E27756">
        <w:rPr>
          <w:rStyle w:val="TextoNormalCaracter"/>
        </w:rPr>
        <w:t>(artículos 8 a 23)</w:t>
      </w:r>
      <w:r w:rsidRPr="00E27756">
        <w:rPr>
          <w:rStyle w:val="TextoNormalNegritaCaracter"/>
        </w:rPr>
        <w:t>.</w:t>
      </w:r>
      <w:r w:rsidRPr="00E27756">
        <w:rPr>
          <w:rStyle w:val="TextoNormalCaracter"/>
        </w:rPr>
        <w:t>-</w:t>
      </w:r>
      <w:r>
        <w:t xml:space="preserve"> Sentencia </w:t>
      </w:r>
      <w:hyperlink w:anchor="SENTENCIA_2013_99" w:history="1">
        <w:r w:rsidRPr="00E27756">
          <w:rPr>
            <w:rStyle w:val="TextoNormalCaracter"/>
          </w:rPr>
          <w:t>99/2013</w:t>
        </w:r>
      </w:hyperlink>
      <w:r>
        <w:t>, f. 3.</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99" w:history="1">
        <w:r w:rsidRPr="00E27756">
          <w:rPr>
            <w:rStyle w:val="TextoNormalCaracter"/>
          </w:rPr>
          <w:t>99/2013</w:t>
        </w:r>
      </w:hyperlink>
      <w:r>
        <w:t>, f. 3.</w:t>
      </w:r>
    </w:p>
    <w:p w:rsidR="00E27756" w:rsidRDefault="00E27756" w:rsidP="00E27756">
      <w:pPr>
        <w:pStyle w:val="SangriaFrancesaArticulo"/>
      </w:pPr>
      <w:r w:rsidRPr="00E27756">
        <w:rPr>
          <w:rStyle w:val="TextoNormalNegritaCaracter"/>
        </w:rPr>
        <w:t>Artículo 10.3.</w:t>
      </w:r>
      <w:r w:rsidRPr="00E27756">
        <w:rPr>
          <w:rStyle w:val="TextoNormalCaracter"/>
        </w:rPr>
        <w:t>-</w:t>
      </w:r>
      <w:r>
        <w:t xml:space="preserve"> Sentencia </w:t>
      </w:r>
      <w:hyperlink w:anchor="SENTENCIA_2013_99" w:history="1">
        <w:r w:rsidRPr="00E27756">
          <w:rPr>
            <w:rStyle w:val="TextoNormalCaracter"/>
          </w:rPr>
          <w:t>99/2013</w:t>
        </w:r>
      </w:hyperlink>
      <w:r>
        <w:t>, f. 3.</w:t>
      </w:r>
    </w:p>
    <w:p w:rsidR="00E27756" w:rsidRDefault="00E27756" w:rsidP="00E27756">
      <w:pPr>
        <w:pStyle w:val="SangriaFrancesaArticulo"/>
      </w:pPr>
      <w:r w:rsidRPr="00E27756">
        <w:rPr>
          <w:rStyle w:val="TextoNormalNegritaCaracter"/>
        </w:rPr>
        <w:t>Artículo 13 bis.</w:t>
      </w:r>
      <w:r w:rsidRPr="00E27756">
        <w:rPr>
          <w:rStyle w:val="TextoNormalCaracter"/>
        </w:rPr>
        <w:t>-</w:t>
      </w:r>
      <w:r>
        <w:t xml:space="preserve"> Sentencia </w:t>
      </w:r>
      <w:hyperlink w:anchor="SENTENCIA_2013_102" w:history="1">
        <w:r w:rsidRPr="00E27756">
          <w:rPr>
            <w:rStyle w:val="TextoNormalCaracter"/>
          </w:rPr>
          <w:t>102/2013</w:t>
        </w:r>
      </w:hyperlink>
      <w:r>
        <w:t>, ff. 1, 9, 12.</w:t>
      </w:r>
    </w:p>
    <w:p w:rsidR="00E27756" w:rsidRDefault="00E27756" w:rsidP="00E27756">
      <w:pPr>
        <w:pStyle w:val="SangriaFrancesaArticulo"/>
      </w:pPr>
      <w:r w:rsidRPr="00E27756">
        <w:rPr>
          <w:rStyle w:val="TextoNormalNegritaCaracter"/>
        </w:rPr>
        <w:t>Artículo 14.1.</w:t>
      </w:r>
      <w:r w:rsidRPr="00E27756">
        <w:rPr>
          <w:rStyle w:val="TextoNormalCaracter"/>
        </w:rPr>
        <w:t>-</w:t>
      </w:r>
      <w:r>
        <w:t xml:space="preserve"> Sentencia </w:t>
      </w:r>
      <w:hyperlink w:anchor="SENTENCIA_2013_99" w:history="1">
        <w:r w:rsidRPr="00E27756">
          <w:rPr>
            <w:rStyle w:val="TextoNormalCaracter"/>
          </w:rPr>
          <w:t>99/2013</w:t>
        </w:r>
      </w:hyperlink>
      <w:r>
        <w:t>, f. 3.</w:t>
      </w:r>
    </w:p>
    <w:p w:rsidR="00E27756" w:rsidRDefault="00E27756" w:rsidP="00E27756">
      <w:pPr>
        <w:pStyle w:val="SangriaFrancesaArticulo"/>
      </w:pPr>
      <w:r w:rsidRPr="00E27756">
        <w:rPr>
          <w:rStyle w:val="TextoNormalNegritaCaracter"/>
        </w:rPr>
        <w:t>Artículo 16.</w:t>
      </w:r>
      <w:r w:rsidRPr="00E27756">
        <w:rPr>
          <w:rStyle w:val="TextoNormalCaracter"/>
        </w:rPr>
        <w:t>-</w:t>
      </w:r>
      <w:r>
        <w:t xml:space="preserve"> Sentencia </w:t>
      </w:r>
      <w:hyperlink w:anchor="SENTENCIA_2013_99" w:history="1">
        <w:r w:rsidRPr="00E27756">
          <w:rPr>
            <w:rStyle w:val="TextoNormalCaracter"/>
          </w:rPr>
          <w:t>99/2013</w:t>
        </w:r>
      </w:hyperlink>
      <w:r>
        <w:t>, f. 3.</w:t>
      </w:r>
    </w:p>
    <w:p w:rsidR="00E27756" w:rsidRDefault="00E27756" w:rsidP="00E27756">
      <w:pPr>
        <w:pStyle w:val="SangriaFrancesaArticulo"/>
      </w:pPr>
      <w:r w:rsidRPr="00E27756">
        <w:rPr>
          <w:rStyle w:val="TextoNormalNegritaCaracter"/>
        </w:rPr>
        <w:t>Artículo 16.1.</w:t>
      </w:r>
      <w:r w:rsidRPr="00E27756">
        <w:rPr>
          <w:rStyle w:val="TextoNormalCaracter"/>
        </w:rPr>
        <w:t>-</w:t>
      </w:r>
      <w:r>
        <w:t xml:space="preserve"> Sentencia </w:t>
      </w:r>
      <w:hyperlink w:anchor="SENTENCIA_2013_99" w:history="1">
        <w:r w:rsidRPr="00E27756">
          <w:rPr>
            <w:rStyle w:val="TextoNormalCaracter"/>
          </w:rPr>
          <w:t>99/2013</w:t>
        </w:r>
      </w:hyperlink>
      <w:r>
        <w:t>, f. 3.</w:t>
      </w:r>
    </w:p>
    <w:p w:rsidR="00E27756" w:rsidRDefault="00E27756" w:rsidP="00E27756">
      <w:pPr>
        <w:pStyle w:val="SangriaFrancesaArticulo"/>
      </w:pPr>
      <w:r w:rsidRPr="00E27756">
        <w:rPr>
          <w:rStyle w:val="TextoNormalNegritaCaracter"/>
        </w:rPr>
        <w:t>Artículo 16.2.</w:t>
      </w:r>
      <w:r w:rsidRPr="00E27756">
        <w:rPr>
          <w:rStyle w:val="TextoNormalCaracter"/>
        </w:rPr>
        <w:t>-</w:t>
      </w:r>
      <w:r>
        <w:t xml:space="preserve"> Sentencia </w:t>
      </w:r>
      <w:hyperlink w:anchor="SENTENCIA_2013_99" w:history="1">
        <w:r w:rsidRPr="00E27756">
          <w:rPr>
            <w:rStyle w:val="TextoNormalCaracter"/>
          </w:rPr>
          <w:t>99/2013</w:t>
        </w:r>
      </w:hyperlink>
      <w:r>
        <w:t>, ff. 1, 3, 4, 8.</w:t>
      </w:r>
    </w:p>
    <w:p w:rsidR="00E27756" w:rsidRDefault="00E27756" w:rsidP="00E27756">
      <w:pPr>
        <w:pStyle w:val="SangriaFrancesaArticulo"/>
      </w:pPr>
      <w:r w:rsidRPr="00E27756">
        <w:rPr>
          <w:rStyle w:val="TextoNormalNegritaCaracter"/>
        </w:rPr>
        <w:t>Artículo 16.3.</w:t>
      </w:r>
      <w:r w:rsidRPr="00E27756">
        <w:rPr>
          <w:rStyle w:val="TextoNormalCaracter"/>
        </w:rPr>
        <w:t>-</w:t>
      </w:r>
      <w:r>
        <w:t xml:space="preserve"> Sentencia </w:t>
      </w:r>
      <w:hyperlink w:anchor="SENTENCIA_2013_99" w:history="1">
        <w:r w:rsidRPr="00E27756">
          <w:rPr>
            <w:rStyle w:val="TextoNormalCaracter"/>
          </w:rPr>
          <w:t>99/2013</w:t>
        </w:r>
      </w:hyperlink>
      <w:r>
        <w:t>, f.  3.</w:t>
      </w:r>
    </w:p>
    <w:p w:rsidR="00E27756" w:rsidRDefault="00E27756" w:rsidP="00E27756">
      <w:pPr>
        <w:pStyle w:val="SangriaFrancesaArticulo"/>
      </w:pPr>
      <w:r w:rsidRPr="00E27756">
        <w:rPr>
          <w:rStyle w:val="TextoNormalNegritaCaracter"/>
        </w:rPr>
        <w:t>Disposición adicional cuarta.</w:t>
      </w:r>
      <w:r w:rsidRPr="00E27756">
        <w:rPr>
          <w:rStyle w:val="TextoNormalCaracter"/>
        </w:rPr>
        <w:t>-</w:t>
      </w:r>
      <w:r>
        <w:t xml:space="preserve"> Sentencias </w:t>
      </w:r>
      <w:hyperlink w:anchor="SENTENCIA_2013_99" w:history="1">
        <w:r w:rsidRPr="00E27756">
          <w:rPr>
            <w:rStyle w:val="TextoNormalCaracter"/>
          </w:rPr>
          <w:t>99/2013</w:t>
        </w:r>
      </w:hyperlink>
      <w:r>
        <w:t xml:space="preserve">, f. 1; </w:t>
      </w:r>
      <w:hyperlink w:anchor="SENTENCIA_2013_99" w:history="1">
        <w:r w:rsidRPr="00E27756">
          <w:rPr>
            <w:rStyle w:val="TextoNormalCaracter"/>
          </w:rPr>
          <w:t>99/2013</w:t>
        </w:r>
      </w:hyperlink>
      <w:r>
        <w:t>, f. 4.</w:t>
      </w:r>
    </w:p>
    <w:p w:rsidR="00E27756" w:rsidRDefault="00E27756" w:rsidP="00E27756">
      <w:pPr>
        <w:pStyle w:val="SangriaFrancesaArticulo"/>
      </w:pPr>
      <w:r w:rsidRPr="00E27756">
        <w:rPr>
          <w:rStyle w:val="TextoNormalNegritaCaracter"/>
        </w:rPr>
        <w:lastRenderedPageBreak/>
        <w:t>Disposición final primera.</w:t>
      </w:r>
      <w:r w:rsidRPr="00E27756">
        <w:rPr>
          <w:rStyle w:val="TextoNormalCaracter"/>
        </w:rPr>
        <w:t>-</w:t>
      </w:r>
      <w:r>
        <w:t xml:space="preserve"> Sentencia </w:t>
      </w:r>
      <w:hyperlink w:anchor="SENTENCIA_2013_99" w:history="1">
        <w:r w:rsidRPr="00E27756">
          <w:rPr>
            <w:rStyle w:val="TextoNormalCaracter"/>
          </w:rPr>
          <w:t>99/2013</w:t>
        </w:r>
      </w:hyperlink>
      <w:r>
        <w:t>, f. 4.</w:t>
      </w:r>
    </w:p>
    <w:p w:rsidR="00E27756" w:rsidRDefault="00E27756" w:rsidP="00E27756">
      <w:pPr>
        <w:pStyle w:val="SangriaFrancesaArticulo"/>
      </w:pPr>
    </w:p>
    <w:p w:rsidR="00E27756" w:rsidRDefault="00E27756" w:rsidP="00E27756">
      <w:pPr>
        <w:pStyle w:val="TextoNormalNegritaCursivandice"/>
      </w:pPr>
      <w:r>
        <w:t>Ley 7/2007, de 12 de abril. Estatuto básico del empleado público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3" w:history="1">
        <w:r w:rsidRPr="00E27756">
          <w:rPr>
            <w:rStyle w:val="TextoNormalCaracter"/>
          </w:rPr>
          <w:t>33/2013</w:t>
        </w:r>
      </w:hyperlink>
      <w:r>
        <w:t>, f. 4.</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Auto </w:t>
      </w:r>
      <w:hyperlink w:anchor="AUTO_2013_85" w:history="1">
        <w:r w:rsidRPr="00E27756">
          <w:rPr>
            <w:rStyle w:val="TextoNormalCaracter"/>
          </w:rPr>
          <w:t>85/2013</w:t>
        </w:r>
      </w:hyperlink>
      <w:r>
        <w:t>, f. 4.</w:t>
      </w:r>
    </w:p>
    <w:p w:rsidR="00E27756" w:rsidRDefault="00E27756" w:rsidP="00E27756">
      <w:pPr>
        <w:pStyle w:val="SangriaFrancesaArticulo"/>
      </w:pPr>
      <w:r w:rsidRPr="00E27756">
        <w:rPr>
          <w:rStyle w:val="TextoNormalNegritaCaracter"/>
        </w:rPr>
        <w:t>Artículo 2.4.</w:t>
      </w:r>
      <w:r w:rsidRPr="00E27756">
        <w:rPr>
          <w:rStyle w:val="TextoNormalCaracter"/>
        </w:rPr>
        <w:t>-</w:t>
      </w:r>
      <w:r>
        <w:t xml:space="preserve"> Auto </w:t>
      </w:r>
      <w:hyperlink w:anchor="AUTO_2013_85" w:history="1">
        <w:r w:rsidRPr="00E27756">
          <w:rPr>
            <w:rStyle w:val="TextoNormalCaracter"/>
          </w:rPr>
          <w:t>85/2013</w:t>
        </w:r>
      </w:hyperlink>
      <w:r>
        <w:t>, f. 4.</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33" w:history="1">
        <w:r w:rsidRPr="00E27756">
          <w:rPr>
            <w:rStyle w:val="TextoNormalCaracter"/>
          </w:rPr>
          <w:t>33/2013</w:t>
        </w:r>
      </w:hyperlink>
      <w:r>
        <w:t>, f. 4.</w:t>
      </w:r>
    </w:p>
    <w:p w:rsidR="00E27756" w:rsidRDefault="00E27756" w:rsidP="00E27756">
      <w:pPr>
        <w:pStyle w:val="SangriaFrancesaArticulo"/>
      </w:pPr>
      <w:r w:rsidRPr="00E27756">
        <w:rPr>
          <w:rStyle w:val="TextoNormalNegritaCaracter"/>
        </w:rPr>
        <w:t>Artículo 18.2.</w:t>
      </w:r>
      <w:r w:rsidRPr="00E27756">
        <w:rPr>
          <w:rStyle w:val="TextoNormalCaracter"/>
        </w:rPr>
        <w:t>-</w:t>
      </w:r>
      <w:r>
        <w:t xml:space="preserve"> Sentencia </w:t>
      </w:r>
      <w:hyperlink w:anchor="SENTENCIA_2013_33" w:history="1">
        <w:r w:rsidRPr="00E27756">
          <w:rPr>
            <w:rStyle w:val="TextoNormalCaracter"/>
          </w:rPr>
          <w:t>33/2013</w:t>
        </w:r>
      </w:hyperlink>
      <w:r>
        <w:t>, f. 4.</w:t>
      </w:r>
    </w:p>
    <w:p w:rsidR="00E27756" w:rsidRDefault="00E27756" w:rsidP="00E27756">
      <w:pPr>
        <w:pStyle w:val="SangriaFrancesaArticulo"/>
      </w:pPr>
      <w:r w:rsidRPr="00E27756">
        <w:rPr>
          <w:rStyle w:val="TextoNormalNegritaCaracter"/>
        </w:rPr>
        <w:t>Artículo 56.1 e).</w:t>
      </w:r>
      <w:r w:rsidRPr="00E27756">
        <w:rPr>
          <w:rStyle w:val="TextoNormalCaracter"/>
        </w:rPr>
        <w:t>-</w:t>
      </w:r>
      <w:r>
        <w:t xml:space="preserve"> Sentencia </w:t>
      </w:r>
      <w:hyperlink w:anchor="SENTENCIA_2013_33" w:history="1">
        <w:r w:rsidRPr="00E27756">
          <w:rPr>
            <w:rStyle w:val="TextoNormalCaracter"/>
          </w:rPr>
          <w:t>33/2013</w:t>
        </w:r>
      </w:hyperlink>
      <w:r>
        <w:t>, f. 4.</w:t>
      </w:r>
    </w:p>
    <w:p w:rsidR="00E27756" w:rsidRDefault="00E27756" w:rsidP="00E27756">
      <w:pPr>
        <w:pStyle w:val="SangriaFrancesaArticulo"/>
      </w:pPr>
      <w:r w:rsidRPr="00E27756">
        <w:rPr>
          <w:rStyle w:val="TextoNormalNegritaCaracter"/>
        </w:rPr>
        <w:t>Artículo 76.</w:t>
      </w:r>
      <w:r w:rsidRPr="00E27756">
        <w:rPr>
          <w:rStyle w:val="TextoNormalCaracter"/>
        </w:rPr>
        <w:t>-</w:t>
      </w:r>
      <w:r>
        <w:t xml:space="preserve"> Sentencia </w:t>
      </w:r>
      <w:hyperlink w:anchor="SENTENCIA_2013_33" w:history="1">
        <w:r w:rsidRPr="00E27756">
          <w:rPr>
            <w:rStyle w:val="TextoNormalCaracter"/>
          </w:rPr>
          <w:t>33/2013</w:t>
        </w:r>
      </w:hyperlink>
      <w:r>
        <w:t>, f. 4.</w:t>
      </w:r>
    </w:p>
    <w:p w:rsidR="00E27756" w:rsidRDefault="00E27756" w:rsidP="00E27756">
      <w:pPr>
        <w:pStyle w:val="SangriaFrancesaArticulo"/>
      </w:pPr>
      <w:r w:rsidRPr="00E27756">
        <w:rPr>
          <w:rStyle w:val="TextoNormalNegritaCaracter"/>
        </w:rPr>
        <w:t>Disposición adicional segunda.</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Disposición adicional tercera.</w:t>
      </w:r>
      <w:r w:rsidRPr="00E27756">
        <w:rPr>
          <w:rStyle w:val="TextoNormalCaracter"/>
        </w:rPr>
        <w:t>-</w:t>
      </w:r>
      <w:r>
        <w:t xml:space="preserve"> Sentencia </w:t>
      </w:r>
      <w:hyperlink w:anchor="SENTENCIA_2013_33" w:history="1">
        <w:r w:rsidRPr="00E27756">
          <w:rPr>
            <w:rStyle w:val="TextoNormalCaracter"/>
          </w:rPr>
          <w:t>33/2013</w:t>
        </w:r>
      </w:hyperlink>
      <w:r>
        <w:t>, f. 4.</w:t>
      </w:r>
    </w:p>
    <w:p w:rsidR="00E27756" w:rsidRDefault="00E27756" w:rsidP="00E27756">
      <w:pPr>
        <w:pStyle w:val="SangriaFrancesaArticulo"/>
      </w:pPr>
      <w:r w:rsidRPr="00E27756">
        <w:rPr>
          <w:rStyle w:val="TextoNormalNegritaCaracter"/>
        </w:rPr>
        <w:t>Disposición adicional tercera, apartado 1.</w:t>
      </w:r>
      <w:r w:rsidRPr="00E27756">
        <w:rPr>
          <w:rStyle w:val="TextoNormalCaracter"/>
        </w:rPr>
        <w:t>-</w:t>
      </w:r>
      <w:r>
        <w:t xml:space="preserve"> Sentencia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p>
    <w:p w:rsidR="00E27756" w:rsidRDefault="00E27756" w:rsidP="00E27756">
      <w:pPr>
        <w:pStyle w:val="TextoNormalNegritaCursivandice"/>
      </w:pPr>
      <w:r>
        <w:t>Ley 8/2007, de 28 de mayo. Ley de suelo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78" w:history="1">
        <w:r w:rsidRPr="00E27756">
          <w:rPr>
            <w:rStyle w:val="TextoNormalCaracter"/>
          </w:rPr>
          <w:t>78/2013</w:t>
        </w:r>
      </w:hyperlink>
      <w:r>
        <w:t>, f. único.</w:t>
      </w:r>
    </w:p>
    <w:p w:rsidR="00E27756" w:rsidRDefault="00E27756" w:rsidP="00E27756">
      <w:pPr>
        <w:pStyle w:val="SangriaFrancesaArticulo"/>
      </w:pPr>
      <w:r w:rsidRPr="00E27756">
        <w:rPr>
          <w:rStyle w:val="TextoNormalNegritaCaracter"/>
        </w:rPr>
        <w:t>Artículo 35 d).</w:t>
      </w:r>
      <w:r w:rsidRPr="00E27756">
        <w:rPr>
          <w:rStyle w:val="TextoNormalCaracter"/>
        </w:rPr>
        <w:t>-</w:t>
      </w:r>
      <w:r>
        <w:t xml:space="preserve"> Sentencia </w:t>
      </w:r>
      <w:hyperlink w:anchor="SENTENCIA_2013_92" w:history="1">
        <w:r w:rsidRPr="00E27756">
          <w:rPr>
            <w:rStyle w:val="TextoNormalCaracter"/>
          </w:rPr>
          <w:t>92/2013</w:t>
        </w:r>
      </w:hyperlink>
      <w:r>
        <w:t>, f. 5.</w:t>
      </w:r>
    </w:p>
    <w:p w:rsidR="00E27756" w:rsidRDefault="00E27756" w:rsidP="00E27756">
      <w:pPr>
        <w:pStyle w:val="SangriaFrancesaArticulo"/>
      </w:pPr>
    </w:p>
    <w:p w:rsidR="00E27756" w:rsidRDefault="00E27756" w:rsidP="00E27756">
      <w:pPr>
        <w:pStyle w:val="TextoNormalNegritaCursivandice"/>
      </w:pPr>
      <w:r>
        <w:t>Ley 11/2007, de 22 de junio. Acceso electrónico de los ciudadanos a los servicios públicos</w:t>
      </w:r>
    </w:p>
    <w:p w:rsidR="00E27756" w:rsidRDefault="00E27756" w:rsidP="00E27756">
      <w:pPr>
        <w:pStyle w:val="SangriaFrancesaArticulo"/>
      </w:pPr>
      <w:r w:rsidRPr="00E27756">
        <w:rPr>
          <w:rStyle w:val="TextoNormalNegritaCaracter"/>
        </w:rPr>
        <w:t>Artículo 6.2 b).</w:t>
      </w:r>
      <w:r w:rsidRPr="00E27756">
        <w:rPr>
          <w:rStyle w:val="TextoNormalCaracter"/>
        </w:rPr>
        <w:t>-</w:t>
      </w:r>
      <w:r>
        <w:t xml:space="preserve"> Sentencia </w:t>
      </w:r>
      <w:hyperlink w:anchor="SENTENCIA_2013_17" w:history="1">
        <w:r w:rsidRPr="00E27756">
          <w:rPr>
            <w:rStyle w:val="TextoNormalCaracter"/>
          </w:rPr>
          <w:t>17/2013</w:t>
        </w:r>
      </w:hyperlink>
      <w:r>
        <w:t>, f. 9.</w:t>
      </w:r>
    </w:p>
    <w:p w:rsidR="00E27756" w:rsidRDefault="00E27756" w:rsidP="00E27756">
      <w:pPr>
        <w:pStyle w:val="SangriaFrancesaArticulo"/>
      </w:pPr>
    </w:p>
    <w:p w:rsidR="00E27756" w:rsidRDefault="00E27756" w:rsidP="00E27756">
      <w:pPr>
        <w:pStyle w:val="TextoNormalNegritaCursivandice"/>
      </w:pPr>
      <w:r>
        <w:t>Ley 12/2007, de 2 de julio. Modificación de la Ley 34/1998, de 7 de octubre, del sector de hidrocarburos, con el fin de adaptarla a lo dispuesto en la Directiva 2003/55/CE del Parlamento Europeo y del Consejo, de 26 de junio de 2003, sobre normas comunes para el mercado interior del gas natural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 w:history="1">
        <w:r w:rsidRPr="00E27756">
          <w:rPr>
            <w:rStyle w:val="TextoNormalCaracter"/>
          </w:rPr>
          <w:t>8/2013</w:t>
        </w:r>
      </w:hyperlink>
      <w:r>
        <w:t>, ff. 2, 4.</w:t>
      </w:r>
    </w:p>
    <w:p w:rsidR="00E27756" w:rsidRDefault="00E27756" w:rsidP="00E27756">
      <w:pPr>
        <w:pStyle w:val="SangriaFrancesaArticulo"/>
      </w:pPr>
      <w:r w:rsidRPr="00E27756">
        <w:rPr>
          <w:rStyle w:val="TextoNormalNegritaCaracter"/>
        </w:rPr>
        <w:t>Título II.</w:t>
      </w:r>
      <w:r w:rsidRPr="00E27756">
        <w:rPr>
          <w:rStyle w:val="TextoNormalCaracter"/>
        </w:rPr>
        <w:t>-</w:t>
      </w:r>
      <w:r>
        <w:t xml:space="preserve"> Sentencia </w:t>
      </w:r>
      <w:hyperlink w:anchor="SENTENCIA_2013_8" w:history="1">
        <w:r w:rsidRPr="00E27756">
          <w:rPr>
            <w:rStyle w:val="TextoNormalCaracter"/>
          </w:rPr>
          <w:t>8/2013</w:t>
        </w:r>
      </w:hyperlink>
      <w:r>
        <w:t>, ff. 2, 4.</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8" w:history="1">
        <w:r w:rsidRPr="00E27756">
          <w:rPr>
            <w:rStyle w:val="TextoNormalCaracter"/>
          </w:rPr>
          <w:t>8/2013</w:t>
        </w:r>
      </w:hyperlink>
      <w:r>
        <w:t>, f. 2.</w:t>
      </w:r>
    </w:p>
    <w:p w:rsidR="00E27756" w:rsidRDefault="00E27756" w:rsidP="00E27756">
      <w:pPr>
        <w:pStyle w:val="SangriaFrancesaArticulo"/>
      </w:pPr>
      <w:r w:rsidRPr="00E27756">
        <w:rPr>
          <w:rStyle w:val="TextoNormalNegritaCaracter"/>
        </w:rPr>
        <w:t>Artículo único, apartado 1.</w:t>
      </w:r>
      <w:r w:rsidRPr="00E27756">
        <w:rPr>
          <w:rStyle w:val="TextoNormalCaracter"/>
        </w:rPr>
        <w:t>-</w:t>
      </w:r>
      <w:r>
        <w:t xml:space="preserve"> Sentencia </w:t>
      </w:r>
      <w:hyperlink w:anchor="SENTENCIA_2013_8" w:history="1">
        <w:r w:rsidRPr="00E27756">
          <w:rPr>
            <w:rStyle w:val="TextoNormalCaracter"/>
          </w:rPr>
          <w:t>8/2013</w:t>
        </w:r>
      </w:hyperlink>
      <w:r>
        <w:t>, ff. 1, 2.</w:t>
      </w:r>
    </w:p>
    <w:p w:rsidR="00E27756" w:rsidRDefault="00E27756" w:rsidP="00E27756">
      <w:pPr>
        <w:pStyle w:val="SangriaFrancesaArticulo"/>
      </w:pPr>
      <w:r w:rsidRPr="00E27756">
        <w:rPr>
          <w:rStyle w:val="TextoNormalNegritaCaracter"/>
        </w:rPr>
        <w:t>Artículo único.1.</w:t>
      </w:r>
      <w:r w:rsidRPr="00E27756">
        <w:rPr>
          <w:rStyle w:val="TextoNormalCaracter"/>
        </w:rPr>
        <w:t>-</w:t>
      </w:r>
      <w:r>
        <w:t xml:space="preserve"> Sentencia </w:t>
      </w:r>
      <w:hyperlink w:anchor="SENTENCIA_2013_99" w:history="1">
        <w:r w:rsidRPr="00E27756">
          <w:rPr>
            <w:rStyle w:val="TextoNormalCaracter"/>
          </w:rPr>
          <w:t>99/2013</w:t>
        </w:r>
      </w:hyperlink>
      <w:r>
        <w:t>, f. 5.</w:t>
      </w:r>
    </w:p>
    <w:p w:rsidR="00E27756" w:rsidRDefault="00E27756" w:rsidP="00E27756">
      <w:pPr>
        <w:pStyle w:val="SangriaFrancesaArticulo"/>
      </w:pPr>
    </w:p>
    <w:p w:rsidR="00E27756" w:rsidRDefault="00E27756" w:rsidP="00E27756">
      <w:pPr>
        <w:pStyle w:val="TextoNormalNegritaCursivandice"/>
      </w:pPr>
      <w:r>
        <w:t>Ley 17/2007, de 4 de julio. Modificación de la Ley 54/1997, de 27 de noviembre del sector eléctrico para adaptarla a la Directiva 2003/54/CE sobre normas comunes para el mercado interior de la electricidad</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4" w:history="1">
        <w:r w:rsidRPr="00E27756">
          <w:rPr>
            <w:rStyle w:val="TextoNormalCaracter"/>
          </w:rPr>
          <w:t>4/2013</w:t>
        </w:r>
      </w:hyperlink>
      <w:r>
        <w:t xml:space="preserve">, f. 10; </w:t>
      </w:r>
      <w:hyperlink w:anchor="SENTENCIA_2013_60" w:history="1">
        <w:r w:rsidRPr="00E27756">
          <w:rPr>
            <w:rStyle w:val="TextoNormalCaracter"/>
          </w:rPr>
          <w:t>60/2013</w:t>
        </w:r>
      </w:hyperlink>
      <w:r>
        <w:t xml:space="preserve">, f. 2; </w:t>
      </w:r>
      <w:hyperlink w:anchor="SENTENCIA_2013_102" w:history="1">
        <w:r w:rsidRPr="00E27756">
          <w:rPr>
            <w:rStyle w:val="TextoNormalCaracter"/>
          </w:rPr>
          <w:t>102/2013</w:t>
        </w:r>
      </w:hyperlink>
      <w:r>
        <w:t xml:space="preserve">, f. 3; </w:t>
      </w:r>
      <w:hyperlink w:anchor="SENTENCIA_2013_123" w:history="1">
        <w:r w:rsidRPr="00E27756">
          <w:rPr>
            <w:rStyle w:val="TextoNormalCaracter"/>
          </w:rPr>
          <w:t>123/2013</w:t>
        </w:r>
      </w:hyperlink>
      <w:r>
        <w:t>, ff. 2, 6.</w:t>
      </w:r>
    </w:p>
    <w:p w:rsidR="00E27756" w:rsidRDefault="00E27756" w:rsidP="00E27756">
      <w:pPr>
        <w:pStyle w:val="SangriaFrancesaArticulo"/>
      </w:pPr>
      <w:r w:rsidRPr="00E27756">
        <w:rPr>
          <w:rStyle w:val="TextoNormalNegritaCaracter"/>
        </w:rPr>
        <w:t>Disposición transitoria novena.</w:t>
      </w:r>
      <w:r w:rsidRPr="00E27756">
        <w:rPr>
          <w:rStyle w:val="TextoNormalCaracter"/>
        </w:rPr>
        <w:t>-</w:t>
      </w:r>
      <w:r>
        <w:t xml:space="preserve"> Sentencia </w:t>
      </w:r>
      <w:hyperlink w:anchor="SENTENCIA_2013_123" w:history="1">
        <w:r w:rsidRPr="00E27756">
          <w:rPr>
            <w:rStyle w:val="TextoNormalCaracter"/>
          </w:rPr>
          <w:t>123/2013</w:t>
        </w:r>
      </w:hyperlink>
      <w:r>
        <w:t>, f. 6.</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123" w:history="1">
        <w:r w:rsidRPr="00E27756">
          <w:rPr>
            <w:rStyle w:val="TextoNormalCaracter"/>
          </w:rPr>
          <w:t>123/2013</w:t>
        </w:r>
      </w:hyperlink>
      <w:r>
        <w:t>, f. 6.</w:t>
      </w:r>
    </w:p>
    <w:p w:rsidR="00E27756" w:rsidRDefault="00E27756" w:rsidP="00E27756">
      <w:pPr>
        <w:pStyle w:val="SangriaFrancesaArticulo"/>
      </w:pPr>
    </w:p>
    <w:p w:rsidR="00E27756" w:rsidRDefault="00E27756" w:rsidP="00E27756">
      <w:pPr>
        <w:pStyle w:val="TextoNormalNegritaCursivandice"/>
      </w:pPr>
      <w:r>
        <w:t>Ley 30/2007, de 30 de octubre. Contratos del sector público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30" w:history="1">
        <w:r w:rsidRPr="00E27756">
          <w:rPr>
            <w:rStyle w:val="TextoNormalCaracter"/>
          </w:rPr>
          <w:t>130/2013</w:t>
        </w:r>
      </w:hyperlink>
      <w:r>
        <w:t xml:space="preserve">, ff. 2, 9, 10; </w:t>
      </w:r>
      <w:hyperlink w:anchor="SENTENCIA_2013_135" w:history="1">
        <w:r w:rsidRPr="00E27756">
          <w:rPr>
            <w:rStyle w:val="TextoNormalCaracter"/>
          </w:rPr>
          <w:t>135/2013</w:t>
        </w:r>
      </w:hyperlink>
      <w:r>
        <w:t>, ff. 2, 4.</w:t>
      </w:r>
    </w:p>
    <w:p w:rsidR="00E27756" w:rsidRDefault="00E27756" w:rsidP="00E27756">
      <w:pPr>
        <w:pStyle w:val="SangriaFrancesaArticulo"/>
      </w:pPr>
    </w:p>
    <w:p w:rsidR="00E27756" w:rsidRDefault="00E27756" w:rsidP="00E27756">
      <w:pPr>
        <w:pStyle w:val="TextoNormalNegritaCursivandice"/>
      </w:pPr>
      <w:r>
        <w:t>Ley 40/2007, de 4 de diciembre. Medidas en materia de Seguridad Social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1" w:history="1">
        <w:r w:rsidRPr="00E27756">
          <w:rPr>
            <w:rStyle w:val="TextoNormalCaracter"/>
          </w:rPr>
          <w:t>41/2013</w:t>
        </w:r>
      </w:hyperlink>
      <w:r>
        <w:t>, ff. 1, 2, 4, 6, VP I.</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41" w:history="1">
        <w:r w:rsidRPr="00E27756">
          <w:rPr>
            <w:rStyle w:val="TextoNormalCaracter"/>
          </w:rPr>
          <w:t>41/2013</w:t>
        </w:r>
      </w:hyperlink>
      <w:r>
        <w:t>, f. 7.</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Sentencia </w:t>
      </w:r>
      <w:hyperlink w:anchor="SENTENCIA_2013_41" w:history="1">
        <w:r w:rsidRPr="00E27756">
          <w:rPr>
            <w:rStyle w:val="TextoNormalCaracter"/>
          </w:rPr>
          <w:t>41/2013</w:t>
        </w:r>
      </w:hyperlink>
      <w:r>
        <w:t>, f. 4.</w:t>
      </w:r>
    </w:p>
    <w:p w:rsidR="00E27756" w:rsidRDefault="00E27756" w:rsidP="00E27756">
      <w:pPr>
        <w:pStyle w:val="SangriaFrancesaArticulo"/>
      </w:pPr>
      <w:r w:rsidRPr="00E27756">
        <w:rPr>
          <w:rStyle w:val="TextoNormalNegritaCaracter"/>
        </w:rPr>
        <w:lastRenderedPageBreak/>
        <w:t>Artículo 5.</w:t>
      </w:r>
      <w:r w:rsidRPr="00E27756">
        <w:rPr>
          <w:rStyle w:val="TextoNormalCaracter"/>
        </w:rPr>
        <w:t>-</w:t>
      </w:r>
      <w:r>
        <w:t xml:space="preserve"> Sentencia </w:t>
      </w:r>
      <w:hyperlink w:anchor="SENTENCIA_2013_41" w:history="1">
        <w:r w:rsidRPr="00E27756">
          <w:rPr>
            <w:rStyle w:val="TextoNormalCaracter"/>
          </w:rPr>
          <w:t>41/2013</w:t>
        </w:r>
      </w:hyperlink>
      <w:r>
        <w:t>, f. 1.</w:t>
      </w:r>
    </w:p>
    <w:p w:rsidR="00E27756" w:rsidRDefault="00E27756" w:rsidP="00E27756">
      <w:pPr>
        <w:pStyle w:val="SangriaFrancesaArticulo"/>
      </w:pPr>
      <w:r w:rsidRPr="00E27756">
        <w:rPr>
          <w:rStyle w:val="TextoNormalNegritaCaracter"/>
        </w:rPr>
        <w:t>Disposición adicional tercera.</w:t>
      </w:r>
      <w:r w:rsidRPr="00E27756">
        <w:rPr>
          <w:rStyle w:val="TextoNormalCaracter"/>
        </w:rPr>
        <w:t>-</w:t>
      </w:r>
      <w:r>
        <w:t xml:space="preserve"> Sentencia </w:t>
      </w:r>
      <w:hyperlink w:anchor="SENTENCIA_2013_41" w:history="1">
        <w:r w:rsidRPr="00E27756">
          <w:rPr>
            <w:rStyle w:val="TextoNormalCaracter"/>
          </w:rPr>
          <w:t>41/2013</w:t>
        </w:r>
      </w:hyperlink>
      <w:r>
        <w:t>, ff. 1-3, 5, 7-9, VP I.</w:t>
      </w:r>
    </w:p>
    <w:p w:rsidR="00E27756" w:rsidRDefault="00E27756" w:rsidP="00E27756">
      <w:pPr>
        <w:pStyle w:val="SangriaFrancesaArticulo"/>
      </w:pPr>
      <w:r w:rsidRPr="00E27756">
        <w:rPr>
          <w:rStyle w:val="TextoNormalNegritaCaracter"/>
        </w:rPr>
        <w:t>Disposición adicional tercera, apartado b).</w:t>
      </w:r>
      <w:r w:rsidRPr="00E27756">
        <w:rPr>
          <w:rStyle w:val="TextoNormalCaracter"/>
        </w:rPr>
        <w:t>-</w:t>
      </w:r>
      <w:r>
        <w:t xml:space="preserve"> Sentencia </w:t>
      </w:r>
      <w:hyperlink w:anchor="SENTENCIA_2013_41" w:history="1">
        <w:r w:rsidRPr="00E27756">
          <w:rPr>
            <w:rStyle w:val="TextoNormalCaracter"/>
          </w:rPr>
          <w:t>41/2013</w:t>
        </w:r>
      </w:hyperlink>
      <w:r>
        <w:t>, ff. 7, VP I.</w:t>
      </w:r>
    </w:p>
    <w:p w:rsidR="00E27756" w:rsidRDefault="00E27756" w:rsidP="00E27756">
      <w:pPr>
        <w:pStyle w:val="SangriaFrancesaArticulo"/>
      </w:pPr>
      <w:r w:rsidRPr="00E27756">
        <w:rPr>
          <w:rStyle w:val="TextoNormalNegritaCaracter"/>
        </w:rPr>
        <w:t>Disposición adicional tercera, apartado c).</w:t>
      </w:r>
      <w:r w:rsidRPr="00E27756">
        <w:rPr>
          <w:rStyle w:val="TextoNormalCaracter"/>
        </w:rPr>
        <w:t>-</w:t>
      </w:r>
      <w:r>
        <w:t xml:space="preserve"> Sentencias </w:t>
      </w:r>
      <w:hyperlink w:anchor="SENTENCIA_2013_41" w:history="1">
        <w:r w:rsidRPr="00E27756">
          <w:rPr>
            <w:rStyle w:val="TextoNormalCaracter"/>
          </w:rPr>
          <w:t>41/2013</w:t>
        </w:r>
      </w:hyperlink>
      <w:r>
        <w:t xml:space="preserve">, ff. 2, 5, 6, 8, 9, VP I; </w:t>
      </w:r>
      <w:hyperlink w:anchor="SENTENCIA_2013_55" w:history="1">
        <w:r w:rsidRPr="00E27756">
          <w:rPr>
            <w:rStyle w:val="TextoNormalCaracter"/>
          </w:rPr>
          <w:t>55/2013</w:t>
        </w:r>
      </w:hyperlink>
      <w:r>
        <w:t xml:space="preserve">, ff. 1, 2; </w:t>
      </w:r>
      <w:hyperlink w:anchor="SENTENCIA_2013_77" w:history="1">
        <w:r w:rsidRPr="00E27756">
          <w:rPr>
            <w:rStyle w:val="TextoNormalCaracter"/>
          </w:rPr>
          <w:t>77/2013</w:t>
        </w:r>
      </w:hyperlink>
      <w:r>
        <w:t>, ff. 1 a 3.</w:t>
      </w:r>
    </w:p>
    <w:p w:rsidR="00E27756" w:rsidRDefault="00E27756" w:rsidP="00E27756">
      <w:pPr>
        <w:pStyle w:val="SangriaIzquierdaArticulo"/>
      </w:pPr>
      <w:r>
        <w:t xml:space="preserve">Autos </w:t>
      </w:r>
      <w:hyperlink w:anchor="AUTO_2013_69" w:history="1">
        <w:r w:rsidRPr="00E27756">
          <w:rPr>
            <w:rStyle w:val="TextoNormalCaracter"/>
          </w:rPr>
          <w:t>69/2013</w:t>
        </w:r>
      </w:hyperlink>
      <w:r>
        <w:t xml:space="preserve">, f. único; </w:t>
      </w:r>
      <w:hyperlink w:anchor="AUTO_2013_79" w:history="1">
        <w:r w:rsidRPr="00E27756">
          <w:rPr>
            <w:rStyle w:val="TextoNormalCaracter"/>
          </w:rPr>
          <w:t>79/2013</w:t>
        </w:r>
      </w:hyperlink>
      <w:r>
        <w:t>, f. único.</w:t>
      </w:r>
    </w:p>
    <w:p w:rsidR="00E27756" w:rsidRDefault="00E27756" w:rsidP="00E27756">
      <w:pPr>
        <w:pStyle w:val="SangriaIzquierdaArticulo"/>
      </w:pPr>
    </w:p>
    <w:p w:rsidR="00E27756" w:rsidRDefault="00E27756" w:rsidP="00E27756">
      <w:pPr>
        <w:pStyle w:val="TextoNormalNegritaCursivandice"/>
      </w:pPr>
      <w:r>
        <w:t>Ley 42/2007, de 13 de diciembre. Patrimonio natural y de la biodiversidad</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59" w:history="1">
        <w:r w:rsidRPr="00E27756">
          <w:rPr>
            <w:rStyle w:val="TextoNormalCaracter"/>
          </w:rPr>
          <w:t>59/2013</w:t>
        </w:r>
      </w:hyperlink>
      <w:r>
        <w:t xml:space="preserve">, ff. 2, 3; </w:t>
      </w:r>
      <w:hyperlink w:anchor="SENTENCIA_2013_69" w:history="1">
        <w:r w:rsidRPr="00E27756">
          <w:rPr>
            <w:rStyle w:val="TextoNormalCaracter"/>
          </w:rPr>
          <w:t>69/2013</w:t>
        </w:r>
      </w:hyperlink>
      <w:r>
        <w:t xml:space="preserve">, ff. 2, 3; </w:t>
      </w:r>
      <w:hyperlink w:anchor="SENTENCIA_2013_80" w:history="1">
        <w:r w:rsidRPr="00E27756">
          <w:rPr>
            <w:rStyle w:val="TextoNormalCaracter"/>
          </w:rPr>
          <w:t>80/2013</w:t>
        </w:r>
      </w:hyperlink>
      <w:r>
        <w:t xml:space="preserve">, f. 3; </w:t>
      </w:r>
      <w:hyperlink w:anchor="SENTENCIA_2013_111" w:history="1">
        <w:r w:rsidRPr="00E27756">
          <w:rPr>
            <w:rStyle w:val="TextoNormalCaracter"/>
          </w:rPr>
          <w:t>111/2013</w:t>
        </w:r>
      </w:hyperlink>
      <w:r>
        <w:t xml:space="preserve">, f. 2; </w:t>
      </w:r>
      <w:hyperlink w:anchor="SENTENCIA_2013_138" w:history="1">
        <w:r w:rsidRPr="00E27756">
          <w:rPr>
            <w:rStyle w:val="TextoNormalCaracter"/>
          </w:rPr>
          <w:t>138/2013</w:t>
        </w:r>
      </w:hyperlink>
      <w:r>
        <w:t>, ff. 1, 4.</w:t>
      </w:r>
    </w:p>
    <w:p w:rsidR="00E27756" w:rsidRDefault="00E27756" w:rsidP="00E27756">
      <w:pPr>
        <w:pStyle w:val="SangriaFrancesaArticulo"/>
      </w:pPr>
      <w:r w:rsidRPr="00E27756">
        <w:rPr>
          <w:rStyle w:val="TextoNormalNegritaCaracter"/>
        </w:rPr>
        <w:t>Título II, capítulo I.</w:t>
      </w:r>
      <w:r w:rsidRPr="00E27756">
        <w:rPr>
          <w:rStyle w:val="TextoNormalCaracter"/>
        </w:rPr>
        <w:t>-</w:t>
      </w:r>
      <w:r>
        <w:t xml:space="preserve"> Sentencia </w:t>
      </w:r>
      <w:hyperlink w:anchor="SENTENCIA_2013_138" w:history="1">
        <w:r w:rsidRPr="00E27756">
          <w:rPr>
            <w:rStyle w:val="TextoNormalCaracter"/>
          </w:rPr>
          <w:t>138/2013</w:t>
        </w:r>
      </w:hyperlink>
      <w:r>
        <w:t>, f. 8.</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Sentencia </w:t>
      </w:r>
      <w:hyperlink w:anchor="SENTENCIA_2013_69" w:history="1">
        <w:r w:rsidRPr="00E27756">
          <w:rPr>
            <w:rStyle w:val="TextoNormalCaracter"/>
          </w:rPr>
          <w:t>69/2013</w:t>
        </w:r>
      </w:hyperlink>
      <w:r>
        <w:t>, f. 2.</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69" w:history="1">
        <w:r w:rsidRPr="00E27756">
          <w:rPr>
            <w:rStyle w:val="TextoNormalCaracter"/>
          </w:rPr>
          <w:t>69/2013</w:t>
        </w:r>
      </w:hyperlink>
      <w:r>
        <w:t>, f. 2.</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69" w:history="1">
        <w:r w:rsidRPr="00E27756">
          <w:rPr>
            <w:rStyle w:val="TextoNormalCaracter"/>
          </w:rPr>
          <w:t>69/2013</w:t>
        </w:r>
      </w:hyperlink>
      <w:r>
        <w:t>, f. 2.</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138" w:history="1">
        <w:r w:rsidRPr="00E27756">
          <w:rPr>
            <w:rStyle w:val="TextoNormalCaracter"/>
          </w:rPr>
          <w:t>138/2013</w:t>
        </w:r>
      </w:hyperlink>
      <w:r>
        <w:t>, f. 1.</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Sentencias </w:t>
      </w:r>
      <w:hyperlink w:anchor="SENTENCIA_2013_69" w:history="1">
        <w:r w:rsidRPr="00E27756">
          <w:rPr>
            <w:rStyle w:val="TextoNormalCaracter"/>
          </w:rPr>
          <w:t>69/2013</w:t>
        </w:r>
      </w:hyperlink>
      <w:r>
        <w:t xml:space="preserve">, f. 2; </w:t>
      </w:r>
      <w:hyperlink w:anchor="SENTENCIA_2013_138" w:history="1">
        <w:r w:rsidRPr="00E27756">
          <w:rPr>
            <w:rStyle w:val="TextoNormalCaracter"/>
          </w:rPr>
          <w:t>138/2013</w:t>
        </w:r>
      </w:hyperlink>
      <w:r>
        <w:t>, f. 3.</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138" w:history="1">
        <w:r w:rsidRPr="00E27756">
          <w:rPr>
            <w:rStyle w:val="TextoNormalCaracter"/>
          </w:rPr>
          <w:t>138/2013</w:t>
        </w:r>
      </w:hyperlink>
      <w:r>
        <w:t>, f. 3.</w:t>
      </w:r>
    </w:p>
    <w:p w:rsidR="00E27756" w:rsidRDefault="00E27756" w:rsidP="00E27756">
      <w:pPr>
        <w:pStyle w:val="SangriaFrancesaArticulo"/>
      </w:pPr>
      <w:r w:rsidRPr="00E27756">
        <w:rPr>
          <w:rStyle w:val="TextoNormalNegritaCaracter"/>
        </w:rPr>
        <w:t>Artículo 4.3.</w:t>
      </w:r>
      <w:r w:rsidRPr="00E27756">
        <w:rPr>
          <w:rStyle w:val="TextoNormalCaracter"/>
        </w:rPr>
        <w:t>-</w:t>
      </w:r>
      <w:r>
        <w:t xml:space="preserve"> Sentencia </w:t>
      </w:r>
      <w:hyperlink w:anchor="SENTENCIA_2013_138" w:history="1">
        <w:r w:rsidRPr="00E27756">
          <w:rPr>
            <w:rStyle w:val="TextoNormalCaracter"/>
          </w:rPr>
          <w:t>138/2013</w:t>
        </w:r>
      </w:hyperlink>
      <w:r>
        <w:t>, f. 3.</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138" w:history="1">
        <w:r w:rsidRPr="00E27756">
          <w:rPr>
            <w:rStyle w:val="TextoNormalCaracter"/>
          </w:rPr>
          <w:t>138/2013</w:t>
        </w:r>
      </w:hyperlink>
      <w:r>
        <w:t>, ff. 1, 4.</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 </w:t>
      </w:r>
      <w:hyperlink w:anchor="SENTENCIA_2013_138" w:history="1">
        <w:r w:rsidRPr="00E27756">
          <w:rPr>
            <w:rStyle w:val="TextoNormalCaracter"/>
          </w:rPr>
          <w:t>138/2013</w:t>
        </w:r>
      </w:hyperlink>
      <w:r>
        <w:t>, ff. 1, 4, 8.</w:t>
      </w:r>
    </w:p>
    <w:p w:rsidR="00E27756" w:rsidRDefault="00E27756" w:rsidP="00E27756">
      <w:pPr>
        <w:pStyle w:val="SangriaFrancesaArticulo"/>
      </w:pPr>
      <w:r w:rsidRPr="00E27756">
        <w:rPr>
          <w:rStyle w:val="TextoNormalNegritaCaracter"/>
        </w:rPr>
        <w:t>Artículo 10.2.</w:t>
      </w:r>
      <w:r w:rsidRPr="00E27756">
        <w:rPr>
          <w:rStyle w:val="TextoNormalCaracter"/>
        </w:rPr>
        <w:t>-</w:t>
      </w:r>
      <w:r>
        <w:t xml:space="preserve"> Sentencia </w:t>
      </w:r>
      <w:hyperlink w:anchor="SENTENCIA_2013_138" w:history="1">
        <w:r w:rsidRPr="00E27756">
          <w:rPr>
            <w:rStyle w:val="TextoNormalCaracter"/>
          </w:rPr>
          <w:t>138/2013</w:t>
        </w:r>
      </w:hyperlink>
      <w:r>
        <w:t>, f. 4.</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138" w:history="1">
        <w:r w:rsidRPr="00E27756">
          <w:rPr>
            <w:rStyle w:val="TextoNormalCaracter"/>
          </w:rPr>
          <w:t>138/2013</w:t>
        </w:r>
      </w:hyperlink>
      <w:r>
        <w:t>, ff. 1, 4, 8.</w:t>
      </w:r>
    </w:p>
    <w:p w:rsidR="00E27756" w:rsidRDefault="00E27756" w:rsidP="00E27756">
      <w:pPr>
        <w:pStyle w:val="SangriaFrancesaArticulo"/>
      </w:pPr>
      <w:r w:rsidRPr="00E27756">
        <w:rPr>
          <w:rStyle w:val="TextoNormalNegritaCaracter"/>
        </w:rPr>
        <w:t>Artículo 16.</w:t>
      </w:r>
      <w:r w:rsidRPr="00E27756">
        <w:rPr>
          <w:rStyle w:val="TextoNormalCaracter"/>
        </w:rPr>
        <w:t>-</w:t>
      </w:r>
      <w:r>
        <w:t xml:space="preserve"> Sentencia </w:t>
      </w:r>
      <w:hyperlink w:anchor="SENTENCIA_2013_138" w:history="1">
        <w:r w:rsidRPr="00E27756">
          <w:rPr>
            <w:rStyle w:val="TextoNormalCaracter"/>
          </w:rPr>
          <w:t>138/2013</w:t>
        </w:r>
      </w:hyperlink>
      <w:r>
        <w:t>, f. 5.</w:t>
      </w:r>
    </w:p>
    <w:p w:rsidR="00E27756" w:rsidRDefault="00E27756" w:rsidP="00E27756">
      <w:pPr>
        <w:pStyle w:val="SangriaFrancesaArticulo"/>
      </w:pPr>
      <w:r w:rsidRPr="00E27756">
        <w:rPr>
          <w:rStyle w:val="TextoNormalNegritaCaracter"/>
        </w:rPr>
        <w:t>Artículo 16.2.</w:t>
      </w:r>
      <w:r w:rsidRPr="00E27756">
        <w:rPr>
          <w:rStyle w:val="TextoNormalCaracter"/>
        </w:rPr>
        <w:t>-</w:t>
      </w:r>
      <w:r>
        <w:t xml:space="preserve"> Sentencia </w:t>
      </w:r>
      <w:hyperlink w:anchor="SENTENCIA_2013_138" w:history="1">
        <w:r w:rsidRPr="00E27756">
          <w:rPr>
            <w:rStyle w:val="TextoNormalCaracter"/>
          </w:rPr>
          <w:t>138/2013</w:t>
        </w:r>
      </w:hyperlink>
      <w:r>
        <w:t>, ff. 1, 5.</w:t>
      </w:r>
    </w:p>
    <w:p w:rsidR="00E27756" w:rsidRDefault="00E27756" w:rsidP="00E27756">
      <w:pPr>
        <w:pStyle w:val="SangriaFrancesaArticulo"/>
      </w:pPr>
      <w:r w:rsidRPr="00E27756">
        <w:rPr>
          <w:rStyle w:val="TextoNormalNegritaCaracter"/>
        </w:rPr>
        <w:t>Artículo 16.3.</w:t>
      </w:r>
      <w:r w:rsidRPr="00E27756">
        <w:rPr>
          <w:rStyle w:val="TextoNormalCaracter"/>
        </w:rPr>
        <w:t>-</w:t>
      </w:r>
      <w:r>
        <w:t xml:space="preserve"> Sentencia </w:t>
      </w:r>
      <w:hyperlink w:anchor="SENTENCIA_2013_138" w:history="1">
        <w:r w:rsidRPr="00E27756">
          <w:rPr>
            <w:rStyle w:val="TextoNormalCaracter"/>
          </w:rPr>
          <w:t>138/2013</w:t>
        </w:r>
      </w:hyperlink>
      <w:r>
        <w:t>, f. 5.</w:t>
      </w:r>
    </w:p>
    <w:p w:rsidR="00E27756" w:rsidRDefault="00E27756" w:rsidP="00E27756">
      <w:pPr>
        <w:pStyle w:val="SangriaFrancesaArticulo"/>
      </w:pPr>
      <w:r w:rsidRPr="00E27756">
        <w:rPr>
          <w:rStyle w:val="TextoNormalNegritaCaracter"/>
        </w:rPr>
        <w:t>Artículo 20.</w:t>
      </w:r>
      <w:r w:rsidRPr="00E27756">
        <w:rPr>
          <w:rStyle w:val="TextoNormalCaracter"/>
        </w:rPr>
        <w:t>-</w:t>
      </w:r>
      <w:r>
        <w:t xml:space="preserve"> Sentencia </w:t>
      </w:r>
      <w:hyperlink w:anchor="SENTENCIA_2013_138" w:history="1">
        <w:r w:rsidRPr="00E27756">
          <w:rPr>
            <w:rStyle w:val="TextoNormalCaracter"/>
          </w:rPr>
          <w:t>138/2013</w:t>
        </w:r>
      </w:hyperlink>
      <w:r>
        <w:t>, ff. 1, 6.</w:t>
      </w:r>
    </w:p>
    <w:p w:rsidR="00E27756" w:rsidRDefault="00E27756" w:rsidP="00E27756">
      <w:pPr>
        <w:pStyle w:val="SangriaFrancesaArticulo"/>
      </w:pPr>
      <w:r w:rsidRPr="00E27756">
        <w:rPr>
          <w:rStyle w:val="TextoNormalNegritaCaracter"/>
        </w:rPr>
        <w:t>Artículo 20.1.</w:t>
      </w:r>
      <w:r w:rsidRPr="00E27756">
        <w:rPr>
          <w:rStyle w:val="TextoNormalCaracter"/>
        </w:rPr>
        <w:t>-</w:t>
      </w:r>
      <w:r>
        <w:t xml:space="preserve"> Sentencia </w:t>
      </w:r>
      <w:hyperlink w:anchor="SENTENCIA_2013_138" w:history="1">
        <w:r w:rsidRPr="00E27756">
          <w:rPr>
            <w:rStyle w:val="TextoNormalCaracter"/>
          </w:rPr>
          <w:t>138/2013</w:t>
        </w:r>
      </w:hyperlink>
      <w:r>
        <w:t>, f. 6.</w:t>
      </w:r>
    </w:p>
    <w:p w:rsidR="00E27756" w:rsidRDefault="00E27756" w:rsidP="00E27756">
      <w:pPr>
        <w:pStyle w:val="SangriaFrancesaArticulo"/>
      </w:pPr>
      <w:r w:rsidRPr="00E27756">
        <w:rPr>
          <w:rStyle w:val="TextoNormalNegritaCaracter"/>
        </w:rPr>
        <w:t>Artículo 20.2.</w:t>
      </w:r>
      <w:r w:rsidRPr="00E27756">
        <w:rPr>
          <w:rStyle w:val="TextoNormalCaracter"/>
        </w:rPr>
        <w:t>-</w:t>
      </w:r>
      <w:r>
        <w:t xml:space="preserve"> Sentencia </w:t>
      </w:r>
      <w:hyperlink w:anchor="SENTENCIA_2013_138" w:history="1">
        <w:r w:rsidRPr="00E27756">
          <w:rPr>
            <w:rStyle w:val="TextoNormalCaracter"/>
          </w:rPr>
          <w:t>138/2013</w:t>
        </w:r>
      </w:hyperlink>
      <w:r>
        <w:t>, f. 6.</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 </w:t>
      </w:r>
      <w:hyperlink w:anchor="SENTENCIA_2013_138" w:history="1">
        <w:r w:rsidRPr="00E27756">
          <w:rPr>
            <w:rStyle w:val="TextoNormalCaracter"/>
          </w:rPr>
          <w:t>138/2013</w:t>
        </w:r>
      </w:hyperlink>
      <w:r>
        <w:t>, f. 7.</w:t>
      </w:r>
    </w:p>
    <w:p w:rsidR="00E27756" w:rsidRDefault="00E27756" w:rsidP="00E27756">
      <w:pPr>
        <w:pStyle w:val="SangriaFrancesaArticulo"/>
      </w:pPr>
      <w:r w:rsidRPr="00E27756">
        <w:rPr>
          <w:rStyle w:val="TextoNormalNegritaCaracter"/>
        </w:rPr>
        <w:t>Artículo 23.b.1.</w:t>
      </w:r>
      <w:r w:rsidRPr="00E27756">
        <w:rPr>
          <w:rStyle w:val="TextoNormalCaracter"/>
        </w:rPr>
        <w:t>-</w:t>
      </w:r>
      <w:r>
        <w:t xml:space="preserve"> Sentencia </w:t>
      </w:r>
      <w:hyperlink w:anchor="SENTENCIA_2013_138" w:history="1">
        <w:r w:rsidRPr="00E27756">
          <w:rPr>
            <w:rStyle w:val="TextoNormalCaracter"/>
          </w:rPr>
          <w:t>138/2013</w:t>
        </w:r>
      </w:hyperlink>
      <w:r>
        <w:t>, f. 1.</w:t>
      </w:r>
    </w:p>
    <w:p w:rsidR="00E27756" w:rsidRDefault="00E27756" w:rsidP="00E27756">
      <w:pPr>
        <w:pStyle w:val="SangriaFrancesaArticulo"/>
      </w:pPr>
      <w:r w:rsidRPr="00E27756">
        <w:rPr>
          <w:rStyle w:val="TextoNormalNegritaCaracter"/>
        </w:rPr>
        <w:t>Artículo 24.</w:t>
      </w:r>
      <w:r w:rsidRPr="00E27756">
        <w:rPr>
          <w:rStyle w:val="TextoNormalCaracter"/>
        </w:rPr>
        <w:t>-</w:t>
      </w:r>
      <w:r>
        <w:t xml:space="preserve"> Sentencias </w:t>
      </w:r>
      <w:hyperlink w:anchor="SENTENCIA_2013_69" w:history="1">
        <w:r w:rsidRPr="00E27756">
          <w:rPr>
            <w:rStyle w:val="TextoNormalCaracter"/>
          </w:rPr>
          <w:t>69/2013</w:t>
        </w:r>
      </w:hyperlink>
      <w:r>
        <w:t xml:space="preserve">, f. 4; </w:t>
      </w:r>
      <w:hyperlink w:anchor="SENTENCIA_2013_138" w:history="1">
        <w:r w:rsidRPr="00E27756">
          <w:rPr>
            <w:rStyle w:val="TextoNormalCaracter"/>
          </w:rPr>
          <w:t>138/2013</w:t>
        </w:r>
      </w:hyperlink>
      <w:r>
        <w:t>, ff. 1, 8.</w:t>
      </w:r>
    </w:p>
    <w:p w:rsidR="00E27756" w:rsidRDefault="00E27756" w:rsidP="00E27756">
      <w:pPr>
        <w:pStyle w:val="SangriaFrancesaArticulo"/>
      </w:pPr>
      <w:r w:rsidRPr="00E27756">
        <w:rPr>
          <w:rStyle w:val="TextoNormalNegritaCaracter"/>
        </w:rPr>
        <w:t>Artículo 25.</w:t>
      </w:r>
      <w:r w:rsidRPr="00E27756">
        <w:rPr>
          <w:rStyle w:val="TextoNormalCaracter"/>
        </w:rPr>
        <w:t>-</w:t>
      </w:r>
      <w:r>
        <w:t xml:space="preserve"> Sentencias </w:t>
      </w:r>
      <w:hyperlink w:anchor="SENTENCIA_2013_69" w:history="1">
        <w:r w:rsidRPr="00E27756">
          <w:rPr>
            <w:rStyle w:val="TextoNormalCaracter"/>
          </w:rPr>
          <w:t>69/2013</w:t>
        </w:r>
      </w:hyperlink>
      <w:r>
        <w:t xml:space="preserve">, ff. 1, 4; </w:t>
      </w:r>
      <w:hyperlink w:anchor="SENTENCIA_2013_114" w:history="1">
        <w:r w:rsidRPr="00E27756">
          <w:rPr>
            <w:rStyle w:val="TextoNormalCaracter"/>
          </w:rPr>
          <w:t>114/2013</w:t>
        </w:r>
      </w:hyperlink>
      <w:r>
        <w:t xml:space="preserve">, f. 2; </w:t>
      </w:r>
      <w:hyperlink w:anchor="SENTENCIA_2013_138" w:history="1">
        <w:r w:rsidRPr="00E27756">
          <w:rPr>
            <w:rStyle w:val="TextoNormalCaracter"/>
          </w:rPr>
          <w:t>138/2013</w:t>
        </w:r>
      </w:hyperlink>
      <w:r>
        <w:t>, ff. 1, 8.</w:t>
      </w:r>
    </w:p>
    <w:p w:rsidR="00E27756" w:rsidRDefault="00E27756" w:rsidP="00E27756">
      <w:pPr>
        <w:pStyle w:val="SangriaFrancesaArticulo"/>
      </w:pPr>
      <w:r w:rsidRPr="00E27756">
        <w:rPr>
          <w:rStyle w:val="TextoNormalNegritaCaracter"/>
        </w:rPr>
        <w:t>Artículo 26.</w:t>
      </w:r>
      <w:r w:rsidRPr="00E27756">
        <w:rPr>
          <w:rStyle w:val="TextoNormalCaracter"/>
        </w:rPr>
        <w:t>-</w:t>
      </w:r>
      <w:r>
        <w:t xml:space="preserve"> Sentencia </w:t>
      </w:r>
      <w:hyperlink w:anchor="SENTENCIA_2013_138" w:history="1">
        <w:r w:rsidRPr="00E27756">
          <w:rPr>
            <w:rStyle w:val="TextoNormalCaracter"/>
          </w:rPr>
          <w:t>138/2013</w:t>
        </w:r>
      </w:hyperlink>
      <w:r>
        <w:t>, ff. 1, 8.</w:t>
      </w:r>
    </w:p>
    <w:p w:rsidR="00E27756" w:rsidRDefault="00E27756" w:rsidP="00E27756">
      <w:pPr>
        <w:pStyle w:val="SangriaFrancesaArticulo"/>
      </w:pPr>
      <w:r w:rsidRPr="00E27756">
        <w:rPr>
          <w:rStyle w:val="TextoNormalNegritaCaracter"/>
        </w:rPr>
        <w:t>Artículo 36.1.</w:t>
      </w:r>
      <w:r w:rsidRPr="00E27756">
        <w:rPr>
          <w:rStyle w:val="TextoNormalCaracter"/>
        </w:rPr>
        <w:t>-</w:t>
      </w:r>
      <w:r>
        <w:t xml:space="preserve"> Sentencia </w:t>
      </w:r>
      <w:hyperlink w:anchor="SENTENCIA_2013_87" w:history="1">
        <w:r w:rsidRPr="00E27756">
          <w:rPr>
            <w:rStyle w:val="TextoNormalCaracter"/>
          </w:rPr>
          <w:t>87/2013</w:t>
        </w:r>
      </w:hyperlink>
      <w:r>
        <w:t>, ff. 1 a 4, 6.</w:t>
      </w:r>
    </w:p>
    <w:p w:rsidR="00E27756" w:rsidRDefault="00E27756" w:rsidP="00E27756">
      <w:pPr>
        <w:pStyle w:val="SangriaFrancesaArticulo"/>
      </w:pPr>
      <w:r w:rsidRPr="00E27756">
        <w:rPr>
          <w:rStyle w:val="TextoNormalNegritaCaracter"/>
        </w:rPr>
        <w:t>Artículo 41.2.</w:t>
      </w:r>
      <w:r w:rsidRPr="00E27756">
        <w:rPr>
          <w:rStyle w:val="TextoNormalCaracter"/>
        </w:rPr>
        <w:t>-</w:t>
      </w:r>
      <w:r>
        <w:t xml:space="preserve"> Sentencias </w:t>
      </w:r>
      <w:hyperlink w:anchor="SENTENCIA_2013_69" w:history="1">
        <w:r w:rsidRPr="00E27756">
          <w:rPr>
            <w:rStyle w:val="TextoNormalCaracter"/>
          </w:rPr>
          <w:t>69/2013</w:t>
        </w:r>
      </w:hyperlink>
      <w:r>
        <w:t xml:space="preserve">, f. 5; </w:t>
      </w:r>
      <w:hyperlink w:anchor="SENTENCIA_2013_138" w:history="1">
        <w:r w:rsidRPr="00E27756">
          <w:rPr>
            <w:rStyle w:val="TextoNormalCaracter"/>
          </w:rPr>
          <w:t>138/2013</w:t>
        </w:r>
      </w:hyperlink>
      <w:r>
        <w:t>, f. 9.</w:t>
      </w:r>
    </w:p>
    <w:p w:rsidR="00E27756" w:rsidRDefault="00E27756" w:rsidP="00E27756">
      <w:pPr>
        <w:pStyle w:val="SangriaFrancesaArticulo"/>
      </w:pPr>
      <w:r w:rsidRPr="00E27756">
        <w:rPr>
          <w:rStyle w:val="TextoNormalNegritaCaracter"/>
        </w:rPr>
        <w:t>Artículo 44.</w:t>
      </w:r>
      <w:r w:rsidRPr="00E27756">
        <w:rPr>
          <w:rStyle w:val="TextoNormalCaracter"/>
        </w:rPr>
        <w:t>-</w:t>
      </w:r>
      <w:r>
        <w:t xml:space="preserve"> Sentencias </w:t>
      </w:r>
      <w:hyperlink w:anchor="SENTENCIA_2013_69" w:history="1">
        <w:r w:rsidRPr="00E27756">
          <w:rPr>
            <w:rStyle w:val="TextoNormalCaracter"/>
          </w:rPr>
          <w:t>69/2013</w:t>
        </w:r>
      </w:hyperlink>
      <w:r>
        <w:t xml:space="preserve">, f. 5; </w:t>
      </w:r>
      <w:hyperlink w:anchor="SENTENCIA_2013_138" w:history="1">
        <w:r w:rsidRPr="00E27756">
          <w:rPr>
            <w:rStyle w:val="TextoNormalCaracter"/>
          </w:rPr>
          <w:t>138/2013</w:t>
        </w:r>
      </w:hyperlink>
      <w:r>
        <w:t>, f. 9.</w:t>
      </w:r>
    </w:p>
    <w:p w:rsidR="00E27756" w:rsidRDefault="00E27756" w:rsidP="00E27756">
      <w:pPr>
        <w:pStyle w:val="SangriaFrancesaArticulo"/>
      </w:pPr>
      <w:r w:rsidRPr="00E27756">
        <w:rPr>
          <w:rStyle w:val="TextoNormalNegritaCaracter"/>
        </w:rPr>
        <w:t>Artículo 45.1.</w:t>
      </w:r>
      <w:r w:rsidRPr="00E27756">
        <w:rPr>
          <w:rStyle w:val="TextoNormalCaracter"/>
        </w:rPr>
        <w:t>-</w:t>
      </w:r>
      <w:r>
        <w:t xml:space="preserve"> Sentencias </w:t>
      </w:r>
      <w:hyperlink w:anchor="SENTENCIA_2013_69" w:history="1">
        <w:r w:rsidRPr="00E27756">
          <w:rPr>
            <w:rStyle w:val="TextoNormalCaracter"/>
          </w:rPr>
          <w:t>69/2013</w:t>
        </w:r>
      </w:hyperlink>
      <w:r>
        <w:t xml:space="preserve">, ff. 1, 5; </w:t>
      </w:r>
      <w:hyperlink w:anchor="SENTENCIA_2013_114" w:history="1">
        <w:r w:rsidRPr="00E27756">
          <w:rPr>
            <w:rStyle w:val="TextoNormalCaracter"/>
          </w:rPr>
          <w:t>114/2013</w:t>
        </w:r>
      </w:hyperlink>
      <w:r>
        <w:t xml:space="preserve">, f. 2; </w:t>
      </w:r>
      <w:hyperlink w:anchor="SENTENCIA_2013_138" w:history="1">
        <w:r w:rsidRPr="00E27756">
          <w:rPr>
            <w:rStyle w:val="TextoNormalCaracter"/>
          </w:rPr>
          <w:t>138/2013</w:t>
        </w:r>
      </w:hyperlink>
      <w:r>
        <w:t>, ff. 1, 9.</w:t>
      </w:r>
    </w:p>
    <w:p w:rsidR="00E27756" w:rsidRDefault="00E27756" w:rsidP="00E27756">
      <w:pPr>
        <w:pStyle w:val="SangriaFrancesaArticulo"/>
      </w:pPr>
      <w:r w:rsidRPr="00E27756">
        <w:rPr>
          <w:rStyle w:val="TextoNormalNegritaCaracter"/>
        </w:rPr>
        <w:t>Artículo 45.1 a)</w:t>
      </w:r>
      <w:r>
        <w:t xml:space="preserve"> </w:t>
      </w:r>
      <w:r w:rsidRPr="00E27756">
        <w:rPr>
          <w:rStyle w:val="TextoNormalCaracter"/>
        </w:rPr>
        <w:t>(redactado por la Ley 11/2012, de 19 de diciembre)</w:t>
      </w:r>
      <w:r w:rsidRPr="00E27756">
        <w:rPr>
          <w:rStyle w:val="TextoNormalNegritaCaracter"/>
        </w:rPr>
        <w:t>.</w:t>
      </w:r>
      <w:r w:rsidRPr="00E27756">
        <w:rPr>
          <w:rStyle w:val="TextoNormalCaracter"/>
        </w:rPr>
        <w:t>-</w:t>
      </w:r>
      <w:r>
        <w:t xml:space="preserve"> Sentencias </w:t>
      </w:r>
      <w:hyperlink w:anchor="SENTENCIA_2013_69" w:history="1">
        <w:r w:rsidRPr="00E27756">
          <w:rPr>
            <w:rStyle w:val="TextoNormalCaracter"/>
          </w:rPr>
          <w:t>69/2013</w:t>
        </w:r>
      </w:hyperlink>
      <w:r>
        <w:t xml:space="preserve">, f. 5; </w:t>
      </w:r>
      <w:hyperlink w:anchor="SENTENCIA_2013_138" w:history="1">
        <w:r w:rsidRPr="00E27756">
          <w:rPr>
            <w:rStyle w:val="TextoNormalCaracter"/>
          </w:rPr>
          <w:t>138/2013</w:t>
        </w:r>
      </w:hyperlink>
      <w:r>
        <w:t>, f. 2.</w:t>
      </w:r>
    </w:p>
    <w:p w:rsidR="00E27756" w:rsidRDefault="00E27756" w:rsidP="00E27756">
      <w:pPr>
        <w:pStyle w:val="SangriaFrancesaArticulo"/>
      </w:pPr>
      <w:r w:rsidRPr="00E27756">
        <w:rPr>
          <w:rStyle w:val="TextoNormalNegritaCaracter"/>
        </w:rPr>
        <w:t>Artículo 45.1 apartados a), b).</w:t>
      </w:r>
      <w:r w:rsidRPr="00E27756">
        <w:rPr>
          <w:rStyle w:val="TextoNormalCaracter"/>
        </w:rPr>
        <w:t>-</w:t>
      </w:r>
      <w:r>
        <w:t xml:space="preserve"> Sentencia </w:t>
      </w:r>
      <w:hyperlink w:anchor="SENTENCIA_2013_69" w:history="1">
        <w:r w:rsidRPr="00E27756">
          <w:rPr>
            <w:rStyle w:val="TextoNormalCaracter"/>
          </w:rPr>
          <w:t>69/2013</w:t>
        </w:r>
      </w:hyperlink>
      <w:r>
        <w:t>, f. 5.</w:t>
      </w:r>
    </w:p>
    <w:p w:rsidR="00E27756" w:rsidRDefault="00E27756" w:rsidP="00E27756">
      <w:pPr>
        <w:pStyle w:val="SangriaFrancesaArticulo"/>
      </w:pPr>
      <w:r w:rsidRPr="00E27756">
        <w:rPr>
          <w:rStyle w:val="TextoNormalNegritaCaracter"/>
        </w:rPr>
        <w:t>Artículo 53.</w:t>
      </w:r>
      <w:r w:rsidRPr="00E27756">
        <w:rPr>
          <w:rStyle w:val="TextoNormalCaracter"/>
        </w:rPr>
        <w:t>-</w:t>
      </w:r>
      <w:r>
        <w:t xml:space="preserve"> Sentencias </w:t>
      </w:r>
      <w:hyperlink w:anchor="SENTENCIA_2013_69" w:history="1">
        <w:r w:rsidRPr="00E27756">
          <w:rPr>
            <w:rStyle w:val="TextoNormalCaracter"/>
          </w:rPr>
          <w:t>69/2013</w:t>
        </w:r>
      </w:hyperlink>
      <w:r>
        <w:t xml:space="preserve">, ff. 1, 6; </w:t>
      </w:r>
      <w:hyperlink w:anchor="SENTENCIA_2013_114" w:history="1">
        <w:r w:rsidRPr="00E27756">
          <w:rPr>
            <w:rStyle w:val="TextoNormalCaracter"/>
          </w:rPr>
          <w:t>114/2013</w:t>
        </w:r>
      </w:hyperlink>
      <w:r>
        <w:t>, f. 2.</w:t>
      </w:r>
    </w:p>
    <w:p w:rsidR="00E27756" w:rsidRDefault="00E27756" w:rsidP="00E27756">
      <w:pPr>
        <w:pStyle w:val="SangriaFrancesaArticulo"/>
      </w:pPr>
      <w:r w:rsidRPr="00E27756">
        <w:rPr>
          <w:rStyle w:val="TextoNormalNegritaCaracter"/>
        </w:rPr>
        <w:t>Artículo 53.1.</w:t>
      </w:r>
      <w:r w:rsidRPr="00E27756">
        <w:rPr>
          <w:rStyle w:val="TextoNormalCaracter"/>
        </w:rPr>
        <w:t>-</w:t>
      </w:r>
      <w:r>
        <w:t xml:space="preserve"> Sentencia </w:t>
      </w:r>
      <w:hyperlink w:anchor="SENTENCIA_2013_69" w:history="1">
        <w:r w:rsidRPr="00E27756">
          <w:rPr>
            <w:rStyle w:val="TextoNormalCaracter"/>
          </w:rPr>
          <w:t>69/2013</w:t>
        </w:r>
      </w:hyperlink>
      <w:r>
        <w:t>, f. 6.</w:t>
      </w:r>
    </w:p>
    <w:p w:rsidR="00E27756" w:rsidRDefault="00E27756" w:rsidP="00E27756">
      <w:pPr>
        <w:pStyle w:val="SangriaFrancesaArticulo"/>
      </w:pPr>
      <w:r w:rsidRPr="00E27756">
        <w:rPr>
          <w:rStyle w:val="TextoNormalNegritaCaracter"/>
        </w:rPr>
        <w:t>Artículo 54.1 b).</w:t>
      </w:r>
      <w:r w:rsidRPr="00E27756">
        <w:rPr>
          <w:rStyle w:val="TextoNormalCaracter"/>
        </w:rPr>
        <w:t>-</w:t>
      </w:r>
      <w:r>
        <w:t xml:space="preserve"> Sentencia </w:t>
      </w:r>
      <w:hyperlink w:anchor="SENTENCIA_2013_69" w:history="1">
        <w:r w:rsidRPr="00E27756">
          <w:rPr>
            <w:rStyle w:val="TextoNormalCaracter"/>
          </w:rPr>
          <w:t>69/2013</w:t>
        </w:r>
      </w:hyperlink>
      <w:r>
        <w:t>, f. 6.</w:t>
      </w:r>
    </w:p>
    <w:p w:rsidR="00E27756" w:rsidRDefault="00E27756" w:rsidP="00E27756">
      <w:pPr>
        <w:pStyle w:val="SangriaFrancesaArticulo"/>
      </w:pPr>
      <w:r w:rsidRPr="00E27756">
        <w:rPr>
          <w:rStyle w:val="TextoNormalNegritaCaracter"/>
        </w:rPr>
        <w:t>Artículo 58.</w:t>
      </w:r>
      <w:r w:rsidRPr="00E27756">
        <w:rPr>
          <w:rStyle w:val="TextoNormalCaracter"/>
        </w:rPr>
        <w:t>-</w:t>
      </w:r>
      <w:r>
        <w:t xml:space="preserve"> Sentencias </w:t>
      </w:r>
      <w:hyperlink w:anchor="SENTENCIA_2013_69" w:history="1">
        <w:r w:rsidRPr="00E27756">
          <w:rPr>
            <w:rStyle w:val="TextoNormalCaracter"/>
          </w:rPr>
          <w:t>69/2013</w:t>
        </w:r>
      </w:hyperlink>
      <w:r>
        <w:t xml:space="preserve">, ff. 1, 6; </w:t>
      </w:r>
      <w:hyperlink w:anchor="SENTENCIA_2013_114" w:history="1">
        <w:r w:rsidRPr="00E27756">
          <w:rPr>
            <w:rStyle w:val="TextoNormalCaracter"/>
          </w:rPr>
          <w:t>114/2013</w:t>
        </w:r>
      </w:hyperlink>
      <w:r>
        <w:t>, f. 2.</w:t>
      </w:r>
    </w:p>
    <w:p w:rsidR="00E27756" w:rsidRDefault="00E27756" w:rsidP="00E27756">
      <w:pPr>
        <w:pStyle w:val="SangriaFrancesaArticulo"/>
      </w:pPr>
      <w:r w:rsidRPr="00E27756">
        <w:rPr>
          <w:rStyle w:val="TextoNormalNegritaCaracter"/>
        </w:rPr>
        <w:t>Artículo 58.1 e).</w:t>
      </w:r>
      <w:r w:rsidRPr="00E27756">
        <w:rPr>
          <w:rStyle w:val="TextoNormalCaracter"/>
        </w:rPr>
        <w:t>-</w:t>
      </w:r>
      <w:r>
        <w:t xml:space="preserve"> Sentencia </w:t>
      </w:r>
      <w:hyperlink w:anchor="SENTENCIA_2013_69" w:history="1">
        <w:r w:rsidRPr="00E27756">
          <w:rPr>
            <w:rStyle w:val="TextoNormalCaracter"/>
          </w:rPr>
          <w:t>69/2013</w:t>
        </w:r>
      </w:hyperlink>
      <w:r>
        <w:t>, f. 6.</w:t>
      </w:r>
    </w:p>
    <w:p w:rsidR="00E27756" w:rsidRDefault="00E27756" w:rsidP="00E27756">
      <w:pPr>
        <w:pStyle w:val="SangriaFrancesaArticulo"/>
      </w:pPr>
      <w:r w:rsidRPr="00E27756">
        <w:rPr>
          <w:rStyle w:val="TextoNormalNegritaCaracter"/>
        </w:rPr>
        <w:t>Artículo 62.1.</w:t>
      </w:r>
      <w:r w:rsidRPr="00E27756">
        <w:rPr>
          <w:rStyle w:val="TextoNormalCaracter"/>
        </w:rPr>
        <w:t>-</w:t>
      </w:r>
      <w:r>
        <w:t xml:space="preserve"> Sentencia </w:t>
      </w:r>
      <w:hyperlink w:anchor="SENTENCIA_2013_69" w:history="1">
        <w:r w:rsidRPr="00E27756">
          <w:rPr>
            <w:rStyle w:val="TextoNormalCaracter"/>
          </w:rPr>
          <w:t>69/2013</w:t>
        </w:r>
      </w:hyperlink>
      <w:r>
        <w:t>, f. 6.</w:t>
      </w:r>
    </w:p>
    <w:p w:rsidR="00E27756" w:rsidRDefault="00E27756" w:rsidP="00E27756">
      <w:pPr>
        <w:pStyle w:val="SangriaFrancesaArticulo"/>
      </w:pPr>
      <w:r w:rsidRPr="00E27756">
        <w:rPr>
          <w:rStyle w:val="TextoNormalNegritaCaracter"/>
        </w:rPr>
        <w:t>Artículo 62.2.</w:t>
      </w:r>
      <w:r w:rsidRPr="00E27756">
        <w:rPr>
          <w:rStyle w:val="TextoNormalCaracter"/>
        </w:rPr>
        <w:t>-</w:t>
      </w:r>
      <w:r>
        <w:t xml:space="preserve"> Sentencia </w:t>
      </w:r>
      <w:hyperlink w:anchor="SENTENCIA_2013_69" w:history="1">
        <w:r w:rsidRPr="00E27756">
          <w:rPr>
            <w:rStyle w:val="TextoNormalCaracter"/>
          </w:rPr>
          <w:t>69/2013</w:t>
        </w:r>
      </w:hyperlink>
      <w:r>
        <w:t>, f. 6.</w:t>
      </w:r>
    </w:p>
    <w:p w:rsidR="00E27756" w:rsidRDefault="00E27756" w:rsidP="00E27756">
      <w:pPr>
        <w:pStyle w:val="SangriaFrancesaArticulo"/>
      </w:pPr>
      <w:r w:rsidRPr="00E27756">
        <w:rPr>
          <w:rStyle w:val="TextoNormalNegritaCaracter"/>
        </w:rPr>
        <w:t>Artículo 62.3.</w:t>
      </w:r>
      <w:r w:rsidRPr="00E27756">
        <w:rPr>
          <w:rStyle w:val="TextoNormalCaracter"/>
        </w:rPr>
        <w:t>-</w:t>
      </w:r>
      <w:r>
        <w:t xml:space="preserve"> Sentencia </w:t>
      </w:r>
      <w:hyperlink w:anchor="SENTENCIA_2013_114" w:history="1">
        <w:r w:rsidRPr="00E27756">
          <w:rPr>
            <w:rStyle w:val="TextoNormalCaracter"/>
          </w:rPr>
          <w:t>114/2013</w:t>
        </w:r>
      </w:hyperlink>
      <w:r>
        <w:t>, ff. 1, 2.</w:t>
      </w:r>
    </w:p>
    <w:p w:rsidR="00E27756" w:rsidRDefault="00E27756" w:rsidP="00E27756">
      <w:pPr>
        <w:pStyle w:val="SangriaFrancesaArticulo"/>
      </w:pPr>
      <w:r w:rsidRPr="00E27756">
        <w:rPr>
          <w:rStyle w:val="TextoNormalNegritaCaracter"/>
        </w:rPr>
        <w:lastRenderedPageBreak/>
        <w:t>Artículo 62.3 a).</w:t>
      </w:r>
      <w:r w:rsidRPr="00E27756">
        <w:rPr>
          <w:rStyle w:val="TextoNormalCaracter"/>
        </w:rPr>
        <w:t>-</w:t>
      </w:r>
      <w:r>
        <w:t xml:space="preserve"> Sentencias </w:t>
      </w:r>
      <w:hyperlink w:anchor="SENTENCIA_2013_114" w:history="1">
        <w:r w:rsidRPr="00E27756">
          <w:rPr>
            <w:rStyle w:val="TextoNormalCaracter"/>
          </w:rPr>
          <w:t>114/2013</w:t>
        </w:r>
      </w:hyperlink>
      <w:r>
        <w:t xml:space="preserve">, ff. 2, 4; </w:t>
      </w:r>
      <w:hyperlink w:anchor="SENTENCIA_2013_138" w:history="1">
        <w:r w:rsidRPr="00E27756">
          <w:rPr>
            <w:rStyle w:val="TextoNormalCaracter"/>
          </w:rPr>
          <w:t>138/2013</w:t>
        </w:r>
      </w:hyperlink>
      <w:r>
        <w:t>, f. 10.</w:t>
      </w:r>
    </w:p>
    <w:p w:rsidR="00E27756" w:rsidRDefault="00E27756" w:rsidP="00E27756">
      <w:pPr>
        <w:pStyle w:val="SangriaFrancesaArticulo"/>
      </w:pPr>
      <w:r w:rsidRPr="00E27756">
        <w:rPr>
          <w:rStyle w:val="TextoNormalNegritaCaracter"/>
        </w:rPr>
        <w:t>Artículo 62.3 a), g), j).</w:t>
      </w:r>
      <w:r w:rsidRPr="00E27756">
        <w:rPr>
          <w:rStyle w:val="TextoNormalCaracter"/>
        </w:rPr>
        <w:t>-</w:t>
      </w:r>
      <w:r>
        <w:t xml:space="preserve"> Sentencia </w:t>
      </w:r>
      <w:hyperlink w:anchor="SENTENCIA_2013_69" w:history="1">
        <w:r w:rsidRPr="00E27756">
          <w:rPr>
            <w:rStyle w:val="TextoNormalCaracter"/>
          </w:rPr>
          <w:t>69/2013</w:t>
        </w:r>
      </w:hyperlink>
      <w:r>
        <w:t>, ff. 1, 6.</w:t>
      </w:r>
    </w:p>
    <w:p w:rsidR="00E27756" w:rsidRDefault="00E27756" w:rsidP="00E27756">
      <w:pPr>
        <w:pStyle w:val="SangriaFrancesaArticulo"/>
      </w:pPr>
      <w:r w:rsidRPr="00E27756">
        <w:rPr>
          <w:rStyle w:val="TextoNormalNegritaCaracter"/>
        </w:rPr>
        <w:t>Artículo 62.3 g).</w:t>
      </w:r>
      <w:r w:rsidRPr="00E27756">
        <w:rPr>
          <w:rStyle w:val="TextoNormalCaracter"/>
        </w:rPr>
        <w:t>-</w:t>
      </w:r>
      <w:r>
        <w:t xml:space="preserve"> Sentencias </w:t>
      </w:r>
      <w:hyperlink w:anchor="SENTENCIA_2013_114" w:history="1">
        <w:r w:rsidRPr="00E27756">
          <w:rPr>
            <w:rStyle w:val="TextoNormalCaracter"/>
          </w:rPr>
          <w:t>114/2013</w:t>
        </w:r>
      </w:hyperlink>
      <w:r>
        <w:t xml:space="preserve">, f. 2; </w:t>
      </w:r>
      <w:hyperlink w:anchor="SENTENCIA_2013_138" w:history="1">
        <w:r w:rsidRPr="00E27756">
          <w:rPr>
            <w:rStyle w:val="TextoNormalCaracter"/>
          </w:rPr>
          <w:t>138/2013</w:t>
        </w:r>
      </w:hyperlink>
      <w:r>
        <w:t>, f. 10.</w:t>
      </w:r>
    </w:p>
    <w:p w:rsidR="00E27756" w:rsidRDefault="00E27756" w:rsidP="00E27756">
      <w:pPr>
        <w:pStyle w:val="SangriaFrancesaArticulo"/>
      </w:pPr>
      <w:r w:rsidRPr="00E27756">
        <w:rPr>
          <w:rStyle w:val="TextoNormalNegritaCaracter"/>
        </w:rPr>
        <w:t>Artículo 62.3 j).</w:t>
      </w:r>
      <w:r w:rsidRPr="00E27756">
        <w:rPr>
          <w:rStyle w:val="TextoNormalCaracter"/>
        </w:rPr>
        <w:t>-</w:t>
      </w:r>
      <w:r>
        <w:t xml:space="preserve"> Sentencias </w:t>
      </w:r>
      <w:hyperlink w:anchor="SENTENCIA_2013_114" w:history="1">
        <w:r w:rsidRPr="00E27756">
          <w:rPr>
            <w:rStyle w:val="TextoNormalCaracter"/>
          </w:rPr>
          <w:t>114/2013</w:t>
        </w:r>
      </w:hyperlink>
      <w:r>
        <w:t xml:space="preserve">, f. 2; </w:t>
      </w:r>
      <w:hyperlink w:anchor="SENTENCIA_2013_138" w:history="1">
        <w:r w:rsidRPr="00E27756">
          <w:rPr>
            <w:rStyle w:val="TextoNormalCaracter"/>
          </w:rPr>
          <w:t>138/2013</w:t>
        </w:r>
      </w:hyperlink>
      <w:r>
        <w:t>, ff. 1, 10.</w:t>
      </w:r>
    </w:p>
    <w:p w:rsidR="00E27756" w:rsidRDefault="00E27756" w:rsidP="00E27756">
      <w:pPr>
        <w:pStyle w:val="SangriaFrancesaArticulo"/>
      </w:pPr>
      <w:r w:rsidRPr="00E27756">
        <w:rPr>
          <w:rStyle w:val="TextoNormalNegritaCaracter"/>
        </w:rPr>
        <w:t>Artículo 65.</w:t>
      </w:r>
      <w:r w:rsidRPr="00E27756">
        <w:rPr>
          <w:rStyle w:val="TextoNormalCaracter"/>
        </w:rPr>
        <w:t>-</w:t>
      </w:r>
      <w:r>
        <w:t xml:space="preserve"> Sentencias </w:t>
      </w:r>
      <w:hyperlink w:anchor="SENTENCIA_2013_69" w:history="1">
        <w:r w:rsidRPr="00E27756">
          <w:rPr>
            <w:rStyle w:val="TextoNormalCaracter"/>
          </w:rPr>
          <w:t>69/2013</w:t>
        </w:r>
      </w:hyperlink>
      <w:r>
        <w:t xml:space="preserve">, f. 7; </w:t>
      </w:r>
      <w:hyperlink w:anchor="SENTENCIA_2013_138" w:history="1">
        <w:r w:rsidRPr="00E27756">
          <w:rPr>
            <w:rStyle w:val="TextoNormalCaracter"/>
          </w:rPr>
          <w:t>138/2013</w:t>
        </w:r>
      </w:hyperlink>
      <w:r>
        <w:t>, f. 11.</w:t>
      </w:r>
    </w:p>
    <w:p w:rsidR="00E27756" w:rsidRDefault="00E27756" w:rsidP="00E27756">
      <w:pPr>
        <w:pStyle w:val="SangriaFrancesaArticulo"/>
      </w:pPr>
      <w:r w:rsidRPr="00E27756">
        <w:rPr>
          <w:rStyle w:val="TextoNormalNegritaCaracter"/>
        </w:rPr>
        <w:t>Artículo 66.2.</w:t>
      </w:r>
      <w:r w:rsidRPr="00E27756">
        <w:rPr>
          <w:rStyle w:val="TextoNormalCaracter"/>
        </w:rPr>
        <w:t>-</w:t>
      </w:r>
      <w:r>
        <w:t xml:space="preserve"> Sentencias </w:t>
      </w:r>
      <w:hyperlink w:anchor="SENTENCIA_2013_69" w:history="1">
        <w:r w:rsidRPr="00E27756">
          <w:rPr>
            <w:rStyle w:val="TextoNormalCaracter"/>
          </w:rPr>
          <w:t>69/2013</w:t>
        </w:r>
      </w:hyperlink>
      <w:r>
        <w:t xml:space="preserve">, ff. 1, 7; </w:t>
      </w:r>
      <w:hyperlink w:anchor="SENTENCIA_2013_114" w:history="1">
        <w:r w:rsidRPr="00E27756">
          <w:rPr>
            <w:rStyle w:val="TextoNormalCaracter"/>
          </w:rPr>
          <w:t>114/2013</w:t>
        </w:r>
      </w:hyperlink>
      <w:r>
        <w:t xml:space="preserve">, f. 2; </w:t>
      </w:r>
      <w:hyperlink w:anchor="SENTENCIA_2013_138" w:history="1">
        <w:r w:rsidRPr="00E27756">
          <w:rPr>
            <w:rStyle w:val="TextoNormalCaracter"/>
          </w:rPr>
          <w:t>138/2013</w:t>
        </w:r>
      </w:hyperlink>
      <w:r>
        <w:t>, ff. 1, 11.</w:t>
      </w:r>
    </w:p>
    <w:p w:rsidR="00E27756" w:rsidRDefault="00E27756" w:rsidP="00E27756">
      <w:pPr>
        <w:pStyle w:val="SangriaFrancesaArticulo"/>
      </w:pPr>
      <w:r w:rsidRPr="00E27756">
        <w:rPr>
          <w:rStyle w:val="TextoNormalNegritaCaracter"/>
        </w:rPr>
        <w:t>Artículo 67 b).</w:t>
      </w:r>
      <w:r w:rsidRPr="00E27756">
        <w:rPr>
          <w:rStyle w:val="TextoNormalCaracter"/>
        </w:rPr>
        <w:t>-</w:t>
      </w:r>
      <w:r>
        <w:t xml:space="preserve"> Sentencias </w:t>
      </w:r>
      <w:hyperlink w:anchor="SENTENCIA_2013_69" w:history="1">
        <w:r w:rsidRPr="00E27756">
          <w:rPr>
            <w:rStyle w:val="TextoNormalCaracter"/>
          </w:rPr>
          <w:t>69/2013</w:t>
        </w:r>
      </w:hyperlink>
      <w:r>
        <w:t xml:space="preserve">, f. 7; </w:t>
      </w:r>
      <w:hyperlink w:anchor="SENTENCIA_2013_138" w:history="1">
        <w:r w:rsidRPr="00E27756">
          <w:rPr>
            <w:rStyle w:val="TextoNormalCaracter"/>
          </w:rPr>
          <w:t>138/2013</w:t>
        </w:r>
      </w:hyperlink>
      <w:r>
        <w:t>, f. 11.</w:t>
      </w:r>
    </w:p>
    <w:p w:rsidR="00E27756" w:rsidRDefault="00E27756" w:rsidP="00E27756">
      <w:pPr>
        <w:pStyle w:val="SangriaFrancesaArticulo"/>
      </w:pPr>
      <w:r w:rsidRPr="00E27756">
        <w:rPr>
          <w:rStyle w:val="TextoNormalNegritaCaracter"/>
        </w:rPr>
        <w:t>Artículo 67 c).</w:t>
      </w:r>
      <w:r w:rsidRPr="00E27756">
        <w:rPr>
          <w:rStyle w:val="TextoNormalCaracter"/>
        </w:rPr>
        <w:t>-</w:t>
      </w:r>
      <w:r>
        <w:t xml:space="preserve"> Sentencias </w:t>
      </w:r>
      <w:hyperlink w:anchor="SENTENCIA_2013_69" w:history="1">
        <w:r w:rsidRPr="00E27756">
          <w:rPr>
            <w:rStyle w:val="TextoNormalCaracter"/>
          </w:rPr>
          <w:t>69/2013</w:t>
        </w:r>
      </w:hyperlink>
      <w:r>
        <w:t xml:space="preserve">, f. 7; </w:t>
      </w:r>
      <w:hyperlink w:anchor="SENTENCIA_2013_138" w:history="1">
        <w:r w:rsidRPr="00E27756">
          <w:rPr>
            <w:rStyle w:val="TextoNormalCaracter"/>
          </w:rPr>
          <w:t>138/2013</w:t>
        </w:r>
      </w:hyperlink>
      <w:r>
        <w:t>, f. 11.</w:t>
      </w:r>
    </w:p>
    <w:p w:rsidR="00E27756" w:rsidRDefault="00E27756" w:rsidP="00E27756">
      <w:pPr>
        <w:pStyle w:val="SangriaFrancesaArticulo"/>
      </w:pPr>
      <w:r w:rsidRPr="00E27756">
        <w:rPr>
          <w:rStyle w:val="TextoNormalNegritaCaracter"/>
        </w:rPr>
        <w:t>Artículo 72.</w:t>
      </w:r>
      <w:r w:rsidRPr="00E27756">
        <w:rPr>
          <w:rStyle w:val="TextoNormalCaracter"/>
        </w:rPr>
        <w:t>-</w:t>
      </w:r>
      <w:r>
        <w:t xml:space="preserve"> Sentencia </w:t>
      </w:r>
      <w:hyperlink w:anchor="SENTENCIA_2013_138" w:history="1">
        <w:r w:rsidRPr="00E27756">
          <w:rPr>
            <w:rStyle w:val="TextoNormalCaracter"/>
          </w:rPr>
          <w:t>138/2013</w:t>
        </w:r>
      </w:hyperlink>
      <w:r>
        <w:t>, f. 1.</w:t>
      </w:r>
    </w:p>
    <w:p w:rsidR="00E27756" w:rsidRDefault="00E27756" w:rsidP="00E27756">
      <w:pPr>
        <w:pStyle w:val="SangriaFrancesaArticulo"/>
      </w:pPr>
      <w:r w:rsidRPr="00E27756">
        <w:rPr>
          <w:rStyle w:val="TextoNormalNegritaCaracter"/>
        </w:rPr>
        <w:t>Artículo 72.1.</w:t>
      </w:r>
      <w:r w:rsidRPr="00E27756">
        <w:rPr>
          <w:rStyle w:val="TextoNormalCaracter"/>
        </w:rPr>
        <w:t>-</w:t>
      </w:r>
      <w:r>
        <w:t xml:space="preserve"> Sentencia </w:t>
      </w:r>
      <w:hyperlink w:anchor="SENTENCIA_2013_138" w:history="1">
        <w:r w:rsidRPr="00E27756">
          <w:rPr>
            <w:rStyle w:val="TextoNormalCaracter"/>
          </w:rPr>
          <w:t>138/2013</w:t>
        </w:r>
      </w:hyperlink>
      <w:r>
        <w:t>, f. 3.</w:t>
      </w:r>
    </w:p>
    <w:p w:rsidR="00E27756" w:rsidRDefault="00E27756" w:rsidP="00E27756">
      <w:pPr>
        <w:pStyle w:val="SangriaFrancesaArticulo"/>
      </w:pPr>
      <w:r w:rsidRPr="00E27756">
        <w:rPr>
          <w:rStyle w:val="TextoNormalNegritaCaracter"/>
        </w:rPr>
        <w:t>Artículo 72.2.</w:t>
      </w:r>
      <w:r w:rsidRPr="00E27756">
        <w:rPr>
          <w:rStyle w:val="TextoNormalCaracter"/>
        </w:rPr>
        <w:t>-</w:t>
      </w:r>
      <w:r>
        <w:t xml:space="preserve"> Sentencia </w:t>
      </w:r>
      <w:hyperlink w:anchor="SENTENCIA_2013_138" w:history="1">
        <w:r w:rsidRPr="00E27756">
          <w:rPr>
            <w:rStyle w:val="TextoNormalCaracter"/>
          </w:rPr>
          <w:t>138/2013</w:t>
        </w:r>
      </w:hyperlink>
      <w:r>
        <w:t>, ff. 1, 3.</w:t>
      </w:r>
    </w:p>
    <w:p w:rsidR="00E27756" w:rsidRDefault="00E27756" w:rsidP="00E27756">
      <w:pPr>
        <w:pStyle w:val="SangriaFrancesaArticulo"/>
      </w:pPr>
      <w:r w:rsidRPr="00E27756">
        <w:rPr>
          <w:rStyle w:val="TextoNormalNegritaCaracter"/>
        </w:rPr>
        <w:t>Artículo 72.2</w:t>
      </w:r>
      <w:r>
        <w:t xml:space="preserve"> </w:t>
      </w:r>
      <w:r w:rsidRPr="00E27756">
        <w:rPr>
          <w:rStyle w:val="TextoNormalCaracter"/>
        </w:rPr>
        <w:t>(redactado por la Ley 25/2009, de 22 de diciembre)</w:t>
      </w:r>
      <w:r w:rsidRPr="00E27756">
        <w:rPr>
          <w:rStyle w:val="TextoNormalNegritaCaracter"/>
        </w:rPr>
        <w:t>.</w:t>
      </w:r>
      <w:r w:rsidRPr="00E27756">
        <w:rPr>
          <w:rStyle w:val="TextoNormalCaracter"/>
        </w:rPr>
        <w:t>-</w:t>
      </w:r>
      <w:r>
        <w:t xml:space="preserve"> Sentencia </w:t>
      </w:r>
      <w:hyperlink w:anchor="SENTENCIA_2013_138" w:history="1">
        <w:r w:rsidRPr="00E27756">
          <w:rPr>
            <w:rStyle w:val="TextoNormalCaracter"/>
          </w:rPr>
          <w:t>138/2013</w:t>
        </w:r>
      </w:hyperlink>
      <w:r>
        <w:t>, f. 2.</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Sentencias </w:t>
      </w:r>
      <w:hyperlink w:anchor="SENTENCIA_2013_69" w:history="1">
        <w:r w:rsidRPr="00E27756">
          <w:rPr>
            <w:rStyle w:val="TextoNormalCaracter"/>
          </w:rPr>
          <w:t>69/2013</w:t>
        </w:r>
      </w:hyperlink>
      <w:r>
        <w:t xml:space="preserve">, f. 1; </w:t>
      </w:r>
      <w:hyperlink w:anchor="SENTENCIA_2013_138" w:history="1">
        <w:r w:rsidRPr="00E27756">
          <w:rPr>
            <w:rStyle w:val="TextoNormalCaracter"/>
          </w:rPr>
          <w:t>138/2013</w:t>
        </w:r>
      </w:hyperlink>
      <w:r>
        <w:t>, ff. 1, 3.</w:t>
      </w:r>
    </w:p>
    <w:p w:rsidR="00E27756" w:rsidRDefault="00E27756" w:rsidP="00E27756">
      <w:pPr>
        <w:pStyle w:val="SangriaFrancesaArticulo"/>
      </w:pPr>
      <w:r w:rsidRPr="00E27756">
        <w:rPr>
          <w:rStyle w:val="TextoNormalNegritaCaracter"/>
        </w:rPr>
        <w:t>Anexo VII.</w:t>
      </w:r>
      <w:r w:rsidRPr="00E27756">
        <w:rPr>
          <w:rStyle w:val="TextoNormalCaracter"/>
        </w:rPr>
        <w:t>-</w:t>
      </w:r>
      <w:r>
        <w:t xml:space="preserve"> Sentencias </w:t>
      </w:r>
      <w:hyperlink w:anchor="SENTENCIA_2013_69" w:history="1">
        <w:r w:rsidRPr="00E27756">
          <w:rPr>
            <w:rStyle w:val="TextoNormalCaracter"/>
          </w:rPr>
          <w:t>69/2013</w:t>
        </w:r>
      </w:hyperlink>
      <w:r>
        <w:t xml:space="preserve">, f. 6; </w:t>
      </w:r>
      <w:hyperlink w:anchor="SENTENCIA_2013_114" w:history="1">
        <w:r w:rsidRPr="00E27756">
          <w:rPr>
            <w:rStyle w:val="TextoNormalCaracter"/>
          </w:rPr>
          <w:t>114/2013</w:t>
        </w:r>
      </w:hyperlink>
      <w:r>
        <w:t>, ff. 1, 2, 4.</w:t>
      </w:r>
    </w:p>
    <w:p w:rsidR="00E27756" w:rsidRDefault="00E27756" w:rsidP="00E27756">
      <w:pPr>
        <w:pStyle w:val="SangriaFrancesaArticulo"/>
      </w:pPr>
    </w:p>
    <w:p w:rsidR="00E27756" w:rsidRDefault="00E27756" w:rsidP="00E27756">
      <w:pPr>
        <w:pStyle w:val="TextoNormalNegritaCursivandice"/>
      </w:pPr>
      <w:r>
        <w:t>Ley 51/2007, de 26 de diciembre. Presupuestos generales del Estado para 2008</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9" w:history="1">
        <w:r w:rsidRPr="00E27756">
          <w:rPr>
            <w:rStyle w:val="TextoNormalCaracter"/>
          </w:rPr>
          <w:t>9/2013</w:t>
        </w:r>
      </w:hyperlink>
      <w:r>
        <w:t xml:space="preserve">, f. 2; </w:t>
      </w:r>
      <w:hyperlink w:anchor="SENTENCIA_2013_101" w:history="1">
        <w:r w:rsidRPr="00E27756">
          <w:rPr>
            <w:rStyle w:val="TextoNormalCaracter"/>
          </w:rPr>
          <w:t>101/2013</w:t>
        </w:r>
      </w:hyperlink>
      <w:r>
        <w:t>, ff. 5, 11.</w:t>
      </w:r>
    </w:p>
    <w:p w:rsidR="00E27756" w:rsidRDefault="00E27756" w:rsidP="00E27756">
      <w:pPr>
        <w:pStyle w:val="SangriaFrancesaArticulo"/>
      </w:pPr>
      <w:r w:rsidRPr="00E27756">
        <w:rPr>
          <w:rStyle w:val="TextoNormalNegritaCaracter"/>
        </w:rPr>
        <w:t>Capítulo VI.</w:t>
      </w:r>
      <w:r w:rsidRPr="00E27756">
        <w:rPr>
          <w:rStyle w:val="TextoNormalCaracter"/>
        </w:rPr>
        <w:t>-</w:t>
      </w:r>
      <w:r>
        <w:t xml:space="preserve"> Sentencia </w:t>
      </w:r>
      <w:hyperlink w:anchor="SENTENCIA_2013_101" w:history="1">
        <w:r w:rsidRPr="00E27756">
          <w:rPr>
            <w:rStyle w:val="TextoNormalCaracter"/>
          </w:rPr>
          <w:t>101/2013</w:t>
        </w:r>
      </w:hyperlink>
      <w:r>
        <w:t>, f. 11.</w:t>
      </w:r>
    </w:p>
    <w:p w:rsidR="00E27756" w:rsidRDefault="00E27756" w:rsidP="00E27756">
      <w:pPr>
        <w:pStyle w:val="SangriaFrancesaArticulo"/>
      </w:pPr>
      <w:r w:rsidRPr="00E27756">
        <w:rPr>
          <w:rStyle w:val="TextoNormalNegritaCaracter"/>
        </w:rPr>
        <w:t>Capítulo VII.</w:t>
      </w:r>
      <w:r w:rsidRPr="00E27756">
        <w:rPr>
          <w:rStyle w:val="TextoNormalCaracter"/>
        </w:rPr>
        <w:t>-</w:t>
      </w:r>
      <w:r>
        <w:t xml:space="preserve"> Sentencia </w:t>
      </w:r>
      <w:hyperlink w:anchor="SENTENCIA_2013_101" w:history="1">
        <w:r w:rsidRPr="00E27756">
          <w:rPr>
            <w:rStyle w:val="TextoNormalCaracter"/>
          </w:rPr>
          <w:t>101/2013</w:t>
        </w:r>
      </w:hyperlink>
      <w:r>
        <w:t>, f. 11.</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101" w:history="1">
        <w:r w:rsidRPr="00E27756">
          <w:rPr>
            <w:rStyle w:val="TextoNormalCaracter"/>
          </w:rPr>
          <w:t>101/2013</w:t>
        </w:r>
      </w:hyperlink>
      <w:r>
        <w:t>, ff. 1, 11.</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101" w:history="1">
        <w:r w:rsidRPr="00E27756">
          <w:rPr>
            <w:rStyle w:val="TextoNormalCaracter"/>
          </w:rPr>
          <w:t>101/2013</w:t>
        </w:r>
      </w:hyperlink>
      <w:r>
        <w:t>, ff. 1, 11.</w:t>
      </w:r>
    </w:p>
    <w:p w:rsidR="00E27756" w:rsidRDefault="00E27756" w:rsidP="00E27756">
      <w:pPr>
        <w:pStyle w:val="SangriaFrancesaArticulo"/>
      </w:pPr>
      <w:r w:rsidRPr="00E27756">
        <w:rPr>
          <w:rStyle w:val="TextoNormalNegritaCaracter"/>
        </w:rPr>
        <w:t>Artículo 119.</w:t>
      </w:r>
      <w:r w:rsidRPr="00E27756">
        <w:rPr>
          <w:rStyle w:val="TextoNormalCaracter"/>
        </w:rPr>
        <w:t>-</w:t>
      </w:r>
      <w:r>
        <w:t xml:space="preserve"> Sentencia </w:t>
      </w:r>
      <w:hyperlink w:anchor="SENTENCIA_2013_101" w:history="1">
        <w:r w:rsidRPr="00E27756">
          <w:rPr>
            <w:rStyle w:val="TextoNormalCaracter"/>
          </w:rPr>
          <w:t>101/2013</w:t>
        </w:r>
      </w:hyperlink>
      <w:r>
        <w:t>, f. 6.</w:t>
      </w:r>
    </w:p>
    <w:p w:rsidR="00E27756" w:rsidRDefault="00E27756" w:rsidP="00E27756">
      <w:pPr>
        <w:pStyle w:val="SangriaFrancesaArticulo"/>
      </w:pPr>
      <w:r w:rsidRPr="00E27756">
        <w:rPr>
          <w:rStyle w:val="TextoNormalNegritaCaracter"/>
        </w:rPr>
        <w:t>Artículo 119.1.</w:t>
      </w:r>
      <w:r w:rsidRPr="00E27756">
        <w:rPr>
          <w:rStyle w:val="TextoNormalCaracter"/>
        </w:rPr>
        <w:t>-</w:t>
      </w:r>
      <w:r>
        <w:t xml:space="preserve"> Sentencias </w:t>
      </w:r>
      <w:hyperlink w:anchor="SENTENCIA_2013_101" w:history="1">
        <w:r w:rsidRPr="00E27756">
          <w:rPr>
            <w:rStyle w:val="TextoNormalCaracter"/>
          </w:rPr>
          <w:t>101/2013</w:t>
        </w:r>
      </w:hyperlink>
      <w:r>
        <w:t xml:space="preserve">, f. 6; </w:t>
      </w:r>
      <w:hyperlink w:anchor="SENTENCIA_2013_101" w:history="1">
        <w:r w:rsidRPr="00E27756">
          <w:rPr>
            <w:rStyle w:val="TextoNormalCaracter"/>
          </w:rPr>
          <w:t>101/2013</w:t>
        </w:r>
      </w:hyperlink>
      <w:r>
        <w:t>, ff. 1, 4.</w:t>
      </w:r>
    </w:p>
    <w:p w:rsidR="00E27756" w:rsidRDefault="00E27756" w:rsidP="00E27756">
      <w:pPr>
        <w:pStyle w:val="SangriaFrancesaArticulo"/>
      </w:pPr>
      <w:r w:rsidRPr="00E27756">
        <w:rPr>
          <w:rStyle w:val="TextoNormalNegritaCaracter"/>
        </w:rPr>
        <w:t>Artículo 119.1.4.</w:t>
      </w:r>
      <w:r w:rsidRPr="00E27756">
        <w:rPr>
          <w:rStyle w:val="TextoNormalCaracter"/>
        </w:rPr>
        <w:t>-</w:t>
      </w:r>
      <w:r>
        <w:t xml:space="preserve"> Sentencia </w:t>
      </w:r>
      <w:hyperlink w:anchor="SENTENCIA_2013_101" w:history="1">
        <w:r w:rsidRPr="00E27756">
          <w:rPr>
            <w:rStyle w:val="TextoNormalCaracter"/>
          </w:rPr>
          <w:t>101/2013</w:t>
        </w:r>
      </w:hyperlink>
      <w:r>
        <w:t>, f. 6.</w:t>
      </w:r>
    </w:p>
    <w:p w:rsidR="00E27756" w:rsidRDefault="00E27756" w:rsidP="00E27756">
      <w:pPr>
        <w:pStyle w:val="SangriaFrancesaArticulo"/>
      </w:pPr>
      <w:r w:rsidRPr="00E27756">
        <w:rPr>
          <w:rStyle w:val="TextoNormalNegritaCaracter"/>
        </w:rPr>
        <w:t>Disposición adicional quincuagésima sexta.</w:t>
      </w:r>
      <w:r w:rsidRPr="00E27756">
        <w:rPr>
          <w:rStyle w:val="TextoNormalCaracter"/>
        </w:rPr>
        <w:t>-</w:t>
      </w:r>
      <w:r>
        <w:t xml:space="preserve"> Sentencia </w:t>
      </w:r>
      <w:hyperlink w:anchor="SENTENCIA_2013_100" w:history="1">
        <w:r w:rsidRPr="00E27756">
          <w:rPr>
            <w:rStyle w:val="TextoNormalCaracter"/>
          </w:rPr>
          <w:t>100/2013</w:t>
        </w:r>
      </w:hyperlink>
      <w:r>
        <w:t>, ff. 1, 3, 4.</w:t>
      </w:r>
    </w:p>
    <w:p w:rsidR="00E27756" w:rsidRDefault="00E27756" w:rsidP="00E27756">
      <w:pPr>
        <w:pStyle w:val="SangriaFrancesaArticulo"/>
      </w:pPr>
      <w:r w:rsidRPr="00E27756">
        <w:rPr>
          <w:rStyle w:val="TextoNormalNegritaCaracter"/>
        </w:rPr>
        <w:t>Disposición adicional sexagésima.</w:t>
      </w:r>
      <w:r w:rsidRPr="00E27756">
        <w:rPr>
          <w:rStyle w:val="TextoNormalCaracter"/>
        </w:rPr>
        <w:t>-</w:t>
      </w:r>
      <w:r>
        <w:t xml:space="preserve"> Sentencia </w:t>
      </w:r>
      <w:hyperlink w:anchor="SENTENCIA_2013_9" w:history="1">
        <w:r w:rsidRPr="00E27756">
          <w:rPr>
            <w:rStyle w:val="TextoNormalCaracter"/>
          </w:rPr>
          <w:t>9/2013</w:t>
        </w:r>
      </w:hyperlink>
      <w:r>
        <w:t>, ff. 1 a 4.</w:t>
      </w:r>
    </w:p>
    <w:p w:rsidR="00E27756" w:rsidRDefault="00E27756" w:rsidP="00E27756">
      <w:pPr>
        <w:pStyle w:val="SangriaFrancesaArticulo"/>
      </w:pPr>
      <w:r w:rsidRPr="00E27756">
        <w:rPr>
          <w:rStyle w:val="TextoNormalNegritaCaracter"/>
        </w:rPr>
        <w:t>Sección 32.</w:t>
      </w:r>
      <w:r w:rsidRPr="00E27756">
        <w:rPr>
          <w:rStyle w:val="TextoNormalCaracter"/>
        </w:rPr>
        <w:t>-</w:t>
      </w:r>
      <w:r>
        <w:t xml:space="preserve"> Sentencia </w:t>
      </w:r>
      <w:hyperlink w:anchor="SENTENCIA_2013_101" w:history="1">
        <w:r w:rsidRPr="00E27756">
          <w:rPr>
            <w:rStyle w:val="TextoNormalCaracter"/>
          </w:rPr>
          <w:t>101/2013</w:t>
        </w:r>
      </w:hyperlink>
      <w:r>
        <w:t>, f. 8.</w:t>
      </w:r>
    </w:p>
    <w:p w:rsidR="00E27756" w:rsidRDefault="00E27756" w:rsidP="00E27756">
      <w:pPr>
        <w:pStyle w:val="SangriaFrancesaArticulo"/>
      </w:pPr>
      <w:r w:rsidRPr="00E27756">
        <w:rPr>
          <w:rStyle w:val="TextoNormalNegritaCaracter"/>
        </w:rPr>
        <w:t>Sección 33.</w:t>
      </w:r>
      <w:r w:rsidRPr="00E27756">
        <w:rPr>
          <w:rStyle w:val="TextoNormalCaracter"/>
        </w:rPr>
        <w:t>-</w:t>
      </w:r>
      <w:r>
        <w:t xml:space="preserve"> Sentencia </w:t>
      </w:r>
      <w:hyperlink w:anchor="SENTENCIA_2013_101" w:history="1">
        <w:r w:rsidRPr="00E27756">
          <w:rPr>
            <w:rStyle w:val="TextoNormalCaracter"/>
          </w:rPr>
          <w:t>101/2013</w:t>
        </w:r>
      </w:hyperlink>
      <w:r>
        <w:t>, ff. 1, 4, 6.</w:t>
      </w:r>
    </w:p>
    <w:p w:rsidR="00E27756" w:rsidRDefault="00E27756" w:rsidP="00E27756">
      <w:pPr>
        <w:pStyle w:val="SangriaFrancesaArticulo"/>
      </w:pPr>
      <w:r w:rsidRPr="00E27756">
        <w:rPr>
          <w:rStyle w:val="TextoNormalNegritaCaracter"/>
        </w:rPr>
        <w:t>Sección 98.</w:t>
      </w:r>
      <w:r w:rsidRPr="00E27756">
        <w:rPr>
          <w:rStyle w:val="TextoNormalCaracter"/>
        </w:rPr>
        <w:t>-</w:t>
      </w:r>
      <w:r>
        <w:t xml:space="preserve"> Sentencias </w:t>
      </w:r>
      <w:hyperlink w:anchor="SENTENCIA_2013_101" w:history="1">
        <w:r w:rsidRPr="00E27756">
          <w:rPr>
            <w:rStyle w:val="TextoNormalCaracter"/>
          </w:rPr>
          <w:t>101/2013</w:t>
        </w:r>
      </w:hyperlink>
      <w:r>
        <w:t xml:space="preserve">, ff. 1, 7; </w:t>
      </w:r>
      <w:hyperlink w:anchor="SENTENCIA_2013_101" w:history="1">
        <w:r w:rsidRPr="00E27756">
          <w:rPr>
            <w:rStyle w:val="TextoNormalCaracter"/>
          </w:rPr>
          <w:t>101/2013</w:t>
        </w:r>
      </w:hyperlink>
      <w:r>
        <w:t>, f. 8.</w:t>
      </w:r>
    </w:p>
    <w:p w:rsidR="00E27756" w:rsidRDefault="00E27756" w:rsidP="00E27756">
      <w:pPr>
        <w:pStyle w:val="SangriaFrancesaArticulo"/>
      </w:pPr>
      <w:r w:rsidRPr="00E27756">
        <w:rPr>
          <w:rStyle w:val="TextoNormalNegritaCaracter"/>
        </w:rPr>
        <w:t>Disposición adicional sexagésima.</w:t>
      </w:r>
      <w:r w:rsidRPr="00E27756">
        <w:rPr>
          <w:rStyle w:val="TextoNormalCaracter"/>
        </w:rPr>
        <w:t>-</w:t>
      </w:r>
      <w:r>
        <w:t xml:space="preserve"> Auto </w:t>
      </w:r>
      <w:hyperlink w:anchor="AUTO_2013_27" w:history="1">
        <w:r w:rsidRPr="00E27756">
          <w:rPr>
            <w:rStyle w:val="TextoNormalCaracter"/>
          </w:rPr>
          <w:t>27/2013</w:t>
        </w:r>
      </w:hyperlink>
      <w:r>
        <w:t>, f. 1.</w:t>
      </w:r>
    </w:p>
    <w:p w:rsidR="00E27756" w:rsidRDefault="00E27756" w:rsidP="00E27756">
      <w:pPr>
        <w:pStyle w:val="SangriaFrancesaArticulo"/>
      </w:pPr>
    </w:p>
    <w:p w:rsidR="00E27756" w:rsidRDefault="00E27756" w:rsidP="00E27756">
      <w:pPr>
        <w:pStyle w:val="TextoNormalNegritaCursivandice"/>
      </w:pPr>
      <w:r>
        <w:t>Ley 54/2007, de 28 de diciembre. Adopción internacional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p>
    <w:p w:rsidR="00E27756" w:rsidRDefault="00E27756" w:rsidP="00E27756">
      <w:pPr>
        <w:pStyle w:val="TextoNormalNegritaCursivandice"/>
      </w:pPr>
      <w:r>
        <w:t>Ley 2/2008, de 23 de diciembre. Presupuestos Generales del Estado para el año 2009</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30" w:history="1">
        <w:r w:rsidRPr="00E27756">
          <w:rPr>
            <w:rStyle w:val="TextoNormalCaracter"/>
          </w:rPr>
          <w:t>130/2013</w:t>
        </w:r>
      </w:hyperlink>
      <w:r>
        <w:t xml:space="preserve">, f. 2; </w:t>
      </w:r>
      <w:hyperlink w:anchor="SENTENCIA_2013_135" w:history="1">
        <w:r w:rsidRPr="00E27756">
          <w:rPr>
            <w:rStyle w:val="TextoNormalCaracter"/>
          </w:rPr>
          <w:t>135/2013</w:t>
        </w:r>
      </w:hyperlink>
      <w:r>
        <w:t>, f. 2.</w:t>
      </w:r>
    </w:p>
    <w:p w:rsidR="00E27756" w:rsidRDefault="00E27756" w:rsidP="00E27756">
      <w:pPr>
        <w:pStyle w:val="SangriaFrancesaArticulo"/>
      </w:pPr>
      <w:r w:rsidRPr="00E27756">
        <w:rPr>
          <w:rStyle w:val="TextoNormalNegritaCaracter"/>
        </w:rPr>
        <w:t>Disposición final undécima.</w:t>
      </w:r>
      <w:r w:rsidRPr="00E27756">
        <w:rPr>
          <w:rStyle w:val="TextoNormalCaracter"/>
        </w:rPr>
        <w:t>-</w:t>
      </w:r>
      <w:r>
        <w:t xml:space="preserve"> Sentencia </w:t>
      </w:r>
      <w:hyperlink w:anchor="SENTENCIA_2013_130" w:history="1">
        <w:r w:rsidRPr="00E27756">
          <w:rPr>
            <w:rStyle w:val="TextoNormalCaracter"/>
          </w:rPr>
          <w:t>130/2013</w:t>
        </w:r>
      </w:hyperlink>
      <w:r>
        <w:t>, ff. 2, 9.</w:t>
      </w:r>
    </w:p>
    <w:p w:rsidR="00E27756" w:rsidRDefault="00E27756" w:rsidP="00E27756">
      <w:pPr>
        <w:pStyle w:val="SangriaFrancesaArticulo"/>
      </w:pPr>
    </w:p>
    <w:p w:rsidR="00E27756" w:rsidRDefault="00E27756" w:rsidP="00E27756">
      <w:pPr>
        <w:pStyle w:val="TextoNormalNegritaCursivandice"/>
      </w:pPr>
      <w:r>
        <w:t>Ley 13/2009, de 3 de noviembre. Reforma de la legislación procesal para la implantación de la nueva oficina judicial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2" w:history="1">
        <w:r w:rsidRPr="00E27756">
          <w:rPr>
            <w:rStyle w:val="TextoNormalCaracter"/>
          </w:rPr>
          <w:t>122/2013</w:t>
        </w:r>
      </w:hyperlink>
      <w:r>
        <w:t>, ff. 2, 4.</w:t>
      </w:r>
    </w:p>
    <w:p w:rsidR="00E27756" w:rsidRDefault="00E27756" w:rsidP="00E27756">
      <w:pPr>
        <w:pStyle w:val="SangriaFrancesaArticulo"/>
      </w:pPr>
    </w:p>
    <w:p w:rsidR="00E27756" w:rsidRDefault="00E27756" w:rsidP="00E27756">
      <w:pPr>
        <w:pStyle w:val="TextoNormalNegritaCursivandice"/>
      </w:pPr>
      <w:r>
        <w:t>Ley 17/2009, de 23 de noviembre. Libre acceso a las actividades de servicios y su ejercicio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2" w:history="1">
        <w:r w:rsidRPr="00E27756">
          <w:rPr>
            <w:rStyle w:val="TextoNormalCaracter"/>
          </w:rPr>
          <w:t>102/2013</w:t>
        </w:r>
      </w:hyperlink>
      <w:r>
        <w:t>, f. 3.</w:t>
      </w:r>
    </w:p>
    <w:p w:rsidR="00E27756" w:rsidRDefault="00E27756" w:rsidP="00E27756">
      <w:pPr>
        <w:pStyle w:val="SangriaIzquierdaArticulo"/>
      </w:pPr>
      <w:r>
        <w:t xml:space="preserve">Autos </w:t>
      </w:r>
      <w:hyperlink w:anchor="AUTO_2013_10" w:history="1">
        <w:r w:rsidRPr="00E27756">
          <w:rPr>
            <w:rStyle w:val="TextoNormalCaracter"/>
          </w:rPr>
          <w:t>10/2013</w:t>
        </w:r>
      </w:hyperlink>
      <w:r>
        <w:t xml:space="preserve">, f. 3; </w:t>
      </w:r>
      <w:hyperlink w:anchor="AUTO_2013_23" w:history="1">
        <w:r w:rsidRPr="00E27756">
          <w:rPr>
            <w:rStyle w:val="TextoNormalCaracter"/>
          </w:rPr>
          <w:t>23/2013</w:t>
        </w:r>
      </w:hyperlink>
      <w:r>
        <w:t>, f. 2.</w:t>
      </w:r>
    </w:p>
    <w:p w:rsidR="00E27756" w:rsidRDefault="00E27756" w:rsidP="00E27756">
      <w:pPr>
        <w:pStyle w:val="SangriaFrancesaArticulo"/>
      </w:pPr>
      <w:r w:rsidRPr="00E27756">
        <w:rPr>
          <w:rStyle w:val="TextoNormalNegritaCaracter"/>
        </w:rPr>
        <w:lastRenderedPageBreak/>
        <w:t>Artículo 5.</w:t>
      </w:r>
      <w:r w:rsidRPr="00E27756">
        <w:rPr>
          <w:rStyle w:val="TextoNormalCaracter"/>
        </w:rPr>
        <w:t>-</w:t>
      </w:r>
      <w:r>
        <w:t xml:space="preserve"> Autos </w:t>
      </w:r>
      <w:hyperlink w:anchor="AUTO_2013_23" w:history="1">
        <w:r w:rsidRPr="00E27756">
          <w:rPr>
            <w:rStyle w:val="TextoNormalCaracter"/>
          </w:rPr>
          <w:t>23/2013</w:t>
        </w:r>
      </w:hyperlink>
      <w:r>
        <w:t xml:space="preserve">, f. 1, 2; </w:t>
      </w:r>
      <w:hyperlink w:anchor="AUTO_2013_23" w:history="1">
        <w:r w:rsidRPr="00E27756">
          <w:rPr>
            <w:rStyle w:val="TextoNormalCaracter"/>
          </w:rPr>
          <w:t>23/2013</w:t>
        </w:r>
      </w:hyperlink>
      <w:r>
        <w:t>, f. 2.</w:t>
      </w:r>
    </w:p>
    <w:p w:rsidR="00E27756" w:rsidRDefault="00E27756" w:rsidP="00E27756">
      <w:pPr>
        <w:pStyle w:val="SangriaFrancesaArticulo"/>
      </w:pPr>
      <w:r w:rsidRPr="00E27756">
        <w:rPr>
          <w:rStyle w:val="TextoNormalNegritaCaracter"/>
        </w:rPr>
        <w:t>Artículo 5 c).</w:t>
      </w:r>
      <w:r w:rsidRPr="00E27756">
        <w:rPr>
          <w:rStyle w:val="TextoNormalCaracter"/>
        </w:rPr>
        <w:t>-</w:t>
      </w:r>
      <w:r>
        <w:t xml:space="preserve"> Auto </w:t>
      </w:r>
      <w:hyperlink w:anchor="AUTO_2013_23" w:history="1">
        <w:r w:rsidRPr="00E27756">
          <w:rPr>
            <w:rStyle w:val="TextoNormalCaracter"/>
          </w:rPr>
          <w:t>23/2013</w:t>
        </w:r>
      </w:hyperlink>
      <w:r>
        <w:t>, f. 2.</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102" w:history="1">
        <w:r w:rsidRPr="00E27756">
          <w:rPr>
            <w:rStyle w:val="TextoNormalCaracter"/>
          </w:rPr>
          <w:t>102/2013</w:t>
        </w:r>
      </w:hyperlink>
      <w:r>
        <w:t>, f. 12.</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Sentencia </w:t>
      </w:r>
      <w:hyperlink w:anchor="SENTENCIA_2013_102" w:history="1">
        <w:r w:rsidRPr="00E27756">
          <w:rPr>
            <w:rStyle w:val="TextoNormalCaracter"/>
          </w:rPr>
          <w:t>102/2013</w:t>
        </w:r>
      </w:hyperlink>
      <w:r>
        <w:t>, f. 12.</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Sentencias </w:t>
      </w:r>
      <w:hyperlink w:anchor="SENTENCIA_2013_102" w:history="1">
        <w:r w:rsidRPr="00E27756">
          <w:rPr>
            <w:rStyle w:val="TextoNormalCaracter"/>
          </w:rPr>
          <w:t>102/2013</w:t>
        </w:r>
      </w:hyperlink>
      <w:r>
        <w:t xml:space="preserve">, f. 12; </w:t>
      </w:r>
      <w:hyperlink w:anchor="SENTENCIA_2013_102" w:history="1">
        <w:r w:rsidRPr="00E27756">
          <w:rPr>
            <w:rStyle w:val="TextoNormalCaracter"/>
          </w:rPr>
          <w:t>102/2013</w:t>
        </w:r>
      </w:hyperlink>
      <w:r>
        <w:t>, f. 9.</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Auto </w:t>
      </w:r>
      <w:hyperlink w:anchor="AUTO_2013_10" w:history="1">
        <w:r w:rsidRPr="00E27756">
          <w:rPr>
            <w:rStyle w:val="TextoNormalCaracter"/>
          </w:rPr>
          <w:t>10/2013</w:t>
        </w:r>
      </w:hyperlink>
      <w:r>
        <w:t>, f. 2.</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Auto </w:t>
      </w:r>
      <w:hyperlink w:anchor="AUTO_2013_10" w:history="1">
        <w:r w:rsidRPr="00E27756">
          <w:rPr>
            <w:rStyle w:val="TextoNormalCaracter"/>
          </w:rPr>
          <w:t>10/2013</w:t>
        </w:r>
      </w:hyperlink>
      <w:r>
        <w:t>, f. 2.</w:t>
      </w:r>
    </w:p>
    <w:p w:rsidR="00E27756" w:rsidRDefault="00E27756" w:rsidP="00E27756">
      <w:pPr>
        <w:pStyle w:val="SangriaFrancesaArticulo"/>
      </w:pPr>
    </w:p>
    <w:p w:rsidR="00E27756" w:rsidRDefault="00E27756" w:rsidP="00E27756">
      <w:pPr>
        <w:pStyle w:val="TextoNormalNegritaCursivandice"/>
      </w:pPr>
      <w:r>
        <w:t>Ley 22/2009, de 18 de diciembre. Regulación del sistema de financiación de las Comunidades Autónomas de régimen común y ciudades con Estatuto de Autonomía y se modifican determinadas normas tributarias</w:t>
      </w:r>
    </w:p>
    <w:p w:rsidR="00E27756" w:rsidRDefault="00E27756" w:rsidP="00E27756">
      <w:pPr>
        <w:pStyle w:val="SangriaFrancesaArticulo"/>
      </w:pPr>
      <w:r w:rsidRPr="00E27756">
        <w:rPr>
          <w:rStyle w:val="TextoNormalNegritaCaracter"/>
        </w:rPr>
        <w:t>Artículo 2 a 10.</w:t>
      </w:r>
      <w:r w:rsidRPr="00E27756">
        <w:rPr>
          <w:rStyle w:val="TextoNormalCaracter"/>
        </w:rPr>
        <w:t>-</w:t>
      </w:r>
      <w:r>
        <w:t xml:space="preserve"> Sentencia </w:t>
      </w:r>
      <w:hyperlink w:anchor="SENTENCIA_2013_101" w:history="1">
        <w:r w:rsidRPr="00E27756">
          <w:rPr>
            <w:rStyle w:val="TextoNormalCaracter"/>
          </w:rPr>
          <w:t>101/2013</w:t>
        </w:r>
      </w:hyperlink>
      <w:r>
        <w:t>, f. 8.</w:t>
      </w:r>
    </w:p>
    <w:p w:rsidR="00E27756" w:rsidRDefault="00E27756" w:rsidP="00E27756">
      <w:pPr>
        <w:pStyle w:val="SangriaFrancesaArticulo"/>
      </w:pPr>
    </w:p>
    <w:p w:rsidR="00E27756" w:rsidRDefault="00E27756" w:rsidP="00E27756">
      <w:pPr>
        <w:pStyle w:val="TextoNormalNegritaCursivandice"/>
      </w:pPr>
      <w:r>
        <w:t>Ley 23/2009, de 18 de diciembre. Modificación de la Ley 22/2001, de 27 de diciembre, reguladora de los fondos de compensación interterritorial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1" w:history="1">
        <w:r w:rsidRPr="00E27756">
          <w:rPr>
            <w:rStyle w:val="TextoNormalCaracter"/>
          </w:rPr>
          <w:t>101/2013</w:t>
        </w:r>
      </w:hyperlink>
      <w:r>
        <w:t>, f. 5.</w:t>
      </w:r>
    </w:p>
    <w:p w:rsidR="00E27756" w:rsidRDefault="00E27756" w:rsidP="00E27756">
      <w:pPr>
        <w:pStyle w:val="SangriaFrancesaArticulo"/>
      </w:pPr>
      <w:r w:rsidRPr="00E27756">
        <w:rPr>
          <w:rStyle w:val="TextoNormalNegritaCaracter"/>
        </w:rPr>
        <w:t>Disposición final duodécima.</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p>
    <w:p w:rsidR="00E27756" w:rsidRDefault="00E27756" w:rsidP="00E27756">
      <w:pPr>
        <w:pStyle w:val="TextoNormalNegritaCursivandice"/>
      </w:pPr>
      <w:r>
        <w:t>Ley 25/2009, de 22 de diciembre. Modificación de diversas leyes para su adaptación a la Ley sobre el libre acceso a las actividades de servicios y su ejercicio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3" w:history="1">
        <w:r w:rsidRPr="00E27756">
          <w:rPr>
            <w:rStyle w:val="TextoNormalCaracter"/>
          </w:rPr>
          <w:t>3/2013</w:t>
        </w:r>
      </w:hyperlink>
      <w:r>
        <w:t xml:space="preserve">, ff. 3, 6, 7; </w:t>
      </w:r>
      <w:hyperlink w:anchor="SENTENCIA_2013_8" w:history="1">
        <w:r w:rsidRPr="00E27756">
          <w:rPr>
            <w:rStyle w:val="TextoNormalCaracter"/>
          </w:rPr>
          <w:t>8/2013</w:t>
        </w:r>
      </w:hyperlink>
      <w:r>
        <w:t xml:space="preserve">, f. 2; </w:t>
      </w:r>
      <w:hyperlink w:anchor="SENTENCIA_2013_50" w:history="1">
        <w:r w:rsidRPr="00E27756">
          <w:rPr>
            <w:rStyle w:val="TextoNormalCaracter"/>
          </w:rPr>
          <w:t>50/2013</w:t>
        </w:r>
      </w:hyperlink>
      <w:r>
        <w:t xml:space="preserve">, ff. 2, 4, 5; </w:t>
      </w:r>
      <w:hyperlink w:anchor="SENTENCIA_2013_89" w:history="1">
        <w:r w:rsidRPr="00E27756">
          <w:rPr>
            <w:rStyle w:val="TextoNormalCaracter"/>
          </w:rPr>
          <w:t>89/2013</w:t>
        </w:r>
      </w:hyperlink>
      <w:r>
        <w:t xml:space="preserve">, f. 3; </w:t>
      </w:r>
      <w:hyperlink w:anchor="SENTENCIA_2013_102" w:history="1">
        <w:r w:rsidRPr="00E27756">
          <w:rPr>
            <w:rStyle w:val="TextoNormalCaracter"/>
          </w:rPr>
          <w:t>102/2013</w:t>
        </w:r>
      </w:hyperlink>
      <w:r>
        <w:t xml:space="preserve">, ff. 3, 9, 11; </w:t>
      </w:r>
      <w:hyperlink w:anchor="SENTENCIA_2013_123" w:history="1">
        <w:r w:rsidRPr="00E27756">
          <w:rPr>
            <w:rStyle w:val="TextoNormalCaracter"/>
          </w:rPr>
          <w:t>123/2013</w:t>
        </w:r>
      </w:hyperlink>
      <w:r>
        <w:t xml:space="preserve">, f. 2; </w:t>
      </w:r>
      <w:hyperlink w:anchor="SENTENCIA_2013_129" w:history="1">
        <w:r w:rsidRPr="00E27756">
          <w:rPr>
            <w:rStyle w:val="TextoNormalCaracter"/>
          </w:rPr>
          <w:t>129/2013</w:t>
        </w:r>
      </w:hyperlink>
      <w:r>
        <w:t>, f. 9.</w:t>
      </w:r>
    </w:p>
    <w:p w:rsidR="00E27756" w:rsidRDefault="00E27756" w:rsidP="00E27756">
      <w:pPr>
        <w:pStyle w:val="SangriaFrancesaArticulo"/>
      </w:pPr>
      <w:r w:rsidRPr="00E27756">
        <w:rPr>
          <w:rStyle w:val="TextoNormalNegritaCaracter"/>
        </w:rPr>
        <w:t>Título III.</w:t>
      </w:r>
      <w:r w:rsidRPr="00E27756">
        <w:rPr>
          <w:rStyle w:val="TextoNormalCaracter"/>
        </w:rPr>
        <w:t>-</w:t>
      </w:r>
      <w:r>
        <w:t xml:space="preserve"> Sentencia </w:t>
      </w:r>
      <w:hyperlink w:anchor="SENTENCIA_2013_102" w:history="1">
        <w:r w:rsidRPr="00E27756">
          <w:rPr>
            <w:rStyle w:val="TextoNormalCaracter"/>
          </w:rPr>
          <w:t>102/2013</w:t>
        </w:r>
      </w:hyperlink>
      <w:r>
        <w:t>, f. 3.</w:t>
      </w:r>
    </w:p>
    <w:p w:rsidR="00E27756" w:rsidRDefault="00E27756" w:rsidP="00E27756">
      <w:pPr>
        <w:pStyle w:val="SangriaFrancesaArticulo"/>
      </w:pPr>
      <w:r w:rsidRPr="00E27756">
        <w:rPr>
          <w:rStyle w:val="TextoNormalNegritaCaracter"/>
        </w:rPr>
        <w:t>Título V, capítulo I.</w:t>
      </w:r>
      <w:r w:rsidRPr="00E27756">
        <w:rPr>
          <w:rStyle w:val="TextoNormalCaracter"/>
        </w:rPr>
        <w:t>-</w:t>
      </w:r>
      <w:r>
        <w:t xml:space="preserve"> Sentencia </w:t>
      </w:r>
      <w:hyperlink w:anchor="SENTENCIA_2013_102" w:history="1">
        <w:r w:rsidRPr="00E27756">
          <w:rPr>
            <w:rStyle w:val="TextoNormalCaracter"/>
          </w:rPr>
          <w:t>102/2013</w:t>
        </w:r>
      </w:hyperlink>
      <w:r>
        <w:t>, f. 9.</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Sentencia </w:t>
      </w:r>
      <w:hyperlink w:anchor="SENTENCIA_2013_102" w:history="1">
        <w:r w:rsidRPr="00E27756">
          <w:rPr>
            <w:rStyle w:val="TextoNormalCaracter"/>
          </w:rPr>
          <w:t>102/2013</w:t>
        </w:r>
      </w:hyperlink>
      <w:r>
        <w:t>, f. 3.</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Auto </w:t>
      </w:r>
      <w:hyperlink w:anchor="AUTO_2013_23" w:history="1">
        <w:r w:rsidRPr="00E27756">
          <w:rPr>
            <w:rStyle w:val="TextoNormalCaracter"/>
          </w:rPr>
          <w:t>23/2013</w:t>
        </w:r>
      </w:hyperlink>
      <w:r>
        <w:t>, f. 1.</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3" w:history="1">
        <w:r w:rsidRPr="00E27756">
          <w:rPr>
            <w:rStyle w:val="TextoNormalCaracter"/>
          </w:rPr>
          <w:t>3/2013</w:t>
        </w:r>
      </w:hyperlink>
      <w:r>
        <w:t>, f. 3.</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Auto </w:t>
      </w:r>
      <w:hyperlink w:anchor="AUTO_2013_23" w:history="1">
        <w:r w:rsidRPr="00E27756">
          <w:rPr>
            <w:rStyle w:val="TextoNormalCaracter"/>
          </w:rPr>
          <w:t>23/2013</w:t>
        </w:r>
      </w:hyperlink>
      <w:r>
        <w:t>, f. 1.</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Sentencias </w:t>
      </w:r>
      <w:hyperlink w:anchor="SENTENCIA_2013_3" w:history="1">
        <w:r w:rsidRPr="00E27756">
          <w:rPr>
            <w:rStyle w:val="TextoNormalCaracter"/>
          </w:rPr>
          <w:t>3/2013</w:t>
        </w:r>
      </w:hyperlink>
      <w:r>
        <w:t xml:space="preserve">, f. 3; </w:t>
      </w:r>
      <w:hyperlink w:anchor="SENTENCIA_2013_46" w:history="1">
        <w:r w:rsidRPr="00E27756">
          <w:rPr>
            <w:rStyle w:val="TextoNormalCaracter"/>
          </w:rPr>
          <w:t>46/2013</w:t>
        </w:r>
      </w:hyperlink>
      <w:r>
        <w:t>, f. 2.</w:t>
      </w:r>
    </w:p>
    <w:p w:rsidR="00E27756" w:rsidRDefault="00E27756" w:rsidP="00E27756">
      <w:pPr>
        <w:pStyle w:val="SangriaFrancesaArticulo"/>
      </w:pPr>
      <w:r w:rsidRPr="00E27756">
        <w:rPr>
          <w:rStyle w:val="TextoNormalNegritaCaracter"/>
        </w:rPr>
        <w:t>Artículo 5.5.</w:t>
      </w:r>
      <w:r w:rsidRPr="00E27756">
        <w:rPr>
          <w:rStyle w:val="TextoNormalCaracter"/>
        </w:rPr>
        <w:t>-</w:t>
      </w:r>
      <w:r>
        <w:t xml:space="preserve"> Sentencias </w:t>
      </w:r>
      <w:hyperlink w:anchor="SENTENCIA_2013_3" w:history="1">
        <w:r w:rsidRPr="00E27756">
          <w:rPr>
            <w:rStyle w:val="TextoNormalCaracter"/>
          </w:rPr>
          <w:t>3/2013</w:t>
        </w:r>
      </w:hyperlink>
      <w:r>
        <w:t xml:space="preserve">, f. 3; </w:t>
      </w:r>
      <w:hyperlink w:anchor="SENTENCIA_2013_89" w:history="1">
        <w:r w:rsidRPr="00E27756">
          <w:rPr>
            <w:rStyle w:val="TextoNormalCaracter"/>
          </w:rPr>
          <w:t>89/2013</w:t>
        </w:r>
      </w:hyperlink>
      <w:r>
        <w:t>, f. 1.</w:t>
      </w:r>
    </w:p>
    <w:p w:rsidR="00E27756" w:rsidRDefault="00E27756" w:rsidP="00E27756">
      <w:pPr>
        <w:pStyle w:val="SangriaFrancesaArticulo"/>
      </w:pPr>
      <w:r w:rsidRPr="00E27756">
        <w:rPr>
          <w:rStyle w:val="TextoNormalNegritaCaracter"/>
        </w:rPr>
        <w:t>Artículo 18.</w:t>
      </w:r>
      <w:r w:rsidRPr="00E27756">
        <w:rPr>
          <w:rStyle w:val="TextoNormalCaracter"/>
        </w:rPr>
        <w:t>-</w:t>
      </w:r>
      <w:r>
        <w:t xml:space="preserve"> Sentencia </w:t>
      </w:r>
      <w:hyperlink w:anchor="SENTENCIA_2013_4" w:history="1">
        <w:r w:rsidRPr="00E27756">
          <w:rPr>
            <w:rStyle w:val="TextoNormalCaracter"/>
          </w:rPr>
          <w:t>4/2013</w:t>
        </w:r>
      </w:hyperlink>
      <w:r>
        <w:t>, f. 11.</w:t>
      </w:r>
    </w:p>
    <w:p w:rsidR="00E27756" w:rsidRDefault="00E27756" w:rsidP="00E27756">
      <w:pPr>
        <w:pStyle w:val="SangriaFrancesaArticulo"/>
      </w:pPr>
      <w:r w:rsidRPr="00E27756">
        <w:rPr>
          <w:rStyle w:val="TextoNormalNegritaCaracter"/>
        </w:rPr>
        <w:t>Artículo 18.5.</w:t>
      </w:r>
      <w:r w:rsidRPr="00E27756">
        <w:rPr>
          <w:rStyle w:val="TextoNormalCaracter"/>
        </w:rPr>
        <w:t>-</w:t>
      </w:r>
      <w:r>
        <w:t xml:space="preserve"> Sentencia </w:t>
      </w:r>
      <w:hyperlink w:anchor="SENTENCIA_2013_102" w:history="1">
        <w:r w:rsidRPr="00E27756">
          <w:rPr>
            <w:rStyle w:val="TextoNormalCaracter"/>
          </w:rPr>
          <w:t>102/2013</w:t>
        </w:r>
      </w:hyperlink>
      <w:r>
        <w:t>, ff. 1 a 3, 7, 8.</w:t>
      </w:r>
    </w:p>
    <w:p w:rsidR="00E27756" w:rsidRDefault="00E27756" w:rsidP="00E27756">
      <w:pPr>
        <w:pStyle w:val="SangriaFrancesaArticulo"/>
      </w:pPr>
      <w:r w:rsidRPr="00E27756">
        <w:rPr>
          <w:rStyle w:val="TextoNormalNegritaCaracter"/>
        </w:rPr>
        <w:t>Artículo 35.</w:t>
      </w:r>
      <w:r w:rsidRPr="00E27756">
        <w:rPr>
          <w:rStyle w:val="TextoNormalCaracter"/>
        </w:rPr>
        <w:t>-</w:t>
      </w:r>
      <w:r>
        <w:t xml:space="preserve"> Sentencia </w:t>
      </w:r>
      <w:hyperlink w:anchor="SENTENCIA_2013_102" w:history="1">
        <w:r w:rsidRPr="00E27756">
          <w:rPr>
            <w:rStyle w:val="TextoNormalCaracter"/>
          </w:rPr>
          <w:t>102/2013</w:t>
        </w:r>
      </w:hyperlink>
      <w:r>
        <w:t>, ff. 1, 9, 12.</w:t>
      </w:r>
    </w:p>
    <w:p w:rsidR="00E27756" w:rsidRDefault="00E27756" w:rsidP="00E27756">
      <w:pPr>
        <w:pStyle w:val="SangriaFrancesaArticulo"/>
      </w:pPr>
      <w:r w:rsidRPr="00E27756">
        <w:rPr>
          <w:rStyle w:val="TextoNormalNegritaCaracter"/>
        </w:rPr>
        <w:t>Artículo 36.</w:t>
      </w:r>
      <w:r w:rsidRPr="00E27756">
        <w:rPr>
          <w:rStyle w:val="TextoNormalCaracter"/>
        </w:rPr>
        <w:t>-</w:t>
      </w:r>
      <w:r>
        <w:t xml:space="preserve"> Sentencia </w:t>
      </w:r>
      <w:hyperlink w:anchor="SENTENCIA_2013_138" w:history="1">
        <w:r w:rsidRPr="00E27756">
          <w:rPr>
            <w:rStyle w:val="TextoNormalCaracter"/>
          </w:rPr>
          <w:t>138/2013</w:t>
        </w:r>
      </w:hyperlink>
      <w:r>
        <w:t>, f. 2.</w:t>
      </w:r>
    </w:p>
    <w:p w:rsidR="00E27756" w:rsidRDefault="00E27756" w:rsidP="00E27756">
      <w:pPr>
        <w:pStyle w:val="SangriaFrancesaArticulo"/>
      </w:pPr>
      <w:r w:rsidRPr="00E27756">
        <w:rPr>
          <w:rStyle w:val="TextoNormalNegritaCaracter"/>
        </w:rPr>
        <w:t>Artículo 71 bis.</w:t>
      </w:r>
      <w:r w:rsidRPr="00E27756">
        <w:rPr>
          <w:rStyle w:val="TextoNormalCaracter"/>
        </w:rPr>
        <w:t>-</w:t>
      </w:r>
      <w:r>
        <w:t xml:space="preserve"> Auto </w:t>
      </w:r>
      <w:hyperlink w:anchor="AUTO_2013_23" w:history="1">
        <w:r w:rsidRPr="00E27756">
          <w:rPr>
            <w:rStyle w:val="TextoNormalCaracter"/>
          </w:rPr>
          <w:t>23/2013</w:t>
        </w:r>
      </w:hyperlink>
      <w:r>
        <w:t>, f. 2.</w:t>
      </w:r>
    </w:p>
    <w:p w:rsidR="00E27756" w:rsidRDefault="00E27756" w:rsidP="00E27756">
      <w:pPr>
        <w:pStyle w:val="SangriaFrancesaArticulo"/>
      </w:pPr>
      <w:r w:rsidRPr="00E27756">
        <w:rPr>
          <w:rStyle w:val="TextoNormalNegritaCaracter"/>
        </w:rPr>
        <w:t>Disposición transitoria cuarta.</w:t>
      </w:r>
      <w:r w:rsidRPr="00E27756">
        <w:rPr>
          <w:rStyle w:val="TextoNormalCaracter"/>
        </w:rPr>
        <w:t>-</w:t>
      </w:r>
      <w:r>
        <w:t xml:space="preserve"> Sentencias </w:t>
      </w:r>
      <w:hyperlink w:anchor="SENTENCIA_2013_3" w:history="1">
        <w:r w:rsidRPr="00E27756">
          <w:rPr>
            <w:rStyle w:val="TextoNormalCaracter"/>
          </w:rPr>
          <w:t>3/2013</w:t>
        </w:r>
      </w:hyperlink>
      <w:r>
        <w:t xml:space="preserve">, f. 3; </w:t>
      </w:r>
      <w:hyperlink w:anchor="SENTENCIA_2013_89" w:history="1">
        <w:r w:rsidRPr="00E27756">
          <w:rPr>
            <w:rStyle w:val="TextoNormalCaracter"/>
          </w:rPr>
          <w:t>89/2013</w:t>
        </w:r>
      </w:hyperlink>
      <w:r>
        <w:t>, f. 1.</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Sentencias </w:t>
      </w:r>
      <w:hyperlink w:anchor="SENTENCIA_2013_3" w:history="1">
        <w:r w:rsidRPr="00E27756">
          <w:rPr>
            <w:rStyle w:val="TextoNormalCaracter"/>
          </w:rPr>
          <w:t>3/2013</w:t>
        </w:r>
      </w:hyperlink>
      <w:r>
        <w:t xml:space="preserve">, f. 3; </w:t>
      </w:r>
      <w:hyperlink w:anchor="SENTENCIA_2013_50" w:history="1">
        <w:r w:rsidRPr="00E27756">
          <w:rPr>
            <w:rStyle w:val="TextoNormalCaracter"/>
          </w:rPr>
          <w:t>50/2013</w:t>
        </w:r>
      </w:hyperlink>
      <w:r>
        <w:t xml:space="preserve">, f. 4; </w:t>
      </w:r>
      <w:hyperlink w:anchor="SENTENCIA_2013_89" w:history="1">
        <w:r w:rsidRPr="00E27756">
          <w:rPr>
            <w:rStyle w:val="TextoNormalCaracter"/>
          </w:rPr>
          <w:t>89/2013</w:t>
        </w:r>
      </w:hyperlink>
      <w:r>
        <w:t xml:space="preserve">, ff. 1, 4; </w:t>
      </w:r>
      <w:hyperlink w:anchor="SENTENCIA_2013_102" w:history="1">
        <w:r w:rsidRPr="00E27756">
          <w:rPr>
            <w:rStyle w:val="TextoNormalCaracter"/>
          </w:rPr>
          <w:t>102/2013</w:t>
        </w:r>
      </w:hyperlink>
      <w:r>
        <w:t>, f. 6.</w:t>
      </w:r>
    </w:p>
    <w:p w:rsidR="00E27756" w:rsidRDefault="00E27756" w:rsidP="00E27756">
      <w:pPr>
        <w:pStyle w:val="SangriaFrancesaArticulo"/>
      </w:pPr>
    </w:p>
    <w:p w:rsidR="00E27756" w:rsidRDefault="00E27756" w:rsidP="00E27756">
      <w:pPr>
        <w:pStyle w:val="TextoNormalNegritaCursivandice"/>
      </w:pPr>
      <w:r>
        <w:t>Ley 26/2009, de 23 de diciembre. Presupuestos generales del Estado para 2010</w:t>
      </w:r>
    </w:p>
    <w:p w:rsidR="00E27756" w:rsidRDefault="00E27756" w:rsidP="00E27756">
      <w:pPr>
        <w:pStyle w:val="SangriaFrancesaArticulo"/>
      </w:pPr>
      <w:r w:rsidRPr="00E27756">
        <w:rPr>
          <w:rStyle w:val="TextoNormalNegritaCaracter"/>
        </w:rPr>
        <w:t>Disposición adicional decimosexta.</w:t>
      </w:r>
      <w:r w:rsidRPr="00E27756">
        <w:rPr>
          <w:rStyle w:val="TextoNormalCaracter"/>
        </w:rPr>
        <w:t>-</w:t>
      </w:r>
      <w:r>
        <w:t xml:space="preserve"> Sentencia </w:t>
      </w:r>
      <w:hyperlink w:anchor="SENTENCIA_2013_100" w:history="1">
        <w:r w:rsidRPr="00E27756">
          <w:rPr>
            <w:rStyle w:val="TextoNormalCaracter"/>
          </w:rPr>
          <w:t>100/2013</w:t>
        </w:r>
      </w:hyperlink>
      <w:r>
        <w:t>, f. 3.</w:t>
      </w:r>
    </w:p>
    <w:p w:rsidR="00E27756" w:rsidRDefault="00E27756" w:rsidP="00E27756">
      <w:pPr>
        <w:pStyle w:val="SangriaFrancesaArticulo"/>
      </w:pPr>
    </w:p>
    <w:p w:rsidR="00E27756" w:rsidRDefault="00E27756" w:rsidP="00E27756">
      <w:pPr>
        <w:pStyle w:val="TextoNormalNegritaCursivandice"/>
      </w:pPr>
      <w:r>
        <w:t>Ley 7/2010, de 31 de marzo. General de la comunicación audiovisual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r w:rsidRPr="00E27756">
        <w:rPr>
          <w:rStyle w:val="TextoNormalNegritaCaracter"/>
        </w:rPr>
        <w:t>Artículo 22.3.</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r w:rsidRPr="00E27756">
        <w:rPr>
          <w:rStyle w:val="TextoNormalNegritaCaracter"/>
        </w:rPr>
        <w:t>Artículo 22.4.</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r w:rsidRPr="00E27756">
        <w:rPr>
          <w:rStyle w:val="TextoNormalNegritaCaracter"/>
        </w:rPr>
        <w:t>Disposición derogatoria, apartado 14.</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p>
    <w:p w:rsidR="00E27756" w:rsidRDefault="00E27756" w:rsidP="00E27756">
      <w:pPr>
        <w:pStyle w:val="TextoNormalNegritaCursivandice"/>
      </w:pPr>
      <w:r>
        <w:t>Ley 26/2010, de 16 de julio. Régimen de cesión de tributos del Estado a la Comunidad Autónoma de Canarias y de fijación del alcance y condiciones de dicha cesión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87" w:history="1">
        <w:r w:rsidRPr="00E27756">
          <w:rPr>
            <w:rStyle w:val="TextoNormalCaracter"/>
          </w:rPr>
          <w:t>87/2013</w:t>
        </w:r>
      </w:hyperlink>
      <w:r>
        <w:t xml:space="preserve">, f. 2; </w:t>
      </w:r>
      <w:hyperlink w:anchor="SENTENCIA_2013_87" w:history="1">
        <w:r w:rsidRPr="00E27756">
          <w:rPr>
            <w:rStyle w:val="TextoNormalCaracter"/>
          </w:rPr>
          <w:t>87/2013</w:t>
        </w:r>
      </w:hyperlink>
      <w:r>
        <w:t>, f. 2.</w:t>
      </w:r>
    </w:p>
    <w:p w:rsidR="00E27756" w:rsidRDefault="00E27756" w:rsidP="00E27756">
      <w:pPr>
        <w:pStyle w:val="SangriaFrancesaArticulo"/>
      </w:pPr>
    </w:p>
    <w:p w:rsidR="00E27756" w:rsidRDefault="00E27756" w:rsidP="00E27756">
      <w:pPr>
        <w:pStyle w:val="TextoNormalNegritaCursivandice"/>
      </w:pPr>
      <w:r>
        <w:t>Ley 39/2010, de 22 de diciembre. Presupuestos generales del Estado para el año 2011</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30" w:history="1">
        <w:r w:rsidRPr="00E27756">
          <w:rPr>
            <w:rStyle w:val="TextoNormalCaracter"/>
          </w:rPr>
          <w:t>130/2013</w:t>
        </w:r>
      </w:hyperlink>
      <w:r>
        <w:t xml:space="preserve">, f. 2; </w:t>
      </w:r>
      <w:hyperlink w:anchor="SENTENCIA_2013_135" w:history="1">
        <w:r w:rsidRPr="00E27756">
          <w:rPr>
            <w:rStyle w:val="TextoNormalCaracter"/>
          </w:rPr>
          <w:t>135/2013</w:t>
        </w:r>
      </w:hyperlink>
      <w:r>
        <w:t>, f. 2.</w:t>
      </w:r>
    </w:p>
    <w:p w:rsidR="00E27756" w:rsidRDefault="00E27756" w:rsidP="00E27756">
      <w:pPr>
        <w:pStyle w:val="SangriaFrancesaArticulo"/>
      </w:pPr>
      <w:r w:rsidRPr="00E27756">
        <w:rPr>
          <w:rStyle w:val="TextoNormalNegritaCaracter"/>
        </w:rPr>
        <w:t>Disposición adicional trigésimo octava.</w:t>
      </w:r>
      <w:r w:rsidRPr="00E27756">
        <w:rPr>
          <w:rStyle w:val="TextoNormalCaracter"/>
        </w:rPr>
        <w:t>-</w:t>
      </w:r>
      <w:r>
        <w:t xml:space="preserve"> Sentencia </w:t>
      </w:r>
      <w:hyperlink w:anchor="SENTENCIA_2013_100" w:history="1">
        <w:r w:rsidRPr="00E27756">
          <w:rPr>
            <w:rStyle w:val="TextoNormalCaracter"/>
          </w:rPr>
          <w:t>100/2013</w:t>
        </w:r>
      </w:hyperlink>
      <w:r>
        <w:t>, f. 3.</w:t>
      </w:r>
    </w:p>
    <w:p w:rsidR="00E27756" w:rsidRDefault="00E27756" w:rsidP="00E27756">
      <w:pPr>
        <w:pStyle w:val="SangriaFrancesaArticulo"/>
      </w:pPr>
    </w:p>
    <w:p w:rsidR="00E27756" w:rsidRDefault="00E27756" w:rsidP="00E27756">
      <w:pPr>
        <w:pStyle w:val="TextoNormalNegritaCursivandice"/>
      </w:pPr>
      <w:r>
        <w:t>Ley 2/2011, de 4 de marzo. Economía sostenible</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9" w:history="1">
        <w:r w:rsidRPr="00E27756">
          <w:rPr>
            <w:rStyle w:val="TextoNormalCaracter"/>
          </w:rPr>
          <w:t>39/2013</w:t>
        </w:r>
      </w:hyperlink>
      <w:r>
        <w:t>, f. 2.</w:t>
      </w:r>
    </w:p>
    <w:p w:rsidR="00E27756" w:rsidRDefault="00E27756" w:rsidP="00E27756">
      <w:pPr>
        <w:pStyle w:val="SangriaFrancesaArticulo"/>
      </w:pPr>
      <w:r w:rsidRPr="00E27756">
        <w:rPr>
          <w:rStyle w:val="TextoNormalNegritaCaracter"/>
        </w:rPr>
        <w:t>Disposición final vigésimo tercera, apartado quinto.</w:t>
      </w:r>
      <w:r w:rsidRPr="00E27756">
        <w:rPr>
          <w:rStyle w:val="TextoNormalCaracter"/>
        </w:rPr>
        <w:t>-</w:t>
      </w:r>
      <w:r>
        <w:t xml:space="preserve"> Sentencia </w:t>
      </w:r>
      <w:hyperlink w:anchor="SENTENCIA_2013_83" w:history="1">
        <w:r w:rsidRPr="00E27756">
          <w:rPr>
            <w:rStyle w:val="TextoNormalCaracter"/>
          </w:rPr>
          <w:t>83/2013</w:t>
        </w:r>
      </w:hyperlink>
      <w:r>
        <w:t>, f. 5.</w:t>
      </w:r>
    </w:p>
    <w:p w:rsidR="00E27756" w:rsidRDefault="00E27756" w:rsidP="00E27756">
      <w:pPr>
        <w:pStyle w:val="SangriaFrancesaArticulo"/>
      </w:pPr>
      <w:r w:rsidRPr="00E27756">
        <w:rPr>
          <w:rStyle w:val="TextoNormalNegritaCaracter"/>
        </w:rPr>
        <w:t>Disposición final vigésima cuarta, apartado 3.</w:t>
      </w:r>
      <w:r w:rsidRPr="00E27756">
        <w:rPr>
          <w:rStyle w:val="TextoNormalCaracter"/>
        </w:rPr>
        <w:t>-</w:t>
      </w:r>
      <w:r>
        <w:t xml:space="preserve"> Sentencia </w:t>
      </w:r>
      <w:hyperlink w:anchor="SENTENCIA_2013_24" w:history="1">
        <w:r w:rsidRPr="00E27756">
          <w:rPr>
            <w:rStyle w:val="TextoNormalCaracter"/>
          </w:rPr>
          <w:t>24/2013</w:t>
        </w:r>
      </w:hyperlink>
      <w:r>
        <w:t>, f. 2.</w:t>
      </w:r>
    </w:p>
    <w:p w:rsidR="00E27756" w:rsidRDefault="00E27756" w:rsidP="00E27756">
      <w:pPr>
        <w:pStyle w:val="SangriaFrancesaArticulo"/>
      </w:pPr>
      <w:r w:rsidRPr="00E27756">
        <w:rPr>
          <w:rStyle w:val="TextoNormalNegritaCaracter"/>
        </w:rPr>
        <w:t>Disposición final trigésima tercera.5.</w:t>
      </w:r>
      <w:r w:rsidRPr="00E27756">
        <w:rPr>
          <w:rStyle w:val="TextoNormalCaracter"/>
        </w:rPr>
        <w:t>-</w:t>
      </w:r>
      <w:r>
        <w:t xml:space="preserve"> Sentencia </w:t>
      </w:r>
      <w:hyperlink w:anchor="SENTENCIA_2013_39" w:history="1">
        <w:r w:rsidRPr="00E27756">
          <w:rPr>
            <w:rStyle w:val="TextoNormalCaracter"/>
          </w:rPr>
          <w:t>39/2013</w:t>
        </w:r>
      </w:hyperlink>
      <w:r>
        <w:t>, f. 2.</w:t>
      </w:r>
    </w:p>
    <w:p w:rsidR="00E27756" w:rsidRDefault="00E27756" w:rsidP="00E27756">
      <w:pPr>
        <w:pStyle w:val="SangriaFrancesaArticulo"/>
      </w:pPr>
    </w:p>
    <w:p w:rsidR="00E27756" w:rsidRDefault="00E27756" w:rsidP="00E27756">
      <w:pPr>
        <w:pStyle w:val="TextoNormalNegritaCursivandice"/>
      </w:pPr>
      <w:r>
        <w:t>Ley 14/2011, de 1 de junio. De la Ciencia, la Tecnología y la Innovación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30" w:history="1">
        <w:r w:rsidRPr="00E27756">
          <w:rPr>
            <w:rStyle w:val="TextoNormalCaracter"/>
          </w:rPr>
          <w:t>130/2013</w:t>
        </w:r>
      </w:hyperlink>
      <w:r>
        <w:t xml:space="preserve">, f. 2; </w:t>
      </w:r>
      <w:hyperlink w:anchor="SENTENCIA_2013_131" w:history="1">
        <w:r w:rsidRPr="00E27756">
          <w:rPr>
            <w:rStyle w:val="TextoNormalCaracter"/>
          </w:rPr>
          <w:t>131/2013</w:t>
        </w:r>
      </w:hyperlink>
      <w:r>
        <w:t xml:space="preserve">, f. 3; </w:t>
      </w:r>
      <w:hyperlink w:anchor="SENTENCIA_2013_135" w:history="1">
        <w:r w:rsidRPr="00E27756">
          <w:rPr>
            <w:rStyle w:val="TextoNormalCaracter"/>
          </w:rPr>
          <w:t>135/2013</w:t>
        </w:r>
      </w:hyperlink>
      <w:r>
        <w:t>, f. 2.</w:t>
      </w:r>
    </w:p>
    <w:p w:rsidR="00E27756" w:rsidRDefault="00E27756" w:rsidP="00E27756">
      <w:pPr>
        <w:pStyle w:val="SangriaFrancesaArticulo"/>
      </w:pPr>
      <w:r w:rsidRPr="00E27756">
        <w:rPr>
          <w:rStyle w:val="TextoNormalNegritaCaracter"/>
        </w:rPr>
        <w:t>Disposición final quinta.</w:t>
      </w:r>
      <w:r w:rsidRPr="00E27756">
        <w:rPr>
          <w:rStyle w:val="TextoNormalCaracter"/>
        </w:rPr>
        <w:t>-</w:t>
      </w:r>
      <w:r>
        <w:t xml:space="preserve"> Sentencias </w:t>
      </w:r>
      <w:hyperlink w:anchor="SENTENCIA_2013_130" w:history="1">
        <w:r w:rsidRPr="00E27756">
          <w:rPr>
            <w:rStyle w:val="TextoNormalCaracter"/>
          </w:rPr>
          <w:t>130/2013</w:t>
        </w:r>
      </w:hyperlink>
      <w:r>
        <w:t xml:space="preserve">, f. 10; </w:t>
      </w:r>
      <w:hyperlink w:anchor="SENTENCIA_2013_135" w:history="1">
        <w:r w:rsidRPr="00E27756">
          <w:rPr>
            <w:rStyle w:val="TextoNormalCaracter"/>
          </w:rPr>
          <w:t>135/2013</w:t>
        </w:r>
      </w:hyperlink>
      <w:r>
        <w:t>, ff. 2, 4.</w:t>
      </w:r>
    </w:p>
    <w:p w:rsidR="00E27756" w:rsidRDefault="00E27756" w:rsidP="00E27756">
      <w:pPr>
        <w:pStyle w:val="SangriaFrancesaArticulo"/>
      </w:pPr>
    </w:p>
    <w:p w:rsidR="00E27756" w:rsidRDefault="00E27756" w:rsidP="00E27756">
      <w:pPr>
        <w:pStyle w:val="TextoNormalNegritaCursivandice"/>
      </w:pPr>
      <w:r>
        <w:t>Ley 22/2011, de 28 de julio. Residuos y suelos contaminados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04" w:history="1">
        <w:r w:rsidRPr="00E27756">
          <w:rPr>
            <w:rStyle w:val="TextoNormalCaracter"/>
          </w:rPr>
          <w:t>104/2013</w:t>
        </w:r>
      </w:hyperlink>
      <w:r>
        <w:t xml:space="preserve">, f. 2; </w:t>
      </w:r>
      <w:hyperlink w:anchor="SENTENCIA_2013_129" w:history="1">
        <w:r w:rsidRPr="00E27756">
          <w:rPr>
            <w:rStyle w:val="TextoNormalCaracter"/>
          </w:rPr>
          <w:t>129/2013</w:t>
        </w:r>
      </w:hyperlink>
      <w:r>
        <w:t>, f. 8.</w:t>
      </w:r>
    </w:p>
    <w:p w:rsidR="00E27756" w:rsidRDefault="00E27756" w:rsidP="00E27756">
      <w:pPr>
        <w:pStyle w:val="SangriaFrancesaArticulo"/>
      </w:pPr>
      <w:r w:rsidRPr="00E27756">
        <w:rPr>
          <w:rStyle w:val="TextoNormalNegritaCaracter"/>
        </w:rPr>
        <w:t>Título V.</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r w:rsidRPr="00E27756">
        <w:rPr>
          <w:rStyle w:val="TextoNormalNegritaCaracter"/>
        </w:rPr>
        <w:t>Artículo 33.2.</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r w:rsidRPr="00E27756">
        <w:rPr>
          <w:rStyle w:val="TextoNormalNegritaCaracter"/>
        </w:rPr>
        <w:t>Disposición derogatoria única, apartado 1.</w:t>
      </w:r>
      <w:r w:rsidRPr="00E27756">
        <w:rPr>
          <w:rStyle w:val="TextoNormalCaracter"/>
        </w:rPr>
        <w:t>-</w:t>
      </w:r>
      <w:r>
        <w:t xml:space="preserve"> Sentencia </w:t>
      </w:r>
      <w:hyperlink w:anchor="SENTENCIA_2013_111" w:history="1">
        <w:r w:rsidRPr="00E27756">
          <w:rPr>
            <w:rStyle w:val="TextoNormalCaracter"/>
          </w:rPr>
          <w:t>111/2013</w:t>
        </w:r>
      </w:hyperlink>
      <w:r>
        <w:t>, f. 2.</w:t>
      </w:r>
    </w:p>
    <w:p w:rsidR="00E27756" w:rsidRDefault="00E27756" w:rsidP="00E27756">
      <w:pPr>
        <w:pStyle w:val="SangriaFrancesaArticulo"/>
      </w:pPr>
    </w:p>
    <w:p w:rsidR="00E27756" w:rsidRDefault="00E27756" w:rsidP="00E27756">
      <w:pPr>
        <w:pStyle w:val="TextoNormalNegritaCursivandice"/>
      </w:pPr>
      <w:r>
        <w:t>Ley 2/2012, de 29 de junio. Presupuestos Generales del Estado para el año 2012</w:t>
      </w:r>
    </w:p>
    <w:p w:rsidR="00E27756" w:rsidRDefault="00E27756" w:rsidP="00E27756">
      <w:pPr>
        <w:pStyle w:val="SangriaFrancesaArticulo"/>
      </w:pPr>
      <w:r w:rsidRPr="00E27756">
        <w:rPr>
          <w:rStyle w:val="TextoNormalNegritaCaracter"/>
        </w:rPr>
        <w:t>Artículo 22.5.2.</w:t>
      </w:r>
      <w:r w:rsidRPr="00E27756">
        <w:rPr>
          <w:rStyle w:val="TextoNormalCaracter"/>
        </w:rPr>
        <w:t>-</w:t>
      </w:r>
      <w:r>
        <w:t xml:space="preserve"> Auto </w:t>
      </w:r>
      <w:hyperlink w:anchor="AUTO_2013_86" w:history="1">
        <w:r w:rsidRPr="00E27756">
          <w:rPr>
            <w:rStyle w:val="TextoNormalCaracter"/>
          </w:rPr>
          <w:t>86/2013</w:t>
        </w:r>
      </w:hyperlink>
      <w:r>
        <w:t>, f. 4.</w:t>
      </w:r>
    </w:p>
    <w:p w:rsidR="00E27756" w:rsidRDefault="00E27756" w:rsidP="00E27756">
      <w:pPr>
        <w:pStyle w:val="SangriaFrancesaArticulo"/>
      </w:pPr>
    </w:p>
    <w:p w:rsidR="00E27756" w:rsidRDefault="00E27756" w:rsidP="00E27756">
      <w:pPr>
        <w:pStyle w:val="TextoNormalNegritaCursivandice"/>
      </w:pPr>
      <w:r>
        <w:t>Ley 9/2012, de 14 de noviembre. Reestructuración y resolución de entidades de crédito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23" w:history="1">
        <w:r w:rsidRPr="00E27756">
          <w:rPr>
            <w:rStyle w:val="TextoNormalCaracter"/>
          </w:rPr>
          <w:t>123/2013</w:t>
        </w:r>
      </w:hyperlink>
      <w:r>
        <w:t>, f. 4.</w:t>
      </w:r>
    </w:p>
    <w:p w:rsidR="00E27756" w:rsidRDefault="00E27756" w:rsidP="00E27756">
      <w:pPr>
        <w:pStyle w:val="SangriaFrancesaArticulo"/>
      </w:pPr>
    </w:p>
    <w:p w:rsidR="00E27756" w:rsidRDefault="00E27756" w:rsidP="00E27756">
      <w:pPr>
        <w:pStyle w:val="TextoNormalNegritaCursivandice"/>
      </w:pPr>
      <w:r>
        <w:t>Ley 10/2012, de 20 de noviembre. Se regulan determinadas tasas en el ámbito de la Administración de justicia y del Instituto Nacional de Toxicología y Ciencias Forenses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22" w:history="1">
        <w:r w:rsidRPr="00E27756">
          <w:rPr>
            <w:rStyle w:val="TextoNormalCaracter"/>
          </w:rPr>
          <w:t>122/2013</w:t>
        </w:r>
      </w:hyperlink>
      <w:r>
        <w:t>, f. 4.</w:t>
      </w:r>
    </w:p>
    <w:p w:rsidR="00E27756" w:rsidRDefault="00E27756" w:rsidP="00E27756">
      <w:pPr>
        <w:pStyle w:val="SangriaFrancesaArticulo"/>
      </w:pPr>
    </w:p>
    <w:p w:rsidR="00E27756" w:rsidRDefault="00E27756" w:rsidP="00E27756">
      <w:pPr>
        <w:pStyle w:val="TextoNormalNegritaCursivandice"/>
      </w:pPr>
      <w:r>
        <w:t>Ley 11/2012, de 19 de diciembre. Medidas urgentes en materia de medio ambiente</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9" w:history="1">
        <w:r w:rsidRPr="00E27756">
          <w:rPr>
            <w:rStyle w:val="TextoNormalCaracter"/>
          </w:rPr>
          <w:t>69/2013</w:t>
        </w:r>
      </w:hyperlink>
      <w:r>
        <w:t>, f. 5.</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138" w:history="1">
        <w:r w:rsidRPr="00E27756">
          <w:rPr>
            <w:rStyle w:val="TextoNormalCaracter"/>
          </w:rPr>
          <w:t>138/2013</w:t>
        </w:r>
      </w:hyperlink>
      <w:r>
        <w:t>, f. 2.</w:t>
      </w:r>
    </w:p>
    <w:p w:rsidR="00E27756" w:rsidRDefault="00E27756" w:rsidP="00E27756">
      <w:pPr>
        <w:pStyle w:val="SangriaFrancesaArticulo"/>
      </w:pPr>
    </w:p>
    <w:p w:rsidR="00E27756" w:rsidRDefault="00E27756" w:rsidP="00E27756">
      <w:pPr>
        <w:pStyle w:val="TextoNormalNegritaCursivandice"/>
      </w:pPr>
      <w:r>
        <w:t>Ley 16/2012, de 27 de diciembre. Diversas medidas tributarias dirigidas a la consolidación de las finanzas públicas y al impulso de la actividad económica</w:t>
      </w:r>
    </w:p>
    <w:p w:rsidR="00E27756" w:rsidRDefault="00E27756" w:rsidP="00E27756">
      <w:pPr>
        <w:pStyle w:val="SangriaFrancesaArticulo"/>
      </w:pPr>
      <w:r w:rsidRPr="00E27756">
        <w:rPr>
          <w:rStyle w:val="TextoNormalNegritaCaracter"/>
        </w:rPr>
        <w:t>Artículo 19.</w:t>
      </w:r>
      <w:r w:rsidRPr="00E27756">
        <w:rPr>
          <w:rStyle w:val="TextoNormalCaracter"/>
        </w:rPr>
        <w:t>-</w:t>
      </w:r>
      <w:r>
        <w:t xml:space="preserve"> Auto </w:t>
      </w:r>
      <w:hyperlink w:anchor="AUTO_2013_123" w:history="1">
        <w:r w:rsidRPr="00E27756">
          <w:rPr>
            <w:rStyle w:val="TextoNormalCaracter"/>
          </w:rPr>
          <w:t>123/2013</w:t>
        </w:r>
      </w:hyperlink>
      <w:r>
        <w:t>, f. 6.</w:t>
      </w:r>
    </w:p>
    <w:p w:rsidR="00E27756" w:rsidRDefault="00E27756" w:rsidP="00E27756">
      <w:pPr>
        <w:pStyle w:val="SangriaFrancesaArticulo"/>
      </w:pPr>
    </w:p>
    <w:p w:rsidR="00E27756" w:rsidRDefault="00E27756" w:rsidP="00E27756">
      <w:pPr>
        <w:pStyle w:val="TextoNormalNegritaCursivandice"/>
      </w:pPr>
      <w:r>
        <w:lastRenderedPageBreak/>
        <w:t>Ley 17/2012, de 27 de diciembre. Presupuestos Generales del Estado para el año 2013</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00" w:history="1">
        <w:r w:rsidRPr="00E27756">
          <w:rPr>
            <w:rStyle w:val="TextoNormalCaracter"/>
          </w:rPr>
          <w:t>100/2013</w:t>
        </w:r>
      </w:hyperlink>
      <w:r>
        <w:t xml:space="preserve">, f. 3; </w:t>
      </w:r>
      <w:hyperlink w:anchor="SENTENCIA_2013_130" w:history="1">
        <w:r w:rsidRPr="00E27756">
          <w:rPr>
            <w:rStyle w:val="TextoNormalCaracter"/>
          </w:rPr>
          <w:t>130/2013</w:t>
        </w:r>
      </w:hyperlink>
      <w:r>
        <w:t xml:space="preserve">, f. 2; </w:t>
      </w:r>
      <w:hyperlink w:anchor="SENTENCIA_2013_135" w:history="1">
        <w:r w:rsidRPr="00E27756">
          <w:rPr>
            <w:rStyle w:val="TextoNormalCaracter"/>
          </w:rPr>
          <w:t>135/2013</w:t>
        </w:r>
      </w:hyperlink>
      <w:r>
        <w:t>, f. 2.</w:t>
      </w:r>
    </w:p>
    <w:p w:rsidR="00E27756" w:rsidRDefault="00E27756" w:rsidP="00E27756">
      <w:pPr>
        <w:pStyle w:val="TextoNormal"/>
      </w:pPr>
    </w:p>
    <w:p w:rsidR="00E27756" w:rsidRDefault="00E27756" w:rsidP="00E27756">
      <w:pPr>
        <w:pStyle w:val="SangriaFrancesaArticulo"/>
      </w:pPr>
      <w:bookmarkStart w:id="299" w:name="INDICE22847"/>
    </w:p>
    <w:bookmarkEnd w:id="299"/>
    <w:p w:rsidR="00E27756" w:rsidRDefault="00E27756" w:rsidP="00E27756">
      <w:pPr>
        <w:pStyle w:val="TextoIndiceNivel2"/>
        <w:suppressAutoHyphens/>
      </w:pPr>
      <w:r>
        <w:t>F) Reales Decretos Legislativos</w:t>
      </w:r>
    </w:p>
    <w:p w:rsidR="00E27756" w:rsidRDefault="00E27756" w:rsidP="00E27756">
      <w:pPr>
        <w:pStyle w:val="TextoIndiceNivel2"/>
      </w:pPr>
    </w:p>
    <w:p w:rsidR="00E27756" w:rsidRDefault="00E27756" w:rsidP="00E27756">
      <w:pPr>
        <w:pStyle w:val="TextoNormalNegritaCursivandice"/>
      </w:pPr>
      <w:r>
        <w:t>Real Decreto Legislativo 1302/1986, de 28 de junio. Evaluación de impacto ambiental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5" w:history="1">
        <w:r w:rsidRPr="00E27756">
          <w:rPr>
            <w:rStyle w:val="TextoNormalCaracter"/>
          </w:rPr>
          <w:t>5/2013</w:t>
        </w:r>
      </w:hyperlink>
      <w:r>
        <w:t xml:space="preserve">, f. 2; </w:t>
      </w:r>
      <w:hyperlink w:anchor="SENTENCIA_2013_104" w:history="1">
        <w:r w:rsidRPr="00E27756">
          <w:rPr>
            <w:rStyle w:val="TextoNormalCaracter"/>
          </w:rPr>
          <w:t>104/2013</w:t>
        </w:r>
      </w:hyperlink>
      <w:r>
        <w:t xml:space="preserve">, f. 7; </w:t>
      </w:r>
      <w:hyperlink w:anchor="SENTENCIA_2013_111" w:history="1">
        <w:r w:rsidRPr="00E27756">
          <w:rPr>
            <w:rStyle w:val="TextoNormalCaracter"/>
          </w:rPr>
          <w:t>111/2013</w:t>
        </w:r>
      </w:hyperlink>
      <w:r>
        <w:t>, f. 2.</w:t>
      </w:r>
    </w:p>
    <w:p w:rsidR="00E27756" w:rsidRDefault="00E27756" w:rsidP="00E27756">
      <w:pPr>
        <w:pStyle w:val="SangriaFrancesaArticulo"/>
      </w:pPr>
      <w:r w:rsidRPr="00E27756">
        <w:rPr>
          <w:rStyle w:val="TextoNormalNegritaCaracter"/>
        </w:rPr>
        <w:t>Artículo 6.4.</w:t>
      </w:r>
      <w:r w:rsidRPr="00E27756">
        <w:rPr>
          <w:rStyle w:val="TextoNormalCaracter"/>
        </w:rPr>
        <w:t>-</w:t>
      </w:r>
      <w:r>
        <w:t xml:space="preserve"> Sentencia </w:t>
      </w:r>
      <w:hyperlink w:anchor="SENTENCIA_2013_104" w:history="1">
        <w:r w:rsidRPr="00E27756">
          <w:rPr>
            <w:rStyle w:val="TextoNormalCaracter"/>
          </w:rPr>
          <w:t>104/2013</w:t>
        </w:r>
      </w:hyperlink>
      <w:r>
        <w:t>, f. 7.</w:t>
      </w:r>
    </w:p>
    <w:p w:rsidR="00E27756" w:rsidRDefault="00E27756" w:rsidP="00E27756">
      <w:pPr>
        <w:pStyle w:val="SangriaFrancesaArticulo"/>
      </w:pPr>
      <w:r w:rsidRPr="00E27756">
        <w:rPr>
          <w:rStyle w:val="TextoNormalNegritaCaracter"/>
        </w:rPr>
        <w:t>Disposición adicional cuarta</w:t>
      </w:r>
      <w:r>
        <w:t xml:space="preserve"> </w:t>
      </w:r>
      <w:r w:rsidRPr="00E27756">
        <w:rPr>
          <w:rStyle w:val="TextoNormalCaracter"/>
        </w:rPr>
        <w:t>(redactada por la Ley 62/2003, de 30 de diciembre)</w:t>
      </w:r>
      <w:r w:rsidRPr="00E27756">
        <w:rPr>
          <w:rStyle w:val="TextoNormalNegritaCaracter"/>
        </w:rPr>
        <w:t>.</w:t>
      </w:r>
      <w:r w:rsidRPr="00E27756">
        <w:rPr>
          <w:rStyle w:val="TextoNormalCaracter"/>
        </w:rPr>
        <w:t>-</w:t>
      </w:r>
      <w:r>
        <w:t xml:space="preserve"> Sentencias </w:t>
      </w:r>
      <w:hyperlink w:anchor="SENTENCIA_2013_59" w:history="1">
        <w:r w:rsidRPr="00E27756">
          <w:rPr>
            <w:rStyle w:val="TextoNormalCaracter"/>
          </w:rPr>
          <w:t>59/2013</w:t>
        </w:r>
      </w:hyperlink>
      <w:r>
        <w:t xml:space="preserve">, f. 2; </w:t>
      </w:r>
      <w:hyperlink w:anchor="SENTENCIA_2013_104" w:history="1">
        <w:r w:rsidRPr="00E27756">
          <w:rPr>
            <w:rStyle w:val="TextoNormalCaracter"/>
          </w:rPr>
          <w:t>104/2013</w:t>
        </w:r>
      </w:hyperlink>
      <w:r>
        <w:t xml:space="preserve">, ff. 1, 2, 7; </w:t>
      </w:r>
      <w:hyperlink w:anchor="SENTENCIA_2013_111" w:history="1">
        <w:r w:rsidRPr="00E27756">
          <w:rPr>
            <w:rStyle w:val="TextoNormalCaracter"/>
          </w:rPr>
          <w:t>111/2013</w:t>
        </w:r>
      </w:hyperlink>
      <w:r>
        <w:t>, ff. 1 a 3.</w:t>
      </w:r>
    </w:p>
    <w:p w:rsidR="00E27756" w:rsidRDefault="00E27756" w:rsidP="00E27756">
      <w:pPr>
        <w:pStyle w:val="SangriaFrancesaArticulo"/>
      </w:pPr>
      <w:r w:rsidRPr="00E27756">
        <w:rPr>
          <w:rStyle w:val="TextoNormalNegritaCaracter"/>
        </w:rPr>
        <w:t>Disposición adicional cuarta</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Sentencias </w:t>
      </w:r>
      <w:hyperlink w:anchor="SENTENCIA_2013_59" w:history="1">
        <w:r w:rsidRPr="00E27756">
          <w:rPr>
            <w:rStyle w:val="TextoNormalCaracter"/>
          </w:rPr>
          <w:t>59/2013</w:t>
        </w:r>
      </w:hyperlink>
      <w:r>
        <w:t xml:space="preserve">, f. 2; </w:t>
      </w:r>
      <w:hyperlink w:anchor="SENTENCIA_2013_111" w:history="1">
        <w:r w:rsidRPr="00E27756">
          <w:rPr>
            <w:rStyle w:val="TextoNormalCaracter"/>
          </w:rPr>
          <w:t>111/2013</w:t>
        </w:r>
      </w:hyperlink>
      <w:r>
        <w:t>, ff. 1 a 3.</w:t>
      </w:r>
    </w:p>
    <w:p w:rsidR="00E27756" w:rsidRDefault="00E27756" w:rsidP="00E27756">
      <w:pPr>
        <w:pStyle w:val="SangriaFrancesaArticulo"/>
      </w:pPr>
    </w:p>
    <w:p w:rsidR="00E27756" w:rsidRDefault="00E27756" w:rsidP="00E27756">
      <w:pPr>
        <w:pStyle w:val="TextoNormalNegritaCursivandice"/>
      </w:pPr>
      <w:r>
        <w:t>Real Decreto Legislativo 1091/1988, de 23 de septiembre. Texto refundido de  la Ley general presupuestaria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5" w:history="1">
        <w:r w:rsidRPr="00E27756">
          <w:rPr>
            <w:rStyle w:val="TextoNormalCaracter"/>
          </w:rPr>
          <w:t>65/2013</w:t>
        </w:r>
      </w:hyperlink>
      <w:r>
        <w:t>, f. 2.</w:t>
      </w:r>
    </w:p>
    <w:p w:rsidR="00E27756" w:rsidRDefault="00E27756" w:rsidP="00E27756">
      <w:pPr>
        <w:pStyle w:val="SangriaFrancesaArticulo"/>
      </w:pPr>
      <w:r w:rsidRPr="00E27756">
        <w:rPr>
          <w:rStyle w:val="TextoNormalNegritaCaracter"/>
        </w:rPr>
        <w:t>Artículo 153</w:t>
      </w:r>
      <w:r>
        <w:t xml:space="preserve"> </w:t>
      </w:r>
      <w:r w:rsidRPr="00E27756">
        <w:rPr>
          <w:rStyle w:val="TextoNormalCaracter"/>
        </w:rPr>
        <w:t>(redactado por la Ley 47/2003, de 26 de noviembre)</w:t>
      </w:r>
      <w:r w:rsidRPr="00E27756">
        <w:rPr>
          <w:rStyle w:val="TextoNormalNegritaCaracter"/>
        </w:rPr>
        <w:t>.</w:t>
      </w:r>
      <w:r w:rsidRPr="00E27756">
        <w:rPr>
          <w:rStyle w:val="TextoNormalCaracter"/>
        </w:rPr>
        <w:t>-</w:t>
      </w:r>
      <w:r>
        <w:t xml:space="preserve"> Sentencia </w:t>
      </w:r>
      <w:hyperlink w:anchor="SENTENCIA_2013_130" w:history="1">
        <w:r w:rsidRPr="00E27756">
          <w:rPr>
            <w:rStyle w:val="TextoNormalCaracter"/>
          </w:rPr>
          <w:t>130/2013</w:t>
        </w:r>
      </w:hyperlink>
      <w:r>
        <w:t>, f. 12.</w:t>
      </w:r>
    </w:p>
    <w:p w:rsidR="00E27756" w:rsidRDefault="00E27756" w:rsidP="00E27756">
      <w:pPr>
        <w:pStyle w:val="SangriaFrancesaArticulo"/>
      </w:pPr>
      <w:r w:rsidRPr="00E27756">
        <w:rPr>
          <w:rStyle w:val="TextoNormalNegritaCaracter"/>
        </w:rPr>
        <w:t>Artículo 153.2.</w:t>
      </w:r>
      <w:r w:rsidRPr="00E27756">
        <w:rPr>
          <w:rStyle w:val="TextoNormalCaracter"/>
        </w:rPr>
        <w:t>-</w:t>
      </w:r>
      <w:r>
        <w:t xml:space="preserve"> Sentencia </w:t>
      </w:r>
      <w:hyperlink w:anchor="SENTENCIA_2013_35" w:history="1">
        <w:r w:rsidRPr="00E27756">
          <w:rPr>
            <w:rStyle w:val="TextoNormalCaracter"/>
          </w:rPr>
          <w:t>35/2013</w:t>
        </w:r>
      </w:hyperlink>
      <w:r>
        <w:t>, f. 7.</w:t>
      </w:r>
    </w:p>
    <w:p w:rsidR="00E27756" w:rsidRDefault="00E27756" w:rsidP="00E27756">
      <w:pPr>
        <w:pStyle w:val="SangriaFrancesaArticulo"/>
      </w:pPr>
      <w:r w:rsidRPr="00E27756">
        <w:rPr>
          <w:rStyle w:val="TextoNormalNegritaCaracter"/>
        </w:rPr>
        <w:t>Artículo 153.2.8.</w:t>
      </w:r>
      <w:r w:rsidRPr="00E27756">
        <w:rPr>
          <w:rStyle w:val="TextoNormalCaracter"/>
        </w:rPr>
        <w:t>-</w:t>
      </w:r>
      <w:r>
        <w:t xml:space="preserve"> Sentencia </w:t>
      </w:r>
      <w:hyperlink w:anchor="SENTENCIA_2013_130" w:history="1">
        <w:r w:rsidRPr="00E27756">
          <w:rPr>
            <w:rStyle w:val="TextoNormalCaracter"/>
          </w:rPr>
          <w:t>130/2013</w:t>
        </w:r>
      </w:hyperlink>
      <w:r>
        <w:t>, f. 12.</w:t>
      </w:r>
    </w:p>
    <w:p w:rsidR="00E27756" w:rsidRDefault="00E27756" w:rsidP="00E27756">
      <w:pPr>
        <w:pStyle w:val="SangriaFrancesaArticulo"/>
      </w:pPr>
    </w:p>
    <w:p w:rsidR="00E27756" w:rsidRDefault="00E27756" w:rsidP="00E27756">
      <w:pPr>
        <w:pStyle w:val="TextoNormalNegritaCursivandice"/>
      </w:pPr>
      <w:r>
        <w:t>Real Decreto Legislativo 1175/1990, de 28 de septiembre. Tarifas e instrucción del impuesto sobre actividades económicas</w:t>
      </w:r>
    </w:p>
    <w:p w:rsidR="00E27756" w:rsidRDefault="00E27756" w:rsidP="00E27756">
      <w:pPr>
        <w:pStyle w:val="SangriaFrancesaArticulo"/>
      </w:pPr>
      <w:r w:rsidRPr="00E27756">
        <w:rPr>
          <w:rStyle w:val="TextoNormalNegritaCaracter"/>
        </w:rPr>
        <w:t>Anexo.</w:t>
      </w:r>
      <w:r w:rsidRPr="00E27756">
        <w:rPr>
          <w:rStyle w:val="TextoNormalCaracter"/>
        </w:rPr>
        <w:t>-</w:t>
      </w:r>
      <w:r>
        <w:t xml:space="preserve"> Sentencia </w:t>
      </w:r>
      <w:hyperlink w:anchor="SENTENCIA_2013_60" w:history="1">
        <w:r w:rsidRPr="00E27756">
          <w:rPr>
            <w:rStyle w:val="TextoNormalCaracter"/>
          </w:rPr>
          <w:t>60/2013</w:t>
        </w:r>
      </w:hyperlink>
      <w:r>
        <w:t>, f. 4.</w:t>
      </w:r>
    </w:p>
    <w:p w:rsidR="00E27756" w:rsidRDefault="00E27756" w:rsidP="00E27756">
      <w:pPr>
        <w:pStyle w:val="SangriaFrancesaArticulo"/>
      </w:pPr>
      <w:r w:rsidRPr="00E27756">
        <w:rPr>
          <w:rStyle w:val="TextoNormalNegritaCaracter"/>
        </w:rPr>
        <w:t>Anexo, sección 1, epígrafe 143.3.</w:t>
      </w:r>
      <w:r w:rsidRPr="00E27756">
        <w:rPr>
          <w:rStyle w:val="TextoNormalCaracter"/>
        </w:rPr>
        <w:t>-</w:t>
      </w:r>
      <w:r>
        <w:t xml:space="preserve"> Sentencia </w:t>
      </w:r>
      <w:hyperlink w:anchor="SENTENCIA_2013_60" w:history="1">
        <w:r w:rsidRPr="00E27756">
          <w:rPr>
            <w:rStyle w:val="TextoNormalCaracter"/>
          </w:rPr>
          <w:t>60/2013</w:t>
        </w:r>
      </w:hyperlink>
      <w:r>
        <w:t>, f. 6.</w:t>
      </w:r>
    </w:p>
    <w:p w:rsidR="00E27756" w:rsidRDefault="00E27756" w:rsidP="00E27756">
      <w:pPr>
        <w:pStyle w:val="SangriaFrancesaArticulo"/>
      </w:pPr>
      <w:r w:rsidRPr="00E27756">
        <w:rPr>
          <w:rStyle w:val="TextoNormalNegritaCaracter"/>
        </w:rPr>
        <w:t>Anexo, sección 1, epígrafe 151.3.</w:t>
      </w:r>
      <w:r w:rsidRPr="00E27756">
        <w:rPr>
          <w:rStyle w:val="TextoNormalCaracter"/>
        </w:rPr>
        <w:t>-</w:t>
      </w:r>
      <w:r>
        <w:t xml:space="preserve"> Sentencia </w:t>
      </w:r>
      <w:hyperlink w:anchor="SENTENCIA_2013_60" w:history="1">
        <w:r w:rsidRPr="00E27756">
          <w:rPr>
            <w:rStyle w:val="TextoNormalCaracter"/>
          </w:rPr>
          <w:t>60/2013</w:t>
        </w:r>
      </w:hyperlink>
      <w:r>
        <w:t>, f. 5.</w:t>
      </w:r>
    </w:p>
    <w:p w:rsidR="00E27756" w:rsidRDefault="00E27756" w:rsidP="00E27756">
      <w:pPr>
        <w:pStyle w:val="SangriaFrancesaArticulo"/>
      </w:pPr>
    </w:p>
    <w:p w:rsidR="00E27756" w:rsidRDefault="00E27756" w:rsidP="00E27756">
      <w:pPr>
        <w:pStyle w:val="TextoNormalNegritaCursivandice"/>
      </w:pPr>
      <w:r>
        <w:t>Real Decreto Legislativo 1/1992, de 26 de junio. Texto refundido de la Ley sobre el régimen del suelo y ordenación urbana</w:t>
      </w:r>
    </w:p>
    <w:p w:rsidR="00E27756" w:rsidRDefault="00E27756" w:rsidP="00E27756">
      <w:pPr>
        <w:pStyle w:val="SangriaFrancesaArticulo"/>
      </w:pPr>
      <w:r w:rsidRPr="00E27756">
        <w:rPr>
          <w:rStyle w:val="TextoNormalNegritaCaracter"/>
        </w:rPr>
        <w:t>Artículo 35.</w:t>
      </w:r>
      <w:r w:rsidRPr="00E27756">
        <w:rPr>
          <w:rStyle w:val="TextoNormalCaracter"/>
        </w:rPr>
        <w:t>-</w:t>
      </w:r>
      <w:r>
        <w:t xml:space="preserve"> Sentencia </w:t>
      </w:r>
      <w:hyperlink w:anchor="SENTENCIA_2013_94" w:history="1">
        <w:r w:rsidRPr="00E27756">
          <w:rPr>
            <w:rStyle w:val="TextoNormalCaracter"/>
          </w:rPr>
          <w:t>94/2013</w:t>
        </w:r>
      </w:hyperlink>
      <w:r>
        <w:t>, VP I.</w:t>
      </w:r>
    </w:p>
    <w:p w:rsidR="00E27756" w:rsidRDefault="00E27756" w:rsidP="00E27756">
      <w:pPr>
        <w:pStyle w:val="SangriaFrancesaArticulo"/>
      </w:pPr>
      <w:r w:rsidRPr="00E27756">
        <w:rPr>
          <w:rStyle w:val="TextoNormalNegritaCaracter"/>
        </w:rPr>
        <w:t>Artículo 113.2.</w:t>
      </w:r>
      <w:r w:rsidRPr="00E27756">
        <w:rPr>
          <w:rStyle w:val="TextoNormalCaracter"/>
        </w:rPr>
        <w:t>-</w:t>
      </w:r>
      <w:r>
        <w:t xml:space="preserve"> Sentencia </w:t>
      </w:r>
      <w:hyperlink w:anchor="SENTENCIA_2013_130" w:history="1">
        <w:r w:rsidRPr="00E27756">
          <w:rPr>
            <w:rStyle w:val="TextoNormalCaracter"/>
          </w:rPr>
          <w:t>130/2013</w:t>
        </w:r>
      </w:hyperlink>
      <w:r>
        <w:t>, VP.</w:t>
      </w:r>
    </w:p>
    <w:p w:rsidR="00E27756" w:rsidRDefault="00E27756" w:rsidP="00E27756">
      <w:pPr>
        <w:pStyle w:val="SangriaFrancesaArticulo"/>
      </w:pPr>
      <w:r w:rsidRPr="00E27756">
        <w:rPr>
          <w:rStyle w:val="TextoNormalNegritaCaracter"/>
        </w:rPr>
        <w:t>Artículo 135.2.</w:t>
      </w:r>
      <w:r w:rsidRPr="00E27756">
        <w:rPr>
          <w:rStyle w:val="TextoNormalCaracter"/>
        </w:rPr>
        <w:t>-</w:t>
      </w:r>
      <w:r>
        <w:t xml:space="preserve"> Sentencia </w:t>
      </w:r>
      <w:hyperlink w:anchor="SENTENCIA_2013_94" w:history="1">
        <w:r w:rsidRPr="00E27756">
          <w:rPr>
            <w:rStyle w:val="TextoNormalCaracter"/>
          </w:rPr>
          <w:t>94/2013</w:t>
        </w:r>
      </w:hyperlink>
      <w:r>
        <w:t>, f. 6, VP I.</w:t>
      </w:r>
    </w:p>
    <w:p w:rsidR="00E27756" w:rsidRDefault="00E27756" w:rsidP="00E27756">
      <w:pPr>
        <w:pStyle w:val="SangriaFrancesaArticulo"/>
      </w:pPr>
      <w:r w:rsidRPr="00E27756">
        <w:rPr>
          <w:rStyle w:val="TextoNormalNegritaCaracter"/>
        </w:rPr>
        <w:t>Artículo 166.1 a).</w:t>
      </w:r>
      <w:r w:rsidRPr="00E27756">
        <w:rPr>
          <w:rStyle w:val="TextoNormalCaracter"/>
        </w:rPr>
        <w:t>-</w:t>
      </w:r>
      <w:r>
        <w:t xml:space="preserve"> Sentencia </w:t>
      </w:r>
      <w:hyperlink w:anchor="SENTENCIA_2013_94" w:history="1">
        <w:r w:rsidRPr="00E27756">
          <w:rPr>
            <w:rStyle w:val="TextoNormalCaracter"/>
          </w:rPr>
          <w:t>94/2013</w:t>
        </w:r>
      </w:hyperlink>
      <w:r>
        <w:t>, VP I.</w:t>
      </w:r>
    </w:p>
    <w:p w:rsidR="00E27756" w:rsidRDefault="00E27756" w:rsidP="00E27756">
      <w:pPr>
        <w:pStyle w:val="SangriaFrancesaArticulo"/>
      </w:pPr>
      <w:r w:rsidRPr="00E27756">
        <w:rPr>
          <w:rStyle w:val="TextoNormalNegritaCaracter"/>
        </w:rPr>
        <w:t>Artículo 166.1 c).</w:t>
      </w:r>
      <w:r w:rsidRPr="00E27756">
        <w:rPr>
          <w:rStyle w:val="TextoNormalCaracter"/>
        </w:rPr>
        <w:t>-</w:t>
      </w:r>
      <w:r>
        <w:t xml:space="preserve"> Sentencia </w:t>
      </w:r>
      <w:hyperlink w:anchor="SENTENCIA_2013_94" w:history="1">
        <w:r w:rsidRPr="00E27756">
          <w:rPr>
            <w:rStyle w:val="TextoNormalCaracter"/>
          </w:rPr>
          <w:t>94/2013</w:t>
        </w:r>
      </w:hyperlink>
      <w:r>
        <w:t>, VP I.</w:t>
      </w:r>
    </w:p>
    <w:p w:rsidR="00E27756" w:rsidRDefault="00E27756" w:rsidP="00E27756">
      <w:pPr>
        <w:pStyle w:val="SangriaFrancesaArticulo"/>
      </w:pPr>
      <w:r w:rsidRPr="00E27756">
        <w:rPr>
          <w:rStyle w:val="TextoNormalNegritaCaracter"/>
        </w:rPr>
        <w:t>Artículo 244.</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p>
    <w:p w:rsidR="00E27756" w:rsidRDefault="00E27756" w:rsidP="00E27756">
      <w:pPr>
        <w:pStyle w:val="TextoNormalNegritaCursivandice"/>
      </w:pPr>
      <w:r>
        <w:t>Real Decreto Legislativo 1/1994, de 20 de junio. Texto refundido de la Ley general de la Seguridad Social</w:t>
      </w:r>
    </w:p>
    <w:p w:rsidR="00E27756" w:rsidRDefault="00E27756" w:rsidP="00E27756">
      <w:pPr>
        <w:pStyle w:val="SangriaFrancesaArticulo"/>
      </w:pPr>
      <w:r w:rsidRPr="00E27756">
        <w:rPr>
          <w:rStyle w:val="TextoNormalNegritaCaracter"/>
        </w:rPr>
        <w:t>Artículo 36.</w:t>
      </w:r>
      <w:r w:rsidRPr="00E27756">
        <w:rPr>
          <w:rStyle w:val="TextoNormalCaracter"/>
        </w:rPr>
        <w:t>-</w:t>
      </w:r>
      <w:r>
        <w:t xml:space="preserve"> Sentencia </w:t>
      </w:r>
      <w:hyperlink w:anchor="SENTENCIA_2013_17" w:history="1">
        <w:r w:rsidRPr="00E27756">
          <w:rPr>
            <w:rStyle w:val="TextoNormalCaracter"/>
          </w:rPr>
          <w:t>17/2013</w:t>
        </w:r>
      </w:hyperlink>
      <w:r>
        <w:t>, f. 8.</w:t>
      </w:r>
    </w:p>
    <w:p w:rsidR="00E27756" w:rsidRDefault="00E27756" w:rsidP="00E27756">
      <w:pPr>
        <w:pStyle w:val="SangriaFrancesaArticulo"/>
      </w:pPr>
      <w:r w:rsidRPr="00E27756">
        <w:rPr>
          <w:rStyle w:val="TextoNormalNegritaCaracter"/>
        </w:rPr>
        <w:t>Artículo 161.1 b).</w:t>
      </w:r>
      <w:r w:rsidRPr="00E27756">
        <w:rPr>
          <w:rStyle w:val="TextoNormalCaracter"/>
        </w:rPr>
        <w:t>-</w:t>
      </w:r>
      <w:r>
        <w:t xml:space="preserve"> Sentencias </w:t>
      </w:r>
      <w:hyperlink w:anchor="SENTENCIA_2013_72" w:history="1">
        <w:r w:rsidRPr="00E27756">
          <w:rPr>
            <w:rStyle w:val="TextoNormalCaracter"/>
          </w:rPr>
          <w:t>72/2013</w:t>
        </w:r>
      </w:hyperlink>
      <w:r>
        <w:t xml:space="preserve">, f. 1; </w:t>
      </w:r>
      <w:hyperlink w:anchor="SENTENCIA_2013_117" w:history="1">
        <w:r w:rsidRPr="00E27756">
          <w:rPr>
            <w:rStyle w:val="TextoNormalCaracter"/>
          </w:rPr>
          <w:t>117/2013</w:t>
        </w:r>
      </w:hyperlink>
      <w:r>
        <w:t>, f. 1.</w:t>
      </w:r>
    </w:p>
    <w:p w:rsidR="00E27756" w:rsidRDefault="00E27756" w:rsidP="00E27756">
      <w:pPr>
        <w:pStyle w:val="SangriaFrancesaArticulo"/>
      </w:pPr>
      <w:r w:rsidRPr="00E27756">
        <w:rPr>
          <w:rStyle w:val="TextoNormalNegritaCaracter"/>
        </w:rPr>
        <w:t>Artículo 174.</w:t>
      </w:r>
      <w:r w:rsidRPr="00E27756">
        <w:rPr>
          <w:rStyle w:val="TextoNormalCaracter"/>
        </w:rPr>
        <w:t>-</w:t>
      </w:r>
      <w:r>
        <w:t xml:space="preserve"> Sentencia </w:t>
      </w:r>
      <w:hyperlink w:anchor="SENTENCIA_2013_41" w:history="1">
        <w:r w:rsidRPr="00E27756">
          <w:rPr>
            <w:rStyle w:val="TextoNormalCaracter"/>
          </w:rPr>
          <w:t>41/2013</w:t>
        </w:r>
      </w:hyperlink>
      <w:r>
        <w:t>, VP I.</w:t>
      </w:r>
    </w:p>
    <w:p w:rsidR="00E27756" w:rsidRDefault="00E27756" w:rsidP="00E27756">
      <w:pPr>
        <w:pStyle w:val="SangriaFrancesaArticulo"/>
      </w:pPr>
      <w:r w:rsidRPr="00E27756">
        <w:rPr>
          <w:rStyle w:val="TextoNormalNegritaCaracter"/>
        </w:rPr>
        <w:t>Artículo 174.1.</w:t>
      </w:r>
      <w:r w:rsidRPr="00E27756">
        <w:rPr>
          <w:rStyle w:val="TextoNormalCaracter"/>
        </w:rPr>
        <w:t>-</w:t>
      </w:r>
      <w:r>
        <w:t xml:space="preserve"> Sentencia </w:t>
      </w:r>
      <w:hyperlink w:anchor="SENTENCIA_2013_41" w:history="1">
        <w:r w:rsidRPr="00E27756">
          <w:rPr>
            <w:rStyle w:val="TextoNormalCaracter"/>
          </w:rPr>
          <w:t>41/2013</w:t>
        </w:r>
      </w:hyperlink>
      <w:r>
        <w:t>, ff. 1, 4, 5, VP I.</w:t>
      </w:r>
    </w:p>
    <w:p w:rsidR="00E27756" w:rsidRDefault="00E27756" w:rsidP="00E27756">
      <w:pPr>
        <w:pStyle w:val="SangriaIzquierdaArticulo"/>
      </w:pPr>
      <w:r>
        <w:t xml:space="preserve">Auto </w:t>
      </w:r>
      <w:hyperlink w:anchor="AUTO_2013_8" w:history="1">
        <w:r w:rsidRPr="00E27756">
          <w:rPr>
            <w:rStyle w:val="TextoNormalCaracter"/>
          </w:rPr>
          <w:t>8/2013</w:t>
        </w:r>
      </w:hyperlink>
      <w:r>
        <w:t>, f. único.</w:t>
      </w:r>
    </w:p>
    <w:p w:rsidR="00E27756" w:rsidRDefault="00E27756" w:rsidP="00E27756">
      <w:pPr>
        <w:pStyle w:val="SangriaFrancesaArticulo"/>
      </w:pPr>
      <w:r w:rsidRPr="00E27756">
        <w:rPr>
          <w:rStyle w:val="TextoNormalNegritaCaracter"/>
        </w:rPr>
        <w:lastRenderedPageBreak/>
        <w:t>Artículo 174.3.</w:t>
      </w:r>
      <w:r w:rsidRPr="00E27756">
        <w:rPr>
          <w:rStyle w:val="TextoNormalCaracter"/>
        </w:rPr>
        <w:t>-</w:t>
      </w:r>
      <w:r>
        <w:t xml:space="preserve"> Sentencias </w:t>
      </w:r>
      <w:hyperlink w:anchor="SENTENCIA_2013_41" w:history="1">
        <w:r w:rsidRPr="00E27756">
          <w:rPr>
            <w:rStyle w:val="TextoNormalCaracter"/>
          </w:rPr>
          <w:t>41/2013</w:t>
        </w:r>
      </w:hyperlink>
      <w:r>
        <w:t xml:space="preserve">, ff. 4, 7, VP I; </w:t>
      </w:r>
      <w:hyperlink w:anchor="SENTENCIA_2013_81" w:history="1">
        <w:r w:rsidRPr="00E27756">
          <w:rPr>
            <w:rStyle w:val="TextoNormalCaracter"/>
          </w:rPr>
          <w:t>81/2013</w:t>
        </w:r>
      </w:hyperlink>
      <w:r>
        <w:t>, VP.</w:t>
      </w:r>
    </w:p>
    <w:p w:rsidR="00E27756" w:rsidRDefault="00E27756" w:rsidP="00E27756">
      <w:pPr>
        <w:pStyle w:val="SangriaFrancesaArticulo"/>
      </w:pPr>
      <w:r w:rsidRPr="00E27756">
        <w:rPr>
          <w:rStyle w:val="TextoNormalNegritaCaracter"/>
        </w:rPr>
        <w:t>Artículo 174.3 párrafo 4.</w:t>
      </w:r>
      <w:r w:rsidRPr="00E27756">
        <w:rPr>
          <w:rStyle w:val="TextoNormalCaracter"/>
        </w:rPr>
        <w:t>-</w:t>
      </w:r>
      <w:r>
        <w:t xml:space="preserve"> Sentencia </w:t>
      </w:r>
      <w:hyperlink w:anchor="SENTENCIA_2013_41" w:history="1">
        <w:r w:rsidRPr="00E27756">
          <w:rPr>
            <w:rStyle w:val="TextoNormalCaracter"/>
          </w:rPr>
          <w:t>41/2013</w:t>
        </w:r>
      </w:hyperlink>
      <w:r>
        <w:t>, ff. 1, VP I.</w:t>
      </w:r>
    </w:p>
    <w:p w:rsidR="00E27756" w:rsidRDefault="00E27756" w:rsidP="00E27756">
      <w:pPr>
        <w:pStyle w:val="SangriaFrancesaArticulo"/>
      </w:pPr>
      <w:r w:rsidRPr="00E27756">
        <w:rPr>
          <w:rStyle w:val="TextoNormalNegritaCaracter"/>
        </w:rPr>
        <w:t>Artículo 179.1.</w:t>
      </w:r>
      <w:r w:rsidRPr="00E27756">
        <w:rPr>
          <w:rStyle w:val="TextoNormalCaracter"/>
        </w:rPr>
        <w:t>-</w:t>
      </w:r>
      <w:r>
        <w:t xml:space="preserve"> Sentencia </w:t>
      </w:r>
      <w:hyperlink w:anchor="SENTENCIA_2013_41" w:history="1">
        <w:r w:rsidRPr="00E27756">
          <w:rPr>
            <w:rStyle w:val="TextoNormalCaracter"/>
          </w:rPr>
          <w:t>41/2013</w:t>
        </w:r>
      </w:hyperlink>
      <w:r>
        <w:t>, f. 5.</w:t>
      </w:r>
    </w:p>
    <w:p w:rsidR="00E27756" w:rsidRDefault="00E27756" w:rsidP="00E27756">
      <w:pPr>
        <w:pStyle w:val="SangriaFrancesaArticulo"/>
      </w:pPr>
      <w:r w:rsidRPr="00E27756">
        <w:rPr>
          <w:rStyle w:val="TextoNormalNegritaCaracter"/>
        </w:rPr>
        <w:t>Artículo 203.</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r w:rsidRPr="00E27756">
        <w:rPr>
          <w:rStyle w:val="TextoNormalNegritaCaracter"/>
        </w:rPr>
        <w:t>Disposición adicional séptima.</w:t>
      </w:r>
      <w:r w:rsidRPr="00E27756">
        <w:rPr>
          <w:rStyle w:val="TextoNormalCaracter"/>
        </w:rPr>
        <w:t>-</w:t>
      </w:r>
      <w:r>
        <w:t xml:space="preserve"> Sentencia </w:t>
      </w:r>
      <w:hyperlink w:anchor="SENTENCIA_2013_116" w:history="1">
        <w:r w:rsidRPr="00E27756">
          <w:rPr>
            <w:rStyle w:val="TextoNormalCaracter"/>
          </w:rPr>
          <w:t>116/2013</w:t>
        </w:r>
      </w:hyperlink>
      <w:r>
        <w:t>, f. 1.</w:t>
      </w:r>
    </w:p>
    <w:p w:rsidR="00E27756" w:rsidRDefault="00E27756" w:rsidP="00E27756">
      <w:pPr>
        <w:pStyle w:val="SangriaFrancesaArticulo"/>
      </w:pPr>
      <w:r w:rsidRPr="00E27756">
        <w:rPr>
          <w:rStyle w:val="TextoNormalNegritaCaracter"/>
        </w:rPr>
        <w:t>Disposición adicional séptima, apartado 1 regla 2.</w:t>
      </w:r>
      <w:r w:rsidRPr="00E27756">
        <w:rPr>
          <w:rStyle w:val="TextoNormalCaracter"/>
        </w:rPr>
        <w:t>-</w:t>
      </w:r>
      <w:r>
        <w:t xml:space="preserve"> Autos </w:t>
      </w:r>
      <w:hyperlink w:anchor="AUTO_2013_73" w:history="1">
        <w:r w:rsidRPr="00E27756">
          <w:rPr>
            <w:rStyle w:val="TextoNormalCaracter"/>
          </w:rPr>
          <w:t>73/2013</w:t>
        </w:r>
      </w:hyperlink>
      <w:r>
        <w:t xml:space="preserve">, f. único; </w:t>
      </w:r>
      <w:hyperlink w:anchor="AUTO_2013_77" w:history="1">
        <w:r w:rsidRPr="00E27756">
          <w:rPr>
            <w:rStyle w:val="TextoNormalCaracter"/>
          </w:rPr>
          <w:t>77/2013</w:t>
        </w:r>
      </w:hyperlink>
      <w:r>
        <w:t>, f. único.</w:t>
      </w:r>
    </w:p>
    <w:p w:rsidR="00E27756" w:rsidRDefault="00E27756" w:rsidP="00E27756">
      <w:pPr>
        <w:pStyle w:val="SangriaFrancesaArticulo"/>
      </w:pPr>
      <w:r w:rsidRPr="00E27756">
        <w:rPr>
          <w:rStyle w:val="TextoNormalNegritaCaracter"/>
        </w:rPr>
        <w:t>Disposición adicional séptima, apartado 1 regla 2 a).</w:t>
      </w:r>
      <w:r w:rsidRPr="00E27756">
        <w:rPr>
          <w:rStyle w:val="TextoNormalCaracter"/>
        </w:rPr>
        <w:t>-</w:t>
      </w:r>
      <w:r>
        <w:t xml:space="preserve"> Auto </w:t>
      </w:r>
      <w:hyperlink w:anchor="AUTO_2013_76" w:history="1">
        <w:r w:rsidRPr="00E27756">
          <w:rPr>
            <w:rStyle w:val="TextoNormalCaracter"/>
          </w:rPr>
          <w:t>76/2013</w:t>
        </w:r>
      </w:hyperlink>
      <w:r>
        <w:t>, f. único.</w:t>
      </w:r>
    </w:p>
    <w:p w:rsidR="00E27756" w:rsidRDefault="00E27756" w:rsidP="00E27756">
      <w:pPr>
        <w:pStyle w:val="SangriaFrancesaArticulo"/>
      </w:pPr>
      <w:r w:rsidRPr="00E27756">
        <w:rPr>
          <w:rStyle w:val="TextoNormalNegritaCaracter"/>
        </w:rPr>
        <w:t>Disposición adicional séptima</w:t>
      </w:r>
      <w:r>
        <w:t xml:space="preserve"> </w:t>
      </w:r>
      <w:r w:rsidRPr="00E27756">
        <w:rPr>
          <w:rStyle w:val="TextoNormalCaracter"/>
        </w:rPr>
        <w:t>(redactada por el Real Decreto-ley 15/1998, de 27 de noviembre)</w:t>
      </w:r>
      <w:r w:rsidRPr="00E27756">
        <w:rPr>
          <w:rStyle w:val="TextoNormalNegritaCaracter"/>
        </w:rPr>
        <w:t>.</w:t>
      </w:r>
      <w:r w:rsidRPr="00E27756">
        <w:rPr>
          <w:rStyle w:val="TextoNormalCaracter"/>
        </w:rPr>
        <w:t>-</w:t>
      </w:r>
      <w:r>
        <w:t xml:space="preserve"> Sentencias </w:t>
      </w:r>
      <w:hyperlink w:anchor="SENTENCIA_2013_61" w:history="1">
        <w:r w:rsidRPr="00E27756">
          <w:rPr>
            <w:rStyle w:val="TextoNormalCaracter"/>
          </w:rPr>
          <w:t>61/2013</w:t>
        </w:r>
      </w:hyperlink>
      <w:r>
        <w:t xml:space="preserve">, ff. 1, 3; </w:t>
      </w:r>
      <w:hyperlink w:anchor="SENTENCIA_2013_72" w:history="1">
        <w:r w:rsidRPr="00E27756">
          <w:rPr>
            <w:rStyle w:val="TextoNormalCaracter"/>
          </w:rPr>
          <w:t>72/2013</w:t>
        </w:r>
      </w:hyperlink>
      <w:r>
        <w:t xml:space="preserve">, f. 1; </w:t>
      </w:r>
      <w:hyperlink w:anchor="SENTENCIA_2013_117" w:history="1">
        <w:r w:rsidRPr="00E27756">
          <w:rPr>
            <w:rStyle w:val="TextoNormalCaracter"/>
          </w:rPr>
          <w:t>117/2013</w:t>
        </w:r>
      </w:hyperlink>
      <w:r>
        <w:t>, f. 1.</w:t>
      </w:r>
    </w:p>
    <w:p w:rsidR="00E27756" w:rsidRDefault="00E27756" w:rsidP="00E27756">
      <w:pPr>
        <w:pStyle w:val="SangriaFrancesaArticulo"/>
      </w:pPr>
      <w:r w:rsidRPr="00E27756">
        <w:rPr>
          <w:rStyle w:val="TextoNormalNegritaCaracter"/>
        </w:rPr>
        <w:t>Disposición adicional séptima, apartado 1 regla 2</w:t>
      </w:r>
      <w:r>
        <w:t xml:space="preserve"> </w:t>
      </w:r>
      <w:r w:rsidRPr="00E27756">
        <w:rPr>
          <w:rStyle w:val="TextoNormalCaracter"/>
        </w:rPr>
        <w:t>(redactada por el Real Decreto-ley 15/1998, de 27 de noviembre)</w:t>
      </w:r>
      <w:r w:rsidRPr="00E27756">
        <w:rPr>
          <w:rStyle w:val="TextoNormalNegritaCaracter"/>
        </w:rPr>
        <w:t>.</w:t>
      </w:r>
      <w:r w:rsidRPr="00E27756">
        <w:rPr>
          <w:rStyle w:val="TextoNormalCaracter"/>
        </w:rPr>
        <w:t>-</w:t>
      </w:r>
      <w:r>
        <w:t xml:space="preserve"> Sentencias </w:t>
      </w:r>
      <w:hyperlink w:anchor="SENTENCIA_2013_61" w:history="1">
        <w:r w:rsidRPr="00E27756">
          <w:rPr>
            <w:rStyle w:val="TextoNormalCaracter"/>
          </w:rPr>
          <w:t>61/2013</w:t>
        </w:r>
      </w:hyperlink>
      <w:r>
        <w:t xml:space="preserve">, ff. 3 a 6; </w:t>
      </w:r>
      <w:hyperlink w:anchor="SENTENCIA_2013_71" w:history="1">
        <w:r w:rsidRPr="00E27756">
          <w:rPr>
            <w:rStyle w:val="TextoNormalCaracter"/>
          </w:rPr>
          <w:t>71/2013</w:t>
        </w:r>
      </w:hyperlink>
      <w:r>
        <w:t xml:space="preserve">, ff. 1 a 4; </w:t>
      </w:r>
      <w:hyperlink w:anchor="SENTENCIA_2013_72" w:history="1">
        <w:r w:rsidRPr="00E27756">
          <w:rPr>
            <w:rStyle w:val="TextoNormalCaracter"/>
          </w:rPr>
          <w:t>72/2013</w:t>
        </w:r>
      </w:hyperlink>
      <w:r>
        <w:t xml:space="preserve">, f. 2; </w:t>
      </w:r>
      <w:hyperlink w:anchor="SENTENCIA_2013_116" w:history="1">
        <w:r w:rsidRPr="00E27756">
          <w:rPr>
            <w:rStyle w:val="TextoNormalCaracter"/>
          </w:rPr>
          <w:t>116/2013</w:t>
        </w:r>
      </w:hyperlink>
      <w:r>
        <w:t xml:space="preserve">, f. 4; </w:t>
      </w:r>
      <w:hyperlink w:anchor="SENTENCIA_2013_117" w:history="1">
        <w:r w:rsidRPr="00E27756">
          <w:rPr>
            <w:rStyle w:val="TextoNormalCaracter"/>
          </w:rPr>
          <w:t>117/2013</w:t>
        </w:r>
      </w:hyperlink>
      <w:r>
        <w:t xml:space="preserve">, f. 2; </w:t>
      </w:r>
      <w:hyperlink w:anchor="SENTENCIA_2013_117" w:history="1">
        <w:r w:rsidRPr="00E27756">
          <w:rPr>
            <w:rStyle w:val="TextoNormalCaracter"/>
          </w:rPr>
          <w:t>117/2013</w:t>
        </w:r>
      </w:hyperlink>
      <w:r>
        <w:t>, f. 2.</w:t>
      </w:r>
    </w:p>
    <w:p w:rsidR="00E27756" w:rsidRDefault="00E27756" w:rsidP="00E27756">
      <w:pPr>
        <w:pStyle w:val="SangriaFrancesaArticulo"/>
      </w:pPr>
      <w:r w:rsidRPr="00E27756">
        <w:rPr>
          <w:rStyle w:val="TextoNormalNegritaCaracter"/>
        </w:rPr>
        <w:t>Disposición adicional séptima, apartado 1 regla 2</w:t>
      </w:r>
      <w:r>
        <w:t xml:space="preserve"> </w:t>
      </w:r>
      <w:r w:rsidRPr="00E27756">
        <w:rPr>
          <w:rStyle w:val="TextoNormalCaracter"/>
        </w:rPr>
        <w:t>(redactado por el Real Decreto-ley 15/1998, de 27 de noviembre)</w:t>
      </w:r>
      <w:r w:rsidRPr="00E27756">
        <w:rPr>
          <w:rStyle w:val="TextoNormalNegritaCaracter"/>
        </w:rPr>
        <w:t>.</w:t>
      </w:r>
      <w:r w:rsidRPr="00E27756">
        <w:rPr>
          <w:rStyle w:val="TextoNormalCaracter"/>
        </w:rPr>
        <w:t>-</w:t>
      </w:r>
      <w:r>
        <w:t xml:space="preserve"> Sentencias </w:t>
      </w:r>
      <w:hyperlink w:anchor="SENTENCIA_2013_61" w:history="1">
        <w:r w:rsidRPr="00E27756">
          <w:rPr>
            <w:rStyle w:val="TextoNormalCaracter"/>
          </w:rPr>
          <w:t>61/2013</w:t>
        </w:r>
      </w:hyperlink>
      <w:r>
        <w:t xml:space="preserve">, ff. 3 a 6; </w:t>
      </w:r>
      <w:hyperlink w:anchor="SENTENCIA_2013_71" w:history="1">
        <w:r w:rsidRPr="00E27756">
          <w:rPr>
            <w:rStyle w:val="TextoNormalCaracter"/>
          </w:rPr>
          <w:t>71/2013</w:t>
        </w:r>
      </w:hyperlink>
      <w:r>
        <w:t xml:space="preserve">, ff. 1 a 4; </w:t>
      </w:r>
      <w:hyperlink w:anchor="SENTENCIA_2013_116" w:history="1">
        <w:r w:rsidRPr="00E27756">
          <w:rPr>
            <w:rStyle w:val="TextoNormalCaracter"/>
          </w:rPr>
          <w:t>116/2013</w:t>
        </w:r>
      </w:hyperlink>
      <w:r>
        <w:t>, f. 4.</w:t>
      </w:r>
    </w:p>
    <w:p w:rsidR="00E27756" w:rsidRDefault="00E27756" w:rsidP="00E27756">
      <w:pPr>
        <w:pStyle w:val="SangriaFrancesaArticulo"/>
      </w:pPr>
      <w:r w:rsidRPr="00E27756">
        <w:rPr>
          <w:rStyle w:val="TextoNormalNegritaCaracter"/>
        </w:rPr>
        <w:t>Disposición adicional séptima, apartado 1 regla 2 a) inciso 1</w:t>
      </w:r>
      <w:r>
        <w:t xml:space="preserve"> </w:t>
      </w:r>
      <w:r w:rsidRPr="00E27756">
        <w:rPr>
          <w:rStyle w:val="TextoNormalCaracter"/>
        </w:rPr>
        <w:t>(redactada por el Real Decreto-ley 15/1998, de 27 de noviembre)</w:t>
      </w:r>
      <w:r w:rsidRPr="00E27756">
        <w:rPr>
          <w:rStyle w:val="TextoNormalNegritaCaracter"/>
        </w:rPr>
        <w:t>.</w:t>
      </w:r>
      <w:r w:rsidRPr="00E27756">
        <w:rPr>
          <w:rStyle w:val="TextoNormalCaracter"/>
        </w:rPr>
        <w:t>-</w:t>
      </w:r>
      <w:r>
        <w:t xml:space="preserve"> Sentencia </w:t>
      </w:r>
      <w:hyperlink w:anchor="SENTENCIA_2013_61" w:history="1">
        <w:r w:rsidRPr="00E27756">
          <w:rPr>
            <w:rStyle w:val="TextoNormalCaracter"/>
          </w:rPr>
          <w:t>61/2013</w:t>
        </w:r>
      </w:hyperlink>
      <w:r>
        <w:t>, ff. 1, 3, 6.</w:t>
      </w:r>
    </w:p>
    <w:p w:rsidR="00E27756" w:rsidRDefault="00E27756" w:rsidP="00E27756">
      <w:pPr>
        <w:pStyle w:val="SangriaFrancesaArticulo"/>
      </w:pPr>
      <w:r w:rsidRPr="00E27756">
        <w:rPr>
          <w:rStyle w:val="TextoNormalNegritaCaracter"/>
        </w:rPr>
        <w:t>Disposición adicional séptima, apartado 1 regla 2 a) inciso 1</w:t>
      </w:r>
      <w:r>
        <w:t xml:space="preserve"> </w:t>
      </w:r>
      <w:r w:rsidRPr="00E27756">
        <w:rPr>
          <w:rStyle w:val="TextoNormalCaracter"/>
        </w:rPr>
        <w:t>(redactada por la Ley Orgánica 3/2007, de 22 de marzo)</w:t>
      </w:r>
      <w:r w:rsidRPr="00E27756">
        <w:rPr>
          <w:rStyle w:val="TextoNormalNegritaCaracter"/>
        </w:rPr>
        <w:t>.</w:t>
      </w:r>
      <w:r w:rsidRPr="00E27756">
        <w:rPr>
          <w:rStyle w:val="TextoNormalCaracter"/>
        </w:rPr>
        <w:t>-</w:t>
      </w:r>
      <w:r>
        <w:t xml:space="preserve"> Sentencia </w:t>
      </w:r>
      <w:hyperlink w:anchor="SENTENCIA_2013_61" w:history="1">
        <w:r w:rsidRPr="00E27756">
          <w:rPr>
            <w:rStyle w:val="TextoNormalCaracter"/>
          </w:rPr>
          <w:t>61/2013</w:t>
        </w:r>
      </w:hyperlink>
      <w:r>
        <w:t>, f. 3.</w:t>
      </w:r>
    </w:p>
    <w:p w:rsidR="00E27756" w:rsidRDefault="00E27756" w:rsidP="00E27756">
      <w:pPr>
        <w:pStyle w:val="SangriaFrancesaArticulo"/>
      </w:pPr>
      <w:r w:rsidRPr="00E27756">
        <w:rPr>
          <w:rStyle w:val="TextoNormalNegritaCaracter"/>
        </w:rPr>
        <w:t>Disposición adicional séptima, apartado 1 regla 2 a) inciso 1</w:t>
      </w:r>
      <w:r>
        <w:t xml:space="preserve"> </w:t>
      </w:r>
      <w:r w:rsidRPr="00E27756">
        <w:rPr>
          <w:rStyle w:val="TextoNormalCaracter"/>
        </w:rPr>
        <w:t>(redactado por el Real Decreto-ley 15/1998, de 27 de noviembre)</w:t>
      </w:r>
      <w:r w:rsidRPr="00E27756">
        <w:rPr>
          <w:rStyle w:val="TextoNormalNegritaCaracter"/>
        </w:rPr>
        <w:t>.</w:t>
      </w:r>
      <w:r w:rsidRPr="00E27756">
        <w:rPr>
          <w:rStyle w:val="TextoNormalCaracter"/>
        </w:rPr>
        <w:t>-</w:t>
      </w:r>
      <w:r>
        <w:t xml:space="preserve"> Sentencia </w:t>
      </w:r>
      <w:hyperlink w:anchor="SENTENCIA_2013_61" w:history="1">
        <w:r w:rsidRPr="00E27756">
          <w:rPr>
            <w:rStyle w:val="TextoNormalCaracter"/>
          </w:rPr>
          <w:t>61/2013</w:t>
        </w:r>
      </w:hyperlink>
      <w:r>
        <w:t>, ff. 1, 3, 6.</w:t>
      </w:r>
    </w:p>
    <w:p w:rsidR="00E27756" w:rsidRDefault="00E27756" w:rsidP="00E27756">
      <w:pPr>
        <w:pStyle w:val="SangriaFrancesaArticulo"/>
      </w:pPr>
      <w:r w:rsidRPr="00E27756">
        <w:rPr>
          <w:rStyle w:val="TextoNormalNegritaCaracter"/>
        </w:rPr>
        <w:t>Disposición adicional séptima, apartado 1 regla 2 a) inciso 1</w:t>
      </w:r>
      <w:r>
        <w:t xml:space="preserve"> </w:t>
      </w:r>
      <w:r w:rsidRPr="00E27756">
        <w:rPr>
          <w:rStyle w:val="TextoNormalCaracter"/>
        </w:rPr>
        <w:t>(redactado por la Ley Orgánica 3/2007, de 22 de marzo)</w:t>
      </w:r>
      <w:r w:rsidRPr="00E27756">
        <w:rPr>
          <w:rStyle w:val="TextoNormalNegritaCaracter"/>
        </w:rPr>
        <w:t>.</w:t>
      </w:r>
      <w:r w:rsidRPr="00E27756">
        <w:rPr>
          <w:rStyle w:val="TextoNormalCaracter"/>
        </w:rPr>
        <w:t>-</w:t>
      </w:r>
      <w:r>
        <w:t xml:space="preserve"> Sentencia </w:t>
      </w:r>
      <w:hyperlink w:anchor="SENTENCIA_2013_61" w:history="1">
        <w:r w:rsidRPr="00E27756">
          <w:rPr>
            <w:rStyle w:val="TextoNormalCaracter"/>
          </w:rPr>
          <w:t>61/2013</w:t>
        </w:r>
      </w:hyperlink>
      <w:r>
        <w:t>, f. 3.</w:t>
      </w:r>
    </w:p>
    <w:p w:rsidR="00E27756" w:rsidRDefault="00E27756" w:rsidP="00E27756">
      <w:pPr>
        <w:pStyle w:val="SangriaFrancesaArticulo"/>
      </w:pPr>
      <w:r w:rsidRPr="00E27756">
        <w:rPr>
          <w:rStyle w:val="TextoNormalNegritaCaracter"/>
        </w:rPr>
        <w:t>Disposición adicional séptima, apartado 1 regla 2 a) inciso 2</w:t>
      </w:r>
      <w:r>
        <w:t xml:space="preserve"> </w:t>
      </w:r>
      <w:r w:rsidRPr="00E27756">
        <w:rPr>
          <w:rStyle w:val="TextoNormalCaracter"/>
        </w:rPr>
        <w:t>(redactada por el Real Decreto-ley 15/1998, de 27 de noviembre)</w:t>
      </w:r>
      <w:r w:rsidRPr="00E27756">
        <w:rPr>
          <w:rStyle w:val="TextoNormalNegritaCaracter"/>
        </w:rPr>
        <w:t>.</w:t>
      </w:r>
      <w:r w:rsidRPr="00E27756">
        <w:rPr>
          <w:rStyle w:val="TextoNormalCaracter"/>
        </w:rPr>
        <w:t>-</w:t>
      </w:r>
      <w:r>
        <w:t xml:space="preserve"> Sentencia </w:t>
      </w:r>
      <w:hyperlink w:anchor="SENTENCIA_2013_61" w:history="1">
        <w:r w:rsidRPr="00E27756">
          <w:rPr>
            <w:rStyle w:val="TextoNormalCaracter"/>
          </w:rPr>
          <w:t>61/2013</w:t>
        </w:r>
      </w:hyperlink>
      <w:r>
        <w:t>, ff. 1, 3, 6.</w:t>
      </w:r>
    </w:p>
    <w:p w:rsidR="00E27756" w:rsidRDefault="00E27756" w:rsidP="00E27756">
      <w:pPr>
        <w:pStyle w:val="SangriaFrancesaArticulo"/>
      </w:pPr>
      <w:r w:rsidRPr="00E27756">
        <w:rPr>
          <w:rStyle w:val="TextoNormalNegritaCaracter"/>
        </w:rPr>
        <w:t>Disposición adicional séptima, apartado 1 regla 2 a) inciso 2</w:t>
      </w:r>
      <w:r>
        <w:t xml:space="preserve"> </w:t>
      </w:r>
      <w:r w:rsidRPr="00E27756">
        <w:rPr>
          <w:rStyle w:val="TextoNormalCaracter"/>
        </w:rPr>
        <w:t>(redactado por el Real Decreto-ley 15/1998, de 27 de noviembre)</w:t>
      </w:r>
      <w:r w:rsidRPr="00E27756">
        <w:rPr>
          <w:rStyle w:val="TextoNormalNegritaCaracter"/>
        </w:rPr>
        <w:t>.</w:t>
      </w:r>
      <w:r w:rsidRPr="00E27756">
        <w:rPr>
          <w:rStyle w:val="TextoNormalCaracter"/>
        </w:rPr>
        <w:t>-</w:t>
      </w:r>
      <w:r>
        <w:t xml:space="preserve"> Sentencia </w:t>
      </w:r>
      <w:hyperlink w:anchor="SENTENCIA_2013_61" w:history="1">
        <w:r w:rsidRPr="00E27756">
          <w:rPr>
            <w:rStyle w:val="TextoNormalCaracter"/>
          </w:rPr>
          <w:t>61/2013</w:t>
        </w:r>
      </w:hyperlink>
      <w:r>
        <w:t>, ff. 1, 3, 6.</w:t>
      </w:r>
    </w:p>
    <w:p w:rsidR="00E27756" w:rsidRDefault="00E27756" w:rsidP="00E27756">
      <w:pPr>
        <w:pStyle w:val="SangriaFrancesaArticulo"/>
      </w:pPr>
      <w:r w:rsidRPr="00E27756">
        <w:rPr>
          <w:rStyle w:val="TextoNormalNegritaCaracter"/>
        </w:rPr>
        <w:t>Disposición adicional séptima, apartado 1 regla 2 b)</w:t>
      </w:r>
      <w:r>
        <w:t xml:space="preserve"> </w:t>
      </w:r>
      <w:r w:rsidRPr="00E27756">
        <w:rPr>
          <w:rStyle w:val="TextoNormalCaracter"/>
        </w:rPr>
        <w:t>(redactada por el Real Decreto-ley 15/1998, de 27 de noviembre)</w:t>
      </w:r>
      <w:r w:rsidRPr="00E27756">
        <w:rPr>
          <w:rStyle w:val="TextoNormalNegritaCaracter"/>
        </w:rPr>
        <w:t>.</w:t>
      </w:r>
      <w:r w:rsidRPr="00E27756">
        <w:rPr>
          <w:rStyle w:val="TextoNormalCaracter"/>
        </w:rPr>
        <w:t>-</w:t>
      </w:r>
      <w:r>
        <w:t xml:space="preserve"> Sentencia </w:t>
      </w:r>
      <w:hyperlink w:anchor="SENTENCIA_2013_61" w:history="1">
        <w:r w:rsidRPr="00E27756">
          <w:rPr>
            <w:rStyle w:val="TextoNormalCaracter"/>
          </w:rPr>
          <w:t>61/2013</w:t>
        </w:r>
      </w:hyperlink>
      <w:r>
        <w:t>, ff. 1, 3.</w:t>
      </w:r>
    </w:p>
    <w:p w:rsidR="00E27756" w:rsidRDefault="00E27756" w:rsidP="00E27756">
      <w:pPr>
        <w:pStyle w:val="SangriaFrancesaArticulo"/>
      </w:pPr>
      <w:r w:rsidRPr="00E27756">
        <w:rPr>
          <w:rStyle w:val="TextoNormalNegritaCaracter"/>
        </w:rPr>
        <w:t>Disposición adicional séptima, apartado 1 regla 2 b)</w:t>
      </w:r>
      <w:r>
        <w:t xml:space="preserve"> </w:t>
      </w:r>
      <w:r w:rsidRPr="00E27756">
        <w:rPr>
          <w:rStyle w:val="TextoNormalCaracter"/>
        </w:rPr>
        <w:t>(redactado por el Real Decreto-ley 15/1998, de 27 de noviembre)</w:t>
      </w:r>
      <w:r w:rsidRPr="00E27756">
        <w:rPr>
          <w:rStyle w:val="TextoNormalNegritaCaracter"/>
        </w:rPr>
        <w:t>.</w:t>
      </w:r>
      <w:r w:rsidRPr="00E27756">
        <w:rPr>
          <w:rStyle w:val="TextoNormalCaracter"/>
        </w:rPr>
        <w:t>-</w:t>
      </w:r>
      <w:r>
        <w:t xml:space="preserve"> Sentencia </w:t>
      </w:r>
      <w:hyperlink w:anchor="SENTENCIA_2013_61" w:history="1">
        <w:r w:rsidRPr="00E27756">
          <w:rPr>
            <w:rStyle w:val="TextoNormalCaracter"/>
          </w:rPr>
          <w:t>61/2013</w:t>
        </w:r>
      </w:hyperlink>
      <w:r>
        <w:t>, ff. 1, 3.</w:t>
      </w:r>
    </w:p>
    <w:p w:rsidR="00E27756" w:rsidRDefault="00E27756" w:rsidP="00E27756">
      <w:pPr>
        <w:pStyle w:val="SangriaFrancesaArticulo"/>
      </w:pPr>
      <w:r w:rsidRPr="00E27756">
        <w:rPr>
          <w:rStyle w:val="TextoNormalNegritaCaracter"/>
        </w:rPr>
        <w:t>Disposición adicional séptima, regla 2</w:t>
      </w:r>
      <w:r>
        <w:t xml:space="preserve"> </w:t>
      </w:r>
      <w:r w:rsidRPr="00E27756">
        <w:rPr>
          <w:rStyle w:val="TextoNormalCaracter"/>
        </w:rPr>
        <w:t>(redactada por Real Decreto-ley 15/1998, de 27 de noviembre)</w:t>
      </w:r>
      <w:r w:rsidRPr="00E27756">
        <w:rPr>
          <w:rStyle w:val="TextoNormalNegritaCaracter"/>
        </w:rPr>
        <w:t>.</w:t>
      </w:r>
      <w:r w:rsidRPr="00E27756">
        <w:rPr>
          <w:rStyle w:val="TextoNormalCaracter"/>
        </w:rPr>
        <w:t>-</w:t>
      </w:r>
      <w:r>
        <w:t xml:space="preserve"> Sentencia </w:t>
      </w:r>
      <w:hyperlink w:anchor="SENTENCIA_2013_116" w:history="1">
        <w:r w:rsidRPr="00E27756">
          <w:rPr>
            <w:rStyle w:val="TextoNormalCaracter"/>
          </w:rPr>
          <w:t>116/2013</w:t>
        </w:r>
      </w:hyperlink>
      <w:r>
        <w:t>, f. 1.</w:t>
      </w:r>
    </w:p>
    <w:p w:rsidR="00E27756" w:rsidRDefault="00E27756" w:rsidP="00E27756">
      <w:pPr>
        <w:pStyle w:val="SangriaFrancesaArticulo"/>
      </w:pPr>
      <w:r w:rsidRPr="00E27756">
        <w:rPr>
          <w:rStyle w:val="TextoNormalNegritaCaracter"/>
        </w:rPr>
        <w:t>Disposición adicional séptima, regla 2</w:t>
      </w:r>
      <w:r>
        <w:t xml:space="preserve"> </w:t>
      </w:r>
      <w:r w:rsidRPr="00E27756">
        <w:rPr>
          <w:rStyle w:val="TextoNormalCaracter"/>
        </w:rPr>
        <w:t>(redactado por Real Decreto-ley 15/1998, de 27 de noviembre)</w:t>
      </w:r>
      <w:r w:rsidRPr="00E27756">
        <w:rPr>
          <w:rStyle w:val="TextoNormalNegritaCaracter"/>
        </w:rPr>
        <w:t>.</w:t>
      </w:r>
      <w:r w:rsidRPr="00E27756">
        <w:rPr>
          <w:rStyle w:val="TextoNormalCaracter"/>
        </w:rPr>
        <w:t>-</w:t>
      </w:r>
      <w:r>
        <w:t xml:space="preserve"> Sentencia </w:t>
      </w:r>
      <w:hyperlink w:anchor="SENTENCIA_2013_116" w:history="1">
        <w:r w:rsidRPr="00E27756">
          <w:rPr>
            <w:rStyle w:val="TextoNormalCaracter"/>
          </w:rPr>
          <w:t>116/2013</w:t>
        </w:r>
      </w:hyperlink>
      <w:r>
        <w:t>, f. 1.</w:t>
      </w:r>
    </w:p>
    <w:p w:rsidR="00E27756" w:rsidRDefault="00E27756" w:rsidP="00E27756">
      <w:pPr>
        <w:pStyle w:val="SangriaFrancesaArticulo"/>
      </w:pPr>
      <w:r w:rsidRPr="00E27756">
        <w:rPr>
          <w:rStyle w:val="TextoNormalNegritaCaracter"/>
        </w:rPr>
        <w:t>Disposición derogatoria única, apartado a) 2.</w:t>
      </w:r>
      <w:r w:rsidRPr="00E27756">
        <w:rPr>
          <w:rStyle w:val="TextoNormalCaracter"/>
        </w:rPr>
        <w:t>-</w:t>
      </w:r>
      <w:r>
        <w:t xml:space="preserve"> Sentencia </w:t>
      </w:r>
      <w:hyperlink w:anchor="SENTENCIA_2013_137" w:history="1">
        <w:r w:rsidRPr="00E27756">
          <w:rPr>
            <w:rStyle w:val="TextoNormalCaracter"/>
          </w:rPr>
          <w:t>137/2013</w:t>
        </w:r>
      </w:hyperlink>
      <w:r>
        <w:t>, f. 7.</w:t>
      </w:r>
    </w:p>
    <w:p w:rsidR="00E27756" w:rsidRDefault="00E27756" w:rsidP="00E27756">
      <w:pPr>
        <w:pStyle w:val="SangriaFrancesaArticulo"/>
      </w:pPr>
    </w:p>
    <w:p w:rsidR="00E27756" w:rsidRDefault="00E27756" w:rsidP="00E27756">
      <w:pPr>
        <w:pStyle w:val="TextoNormalNegritaCursivandice"/>
      </w:pPr>
      <w:r>
        <w:t>Real Decreto Legislativo 1/1995, de 24 de marzo. Texto refundido de la Ley del estatuto de los trabajadores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1" w:history="1">
        <w:r w:rsidRPr="00E27756">
          <w:rPr>
            <w:rStyle w:val="TextoNormalCaracter"/>
          </w:rPr>
          <w:t>61/2013</w:t>
        </w:r>
      </w:hyperlink>
      <w:r>
        <w:t>, f. 3.</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Sentencias </w:t>
      </w:r>
      <w:hyperlink w:anchor="SENTENCIA_2013_16" w:history="1">
        <w:r w:rsidRPr="00E27756">
          <w:rPr>
            <w:rStyle w:val="TextoNormalCaracter"/>
          </w:rPr>
          <w:t>16/2013</w:t>
        </w:r>
      </w:hyperlink>
      <w:r>
        <w:t xml:space="preserve">, f. 3; </w:t>
      </w:r>
      <w:hyperlink w:anchor="SENTENCIA_2013_62" w:history="1">
        <w:r w:rsidRPr="00E27756">
          <w:rPr>
            <w:rStyle w:val="TextoNormalCaracter"/>
          </w:rPr>
          <w:t>62/2013</w:t>
        </w:r>
      </w:hyperlink>
      <w:r>
        <w:t>, f. 3.</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61" w:history="1">
        <w:r w:rsidRPr="00E27756">
          <w:rPr>
            <w:rStyle w:val="TextoNormalCaracter"/>
          </w:rPr>
          <w:t>61/2013</w:t>
        </w:r>
      </w:hyperlink>
      <w:r>
        <w:t>, f. 3.</w:t>
      </w:r>
    </w:p>
    <w:p w:rsidR="00E27756" w:rsidRDefault="00E27756" w:rsidP="00E27756">
      <w:pPr>
        <w:pStyle w:val="SangriaFrancesaArticulo"/>
      </w:pPr>
      <w:r w:rsidRPr="00E27756">
        <w:rPr>
          <w:rStyle w:val="TextoNormalNegritaCaracter"/>
        </w:rPr>
        <w:t>Artículo 12.4.</w:t>
      </w:r>
      <w:r w:rsidRPr="00E27756">
        <w:rPr>
          <w:rStyle w:val="TextoNormalCaracter"/>
        </w:rPr>
        <w:t>-</w:t>
      </w:r>
      <w:r>
        <w:t xml:space="preserve"> Sentencia </w:t>
      </w:r>
      <w:hyperlink w:anchor="SENTENCIA_2013_61" w:history="1">
        <w:r w:rsidRPr="00E27756">
          <w:rPr>
            <w:rStyle w:val="TextoNormalCaracter"/>
          </w:rPr>
          <w:t>61/2013</w:t>
        </w:r>
      </w:hyperlink>
      <w:r>
        <w:t>, ff. 3, 6.</w:t>
      </w:r>
    </w:p>
    <w:p w:rsidR="00E27756" w:rsidRDefault="00E27756" w:rsidP="00E27756">
      <w:pPr>
        <w:pStyle w:val="SangriaFrancesaArticulo"/>
      </w:pPr>
      <w:r w:rsidRPr="00E27756">
        <w:rPr>
          <w:rStyle w:val="TextoNormalNegritaCaracter"/>
        </w:rPr>
        <w:t>Artículo 20.</w:t>
      </w:r>
      <w:r w:rsidRPr="00E27756">
        <w:rPr>
          <w:rStyle w:val="TextoNormalCaracter"/>
        </w:rPr>
        <w:t>-</w:t>
      </w:r>
      <w:r>
        <w:t xml:space="preserve"> Sentencia </w:t>
      </w:r>
      <w:hyperlink w:anchor="SENTENCIA_2013_29" w:history="1">
        <w:r w:rsidRPr="00E27756">
          <w:rPr>
            <w:rStyle w:val="TextoNormalCaracter"/>
          </w:rPr>
          <w:t>29/2013</w:t>
        </w:r>
      </w:hyperlink>
      <w:r>
        <w:t>, f. 7.</w:t>
      </w:r>
    </w:p>
    <w:p w:rsidR="00E27756" w:rsidRDefault="00E27756" w:rsidP="00E27756">
      <w:pPr>
        <w:pStyle w:val="SangriaFrancesaArticulo"/>
      </w:pPr>
      <w:r w:rsidRPr="00E27756">
        <w:rPr>
          <w:rStyle w:val="TextoNormalNegritaCaracter"/>
        </w:rPr>
        <w:t>Artículo 20.3.</w:t>
      </w:r>
      <w:r w:rsidRPr="00E27756">
        <w:rPr>
          <w:rStyle w:val="TextoNormalCaracter"/>
        </w:rPr>
        <w:t>-</w:t>
      </w:r>
      <w:r>
        <w:t xml:space="preserve"> Sentencia </w:t>
      </w:r>
      <w:hyperlink w:anchor="SENTENCIA_2013_29" w:history="1">
        <w:r w:rsidRPr="00E27756">
          <w:rPr>
            <w:rStyle w:val="TextoNormalCaracter"/>
          </w:rPr>
          <w:t>29/2013</w:t>
        </w:r>
      </w:hyperlink>
      <w:r>
        <w:t>, f. 7.</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Sentencias </w:t>
      </w:r>
      <w:hyperlink w:anchor="SENTENCIA_2013_16" w:history="1">
        <w:r w:rsidRPr="00E27756">
          <w:rPr>
            <w:rStyle w:val="TextoNormalCaracter"/>
          </w:rPr>
          <w:t>16/2013</w:t>
        </w:r>
      </w:hyperlink>
      <w:r>
        <w:t xml:space="preserve">, f. 3; </w:t>
      </w:r>
      <w:hyperlink w:anchor="SENTENCIA_2013_62" w:history="1">
        <w:r w:rsidRPr="00E27756">
          <w:rPr>
            <w:rStyle w:val="TextoNormalCaracter"/>
          </w:rPr>
          <w:t>62/2013</w:t>
        </w:r>
      </w:hyperlink>
      <w:r>
        <w:t>, f. 3.</w:t>
      </w:r>
    </w:p>
    <w:p w:rsidR="00E27756" w:rsidRDefault="00E27756" w:rsidP="00E27756">
      <w:pPr>
        <w:pStyle w:val="SangriaFrancesaArticulo"/>
      </w:pPr>
      <w:r w:rsidRPr="00E27756">
        <w:rPr>
          <w:rStyle w:val="TextoNormalNegritaCaracter"/>
        </w:rPr>
        <w:t>Artículo 34.1.</w:t>
      </w:r>
      <w:r w:rsidRPr="00E27756">
        <w:rPr>
          <w:rStyle w:val="TextoNormalCaracter"/>
        </w:rPr>
        <w:t>-</w:t>
      </w:r>
      <w:r>
        <w:t xml:space="preserve"> Sentencia </w:t>
      </w:r>
      <w:hyperlink w:anchor="SENTENCIA_2013_61" w:history="1">
        <w:r w:rsidRPr="00E27756">
          <w:rPr>
            <w:rStyle w:val="TextoNormalCaracter"/>
          </w:rPr>
          <w:t>61/2013</w:t>
        </w:r>
      </w:hyperlink>
      <w:r>
        <w:t>, f. 6.</w:t>
      </w:r>
    </w:p>
    <w:p w:rsidR="00E27756" w:rsidRDefault="00E27756" w:rsidP="00E27756">
      <w:pPr>
        <w:pStyle w:val="SangriaFrancesaArticulo"/>
      </w:pPr>
      <w:r w:rsidRPr="00E27756">
        <w:rPr>
          <w:rStyle w:val="TextoNormalNegritaCaracter"/>
        </w:rPr>
        <w:lastRenderedPageBreak/>
        <w:t>Artículo 64.1.3 d).</w:t>
      </w:r>
      <w:r w:rsidRPr="00E27756">
        <w:rPr>
          <w:rStyle w:val="TextoNormalCaracter"/>
        </w:rPr>
        <w:t>-</w:t>
      </w:r>
      <w:r>
        <w:t xml:space="preserve"> Sentencia </w:t>
      </w:r>
      <w:hyperlink w:anchor="SENTENCIA_2013_29" w:history="1">
        <w:r w:rsidRPr="00E27756">
          <w:rPr>
            <w:rStyle w:val="TextoNormalCaracter"/>
          </w:rPr>
          <w:t>29/2013</w:t>
        </w:r>
      </w:hyperlink>
      <w:r>
        <w:t>, f. 6.</w:t>
      </w:r>
    </w:p>
    <w:p w:rsidR="00E27756" w:rsidRDefault="00E27756" w:rsidP="00E27756">
      <w:pPr>
        <w:pStyle w:val="SangriaFrancesaArticulo"/>
      </w:pPr>
    </w:p>
    <w:p w:rsidR="00E27756" w:rsidRDefault="00E27756" w:rsidP="00E27756">
      <w:pPr>
        <w:pStyle w:val="TextoNormalNegritaCursivandice"/>
      </w:pPr>
      <w:r>
        <w:t>Real Decreto Legislativo 2/1995, de 7 de abril. Texto refundido de la Ley de  procedimiento laboral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4" w:history="1">
        <w:r w:rsidRPr="00E27756">
          <w:rPr>
            <w:rStyle w:val="TextoNormalCaracter"/>
          </w:rPr>
          <w:t>44/2013</w:t>
        </w:r>
      </w:hyperlink>
      <w:r>
        <w:t>, f. 5.</w:t>
      </w:r>
    </w:p>
    <w:p w:rsidR="00E27756" w:rsidRDefault="00E27756" w:rsidP="00E27756">
      <w:pPr>
        <w:pStyle w:val="SangriaFrancesaArticulo"/>
      </w:pPr>
      <w:r w:rsidRPr="00E27756">
        <w:rPr>
          <w:rStyle w:val="TextoNormalNegritaCaracter"/>
        </w:rPr>
        <w:t>Artículo 161.</w:t>
      </w:r>
      <w:r w:rsidRPr="00E27756">
        <w:rPr>
          <w:rStyle w:val="TextoNormalCaracter"/>
        </w:rPr>
        <w:t>-</w:t>
      </w:r>
      <w:r>
        <w:t xml:space="preserve"> Sentencia </w:t>
      </w:r>
      <w:hyperlink w:anchor="SENTENCIA_2013_44" w:history="1">
        <w:r w:rsidRPr="00E27756">
          <w:rPr>
            <w:rStyle w:val="TextoNormalCaracter"/>
          </w:rPr>
          <w:t>44/2013</w:t>
        </w:r>
      </w:hyperlink>
      <w:r>
        <w:t>, f. 6.</w:t>
      </w:r>
    </w:p>
    <w:p w:rsidR="00E27756" w:rsidRDefault="00E27756" w:rsidP="00E27756">
      <w:pPr>
        <w:pStyle w:val="SangriaFrancesaArticulo"/>
      </w:pPr>
    </w:p>
    <w:p w:rsidR="00E27756" w:rsidRDefault="00E27756" w:rsidP="00E27756">
      <w:pPr>
        <w:pStyle w:val="TextoNormalNegritaCursivandice"/>
      </w:pPr>
      <w:r>
        <w:t>Real Decreto Legislativo 2/2000, de 16 de junio. Texto refundido de la Ley de contratos de las Administraciones públicas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30" w:history="1">
        <w:r w:rsidRPr="00E27756">
          <w:rPr>
            <w:rStyle w:val="TextoNormalCaracter"/>
          </w:rPr>
          <w:t>130/2013</w:t>
        </w:r>
      </w:hyperlink>
      <w:r>
        <w:t xml:space="preserve">, ff. 2, 9; </w:t>
      </w:r>
      <w:hyperlink w:anchor="SENTENCIA_2013_135" w:history="1">
        <w:r w:rsidRPr="00E27756">
          <w:rPr>
            <w:rStyle w:val="TextoNormalCaracter"/>
          </w:rPr>
          <w:t>135/2013</w:t>
        </w:r>
      </w:hyperlink>
      <w:r>
        <w:t>, f. 2.</w:t>
      </w:r>
    </w:p>
    <w:p w:rsidR="00E27756" w:rsidRDefault="00E27756" w:rsidP="00E27756">
      <w:pPr>
        <w:pStyle w:val="SangriaFrancesaArticulo"/>
      </w:pPr>
    </w:p>
    <w:p w:rsidR="00E27756" w:rsidRDefault="00E27756" w:rsidP="00E27756">
      <w:pPr>
        <w:pStyle w:val="TextoNormalNegritaCursivandice"/>
      </w:pPr>
      <w:r>
        <w:t>Real Decreto Legislativo 5/2000, de 4 de agosto. Texto refundido de la Ley sobre infracciones y sanciones en el orden social</w:t>
      </w:r>
    </w:p>
    <w:p w:rsidR="00E27756" w:rsidRDefault="00E27756" w:rsidP="00E27756">
      <w:pPr>
        <w:pStyle w:val="SangriaFrancesaArticulo"/>
      </w:pPr>
      <w:r w:rsidRPr="00E27756">
        <w:rPr>
          <w:rStyle w:val="TextoNormalNegritaCaracter"/>
        </w:rPr>
        <w:t>Artículo 24.3</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ff. 2, 4.</w:t>
      </w:r>
    </w:p>
    <w:p w:rsidR="00E27756" w:rsidRDefault="00E27756" w:rsidP="00E27756">
      <w:pPr>
        <w:pStyle w:val="SangriaFrancesaArticulo"/>
      </w:pPr>
      <w:r w:rsidRPr="00E27756">
        <w:rPr>
          <w:rStyle w:val="TextoNormalNegritaCaracter"/>
        </w:rPr>
        <w:t>Artículo 24.3 a).</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r w:rsidRPr="00E27756">
        <w:rPr>
          <w:rStyle w:val="TextoNormalNegritaCaracter"/>
        </w:rPr>
        <w:t>Artículo 24.3 b).</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r w:rsidRPr="00E27756">
        <w:rPr>
          <w:rStyle w:val="TextoNormalNegritaCaracter"/>
        </w:rPr>
        <w:t>Artículo 24.3 c).</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r w:rsidRPr="00E27756">
        <w:rPr>
          <w:rStyle w:val="TextoNormalNegritaCaracter"/>
        </w:rPr>
        <w:t>Artículo 24.3 d).</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r w:rsidRPr="00E27756">
        <w:rPr>
          <w:rStyle w:val="TextoNormalNegritaCaracter"/>
        </w:rPr>
        <w:t>Artículo 24.5 b).</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r w:rsidRPr="00E27756">
        <w:rPr>
          <w:rStyle w:val="TextoNormalNegritaCaracter"/>
        </w:rPr>
        <w:t>Artículo 25.4</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ff. 2, 4.</w:t>
      </w:r>
    </w:p>
    <w:p w:rsidR="00E27756" w:rsidRDefault="00E27756" w:rsidP="00E27756">
      <w:pPr>
        <w:pStyle w:val="SangriaFrancesaArticulo"/>
      </w:pPr>
      <w:r w:rsidRPr="00E27756">
        <w:rPr>
          <w:rStyle w:val="TextoNormalNegritaCaracter"/>
        </w:rPr>
        <w:t>Artículo 25.4 a).</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r w:rsidRPr="00E27756">
        <w:rPr>
          <w:rStyle w:val="TextoNormalNegritaCaracter"/>
        </w:rPr>
        <w:t>Artículo 48.4</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ff. 1, 2, 4.</w:t>
      </w:r>
    </w:p>
    <w:p w:rsidR="00E27756" w:rsidRDefault="00E27756" w:rsidP="00E27756">
      <w:pPr>
        <w:pStyle w:val="SangriaFrancesaArticulo"/>
      </w:pPr>
      <w:r w:rsidRPr="00E27756">
        <w:rPr>
          <w:rStyle w:val="TextoNormalNegritaCaracter"/>
        </w:rPr>
        <w:t>Artículo 48.4 párrafo 1, inciso 2</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r w:rsidRPr="00E27756">
        <w:rPr>
          <w:rStyle w:val="TextoNormalNegritaCaracter"/>
        </w:rPr>
        <w:t>Artículo 48.4 párrafo 3</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r w:rsidRPr="00E27756">
        <w:rPr>
          <w:rStyle w:val="TextoNormalNegritaCaracter"/>
        </w:rPr>
        <w:t>Artículo 48.5</w:t>
      </w:r>
      <w:r>
        <w:t xml:space="preserve"> </w:t>
      </w:r>
      <w:r w:rsidRPr="00E27756">
        <w:rPr>
          <w:rStyle w:val="TextoNormalCaracter"/>
        </w:rPr>
        <w:t>(redactado por la Ley 23/2009, de 29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r w:rsidRPr="00E27756">
        <w:rPr>
          <w:rStyle w:val="TextoNormalNegritaCaracter"/>
        </w:rPr>
        <w:t>Artículo 48.5 párrafo 1, inciso 2.</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r w:rsidRPr="00E27756">
        <w:rPr>
          <w:rStyle w:val="TextoNormalNegritaCaracter"/>
        </w:rPr>
        <w:t>Artículo 48.5 párrafo 2.</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p>
    <w:p w:rsidR="00E27756" w:rsidRDefault="00E27756" w:rsidP="00E27756">
      <w:pPr>
        <w:pStyle w:val="TextoNormalNegritaCursivandice"/>
      </w:pPr>
      <w:r>
        <w:t>Real Decreto Legislativo 1/2001, de 20 de julio. Texto refundido de la Ley de aguas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36" w:history="1">
        <w:r w:rsidRPr="00E27756">
          <w:rPr>
            <w:rStyle w:val="TextoNormalCaracter"/>
          </w:rPr>
          <w:t>36/2013</w:t>
        </w:r>
      </w:hyperlink>
      <w:r>
        <w:t xml:space="preserve">, ff. 2, 5, 6, 8; </w:t>
      </w:r>
      <w:hyperlink w:anchor="SENTENCIA_2013_51" w:history="1">
        <w:r w:rsidRPr="00E27756">
          <w:rPr>
            <w:rStyle w:val="TextoNormalCaracter"/>
          </w:rPr>
          <w:t>51/2013</w:t>
        </w:r>
      </w:hyperlink>
      <w:r>
        <w:t xml:space="preserve">, f. 2; </w:t>
      </w:r>
      <w:hyperlink w:anchor="SENTENCIA_2013_63" w:history="1">
        <w:r w:rsidRPr="00E27756">
          <w:rPr>
            <w:rStyle w:val="TextoNormalCaracter"/>
          </w:rPr>
          <w:t>63/2013</w:t>
        </w:r>
      </w:hyperlink>
      <w:r>
        <w:t>, f. 4.</w:t>
      </w:r>
    </w:p>
    <w:p w:rsidR="00E27756" w:rsidRDefault="00E27756" w:rsidP="00E27756">
      <w:pPr>
        <w:pStyle w:val="SangriaFrancesaArticulo"/>
      </w:pPr>
      <w:r w:rsidRPr="00E27756">
        <w:rPr>
          <w:rStyle w:val="TextoNormalNegritaCaracter"/>
        </w:rPr>
        <w:t>En general</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11" w:history="1">
        <w:r w:rsidRPr="00E27756">
          <w:rPr>
            <w:rStyle w:val="TextoNormalCaracter"/>
          </w:rPr>
          <w:t>111/2013</w:t>
        </w:r>
      </w:hyperlink>
      <w:r>
        <w:t>, ff. 1, 5.</w:t>
      </w:r>
    </w:p>
    <w:p w:rsidR="00E27756" w:rsidRDefault="00E27756" w:rsidP="00E27756">
      <w:pPr>
        <w:pStyle w:val="SangriaFrancesaArticulo"/>
      </w:pPr>
      <w:r w:rsidRPr="00E27756">
        <w:rPr>
          <w:rStyle w:val="TextoNormalNegritaCaracter"/>
        </w:rPr>
        <w:t>Título V.</w:t>
      </w:r>
      <w:r w:rsidRPr="00E27756">
        <w:rPr>
          <w:rStyle w:val="TextoNormalCaracter"/>
        </w:rPr>
        <w:t>-</w:t>
      </w:r>
      <w:r>
        <w:t xml:space="preserve"> Sentencia </w:t>
      </w:r>
      <w:hyperlink w:anchor="SENTENCIA_2013_36" w:history="1">
        <w:r w:rsidRPr="00E27756">
          <w:rPr>
            <w:rStyle w:val="TextoNormalCaracter"/>
          </w:rPr>
          <w:t>36/2013</w:t>
        </w:r>
      </w:hyperlink>
      <w:r>
        <w:t>, f. 7.</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36" w:history="1">
        <w:r w:rsidRPr="00E27756">
          <w:rPr>
            <w:rStyle w:val="TextoNormalCaracter"/>
          </w:rPr>
          <w:t>36/2013</w:t>
        </w:r>
      </w:hyperlink>
      <w:r>
        <w:t>, f. 2.</w:t>
      </w:r>
    </w:p>
    <w:p w:rsidR="00E27756" w:rsidRDefault="00E27756" w:rsidP="00E27756">
      <w:pPr>
        <w:pStyle w:val="SangriaFrancesaArticulo"/>
      </w:pPr>
      <w:r w:rsidRPr="00E27756">
        <w:rPr>
          <w:rStyle w:val="TextoNormalNegritaCaracter"/>
        </w:rPr>
        <w:t>Artículo 14.3.</w:t>
      </w:r>
      <w:r w:rsidRPr="00E27756">
        <w:rPr>
          <w:rStyle w:val="TextoNormalCaracter"/>
        </w:rPr>
        <w:t>-</w:t>
      </w:r>
      <w:r>
        <w:t xml:space="preserve"> Sentencia </w:t>
      </w:r>
      <w:hyperlink w:anchor="SENTENCIA_2013_36" w:history="1">
        <w:r w:rsidRPr="00E27756">
          <w:rPr>
            <w:rStyle w:val="TextoNormalCaracter"/>
          </w:rPr>
          <w:t>36/2013</w:t>
        </w:r>
      </w:hyperlink>
      <w:r>
        <w:t>, f. 7.</w:t>
      </w:r>
    </w:p>
    <w:p w:rsidR="00E27756" w:rsidRDefault="00E27756" w:rsidP="00E27756">
      <w:pPr>
        <w:pStyle w:val="SangriaFrancesaArticulo"/>
      </w:pPr>
      <w:r w:rsidRPr="00E27756">
        <w:rPr>
          <w:rStyle w:val="TextoNormalNegritaCaracter"/>
        </w:rPr>
        <w:t>Artículo 16 bis, apartado 1.</w:t>
      </w:r>
      <w:r w:rsidRPr="00E27756">
        <w:rPr>
          <w:rStyle w:val="TextoNormalCaracter"/>
        </w:rPr>
        <w:t>-</w:t>
      </w:r>
      <w:r>
        <w:t xml:space="preserve"> Sentencia </w:t>
      </w:r>
      <w:hyperlink w:anchor="SENTENCIA_2013_36" w:history="1">
        <w:r w:rsidRPr="00E27756">
          <w:rPr>
            <w:rStyle w:val="TextoNormalCaracter"/>
          </w:rPr>
          <w:t>36/2013</w:t>
        </w:r>
      </w:hyperlink>
      <w:r>
        <w:t>, f. 2.</w:t>
      </w:r>
    </w:p>
    <w:p w:rsidR="00E27756" w:rsidRDefault="00E27756" w:rsidP="00E27756">
      <w:pPr>
        <w:pStyle w:val="SangriaFrancesaArticulo"/>
      </w:pPr>
      <w:r w:rsidRPr="00E27756">
        <w:rPr>
          <w:rStyle w:val="TextoNormalNegritaCaracter"/>
        </w:rPr>
        <w:t>Artículo 16 bis, apartado 4.</w:t>
      </w:r>
      <w:r w:rsidRPr="00E27756">
        <w:rPr>
          <w:rStyle w:val="TextoNormalCaracter"/>
        </w:rPr>
        <w:t>-</w:t>
      </w:r>
      <w:r>
        <w:t xml:space="preserve"> Sentencia </w:t>
      </w:r>
      <w:hyperlink w:anchor="SENTENCIA_2013_36" w:history="1">
        <w:r w:rsidRPr="00E27756">
          <w:rPr>
            <w:rStyle w:val="TextoNormalCaracter"/>
          </w:rPr>
          <w:t>36/2013</w:t>
        </w:r>
      </w:hyperlink>
      <w:r>
        <w:t>, f. 2.</w:t>
      </w:r>
    </w:p>
    <w:p w:rsidR="00E27756" w:rsidRDefault="00E27756" w:rsidP="00E27756">
      <w:pPr>
        <w:pStyle w:val="SangriaFrancesaArticulo"/>
      </w:pPr>
      <w:r w:rsidRPr="00E27756">
        <w:rPr>
          <w:rStyle w:val="TextoNormalNegritaCaracter"/>
        </w:rPr>
        <w:t>Artículo 16 bis, apartado 5.</w:t>
      </w:r>
      <w:r w:rsidRPr="00E27756">
        <w:rPr>
          <w:rStyle w:val="TextoNormalCaracter"/>
        </w:rPr>
        <w:t>-</w:t>
      </w:r>
      <w:r>
        <w:t xml:space="preserve"> Sentencia </w:t>
      </w:r>
      <w:hyperlink w:anchor="SENTENCIA_2013_36" w:history="1">
        <w:r w:rsidRPr="00E27756">
          <w:rPr>
            <w:rStyle w:val="TextoNormalCaracter"/>
          </w:rPr>
          <w:t>36/2013</w:t>
        </w:r>
      </w:hyperlink>
      <w:r>
        <w:t>, f. 6.</w:t>
      </w:r>
    </w:p>
    <w:p w:rsidR="00E27756" w:rsidRDefault="00E27756" w:rsidP="00E27756">
      <w:pPr>
        <w:pStyle w:val="SangriaFrancesaArticulo"/>
      </w:pPr>
      <w:r w:rsidRPr="00E27756">
        <w:rPr>
          <w:rStyle w:val="TextoNormalNegritaCaracter"/>
        </w:rPr>
        <w:t>Artículo 16 bis, apartado 5</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 9.</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 </w:t>
      </w:r>
      <w:hyperlink w:anchor="SENTENCIA_2013_104" w:history="1">
        <w:r w:rsidRPr="00E27756">
          <w:rPr>
            <w:rStyle w:val="TextoNormalCaracter"/>
          </w:rPr>
          <w:t>104/2013</w:t>
        </w:r>
      </w:hyperlink>
      <w:r>
        <w:t>, f. 9.</w:t>
      </w:r>
    </w:p>
    <w:p w:rsidR="00E27756" w:rsidRDefault="00E27756" w:rsidP="00E27756">
      <w:pPr>
        <w:pStyle w:val="SangriaFrancesaArticulo"/>
      </w:pPr>
      <w:r w:rsidRPr="00E27756">
        <w:rPr>
          <w:rStyle w:val="TextoNormalNegritaCaracter"/>
        </w:rPr>
        <w:lastRenderedPageBreak/>
        <w:t>Artículo 36 bis.</w:t>
      </w:r>
      <w:r w:rsidRPr="00E27756">
        <w:rPr>
          <w:rStyle w:val="TextoNormalCaracter"/>
        </w:rPr>
        <w:t>-</w:t>
      </w:r>
      <w:r>
        <w:t xml:space="preserve"> Sentencia </w:t>
      </w:r>
      <w:hyperlink w:anchor="SENTENCIA_2013_36" w:history="1">
        <w:r w:rsidRPr="00E27756">
          <w:rPr>
            <w:rStyle w:val="TextoNormalCaracter"/>
          </w:rPr>
          <w:t>36/2013</w:t>
        </w:r>
      </w:hyperlink>
      <w:r>
        <w:t>, f. 8.</w:t>
      </w:r>
    </w:p>
    <w:p w:rsidR="00E27756" w:rsidRDefault="00E27756" w:rsidP="00E27756">
      <w:pPr>
        <w:pStyle w:val="SangriaFrancesaArticulo"/>
      </w:pPr>
      <w:r w:rsidRPr="00E27756">
        <w:rPr>
          <w:rStyle w:val="TextoNormalNegritaCaracter"/>
        </w:rPr>
        <w:t>Artículo 36 bis.3 c) inciso final.</w:t>
      </w:r>
      <w:r w:rsidRPr="00E27756">
        <w:rPr>
          <w:rStyle w:val="TextoNormalCaracter"/>
        </w:rPr>
        <w:t>-</w:t>
      </w:r>
      <w:r>
        <w:t xml:space="preserve"> Sentencia </w:t>
      </w:r>
      <w:hyperlink w:anchor="SENTENCIA_2013_36" w:history="1">
        <w:r w:rsidRPr="00E27756">
          <w:rPr>
            <w:rStyle w:val="TextoNormalCaracter"/>
          </w:rPr>
          <w:t>36/2013</w:t>
        </w:r>
      </w:hyperlink>
      <w:r>
        <w:t>, f. 8.</w:t>
      </w:r>
    </w:p>
    <w:p w:rsidR="00E27756" w:rsidRDefault="00E27756" w:rsidP="00E27756">
      <w:pPr>
        <w:pStyle w:val="SangriaFrancesaArticulo"/>
      </w:pPr>
      <w:r w:rsidRPr="00E27756">
        <w:rPr>
          <w:rStyle w:val="TextoNormalNegritaCaracter"/>
        </w:rPr>
        <w:t>Artículo 40.</w:t>
      </w:r>
      <w:r w:rsidRPr="00E27756">
        <w:rPr>
          <w:rStyle w:val="TextoNormalCaracter"/>
        </w:rPr>
        <w:t>-</w:t>
      </w:r>
      <w:r>
        <w:t xml:space="preserve"> Sentencia </w:t>
      </w:r>
      <w:hyperlink w:anchor="SENTENCIA_2013_36" w:history="1">
        <w:r w:rsidRPr="00E27756">
          <w:rPr>
            <w:rStyle w:val="TextoNormalCaracter"/>
          </w:rPr>
          <w:t>36/2013</w:t>
        </w:r>
      </w:hyperlink>
      <w:r>
        <w:t>, f. 2.</w:t>
      </w:r>
    </w:p>
    <w:p w:rsidR="00E27756" w:rsidRDefault="00E27756" w:rsidP="00E27756">
      <w:pPr>
        <w:pStyle w:val="SangriaFrancesaArticulo"/>
      </w:pPr>
      <w:r w:rsidRPr="00E27756">
        <w:rPr>
          <w:rStyle w:val="TextoNormalNegritaCaracter"/>
        </w:rPr>
        <w:t>Artículo 41.2.</w:t>
      </w:r>
      <w:r w:rsidRPr="00E27756">
        <w:rPr>
          <w:rStyle w:val="TextoNormalCaracter"/>
        </w:rPr>
        <w:t>-</w:t>
      </w:r>
      <w:r>
        <w:t xml:space="preserve"> Sentencia </w:t>
      </w:r>
      <w:hyperlink w:anchor="SENTENCIA_2013_36" w:history="1">
        <w:r w:rsidRPr="00E27756">
          <w:rPr>
            <w:rStyle w:val="TextoNormalCaracter"/>
          </w:rPr>
          <w:t>36/2013</w:t>
        </w:r>
      </w:hyperlink>
      <w:r>
        <w:t>, f. 6.</w:t>
      </w:r>
    </w:p>
    <w:p w:rsidR="00E27756" w:rsidRDefault="00E27756" w:rsidP="00E27756">
      <w:pPr>
        <w:pStyle w:val="SangriaFrancesaArticulo"/>
      </w:pPr>
      <w:r w:rsidRPr="00E27756">
        <w:rPr>
          <w:rStyle w:val="TextoNormalNegritaCaracter"/>
        </w:rPr>
        <w:t>Artículo 41.3.</w:t>
      </w:r>
      <w:r w:rsidRPr="00E27756">
        <w:rPr>
          <w:rStyle w:val="TextoNormalCaracter"/>
        </w:rPr>
        <w:t>-</w:t>
      </w:r>
      <w:r>
        <w:t xml:space="preserve"> Sentencia </w:t>
      </w:r>
      <w:hyperlink w:anchor="SENTENCIA_2013_36" w:history="1">
        <w:r w:rsidRPr="00E27756">
          <w:rPr>
            <w:rStyle w:val="TextoNormalCaracter"/>
          </w:rPr>
          <w:t>36/2013</w:t>
        </w:r>
      </w:hyperlink>
      <w:r>
        <w:t>, f. 6.</w:t>
      </w:r>
    </w:p>
    <w:p w:rsidR="00E27756" w:rsidRDefault="00E27756" w:rsidP="00E27756">
      <w:pPr>
        <w:pStyle w:val="SangriaFrancesaArticulo"/>
      </w:pPr>
      <w:r w:rsidRPr="00E27756">
        <w:rPr>
          <w:rStyle w:val="TextoNormalNegritaCaracter"/>
        </w:rPr>
        <w:t>Artículo 41.3</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 10.</w:t>
      </w:r>
    </w:p>
    <w:p w:rsidR="00E27756" w:rsidRDefault="00E27756" w:rsidP="00E27756">
      <w:pPr>
        <w:pStyle w:val="SangriaFrancesaArticulo"/>
      </w:pPr>
      <w:r w:rsidRPr="00E27756">
        <w:rPr>
          <w:rStyle w:val="TextoNormalNegritaCaracter"/>
        </w:rPr>
        <w:t>Artículo 41.4</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 10.</w:t>
      </w:r>
    </w:p>
    <w:p w:rsidR="00E27756" w:rsidRDefault="00E27756" w:rsidP="00E27756">
      <w:pPr>
        <w:pStyle w:val="SangriaFrancesaArticulo"/>
      </w:pPr>
      <w:r w:rsidRPr="00E27756">
        <w:rPr>
          <w:rStyle w:val="TextoNormalNegritaCaracter"/>
        </w:rPr>
        <w:t>Artículo 41.5</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 10.</w:t>
      </w:r>
    </w:p>
    <w:p w:rsidR="00E27756" w:rsidRDefault="00E27756" w:rsidP="00E27756">
      <w:pPr>
        <w:pStyle w:val="SangriaFrancesaArticulo"/>
      </w:pPr>
      <w:r w:rsidRPr="00E27756">
        <w:rPr>
          <w:rStyle w:val="TextoNormalNegritaCaracter"/>
        </w:rPr>
        <w:t>Artículo 41.6</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 10.</w:t>
      </w:r>
    </w:p>
    <w:p w:rsidR="00E27756" w:rsidRDefault="00E27756" w:rsidP="00E27756">
      <w:pPr>
        <w:pStyle w:val="SangriaFrancesaArticulo"/>
      </w:pPr>
      <w:r w:rsidRPr="00E27756">
        <w:rPr>
          <w:rStyle w:val="TextoNormalNegritaCaracter"/>
        </w:rPr>
        <w:t>Artículo 42.1 g).</w:t>
      </w:r>
      <w:r w:rsidRPr="00E27756">
        <w:rPr>
          <w:rStyle w:val="TextoNormalCaracter"/>
        </w:rPr>
        <w:t>-</w:t>
      </w:r>
      <w:r>
        <w:t xml:space="preserve"> Sentencia </w:t>
      </w:r>
      <w:hyperlink w:anchor="SENTENCIA_2013_36" w:history="1">
        <w:r w:rsidRPr="00E27756">
          <w:rPr>
            <w:rStyle w:val="TextoNormalCaracter"/>
          </w:rPr>
          <w:t>36/2013</w:t>
        </w:r>
      </w:hyperlink>
      <w:r>
        <w:t>, f. 6.</w:t>
      </w:r>
    </w:p>
    <w:p w:rsidR="00E27756" w:rsidRDefault="00E27756" w:rsidP="00E27756">
      <w:pPr>
        <w:pStyle w:val="SangriaFrancesaArticulo"/>
      </w:pPr>
      <w:r w:rsidRPr="00E27756">
        <w:rPr>
          <w:rStyle w:val="TextoNormalNegritaCaracter"/>
        </w:rPr>
        <w:t>Artículo 42.1.B c)</w:t>
      </w:r>
      <w:r>
        <w:t xml:space="preserve"> </w:t>
      </w:r>
      <w:r w:rsidRPr="00E27756">
        <w:rPr>
          <w:rStyle w:val="TextoNormalCaracter"/>
        </w:rPr>
        <w:t>(redactado por la Ley 11/2005, de 22 de junio)</w:t>
      </w:r>
      <w:r w:rsidRPr="00E27756">
        <w:rPr>
          <w:rStyle w:val="TextoNormalNegritaCaracter"/>
        </w:rPr>
        <w:t>.</w:t>
      </w:r>
      <w:r w:rsidRPr="00E27756">
        <w:rPr>
          <w:rStyle w:val="TextoNormalCaracter"/>
        </w:rPr>
        <w:t>-</w:t>
      </w:r>
      <w:r>
        <w:t xml:space="preserve"> Sentencia </w:t>
      </w:r>
      <w:hyperlink w:anchor="SENTENCIA_2013_19" w:history="1">
        <w:r w:rsidRPr="00E27756">
          <w:rPr>
            <w:rStyle w:val="TextoNormalCaracter"/>
          </w:rPr>
          <w:t>19/2013</w:t>
        </w:r>
      </w:hyperlink>
      <w:r>
        <w:t>, ff. 1, 4.</w:t>
      </w:r>
    </w:p>
    <w:p w:rsidR="00E27756" w:rsidRDefault="00E27756" w:rsidP="00E27756">
      <w:pPr>
        <w:pStyle w:val="SangriaFrancesaArticulo"/>
      </w:pPr>
      <w:r w:rsidRPr="00E27756">
        <w:rPr>
          <w:rStyle w:val="TextoNormalNegritaCaracter"/>
        </w:rPr>
        <w:t>Artículo 42.1.b.c')</w:t>
      </w:r>
      <w:r>
        <w:t xml:space="preserve"> </w:t>
      </w:r>
      <w:r w:rsidRPr="00E27756">
        <w:rPr>
          <w:rStyle w:val="TextoNormalCaracter"/>
        </w:rPr>
        <w:t>(redactado por la Ley 11/2005, de 22 de junio)</w:t>
      </w:r>
      <w:r w:rsidRPr="00E27756">
        <w:rPr>
          <w:rStyle w:val="TextoNormalNegritaCaracter"/>
        </w:rPr>
        <w:t>.</w:t>
      </w:r>
      <w:r w:rsidRPr="00E27756">
        <w:rPr>
          <w:rStyle w:val="TextoNormalCaracter"/>
        </w:rPr>
        <w:t>-</w:t>
      </w:r>
      <w:r>
        <w:t xml:space="preserve"> Sentencia </w:t>
      </w:r>
      <w:hyperlink w:anchor="SENTENCIA_2013_19" w:history="1">
        <w:r w:rsidRPr="00E27756">
          <w:rPr>
            <w:rStyle w:val="TextoNormalCaracter"/>
          </w:rPr>
          <w:t>19/2013</w:t>
        </w:r>
      </w:hyperlink>
      <w:r>
        <w:t>, ff. 1, 4.</w:t>
      </w:r>
    </w:p>
    <w:p w:rsidR="00E27756" w:rsidRDefault="00E27756" w:rsidP="00E27756">
      <w:pPr>
        <w:pStyle w:val="SangriaFrancesaArticulo"/>
      </w:pPr>
      <w:r w:rsidRPr="00E27756">
        <w:rPr>
          <w:rStyle w:val="TextoNormalNegritaCaracter"/>
        </w:rPr>
        <w:t>Artículo 45.1.</w:t>
      </w:r>
      <w:r w:rsidRPr="00E27756">
        <w:rPr>
          <w:rStyle w:val="TextoNormalCaracter"/>
        </w:rPr>
        <w:t>-</w:t>
      </w:r>
      <w:r>
        <w:t xml:space="preserve"> Sentencias </w:t>
      </w:r>
      <w:hyperlink w:anchor="SENTENCIA_2013_63" w:history="1">
        <w:r w:rsidRPr="00E27756">
          <w:rPr>
            <w:rStyle w:val="TextoNormalCaracter"/>
          </w:rPr>
          <w:t>63/2013</w:t>
        </w:r>
      </w:hyperlink>
      <w:r>
        <w:t xml:space="preserve">, f. 3; </w:t>
      </w:r>
      <w:hyperlink w:anchor="SENTENCIA_2013_64" w:history="1">
        <w:r w:rsidRPr="00E27756">
          <w:rPr>
            <w:rStyle w:val="TextoNormalCaracter"/>
          </w:rPr>
          <w:t>64/2013</w:t>
        </w:r>
      </w:hyperlink>
      <w:r>
        <w:t>, f. 3.</w:t>
      </w:r>
    </w:p>
    <w:p w:rsidR="00E27756" w:rsidRDefault="00E27756" w:rsidP="00E27756">
      <w:pPr>
        <w:pStyle w:val="SangriaFrancesaArticulo"/>
      </w:pPr>
      <w:r w:rsidRPr="00E27756">
        <w:rPr>
          <w:rStyle w:val="TextoNormalNegritaCaracter"/>
        </w:rPr>
        <w:t>Artículo 92 ter.1.</w:t>
      </w:r>
      <w:r w:rsidRPr="00E27756">
        <w:rPr>
          <w:rStyle w:val="TextoNormalCaracter"/>
        </w:rPr>
        <w:t>-</w:t>
      </w:r>
      <w:r>
        <w:t xml:space="preserve"> Sentencia </w:t>
      </w:r>
      <w:hyperlink w:anchor="SENTENCIA_2013_36" w:history="1">
        <w:r w:rsidRPr="00E27756">
          <w:rPr>
            <w:rStyle w:val="TextoNormalCaracter"/>
          </w:rPr>
          <w:t>36/2013</w:t>
        </w:r>
      </w:hyperlink>
      <w:r>
        <w:t>, f. 7.</w:t>
      </w:r>
    </w:p>
    <w:p w:rsidR="00E27756" w:rsidRDefault="00E27756" w:rsidP="00E27756">
      <w:pPr>
        <w:pStyle w:val="SangriaFrancesaArticulo"/>
      </w:pPr>
      <w:r w:rsidRPr="00E27756">
        <w:rPr>
          <w:rStyle w:val="TextoNormalNegritaCaracter"/>
        </w:rPr>
        <w:t>Artículo 121 bis.</w:t>
      </w:r>
      <w:r w:rsidRPr="00E27756">
        <w:rPr>
          <w:rStyle w:val="TextoNormalCaracter"/>
        </w:rPr>
        <w:t>-</w:t>
      </w:r>
      <w:r>
        <w:t xml:space="preserve"> Sentencia </w:t>
      </w:r>
      <w:hyperlink w:anchor="SENTENCIA_2013_36" w:history="1">
        <w:r w:rsidRPr="00E27756">
          <w:rPr>
            <w:rStyle w:val="TextoNormalCaracter"/>
          </w:rPr>
          <w:t>36/2013</w:t>
        </w:r>
      </w:hyperlink>
      <w:r>
        <w:t>, f. 9.</w:t>
      </w:r>
    </w:p>
    <w:p w:rsidR="00E27756" w:rsidRDefault="00E27756" w:rsidP="00E27756">
      <w:pPr>
        <w:pStyle w:val="SangriaFrancesaArticulo"/>
      </w:pPr>
      <w:r w:rsidRPr="00E27756">
        <w:rPr>
          <w:rStyle w:val="TextoNormalNegritaCaracter"/>
        </w:rPr>
        <w:t>Artículo 127.</w:t>
      </w:r>
      <w:r w:rsidRPr="00E27756">
        <w:rPr>
          <w:rStyle w:val="TextoNormalCaracter"/>
        </w:rPr>
        <w:t>-</w:t>
      </w:r>
      <w:r>
        <w:t xml:space="preserve"> Sentencia </w:t>
      </w:r>
      <w:hyperlink w:anchor="SENTENCIA_2013_104" w:history="1">
        <w:r w:rsidRPr="00E27756">
          <w:rPr>
            <w:rStyle w:val="TextoNormalCaracter"/>
          </w:rPr>
          <w:t>104/2013</w:t>
        </w:r>
      </w:hyperlink>
      <w:r>
        <w:t>, ff. 6, 7.</w:t>
      </w:r>
    </w:p>
    <w:p w:rsidR="00E27756" w:rsidRDefault="00E27756" w:rsidP="00E27756">
      <w:pPr>
        <w:pStyle w:val="SangriaFrancesaArticulo"/>
      </w:pPr>
      <w:r w:rsidRPr="00E27756">
        <w:rPr>
          <w:rStyle w:val="TextoNormalNegritaCaracter"/>
        </w:rPr>
        <w:t>Artículo 127.1</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 6.</w:t>
      </w:r>
    </w:p>
    <w:p w:rsidR="00E27756" w:rsidRDefault="00E27756" w:rsidP="00E27756">
      <w:pPr>
        <w:pStyle w:val="SangriaFrancesaArticulo"/>
      </w:pPr>
      <w:r w:rsidRPr="00E27756">
        <w:rPr>
          <w:rStyle w:val="TextoNormalNegritaCaracter"/>
        </w:rPr>
        <w:t>Artículo 127.2</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ff. 1, 6.</w:t>
      </w:r>
    </w:p>
    <w:p w:rsidR="00E27756" w:rsidRDefault="00E27756" w:rsidP="00E27756">
      <w:pPr>
        <w:pStyle w:val="SangriaFrancesaArticulo"/>
      </w:pPr>
      <w:r w:rsidRPr="00E27756">
        <w:rPr>
          <w:rStyle w:val="TextoNormalNegritaCaracter"/>
        </w:rPr>
        <w:t>Artículo 127.3</w:t>
      </w:r>
      <w:r>
        <w:t xml:space="preserve"> </w:t>
      </w:r>
      <w:r w:rsidRPr="00E27756">
        <w:rPr>
          <w:rStyle w:val="TextoNormalCaracter"/>
        </w:rPr>
        <w:t>(redactado por la Ley 62/2003, de 30 de diciembre)</w:t>
      </w:r>
      <w:r w:rsidRPr="00E27756">
        <w:rPr>
          <w:rStyle w:val="TextoNormalNegritaCaracter"/>
        </w:rPr>
        <w:t>.</w:t>
      </w:r>
      <w:r w:rsidRPr="00E27756">
        <w:rPr>
          <w:rStyle w:val="TextoNormalCaracter"/>
        </w:rPr>
        <w:t>-</w:t>
      </w:r>
      <w:r>
        <w:t xml:space="preserve"> Sentencia </w:t>
      </w:r>
      <w:hyperlink w:anchor="SENTENCIA_2013_104" w:history="1">
        <w:r w:rsidRPr="00E27756">
          <w:rPr>
            <w:rStyle w:val="TextoNormalCaracter"/>
          </w:rPr>
          <w:t>104/2013</w:t>
        </w:r>
      </w:hyperlink>
      <w:r>
        <w:t>, ff. 6, 7.</w:t>
      </w:r>
    </w:p>
    <w:p w:rsidR="00E27756" w:rsidRDefault="00E27756" w:rsidP="00E27756">
      <w:pPr>
        <w:pStyle w:val="SangriaFrancesaArticulo"/>
      </w:pPr>
      <w:r w:rsidRPr="00E27756">
        <w:rPr>
          <w:rStyle w:val="TextoNormalNegritaCaracter"/>
        </w:rPr>
        <w:t>Disposición adicional duodécima.</w:t>
      </w:r>
      <w:r w:rsidRPr="00E27756">
        <w:rPr>
          <w:rStyle w:val="TextoNormalCaracter"/>
        </w:rPr>
        <w:t>-</w:t>
      </w:r>
      <w:r>
        <w:t xml:space="preserve"> Sentencia </w:t>
      </w:r>
      <w:hyperlink w:anchor="SENTENCIA_2013_36" w:history="1">
        <w:r w:rsidRPr="00E27756">
          <w:rPr>
            <w:rStyle w:val="TextoNormalCaracter"/>
          </w:rPr>
          <w:t>36/2013</w:t>
        </w:r>
      </w:hyperlink>
      <w:r>
        <w:t>, f. 7.</w:t>
      </w:r>
    </w:p>
    <w:p w:rsidR="00E27756" w:rsidRDefault="00E27756" w:rsidP="00E27756">
      <w:pPr>
        <w:pStyle w:val="SangriaFrancesaArticulo"/>
      </w:pPr>
    </w:p>
    <w:p w:rsidR="00E27756" w:rsidRDefault="00E27756" w:rsidP="00E27756">
      <w:pPr>
        <w:pStyle w:val="TextoNormalNegritaCursivandice"/>
      </w:pPr>
      <w:r>
        <w:t>Real Decreto 829/2003, de 27 de junio. Establece las enseñanzas comunes de la educación infantil.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Autos </w:t>
      </w:r>
      <w:hyperlink w:anchor="AUTO_2013_33" w:history="1">
        <w:r w:rsidRPr="00E27756">
          <w:rPr>
            <w:rStyle w:val="TextoNormalCaracter"/>
          </w:rPr>
          <w:t>33/2013</w:t>
        </w:r>
      </w:hyperlink>
      <w:r>
        <w:t xml:space="preserve">, ff. 1 a 5; </w:t>
      </w:r>
      <w:hyperlink w:anchor="AUTO_2013_33" w:history="1">
        <w:r w:rsidRPr="00E27756">
          <w:rPr>
            <w:rStyle w:val="TextoNormalCaracter"/>
          </w:rPr>
          <w:t>33/2013</w:t>
        </w:r>
      </w:hyperlink>
      <w:r>
        <w:t>, ff. 1 a 5.</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Autos </w:t>
      </w:r>
      <w:hyperlink w:anchor="AUTO_2013_33" w:history="1">
        <w:r w:rsidRPr="00E27756">
          <w:rPr>
            <w:rStyle w:val="TextoNormalCaracter"/>
          </w:rPr>
          <w:t>33/2013</w:t>
        </w:r>
      </w:hyperlink>
      <w:r>
        <w:t xml:space="preserve">, ff. 1, 4 a 6; </w:t>
      </w:r>
      <w:hyperlink w:anchor="AUTO_2013_33" w:history="1">
        <w:r w:rsidRPr="00E27756">
          <w:rPr>
            <w:rStyle w:val="TextoNormalCaracter"/>
          </w:rPr>
          <w:t>33/2013</w:t>
        </w:r>
      </w:hyperlink>
      <w:r>
        <w:t>, ff. 1, 4 a 6.</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Autos </w:t>
      </w:r>
      <w:hyperlink w:anchor="AUTO_2013_33" w:history="1">
        <w:r w:rsidRPr="00E27756">
          <w:rPr>
            <w:rStyle w:val="TextoNormalCaracter"/>
          </w:rPr>
          <w:t>33/2013</w:t>
        </w:r>
      </w:hyperlink>
      <w:r>
        <w:t xml:space="preserve">, ff. 1, 4 a 6; </w:t>
      </w:r>
      <w:hyperlink w:anchor="AUTO_2013_33" w:history="1">
        <w:r w:rsidRPr="00E27756">
          <w:rPr>
            <w:rStyle w:val="TextoNormalCaracter"/>
          </w:rPr>
          <w:t>33/2013</w:t>
        </w:r>
      </w:hyperlink>
      <w:r>
        <w:t>, ff. 1, 4 a 6.</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Autos </w:t>
      </w:r>
      <w:hyperlink w:anchor="AUTO_2013_33" w:history="1">
        <w:r w:rsidRPr="00E27756">
          <w:rPr>
            <w:rStyle w:val="TextoNormalCaracter"/>
          </w:rPr>
          <w:t>33/2013</w:t>
        </w:r>
      </w:hyperlink>
      <w:r>
        <w:t xml:space="preserve">, ff. 1, 4 a 6; </w:t>
      </w:r>
      <w:hyperlink w:anchor="AUTO_2013_33" w:history="1">
        <w:r w:rsidRPr="00E27756">
          <w:rPr>
            <w:rStyle w:val="TextoNormalCaracter"/>
          </w:rPr>
          <w:t>33/2013</w:t>
        </w:r>
      </w:hyperlink>
      <w:r>
        <w:t>, ff. 1, 4 a 6.</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Autos </w:t>
      </w:r>
      <w:hyperlink w:anchor="AUTO_2013_33" w:history="1">
        <w:r w:rsidRPr="00E27756">
          <w:rPr>
            <w:rStyle w:val="TextoNormalCaracter"/>
          </w:rPr>
          <w:t>33/2013</w:t>
        </w:r>
      </w:hyperlink>
      <w:r>
        <w:t xml:space="preserve">, ff. 1, 5, 6; </w:t>
      </w:r>
      <w:hyperlink w:anchor="AUTO_2013_33" w:history="1">
        <w:r w:rsidRPr="00E27756">
          <w:rPr>
            <w:rStyle w:val="TextoNormalCaracter"/>
          </w:rPr>
          <w:t>33/2013</w:t>
        </w:r>
      </w:hyperlink>
      <w:r>
        <w:t>, ff. 1, 5, 6.</w:t>
      </w:r>
    </w:p>
    <w:p w:rsidR="00E27756" w:rsidRDefault="00E27756" w:rsidP="00E27756">
      <w:pPr>
        <w:pStyle w:val="SangriaFrancesaArticulo"/>
      </w:pPr>
      <w:r w:rsidRPr="00E27756">
        <w:rPr>
          <w:rStyle w:val="TextoNormalNegritaCaracter"/>
        </w:rPr>
        <w:t>Anexo.</w:t>
      </w:r>
      <w:r w:rsidRPr="00E27756">
        <w:rPr>
          <w:rStyle w:val="TextoNormalCaracter"/>
        </w:rPr>
        <w:t>-</w:t>
      </w:r>
      <w:r>
        <w:t xml:space="preserve"> Autos </w:t>
      </w:r>
      <w:hyperlink w:anchor="AUTO_2013_33" w:history="1">
        <w:r w:rsidRPr="00E27756">
          <w:rPr>
            <w:rStyle w:val="TextoNormalCaracter"/>
          </w:rPr>
          <w:t>33/2013</w:t>
        </w:r>
      </w:hyperlink>
      <w:r>
        <w:t xml:space="preserve">, ff. 1, 4 a 6; </w:t>
      </w:r>
      <w:hyperlink w:anchor="AUTO_2013_33" w:history="1">
        <w:r w:rsidRPr="00E27756">
          <w:rPr>
            <w:rStyle w:val="TextoNormalCaracter"/>
          </w:rPr>
          <w:t>33/2013</w:t>
        </w:r>
      </w:hyperlink>
      <w:r>
        <w:t>, ff. 1, 4 a 6.</w:t>
      </w:r>
    </w:p>
    <w:p w:rsidR="00E27756" w:rsidRDefault="00E27756" w:rsidP="00E27756">
      <w:pPr>
        <w:pStyle w:val="SangriaFrancesaArticulo"/>
      </w:pPr>
    </w:p>
    <w:p w:rsidR="00E27756" w:rsidRDefault="00E27756" w:rsidP="00E27756">
      <w:pPr>
        <w:pStyle w:val="TextoNormalNegritaCursivandice"/>
      </w:pPr>
      <w:r>
        <w:t>Real Decreto Legislativo 1/2004, de 5 de marzo. Texto refundido de la Ley del catastro inmobiliario</w:t>
      </w:r>
    </w:p>
    <w:p w:rsidR="00E27756" w:rsidRDefault="00E27756" w:rsidP="00E27756">
      <w:pPr>
        <w:pStyle w:val="SangriaFrancesaArticulo"/>
      </w:pPr>
      <w:r w:rsidRPr="00E27756">
        <w:rPr>
          <w:rStyle w:val="TextoNormalNegritaCaracter"/>
        </w:rPr>
        <w:t>Artículos 51 1 53.</w:t>
      </w:r>
      <w:r w:rsidRPr="00E27756">
        <w:rPr>
          <w:rStyle w:val="TextoNormalCaracter"/>
        </w:rPr>
        <w:t>-</w:t>
      </w:r>
      <w:r>
        <w:t xml:space="preserve"> Sentencia </w:t>
      </w:r>
      <w:hyperlink w:anchor="SENTENCIA_2013_17" w:history="1">
        <w:r w:rsidRPr="00E27756">
          <w:rPr>
            <w:rStyle w:val="TextoNormalCaracter"/>
          </w:rPr>
          <w:t>17/2013</w:t>
        </w:r>
      </w:hyperlink>
      <w:r>
        <w:t>, f. 8.</w:t>
      </w:r>
    </w:p>
    <w:p w:rsidR="00E27756" w:rsidRDefault="00E27756" w:rsidP="00E27756">
      <w:pPr>
        <w:pStyle w:val="SangriaFrancesaArticulo"/>
      </w:pPr>
      <w:r w:rsidRPr="00E27756">
        <w:rPr>
          <w:rStyle w:val="TextoNormalNegritaCaracter"/>
        </w:rPr>
        <w:t>Artículos 51 a 53.</w:t>
      </w:r>
      <w:r w:rsidRPr="00E27756">
        <w:rPr>
          <w:rStyle w:val="TextoNormalCaracter"/>
        </w:rPr>
        <w:t>-</w:t>
      </w:r>
      <w:r>
        <w:t xml:space="preserve"> Sentencia </w:t>
      </w:r>
      <w:hyperlink w:anchor="SENTENCIA_2013_17" w:history="1">
        <w:r w:rsidRPr="00E27756">
          <w:rPr>
            <w:rStyle w:val="TextoNormalCaracter"/>
          </w:rPr>
          <w:t>17/2013</w:t>
        </w:r>
      </w:hyperlink>
      <w:r>
        <w:t>, f. 8.</w:t>
      </w:r>
    </w:p>
    <w:p w:rsidR="00E27756" w:rsidRDefault="00E27756" w:rsidP="00E27756">
      <w:pPr>
        <w:pStyle w:val="SangriaFrancesaArticulo"/>
      </w:pPr>
    </w:p>
    <w:p w:rsidR="00E27756" w:rsidRDefault="00E27756" w:rsidP="00E27756">
      <w:pPr>
        <w:pStyle w:val="TextoNormalNegritaCursivandice"/>
      </w:pPr>
      <w:r>
        <w:t>Real Decreto Legislativo 2/2004, de 5 de marzo. Texto refundido de la Ley reguladora de las haciendas locales</w:t>
      </w:r>
    </w:p>
    <w:p w:rsidR="00E27756" w:rsidRDefault="00E27756" w:rsidP="00E27756">
      <w:pPr>
        <w:pStyle w:val="SangriaFrancesaArticulo"/>
      </w:pPr>
      <w:r w:rsidRPr="00E27756">
        <w:rPr>
          <w:rStyle w:val="TextoNormalNegritaCaracter"/>
        </w:rPr>
        <w:t>Artículo 20.4 t).</w:t>
      </w:r>
      <w:r w:rsidRPr="00E27756">
        <w:rPr>
          <w:rStyle w:val="TextoNormalCaracter"/>
        </w:rPr>
        <w:t>-</w:t>
      </w:r>
      <w:r>
        <w:t xml:space="preserve"> Sentencia </w:t>
      </w:r>
      <w:hyperlink w:anchor="SENTENCIA_2013_85" w:history="1">
        <w:r w:rsidRPr="00E27756">
          <w:rPr>
            <w:rStyle w:val="TextoNormalCaracter"/>
          </w:rPr>
          <w:t>85/2013</w:t>
        </w:r>
      </w:hyperlink>
      <w:r>
        <w:t>, f. 4.</w:t>
      </w:r>
    </w:p>
    <w:p w:rsidR="00E27756" w:rsidRDefault="00E27756" w:rsidP="00E27756">
      <w:pPr>
        <w:pStyle w:val="SangriaFrancesaArticulo"/>
      </w:pPr>
      <w:r w:rsidRPr="00E27756">
        <w:rPr>
          <w:rStyle w:val="TextoNormalNegritaCaracter"/>
        </w:rPr>
        <w:t>Artículo 61.</w:t>
      </w:r>
      <w:r w:rsidRPr="00E27756">
        <w:rPr>
          <w:rStyle w:val="TextoNormalCaracter"/>
        </w:rPr>
        <w:t>-</w:t>
      </w:r>
      <w:r>
        <w:t xml:space="preserve"> Sentencia </w:t>
      </w:r>
      <w:hyperlink w:anchor="SENTENCIA_2013_96" w:history="1">
        <w:r w:rsidRPr="00E27756">
          <w:rPr>
            <w:rStyle w:val="TextoNormalCaracter"/>
          </w:rPr>
          <w:t>96/2013</w:t>
        </w:r>
      </w:hyperlink>
      <w:r>
        <w:t>, f. 12.</w:t>
      </w:r>
    </w:p>
    <w:p w:rsidR="00E27756" w:rsidRDefault="00E27756" w:rsidP="00E27756">
      <w:pPr>
        <w:pStyle w:val="SangriaFrancesaArticulo"/>
      </w:pPr>
      <w:r w:rsidRPr="00E27756">
        <w:rPr>
          <w:rStyle w:val="TextoNormalNegritaCaracter"/>
        </w:rPr>
        <w:lastRenderedPageBreak/>
        <w:t>Artículo 78.1.</w:t>
      </w:r>
      <w:r w:rsidRPr="00E27756">
        <w:rPr>
          <w:rStyle w:val="TextoNormalCaracter"/>
        </w:rPr>
        <w:t>-</w:t>
      </w:r>
      <w:r>
        <w:t xml:space="preserve"> Sentencia </w:t>
      </w:r>
      <w:hyperlink w:anchor="SENTENCIA_2013_60" w:history="1">
        <w:r w:rsidRPr="00E27756">
          <w:rPr>
            <w:rStyle w:val="TextoNormalCaracter"/>
          </w:rPr>
          <w:t>60/2013</w:t>
        </w:r>
      </w:hyperlink>
      <w:r>
        <w:t>, ff. 4 a 6.</w:t>
      </w:r>
    </w:p>
    <w:p w:rsidR="00E27756" w:rsidRDefault="00E27756" w:rsidP="00E27756">
      <w:pPr>
        <w:pStyle w:val="SangriaFrancesaArticulo"/>
      </w:pPr>
      <w:r w:rsidRPr="00E27756">
        <w:rPr>
          <w:rStyle w:val="TextoNormalNegritaCaracter"/>
        </w:rPr>
        <w:t>Artículo 83.</w:t>
      </w:r>
      <w:r w:rsidRPr="00E27756">
        <w:rPr>
          <w:rStyle w:val="TextoNormalCaracter"/>
        </w:rPr>
        <w:t>-</w:t>
      </w:r>
      <w:r>
        <w:t xml:space="preserve"> Sentencia </w:t>
      </w:r>
      <w:hyperlink w:anchor="SENTENCIA_2013_60" w:history="1">
        <w:r w:rsidRPr="00E27756">
          <w:rPr>
            <w:rStyle w:val="TextoNormalCaracter"/>
          </w:rPr>
          <w:t>60/2013</w:t>
        </w:r>
      </w:hyperlink>
      <w:r>
        <w:t>, ff. 5, 6.</w:t>
      </w:r>
    </w:p>
    <w:p w:rsidR="00E27756" w:rsidRDefault="00E27756" w:rsidP="00E27756">
      <w:pPr>
        <w:pStyle w:val="SangriaFrancesaArticulo"/>
      </w:pPr>
      <w:r w:rsidRPr="00E27756">
        <w:rPr>
          <w:rStyle w:val="TextoNormalNegritaCaracter"/>
        </w:rPr>
        <w:t>Disposición adicional octava.</w:t>
      </w:r>
      <w:r w:rsidRPr="00E27756">
        <w:rPr>
          <w:rStyle w:val="TextoNormalCaracter"/>
        </w:rPr>
        <w:t>-</w:t>
      </w:r>
      <w:r>
        <w:t xml:space="preserve"> Sentencia </w:t>
      </w:r>
      <w:hyperlink w:anchor="SENTENCIA_2013_85" w:history="1">
        <w:r w:rsidRPr="00E27756">
          <w:rPr>
            <w:rStyle w:val="TextoNormalCaracter"/>
          </w:rPr>
          <w:t>85/2013</w:t>
        </w:r>
      </w:hyperlink>
      <w:r>
        <w:t>, f. 4.</w:t>
      </w:r>
    </w:p>
    <w:p w:rsidR="00E27756" w:rsidRDefault="00E27756" w:rsidP="00E27756">
      <w:pPr>
        <w:pStyle w:val="SangriaFrancesaArticulo"/>
      </w:pPr>
    </w:p>
    <w:p w:rsidR="00E27756" w:rsidRDefault="00E27756" w:rsidP="00E27756">
      <w:pPr>
        <w:pStyle w:val="TextoNormalNegritaCursivandice"/>
      </w:pPr>
      <w:r>
        <w:t>Real Decreto Legislativo 4/2004, de 5 de marzo. Aprueba el texto refundido de la Ley del impuesto sobre sociedades</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96" w:history="1">
        <w:r w:rsidRPr="00E27756">
          <w:rPr>
            <w:rStyle w:val="TextoNormalCaracter"/>
          </w:rPr>
          <w:t>96/2013</w:t>
        </w:r>
      </w:hyperlink>
      <w:r>
        <w:t>, f. 12.</w:t>
      </w:r>
    </w:p>
    <w:p w:rsidR="00E27756" w:rsidRDefault="00E27756" w:rsidP="00E27756">
      <w:pPr>
        <w:pStyle w:val="SangriaFrancesaArticulo"/>
      </w:pPr>
      <w:r w:rsidRPr="00E27756">
        <w:rPr>
          <w:rStyle w:val="TextoNormalNegritaCaracter"/>
        </w:rPr>
        <w:t>Artículo 34.</w:t>
      </w:r>
      <w:r w:rsidRPr="00E27756">
        <w:rPr>
          <w:rStyle w:val="TextoNormalCaracter"/>
        </w:rPr>
        <w:t>-</w:t>
      </w:r>
      <w:r>
        <w:t xml:space="preserve"> Sentencia </w:t>
      </w:r>
      <w:hyperlink w:anchor="SENTENCIA_2013_96" w:history="1">
        <w:r w:rsidRPr="00E27756">
          <w:rPr>
            <w:rStyle w:val="TextoNormalCaracter"/>
          </w:rPr>
          <w:t>96/2013</w:t>
        </w:r>
      </w:hyperlink>
      <w:r>
        <w:t>, f. 12.</w:t>
      </w:r>
    </w:p>
    <w:p w:rsidR="00E27756" w:rsidRDefault="00E27756" w:rsidP="00E27756">
      <w:pPr>
        <w:pStyle w:val="SangriaFrancesaArticulo"/>
      </w:pPr>
    </w:p>
    <w:p w:rsidR="00E27756" w:rsidRDefault="00E27756" w:rsidP="00E27756">
      <w:pPr>
        <w:pStyle w:val="TextoNormalNegritaCursivandice"/>
      </w:pPr>
      <w:r>
        <w:t>Real Decreto Legislativo 1/2008, de 11 de enero. Texto refundido de la Ley de evaluación de impacto ambiental de proyectos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 w:history="1">
        <w:r w:rsidRPr="00E27756">
          <w:rPr>
            <w:rStyle w:val="TextoNormalCaracter"/>
          </w:rPr>
          <w:t>5/2013</w:t>
        </w:r>
      </w:hyperlink>
      <w:r>
        <w:t>, f. 2.</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5" w:history="1">
        <w:r w:rsidRPr="00E27756">
          <w:rPr>
            <w:rStyle w:val="TextoNormalCaracter"/>
          </w:rPr>
          <w:t>5/2013</w:t>
        </w:r>
      </w:hyperlink>
      <w:r>
        <w:t>, f. 3.</w:t>
      </w:r>
    </w:p>
    <w:p w:rsidR="00E27756" w:rsidRDefault="00E27756" w:rsidP="00E27756">
      <w:pPr>
        <w:pStyle w:val="SangriaFrancesaArticulo"/>
      </w:pPr>
      <w:r w:rsidRPr="00E27756">
        <w:rPr>
          <w:rStyle w:val="TextoNormalNegritaCaracter"/>
        </w:rPr>
        <w:t>Disposición adicional cuarta.</w:t>
      </w:r>
      <w:r w:rsidRPr="00E27756">
        <w:rPr>
          <w:rStyle w:val="TextoNormalCaracter"/>
        </w:rPr>
        <w:t>-</w:t>
      </w:r>
      <w:r>
        <w:t xml:space="preserve"> Sentencias </w:t>
      </w:r>
      <w:hyperlink w:anchor="SENTENCIA_2013_59" w:history="1">
        <w:r w:rsidRPr="00E27756">
          <w:rPr>
            <w:rStyle w:val="TextoNormalCaracter"/>
          </w:rPr>
          <w:t>59/2013</w:t>
        </w:r>
      </w:hyperlink>
      <w:r>
        <w:t xml:space="preserve">, f. 2; </w:t>
      </w:r>
      <w:hyperlink w:anchor="SENTENCIA_2013_80" w:history="1">
        <w:r w:rsidRPr="00E27756">
          <w:rPr>
            <w:rStyle w:val="TextoNormalCaracter"/>
          </w:rPr>
          <w:t>80/2013</w:t>
        </w:r>
      </w:hyperlink>
      <w:r>
        <w:t xml:space="preserve">, f. 2; </w:t>
      </w:r>
      <w:hyperlink w:anchor="SENTENCIA_2013_104" w:history="1">
        <w:r w:rsidRPr="00E27756">
          <w:rPr>
            <w:rStyle w:val="TextoNormalCaracter"/>
          </w:rPr>
          <w:t>104/2013</w:t>
        </w:r>
      </w:hyperlink>
      <w:r>
        <w:t>, f. 2.</w:t>
      </w:r>
    </w:p>
    <w:p w:rsidR="00E27756" w:rsidRDefault="00E27756" w:rsidP="00E27756">
      <w:pPr>
        <w:pStyle w:val="SangriaFrancesaArticulo"/>
      </w:pPr>
      <w:r w:rsidRPr="00E27756">
        <w:rPr>
          <w:rStyle w:val="TextoNormalNegritaCaracter"/>
        </w:rPr>
        <w:t>Disposición adicional cuarta, apartado 1.</w:t>
      </w:r>
      <w:r w:rsidRPr="00E27756">
        <w:rPr>
          <w:rStyle w:val="TextoNormalCaracter"/>
        </w:rPr>
        <w:t>-</w:t>
      </w:r>
      <w:r>
        <w:t xml:space="preserve"> Sentencias </w:t>
      </w:r>
      <w:hyperlink w:anchor="SENTENCIA_2013_59" w:history="1">
        <w:r w:rsidRPr="00E27756">
          <w:rPr>
            <w:rStyle w:val="TextoNormalCaracter"/>
          </w:rPr>
          <w:t>59/2013</w:t>
        </w:r>
      </w:hyperlink>
      <w:r>
        <w:t xml:space="preserve">, f. 3; </w:t>
      </w:r>
      <w:hyperlink w:anchor="SENTENCIA_2013_104" w:history="1">
        <w:r w:rsidRPr="00E27756">
          <w:rPr>
            <w:rStyle w:val="TextoNormalCaracter"/>
          </w:rPr>
          <w:t>104/2013</w:t>
        </w:r>
      </w:hyperlink>
      <w:r>
        <w:t xml:space="preserve">, f. 7; </w:t>
      </w:r>
      <w:hyperlink w:anchor="SENTENCIA_2013_111" w:history="1">
        <w:r w:rsidRPr="00E27756">
          <w:rPr>
            <w:rStyle w:val="TextoNormalCaracter"/>
          </w:rPr>
          <w:t>111/2013</w:t>
        </w:r>
      </w:hyperlink>
      <w:r>
        <w:t>, f. 3.</w:t>
      </w:r>
    </w:p>
    <w:p w:rsidR="00E27756" w:rsidRDefault="00E27756" w:rsidP="00E27756">
      <w:pPr>
        <w:pStyle w:val="SangriaFrancesaArticulo"/>
      </w:pPr>
      <w:r w:rsidRPr="00E27756">
        <w:rPr>
          <w:rStyle w:val="TextoNormalNegritaCaracter"/>
        </w:rPr>
        <w:t>Disposición derogatoria única a).</w:t>
      </w:r>
      <w:r w:rsidRPr="00E27756">
        <w:rPr>
          <w:rStyle w:val="TextoNormalCaracter"/>
        </w:rPr>
        <w:t>-</w:t>
      </w:r>
      <w:r>
        <w:t xml:space="preserve"> Sentencias </w:t>
      </w:r>
      <w:hyperlink w:anchor="SENTENCIA_2013_104" w:history="1">
        <w:r w:rsidRPr="00E27756">
          <w:rPr>
            <w:rStyle w:val="TextoNormalCaracter"/>
          </w:rPr>
          <w:t>104/2013</w:t>
        </w:r>
      </w:hyperlink>
      <w:r>
        <w:t xml:space="preserve">, f. 2; </w:t>
      </w:r>
      <w:hyperlink w:anchor="SENTENCIA_2013_111" w:history="1">
        <w:r w:rsidRPr="00E27756">
          <w:rPr>
            <w:rStyle w:val="TextoNormalCaracter"/>
          </w:rPr>
          <w:t>111/2013</w:t>
        </w:r>
      </w:hyperlink>
      <w:r>
        <w:t>, f. 2.</w:t>
      </w:r>
    </w:p>
    <w:p w:rsidR="00E27756" w:rsidRDefault="00E27756" w:rsidP="00E27756">
      <w:pPr>
        <w:pStyle w:val="SangriaFrancesaArticulo"/>
      </w:pPr>
    </w:p>
    <w:p w:rsidR="00E27756" w:rsidRDefault="00E27756" w:rsidP="00E27756">
      <w:pPr>
        <w:pStyle w:val="TextoNormalNegritaCursivandice"/>
      </w:pPr>
      <w:r>
        <w:t>Real Decreto Legislativo 2/2008, de 20 de junio. Texto refundido de la Ley de suelo</w:t>
      </w:r>
    </w:p>
    <w:p w:rsidR="00E27756" w:rsidRDefault="00E27756" w:rsidP="00E27756">
      <w:pPr>
        <w:pStyle w:val="SangriaFrancesaArticulo"/>
      </w:pPr>
      <w:r w:rsidRPr="00E27756">
        <w:rPr>
          <w:rStyle w:val="TextoNormalNegritaCaracter"/>
        </w:rPr>
        <w:t>Artículo 8.1 b).</w:t>
      </w:r>
      <w:r w:rsidRPr="00E27756">
        <w:rPr>
          <w:rStyle w:val="TextoNormalCaracter"/>
        </w:rPr>
        <w:t>-</w:t>
      </w:r>
      <w:r>
        <w:t xml:space="preserve"> Auto </w:t>
      </w:r>
      <w:hyperlink w:anchor="AUTO_2013_80" w:history="1">
        <w:r w:rsidRPr="00E27756">
          <w:rPr>
            <w:rStyle w:val="TextoNormalCaracter"/>
          </w:rPr>
          <w:t>80/2013</w:t>
        </w:r>
      </w:hyperlink>
      <w:r>
        <w:t>, f. 4.</w:t>
      </w:r>
    </w:p>
    <w:p w:rsidR="00E27756" w:rsidRDefault="00E27756" w:rsidP="00E27756">
      <w:pPr>
        <w:pStyle w:val="SangriaFrancesaArticulo"/>
      </w:pPr>
      <w:r w:rsidRPr="00E27756">
        <w:rPr>
          <w:rStyle w:val="TextoNormalNegritaCaracter"/>
        </w:rPr>
        <w:t>Artículo 8.1 c).</w:t>
      </w:r>
      <w:r w:rsidRPr="00E27756">
        <w:rPr>
          <w:rStyle w:val="TextoNormalCaracter"/>
        </w:rPr>
        <w:t>-</w:t>
      </w:r>
      <w:r>
        <w:t xml:space="preserve"> Sentencia </w:t>
      </w:r>
      <w:hyperlink w:anchor="SENTENCIA_2013_94" w:history="1">
        <w:r w:rsidRPr="00E27756">
          <w:rPr>
            <w:rStyle w:val="TextoNormalCaracter"/>
          </w:rPr>
          <w:t>94/2013</w:t>
        </w:r>
      </w:hyperlink>
      <w:r>
        <w:t>, f. 7.</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94" w:history="1">
        <w:r w:rsidRPr="00E27756">
          <w:rPr>
            <w:rStyle w:val="TextoNormalCaracter"/>
          </w:rPr>
          <w:t>94/2013</w:t>
        </w:r>
      </w:hyperlink>
      <w:r>
        <w:t>, VP I.</w:t>
      </w:r>
    </w:p>
    <w:p w:rsidR="00E27756" w:rsidRDefault="00E27756" w:rsidP="00E27756">
      <w:pPr>
        <w:pStyle w:val="SangriaFrancesaArticulo"/>
      </w:pPr>
      <w:r w:rsidRPr="00E27756">
        <w:rPr>
          <w:rStyle w:val="TextoNormalNegritaCaracter"/>
        </w:rPr>
        <w:t>Artículo 9.1.</w:t>
      </w:r>
      <w:r w:rsidRPr="00E27756">
        <w:rPr>
          <w:rStyle w:val="TextoNormalCaracter"/>
        </w:rPr>
        <w:t>-</w:t>
      </w:r>
      <w:r>
        <w:t xml:space="preserve"> Sentencia </w:t>
      </w:r>
      <w:hyperlink w:anchor="SENTENCIA_2013_94" w:history="1">
        <w:r w:rsidRPr="00E27756">
          <w:rPr>
            <w:rStyle w:val="TextoNormalCaracter"/>
          </w:rPr>
          <w:t>94/2013</w:t>
        </w:r>
      </w:hyperlink>
      <w:r>
        <w:t>, f. 8, VP I, VP II.</w:t>
      </w:r>
    </w:p>
    <w:p w:rsidR="00E27756" w:rsidRDefault="00E27756" w:rsidP="00E27756">
      <w:pPr>
        <w:pStyle w:val="SangriaFrancesaArticulo"/>
      </w:pPr>
      <w:r w:rsidRPr="00E27756">
        <w:rPr>
          <w:rStyle w:val="TextoNormalNegritaCaracter"/>
        </w:rPr>
        <w:t>Artículo 38.</w:t>
      </w:r>
      <w:r w:rsidRPr="00E27756">
        <w:rPr>
          <w:rStyle w:val="TextoNormalCaracter"/>
        </w:rPr>
        <w:t>-</w:t>
      </w:r>
      <w:r>
        <w:t xml:space="preserve"> Auto </w:t>
      </w:r>
      <w:hyperlink w:anchor="AUTO_2013_80" w:history="1">
        <w:r w:rsidRPr="00E27756">
          <w:rPr>
            <w:rStyle w:val="TextoNormalCaracter"/>
          </w:rPr>
          <w:t>80/2013</w:t>
        </w:r>
      </w:hyperlink>
      <w:r>
        <w:t>, f. 1.</w:t>
      </w:r>
    </w:p>
    <w:p w:rsidR="00E27756" w:rsidRDefault="00E27756" w:rsidP="00E27756">
      <w:pPr>
        <w:pStyle w:val="SangriaFrancesaArticulo"/>
      </w:pPr>
      <w:r w:rsidRPr="00E27756">
        <w:rPr>
          <w:rStyle w:val="TextoNormalNegritaCaracter"/>
        </w:rPr>
        <w:t>Artículo 39.</w:t>
      </w:r>
      <w:r w:rsidRPr="00E27756">
        <w:rPr>
          <w:rStyle w:val="TextoNormalCaracter"/>
        </w:rPr>
        <w:t>-</w:t>
      </w:r>
      <w:r>
        <w:t xml:space="preserve"> Auto </w:t>
      </w:r>
      <w:hyperlink w:anchor="AUTO_2013_80" w:history="1">
        <w:r w:rsidRPr="00E27756">
          <w:rPr>
            <w:rStyle w:val="TextoNormalCaracter"/>
          </w:rPr>
          <w:t>80/2013</w:t>
        </w:r>
      </w:hyperlink>
      <w:r>
        <w:t>, f. 1.</w:t>
      </w:r>
    </w:p>
    <w:p w:rsidR="00E27756" w:rsidRDefault="00E27756" w:rsidP="00E27756">
      <w:pPr>
        <w:pStyle w:val="SangriaFrancesaArticulo"/>
      </w:pPr>
      <w:r w:rsidRPr="00E27756">
        <w:rPr>
          <w:rStyle w:val="TextoNormalNegritaCaracter"/>
        </w:rPr>
        <w:t>Disposición adicional novena, apartado 5.</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Disposición final primera, apartado 1.</w:t>
      </w:r>
      <w:r w:rsidRPr="00E27756">
        <w:rPr>
          <w:rStyle w:val="TextoNormalCaracter"/>
        </w:rPr>
        <w:t>-</w:t>
      </w:r>
      <w:r>
        <w:t xml:space="preserve"> Sentencia </w:t>
      </w:r>
      <w:hyperlink w:anchor="SENTENCIA_2013_94" w:history="1">
        <w:r w:rsidRPr="00E27756">
          <w:rPr>
            <w:rStyle w:val="TextoNormalCaracter"/>
          </w:rPr>
          <w:t>94/2013</w:t>
        </w:r>
      </w:hyperlink>
      <w:r>
        <w:t>, VP I.</w:t>
      </w:r>
    </w:p>
    <w:p w:rsidR="00E27756" w:rsidRDefault="00E27756" w:rsidP="00E27756">
      <w:pPr>
        <w:pStyle w:val="SangriaFrancesaArticulo"/>
      </w:pPr>
    </w:p>
    <w:p w:rsidR="00E27756" w:rsidRDefault="00E27756" w:rsidP="00E27756">
      <w:pPr>
        <w:pStyle w:val="TextoNormalNegritaCursivandice"/>
      </w:pPr>
      <w:r>
        <w:t>Real Decreto Legislativo 2/2011, de 5 de septiembre. Texto refundido de la Ley de Puertos del Estado y de la marina mercante</w:t>
      </w:r>
    </w:p>
    <w:p w:rsidR="00E27756" w:rsidRDefault="00E27756" w:rsidP="00E27756">
      <w:pPr>
        <w:pStyle w:val="SangriaFrancesaArticulo"/>
      </w:pPr>
      <w:r w:rsidRPr="00E27756">
        <w:rPr>
          <w:rStyle w:val="TextoNormalNegritaCaracter"/>
        </w:rPr>
        <w:t>Artículo 19.1.</w:t>
      </w:r>
      <w:r w:rsidRPr="00E27756">
        <w:rPr>
          <w:rStyle w:val="TextoNormalCaracter"/>
        </w:rPr>
        <w:t>-</w:t>
      </w:r>
      <w:r>
        <w:t xml:space="preserve"> Sentencia </w:t>
      </w:r>
      <w:hyperlink w:anchor="SENTENCIA_2013_104" w:history="1">
        <w:r w:rsidRPr="00E27756">
          <w:rPr>
            <w:rStyle w:val="TextoNormalCaracter"/>
          </w:rPr>
          <w:t>104/2013</w:t>
        </w:r>
      </w:hyperlink>
      <w:r>
        <w:t>, f. 6.</w:t>
      </w:r>
    </w:p>
    <w:p w:rsidR="00E27756" w:rsidRDefault="00E27756" w:rsidP="00E27756">
      <w:pPr>
        <w:pStyle w:val="SangriaFrancesaArticulo"/>
      </w:pPr>
      <w:r w:rsidRPr="00E27756">
        <w:rPr>
          <w:rStyle w:val="TextoNormalNegritaCaracter"/>
        </w:rPr>
        <w:t>Artículo 19.3.</w:t>
      </w:r>
      <w:r w:rsidRPr="00E27756">
        <w:rPr>
          <w:rStyle w:val="TextoNormalCaracter"/>
        </w:rPr>
        <w:t>-</w:t>
      </w:r>
      <w:r>
        <w:t xml:space="preserve"> Sentencia </w:t>
      </w:r>
      <w:hyperlink w:anchor="SENTENCIA_2013_104" w:history="1">
        <w:r w:rsidRPr="00E27756">
          <w:rPr>
            <w:rStyle w:val="TextoNormalCaracter"/>
          </w:rPr>
          <w:t>104/2013</w:t>
        </w:r>
      </w:hyperlink>
      <w:r>
        <w:t>, f. 6.</w:t>
      </w:r>
    </w:p>
    <w:p w:rsidR="00E27756" w:rsidRDefault="00E27756" w:rsidP="00E27756">
      <w:pPr>
        <w:pStyle w:val="SangriaFrancesaArticulo"/>
      </w:pPr>
    </w:p>
    <w:p w:rsidR="00E27756" w:rsidRDefault="00E27756" w:rsidP="00E27756">
      <w:pPr>
        <w:pStyle w:val="TextoNormalNegritaCursivandice"/>
      </w:pPr>
      <w:r>
        <w:t>Real Decreto Legislativo 3/2011, de 14 de noviembre. Aprueba el texto refundido de la Ley de contratos del sector público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30" w:history="1">
        <w:r w:rsidRPr="00E27756">
          <w:rPr>
            <w:rStyle w:val="TextoNormalCaracter"/>
          </w:rPr>
          <w:t>130/2013</w:t>
        </w:r>
      </w:hyperlink>
      <w:r>
        <w:t xml:space="preserve">, ff. 2, 9, 10; </w:t>
      </w:r>
      <w:hyperlink w:anchor="SENTENCIA_2013_135" w:history="1">
        <w:r w:rsidRPr="00E27756">
          <w:rPr>
            <w:rStyle w:val="TextoNormalCaracter"/>
          </w:rPr>
          <w:t>135/2013</w:t>
        </w:r>
      </w:hyperlink>
      <w:r>
        <w:t>, ff. 2, 4.</w:t>
      </w:r>
    </w:p>
    <w:p w:rsidR="00E27756" w:rsidRDefault="00E27756" w:rsidP="00E27756">
      <w:pPr>
        <w:pStyle w:val="TextoNormal"/>
      </w:pPr>
    </w:p>
    <w:p w:rsidR="00E27756" w:rsidRDefault="00E27756" w:rsidP="00E27756">
      <w:pPr>
        <w:pStyle w:val="SangriaFrancesaArticulo"/>
      </w:pPr>
      <w:bookmarkStart w:id="300" w:name="INDICE22848"/>
    </w:p>
    <w:bookmarkEnd w:id="300"/>
    <w:p w:rsidR="00E27756" w:rsidRDefault="00E27756" w:rsidP="00E27756">
      <w:pPr>
        <w:pStyle w:val="TextoIndiceNivel2"/>
        <w:suppressAutoHyphens/>
      </w:pPr>
      <w:r>
        <w:t>G) Reales Decretos-leyes</w:t>
      </w:r>
    </w:p>
    <w:p w:rsidR="00E27756" w:rsidRDefault="00E27756" w:rsidP="00E27756">
      <w:pPr>
        <w:pStyle w:val="TextoIndiceNivel2"/>
      </w:pPr>
    </w:p>
    <w:p w:rsidR="00E27756" w:rsidRDefault="00E27756" w:rsidP="00E27756">
      <w:pPr>
        <w:pStyle w:val="TextoNormalNegritaCursivandice"/>
      </w:pPr>
      <w:r>
        <w:t>Real Decreto-ley 3/1979, de 26 de enero. Protección de la seguridad ciudadana</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13" w:history="1">
        <w:r w:rsidRPr="00E27756">
          <w:rPr>
            <w:rStyle w:val="TextoNormalCaracter"/>
          </w:rPr>
          <w:t>13/2013</w:t>
        </w:r>
      </w:hyperlink>
      <w:r>
        <w:t>, f. 3.</w:t>
      </w:r>
    </w:p>
    <w:p w:rsidR="00E27756" w:rsidRDefault="00E27756" w:rsidP="00E27756">
      <w:pPr>
        <w:pStyle w:val="SangriaFrancesaArticulo"/>
      </w:pPr>
    </w:p>
    <w:p w:rsidR="00E27756" w:rsidRDefault="00E27756" w:rsidP="00E27756">
      <w:pPr>
        <w:pStyle w:val="TextoNormalNegritaCursivandice"/>
      </w:pPr>
      <w:r>
        <w:t>Real Decreto-ley 15/1998, de 27 de noviembre. Medidas urgentes para la mejora del mercado de trabajo en relación con el trabajo a tiempo parcial y el fomento de su estabilidad</w:t>
      </w:r>
    </w:p>
    <w:p w:rsidR="00E27756" w:rsidRDefault="00E27756" w:rsidP="00E27756">
      <w:pPr>
        <w:pStyle w:val="SangriaFrancesaArticulo"/>
      </w:pPr>
      <w:r w:rsidRPr="00E27756">
        <w:rPr>
          <w:rStyle w:val="TextoNormalNegritaCaracter"/>
        </w:rPr>
        <w:lastRenderedPageBreak/>
        <w:t>En general.</w:t>
      </w:r>
      <w:r w:rsidRPr="00E27756">
        <w:rPr>
          <w:rStyle w:val="TextoNormalCaracter"/>
        </w:rPr>
        <w:t>-</w:t>
      </w:r>
      <w:r>
        <w:t xml:space="preserve"> Sentencias </w:t>
      </w:r>
      <w:hyperlink w:anchor="SENTENCIA_2013_61" w:history="1">
        <w:r w:rsidRPr="00E27756">
          <w:rPr>
            <w:rStyle w:val="TextoNormalCaracter"/>
          </w:rPr>
          <w:t>61/2013</w:t>
        </w:r>
      </w:hyperlink>
      <w:r>
        <w:t xml:space="preserve">, ff. 1, 3, 6; </w:t>
      </w:r>
      <w:hyperlink w:anchor="SENTENCIA_2013_71" w:history="1">
        <w:r w:rsidRPr="00E27756">
          <w:rPr>
            <w:rStyle w:val="TextoNormalCaracter"/>
          </w:rPr>
          <w:t>71/2013</w:t>
        </w:r>
      </w:hyperlink>
      <w:r>
        <w:t xml:space="preserve">, ff. 1 a 4; </w:t>
      </w:r>
      <w:hyperlink w:anchor="SENTENCIA_2013_72" w:history="1">
        <w:r w:rsidRPr="00E27756">
          <w:rPr>
            <w:rStyle w:val="TextoNormalCaracter"/>
          </w:rPr>
          <w:t>72/2013</w:t>
        </w:r>
      </w:hyperlink>
      <w:r>
        <w:t xml:space="preserve">, ff. 1, 2; </w:t>
      </w:r>
      <w:hyperlink w:anchor="SENTENCIA_2013_116" w:history="1">
        <w:r w:rsidRPr="00E27756">
          <w:rPr>
            <w:rStyle w:val="TextoNormalCaracter"/>
          </w:rPr>
          <w:t>116/2013</w:t>
        </w:r>
      </w:hyperlink>
      <w:r>
        <w:t xml:space="preserve">, ff. 1, 4; </w:t>
      </w:r>
      <w:hyperlink w:anchor="SENTENCIA_2013_117" w:history="1">
        <w:r w:rsidRPr="00E27756">
          <w:rPr>
            <w:rStyle w:val="TextoNormalCaracter"/>
          </w:rPr>
          <w:t>117/2013</w:t>
        </w:r>
      </w:hyperlink>
      <w:r>
        <w:t>, ff. 1, 2.</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61" w:history="1">
        <w:r w:rsidRPr="00E27756">
          <w:rPr>
            <w:rStyle w:val="TextoNormalCaracter"/>
          </w:rPr>
          <w:t>61/2013</w:t>
        </w:r>
      </w:hyperlink>
      <w:r>
        <w:t>, f. 3.</w:t>
      </w:r>
    </w:p>
    <w:p w:rsidR="00E27756" w:rsidRDefault="00E27756" w:rsidP="00E27756">
      <w:pPr>
        <w:pStyle w:val="SangriaFrancesaArticulo"/>
      </w:pPr>
    </w:p>
    <w:p w:rsidR="00E27756" w:rsidRDefault="00E27756" w:rsidP="00E27756">
      <w:pPr>
        <w:pStyle w:val="TextoNormalNegritaCursivandice"/>
      </w:pPr>
      <w:r>
        <w:t>Real Decreto-ley 6/2000, de 23 de junio.  Medidas urgentes de intensificación de la competencia en mercados de bienes y servicios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1" w:history="1">
        <w:r w:rsidRPr="00E27756">
          <w:rPr>
            <w:rStyle w:val="TextoNormalCaracter"/>
          </w:rPr>
          <w:t>91/2013</w:t>
        </w:r>
      </w:hyperlink>
      <w:r>
        <w:t>, f. 2.</w:t>
      </w:r>
    </w:p>
    <w:p w:rsidR="00E27756" w:rsidRDefault="00E27756" w:rsidP="00E27756">
      <w:pPr>
        <w:pStyle w:val="SangriaFrancesaArticulo"/>
      </w:pPr>
      <w:r w:rsidRPr="00E27756">
        <w:rPr>
          <w:rStyle w:val="TextoNormalNegritaCaracter"/>
        </w:rPr>
        <w:t>Artículo 39.</w:t>
      </w:r>
      <w:r w:rsidRPr="00E27756">
        <w:rPr>
          <w:rStyle w:val="TextoNormalCaracter"/>
        </w:rPr>
        <w:t>-</w:t>
      </w:r>
      <w:r>
        <w:t xml:space="preserve"> Sentencia </w:t>
      </w:r>
      <w:hyperlink w:anchor="SENTENCIA_2013_91" w:history="1">
        <w:r w:rsidRPr="00E27756">
          <w:rPr>
            <w:rStyle w:val="TextoNormalCaracter"/>
          </w:rPr>
          <w:t>91/2013</w:t>
        </w:r>
      </w:hyperlink>
      <w:r>
        <w:t>, f. 2.</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Sentencia </w:t>
      </w:r>
      <w:hyperlink w:anchor="SENTENCIA_2013_91" w:history="1">
        <w:r w:rsidRPr="00E27756">
          <w:rPr>
            <w:rStyle w:val="TextoNormalCaracter"/>
          </w:rPr>
          <w:t>91/2013</w:t>
        </w:r>
      </w:hyperlink>
      <w:r>
        <w:t>, f. 2.</w:t>
      </w:r>
    </w:p>
    <w:p w:rsidR="00E27756" w:rsidRDefault="00E27756" w:rsidP="00E27756">
      <w:pPr>
        <w:pStyle w:val="SangriaFrancesaArticulo"/>
      </w:pPr>
    </w:p>
    <w:p w:rsidR="00E27756" w:rsidRDefault="00E27756" w:rsidP="00E27756">
      <w:pPr>
        <w:pStyle w:val="TextoNormalNegritaCursivandice"/>
      </w:pPr>
      <w:r>
        <w:t>Real Decreto-ley 2/2004, de 18 de junio. Modificación de la Ley 10/2001, de 5 de julio. Plan hidrológico nacional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51" w:history="1">
        <w:r w:rsidRPr="00E27756">
          <w:rPr>
            <w:rStyle w:val="TextoNormalCaracter"/>
          </w:rPr>
          <w:t>51/2013</w:t>
        </w:r>
      </w:hyperlink>
      <w:r>
        <w:t xml:space="preserve">, ff. 1 a 9; </w:t>
      </w:r>
      <w:hyperlink w:anchor="SENTENCIA_2013_63" w:history="1">
        <w:r w:rsidRPr="00E27756">
          <w:rPr>
            <w:rStyle w:val="TextoNormalCaracter"/>
          </w:rPr>
          <w:t>63/2013</w:t>
        </w:r>
      </w:hyperlink>
      <w:r>
        <w:t xml:space="preserve">, ff. 1 a 5; </w:t>
      </w:r>
      <w:hyperlink w:anchor="SENTENCIA_2013_64" w:history="1">
        <w:r w:rsidRPr="00E27756">
          <w:rPr>
            <w:rStyle w:val="TextoNormalCaracter"/>
          </w:rPr>
          <w:t>64/2013</w:t>
        </w:r>
      </w:hyperlink>
      <w:r>
        <w:t>, ff. 1 a 5.</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Sentencias </w:t>
      </w:r>
      <w:hyperlink w:anchor="SENTENCIA_2013_51" w:history="1">
        <w:r w:rsidRPr="00E27756">
          <w:rPr>
            <w:rStyle w:val="TextoNormalCaracter"/>
          </w:rPr>
          <w:t>51/2013</w:t>
        </w:r>
      </w:hyperlink>
      <w:r>
        <w:t xml:space="preserve">, ff. 4, 7; </w:t>
      </w:r>
      <w:hyperlink w:anchor="SENTENCIA_2013_64" w:history="1">
        <w:r w:rsidRPr="00E27756">
          <w:rPr>
            <w:rStyle w:val="TextoNormalCaracter"/>
          </w:rPr>
          <w:t>64/2013</w:t>
        </w:r>
      </w:hyperlink>
      <w:r>
        <w:t>, f. 5.</w:t>
      </w:r>
    </w:p>
    <w:p w:rsidR="00E27756" w:rsidRDefault="00E27756" w:rsidP="00E27756">
      <w:pPr>
        <w:pStyle w:val="SangriaFrancesaArticulo"/>
      </w:pPr>
      <w:r w:rsidRPr="00E27756">
        <w:rPr>
          <w:rStyle w:val="TextoNormalNegritaCaracter"/>
        </w:rPr>
        <w:t>Artículo único.</w:t>
      </w:r>
      <w:r w:rsidRPr="00E27756">
        <w:rPr>
          <w:rStyle w:val="TextoNormalCaracter"/>
        </w:rPr>
        <w:t>-</w:t>
      </w:r>
      <w:r>
        <w:t xml:space="preserve"> Sentencia </w:t>
      </w:r>
      <w:hyperlink w:anchor="SENTENCIA_2013_51" w:history="1">
        <w:r w:rsidRPr="00E27756">
          <w:rPr>
            <w:rStyle w:val="TextoNormalCaracter"/>
          </w:rPr>
          <w:t>51/2013</w:t>
        </w:r>
      </w:hyperlink>
      <w:r>
        <w:t>, f. 1.</w:t>
      </w:r>
    </w:p>
    <w:p w:rsidR="00E27756" w:rsidRDefault="00E27756" w:rsidP="00E27756">
      <w:pPr>
        <w:pStyle w:val="SangriaFrancesaArticulo"/>
      </w:pPr>
      <w:r w:rsidRPr="00E27756">
        <w:rPr>
          <w:rStyle w:val="TextoNormalNegritaCaracter"/>
        </w:rPr>
        <w:t>Disposición derogatoria.</w:t>
      </w:r>
      <w:r w:rsidRPr="00E27756">
        <w:rPr>
          <w:rStyle w:val="TextoNormalCaracter"/>
        </w:rPr>
        <w:t>-</w:t>
      </w:r>
      <w:r>
        <w:t xml:space="preserve"> Sentencia </w:t>
      </w:r>
      <w:hyperlink w:anchor="SENTENCIA_2013_51" w:history="1">
        <w:r w:rsidRPr="00E27756">
          <w:rPr>
            <w:rStyle w:val="TextoNormalCaracter"/>
          </w:rPr>
          <w:t>51/2013</w:t>
        </w:r>
      </w:hyperlink>
      <w:r>
        <w:t>, f. 1.</w:t>
      </w:r>
    </w:p>
    <w:p w:rsidR="00E27756" w:rsidRDefault="00E27756" w:rsidP="00E27756">
      <w:pPr>
        <w:pStyle w:val="SangriaFrancesaArticulo"/>
      </w:pPr>
      <w:r w:rsidRPr="00E27756">
        <w:rPr>
          <w:rStyle w:val="TextoNormalNegritaCaracter"/>
        </w:rPr>
        <w:t>Disposiciones finales primera, segunda y tercera.</w:t>
      </w:r>
      <w:r w:rsidRPr="00E27756">
        <w:rPr>
          <w:rStyle w:val="TextoNormalCaracter"/>
        </w:rPr>
        <w:t>-</w:t>
      </w:r>
      <w:r>
        <w:t xml:space="preserve"> Sentencia </w:t>
      </w:r>
      <w:hyperlink w:anchor="SENTENCIA_2013_51" w:history="1">
        <w:r w:rsidRPr="00E27756">
          <w:rPr>
            <w:rStyle w:val="TextoNormalCaracter"/>
          </w:rPr>
          <w:t>51/2013</w:t>
        </w:r>
      </w:hyperlink>
      <w:r>
        <w:t>, f. 1.</w:t>
      </w:r>
    </w:p>
    <w:p w:rsidR="00E27756" w:rsidRDefault="00E27756" w:rsidP="00E27756">
      <w:pPr>
        <w:pStyle w:val="SangriaFrancesaArticulo"/>
      </w:pPr>
    </w:p>
    <w:p w:rsidR="00E27756" w:rsidRDefault="00E27756" w:rsidP="00E27756">
      <w:pPr>
        <w:pStyle w:val="TextoNormalNegritaCursivandice"/>
      </w:pPr>
      <w:r>
        <w:t>Real Decreto-ley 5/2005, de 11 de marzo. Reformas urgentes para el impulso a la productividad y para la mejora de la contratación pública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3" w:history="1">
        <w:r w:rsidRPr="00E27756">
          <w:rPr>
            <w:rStyle w:val="TextoNormalCaracter"/>
          </w:rPr>
          <w:t>123/2013</w:t>
        </w:r>
      </w:hyperlink>
      <w:r>
        <w:t>, ff. 2, 6.</w:t>
      </w:r>
    </w:p>
    <w:p w:rsidR="00E27756" w:rsidRDefault="00E27756" w:rsidP="00E27756">
      <w:pPr>
        <w:pStyle w:val="SangriaFrancesaArticulo"/>
      </w:pPr>
    </w:p>
    <w:p w:rsidR="00E27756" w:rsidRDefault="00E27756" w:rsidP="00E27756">
      <w:pPr>
        <w:pStyle w:val="TextoNormalNegritaCursivandice"/>
      </w:pPr>
      <w:r>
        <w:t>Real Decreto-ley 11/2005, de 22 de julio. Aprueba medidas urgentes en materia de incendios forestales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84" w:history="1">
        <w:r w:rsidRPr="00E27756">
          <w:rPr>
            <w:rStyle w:val="TextoNormalCaracter"/>
          </w:rPr>
          <w:t>84/2013</w:t>
        </w:r>
      </w:hyperlink>
      <w:r>
        <w:t xml:space="preserve">, f. 5; </w:t>
      </w:r>
      <w:hyperlink w:anchor="SENTENCIA_2013_97" w:history="1">
        <w:r w:rsidRPr="00E27756">
          <w:rPr>
            <w:rStyle w:val="TextoNormalCaracter"/>
          </w:rPr>
          <w:t>97/2013</w:t>
        </w:r>
      </w:hyperlink>
      <w:r>
        <w:t>, f. 5.</w:t>
      </w:r>
    </w:p>
    <w:p w:rsidR="00E27756" w:rsidRDefault="00E27756" w:rsidP="00E27756">
      <w:pPr>
        <w:pStyle w:val="SangriaFrancesaArticulo"/>
      </w:pPr>
    </w:p>
    <w:p w:rsidR="00E27756" w:rsidRDefault="00E27756" w:rsidP="00E27756">
      <w:pPr>
        <w:pStyle w:val="TextoNormalNegritaCursivandice"/>
      </w:pPr>
      <w:r>
        <w:t>Real Decreto-ley 4/2006, de 24 de febrero. Modificación de las funciones de la Comisión Nacional de Energía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9" w:history="1">
        <w:r w:rsidRPr="00E27756">
          <w:rPr>
            <w:rStyle w:val="TextoNormalCaracter"/>
          </w:rPr>
          <w:t>39/2013</w:t>
        </w:r>
      </w:hyperlink>
      <w:r>
        <w:t>, ff. 1, 3, 4, 6-8, 10.</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39" w:history="1">
        <w:r w:rsidRPr="00E27756">
          <w:rPr>
            <w:rStyle w:val="TextoNormalCaracter"/>
          </w:rPr>
          <w:t>39/2013</w:t>
        </w:r>
      </w:hyperlink>
      <w:r>
        <w:t>, f. 6.</w:t>
      </w:r>
    </w:p>
    <w:p w:rsidR="00E27756" w:rsidRDefault="00E27756" w:rsidP="00E27756">
      <w:pPr>
        <w:pStyle w:val="SangriaFrancesaArticulo"/>
      </w:pPr>
      <w:r w:rsidRPr="00E27756">
        <w:rPr>
          <w:rStyle w:val="TextoNormalNegritaCaracter"/>
        </w:rPr>
        <w:t>Artículo único.</w:t>
      </w:r>
      <w:r w:rsidRPr="00E27756">
        <w:rPr>
          <w:rStyle w:val="TextoNormalCaracter"/>
        </w:rPr>
        <w:t>-</w:t>
      </w:r>
      <w:r>
        <w:t xml:space="preserve"> Sentencia </w:t>
      </w:r>
      <w:hyperlink w:anchor="SENTENCIA_2013_39" w:history="1">
        <w:r w:rsidRPr="00E27756">
          <w:rPr>
            <w:rStyle w:val="TextoNormalCaracter"/>
          </w:rPr>
          <w:t>39/2013</w:t>
        </w:r>
      </w:hyperlink>
      <w:r>
        <w:t>, ff. 1-3.</w:t>
      </w:r>
    </w:p>
    <w:p w:rsidR="00E27756" w:rsidRDefault="00E27756" w:rsidP="00E27756">
      <w:pPr>
        <w:pStyle w:val="SangriaFrancesaArticulo"/>
      </w:pPr>
      <w:r w:rsidRPr="00E27756">
        <w:rPr>
          <w:rStyle w:val="TextoNormalNegritaCaracter"/>
        </w:rPr>
        <w:t>Artículo 86.1.</w:t>
      </w:r>
      <w:r w:rsidRPr="00E27756">
        <w:rPr>
          <w:rStyle w:val="TextoNormalCaracter"/>
        </w:rPr>
        <w:t>-</w:t>
      </w:r>
      <w:r>
        <w:t xml:space="preserve"> Sentencia </w:t>
      </w:r>
      <w:hyperlink w:anchor="SENTENCIA_2013_39" w:history="1">
        <w:r w:rsidRPr="00E27756">
          <w:rPr>
            <w:rStyle w:val="TextoNormalCaracter"/>
          </w:rPr>
          <w:t>39/2013</w:t>
        </w:r>
      </w:hyperlink>
      <w:r>
        <w:t>, f. 6.</w:t>
      </w:r>
    </w:p>
    <w:p w:rsidR="00E27756" w:rsidRDefault="00E27756" w:rsidP="00E27756">
      <w:pPr>
        <w:pStyle w:val="SangriaFrancesaArticulo"/>
      </w:pPr>
      <w:r w:rsidRPr="00E27756">
        <w:rPr>
          <w:rStyle w:val="TextoNormalNegritaCaracter"/>
        </w:rPr>
        <w:t>Disposición transitoria única.</w:t>
      </w:r>
      <w:r w:rsidRPr="00E27756">
        <w:rPr>
          <w:rStyle w:val="TextoNormalCaracter"/>
        </w:rPr>
        <w:t>-</w:t>
      </w:r>
      <w:r>
        <w:t xml:space="preserve"> Sentencia </w:t>
      </w:r>
      <w:hyperlink w:anchor="SENTENCIA_2013_39" w:history="1">
        <w:r w:rsidRPr="00E27756">
          <w:rPr>
            <w:rStyle w:val="TextoNormalCaracter"/>
          </w:rPr>
          <w:t>39/2013</w:t>
        </w:r>
      </w:hyperlink>
      <w:r>
        <w:t>, ff. 1, 3, 9.</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Sentencia </w:t>
      </w:r>
      <w:hyperlink w:anchor="SENTENCIA_2013_39" w:history="1">
        <w:r w:rsidRPr="00E27756">
          <w:rPr>
            <w:rStyle w:val="TextoNormalCaracter"/>
          </w:rPr>
          <w:t>39/2013</w:t>
        </w:r>
      </w:hyperlink>
      <w:r>
        <w:t>, f. 9.</w:t>
      </w:r>
    </w:p>
    <w:p w:rsidR="00E27756" w:rsidRDefault="00E27756" w:rsidP="00E27756">
      <w:pPr>
        <w:pStyle w:val="SangriaFrancesaArticulo"/>
      </w:pPr>
    </w:p>
    <w:p w:rsidR="00E27756" w:rsidRDefault="00E27756" w:rsidP="00E27756">
      <w:pPr>
        <w:pStyle w:val="TextoNormalNegritaCursivandice"/>
      </w:pPr>
      <w:r>
        <w:t>Real Decreto-ley 3/2009, de 27 de marzo. Medidas urgentes en materia tributaria, financiera y concursal ante la evolución de la situación económica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24" w:history="1">
        <w:r w:rsidRPr="00E27756">
          <w:rPr>
            <w:rStyle w:val="TextoNormalCaracter"/>
          </w:rPr>
          <w:t>24/2013</w:t>
        </w:r>
      </w:hyperlink>
      <w:r>
        <w:t>, f. 1.</w:t>
      </w:r>
    </w:p>
    <w:p w:rsidR="00E27756" w:rsidRDefault="00E27756" w:rsidP="00E27756">
      <w:pPr>
        <w:pStyle w:val="SangriaFrancesaArticulo"/>
      </w:pPr>
    </w:p>
    <w:p w:rsidR="00E27756" w:rsidRDefault="00E27756" w:rsidP="00E27756">
      <w:pPr>
        <w:pStyle w:val="TextoNormalNegritaCursivandice"/>
      </w:pPr>
      <w:r>
        <w:t>Real Decreto-ley 4/2010, de 26 de marzo. Racionalización del gasto farmacéutico con cargo al sistema nacional de salud</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88" w:history="1">
        <w:r w:rsidRPr="00E27756">
          <w:rPr>
            <w:rStyle w:val="TextoNormalCaracter"/>
          </w:rPr>
          <w:t>88/2013</w:t>
        </w:r>
      </w:hyperlink>
      <w:r>
        <w:t>, f. 1.</w:t>
      </w:r>
    </w:p>
    <w:p w:rsidR="00E27756" w:rsidRDefault="00E27756" w:rsidP="00E27756">
      <w:pPr>
        <w:pStyle w:val="SangriaFrancesaArticulo"/>
      </w:pPr>
    </w:p>
    <w:p w:rsidR="00E27756" w:rsidRDefault="00E27756" w:rsidP="00E27756">
      <w:pPr>
        <w:pStyle w:val="TextoNormalNegritaCursivandice"/>
      </w:pPr>
      <w:r>
        <w:t>Real Decreto-ley 5/2010, de 31 de marzo. Amplía la vigencia de determinadas medidas económicas de carácter temporal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8" w:history="1">
        <w:r w:rsidRPr="00E27756">
          <w:rPr>
            <w:rStyle w:val="TextoNormalCaracter"/>
          </w:rPr>
          <w:t>108/2013</w:t>
        </w:r>
      </w:hyperlink>
      <w:r>
        <w:t>, f. 4.</w:t>
      </w:r>
    </w:p>
    <w:p w:rsidR="00E27756" w:rsidRDefault="00E27756" w:rsidP="00E27756">
      <w:pPr>
        <w:pStyle w:val="SangriaFrancesaArticulo"/>
      </w:pPr>
    </w:p>
    <w:p w:rsidR="00E27756" w:rsidRDefault="00E27756" w:rsidP="00E27756">
      <w:pPr>
        <w:pStyle w:val="TextoNormalNegritaCursivandice"/>
      </w:pPr>
      <w:r>
        <w:t>Real Decreto-ley 6/2010, de 9 de abril. Medidas para el impulso de la recuperación económica y el empleo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23" w:history="1">
        <w:r w:rsidRPr="00E27756">
          <w:rPr>
            <w:rStyle w:val="TextoNormalCaracter"/>
          </w:rPr>
          <w:t>123/2013</w:t>
        </w:r>
      </w:hyperlink>
      <w:r>
        <w:t xml:space="preserve">, f. 2; </w:t>
      </w:r>
      <w:hyperlink w:anchor="SENTENCIA_2013_130" w:history="1">
        <w:r w:rsidRPr="00E27756">
          <w:rPr>
            <w:rStyle w:val="TextoNormalCaracter"/>
          </w:rPr>
          <w:t>130/2013</w:t>
        </w:r>
      </w:hyperlink>
      <w:r>
        <w:t xml:space="preserve">, f. 2; </w:t>
      </w:r>
      <w:hyperlink w:anchor="SENTENCIA_2013_135" w:history="1">
        <w:r w:rsidRPr="00E27756">
          <w:rPr>
            <w:rStyle w:val="TextoNormalCaracter"/>
          </w:rPr>
          <w:t>135/2013</w:t>
        </w:r>
      </w:hyperlink>
      <w:r>
        <w:t>, f. 2.</w:t>
      </w:r>
    </w:p>
    <w:p w:rsidR="00E27756" w:rsidRDefault="00E27756" w:rsidP="00E27756">
      <w:pPr>
        <w:pStyle w:val="SangriaFrancesaArticulo"/>
      </w:pPr>
    </w:p>
    <w:p w:rsidR="00E27756" w:rsidRDefault="00E27756" w:rsidP="00E27756">
      <w:pPr>
        <w:pStyle w:val="TextoNormalNegritaCursivandice"/>
      </w:pPr>
      <w:r>
        <w:t>Real Decreto-ley 8/2010, de 20 de mayo. Medidas extraordinarias para la reducción del déficit público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88" w:history="1">
        <w:r w:rsidRPr="00E27756">
          <w:rPr>
            <w:rStyle w:val="TextoNormalCaracter"/>
          </w:rPr>
          <w:t>88/2013</w:t>
        </w:r>
      </w:hyperlink>
      <w:r>
        <w:t>, f. 1.</w:t>
      </w:r>
    </w:p>
    <w:p w:rsidR="00E27756" w:rsidRDefault="00E27756" w:rsidP="00E27756">
      <w:pPr>
        <w:pStyle w:val="SangriaFrancesaArticulo"/>
      </w:pPr>
    </w:p>
    <w:p w:rsidR="00E27756" w:rsidRDefault="00E27756" w:rsidP="00E27756">
      <w:pPr>
        <w:pStyle w:val="TextoNormalNegritaCursivandice"/>
      </w:pPr>
      <w:r>
        <w:t>Real Decreto-ley 8/2011, de 1 de julio. Medidas de apoyo a deudores hipotecarios, control del gasto público y cancelación de deudas de entidades locales, fomento de la actividad empresarial y simplificación administrativa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80" w:history="1">
        <w:r w:rsidRPr="00E27756">
          <w:rPr>
            <w:rStyle w:val="TextoNormalCaracter"/>
          </w:rPr>
          <w:t>80/2013</w:t>
        </w:r>
      </w:hyperlink>
      <w:r>
        <w:t>, f. 4.</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Auto </w:t>
      </w:r>
      <w:hyperlink w:anchor="AUTO_2013_80" w:history="1">
        <w:r w:rsidRPr="00E27756">
          <w:rPr>
            <w:rStyle w:val="TextoNormalCaracter"/>
          </w:rPr>
          <w:t>80/2013</w:t>
        </w:r>
      </w:hyperlink>
      <w:r>
        <w:t>, ff. 1, 4.</w:t>
      </w:r>
    </w:p>
    <w:p w:rsidR="00E27756" w:rsidRDefault="00E27756" w:rsidP="00E27756">
      <w:pPr>
        <w:pStyle w:val="SangriaFrancesaArticulo"/>
      </w:pPr>
      <w:r w:rsidRPr="00E27756">
        <w:rPr>
          <w:rStyle w:val="TextoNormalNegritaCaracter"/>
        </w:rPr>
        <w:t>Artículo 30.3.</w:t>
      </w:r>
      <w:r w:rsidRPr="00E27756">
        <w:rPr>
          <w:rStyle w:val="TextoNormalCaracter"/>
        </w:rPr>
        <w:t>-</w:t>
      </w:r>
      <w:r>
        <w:t xml:space="preserve"> Sentencia </w:t>
      </w:r>
      <w:hyperlink w:anchor="SENTENCIA_2013_129" w:history="1">
        <w:r w:rsidRPr="00E27756">
          <w:rPr>
            <w:rStyle w:val="TextoNormalCaracter"/>
          </w:rPr>
          <w:t>129/2013</w:t>
        </w:r>
      </w:hyperlink>
      <w:r>
        <w:t>, f. 9.</w:t>
      </w:r>
    </w:p>
    <w:p w:rsidR="00E27756" w:rsidRDefault="00E27756" w:rsidP="00E27756">
      <w:pPr>
        <w:pStyle w:val="SangriaFrancesaArticulo"/>
      </w:pPr>
    </w:p>
    <w:p w:rsidR="00E27756" w:rsidRDefault="00E27756" w:rsidP="00E27756">
      <w:pPr>
        <w:pStyle w:val="TextoNormalNegritaCursivandice"/>
      </w:pPr>
      <w:r>
        <w:t>Real Decreto-ley 9/2011, de 19 de agosto. Medidas para la mejora de la calidad y cohesión del sistema nacional de salud, de contribución a la consolidación fiscal, y de elevación del importe máximo de los avales del Estado para 2011</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88" w:history="1">
        <w:r w:rsidRPr="00E27756">
          <w:rPr>
            <w:rStyle w:val="TextoNormalCaracter"/>
          </w:rPr>
          <w:t>88/2013</w:t>
        </w:r>
      </w:hyperlink>
      <w:r>
        <w:t>, f. 1.</w:t>
      </w:r>
    </w:p>
    <w:p w:rsidR="00E27756" w:rsidRDefault="00E27756" w:rsidP="00E27756">
      <w:pPr>
        <w:pStyle w:val="SangriaFrancesaArticulo"/>
      </w:pPr>
    </w:p>
    <w:p w:rsidR="00E27756" w:rsidRDefault="00E27756" w:rsidP="00E27756">
      <w:pPr>
        <w:pStyle w:val="TextoNormalNegritaCursivandice"/>
      </w:pPr>
      <w:r>
        <w:t>Real Decreto-ley 3/2012, de 10 de febrero. Medidas urgentes para la reforma del mercado laboral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2" w:history="1">
        <w:r w:rsidRPr="00E27756">
          <w:rPr>
            <w:rStyle w:val="TextoNormalCaracter"/>
          </w:rPr>
          <w:t>42/2013</w:t>
        </w:r>
      </w:hyperlink>
      <w:r>
        <w:t>, f. 5.</w:t>
      </w:r>
    </w:p>
    <w:p w:rsidR="00E27756" w:rsidRDefault="00E27756" w:rsidP="00E27756">
      <w:pPr>
        <w:pStyle w:val="SangriaFrancesaArticulo"/>
      </w:pPr>
    </w:p>
    <w:p w:rsidR="00E27756" w:rsidRDefault="00E27756" w:rsidP="00E27756">
      <w:pPr>
        <w:pStyle w:val="TextoNormalNegritaCursivandice"/>
      </w:pPr>
      <w:r>
        <w:t>Real Decreto-ley 13/2012, de 30 de marzo. Se transponen directivas en materia de mercados interiores de electricidad y gas y en materia de comunicaciones electrónicas, y por el que se adoptan medidas para la corrección de las desviaciones por desajustes entre los costes e ingresos de los sectores eléctrico y gasista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8" w:history="1">
        <w:r w:rsidRPr="00E27756">
          <w:rPr>
            <w:rStyle w:val="TextoNormalCaracter"/>
          </w:rPr>
          <w:t>8/2013</w:t>
        </w:r>
      </w:hyperlink>
      <w:r>
        <w:t xml:space="preserve">, f. 2; </w:t>
      </w:r>
      <w:hyperlink w:anchor="SENTENCIA_2013_102" w:history="1">
        <w:r w:rsidRPr="00E27756">
          <w:rPr>
            <w:rStyle w:val="TextoNormalCaracter"/>
          </w:rPr>
          <w:t>102/2013</w:t>
        </w:r>
      </w:hyperlink>
      <w:r>
        <w:t xml:space="preserve">, f. 2; </w:t>
      </w:r>
      <w:hyperlink w:anchor="SENTENCIA_2013_123" w:history="1">
        <w:r w:rsidRPr="00E27756">
          <w:rPr>
            <w:rStyle w:val="TextoNormalCaracter"/>
          </w:rPr>
          <w:t>123/2013</w:t>
        </w:r>
      </w:hyperlink>
      <w:r>
        <w:t>, f. 2.</w:t>
      </w:r>
    </w:p>
    <w:p w:rsidR="00E27756" w:rsidRDefault="00E27756" w:rsidP="00E27756">
      <w:pPr>
        <w:pStyle w:val="SangriaFrancesaArticulo"/>
      </w:pPr>
      <w:r w:rsidRPr="00E27756">
        <w:rPr>
          <w:rStyle w:val="TextoNormalNegritaCaracter"/>
        </w:rPr>
        <w:t>Disposición final quinta.</w:t>
      </w:r>
      <w:r w:rsidRPr="00E27756">
        <w:rPr>
          <w:rStyle w:val="TextoNormalCaracter"/>
        </w:rPr>
        <w:t>-</w:t>
      </w:r>
      <w:r>
        <w:t xml:space="preserve"> Sentencia </w:t>
      </w:r>
      <w:hyperlink w:anchor="SENTENCIA_2013_102" w:history="1">
        <w:r w:rsidRPr="00E27756">
          <w:rPr>
            <w:rStyle w:val="TextoNormalCaracter"/>
          </w:rPr>
          <w:t>102/2013</w:t>
        </w:r>
      </w:hyperlink>
      <w:r>
        <w:t>, f. 5.</w:t>
      </w:r>
    </w:p>
    <w:p w:rsidR="00E27756" w:rsidRDefault="00E27756" w:rsidP="00E27756">
      <w:pPr>
        <w:pStyle w:val="SangriaFrancesaArticulo"/>
      </w:pPr>
    </w:p>
    <w:p w:rsidR="00E27756" w:rsidRDefault="00E27756" w:rsidP="00E27756">
      <w:pPr>
        <w:pStyle w:val="TextoNormalNegritaCursivandice"/>
      </w:pPr>
      <w:r>
        <w:t>Real Decreto-ley 14/2012, de 20 de abril. Medidas urgentes de racionalización del gasto público en el ámbito educativo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31" w:history="1">
        <w:r w:rsidRPr="00E27756">
          <w:rPr>
            <w:rStyle w:val="TextoNormalCaracter"/>
          </w:rPr>
          <w:t>131/2013</w:t>
        </w:r>
      </w:hyperlink>
      <w:r>
        <w:t xml:space="preserve">, f. 3; </w:t>
      </w:r>
      <w:hyperlink w:anchor="SENTENCIA_2013_134" w:history="1">
        <w:r w:rsidRPr="00E27756">
          <w:rPr>
            <w:rStyle w:val="TextoNormalCaracter"/>
          </w:rPr>
          <w:t>134/2013</w:t>
        </w:r>
      </w:hyperlink>
      <w:r>
        <w:t>, f. 3.</w:t>
      </w:r>
    </w:p>
    <w:p w:rsidR="00E27756" w:rsidRDefault="00E27756" w:rsidP="00E27756">
      <w:pPr>
        <w:pStyle w:val="SangriaFrancesaArticulo"/>
      </w:pPr>
    </w:p>
    <w:p w:rsidR="00E27756" w:rsidRDefault="00E27756" w:rsidP="00E27756">
      <w:pPr>
        <w:pStyle w:val="TextoNormalNegritaCursivandice"/>
      </w:pPr>
      <w:r>
        <w:t>Real Decreto-ley 16/2012, de 20 de abril. Medidas urgentes para garantizar la sostenibilidad del sistema nacional de salud y mejorar la calidad y seguridad de sus prestaciones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f. 9.</w:t>
      </w:r>
    </w:p>
    <w:p w:rsidR="00E27756" w:rsidRDefault="00E27756" w:rsidP="00E27756">
      <w:pPr>
        <w:pStyle w:val="SangriaIzquierdaArticulo"/>
      </w:pPr>
      <w:r>
        <w:t xml:space="preserve">Auto </w:t>
      </w:r>
      <w:hyperlink w:anchor="AUTO_2013_88" w:history="1">
        <w:r w:rsidRPr="00E27756">
          <w:rPr>
            <w:rStyle w:val="TextoNormalCaracter"/>
          </w:rPr>
          <w:t>88/2013</w:t>
        </w:r>
      </w:hyperlink>
      <w:r>
        <w:t>, f. 1.</w:t>
      </w:r>
    </w:p>
    <w:p w:rsidR="00E27756" w:rsidRDefault="00E27756" w:rsidP="00E27756">
      <w:pPr>
        <w:pStyle w:val="SangriaFrancesaArticulo"/>
      </w:pPr>
      <w:r w:rsidRPr="00E27756">
        <w:rPr>
          <w:rStyle w:val="TextoNormalNegritaCaracter"/>
        </w:rPr>
        <w:t>Disposición final tercera.</w:t>
      </w:r>
      <w:r w:rsidRPr="00E27756">
        <w:rPr>
          <w:rStyle w:val="TextoNormalCaracter"/>
        </w:rPr>
        <w:t>-</w:t>
      </w:r>
      <w:r>
        <w:t xml:space="preserve"> Sentencia </w:t>
      </w:r>
      <w:hyperlink w:anchor="SENTENCIA_2013_17" w:history="1">
        <w:r w:rsidRPr="00E27756">
          <w:rPr>
            <w:rStyle w:val="TextoNormalCaracter"/>
          </w:rPr>
          <w:t>17/2013</w:t>
        </w:r>
      </w:hyperlink>
      <w:r>
        <w:t>, f. 9.</w:t>
      </w:r>
    </w:p>
    <w:p w:rsidR="00E27756" w:rsidRDefault="00E27756" w:rsidP="00E27756">
      <w:pPr>
        <w:pStyle w:val="SangriaFrancesaArticulo"/>
      </w:pPr>
    </w:p>
    <w:p w:rsidR="00E27756" w:rsidRDefault="00E27756" w:rsidP="00E27756">
      <w:pPr>
        <w:pStyle w:val="TextoNormalNegritaCursivandice"/>
      </w:pPr>
      <w:r>
        <w:t>Real Decreto-ley 20/2012, de 13 de julio. Medidas para garantizar la estabilidad presupuestaria y de fomento de la competitividad</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0" w:history="1">
        <w:r w:rsidRPr="00E27756">
          <w:rPr>
            <w:rStyle w:val="TextoNormalCaracter"/>
          </w:rPr>
          <w:t>60/2013</w:t>
        </w:r>
      </w:hyperlink>
      <w:r>
        <w:t>, f. 2.</w:t>
      </w:r>
    </w:p>
    <w:p w:rsidR="00E27756" w:rsidRDefault="00E27756" w:rsidP="00E27756">
      <w:pPr>
        <w:pStyle w:val="SangriaIzquierdaArticulo"/>
      </w:pPr>
      <w:r>
        <w:lastRenderedPageBreak/>
        <w:t xml:space="preserve">Autos </w:t>
      </w:r>
      <w:hyperlink w:anchor="AUTO_2013_86" w:history="1">
        <w:r w:rsidRPr="00E27756">
          <w:rPr>
            <w:rStyle w:val="TextoNormalCaracter"/>
          </w:rPr>
          <w:t>86/2013</w:t>
        </w:r>
      </w:hyperlink>
      <w:r>
        <w:t xml:space="preserve">, ff. 4 a 6; </w:t>
      </w:r>
      <w:hyperlink w:anchor="AUTO_2013_146" w:history="1">
        <w:r w:rsidRPr="00E27756">
          <w:rPr>
            <w:rStyle w:val="TextoNormalCaracter"/>
          </w:rPr>
          <w:t>146/2013</w:t>
        </w:r>
      </w:hyperlink>
      <w:r>
        <w:t>, f. 3.</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Auto </w:t>
      </w:r>
      <w:hyperlink w:anchor="AUTO_2013_86" w:history="1">
        <w:r w:rsidRPr="00E27756">
          <w:rPr>
            <w:rStyle w:val="TextoNormalCaracter"/>
          </w:rPr>
          <w:t>86/2013</w:t>
        </w:r>
      </w:hyperlink>
      <w:r>
        <w:t>, f. 4.</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Auto </w:t>
      </w:r>
      <w:hyperlink w:anchor="AUTO_2013_86" w:history="1">
        <w:r w:rsidRPr="00E27756">
          <w:rPr>
            <w:rStyle w:val="TextoNormalCaracter"/>
          </w:rPr>
          <w:t>86/2013</w:t>
        </w:r>
      </w:hyperlink>
      <w:r>
        <w:t>, ff. 4, 6.</w:t>
      </w:r>
    </w:p>
    <w:p w:rsidR="00E27756" w:rsidRDefault="00E27756" w:rsidP="00E27756">
      <w:pPr>
        <w:pStyle w:val="SangriaFrancesaArticulo"/>
      </w:pPr>
      <w:r w:rsidRPr="00E27756">
        <w:rPr>
          <w:rStyle w:val="TextoNormalNegritaCaracter"/>
        </w:rPr>
        <w:t>Artículo 2.4.</w:t>
      </w:r>
      <w:r w:rsidRPr="00E27756">
        <w:rPr>
          <w:rStyle w:val="TextoNormalCaracter"/>
        </w:rPr>
        <w:t>-</w:t>
      </w:r>
      <w:r>
        <w:t xml:space="preserve"> Auto </w:t>
      </w:r>
      <w:hyperlink w:anchor="AUTO_2013_86" w:history="1">
        <w:r w:rsidRPr="00E27756">
          <w:rPr>
            <w:rStyle w:val="TextoNormalCaracter"/>
          </w:rPr>
          <w:t>86/2013</w:t>
        </w:r>
      </w:hyperlink>
      <w:r>
        <w:t>, f. 3.</w:t>
      </w:r>
    </w:p>
    <w:p w:rsidR="00E27756" w:rsidRDefault="00E27756" w:rsidP="00E27756">
      <w:pPr>
        <w:pStyle w:val="SangriaFrancesaArticulo"/>
      </w:pPr>
      <w:r w:rsidRPr="00E27756">
        <w:rPr>
          <w:rStyle w:val="TextoNormalNegritaCaracter"/>
        </w:rPr>
        <w:t>Disposición final cuarta.</w:t>
      </w:r>
      <w:r w:rsidRPr="00E27756">
        <w:rPr>
          <w:rStyle w:val="TextoNormalCaracter"/>
        </w:rPr>
        <w:t>-</w:t>
      </w:r>
      <w:r>
        <w:t xml:space="preserve"> Auto </w:t>
      </w:r>
      <w:hyperlink w:anchor="AUTO_2013_146" w:history="1">
        <w:r w:rsidRPr="00E27756">
          <w:rPr>
            <w:rStyle w:val="TextoNormalCaracter"/>
          </w:rPr>
          <w:t>146/2013</w:t>
        </w:r>
      </w:hyperlink>
      <w:r>
        <w:t>, f. 3.</w:t>
      </w:r>
    </w:p>
    <w:p w:rsidR="00E27756" w:rsidRDefault="00E27756" w:rsidP="00E27756">
      <w:pPr>
        <w:pStyle w:val="SangriaFrancesaArticulo"/>
      </w:pPr>
    </w:p>
    <w:p w:rsidR="00E27756" w:rsidRDefault="00E27756" w:rsidP="00E27756">
      <w:pPr>
        <w:pStyle w:val="TextoNormalNegritaCursivandice"/>
      </w:pPr>
      <w:r>
        <w:t>Real Decreto-ley 21/2012, de 13 de julio. Medidas de liquidez de las Administraciones públicas y en el ámbito financiero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23" w:history="1">
        <w:r w:rsidRPr="00E27756">
          <w:rPr>
            <w:rStyle w:val="TextoNormalCaracter"/>
          </w:rPr>
          <w:t>123/2013</w:t>
        </w:r>
      </w:hyperlink>
      <w:r>
        <w:t>, f. 4.</w:t>
      </w:r>
    </w:p>
    <w:p w:rsidR="00E27756" w:rsidRDefault="00E27756" w:rsidP="00E27756">
      <w:pPr>
        <w:pStyle w:val="SangriaFrancesaArticulo"/>
      </w:pPr>
    </w:p>
    <w:p w:rsidR="00E27756" w:rsidRDefault="00E27756" w:rsidP="00E27756">
      <w:pPr>
        <w:pStyle w:val="TextoNormalNegritaCursivandice"/>
      </w:pPr>
      <w:r>
        <w:t>Real Decreto-ley 24/2012, de 31 de agosto. Reestructuración y resolución de entidades de crédito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23" w:history="1">
        <w:r w:rsidRPr="00E27756">
          <w:rPr>
            <w:rStyle w:val="TextoNormalCaracter"/>
          </w:rPr>
          <w:t>123/2013</w:t>
        </w:r>
      </w:hyperlink>
      <w:r>
        <w:t>, f. 4.</w:t>
      </w:r>
    </w:p>
    <w:p w:rsidR="00E27756" w:rsidRDefault="00E27756" w:rsidP="00E27756">
      <w:pPr>
        <w:pStyle w:val="SangriaFrancesaArticulo"/>
      </w:pPr>
    </w:p>
    <w:p w:rsidR="00E27756" w:rsidRDefault="00E27756" w:rsidP="00E27756">
      <w:pPr>
        <w:pStyle w:val="TextoNormalNegritaCursivandice"/>
      </w:pPr>
      <w:r>
        <w:t>Real Decreto-ley 29/2012, de 28 de diciembre. Mejora de gestión y protección social en el Sistema Especial para Empleados de Hogar y otras medidas de carácter económico y social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3" w:history="1">
        <w:r w:rsidRPr="00E27756">
          <w:rPr>
            <w:rStyle w:val="TextoNormalCaracter"/>
          </w:rPr>
          <w:t>123/2013</w:t>
        </w:r>
      </w:hyperlink>
      <w:r>
        <w:t>, f. 2.</w:t>
      </w:r>
    </w:p>
    <w:p w:rsidR="00E27756" w:rsidRDefault="00E27756" w:rsidP="00E27756">
      <w:pPr>
        <w:pStyle w:val="SangriaFrancesaArticulo"/>
      </w:pPr>
    </w:p>
    <w:p w:rsidR="00E27756" w:rsidRDefault="00E27756" w:rsidP="00E27756">
      <w:pPr>
        <w:pStyle w:val="TextoNormalNegritaCursivandice"/>
      </w:pPr>
      <w:r>
        <w:t>Real Decreto-ley 4/2013, de 22 de febrero. Medidas de apoyo al emprendedor y de estímulo del crecimiento y de la creación de empleo</w:t>
      </w:r>
    </w:p>
    <w:p w:rsidR="00E27756" w:rsidRDefault="00E27756" w:rsidP="00E27756">
      <w:pPr>
        <w:pStyle w:val="SangriaFrancesaArticulo"/>
      </w:pPr>
      <w:r w:rsidRPr="00E27756">
        <w:rPr>
          <w:rStyle w:val="TextoNormalNegritaCaracter"/>
        </w:rPr>
        <w:t>Artículo 37.1.</w:t>
      </w:r>
      <w:r w:rsidRPr="00E27756">
        <w:rPr>
          <w:rStyle w:val="TextoNormalCaracter"/>
        </w:rPr>
        <w:t>-</w:t>
      </w:r>
      <w:r>
        <w:t xml:space="preserve"> Sentencia </w:t>
      </w:r>
      <w:hyperlink w:anchor="SENTENCIA_2013_83" w:history="1">
        <w:r w:rsidRPr="00E27756">
          <w:rPr>
            <w:rStyle w:val="TextoNormalCaracter"/>
          </w:rPr>
          <w:t>83/2013</w:t>
        </w:r>
      </w:hyperlink>
      <w:r>
        <w:t>, f. 4.</w:t>
      </w:r>
    </w:p>
    <w:p w:rsidR="00E27756" w:rsidRDefault="00E27756" w:rsidP="00E27756">
      <w:pPr>
        <w:pStyle w:val="TextoNormal"/>
      </w:pPr>
    </w:p>
    <w:p w:rsidR="00E27756" w:rsidRDefault="00E27756" w:rsidP="00E27756">
      <w:pPr>
        <w:pStyle w:val="SangriaFrancesaArticulo"/>
      </w:pPr>
      <w:bookmarkStart w:id="301" w:name="INDICE22849"/>
    </w:p>
    <w:bookmarkEnd w:id="301"/>
    <w:p w:rsidR="00E27756" w:rsidRDefault="00E27756" w:rsidP="00E27756">
      <w:pPr>
        <w:pStyle w:val="TextoIndiceNivel2"/>
        <w:suppressAutoHyphens/>
      </w:pPr>
      <w:r>
        <w:t>H) Reales Decretos y otras disposiciones generales del Estado</w:t>
      </w:r>
    </w:p>
    <w:p w:rsidR="00E27756" w:rsidRDefault="00E27756" w:rsidP="00E27756">
      <w:pPr>
        <w:pStyle w:val="TextoIndiceNivel2"/>
      </w:pPr>
    </w:p>
    <w:p w:rsidR="00E27756" w:rsidRDefault="00E27756" w:rsidP="00E27756">
      <w:pPr>
        <w:pStyle w:val="TextoNormalNegritaCursivandice"/>
      </w:pPr>
      <w:r>
        <w:t>Real Decreto 1010/1981, de 27 de febrero. Traspasa servicios del Estado a la Generalidad de Cataluña en materia de libro y bibliotecas, cinematografías, música y teatro, patrimonio histórico-artístico, promoción socio-cultural, difusión cultural y fundaciones y asociaciones culturales</w:t>
      </w:r>
    </w:p>
    <w:p w:rsidR="00E27756" w:rsidRDefault="00E27756" w:rsidP="00E27756">
      <w:pPr>
        <w:pStyle w:val="SangriaFrancesaArticulo"/>
      </w:pPr>
      <w:r w:rsidRPr="00E27756">
        <w:rPr>
          <w:rStyle w:val="TextoNormalNegritaCaracter"/>
        </w:rPr>
        <w:t>Anexo, apartado b) 6.</w:t>
      </w:r>
      <w:r w:rsidRPr="00E27756">
        <w:rPr>
          <w:rStyle w:val="TextoNormalCaracter"/>
        </w:rPr>
        <w:t>-</w:t>
      </w:r>
      <w:r>
        <w:t xml:space="preserve"> Sentencia </w:t>
      </w:r>
      <w:hyperlink w:anchor="SENTENCIA_2013_14" w:history="1">
        <w:r w:rsidRPr="00E27756">
          <w:rPr>
            <w:rStyle w:val="TextoNormalCaracter"/>
          </w:rPr>
          <w:t>14/2013</w:t>
        </w:r>
      </w:hyperlink>
      <w:r>
        <w:t>, f. 3.</w:t>
      </w:r>
    </w:p>
    <w:p w:rsidR="00E27756" w:rsidRDefault="00E27756" w:rsidP="00E27756">
      <w:pPr>
        <w:pStyle w:val="SangriaFrancesaArticulo"/>
      </w:pPr>
    </w:p>
    <w:p w:rsidR="00E27756" w:rsidRDefault="00E27756" w:rsidP="00E27756">
      <w:pPr>
        <w:pStyle w:val="TextoNormalNegritaCursivandice"/>
      </w:pPr>
      <w:r>
        <w:t>Real Decreto 3019/1983, de 21 de septiembre. Traspaso de funciones y servicios del Estado, en materia de cultura, a la Comunidad de Castilla y León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8" w:history="1">
        <w:r w:rsidRPr="00E27756">
          <w:rPr>
            <w:rStyle w:val="TextoNormalCaracter"/>
          </w:rPr>
          <w:t>38/2013</w:t>
        </w:r>
      </w:hyperlink>
      <w:r>
        <w:t>, f. 3.</w:t>
      </w:r>
    </w:p>
    <w:p w:rsidR="00E27756" w:rsidRDefault="00E27756" w:rsidP="00E27756">
      <w:pPr>
        <w:pStyle w:val="SangriaFrancesaArticulo"/>
      </w:pPr>
    </w:p>
    <w:p w:rsidR="00E27756" w:rsidRDefault="00E27756" w:rsidP="00E27756">
      <w:pPr>
        <w:pStyle w:val="TextoNormalNegritaCursivandice"/>
      </w:pPr>
      <w:r>
        <w:t>Real Decreto 3066/1983, de 13 de octubre. Traspaso de funciones y servicios del Estado a la Generalidad Valenciana en materia de cultura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6" w:history="1">
        <w:r w:rsidRPr="00E27756">
          <w:rPr>
            <w:rStyle w:val="TextoNormalCaracter"/>
          </w:rPr>
          <w:t>66/2013</w:t>
        </w:r>
      </w:hyperlink>
      <w:r>
        <w:t>, f. 1.</w:t>
      </w:r>
    </w:p>
    <w:p w:rsidR="00E27756" w:rsidRDefault="00E27756" w:rsidP="00E27756">
      <w:pPr>
        <w:pStyle w:val="SangriaFrancesaArticulo"/>
      </w:pPr>
    </w:p>
    <w:p w:rsidR="00E27756" w:rsidRDefault="00E27756" w:rsidP="00E27756">
      <w:pPr>
        <w:pStyle w:val="TextoNormalNegritaCursivandice"/>
      </w:pPr>
      <w:r>
        <w:t>Real Decreto 275/1984, de 11 de enero. Viñas. Reestructuración y reconversión</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34" w:history="1">
        <w:r w:rsidRPr="00E27756">
          <w:rPr>
            <w:rStyle w:val="TextoNormalCaracter"/>
          </w:rPr>
          <w:t>34/2013</w:t>
        </w:r>
      </w:hyperlink>
      <w:r>
        <w:t>, f. 18.</w:t>
      </w:r>
    </w:p>
    <w:p w:rsidR="00E27756" w:rsidRDefault="00E27756" w:rsidP="00E27756">
      <w:pPr>
        <w:pStyle w:val="SangriaFrancesaArticulo"/>
      </w:pPr>
    </w:p>
    <w:p w:rsidR="00E27756" w:rsidRDefault="00E27756" w:rsidP="00E27756">
      <w:pPr>
        <w:pStyle w:val="TextoNormalNegritaCursivandice"/>
      </w:pPr>
      <w:r>
        <w:lastRenderedPageBreak/>
        <w:t>Real Decreto 2568/1986, de 28 de noviembre. Reglamento de organización, funcionamiento y régimen jurídico de las entidades locales</w:t>
      </w:r>
    </w:p>
    <w:p w:rsidR="00E27756" w:rsidRDefault="00E27756" w:rsidP="00E27756">
      <w:pPr>
        <w:pStyle w:val="SangriaFrancesaArticulo"/>
      </w:pPr>
      <w:r w:rsidRPr="00E27756">
        <w:rPr>
          <w:rStyle w:val="TextoNormalNegritaCaracter"/>
        </w:rPr>
        <w:t>Artículo 192.2.</w:t>
      </w:r>
      <w:r w:rsidRPr="00E27756">
        <w:rPr>
          <w:rStyle w:val="TextoNormalCaracter"/>
        </w:rPr>
        <w:t>-</w:t>
      </w:r>
      <w:r>
        <w:t xml:space="preserve"> Sentencia </w:t>
      </w:r>
      <w:hyperlink w:anchor="SENTENCIA_2013_94" w:history="1">
        <w:r w:rsidRPr="00E27756">
          <w:rPr>
            <w:rStyle w:val="TextoNormalCaracter"/>
          </w:rPr>
          <w:t>94/2013</w:t>
        </w:r>
      </w:hyperlink>
      <w:r>
        <w:t>, f. 6, VP I.</w:t>
      </w:r>
    </w:p>
    <w:p w:rsidR="00E27756" w:rsidRDefault="00E27756" w:rsidP="00E27756">
      <w:pPr>
        <w:pStyle w:val="SangriaFrancesaArticulo"/>
      </w:pPr>
    </w:p>
    <w:p w:rsidR="00E27756" w:rsidRDefault="00E27756" w:rsidP="00E27756">
      <w:pPr>
        <w:pStyle w:val="TextoNormalNegritaCursivandice"/>
      </w:pPr>
      <w:r>
        <w:t>Real Decreto 157/1988, de 22 de febrero. Establece la normativa a que deben ajustarse las denominaciones de origen y las denominaciones de origen calificadas de vino y sus respectivos reglamentos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4" w:history="1">
        <w:r w:rsidRPr="00E27756">
          <w:rPr>
            <w:rStyle w:val="TextoNormalCaracter"/>
          </w:rPr>
          <w:t>34/2013</w:t>
        </w:r>
      </w:hyperlink>
      <w:r>
        <w:t>, ff. 4, 8, 10.</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34" w:history="1">
        <w:r w:rsidRPr="00E27756">
          <w:rPr>
            <w:rStyle w:val="TextoNormalCaracter"/>
          </w:rPr>
          <w:t>34/2013</w:t>
        </w:r>
      </w:hyperlink>
      <w:r>
        <w:t>, f. 8.</w:t>
      </w:r>
    </w:p>
    <w:p w:rsidR="00E27756" w:rsidRDefault="00E27756" w:rsidP="00E27756">
      <w:pPr>
        <w:pStyle w:val="SangriaFrancesaArticulo"/>
      </w:pPr>
      <w:r w:rsidRPr="00E27756">
        <w:rPr>
          <w:rStyle w:val="TextoNormalNegritaCaracter"/>
        </w:rPr>
        <w:t>Artículos 2 a 16.</w:t>
      </w:r>
      <w:r w:rsidRPr="00E27756">
        <w:rPr>
          <w:rStyle w:val="TextoNormalCaracter"/>
        </w:rPr>
        <w:t>-</w:t>
      </w:r>
      <w:r>
        <w:t xml:space="preserve"> Sentencia </w:t>
      </w:r>
      <w:hyperlink w:anchor="SENTENCIA_2013_34" w:history="1">
        <w:r w:rsidRPr="00E27756">
          <w:rPr>
            <w:rStyle w:val="TextoNormalCaracter"/>
          </w:rPr>
          <w:t>34/2013</w:t>
        </w:r>
      </w:hyperlink>
      <w:r>
        <w:t>, f. 4.</w:t>
      </w:r>
    </w:p>
    <w:p w:rsidR="00E27756" w:rsidRDefault="00E27756" w:rsidP="00E27756">
      <w:pPr>
        <w:pStyle w:val="SangriaFrancesaArticulo"/>
      </w:pPr>
      <w:r w:rsidRPr="00E27756">
        <w:rPr>
          <w:rStyle w:val="TextoNormalNegritaCaracter"/>
        </w:rPr>
        <w:t>Artículos 2 a 21.</w:t>
      </w:r>
      <w:r w:rsidRPr="00E27756">
        <w:rPr>
          <w:rStyle w:val="TextoNormalCaracter"/>
        </w:rPr>
        <w:t>-</w:t>
      </w:r>
      <w:r>
        <w:t xml:space="preserve"> Sentencia </w:t>
      </w:r>
      <w:hyperlink w:anchor="SENTENCIA_2013_34" w:history="1">
        <w:r w:rsidRPr="00E27756">
          <w:rPr>
            <w:rStyle w:val="TextoNormalCaracter"/>
          </w:rPr>
          <w:t>34/2013</w:t>
        </w:r>
      </w:hyperlink>
      <w:r>
        <w:t>, ff. 6, 8.</w:t>
      </w:r>
    </w:p>
    <w:p w:rsidR="00E27756" w:rsidRDefault="00E27756" w:rsidP="00E27756">
      <w:pPr>
        <w:pStyle w:val="SangriaFrancesaArticulo"/>
      </w:pPr>
      <w:r w:rsidRPr="00E27756">
        <w:rPr>
          <w:rStyle w:val="TextoNormalNegritaCaracter"/>
        </w:rPr>
        <w:t>Artículos 2-16.</w:t>
      </w:r>
      <w:r w:rsidRPr="00E27756">
        <w:rPr>
          <w:rStyle w:val="TextoNormalCaracter"/>
        </w:rPr>
        <w:t>-</w:t>
      </w:r>
      <w:r>
        <w:t xml:space="preserve"> Sentencia </w:t>
      </w:r>
      <w:hyperlink w:anchor="SENTENCIA_2013_34" w:history="1">
        <w:r w:rsidRPr="00E27756">
          <w:rPr>
            <w:rStyle w:val="TextoNormalCaracter"/>
          </w:rPr>
          <w:t>34/2013</w:t>
        </w:r>
      </w:hyperlink>
      <w:r>
        <w:t>, f. 4.</w:t>
      </w:r>
    </w:p>
    <w:p w:rsidR="00E27756" w:rsidRDefault="00E27756" w:rsidP="00E27756">
      <w:pPr>
        <w:pStyle w:val="SangriaFrancesaArticulo"/>
      </w:pPr>
      <w:r w:rsidRPr="00E27756">
        <w:rPr>
          <w:rStyle w:val="TextoNormalNegritaCaracter"/>
        </w:rPr>
        <w:t>Artículos 2-21.</w:t>
      </w:r>
      <w:r w:rsidRPr="00E27756">
        <w:rPr>
          <w:rStyle w:val="TextoNormalCaracter"/>
        </w:rPr>
        <w:t>-</w:t>
      </w:r>
      <w:r>
        <w:t xml:space="preserve"> Sentencia </w:t>
      </w:r>
      <w:hyperlink w:anchor="SENTENCIA_2013_34" w:history="1">
        <w:r w:rsidRPr="00E27756">
          <w:rPr>
            <w:rStyle w:val="TextoNormalCaracter"/>
          </w:rPr>
          <w:t>34/2013</w:t>
        </w:r>
      </w:hyperlink>
      <w:r>
        <w:t>, ff. 6, 8.</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34" w:history="1">
        <w:r w:rsidRPr="00E27756">
          <w:rPr>
            <w:rStyle w:val="TextoNormalCaracter"/>
          </w:rPr>
          <w:t>34/2013</w:t>
        </w:r>
      </w:hyperlink>
      <w:r>
        <w:t>, f. 8.</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34" w:history="1">
        <w:r w:rsidRPr="00E27756">
          <w:rPr>
            <w:rStyle w:val="TextoNormalCaracter"/>
          </w:rPr>
          <w:t>34/2013</w:t>
        </w:r>
      </w:hyperlink>
      <w:r>
        <w:t>, f. 8.</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34" w:history="1">
        <w:r w:rsidRPr="00E27756">
          <w:rPr>
            <w:rStyle w:val="TextoNormalCaracter"/>
          </w:rPr>
          <w:t>34/2013</w:t>
        </w:r>
      </w:hyperlink>
      <w:r>
        <w:t>, f. 6.</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Sentencia </w:t>
      </w:r>
      <w:hyperlink w:anchor="SENTENCIA_2013_34" w:history="1">
        <w:r w:rsidRPr="00E27756">
          <w:rPr>
            <w:rStyle w:val="TextoNormalCaracter"/>
          </w:rPr>
          <w:t>34/2013</w:t>
        </w:r>
      </w:hyperlink>
      <w:r>
        <w:t>, f. 8.</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34" w:history="1">
        <w:r w:rsidRPr="00E27756">
          <w:rPr>
            <w:rStyle w:val="TextoNormalCaracter"/>
          </w:rPr>
          <w:t>34/2013</w:t>
        </w:r>
      </w:hyperlink>
      <w:r>
        <w:t>, f. 8.</w:t>
      </w:r>
    </w:p>
    <w:p w:rsidR="00E27756" w:rsidRDefault="00E27756" w:rsidP="00E27756">
      <w:pPr>
        <w:pStyle w:val="SangriaFrancesaArticulo"/>
      </w:pPr>
      <w:r w:rsidRPr="00E27756">
        <w:rPr>
          <w:rStyle w:val="TextoNormalNegritaCaracter"/>
        </w:rPr>
        <w:t>Artículos 11 a 15.</w:t>
      </w:r>
      <w:r w:rsidRPr="00E27756">
        <w:rPr>
          <w:rStyle w:val="TextoNormalCaracter"/>
        </w:rPr>
        <w:t>-</w:t>
      </w:r>
      <w:r>
        <w:t xml:space="preserve"> Sentencia </w:t>
      </w:r>
      <w:hyperlink w:anchor="SENTENCIA_2013_34" w:history="1">
        <w:r w:rsidRPr="00E27756">
          <w:rPr>
            <w:rStyle w:val="TextoNormalCaracter"/>
          </w:rPr>
          <w:t>34/2013</w:t>
        </w:r>
      </w:hyperlink>
      <w:r>
        <w:t>, f. 8.</w:t>
      </w:r>
    </w:p>
    <w:p w:rsidR="00E27756" w:rsidRDefault="00E27756" w:rsidP="00E27756">
      <w:pPr>
        <w:pStyle w:val="SangriaFrancesaArticulo"/>
      </w:pPr>
      <w:r w:rsidRPr="00E27756">
        <w:rPr>
          <w:rStyle w:val="TextoNormalNegritaCaracter"/>
        </w:rPr>
        <w:t>Artículos 11-15.</w:t>
      </w:r>
      <w:r w:rsidRPr="00E27756">
        <w:rPr>
          <w:rStyle w:val="TextoNormalCaracter"/>
        </w:rPr>
        <w:t>-</w:t>
      </w:r>
      <w:r>
        <w:t xml:space="preserve"> Sentencia </w:t>
      </w:r>
      <w:hyperlink w:anchor="SENTENCIA_2013_34" w:history="1">
        <w:r w:rsidRPr="00E27756">
          <w:rPr>
            <w:rStyle w:val="TextoNormalCaracter"/>
          </w:rPr>
          <w:t>34/2013</w:t>
        </w:r>
      </w:hyperlink>
      <w:r>
        <w:t>, f. 8.</w:t>
      </w:r>
    </w:p>
    <w:p w:rsidR="00E27756" w:rsidRDefault="00E27756" w:rsidP="00E27756">
      <w:pPr>
        <w:pStyle w:val="SangriaFrancesaArticulo"/>
      </w:pPr>
      <w:r w:rsidRPr="00E27756">
        <w:rPr>
          <w:rStyle w:val="TextoNormalNegritaCaracter"/>
        </w:rPr>
        <w:t>Artículo 17 a 21.</w:t>
      </w:r>
      <w:r w:rsidRPr="00E27756">
        <w:rPr>
          <w:rStyle w:val="TextoNormalCaracter"/>
        </w:rPr>
        <w:t>-</w:t>
      </w:r>
      <w:r>
        <w:t xml:space="preserve"> Sentencia </w:t>
      </w:r>
      <w:hyperlink w:anchor="SENTENCIA_2013_34" w:history="1">
        <w:r w:rsidRPr="00E27756">
          <w:rPr>
            <w:rStyle w:val="TextoNormalCaracter"/>
          </w:rPr>
          <w:t>34/2013</w:t>
        </w:r>
      </w:hyperlink>
      <w:r>
        <w:t>, f. 4.</w:t>
      </w:r>
    </w:p>
    <w:p w:rsidR="00E27756" w:rsidRDefault="00E27756" w:rsidP="00E27756">
      <w:pPr>
        <w:pStyle w:val="SangriaFrancesaArticulo"/>
      </w:pPr>
      <w:r w:rsidRPr="00E27756">
        <w:rPr>
          <w:rStyle w:val="TextoNormalNegritaCaracter"/>
        </w:rPr>
        <w:t>Artículo 17-21.</w:t>
      </w:r>
      <w:r w:rsidRPr="00E27756">
        <w:rPr>
          <w:rStyle w:val="TextoNormalCaracter"/>
        </w:rPr>
        <w:t>-</w:t>
      </w:r>
      <w:r>
        <w:t xml:space="preserve"> Sentencia </w:t>
      </w:r>
      <w:hyperlink w:anchor="SENTENCIA_2013_34" w:history="1">
        <w:r w:rsidRPr="00E27756">
          <w:rPr>
            <w:rStyle w:val="TextoNormalCaracter"/>
          </w:rPr>
          <w:t>34/2013</w:t>
        </w:r>
      </w:hyperlink>
      <w:r>
        <w:t>, f. 4.</w:t>
      </w:r>
    </w:p>
    <w:p w:rsidR="00E27756" w:rsidRDefault="00E27756" w:rsidP="00E27756">
      <w:pPr>
        <w:pStyle w:val="SangriaFrancesaArticulo"/>
      </w:pPr>
    </w:p>
    <w:p w:rsidR="00E27756" w:rsidRDefault="00E27756" w:rsidP="00E27756">
      <w:pPr>
        <w:pStyle w:val="TextoNormalNegritaCursivandice"/>
      </w:pPr>
      <w:r>
        <w:t>Real Decreto 927/1988, de 29 de julio. Reglamento de la Administración pública del agua y de la planificación hidrológica, en desarrollo de los títulos II y III de la Ley 29/1985, de 2 de agosto, de aguas</w:t>
      </w:r>
    </w:p>
    <w:p w:rsidR="00E27756" w:rsidRDefault="00E27756" w:rsidP="00E27756">
      <w:pPr>
        <w:pStyle w:val="SangriaFrancesaArticulo"/>
      </w:pPr>
      <w:r w:rsidRPr="00E27756">
        <w:rPr>
          <w:rStyle w:val="TextoNormalNegritaCaracter"/>
        </w:rPr>
        <w:t>Artículo 111.2.</w:t>
      </w:r>
      <w:r w:rsidRPr="00E27756">
        <w:rPr>
          <w:rStyle w:val="TextoNormalCaracter"/>
        </w:rPr>
        <w:t>-</w:t>
      </w:r>
      <w:r>
        <w:t xml:space="preserve"> Sentencia </w:t>
      </w:r>
      <w:hyperlink w:anchor="SENTENCIA_2013_104" w:history="1">
        <w:r w:rsidRPr="00E27756">
          <w:rPr>
            <w:rStyle w:val="TextoNormalCaracter"/>
          </w:rPr>
          <w:t>104/2013</w:t>
        </w:r>
      </w:hyperlink>
      <w:r>
        <w:t>, f. 10.</w:t>
      </w:r>
    </w:p>
    <w:p w:rsidR="00E27756" w:rsidRDefault="00E27756" w:rsidP="00E27756">
      <w:pPr>
        <w:pStyle w:val="SangriaFrancesaArticulo"/>
      </w:pPr>
    </w:p>
    <w:p w:rsidR="00E27756" w:rsidRDefault="00E27756" w:rsidP="00E27756">
      <w:pPr>
        <w:pStyle w:val="TextoNormalNegritaCursivandice"/>
      </w:pPr>
      <w:r>
        <w:t>Real Decreto 1095/1989, de 8 de septiembre. Declara las especies objeto de caza y pesca y se establecen normas para su protección</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 </w:t>
      </w:r>
      <w:hyperlink w:anchor="SENTENCIA_2013_69" w:history="1">
        <w:r w:rsidRPr="00E27756">
          <w:rPr>
            <w:rStyle w:val="TextoNormalCaracter"/>
          </w:rPr>
          <w:t>69/2013</w:t>
        </w:r>
      </w:hyperlink>
      <w:r>
        <w:t>, f. 6.</w:t>
      </w:r>
    </w:p>
    <w:p w:rsidR="00E27756" w:rsidRDefault="00E27756" w:rsidP="00E27756">
      <w:pPr>
        <w:pStyle w:val="SangriaFrancesaArticulo"/>
      </w:pPr>
      <w:r w:rsidRPr="00E27756">
        <w:rPr>
          <w:rStyle w:val="TextoNormalNegritaCaracter"/>
        </w:rPr>
        <w:t>Anexo III.</w:t>
      </w:r>
      <w:r w:rsidRPr="00E27756">
        <w:rPr>
          <w:rStyle w:val="TextoNormalCaracter"/>
        </w:rPr>
        <w:t>-</w:t>
      </w:r>
      <w:r>
        <w:t xml:space="preserve"> Sentencia </w:t>
      </w:r>
      <w:hyperlink w:anchor="SENTENCIA_2013_69" w:history="1">
        <w:r w:rsidRPr="00E27756">
          <w:rPr>
            <w:rStyle w:val="TextoNormalCaracter"/>
          </w:rPr>
          <w:t>69/2013</w:t>
        </w:r>
      </w:hyperlink>
      <w:r>
        <w:t>, f. 6.</w:t>
      </w:r>
    </w:p>
    <w:p w:rsidR="00E27756" w:rsidRDefault="00E27756" w:rsidP="00E27756">
      <w:pPr>
        <w:pStyle w:val="SangriaFrancesaArticulo"/>
      </w:pPr>
    </w:p>
    <w:p w:rsidR="00E27756" w:rsidRDefault="00E27756" w:rsidP="00E27756">
      <w:pPr>
        <w:pStyle w:val="TextoNormalNegritaCursivandice"/>
      </w:pPr>
      <w:r>
        <w:t>Real Decreto 557/1991, de 12 de abril. Creación y reconocimiento de universidades y centros universitarios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1" w:history="1">
        <w:r w:rsidRPr="00E27756">
          <w:rPr>
            <w:rStyle w:val="TextoNormalCaracter"/>
          </w:rPr>
          <w:t>131/2013</w:t>
        </w:r>
      </w:hyperlink>
      <w:r>
        <w:t>, f. 10, VP II.</w:t>
      </w:r>
    </w:p>
    <w:p w:rsidR="00E27756" w:rsidRDefault="00E27756" w:rsidP="00E27756">
      <w:pPr>
        <w:pStyle w:val="SangriaFrancesaArticulo"/>
      </w:pPr>
    </w:p>
    <w:p w:rsidR="00E27756" w:rsidRDefault="00E27756" w:rsidP="00E27756">
      <w:pPr>
        <w:pStyle w:val="TextoNormalNegritaCursivandice"/>
      </w:pPr>
      <w:r>
        <w:t>Real Decreto 1006/1991, de 14 de junio. Se establecen las enseñanzas mínimas correspondientes a la Educación Primaria</w:t>
      </w:r>
    </w:p>
    <w:p w:rsidR="00E27756" w:rsidRDefault="00E27756" w:rsidP="00E27756">
      <w:pPr>
        <w:pStyle w:val="SangriaFrancesaArticulo"/>
      </w:pPr>
      <w:r w:rsidRPr="00E27756">
        <w:rPr>
          <w:rStyle w:val="TextoNormalNegritaCaracter"/>
        </w:rPr>
        <w:t>Anexo II.</w:t>
      </w:r>
      <w:r w:rsidRPr="00E27756">
        <w:rPr>
          <w:rStyle w:val="TextoNormalCaracter"/>
        </w:rPr>
        <w:t>-</w:t>
      </w:r>
      <w:r>
        <w:t xml:space="preserve"> Sentencia </w:t>
      </w:r>
      <w:hyperlink w:anchor="SENTENCIA_2013_15" w:history="1">
        <w:r w:rsidRPr="00E27756">
          <w:rPr>
            <w:rStyle w:val="TextoNormalCaracter"/>
          </w:rPr>
          <w:t>15/2013</w:t>
        </w:r>
      </w:hyperlink>
      <w:r>
        <w:t>, f. 4.</w:t>
      </w:r>
    </w:p>
    <w:p w:rsidR="00E27756" w:rsidRDefault="00E27756" w:rsidP="00E27756">
      <w:pPr>
        <w:pStyle w:val="SangriaFrancesaArticulo"/>
      </w:pPr>
    </w:p>
    <w:p w:rsidR="00E27756" w:rsidRDefault="00E27756" w:rsidP="00E27756">
      <w:pPr>
        <w:pStyle w:val="TextoNormalNegritaCursivandice"/>
      </w:pPr>
      <w:r>
        <w:t>Real Decreto 1007/1991, de 14 de junio. Se establecen las enseñanzas mínimas correspondientes a la Educación Secundaria Obligatoria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8" w:history="1">
        <w:r w:rsidRPr="00E27756">
          <w:rPr>
            <w:rStyle w:val="TextoNormalCaracter"/>
          </w:rPr>
          <w:t>48/2013</w:t>
        </w:r>
      </w:hyperlink>
      <w:r>
        <w:t>, f. 4.</w:t>
      </w:r>
    </w:p>
    <w:p w:rsidR="00E27756" w:rsidRDefault="00E27756" w:rsidP="00E27756">
      <w:pPr>
        <w:pStyle w:val="SangriaFrancesaArticulo"/>
      </w:pPr>
      <w:r w:rsidRPr="00E27756">
        <w:rPr>
          <w:rStyle w:val="TextoNormalNegritaCaracter"/>
        </w:rPr>
        <w:t>Anexo II.</w:t>
      </w:r>
      <w:r w:rsidRPr="00E27756">
        <w:rPr>
          <w:rStyle w:val="TextoNormalCaracter"/>
        </w:rPr>
        <w:t>-</w:t>
      </w:r>
      <w:r>
        <w:t xml:space="preserve"> Sentencia </w:t>
      </w:r>
      <w:hyperlink w:anchor="SENTENCIA_2013_48" w:history="1">
        <w:r w:rsidRPr="00E27756">
          <w:rPr>
            <w:rStyle w:val="TextoNormalCaracter"/>
          </w:rPr>
          <w:t>48/2013</w:t>
        </w:r>
      </w:hyperlink>
      <w:r>
        <w:t>, f. 4.</w:t>
      </w:r>
    </w:p>
    <w:p w:rsidR="00E27756" w:rsidRDefault="00E27756" w:rsidP="00E27756">
      <w:pPr>
        <w:pStyle w:val="SangriaFrancesaArticulo"/>
      </w:pPr>
    </w:p>
    <w:p w:rsidR="00E27756" w:rsidRDefault="00E27756" w:rsidP="00E27756">
      <w:pPr>
        <w:pStyle w:val="TextoNormalNegritaCursivandice"/>
      </w:pPr>
      <w:r>
        <w:lastRenderedPageBreak/>
        <w:t>Real Decreto 50/1993, de 15 de enero. Regula el control oficial de los productos alimenticios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4" w:history="1">
        <w:r w:rsidRPr="00E27756">
          <w:rPr>
            <w:rStyle w:val="TextoNormalCaracter"/>
          </w:rPr>
          <w:t>34/2013</w:t>
        </w:r>
      </w:hyperlink>
      <w:r>
        <w:t>, f. 14.</w:t>
      </w:r>
    </w:p>
    <w:p w:rsidR="00E27756" w:rsidRDefault="00E27756" w:rsidP="00E27756">
      <w:pPr>
        <w:pStyle w:val="SangriaFrancesaArticulo"/>
      </w:pPr>
    </w:p>
    <w:p w:rsidR="00E27756" w:rsidRDefault="00E27756" w:rsidP="00E27756">
      <w:pPr>
        <w:pStyle w:val="TextoNormalNegritaCursivandice"/>
      </w:pPr>
      <w:r>
        <w:t>Real Decreto 1398/1993, de 4 de agosto. Reglamento del procedimiento para el ejercicio de la potestad sancionadora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0" w:history="1">
        <w:r w:rsidRPr="00E27756">
          <w:rPr>
            <w:rStyle w:val="TextoNormalCaracter"/>
          </w:rPr>
          <w:t>130/2013</w:t>
        </w:r>
      </w:hyperlink>
      <w:r>
        <w:t>, f. 13.</w:t>
      </w:r>
    </w:p>
    <w:p w:rsidR="00E27756" w:rsidRDefault="00E27756" w:rsidP="00E27756">
      <w:pPr>
        <w:pStyle w:val="SangriaFrancesaArticulo"/>
      </w:pPr>
    </w:p>
    <w:p w:rsidR="00E27756" w:rsidRDefault="00E27756" w:rsidP="00E27756">
      <w:pPr>
        <w:pStyle w:val="TextoNormalNegritaCursivandice"/>
      </w:pPr>
      <w:r>
        <w:t>Real Decreto 2225/1993, de 17 de diciembre. Reglamento del procedimiento para la concesión de subvenciones públicas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1" w:history="1">
        <w:r w:rsidRPr="00E27756">
          <w:rPr>
            <w:rStyle w:val="TextoNormalCaracter"/>
          </w:rPr>
          <w:t>21/2013</w:t>
        </w:r>
      </w:hyperlink>
      <w:r>
        <w:t>, f. 7.</w:t>
      </w:r>
    </w:p>
    <w:p w:rsidR="00E27756" w:rsidRDefault="00E27756" w:rsidP="00E27756">
      <w:pPr>
        <w:pStyle w:val="SangriaFrancesaArticulo"/>
      </w:pPr>
    </w:p>
    <w:p w:rsidR="00E27756" w:rsidRDefault="00E27756" w:rsidP="00E27756">
      <w:pPr>
        <w:pStyle w:val="TextoNormalNegritaCursivandice"/>
      </w:pPr>
      <w:r>
        <w:t>Real Decreto 2319/1993, de 29 de diciembre. Revalorización de pensiones del sistema de la Seguridad Social y de otras prestaciones de protección social pública para 1994</w:t>
      </w:r>
    </w:p>
    <w:p w:rsidR="00E27756" w:rsidRDefault="00E27756" w:rsidP="00E27756">
      <w:pPr>
        <w:pStyle w:val="SangriaFrancesaArticulo"/>
      </w:pPr>
      <w:r w:rsidRPr="00E27756">
        <w:rPr>
          <w:rStyle w:val="TextoNormalNegritaCaracter"/>
        </w:rPr>
        <w:t>Disposición adicional novena.</w:t>
      </w:r>
      <w:r w:rsidRPr="00E27756">
        <w:rPr>
          <w:rStyle w:val="TextoNormalCaracter"/>
        </w:rPr>
        <w:t>-</w:t>
      </w:r>
      <w:r>
        <w:t xml:space="preserve"> Sentencia </w:t>
      </w:r>
      <w:hyperlink w:anchor="SENTENCIA_2013_61" w:history="1">
        <w:r w:rsidRPr="00E27756">
          <w:rPr>
            <w:rStyle w:val="TextoNormalCaracter"/>
          </w:rPr>
          <w:t>61/2013</w:t>
        </w:r>
      </w:hyperlink>
      <w:r>
        <w:t>, f. 6.</w:t>
      </w:r>
    </w:p>
    <w:p w:rsidR="00E27756" w:rsidRDefault="00E27756" w:rsidP="00E27756">
      <w:pPr>
        <w:pStyle w:val="SangriaFrancesaArticulo"/>
      </w:pPr>
    </w:p>
    <w:p w:rsidR="00E27756" w:rsidRDefault="00E27756" w:rsidP="00E27756">
      <w:pPr>
        <w:pStyle w:val="TextoNormalNegritaCursivandice"/>
      </w:pPr>
      <w:r>
        <w:t>Real Decreto 898/1995, de 2 de junio. Ampliación de servicios y medios de la Administración del Estado traspasados a la Generalidad de Cataluña en materia de cultura (depósito regional de Archivos de Cervera)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4" w:history="1">
        <w:r w:rsidRPr="00E27756">
          <w:rPr>
            <w:rStyle w:val="TextoNormalCaracter"/>
          </w:rPr>
          <w:t>14/2013</w:t>
        </w:r>
      </w:hyperlink>
      <w:r>
        <w:t>, f. 3.</w:t>
      </w:r>
    </w:p>
    <w:p w:rsidR="00E27756" w:rsidRDefault="00E27756" w:rsidP="00E27756">
      <w:pPr>
        <w:pStyle w:val="SangriaFrancesaArticulo"/>
      </w:pPr>
    </w:p>
    <w:p w:rsidR="00E27756" w:rsidRDefault="00E27756" w:rsidP="00E27756">
      <w:pPr>
        <w:pStyle w:val="TextoNormalNegritaCursivandice"/>
      </w:pPr>
      <w:r>
        <w:t>Real Decreto 1397/1995, de 4 de agosto. Aprueba medidas adicionales sobre el control oficial de productos alimenticios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4" w:history="1">
        <w:r w:rsidRPr="00E27756">
          <w:rPr>
            <w:rStyle w:val="TextoNormalCaracter"/>
          </w:rPr>
          <w:t>34/2013</w:t>
        </w:r>
      </w:hyperlink>
      <w:r>
        <w:t>, f. 14.</w:t>
      </w:r>
    </w:p>
    <w:p w:rsidR="00E27756" w:rsidRDefault="00E27756" w:rsidP="00E27756">
      <w:pPr>
        <w:pStyle w:val="SangriaFrancesaArticulo"/>
      </w:pPr>
    </w:p>
    <w:p w:rsidR="00E27756" w:rsidRDefault="00E27756" w:rsidP="00E27756">
      <w:pPr>
        <w:pStyle w:val="TextoNormalNegritaCursivandice"/>
      </w:pPr>
      <w:r>
        <w:t>Real Decreto 1997/1995, de 7 de diciembre. Medidas para garantizar la biodiversidad, la conservación de los hábitats naturales y la fauna y flora silvestres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59" w:history="1">
        <w:r w:rsidRPr="00E27756">
          <w:rPr>
            <w:rStyle w:val="TextoNormalCaracter"/>
          </w:rPr>
          <w:t>59/2013</w:t>
        </w:r>
      </w:hyperlink>
      <w:r>
        <w:t xml:space="preserve">, f. 3; </w:t>
      </w:r>
      <w:hyperlink w:anchor="SENTENCIA_2013_80" w:history="1">
        <w:r w:rsidRPr="00E27756">
          <w:rPr>
            <w:rStyle w:val="TextoNormalCaracter"/>
          </w:rPr>
          <w:t>80/2013</w:t>
        </w:r>
      </w:hyperlink>
      <w:r>
        <w:t>, ff. 2, 3.</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Sentencias </w:t>
      </w:r>
      <w:hyperlink w:anchor="SENTENCIA_2013_59" w:history="1">
        <w:r w:rsidRPr="00E27756">
          <w:rPr>
            <w:rStyle w:val="TextoNormalCaracter"/>
          </w:rPr>
          <w:t>59/2013</w:t>
        </w:r>
      </w:hyperlink>
      <w:r>
        <w:t xml:space="preserve">, f. 2; </w:t>
      </w:r>
      <w:hyperlink w:anchor="SENTENCIA_2013_111" w:history="1">
        <w:r w:rsidRPr="00E27756">
          <w:rPr>
            <w:rStyle w:val="TextoNormalCaracter"/>
          </w:rPr>
          <w:t>111/2013</w:t>
        </w:r>
      </w:hyperlink>
      <w:r>
        <w:t>, ff. 2, 3.</w:t>
      </w:r>
    </w:p>
    <w:p w:rsidR="00E27756" w:rsidRDefault="00E27756" w:rsidP="00E27756">
      <w:pPr>
        <w:pStyle w:val="SangriaFrancesaArticulo"/>
      </w:pPr>
      <w:r w:rsidRPr="00E27756">
        <w:rPr>
          <w:rStyle w:val="TextoNormalNegritaCaracter"/>
        </w:rPr>
        <w:t>Artículo 6</w:t>
      </w:r>
      <w:r>
        <w:t xml:space="preserve"> </w:t>
      </w:r>
      <w:r w:rsidRPr="00E27756">
        <w:rPr>
          <w:rStyle w:val="TextoNormalCaracter"/>
        </w:rPr>
        <w:t>(redactado por el Real Decreto 1421/2006, de 1 de diciembre)</w:t>
      </w:r>
      <w:r w:rsidRPr="00E27756">
        <w:rPr>
          <w:rStyle w:val="TextoNormalNegritaCaracter"/>
        </w:rPr>
        <w:t>.</w:t>
      </w:r>
      <w:r w:rsidRPr="00E27756">
        <w:rPr>
          <w:rStyle w:val="TextoNormalCaracter"/>
        </w:rPr>
        <w:t>-</w:t>
      </w:r>
      <w:r>
        <w:t xml:space="preserve"> Sentencia </w:t>
      </w:r>
      <w:hyperlink w:anchor="SENTENCIA_2013_80" w:history="1">
        <w:r w:rsidRPr="00E27756">
          <w:rPr>
            <w:rStyle w:val="TextoNormalCaracter"/>
          </w:rPr>
          <w:t>80/2013</w:t>
        </w:r>
      </w:hyperlink>
      <w:r>
        <w:t>, f. 2.</w:t>
      </w:r>
    </w:p>
    <w:p w:rsidR="00E27756" w:rsidRDefault="00E27756" w:rsidP="00E27756">
      <w:pPr>
        <w:pStyle w:val="SangriaFrancesaArticulo"/>
      </w:pPr>
      <w:r w:rsidRPr="00E27756">
        <w:rPr>
          <w:rStyle w:val="TextoNormalNegritaCaracter"/>
        </w:rPr>
        <w:t>Artículo 6.1.</w:t>
      </w:r>
      <w:r w:rsidRPr="00E27756">
        <w:rPr>
          <w:rStyle w:val="TextoNormalCaracter"/>
        </w:rPr>
        <w:t>-</w:t>
      </w:r>
      <w:r>
        <w:t xml:space="preserve"> Sentencia </w:t>
      </w:r>
      <w:hyperlink w:anchor="SENTENCIA_2013_59" w:history="1">
        <w:r w:rsidRPr="00E27756">
          <w:rPr>
            <w:rStyle w:val="TextoNormalCaracter"/>
          </w:rPr>
          <w:t>59/2013</w:t>
        </w:r>
      </w:hyperlink>
      <w:r>
        <w:t>, f. 3.</w:t>
      </w:r>
    </w:p>
    <w:p w:rsidR="00E27756" w:rsidRDefault="00E27756" w:rsidP="00E27756">
      <w:pPr>
        <w:pStyle w:val="SangriaFrancesaArticulo"/>
      </w:pPr>
      <w:r w:rsidRPr="00E27756">
        <w:rPr>
          <w:rStyle w:val="TextoNormalNegritaCaracter"/>
        </w:rPr>
        <w:t>Artículo 6.2.</w:t>
      </w:r>
      <w:r w:rsidRPr="00E27756">
        <w:rPr>
          <w:rStyle w:val="TextoNormalCaracter"/>
        </w:rPr>
        <w:t>-</w:t>
      </w:r>
      <w:r>
        <w:t xml:space="preserve"> Sentencia </w:t>
      </w:r>
      <w:hyperlink w:anchor="SENTENCIA_2013_59" w:history="1">
        <w:r w:rsidRPr="00E27756">
          <w:rPr>
            <w:rStyle w:val="TextoNormalCaracter"/>
          </w:rPr>
          <w:t>59/2013</w:t>
        </w:r>
      </w:hyperlink>
      <w:r>
        <w:t>, ff. 2, 3.</w:t>
      </w:r>
    </w:p>
    <w:p w:rsidR="00E27756" w:rsidRDefault="00E27756" w:rsidP="00E27756">
      <w:pPr>
        <w:pStyle w:val="SangriaFrancesaArticulo"/>
      </w:pPr>
      <w:r w:rsidRPr="00E27756">
        <w:rPr>
          <w:rStyle w:val="TextoNormalNegritaCaracter"/>
        </w:rPr>
        <w:t>Artículo 6.3.</w:t>
      </w:r>
      <w:r w:rsidRPr="00E27756">
        <w:rPr>
          <w:rStyle w:val="TextoNormalCaracter"/>
        </w:rPr>
        <w:t>-</w:t>
      </w:r>
      <w:r>
        <w:t xml:space="preserve"> Sentencias </w:t>
      </w:r>
      <w:hyperlink w:anchor="SENTENCIA_2013_59" w:history="1">
        <w:r w:rsidRPr="00E27756">
          <w:rPr>
            <w:rStyle w:val="TextoNormalCaracter"/>
          </w:rPr>
          <w:t>59/2013</w:t>
        </w:r>
      </w:hyperlink>
      <w:r>
        <w:t xml:space="preserve">, ff. 2 a 4; </w:t>
      </w:r>
      <w:hyperlink w:anchor="SENTENCIA_2013_80" w:history="1">
        <w:r w:rsidRPr="00E27756">
          <w:rPr>
            <w:rStyle w:val="TextoNormalCaracter"/>
          </w:rPr>
          <w:t>80/2013</w:t>
        </w:r>
      </w:hyperlink>
      <w:r>
        <w:t xml:space="preserve">, ff. 1, 2, 4; </w:t>
      </w:r>
      <w:hyperlink w:anchor="SENTENCIA_2013_104" w:history="1">
        <w:r w:rsidRPr="00E27756">
          <w:rPr>
            <w:rStyle w:val="TextoNormalCaracter"/>
          </w:rPr>
          <w:t>104/2013</w:t>
        </w:r>
      </w:hyperlink>
      <w:r>
        <w:t xml:space="preserve">, f. 7; </w:t>
      </w:r>
      <w:hyperlink w:anchor="SENTENCIA_2013_111" w:history="1">
        <w:r w:rsidRPr="00E27756">
          <w:rPr>
            <w:rStyle w:val="TextoNormalCaracter"/>
          </w:rPr>
          <w:t>111/2013</w:t>
        </w:r>
      </w:hyperlink>
      <w:r>
        <w:t>, f. 3.</w:t>
      </w:r>
    </w:p>
    <w:p w:rsidR="00E27756" w:rsidRDefault="00E27756" w:rsidP="00E27756">
      <w:pPr>
        <w:pStyle w:val="SangriaFrancesaArticulo"/>
      </w:pPr>
      <w:r w:rsidRPr="00E27756">
        <w:rPr>
          <w:rStyle w:val="TextoNormalNegritaCaracter"/>
        </w:rPr>
        <w:t>Artículo 6.4</w:t>
      </w:r>
      <w:r>
        <w:t xml:space="preserve"> </w:t>
      </w:r>
      <w:r w:rsidRPr="00E27756">
        <w:rPr>
          <w:rStyle w:val="TextoNormalCaracter"/>
        </w:rPr>
        <w:t>(redactado por el Real Decreto 1421/2006, de 1 de diciembre)</w:t>
      </w:r>
      <w:r w:rsidRPr="00E27756">
        <w:rPr>
          <w:rStyle w:val="TextoNormalNegritaCaracter"/>
        </w:rPr>
        <w:t>.</w:t>
      </w:r>
      <w:r w:rsidRPr="00E27756">
        <w:rPr>
          <w:rStyle w:val="TextoNormalCaracter"/>
        </w:rPr>
        <w:t>-</w:t>
      </w:r>
      <w:r>
        <w:t xml:space="preserve"> Sentencia </w:t>
      </w:r>
      <w:hyperlink w:anchor="SENTENCIA_2013_59" w:history="1">
        <w:r w:rsidRPr="00E27756">
          <w:rPr>
            <w:rStyle w:val="TextoNormalCaracter"/>
          </w:rPr>
          <w:t>59/2013</w:t>
        </w:r>
      </w:hyperlink>
      <w:r>
        <w:t>, f. 2.</w:t>
      </w:r>
    </w:p>
    <w:p w:rsidR="00E27756" w:rsidRDefault="00E27756" w:rsidP="00E27756">
      <w:pPr>
        <w:pStyle w:val="SangriaFrancesaArticulo"/>
      </w:pPr>
      <w:r w:rsidRPr="00E27756">
        <w:rPr>
          <w:rStyle w:val="TextoNormalNegritaCaracter"/>
        </w:rPr>
        <w:t>Artículo 6.5</w:t>
      </w:r>
      <w:r>
        <w:t xml:space="preserve"> </w:t>
      </w:r>
      <w:r w:rsidRPr="00E27756">
        <w:rPr>
          <w:rStyle w:val="TextoNormalCaracter"/>
        </w:rPr>
        <w:t>(redactado por el Real Decreto 1421/2006, de 1 de diciembre)</w:t>
      </w:r>
      <w:r w:rsidRPr="00E27756">
        <w:rPr>
          <w:rStyle w:val="TextoNormalNegritaCaracter"/>
        </w:rPr>
        <w:t>.</w:t>
      </w:r>
      <w:r w:rsidRPr="00E27756">
        <w:rPr>
          <w:rStyle w:val="TextoNormalCaracter"/>
        </w:rPr>
        <w:t>-</w:t>
      </w:r>
      <w:r>
        <w:t xml:space="preserve"> Sentencia </w:t>
      </w:r>
      <w:hyperlink w:anchor="SENTENCIA_2013_59" w:history="1">
        <w:r w:rsidRPr="00E27756">
          <w:rPr>
            <w:rStyle w:val="TextoNormalCaracter"/>
          </w:rPr>
          <w:t>59/2013</w:t>
        </w:r>
      </w:hyperlink>
      <w:r>
        <w:t>, f. 2.</w:t>
      </w:r>
    </w:p>
    <w:p w:rsidR="00E27756" w:rsidRDefault="00E27756" w:rsidP="00E27756">
      <w:pPr>
        <w:pStyle w:val="SangriaFrancesaArticulo"/>
      </w:pPr>
      <w:r w:rsidRPr="00E27756">
        <w:rPr>
          <w:rStyle w:val="TextoNormalNegritaCaracter"/>
        </w:rPr>
        <w:t>Artículo 6.6</w:t>
      </w:r>
      <w:r>
        <w:t xml:space="preserve"> </w:t>
      </w:r>
      <w:r w:rsidRPr="00E27756">
        <w:rPr>
          <w:rStyle w:val="TextoNormalCaracter"/>
        </w:rPr>
        <w:t>(redactado por el Real Decreto 1421/2006, de 1 de diciembre)</w:t>
      </w:r>
      <w:r w:rsidRPr="00E27756">
        <w:rPr>
          <w:rStyle w:val="TextoNormalNegritaCaracter"/>
        </w:rPr>
        <w:t>.</w:t>
      </w:r>
      <w:r w:rsidRPr="00E27756">
        <w:rPr>
          <w:rStyle w:val="TextoNormalCaracter"/>
        </w:rPr>
        <w:t>-</w:t>
      </w:r>
      <w:r>
        <w:t xml:space="preserve"> Sentencia </w:t>
      </w:r>
      <w:hyperlink w:anchor="SENTENCIA_2013_59" w:history="1">
        <w:r w:rsidRPr="00E27756">
          <w:rPr>
            <w:rStyle w:val="TextoNormalCaracter"/>
          </w:rPr>
          <w:t>59/2013</w:t>
        </w:r>
      </w:hyperlink>
      <w:r>
        <w:t>, f. 2.</w:t>
      </w:r>
    </w:p>
    <w:p w:rsidR="00E27756" w:rsidRDefault="00E27756" w:rsidP="00E27756">
      <w:pPr>
        <w:pStyle w:val="SangriaFrancesaArticulo"/>
      </w:pPr>
      <w:r w:rsidRPr="00E27756">
        <w:rPr>
          <w:rStyle w:val="TextoNormalNegritaCaracter"/>
        </w:rPr>
        <w:t>Disposición final tercera.</w:t>
      </w:r>
      <w:r w:rsidRPr="00E27756">
        <w:rPr>
          <w:rStyle w:val="TextoNormalCaracter"/>
        </w:rPr>
        <w:t>-</w:t>
      </w:r>
      <w:r>
        <w:t xml:space="preserve"> Sentencia </w:t>
      </w:r>
      <w:hyperlink w:anchor="SENTENCIA_2013_111" w:history="1">
        <w:r w:rsidRPr="00E27756">
          <w:rPr>
            <w:rStyle w:val="TextoNormalCaracter"/>
          </w:rPr>
          <w:t>111/2013</w:t>
        </w:r>
      </w:hyperlink>
      <w:r>
        <w:t>, ff. 2, 3.</w:t>
      </w:r>
    </w:p>
    <w:p w:rsidR="00E27756" w:rsidRDefault="00E27756" w:rsidP="00E27756">
      <w:pPr>
        <w:pStyle w:val="SangriaFrancesaArticulo"/>
      </w:pPr>
    </w:p>
    <w:p w:rsidR="00E27756" w:rsidRDefault="00E27756" w:rsidP="00E27756">
      <w:pPr>
        <w:pStyle w:val="TextoNormalNegritaCursivandice"/>
      </w:pPr>
      <w:r>
        <w:t>Real Decreto 190/1996, de 9 de febrero. Reglamento penitenciario</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128" w:history="1">
        <w:r w:rsidRPr="00E27756">
          <w:rPr>
            <w:rStyle w:val="TextoNormalCaracter"/>
          </w:rPr>
          <w:t>128/2013</w:t>
        </w:r>
      </w:hyperlink>
      <w:r>
        <w:t>, f. 4.</w:t>
      </w:r>
    </w:p>
    <w:p w:rsidR="00E27756" w:rsidRDefault="00E27756" w:rsidP="00E27756">
      <w:pPr>
        <w:pStyle w:val="SangriaFrancesaArticulo"/>
      </w:pPr>
      <w:r w:rsidRPr="00E27756">
        <w:rPr>
          <w:rStyle w:val="TextoNormalNegritaCaracter"/>
        </w:rPr>
        <w:t>Artículo 45.</w:t>
      </w:r>
      <w:r w:rsidRPr="00E27756">
        <w:rPr>
          <w:rStyle w:val="TextoNormalCaracter"/>
        </w:rPr>
        <w:t>-</w:t>
      </w:r>
      <w:r>
        <w:t xml:space="preserve"> Sentencia </w:t>
      </w:r>
      <w:hyperlink w:anchor="SENTENCIA_2013_128" w:history="1">
        <w:r w:rsidRPr="00E27756">
          <w:rPr>
            <w:rStyle w:val="TextoNormalCaracter"/>
          </w:rPr>
          <w:t>128/2013</w:t>
        </w:r>
      </w:hyperlink>
      <w:r>
        <w:t>, f. 4.</w:t>
      </w:r>
    </w:p>
    <w:p w:rsidR="00E27756" w:rsidRDefault="00E27756" w:rsidP="00E27756">
      <w:pPr>
        <w:pStyle w:val="SangriaFrancesaArticulo"/>
      </w:pPr>
      <w:r w:rsidRPr="00E27756">
        <w:rPr>
          <w:rStyle w:val="TextoNormalNegritaCaracter"/>
        </w:rPr>
        <w:lastRenderedPageBreak/>
        <w:t>Artículo 45.5.</w:t>
      </w:r>
      <w:r w:rsidRPr="00E27756">
        <w:rPr>
          <w:rStyle w:val="TextoNormalCaracter"/>
        </w:rPr>
        <w:t>-</w:t>
      </w:r>
      <w:r>
        <w:t xml:space="preserve"> Sentencia </w:t>
      </w:r>
      <w:hyperlink w:anchor="SENTENCIA_2013_128" w:history="1">
        <w:r w:rsidRPr="00E27756">
          <w:rPr>
            <w:rStyle w:val="TextoNormalCaracter"/>
          </w:rPr>
          <w:t>128/2013</w:t>
        </w:r>
      </w:hyperlink>
      <w:r>
        <w:t>, ff. 2, 5.</w:t>
      </w:r>
    </w:p>
    <w:p w:rsidR="00E27756" w:rsidRDefault="00E27756" w:rsidP="00E27756">
      <w:pPr>
        <w:pStyle w:val="SangriaFrancesaArticulo"/>
      </w:pPr>
    </w:p>
    <w:p w:rsidR="00E27756" w:rsidRDefault="00E27756" w:rsidP="00E27756">
      <w:pPr>
        <w:pStyle w:val="TextoNormalNegritaCursivandice"/>
      </w:pPr>
      <w:r>
        <w:t>Orden de 25 de noviembre de 1996 por la que se regula la composición y funciones de la Junta Superior de Archivos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8" w:history="1">
        <w:r w:rsidRPr="00E27756">
          <w:rPr>
            <w:rStyle w:val="TextoNormalCaracter"/>
          </w:rPr>
          <w:t>68/2013</w:t>
        </w:r>
      </w:hyperlink>
      <w:r>
        <w:t>, f. 3.</w:t>
      </w:r>
    </w:p>
    <w:p w:rsidR="00E27756" w:rsidRDefault="00E27756" w:rsidP="00E27756">
      <w:pPr>
        <w:pStyle w:val="SangriaFrancesaArticulo"/>
      </w:pPr>
      <w:r w:rsidRPr="00E27756">
        <w:rPr>
          <w:rStyle w:val="TextoNormalNegritaCaracter"/>
        </w:rPr>
        <w:t>Apartado 2 a).</w:t>
      </w:r>
      <w:r w:rsidRPr="00E27756">
        <w:rPr>
          <w:rStyle w:val="TextoNormalCaracter"/>
        </w:rPr>
        <w:t>-</w:t>
      </w:r>
      <w:r>
        <w:t xml:space="preserve"> Sentencia </w:t>
      </w:r>
      <w:hyperlink w:anchor="SENTENCIA_2013_68" w:history="1">
        <w:r w:rsidRPr="00E27756">
          <w:rPr>
            <w:rStyle w:val="TextoNormalCaracter"/>
          </w:rPr>
          <w:t>68/2013</w:t>
        </w:r>
      </w:hyperlink>
      <w:r>
        <w:t>, f. 3.</w:t>
      </w:r>
    </w:p>
    <w:p w:rsidR="00E27756" w:rsidRDefault="00E27756" w:rsidP="00E27756">
      <w:pPr>
        <w:pStyle w:val="SangriaFrancesaArticulo"/>
      </w:pPr>
    </w:p>
    <w:p w:rsidR="00E27756" w:rsidRDefault="00E27756" w:rsidP="00E27756">
      <w:pPr>
        <w:pStyle w:val="TextoNormalNegritaCursivandice"/>
      </w:pPr>
      <w:r>
        <w:t>Real Decreto 1627/1997, de 24 de octubre. Se establecen disposiciones mínimas de seguridad y de salud en las obras de construcción</w:t>
      </w:r>
    </w:p>
    <w:p w:rsidR="00E27756" w:rsidRDefault="00E27756" w:rsidP="00E27756">
      <w:pPr>
        <w:pStyle w:val="SangriaFrancesaArticulo"/>
      </w:pPr>
      <w:r w:rsidRPr="00E27756">
        <w:rPr>
          <w:rStyle w:val="TextoNormalNegritaCaracter"/>
        </w:rPr>
        <w:t>Artículo 14.</w:t>
      </w:r>
      <w:r w:rsidRPr="00E27756">
        <w:rPr>
          <w:rStyle w:val="TextoNormalCaracter"/>
        </w:rPr>
        <w:t>-</w:t>
      </w:r>
      <w:r>
        <w:t xml:space="preserve"> Sentencia </w:t>
      </w:r>
      <w:hyperlink w:anchor="SENTENCIA_2013_22" w:history="1">
        <w:r w:rsidRPr="00E27756">
          <w:rPr>
            <w:rStyle w:val="TextoNormalCaracter"/>
          </w:rPr>
          <w:t>22/2013</w:t>
        </w:r>
      </w:hyperlink>
      <w:r>
        <w:t>, f. 4.</w:t>
      </w:r>
    </w:p>
    <w:p w:rsidR="00E27756" w:rsidRDefault="00E27756" w:rsidP="00E27756">
      <w:pPr>
        <w:pStyle w:val="SangriaFrancesaArticulo"/>
      </w:pPr>
    </w:p>
    <w:p w:rsidR="00E27756" w:rsidRDefault="00E27756" w:rsidP="00E27756">
      <w:pPr>
        <w:pStyle w:val="TextoNormalNegritaCursivandice"/>
      </w:pPr>
      <w:r>
        <w:t>Real Decreto 489/1998, de 27 de marzo. Desarrolla, en materia de Seguridad Social, la Ley 63/1997, de 26 de diciembre, en relación con los contratos de trabajo a tiempo parcial, y se modifican otros aspectos del régimen jurídico aplicable a los trabajadores a tiempo parcial</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61" w:history="1">
        <w:r w:rsidRPr="00E27756">
          <w:rPr>
            <w:rStyle w:val="TextoNormalCaracter"/>
          </w:rPr>
          <w:t>61/2013</w:t>
        </w:r>
      </w:hyperlink>
      <w:r>
        <w:t>, f. 6.</w:t>
      </w:r>
    </w:p>
    <w:p w:rsidR="00E27756" w:rsidRDefault="00E27756" w:rsidP="00E27756">
      <w:pPr>
        <w:pStyle w:val="SangriaFrancesaArticulo"/>
      </w:pPr>
    </w:p>
    <w:p w:rsidR="00E27756" w:rsidRDefault="00E27756" w:rsidP="00E27756">
      <w:pPr>
        <w:pStyle w:val="TextoNormalNegritaCursivandice"/>
      </w:pPr>
      <w:r>
        <w:t>Orden del Ministerio de la Presidencia de 22 de febrero de 1999. Normas  de funcionamiento y régimen interior de los centros de internamiento de extranjeros</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17" w:history="1">
        <w:r w:rsidRPr="00E27756">
          <w:rPr>
            <w:rStyle w:val="TextoNormalCaracter"/>
          </w:rPr>
          <w:t>17/2013</w:t>
        </w:r>
      </w:hyperlink>
      <w:r>
        <w:t>, f. 13.</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17" w:history="1">
        <w:r w:rsidRPr="00E27756">
          <w:rPr>
            <w:rStyle w:val="TextoNormalCaracter"/>
          </w:rPr>
          <w:t>17/2013</w:t>
        </w:r>
      </w:hyperlink>
      <w:r>
        <w:t>, f. 13.</w:t>
      </w:r>
    </w:p>
    <w:p w:rsidR="00E27756" w:rsidRDefault="00E27756" w:rsidP="00E27756">
      <w:pPr>
        <w:pStyle w:val="SangriaFrancesaArticulo"/>
      </w:pPr>
    </w:p>
    <w:p w:rsidR="00E27756" w:rsidRDefault="00E27756" w:rsidP="00E27756">
      <w:pPr>
        <w:pStyle w:val="TextoNormalNegritaCursivandice"/>
      </w:pPr>
      <w:r>
        <w:t>Real Decreto 426/1999, de 12 de marzo. Creación del archivo general de la guerra civil española</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20" w:history="1">
        <w:r w:rsidRPr="00E27756">
          <w:rPr>
            <w:rStyle w:val="TextoNormalCaracter"/>
          </w:rPr>
          <w:t>20/2013</w:t>
        </w:r>
      </w:hyperlink>
      <w:r>
        <w:t>, f. 3.</w:t>
      </w:r>
    </w:p>
    <w:p w:rsidR="00E27756" w:rsidRDefault="00E27756" w:rsidP="00E27756">
      <w:pPr>
        <w:pStyle w:val="SangriaFrancesaArticulo"/>
      </w:pPr>
      <w:r w:rsidRPr="00E27756">
        <w:rPr>
          <w:rStyle w:val="TextoNormalNegritaCaracter"/>
        </w:rPr>
        <w:t>Artículo 4.2 e).</w:t>
      </w:r>
      <w:r w:rsidRPr="00E27756">
        <w:rPr>
          <w:rStyle w:val="TextoNormalCaracter"/>
        </w:rPr>
        <w:t>-</w:t>
      </w:r>
      <w:r>
        <w:t xml:space="preserve"> Sentencia </w:t>
      </w:r>
      <w:hyperlink w:anchor="SENTENCIA_2013_68" w:history="1">
        <w:r w:rsidRPr="00E27756">
          <w:rPr>
            <w:rStyle w:val="TextoNormalCaracter"/>
          </w:rPr>
          <w:t>68/2013</w:t>
        </w:r>
      </w:hyperlink>
      <w:r>
        <w:t>, f. 3.</w:t>
      </w:r>
    </w:p>
    <w:p w:rsidR="00E27756" w:rsidRDefault="00E27756" w:rsidP="00E27756">
      <w:pPr>
        <w:pStyle w:val="SangriaFrancesaArticulo"/>
      </w:pPr>
    </w:p>
    <w:p w:rsidR="00E27756" w:rsidRDefault="00E27756" w:rsidP="00E27756">
      <w:pPr>
        <w:pStyle w:val="TextoNormalNegritaCursivandice"/>
      </w:pPr>
      <w:r>
        <w:t>Real Decreto 1955/2000, de 1 de diciembre. Regula las actividades de transporte, distribución, comercialización, suministro y procedimientos de autorización de instalaciones de energía eléctrica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 w:history="1">
        <w:r w:rsidRPr="00E27756">
          <w:rPr>
            <w:rStyle w:val="TextoNormalCaracter"/>
          </w:rPr>
          <w:t>4/2013</w:t>
        </w:r>
      </w:hyperlink>
      <w:r>
        <w:t>, ff. 1, 4, 5, 7.</w:t>
      </w:r>
    </w:p>
    <w:p w:rsidR="00E27756" w:rsidRDefault="00E27756" w:rsidP="00E27756">
      <w:pPr>
        <w:pStyle w:val="SangriaFrancesaArticulo"/>
      </w:pPr>
      <w:r w:rsidRPr="00E27756">
        <w:rPr>
          <w:rStyle w:val="TextoNormalNegritaCaracter"/>
        </w:rPr>
        <w:t>Título VI, capítulo II.</w:t>
      </w:r>
      <w:r w:rsidRPr="00E27756">
        <w:rPr>
          <w:rStyle w:val="TextoNormalCaracter"/>
        </w:rPr>
        <w:t>-</w:t>
      </w:r>
      <w:r>
        <w:t xml:space="preserve"> Sentencia </w:t>
      </w:r>
      <w:hyperlink w:anchor="SENTENCIA_2013_4" w:history="1">
        <w:r w:rsidRPr="00E27756">
          <w:rPr>
            <w:rStyle w:val="TextoNormalCaracter"/>
          </w:rPr>
          <w:t>4/2013</w:t>
        </w:r>
      </w:hyperlink>
      <w:r>
        <w:t>, f. 6.</w:t>
      </w:r>
    </w:p>
    <w:p w:rsidR="00E27756" w:rsidRDefault="00E27756" w:rsidP="00E27756">
      <w:pPr>
        <w:pStyle w:val="SangriaFrancesaArticulo"/>
      </w:pPr>
      <w:r w:rsidRPr="00E27756">
        <w:rPr>
          <w:rStyle w:val="TextoNormalNegritaCaracter"/>
        </w:rPr>
        <w:t>Artículo 79.2 b).</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t>Artículo 99.</w:t>
      </w:r>
      <w:r w:rsidRPr="00E27756">
        <w:rPr>
          <w:rStyle w:val="TextoNormalCaracter"/>
        </w:rPr>
        <w:t>-</w:t>
      </w:r>
      <w:r>
        <w:t xml:space="preserve"> Sentencia </w:t>
      </w:r>
      <w:hyperlink w:anchor="SENTENCIA_2013_4" w:history="1">
        <w:r w:rsidRPr="00E27756">
          <w:rPr>
            <w:rStyle w:val="TextoNormalCaracter"/>
          </w:rPr>
          <w:t>4/2013</w:t>
        </w:r>
      </w:hyperlink>
      <w:r>
        <w:t>, ff. 4, 5.</w:t>
      </w:r>
    </w:p>
    <w:p w:rsidR="00E27756" w:rsidRDefault="00E27756" w:rsidP="00E27756">
      <w:pPr>
        <w:pStyle w:val="SangriaFrancesaArticulo"/>
      </w:pPr>
      <w:r w:rsidRPr="00E27756">
        <w:rPr>
          <w:rStyle w:val="TextoNormalNegritaCaracter"/>
        </w:rPr>
        <w:t>Artículo 99.3.</w:t>
      </w:r>
      <w:r w:rsidRPr="00E27756">
        <w:rPr>
          <w:rStyle w:val="TextoNormalCaracter"/>
        </w:rPr>
        <w:t>-</w:t>
      </w:r>
      <w:r>
        <w:t xml:space="preserve"> Sentencia </w:t>
      </w:r>
      <w:hyperlink w:anchor="SENTENCIA_2013_4" w:history="1">
        <w:r w:rsidRPr="00E27756">
          <w:rPr>
            <w:rStyle w:val="TextoNormalCaracter"/>
          </w:rPr>
          <w:t>4/2013</w:t>
        </w:r>
      </w:hyperlink>
      <w:r>
        <w:t>, f. 4.</w:t>
      </w:r>
    </w:p>
    <w:p w:rsidR="00E27756" w:rsidRDefault="00E27756" w:rsidP="00E27756">
      <w:pPr>
        <w:pStyle w:val="SangriaFrancesaArticulo"/>
      </w:pPr>
      <w:r w:rsidRPr="00E27756">
        <w:rPr>
          <w:rStyle w:val="TextoNormalNegritaCaracter"/>
        </w:rPr>
        <w:t>Artículo 99.4.</w:t>
      </w:r>
      <w:r w:rsidRPr="00E27756">
        <w:rPr>
          <w:rStyle w:val="TextoNormalCaracter"/>
        </w:rPr>
        <w:t>-</w:t>
      </w:r>
      <w:r>
        <w:t xml:space="preserve"> Sentencia </w:t>
      </w:r>
      <w:hyperlink w:anchor="SENTENCIA_2013_4" w:history="1">
        <w:r w:rsidRPr="00E27756">
          <w:rPr>
            <w:rStyle w:val="TextoNormalCaracter"/>
          </w:rPr>
          <w:t>4/2013</w:t>
        </w:r>
      </w:hyperlink>
      <w:r>
        <w:t>, f. 7.</w:t>
      </w:r>
    </w:p>
    <w:p w:rsidR="00E27756" w:rsidRDefault="00E27756" w:rsidP="00E27756">
      <w:pPr>
        <w:pStyle w:val="SangriaFrancesaArticulo"/>
      </w:pPr>
      <w:r w:rsidRPr="00E27756">
        <w:rPr>
          <w:rStyle w:val="TextoNormalNegritaCaracter"/>
        </w:rPr>
        <w:t>Artículo 101.1.</w:t>
      </w:r>
      <w:r w:rsidRPr="00E27756">
        <w:rPr>
          <w:rStyle w:val="TextoNormalCaracter"/>
        </w:rPr>
        <w:t>-</w:t>
      </w:r>
      <w:r>
        <w:t xml:space="preserve"> Sentencia </w:t>
      </w:r>
      <w:hyperlink w:anchor="SENTENCIA_2013_4" w:history="1">
        <w:r w:rsidRPr="00E27756">
          <w:rPr>
            <w:rStyle w:val="TextoNormalCaracter"/>
          </w:rPr>
          <w:t>4/2013</w:t>
        </w:r>
      </w:hyperlink>
      <w:r>
        <w:t>, f. 8.</w:t>
      </w:r>
    </w:p>
    <w:p w:rsidR="00E27756" w:rsidRDefault="00E27756" w:rsidP="00E27756">
      <w:pPr>
        <w:pStyle w:val="SangriaFrancesaArticulo"/>
      </w:pPr>
      <w:r w:rsidRPr="00E27756">
        <w:rPr>
          <w:rStyle w:val="TextoNormalNegritaCaracter"/>
        </w:rPr>
        <w:t>Artículo 104.</w:t>
      </w:r>
      <w:r w:rsidRPr="00E27756">
        <w:rPr>
          <w:rStyle w:val="TextoNormalCaracter"/>
        </w:rPr>
        <w:t>-</w:t>
      </w:r>
      <w:r>
        <w:t xml:space="preserve"> Sentencia </w:t>
      </w:r>
      <w:hyperlink w:anchor="SENTENCIA_2013_4" w:history="1">
        <w:r w:rsidRPr="00E27756">
          <w:rPr>
            <w:rStyle w:val="TextoNormalCaracter"/>
          </w:rPr>
          <w:t>4/2013</w:t>
        </w:r>
      </w:hyperlink>
      <w:r>
        <w:t>, ff. 4, 5, 7.</w:t>
      </w:r>
    </w:p>
    <w:p w:rsidR="00E27756" w:rsidRDefault="00E27756" w:rsidP="00E27756">
      <w:pPr>
        <w:pStyle w:val="SangriaFrancesaArticulo"/>
      </w:pPr>
      <w:r w:rsidRPr="00E27756">
        <w:rPr>
          <w:rStyle w:val="TextoNormalNegritaCaracter"/>
        </w:rPr>
        <w:t>Artículo 104.2.</w:t>
      </w:r>
      <w:r w:rsidRPr="00E27756">
        <w:rPr>
          <w:rStyle w:val="TextoNormalCaracter"/>
        </w:rPr>
        <w:t>-</w:t>
      </w:r>
      <w:r>
        <w:t xml:space="preserve"> Sentencia </w:t>
      </w:r>
      <w:hyperlink w:anchor="SENTENCIA_2013_4" w:history="1">
        <w:r w:rsidRPr="00E27756">
          <w:rPr>
            <w:rStyle w:val="TextoNormalCaracter"/>
          </w:rPr>
          <w:t>4/2013</w:t>
        </w:r>
      </w:hyperlink>
      <w:r>
        <w:t>, f. 8.</w:t>
      </w:r>
    </w:p>
    <w:p w:rsidR="00E27756" w:rsidRDefault="00E27756" w:rsidP="00E27756">
      <w:pPr>
        <w:pStyle w:val="SangriaFrancesaArticulo"/>
      </w:pPr>
      <w:r w:rsidRPr="00E27756">
        <w:rPr>
          <w:rStyle w:val="TextoNormalNegritaCaracter"/>
        </w:rPr>
        <w:t>Artículo 105.</w:t>
      </w:r>
      <w:r w:rsidRPr="00E27756">
        <w:rPr>
          <w:rStyle w:val="TextoNormalCaracter"/>
        </w:rPr>
        <w:t>-</w:t>
      </w:r>
      <w:r>
        <w:t xml:space="preserve"> Sentencia </w:t>
      </w:r>
      <w:hyperlink w:anchor="SENTENCIA_2013_4" w:history="1">
        <w:r w:rsidRPr="00E27756">
          <w:rPr>
            <w:rStyle w:val="TextoNormalCaracter"/>
          </w:rPr>
          <w:t>4/2013</w:t>
        </w:r>
      </w:hyperlink>
      <w:r>
        <w:t>, f. 7.</w:t>
      </w:r>
    </w:p>
    <w:p w:rsidR="00E27756" w:rsidRDefault="00E27756" w:rsidP="00E27756">
      <w:pPr>
        <w:pStyle w:val="SangriaFrancesaArticulo"/>
      </w:pPr>
    </w:p>
    <w:p w:rsidR="00E27756" w:rsidRDefault="00E27756" w:rsidP="00E27756">
      <w:pPr>
        <w:pStyle w:val="TextoNormalNegritaCursivandice"/>
      </w:pPr>
      <w:r>
        <w:t>Real Decreto 581/2001, de 1 de junio. En determinadas zonas húmedas se prohíbe la tenencia y el uso de municiones que contengan plomo para el ejercicio de la caza y el tiro deportivo</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Sentencias </w:t>
      </w:r>
      <w:hyperlink w:anchor="SENTENCIA_2013_69" w:history="1">
        <w:r w:rsidRPr="00E27756">
          <w:rPr>
            <w:rStyle w:val="TextoNormalCaracter"/>
          </w:rPr>
          <w:t>69/2013</w:t>
        </w:r>
      </w:hyperlink>
      <w:r>
        <w:t xml:space="preserve">, f. 6; </w:t>
      </w:r>
      <w:hyperlink w:anchor="SENTENCIA_2013_138" w:history="1">
        <w:r w:rsidRPr="00E27756">
          <w:rPr>
            <w:rStyle w:val="TextoNormalCaracter"/>
          </w:rPr>
          <w:t>138/2013</w:t>
        </w:r>
      </w:hyperlink>
      <w:r>
        <w:t>, f. 10.</w:t>
      </w:r>
    </w:p>
    <w:p w:rsidR="00E27756" w:rsidRDefault="00E27756" w:rsidP="00E27756">
      <w:pPr>
        <w:pStyle w:val="SangriaFrancesaArticulo"/>
      </w:pPr>
    </w:p>
    <w:p w:rsidR="00E27756" w:rsidRDefault="00E27756" w:rsidP="00E27756">
      <w:pPr>
        <w:pStyle w:val="TextoNormalNegritaCursivandice"/>
      </w:pPr>
      <w:r>
        <w:lastRenderedPageBreak/>
        <w:t>Acuerdo 2/2001 del Consejo de Política Fiscal y Financiera de las Comunidades Autónomas, de 27 de julio. Sistema de financiación de las comunidades autónomas de régimen común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1" w:history="1">
        <w:r w:rsidRPr="00E27756">
          <w:rPr>
            <w:rStyle w:val="TextoNormalCaracter"/>
          </w:rPr>
          <w:t>101/2013</w:t>
        </w:r>
      </w:hyperlink>
      <w:r>
        <w:t>, f. 5.</w:t>
      </w:r>
    </w:p>
    <w:p w:rsidR="00E27756" w:rsidRDefault="00E27756" w:rsidP="00E27756">
      <w:pPr>
        <w:pStyle w:val="SangriaFrancesaArticulo"/>
      </w:pPr>
    </w:p>
    <w:p w:rsidR="00E27756" w:rsidRDefault="00E27756" w:rsidP="00E27756">
      <w:pPr>
        <w:pStyle w:val="TextoNormalNegritaCursivandice"/>
      </w:pPr>
      <w:r>
        <w:t>Real Decreto 1231/2001, de 8 de noviembre. Estatutos generales de la organización colegial de enfermería de España, del consejo general y de ordenación de la actividad profesional de enfermería.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Autos </w:t>
      </w:r>
      <w:hyperlink w:anchor="AUTO_2013_67" w:history="1">
        <w:r w:rsidRPr="00E27756">
          <w:rPr>
            <w:rStyle w:val="TextoNormalCaracter"/>
          </w:rPr>
          <w:t>67/2013</w:t>
        </w:r>
      </w:hyperlink>
      <w:r>
        <w:t xml:space="preserve">, f. 1; </w:t>
      </w:r>
      <w:hyperlink w:anchor="AUTO_2013_67" w:history="1">
        <w:r w:rsidRPr="00E27756">
          <w:rPr>
            <w:rStyle w:val="TextoNormalCaracter"/>
          </w:rPr>
          <w:t>67/2013</w:t>
        </w:r>
      </w:hyperlink>
      <w:r>
        <w:t>, f. 1.</w:t>
      </w:r>
    </w:p>
    <w:p w:rsidR="00E27756" w:rsidRDefault="00E27756" w:rsidP="00E27756">
      <w:pPr>
        <w:pStyle w:val="SangriaFrancesaArticulo"/>
      </w:pPr>
    </w:p>
    <w:p w:rsidR="00E27756" w:rsidRDefault="00E27756" w:rsidP="00E27756">
      <w:pPr>
        <w:pStyle w:val="TextoNormalNegritaCursivandice"/>
      </w:pPr>
      <w:r>
        <w:t>Real Decreto 462/2002, de 24 de mayo. Indemnizaciones por razón del servicio</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11" w:history="1">
        <w:r w:rsidRPr="00E27756">
          <w:rPr>
            <w:rStyle w:val="TextoNormalCaracter"/>
          </w:rPr>
          <w:t>11/2013</w:t>
        </w:r>
      </w:hyperlink>
      <w:r>
        <w:t>, f. 3.</w:t>
      </w:r>
    </w:p>
    <w:p w:rsidR="00E27756" w:rsidRDefault="00E27756" w:rsidP="00E27756">
      <w:pPr>
        <w:pStyle w:val="SangriaFrancesaArticulo"/>
      </w:pPr>
    </w:p>
    <w:p w:rsidR="00E27756" w:rsidRDefault="00E27756" w:rsidP="00E27756">
      <w:pPr>
        <w:pStyle w:val="TextoNormalNegritaCursivandice"/>
      </w:pPr>
      <w:r>
        <w:t>Real Decreto 1131/2002, de 31 de octubre. Seguridad Social de los trabajadores contratados a tiempo parcial y jubilación parcial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71" w:history="1">
        <w:r w:rsidRPr="00E27756">
          <w:rPr>
            <w:rStyle w:val="TextoNormalCaracter"/>
          </w:rPr>
          <w:t>71/2013</w:t>
        </w:r>
      </w:hyperlink>
      <w:r>
        <w:t>, ff. 1, 2.</w:t>
      </w:r>
    </w:p>
    <w:p w:rsidR="00E27756" w:rsidRDefault="00E27756" w:rsidP="00E27756">
      <w:pPr>
        <w:pStyle w:val="SangriaFrancesaArticulo"/>
      </w:pPr>
    </w:p>
    <w:p w:rsidR="00E27756" w:rsidRDefault="00E27756" w:rsidP="00E27756">
      <w:pPr>
        <w:pStyle w:val="TextoNormalNegritaCursivandice"/>
      </w:pPr>
      <w:r>
        <w:t>Certificación de la Dirección General de Conservación de la naturaleza del Ministerio de Medio Ambiente, de 9 de noviembre de 2002. Afección de los proyectos y actuaciones a la conservación de la diversidad en zonas de especial conservación y en zonas de especial protección de las aves: Proyecto de construcción del abastecimiento de agua a Lleida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9" w:history="1">
        <w:r w:rsidRPr="00E27756">
          <w:rPr>
            <w:rStyle w:val="TextoNormalCaracter"/>
          </w:rPr>
          <w:t>59/2013</w:t>
        </w:r>
      </w:hyperlink>
      <w:r>
        <w:t>, ff. 1 a 3.</w:t>
      </w:r>
    </w:p>
    <w:p w:rsidR="00E27756" w:rsidRDefault="00E27756" w:rsidP="00E27756">
      <w:pPr>
        <w:pStyle w:val="SangriaFrancesaArticulo"/>
      </w:pPr>
    </w:p>
    <w:p w:rsidR="00E27756" w:rsidRDefault="00E27756" w:rsidP="00E27756">
      <w:pPr>
        <w:pStyle w:val="TextoNormalNegritaCursivandice"/>
      </w:pPr>
      <w:r>
        <w:t>Real Decreto 828/2003, de 27 de junio. Se establecen los aspectos educativos básicos de la educación preescolar</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7" w:history="1">
        <w:r w:rsidRPr="00E27756">
          <w:rPr>
            <w:rStyle w:val="TextoNormalCaracter"/>
          </w:rPr>
          <w:t>47/2013</w:t>
        </w:r>
      </w:hyperlink>
      <w:r>
        <w:t>, f. 1.</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47" w:history="1">
        <w:r w:rsidRPr="00E27756">
          <w:rPr>
            <w:rStyle w:val="TextoNormalCaracter"/>
          </w:rPr>
          <w:t>47/2013</w:t>
        </w:r>
      </w:hyperlink>
      <w:r>
        <w:t>, f. 3.</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47" w:history="1">
        <w:r w:rsidRPr="00E27756">
          <w:rPr>
            <w:rStyle w:val="TextoNormalCaracter"/>
          </w:rPr>
          <w:t>47/2013</w:t>
        </w:r>
      </w:hyperlink>
      <w:r>
        <w:t>, f. 3.</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47" w:history="1">
        <w:r w:rsidRPr="00E27756">
          <w:rPr>
            <w:rStyle w:val="TextoNormalCaracter"/>
          </w:rPr>
          <w:t>47/2013</w:t>
        </w:r>
      </w:hyperlink>
      <w:r>
        <w:t>, ff. 1, 2, 4.</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47" w:history="1">
        <w:r w:rsidRPr="00E27756">
          <w:rPr>
            <w:rStyle w:val="TextoNormalCaracter"/>
          </w:rPr>
          <w:t>47/2013</w:t>
        </w:r>
      </w:hyperlink>
      <w:r>
        <w:t>, ff. 1, 2.</w:t>
      </w:r>
    </w:p>
    <w:p w:rsidR="00E27756" w:rsidRDefault="00E27756" w:rsidP="00E27756">
      <w:pPr>
        <w:pStyle w:val="SangriaFrancesaArticulo"/>
      </w:pPr>
      <w:r w:rsidRPr="00E27756">
        <w:rPr>
          <w:rStyle w:val="TextoNormalNegritaCaracter"/>
        </w:rPr>
        <w:t>Disposición transitoria única.</w:t>
      </w:r>
      <w:r w:rsidRPr="00E27756">
        <w:rPr>
          <w:rStyle w:val="TextoNormalCaracter"/>
        </w:rPr>
        <w:t>-</w:t>
      </w:r>
      <w:r>
        <w:t xml:space="preserve"> Sentencia </w:t>
      </w:r>
      <w:hyperlink w:anchor="SENTENCIA_2013_47" w:history="1">
        <w:r w:rsidRPr="00E27756">
          <w:rPr>
            <w:rStyle w:val="TextoNormalCaracter"/>
          </w:rPr>
          <w:t>47/2013</w:t>
        </w:r>
      </w:hyperlink>
      <w:r>
        <w:t>, ff. 1, 2.</w:t>
      </w:r>
    </w:p>
    <w:p w:rsidR="00E27756" w:rsidRDefault="00E27756" w:rsidP="00E27756">
      <w:pPr>
        <w:pStyle w:val="SangriaFrancesaArticulo"/>
      </w:pPr>
    </w:p>
    <w:p w:rsidR="00E27756" w:rsidRDefault="00E27756" w:rsidP="00E27756">
      <w:pPr>
        <w:pStyle w:val="TextoNormalNegritaCursivandice"/>
      </w:pPr>
      <w:r>
        <w:t>Real Decreto 830/2003, de 27 de junio. Enseñanzas comunes de la Educación Primaria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5" w:history="1">
        <w:r w:rsidRPr="00E27756">
          <w:rPr>
            <w:rStyle w:val="TextoNormalCaracter"/>
          </w:rPr>
          <w:t>15/2013</w:t>
        </w:r>
      </w:hyperlink>
      <w:r>
        <w:t xml:space="preserve">, ff. 2, 4; </w:t>
      </w:r>
      <w:hyperlink w:anchor="SENTENCIA_2013_48" w:history="1">
        <w:r w:rsidRPr="00E27756">
          <w:rPr>
            <w:rStyle w:val="TextoNormalCaracter"/>
          </w:rPr>
          <w:t>48/2013</w:t>
        </w:r>
      </w:hyperlink>
      <w:r>
        <w:t>, f. 3.</w:t>
      </w:r>
    </w:p>
    <w:p w:rsidR="00E27756" w:rsidRDefault="00E27756" w:rsidP="00E27756">
      <w:pPr>
        <w:pStyle w:val="SangriaFrancesaArticulo"/>
      </w:pPr>
      <w:r w:rsidRPr="00E27756">
        <w:rPr>
          <w:rStyle w:val="TextoNormalNegritaCaracter"/>
        </w:rPr>
        <w:t>Artículos 5, 6, 11.</w:t>
      </w:r>
      <w:r w:rsidRPr="00E27756">
        <w:rPr>
          <w:rStyle w:val="TextoNormalCaracter"/>
        </w:rPr>
        <w:t>-</w:t>
      </w:r>
      <w:r>
        <w:t xml:space="preserve"> Sentencia </w:t>
      </w:r>
      <w:hyperlink w:anchor="SENTENCIA_2013_15" w:history="1">
        <w:r w:rsidRPr="00E27756">
          <w:rPr>
            <w:rStyle w:val="TextoNormalCaracter"/>
          </w:rPr>
          <w:t>15/2013</w:t>
        </w:r>
      </w:hyperlink>
      <w:r>
        <w:t>, ff. 1, 2.</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15" w:history="1">
        <w:r w:rsidRPr="00E27756">
          <w:rPr>
            <w:rStyle w:val="TextoNormalCaracter"/>
          </w:rPr>
          <w:t>15/2013</w:t>
        </w:r>
      </w:hyperlink>
      <w:r>
        <w:t>, ff. 1, 2.</w:t>
      </w:r>
    </w:p>
    <w:p w:rsidR="00E27756" w:rsidRDefault="00E27756" w:rsidP="00E27756">
      <w:pPr>
        <w:pStyle w:val="SangriaFrancesaArticulo"/>
      </w:pPr>
      <w:r w:rsidRPr="00E27756">
        <w:rPr>
          <w:rStyle w:val="TextoNormalNegritaCaracter"/>
        </w:rPr>
        <w:t>Anexos I, II.</w:t>
      </w:r>
      <w:r w:rsidRPr="00E27756">
        <w:rPr>
          <w:rStyle w:val="TextoNormalCaracter"/>
        </w:rPr>
        <w:t>-</w:t>
      </w:r>
      <w:r>
        <w:t xml:space="preserve"> Sentencia </w:t>
      </w:r>
      <w:hyperlink w:anchor="SENTENCIA_2013_15" w:history="1">
        <w:r w:rsidRPr="00E27756">
          <w:rPr>
            <w:rStyle w:val="TextoNormalCaracter"/>
          </w:rPr>
          <w:t>15/2013</w:t>
        </w:r>
      </w:hyperlink>
      <w:r>
        <w:t>, ff. 1, 2, 4.</w:t>
      </w:r>
    </w:p>
    <w:p w:rsidR="00E27756" w:rsidRDefault="00E27756" w:rsidP="00E27756">
      <w:pPr>
        <w:pStyle w:val="SangriaFrancesaArticulo"/>
      </w:pPr>
    </w:p>
    <w:p w:rsidR="00E27756" w:rsidRDefault="00E27756" w:rsidP="00E27756">
      <w:pPr>
        <w:pStyle w:val="TextoNormalNegritaCursivandice"/>
      </w:pPr>
      <w:r>
        <w:t>Real Decreto 831/2003, de 27 de junio. Se establece la ordenación general y las enseñanzas comunes de la Educación Secundaria Obligatoria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8" w:history="1">
        <w:r w:rsidRPr="00E27756">
          <w:rPr>
            <w:rStyle w:val="TextoNormalCaracter"/>
          </w:rPr>
          <w:t>48/2013</w:t>
        </w:r>
      </w:hyperlink>
      <w:r>
        <w:t>, ff. 1, 2, 4, 6.</w:t>
      </w:r>
    </w:p>
    <w:p w:rsidR="00E27756" w:rsidRDefault="00E27756" w:rsidP="00E27756">
      <w:pPr>
        <w:pStyle w:val="SangriaFrancesaArticulo"/>
      </w:pPr>
      <w:r w:rsidRPr="00E27756">
        <w:rPr>
          <w:rStyle w:val="TextoNormalNegritaCaracter"/>
        </w:rPr>
        <w:t>Artículos 3, 4, 6.3, 7, 9.</w:t>
      </w:r>
      <w:r w:rsidRPr="00E27756">
        <w:rPr>
          <w:rStyle w:val="TextoNormalCaracter"/>
        </w:rPr>
        <w:t>-</w:t>
      </w:r>
      <w:r>
        <w:t xml:space="preserve"> Sentencia </w:t>
      </w:r>
      <w:hyperlink w:anchor="SENTENCIA_2013_48" w:history="1">
        <w:r w:rsidRPr="00E27756">
          <w:rPr>
            <w:rStyle w:val="TextoNormalCaracter"/>
          </w:rPr>
          <w:t>48/2013</w:t>
        </w:r>
      </w:hyperlink>
      <w:r>
        <w:t>, f. 2.</w:t>
      </w:r>
    </w:p>
    <w:p w:rsidR="00E27756" w:rsidRDefault="00E27756" w:rsidP="00E27756">
      <w:pPr>
        <w:pStyle w:val="SangriaFrancesaArticulo"/>
      </w:pPr>
      <w:r w:rsidRPr="00E27756">
        <w:rPr>
          <w:rStyle w:val="TextoNormalNegritaCaracter"/>
        </w:rPr>
        <w:t>Artículos 3, 4, 6.3, 7, 9, 15.1, 19.</w:t>
      </w:r>
      <w:r w:rsidRPr="00E27756">
        <w:rPr>
          <w:rStyle w:val="TextoNormalCaracter"/>
        </w:rPr>
        <w:t>-</w:t>
      </w:r>
      <w:r>
        <w:t xml:space="preserve"> Sentencia </w:t>
      </w:r>
      <w:hyperlink w:anchor="SENTENCIA_2013_48" w:history="1">
        <w:r w:rsidRPr="00E27756">
          <w:rPr>
            <w:rStyle w:val="TextoNormalCaracter"/>
          </w:rPr>
          <w:t>48/2013</w:t>
        </w:r>
      </w:hyperlink>
      <w:r>
        <w:t>, f. 1.</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48" w:history="1">
        <w:r w:rsidRPr="00E27756">
          <w:rPr>
            <w:rStyle w:val="TextoNormalCaracter"/>
          </w:rPr>
          <w:t>48/2013</w:t>
        </w:r>
      </w:hyperlink>
      <w:r>
        <w:t>, f. 2.</w:t>
      </w:r>
    </w:p>
    <w:p w:rsidR="00E27756" w:rsidRDefault="00E27756" w:rsidP="00E27756">
      <w:pPr>
        <w:pStyle w:val="SangriaFrancesaArticulo"/>
      </w:pPr>
      <w:r w:rsidRPr="00E27756">
        <w:rPr>
          <w:rStyle w:val="TextoNormalNegritaCaracter"/>
        </w:rPr>
        <w:t>Artículo 15.</w:t>
      </w:r>
      <w:r w:rsidRPr="00E27756">
        <w:rPr>
          <w:rStyle w:val="TextoNormalCaracter"/>
        </w:rPr>
        <w:t>-</w:t>
      </w:r>
      <w:r>
        <w:t xml:space="preserve"> Sentencia </w:t>
      </w:r>
      <w:hyperlink w:anchor="SENTENCIA_2013_48" w:history="1">
        <w:r w:rsidRPr="00E27756">
          <w:rPr>
            <w:rStyle w:val="TextoNormalCaracter"/>
          </w:rPr>
          <w:t>48/2013</w:t>
        </w:r>
      </w:hyperlink>
      <w:r>
        <w:t>, ff. 2, 5.</w:t>
      </w:r>
    </w:p>
    <w:p w:rsidR="00E27756" w:rsidRDefault="00E27756" w:rsidP="00E27756">
      <w:pPr>
        <w:pStyle w:val="SangriaFrancesaArticulo"/>
      </w:pPr>
      <w:r w:rsidRPr="00E27756">
        <w:rPr>
          <w:rStyle w:val="TextoNormalNegritaCaracter"/>
        </w:rPr>
        <w:lastRenderedPageBreak/>
        <w:t>Artículo 18.2, 3.</w:t>
      </w:r>
      <w:r w:rsidRPr="00E27756">
        <w:rPr>
          <w:rStyle w:val="TextoNormalCaracter"/>
        </w:rPr>
        <w:t>-</w:t>
      </w:r>
      <w:r>
        <w:t xml:space="preserve"> Sentencia </w:t>
      </w:r>
      <w:hyperlink w:anchor="SENTENCIA_2013_48" w:history="1">
        <w:r w:rsidRPr="00E27756">
          <w:rPr>
            <w:rStyle w:val="TextoNormalCaracter"/>
          </w:rPr>
          <w:t>48/2013</w:t>
        </w:r>
      </w:hyperlink>
      <w:r>
        <w:t>, f. 2.</w:t>
      </w:r>
    </w:p>
    <w:p w:rsidR="00E27756" w:rsidRDefault="00E27756" w:rsidP="00E27756">
      <w:pPr>
        <w:pStyle w:val="SangriaFrancesaArticulo"/>
      </w:pPr>
      <w:r w:rsidRPr="00E27756">
        <w:rPr>
          <w:rStyle w:val="TextoNormalNegritaCaracter"/>
        </w:rPr>
        <w:t>Artículo 19.</w:t>
      </w:r>
      <w:r w:rsidRPr="00E27756">
        <w:rPr>
          <w:rStyle w:val="TextoNormalCaracter"/>
        </w:rPr>
        <w:t>-</w:t>
      </w:r>
      <w:r>
        <w:t xml:space="preserve"> Sentencia </w:t>
      </w:r>
      <w:hyperlink w:anchor="SENTENCIA_2013_48" w:history="1">
        <w:r w:rsidRPr="00E27756">
          <w:rPr>
            <w:rStyle w:val="TextoNormalCaracter"/>
          </w:rPr>
          <w:t>48/2013</w:t>
        </w:r>
      </w:hyperlink>
      <w:r>
        <w:t>, f. 2.</w:t>
      </w:r>
    </w:p>
    <w:p w:rsidR="00E27756" w:rsidRDefault="00E27756" w:rsidP="00E27756">
      <w:pPr>
        <w:pStyle w:val="SangriaFrancesaArticulo"/>
      </w:pPr>
      <w:r w:rsidRPr="00E27756">
        <w:rPr>
          <w:rStyle w:val="TextoNormalNegritaCaracter"/>
        </w:rPr>
        <w:t>Disposición adicional segunda.</w:t>
      </w:r>
      <w:r w:rsidRPr="00E27756">
        <w:rPr>
          <w:rStyle w:val="TextoNormalCaracter"/>
        </w:rPr>
        <w:t>-</w:t>
      </w:r>
      <w:r>
        <w:t xml:space="preserve"> Sentencia </w:t>
      </w:r>
      <w:hyperlink w:anchor="SENTENCIA_2013_48" w:history="1">
        <w:r w:rsidRPr="00E27756">
          <w:rPr>
            <w:rStyle w:val="TextoNormalCaracter"/>
          </w:rPr>
          <w:t>48/2013</w:t>
        </w:r>
      </w:hyperlink>
      <w:r>
        <w:t>, f. 2.</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48" w:history="1">
        <w:r w:rsidRPr="00E27756">
          <w:rPr>
            <w:rStyle w:val="TextoNormalCaracter"/>
          </w:rPr>
          <w:t>48/2013</w:t>
        </w:r>
      </w:hyperlink>
      <w:r>
        <w:t>, ff. 1, 2, 6.</w:t>
      </w:r>
    </w:p>
    <w:p w:rsidR="00E27756" w:rsidRDefault="00E27756" w:rsidP="00E27756">
      <w:pPr>
        <w:pStyle w:val="SangriaFrancesaArticulo"/>
      </w:pPr>
      <w:r w:rsidRPr="00E27756">
        <w:rPr>
          <w:rStyle w:val="TextoNormalNegritaCaracter"/>
        </w:rPr>
        <w:t>Anexo I.</w:t>
      </w:r>
      <w:r w:rsidRPr="00E27756">
        <w:rPr>
          <w:rStyle w:val="TextoNormalCaracter"/>
        </w:rPr>
        <w:t>-</w:t>
      </w:r>
      <w:r>
        <w:t xml:space="preserve"> Sentencia </w:t>
      </w:r>
      <w:hyperlink w:anchor="SENTENCIA_2013_48" w:history="1">
        <w:r w:rsidRPr="00E27756">
          <w:rPr>
            <w:rStyle w:val="TextoNormalCaracter"/>
          </w:rPr>
          <w:t>48/2013</w:t>
        </w:r>
      </w:hyperlink>
      <w:r>
        <w:t>, ff. 1 a 4.</w:t>
      </w:r>
    </w:p>
    <w:p w:rsidR="00E27756" w:rsidRDefault="00E27756" w:rsidP="00E27756">
      <w:pPr>
        <w:pStyle w:val="SangriaFrancesaArticulo"/>
      </w:pPr>
      <w:r w:rsidRPr="00E27756">
        <w:rPr>
          <w:rStyle w:val="TextoNormalNegritaCaracter"/>
        </w:rPr>
        <w:t>Anexo II.</w:t>
      </w:r>
      <w:r w:rsidRPr="00E27756">
        <w:rPr>
          <w:rStyle w:val="TextoNormalCaracter"/>
        </w:rPr>
        <w:t>-</w:t>
      </w:r>
      <w:r>
        <w:t xml:space="preserve"> Sentencia </w:t>
      </w:r>
      <w:hyperlink w:anchor="SENTENCIA_2013_48" w:history="1">
        <w:r w:rsidRPr="00E27756">
          <w:rPr>
            <w:rStyle w:val="TextoNormalCaracter"/>
          </w:rPr>
          <w:t>48/2013</w:t>
        </w:r>
      </w:hyperlink>
      <w:r>
        <w:t>, ff. 1, 2, 4.</w:t>
      </w:r>
    </w:p>
    <w:p w:rsidR="00E27756" w:rsidRDefault="00E27756" w:rsidP="00E27756">
      <w:pPr>
        <w:pStyle w:val="SangriaFrancesaArticulo"/>
      </w:pPr>
      <w:r w:rsidRPr="00E27756">
        <w:rPr>
          <w:rStyle w:val="TextoNormalNegritaCaracter"/>
        </w:rPr>
        <w:t>Anexo III.</w:t>
      </w:r>
      <w:r w:rsidRPr="00E27756">
        <w:rPr>
          <w:rStyle w:val="TextoNormalCaracter"/>
        </w:rPr>
        <w:t>-</w:t>
      </w:r>
      <w:r>
        <w:t xml:space="preserve"> Sentencia </w:t>
      </w:r>
      <w:hyperlink w:anchor="SENTENCIA_2013_48" w:history="1">
        <w:r w:rsidRPr="00E27756">
          <w:rPr>
            <w:rStyle w:val="TextoNormalCaracter"/>
          </w:rPr>
          <w:t>48/2013</w:t>
        </w:r>
      </w:hyperlink>
      <w:r>
        <w:t>, f. 1.</w:t>
      </w:r>
    </w:p>
    <w:p w:rsidR="00E27756" w:rsidRDefault="00E27756" w:rsidP="00E27756">
      <w:pPr>
        <w:pStyle w:val="SangriaFrancesaArticulo"/>
      </w:pPr>
    </w:p>
    <w:p w:rsidR="00E27756" w:rsidRDefault="00E27756" w:rsidP="00E27756">
      <w:pPr>
        <w:pStyle w:val="TextoNormalNegritaCursivandice"/>
      </w:pPr>
      <w:r>
        <w:t>Real Decreto 942/2003, de 18 de julio. Determina las condiciones básicas que deben reunir las pruebas para la obtención de los títulos de técnico y técnico superior de formación profesional específica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58" w:history="1">
        <w:r w:rsidRPr="00E27756">
          <w:rPr>
            <w:rStyle w:val="TextoNormalCaracter"/>
          </w:rPr>
          <w:t>58/2013</w:t>
        </w:r>
      </w:hyperlink>
      <w:r>
        <w:t>, ff. 2, 3, 5.</w:t>
      </w:r>
    </w:p>
    <w:p w:rsidR="00E27756" w:rsidRDefault="00E27756" w:rsidP="00E27756">
      <w:pPr>
        <w:pStyle w:val="SangriaFrancesaArticulo"/>
      </w:pPr>
      <w:r w:rsidRPr="00E27756">
        <w:rPr>
          <w:rStyle w:val="TextoNormalNegritaCaracter"/>
        </w:rPr>
        <w:t>Artículo 2 inciso final.</w:t>
      </w:r>
      <w:r w:rsidRPr="00E27756">
        <w:rPr>
          <w:rStyle w:val="TextoNormalCaracter"/>
        </w:rPr>
        <w:t>-</w:t>
      </w:r>
      <w:r>
        <w:t xml:space="preserve"> Auto </w:t>
      </w:r>
      <w:hyperlink w:anchor="AUTO_2013_58" w:history="1">
        <w:r w:rsidRPr="00E27756">
          <w:rPr>
            <w:rStyle w:val="TextoNormalCaracter"/>
          </w:rPr>
          <w:t>58/2013</w:t>
        </w:r>
      </w:hyperlink>
      <w:r>
        <w:t>, ff. 1, 5.</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Auto </w:t>
      </w:r>
      <w:hyperlink w:anchor="AUTO_2013_58" w:history="1">
        <w:r w:rsidRPr="00E27756">
          <w:rPr>
            <w:rStyle w:val="TextoNormalCaracter"/>
          </w:rPr>
          <w:t>58/2013</w:t>
        </w:r>
      </w:hyperlink>
      <w:r>
        <w:t>, ff. 1, 5.</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Auto </w:t>
      </w:r>
      <w:hyperlink w:anchor="AUTO_2013_58" w:history="1">
        <w:r w:rsidRPr="00E27756">
          <w:rPr>
            <w:rStyle w:val="TextoNormalCaracter"/>
          </w:rPr>
          <w:t>58/2013</w:t>
        </w:r>
      </w:hyperlink>
      <w:r>
        <w:t>, ff. 1, 5.</w:t>
      </w:r>
    </w:p>
    <w:p w:rsidR="00E27756" w:rsidRDefault="00E27756" w:rsidP="00E27756">
      <w:pPr>
        <w:pStyle w:val="SangriaFrancesaArticulo"/>
      </w:pPr>
      <w:r w:rsidRPr="00E27756">
        <w:rPr>
          <w:rStyle w:val="TextoNormalNegritaCaracter"/>
        </w:rPr>
        <w:t>Artículo 7.2.</w:t>
      </w:r>
      <w:r w:rsidRPr="00E27756">
        <w:rPr>
          <w:rStyle w:val="TextoNormalCaracter"/>
        </w:rPr>
        <w:t>-</w:t>
      </w:r>
      <w:r>
        <w:t xml:space="preserve"> Auto </w:t>
      </w:r>
      <w:hyperlink w:anchor="AUTO_2013_58" w:history="1">
        <w:r w:rsidRPr="00E27756">
          <w:rPr>
            <w:rStyle w:val="TextoNormalCaracter"/>
          </w:rPr>
          <w:t>58/2013</w:t>
        </w:r>
      </w:hyperlink>
      <w:r>
        <w:t>, ff. 1, 5.</w:t>
      </w:r>
    </w:p>
    <w:p w:rsidR="00E27756" w:rsidRDefault="00E27756" w:rsidP="00E27756">
      <w:pPr>
        <w:pStyle w:val="SangriaFrancesaArticulo"/>
      </w:pPr>
      <w:r w:rsidRPr="00E27756">
        <w:rPr>
          <w:rStyle w:val="TextoNormalNegritaCaracter"/>
        </w:rPr>
        <w:t>Artículo 7.3.</w:t>
      </w:r>
      <w:r w:rsidRPr="00E27756">
        <w:rPr>
          <w:rStyle w:val="TextoNormalCaracter"/>
        </w:rPr>
        <w:t>-</w:t>
      </w:r>
      <w:r>
        <w:t xml:space="preserve"> Auto </w:t>
      </w:r>
      <w:hyperlink w:anchor="AUTO_2013_58" w:history="1">
        <w:r w:rsidRPr="00E27756">
          <w:rPr>
            <w:rStyle w:val="TextoNormalCaracter"/>
          </w:rPr>
          <w:t>58/2013</w:t>
        </w:r>
      </w:hyperlink>
      <w:r>
        <w:t>, ff. 1, 5.</w:t>
      </w:r>
    </w:p>
    <w:p w:rsidR="00E27756" w:rsidRDefault="00E27756" w:rsidP="00E27756">
      <w:pPr>
        <w:pStyle w:val="SangriaFrancesaArticulo"/>
      </w:pPr>
      <w:r w:rsidRPr="00E27756">
        <w:rPr>
          <w:rStyle w:val="TextoNormalNegritaCaracter"/>
        </w:rPr>
        <w:t>Artículo 7.4.</w:t>
      </w:r>
      <w:r w:rsidRPr="00E27756">
        <w:rPr>
          <w:rStyle w:val="TextoNormalCaracter"/>
        </w:rPr>
        <w:t>-</w:t>
      </w:r>
      <w:r>
        <w:t xml:space="preserve"> Auto </w:t>
      </w:r>
      <w:hyperlink w:anchor="AUTO_2013_58" w:history="1">
        <w:r w:rsidRPr="00E27756">
          <w:rPr>
            <w:rStyle w:val="TextoNormalCaracter"/>
          </w:rPr>
          <w:t>58/2013</w:t>
        </w:r>
      </w:hyperlink>
      <w:r>
        <w:t>, ff. 1, 5.</w:t>
      </w:r>
    </w:p>
    <w:p w:rsidR="00E27756" w:rsidRDefault="00E27756" w:rsidP="00E27756">
      <w:pPr>
        <w:pStyle w:val="SangriaFrancesaArticulo"/>
      </w:pPr>
      <w:r w:rsidRPr="00E27756">
        <w:rPr>
          <w:rStyle w:val="TextoNormalNegritaCaracter"/>
        </w:rPr>
        <w:t>Artículo 9.2.</w:t>
      </w:r>
      <w:r w:rsidRPr="00E27756">
        <w:rPr>
          <w:rStyle w:val="TextoNormalCaracter"/>
        </w:rPr>
        <w:t>-</w:t>
      </w:r>
      <w:r>
        <w:t xml:space="preserve"> Auto </w:t>
      </w:r>
      <w:hyperlink w:anchor="AUTO_2013_58" w:history="1">
        <w:r w:rsidRPr="00E27756">
          <w:rPr>
            <w:rStyle w:val="TextoNormalCaracter"/>
          </w:rPr>
          <w:t>58/2013</w:t>
        </w:r>
      </w:hyperlink>
      <w:r>
        <w:t>, ff. 1, 5.</w:t>
      </w:r>
    </w:p>
    <w:p w:rsidR="00E27756" w:rsidRDefault="00E27756" w:rsidP="00E27756">
      <w:pPr>
        <w:pStyle w:val="SangriaFrancesaArticulo"/>
      </w:pPr>
      <w:r w:rsidRPr="00E27756">
        <w:rPr>
          <w:rStyle w:val="TextoNormalNegritaCaracter"/>
        </w:rPr>
        <w:t>Artículo 9.3.</w:t>
      </w:r>
      <w:r w:rsidRPr="00E27756">
        <w:rPr>
          <w:rStyle w:val="TextoNormalCaracter"/>
        </w:rPr>
        <w:t>-</w:t>
      </w:r>
      <w:r>
        <w:t xml:space="preserve"> Auto </w:t>
      </w:r>
      <w:hyperlink w:anchor="AUTO_2013_58" w:history="1">
        <w:r w:rsidRPr="00E27756">
          <w:rPr>
            <w:rStyle w:val="TextoNormalCaracter"/>
          </w:rPr>
          <w:t>58/2013</w:t>
        </w:r>
      </w:hyperlink>
      <w:r>
        <w:t>, ff. 1, 5.</w:t>
      </w:r>
    </w:p>
    <w:p w:rsidR="00E27756" w:rsidRDefault="00E27756" w:rsidP="00E27756">
      <w:pPr>
        <w:pStyle w:val="SangriaFrancesaArticulo"/>
      </w:pPr>
      <w:r w:rsidRPr="00E27756">
        <w:rPr>
          <w:rStyle w:val="TextoNormalNegritaCaracter"/>
        </w:rPr>
        <w:t>Disposición transitoria única.</w:t>
      </w:r>
      <w:r w:rsidRPr="00E27756">
        <w:rPr>
          <w:rStyle w:val="TextoNormalCaracter"/>
        </w:rPr>
        <w:t>-</w:t>
      </w:r>
      <w:r>
        <w:t xml:space="preserve"> Auto </w:t>
      </w:r>
      <w:hyperlink w:anchor="AUTO_2013_58" w:history="1">
        <w:r w:rsidRPr="00E27756">
          <w:rPr>
            <w:rStyle w:val="TextoNormalCaracter"/>
          </w:rPr>
          <w:t>58/2013</w:t>
        </w:r>
      </w:hyperlink>
      <w:r>
        <w:t>, f. 3.</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Auto </w:t>
      </w:r>
      <w:hyperlink w:anchor="AUTO_2013_58" w:history="1">
        <w:r w:rsidRPr="00E27756">
          <w:rPr>
            <w:rStyle w:val="TextoNormalCaracter"/>
          </w:rPr>
          <w:t>58/2013</w:t>
        </w:r>
      </w:hyperlink>
      <w:r>
        <w:t>, ff. 1, 5.</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Auto </w:t>
      </w:r>
      <w:hyperlink w:anchor="AUTO_2013_58" w:history="1">
        <w:r w:rsidRPr="00E27756">
          <w:rPr>
            <w:rStyle w:val="TextoNormalCaracter"/>
          </w:rPr>
          <w:t>58/2013</w:t>
        </w:r>
      </w:hyperlink>
      <w:r>
        <w:t>, ff. 1, 5.</w:t>
      </w:r>
    </w:p>
    <w:p w:rsidR="00E27756" w:rsidRDefault="00E27756" w:rsidP="00E27756">
      <w:pPr>
        <w:pStyle w:val="SangriaFrancesaArticulo"/>
      </w:pPr>
    </w:p>
    <w:p w:rsidR="00E27756" w:rsidRDefault="00E27756" w:rsidP="00E27756">
      <w:pPr>
        <w:pStyle w:val="TextoNormalNegritaCursivandice"/>
      </w:pPr>
      <w:r>
        <w:t>Real Decreto 1046/2003, de 1 de agosto. Subsistema de formación profesional continua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6" w:history="1">
        <w:r w:rsidRPr="00E27756">
          <w:rPr>
            <w:rStyle w:val="TextoNormalCaracter"/>
          </w:rPr>
          <w:t>16/2013</w:t>
        </w:r>
      </w:hyperlink>
      <w:r>
        <w:t xml:space="preserve">, ff. 1 a 4, 8; </w:t>
      </w:r>
      <w:hyperlink w:anchor="SENTENCIA_2013_35" w:history="1">
        <w:r w:rsidRPr="00E27756">
          <w:rPr>
            <w:rStyle w:val="TextoNormalCaracter"/>
          </w:rPr>
          <w:t>35/2013</w:t>
        </w:r>
      </w:hyperlink>
      <w:r>
        <w:t xml:space="preserve">, ff. 2, 3; </w:t>
      </w:r>
      <w:hyperlink w:anchor="SENTENCIA_2013_62" w:history="1">
        <w:r w:rsidRPr="00E27756">
          <w:rPr>
            <w:rStyle w:val="TextoNormalCaracter"/>
          </w:rPr>
          <w:t>62/2013</w:t>
        </w:r>
      </w:hyperlink>
      <w:r>
        <w:t xml:space="preserve">, f. 2; </w:t>
      </w:r>
      <w:hyperlink w:anchor="SENTENCIA_2013_65" w:history="1">
        <w:r w:rsidRPr="00E27756">
          <w:rPr>
            <w:rStyle w:val="TextoNormalCaracter"/>
          </w:rPr>
          <w:t>65/2013</w:t>
        </w:r>
      </w:hyperlink>
      <w:r>
        <w:t xml:space="preserve">, ff. 1, 2, 4; </w:t>
      </w:r>
      <w:hyperlink w:anchor="SENTENCIA_2013_95" w:history="1">
        <w:r w:rsidRPr="00E27756">
          <w:rPr>
            <w:rStyle w:val="TextoNormalCaracter"/>
          </w:rPr>
          <w:t>95/2013</w:t>
        </w:r>
      </w:hyperlink>
      <w:r>
        <w:t>, ff. 1, 2, 4 a 7, VP.</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Sentencia </w:t>
      </w:r>
      <w:hyperlink w:anchor="SENTENCIA_2013_16" w:history="1">
        <w:r w:rsidRPr="00E27756">
          <w:rPr>
            <w:rStyle w:val="TextoNormalCaracter"/>
          </w:rPr>
          <w:t>16/2013</w:t>
        </w:r>
      </w:hyperlink>
      <w:r>
        <w:t>, f. 4.</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35" w:history="1">
        <w:r w:rsidRPr="00E27756">
          <w:rPr>
            <w:rStyle w:val="TextoNormalCaracter"/>
          </w:rPr>
          <w:t>35/2013</w:t>
        </w:r>
      </w:hyperlink>
      <w:r>
        <w:t>, ff. 1, 4.</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 </w:t>
      </w:r>
      <w:hyperlink w:anchor="SENTENCIA_2013_62" w:history="1">
        <w:r w:rsidRPr="00E27756">
          <w:rPr>
            <w:rStyle w:val="TextoNormalCaracter"/>
          </w:rPr>
          <w:t>62/2013</w:t>
        </w:r>
      </w:hyperlink>
      <w:r>
        <w:t>, f. 3.</w:t>
      </w:r>
    </w:p>
    <w:p w:rsidR="00E27756" w:rsidRDefault="00E27756" w:rsidP="00E27756">
      <w:pPr>
        <w:pStyle w:val="SangriaFrancesaArticulo"/>
      </w:pPr>
      <w:r w:rsidRPr="00E27756">
        <w:rPr>
          <w:rStyle w:val="TextoNormalNegritaCaracter"/>
        </w:rPr>
        <w:t>Artículo 2.2 a) a c).</w:t>
      </w:r>
      <w:r w:rsidRPr="00E27756">
        <w:rPr>
          <w:rStyle w:val="TextoNormalCaracter"/>
        </w:rPr>
        <w:t>-</w:t>
      </w:r>
      <w:r>
        <w:t xml:space="preserve"> Sentencia </w:t>
      </w:r>
      <w:hyperlink w:anchor="SENTENCIA_2013_16" w:history="1">
        <w:r w:rsidRPr="00E27756">
          <w:rPr>
            <w:rStyle w:val="TextoNormalCaracter"/>
          </w:rPr>
          <w:t>16/2013</w:t>
        </w:r>
      </w:hyperlink>
      <w:r>
        <w:t>, ff. 1, 5.</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Sentencias </w:t>
      </w:r>
      <w:hyperlink w:anchor="SENTENCIA_2013_16" w:history="1">
        <w:r w:rsidRPr="00E27756">
          <w:rPr>
            <w:rStyle w:val="TextoNormalCaracter"/>
          </w:rPr>
          <w:t>16/2013</w:t>
        </w:r>
      </w:hyperlink>
      <w:r>
        <w:t xml:space="preserve">, f. 3; </w:t>
      </w:r>
      <w:hyperlink w:anchor="SENTENCIA_2013_35" w:history="1">
        <w:r w:rsidRPr="00E27756">
          <w:rPr>
            <w:rStyle w:val="TextoNormalCaracter"/>
          </w:rPr>
          <w:t>35/2013</w:t>
        </w:r>
      </w:hyperlink>
      <w:r>
        <w:t xml:space="preserve">, f. 3; </w:t>
      </w:r>
      <w:hyperlink w:anchor="SENTENCIA_2013_62" w:history="1">
        <w:r w:rsidRPr="00E27756">
          <w:rPr>
            <w:rStyle w:val="TextoNormalCaracter"/>
          </w:rPr>
          <w:t>62/2013</w:t>
        </w:r>
      </w:hyperlink>
      <w:r>
        <w:t>, f. 3.</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35" w:history="1">
        <w:r w:rsidRPr="00E27756">
          <w:rPr>
            <w:rStyle w:val="TextoNormalCaracter"/>
          </w:rPr>
          <w:t>35/2013</w:t>
        </w:r>
      </w:hyperlink>
      <w:r>
        <w:t>, ff. 1, 5.</w:t>
      </w:r>
    </w:p>
    <w:p w:rsidR="00E27756" w:rsidRDefault="00E27756" w:rsidP="00E27756">
      <w:pPr>
        <w:pStyle w:val="SangriaFrancesaArticulo"/>
      </w:pPr>
      <w:r w:rsidRPr="00E27756">
        <w:rPr>
          <w:rStyle w:val="TextoNormalNegritaCaracter"/>
        </w:rPr>
        <w:t>Artículo 7.1.</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16" w:history="1">
        <w:r w:rsidRPr="00E27756">
          <w:rPr>
            <w:rStyle w:val="TextoNormalCaracter"/>
          </w:rPr>
          <w:t>16/2013</w:t>
        </w:r>
      </w:hyperlink>
      <w:r>
        <w:t>, ff. 1, 6.</w:t>
      </w:r>
    </w:p>
    <w:p w:rsidR="00E27756" w:rsidRDefault="00E27756" w:rsidP="00E27756">
      <w:pPr>
        <w:pStyle w:val="SangriaFrancesaArticulo"/>
      </w:pPr>
      <w:r w:rsidRPr="00E27756">
        <w:rPr>
          <w:rStyle w:val="TextoNormalNegritaCaracter"/>
        </w:rPr>
        <w:t>Artículo 8 apartados 2, 3.</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16" w:history="1">
        <w:r w:rsidRPr="00E27756">
          <w:rPr>
            <w:rStyle w:val="TextoNormalCaracter"/>
          </w:rPr>
          <w:t>16/2013</w:t>
        </w:r>
      </w:hyperlink>
      <w:r>
        <w:t>, ff. 1, 6.</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Sentencias </w:t>
      </w:r>
      <w:hyperlink w:anchor="SENTENCIA_2013_35" w:history="1">
        <w:r w:rsidRPr="00E27756">
          <w:rPr>
            <w:rStyle w:val="TextoNormalCaracter"/>
          </w:rPr>
          <w:t>35/2013</w:t>
        </w:r>
      </w:hyperlink>
      <w:r>
        <w:t xml:space="preserve">, f. 6;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10 párrafos 5, 7.</w:t>
      </w:r>
      <w:r w:rsidRPr="00E27756">
        <w:rPr>
          <w:rStyle w:val="TextoNormalCaracter"/>
        </w:rPr>
        <w:t>-</w:t>
      </w:r>
      <w:r>
        <w:t xml:space="preserve"> Sentencia </w:t>
      </w:r>
      <w:hyperlink w:anchor="SENTENCIA_2013_16" w:history="1">
        <w:r w:rsidRPr="00E27756">
          <w:rPr>
            <w:rStyle w:val="TextoNormalCaracter"/>
          </w:rPr>
          <w:t>16/2013</w:t>
        </w:r>
      </w:hyperlink>
      <w:r>
        <w:t>, ff. 1, 7.</w:t>
      </w:r>
    </w:p>
    <w:p w:rsidR="00E27756" w:rsidRDefault="00E27756" w:rsidP="00E27756">
      <w:pPr>
        <w:pStyle w:val="SangriaFrancesaArticulo"/>
      </w:pPr>
      <w:r w:rsidRPr="00E27756">
        <w:rPr>
          <w:rStyle w:val="TextoNormalNegritaCaracter"/>
        </w:rPr>
        <w:t>Artículo 10.5.</w:t>
      </w:r>
      <w:r w:rsidRPr="00E27756">
        <w:rPr>
          <w:rStyle w:val="TextoNormalCaracter"/>
        </w:rPr>
        <w:t>-</w:t>
      </w:r>
      <w:r>
        <w:t xml:space="preserve"> Sentencias </w:t>
      </w:r>
      <w:hyperlink w:anchor="SENTENCIA_2013_35" w:history="1">
        <w:r w:rsidRPr="00E27756">
          <w:rPr>
            <w:rStyle w:val="TextoNormalCaracter"/>
          </w:rPr>
          <w:t>35/2013</w:t>
        </w:r>
      </w:hyperlink>
      <w:r>
        <w:t xml:space="preserve">, ff. 1, 6; </w:t>
      </w:r>
      <w:hyperlink w:anchor="SENTENCIA_2013_62" w:history="1">
        <w:r w:rsidRPr="00E27756">
          <w:rPr>
            <w:rStyle w:val="TextoNormalCaracter"/>
          </w:rPr>
          <w:t>62/2013</w:t>
        </w:r>
      </w:hyperlink>
      <w:r>
        <w:t>, f. 5.</w:t>
      </w:r>
    </w:p>
    <w:p w:rsidR="00E27756" w:rsidRDefault="00E27756" w:rsidP="00E27756">
      <w:pPr>
        <w:pStyle w:val="SangriaFrancesaArticulo"/>
      </w:pPr>
      <w:r w:rsidRPr="00E27756">
        <w:rPr>
          <w:rStyle w:val="TextoNormalNegritaCaracter"/>
        </w:rPr>
        <w:t>Artículo 10.6.</w:t>
      </w:r>
      <w:r w:rsidRPr="00E27756">
        <w:rPr>
          <w:rStyle w:val="TextoNormalCaracter"/>
        </w:rPr>
        <w:t>-</w:t>
      </w:r>
      <w:r>
        <w:t xml:space="preserve"> Sentencia </w:t>
      </w:r>
      <w:hyperlink w:anchor="SENTENCIA_2013_35" w:history="1">
        <w:r w:rsidRPr="00E27756">
          <w:rPr>
            <w:rStyle w:val="TextoNormalCaracter"/>
          </w:rPr>
          <w:t>35/2013</w:t>
        </w:r>
      </w:hyperlink>
      <w:r>
        <w:t>, ff. 1, 6.</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Sentencias </w:t>
      </w:r>
      <w:hyperlink w:anchor="SENTENCIA_2013_16" w:history="1">
        <w:r w:rsidRPr="00E27756">
          <w:rPr>
            <w:rStyle w:val="TextoNormalCaracter"/>
          </w:rPr>
          <w:t>16/2013</w:t>
        </w:r>
      </w:hyperlink>
      <w:r>
        <w:t xml:space="preserve">, ff. 1, 9;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62" w:history="1">
        <w:r w:rsidRPr="00E27756">
          <w:rPr>
            <w:rStyle w:val="TextoNormalCaracter"/>
          </w:rPr>
          <w:t>62/2013</w:t>
        </w:r>
      </w:hyperlink>
      <w:r>
        <w:t>, ff. 1, 5.</w:t>
      </w:r>
    </w:p>
    <w:p w:rsidR="00E27756" w:rsidRDefault="00E27756" w:rsidP="00E27756">
      <w:pPr>
        <w:pStyle w:val="SangriaFrancesaArticulo"/>
      </w:pPr>
      <w:r w:rsidRPr="00E27756">
        <w:rPr>
          <w:rStyle w:val="TextoNormalNegritaCaracter"/>
        </w:rPr>
        <w:t>Artículo 12.2.</w:t>
      </w:r>
      <w:r w:rsidRPr="00E27756">
        <w:rPr>
          <w:rStyle w:val="TextoNormalCaracter"/>
        </w:rPr>
        <w:t>-</w:t>
      </w:r>
      <w:r>
        <w:t xml:space="preserve"> Sentencias </w:t>
      </w:r>
      <w:hyperlink w:anchor="SENTENCIA_2013_16" w:history="1">
        <w:r w:rsidRPr="00E27756">
          <w:rPr>
            <w:rStyle w:val="TextoNormalCaracter"/>
          </w:rPr>
          <w:t>16/2013</w:t>
        </w:r>
      </w:hyperlink>
      <w:r>
        <w:t xml:space="preserve">, ff. 1, 9; </w:t>
      </w:r>
      <w:hyperlink w:anchor="SENTENCIA_2013_62" w:history="1">
        <w:r w:rsidRPr="00E27756">
          <w:rPr>
            <w:rStyle w:val="TextoNormalCaracter"/>
          </w:rPr>
          <w:t>62/2013</w:t>
        </w:r>
      </w:hyperlink>
      <w:r>
        <w:t>, f. 5.</w:t>
      </w:r>
    </w:p>
    <w:p w:rsidR="00E27756" w:rsidRDefault="00E27756" w:rsidP="00E27756">
      <w:pPr>
        <w:pStyle w:val="SangriaFrancesaArticulo"/>
      </w:pPr>
      <w:r w:rsidRPr="00E27756">
        <w:rPr>
          <w:rStyle w:val="TextoNormalNegritaCaracter"/>
        </w:rPr>
        <w:t>Artículo 14.</w:t>
      </w:r>
      <w:r w:rsidRPr="00E27756">
        <w:rPr>
          <w:rStyle w:val="TextoNormalCaracter"/>
        </w:rPr>
        <w:t>-</w:t>
      </w:r>
      <w:r>
        <w:t xml:space="preserve"> Sentencias </w:t>
      </w:r>
      <w:hyperlink w:anchor="SENTENCIA_2013_16" w:history="1">
        <w:r w:rsidRPr="00E27756">
          <w:rPr>
            <w:rStyle w:val="TextoNormalCaracter"/>
          </w:rPr>
          <w:t>16/2013</w:t>
        </w:r>
      </w:hyperlink>
      <w:r>
        <w:t xml:space="preserve">, ff. 1, 8, 9; </w:t>
      </w:r>
      <w:hyperlink w:anchor="SENTENCIA_2013_37" w:history="1">
        <w:r w:rsidRPr="00E27756">
          <w:rPr>
            <w:rStyle w:val="TextoNormalCaracter"/>
          </w:rPr>
          <w:t>37/2013</w:t>
        </w:r>
      </w:hyperlink>
      <w:r>
        <w:t xml:space="preserve">, f. 4; </w:t>
      </w:r>
      <w:hyperlink w:anchor="SENTENCIA_2013_62" w:history="1">
        <w:r w:rsidRPr="00E27756">
          <w:rPr>
            <w:rStyle w:val="TextoNormalCaracter"/>
          </w:rPr>
          <w:t>62/2013</w:t>
        </w:r>
      </w:hyperlink>
      <w:r>
        <w:t xml:space="preserve">, ff. 1, 5; </w:t>
      </w:r>
      <w:hyperlink w:anchor="SENTENCIA_2013_65" w:history="1">
        <w:r w:rsidRPr="00E27756">
          <w:rPr>
            <w:rStyle w:val="TextoNormalCaracter"/>
          </w:rPr>
          <w:t>65/2013</w:t>
        </w:r>
      </w:hyperlink>
      <w:r>
        <w:t>, ff. 3, 5.</w:t>
      </w:r>
    </w:p>
    <w:p w:rsidR="00E27756" w:rsidRDefault="00E27756" w:rsidP="00E27756">
      <w:pPr>
        <w:pStyle w:val="SangriaFrancesaArticulo"/>
      </w:pPr>
      <w:r w:rsidRPr="00E27756">
        <w:rPr>
          <w:rStyle w:val="TextoNormalNegritaCaracter"/>
        </w:rPr>
        <w:lastRenderedPageBreak/>
        <w:t>Artículo 14.1.</w:t>
      </w:r>
      <w:r w:rsidRPr="00E27756">
        <w:rPr>
          <w:rStyle w:val="TextoNormalCaracter"/>
        </w:rPr>
        <w:t>-</w:t>
      </w:r>
      <w:r>
        <w:t xml:space="preserve"> Sentencia </w:t>
      </w:r>
      <w:hyperlink w:anchor="SENTENCIA_2013_62" w:history="1">
        <w:r w:rsidRPr="00E27756">
          <w:rPr>
            <w:rStyle w:val="TextoNormalCaracter"/>
          </w:rPr>
          <w:t>62/2013</w:t>
        </w:r>
      </w:hyperlink>
      <w:r>
        <w:t>, ff. 4, 5.</w:t>
      </w:r>
    </w:p>
    <w:p w:rsidR="00E27756" w:rsidRDefault="00E27756" w:rsidP="00E27756">
      <w:pPr>
        <w:pStyle w:val="SangriaFrancesaArticulo"/>
      </w:pPr>
      <w:r w:rsidRPr="00E27756">
        <w:rPr>
          <w:rStyle w:val="TextoNormalNegritaCaracter"/>
        </w:rPr>
        <w:t>Artículo 14.1 a 4.</w:t>
      </w:r>
      <w:r w:rsidRPr="00E27756">
        <w:rPr>
          <w:rStyle w:val="TextoNormalCaracter"/>
        </w:rPr>
        <w:t>-</w:t>
      </w:r>
      <w:r>
        <w:t xml:space="preserve"> Sentencia </w:t>
      </w:r>
      <w:hyperlink w:anchor="SENTENCIA_2013_37" w:history="1">
        <w:r w:rsidRPr="00E27756">
          <w:rPr>
            <w:rStyle w:val="TextoNormalCaracter"/>
          </w:rPr>
          <w:t>37/2013</w:t>
        </w:r>
      </w:hyperlink>
      <w:r>
        <w:t>, f. 5.</w:t>
      </w:r>
    </w:p>
    <w:p w:rsidR="00E27756" w:rsidRDefault="00E27756" w:rsidP="00E27756">
      <w:pPr>
        <w:pStyle w:val="SangriaFrancesaArticulo"/>
      </w:pPr>
      <w:r w:rsidRPr="00E27756">
        <w:rPr>
          <w:rStyle w:val="TextoNormalNegritaCaracter"/>
        </w:rPr>
        <w:t>Artículo 14.2.</w:t>
      </w:r>
      <w:r w:rsidRPr="00E27756">
        <w:rPr>
          <w:rStyle w:val="TextoNormalCaracter"/>
        </w:rPr>
        <w:t>-</w:t>
      </w:r>
      <w:r>
        <w:t xml:space="preserve"> Sentencia </w:t>
      </w:r>
      <w:hyperlink w:anchor="SENTENCIA_2013_62" w:history="1">
        <w:r w:rsidRPr="00E27756">
          <w:rPr>
            <w:rStyle w:val="TextoNormalCaracter"/>
          </w:rPr>
          <w:t>62/2013</w:t>
        </w:r>
      </w:hyperlink>
      <w:r>
        <w:t>, f. 4.</w:t>
      </w:r>
    </w:p>
    <w:p w:rsidR="00E27756" w:rsidRDefault="00E27756" w:rsidP="00E27756">
      <w:pPr>
        <w:pStyle w:val="SangriaFrancesaArticulo"/>
      </w:pPr>
      <w:r w:rsidRPr="00E27756">
        <w:rPr>
          <w:rStyle w:val="TextoNormalNegritaCaracter"/>
        </w:rPr>
        <w:t>Artículo 14.3.</w:t>
      </w:r>
      <w:r w:rsidRPr="00E27756">
        <w:rPr>
          <w:rStyle w:val="TextoNormalCaracter"/>
        </w:rPr>
        <w:t>-</w:t>
      </w:r>
      <w:r>
        <w:t xml:space="preserve"> Sentencia </w:t>
      </w:r>
      <w:hyperlink w:anchor="SENTENCIA_2013_62" w:history="1">
        <w:r w:rsidRPr="00E27756">
          <w:rPr>
            <w:rStyle w:val="TextoNormalCaracter"/>
          </w:rPr>
          <w:t>62/2013</w:t>
        </w:r>
      </w:hyperlink>
      <w:r>
        <w:t>, f. 4.</w:t>
      </w:r>
    </w:p>
    <w:p w:rsidR="00E27756" w:rsidRDefault="00E27756" w:rsidP="00E27756">
      <w:pPr>
        <w:pStyle w:val="SangriaFrancesaArticulo"/>
      </w:pPr>
      <w:r w:rsidRPr="00E27756">
        <w:rPr>
          <w:rStyle w:val="TextoNormalNegritaCaracter"/>
        </w:rPr>
        <w:t>Artículo 14.4.</w:t>
      </w:r>
      <w:r w:rsidRPr="00E27756">
        <w:rPr>
          <w:rStyle w:val="TextoNormalCaracter"/>
        </w:rPr>
        <w:t>-</w:t>
      </w:r>
      <w:r>
        <w:t xml:space="preserve"> Sentencia </w:t>
      </w:r>
      <w:hyperlink w:anchor="SENTENCIA_2013_62" w:history="1">
        <w:r w:rsidRPr="00E27756">
          <w:rPr>
            <w:rStyle w:val="TextoNormalCaracter"/>
          </w:rPr>
          <w:t>62/2013</w:t>
        </w:r>
      </w:hyperlink>
      <w:r>
        <w:t>, f. 4.</w:t>
      </w:r>
    </w:p>
    <w:p w:rsidR="00E27756" w:rsidRDefault="00E27756" w:rsidP="00E27756">
      <w:pPr>
        <w:pStyle w:val="SangriaFrancesaArticulo"/>
      </w:pPr>
      <w:r w:rsidRPr="00E27756">
        <w:rPr>
          <w:rStyle w:val="TextoNormalNegritaCaracter"/>
        </w:rPr>
        <w:t>Artículo 15.</w:t>
      </w:r>
      <w:r w:rsidRPr="00E27756">
        <w:rPr>
          <w:rStyle w:val="TextoNormalCaracter"/>
        </w:rPr>
        <w:t>-</w:t>
      </w:r>
      <w:r>
        <w:t xml:space="preserve"> Sentencia </w:t>
      </w:r>
      <w:hyperlink w:anchor="SENTENCIA_2013_16" w:history="1">
        <w:r w:rsidRPr="00E27756">
          <w:rPr>
            <w:rStyle w:val="TextoNormalCaracter"/>
          </w:rPr>
          <w:t>16/2013</w:t>
        </w:r>
      </w:hyperlink>
      <w:r>
        <w:t>, ff. 1, 8.</w:t>
      </w:r>
    </w:p>
    <w:p w:rsidR="00E27756" w:rsidRDefault="00E27756" w:rsidP="00E27756">
      <w:pPr>
        <w:pStyle w:val="SangriaFrancesaArticulo"/>
      </w:pPr>
      <w:r w:rsidRPr="00E27756">
        <w:rPr>
          <w:rStyle w:val="TextoNormalNegritaCaracter"/>
        </w:rPr>
        <w:t>Artículo 16.</w:t>
      </w:r>
      <w:r w:rsidRPr="00E27756">
        <w:rPr>
          <w:rStyle w:val="TextoNormalCaracter"/>
        </w:rPr>
        <w:t>-</w:t>
      </w:r>
      <w:r>
        <w:t xml:space="preserve"> Sentencias </w:t>
      </w:r>
      <w:hyperlink w:anchor="SENTENCIA_2013_16" w:history="1">
        <w:r w:rsidRPr="00E27756">
          <w:rPr>
            <w:rStyle w:val="TextoNormalCaracter"/>
          </w:rPr>
          <w:t>16/2013</w:t>
        </w:r>
      </w:hyperlink>
      <w:r>
        <w:t xml:space="preserve">, f. 8; </w:t>
      </w:r>
      <w:hyperlink w:anchor="SENTENCIA_2013_65" w:history="1">
        <w:r w:rsidRPr="00E27756">
          <w:rPr>
            <w:rStyle w:val="TextoNormalCaracter"/>
          </w:rPr>
          <w:t>65/2013</w:t>
        </w:r>
      </w:hyperlink>
      <w:r>
        <w:t>, f. 4.</w:t>
      </w:r>
    </w:p>
    <w:p w:rsidR="00E27756" w:rsidRDefault="00E27756" w:rsidP="00E27756">
      <w:pPr>
        <w:pStyle w:val="SangriaFrancesaArticulo"/>
      </w:pPr>
      <w:r w:rsidRPr="00E27756">
        <w:rPr>
          <w:rStyle w:val="TextoNormalNegritaCaracter"/>
        </w:rPr>
        <w:t>Artículo 17.</w:t>
      </w:r>
      <w:r w:rsidRPr="00E27756">
        <w:rPr>
          <w:rStyle w:val="TextoNormalCaracter"/>
        </w:rPr>
        <w:t>-</w:t>
      </w:r>
      <w:r>
        <w:t xml:space="preserve"> Sentencias </w:t>
      </w:r>
      <w:hyperlink w:anchor="SENTENCIA_2013_16" w:history="1">
        <w:r w:rsidRPr="00E27756">
          <w:rPr>
            <w:rStyle w:val="TextoNormalCaracter"/>
          </w:rPr>
          <w:t>16/2013</w:t>
        </w:r>
      </w:hyperlink>
      <w:r>
        <w:t xml:space="preserve">, ff. 1, 8; </w:t>
      </w:r>
      <w:hyperlink w:anchor="SENTENCIA_2013_35" w:history="1">
        <w:r w:rsidRPr="00E27756">
          <w:rPr>
            <w:rStyle w:val="TextoNormalCaracter"/>
          </w:rPr>
          <w:t>35/2013</w:t>
        </w:r>
      </w:hyperlink>
      <w:r>
        <w:t xml:space="preserve">, ff. 1, 7; </w:t>
      </w:r>
      <w:hyperlink w:anchor="SENTENCIA_2013_65" w:history="1">
        <w:r w:rsidRPr="00E27756">
          <w:rPr>
            <w:rStyle w:val="TextoNormalCaracter"/>
          </w:rPr>
          <w:t>65/2013</w:t>
        </w:r>
      </w:hyperlink>
      <w:r>
        <w:t>, ff. 3, 4.</w:t>
      </w:r>
    </w:p>
    <w:p w:rsidR="00E27756" w:rsidRDefault="00E27756" w:rsidP="00E27756">
      <w:pPr>
        <w:pStyle w:val="SangriaFrancesaArticulo"/>
      </w:pPr>
      <w:r w:rsidRPr="00E27756">
        <w:rPr>
          <w:rStyle w:val="TextoNormalNegritaCaracter"/>
        </w:rPr>
        <w:t>Artículo 17.1.</w:t>
      </w:r>
      <w:r w:rsidRPr="00E27756">
        <w:rPr>
          <w:rStyle w:val="TextoNormalCaracter"/>
        </w:rPr>
        <w:t>-</w:t>
      </w:r>
      <w:r>
        <w:t xml:space="preserve"> Sentencias </w:t>
      </w:r>
      <w:hyperlink w:anchor="SENTENCIA_2013_16" w:history="1">
        <w:r w:rsidRPr="00E27756">
          <w:rPr>
            <w:rStyle w:val="TextoNormalCaracter"/>
          </w:rPr>
          <w:t>16/2013</w:t>
        </w:r>
      </w:hyperlink>
      <w:r>
        <w:t xml:space="preserve">, f. 8; </w:t>
      </w:r>
      <w:hyperlink w:anchor="SENTENCIA_2013_35" w:history="1">
        <w:r w:rsidRPr="00E27756">
          <w:rPr>
            <w:rStyle w:val="TextoNormalCaracter"/>
          </w:rPr>
          <w:t>35/2013</w:t>
        </w:r>
      </w:hyperlink>
      <w:r>
        <w:t xml:space="preserve">, ff. 7, 10; </w:t>
      </w:r>
      <w:hyperlink w:anchor="SENTENCIA_2013_65" w:history="1">
        <w:r w:rsidRPr="00E27756">
          <w:rPr>
            <w:rStyle w:val="TextoNormalCaracter"/>
          </w:rPr>
          <w:t>65/2013</w:t>
        </w:r>
      </w:hyperlink>
      <w:r>
        <w:t>, f. 4.</w:t>
      </w:r>
    </w:p>
    <w:p w:rsidR="00E27756" w:rsidRDefault="00E27756" w:rsidP="00E27756">
      <w:pPr>
        <w:pStyle w:val="SangriaFrancesaArticulo"/>
      </w:pPr>
      <w:r w:rsidRPr="00E27756">
        <w:rPr>
          <w:rStyle w:val="TextoNormalNegritaCaracter"/>
        </w:rPr>
        <w:t>Artículo 17.2.</w:t>
      </w:r>
      <w:r w:rsidRPr="00E27756">
        <w:rPr>
          <w:rStyle w:val="TextoNormalCaracter"/>
        </w:rPr>
        <w:t>-</w:t>
      </w:r>
      <w:r>
        <w:t xml:space="preserve"> Sentencia </w:t>
      </w:r>
      <w:hyperlink w:anchor="SENTENCIA_2013_35" w:history="1">
        <w:r w:rsidRPr="00E27756">
          <w:rPr>
            <w:rStyle w:val="TextoNormalCaracter"/>
          </w:rPr>
          <w:t>35/2013</w:t>
        </w:r>
      </w:hyperlink>
      <w:r>
        <w:t>, f. 7.</w:t>
      </w:r>
    </w:p>
    <w:p w:rsidR="00E27756" w:rsidRDefault="00E27756" w:rsidP="00E27756">
      <w:pPr>
        <w:pStyle w:val="SangriaFrancesaArticulo"/>
      </w:pPr>
      <w:r w:rsidRPr="00E27756">
        <w:rPr>
          <w:rStyle w:val="TextoNormalNegritaCaracter"/>
        </w:rPr>
        <w:t>Artículo 18.</w:t>
      </w:r>
      <w:r w:rsidRPr="00E27756">
        <w:rPr>
          <w:rStyle w:val="TextoNormalCaracter"/>
        </w:rPr>
        <w:t>-</w:t>
      </w:r>
      <w:r>
        <w:t xml:space="preserve"> Sentencias </w:t>
      </w:r>
      <w:hyperlink w:anchor="SENTENCIA_2013_16" w:history="1">
        <w:r w:rsidRPr="00E27756">
          <w:rPr>
            <w:rStyle w:val="TextoNormalCaracter"/>
          </w:rPr>
          <w:t>16/2013</w:t>
        </w:r>
      </w:hyperlink>
      <w:r>
        <w:t xml:space="preserve">, f. 9; </w:t>
      </w:r>
      <w:hyperlink w:anchor="SENTENCIA_2013_62" w:history="1">
        <w:r w:rsidRPr="00E27756">
          <w:rPr>
            <w:rStyle w:val="TextoNormalCaracter"/>
          </w:rPr>
          <w:t>62/2013</w:t>
        </w:r>
      </w:hyperlink>
      <w:r>
        <w:t>, ff. 1, 5.</w:t>
      </w:r>
    </w:p>
    <w:p w:rsidR="00E27756" w:rsidRDefault="00E27756" w:rsidP="00E27756">
      <w:pPr>
        <w:pStyle w:val="SangriaFrancesaArticulo"/>
      </w:pPr>
      <w:r w:rsidRPr="00E27756">
        <w:rPr>
          <w:rStyle w:val="TextoNormalNegritaCaracter"/>
        </w:rPr>
        <w:t>Artículo 18.1 a), f) a i).</w:t>
      </w:r>
      <w:r w:rsidRPr="00E27756">
        <w:rPr>
          <w:rStyle w:val="TextoNormalCaracter"/>
        </w:rPr>
        <w:t>-</w:t>
      </w:r>
      <w:r>
        <w:t xml:space="preserve"> Sentencia </w:t>
      </w:r>
      <w:hyperlink w:anchor="SENTENCIA_2013_16" w:history="1">
        <w:r w:rsidRPr="00E27756">
          <w:rPr>
            <w:rStyle w:val="TextoNormalCaracter"/>
          </w:rPr>
          <w:t>16/2013</w:t>
        </w:r>
      </w:hyperlink>
      <w:r>
        <w:t>, ff. 1, 9.</w:t>
      </w:r>
    </w:p>
    <w:p w:rsidR="00E27756" w:rsidRDefault="00E27756" w:rsidP="00E27756">
      <w:pPr>
        <w:pStyle w:val="SangriaFrancesaArticulo"/>
      </w:pPr>
      <w:r w:rsidRPr="00E27756">
        <w:rPr>
          <w:rStyle w:val="TextoNormalNegritaCaracter"/>
        </w:rPr>
        <w:t>Artículo 18.1 apartados a) a i).</w:t>
      </w:r>
      <w:r w:rsidRPr="00E27756">
        <w:rPr>
          <w:rStyle w:val="TextoNormalCaracter"/>
        </w:rPr>
        <w:t>-</w:t>
      </w:r>
      <w:r>
        <w:t xml:space="preserve"> Sentencia </w:t>
      </w:r>
      <w:hyperlink w:anchor="SENTENCIA_2013_62" w:history="1">
        <w:r w:rsidRPr="00E27756">
          <w:rPr>
            <w:rStyle w:val="TextoNormalCaracter"/>
          </w:rPr>
          <w:t>62/2013</w:t>
        </w:r>
      </w:hyperlink>
      <w:r>
        <w:t>, f. 5.</w:t>
      </w:r>
    </w:p>
    <w:p w:rsidR="00E27756" w:rsidRDefault="00E27756" w:rsidP="00E27756">
      <w:pPr>
        <w:pStyle w:val="SangriaFrancesaArticulo"/>
      </w:pPr>
      <w:r w:rsidRPr="00E27756">
        <w:rPr>
          <w:rStyle w:val="TextoNormalNegritaCaracter"/>
        </w:rPr>
        <w:t>Artículos 18 a 21.</w:t>
      </w:r>
      <w:r w:rsidRPr="00E27756">
        <w:rPr>
          <w:rStyle w:val="TextoNormalCaracter"/>
        </w:rPr>
        <w:t>-</w:t>
      </w:r>
      <w:r>
        <w:t xml:space="preserve"> Sentencia </w:t>
      </w:r>
      <w:hyperlink w:anchor="SENTENCIA_2013_35" w:history="1">
        <w:r w:rsidRPr="00E27756">
          <w:rPr>
            <w:rStyle w:val="TextoNormalCaracter"/>
          </w:rPr>
          <w:t>35/2013</w:t>
        </w:r>
      </w:hyperlink>
      <w:r>
        <w:t>, f. 4.</w:t>
      </w:r>
    </w:p>
    <w:p w:rsidR="00E27756" w:rsidRDefault="00E27756" w:rsidP="00E27756">
      <w:pPr>
        <w:pStyle w:val="SangriaFrancesaArticulo"/>
      </w:pPr>
      <w:r w:rsidRPr="00E27756">
        <w:rPr>
          <w:rStyle w:val="TextoNormalNegritaCaracter"/>
        </w:rPr>
        <w:t>Artículos 18-21.</w:t>
      </w:r>
      <w:r w:rsidRPr="00E27756">
        <w:rPr>
          <w:rStyle w:val="TextoNormalCaracter"/>
        </w:rPr>
        <w:t>-</w:t>
      </w:r>
      <w:r>
        <w:t xml:space="preserve"> Sentencia </w:t>
      </w:r>
      <w:hyperlink w:anchor="SENTENCIA_2013_35" w:history="1">
        <w:r w:rsidRPr="00E27756">
          <w:rPr>
            <w:rStyle w:val="TextoNormalCaracter"/>
          </w:rPr>
          <w:t>35/2013</w:t>
        </w:r>
      </w:hyperlink>
      <w:r>
        <w:t>, f. 4.</w:t>
      </w:r>
    </w:p>
    <w:p w:rsidR="00E27756" w:rsidRDefault="00E27756" w:rsidP="00E27756">
      <w:pPr>
        <w:pStyle w:val="SangriaFrancesaArticulo"/>
      </w:pPr>
      <w:r w:rsidRPr="00E27756">
        <w:rPr>
          <w:rStyle w:val="TextoNormalNegritaCaracter"/>
        </w:rPr>
        <w:t>Artículo 19.</w:t>
      </w:r>
      <w:r w:rsidRPr="00E27756">
        <w:rPr>
          <w:rStyle w:val="TextoNormalCaracter"/>
        </w:rPr>
        <w:t>-</w:t>
      </w:r>
      <w:r>
        <w:t xml:space="preserve"> Sentencias </w:t>
      </w:r>
      <w:hyperlink w:anchor="SENTENCIA_2013_16" w:history="1">
        <w:r w:rsidRPr="00E27756">
          <w:rPr>
            <w:rStyle w:val="TextoNormalCaracter"/>
          </w:rPr>
          <w:t>16/2013</w:t>
        </w:r>
      </w:hyperlink>
      <w:r>
        <w:t xml:space="preserve">, ff. 1, 9; </w:t>
      </w:r>
      <w:hyperlink w:anchor="SENTENCIA_2013_35" w:history="1">
        <w:r w:rsidRPr="00E27756">
          <w:rPr>
            <w:rStyle w:val="TextoNormalCaracter"/>
          </w:rPr>
          <w:t>35/2013</w:t>
        </w:r>
      </w:hyperlink>
      <w:r>
        <w:t xml:space="preserve">, f. 6; </w:t>
      </w:r>
      <w:hyperlink w:anchor="SENTENCIA_2013_62" w:history="1">
        <w:r w:rsidRPr="00E27756">
          <w:rPr>
            <w:rStyle w:val="TextoNormalCaracter"/>
          </w:rPr>
          <w:t>62/2013</w:t>
        </w:r>
      </w:hyperlink>
      <w:r>
        <w:t>, ff. 1, 5.</w:t>
      </w:r>
    </w:p>
    <w:p w:rsidR="00E27756" w:rsidRDefault="00E27756" w:rsidP="00E27756">
      <w:pPr>
        <w:pStyle w:val="SangriaFrancesaArticulo"/>
      </w:pPr>
      <w:r w:rsidRPr="00E27756">
        <w:rPr>
          <w:rStyle w:val="TextoNormalNegritaCaracter"/>
        </w:rPr>
        <w:t>Artículo 19 apartados c) a f).</w:t>
      </w:r>
      <w:r w:rsidRPr="00E27756">
        <w:rPr>
          <w:rStyle w:val="TextoNormalCaracter"/>
        </w:rPr>
        <w:t>-</w:t>
      </w:r>
      <w:r>
        <w:t xml:space="preserve"> Sentencia </w:t>
      </w:r>
      <w:hyperlink w:anchor="SENTENCIA_2013_62" w:history="1">
        <w:r w:rsidRPr="00E27756">
          <w:rPr>
            <w:rStyle w:val="TextoNormalCaracter"/>
          </w:rPr>
          <w:t>62/2013</w:t>
        </w:r>
      </w:hyperlink>
      <w:r>
        <w:t>, f. 5.</w:t>
      </w:r>
    </w:p>
    <w:p w:rsidR="00E27756" w:rsidRDefault="00E27756" w:rsidP="00E27756">
      <w:pPr>
        <w:pStyle w:val="SangriaFrancesaArticulo"/>
      </w:pPr>
      <w:r w:rsidRPr="00E27756">
        <w:rPr>
          <w:rStyle w:val="TextoNormalNegritaCaracter"/>
        </w:rPr>
        <w:t>Artículo 19.2.</w:t>
      </w:r>
      <w:r w:rsidRPr="00E27756">
        <w:rPr>
          <w:rStyle w:val="TextoNormalCaracter"/>
        </w:rPr>
        <w:t>-</w:t>
      </w:r>
      <w:r>
        <w:t xml:space="preserve"> Sentencia </w:t>
      </w:r>
      <w:hyperlink w:anchor="SENTENCIA_2013_35" w:history="1">
        <w:r w:rsidRPr="00E27756">
          <w:rPr>
            <w:rStyle w:val="TextoNormalCaracter"/>
          </w:rPr>
          <w:t>35/2013</w:t>
        </w:r>
      </w:hyperlink>
      <w:r>
        <w:t>, f. 6.</w:t>
      </w:r>
    </w:p>
    <w:p w:rsidR="00E27756" w:rsidRDefault="00E27756" w:rsidP="00E27756">
      <w:pPr>
        <w:pStyle w:val="SangriaFrancesaArticulo"/>
      </w:pPr>
      <w:r w:rsidRPr="00E27756">
        <w:rPr>
          <w:rStyle w:val="TextoNormalNegritaCaracter"/>
        </w:rPr>
        <w:t>Artículo 19.2 a).</w:t>
      </w:r>
      <w:r w:rsidRPr="00E27756">
        <w:rPr>
          <w:rStyle w:val="TextoNormalCaracter"/>
        </w:rPr>
        <w:t>-</w:t>
      </w:r>
      <w:r>
        <w:t xml:space="preserve"> Sentencia </w:t>
      </w:r>
      <w:hyperlink w:anchor="SENTENCIA_2013_62" w:history="1">
        <w:r w:rsidRPr="00E27756">
          <w:rPr>
            <w:rStyle w:val="TextoNormalCaracter"/>
          </w:rPr>
          <w:t>62/2013</w:t>
        </w:r>
      </w:hyperlink>
      <w:r>
        <w:t>, f. 5.</w:t>
      </w:r>
    </w:p>
    <w:p w:rsidR="00E27756" w:rsidRDefault="00E27756" w:rsidP="00E27756">
      <w:pPr>
        <w:pStyle w:val="SangriaFrancesaArticulo"/>
      </w:pPr>
      <w:r w:rsidRPr="00E27756">
        <w:rPr>
          <w:rStyle w:val="TextoNormalNegritaCaracter"/>
        </w:rPr>
        <w:t>Artículo 19.2 c).</w:t>
      </w:r>
      <w:r w:rsidRPr="00E27756">
        <w:rPr>
          <w:rStyle w:val="TextoNormalCaracter"/>
        </w:rPr>
        <w:t>-</w:t>
      </w:r>
      <w:r>
        <w:t xml:space="preserve"> Sentencias </w:t>
      </w:r>
      <w:hyperlink w:anchor="SENTENCIA_2013_37" w:history="1">
        <w:r w:rsidRPr="00E27756">
          <w:rPr>
            <w:rStyle w:val="TextoNormalCaracter"/>
          </w:rPr>
          <w:t>37/2013</w:t>
        </w:r>
      </w:hyperlink>
      <w:r>
        <w:t xml:space="preserve">, ff. 1, 3; </w:t>
      </w:r>
      <w:hyperlink w:anchor="SENTENCIA_2013_65" w:history="1">
        <w:r w:rsidRPr="00E27756">
          <w:rPr>
            <w:rStyle w:val="TextoNormalCaracter"/>
          </w:rPr>
          <w:t>65/2013</w:t>
        </w:r>
      </w:hyperlink>
      <w:r>
        <w:t>, f. 2.</w:t>
      </w:r>
    </w:p>
    <w:p w:rsidR="00E27756" w:rsidRDefault="00E27756" w:rsidP="00E27756">
      <w:pPr>
        <w:pStyle w:val="SangriaFrancesaArticulo"/>
      </w:pPr>
      <w:r w:rsidRPr="00E27756">
        <w:rPr>
          <w:rStyle w:val="TextoNormalNegritaCaracter"/>
        </w:rPr>
        <w:t>Artículo  20.1 e).</w:t>
      </w:r>
      <w:r w:rsidRPr="00E27756">
        <w:rPr>
          <w:rStyle w:val="TextoNormalCaracter"/>
        </w:rPr>
        <w:t>-</w:t>
      </w:r>
      <w:r>
        <w:t xml:space="preserve"> Sentencia </w:t>
      </w:r>
      <w:hyperlink w:anchor="SENTENCIA_2013_35" w:history="1">
        <w:r w:rsidRPr="00E27756">
          <w:rPr>
            <w:rStyle w:val="TextoNormalCaracter"/>
          </w:rPr>
          <w:t>35/2013</w:t>
        </w:r>
      </w:hyperlink>
      <w:r>
        <w:t>, f. 8.</w:t>
      </w:r>
    </w:p>
    <w:p w:rsidR="00E27756" w:rsidRDefault="00E27756" w:rsidP="00E27756">
      <w:pPr>
        <w:pStyle w:val="SangriaFrancesaArticulo"/>
      </w:pPr>
      <w:r w:rsidRPr="00E27756">
        <w:rPr>
          <w:rStyle w:val="TextoNormalNegritaCaracter"/>
        </w:rPr>
        <w:t>Artículo 20.</w:t>
      </w:r>
      <w:r w:rsidRPr="00E27756">
        <w:rPr>
          <w:rStyle w:val="TextoNormalCaracter"/>
        </w:rPr>
        <w:t>-</w:t>
      </w:r>
      <w:r>
        <w:t xml:space="preserve"> Sentencias </w:t>
      </w:r>
      <w:hyperlink w:anchor="SENTENCIA_2013_16" w:history="1">
        <w:r w:rsidRPr="00E27756">
          <w:rPr>
            <w:rStyle w:val="TextoNormalCaracter"/>
          </w:rPr>
          <w:t>16/2013</w:t>
        </w:r>
      </w:hyperlink>
      <w:r>
        <w:t xml:space="preserve">, ff. 1, 9; </w:t>
      </w:r>
      <w:hyperlink w:anchor="SENTENCIA_2013_35" w:history="1">
        <w:r w:rsidRPr="00E27756">
          <w:rPr>
            <w:rStyle w:val="TextoNormalCaracter"/>
          </w:rPr>
          <w:t>35/2013</w:t>
        </w:r>
      </w:hyperlink>
      <w:r>
        <w:t xml:space="preserve">, f. 6; </w:t>
      </w:r>
      <w:hyperlink w:anchor="SENTENCIA_2013_62" w:history="1">
        <w:r w:rsidRPr="00E27756">
          <w:rPr>
            <w:rStyle w:val="TextoNormalCaracter"/>
          </w:rPr>
          <w:t>62/2013</w:t>
        </w:r>
      </w:hyperlink>
      <w:r>
        <w:t>, ff. 1, 5.</w:t>
      </w:r>
    </w:p>
    <w:p w:rsidR="00E27756" w:rsidRDefault="00E27756" w:rsidP="00E27756">
      <w:pPr>
        <w:pStyle w:val="SangriaFrancesaArticulo"/>
      </w:pPr>
      <w:r w:rsidRPr="00E27756">
        <w:rPr>
          <w:rStyle w:val="TextoNormalNegritaCaracter"/>
        </w:rPr>
        <w:t>Artículo 20 apartados c) a f).</w:t>
      </w:r>
      <w:r w:rsidRPr="00E27756">
        <w:rPr>
          <w:rStyle w:val="TextoNormalCaracter"/>
        </w:rPr>
        <w:t>-</w:t>
      </w:r>
      <w:r>
        <w:t xml:space="preserve"> Sentencia </w:t>
      </w:r>
      <w:hyperlink w:anchor="SENTENCIA_2013_62" w:history="1">
        <w:r w:rsidRPr="00E27756">
          <w:rPr>
            <w:rStyle w:val="TextoNormalCaracter"/>
          </w:rPr>
          <w:t>62/2013</w:t>
        </w:r>
      </w:hyperlink>
      <w:r>
        <w:t>, f. 5.</w:t>
      </w:r>
    </w:p>
    <w:p w:rsidR="00E27756" w:rsidRDefault="00E27756" w:rsidP="00E27756">
      <w:pPr>
        <w:pStyle w:val="SangriaFrancesaArticulo"/>
      </w:pPr>
      <w:r w:rsidRPr="00E27756">
        <w:rPr>
          <w:rStyle w:val="TextoNormalNegritaCaracter"/>
        </w:rPr>
        <w:t>Artículo 20.1.</w:t>
      </w:r>
      <w:r w:rsidRPr="00E27756">
        <w:rPr>
          <w:rStyle w:val="TextoNormalCaracter"/>
        </w:rPr>
        <w:t>-</w:t>
      </w:r>
      <w:r>
        <w:t xml:space="preserve"> Sentencia </w:t>
      </w:r>
      <w:hyperlink w:anchor="SENTENCIA_2013_35" w:history="1">
        <w:r w:rsidRPr="00E27756">
          <w:rPr>
            <w:rStyle w:val="TextoNormalCaracter"/>
          </w:rPr>
          <w:t>35/2013</w:t>
        </w:r>
      </w:hyperlink>
      <w:r>
        <w:t>, f. 8.</w:t>
      </w:r>
    </w:p>
    <w:p w:rsidR="00E27756" w:rsidRDefault="00E27756" w:rsidP="00E27756">
      <w:pPr>
        <w:pStyle w:val="SangriaFrancesaArticulo"/>
      </w:pPr>
      <w:r w:rsidRPr="00E27756">
        <w:rPr>
          <w:rStyle w:val="TextoNormalNegritaCaracter"/>
        </w:rPr>
        <w:t>Artículo 20.1 a).</w:t>
      </w:r>
      <w:r w:rsidRPr="00E27756">
        <w:rPr>
          <w:rStyle w:val="TextoNormalCaracter"/>
        </w:rPr>
        <w:t>-</w:t>
      </w:r>
      <w:r>
        <w:t xml:space="preserve"> Sentencia </w:t>
      </w:r>
      <w:hyperlink w:anchor="SENTENCIA_2013_35" w:history="1">
        <w:r w:rsidRPr="00E27756">
          <w:rPr>
            <w:rStyle w:val="TextoNormalCaracter"/>
          </w:rPr>
          <w:t>35/2013</w:t>
        </w:r>
      </w:hyperlink>
      <w:r>
        <w:t>, f. 8.</w:t>
      </w:r>
    </w:p>
    <w:p w:rsidR="00E27756" w:rsidRDefault="00E27756" w:rsidP="00E27756">
      <w:pPr>
        <w:pStyle w:val="SangriaFrancesaArticulo"/>
      </w:pPr>
      <w:r w:rsidRPr="00E27756">
        <w:rPr>
          <w:rStyle w:val="TextoNormalNegritaCaracter"/>
        </w:rPr>
        <w:t>Artículo 20.1 b).</w:t>
      </w:r>
      <w:r w:rsidRPr="00E27756">
        <w:rPr>
          <w:rStyle w:val="TextoNormalCaracter"/>
        </w:rPr>
        <w:t>-</w:t>
      </w:r>
      <w:r>
        <w:t xml:space="preserve"> Sentencia </w:t>
      </w:r>
      <w:hyperlink w:anchor="SENTENCIA_2013_35" w:history="1">
        <w:r w:rsidRPr="00E27756">
          <w:rPr>
            <w:rStyle w:val="TextoNormalCaracter"/>
          </w:rPr>
          <w:t>35/2013</w:t>
        </w:r>
      </w:hyperlink>
      <w:r>
        <w:t>, f. 8.</w:t>
      </w:r>
    </w:p>
    <w:p w:rsidR="00E27756" w:rsidRDefault="00E27756" w:rsidP="00E27756">
      <w:pPr>
        <w:pStyle w:val="SangriaFrancesaArticulo"/>
      </w:pPr>
      <w:r w:rsidRPr="00E27756">
        <w:rPr>
          <w:rStyle w:val="TextoNormalNegritaCaracter"/>
        </w:rPr>
        <w:t>Artículo 20.1 c).</w:t>
      </w:r>
      <w:r w:rsidRPr="00E27756">
        <w:rPr>
          <w:rStyle w:val="TextoNormalCaracter"/>
        </w:rPr>
        <w:t>-</w:t>
      </w:r>
      <w:r>
        <w:t xml:space="preserve"> Sentencia </w:t>
      </w:r>
      <w:hyperlink w:anchor="SENTENCIA_2013_35" w:history="1">
        <w:r w:rsidRPr="00E27756">
          <w:rPr>
            <w:rStyle w:val="TextoNormalCaracter"/>
          </w:rPr>
          <w:t>35/2013</w:t>
        </w:r>
      </w:hyperlink>
      <w:r>
        <w:t>, f. 8.</w:t>
      </w:r>
    </w:p>
    <w:p w:rsidR="00E27756" w:rsidRDefault="00E27756" w:rsidP="00E27756">
      <w:pPr>
        <w:pStyle w:val="SangriaFrancesaArticulo"/>
      </w:pPr>
      <w:r w:rsidRPr="00E27756">
        <w:rPr>
          <w:rStyle w:val="TextoNormalNegritaCaracter"/>
        </w:rPr>
        <w:t>Artículo 20.1 d).</w:t>
      </w:r>
      <w:r w:rsidRPr="00E27756">
        <w:rPr>
          <w:rStyle w:val="TextoNormalCaracter"/>
        </w:rPr>
        <w:t>-</w:t>
      </w:r>
      <w:r>
        <w:t xml:space="preserve"> Sentencia </w:t>
      </w:r>
      <w:hyperlink w:anchor="SENTENCIA_2013_35" w:history="1">
        <w:r w:rsidRPr="00E27756">
          <w:rPr>
            <w:rStyle w:val="TextoNormalCaracter"/>
          </w:rPr>
          <w:t>35/2013</w:t>
        </w:r>
      </w:hyperlink>
      <w:r>
        <w:t>, f. 8.</w:t>
      </w:r>
    </w:p>
    <w:p w:rsidR="00E27756" w:rsidRDefault="00E27756" w:rsidP="00E27756">
      <w:pPr>
        <w:pStyle w:val="SangriaFrancesaArticulo"/>
      </w:pPr>
      <w:r w:rsidRPr="00E27756">
        <w:rPr>
          <w:rStyle w:val="TextoNormalNegritaCaracter"/>
        </w:rPr>
        <w:t>Artículo 20.1 e).</w:t>
      </w:r>
      <w:r w:rsidRPr="00E27756">
        <w:rPr>
          <w:rStyle w:val="TextoNormalCaracter"/>
        </w:rPr>
        <w:t>-</w:t>
      </w:r>
      <w:r>
        <w:t xml:space="preserve"> Sentencia </w:t>
      </w:r>
      <w:hyperlink w:anchor="SENTENCIA_2013_35" w:history="1">
        <w:r w:rsidRPr="00E27756">
          <w:rPr>
            <w:rStyle w:val="TextoNormalCaracter"/>
          </w:rPr>
          <w:t>35/2013</w:t>
        </w:r>
      </w:hyperlink>
      <w:r>
        <w:t>, f. 8.</w:t>
      </w:r>
    </w:p>
    <w:p w:rsidR="00E27756" w:rsidRDefault="00E27756" w:rsidP="00E27756">
      <w:pPr>
        <w:pStyle w:val="SangriaFrancesaArticulo"/>
      </w:pPr>
      <w:r w:rsidRPr="00E27756">
        <w:rPr>
          <w:rStyle w:val="TextoNormalNegritaCaracter"/>
        </w:rPr>
        <w:t>Artículo 20.1 f).</w:t>
      </w:r>
      <w:r w:rsidRPr="00E27756">
        <w:rPr>
          <w:rStyle w:val="TextoNormalCaracter"/>
        </w:rPr>
        <w:t>-</w:t>
      </w:r>
      <w:r>
        <w:t xml:space="preserve"> Sentencia </w:t>
      </w:r>
      <w:hyperlink w:anchor="SENTENCIA_2013_35" w:history="1">
        <w:r w:rsidRPr="00E27756">
          <w:rPr>
            <w:rStyle w:val="TextoNormalCaracter"/>
          </w:rPr>
          <w:t>35/2013</w:t>
        </w:r>
      </w:hyperlink>
      <w:r>
        <w:t>, f. 8.</w:t>
      </w:r>
    </w:p>
    <w:p w:rsidR="00E27756" w:rsidRDefault="00E27756" w:rsidP="00E27756">
      <w:pPr>
        <w:pStyle w:val="SangriaFrancesaArticulo"/>
      </w:pPr>
      <w:r w:rsidRPr="00E27756">
        <w:rPr>
          <w:rStyle w:val="TextoNormalNegritaCaracter"/>
        </w:rPr>
        <w:t>Artículo 20.2.</w:t>
      </w:r>
      <w:r w:rsidRPr="00E27756">
        <w:rPr>
          <w:rStyle w:val="TextoNormalCaracter"/>
        </w:rPr>
        <w:t>-</w:t>
      </w:r>
      <w:r>
        <w:t xml:space="preserve"> Sentencias </w:t>
      </w:r>
      <w:hyperlink w:anchor="SENTENCIA_2013_35" w:history="1">
        <w:r w:rsidRPr="00E27756">
          <w:rPr>
            <w:rStyle w:val="TextoNormalCaracter"/>
          </w:rPr>
          <w:t>35/2013</w:t>
        </w:r>
      </w:hyperlink>
      <w:r>
        <w:t xml:space="preserve">, ff. 4, 6; </w:t>
      </w:r>
      <w:hyperlink w:anchor="SENTENCIA_2013_35" w:history="1">
        <w:r w:rsidRPr="00E27756">
          <w:rPr>
            <w:rStyle w:val="TextoNormalCaracter"/>
          </w:rPr>
          <w:t>35/2013</w:t>
        </w:r>
      </w:hyperlink>
      <w:r>
        <w:t xml:space="preserve">, f. 1; </w:t>
      </w:r>
      <w:hyperlink w:anchor="SENTENCIA_2013_62" w:history="1">
        <w:r w:rsidRPr="00E27756">
          <w:rPr>
            <w:rStyle w:val="TextoNormalCaracter"/>
          </w:rPr>
          <w:t>62/2013</w:t>
        </w:r>
      </w:hyperlink>
      <w:r>
        <w:t>, f. 5.</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Sentencias </w:t>
      </w:r>
      <w:hyperlink w:anchor="SENTENCIA_2013_16" w:history="1">
        <w:r w:rsidRPr="00E27756">
          <w:rPr>
            <w:rStyle w:val="TextoNormalCaracter"/>
          </w:rPr>
          <w:t>16/2013</w:t>
        </w:r>
      </w:hyperlink>
      <w:r>
        <w:t xml:space="preserve">, ff. 1, 9; </w:t>
      </w:r>
      <w:hyperlink w:anchor="SENTENCIA_2013_62" w:history="1">
        <w:r w:rsidRPr="00E27756">
          <w:rPr>
            <w:rStyle w:val="TextoNormalCaracter"/>
          </w:rPr>
          <w:t>62/2013</w:t>
        </w:r>
      </w:hyperlink>
      <w:r>
        <w:t xml:space="preserve">, ff. 1, 5;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21.1 apartados a) a g).</w:t>
      </w:r>
      <w:r w:rsidRPr="00E27756">
        <w:rPr>
          <w:rStyle w:val="TextoNormalCaracter"/>
        </w:rPr>
        <w:t>-</w:t>
      </w:r>
      <w:r>
        <w:t xml:space="preserve"> Sentencia </w:t>
      </w:r>
      <w:hyperlink w:anchor="SENTENCIA_2013_62" w:history="1">
        <w:r w:rsidRPr="00E27756">
          <w:rPr>
            <w:rStyle w:val="TextoNormalCaracter"/>
          </w:rPr>
          <w:t>62/2013</w:t>
        </w:r>
      </w:hyperlink>
      <w:r>
        <w:t>, f. 5.</w:t>
      </w:r>
    </w:p>
    <w:p w:rsidR="00E27756" w:rsidRDefault="00E27756" w:rsidP="00E27756">
      <w:pPr>
        <w:pStyle w:val="SangriaFrancesaArticulo"/>
      </w:pPr>
      <w:r w:rsidRPr="00E27756">
        <w:rPr>
          <w:rStyle w:val="TextoNormalNegritaCaracter"/>
        </w:rPr>
        <w:t>Artículo 21.1 apartados f), g).</w:t>
      </w:r>
      <w:r w:rsidRPr="00E27756">
        <w:rPr>
          <w:rStyle w:val="TextoNormalCaracter"/>
        </w:rPr>
        <w:t>-</w:t>
      </w:r>
      <w:r>
        <w:t xml:space="preserve"> Sentencia </w:t>
      </w:r>
      <w:hyperlink w:anchor="SENTENCIA_2013_16" w:history="1">
        <w:r w:rsidRPr="00E27756">
          <w:rPr>
            <w:rStyle w:val="TextoNormalCaracter"/>
          </w:rPr>
          <w:t>16/2013</w:t>
        </w:r>
      </w:hyperlink>
      <w:r>
        <w:t>, f. 9.</w:t>
      </w:r>
    </w:p>
    <w:p w:rsidR="00E27756" w:rsidRDefault="00E27756" w:rsidP="00E27756">
      <w:pPr>
        <w:pStyle w:val="SangriaFrancesaArticulo"/>
      </w:pPr>
      <w:r w:rsidRPr="00E27756">
        <w:rPr>
          <w:rStyle w:val="TextoNormalNegritaCaracter"/>
        </w:rPr>
        <w:t>Artículo 21.1 b).</w:t>
      </w:r>
      <w:r w:rsidRPr="00E27756">
        <w:rPr>
          <w:rStyle w:val="TextoNormalCaracter"/>
        </w:rPr>
        <w:t>-</w:t>
      </w:r>
      <w:r>
        <w:t xml:space="preserve"> Sentencias </w:t>
      </w:r>
      <w:hyperlink w:anchor="SENTENCIA_2013_16" w:history="1">
        <w:r w:rsidRPr="00E27756">
          <w:rPr>
            <w:rStyle w:val="TextoNormalCaracter"/>
          </w:rPr>
          <w:t>16/2013</w:t>
        </w:r>
      </w:hyperlink>
      <w:r>
        <w:t xml:space="preserve">, f. 9;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21.1 c).</w:t>
      </w:r>
      <w:r w:rsidRPr="00E27756">
        <w:rPr>
          <w:rStyle w:val="TextoNormalCaracter"/>
        </w:rPr>
        <w:t>-</w:t>
      </w:r>
      <w:r>
        <w:t xml:space="preserve"> Sentencias </w:t>
      </w:r>
      <w:hyperlink w:anchor="SENTENCIA_2013_65" w:history="1">
        <w:r w:rsidRPr="00E27756">
          <w:rPr>
            <w:rStyle w:val="TextoNormalCaracter"/>
          </w:rPr>
          <w:t>65/2013</w:t>
        </w:r>
      </w:hyperlink>
      <w:r>
        <w:t xml:space="preserve">, f. 5;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21.1 d).</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95" w:history="1">
        <w:r w:rsidRPr="00E27756">
          <w:rPr>
            <w:rStyle w:val="TextoNormalCaracter"/>
          </w:rPr>
          <w:t>95/2013</w:t>
        </w:r>
      </w:hyperlink>
      <w:r>
        <w:t>, f. 6.</w:t>
      </w:r>
    </w:p>
    <w:p w:rsidR="00E27756" w:rsidRDefault="00E27756" w:rsidP="00E27756">
      <w:pPr>
        <w:pStyle w:val="SangriaFrancesaArticulo"/>
      </w:pPr>
      <w:r w:rsidRPr="00E27756">
        <w:rPr>
          <w:rStyle w:val="TextoNormalNegritaCaracter"/>
        </w:rPr>
        <w:t>Artículo 22.4.</w:t>
      </w:r>
      <w:r w:rsidRPr="00E27756">
        <w:rPr>
          <w:rStyle w:val="TextoNormalCaracter"/>
        </w:rPr>
        <w:t>-</w:t>
      </w:r>
      <w:r>
        <w:t xml:space="preserve"> Sentencias </w:t>
      </w:r>
      <w:hyperlink w:anchor="SENTENCIA_2013_16" w:history="1">
        <w:r w:rsidRPr="00E27756">
          <w:rPr>
            <w:rStyle w:val="TextoNormalCaracter"/>
          </w:rPr>
          <w:t>16/2013</w:t>
        </w:r>
      </w:hyperlink>
      <w:r>
        <w:t xml:space="preserve">, ff. 1, 9; </w:t>
      </w:r>
      <w:hyperlink w:anchor="SENTENCIA_2013_65" w:history="1">
        <w:r w:rsidRPr="00E27756">
          <w:rPr>
            <w:rStyle w:val="TextoNormalCaracter"/>
          </w:rPr>
          <w:t>65/2013</w:t>
        </w:r>
      </w:hyperlink>
      <w:r>
        <w:t xml:space="preserve">, f. 5;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 </w:t>
      </w:r>
      <w:hyperlink w:anchor="SENTENCIA_2013_16" w:history="1">
        <w:r w:rsidRPr="00E27756">
          <w:rPr>
            <w:rStyle w:val="TextoNormalCaracter"/>
          </w:rPr>
          <w:t>16/2013</w:t>
        </w:r>
      </w:hyperlink>
      <w:r>
        <w:t>, f. 9.</w:t>
      </w:r>
    </w:p>
    <w:p w:rsidR="00E27756" w:rsidRDefault="00E27756" w:rsidP="00E27756">
      <w:pPr>
        <w:pStyle w:val="SangriaFrancesaArticulo"/>
      </w:pPr>
      <w:r w:rsidRPr="00E27756">
        <w:rPr>
          <w:rStyle w:val="TextoNormalNegritaCaracter"/>
        </w:rPr>
        <w:t>Artículo 23.1.</w:t>
      </w:r>
      <w:r w:rsidRPr="00E27756">
        <w:rPr>
          <w:rStyle w:val="TextoNormalCaracter"/>
        </w:rPr>
        <w:t>-</w:t>
      </w:r>
      <w:r>
        <w:t xml:space="preserve"> Sentencia </w:t>
      </w:r>
      <w:hyperlink w:anchor="SENTENCIA_2013_95" w:history="1">
        <w:r w:rsidRPr="00E27756">
          <w:rPr>
            <w:rStyle w:val="TextoNormalCaracter"/>
          </w:rPr>
          <w:t>95/2013</w:t>
        </w:r>
      </w:hyperlink>
      <w:r>
        <w:t>, f. 6.</w:t>
      </w:r>
    </w:p>
    <w:p w:rsidR="00E27756" w:rsidRDefault="00E27756" w:rsidP="00E27756">
      <w:pPr>
        <w:pStyle w:val="SangriaFrancesaArticulo"/>
      </w:pPr>
      <w:r w:rsidRPr="00E27756">
        <w:rPr>
          <w:rStyle w:val="TextoNormalNegritaCaracter"/>
        </w:rPr>
        <w:t>Artículo 23.2.</w:t>
      </w:r>
      <w:r w:rsidRPr="00E27756">
        <w:rPr>
          <w:rStyle w:val="TextoNormalCaracter"/>
        </w:rPr>
        <w:t>-</w:t>
      </w:r>
      <w:r>
        <w:t xml:space="preserve"> Sentencia </w:t>
      </w:r>
      <w:hyperlink w:anchor="SENTENCIA_2013_65" w:history="1">
        <w:r w:rsidRPr="00E27756">
          <w:rPr>
            <w:rStyle w:val="TextoNormalCaracter"/>
          </w:rPr>
          <w:t>65/2013</w:t>
        </w:r>
      </w:hyperlink>
      <w:r>
        <w:t>, f. 2.</w:t>
      </w:r>
    </w:p>
    <w:p w:rsidR="00E27756" w:rsidRDefault="00E27756" w:rsidP="00E27756">
      <w:pPr>
        <w:pStyle w:val="SangriaFrancesaArticulo"/>
      </w:pPr>
      <w:r w:rsidRPr="00E27756">
        <w:rPr>
          <w:rStyle w:val="TextoNormalNegritaCaracter"/>
        </w:rPr>
        <w:t>Artículo 23.2 excepto último párrafo.</w:t>
      </w:r>
      <w:r w:rsidRPr="00E27756">
        <w:rPr>
          <w:rStyle w:val="TextoNormalCaracter"/>
        </w:rPr>
        <w:t>-</w:t>
      </w:r>
      <w:r>
        <w:t xml:space="preserve"> Sentencia </w:t>
      </w:r>
      <w:hyperlink w:anchor="SENTENCIA_2013_16" w:history="1">
        <w:r w:rsidRPr="00E27756">
          <w:rPr>
            <w:rStyle w:val="TextoNormalCaracter"/>
          </w:rPr>
          <w:t>16/2013</w:t>
        </w:r>
      </w:hyperlink>
      <w:r>
        <w:t>, ff. 1, 9.</w:t>
      </w:r>
    </w:p>
    <w:p w:rsidR="00E27756" w:rsidRDefault="00E27756" w:rsidP="00E27756">
      <w:pPr>
        <w:pStyle w:val="SangriaFrancesaArticulo"/>
      </w:pPr>
      <w:r w:rsidRPr="00E27756">
        <w:rPr>
          <w:rStyle w:val="TextoNormalNegritaCaracter"/>
        </w:rPr>
        <w:t>Artículo 23.2 párrafo in fine.</w:t>
      </w:r>
      <w:r w:rsidRPr="00E27756">
        <w:rPr>
          <w:rStyle w:val="TextoNormalCaracter"/>
        </w:rPr>
        <w:t>-</w:t>
      </w:r>
      <w:r>
        <w:t xml:space="preserve"> Sentencia </w:t>
      </w:r>
      <w:hyperlink w:anchor="SENTENCIA_2013_65" w:history="1">
        <w:r w:rsidRPr="00E27756">
          <w:rPr>
            <w:rStyle w:val="TextoNormalCaracter"/>
          </w:rPr>
          <w:t>65/2013</w:t>
        </w:r>
      </w:hyperlink>
      <w:r>
        <w:t>, f. 2.</w:t>
      </w:r>
    </w:p>
    <w:p w:rsidR="00E27756" w:rsidRDefault="00E27756" w:rsidP="00E27756">
      <w:pPr>
        <w:pStyle w:val="SangriaFrancesaArticulo"/>
      </w:pPr>
      <w:r w:rsidRPr="00E27756">
        <w:rPr>
          <w:rStyle w:val="TextoNormalNegritaCaracter"/>
        </w:rPr>
        <w:t>Artículo 201.1 f).</w:t>
      </w:r>
      <w:r w:rsidRPr="00E27756">
        <w:rPr>
          <w:rStyle w:val="TextoNormalCaracter"/>
        </w:rPr>
        <w:t>-</w:t>
      </w:r>
      <w:r>
        <w:t xml:space="preserve"> Sentencia </w:t>
      </w:r>
      <w:hyperlink w:anchor="SENTENCIA_2013_35" w:history="1">
        <w:r w:rsidRPr="00E27756">
          <w:rPr>
            <w:rStyle w:val="TextoNormalCaracter"/>
          </w:rPr>
          <w:t>35/2013</w:t>
        </w:r>
      </w:hyperlink>
      <w:r>
        <w:t>, f. 8.</w:t>
      </w:r>
    </w:p>
    <w:p w:rsidR="00E27756" w:rsidRDefault="00E27756" w:rsidP="00E27756">
      <w:pPr>
        <w:pStyle w:val="SangriaFrancesaArticulo"/>
      </w:pPr>
      <w:r w:rsidRPr="00E27756">
        <w:rPr>
          <w:rStyle w:val="TextoNormalNegritaCaracter"/>
        </w:rPr>
        <w:t>Disposiciones adicionales primera a quinta.</w:t>
      </w:r>
      <w:r w:rsidRPr="00E27756">
        <w:rPr>
          <w:rStyle w:val="TextoNormalCaracter"/>
        </w:rPr>
        <w:t>-</w:t>
      </w:r>
      <w:r>
        <w:t xml:space="preserve"> Sentencia </w:t>
      </w:r>
      <w:hyperlink w:anchor="SENTENCIA_2013_16" w:history="1">
        <w:r w:rsidRPr="00E27756">
          <w:rPr>
            <w:rStyle w:val="TextoNormalCaracter"/>
          </w:rPr>
          <w:t>16/2013</w:t>
        </w:r>
      </w:hyperlink>
      <w:r>
        <w:t>, ff. 1, 10.</w:t>
      </w:r>
    </w:p>
    <w:p w:rsidR="00E27756" w:rsidRDefault="00E27756" w:rsidP="00E27756">
      <w:pPr>
        <w:pStyle w:val="SangriaFrancesaArticulo"/>
      </w:pPr>
      <w:r w:rsidRPr="00E27756">
        <w:rPr>
          <w:rStyle w:val="TextoNormalNegritaCaracter"/>
        </w:rPr>
        <w:t>Disposición adicional sexta.</w:t>
      </w:r>
      <w:r w:rsidRPr="00E27756">
        <w:rPr>
          <w:rStyle w:val="TextoNormalCaracter"/>
        </w:rPr>
        <w:t>-</w:t>
      </w:r>
      <w:r>
        <w:t xml:space="preserve"> Sentencia </w:t>
      </w:r>
      <w:hyperlink w:anchor="SENTENCIA_2013_35" w:history="1">
        <w:r w:rsidRPr="00E27756">
          <w:rPr>
            <w:rStyle w:val="TextoNormalCaracter"/>
          </w:rPr>
          <w:t>35/2013</w:t>
        </w:r>
      </w:hyperlink>
      <w:r>
        <w:t>, f. 1.</w:t>
      </w:r>
    </w:p>
    <w:p w:rsidR="00E27756" w:rsidRDefault="00E27756" w:rsidP="00E27756">
      <w:pPr>
        <w:pStyle w:val="SangriaFrancesaArticulo"/>
      </w:pPr>
      <w:r w:rsidRPr="00E27756">
        <w:rPr>
          <w:rStyle w:val="TextoNormalNegritaCaracter"/>
        </w:rPr>
        <w:t>Disposición transitoria única.</w:t>
      </w:r>
      <w:r w:rsidRPr="00E27756">
        <w:rPr>
          <w:rStyle w:val="TextoNormalCaracter"/>
        </w:rPr>
        <w:t>-</w:t>
      </w:r>
      <w:r>
        <w:t xml:space="preserve"> Sentencia </w:t>
      </w:r>
      <w:hyperlink w:anchor="SENTENCIA_2013_16" w:history="1">
        <w:r w:rsidRPr="00E27756">
          <w:rPr>
            <w:rStyle w:val="TextoNormalCaracter"/>
          </w:rPr>
          <w:t>16/2013</w:t>
        </w:r>
      </w:hyperlink>
      <w:r>
        <w:t>, ff. 1, 10.</w:t>
      </w:r>
    </w:p>
    <w:p w:rsidR="00E27756" w:rsidRDefault="00E27756" w:rsidP="00E27756">
      <w:pPr>
        <w:pStyle w:val="SangriaFrancesaArticulo"/>
      </w:pPr>
      <w:r w:rsidRPr="00E27756">
        <w:rPr>
          <w:rStyle w:val="TextoNormalNegritaCaracter"/>
        </w:rPr>
        <w:lastRenderedPageBreak/>
        <w:t>Disposición final primera.</w:t>
      </w:r>
      <w:r w:rsidRPr="00E27756">
        <w:rPr>
          <w:rStyle w:val="TextoNormalCaracter"/>
        </w:rPr>
        <w:t>-</w:t>
      </w:r>
      <w:r>
        <w:t xml:space="preserve"> Sentencias </w:t>
      </w:r>
      <w:hyperlink w:anchor="SENTENCIA_2013_16" w:history="1">
        <w:r w:rsidRPr="00E27756">
          <w:rPr>
            <w:rStyle w:val="TextoNormalCaracter"/>
          </w:rPr>
          <w:t>16/2013</w:t>
        </w:r>
      </w:hyperlink>
      <w:r>
        <w:t xml:space="preserve">, ff. 1, 3, 10; </w:t>
      </w:r>
      <w:hyperlink w:anchor="SENTENCIA_2013_62" w:history="1">
        <w:r w:rsidRPr="00E27756">
          <w:rPr>
            <w:rStyle w:val="TextoNormalCaracter"/>
          </w:rPr>
          <w:t>62/2013</w:t>
        </w:r>
      </w:hyperlink>
      <w:r>
        <w:t>, ff. 1, 3.</w:t>
      </w:r>
    </w:p>
    <w:p w:rsidR="00E27756" w:rsidRDefault="00E27756" w:rsidP="00E27756">
      <w:pPr>
        <w:pStyle w:val="SangriaFrancesaArticulo"/>
      </w:pPr>
    </w:p>
    <w:p w:rsidR="00E27756" w:rsidRDefault="00E27756" w:rsidP="00E27756">
      <w:pPr>
        <w:pStyle w:val="TextoNormalNegritaCursivandice"/>
      </w:pPr>
      <w:r>
        <w:t>Real Decreto 1373/2003, de 7 de noviembre. Aprueba el arancel de derechos de los procuradores de los tribunales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8" w:history="1">
        <w:r w:rsidRPr="00E27756">
          <w:rPr>
            <w:rStyle w:val="TextoNormalCaracter"/>
          </w:rPr>
          <w:t>108/2013</w:t>
        </w:r>
      </w:hyperlink>
      <w:r>
        <w:t>, f. 5.</w:t>
      </w:r>
    </w:p>
    <w:p w:rsidR="00E27756" w:rsidRDefault="00E27756" w:rsidP="00E27756">
      <w:pPr>
        <w:pStyle w:val="SangriaFrancesaArticulo"/>
      </w:pPr>
    </w:p>
    <w:p w:rsidR="00E27756" w:rsidRDefault="00E27756" w:rsidP="00E27756">
      <w:pPr>
        <w:pStyle w:val="TextoNormalNegritaCursivandice"/>
      </w:pPr>
      <w:r>
        <w:t>Orden TAS/500/2004, de 13 de febrero. Regula la financiación de las acciones de formación continua en las empresas, incluidos los permisos individuales de formación, en desarrollo del Real Decreto 1046/2003, de 1 de agosto, por el que se regula el subsistema de formación profesional continua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5" w:history="1">
        <w:r w:rsidRPr="00E27756">
          <w:rPr>
            <w:rStyle w:val="TextoNormalCaracter"/>
          </w:rPr>
          <w:t>95/2013</w:t>
        </w:r>
      </w:hyperlink>
      <w:r>
        <w:t>, ff. 1, 2, 4 a 7, VP.</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95" w:history="1">
        <w:r w:rsidRPr="00E27756">
          <w:rPr>
            <w:rStyle w:val="TextoNormalCaracter"/>
          </w:rPr>
          <w:t>95/2013</w:t>
        </w:r>
      </w:hyperlink>
      <w:r>
        <w:t>, f. 7, VP.</w:t>
      </w:r>
    </w:p>
    <w:p w:rsidR="00E27756" w:rsidRDefault="00E27756" w:rsidP="00E27756">
      <w:pPr>
        <w:pStyle w:val="SangriaFrancesaArticulo"/>
      </w:pPr>
      <w:r w:rsidRPr="00E27756">
        <w:rPr>
          <w:rStyle w:val="TextoNormalNegritaCaracter"/>
        </w:rPr>
        <w:t>Artículo 5 apartados 2, 3.</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5.3.</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9.1.</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12.2.</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16.2.</w:t>
      </w:r>
      <w:r w:rsidRPr="00E27756">
        <w:rPr>
          <w:rStyle w:val="TextoNormalCaracter"/>
        </w:rPr>
        <w:t>-</w:t>
      </w:r>
      <w:r>
        <w:t xml:space="preserve"> Sentencia </w:t>
      </w:r>
      <w:hyperlink w:anchor="SENTENCIA_2013_95" w:history="1">
        <w:r w:rsidRPr="00E27756">
          <w:rPr>
            <w:rStyle w:val="TextoNormalCaracter"/>
          </w:rPr>
          <w:t>95/2013</w:t>
        </w:r>
      </w:hyperlink>
      <w:r>
        <w:t>, f. 6.</w:t>
      </w:r>
    </w:p>
    <w:p w:rsidR="00E27756" w:rsidRDefault="00E27756" w:rsidP="00E27756">
      <w:pPr>
        <w:pStyle w:val="SangriaFrancesaArticulo"/>
      </w:pPr>
      <w:r w:rsidRPr="00E27756">
        <w:rPr>
          <w:rStyle w:val="TextoNormalNegritaCaracter"/>
        </w:rPr>
        <w:t>Artículo 16.3.</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17.</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17 apartados 2, 3, 6.</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17.3.</w:t>
      </w:r>
      <w:r w:rsidRPr="00E27756">
        <w:rPr>
          <w:rStyle w:val="TextoNormalCaracter"/>
        </w:rPr>
        <w:t>-</w:t>
      </w:r>
      <w:r>
        <w:t xml:space="preserve"> Sentencia </w:t>
      </w:r>
      <w:hyperlink w:anchor="SENTENCIA_2013_95" w:history="1">
        <w:r w:rsidRPr="00E27756">
          <w:rPr>
            <w:rStyle w:val="TextoNormalCaracter"/>
          </w:rPr>
          <w:t>95/2013</w:t>
        </w:r>
      </w:hyperlink>
      <w:r>
        <w:t>, VP.</w:t>
      </w:r>
    </w:p>
    <w:p w:rsidR="00E27756" w:rsidRDefault="00E27756" w:rsidP="00E27756">
      <w:pPr>
        <w:pStyle w:val="SangriaFrancesaArticulo"/>
      </w:pPr>
      <w:r w:rsidRPr="00E27756">
        <w:rPr>
          <w:rStyle w:val="TextoNormalNegritaCaracter"/>
        </w:rPr>
        <w:t>Artículo 20.2.</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20.2 b).</w:t>
      </w:r>
      <w:r w:rsidRPr="00E27756">
        <w:rPr>
          <w:rStyle w:val="TextoNormalCaracter"/>
        </w:rPr>
        <w:t>-</w:t>
      </w:r>
      <w:r>
        <w:t xml:space="preserve"> Sentencia </w:t>
      </w:r>
      <w:hyperlink w:anchor="SENTENCIA_2013_95" w:history="1">
        <w:r w:rsidRPr="00E27756">
          <w:rPr>
            <w:rStyle w:val="TextoNormalCaracter"/>
          </w:rPr>
          <w:t>95/2013</w:t>
        </w:r>
      </w:hyperlink>
      <w:r>
        <w:t>, f. 5, VP.</w:t>
      </w:r>
    </w:p>
    <w:p w:rsidR="00E27756" w:rsidRDefault="00E27756" w:rsidP="00E27756">
      <w:pPr>
        <w:pStyle w:val="SangriaFrancesaArticulo"/>
      </w:pPr>
      <w:r w:rsidRPr="00E27756">
        <w:rPr>
          <w:rStyle w:val="TextoNormalNegritaCaracter"/>
        </w:rPr>
        <w:t>Artículo 20.2 epígrafes a), c).</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21.3</w:t>
      </w:r>
      <w:r>
        <w:t xml:space="preserve"> </w:t>
      </w:r>
      <w:r w:rsidRPr="00E27756">
        <w:rPr>
          <w:rStyle w:val="TextoNormalCaracter"/>
        </w:rPr>
        <w:t>(redactado por la Orden TAS/2866/2004, de 9 de agosto)</w:t>
      </w:r>
      <w:r w:rsidRPr="00E27756">
        <w:rPr>
          <w:rStyle w:val="TextoNormalNegritaCaracter"/>
        </w:rPr>
        <w:t>.</w:t>
      </w:r>
      <w:r w:rsidRPr="00E27756">
        <w:rPr>
          <w:rStyle w:val="TextoNormalCaracter"/>
        </w:rPr>
        <w:t>-</w:t>
      </w:r>
      <w:r>
        <w:t xml:space="preserve"> Sentencia </w:t>
      </w:r>
      <w:hyperlink w:anchor="SENTENCIA_2013_95" w:history="1">
        <w:r w:rsidRPr="00E27756">
          <w:rPr>
            <w:rStyle w:val="TextoNormalCaracter"/>
          </w:rPr>
          <w:t>95/2013</w:t>
        </w:r>
      </w:hyperlink>
      <w:r>
        <w:t>, f. 2.</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22 apartados 1, 2.</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23 excepto apartado 2 párrafo 2.</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23.2.</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24.</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24.1 e).</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29.</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29 apartados 2, 3.</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30.</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30.1.</w:t>
      </w:r>
      <w:r w:rsidRPr="00E27756">
        <w:rPr>
          <w:rStyle w:val="TextoNormalCaracter"/>
        </w:rPr>
        <w:t>-</w:t>
      </w:r>
      <w:r>
        <w:t xml:space="preserve"> Sentencia </w:t>
      </w:r>
      <w:hyperlink w:anchor="SENTENCIA_2013_95" w:history="1">
        <w:r w:rsidRPr="00E27756">
          <w:rPr>
            <w:rStyle w:val="TextoNormalCaracter"/>
          </w:rPr>
          <w:t>95/2013</w:t>
        </w:r>
      </w:hyperlink>
      <w:r>
        <w:t>, VP.</w:t>
      </w:r>
    </w:p>
    <w:p w:rsidR="00E27756" w:rsidRDefault="00E27756" w:rsidP="00E27756">
      <w:pPr>
        <w:pStyle w:val="SangriaFrancesaArticulo"/>
      </w:pPr>
      <w:r w:rsidRPr="00E27756">
        <w:rPr>
          <w:rStyle w:val="TextoNormalNegritaCaracter"/>
        </w:rPr>
        <w:t>Artículo 31.1.</w:t>
      </w:r>
      <w:r w:rsidRPr="00E27756">
        <w:rPr>
          <w:rStyle w:val="TextoNormalCaracter"/>
        </w:rPr>
        <w:t>-</w:t>
      </w:r>
      <w:r>
        <w:t xml:space="preserve"> Sentencia </w:t>
      </w:r>
      <w:hyperlink w:anchor="SENTENCIA_2013_95" w:history="1">
        <w:r w:rsidRPr="00E27756">
          <w:rPr>
            <w:rStyle w:val="TextoNormalCaracter"/>
          </w:rPr>
          <w:t>95/2013</w:t>
        </w:r>
      </w:hyperlink>
      <w:r>
        <w:t>, f. 6.</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32.1 b).</w:t>
      </w:r>
      <w:r w:rsidRPr="00E27756">
        <w:rPr>
          <w:rStyle w:val="TextoNormalCaracter"/>
        </w:rPr>
        <w:t>-</w:t>
      </w:r>
      <w:r>
        <w:t xml:space="preserve"> Sentencia </w:t>
      </w:r>
      <w:hyperlink w:anchor="SENTENCIA_2013_95" w:history="1">
        <w:r w:rsidRPr="00E27756">
          <w:rPr>
            <w:rStyle w:val="TextoNormalCaracter"/>
          </w:rPr>
          <w:t>95/2013</w:t>
        </w:r>
      </w:hyperlink>
      <w:r>
        <w:t>, VP.</w:t>
      </w:r>
    </w:p>
    <w:p w:rsidR="00E27756" w:rsidRDefault="00E27756" w:rsidP="00E27756">
      <w:pPr>
        <w:pStyle w:val="SangriaFrancesaArticulo"/>
      </w:pPr>
      <w:r w:rsidRPr="00E27756">
        <w:rPr>
          <w:rStyle w:val="TextoNormalNegritaCaracter"/>
        </w:rPr>
        <w:t>Artículo 32.3.</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33.</w:t>
      </w:r>
      <w:r w:rsidRPr="00E27756">
        <w:rPr>
          <w:rStyle w:val="TextoNormalCaracter"/>
        </w:rPr>
        <w:t>-</w:t>
      </w:r>
      <w:r>
        <w:t xml:space="preserve"> Sentencia </w:t>
      </w:r>
      <w:hyperlink w:anchor="SENTENCIA_2013_95" w:history="1">
        <w:r w:rsidRPr="00E27756">
          <w:rPr>
            <w:rStyle w:val="TextoNormalCaracter"/>
          </w:rPr>
          <w:t>95/2013</w:t>
        </w:r>
      </w:hyperlink>
      <w:r>
        <w:t>, ff. 5, 6.</w:t>
      </w:r>
    </w:p>
    <w:p w:rsidR="00E27756" w:rsidRDefault="00E27756" w:rsidP="00E27756">
      <w:pPr>
        <w:pStyle w:val="SangriaFrancesaArticulo"/>
      </w:pPr>
      <w:r w:rsidRPr="00E27756">
        <w:rPr>
          <w:rStyle w:val="TextoNormalNegritaCaracter"/>
        </w:rPr>
        <w:t>Artículo 33.1.</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lastRenderedPageBreak/>
        <w:t>Artículo 33.2.</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34.</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34.1.</w:t>
      </w:r>
      <w:r w:rsidRPr="00E27756">
        <w:rPr>
          <w:rStyle w:val="TextoNormalCaracter"/>
        </w:rPr>
        <w:t>-</w:t>
      </w:r>
      <w:r>
        <w:t xml:space="preserve"> Sentencia </w:t>
      </w:r>
      <w:hyperlink w:anchor="SENTENCIA_2013_95" w:history="1">
        <w:r w:rsidRPr="00E27756">
          <w:rPr>
            <w:rStyle w:val="TextoNormalCaracter"/>
          </w:rPr>
          <w:t>95/2013</w:t>
        </w:r>
      </w:hyperlink>
      <w:r>
        <w:t>, f. 6.</w:t>
      </w:r>
    </w:p>
    <w:p w:rsidR="00E27756" w:rsidRDefault="00E27756" w:rsidP="00E27756">
      <w:pPr>
        <w:pStyle w:val="SangriaFrancesaArticulo"/>
      </w:pPr>
      <w:r w:rsidRPr="00E27756">
        <w:rPr>
          <w:rStyle w:val="TextoNormalNegritaCaracter"/>
        </w:rPr>
        <w:t>Artículo 34.2.</w:t>
      </w:r>
      <w:r w:rsidRPr="00E27756">
        <w:rPr>
          <w:rStyle w:val="TextoNormalCaracter"/>
        </w:rPr>
        <w:t>-</w:t>
      </w:r>
      <w:r>
        <w:t xml:space="preserve"> Sentencia </w:t>
      </w:r>
      <w:hyperlink w:anchor="SENTENCIA_2013_95" w:history="1">
        <w:r w:rsidRPr="00E27756">
          <w:rPr>
            <w:rStyle w:val="TextoNormalCaracter"/>
          </w:rPr>
          <w:t>95/2013</w:t>
        </w:r>
      </w:hyperlink>
      <w:r>
        <w:t>, f. 5, VP.</w:t>
      </w:r>
    </w:p>
    <w:p w:rsidR="00E27756" w:rsidRDefault="00E27756" w:rsidP="00E27756">
      <w:pPr>
        <w:pStyle w:val="SangriaFrancesaArticulo"/>
      </w:pPr>
      <w:r w:rsidRPr="00E27756">
        <w:rPr>
          <w:rStyle w:val="TextoNormalNegritaCaracter"/>
        </w:rPr>
        <w:t>Artículo 34.3.</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Artículo 35.</w:t>
      </w:r>
      <w:r w:rsidRPr="00E27756">
        <w:rPr>
          <w:rStyle w:val="TextoNormalCaracter"/>
        </w:rPr>
        <w:t>-</w:t>
      </w:r>
      <w:r>
        <w:t xml:space="preserve"> Sentencia </w:t>
      </w:r>
      <w:hyperlink w:anchor="SENTENCIA_2013_95" w:history="1">
        <w:r w:rsidRPr="00E27756">
          <w:rPr>
            <w:rStyle w:val="TextoNormalCaracter"/>
          </w:rPr>
          <w:t>95/2013</w:t>
        </w:r>
      </w:hyperlink>
      <w:r>
        <w:t>, f. 6.</w:t>
      </w:r>
    </w:p>
    <w:p w:rsidR="00E27756" w:rsidRDefault="00E27756" w:rsidP="00E27756">
      <w:pPr>
        <w:pStyle w:val="SangriaFrancesaArticulo"/>
      </w:pPr>
      <w:r w:rsidRPr="00E27756">
        <w:rPr>
          <w:rStyle w:val="TextoNormalNegritaCaracter"/>
        </w:rPr>
        <w:t>Artículo 36.2.</w:t>
      </w:r>
      <w:r w:rsidRPr="00E27756">
        <w:rPr>
          <w:rStyle w:val="TextoNormalCaracter"/>
        </w:rPr>
        <w:t>-</w:t>
      </w:r>
      <w:r>
        <w:t xml:space="preserve"> Sentencia </w:t>
      </w:r>
      <w:hyperlink w:anchor="SENTENCIA_2013_95" w:history="1">
        <w:r w:rsidRPr="00E27756">
          <w:rPr>
            <w:rStyle w:val="TextoNormalCaracter"/>
          </w:rPr>
          <w:t>95/2013</w:t>
        </w:r>
      </w:hyperlink>
      <w:r>
        <w:t>, f. 6.</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Sentencia </w:t>
      </w:r>
      <w:hyperlink w:anchor="SENTENCIA_2013_95" w:history="1">
        <w:r w:rsidRPr="00E27756">
          <w:rPr>
            <w:rStyle w:val="TextoNormalCaracter"/>
          </w:rPr>
          <w:t>95/2013</w:t>
        </w:r>
      </w:hyperlink>
      <w:r>
        <w:t>, f. 7.</w:t>
      </w:r>
    </w:p>
    <w:p w:rsidR="00E27756" w:rsidRDefault="00E27756" w:rsidP="00E27756">
      <w:pPr>
        <w:pStyle w:val="SangriaFrancesaArticulo"/>
      </w:pPr>
      <w:r w:rsidRPr="00E27756">
        <w:rPr>
          <w:rStyle w:val="TextoNormalNegritaCaracter"/>
        </w:rPr>
        <w:t>Disposición adicional tercera.</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Disposición adicional cuarta.</w:t>
      </w:r>
      <w:r w:rsidRPr="00E27756">
        <w:rPr>
          <w:rStyle w:val="TextoNormalCaracter"/>
        </w:rPr>
        <w:t>-</w:t>
      </w:r>
      <w:r>
        <w:t xml:space="preserve"> Sentencia </w:t>
      </w:r>
      <w:hyperlink w:anchor="SENTENCIA_2013_95" w:history="1">
        <w:r w:rsidRPr="00E27756">
          <w:rPr>
            <w:rStyle w:val="TextoNormalCaracter"/>
          </w:rPr>
          <w:t>95/2013</w:t>
        </w:r>
      </w:hyperlink>
      <w:r>
        <w:t>, f. 5.</w:t>
      </w:r>
    </w:p>
    <w:p w:rsidR="00E27756" w:rsidRDefault="00E27756" w:rsidP="00E27756">
      <w:pPr>
        <w:pStyle w:val="SangriaFrancesaArticulo"/>
      </w:pPr>
      <w:r w:rsidRPr="00E27756">
        <w:rPr>
          <w:rStyle w:val="TextoNormalNegritaCaracter"/>
        </w:rPr>
        <w:t>Disposición adicional quinta, apartado 2.</w:t>
      </w:r>
      <w:r w:rsidRPr="00E27756">
        <w:rPr>
          <w:rStyle w:val="TextoNormalCaracter"/>
        </w:rPr>
        <w:t>-</w:t>
      </w:r>
      <w:r>
        <w:t xml:space="preserve"> Sentencia </w:t>
      </w:r>
      <w:hyperlink w:anchor="SENTENCIA_2013_95" w:history="1">
        <w:r w:rsidRPr="00E27756">
          <w:rPr>
            <w:rStyle w:val="TextoNormalCaracter"/>
          </w:rPr>
          <w:t>95/2013</w:t>
        </w:r>
      </w:hyperlink>
      <w:r>
        <w:t>, f. 6.</w:t>
      </w:r>
    </w:p>
    <w:p w:rsidR="00E27756" w:rsidRDefault="00E27756" w:rsidP="00E27756">
      <w:pPr>
        <w:pStyle w:val="SangriaFrancesaArticulo"/>
      </w:pPr>
      <w:r w:rsidRPr="00E27756">
        <w:rPr>
          <w:rStyle w:val="TextoNormalNegritaCaracter"/>
        </w:rPr>
        <w:t>Disposición adicional sexta, apartado 3.</w:t>
      </w:r>
      <w:r w:rsidRPr="00E27756">
        <w:rPr>
          <w:rStyle w:val="TextoNormalCaracter"/>
        </w:rPr>
        <w:t>-</w:t>
      </w:r>
      <w:r>
        <w:t xml:space="preserve"> Sentencia </w:t>
      </w:r>
      <w:hyperlink w:anchor="SENTENCIA_2013_95" w:history="1">
        <w:r w:rsidRPr="00E27756">
          <w:rPr>
            <w:rStyle w:val="TextoNormalCaracter"/>
          </w:rPr>
          <w:t>95/2013</w:t>
        </w:r>
      </w:hyperlink>
      <w:r>
        <w:t>, f. 6.</w:t>
      </w:r>
    </w:p>
    <w:p w:rsidR="00E27756" w:rsidRDefault="00E27756" w:rsidP="00E27756">
      <w:pPr>
        <w:pStyle w:val="SangriaFrancesaArticulo"/>
      </w:pPr>
    </w:p>
    <w:p w:rsidR="00E27756" w:rsidRDefault="00E27756" w:rsidP="00E27756">
      <w:pPr>
        <w:pStyle w:val="TextoNormalNegritaCursivandice"/>
      </w:pPr>
      <w:r>
        <w:t>Orden JUS/1133/2004, de 5 de abril. Se convocan para la provisión por el sistema de libre designación, y para el cuerpo de secretarios judiciales los puestos de trabajo de secretarios de gobierno del Tribunal Supremo, Audiencia Nacional, Tribunales Superiores de Justicia y ciudades de Ceuta y Melilla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8" w:history="1">
        <w:r w:rsidRPr="00E27756">
          <w:rPr>
            <w:rStyle w:val="TextoNormalCaracter"/>
          </w:rPr>
          <w:t>18/2013</w:t>
        </w:r>
      </w:hyperlink>
      <w:r>
        <w:t>, ff. 1, 2, 4 a 6.</w:t>
      </w:r>
    </w:p>
    <w:p w:rsidR="00E27756" w:rsidRDefault="00E27756" w:rsidP="00E27756">
      <w:pPr>
        <w:pStyle w:val="SangriaFrancesaArticulo"/>
      </w:pPr>
      <w:r w:rsidRPr="00E27756">
        <w:rPr>
          <w:rStyle w:val="TextoNormalNegritaCaracter"/>
        </w:rPr>
        <w:t>Base 2.</w:t>
      </w:r>
      <w:r w:rsidRPr="00E27756">
        <w:rPr>
          <w:rStyle w:val="TextoNormalCaracter"/>
        </w:rPr>
        <w:t>-</w:t>
      </w:r>
      <w:r>
        <w:t xml:space="preserve"> Sentencia </w:t>
      </w:r>
      <w:hyperlink w:anchor="SENTENCIA_2013_18" w:history="1">
        <w:r w:rsidRPr="00E27756">
          <w:rPr>
            <w:rStyle w:val="TextoNormalCaracter"/>
          </w:rPr>
          <w:t>18/2013</w:t>
        </w:r>
      </w:hyperlink>
      <w:r>
        <w:t>, f. 6.</w:t>
      </w:r>
    </w:p>
    <w:p w:rsidR="00E27756" w:rsidRDefault="00E27756" w:rsidP="00E27756">
      <w:pPr>
        <w:pStyle w:val="SangriaFrancesaArticulo"/>
      </w:pPr>
    </w:p>
    <w:p w:rsidR="00E27756" w:rsidRDefault="00E27756" w:rsidP="00E27756">
      <w:pPr>
        <w:pStyle w:val="TextoNormalNegritaCursivandice"/>
      </w:pPr>
      <w:r>
        <w:t>Decreto 49/2004, de 28 de mayo. Régimen jurídico y económico de los consejos reguladores y de otros entes de gestión y de control de denominación de calidad</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Sentencias </w:t>
      </w:r>
      <w:hyperlink w:anchor="SENTENCIA_2013_34" w:history="1">
        <w:r w:rsidRPr="00E27756">
          <w:rPr>
            <w:rStyle w:val="TextoNormalCaracter"/>
          </w:rPr>
          <w:t>34/2013</w:t>
        </w:r>
      </w:hyperlink>
      <w:r>
        <w:t xml:space="preserve">, f. 12; </w:t>
      </w:r>
      <w:hyperlink w:anchor="SENTENCIA_2013_34" w:history="1">
        <w:r w:rsidRPr="00E27756">
          <w:rPr>
            <w:rStyle w:val="TextoNormalCaracter"/>
          </w:rPr>
          <w:t>34/2013</w:t>
        </w:r>
      </w:hyperlink>
      <w:r>
        <w:t>, f. 12.</w:t>
      </w:r>
    </w:p>
    <w:p w:rsidR="00E27756" w:rsidRDefault="00E27756" w:rsidP="00E27756">
      <w:pPr>
        <w:pStyle w:val="SangriaFrancesaArticulo"/>
      </w:pPr>
    </w:p>
    <w:p w:rsidR="00E27756" w:rsidRDefault="00E27756" w:rsidP="00E27756">
      <w:pPr>
        <w:pStyle w:val="TextoNormalNegritaCursivandice"/>
      </w:pPr>
      <w:r>
        <w:t>Orden TAS/2782/2004, de 30 de julio. Establece las bases reguladoras para la concesión de subvenciones públicas destinadas a la realización de las acciones complementarias y de acompañamiento a la formación, en desarrollo del Real Decreto 1046/2003, de 1 de agosto, por el que se regula el subsistema de formación profesional continua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5" w:history="1">
        <w:r w:rsidRPr="00E27756">
          <w:rPr>
            <w:rStyle w:val="TextoNormalCaracter"/>
          </w:rPr>
          <w:t>65/2013</w:t>
        </w:r>
      </w:hyperlink>
      <w:r>
        <w:t>, ff. 1, 2, 4.</w:t>
      </w:r>
    </w:p>
    <w:p w:rsidR="00E27756" w:rsidRDefault="00E27756" w:rsidP="00E27756">
      <w:pPr>
        <w:pStyle w:val="SangriaFrancesaArticulo"/>
      </w:pPr>
      <w:r w:rsidRPr="00E27756">
        <w:rPr>
          <w:rStyle w:val="TextoNormalNegritaCaracter"/>
        </w:rPr>
        <w:t>Apartado 10.</w:t>
      </w:r>
      <w:r w:rsidRPr="00E27756">
        <w:rPr>
          <w:rStyle w:val="TextoNormalCaracter"/>
        </w:rPr>
        <w:t>-</w:t>
      </w:r>
      <w:r>
        <w:t xml:space="preserve"> Sentencia </w:t>
      </w:r>
      <w:hyperlink w:anchor="SENTENCIA_2013_65" w:history="1">
        <w:r w:rsidRPr="00E27756">
          <w:rPr>
            <w:rStyle w:val="TextoNormalCaracter"/>
          </w:rPr>
          <w:t>65/2013</w:t>
        </w:r>
      </w:hyperlink>
      <w:r>
        <w:t>, ff. 2, 4.</w:t>
      </w:r>
    </w:p>
    <w:p w:rsidR="00E27756" w:rsidRDefault="00E27756" w:rsidP="00E27756">
      <w:pPr>
        <w:pStyle w:val="SangriaFrancesaArticulo"/>
      </w:pPr>
      <w:r w:rsidRPr="00E27756">
        <w:rPr>
          <w:rStyle w:val="TextoNormalNegritaCaracter"/>
        </w:rPr>
        <w:t>Apartado 19.</w:t>
      </w:r>
      <w:r w:rsidRPr="00E27756">
        <w:rPr>
          <w:rStyle w:val="TextoNormalCaracter"/>
        </w:rPr>
        <w:t>-</w:t>
      </w:r>
      <w:r>
        <w:t xml:space="preserve"> Sentencia </w:t>
      </w:r>
      <w:hyperlink w:anchor="SENTENCIA_2013_65" w:history="1">
        <w:r w:rsidRPr="00E27756">
          <w:rPr>
            <w:rStyle w:val="TextoNormalCaracter"/>
          </w:rPr>
          <w:t>65/2013</w:t>
        </w:r>
      </w:hyperlink>
      <w:r>
        <w:t>, f. 2.</w:t>
      </w:r>
    </w:p>
    <w:p w:rsidR="00E27756" w:rsidRDefault="00E27756" w:rsidP="00E27756">
      <w:pPr>
        <w:pStyle w:val="SangriaFrancesaArticulo"/>
      </w:pPr>
      <w:r w:rsidRPr="00E27756">
        <w:rPr>
          <w:rStyle w:val="TextoNormalNegritaCaracter"/>
        </w:rPr>
        <w:t>Apartado 3.</w:t>
      </w:r>
      <w:r w:rsidRPr="00E27756">
        <w:rPr>
          <w:rStyle w:val="TextoNormalCaracter"/>
        </w:rPr>
        <w:t>-</w:t>
      </w:r>
      <w:r>
        <w:t xml:space="preserve"> Sentencia </w:t>
      </w:r>
      <w:hyperlink w:anchor="SENTENCIA_2013_65" w:history="1">
        <w:r w:rsidRPr="00E27756">
          <w:rPr>
            <w:rStyle w:val="TextoNormalCaracter"/>
          </w:rPr>
          <w:t>65/2013</w:t>
        </w:r>
      </w:hyperlink>
      <w:r>
        <w:t>, ff. 2, 4.</w:t>
      </w:r>
    </w:p>
    <w:p w:rsidR="00E27756" w:rsidRDefault="00E27756" w:rsidP="00E27756">
      <w:pPr>
        <w:pStyle w:val="SangriaFrancesaArticulo"/>
      </w:pPr>
    </w:p>
    <w:p w:rsidR="00E27756" w:rsidRDefault="00E27756" w:rsidP="00E27756">
      <w:pPr>
        <w:pStyle w:val="TextoNormalNegritaCursivandice"/>
      </w:pPr>
      <w:r>
        <w:t>Orden TAS/2783/2004, de 30 de julio. Establece las bases reguladoras para la concesión de subvenciones públicas mediante contratos programa para la formación de trabajadores, en desarrollo del Real Decreto 1046/2003, de 1 de agosto, por el que se regula el subsistema de formación profesional continua.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62" w:history="1">
        <w:r w:rsidRPr="00E27756">
          <w:rPr>
            <w:rStyle w:val="TextoNormalCaracter"/>
          </w:rPr>
          <w:t>62/2013</w:t>
        </w:r>
      </w:hyperlink>
      <w:r>
        <w:t xml:space="preserve">, f. 4; </w:t>
      </w:r>
      <w:hyperlink w:anchor="SENTENCIA_2013_65" w:history="1">
        <w:r w:rsidRPr="00E27756">
          <w:rPr>
            <w:rStyle w:val="TextoNormalCaracter"/>
          </w:rPr>
          <w:t>65/2013</w:t>
        </w:r>
      </w:hyperlink>
      <w:r>
        <w:t>, ff. 1, 2, 5.</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37" w:history="1">
        <w:r w:rsidRPr="00E27756">
          <w:rPr>
            <w:rStyle w:val="TextoNormalCaracter"/>
          </w:rPr>
          <w:t>37/2013</w:t>
        </w:r>
      </w:hyperlink>
      <w:r>
        <w:t>, f. 3.</w:t>
      </w:r>
    </w:p>
    <w:p w:rsidR="00E27756" w:rsidRDefault="00E27756" w:rsidP="00E27756">
      <w:pPr>
        <w:pStyle w:val="SangriaFrancesaArticulo"/>
      </w:pPr>
      <w:r w:rsidRPr="00E27756">
        <w:rPr>
          <w:rStyle w:val="TextoNormalNegritaCaracter"/>
        </w:rPr>
        <w:t>Artículo 2.1 B).</w:t>
      </w:r>
      <w:r w:rsidRPr="00E27756">
        <w:rPr>
          <w:rStyle w:val="TextoNormalCaracter"/>
        </w:rPr>
        <w:t>-</w:t>
      </w:r>
      <w:r>
        <w:t xml:space="preserve"> Sentencia </w:t>
      </w:r>
      <w:hyperlink w:anchor="SENTENCIA_2013_37" w:history="1">
        <w:r w:rsidRPr="00E27756">
          <w:rPr>
            <w:rStyle w:val="TextoNormalCaracter"/>
          </w:rPr>
          <w:t>37/2013</w:t>
        </w:r>
      </w:hyperlink>
      <w:r>
        <w:t>, ff. 1-3.</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37" w:history="1">
        <w:r w:rsidRPr="00E27756">
          <w:rPr>
            <w:rStyle w:val="TextoNormalCaracter"/>
          </w:rPr>
          <w:t>37/2013</w:t>
        </w:r>
      </w:hyperlink>
      <w:r>
        <w:t>, ff. 1-4.</w:t>
      </w:r>
    </w:p>
    <w:p w:rsidR="00E27756" w:rsidRDefault="00E27756" w:rsidP="00E27756">
      <w:pPr>
        <w:pStyle w:val="SangriaFrancesaArticulo"/>
      </w:pPr>
      <w:r w:rsidRPr="00E27756">
        <w:rPr>
          <w:rStyle w:val="TextoNormalNegritaCaracter"/>
        </w:rPr>
        <w:t>Artículo 13.2.1.</w:t>
      </w:r>
      <w:r w:rsidRPr="00E27756">
        <w:rPr>
          <w:rStyle w:val="TextoNormalCaracter"/>
        </w:rPr>
        <w:t>-</w:t>
      </w:r>
      <w:r>
        <w:t xml:space="preserve"> Sentencia </w:t>
      </w:r>
      <w:hyperlink w:anchor="SENTENCIA_2013_37" w:history="1">
        <w:r w:rsidRPr="00E27756">
          <w:rPr>
            <w:rStyle w:val="TextoNormalCaracter"/>
          </w:rPr>
          <w:t>37/2013</w:t>
        </w:r>
      </w:hyperlink>
      <w:r>
        <w:t>, f. 3.</w:t>
      </w:r>
    </w:p>
    <w:p w:rsidR="00E27756" w:rsidRDefault="00E27756" w:rsidP="00E27756">
      <w:pPr>
        <w:pStyle w:val="SangriaFrancesaArticulo"/>
      </w:pPr>
      <w:r w:rsidRPr="00E27756">
        <w:rPr>
          <w:rStyle w:val="TextoNormalNegritaCaracter"/>
        </w:rPr>
        <w:t>Artículo 14.1.</w:t>
      </w:r>
      <w:r w:rsidRPr="00E27756">
        <w:rPr>
          <w:rStyle w:val="TextoNormalCaracter"/>
        </w:rPr>
        <w:t>-</w:t>
      </w:r>
      <w:r>
        <w:t xml:space="preserve"> Sentencia </w:t>
      </w:r>
      <w:hyperlink w:anchor="SENTENCIA_2013_37" w:history="1">
        <w:r w:rsidRPr="00E27756">
          <w:rPr>
            <w:rStyle w:val="TextoNormalCaracter"/>
          </w:rPr>
          <w:t>37/2013</w:t>
        </w:r>
      </w:hyperlink>
      <w:r>
        <w:t>, f. 3.</w:t>
      </w:r>
    </w:p>
    <w:p w:rsidR="00E27756" w:rsidRDefault="00E27756" w:rsidP="00E27756">
      <w:pPr>
        <w:pStyle w:val="SangriaFrancesaArticulo"/>
      </w:pPr>
      <w:r w:rsidRPr="00E27756">
        <w:rPr>
          <w:rStyle w:val="TextoNormalNegritaCaracter"/>
        </w:rPr>
        <w:t>Artículo 16.</w:t>
      </w:r>
      <w:r w:rsidRPr="00E27756">
        <w:rPr>
          <w:rStyle w:val="TextoNormalCaracter"/>
        </w:rPr>
        <w:t>-</w:t>
      </w:r>
      <w:r>
        <w:t xml:space="preserve"> Sentencia </w:t>
      </w:r>
      <w:hyperlink w:anchor="SENTENCIA_2013_37" w:history="1">
        <w:r w:rsidRPr="00E27756">
          <w:rPr>
            <w:rStyle w:val="TextoNormalCaracter"/>
          </w:rPr>
          <w:t>37/2013</w:t>
        </w:r>
      </w:hyperlink>
      <w:r>
        <w:t>, f. 3.</w:t>
      </w:r>
    </w:p>
    <w:p w:rsidR="00E27756" w:rsidRDefault="00E27756" w:rsidP="00E27756">
      <w:pPr>
        <w:pStyle w:val="SangriaFrancesaArticulo"/>
      </w:pPr>
      <w:r w:rsidRPr="00E27756">
        <w:rPr>
          <w:rStyle w:val="TextoNormalNegritaCaracter"/>
        </w:rPr>
        <w:t>Artículo 17.2.1.</w:t>
      </w:r>
      <w:r w:rsidRPr="00E27756">
        <w:rPr>
          <w:rStyle w:val="TextoNormalCaracter"/>
        </w:rPr>
        <w:t>-</w:t>
      </w:r>
      <w:r>
        <w:t xml:space="preserve"> Sentencia </w:t>
      </w:r>
      <w:hyperlink w:anchor="SENTENCIA_2013_37" w:history="1">
        <w:r w:rsidRPr="00E27756">
          <w:rPr>
            <w:rStyle w:val="TextoNormalCaracter"/>
          </w:rPr>
          <w:t>37/2013</w:t>
        </w:r>
      </w:hyperlink>
      <w:r>
        <w:t>, f. 3.</w:t>
      </w:r>
    </w:p>
    <w:p w:rsidR="00E27756" w:rsidRDefault="00E27756" w:rsidP="00E27756">
      <w:pPr>
        <w:pStyle w:val="SangriaFrancesaArticulo"/>
      </w:pPr>
      <w:r w:rsidRPr="00E27756">
        <w:rPr>
          <w:rStyle w:val="TextoNormalNegritaCaracter"/>
        </w:rPr>
        <w:t>Apartado 1.</w:t>
      </w:r>
      <w:r w:rsidRPr="00E27756">
        <w:rPr>
          <w:rStyle w:val="TextoNormalCaracter"/>
        </w:rPr>
        <w:t>-</w:t>
      </w:r>
      <w:r>
        <w:t xml:space="preserve"> Sentencia </w:t>
      </w:r>
      <w:hyperlink w:anchor="SENTENCIA_2013_37" w:history="1">
        <w:r w:rsidRPr="00E27756">
          <w:rPr>
            <w:rStyle w:val="TextoNormalCaracter"/>
          </w:rPr>
          <w:t>37/2013</w:t>
        </w:r>
      </w:hyperlink>
      <w:r>
        <w:t>, f. 3.</w:t>
      </w:r>
    </w:p>
    <w:p w:rsidR="00E27756" w:rsidRDefault="00E27756" w:rsidP="00E27756">
      <w:pPr>
        <w:pStyle w:val="SangriaFrancesaArticulo"/>
      </w:pPr>
      <w:r w:rsidRPr="00E27756">
        <w:rPr>
          <w:rStyle w:val="TextoNormalNegritaCaracter"/>
        </w:rPr>
        <w:lastRenderedPageBreak/>
        <w:t>Artículo 28.1.</w:t>
      </w:r>
      <w:r w:rsidRPr="00E27756">
        <w:rPr>
          <w:rStyle w:val="TextoNormalCaracter"/>
        </w:rPr>
        <w:t>-</w:t>
      </w:r>
      <w:r>
        <w:t xml:space="preserve"> Sentencia </w:t>
      </w:r>
      <w:hyperlink w:anchor="SENTENCIA_2013_37" w:history="1">
        <w:r w:rsidRPr="00E27756">
          <w:rPr>
            <w:rStyle w:val="TextoNormalCaracter"/>
          </w:rPr>
          <w:t>37/2013</w:t>
        </w:r>
      </w:hyperlink>
      <w:r>
        <w:t>, f. 3.</w:t>
      </w:r>
    </w:p>
    <w:p w:rsidR="00E27756" w:rsidRDefault="00E27756" w:rsidP="00E27756">
      <w:pPr>
        <w:pStyle w:val="SangriaFrancesaArticulo"/>
      </w:pPr>
      <w:r w:rsidRPr="00E27756">
        <w:rPr>
          <w:rStyle w:val="TextoNormalNegritaCaracter"/>
        </w:rPr>
        <w:t>Apartado 13.2.1.</w:t>
      </w:r>
      <w:r w:rsidRPr="00E27756">
        <w:rPr>
          <w:rStyle w:val="TextoNormalCaracter"/>
        </w:rPr>
        <w:t>-</w:t>
      </w:r>
      <w:r>
        <w:t xml:space="preserve"> Sentencia </w:t>
      </w:r>
      <w:hyperlink w:anchor="SENTENCIA_2013_37" w:history="1">
        <w:r w:rsidRPr="00E27756">
          <w:rPr>
            <w:rStyle w:val="TextoNormalCaracter"/>
          </w:rPr>
          <w:t>37/2013</w:t>
        </w:r>
      </w:hyperlink>
      <w:r>
        <w:t>, f. 3.</w:t>
      </w:r>
    </w:p>
    <w:p w:rsidR="00E27756" w:rsidRDefault="00E27756" w:rsidP="00E27756">
      <w:pPr>
        <w:pStyle w:val="SangriaFrancesaArticulo"/>
      </w:pPr>
      <w:r w:rsidRPr="00E27756">
        <w:rPr>
          <w:rStyle w:val="TextoNormalNegritaCaracter"/>
        </w:rPr>
        <w:t>Apartado 14.1.</w:t>
      </w:r>
      <w:r w:rsidRPr="00E27756">
        <w:rPr>
          <w:rStyle w:val="TextoNormalCaracter"/>
        </w:rPr>
        <w:t>-</w:t>
      </w:r>
      <w:r>
        <w:t xml:space="preserve"> Sentencia </w:t>
      </w:r>
      <w:hyperlink w:anchor="SENTENCIA_2013_37" w:history="1">
        <w:r w:rsidRPr="00E27756">
          <w:rPr>
            <w:rStyle w:val="TextoNormalCaracter"/>
          </w:rPr>
          <w:t>37/2013</w:t>
        </w:r>
      </w:hyperlink>
      <w:r>
        <w:t>, f. 3.</w:t>
      </w:r>
    </w:p>
    <w:p w:rsidR="00E27756" w:rsidRDefault="00E27756" w:rsidP="00E27756">
      <w:pPr>
        <w:pStyle w:val="SangriaFrancesaArticulo"/>
      </w:pPr>
      <w:r w:rsidRPr="00E27756">
        <w:rPr>
          <w:rStyle w:val="TextoNormalNegritaCaracter"/>
        </w:rPr>
        <w:t>Apartado 15.</w:t>
      </w:r>
      <w:r w:rsidRPr="00E27756">
        <w:rPr>
          <w:rStyle w:val="TextoNormalCaracter"/>
        </w:rPr>
        <w:t>-</w:t>
      </w:r>
      <w:r>
        <w:t xml:space="preserve"> Sentencia </w:t>
      </w:r>
      <w:hyperlink w:anchor="SENTENCIA_2013_65" w:history="1">
        <w:r w:rsidRPr="00E27756">
          <w:rPr>
            <w:rStyle w:val="TextoNormalCaracter"/>
          </w:rPr>
          <w:t>65/2013</w:t>
        </w:r>
      </w:hyperlink>
      <w:r>
        <w:t>, ff. 2, 5.</w:t>
      </w:r>
    </w:p>
    <w:p w:rsidR="00E27756" w:rsidRDefault="00E27756" w:rsidP="00E27756">
      <w:pPr>
        <w:pStyle w:val="SangriaFrancesaArticulo"/>
      </w:pPr>
      <w:r w:rsidRPr="00E27756">
        <w:rPr>
          <w:rStyle w:val="TextoNormalNegritaCaracter"/>
        </w:rPr>
        <w:t>Apartado 16.</w:t>
      </w:r>
      <w:r w:rsidRPr="00E27756">
        <w:rPr>
          <w:rStyle w:val="TextoNormalCaracter"/>
        </w:rPr>
        <w:t>-</w:t>
      </w:r>
      <w:r>
        <w:t xml:space="preserve"> Sentencia </w:t>
      </w:r>
      <w:hyperlink w:anchor="SENTENCIA_2013_37" w:history="1">
        <w:r w:rsidRPr="00E27756">
          <w:rPr>
            <w:rStyle w:val="TextoNormalCaracter"/>
          </w:rPr>
          <w:t>37/2013</w:t>
        </w:r>
      </w:hyperlink>
      <w:r>
        <w:t>, f. 3.</w:t>
      </w:r>
    </w:p>
    <w:p w:rsidR="00E27756" w:rsidRDefault="00E27756" w:rsidP="00E27756">
      <w:pPr>
        <w:pStyle w:val="SangriaFrancesaArticulo"/>
      </w:pPr>
      <w:r w:rsidRPr="00E27756">
        <w:rPr>
          <w:rStyle w:val="TextoNormalNegritaCaracter"/>
        </w:rPr>
        <w:t>Apartado 16.2.</w:t>
      </w:r>
      <w:r w:rsidRPr="00E27756">
        <w:rPr>
          <w:rStyle w:val="TextoNormalCaracter"/>
        </w:rPr>
        <w:t>-</w:t>
      </w:r>
      <w:r>
        <w:t xml:space="preserve"> Sentencia </w:t>
      </w:r>
      <w:hyperlink w:anchor="SENTENCIA_2013_65" w:history="1">
        <w:r w:rsidRPr="00E27756">
          <w:rPr>
            <w:rStyle w:val="TextoNormalCaracter"/>
          </w:rPr>
          <w:t>65/2013</w:t>
        </w:r>
      </w:hyperlink>
      <w:r>
        <w:t>, ff. 2, 5.</w:t>
      </w:r>
    </w:p>
    <w:p w:rsidR="00E27756" w:rsidRDefault="00E27756" w:rsidP="00E27756">
      <w:pPr>
        <w:pStyle w:val="SangriaFrancesaArticulo"/>
      </w:pPr>
      <w:r w:rsidRPr="00E27756">
        <w:rPr>
          <w:rStyle w:val="TextoNormalNegritaCaracter"/>
        </w:rPr>
        <w:t>Apartado 17.2.1.</w:t>
      </w:r>
      <w:r w:rsidRPr="00E27756">
        <w:rPr>
          <w:rStyle w:val="TextoNormalCaracter"/>
        </w:rPr>
        <w:t>-</w:t>
      </w:r>
      <w:r>
        <w:t xml:space="preserve"> Sentencia </w:t>
      </w:r>
      <w:hyperlink w:anchor="SENTENCIA_2013_37" w:history="1">
        <w:r w:rsidRPr="00E27756">
          <w:rPr>
            <w:rStyle w:val="TextoNormalCaracter"/>
          </w:rPr>
          <w:t>37/2013</w:t>
        </w:r>
      </w:hyperlink>
      <w:r>
        <w:t>, f. 3.</w:t>
      </w:r>
    </w:p>
    <w:p w:rsidR="00E27756" w:rsidRDefault="00E27756" w:rsidP="00E27756">
      <w:pPr>
        <w:pStyle w:val="SangriaFrancesaArticulo"/>
      </w:pPr>
      <w:r w:rsidRPr="00E27756">
        <w:rPr>
          <w:rStyle w:val="TextoNormalNegritaCaracter"/>
        </w:rPr>
        <w:t>Apartado 2 excepto inciso 1 b).</w:t>
      </w:r>
      <w:r w:rsidRPr="00E27756">
        <w:rPr>
          <w:rStyle w:val="TextoNormalCaracter"/>
        </w:rPr>
        <w:t>-</w:t>
      </w:r>
      <w:r>
        <w:t xml:space="preserve"> Sentencia </w:t>
      </w:r>
      <w:hyperlink w:anchor="SENTENCIA_2013_65" w:history="1">
        <w:r w:rsidRPr="00E27756">
          <w:rPr>
            <w:rStyle w:val="TextoNormalCaracter"/>
          </w:rPr>
          <w:t>65/2013</w:t>
        </w:r>
      </w:hyperlink>
      <w:r>
        <w:t>, ff. 2, 5.</w:t>
      </w:r>
    </w:p>
    <w:p w:rsidR="00E27756" w:rsidRDefault="00E27756" w:rsidP="00E27756">
      <w:pPr>
        <w:pStyle w:val="SangriaFrancesaArticulo"/>
      </w:pPr>
      <w:r w:rsidRPr="00E27756">
        <w:rPr>
          <w:rStyle w:val="TextoNormalNegritaCaracter"/>
        </w:rPr>
        <w:t>Apartado 2.1 b).</w:t>
      </w:r>
      <w:r w:rsidRPr="00E27756">
        <w:rPr>
          <w:rStyle w:val="TextoNormalCaracter"/>
        </w:rPr>
        <w:t>-</w:t>
      </w:r>
      <w:r>
        <w:t xml:space="preserve"> Sentencias </w:t>
      </w:r>
      <w:hyperlink w:anchor="SENTENCIA_2013_37" w:history="1">
        <w:r w:rsidRPr="00E27756">
          <w:rPr>
            <w:rStyle w:val="TextoNormalCaracter"/>
          </w:rPr>
          <w:t>37/2013</w:t>
        </w:r>
      </w:hyperlink>
      <w:r>
        <w:t xml:space="preserve">, ff. 1 a 3; </w:t>
      </w:r>
      <w:hyperlink w:anchor="SENTENCIA_2013_65" w:history="1">
        <w:r w:rsidRPr="00E27756">
          <w:rPr>
            <w:rStyle w:val="TextoNormalCaracter"/>
          </w:rPr>
          <w:t>65/2013</w:t>
        </w:r>
      </w:hyperlink>
      <w:r>
        <w:t>, f. 2.</w:t>
      </w:r>
    </w:p>
    <w:p w:rsidR="00E27756" w:rsidRDefault="00E27756" w:rsidP="00E27756">
      <w:pPr>
        <w:pStyle w:val="SangriaFrancesaArticulo"/>
      </w:pPr>
      <w:r w:rsidRPr="00E27756">
        <w:rPr>
          <w:rStyle w:val="TextoNormalNegritaCaracter"/>
        </w:rPr>
        <w:t>Apartado 2.1 b)</w:t>
      </w:r>
      <w:r>
        <w:t xml:space="preserve"> </w:t>
      </w:r>
      <w:r w:rsidRPr="00E27756">
        <w:rPr>
          <w:rStyle w:val="TextoNormalCaracter"/>
        </w:rPr>
        <w:t>(redactado por la Orden TAS/2562/2005, de 28 de julio)</w:t>
      </w:r>
      <w:r w:rsidRPr="00E27756">
        <w:rPr>
          <w:rStyle w:val="TextoNormalNegritaCaracter"/>
        </w:rPr>
        <w:t>.</w:t>
      </w:r>
      <w:r w:rsidRPr="00E27756">
        <w:rPr>
          <w:rStyle w:val="TextoNormalCaracter"/>
        </w:rPr>
        <w:t>-</w:t>
      </w:r>
      <w:r>
        <w:t xml:space="preserve"> Sentencia </w:t>
      </w:r>
      <w:hyperlink w:anchor="SENTENCIA_2013_65" w:history="1">
        <w:r w:rsidRPr="00E27756">
          <w:rPr>
            <w:rStyle w:val="TextoNormalCaracter"/>
          </w:rPr>
          <w:t>65/2013</w:t>
        </w:r>
      </w:hyperlink>
      <w:r>
        <w:t>, f. 2.</w:t>
      </w:r>
    </w:p>
    <w:p w:rsidR="00E27756" w:rsidRDefault="00E27756" w:rsidP="00E27756">
      <w:pPr>
        <w:pStyle w:val="SangriaFrancesaArticulo"/>
      </w:pPr>
      <w:r w:rsidRPr="00E27756">
        <w:rPr>
          <w:rStyle w:val="TextoNormalNegritaCaracter"/>
        </w:rPr>
        <w:t>Apartado 24.2.</w:t>
      </w:r>
      <w:r w:rsidRPr="00E27756">
        <w:rPr>
          <w:rStyle w:val="TextoNormalCaracter"/>
        </w:rPr>
        <w:t>-</w:t>
      </w:r>
      <w:r>
        <w:t xml:space="preserve"> Sentencia </w:t>
      </w:r>
      <w:hyperlink w:anchor="SENTENCIA_2013_65" w:history="1">
        <w:r w:rsidRPr="00E27756">
          <w:rPr>
            <w:rStyle w:val="TextoNormalCaracter"/>
          </w:rPr>
          <w:t>65/2013</w:t>
        </w:r>
      </w:hyperlink>
      <w:r>
        <w:t>, ff. 2, 5.</w:t>
      </w:r>
    </w:p>
    <w:p w:rsidR="00E27756" w:rsidRDefault="00E27756" w:rsidP="00E27756">
      <w:pPr>
        <w:pStyle w:val="SangriaFrancesaArticulo"/>
      </w:pPr>
      <w:r w:rsidRPr="00E27756">
        <w:rPr>
          <w:rStyle w:val="TextoNormalNegritaCaracter"/>
        </w:rPr>
        <w:t>Apartado 28 excepto inciso 1.</w:t>
      </w:r>
      <w:r w:rsidRPr="00E27756">
        <w:rPr>
          <w:rStyle w:val="TextoNormalCaracter"/>
        </w:rPr>
        <w:t>-</w:t>
      </w:r>
      <w:r>
        <w:t xml:space="preserve"> Sentencia </w:t>
      </w:r>
      <w:hyperlink w:anchor="SENTENCIA_2013_65" w:history="1">
        <w:r w:rsidRPr="00E27756">
          <w:rPr>
            <w:rStyle w:val="TextoNormalCaracter"/>
          </w:rPr>
          <w:t>65/2013</w:t>
        </w:r>
      </w:hyperlink>
      <w:r>
        <w:t>, f. 2.</w:t>
      </w:r>
    </w:p>
    <w:p w:rsidR="00E27756" w:rsidRDefault="00E27756" w:rsidP="00E27756">
      <w:pPr>
        <w:pStyle w:val="SangriaFrancesaArticulo"/>
      </w:pPr>
      <w:r w:rsidRPr="00E27756">
        <w:rPr>
          <w:rStyle w:val="TextoNormalNegritaCaracter"/>
        </w:rPr>
        <w:t>Apartado 28.1.</w:t>
      </w:r>
      <w:r w:rsidRPr="00E27756">
        <w:rPr>
          <w:rStyle w:val="TextoNormalCaracter"/>
        </w:rPr>
        <w:t>-</w:t>
      </w:r>
      <w:r>
        <w:t xml:space="preserve"> Sentencia </w:t>
      </w:r>
      <w:hyperlink w:anchor="SENTENCIA_2013_37" w:history="1">
        <w:r w:rsidRPr="00E27756">
          <w:rPr>
            <w:rStyle w:val="TextoNormalCaracter"/>
          </w:rPr>
          <w:t>37/2013</w:t>
        </w:r>
      </w:hyperlink>
      <w:r>
        <w:t>, f. 3.</w:t>
      </w:r>
    </w:p>
    <w:p w:rsidR="00E27756" w:rsidRDefault="00E27756" w:rsidP="00E27756">
      <w:pPr>
        <w:pStyle w:val="SangriaFrancesaArticulo"/>
      </w:pPr>
      <w:r w:rsidRPr="00E27756">
        <w:rPr>
          <w:rStyle w:val="TextoNormalNegritaCaracter"/>
        </w:rPr>
        <w:t>Apartado 28.1</w:t>
      </w:r>
      <w:r>
        <w:t xml:space="preserve"> </w:t>
      </w:r>
      <w:r w:rsidRPr="00E27756">
        <w:rPr>
          <w:rStyle w:val="TextoNormalCaracter"/>
        </w:rPr>
        <w:t>(redactado por la Orden TAS/2094/2005, de 17 de junio)</w:t>
      </w:r>
      <w:r w:rsidRPr="00E27756">
        <w:rPr>
          <w:rStyle w:val="TextoNormalNegritaCaracter"/>
        </w:rPr>
        <w:t>.</w:t>
      </w:r>
      <w:r w:rsidRPr="00E27756">
        <w:rPr>
          <w:rStyle w:val="TextoNormalCaracter"/>
        </w:rPr>
        <w:t>-</w:t>
      </w:r>
      <w:r>
        <w:t xml:space="preserve"> Sentencia </w:t>
      </w:r>
      <w:hyperlink w:anchor="SENTENCIA_2013_65" w:history="1">
        <w:r w:rsidRPr="00E27756">
          <w:rPr>
            <w:rStyle w:val="TextoNormalCaracter"/>
          </w:rPr>
          <w:t>65/2013</w:t>
        </w:r>
      </w:hyperlink>
      <w:r>
        <w:t>, f. 2.</w:t>
      </w:r>
    </w:p>
    <w:p w:rsidR="00E27756" w:rsidRDefault="00E27756" w:rsidP="00E27756">
      <w:pPr>
        <w:pStyle w:val="SangriaFrancesaArticulo"/>
      </w:pPr>
      <w:r w:rsidRPr="00E27756">
        <w:rPr>
          <w:rStyle w:val="TextoNormalNegritaCaracter"/>
        </w:rPr>
        <w:t>Apartado 5.</w:t>
      </w:r>
      <w:r w:rsidRPr="00E27756">
        <w:rPr>
          <w:rStyle w:val="TextoNormalCaracter"/>
        </w:rPr>
        <w:t>-</w:t>
      </w:r>
      <w:r>
        <w:t xml:space="preserve"> Sentencia </w:t>
      </w:r>
      <w:hyperlink w:anchor="SENTENCIA_2013_37" w:history="1">
        <w:r w:rsidRPr="00E27756">
          <w:rPr>
            <w:rStyle w:val="TextoNormalCaracter"/>
          </w:rPr>
          <w:t>37/2013</w:t>
        </w:r>
      </w:hyperlink>
      <w:r>
        <w:t>, ff. 1 a 4.</w:t>
      </w:r>
    </w:p>
    <w:p w:rsidR="00E27756" w:rsidRDefault="00E27756" w:rsidP="00E27756">
      <w:pPr>
        <w:pStyle w:val="SangriaFrancesaArticulo"/>
      </w:pPr>
    </w:p>
    <w:p w:rsidR="00E27756" w:rsidRDefault="00E27756" w:rsidP="00E27756">
      <w:pPr>
        <w:pStyle w:val="TextoNormalNegritaCursivandice"/>
      </w:pPr>
      <w:r>
        <w:t>Orden TAS/2866/2004, de 9 de agosto. Modifica la Orden TAS/500/2004, de 13 de febrero, que regula la financiación de las acciones de formación continua en las empresas, incluidos los permisos individuales de formación, en desarrollo del Real Decreto 1046/2003, de 1 de agosto, por el que se regula el subsistema de formación profesional continua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5" w:history="1">
        <w:r w:rsidRPr="00E27756">
          <w:rPr>
            <w:rStyle w:val="TextoNormalCaracter"/>
          </w:rPr>
          <w:t>95/2013</w:t>
        </w:r>
      </w:hyperlink>
      <w:r>
        <w:t>, f. 2.</w:t>
      </w:r>
    </w:p>
    <w:p w:rsidR="00E27756" w:rsidRDefault="00E27756" w:rsidP="00E27756">
      <w:pPr>
        <w:pStyle w:val="SangriaFrancesaArticulo"/>
      </w:pPr>
    </w:p>
    <w:p w:rsidR="00E27756" w:rsidRDefault="00E27756" w:rsidP="00E27756">
      <w:pPr>
        <w:pStyle w:val="TextoNormalNegritaCursivandice"/>
      </w:pPr>
      <w:r>
        <w:t>Real Decreto 2387/2004, de 30 de diciembre. Reglamento del sector ferroviario</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83" w:history="1">
        <w:r w:rsidRPr="00E27756">
          <w:rPr>
            <w:rStyle w:val="TextoNormalCaracter"/>
          </w:rPr>
          <w:t>83/2013</w:t>
        </w:r>
      </w:hyperlink>
      <w:r>
        <w:t>, ff. 1, 4, 7.</w:t>
      </w:r>
    </w:p>
    <w:p w:rsidR="00E27756" w:rsidRDefault="00E27756" w:rsidP="00E27756">
      <w:pPr>
        <w:pStyle w:val="SangriaFrancesaArticulo"/>
      </w:pPr>
      <w:r w:rsidRPr="00E27756">
        <w:rPr>
          <w:rStyle w:val="TextoNormalNegritaCaracter"/>
        </w:rPr>
        <w:t>Artículo 5.1.</w:t>
      </w:r>
      <w:r w:rsidRPr="00E27756">
        <w:rPr>
          <w:rStyle w:val="TextoNormalCaracter"/>
        </w:rPr>
        <w:t>-</w:t>
      </w:r>
      <w:r>
        <w:t xml:space="preserve"> Sentencia </w:t>
      </w:r>
      <w:hyperlink w:anchor="SENTENCIA_2013_83" w:history="1">
        <w:r w:rsidRPr="00E27756">
          <w:rPr>
            <w:rStyle w:val="TextoNormalCaracter"/>
          </w:rPr>
          <w:t>83/2013</w:t>
        </w:r>
      </w:hyperlink>
      <w:r>
        <w:t>, ff. 1, 4.</w:t>
      </w:r>
    </w:p>
    <w:p w:rsidR="00E27756" w:rsidRDefault="00E27756" w:rsidP="00E27756">
      <w:pPr>
        <w:pStyle w:val="SangriaFrancesaArticulo"/>
      </w:pPr>
      <w:r w:rsidRPr="00E27756">
        <w:rPr>
          <w:rStyle w:val="TextoNormalNegritaCaracter"/>
        </w:rPr>
        <w:t>Artículo 5.3.</w:t>
      </w:r>
      <w:r w:rsidRPr="00E27756">
        <w:rPr>
          <w:rStyle w:val="TextoNormalCaracter"/>
        </w:rPr>
        <w:t>-</w:t>
      </w:r>
      <w:r>
        <w:t xml:space="preserve"> Sentencia </w:t>
      </w:r>
      <w:hyperlink w:anchor="SENTENCIA_2013_83" w:history="1">
        <w:r w:rsidRPr="00E27756">
          <w:rPr>
            <w:rStyle w:val="TextoNormalCaracter"/>
          </w:rPr>
          <w:t>83/2013</w:t>
        </w:r>
      </w:hyperlink>
      <w:r>
        <w:t>, f. 4.</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83" w:history="1">
        <w:r w:rsidRPr="00E27756">
          <w:rPr>
            <w:rStyle w:val="TextoNormalCaracter"/>
          </w:rPr>
          <w:t>83/2013</w:t>
        </w:r>
      </w:hyperlink>
      <w:r>
        <w:t>, ff. 1, 4.</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 </w:t>
      </w:r>
      <w:hyperlink w:anchor="SENTENCIA_2013_83" w:history="1">
        <w:r w:rsidRPr="00E27756">
          <w:rPr>
            <w:rStyle w:val="TextoNormalCaracter"/>
          </w:rPr>
          <w:t>83/2013</w:t>
        </w:r>
      </w:hyperlink>
      <w:r>
        <w:t>, f. 4.</w:t>
      </w:r>
    </w:p>
    <w:p w:rsidR="00E27756" w:rsidRDefault="00E27756" w:rsidP="00E27756">
      <w:pPr>
        <w:pStyle w:val="SangriaFrancesaArticulo"/>
      </w:pPr>
      <w:r w:rsidRPr="00E27756">
        <w:rPr>
          <w:rStyle w:val="TextoNormalNegritaCaracter"/>
        </w:rPr>
        <w:t>Artículo 47.4.</w:t>
      </w:r>
      <w:r w:rsidRPr="00E27756">
        <w:rPr>
          <w:rStyle w:val="TextoNormalCaracter"/>
        </w:rPr>
        <w:t>-</w:t>
      </w:r>
      <w:r>
        <w:t xml:space="preserve"> Sentencia </w:t>
      </w:r>
      <w:hyperlink w:anchor="SENTENCIA_2013_83" w:history="1">
        <w:r w:rsidRPr="00E27756">
          <w:rPr>
            <w:rStyle w:val="TextoNormalCaracter"/>
          </w:rPr>
          <w:t>83/2013</w:t>
        </w:r>
      </w:hyperlink>
      <w:r>
        <w:t>, ff. 1, 5, 7.</w:t>
      </w:r>
    </w:p>
    <w:p w:rsidR="00E27756" w:rsidRDefault="00E27756" w:rsidP="00E27756">
      <w:pPr>
        <w:pStyle w:val="SangriaFrancesaArticulo"/>
      </w:pPr>
      <w:r w:rsidRPr="00E27756">
        <w:rPr>
          <w:rStyle w:val="TextoNormalNegritaCaracter"/>
        </w:rPr>
        <w:t>Artículo 48.</w:t>
      </w:r>
      <w:r w:rsidRPr="00E27756">
        <w:rPr>
          <w:rStyle w:val="TextoNormalCaracter"/>
        </w:rPr>
        <w:t>-</w:t>
      </w:r>
      <w:r>
        <w:t xml:space="preserve"> Sentencia </w:t>
      </w:r>
      <w:hyperlink w:anchor="SENTENCIA_2013_83" w:history="1">
        <w:r w:rsidRPr="00E27756">
          <w:rPr>
            <w:rStyle w:val="TextoNormalCaracter"/>
          </w:rPr>
          <w:t>83/2013</w:t>
        </w:r>
      </w:hyperlink>
      <w:r>
        <w:t>, ff. 1, 5.</w:t>
      </w:r>
    </w:p>
    <w:p w:rsidR="00E27756" w:rsidRDefault="00E27756" w:rsidP="00E27756">
      <w:pPr>
        <w:pStyle w:val="SangriaFrancesaArticulo"/>
      </w:pPr>
      <w:r w:rsidRPr="00E27756">
        <w:rPr>
          <w:rStyle w:val="TextoNormalNegritaCaracter"/>
        </w:rPr>
        <w:t>Artículo 57.</w:t>
      </w:r>
      <w:r w:rsidRPr="00E27756">
        <w:rPr>
          <w:rStyle w:val="TextoNormalCaracter"/>
        </w:rPr>
        <w:t>-</w:t>
      </w:r>
      <w:r>
        <w:t xml:space="preserve"> Sentencia </w:t>
      </w:r>
      <w:hyperlink w:anchor="SENTENCIA_2013_83" w:history="1">
        <w:r w:rsidRPr="00E27756">
          <w:rPr>
            <w:rStyle w:val="TextoNormalCaracter"/>
          </w:rPr>
          <w:t>83/2013</w:t>
        </w:r>
      </w:hyperlink>
      <w:r>
        <w:t>, ff. 1, 5.</w:t>
      </w:r>
    </w:p>
    <w:p w:rsidR="00E27756" w:rsidRDefault="00E27756" w:rsidP="00E27756">
      <w:pPr>
        <w:pStyle w:val="SangriaFrancesaArticulo"/>
      </w:pPr>
      <w:r w:rsidRPr="00E27756">
        <w:rPr>
          <w:rStyle w:val="TextoNormalNegritaCaracter"/>
        </w:rPr>
        <w:t>Artículo 57.4.</w:t>
      </w:r>
      <w:r w:rsidRPr="00E27756">
        <w:rPr>
          <w:rStyle w:val="TextoNormalCaracter"/>
        </w:rPr>
        <w:t>-</w:t>
      </w:r>
      <w:r>
        <w:t xml:space="preserve"> Sentencia </w:t>
      </w:r>
      <w:hyperlink w:anchor="SENTENCIA_2013_83" w:history="1">
        <w:r w:rsidRPr="00E27756">
          <w:rPr>
            <w:rStyle w:val="TextoNormalCaracter"/>
          </w:rPr>
          <w:t>83/2013</w:t>
        </w:r>
      </w:hyperlink>
      <w:r>
        <w:t>, f. 5.</w:t>
      </w:r>
    </w:p>
    <w:p w:rsidR="00E27756" w:rsidRDefault="00E27756" w:rsidP="00E27756">
      <w:pPr>
        <w:pStyle w:val="SangriaFrancesaArticulo"/>
      </w:pPr>
      <w:r w:rsidRPr="00E27756">
        <w:rPr>
          <w:rStyle w:val="TextoNormalNegritaCaracter"/>
        </w:rPr>
        <w:t>Artículo 59.</w:t>
      </w:r>
      <w:r w:rsidRPr="00E27756">
        <w:rPr>
          <w:rStyle w:val="TextoNormalCaracter"/>
        </w:rPr>
        <w:t>-</w:t>
      </w:r>
      <w:r>
        <w:t xml:space="preserve"> Sentencia </w:t>
      </w:r>
      <w:hyperlink w:anchor="SENTENCIA_2013_83" w:history="1">
        <w:r w:rsidRPr="00E27756">
          <w:rPr>
            <w:rStyle w:val="TextoNormalCaracter"/>
          </w:rPr>
          <w:t>83/2013</w:t>
        </w:r>
      </w:hyperlink>
      <w:r>
        <w:t>, f. 5.</w:t>
      </w:r>
    </w:p>
    <w:p w:rsidR="00E27756" w:rsidRDefault="00E27756" w:rsidP="00E27756">
      <w:pPr>
        <w:pStyle w:val="SangriaFrancesaArticulo"/>
      </w:pPr>
      <w:r w:rsidRPr="00E27756">
        <w:rPr>
          <w:rStyle w:val="TextoNormalNegritaCaracter"/>
        </w:rPr>
        <w:t>Artículos 71 a 77.</w:t>
      </w:r>
      <w:r w:rsidRPr="00E27756">
        <w:rPr>
          <w:rStyle w:val="TextoNormalCaracter"/>
        </w:rPr>
        <w:t>-</w:t>
      </w:r>
      <w:r>
        <w:t xml:space="preserve"> Sentencia </w:t>
      </w:r>
      <w:hyperlink w:anchor="SENTENCIA_2013_83" w:history="1">
        <w:r w:rsidRPr="00E27756">
          <w:rPr>
            <w:rStyle w:val="TextoNormalCaracter"/>
          </w:rPr>
          <w:t>83/2013</w:t>
        </w:r>
      </w:hyperlink>
      <w:r>
        <w:t>, ff. 1, 5.</w:t>
      </w:r>
    </w:p>
    <w:p w:rsidR="00E27756" w:rsidRDefault="00E27756" w:rsidP="00E27756">
      <w:pPr>
        <w:pStyle w:val="SangriaFrancesaArticulo"/>
      </w:pPr>
      <w:r w:rsidRPr="00E27756">
        <w:rPr>
          <w:rStyle w:val="TextoNormalNegritaCaracter"/>
        </w:rPr>
        <w:t>Artículo 95.</w:t>
      </w:r>
      <w:r w:rsidRPr="00E27756">
        <w:rPr>
          <w:rStyle w:val="TextoNormalCaracter"/>
        </w:rPr>
        <w:t>-</w:t>
      </w:r>
      <w:r>
        <w:t xml:space="preserve"> Sentencia </w:t>
      </w:r>
      <w:hyperlink w:anchor="SENTENCIA_2013_83" w:history="1">
        <w:r w:rsidRPr="00E27756">
          <w:rPr>
            <w:rStyle w:val="TextoNormalCaracter"/>
          </w:rPr>
          <w:t>83/2013</w:t>
        </w:r>
      </w:hyperlink>
      <w:r>
        <w:t>, ff. 1, 5.</w:t>
      </w:r>
    </w:p>
    <w:p w:rsidR="00E27756" w:rsidRDefault="00E27756" w:rsidP="00E27756">
      <w:pPr>
        <w:pStyle w:val="SangriaFrancesaArticulo"/>
      </w:pPr>
      <w:r w:rsidRPr="00E27756">
        <w:rPr>
          <w:rStyle w:val="TextoNormalNegritaCaracter"/>
        </w:rPr>
        <w:t>Artículo 147.</w:t>
      </w:r>
      <w:r w:rsidRPr="00E27756">
        <w:rPr>
          <w:rStyle w:val="TextoNormalCaracter"/>
        </w:rPr>
        <w:t>-</w:t>
      </w:r>
      <w:r>
        <w:t xml:space="preserve"> Sentencia </w:t>
      </w:r>
      <w:hyperlink w:anchor="SENTENCIA_2013_83" w:history="1">
        <w:r w:rsidRPr="00E27756">
          <w:rPr>
            <w:rStyle w:val="TextoNormalCaracter"/>
          </w:rPr>
          <w:t>83/2013</w:t>
        </w:r>
      </w:hyperlink>
      <w:r>
        <w:t>, ff. 1, 5.</w:t>
      </w:r>
    </w:p>
    <w:p w:rsidR="00E27756" w:rsidRDefault="00E27756" w:rsidP="00E27756">
      <w:pPr>
        <w:pStyle w:val="SangriaFrancesaArticulo"/>
      </w:pPr>
      <w:r w:rsidRPr="00E27756">
        <w:rPr>
          <w:rStyle w:val="TextoNormalNegritaCaracter"/>
        </w:rPr>
        <w:t>Artículo 148.</w:t>
      </w:r>
      <w:r w:rsidRPr="00E27756">
        <w:rPr>
          <w:rStyle w:val="TextoNormalCaracter"/>
        </w:rPr>
        <w:t>-</w:t>
      </w:r>
      <w:r>
        <w:t xml:space="preserve"> Sentencia </w:t>
      </w:r>
      <w:hyperlink w:anchor="SENTENCIA_2013_83" w:history="1">
        <w:r w:rsidRPr="00E27756">
          <w:rPr>
            <w:rStyle w:val="TextoNormalCaracter"/>
          </w:rPr>
          <w:t>83/2013</w:t>
        </w:r>
      </w:hyperlink>
      <w:r>
        <w:t>, ff. 1, 5.</w:t>
      </w:r>
    </w:p>
    <w:p w:rsidR="00E27756" w:rsidRDefault="00E27756" w:rsidP="00E27756">
      <w:pPr>
        <w:pStyle w:val="SangriaFrancesaArticulo"/>
      </w:pPr>
      <w:r w:rsidRPr="00E27756">
        <w:rPr>
          <w:rStyle w:val="TextoNormalNegritaCaracter"/>
        </w:rPr>
        <w:t>Artículo 152.</w:t>
      </w:r>
      <w:r w:rsidRPr="00E27756">
        <w:rPr>
          <w:rStyle w:val="TextoNormalCaracter"/>
        </w:rPr>
        <w:t>-</w:t>
      </w:r>
      <w:r>
        <w:t xml:space="preserve"> Sentencia </w:t>
      </w:r>
      <w:hyperlink w:anchor="SENTENCIA_2013_83" w:history="1">
        <w:r w:rsidRPr="00E27756">
          <w:rPr>
            <w:rStyle w:val="TextoNormalCaracter"/>
          </w:rPr>
          <w:t>83/2013</w:t>
        </w:r>
      </w:hyperlink>
      <w:r>
        <w:t>, ff. 1, 5.</w:t>
      </w:r>
    </w:p>
    <w:p w:rsidR="00E27756" w:rsidRDefault="00E27756" w:rsidP="00E27756">
      <w:pPr>
        <w:pStyle w:val="SangriaFrancesaArticulo"/>
      </w:pPr>
      <w:r w:rsidRPr="00E27756">
        <w:rPr>
          <w:rStyle w:val="TextoNormalNegritaCaracter"/>
        </w:rPr>
        <w:t>Artículo 153.</w:t>
      </w:r>
      <w:r w:rsidRPr="00E27756">
        <w:rPr>
          <w:rStyle w:val="TextoNormalCaracter"/>
        </w:rPr>
        <w:t>-</w:t>
      </w:r>
      <w:r>
        <w:t xml:space="preserve"> Sentencia </w:t>
      </w:r>
      <w:hyperlink w:anchor="SENTENCIA_2013_83" w:history="1">
        <w:r w:rsidRPr="00E27756">
          <w:rPr>
            <w:rStyle w:val="TextoNormalCaracter"/>
          </w:rPr>
          <w:t>83/2013</w:t>
        </w:r>
      </w:hyperlink>
      <w:r>
        <w:t>, ff. 1, 5.</w:t>
      </w:r>
    </w:p>
    <w:p w:rsidR="00E27756" w:rsidRDefault="00E27756" w:rsidP="00E27756">
      <w:pPr>
        <w:pStyle w:val="SangriaFrancesaArticulo"/>
      </w:pPr>
      <w:r w:rsidRPr="00E27756">
        <w:rPr>
          <w:rStyle w:val="TextoNormalNegritaCaracter"/>
        </w:rPr>
        <w:t>Artículo 154.</w:t>
      </w:r>
      <w:r w:rsidRPr="00E27756">
        <w:rPr>
          <w:rStyle w:val="TextoNormalCaracter"/>
        </w:rPr>
        <w:t>-</w:t>
      </w:r>
      <w:r>
        <w:t xml:space="preserve"> Sentencia </w:t>
      </w:r>
      <w:hyperlink w:anchor="SENTENCIA_2013_83" w:history="1">
        <w:r w:rsidRPr="00E27756">
          <w:rPr>
            <w:rStyle w:val="TextoNormalCaracter"/>
          </w:rPr>
          <w:t>83/2013</w:t>
        </w:r>
      </w:hyperlink>
      <w:r>
        <w:t>, ff. 1, 5.</w:t>
      </w:r>
    </w:p>
    <w:p w:rsidR="00E27756" w:rsidRDefault="00E27756" w:rsidP="00E27756">
      <w:pPr>
        <w:pStyle w:val="SangriaFrancesaArticulo"/>
      </w:pPr>
      <w:r w:rsidRPr="00E27756">
        <w:rPr>
          <w:rStyle w:val="TextoNormalNegritaCaracter"/>
        </w:rPr>
        <w:t>Artículo 157.</w:t>
      </w:r>
      <w:r w:rsidRPr="00E27756">
        <w:rPr>
          <w:rStyle w:val="TextoNormalCaracter"/>
        </w:rPr>
        <w:t>-</w:t>
      </w:r>
      <w:r>
        <w:t xml:space="preserve"> Sentencia </w:t>
      </w:r>
      <w:hyperlink w:anchor="SENTENCIA_2013_83" w:history="1">
        <w:r w:rsidRPr="00E27756">
          <w:rPr>
            <w:rStyle w:val="TextoNormalCaracter"/>
          </w:rPr>
          <w:t>83/2013</w:t>
        </w:r>
      </w:hyperlink>
      <w:r>
        <w:t>, ff. 1, 5.</w:t>
      </w:r>
    </w:p>
    <w:p w:rsidR="00E27756" w:rsidRDefault="00E27756" w:rsidP="00E27756">
      <w:pPr>
        <w:pStyle w:val="SangriaFrancesaArticulo"/>
      </w:pPr>
      <w:r w:rsidRPr="00E27756">
        <w:rPr>
          <w:rStyle w:val="TextoNormalNegritaCaracter"/>
        </w:rPr>
        <w:t>Artículo 160.</w:t>
      </w:r>
      <w:r w:rsidRPr="00E27756">
        <w:rPr>
          <w:rStyle w:val="TextoNormalCaracter"/>
        </w:rPr>
        <w:t>-</w:t>
      </w:r>
      <w:r>
        <w:t xml:space="preserve"> Sentencia </w:t>
      </w:r>
      <w:hyperlink w:anchor="SENTENCIA_2013_83" w:history="1">
        <w:r w:rsidRPr="00E27756">
          <w:rPr>
            <w:rStyle w:val="TextoNormalCaracter"/>
          </w:rPr>
          <w:t>83/2013</w:t>
        </w:r>
      </w:hyperlink>
      <w:r>
        <w:t>, ff. 1, 5.</w:t>
      </w:r>
    </w:p>
    <w:p w:rsidR="00E27756" w:rsidRDefault="00E27756" w:rsidP="00E27756">
      <w:pPr>
        <w:pStyle w:val="SangriaFrancesaArticulo"/>
      </w:pPr>
      <w:r w:rsidRPr="00E27756">
        <w:rPr>
          <w:rStyle w:val="TextoNormalNegritaCaracter"/>
        </w:rPr>
        <w:t>Disposición transitoria cuarta.</w:t>
      </w:r>
      <w:r w:rsidRPr="00E27756">
        <w:rPr>
          <w:rStyle w:val="TextoNormalCaracter"/>
        </w:rPr>
        <w:t>-</w:t>
      </w:r>
      <w:r>
        <w:t xml:space="preserve"> Sentencia </w:t>
      </w:r>
      <w:hyperlink w:anchor="SENTENCIA_2013_83" w:history="1">
        <w:r w:rsidRPr="00E27756">
          <w:rPr>
            <w:rStyle w:val="TextoNormalCaracter"/>
          </w:rPr>
          <w:t>83/2013</w:t>
        </w:r>
      </w:hyperlink>
      <w:r>
        <w:t>, ff. 1, 6.</w:t>
      </w:r>
    </w:p>
    <w:p w:rsidR="00E27756" w:rsidRDefault="00E27756" w:rsidP="00E27756">
      <w:pPr>
        <w:pStyle w:val="SangriaFrancesaArticulo"/>
      </w:pPr>
    </w:p>
    <w:p w:rsidR="00E27756" w:rsidRDefault="00E27756" w:rsidP="00E27756">
      <w:pPr>
        <w:pStyle w:val="TextoNormalNegritaCursivandice"/>
      </w:pPr>
      <w:r>
        <w:lastRenderedPageBreak/>
        <w:t>Real Decreto 2395/2004, de 30 de diciembre. Estatuto de la entidad pública empresarial Administrador de infraestructuras ferroviarias</w:t>
      </w:r>
    </w:p>
    <w:p w:rsidR="00E27756" w:rsidRDefault="00E27756" w:rsidP="00E27756">
      <w:pPr>
        <w:pStyle w:val="SangriaFrancesaArticulo"/>
      </w:pPr>
      <w:r w:rsidRPr="00E27756">
        <w:rPr>
          <w:rStyle w:val="TextoNormalNegritaCaracter"/>
        </w:rPr>
        <w:t>Artículo 3 g).</w:t>
      </w:r>
      <w:r w:rsidRPr="00E27756">
        <w:rPr>
          <w:rStyle w:val="TextoNormalCaracter"/>
        </w:rPr>
        <w:t>-</w:t>
      </w:r>
      <w:r>
        <w:t xml:space="preserve"> Sentencia </w:t>
      </w:r>
      <w:hyperlink w:anchor="SENTENCIA_2013_83" w:history="1">
        <w:r w:rsidRPr="00E27756">
          <w:rPr>
            <w:rStyle w:val="TextoNormalCaracter"/>
          </w:rPr>
          <w:t>83/2013</w:t>
        </w:r>
      </w:hyperlink>
      <w:r>
        <w:t>, ff. 1, 7.</w:t>
      </w:r>
    </w:p>
    <w:p w:rsidR="00E27756" w:rsidRDefault="00E27756" w:rsidP="00E27756">
      <w:pPr>
        <w:pStyle w:val="SangriaFrancesaArticulo"/>
      </w:pPr>
      <w:r w:rsidRPr="00E27756">
        <w:rPr>
          <w:rStyle w:val="TextoNormalNegritaCaracter"/>
        </w:rPr>
        <w:t>Disposición adicional cuarta.</w:t>
      </w:r>
      <w:r w:rsidRPr="00E27756">
        <w:rPr>
          <w:rStyle w:val="TextoNormalCaracter"/>
        </w:rPr>
        <w:t>-</w:t>
      </w:r>
      <w:r>
        <w:t xml:space="preserve"> Sentencia </w:t>
      </w:r>
      <w:hyperlink w:anchor="SENTENCIA_2013_83" w:history="1">
        <w:r w:rsidRPr="00E27756">
          <w:rPr>
            <w:rStyle w:val="TextoNormalCaracter"/>
          </w:rPr>
          <w:t>83/2013</w:t>
        </w:r>
      </w:hyperlink>
      <w:r>
        <w:t>, ff. 1, 7.</w:t>
      </w:r>
    </w:p>
    <w:p w:rsidR="00E27756" w:rsidRDefault="00E27756" w:rsidP="00E27756">
      <w:pPr>
        <w:pStyle w:val="SangriaFrancesaArticulo"/>
      </w:pPr>
    </w:p>
    <w:p w:rsidR="00E27756" w:rsidRDefault="00E27756" w:rsidP="00E27756">
      <w:pPr>
        <w:pStyle w:val="TextoNormalNegritaCursivandice"/>
      </w:pPr>
      <w:r>
        <w:t>Real Decreto 2396/2004, de 30 de diciembre. Estatuto de la entidad pública empresarial Renfe-operadora</w:t>
      </w:r>
    </w:p>
    <w:p w:rsidR="00E27756" w:rsidRDefault="00E27756" w:rsidP="00E27756">
      <w:pPr>
        <w:pStyle w:val="SangriaFrancesaArticulo"/>
      </w:pPr>
      <w:r w:rsidRPr="00E27756">
        <w:rPr>
          <w:rStyle w:val="TextoNormalNegritaCaracter"/>
        </w:rPr>
        <w:t>Disposición transitoria segunda.</w:t>
      </w:r>
      <w:r w:rsidRPr="00E27756">
        <w:rPr>
          <w:rStyle w:val="TextoNormalCaracter"/>
        </w:rPr>
        <w:t>-</w:t>
      </w:r>
      <w:r>
        <w:t xml:space="preserve"> Sentencia </w:t>
      </w:r>
      <w:hyperlink w:anchor="SENTENCIA_2013_83" w:history="1">
        <w:r w:rsidRPr="00E27756">
          <w:rPr>
            <w:rStyle w:val="TextoNormalCaracter"/>
          </w:rPr>
          <w:t>83/2013</w:t>
        </w:r>
      </w:hyperlink>
      <w:r>
        <w:t>, f. 1.</w:t>
      </w:r>
    </w:p>
    <w:p w:rsidR="00E27756" w:rsidRDefault="00E27756" w:rsidP="00E27756">
      <w:pPr>
        <w:pStyle w:val="SangriaFrancesaArticulo"/>
      </w:pPr>
    </w:p>
    <w:p w:rsidR="00E27756" w:rsidRDefault="00E27756" w:rsidP="00E27756">
      <w:pPr>
        <w:pStyle w:val="TextoNormalNegritaCursivandice"/>
      </w:pPr>
      <w:r>
        <w:t>Real Decreto 9/2005, de 14 de enero. Establece la relación de actividades potencialmente contaminantes del suelo y los criterios y estándares para la declaración de suelos contaminados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04" w:history="1">
        <w:r w:rsidRPr="00E27756">
          <w:rPr>
            <w:rStyle w:val="TextoNormalCaracter"/>
          </w:rPr>
          <w:t>104/2013</w:t>
        </w:r>
      </w:hyperlink>
      <w:r>
        <w:t xml:space="preserve">, f. 2; </w:t>
      </w:r>
      <w:hyperlink w:anchor="SENTENCIA_2013_111" w:history="1">
        <w:r w:rsidRPr="00E27756">
          <w:rPr>
            <w:rStyle w:val="TextoNormalCaracter"/>
          </w:rPr>
          <w:t>111/2013</w:t>
        </w:r>
      </w:hyperlink>
      <w:r>
        <w:t>, f. 2.</w:t>
      </w:r>
    </w:p>
    <w:p w:rsidR="00E27756" w:rsidRDefault="00E27756" w:rsidP="00E27756">
      <w:pPr>
        <w:pStyle w:val="SangriaFrancesaArticulo"/>
      </w:pPr>
      <w:r w:rsidRPr="00E27756">
        <w:rPr>
          <w:rStyle w:val="TextoNormalNegritaCaracter"/>
        </w:rPr>
        <w:t>Artículo 3 apartado 1.</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r w:rsidRPr="00E27756">
        <w:rPr>
          <w:rStyle w:val="TextoNormalNegritaCaracter"/>
        </w:rPr>
        <w:t>Artículo 3 apartado 2.</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r w:rsidRPr="00E27756">
        <w:rPr>
          <w:rStyle w:val="TextoNormalNegritaCaracter"/>
        </w:rPr>
        <w:t>Artículo 3 apartado 3.</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r w:rsidRPr="00E27756">
        <w:rPr>
          <w:rStyle w:val="TextoNormalNegritaCaracter"/>
        </w:rPr>
        <w:t>Artículo 3 apartados 1 a 3.</w:t>
      </w:r>
      <w:r w:rsidRPr="00E27756">
        <w:rPr>
          <w:rStyle w:val="TextoNormalCaracter"/>
        </w:rPr>
        <w:t>-</w:t>
      </w:r>
      <w:r>
        <w:t xml:space="preserve"> Sentencia </w:t>
      </w:r>
      <w:hyperlink w:anchor="SENTENCIA_2013_104" w:history="1">
        <w:r w:rsidRPr="00E27756">
          <w:rPr>
            <w:rStyle w:val="TextoNormalCaracter"/>
          </w:rPr>
          <w:t>104/2013</w:t>
        </w:r>
      </w:hyperlink>
      <w:r>
        <w:t>, f. 2.</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 </w:t>
      </w:r>
      <w:hyperlink w:anchor="SENTENCIA_2013_111" w:history="1">
        <w:r w:rsidRPr="00E27756">
          <w:rPr>
            <w:rStyle w:val="TextoNormalCaracter"/>
          </w:rPr>
          <w:t>111/2013</w:t>
        </w:r>
      </w:hyperlink>
      <w:r>
        <w:t>, f. 2.</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111" w:history="1">
        <w:r w:rsidRPr="00E27756">
          <w:rPr>
            <w:rStyle w:val="TextoNormalCaracter"/>
          </w:rPr>
          <w:t>111/2013</w:t>
        </w:r>
      </w:hyperlink>
      <w:r>
        <w:t>, f. 2.</w:t>
      </w:r>
    </w:p>
    <w:p w:rsidR="00E27756" w:rsidRDefault="00E27756" w:rsidP="00E27756">
      <w:pPr>
        <w:pStyle w:val="SangriaFrancesaArticulo"/>
      </w:pPr>
      <w:r w:rsidRPr="00E27756">
        <w:rPr>
          <w:rStyle w:val="TextoNormalNegritaCaracter"/>
        </w:rPr>
        <w:t>Artículo 3.3.</w:t>
      </w:r>
      <w:r w:rsidRPr="00E27756">
        <w:rPr>
          <w:rStyle w:val="TextoNormalCaracter"/>
        </w:rPr>
        <w:t>-</w:t>
      </w:r>
      <w:r>
        <w:t xml:space="preserve"> Sentencia </w:t>
      </w:r>
      <w:hyperlink w:anchor="SENTENCIA_2013_111" w:history="1">
        <w:r w:rsidRPr="00E27756">
          <w:rPr>
            <w:rStyle w:val="TextoNormalCaracter"/>
          </w:rPr>
          <w:t>111/2013</w:t>
        </w:r>
      </w:hyperlink>
      <w:r>
        <w:t>, f. 2.</w:t>
      </w:r>
    </w:p>
    <w:p w:rsidR="00E27756" w:rsidRDefault="00E27756" w:rsidP="00E27756">
      <w:pPr>
        <w:pStyle w:val="SangriaFrancesaArticulo"/>
      </w:pPr>
    </w:p>
    <w:p w:rsidR="00E27756" w:rsidRDefault="00E27756" w:rsidP="00E27756">
      <w:pPr>
        <w:pStyle w:val="TextoNormalNegritaCursivandice"/>
      </w:pPr>
      <w:r>
        <w:t>Orden TAS/2094/2005, de 17 de junio. Modifica la Orden TAS/2783/2004, de 30 de julio, por la que se establecen las bases reguladoras para la concesión de subvenciones públicas mediante contratos programa para la formación de los trabajadores, en desarrollo del Real Decreto 1046/2003, de 1 de agosto, por el que se regula el subsistema de formación profesional continua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37" w:history="1">
        <w:r w:rsidRPr="00E27756">
          <w:rPr>
            <w:rStyle w:val="TextoNormalCaracter"/>
          </w:rPr>
          <w:t>37/2013</w:t>
        </w:r>
      </w:hyperlink>
      <w:r>
        <w:t xml:space="preserve">, f. 3; </w:t>
      </w:r>
      <w:hyperlink w:anchor="SENTENCIA_2013_65" w:history="1">
        <w:r w:rsidRPr="00E27756">
          <w:rPr>
            <w:rStyle w:val="TextoNormalCaracter"/>
          </w:rPr>
          <w:t>65/2013</w:t>
        </w:r>
      </w:hyperlink>
      <w:r>
        <w:t>, f. 2.</w:t>
      </w:r>
    </w:p>
    <w:p w:rsidR="00E27756" w:rsidRDefault="00E27756" w:rsidP="00E27756">
      <w:pPr>
        <w:pStyle w:val="SangriaFrancesaArticulo"/>
      </w:pPr>
      <w:r w:rsidRPr="00E27756">
        <w:rPr>
          <w:rStyle w:val="TextoNormalNegritaCaracter"/>
        </w:rPr>
        <w:t>Apartado 8.</w:t>
      </w:r>
      <w:r w:rsidRPr="00E27756">
        <w:rPr>
          <w:rStyle w:val="TextoNormalCaracter"/>
        </w:rPr>
        <w:t>-</w:t>
      </w:r>
      <w:r>
        <w:t xml:space="preserve"> Sentencia </w:t>
      </w:r>
      <w:hyperlink w:anchor="SENTENCIA_2013_65" w:history="1">
        <w:r w:rsidRPr="00E27756">
          <w:rPr>
            <w:rStyle w:val="TextoNormalCaracter"/>
          </w:rPr>
          <w:t>65/2013</w:t>
        </w:r>
      </w:hyperlink>
      <w:r>
        <w:t>, f. 2.</w:t>
      </w:r>
    </w:p>
    <w:p w:rsidR="00E27756" w:rsidRDefault="00E27756" w:rsidP="00E27756">
      <w:pPr>
        <w:pStyle w:val="SangriaFrancesaArticulo"/>
      </w:pPr>
    </w:p>
    <w:p w:rsidR="00E27756" w:rsidRDefault="00E27756" w:rsidP="00E27756">
      <w:pPr>
        <w:pStyle w:val="TextoNormalNegritaCursivandice"/>
      </w:pPr>
      <w:r>
        <w:t>Orden TAS/2124/2005, de 17 de junio. Modifica la Orden TAS/2782/2004, de 30 de julio, por la que se establecen las bases reguladoras para la concesión de subvenciones públicas destinadas a la realización de las acciones complementarias y de acompañamiento a la formación, en desarrollo del Real Decreto 1046/2003, de 1 de agosto, por el que se regula el subsistema de formación profesional continua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5" w:history="1">
        <w:r w:rsidRPr="00E27756">
          <w:rPr>
            <w:rStyle w:val="TextoNormalCaracter"/>
          </w:rPr>
          <w:t>65/2013</w:t>
        </w:r>
      </w:hyperlink>
      <w:r>
        <w:t>, f. 2.</w:t>
      </w:r>
    </w:p>
    <w:p w:rsidR="00E27756" w:rsidRDefault="00E27756" w:rsidP="00E27756">
      <w:pPr>
        <w:pStyle w:val="SangriaFrancesaArticulo"/>
      </w:pPr>
    </w:p>
    <w:p w:rsidR="00E27756" w:rsidRDefault="00E27756" w:rsidP="00E27756">
      <w:pPr>
        <w:pStyle w:val="TextoNormalNegritaCursivandice"/>
      </w:pPr>
      <w:r>
        <w:t>Real Decreto 801/2005, de 1 de julio. Plan Estatal 2005-2008, para favorecer el acceso de los ciudadanos a la vivienda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12" w:history="1">
        <w:r w:rsidRPr="00E27756">
          <w:rPr>
            <w:rStyle w:val="TextoNormalCaracter"/>
          </w:rPr>
          <w:t>112/2013</w:t>
        </w:r>
      </w:hyperlink>
      <w:r>
        <w:t>, f. 4.</w:t>
      </w:r>
    </w:p>
    <w:p w:rsidR="00E27756" w:rsidRDefault="00E27756" w:rsidP="00E27756">
      <w:pPr>
        <w:pStyle w:val="SangriaFrancesaArticulo"/>
      </w:pPr>
      <w:r w:rsidRPr="00E27756">
        <w:rPr>
          <w:rStyle w:val="TextoNormalNegritaCaracter"/>
        </w:rPr>
        <w:t>Artículo 13.7.</w:t>
      </w:r>
      <w:r w:rsidRPr="00E27756">
        <w:rPr>
          <w:rStyle w:val="TextoNormalCaracter"/>
        </w:rPr>
        <w:t>-</w:t>
      </w:r>
      <w:r>
        <w:t xml:space="preserve"> Sentencia </w:t>
      </w:r>
      <w:hyperlink w:anchor="SENTENCIA_2013_112" w:history="1">
        <w:r w:rsidRPr="00E27756">
          <w:rPr>
            <w:rStyle w:val="TextoNormalCaracter"/>
          </w:rPr>
          <w:t>112/2013</w:t>
        </w:r>
      </w:hyperlink>
      <w:r>
        <w:t>, f. 4.</w:t>
      </w:r>
    </w:p>
    <w:p w:rsidR="00E27756" w:rsidRDefault="00E27756" w:rsidP="00E27756">
      <w:pPr>
        <w:pStyle w:val="SangriaFrancesaArticulo"/>
      </w:pPr>
      <w:r w:rsidRPr="00E27756">
        <w:rPr>
          <w:rStyle w:val="TextoNormalNegritaCaracter"/>
        </w:rPr>
        <w:t>Artículo 78.</w:t>
      </w:r>
      <w:r w:rsidRPr="00E27756">
        <w:rPr>
          <w:rStyle w:val="TextoNormalCaracter"/>
        </w:rPr>
        <w:t>-</w:t>
      </w:r>
      <w:r>
        <w:t xml:space="preserve"> Sentencia </w:t>
      </w:r>
      <w:hyperlink w:anchor="SENTENCIA_2013_112" w:history="1">
        <w:r w:rsidRPr="00E27756">
          <w:rPr>
            <w:rStyle w:val="TextoNormalCaracter"/>
          </w:rPr>
          <w:t>112/2013</w:t>
        </w:r>
      </w:hyperlink>
      <w:r>
        <w:t>, f. 4.</w:t>
      </w:r>
    </w:p>
    <w:p w:rsidR="00E27756" w:rsidRDefault="00E27756" w:rsidP="00E27756">
      <w:pPr>
        <w:pStyle w:val="SangriaFrancesaArticulo"/>
      </w:pPr>
    </w:p>
    <w:p w:rsidR="00E27756" w:rsidRDefault="00E27756" w:rsidP="00E27756">
      <w:pPr>
        <w:pStyle w:val="TextoNormalNegritaCursivandice"/>
      </w:pPr>
      <w:r>
        <w:t>Resolución de la Dirección General de Trabajo, de 14 de julio de 2005. IV Convenio colectivo de la empresa Gas Natural, S.D.G., S.A</w:t>
      </w:r>
    </w:p>
    <w:p w:rsidR="00E27756" w:rsidRDefault="00E27756" w:rsidP="00E27756">
      <w:pPr>
        <w:pStyle w:val="SangriaFrancesaArticulo"/>
      </w:pPr>
      <w:r w:rsidRPr="00E27756">
        <w:rPr>
          <w:rStyle w:val="TextoNormalNegritaCaracter"/>
        </w:rPr>
        <w:t>Artículo 24.</w:t>
      </w:r>
      <w:r w:rsidRPr="00E27756">
        <w:rPr>
          <w:rStyle w:val="TextoNormalCaracter"/>
        </w:rPr>
        <w:t>-</w:t>
      </w:r>
      <w:r>
        <w:t xml:space="preserve"> Sentencia </w:t>
      </w:r>
      <w:hyperlink w:anchor="SENTENCIA_2013_44" w:history="1">
        <w:r w:rsidRPr="00E27756">
          <w:rPr>
            <w:rStyle w:val="TextoNormalCaracter"/>
          </w:rPr>
          <w:t>44/2013</w:t>
        </w:r>
      </w:hyperlink>
      <w:r>
        <w:t>, f. 1.</w:t>
      </w:r>
    </w:p>
    <w:p w:rsidR="00E27756" w:rsidRDefault="00E27756" w:rsidP="00E27756">
      <w:pPr>
        <w:pStyle w:val="SangriaFrancesaArticulo"/>
      </w:pPr>
      <w:r w:rsidRPr="00E27756">
        <w:rPr>
          <w:rStyle w:val="TextoNormalNegritaCaracter"/>
        </w:rPr>
        <w:t>Artículo 25.</w:t>
      </w:r>
      <w:r w:rsidRPr="00E27756">
        <w:rPr>
          <w:rStyle w:val="TextoNormalCaracter"/>
        </w:rPr>
        <w:t>-</w:t>
      </w:r>
      <w:r>
        <w:t xml:space="preserve"> Sentencia </w:t>
      </w:r>
      <w:hyperlink w:anchor="SENTENCIA_2013_44" w:history="1">
        <w:r w:rsidRPr="00E27756">
          <w:rPr>
            <w:rStyle w:val="TextoNormalCaracter"/>
          </w:rPr>
          <w:t>44/2013</w:t>
        </w:r>
      </w:hyperlink>
      <w:r>
        <w:t>, f. 1.</w:t>
      </w:r>
    </w:p>
    <w:p w:rsidR="00E27756" w:rsidRDefault="00E27756" w:rsidP="00E27756">
      <w:pPr>
        <w:pStyle w:val="SangriaFrancesaArticulo"/>
      </w:pPr>
    </w:p>
    <w:p w:rsidR="00E27756" w:rsidRDefault="00E27756" w:rsidP="00E27756">
      <w:pPr>
        <w:pStyle w:val="TextoNormalNegritaCursivandice"/>
      </w:pPr>
      <w:r>
        <w:t>Orden TAS/2562/2005, de 28 de julio. Modifica la Orden TAS/2783/2004, de 30 de julio, por la que se establecen las bases reguladoras para la concesión de subvenciones públicas mediante contratos para la formación de los trabajadores, en desarrollo del Real Decreto 1046/2003, de 1 de agosto, por el que se regula el Subsistema de Formación Profesional continua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37" w:history="1">
        <w:r w:rsidRPr="00E27756">
          <w:rPr>
            <w:rStyle w:val="TextoNormalCaracter"/>
          </w:rPr>
          <w:t>37/2013</w:t>
        </w:r>
      </w:hyperlink>
      <w:r>
        <w:t xml:space="preserve">, ff. 1, 3; </w:t>
      </w:r>
      <w:hyperlink w:anchor="SENTENCIA_2013_65" w:history="1">
        <w:r w:rsidRPr="00E27756">
          <w:rPr>
            <w:rStyle w:val="TextoNormalCaracter"/>
          </w:rPr>
          <w:t>65/2013</w:t>
        </w:r>
      </w:hyperlink>
      <w:r>
        <w:t>, f. 2.</w:t>
      </w:r>
    </w:p>
    <w:p w:rsidR="00E27756" w:rsidRDefault="00E27756" w:rsidP="00E27756">
      <w:pPr>
        <w:pStyle w:val="SangriaFrancesaArticulo"/>
      </w:pPr>
      <w:r w:rsidRPr="00E27756">
        <w:rPr>
          <w:rStyle w:val="TextoNormalNegritaCaracter"/>
        </w:rPr>
        <w:t>Artículo único.</w:t>
      </w:r>
      <w:r w:rsidRPr="00E27756">
        <w:rPr>
          <w:rStyle w:val="TextoNormalCaracter"/>
        </w:rPr>
        <w:t>-</w:t>
      </w:r>
      <w:r>
        <w:t xml:space="preserve"> Sentencia </w:t>
      </w:r>
      <w:hyperlink w:anchor="SENTENCIA_2013_65" w:history="1">
        <w:r w:rsidRPr="00E27756">
          <w:rPr>
            <w:rStyle w:val="TextoNormalCaracter"/>
          </w:rPr>
          <w:t>65/2013</w:t>
        </w:r>
      </w:hyperlink>
      <w:r>
        <w:t>, f. 2.</w:t>
      </w:r>
    </w:p>
    <w:p w:rsidR="00E27756" w:rsidRDefault="00E27756" w:rsidP="00E27756">
      <w:pPr>
        <w:pStyle w:val="SangriaFrancesaArticulo"/>
      </w:pPr>
    </w:p>
    <w:p w:rsidR="00E27756" w:rsidRDefault="00E27756" w:rsidP="00E27756">
      <w:pPr>
        <w:pStyle w:val="TextoNormalNegritaCursivandice"/>
      </w:pPr>
      <w:r>
        <w:t>Real Decreto 950/2005, de 29 de julio. Retribuciones de las Fuerzas y Cuerpos de Seguridad del Estado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1" w:history="1">
        <w:r w:rsidRPr="00E27756">
          <w:rPr>
            <w:rStyle w:val="TextoNormalCaracter"/>
          </w:rPr>
          <w:t>11/2013</w:t>
        </w:r>
      </w:hyperlink>
      <w:r>
        <w:t>, f. 1.</w:t>
      </w:r>
    </w:p>
    <w:p w:rsidR="00E27756" w:rsidRDefault="00E27756" w:rsidP="00E27756">
      <w:pPr>
        <w:pStyle w:val="SangriaFrancesaArticulo"/>
      </w:pPr>
    </w:p>
    <w:p w:rsidR="00E27756" w:rsidRDefault="00E27756" w:rsidP="00E27756">
      <w:pPr>
        <w:pStyle w:val="TextoNormalNegritaCursivandice"/>
      </w:pPr>
      <w:r>
        <w:t>Resolución de 17 de octubre de 2005, de la Secretaría General para la Administración Pública. Ordena la publicación del IV Acuerdo de formación continua en las Administraciones públicas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7" w:history="1">
        <w:r w:rsidRPr="00E27756">
          <w:rPr>
            <w:rStyle w:val="TextoNormalCaracter"/>
          </w:rPr>
          <w:t>7/2013</w:t>
        </w:r>
      </w:hyperlink>
      <w:r>
        <w:t>, ff. 1 a 7.</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Sentencia </w:t>
      </w:r>
      <w:hyperlink w:anchor="SENTENCIA_2013_7" w:history="1">
        <w:r w:rsidRPr="00E27756">
          <w:rPr>
            <w:rStyle w:val="TextoNormalCaracter"/>
          </w:rPr>
          <w:t>7/2013</w:t>
        </w:r>
      </w:hyperlink>
      <w:r>
        <w:t>, f. 2.</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7" w:history="1">
        <w:r w:rsidRPr="00E27756">
          <w:rPr>
            <w:rStyle w:val="TextoNormalCaracter"/>
          </w:rPr>
          <w:t>7/2013</w:t>
        </w:r>
      </w:hyperlink>
      <w:r>
        <w:t>, ff. 1, 2.</w:t>
      </w:r>
    </w:p>
    <w:p w:rsidR="00E27756" w:rsidRDefault="00E27756" w:rsidP="00E27756">
      <w:pPr>
        <w:pStyle w:val="SangriaFrancesaArticulo"/>
      </w:pPr>
      <w:r w:rsidRPr="00E27756">
        <w:rPr>
          <w:rStyle w:val="TextoNormalNegritaCaracter"/>
        </w:rPr>
        <w:t>Artículo 8.4.</w:t>
      </w:r>
      <w:r w:rsidRPr="00E27756">
        <w:rPr>
          <w:rStyle w:val="TextoNormalCaracter"/>
        </w:rPr>
        <w:t>-</w:t>
      </w:r>
      <w:r>
        <w:t xml:space="preserve"> Sentencia </w:t>
      </w:r>
      <w:hyperlink w:anchor="SENTENCIA_2013_7" w:history="1">
        <w:r w:rsidRPr="00E27756">
          <w:rPr>
            <w:rStyle w:val="TextoNormalCaracter"/>
          </w:rPr>
          <w:t>7/2013</w:t>
        </w:r>
      </w:hyperlink>
      <w:r>
        <w:t>, f. 4.</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7" w:history="1">
        <w:r w:rsidRPr="00E27756">
          <w:rPr>
            <w:rStyle w:val="TextoNormalCaracter"/>
          </w:rPr>
          <w:t>7/2013</w:t>
        </w:r>
      </w:hyperlink>
      <w:r>
        <w:t>, ff. 1, 2.</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 </w:t>
      </w:r>
      <w:hyperlink w:anchor="SENTENCIA_2013_7" w:history="1">
        <w:r w:rsidRPr="00E27756">
          <w:rPr>
            <w:rStyle w:val="TextoNormalCaracter"/>
          </w:rPr>
          <w:t>7/2013</w:t>
        </w:r>
      </w:hyperlink>
      <w:r>
        <w:t>, ff. 1, 2.</w:t>
      </w:r>
    </w:p>
    <w:p w:rsidR="00E27756" w:rsidRDefault="00E27756" w:rsidP="00E27756">
      <w:pPr>
        <w:pStyle w:val="SangriaFrancesaArticulo"/>
      </w:pPr>
      <w:r w:rsidRPr="00E27756">
        <w:rPr>
          <w:rStyle w:val="TextoNormalNegritaCaracter"/>
        </w:rPr>
        <w:t>Artículo 10 in fine.</w:t>
      </w:r>
      <w:r w:rsidRPr="00E27756">
        <w:rPr>
          <w:rStyle w:val="TextoNormalCaracter"/>
        </w:rPr>
        <w:t>-</w:t>
      </w:r>
      <w:r>
        <w:t xml:space="preserve"> Sentencia </w:t>
      </w:r>
      <w:hyperlink w:anchor="SENTENCIA_2013_7" w:history="1">
        <w:r w:rsidRPr="00E27756">
          <w:rPr>
            <w:rStyle w:val="TextoNormalCaracter"/>
          </w:rPr>
          <w:t>7/2013</w:t>
        </w:r>
      </w:hyperlink>
      <w:r>
        <w:t>, f. 4.</w:t>
      </w:r>
    </w:p>
    <w:p w:rsidR="00E27756" w:rsidRDefault="00E27756" w:rsidP="00E27756">
      <w:pPr>
        <w:pStyle w:val="SangriaFrancesaArticulo"/>
      </w:pPr>
      <w:r w:rsidRPr="00E27756">
        <w:rPr>
          <w:rStyle w:val="TextoNormalNegritaCaracter"/>
        </w:rPr>
        <w:t>Artículo 14.1 a) párrafos 2, 3.</w:t>
      </w:r>
      <w:r w:rsidRPr="00E27756">
        <w:rPr>
          <w:rStyle w:val="TextoNormalCaracter"/>
        </w:rPr>
        <w:t>-</w:t>
      </w:r>
      <w:r>
        <w:t xml:space="preserve"> Sentencia </w:t>
      </w:r>
      <w:hyperlink w:anchor="SENTENCIA_2013_7" w:history="1">
        <w:r w:rsidRPr="00E27756">
          <w:rPr>
            <w:rStyle w:val="TextoNormalCaracter"/>
          </w:rPr>
          <w:t>7/2013</w:t>
        </w:r>
      </w:hyperlink>
      <w:r>
        <w:t>, f. 4.</w:t>
      </w:r>
    </w:p>
    <w:p w:rsidR="00E27756" w:rsidRDefault="00E27756" w:rsidP="00E27756">
      <w:pPr>
        <w:pStyle w:val="SangriaFrancesaArticulo"/>
      </w:pPr>
      <w:r w:rsidRPr="00E27756">
        <w:rPr>
          <w:rStyle w:val="TextoNormalNegritaCaracter"/>
        </w:rPr>
        <w:t>Artículo 14.1 b).</w:t>
      </w:r>
      <w:r w:rsidRPr="00E27756">
        <w:rPr>
          <w:rStyle w:val="TextoNormalCaracter"/>
        </w:rPr>
        <w:t>-</w:t>
      </w:r>
      <w:r>
        <w:t xml:space="preserve"> Sentencia </w:t>
      </w:r>
      <w:hyperlink w:anchor="SENTENCIA_2013_7" w:history="1">
        <w:r w:rsidRPr="00E27756">
          <w:rPr>
            <w:rStyle w:val="TextoNormalCaracter"/>
          </w:rPr>
          <w:t>7/2013</w:t>
        </w:r>
      </w:hyperlink>
      <w:r>
        <w:t>, f. 4.</w:t>
      </w:r>
    </w:p>
    <w:p w:rsidR="00E27756" w:rsidRDefault="00E27756" w:rsidP="00E27756">
      <w:pPr>
        <w:pStyle w:val="SangriaFrancesaArticulo"/>
      </w:pPr>
      <w:r w:rsidRPr="00E27756">
        <w:rPr>
          <w:rStyle w:val="TextoNormalNegritaCaracter"/>
        </w:rPr>
        <w:t>Artículo 14.3.</w:t>
      </w:r>
      <w:r w:rsidRPr="00E27756">
        <w:rPr>
          <w:rStyle w:val="TextoNormalCaracter"/>
        </w:rPr>
        <w:t>-</w:t>
      </w:r>
      <w:r>
        <w:t xml:space="preserve"> Sentencia </w:t>
      </w:r>
      <w:hyperlink w:anchor="SENTENCIA_2013_7" w:history="1">
        <w:r w:rsidRPr="00E27756">
          <w:rPr>
            <w:rStyle w:val="TextoNormalCaracter"/>
          </w:rPr>
          <w:t>7/2013</w:t>
        </w:r>
      </w:hyperlink>
      <w:r>
        <w:t>, f. 4.</w:t>
      </w:r>
    </w:p>
    <w:p w:rsidR="00E27756" w:rsidRDefault="00E27756" w:rsidP="00E27756">
      <w:pPr>
        <w:pStyle w:val="SangriaFrancesaArticulo"/>
      </w:pPr>
      <w:r w:rsidRPr="00E27756">
        <w:rPr>
          <w:rStyle w:val="TextoNormalNegritaCaracter"/>
        </w:rPr>
        <w:t>Artículo 14.4.</w:t>
      </w:r>
      <w:r w:rsidRPr="00E27756">
        <w:rPr>
          <w:rStyle w:val="TextoNormalCaracter"/>
        </w:rPr>
        <w:t>-</w:t>
      </w:r>
      <w:r>
        <w:t xml:space="preserve"> Sentencia </w:t>
      </w:r>
      <w:hyperlink w:anchor="SENTENCIA_2013_7" w:history="1">
        <w:r w:rsidRPr="00E27756">
          <w:rPr>
            <w:rStyle w:val="TextoNormalCaracter"/>
          </w:rPr>
          <w:t>7/2013</w:t>
        </w:r>
      </w:hyperlink>
      <w:r>
        <w:t>, f. 4.</w:t>
      </w:r>
    </w:p>
    <w:p w:rsidR="00E27756" w:rsidRDefault="00E27756" w:rsidP="00E27756">
      <w:pPr>
        <w:pStyle w:val="SangriaFrancesaArticulo"/>
      </w:pPr>
      <w:r w:rsidRPr="00E27756">
        <w:rPr>
          <w:rStyle w:val="TextoNormalNegritaCaracter"/>
        </w:rPr>
        <w:t>Artículo 14.4 párrafo 1.</w:t>
      </w:r>
      <w:r w:rsidRPr="00E27756">
        <w:rPr>
          <w:rStyle w:val="TextoNormalCaracter"/>
        </w:rPr>
        <w:t>-</w:t>
      </w:r>
      <w:r>
        <w:t xml:space="preserve"> Sentencia </w:t>
      </w:r>
      <w:hyperlink w:anchor="SENTENCIA_2013_7" w:history="1">
        <w:r w:rsidRPr="00E27756">
          <w:rPr>
            <w:rStyle w:val="TextoNormalCaracter"/>
          </w:rPr>
          <w:t>7/2013</w:t>
        </w:r>
      </w:hyperlink>
      <w:r>
        <w:t>, f. 4.</w:t>
      </w:r>
    </w:p>
    <w:p w:rsidR="00E27756" w:rsidRDefault="00E27756" w:rsidP="00E27756">
      <w:pPr>
        <w:pStyle w:val="SangriaFrancesaArticulo"/>
      </w:pPr>
      <w:r w:rsidRPr="00E27756">
        <w:rPr>
          <w:rStyle w:val="TextoNormalNegritaCaracter"/>
        </w:rPr>
        <w:t>Artículo 16.</w:t>
      </w:r>
      <w:r w:rsidRPr="00E27756">
        <w:rPr>
          <w:rStyle w:val="TextoNormalCaracter"/>
        </w:rPr>
        <w:t>-</w:t>
      </w:r>
      <w:r>
        <w:t xml:space="preserve"> Sentencia </w:t>
      </w:r>
      <w:hyperlink w:anchor="SENTENCIA_2013_7" w:history="1">
        <w:r w:rsidRPr="00E27756">
          <w:rPr>
            <w:rStyle w:val="TextoNormalCaracter"/>
          </w:rPr>
          <w:t>7/2013</w:t>
        </w:r>
      </w:hyperlink>
      <w:r>
        <w:t>, f. 5.</w:t>
      </w:r>
    </w:p>
    <w:p w:rsidR="00E27756" w:rsidRDefault="00E27756" w:rsidP="00E27756">
      <w:pPr>
        <w:pStyle w:val="SangriaFrancesaArticulo"/>
      </w:pPr>
      <w:r w:rsidRPr="00E27756">
        <w:rPr>
          <w:rStyle w:val="TextoNormalNegritaCaracter"/>
        </w:rPr>
        <w:t>Artículo 16 b) apartados 4 a 7, 9, 17.</w:t>
      </w:r>
      <w:r w:rsidRPr="00E27756">
        <w:rPr>
          <w:rStyle w:val="TextoNormalCaracter"/>
        </w:rPr>
        <w:t>-</w:t>
      </w:r>
      <w:r>
        <w:t xml:space="preserve"> Sentencia </w:t>
      </w:r>
      <w:hyperlink w:anchor="SENTENCIA_2013_7" w:history="1">
        <w:r w:rsidRPr="00E27756">
          <w:rPr>
            <w:rStyle w:val="TextoNormalCaracter"/>
          </w:rPr>
          <w:t>7/2013</w:t>
        </w:r>
      </w:hyperlink>
      <w:r>
        <w:t>, ff. 1, 4, 5.</w:t>
      </w:r>
    </w:p>
    <w:p w:rsidR="00E27756" w:rsidRDefault="00E27756" w:rsidP="00E27756">
      <w:pPr>
        <w:pStyle w:val="SangriaFrancesaArticulo"/>
      </w:pPr>
      <w:r w:rsidRPr="00E27756">
        <w:rPr>
          <w:rStyle w:val="TextoNormalNegritaCaracter"/>
        </w:rPr>
        <w:t>Artículo 17 b).</w:t>
      </w:r>
      <w:r w:rsidRPr="00E27756">
        <w:rPr>
          <w:rStyle w:val="TextoNormalCaracter"/>
        </w:rPr>
        <w:t>-</w:t>
      </w:r>
      <w:r>
        <w:t xml:space="preserve"> Sentencia </w:t>
      </w:r>
      <w:hyperlink w:anchor="SENTENCIA_2013_7" w:history="1">
        <w:r w:rsidRPr="00E27756">
          <w:rPr>
            <w:rStyle w:val="TextoNormalCaracter"/>
          </w:rPr>
          <w:t>7/2013</w:t>
        </w:r>
      </w:hyperlink>
      <w:r>
        <w:t>, f. 5.</w:t>
      </w:r>
    </w:p>
    <w:p w:rsidR="00E27756" w:rsidRDefault="00E27756" w:rsidP="00E27756">
      <w:pPr>
        <w:pStyle w:val="SangriaFrancesaArticulo"/>
      </w:pPr>
      <w:r w:rsidRPr="00E27756">
        <w:rPr>
          <w:rStyle w:val="TextoNormalNegritaCaracter"/>
        </w:rPr>
        <w:t>Artículo 18 b), c), d), e).</w:t>
      </w:r>
      <w:r w:rsidRPr="00E27756">
        <w:rPr>
          <w:rStyle w:val="TextoNormalCaracter"/>
        </w:rPr>
        <w:t>-</w:t>
      </w:r>
      <w:r>
        <w:t xml:space="preserve"> Sentencia </w:t>
      </w:r>
      <w:hyperlink w:anchor="SENTENCIA_2013_7" w:history="1">
        <w:r w:rsidRPr="00E27756">
          <w:rPr>
            <w:rStyle w:val="TextoNormalCaracter"/>
          </w:rPr>
          <w:t>7/2013</w:t>
        </w:r>
      </w:hyperlink>
      <w:r>
        <w:t>, ff. 1, 4.</w:t>
      </w:r>
    </w:p>
    <w:p w:rsidR="00E27756" w:rsidRDefault="00E27756" w:rsidP="00E27756">
      <w:pPr>
        <w:pStyle w:val="SangriaFrancesaArticulo"/>
      </w:pPr>
      <w:r w:rsidRPr="00E27756">
        <w:rPr>
          <w:rStyle w:val="TextoNormalNegritaCaracter"/>
        </w:rPr>
        <w:t>Artículo 18.4.</w:t>
      </w:r>
      <w:r w:rsidRPr="00E27756">
        <w:rPr>
          <w:rStyle w:val="TextoNormalCaracter"/>
        </w:rPr>
        <w:t>-</w:t>
      </w:r>
      <w:r>
        <w:t xml:space="preserve"> Sentencia </w:t>
      </w:r>
      <w:hyperlink w:anchor="SENTENCIA_2013_7" w:history="1">
        <w:r w:rsidRPr="00E27756">
          <w:rPr>
            <w:rStyle w:val="TextoNormalCaracter"/>
          </w:rPr>
          <w:t>7/2013</w:t>
        </w:r>
      </w:hyperlink>
      <w:r>
        <w:t>, f. 4.</w:t>
      </w:r>
    </w:p>
    <w:p w:rsidR="00E27756" w:rsidRDefault="00E27756" w:rsidP="00E27756">
      <w:pPr>
        <w:pStyle w:val="SangriaFrancesaArticulo"/>
      </w:pPr>
      <w:r w:rsidRPr="00E27756">
        <w:rPr>
          <w:rStyle w:val="TextoNormalNegritaCaracter"/>
        </w:rPr>
        <w:t>Artículo 19.</w:t>
      </w:r>
      <w:r w:rsidRPr="00E27756">
        <w:rPr>
          <w:rStyle w:val="TextoNormalCaracter"/>
        </w:rPr>
        <w:t>-</w:t>
      </w:r>
      <w:r>
        <w:t xml:space="preserve"> Sentencia </w:t>
      </w:r>
      <w:hyperlink w:anchor="SENTENCIA_2013_7" w:history="1">
        <w:r w:rsidRPr="00E27756">
          <w:rPr>
            <w:rStyle w:val="TextoNormalCaracter"/>
          </w:rPr>
          <w:t>7/2013</w:t>
        </w:r>
      </w:hyperlink>
      <w:r>
        <w:t>, ff. 1, 6.</w:t>
      </w:r>
    </w:p>
    <w:p w:rsidR="00E27756" w:rsidRDefault="00E27756" w:rsidP="00E27756">
      <w:pPr>
        <w:pStyle w:val="SangriaFrancesaArticulo"/>
      </w:pPr>
      <w:r w:rsidRPr="00E27756">
        <w:rPr>
          <w:rStyle w:val="TextoNormalNegritaCaracter"/>
        </w:rPr>
        <w:t>Artículo 149.1 reglas 7, 18.</w:t>
      </w:r>
      <w:r w:rsidRPr="00E27756">
        <w:rPr>
          <w:rStyle w:val="TextoNormalCaracter"/>
        </w:rPr>
        <w:t>-</w:t>
      </w:r>
      <w:r>
        <w:t xml:space="preserve"> Sentencia </w:t>
      </w:r>
      <w:hyperlink w:anchor="SENTENCIA_2013_7" w:history="1">
        <w:r w:rsidRPr="00E27756">
          <w:rPr>
            <w:rStyle w:val="TextoNormalCaracter"/>
          </w:rPr>
          <w:t>7/2013</w:t>
        </w:r>
      </w:hyperlink>
      <w:r>
        <w:t>, f. 4.</w:t>
      </w:r>
    </w:p>
    <w:p w:rsidR="00E27756" w:rsidRDefault="00E27756" w:rsidP="00E27756">
      <w:pPr>
        <w:pStyle w:val="SangriaFrancesaArticulo"/>
      </w:pPr>
    </w:p>
    <w:p w:rsidR="00E27756" w:rsidRDefault="00E27756" w:rsidP="00E27756">
      <w:pPr>
        <w:pStyle w:val="TextoNormalNegritaCursivandice"/>
      </w:pPr>
      <w:r>
        <w:t>Orden TAS/3441/2005, de 2 de noviembre. Establecimiento de las bases reguladoras y se convoca, para el año 2005, la concesión de subvenciones a municipios y mancomunidades de municipios para el desarrollo de programas innovadores a favor de la integración de inmigrantes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6" w:history="1">
        <w:r w:rsidRPr="00E27756">
          <w:rPr>
            <w:rStyle w:val="TextoNormalCaracter"/>
          </w:rPr>
          <w:t>26/2013</w:t>
        </w:r>
      </w:hyperlink>
      <w:r>
        <w:t>, f. 5.</w:t>
      </w:r>
    </w:p>
    <w:p w:rsidR="00E27756" w:rsidRDefault="00E27756" w:rsidP="00E27756">
      <w:pPr>
        <w:pStyle w:val="SangriaFrancesaArticulo"/>
      </w:pPr>
    </w:p>
    <w:p w:rsidR="00E27756" w:rsidRDefault="00E27756" w:rsidP="00E27756">
      <w:pPr>
        <w:pStyle w:val="TextoNormalNegritaCursivandice"/>
      </w:pPr>
      <w:r>
        <w:t>Real Decreto 1553/2005, de 23 de diciembre. Regulación de la expedición del documento nacional de identidad y sus certificados de firma electrónica</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17" w:history="1">
        <w:r w:rsidRPr="00E27756">
          <w:rPr>
            <w:rStyle w:val="TextoNormalCaracter"/>
          </w:rPr>
          <w:t>17/2013</w:t>
        </w:r>
      </w:hyperlink>
      <w:r>
        <w:t>, f. 10.</w:t>
      </w:r>
    </w:p>
    <w:p w:rsidR="00E27756" w:rsidRDefault="00E27756" w:rsidP="00E27756">
      <w:pPr>
        <w:pStyle w:val="SangriaFrancesaArticulo"/>
      </w:pPr>
    </w:p>
    <w:p w:rsidR="00E27756" w:rsidRDefault="00E27756" w:rsidP="00E27756">
      <w:pPr>
        <w:pStyle w:val="TextoNormalNegritaCursivandice"/>
      </w:pPr>
      <w:r>
        <w:lastRenderedPageBreak/>
        <w:t>Orden TAS/397/2006, de 8 de febrero. Modifica la Orden TAS/500/2004, de 13 de febrero, que regula la financiación de las acciones de formación continua en las empresas, incluidos los permisos individuales de formación, en desarrollo del Real Decreto 1046/2003, de 1 de agosto, por el que se regula el subsistema de formación profesional continua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5" w:history="1">
        <w:r w:rsidRPr="00E27756">
          <w:rPr>
            <w:rStyle w:val="TextoNormalCaracter"/>
          </w:rPr>
          <w:t>95/2013</w:t>
        </w:r>
      </w:hyperlink>
      <w:r>
        <w:t>, ff. 2, 6.</w:t>
      </w:r>
    </w:p>
    <w:p w:rsidR="00E27756" w:rsidRDefault="00E27756" w:rsidP="00E27756">
      <w:pPr>
        <w:pStyle w:val="SangriaFrancesaArticulo"/>
      </w:pPr>
    </w:p>
    <w:p w:rsidR="00E27756" w:rsidRDefault="00E27756" w:rsidP="00E27756">
      <w:pPr>
        <w:pStyle w:val="TextoNormalNegritaCursivandice"/>
      </w:pPr>
      <w:r>
        <w:t>Orden TAS/892/2006, de 23 de marzo. Se establecen las bases reguladoras y se convoca la concesión de subvenciones para la realización de programas de cooperación y voluntariado sociales con cargo a la asignación tributaria del impuesto sobre la renta de las personas físicas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1" w:history="1">
        <w:r w:rsidRPr="00E27756">
          <w:rPr>
            <w:rStyle w:val="TextoNormalCaracter"/>
          </w:rPr>
          <w:t>21/2013</w:t>
        </w:r>
      </w:hyperlink>
      <w:r>
        <w:t>, ff. 1, 2, 6.</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21" w:history="1">
        <w:r w:rsidRPr="00E27756">
          <w:rPr>
            <w:rStyle w:val="TextoNormalCaracter"/>
          </w:rPr>
          <w:t>21/2013</w:t>
        </w:r>
      </w:hyperlink>
      <w:r>
        <w:t>, ff. 3, 4, 7.</w:t>
      </w:r>
    </w:p>
    <w:p w:rsidR="00E27756" w:rsidRDefault="00E27756" w:rsidP="00E27756">
      <w:pPr>
        <w:pStyle w:val="SangriaFrancesaArticulo"/>
      </w:pPr>
      <w:r w:rsidRPr="00E27756">
        <w:rPr>
          <w:rStyle w:val="TextoNormalNegritaCaracter"/>
        </w:rPr>
        <w:t>Artículos 2 a 19.</w:t>
      </w:r>
      <w:r w:rsidRPr="00E27756">
        <w:rPr>
          <w:rStyle w:val="TextoNormalCaracter"/>
        </w:rPr>
        <w:t>-</w:t>
      </w:r>
      <w:r>
        <w:t xml:space="preserve"> Sentencia </w:t>
      </w:r>
      <w:hyperlink w:anchor="SENTENCIA_2013_21" w:history="1">
        <w:r w:rsidRPr="00E27756">
          <w:rPr>
            <w:rStyle w:val="TextoNormalCaracter"/>
          </w:rPr>
          <w:t>21/2013</w:t>
        </w:r>
      </w:hyperlink>
      <w:r>
        <w:t>, ff. 3, 7.</w:t>
      </w:r>
    </w:p>
    <w:p w:rsidR="00E27756" w:rsidRDefault="00E27756" w:rsidP="00E27756">
      <w:pPr>
        <w:pStyle w:val="SangriaFrancesaArticulo"/>
      </w:pPr>
      <w:r w:rsidRPr="00E27756">
        <w:rPr>
          <w:rStyle w:val="TextoNormalNegritaCaracter"/>
        </w:rPr>
        <w:t>Artículos 20, 21.</w:t>
      </w:r>
      <w:r w:rsidRPr="00E27756">
        <w:rPr>
          <w:rStyle w:val="TextoNormalCaracter"/>
        </w:rPr>
        <w:t>-</w:t>
      </w:r>
      <w:r>
        <w:t xml:space="preserve"> Sentencia </w:t>
      </w:r>
      <w:hyperlink w:anchor="SENTENCIA_2013_21" w:history="1">
        <w:r w:rsidRPr="00E27756">
          <w:rPr>
            <w:rStyle w:val="TextoNormalCaracter"/>
          </w:rPr>
          <w:t>21/2013</w:t>
        </w:r>
      </w:hyperlink>
      <w:r>
        <w:t>, f. 7.</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21" w:history="1">
        <w:r w:rsidRPr="00E27756">
          <w:rPr>
            <w:rStyle w:val="TextoNormalCaracter"/>
          </w:rPr>
          <w:t>21/2013</w:t>
        </w:r>
      </w:hyperlink>
      <w:r>
        <w:t>, f. 7.</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Sentencia </w:t>
      </w:r>
      <w:hyperlink w:anchor="SENTENCIA_2013_21" w:history="1">
        <w:r w:rsidRPr="00E27756">
          <w:rPr>
            <w:rStyle w:val="TextoNormalCaracter"/>
          </w:rPr>
          <w:t>21/2013</w:t>
        </w:r>
      </w:hyperlink>
      <w:r>
        <w:t>, f. 7.</w:t>
      </w:r>
    </w:p>
    <w:p w:rsidR="00E27756" w:rsidRDefault="00E27756" w:rsidP="00E27756">
      <w:pPr>
        <w:pStyle w:val="SangriaFrancesaArticulo"/>
      </w:pPr>
      <w:r w:rsidRPr="00E27756">
        <w:rPr>
          <w:rStyle w:val="TextoNormalNegritaCaracter"/>
        </w:rPr>
        <w:t>Anexo B.</w:t>
      </w:r>
      <w:r w:rsidRPr="00E27756">
        <w:rPr>
          <w:rStyle w:val="TextoNormalCaracter"/>
        </w:rPr>
        <w:t>-</w:t>
      </w:r>
      <w:r>
        <w:t xml:space="preserve"> Sentencia </w:t>
      </w:r>
      <w:hyperlink w:anchor="SENTENCIA_2013_21" w:history="1">
        <w:r w:rsidRPr="00E27756">
          <w:rPr>
            <w:rStyle w:val="TextoNormalCaracter"/>
          </w:rPr>
          <w:t>21/2013</w:t>
        </w:r>
      </w:hyperlink>
      <w:r>
        <w:t>, f. 3.</w:t>
      </w:r>
    </w:p>
    <w:p w:rsidR="00E27756" w:rsidRDefault="00E27756" w:rsidP="00E27756">
      <w:pPr>
        <w:pStyle w:val="SangriaFrancesaArticulo"/>
      </w:pPr>
      <w:r w:rsidRPr="00E27756">
        <w:rPr>
          <w:rStyle w:val="TextoNormalNegritaCaracter"/>
        </w:rPr>
        <w:t>Anexos A a C.</w:t>
      </w:r>
      <w:r w:rsidRPr="00E27756">
        <w:rPr>
          <w:rStyle w:val="TextoNormalCaracter"/>
        </w:rPr>
        <w:t>-</w:t>
      </w:r>
      <w:r>
        <w:t xml:space="preserve"> Sentencia </w:t>
      </w:r>
      <w:hyperlink w:anchor="SENTENCIA_2013_21" w:history="1">
        <w:r w:rsidRPr="00E27756">
          <w:rPr>
            <w:rStyle w:val="TextoNormalCaracter"/>
          </w:rPr>
          <w:t>21/2013</w:t>
        </w:r>
      </w:hyperlink>
      <w:r>
        <w:t>, f. 7.</w:t>
      </w:r>
    </w:p>
    <w:p w:rsidR="00E27756" w:rsidRDefault="00E27756" w:rsidP="00E27756">
      <w:pPr>
        <w:pStyle w:val="SangriaFrancesaArticulo"/>
      </w:pPr>
      <w:r w:rsidRPr="00E27756">
        <w:rPr>
          <w:rStyle w:val="TextoNormalNegritaCaracter"/>
        </w:rPr>
        <w:t>Anexos I a IV.</w:t>
      </w:r>
      <w:r w:rsidRPr="00E27756">
        <w:rPr>
          <w:rStyle w:val="TextoNormalCaracter"/>
        </w:rPr>
        <w:t>-</w:t>
      </w:r>
      <w:r>
        <w:t xml:space="preserve"> Sentencia </w:t>
      </w:r>
      <w:hyperlink w:anchor="SENTENCIA_2013_21" w:history="1">
        <w:r w:rsidRPr="00E27756">
          <w:rPr>
            <w:rStyle w:val="TextoNormalCaracter"/>
          </w:rPr>
          <w:t>21/2013</w:t>
        </w:r>
      </w:hyperlink>
      <w:r>
        <w:t>, f. 7.</w:t>
      </w:r>
    </w:p>
    <w:p w:rsidR="00E27756" w:rsidRDefault="00E27756" w:rsidP="00E27756">
      <w:pPr>
        <w:pStyle w:val="SangriaFrancesaArticulo"/>
      </w:pPr>
    </w:p>
    <w:p w:rsidR="00E27756" w:rsidRDefault="00E27756" w:rsidP="00E27756">
      <w:pPr>
        <w:pStyle w:val="TextoNormalNegritaCursivandice"/>
      </w:pPr>
      <w:r>
        <w:t>Real Decreto 806/2006, de 30 de junio. Calendario de aplicación de la nueva ordenación del sistema educativo, establecida por la Ley Orgánica 2/2006, de 3 de mayo, de educación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5" w:history="1">
        <w:r w:rsidRPr="00E27756">
          <w:rPr>
            <w:rStyle w:val="TextoNormalCaracter"/>
          </w:rPr>
          <w:t>15/2013</w:t>
        </w:r>
      </w:hyperlink>
      <w:r>
        <w:t xml:space="preserve">, f. 2; </w:t>
      </w:r>
      <w:hyperlink w:anchor="SENTENCIA_2013_47" w:history="1">
        <w:r w:rsidRPr="00E27756">
          <w:rPr>
            <w:rStyle w:val="TextoNormalCaracter"/>
          </w:rPr>
          <w:t>47/2013</w:t>
        </w:r>
      </w:hyperlink>
      <w:r>
        <w:t xml:space="preserve">, f. 2; </w:t>
      </w:r>
      <w:hyperlink w:anchor="SENTENCIA_2013_48" w:history="1">
        <w:r w:rsidRPr="00E27756">
          <w:rPr>
            <w:rStyle w:val="TextoNormalCaracter"/>
          </w:rPr>
          <w:t>48/2013</w:t>
        </w:r>
      </w:hyperlink>
      <w:r>
        <w:t>, f. 2.</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47" w:history="1">
        <w:r w:rsidRPr="00E27756">
          <w:rPr>
            <w:rStyle w:val="TextoNormalCaracter"/>
          </w:rPr>
          <w:t>47/2013</w:t>
        </w:r>
      </w:hyperlink>
      <w:r>
        <w:t>, f. 2.</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48" w:history="1">
        <w:r w:rsidRPr="00E27756">
          <w:rPr>
            <w:rStyle w:val="TextoNormalCaracter"/>
          </w:rPr>
          <w:t>48/2013</w:t>
        </w:r>
      </w:hyperlink>
      <w:r>
        <w:t>, f. 2.</w:t>
      </w:r>
    </w:p>
    <w:p w:rsidR="00E27756" w:rsidRDefault="00E27756" w:rsidP="00E27756">
      <w:pPr>
        <w:pStyle w:val="SangriaFrancesaArticulo"/>
      </w:pPr>
      <w:r w:rsidRPr="00E27756">
        <w:rPr>
          <w:rStyle w:val="TextoNormalNegritaCaracter"/>
        </w:rPr>
        <w:t>Disposición transitoria primera.</w:t>
      </w:r>
      <w:r w:rsidRPr="00E27756">
        <w:rPr>
          <w:rStyle w:val="TextoNormalCaracter"/>
        </w:rPr>
        <w:t>-</w:t>
      </w:r>
      <w:r>
        <w:t xml:space="preserve"> Sentencia </w:t>
      </w:r>
      <w:hyperlink w:anchor="SENTENCIA_2013_48" w:history="1">
        <w:r w:rsidRPr="00E27756">
          <w:rPr>
            <w:rStyle w:val="TextoNormalCaracter"/>
          </w:rPr>
          <w:t>48/2013</w:t>
        </w:r>
      </w:hyperlink>
      <w:r>
        <w:t>, f. 2.</w:t>
      </w:r>
    </w:p>
    <w:p w:rsidR="00E27756" w:rsidRDefault="00E27756" w:rsidP="00E27756">
      <w:pPr>
        <w:pStyle w:val="SangriaFrancesaArticulo"/>
      </w:pPr>
      <w:r w:rsidRPr="00E27756">
        <w:rPr>
          <w:rStyle w:val="TextoNormalNegritaCaracter"/>
        </w:rPr>
        <w:t>Disposición derogatoria única.</w:t>
      </w:r>
      <w:r w:rsidRPr="00E27756">
        <w:rPr>
          <w:rStyle w:val="TextoNormalCaracter"/>
        </w:rPr>
        <w:t>-</w:t>
      </w:r>
      <w:r>
        <w:t xml:space="preserve"> Auto </w:t>
      </w:r>
      <w:hyperlink w:anchor="AUTO_2013_33" w:history="1">
        <w:r w:rsidRPr="00E27756">
          <w:rPr>
            <w:rStyle w:val="TextoNormalCaracter"/>
          </w:rPr>
          <w:t>33/2013</w:t>
        </w:r>
      </w:hyperlink>
      <w:r>
        <w:t>, f. 2.</w:t>
      </w:r>
    </w:p>
    <w:p w:rsidR="00E27756" w:rsidRDefault="00E27756" w:rsidP="00E27756">
      <w:pPr>
        <w:pStyle w:val="SangriaFrancesaArticulo"/>
      </w:pPr>
    </w:p>
    <w:p w:rsidR="00E27756" w:rsidRDefault="00E27756" w:rsidP="00E27756">
      <w:pPr>
        <w:pStyle w:val="TextoNormalNegritaCursivandice"/>
      </w:pPr>
      <w:r>
        <w:t>Real Decreto 887/2006, de 21 de julio. Reglamento de la Ley 38/2003, de 17 de noviembre, general de subvenciones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26" w:history="1">
        <w:r w:rsidRPr="00E27756">
          <w:rPr>
            <w:rStyle w:val="TextoNormalCaracter"/>
          </w:rPr>
          <w:t>26/2013</w:t>
        </w:r>
      </w:hyperlink>
      <w:r>
        <w:t xml:space="preserve">, f. 8; </w:t>
      </w:r>
      <w:hyperlink w:anchor="SENTENCIA_2013_40" w:history="1">
        <w:r w:rsidRPr="00E27756">
          <w:rPr>
            <w:rStyle w:val="TextoNormalCaracter"/>
          </w:rPr>
          <w:t>40/2013</w:t>
        </w:r>
      </w:hyperlink>
      <w:r>
        <w:t xml:space="preserve">, f. 7; </w:t>
      </w:r>
      <w:hyperlink w:anchor="SENTENCIA_2013_52" w:history="1">
        <w:r w:rsidRPr="00E27756">
          <w:rPr>
            <w:rStyle w:val="TextoNormalCaracter"/>
          </w:rPr>
          <w:t>52/2013</w:t>
        </w:r>
      </w:hyperlink>
      <w:r>
        <w:t>, f. 7.</w:t>
      </w:r>
    </w:p>
    <w:p w:rsidR="00E27756" w:rsidRDefault="00E27756" w:rsidP="00E27756">
      <w:pPr>
        <w:pStyle w:val="SangriaFrancesaArticulo"/>
      </w:pPr>
    </w:p>
    <w:p w:rsidR="00E27756" w:rsidRDefault="00E27756" w:rsidP="00E27756">
      <w:pPr>
        <w:pStyle w:val="TextoNormalNegritaCursivandice"/>
      </w:pPr>
      <w:r>
        <w:t>Real Decreto 918/2006, de 28 de julio. Se regula la concesión directa de subvenciones a ayuntamientos para proyectos de acción social a favor de las personas mayores en situación de dependencia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3" w:history="1">
        <w:r w:rsidRPr="00E27756">
          <w:rPr>
            <w:rStyle w:val="TextoNormalCaracter"/>
          </w:rPr>
          <w:t>23/2013</w:t>
        </w:r>
      </w:hyperlink>
      <w:r>
        <w:t>, ff. 1, 3.</w:t>
      </w:r>
    </w:p>
    <w:p w:rsidR="00E27756" w:rsidRDefault="00E27756" w:rsidP="00E27756">
      <w:pPr>
        <w:pStyle w:val="SangriaFrancesaArticulo"/>
      </w:pPr>
    </w:p>
    <w:p w:rsidR="00E27756" w:rsidRDefault="00E27756" w:rsidP="00E27756">
      <w:pPr>
        <w:pStyle w:val="TextoNormalNegritaCursivandice"/>
      </w:pPr>
      <w:r>
        <w:t>Real Decreto 1267/2006, de 8 de noviembre. Se crea el Patronato del Archivo de la Corona de Aragón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4" w:history="1">
        <w:r w:rsidRPr="00E27756">
          <w:rPr>
            <w:rStyle w:val="TextoNormalCaracter"/>
          </w:rPr>
          <w:t>14/2013</w:t>
        </w:r>
      </w:hyperlink>
      <w:r>
        <w:t xml:space="preserve">, ff. 3, 6; </w:t>
      </w:r>
      <w:hyperlink w:anchor="SENTENCIA_2013_38" w:history="1">
        <w:r w:rsidRPr="00E27756">
          <w:rPr>
            <w:rStyle w:val="TextoNormalCaracter"/>
          </w:rPr>
          <w:t>38/2013</w:t>
        </w:r>
      </w:hyperlink>
      <w:r>
        <w:t xml:space="preserve">, f. 4; </w:t>
      </w:r>
      <w:hyperlink w:anchor="SENTENCIA_2013_66" w:history="1">
        <w:r w:rsidRPr="00E27756">
          <w:rPr>
            <w:rStyle w:val="TextoNormalCaracter"/>
          </w:rPr>
          <w:t>66/2013</w:t>
        </w:r>
      </w:hyperlink>
      <w:r>
        <w:t xml:space="preserve">, ff. 1, 3, 4; </w:t>
      </w:r>
      <w:hyperlink w:anchor="SENTENCIA_2013_136" w:history="1">
        <w:r w:rsidRPr="00E27756">
          <w:rPr>
            <w:rStyle w:val="TextoNormalCaracter"/>
          </w:rPr>
          <w:t>136/2013</w:t>
        </w:r>
      </w:hyperlink>
      <w:r>
        <w:t>, f. 4.</w:t>
      </w:r>
    </w:p>
    <w:p w:rsidR="00E27756" w:rsidRDefault="00E27756" w:rsidP="00E27756">
      <w:pPr>
        <w:pStyle w:val="SangriaFrancesaArticulo"/>
      </w:pPr>
    </w:p>
    <w:p w:rsidR="00E27756" w:rsidRDefault="00E27756" w:rsidP="00E27756">
      <w:pPr>
        <w:pStyle w:val="TextoNormalNegritaCursivandice"/>
      </w:pPr>
      <w:r>
        <w:t xml:space="preserve">Real Decreto 1421/2006, de 1 de diciembre. Modifica el Real Decreto 1997/1995, de 7 de diciembre, por el que se establecen medidas para contribuir a garantizar la </w:t>
      </w:r>
      <w:r>
        <w:lastRenderedPageBreak/>
        <w:t>biodiversidad mediante la conservación de los hábitats naturales y de la flora y fauna silvestres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59" w:history="1">
        <w:r w:rsidRPr="00E27756">
          <w:rPr>
            <w:rStyle w:val="TextoNormalCaracter"/>
          </w:rPr>
          <w:t>59/2013</w:t>
        </w:r>
      </w:hyperlink>
      <w:r>
        <w:t xml:space="preserve">, f. 2; </w:t>
      </w:r>
      <w:hyperlink w:anchor="SENTENCIA_2013_80" w:history="1">
        <w:r w:rsidRPr="00E27756">
          <w:rPr>
            <w:rStyle w:val="TextoNormalCaracter"/>
          </w:rPr>
          <w:t>80/2013</w:t>
        </w:r>
      </w:hyperlink>
      <w:r>
        <w:t>, f. 2.</w:t>
      </w:r>
    </w:p>
    <w:p w:rsidR="00E27756" w:rsidRDefault="00E27756" w:rsidP="00E27756">
      <w:pPr>
        <w:pStyle w:val="SangriaFrancesaArticulo"/>
      </w:pPr>
    </w:p>
    <w:p w:rsidR="00E27756" w:rsidRDefault="00E27756" w:rsidP="00E27756">
      <w:pPr>
        <w:pStyle w:val="TextoNormalNegritaCursivandice"/>
      </w:pPr>
      <w:r>
        <w:t>Real Decreto 1513/2006, de 7 de diciembre. Se establecen las enseñanzas mínimas de la Educación primaria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5" w:history="1">
        <w:r w:rsidRPr="00E27756">
          <w:rPr>
            <w:rStyle w:val="TextoNormalCaracter"/>
          </w:rPr>
          <w:t>15/2013</w:t>
        </w:r>
      </w:hyperlink>
      <w:r>
        <w:t xml:space="preserve">, f. 2; </w:t>
      </w:r>
      <w:hyperlink w:anchor="SENTENCIA_2013_24" w:history="1">
        <w:r w:rsidRPr="00E27756">
          <w:rPr>
            <w:rStyle w:val="TextoNormalCaracter"/>
          </w:rPr>
          <w:t>24/2013</w:t>
        </w:r>
      </w:hyperlink>
      <w:r>
        <w:t>, f. 7.</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15" w:history="1">
        <w:r w:rsidRPr="00E27756">
          <w:rPr>
            <w:rStyle w:val="TextoNormalCaracter"/>
          </w:rPr>
          <w:t>15/2013</w:t>
        </w:r>
      </w:hyperlink>
      <w:r>
        <w:t>, f. 2.</w:t>
      </w:r>
    </w:p>
    <w:p w:rsidR="00E27756" w:rsidRDefault="00E27756" w:rsidP="00E27756">
      <w:pPr>
        <w:pStyle w:val="SangriaFrancesaArticulo"/>
      </w:pPr>
    </w:p>
    <w:p w:rsidR="00E27756" w:rsidRDefault="00E27756" w:rsidP="00E27756">
      <w:pPr>
        <w:pStyle w:val="TextoNormalNegritaCursivandice"/>
      </w:pPr>
      <w:r>
        <w:t>Real Decreto 1538/2006, de 15 de diciembre. Se establece la ordenación general de la formación profesional del sistema educativo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5" w:history="1">
        <w:r w:rsidRPr="00E27756">
          <w:rPr>
            <w:rStyle w:val="TextoNormalCaracter"/>
          </w:rPr>
          <w:t>25/2013</w:t>
        </w:r>
      </w:hyperlink>
      <w:r>
        <w:t>, ff. 1, 2.</w:t>
      </w:r>
    </w:p>
    <w:p w:rsidR="00E27756" w:rsidRDefault="00E27756" w:rsidP="00E27756">
      <w:pPr>
        <w:pStyle w:val="SangriaIzquierdaArticulo"/>
      </w:pPr>
      <w:r>
        <w:t xml:space="preserve">Auto </w:t>
      </w:r>
      <w:hyperlink w:anchor="AUTO_2013_58" w:history="1">
        <w:r w:rsidRPr="00E27756">
          <w:rPr>
            <w:rStyle w:val="TextoNormalCaracter"/>
          </w:rPr>
          <w:t>58/2013</w:t>
        </w:r>
      </w:hyperlink>
      <w:r>
        <w:t>, f. 5.</w:t>
      </w:r>
    </w:p>
    <w:p w:rsidR="00E27756" w:rsidRDefault="00E27756" w:rsidP="00E27756">
      <w:pPr>
        <w:pStyle w:val="SangriaFrancesaArticulo"/>
      </w:pPr>
      <w:r w:rsidRPr="00E27756">
        <w:rPr>
          <w:rStyle w:val="TextoNormalNegritaCaracter"/>
        </w:rPr>
        <w:t>Capítulo II.</w:t>
      </w:r>
      <w:r w:rsidRPr="00E27756">
        <w:rPr>
          <w:rStyle w:val="TextoNormalCaracter"/>
        </w:rPr>
        <w:t>-</w:t>
      </w:r>
      <w:r>
        <w:t xml:space="preserve"> Sentencia </w:t>
      </w:r>
      <w:hyperlink w:anchor="SENTENCIA_2013_25" w:history="1">
        <w:r w:rsidRPr="00E27756">
          <w:rPr>
            <w:rStyle w:val="TextoNormalCaracter"/>
          </w:rPr>
          <w:t>25/2013</w:t>
        </w:r>
      </w:hyperlink>
      <w:r>
        <w:t>, f. 4.</w:t>
      </w:r>
    </w:p>
    <w:p w:rsidR="00E27756" w:rsidRDefault="00E27756" w:rsidP="00E27756">
      <w:pPr>
        <w:pStyle w:val="SangriaFrancesaArticulo"/>
      </w:pPr>
      <w:r w:rsidRPr="00E27756">
        <w:rPr>
          <w:rStyle w:val="TextoNormalNegritaCaracter"/>
        </w:rPr>
        <w:t>Artículo 4.4.</w:t>
      </w:r>
      <w:r w:rsidRPr="00E27756">
        <w:rPr>
          <w:rStyle w:val="TextoNormalCaracter"/>
        </w:rPr>
        <w:t>-</w:t>
      </w:r>
      <w:r>
        <w:t xml:space="preserve"> Sentencia </w:t>
      </w:r>
      <w:hyperlink w:anchor="SENTENCIA_2013_25" w:history="1">
        <w:r w:rsidRPr="00E27756">
          <w:rPr>
            <w:rStyle w:val="TextoNormalCaracter"/>
          </w:rPr>
          <w:t>25/2013</w:t>
        </w:r>
      </w:hyperlink>
      <w:r>
        <w:t>, f. 3.</w:t>
      </w:r>
    </w:p>
    <w:p w:rsidR="00E27756" w:rsidRDefault="00E27756" w:rsidP="00E27756">
      <w:pPr>
        <w:pStyle w:val="SangriaFrancesaArticulo"/>
      </w:pPr>
      <w:r w:rsidRPr="00E27756">
        <w:rPr>
          <w:rStyle w:val="TextoNormalNegritaCaracter"/>
        </w:rPr>
        <w:t>Artículo 8.1.</w:t>
      </w:r>
      <w:r w:rsidRPr="00E27756">
        <w:rPr>
          <w:rStyle w:val="TextoNormalCaracter"/>
        </w:rPr>
        <w:t>-</w:t>
      </w:r>
      <w:r>
        <w:t xml:space="preserve"> Sentencia </w:t>
      </w:r>
      <w:hyperlink w:anchor="SENTENCIA_2013_25" w:history="1">
        <w:r w:rsidRPr="00E27756">
          <w:rPr>
            <w:rStyle w:val="TextoNormalCaracter"/>
          </w:rPr>
          <w:t>25/2013</w:t>
        </w:r>
      </w:hyperlink>
      <w:r>
        <w:t>, f. 3.</w:t>
      </w:r>
    </w:p>
    <w:p w:rsidR="00E27756" w:rsidRDefault="00E27756" w:rsidP="00E27756">
      <w:pPr>
        <w:pStyle w:val="SangriaFrancesaArticulo"/>
      </w:pPr>
      <w:r w:rsidRPr="00E27756">
        <w:rPr>
          <w:rStyle w:val="TextoNormalNegritaCaracter"/>
        </w:rPr>
        <w:t>Artículo 8.4.</w:t>
      </w:r>
      <w:r w:rsidRPr="00E27756">
        <w:rPr>
          <w:rStyle w:val="TextoNormalCaracter"/>
        </w:rPr>
        <w:t>-</w:t>
      </w:r>
      <w:r>
        <w:t xml:space="preserve"> Sentencia </w:t>
      </w:r>
      <w:hyperlink w:anchor="SENTENCIA_2013_25" w:history="1">
        <w:r w:rsidRPr="00E27756">
          <w:rPr>
            <w:rStyle w:val="TextoNormalCaracter"/>
          </w:rPr>
          <w:t>25/2013</w:t>
        </w:r>
      </w:hyperlink>
      <w:r>
        <w:t>, f. 3.</w:t>
      </w:r>
    </w:p>
    <w:p w:rsidR="00E27756" w:rsidRDefault="00E27756" w:rsidP="00E27756">
      <w:pPr>
        <w:pStyle w:val="SangriaFrancesaArticulo"/>
      </w:pPr>
      <w:r w:rsidRPr="00E27756">
        <w:rPr>
          <w:rStyle w:val="TextoNormalNegritaCaracter"/>
        </w:rPr>
        <w:t>Artículo 9.1.</w:t>
      </w:r>
      <w:r w:rsidRPr="00E27756">
        <w:rPr>
          <w:rStyle w:val="TextoNormalCaracter"/>
        </w:rPr>
        <w:t>-</w:t>
      </w:r>
      <w:r>
        <w:t xml:space="preserve"> Sentencia </w:t>
      </w:r>
      <w:hyperlink w:anchor="SENTENCIA_2013_25" w:history="1">
        <w:r w:rsidRPr="00E27756">
          <w:rPr>
            <w:rStyle w:val="TextoNormalCaracter"/>
          </w:rPr>
          <w:t>25/2013</w:t>
        </w:r>
      </w:hyperlink>
      <w:r>
        <w:t>, f. 3.</w:t>
      </w:r>
    </w:p>
    <w:p w:rsidR="00E27756" w:rsidRDefault="00E27756" w:rsidP="00E27756">
      <w:pPr>
        <w:pStyle w:val="SangriaFrancesaArticulo"/>
      </w:pPr>
      <w:r w:rsidRPr="00E27756">
        <w:rPr>
          <w:rStyle w:val="TextoNormalNegritaCaracter"/>
        </w:rPr>
        <w:t>Artículo 11.3.</w:t>
      </w:r>
      <w:r w:rsidRPr="00E27756">
        <w:rPr>
          <w:rStyle w:val="TextoNormalCaracter"/>
        </w:rPr>
        <w:t>-</w:t>
      </w:r>
      <w:r>
        <w:t xml:space="preserve"> Sentencia </w:t>
      </w:r>
      <w:hyperlink w:anchor="SENTENCIA_2013_25" w:history="1">
        <w:r w:rsidRPr="00E27756">
          <w:rPr>
            <w:rStyle w:val="TextoNormalCaracter"/>
          </w:rPr>
          <w:t>25/2013</w:t>
        </w:r>
      </w:hyperlink>
      <w:r>
        <w:t>, f. 5.</w:t>
      </w:r>
    </w:p>
    <w:p w:rsidR="00E27756" w:rsidRDefault="00E27756" w:rsidP="00E27756">
      <w:pPr>
        <w:pStyle w:val="SangriaFrancesaArticulo"/>
      </w:pPr>
      <w:r w:rsidRPr="00E27756">
        <w:rPr>
          <w:rStyle w:val="TextoNormalNegritaCaracter"/>
        </w:rPr>
        <w:t>Artículo 11.4.</w:t>
      </w:r>
      <w:r w:rsidRPr="00E27756">
        <w:rPr>
          <w:rStyle w:val="TextoNormalCaracter"/>
        </w:rPr>
        <w:t>-</w:t>
      </w:r>
      <w:r>
        <w:t xml:space="preserve"> Sentencia </w:t>
      </w:r>
      <w:hyperlink w:anchor="SENTENCIA_2013_25" w:history="1">
        <w:r w:rsidRPr="00E27756">
          <w:rPr>
            <w:rStyle w:val="TextoNormalCaracter"/>
          </w:rPr>
          <w:t>25/2013</w:t>
        </w:r>
      </w:hyperlink>
      <w:r>
        <w:t>, ff. 1 a 3, 5.</w:t>
      </w:r>
    </w:p>
    <w:p w:rsidR="00E27756" w:rsidRDefault="00E27756" w:rsidP="00E27756">
      <w:pPr>
        <w:pStyle w:val="SangriaFrancesaArticulo"/>
      </w:pPr>
      <w:r w:rsidRPr="00E27756">
        <w:rPr>
          <w:rStyle w:val="TextoNormalNegritaCaracter"/>
        </w:rPr>
        <w:t>Artículo 12.2.</w:t>
      </w:r>
      <w:r w:rsidRPr="00E27756">
        <w:rPr>
          <w:rStyle w:val="TextoNormalCaracter"/>
        </w:rPr>
        <w:t>-</w:t>
      </w:r>
      <w:r>
        <w:t xml:space="preserve"> Sentencia </w:t>
      </w:r>
      <w:hyperlink w:anchor="SENTENCIA_2013_25" w:history="1">
        <w:r w:rsidRPr="00E27756">
          <w:rPr>
            <w:rStyle w:val="TextoNormalCaracter"/>
          </w:rPr>
          <w:t>25/2013</w:t>
        </w:r>
      </w:hyperlink>
      <w:r>
        <w:t>, f. 5.</w:t>
      </w:r>
    </w:p>
    <w:p w:rsidR="00E27756" w:rsidRDefault="00E27756" w:rsidP="00E27756">
      <w:pPr>
        <w:pStyle w:val="SangriaFrancesaArticulo"/>
      </w:pPr>
      <w:r w:rsidRPr="00E27756">
        <w:rPr>
          <w:rStyle w:val="TextoNormalNegritaCaracter"/>
        </w:rPr>
        <w:t>Artículo 12.3.</w:t>
      </w:r>
      <w:r w:rsidRPr="00E27756">
        <w:rPr>
          <w:rStyle w:val="TextoNormalCaracter"/>
        </w:rPr>
        <w:t>-</w:t>
      </w:r>
      <w:r>
        <w:t xml:space="preserve"> Sentencia </w:t>
      </w:r>
      <w:hyperlink w:anchor="SENTENCIA_2013_25" w:history="1">
        <w:r w:rsidRPr="00E27756">
          <w:rPr>
            <w:rStyle w:val="TextoNormalCaracter"/>
          </w:rPr>
          <w:t>25/2013</w:t>
        </w:r>
      </w:hyperlink>
      <w:r>
        <w:t>, ff. 1 a 3, 5.</w:t>
      </w:r>
    </w:p>
    <w:p w:rsidR="00E27756" w:rsidRDefault="00E27756" w:rsidP="00E27756">
      <w:pPr>
        <w:pStyle w:val="SangriaFrancesaArticulo"/>
      </w:pPr>
      <w:r w:rsidRPr="00E27756">
        <w:rPr>
          <w:rStyle w:val="TextoNormalNegritaCaracter"/>
        </w:rPr>
        <w:t>Artículo 12.4.</w:t>
      </w:r>
      <w:r w:rsidRPr="00E27756">
        <w:rPr>
          <w:rStyle w:val="TextoNormalCaracter"/>
        </w:rPr>
        <w:t>-</w:t>
      </w:r>
      <w:r>
        <w:t xml:space="preserve"> Sentencia </w:t>
      </w:r>
      <w:hyperlink w:anchor="SENTENCIA_2013_25" w:history="1">
        <w:r w:rsidRPr="00E27756">
          <w:rPr>
            <w:rStyle w:val="TextoNormalCaracter"/>
          </w:rPr>
          <w:t>25/2013</w:t>
        </w:r>
      </w:hyperlink>
      <w:r>
        <w:t>, f. 3.</w:t>
      </w:r>
    </w:p>
    <w:p w:rsidR="00E27756" w:rsidRDefault="00E27756" w:rsidP="00E27756">
      <w:pPr>
        <w:pStyle w:val="SangriaFrancesaArticulo"/>
      </w:pPr>
      <w:r w:rsidRPr="00E27756">
        <w:rPr>
          <w:rStyle w:val="TextoNormalNegritaCaracter"/>
        </w:rPr>
        <w:t>Artículo 37.3.</w:t>
      </w:r>
      <w:r w:rsidRPr="00E27756">
        <w:rPr>
          <w:rStyle w:val="TextoNormalCaracter"/>
        </w:rPr>
        <w:t>-</w:t>
      </w:r>
      <w:r>
        <w:t xml:space="preserve"> Sentencia </w:t>
      </w:r>
      <w:hyperlink w:anchor="SENTENCIA_2013_25" w:history="1">
        <w:r w:rsidRPr="00E27756">
          <w:rPr>
            <w:rStyle w:val="TextoNormalCaracter"/>
          </w:rPr>
          <w:t>25/2013</w:t>
        </w:r>
      </w:hyperlink>
      <w:r>
        <w:t>, ff. 1, 2.</w:t>
      </w:r>
    </w:p>
    <w:p w:rsidR="00E27756" w:rsidRDefault="00E27756" w:rsidP="00E27756">
      <w:pPr>
        <w:pStyle w:val="SangriaFrancesaArticulo"/>
      </w:pPr>
      <w:r w:rsidRPr="00E27756">
        <w:rPr>
          <w:rStyle w:val="TextoNormalNegritaCaracter"/>
        </w:rPr>
        <w:t>Disposición derogatoria única.</w:t>
      </w:r>
      <w:r w:rsidRPr="00E27756">
        <w:rPr>
          <w:rStyle w:val="TextoNormalCaracter"/>
        </w:rPr>
        <w:t>-</w:t>
      </w:r>
      <w:r>
        <w:t xml:space="preserve"> Auto </w:t>
      </w:r>
      <w:hyperlink w:anchor="AUTO_2013_58" w:history="1">
        <w:r w:rsidRPr="00E27756">
          <w:rPr>
            <w:rStyle w:val="TextoNormalCaracter"/>
          </w:rPr>
          <w:t>58/2013</w:t>
        </w:r>
      </w:hyperlink>
      <w:r>
        <w:t>, ff. 2, 3, 5.</w:t>
      </w:r>
    </w:p>
    <w:p w:rsidR="00E27756" w:rsidRDefault="00E27756" w:rsidP="00E27756">
      <w:pPr>
        <w:pStyle w:val="SangriaFrancesaArticulo"/>
      </w:pPr>
    </w:p>
    <w:p w:rsidR="00E27756" w:rsidRDefault="00E27756" w:rsidP="00E27756">
      <w:pPr>
        <w:pStyle w:val="TextoNormalNegritaCursivandice"/>
      </w:pPr>
      <w:r>
        <w:t>Real Decreto 1630/2006, de 29 de diciembre. Se establecen las enseñanzas mínimas del segundo ciclo de educación infantil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7" w:history="1">
        <w:r w:rsidRPr="00E27756">
          <w:rPr>
            <w:rStyle w:val="TextoNormalCaracter"/>
          </w:rPr>
          <w:t>47/2013</w:t>
        </w:r>
      </w:hyperlink>
      <w:r>
        <w:t>, f. 2.</w:t>
      </w:r>
    </w:p>
    <w:p w:rsidR="00E27756" w:rsidRDefault="00E27756" w:rsidP="00E27756">
      <w:pPr>
        <w:pStyle w:val="SangriaIzquierdaArticulo"/>
      </w:pPr>
      <w:r>
        <w:t xml:space="preserve">Autos </w:t>
      </w:r>
      <w:hyperlink w:anchor="AUTO_2013_33" w:history="1">
        <w:r w:rsidRPr="00E27756">
          <w:rPr>
            <w:rStyle w:val="TextoNormalCaracter"/>
          </w:rPr>
          <w:t>33/2013</w:t>
        </w:r>
      </w:hyperlink>
      <w:r>
        <w:t xml:space="preserve">, ff. 2, 4; </w:t>
      </w:r>
      <w:hyperlink w:anchor="AUTO_2013_33" w:history="1">
        <w:r w:rsidRPr="00E27756">
          <w:rPr>
            <w:rStyle w:val="TextoNormalCaracter"/>
          </w:rPr>
          <w:t>33/2013</w:t>
        </w:r>
      </w:hyperlink>
      <w:r>
        <w:t>, f. 4.</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Auto </w:t>
      </w:r>
      <w:hyperlink w:anchor="AUTO_2013_33" w:history="1">
        <w:r w:rsidRPr="00E27756">
          <w:rPr>
            <w:rStyle w:val="TextoNormalCaracter"/>
          </w:rPr>
          <w:t>33/2013</w:t>
        </w:r>
      </w:hyperlink>
      <w:r>
        <w:t>, f. 4.</w:t>
      </w:r>
    </w:p>
    <w:p w:rsidR="00E27756" w:rsidRDefault="00E27756" w:rsidP="00E27756">
      <w:pPr>
        <w:pStyle w:val="SangriaFrancesaArticulo"/>
      </w:pPr>
      <w:r w:rsidRPr="00E27756">
        <w:rPr>
          <w:rStyle w:val="TextoNormalNegritaCaracter"/>
        </w:rPr>
        <w:t>Artículo 5. 2.</w:t>
      </w:r>
      <w:r w:rsidRPr="00E27756">
        <w:rPr>
          <w:rStyle w:val="TextoNormalCaracter"/>
        </w:rPr>
        <w:t>-</w:t>
      </w:r>
      <w:r>
        <w:t xml:space="preserve"> Auto </w:t>
      </w:r>
      <w:hyperlink w:anchor="AUTO_2013_33" w:history="1">
        <w:r w:rsidRPr="00E27756">
          <w:rPr>
            <w:rStyle w:val="TextoNormalCaracter"/>
          </w:rPr>
          <w:t>33/2013</w:t>
        </w:r>
      </w:hyperlink>
      <w:r>
        <w:t>, f. 4.</w:t>
      </w:r>
    </w:p>
    <w:p w:rsidR="00E27756" w:rsidRDefault="00E27756" w:rsidP="00E27756">
      <w:pPr>
        <w:pStyle w:val="SangriaFrancesaArticulo"/>
      </w:pPr>
      <w:r w:rsidRPr="00E27756">
        <w:rPr>
          <w:rStyle w:val="TextoNormalNegritaCaracter"/>
        </w:rPr>
        <w:t>Artículo 5.1.</w:t>
      </w:r>
      <w:r w:rsidRPr="00E27756">
        <w:rPr>
          <w:rStyle w:val="TextoNormalCaracter"/>
        </w:rPr>
        <w:t>-</w:t>
      </w:r>
      <w:r>
        <w:t xml:space="preserve"> Auto </w:t>
      </w:r>
      <w:hyperlink w:anchor="AUTO_2013_33" w:history="1">
        <w:r w:rsidRPr="00E27756">
          <w:rPr>
            <w:rStyle w:val="TextoNormalCaracter"/>
          </w:rPr>
          <w:t>33/2013</w:t>
        </w:r>
      </w:hyperlink>
      <w:r>
        <w:t>, f. 4.</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Auto </w:t>
      </w:r>
      <w:hyperlink w:anchor="AUTO_2013_33" w:history="1">
        <w:r w:rsidRPr="00E27756">
          <w:rPr>
            <w:rStyle w:val="TextoNormalCaracter"/>
          </w:rPr>
          <w:t>33/2013</w:t>
        </w:r>
      </w:hyperlink>
      <w:r>
        <w:t>, f. 4.</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Auto </w:t>
      </w:r>
      <w:hyperlink w:anchor="AUTO_2013_33" w:history="1">
        <w:r w:rsidRPr="00E27756">
          <w:rPr>
            <w:rStyle w:val="TextoNormalCaracter"/>
          </w:rPr>
          <w:t>33/2013</w:t>
        </w:r>
      </w:hyperlink>
      <w:r>
        <w:t>, f. 4.</w:t>
      </w:r>
    </w:p>
    <w:p w:rsidR="00E27756" w:rsidRDefault="00E27756" w:rsidP="00E27756">
      <w:pPr>
        <w:pStyle w:val="SangriaFrancesaArticulo"/>
      </w:pPr>
      <w:r w:rsidRPr="00E27756">
        <w:rPr>
          <w:rStyle w:val="TextoNormalNegritaCaracter"/>
        </w:rPr>
        <w:t>Disposición transitoria única.</w:t>
      </w:r>
      <w:r w:rsidRPr="00E27756">
        <w:rPr>
          <w:rStyle w:val="TextoNormalCaracter"/>
        </w:rPr>
        <w:t>-</w:t>
      </w:r>
      <w:r>
        <w:t xml:space="preserve"> Sentencia </w:t>
      </w:r>
      <w:hyperlink w:anchor="SENTENCIA_2013_47" w:history="1">
        <w:r w:rsidRPr="00E27756">
          <w:rPr>
            <w:rStyle w:val="TextoNormalCaracter"/>
          </w:rPr>
          <w:t>47/2013</w:t>
        </w:r>
      </w:hyperlink>
      <w:r>
        <w:t>, f. 2.</w:t>
      </w:r>
    </w:p>
    <w:p w:rsidR="00E27756" w:rsidRDefault="00E27756" w:rsidP="00E27756">
      <w:pPr>
        <w:pStyle w:val="SangriaFrancesaArticulo"/>
      </w:pPr>
      <w:r w:rsidRPr="00E27756">
        <w:rPr>
          <w:rStyle w:val="TextoNormalNegritaCaracter"/>
        </w:rPr>
        <w:t>Anexo.</w:t>
      </w:r>
      <w:r w:rsidRPr="00E27756">
        <w:rPr>
          <w:rStyle w:val="TextoNormalCaracter"/>
        </w:rPr>
        <w:t>-</w:t>
      </w:r>
      <w:r>
        <w:t xml:space="preserve"> Auto </w:t>
      </w:r>
      <w:hyperlink w:anchor="AUTO_2013_33" w:history="1">
        <w:r w:rsidRPr="00E27756">
          <w:rPr>
            <w:rStyle w:val="TextoNormalCaracter"/>
          </w:rPr>
          <w:t>33/2013</w:t>
        </w:r>
      </w:hyperlink>
      <w:r>
        <w:t>, f. 4.</w:t>
      </w:r>
    </w:p>
    <w:p w:rsidR="00E27756" w:rsidRDefault="00E27756" w:rsidP="00E27756">
      <w:pPr>
        <w:pStyle w:val="SangriaFrancesaArticulo"/>
      </w:pPr>
    </w:p>
    <w:p w:rsidR="00E27756" w:rsidRDefault="00E27756" w:rsidP="00E27756">
      <w:pPr>
        <w:pStyle w:val="TextoNormalNegritaCursivandice"/>
      </w:pPr>
      <w:r>
        <w:t>Real Decreto 1631/2006, de 29 de diciembre. Establece las enseñanzas mínimas correspondientes a la educación secundaria obligatoria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24" w:history="1">
        <w:r w:rsidRPr="00E27756">
          <w:rPr>
            <w:rStyle w:val="TextoNormalCaracter"/>
          </w:rPr>
          <w:t>24/2013</w:t>
        </w:r>
      </w:hyperlink>
      <w:r>
        <w:t xml:space="preserve">, ff. 1, 5 a 7; </w:t>
      </w:r>
      <w:hyperlink w:anchor="SENTENCIA_2013_48" w:history="1">
        <w:r w:rsidRPr="00E27756">
          <w:rPr>
            <w:rStyle w:val="TextoNormalCaracter"/>
          </w:rPr>
          <w:t>48/2013</w:t>
        </w:r>
      </w:hyperlink>
      <w:r>
        <w:t>, ff. 2, 4.</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48" w:history="1">
        <w:r w:rsidRPr="00E27756">
          <w:rPr>
            <w:rStyle w:val="TextoNormalCaracter"/>
          </w:rPr>
          <w:t>48/2013</w:t>
        </w:r>
      </w:hyperlink>
      <w:r>
        <w:t>, f. 2.</w:t>
      </w:r>
    </w:p>
    <w:p w:rsidR="00E27756" w:rsidRDefault="00E27756" w:rsidP="00E27756">
      <w:pPr>
        <w:pStyle w:val="SangriaFrancesaArticulo"/>
      </w:pPr>
      <w:r w:rsidRPr="00E27756">
        <w:rPr>
          <w:rStyle w:val="TextoNormalNegritaCaracter"/>
        </w:rPr>
        <w:t>Artículo 10.4.</w:t>
      </w:r>
      <w:r w:rsidRPr="00E27756">
        <w:rPr>
          <w:rStyle w:val="TextoNormalCaracter"/>
        </w:rPr>
        <w:t>-</w:t>
      </w:r>
      <w:r>
        <w:t xml:space="preserve"> Sentencia </w:t>
      </w:r>
      <w:hyperlink w:anchor="SENTENCIA_2013_48" w:history="1">
        <w:r w:rsidRPr="00E27756">
          <w:rPr>
            <w:rStyle w:val="TextoNormalCaracter"/>
          </w:rPr>
          <w:t>48/2013</w:t>
        </w:r>
      </w:hyperlink>
      <w:r>
        <w:t>, f. 2.</w:t>
      </w:r>
    </w:p>
    <w:p w:rsidR="00E27756" w:rsidRDefault="00E27756" w:rsidP="00E27756">
      <w:pPr>
        <w:pStyle w:val="SangriaFrancesaArticulo"/>
      </w:pPr>
      <w:r w:rsidRPr="00E27756">
        <w:rPr>
          <w:rStyle w:val="TextoNormalNegritaCaracter"/>
        </w:rPr>
        <w:t>Artículo 14.</w:t>
      </w:r>
      <w:r w:rsidRPr="00E27756">
        <w:rPr>
          <w:rStyle w:val="TextoNormalCaracter"/>
        </w:rPr>
        <w:t>-</w:t>
      </w:r>
      <w:r>
        <w:t xml:space="preserve"> Sentencia </w:t>
      </w:r>
      <w:hyperlink w:anchor="SENTENCIA_2013_24" w:history="1">
        <w:r w:rsidRPr="00E27756">
          <w:rPr>
            <w:rStyle w:val="TextoNormalCaracter"/>
          </w:rPr>
          <w:t>24/2013</w:t>
        </w:r>
      </w:hyperlink>
      <w:r>
        <w:t>, f. 5.</w:t>
      </w:r>
    </w:p>
    <w:p w:rsidR="00E27756" w:rsidRDefault="00E27756" w:rsidP="00E27756">
      <w:pPr>
        <w:pStyle w:val="SangriaFrancesaArticulo"/>
      </w:pPr>
      <w:r w:rsidRPr="00E27756">
        <w:rPr>
          <w:rStyle w:val="TextoNormalNegritaCaracter"/>
        </w:rPr>
        <w:t>Artículo 14.6</w:t>
      </w:r>
      <w:r>
        <w:t xml:space="preserve"> </w:t>
      </w:r>
      <w:r w:rsidRPr="00E27756">
        <w:rPr>
          <w:rStyle w:val="TextoNormalCaracter"/>
        </w:rPr>
        <w:t>(redactado por el Real Decreto 1146/2011)</w:t>
      </w:r>
      <w:r w:rsidRPr="00E27756">
        <w:rPr>
          <w:rStyle w:val="TextoNormalNegritaCaracter"/>
        </w:rPr>
        <w:t>.</w:t>
      </w:r>
      <w:r w:rsidRPr="00E27756">
        <w:rPr>
          <w:rStyle w:val="TextoNormalCaracter"/>
        </w:rPr>
        <w:t>-</w:t>
      </w:r>
      <w:r>
        <w:t xml:space="preserve"> Sentencia </w:t>
      </w:r>
      <w:hyperlink w:anchor="SENTENCIA_2013_24" w:history="1">
        <w:r w:rsidRPr="00E27756">
          <w:rPr>
            <w:rStyle w:val="TextoNormalCaracter"/>
          </w:rPr>
          <w:t>24/2013</w:t>
        </w:r>
      </w:hyperlink>
      <w:r>
        <w:t>, f. 2.</w:t>
      </w:r>
    </w:p>
    <w:p w:rsidR="00E27756" w:rsidRDefault="00E27756" w:rsidP="00E27756">
      <w:pPr>
        <w:pStyle w:val="SangriaFrancesaArticulo"/>
      </w:pPr>
      <w:r w:rsidRPr="00E27756">
        <w:rPr>
          <w:rStyle w:val="TextoNormalNegritaCaracter"/>
        </w:rPr>
        <w:t>Artículo 14.7.</w:t>
      </w:r>
      <w:r w:rsidRPr="00E27756">
        <w:rPr>
          <w:rStyle w:val="TextoNormalCaracter"/>
        </w:rPr>
        <w:t>-</w:t>
      </w:r>
      <w:r>
        <w:t xml:space="preserve"> Sentencia </w:t>
      </w:r>
      <w:hyperlink w:anchor="SENTENCIA_2013_24" w:history="1">
        <w:r w:rsidRPr="00E27756">
          <w:rPr>
            <w:rStyle w:val="TextoNormalCaracter"/>
          </w:rPr>
          <w:t>24/2013</w:t>
        </w:r>
      </w:hyperlink>
      <w:r>
        <w:t>, ff. 1, 2, 5.</w:t>
      </w:r>
    </w:p>
    <w:p w:rsidR="00E27756" w:rsidRDefault="00E27756" w:rsidP="00E27756">
      <w:pPr>
        <w:pStyle w:val="SangriaFrancesaArticulo"/>
      </w:pPr>
      <w:r w:rsidRPr="00E27756">
        <w:rPr>
          <w:rStyle w:val="TextoNormalNegritaCaracter"/>
        </w:rPr>
        <w:t>Artículo 14.8.</w:t>
      </w:r>
      <w:r w:rsidRPr="00E27756">
        <w:rPr>
          <w:rStyle w:val="TextoNormalCaracter"/>
        </w:rPr>
        <w:t>-</w:t>
      </w:r>
      <w:r>
        <w:t xml:space="preserve"> Sentencia </w:t>
      </w:r>
      <w:hyperlink w:anchor="SENTENCIA_2013_24" w:history="1">
        <w:r w:rsidRPr="00E27756">
          <w:rPr>
            <w:rStyle w:val="TextoNormalCaracter"/>
          </w:rPr>
          <w:t>24/2013</w:t>
        </w:r>
      </w:hyperlink>
      <w:r>
        <w:t>, ff. 1, 2, 5.</w:t>
      </w:r>
    </w:p>
    <w:p w:rsidR="00E27756" w:rsidRDefault="00E27756" w:rsidP="00E27756">
      <w:pPr>
        <w:pStyle w:val="SangriaFrancesaArticulo"/>
      </w:pPr>
      <w:r w:rsidRPr="00E27756">
        <w:rPr>
          <w:rStyle w:val="TextoNormalNegritaCaracter"/>
        </w:rPr>
        <w:lastRenderedPageBreak/>
        <w:t>Disposición adicional primera.</w:t>
      </w:r>
      <w:r w:rsidRPr="00E27756">
        <w:rPr>
          <w:rStyle w:val="TextoNormalCaracter"/>
        </w:rPr>
        <w:t>-</w:t>
      </w:r>
      <w:r>
        <w:t xml:space="preserve"> Sentencia </w:t>
      </w:r>
      <w:hyperlink w:anchor="SENTENCIA_2013_24" w:history="1">
        <w:r w:rsidRPr="00E27756">
          <w:rPr>
            <w:rStyle w:val="TextoNormalCaracter"/>
          </w:rPr>
          <w:t>24/2013</w:t>
        </w:r>
      </w:hyperlink>
      <w:r>
        <w:t>, ff. 1, 2, 6.</w:t>
      </w:r>
    </w:p>
    <w:p w:rsidR="00E27756" w:rsidRDefault="00E27756" w:rsidP="00E27756">
      <w:pPr>
        <w:pStyle w:val="SangriaFrancesaArticulo"/>
      </w:pPr>
      <w:r w:rsidRPr="00E27756">
        <w:rPr>
          <w:rStyle w:val="TextoNormalNegritaCaracter"/>
        </w:rPr>
        <w:t>Disposición adicional primera, apartados 2, 3, 5.</w:t>
      </w:r>
      <w:r w:rsidRPr="00E27756">
        <w:rPr>
          <w:rStyle w:val="TextoNormalCaracter"/>
        </w:rPr>
        <w:t>-</w:t>
      </w:r>
      <w:r>
        <w:t xml:space="preserve"> Sentencia </w:t>
      </w:r>
      <w:hyperlink w:anchor="SENTENCIA_2013_24" w:history="1">
        <w:r w:rsidRPr="00E27756">
          <w:rPr>
            <w:rStyle w:val="TextoNormalCaracter"/>
          </w:rPr>
          <w:t>24/2013</w:t>
        </w:r>
      </w:hyperlink>
      <w:r>
        <w:t>, f. 6.</w:t>
      </w:r>
    </w:p>
    <w:p w:rsidR="00E27756" w:rsidRDefault="00E27756" w:rsidP="00E27756">
      <w:pPr>
        <w:pStyle w:val="SangriaFrancesaArticulo"/>
      </w:pPr>
      <w:r w:rsidRPr="00E27756">
        <w:rPr>
          <w:rStyle w:val="TextoNormalNegritaCaracter"/>
        </w:rPr>
        <w:t>Anexo I.</w:t>
      </w:r>
      <w:r w:rsidRPr="00E27756">
        <w:rPr>
          <w:rStyle w:val="TextoNormalCaracter"/>
        </w:rPr>
        <w:t>-</w:t>
      </w:r>
      <w:r>
        <w:t xml:space="preserve"> Sentencia </w:t>
      </w:r>
      <w:hyperlink w:anchor="SENTENCIA_2013_24" w:history="1">
        <w:r w:rsidRPr="00E27756">
          <w:rPr>
            <w:rStyle w:val="TextoNormalCaracter"/>
          </w:rPr>
          <w:t>24/2013</w:t>
        </w:r>
      </w:hyperlink>
      <w:r>
        <w:t>, f. 2.</w:t>
      </w:r>
    </w:p>
    <w:p w:rsidR="00E27756" w:rsidRDefault="00E27756" w:rsidP="00E27756">
      <w:pPr>
        <w:pStyle w:val="SangriaFrancesaArticulo"/>
      </w:pPr>
      <w:r w:rsidRPr="00E27756">
        <w:rPr>
          <w:rStyle w:val="TextoNormalNegritaCaracter"/>
        </w:rPr>
        <w:t>Anexo II.</w:t>
      </w:r>
      <w:r w:rsidRPr="00E27756">
        <w:rPr>
          <w:rStyle w:val="TextoNormalCaracter"/>
        </w:rPr>
        <w:t>-</w:t>
      </w:r>
      <w:r>
        <w:t xml:space="preserve"> Sentencia </w:t>
      </w:r>
      <w:hyperlink w:anchor="SENTENCIA_2013_24" w:history="1">
        <w:r w:rsidRPr="00E27756">
          <w:rPr>
            <w:rStyle w:val="TextoNormalCaracter"/>
          </w:rPr>
          <w:t>24/2013</w:t>
        </w:r>
      </w:hyperlink>
      <w:r>
        <w:t>, ff. 2, 5, 6.</w:t>
      </w:r>
    </w:p>
    <w:p w:rsidR="00E27756" w:rsidRDefault="00E27756" w:rsidP="00E27756">
      <w:pPr>
        <w:pStyle w:val="SangriaFrancesaArticulo"/>
      </w:pPr>
      <w:r w:rsidRPr="00E27756">
        <w:rPr>
          <w:rStyle w:val="TextoNormalNegritaCaracter"/>
        </w:rPr>
        <w:t>Anexo III.</w:t>
      </w:r>
      <w:r w:rsidRPr="00E27756">
        <w:rPr>
          <w:rStyle w:val="TextoNormalCaracter"/>
        </w:rPr>
        <w:t>-</w:t>
      </w:r>
      <w:r>
        <w:t xml:space="preserve"> Sentencias </w:t>
      </w:r>
      <w:hyperlink w:anchor="SENTENCIA_2013_24" w:history="1">
        <w:r w:rsidRPr="00E27756">
          <w:rPr>
            <w:rStyle w:val="TextoNormalCaracter"/>
          </w:rPr>
          <w:t>24/2013</w:t>
        </w:r>
      </w:hyperlink>
      <w:r>
        <w:t xml:space="preserve">, ff. 1, 2, 7; </w:t>
      </w:r>
      <w:hyperlink w:anchor="SENTENCIA_2013_48" w:history="1">
        <w:r w:rsidRPr="00E27756">
          <w:rPr>
            <w:rStyle w:val="TextoNormalCaracter"/>
          </w:rPr>
          <w:t>48/2013</w:t>
        </w:r>
      </w:hyperlink>
      <w:r>
        <w:t>, f. 2.</w:t>
      </w:r>
    </w:p>
    <w:p w:rsidR="00E27756" w:rsidRDefault="00E27756" w:rsidP="00E27756">
      <w:pPr>
        <w:pStyle w:val="SangriaFrancesaArticulo"/>
      </w:pPr>
    </w:p>
    <w:p w:rsidR="00E27756" w:rsidRDefault="00E27756" w:rsidP="00E27756">
      <w:pPr>
        <w:pStyle w:val="TextoNormalNegritaCursivandice"/>
      </w:pPr>
      <w:r>
        <w:t>Real Decreto 126/2007, de 2 de febrero. Regula la composición, funcionamiento y atribuciones de los comités de autoridades competentes de las demarcaciones hidrográficas con cuencas intercomunitarias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36" w:history="1">
        <w:r w:rsidRPr="00E27756">
          <w:rPr>
            <w:rStyle w:val="TextoNormalCaracter"/>
          </w:rPr>
          <w:t>36/2013</w:t>
        </w:r>
      </w:hyperlink>
      <w:r>
        <w:t xml:space="preserve">, f. 8; </w:t>
      </w:r>
      <w:hyperlink w:anchor="SENTENCIA_2013_36" w:history="1">
        <w:r w:rsidRPr="00E27756">
          <w:rPr>
            <w:rStyle w:val="TextoNormalCaracter"/>
          </w:rPr>
          <w:t>36/2013</w:t>
        </w:r>
      </w:hyperlink>
      <w:r>
        <w:t>, f. 8.</w:t>
      </w:r>
    </w:p>
    <w:p w:rsidR="00E27756" w:rsidRDefault="00E27756" w:rsidP="00E27756">
      <w:pPr>
        <w:pStyle w:val="SangriaFrancesaArticulo"/>
      </w:pPr>
    </w:p>
    <w:p w:rsidR="00E27756" w:rsidRDefault="00E27756" w:rsidP="00E27756">
      <w:pPr>
        <w:pStyle w:val="TextoNormalNegritaCursivandice"/>
      </w:pPr>
      <w:r>
        <w:t>Real Decreto 342/2007, de 9 de marzo. Regula el desarrollo de las funciones del programa MaB, así como el comité español del citado programa, en el organismo autónomo Parques Nacionales</w:t>
      </w:r>
    </w:p>
    <w:p w:rsidR="00E27756" w:rsidRDefault="00E27756" w:rsidP="00E27756">
      <w:pPr>
        <w:pStyle w:val="SangriaFrancesaArticulo"/>
      </w:pPr>
      <w:r w:rsidRPr="00E27756">
        <w:rPr>
          <w:rStyle w:val="TextoNormalNegritaCaracter"/>
        </w:rPr>
        <w:t>Artículo 4 c) 2.</w:t>
      </w:r>
      <w:r w:rsidRPr="00E27756">
        <w:rPr>
          <w:rStyle w:val="TextoNormalCaracter"/>
        </w:rPr>
        <w:t>-</w:t>
      </w:r>
      <w:r>
        <w:t xml:space="preserve"> Sentencia </w:t>
      </w:r>
      <w:hyperlink w:anchor="SENTENCIA_2013_69" w:history="1">
        <w:r w:rsidRPr="00E27756">
          <w:rPr>
            <w:rStyle w:val="TextoNormalCaracter"/>
          </w:rPr>
          <w:t>69/2013</w:t>
        </w:r>
      </w:hyperlink>
      <w:r>
        <w:t>, f. 7.</w:t>
      </w:r>
    </w:p>
    <w:p w:rsidR="00E27756" w:rsidRDefault="00E27756" w:rsidP="00E27756">
      <w:pPr>
        <w:pStyle w:val="SangriaFrancesaArticulo"/>
      </w:pPr>
      <w:r w:rsidRPr="00E27756">
        <w:rPr>
          <w:rStyle w:val="TextoNormalNegritaCaracter"/>
        </w:rPr>
        <w:t>Artículo 6.1 a), d).</w:t>
      </w:r>
      <w:r w:rsidRPr="00E27756">
        <w:rPr>
          <w:rStyle w:val="TextoNormalCaracter"/>
        </w:rPr>
        <w:t>-</w:t>
      </w:r>
      <w:r>
        <w:t xml:space="preserve"> Sentencia </w:t>
      </w:r>
      <w:hyperlink w:anchor="SENTENCIA_2013_69" w:history="1">
        <w:r w:rsidRPr="00E27756">
          <w:rPr>
            <w:rStyle w:val="TextoNormalCaracter"/>
          </w:rPr>
          <w:t>69/2013</w:t>
        </w:r>
      </w:hyperlink>
      <w:r>
        <w:t>, f. 7.</w:t>
      </w:r>
    </w:p>
    <w:p w:rsidR="00E27756" w:rsidRDefault="00E27756" w:rsidP="00E27756">
      <w:pPr>
        <w:pStyle w:val="SangriaFrancesaArticulo"/>
      </w:pPr>
      <w:r w:rsidRPr="00E27756">
        <w:rPr>
          <w:rStyle w:val="TextoNormalNegritaCaracter"/>
        </w:rPr>
        <w:t>Artículo 7.1 b).</w:t>
      </w:r>
      <w:r w:rsidRPr="00E27756">
        <w:rPr>
          <w:rStyle w:val="TextoNormalCaracter"/>
        </w:rPr>
        <w:t>-</w:t>
      </w:r>
      <w:r>
        <w:t xml:space="preserve"> Sentencia </w:t>
      </w:r>
      <w:hyperlink w:anchor="SENTENCIA_2013_69" w:history="1">
        <w:r w:rsidRPr="00E27756">
          <w:rPr>
            <w:rStyle w:val="TextoNormalCaracter"/>
          </w:rPr>
          <w:t>69/2013</w:t>
        </w:r>
      </w:hyperlink>
      <w:r>
        <w:t>, f. 7.</w:t>
      </w:r>
    </w:p>
    <w:p w:rsidR="00E27756" w:rsidRDefault="00E27756" w:rsidP="00E27756">
      <w:pPr>
        <w:pStyle w:val="SangriaFrancesaArticulo"/>
      </w:pPr>
    </w:p>
    <w:p w:rsidR="00E27756" w:rsidRDefault="00E27756" w:rsidP="00E27756">
      <w:pPr>
        <w:pStyle w:val="TextoNormalNegritaCursivandice"/>
      </w:pPr>
      <w:r>
        <w:t>Real Decreto 395/2007, de 23 de marzo. Regula el subsistema de formación profesional para el empleo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35" w:history="1">
        <w:r w:rsidRPr="00E27756">
          <w:rPr>
            <w:rStyle w:val="TextoNormalCaracter"/>
          </w:rPr>
          <w:t>35/2013</w:t>
        </w:r>
      </w:hyperlink>
      <w:r>
        <w:t xml:space="preserve">, f. 2; </w:t>
      </w:r>
      <w:hyperlink w:anchor="SENTENCIA_2013_65" w:history="1">
        <w:r w:rsidRPr="00E27756">
          <w:rPr>
            <w:rStyle w:val="TextoNormalCaracter"/>
          </w:rPr>
          <w:t>65/2013</w:t>
        </w:r>
      </w:hyperlink>
      <w:r>
        <w:t xml:space="preserve">, f. 2; </w:t>
      </w:r>
      <w:hyperlink w:anchor="SENTENCIA_2013_95" w:history="1">
        <w:r w:rsidRPr="00E27756">
          <w:rPr>
            <w:rStyle w:val="TextoNormalCaracter"/>
          </w:rPr>
          <w:t>95/2013</w:t>
        </w:r>
      </w:hyperlink>
      <w:r>
        <w:t>, f. 2.</w:t>
      </w:r>
    </w:p>
    <w:p w:rsidR="00E27756" w:rsidRDefault="00E27756" w:rsidP="00E27756">
      <w:pPr>
        <w:pStyle w:val="SangriaFrancesaArticulo"/>
      </w:pPr>
      <w:r w:rsidRPr="00E27756">
        <w:rPr>
          <w:rStyle w:val="TextoNormalNegritaCaracter"/>
        </w:rPr>
        <w:t>Disposición derogatoria única 2 a).</w:t>
      </w:r>
      <w:r w:rsidRPr="00E27756">
        <w:rPr>
          <w:rStyle w:val="TextoNormalCaracter"/>
        </w:rPr>
        <w:t>-</w:t>
      </w:r>
      <w:r>
        <w:t xml:space="preserve"> Sentencias </w:t>
      </w:r>
      <w:hyperlink w:anchor="SENTENCIA_2013_16" w:history="1">
        <w:r w:rsidRPr="00E27756">
          <w:rPr>
            <w:rStyle w:val="TextoNormalCaracter"/>
          </w:rPr>
          <w:t>16/2013</w:t>
        </w:r>
      </w:hyperlink>
      <w:r>
        <w:t xml:space="preserve">, f. 2; </w:t>
      </w:r>
      <w:hyperlink w:anchor="SENTENCIA_2013_35" w:history="1">
        <w:r w:rsidRPr="00E27756">
          <w:rPr>
            <w:rStyle w:val="TextoNormalCaracter"/>
          </w:rPr>
          <w:t>35/2013</w:t>
        </w:r>
      </w:hyperlink>
      <w:r>
        <w:t>, f. 2.</w:t>
      </w:r>
    </w:p>
    <w:p w:rsidR="00E27756" w:rsidRDefault="00E27756" w:rsidP="00E27756">
      <w:pPr>
        <w:pStyle w:val="SangriaFrancesaArticulo"/>
      </w:pPr>
      <w:r w:rsidRPr="00E27756">
        <w:rPr>
          <w:rStyle w:val="TextoNormalNegritaCaracter"/>
        </w:rPr>
        <w:t>Disposición derogatoria única, apartado 2 a).</w:t>
      </w:r>
      <w:r w:rsidRPr="00E27756">
        <w:rPr>
          <w:rStyle w:val="TextoNormalCaracter"/>
        </w:rPr>
        <w:t>-</w:t>
      </w:r>
      <w:r>
        <w:t xml:space="preserve"> Sentencia </w:t>
      </w:r>
      <w:hyperlink w:anchor="SENTENCIA_2013_62" w:history="1">
        <w:r w:rsidRPr="00E27756">
          <w:rPr>
            <w:rStyle w:val="TextoNormalCaracter"/>
          </w:rPr>
          <w:t>62/2013</w:t>
        </w:r>
      </w:hyperlink>
      <w:r>
        <w:t>, f. 2.</w:t>
      </w:r>
    </w:p>
    <w:p w:rsidR="00E27756" w:rsidRDefault="00E27756" w:rsidP="00E27756">
      <w:pPr>
        <w:pStyle w:val="SangriaFrancesaArticulo"/>
      </w:pPr>
    </w:p>
    <w:p w:rsidR="00E27756" w:rsidRDefault="00E27756" w:rsidP="00E27756">
      <w:pPr>
        <w:pStyle w:val="TextoNormalNegritaCursivandice"/>
      </w:pPr>
      <w:r>
        <w:t>Orden TAS/1051/2007, de 18 de abril. Se establecen las bases reguladoras y se convoca la concesión de subvenciones para la realización de programas de cooperación y voluntariado sociales con cargo a la asignación tributaria del impuesto sobre la renta de las personas físicas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21" w:history="1">
        <w:r w:rsidRPr="00E27756">
          <w:rPr>
            <w:rStyle w:val="TextoNormalCaracter"/>
          </w:rPr>
          <w:t>21/2013</w:t>
        </w:r>
      </w:hyperlink>
      <w:r>
        <w:t xml:space="preserve">, f. 2; </w:t>
      </w:r>
      <w:hyperlink w:anchor="SENTENCIA_2013_40" w:history="1">
        <w:r w:rsidRPr="00E27756">
          <w:rPr>
            <w:rStyle w:val="TextoNormalCaracter"/>
          </w:rPr>
          <w:t>40/2013</w:t>
        </w:r>
      </w:hyperlink>
      <w:r>
        <w:t>, ff. 1 a 3.</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40" w:history="1">
        <w:r w:rsidRPr="00E27756">
          <w:rPr>
            <w:rStyle w:val="TextoNormalCaracter"/>
          </w:rPr>
          <w:t>40/2013</w:t>
        </w:r>
      </w:hyperlink>
      <w:r>
        <w:t>, ff. 3, 4, 7.</w:t>
      </w:r>
    </w:p>
    <w:p w:rsidR="00E27756" w:rsidRDefault="00E27756" w:rsidP="00E27756">
      <w:pPr>
        <w:pStyle w:val="SangriaFrancesaArticulo"/>
      </w:pPr>
      <w:r w:rsidRPr="00E27756">
        <w:rPr>
          <w:rStyle w:val="TextoNormalNegritaCaracter"/>
        </w:rPr>
        <w:t>Artículos 2 al 20.</w:t>
      </w:r>
      <w:r w:rsidRPr="00E27756">
        <w:rPr>
          <w:rStyle w:val="TextoNormalCaracter"/>
        </w:rPr>
        <w:t>-</w:t>
      </w:r>
      <w:r>
        <w:t xml:space="preserve"> Sentencia </w:t>
      </w:r>
      <w:hyperlink w:anchor="SENTENCIA_2013_40" w:history="1">
        <w:r w:rsidRPr="00E27756">
          <w:rPr>
            <w:rStyle w:val="TextoNormalCaracter"/>
          </w:rPr>
          <w:t>40/2013</w:t>
        </w:r>
      </w:hyperlink>
      <w:r>
        <w:t>, ff. 3, 7.</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40" w:history="1">
        <w:r w:rsidRPr="00E27756">
          <w:rPr>
            <w:rStyle w:val="TextoNormalCaracter"/>
          </w:rPr>
          <w:t>40/2013</w:t>
        </w:r>
      </w:hyperlink>
      <w:r>
        <w:t>, f. 7.</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Sentencia </w:t>
      </w:r>
      <w:hyperlink w:anchor="SENTENCIA_2013_40" w:history="1">
        <w:r w:rsidRPr="00E27756">
          <w:rPr>
            <w:rStyle w:val="TextoNormalCaracter"/>
          </w:rPr>
          <w:t>40/2013</w:t>
        </w:r>
      </w:hyperlink>
      <w:r>
        <w:t>, f. 7.</w:t>
      </w:r>
    </w:p>
    <w:p w:rsidR="00E27756" w:rsidRDefault="00E27756" w:rsidP="00E27756">
      <w:pPr>
        <w:pStyle w:val="SangriaFrancesaArticulo"/>
      </w:pPr>
      <w:r w:rsidRPr="00E27756">
        <w:rPr>
          <w:rStyle w:val="TextoNormalNegritaCaracter"/>
        </w:rPr>
        <w:t>Anexo A.</w:t>
      </w:r>
      <w:r w:rsidRPr="00E27756">
        <w:rPr>
          <w:rStyle w:val="TextoNormalCaracter"/>
        </w:rPr>
        <w:t>-</w:t>
      </w:r>
      <w:r>
        <w:t xml:space="preserve"> Sentencia </w:t>
      </w:r>
      <w:hyperlink w:anchor="SENTENCIA_2013_40" w:history="1">
        <w:r w:rsidRPr="00E27756">
          <w:rPr>
            <w:rStyle w:val="TextoNormalCaracter"/>
          </w:rPr>
          <w:t>40/2013</w:t>
        </w:r>
      </w:hyperlink>
      <w:r>
        <w:t>, f. 7.</w:t>
      </w:r>
    </w:p>
    <w:p w:rsidR="00E27756" w:rsidRDefault="00E27756" w:rsidP="00E27756">
      <w:pPr>
        <w:pStyle w:val="SangriaFrancesaArticulo"/>
      </w:pPr>
      <w:r w:rsidRPr="00E27756">
        <w:rPr>
          <w:rStyle w:val="TextoNormalNegritaCaracter"/>
        </w:rPr>
        <w:t>Anexo B.</w:t>
      </w:r>
      <w:r w:rsidRPr="00E27756">
        <w:rPr>
          <w:rStyle w:val="TextoNormalCaracter"/>
        </w:rPr>
        <w:t>-</w:t>
      </w:r>
      <w:r>
        <w:t xml:space="preserve"> Sentencia </w:t>
      </w:r>
      <w:hyperlink w:anchor="SENTENCIA_2013_40" w:history="1">
        <w:r w:rsidRPr="00E27756">
          <w:rPr>
            <w:rStyle w:val="TextoNormalCaracter"/>
          </w:rPr>
          <w:t>40/2013</w:t>
        </w:r>
      </w:hyperlink>
      <w:r>
        <w:t>, ff. 3, 7.</w:t>
      </w:r>
    </w:p>
    <w:p w:rsidR="00E27756" w:rsidRDefault="00E27756" w:rsidP="00E27756">
      <w:pPr>
        <w:pStyle w:val="SangriaFrancesaArticulo"/>
      </w:pPr>
      <w:r w:rsidRPr="00E27756">
        <w:rPr>
          <w:rStyle w:val="TextoNormalNegritaCaracter"/>
        </w:rPr>
        <w:t>Anexo C.</w:t>
      </w:r>
      <w:r w:rsidRPr="00E27756">
        <w:rPr>
          <w:rStyle w:val="TextoNormalCaracter"/>
        </w:rPr>
        <w:t>-</w:t>
      </w:r>
      <w:r>
        <w:t xml:space="preserve"> Sentencia </w:t>
      </w:r>
      <w:hyperlink w:anchor="SENTENCIA_2013_40" w:history="1">
        <w:r w:rsidRPr="00E27756">
          <w:rPr>
            <w:rStyle w:val="TextoNormalCaracter"/>
          </w:rPr>
          <w:t>40/2013</w:t>
        </w:r>
      </w:hyperlink>
      <w:r>
        <w:t>, f. 7.</w:t>
      </w:r>
    </w:p>
    <w:p w:rsidR="00E27756" w:rsidRDefault="00E27756" w:rsidP="00E27756">
      <w:pPr>
        <w:pStyle w:val="SangriaFrancesaArticulo"/>
      </w:pPr>
      <w:r w:rsidRPr="00E27756">
        <w:rPr>
          <w:rStyle w:val="TextoNormalNegritaCaracter"/>
        </w:rPr>
        <w:t>Anexos I a IV.</w:t>
      </w:r>
      <w:r w:rsidRPr="00E27756">
        <w:rPr>
          <w:rStyle w:val="TextoNormalCaracter"/>
        </w:rPr>
        <w:t>-</w:t>
      </w:r>
      <w:r>
        <w:t xml:space="preserve"> Sentencia </w:t>
      </w:r>
      <w:hyperlink w:anchor="SENTENCIA_2013_40" w:history="1">
        <w:r w:rsidRPr="00E27756">
          <w:rPr>
            <w:rStyle w:val="TextoNormalCaracter"/>
          </w:rPr>
          <w:t>40/2013</w:t>
        </w:r>
      </w:hyperlink>
      <w:r>
        <w:t>, f. 7.</w:t>
      </w:r>
    </w:p>
    <w:p w:rsidR="00E27756" w:rsidRDefault="00E27756" w:rsidP="00E27756">
      <w:pPr>
        <w:pStyle w:val="SangriaFrancesaArticulo"/>
      </w:pPr>
    </w:p>
    <w:p w:rsidR="00E27756" w:rsidRDefault="00E27756" w:rsidP="00E27756">
      <w:pPr>
        <w:pStyle w:val="TextoNormalNegritaCursivandice"/>
      </w:pPr>
      <w:r>
        <w:t>Orden TAS/2307/2007, de 27 de julio. Desarrolla parcialmente el Real Decreto 395/2007, de 23 de marzo, por el que se regula el subsistema de formación profesional para el empleo en materia de formación de demanda y su financiación, y se crea el correspondiente sistema telemático, así como los ficheros de datos personales de titularidad del Servicio público de empleo estatal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5" w:history="1">
        <w:r w:rsidRPr="00E27756">
          <w:rPr>
            <w:rStyle w:val="TextoNormalCaracter"/>
          </w:rPr>
          <w:t>95/2013</w:t>
        </w:r>
      </w:hyperlink>
      <w:r>
        <w:t>, f. 2.</w:t>
      </w:r>
    </w:p>
    <w:p w:rsidR="00E27756" w:rsidRDefault="00E27756" w:rsidP="00E27756">
      <w:pPr>
        <w:pStyle w:val="SangriaFrancesaArticulo"/>
      </w:pPr>
    </w:p>
    <w:p w:rsidR="00E27756" w:rsidRDefault="00E27756" w:rsidP="00E27756">
      <w:pPr>
        <w:pStyle w:val="TextoNormalNegritaCursivandice"/>
      </w:pPr>
      <w:r>
        <w:lastRenderedPageBreak/>
        <w:t>Real Decreto 1262/2007, de 21 de septiembre. Regula la composición, competencias y régimen de funcionamiento del consejo para la promoción de la igualdad de trato y no discriminación de las personas por el origen racial o étnico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4" w:history="1">
        <w:r w:rsidRPr="00E27756">
          <w:rPr>
            <w:rStyle w:val="TextoNormalCaracter"/>
          </w:rPr>
          <w:t>104/2013</w:t>
        </w:r>
      </w:hyperlink>
      <w:r>
        <w:t>, f. 3.</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104" w:history="1">
        <w:r w:rsidRPr="00E27756">
          <w:rPr>
            <w:rStyle w:val="TextoNormalCaracter"/>
          </w:rPr>
          <w:t>104/2013</w:t>
        </w:r>
      </w:hyperlink>
      <w:r>
        <w:t>, f. 3.</w:t>
      </w:r>
    </w:p>
    <w:p w:rsidR="00E27756" w:rsidRDefault="00E27756" w:rsidP="00E27756">
      <w:pPr>
        <w:pStyle w:val="SangriaFrancesaArticulo"/>
      </w:pPr>
      <w:r w:rsidRPr="00E27756">
        <w:rPr>
          <w:rStyle w:val="TextoNormalNegritaCaracter"/>
        </w:rPr>
        <w:t>Artículo 3 a).</w:t>
      </w:r>
      <w:r w:rsidRPr="00E27756">
        <w:rPr>
          <w:rStyle w:val="TextoNormalCaracter"/>
        </w:rPr>
        <w:t>-</w:t>
      </w:r>
      <w:r>
        <w:t xml:space="preserve"> Sentencia </w:t>
      </w:r>
      <w:hyperlink w:anchor="SENTENCIA_2013_104" w:history="1">
        <w:r w:rsidRPr="00E27756">
          <w:rPr>
            <w:rStyle w:val="TextoNormalCaracter"/>
          </w:rPr>
          <w:t>104/2013</w:t>
        </w:r>
      </w:hyperlink>
      <w:r>
        <w:t>, f. 3.</w:t>
      </w:r>
    </w:p>
    <w:p w:rsidR="00E27756" w:rsidRDefault="00E27756" w:rsidP="00E27756">
      <w:pPr>
        <w:pStyle w:val="SangriaFrancesaArticulo"/>
      </w:pPr>
      <w:r w:rsidRPr="00E27756">
        <w:rPr>
          <w:rStyle w:val="TextoNormalNegritaCaracter"/>
        </w:rPr>
        <w:t>Artículo 4.1 e).</w:t>
      </w:r>
      <w:r w:rsidRPr="00E27756">
        <w:rPr>
          <w:rStyle w:val="TextoNormalCaracter"/>
        </w:rPr>
        <w:t>-</w:t>
      </w:r>
      <w:r>
        <w:t xml:space="preserve"> Sentencia </w:t>
      </w:r>
      <w:hyperlink w:anchor="SENTENCIA_2013_104" w:history="1">
        <w:r w:rsidRPr="00E27756">
          <w:rPr>
            <w:rStyle w:val="TextoNormalCaracter"/>
          </w:rPr>
          <w:t>104/2013</w:t>
        </w:r>
      </w:hyperlink>
      <w:r>
        <w:t>, f. 3.</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104" w:history="1">
        <w:r w:rsidRPr="00E27756">
          <w:rPr>
            <w:rStyle w:val="TextoNormalCaracter"/>
          </w:rPr>
          <w:t>104/2013</w:t>
        </w:r>
      </w:hyperlink>
      <w:r>
        <w:t>, f. 3.</w:t>
      </w:r>
    </w:p>
    <w:p w:rsidR="00E27756" w:rsidRDefault="00E27756" w:rsidP="00E27756">
      <w:pPr>
        <w:pStyle w:val="SangriaFrancesaArticulo"/>
      </w:pPr>
    </w:p>
    <w:p w:rsidR="00E27756" w:rsidRDefault="00E27756" w:rsidP="00E27756">
      <w:pPr>
        <w:pStyle w:val="TextoNormalNegritaCursivandice"/>
      </w:pPr>
      <w:r>
        <w:t>Real Decreto 1720/2007, de 21 de diciembre. Aprueba el Reglamento de desarrollo de la Ley Orgánica 15/1999, de 13 de diciembre, de protección de datos de carácter personal</w:t>
      </w:r>
    </w:p>
    <w:p w:rsidR="00E27756" w:rsidRDefault="00E27756" w:rsidP="00E27756">
      <w:pPr>
        <w:pStyle w:val="SangriaFrancesaArticulo"/>
      </w:pPr>
      <w:r w:rsidRPr="00E27756">
        <w:rPr>
          <w:rStyle w:val="TextoNormalNegritaCaracter"/>
        </w:rPr>
        <w:t>Artículo 5.1 f).</w:t>
      </w:r>
      <w:r w:rsidRPr="00E27756">
        <w:rPr>
          <w:rStyle w:val="TextoNormalCaracter"/>
        </w:rPr>
        <w:t>-</w:t>
      </w:r>
      <w:r>
        <w:t xml:space="preserve"> Sentencia </w:t>
      </w:r>
      <w:hyperlink w:anchor="SENTENCIA_2013_29" w:history="1">
        <w:r w:rsidRPr="00E27756">
          <w:rPr>
            <w:rStyle w:val="TextoNormalCaracter"/>
          </w:rPr>
          <w:t>29/2013</w:t>
        </w:r>
      </w:hyperlink>
      <w:r>
        <w:t>, f. 5.</w:t>
      </w:r>
    </w:p>
    <w:p w:rsidR="00E27756" w:rsidRDefault="00E27756" w:rsidP="00E27756">
      <w:pPr>
        <w:pStyle w:val="SangriaFrancesaArticulo"/>
      </w:pPr>
    </w:p>
    <w:p w:rsidR="00E27756" w:rsidRDefault="00E27756" w:rsidP="00E27756">
      <w:pPr>
        <w:pStyle w:val="TextoNormalNegritaCursivandice"/>
      </w:pPr>
      <w:r>
        <w:t>Real Decreto 222/2008, de 15 de febrero. Régimen retributivo de la actividad de distribución de energía eléctrica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r w:rsidRPr="00E27756">
        <w:rPr>
          <w:rStyle w:val="TextoNormalNegritaCaracter"/>
        </w:rPr>
        <w:t>Anexo I.</w:t>
      </w:r>
      <w:r w:rsidRPr="00E27756">
        <w:rPr>
          <w:rStyle w:val="TextoNormalCaracter"/>
        </w:rPr>
        <w:t>-</w:t>
      </w:r>
      <w:r>
        <w:t xml:space="preserve"> Sentencia </w:t>
      </w:r>
      <w:hyperlink w:anchor="SENTENCIA_2013_4" w:history="1">
        <w:r w:rsidRPr="00E27756">
          <w:rPr>
            <w:rStyle w:val="TextoNormalCaracter"/>
          </w:rPr>
          <w:t>4/2013</w:t>
        </w:r>
      </w:hyperlink>
      <w:r>
        <w:t>, f. 10.</w:t>
      </w:r>
    </w:p>
    <w:p w:rsidR="00E27756" w:rsidRDefault="00E27756" w:rsidP="00E27756">
      <w:pPr>
        <w:pStyle w:val="SangriaFrancesaArticulo"/>
      </w:pPr>
    </w:p>
    <w:p w:rsidR="00E27756" w:rsidRDefault="00E27756" w:rsidP="00E27756">
      <w:pPr>
        <w:pStyle w:val="TextoNormalNegritaCursivandice"/>
      </w:pPr>
      <w:r>
        <w:t>Orden TAS/592/2008, de 29 de febrero. Se establecen las bases reguladoras y se convoca la concesión de subvenciones para la realización de programas de cooperación y voluntariado sociales con cargo a la asignación tributaria del impuesto sobre la renta de las personas físicas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0" w:history="1">
        <w:r w:rsidRPr="00E27756">
          <w:rPr>
            <w:rStyle w:val="TextoNormalCaracter"/>
          </w:rPr>
          <w:t>40/2013</w:t>
        </w:r>
      </w:hyperlink>
      <w:r>
        <w:t>, f. 2.</w:t>
      </w:r>
    </w:p>
    <w:p w:rsidR="00E27756" w:rsidRDefault="00E27756" w:rsidP="00E27756">
      <w:pPr>
        <w:pStyle w:val="SangriaFrancesaArticulo"/>
      </w:pPr>
    </w:p>
    <w:p w:rsidR="00E27756" w:rsidRDefault="00E27756" w:rsidP="00E27756">
      <w:pPr>
        <w:pStyle w:val="TextoNormalNegritaCursivandice"/>
      </w:pPr>
      <w:r>
        <w:t>Orden TIN/2158/2008, de 18 de julio. Se establecen las bases reguladoras para la concesión de las subvenciones a entidades locales para el desarrollo de programas innovadores a favor de la integración de inmigrantes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6" w:history="1">
        <w:r w:rsidRPr="00E27756">
          <w:rPr>
            <w:rStyle w:val="TextoNormalCaracter"/>
          </w:rPr>
          <w:t>26/2013</w:t>
        </w:r>
      </w:hyperlink>
      <w:r>
        <w:t>, ff. 1, 2, 4, 5, 7, 8.</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26" w:history="1">
        <w:r w:rsidRPr="00E27756">
          <w:rPr>
            <w:rStyle w:val="TextoNormalCaracter"/>
          </w:rPr>
          <w:t>26/2013</w:t>
        </w:r>
      </w:hyperlink>
      <w:r>
        <w:t>, ff. 4, 5, 8.</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 </w:t>
      </w:r>
      <w:hyperlink w:anchor="SENTENCIA_2013_26" w:history="1">
        <w:r w:rsidRPr="00E27756">
          <w:rPr>
            <w:rStyle w:val="TextoNormalCaracter"/>
          </w:rPr>
          <w:t>26/2013</w:t>
        </w:r>
      </w:hyperlink>
      <w:r>
        <w:t>, f. 6.</w:t>
      </w:r>
    </w:p>
    <w:p w:rsidR="00E27756" w:rsidRDefault="00E27756" w:rsidP="00E27756">
      <w:pPr>
        <w:pStyle w:val="SangriaFrancesaArticulo"/>
      </w:pPr>
      <w:r w:rsidRPr="00E27756">
        <w:rPr>
          <w:rStyle w:val="TextoNormalNegritaCaracter"/>
        </w:rPr>
        <w:t>Artículos 3 a 19.</w:t>
      </w:r>
      <w:r w:rsidRPr="00E27756">
        <w:rPr>
          <w:rStyle w:val="TextoNormalCaracter"/>
        </w:rPr>
        <w:t>-</w:t>
      </w:r>
      <w:r>
        <w:t xml:space="preserve"> Sentencia </w:t>
      </w:r>
      <w:hyperlink w:anchor="SENTENCIA_2013_26" w:history="1">
        <w:r w:rsidRPr="00E27756">
          <w:rPr>
            <w:rStyle w:val="TextoNormalCaracter"/>
          </w:rPr>
          <w:t>26/2013</w:t>
        </w:r>
      </w:hyperlink>
      <w:r>
        <w:t>, ff. 4, 8.</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26" w:history="1">
        <w:r w:rsidRPr="00E27756">
          <w:rPr>
            <w:rStyle w:val="TextoNormalCaracter"/>
          </w:rPr>
          <w:t>26/2013</w:t>
        </w:r>
      </w:hyperlink>
      <w:r>
        <w:t>, f. 8.</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Sentencia </w:t>
      </w:r>
      <w:hyperlink w:anchor="SENTENCIA_2013_26" w:history="1">
        <w:r w:rsidRPr="00E27756">
          <w:rPr>
            <w:rStyle w:val="TextoNormalCaracter"/>
          </w:rPr>
          <w:t>26/2013</w:t>
        </w:r>
      </w:hyperlink>
      <w:r>
        <w:t>, f. 8.</w:t>
      </w:r>
    </w:p>
    <w:p w:rsidR="00E27756" w:rsidRDefault="00E27756" w:rsidP="00E27756">
      <w:pPr>
        <w:pStyle w:val="SangriaFrancesaArticulo"/>
      </w:pPr>
      <w:r w:rsidRPr="00E27756">
        <w:rPr>
          <w:rStyle w:val="TextoNormalNegritaCaracter"/>
        </w:rPr>
        <w:t>Disposición final tercera.</w:t>
      </w:r>
      <w:r w:rsidRPr="00E27756">
        <w:rPr>
          <w:rStyle w:val="TextoNormalCaracter"/>
        </w:rPr>
        <w:t>-</w:t>
      </w:r>
      <w:r>
        <w:t xml:space="preserve"> Sentencia </w:t>
      </w:r>
      <w:hyperlink w:anchor="SENTENCIA_2013_26" w:history="1">
        <w:r w:rsidRPr="00E27756">
          <w:rPr>
            <w:rStyle w:val="TextoNormalCaracter"/>
          </w:rPr>
          <w:t>26/2013</w:t>
        </w:r>
      </w:hyperlink>
      <w:r>
        <w:t>, f. 8.</w:t>
      </w:r>
    </w:p>
    <w:p w:rsidR="00E27756" w:rsidRDefault="00E27756" w:rsidP="00E27756">
      <w:pPr>
        <w:pStyle w:val="SangriaFrancesaArticulo"/>
      </w:pPr>
    </w:p>
    <w:p w:rsidR="00E27756" w:rsidRDefault="00E27756" w:rsidP="00E27756">
      <w:pPr>
        <w:pStyle w:val="TextoNormalNegritaCursivandice"/>
      </w:pPr>
      <w:r>
        <w:t>Órdenes comunicadas del Ministerio de Fomento de 18, 28 y 30 de julio de 2008. Determinación de los servicios públicos esenciales para la comunidad a mantener durante las huelgas convocadas en los respectivos centros de trabajo en el aeropuerto de Barcelona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4" w:history="1">
        <w:r w:rsidRPr="00E27756">
          <w:rPr>
            <w:rStyle w:val="TextoNormalCaracter"/>
          </w:rPr>
          <w:t>124/2013</w:t>
        </w:r>
      </w:hyperlink>
      <w:r>
        <w:t>, f. 1.</w:t>
      </w:r>
    </w:p>
    <w:p w:rsidR="00E27756" w:rsidRDefault="00E27756" w:rsidP="00E27756">
      <w:pPr>
        <w:pStyle w:val="SangriaFrancesaArticulo"/>
      </w:pPr>
    </w:p>
    <w:p w:rsidR="00E27756" w:rsidRDefault="00E27756" w:rsidP="00E27756">
      <w:pPr>
        <w:pStyle w:val="TextoNormalNegritaCursivandice"/>
      </w:pPr>
      <w:r>
        <w:lastRenderedPageBreak/>
        <w:t>Resolución de 11 de agosto de 2008, de la Dirección General de Integración de los Inmigrantes. Se convoca la concesión de subvenciones a municipios, mancomunidades de municipios y comarcas para el desarrollo de programas innovadores a favor de la integración de inmigrantes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6" w:history="1">
        <w:r w:rsidRPr="00E27756">
          <w:rPr>
            <w:rStyle w:val="TextoNormalCaracter"/>
          </w:rPr>
          <w:t>26/2013</w:t>
        </w:r>
      </w:hyperlink>
      <w:r>
        <w:t>, ff. 1, 2, 4, 5.</w:t>
      </w:r>
    </w:p>
    <w:p w:rsidR="00E27756" w:rsidRDefault="00E27756" w:rsidP="00E27756">
      <w:pPr>
        <w:pStyle w:val="SangriaFrancesaArticulo"/>
      </w:pPr>
      <w:r w:rsidRPr="00E27756">
        <w:rPr>
          <w:rStyle w:val="TextoNormalNegritaCaracter"/>
        </w:rPr>
        <w:t>Artículos 1 a 12.</w:t>
      </w:r>
      <w:r w:rsidRPr="00E27756">
        <w:rPr>
          <w:rStyle w:val="TextoNormalCaracter"/>
        </w:rPr>
        <w:t>-</w:t>
      </w:r>
      <w:r>
        <w:t xml:space="preserve"> Sentencia </w:t>
      </w:r>
      <w:hyperlink w:anchor="SENTENCIA_2013_26" w:history="1">
        <w:r w:rsidRPr="00E27756">
          <w:rPr>
            <w:rStyle w:val="TextoNormalCaracter"/>
          </w:rPr>
          <w:t>26/2013</w:t>
        </w:r>
      </w:hyperlink>
      <w:r>
        <w:t>, f. 4.</w:t>
      </w:r>
    </w:p>
    <w:p w:rsidR="00E27756" w:rsidRDefault="00E27756" w:rsidP="00E27756">
      <w:pPr>
        <w:pStyle w:val="SangriaFrancesaArticulo"/>
      </w:pPr>
    </w:p>
    <w:p w:rsidR="00E27756" w:rsidRDefault="00E27756" w:rsidP="00E27756">
      <w:pPr>
        <w:pStyle w:val="TextoNormalNegritaCursivandice"/>
      </w:pPr>
      <w:r>
        <w:t>Orden TIN/2805/2008, de 26 de septiembre. Desarrolla el Real Decreto 395/2007, de 23 de marzo, por el que se regula el subsistema de formación profesional para el empleo, en materia de acciones de apoyo y acompañamiento a la formación y se establecen las bases reguladoras para la concesión de subvenciones públicas destinadas a su financiación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5" w:history="1">
        <w:r w:rsidRPr="00E27756">
          <w:rPr>
            <w:rStyle w:val="TextoNormalCaracter"/>
          </w:rPr>
          <w:t>65/2013</w:t>
        </w:r>
      </w:hyperlink>
      <w:r>
        <w:t>, f. 2.</w:t>
      </w:r>
    </w:p>
    <w:p w:rsidR="00E27756" w:rsidRDefault="00E27756" w:rsidP="00E27756">
      <w:pPr>
        <w:pStyle w:val="SangriaFrancesaArticulo"/>
      </w:pPr>
    </w:p>
    <w:p w:rsidR="00E27756" w:rsidRDefault="00E27756" w:rsidP="00E27756">
      <w:pPr>
        <w:pStyle w:val="TextoNormalNegritaCursivandice"/>
      </w:pPr>
      <w:r>
        <w:t>Orden ARM/2876/2008, de 2 de octubre. Establece las bases reguladoras para la concesión de subvenciones a asociaciones declaradas de utilidad pública y fundaciones adscritas al protectorado del Ministerio para la realización de actividades relativas a los programas que se desarrollen en realización con la defensa del medio natural y la biodiversidad, la utilización sostenible de los recursos naturales y la prevención de la contaminación y del cambio climático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13" w:history="1">
        <w:r w:rsidRPr="00E27756">
          <w:rPr>
            <w:rStyle w:val="TextoNormalCaracter"/>
          </w:rPr>
          <w:t>113/2013</w:t>
        </w:r>
      </w:hyperlink>
      <w:r>
        <w:t>, f. 4.</w:t>
      </w:r>
    </w:p>
    <w:p w:rsidR="00E27756" w:rsidRDefault="00E27756" w:rsidP="00E27756">
      <w:pPr>
        <w:pStyle w:val="SangriaFrancesaArticulo"/>
      </w:pPr>
    </w:p>
    <w:p w:rsidR="00E27756" w:rsidRDefault="00E27756" w:rsidP="00E27756">
      <w:pPr>
        <w:pStyle w:val="TextoNormalNegritaCursivandice"/>
      </w:pPr>
      <w:r>
        <w:t>Real Decreto 2066/2008, de 12 de diciembre. Plan Estatal de Vivienda y Rehabilitación 2009-2012</w:t>
      </w:r>
    </w:p>
    <w:p w:rsidR="00E27756" w:rsidRDefault="00E27756" w:rsidP="00E27756">
      <w:pPr>
        <w:pStyle w:val="SangriaFrancesaArticulo"/>
      </w:pPr>
      <w:r w:rsidRPr="00E27756">
        <w:rPr>
          <w:rStyle w:val="TextoNormalNegritaCaracter"/>
        </w:rPr>
        <w:t>En general</w:t>
      </w:r>
      <w:r>
        <w:t xml:space="preserve"> </w:t>
      </w:r>
      <w:r w:rsidRPr="00E27756">
        <w:rPr>
          <w:rStyle w:val="TextoNormalCaracter"/>
        </w:rPr>
        <w:t>(redactado por el Real Decreto 1961/2009, de 18 de diciembre, y por el Real Decreto 1713/2010, de 17 de diciembre)</w:t>
      </w:r>
      <w:r w:rsidRPr="00E27756">
        <w:rPr>
          <w:rStyle w:val="TextoNormalNegritaCaracter"/>
        </w:rPr>
        <w:t>.</w:t>
      </w:r>
      <w:r w:rsidRPr="00E27756">
        <w:rPr>
          <w:rStyle w:val="TextoNormalCaracter"/>
        </w:rPr>
        <w:t>-</w:t>
      </w:r>
      <w:r>
        <w:t xml:space="preserve"> Sentencia </w:t>
      </w:r>
      <w:hyperlink w:anchor="SENTENCIA_2013_112" w:history="1">
        <w:r w:rsidRPr="00E27756">
          <w:rPr>
            <w:rStyle w:val="TextoNormalCaracter"/>
          </w:rPr>
          <w:t>112/2013</w:t>
        </w:r>
      </w:hyperlink>
      <w:r>
        <w:t>, ff. 2, 3, 5.</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112" w:history="1">
        <w:r w:rsidRPr="00E27756">
          <w:rPr>
            <w:rStyle w:val="TextoNormalCaracter"/>
          </w:rPr>
          <w:t>112/2013</w:t>
        </w:r>
      </w:hyperlink>
      <w:r>
        <w:t>, f. 4.</w:t>
      </w:r>
    </w:p>
    <w:p w:rsidR="00E27756" w:rsidRDefault="00E27756" w:rsidP="00E27756">
      <w:pPr>
        <w:pStyle w:val="SangriaFrancesaArticulo"/>
      </w:pPr>
      <w:r w:rsidRPr="00E27756">
        <w:rPr>
          <w:rStyle w:val="TextoNormalNegritaCaracter"/>
        </w:rPr>
        <w:t>Artículo 3.1 b).</w:t>
      </w:r>
      <w:r w:rsidRPr="00E27756">
        <w:rPr>
          <w:rStyle w:val="TextoNormalCaracter"/>
        </w:rPr>
        <w:t>-</w:t>
      </w:r>
      <w:r>
        <w:t xml:space="preserve"> Sentencia </w:t>
      </w:r>
      <w:hyperlink w:anchor="SENTENCIA_2013_112" w:history="1">
        <w:r w:rsidRPr="00E27756">
          <w:rPr>
            <w:rStyle w:val="TextoNormalCaracter"/>
          </w:rPr>
          <w:t>112/2013</w:t>
        </w:r>
      </w:hyperlink>
      <w:r>
        <w:t>, ff. 1, 2, 4.</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112" w:history="1">
        <w:r w:rsidRPr="00E27756">
          <w:rPr>
            <w:rStyle w:val="TextoNormalCaracter"/>
          </w:rPr>
          <w:t>112/2013</w:t>
        </w:r>
      </w:hyperlink>
      <w:r>
        <w:t>, f. 5.</w:t>
      </w:r>
    </w:p>
    <w:p w:rsidR="00E27756" w:rsidRDefault="00E27756" w:rsidP="00E27756">
      <w:pPr>
        <w:pStyle w:val="SangriaFrancesaArticulo"/>
      </w:pPr>
      <w:r w:rsidRPr="00E27756">
        <w:rPr>
          <w:rStyle w:val="TextoNormalNegritaCaracter"/>
        </w:rPr>
        <w:t>Artículo 5.1.</w:t>
      </w:r>
      <w:r w:rsidRPr="00E27756">
        <w:rPr>
          <w:rStyle w:val="TextoNormalCaracter"/>
        </w:rPr>
        <w:t>-</w:t>
      </w:r>
      <w:r>
        <w:t xml:space="preserve"> Sentencia </w:t>
      </w:r>
      <w:hyperlink w:anchor="SENTENCIA_2013_112" w:history="1">
        <w:r w:rsidRPr="00E27756">
          <w:rPr>
            <w:rStyle w:val="TextoNormalCaracter"/>
          </w:rPr>
          <w:t>112/2013</w:t>
        </w:r>
      </w:hyperlink>
      <w:r>
        <w:t>, f. 4.</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112" w:history="1">
        <w:r w:rsidRPr="00E27756">
          <w:rPr>
            <w:rStyle w:val="TextoNormalCaracter"/>
          </w:rPr>
          <w:t>112/2013</w:t>
        </w:r>
      </w:hyperlink>
      <w:r>
        <w:t>, ff. 1, 2.</w:t>
      </w:r>
    </w:p>
    <w:p w:rsidR="00E27756" w:rsidRDefault="00E27756" w:rsidP="00E27756">
      <w:pPr>
        <w:pStyle w:val="SangriaFrancesaArticulo"/>
      </w:pPr>
      <w:r w:rsidRPr="00E27756">
        <w:rPr>
          <w:rStyle w:val="TextoNormalNegritaCaracter"/>
        </w:rPr>
        <w:t>Artículo 6.1.</w:t>
      </w:r>
      <w:r w:rsidRPr="00E27756">
        <w:rPr>
          <w:rStyle w:val="TextoNormalCaracter"/>
        </w:rPr>
        <w:t>-</w:t>
      </w:r>
      <w:r>
        <w:t xml:space="preserve"> Sentencia </w:t>
      </w:r>
      <w:hyperlink w:anchor="SENTENCIA_2013_112" w:history="1">
        <w:r w:rsidRPr="00E27756">
          <w:rPr>
            <w:rStyle w:val="TextoNormalCaracter"/>
          </w:rPr>
          <w:t>112/2013</w:t>
        </w:r>
      </w:hyperlink>
      <w:r>
        <w:t>, f. 5.</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112" w:history="1">
        <w:r w:rsidRPr="00E27756">
          <w:rPr>
            <w:rStyle w:val="TextoNormalCaracter"/>
          </w:rPr>
          <w:t>112/2013</w:t>
        </w:r>
      </w:hyperlink>
      <w:r>
        <w:t>, f. 5.</w:t>
      </w:r>
    </w:p>
    <w:p w:rsidR="00E27756" w:rsidRDefault="00E27756" w:rsidP="00E27756">
      <w:pPr>
        <w:pStyle w:val="SangriaFrancesaArticulo"/>
      </w:pPr>
      <w:r w:rsidRPr="00E27756">
        <w:rPr>
          <w:rStyle w:val="TextoNormalNegritaCaracter"/>
        </w:rPr>
        <w:t>Artículo 13</w:t>
      </w:r>
      <w:r>
        <w:t xml:space="preserve"> </w:t>
      </w:r>
      <w:r w:rsidRPr="00E27756">
        <w:rPr>
          <w:rStyle w:val="TextoNormalCaracter"/>
        </w:rPr>
        <w:t>(redactado por el Real Decreto 1713/2010, de 17 de diciembre)</w:t>
      </w:r>
      <w:r w:rsidRPr="00E27756">
        <w:rPr>
          <w:rStyle w:val="TextoNormalNegritaCaracter"/>
        </w:rPr>
        <w:t>.</w:t>
      </w:r>
      <w:r w:rsidRPr="00E27756">
        <w:rPr>
          <w:rStyle w:val="TextoNormalCaracter"/>
        </w:rPr>
        <w:t>-</w:t>
      </w:r>
      <w:r>
        <w:t xml:space="preserve"> Sentencia </w:t>
      </w:r>
      <w:hyperlink w:anchor="SENTENCIA_2013_112" w:history="1">
        <w:r w:rsidRPr="00E27756">
          <w:rPr>
            <w:rStyle w:val="TextoNormalCaracter"/>
          </w:rPr>
          <w:t>112/2013</w:t>
        </w:r>
      </w:hyperlink>
      <w:r>
        <w:t>, f. 3.</w:t>
      </w:r>
    </w:p>
    <w:p w:rsidR="00E27756" w:rsidRDefault="00E27756" w:rsidP="00E27756">
      <w:pPr>
        <w:pStyle w:val="SangriaFrancesaArticulo"/>
      </w:pPr>
      <w:r w:rsidRPr="00E27756">
        <w:rPr>
          <w:rStyle w:val="TextoNormalNegritaCaracter"/>
        </w:rPr>
        <w:t>Disposición transitoria sexta.</w:t>
      </w:r>
      <w:r w:rsidRPr="00E27756">
        <w:rPr>
          <w:rStyle w:val="TextoNormalCaracter"/>
        </w:rPr>
        <w:t>-</w:t>
      </w:r>
      <w:r>
        <w:t xml:space="preserve"> Sentencia </w:t>
      </w:r>
      <w:hyperlink w:anchor="SENTENCIA_2013_112" w:history="1">
        <w:r w:rsidRPr="00E27756">
          <w:rPr>
            <w:rStyle w:val="TextoNormalCaracter"/>
          </w:rPr>
          <w:t>112/2013</w:t>
        </w:r>
      </w:hyperlink>
      <w:r>
        <w:t>, f. 4.</w:t>
      </w:r>
    </w:p>
    <w:p w:rsidR="00E27756" w:rsidRDefault="00E27756" w:rsidP="00E27756">
      <w:pPr>
        <w:pStyle w:val="SangriaFrancesaArticulo"/>
      </w:pPr>
    </w:p>
    <w:p w:rsidR="00E27756" w:rsidRDefault="00E27756" w:rsidP="00E27756">
      <w:pPr>
        <w:pStyle w:val="TextoNormalNegritaCursivandice"/>
      </w:pPr>
      <w:r>
        <w:t>Real Decreto 2134/2008, de 26 de diciembre. Procedimiento a seguir para la restitución a particulares de los documentos incautados con motivo de la guerra civil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0" w:history="1">
        <w:r w:rsidRPr="00E27756">
          <w:rPr>
            <w:rStyle w:val="TextoNormalCaracter"/>
          </w:rPr>
          <w:t>20/2013</w:t>
        </w:r>
      </w:hyperlink>
      <w:r>
        <w:t>, f. 9.</w:t>
      </w:r>
    </w:p>
    <w:p w:rsidR="00E27756" w:rsidRDefault="00E27756" w:rsidP="00E27756">
      <w:pPr>
        <w:pStyle w:val="SangriaFrancesaArticulo"/>
      </w:pPr>
    </w:p>
    <w:p w:rsidR="00E27756" w:rsidRDefault="00E27756" w:rsidP="00E27756">
      <w:pPr>
        <w:pStyle w:val="TextoNormalNegritaCursivandice"/>
      </w:pPr>
      <w:r>
        <w:t>Real Decreto 485/2009, de 3 de abril. Regulación de la puesta en marcha del suministro de último recurso en el sector de la energía eléctrica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4" w:history="1">
        <w:r w:rsidRPr="00E27756">
          <w:rPr>
            <w:rStyle w:val="TextoNormalCaracter"/>
          </w:rPr>
          <w:t>4/2013</w:t>
        </w:r>
      </w:hyperlink>
      <w:r>
        <w:t xml:space="preserve">, f. 10; </w:t>
      </w:r>
      <w:hyperlink w:anchor="SENTENCIA_2013_102" w:history="1">
        <w:r w:rsidRPr="00E27756">
          <w:rPr>
            <w:rStyle w:val="TextoNormalCaracter"/>
          </w:rPr>
          <w:t>102/2013</w:t>
        </w:r>
      </w:hyperlink>
      <w:r>
        <w:t>, f. 3.</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102" w:history="1">
        <w:r w:rsidRPr="00E27756">
          <w:rPr>
            <w:rStyle w:val="TextoNormalCaracter"/>
          </w:rPr>
          <w:t>102/2013</w:t>
        </w:r>
      </w:hyperlink>
      <w:r>
        <w:t>, f. 7.</w:t>
      </w:r>
    </w:p>
    <w:p w:rsidR="00E27756" w:rsidRDefault="00E27756" w:rsidP="00E27756">
      <w:pPr>
        <w:pStyle w:val="SangriaFrancesaArticulo"/>
      </w:pPr>
      <w:r w:rsidRPr="00E27756">
        <w:rPr>
          <w:rStyle w:val="TextoNormalNegritaCaracter"/>
        </w:rPr>
        <w:t>Disposición adicional quinta.</w:t>
      </w:r>
      <w:r w:rsidRPr="00E27756">
        <w:rPr>
          <w:rStyle w:val="TextoNormalCaracter"/>
        </w:rPr>
        <w:t>-</w:t>
      </w:r>
      <w:r>
        <w:t xml:space="preserve"> Sentencia </w:t>
      </w:r>
      <w:hyperlink w:anchor="SENTENCIA_2013_102" w:history="1">
        <w:r w:rsidRPr="00E27756">
          <w:rPr>
            <w:rStyle w:val="TextoNormalCaracter"/>
          </w:rPr>
          <w:t>102/2013</w:t>
        </w:r>
      </w:hyperlink>
      <w:r>
        <w:t>, f. 7.</w:t>
      </w:r>
    </w:p>
    <w:p w:rsidR="00E27756" w:rsidRDefault="00E27756" w:rsidP="00E27756">
      <w:pPr>
        <w:pStyle w:val="SangriaFrancesaArticulo"/>
      </w:pPr>
    </w:p>
    <w:p w:rsidR="00E27756" w:rsidRDefault="00E27756" w:rsidP="00E27756">
      <w:pPr>
        <w:pStyle w:val="TextoNormalNegritaCursivandice"/>
      </w:pPr>
      <w:r>
        <w:t>Orden SAS/1352/2009, del Ministerio de Sanidad y Política Social, de 26 de mayo. Bases reguladoras y convocatoria de concesión de subvenciones para la realización de programas de cooperación y voluntariado sociales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2" w:history="1">
        <w:r w:rsidRPr="00E27756">
          <w:rPr>
            <w:rStyle w:val="TextoNormalCaracter"/>
          </w:rPr>
          <w:t>52/2013</w:t>
        </w:r>
      </w:hyperlink>
      <w:r>
        <w:t>, ff. 1, 2, 6.</w:t>
      </w:r>
    </w:p>
    <w:p w:rsidR="00E27756" w:rsidRDefault="00E27756" w:rsidP="00E27756">
      <w:pPr>
        <w:pStyle w:val="SangriaFrancesaArticulo"/>
      </w:pPr>
      <w:r w:rsidRPr="00E27756">
        <w:rPr>
          <w:rStyle w:val="TextoNormalNegritaCaracter"/>
        </w:rPr>
        <w:t>Artículos 1 a 21.</w:t>
      </w:r>
      <w:r w:rsidRPr="00E27756">
        <w:rPr>
          <w:rStyle w:val="TextoNormalCaracter"/>
        </w:rPr>
        <w:t>-</w:t>
      </w:r>
      <w:r>
        <w:t xml:space="preserve"> Sentencia </w:t>
      </w:r>
      <w:hyperlink w:anchor="SENTENCIA_2013_52" w:history="1">
        <w:r w:rsidRPr="00E27756">
          <w:rPr>
            <w:rStyle w:val="TextoNormalCaracter"/>
          </w:rPr>
          <w:t>52/2013</w:t>
        </w:r>
      </w:hyperlink>
      <w:r>
        <w:t>, ff. 3, 7.</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52" w:history="1">
        <w:r w:rsidRPr="00E27756">
          <w:rPr>
            <w:rStyle w:val="TextoNormalCaracter"/>
          </w:rPr>
          <w:t>52/2013</w:t>
        </w:r>
      </w:hyperlink>
      <w:r>
        <w:t>, f. 7.</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Sentencia </w:t>
      </w:r>
      <w:hyperlink w:anchor="SENTENCIA_2013_52" w:history="1">
        <w:r w:rsidRPr="00E27756">
          <w:rPr>
            <w:rStyle w:val="TextoNormalCaracter"/>
          </w:rPr>
          <w:t>52/2013</w:t>
        </w:r>
      </w:hyperlink>
      <w:r>
        <w:t>, f. 7.</w:t>
      </w:r>
    </w:p>
    <w:p w:rsidR="00E27756" w:rsidRDefault="00E27756" w:rsidP="00E27756">
      <w:pPr>
        <w:pStyle w:val="SangriaFrancesaArticulo"/>
      </w:pPr>
      <w:r w:rsidRPr="00E27756">
        <w:rPr>
          <w:rStyle w:val="TextoNormalNegritaCaracter"/>
        </w:rPr>
        <w:t>Anexos A, B.</w:t>
      </w:r>
      <w:r w:rsidRPr="00E27756">
        <w:rPr>
          <w:rStyle w:val="TextoNormalCaracter"/>
        </w:rPr>
        <w:t>-</w:t>
      </w:r>
      <w:r>
        <w:t xml:space="preserve"> Sentencia </w:t>
      </w:r>
      <w:hyperlink w:anchor="SENTENCIA_2013_52" w:history="1">
        <w:r w:rsidRPr="00E27756">
          <w:rPr>
            <w:rStyle w:val="TextoNormalCaracter"/>
          </w:rPr>
          <w:t>52/2013</w:t>
        </w:r>
      </w:hyperlink>
      <w:r>
        <w:t>, f. 7.</w:t>
      </w:r>
    </w:p>
    <w:p w:rsidR="00E27756" w:rsidRDefault="00E27756" w:rsidP="00E27756">
      <w:pPr>
        <w:pStyle w:val="SangriaFrancesaArticulo"/>
      </w:pPr>
      <w:r w:rsidRPr="00E27756">
        <w:rPr>
          <w:rStyle w:val="TextoNormalNegritaCaracter"/>
        </w:rPr>
        <w:t>Anexos C, I a IV.</w:t>
      </w:r>
      <w:r w:rsidRPr="00E27756">
        <w:rPr>
          <w:rStyle w:val="TextoNormalCaracter"/>
        </w:rPr>
        <w:t>-</w:t>
      </w:r>
      <w:r>
        <w:t xml:space="preserve"> Sentencia </w:t>
      </w:r>
      <w:hyperlink w:anchor="SENTENCIA_2013_52" w:history="1">
        <w:r w:rsidRPr="00E27756">
          <w:rPr>
            <w:rStyle w:val="TextoNormalCaracter"/>
          </w:rPr>
          <w:t>52/2013</w:t>
        </w:r>
      </w:hyperlink>
      <w:r>
        <w:t>, f. 7.</w:t>
      </w:r>
    </w:p>
    <w:p w:rsidR="00E27756" w:rsidRDefault="00E27756" w:rsidP="00E27756">
      <w:pPr>
        <w:pStyle w:val="SangriaFrancesaArticulo"/>
      </w:pPr>
    </w:p>
    <w:p w:rsidR="00E27756" w:rsidRDefault="00E27756" w:rsidP="00E27756">
      <w:pPr>
        <w:pStyle w:val="TextoNormalNegritaCursivandice"/>
      </w:pPr>
      <w:r>
        <w:t>Orden ARM/1593/2009, del Ministerio de Medio Ambiente y Medio Rural y Marino, de 5 de junio. Bases reguladoras para la concesión de subvenciones a asociaciones declaradas de utilidad pública y fundaciones, para fines de interés social de carácter medioambiental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13" w:history="1">
        <w:r w:rsidRPr="00E27756">
          <w:rPr>
            <w:rStyle w:val="TextoNormalCaracter"/>
          </w:rPr>
          <w:t>113/2013</w:t>
        </w:r>
      </w:hyperlink>
      <w:r>
        <w:t>, ff. 2, 4, 6, 9.</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Sentencia </w:t>
      </w:r>
      <w:hyperlink w:anchor="SENTENCIA_2013_113" w:history="1">
        <w:r w:rsidRPr="00E27756">
          <w:rPr>
            <w:rStyle w:val="TextoNormalCaracter"/>
          </w:rPr>
          <w:t>113/2013</w:t>
        </w:r>
      </w:hyperlink>
      <w:r>
        <w:t>, f. 6.</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113" w:history="1">
        <w:r w:rsidRPr="00E27756">
          <w:rPr>
            <w:rStyle w:val="TextoNormalCaracter"/>
          </w:rPr>
          <w:t>113/2013</w:t>
        </w:r>
      </w:hyperlink>
      <w:r>
        <w:t>, ff. 1, 4, 6, 8.</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113" w:history="1">
        <w:r w:rsidRPr="00E27756">
          <w:rPr>
            <w:rStyle w:val="TextoNormalCaracter"/>
          </w:rPr>
          <w:t>113/2013</w:t>
        </w:r>
      </w:hyperlink>
      <w:r>
        <w:t>, ff. 1, 4, 6, 8.</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113" w:history="1">
        <w:r w:rsidRPr="00E27756">
          <w:rPr>
            <w:rStyle w:val="TextoNormalCaracter"/>
          </w:rPr>
          <w:t>113/2013</w:t>
        </w:r>
      </w:hyperlink>
      <w:r>
        <w:t>, ff. 1, 4, 8.</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113" w:history="1">
        <w:r w:rsidRPr="00E27756">
          <w:rPr>
            <w:rStyle w:val="TextoNormalCaracter"/>
          </w:rPr>
          <w:t>113/2013</w:t>
        </w:r>
      </w:hyperlink>
      <w:r>
        <w:t>, f. 4.</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113" w:history="1">
        <w:r w:rsidRPr="00E27756">
          <w:rPr>
            <w:rStyle w:val="TextoNormalCaracter"/>
          </w:rPr>
          <w:t>113/2013</w:t>
        </w:r>
      </w:hyperlink>
      <w:r>
        <w:t>, ff. 1, 4, 8.</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113" w:history="1">
        <w:r w:rsidRPr="00E27756">
          <w:rPr>
            <w:rStyle w:val="TextoNormalCaracter"/>
          </w:rPr>
          <w:t>113/2013</w:t>
        </w:r>
      </w:hyperlink>
      <w:r>
        <w:t>, f. 4.</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Sentencia </w:t>
      </w:r>
      <w:hyperlink w:anchor="SENTENCIA_2013_113" w:history="1">
        <w:r w:rsidRPr="00E27756">
          <w:rPr>
            <w:rStyle w:val="TextoNormalCaracter"/>
          </w:rPr>
          <w:t>113/2013</w:t>
        </w:r>
      </w:hyperlink>
      <w:r>
        <w:t>, ff. 1, 4, 8.</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113" w:history="1">
        <w:r w:rsidRPr="00E27756">
          <w:rPr>
            <w:rStyle w:val="TextoNormalCaracter"/>
          </w:rPr>
          <w:t>113/2013</w:t>
        </w:r>
      </w:hyperlink>
      <w:r>
        <w:t>, ff. 1, 4, 8.</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113" w:history="1">
        <w:r w:rsidRPr="00E27756">
          <w:rPr>
            <w:rStyle w:val="TextoNormalCaracter"/>
          </w:rPr>
          <w:t>113/2013</w:t>
        </w:r>
      </w:hyperlink>
      <w:r>
        <w:t>, f. 4.</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 </w:t>
      </w:r>
      <w:hyperlink w:anchor="SENTENCIA_2013_113" w:history="1">
        <w:r w:rsidRPr="00E27756">
          <w:rPr>
            <w:rStyle w:val="TextoNormalCaracter"/>
          </w:rPr>
          <w:t>113/2013</w:t>
        </w:r>
      </w:hyperlink>
      <w:r>
        <w:t>, f. 4.</w:t>
      </w:r>
    </w:p>
    <w:p w:rsidR="00E27756" w:rsidRDefault="00E27756" w:rsidP="00E27756">
      <w:pPr>
        <w:pStyle w:val="SangriaFrancesaArticulo"/>
      </w:pPr>
      <w:r w:rsidRPr="00E27756">
        <w:rPr>
          <w:rStyle w:val="TextoNormalNegritaCaracter"/>
        </w:rPr>
        <w:t>Artículo 10.1.</w:t>
      </w:r>
      <w:r w:rsidRPr="00E27756">
        <w:rPr>
          <w:rStyle w:val="TextoNormalCaracter"/>
        </w:rPr>
        <w:t>-</w:t>
      </w:r>
      <w:r>
        <w:t xml:space="preserve"> Sentencia </w:t>
      </w:r>
      <w:hyperlink w:anchor="SENTENCIA_2013_113" w:history="1">
        <w:r w:rsidRPr="00E27756">
          <w:rPr>
            <w:rStyle w:val="TextoNormalCaracter"/>
          </w:rPr>
          <w:t>113/2013</w:t>
        </w:r>
      </w:hyperlink>
      <w:r>
        <w:t>, f. 2.</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113" w:history="1">
        <w:r w:rsidRPr="00E27756">
          <w:rPr>
            <w:rStyle w:val="TextoNormalCaracter"/>
          </w:rPr>
          <w:t>113/2013</w:t>
        </w:r>
      </w:hyperlink>
      <w:r>
        <w:t>, f. 4.</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113" w:history="1">
        <w:r w:rsidRPr="00E27756">
          <w:rPr>
            <w:rStyle w:val="TextoNormalCaracter"/>
          </w:rPr>
          <w:t>113/2013</w:t>
        </w:r>
      </w:hyperlink>
      <w:r>
        <w:t>, f. 4.</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113" w:history="1">
        <w:r w:rsidRPr="00E27756">
          <w:rPr>
            <w:rStyle w:val="TextoNormalCaracter"/>
          </w:rPr>
          <w:t>113/2013</w:t>
        </w:r>
      </w:hyperlink>
      <w:r>
        <w:t>, ff. 1, 4, 8.</w:t>
      </w:r>
    </w:p>
    <w:p w:rsidR="00E27756" w:rsidRDefault="00E27756" w:rsidP="00E27756">
      <w:pPr>
        <w:pStyle w:val="SangriaFrancesaArticulo"/>
      </w:pPr>
      <w:r w:rsidRPr="00E27756">
        <w:rPr>
          <w:rStyle w:val="TextoNormalNegritaCaracter"/>
        </w:rPr>
        <w:t>Disposición derogatoria.</w:t>
      </w:r>
      <w:r w:rsidRPr="00E27756">
        <w:rPr>
          <w:rStyle w:val="TextoNormalCaracter"/>
        </w:rPr>
        <w:t>-</w:t>
      </w:r>
      <w:r>
        <w:t xml:space="preserve"> Sentencia </w:t>
      </w:r>
      <w:hyperlink w:anchor="SENTENCIA_2013_113" w:history="1">
        <w:r w:rsidRPr="00E27756">
          <w:rPr>
            <w:rStyle w:val="TextoNormalCaracter"/>
          </w:rPr>
          <w:t>113/2013</w:t>
        </w:r>
      </w:hyperlink>
      <w:r>
        <w:t>, f. 4.</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113" w:history="1">
        <w:r w:rsidRPr="00E27756">
          <w:rPr>
            <w:rStyle w:val="TextoNormalCaracter"/>
          </w:rPr>
          <w:t>113/2013</w:t>
        </w:r>
      </w:hyperlink>
      <w:r>
        <w:t>, ff. 1, 4, 8.</w:t>
      </w:r>
    </w:p>
    <w:p w:rsidR="00E27756" w:rsidRDefault="00E27756" w:rsidP="00E27756">
      <w:pPr>
        <w:pStyle w:val="SangriaFrancesaArticulo"/>
      </w:pPr>
    </w:p>
    <w:p w:rsidR="00E27756" w:rsidRDefault="00E27756" w:rsidP="00E27756">
      <w:pPr>
        <w:pStyle w:val="TextoNormalNegritaCursivandice"/>
      </w:pPr>
      <w:r>
        <w:t>Real Decreto 1224/2009, de 17 de julio. Reconocimiento de las competencias profesionales adquiridas por experiencia laboral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58" w:history="1">
        <w:r w:rsidRPr="00E27756">
          <w:rPr>
            <w:rStyle w:val="TextoNormalCaracter"/>
          </w:rPr>
          <w:t>58/2013</w:t>
        </w:r>
      </w:hyperlink>
      <w:r>
        <w:t>, ff. 2, 3, 5.</w:t>
      </w:r>
    </w:p>
    <w:p w:rsidR="00E27756" w:rsidRDefault="00E27756" w:rsidP="00E27756">
      <w:pPr>
        <w:pStyle w:val="SangriaFrancesaArticulo"/>
      </w:pPr>
    </w:p>
    <w:p w:rsidR="00E27756" w:rsidRDefault="00E27756" w:rsidP="00E27756">
      <w:pPr>
        <w:pStyle w:val="TextoNormalNegritaCursivandice"/>
      </w:pPr>
      <w:r>
        <w:t>Real Decreto 1680/2009, de 13 de noviembre. Aplicación del régimen de pago único en la agricultura y la integración de determinadas ayudas agrícolas en el mismo a partir del año 2010</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p>
    <w:p w:rsidR="00E27756" w:rsidRDefault="00E27756" w:rsidP="00E27756">
      <w:pPr>
        <w:pStyle w:val="TextoNormalNegritaCursivandice"/>
      </w:pPr>
      <w:r>
        <w:t>Real Decreto 1961/2009, de 18 de diciembre. Nuevas medidas transitorias en el Plan Estatal de Vivienda y Rehabilitación 2009-2012</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12" w:history="1">
        <w:r w:rsidRPr="00E27756">
          <w:rPr>
            <w:rStyle w:val="TextoNormalCaracter"/>
          </w:rPr>
          <w:t>112/2013</w:t>
        </w:r>
      </w:hyperlink>
      <w:r>
        <w:t>, f. 2.</w:t>
      </w:r>
    </w:p>
    <w:p w:rsidR="00E27756" w:rsidRDefault="00E27756" w:rsidP="00E27756">
      <w:pPr>
        <w:pStyle w:val="SangriaFrancesaArticulo"/>
      </w:pPr>
    </w:p>
    <w:p w:rsidR="00E27756" w:rsidRDefault="00E27756" w:rsidP="00E27756">
      <w:pPr>
        <w:pStyle w:val="TextoNormalNegritaCursivandice"/>
      </w:pPr>
      <w:r>
        <w:lastRenderedPageBreak/>
        <w:t>Real Decreto 66/2010, de 29 de enero. Aplicación en el año 2010 y 2011 de los pagos directos a la agricultura y a la ganadería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r w:rsidRPr="00E27756">
        <w:rPr>
          <w:rStyle w:val="TextoNormalNegritaCaracter"/>
        </w:rPr>
        <w:t>Disposición transitoria segunda.</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r w:rsidRPr="00E27756">
        <w:rPr>
          <w:rStyle w:val="TextoNormalNegritaCaracter"/>
        </w:rPr>
        <w:t>Disposición final tercera.</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p>
    <w:p w:rsidR="00E27756" w:rsidRDefault="00E27756" w:rsidP="00E27756">
      <w:pPr>
        <w:pStyle w:val="TextoNormalNegritaCursivandice"/>
      </w:pPr>
      <w:r>
        <w:t>Resolución de 8 de junio de 2010, de la Secretaría de Estado para la Función Pública. Publica el Acuerdo de Formación para el Empleo de las Administraciones Públicas de 22 de marzo de 2010</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7" w:history="1">
        <w:r w:rsidRPr="00E27756">
          <w:rPr>
            <w:rStyle w:val="TextoNormalCaracter"/>
          </w:rPr>
          <w:t>7/2013</w:t>
        </w:r>
      </w:hyperlink>
      <w:r>
        <w:t>, f. 2.</w:t>
      </w:r>
    </w:p>
    <w:p w:rsidR="00E27756" w:rsidRDefault="00E27756" w:rsidP="00E27756">
      <w:pPr>
        <w:pStyle w:val="SangriaFrancesaArticulo"/>
      </w:pPr>
    </w:p>
    <w:p w:rsidR="00E27756" w:rsidRDefault="00E27756" w:rsidP="00E27756">
      <w:pPr>
        <w:pStyle w:val="TextoNormalNegritaCursivandice"/>
      </w:pPr>
      <w:r>
        <w:t>Orden SAS/1536/2010, de 10 de junio. Se establecen las bases reguladoras y se convoca la concesión de subvenciones para la realización de programas de cooperación y voluntariado sociales con cargo a la asignación tributaria del Impuesto sobre la Renta de las Personas Físicas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2" w:history="1">
        <w:r w:rsidRPr="00E27756">
          <w:rPr>
            <w:rStyle w:val="TextoNormalCaracter"/>
          </w:rPr>
          <w:t>52/2013</w:t>
        </w:r>
      </w:hyperlink>
      <w:r>
        <w:t>, f. 2.</w:t>
      </w:r>
    </w:p>
    <w:p w:rsidR="00E27756" w:rsidRDefault="00E27756" w:rsidP="00E27756">
      <w:pPr>
        <w:pStyle w:val="SangriaFrancesaArticulo"/>
      </w:pPr>
    </w:p>
    <w:p w:rsidR="00E27756" w:rsidRDefault="00E27756" w:rsidP="00E27756">
      <w:pPr>
        <w:pStyle w:val="TextoNormalNegritaCursivandice"/>
      </w:pPr>
      <w:r>
        <w:t>Real Decreto 1713/2010, de 17 de diciembre. Modifica el Real Decreto 2066/2008, de 12 de diciembre, por el que se regula el Plan Estatal de Vivienda y Rehabilitación 2009-2012</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12" w:history="1">
        <w:r w:rsidRPr="00E27756">
          <w:rPr>
            <w:rStyle w:val="TextoNormalCaracter"/>
          </w:rPr>
          <w:t>112/2013</w:t>
        </w:r>
      </w:hyperlink>
      <w:r>
        <w:t>, ff. 2, 3.</w:t>
      </w:r>
    </w:p>
    <w:p w:rsidR="00E27756" w:rsidRDefault="00E27756" w:rsidP="00E27756">
      <w:pPr>
        <w:pStyle w:val="SangriaFrancesaArticulo"/>
      </w:pPr>
    </w:p>
    <w:p w:rsidR="00E27756" w:rsidRDefault="00E27756" w:rsidP="00E27756">
      <w:pPr>
        <w:pStyle w:val="TextoNormalNegritaCursivandice"/>
      </w:pPr>
      <w:r>
        <w:t>Real Decreto 1718/2010, de 17 de diciembre. Sobre receta médica y órdenes de dispensación.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88" w:history="1">
        <w:r w:rsidRPr="00E27756">
          <w:rPr>
            <w:rStyle w:val="TextoNormalCaracter"/>
          </w:rPr>
          <w:t>88/2013</w:t>
        </w:r>
      </w:hyperlink>
      <w:r>
        <w:t>, f. 1.</w:t>
      </w:r>
    </w:p>
    <w:p w:rsidR="00E27756" w:rsidRDefault="00E27756" w:rsidP="00E27756">
      <w:pPr>
        <w:pStyle w:val="SangriaFrancesaArticulo"/>
      </w:pPr>
    </w:p>
    <w:p w:rsidR="00E27756" w:rsidRDefault="00E27756" w:rsidP="00E27756">
      <w:pPr>
        <w:pStyle w:val="TextoNormalNegritaCursivandice"/>
      </w:pPr>
      <w:r>
        <w:t>Real Decreto 557/2011, de 20 de abril. Se aprueba el Reglamento de la Ley Orgánica 4/2000, sobre derechos y libertades de los extranjeros en España y su integración social, tras su reforma por la Ley Orgánica 2/2009</w:t>
      </w:r>
    </w:p>
    <w:p w:rsidR="00E27756" w:rsidRDefault="00E27756" w:rsidP="00E27756">
      <w:pPr>
        <w:pStyle w:val="SangriaFrancesaArticulo"/>
      </w:pPr>
      <w:r w:rsidRPr="00E27756">
        <w:rPr>
          <w:rStyle w:val="TextoNormalNegritaCaracter"/>
        </w:rPr>
        <w:t>Artículo 17.</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r w:rsidRPr="00E27756">
        <w:rPr>
          <w:rStyle w:val="TextoNormalNegritaCaracter"/>
        </w:rPr>
        <w:t>Artículo 258.6.</w:t>
      </w:r>
      <w:r w:rsidRPr="00E27756">
        <w:rPr>
          <w:rStyle w:val="TextoNormalCaracter"/>
        </w:rPr>
        <w:t>-</w:t>
      </w:r>
      <w:r>
        <w:t xml:space="preserve"> Sentencia </w:t>
      </w:r>
      <w:hyperlink w:anchor="SENTENCIA_2013_17" w:history="1">
        <w:r w:rsidRPr="00E27756">
          <w:rPr>
            <w:rStyle w:val="TextoNormalCaracter"/>
          </w:rPr>
          <w:t>17/2013</w:t>
        </w:r>
      </w:hyperlink>
      <w:r>
        <w:t>, f. 15.</w:t>
      </w:r>
    </w:p>
    <w:p w:rsidR="00E27756" w:rsidRDefault="00E27756" w:rsidP="00E27756">
      <w:pPr>
        <w:pStyle w:val="SangriaFrancesaArticulo"/>
      </w:pPr>
    </w:p>
    <w:p w:rsidR="00E27756" w:rsidRDefault="00E27756" w:rsidP="00E27756">
      <w:pPr>
        <w:pStyle w:val="TextoNormalNegritaCursivandice"/>
      </w:pPr>
      <w:r>
        <w:t>Orden SPI/1191/2011, de 6 de mayo. Se establecen las bases reguladoras y se convoca la concesión de subvenciones para la realización de programas de cooperación y voluntariado sociales con cargo a la asignación tributaria del impuesto sobre la renta de las personas físicas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70" w:history="1">
        <w:r w:rsidRPr="00E27756">
          <w:rPr>
            <w:rStyle w:val="TextoNormalCaracter"/>
          </w:rPr>
          <w:t>70/2013</w:t>
        </w:r>
      </w:hyperlink>
      <w:r>
        <w:t>, f. 2.</w:t>
      </w:r>
    </w:p>
    <w:p w:rsidR="00E27756" w:rsidRDefault="00E27756" w:rsidP="00E27756">
      <w:pPr>
        <w:pStyle w:val="SangriaFrancesaArticulo"/>
      </w:pPr>
    </w:p>
    <w:p w:rsidR="00E27756" w:rsidRDefault="00E27756" w:rsidP="00E27756">
      <w:pPr>
        <w:pStyle w:val="TextoNormalNegritaCursivandice"/>
      </w:pPr>
      <w:r>
        <w:t>Real Decreto 1146/2011, de 29 de julio. Se modifica el Real Decreto 1631/2006, de 29 de diciembre, por el que se establecen las enseñanzas mínimas correspondientes a la Educación Secundaria Obligatoria, así como los Reales Decretos 1834/2008, de 8 de noviembre, y 860/2010, de 2 de julio, afectados por estas modificaciones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24" w:history="1">
        <w:r w:rsidRPr="00E27756">
          <w:rPr>
            <w:rStyle w:val="TextoNormalCaracter"/>
          </w:rPr>
          <w:t>24/2013</w:t>
        </w:r>
      </w:hyperlink>
      <w:r>
        <w:t xml:space="preserve">, f. 2; </w:t>
      </w:r>
      <w:hyperlink w:anchor="SENTENCIA_2013_48" w:history="1">
        <w:r w:rsidRPr="00E27756">
          <w:rPr>
            <w:rStyle w:val="TextoNormalCaracter"/>
          </w:rPr>
          <w:t>48/2013</w:t>
        </w:r>
      </w:hyperlink>
      <w:r>
        <w:t>, f. 2.</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24" w:history="1">
        <w:r w:rsidRPr="00E27756">
          <w:rPr>
            <w:rStyle w:val="TextoNormalCaracter"/>
          </w:rPr>
          <w:t>24/2013</w:t>
        </w:r>
      </w:hyperlink>
      <w:r>
        <w:t>, f. 2.</w:t>
      </w:r>
    </w:p>
    <w:p w:rsidR="00E27756" w:rsidRDefault="00E27756" w:rsidP="00E27756">
      <w:pPr>
        <w:pStyle w:val="SangriaFrancesaArticulo"/>
      </w:pPr>
    </w:p>
    <w:p w:rsidR="00E27756" w:rsidRDefault="00E27756" w:rsidP="00E27756">
      <w:pPr>
        <w:pStyle w:val="TextoNormalNegritaCursivandice"/>
      </w:pPr>
      <w:r>
        <w:lastRenderedPageBreak/>
        <w:t>Real Decreto 1147/2011, de 29 de julio. Se establece la ordenación general de la formación profesional del sistema educativo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5" w:history="1">
        <w:r w:rsidRPr="00E27756">
          <w:rPr>
            <w:rStyle w:val="TextoNormalCaracter"/>
          </w:rPr>
          <w:t>25/2013</w:t>
        </w:r>
      </w:hyperlink>
      <w:r>
        <w:t>, f. 2.</w:t>
      </w:r>
    </w:p>
    <w:p w:rsidR="00E27756" w:rsidRDefault="00E27756" w:rsidP="00E27756">
      <w:pPr>
        <w:pStyle w:val="SangriaFrancesaArticulo"/>
      </w:pPr>
      <w:r w:rsidRPr="00E27756">
        <w:rPr>
          <w:rStyle w:val="TextoNormalNegritaCaracter"/>
        </w:rPr>
        <w:t>Artículo 25.4.</w:t>
      </w:r>
      <w:r w:rsidRPr="00E27756">
        <w:rPr>
          <w:rStyle w:val="TextoNormalCaracter"/>
        </w:rPr>
        <w:t>-</w:t>
      </w:r>
      <w:r>
        <w:t xml:space="preserve"> Sentencia </w:t>
      </w:r>
      <w:hyperlink w:anchor="SENTENCIA_2013_25" w:history="1">
        <w:r w:rsidRPr="00E27756">
          <w:rPr>
            <w:rStyle w:val="TextoNormalCaracter"/>
          </w:rPr>
          <w:t>25/2013</w:t>
        </w:r>
      </w:hyperlink>
      <w:r>
        <w:t>, f. 2.</w:t>
      </w:r>
    </w:p>
    <w:p w:rsidR="00E27756" w:rsidRDefault="00E27756" w:rsidP="00E27756">
      <w:pPr>
        <w:pStyle w:val="SangriaFrancesaArticulo"/>
      </w:pPr>
      <w:r w:rsidRPr="00E27756">
        <w:rPr>
          <w:rStyle w:val="TextoNormalNegritaCaracter"/>
        </w:rPr>
        <w:t>Artículo 26.2.</w:t>
      </w:r>
      <w:r w:rsidRPr="00E27756">
        <w:rPr>
          <w:rStyle w:val="TextoNormalCaracter"/>
        </w:rPr>
        <w:t>-</w:t>
      </w:r>
      <w:r>
        <w:t xml:space="preserve"> Sentencia </w:t>
      </w:r>
      <w:hyperlink w:anchor="SENTENCIA_2013_25" w:history="1">
        <w:r w:rsidRPr="00E27756">
          <w:rPr>
            <w:rStyle w:val="TextoNormalCaracter"/>
          </w:rPr>
          <w:t>25/2013</w:t>
        </w:r>
      </w:hyperlink>
      <w:r>
        <w:t>, f. 2.</w:t>
      </w:r>
    </w:p>
    <w:p w:rsidR="00E27756" w:rsidRDefault="00E27756" w:rsidP="00E27756">
      <w:pPr>
        <w:pStyle w:val="SangriaFrancesaArticulo"/>
      </w:pPr>
      <w:r w:rsidRPr="00E27756">
        <w:rPr>
          <w:rStyle w:val="TextoNormalNegritaCaracter"/>
        </w:rPr>
        <w:t>Artículo 49.</w:t>
      </w:r>
      <w:r w:rsidRPr="00E27756">
        <w:rPr>
          <w:rStyle w:val="TextoNormalCaracter"/>
        </w:rPr>
        <w:t>-</w:t>
      </w:r>
      <w:r>
        <w:t xml:space="preserve"> Sentencia </w:t>
      </w:r>
      <w:hyperlink w:anchor="SENTENCIA_2013_25" w:history="1">
        <w:r w:rsidRPr="00E27756">
          <w:rPr>
            <w:rStyle w:val="TextoNormalCaracter"/>
          </w:rPr>
          <w:t>25/2013</w:t>
        </w:r>
      </w:hyperlink>
      <w:r>
        <w:t>, f. 2.</w:t>
      </w:r>
    </w:p>
    <w:p w:rsidR="00E27756" w:rsidRDefault="00E27756" w:rsidP="00E27756">
      <w:pPr>
        <w:pStyle w:val="SangriaFrancesaArticulo"/>
      </w:pPr>
      <w:r w:rsidRPr="00E27756">
        <w:rPr>
          <w:rStyle w:val="TextoNormalNegritaCaracter"/>
        </w:rPr>
        <w:t>Artículo 50.</w:t>
      </w:r>
      <w:r w:rsidRPr="00E27756">
        <w:rPr>
          <w:rStyle w:val="TextoNormalCaracter"/>
        </w:rPr>
        <w:t>-</w:t>
      </w:r>
      <w:r>
        <w:t xml:space="preserve"> Sentencia </w:t>
      </w:r>
      <w:hyperlink w:anchor="SENTENCIA_2013_25" w:history="1">
        <w:r w:rsidRPr="00E27756">
          <w:rPr>
            <w:rStyle w:val="TextoNormalCaracter"/>
          </w:rPr>
          <w:t>25/2013</w:t>
        </w:r>
      </w:hyperlink>
      <w:r>
        <w:t>, f. 2.</w:t>
      </w:r>
    </w:p>
    <w:p w:rsidR="00E27756" w:rsidRDefault="00E27756" w:rsidP="00E27756">
      <w:pPr>
        <w:pStyle w:val="SangriaFrancesaArticulo"/>
      </w:pPr>
    </w:p>
    <w:p w:rsidR="00E27756" w:rsidRDefault="00E27756" w:rsidP="00E27756">
      <w:pPr>
        <w:pStyle w:val="TextoNormalNegritaCursivandice"/>
      </w:pPr>
      <w:r>
        <w:t>Orden EHA/2899/2011, de 28 de octubre. Transparencia y protección del cliente de servicios bancarios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24" w:history="1">
        <w:r w:rsidRPr="00E27756">
          <w:rPr>
            <w:rStyle w:val="TextoNormalCaracter"/>
          </w:rPr>
          <w:t>124/2013</w:t>
        </w:r>
      </w:hyperlink>
      <w:r>
        <w:t>, f. 4.</w:t>
      </w:r>
    </w:p>
    <w:p w:rsidR="00E27756" w:rsidRDefault="00E27756" w:rsidP="00E27756">
      <w:pPr>
        <w:pStyle w:val="SangriaFrancesaArticulo"/>
      </w:pPr>
      <w:r w:rsidRPr="00E27756">
        <w:rPr>
          <w:rStyle w:val="TextoNormalNegritaCaracter"/>
        </w:rPr>
        <w:t>Artículo 14.</w:t>
      </w:r>
      <w:r w:rsidRPr="00E27756">
        <w:rPr>
          <w:rStyle w:val="TextoNormalCaracter"/>
        </w:rPr>
        <w:t>-</w:t>
      </w:r>
      <w:r>
        <w:t xml:space="preserve"> Auto </w:t>
      </w:r>
      <w:hyperlink w:anchor="AUTO_2013_124" w:history="1">
        <w:r w:rsidRPr="00E27756">
          <w:rPr>
            <w:rStyle w:val="TextoNormalCaracter"/>
          </w:rPr>
          <w:t>124/2013</w:t>
        </w:r>
      </w:hyperlink>
      <w:r>
        <w:t>, f. 4.</w:t>
      </w:r>
    </w:p>
    <w:p w:rsidR="00E27756" w:rsidRDefault="00E27756" w:rsidP="00E27756">
      <w:pPr>
        <w:pStyle w:val="SangriaFrancesaArticulo"/>
      </w:pPr>
    </w:p>
    <w:p w:rsidR="00E27756" w:rsidRDefault="00E27756" w:rsidP="00E27756">
      <w:pPr>
        <w:pStyle w:val="TextoNormalNegritaCursivandice"/>
      </w:pPr>
      <w:r>
        <w:t>Real Decreto 1708/2011, de 18 de noviembre. Se establece el Sistema Español de Archivos y se regula el Sistema de Archivos de la Administración General del Estado y de sus Organismos Públicos y su régimen de acceso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4" w:history="1">
        <w:r w:rsidRPr="00E27756">
          <w:rPr>
            <w:rStyle w:val="TextoNormalCaracter"/>
          </w:rPr>
          <w:t>14/2013</w:t>
        </w:r>
      </w:hyperlink>
      <w:r>
        <w:t xml:space="preserve">, f. 3; </w:t>
      </w:r>
      <w:hyperlink w:anchor="SENTENCIA_2013_38" w:history="1">
        <w:r w:rsidRPr="00E27756">
          <w:rPr>
            <w:rStyle w:val="TextoNormalCaracter"/>
          </w:rPr>
          <w:t>38/2013</w:t>
        </w:r>
      </w:hyperlink>
      <w:r>
        <w:t xml:space="preserve">, f. 3; </w:t>
      </w:r>
      <w:hyperlink w:anchor="SENTENCIA_2013_66" w:history="1">
        <w:r w:rsidRPr="00E27756">
          <w:rPr>
            <w:rStyle w:val="TextoNormalCaracter"/>
          </w:rPr>
          <w:t>66/2013</w:t>
        </w:r>
      </w:hyperlink>
      <w:r>
        <w:t xml:space="preserve">, f. 1; </w:t>
      </w:r>
      <w:hyperlink w:anchor="SENTENCIA_2013_136" w:history="1">
        <w:r w:rsidRPr="00E27756">
          <w:rPr>
            <w:rStyle w:val="TextoNormalCaracter"/>
          </w:rPr>
          <w:t>136/2013</w:t>
        </w:r>
      </w:hyperlink>
      <w:r>
        <w:t>, f. 3.</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 </w:t>
      </w:r>
      <w:hyperlink w:anchor="SENTENCIA_2013_14" w:history="1">
        <w:r w:rsidRPr="00E27756">
          <w:rPr>
            <w:rStyle w:val="TextoNormalCaracter"/>
          </w:rPr>
          <w:t>14/2013</w:t>
        </w:r>
      </w:hyperlink>
      <w:r>
        <w:t>, f. 5.</w:t>
      </w:r>
    </w:p>
    <w:p w:rsidR="00E27756" w:rsidRDefault="00E27756" w:rsidP="00E27756">
      <w:pPr>
        <w:pStyle w:val="SangriaFrancesaArticulo"/>
      </w:pPr>
    </w:p>
    <w:p w:rsidR="00E27756" w:rsidRDefault="00E27756" w:rsidP="00E27756">
      <w:pPr>
        <w:pStyle w:val="TextoNormalNegritaCursivandice"/>
      </w:pPr>
      <w:r>
        <w:t>Real Decreto 202/2012, de 23 de enero. Aplicación a partir del 2012 de los pagos directos a la agricultura y a la ganadería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p>
    <w:p w:rsidR="00E27756" w:rsidRDefault="00E27756" w:rsidP="00E27756">
      <w:pPr>
        <w:pStyle w:val="TextoNormalNegritaCursivandice"/>
      </w:pPr>
      <w:r>
        <w:t>Real Decreto 257/2012, de 27 de enero. Desarrolla la estructura orgánica básica del Ministerio de Educación, Cultura y Deporte</w:t>
      </w:r>
    </w:p>
    <w:p w:rsidR="00E27756" w:rsidRDefault="00E27756" w:rsidP="00E27756">
      <w:pPr>
        <w:pStyle w:val="SangriaFrancesaArticulo"/>
      </w:pPr>
      <w:r w:rsidRPr="00E27756">
        <w:rPr>
          <w:rStyle w:val="TextoNormalNegritaCaracter"/>
        </w:rPr>
        <w:t>Artículo 10.1 l).</w:t>
      </w:r>
      <w:r w:rsidRPr="00E27756">
        <w:rPr>
          <w:rStyle w:val="TextoNormalCaracter"/>
        </w:rPr>
        <w:t>-</w:t>
      </w:r>
      <w:r>
        <w:t xml:space="preserve"> Sentencias </w:t>
      </w:r>
      <w:hyperlink w:anchor="SENTENCIA_2013_14" w:history="1">
        <w:r w:rsidRPr="00E27756">
          <w:rPr>
            <w:rStyle w:val="TextoNormalCaracter"/>
          </w:rPr>
          <w:t>14/2013</w:t>
        </w:r>
      </w:hyperlink>
      <w:r>
        <w:t xml:space="preserve">, f. 3; </w:t>
      </w:r>
      <w:hyperlink w:anchor="SENTENCIA_2013_38" w:history="1">
        <w:r w:rsidRPr="00E27756">
          <w:rPr>
            <w:rStyle w:val="TextoNormalCaracter"/>
          </w:rPr>
          <w:t>38/2013</w:t>
        </w:r>
      </w:hyperlink>
      <w:r>
        <w:t xml:space="preserve">, f. 3; </w:t>
      </w:r>
      <w:hyperlink w:anchor="SENTENCIA_2013_136" w:history="1">
        <w:r w:rsidRPr="00E27756">
          <w:rPr>
            <w:rStyle w:val="TextoNormalCaracter"/>
          </w:rPr>
          <w:t>136/2013</w:t>
        </w:r>
      </w:hyperlink>
      <w:r>
        <w:t>, f. 3.</w:t>
      </w:r>
    </w:p>
    <w:p w:rsidR="00E27756" w:rsidRDefault="00E27756" w:rsidP="00E27756">
      <w:pPr>
        <w:pStyle w:val="SangriaFrancesaArticulo"/>
      </w:pPr>
    </w:p>
    <w:p w:rsidR="00E27756" w:rsidRDefault="00E27756" w:rsidP="00E27756">
      <w:pPr>
        <w:pStyle w:val="TextoNormalNegritaCursivandice"/>
      </w:pPr>
      <w:r>
        <w:t>Orden SSI/1199/2012, de 4 de junio. Se establecen las bases reguladoras y se convoca la concesión de subvenciones para la realización de programas de cooperación y voluntariado sociales con cargo a la asignación tributaria del impuesto sobre la renta de las personas físicas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70" w:history="1">
        <w:r w:rsidRPr="00E27756">
          <w:rPr>
            <w:rStyle w:val="TextoNormalCaracter"/>
          </w:rPr>
          <w:t>70/2013</w:t>
        </w:r>
      </w:hyperlink>
      <w:r>
        <w:t>, ff. 1, 4.</w:t>
      </w:r>
    </w:p>
    <w:p w:rsidR="00E27756" w:rsidRDefault="00E27756" w:rsidP="00E27756">
      <w:pPr>
        <w:pStyle w:val="SangriaFrancesaArticulo"/>
      </w:pPr>
      <w:r w:rsidRPr="00E27756">
        <w:rPr>
          <w:rStyle w:val="TextoNormalNegritaCaracter"/>
        </w:rPr>
        <w:t>Artículos 1 a 21.</w:t>
      </w:r>
      <w:r w:rsidRPr="00E27756">
        <w:rPr>
          <w:rStyle w:val="TextoNormalCaracter"/>
        </w:rPr>
        <w:t>-</w:t>
      </w:r>
      <w:r>
        <w:t xml:space="preserve"> Sentencia </w:t>
      </w:r>
      <w:hyperlink w:anchor="SENTENCIA_2013_70" w:history="1">
        <w:r w:rsidRPr="00E27756">
          <w:rPr>
            <w:rStyle w:val="TextoNormalCaracter"/>
          </w:rPr>
          <w:t>70/2013</w:t>
        </w:r>
      </w:hyperlink>
      <w:r>
        <w:t>, ff. 2, 7.</w:t>
      </w:r>
    </w:p>
    <w:p w:rsidR="00E27756" w:rsidRDefault="00E27756" w:rsidP="00E27756">
      <w:pPr>
        <w:pStyle w:val="SangriaFrancesaArticulo"/>
      </w:pPr>
      <w:r w:rsidRPr="00E27756">
        <w:rPr>
          <w:rStyle w:val="TextoNormalNegritaCaracter"/>
        </w:rPr>
        <w:t>Anexos A y B.</w:t>
      </w:r>
      <w:r w:rsidRPr="00E27756">
        <w:rPr>
          <w:rStyle w:val="TextoNormalCaracter"/>
        </w:rPr>
        <w:t>-</w:t>
      </w:r>
      <w:r>
        <w:t xml:space="preserve"> Sentencia </w:t>
      </w:r>
      <w:hyperlink w:anchor="SENTENCIA_2013_70" w:history="1">
        <w:r w:rsidRPr="00E27756">
          <w:rPr>
            <w:rStyle w:val="TextoNormalCaracter"/>
          </w:rPr>
          <w:t>70/2013</w:t>
        </w:r>
      </w:hyperlink>
      <w:r>
        <w:t>, f. 7.</w:t>
      </w:r>
    </w:p>
    <w:p w:rsidR="00E27756" w:rsidRDefault="00E27756" w:rsidP="00E27756">
      <w:pPr>
        <w:pStyle w:val="SangriaFrancesaArticulo"/>
      </w:pPr>
      <w:r w:rsidRPr="00E27756">
        <w:rPr>
          <w:rStyle w:val="TextoNormalNegritaCaracter"/>
        </w:rPr>
        <w:t>Anexos I a IV y C.</w:t>
      </w:r>
      <w:r w:rsidRPr="00E27756">
        <w:rPr>
          <w:rStyle w:val="TextoNormalCaracter"/>
        </w:rPr>
        <w:t>-</w:t>
      </w:r>
      <w:r>
        <w:t xml:space="preserve"> Sentencia </w:t>
      </w:r>
      <w:hyperlink w:anchor="SENTENCIA_2013_70" w:history="1">
        <w:r w:rsidRPr="00E27756">
          <w:rPr>
            <w:rStyle w:val="TextoNormalCaracter"/>
          </w:rPr>
          <w:t>70/2013</w:t>
        </w:r>
      </w:hyperlink>
      <w:r>
        <w:t>, f. 7.</w:t>
      </w:r>
    </w:p>
    <w:p w:rsidR="00E27756" w:rsidRDefault="00E27756" w:rsidP="00E27756">
      <w:pPr>
        <w:pStyle w:val="SangriaFrancesaArticulo"/>
      </w:pPr>
    </w:p>
    <w:p w:rsidR="00E27756" w:rsidRDefault="00E27756" w:rsidP="00E27756">
      <w:pPr>
        <w:pStyle w:val="TextoNormalNegritaCursivandice"/>
      </w:pPr>
      <w:r>
        <w:t>Orden ESS/1744/2012, de 2 de agosto. Se establecen las bases reguladoras para la concesión de las subvenciones a entidades locales para el desarrollo de programas innovadores a favor de la integración de inmigrantes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6" w:history="1">
        <w:r w:rsidRPr="00E27756">
          <w:rPr>
            <w:rStyle w:val="TextoNormalCaracter"/>
          </w:rPr>
          <w:t>26/2013</w:t>
        </w:r>
      </w:hyperlink>
      <w:r>
        <w:t>, f. 2.</w:t>
      </w:r>
    </w:p>
    <w:p w:rsidR="00E27756" w:rsidRDefault="00E27756" w:rsidP="00E27756">
      <w:pPr>
        <w:pStyle w:val="SangriaFrancesaArticulo"/>
      </w:pPr>
    </w:p>
    <w:p w:rsidR="00E27756" w:rsidRDefault="00E27756" w:rsidP="00E27756">
      <w:pPr>
        <w:pStyle w:val="TextoNormalNegritaCursivandice"/>
      </w:pPr>
      <w:r>
        <w:t>Real Decreto 1190/2012, de 3 de agosto. Se modifican el Real Decreto 1513/2006, de 7 de diciembre, por el que se establecen las enseñanzas mínimas de la Educación Primaria, y el Real Decreto 1631/2006, de 29 de diciembre, por el que se establecen las enseñanzas mínimas correspondientes a la Educación Secundaria Obligatoria</w:t>
      </w:r>
    </w:p>
    <w:p w:rsidR="00E27756" w:rsidRDefault="00E27756" w:rsidP="00E27756">
      <w:pPr>
        <w:pStyle w:val="SangriaFrancesaArticulo"/>
      </w:pPr>
      <w:r w:rsidRPr="00E27756">
        <w:rPr>
          <w:rStyle w:val="TextoNormalNegritaCaracter"/>
        </w:rPr>
        <w:lastRenderedPageBreak/>
        <w:t>En general.</w:t>
      </w:r>
      <w:r w:rsidRPr="00E27756">
        <w:rPr>
          <w:rStyle w:val="TextoNormalCaracter"/>
        </w:rPr>
        <w:t>-</w:t>
      </w:r>
      <w:r>
        <w:t xml:space="preserve"> Sentencia </w:t>
      </w:r>
      <w:hyperlink w:anchor="SENTENCIA_2013_48" w:history="1">
        <w:r w:rsidRPr="00E27756">
          <w:rPr>
            <w:rStyle w:val="TextoNormalCaracter"/>
          </w:rPr>
          <w:t>48/2013</w:t>
        </w:r>
      </w:hyperlink>
      <w:r>
        <w:t>, f. 2.</w:t>
      </w:r>
    </w:p>
    <w:p w:rsidR="00E27756" w:rsidRDefault="00E27756" w:rsidP="00E27756">
      <w:pPr>
        <w:pStyle w:val="SangriaFrancesaArticulo"/>
      </w:pPr>
    </w:p>
    <w:p w:rsidR="00E27756" w:rsidRDefault="00E27756" w:rsidP="00E27756">
      <w:pPr>
        <w:pStyle w:val="TextoNormalNegritaCursivandice"/>
      </w:pPr>
      <w:r>
        <w:t>Orden AAA/2219/2012, de 17 de octubre. Modifica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13" w:history="1">
        <w:r w:rsidRPr="00E27756">
          <w:rPr>
            <w:rStyle w:val="TextoNormalCaracter"/>
          </w:rPr>
          <w:t>113/2013</w:t>
        </w:r>
      </w:hyperlink>
      <w:r>
        <w:t>, f. 2.</w:t>
      </w:r>
    </w:p>
    <w:p w:rsidR="00E27756" w:rsidRDefault="00E27756" w:rsidP="00E27756">
      <w:pPr>
        <w:pStyle w:val="SangriaFrancesaArticulo"/>
      </w:pPr>
    </w:p>
    <w:p w:rsidR="00E27756" w:rsidRDefault="00E27756" w:rsidP="00E27756">
      <w:pPr>
        <w:pStyle w:val="TextoNormalNegritaCursivandice"/>
      </w:pPr>
      <w:r>
        <w:t>Orden AAA/2462/2012, de 15 de noviembre. Modifica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13" w:history="1">
        <w:r w:rsidRPr="00E27756">
          <w:rPr>
            <w:rStyle w:val="TextoNormalCaracter"/>
          </w:rPr>
          <w:t>113/2013</w:t>
        </w:r>
      </w:hyperlink>
      <w:r>
        <w:t>, f. 2.</w:t>
      </w:r>
    </w:p>
    <w:p w:rsidR="00E27756" w:rsidRDefault="00E27756" w:rsidP="00E27756">
      <w:pPr>
        <w:pStyle w:val="SangriaFrancesaArticulo"/>
      </w:pPr>
    </w:p>
    <w:p w:rsidR="00E27756" w:rsidRDefault="00E27756" w:rsidP="00E27756">
      <w:pPr>
        <w:pStyle w:val="TextoNormalNegritaCursivandice"/>
      </w:pPr>
      <w:r>
        <w:t>Real Decreto 233/2013, de 5 de abril. Regula el Plan Estatal de fomento del alquiler de viviendas, la rehabilitación edificatoria, y la regeneración y renovación urbanas, 2013-2016</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12" w:history="1">
        <w:r w:rsidRPr="00E27756">
          <w:rPr>
            <w:rStyle w:val="TextoNormalCaracter"/>
          </w:rPr>
          <w:t>112/2013</w:t>
        </w:r>
      </w:hyperlink>
      <w:r>
        <w:t>, f. 2.</w:t>
      </w:r>
    </w:p>
    <w:p w:rsidR="00E27756" w:rsidRDefault="00E27756" w:rsidP="00E27756">
      <w:pPr>
        <w:pStyle w:val="TextoNormal"/>
      </w:pPr>
    </w:p>
    <w:p w:rsidR="00E27756" w:rsidRDefault="00E27756" w:rsidP="00E27756">
      <w:pPr>
        <w:pStyle w:val="SangriaFrancesaArticulo"/>
      </w:pPr>
      <w:bookmarkStart w:id="302" w:name="INDICE22850"/>
    </w:p>
    <w:bookmarkEnd w:id="302"/>
    <w:p w:rsidR="00E27756" w:rsidRDefault="00E27756" w:rsidP="00E27756">
      <w:pPr>
        <w:pStyle w:val="TextoIndiceNivel2"/>
        <w:suppressAutoHyphens/>
      </w:pPr>
      <w:r>
        <w:t>I) Legislación preconstitucional</w:t>
      </w:r>
    </w:p>
    <w:p w:rsidR="00E27756" w:rsidRDefault="00E27756" w:rsidP="00E27756">
      <w:pPr>
        <w:pStyle w:val="TextoIndiceNivel2"/>
      </w:pPr>
    </w:p>
    <w:p w:rsidR="00E27756" w:rsidRDefault="00E27756" w:rsidP="00E27756">
      <w:pPr>
        <w:pStyle w:val="TextoNormalNegritaCursivandice"/>
      </w:pPr>
      <w:r>
        <w:t>Ley de 2 de diciembre de 1872. Creación del Banco Hipotecario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79" w:history="1">
        <w:r w:rsidRPr="00E27756">
          <w:rPr>
            <w:rStyle w:val="TextoNormalCaracter"/>
          </w:rPr>
          <w:t>79/2013</w:t>
        </w:r>
      </w:hyperlink>
      <w:r>
        <w:t>, f. 3.</w:t>
      </w:r>
    </w:p>
    <w:p w:rsidR="00E27756" w:rsidRDefault="00E27756" w:rsidP="00E27756">
      <w:pPr>
        <w:pStyle w:val="SangriaFrancesaArticulo"/>
      </w:pPr>
    </w:p>
    <w:p w:rsidR="00E27756" w:rsidRDefault="00E27756" w:rsidP="00E27756">
      <w:pPr>
        <w:pStyle w:val="TextoNormalNegritaCursivandice"/>
      </w:pPr>
      <w:r>
        <w:t>Real Decreto de 3 de febrero de 1881. Ley de enjuiciamiento civil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6" w:history="1">
        <w:r w:rsidRPr="00E27756">
          <w:rPr>
            <w:rStyle w:val="TextoNormalCaracter"/>
          </w:rPr>
          <w:t>56/2013</w:t>
        </w:r>
      </w:hyperlink>
      <w:r>
        <w:t>, f. 4.</w:t>
      </w:r>
    </w:p>
    <w:p w:rsidR="00E27756" w:rsidRDefault="00E27756" w:rsidP="00E27756">
      <w:pPr>
        <w:pStyle w:val="SangriaFrancesaArticulo"/>
      </w:pPr>
      <w:r w:rsidRPr="00E27756">
        <w:rPr>
          <w:rStyle w:val="TextoNormalNegritaCaracter"/>
        </w:rPr>
        <w:t>Artículo 260.2.</w:t>
      </w:r>
      <w:r w:rsidRPr="00E27756">
        <w:rPr>
          <w:rStyle w:val="TextoNormalCaracter"/>
        </w:rPr>
        <w:t>-</w:t>
      </w:r>
      <w:r>
        <w:t xml:space="preserve"> Sentencia </w:t>
      </w:r>
      <w:hyperlink w:anchor="SENTENCIA_2013_79" w:history="1">
        <w:r w:rsidRPr="00E27756">
          <w:rPr>
            <w:rStyle w:val="TextoNormalCaracter"/>
          </w:rPr>
          <w:t>79/2013</w:t>
        </w:r>
      </w:hyperlink>
      <w:r>
        <w:t>, f. 2.</w:t>
      </w:r>
    </w:p>
    <w:p w:rsidR="00E27756" w:rsidRDefault="00E27756" w:rsidP="00E27756">
      <w:pPr>
        <w:pStyle w:val="SangriaFrancesaArticulo"/>
      </w:pPr>
      <w:r w:rsidRPr="00E27756">
        <w:rPr>
          <w:rStyle w:val="TextoNormalNegritaCaracter"/>
        </w:rPr>
        <w:t>Artículo 548.</w:t>
      </w:r>
      <w:r w:rsidRPr="00E27756">
        <w:rPr>
          <w:rStyle w:val="TextoNormalCaracter"/>
        </w:rPr>
        <w:t>-</w:t>
      </w:r>
      <w:r>
        <w:t xml:space="preserve"> Sentencia </w:t>
      </w:r>
      <w:hyperlink w:anchor="SENTENCIA_2013_56" w:history="1">
        <w:r w:rsidRPr="00E27756">
          <w:rPr>
            <w:rStyle w:val="TextoNormalCaracter"/>
          </w:rPr>
          <w:t>56/2013</w:t>
        </w:r>
      </w:hyperlink>
      <w:r>
        <w:t>, f. 4.</w:t>
      </w:r>
    </w:p>
    <w:p w:rsidR="00E27756" w:rsidRDefault="00E27756" w:rsidP="00E27756">
      <w:pPr>
        <w:pStyle w:val="SangriaFrancesaArticulo"/>
      </w:pPr>
      <w:r w:rsidRPr="00E27756">
        <w:rPr>
          <w:rStyle w:val="TextoNormalNegritaCaracter"/>
        </w:rPr>
        <w:t>Artículo 1692.4.</w:t>
      </w:r>
      <w:r w:rsidRPr="00E27756">
        <w:rPr>
          <w:rStyle w:val="TextoNormalCaracter"/>
        </w:rPr>
        <w:t>-</w:t>
      </w:r>
      <w:r>
        <w:t xml:space="preserve"> Sentencia </w:t>
      </w:r>
      <w:hyperlink w:anchor="SENTENCIA_2013_56" w:history="1">
        <w:r w:rsidRPr="00E27756">
          <w:rPr>
            <w:rStyle w:val="TextoNormalCaracter"/>
          </w:rPr>
          <w:t>56/2013</w:t>
        </w:r>
      </w:hyperlink>
      <w:r>
        <w:t>, f. 3.</w:t>
      </w:r>
    </w:p>
    <w:p w:rsidR="00E27756" w:rsidRDefault="00E27756" w:rsidP="00E27756">
      <w:pPr>
        <w:pStyle w:val="SangriaFrancesaArticulo"/>
      </w:pPr>
      <w:r w:rsidRPr="00E27756">
        <w:rPr>
          <w:rStyle w:val="TextoNormalNegritaCaracter"/>
        </w:rPr>
        <w:t>Artículo 1826.</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r w:rsidRPr="00E27756">
        <w:rPr>
          <w:rStyle w:val="TextoNormalNegritaCaracter"/>
        </w:rPr>
        <w:t>Artículo 1827.</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p>
    <w:p w:rsidR="00E27756" w:rsidRDefault="00E27756" w:rsidP="00E27756">
      <w:pPr>
        <w:pStyle w:val="TextoNormalNegritaCursivandice"/>
      </w:pPr>
      <w:r>
        <w:t>Real Decreto de 14 de septiembre de 1882. Ley de enjuiciamiento criminal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2" w:history="1">
        <w:r w:rsidRPr="00E27756">
          <w:rPr>
            <w:rStyle w:val="TextoNormalCaracter"/>
          </w:rPr>
          <w:t>22/2013</w:t>
        </w:r>
      </w:hyperlink>
      <w:r>
        <w:t>, f. 3.</w:t>
      </w:r>
    </w:p>
    <w:p w:rsidR="00E27756" w:rsidRDefault="00E27756" w:rsidP="00E27756">
      <w:pPr>
        <w:pStyle w:val="SangriaFrancesaArticulo"/>
      </w:pPr>
      <w:r w:rsidRPr="00E27756">
        <w:rPr>
          <w:rStyle w:val="TextoNormalNegritaCaracter"/>
        </w:rPr>
        <w:t>Artículo 282.</w:t>
      </w:r>
      <w:r w:rsidRPr="00E27756">
        <w:rPr>
          <w:rStyle w:val="TextoNormalCaracter"/>
        </w:rPr>
        <w:t>-</w:t>
      </w:r>
      <w:r>
        <w:t xml:space="preserve"> Sentencia </w:t>
      </w:r>
      <w:hyperlink w:anchor="SENTENCIA_2013_115" w:history="1">
        <w:r w:rsidRPr="00E27756">
          <w:rPr>
            <w:rStyle w:val="TextoNormalCaracter"/>
          </w:rPr>
          <w:t>115/2013</w:t>
        </w:r>
      </w:hyperlink>
      <w:r>
        <w:t>, f. 6.</w:t>
      </w:r>
    </w:p>
    <w:p w:rsidR="00E27756" w:rsidRDefault="00E27756" w:rsidP="00E27756">
      <w:pPr>
        <w:pStyle w:val="SangriaFrancesaArticulo"/>
      </w:pPr>
      <w:r w:rsidRPr="00E27756">
        <w:rPr>
          <w:rStyle w:val="TextoNormalNegritaCaracter"/>
        </w:rPr>
        <w:t>Artículo 297.</w:t>
      </w:r>
      <w:r w:rsidRPr="00E27756">
        <w:rPr>
          <w:rStyle w:val="TextoNormalCaracter"/>
        </w:rPr>
        <w:t>-</w:t>
      </w:r>
      <w:r>
        <w:t xml:space="preserve"> Sentencia </w:t>
      </w:r>
      <w:hyperlink w:anchor="SENTENCIA_2013_53" w:history="1">
        <w:r w:rsidRPr="00E27756">
          <w:rPr>
            <w:rStyle w:val="TextoNormalCaracter"/>
          </w:rPr>
          <w:t>53/2013</w:t>
        </w:r>
      </w:hyperlink>
      <w:r>
        <w:t>, f. 3.</w:t>
      </w:r>
    </w:p>
    <w:p w:rsidR="00E27756" w:rsidRDefault="00E27756" w:rsidP="00E27756">
      <w:pPr>
        <w:pStyle w:val="SangriaFrancesaArticulo"/>
      </w:pPr>
      <w:r w:rsidRPr="00E27756">
        <w:rPr>
          <w:rStyle w:val="TextoNormalNegritaCaracter"/>
        </w:rPr>
        <w:t>Artículo 433.</w:t>
      </w:r>
      <w:r w:rsidRPr="00E27756">
        <w:rPr>
          <w:rStyle w:val="TextoNormalCaracter"/>
        </w:rPr>
        <w:t>-</w:t>
      </w:r>
      <w:r>
        <w:t xml:space="preserve"> Sentencia </w:t>
      </w:r>
      <w:hyperlink w:anchor="SENTENCIA_2013_57" w:history="1">
        <w:r w:rsidRPr="00E27756">
          <w:rPr>
            <w:rStyle w:val="TextoNormalCaracter"/>
          </w:rPr>
          <w:t>57/2013</w:t>
        </w:r>
      </w:hyperlink>
      <w:r>
        <w:t>, f. 5.</w:t>
      </w:r>
    </w:p>
    <w:p w:rsidR="00E27756" w:rsidRDefault="00E27756" w:rsidP="00E27756">
      <w:pPr>
        <w:pStyle w:val="SangriaFrancesaArticulo"/>
      </w:pPr>
      <w:r w:rsidRPr="00E27756">
        <w:rPr>
          <w:rStyle w:val="TextoNormalNegritaCaracter"/>
        </w:rPr>
        <w:t>Artículo 730.</w:t>
      </w:r>
      <w:r w:rsidRPr="00E27756">
        <w:rPr>
          <w:rStyle w:val="TextoNormalCaracter"/>
        </w:rPr>
        <w:t>-</w:t>
      </w:r>
      <w:r>
        <w:t xml:space="preserve"> Sentencia </w:t>
      </w:r>
      <w:hyperlink w:anchor="SENTENCIA_2013_53" w:history="1">
        <w:r w:rsidRPr="00E27756">
          <w:rPr>
            <w:rStyle w:val="TextoNormalCaracter"/>
          </w:rPr>
          <w:t>53/2013</w:t>
        </w:r>
      </w:hyperlink>
      <w:r>
        <w:t>, f. 3.</w:t>
      </w:r>
    </w:p>
    <w:p w:rsidR="00E27756" w:rsidRDefault="00E27756" w:rsidP="00E27756">
      <w:pPr>
        <w:pStyle w:val="SangriaFrancesaArticulo"/>
      </w:pPr>
      <w:r w:rsidRPr="00E27756">
        <w:rPr>
          <w:rStyle w:val="TextoNormalNegritaCaracter"/>
        </w:rPr>
        <w:t>Artículo 741.</w:t>
      </w:r>
      <w:r w:rsidRPr="00E27756">
        <w:rPr>
          <w:rStyle w:val="TextoNormalCaracter"/>
        </w:rPr>
        <w:t>-</w:t>
      </w:r>
      <w:r>
        <w:t xml:space="preserve"> Sentencia </w:t>
      </w:r>
      <w:hyperlink w:anchor="SENTENCIA_2013_57" w:history="1">
        <w:r w:rsidRPr="00E27756">
          <w:rPr>
            <w:rStyle w:val="TextoNormalCaracter"/>
          </w:rPr>
          <w:t>57/2013</w:t>
        </w:r>
      </w:hyperlink>
      <w:r>
        <w:t>, f. 6.</w:t>
      </w:r>
    </w:p>
    <w:p w:rsidR="00E27756" w:rsidRDefault="00E27756" w:rsidP="00E27756">
      <w:pPr>
        <w:pStyle w:val="SangriaFrancesaArticulo"/>
      </w:pPr>
      <w:r w:rsidRPr="00E27756">
        <w:rPr>
          <w:rStyle w:val="TextoNormalNegritaCaracter"/>
        </w:rPr>
        <w:t>Artículo 759.2.</w:t>
      </w:r>
      <w:r w:rsidRPr="00E27756">
        <w:rPr>
          <w:rStyle w:val="TextoNormalCaracter"/>
        </w:rPr>
        <w:t>-</w:t>
      </w:r>
      <w:r>
        <w:t xml:space="preserve"> Auto </w:t>
      </w:r>
      <w:hyperlink w:anchor="AUTO_2013_59" w:history="1">
        <w:r w:rsidRPr="00E27756">
          <w:rPr>
            <w:rStyle w:val="TextoNormalCaracter"/>
          </w:rPr>
          <w:t>59/2013</w:t>
        </w:r>
      </w:hyperlink>
      <w:r>
        <w:t>, f. 2.</w:t>
      </w:r>
    </w:p>
    <w:p w:rsidR="00E27756" w:rsidRDefault="00E27756" w:rsidP="00E27756">
      <w:pPr>
        <w:pStyle w:val="SangriaFrancesaArticulo"/>
      </w:pPr>
      <w:r w:rsidRPr="00E27756">
        <w:rPr>
          <w:rStyle w:val="TextoNormalNegritaCaracter"/>
        </w:rPr>
        <w:t>Artículo 790.2.</w:t>
      </w:r>
      <w:r w:rsidRPr="00E27756">
        <w:rPr>
          <w:rStyle w:val="TextoNormalCaracter"/>
        </w:rPr>
        <w:t>-</w:t>
      </w:r>
      <w:r>
        <w:t xml:space="preserve"> Sentencia </w:t>
      </w:r>
      <w:hyperlink w:anchor="SENTENCIA_2013_22" w:history="1">
        <w:r w:rsidRPr="00E27756">
          <w:rPr>
            <w:rStyle w:val="TextoNormalCaracter"/>
          </w:rPr>
          <w:t>22/2013</w:t>
        </w:r>
      </w:hyperlink>
      <w:r>
        <w:t>, f. 3.</w:t>
      </w:r>
    </w:p>
    <w:p w:rsidR="00E27756" w:rsidRDefault="00E27756" w:rsidP="00E27756">
      <w:pPr>
        <w:pStyle w:val="SangriaFrancesaArticulo"/>
      </w:pPr>
      <w:r w:rsidRPr="00E27756">
        <w:rPr>
          <w:rStyle w:val="TextoNormalNegritaCaracter"/>
        </w:rPr>
        <w:t>Artículo 790.3.</w:t>
      </w:r>
      <w:r w:rsidRPr="00E27756">
        <w:rPr>
          <w:rStyle w:val="TextoNormalCaracter"/>
        </w:rPr>
        <w:t>-</w:t>
      </w:r>
      <w:r>
        <w:t xml:space="preserve"> Sentencia </w:t>
      </w:r>
      <w:hyperlink w:anchor="SENTENCIA_2013_22" w:history="1">
        <w:r w:rsidRPr="00E27756">
          <w:rPr>
            <w:rStyle w:val="TextoNormalCaracter"/>
          </w:rPr>
          <w:t>22/2013</w:t>
        </w:r>
      </w:hyperlink>
      <w:r>
        <w:t>, f. 3.</w:t>
      </w:r>
    </w:p>
    <w:p w:rsidR="00E27756" w:rsidRDefault="00E27756" w:rsidP="00E27756">
      <w:pPr>
        <w:pStyle w:val="SangriaFrancesaArticulo"/>
      </w:pPr>
      <w:r w:rsidRPr="00E27756">
        <w:rPr>
          <w:rStyle w:val="TextoNormalNegritaCaracter"/>
        </w:rPr>
        <w:lastRenderedPageBreak/>
        <w:t>Artículo 791.1.</w:t>
      </w:r>
      <w:r w:rsidRPr="00E27756">
        <w:rPr>
          <w:rStyle w:val="TextoNormalCaracter"/>
        </w:rPr>
        <w:t>-</w:t>
      </w:r>
      <w:r>
        <w:t xml:space="preserve"> Sentencia </w:t>
      </w:r>
      <w:hyperlink w:anchor="SENTENCIA_2013_22" w:history="1">
        <w:r w:rsidRPr="00E27756">
          <w:rPr>
            <w:rStyle w:val="TextoNormalCaracter"/>
          </w:rPr>
          <w:t>22/2013</w:t>
        </w:r>
      </w:hyperlink>
      <w:r>
        <w:t>, f. 3.</w:t>
      </w:r>
    </w:p>
    <w:p w:rsidR="00E27756" w:rsidRDefault="00E27756" w:rsidP="00E27756">
      <w:pPr>
        <w:pStyle w:val="SangriaFrancesaArticulo"/>
      </w:pPr>
      <w:r w:rsidRPr="00E27756">
        <w:rPr>
          <w:rStyle w:val="TextoNormalNegritaCaracter"/>
        </w:rPr>
        <w:t>Artículo 988.</w:t>
      </w:r>
      <w:r w:rsidRPr="00E27756">
        <w:rPr>
          <w:rStyle w:val="TextoNormalCaracter"/>
        </w:rPr>
        <w:t>-</w:t>
      </w:r>
      <w:r>
        <w:t xml:space="preserve"> Sentencias </w:t>
      </w:r>
      <w:hyperlink w:anchor="SENTENCIA_2013_28" w:history="1">
        <w:r w:rsidRPr="00E27756">
          <w:rPr>
            <w:rStyle w:val="TextoNormalCaracter"/>
          </w:rPr>
          <w:t>28/2013</w:t>
        </w:r>
      </w:hyperlink>
      <w:r>
        <w:t xml:space="preserve">, f. 3; </w:t>
      </w:r>
      <w:hyperlink w:anchor="SENTENCIA_2013_54" w:history="1">
        <w:r w:rsidRPr="00E27756">
          <w:rPr>
            <w:rStyle w:val="TextoNormalCaracter"/>
          </w:rPr>
          <w:t>54/2013</w:t>
        </w:r>
      </w:hyperlink>
      <w:r>
        <w:t>, f. 3.</w:t>
      </w:r>
    </w:p>
    <w:p w:rsidR="00E27756" w:rsidRDefault="00E27756" w:rsidP="00E27756">
      <w:pPr>
        <w:pStyle w:val="SangriaFrancesaArticulo"/>
      </w:pPr>
    </w:p>
    <w:p w:rsidR="00E27756" w:rsidRDefault="00E27756" w:rsidP="00E27756">
      <w:pPr>
        <w:pStyle w:val="TextoNormalNegritaCursivandice"/>
      </w:pPr>
      <w:r>
        <w:t>Real Decreto de 24 de julio de 1889. Código civil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42" w:history="1">
        <w:r w:rsidRPr="00E27756">
          <w:rPr>
            <w:rStyle w:val="TextoNormalCaracter"/>
          </w:rPr>
          <w:t>42/2013</w:t>
        </w:r>
      </w:hyperlink>
      <w:r>
        <w:t xml:space="preserve">, f. 1; </w:t>
      </w:r>
      <w:hyperlink w:anchor="SENTENCIA_2013_81" w:history="1">
        <w:r w:rsidRPr="00E27756">
          <w:rPr>
            <w:rStyle w:val="TextoNormalCaracter"/>
          </w:rPr>
          <w:t>81/2013</w:t>
        </w:r>
      </w:hyperlink>
      <w:r>
        <w:t xml:space="preserve">, f. 4; </w:t>
      </w:r>
      <w:hyperlink w:anchor="SENTENCIA_2013_93" w:history="1">
        <w:r w:rsidRPr="00E27756">
          <w:rPr>
            <w:rStyle w:val="TextoNormalCaracter"/>
          </w:rPr>
          <w:t>93/2013</w:t>
        </w:r>
      </w:hyperlink>
      <w:r>
        <w:t>, ff. 1, 8, 11, 12.</w:t>
      </w:r>
    </w:p>
    <w:p w:rsidR="00E27756" w:rsidRDefault="00E27756" w:rsidP="00E27756">
      <w:pPr>
        <w:pStyle w:val="SangriaIzquierdaArticulo"/>
      </w:pPr>
      <w:r>
        <w:t xml:space="preserve">Auto </w:t>
      </w:r>
      <w:hyperlink w:anchor="AUTO_2013_93" w:history="1">
        <w:r w:rsidRPr="00E27756">
          <w:rPr>
            <w:rStyle w:val="TextoNormalCaracter"/>
          </w:rPr>
          <w:t>93/2013</w:t>
        </w:r>
      </w:hyperlink>
      <w:r>
        <w:t>, f. 1.</w:t>
      </w:r>
    </w:p>
    <w:p w:rsidR="00E27756" w:rsidRDefault="00E27756" w:rsidP="00E27756">
      <w:pPr>
        <w:pStyle w:val="SangriaFrancesaArticulo"/>
      </w:pPr>
      <w:r w:rsidRPr="00E27756">
        <w:rPr>
          <w:rStyle w:val="TextoNormalNegritaCaracter"/>
        </w:rPr>
        <w:t>Artículo 1.7.</w:t>
      </w:r>
      <w:r w:rsidRPr="00E27756">
        <w:rPr>
          <w:rStyle w:val="TextoNormalCaracter"/>
        </w:rPr>
        <w:t>-</w:t>
      </w:r>
      <w:r>
        <w:t xml:space="preserve"> Sentencia </w:t>
      </w:r>
      <w:hyperlink w:anchor="SENTENCIA_2013_133" w:history="1">
        <w:r w:rsidRPr="00E27756">
          <w:rPr>
            <w:rStyle w:val="TextoNormalCaracter"/>
          </w:rPr>
          <w:t>133/2013</w:t>
        </w:r>
      </w:hyperlink>
      <w:r>
        <w:t>, f. 8.</w:t>
      </w:r>
    </w:p>
    <w:p w:rsidR="00E27756" w:rsidRDefault="00E27756" w:rsidP="00E27756">
      <w:pPr>
        <w:pStyle w:val="SangriaFrancesaArticulo"/>
      </w:pPr>
      <w:r w:rsidRPr="00E27756">
        <w:rPr>
          <w:rStyle w:val="TextoNormalNegritaCaracter"/>
        </w:rPr>
        <w:t>Artículo 13.1.</w:t>
      </w:r>
      <w:r w:rsidRPr="00E27756">
        <w:rPr>
          <w:rStyle w:val="TextoNormalCaracter"/>
        </w:rPr>
        <w:t>-</w:t>
      </w:r>
      <w:r>
        <w:t xml:space="preserve"> Sentencia </w:t>
      </w:r>
      <w:hyperlink w:anchor="SENTENCIA_2013_93" w:history="1">
        <w:r w:rsidRPr="00E27756">
          <w:rPr>
            <w:rStyle w:val="TextoNormalCaracter"/>
          </w:rPr>
          <w:t>93/2013</w:t>
        </w:r>
      </w:hyperlink>
      <w:r>
        <w:t>, f. 5.</w:t>
      </w:r>
    </w:p>
    <w:p w:rsidR="00E27756" w:rsidRDefault="00E27756" w:rsidP="00E27756">
      <w:pPr>
        <w:pStyle w:val="SangriaFrancesaArticulo"/>
      </w:pPr>
      <w:r w:rsidRPr="00E27756">
        <w:rPr>
          <w:rStyle w:val="TextoNormalNegritaCaracter"/>
        </w:rPr>
        <w:t>Artículo 14.1.</w:t>
      </w:r>
      <w:r w:rsidRPr="00E27756">
        <w:rPr>
          <w:rStyle w:val="TextoNormalCaracter"/>
        </w:rPr>
        <w:t>-</w:t>
      </w:r>
      <w:r>
        <w:t xml:space="preserve"> Sentencia </w:t>
      </w:r>
      <w:hyperlink w:anchor="SENTENCIA_2013_93" w:history="1">
        <w:r w:rsidRPr="00E27756">
          <w:rPr>
            <w:rStyle w:val="TextoNormalCaracter"/>
          </w:rPr>
          <w:t>93/2013</w:t>
        </w:r>
      </w:hyperlink>
      <w:r>
        <w:t>, f. 6.</w:t>
      </w:r>
    </w:p>
    <w:p w:rsidR="00E27756" w:rsidRDefault="00E27756" w:rsidP="00E27756">
      <w:pPr>
        <w:pStyle w:val="SangriaFrancesaArticulo"/>
      </w:pPr>
      <w:r w:rsidRPr="00E27756">
        <w:rPr>
          <w:rStyle w:val="TextoNormalNegritaCaracter"/>
        </w:rPr>
        <w:t>Artículo 16.1.1.</w:t>
      </w:r>
      <w:r w:rsidRPr="00E27756">
        <w:rPr>
          <w:rStyle w:val="TextoNormalCaracter"/>
        </w:rPr>
        <w:t>-</w:t>
      </w:r>
      <w:r>
        <w:t xml:space="preserve"> Sentencia </w:t>
      </w:r>
      <w:hyperlink w:anchor="SENTENCIA_2013_93" w:history="1">
        <w:r w:rsidRPr="00E27756">
          <w:rPr>
            <w:rStyle w:val="TextoNormalCaracter"/>
          </w:rPr>
          <w:t>93/2013</w:t>
        </w:r>
      </w:hyperlink>
      <w:r>
        <w:t>, f. 6.</w:t>
      </w:r>
    </w:p>
    <w:p w:rsidR="00E27756" w:rsidRDefault="00E27756" w:rsidP="00E27756">
      <w:pPr>
        <w:pStyle w:val="SangriaFrancesaArticulo"/>
      </w:pPr>
      <w:r w:rsidRPr="00E27756">
        <w:rPr>
          <w:rStyle w:val="TextoNormalNegritaCaracter"/>
        </w:rPr>
        <w:t>Artículo 35.</w:t>
      </w:r>
      <w:r w:rsidRPr="00E27756">
        <w:rPr>
          <w:rStyle w:val="TextoNormalCaracter"/>
        </w:rPr>
        <w:t>-</w:t>
      </w:r>
      <w:r>
        <w:t xml:space="preserve"> Sentencia </w:t>
      </w:r>
      <w:hyperlink w:anchor="SENTENCIA_2013_98" w:history="1">
        <w:r w:rsidRPr="00E27756">
          <w:rPr>
            <w:rStyle w:val="TextoNormalCaracter"/>
          </w:rPr>
          <w:t>98/2013</w:t>
        </w:r>
      </w:hyperlink>
      <w:r>
        <w:t>, f. 3.</w:t>
      </w:r>
    </w:p>
    <w:p w:rsidR="00E27756" w:rsidRDefault="00E27756" w:rsidP="00E27756">
      <w:pPr>
        <w:pStyle w:val="SangriaFrancesaArticulo"/>
      </w:pPr>
      <w:r w:rsidRPr="00E27756">
        <w:rPr>
          <w:rStyle w:val="TextoNormalNegritaCaracter"/>
        </w:rPr>
        <w:t>Artículo 97.</w:t>
      </w:r>
      <w:r w:rsidRPr="00E27756">
        <w:rPr>
          <w:rStyle w:val="TextoNormalCaracter"/>
        </w:rPr>
        <w:t>-</w:t>
      </w:r>
      <w:r>
        <w:t xml:space="preserve"> Sentencia </w:t>
      </w:r>
      <w:hyperlink w:anchor="SENTENCIA_2013_81" w:history="1">
        <w:r w:rsidRPr="00E27756">
          <w:rPr>
            <w:rStyle w:val="TextoNormalCaracter"/>
          </w:rPr>
          <w:t>81/2013</w:t>
        </w:r>
      </w:hyperlink>
      <w:r>
        <w:t>, f. 4.</w:t>
      </w:r>
    </w:p>
    <w:p w:rsidR="00E27756" w:rsidRDefault="00E27756" w:rsidP="00E27756">
      <w:pPr>
        <w:pStyle w:val="SangriaFrancesaArticulo"/>
      </w:pPr>
      <w:r w:rsidRPr="00E27756">
        <w:rPr>
          <w:rStyle w:val="TextoNormalNegritaCaracter"/>
        </w:rPr>
        <w:t>Artículo 133.</w:t>
      </w:r>
      <w:r w:rsidRPr="00E27756">
        <w:rPr>
          <w:rStyle w:val="TextoNormalCaracter"/>
        </w:rPr>
        <w:t>-</w:t>
      </w:r>
      <w:r>
        <w:t xml:space="preserve"> Auto </w:t>
      </w:r>
      <w:hyperlink w:anchor="AUTO_2013_35" w:history="1">
        <w:r w:rsidRPr="00E27756">
          <w:rPr>
            <w:rStyle w:val="TextoNormalCaracter"/>
          </w:rPr>
          <w:t>35/2013</w:t>
        </w:r>
      </w:hyperlink>
      <w:r>
        <w:t>, ff. 1, 4.</w:t>
      </w:r>
    </w:p>
    <w:p w:rsidR="00E27756" w:rsidRDefault="00E27756" w:rsidP="00E27756">
      <w:pPr>
        <w:pStyle w:val="SangriaFrancesaArticulo"/>
      </w:pPr>
      <w:r w:rsidRPr="00E27756">
        <w:rPr>
          <w:rStyle w:val="TextoNormalNegritaCaracter"/>
        </w:rPr>
        <w:t>Artículo 172.4.</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r w:rsidRPr="00E27756">
        <w:rPr>
          <w:rStyle w:val="TextoNormalNegritaCaracter"/>
        </w:rPr>
        <w:t>Artículo 173 bis.</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r w:rsidRPr="00E27756">
        <w:rPr>
          <w:rStyle w:val="TextoNormalNegritaCaracter"/>
        </w:rPr>
        <w:t>Artículo 173.3.</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r w:rsidRPr="00E27756">
        <w:rPr>
          <w:rStyle w:val="TextoNormalNegritaCaracter"/>
        </w:rPr>
        <w:t>Artículo 173.4.</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r w:rsidRPr="00E27756">
        <w:rPr>
          <w:rStyle w:val="TextoNormalNegritaCaracter"/>
        </w:rPr>
        <w:t>Artículo 175.</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r w:rsidRPr="00E27756">
        <w:rPr>
          <w:rStyle w:val="TextoNormalNegritaCaracter"/>
        </w:rPr>
        <w:t>Artículo 176.</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r w:rsidRPr="00E27756">
        <w:rPr>
          <w:rStyle w:val="TextoNormalNegritaCaracter"/>
        </w:rPr>
        <w:t>Artículo 1255.</w:t>
      </w:r>
      <w:r w:rsidRPr="00E27756">
        <w:rPr>
          <w:rStyle w:val="TextoNormalCaracter"/>
        </w:rPr>
        <w:t>-</w:t>
      </w:r>
      <w:r>
        <w:t xml:space="preserve"> Sentencia </w:t>
      </w:r>
      <w:hyperlink w:anchor="SENTENCIA_2013_93" w:history="1">
        <w:r w:rsidRPr="00E27756">
          <w:rPr>
            <w:rStyle w:val="TextoNormalCaracter"/>
          </w:rPr>
          <w:t>93/2013</w:t>
        </w:r>
      </w:hyperlink>
      <w:r>
        <w:t>, f. 8.</w:t>
      </w:r>
    </w:p>
    <w:p w:rsidR="00E27756" w:rsidRDefault="00E27756" w:rsidP="00E27756">
      <w:pPr>
        <w:pStyle w:val="SangriaFrancesaArticulo"/>
      </w:pPr>
      <w:r w:rsidRPr="00E27756">
        <w:rPr>
          <w:rStyle w:val="TextoNormalNegritaCaracter"/>
        </w:rPr>
        <w:t>Artículo 1327.</w:t>
      </w:r>
      <w:r w:rsidRPr="00E27756">
        <w:rPr>
          <w:rStyle w:val="TextoNormalCaracter"/>
        </w:rPr>
        <w:t>-</w:t>
      </w:r>
      <w:r>
        <w:t xml:space="preserve"> Sentencia </w:t>
      </w:r>
      <w:hyperlink w:anchor="SENTENCIA_2013_81" w:history="1">
        <w:r w:rsidRPr="00E27756">
          <w:rPr>
            <w:rStyle w:val="TextoNormalCaracter"/>
          </w:rPr>
          <w:t>81/2013</w:t>
        </w:r>
      </w:hyperlink>
      <w:r>
        <w:t>, f. 4.</w:t>
      </w:r>
    </w:p>
    <w:p w:rsidR="00E27756" w:rsidRDefault="00E27756" w:rsidP="00E27756">
      <w:pPr>
        <w:pStyle w:val="SangriaFrancesaArticulo"/>
      </w:pPr>
      <w:r w:rsidRPr="00E27756">
        <w:rPr>
          <w:rStyle w:val="TextoNormalNegritaCaracter"/>
        </w:rPr>
        <w:t>Artículo 1328.</w:t>
      </w:r>
      <w:r w:rsidRPr="00E27756">
        <w:rPr>
          <w:rStyle w:val="TextoNormalCaracter"/>
        </w:rPr>
        <w:t>-</w:t>
      </w:r>
      <w:r>
        <w:t xml:space="preserve"> Sentencia </w:t>
      </w:r>
      <w:hyperlink w:anchor="SENTENCIA_2013_81" w:history="1">
        <w:r w:rsidRPr="00E27756">
          <w:rPr>
            <w:rStyle w:val="TextoNormalCaracter"/>
          </w:rPr>
          <w:t>81/2013</w:t>
        </w:r>
      </w:hyperlink>
      <w:r>
        <w:t>, f. 4.</w:t>
      </w:r>
    </w:p>
    <w:p w:rsidR="00E27756" w:rsidRDefault="00E27756" w:rsidP="00E27756">
      <w:pPr>
        <w:pStyle w:val="SangriaFrancesaArticulo"/>
      </w:pPr>
      <w:r w:rsidRPr="00E27756">
        <w:rPr>
          <w:rStyle w:val="TextoNormalNegritaCaracter"/>
        </w:rPr>
        <w:t>Artículo 1438.</w:t>
      </w:r>
      <w:r w:rsidRPr="00E27756">
        <w:rPr>
          <w:rStyle w:val="TextoNormalCaracter"/>
        </w:rPr>
        <w:t>-</w:t>
      </w:r>
      <w:r>
        <w:t xml:space="preserve"> Sentencia </w:t>
      </w:r>
      <w:hyperlink w:anchor="SENTENCIA_2013_81" w:history="1">
        <w:r w:rsidRPr="00E27756">
          <w:rPr>
            <w:rStyle w:val="TextoNormalCaracter"/>
          </w:rPr>
          <w:t>81/2013</w:t>
        </w:r>
      </w:hyperlink>
      <w:r>
        <w:t>, f. 4.</w:t>
      </w:r>
    </w:p>
    <w:p w:rsidR="00E27756" w:rsidRDefault="00E27756" w:rsidP="00E27756">
      <w:pPr>
        <w:pStyle w:val="SangriaFrancesaArticulo"/>
      </w:pPr>
      <w:r w:rsidRPr="00E27756">
        <w:rPr>
          <w:rStyle w:val="TextoNormalNegritaCaracter"/>
        </w:rPr>
        <w:t>Artículo 1968.2.</w:t>
      </w:r>
      <w:r w:rsidRPr="00E27756">
        <w:rPr>
          <w:rStyle w:val="TextoNormalCaracter"/>
        </w:rPr>
        <w:t>-</w:t>
      </w:r>
      <w:r>
        <w:t xml:space="preserve"> Sentencia </w:t>
      </w:r>
      <w:hyperlink w:anchor="SENTENCIA_2013_42" w:history="1">
        <w:r w:rsidRPr="00E27756">
          <w:rPr>
            <w:rStyle w:val="TextoNormalCaracter"/>
          </w:rPr>
          <w:t>42/2013</w:t>
        </w:r>
      </w:hyperlink>
      <w:r>
        <w:t>, ff. 1, 3, 4.</w:t>
      </w:r>
    </w:p>
    <w:p w:rsidR="00E27756" w:rsidRDefault="00E27756" w:rsidP="00E27756">
      <w:pPr>
        <w:pStyle w:val="SangriaFrancesaArticulo"/>
      </w:pPr>
    </w:p>
    <w:p w:rsidR="00E27756" w:rsidRDefault="00E27756" w:rsidP="00E27756">
      <w:pPr>
        <w:pStyle w:val="TextoNormalNegritaCursivandice"/>
      </w:pPr>
      <w:r>
        <w:t>Ley de 21 de abril de 1909. Hipotecaria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79" w:history="1">
        <w:r w:rsidRPr="00E27756">
          <w:rPr>
            <w:rStyle w:val="TextoNormalCaracter"/>
          </w:rPr>
          <w:t>79/2013</w:t>
        </w:r>
      </w:hyperlink>
      <w:r>
        <w:t>, f. 3.</w:t>
      </w:r>
    </w:p>
    <w:p w:rsidR="00E27756" w:rsidRDefault="00E27756" w:rsidP="00E27756">
      <w:pPr>
        <w:pStyle w:val="SangriaFrancesaArticulo"/>
      </w:pPr>
      <w:r w:rsidRPr="00E27756">
        <w:rPr>
          <w:rStyle w:val="TextoNormalNegritaCaracter"/>
        </w:rPr>
        <w:t>Artículo 132.</w:t>
      </w:r>
      <w:r w:rsidRPr="00E27756">
        <w:rPr>
          <w:rStyle w:val="TextoNormalCaracter"/>
        </w:rPr>
        <w:t>-</w:t>
      </w:r>
      <w:r>
        <w:t xml:space="preserve"> Sentencia </w:t>
      </w:r>
      <w:hyperlink w:anchor="SENTENCIA_2013_79" w:history="1">
        <w:r w:rsidRPr="00E27756">
          <w:rPr>
            <w:rStyle w:val="TextoNormalCaracter"/>
          </w:rPr>
          <w:t>79/2013</w:t>
        </w:r>
      </w:hyperlink>
      <w:r>
        <w:t>, f. 4.</w:t>
      </w:r>
    </w:p>
    <w:p w:rsidR="00E27756" w:rsidRDefault="00E27756" w:rsidP="00E27756">
      <w:pPr>
        <w:pStyle w:val="SangriaFrancesaArticulo"/>
      </w:pPr>
    </w:p>
    <w:p w:rsidR="00E27756" w:rsidRDefault="00E27756" w:rsidP="00E27756">
      <w:pPr>
        <w:pStyle w:val="TextoNormalNegritaCursivandice"/>
      </w:pPr>
      <w:r>
        <w:t>Ley de 15 de septiembre de 1932. Estatuto de Cataluña</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Sentencias </w:t>
      </w:r>
      <w:hyperlink w:anchor="SENTENCIA_2013_20" w:history="1">
        <w:r w:rsidRPr="00E27756">
          <w:rPr>
            <w:rStyle w:val="TextoNormalCaracter"/>
          </w:rPr>
          <w:t>20/2013</w:t>
        </w:r>
      </w:hyperlink>
      <w:r>
        <w:t xml:space="preserve">, f. 10; </w:t>
      </w:r>
      <w:hyperlink w:anchor="SENTENCIA_2013_67" w:history="1">
        <w:r w:rsidRPr="00E27756">
          <w:rPr>
            <w:rStyle w:val="TextoNormalCaracter"/>
          </w:rPr>
          <w:t>67/2013</w:t>
        </w:r>
      </w:hyperlink>
      <w:r>
        <w:t xml:space="preserve">, f. 2; </w:t>
      </w:r>
      <w:hyperlink w:anchor="SENTENCIA_2013_68" w:history="1">
        <w:r w:rsidRPr="00E27756">
          <w:rPr>
            <w:rStyle w:val="TextoNormalCaracter"/>
          </w:rPr>
          <w:t>68/2013</w:t>
        </w:r>
      </w:hyperlink>
      <w:r>
        <w:t>, f. 4.</w:t>
      </w:r>
    </w:p>
    <w:p w:rsidR="00E27756" w:rsidRDefault="00E27756" w:rsidP="00E27756">
      <w:pPr>
        <w:pStyle w:val="SangriaFrancesaArticulo"/>
      </w:pPr>
    </w:p>
    <w:p w:rsidR="00E27756" w:rsidRDefault="00E27756" w:rsidP="00E27756">
      <w:pPr>
        <w:pStyle w:val="TextoNormalNegritaCursivandice"/>
      </w:pPr>
      <w:r>
        <w:t>Decreto de 13 de septiembre de 1936. Declara fuera de la Ley a los partidos o agrupaciones políticas integrados en el Frente Popular</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0" w:history="1">
        <w:r w:rsidRPr="00E27756">
          <w:rPr>
            <w:rStyle w:val="TextoNormalCaracter"/>
          </w:rPr>
          <w:t>20/2013</w:t>
        </w:r>
      </w:hyperlink>
      <w:r>
        <w:t>, f. 2.</w:t>
      </w:r>
    </w:p>
    <w:p w:rsidR="00E27756" w:rsidRDefault="00E27756" w:rsidP="00E27756">
      <w:pPr>
        <w:pStyle w:val="SangriaFrancesaArticulo"/>
      </w:pPr>
    </w:p>
    <w:p w:rsidR="00E27756" w:rsidRDefault="00E27756" w:rsidP="00E27756">
      <w:pPr>
        <w:pStyle w:val="TextoNormalNegritaCursivandice"/>
      </w:pPr>
      <w:r>
        <w:t>Decreto de 26 de abril de 1938. Crea la Delegación del Estado para recuperación de documentos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0" w:history="1">
        <w:r w:rsidRPr="00E27756">
          <w:rPr>
            <w:rStyle w:val="TextoNormalCaracter"/>
          </w:rPr>
          <w:t>20/2013</w:t>
        </w:r>
      </w:hyperlink>
      <w:r>
        <w:t>, f. 2.</w:t>
      </w:r>
    </w:p>
    <w:p w:rsidR="00E27756" w:rsidRDefault="00E27756" w:rsidP="00E27756">
      <w:pPr>
        <w:pStyle w:val="SangriaFrancesaArticulo"/>
      </w:pPr>
    </w:p>
    <w:p w:rsidR="00E27756" w:rsidRDefault="00E27756" w:rsidP="00E27756">
      <w:pPr>
        <w:pStyle w:val="TextoNormalNegritaCursivandice"/>
      </w:pPr>
      <w:r>
        <w:t>Ley de 27 de diciembre de 1956. Jurisdicción contencioso-administrativa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76" w:history="1">
        <w:r w:rsidRPr="00E27756">
          <w:rPr>
            <w:rStyle w:val="TextoNormalCaracter"/>
          </w:rPr>
          <w:t>76/2013</w:t>
        </w:r>
      </w:hyperlink>
      <w:r>
        <w:t xml:space="preserve">, f. 3; </w:t>
      </w:r>
      <w:hyperlink w:anchor="SENTENCIA_2013_92" w:history="1">
        <w:r w:rsidRPr="00E27756">
          <w:rPr>
            <w:rStyle w:val="TextoNormalCaracter"/>
          </w:rPr>
          <w:t>92/2013</w:t>
        </w:r>
      </w:hyperlink>
      <w:r>
        <w:t>, f. 5.</w:t>
      </w:r>
    </w:p>
    <w:p w:rsidR="00E27756" w:rsidRDefault="00E27756" w:rsidP="00E27756">
      <w:pPr>
        <w:pStyle w:val="SangriaFrancesaArticulo"/>
      </w:pPr>
    </w:p>
    <w:p w:rsidR="00E27756" w:rsidRDefault="00E27756" w:rsidP="00E27756">
      <w:pPr>
        <w:pStyle w:val="TextoNormalNegritaCursivandice"/>
      </w:pPr>
      <w:r>
        <w:t>Ley 25/1964, de 29 de abril. Energía nuclear</w:t>
      </w:r>
    </w:p>
    <w:p w:rsidR="00E27756" w:rsidRDefault="00E27756" w:rsidP="00E27756">
      <w:pPr>
        <w:pStyle w:val="SangriaFrancesaArticulo"/>
      </w:pPr>
      <w:r w:rsidRPr="00E27756">
        <w:rPr>
          <w:rStyle w:val="TextoNormalNegritaCaracter"/>
        </w:rPr>
        <w:t>Artículo 91.</w:t>
      </w:r>
      <w:r w:rsidRPr="00E27756">
        <w:rPr>
          <w:rStyle w:val="TextoNormalCaracter"/>
        </w:rPr>
        <w:t>-</w:t>
      </w:r>
      <w:r>
        <w:t xml:space="preserve"> Sentencia </w:t>
      </w:r>
      <w:hyperlink w:anchor="SENTENCIA_2013_13" w:history="1">
        <w:r w:rsidRPr="00E27756">
          <w:rPr>
            <w:rStyle w:val="TextoNormalCaracter"/>
          </w:rPr>
          <w:t>13/2013</w:t>
        </w:r>
      </w:hyperlink>
      <w:r>
        <w:t>, f. 3.</w:t>
      </w:r>
    </w:p>
    <w:p w:rsidR="00E27756" w:rsidRDefault="00E27756" w:rsidP="00E27756">
      <w:pPr>
        <w:pStyle w:val="SangriaFrancesaArticulo"/>
      </w:pPr>
      <w:r w:rsidRPr="00E27756">
        <w:rPr>
          <w:rStyle w:val="TextoNormalNegritaCaracter"/>
        </w:rPr>
        <w:t>Artículo 91 a).</w:t>
      </w:r>
      <w:r w:rsidRPr="00E27756">
        <w:rPr>
          <w:rStyle w:val="TextoNormalCaracter"/>
        </w:rPr>
        <w:t>-</w:t>
      </w:r>
      <w:r>
        <w:t xml:space="preserve"> Sentencia </w:t>
      </w:r>
      <w:hyperlink w:anchor="SENTENCIA_2013_13" w:history="1">
        <w:r w:rsidRPr="00E27756">
          <w:rPr>
            <w:rStyle w:val="TextoNormalCaracter"/>
          </w:rPr>
          <w:t>13/2013</w:t>
        </w:r>
      </w:hyperlink>
      <w:r>
        <w:t>, f. 3.</w:t>
      </w:r>
    </w:p>
    <w:p w:rsidR="00E27756" w:rsidRDefault="00E27756" w:rsidP="00E27756">
      <w:pPr>
        <w:pStyle w:val="SangriaFrancesaArticulo"/>
      </w:pPr>
      <w:r w:rsidRPr="00E27756">
        <w:rPr>
          <w:rStyle w:val="TextoNormalNegritaCaracter"/>
        </w:rPr>
        <w:lastRenderedPageBreak/>
        <w:t>Artículo 91 b) apartado 1</w:t>
      </w:r>
      <w:r>
        <w:t xml:space="preserve"> </w:t>
      </w:r>
      <w:r w:rsidRPr="00E27756">
        <w:rPr>
          <w:rStyle w:val="TextoNormalCaracter"/>
        </w:rPr>
        <w:t>(redactado por la Ley 54/1997, de 27 de noviembre)</w:t>
      </w:r>
      <w:r w:rsidRPr="00E27756">
        <w:rPr>
          <w:rStyle w:val="TextoNormalNegritaCaracter"/>
        </w:rPr>
        <w:t>.</w:t>
      </w:r>
      <w:r w:rsidRPr="00E27756">
        <w:rPr>
          <w:rStyle w:val="TextoNormalCaracter"/>
        </w:rPr>
        <w:t>-</w:t>
      </w:r>
      <w:r>
        <w:t xml:space="preserve"> Sentencia </w:t>
      </w:r>
      <w:hyperlink w:anchor="SENTENCIA_2013_13" w:history="1">
        <w:r w:rsidRPr="00E27756">
          <w:rPr>
            <w:rStyle w:val="TextoNormalCaracter"/>
          </w:rPr>
          <w:t>13/2013</w:t>
        </w:r>
      </w:hyperlink>
      <w:r>
        <w:t>, f. 3.</w:t>
      </w:r>
    </w:p>
    <w:p w:rsidR="00E27756" w:rsidRDefault="00E27756" w:rsidP="00E27756">
      <w:pPr>
        <w:pStyle w:val="SangriaFrancesaArticulo"/>
      </w:pPr>
    </w:p>
    <w:p w:rsidR="00E27756" w:rsidRDefault="00E27756" w:rsidP="00E27756">
      <w:pPr>
        <w:pStyle w:val="TextoNormalNegritaCursivandice"/>
      </w:pPr>
      <w:r>
        <w:t>Ley 20/1967, de 8 de abril. Extensión de las aguas jurisdiccionales españolas a doce millas, a efectos de pesca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9" w:history="1">
        <w:r w:rsidRPr="00E27756">
          <w:rPr>
            <w:rStyle w:val="TextoNormalCaracter"/>
          </w:rPr>
          <w:t>99/2013</w:t>
        </w:r>
      </w:hyperlink>
      <w:r>
        <w:t>, f. 7.</w:t>
      </w:r>
    </w:p>
    <w:p w:rsidR="00E27756" w:rsidRDefault="00E27756" w:rsidP="00E27756">
      <w:pPr>
        <w:pStyle w:val="SangriaFrancesaArticulo"/>
      </w:pPr>
    </w:p>
    <w:p w:rsidR="00E27756" w:rsidRDefault="00E27756" w:rsidP="00E27756">
      <w:pPr>
        <w:pStyle w:val="TextoNormalNegritaCursivandice"/>
      </w:pPr>
      <w:r>
        <w:t>Ley 25/1970, de 2 de diciembre. Estatuto del vino, viña y alcoholes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4" w:history="1">
        <w:r w:rsidRPr="00E27756">
          <w:rPr>
            <w:rStyle w:val="TextoNormalCaracter"/>
          </w:rPr>
          <w:t>34/2013</w:t>
        </w:r>
      </w:hyperlink>
      <w:r>
        <w:t>, f. 5.</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34" w:history="1">
        <w:r w:rsidRPr="00E27756">
          <w:rPr>
            <w:rStyle w:val="TextoNormalCaracter"/>
          </w:rPr>
          <w:t>34/2013</w:t>
        </w:r>
      </w:hyperlink>
      <w:r>
        <w:t>, f. 5.</w:t>
      </w:r>
    </w:p>
    <w:p w:rsidR="00E27756" w:rsidRDefault="00E27756" w:rsidP="00E27756">
      <w:pPr>
        <w:pStyle w:val="SangriaFrancesaArticulo"/>
      </w:pPr>
      <w:r w:rsidRPr="00E27756">
        <w:rPr>
          <w:rStyle w:val="TextoNormalNegritaCaracter"/>
        </w:rPr>
        <w:t>Artículo 12 y ss.</w:t>
      </w:r>
      <w:r w:rsidRPr="00E27756">
        <w:rPr>
          <w:rStyle w:val="TextoNormalCaracter"/>
        </w:rPr>
        <w:t>-</w:t>
      </w:r>
      <w:r>
        <w:t xml:space="preserve"> Sentencia </w:t>
      </w:r>
      <w:hyperlink w:anchor="SENTENCIA_2013_34" w:history="1">
        <w:r w:rsidRPr="00E27756">
          <w:rPr>
            <w:rStyle w:val="TextoNormalCaracter"/>
          </w:rPr>
          <w:t>34/2013</w:t>
        </w:r>
      </w:hyperlink>
      <w:r>
        <w:t>, f. 5.</w:t>
      </w:r>
    </w:p>
    <w:p w:rsidR="00E27756" w:rsidRDefault="00E27756" w:rsidP="00E27756">
      <w:pPr>
        <w:pStyle w:val="SangriaFrancesaArticulo"/>
      </w:pPr>
    </w:p>
    <w:p w:rsidR="00E27756" w:rsidRDefault="00E27756" w:rsidP="00E27756">
      <w:pPr>
        <w:pStyle w:val="TextoNormalNegritaCursivandice"/>
      </w:pPr>
      <w:r>
        <w:t>Decreto 835/1972, de 23 de marzo. Reglamento de la Ley 25/1970, estatuto de la viña, del vino y de los alcoholes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4" w:history="1">
        <w:r w:rsidRPr="00E27756">
          <w:rPr>
            <w:rStyle w:val="TextoNormalCaracter"/>
          </w:rPr>
          <w:t>34/2013</w:t>
        </w:r>
      </w:hyperlink>
      <w:r>
        <w:t>, f. 20.</w:t>
      </w:r>
    </w:p>
    <w:p w:rsidR="00E27756" w:rsidRDefault="00E27756" w:rsidP="00E27756">
      <w:pPr>
        <w:pStyle w:val="SangriaFrancesaArticulo"/>
      </w:pPr>
    </w:p>
    <w:p w:rsidR="00E27756" w:rsidRDefault="00E27756" w:rsidP="00E27756">
      <w:pPr>
        <w:pStyle w:val="TextoNormalNegritaCursivandice"/>
      </w:pPr>
      <w:r>
        <w:t>Ley 24/1972, de 21 de junio. Financiación y perfeccionamiento de la acción protectora del régimen general de la Seguridad Social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1" w:history="1">
        <w:r w:rsidRPr="00E27756">
          <w:rPr>
            <w:rStyle w:val="TextoNormalCaracter"/>
          </w:rPr>
          <w:t>41/2013</w:t>
        </w:r>
      </w:hyperlink>
      <w:r>
        <w:t>, f. 4.</w:t>
      </w:r>
    </w:p>
    <w:p w:rsidR="00E27756" w:rsidRDefault="00E27756" w:rsidP="00E27756">
      <w:pPr>
        <w:pStyle w:val="SangriaFrancesaArticulo"/>
      </w:pPr>
    </w:p>
    <w:p w:rsidR="00E27756" w:rsidRDefault="00E27756" w:rsidP="00E27756">
      <w:pPr>
        <w:pStyle w:val="TextoNormalNegritaCursivandice"/>
      </w:pPr>
      <w:r>
        <w:t>Ley 1/1973, de 1 de marzo. Compilación del Derecho civil foral de Navarra</w:t>
      </w:r>
    </w:p>
    <w:p w:rsidR="00E27756" w:rsidRDefault="00E27756" w:rsidP="00E27756">
      <w:pPr>
        <w:pStyle w:val="SangriaFrancesaArticulo"/>
      </w:pPr>
      <w:r w:rsidRPr="00E27756">
        <w:rPr>
          <w:rStyle w:val="TextoNormalNegritaCaracter"/>
        </w:rPr>
        <w:t>Ley 149.</w:t>
      </w:r>
      <w:r w:rsidRPr="00E27756">
        <w:rPr>
          <w:rStyle w:val="TextoNormalCaracter"/>
        </w:rPr>
        <w:t>-</w:t>
      </w:r>
      <w:r>
        <w:t xml:space="preserve"> Sentencia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Ley 341</w:t>
      </w:r>
      <w:r>
        <w:t xml:space="preserve"> </w:t>
      </w:r>
      <w:r w:rsidRPr="00E27756">
        <w:rPr>
          <w:rStyle w:val="TextoNormalCaracter"/>
        </w:rPr>
        <w:t>(redactado por la Ley Foral del Parlamento de Navarra 6/2000, de 3 de julio)</w:t>
      </w:r>
      <w:r w:rsidRPr="00E27756">
        <w:rPr>
          <w:rStyle w:val="TextoNormalNegritaCaracter"/>
        </w:rPr>
        <w:t>.</w:t>
      </w:r>
      <w:r w:rsidRPr="00E27756">
        <w:rPr>
          <w:rStyle w:val="TextoNormalCaracter"/>
        </w:rPr>
        <w:t>-</w:t>
      </w:r>
      <w:r>
        <w:t xml:space="preserve"> Sentencia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Artículo 71.</w:t>
      </w:r>
      <w:r w:rsidRPr="00E27756">
        <w:rPr>
          <w:rStyle w:val="TextoNormalCaracter"/>
        </w:rPr>
        <w:t>-</w:t>
      </w:r>
      <w:r>
        <w:t xml:space="preserve"> Auto </w:t>
      </w:r>
      <w:hyperlink w:anchor="AUTO_2013_35" w:history="1">
        <w:r w:rsidRPr="00E27756">
          <w:rPr>
            <w:rStyle w:val="TextoNormalCaracter"/>
          </w:rPr>
          <w:t>35/2013</w:t>
        </w:r>
      </w:hyperlink>
      <w:r>
        <w:t>, ff. 1, 3, 4.</w:t>
      </w:r>
    </w:p>
    <w:p w:rsidR="00E27756" w:rsidRDefault="00E27756" w:rsidP="00E27756">
      <w:pPr>
        <w:pStyle w:val="SangriaFrancesaArticulo"/>
      </w:pPr>
      <w:r w:rsidRPr="00E27756">
        <w:rPr>
          <w:rStyle w:val="TextoNormalNegritaCaracter"/>
        </w:rPr>
        <w:t>Ley 199.</w:t>
      </w:r>
      <w:r w:rsidRPr="00E27756">
        <w:rPr>
          <w:rStyle w:val="TextoNormalCaracter"/>
        </w:rPr>
        <w:t>-</w:t>
      </w:r>
      <w:r>
        <w:t xml:space="preserve"> Sentencia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Ley 253</w:t>
      </w:r>
      <w:r>
        <w:t xml:space="preserve"> </w:t>
      </w:r>
      <w:r w:rsidRPr="00E27756">
        <w:rPr>
          <w:rStyle w:val="TextoNormalCaracter"/>
        </w:rPr>
        <w:t>(redactado por la Ley Foral del Parlamento de Navarra 6/2000, de 3 de julio)</w:t>
      </w:r>
      <w:r w:rsidRPr="00E27756">
        <w:rPr>
          <w:rStyle w:val="TextoNormalNegritaCaracter"/>
        </w:rPr>
        <w:t>.</w:t>
      </w:r>
      <w:r w:rsidRPr="00E27756">
        <w:rPr>
          <w:rStyle w:val="TextoNormalCaracter"/>
        </w:rPr>
        <w:t>-</w:t>
      </w:r>
      <w:r>
        <w:t xml:space="preserve"> Sentencia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Ley 304.5</w:t>
      </w:r>
      <w:r>
        <w:t xml:space="preserve"> </w:t>
      </w:r>
      <w:r w:rsidRPr="00E27756">
        <w:rPr>
          <w:rStyle w:val="TextoNormalCaracter"/>
        </w:rPr>
        <w:t>(redactado por la Ley Foral del Parlamento de Navarra 6/2000, de 3 de julio)</w:t>
      </w:r>
      <w:r w:rsidRPr="00E27756">
        <w:rPr>
          <w:rStyle w:val="TextoNormalNegritaCaracter"/>
        </w:rPr>
        <w:t>.</w:t>
      </w:r>
      <w:r w:rsidRPr="00E27756">
        <w:rPr>
          <w:rStyle w:val="TextoNormalCaracter"/>
        </w:rPr>
        <w:t>-</w:t>
      </w:r>
      <w:r>
        <w:t xml:space="preserve"> Sentencia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Ley 71.</w:t>
      </w:r>
      <w:r w:rsidRPr="00E27756">
        <w:rPr>
          <w:rStyle w:val="TextoNormalCaracter"/>
        </w:rPr>
        <w:t>-</w:t>
      </w:r>
      <w:r>
        <w:t xml:space="preserve"> Auto </w:t>
      </w:r>
      <w:hyperlink w:anchor="AUTO_2013_35" w:history="1">
        <w:r w:rsidRPr="00E27756">
          <w:rPr>
            <w:rStyle w:val="TextoNormalCaracter"/>
          </w:rPr>
          <w:t>35/2013</w:t>
        </w:r>
      </w:hyperlink>
      <w:r>
        <w:t>, ff. 1, 3, 4.</w:t>
      </w:r>
    </w:p>
    <w:p w:rsidR="00E27756" w:rsidRDefault="00E27756" w:rsidP="00E27756">
      <w:pPr>
        <w:pStyle w:val="SangriaFrancesaArticulo"/>
      </w:pPr>
      <w:r w:rsidRPr="00E27756">
        <w:rPr>
          <w:rStyle w:val="TextoNormalNegritaCaracter"/>
        </w:rPr>
        <w:t>Leyes 165 a 171.</w:t>
      </w:r>
      <w:r w:rsidRPr="00E27756">
        <w:rPr>
          <w:rStyle w:val="TextoNormalCaracter"/>
        </w:rPr>
        <w:t>-</w:t>
      </w:r>
      <w:r>
        <w:t xml:space="preserve"> Sentencia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ff. 4, 13, VP I.</w:t>
      </w:r>
    </w:p>
    <w:p w:rsidR="00E27756" w:rsidRDefault="00E27756" w:rsidP="00E27756">
      <w:pPr>
        <w:pStyle w:val="SangriaFrancesaArticulo"/>
      </w:pPr>
      <w:r w:rsidRPr="00E27756">
        <w:rPr>
          <w:rStyle w:val="TextoNormalNegritaCaracter"/>
        </w:rPr>
        <w:t>Libro II, título IV.</w:t>
      </w:r>
      <w:r w:rsidRPr="00E27756">
        <w:rPr>
          <w:rStyle w:val="TextoNormalCaracter"/>
        </w:rPr>
        <w:t>-</w:t>
      </w:r>
      <w:r>
        <w:t xml:space="preserve"> Sentencia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Ley 62.</w:t>
      </w:r>
      <w:r w:rsidRPr="00E27756">
        <w:rPr>
          <w:rStyle w:val="TextoNormalCaracter"/>
        </w:rPr>
        <w:t>-</w:t>
      </w:r>
      <w:r>
        <w:t xml:space="preserve"> Sentencia </w:t>
      </w:r>
      <w:hyperlink w:anchor="SENTENCIA_2013_93" w:history="1">
        <w:r w:rsidRPr="00E27756">
          <w:rPr>
            <w:rStyle w:val="TextoNormalCaracter"/>
          </w:rPr>
          <w:t>93/2013</w:t>
        </w:r>
      </w:hyperlink>
      <w:r>
        <w:t>, f. 11.</w:t>
      </w:r>
    </w:p>
    <w:p w:rsidR="00E27756" w:rsidRDefault="00E27756" w:rsidP="00E27756">
      <w:pPr>
        <w:pStyle w:val="SangriaFrancesaArticulo"/>
      </w:pPr>
      <w:r w:rsidRPr="00E27756">
        <w:rPr>
          <w:rStyle w:val="TextoNormalNegritaCaracter"/>
        </w:rPr>
        <w:t>Ley 73.</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r w:rsidRPr="00E27756">
        <w:rPr>
          <w:rStyle w:val="TextoNormalNegritaCaracter"/>
        </w:rPr>
        <w:t>Ley 74.</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p>
    <w:p w:rsidR="00E27756" w:rsidRDefault="00E27756" w:rsidP="00E27756">
      <w:pPr>
        <w:pStyle w:val="TextoNormalNegritaCursivandice"/>
      </w:pPr>
      <w:r>
        <w:t>Ley 10/1973, de 17 de marzo. Modifica la Ley reguladora de la jurisdicción contencioso-administrativa</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Auto </w:t>
      </w:r>
      <w:hyperlink w:anchor="AUTO_2013_143" w:history="1">
        <w:r w:rsidRPr="00E27756">
          <w:rPr>
            <w:rStyle w:val="TextoNormalCaracter"/>
          </w:rPr>
          <w:t>143/2013</w:t>
        </w:r>
      </w:hyperlink>
      <w:r>
        <w:t>, f. 2.</w:t>
      </w:r>
    </w:p>
    <w:p w:rsidR="00E27756" w:rsidRDefault="00E27756" w:rsidP="00E27756">
      <w:pPr>
        <w:pStyle w:val="SangriaFrancesaArticulo"/>
      </w:pPr>
    </w:p>
    <w:p w:rsidR="00E27756" w:rsidRDefault="00E27756" w:rsidP="00E27756">
      <w:pPr>
        <w:pStyle w:val="TextoNormalNegritaCursivandice"/>
      </w:pPr>
      <w:r>
        <w:t>Decreto 3096/1973, de 14 de septiembre. Texto refundido del Código penal conforme a la Ley 44/1971, de 15 de noviembre</w:t>
      </w:r>
    </w:p>
    <w:p w:rsidR="00E27756" w:rsidRDefault="00E27756" w:rsidP="00E27756">
      <w:pPr>
        <w:pStyle w:val="SangriaFrancesaArticulo"/>
      </w:pPr>
      <w:r w:rsidRPr="00E27756">
        <w:rPr>
          <w:rStyle w:val="TextoNormalNegritaCaracter"/>
        </w:rPr>
        <w:t>Artículo 70.2.</w:t>
      </w:r>
      <w:r w:rsidRPr="00E27756">
        <w:rPr>
          <w:rStyle w:val="TextoNormalCaracter"/>
        </w:rPr>
        <w:t>-</w:t>
      </w:r>
      <w:r>
        <w:t xml:space="preserve"> Sentencias </w:t>
      </w:r>
      <w:hyperlink w:anchor="SENTENCIA_2013_28" w:history="1">
        <w:r w:rsidRPr="00E27756">
          <w:rPr>
            <w:rStyle w:val="TextoNormalCaracter"/>
          </w:rPr>
          <w:t>28/2013</w:t>
        </w:r>
      </w:hyperlink>
      <w:r>
        <w:t xml:space="preserve">, f. 3; </w:t>
      </w:r>
      <w:hyperlink w:anchor="SENTENCIA_2013_54" w:history="1">
        <w:r w:rsidRPr="00E27756">
          <w:rPr>
            <w:rStyle w:val="TextoNormalCaracter"/>
          </w:rPr>
          <w:t>54/2013</w:t>
        </w:r>
      </w:hyperlink>
      <w:r>
        <w:t>, f. 3.</w:t>
      </w:r>
    </w:p>
    <w:p w:rsidR="00E27756" w:rsidRDefault="00E27756" w:rsidP="00E27756">
      <w:pPr>
        <w:pStyle w:val="SangriaFrancesaArticulo"/>
      </w:pPr>
    </w:p>
    <w:p w:rsidR="00E27756" w:rsidRDefault="00E27756" w:rsidP="00E27756">
      <w:pPr>
        <w:pStyle w:val="TextoNormalNegritaCursivandice"/>
      </w:pPr>
      <w:r>
        <w:t>Ley 2/1974, de 13 de febrero. Colegios profesionales</w:t>
      </w:r>
    </w:p>
    <w:p w:rsidR="00E27756" w:rsidRDefault="00E27756" w:rsidP="00E27756">
      <w:pPr>
        <w:pStyle w:val="SangriaFrancesaArticulo"/>
      </w:pPr>
      <w:r w:rsidRPr="00E27756">
        <w:rPr>
          <w:rStyle w:val="TextoNormalNegritaCaracter"/>
        </w:rPr>
        <w:lastRenderedPageBreak/>
        <w:t>En general.</w:t>
      </w:r>
      <w:r w:rsidRPr="00E27756">
        <w:rPr>
          <w:rStyle w:val="TextoNormalCaracter"/>
        </w:rPr>
        <w:t>-</w:t>
      </w:r>
      <w:r>
        <w:t xml:space="preserve"> Sentencias </w:t>
      </w:r>
      <w:hyperlink w:anchor="SENTENCIA_2013_3" w:history="1">
        <w:r w:rsidRPr="00E27756">
          <w:rPr>
            <w:rStyle w:val="TextoNormalCaracter"/>
          </w:rPr>
          <w:t>3/2013</w:t>
        </w:r>
      </w:hyperlink>
      <w:r>
        <w:t xml:space="preserve">, ff. 3, 6, 7; </w:t>
      </w:r>
      <w:hyperlink w:anchor="SENTENCIA_2013_50" w:history="1">
        <w:r w:rsidRPr="00E27756">
          <w:rPr>
            <w:rStyle w:val="TextoNormalCaracter"/>
          </w:rPr>
          <w:t>50/2013</w:t>
        </w:r>
      </w:hyperlink>
      <w:r>
        <w:t xml:space="preserve">, ff. 2, 4; </w:t>
      </w:r>
      <w:hyperlink w:anchor="SENTENCIA_2013_89" w:history="1">
        <w:r w:rsidRPr="00E27756">
          <w:rPr>
            <w:rStyle w:val="TextoNormalCaracter"/>
          </w:rPr>
          <w:t>89/2013</w:t>
        </w:r>
      </w:hyperlink>
      <w:r>
        <w:t>, f. 1.</w:t>
      </w:r>
    </w:p>
    <w:p w:rsidR="00E27756" w:rsidRDefault="00E27756" w:rsidP="00E27756">
      <w:pPr>
        <w:pStyle w:val="SangriaIzquierdaArticulo"/>
      </w:pPr>
      <w:r>
        <w:t xml:space="preserve">Auto </w:t>
      </w:r>
      <w:hyperlink w:anchor="AUTO_2013_67" w:history="1">
        <w:r w:rsidRPr="00E27756">
          <w:rPr>
            <w:rStyle w:val="TextoNormalCaracter"/>
          </w:rPr>
          <w:t>67/2013</w:t>
        </w:r>
      </w:hyperlink>
      <w:r>
        <w:t>, f. 1.</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Sentencias </w:t>
      </w:r>
      <w:hyperlink w:anchor="SENTENCIA_2013_3" w:history="1">
        <w:r w:rsidRPr="00E27756">
          <w:rPr>
            <w:rStyle w:val="TextoNormalCaracter"/>
          </w:rPr>
          <w:t>3/2013</w:t>
        </w:r>
      </w:hyperlink>
      <w:r>
        <w:t xml:space="preserve">, ff. 4, 6; </w:t>
      </w:r>
      <w:hyperlink w:anchor="SENTENCIA_2013_46" w:history="1">
        <w:r w:rsidRPr="00E27756">
          <w:rPr>
            <w:rStyle w:val="TextoNormalCaracter"/>
          </w:rPr>
          <w:t>46/2013</w:t>
        </w:r>
      </w:hyperlink>
      <w:r>
        <w:t xml:space="preserve">, ff. 2, 3; </w:t>
      </w:r>
      <w:hyperlink w:anchor="SENTENCIA_2013_50" w:history="1">
        <w:r w:rsidRPr="00E27756">
          <w:rPr>
            <w:rStyle w:val="TextoNormalCaracter"/>
          </w:rPr>
          <w:t>50/2013</w:t>
        </w:r>
      </w:hyperlink>
      <w:r>
        <w:t>, f. 4.</w:t>
      </w:r>
    </w:p>
    <w:p w:rsidR="00E27756" w:rsidRDefault="00E27756" w:rsidP="00E27756">
      <w:pPr>
        <w:pStyle w:val="SangriaFrancesaArticulo"/>
      </w:pPr>
      <w:r w:rsidRPr="00E27756">
        <w:rPr>
          <w:rStyle w:val="TextoNormalNegritaCaracter"/>
        </w:rPr>
        <w:t>Artículo 1.3</w:t>
      </w:r>
      <w:r>
        <w:t xml:space="preserve"> </w:t>
      </w:r>
      <w:r w:rsidRPr="00E27756">
        <w:rPr>
          <w:rStyle w:val="TextoNormalCaracter"/>
        </w:rPr>
        <w:t>(redactado por la Ley 25/2009, de 22 de diciembre)</w:t>
      </w:r>
      <w:r w:rsidRPr="00E27756">
        <w:rPr>
          <w:rStyle w:val="TextoNormalNegritaCaracter"/>
        </w:rPr>
        <w:t>.</w:t>
      </w:r>
      <w:r w:rsidRPr="00E27756">
        <w:rPr>
          <w:rStyle w:val="TextoNormalCaracter"/>
        </w:rPr>
        <w:t>-</w:t>
      </w:r>
      <w:r>
        <w:t xml:space="preserve"> Sentencia </w:t>
      </w:r>
      <w:hyperlink w:anchor="SENTENCIA_2013_3" w:history="1">
        <w:r w:rsidRPr="00E27756">
          <w:rPr>
            <w:rStyle w:val="TextoNormalCaracter"/>
          </w:rPr>
          <w:t>3/2013</w:t>
        </w:r>
      </w:hyperlink>
      <w:r>
        <w:t>, f. 3.</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Sentencias </w:t>
      </w:r>
      <w:hyperlink w:anchor="SENTENCIA_2013_3" w:history="1">
        <w:r w:rsidRPr="00E27756">
          <w:rPr>
            <w:rStyle w:val="TextoNormalCaracter"/>
          </w:rPr>
          <w:t>3/2013</w:t>
        </w:r>
      </w:hyperlink>
      <w:r>
        <w:t xml:space="preserve">, f. 6; </w:t>
      </w:r>
      <w:hyperlink w:anchor="SENTENCIA_2013_46" w:history="1">
        <w:r w:rsidRPr="00E27756">
          <w:rPr>
            <w:rStyle w:val="TextoNormalCaracter"/>
          </w:rPr>
          <w:t>46/2013</w:t>
        </w:r>
      </w:hyperlink>
      <w:r>
        <w:t xml:space="preserve">, f. 3; </w:t>
      </w:r>
      <w:hyperlink w:anchor="SENTENCIA_2013_50" w:history="1">
        <w:r w:rsidRPr="00E27756">
          <w:rPr>
            <w:rStyle w:val="TextoNormalCaracter"/>
          </w:rPr>
          <w:t>50/2013</w:t>
        </w:r>
      </w:hyperlink>
      <w:r>
        <w:t xml:space="preserve">, f. 4; </w:t>
      </w:r>
      <w:hyperlink w:anchor="SENTENCIA_2013_91" w:history="1">
        <w:r w:rsidRPr="00E27756">
          <w:rPr>
            <w:rStyle w:val="TextoNormalCaracter"/>
          </w:rPr>
          <w:t>91/2013</w:t>
        </w:r>
      </w:hyperlink>
      <w:r>
        <w:t>, ff. 3, 4.</w:t>
      </w:r>
    </w:p>
    <w:p w:rsidR="00E27756" w:rsidRDefault="00E27756" w:rsidP="00E27756">
      <w:pPr>
        <w:pStyle w:val="SangriaFrancesaArticulo"/>
      </w:pPr>
      <w:r w:rsidRPr="00E27756">
        <w:rPr>
          <w:rStyle w:val="TextoNormalNegritaCaracter"/>
        </w:rPr>
        <w:t>Artículo 3.2</w:t>
      </w:r>
      <w:r>
        <w:t xml:space="preserve"> </w:t>
      </w:r>
      <w:r w:rsidRPr="00E27756">
        <w:rPr>
          <w:rStyle w:val="TextoNormalCaracter"/>
        </w:rPr>
        <w:t>(redactado por el Real Decreto-ley 6/2000, de 23 de junio)</w:t>
      </w:r>
      <w:r w:rsidRPr="00E27756">
        <w:rPr>
          <w:rStyle w:val="TextoNormalNegritaCaracter"/>
        </w:rPr>
        <w:t>.</w:t>
      </w:r>
      <w:r w:rsidRPr="00E27756">
        <w:rPr>
          <w:rStyle w:val="TextoNormalCaracter"/>
        </w:rPr>
        <w:t>-</w:t>
      </w:r>
      <w:r>
        <w:t xml:space="preserve"> Sentencia </w:t>
      </w:r>
      <w:hyperlink w:anchor="SENTENCIA_2013_91" w:history="1">
        <w:r w:rsidRPr="00E27756">
          <w:rPr>
            <w:rStyle w:val="TextoNormalCaracter"/>
          </w:rPr>
          <w:t>91/2013</w:t>
        </w:r>
      </w:hyperlink>
      <w:r>
        <w:t>, f. 2.</w:t>
      </w:r>
    </w:p>
    <w:p w:rsidR="00E27756" w:rsidRDefault="00E27756" w:rsidP="00E27756">
      <w:pPr>
        <w:pStyle w:val="SangriaFrancesaArticulo"/>
      </w:pPr>
      <w:r w:rsidRPr="00E27756">
        <w:rPr>
          <w:rStyle w:val="TextoNormalNegritaCaracter"/>
        </w:rPr>
        <w:t>Artículo 3.2</w:t>
      </w:r>
      <w:r>
        <w:t xml:space="preserve"> </w:t>
      </w:r>
      <w:r w:rsidRPr="00E27756">
        <w:rPr>
          <w:rStyle w:val="TextoNormalCaracter"/>
        </w:rPr>
        <w:t>(redactado por la Ley 25/2009, de 22 de diciembre)</w:t>
      </w:r>
      <w:r w:rsidRPr="00E27756">
        <w:rPr>
          <w:rStyle w:val="TextoNormalNegritaCaracter"/>
        </w:rPr>
        <w:t>.</w:t>
      </w:r>
      <w:r w:rsidRPr="00E27756">
        <w:rPr>
          <w:rStyle w:val="TextoNormalCaracter"/>
        </w:rPr>
        <w:t>-</w:t>
      </w:r>
      <w:r>
        <w:t xml:space="preserve"> Sentencia </w:t>
      </w:r>
      <w:hyperlink w:anchor="SENTENCIA_2013_3" w:history="1">
        <w:r w:rsidRPr="00E27756">
          <w:rPr>
            <w:rStyle w:val="TextoNormalCaracter"/>
          </w:rPr>
          <w:t>3/2013</w:t>
        </w:r>
      </w:hyperlink>
      <w:r>
        <w:t>, ff. 3, 7.</w:t>
      </w:r>
    </w:p>
    <w:p w:rsidR="00E27756" w:rsidRDefault="00E27756" w:rsidP="00E27756">
      <w:pPr>
        <w:pStyle w:val="SangriaFrancesaArticulo"/>
      </w:pPr>
    </w:p>
    <w:p w:rsidR="00E27756" w:rsidRDefault="00E27756" w:rsidP="00E27756">
      <w:pPr>
        <w:pStyle w:val="TextoNormalNegritaCursivandice"/>
      </w:pPr>
      <w:r>
        <w:t>Decreto 2065/1974, de 30 de mayo. Texto refundido de la Ley general de la Seguridad Social</w:t>
      </w:r>
    </w:p>
    <w:p w:rsidR="00E27756" w:rsidRDefault="00E27756" w:rsidP="00E27756">
      <w:pPr>
        <w:pStyle w:val="SangriaFrancesaArticulo"/>
      </w:pPr>
      <w:r w:rsidRPr="00E27756">
        <w:rPr>
          <w:rStyle w:val="TextoNormalNegritaCaracter"/>
        </w:rPr>
        <w:t>Artículo 107.</w:t>
      </w:r>
      <w:r w:rsidRPr="00E27756">
        <w:rPr>
          <w:rStyle w:val="TextoNormalCaracter"/>
        </w:rPr>
        <w:t>-</w:t>
      </w:r>
      <w:r>
        <w:t xml:space="preserve"> Sentencia </w:t>
      </w:r>
      <w:hyperlink w:anchor="SENTENCIA_2013_137" w:history="1">
        <w:r w:rsidRPr="00E27756">
          <w:rPr>
            <w:rStyle w:val="TextoNormalCaracter"/>
          </w:rPr>
          <w:t>137/2013</w:t>
        </w:r>
      </w:hyperlink>
      <w:r>
        <w:t>, ff. 2, 5.</w:t>
      </w:r>
    </w:p>
    <w:p w:rsidR="00E27756" w:rsidRDefault="00E27756" w:rsidP="00E27756">
      <w:pPr>
        <w:pStyle w:val="SangriaFrancesaArticulo"/>
      </w:pPr>
      <w:r w:rsidRPr="00E27756">
        <w:rPr>
          <w:rStyle w:val="TextoNormalNegritaCaracter"/>
        </w:rPr>
        <w:t>Artículo 107.3.</w:t>
      </w:r>
      <w:r w:rsidRPr="00E27756">
        <w:rPr>
          <w:rStyle w:val="TextoNormalCaracter"/>
        </w:rPr>
        <w:t>-</w:t>
      </w:r>
      <w:r>
        <w:t xml:space="preserve"> Sentencia </w:t>
      </w:r>
      <w:hyperlink w:anchor="SENTENCIA_2013_137" w:history="1">
        <w:r w:rsidRPr="00E27756">
          <w:rPr>
            <w:rStyle w:val="TextoNormalCaracter"/>
          </w:rPr>
          <w:t>137/2013</w:t>
        </w:r>
      </w:hyperlink>
      <w:r>
        <w:t>, f. 5.</w:t>
      </w:r>
    </w:p>
    <w:p w:rsidR="00E27756" w:rsidRDefault="00E27756" w:rsidP="00E27756">
      <w:pPr>
        <w:pStyle w:val="SangriaFrancesaArticulo"/>
      </w:pPr>
      <w:r w:rsidRPr="00E27756">
        <w:rPr>
          <w:rStyle w:val="TextoNormalNegritaCaracter"/>
        </w:rPr>
        <w:t>Artículo 107.4.</w:t>
      </w:r>
      <w:r w:rsidRPr="00E27756">
        <w:rPr>
          <w:rStyle w:val="TextoNormalCaracter"/>
        </w:rPr>
        <w:t>-</w:t>
      </w:r>
      <w:r>
        <w:t xml:space="preserve"> Sentencia </w:t>
      </w:r>
      <w:hyperlink w:anchor="SENTENCIA_2013_137" w:history="1">
        <w:r w:rsidRPr="00E27756">
          <w:rPr>
            <w:rStyle w:val="TextoNormalCaracter"/>
          </w:rPr>
          <w:t>137/2013</w:t>
        </w:r>
      </w:hyperlink>
      <w:r>
        <w:t>, ff. 5, 7.</w:t>
      </w:r>
    </w:p>
    <w:p w:rsidR="00E27756" w:rsidRDefault="00E27756" w:rsidP="00E27756">
      <w:pPr>
        <w:pStyle w:val="SangriaFrancesaArticulo"/>
      </w:pPr>
    </w:p>
    <w:p w:rsidR="00E27756" w:rsidRDefault="00E27756" w:rsidP="00E27756">
      <w:pPr>
        <w:pStyle w:val="TextoNormalNegritaCursivandice"/>
      </w:pPr>
      <w:r>
        <w:t>Ley 10/1977, de 4 de enero. Sobre mar territorial</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8" w:history="1">
        <w:r w:rsidRPr="00E27756">
          <w:rPr>
            <w:rStyle w:val="TextoNormalCaracter"/>
          </w:rPr>
          <w:t>8/2013</w:t>
        </w:r>
      </w:hyperlink>
      <w:r>
        <w:t>, f. 7.</w:t>
      </w:r>
    </w:p>
    <w:p w:rsidR="00E27756" w:rsidRDefault="00E27756" w:rsidP="00E27756">
      <w:pPr>
        <w:pStyle w:val="SangriaFrancesaArticulo"/>
      </w:pPr>
    </w:p>
    <w:p w:rsidR="00E27756" w:rsidRDefault="00E27756" w:rsidP="00E27756">
      <w:pPr>
        <w:pStyle w:val="TextoNormalNegritaCursivandice"/>
      </w:pPr>
      <w:r>
        <w:t>Real Decreto-ley 17/1977, de 4 de marzo. Normativa sobre relaciones de trabajo</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 </w:t>
      </w:r>
      <w:hyperlink w:anchor="SENTENCIA_2013_58" w:history="1">
        <w:r w:rsidRPr="00E27756">
          <w:rPr>
            <w:rStyle w:val="TextoNormalCaracter"/>
          </w:rPr>
          <w:t>58/2013</w:t>
        </w:r>
      </w:hyperlink>
      <w:r>
        <w:t>, f. 1.</w:t>
      </w:r>
    </w:p>
    <w:p w:rsidR="00E27756" w:rsidRDefault="00E27756" w:rsidP="00E27756">
      <w:pPr>
        <w:pStyle w:val="SangriaFrancesaArticulo"/>
      </w:pPr>
    </w:p>
    <w:p w:rsidR="00E27756" w:rsidRDefault="00E27756" w:rsidP="00E27756">
      <w:pPr>
        <w:pStyle w:val="TextoNormalNegritaCursivandice"/>
      </w:pPr>
      <w:r>
        <w:t>Real Decreto 2510/1977, de 5 agosto. Trazado de líneas de base rectas en desarrollo de la Ley 20/1967, de 8 de abril, sobre extensión de las aguas jurisdiccionales españolas a 12 millas, a efectos de pesca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9" w:history="1">
        <w:r w:rsidRPr="00E27756">
          <w:rPr>
            <w:rStyle w:val="TextoNormalCaracter"/>
          </w:rPr>
          <w:t>99/2013</w:t>
        </w:r>
      </w:hyperlink>
      <w:r>
        <w:t>, f. 7.</w:t>
      </w:r>
    </w:p>
    <w:p w:rsidR="00E27756" w:rsidRDefault="00E27756" w:rsidP="00E27756">
      <w:pPr>
        <w:pStyle w:val="SangriaFrancesaArticulo"/>
      </w:pPr>
    </w:p>
    <w:p w:rsidR="00E27756" w:rsidRDefault="00E27756" w:rsidP="00E27756">
      <w:pPr>
        <w:pStyle w:val="TextoNormalNegritaCursivandice"/>
      </w:pPr>
      <w:r>
        <w:t>Real Decreto-ley 41/1977, de 29 de septiembre. Restablecimiento provisional de la Generalidad de Cataluña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20" w:history="1">
        <w:r w:rsidRPr="00E27756">
          <w:rPr>
            <w:rStyle w:val="TextoNormalCaracter"/>
          </w:rPr>
          <w:t>20/2013</w:t>
        </w:r>
      </w:hyperlink>
      <w:r>
        <w:t xml:space="preserve">, f. 10; </w:t>
      </w:r>
      <w:hyperlink w:anchor="SENTENCIA_2013_67" w:history="1">
        <w:r w:rsidRPr="00E27756">
          <w:rPr>
            <w:rStyle w:val="TextoNormalCaracter"/>
          </w:rPr>
          <w:t>67/2013</w:t>
        </w:r>
      </w:hyperlink>
      <w:r>
        <w:t xml:space="preserve">, f. 2; </w:t>
      </w:r>
      <w:hyperlink w:anchor="SENTENCIA_2013_68" w:history="1">
        <w:r w:rsidRPr="00E27756">
          <w:rPr>
            <w:rStyle w:val="TextoNormalCaracter"/>
          </w:rPr>
          <w:t>68/2013</w:t>
        </w:r>
      </w:hyperlink>
      <w:r>
        <w:t>, f. 4.</w:t>
      </w:r>
    </w:p>
    <w:p w:rsidR="00E27756" w:rsidRDefault="00E27756" w:rsidP="00E27756">
      <w:pPr>
        <w:pStyle w:val="SangriaFrancesaArticulo"/>
      </w:pPr>
    </w:p>
    <w:p w:rsidR="00E27756" w:rsidRDefault="00E27756" w:rsidP="00E27756">
      <w:pPr>
        <w:pStyle w:val="TextoNormalNegritaCursivandice"/>
      </w:pPr>
      <w:r>
        <w:t>Real Decreto 3288/1978, de 25 de agosto. Reglamento de gestión urbanística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4" w:history="1">
        <w:r w:rsidRPr="00E27756">
          <w:rPr>
            <w:rStyle w:val="TextoNormalCaracter"/>
          </w:rPr>
          <w:t>94/2013</w:t>
        </w:r>
      </w:hyperlink>
      <w:r>
        <w:t>, f. 5.</w:t>
      </w:r>
    </w:p>
    <w:p w:rsidR="00E27756" w:rsidRDefault="00E27756" w:rsidP="00E27756">
      <w:pPr>
        <w:pStyle w:val="TextoNormal"/>
      </w:pPr>
    </w:p>
    <w:p w:rsidR="00E27756" w:rsidRDefault="00E27756" w:rsidP="00E27756">
      <w:pPr>
        <w:pStyle w:val="SangriaFrancesaArticulo"/>
      </w:pPr>
      <w:bookmarkStart w:id="303" w:name="INDICE22851"/>
    </w:p>
    <w:bookmarkEnd w:id="303"/>
    <w:p w:rsidR="00E27756" w:rsidRDefault="00E27756" w:rsidP="00E27756">
      <w:pPr>
        <w:pStyle w:val="TextoIndiceNivel2"/>
        <w:suppressAutoHyphens/>
      </w:pPr>
      <w:r>
        <w:t>J) Comunidades y Ciudades Autónomas</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J.1) Andalucía</w:t>
      </w:r>
    </w:p>
    <w:p w:rsidR="00E27756" w:rsidRDefault="00E27756" w:rsidP="00E27756">
      <w:pPr>
        <w:pStyle w:val="TextoNormal"/>
      </w:pPr>
    </w:p>
    <w:p w:rsidR="00E27756" w:rsidRDefault="00E27756" w:rsidP="00E27756">
      <w:pPr>
        <w:pStyle w:val="TextoNormalNegritaCentradoSubrayado"/>
        <w:suppressAutoHyphens/>
      </w:pPr>
      <w:r>
        <w:t>J.1.a) Estatuto de Autonomía</w:t>
      </w:r>
    </w:p>
    <w:p w:rsidR="00E27756" w:rsidRDefault="00E27756" w:rsidP="00E27756">
      <w:pPr>
        <w:pStyle w:val="TextoNormalNegritaCentradoSubrayado"/>
      </w:pPr>
    </w:p>
    <w:p w:rsidR="00E27756" w:rsidRDefault="00E27756" w:rsidP="00E27756">
      <w:pPr>
        <w:pStyle w:val="TextoNormalNegritaCursivandice"/>
      </w:pPr>
      <w:r>
        <w:t>Ley Orgánica 6/1981, de 30 de diciembre. Estatuto de Autonomía de Andalucía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 w:history="1">
        <w:r w:rsidRPr="00E27756">
          <w:rPr>
            <w:rStyle w:val="TextoNormalCaracter"/>
          </w:rPr>
          <w:t>3/2013</w:t>
        </w:r>
      </w:hyperlink>
      <w:r>
        <w:t>, f. 3.</w:t>
      </w:r>
    </w:p>
    <w:p w:rsidR="00E27756" w:rsidRDefault="00E27756" w:rsidP="00E27756">
      <w:pPr>
        <w:pStyle w:val="SangriaFrancesaArticulo"/>
      </w:pPr>
      <w:r w:rsidRPr="00E27756">
        <w:rPr>
          <w:rStyle w:val="TextoNormalNegritaCaracter"/>
        </w:rPr>
        <w:t>Artículo 13.10.</w:t>
      </w:r>
      <w:r w:rsidRPr="00E27756">
        <w:rPr>
          <w:rStyle w:val="TextoNormalCaracter"/>
        </w:rPr>
        <w:t>-</w:t>
      </w:r>
      <w:r>
        <w:t xml:space="preserve"> Sentencia </w:t>
      </w:r>
      <w:hyperlink w:anchor="SENTENCIA_2013_83" w:history="1">
        <w:r w:rsidRPr="00E27756">
          <w:rPr>
            <w:rStyle w:val="TextoNormalCaracter"/>
          </w:rPr>
          <w:t>83/2013</w:t>
        </w:r>
      </w:hyperlink>
      <w:r>
        <w:t>, f. 1.</w:t>
      </w:r>
    </w:p>
    <w:p w:rsidR="00E27756" w:rsidRDefault="00E27756" w:rsidP="00E27756">
      <w:pPr>
        <w:pStyle w:val="SangriaFrancesaArticulo"/>
      </w:pPr>
      <w:r w:rsidRPr="00E27756">
        <w:rPr>
          <w:rStyle w:val="TextoNormalNegritaCaracter"/>
        </w:rPr>
        <w:lastRenderedPageBreak/>
        <w:t>Artículo 17.2.</w:t>
      </w:r>
      <w:r w:rsidRPr="00E27756">
        <w:rPr>
          <w:rStyle w:val="TextoNormalCaracter"/>
        </w:rPr>
        <w:t>-</w:t>
      </w:r>
      <w:r>
        <w:t xml:space="preserve"> Sentencia </w:t>
      </w:r>
      <w:hyperlink w:anchor="SENTENCIA_2013_35" w:history="1">
        <w:r w:rsidRPr="00E27756">
          <w:rPr>
            <w:rStyle w:val="TextoNormalCaracter"/>
          </w:rPr>
          <w:t>35/2013</w:t>
        </w:r>
      </w:hyperlink>
      <w:r>
        <w:t>, f. 1.</w:t>
      </w:r>
    </w:p>
    <w:p w:rsidR="00E27756" w:rsidRDefault="00E27756" w:rsidP="00E27756">
      <w:pPr>
        <w:pStyle w:val="SangriaFrancesaArticulo"/>
      </w:pPr>
      <w:r w:rsidRPr="00E27756">
        <w:rPr>
          <w:rStyle w:val="TextoNormalNegritaCaracter"/>
        </w:rPr>
        <w:t>Artículo 17.8.</w:t>
      </w:r>
      <w:r w:rsidRPr="00E27756">
        <w:rPr>
          <w:rStyle w:val="TextoNormalCaracter"/>
        </w:rPr>
        <w:t>-</w:t>
      </w:r>
      <w:r>
        <w:t xml:space="preserve"> Sentencia </w:t>
      </w:r>
      <w:hyperlink w:anchor="SENTENCIA_2013_83" w:history="1">
        <w:r w:rsidRPr="00E27756">
          <w:rPr>
            <w:rStyle w:val="TextoNormalCaracter"/>
          </w:rPr>
          <w:t>83/2013</w:t>
        </w:r>
      </w:hyperlink>
      <w:r>
        <w:t>, f. 1.</w:t>
      </w:r>
    </w:p>
    <w:p w:rsidR="00E27756" w:rsidRDefault="00E27756" w:rsidP="00E27756">
      <w:pPr>
        <w:pStyle w:val="SangriaFrancesaArticulo"/>
      </w:pPr>
      <w:r w:rsidRPr="00E27756">
        <w:rPr>
          <w:rStyle w:val="TextoNormalNegritaCaracter"/>
        </w:rPr>
        <w:t>Artículo 19.1.</w:t>
      </w:r>
      <w:r w:rsidRPr="00E27756">
        <w:rPr>
          <w:rStyle w:val="TextoNormalCaracter"/>
        </w:rPr>
        <w:t>-</w:t>
      </w:r>
      <w:r>
        <w:t xml:space="preserve"> Sentencia </w:t>
      </w:r>
      <w:hyperlink w:anchor="SENTENCIA_2013_134" w:history="1">
        <w:r w:rsidRPr="00E27756">
          <w:rPr>
            <w:rStyle w:val="TextoNormalCaracter"/>
          </w:rPr>
          <w:t>134/2013</w:t>
        </w:r>
      </w:hyperlink>
      <w:r>
        <w:t>, f. 3.</w:t>
      </w:r>
    </w:p>
    <w:p w:rsidR="00E27756" w:rsidRDefault="00E27756" w:rsidP="00E27756">
      <w:pPr>
        <w:pStyle w:val="SangriaFrancesaArticulo"/>
      </w:pPr>
      <w:r w:rsidRPr="00E27756">
        <w:rPr>
          <w:rStyle w:val="TextoNormalNegritaCaracter"/>
        </w:rPr>
        <w:t>Artículo 79.3 b).</w:t>
      </w:r>
      <w:r w:rsidRPr="00E27756">
        <w:rPr>
          <w:rStyle w:val="TextoNormalCaracter"/>
        </w:rPr>
        <w:t>-</w:t>
      </w:r>
      <w:r>
        <w:t xml:space="preserve"> Sentencia </w:t>
      </w:r>
      <w:hyperlink w:anchor="SENTENCIA_2013_3" w:history="1">
        <w:r w:rsidRPr="00E27756">
          <w:rPr>
            <w:rStyle w:val="TextoNormalCaracter"/>
          </w:rPr>
          <w:t>3/2013</w:t>
        </w:r>
      </w:hyperlink>
      <w:r>
        <w:t>, f. 5.</w:t>
      </w:r>
    </w:p>
    <w:p w:rsidR="00E27756" w:rsidRDefault="00E27756" w:rsidP="00E27756">
      <w:pPr>
        <w:pStyle w:val="SangriaFrancesaArticulo"/>
      </w:pPr>
    </w:p>
    <w:p w:rsidR="00E27756" w:rsidRDefault="00E27756" w:rsidP="00E27756">
      <w:pPr>
        <w:pStyle w:val="TextoNormalNegritaCursivandice"/>
      </w:pPr>
      <w:r>
        <w:t>Ley Orgánica 2/2007, de 19 de marzo. Reforma del Estatuto de Autonomía de Andalucía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3" w:history="1">
        <w:r w:rsidRPr="00E27756">
          <w:rPr>
            <w:rStyle w:val="TextoNormalCaracter"/>
          </w:rPr>
          <w:t>3/2013</w:t>
        </w:r>
      </w:hyperlink>
      <w:r>
        <w:t xml:space="preserve">, f. 3; </w:t>
      </w:r>
      <w:hyperlink w:anchor="SENTENCIA_2013_35" w:history="1">
        <w:r w:rsidRPr="00E27756">
          <w:rPr>
            <w:rStyle w:val="TextoNormalCaracter"/>
          </w:rPr>
          <w:t>35/2013</w:t>
        </w:r>
      </w:hyperlink>
      <w:r>
        <w:t xml:space="preserve">, f. 2; </w:t>
      </w:r>
      <w:hyperlink w:anchor="SENTENCIA_2013_83" w:history="1">
        <w:r w:rsidRPr="00E27756">
          <w:rPr>
            <w:rStyle w:val="TextoNormalCaracter"/>
          </w:rPr>
          <w:t>83/2013</w:t>
        </w:r>
      </w:hyperlink>
      <w:r>
        <w:t xml:space="preserve">, ff. 2, 3; </w:t>
      </w:r>
      <w:hyperlink w:anchor="SENTENCIA_2013_134" w:history="1">
        <w:r w:rsidRPr="00E27756">
          <w:rPr>
            <w:rStyle w:val="TextoNormalCaracter"/>
          </w:rPr>
          <w:t>134/2013</w:t>
        </w:r>
      </w:hyperlink>
      <w:r>
        <w:t>, f. 3.</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83" w:history="1">
        <w:r w:rsidRPr="00E27756">
          <w:rPr>
            <w:rStyle w:val="TextoNormalCaracter"/>
          </w:rPr>
          <w:t>83/2013</w:t>
        </w:r>
      </w:hyperlink>
      <w:r>
        <w:t>, f. 2.</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99" w:history="1">
        <w:r w:rsidRPr="00E27756">
          <w:rPr>
            <w:rStyle w:val="TextoNormalCaracter"/>
          </w:rPr>
          <w:t>99/2013</w:t>
        </w:r>
      </w:hyperlink>
      <w:r>
        <w:t>, f. 4.</w:t>
      </w:r>
    </w:p>
    <w:p w:rsidR="00E27756" w:rsidRDefault="00E27756" w:rsidP="00E27756">
      <w:pPr>
        <w:pStyle w:val="SangriaFrancesaArticulo"/>
      </w:pPr>
      <w:r w:rsidRPr="00E27756">
        <w:rPr>
          <w:rStyle w:val="TextoNormalNegritaCaracter"/>
        </w:rPr>
        <w:t>Artículo 17.6.</w:t>
      </w:r>
      <w:r w:rsidRPr="00E27756">
        <w:rPr>
          <w:rStyle w:val="TextoNormalCaracter"/>
        </w:rPr>
        <w:t>-</w:t>
      </w:r>
      <w:r>
        <w:t xml:space="preserve"> Sentencia </w:t>
      </w:r>
      <w:hyperlink w:anchor="SENTENCIA_2013_99" w:history="1">
        <w:r w:rsidRPr="00E27756">
          <w:rPr>
            <w:rStyle w:val="TextoNormalCaracter"/>
          </w:rPr>
          <w:t>99/2013</w:t>
        </w:r>
      </w:hyperlink>
      <w:r>
        <w:t>, f. 4.</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Sentencia </w:t>
      </w:r>
      <w:hyperlink w:anchor="SENTENCIA_2013_134" w:history="1">
        <w:r w:rsidRPr="00E27756">
          <w:rPr>
            <w:rStyle w:val="TextoNormalCaracter"/>
          </w:rPr>
          <w:t>134/2013</w:t>
        </w:r>
      </w:hyperlink>
      <w:r>
        <w:t>, f. 3.</w:t>
      </w:r>
    </w:p>
    <w:p w:rsidR="00E27756" w:rsidRDefault="00E27756" w:rsidP="00E27756">
      <w:pPr>
        <w:pStyle w:val="SangriaFrancesaArticulo"/>
      </w:pPr>
      <w:r w:rsidRPr="00E27756">
        <w:rPr>
          <w:rStyle w:val="TextoNormalNegritaCaracter"/>
        </w:rPr>
        <w:t>Artículo 53.</w:t>
      </w:r>
      <w:r w:rsidRPr="00E27756">
        <w:rPr>
          <w:rStyle w:val="TextoNormalCaracter"/>
        </w:rPr>
        <w:t>-</w:t>
      </w:r>
      <w:r>
        <w:t xml:space="preserve"> Sentencia </w:t>
      </w:r>
      <w:hyperlink w:anchor="SENTENCIA_2013_134" w:history="1">
        <w:r w:rsidRPr="00E27756">
          <w:rPr>
            <w:rStyle w:val="TextoNormalCaracter"/>
          </w:rPr>
          <w:t>134/2013</w:t>
        </w:r>
      </w:hyperlink>
      <w:r>
        <w:t>, f. 3.</w:t>
      </w:r>
    </w:p>
    <w:p w:rsidR="00E27756" w:rsidRDefault="00E27756" w:rsidP="00E27756">
      <w:pPr>
        <w:pStyle w:val="SangriaFrancesaArticulo"/>
      </w:pPr>
      <w:r w:rsidRPr="00E27756">
        <w:rPr>
          <w:rStyle w:val="TextoNormalNegritaCaracter"/>
        </w:rPr>
        <w:t>Artículo 64.</w:t>
      </w:r>
      <w:r w:rsidRPr="00E27756">
        <w:rPr>
          <w:rStyle w:val="TextoNormalCaracter"/>
        </w:rPr>
        <w:t>-</w:t>
      </w:r>
      <w:r>
        <w:t xml:space="preserve"> Sentencia </w:t>
      </w:r>
      <w:hyperlink w:anchor="SENTENCIA_2013_83" w:history="1">
        <w:r w:rsidRPr="00E27756">
          <w:rPr>
            <w:rStyle w:val="TextoNormalCaracter"/>
          </w:rPr>
          <w:t>83/2013</w:t>
        </w:r>
      </w:hyperlink>
      <w:r>
        <w:t>, f. 2.</w:t>
      </w:r>
    </w:p>
    <w:p w:rsidR="00E27756" w:rsidRDefault="00E27756" w:rsidP="00E27756">
      <w:pPr>
        <w:pStyle w:val="SangriaFrancesaArticulo"/>
      </w:pPr>
      <w:r w:rsidRPr="00E27756">
        <w:rPr>
          <w:rStyle w:val="TextoNormalNegritaCaracter"/>
        </w:rPr>
        <w:t>Artículo 64.1.1.</w:t>
      </w:r>
      <w:r w:rsidRPr="00E27756">
        <w:rPr>
          <w:rStyle w:val="TextoNormalCaracter"/>
        </w:rPr>
        <w:t>-</w:t>
      </w:r>
      <w:r>
        <w:t xml:space="preserve"> Sentencia </w:t>
      </w:r>
      <w:hyperlink w:anchor="SENTENCIA_2013_83" w:history="1">
        <w:r w:rsidRPr="00E27756">
          <w:rPr>
            <w:rStyle w:val="TextoNormalCaracter"/>
          </w:rPr>
          <w:t>83/2013</w:t>
        </w:r>
      </w:hyperlink>
      <w:r>
        <w:t>, f. 2.</w:t>
      </w:r>
    </w:p>
    <w:p w:rsidR="00E27756" w:rsidRDefault="00E27756" w:rsidP="00E27756">
      <w:pPr>
        <w:pStyle w:val="SangriaFrancesaArticulo"/>
      </w:pPr>
      <w:r w:rsidRPr="00E27756">
        <w:rPr>
          <w:rStyle w:val="TextoNormalNegritaCaracter"/>
        </w:rPr>
        <w:t>Artículo 64.1.3.</w:t>
      </w:r>
      <w:r w:rsidRPr="00E27756">
        <w:rPr>
          <w:rStyle w:val="TextoNormalCaracter"/>
        </w:rPr>
        <w:t>-</w:t>
      </w:r>
      <w:r>
        <w:t xml:space="preserve"> Sentencia </w:t>
      </w:r>
      <w:hyperlink w:anchor="SENTENCIA_2013_83" w:history="1">
        <w:r w:rsidRPr="00E27756">
          <w:rPr>
            <w:rStyle w:val="TextoNormalCaracter"/>
          </w:rPr>
          <w:t>83/2013</w:t>
        </w:r>
      </w:hyperlink>
      <w:r>
        <w:t>, f. 2.</w:t>
      </w:r>
    </w:p>
    <w:p w:rsidR="00E27756" w:rsidRDefault="00E27756" w:rsidP="00E27756">
      <w:pPr>
        <w:pStyle w:val="SangriaFrancesaArticulo"/>
      </w:pPr>
      <w:r w:rsidRPr="00E27756">
        <w:rPr>
          <w:rStyle w:val="TextoNormalNegritaCaracter"/>
        </w:rPr>
        <w:t>Artículo 64.2.2.</w:t>
      </w:r>
      <w:r w:rsidRPr="00E27756">
        <w:rPr>
          <w:rStyle w:val="TextoNormalCaracter"/>
        </w:rPr>
        <w:t>-</w:t>
      </w:r>
      <w:r>
        <w:t xml:space="preserve"> Sentencia </w:t>
      </w:r>
      <w:hyperlink w:anchor="SENTENCIA_2013_83" w:history="1">
        <w:r w:rsidRPr="00E27756">
          <w:rPr>
            <w:rStyle w:val="TextoNormalCaracter"/>
          </w:rPr>
          <w:t>83/2013</w:t>
        </w:r>
      </w:hyperlink>
      <w:r>
        <w:t>, f. 2.</w:t>
      </w:r>
    </w:p>
    <w:p w:rsidR="00E27756" w:rsidRDefault="00E27756" w:rsidP="00E27756">
      <w:pPr>
        <w:pStyle w:val="SangriaFrancesaArticulo"/>
      </w:pPr>
      <w:r w:rsidRPr="00E27756">
        <w:rPr>
          <w:rStyle w:val="TextoNormalNegritaCaracter"/>
        </w:rPr>
        <w:t>Artículo 64.3.</w:t>
      </w:r>
      <w:r w:rsidRPr="00E27756">
        <w:rPr>
          <w:rStyle w:val="TextoNormalCaracter"/>
        </w:rPr>
        <w:t>-</w:t>
      </w:r>
      <w:r>
        <w:t xml:space="preserve"> Sentencia </w:t>
      </w:r>
      <w:hyperlink w:anchor="SENTENCIA_2013_83" w:history="1">
        <w:r w:rsidRPr="00E27756">
          <w:rPr>
            <w:rStyle w:val="TextoNormalCaracter"/>
          </w:rPr>
          <w:t>83/2013</w:t>
        </w:r>
      </w:hyperlink>
      <w:r>
        <w:t>, f. 2.</w:t>
      </w:r>
    </w:p>
    <w:p w:rsidR="00E27756" w:rsidRDefault="00E27756" w:rsidP="00E27756">
      <w:pPr>
        <w:pStyle w:val="SangriaFrancesaArticulo"/>
      </w:pPr>
      <w:r w:rsidRPr="00E27756">
        <w:rPr>
          <w:rStyle w:val="TextoNormalNegritaCaracter"/>
        </w:rPr>
        <w:t>Artículo 64.4.</w:t>
      </w:r>
      <w:r w:rsidRPr="00E27756">
        <w:rPr>
          <w:rStyle w:val="TextoNormalCaracter"/>
        </w:rPr>
        <w:t>-</w:t>
      </w:r>
      <w:r>
        <w:t xml:space="preserve"> Sentencia </w:t>
      </w:r>
      <w:hyperlink w:anchor="SENTENCIA_2013_83" w:history="1">
        <w:r w:rsidRPr="00E27756">
          <w:rPr>
            <w:rStyle w:val="TextoNormalCaracter"/>
          </w:rPr>
          <w:t>83/2013</w:t>
        </w:r>
      </w:hyperlink>
      <w:r>
        <w:t>, f. 2.</w:t>
      </w:r>
    </w:p>
    <w:p w:rsidR="00E27756" w:rsidRDefault="00E27756" w:rsidP="00E27756">
      <w:pPr>
        <w:pStyle w:val="SangriaFrancesaArticulo"/>
      </w:pPr>
      <w:r w:rsidRPr="00E27756">
        <w:rPr>
          <w:rStyle w:val="TextoNormalNegritaCaracter"/>
        </w:rPr>
        <w:t>Artículo 64.5.</w:t>
      </w:r>
      <w:r w:rsidRPr="00E27756">
        <w:rPr>
          <w:rStyle w:val="TextoNormalCaracter"/>
        </w:rPr>
        <w:t>-</w:t>
      </w:r>
      <w:r>
        <w:t xml:space="preserve"> Sentencia </w:t>
      </w:r>
      <w:hyperlink w:anchor="SENTENCIA_2013_83" w:history="1">
        <w:r w:rsidRPr="00E27756">
          <w:rPr>
            <w:rStyle w:val="TextoNormalCaracter"/>
          </w:rPr>
          <w:t>83/2013</w:t>
        </w:r>
      </w:hyperlink>
      <w:r>
        <w:t>, f. 2.</w:t>
      </w:r>
    </w:p>
    <w:p w:rsidR="00E27756" w:rsidRDefault="00E27756" w:rsidP="00E27756">
      <w:pPr>
        <w:pStyle w:val="SangriaFrancesaArticulo"/>
      </w:pPr>
      <w:r w:rsidRPr="00E27756">
        <w:rPr>
          <w:rStyle w:val="TextoNormalNegritaCaracter"/>
        </w:rPr>
        <w:t>Artículo 64.7.</w:t>
      </w:r>
      <w:r w:rsidRPr="00E27756">
        <w:rPr>
          <w:rStyle w:val="TextoNormalCaracter"/>
        </w:rPr>
        <w:t>-</w:t>
      </w:r>
      <w:r>
        <w:t xml:space="preserve"> Sentencia </w:t>
      </w:r>
      <w:hyperlink w:anchor="SENTENCIA_2013_83" w:history="1">
        <w:r w:rsidRPr="00E27756">
          <w:rPr>
            <w:rStyle w:val="TextoNormalCaracter"/>
          </w:rPr>
          <w:t>83/2013</w:t>
        </w:r>
      </w:hyperlink>
      <w:r>
        <w:t>, f. 2.</w:t>
      </w:r>
    </w:p>
    <w:p w:rsidR="00E27756" w:rsidRDefault="00E27756" w:rsidP="00E27756">
      <w:pPr>
        <w:pStyle w:val="SangriaFrancesaArticulo"/>
      </w:pPr>
      <w:r w:rsidRPr="00E27756">
        <w:rPr>
          <w:rStyle w:val="TextoNormalNegritaCaracter"/>
        </w:rPr>
        <w:t>Artículo 190.6.</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TextoNormal"/>
      </w:pPr>
    </w:p>
    <w:p w:rsidR="00E27756" w:rsidRDefault="00E27756" w:rsidP="00E27756">
      <w:pPr>
        <w:pStyle w:val="TextoNormalNegritaCentradoSubrayado"/>
        <w:suppressAutoHyphens/>
      </w:pPr>
      <w:r>
        <w:t>J.1.b) Leyes y disposiciones con fuerza de Ley</w:t>
      </w:r>
    </w:p>
    <w:p w:rsidR="00E27756" w:rsidRDefault="00E27756" w:rsidP="00E27756">
      <w:pPr>
        <w:pStyle w:val="TextoNormalNegritaCentradoSubrayado"/>
      </w:pPr>
    </w:p>
    <w:p w:rsidR="00E27756" w:rsidRDefault="00E27756" w:rsidP="00E27756">
      <w:pPr>
        <w:pStyle w:val="TextoNormalNegritaCursivandice"/>
      </w:pPr>
      <w:r>
        <w:t>Ley del Parlamento de Andalucía 3/1984, de 9 de enero. Archivos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4" w:history="1">
        <w:r w:rsidRPr="00E27756">
          <w:rPr>
            <w:rStyle w:val="TextoNormalCaracter"/>
          </w:rPr>
          <w:t>14/2013</w:t>
        </w:r>
      </w:hyperlink>
      <w:r>
        <w:t xml:space="preserve">, f. 4; </w:t>
      </w:r>
      <w:hyperlink w:anchor="SENTENCIA_2013_38" w:history="1">
        <w:r w:rsidRPr="00E27756">
          <w:rPr>
            <w:rStyle w:val="TextoNormalCaracter"/>
          </w:rPr>
          <w:t>38/2013</w:t>
        </w:r>
      </w:hyperlink>
      <w:r>
        <w:t xml:space="preserve">, f. 5; </w:t>
      </w:r>
      <w:hyperlink w:anchor="SENTENCIA_2013_66" w:history="1">
        <w:r w:rsidRPr="00E27756">
          <w:rPr>
            <w:rStyle w:val="TextoNormalCaracter"/>
          </w:rPr>
          <w:t>66/2013</w:t>
        </w:r>
      </w:hyperlink>
      <w:r>
        <w:t>, f. 3.</w:t>
      </w:r>
    </w:p>
    <w:p w:rsidR="00E27756" w:rsidRDefault="00E27756" w:rsidP="00E27756">
      <w:pPr>
        <w:pStyle w:val="SangriaFrancesaArticulo"/>
      </w:pPr>
    </w:p>
    <w:p w:rsidR="00E27756" w:rsidRDefault="00E27756" w:rsidP="00E27756">
      <w:pPr>
        <w:pStyle w:val="TextoNormalNegritaCursivandice"/>
      </w:pPr>
      <w:r>
        <w:t>Ley del Parlamento de Andalucía 15/2001, de 26 de diciembre. Se aprueban medidas fiscales, presupuestarias, de control y administrativas</w:t>
      </w:r>
    </w:p>
    <w:p w:rsidR="00E27756" w:rsidRDefault="00E27756" w:rsidP="00E27756">
      <w:pPr>
        <w:pStyle w:val="SangriaFrancesaArticulo"/>
      </w:pPr>
      <w:r w:rsidRPr="00E27756">
        <w:rPr>
          <w:rStyle w:val="TextoNormalNegritaCaracter"/>
        </w:rPr>
        <w:t>Artículo 30.</w:t>
      </w:r>
      <w:r w:rsidRPr="00E27756">
        <w:rPr>
          <w:rStyle w:val="TextoNormalCaracter"/>
        </w:rPr>
        <w:t>-</w:t>
      </w:r>
      <w:r>
        <w:t xml:space="preserve"> Sentencia </w:t>
      </w:r>
      <w:hyperlink w:anchor="SENTENCIA_2013_3" w:history="1">
        <w:r w:rsidRPr="00E27756">
          <w:rPr>
            <w:rStyle w:val="TextoNormalCaracter"/>
          </w:rPr>
          <w:t>3/2013</w:t>
        </w:r>
      </w:hyperlink>
      <w:r>
        <w:t>, f. 5.</w:t>
      </w:r>
    </w:p>
    <w:p w:rsidR="00E27756" w:rsidRDefault="00E27756" w:rsidP="00E27756">
      <w:pPr>
        <w:pStyle w:val="SangriaFrancesaArticulo"/>
      </w:pPr>
      <w:r w:rsidRPr="00E27756">
        <w:rPr>
          <w:rStyle w:val="TextoNormalNegritaCaracter"/>
        </w:rPr>
        <w:t>Artículo 30.2.</w:t>
      </w:r>
      <w:r w:rsidRPr="00E27756">
        <w:rPr>
          <w:rStyle w:val="TextoNormalCaracter"/>
        </w:rPr>
        <w:t>-</w:t>
      </w:r>
      <w:r>
        <w:t xml:space="preserve"> Sentencias </w:t>
      </w:r>
      <w:hyperlink w:anchor="SENTENCIA_2013_3" w:history="1">
        <w:r w:rsidRPr="00E27756">
          <w:rPr>
            <w:rStyle w:val="TextoNormalCaracter"/>
          </w:rPr>
          <w:t>3/2013</w:t>
        </w:r>
      </w:hyperlink>
      <w:r>
        <w:t xml:space="preserve">, ff. 1, 2, 4; </w:t>
      </w:r>
      <w:hyperlink w:anchor="SENTENCIA_2013_46" w:history="1">
        <w:r w:rsidRPr="00E27756">
          <w:rPr>
            <w:rStyle w:val="TextoNormalCaracter"/>
          </w:rPr>
          <w:t>46/2013</w:t>
        </w:r>
      </w:hyperlink>
      <w:r>
        <w:t xml:space="preserve">, f. 3; </w:t>
      </w:r>
      <w:hyperlink w:anchor="SENTENCIA_2013_123" w:history="1">
        <w:r w:rsidRPr="00E27756">
          <w:rPr>
            <w:rStyle w:val="TextoNormalCaracter"/>
          </w:rPr>
          <w:t>123/2013</w:t>
        </w:r>
      </w:hyperlink>
      <w:r>
        <w:t>, f. 9.</w:t>
      </w:r>
    </w:p>
    <w:p w:rsidR="00E27756" w:rsidRDefault="00E27756" w:rsidP="00E27756">
      <w:pPr>
        <w:pStyle w:val="SangriaIzquierdaArticulo"/>
      </w:pPr>
      <w:r>
        <w:t xml:space="preserve">Auto </w:t>
      </w:r>
      <w:hyperlink w:anchor="AUTO_2013_67" w:history="1">
        <w:r w:rsidRPr="00E27756">
          <w:rPr>
            <w:rStyle w:val="TextoNormalCaracter"/>
          </w:rPr>
          <w:t>67/2013</w:t>
        </w:r>
      </w:hyperlink>
      <w:r>
        <w:t>, f. 2.</w:t>
      </w:r>
    </w:p>
    <w:p w:rsidR="00E27756" w:rsidRDefault="00E27756" w:rsidP="00E27756">
      <w:pPr>
        <w:pStyle w:val="SangriaIzquierdaArticulo"/>
      </w:pPr>
    </w:p>
    <w:p w:rsidR="00E27756" w:rsidRDefault="00E27756" w:rsidP="00E27756">
      <w:pPr>
        <w:pStyle w:val="TextoNormalNegritaCursivandice"/>
      </w:pPr>
      <w:r>
        <w:t>Ley del Parlamento de Andalucía 10/2003, de 6 de noviembre. Colegios profesionales de Andalucía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 w:history="1">
        <w:r w:rsidRPr="00E27756">
          <w:rPr>
            <w:rStyle w:val="TextoNormalCaracter"/>
          </w:rPr>
          <w:t>3/2013</w:t>
        </w:r>
      </w:hyperlink>
      <w:r>
        <w:t>, f. 2.</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3" w:history="1">
        <w:r w:rsidRPr="00E27756">
          <w:rPr>
            <w:rStyle w:val="TextoNormalCaracter"/>
          </w:rPr>
          <w:t>3/2013</w:t>
        </w:r>
      </w:hyperlink>
      <w:r>
        <w:t>, f. 5.</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3" w:history="1">
        <w:r w:rsidRPr="00E27756">
          <w:rPr>
            <w:rStyle w:val="TextoNormalCaracter"/>
          </w:rPr>
          <w:t>3/2013</w:t>
        </w:r>
      </w:hyperlink>
      <w:r>
        <w:t>, ff. 2, 3.</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123" w:history="1">
        <w:r w:rsidRPr="00E27756">
          <w:rPr>
            <w:rStyle w:val="TextoNormalCaracter"/>
          </w:rPr>
          <w:t>123/2013</w:t>
        </w:r>
      </w:hyperlink>
      <w:r>
        <w:t>, f. 9.</w:t>
      </w:r>
    </w:p>
    <w:p w:rsidR="00E27756" w:rsidRDefault="00E27756" w:rsidP="00E27756">
      <w:pPr>
        <w:pStyle w:val="SangriaFrancesaArticulo"/>
      </w:pPr>
      <w:r w:rsidRPr="00E27756">
        <w:rPr>
          <w:rStyle w:val="TextoNormalNegritaCaracter"/>
        </w:rPr>
        <w:t>Disposición derogatoria única.</w:t>
      </w:r>
      <w:r w:rsidRPr="00E27756">
        <w:rPr>
          <w:rStyle w:val="TextoNormalCaracter"/>
        </w:rPr>
        <w:t>-</w:t>
      </w:r>
      <w:r>
        <w:t xml:space="preserve"> Sentencia </w:t>
      </w:r>
      <w:hyperlink w:anchor="SENTENCIA_2013_3" w:history="1">
        <w:r w:rsidRPr="00E27756">
          <w:rPr>
            <w:rStyle w:val="TextoNormalCaracter"/>
          </w:rPr>
          <w:t>3/2013</w:t>
        </w:r>
      </w:hyperlink>
      <w:r>
        <w:t>, f. 2.</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J.2) Aragón</w:t>
      </w:r>
    </w:p>
    <w:p w:rsidR="00E27756" w:rsidRDefault="00E27756" w:rsidP="00E27756">
      <w:pPr>
        <w:pStyle w:val="TextoNormal"/>
      </w:pPr>
    </w:p>
    <w:p w:rsidR="00E27756" w:rsidRDefault="00E27756" w:rsidP="00E27756">
      <w:pPr>
        <w:pStyle w:val="TextoNormalNegritaCentradoSubrayado"/>
        <w:suppressAutoHyphens/>
      </w:pPr>
      <w:r>
        <w:t>J.2.a) Estatuto de Autonomía</w:t>
      </w:r>
    </w:p>
    <w:p w:rsidR="00E27756" w:rsidRDefault="00E27756" w:rsidP="00E27756">
      <w:pPr>
        <w:pStyle w:val="TextoNormalNegritaCentradoSubrayado"/>
      </w:pPr>
    </w:p>
    <w:p w:rsidR="00E27756" w:rsidRDefault="00E27756" w:rsidP="00E27756">
      <w:pPr>
        <w:pStyle w:val="TextoNormalNegritaCursivandice"/>
      </w:pPr>
      <w:r>
        <w:t>Ley Orgánica 8/1982, de 10 de agosto. Estatuto de Autonomía de Aragón</w:t>
      </w:r>
    </w:p>
    <w:p w:rsidR="00E27756" w:rsidRDefault="00E27756" w:rsidP="00E27756">
      <w:pPr>
        <w:pStyle w:val="SangriaFrancesaArticulo"/>
      </w:pPr>
      <w:r w:rsidRPr="00E27756">
        <w:rPr>
          <w:rStyle w:val="TextoNormalNegritaCaracter"/>
        </w:rPr>
        <w:t>Artículo 31.1.15</w:t>
      </w:r>
      <w:r>
        <w:t xml:space="preserve"> </w:t>
      </w:r>
      <w:r w:rsidRPr="00E27756">
        <w:rPr>
          <w:rStyle w:val="TextoNormalCaracter"/>
        </w:rPr>
        <w:t>(redactado por la Ley Orgánica 5/1996, de 30 de diciembre)</w:t>
      </w:r>
      <w:r w:rsidRPr="00E27756">
        <w:rPr>
          <w:rStyle w:val="TextoNormalNegritaCaracter"/>
        </w:rPr>
        <w:t>.</w:t>
      </w:r>
      <w:r w:rsidRPr="00E27756">
        <w:rPr>
          <w:rStyle w:val="TextoNormalCaracter"/>
        </w:rPr>
        <w:t>-</w:t>
      </w:r>
      <w:r>
        <w:t xml:space="preserve"> Sentencia </w:t>
      </w:r>
      <w:hyperlink w:anchor="SENTENCIA_2013_59" w:history="1">
        <w:r w:rsidRPr="00E27756">
          <w:rPr>
            <w:rStyle w:val="TextoNormalCaracter"/>
          </w:rPr>
          <w:t>59/2013</w:t>
        </w:r>
      </w:hyperlink>
      <w:r>
        <w:t>, f. 1.</w:t>
      </w:r>
    </w:p>
    <w:p w:rsidR="00E27756" w:rsidRDefault="00E27756" w:rsidP="00E27756">
      <w:pPr>
        <w:pStyle w:val="SangriaFrancesaArticulo"/>
      </w:pPr>
      <w:r w:rsidRPr="00E27756">
        <w:rPr>
          <w:rStyle w:val="TextoNormalNegritaCaracter"/>
        </w:rPr>
        <w:t>Artículo 46.</w:t>
      </w:r>
      <w:r w:rsidRPr="00E27756">
        <w:rPr>
          <w:rStyle w:val="TextoNormalCaracter"/>
        </w:rPr>
        <w:t>-</w:t>
      </w:r>
      <w:r>
        <w:t xml:space="preserve"> Sentencia </w:t>
      </w:r>
      <w:hyperlink w:anchor="SENTENCIA_2013_96" w:history="1">
        <w:r w:rsidRPr="00E27756">
          <w:rPr>
            <w:rStyle w:val="TextoNormalCaracter"/>
          </w:rPr>
          <w:t>96/2013</w:t>
        </w:r>
      </w:hyperlink>
      <w:r>
        <w:t>, f. 5.</w:t>
      </w:r>
    </w:p>
    <w:p w:rsidR="00E27756" w:rsidRDefault="00E27756" w:rsidP="00E27756">
      <w:pPr>
        <w:pStyle w:val="SangriaFrancesaArticulo"/>
      </w:pPr>
      <w:r w:rsidRPr="00E27756">
        <w:rPr>
          <w:rStyle w:val="TextoNormalNegritaCaracter"/>
        </w:rPr>
        <w:t>Artículo 48.1.</w:t>
      </w:r>
      <w:r w:rsidRPr="00E27756">
        <w:rPr>
          <w:rStyle w:val="TextoNormalCaracter"/>
        </w:rPr>
        <w:t>-</w:t>
      </w:r>
      <w:r>
        <w:t xml:space="preserve"> Sentencia </w:t>
      </w:r>
      <w:hyperlink w:anchor="SENTENCIA_2013_96" w:history="1">
        <w:r w:rsidRPr="00E27756">
          <w:rPr>
            <w:rStyle w:val="TextoNormalCaracter"/>
          </w:rPr>
          <w:t>96/2013</w:t>
        </w:r>
      </w:hyperlink>
      <w:r>
        <w:t>, f. 5.</w:t>
      </w:r>
    </w:p>
    <w:p w:rsidR="00E27756" w:rsidRDefault="00E27756" w:rsidP="00E27756">
      <w:pPr>
        <w:pStyle w:val="SangriaFrancesaArticulo"/>
      </w:pPr>
      <w:r w:rsidRPr="00E27756">
        <w:rPr>
          <w:rStyle w:val="TextoNormalNegritaCaracter"/>
        </w:rPr>
        <w:t>Artículo 103.</w:t>
      </w:r>
      <w:r w:rsidRPr="00E27756">
        <w:rPr>
          <w:rStyle w:val="TextoNormalCaracter"/>
        </w:rPr>
        <w:t>-</w:t>
      </w:r>
      <w:r>
        <w:t xml:space="preserve"> Sentencia </w:t>
      </w:r>
      <w:hyperlink w:anchor="SENTENCIA_2013_96" w:history="1">
        <w:r w:rsidRPr="00E27756">
          <w:rPr>
            <w:rStyle w:val="TextoNormalCaracter"/>
          </w:rPr>
          <w:t>96/2013</w:t>
        </w:r>
      </w:hyperlink>
      <w:r>
        <w:t>, f. 5.</w:t>
      </w:r>
    </w:p>
    <w:p w:rsidR="00E27756" w:rsidRDefault="00E27756" w:rsidP="00E27756">
      <w:pPr>
        <w:pStyle w:val="SangriaFrancesaArticulo"/>
      </w:pPr>
      <w:r w:rsidRPr="00E27756">
        <w:rPr>
          <w:rStyle w:val="TextoNormalNegritaCaracter"/>
        </w:rPr>
        <w:t>Artículo 104.1.</w:t>
      </w:r>
      <w:r w:rsidRPr="00E27756">
        <w:rPr>
          <w:rStyle w:val="TextoNormalCaracter"/>
        </w:rPr>
        <w:t>-</w:t>
      </w:r>
      <w:r>
        <w:t xml:space="preserve"> Sentencia </w:t>
      </w:r>
      <w:hyperlink w:anchor="SENTENCIA_2013_96" w:history="1">
        <w:r w:rsidRPr="00E27756">
          <w:rPr>
            <w:rStyle w:val="TextoNormalCaracter"/>
          </w:rPr>
          <w:t>96/2013</w:t>
        </w:r>
      </w:hyperlink>
      <w:r>
        <w:t>, f. 5.</w:t>
      </w:r>
    </w:p>
    <w:p w:rsidR="00E27756" w:rsidRDefault="00E27756" w:rsidP="00E27756">
      <w:pPr>
        <w:pStyle w:val="SangriaFrancesaArticulo"/>
      </w:pPr>
      <w:r w:rsidRPr="00E27756">
        <w:rPr>
          <w:rStyle w:val="TextoNormalNegritaCaracter"/>
        </w:rPr>
        <w:t>Artículo 105.1</w:t>
      </w:r>
      <w:r>
        <w:t xml:space="preserve"> </w:t>
      </w:r>
      <w:r w:rsidRPr="00E27756">
        <w:rPr>
          <w:rStyle w:val="TextoNormalCaracter"/>
        </w:rPr>
        <w:t>(redactado por la Ley Orgánica 5/2007, de 20 de abril)</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5.</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Sentencia </w:t>
      </w:r>
      <w:hyperlink w:anchor="SENTENCIA_2013_66" w:history="1">
        <w:r w:rsidRPr="00E27756">
          <w:rPr>
            <w:rStyle w:val="TextoNormalCaracter"/>
          </w:rPr>
          <w:t>66/2013</w:t>
        </w:r>
      </w:hyperlink>
      <w:r>
        <w:t>, f. 2.</w:t>
      </w:r>
    </w:p>
    <w:p w:rsidR="00E27756" w:rsidRDefault="00E27756" w:rsidP="00E27756">
      <w:pPr>
        <w:pStyle w:val="SangriaFrancesaArticulo"/>
      </w:pPr>
    </w:p>
    <w:p w:rsidR="00E27756" w:rsidRDefault="00E27756" w:rsidP="00E27756">
      <w:pPr>
        <w:pStyle w:val="TextoNormalNegritaCursivandice"/>
      </w:pPr>
      <w:r>
        <w:t>Ley Orgánica 5/1996, de 30 de diciembre. Reforma de la Ley Orgánica 8/1982, de 10 de agosto, de Estatuto de Autonomía de Aragón, modificada por la Ley Orgánica 6/1994, de 24 de marzo, de reforma de dicho Estatuto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9" w:history="1">
        <w:r w:rsidRPr="00E27756">
          <w:rPr>
            <w:rStyle w:val="TextoNormalCaracter"/>
          </w:rPr>
          <w:t>59/2013</w:t>
        </w:r>
      </w:hyperlink>
      <w:r>
        <w:t>, f. 1.</w:t>
      </w:r>
    </w:p>
    <w:p w:rsidR="00E27756" w:rsidRDefault="00E27756" w:rsidP="00E27756">
      <w:pPr>
        <w:pStyle w:val="SangriaFrancesaArticulo"/>
      </w:pPr>
    </w:p>
    <w:p w:rsidR="00E27756" w:rsidRDefault="00E27756" w:rsidP="00E27756">
      <w:pPr>
        <w:pStyle w:val="TextoNormalNegritaCursivandice"/>
      </w:pPr>
      <w:r>
        <w:t>Ley Orgánica 5/2007, de 20 de abril. Reforma del Estatuto de Autonomía de Aragón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59" w:history="1">
        <w:r w:rsidRPr="00E27756">
          <w:rPr>
            <w:rStyle w:val="TextoNormalCaracter"/>
          </w:rPr>
          <w:t>59/2013</w:t>
        </w:r>
      </w:hyperlink>
      <w:r>
        <w:t xml:space="preserve">, f. 2; </w:t>
      </w:r>
      <w:hyperlink w:anchor="SENTENCIA_2013_62" w:history="1">
        <w:r w:rsidRPr="00E27756">
          <w:rPr>
            <w:rStyle w:val="TextoNormalCaracter"/>
          </w:rPr>
          <w:t>62/2013</w:t>
        </w:r>
      </w:hyperlink>
      <w:r>
        <w:t xml:space="preserve">, f. 2; </w:t>
      </w:r>
      <w:hyperlink w:anchor="SENTENCIA_2013_94" w:history="1">
        <w:r w:rsidRPr="00E27756">
          <w:rPr>
            <w:rStyle w:val="TextoNormalCaracter"/>
          </w:rPr>
          <w:t>94/2013</w:t>
        </w:r>
      </w:hyperlink>
      <w:r>
        <w:t xml:space="preserve">, f. 2; </w:t>
      </w:r>
      <w:hyperlink w:anchor="SENTENCIA_2013_96" w:history="1">
        <w:r w:rsidRPr="00E27756">
          <w:rPr>
            <w:rStyle w:val="TextoNormalCaracter"/>
          </w:rPr>
          <w:t>96/2013</w:t>
        </w:r>
      </w:hyperlink>
      <w:r>
        <w:t xml:space="preserve">, f. 5; </w:t>
      </w:r>
      <w:hyperlink w:anchor="SENTENCIA_2013_111" w:history="1">
        <w:r w:rsidRPr="00E27756">
          <w:rPr>
            <w:rStyle w:val="TextoNormalCaracter"/>
          </w:rPr>
          <w:t>111/2013</w:t>
        </w:r>
      </w:hyperlink>
      <w:r>
        <w:t xml:space="preserve">, f. 2; </w:t>
      </w:r>
      <w:hyperlink w:anchor="SENTENCIA_2013_130" w:history="1">
        <w:r w:rsidRPr="00E27756">
          <w:rPr>
            <w:rStyle w:val="TextoNormalCaracter"/>
          </w:rPr>
          <w:t>130/2013</w:t>
        </w:r>
      </w:hyperlink>
      <w:r>
        <w:t>, f. 2, VP.</w:t>
      </w:r>
    </w:p>
    <w:p w:rsidR="00E27756" w:rsidRDefault="00E27756" w:rsidP="00E27756">
      <w:pPr>
        <w:pStyle w:val="SangriaFrancesaArticulo"/>
      </w:pPr>
      <w:r w:rsidRPr="00E27756">
        <w:rPr>
          <w:rStyle w:val="TextoNormalNegritaCaracter"/>
        </w:rPr>
        <w:t>Artículo 21.21.</w:t>
      </w:r>
      <w:r w:rsidRPr="00E27756">
        <w:rPr>
          <w:rStyle w:val="TextoNormalCaracter"/>
        </w:rPr>
        <w:t>-</w:t>
      </w:r>
      <w:r>
        <w:t xml:space="preserve"> Sentencia </w:t>
      </w:r>
      <w:hyperlink w:anchor="SENTENCIA_2013_111" w:history="1">
        <w:r w:rsidRPr="00E27756">
          <w:rPr>
            <w:rStyle w:val="TextoNormalCaracter"/>
          </w:rPr>
          <w:t>111/2013</w:t>
        </w:r>
      </w:hyperlink>
      <w:r>
        <w:t>, f. 3.</w:t>
      </w:r>
    </w:p>
    <w:p w:rsidR="00E27756" w:rsidRDefault="00E27756" w:rsidP="00E27756">
      <w:pPr>
        <w:pStyle w:val="SangriaFrancesaArticulo"/>
      </w:pPr>
      <w:r w:rsidRPr="00E27756">
        <w:rPr>
          <w:rStyle w:val="TextoNormalNegritaCaracter"/>
        </w:rPr>
        <w:t>Artículo 35.1.1.</w:t>
      </w:r>
      <w:r w:rsidRPr="00E27756">
        <w:rPr>
          <w:rStyle w:val="TextoNormalCaracter"/>
        </w:rPr>
        <w:t>-</w:t>
      </w:r>
      <w:r>
        <w:t xml:space="preserve"> Sentencia </w:t>
      </w:r>
      <w:hyperlink w:anchor="SENTENCIA_2013_111" w:history="1">
        <w:r w:rsidRPr="00E27756">
          <w:rPr>
            <w:rStyle w:val="TextoNormalCaracter"/>
          </w:rPr>
          <w:t>111/2013</w:t>
        </w:r>
      </w:hyperlink>
      <w:r>
        <w:t>, f. 1.</w:t>
      </w:r>
    </w:p>
    <w:p w:rsidR="00E27756" w:rsidRDefault="00E27756" w:rsidP="00E27756">
      <w:pPr>
        <w:pStyle w:val="SangriaFrancesaArticulo"/>
      </w:pPr>
      <w:r w:rsidRPr="00E27756">
        <w:rPr>
          <w:rStyle w:val="TextoNormalNegritaCaracter"/>
        </w:rPr>
        <w:t>Artículo 35.1.7.</w:t>
      </w:r>
      <w:r w:rsidRPr="00E27756">
        <w:rPr>
          <w:rStyle w:val="TextoNormalCaracter"/>
        </w:rPr>
        <w:t>-</w:t>
      </w:r>
      <w:r>
        <w:t xml:space="preserve"> Sentencia </w:t>
      </w:r>
      <w:hyperlink w:anchor="SENTENCIA_2013_94" w:history="1">
        <w:r w:rsidRPr="00E27756">
          <w:rPr>
            <w:rStyle w:val="TextoNormalCaracter"/>
          </w:rPr>
          <w:t>94/2013</w:t>
        </w:r>
      </w:hyperlink>
      <w:r>
        <w:t>, f. 1.</w:t>
      </w:r>
    </w:p>
    <w:p w:rsidR="00E27756" w:rsidRDefault="00E27756" w:rsidP="00E27756">
      <w:pPr>
        <w:pStyle w:val="SangriaFrancesaArticulo"/>
      </w:pPr>
      <w:r w:rsidRPr="00E27756">
        <w:rPr>
          <w:rStyle w:val="TextoNormalNegritaCaracter"/>
        </w:rPr>
        <w:t>Artículo 35.15.</w:t>
      </w:r>
      <w:r w:rsidRPr="00E27756">
        <w:rPr>
          <w:rStyle w:val="TextoNormalCaracter"/>
        </w:rPr>
        <w:t>-</w:t>
      </w:r>
      <w:r>
        <w:t xml:space="preserve"> Sentencia </w:t>
      </w:r>
      <w:hyperlink w:anchor="SENTENCIA_2013_111" w:history="1">
        <w:r w:rsidRPr="00E27756">
          <w:rPr>
            <w:rStyle w:val="TextoNormalCaracter"/>
          </w:rPr>
          <w:t>111/2013</w:t>
        </w:r>
      </w:hyperlink>
      <w:r>
        <w:t>, f. 1.</w:t>
      </w:r>
    </w:p>
    <w:p w:rsidR="00E27756" w:rsidRDefault="00E27756" w:rsidP="00E27756">
      <w:pPr>
        <w:pStyle w:val="SangriaFrancesaArticulo"/>
      </w:pPr>
      <w:r w:rsidRPr="00E27756">
        <w:rPr>
          <w:rStyle w:val="TextoNormalNegritaCaracter"/>
        </w:rPr>
        <w:t>Artículo 37.3.</w:t>
      </w:r>
      <w:r w:rsidRPr="00E27756">
        <w:rPr>
          <w:rStyle w:val="TextoNormalCaracter"/>
        </w:rPr>
        <w:t>-</w:t>
      </w:r>
      <w:r>
        <w:t xml:space="preserve"> Sentencia </w:t>
      </w:r>
      <w:hyperlink w:anchor="SENTENCIA_2013_111" w:history="1">
        <w:r w:rsidRPr="00E27756">
          <w:rPr>
            <w:rStyle w:val="TextoNormalCaracter"/>
          </w:rPr>
          <w:t>111/2013</w:t>
        </w:r>
      </w:hyperlink>
      <w:r>
        <w:t>, f. 1.</w:t>
      </w:r>
    </w:p>
    <w:p w:rsidR="00E27756" w:rsidRDefault="00E27756" w:rsidP="00E27756">
      <w:pPr>
        <w:pStyle w:val="SangriaFrancesaArticulo"/>
      </w:pPr>
      <w:r w:rsidRPr="00E27756">
        <w:rPr>
          <w:rStyle w:val="TextoNormalNegritaCaracter"/>
        </w:rPr>
        <w:t>Artículo 39.1.2.</w:t>
      </w:r>
      <w:r w:rsidRPr="00E27756">
        <w:rPr>
          <w:rStyle w:val="TextoNormalCaracter"/>
        </w:rPr>
        <w:t>-</w:t>
      </w:r>
      <w:r>
        <w:t xml:space="preserve"> Sentencia </w:t>
      </w:r>
      <w:hyperlink w:anchor="SENTENCIA_2013_62" w:history="1">
        <w:r w:rsidRPr="00E27756">
          <w:rPr>
            <w:rStyle w:val="TextoNormalCaracter"/>
          </w:rPr>
          <w:t>62/2013</w:t>
        </w:r>
      </w:hyperlink>
      <w:r>
        <w:t>, f. 1.</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111" w:history="1">
        <w:r w:rsidRPr="00E27756">
          <w:rPr>
            <w:rStyle w:val="TextoNormalCaracter"/>
          </w:rPr>
          <w:t>111/2013</w:t>
        </w:r>
      </w:hyperlink>
      <w:r>
        <w:t>, f. 1.</w:t>
      </w:r>
    </w:p>
    <w:p w:rsidR="00E27756" w:rsidRDefault="00E27756" w:rsidP="00E27756">
      <w:pPr>
        <w:pStyle w:val="SangriaFrancesaArticulo"/>
      </w:pPr>
      <w:r w:rsidRPr="00E27756">
        <w:rPr>
          <w:rStyle w:val="TextoNormalNegritaCaracter"/>
        </w:rPr>
        <w:t>Artículo 71.8.</w:t>
      </w:r>
      <w:r w:rsidRPr="00E27756">
        <w:rPr>
          <w:rStyle w:val="TextoNormalCaracter"/>
        </w:rPr>
        <w:t>-</w:t>
      </w:r>
      <w:r>
        <w:t xml:space="preserve"> Sentencia </w:t>
      </w:r>
      <w:hyperlink w:anchor="SENTENCIA_2013_96" w:history="1">
        <w:r w:rsidRPr="00E27756">
          <w:rPr>
            <w:rStyle w:val="TextoNormalCaracter"/>
          </w:rPr>
          <w:t>96/2013</w:t>
        </w:r>
      </w:hyperlink>
      <w:r>
        <w:t>, ff. 5, 8.</w:t>
      </w:r>
    </w:p>
    <w:p w:rsidR="00E27756" w:rsidRDefault="00E27756" w:rsidP="00E27756">
      <w:pPr>
        <w:pStyle w:val="SangriaFrancesaArticulo"/>
      </w:pPr>
      <w:r w:rsidRPr="00E27756">
        <w:rPr>
          <w:rStyle w:val="TextoNormalNegritaCaracter"/>
        </w:rPr>
        <w:t>Artículo 71.9.</w:t>
      </w:r>
      <w:r w:rsidRPr="00E27756">
        <w:rPr>
          <w:rStyle w:val="TextoNormalCaracter"/>
        </w:rPr>
        <w:t>-</w:t>
      </w:r>
      <w:r>
        <w:t xml:space="preserve"> Sentencias </w:t>
      </w:r>
      <w:hyperlink w:anchor="SENTENCIA_2013_94" w:history="1">
        <w:r w:rsidRPr="00E27756">
          <w:rPr>
            <w:rStyle w:val="TextoNormalCaracter"/>
          </w:rPr>
          <w:t>94/2013</w:t>
        </w:r>
      </w:hyperlink>
      <w:r>
        <w:t xml:space="preserve">, f. 2; </w:t>
      </w:r>
      <w:hyperlink w:anchor="SENTENCIA_2013_96" w:history="1">
        <w:r w:rsidRPr="00E27756">
          <w:rPr>
            <w:rStyle w:val="TextoNormalCaracter"/>
          </w:rPr>
          <w:t>96/2013</w:t>
        </w:r>
      </w:hyperlink>
      <w:r>
        <w:t>, f. 5.</w:t>
      </w:r>
    </w:p>
    <w:p w:rsidR="00E27756" w:rsidRDefault="00E27756" w:rsidP="00E27756">
      <w:pPr>
        <w:pStyle w:val="SangriaFrancesaArticulo"/>
      </w:pPr>
      <w:r w:rsidRPr="00E27756">
        <w:rPr>
          <w:rStyle w:val="TextoNormalNegritaCaracter"/>
        </w:rPr>
        <w:t>Artículo 71.10.</w:t>
      </w:r>
      <w:r w:rsidRPr="00E27756">
        <w:rPr>
          <w:rStyle w:val="TextoNormalCaracter"/>
        </w:rPr>
        <w:t>-</w:t>
      </w:r>
      <w:r>
        <w:t xml:space="preserve"> Sentencia </w:t>
      </w:r>
      <w:hyperlink w:anchor="SENTENCIA_2013_96" w:history="1">
        <w:r w:rsidRPr="00E27756">
          <w:rPr>
            <w:rStyle w:val="TextoNormalCaracter"/>
          </w:rPr>
          <w:t>96/2013</w:t>
        </w:r>
      </w:hyperlink>
      <w:r>
        <w:t>, f. 5.</w:t>
      </w:r>
    </w:p>
    <w:p w:rsidR="00E27756" w:rsidRDefault="00E27756" w:rsidP="00E27756">
      <w:pPr>
        <w:pStyle w:val="SangriaFrancesaArticulo"/>
      </w:pPr>
      <w:r w:rsidRPr="00E27756">
        <w:rPr>
          <w:rStyle w:val="TextoNormalNegritaCaracter"/>
        </w:rPr>
        <w:t>Artículo 71.17.</w:t>
      </w:r>
      <w:r w:rsidRPr="00E27756">
        <w:rPr>
          <w:rStyle w:val="TextoNormalCaracter"/>
        </w:rPr>
        <w:t>-</w:t>
      </w:r>
      <w:r>
        <w:t xml:space="preserve"> Sentencia </w:t>
      </w:r>
      <w:hyperlink w:anchor="SENTENCIA_2013_130" w:history="1">
        <w:r w:rsidRPr="00E27756">
          <w:rPr>
            <w:rStyle w:val="TextoNormalCaracter"/>
          </w:rPr>
          <w:t>130/2013</w:t>
        </w:r>
      </w:hyperlink>
      <w:r>
        <w:t>, f. 12.</w:t>
      </w:r>
    </w:p>
    <w:p w:rsidR="00E27756" w:rsidRDefault="00E27756" w:rsidP="00E27756">
      <w:pPr>
        <w:pStyle w:val="SangriaFrancesaArticulo"/>
      </w:pPr>
      <w:r w:rsidRPr="00E27756">
        <w:rPr>
          <w:rStyle w:val="TextoNormalNegritaCaracter"/>
        </w:rPr>
        <w:t>Artículo 71.21.</w:t>
      </w:r>
      <w:r w:rsidRPr="00E27756">
        <w:rPr>
          <w:rStyle w:val="TextoNormalCaracter"/>
        </w:rPr>
        <w:t>-</w:t>
      </w:r>
      <w:r>
        <w:t xml:space="preserve"> Sentencias </w:t>
      </w:r>
      <w:hyperlink w:anchor="SENTENCIA_2013_59" w:history="1">
        <w:r w:rsidRPr="00E27756">
          <w:rPr>
            <w:rStyle w:val="TextoNormalCaracter"/>
          </w:rPr>
          <w:t>59/2013</w:t>
        </w:r>
      </w:hyperlink>
      <w:r>
        <w:t xml:space="preserve">, f. 3; </w:t>
      </w:r>
      <w:hyperlink w:anchor="SENTENCIA_2013_111" w:history="1">
        <w:r w:rsidRPr="00E27756">
          <w:rPr>
            <w:rStyle w:val="TextoNormalCaracter"/>
          </w:rPr>
          <w:t>111/2013</w:t>
        </w:r>
      </w:hyperlink>
      <w:r>
        <w:t>, f. 2.</w:t>
      </w:r>
    </w:p>
    <w:p w:rsidR="00E27756" w:rsidRDefault="00E27756" w:rsidP="00E27756">
      <w:pPr>
        <w:pStyle w:val="SangriaFrancesaArticulo"/>
      </w:pPr>
      <w:r w:rsidRPr="00E27756">
        <w:rPr>
          <w:rStyle w:val="TextoNormalNegritaCaracter"/>
        </w:rPr>
        <w:t>Artículo 71.22.</w:t>
      </w:r>
      <w:r w:rsidRPr="00E27756">
        <w:rPr>
          <w:rStyle w:val="TextoNormalCaracter"/>
        </w:rPr>
        <w:t>-</w:t>
      </w:r>
      <w:r>
        <w:t xml:space="preserve"> Sentencias </w:t>
      </w:r>
      <w:hyperlink w:anchor="SENTENCIA_2013_96" w:history="1">
        <w:r w:rsidRPr="00E27756">
          <w:rPr>
            <w:rStyle w:val="TextoNormalCaracter"/>
          </w:rPr>
          <w:t>96/2013</w:t>
        </w:r>
      </w:hyperlink>
      <w:r>
        <w:t xml:space="preserve">, f. 5; </w:t>
      </w:r>
      <w:hyperlink w:anchor="SENTENCIA_2013_96" w:history="1">
        <w:r w:rsidRPr="00E27756">
          <w:rPr>
            <w:rStyle w:val="TextoNormalCaracter"/>
          </w:rPr>
          <w:t>96/2013</w:t>
        </w:r>
      </w:hyperlink>
      <w:r>
        <w:t>, f. 8.</w:t>
      </w:r>
    </w:p>
    <w:p w:rsidR="00E27756" w:rsidRDefault="00E27756" w:rsidP="00E27756">
      <w:pPr>
        <w:pStyle w:val="SangriaFrancesaArticulo"/>
      </w:pPr>
      <w:r w:rsidRPr="00E27756">
        <w:rPr>
          <w:rStyle w:val="TextoNormalNegritaCaracter"/>
        </w:rPr>
        <w:t>Artículo 71.24.</w:t>
      </w:r>
      <w:r w:rsidRPr="00E27756">
        <w:rPr>
          <w:rStyle w:val="TextoNormalCaracter"/>
        </w:rPr>
        <w:t>-</w:t>
      </w:r>
      <w:r>
        <w:t xml:space="preserve"> Sentencia </w:t>
      </w:r>
      <w:hyperlink w:anchor="SENTENCIA_2013_96" w:history="1">
        <w:r w:rsidRPr="00E27756">
          <w:rPr>
            <w:rStyle w:val="TextoNormalCaracter"/>
          </w:rPr>
          <w:t>96/2013</w:t>
        </w:r>
      </w:hyperlink>
      <w:r>
        <w:t>, f. 5.</w:t>
      </w:r>
    </w:p>
    <w:p w:rsidR="00E27756" w:rsidRDefault="00E27756" w:rsidP="00E27756">
      <w:pPr>
        <w:pStyle w:val="SangriaFrancesaArticulo"/>
      </w:pPr>
      <w:r w:rsidRPr="00E27756">
        <w:rPr>
          <w:rStyle w:val="TextoNormalNegritaCaracter"/>
        </w:rPr>
        <w:t>Artículo 71.25.</w:t>
      </w:r>
      <w:r w:rsidRPr="00E27756">
        <w:rPr>
          <w:rStyle w:val="TextoNormalCaracter"/>
        </w:rPr>
        <w:t>-</w:t>
      </w:r>
      <w:r>
        <w:t xml:space="preserve"> Sentencia </w:t>
      </w:r>
      <w:hyperlink w:anchor="SENTENCIA_2013_96" w:history="1">
        <w:r w:rsidRPr="00E27756">
          <w:rPr>
            <w:rStyle w:val="TextoNormalCaracter"/>
          </w:rPr>
          <w:t>96/2013</w:t>
        </w:r>
      </w:hyperlink>
      <w:r>
        <w:t>, f. 5.</w:t>
      </w:r>
    </w:p>
    <w:p w:rsidR="00E27756" w:rsidRDefault="00E27756" w:rsidP="00E27756">
      <w:pPr>
        <w:pStyle w:val="SangriaFrancesaArticulo"/>
      </w:pPr>
      <w:r w:rsidRPr="00E27756">
        <w:rPr>
          <w:rStyle w:val="TextoNormalNegritaCaracter"/>
        </w:rPr>
        <w:t>Artículo 75.3.</w:t>
      </w:r>
      <w:r w:rsidRPr="00E27756">
        <w:rPr>
          <w:rStyle w:val="TextoNormalCaracter"/>
        </w:rPr>
        <w:t>-</w:t>
      </w:r>
      <w:r>
        <w:t xml:space="preserve"> Sentencia </w:t>
      </w:r>
      <w:hyperlink w:anchor="SENTENCIA_2013_111" w:history="1">
        <w:r w:rsidRPr="00E27756">
          <w:rPr>
            <w:rStyle w:val="TextoNormalCaracter"/>
          </w:rPr>
          <w:t>111/2013</w:t>
        </w:r>
      </w:hyperlink>
      <w:r>
        <w:t>, f. 2.</w:t>
      </w:r>
    </w:p>
    <w:p w:rsidR="00E27756" w:rsidRDefault="00E27756" w:rsidP="00E27756">
      <w:pPr>
        <w:pStyle w:val="SangriaFrancesaArticulo"/>
      </w:pPr>
      <w:r w:rsidRPr="00E27756">
        <w:rPr>
          <w:rStyle w:val="TextoNormalNegritaCaracter"/>
        </w:rPr>
        <w:t>Artículo 77.2.</w:t>
      </w:r>
      <w:r w:rsidRPr="00E27756">
        <w:rPr>
          <w:rStyle w:val="TextoNormalCaracter"/>
        </w:rPr>
        <w:t>-</w:t>
      </w:r>
      <w:r>
        <w:t xml:space="preserve"> Sentencia </w:t>
      </w:r>
      <w:hyperlink w:anchor="SENTENCIA_2013_62" w:history="1">
        <w:r w:rsidRPr="00E27756">
          <w:rPr>
            <w:rStyle w:val="TextoNormalCaracter"/>
          </w:rPr>
          <w:t>62/2013</w:t>
        </w:r>
      </w:hyperlink>
      <w:r>
        <w:t>, ff. 2, 3.</w:t>
      </w:r>
    </w:p>
    <w:p w:rsidR="00E27756" w:rsidRDefault="00E27756" w:rsidP="00E27756">
      <w:pPr>
        <w:pStyle w:val="SangriaFrancesaArticulo"/>
      </w:pPr>
      <w:r w:rsidRPr="00E27756">
        <w:rPr>
          <w:rStyle w:val="TextoNormalNegritaCaracter"/>
        </w:rPr>
        <w:t>Artículo 79.</w:t>
      </w:r>
      <w:r w:rsidRPr="00E27756">
        <w:rPr>
          <w:rStyle w:val="TextoNormalCaracter"/>
        </w:rPr>
        <w:t>-</w:t>
      </w:r>
      <w:r>
        <w:t xml:space="preserve"> Sentencia </w:t>
      </w:r>
      <w:hyperlink w:anchor="SENTENCIA_2013_130" w:history="1">
        <w:r w:rsidRPr="00E27756">
          <w:rPr>
            <w:rStyle w:val="TextoNormalCaracter"/>
          </w:rPr>
          <w:t>130/2013</w:t>
        </w:r>
      </w:hyperlink>
      <w:r>
        <w:t>, VP.</w:t>
      </w:r>
    </w:p>
    <w:p w:rsidR="00E27756" w:rsidRDefault="00E27756" w:rsidP="00E27756">
      <w:pPr>
        <w:pStyle w:val="SangriaFrancesaArticulo"/>
      </w:pPr>
      <w:r w:rsidRPr="00E27756">
        <w:rPr>
          <w:rStyle w:val="TextoNormalNegritaCaracter"/>
        </w:rPr>
        <w:t>Artículo 103.</w:t>
      </w:r>
      <w:r w:rsidRPr="00E27756">
        <w:rPr>
          <w:rStyle w:val="TextoNormalCaracter"/>
        </w:rPr>
        <w:t>-</w:t>
      </w:r>
      <w:r>
        <w:t xml:space="preserve"> Sentencia </w:t>
      </w:r>
      <w:hyperlink w:anchor="SENTENCIA_2013_96" w:history="1">
        <w:r w:rsidRPr="00E27756">
          <w:rPr>
            <w:rStyle w:val="TextoNormalCaracter"/>
          </w:rPr>
          <w:t>96/2013</w:t>
        </w:r>
      </w:hyperlink>
      <w:r>
        <w:t>, f. 5.</w:t>
      </w:r>
    </w:p>
    <w:p w:rsidR="00E27756" w:rsidRDefault="00E27756" w:rsidP="00E27756">
      <w:pPr>
        <w:pStyle w:val="SangriaFrancesaArticulo"/>
      </w:pPr>
      <w:r w:rsidRPr="00E27756">
        <w:rPr>
          <w:rStyle w:val="TextoNormalNegritaCaracter"/>
        </w:rPr>
        <w:t>Artículo 104.1.</w:t>
      </w:r>
      <w:r w:rsidRPr="00E27756">
        <w:rPr>
          <w:rStyle w:val="TextoNormalCaracter"/>
        </w:rPr>
        <w:t>-</w:t>
      </w:r>
      <w:r>
        <w:t xml:space="preserve"> Sentencia </w:t>
      </w:r>
      <w:hyperlink w:anchor="SENTENCIA_2013_96" w:history="1">
        <w:r w:rsidRPr="00E27756">
          <w:rPr>
            <w:rStyle w:val="TextoNormalCaracter"/>
          </w:rPr>
          <w:t>96/2013</w:t>
        </w:r>
      </w:hyperlink>
      <w:r>
        <w:t>, f. 5.</w:t>
      </w:r>
    </w:p>
    <w:p w:rsidR="00E27756" w:rsidRDefault="00E27756" w:rsidP="00E27756">
      <w:pPr>
        <w:pStyle w:val="SangriaFrancesaArticulo"/>
      </w:pPr>
      <w:r w:rsidRPr="00E27756">
        <w:rPr>
          <w:rStyle w:val="TextoNormalNegritaCaracter"/>
        </w:rPr>
        <w:t>Artículo 105.1.</w:t>
      </w:r>
      <w:r w:rsidRPr="00E27756">
        <w:rPr>
          <w:rStyle w:val="TextoNormalCaracter"/>
        </w:rPr>
        <w:t>-</w:t>
      </w:r>
      <w:r>
        <w:t xml:space="preserve"> Sentencia </w:t>
      </w:r>
      <w:hyperlink w:anchor="SENTENCIA_2013_96" w:history="1">
        <w:r w:rsidRPr="00E27756">
          <w:rPr>
            <w:rStyle w:val="TextoNormalCaracter"/>
          </w:rPr>
          <w:t>96/2013</w:t>
        </w:r>
      </w:hyperlink>
      <w:r>
        <w:t>, f. 5.</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Sentencia </w:t>
      </w:r>
      <w:hyperlink w:anchor="SENTENCIA_2013_14" w:history="1">
        <w:r w:rsidRPr="00E27756">
          <w:rPr>
            <w:rStyle w:val="TextoNormalCaracter"/>
          </w:rPr>
          <w:t>14/2013</w:t>
        </w:r>
      </w:hyperlink>
      <w:r>
        <w:t>, ff. 2, 5.</w:t>
      </w:r>
    </w:p>
    <w:p w:rsidR="00E27756" w:rsidRDefault="00E27756" w:rsidP="00E27756">
      <w:pPr>
        <w:pStyle w:val="TextoNormal"/>
      </w:pPr>
    </w:p>
    <w:p w:rsidR="00E27756" w:rsidRDefault="00E27756" w:rsidP="00E27756">
      <w:pPr>
        <w:pStyle w:val="TextoNormalNegritaCentradoSubrayado"/>
        <w:suppressAutoHyphens/>
      </w:pPr>
      <w:r>
        <w:t>J.2.b) Leyes y disposiciones con fuerza de Ley</w:t>
      </w:r>
    </w:p>
    <w:p w:rsidR="00E27756" w:rsidRDefault="00E27756" w:rsidP="00E27756">
      <w:pPr>
        <w:pStyle w:val="TextoNormalNegritaCentradoSubrayado"/>
      </w:pPr>
    </w:p>
    <w:p w:rsidR="00E27756" w:rsidRDefault="00E27756" w:rsidP="00E27756">
      <w:pPr>
        <w:pStyle w:val="TextoNormalNegritaCursivandice"/>
      </w:pPr>
      <w:r>
        <w:lastRenderedPageBreak/>
        <w:t>Ley de las Cortes de Aragón 13/2005, de 30 de diciembre. Medidas Fiscales y Administrativas en materia de Tributos Cedidos y Tributos Propios de la Comunidad Autónoma de Aragón</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96" w:history="1">
        <w:r w:rsidRPr="00E27756">
          <w:rPr>
            <w:rStyle w:val="TextoNormalCaracter"/>
          </w:rPr>
          <w:t>96/2013</w:t>
        </w:r>
      </w:hyperlink>
      <w:r>
        <w:t>, f. 8.</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Sentencia </w:t>
      </w:r>
      <w:hyperlink w:anchor="SENTENCIA_2013_96" w:history="1">
        <w:r w:rsidRPr="00E27756">
          <w:rPr>
            <w:rStyle w:val="TextoNormalCaracter"/>
          </w:rPr>
          <w:t>96/2013</w:t>
        </w:r>
      </w:hyperlink>
      <w:r>
        <w:t>, f. 8.</w:t>
      </w:r>
    </w:p>
    <w:p w:rsidR="00E27756" w:rsidRDefault="00E27756" w:rsidP="00E27756">
      <w:pPr>
        <w:pStyle w:val="SangriaFrancesaArticulo"/>
      </w:pPr>
      <w:r w:rsidRPr="00E27756">
        <w:rPr>
          <w:rStyle w:val="TextoNormalNegritaCaracter"/>
        </w:rPr>
        <w:t>Artículos 8 a 13.</w:t>
      </w:r>
      <w:r w:rsidRPr="00E27756">
        <w:rPr>
          <w:rStyle w:val="TextoNormalCaracter"/>
        </w:rPr>
        <w:t>-</w:t>
      </w:r>
      <w:r>
        <w:t xml:space="preserve"> Sentencia </w:t>
      </w:r>
      <w:hyperlink w:anchor="SENTENCIA_2013_96" w:history="1">
        <w:r w:rsidRPr="00E27756">
          <w:rPr>
            <w:rStyle w:val="TextoNormalCaracter"/>
          </w:rPr>
          <w:t>96/2013</w:t>
        </w:r>
      </w:hyperlink>
      <w:r>
        <w:t>, ff. 1, 2, 13.</w:t>
      </w:r>
    </w:p>
    <w:p w:rsidR="00E27756" w:rsidRDefault="00E27756" w:rsidP="00E27756">
      <w:pPr>
        <w:pStyle w:val="SangriaFrancesaArticulo"/>
      </w:pPr>
      <w:r w:rsidRPr="00E27756">
        <w:rPr>
          <w:rStyle w:val="TextoNormalNegritaCaracter"/>
        </w:rPr>
        <w:t>Artículo 13.3</w:t>
      </w:r>
      <w:r>
        <w:t xml:space="preserve"> </w:t>
      </w:r>
      <w:r w:rsidRPr="00E27756">
        <w:rPr>
          <w:rStyle w:val="TextoNormalCaracter"/>
        </w:rPr>
        <w:t>(redactado por la Ley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13.3</w:t>
      </w:r>
      <w:r>
        <w:t xml:space="preserve"> </w:t>
      </w:r>
      <w:r w:rsidRPr="00E27756">
        <w:rPr>
          <w:rStyle w:val="TextoNormalCaracter"/>
        </w:rPr>
        <w:t>(redactado por la Ley de las Cortes de Aragón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28.</w:t>
      </w:r>
      <w:r w:rsidRPr="00E27756">
        <w:rPr>
          <w:rStyle w:val="TextoNormalCaracter"/>
        </w:rPr>
        <w:t>-</w:t>
      </w:r>
      <w:r>
        <w:t xml:space="preserve"> Sentencia </w:t>
      </w:r>
      <w:hyperlink w:anchor="SENTENCIA_2013_96" w:history="1">
        <w:r w:rsidRPr="00E27756">
          <w:rPr>
            <w:rStyle w:val="TextoNormalCaracter"/>
          </w:rPr>
          <w:t>96/2013</w:t>
        </w:r>
      </w:hyperlink>
      <w:r>
        <w:t>, f. 12.</w:t>
      </w:r>
    </w:p>
    <w:p w:rsidR="00E27756" w:rsidRDefault="00E27756" w:rsidP="00E27756">
      <w:pPr>
        <w:pStyle w:val="SangriaFrancesaArticulo"/>
      </w:pPr>
      <w:r w:rsidRPr="00E27756">
        <w:rPr>
          <w:rStyle w:val="TextoNormalNegritaCaracter"/>
        </w:rPr>
        <w:t>Artículos 28 a 35.</w:t>
      </w:r>
      <w:r w:rsidRPr="00E27756">
        <w:rPr>
          <w:rStyle w:val="TextoNormalCaracter"/>
        </w:rPr>
        <w:t>-</w:t>
      </w:r>
      <w:r>
        <w:t xml:space="preserve"> Sentencia </w:t>
      </w:r>
      <w:hyperlink w:anchor="SENTENCIA_2013_96" w:history="1">
        <w:r w:rsidRPr="00E27756">
          <w:rPr>
            <w:rStyle w:val="TextoNormalCaracter"/>
          </w:rPr>
          <w:t>96/2013</w:t>
        </w:r>
      </w:hyperlink>
      <w:r>
        <w:t>, ff. 1, 2, 8, 9.</w:t>
      </w:r>
    </w:p>
    <w:p w:rsidR="00E27756" w:rsidRDefault="00E27756" w:rsidP="00E27756">
      <w:pPr>
        <w:pStyle w:val="SangriaFrancesaArticulo"/>
      </w:pPr>
      <w:r w:rsidRPr="00E27756">
        <w:rPr>
          <w:rStyle w:val="TextoNormalNegritaCaracter"/>
        </w:rPr>
        <w:t>Artículo 29.</w:t>
      </w:r>
      <w:r w:rsidRPr="00E27756">
        <w:rPr>
          <w:rStyle w:val="TextoNormalCaracter"/>
        </w:rPr>
        <w:t>-</w:t>
      </w:r>
      <w:r>
        <w:t xml:space="preserve"> Sentencia </w:t>
      </w:r>
      <w:hyperlink w:anchor="SENTENCIA_2013_96" w:history="1">
        <w:r w:rsidRPr="00E27756">
          <w:rPr>
            <w:rStyle w:val="TextoNormalCaracter"/>
          </w:rPr>
          <w:t>96/2013</w:t>
        </w:r>
      </w:hyperlink>
      <w:r>
        <w:t>, f. 12.</w:t>
      </w:r>
    </w:p>
    <w:p w:rsidR="00E27756" w:rsidRDefault="00E27756" w:rsidP="00E27756">
      <w:pPr>
        <w:pStyle w:val="SangriaFrancesaArticulo"/>
      </w:pPr>
      <w:r w:rsidRPr="00E27756">
        <w:rPr>
          <w:rStyle w:val="TextoNormalNegritaCaracter"/>
        </w:rPr>
        <w:t>Artículo 30.</w:t>
      </w:r>
      <w:r w:rsidRPr="00E27756">
        <w:rPr>
          <w:rStyle w:val="TextoNormalCaracter"/>
        </w:rPr>
        <w:t>-</w:t>
      </w:r>
      <w:r>
        <w:t xml:space="preserve"> Sentencia </w:t>
      </w:r>
      <w:hyperlink w:anchor="SENTENCIA_2013_96" w:history="1">
        <w:r w:rsidRPr="00E27756">
          <w:rPr>
            <w:rStyle w:val="TextoNormalCaracter"/>
          </w:rPr>
          <w:t>96/2013</w:t>
        </w:r>
      </w:hyperlink>
      <w:r>
        <w:t>, f. 12.</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 </w:t>
      </w:r>
      <w:hyperlink w:anchor="SENTENCIA_2013_96" w:history="1">
        <w:r w:rsidRPr="00E27756">
          <w:rPr>
            <w:rStyle w:val="TextoNormalCaracter"/>
          </w:rPr>
          <w:t>96/2013</w:t>
        </w:r>
      </w:hyperlink>
      <w:r>
        <w:t>, f. 12.</w:t>
      </w:r>
    </w:p>
    <w:p w:rsidR="00E27756" w:rsidRDefault="00E27756" w:rsidP="00E27756">
      <w:pPr>
        <w:pStyle w:val="SangriaFrancesaArticulo"/>
      </w:pPr>
      <w:r w:rsidRPr="00E27756">
        <w:rPr>
          <w:rStyle w:val="TextoNormalNegritaCaracter"/>
        </w:rPr>
        <w:t>Artículo 31 b).</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96" w:history="1">
        <w:r w:rsidRPr="00E27756">
          <w:rPr>
            <w:rStyle w:val="TextoNormalCaracter"/>
          </w:rPr>
          <w:t>96/2013</w:t>
        </w:r>
      </w:hyperlink>
      <w:r>
        <w:t>, f. 12.</w:t>
      </w:r>
    </w:p>
    <w:p w:rsidR="00E27756" w:rsidRDefault="00E27756" w:rsidP="00E27756">
      <w:pPr>
        <w:pStyle w:val="SangriaFrancesaArticulo"/>
      </w:pPr>
      <w:r w:rsidRPr="00E27756">
        <w:rPr>
          <w:rStyle w:val="TextoNormalNegritaCaracter"/>
        </w:rPr>
        <w:t>Artículo 33.</w:t>
      </w:r>
      <w:r w:rsidRPr="00E27756">
        <w:rPr>
          <w:rStyle w:val="TextoNormalCaracter"/>
        </w:rPr>
        <w:t>-</w:t>
      </w:r>
      <w:r>
        <w:t xml:space="preserve"> Sentencia </w:t>
      </w:r>
      <w:hyperlink w:anchor="SENTENCIA_2013_96" w:history="1">
        <w:r w:rsidRPr="00E27756">
          <w:rPr>
            <w:rStyle w:val="TextoNormalCaracter"/>
          </w:rPr>
          <w:t>96/2013</w:t>
        </w:r>
      </w:hyperlink>
      <w:r>
        <w:t>, f. 12.</w:t>
      </w:r>
    </w:p>
    <w:p w:rsidR="00E27756" w:rsidRDefault="00E27756" w:rsidP="00E27756">
      <w:pPr>
        <w:pStyle w:val="SangriaFrancesaArticulo"/>
      </w:pPr>
      <w:r w:rsidRPr="00E27756">
        <w:rPr>
          <w:rStyle w:val="TextoNormalNegritaCaracter"/>
        </w:rPr>
        <w:t>Artículo 34.</w:t>
      </w:r>
      <w:r w:rsidRPr="00E27756">
        <w:rPr>
          <w:rStyle w:val="TextoNormalCaracter"/>
        </w:rPr>
        <w:t>-</w:t>
      </w:r>
      <w:r>
        <w:t xml:space="preserve"> Sentencia </w:t>
      </w:r>
      <w:hyperlink w:anchor="SENTENCIA_2013_96" w:history="1">
        <w:r w:rsidRPr="00E27756">
          <w:rPr>
            <w:rStyle w:val="TextoNormalCaracter"/>
          </w:rPr>
          <w:t>96/2013</w:t>
        </w:r>
      </w:hyperlink>
      <w:r>
        <w:t>, f. 12.</w:t>
      </w:r>
    </w:p>
    <w:p w:rsidR="00E27756" w:rsidRDefault="00E27756" w:rsidP="00E27756">
      <w:pPr>
        <w:pStyle w:val="SangriaFrancesaArticulo"/>
      </w:pPr>
      <w:r w:rsidRPr="00E27756">
        <w:rPr>
          <w:rStyle w:val="TextoNormalNegritaCaracter"/>
        </w:rPr>
        <w:t>Artículo 35.</w:t>
      </w:r>
      <w:r w:rsidRPr="00E27756">
        <w:rPr>
          <w:rStyle w:val="TextoNormalCaracter"/>
        </w:rPr>
        <w:t>-</w:t>
      </w:r>
      <w:r>
        <w:t xml:space="preserve"> Sentencia </w:t>
      </w:r>
      <w:hyperlink w:anchor="SENTENCIA_2013_96" w:history="1">
        <w:r w:rsidRPr="00E27756">
          <w:rPr>
            <w:rStyle w:val="TextoNormalCaracter"/>
          </w:rPr>
          <w:t>96/2013</w:t>
        </w:r>
      </w:hyperlink>
      <w:r>
        <w:t>, f. 12.</w:t>
      </w:r>
    </w:p>
    <w:p w:rsidR="00E27756" w:rsidRDefault="00E27756" w:rsidP="00E27756">
      <w:pPr>
        <w:pStyle w:val="SangriaFrancesaArticulo"/>
      </w:pPr>
      <w:r w:rsidRPr="00E27756">
        <w:rPr>
          <w:rStyle w:val="TextoNormalNegritaCaracter"/>
        </w:rPr>
        <w:t>Artículo 35.2.</w:t>
      </w:r>
      <w:r w:rsidRPr="00E27756">
        <w:rPr>
          <w:rStyle w:val="TextoNormalCaracter"/>
        </w:rPr>
        <w:t>-</w:t>
      </w:r>
      <w:r>
        <w:t xml:space="preserve"> Sentencia </w:t>
      </w:r>
      <w:hyperlink w:anchor="SENTENCIA_2013_96" w:history="1">
        <w:r w:rsidRPr="00E27756">
          <w:rPr>
            <w:rStyle w:val="TextoNormalCaracter"/>
          </w:rPr>
          <w:t>96/2013</w:t>
        </w:r>
      </w:hyperlink>
      <w:r>
        <w:t>, f. 8.</w:t>
      </w:r>
    </w:p>
    <w:p w:rsidR="00E27756" w:rsidRDefault="00E27756" w:rsidP="00E27756">
      <w:pPr>
        <w:pStyle w:val="SangriaFrancesaArticulo"/>
      </w:pPr>
      <w:r w:rsidRPr="00E27756">
        <w:rPr>
          <w:rStyle w:val="TextoNormalNegritaCaracter"/>
        </w:rPr>
        <w:t>Artículos 36 a 45.</w:t>
      </w:r>
      <w:r w:rsidRPr="00E27756">
        <w:rPr>
          <w:rStyle w:val="TextoNormalCaracter"/>
        </w:rPr>
        <w:t>-</w:t>
      </w:r>
      <w:r>
        <w:t xml:space="preserve"> Sentencia </w:t>
      </w:r>
      <w:hyperlink w:anchor="SENTENCIA_2013_96" w:history="1">
        <w:r w:rsidRPr="00E27756">
          <w:rPr>
            <w:rStyle w:val="TextoNormalCaracter"/>
          </w:rPr>
          <w:t>96/2013</w:t>
        </w:r>
      </w:hyperlink>
      <w:r>
        <w:t>, f. 13.</w:t>
      </w:r>
    </w:p>
    <w:p w:rsidR="00E27756" w:rsidRDefault="00E27756" w:rsidP="00E27756">
      <w:pPr>
        <w:pStyle w:val="SangriaFrancesaArticulo"/>
      </w:pPr>
      <w:r w:rsidRPr="00E27756">
        <w:rPr>
          <w:rStyle w:val="TextoNormalNegritaCaracter"/>
        </w:rPr>
        <w:t>Artículos 36 a 53.</w:t>
      </w:r>
      <w:r w:rsidRPr="00E27756">
        <w:rPr>
          <w:rStyle w:val="TextoNormalCaracter"/>
        </w:rPr>
        <w:t>-</w:t>
      </w:r>
      <w:r>
        <w:t xml:space="preserve"> Sentencia </w:t>
      </w:r>
      <w:hyperlink w:anchor="SENTENCIA_2013_96" w:history="1">
        <w:r w:rsidRPr="00E27756">
          <w:rPr>
            <w:rStyle w:val="TextoNormalCaracter"/>
          </w:rPr>
          <w:t>96/2013</w:t>
        </w:r>
      </w:hyperlink>
      <w:r>
        <w:t>, ff. 1, 2, 13.</w:t>
      </w:r>
    </w:p>
    <w:p w:rsidR="00E27756" w:rsidRDefault="00E27756" w:rsidP="00E27756">
      <w:pPr>
        <w:pStyle w:val="SangriaFrancesaArticulo"/>
      </w:pPr>
      <w:r w:rsidRPr="00E27756">
        <w:rPr>
          <w:rStyle w:val="TextoNormalNegritaCaracter"/>
        </w:rPr>
        <w:t>Artículo 38.</w:t>
      </w:r>
      <w:r w:rsidRPr="00E27756">
        <w:rPr>
          <w:rStyle w:val="TextoNormalCaracter"/>
        </w:rPr>
        <w:t>-</w:t>
      </w:r>
      <w:r>
        <w:t xml:space="preserve"> Sentencia </w:t>
      </w:r>
      <w:hyperlink w:anchor="SENTENCIA_2013_96" w:history="1">
        <w:r w:rsidRPr="00E27756">
          <w:rPr>
            <w:rStyle w:val="TextoNormalCaracter"/>
          </w:rPr>
          <w:t>96/2013</w:t>
        </w:r>
      </w:hyperlink>
      <w:r>
        <w:t>, f. 1.</w:t>
      </w:r>
    </w:p>
    <w:p w:rsidR="00E27756" w:rsidRDefault="00E27756" w:rsidP="00E27756">
      <w:pPr>
        <w:pStyle w:val="SangriaFrancesaArticulo"/>
      </w:pPr>
      <w:r w:rsidRPr="00E27756">
        <w:rPr>
          <w:rStyle w:val="TextoNormalNegritaCaracter"/>
        </w:rPr>
        <w:t>Artículo 38.2.2</w:t>
      </w:r>
      <w:r>
        <w:t xml:space="preserve"> </w:t>
      </w:r>
      <w:r w:rsidRPr="00E27756">
        <w:rPr>
          <w:rStyle w:val="TextoNormalCaracter"/>
        </w:rPr>
        <w:t>(redactado por la Ley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38.2.2</w:t>
      </w:r>
      <w:r>
        <w:t xml:space="preserve"> </w:t>
      </w:r>
      <w:r w:rsidRPr="00E27756">
        <w:rPr>
          <w:rStyle w:val="TextoNormalCaracter"/>
        </w:rPr>
        <w:t>(redactado por la Ley de las Cortes de Aragón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39.2</w:t>
      </w:r>
      <w:r>
        <w:t xml:space="preserve"> </w:t>
      </w:r>
      <w:r w:rsidRPr="00E27756">
        <w:rPr>
          <w:rStyle w:val="TextoNormalCaracter"/>
        </w:rPr>
        <w:t>(redactado por la Ley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39.2</w:t>
      </w:r>
      <w:r>
        <w:t xml:space="preserve"> </w:t>
      </w:r>
      <w:r w:rsidRPr="00E27756">
        <w:rPr>
          <w:rStyle w:val="TextoNormalCaracter"/>
        </w:rPr>
        <w:t>(redactado por la Ley de las Cortes de Aragón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42</w:t>
      </w:r>
      <w:r>
        <w:t xml:space="preserve"> </w:t>
      </w:r>
      <w:r w:rsidRPr="00E27756">
        <w:rPr>
          <w:rStyle w:val="TextoNormalCaracter"/>
        </w:rPr>
        <w:t>(redactado por la Ley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8.</w:t>
      </w:r>
    </w:p>
    <w:p w:rsidR="00E27756" w:rsidRDefault="00E27756" w:rsidP="00E27756">
      <w:pPr>
        <w:pStyle w:val="SangriaFrancesaArticulo"/>
      </w:pPr>
      <w:r w:rsidRPr="00E27756">
        <w:rPr>
          <w:rStyle w:val="TextoNormalNegritaCaracter"/>
        </w:rPr>
        <w:t>Artículo 42</w:t>
      </w:r>
      <w:r>
        <w:t xml:space="preserve"> </w:t>
      </w:r>
      <w:r w:rsidRPr="00E27756">
        <w:rPr>
          <w:rStyle w:val="TextoNormalCaracter"/>
        </w:rPr>
        <w:t>(redactado por la Ley de las Cortes de Aragón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8.</w:t>
      </w:r>
    </w:p>
    <w:p w:rsidR="00E27756" w:rsidRDefault="00E27756" w:rsidP="00E27756">
      <w:pPr>
        <w:pStyle w:val="SangriaFrancesaArticulo"/>
      </w:pPr>
      <w:r w:rsidRPr="00E27756">
        <w:rPr>
          <w:rStyle w:val="TextoNormalNegritaCaracter"/>
        </w:rPr>
        <w:t>Artículo 42.1</w:t>
      </w:r>
      <w:r>
        <w:t xml:space="preserve"> </w:t>
      </w:r>
      <w:r w:rsidRPr="00E27756">
        <w:rPr>
          <w:rStyle w:val="TextoNormalCaracter"/>
        </w:rPr>
        <w:t>(redactado por la Ley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42.1</w:t>
      </w:r>
      <w:r>
        <w:t xml:space="preserve"> </w:t>
      </w:r>
      <w:r w:rsidRPr="00E27756">
        <w:rPr>
          <w:rStyle w:val="TextoNormalCaracter"/>
        </w:rPr>
        <w:t>(redactado por la Ley de las Cortes de Aragón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43.1</w:t>
      </w:r>
      <w:r>
        <w:t xml:space="preserve"> </w:t>
      </w:r>
      <w:r w:rsidRPr="00E27756">
        <w:rPr>
          <w:rStyle w:val="TextoNormalCaracter"/>
        </w:rPr>
        <w:t>(redactado por la Ley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43.1</w:t>
      </w:r>
      <w:r>
        <w:t xml:space="preserve"> </w:t>
      </w:r>
      <w:r w:rsidRPr="00E27756">
        <w:rPr>
          <w:rStyle w:val="TextoNormalCaracter"/>
        </w:rPr>
        <w:t>(redactado por la Ley de las Cortes de Aragón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45.2</w:t>
      </w:r>
      <w:r>
        <w:t xml:space="preserve"> </w:t>
      </w:r>
      <w:r w:rsidRPr="00E27756">
        <w:rPr>
          <w:rStyle w:val="TextoNormalCaracter"/>
        </w:rPr>
        <w:t>(redactado por la Ley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45.2</w:t>
      </w:r>
      <w:r>
        <w:t xml:space="preserve"> </w:t>
      </w:r>
      <w:r w:rsidRPr="00E27756">
        <w:rPr>
          <w:rStyle w:val="TextoNormalCaracter"/>
        </w:rPr>
        <w:t>(redactado por la Ley de las Cortes de Aragón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lastRenderedPageBreak/>
        <w:t>Artículo 46</w:t>
      </w:r>
      <w:r>
        <w:t xml:space="preserve"> </w:t>
      </w:r>
      <w:r w:rsidRPr="00E27756">
        <w:rPr>
          <w:rStyle w:val="TextoNormalCaracter"/>
        </w:rPr>
        <w:t>(redactado por la Ley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46</w:t>
      </w:r>
      <w:r>
        <w:t xml:space="preserve"> </w:t>
      </w:r>
      <w:r w:rsidRPr="00E27756">
        <w:rPr>
          <w:rStyle w:val="TextoNormalCaracter"/>
        </w:rPr>
        <w:t>(redactado por la Ley de las Cortes de Aragón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Artículos 46 a 53.</w:t>
      </w:r>
      <w:r w:rsidRPr="00E27756">
        <w:rPr>
          <w:rStyle w:val="TextoNormalCaracter"/>
        </w:rPr>
        <w:t>-</w:t>
      </w:r>
      <w:r>
        <w:t xml:space="preserve"> Sentencia </w:t>
      </w:r>
      <w:hyperlink w:anchor="SENTENCIA_2013_96" w:history="1">
        <w:r w:rsidRPr="00E27756">
          <w:rPr>
            <w:rStyle w:val="TextoNormalCaracter"/>
          </w:rPr>
          <w:t>96/2013</w:t>
        </w:r>
      </w:hyperlink>
      <w:r>
        <w:t>, f. 13.</w:t>
      </w:r>
    </w:p>
    <w:p w:rsidR="00E27756" w:rsidRDefault="00E27756" w:rsidP="00E27756">
      <w:pPr>
        <w:pStyle w:val="SangriaFrancesaArticulo"/>
      </w:pPr>
      <w:r w:rsidRPr="00E27756">
        <w:rPr>
          <w:rStyle w:val="TextoNormalNegritaCaracter"/>
        </w:rPr>
        <w:t>Artículo 47</w:t>
      </w:r>
      <w:r>
        <w:t xml:space="preserve"> </w:t>
      </w:r>
      <w:r w:rsidRPr="00E27756">
        <w:rPr>
          <w:rStyle w:val="TextoNormalCaracter"/>
        </w:rPr>
        <w:t>(redactado por la Ley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47</w:t>
      </w:r>
      <w:r>
        <w:t xml:space="preserve"> </w:t>
      </w:r>
      <w:r w:rsidRPr="00E27756">
        <w:rPr>
          <w:rStyle w:val="TextoNormalCaracter"/>
        </w:rPr>
        <w:t>(redactado por la Ley de las Cortes de Aragón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50</w:t>
      </w:r>
      <w:r>
        <w:t xml:space="preserve"> </w:t>
      </w:r>
      <w:r w:rsidRPr="00E27756">
        <w:rPr>
          <w:rStyle w:val="TextoNormalCaracter"/>
        </w:rPr>
        <w:t>(redactado por la Ley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50</w:t>
      </w:r>
      <w:r>
        <w:t xml:space="preserve"> </w:t>
      </w:r>
      <w:r w:rsidRPr="00E27756">
        <w:rPr>
          <w:rStyle w:val="TextoNormalCaracter"/>
        </w:rPr>
        <w:t>(redactado por la Ley de las Cortes de Aragón 19/2006, de 29 de diciembre)</w:t>
      </w:r>
      <w:r w:rsidRPr="00E27756">
        <w:rPr>
          <w:rStyle w:val="TextoNormalNegritaCaracter"/>
        </w:rPr>
        <w:t>.</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51.3.</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p>
    <w:p w:rsidR="00E27756" w:rsidRDefault="00E27756" w:rsidP="00E27756">
      <w:pPr>
        <w:pStyle w:val="TextoNormalNegritaCursivandice"/>
      </w:pPr>
      <w:r>
        <w:t>Ley de las Cortes de Aragón 19/2006, de 29 de diciembre. Medidas Tributarias de la Comunidad Autónoma de Aragón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6" w:history="1">
        <w:r w:rsidRPr="00E27756">
          <w:rPr>
            <w:rStyle w:val="TextoNormalCaracter"/>
          </w:rPr>
          <w:t>96/2013</w:t>
        </w:r>
      </w:hyperlink>
      <w:r>
        <w:t>, ff. 2, 8.</w:t>
      </w:r>
    </w:p>
    <w:p w:rsidR="00E27756" w:rsidRDefault="00E27756" w:rsidP="00E27756">
      <w:pPr>
        <w:pStyle w:val="SangriaFrancesaArticulo"/>
      </w:pPr>
    </w:p>
    <w:p w:rsidR="00E27756" w:rsidRDefault="00E27756" w:rsidP="00E27756">
      <w:pPr>
        <w:pStyle w:val="TextoNormalNegritaCursivandice"/>
      </w:pPr>
      <w:r>
        <w:t>Decreto Legislativo de la Diputación General de Aragón 1/2007, de 18 de septiembre. Aprueba el texto refundido de la legislación sobre impuestos medioambientales de la comunidad Autónoma de Aragón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1 a 6.</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Artículos 15 a 22.</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Artículos 21 a 28.</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Artículos 29 a 46.</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31.3.</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32.4.</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p>
    <w:p w:rsidR="00E27756" w:rsidRDefault="00E27756" w:rsidP="00E27756">
      <w:pPr>
        <w:pStyle w:val="TextoNormalNegritaCursivandice"/>
      </w:pPr>
      <w:r>
        <w:t>Ley de las Cortes de Aragón 8/2007, de 29 de diciembre. Medidas Tributarias de la Comunidad Autónoma de Aragón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p>
    <w:p w:rsidR="00E27756" w:rsidRDefault="00E27756" w:rsidP="00E27756">
      <w:pPr>
        <w:pStyle w:val="TextoNormalNegritaCursivandice"/>
      </w:pPr>
      <w:r>
        <w:t>Ley de las Cortes de Aragón 11/2008, de 29 de diciembre. Medidas Tributarias de la Comunidad Autónoma de Aragón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Artículos 21 a 28.</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24 b).</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p>
    <w:p w:rsidR="00E27756" w:rsidRDefault="00E27756" w:rsidP="00E27756">
      <w:pPr>
        <w:pStyle w:val="TextoNormalNegritaCursivandice"/>
      </w:pPr>
      <w:r>
        <w:t>Ley de las Cortes de Aragón 3/2009, de 17 de junio. Urbanismo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4" w:history="1">
        <w:r w:rsidRPr="00E27756">
          <w:rPr>
            <w:rStyle w:val="TextoNormalCaracter"/>
          </w:rPr>
          <w:t>94/2013</w:t>
        </w:r>
      </w:hyperlink>
      <w:r>
        <w:t>, f. 5.</w:t>
      </w:r>
    </w:p>
    <w:p w:rsidR="00E27756" w:rsidRDefault="00E27756" w:rsidP="00E27756">
      <w:pPr>
        <w:pStyle w:val="SangriaFrancesaArticulo"/>
      </w:pPr>
      <w:r w:rsidRPr="00E27756">
        <w:rPr>
          <w:rStyle w:val="TextoNormalNegritaCaracter"/>
        </w:rPr>
        <w:t>Artículo 49.</w:t>
      </w:r>
      <w:r w:rsidRPr="00E27756">
        <w:rPr>
          <w:rStyle w:val="TextoNormalCaracter"/>
        </w:rPr>
        <w:t>-</w:t>
      </w:r>
      <w:r>
        <w:t xml:space="preserve"> Sentencia </w:t>
      </w:r>
      <w:hyperlink w:anchor="SENTENCIA_2013_94" w:history="1">
        <w:r w:rsidRPr="00E27756">
          <w:rPr>
            <w:rStyle w:val="TextoNormalCaracter"/>
          </w:rPr>
          <w:t>94/2013</w:t>
        </w:r>
      </w:hyperlink>
      <w:r>
        <w:t>, VP I.</w:t>
      </w:r>
    </w:p>
    <w:p w:rsidR="00E27756" w:rsidRDefault="00E27756" w:rsidP="00E27756">
      <w:pPr>
        <w:pStyle w:val="SangriaFrancesaArticulo"/>
      </w:pPr>
      <w:r w:rsidRPr="00E27756">
        <w:rPr>
          <w:rStyle w:val="TextoNormalNegritaCaracter"/>
        </w:rPr>
        <w:t>Artículo 57.</w:t>
      </w:r>
      <w:r w:rsidRPr="00E27756">
        <w:rPr>
          <w:rStyle w:val="TextoNormalCaracter"/>
        </w:rPr>
        <w:t>-</w:t>
      </w:r>
      <w:r>
        <w:t xml:space="preserve"> Sentencia </w:t>
      </w:r>
      <w:hyperlink w:anchor="SENTENCIA_2013_94" w:history="1">
        <w:r w:rsidRPr="00E27756">
          <w:rPr>
            <w:rStyle w:val="TextoNormalCaracter"/>
          </w:rPr>
          <w:t>94/2013</w:t>
        </w:r>
      </w:hyperlink>
      <w:r>
        <w:t>, VP I.</w:t>
      </w:r>
    </w:p>
    <w:p w:rsidR="00E27756" w:rsidRDefault="00E27756" w:rsidP="00E27756">
      <w:pPr>
        <w:pStyle w:val="SangriaFrancesaArticulo"/>
      </w:pPr>
      <w:r w:rsidRPr="00E27756">
        <w:rPr>
          <w:rStyle w:val="TextoNormalNegritaCaracter"/>
        </w:rPr>
        <w:t>Artículo 62.</w:t>
      </w:r>
      <w:r w:rsidRPr="00E27756">
        <w:rPr>
          <w:rStyle w:val="TextoNormalCaracter"/>
        </w:rPr>
        <w:t>-</w:t>
      </w:r>
      <w:r>
        <w:t xml:space="preserve"> Sentencia </w:t>
      </w:r>
      <w:hyperlink w:anchor="SENTENCIA_2013_94" w:history="1">
        <w:r w:rsidRPr="00E27756">
          <w:rPr>
            <w:rStyle w:val="TextoNormalCaracter"/>
          </w:rPr>
          <w:t>94/2013</w:t>
        </w:r>
      </w:hyperlink>
      <w:r>
        <w:t>, VP I.</w:t>
      </w:r>
    </w:p>
    <w:p w:rsidR="00E27756" w:rsidRDefault="00E27756" w:rsidP="00E27756">
      <w:pPr>
        <w:pStyle w:val="SangriaFrancesaArticulo"/>
      </w:pPr>
      <w:r w:rsidRPr="00E27756">
        <w:rPr>
          <w:rStyle w:val="TextoNormalNegritaCaracter"/>
        </w:rPr>
        <w:t>Artículo 63.</w:t>
      </w:r>
      <w:r w:rsidRPr="00E27756">
        <w:rPr>
          <w:rStyle w:val="TextoNormalCaracter"/>
        </w:rPr>
        <w:t>-</w:t>
      </w:r>
      <w:r>
        <w:t xml:space="preserve"> Sentencia </w:t>
      </w:r>
      <w:hyperlink w:anchor="SENTENCIA_2013_94" w:history="1">
        <w:r w:rsidRPr="00E27756">
          <w:rPr>
            <w:rStyle w:val="TextoNormalCaracter"/>
          </w:rPr>
          <w:t>94/2013</w:t>
        </w:r>
      </w:hyperlink>
      <w:r>
        <w:t>, VP I.</w:t>
      </w:r>
    </w:p>
    <w:p w:rsidR="00E27756" w:rsidRDefault="00E27756" w:rsidP="00E27756">
      <w:pPr>
        <w:pStyle w:val="SangriaFrancesaArticulo"/>
      </w:pPr>
      <w:r w:rsidRPr="00E27756">
        <w:rPr>
          <w:rStyle w:val="TextoNormalNegritaCaracter"/>
        </w:rPr>
        <w:t>Artículo 158 apartados 1, 2.</w:t>
      </w:r>
      <w:r w:rsidRPr="00E27756">
        <w:rPr>
          <w:rStyle w:val="TextoNormalCaracter"/>
        </w:rPr>
        <w:t>-</w:t>
      </w:r>
      <w:r>
        <w:t xml:space="preserve"> Sentencia </w:t>
      </w:r>
      <w:hyperlink w:anchor="SENTENCIA_2013_94" w:history="1">
        <w:r w:rsidRPr="00E27756">
          <w:rPr>
            <w:rStyle w:val="TextoNormalCaracter"/>
          </w:rPr>
          <w:t>94/2013</w:t>
        </w:r>
      </w:hyperlink>
      <w:r>
        <w:t>, f. 5.</w:t>
      </w:r>
    </w:p>
    <w:p w:rsidR="00E27756" w:rsidRDefault="00E27756" w:rsidP="00E27756">
      <w:pPr>
        <w:pStyle w:val="SangriaFrancesaArticulo"/>
      </w:pPr>
      <w:r w:rsidRPr="00E27756">
        <w:rPr>
          <w:rStyle w:val="TextoNormalNegritaCaracter"/>
        </w:rPr>
        <w:lastRenderedPageBreak/>
        <w:t>Artículo 158.1 y 2.</w:t>
      </w:r>
      <w:r w:rsidRPr="00E27756">
        <w:rPr>
          <w:rStyle w:val="TextoNormalCaracter"/>
        </w:rPr>
        <w:t>-</w:t>
      </w:r>
      <w:r>
        <w:t xml:space="preserve"> Sentencia </w:t>
      </w:r>
      <w:hyperlink w:anchor="SENTENCIA_2013_94" w:history="1">
        <w:r w:rsidRPr="00E27756">
          <w:rPr>
            <w:rStyle w:val="TextoNormalCaracter"/>
          </w:rPr>
          <w:t>94/2013</w:t>
        </w:r>
      </w:hyperlink>
      <w:r>
        <w:t>, f. 5.</w:t>
      </w:r>
    </w:p>
    <w:p w:rsidR="00E27756" w:rsidRDefault="00E27756" w:rsidP="00E27756">
      <w:pPr>
        <w:pStyle w:val="SangriaFrancesaArticulo"/>
      </w:pPr>
      <w:r w:rsidRPr="00E27756">
        <w:rPr>
          <w:rStyle w:val="TextoNormalNegritaCaracter"/>
        </w:rPr>
        <w:t>Artículos 158 a 165.</w:t>
      </w:r>
      <w:r w:rsidRPr="00E27756">
        <w:rPr>
          <w:rStyle w:val="TextoNormalCaracter"/>
        </w:rPr>
        <w:t>-</w:t>
      </w:r>
      <w:r>
        <w:t xml:space="preserve"> Sentencia </w:t>
      </w:r>
      <w:hyperlink w:anchor="SENTENCIA_2013_94" w:history="1">
        <w:r w:rsidRPr="00E27756">
          <w:rPr>
            <w:rStyle w:val="TextoNormalCaracter"/>
          </w:rPr>
          <w:t>94/2013</w:t>
        </w:r>
      </w:hyperlink>
      <w:r>
        <w:t>, f. 5.</w:t>
      </w:r>
    </w:p>
    <w:p w:rsidR="00E27756" w:rsidRDefault="00E27756" w:rsidP="00E27756">
      <w:pPr>
        <w:pStyle w:val="SangriaFrancesaArticulo"/>
      </w:pPr>
      <w:r w:rsidRPr="00E27756">
        <w:rPr>
          <w:rStyle w:val="TextoNormalNegritaCaracter"/>
        </w:rPr>
        <w:t>Artículo 163.1.</w:t>
      </w:r>
      <w:r w:rsidRPr="00E27756">
        <w:rPr>
          <w:rStyle w:val="TextoNormalCaracter"/>
        </w:rPr>
        <w:t>-</w:t>
      </w:r>
      <w:r>
        <w:t xml:space="preserve"> Sentencia </w:t>
      </w:r>
      <w:hyperlink w:anchor="SENTENCIA_2013_94" w:history="1">
        <w:r w:rsidRPr="00E27756">
          <w:rPr>
            <w:rStyle w:val="TextoNormalCaracter"/>
          </w:rPr>
          <w:t>94/2013</w:t>
        </w:r>
      </w:hyperlink>
      <w:r>
        <w:t>, f. 5.</w:t>
      </w:r>
    </w:p>
    <w:p w:rsidR="00E27756" w:rsidRDefault="00E27756" w:rsidP="00E27756">
      <w:pPr>
        <w:pStyle w:val="SangriaFrancesaArticulo"/>
      </w:pPr>
      <w:r w:rsidRPr="00E27756">
        <w:rPr>
          <w:rStyle w:val="TextoNormalNegritaCaracter"/>
        </w:rPr>
        <w:t>Disposición final cuarta.</w:t>
      </w:r>
      <w:r w:rsidRPr="00E27756">
        <w:rPr>
          <w:rStyle w:val="TextoNormalCaracter"/>
        </w:rPr>
        <w:t>-</w:t>
      </w:r>
      <w:r>
        <w:t xml:space="preserve"> Sentencia </w:t>
      </w:r>
      <w:hyperlink w:anchor="SENTENCIA_2013_94" w:history="1">
        <w:r w:rsidRPr="00E27756">
          <w:rPr>
            <w:rStyle w:val="TextoNormalCaracter"/>
          </w:rPr>
          <w:t>94/2013</w:t>
        </w:r>
      </w:hyperlink>
      <w:r>
        <w:t>, f. 5.</w:t>
      </w:r>
    </w:p>
    <w:p w:rsidR="00E27756" w:rsidRDefault="00E27756" w:rsidP="00E27756">
      <w:pPr>
        <w:pStyle w:val="SangriaFrancesaArticulo"/>
      </w:pPr>
    </w:p>
    <w:p w:rsidR="00E27756" w:rsidRDefault="00E27756" w:rsidP="00E27756">
      <w:pPr>
        <w:pStyle w:val="TextoNormalNegritaCursivandice"/>
      </w:pPr>
      <w:r>
        <w:t>Ley de las Cortes de Aragón 13/2009, de 30 de diciembre. Medidas Tributarias de la Comunidad Autónoma de Aragón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p>
    <w:p w:rsidR="00E27756" w:rsidRDefault="00E27756" w:rsidP="00E27756">
      <w:pPr>
        <w:pStyle w:val="TextoNormalNegritaCursivandice"/>
      </w:pPr>
      <w:r>
        <w:t>Ley de las Cortes de Aragón 12/2010, de 29 de diciembre. Medidas tributarias de la Comunidad Autónoma de Aragón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p>
    <w:p w:rsidR="00E27756" w:rsidRDefault="00E27756" w:rsidP="00E27756">
      <w:pPr>
        <w:pStyle w:val="TextoNormalNegritaCursivandice"/>
      </w:pPr>
      <w:r>
        <w:t>Ley de las Cortes de Aragón 3/2012, de 8 de marzo. Medidas fiscales y administrativas de la Comunidad Autónoma de Aragón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1 a 6.</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Artículos 15 a 22.</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23 a 40.</w:t>
      </w:r>
      <w:r w:rsidRPr="00E27756">
        <w:rPr>
          <w:rStyle w:val="TextoNormalCaracter"/>
        </w:rPr>
        <w:t>-</w:t>
      </w:r>
      <w:r>
        <w:t xml:space="preserve"> Sentencia </w:t>
      </w:r>
      <w:r w:rsidRPr="00E27756">
        <w:rPr>
          <w:rStyle w:val="TextoNormalCaracter"/>
        </w:rPr>
        <w:fldChar w:fldCharType="begin"/>
      </w:r>
      <w:r w:rsidRPr="00E27756">
        <w:rPr>
          <w:rStyle w:val="TextoNormalCaracter"/>
        </w:rPr>
        <w:instrText xml:space="preserve"> </w:instrText>
      </w:r>
      <w:r w:rsidR="001F24E8">
        <w:rPr>
          <w:rStyle w:val="TextoNormalCaracter"/>
        </w:rPr>
        <w:fldChar w:fldCharType="begin"/>
      </w:r>
      <w:r w:rsidR="001F24E8">
        <w:rPr>
          <w:rStyle w:val="TextoNormalCaracter"/>
        </w:rPr>
        <w:instrText xml:space="preserve"> PAGEREF SUMARIOSINDICES \h </w:instrText>
      </w:r>
      <w:r w:rsidR="001F24E8">
        <w:rPr>
          <w:rStyle w:val="TextoNormalCaracter"/>
        </w:rPr>
      </w:r>
      <w:r w:rsidR="001F24E8">
        <w:rPr>
          <w:rStyle w:val="TextoNormalCaracter"/>
        </w:rPr>
        <w:fldChar w:fldCharType="separate"/>
      </w:r>
      <w:r w:rsidR="00AF4A65">
        <w:rPr>
          <w:rStyle w:val="TextoNormalCaracter"/>
          <w:noProof/>
        </w:rPr>
        <w:instrText>2</w:instrText>
      </w:r>
      <w:r w:rsidR="001F24E8">
        <w:rPr>
          <w:rStyle w:val="TextoNormalCaracter"/>
        </w:rPr>
        <w:fldChar w:fldCharType="end"/>
      </w:r>
      <w:r w:rsidRPr="00E27756">
        <w:rPr>
          <w:rStyle w:val="TextoNormalCaracter"/>
        </w:rPr>
        <w:instrText xml:space="preserve">HYPERLINK  \l "SENTENCIA_2013_96" </w:instrText>
      </w:r>
      <w:r w:rsidRPr="00E27756">
        <w:rPr>
          <w:rStyle w:val="TextoNormalCaracter"/>
        </w:rPr>
        <w:fldChar w:fldCharType="separate"/>
      </w:r>
      <w:r w:rsidRPr="00E27756">
        <w:rPr>
          <w:rStyle w:val="TextoNormalCaracter"/>
        </w:rPr>
        <w:t>96/2013</w:t>
      </w:r>
      <w:r w:rsidRPr="00E27756">
        <w:rPr>
          <w:rStyle w:val="TextoNormalCaracter"/>
        </w:rPr>
        <w:fldChar w:fldCharType="end"/>
      </w:r>
      <w:r>
        <w:t>, f. 2.</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35.</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Artículo 40.</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J.3) Asturias</w:t>
      </w:r>
    </w:p>
    <w:p w:rsidR="00E27756" w:rsidRDefault="00E27756" w:rsidP="00E27756">
      <w:pPr>
        <w:pStyle w:val="TextoNormal"/>
      </w:pPr>
    </w:p>
    <w:p w:rsidR="00E27756" w:rsidRDefault="00E27756" w:rsidP="00E27756">
      <w:pPr>
        <w:pStyle w:val="TextoNormalNegritaCentradoSubrayado"/>
        <w:suppressAutoHyphens/>
      </w:pPr>
      <w:r>
        <w:t>J.3.a) Estatuto de Autonomía</w:t>
      </w:r>
    </w:p>
    <w:p w:rsidR="00E27756" w:rsidRDefault="00E27756" w:rsidP="00E27756">
      <w:pPr>
        <w:pStyle w:val="TextoNormalNegritaCentradoSubrayado"/>
      </w:pPr>
    </w:p>
    <w:p w:rsidR="00E27756" w:rsidRDefault="00E27756" w:rsidP="00E27756">
      <w:pPr>
        <w:pStyle w:val="TextoNormalNegritaCursivandice"/>
      </w:pPr>
      <w:r>
        <w:t>Ley Orgánica 7/1981, de 30 de diciembre. Estatuto de Autonomía de Asturias</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8" w:history="1">
        <w:r w:rsidRPr="00E27756">
          <w:rPr>
            <w:rStyle w:val="TextoNormalCaracter"/>
          </w:rPr>
          <w:t>8/2013</w:t>
        </w:r>
      </w:hyperlink>
      <w:r>
        <w:t>, f. 5.</w:t>
      </w:r>
    </w:p>
    <w:p w:rsidR="00E27756" w:rsidRDefault="00E27756" w:rsidP="00E27756">
      <w:pPr>
        <w:pStyle w:val="SangriaFrancesaArticulo"/>
      </w:pPr>
      <w:r w:rsidRPr="00E27756">
        <w:rPr>
          <w:rStyle w:val="TextoNormalNegritaCaracter"/>
        </w:rPr>
        <w:t>Artículo 11.9.</w:t>
      </w:r>
      <w:r w:rsidRPr="00E27756">
        <w:rPr>
          <w:rStyle w:val="TextoNormalCaracter"/>
        </w:rPr>
        <w:t>-</w:t>
      </w:r>
      <w:r>
        <w:t xml:space="preserve"> Sentencia </w:t>
      </w:r>
      <w:hyperlink w:anchor="SENTENCIA_2013_50" w:history="1">
        <w:r w:rsidRPr="00E27756">
          <w:rPr>
            <w:rStyle w:val="TextoNormalCaracter"/>
          </w:rPr>
          <w:t>50/2013</w:t>
        </w:r>
      </w:hyperlink>
      <w:r>
        <w:t>, f. 4.</w:t>
      </w:r>
    </w:p>
    <w:p w:rsidR="00E27756" w:rsidRDefault="00E27756" w:rsidP="00E27756">
      <w:pPr>
        <w:pStyle w:val="TextoNormal"/>
      </w:pPr>
    </w:p>
    <w:p w:rsidR="00E27756" w:rsidRDefault="00E27756" w:rsidP="00E27756">
      <w:pPr>
        <w:pStyle w:val="TextoNormalNegritaCentradoSubrayado"/>
        <w:suppressAutoHyphens/>
      </w:pPr>
      <w:r>
        <w:t>J.3.b) Leyes y disposiciones con fuerza de Ley</w:t>
      </w:r>
    </w:p>
    <w:p w:rsidR="00E27756" w:rsidRDefault="00E27756" w:rsidP="00E27756">
      <w:pPr>
        <w:pStyle w:val="TextoNormalNegritaCentradoSubrayado"/>
      </w:pPr>
    </w:p>
    <w:p w:rsidR="00E27756" w:rsidRDefault="00E27756" w:rsidP="00E27756">
      <w:pPr>
        <w:pStyle w:val="TextoNormalNegritaCursivandice"/>
      </w:pPr>
      <w:r>
        <w:t>Ley de la Junta General del Principado de Asturias 1/1992, de 2 de julio. Servicio de salud del Principado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8" w:history="1">
        <w:r w:rsidRPr="00E27756">
          <w:rPr>
            <w:rStyle w:val="TextoNormalCaracter"/>
          </w:rPr>
          <w:t>58/2013</w:t>
        </w:r>
      </w:hyperlink>
      <w:r>
        <w:t>, f. 3.</w:t>
      </w:r>
    </w:p>
    <w:p w:rsidR="00E27756" w:rsidRDefault="00E27756" w:rsidP="00E27756">
      <w:pPr>
        <w:pStyle w:val="SangriaFrancesaArticulo"/>
      </w:pPr>
      <w:r w:rsidRPr="00E27756">
        <w:rPr>
          <w:rStyle w:val="TextoNormalNegritaCaracter"/>
        </w:rPr>
        <w:t>Artículo 15.2 l)</w:t>
      </w:r>
      <w:r>
        <w:t xml:space="preserve"> </w:t>
      </w:r>
      <w:r w:rsidRPr="00E27756">
        <w:rPr>
          <w:rStyle w:val="TextoNormalCaracter"/>
        </w:rPr>
        <w:t>(redactado por la Ley de la Junta General del Principado de Asturias 14/2001, de 28 de diciembre)</w:t>
      </w:r>
      <w:r w:rsidRPr="00E27756">
        <w:rPr>
          <w:rStyle w:val="TextoNormalNegritaCaracter"/>
        </w:rPr>
        <w:t>.</w:t>
      </w:r>
      <w:r w:rsidRPr="00E27756">
        <w:rPr>
          <w:rStyle w:val="TextoNormalCaracter"/>
        </w:rPr>
        <w:t>-</w:t>
      </w:r>
      <w:r>
        <w:t xml:space="preserve"> Sentencia </w:t>
      </w:r>
      <w:hyperlink w:anchor="SENTENCIA_2013_58" w:history="1">
        <w:r w:rsidRPr="00E27756">
          <w:rPr>
            <w:rStyle w:val="TextoNormalCaracter"/>
          </w:rPr>
          <w:t>58/2013</w:t>
        </w:r>
      </w:hyperlink>
      <w:r>
        <w:t>, f. 3.</w:t>
      </w:r>
    </w:p>
    <w:p w:rsidR="00E27756" w:rsidRDefault="00E27756" w:rsidP="00E27756">
      <w:pPr>
        <w:pStyle w:val="SangriaFrancesaArticulo"/>
      </w:pPr>
    </w:p>
    <w:p w:rsidR="00E27756" w:rsidRDefault="00E27756" w:rsidP="00E27756">
      <w:pPr>
        <w:pStyle w:val="TextoNormalNegritaCursivandice"/>
      </w:pPr>
      <w:r>
        <w:t>Ley de la Junta General del Principado de Asturias 14/2001, de 28 de diciembre. Medidas presupuestarias, administrativas y fiscales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8" w:history="1">
        <w:r w:rsidRPr="00E27756">
          <w:rPr>
            <w:rStyle w:val="TextoNormalCaracter"/>
          </w:rPr>
          <w:t>58/2013</w:t>
        </w:r>
      </w:hyperlink>
      <w:r>
        <w:t>, f. 3.</w:t>
      </w:r>
    </w:p>
    <w:p w:rsidR="00E27756" w:rsidRDefault="00E27756" w:rsidP="00E27756">
      <w:pPr>
        <w:pStyle w:val="SangriaFrancesaArticulo"/>
      </w:pPr>
    </w:p>
    <w:p w:rsidR="00E27756" w:rsidRDefault="00E27756" w:rsidP="00E27756">
      <w:pPr>
        <w:pStyle w:val="TextoNormalNegritaCursivandice"/>
      </w:pPr>
      <w:r>
        <w:lastRenderedPageBreak/>
        <w:t>Ley de la Junta General del Principado de Asturias 15/2002, de 27 de diciembre. Medidas presupuestarias, administrativas y fiscales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6" w:history="1">
        <w:r w:rsidRPr="00E27756">
          <w:rPr>
            <w:rStyle w:val="TextoNormalCaracter"/>
          </w:rPr>
          <w:t>96/2013</w:t>
        </w:r>
      </w:hyperlink>
      <w:r>
        <w:t>, f. 10.</w:t>
      </w:r>
    </w:p>
    <w:p w:rsidR="00E27756" w:rsidRDefault="00E27756" w:rsidP="00E27756">
      <w:pPr>
        <w:pStyle w:val="SangriaFrancesaArticulo"/>
      </w:pPr>
      <w:r w:rsidRPr="00E27756">
        <w:rPr>
          <w:rStyle w:val="TextoNormalNegritaCaracter"/>
        </w:rPr>
        <w:t>Artículo 21.3.1.</w:t>
      </w:r>
      <w:r w:rsidRPr="00E27756">
        <w:rPr>
          <w:rStyle w:val="TextoNormalCaracter"/>
        </w:rPr>
        <w:t>-</w:t>
      </w:r>
      <w:r>
        <w:t xml:space="preserve"> Sentencia </w:t>
      </w:r>
      <w:hyperlink w:anchor="SENTENCIA_2013_96" w:history="1">
        <w:r w:rsidRPr="00E27756">
          <w:rPr>
            <w:rStyle w:val="TextoNormalCaracter"/>
          </w:rPr>
          <w:t>96/2013</w:t>
        </w:r>
      </w:hyperlink>
      <w:r>
        <w:t>, f. 12.</w:t>
      </w:r>
    </w:p>
    <w:p w:rsidR="00E27756" w:rsidRDefault="00E27756" w:rsidP="00E27756">
      <w:pPr>
        <w:pStyle w:val="SangriaFrancesaArticulo"/>
      </w:pPr>
    </w:p>
    <w:p w:rsidR="00E27756" w:rsidRDefault="00E27756" w:rsidP="00E27756">
      <w:pPr>
        <w:pStyle w:val="TextoNormalNegritaCursivandice"/>
      </w:pPr>
      <w:r>
        <w:t>Ley de la Junta General del Principado de Asturias 6/2003, de 30 de diciembre. Medidas presupuestarias, administrativas y fiscales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0" w:history="1">
        <w:r w:rsidRPr="00E27756">
          <w:rPr>
            <w:rStyle w:val="TextoNormalCaracter"/>
          </w:rPr>
          <w:t>50/2013</w:t>
        </w:r>
      </w:hyperlink>
      <w:r>
        <w:t>, f. 2.</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Sentencias </w:t>
      </w:r>
      <w:hyperlink w:anchor="SENTENCIA_2013_50" w:history="1">
        <w:r w:rsidRPr="00E27756">
          <w:rPr>
            <w:rStyle w:val="TextoNormalCaracter"/>
          </w:rPr>
          <w:t>50/2013</w:t>
        </w:r>
      </w:hyperlink>
      <w:r>
        <w:t xml:space="preserve">, f. 2; </w:t>
      </w:r>
      <w:hyperlink w:anchor="SENTENCIA_2013_123" w:history="1">
        <w:r w:rsidRPr="00E27756">
          <w:rPr>
            <w:rStyle w:val="TextoNormalCaracter"/>
          </w:rPr>
          <w:t>123/2013</w:t>
        </w:r>
      </w:hyperlink>
      <w:r>
        <w:t>, f. 9.</w:t>
      </w:r>
    </w:p>
    <w:p w:rsidR="00E27756" w:rsidRDefault="00E27756" w:rsidP="00E27756">
      <w:pPr>
        <w:pStyle w:val="SangriaFrancesaArticulo"/>
      </w:pPr>
      <w:r w:rsidRPr="00E27756">
        <w:rPr>
          <w:rStyle w:val="TextoNormalNegritaCaracter"/>
        </w:rPr>
        <w:t>Artículo 11 inciso in fine.</w:t>
      </w:r>
      <w:r w:rsidRPr="00E27756">
        <w:rPr>
          <w:rStyle w:val="TextoNormalCaracter"/>
        </w:rPr>
        <w:t>-</w:t>
      </w:r>
      <w:r>
        <w:t xml:space="preserve"> Sentencia </w:t>
      </w:r>
      <w:hyperlink w:anchor="SENTENCIA_2013_50" w:history="1">
        <w:r w:rsidRPr="00E27756">
          <w:rPr>
            <w:rStyle w:val="TextoNormalCaracter"/>
          </w:rPr>
          <w:t>50/2013</w:t>
        </w:r>
      </w:hyperlink>
      <w:r>
        <w:t>, f. 1.</w:t>
      </w:r>
    </w:p>
    <w:p w:rsidR="00E27756" w:rsidRDefault="00E27756" w:rsidP="00E27756">
      <w:pPr>
        <w:pStyle w:val="SangriaFrancesaArticulo"/>
      </w:pPr>
    </w:p>
    <w:p w:rsidR="00E27756" w:rsidRDefault="00E27756" w:rsidP="00E27756">
      <w:pPr>
        <w:pStyle w:val="TextoNormalNegritaCursivandice"/>
      </w:pPr>
      <w:r>
        <w:t>Ley de la Junta General del Principado de Asturias 6/2004, de 28 de diciembre. Acompañamiento a los Presupuestos Generales para 2005</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50" w:history="1">
        <w:r w:rsidRPr="00E27756">
          <w:rPr>
            <w:rStyle w:val="TextoNormalCaracter"/>
          </w:rPr>
          <w:t>50/2013</w:t>
        </w:r>
      </w:hyperlink>
      <w:r>
        <w:t>, f. 2.</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J.4) Baleares</w:t>
      </w:r>
    </w:p>
    <w:p w:rsidR="00E27756" w:rsidRDefault="00E27756" w:rsidP="00E27756">
      <w:pPr>
        <w:pStyle w:val="TextoNormal"/>
      </w:pPr>
    </w:p>
    <w:p w:rsidR="00E27756" w:rsidRDefault="00E27756" w:rsidP="00E27756">
      <w:pPr>
        <w:pStyle w:val="TextoNormalNegritaCentradoSubrayado"/>
        <w:suppressAutoHyphens/>
      </w:pPr>
      <w:r>
        <w:t>J.4.a) Estatuto de Autonomía</w:t>
      </w:r>
    </w:p>
    <w:p w:rsidR="00E27756" w:rsidRDefault="00E27756" w:rsidP="00E27756">
      <w:pPr>
        <w:pStyle w:val="TextoNormalNegritaCentradoSubrayado"/>
      </w:pPr>
    </w:p>
    <w:p w:rsidR="00E27756" w:rsidRDefault="00E27756" w:rsidP="00E27756">
      <w:pPr>
        <w:pStyle w:val="TextoNormalNegritaCursivandice"/>
      </w:pPr>
      <w:r>
        <w:t>Ley Orgánica 1/2007, de 28 de febrero. Reforma del Estatuto de Autonomía de las Illes Balears</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Sentencias </w:t>
      </w:r>
      <w:hyperlink w:anchor="SENTENCIA_2013_14" w:history="1">
        <w:r w:rsidRPr="00E27756">
          <w:rPr>
            <w:rStyle w:val="TextoNormalCaracter"/>
          </w:rPr>
          <w:t>14/2013</w:t>
        </w:r>
      </w:hyperlink>
      <w:r>
        <w:t xml:space="preserve">, ff. 2, 5; </w:t>
      </w:r>
      <w:hyperlink w:anchor="SENTENCIA_2013_66" w:history="1">
        <w:r w:rsidRPr="00E27756">
          <w:rPr>
            <w:rStyle w:val="TextoNormalCaracter"/>
          </w:rPr>
          <w:t>66/2013</w:t>
        </w:r>
      </w:hyperlink>
      <w:r>
        <w:t>, f. 2.</w:t>
      </w:r>
    </w:p>
    <w:p w:rsidR="00E27756" w:rsidRDefault="00E27756" w:rsidP="00E27756">
      <w:pPr>
        <w:pStyle w:val="TextoNormal"/>
      </w:pPr>
    </w:p>
    <w:p w:rsidR="00E27756" w:rsidRDefault="00E27756" w:rsidP="00E27756">
      <w:pPr>
        <w:pStyle w:val="TextoNormalNegritaCentradoSubrayado"/>
        <w:suppressAutoHyphens/>
      </w:pPr>
      <w:r>
        <w:t>J.4.b) Leyes y disposiciones con fuerza de Ley</w:t>
      </w:r>
    </w:p>
    <w:p w:rsidR="00E27756" w:rsidRDefault="00E27756" w:rsidP="00E27756">
      <w:pPr>
        <w:pStyle w:val="TextoNormalNegritaCentradoSubrayado"/>
      </w:pPr>
    </w:p>
    <w:p w:rsidR="00E27756" w:rsidRDefault="00E27756" w:rsidP="00E27756">
      <w:pPr>
        <w:pStyle w:val="TextoNormalNegritaCursivandice"/>
      </w:pPr>
      <w:r>
        <w:t>Ley del Parlamento de las Illes Balears 8/2000, de 27 de octubre. Consejos insulares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3" w:history="1">
        <w:r w:rsidRPr="00E27756">
          <w:rPr>
            <w:rStyle w:val="TextoNormalCaracter"/>
          </w:rPr>
          <w:t>103/2013</w:t>
        </w:r>
      </w:hyperlink>
      <w:r>
        <w:t>, f. 6.</w:t>
      </w:r>
    </w:p>
    <w:p w:rsidR="00E27756" w:rsidRDefault="00E27756" w:rsidP="00E27756">
      <w:pPr>
        <w:pStyle w:val="SangriaFrancesaArticulo"/>
      </w:pPr>
    </w:p>
    <w:p w:rsidR="00E27756" w:rsidRDefault="00E27756" w:rsidP="00E27756">
      <w:pPr>
        <w:pStyle w:val="TextoNormalNegritaCursivandice"/>
      </w:pPr>
      <w:r>
        <w:t>Ley del Parlamento de las Illes Balears 11/2001, de 15 de junio. Ordenación de la actividad comercial</w:t>
      </w:r>
    </w:p>
    <w:p w:rsidR="00E27756" w:rsidRDefault="00E27756" w:rsidP="00E27756">
      <w:pPr>
        <w:pStyle w:val="SangriaFrancesaArticulo"/>
      </w:pPr>
      <w:r w:rsidRPr="00E27756">
        <w:rPr>
          <w:rStyle w:val="TextoNormalNegritaCaracter"/>
        </w:rPr>
        <w:t>Artículo 14.1.</w:t>
      </w:r>
      <w:r w:rsidRPr="00E27756">
        <w:rPr>
          <w:rStyle w:val="TextoNormalCaracter"/>
        </w:rPr>
        <w:t>-</w:t>
      </w:r>
      <w:r>
        <w:t xml:space="preserve"> Auto </w:t>
      </w:r>
      <w:hyperlink w:anchor="AUTO_2013_10" w:history="1">
        <w:r w:rsidRPr="00E27756">
          <w:rPr>
            <w:rStyle w:val="TextoNormalCaracter"/>
          </w:rPr>
          <w:t>10/2013</w:t>
        </w:r>
      </w:hyperlink>
      <w:r>
        <w:t>, f. 2.</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J.5) Canarias</w:t>
      </w:r>
    </w:p>
    <w:p w:rsidR="00E27756" w:rsidRDefault="00E27756" w:rsidP="00E27756">
      <w:pPr>
        <w:pStyle w:val="TextoNormal"/>
      </w:pPr>
    </w:p>
    <w:p w:rsidR="00E27756" w:rsidRDefault="00E27756" w:rsidP="00E27756">
      <w:pPr>
        <w:pStyle w:val="TextoNormalNegritaCentradoSubrayado"/>
        <w:suppressAutoHyphens/>
      </w:pPr>
      <w:r>
        <w:t>J.5.a) Estatuto de Autonomía</w:t>
      </w:r>
    </w:p>
    <w:p w:rsidR="00E27756" w:rsidRDefault="00E27756" w:rsidP="00E27756">
      <w:pPr>
        <w:pStyle w:val="TextoNormalNegritaCentradoSubrayado"/>
      </w:pPr>
    </w:p>
    <w:p w:rsidR="00E27756" w:rsidRDefault="00E27756" w:rsidP="00E27756">
      <w:pPr>
        <w:pStyle w:val="TextoNormalNegritaCursivandice"/>
      </w:pPr>
      <w:r>
        <w:t>Ley Orgánica 10/1982, de 10 de agosto. Estatuto de Autonomía de Canarias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8" w:history="1">
        <w:r w:rsidRPr="00E27756">
          <w:rPr>
            <w:rStyle w:val="TextoNormalCaracter"/>
          </w:rPr>
          <w:t>8/2013</w:t>
        </w:r>
      </w:hyperlink>
      <w:r>
        <w:t xml:space="preserve">, f. 6; </w:t>
      </w:r>
      <w:hyperlink w:anchor="SENTENCIA_2013_87" w:history="1">
        <w:r w:rsidRPr="00E27756">
          <w:rPr>
            <w:rStyle w:val="TextoNormalCaracter"/>
          </w:rPr>
          <w:t>87/2013</w:t>
        </w:r>
      </w:hyperlink>
      <w:r>
        <w:t xml:space="preserve">, f. 2; </w:t>
      </w:r>
      <w:hyperlink w:anchor="SENTENCIA_2013_99" w:history="1">
        <w:r w:rsidRPr="00E27756">
          <w:rPr>
            <w:rStyle w:val="TextoNormalCaracter"/>
          </w:rPr>
          <w:t>99/2013</w:t>
        </w:r>
      </w:hyperlink>
      <w:r>
        <w:t xml:space="preserve">, f. 2; </w:t>
      </w:r>
      <w:hyperlink w:anchor="SENTENCIA_2013_132" w:history="1">
        <w:r w:rsidRPr="00E27756">
          <w:rPr>
            <w:rStyle w:val="TextoNormalCaracter"/>
          </w:rPr>
          <w:t>132/2013</w:t>
        </w:r>
      </w:hyperlink>
      <w:r>
        <w:t>, ff. 2, 3, 8.</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Sentencias </w:t>
      </w:r>
      <w:hyperlink w:anchor="SENTENCIA_2013_8" w:history="1">
        <w:r w:rsidRPr="00E27756">
          <w:rPr>
            <w:rStyle w:val="TextoNormalCaracter"/>
          </w:rPr>
          <w:t>8/2013</w:t>
        </w:r>
      </w:hyperlink>
      <w:r>
        <w:t xml:space="preserve">, ff. 6 a 9; </w:t>
      </w:r>
      <w:hyperlink w:anchor="SENTENCIA_2013_87" w:history="1">
        <w:r w:rsidRPr="00E27756">
          <w:rPr>
            <w:rStyle w:val="TextoNormalCaracter"/>
          </w:rPr>
          <w:t>87/2013</w:t>
        </w:r>
      </w:hyperlink>
      <w:r>
        <w:t>, ff. 1, 2, 4, 5.</w:t>
      </w:r>
    </w:p>
    <w:p w:rsidR="00E27756" w:rsidRDefault="00E27756" w:rsidP="00E27756">
      <w:pPr>
        <w:pStyle w:val="SangriaFrancesaArticulo"/>
      </w:pPr>
      <w:r w:rsidRPr="00E27756">
        <w:rPr>
          <w:rStyle w:val="TextoNormalNegritaCaracter"/>
        </w:rPr>
        <w:t>Artículo 2</w:t>
      </w:r>
      <w:r>
        <w:t xml:space="preserve"> </w:t>
      </w:r>
      <w:r w:rsidRPr="00E27756">
        <w:rPr>
          <w:rStyle w:val="TextoNormalCaracter"/>
        </w:rPr>
        <w:t>(redactado por la Ley Orgánica 4/1996, de 30 de diciembre)</w:t>
      </w:r>
      <w:r w:rsidRPr="00E27756">
        <w:rPr>
          <w:rStyle w:val="TextoNormalNegritaCaracter"/>
        </w:rPr>
        <w:t>.</w:t>
      </w:r>
      <w:r w:rsidRPr="00E27756">
        <w:rPr>
          <w:rStyle w:val="TextoNormalCaracter"/>
        </w:rPr>
        <w:t>-</w:t>
      </w:r>
      <w:r>
        <w:t xml:space="preserve"> Sentencia </w:t>
      </w:r>
      <w:hyperlink w:anchor="SENTENCIA_2013_99" w:history="1">
        <w:r w:rsidRPr="00E27756">
          <w:rPr>
            <w:rStyle w:val="TextoNormalCaracter"/>
          </w:rPr>
          <w:t>99/2013</w:t>
        </w:r>
      </w:hyperlink>
      <w:r>
        <w:t>, ff. 2, 6, 7, 9.</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8" w:history="1">
        <w:r w:rsidRPr="00E27756">
          <w:rPr>
            <w:rStyle w:val="TextoNormalCaracter"/>
          </w:rPr>
          <w:t>8/2013</w:t>
        </w:r>
      </w:hyperlink>
      <w:r>
        <w:t>, f. 5.</w:t>
      </w:r>
    </w:p>
    <w:p w:rsidR="00E27756" w:rsidRDefault="00E27756" w:rsidP="00E27756">
      <w:pPr>
        <w:pStyle w:val="SangriaFrancesaArticulo"/>
      </w:pPr>
      <w:r w:rsidRPr="00E27756">
        <w:rPr>
          <w:rStyle w:val="TextoNormalNegritaCaracter"/>
        </w:rPr>
        <w:lastRenderedPageBreak/>
        <w:t>Artículo 13.</w:t>
      </w:r>
      <w:r w:rsidRPr="00E27756">
        <w:rPr>
          <w:rStyle w:val="TextoNormalCaracter"/>
        </w:rPr>
        <w:t>-</w:t>
      </w:r>
      <w:r>
        <w:t xml:space="preserve"> Sentencia </w:t>
      </w:r>
      <w:hyperlink w:anchor="SENTENCIA_2013_132" w:history="1">
        <w:r w:rsidRPr="00E27756">
          <w:rPr>
            <w:rStyle w:val="TextoNormalCaracter"/>
          </w:rPr>
          <w:t>132/2013</w:t>
        </w:r>
      </w:hyperlink>
      <w:r>
        <w:t>, f. 3.</w:t>
      </w:r>
    </w:p>
    <w:p w:rsidR="00E27756" w:rsidRDefault="00E27756" w:rsidP="00E27756">
      <w:pPr>
        <w:pStyle w:val="SangriaFrancesaArticulo"/>
      </w:pPr>
      <w:r w:rsidRPr="00E27756">
        <w:rPr>
          <w:rStyle w:val="TextoNormalNegritaCaracter"/>
        </w:rPr>
        <w:t>Artículo 30.16.</w:t>
      </w:r>
      <w:r w:rsidRPr="00E27756">
        <w:rPr>
          <w:rStyle w:val="TextoNormalCaracter"/>
        </w:rPr>
        <w:t>-</w:t>
      </w:r>
      <w:r>
        <w:t xml:space="preserve"> Sentencias </w:t>
      </w:r>
      <w:hyperlink w:anchor="SENTENCIA_2013_87" w:history="1">
        <w:r w:rsidRPr="00E27756">
          <w:rPr>
            <w:rStyle w:val="TextoNormalCaracter"/>
          </w:rPr>
          <w:t>87/2013</w:t>
        </w:r>
      </w:hyperlink>
      <w:r>
        <w:t xml:space="preserve">, f. 3; </w:t>
      </w:r>
      <w:hyperlink w:anchor="SENTENCIA_2013_99" w:history="1">
        <w:r w:rsidRPr="00E27756">
          <w:rPr>
            <w:rStyle w:val="TextoNormalCaracter"/>
          </w:rPr>
          <w:t>99/2013</w:t>
        </w:r>
      </w:hyperlink>
      <w:r>
        <w:t xml:space="preserve">, ff. 1, 4; </w:t>
      </w:r>
      <w:hyperlink w:anchor="SENTENCIA_2013_102" w:history="1">
        <w:r w:rsidRPr="00E27756">
          <w:rPr>
            <w:rStyle w:val="TextoNormalCaracter"/>
          </w:rPr>
          <w:t>102/2013</w:t>
        </w:r>
      </w:hyperlink>
      <w:r>
        <w:t>, ff. 9, 12.</w:t>
      </w:r>
    </w:p>
    <w:p w:rsidR="00E27756" w:rsidRDefault="00E27756" w:rsidP="00E27756">
      <w:pPr>
        <w:pStyle w:val="SangriaFrancesaArticulo"/>
      </w:pPr>
      <w:r w:rsidRPr="00E27756">
        <w:rPr>
          <w:rStyle w:val="TextoNormalNegritaCaracter"/>
        </w:rPr>
        <w:t>Artículo 30.20.</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30.26</w:t>
      </w:r>
      <w:r>
        <w:t xml:space="preserve"> </w:t>
      </w:r>
      <w:r w:rsidRPr="00E27756">
        <w:rPr>
          <w:rStyle w:val="TextoNormalCaracter"/>
        </w:rPr>
        <w:t>(redactado por la Ley Orgánica 4/1996, de 30 de diciembre)</w:t>
      </w:r>
      <w:r w:rsidRPr="00E27756">
        <w:rPr>
          <w:rStyle w:val="TextoNormalNegritaCaracter"/>
        </w:rPr>
        <w:t>.</w:t>
      </w:r>
      <w:r w:rsidRPr="00E27756">
        <w:rPr>
          <w:rStyle w:val="TextoNormalCaracter"/>
        </w:rPr>
        <w:t>-</w:t>
      </w:r>
      <w:r>
        <w:t xml:space="preserve"> Sentencia </w:t>
      </w:r>
      <w:hyperlink w:anchor="SENTENCIA_2013_8" w:history="1">
        <w:r w:rsidRPr="00E27756">
          <w:rPr>
            <w:rStyle w:val="TextoNormalCaracter"/>
          </w:rPr>
          <w:t>8/2013</w:t>
        </w:r>
      </w:hyperlink>
      <w:r>
        <w:t>, ff. 1, 3.</w:t>
      </w:r>
    </w:p>
    <w:p w:rsidR="00E27756" w:rsidRDefault="00E27756" w:rsidP="00E27756">
      <w:pPr>
        <w:pStyle w:val="SangriaFrancesaArticulo"/>
      </w:pPr>
      <w:r w:rsidRPr="00E27756">
        <w:rPr>
          <w:rStyle w:val="TextoNormalNegritaCaracter"/>
        </w:rPr>
        <w:t>Artículo 31.4</w:t>
      </w:r>
      <w:r>
        <w:t xml:space="preserve"> </w:t>
      </w:r>
      <w:r w:rsidRPr="00E27756">
        <w:rPr>
          <w:rStyle w:val="TextoNormalCaracter"/>
        </w:rPr>
        <w:t>(redactado por la Ley Orgánica 4/1996, de 30 de diciembre)</w:t>
      </w:r>
      <w:r w:rsidRPr="00E27756">
        <w:rPr>
          <w:rStyle w:val="TextoNormalNegritaCaracter"/>
        </w:rPr>
        <w:t>.</w:t>
      </w:r>
      <w:r w:rsidRPr="00E27756">
        <w:rPr>
          <w:rStyle w:val="TextoNormalCaracter"/>
        </w:rPr>
        <w:t>-</w:t>
      </w:r>
      <w:r>
        <w:t xml:space="preserve"> Sentencia </w:t>
      </w:r>
      <w:hyperlink w:anchor="SENTENCIA_2013_8" w:history="1">
        <w:r w:rsidRPr="00E27756">
          <w:rPr>
            <w:rStyle w:val="TextoNormalCaracter"/>
          </w:rPr>
          <w:t>8/2013</w:t>
        </w:r>
      </w:hyperlink>
      <w:r>
        <w:t>, ff. 1, 3.</w:t>
      </w:r>
    </w:p>
    <w:p w:rsidR="00E27756" w:rsidRDefault="00E27756" w:rsidP="00E27756">
      <w:pPr>
        <w:pStyle w:val="SangriaFrancesaArticulo"/>
      </w:pPr>
      <w:r w:rsidRPr="00E27756">
        <w:rPr>
          <w:rStyle w:val="TextoNormalNegritaCaracter"/>
        </w:rPr>
        <w:t>Artículo 32.9.</w:t>
      </w:r>
      <w:r w:rsidRPr="00E27756">
        <w:rPr>
          <w:rStyle w:val="TextoNormalCaracter"/>
        </w:rPr>
        <w:t>-</w:t>
      </w:r>
      <w:r>
        <w:t xml:space="preserve"> Sentencia </w:t>
      </w:r>
      <w:hyperlink w:anchor="SENTENCIA_2013_102" w:history="1">
        <w:r w:rsidRPr="00E27756">
          <w:rPr>
            <w:rStyle w:val="TextoNormalCaracter"/>
          </w:rPr>
          <w:t>102/2013</w:t>
        </w:r>
      </w:hyperlink>
      <w:r>
        <w:t>, ff. 4, 8.</w:t>
      </w:r>
    </w:p>
    <w:p w:rsidR="00E27756" w:rsidRDefault="00E27756" w:rsidP="00E27756">
      <w:pPr>
        <w:pStyle w:val="SangriaFrancesaArticulo"/>
      </w:pPr>
      <w:r w:rsidRPr="00E27756">
        <w:rPr>
          <w:rStyle w:val="TextoNormalNegritaCaracter"/>
        </w:rPr>
        <w:t>Artículo 32.9</w:t>
      </w:r>
      <w:r>
        <w:t xml:space="preserve"> </w:t>
      </w:r>
      <w:r w:rsidRPr="00E27756">
        <w:rPr>
          <w:rStyle w:val="TextoNormalCaracter"/>
        </w:rPr>
        <w:t>(redactado por la Ley Orgánica 4/1996, de 30 de diciembre)</w:t>
      </w:r>
      <w:r w:rsidRPr="00E27756">
        <w:rPr>
          <w:rStyle w:val="TextoNormalNegritaCaracter"/>
        </w:rPr>
        <w:t>.</w:t>
      </w:r>
      <w:r w:rsidRPr="00E27756">
        <w:rPr>
          <w:rStyle w:val="TextoNormalCaracter"/>
        </w:rPr>
        <w:t>-</w:t>
      </w:r>
      <w:r>
        <w:t xml:space="preserve"> Sentencia </w:t>
      </w:r>
      <w:hyperlink w:anchor="SENTENCIA_2013_8" w:history="1">
        <w:r w:rsidRPr="00E27756">
          <w:rPr>
            <w:rStyle w:val="TextoNormalCaracter"/>
          </w:rPr>
          <w:t>8/2013</w:t>
        </w:r>
      </w:hyperlink>
      <w:r>
        <w:t>, ff. 1, 3.</w:t>
      </w:r>
    </w:p>
    <w:p w:rsidR="00E27756" w:rsidRDefault="00E27756" w:rsidP="00E27756">
      <w:pPr>
        <w:pStyle w:val="SangriaFrancesaArticulo"/>
      </w:pPr>
      <w:r w:rsidRPr="00E27756">
        <w:rPr>
          <w:rStyle w:val="TextoNormalNegritaCaracter"/>
        </w:rPr>
        <w:t>Artículo 32.12.</w:t>
      </w:r>
      <w:r w:rsidRPr="00E27756">
        <w:rPr>
          <w:rStyle w:val="TextoNormalCaracter"/>
        </w:rPr>
        <w:t>-</w:t>
      </w:r>
      <w:r>
        <w:t xml:space="preserve"> Sentencias </w:t>
      </w:r>
      <w:hyperlink w:anchor="SENTENCIA_2013_102" w:history="1">
        <w:r w:rsidRPr="00E27756">
          <w:rPr>
            <w:rStyle w:val="TextoNormalCaracter"/>
          </w:rPr>
          <w:t>102/2013</w:t>
        </w:r>
      </w:hyperlink>
      <w:r>
        <w:t xml:space="preserve">, f. 9;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32.14.</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34.1.</w:t>
      </w:r>
      <w:r w:rsidRPr="00E27756">
        <w:rPr>
          <w:rStyle w:val="TextoNormalCaracter"/>
        </w:rPr>
        <w:t>-</w:t>
      </w:r>
      <w:r>
        <w:t xml:space="preserve"> Sentencia </w:t>
      </w:r>
      <w:hyperlink w:anchor="SENTENCIA_2013_33" w:history="1">
        <w:r w:rsidRPr="00E27756">
          <w:rPr>
            <w:rStyle w:val="TextoNormalCaracter"/>
          </w:rPr>
          <w:t>33/2013</w:t>
        </w:r>
      </w:hyperlink>
      <w:r>
        <w:t>, f. 5.</w:t>
      </w:r>
    </w:p>
    <w:p w:rsidR="00E27756" w:rsidRDefault="00E27756" w:rsidP="00E27756">
      <w:pPr>
        <w:pStyle w:val="SangriaFrancesaArticulo"/>
      </w:pPr>
      <w:r w:rsidRPr="00E27756">
        <w:rPr>
          <w:rStyle w:val="TextoNormalNegritaCaracter"/>
        </w:rPr>
        <w:t>Artículo 39.</w:t>
      </w:r>
      <w:r w:rsidRPr="00E27756">
        <w:rPr>
          <w:rStyle w:val="TextoNormalCaracter"/>
        </w:rPr>
        <w:t>-</w:t>
      </w:r>
      <w:r>
        <w:t xml:space="preserve"> Sentencia </w:t>
      </w:r>
      <w:hyperlink w:anchor="SENTENCIA_2013_8" w:history="1">
        <w:r w:rsidRPr="00E27756">
          <w:rPr>
            <w:rStyle w:val="TextoNormalCaracter"/>
          </w:rPr>
          <w:t>8/2013</w:t>
        </w:r>
      </w:hyperlink>
      <w:r>
        <w:t>, f. 6.</w:t>
      </w:r>
    </w:p>
    <w:p w:rsidR="00E27756" w:rsidRDefault="00E27756" w:rsidP="00E27756">
      <w:pPr>
        <w:pStyle w:val="SangriaFrancesaArticulo"/>
      </w:pPr>
      <w:r w:rsidRPr="00E27756">
        <w:rPr>
          <w:rStyle w:val="TextoNormalNegritaCaracter"/>
        </w:rPr>
        <w:t>Artículo 40.</w:t>
      </w:r>
      <w:r w:rsidRPr="00E27756">
        <w:rPr>
          <w:rStyle w:val="TextoNormalCaracter"/>
        </w:rPr>
        <w:t>-</w:t>
      </w:r>
      <w:r>
        <w:t xml:space="preserve"> Sentencia </w:t>
      </w:r>
      <w:hyperlink w:anchor="SENTENCIA_2013_87" w:history="1">
        <w:r w:rsidRPr="00E27756">
          <w:rPr>
            <w:rStyle w:val="TextoNormalCaracter"/>
          </w:rPr>
          <w:t>87/2013</w:t>
        </w:r>
      </w:hyperlink>
      <w:r>
        <w:t>, ff. 4, 5.</w:t>
      </w:r>
    </w:p>
    <w:p w:rsidR="00E27756" w:rsidRDefault="00E27756" w:rsidP="00E27756">
      <w:pPr>
        <w:pStyle w:val="SangriaFrancesaArticulo"/>
      </w:pPr>
      <w:r w:rsidRPr="00E27756">
        <w:rPr>
          <w:rStyle w:val="TextoNormalNegritaCaracter"/>
        </w:rPr>
        <w:t>Artículo 40</w:t>
      </w:r>
      <w:r>
        <w:t xml:space="preserve"> </w:t>
      </w:r>
      <w:r w:rsidRPr="00E27756">
        <w:rPr>
          <w:rStyle w:val="TextoNormalCaracter"/>
        </w:rPr>
        <w:t>(redactado por la Ley Orgánica 4/1996, de 30 de diciembre)</w:t>
      </w:r>
      <w:r w:rsidRPr="00E27756">
        <w:rPr>
          <w:rStyle w:val="TextoNormalNegritaCaracter"/>
        </w:rPr>
        <w:t>.</w:t>
      </w:r>
      <w:r w:rsidRPr="00E27756">
        <w:rPr>
          <w:rStyle w:val="TextoNormalCaracter"/>
        </w:rPr>
        <w:t>-</w:t>
      </w:r>
      <w:r>
        <w:t xml:space="preserve"> Sentencia </w:t>
      </w:r>
      <w:hyperlink w:anchor="SENTENCIA_2013_8" w:history="1">
        <w:r w:rsidRPr="00E27756">
          <w:rPr>
            <w:rStyle w:val="TextoNormalCaracter"/>
          </w:rPr>
          <w:t>8/2013</w:t>
        </w:r>
      </w:hyperlink>
      <w:r>
        <w:t>, ff. 6, 7.</w:t>
      </w:r>
    </w:p>
    <w:p w:rsidR="00E27756" w:rsidRDefault="00E27756" w:rsidP="00E27756">
      <w:pPr>
        <w:pStyle w:val="SangriaFrancesaArticulo"/>
      </w:pPr>
      <w:r w:rsidRPr="00E27756">
        <w:rPr>
          <w:rStyle w:val="TextoNormalNegritaCaracter"/>
        </w:rPr>
        <w:t>Artículo 40.1.</w:t>
      </w:r>
      <w:r w:rsidRPr="00E27756">
        <w:rPr>
          <w:rStyle w:val="TextoNormalCaracter"/>
        </w:rPr>
        <w:t>-</w:t>
      </w:r>
      <w:r>
        <w:t xml:space="preserve"> Sentencias </w:t>
      </w:r>
      <w:hyperlink w:anchor="SENTENCIA_2013_87" w:history="1">
        <w:r w:rsidRPr="00E27756">
          <w:rPr>
            <w:rStyle w:val="TextoNormalCaracter"/>
          </w:rPr>
          <w:t>87/2013</w:t>
        </w:r>
      </w:hyperlink>
      <w:r>
        <w:t xml:space="preserve">, f. 4; </w:t>
      </w:r>
      <w:hyperlink w:anchor="SENTENCIA_2013_99" w:history="1">
        <w:r w:rsidRPr="00E27756">
          <w:rPr>
            <w:rStyle w:val="TextoNormalCaracter"/>
          </w:rPr>
          <w:t>99/2013</w:t>
        </w:r>
      </w:hyperlink>
      <w:r>
        <w:t>, f. 6.</w:t>
      </w:r>
    </w:p>
    <w:p w:rsidR="00E27756" w:rsidRDefault="00E27756" w:rsidP="00E27756">
      <w:pPr>
        <w:pStyle w:val="SangriaFrancesaArticulo"/>
      </w:pPr>
      <w:r w:rsidRPr="00E27756">
        <w:rPr>
          <w:rStyle w:val="TextoNormalNegritaCaracter"/>
        </w:rPr>
        <w:t>Artículo 46.</w:t>
      </w:r>
      <w:r w:rsidRPr="00E27756">
        <w:rPr>
          <w:rStyle w:val="TextoNormalCaracter"/>
        </w:rPr>
        <w:t>-</w:t>
      </w:r>
      <w:r>
        <w:t xml:space="preserve"> Sentencia </w:t>
      </w:r>
      <w:hyperlink w:anchor="SENTENCIA_2013_101" w:history="1">
        <w:r w:rsidRPr="00E27756">
          <w:rPr>
            <w:rStyle w:val="TextoNormalCaracter"/>
          </w:rPr>
          <w:t>101/2013</w:t>
        </w:r>
      </w:hyperlink>
      <w:r>
        <w:t>, ff. 1, 11.</w:t>
      </w:r>
    </w:p>
    <w:p w:rsidR="00E27756" w:rsidRDefault="00E27756" w:rsidP="00E27756">
      <w:pPr>
        <w:pStyle w:val="SangriaFrancesaArticulo"/>
      </w:pPr>
      <w:r w:rsidRPr="00E27756">
        <w:rPr>
          <w:rStyle w:val="TextoNormalNegritaCaracter"/>
        </w:rPr>
        <w:t>Artículo 46.3.</w:t>
      </w:r>
      <w:r w:rsidRPr="00E27756">
        <w:rPr>
          <w:rStyle w:val="TextoNormalCaracter"/>
        </w:rPr>
        <w:t>-</w:t>
      </w:r>
      <w:r>
        <w:t xml:space="preserve"> Sentencia </w:t>
      </w:r>
      <w:hyperlink w:anchor="SENTENCIA_2013_101" w:history="1">
        <w:r w:rsidRPr="00E27756">
          <w:rPr>
            <w:rStyle w:val="TextoNormalCaracter"/>
          </w:rPr>
          <w:t>101/2013</w:t>
        </w:r>
      </w:hyperlink>
      <w:r>
        <w:t>, f. 11.</w:t>
      </w:r>
    </w:p>
    <w:p w:rsidR="00E27756" w:rsidRDefault="00E27756" w:rsidP="00E27756">
      <w:pPr>
        <w:pStyle w:val="SangriaFrancesaArticulo"/>
      </w:pPr>
      <w:r w:rsidRPr="00E27756">
        <w:rPr>
          <w:rStyle w:val="TextoNormalNegritaCaracter"/>
        </w:rPr>
        <w:t>Artículo 47.2.</w:t>
      </w:r>
      <w:r w:rsidRPr="00E27756">
        <w:rPr>
          <w:rStyle w:val="TextoNormalCaracter"/>
        </w:rPr>
        <w:t>-</w:t>
      </w:r>
      <w:r>
        <w:t xml:space="preserve"> Sentencia </w:t>
      </w:r>
      <w:hyperlink w:anchor="SENTENCIA_2013_132" w:history="1">
        <w:r w:rsidRPr="00E27756">
          <w:rPr>
            <w:rStyle w:val="TextoNormalCaracter"/>
          </w:rPr>
          <w:t>132/2013</w:t>
        </w:r>
      </w:hyperlink>
      <w:r>
        <w:t>, f. 4.</w:t>
      </w:r>
    </w:p>
    <w:p w:rsidR="00E27756" w:rsidRDefault="00E27756" w:rsidP="00E27756">
      <w:pPr>
        <w:pStyle w:val="SangriaFrancesaArticulo"/>
      </w:pPr>
      <w:r w:rsidRPr="00E27756">
        <w:rPr>
          <w:rStyle w:val="TextoNormalNegritaCaracter"/>
        </w:rPr>
        <w:t>Artículo 60.</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61.1 a).</w:t>
      </w:r>
      <w:r w:rsidRPr="00E27756">
        <w:rPr>
          <w:rStyle w:val="TextoNormalCaracter"/>
        </w:rPr>
        <w:t>-</w:t>
      </w:r>
      <w:r>
        <w:t xml:space="preserve"> Sentencia </w:t>
      </w:r>
      <w:hyperlink w:anchor="SENTENCIA_2013_132" w:history="1">
        <w:r w:rsidRPr="00E27756">
          <w:rPr>
            <w:rStyle w:val="TextoNormalCaracter"/>
          </w:rPr>
          <w:t>132/2013</w:t>
        </w:r>
      </w:hyperlink>
      <w:r>
        <w:t>, f. 5.</w:t>
      </w:r>
    </w:p>
    <w:p w:rsidR="00E27756" w:rsidRDefault="00E27756" w:rsidP="00E27756">
      <w:pPr>
        <w:pStyle w:val="SangriaFrancesaArticulo"/>
      </w:pPr>
      <w:r w:rsidRPr="00E27756">
        <w:rPr>
          <w:rStyle w:val="TextoNormalNegritaCaracter"/>
        </w:rPr>
        <w:t>Artículo 61.1 b).</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61.2.</w:t>
      </w:r>
      <w:r w:rsidRPr="00E27756">
        <w:rPr>
          <w:rStyle w:val="TextoNormalCaracter"/>
        </w:rPr>
        <w:t>-</w:t>
      </w:r>
      <w:r>
        <w:t xml:space="preserve"> Sentencia </w:t>
      </w:r>
      <w:hyperlink w:anchor="SENTENCIA_2013_132" w:history="1">
        <w:r w:rsidRPr="00E27756">
          <w:rPr>
            <w:rStyle w:val="TextoNormalCaracter"/>
          </w:rPr>
          <w:t>132/2013</w:t>
        </w:r>
      </w:hyperlink>
      <w:r>
        <w:t>, f. 4.</w:t>
      </w:r>
    </w:p>
    <w:p w:rsidR="00E27756" w:rsidRDefault="00E27756" w:rsidP="00E27756">
      <w:pPr>
        <w:pStyle w:val="SangriaFrancesaArticulo"/>
      </w:pPr>
      <w:r w:rsidRPr="00E27756">
        <w:rPr>
          <w:rStyle w:val="TextoNormalNegritaCaracter"/>
        </w:rPr>
        <w:t>Disposición adicional segunda.1</w:t>
      </w:r>
      <w:r>
        <w:t xml:space="preserve"> </w:t>
      </w:r>
      <w:r w:rsidRPr="00E27756">
        <w:rPr>
          <w:rStyle w:val="TextoNormalCaracter"/>
        </w:rPr>
        <w:t>(redactada por la Ley Orgánica 26/2010, de 16 de julio)</w:t>
      </w:r>
      <w:r w:rsidRPr="00E27756">
        <w:rPr>
          <w:rStyle w:val="TextoNormalNegritaCaracter"/>
        </w:rPr>
        <w:t>.</w:t>
      </w:r>
      <w:r w:rsidRPr="00E27756">
        <w:rPr>
          <w:rStyle w:val="TextoNormalCaracter"/>
        </w:rPr>
        <w:t>-</w:t>
      </w:r>
      <w:r>
        <w:t xml:space="preserve"> Sentencia </w:t>
      </w:r>
      <w:hyperlink w:anchor="SENTENCIA_2013_99" w:history="1">
        <w:r w:rsidRPr="00E27756">
          <w:rPr>
            <w:rStyle w:val="TextoNormalCaracter"/>
          </w:rPr>
          <w:t>99/2013</w:t>
        </w:r>
      </w:hyperlink>
      <w:r>
        <w:t>, f. 2.</w:t>
      </w:r>
    </w:p>
    <w:p w:rsidR="00E27756" w:rsidRDefault="00E27756" w:rsidP="00E27756">
      <w:pPr>
        <w:pStyle w:val="SangriaFrancesaArticulo"/>
      </w:pPr>
      <w:r w:rsidRPr="00E27756">
        <w:rPr>
          <w:rStyle w:val="TextoNormalNegritaCaracter"/>
        </w:rPr>
        <w:t>Disposición adicional segunda.1</w:t>
      </w:r>
      <w:r>
        <w:t xml:space="preserve"> </w:t>
      </w:r>
      <w:r w:rsidRPr="00E27756">
        <w:rPr>
          <w:rStyle w:val="TextoNormalCaracter"/>
        </w:rPr>
        <w:t>(redactado por la Ley Orgánica 26/2010, de 16 de julio)</w:t>
      </w:r>
      <w:r w:rsidRPr="00E27756">
        <w:rPr>
          <w:rStyle w:val="TextoNormalNegritaCaracter"/>
        </w:rPr>
        <w:t>.</w:t>
      </w:r>
      <w:r w:rsidRPr="00E27756">
        <w:rPr>
          <w:rStyle w:val="TextoNormalCaracter"/>
        </w:rPr>
        <w:t>-</w:t>
      </w:r>
      <w:r>
        <w:t xml:space="preserve"> Sentencia </w:t>
      </w:r>
      <w:hyperlink w:anchor="SENTENCIA_2013_99" w:history="1">
        <w:r w:rsidRPr="00E27756">
          <w:rPr>
            <w:rStyle w:val="TextoNormalCaracter"/>
          </w:rPr>
          <w:t>99/2013</w:t>
        </w:r>
      </w:hyperlink>
      <w:r>
        <w:t>, f. 2.</w:t>
      </w:r>
    </w:p>
    <w:p w:rsidR="00E27756" w:rsidRDefault="00E27756" w:rsidP="00E27756">
      <w:pPr>
        <w:pStyle w:val="SangriaFrancesaArticulo"/>
      </w:pPr>
    </w:p>
    <w:p w:rsidR="00E27756" w:rsidRDefault="00E27756" w:rsidP="00E27756">
      <w:pPr>
        <w:pStyle w:val="TextoNormalNegritaCursivandice"/>
      </w:pPr>
      <w:r>
        <w:t>Ley Orgánica 4/1996, de 30 de diciembre. Reforma de la Ley Orgánica 10/1982, de 10 de agosto, de Estatuto de Autonomía de Canarias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8" w:history="1">
        <w:r w:rsidRPr="00E27756">
          <w:rPr>
            <w:rStyle w:val="TextoNormalCaracter"/>
          </w:rPr>
          <w:t>8/2013</w:t>
        </w:r>
      </w:hyperlink>
      <w:r>
        <w:t xml:space="preserve">, ff. 1, 6, 7; </w:t>
      </w:r>
      <w:hyperlink w:anchor="SENTENCIA_2013_87" w:history="1">
        <w:r w:rsidRPr="00E27756">
          <w:rPr>
            <w:rStyle w:val="TextoNormalCaracter"/>
          </w:rPr>
          <w:t>87/2013</w:t>
        </w:r>
      </w:hyperlink>
      <w:r>
        <w:t xml:space="preserve">, f. 2; </w:t>
      </w:r>
      <w:hyperlink w:anchor="SENTENCIA_2013_99" w:history="1">
        <w:r w:rsidRPr="00E27756">
          <w:rPr>
            <w:rStyle w:val="TextoNormalCaracter"/>
          </w:rPr>
          <w:t>99/2013</w:t>
        </w:r>
      </w:hyperlink>
      <w:r>
        <w:t>, f. 7.</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99" w:history="1">
        <w:r w:rsidRPr="00E27756">
          <w:rPr>
            <w:rStyle w:val="TextoNormalCaracter"/>
          </w:rPr>
          <w:t>99/2013</w:t>
        </w:r>
      </w:hyperlink>
      <w:r>
        <w:t>, f. 2.</w:t>
      </w:r>
    </w:p>
    <w:p w:rsidR="00E27756" w:rsidRDefault="00E27756" w:rsidP="00E27756">
      <w:pPr>
        <w:pStyle w:val="SangriaFrancesaArticulo"/>
      </w:pPr>
      <w:r w:rsidRPr="00E27756">
        <w:rPr>
          <w:rStyle w:val="TextoNormalNegritaCaracter"/>
        </w:rPr>
        <w:t>Artículo único.1.</w:t>
      </w:r>
      <w:r w:rsidRPr="00E27756">
        <w:rPr>
          <w:rStyle w:val="TextoNormalCaracter"/>
        </w:rPr>
        <w:t>-</w:t>
      </w:r>
      <w:r>
        <w:t xml:space="preserve"> Sentencia </w:t>
      </w:r>
      <w:hyperlink w:anchor="SENTENCIA_2013_99" w:history="1">
        <w:r w:rsidRPr="00E27756">
          <w:rPr>
            <w:rStyle w:val="TextoNormalCaracter"/>
          </w:rPr>
          <w:t>99/2013</w:t>
        </w:r>
      </w:hyperlink>
      <w:r>
        <w:t>, f. 2.</w:t>
      </w:r>
    </w:p>
    <w:p w:rsidR="00E27756" w:rsidRDefault="00E27756" w:rsidP="00E27756">
      <w:pPr>
        <w:pStyle w:val="SangriaFrancesaArticulo"/>
      </w:pPr>
      <w:r w:rsidRPr="00E27756">
        <w:rPr>
          <w:rStyle w:val="TextoNormalNegritaCaracter"/>
        </w:rPr>
        <w:t>Artículo único.2.</w:t>
      </w:r>
      <w:r w:rsidRPr="00E27756">
        <w:rPr>
          <w:rStyle w:val="TextoNormalCaracter"/>
        </w:rPr>
        <w:t>-</w:t>
      </w:r>
      <w:r>
        <w:t xml:space="preserve"> Sentencia </w:t>
      </w:r>
      <w:hyperlink w:anchor="SENTENCIA_2013_99" w:history="1">
        <w:r w:rsidRPr="00E27756">
          <w:rPr>
            <w:rStyle w:val="TextoNormalCaracter"/>
          </w:rPr>
          <w:t>99/2013</w:t>
        </w:r>
      </w:hyperlink>
      <w:r>
        <w:t>, f. 2.</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87" w:history="1">
        <w:r w:rsidRPr="00E27756">
          <w:rPr>
            <w:rStyle w:val="TextoNormalCaracter"/>
          </w:rPr>
          <w:t>87/2013</w:t>
        </w:r>
      </w:hyperlink>
      <w:r>
        <w:t>, f. 4.</w:t>
      </w:r>
    </w:p>
    <w:p w:rsidR="00E27756" w:rsidRDefault="00E27756" w:rsidP="00E27756">
      <w:pPr>
        <w:pStyle w:val="TextoNormal"/>
      </w:pPr>
    </w:p>
    <w:p w:rsidR="00E27756" w:rsidRDefault="00E27756" w:rsidP="00E27756">
      <w:pPr>
        <w:pStyle w:val="TextoNormalNegritaCentradoSubrayado"/>
        <w:suppressAutoHyphens/>
      </w:pPr>
      <w:r>
        <w:t>J.5.b) Leyes y disposiciones con fuerza de Ley</w:t>
      </w:r>
    </w:p>
    <w:p w:rsidR="00E27756" w:rsidRDefault="00E27756" w:rsidP="00E27756">
      <w:pPr>
        <w:pStyle w:val="TextoNormalNegritaCentradoSubrayado"/>
      </w:pPr>
    </w:p>
    <w:p w:rsidR="00E27756" w:rsidRDefault="00E27756" w:rsidP="00E27756">
      <w:pPr>
        <w:pStyle w:val="TextoNormalNegritaCursivandice"/>
      </w:pPr>
      <w:r>
        <w:t>Ley del Parlamento de Canarias 7/1984, de 11 de diciembre. Hacienda pública de la Comunidad Autónoma de Canarias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 5.</w:t>
      </w:r>
    </w:p>
    <w:p w:rsidR="00E27756" w:rsidRDefault="00E27756" w:rsidP="00E27756">
      <w:pPr>
        <w:pStyle w:val="SangriaFrancesaArticulo"/>
      </w:pPr>
      <w:r w:rsidRPr="00E27756">
        <w:rPr>
          <w:rStyle w:val="TextoNormalNegritaCaracter"/>
        </w:rPr>
        <w:t>Artículo 30</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37</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lastRenderedPageBreak/>
        <w:t>Artículo 37.7</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5.</w:t>
      </w:r>
    </w:p>
    <w:p w:rsidR="00E27756" w:rsidRDefault="00E27756" w:rsidP="00E27756">
      <w:pPr>
        <w:pStyle w:val="SangriaFrancesaArticulo"/>
      </w:pPr>
      <w:r w:rsidRPr="00E27756">
        <w:rPr>
          <w:rStyle w:val="TextoNormalNegritaCaracter"/>
        </w:rPr>
        <w:t>Artículo 52.11</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r w:rsidRPr="00E27756">
        <w:rPr>
          <w:rStyle w:val="TextoNormalNegritaCaracter"/>
        </w:rPr>
        <w:t>Artículo 52.12</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r w:rsidRPr="00E27756">
        <w:rPr>
          <w:rStyle w:val="TextoNormalNegritaCaracter"/>
        </w:rPr>
        <w:t>Artículo 67 bis</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83</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104</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p>
    <w:p w:rsidR="00E27756" w:rsidRDefault="00E27756" w:rsidP="00E27756">
      <w:pPr>
        <w:pStyle w:val="TextoNormalNegritaCursivandice"/>
      </w:pPr>
      <w:r>
        <w:t>Ley del Parlamento de Canarias 8/1987, de 28 de abril. Patrimonio de la Comunidad Autónoma de Canarias</w:t>
      </w:r>
    </w:p>
    <w:p w:rsidR="00E27756" w:rsidRDefault="00E27756" w:rsidP="00E27756">
      <w:pPr>
        <w:pStyle w:val="SangriaFrancesaArticulo"/>
      </w:pPr>
      <w:r w:rsidRPr="00E27756">
        <w:rPr>
          <w:rStyle w:val="TextoNormalNegritaCaracter"/>
        </w:rPr>
        <w:t>Artículo 42</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ff. 2, 4.</w:t>
      </w:r>
    </w:p>
    <w:p w:rsidR="00E27756" w:rsidRDefault="00E27756" w:rsidP="00E27756">
      <w:pPr>
        <w:pStyle w:val="SangriaFrancesaArticulo"/>
      </w:pPr>
    </w:p>
    <w:p w:rsidR="00E27756" w:rsidRDefault="00E27756" w:rsidP="00E27756">
      <w:pPr>
        <w:pStyle w:val="TextoNormalNegritaCursivandice"/>
      </w:pPr>
      <w:r>
        <w:t>Ley del Parlamento de Canarias 4/1989, de 2 de mayo. Audiencia de Cuentas de Canarias</w:t>
      </w:r>
    </w:p>
    <w:p w:rsidR="00E27756" w:rsidRDefault="00E27756" w:rsidP="00E27756">
      <w:pPr>
        <w:pStyle w:val="SangriaFrancesaArticulo"/>
      </w:pPr>
      <w:r w:rsidRPr="00E27756">
        <w:rPr>
          <w:rStyle w:val="TextoNormalNegritaCaracter"/>
        </w:rPr>
        <w:t>Artículo 36 apartados 2, 3</w:t>
      </w:r>
      <w:r>
        <w:t xml:space="preserve"> </w:t>
      </w:r>
      <w:r w:rsidRPr="00E27756">
        <w:rPr>
          <w:rStyle w:val="TextoNormalCaracter"/>
        </w:rPr>
        <w:t>(redactados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ff. 3, 4.</w:t>
      </w:r>
    </w:p>
    <w:p w:rsidR="00E27756" w:rsidRDefault="00E27756" w:rsidP="00E27756">
      <w:pPr>
        <w:pStyle w:val="SangriaFrancesaArticulo"/>
      </w:pPr>
    </w:p>
    <w:p w:rsidR="00E27756" w:rsidRDefault="00E27756" w:rsidP="00E27756">
      <w:pPr>
        <w:pStyle w:val="TextoNormalNegritaCursivandice"/>
      </w:pPr>
      <w:r>
        <w:t>Ley del Parlamento de Canarias 8/1989, de 13 de julio. Creación del cuerpo de agentes de medio ambiente de la Comunidad Autónoma de Canarias</w:t>
      </w:r>
    </w:p>
    <w:p w:rsidR="00E27756" w:rsidRDefault="00E27756" w:rsidP="00E27756">
      <w:pPr>
        <w:pStyle w:val="SangriaFrancesaArticulo"/>
      </w:pPr>
      <w:r w:rsidRPr="00E27756">
        <w:rPr>
          <w:rStyle w:val="TextoNormalNegritaCaracter"/>
        </w:rPr>
        <w:t>Artículo 3</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3.</w:t>
      </w:r>
    </w:p>
    <w:p w:rsidR="00E27756" w:rsidRDefault="00E27756" w:rsidP="00E27756">
      <w:pPr>
        <w:pStyle w:val="SangriaFrancesaArticulo"/>
      </w:pPr>
    </w:p>
    <w:p w:rsidR="00E27756" w:rsidRDefault="00E27756" w:rsidP="00E27756">
      <w:pPr>
        <w:pStyle w:val="TextoNormalNegritaCursivandice"/>
      </w:pPr>
      <w:r>
        <w:t>Ley del Parlamento de Canarias 10/1990, de 23 de mayo. Colegios profesionales</w:t>
      </w:r>
    </w:p>
    <w:p w:rsidR="00E27756" w:rsidRDefault="00E27756" w:rsidP="00E27756">
      <w:pPr>
        <w:pStyle w:val="SangriaFrancesaArticulo"/>
      </w:pPr>
      <w:r w:rsidRPr="00E27756">
        <w:rPr>
          <w:rStyle w:val="TextoNormalNegritaCaracter"/>
        </w:rPr>
        <w:t>Artículo 9</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Sentencias </w:t>
      </w:r>
      <w:hyperlink w:anchor="SENTENCIA_2013_123" w:history="1">
        <w:r w:rsidRPr="00E27756">
          <w:rPr>
            <w:rStyle w:val="TextoNormalCaracter"/>
          </w:rPr>
          <w:t>123/2013</w:t>
        </w:r>
      </w:hyperlink>
      <w:r>
        <w:t xml:space="preserve">, f. 9; </w:t>
      </w:r>
      <w:hyperlink w:anchor="SENTENCIA_2013_132" w:history="1">
        <w:r w:rsidRPr="00E27756">
          <w:rPr>
            <w:rStyle w:val="TextoNormalCaracter"/>
          </w:rPr>
          <w:t>132/2013</w:t>
        </w:r>
      </w:hyperlink>
      <w:r>
        <w:t>, f. 3.</w:t>
      </w:r>
    </w:p>
    <w:p w:rsidR="00E27756" w:rsidRDefault="00E27756" w:rsidP="00E27756">
      <w:pPr>
        <w:pStyle w:val="SangriaFrancesaArticulo"/>
      </w:pPr>
    </w:p>
    <w:p w:rsidR="00E27756" w:rsidRDefault="00E27756" w:rsidP="00E27756">
      <w:pPr>
        <w:pStyle w:val="TextoNormalNegritaCursivandice"/>
      </w:pPr>
      <w:r>
        <w:t>Decreto legislativo del Gobierno de Canarias 1/1994, de 29 de julio. Aprueba el texto refundido de las disposiciones legales vigentes en materia de tasas y precios públicos de la Comunidad Autónoma de Canarias</w:t>
      </w:r>
    </w:p>
    <w:p w:rsidR="00E27756" w:rsidRDefault="00E27756" w:rsidP="00E27756">
      <w:pPr>
        <w:pStyle w:val="SangriaFrancesaArticulo"/>
      </w:pPr>
      <w:r w:rsidRPr="00E27756">
        <w:rPr>
          <w:rStyle w:val="TextoNormalNegritaCaracter"/>
        </w:rPr>
        <w:t>Título III, capítulo IX</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Disposición adicional quinta, apartado 4</w:t>
      </w:r>
      <w:r>
        <w:t xml:space="preserve"> </w:t>
      </w:r>
      <w:r w:rsidRPr="00E27756">
        <w:rPr>
          <w:rStyle w:val="TextoNormalCaracter"/>
        </w:rPr>
        <w:t>(redactada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p>
    <w:p w:rsidR="00E27756" w:rsidRDefault="00E27756" w:rsidP="00E27756">
      <w:pPr>
        <w:pStyle w:val="TextoNormalNegritaCursivandice"/>
      </w:pPr>
      <w:r>
        <w:t>Ley del Parlamento de Canarias 7/1995, de 6 de abril.  Ordenación del turismo</w:t>
      </w:r>
    </w:p>
    <w:p w:rsidR="00E27756" w:rsidRDefault="00E27756" w:rsidP="00E27756">
      <w:pPr>
        <w:pStyle w:val="SangriaFrancesaArticulo"/>
      </w:pPr>
      <w:r w:rsidRPr="00E27756">
        <w:rPr>
          <w:rStyle w:val="TextoNormalNegritaCaracter"/>
        </w:rPr>
        <w:t>Artículo 18.1</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p>
    <w:p w:rsidR="00E27756" w:rsidRDefault="00E27756" w:rsidP="00E27756">
      <w:pPr>
        <w:pStyle w:val="TextoNormalNegritaCursivandice"/>
      </w:pPr>
      <w:r>
        <w:t>Ley del Parlamento de Canarias 6/1997, de 4 de julio. Coordinación de policías locales</w:t>
      </w:r>
    </w:p>
    <w:p w:rsidR="00E27756" w:rsidRDefault="00E27756" w:rsidP="00E27756">
      <w:pPr>
        <w:pStyle w:val="SangriaFrancesaArticulo"/>
      </w:pPr>
      <w:r w:rsidRPr="00E27756">
        <w:rPr>
          <w:rStyle w:val="TextoNormalNegritaCaracter"/>
        </w:rPr>
        <w:t>Disposición transitoria segunda.</w:t>
      </w:r>
      <w:r w:rsidRPr="00E27756">
        <w:rPr>
          <w:rStyle w:val="TextoNormalCaracter"/>
        </w:rPr>
        <w:t>-</w:t>
      </w:r>
      <w:r>
        <w:t xml:space="preserve"> Sentencia </w:t>
      </w:r>
      <w:hyperlink w:anchor="SENTENCIA_2013_33" w:history="1">
        <w:r w:rsidRPr="00E27756">
          <w:rPr>
            <w:rStyle w:val="TextoNormalCaracter"/>
          </w:rPr>
          <w:t>33/2013</w:t>
        </w:r>
      </w:hyperlink>
      <w:r>
        <w:t>, f. 5.</w:t>
      </w:r>
    </w:p>
    <w:p w:rsidR="00E27756" w:rsidRDefault="00E27756" w:rsidP="00E27756">
      <w:pPr>
        <w:pStyle w:val="SangriaFrancesaArticulo"/>
      </w:pPr>
    </w:p>
    <w:p w:rsidR="00E27756" w:rsidRDefault="00E27756" w:rsidP="00E27756">
      <w:pPr>
        <w:pStyle w:val="TextoNormalNegritaCursivandice"/>
      </w:pPr>
      <w:r>
        <w:t>Ley del Parlamento de Canarias 11/1997, de 2 de diciembre. Regulación del sector eléctrico canario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3" w:history="1">
        <w:r w:rsidRPr="00E27756">
          <w:rPr>
            <w:rStyle w:val="TextoNormalCaracter"/>
          </w:rPr>
          <w:t>123/2013</w:t>
        </w:r>
      </w:hyperlink>
      <w:r>
        <w:t>, f. 2.</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r w:rsidRPr="00E27756">
        <w:rPr>
          <w:rStyle w:val="TextoNormalNegritaCaracter"/>
        </w:rPr>
        <w:t>Artículo 4.3.</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r w:rsidRPr="00E27756">
        <w:rPr>
          <w:rStyle w:val="TextoNormalNegritaCaracter"/>
        </w:rPr>
        <w:t>Artículo 6 bis.</w:t>
      </w:r>
      <w:r w:rsidRPr="00E27756">
        <w:rPr>
          <w:rStyle w:val="TextoNormalCaracter"/>
        </w:rPr>
        <w:t>-</w:t>
      </w:r>
      <w:r>
        <w:t xml:space="preserve"> Auto </w:t>
      </w:r>
      <w:hyperlink w:anchor="AUTO_2013_9" w:history="1">
        <w:r w:rsidRPr="00E27756">
          <w:rPr>
            <w:rStyle w:val="TextoNormalCaracter"/>
          </w:rPr>
          <w:t>9/2013</w:t>
        </w:r>
      </w:hyperlink>
      <w:r>
        <w:t>, f. 1, 3, 5.</w:t>
      </w:r>
    </w:p>
    <w:p w:rsidR="00E27756" w:rsidRDefault="00E27756" w:rsidP="00E27756">
      <w:pPr>
        <w:pStyle w:val="SangriaFrancesaArticulo"/>
      </w:pPr>
      <w:r w:rsidRPr="00E27756">
        <w:rPr>
          <w:rStyle w:val="TextoNormalNegritaCaracter"/>
        </w:rPr>
        <w:t>Artículo 6 bis</w:t>
      </w:r>
      <w:r>
        <w:t xml:space="preserve"> </w:t>
      </w:r>
      <w:r w:rsidRPr="00E27756">
        <w:rPr>
          <w:rStyle w:val="TextoNormalCaracter"/>
        </w:rPr>
        <w:t>(redactado por la Ley del Parlamento de Canarias 2/2011, de 26 de enero)</w:t>
      </w:r>
      <w:r w:rsidRPr="00E27756">
        <w:rPr>
          <w:rStyle w:val="TextoNormalNegritaCaracter"/>
        </w:rPr>
        <w:t>.</w:t>
      </w:r>
      <w:r w:rsidRPr="00E27756">
        <w:rPr>
          <w:rStyle w:val="TextoNormalCaracter"/>
        </w:rPr>
        <w:t>-</w:t>
      </w:r>
      <w:r>
        <w:t xml:space="preserve"> Auto </w:t>
      </w:r>
      <w:hyperlink w:anchor="AUTO_2013_9" w:history="1">
        <w:r w:rsidRPr="00E27756">
          <w:rPr>
            <w:rStyle w:val="TextoNormalCaracter"/>
          </w:rPr>
          <w:t>9/2013</w:t>
        </w:r>
      </w:hyperlink>
      <w:r>
        <w:t>, ff. 1, 3, 5.</w:t>
      </w:r>
    </w:p>
    <w:p w:rsidR="00E27756" w:rsidRDefault="00E27756" w:rsidP="00E27756">
      <w:pPr>
        <w:pStyle w:val="SangriaFrancesaArticulo"/>
      </w:pPr>
      <w:r w:rsidRPr="00E27756">
        <w:rPr>
          <w:rStyle w:val="TextoNormalNegritaCaracter"/>
        </w:rPr>
        <w:t>Artículo 6 bis apartado 1.</w:t>
      </w:r>
      <w:r w:rsidRPr="00E27756">
        <w:rPr>
          <w:rStyle w:val="TextoNormalCaracter"/>
        </w:rPr>
        <w:t>-</w:t>
      </w:r>
      <w:r>
        <w:t xml:space="preserve"> Auto </w:t>
      </w:r>
      <w:hyperlink w:anchor="AUTO_2013_9" w:history="1">
        <w:r w:rsidRPr="00E27756">
          <w:rPr>
            <w:rStyle w:val="TextoNormalCaracter"/>
          </w:rPr>
          <w:t>9/2013</w:t>
        </w:r>
      </w:hyperlink>
      <w:r>
        <w:t>, f. 1.</w:t>
      </w:r>
    </w:p>
    <w:p w:rsidR="00E27756" w:rsidRDefault="00E27756" w:rsidP="00E27756">
      <w:pPr>
        <w:pStyle w:val="SangriaFrancesaArticulo"/>
      </w:pPr>
      <w:r w:rsidRPr="00E27756">
        <w:rPr>
          <w:rStyle w:val="TextoNormalNegritaCaracter"/>
        </w:rPr>
        <w:t>Artículo 6 bis apartado 2.</w:t>
      </w:r>
      <w:r w:rsidRPr="00E27756">
        <w:rPr>
          <w:rStyle w:val="TextoNormalCaracter"/>
        </w:rPr>
        <w:t>-</w:t>
      </w:r>
      <w:r>
        <w:t xml:space="preserve"> Auto </w:t>
      </w:r>
      <w:hyperlink w:anchor="AUTO_2013_9" w:history="1">
        <w:r w:rsidRPr="00E27756">
          <w:rPr>
            <w:rStyle w:val="TextoNormalCaracter"/>
          </w:rPr>
          <w:t>9/2013</w:t>
        </w:r>
      </w:hyperlink>
      <w:r>
        <w:t>, f. 1.</w:t>
      </w:r>
    </w:p>
    <w:p w:rsidR="00E27756" w:rsidRDefault="00E27756" w:rsidP="00E27756">
      <w:pPr>
        <w:pStyle w:val="SangriaFrancesaArticulo"/>
      </w:pPr>
      <w:r w:rsidRPr="00E27756">
        <w:rPr>
          <w:rStyle w:val="TextoNormalNegritaCaracter"/>
        </w:rPr>
        <w:t>Artículo 6 bis apartado 3.</w:t>
      </w:r>
      <w:r w:rsidRPr="00E27756">
        <w:rPr>
          <w:rStyle w:val="TextoNormalCaracter"/>
        </w:rPr>
        <w:t>-</w:t>
      </w:r>
      <w:r>
        <w:t xml:space="preserve"> Auto </w:t>
      </w:r>
      <w:hyperlink w:anchor="AUTO_2013_9" w:history="1">
        <w:r w:rsidRPr="00E27756">
          <w:rPr>
            <w:rStyle w:val="TextoNormalCaracter"/>
          </w:rPr>
          <w:t>9/2013</w:t>
        </w:r>
      </w:hyperlink>
      <w:r>
        <w:t>, f. 1.</w:t>
      </w:r>
    </w:p>
    <w:p w:rsidR="00E27756" w:rsidRDefault="00E27756" w:rsidP="00E27756">
      <w:pPr>
        <w:pStyle w:val="SangriaFrancesaArticulo"/>
      </w:pPr>
      <w:r w:rsidRPr="00E27756">
        <w:rPr>
          <w:rStyle w:val="TextoNormalNegritaCaracter"/>
        </w:rPr>
        <w:t>Artículo 6 bis apartado 4.</w:t>
      </w:r>
      <w:r w:rsidRPr="00E27756">
        <w:rPr>
          <w:rStyle w:val="TextoNormalCaracter"/>
        </w:rPr>
        <w:t>-</w:t>
      </w:r>
      <w:r>
        <w:t xml:space="preserve"> Auto </w:t>
      </w:r>
      <w:hyperlink w:anchor="AUTO_2013_9" w:history="1">
        <w:r w:rsidRPr="00E27756">
          <w:rPr>
            <w:rStyle w:val="TextoNormalCaracter"/>
          </w:rPr>
          <w:t>9/2013</w:t>
        </w:r>
      </w:hyperlink>
      <w:r>
        <w:t>, f. 1, 3.</w:t>
      </w:r>
    </w:p>
    <w:p w:rsidR="00E27756" w:rsidRDefault="00E27756" w:rsidP="00E27756">
      <w:pPr>
        <w:pStyle w:val="SangriaFrancesaArticulo"/>
      </w:pPr>
      <w:r w:rsidRPr="00E27756">
        <w:rPr>
          <w:rStyle w:val="TextoNormalNegritaCaracter"/>
        </w:rPr>
        <w:t>Artículo 7.1.</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r w:rsidRPr="00E27756">
        <w:rPr>
          <w:rStyle w:val="TextoNormalNegritaCaracter"/>
        </w:rPr>
        <w:t>Artículo 9.4 d).</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r w:rsidRPr="00E27756">
        <w:rPr>
          <w:rStyle w:val="TextoNormalNegritaCaracter"/>
        </w:rPr>
        <w:t>Disposición adicional quinta</w:t>
      </w:r>
      <w:r>
        <w:t xml:space="preserve"> </w:t>
      </w:r>
      <w:r w:rsidRPr="00E27756">
        <w:rPr>
          <w:rStyle w:val="TextoNormalCaracter"/>
        </w:rPr>
        <w:t>(redactada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23" w:history="1">
        <w:r w:rsidRPr="00E27756">
          <w:rPr>
            <w:rStyle w:val="TextoNormalCaracter"/>
          </w:rPr>
          <w:t>123/2013</w:t>
        </w:r>
      </w:hyperlink>
      <w:r>
        <w:t>, ff. 1 a 3, 8.</w:t>
      </w:r>
    </w:p>
    <w:p w:rsidR="00E27756" w:rsidRDefault="00E27756" w:rsidP="00E27756">
      <w:pPr>
        <w:pStyle w:val="SangriaFrancesaArticulo"/>
      </w:pPr>
      <w:r w:rsidRPr="00E27756">
        <w:rPr>
          <w:rStyle w:val="TextoNormalNegritaCaracter"/>
        </w:rPr>
        <w:t>Disposición adicional quinta</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23" w:history="1">
        <w:r w:rsidRPr="00E27756">
          <w:rPr>
            <w:rStyle w:val="TextoNormalCaracter"/>
          </w:rPr>
          <w:t>123/2013</w:t>
        </w:r>
      </w:hyperlink>
      <w:r>
        <w:t>, ff. 1 a 3, 8.</w:t>
      </w:r>
    </w:p>
    <w:p w:rsidR="00E27756" w:rsidRDefault="00E27756" w:rsidP="00E27756">
      <w:pPr>
        <w:pStyle w:val="SangriaFrancesaArticulo"/>
      </w:pPr>
      <w:r w:rsidRPr="00E27756">
        <w:rPr>
          <w:rStyle w:val="TextoNormalNegritaCaracter"/>
        </w:rPr>
        <w:t>Disposición adicional quinta, apartado 2</w:t>
      </w:r>
      <w:r>
        <w:t xml:space="preserve"> </w:t>
      </w:r>
      <w:r w:rsidRPr="00E27756">
        <w:rPr>
          <w:rStyle w:val="TextoNormalCaracter"/>
        </w:rPr>
        <w:t>(redactada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6.</w:t>
      </w:r>
    </w:p>
    <w:p w:rsidR="00E27756" w:rsidRDefault="00E27756" w:rsidP="00E27756">
      <w:pPr>
        <w:pStyle w:val="SangriaFrancesaArticulo"/>
      </w:pPr>
      <w:r w:rsidRPr="00E27756">
        <w:rPr>
          <w:rStyle w:val="TextoNormalNegritaCaracter"/>
        </w:rPr>
        <w:t>Disposición adicional quinta, apartado 2</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6.</w:t>
      </w:r>
    </w:p>
    <w:p w:rsidR="00E27756" w:rsidRDefault="00E27756" w:rsidP="00E27756">
      <w:pPr>
        <w:pStyle w:val="SangriaFrancesaArticulo"/>
      </w:pPr>
      <w:r w:rsidRPr="00E27756">
        <w:rPr>
          <w:rStyle w:val="TextoNormalNegritaCaracter"/>
        </w:rPr>
        <w:t>Disposición adicional sexta.</w:t>
      </w:r>
      <w:r w:rsidRPr="00E27756">
        <w:rPr>
          <w:rStyle w:val="TextoNormalCaracter"/>
        </w:rPr>
        <w:t>-</w:t>
      </w:r>
      <w:r>
        <w:t xml:space="preserve"> Sentencia </w:t>
      </w:r>
      <w:hyperlink w:anchor="SENTENCIA_2013_123" w:history="1">
        <w:r w:rsidRPr="00E27756">
          <w:rPr>
            <w:rStyle w:val="TextoNormalCaracter"/>
          </w:rPr>
          <w:t>123/2013</w:t>
        </w:r>
      </w:hyperlink>
      <w:r>
        <w:t>, f. 1.</w:t>
      </w:r>
    </w:p>
    <w:p w:rsidR="00E27756" w:rsidRDefault="00E27756" w:rsidP="00E27756">
      <w:pPr>
        <w:pStyle w:val="SangriaFrancesaArticulo"/>
      </w:pPr>
    </w:p>
    <w:p w:rsidR="00E27756" w:rsidRDefault="00E27756" w:rsidP="00E27756">
      <w:pPr>
        <w:pStyle w:val="TextoNormalNegritaCursivandice"/>
      </w:pPr>
      <w:r>
        <w:t>Ley del Parlamento de Canarias 1/1998, de 8 de enero. Régimen jurídico de los espectáculos públicos y actividades clasificadas.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58</w:t>
      </w:r>
      <w:r>
        <w:t xml:space="preserve"> </w:t>
      </w:r>
      <w:r w:rsidRPr="00E27756">
        <w:rPr>
          <w:rStyle w:val="TextoNormalCaracter"/>
        </w:rPr>
        <w:t>(redactado por la Ley 7/2011, de 5 de abril)</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58</w:t>
      </w:r>
      <w:r>
        <w:t xml:space="preserve"> </w:t>
      </w:r>
      <w:r w:rsidRPr="00E27756">
        <w:rPr>
          <w:rStyle w:val="TextoNormalCaracter"/>
        </w:rPr>
        <w:t>(redactado por la Ley del Parlamento de Canarias 7/2011, de 5 de abril)</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60.1.</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60.2.</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60.3.</w:t>
      </w:r>
      <w:r w:rsidRPr="00E27756">
        <w:rPr>
          <w:rStyle w:val="TextoNormalCaracter"/>
        </w:rPr>
        <w:t>-</w:t>
      </w:r>
      <w:r>
        <w:t xml:space="preserve"> Sentencia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60.3</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ff. 2, 3, 8.</w:t>
      </w:r>
    </w:p>
    <w:p w:rsidR="00E27756" w:rsidRDefault="00E27756" w:rsidP="00E27756">
      <w:pPr>
        <w:pStyle w:val="SangriaFrancesaArticulo"/>
      </w:pPr>
    </w:p>
    <w:p w:rsidR="00E27756" w:rsidRDefault="00E27756" w:rsidP="00E27756">
      <w:pPr>
        <w:pStyle w:val="TextoNormalNegritaCursivandice"/>
      </w:pPr>
      <w:r>
        <w:t>Ley del Parlamento de Canarias 6/1999, de 26 de marzo. Juegos y Apuestas</w:t>
      </w:r>
    </w:p>
    <w:p w:rsidR="00E27756" w:rsidRDefault="00E27756" w:rsidP="00E27756">
      <w:pPr>
        <w:pStyle w:val="SangriaFrancesaArticulo"/>
      </w:pPr>
      <w:r w:rsidRPr="00E27756">
        <w:rPr>
          <w:rStyle w:val="TextoNormalNegritaCaracter"/>
        </w:rPr>
        <w:t>Artículo 12</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Sentencias </w:t>
      </w:r>
      <w:hyperlink w:anchor="SENTENCIA_2013_132" w:history="1">
        <w:r w:rsidRPr="00E27756">
          <w:rPr>
            <w:rStyle w:val="TextoNormalCaracter"/>
          </w:rPr>
          <w:t>132/2013</w:t>
        </w:r>
      </w:hyperlink>
      <w:r>
        <w:t xml:space="preserve">, f. 2; </w:t>
      </w:r>
      <w:hyperlink w:anchor="SENTENCIA_2013_132" w:history="1">
        <w:r w:rsidRPr="00E27756">
          <w:rPr>
            <w:rStyle w:val="TextoNormalCaracter"/>
          </w:rPr>
          <w:t>132/2013</w:t>
        </w:r>
      </w:hyperlink>
      <w:r>
        <w:t>, f. 2.</w:t>
      </w:r>
    </w:p>
    <w:p w:rsidR="00E27756" w:rsidRDefault="00E27756" w:rsidP="00E27756">
      <w:pPr>
        <w:pStyle w:val="SangriaFrancesaArticulo"/>
      </w:pPr>
    </w:p>
    <w:p w:rsidR="00E27756" w:rsidRDefault="00E27756" w:rsidP="00E27756">
      <w:pPr>
        <w:pStyle w:val="TextoNormalNegritaCursivandice"/>
      </w:pPr>
      <w:r>
        <w:t>Decreto Legislativo del Gobierno de Canarias 1/2000, de 8 mayo. Texto refundido de las leyes de ordenación del territorio y de espacios naturales protegidos</w:t>
      </w:r>
    </w:p>
    <w:p w:rsidR="00E27756" w:rsidRDefault="00E27756" w:rsidP="00E27756">
      <w:pPr>
        <w:pStyle w:val="SangriaFrancesaArticulo"/>
      </w:pPr>
      <w:r w:rsidRPr="00E27756">
        <w:rPr>
          <w:rStyle w:val="TextoNormalNegritaCaracter"/>
        </w:rPr>
        <w:t>Artículo 4</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3.</w:t>
      </w:r>
    </w:p>
    <w:p w:rsidR="00E27756" w:rsidRDefault="00E27756" w:rsidP="00E27756">
      <w:pPr>
        <w:pStyle w:val="SangriaFrancesaArticulo"/>
      </w:pPr>
      <w:r w:rsidRPr="00E27756">
        <w:rPr>
          <w:rStyle w:val="TextoNormalNegritaCaracter"/>
        </w:rPr>
        <w:t>Disposición transitoria segunda, apartados 1, 2</w:t>
      </w:r>
      <w:r>
        <w:t xml:space="preserve"> </w:t>
      </w:r>
      <w:r w:rsidRPr="00E27756">
        <w:rPr>
          <w:rStyle w:val="TextoNormalCaracter"/>
        </w:rPr>
        <w:t>(redactada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r w:rsidRPr="00E27756">
        <w:rPr>
          <w:rStyle w:val="TextoNormalNegritaCaracter"/>
        </w:rPr>
        <w:lastRenderedPageBreak/>
        <w:t>Disposición transitoria segunda, apartados 1, 2</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p>
    <w:p w:rsidR="00E27756" w:rsidRDefault="00E27756" w:rsidP="00E27756">
      <w:pPr>
        <w:pStyle w:val="TextoNormalNegritaCursivandice"/>
      </w:pPr>
      <w:r>
        <w:t>Ley del Parlamento de Canarias 4/2001, de 6 de julio. Medidas tributarias, financieras, de organización y relativas al personal de la Administración Pública de la Comunidad Autónoma de Canarias</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Sentencia </w:t>
      </w:r>
      <w:hyperlink w:anchor="SENTENCIA_2013_123" w:history="1">
        <w:r w:rsidRPr="00E27756">
          <w:rPr>
            <w:rStyle w:val="TextoNormalCaracter"/>
          </w:rPr>
          <w:t>123/2013</w:t>
        </w:r>
      </w:hyperlink>
      <w:r>
        <w:t>, f. 2.</w:t>
      </w:r>
    </w:p>
    <w:p w:rsidR="00E27756" w:rsidRDefault="00E27756" w:rsidP="00E27756">
      <w:pPr>
        <w:pStyle w:val="SangriaFrancesaArticulo"/>
      </w:pPr>
    </w:p>
    <w:p w:rsidR="00E27756" w:rsidRDefault="00E27756" w:rsidP="00E27756">
      <w:pPr>
        <w:pStyle w:val="TextoNormalNegritaCursivandice"/>
      </w:pPr>
      <w:r>
        <w:t>Ley del Parlamento de Canarias 6/2001, de 23 de julio. Medidas urgentes en materia de ordenación del territorio y del turismo de Canarias</w:t>
      </w:r>
    </w:p>
    <w:p w:rsidR="00E27756" w:rsidRDefault="00E27756" w:rsidP="00E27756">
      <w:pPr>
        <w:pStyle w:val="SangriaFrancesaArticulo"/>
      </w:pPr>
      <w:r w:rsidRPr="00E27756">
        <w:rPr>
          <w:rStyle w:val="TextoNormalNegritaCaracter"/>
        </w:rPr>
        <w:t>Disposición adicional primera</w:t>
      </w:r>
      <w:r>
        <w:t xml:space="preserve"> </w:t>
      </w:r>
      <w:r w:rsidRPr="00E27756">
        <w:rPr>
          <w:rStyle w:val="TextoNormalCaracter"/>
        </w:rPr>
        <w:t>(redactada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r w:rsidRPr="00E27756">
        <w:rPr>
          <w:rStyle w:val="TextoNormalNegritaCaracter"/>
        </w:rPr>
        <w:t>Disposición final primera</w:t>
      </w:r>
      <w:r>
        <w:t xml:space="preserve"> </w:t>
      </w:r>
      <w:r w:rsidRPr="00E27756">
        <w:rPr>
          <w:rStyle w:val="TextoNormalCaracter"/>
        </w:rPr>
        <w:t>(redactada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3.</w:t>
      </w:r>
    </w:p>
    <w:p w:rsidR="00E27756" w:rsidRDefault="00E27756" w:rsidP="00E27756">
      <w:pPr>
        <w:pStyle w:val="SangriaFrancesaArticulo"/>
      </w:pPr>
    </w:p>
    <w:p w:rsidR="00E27756" w:rsidRDefault="00E27756" w:rsidP="00E27756">
      <w:pPr>
        <w:pStyle w:val="TextoNormalNegritaCursivandice"/>
      </w:pPr>
      <w:r>
        <w:t>Ley del Parlamento de Canarias 9/2001, de 28 de diciembre. Presupuestos Generales de la Comunidad Autónoma de Canarias para 2002</w:t>
      </w:r>
    </w:p>
    <w:p w:rsidR="00E27756" w:rsidRDefault="00E27756" w:rsidP="00E27756">
      <w:pPr>
        <w:pStyle w:val="SangriaFrancesaArticulo"/>
      </w:pPr>
      <w:r w:rsidRPr="00E27756">
        <w:rPr>
          <w:rStyle w:val="TextoNormalNegritaCaracter"/>
        </w:rPr>
        <w:t>Artículo 48.2</w:t>
      </w:r>
      <w:r>
        <w:t xml:space="preserve"> </w:t>
      </w:r>
      <w:r w:rsidRPr="00E27756">
        <w:rPr>
          <w:rStyle w:val="TextoNormalCaracter"/>
        </w:rPr>
        <w:t>(redactado por la Ley del Parlamento de Canarias 2/2002, de 27 de marzo)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3.</w:t>
      </w:r>
    </w:p>
    <w:p w:rsidR="00E27756" w:rsidRDefault="00E27756" w:rsidP="00E27756">
      <w:pPr>
        <w:pStyle w:val="SangriaFrancesaArticulo"/>
      </w:pPr>
    </w:p>
    <w:p w:rsidR="00E27756" w:rsidRDefault="00E27756" w:rsidP="00E27756">
      <w:pPr>
        <w:pStyle w:val="TextoNormalNegritaCursivandice"/>
      </w:pPr>
      <w:r>
        <w:t>Ley del Parlamento de Canarias 2/2002, de 27 de marzo.  Establecimiento de normas tributarias y de medidas en materia de organización administrativa y de gestión, relativas al personal de la Comunidad y de carácter sancionador</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ff. 1 a 3, 5, 8.</w:t>
      </w:r>
    </w:p>
    <w:p w:rsidR="00E27756" w:rsidRDefault="00E27756" w:rsidP="00E27756">
      <w:pPr>
        <w:pStyle w:val="SangriaFrancesaArticulo"/>
      </w:pPr>
      <w:r w:rsidRPr="00E27756">
        <w:rPr>
          <w:rStyle w:val="TextoNormalNegritaCaracter"/>
        </w:rPr>
        <w:t>Capítulo II.</w:t>
      </w:r>
      <w:r w:rsidRPr="00E27756">
        <w:rPr>
          <w:rStyle w:val="TextoNormalCaracter"/>
        </w:rPr>
        <w:t>-</w:t>
      </w:r>
      <w:r>
        <w:t xml:space="preserve"> Sentencia </w:t>
      </w:r>
      <w:hyperlink w:anchor="SENTENCIA_2013_132" w:history="1">
        <w:r w:rsidRPr="00E27756">
          <w:rPr>
            <w:rStyle w:val="TextoNormalCaracter"/>
          </w:rPr>
          <w:t>132/2013</w:t>
        </w:r>
      </w:hyperlink>
      <w:r>
        <w:t>, f. 3.</w:t>
      </w:r>
    </w:p>
    <w:p w:rsidR="00E27756" w:rsidRDefault="00E27756" w:rsidP="00E27756">
      <w:pPr>
        <w:pStyle w:val="SangriaFrancesaArticulo"/>
      </w:pPr>
      <w:r w:rsidRPr="00E27756">
        <w:rPr>
          <w:rStyle w:val="TextoNormalNegritaCaracter"/>
        </w:rPr>
        <w:t>Capítulo III.</w:t>
      </w:r>
      <w:r w:rsidRPr="00E27756">
        <w:rPr>
          <w:rStyle w:val="TextoNormalCaracter"/>
        </w:rPr>
        <w:t>-</w:t>
      </w:r>
      <w:r>
        <w:t xml:space="preserve"> Sentencia </w:t>
      </w:r>
      <w:hyperlink w:anchor="SENTENCIA_2013_132" w:history="1">
        <w:r w:rsidRPr="00E27756">
          <w:rPr>
            <w:rStyle w:val="TextoNormalCaracter"/>
          </w:rPr>
          <w:t>132/2013</w:t>
        </w:r>
      </w:hyperlink>
      <w:r>
        <w:t>, f. 3.</w:t>
      </w:r>
    </w:p>
    <w:p w:rsidR="00E27756" w:rsidRDefault="00E27756" w:rsidP="00E27756">
      <w:pPr>
        <w:pStyle w:val="SangriaFrancesaArticulo"/>
      </w:pPr>
      <w:r w:rsidRPr="00E27756">
        <w:rPr>
          <w:rStyle w:val="TextoNormalNegritaCaracter"/>
        </w:rPr>
        <w:t>Capítulo IV, sección segunda.</w:t>
      </w:r>
      <w:r w:rsidRPr="00E27756">
        <w:rPr>
          <w:rStyle w:val="TextoNormalCaracter"/>
        </w:rPr>
        <w:t>-</w:t>
      </w:r>
      <w:r>
        <w:t xml:space="preserve"> Sentencia </w:t>
      </w:r>
      <w:hyperlink w:anchor="SENTENCIA_2013_132" w:history="1">
        <w:r w:rsidRPr="00E27756">
          <w:rPr>
            <w:rStyle w:val="TextoNormalCaracter"/>
          </w:rPr>
          <w:t>132/2013</w:t>
        </w:r>
      </w:hyperlink>
      <w:r>
        <w:t>, f. 7.</w:t>
      </w:r>
    </w:p>
    <w:p w:rsidR="00E27756" w:rsidRDefault="00E27756" w:rsidP="00E27756">
      <w:pPr>
        <w:pStyle w:val="SangriaFrancesaArticulo"/>
      </w:pPr>
      <w:r w:rsidRPr="00E27756">
        <w:rPr>
          <w:rStyle w:val="TextoNormalNegritaCaracter"/>
        </w:rPr>
        <w:t>Artículo 1 apartados 1 a 6.</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1.1</w:t>
      </w:r>
      <w:r>
        <w:t xml:space="preserve"> </w:t>
      </w:r>
      <w:r w:rsidRPr="00E27756">
        <w:rPr>
          <w:rStyle w:val="TextoNormalCaracter"/>
        </w:rPr>
        <w:t>(redactado por la Ley del Parlamento de Canarias 12/2006, de 28 de diciembre)</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1.6</w:t>
      </w:r>
      <w:r>
        <w:t xml:space="preserve"> </w:t>
      </w:r>
      <w:r w:rsidRPr="00E27756">
        <w:rPr>
          <w:rStyle w:val="TextoNormalCaracter"/>
        </w:rPr>
        <w:t>(redactado por la Ley del Parlamento de Canarias 9/2003, de 3 de abril)</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Artículos 2 a 6.</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132" w:history="1">
        <w:r w:rsidRPr="00E27756">
          <w:rPr>
            <w:rStyle w:val="TextoNormalCaracter"/>
          </w:rPr>
          <w:t>132/2013</w:t>
        </w:r>
      </w:hyperlink>
      <w:r>
        <w:t>, f. 6.</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7.2.</w:t>
      </w:r>
      <w:r w:rsidRPr="00E27756">
        <w:rPr>
          <w:rStyle w:val="TextoNormalCaracter"/>
        </w:rPr>
        <w:t>-</w:t>
      </w:r>
      <w:r>
        <w:t xml:space="preserve"> Sentencia </w:t>
      </w:r>
      <w:hyperlink w:anchor="SENTENCIA_2013_132" w:history="1">
        <w:r w:rsidRPr="00E27756">
          <w:rPr>
            <w:rStyle w:val="TextoNormalCaracter"/>
          </w:rPr>
          <w:t>132/2013</w:t>
        </w:r>
      </w:hyperlink>
      <w:r>
        <w:t>, f. 5.</w:t>
      </w:r>
    </w:p>
    <w:p w:rsidR="00E27756" w:rsidRDefault="00E27756" w:rsidP="00E27756">
      <w:pPr>
        <w:pStyle w:val="SangriaFrancesaArticulo"/>
      </w:pPr>
      <w:r w:rsidRPr="00E27756">
        <w:rPr>
          <w:rStyle w:val="TextoNormalNegritaCaracter"/>
        </w:rPr>
        <w:t>Artículos 7 a 9.</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132" w:history="1">
        <w:r w:rsidRPr="00E27756">
          <w:rPr>
            <w:rStyle w:val="TextoNormalCaracter"/>
          </w:rPr>
          <w:t>132/2013</w:t>
        </w:r>
      </w:hyperlink>
      <w:r>
        <w:t>, f. 3.</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r w:rsidRPr="00E27756">
        <w:rPr>
          <w:rStyle w:val="TextoNormalNegritaCaracter"/>
        </w:rPr>
        <w:t>Artículos 11 a 13.</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r w:rsidRPr="00E27756">
        <w:rPr>
          <w:rStyle w:val="TextoNormalNegritaCaracter"/>
        </w:rPr>
        <w:t>Artículo 14.</w:t>
      </w:r>
      <w:r w:rsidRPr="00E27756">
        <w:rPr>
          <w:rStyle w:val="TextoNormalCaracter"/>
        </w:rPr>
        <w:t>-</w:t>
      </w:r>
      <w:r>
        <w:t xml:space="preserve"> Sentencia </w:t>
      </w:r>
      <w:hyperlink w:anchor="SENTENCIA_2013_132" w:history="1">
        <w:r w:rsidRPr="00E27756">
          <w:rPr>
            <w:rStyle w:val="TextoNormalCaracter"/>
          </w:rPr>
          <w:t>132/2013</w:t>
        </w:r>
      </w:hyperlink>
      <w:r>
        <w:t>, ff. 2, 4.</w:t>
      </w:r>
    </w:p>
    <w:p w:rsidR="00E27756" w:rsidRDefault="00E27756" w:rsidP="00E27756">
      <w:pPr>
        <w:pStyle w:val="SangriaFrancesaArticulo"/>
      </w:pPr>
      <w:r w:rsidRPr="00E27756">
        <w:rPr>
          <w:rStyle w:val="TextoNormalNegritaCaracter"/>
        </w:rPr>
        <w:lastRenderedPageBreak/>
        <w:t>Artículo 14</w:t>
      </w:r>
      <w:r>
        <w:t xml:space="preserve"> </w:t>
      </w:r>
      <w:r w:rsidRPr="00E27756">
        <w:rPr>
          <w:rStyle w:val="TextoNormalCaracter"/>
        </w:rPr>
        <w:t>(redactado la Ley del Parlamento de Canarias 6/2006, de 17 de julio)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4.</w:t>
      </w:r>
    </w:p>
    <w:p w:rsidR="00E27756" w:rsidRDefault="00E27756" w:rsidP="00E27756">
      <w:pPr>
        <w:pStyle w:val="SangriaFrancesaArticulo"/>
      </w:pPr>
      <w:r w:rsidRPr="00E27756">
        <w:rPr>
          <w:rStyle w:val="TextoNormalNegritaCaracter"/>
        </w:rPr>
        <w:t>Artículos 14 a 16.</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15</w:t>
      </w:r>
      <w:r>
        <w:t xml:space="preserve"> </w:t>
      </w:r>
      <w:r w:rsidRPr="00E27756">
        <w:rPr>
          <w:rStyle w:val="TextoNormalCaracter"/>
        </w:rPr>
        <w:t>(redactado por la Ley del Parlamento de Canarias 14/2009, de 30 de diciembre)</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16.</w:t>
      </w:r>
      <w:r w:rsidRPr="00E27756">
        <w:rPr>
          <w:rStyle w:val="TextoNormalCaracter"/>
        </w:rPr>
        <w:t>-</w:t>
      </w:r>
      <w:r>
        <w:t xml:space="preserve"> Sentencias </w:t>
      </w:r>
      <w:hyperlink w:anchor="SENTENCIA_2013_123" w:history="1">
        <w:r w:rsidRPr="00E27756">
          <w:rPr>
            <w:rStyle w:val="TextoNormalCaracter"/>
          </w:rPr>
          <w:t>123/2013</w:t>
        </w:r>
      </w:hyperlink>
      <w:r>
        <w:t xml:space="preserve">, ff. 1 a 3, 8; </w:t>
      </w:r>
      <w:hyperlink w:anchor="SENTENCIA_2013_132" w:history="1">
        <w:r w:rsidRPr="00E27756">
          <w:rPr>
            <w:rStyle w:val="TextoNormalCaracter"/>
          </w:rPr>
          <w:t>132/2013</w:t>
        </w:r>
      </w:hyperlink>
      <w:r>
        <w:t>, f. 6.</w:t>
      </w:r>
    </w:p>
    <w:p w:rsidR="00E27756" w:rsidRDefault="00E27756" w:rsidP="00E27756">
      <w:pPr>
        <w:pStyle w:val="SangriaFrancesaArticulo"/>
      </w:pPr>
      <w:r w:rsidRPr="00E27756">
        <w:rPr>
          <w:rStyle w:val="TextoNormalNegritaCaracter"/>
        </w:rPr>
        <w:t>Artículo 17.</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r w:rsidRPr="00E27756">
        <w:rPr>
          <w:rStyle w:val="TextoNormalNegritaCaracter"/>
        </w:rPr>
        <w:t>Artículo 18.</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Artículos 18 a 31.</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Artículos 20 a 23</w:t>
      </w:r>
      <w:r>
        <w:t xml:space="preserve"> </w:t>
      </w:r>
      <w:r w:rsidRPr="00E27756">
        <w:rPr>
          <w:rStyle w:val="TextoNormalCaracter"/>
        </w:rPr>
        <w:t>(redactado por la Ley del Parlamento de Canarias 17/2003, de 10 de abril)</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21.1 k).</w:t>
      </w:r>
      <w:r w:rsidRPr="00E27756">
        <w:rPr>
          <w:rStyle w:val="TextoNormalCaracter"/>
        </w:rPr>
        <w:t>-</w:t>
      </w:r>
      <w:r>
        <w:t xml:space="preserve"> Sentencia </w:t>
      </w:r>
      <w:hyperlink w:anchor="SENTENCIA_2013_132" w:history="1">
        <w:r w:rsidRPr="00E27756">
          <w:rPr>
            <w:rStyle w:val="TextoNormalCaracter"/>
          </w:rPr>
          <w:t>132/2013</w:t>
        </w:r>
      </w:hyperlink>
      <w:r>
        <w:t>, f. 7.</w:t>
      </w:r>
    </w:p>
    <w:p w:rsidR="00E27756" w:rsidRDefault="00E27756" w:rsidP="00E27756">
      <w:pPr>
        <w:pStyle w:val="SangriaFrancesaArticulo"/>
      </w:pPr>
      <w:r w:rsidRPr="00E27756">
        <w:rPr>
          <w:rStyle w:val="TextoNormalNegritaCaracter"/>
        </w:rPr>
        <w:t>Artículo 30.</w:t>
      </w:r>
      <w:r w:rsidRPr="00E27756">
        <w:rPr>
          <w:rStyle w:val="TextoNormalCaracter"/>
        </w:rPr>
        <w:t>-</w:t>
      </w:r>
      <w:r>
        <w:t xml:space="preserve"> Sentencia </w:t>
      </w:r>
      <w:hyperlink w:anchor="SENTENCIA_2013_132" w:history="1">
        <w:r w:rsidRPr="00E27756">
          <w:rPr>
            <w:rStyle w:val="TextoNormalCaracter"/>
          </w:rPr>
          <w:t>132/2013</w:t>
        </w:r>
      </w:hyperlink>
      <w:r>
        <w:t>, ff. 3, 4.</w:t>
      </w:r>
    </w:p>
    <w:p w:rsidR="00E27756" w:rsidRDefault="00E27756" w:rsidP="00E27756">
      <w:pPr>
        <w:pStyle w:val="SangriaFrancesaArticulo"/>
      </w:pPr>
      <w:r w:rsidRPr="00E27756">
        <w:rPr>
          <w:rStyle w:val="TextoNormalNegritaCaracter"/>
        </w:rPr>
        <w:t>Disposición adicional primera.</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r w:rsidRPr="00E27756">
        <w:rPr>
          <w:rStyle w:val="TextoNormalNegritaCaracter"/>
        </w:rPr>
        <w:t>Disposiciones adicional primera a sexta.</w:t>
      </w:r>
      <w:r w:rsidRPr="00E27756">
        <w:rPr>
          <w:rStyle w:val="TextoNormalCaracter"/>
        </w:rPr>
        <w:t>-</w:t>
      </w:r>
      <w:r>
        <w:t xml:space="preserve"> Sentencia </w:t>
      </w:r>
      <w:hyperlink w:anchor="SENTENCIA_2013_132" w:history="1">
        <w:r w:rsidRPr="00E27756">
          <w:rPr>
            <w:rStyle w:val="TextoNormalCaracter"/>
          </w:rPr>
          <w:t>132/2013</w:t>
        </w:r>
      </w:hyperlink>
      <w:r>
        <w:t>, f. 3.</w:t>
      </w:r>
    </w:p>
    <w:p w:rsidR="00E27756" w:rsidRDefault="00E27756" w:rsidP="00E27756">
      <w:pPr>
        <w:pStyle w:val="SangriaFrancesaArticulo"/>
      </w:pPr>
      <w:r w:rsidRPr="00E27756">
        <w:rPr>
          <w:rStyle w:val="TextoNormalNegritaCaracter"/>
        </w:rPr>
        <w:t>Disposición adicional segunda.</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r w:rsidRPr="00E27756">
        <w:rPr>
          <w:rStyle w:val="TextoNormalNegritaCaracter"/>
        </w:rPr>
        <w:t>Disposición adicional tercera.</w:t>
      </w:r>
      <w:r w:rsidRPr="00E27756">
        <w:rPr>
          <w:rStyle w:val="TextoNormalCaracter"/>
        </w:rPr>
        <w:t>-</w:t>
      </w:r>
      <w:r>
        <w:t xml:space="preserve"> Sentencia </w:t>
      </w:r>
      <w:hyperlink w:anchor="SENTENCIA_2013_132" w:history="1">
        <w:r w:rsidRPr="00E27756">
          <w:rPr>
            <w:rStyle w:val="TextoNormalCaracter"/>
          </w:rPr>
          <w:t>132/2013</w:t>
        </w:r>
      </w:hyperlink>
      <w:r>
        <w:t>, f. 3.</w:t>
      </w:r>
    </w:p>
    <w:p w:rsidR="00E27756" w:rsidRDefault="00E27756" w:rsidP="00E27756">
      <w:pPr>
        <w:pStyle w:val="SangriaFrancesaArticulo"/>
      </w:pPr>
      <w:r w:rsidRPr="00E27756">
        <w:rPr>
          <w:rStyle w:val="TextoNormalNegritaCaracter"/>
        </w:rPr>
        <w:t>Disposiciones adicionales tercera a sexta.</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Disposición adicional tercera</w:t>
      </w:r>
      <w:r>
        <w:t xml:space="preserve"> </w:t>
      </w:r>
      <w:r w:rsidRPr="00E27756">
        <w:rPr>
          <w:rStyle w:val="TextoNormalCaracter"/>
        </w:rPr>
        <w:t>(redactada por la Ley del Parlamento de Canarias 1/2006, de 7 de febrero)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Disposición adicional tercera</w:t>
      </w:r>
      <w:r>
        <w:t xml:space="preserve"> </w:t>
      </w:r>
      <w:r w:rsidRPr="00E27756">
        <w:rPr>
          <w:rStyle w:val="TextoNormalCaracter"/>
        </w:rPr>
        <w:t>(redactado por la Ley del Parlamento de Canarias 1/2006, de 7 de febrero)</w:t>
      </w:r>
      <w:r w:rsidRPr="00E27756">
        <w:rPr>
          <w:rStyle w:val="TextoNormalNegritaCaracter"/>
        </w:rPr>
        <w:t>.</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Disposición adicional cuarta.</w:t>
      </w:r>
      <w:r w:rsidRPr="00E27756">
        <w:rPr>
          <w:rStyle w:val="TextoNormalCaracter"/>
        </w:rPr>
        <w:t>-</w:t>
      </w:r>
      <w:r>
        <w:t xml:space="preserve"> Sentencia </w:t>
      </w:r>
      <w:hyperlink w:anchor="SENTENCIA_2013_132" w:history="1">
        <w:r w:rsidRPr="00E27756">
          <w:rPr>
            <w:rStyle w:val="TextoNormalCaracter"/>
          </w:rPr>
          <w:t>132/2013</w:t>
        </w:r>
      </w:hyperlink>
      <w:r>
        <w:t>, ff. 2, 3, 8.</w:t>
      </w:r>
    </w:p>
    <w:p w:rsidR="00E27756" w:rsidRDefault="00E27756" w:rsidP="00E27756">
      <w:pPr>
        <w:pStyle w:val="SangriaFrancesaArticulo"/>
      </w:pPr>
      <w:r w:rsidRPr="00E27756">
        <w:rPr>
          <w:rStyle w:val="TextoNormalNegritaCaracter"/>
        </w:rPr>
        <w:t>Disposición adicional quinta.</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r w:rsidRPr="00E27756">
        <w:rPr>
          <w:rStyle w:val="TextoNormalNegritaCaracter"/>
        </w:rPr>
        <w:t>Disposición adicional sexta.</w:t>
      </w:r>
      <w:r w:rsidRPr="00E27756">
        <w:rPr>
          <w:rStyle w:val="TextoNormalCaracter"/>
        </w:rPr>
        <w:t>-</w:t>
      </w:r>
      <w:r>
        <w:t xml:space="preserve"> Sentencias </w:t>
      </w:r>
      <w:hyperlink w:anchor="SENTENCIA_2013_123" w:history="1">
        <w:r w:rsidRPr="00E27756">
          <w:rPr>
            <w:rStyle w:val="TextoNormalCaracter"/>
          </w:rPr>
          <w:t>123/2013</w:t>
        </w:r>
      </w:hyperlink>
      <w:r>
        <w:t xml:space="preserve">, f. 9; </w:t>
      </w:r>
      <w:hyperlink w:anchor="SENTENCIA_2013_132" w:history="1">
        <w:r w:rsidRPr="00E27756">
          <w:rPr>
            <w:rStyle w:val="TextoNormalCaracter"/>
          </w:rPr>
          <w:t>132/2013</w:t>
        </w:r>
      </w:hyperlink>
      <w:r>
        <w:t>, f. 3.</w:t>
      </w:r>
    </w:p>
    <w:p w:rsidR="00E27756" w:rsidRDefault="00E27756" w:rsidP="00E27756">
      <w:pPr>
        <w:pStyle w:val="SangriaFrancesaArticulo"/>
      </w:pPr>
      <w:r w:rsidRPr="00E27756">
        <w:rPr>
          <w:rStyle w:val="TextoNormalNegritaCaracter"/>
        </w:rPr>
        <w:t>Disposición transitoria primera.</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Disposición transitoria segunda.</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r w:rsidRPr="00E27756">
        <w:rPr>
          <w:rStyle w:val="TextoNormalNegritaCaracter"/>
        </w:rPr>
        <w:t>Disposición derogatoria única, apartados 1, 2.</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p>
    <w:p w:rsidR="00E27756" w:rsidRDefault="00E27756" w:rsidP="00E27756">
      <w:pPr>
        <w:pStyle w:val="TextoNormalNegritaCursivandice"/>
      </w:pPr>
      <w:r>
        <w:t>Ley del Parlamento de Canarias 2/2003, de 30 de enero. Vivienda de Canarias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p>
    <w:p w:rsidR="00E27756" w:rsidRDefault="00E27756" w:rsidP="00E27756">
      <w:pPr>
        <w:pStyle w:val="TextoNormalNegritaCursivandice"/>
      </w:pPr>
      <w:r>
        <w:t>Ley del Parlamento de Canarias 9/2003, de 3 de abril. Medidas tributarias y de financiación de las haciendas territoriales Canarias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p>
    <w:p w:rsidR="00E27756" w:rsidRDefault="00E27756" w:rsidP="00E27756">
      <w:pPr>
        <w:pStyle w:val="TextoNormalNegritaCursivandice"/>
      </w:pPr>
      <w:r>
        <w:t>Ley del Parlamento de Canarias 17/2003, de 10 de abril. Pesca de Canarias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Artículo 69 k).</w:t>
      </w:r>
      <w:r w:rsidRPr="00E27756">
        <w:rPr>
          <w:rStyle w:val="TextoNormalCaracter"/>
        </w:rPr>
        <w:t>-</w:t>
      </w:r>
      <w:r>
        <w:t xml:space="preserve"> Sentencia </w:t>
      </w:r>
      <w:hyperlink w:anchor="SENTENCIA_2013_132" w:history="1">
        <w:r w:rsidRPr="00E27756">
          <w:rPr>
            <w:rStyle w:val="TextoNormalCaracter"/>
          </w:rPr>
          <w:t>132/2013</w:t>
        </w:r>
      </w:hyperlink>
      <w:r>
        <w:t>, f. 7.</w:t>
      </w:r>
    </w:p>
    <w:p w:rsidR="00E27756" w:rsidRDefault="00E27756" w:rsidP="00E27756">
      <w:pPr>
        <w:pStyle w:val="SangriaFrancesaArticulo"/>
      </w:pPr>
      <w:r w:rsidRPr="00E27756">
        <w:rPr>
          <w:rStyle w:val="TextoNormalNegritaCaracter"/>
        </w:rPr>
        <w:t>Disposición derogatoria única.</w:t>
      </w:r>
      <w:r w:rsidRPr="00E27756">
        <w:rPr>
          <w:rStyle w:val="TextoNormalCaracter"/>
        </w:rPr>
        <w:t>-</w:t>
      </w:r>
      <w:r>
        <w:t xml:space="preserve"> Sentencia </w:t>
      </w:r>
      <w:hyperlink w:anchor="SENTENCIA_2013_132" w:history="1">
        <w:r w:rsidRPr="00E27756">
          <w:rPr>
            <w:rStyle w:val="TextoNormalCaracter"/>
          </w:rPr>
          <w:t>132/2013</w:t>
        </w:r>
      </w:hyperlink>
      <w:r>
        <w:t>, f. 7.</w:t>
      </w:r>
    </w:p>
    <w:p w:rsidR="00E27756" w:rsidRDefault="00E27756" w:rsidP="00E27756">
      <w:pPr>
        <w:pStyle w:val="SangriaFrancesaArticulo"/>
      </w:pPr>
    </w:p>
    <w:p w:rsidR="00E27756" w:rsidRDefault="00E27756" w:rsidP="00E27756">
      <w:pPr>
        <w:pStyle w:val="TextoNormalNegritaCursivandice"/>
      </w:pPr>
      <w:r>
        <w:t>Ley del Parlamento de Canarias 19/2003, de 14 de abril. Aprueba las directrices de ordenación general y las directrices de ordenación del turismo de Canarias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p>
    <w:p w:rsidR="00E27756" w:rsidRDefault="00E27756" w:rsidP="00E27756">
      <w:pPr>
        <w:pStyle w:val="TextoNormalNegritaCursivandice"/>
      </w:pPr>
      <w:r>
        <w:t>Ley del Parlamento de Canarias 8/2005, de 21 de diciembre. Modificación de la Ley 11/1997, de 2 de diciembre, de regulación del sector eléctrico canario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3" w:history="1">
        <w:r w:rsidRPr="00E27756">
          <w:rPr>
            <w:rStyle w:val="TextoNormalCaracter"/>
          </w:rPr>
          <w:t>123/2013</w:t>
        </w:r>
      </w:hyperlink>
      <w:r>
        <w:t>, f. 2.</w:t>
      </w:r>
    </w:p>
    <w:p w:rsidR="00E27756" w:rsidRDefault="00E27756" w:rsidP="00E27756">
      <w:pPr>
        <w:pStyle w:val="SangriaIzquierdaArticulo"/>
      </w:pPr>
      <w:r>
        <w:lastRenderedPageBreak/>
        <w:t xml:space="preserve">Auto </w:t>
      </w:r>
      <w:hyperlink w:anchor="AUTO_2013_9" w:history="1">
        <w:r w:rsidRPr="00E27756">
          <w:rPr>
            <w:rStyle w:val="TextoNormalCaracter"/>
          </w:rPr>
          <w:t>9/2013</w:t>
        </w:r>
      </w:hyperlink>
      <w:r>
        <w:t>, f. 1.</w:t>
      </w:r>
    </w:p>
    <w:p w:rsidR="00E27756" w:rsidRDefault="00E27756" w:rsidP="00E27756">
      <w:pPr>
        <w:pStyle w:val="SangriaFrancesaArticulo"/>
      </w:pPr>
      <w:r w:rsidRPr="00E27756">
        <w:rPr>
          <w:rStyle w:val="TextoNormalNegritaCaracter"/>
        </w:rPr>
        <w:t>Artículo único.</w:t>
      </w:r>
      <w:r w:rsidRPr="00E27756">
        <w:rPr>
          <w:rStyle w:val="TextoNormalCaracter"/>
        </w:rPr>
        <w:t>-</w:t>
      </w:r>
      <w:r>
        <w:t xml:space="preserve"> Auto </w:t>
      </w:r>
      <w:hyperlink w:anchor="AUTO_2013_9" w:history="1">
        <w:r w:rsidRPr="00E27756">
          <w:rPr>
            <w:rStyle w:val="TextoNormalCaracter"/>
          </w:rPr>
          <w:t>9/2013</w:t>
        </w:r>
      </w:hyperlink>
      <w:r>
        <w:t>, f. 5.</w:t>
      </w:r>
    </w:p>
    <w:p w:rsidR="00E27756" w:rsidRDefault="00E27756" w:rsidP="00E27756">
      <w:pPr>
        <w:pStyle w:val="SangriaFrancesaArticulo"/>
      </w:pPr>
    </w:p>
    <w:p w:rsidR="00E27756" w:rsidRDefault="00E27756" w:rsidP="00E27756">
      <w:pPr>
        <w:pStyle w:val="TextoNormalNegritaCursivandice"/>
      </w:pPr>
      <w:r>
        <w:t>Ley del Parlamento de Canarias 1/2006, de 7 de febrero. Modifica la Ley 2/2003, de 30 de enero, de vivienda de Canarias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ff. 2, 3.</w:t>
      </w:r>
    </w:p>
    <w:p w:rsidR="00E27756" w:rsidRDefault="00E27756" w:rsidP="00E27756">
      <w:pPr>
        <w:pStyle w:val="SangriaFrancesaArticulo"/>
      </w:pPr>
    </w:p>
    <w:p w:rsidR="00E27756" w:rsidRDefault="00E27756" w:rsidP="00E27756">
      <w:pPr>
        <w:pStyle w:val="TextoNormalNegritaCursivandice"/>
      </w:pPr>
      <w:r>
        <w:t>Ley del Parlamento de Canarias 6/2006, de 17 de julio. Patrimonio de la Comunidad Autónoma de Canarias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ff. 2, 4.</w:t>
      </w:r>
    </w:p>
    <w:p w:rsidR="00E27756" w:rsidRDefault="00E27756" w:rsidP="00E27756">
      <w:pPr>
        <w:pStyle w:val="SangriaFrancesaArticulo"/>
      </w:pPr>
    </w:p>
    <w:p w:rsidR="00E27756" w:rsidRDefault="00E27756" w:rsidP="00E27756">
      <w:pPr>
        <w:pStyle w:val="TextoNormalNegritaCursivandice"/>
      </w:pPr>
      <w:r>
        <w:t>Ley del Parlamento de Canarias 11/2006, de 11 de diciembre. Hacienda Pública de Canarias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ff. 2, 3, 5.</w:t>
      </w:r>
    </w:p>
    <w:p w:rsidR="00E27756" w:rsidRDefault="00E27756" w:rsidP="00E27756">
      <w:pPr>
        <w:pStyle w:val="SangriaFrancesaArticulo"/>
      </w:pPr>
    </w:p>
    <w:p w:rsidR="00E27756" w:rsidRDefault="00E27756" w:rsidP="00E27756">
      <w:pPr>
        <w:pStyle w:val="TextoNormalNegritaCursivandice"/>
      </w:pPr>
      <w:r>
        <w:t>Ley del Parlamento de Canarias 12/2006, de 28 de diciembre. Presupuestos Generales de la Comunidad Autónoma de Canarias para 2007</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p>
    <w:p w:rsidR="00E27756" w:rsidRDefault="00E27756" w:rsidP="00E27756">
      <w:pPr>
        <w:pStyle w:val="TextoNormalNegritaCursivandice"/>
      </w:pPr>
      <w:r>
        <w:t>Ley del Parlamento de Canarias 9/2007, de 13 de abril. Sistema canario de seguridad y emergencias y de modificación de la Ley del Parlamento de Canarias 6/1997, de 4 de julio, de coordinación de las policías locales de Canarias.</w:t>
      </w:r>
    </w:p>
    <w:p w:rsidR="00E27756" w:rsidRDefault="00E27756" w:rsidP="00E27756">
      <w:pPr>
        <w:pStyle w:val="SangriaFrancesaArticulo"/>
      </w:pPr>
      <w:r w:rsidRPr="00E27756">
        <w:rPr>
          <w:rStyle w:val="TextoNormalNegritaCaracter"/>
        </w:rPr>
        <w:t>Disposición transitoria, apartado 5</w:t>
      </w:r>
      <w:r>
        <w:t xml:space="preserve"> </w:t>
      </w:r>
      <w:r w:rsidRPr="00E27756">
        <w:rPr>
          <w:rStyle w:val="TextoNormalCaracter"/>
        </w:rPr>
        <w:t>(redactada por la Ley del Parlamento de Canarias 9/2009, de 16 de julio)</w:t>
      </w:r>
      <w:r w:rsidRPr="00E27756">
        <w:rPr>
          <w:rStyle w:val="TextoNormalNegritaCaracter"/>
        </w:rPr>
        <w:t>.</w:t>
      </w:r>
      <w:r w:rsidRPr="00E27756">
        <w:rPr>
          <w:rStyle w:val="TextoNormalCaracter"/>
        </w:rPr>
        <w:t>-</w:t>
      </w:r>
      <w:r>
        <w:t xml:space="preserve"> Sentencia </w:t>
      </w:r>
      <w:hyperlink w:anchor="SENTENCIA_2013_33" w:history="1">
        <w:r w:rsidRPr="00E27756">
          <w:rPr>
            <w:rStyle w:val="TextoNormalCaracter"/>
          </w:rPr>
          <w:t>33/2013</w:t>
        </w:r>
      </w:hyperlink>
      <w:r>
        <w:t>, ff. 1, 3, 6.</w:t>
      </w:r>
    </w:p>
    <w:p w:rsidR="00E27756" w:rsidRDefault="00E27756" w:rsidP="00E27756">
      <w:pPr>
        <w:pStyle w:val="SangriaFrancesaArticulo"/>
      </w:pPr>
    </w:p>
    <w:p w:rsidR="00E27756" w:rsidRDefault="00E27756" w:rsidP="00E27756">
      <w:pPr>
        <w:pStyle w:val="TextoNormalNegritaCursivandice"/>
      </w:pPr>
      <w:r>
        <w:t>Ley del Parlamento de Canarias 9/2009, de 16 de julio, de modificación de la Ley 2/2008, de 28 de mayo, del cuerpo general de la policía Canaria.</w:t>
      </w:r>
    </w:p>
    <w:p w:rsidR="00E27756" w:rsidRDefault="00E27756" w:rsidP="00E27756">
      <w:pPr>
        <w:pStyle w:val="SangriaFrancesaArticulo"/>
      </w:pPr>
      <w:r w:rsidRPr="00E27756">
        <w:rPr>
          <w:rStyle w:val="TextoNormalNegritaCaracter"/>
        </w:rPr>
        <w:t>Disposición adicional segunda.</w:t>
      </w:r>
      <w:r w:rsidRPr="00E27756">
        <w:rPr>
          <w:rStyle w:val="TextoNormalCaracter"/>
        </w:rPr>
        <w:t>-</w:t>
      </w:r>
      <w:r>
        <w:t xml:space="preserve"> Sentencia </w:t>
      </w:r>
      <w:hyperlink w:anchor="SENTENCIA_2013_33" w:history="1">
        <w:r w:rsidRPr="00E27756">
          <w:rPr>
            <w:rStyle w:val="TextoNormalCaracter"/>
          </w:rPr>
          <w:t>33/2013</w:t>
        </w:r>
      </w:hyperlink>
      <w:r>
        <w:t>, f. 3.</w:t>
      </w:r>
    </w:p>
    <w:p w:rsidR="00E27756" w:rsidRDefault="00E27756" w:rsidP="00E27756">
      <w:pPr>
        <w:pStyle w:val="SangriaFrancesaArticulo"/>
      </w:pPr>
      <w:r w:rsidRPr="00E27756">
        <w:rPr>
          <w:rStyle w:val="TextoNormalNegritaCaracter"/>
        </w:rPr>
        <w:t>Disposición final única.</w:t>
      </w:r>
      <w:r w:rsidRPr="00E27756">
        <w:rPr>
          <w:rStyle w:val="TextoNormalCaracter"/>
        </w:rPr>
        <w:t>-</w:t>
      </w:r>
      <w:r>
        <w:t xml:space="preserve"> Sentencia </w:t>
      </w:r>
      <w:hyperlink w:anchor="SENTENCIA_2013_33" w:history="1">
        <w:r w:rsidRPr="00E27756">
          <w:rPr>
            <w:rStyle w:val="TextoNormalCaracter"/>
          </w:rPr>
          <w:t>33/2013</w:t>
        </w:r>
      </w:hyperlink>
      <w:r>
        <w:t>, f. 3.</w:t>
      </w:r>
    </w:p>
    <w:p w:rsidR="00E27756" w:rsidRDefault="00E27756" w:rsidP="00E27756">
      <w:pPr>
        <w:pStyle w:val="SangriaFrancesaArticulo"/>
      </w:pPr>
    </w:p>
    <w:p w:rsidR="00E27756" w:rsidRDefault="00E27756" w:rsidP="00E27756">
      <w:pPr>
        <w:pStyle w:val="TextoNormalNegritaCursivandice"/>
      </w:pPr>
      <w:r>
        <w:t>Ley del Parlamento de Canarias 8/2010, de 15 de julio. Juegos y Apuestas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p>
    <w:p w:rsidR="00E27756" w:rsidRDefault="00E27756" w:rsidP="00E27756">
      <w:pPr>
        <w:pStyle w:val="TextoNormalNegritaCursivandice"/>
      </w:pPr>
      <w:r>
        <w:t>Ley del Parlamento de Canarias 44/2010, de 30 de diciembre. Aguas canarias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87" w:history="1">
        <w:r w:rsidRPr="00E27756">
          <w:rPr>
            <w:rStyle w:val="TextoNormalCaracter"/>
          </w:rPr>
          <w:t>87/2013</w:t>
        </w:r>
      </w:hyperlink>
      <w:r>
        <w:t xml:space="preserve">, f. 2; </w:t>
      </w:r>
      <w:hyperlink w:anchor="SENTENCIA_2013_99" w:history="1">
        <w:r w:rsidRPr="00E27756">
          <w:rPr>
            <w:rStyle w:val="TextoNormalCaracter"/>
          </w:rPr>
          <w:t>99/2013</w:t>
        </w:r>
      </w:hyperlink>
      <w:r>
        <w:t>, f. 2.</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Sentencias </w:t>
      </w:r>
      <w:hyperlink w:anchor="SENTENCIA_2013_87" w:history="1">
        <w:r w:rsidRPr="00E27756">
          <w:rPr>
            <w:rStyle w:val="TextoNormalCaracter"/>
          </w:rPr>
          <w:t>87/2013</w:t>
        </w:r>
      </w:hyperlink>
      <w:r>
        <w:t xml:space="preserve">, f. 2; </w:t>
      </w:r>
      <w:hyperlink w:anchor="SENTENCIA_2013_99" w:history="1">
        <w:r w:rsidRPr="00E27756">
          <w:rPr>
            <w:rStyle w:val="TextoNormalCaracter"/>
          </w:rPr>
          <w:t>99/2013</w:t>
        </w:r>
      </w:hyperlink>
      <w:r>
        <w:t>, f. 2.</w:t>
      </w:r>
    </w:p>
    <w:p w:rsidR="00E27756" w:rsidRDefault="00E27756" w:rsidP="00E27756">
      <w:pPr>
        <w:pStyle w:val="SangriaFrancesaArticulo"/>
      </w:pPr>
      <w:r w:rsidRPr="00E27756">
        <w:rPr>
          <w:rStyle w:val="TextoNormalNegritaCaracter"/>
        </w:rPr>
        <w:t>Artículo único, apartado 2.</w:t>
      </w:r>
      <w:r w:rsidRPr="00E27756">
        <w:rPr>
          <w:rStyle w:val="TextoNormalCaracter"/>
        </w:rPr>
        <w:t>-</w:t>
      </w:r>
      <w:r>
        <w:t xml:space="preserve"> Sentencia </w:t>
      </w:r>
      <w:hyperlink w:anchor="SENTENCIA_2013_87" w:history="1">
        <w:r w:rsidRPr="00E27756">
          <w:rPr>
            <w:rStyle w:val="TextoNormalCaracter"/>
          </w:rPr>
          <w:t>87/2013</w:t>
        </w:r>
      </w:hyperlink>
      <w:r>
        <w:t>, f. 2.</w:t>
      </w:r>
    </w:p>
    <w:p w:rsidR="00E27756" w:rsidRDefault="00E27756" w:rsidP="00E27756">
      <w:pPr>
        <w:pStyle w:val="SangriaFrancesaArticulo"/>
      </w:pPr>
    </w:p>
    <w:p w:rsidR="00E27756" w:rsidRDefault="00E27756" w:rsidP="00E27756">
      <w:pPr>
        <w:pStyle w:val="TextoNormalNegritaCursivandice"/>
      </w:pPr>
      <w:r>
        <w:t>Ley del Parlamento de Canarias 2/2011, de 26 de enero. Modificación de la Ley 11/1997, de 2 de diciembre, de regulación del sector eléctrico canario y la Ley 19/2003, de 14 de abril, por la que se aprueban las directrices de ordenación general y las directrices de ordenación del turismo en Canarias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3" w:history="1">
        <w:r w:rsidRPr="00E27756">
          <w:rPr>
            <w:rStyle w:val="TextoNormalCaracter"/>
          </w:rPr>
          <w:t>123/2013</w:t>
        </w:r>
      </w:hyperlink>
      <w:r>
        <w:t>, f. 2.</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Autos </w:t>
      </w:r>
      <w:hyperlink w:anchor="AUTO_2013_9" w:history="1">
        <w:r w:rsidRPr="00E27756">
          <w:rPr>
            <w:rStyle w:val="TextoNormalCaracter"/>
          </w:rPr>
          <w:t>9/2013</w:t>
        </w:r>
      </w:hyperlink>
      <w:r>
        <w:t xml:space="preserve">, f. 1; </w:t>
      </w:r>
      <w:hyperlink w:anchor="AUTO_2013_9" w:history="1">
        <w:r w:rsidRPr="00E27756">
          <w:rPr>
            <w:rStyle w:val="TextoNormalCaracter"/>
          </w:rPr>
          <w:t>9/2013</w:t>
        </w:r>
      </w:hyperlink>
      <w:r>
        <w:t>, f. 1, 3.</w:t>
      </w:r>
    </w:p>
    <w:p w:rsidR="00E27756" w:rsidRDefault="00E27756" w:rsidP="00E27756">
      <w:pPr>
        <w:pStyle w:val="SangriaFrancesaArticulo"/>
      </w:pPr>
    </w:p>
    <w:p w:rsidR="00E27756" w:rsidRDefault="00E27756" w:rsidP="00E27756">
      <w:pPr>
        <w:pStyle w:val="TextoNormalNegritaCursivandice"/>
      </w:pPr>
      <w:r>
        <w:lastRenderedPageBreak/>
        <w:t>Ley del Parlamento de Canarias 7/2011, de 5 de abril. Actividades clasificadas y espectáculos públicos y otras medidas administrativas complementarias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32" w:history="1">
        <w:r w:rsidRPr="00E27756">
          <w:rPr>
            <w:rStyle w:val="TextoNormalCaracter"/>
          </w:rPr>
          <w:t>132/2013</w:t>
        </w:r>
      </w:hyperlink>
      <w:r>
        <w:t xml:space="preserve">, ff. 2, 3, 8; </w:t>
      </w:r>
      <w:hyperlink w:anchor="SENTENCIA_2013_132" w:history="1">
        <w:r w:rsidRPr="00E27756">
          <w:rPr>
            <w:rStyle w:val="TextoNormalCaracter"/>
          </w:rPr>
          <w:t>132/2013</w:t>
        </w:r>
      </w:hyperlink>
      <w:r>
        <w:t>, ff. 2, 3, 8.</w:t>
      </w:r>
    </w:p>
    <w:p w:rsidR="00E27756" w:rsidRDefault="00E27756" w:rsidP="00E27756">
      <w:pPr>
        <w:pStyle w:val="SangriaFrancesaArticulo"/>
      </w:pPr>
      <w:r w:rsidRPr="00E27756">
        <w:rPr>
          <w:rStyle w:val="TextoNormalNegritaCaracter"/>
        </w:rPr>
        <w:t>Título V, capítulo IV.</w:t>
      </w:r>
      <w:r w:rsidRPr="00E27756">
        <w:rPr>
          <w:rStyle w:val="TextoNormalCaracter"/>
        </w:rPr>
        <w:t>-</w:t>
      </w:r>
      <w:r>
        <w:t xml:space="preserve"> Sentencias </w:t>
      </w:r>
      <w:hyperlink w:anchor="SENTENCIA_2013_132" w:history="1">
        <w:r w:rsidRPr="00E27756">
          <w:rPr>
            <w:rStyle w:val="TextoNormalCaracter"/>
          </w:rPr>
          <w:t>132/2013</w:t>
        </w:r>
      </w:hyperlink>
      <w:r>
        <w:t xml:space="preserve">, f. 8;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56.6.</w:t>
      </w:r>
      <w:r w:rsidRPr="00E27756">
        <w:rPr>
          <w:rStyle w:val="TextoNormalCaracter"/>
        </w:rPr>
        <w:t>-</w:t>
      </w:r>
      <w:r>
        <w:t xml:space="preserve"> Sentencias </w:t>
      </w:r>
      <w:hyperlink w:anchor="SENTENCIA_2013_132" w:history="1">
        <w:r w:rsidRPr="00E27756">
          <w:rPr>
            <w:rStyle w:val="TextoNormalCaracter"/>
          </w:rPr>
          <w:t>132/2013</w:t>
        </w:r>
      </w:hyperlink>
      <w:r>
        <w:t xml:space="preserve">, f. 8;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57.</w:t>
      </w:r>
      <w:r w:rsidRPr="00E27756">
        <w:rPr>
          <w:rStyle w:val="TextoNormalCaracter"/>
        </w:rPr>
        <w:t>-</w:t>
      </w:r>
      <w:r>
        <w:t xml:space="preserve"> Sentencias </w:t>
      </w:r>
      <w:hyperlink w:anchor="SENTENCIA_2013_132" w:history="1">
        <w:r w:rsidRPr="00E27756">
          <w:rPr>
            <w:rStyle w:val="TextoNormalCaracter"/>
          </w:rPr>
          <w:t>132/2013</w:t>
        </w:r>
      </w:hyperlink>
      <w:r>
        <w:t xml:space="preserve">, f. 8;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69.1.</w:t>
      </w:r>
      <w:r w:rsidRPr="00E27756">
        <w:rPr>
          <w:rStyle w:val="TextoNormalCaracter"/>
        </w:rPr>
        <w:t>-</w:t>
      </w:r>
      <w:r>
        <w:t xml:space="preserve"> Sentencias </w:t>
      </w:r>
      <w:hyperlink w:anchor="SENTENCIA_2013_132" w:history="1">
        <w:r w:rsidRPr="00E27756">
          <w:rPr>
            <w:rStyle w:val="TextoNormalCaracter"/>
          </w:rPr>
          <w:t>132/2013</w:t>
        </w:r>
      </w:hyperlink>
      <w:r>
        <w:t xml:space="preserve">, f. 8; </w:t>
      </w:r>
      <w:hyperlink w:anchor="SENTENCIA_2013_132" w:history="1">
        <w:r w:rsidRPr="00E27756">
          <w:rPr>
            <w:rStyle w:val="TextoNormalCaracter"/>
          </w:rPr>
          <w:t>132/2013</w:t>
        </w:r>
      </w:hyperlink>
      <w:r>
        <w:t>, f. 8.</w:t>
      </w:r>
    </w:p>
    <w:p w:rsidR="00E27756" w:rsidRDefault="00E27756" w:rsidP="00E27756">
      <w:pPr>
        <w:pStyle w:val="SangriaFrancesaArticulo"/>
      </w:pPr>
      <w:r w:rsidRPr="00E27756">
        <w:rPr>
          <w:rStyle w:val="TextoNormalNegritaCaracter"/>
        </w:rPr>
        <w:t>Artículo 71.</w:t>
      </w:r>
      <w:r w:rsidRPr="00E27756">
        <w:rPr>
          <w:rStyle w:val="TextoNormalCaracter"/>
        </w:rPr>
        <w:t>-</w:t>
      </w:r>
      <w:r>
        <w:t xml:space="preserve"> Sentencias </w:t>
      </w:r>
      <w:hyperlink w:anchor="SENTENCIA_2013_132" w:history="1">
        <w:r w:rsidRPr="00E27756">
          <w:rPr>
            <w:rStyle w:val="TextoNormalCaracter"/>
          </w:rPr>
          <w:t>132/2013</w:t>
        </w:r>
      </w:hyperlink>
      <w:r>
        <w:t xml:space="preserve">, f. 8; </w:t>
      </w:r>
      <w:hyperlink w:anchor="SENTENCIA_2013_132" w:history="1">
        <w:r w:rsidRPr="00E27756">
          <w:rPr>
            <w:rStyle w:val="TextoNormalCaracter"/>
          </w:rPr>
          <w:t>132/2013</w:t>
        </w:r>
      </w:hyperlink>
      <w:r>
        <w:t>, f. 8.</w:t>
      </w:r>
    </w:p>
    <w:p w:rsidR="00E27756" w:rsidRDefault="00E27756" w:rsidP="00E27756">
      <w:pPr>
        <w:pStyle w:val="SangriaFrancesaArticulo"/>
      </w:pPr>
    </w:p>
    <w:p w:rsidR="00E27756" w:rsidRDefault="00E27756" w:rsidP="00E27756">
      <w:pPr>
        <w:pStyle w:val="TextoNormalNegritaCursivandice"/>
      </w:pPr>
      <w:r>
        <w:t>Ley del Parlamento de Canarias 4/2012, de 25 de junio. Medidas administrativas y fiscales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TextoNormal"/>
      </w:pPr>
    </w:p>
    <w:p w:rsidR="00E27756" w:rsidRDefault="00E27756" w:rsidP="00E27756">
      <w:pPr>
        <w:pStyle w:val="TextoNormalNegritaCentradoSubrayado"/>
        <w:suppressAutoHyphens/>
      </w:pPr>
      <w:r>
        <w:t>J.5.d) Normas parlamentarias autonómicas</w:t>
      </w:r>
    </w:p>
    <w:p w:rsidR="00E27756" w:rsidRDefault="00E27756" w:rsidP="00E27756">
      <w:pPr>
        <w:pStyle w:val="TextoNormalNegritaCentradoSubrayado"/>
      </w:pPr>
    </w:p>
    <w:p w:rsidR="00E27756" w:rsidRDefault="00E27756" w:rsidP="00E27756">
      <w:pPr>
        <w:pStyle w:val="TextoNormalNegritaCursivandice"/>
      </w:pPr>
      <w:r>
        <w:t>Reglamento del Parlamento de Canarias, de 29 de marzo de 1995</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132" w:history="1">
        <w:r w:rsidRPr="00E27756">
          <w:rPr>
            <w:rStyle w:val="TextoNormalCaracter"/>
          </w:rPr>
          <w:t>132/2013</w:t>
        </w:r>
      </w:hyperlink>
      <w:r>
        <w:t>, f. 1.</w:t>
      </w:r>
    </w:p>
    <w:p w:rsidR="00E27756" w:rsidRDefault="00E27756" w:rsidP="00E27756">
      <w:pPr>
        <w:pStyle w:val="SangriaFrancesaArticulo"/>
      </w:pPr>
      <w:r w:rsidRPr="00E27756">
        <w:rPr>
          <w:rStyle w:val="TextoNormalNegritaCaracter"/>
        </w:rPr>
        <w:t>Artículo 121.</w:t>
      </w:r>
      <w:r w:rsidRPr="00E27756">
        <w:rPr>
          <w:rStyle w:val="TextoNormalCaracter"/>
        </w:rPr>
        <w:t>-</w:t>
      </w:r>
      <w:r>
        <w:t xml:space="preserve"> Sentencia </w:t>
      </w:r>
      <w:hyperlink w:anchor="SENTENCIA_2013_132" w:history="1">
        <w:r w:rsidRPr="00E27756">
          <w:rPr>
            <w:rStyle w:val="TextoNormalCaracter"/>
          </w:rPr>
          <w:t>132/2013</w:t>
        </w:r>
      </w:hyperlink>
      <w:r>
        <w:t>, f. 3.</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J.6) Cantabria</w:t>
      </w:r>
    </w:p>
    <w:p w:rsidR="00E27756" w:rsidRDefault="00E27756" w:rsidP="00E27756">
      <w:pPr>
        <w:pStyle w:val="TextoNormal"/>
      </w:pPr>
    </w:p>
    <w:p w:rsidR="00E27756" w:rsidRDefault="00E27756" w:rsidP="00E27756">
      <w:pPr>
        <w:pStyle w:val="TextoNormalNegritaCentradoSubrayado"/>
        <w:suppressAutoHyphens/>
      </w:pPr>
      <w:r>
        <w:t>J.6.b) Leyes y disposiciones con fuerza de Ley</w:t>
      </w:r>
    </w:p>
    <w:p w:rsidR="00E27756" w:rsidRDefault="00E27756" w:rsidP="00E27756">
      <w:pPr>
        <w:pStyle w:val="TextoNormalNegritaCentradoSubrayado"/>
      </w:pPr>
    </w:p>
    <w:p w:rsidR="00E27756" w:rsidRDefault="00E27756" w:rsidP="00E27756">
      <w:pPr>
        <w:pStyle w:val="TextoNormalNegritaCursivandice"/>
      </w:pPr>
      <w:r>
        <w:t>Ley del Parlamento de Cantabria 2/2001, de 25 de junio. Ordenación territorial y régimen urbanístico del suelo de Cantabria</w:t>
      </w:r>
    </w:p>
    <w:p w:rsidR="00E27756" w:rsidRDefault="00E27756" w:rsidP="00E27756">
      <w:pPr>
        <w:pStyle w:val="SangriaFrancesaArticulo"/>
      </w:pPr>
      <w:r w:rsidRPr="00E27756">
        <w:rPr>
          <w:rStyle w:val="TextoNormalNegritaCaracter"/>
        </w:rPr>
        <w:t>Disposición adicional sexta.</w:t>
      </w:r>
      <w:r w:rsidRPr="00E27756">
        <w:rPr>
          <w:rStyle w:val="TextoNormalCaracter"/>
        </w:rPr>
        <w:t>-</w:t>
      </w:r>
      <w:r>
        <w:t xml:space="preserve"> Autos </w:t>
      </w:r>
      <w:hyperlink w:anchor="AUTO_2013_114" w:history="1">
        <w:r w:rsidRPr="00E27756">
          <w:rPr>
            <w:rStyle w:val="TextoNormalCaracter"/>
          </w:rPr>
          <w:t>114/2013</w:t>
        </w:r>
      </w:hyperlink>
      <w:r>
        <w:t xml:space="preserve">, f. único; </w:t>
      </w:r>
      <w:hyperlink w:anchor="AUTO_2013_115" w:history="1">
        <w:r w:rsidRPr="00E27756">
          <w:rPr>
            <w:rStyle w:val="TextoNormalCaracter"/>
          </w:rPr>
          <w:t>115/2013</w:t>
        </w:r>
      </w:hyperlink>
      <w:r>
        <w:t xml:space="preserve">, f. único; </w:t>
      </w:r>
      <w:hyperlink w:anchor="AUTO_2013_117" w:history="1">
        <w:r w:rsidRPr="00E27756">
          <w:rPr>
            <w:rStyle w:val="TextoNormalCaracter"/>
          </w:rPr>
          <w:t>117/2013</w:t>
        </w:r>
      </w:hyperlink>
      <w:r>
        <w:t xml:space="preserve">, f. único; </w:t>
      </w:r>
      <w:hyperlink w:anchor="AUTO_2013_118" w:history="1">
        <w:r w:rsidRPr="00E27756">
          <w:rPr>
            <w:rStyle w:val="TextoNormalCaracter"/>
          </w:rPr>
          <w:t>118/2013</w:t>
        </w:r>
      </w:hyperlink>
      <w:r>
        <w:t xml:space="preserve">, f. único; </w:t>
      </w:r>
      <w:hyperlink w:anchor="AUTO_2013_119" w:history="1">
        <w:r w:rsidRPr="00E27756">
          <w:rPr>
            <w:rStyle w:val="TextoNormalCaracter"/>
          </w:rPr>
          <w:t>119/2013</w:t>
        </w:r>
      </w:hyperlink>
      <w:r>
        <w:t xml:space="preserve">, f. único; </w:t>
      </w:r>
      <w:hyperlink w:anchor="AUTO_2013_140" w:history="1">
        <w:r w:rsidRPr="00E27756">
          <w:rPr>
            <w:rStyle w:val="TextoNormalCaracter"/>
          </w:rPr>
          <w:t>140/2013</w:t>
        </w:r>
      </w:hyperlink>
      <w:r>
        <w:t>, f. único.</w:t>
      </w:r>
    </w:p>
    <w:p w:rsidR="00E27756" w:rsidRDefault="00E27756" w:rsidP="00E27756">
      <w:pPr>
        <w:pStyle w:val="SangriaFrancesaArticulo"/>
      </w:pPr>
      <w:r w:rsidRPr="00E27756">
        <w:rPr>
          <w:rStyle w:val="TextoNormalNegritaCaracter"/>
        </w:rPr>
        <w:t>Disposición adicional sexta, apartado 4 párrafo 5.</w:t>
      </w:r>
      <w:r w:rsidRPr="00E27756">
        <w:rPr>
          <w:rStyle w:val="TextoNormalCaracter"/>
        </w:rPr>
        <w:t>-</w:t>
      </w:r>
      <w:r>
        <w:t xml:space="preserve"> Auto </w:t>
      </w:r>
      <w:hyperlink w:anchor="AUTO_2013_108" w:history="1">
        <w:r w:rsidRPr="00E27756">
          <w:rPr>
            <w:rStyle w:val="TextoNormalCaracter"/>
          </w:rPr>
          <w:t>108/2013</w:t>
        </w:r>
      </w:hyperlink>
      <w:r>
        <w:t>, f. único.</w:t>
      </w:r>
    </w:p>
    <w:p w:rsidR="00E27756" w:rsidRDefault="00E27756" w:rsidP="00E27756">
      <w:pPr>
        <w:pStyle w:val="SangriaFrancesaArticulo"/>
      </w:pPr>
      <w:r w:rsidRPr="00E27756">
        <w:rPr>
          <w:rStyle w:val="TextoNormalNegritaCaracter"/>
        </w:rPr>
        <w:t>Disposición adicional sexta, apartado 5.</w:t>
      </w:r>
      <w:r w:rsidRPr="00E27756">
        <w:rPr>
          <w:rStyle w:val="TextoNormalCaracter"/>
        </w:rPr>
        <w:t>-</w:t>
      </w:r>
      <w:r>
        <w:t xml:space="preserve"> Auto </w:t>
      </w:r>
      <w:hyperlink w:anchor="AUTO_2013_108" w:history="1">
        <w:r w:rsidRPr="00E27756">
          <w:rPr>
            <w:rStyle w:val="TextoNormalCaracter"/>
          </w:rPr>
          <w:t>108/2013</w:t>
        </w:r>
      </w:hyperlink>
      <w:r>
        <w:t>, f. único.</w:t>
      </w:r>
    </w:p>
    <w:p w:rsidR="00E27756" w:rsidRDefault="00E27756" w:rsidP="00E27756">
      <w:pPr>
        <w:pStyle w:val="SangriaFrancesaArticulo"/>
      </w:pPr>
      <w:r w:rsidRPr="00E27756">
        <w:rPr>
          <w:rStyle w:val="TextoNormalNegritaCaracter"/>
        </w:rPr>
        <w:t>Disposición adicional sexta</w:t>
      </w:r>
      <w:r>
        <w:t xml:space="preserve"> </w:t>
      </w:r>
      <w:r w:rsidRPr="00E27756">
        <w:rPr>
          <w:rStyle w:val="TextoNormalCaracter"/>
        </w:rPr>
        <w:t>(redactada por la Ley del Parlamento de Cantabria 2/2011, de 4 de abril)</w:t>
      </w:r>
      <w:r w:rsidRPr="00E27756">
        <w:rPr>
          <w:rStyle w:val="TextoNormalNegritaCaracter"/>
        </w:rPr>
        <w:t>.</w:t>
      </w:r>
      <w:r w:rsidRPr="00E27756">
        <w:rPr>
          <w:rStyle w:val="TextoNormalCaracter"/>
        </w:rPr>
        <w:t>-</w:t>
      </w:r>
      <w:r>
        <w:t xml:space="preserve"> Sentencia </w:t>
      </w:r>
      <w:hyperlink w:anchor="SENTENCIA_2013_92" w:history="1">
        <w:r w:rsidRPr="00E27756">
          <w:rPr>
            <w:rStyle w:val="TextoNormalCaracter"/>
          </w:rPr>
          <w:t>92/2013</w:t>
        </w:r>
      </w:hyperlink>
      <w:r>
        <w:t>, ff. 1 a 3.</w:t>
      </w:r>
    </w:p>
    <w:p w:rsidR="00E27756" w:rsidRDefault="00E27756" w:rsidP="00E27756">
      <w:pPr>
        <w:pStyle w:val="SangriaIzquierdaArticulo"/>
      </w:pPr>
      <w:r>
        <w:t xml:space="preserve">Autos </w:t>
      </w:r>
      <w:hyperlink w:anchor="AUTO_2013_104" w:history="1">
        <w:r w:rsidRPr="00E27756">
          <w:rPr>
            <w:rStyle w:val="TextoNormalCaracter"/>
          </w:rPr>
          <w:t>104/2013</w:t>
        </w:r>
      </w:hyperlink>
      <w:r>
        <w:t xml:space="preserve">, f. único; </w:t>
      </w:r>
      <w:hyperlink w:anchor="AUTO_2013_105" w:history="1">
        <w:r w:rsidRPr="00E27756">
          <w:rPr>
            <w:rStyle w:val="TextoNormalCaracter"/>
          </w:rPr>
          <w:t>105/2013</w:t>
        </w:r>
      </w:hyperlink>
      <w:r>
        <w:t xml:space="preserve">, f. único; </w:t>
      </w:r>
      <w:hyperlink w:anchor="AUTO_2013_106" w:history="1">
        <w:r w:rsidRPr="00E27756">
          <w:rPr>
            <w:rStyle w:val="TextoNormalCaracter"/>
          </w:rPr>
          <w:t>106/2013</w:t>
        </w:r>
      </w:hyperlink>
      <w:r>
        <w:t xml:space="preserve">, f. único; </w:t>
      </w:r>
      <w:hyperlink w:anchor="AUTO_2013_107" w:history="1">
        <w:r w:rsidRPr="00E27756">
          <w:rPr>
            <w:rStyle w:val="TextoNormalCaracter"/>
          </w:rPr>
          <w:t>107/2013</w:t>
        </w:r>
      </w:hyperlink>
      <w:r>
        <w:t xml:space="preserve">, f. único; </w:t>
      </w:r>
      <w:hyperlink w:anchor="AUTO_2013_108" w:history="1">
        <w:r w:rsidRPr="00E27756">
          <w:rPr>
            <w:rStyle w:val="TextoNormalCaracter"/>
          </w:rPr>
          <w:t>108/2013</w:t>
        </w:r>
      </w:hyperlink>
      <w:r>
        <w:t xml:space="preserve">, f. único; </w:t>
      </w:r>
      <w:hyperlink w:anchor="AUTO_2013_109" w:history="1">
        <w:r w:rsidRPr="00E27756">
          <w:rPr>
            <w:rStyle w:val="TextoNormalCaracter"/>
          </w:rPr>
          <w:t>109/2013</w:t>
        </w:r>
      </w:hyperlink>
      <w:r>
        <w:t xml:space="preserve">, f. único; </w:t>
      </w:r>
      <w:hyperlink w:anchor="AUTO_2013_110" w:history="1">
        <w:r w:rsidRPr="00E27756">
          <w:rPr>
            <w:rStyle w:val="TextoNormalCaracter"/>
          </w:rPr>
          <w:t>110/2013</w:t>
        </w:r>
      </w:hyperlink>
      <w:r>
        <w:t xml:space="preserve">, f. único; </w:t>
      </w:r>
      <w:hyperlink w:anchor="AUTO_2013_111" w:history="1">
        <w:r w:rsidRPr="00E27756">
          <w:rPr>
            <w:rStyle w:val="TextoNormalCaracter"/>
          </w:rPr>
          <w:t>111/2013</w:t>
        </w:r>
      </w:hyperlink>
      <w:r>
        <w:t xml:space="preserve">, f. único; </w:t>
      </w:r>
      <w:hyperlink w:anchor="AUTO_2013_112" w:history="1">
        <w:r w:rsidRPr="00E27756">
          <w:rPr>
            <w:rStyle w:val="TextoNormalCaracter"/>
          </w:rPr>
          <w:t>112/2013</w:t>
        </w:r>
      </w:hyperlink>
      <w:r>
        <w:t xml:space="preserve">, f. único; </w:t>
      </w:r>
      <w:hyperlink w:anchor="AUTO_2013_113" w:history="1">
        <w:r w:rsidRPr="00E27756">
          <w:rPr>
            <w:rStyle w:val="TextoNormalCaracter"/>
          </w:rPr>
          <w:t>113/2013</w:t>
        </w:r>
      </w:hyperlink>
      <w:r>
        <w:t>, f. único.</w:t>
      </w:r>
    </w:p>
    <w:p w:rsidR="00E27756" w:rsidRDefault="00E27756" w:rsidP="00E27756">
      <w:pPr>
        <w:pStyle w:val="SangriaFrancesaArticulo"/>
      </w:pPr>
      <w:r w:rsidRPr="00E27756">
        <w:rPr>
          <w:rStyle w:val="TextoNormalNegritaCaracter"/>
        </w:rPr>
        <w:t>Disposición adicional sexta, apartado 1</w:t>
      </w:r>
      <w:r>
        <w:t xml:space="preserve"> </w:t>
      </w:r>
      <w:r w:rsidRPr="00E27756">
        <w:rPr>
          <w:rStyle w:val="TextoNormalCaracter"/>
        </w:rPr>
        <w:t>(redactada por la Ley del Parlamento de Cantabria 2/2011, de 4 de abril)</w:t>
      </w:r>
      <w:r w:rsidRPr="00E27756">
        <w:rPr>
          <w:rStyle w:val="TextoNormalNegritaCaracter"/>
        </w:rPr>
        <w:t>.</w:t>
      </w:r>
      <w:r w:rsidRPr="00E27756">
        <w:rPr>
          <w:rStyle w:val="TextoNormalCaracter"/>
        </w:rPr>
        <w:t>-</w:t>
      </w:r>
      <w:r>
        <w:t xml:space="preserve"> Sentencia </w:t>
      </w:r>
      <w:hyperlink w:anchor="SENTENCIA_2013_92" w:history="1">
        <w:r w:rsidRPr="00E27756">
          <w:rPr>
            <w:rStyle w:val="TextoNormalCaracter"/>
          </w:rPr>
          <w:t>92/2013</w:t>
        </w:r>
      </w:hyperlink>
      <w:r>
        <w:t>, f. 5.</w:t>
      </w:r>
    </w:p>
    <w:p w:rsidR="00E27756" w:rsidRDefault="00E27756" w:rsidP="00E27756">
      <w:pPr>
        <w:pStyle w:val="SangriaFrancesaArticulo"/>
      </w:pPr>
      <w:r w:rsidRPr="00E27756">
        <w:rPr>
          <w:rStyle w:val="TextoNormalNegritaCaracter"/>
        </w:rPr>
        <w:t>Disposición adicional sexta, apartado 4</w:t>
      </w:r>
      <w:r>
        <w:t xml:space="preserve"> </w:t>
      </w:r>
      <w:r w:rsidRPr="00E27756">
        <w:rPr>
          <w:rStyle w:val="TextoNormalCaracter"/>
        </w:rPr>
        <w:t>(redactada por la Ley del Parlamento de Cantabria 2/2011, de 4 de abril)</w:t>
      </w:r>
      <w:r w:rsidRPr="00E27756">
        <w:rPr>
          <w:rStyle w:val="TextoNormalNegritaCaracter"/>
        </w:rPr>
        <w:t>.</w:t>
      </w:r>
      <w:r w:rsidRPr="00E27756">
        <w:rPr>
          <w:rStyle w:val="TextoNormalCaracter"/>
        </w:rPr>
        <w:t>-</w:t>
      </w:r>
      <w:r>
        <w:t xml:space="preserve"> Sentencia </w:t>
      </w:r>
      <w:hyperlink w:anchor="SENTENCIA_2013_92" w:history="1">
        <w:r w:rsidRPr="00E27756">
          <w:rPr>
            <w:rStyle w:val="TextoNormalCaracter"/>
          </w:rPr>
          <w:t>92/2013</w:t>
        </w:r>
      </w:hyperlink>
      <w:r>
        <w:t>, ff. 3, 7.</w:t>
      </w:r>
    </w:p>
    <w:p w:rsidR="00E27756" w:rsidRDefault="00E27756" w:rsidP="00E27756">
      <w:pPr>
        <w:pStyle w:val="SangriaFrancesaArticulo"/>
      </w:pPr>
      <w:r w:rsidRPr="00E27756">
        <w:rPr>
          <w:rStyle w:val="TextoNormalNegritaCaracter"/>
        </w:rPr>
        <w:t>Disposición adicional sexta, apartado 4 párrafo 1</w:t>
      </w:r>
      <w:r>
        <w:t xml:space="preserve"> </w:t>
      </w:r>
      <w:r w:rsidRPr="00E27756">
        <w:rPr>
          <w:rStyle w:val="TextoNormalCaracter"/>
        </w:rPr>
        <w:t>(redactada por la Ley del Parlamento de Cantabria 2/2011, de 4 de abril)</w:t>
      </w:r>
      <w:r w:rsidRPr="00E27756">
        <w:rPr>
          <w:rStyle w:val="TextoNormalNegritaCaracter"/>
        </w:rPr>
        <w:t>.</w:t>
      </w:r>
      <w:r w:rsidRPr="00E27756">
        <w:rPr>
          <w:rStyle w:val="TextoNormalCaracter"/>
        </w:rPr>
        <w:t>-</w:t>
      </w:r>
      <w:r>
        <w:t xml:space="preserve"> Sentencia </w:t>
      </w:r>
      <w:hyperlink w:anchor="SENTENCIA_2013_92" w:history="1">
        <w:r w:rsidRPr="00E27756">
          <w:rPr>
            <w:rStyle w:val="TextoNormalCaracter"/>
          </w:rPr>
          <w:t>92/2013</w:t>
        </w:r>
      </w:hyperlink>
      <w:r>
        <w:t>, f. 1.</w:t>
      </w:r>
    </w:p>
    <w:p w:rsidR="00E27756" w:rsidRDefault="00E27756" w:rsidP="00E27756">
      <w:pPr>
        <w:pStyle w:val="SangriaFrancesaArticulo"/>
      </w:pPr>
      <w:r w:rsidRPr="00E27756">
        <w:rPr>
          <w:rStyle w:val="TextoNormalNegritaCaracter"/>
        </w:rPr>
        <w:t>Disposición adicional sexta, apartado 4 párrafo 5</w:t>
      </w:r>
      <w:r>
        <w:t xml:space="preserve"> </w:t>
      </w:r>
      <w:r w:rsidRPr="00E27756">
        <w:rPr>
          <w:rStyle w:val="TextoNormalCaracter"/>
        </w:rPr>
        <w:t>(redactada por la Ley del Parlamento de Cantabria 2/2011, de 4 de abril)</w:t>
      </w:r>
      <w:r w:rsidRPr="00E27756">
        <w:rPr>
          <w:rStyle w:val="TextoNormalNegritaCaracter"/>
        </w:rPr>
        <w:t>.</w:t>
      </w:r>
      <w:r w:rsidRPr="00E27756">
        <w:rPr>
          <w:rStyle w:val="TextoNormalCaracter"/>
        </w:rPr>
        <w:t>-</w:t>
      </w:r>
      <w:r>
        <w:t xml:space="preserve"> Sentencia </w:t>
      </w:r>
      <w:hyperlink w:anchor="SENTENCIA_2013_92" w:history="1">
        <w:r w:rsidRPr="00E27756">
          <w:rPr>
            <w:rStyle w:val="TextoNormalCaracter"/>
          </w:rPr>
          <w:t>92/2013</w:t>
        </w:r>
      </w:hyperlink>
      <w:r>
        <w:t>, ff. 1, 3, 4, 7.</w:t>
      </w:r>
    </w:p>
    <w:p w:rsidR="00E27756" w:rsidRDefault="00E27756" w:rsidP="00E27756">
      <w:pPr>
        <w:pStyle w:val="SangriaIzquierdaArticulo"/>
      </w:pPr>
      <w:r>
        <w:t xml:space="preserve">Autos </w:t>
      </w:r>
      <w:hyperlink w:anchor="AUTO_2013_104" w:history="1">
        <w:r w:rsidRPr="00E27756">
          <w:rPr>
            <w:rStyle w:val="TextoNormalCaracter"/>
          </w:rPr>
          <w:t>104/2013</w:t>
        </w:r>
      </w:hyperlink>
      <w:r>
        <w:t xml:space="preserve">, f. único; </w:t>
      </w:r>
      <w:hyperlink w:anchor="AUTO_2013_105" w:history="1">
        <w:r w:rsidRPr="00E27756">
          <w:rPr>
            <w:rStyle w:val="TextoNormalCaracter"/>
          </w:rPr>
          <w:t>105/2013</w:t>
        </w:r>
      </w:hyperlink>
      <w:r>
        <w:t xml:space="preserve">, f. único; </w:t>
      </w:r>
      <w:hyperlink w:anchor="AUTO_2013_106" w:history="1">
        <w:r w:rsidRPr="00E27756">
          <w:rPr>
            <w:rStyle w:val="TextoNormalCaracter"/>
          </w:rPr>
          <w:t>106/2013</w:t>
        </w:r>
      </w:hyperlink>
      <w:r>
        <w:t xml:space="preserve">, f. único; </w:t>
      </w:r>
      <w:hyperlink w:anchor="AUTO_2013_107" w:history="1">
        <w:r w:rsidRPr="00E27756">
          <w:rPr>
            <w:rStyle w:val="TextoNormalCaracter"/>
          </w:rPr>
          <w:t>107/2013</w:t>
        </w:r>
      </w:hyperlink>
      <w:r>
        <w:t xml:space="preserve">, f. único; </w:t>
      </w:r>
      <w:hyperlink w:anchor="AUTO_2013_108" w:history="1">
        <w:r w:rsidRPr="00E27756">
          <w:rPr>
            <w:rStyle w:val="TextoNormalCaracter"/>
          </w:rPr>
          <w:t>108/2013</w:t>
        </w:r>
      </w:hyperlink>
      <w:r>
        <w:t xml:space="preserve">, f. único; </w:t>
      </w:r>
      <w:hyperlink w:anchor="AUTO_2013_109" w:history="1">
        <w:r w:rsidRPr="00E27756">
          <w:rPr>
            <w:rStyle w:val="TextoNormalCaracter"/>
          </w:rPr>
          <w:t>109/2013</w:t>
        </w:r>
      </w:hyperlink>
      <w:r>
        <w:t xml:space="preserve">, f. único; </w:t>
      </w:r>
      <w:hyperlink w:anchor="AUTO_2013_110" w:history="1">
        <w:r w:rsidRPr="00E27756">
          <w:rPr>
            <w:rStyle w:val="TextoNormalCaracter"/>
          </w:rPr>
          <w:t>110/2013</w:t>
        </w:r>
      </w:hyperlink>
      <w:r>
        <w:t xml:space="preserve">, f. único; </w:t>
      </w:r>
      <w:hyperlink w:anchor="AUTO_2013_111" w:history="1">
        <w:r w:rsidRPr="00E27756">
          <w:rPr>
            <w:rStyle w:val="TextoNormalCaracter"/>
          </w:rPr>
          <w:t>111/2013</w:t>
        </w:r>
      </w:hyperlink>
      <w:r>
        <w:t xml:space="preserve">, f. único; </w:t>
      </w:r>
      <w:hyperlink w:anchor="AUTO_2013_112" w:history="1">
        <w:r w:rsidRPr="00E27756">
          <w:rPr>
            <w:rStyle w:val="TextoNormalCaracter"/>
          </w:rPr>
          <w:t>112/2013</w:t>
        </w:r>
      </w:hyperlink>
      <w:r>
        <w:t xml:space="preserve">, f. único; </w:t>
      </w:r>
      <w:hyperlink w:anchor="AUTO_2013_113" w:history="1">
        <w:r w:rsidRPr="00E27756">
          <w:rPr>
            <w:rStyle w:val="TextoNormalCaracter"/>
          </w:rPr>
          <w:t>113/2013</w:t>
        </w:r>
      </w:hyperlink>
      <w:r>
        <w:t>, f. único.</w:t>
      </w:r>
    </w:p>
    <w:p w:rsidR="00E27756" w:rsidRDefault="00E27756" w:rsidP="00E27756">
      <w:pPr>
        <w:pStyle w:val="SangriaFrancesaArticulo"/>
      </w:pPr>
      <w:r w:rsidRPr="00E27756">
        <w:rPr>
          <w:rStyle w:val="TextoNormalNegritaCaracter"/>
        </w:rPr>
        <w:lastRenderedPageBreak/>
        <w:t>Disposición adicional sexta, apartado 5</w:t>
      </w:r>
      <w:r>
        <w:t xml:space="preserve"> </w:t>
      </w:r>
      <w:r w:rsidRPr="00E27756">
        <w:rPr>
          <w:rStyle w:val="TextoNormalCaracter"/>
        </w:rPr>
        <w:t>(redactada por la Ley del Parlamento de Cantabria 2/2011, de 4 de abril)</w:t>
      </w:r>
      <w:r w:rsidRPr="00E27756">
        <w:rPr>
          <w:rStyle w:val="TextoNormalNegritaCaracter"/>
        </w:rPr>
        <w:t>.</w:t>
      </w:r>
      <w:r w:rsidRPr="00E27756">
        <w:rPr>
          <w:rStyle w:val="TextoNormalCaracter"/>
        </w:rPr>
        <w:t>-</w:t>
      </w:r>
      <w:r>
        <w:t xml:space="preserve"> Sentencia </w:t>
      </w:r>
      <w:hyperlink w:anchor="SENTENCIA_2013_92" w:history="1">
        <w:r w:rsidRPr="00E27756">
          <w:rPr>
            <w:rStyle w:val="TextoNormalCaracter"/>
          </w:rPr>
          <w:t>92/2013</w:t>
        </w:r>
      </w:hyperlink>
      <w:r>
        <w:t>, ff. 1, 3, 7.</w:t>
      </w:r>
    </w:p>
    <w:p w:rsidR="00E27756" w:rsidRDefault="00E27756" w:rsidP="00E27756">
      <w:pPr>
        <w:pStyle w:val="SangriaIzquierdaArticulo"/>
      </w:pPr>
      <w:r>
        <w:t xml:space="preserve">Autos </w:t>
      </w:r>
      <w:hyperlink w:anchor="AUTO_2013_104" w:history="1">
        <w:r w:rsidRPr="00E27756">
          <w:rPr>
            <w:rStyle w:val="TextoNormalCaracter"/>
          </w:rPr>
          <w:t>104/2013</w:t>
        </w:r>
      </w:hyperlink>
      <w:r>
        <w:t xml:space="preserve">, f. único; </w:t>
      </w:r>
      <w:hyperlink w:anchor="AUTO_2013_105" w:history="1">
        <w:r w:rsidRPr="00E27756">
          <w:rPr>
            <w:rStyle w:val="TextoNormalCaracter"/>
          </w:rPr>
          <w:t>105/2013</w:t>
        </w:r>
      </w:hyperlink>
      <w:r>
        <w:t xml:space="preserve">, f. único; </w:t>
      </w:r>
      <w:hyperlink w:anchor="AUTO_2013_106" w:history="1">
        <w:r w:rsidRPr="00E27756">
          <w:rPr>
            <w:rStyle w:val="TextoNormalCaracter"/>
          </w:rPr>
          <w:t>106/2013</w:t>
        </w:r>
      </w:hyperlink>
      <w:r>
        <w:t xml:space="preserve">, f. único; </w:t>
      </w:r>
      <w:hyperlink w:anchor="AUTO_2013_107" w:history="1">
        <w:r w:rsidRPr="00E27756">
          <w:rPr>
            <w:rStyle w:val="TextoNormalCaracter"/>
          </w:rPr>
          <w:t>107/2013</w:t>
        </w:r>
      </w:hyperlink>
      <w:r>
        <w:t xml:space="preserve">, f. único; </w:t>
      </w:r>
      <w:hyperlink w:anchor="AUTO_2013_108" w:history="1">
        <w:r w:rsidRPr="00E27756">
          <w:rPr>
            <w:rStyle w:val="TextoNormalCaracter"/>
          </w:rPr>
          <w:t>108/2013</w:t>
        </w:r>
      </w:hyperlink>
      <w:r>
        <w:t xml:space="preserve">, f. único; </w:t>
      </w:r>
      <w:hyperlink w:anchor="AUTO_2013_109" w:history="1">
        <w:r w:rsidRPr="00E27756">
          <w:rPr>
            <w:rStyle w:val="TextoNormalCaracter"/>
          </w:rPr>
          <w:t>109/2013</w:t>
        </w:r>
      </w:hyperlink>
      <w:r>
        <w:t xml:space="preserve">, f. único; </w:t>
      </w:r>
      <w:hyperlink w:anchor="AUTO_2013_110" w:history="1">
        <w:r w:rsidRPr="00E27756">
          <w:rPr>
            <w:rStyle w:val="TextoNormalCaracter"/>
          </w:rPr>
          <w:t>110/2013</w:t>
        </w:r>
      </w:hyperlink>
      <w:r>
        <w:t xml:space="preserve">, f. único; </w:t>
      </w:r>
      <w:hyperlink w:anchor="AUTO_2013_111" w:history="1">
        <w:r w:rsidRPr="00E27756">
          <w:rPr>
            <w:rStyle w:val="TextoNormalCaracter"/>
          </w:rPr>
          <w:t>111/2013</w:t>
        </w:r>
      </w:hyperlink>
      <w:r>
        <w:t xml:space="preserve">, f. único; </w:t>
      </w:r>
      <w:hyperlink w:anchor="AUTO_2013_112" w:history="1">
        <w:r w:rsidRPr="00E27756">
          <w:rPr>
            <w:rStyle w:val="TextoNormalCaracter"/>
          </w:rPr>
          <w:t>112/2013</w:t>
        </w:r>
      </w:hyperlink>
      <w:r>
        <w:t xml:space="preserve">, f. único; </w:t>
      </w:r>
      <w:hyperlink w:anchor="AUTO_2013_113" w:history="1">
        <w:r w:rsidRPr="00E27756">
          <w:rPr>
            <w:rStyle w:val="TextoNormalCaracter"/>
          </w:rPr>
          <w:t>113/2013</w:t>
        </w:r>
      </w:hyperlink>
      <w:r>
        <w:t>, f. único.</w:t>
      </w:r>
    </w:p>
    <w:p w:rsidR="00E27756" w:rsidRDefault="00E27756" w:rsidP="00E27756">
      <w:pPr>
        <w:pStyle w:val="SangriaIzquierdaArticulo"/>
      </w:pPr>
    </w:p>
    <w:p w:rsidR="00E27756" w:rsidRDefault="00E27756" w:rsidP="00E27756">
      <w:pPr>
        <w:pStyle w:val="TextoNormalNegritaCursivandice"/>
      </w:pPr>
      <w:r>
        <w:t>Ley del Parlamento de Cantabria 2/2011, de 4 de abril. Modifica la Ley 2/2001, de 25 de junio, de ordenación territorial y régimen urbanístico del suelo de Cantabria, en relación con los procedimientos de indemnización patrimonial en materia urbanística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2" w:history="1">
        <w:r w:rsidRPr="00E27756">
          <w:rPr>
            <w:rStyle w:val="TextoNormalCaracter"/>
          </w:rPr>
          <w:t>92/2013</w:t>
        </w:r>
      </w:hyperlink>
      <w:r>
        <w:t>, f. 1.</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92" w:history="1">
        <w:r w:rsidRPr="00E27756">
          <w:rPr>
            <w:rStyle w:val="TextoNormalCaracter"/>
          </w:rPr>
          <w:t>92/2013</w:t>
        </w:r>
      </w:hyperlink>
      <w:r>
        <w:t>, f. 1.</w:t>
      </w:r>
    </w:p>
    <w:p w:rsidR="00E27756" w:rsidRDefault="00E27756" w:rsidP="00E27756">
      <w:pPr>
        <w:pStyle w:val="SangriaIzquierdaArticulo"/>
      </w:pPr>
      <w:r>
        <w:t xml:space="preserve">Autos </w:t>
      </w:r>
      <w:hyperlink w:anchor="AUTO_2013_104" w:history="1">
        <w:r w:rsidRPr="00E27756">
          <w:rPr>
            <w:rStyle w:val="TextoNormalCaracter"/>
          </w:rPr>
          <w:t>104/2013</w:t>
        </w:r>
      </w:hyperlink>
      <w:r>
        <w:t xml:space="preserve">, f. único; </w:t>
      </w:r>
      <w:hyperlink w:anchor="AUTO_2013_105" w:history="1">
        <w:r w:rsidRPr="00E27756">
          <w:rPr>
            <w:rStyle w:val="TextoNormalCaracter"/>
          </w:rPr>
          <w:t>105/2013</w:t>
        </w:r>
      </w:hyperlink>
      <w:r>
        <w:t xml:space="preserve">, f. único; </w:t>
      </w:r>
      <w:hyperlink w:anchor="AUTO_2013_106" w:history="1">
        <w:r w:rsidRPr="00E27756">
          <w:rPr>
            <w:rStyle w:val="TextoNormalCaracter"/>
          </w:rPr>
          <w:t>106/2013</w:t>
        </w:r>
      </w:hyperlink>
      <w:r>
        <w:t xml:space="preserve">, f. único; </w:t>
      </w:r>
      <w:hyperlink w:anchor="AUTO_2013_107" w:history="1">
        <w:r w:rsidRPr="00E27756">
          <w:rPr>
            <w:rStyle w:val="TextoNormalCaracter"/>
          </w:rPr>
          <w:t>107/2013</w:t>
        </w:r>
      </w:hyperlink>
      <w:r>
        <w:t xml:space="preserve">, f. único; </w:t>
      </w:r>
      <w:hyperlink w:anchor="AUTO_2013_108" w:history="1">
        <w:r w:rsidRPr="00E27756">
          <w:rPr>
            <w:rStyle w:val="TextoNormalCaracter"/>
          </w:rPr>
          <w:t>108/2013</w:t>
        </w:r>
      </w:hyperlink>
      <w:r>
        <w:t xml:space="preserve">, f. único; </w:t>
      </w:r>
      <w:hyperlink w:anchor="AUTO_2013_109" w:history="1">
        <w:r w:rsidRPr="00E27756">
          <w:rPr>
            <w:rStyle w:val="TextoNormalCaracter"/>
          </w:rPr>
          <w:t>109/2013</w:t>
        </w:r>
      </w:hyperlink>
      <w:r>
        <w:t xml:space="preserve">, f. único; </w:t>
      </w:r>
      <w:hyperlink w:anchor="AUTO_2013_110" w:history="1">
        <w:r w:rsidRPr="00E27756">
          <w:rPr>
            <w:rStyle w:val="TextoNormalCaracter"/>
          </w:rPr>
          <w:t>110/2013</w:t>
        </w:r>
      </w:hyperlink>
      <w:r>
        <w:t xml:space="preserve">, f. único; </w:t>
      </w:r>
      <w:hyperlink w:anchor="AUTO_2013_111" w:history="1">
        <w:r w:rsidRPr="00E27756">
          <w:rPr>
            <w:rStyle w:val="TextoNormalCaracter"/>
          </w:rPr>
          <w:t>111/2013</w:t>
        </w:r>
      </w:hyperlink>
      <w:r>
        <w:t xml:space="preserve">, f. único; </w:t>
      </w:r>
      <w:hyperlink w:anchor="AUTO_2013_112" w:history="1">
        <w:r w:rsidRPr="00E27756">
          <w:rPr>
            <w:rStyle w:val="TextoNormalCaracter"/>
          </w:rPr>
          <w:t>112/2013</w:t>
        </w:r>
      </w:hyperlink>
      <w:r>
        <w:t xml:space="preserve">, f. único; </w:t>
      </w:r>
      <w:hyperlink w:anchor="AUTO_2013_113" w:history="1">
        <w:r w:rsidRPr="00E27756">
          <w:rPr>
            <w:rStyle w:val="TextoNormalCaracter"/>
          </w:rPr>
          <w:t>113/2013</w:t>
        </w:r>
      </w:hyperlink>
      <w:r>
        <w:t xml:space="preserve">, f. único; </w:t>
      </w:r>
      <w:hyperlink w:anchor="AUTO_2013_115" w:history="1">
        <w:r w:rsidRPr="00E27756">
          <w:rPr>
            <w:rStyle w:val="TextoNormalCaracter"/>
          </w:rPr>
          <w:t>115/2013</w:t>
        </w:r>
      </w:hyperlink>
      <w:r>
        <w:t xml:space="preserve">, f. único; </w:t>
      </w:r>
      <w:hyperlink w:anchor="AUTO_2013_117" w:history="1">
        <w:r w:rsidRPr="00E27756">
          <w:rPr>
            <w:rStyle w:val="TextoNormalCaracter"/>
          </w:rPr>
          <w:t>117/2013</w:t>
        </w:r>
      </w:hyperlink>
      <w:r>
        <w:t xml:space="preserve">, f. único; </w:t>
      </w:r>
      <w:hyperlink w:anchor="AUTO_2013_118" w:history="1">
        <w:r w:rsidRPr="00E27756">
          <w:rPr>
            <w:rStyle w:val="TextoNormalCaracter"/>
          </w:rPr>
          <w:t>118/2013</w:t>
        </w:r>
      </w:hyperlink>
      <w:r>
        <w:t xml:space="preserve">, f. único; </w:t>
      </w:r>
      <w:hyperlink w:anchor="AUTO_2013_119" w:history="1">
        <w:r w:rsidRPr="00E27756">
          <w:rPr>
            <w:rStyle w:val="TextoNormalCaracter"/>
          </w:rPr>
          <w:t>119/2013</w:t>
        </w:r>
      </w:hyperlink>
      <w:r>
        <w:t xml:space="preserve">, f. único; </w:t>
      </w:r>
      <w:hyperlink w:anchor="AUTO_2013_140" w:history="1">
        <w:r w:rsidRPr="00E27756">
          <w:rPr>
            <w:rStyle w:val="TextoNormalCaracter"/>
          </w:rPr>
          <w:t>140/2013</w:t>
        </w:r>
      </w:hyperlink>
      <w:r>
        <w:t>, f. único.</w:t>
      </w:r>
    </w:p>
    <w:p w:rsidR="00E27756" w:rsidRDefault="00E27756" w:rsidP="00E27756">
      <w:pPr>
        <w:pStyle w:val="SangriaFrancesaArticulo"/>
      </w:pPr>
      <w:r w:rsidRPr="00E27756">
        <w:rPr>
          <w:rStyle w:val="TextoNormalNegritaCaracter"/>
        </w:rPr>
        <w:t>Artículo 2.2 a 5.</w:t>
      </w:r>
      <w:r w:rsidRPr="00E27756">
        <w:rPr>
          <w:rStyle w:val="TextoNormalCaracter"/>
        </w:rPr>
        <w:t>-</w:t>
      </w:r>
      <w:r>
        <w:t xml:space="preserve"> Auto </w:t>
      </w:r>
      <w:hyperlink w:anchor="AUTO_2013_114" w:history="1">
        <w:r w:rsidRPr="00E27756">
          <w:rPr>
            <w:rStyle w:val="TextoNormalCaracter"/>
          </w:rPr>
          <w:t>114/2013</w:t>
        </w:r>
      </w:hyperlink>
      <w:r>
        <w:t>, f. único.</w:t>
      </w:r>
    </w:p>
    <w:p w:rsidR="00E27756" w:rsidRDefault="00E27756" w:rsidP="00E27756">
      <w:pPr>
        <w:pStyle w:val="SangriaFrancesaArticulo"/>
      </w:pPr>
      <w:r w:rsidRPr="00E27756">
        <w:rPr>
          <w:rStyle w:val="TextoNormalNegritaCaracter"/>
        </w:rPr>
        <w:t>Artículo 2.5.</w:t>
      </w:r>
      <w:r w:rsidRPr="00E27756">
        <w:rPr>
          <w:rStyle w:val="TextoNormalCaracter"/>
        </w:rPr>
        <w:t>-</w:t>
      </w:r>
      <w:r>
        <w:t xml:space="preserve"> Auto </w:t>
      </w:r>
      <w:hyperlink w:anchor="AUTO_2013_115" w:history="1">
        <w:r w:rsidRPr="00E27756">
          <w:rPr>
            <w:rStyle w:val="TextoNormalCaracter"/>
          </w:rPr>
          <w:t>115/2013</w:t>
        </w:r>
      </w:hyperlink>
      <w:r>
        <w:t>, f. único.</w:t>
      </w:r>
    </w:p>
    <w:p w:rsidR="00E27756" w:rsidRDefault="00E27756" w:rsidP="00E27756">
      <w:pPr>
        <w:pStyle w:val="SangriaFrancesaArticulo"/>
      </w:pPr>
      <w:r w:rsidRPr="00E27756">
        <w:rPr>
          <w:rStyle w:val="TextoNormalNegritaCaracter"/>
        </w:rPr>
        <w:t>Artículo 2.5.4.</w:t>
      </w:r>
      <w:r w:rsidRPr="00E27756">
        <w:rPr>
          <w:rStyle w:val="TextoNormalCaracter"/>
        </w:rPr>
        <w:t>-</w:t>
      </w:r>
      <w:r>
        <w:t xml:space="preserve"> Autos </w:t>
      </w:r>
      <w:hyperlink w:anchor="AUTO_2013_115" w:history="1">
        <w:r w:rsidRPr="00E27756">
          <w:rPr>
            <w:rStyle w:val="TextoNormalCaracter"/>
          </w:rPr>
          <w:t>115/2013</w:t>
        </w:r>
      </w:hyperlink>
      <w:r>
        <w:t xml:space="preserve">, f. único; </w:t>
      </w:r>
      <w:hyperlink w:anchor="AUTO_2013_117" w:history="1">
        <w:r w:rsidRPr="00E27756">
          <w:rPr>
            <w:rStyle w:val="TextoNormalCaracter"/>
          </w:rPr>
          <w:t>117/2013</w:t>
        </w:r>
      </w:hyperlink>
      <w:r>
        <w:t xml:space="preserve">, f. único; </w:t>
      </w:r>
      <w:hyperlink w:anchor="AUTO_2013_118" w:history="1">
        <w:r w:rsidRPr="00E27756">
          <w:rPr>
            <w:rStyle w:val="TextoNormalCaracter"/>
          </w:rPr>
          <w:t>118/2013</w:t>
        </w:r>
      </w:hyperlink>
      <w:r>
        <w:t xml:space="preserve">, f. único; </w:t>
      </w:r>
      <w:hyperlink w:anchor="AUTO_2013_119" w:history="1">
        <w:r w:rsidRPr="00E27756">
          <w:rPr>
            <w:rStyle w:val="TextoNormalCaracter"/>
          </w:rPr>
          <w:t>119/2013</w:t>
        </w:r>
      </w:hyperlink>
      <w:r>
        <w:t xml:space="preserve">, f. único; </w:t>
      </w:r>
      <w:hyperlink w:anchor="AUTO_2013_140" w:history="1">
        <w:r w:rsidRPr="00E27756">
          <w:rPr>
            <w:rStyle w:val="TextoNormalCaracter"/>
          </w:rPr>
          <w:t>140/2013</w:t>
        </w:r>
      </w:hyperlink>
      <w:r>
        <w:t>, f. único.</w:t>
      </w:r>
    </w:p>
    <w:p w:rsidR="00E27756" w:rsidRDefault="00E27756" w:rsidP="00E27756">
      <w:pPr>
        <w:pStyle w:val="SangriaFrancesaArticulo"/>
      </w:pPr>
      <w:r w:rsidRPr="00E27756">
        <w:rPr>
          <w:rStyle w:val="TextoNormalNegritaCaracter"/>
        </w:rPr>
        <w:t>Artículo 2.5.5.</w:t>
      </w:r>
      <w:r w:rsidRPr="00E27756">
        <w:rPr>
          <w:rStyle w:val="TextoNormalCaracter"/>
        </w:rPr>
        <w:t>-</w:t>
      </w:r>
      <w:r>
        <w:t xml:space="preserve"> Autos </w:t>
      </w:r>
      <w:hyperlink w:anchor="AUTO_2013_118" w:history="1">
        <w:r w:rsidRPr="00E27756">
          <w:rPr>
            <w:rStyle w:val="TextoNormalCaracter"/>
          </w:rPr>
          <w:t>118/2013</w:t>
        </w:r>
      </w:hyperlink>
      <w:r>
        <w:t xml:space="preserve">, f. único; </w:t>
      </w:r>
      <w:hyperlink w:anchor="AUTO_2013_119" w:history="1">
        <w:r w:rsidRPr="00E27756">
          <w:rPr>
            <w:rStyle w:val="TextoNormalCaracter"/>
          </w:rPr>
          <w:t>119/2013</w:t>
        </w:r>
      </w:hyperlink>
      <w:r>
        <w:t xml:space="preserve">, f. único; </w:t>
      </w:r>
      <w:hyperlink w:anchor="AUTO_2013_140" w:history="1">
        <w:r w:rsidRPr="00E27756">
          <w:rPr>
            <w:rStyle w:val="TextoNormalCaracter"/>
          </w:rPr>
          <w:t>140/2013</w:t>
        </w:r>
      </w:hyperlink>
      <w:r>
        <w:t>, f. único.</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J.7) Castilla-La Mancha</w:t>
      </w:r>
    </w:p>
    <w:p w:rsidR="00E27756" w:rsidRDefault="00E27756" w:rsidP="00E27756">
      <w:pPr>
        <w:pStyle w:val="TextoNormal"/>
      </w:pPr>
    </w:p>
    <w:p w:rsidR="00E27756" w:rsidRDefault="00E27756" w:rsidP="00E27756">
      <w:pPr>
        <w:pStyle w:val="TextoNormalNegritaCentradoSubrayado"/>
        <w:suppressAutoHyphens/>
      </w:pPr>
      <w:r>
        <w:t>J.7.a) Estatuto de Autonomía</w:t>
      </w:r>
    </w:p>
    <w:p w:rsidR="00E27756" w:rsidRDefault="00E27756" w:rsidP="00E27756">
      <w:pPr>
        <w:pStyle w:val="TextoNormalNegritaCentradoSubrayado"/>
      </w:pPr>
    </w:p>
    <w:p w:rsidR="00E27756" w:rsidRDefault="00E27756" w:rsidP="00E27756">
      <w:pPr>
        <w:pStyle w:val="TextoNormalNegritaCursivandice"/>
      </w:pPr>
      <w:r>
        <w:t>Ley Orgánica 9/1982, de 10 de agosto. Estatuto de Autonomía de Castilla-La Mancha</w:t>
      </w:r>
    </w:p>
    <w:p w:rsidR="00E27756" w:rsidRDefault="00E27756" w:rsidP="00E27756">
      <w:pPr>
        <w:pStyle w:val="SangriaFrancesaArticulo"/>
      </w:pPr>
      <w:r w:rsidRPr="00E27756">
        <w:rPr>
          <w:rStyle w:val="TextoNormalNegritaCaracter"/>
        </w:rPr>
        <w:t>Artículo 15.</w:t>
      </w:r>
      <w:r w:rsidRPr="00E27756">
        <w:rPr>
          <w:rStyle w:val="TextoNormalCaracter"/>
        </w:rPr>
        <w:t>-</w:t>
      </w:r>
      <w:r>
        <w:t xml:space="preserve"> Sentencia </w:t>
      </w:r>
      <w:hyperlink w:anchor="SENTENCIA_2013_60" w:history="1">
        <w:r w:rsidRPr="00E27756">
          <w:rPr>
            <w:rStyle w:val="TextoNormalCaracter"/>
          </w:rPr>
          <w:t>60/2013</w:t>
        </w:r>
      </w:hyperlink>
      <w:r>
        <w:t>, f. 2.</w:t>
      </w:r>
    </w:p>
    <w:p w:rsidR="00E27756" w:rsidRDefault="00E27756" w:rsidP="00E27756">
      <w:pPr>
        <w:pStyle w:val="SangriaFrancesaArticulo"/>
      </w:pPr>
      <w:r w:rsidRPr="00E27756">
        <w:rPr>
          <w:rStyle w:val="TextoNormalNegritaCaracter"/>
        </w:rPr>
        <w:t>Artículo 31.1.1.</w:t>
      </w:r>
      <w:r w:rsidRPr="00E27756">
        <w:rPr>
          <w:rStyle w:val="TextoNormalCaracter"/>
        </w:rPr>
        <w:t>-</w:t>
      </w:r>
      <w:r>
        <w:t xml:space="preserve"> Sentencia </w:t>
      </w:r>
      <w:hyperlink w:anchor="SENTENCIA_2013_82" w:history="1">
        <w:r w:rsidRPr="00E27756">
          <w:rPr>
            <w:rStyle w:val="TextoNormalCaracter"/>
          </w:rPr>
          <w:t>82/2013</w:t>
        </w:r>
      </w:hyperlink>
      <w:r>
        <w:t>, f. 2.</w:t>
      </w:r>
    </w:p>
    <w:p w:rsidR="00E27756" w:rsidRDefault="00E27756" w:rsidP="00E27756">
      <w:pPr>
        <w:pStyle w:val="SangriaFrancesaArticulo"/>
      </w:pPr>
      <w:r w:rsidRPr="00E27756">
        <w:rPr>
          <w:rStyle w:val="TextoNormalNegritaCaracter"/>
        </w:rPr>
        <w:t>Artículo 31.1.6.</w:t>
      </w:r>
      <w:r w:rsidRPr="00E27756">
        <w:rPr>
          <w:rStyle w:val="TextoNormalCaracter"/>
        </w:rPr>
        <w:t>-</w:t>
      </w:r>
      <w:r>
        <w:t xml:space="preserve"> Sentencia </w:t>
      </w:r>
      <w:hyperlink w:anchor="SENTENCIA_2013_82" w:history="1">
        <w:r w:rsidRPr="00E27756">
          <w:rPr>
            <w:rStyle w:val="TextoNormalCaracter"/>
          </w:rPr>
          <w:t>82/2013</w:t>
        </w:r>
      </w:hyperlink>
      <w:r>
        <w:t>, ff. 2, 6.</w:t>
      </w:r>
    </w:p>
    <w:p w:rsidR="00E27756" w:rsidRDefault="00E27756" w:rsidP="00E27756">
      <w:pPr>
        <w:pStyle w:val="SangriaFrancesaArticulo"/>
      </w:pPr>
      <w:r w:rsidRPr="00E27756">
        <w:rPr>
          <w:rStyle w:val="TextoNormalNegritaCaracter"/>
        </w:rPr>
        <w:t>Artículo 31.1.7.</w:t>
      </w:r>
      <w:r w:rsidRPr="00E27756">
        <w:rPr>
          <w:rStyle w:val="TextoNormalCaracter"/>
        </w:rPr>
        <w:t>-</w:t>
      </w:r>
      <w:r>
        <w:t xml:space="preserve"> Sentencia </w:t>
      </w:r>
      <w:hyperlink w:anchor="SENTENCIA_2013_82" w:history="1">
        <w:r w:rsidRPr="00E27756">
          <w:rPr>
            <w:rStyle w:val="TextoNormalCaracter"/>
          </w:rPr>
          <w:t>82/2013</w:t>
        </w:r>
      </w:hyperlink>
      <w:r>
        <w:t>, f. 2.</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80" w:history="1">
        <w:r w:rsidRPr="00E27756">
          <w:rPr>
            <w:rStyle w:val="TextoNormalCaracter"/>
          </w:rPr>
          <w:t>80/2013</w:t>
        </w:r>
      </w:hyperlink>
      <w:r>
        <w:t>, f. 2.</w:t>
      </w:r>
    </w:p>
    <w:p w:rsidR="00E27756" w:rsidRDefault="00E27756" w:rsidP="00E27756">
      <w:pPr>
        <w:pStyle w:val="SangriaFrancesaArticulo"/>
      </w:pPr>
      <w:r w:rsidRPr="00E27756">
        <w:rPr>
          <w:rStyle w:val="TextoNormalNegritaCaracter"/>
        </w:rPr>
        <w:t>Artículo 32.2.</w:t>
      </w:r>
      <w:r w:rsidRPr="00E27756">
        <w:rPr>
          <w:rStyle w:val="TextoNormalCaracter"/>
        </w:rPr>
        <w:t>-</w:t>
      </w:r>
      <w:r>
        <w:t xml:space="preserve"> Sentencia </w:t>
      </w:r>
      <w:hyperlink w:anchor="SENTENCIA_2013_80" w:history="1">
        <w:r w:rsidRPr="00E27756">
          <w:rPr>
            <w:rStyle w:val="TextoNormalCaracter"/>
          </w:rPr>
          <w:t>80/2013</w:t>
        </w:r>
      </w:hyperlink>
      <w:r>
        <w:t>, ff. 1, 2.</w:t>
      </w:r>
    </w:p>
    <w:p w:rsidR="00E27756" w:rsidRDefault="00E27756" w:rsidP="00E27756">
      <w:pPr>
        <w:pStyle w:val="SangriaFrancesaArticulo"/>
      </w:pPr>
      <w:r w:rsidRPr="00E27756">
        <w:rPr>
          <w:rStyle w:val="TextoNormalNegritaCaracter"/>
        </w:rPr>
        <w:t>Artículo 32.7.</w:t>
      </w:r>
      <w:r w:rsidRPr="00E27756">
        <w:rPr>
          <w:rStyle w:val="TextoNormalCaracter"/>
        </w:rPr>
        <w:t>-</w:t>
      </w:r>
      <w:r>
        <w:t xml:space="preserve"> Sentencias </w:t>
      </w:r>
      <w:hyperlink w:anchor="SENTENCIA_2013_60" w:history="1">
        <w:r w:rsidRPr="00E27756">
          <w:rPr>
            <w:rStyle w:val="TextoNormalCaracter"/>
          </w:rPr>
          <w:t>60/2013</w:t>
        </w:r>
      </w:hyperlink>
      <w:r>
        <w:t xml:space="preserve">, f. 2; </w:t>
      </w:r>
      <w:hyperlink w:anchor="SENTENCIA_2013_80" w:history="1">
        <w:r w:rsidRPr="00E27756">
          <w:rPr>
            <w:rStyle w:val="TextoNormalCaracter"/>
          </w:rPr>
          <w:t>80/2013</w:t>
        </w:r>
      </w:hyperlink>
      <w:r>
        <w:t>, ff. 1, 3.</w:t>
      </w:r>
    </w:p>
    <w:p w:rsidR="00E27756" w:rsidRDefault="00E27756" w:rsidP="00E27756">
      <w:pPr>
        <w:pStyle w:val="SangriaFrancesaArticulo"/>
      </w:pPr>
      <w:r w:rsidRPr="00E27756">
        <w:rPr>
          <w:rStyle w:val="TextoNormalNegritaCaracter"/>
        </w:rPr>
        <w:t>Artículo 32.8.</w:t>
      </w:r>
      <w:r w:rsidRPr="00E27756">
        <w:rPr>
          <w:rStyle w:val="TextoNormalCaracter"/>
        </w:rPr>
        <w:t>-</w:t>
      </w:r>
      <w:r>
        <w:t xml:space="preserve"> Sentencia </w:t>
      </w:r>
      <w:hyperlink w:anchor="SENTENCIA_2013_60" w:history="1">
        <w:r w:rsidRPr="00E27756">
          <w:rPr>
            <w:rStyle w:val="TextoNormalCaracter"/>
          </w:rPr>
          <w:t>60/2013</w:t>
        </w:r>
      </w:hyperlink>
      <w:r>
        <w:t>, f. 2.</w:t>
      </w:r>
    </w:p>
    <w:p w:rsidR="00E27756" w:rsidRDefault="00E27756" w:rsidP="00E27756">
      <w:pPr>
        <w:pStyle w:val="SangriaFrancesaArticulo"/>
      </w:pPr>
      <w:r w:rsidRPr="00E27756">
        <w:rPr>
          <w:rStyle w:val="TextoNormalNegritaCaracter"/>
        </w:rPr>
        <w:t>Artículo 44.</w:t>
      </w:r>
      <w:r w:rsidRPr="00E27756">
        <w:rPr>
          <w:rStyle w:val="TextoNormalCaracter"/>
        </w:rPr>
        <w:t>-</w:t>
      </w:r>
      <w:r>
        <w:t xml:space="preserve"> Sentencia </w:t>
      </w:r>
      <w:hyperlink w:anchor="SENTENCIA_2013_60" w:history="1">
        <w:r w:rsidRPr="00E27756">
          <w:rPr>
            <w:rStyle w:val="TextoNormalCaracter"/>
          </w:rPr>
          <w:t>60/2013</w:t>
        </w:r>
      </w:hyperlink>
      <w:r>
        <w:t>, f. 2.</w:t>
      </w:r>
    </w:p>
    <w:p w:rsidR="00E27756" w:rsidRDefault="00E27756" w:rsidP="00E27756">
      <w:pPr>
        <w:pStyle w:val="SangriaFrancesaArticulo"/>
      </w:pPr>
      <w:r w:rsidRPr="00E27756">
        <w:rPr>
          <w:rStyle w:val="TextoNormalNegritaCaracter"/>
        </w:rPr>
        <w:t>Artículo 44.1.</w:t>
      </w:r>
      <w:r w:rsidRPr="00E27756">
        <w:rPr>
          <w:rStyle w:val="TextoNormalCaracter"/>
        </w:rPr>
        <w:t>-</w:t>
      </w:r>
      <w:r>
        <w:t xml:space="preserve"> Sentencia </w:t>
      </w:r>
      <w:hyperlink w:anchor="SENTENCIA_2013_60" w:history="1">
        <w:r w:rsidRPr="00E27756">
          <w:rPr>
            <w:rStyle w:val="TextoNormalCaracter"/>
          </w:rPr>
          <w:t>60/2013</w:t>
        </w:r>
      </w:hyperlink>
      <w:r>
        <w:t>, f. 2.</w:t>
      </w:r>
    </w:p>
    <w:p w:rsidR="00E27756" w:rsidRDefault="00E27756" w:rsidP="00E27756">
      <w:pPr>
        <w:pStyle w:val="TextoNormal"/>
      </w:pPr>
    </w:p>
    <w:p w:rsidR="00E27756" w:rsidRDefault="00E27756" w:rsidP="00E27756">
      <w:pPr>
        <w:pStyle w:val="TextoNormalNegritaCentradoSubrayado"/>
        <w:suppressAutoHyphens/>
      </w:pPr>
      <w:r>
        <w:t>J.7.b) Leyes y disposiciones con fuerza de Ley</w:t>
      </w:r>
    </w:p>
    <w:p w:rsidR="00E27756" w:rsidRDefault="00E27756" w:rsidP="00E27756">
      <w:pPr>
        <w:pStyle w:val="TextoNormalNegritaCentradoSubrayado"/>
      </w:pPr>
    </w:p>
    <w:p w:rsidR="00E27756" w:rsidRDefault="00E27756" w:rsidP="00E27756">
      <w:pPr>
        <w:pStyle w:val="TextoNormalNegritaCursivandice"/>
      </w:pPr>
      <w:r>
        <w:t>Ley de las Cortes de Castilla-La Mancha 6/1999, de 15 de abril. Protección de la calidad del suministro eléctrico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4" w:history="1">
        <w:r w:rsidRPr="00E27756">
          <w:rPr>
            <w:rStyle w:val="TextoNormalCaracter"/>
          </w:rPr>
          <w:t>4/2013</w:t>
        </w:r>
      </w:hyperlink>
      <w:r>
        <w:t xml:space="preserve">, f. 2; </w:t>
      </w:r>
      <w:hyperlink w:anchor="SENTENCIA_2013_60" w:history="1">
        <w:r w:rsidRPr="00E27756">
          <w:rPr>
            <w:rStyle w:val="TextoNormalCaracter"/>
          </w:rPr>
          <w:t>60/2013</w:t>
        </w:r>
      </w:hyperlink>
      <w:r>
        <w:t>, f. 2.</w:t>
      </w:r>
    </w:p>
    <w:p w:rsidR="00E27756" w:rsidRDefault="00E27756" w:rsidP="00E27756">
      <w:pPr>
        <w:pStyle w:val="SangriaFrancesaArticulo"/>
      </w:pPr>
    </w:p>
    <w:p w:rsidR="00E27756" w:rsidRDefault="00E27756" w:rsidP="00E27756">
      <w:pPr>
        <w:pStyle w:val="TextoNormalNegritaCursivandice"/>
      </w:pPr>
      <w:r>
        <w:lastRenderedPageBreak/>
        <w:t>Ley de las Cortes de Castilla-La Mancha 11/2000, de 26 de diciembre. Impuesto sobre determinadas actividades que inciden en el medio ambiente</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0" w:history="1">
        <w:r w:rsidRPr="00E27756">
          <w:rPr>
            <w:rStyle w:val="TextoNormalCaracter"/>
          </w:rPr>
          <w:t>60/2013</w:t>
        </w:r>
      </w:hyperlink>
      <w:r>
        <w:t>, ff. 2, 5.</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60" w:history="1">
        <w:r w:rsidRPr="00E27756">
          <w:rPr>
            <w:rStyle w:val="TextoNormalCaracter"/>
          </w:rPr>
          <w:t>60/2013</w:t>
        </w:r>
      </w:hyperlink>
      <w:r>
        <w:t>, f. 2.</w:t>
      </w:r>
    </w:p>
    <w:p w:rsidR="00E27756" w:rsidRDefault="00E27756" w:rsidP="00E27756">
      <w:pPr>
        <w:pStyle w:val="SangriaFrancesaArticulo"/>
      </w:pPr>
      <w:r w:rsidRPr="00E27756">
        <w:rPr>
          <w:rStyle w:val="TextoNormalNegritaCaracter"/>
        </w:rPr>
        <w:t>Artículo 2.1 b).</w:t>
      </w:r>
      <w:r w:rsidRPr="00E27756">
        <w:rPr>
          <w:rStyle w:val="TextoNormalCaracter"/>
        </w:rPr>
        <w:t>-</w:t>
      </w:r>
      <w:r>
        <w:t xml:space="preserve"> Sentencia </w:t>
      </w:r>
      <w:hyperlink w:anchor="SENTENCIA_2013_60" w:history="1">
        <w:r w:rsidRPr="00E27756">
          <w:rPr>
            <w:rStyle w:val="TextoNormalCaracter"/>
          </w:rPr>
          <w:t>60/2013</w:t>
        </w:r>
      </w:hyperlink>
      <w:r>
        <w:t>, ff. 5, 6.</w:t>
      </w:r>
    </w:p>
    <w:p w:rsidR="00E27756" w:rsidRDefault="00E27756" w:rsidP="00E27756">
      <w:pPr>
        <w:pStyle w:val="SangriaFrancesaArticulo"/>
      </w:pPr>
      <w:r w:rsidRPr="00E27756">
        <w:rPr>
          <w:rStyle w:val="TextoNormalNegritaCaracter"/>
        </w:rPr>
        <w:t>Artículo 2.1 c).</w:t>
      </w:r>
      <w:r w:rsidRPr="00E27756">
        <w:rPr>
          <w:rStyle w:val="TextoNormalCaracter"/>
        </w:rPr>
        <w:t>-</w:t>
      </w:r>
      <w:r>
        <w:t xml:space="preserve"> Sentencia </w:t>
      </w:r>
      <w:hyperlink w:anchor="SENTENCIA_2013_60" w:history="1">
        <w:r w:rsidRPr="00E27756">
          <w:rPr>
            <w:rStyle w:val="TextoNormalCaracter"/>
          </w:rPr>
          <w:t>60/2013</w:t>
        </w:r>
      </w:hyperlink>
      <w:r>
        <w:t>, f. 6.</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60" w:history="1">
        <w:r w:rsidRPr="00E27756">
          <w:rPr>
            <w:rStyle w:val="TextoNormalCaracter"/>
          </w:rPr>
          <w:t>60/2013</w:t>
        </w:r>
      </w:hyperlink>
      <w:r>
        <w:t>, ff. 5, 6.</w:t>
      </w:r>
    </w:p>
    <w:p w:rsidR="00E27756" w:rsidRDefault="00E27756" w:rsidP="00E27756">
      <w:pPr>
        <w:pStyle w:val="SangriaFrancesaArticulo"/>
      </w:pPr>
      <w:r w:rsidRPr="00E27756">
        <w:rPr>
          <w:rStyle w:val="TextoNormalNegritaCaracter"/>
        </w:rPr>
        <w:t>Artículo 5.1 b).</w:t>
      </w:r>
      <w:r w:rsidRPr="00E27756">
        <w:rPr>
          <w:rStyle w:val="TextoNormalCaracter"/>
        </w:rPr>
        <w:t>-</w:t>
      </w:r>
      <w:r>
        <w:t xml:space="preserve"> Sentencia </w:t>
      </w:r>
      <w:hyperlink w:anchor="SENTENCIA_2013_60" w:history="1">
        <w:r w:rsidRPr="00E27756">
          <w:rPr>
            <w:rStyle w:val="TextoNormalCaracter"/>
          </w:rPr>
          <w:t>60/2013</w:t>
        </w:r>
      </w:hyperlink>
      <w:r>
        <w:t>, f. 5.</w:t>
      </w:r>
    </w:p>
    <w:p w:rsidR="00E27756" w:rsidRDefault="00E27756" w:rsidP="00E27756">
      <w:pPr>
        <w:pStyle w:val="SangriaFrancesaArticulo"/>
      </w:pPr>
      <w:r w:rsidRPr="00E27756">
        <w:rPr>
          <w:rStyle w:val="TextoNormalNegritaCaracter"/>
        </w:rPr>
        <w:t>Artículo 5.1 c).</w:t>
      </w:r>
      <w:r w:rsidRPr="00E27756">
        <w:rPr>
          <w:rStyle w:val="TextoNormalCaracter"/>
        </w:rPr>
        <w:t>-</w:t>
      </w:r>
      <w:r>
        <w:t xml:space="preserve"> Sentencia </w:t>
      </w:r>
      <w:hyperlink w:anchor="SENTENCIA_2013_60" w:history="1">
        <w:r w:rsidRPr="00E27756">
          <w:rPr>
            <w:rStyle w:val="TextoNormalCaracter"/>
          </w:rPr>
          <w:t>60/2013</w:t>
        </w:r>
      </w:hyperlink>
      <w:r>
        <w:t>, f. 6.</w:t>
      </w:r>
    </w:p>
    <w:p w:rsidR="00E27756" w:rsidRDefault="00E27756" w:rsidP="00E27756">
      <w:pPr>
        <w:pStyle w:val="SangriaFrancesaArticulo"/>
      </w:pPr>
      <w:r w:rsidRPr="00E27756">
        <w:rPr>
          <w:rStyle w:val="TextoNormalNegritaCaracter"/>
        </w:rPr>
        <w:t>Artículo 6 b).</w:t>
      </w:r>
      <w:r w:rsidRPr="00E27756">
        <w:rPr>
          <w:rStyle w:val="TextoNormalCaracter"/>
        </w:rPr>
        <w:t>-</w:t>
      </w:r>
      <w:r>
        <w:t xml:space="preserve"> Sentencia </w:t>
      </w:r>
      <w:hyperlink w:anchor="SENTENCIA_2013_60" w:history="1">
        <w:r w:rsidRPr="00E27756">
          <w:rPr>
            <w:rStyle w:val="TextoNormalCaracter"/>
          </w:rPr>
          <w:t>60/2013</w:t>
        </w:r>
      </w:hyperlink>
      <w:r>
        <w:t>, f. 5.</w:t>
      </w:r>
    </w:p>
    <w:p w:rsidR="00E27756" w:rsidRDefault="00E27756" w:rsidP="00E27756">
      <w:pPr>
        <w:pStyle w:val="SangriaFrancesaArticulo"/>
      </w:pPr>
      <w:r w:rsidRPr="00E27756">
        <w:rPr>
          <w:rStyle w:val="TextoNormalNegritaCaracter"/>
        </w:rPr>
        <w:t>Artículo 6 c).</w:t>
      </w:r>
      <w:r w:rsidRPr="00E27756">
        <w:rPr>
          <w:rStyle w:val="TextoNormalCaracter"/>
        </w:rPr>
        <w:t>-</w:t>
      </w:r>
      <w:r>
        <w:t xml:space="preserve"> Sentencia </w:t>
      </w:r>
      <w:hyperlink w:anchor="SENTENCIA_2013_60" w:history="1">
        <w:r w:rsidRPr="00E27756">
          <w:rPr>
            <w:rStyle w:val="TextoNormalCaracter"/>
          </w:rPr>
          <w:t>60/2013</w:t>
        </w:r>
      </w:hyperlink>
      <w:r>
        <w:t>, f. 6.</w:t>
      </w:r>
    </w:p>
    <w:p w:rsidR="00E27756" w:rsidRDefault="00E27756" w:rsidP="00E27756">
      <w:pPr>
        <w:pStyle w:val="SangriaFrancesaArticulo"/>
      </w:pPr>
    </w:p>
    <w:p w:rsidR="00E27756" w:rsidRDefault="00E27756" w:rsidP="00E27756">
      <w:pPr>
        <w:pStyle w:val="TextoNormalNegritaCursivandice"/>
      </w:pPr>
      <w:r>
        <w:t>Ley de las Cortes de Castilla-La Mancha 8/2003, de 20 de marzo. La viña y el vino de Castilla-La Mancha</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 </w:t>
      </w:r>
      <w:hyperlink w:anchor="SENTENCIA_2013_34" w:history="1">
        <w:r w:rsidRPr="00E27756">
          <w:rPr>
            <w:rStyle w:val="TextoNormalCaracter"/>
          </w:rPr>
          <w:t>34/2013</w:t>
        </w:r>
      </w:hyperlink>
      <w:r>
        <w:t>, f. 12.</w:t>
      </w:r>
    </w:p>
    <w:p w:rsidR="00E27756" w:rsidRDefault="00E27756" w:rsidP="00E27756">
      <w:pPr>
        <w:pStyle w:val="SangriaFrancesaArticulo"/>
      </w:pPr>
    </w:p>
    <w:p w:rsidR="00E27756" w:rsidRDefault="00E27756" w:rsidP="00E27756">
      <w:pPr>
        <w:pStyle w:val="TextoNormalNegritaCursivandice"/>
      </w:pPr>
      <w:r>
        <w:t>Ley de las Cortes de Castilla-La Mancha 13/2005, de 29 de diciembre. Presupuestos Generales de la Junta de Comunidades de Castilla-La Mancha para 2006</w:t>
      </w:r>
    </w:p>
    <w:p w:rsidR="00E27756" w:rsidRDefault="00E27756" w:rsidP="00E27756">
      <w:pPr>
        <w:pStyle w:val="SangriaFrancesaArticulo"/>
      </w:pPr>
      <w:r w:rsidRPr="00E27756">
        <w:rPr>
          <w:rStyle w:val="TextoNormalNegritaCaracter"/>
        </w:rPr>
        <w:t>Artículo 50.1.</w:t>
      </w:r>
      <w:r w:rsidRPr="00E27756">
        <w:rPr>
          <w:rStyle w:val="TextoNormalCaracter"/>
        </w:rPr>
        <w:t>-</w:t>
      </w:r>
      <w:r>
        <w:t xml:space="preserve"> Sentencia </w:t>
      </w:r>
      <w:hyperlink w:anchor="SENTENCIA_2013_60" w:history="1">
        <w:r w:rsidRPr="00E27756">
          <w:rPr>
            <w:rStyle w:val="TextoNormalCaracter"/>
          </w:rPr>
          <w:t>60/2013</w:t>
        </w:r>
      </w:hyperlink>
      <w:r>
        <w:t>, f. 5.</w:t>
      </w:r>
    </w:p>
    <w:p w:rsidR="00E27756" w:rsidRDefault="00E27756" w:rsidP="00E27756">
      <w:pPr>
        <w:pStyle w:val="SangriaFrancesaArticulo"/>
      </w:pPr>
    </w:p>
    <w:p w:rsidR="00E27756" w:rsidRDefault="00E27756" w:rsidP="00E27756">
      <w:pPr>
        <w:pStyle w:val="TextoNormalNegritaCursivandice"/>
      </w:pPr>
      <w:r>
        <w:t>Ley de las Cortes de Castilla-La Mancha 16/2005, de 29 de diciembre. Impuesto sobre determinadas actividades que inciden en el medio ambiente y del tipo autonómico del impuesto sobre las ventas minoristas de determinados hidrocarburos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0" w:history="1">
        <w:r w:rsidRPr="00E27756">
          <w:rPr>
            <w:rStyle w:val="TextoNormalCaracter"/>
          </w:rPr>
          <w:t>60/2013</w:t>
        </w:r>
      </w:hyperlink>
      <w:r>
        <w:t>, ff. 2, 5, 6.</w:t>
      </w:r>
    </w:p>
    <w:p w:rsidR="00E27756" w:rsidRDefault="00E27756" w:rsidP="00E27756">
      <w:pPr>
        <w:pStyle w:val="SangriaFrancesaArticulo"/>
      </w:pPr>
      <w:r w:rsidRPr="00E27756">
        <w:rPr>
          <w:rStyle w:val="TextoNormalNegritaCaracter"/>
        </w:rPr>
        <w:t>Exposición de motivos, párrafo 2.</w:t>
      </w:r>
      <w:r w:rsidRPr="00E27756">
        <w:rPr>
          <w:rStyle w:val="TextoNormalCaracter"/>
        </w:rPr>
        <w:t>-</w:t>
      </w:r>
      <w:r>
        <w:t xml:space="preserve"> Sentencia </w:t>
      </w:r>
      <w:hyperlink w:anchor="SENTENCIA_2013_60" w:history="1">
        <w:r w:rsidRPr="00E27756">
          <w:rPr>
            <w:rStyle w:val="TextoNormalCaracter"/>
          </w:rPr>
          <w:t>60/2013</w:t>
        </w:r>
      </w:hyperlink>
      <w:r>
        <w:t>, f. 4.</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60" w:history="1">
        <w:r w:rsidRPr="00E27756">
          <w:rPr>
            <w:rStyle w:val="TextoNormalCaracter"/>
          </w:rPr>
          <w:t>60/2013</w:t>
        </w:r>
      </w:hyperlink>
      <w:r>
        <w:t>, f. 4.</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60" w:history="1">
        <w:r w:rsidRPr="00E27756">
          <w:rPr>
            <w:rStyle w:val="TextoNormalCaracter"/>
          </w:rPr>
          <w:t>60/2013</w:t>
        </w:r>
      </w:hyperlink>
      <w:r>
        <w:t>, ff. 4, 5.</w:t>
      </w:r>
    </w:p>
    <w:p w:rsidR="00E27756" w:rsidRDefault="00E27756" w:rsidP="00E27756">
      <w:pPr>
        <w:pStyle w:val="SangriaFrancesaArticulo"/>
      </w:pPr>
      <w:r w:rsidRPr="00E27756">
        <w:rPr>
          <w:rStyle w:val="TextoNormalNegritaCaracter"/>
        </w:rPr>
        <w:t>Artículos 1 a 15.</w:t>
      </w:r>
      <w:r w:rsidRPr="00E27756">
        <w:rPr>
          <w:rStyle w:val="TextoNormalCaracter"/>
        </w:rPr>
        <w:t>-</w:t>
      </w:r>
      <w:r>
        <w:t xml:space="preserve"> Sentencia </w:t>
      </w:r>
      <w:hyperlink w:anchor="SENTENCIA_2013_60" w:history="1">
        <w:r w:rsidRPr="00E27756">
          <w:rPr>
            <w:rStyle w:val="TextoNormalCaracter"/>
          </w:rPr>
          <w:t>60/2013</w:t>
        </w:r>
      </w:hyperlink>
      <w:r>
        <w:t>, f. 1.</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60" w:history="1">
        <w:r w:rsidRPr="00E27756">
          <w:rPr>
            <w:rStyle w:val="TextoNormalCaracter"/>
          </w:rPr>
          <w:t>60/2013</w:t>
        </w:r>
      </w:hyperlink>
      <w:r>
        <w:t>, f. 2.</w:t>
      </w:r>
    </w:p>
    <w:p w:rsidR="00E27756" w:rsidRDefault="00E27756" w:rsidP="00E27756">
      <w:pPr>
        <w:pStyle w:val="SangriaFrancesaArticulo"/>
      </w:pPr>
      <w:r w:rsidRPr="00E27756">
        <w:rPr>
          <w:rStyle w:val="TextoNormalNegritaCaracter"/>
        </w:rPr>
        <w:t>Artículo 2.1 a).</w:t>
      </w:r>
      <w:r w:rsidRPr="00E27756">
        <w:rPr>
          <w:rStyle w:val="TextoNormalCaracter"/>
        </w:rPr>
        <w:t>-</w:t>
      </w:r>
      <w:r>
        <w:t xml:space="preserve"> Sentencia </w:t>
      </w:r>
      <w:hyperlink w:anchor="SENTENCIA_2013_60" w:history="1">
        <w:r w:rsidRPr="00E27756">
          <w:rPr>
            <w:rStyle w:val="TextoNormalCaracter"/>
          </w:rPr>
          <w:t>60/2013</w:t>
        </w:r>
      </w:hyperlink>
      <w:r>
        <w:t>, ff. 4, 7.</w:t>
      </w:r>
    </w:p>
    <w:p w:rsidR="00E27756" w:rsidRDefault="00E27756" w:rsidP="00E27756">
      <w:pPr>
        <w:pStyle w:val="SangriaFrancesaArticulo"/>
      </w:pPr>
      <w:r w:rsidRPr="00E27756">
        <w:rPr>
          <w:rStyle w:val="TextoNormalNegritaCaracter"/>
        </w:rPr>
        <w:t>Artículo 2.1 b).</w:t>
      </w:r>
      <w:r w:rsidRPr="00E27756">
        <w:rPr>
          <w:rStyle w:val="TextoNormalCaracter"/>
        </w:rPr>
        <w:t>-</w:t>
      </w:r>
      <w:r>
        <w:t xml:space="preserve"> Sentencia </w:t>
      </w:r>
      <w:hyperlink w:anchor="SENTENCIA_2013_60" w:history="1">
        <w:r w:rsidRPr="00E27756">
          <w:rPr>
            <w:rStyle w:val="TextoNormalCaracter"/>
          </w:rPr>
          <w:t>60/2013</w:t>
        </w:r>
      </w:hyperlink>
      <w:r>
        <w:t>, ff. 4, 5, 7.</w:t>
      </w:r>
    </w:p>
    <w:p w:rsidR="00E27756" w:rsidRDefault="00E27756" w:rsidP="00E27756">
      <w:pPr>
        <w:pStyle w:val="SangriaFrancesaArticulo"/>
      </w:pPr>
      <w:r w:rsidRPr="00E27756">
        <w:rPr>
          <w:rStyle w:val="TextoNormalNegritaCaracter"/>
        </w:rPr>
        <w:t>Artículo 2.1 c).</w:t>
      </w:r>
      <w:r w:rsidRPr="00E27756">
        <w:rPr>
          <w:rStyle w:val="TextoNormalCaracter"/>
        </w:rPr>
        <w:t>-</w:t>
      </w:r>
      <w:r>
        <w:t xml:space="preserve"> Sentencia </w:t>
      </w:r>
      <w:hyperlink w:anchor="SENTENCIA_2013_60" w:history="1">
        <w:r w:rsidRPr="00E27756">
          <w:rPr>
            <w:rStyle w:val="TextoNormalCaracter"/>
          </w:rPr>
          <w:t>60/2013</w:t>
        </w:r>
      </w:hyperlink>
      <w:r>
        <w:t>, ff. 4, 6, 7.</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60" w:history="1">
        <w:r w:rsidRPr="00E27756">
          <w:rPr>
            <w:rStyle w:val="TextoNormalCaracter"/>
          </w:rPr>
          <w:t>60/2013</w:t>
        </w:r>
      </w:hyperlink>
      <w:r>
        <w:t>, f. 7.</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 </w:t>
      </w:r>
      <w:hyperlink w:anchor="SENTENCIA_2013_60" w:history="1">
        <w:r w:rsidRPr="00E27756">
          <w:rPr>
            <w:rStyle w:val="TextoNormalCaracter"/>
          </w:rPr>
          <w:t>60/2013</w:t>
        </w:r>
      </w:hyperlink>
      <w:r>
        <w:t>, f. 7.</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60" w:history="1">
        <w:r w:rsidRPr="00E27756">
          <w:rPr>
            <w:rStyle w:val="TextoNormalCaracter"/>
          </w:rPr>
          <w:t>60/2013</w:t>
        </w:r>
      </w:hyperlink>
      <w:r>
        <w:t>, ff. 4 a 6.</w:t>
      </w:r>
    </w:p>
    <w:p w:rsidR="00E27756" w:rsidRDefault="00E27756" w:rsidP="00E27756">
      <w:pPr>
        <w:pStyle w:val="SangriaFrancesaArticulo"/>
      </w:pPr>
      <w:r w:rsidRPr="00E27756">
        <w:rPr>
          <w:rStyle w:val="TextoNormalNegritaCaracter"/>
        </w:rPr>
        <w:t>Artículo 5 a).</w:t>
      </w:r>
      <w:r w:rsidRPr="00E27756">
        <w:rPr>
          <w:rStyle w:val="TextoNormalCaracter"/>
        </w:rPr>
        <w:t>-</w:t>
      </w:r>
      <w:r>
        <w:t xml:space="preserve"> Sentencia </w:t>
      </w:r>
      <w:hyperlink w:anchor="SENTENCIA_2013_60" w:history="1">
        <w:r w:rsidRPr="00E27756">
          <w:rPr>
            <w:rStyle w:val="TextoNormalCaracter"/>
          </w:rPr>
          <w:t>60/2013</w:t>
        </w:r>
      </w:hyperlink>
      <w:r>
        <w:t>, f. 4.</w:t>
      </w:r>
    </w:p>
    <w:p w:rsidR="00E27756" w:rsidRDefault="00E27756" w:rsidP="00E27756">
      <w:pPr>
        <w:pStyle w:val="SangriaFrancesaArticulo"/>
      </w:pPr>
      <w:r w:rsidRPr="00E27756">
        <w:rPr>
          <w:rStyle w:val="TextoNormalNegritaCaracter"/>
        </w:rPr>
        <w:t>Artículo 5 b).</w:t>
      </w:r>
      <w:r w:rsidRPr="00E27756">
        <w:rPr>
          <w:rStyle w:val="TextoNormalCaracter"/>
        </w:rPr>
        <w:t>-</w:t>
      </w:r>
      <w:r>
        <w:t xml:space="preserve"> Sentencia </w:t>
      </w:r>
      <w:hyperlink w:anchor="SENTENCIA_2013_60" w:history="1">
        <w:r w:rsidRPr="00E27756">
          <w:rPr>
            <w:rStyle w:val="TextoNormalCaracter"/>
          </w:rPr>
          <w:t>60/2013</w:t>
        </w:r>
      </w:hyperlink>
      <w:r>
        <w:t>, ff. 5, 7.</w:t>
      </w:r>
    </w:p>
    <w:p w:rsidR="00E27756" w:rsidRDefault="00E27756" w:rsidP="00E27756">
      <w:pPr>
        <w:pStyle w:val="SangriaFrancesaArticulo"/>
      </w:pPr>
      <w:r w:rsidRPr="00E27756">
        <w:rPr>
          <w:rStyle w:val="TextoNormalNegritaCaracter"/>
        </w:rPr>
        <w:t>Artículo 5 c).</w:t>
      </w:r>
      <w:r w:rsidRPr="00E27756">
        <w:rPr>
          <w:rStyle w:val="TextoNormalCaracter"/>
        </w:rPr>
        <w:t>-</w:t>
      </w:r>
      <w:r>
        <w:t xml:space="preserve"> Sentencia </w:t>
      </w:r>
      <w:hyperlink w:anchor="SENTENCIA_2013_60" w:history="1">
        <w:r w:rsidRPr="00E27756">
          <w:rPr>
            <w:rStyle w:val="TextoNormalCaracter"/>
          </w:rPr>
          <w:t>60/2013</w:t>
        </w:r>
      </w:hyperlink>
      <w:r>
        <w:t>, ff. 6, 7.</w:t>
      </w:r>
    </w:p>
    <w:p w:rsidR="00E27756" w:rsidRDefault="00E27756" w:rsidP="00E27756">
      <w:pPr>
        <w:pStyle w:val="SangriaFrancesaArticulo"/>
      </w:pPr>
      <w:r w:rsidRPr="00E27756">
        <w:rPr>
          <w:rStyle w:val="TextoNormalNegritaCaracter"/>
        </w:rPr>
        <w:t>Artículo 5.1 b).</w:t>
      </w:r>
      <w:r w:rsidRPr="00E27756">
        <w:rPr>
          <w:rStyle w:val="TextoNormalCaracter"/>
        </w:rPr>
        <w:t>-</w:t>
      </w:r>
      <w:r>
        <w:t xml:space="preserve"> Sentencia </w:t>
      </w:r>
      <w:hyperlink w:anchor="SENTENCIA_2013_60" w:history="1">
        <w:r w:rsidRPr="00E27756">
          <w:rPr>
            <w:rStyle w:val="TextoNormalCaracter"/>
          </w:rPr>
          <w:t>60/2013</w:t>
        </w:r>
      </w:hyperlink>
      <w:r>
        <w:t>, ff. 5, 6.</w:t>
      </w:r>
    </w:p>
    <w:p w:rsidR="00E27756" w:rsidRDefault="00E27756" w:rsidP="00E27756">
      <w:pPr>
        <w:pStyle w:val="SangriaFrancesaArticulo"/>
      </w:pPr>
      <w:r w:rsidRPr="00E27756">
        <w:rPr>
          <w:rStyle w:val="TextoNormalNegritaCaracter"/>
        </w:rPr>
        <w:t>Artículo 8 a).</w:t>
      </w:r>
      <w:r w:rsidRPr="00E27756">
        <w:rPr>
          <w:rStyle w:val="TextoNormalCaracter"/>
        </w:rPr>
        <w:t>-</w:t>
      </w:r>
      <w:r>
        <w:t xml:space="preserve"> Sentencia </w:t>
      </w:r>
      <w:hyperlink w:anchor="SENTENCIA_2013_60" w:history="1">
        <w:r w:rsidRPr="00E27756">
          <w:rPr>
            <w:rStyle w:val="TextoNormalCaracter"/>
          </w:rPr>
          <w:t>60/2013</w:t>
        </w:r>
      </w:hyperlink>
      <w:r>
        <w:t>, f. 4.</w:t>
      </w:r>
    </w:p>
    <w:p w:rsidR="00E27756" w:rsidRDefault="00E27756" w:rsidP="00E27756">
      <w:pPr>
        <w:pStyle w:val="SangriaFrancesaArticulo"/>
      </w:pPr>
      <w:r w:rsidRPr="00E27756">
        <w:rPr>
          <w:rStyle w:val="TextoNormalNegritaCaracter"/>
        </w:rPr>
        <w:t>Artículo 8 b).</w:t>
      </w:r>
      <w:r w:rsidRPr="00E27756">
        <w:rPr>
          <w:rStyle w:val="TextoNormalCaracter"/>
        </w:rPr>
        <w:t>-</w:t>
      </w:r>
      <w:r>
        <w:t xml:space="preserve"> Sentencia </w:t>
      </w:r>
      <w:hyperlink w:anchor="SENTENCIA_2013_60" w:history="1">
        <w:r w:rsidRPr="00E27756">
          <w:rPr>
            <w:rStyle w:val="TextoNormalCaracter"/>
          </w:rPr>
          <w:t>60/2013</w:t>
        </w:r>
      </w:hyperlink>
      <w:r>
        <w:t>, ff. 5 a 7.</w:t>
      </w:r>
    </w:p>
    <w:p w:rsidR="00E27756" w:rsidRDefault="00E27756" w:rsidP="00E27756">
      <w:pPr>
        <w:pStyle w:val="SangriaFrancesaArticulo"/>
      </w:pPr>
      <w:r w:rsidRPr="00E27756">
        <w:rPr>
          <w:rStyle w:val="TextoNormalNegritaCaracter"/>
        </w:rPr>
        <w:t>Artículo 8 c).</w:t>
      </w:r>
      <w:r w:rsidRPr="00E27756">
        <w:rPr>
          <w:rStyle w:val="TextoNormalCaracter"/>
        </w:rPr>
        <w:t>-</w:t>
      </w:r>
      <w:r>
        <w:t xml:space="preserve"> Sentencia </w:t>
      </w:r>
      <w:hyperlink w:anchor="SENTENCIA_2013_60" w:history="1">
        <w:r w:rsidRPr="00E27756">
          <w:rPr>
            <w:rStyle w:val="TextoNormalCaracter"/>
          </w:rPr>
          <w:t>60/2013</w:t>
        </w:r>
      </w:hyperlink>
      <w:r>
        <w:t>, f. 7.</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60" w:history="1">
        <w:r w:rsidRPr="00E27756">
          <w:rPr>
            <w:rStyle w:val="TextoNormalCaracter"/>
          </w:rPr>
          <w:t>60/2013</w:t>
        </w:r>
      </w:hyperlink>
      <w:r>
        <w:t>, f. 4.</w:t>
      </w:r>
    </w:p>
    <w:p w:rsidR="00E27756" w:rsidRDefault="00E27756" w:rsidP="00E27756">
      <w:pPr>
        <w:pStyle w:val="SangriaFrancesaArticulo"/>
      </w:pPr>
      <w:r w:rsidRPr="00E27756">
        <w:rPr>
          <w:rStyle w:val="TextoNormalNegritaCaracter"/>
        </w:rPr>
        <w:t>Artículo 10.4.</w:t>
      </w:r>
      <w:r w:rsidRPr="00E27756">
        <w:rPr>
          <w:rStyle w:val="TextoNormalCaracter"/>
        </w:rPr>
        <w:t>-</w:t>
      </w:r>
      <w:r>
        <w:t xml:space="preserve"> Sentencia </w:t>
      </w:r>
      <w:hyperlink w:anchor="SENTENCIA_2013_60" w:history="1">
        <w:r w:rsidRPr="00E27756">
          <w:rPr>
            <w:rStyle w:val="TextoNormalCaracter"/>
          </w:rPr>
          <w:t>60/2013</w:t>
        </w:r>
      </w:hyperlink>
      <w:r>
        <w:t>, f. 7.</w:t>
      </w:r>
    </w:p>
    <w:p w:rsidR="00E27756" w:rsidRDefault="00E27756" w:rsidP="00E27756">
      <w:pPr>
        <w:pStyle w:val="SangriaFrancesaArticulo"/>
      </w:pPr>
      <w:r w:rsidRPr="00E27756">
        <w:rPr>
          <w:rStyle w:val="TextoNormalNegritaCaracter"/>
        </w:rPr>
        <w:t>Artículo 11.2.</w:t>
      </w:r>
      <w:r w:rsidRPr="00E27756">
        <w:rPr>
          <w:rStyle w:val="TextoNormalCaracter"/>
        </w:rPr>
        <w:t>-</w:t>
      </w:r>
      <w:r>
        <w:t xml:space="preserve"> Sentencia </w:t>
      </w:r>
      <w:hyperlink w:anchor="SENTENCIA_2013_60" w:history="1">
        <w:r w:rsidRPr="00E27756">
          <w:rPr>
            <w:rStyle w:val="TextoNormalCaracter"/>
          </w:rPr>
          <w:t>60/2013</w:t>
        </w:r>
      </w:hyperlink>
      <w:r>
        <w:t>, f. 7.</w:t>
      </w:r>
    </w:p>
    <w:p w:rsidR="00E27756" w:rsidRDefault="00E27756" w:rsidP="00E27756">
      <w:pPr>
        <w:pStyle w:val="SangriaFrancesaArticulo"/>
      </w:pPr>
      <w:r w:rsidRPr="00E27756">
        <w:rPr>
          <w:rStyle w:val="TextoNormalNegritaCaracter"/>
        </w:rPr>
        <w:t>Artículo 11.5.</w:t>
      </w:r>
      <w:r w:rsidRPr="00E27756">
        <w:rPr>
          <w:rStyle w:val="TextoNormalCaracter"/>
        </w:rPr>
        <w:t>-</w:t>
      </w:r>
      <w:r>
        <w:t xml:space="preserve"> Sentencia </w:t>
      </w:r>
      <w:hyperlink w:anchor="SENTENCIA_2013_60" w:history="1">
        <w:r w:rsidRPr="00E27756">
          <w:rPr>
            <w:rStyle w:val="TextoNormalCaracter"/>
          </w:rPr>
          <w:t>60/2013</w:t>
        </w:r>
      </w:hyperlink>
      <w:r>
        <w:t>, f. 1.</w:t>
      </w:r>
    </w:p>
    <w:p w:rsidR="00E27756" w:rsidRDefault="00E27756" w:rsidP="00E27756">
      <w:pPr>
        <w:pStyle w:val="SangriaFrancesaArticulo"/>
      </w:pPr>
      <w:r w:rsidRPr="00E27756">
        <w:rPr>
          <w:rStyle w:val="TextoNormalNegritaCaracter"/>
        </w:rPr>
        <w:t>Disposición derogatoria.</w:t>
      </w:r>
      <w:r w:rsidRPr="00E27756">
        <w:rPr>
          <w:rStyle w:val="TextoNormalCaracter"/>
        </w:rPr>
        <w:t>-</w:t>
      </w:r>
      <w:r>
        <w:t xml:space="preserve"> Sentencia </w:t>
      </w:r>
      <w:hyperlink w:anchor="SENTENCIA_2013_60" w:history="1">
        <w:r w:rsidRPr="00E27756">
          <w:rPr>
            <w:rStyle w:val="TextoNormalCaracter"/>
          </w:rPr>
          <w:t>60/2013</w:t>
        </w:r>
      </w:hyperlink>
      <w:r>
        <w:t>, f. 5.</w:t>
      </w:r>
    </w:p>
    <w:p w:rsidR="00E27756" w:rsidRDefault="00E27756" w:rsidP="00E27756">
      <w:pPr>
        <w:pStyle w:val="SangriaFrancesaArticulo"/>
      </w:pPr>
      <w:r w:rsidRPr="00E27756">
        <w:rPr>
          <w:rStyle w:val="TextoNormalNegritaCaracter"/>
        </w:rPr>
        <w:lastRenderedPageBreak/>
        <w:t>Disposición final segunda.</w:t>
      </w:r>
      <w:r w:rsidRPr="00E27756">
        <w:rPr>
          <w:rStyle w:val="TextoNormalCaracter"/>
        </w:rPr>
        <w:t>-</w:t>
      </w:r>
      <w:r>
        <w:t xml:space="preserve"> Sentencia </w:t>
      </w:r>
      <w:hyperlink w:anchor="SENTENCIA_2013_60" w:history="1">
        <w:r w:rsidRPr="00E27756">
          <w:rPr>
            <w:rStyle w:val="TextoNormalCaracter"/>
          </w:rPr>
          <w:t>60/2013</w:t>
        </w:r>
      </w:hyperlink>
      <w:r>
        <w:t>, f. 5.</w:t>
      </w:r>
    </w:p>
    <w:p w:rsidR="00E27756" w:rsidRDefault="00E27756" w:rsidP="00E27756">
      <w:pPr>
        <w:pStyle w:val="SangriaFrancesaArticulo"/>
      </w:pPr>
    </w:p>
    <w:p w:rsidR="00E27756" w:rsidRDefault="00E27756" w:rsidP="00E27756">
      <w:pPr>
        <w:pStyle w:val="TextoNormalNegritaCursivandice"/>
      </w:pPr>
      <w:r>
        <w:t>Ley de las Cortes de Castilla-La Mancha 6/2006, de 20 de diciembre. Presupuestos Generales de la Junta de Comunidades de Castilla-La Mancha para el año 2007</w:t>
      </w:r>
    </w:p>
    <w:p w:rsidR="00E27756" w:rsidRDefault="00E27756" w:rsidP="00E27756">
      <w:pPr>
        <w:pStyle w:val="SangriaFrancesaArticulo"/>
      </w:pPr>
      <w:r w:rsidRPr="00E27756">
        <w:rPr>
          <w:rStyle w:val="TextoNormalNegritaCaracter"/>
        </w:rPr>
        <w:t>Artículo 49.1.</w:t>
      </w:r>
      <w:r w:rsidRPr="00E27756">
        <w:rPr>
          <w:rStyle w:val="TextoNormalCaracter"/>
        </w:rPr>
        <w:t>-</w:t>
      </w:r>
      <w:r>
        <w:t xml:space="preserve"> Sentencia </w:t>
      </w:r>
      <w:hyperlink w:anchor="SENTENCIA_2013_60" w:history="1">
        <w:r w:rsidRPr="00E27756">
          <w:rPr>
            <w:rStyle w:val="TextoNormalCaracter"/>
          </w:rPr>
          <w:t>60/2013</w:t>
        </w:r>
      </w:hyperlink>
      <w:r>
        <w:t>, f. 5.</w:t>
      </w:r>
    </w:p>
    <w:p w:rsidR="00E27756" w:rsidRDefault="00E27756" w:rsidP="00E27756">
      <w:pPr>
        <w:pStyle w:val="SangriaFrancesaArticulo"/>
      </w:pPr>
    </w:p>
    <w:p w:rsidR="00E27756" w:rsidRDefault="00E27756" w:rsidP="00E27756">
      <w:pPr>
        <w:pStyle w:val="TextoNormalNegritaCursivandice"/>
      </w:pPr>
      <w:r>
        <w:t>Ley de las Cortes de Castilla-La Mancha 15/2007, de 20 de diciembre. Presupuestos Generales de la Junta de Comunidades de Castilla-La Mancha para el año 2008</w:t>
      </w:r>
    </w:p>
    <w:p w:rsidR="00E27756" w:rsidRDefault="00E27756" w:rsidP="00E27756">
      <w:pPr>
        <w:pStyle w:val="SangriaFrancesaArticulo"/>
      </w:pPr>
      <w:r w:rsidRPr="00E27756">
        <w:rPr>
          <w:rStyle w:val="TextoNormalNegritaCaracter"/>
        </w:rPr>
        <w:t>Artículo 49.1.</w:t>
      </w:r>
      <w:r w:rsidRPr="00E27756">
        <w:rPr>
          <w:rStyle w:val="TextoNormalCaracter"/>
        </w:rPr>
        <w:t>-</w:t>
      </w:r>
      <w:r>
        <w:t xml:space="preserve"> Sentencia </w:t>
      </w:r>
      <w:hyperlink w:anchor="SENTENCIA_2013_60" w:history="1">
        <w:r w:rsidRPr="00E27756">
          <w:rPr>
            <w:rStyle w:val="TextoNormalCaracter"/>
          </w:rPr>
          <w:t>60/2013</w:t>
        </w:r>
      </w:hyperlink>
      <w:r>
        <w:t>, f. 5.</w:t>
      </w:r>
    </w:p>
    <w:p w:rsidR="00E27756" w:rsidRDefault="00E27756" w:rsidP="00E27756">
      <w:pPr>
        <w:pStyle w:val="SangriaFrancesaArticulo"/>
      </w:pPr>
    </w:p>
    <w:p w:rsidR="00E27756" w:rsidRDefault="00E27756" w:rsidP="00E27756">
      <w:pPr>
        <w:pStyle w:val="TextoNormalNegritaCursivandice"/>
      </w:pPr>
      <w:r>
        <w:t>Ley de las Cortes de Castilla-La Mancha 10/2008, de 19 de diciembre. Presupuestos Generales de la Junta de Comunidades de Castilla-La Mancha para el año 2009</w:t>
      </w:r>
    </w:p>
    <w:p w:rsidR="00E27756" w:rsidRDefault="00E27756" w:rsidP="00E27756">
      <w:pPr>
        <w:pStyle w:val="SangriaFrancesaArticulo"/>
      </w:pPr>
      <w:r w:rsidRPr="00E27756">
        <w:rPr>
          <w:rStyle w:val="TextoNormalNegritaCaracter"/>
        </w:rPr>
        <w:t>Artículo 50.1.</w:t>
      </w:r>
      <w:r w:rsidRPr="00E27756">
        <w:rPr>
          <w:rStyle w:val="TextoNormalCaracter"/>
        </w:rPr>
        <w:t>-</w:t>
      </w:r>
      <w:r>
        <w:t xml:space="preserve"> Sentencia </w:t>
      </w:r>
      <w:hyperlink w:anchor="SENTENCIA_2013_60" w:history="1">
        <w:r w:rsidRPr="00E27756">
          <w:rPr>
            <w:rStyle w:val="TextoNormalCaracter"/>
          </w:rPr>
          <w:t>60/2013</w:t>
        </w:r>
      </w:hyperlink>
      <w:r>
        <w:t>, f. 5.</w:t>
      </w:r>
    </w:p>
    <w:p w:rsidR="00E27756" w:rsidRDefault="00E27756" w:rsidP="00E27756">
      <w:pPr>
        <w:pStyle w:val="SangriaFrancesaArticulo"/>
      </w:pPr>
    </w:p>
    <w:p w:rsidR="00E27756" w:rsidRDefault="00E27756" w:rsidP="00E27756">
      <w:pPr>
        <w:pStyle w:val="TextoNormalNegritaCursivandice"/>
      </w:pPr>
      <w:r>
        <w:t>Ley de las Cortes de Castilla-La Mancha 5/2009, de 17 de diciembre. Presupuestos Generales de la Junta de Comunidades de Castilla-La Mancha para el año 2010</w:t>
      </w:r>
    </w:p>
    <w:p w:rsidR="00E27756" w:rsidRDefault="00E27756" w:rsidP="00E27756">
      <w:pPr>
        <w:pStyle w:val="SangriaFrancesaArticulo"/>
      </w:pPr>
      <w:r w:rsidRPr="00E27756">
        <w:rPr>
          <w:rStyle w:val="TextoNormalNegritaCaracter"/>
        </w:rPr>
        <w:t>Artículo 50.1.</w:t>
      </w:r>
      <w:r w:rsidRPr="00E27756">
        <w:rPr>
          <w:rStyle w:val="TextoNormalCaracter"/>
        </w:rPr>
        <w:t>-</w:t>
      </w:r>
      <w:r>
        <w:t xml:space="preserve"> Sentencia </w:t>
      </w:r>
      <w:hyperlink w:anchor="SENTENCIA_2013_60" w:history="1">
        <w:r w:rsidRPr="00E27756">
          <w:rPr>
            <w:rStyle w:val="TextoNormalCaracter"/>
          </w:rPr>
          <w:t>60/2013</w:t>
        </w:r>
      </w:hyperlink>
      <w:r>
        <w:t>, f. 5.</w:t>
      </w:r>
    </w:p>
    <w:p w:rsidR="00E27756" w:rsidRDefault="00E27756" w:rsidP="00E27756">
      <w:pPr>
        <w:pStyle w:val="SangriaFrancesaArticulo"/>
      </w:pPr>
    </w:p>
    <w:p w:rsidR="00E27756" w:rsidRDefault="00E27756" w:rsidP="00E27756">
      <w:pPr>
        <w:pStyle w:val="TextoNormalNegritaCursivandice"/>
      </w:pPr>
      <w:r>
        <w:t>Ley de las Cortes de Castilla-La Mancha 16/2010, de 22 de diciembre, de Presupuestos Generales de la Junta de Comunidades de Castilla-La Mancha para el año 2011</w:t>
      </w:r>
    </w:p>
    <w:p w:rsidR="00E27756" w:rsidRDefault="00E27756" w:rsidP="00E27756">
      <w:pPr>
        <w:pStyle w:val="SangriaFrancesaArticulo"/>
      </w:pPr>
      <w:r w:rsidRPr="00E27756">
        <w:rPr>
          <w:rStyle w:val="TextoNormalNegritaCaracter"/>
        </w:rPr>
        <w:t>Artículo 51.1.</w:t>
      </w:r>
      <w:r w:rsidRPr="00E27756">
        <w:rPr>
          <w:rStyle w:val="TextoNormalCaracter"/>
        </w:rPr>
        <w:t>-</w:t>
      </w:r>
      <w:r>
        <w:t xml:space="preserve"> Sentencia </w:t>
      </w:r>
      <w:hyperlink w:anchor="SENTENCIA_2013_60" w:history="1">
        <w:r w:rsidRPr="00E27756">
          <w:rPr>
            <w:rStyle w:val="TextoNormalCaracter"/>
          </w:rPr>
          <w:t>60/2013</w:t>
        </w:r>
      </w:hyperlink>
      <w:r>
        <w:t>, f. 5.</w:t>
      </w:r>
    </w:p>
    <w:p w:rsidR="00E27756" w:rsidRDefault="00E27756" w:rsidP="00E27756">
      <w:pPr>
        <w:pStyle w:val="SangriaFrancesaArticulo"/>
      </w:pPr>
    </w:p>
    <w:p w:rsidR="00E27756" w:rsidRDefault="00E27756" w:rsidP="00E27756">
      <w:pPr>
        <w:pStyle w:val="TextoNormalNegritaCursivandice"/>
      </w:pPr>
      <w:r>
        <w:t>Ley de las Cortes de Castilla-La Mancha 5/2012, de 12 de julio. Presupuestos Generales de la Junta de Comunidades de Castilla-La Mancha para 2012</w:t>
      </w:r>
    </w:p>
    <w:p w:rsidR="00E27756" w:rsidRDefault="00E27756" w:rsidP="00E27756">
      <w:pPr>
        <w:pStyle w:val="SangriaFrancesaArticulo"/>
      </w:pPr>
      <w:r w:rsidRPr="00E27756">
        <w:rPr>
          <w:rStyle w:val="TextoNormalNegritaCaracter"/>
        </w:rPr>
        <w:t>Disposición adicional duodécima, apartado 1.</w:t>
      </w:r>
      <w:r w:rsidRPr="00E27756">
        <w:rPr>
          <w:rStyle w:val="TextoNormalCaracter"/>
        </w:rPr>
        <w:t>-</w:t>
      </w:r>
      <w:r>
        <w:t xml:space="preserve"> Sentencia </w:t>
      </w:r>
      <w:hyperlink w:anchor="SENTENCIA_2013_60" w:history="1">
        <w:r w:rsidRPr="00E27756">
          <w:rPr>
            <w:rStyle w:val="TextoNormalCaracter"/>
          </w:rPr>
          <w:t>60/2013</w:t>
        </w:r>
      </w:hyperlink>
      <w:r>
        <w:t>, f. 5.</w:t>
      </w:r>
    </w:p>
    <w:p w:rsidR="00E27756" w:rsidRDefault="00E27756" w:rsidP="00E27756">
      <w:pPr>
        <w:pStyle w:val="SangriaFrancesaArticulo"/>
      </w:pPr>
    </w:p>
    <w:p w:rsidR="00E27756" w:rsidRDefault="00E27756" w:rsidP="00E27756">
      <w:pPr>
        <w:pStyle w:val="TextoNormalNegritaCursivandice"/>
      </w:pPr>
      <w:r>
        <w:t>Ley de las Cortes de Castilla-La Mancha 10/2012, de 20 de diciembre. Presupuestos Generales de la Junta de Comunidades de Castilla-La Mancha para 2013</w:t>
      </w:r>
    </w:p>
    <w:p w:rsidR="00E27756" w:rsidRDefault="00E27756" w:rsidP="00E27756">
      <w:pPr>
        <w:pStyle w:val="SangriaFrancesaArticulo"/>
      </w:pPr>
      <w:r w:rsidRPr="00E27756">
        <w:rPr>
          <w:rStyle w:val="TextoNormalNegritaCaracter"/>
        </w:rPr>
        <w:t>Artículo 51.</w:t>
      </w:r>
      <w:r w:rsidRPr="00E27756">
        <w:rPr>
          <w:rStyle w:val="TextoNormalCaracter"/>
        </w:rPr>
        <w:t>-</w:t>
      </w:r>
      <w:r>
        <w:t xml:space="preserve"> Sentencia </w:t>
      </w:r>
      <w:hyperlink w:anchor="SENTENCIA_2013_60" w:history="1">
        <w:r w:rsidRPr="00E27756">
          <w:rPr>
            <w:rStyle w:val="TextoNormalCaracter"/>
          </w:rPr>
          <w:t>60/2013</w:t>
        </w:r>
      </w:hyperlink>
      <w:r>
        <w:t>, f. 5.</w:t>
      </w:r>
    </w:p>
    <w:p w:rsidR="00E27756" w:rsidRDefault="00E27756" w:rsidP="00E27756">
      <w:pPr>
        <w:pStyle w:val="TextoNormal"/>
      </w:pPr>
    </w:p>
    <w:p w:rsidR="00E27756" w:rsidRDefault="00E27756" w:rsidP="00E27756">
      <w:pPr>
        <w:pStyle w:val="TextoNormalNegritaCentradoSubrayado"/>
        <w:suppressAutoHyphens/>
      </w:pPr>
      <w:r>
        <w:t>J.7.c) Decretos y otras disposiciones reglamentarias</w:t>
      </w:r>
    </w:p>
    <w:p w:rsidR="00E27756" w:rsidRDefault="00E27756" w:rsidP="00E27756">
      <w:pPr>
        <w:pStyle w:val="TextoNormalNegritaCentradoSubrayado"/>
      </w:pPr>
    </w:p>
    <w:p w:rsidR="00E27756" w:rsidRDefault="00E27756" w:rsidP="00E27756">
      <w:pPr>
        <w:pStyle w:val="TextoNormalNegritaCursivandice"/>
      </w:pPr>
      <w:r>
        <w:t>Orden de la Consejería de Economía y Hacienda de la Junta de Comunidades de Castilla-La Mancha, de 15 de marzo de 2006. Se aprueban los modelos 701 y 702 de autoliquidación del impuesto sobre determinadas actividades que inciden en el medio ambiente y se dictan normas para su presentación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0" w:history="1">
        <w:r w:rsidRPr="00E27756">
          <w:rPr>
            <w:rStyle w:val="TextoNormalCaracter"/>
          </w:rPr>
          <w:t>60/2013</w:t>
        </w:r>
      </w:hyperlink>
      <w:r>
        <w:t>, f. 1.</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J.8) Castilla y León</w:t>
      </w:r>
    </w:p>
    <w:p w:rsidR="00E27756" w:rsidRDefault="00E27756" w:rsidP="00E27756">
      <w:pPr>
        <w:pStyle w:val="TextoNormal"/>
      </w:pPr>
    </w:p>
    <w:p w:rsidR="00E27756" w:rsidRDefault="00E27756" w:rsidP="00E27756">
      <w:pPr>
        <w:pStyle w:val="TextoNormalNegritaCentradoSubrayado"/>
        <w:suppressAutoHyphens/>
      </w:pPr>
      <w:r>
        <w:t>J.8.a) Estatuto de Autonomía</w:t>
      </w:r>
    </w:p>
    <w:p w:rsidR="00E27756" w:rsidRDefault="00E27756" w:rsidP="00E27756">
      <w:pPr>
        <w:pStyle w:val="TextoNormalNegritaCentradoSubrayado"/>
      </w:pPr>
    </w:p>
    <w:p w:rsidR="00E27756" w:rsidRDefault="00E27756" w:rsidP="00E27756">
      <w:pPr>
        <w:pStyle w:val="TextoNormalNegritaCursivandice"/>
      </w:pPr>
      <w:r>
        <w:t>Ley Orgánica 4/1983, de 25 de febrero. Estatuto de Autonomía de Castilla y León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6" w:history="1">
        <w:r w:rsidRPr="00E27756">
          <w:rPr>
            <w:rStyle w:val="TextoNormalCaracter"/>
          </w:rPr>
          <w:t>136/2013</w:t>
        </w:r>
      </w:hyperlink>
      <w:r>
        <w:t>, f. 5.</w:t>
      </w:r>
    </w:p>
    <w:p w:rsidR="00E27756" w:rsidRDefault="00E27756" w:rsidP="00E27756">
      <w:pPr>
        <w:pStyle w:val="SangriaFrancesaArticulo"/>
      </w:pPr>
      <w:r w:rsidRPr="00E27756">
        <w:rPr>
          <w:rStyle w:val="TextoNormalNegritaCaracter"/>
        </w:rPr>
        <w:t>Artículo 24.1.</w:t>
      </w:r>
      <w:r w:rsidRPr="00E27756">
        <w:rPr>
          <w:rStyle w:val="TextoNormalCaracter"/>
        </w:rPr>
        <w:t>-</w:t>
      </w:r>
      <w:r>
        <w:t xml:space="preserve"> Sentencia </w:t>
      </w:r>
      <w:hyperlink w:anchor="SENTENCIA_2013_129" w:history="1">
        <w:r w:rsidRPr="00E27756">
          <w:rPr>
            <w:rStyle w:val="TextoNormalCaracter"/>
          </w:rPr>
          <w:t>129/2013</w:t>
        </w:r>
      </w:hyperlink>
      <w:r>
        <w:t>, f. 5.</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Sentencias </w:t>
      </w:r>
      <w:hyperlink w:anchor="SENTENCIA_2013_97" w:history="1">
        <w:r w:rsidRPr="00E27756">
          <w:rPr>
            <w:rStyle w:val="TextoNormalCaracter"/>
          </w:rPr>
          <w:t>97/2013</w:t>
        </w:r>
      </w:hyperlink>
      <w:r>
        <w:t xml:space="preserve">, f. 1; </w:t>
      </w:r>
      <w:hyperlink w:anchor="SENTENCIA_2013_107" w:history="1">
        <w:r w:rsidRPr="00E27756">
          <w:rPr>
            <w:rStyle w:val="TextoNormalCaracter"/>
          </w:rPr>
          <w:t>107/2013</w:t>
        </w:r>
      </w:hyperlink>
      <w:r>
        <w:t>, f. 1.</w:t>
      </w:r>
    </w:p>
    <w:p w:rsidR="00E27756" w:rsidRDefault="00E27756" w:rsidP="00E27756">
      <w:pPr>
        <w:pStyle w:val="SangriaFrancesaArticulo"/>
      </w:pPr>
      <w:r w:rsidRPr="00E27756">
        <w:rPr>
          <w:rStyle w:val="TextoNormalNegritaCaracter"/>
        </w:rPr>
        <w:t>Artículo 32.1.2.</w:t>
      </w:r>
      <w:r w:rsidRPr="00E27756">
        <w:rPr>
          <w:rStyle w:val="TextoNormalCaracter"/>
        </w:rPr>
        <w:t>-</w:t>
      </w:r>
      <w:r>
        <w:t xml:space="preserve"> Sentencia </w:t>
      </w:r>
      <w:hyperlink w:anchor="SENTENCIA_2013_97" w:history="1">
        <w:r w:rsidRPr="00E27756">
          <w:rPr>
            <w:rStyle w:val="TextoNormalCaracter"/>
          </w:rPr>
          <w:t>97/2013</w:t>
        </w:r>
      </w:hyperlink>
      <w:r>
        <w:t>, f. 1.</w:t>
      </w:r>
    </w:p>
    <w:p w:rsidR="00E27756" w:rsidRDefault="00E27756" w:rsidP="00E27756">
      <w:pPr>
        <w:pStyle w:val="SangriaFrancesaArticulo"/>
      </w:pPr>
      <w:r w:rsidRPr="00E27756">
        <w:rPr>
          <w:rStyle w:val="TextoNormalNegritaCaracter"/>
        </w:rPr>
        <w:t>Artículo 32.1.7.</w:t>
      </w:r>
      <w:r w:rsidRPr="00E27756">
        <w:rPr>
          <w:rStyle w:val="TextoNormalCaracter"/>
        </w:rPr>
        <w:t>-</w:t>
      </w:r>
      <w:r>
        <w:t xml:space="preserve"> Sentencia </w:t>
      </w:r>
      <w:hyperlink w:anchor="SENTENCIA_2013_107" w:history="1">
        <w:r w:rsidRPr="00E27756">
          <w:rPr>
            <w:rStyle w:val="TextoNormalCaracter"/>
          </w:rPr>
          <w:t>107/2013</w:t>
        </w:r>
      </w:hyperlink>
      <w:r>
        <w:t>, f. 1.</w:t>
      </w:r>
    </w:p>
    <w:p w:rsidR="00E27756" w:rsidRDefault="00E27756" w:rsidP="00E27756">
      <w:pPr>
        <w:pStyle w:val="SangriaFrancesaArticulo"/>
      </w:pPr>
      <w:r w:rsidRPr="00E27756">
        <w:rPr>
          <w:rStyle w:val="TextoNormalNegritaCaracter"/>
        </w:rPr>
        <w:t>Artículo 32.1.12.</w:t>
      </w:r>
      <w:r w:rsidRPr="00E27756">
        <w:rPr>
          <w:rStyle w:val="TextoNormalCaracter"/>
        </w:rPr>
        <w:t>-</w:t>
      </w:r>
      <w:r>
        <w:t xml:space="preserve"> Sentencias </w:t>
      </w:r>
      <w:hyperlink w:anchor="SENTENCIA_2013_38" w:history="1">
        <w:r w:rsidRPr="00E27756">
          <w:rPr>
            <w:rStyle w:val="TextoNormalCaracter"/>
          </w:rPr>
          <w:t>38/2013</w:t>
        </w:r>
      </w:hyperlink>
      <w:r>
        <w:t xml:space="preserve">, f. 2; </w:t>
      </w:r>
      <w:hyperlink w:anchor="SENTENCIA_2013_136" w:history="1">
        <w:r w:rsidRPr="00E27756">
          <w:rPr>
            <w:rStyle w:val="TextoNormalCaracter"/>
          </w:rPr>
          <w:t>136/2013</w:t>
        </w:r>
      </w:hyperlink>
      <w:r>
        <w:t>, f. 2.</w:t>
      </w:r>
    </w:p>
    <w:p w:rsidR="00E27756" w:rsidRDefault="00E27756" w:rsidP="00E27756">
      <w:pPr>
        <w:pStyle w:val="SangriaFrancesaArticulo"/>
      </w:pPr>
      <w:r w:rsidRPr="00E27756">
        <w:rPr>
          <w:rStyle w:val="TextoNormalNegritaCaracter"/>
        </w:rPr>
        <w:t>Artículo 32.1.13.</w:t>
      </w:r>
      <w:r w:rsidRPr="00E27756">
        <w:rPr>
          <w:rStyle w:val="TextoNormalCaracter"/>
        </w:rPr>
        <w:t>-</w:t>
      </w:r>
      <w:r>
        <w:t xml:space="preserve"> Sentencias </w:t>
      </w:r>
      <w:hyperlink w:anchor="SENTENCIA_2013_38" w:history="1">
        <w:r w:rsidRPr="00E27756">
          <w:rPr>
            <w:rStyle w:val="TextoNormalCaracter"/>
          </w:rPr>
          <w:t>38/2013</w:t>
        </w:r>
      </w:hyperlink>
      <w:r>
        <w:t xml:space="preserve">, f. 2; </w:t>
      </w:r>
      <w:hyperlink w:anchor="SENTENCIA_2013_136" w:history="1">
        <w:r w:rsidRPr="00E27756">
          <w:rPr>
            <w:rStyle w:val="TextoNormalCaracter"/>
          </w:rPr>
          <w:t>136/2013</w:t>
        </w:r>
      </w:hyperlink>
      <w:r>
        <w:t>, f. 2.</w:t>
      </w:r>
    </w:p>
    <w:p w:rsidR="00E27756" w:rsidRDefault="00E27756" w:rsidP="00E27756">
      <w:pPr>
        <w:pStyle w:val="SangriaFrancesaArticulo"/>
      </w:pPr>
      <w:r w:rsidRPr="00E27756">
        <w:rPr>
          <w:rStyle w:val="TextoNormalNegritaCaracter"/>
        </w:rPr>
        <w:t>Artículo 32.1.15.</w:t>
      </w:r>
      <w:r w:rsidRPr="00E27756">
        <w:rPr>
          <w:rStyle w:val="TextoNormalCaracter"/>
        </w:rPr>
        <w:t>-</w:t>
      </w:r>
      <w:r>
        <w:t xml:space="preserve"> Sentencia </w:t>
      </w:r>
      <w:hyperlink w:anchor="SENTENCIA_2013_97" w:history="1">
        <w:r w:rsidRPr="00E27756">
          <w:rPr>
            <w:rStyle w:val="TextoNormalCaracter"/>
          </w:rPr>
          <w:t>97/2013</w:t>
        </w:r>
      </w:hyperlink>
      <w:r>
        <w:t>, f. 1.</w:t>
      </w:r>
    </w:p>
    <w:p w:rsidR="00E27756" w:rsidRDefault="00E27756" w:rsidP="00E27756">
      <w:pPr>
        <w:pStyle w:val="SangriaFrancesaArticulo"/>
      </w:pPr>
      <w:r w:rsidRPr="00E27756">
        <w:rPr>
          <w:rStyle w:val="TextoNormalNegritaCaracter"/>
        </w:rPr>
        <w:t>Artículo 32.1.18.</w:t>
      </w:r>
      <w:r w:rsidRPr="00E27756">
        <w:rPr>
          <w:rStyle w:val="TextoNormalCaracter"/>
        </w:rPr>
        <w:t>-</w:t>
      </w:r>
      <w:r>
        <w:t xml:space="preserve"> Sentencia </w:t>
      </w:r>
      <w:hyperlink w:anchor="SENTENCIA_2013_97" w:history="1">
        <w:r w:rsidRPr="00E27756">
          <w:rPr>
            <w:rStyle w:val="TextoNormalCaracter"/>
          </w:rPr>
          <w:t>97/2013</w:t>
        </w:r>
      </w:hyperlink>
      <w:r>
        <w:t>, f. 1.</w:t>
      </w:r>
    </w:p>
    <w:p w:rsidR="00E27756" w:rsidRDefault="00E27756" w:rsidP="00E27756">
      <w:pPr>
        <w:pStyle w:val="SangriaFrancesaArticulo"/>
      </w:pPr>
      <w:r w:rsidRPr="00E27756">
        <w:rPr>
          <w:rStyle w:val="TextoNormalNegritaCaracter"/>
        </w:rPr>
        <w:t>Artículo 34.</w:t>
      </w:r>
      <w:r w:rsidRPr="00E27756">
        <w:rPr>
          <w:rStyle w:val="TextoNormalCaracter"/>
        </w:rPr>
        <w:t>-</w:t>
      </w:r>
      <w:r>
        <w:t xml:space="preserve"> Sentencia </w:t>
      </w:r>
      <w:hyperlink w:anchor="SENTENCIA_2013_97" w:history="1">
        <w:r w:rsidRPr="00E27756">
          <w:rPr>
            <w:rStyle w:val="TextoNormalCaracter"/>
          </w:rPr>
          <w:t>97/2013</w:t>
        </w:r>
      </w:hyperlink>
      <w:r>
        <w:t>, f. 1.</w:t>
      </w:r>
    </w:p>
    <w:p w:rsidR="00E27756" w:rsidRDefault="00E27756" w:rsidP="00E27756">
      <w:pPr>
        <w:pStyle w:val="SangriaFrancesaArticulo"/>
      </w:pPr>
      <w:r w:rsidRPr="00E27756">
        <w:rPr>
          <w:rStyle w:val="TextoNormalNegritaCaracter"/>
        </w:rPr>
        <w:t>Artículo 34.1.5.</w:t>
      </w:r>
      <w:r w:rsidRPr="00E27756">
        <w:rPr>
          <w:rStyle w:val="TextoNormalCaracter"/>
        </w:rPr>
        <w:t>-</w:t>
      </w:r>
      <w:r>
        <w:t xml:space="preserve"> Sentencia </w:t>
      </w:r>
      <w:hyperlink w:anchor="SENTENCIA_2013_97" w:history="1">
        <w:r w:rsidRPr="00E27756">
          <w:rPr>
            <w:rStyle w:val="TextoNormalCaracter"/>
          </w:rPr>
          <w:t>97/2013</w:t>
        </w:r>
      </w:hyperlink>
      <w:r>
        <w:t>, f. 1.</w:t>
      </w:r>
    </w:p>
    <w:p w:rsidR="00E27756" w:rsidRDefault="00E27756" w:rsidP="00E27756">
      <w:pPr>
        <w:pStyle w:val="SangriaFrancesaArticulo"/>
      </w:pPr>
      <w:r w:rsidRPr="00E27756">
        <w:rPr>
          <w:rStyle w:val="TextoNormalNegritaCaracter"/>
        </w:rPr>
        <w:t>Artículo 34.1.9.</w:t>
      </w:r>
      <w:r w:rsidRPr="00E27756">
        <w:rPr>
          <w:rStyle w:val="TextoNormalCaracter"/>
        </w:rPr>
        <w:t>-</w:t>
      </w:r>
      <w:r>
        <w:t xml:space="preserve"> Sentencia </w:t>
      </w:r>
      <w:hyperlink w:anchor="SENTENCIA_2013_97" w:history="1">
        <w:r w:rsidRPr="00E27756">
          <w:rPr>
            <w:rStyle w:val="TextoNormalCaracter"/>
          </w:rPr>
          <w:t>97/2013</w:t>
        </w:r>
      </w:hyperlink>
      <w:r>
        <w:t>, f. 1.</w:t>
      </w:r>
    </w:p>
    <w:p w:rsidR="00E27756" w:rsidRDefault="00E27756" w:rsidP="00E27756">
      <w:pPr>
        <w:pStyle w:val="SangriaFrancesaArticulo"/>
      </w:pPr>
      <w:r w:rsidRPr="00E27756">
        <w:rPr>
          <w:rStyle w:val="TextoNormalNegritaCaracter"/>
        </w:rPr>
        <w:t>Artículo 36.4.</w:t>
      </w:r>
      <w:r w:rsidRPr="00E27756">
        <w:rPr>
          <w:rStyle w:val="TextoNormalCaracter"/>
        </w:rPr>
        <w:t>-</w:t>
      </w:r>
      <w:r>
        <w:t xml:space="preserve"> Sentencias </w:t>
      </w:r>
      <w:hyperlink w:anchor="SENTENCIA_2013_38" w:history="1">
        <w:r w:rsidRPr="00E27756">
          <w:rPr>
            <w:rStyle w:val="TextoNormalCaracter"/>
          </w:rPr>
          <w:t>38/2013</w:t>
        </w:r>
      </w:hyperlink>
      <w:r>
        <w:t xml:space="preserve">, f. 2; </w:t>
      </w:r>
      <w:hyperlink w:anchor="SENTENCIA_2013_136" w:history="1">
        <w:r w:rsidRPr="00E27756">
          <w:rPr>
            <w:rStyle w:val="TextoNormalCaracter"/>
          </w:rPr>
          <w:t>136/2013</w:t>
        </w:r>
      </w:hyperlink>
      <w:r>
        <w:t>, f. 2.</w:t>
      </w:r>
    </w:p>
    <w:p w:rsidR="00E27756" w:rsidRDefault="00E27756" w:rsidP="00E27756">
      <w:pPr>
        <w:pStyle w:val="SangriaFrancesaArticulo"/>
      </w:pPr>
      <w:r w:rsidRPr="00E27756">
        <w:rPr>
          <w:rStyle w:val="TextoNormalNegritaCaracter"/>
        </w:rPr>
        <w:t>Artículo 70.1.6.</w:t>
      </w:r>
      <w:r w:rsidRPr="00E27756">
        <w:rPr>
          <w:rStyle w:val="TextoNormalCaracter"/>
        </w:rPr>
        <w:t>-</w:t>
      </w:r>
      <w:r>
        <w:t xml:space="preserve"> Sentencia </w:t>
      </w:r>
      <w:hyperlink w:anchor="SENTENCIA_2013_97" w:history="1">
        <w:r w:rsidRPr="00E27756">
          <w:rPr>
            <w:rStyle w:val="TextoNormalCaracter"/>
          </w:rPr>
          <w:t>97/2013</w:t>
        </w:r>
      </w:hyperlink>
      <w:r>
        <w:t>, f. 4.</w:t>
      </w:r>
    </w:p>
    <w:p w:rsidR="00E27756" w:rsidRDefault="00E27756" w:rsidP="00E27756">
      <w:pPr>
        <w:pStyle w:val="SangriaFrancesaArticulo"/>
      </w:pPr>
      <w:r w:rsidRPr="00E27756">
        <w:rPr>
          <w:rStyle w:val="TextoNormalNegritaCaracter"/>
        </w:rPr>
        <w:t>Artículo 71.1.</w:t>
      </w:r>
      <w:r w:rsidRPr="00E27756">
        <w:rPr>
          <w:rStyle w:val="TextoNormalCaracter"/>
        </w:rPr>
        <w:t>-</w:t>
      </w:r>
      <w:r>
        <w:t xml:space="preserve"> Sentencia </w:t>
      </w:r>
      <w:hyperlink w:anchor="SENTENCIA_2013_97" w:history="1">
        <w:r w:rsidRPr="00E27756">
          <w:rPr>
            <w:rStyle w:val="TextoNormalCaracter"/>
          </w:rPr>
          <w:t>97/2013</w:t>
        </w:r>
      </w:hyperlink>
      <w:r>
        <w:t>, f. 4.</w:t>
      </w:r>
    </w:p>
    <w:p w:rsidR="00E27756" w:rsidRDefault="00E27756" w:rsidP="00E27756">
      <w:pPr>
        <w:pStyle w:val="SangriaFrancesaArticulo"/>
      </w:pPr>
      <w:r w:rsidRPr="00E27756">
        <w:rPr>
          <w:rStyle w:val="TextoNormalNegritaCaracter"/>
        </w:rPr>
        <w:t>Artículo 71.1.8.</w:t>
      </w:r>
      <w:r w:rsidRPr="00E27756">
        <w:rPr>
          <w:rStyle w:val="TextoNormalCaracter"/>
        </w:rPr>
        <w:t>-</w:t>
      </w:r>
      <w:r>
        <w:t xml:space="preserve"> Sentencia </w:t>
      </w:r>
      <w:hyperlink w:anchor="SENTENCIA_2013_97" w:history="1">
        <w:r w:rsidRPr="00E27756">
          <w:rPr>
            <w:rStyle w:val="TextoNormalCaracter"/>
          </w:rPr>
          <w:t>97/2013</w:t>
        </w:r>
      </w:hyperlink>
      <w:r>
        <w:t>, f. 6.</w:t>
      </w:r>
    </w:p>
    <w:p w:rsidR="00E27756" w:rsidRDefault="00E27756" w:rsidP="00E27756">
      <w:pPr>
        <w:pStyle w:val="SangriaFrancesaArticulo"/>
      </w:pPr>
      <w:r w:rsidRPr="00E27756">
        <w:rPr>
          <w:rStyle w:val="TextoNormalNegritaCaracter"/>
        </w:rPr>
        <w:t>Artículo 71.1.16.</w:t>
      </w:r>
      <w:r w:rsidRPr="00E27756">
        <w:rPr>
          <w:rStyle w:val="TextoNormalCaracter"/>
        </w:rPr>
        <w:t>-</w:t>
      </w:r>
      <w:r>
        <w:t xml:space="preserve"> Sentencia </w:t>
      </w:r>
      <w:hyperlink w:anchor="SENTENCIA_2013_97" w:history="1">
        <w:r w:rsidRPr="00E27756">
          <w:rPr>
            <w:rStyle w:val="TextoNormalCaracter"/>
          </w:rPr>
          <w:t>97/2013</w:t>
        </w:r>
      </w:hyperlink>
      <w:r>
        <w:t>, f. 6.</w:t>
      </w:r>
    </w:p>
    <w:p w:rsidR="00E27756" w:rsidRDefault="00E27756" w:rsidP="00E27756">
      <w:pPr>
        <w:pStyle w:val="SangriaFrancesaArticulo"/>
      </w:pPr>
      <w:r w:rsidRPr="00E27756">
        <w:rPr>
          <w:rStyle w:val="TextoNormalNegritaCaracter"/>
        </w:rPr>
        <w:t>Artículo 71.1.26.</w:t>
      </w:r>
      <w:r w:rsidRPr="00E27756">
        <w:rPr>
          <w:rStyle w:val="TextoNormalCaracter"/>
        </w:rPr>
        <w:t>-</w:t>
      </w:r>
      <w:r>
        <w:t xml:space="preserve"> Sentencia </w:t>
      </w:r>
      <w:hyperlink w:anchor="SENTENCIA_2013_97" w:history="1">
        <w:r w:rsidRPr="00E27756">
          <w:rPr>
            <w:rStyle w:val="TextoNormalCaracter"/>
          </w:rPr>
          <w:t>97/2013</w:t>
        </w:r>
      </w:hyperlink>
      <w:r>
        <w:t>, f. 5.</w:t>
      </w:r>
    </w:p>
    <w:p w:rsidR="00E27756" w:rsidRDefault="00E27756" w:rsidP="00E27756">
      <w:pPr>
        <w:pStyle w:val="SangriaFrancesaArticulo"/>
      </w:pPr>
      <w:r w:rsidRPr="00E27756">
        <w:rPr>
          <w:rStyle w:val="TextoNormalNegritaCaracter"/>
        </w:rPr>
        <w:t>Artículo 71.1.33.</w:t>
      </w:r>
      <w:r w:rsidRPr="00E27756">
        <w:rPr>
          <w:rStyle w:val="TextoNormalCaracter"/>
        </w:rPr>
        <w:t>-</w:t>
      </w:r>
      <w:r>
        <w:t xml:space="preserve"> Sentencia </w:t>
      </w:r>
      <w:hyperlink w:anchor="SENTENCIA_2013_97" w:history="1">
        <w:r w:rsidRPr="00E27756">
          <w:rPr>
            <w:rStyle w:val="TextoNormalCaracter"/>
          </w:rPr>
          <w:t>97/2013</w:t>
        </w:r>
      </w:hyperlink>
      <w:r>
        <w:t>, f. 5.</w:t>
      </w:r>
    </w:p>
    <w:p w:rsidR="00E27756" w:rsidRDefault="00E27756" w:rsidP="00E27756">
      <w:pPr>
        <w:pStyle w:val="SangriaFrancesaArticulo"/>
      </w:pPr>
      <w:r w:rsidRPr="00E27756">
        <w:rPr>
          <w:rStyle w:val="TextoNormalNegritaCaracter"/>
        </w:rPr>
        <w:t>Artículo 71.7.</w:t>
      </w:r>
      <w:r w:rsidRPr="00E27756">
        <w:rPr>
          <w:rStyle w:val="TextoNormalCaracter"/>
        </w:rPr>
        <w:t>-</w:t>
      </w:r>
      <w:r>
        <w:t xml:space="preserve"> Sentencia </w:t>
      </w:r>
      <w:hyperlink w:anchor="SENTENCIA_2013_97" w:history="1">
        <w:r w:rsidRPr="00E27756">
          <w:rPr>
            <w:rStyle w:val="TextoNormalCaracter"/>
          </w:rPr>
          <w:t>97/2013</w:t>
        </w:r>
      </w:hyperlink>
      <w:r>
        <w:t>, f. 4.</w:t>
      </w:r>
    </w:p>
    <w:p w:rsidR="00E27756" w:rsidRDefault="00E27756" w:rsidP="00E27756">
      <w:pPr>
        <w:pStyle w:val="SangriaFrancesaArticulo"/>
      </w:pPr>
      <w:r w:rsidRPr="00E27756">
        <w:rPr>
          <w:rStyle w:val="TextoNormalNegritaCaracter"/>
        </w:rPr>
        <w:t>Artículo 71.8.</w:t>
      </w:r>
      <w:r w:rsidRPr="00E27756">
        <w:rPr>
          <w:rStyle w:val="TextoNormalCaracter"/>
        </w:rPr>
        <w:t>-</w:t>
      </w:r>
      <w:r>
        <w:t xml:space="preserve"> Sentencia </w:t>
      </w:r>
      <w:hyperlink w:anchor="SENTENCIA_2013_97" w:history="1">
        <w:r w:rsidRPr="00E27756">
          <w:rPr>
            <w:rStyle w:val="TextoNormalCaracter"/>
          </w:rPr>
          <w:t>97/2013</w:t>
        </w:r>
      </w:hyperlink>
      <w:r>
        <w:t>, f. 4.</w:t>
      </w:r>
    </w:p>
    <w:p w:rsidR="00E27756" w:rsidRDefault="00E27756" w:rsidP="00E27756">
      <w:pPr>
        <w:pStyle w:val="SangriaFrancesaArticulo"/>
      </w:pPr>
    </w:p>
    <w:p w:rsidR="00E27756" w:rsidRDefault="00E27756" w:rsidP="00E27756">
      <w:pPr>
        <w:pStyle w:val="TextoNormalNegritaCursivandice"/>
      </w:pPr>
      <w:r>
        <w:t>Ley Orgánica 4/1999, de 8 de enero. Reforma de la Ley Orgánica 4/1983, de Estatuto de Autonomía de Castilla y León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7" w:history="1">
        <w:r w:rsidRPr="00E27756">
          <w:rPr>
            <w:rStyle w:val="TextoNormalCaracter"/>
          </w:rPr>
          <w:t>107/2013</w:t>
        </w:r>
      </w:hyperlink>
      <w:r>
        <w:t>, f. 1.</w:t>
      </w:r>
    </w:p>
    <w:p w:rsidR="00E27756" w:rsidRDefault="00E27756" w:rsidP="00E27756">
      <w:pPr>
        <w:pStyle w:val="SangriaFrancesaArticulo"/>
      </w:pPr>
    </w:p>
    <w:p w:rsidR="00E27756" w:rsidRDefault="00E27756" w:rsidP="00E27756">
      <w:pPr>
        <w:pStyle w:val="TextoNormalNegritaCursivandice"/>
      </w:pPr>
      <w:r>
        <w:t>Ley Orgánica 14/2007, de 30 de noviembre. Reforma del Estatuto de Autonomía de Castilla y León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23" w:history="1">
        <w:r w:rsidRPr="00E27756">
          <w:rPr>
            <w:rStyle w:val="TextoNormalCaracter"/>
          </w:rPr>
          <w:t>23/2013</w:t>
        </w:r>
      </w:hyperlink>
      <w:r>
        <w:t xml:space="preserve">, f. 2; </w:t>
      </w:r>
      <w:hyperlink w:anchor="SENTENCIA_2013_38" w:history="1">
        <w:r w:rsidRPr="00E27756">
          <w:rPr>
            <w:rStyle w:val="TextoNormalCaracter"/>
          </w:rPr>
          <w:t>38/2013</w:t>
        </w:r>
      </w:hyperlink>
      <w:r>
        <w:t xml:space="preserve">, f. 2; </w:t>
      </w:r>
      <w:hyperlink w:anchor="SENTENCIA_2013_69" w:history="1">
        <w:r w:rsidRPr="00E27756">
          <w:rPr>
            <w:rStyle w:val="TextoNormalCaracter"/>
          </w:rPr>
          <w:t>69/2013</w:t>
        </w:r>
      </w:hyperlink>
      <w:r>
        <w:t xml:space="preserve">, f. 3; </w:t>
      </w:r>
      <w:hyperlink w:anchor="SENTENCIA_2013_97" w:history="1">
        <w:r w:rsidRPr="00E27756">
          <w:rPr>
            <w:rStyle w:val="TextoNormalCaracter"/>
          </w:rPr>
          <w:t>97/2013</w:t>
        </w:r>
      </w:hyperlink>
      <w:r>
        <w:t xml:space="preserve">, ff. 2, 6; </w:t>
      </w:r>
      <w:hyperlink w:anchor="SENTENCIA_2013_136" w:history="1">
        <w:r w:rsidRPr="00E27756">
          <w:rPr>
            <w:rStyle w:val="TextoNormalCaracter"/>
          </w:rPr>
          <w:t>136/2013</w:t>
        </w:r>
      </w:hyperlink>
      <w:r>
        <w:t>, f. 2.</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 </w:t>
      </w:r>
      <w:hyperlink w:anchor="SENTENCIA_2013_129" w:history="1">
        <w:r w:rsidRPr="00E27756">
          <w:rPr>
            <w:rStyle w:val="TextoNormalCaracter"/>
          </w:rPr>
          <w:t>129/2013</w:t>
        </w:r>
      </w:hyperlink>
      <w:r>
        <w:t>, f. 1.</w:t>
      </w:r>
    </w:p>
    <w:p w:rsidR="00E27756" w:rsidRDefault="00E27756" w:rsidP="00E27756">
      <w:pPr>
        <w:pStyle w:val="SangriaFrancesaArticulo"/>
      </w:pPr>
      <w:r w:rsidRPr="00E27756">
        <w:rPr>
          <w:rStyle w:val="TextoNormalNegritaCaracter"/>
        </w:rPr>
        <w:t>Artículo 19.1.</w:t>
      </w:r>
      <w:r w:rsidRPr="00E27756">
        <w:rPr>
          <w:rStyle w:val="TextoNormalCaracter"/>
        </w:rPr>
        <w:t>-</w:t>
      </w:r>
      <w:r>
        <w:t xml:space="preserve"> Sentencia </w:t>
      </w:r>
      <w:hyperlink w:anchor="SENTENCIA_2013_129" w:history="1">
        <w:r w:rsidRPr="00E27756">
          <w:rPr>
            <w:rStyle w:val="TextoNormalCaracter"/>
          </w:rPr>
          <w:t>129/2013</w:t>
        </w:r>
      </w:hyperlink>
      <w:r>
        <w:t>, f. 1.</w:t>
      </w:r>
    </w:p>
    <w:p w:rsidR="00E27756" w:rsidRDefault="00E27756" w:rsidP="00E27756">
      <w:pPr>
        <w:pStyle w:val="SangriaFrancesaArticulo"/>
      </w:pPr>
      <w:r w:rsidRPr="00E27756">
        <w:rPr>
          <w:rStyle w:val="TextoNormalNegritaCaracter"/>
        </w:rPr>
        <w:t>Artículo 20.1.</w:t>
      </w:r>
      <w:r w:rsidRPr="00E27756">
        <w:rPr>
          <w:rStyle w:val="TextoNormalCaracter"/>
        </w:rPr>
        <w:t>-</w:t>
      </w:r>
      <w:r>
        <w:t xml:space="preserve"> Sentencia </w:t>
      </w:r>
      <w:hyperlink w:anchor="SENTENCIA_2013_129" w:history="1">
        <w:r w:rsidRPr="00E27756">
          <w:rPr>
            <w:rStyle w:val="TextoNormalCaracter"/>
          </w:rPr>
          <w:t>129/2013</w:t>
        </w:r>
      </w:hyperlink>
      <w:r>
        <w:t>, f. 1.</w:t>
      </w:r>
    </w:p>
    <w:p w:rsidR="00E27756" w:rsidRDefault="00E27756" w:rsidP="00E27756">
      <w:pPr>
        <w:pStyle w:val="SangriaFrancesaArticulo"/>
      </w:pPr>
      <w:r w:rsidRPr="00E27756">
        <w:rPr>
          <w:rStyle w:val="TextoNormalNegritaCaracter"/>
        </w:rPr>
        <w:t>Artículo 28.1.</w:t>
      </w:r>
      <w:r w:rsidRPr="00E27756">
        <w:rPr>
          <w:rStyle w:val="TextoNormalCaracter"/>
        </w:rPr>
        <w:t>-</w:t>
      </w:r>
      <w:r>
        <w:t xml:space="preserve"> Sentencia </w:t>
      </w:r>
      <w:hyperlink w:anchor="SENTENCIA_2013_129" w:history="1">
        <w:r w:rsidRPr="00E27756">
          <w:rPr>
            <w:rStyle w:val="TextoNormalCaracter"/>
          </w:rPr>
          <w:t>129/2013</w:t>
        </w:r>
      </w:hyperlink>
      <w:r>
        <w:t>, f. 5.</w:t>
      </w:r>
    </w:p>
    <w:p w:rsidR="00E27756" w:rsidRDefault="00E27756" w:rsidP="00E27756">
      <w:pPr>
        <w:pStyle w:val="SangriaFrancesaArticulo"/>
      </w:pPr>
      <w:r w:rsidRPr="00E27756">
        <w:rPr>
          <w:rStyle w:val="TextoNormalNegritaCaracter"/>
        </w:rPr>
        <w:t>Artículo 32.1.19.</w:t>
      </w:r>
      <w:r w:rsidRPr="00E27756">
        <w:rPr>
          <w:rStyle w:val="TextoNormalCaracter"/>
        </w:rPr>
        <w:t>-</w:t>
      </w:r>
      <w:r>
        <w:t xml:space="preserve"> Sentencia </w:t>
      </w:r>
      <w:hyperlink w:anchor="SENTENCIA_2013_23" w:history="1">
        <w:r w:rsidRPr="00E27756">
          <w:rPr>
            <w:rStyle w:val="TextoNormalCaracter"/>
          </w:rPr>
          <w:t>23/2013</w:t>
        </w:r>
      </w:hyperlink>
      <w:r>
        <w:t>, f. 1.</w:t>
      </w:r>
    </w:p>
    <w:p w:rsidR="00E27756" w:rsidRDefault="00E27756" w:rsidP="00E27756">
      <w:pPr>
        <w:pStyle w:val="SangriaFrancesaArticulo"/>
      </w:pPr>
      <w:r w:rsidRPr="00E27756">
        <w:rPr>
          <w:rStyle w:val="TextoNormalNegritaCaracter"/>
        </w:rPr>
        <w:t>Artículo 70.1.10.</w:t>
      </w:r>
      <w:r w:rsidRPr="00E27756">
        <w:rPr>
          <w:rStyle w:val="TextoNormalCaracter"/>
        </w:rPr>
        <w:t>-</w:t>
      </w:r>
      <w:r>
        <w:t xml:space="preserve"> Sentencia </w:t>
      </w:r>
      <w:hyperlink w:anchor="SENTENCIA_2013_23" w:history="1">
        <w:r w:rsidRPr="00E27756">
          <w:rPr>
            <w:rStyle w:val="TextoNormalCaracter"/>
          </w:rPr>
          <w:t>23/2013</w:t>
        </w:r>
      </w:hyperlink>
      <w:r>
        <w:t>, ff. 2, 3.</w:t>
      </w:r>
    </w:p>
    <w:p w:rsidR="00E27756" w:rsidRDefault="00E27756" w:rsidP="00E27756">
      <w:pPr>
        <w:pStyle w:val="SangriaFrancesaArticulo"/>
      </w:pPr>
      <w:r w:rsidRPr="00E27756">
        <w:rPr>
          <w:rStyle w:val="TextoNormalNegritaCaracter"/>
        </w:rPr>
        <w:t>Artículo 70.1.17.</w:t>
      </w:r>
      <w:r w:rsidRPr="00E27756">
        <w:rPr>
          <w:rStyle w:val="TextoNormalCaracter"/>
        </w:rPr>
        <w:t>-</w:t>
      </w:r>
      <w:r>
        <w:t xml:space="preserve"> Sentencia </w:t>
      </w:r>
      <w:hyperlink w:anchor="SENTENCIA_2013_69" w:history="1">
        <w:r w:rsidRPr="00E27756">
          <w:rPr>
            <w:rStyle w:val="TextoNormalCaracter"/>
          </w:rPr>
          <w:t>69/2013</w:t>
        </w:r>
      </w:hyperlink>
      <w:r>
        <w:t>, ff. 1, 6.</w:t>
      </w:r>
    </w:p>
    <w:p w:rsidR="00E27756" w:rsidRDefault="00E27756" w:rsidP="00E27756">
      <w:pPr>
        <w:pStyle w:val="SangriaFrancesaArticulo"/>
      </w:pPr>
      <w:r w:rsidRPr="00E27756">
        <w:rPr>
          <w:rStyle w:val="TextoNormalNegritaCaracter"/>
        </w:rPr>
        <w:t>Artículo 70.1.31 d).</w:t>
      </w:r>
      <w:r w:rsidRPr="00E27756">
        <w:rPr>
          <w:rStyle w:val="TextoNormalCaracter"/>
        </w:rPr>
        <w:t>-</w:t>
      </w:r>
      <w:r>
        <w:t xml:space="preserve"> Sentencia </w:t>
      </w:r>
      <w:hyperlink w:anchor="SENTENCIA_2013_38" w:history="1">
        <w:r w:rsidRPr="00E27756">
          <w:rPr>
            <w:rStyle w:val="TextoNormalCaracter"/>
          </w:rPr>
          <w:t>38/2013</w:t>
        </w:r>
      </w:hyperlink>
      <w:r>
        <w:t>, f. 2.</w:t>
      </w:r>
    </w:p>
    <w:p w:rsidR="00E27756" w:rsidRDefault="00E27756" w:rsidP="00E27756">
      <w:pPr>
        <w:pStyle w:val="SangriaFrancesaArticulo"/>
      </w:pPr>
      <w:r w:rsidRPr="00E27756">
        <w:rPr>
          <w:rStyle w:val="TextoNormalNegritaCaracter"/>
        </w:rPr>
        <w:t>Artículo 70.1.31 d) y e).</w:t>
      </w:r>
      <w:r w:rsidRPr="00E27756">
        <w:rPr>
          <w:rStyle w:val="TextoNormalCaracter"/>
        </w:rPr>
        <w:t>-</w:t>
      </w:r>
      <w:r>
        <w:t xml:space="preserve"> Sentencia </w:t>
      </w:r>
      <w:hyperlink w:anchor="SENTENCIA_2013_136" w:history="1">
        <w:r w:rsidRPr="00E27756">
          <w:rPr>
            <w:rStyle w:val="TextoNormalCaracter"/>
          </w:rPr>
          <w:t>136/2013</w:t>
        </w:r>
      </w:hyperlink>
      <w:r>
        <w:t>, f. 2.</w:t>
      </w:r>
    </w:p>
    <w:p w:rsidR="00E27756" w:rsidRDefault="00E27756" w:rsidP="00E27756">
      <w:pPr>
        <w:pStyle w:val="SangriaFrancesaArticulo"/>
      </w:pPr>
      <w:r w:rsidRPr="00E27756">
        <w:rPr>
          <w:rStyle w:val="TextoNormalNegritaCaracter"/>
        </w:rPr>
        <w:t>Artículo 70.1.31 e).</w:t>
      </w:r>
      <w:r w:rsidRPr="00E27756">
        <w:rPr>
          <w:rStyle w:val="TextoNormalCaracter"/>
        </w:rPr>
        <w:t>-</w:t>
      </w:r>
      <w:r>
        <w:t xml:space="preserve"> Sentencia </w:t>
      </w:r>
      <w:hyperlink w:anchor="SENTENCIA_2013_38" w:history="1">
        <w:r w:rsidRPr="00E27756">
          <w:rPr>
            <w:rStyle w:val="TextoNormalCaracter"/>
          </w:rPr>
          <w:t>38/2013</w:t>
        </w:r>
      </w:hyperlink>
      <w:r>
        <w:t>, f. 2.</w:t>
      </w:r>
    </w:p>
    <w:p w:rsidR="00E27756" w:rsidRDefault="00E27756" w:rsidP="00E27756">
      <w:pPr>
        <w:pStyle w:val="SangriaFrancesaArticulo"/>
      </w:pPr>
      <w:r w:rsidRPr="00E27756">
        <w:rPr>
          <w:rStyle w:val="TextoNormalNegritaCaracter"/>
        </w:rPr>
        <w:t>Artículo 71.1.</w:t>
      </w:r>
      <w:r w:rsidRPr="00E27756">
        <w:rPr>
          <w:rStyle w:val="TextoNormalCaracter"/>
        </w:rPr>
        <w:t>-</w:t>
      </w:r>
      <w:r>
        <w:t xml:space="preserve"> Sentencia </w:t>
      </w:r>
      <w:hyperlink w:anchor="SENTENCIA_2013_69" w:history="1">
        <w:r w:rsidRPr="00E27756">
          <w:rPr>
            <w:rStyle w:val="TextoNormalCaracter"/>
          </w:rPr>
          <w:t>69/2013</w:t>
        </w:r>
      </w:hyperlink>
      <w:r>
        <w:t>, f. 1.</w:t>
      </w:r>
    </w:p>
    <w:p w:rsidR="00E27756" w:rsidRDefault="00E27756" w:rsidP="00E27756">
      <w:pPr>
        <w:pStyle w:val="SangriaFrancesaArticulo"/>
      </w:pPr>
      <w:r w:rsidRPr="00E27756">
        <w:rPr>
          <w:rStyle w:val="TextoNormalNegritaCaracter"/>
        </w:rPr>
        <w:t>Artículo 71.1.8.</w:t>
      </w:r>
      <w:r w:rsidRPr="00E27756">
        <w:rPr>
          <w:rStyle w:val="TextoNormalCaracter"/>
        </w:rPr>
        <w:t>-</w:t>
      </w:r>
      <w:r>
        <w:t xml:space="preserve"> Sentencia </w:t>
      </w:r>
      <w:hyperlink w:anchor="SENTENCIA_2013_69" w:history="1">
        <w:r w:rsidRPr="00E27756">
          <w:rPr>
            <w:rStyle w:val="TextoNormalCaracter"/>
          </w:rPr>
          <w:t>69/2013</w:t>
        </w:r>
      </w:hyperlink>
      <w:r>
        <w:t>, f. 4.</w:t>
      </w:r>
    </w:p>
    <w:p w:rsidR="00E27756" w:rsidRDefault="00E27756" w:rsidP="00E27756">
      <w:pPr>
        <w:pStyle w:val="SangriaFrancesaArticulo"/>
      </w:pPr>
      <w:r w:rsidRPr="00E27756">
        <w:rPr>
          <w:rStyle w:val="TextoNormalNegritaCaracter"/>
        </w:rPr>
        <w:t>Artículo 71.7.</w:t>
      </w:r>
      <w:r w:rsidRPr="00E27756">
        <w:rPr>
          <w:rStyle w:val="TextoNormalCaracter"/>
        </w:rPr>
        <w:t>-</w:t>
      </w:r>
      <w:r>
        <w:t xml:space="preserve"> Sentencia </w:t>
      </w:r>
      <w:hyperlink w:anchor="SENTENCIA_2013_69" w:history="1">
        <w:r w:rsidRPr="00E27756">
          <w:rPr>
            <w:rStyle w:val="TextoNormalCaracter"/>
          </w:rPr>
          <w:t>69/2013</w:t>
        </w:r>
      </w:hyperlink>
      <w:r>
        <w:t>, f. 1.</w:t>
      </w:r>
    </w:p>
    <w:p w:rsidR="00E27756" w:rsidRDefault="00E27756" w:rsidP="00E27756">
      <w:pPr>
        <w:pStyle w:val="SangriaFrancesaArticulo"/>
      </w:pPr>
      <w:r w:rsidRPr="00E27756">
        <w:rPr>
          <w:rStyle w:val="TextoNormalNegritaCaracter"/>
        </w:rPr>
        <w:t>Artículo 71.8.</w:t>
      </w:r>
      <w:r w:rsidRPr="00E27756">
        <w:rPr>
          <w:rStyle w:val="TextoNormalCaracter"/>
        </w:rPr>
        <w:t>-</w:t>
      </w:r>
      <w:r>
        <w:t xml:space="preserve"> Sentencia </w:t>
      </w:r>
      <w:hyperlink w:anchor="SENTENCIA_2013_69" w:history="1">
        <w:r w:rsidRPr="00E27756">
          <w:rPr>
            <w:rStyle w:val="TextoNormalCaracter"/>
          </w:rPr>
          <w:t>69/2013</w:t>
        </w:r>
      </w:hyperlink>
      <w:r>
        <w:t>, f. 1.</w:t>
      </w:r>
    </w:p>
    <w:p w:rsidR="00E27756" w:rsidRDefault="00E27756" w:rsidP="00E27756">
      <w:pPr>
        <w:pStyle w:val="SangriaFrancesaArticulo"/>
      </w:pPr>
      <w:r w:rsidRPr="00E27756">
        <w:rPr>
          <w:rStyle w:val="TextoNormalNegritaCaracter"/>
        </w:rPr>
        <w:t>Artículo 76.4.</w:t>
      </w:r>
      <w:r w:rsidRPr="00E27756">
        <w:rPr>
          <w:rStyle w:val="TextoNormalCaracter"/>
        </w:rPr>
        <w:t>-</w:t>
      </w:r>
      <w:r>
        <w:t xml:space="preserve"> Sentencias </w:t>
      </w:r>
      <w:hyperlink w:anchor="SENTENCIA_2013_38" w:history="1">
        <w:r w:rsidRPr="00E27756">
          <w:rPr>
            <w:rStyle w:val="TextoNormalCaracter"/>
          </w:rPr>
          <w:t>38/2013</w:t>
        </w:r>
      </w:hyperlink>
      <w:r>
        <w:t xml:space="preserve">, f. 2; </w:t>
      </w:r>
      <w:hyperlink w:anchor="SENTENCIA_2013_136" w:history="1">
        <w:r w:rsidRPr="00E27756">
          <w:rPr>
            <w:rStyle w:val="TextoNormalCaracter"/>
          </w:rPr>
          <w:t>136/2013</w:t>
        </w:r>
      </w:hyperlink>
      <w:r>
        <w:t>, f. 2.</w:t>
      </w:r>
    </w:p>
    <w:p w:rsidR="00E27756" w:rsidRDefault="00E27756" w:rsidP="00E27756">
      <w:pPr>
        <w:pStyle w:val="TextoNormal"/>
      </w:pPr>
    </w:p>
    <w:p w:rsidR="00E27756" w:rsidRDefault="00E27756" w:rsidP="00E27756">
      <w:pPr>
        <w:pStyle w:val="TextoNormalNegritaCentradoSubrayado"/>
        <w:suppressAutoHyphens/>
      </w:pPr>
      <w:r>
        <w:lastRenderedPageBreak/>
        <w:t>J.8.b) Leyes y disposiciones con fuerza de Ley</w:t>
      </w:r>
    </w:p>
    <w:p w:rsidR="00E27756" w:rsidRDefault="00E27756" w:rsidP="00E27756">
      <w:pPr>
        <w:pStyle w:val="TextoNormalNegritaCentradoSubrayado"/>
      </w:pPr>
    </w:p>
    <w:p w:rsidR="00E27756" w:rsidRDefault="00E27756" w:rsidP="00E27756">
      <w:pPr>
        <w:pStyle w:val="TextoNormalNegritaCursivandice"/>
      </w:pPr>
      <w:r>
        <w:t>Ley de las Cortes de Castilla y León 6/1991, de 19 de abril. Archivos y patrimonio documental de Castilla y León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38" w:history="1">
        <w:r w:rsidRPr="00E27756">
          <w:rPr>
            <w:rStyle w:val="TextoNormalCaracter"/>
          </w:rPr>
          <w:t>38/2013</w:t>
        </w:r>
      </w:hyperlink>
      <w:r>
        <w:t xml:space="preserve">, f. 5; </w:t>
      </w:r>
      <w:hyperlink w:anchor="SENTENCIA_2013_66" w:history="1">
        <w:r w:rsidRPr="00E27756">
          <w:rPr>
            <w:rStyle w:val="TextoNormalCaracter"/>
          </w:rPr>
          <w:t>66/2013</w:t>
        </w:r>
      </w:hyperlink>
      <w:r>
        <w:t xml:space="preserve">, f. 4; </w:t>
      </w:r>
      <w:hyperlink w:anchor="SENTENCIA_2013_136" w:history="1">
        <w:r w:rsidRPr="00E27756">
          <w:rPr>
            <w:rStyle w:val="TextoNormalCaracter"/>
          </w:rPr>
          <w:t>136/2013</w:t>
        </w:r>
      </w:hyperlink>
      <w:r>
        <w:t>, f. 3.</w:t>
      </w:r>
    </w:p>
    <w:p w:rsidR="00E27756" w:rsidRDefault="00E27756" w:rsidP="00E27756">
      <w:pPr>
        <w:pStyle w:val="SangriaFrancesaArticulo"/>
      </w:pPr>
      <w:r w:rsidRPr="00E27756">
        <w:rPr>
          <w:rStyle w:val="TextoNormalNegritaCaracter"/>
        </w:rPr>
        <w:t>Título III.</w:t>
      </w:r>
      <w:r w:rsidRPr="00E27756">
        <w:rPr>
          <w:rStyle w:val="TextoNormalCaracter"/>
        </w:rPr>
        <w:t>-</w:t>
      </w:r>
      <w:r>
        <w:t xml:space="preserve"> Sentencia </w:t>
      </w:r>
      <w:hyperlink w:anchor="SENTENCIA_2013_38" w:history="1">
        <w:r w:rsidRPr="00E27756">
          <w:rPr>
            <w:rStyle w:val="TextoNormalCaracter"/>
          </w:rPr>
          <w:t>38/2013</w:t>
        </w:r>
      </w:hyperlink>
      <w:r>
        <w:t>, f. 1.</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38" w:history="1">
        <w:r w:rsidRPr="00E27756">
          <w:rPr>
            <w:rStyle w:val="TextoNormalCaracter"/>
          </w:rPr>
          <w:t>38/2013</w:t>
        </w:r>
      </w:hyperlink>
      <w:r>
        <w:t>, f. 1.</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38" w:history="1">
        <w:r w:rsidRPr="00E27756">
          <w:rPr>
            <w:rStyle w:val="TextoNormalCaracter"/>
          </w:rPr>
          <w:t>38/2013</w:t>
        </w:r>
      </w:hyperlink>
      <w:r>
        <w:t>, f. 1.</w:t>
      </w:r>
    </w:p>
    <w:p w:rsidR="00E27756" w:rsidRDefault="00E27756" w:rsidP="00E27756">
      <w:pPr>
        <w:pStyle w:val="SangriaFrancesaArticulo"/>
      </w:pPr>
      <w:r w:rsidRPr="00E27756">
        <w:rPr>
          <w:rStyle w:val="TextoNormalNegritaCaracter"/>
        </w:rPr>
        <w:t>Artículo 47.</w:t>
      </w:r>
      <w:r w:rsidRPr="00E27756">
        <w:rPr>
          <w:rStyle w:val="TextoNormalCaracter"/>
        </w:rPr>
        <w:t>-</w:t>
      </w:r>
      <w:r>
        <w:t xml:space="preserve"> Sentencias </w:t>
      </w:r>
      <w:hyperlink w:anchor="SENTENCIA_2013_38" w:history="1">
        <w:r w:rsidRPr="00E27756">
          <w:rPr>
            <w:rStyle w:val="TextoNormalCaracter"/>
          </w:rPr>
          <w:t>38/2013</w:t>
        </w:r>
      </w:hyperlink>
      <w:r>
        <w:t xml:space="preserve">, ff. 1, 5; </w:t>
      </w:r>
      <w:hyperlink w:anchor="SENTENCIA_2013_66" w:history="1">
        <w:r w:rsidRPr="00E27756">
          <w:rPr>
            <w:rStyle w:val="TextoNormalCaracter"/>
          </w:rPr>
          <w:t>66/2013</w:t>
        </w:r>
      </w:hyperlink>
      <w:r>
        <w:t>, f. 3.</w:t>
      </w:r>
    </w:p>
    <w:p w:rsidR="00E27756" w:rsidRDefault="00E27756" w:rsidP="00E27756">
      <w:pPr>
        <w:pStyle w:val="SangriaFrancesaArticulo"/>
      </w:pPr>
      <w:r w:rsidRPr="00E27756">
        <w:rPr>
          <w:rStyle w:val="TextoNormalNegritaCaracter"/>
        </w:rPr>
        <w:t>Artículo 47</w:t>
      </w:r>
      <w:r>
        <w:t xml:space="preserve"> </w:t>
      </w:r>
      <w:r w:rsidRPr="00E27756">
        <w:rPr>
          <w:rStyle w:val="TextoNormalCaracter"/>
        </w:rPr>
        <w:t>(redactado por la Ley de las Cortes de Castilla y León 8/2004, de 22 de diciembre)</w:t>
      </w:r>
      <w:r w:rsidRPr="00E27756">
        <w:rPr>
          <w:rStyle w:val="TextoNormalNegritaCaracter"/>
        </w:rPr>
        <w:t>.</w:t>
      </w:r>
      <w:r w:rsidRPr="00E27756">
        <w:rPr>
          <w:rStyle w:val="TextoNormalCaracter"/>
        </w:rPr>
        <w:t>-</w:t>
      </w:r>
      <w:r>
        <w:t xml:space="preserve"> Sentencia </w:t>
      </w:r>
      <w:hyperlink w:anchor="SENTENCIA_2013_136" w:history="1">
        <w:r w:rsidRPr="00E27756">
          <w:rPr>
            <w:rStyle w:val="TextoNormalCaracter"/>
          </w:rPr>
          <w:t>136/2013</w:t>
        </w:r>
      </w:hyperlink>
      <w:r>
        <w:t>, f. 4.</w:t>
      </w:r>
    </w:p>
    <w:p w:rsidR="00E27756" w:rsidRDefault="00E27756" w:rsidP="00E27756">
      <w:pPr>
        <w:pStyle w:val="SangriaFrancesaArticulo"/>
      </w:pPr>
      <w:r w:rsidRPr="00E27756">
        <w:rPr>
          <w:rStyle w:val="TextoNormalNegritaCaracter"/>
        </w:rPr>
        <w:t>Artículo 47.1</w:t>
      </w:r>
      <w:r>
        <w:t xml:space="preserve"> </w:t>
      </w:r>
      <w:r w:rsidRPr="00E27756">
        <w:rPr>
          <w:rStyle w:val="TextoNormalCaracter"/>
        </w:rPr>
        <w:t>(redactado por la Ley de las Cortes de Castilla y León 8/2004, de 22 de diciembre)</w:t>
      </w:r>
      <w:r w:rsidRPr="00E27756">
        <w:rPr>
          <w:rStyle w:val="TextoNormalNegritaCaracter"/>
        </w:rPr>
        <w:t>.</w:t>
      </w:r>
      <w:r w:rsidRPr="00E27756">
        <w:rPr>
          <w:rStyle w:val="TextoNormalCaracter"/>
        </w:rPr>
        <w:t>-</w:t>
      </w:r>
      <w:r>
        <w:t xml:space="preserve"> Sentencia </w:t>
      </w:r>
      <w:hyperlink w:anchor="SENTENCIA_2013_136" w:history="1">
        <w:r w:rsidRPr="00E27756">
          <w:rPr>
            <w:rStyle w:val="TextoNormalCaracter"/>
          </w:rPr>
          <w:t>136/2013</w:t>
        </w:r>
      </w:hyperlink>
      <w:r>
        <w:t>, f. 4.</w:t>
      </w:r>
    </w:p>
    <w:p w:rsidR="00E27756" w:rsidRDefault="00E27756" w:rsidP="00E27756">
      <w:pPr>
        <w:pStyle w:val="SangriaFrancesaArticulo"/>
      </w:pPr>
    </w:p>
    <w:p w:rsidR="00E27756" w:rsidRDefault="00E27756" w:rsidP="00E27756">
      <w:pPr>
        <w:pStyle w:val="TextoNormalNegritaCursivandice"/>
      </w:pPr>
      <w:r>
        <w:t>Ley de las Cortes de Castilla y León 10/1998, de 5 de diciembre. Ordenación del territorio de la Comunidad de Castilla y León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9" w:history="1">
        <w:r w:rsidRPr="00E27756">
          <w:rPr>
            <w:rStyle w:val="TextoNormalCaracter"/>
          </w:rPr>
          <w:t>129/2013</w:t>
        </w:r>
      </w:hyperlink>
      <w:r>
        <w:t>, ff. 2, 6, 7.</w:t>
      </w:r>
    </w:p>
    <w:p w:rsidR="00E27756" w:rsidRDefault="00E27756" w:rsidP="00E27756">
      <w:pPr>
        <w:pStyle w:val="SangriaFrancesaArticulo"/>
      </w:pPr>
      <w:r w:rsidRPr="00E27756">
        <w:rPr>
          <w:rStyle w:val="TextoNormalNegritaCaracter"/>
        </w:rPr>
        <w:t>Artículo 22.5.</w:t>
      </w:r>
      <w:r w:rsidRPr="00E27756">
        <w:rPr>
          <w:rStyle w:val="TextoNormalCaracter"/>
        </w:rPr>
        <w:t>-</w:t>
      </w:r>
      <w:r>
        <w:t xml:space="preserve"> Sentencia </w:t>
      </w:r>
      <w:hyperlink w:anchor="SENTENCIA_2013_129" w:history="1">
        <w:r w:rsidRPr="00E27756">
          <w:rPr>
            <w:rStyle w:val="TextoNormalCaracter"/>
          </w:rPr>
          <w:t>129/2013</w:t>
        </w:r>
      </w:hyperlink>
      <w:r>
        <w:t>, f. 8.</w:t>
      </w:r>
    </w:p>
    <w:p w:rsidR="00E27756" w:rsidRDefault="00E27756" w:rsidP="00E27756">
      <w:pPr>
        <w:pStyle w:val="SangriaFrancesaArticulo"/>
      </w:pPr>
      <w:r w:rsidRPr="00E27756">
        <w:rPr>
          <w:rStyle w:val="TextoNormalNegritaCaracter"/>
        </w:rPr>
        <w:t>Artículo 24.</w:t>
      </w:r>
      <w:r w:rsidRPr="00E27756">
        <w:rPr>
          <w:rStyle w:val="TextoNormalCaracter"/>
        </w:rPr>
        <w:t>-</w:t>
      </w:r>
      <w:r>
        <w:t xml:space="preserve"> Sentencia </w:t>
      </w:r>
      <w:hyperlink w:anchor="SENTENCIA_2013_129" w:history="1">
        <w:r w:rsidRPr="00E27756">
          <w:rPr>
            <w:rStyle w:val="TextoNormalCaracter"/>
          </w:rPr>
          <w:t>129/2013</w:t>
        </w:r>
      </w:hyperlink>
      <w:r>
        <w:t>, ff. 2, 8.</w:t>
      </w:r>
    </w:p>
    <w:p w:rsidR="00E27756" w:rsidRDefault="00E27756" w:rsidP="00E27756">
      <w:pPr>
        <w:pStyle w:val="SangriaFrancesaArticulo"/>
      </w:pPr>
    </w:p>
    <w:p w:rsidR="00E27756" w:rsidRDefault="00E27756" w:rsidP="00E27756">
      <w:pPr>
        <w:pStyle w:val="TextoNormalNegritaCursivandice"/>
      </w:pPr>
      <w:r>
        <w:t>Ley de las Cortes de Castilla y León 9/2002, de 10 de julio. Declaración de proyectos regionales de infraestructuras de residuos de singular interés para la Comunidad</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9" w:history="1">
        <w:r w:rsidRPr="00E27756">
          <w:rPr>
            <w:rStyle w:val="TextoNormalCaracter"/>
          </w:rPr>
          <w:t>129/2013</w:t>
        </w:r>
      </w:hyperlink>
      <w:r>
        <w:t>, ff. 1, 2, 10.</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129" w:history="1">
        <w:r w:rsidRPr="00E27756">
          <w:rPr>
            <w:rStyle w:val="TextoNormalCaracter"/>
          </w:rPr>
          <w:t>129/2013</w:t>
        </w:r>
      </w:hyperlink>
      <w:r>
        <w:t>, f. 3.</w:t>
      </w:r>
    </w:p>
    <w:p w:rsidR="00E27756" w:rsidRDefault="00E27756" w:rsidP="00E27756">
      <w:pPr>
        <w:pStyle w:val="SangriaFrancesaArticulo"/>
      </w:pPr>
      <w:r w:rsidRPr="00E27756">
        <w:rPr>
          <w:rStyle w:val="TextoNormalNegritaCaracter"/>
        </w:rPr>
        <w:t>Artículo único, apartado 1.</w:t>
      </w:r>
      <w:r w:rsidRPr="00E27756">
        <w:rPr>
          <w:rStyle w:val="TextoNormalCaracter"/>
        </w:rPr>
        <w:t>-</w:t>
      </w:r>
      <w:r>
        <w:t xml:space="preserve"> Sentencia </w:t>
      </w:r>
      <w:hyperlink w:anchor="SENTENCIA_2013_129" w:history="1">
        <w:r w:rsidRPr="00E27756">
          <w:rPr>
            <w:rStyle w:val="TextoNormalCaracter"/>
          </w:rPr>
          <w:t>129/2013</w:t>
        </w:r>
      </w:hyperlink>
      <w:r>
        <w:t>, ff. 1, 2, 5 a 7, 10.</w:t>
      </w:r>
    </w:p>
    <w:p w:rsidR="00E27756" w:rsidRDefault="00E27756" w:rsidP="00E27756">
      <w:pPr>
        <w:pStyle w:val="SangriaFrancesaArticulo"/>
      </w:pPr>
      <w:r w:rsidRPr="00E27756">
        <w:rPr>
          <w:rStyle w:val="TextoNormalNegritaCaracter"/>
        </w:rPr>
        <w:t>Artículo único, apartado 2.</w:t>
      </w:r>
      <w:r w:rsidRPr="00E27756">
        <w:rPr>
          <w:rStyle w:val="TextoNormalCaracter"/>
        </w:rPr>
        <w:t>-</w:t>
      </w:r>
      <w:r>
        <w:t xml:space="preserve"> Sentencia </w:t>
      </w:r>
      <w:hyperlink w:anchor="SENTENCIA_2013_129" w:history="1">
        <w:r w:rsidRPr="00E27756">
          <w:rPr>
            <w:rStyle w:val="TextoNormalCaracter"/>
          </w:rPr>
          <w:t>129/2013</w:t>
        </w:r>
      </w:hyperlink>
      <w:r>
        <w:t>, ff. 1, 2, 8, 10.</w:t>
      </w:r>
    </w:p>
    <w:p w:rsidR="00E27756" w:rsidRDefault="00E27756" w:rsidP="00E27756">
      <w:pPr>
        <w:pStyle w:val="SangriaFrancesaArticulo"/>
      </w:pPr>
      <w:r w:rsidRPr="00E27756">
        <w:rPr>
          <w:rStyle w:val="TextoNormalNegritaCaracter"/>
        </w:rPr>
        <w:t>Artículo único, apartado 2 párrafo 1.</w:t>
      </w:r>
      <w:r w:rsidRPr="00E27756">
        <w:rPr>
          <w:rStyle w:val="TextoNormalCaracter"/>
        </w:rPr>
        <w:t>-</w:t>
      </w:r>
      <w:r>
        <w:t xml:space="preserve"> Sentencia </w:t>
      </w:r>
      <w:hyperlink w:anchor="SENTENCIA_2013_129" w:history="1">
        <w:r w:rsidRPr="00E27756">
          <w:rPr>
            <w:rStyle w:val="TextoNormalCaracter"/>
          </w:rPr>
          <w:t>129/2013</w:t>
        </w:r>
      </w:hyperlink>
      <w:r>
        <w:t>, ff. 2, 7.</w:t>
      </w:r>
    </w:p>
    <w:p w:rsidR="00E27756" w:rsidRDefault="00E27756" w:rsidP="00E27756">
      <w:pPr>
        <w:pStyle w:val="SangriaFrancesaArticulo"/>
      </w:pPr>
      <w:r w:rsidRPr="00E27756">
        <w:rPr>
          <w:rStyle w:val="TextoNormalNegritaCaracter"/>
        </w:rPr>
        <w:t>Artículo único, apartado 2 párrafo 2.</w:t>
      </w:r>
      <w:r w:rsidRPr="00E27756">
        <w:rPr>
          <w:rStyle w:val="TextoNormalCaracter"/>
        </w:rPr>
        <w:t>-</w:t>
      </w:r>
      <w:r>
        <w:t xml:space="preserve"> Sentencia </w:t>
      </w:r>
      <w:hyperlink w:anchor="SENTENCIA_2013_129" w:history="1">
        <w:r w:rsidRPr="00E27756">
          <w:rPr>
            <w:rStyle w:val="TextoNormalCaracter"/>
          </w:rPr>
          <w:t>129/2013</w:t>
        </w:r>
      </w:hyperlink>
      <w:r>
        <w:t>, ff. 2, 7.</w:t>
      </w:r>
    </w:p>
    <w:p w:rsidR="00E27756" w:rsidRDefault="00E27756" w:rsidP="00E27756">
      <w:pPr>
        <w:pStyle w:val="SangriaFrancesaArticulo"/>
      </w:pPr>
      <w:r w:rsidRPr="00E27756">
        <w:rPr>
          <w:rStyle w:val="TextoNormalNegritaCaracter"/>
        </w:rPr>
        <w:t>Artículo único, apartado 3.</w:t>
      </w:r>
      <w:r w:rsidRPr="00E27756">
        <w:rPr>
          <w:rStyle w:val="TextoNormalCaracter"/>
        </w:rPr>
        <w:t>-</w:t>
      </w:r>
      <w:r>
        <w:t xml:space="preserve"> Sentencia </w:t>
      </w:r>
      <w:hyperlink w:anchor="SENTENCIA_2013_129" w:history="1">
        <w:r w:rsidRPr="00E27756">
          <w:rPr>
            <w:rStyle w:val="TextoNormalCaracter"/>
          </w:rPr>
          <w:t>129/2013</w:t>
        </w:r>
      </w:hyperlink>
      <w:r>
        <w:t>, ff. 1, 2, 8, 10.</w:t>
      </w:r>
    </w:p>
    <w:p w:rsidR="00E27756" w:rsidRDefault="00E27756" w:rsidP="00E27756">
      <w:pPr>
        <w:pStyle w:val="SangriaFrancesaArticulo"/>
      </w:pPr>
      <w:r w:rsidRPr="00E27756">
        <w:rPr>
          <w:rStyle w:val="TextoNormalNegritaCaracter"/>
        </w:rPr>
        <w:t>Artículo único, apartado 4.</w:t>
      </w:r>
      <w:r w:rsidRPr="00E27756">
        <w:rPr>
          <w:rStyle w:val="TextoNormalCaracter"/>
        </w:rPr>
        <w:t>-</w:t>
      </w:r>
      <w:r>
        <w:t xml:space="preserve"> Sentencia </w:t>
      </w:r>
      <w:hyperlink w:anchor="SENTENCIA_2013_129" w:history="1">
        <w:r w:rsidRPr="00E27756">
          <w:rPr>
            <w:rStyle w:val="TextoNormalCaracter"/>
          </w:rPr>
          <w:t>129/2013</w:t>
        </w:r>
      </w:hyperlink>
      <w:r>
        <w:t>, ff. 1, 2, 8, 10.</w:t>
      </w:r>
    </w:p>
    <w:p w:rsidR="00E27756" w:rsidRDefault="00E27756" w:rsidP="00E27756">
      <w:pPr>
        <w:pStyle w:val="SangriaFrancesaArticulo"/>
      </w:pPr>
      <w:r w:rsidRPr="00E27756">
        <w:rPr>
          <w:rStyle w:val="TextoNormalNegritaCaracter"/>
        </w:rPr>
        <w:t>Artículo único, apartado 5.</w:t>
      </w:r>
      <w:r w:rsidRPr="00E27756">
        <w:rPr>
          <w:rStyle w:val="TextoNormalCaracter"/>
        </w:rPr>
        <w:t>-</w:t>
      </w:r>
      <w:r>
        <w:t xml:space="preserve"> Sentencia </w:t>
      </w:r>
      <w:hyperlink w:anchor="SENTENCIA_2013_129" w:history="1">
        <w:r w:rsidRPr="00E27756">
          <w:rPr>
            <w:rStyle w:val="TextoNormalCaracter"/>
          </w:rPr>
          <w:t>129/2013</w:t>
        </w:r>
      </w:hyperlink>
      <w:r>
        <w:t>, ff. 1, 2, 5, 8, 10.</w:t>
      </w:r>
    </w:p>
    <w:p w:rsidR="00E27756" w:rsidRDefault="00E27756" w:rsidP="00E27756">
      <w:pPr>
        <w:pStyle w:val="SangriaFrancesaArticulo"/>
      </w:pPr>
      <w:r w:rsidRPr="00E27756">
        <w:rPr>
          <w:rStyle w:val="TextoNormalNegritaCaracter"/>
        </w:rPr>
        <w:t>Artículo único, apartado 6.</w:t>
      </w:r>
      <w:r w:rsidRPr="00E27756">
        <w:rPr>
          <w:rStyle w:val="TextoNormalCaracter"/>
        </w:rPr>
        <w:t>-</w:t>
      </w:r>
      <w:r>
        <w:t xml:space="preserve"> Sentencia </w:t>
      </w:r>
      <w:hyperlink w:anchor="SENTENCIA_2013_129" w:history="1">
        <w:r w:rsidRPr="00E27756">
          <w:rPr>
            <w:rStyle w:val="TextoNormalCaracter"/>
          </w:rPr>
          <w:t>129/2013</w:t>
        </w:r>
      </w:hyperlink>
      <w:r>
        <w:t>, ff. 2, 10.</w:t>
      </w:r>
    </w:p>
    <w:p w:rsidR="00E27756" w:rsidRDefault="00E27756" w:rsidP="00E27756">
      <w:pPr>
        <w:pStyle w:val="SangriaFrancesaArticulo"/>
      </w:pPr>
      <w:r w:rsidRPr="00E27756">
        <w:rPr>
          <w:rStyle w:val="TextoNormalNegritaCaracter"/>
        </w:rPr>
        <w:t>Artículo único.</w:t>
      </w:r>
      <w:r w:rsidRPr="00E27756">
        <w:rPr>
          <w:rStyle w:val="TextoNormalCaracter"/>
        </w:rPr>
        <w:t>-</w:t>
      </w:r>
      <w:r>
        <w:t xml:space="preserve"> Sentencia </w:t>
      </w:r>
      <w:hyperlink w:anchor="SENTENCIA_2013_129" w:history="1">
        <w:r w:rsidRPr="00E27756">
          <w:rPr>
            <w:rStyle w:val="TextoNormalCaracter"/>
          </w:rPr>
          <w:t>129/2013</w:t>
        </w:r>
      </w:hyperlink>
      <w:r>
        <w:t>, ff. 2, 3, 5.</w:t>
      </w:r>
    </w:p>
    <w:p w:rsidR="00E27756" w:rsidRDefault="00E27756" w:rsidP="00E27756">
      <w:pPr>
        <w:pStyle w:val="SangriaFrancesaArticulo"/>
      </w:pPr>
      <w:r w:rsidRPr="00E27756">
        <w:rPr>
          <w:rStyle w:val="TextoNormalNegritaCaracter"/>
        </w:rPr>
        <w:t>Disposición adicional.</w:t>
      </w:r>
      <w:r w:rsidRPr="00E27756">
        <w:rPr>
          <w:rStyle w:val="TextoNormalCaracter"/>
        </w:rPr>
        <w:t>-</w:t>
      </w:r>
      <w:r>
        <w:t xml:space="preserve"> Sentencia </w:t>
      </w:r>
      <w:hyperlink w:anchor="SENTENCIA_2013_129" w:history="1">
        <w:r w:rsidRPr="00E27756">
          <w:rPr>
            <w:rStyle w:val="TextoNormalCaracter"/>
          </w:rPr>
          <w:t>129/2013</w:t>
        </w:r>
      </w:hyperlink>
      <w:r>
        <w:t>, ff. 1 a 3, 7, 10.</w:t>
      </w:r>
    </w:p>
    <w:p w:rsidR="00E27756" w:rsidRDefault="00E27756" w:rsidP="00E27756">
      <w:pPr>
        <w:pStyle w:val="SangriaFrancesaArticulo"/>
      </w:pPr>
      <w:r w:rsidRPr="00E27756">
        <w:rPr>
          <w:rStyle w:val="TextoNormalNegritaCaracter"/>
        </w:rPr>
        <w:t>Disposición transitoria.</w:t>
      </w:r>
      <w:r w:rsidRPr="00E27756">
        <w:rPr>
          <w:rStyle w:val="TextoNormalCaracter"/>
        </w:rPr>
        <w:t>-</w:t>
      </w:r>
      <w:r>
        <w:t xml:space="preserve"> Sentencia </w:t>
      </w:r>
      <w:hyperlink w:anchor="SENTENCIA_2013_129" w:history="1">
        <w:r w:rsidRPr="00E27756">
          <w:rPr>
            <w:rStyle w:val="TextoNormalCaracter"/>
          </w:rPr>
          <w:t>129/2013</w:t>
        </w:r>
      </w:hyperlink>
      <w:r>
        <w:t>, ff. 1, 2, 7, 10.</w:t>
      </w:r>
    </w:p>
    <w:p w:rsidR="00E27756" w:rsidRDefault="00E27756" w:rsidP="00E27756">
      <w:pPr>
        <w:pStyle w:val="SangriaFrancesaArticulo"/>
      </w:pPr>
      <w:r w:rsidRPr="00E27756">
        <w:rPr>
          <w:rStyle w:val="TextoNormalNegritaCaracter"/>
        </w:rPr>
        <w:t>Disposición final.</w:t>
      </w:r>
      <w:r w:rsidRPr="00E27756">
        <w:rPr>
          <w:rStyle w:val="TextoNormalCaracter"/>
        </w:rPr>
        <w:t>-</w:t>
      </w:r>
      <w:r>
        <w:t xml:space="preserve"> Sentencia </w:t>
      </w:r>
      <w:hyperlink w:anchor="SENTENCIA_2013_129" w:history="1">
        <w:r w:rsidRPr="00E27756">
          <w:rPr>
            <w:rStyle w:val="TextoNormalCaracter"/>
          </w:rPr>
          <w:t>129/2013</w:t>
        </w:r>
      </w:hyperlink>
      <w:r>
        <w:t>, ff. 2, 10.</w:t>
      </w:r>
    </w:p>
    <w:p w:rsidR="00E27756" w:rsidRDefault="00E27756" w:rsidP="00E27756">
      <w:pPr>
        <w:pStyle w:val="SangriaFrancesaArticulo"/>
      </w:pPr>
    </w:p>
    <w:p w:rsidR="00E27756" w:rsidRDefault="00E27756" w:rsidP="00E27756">
      <w:pPr>
        <w:pStyle w:val="TextoNormalNegritaCursivandice"/>
      </w:pPr>
      <w:r>
        <w:t>Ley de las Cortes de Castilla y León 12/2002, de 11 de julio. Patrimonio cultural de Castilla y León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6" w:history="1">
        <w:r w:rsidRPr="00E27756">
          <w:rPr>
            <w:rStyle w:val="TextoNormalCaracter"/>
          </w:rPr>
          <w:t>136/2013</w:t>
        </w:r>
      </w:hyperlink>
      <w:r>
        <w:t>, ff. 1, 3 a 5.</w:t>
      </w:r>
    </w:p>
    <w:p w:rsidR="00E27756" w:rsidRDefault="00E27756" w:rsidP="00E27756">
      <w:pPr>
        <w:pStyle w:val="SangriaFrancesaArticulo"/>
      </w:pPr>
      <w:r w:rsidRPr="00E27756">
        <w:rPr>
          <w:rStyle w:val="TextoNormalNegritaCaracter"/>
        </w:rPr>
        <w:t>Título I, capítulo I.</w:t>
      </w:r>
      <w:r w:rsidRPr="00E27756">
        <w:rPr>
          <w:rStyle w:val="TextoNormalCaracter"/>
        </w:rPr>
        <w:t>-</w:t>
      </w:r>
      <w:r>
        <w:t xml:space="preserve"> Sentencia </w:t>
      </w:r>
      <w:hyperlink w:anchor="SENTENCIA_2013_136" w:history="1">
        <w:r w:rsidRPr="00E27756">
          <w:rPr>
            <w:rStyle w:val="TextoNormalCaracter"/>
          </w:rPr>
          <w:t>136/2013</w:t>
        </w:r>
      </w:hyperlink>
      <w:r>
        <w:t>, f. 3.</w:t>
      </w:r>
    </w:p>
    <w:p w:rsidR="00E27756" w:rsidRDefault="00E27756" w:rsidP="00E27756">
      <w:pPr>
        <w:pStyle w:val="SangriaFrancesaArticulo"/>
      </w:pPr>
      <w:r w:rsidRPr="00E27756">
        <w:rPr>
          <w:rStyle w:val="TextoNormalNegritaCaracter"/>
        </w:rPr>
        <w:t>Título II, capítulo II.</w:t>
      </w:r>
      <w:r w:rsidRPr="00E27756">
        <w:rPr>
          <w:rStyle w:val="TextoNormalCaracter"/>
        </w:rPr>
        <w:t>-</w:t>
      </w:r>
      <w:r>
        <w:t xml:space="preserve"> Sentencia </w:t>
      </w:r>
      <w:hyperlink w:anchor="SENTENCIA_2013_136" w:history="1">
        <w:r w:rsidRPr="00E27756">
          <w:rPr>
            <w:rStyle w:val="TextoNormalCaracter"/>
          </w:rPr>
          <w:t>136/2013</w:t>
        </w:r>
      </w:hyperlink>
      <w:r>
        <w:t>, f. 3.</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136" w:history="1">
        <w:r w:rsidRPr="00E27756">
          <w:rPr>
            <w:rStyle w:val="TextoNormalCaracter"/>
          </w:rPr>
          <w:t>136/2013</w:t>
        </w:r>
      </w:hyperlink>
      <w:r>
        <w:t>, ff. 3, 5.</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136" w:history="1">
        <w:r w:rsidRPr="00E27756">
          <w:rPr>
            <w:rStyle w:val="TextoNormalCaracter"/>
          </w:rPr>
          <w:t>136/2013</w:t>
        </w:r>
      </w:hyperlink>
      <w:r>
        <w:t>, f. 3.</w:t>
      </w:r>
    </w:p>
    <w:p w:rsidR="00E27756" w:rsidRDefault="00E27756" w:rsidP="00E27756">
      <w:pPr>
        <w:pStyle w:val="SangriaFrancesaArticulo"/>
      </w:pPr>
      <w:r w:rsidRPr="00E27756">
        <w:rPr>
          <w:rStyle w:val="TextoNormalNegritaCaracter"/>
        </w:rPr>
        <w:t>Artículo 32.1.</w:t>
      </w:r>
      <w:r w:rsidRPr="00E27756">
        <w:rPr>
          <w:rStyle w:val="TextoNormalCaracter"/>
        </w:rPr>
        <w:t>-</w:t>
      </w:r>
      <w:r>
        <w:t xml:space="preserve"> Sentencia </w:t>
      </w:r>
      <w:hyperlink w:anchor="SENTENCIA_2013_136" w:history="1">
        <w:r w:rsidRPr="00E27756">
          <w:rPr>
            <w:rStyle w:val="TextoNormalCaracter"/>
          </w:rPr>
          <w:t>136/2013</w:t>
        </w:r>
      </w:hyperlink>
      <w:r>
        <w:t>, f. 3.</w:t>
      </w:r>
    </w:p>
    <w:p w:rsidR="00E27756" w:rsidRDefault="00E27756" w:rsidP="00E27756">
      <w:pPr>
        <w:pStyle w:val="SangriaFrancesaArticulo"/>
      </w:pPr>
      <w:r w:rsidRPr="00E27756">
        <w:rPr>
          <w:rStyle w:val="TextoNormalNegritaCaracter"/>
        </w:rPr>
        <w:t>Artículo 32.2.</w:t>
      </w:r>
      <w:r w:rsidRPr="00E27756">
        <w:rPr>
          <w:rStyle w:val="TextoNormalCaracter"/>
        </w:rPr>
        <w:t>-</w:t>
      </w:r>
      <w:r>
        <w:t xml:space="preserve"> Sentencia </w:t>
      </w:r>
      <w:hyperlink w:anchor="SENTENCIA_2013_136" w:history="1">
        <w:r w:rsidRPr="00E27756">
          <w:rPr>
            <w:rStyle w:val="TextoNormalCaracter"/>
          </w:rPr>
          <w:t>136/2013</w:t>
        </w:r>
      </w:hyperlink>
      <w:r>
        <w:t>, f. 5.</w:t>
      </w:r>
    </w:p>
    <w:p w:rsidR="00E27756" w:rsidRDefault="00E27756" w:rsidP="00E27756">
      <w:pPr>
        <w:pStyle w:val="SangriaFrancesaArticulo"/>
      </w:pPr>
      <w:r w:rsidRPr="00E27756">
        <w:rPr>
          <w:rStyle w:val="TextoNormalNegritaCaracter"/>
        </w:rPr>
        <w:lastRenderedPageBreak/>
        <w:t>Artículo 45.</w:t>
      </w:r>
      <w:r w:rsidRPr="00E27756">
        <w:rPr>
          <w:rStyle w:val="TextoNormalCaracter"/>
        </w:rPr>
        <w:t>-</w:t>
      </w:r>
      <w:r>
        <w:t xml:space="preserve"> Sentencia </w:t>
      </w:r>
      <w:hyperlink w:anchor="SENTENCIA_2013_136" w:history="1">
        <w:r w:rsidRPr="00E27756">
          <w:rPr>
            <w:rStyle w:val="TextoNormalCaracter"/>
          </w:rPr>
          <w:t>136/2013</w:t>
        </w:r>
      </w:hyperlink>
      <w:r>
        <w:t>, f. 5.</w:t>
      </w:r>
    </w:p>
    <w:p w:rsidR="00E27756" w:rsidRDefault="00E27756" w:rsidP="00E27756">
      <w:pPr>
        <w:pStyle w:val="SangriaFrancesaArticulo"/>
      </w:pPr>
      <w:r w:rsidRPr="00E27756">
        <w:rPr>
          <w:rStyle w:val="TextoNormalNegritaCaracter"/>
        </w:rPr>
        <w:t>Artículos 45 a 47.</w:t>
      </w:r>
      <w:r w:rsidRPr="00E27756">
        <w:rPr>
          <w:rStyle w:val="TextoNormalCaracter"/>
        </w:rPr>
        <w:t>-</w:t>
      </w:r>
      <w:r>
        <w:t xml:space="preserve"> Sentencia </w:t>
      </w:r>
      <w:hyperlink w:anchor="SENTENCIA_2013_136" w:history="1">
        <w:r w:rsidRPr="00E27756">
          <w:rPr>
            <w:rStyle w:val="TextoNormalCaracter"/>
          </w:rPr>
          <w:t>136/2013</w:t>
        </w:r>
      </w:hyperlink>
      <w:r>
        <w:t>, f. 3.</w:t>
      </w:r>
    </w:p>
    <w:p w:rsidR="00E27756" w:rsidRDefault="00E27756" w:rsidP="00E27756">
      <w:pPr>
        <w:pStyle w:val="SangriaFrancesaArticulo"/>
      </w:pPr>
      <w:r w:rsidRPr="00E27756">
        <w:rPr>
          <w:rStyle w:val="TextoNormalNegritaCaracter"/>
        </w:rPr>
        <w:t>Artículos 66 a 69.</w:t>
      </w:r>
      <w:r w:rsidRPr="00E27756">
        <w:rPr>
          <w:rStyle w:val="TextoNormalCaracter"/>
        </w:rPr>
        <w:t>-</w:t>
      </w:r>
      <w:r>
        <w:t xml:space="preserve"> Sentencia </w:t>
      </w:r>
      <w:hyperlink w:anchor="SENTENCIA_2013_136" w:history="1">
        <w:r w:rsidRPr="00E27756">
          <w:rPr>
            <w:rStyle w:val="TextoNormalCaracter"/>
          </w:rPr>
          <w:t>136/2013</w:t>
        </w:r>
      </w:hyperlink>
      <w:r>
        <w:t>, f. 3.</w:t>
      </w:r>
    </w:p>
    <w:p w:rsidR="00E27756" w:rsidRDefault="00E27756" w:rsidP="00E27756">
      <w:pPr>
        <w:pStyle w:val="SangriaFrancesaArticulo"/>
      </w:pPr>
      <w:r w:rsidRPr="00E27756">
        <w:rPr>
          <w:rStyle w:val="TextoNormalNegritaCaracter"/>
        </w:rPr>
        <w:t>Artículo 68.2.</w:t>
      </w:r>
      <w:r w:rsidRPr="00E27756">
        <w:rPr>
          <w:rStyle w:val="TextoNormalCaracter"/>
        </w:rPr>
        <w:t>-</w:t>
      </w:r>
      <w:r>
        <w:t xml:space="preserve"> Sentencia </w:t>
      </w:r>
      <w:hyperlink w:anchor="SENTENCIA_2013_136" w:history="1">
        <w:r w:rsidRPr="00E27756">
          <w:rPr>
            <w:rStyle w:val="TextoNormalCaracter"/>
          </w:rPr>
          <w:t>136/2013</w:t>
        </w:r>
      </w:hyperlink>
      <w:r>
        <w:t>, f. 3.</w:t>
      </w:r>
    </w:p>
    <w:p w:rsidR="00E27756" w:rsidRDefault="00E27756" w:rsidP="00E27756">
      <w:pPr>
        <w:pStyle w:val="SangriaFrancesaArticulo"/>
      </w:pPr>
      <w:r w:rsidRPr="00E27756">
        <w:rPr>
          <w:rStyle w:val="TextoNormalNegritaCaracter"/>
        </w:rPr>
        <w:t>Disposición adicional séptima</w:t>
      </w:r>
      <w:r>
        <w:t xml:space="preserve"> </w:t>
      </w:r>
      <w:r w:rsidRPr="00E27756">
        <w:rPr>
          <w:rStyle w:val="TextoNormalCaracter"/>
        </w:rPr>
        <w:t>(redactada por la Ley de las Cortes de Castilla y León 8/2004, de 22 de diciembre)</w:t>
      </w:r>
      <w:r w:rsidRPr="00E27756">
        <w:rPr>
          <w:rStyle w:val="TextoNormalNegritaCaracter"/>
        </w:rPr>
        <w:t>.</w:t>
      </w:r>
      <w:r w:rsidRPr="00E27756">
        <w:rPr>
          <w:rStyle w:val="TextoNormalCaracter"/>
        </w:rPr>
        <w:t>-</w:t>
      </w:r>
      <w:r>
        <w:t xml:space="preserve"> Sentencia </w:t>
      </w:r>
      <w:hyperlink w:anchor="SENTENCIA_2013_136" w:history="1">
        <w:r w:rsidRPr="00E27756">
          <w:rPr>
            <w:rStyle w:val="TextoNormalCaracter"/>
          </w:rPr>
          <w:t>136/2013</w:t>
        </w:r>
      </w:hyperlink>
      <w:r>
        <w:t>, ff. 1, 4, 5.</w:t>
      </w:r>
    </w:p>
    <w:p w:rsidR="00E27756" w:rsidRDefault="00E27756" w:rsidP="00E27756">
      <w:pPr>
        <w:pStyle w:val="SangriaFrancesaArticulo"/>
      </w:pPr>
    </w:p>
    <w:p w:rsidR="00E27756" w:rsidRDefault="00E27756" w:rsidP="00E27756">
      <w:pPr>
        <w:pStyle w:val="TextoNormalNegritaCursivandice"/>
      </w:pPr>
      <w:r>
        <w:t>Ley de las Cortes de Castilla y León 7/2004, de 22 de diciembre. Modificación de la Ley 6/1991, de 19 de abril, de archivos y patrimonio documental de Castilla y León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8" w:history="1">
        <w:r w:rsidRPr="00E27756">
          <w:rPr>
            <w:rStyle w:val="TextoNormalCaracter"/>
          </w:rPr>
          <w:t>38/2013</w:t>
        </w:r>
      </w:hyperlink>
      <w:r>
        <w:t>, f. 5.</w:t>
      </w:r>
    </w:p>
    <w:p w:rsidR="00E27756" w:rsidRDefault="00E27756" w:rsidP="00E27756">
      <w:pPr>
        <w:pStyle w:val="SangriaFrancesaArticulo"/>
      </w:pPr>
      <w:r w:rsidRPr="00E27756">
        <w:rPr>
          <w:rStyle w:val="TextoNormalNegritaCaracter"/>
        </w:rPr>
        <w:t>Artículo único.</w:t>
      </w:r>
      <w:r w:rsidRPr="00E27756">
        <w:rPr>
          <w:rStyle w:val="TextoNormalCaracter"/>
        </w:rPr>
        <w:t>-</w:t>
      </w:r>
      <w:r>
        <w:t xml:space="preserve"> Sentencias </w:t>
      </w:r>
      <w:hyperlink w:anchor="SENTENCIA_2013_38" w:history="1">
        <w:r w:rsidRPr="00E27756">
          <w:rPr>
            <w:rStyle w:val="TextoNormalCaracter"/>
          </w:rPr>
          <w:t>38/2013</w:t>
        </w:r>
      </w:hyperlink>
      <w:r>
        <w:t xml:space="preserve">, f. 1; </w:t>
      </w:r>
      <w:hyperlink w:anchor="SENTENCIA_2013_66" w:history="1">
        <w:r w:rsidRPr="00E27756">
          <w:rPr>
            <w:rStyle w:val="TextoNormalCaracter"/>
          </w:rPr>
          <w:t>66/2013</w:t>
        </w:r>
      </w:hyperlink>
      <w:r>
        <w:t>, f. 3.</w:t>
      </w:r>
    </w:p>
    <w:p w:rsidR="00E27756" w:rsidRDefault="00E27756" w:rsidP="00E27756">
      <w:pPr>
        <w:pStyle w:val="SangriaFrancesaArticulo"/>
      </w:pPr>
      <w:r w:rsidRPr="00E27756">
        <w:rPr>
          <w:rStyle w:val="TextoNormalNegritaCaracter"/>
        </w:rPr>
        <w:t>Artículo 47.</w:t>
      </w:r>
      <w:r w:rsidRPr="00E27756">
        <w:rPr>
          <w:rStyle w:val="TextoNormalCaracter"/>
        </w:rPr>
        <w:t>-</w:t>
      </w:r>
      <w:r>
        <w:t xml:space="preserve"> Sentencia </w:t>
      </w:r>
      <w:hyperlink w:anchor="SENTENCIA_2013_38" w:history="1">
        <w:r w:rsidRPr="00E27756">
          <w:rPr>
            <w:rStyle w:val="TextoNormalCaracter"/>
          </w:rPr>
          <w:t>38/2013</w:t>
        </w:r>
      </w:hyperlink>
      <w:r>
        <w:t>, f. 5.</w:t>
      </w:r>
    </w:p>
    <w:p w:rsidR="00E27756" w:rsidRDefault="00E27756" w:rsidP="00E27756">
      <w:pPr>
        <w:pStyle w:val="SangriaFrancesaArticulo"/>
      </w:pPr>
    </w:p>
    <w:p w:rsidR="00E27756" w:rsidRDefault="00E27756" w:rsidP="00E27756">
      <w:pPr>
        <w:pStyle w:val="TextoNormalNegritaCursivandice"/>
      </w:pPr>
      <w:r>
        <w:t>Ley de las Cortes de  Castilla y León 8/2004, de 22 de diciembre. Modificación de la Ley 12/2002, de 11 de julio, del patrimonio cultural de Castilla y León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6" w:history="1">
        <w:r w:rsidRPr="00E27756">
          <w:rPr>
            <w:rStyle w:val="TextoNormalCaracter"/>
          </w:rPr>
          <w:t>136/2013</w:t>
        </w:r>
      </w:hyperlink>
      <w:r>
        <w:t>, f. 5.</w:t>
      </w:r>
    </w:p>
    <w:p w:rsidR="00E27756" w:rsidRDefault="00E27756" w:rsidP="00E27756">
      <w:pPr>
        <w:pStyle w:val="SangriaFrancesaArticulo"/>
      </w:pPr>
      <w:r w:rsidRPr="00E27756">
        <w:rPr>
          <w:rStyle w:val="TextoNormalNegritaCaracter"/>
        </w:rPr>
        <w:t>Artículo único.</w:t>
      </w:r>
      <w:r w:rsidRPr="00E27756">
        <w:rPr>
          <w:rStyle w:val="TextoNormalCaracter"/>
        </w:rPr>
        <w:t>-</w:t>
      </w:r>
      <w:r>
        <w:t xml:space="preserve"> Sentencia </w:t>
      </w:r>
      <w:hyperlink w:anchor="SENTENCIA_2013_136" w:history="1">
        <w:r w:rsidRPr="00E27756">
          <w:rPr>
            <w:rStyle w:val="TextoNormalCaracter"/>
          </w:rPr>
          <w:t>136/2013</w:t>
        </w:r>
      </w:hyperlink>
      <w:r>
        <w:t>, ff. 1, 4, 5.</w:t>
      </w:r>
    </w:p>
    <w:p w:rsidR="00E27756" w:rsidRDefault="00E27756" w:rsidP="00E27756">
      <w:pPr>
        <w:pStyle w:val="SangriaFrancesaArticulo"/>
      </w:pPr>
    </w:p>
    <w:p w:rsidR="00E27756" w:rsidRDefault="00E27756" w:rsidP="00E27756">
      <w:pPr>
        <w:pStyle w:val="TextoNormalNegritaCursivandice"/>
      </w:pPr>
      <w:r>
        <w:t>Ley de las Cortes de Castilla y León 6/2005, de 26 de mayo. Declaración de proyecto regional para la instalación de un centro de tratamiento de residuos urbanos para la provincia de Salamanca, en el término municipal de Gomecello (Salamanca)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9" w:history="1">
        <w:r w:rsidRPr="00E27756">
          <w:rPr>
            <w:rStyle w:val="TextoNormalCaracter"/>
          </w:rPr>
          <w:t>129/2013</w:t>
        </w:r>
      </w:hyperlink>
      <w:r>
        <w:t>, f. 2.</w:t>
      </w:r>
    </w:p>
    <w:p w:rsidR="00E27756" w:rsidRDefault="00E27756" w:rsidP="00E27756">
      <w:pPr>
        <w:pStyle w:val="SangriaFrancesaArticulo"/>
      </w:pPr>
    </w:p>
    <w:p w:rsidR="00E27756" w:rsidRDefault="00E27756" w:rsidP="00E27756">
      <w:pPr>
        <w:pStyle w:val="TextoNormalNegritaCursivandice"/>
      </w:pPr>
      <w:r>
        <w:t>Ley de las Cortes de Castilla y León 8/2005, de 10 de junio. Viña y del vino de Castilla y León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7" w:history="1">
        <w:r w:rsidRPr="00E27756">
          <w:rPr>
            <w:rStyle w:val="TextoNormalCaracter"/>
          </w:rPr>
          <w:t>107/2013</w:t>
        </w:r>
      </w:hyperlink>
      <w:r>
        <w:t>, f. 1.</w:t>
      </w:r>
    </w:p>
    <w:p w:rsidR="00E27756" w:rsidRDefault="00E27756" w:rsidP="00E27756">
      <w:pPr>
        <w:pStyle w:val="SangriaFrancesaArticulo"/>
      </w:pPr>
      <w:r w:rsidRPr="00E27756">
        <w:rPr>
          <w:rStyle w:val="TextoNormalNegritaCaracter"/>
        </w:rPr>
        <w:t>Artículo 25.</w:t>
      </w:r>
      <w:r w:rsidRPr="00E27756">
        <w:rPr>
          <w:rStyle w:val="TextoNormalCaracter"/>
        </w:rPr>
        <w:t>-</w:t>
      </w:r>
      <w:r>
        <w:t xml:space="preserve"> Sentencia </w:t>
      </w:r>
      <w:hyperlink w:anchor="SENTENCIA_2013_34" w:history="1">
        <w:r w:rsidRPr="00E27756">
          <w:rPr>
            <w:rStyle w:val="TextoNormalCaracter"/>
          </w:rPr>
          <w:t>34/2013</w:t>
        </w:r>
      </w:hyperlink>
      <w:r>
        <w:t>, f. 12.</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107" w:history="1">
        <w:r w:rsidRPr="00E27756">
          <w:rPr>
            <w:rStyle w:val="TextoNormalCaracter"/>
          </w:rPr>
          <w:t>107/2013</w:t>
        </w:r>
      </w:hyperlink>
      <w:r>
        <w:t>, f. 2.</w:t>
      </w:r>
    </w:p>
    <w:p w:rsidR="00E27756" w:rsidRDefault="00E27756" w:rsidP="00E27756">
      <w:pPr>
        <w:pStyle w:val="SangriaFrancesaArticulo"/>
      </w:pPr>
    </w:p>
    <w:p w:rsidR="00E27756" w:rsidRDefault="00E27756" w:rsidP="00E27756">
      <w:pPr>
        <w:pStyle w:val="TextoNormalNegritaCursivandice"/>
      </w:pPr>
      <w:r>
        <w:t>Ley de las Cortes de Castilla y León 2/2008, de 17 de junio. Declaración de proyecto regional para la instalación de un centro de tratamiento de residuos industriales no peligrosos en el término municipal de Fresno de la Ribera (Zamora)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9" w:history="1">
        <w:r w:rsidRPr="00E27756">
          <w:rPr>
            <w:rStyle w:val="TextoNormalCaracter"/>
          </w:rPr>
          <w:t>129/2013</w:t>
        </w:r>
      </w:hyperlink>
      <w:r>
        <w:t>, f. 2.</w:t>
      </w:r>
    </w:p>
    <w:p w:rsidR="00E27756" w:rsidRDefault="00E27756" w:rsidP="00E27756">
      <w:pPr>
        <w:pStyle w:val="TextoNormal"/>
      </w:pPr>
    </w:p>
    <w:p w:rsidR="00E27756" w:rsidRDefault="00E27756" w:rsidP="00E27756">
      <w:pPr>
        <w:pStyle w:val="TextoNormalNegritaCentradoSubrayado"/>
        <w:suppressAutoHyphens/>
      </w:pPr>
      <w:r>
        <w:t>J.8.d) Normas parlamentarias autonómicas</w:t>
      </w:r>
    </w:p>
    <w:p w:rsidR="00E27756" w:rsidRDefault="00E27756" w:rsidP="00E27756">
      <w:pPr>
        <w:pStyle w:val="TextoNormalNegritaCentradoSubrayado"/>
      </w:pPr>
    </w:p>
    <w:p w:rsidR="00E27756" w:rsidRDefault="00E27756" w:rsidP="00E27756">
      <w:pPr>
        <w:pStyle w:val="TextoNormalNegritaCursivandice"/>
      </w:pPr>
      <w:r>
        <w:t>Reglamento de las Cortes de Castilla y León, de 16 de marzo de 1984</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9" w:history="1">
        <w:r w:rsidRPr="00E27756">
          <w:rPr>
            <w:rStyle w:val="TextoNormalCaracter"/>
          </w:rPr>
          <w:t>129/2013</w:t>
        </w:r>
      </w:hyperlink>
      <w:r>
        <w:t>, f. 10.</w:t>
      </w:r>
    </w:p>
    <w:p w:rsidR="00E27756" w:rsidRDefault="00E27756" w:rsidP="00E27756">
      <w:pPr>
        <w:pStyle w:val="SangriaFrancesaArticulo"/>
      </w:pPr>
      <w:r w:rsidRPr="00E27756">
        <w:rPr>
          <w:rStyle w:val="TextoNormalNegritaCaracter"/>
        </w:rPr>
        <w:t>Artículo 128.</w:t>
      </w:r>
      <w:r w:rsidRPr="00E27756">
        <w:rPr>
          <w:rStyle w:val="TextoNormalCaracter"/>
        </w:rPr>
        <w:t>-</w:t>
      </w:r>
      <w:r>
        <w:t xml:space="preserve"> Sentencia </w:t>
      </w:r>
      <w:hyperlink w:anchor="SENTENCIA_2013_129" w:history="1">
        <w:r w:rsidRPr="00E27756">
          <w:rPr>
            <w:rStyle w:val="TextoNormalCaracter"/>
          </w:rPr>
          <w:t>129/2013</w:t>
        </w:r>
      </w:hyperlink>
      <w:r>
        <w:t>, f. 10.</w:t>
      </w:r>
    </w:p>
    <w:p w:rsidR="00E27756" w:rsidRDefault="00E27756" w:rsidP="00E27756">
      <w:pPr>
        <w:pStyle w:val="SangriaFrancesaArticulo"/>
      </w:pPr>
    </w:p>
    <w:p w:rsidR="00E27756" w:rsidRDefault="00E27756" w:rsidP="00E27756">
      <w:pPr>
        <w:pStyle w:val="TextoNormalNegritaCursivandice"/>
      </w:pPr>
      <w:r>
        <w:t>Reglamento de las Cortes de Castilla y León, de 11 de mayo de 2005. Reforma</w:t>
      </w:r>
    </w:p>
    <w:p w:rsidR="00E27756" w:rsidRDefault="00E27756" w:rsidP="00E27756">
      <w:pPr>
        <w:pStyle w:val="SangriaFrancesaArticulo"/>
      </w:pPr>
      <w:r w:rsidRPr="00E27756">
        <w:rPr>
          <w:rStyle w:val="TextoNormalNegritaCaracter"/>
        </w:rPr>
        <w:t>Artículo 130.</w:t>
      </w:r>
      <w:r w:rsidRPr="00E27756">
        <w:rPr>
          <w:rStyle w:val="TextoNormalCaracter"/>
        </w:rPr>
        <w:t>-</w:t>
      </w:r>
      <w:r>
        <w:t xml:space="preserve"> Sentencia </w:t>
      </w:r>
      <w:hyperlink w:anchor="SENTENCIA_2013_129" w:history="1">
        <w:r w:rsidRPr="00E27756">
          <w:rPr>
            <w:rStyle w:val="TextoNormalCaracter"/>
          </w:rPr>
          <w:t>129/2013</w:t>
        </w:r>
      </w:hyperlink>
      <w:r>
        <w:t>, f. 10.</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lastRenderedPageBreak/>
        <w:t>J.9) Cataluña</w:t>
      </w:r>
    </w:p>
    <w:p w:rsidR="00E27756" w:rsidRDefault="00E27756" w:rsidP="00E27756">
      <w:pPr>
        <w:pStyle w:val="TextoNormal"/>
      </w:pPr>
    </w:p>
    <w:p w:rsidR="00E27756" w:rsidRDefault="00E27756" w:rsidP="00E27756">
      <w:pPr>
        <w:pStyle w:val="TextoNormalNegritaCentradoSubrayado"/>
        <w:suppressAutoHyphens/>
      </w:pPr>
      <w:r>
        <w:t>J.9.a) Estatuto de Autonomía</w:t>
      </w:r>
    </w:p>
    <w:p w:rsidR="00E27756" w:rsidRDefault="00E27756" w:rsidP="00E27756">
      <w:pPr>
        <w:pStyle w:val="TextoNormalNegritaCentradoSubrayado"/>
      </w:pPr>
    </w:p>
    <w:p w:rsidR="00E27756" w:rsidRDefault="00E27756" w:rsidP="00E27756">
      <w:pPr>
        <w:pStyle w:val="TextoNormalNegritaCursivandice"/>
      </w:pPr>
      <w:r>
        <w:t>Ley Orgánica 4/1979, de 18 de diciembre. Estatuto de Autonomía de Cataluña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49" w:history="1">
        <w:r w:rsidRPr="00E27756">
          <w:rPr>
            <w:rStyle w:val="TextoNormalCaracter"/>
          </w:rPr>
          <w:t>49/2013</w:t>
        </w:r>
      </w:hyperlink>
      <w:r>
        <w:t xml:space="preserve">, f. 5; </w:t>
      </w:r>
      <w:hyperlink w:anchor="SENTENCIA_2013_103" w:history="1">
        <w:r w:rsidRPr="00E27756">
          <w:rPr>
            <w:rStyle w:val="TextoNormalCaracter"/>
          </w:rPr>
          <w:t>103/2013</w:t>
        </w:r>
      </w:hyperlink>
      <w:r>
        <w:t>, f. 4.</w:t>
      </w:r>
    </w:p>
    <w:p w:rsidR="00E27756" w:rsidRDefault="00E27756" w:rsidP="00E27756">
      <w:pPr>
        <w:pStyle w:val="SangriaFrancesaArticulo"/>
      </w:pPr>
      <w:r w:rsidRPr="00E27756">
        <w:rPr>
          <w:rStyle w:val="TextoNormalNegritaCaracter"/>
        </w:rPr>
        <w:t>Artículo 9.8.</w:t>
      </w:r>
      <w:r w:rsidRPr="00E27756">
        <w:rPr>
          <w:rStyle w:val="TextoNormalCaracter"/>
        </w:rPr>
        <w:t>-</w:t>
      </w:r>
      <w:r>
        <w:t xml:space="preserve"> Sentencia </w:t>
      </w:r>
      <w:hyperlink w:anchor="SENTENCIA_2013_103" w:history="1">
        <w:r w:rsidRPr="00E27756">
          <w:rPr>
            <w:rStyle w:val="TextoNormalCaracter"/>
          </w:rPr>
          <w:t>103/2013</w:t>
        </w:r>
      </w:hyperlink>
      <w:r>
        <w:t>, f. 4.</w:t>
      </w:r>
    </w:p>
    <w:p w:rsidR="00E27756" w:rsidRDefault="00E27756" w:rsidP="00E27756">
      <w:pPr>
        <w:pStyle w:val="SangriaFrancesaArticulo"/>
      </w:pPr>
      <w:r w:rsidRPr="00E27756">
        <w:rPr>
          <w:rStyle w:val="TextoNormalNegritaCaracter"/>
        </w:rPr>
        <w:t>Artículo 9.8</w:t>
      </w:r>
      <w:r>
        <w:t xml:space="preserve"> </w:t>
      </w:r>
      <w:r w:rsidRPr="00E27756">
        <w:rPr>
          <w:rStyle w:val="TextoNormalCaracter"/>
        </w:rPr>
        <w:t>(redactado por la Ley Orgánica 6/2006, de 19 de julio)</w:t>
      </w:r>
      <w:r w:rsidRPr="00E27756">
        <w:rPr>
          <w:rStyle w:val="TextoNormalNegritaCaracter"/>
        </w:rPr>
        <w:t>.</w:t>
      </w:r>
      <w:r w:rsidRPr="00E27756">
        <w:rPr>
          <w:rStyle w:val="TextoNormalCaracter"/>
        </w:rPr>
        <w:t>-</w:t>
      </w:r>
      <w:r>
        <w:t xml:space="preserve"> Sentencia </w:t>
      </w:r>
      <w:hyperlink w:anchor="SENTENCIA_2013_7" w:history="1">
        <w:r w:rsidRPr="00E27756">
          <w:rPr>
            <w:rStyle w:val="TextoNormalCaracter"/>
          </w:rPr>
          <w:t>7/2013</w:t>
        </w:r>
      </w:hyperlink>
      <w:r>
        <w:t>, f. 3.</w:t>
      </w:r>
    </w:p>
    <w:p w:rsidR="00E27756" w:rsidRDefault="00E27756" w:rsidP="00E27756">
      <w:pPr>
        <w:pStyle w:val="SangriaFrancesaArticulo"/>
      </w:pPr>
      <w:r w:rsidRPr="00E27756">
        <w:rPr>
          <w:rStyle w:val="TextoNormalNegritaCaracter"/>
        </w:rPr>
        <w:t>Artículo 9.10.</w:t>
      </w:r>
      <w:r w:rsidRPr="00E27756">
        <w:rPr>
          <w:rStyle w:val="TextoNormalCaracter"/>
        </w:rPr>
        <w:t>-</w:t>
      </w:r>
      <w:r>
        <w:t xml:space="preserve"> Sentencia </w:t>
      </w:r>
      <w:hyperlink w:anchor="SENTENCIA_2013_49" w:history="1">
        <w:r w:rsidRPr="00E27756">
          <w:rPr>
            <w:rStyle w:val="TextoNormalCaracter"/>
          </w:rPr>
          <w:t>49/2013</w:t>
        </w:r>
      </w:hyperlink>
      <w:r>
        <w:t>, ff. 1, 5.</w:t>
      </w:r>
    </w:p>
    <w:p w:rsidR="00E27756" w:rsidRDefault="00E27756" w:rsidP="00E27756">
      <w:pPr>
        <w:pStyle w:val="SangriaFrancesaArticulo"/>
      </w:pPr>
      <w:r w:rsidRPr="00E27756">
        <w:rPr>
          <w:rStyle w:val="TextoNormalNegritaCaracter"/>
        </w:rPr>
        <w:t>Artículo 10.1.1</w:t>
      </w:r>
      <w:r>
        <w:t xml:space="preserve"> </w:t>
      </w:r>
      <w:r w:rsidRPr="00E27756">
        <w:rPr>
          <w:rStyle w:val="TextoNormalCaracter"/>
        </w:rPr>
        <w:t>(redactado por la Ley Orgánica 6/2006, de 19 de julio)</w:t>
      </w:r>
      <w:r w:rsidRPr="00E27756">
        <w:rPr>
          <w:rStyle w:val="TextoNormalNegritaCaracter"/>
        </w:rPr>
        <w:t>.</w:t>
      </w:r>
      <w:r w:rsidRPr="00E27756">
        <w:rPr>
          <w:rStyle w:val="TextoNormalCaracter"/>
        </w:rPr>
        <w:t>-</w:t>
      </w:r>
      <w:r>
        <w:t xml:space="preserve"> Sentencia </w:t>
      </w:r>
      <w:hyperlink w:anchor="SENTENCIA_2013_7" w:history="1">
        <w:r w:rsidRPr="00E27756">
          <w:rPr>
            <w:rStyle w:val="TextoNormalCaracter"/>
          </w:rPr>
          <w:t>7/2013</w:t>
        </w:r>
      </w:hyperlink>
      <w:r>
        <w:t>, f. 3.</w:t>
      </w:r>
    </w:p>
    <w:p w:rsidR="00E27756" w:rsidRDefault="00E27756" w:rsidP="00E27756">
      <w:pPr>
        <w:pStyle w:val="SangriaFrancesaArticulo"/>
      </w:pPr>
      <w:r w:rsidRPr="00E27756">
        <w:rPr>
          <w:rStyle w:val="TextoNormalNegritaCaracter"/>
        </w:rPr>
        <w:t>Artículo 11.2.</w:t>
      </w:r>
      <w:r w:rsidRPr="00E27756">
        <w:rPr>
          <w:rStyle w:val="TextoNormalCaracter"/>
        </w:rPr>
        <w:t>-</w:t>
      </w:r>
      <w:r>
        <w:t xml:space="preserve"> Sentencia </w:t>
      </w:r>
      <w:hyperlink w:anchor="SENTENCIA_2013_124" w:history="1">
        <w:r w:rsidRPr="00E27756">
          <w:rPr>
            <w:rStyle w:val="TextoNormalCaracter"/>
          </w:rPr>
          <w:t>124/2013</w:t>
        </w:r>
      </w:hyperlink>
      <w:r>
        <w:t>, f. 1.</w:t>
      </w:r>
    </w:p>
    <w:p w:rsidR="00E27756" w:rsidRDefault="00E27756" w:rsidP="00E27756">
      <w:pPr>
        <w:pStyle w:val="SangriaFrancesaArticulo"/>
      </w:pPr>
      <w:r w:rsidRPr="00E27756">
        <w:rPr>
          <w:rStyle w:val="TextoNormalNegritaCaracter"/>
        </w:rPr>
        <w:t>Artículo 11.2</w:t>
      </w:r>
      <w:r>
        <w:t xml:space="preserve"> </w:t>
      </w:r>
      <w:r w:rsidRPr="00E27756">
        <w:rPr>
          <w:rStyle w:val="TextoNormalCaracter"/>
        </w:rPr>
        <w:t>(redactado por la Ley Orgánica 6/2006, de 19 de julio)</w:t>
      </w:r>
      <w:r w:rsidRPr="00E27756">
        <w:rPr>
          <w:rStyle w:val="TextoNormalNegritaCaracter"/>
        </w:rPr>
        <w:t>.</w:t>
      </w:r>
      <w:r w:rsidRPr="00E27756">
        <w:rPr>
          <w:rStyle w:val="TextoNormalCaracter"/>
        </w:rPr>
        <w:t>-</w:t>
      </w:r>
      <w:r>
        <w:t xml:space="preserve"> Sentencia </w:t>
      </w:r>
      <w:hyperlink w:anchor="SENTENCIA_2013_7" w:history="1">
        <w:r w:rsidRPr="00E27756">
          <w:rPr>
            <w:rStyle w:val="TextoNormalCaracter"/>
          </w:rPr>
          <w:t>7/2013</w:t>
        </w:r>
      </w:hyperlink>
      <w:r>
        <w:t>, f. 3.</w:t>
      </w:r>
    </w:p>
    <w:p w:rsidR="00E27756" w:rsidRDefault="00E27756" w:rsidP="00E27756">
      <w:pPr>
        <w:pStyle w:val="SangriaFrancesaArticulo"/>
      </w:pPr>
      <w:r w:rsidRPr="00E27756">
        <w:rPr>
          <w:rStyle w:val="TextoNormalNegritaCaracter"/>
        </w:rPr>
        <w:t>Artículo 12.1.4.</w:t>
      </w:r>
      <w:r w:rsidRPr="00E27756">
        <w:rPr>
          <w:rStyle w:val="TextoNormalCaracter"/>
        </w:rPr>
        <w:t>-</w:t>
      </w:r>
      <w:r>
        <w:t xml:space="preserve"> Sentencia </w:t>
      </w:r>
      <w:hyperlink w:anchor="SENTENCIA_2013_34" w:history="1">
        <w:r w:rsidRPr="00E27756">
          <w:rPr>
            <w:rStyle w:val="TextoNormalCaracter"/>
          </w:rPr>
          <w:t>34/2013</w:t>
        </w:r>
      </w:hyperlink>
      <w:r>
        <w:t>, f. 1.</w:t>
      </w:r>
    </w:p>
    <w:p w:rsidR="00E27756" w:rsidRDefault="00E27756" w:rsidP="00E27756">
      <w:pPr>
        <w:pStyle w:val="SangriaFrancesaArticulo"/>
      </w:pPr>
      <w:r w:rsidRPr="00E27756">
        <w:rPr>
          <w:rStyle w:val="TextoNormalNegritaCaracter"/>
        </w:rPr>
        <w:t>Artículo 12.1.5.</w:t>
      </w:r>
      <w:r w:rsidRPr="00E27756">
        <w:rPr>
          <w:rStyle w:val="TextoNormalCaracter"/>
        </w:rPr>
        <w:t>-</w:t>
      </w:r>
      <w:r>
        <w:t xml:space="preserve"> Sentencia </w:t>
      </w:r>
      <w:hyperlink w:anchor="SENTENCIA_2013_34" w:history="1">
        <w:r w:rsidRPr="00E27756">
          <w:rPr>
            <w:rStyle w:val="TextoNormalCaracter"/>
          </w:rPr>
          <w:t>34/2013</w:t>
        </w:r>
      </w:hyperlink>
      <w:r>
        <w:t>, ff. 1, 3, 4, VP I.</w:t>
      </w:r>
    </w:p>
    <w:p w:rsidR="00E27756" w:rsidRDefault="00E27756" w:rsidP="00E27756">
      <w:pPr>
        <w:pStyle w:val="SangriaFrancesaArticulo"/>
      </w:pPr>
    </w:p>
    <w:p w:rsidR="00E27756" w:rsidRDefault="00E27756" w:rsidP="00E27756">
      <w:pPr>
        <w:pStyle w:val="TextoNormalNegritaCursivandice"/>
      </w:pPr>
      <w:r>
        <w:t>Ley Orgánica 6/2006, de 19 de julio. Reforma del Estatuto de Autonomía de Cataluña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5" w:history="1">
        <w:r w:rsidRPr="00E27756">
          <w:rPr>
            <w:rStyle w:val="TextoNormalCaracter"/>
          </w:rPr>
          <w:t>5/2013</w:t>
        </w:r>
      </w:hyperlink>
      <w:r>
        <w:t xml:space="preserve">, f. 2; </w:t>
      </w:r>
      <w:hyperlink w:anchor="SENTENCIA_2013_7" w:history="1">
        <w:r w:rsidRPr="00E27756">
          <w:rPr>
            <w:rStyle w:val="TextoNormalCaracter"/>
          </w:rPr>
          <w:t>7/2013</w:t>
        </w:r>
      </w:hyperlink>
      <w:r>
        <w:t xml:space="preserve">, f. 3; </w:t>
      </w:r>
      <w:hyperlink w:anchor="SENTENCIA_2013_14" w:history="1">
        <w:r w:rsidRPr="00E27756">
          <w:rPr>
            <w:rStyle w:val="TextoNormalCaracter"/>
          </w:rPr>
          <w:t>14/2013</w:t>
        </w:r>
      </w:hyperlink>
      <w:r>
        <w:t xml:space="preserve">, f. 2; </w:t>
      </w:r>
      <w:hyperlink w:anchor="SENTENCIA_2013_15" w:history="1">
        <w:r w:rsidRPr="00E27756">
          <w:rPr>
            <w:rStyle w:val="TextoNormalCaracter"/>
          </w:rPr>
          <w:t>15/2013</w:t>
        </w:r>
      </w:hyperlink>
      <w:r>
        <w:t xml:space="preserve">, f. 2; </w:t>
      </w:r>
      <w:hyperlink w:anchor="SENTENCIA_2013_20" w:history="1">
        <w:r w:rsidRPr="00E27756">
          <w:rPr>
            <w:rStyle w:val="TextoNormalCaracter"/>
          </w:rPr>
          <w:t>20/2013</w:t>
        </w:r>
      </w:hyperlink>
      <w:r>
        <w:t xml:space="preserve">, f. 5; </w:t>
      </w:r>
      <w:hyperlink w:anchor="SENTENCIA_2013_21" w:history="1">
        <w:r w:rsidRPr="00E27756">
          <w:rPr>
            <w:rStyle w:val="TextoNormalCaracter"/>
          </w:rPr>
          <w:t>21/2013</w:t>
        </w:r>
      </w:hyperlink>
      <w:r>
        <w:t xml:space="preserve">, f. 5; </w:t>
      </w:r>
      <w:hyperlink w:anchor="SENTENCIA_2013_24" w:history="1">
        <w:r w:rsidRPr="00E27756">
          <w:rPr>
            <w:rStyle w:val="TextoNormalCaracter"/>
          </w:rPr>
          <w:t>24/2013</w:t>
        </w:r>
      </w:hyperlink>
      <w:r>
        <w:t xml:space="preserve">, f. 7; </w:t>
      </w:r>
      <w:hyperlink w:anchor="SENTENCIA_2013_26" w:history="1">
        <w:r w:rsidRPr="00E27756">
          <w:rPr>
            <w:rStyle w:val="TextoNormalCaracter"/>
          </w:rPr>
          <w:t>26/2013</w:t>
        </w:r>
      </w:hyperlink>
      <w:r>
        <w:t xml:space="preserve">, f. 6; </w:t>
      </w:r>
      <w:hyperlink w:anchor="SENTENCIA_2013_34" w:history="1">
        <w:r w:rsidRPr="00E27756">
          <w:rPr>
            <w:rStyle w:val="TextoNormalCaracter"/>
          </w:rPr>
          <w:t>34/2013</w:t>
        </w:r>
      </w:hyperlink>
      <w:r>
        <w:t xml:space="preserve">, f. 2; </w:t>
      </w:r>
      <w:hyperlink w:anchor="SENTENCIA_2013_47" w:history="1">
        <w:r w:rsidRPr="00E27756">
          <w:rPr>
            <w:rStyle w:val="TextoNormalCaracter"/>
          </w:rPr>
          <w:t>47/2013</w:t>
        </w:r>
      </w:hyperlink>
      <w:r>
        <w:t xml:space="preserve">, f. 2; </w:t>
      </w:r>
      <w:hyperlink w:anchor="SENTENCIA_2013_48" w:history="1">
        <w:r w:rsidRPr="00E27756">
          <w:rPr>
            <w:rStyle w:val="TextoNormalCaracter"/>
          </w:rPr>
          <w:t>48/2013</w:t>
        </w:r>
      </w:hyperlink>
      <w:r>
        <w:t xml:space="preserve">, f. 2; </w:t>
      </w:r>
      <w:hyperlink w:anchor="SENTENCIA_2013_49" w:history="1">
        <w:r w:rsidRPr="00E27756">
          <w:rPr>
            <w:rStyle w:val="TextoNormalCaracter"/>
          </w:rPr>
          <w:t>49/2013</w:t>
        </w:r>
      </w:hyperlink>
      <w:r>
        <w:t xml:space="preserve">, f. 5; </w:t>
      </w:r>
      <w:hyperlink w:anchor="SENTENCIA_2013_95" w:history="1">
        <w:r w:rsidRPr="00E27756">
          <w:rPr>
            <w:rStyle w:val="TextoNormalCaracter"/>
          </w:rPr>
          <w:t>95/2013</w:t>
        </w:r>
      </w:hyperlink>
      <w:r>
        <w:t xml:space="preserve">, f. 2; </w:t>
      </w:r>
      <w:hyperlink w:anchor="SENTENCIA_2013_100" w:history="1">
        <w:r w:rsidRPr="00E27756">
          <w:rPr>
            <w:rStyle w:val="TextoNormalCaracter"/>
          </w:rPr>
          <w:t>100/2013</w:t>
        </w:r>
      </w:hyperlink>
      <w:r>
        <w:t xml:space="preserve">, f. 3; </w:t>
      </w:r>
      <w:hyperlink w:anchor="SENTENCIA_2013_103" w:history="1">
        <w:r w:rsidRPr="00E27756">
          <w:rPr>
            <w:rStyle w:val="TextoNormalCaracter"/>
          </w:rPr>
          <w:t>103/2013</w:t>
        </w:r>
      </w:hyperlink>
      <w:r>
        <w:t xml:space="preserve">, f. 3; </w:t>
      </w:r>
      <w:hyperlink w:anchor="SENTENCIA_2013_104" w:history="1">
        <w:r w:rsidRPr="00E27756">
          <w:rPr>
            <w:rStyle w:val="TextoNormalCaracter"/>
          </w:rPr>
          <w:t>104/2013</w:t>
        </w:r>
      </w:hyperlink>
      <w:r>
        <w:t xml:space="preserve">, f. 2; </w:t>
      </w:r>
      <w:hyperlink w:anchor="SENTENCIA_2013_124" w:history="1">
        <w:r w:rsidRPr="00E27756">
          <w:rPr>
            <w:rStyle w:val="TextoNormalCaracter"/>
          </w:rPr>
          <w:t>124/2013</w:t>
        </w:r>
      </w:hyperlink>
      <w:r>
        <w:t xml:space="preserve">, f. 2; </w:t>
      </w:r>
      <w:hyperlink w:anchor="SENTENCIA_2013_135" w:history="1">
        <w:r w:rsidRPr="00E27756">
          <w:rPr>
            <w:rStyle w:val="TextoNormalCaracter"/>
          </w:rPr>
          <w:t>135/2013</w:t>
        </w:r>
      </w:hyperlink>
      <w:r>
        <w:t>, f. 2.</w:t>
      </w:r>
    </w:p>
    <w:p w:rsidR="00E27756" w:rsidRDefault="00E27756" w:rsidP="00E27756">
      <w:pPr>
        <w:pStyle w:val="SangriaFrancesaArticulo"/>
      </w:pPr>
      <w:r w:rsidRPr="00E27756">
        <w:rPr>
          <w:rStyle w:val="TextoNormalNegritaCaracter"/>
        </w:rPr>
        <w:t>Título III, capítulo III.</w:t>
      </w:r>
      <w:r w:rsidRPr="00E27756">
        <w:rPr>
          <w:rStyle w:val="TextoNormalCaracter"/>
        </w:rPr>
        <w:t>-</w:t>
      </w:r>
      <w:r>
        <w:t xml:space="preserve"> Sentencia </w:t>
      </w:r>
      <w:hyperlink w:anchor="SENTENCIA_2013_18" w:history="1">
        <w:r w:rsidRPr="00E27756">
          <w:rPr>
            <w:rStyle w:val="TextoNormalCaracter"/>
          </w:rPr>
          <w:t>18/2013</w:t>
        </w:r>
      </w:hyperlink>
      <w:r>
        <w:t>, f. 2.</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Sentencias </w:t>
      </w:r>
      <w:hyperlink w:anchor="SENTENCIA_2013_15" w:history="1">
        <w:r w:rsidRPr="00E27756">
          <w:rPr>
            <w:rStyle w:val="TextoNormalCaracter"/>
          </w:rPr>
          <w:t>15/2013</w:t>
        </w:r>
      </w:hyperlink>
      <w:r>
        <w:t xml:space="preserve">, f. 3; </w:t>
      </w:r>
      <w:hyperlink w:anchor="SENTENCIA_2013_48" w:history="1">
        <w:r w:rsidRPr="00E27756">
          <w:rPr>
            <w:rStyle w:val="TextoNormalCaracter"/>
          </w:rPr>
          <w:t>48/2013</w:t>
        </w:r>
      </w:hyperlink>
      <w:r>
        <w:t>, f. 3.</w:t>
      </w:r>
    </w:p>
    <w:p w:rsidR="00E27756" w:rsidRDefault="00E27756" w:rsidP="00E27756">
      <w:pPr>
        <w:pStyle w:val="SangriaFrancesaArticulo"/>
      </w:pPr>
      <w:r w:rsidRPr="00E27756">
        <w:rPr>
          <w:rStyle w:val="TextoNormalNegritaCaracter"/>
        </w:rPr>
        <w:t>Artículo 18.1.</w:t>
      </w:r>
      <w:r w:rsidRPr="00E27756">
        <w:rPr>
          <w:rStyle w:val="TextoNormalCaracter"/>
        </w:rPr>
        <w:t>-</w:t>
      </w:r>
      <w:r>
        <w:t xml:space="preserve"> Sentencia </w:t>
      </w:r>
      <w:hyperlink w:anchor="SENTENCIA_2013_18" w:history="1">
        <w:r w:rsidRPr="00E27756">
          <w:rPr>
            <w:rStyle w:val="TextoNormalCaracter"/>
          </w:rPr>
          <w:t>18/2013</w:t>
        </w:r>
      </w:hyperlink>
      <w:r>
        <w:t>, f. 1.</w:t>
      </w:r>
    </w:p>
    <w:p w:rsidR="00E27756" w:rsidRDefault="00E27756" w:rsidP="00E27756">
      <w:pPr>
        <w:pStyle w:val="SangriaFrancesaArticulo"/>
      </w:pPr>
      <w:r w:rsidRPr="00E27756">
        <w:rPr>
          <w:rStyle w:val="TextoNormalNegritaCaracter"/>
        </w:rPr>
        <w:t>Artículo 35.2.</w:t>
      </w:r>
      <w:r w:rsidRPr="00E27756">
        <w:rPr>
          <w:rStyle w:val="TextoNormalCaracter"/>
        </w:rPr>
        <w:t>-</w:t>
      </w:r>
      <w:r>
        <w:t xml:space="preserve"> Sentencias </w:t>
      </w:r>
      <w:hyperlink w:anchor="SENTENCIA_2013_15" w:history="1">
        <w:r w:rsidRPr="00E27756">
          <w:rPr>
            <w:rStyle w:val="TextoNormalCaracter"/>
          </w:rPr>
          <w:t>15/2013</w:t>
        </w:r>
      </w:hyperlink>
      <w:r>
        <w:t xml:space="preserve">, f. 4; </w:t>
      </w:r>
      <w:hyperlink w:anchor="SENTENCIA_2013_48" w:history="1">
        <w:r w:rsidRPr="00E27756">
          <w:rPr>
            <w:rStyle w:val="TextoNormalCaracter"/>
          </w:rPr>
          <w:t>48/2013</w:t>
        </w:r>
      </w:hyperlink>
      <w:r>
        <w:t>, f. 4.</w:t>
      </w:r>
    </w:p>
    <w:p w:rsidR="00E27756" w:rsidRDefault="00E27756" w:rsidP="00E27756">
      <w:pPr>
        <w:pStyle w:val="SangriaFrancesaArticulo"/>
      </w:pPr>
      <w:r w:rsidRPr="00E27756">
        <w:rPr>
          <w:rStyle w:val="TextoNormalNegritaCaracter"/>
        </w:rPr>
        <w:t>Artículo 84.</w:t>
      </w:r>
      <w:r w:rsidRPr="00E27756">
        <w:rPr>
          <w:rStyle w:val="TextoNormalCaracter"/>
        </w:rPr>
        <w:t>-</w:t>
      </w:r>
      <w:r>
        <w:t xml:space="preserve"> Sentencia </w:t>
      </w:r>
      <w:hyperlink w:anchor="SENTENCIA_2013_103" w:history="1">
        <w:r w:rsidRPr="00E27756">
          <w:rPr>
            <w:rStyle w:val="TextoNormalCaracter"/>
          </w:rPr>
          <w:t>103/2013</w:t>
        </w:r>
      </w:hyperlink>
      <w:r>
        <w:t>, f. 4.</w:t>
      </w:r>
    </w:p>
    <w:p w:rsidR="00E27756" w:rsidRDefault="00E27756" w:rsidP="00E27756">
      <w:pPr>
        <w:pStyle w:val="SangriaFrancesaArticulo"/>
      </w:pPr>
      <w:r w:rsidRPr="00E27756">
        <w:rPr>
          <w:rStyle w:val="TextoNormalNegritaCaracter"/>
        </w:rPr>
        <w:t>Artículo 87.2.</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103.</w:t>
      </w:r>
      <w:r w:rsidRPr="00E27756">
        <w:rPr>
          <w:rStyle w:val="TextoNormalCaracter"/>
        </w:rPr>
        <w:t>-</w:t>
      </w:r>
      <w:r>
        <w:t xml:space="preserve"> Sentencia </w:t>
      </w:r>
      <w:hyperlink w:anchor="SENTENCIA_2013_18" w:history="1">
        <w:r w:rsidRPr="00E27756">
          <w:rPr>
            <w:rStyle w:val="TextoNormalCaracter"/>
          </w:rPr>
          <w:t>18/2013</w:t>
        </w:r>
      </w:hyperlink>
      <w:r>
        <w:t>, f. 3.</w:t>
      </w:r>
    </w:p>
    <w:p w:rsidR="00E27756" w:rsidRDefault="00E27756" w:rsidP="00E27756">
      <w:pPr>
        <w:pStyle w:val="SangriaFrancesaArticulo"/>
      </w:pPr>
      <w:r w:rsidRPr="00E27756">
        <w:rPr>
          <w:rStyle w:val="TextoNormalNegritaCaracter"/>
        </w:rPr>
        <w:t>Artículo 103.1.</w:t>
      </w:r>
      <w:r w:rsidRPr="00E27756">
        <w:rPr>
          <w:rStyle w:val="TextoNormalCaracter"/>
        </w:rPr>
        <w:t>-</w:t>
      </w:r>
      <w:r>
        <w:t xml:space="preserve"> Sentencia </w:t>
      </w:r>
      <w:hyperlink w:anchor="SENTENCIA_2013_18" w:history="1">
        <w:r w:rsidRPr="00E27756">
          <w:rPr>
            <w:rStyle w:val="TextoNormalCaracter"/>
          </w:rPr>
          <w:t>18/2013</w:t>
        </w:r>
      </w:hyperlink>
      <w:r>
        <w:t>, f. 3.</w:t>
      </w:r>
    </w:p>
    <w:p w:rsidR="00E27756" w:rsidRDefault="00E27756" w:rsidP="00E27756">
      <w:pPr>
        <w:pStyle w:val="SangriaFrancesaArticulo"/>
      </w:pPr>
      <w:r w:rsidRPr="00E27756">
        <w:rPr>
          <w:rStyle w:val="TextoNormalNegritaCaracter"/>
        </w:rPr>
        <w:t>Artículo 103.2.</w:t>
      </w:r>
      <w:r w:rsidRPr="00E27756">
        <w:rPr>
          <w:rStyle w:val="TextoNormalCaracter"/>
        </w:rPr>
        <w:t>-</w:t>
      </w:r>
      <w:r>
        <w:t xml:space="preserve"> Sentencia </w:t>
      </w:r>
      <w:hyperlink w:anchor="SENTENCIA_2013_18" w:history="1">
        <w:r w:rsidRPr="00E27756">
          <w:rPr>
            <w:rStyle w:val="TextoNormalCaracter"/>
          </w:rPr>
          <w:t>18/2013</w:t>
        </w:r>
      </w:hyperlink>
      <w:r>
        <w:t>, f. 3.</w:t>
      </w:r>
    </w:p>
    <w:p w:rsidR="00E27756" w:rsidRDefault="00E27756" w:rsidP="00E27756">
      <w:pPr>
        <w:pStyle w:val="SangriaFrancesaArticulo"/>
      </w:pPr>
      <w:r w:rsidRPr="00E27756">
        <w:rPr>
          <w:rStyle w:val="TextoNormalNegritaCaracter"/>
        </w:rPr>
        <w:t>Artículo 110.</w:t>
      </w:r>
      <w:r w:rsidRPr="00E27756">
        <w:rPr>
          <w:rStyle w:val="TextoNormalCaracter"/>
        </w:rPr>
        <w:t>-</w:t>
      </w:r>
      <w:r>
        <w:t xml:space="preserve"> Sentencias </w:t>
      </w:r>
      <w:hyperlink w:anchor="SENTENCIA_2013_24" w:history="1">
        <w:r w:rsidRPr="00E27756">
          <w:rPr>
            <w:rStyle w:val="TextoNormalCaracter"/>
          </w:rPr>
          <w:t>24/2013</w:t>
        </w:r>
      </w:hyperlink>
      <w:r>
        <w:t xml:space="preserve">, f. 3; </w:t>
      </w:r>
      <w:hyperlink w:anchor="SENTENCIA_2013_47" w:history="1">
        <w:r w:rsidRPr="00E27756">
          <w:rPr>
            <w:rStyle w:val="TextoNormalCaracter"/>
          </w:rPr>
          <w:t>47/2013</w:t>
        </w:r>
      </w:hyperlink>
      <w:r>
        <w:t>, f. 3.</w:t>
      </w:r>
    </w:p>
    <w:p w:rsidR="00E27756" w:rsidRDefault="00E27756" w:rsidP="00E27756">
      <w:pPr>
        <w:pStyle w:val="SangriaFrancesaArticulo"/>
      </w:pPr>
      <w:r w:rsidRPr="00E27756">
        <w:rPr>
          <w:rStyle w:val="TextoNormalNegritaCaracter"/>
        </w:rPr>
        <w:t>Artículo 111.</w:t>
      </w:r>
      <w:r w:rsidRPr="00E27756">
        <w:rPr>
          <w:rStyle w:val="TextoNormalCaracter"/>
        </w:rPr>
        <w:t>-</w:t>
      </w:r>
      <w:r>
        <w:t xml:space="preserve"> Sentencias </w:t>
      </w:r>
      <w:hyperlink w:anchor="SENTENCIA_2013_24" w:history="1">
        <w:r w:rsidRPr="00E27756">
          <w:rPr>
            <w:rStyle w:val="TextoNormalCaracter"/>
          </w:rPr>
          <w:t>24/2013</w:t>
        </w:r>
      </w:hyperlink>
      <w:r>
        <w:t xml:space="preserve">, f. 3; </w:t>
      </w:r>
      <w:hyperlink w:anchor="SENTENCIA_2013_25" w:history="1">
        <w:r w:rsidRPr="00E27756">
          <w:rPr>
            <w:rStyle w:val="TextoNormalCaracter"/>
          </w:rPr>
          <w:t>25/2013</w:t>
        </w:r>
      </w:hyperlink>
      <w:r>
        <w:t xml:space="preserve">, ff. 3, 4; </w:t>
      </w:r>
      <w:hyperlink w:anchor="SENTENCIA_2013_131" w:history="1">
        <w:r w:rsidRPr="00E27756">
          <w:rPr>
            <w:rStyle w:val="TextoNormalCaracter"/>
          </w:rPr>
          <w:t>131/2013</w:t>
        </w:r>
      </w:hyperlink>
      <w:r>
        <w:t>, f. 6.</w:t>
      </w:r>
    </w:p>
    <w:p w:rsidR="00E27756" w:rsidRDefault="00E27756" w:rsidP="00E27756">
      <w:pPr>
        <w:pStyle w:val="SangriaFrancesaArticulo"/>
      </w:pPr>
      <w:r w:rsidRPr="00E27756">
        <w:rPr>
          <w:rStyle w:val="TextoNormalNegritaCaracter"/>
        </w:rPr>
        <w:t>Artículo 112.</w:t>
      </w:r>
      <w:r w:rsidRPr="00E27756">
        <w:rPr>
          <w:rStyle w:val="TextoNormalCaracter"/>
        </w:rPr>
        <w:t>-</w:t>
      </w:r>
      <w:r>
        <w:t xml:space="preserve"> Sentencia </w:t>
      </w:r>
      <w:hyperlink w:anchor="SENTENCIA_2013_14" w:history="1">
        <w:r w:rsidRPr="00E27756">
          <w:rPr>
            <w:rStyle w:val="TextoNormalCaracter"/>
          </w:rPr>
          <w:t>14/2013</w:t>
        </w:r>
      </w:hyperlink>
      <w:r>
        <w:t>, f. 6.</w:t>
      </w:r>
    </w:p>
    <w:p w:rsidR="00E27756" w:rsidRDefault="00E27756" w:rsidP="00E27756">
      <w:pPr>
        <w:pStyle w:val="SangriaFrancesaArticulo"/>
      </w:pPr>
      <w:r w:rsidRPr="00E27756">
        <w:rPr>
          <w:rStyle w:val="TextoNormalNegritaCaracter"/>
        </w:rPr>
        <w:t>Artículo 116.</w:t>
      </w:r>
      <w:r w:rsidRPr="00E27756">
        <w:rPr>
          <w:rStyle w:val="TextoNormalCaracter"/>
        </w:rPr>
        <w:t>-</w:t>
      </w:r>
      <w:r>
        <w:t xml:space="preserve"> Sentencia </w:t>
      </w:r>
      <w:hyperlink w:anchor="SENTENCIA_2013_34" w:history="1">
        <w:r w:rsidRPr="00E27756">
          <w:rPr>
            <w:rStyle w:val="TextoNormalCaracter"/>
          </w:rPr>
          <w:t>34/2013</w:t>
        </w:r>
      </w:hyperlink>
      <w:r>
        <w:t>, f. 2.</w:t>
      </w:r>
    </w:p>
    <w:p w:rsidR="00E27756" w:rsidRDefault="00E27756" w:rsidP="00E27756">
      <w:pPr>
        <w:pStyle w:val="SangriaFrancesaArticulo"/>
      </w:pPr>
      <w:r w:rsidRPr="00E27756">
        <w:rPr>
          <w:rStyle w:val="TextoNormalNegritaCaracter"/>
        </w:rPr>
        <w:t>Artículo 116.1.</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r w:rsidRPr="00E27756">
        <w:rPr>
          <w:rStyle w:val="TextoNormalNegritaCaracter"/>
        </w:rPr>
        <w:t>Artículo 116.2 b).</w:t>
      </w:r>
      <w:r w:rsidRPr="00E27756">
        <w:rPr>
          <w:rStyle w:val="TextoNormalCaracter"/>
        </w:rPr>
        <w:t>-</w:t>
      </w:r>
      <w:r>
        <w:t xml:space="preserve"> Sentencia </w:t>
      </w:r>
      <w:hyperlink w:anchor="SENTENCIA_2013_49" w:history="1">
        <w:r w:rsidRPr="00E27756">
          <w:rPr>
            <w:rStyle w:val="TextoNormalCaracter"/>
          </w:rPr>
          <w:t>49/2013</w:t>
        </w:r>
      </w:hyperlink>
      <w:r>
        <w:t>, ff. 5, 12.</w:t>
      </w:r>
    </w:p>
    <w:p w:rsidR="00E27756" w:rsidRDefault="00E27756" w:rsidP="00E27756">
      <w:pPr>
        <w:pStyle w:val="SangriaFrancesaArticulo"/>
      </w:pPr>
      <w:r w:rsidRPr="00E27756">
        <w:rPr>
          <w:rStyle w:val="TextoNormalNegritaCaracter"/>
        </w:rPr>
        <w:t>Artículo 121.</w:t>
      </w:r>
      <w:r w:rsidRPr="00E27756">
        <w:rPr>
          <w:rStyle w:val="TextoNormalCaracter"/>
        </w:rPr>
        <w:t>-</w:t>
      </w:r>
      <w:r>
        <w:t xml:space="preserve"> Auto </w:t>
      </w:r>
      <w:hyperlink w:anchor="AUTO_2013_146" w:history="1">
        <w:r w:rsidRPr="00E27756">
          <w:rPr>
            <w:rStyle w:val="TextoNormalCaracter"/>
          </w:rPr>
          <w:t>146/2013</w:t>
        </w:r>
      </w:hyperlink>
      <w:r>
        <w:t>, f. 3.</w:t>
      </w:r>
    </w:p>
    <w:p w:rsidR="00E27756" w:rsidRDefault="00E27756" w:rsidP="00E27756">
      <w:pPr>
        <w:pStyle w:val="SangriaFrancesaArticulo"/>
      </w:pPr>
      <w:r w:rsidRPr="00E27756">
        <w:rPr>
          <w:rStyle w:val="TextoNormalNegritaCaracter"/>
        </w:rPr>
        <w:t>Artículo 125.</w:t>
      </w:r>
      <w:r w:rsidRPr="00E27756">
        <w:rPr>
          <w:rStyle w:val="TextoNormalCaracter"/>
        </w:rPr>
        <w:t>-</w:t>
      </w:r>
      <w:r>
        <w:t xml:space="preserve"> Sentencia </w:t>
      </w:r>
      <w:hyperlink w:anchor="SENTENCIA_2013_89" w:history="1">
        <w:r w:rsidRPr="00E27756">
          <w:rPr>
            <w:rStyle w:val="TextoNormalCaracter"/>
          </w:rPr>
          <w:t>89/2013</w:t>
        </w:r>
      </w:hyperlink>
      <w:r>
        <w:t>, f. 3.</w:t>
      </w:r>
    </w:p>
    <w:p w:rsidR="00E27756" w:rsidRDefault="00E27756" w:rsidP="00E27756">
      <w:pPr>
        <w:pStyle w:val="SangriaFrancesaArticulo"/>
      </w:pPr>
      <w:r w:rsidRPr="00E27756">
        <w:rPr>
          <w:rStyle w:val="TextoNormalNegritaCaracter"/>
        </w:rPr>
        <w:t>Artículo 125.1.</w:t>
      </w:r>
      <w:r w:rsidRPr="00E27756">
        <w:rPr>
          <w:rStyle w:val="TextoNormalCaracter"/>
        </w:rPr>
        <w:t>-</w:t>
      </w:r>
      <w:r>
        <w:t xml:space="preserve"> Sentencia </w:t>
      </w:r>
      <w:hyperlink w:anchor="SENTENCIA_2013_89" w:history="1">
        <w:r w:rsidRPr="00E27756">
          <w:rPr>
            <w:rStyle w:val="TextoNormalCaracter"/>
          </w:rPr>
          <w:t>89/2013</w:t>
        </w:r>
      </w:hyperlink>
      <w:r>
        <w:t>, f. 3.</w:t>
      </w:r>
    </w:p>
    <w:p w:rsidR="00E27756" w:rsidRDefault="00E27756" w:rsidP="00E27756">
      <w:pPr>
        <w:pStyle w:val="SangriaFrancesaArticulo"/>
      </w:pPr>
      <w:r w:rsidRPr="00E27756">
        <w:rPr>
          <w:rStyle w:val="TextoNormalNegritaCaracter"/>
        </w:rPr>
        <w:t>Artículo 125.4.</w:t>
      </w:r>
      <w:r w:rsidRPr="00E27756">
        <w:rPr>
          <w:rStyle w:val="TextoNormalCaracter"/>
        </w:rPr>
        <w:t>-</w:t>
      </w:r>
      <w:r>
        <w:t xml:space="preserve"> Sentencia </w:t>
      </w:r>
      <w:hyperlink w:anchor="SENTENCIA_2013_89" w:history="1">
        <w:r w:rsidRPr="00E27756">
          <w:rPr>
            <w:rStyle w:val="TextoNormalCaracter"/>
          </w:rPr>
          <w:t>89/2013</w:t>
        </w:r>
      </w:hyperlink>
      <w:r>
        <w:t>, f. 3.</w:t>
      </w:r>
    </w:p>
    <w:p w:rsidR="00E27756" w:rsidRDefault="00E27756" w:rsidP="00E27756">
      <w:pPr>
        <w:pStyle w:val="SangriaFrancesaArticulo"/>
      </w:pPr>
      <w:r w:rsidRPr="00E27756">
        <w:rPr>
          <w:rStyle w:val="TextoNormalNegritaCaracter"/>
        </w:rPr>
        <w:t>Artículo 127.1 c).</w:t>
      </w:r>
      <w:r w:rsidRPr="00E27756">
        <w:rPr>
          <w:rStyle w:val="TextoNormalCaracter"/>
        </w:rPr>
        <w:t>-</w:t>
      </w:r>
      <w:r>
        <w:t xml:space="preserve"> Sentencia </w:t>
      </w:r>
      <w:hyperlink w:anchor="SENTENCIA_2013_14" w:history="1">
        <w:r w:rsidRPr="00E27756">
          <w:rPr>
            <w:rStyle w:val="TextoNormalCaracter"/>
          </w:rPr>
          <w:t>14/2013</w:t>
        </w:r>
      </w:hyperlink>
      <w:r>
        <w:t>, ff. 2, 5.</w:t>
      </w:r>
    </w:p>
    <w:p w:rsidR="00E27756" w:rsidRDefault="00E27756" w:rsidP="00E27756">
      <w:pPr>
        <w:pStyle w:val="SangriaFrancesaArticulo"/>
      </w:pPr>
      <w:r w:rsidRPr="00E27756">
        <w:rPr>
          <w:rStyle w:val="TextoNormalNegritaCaracter"/>
        </w:rPr>
        <w:t>Artículo 127.2.</w:t>
      </w:r>
      <w:r w:rsidRPr="00E27756">
        <w:rPr>
          <w:rStyle w:val="TextoNormalCaracter"/>
        </w:rPr>
        <w:t>-</w:t>
      </w:r>
      <w:r>
        <w:t xml:space="preserve"> Sentencias </w:t>
      </w:r>
      <w:hyperlink w:anchor="SENTENCIA_2013_14" w:history="1">
        <w:r w:rsidRPr="00E27756">
          <w:rPr>
            <w:rStyle w:val="TextoNormalCaracter"/>
          </w:rPr>
          <w:t>14/2013</w:t>
        </w:r>
      </w:hyperlink>
      <w:r>
        <w:t xml:space="preserve">, ff. 2, 4, 6; </w:t>
      </w:r>
      <w:hyperlink w:anchor="SENTENCIA_2013_20" w:history="1">
        <w:r w:rsidRPr="00E27756">
          <w:rPr>
            <w:rStyle w:val="TextoNormalCaracter"/>
          </w:rPr>
          <w:t>20/2013</w:t>
        </w:r>
      </w:hyperlink>
      <w:r>
        <w:t xml:space="preserve">, f. 5; </w:t>
      </w:r>
      <w:hyperlink w:anchor="SENTENCIA_2013_38" w:history="1">
        <w:r w:rsidRPr="00E27756">
          <w:rPr>
            <w:rStyle w:val="TextoNormalCaracter"/>
          </w:rPr>
          <w:t>38/2013</w:t>
        </w:r>
      </w:hyperlink>
      <w:r>
        <w:t xml:space="preserve">, f. 4; </w:t>
      </w:r>
      <w:hyperlink w:anchor="SENTENCIA_2013_66" w:history="1">
        <w:r w:rsidRPr="00E27756">
          <w:rPr>
            <w:rStyle w:val="TextoNormalCaracter"/>
          </w:rPr>
          <w:t>66/2013</w:t>
        </w:r>
      </w:hyperlink>
      <w:r>
        <w:t>, ff. 3, 4.</w:t>
      </w:r>
    </w:p>
    <w:p w:rsidR="00E27756" w:rsidRDefault="00E27756" w:rsidP="00E27756">
      <w:pPr>
        <w:pStyle w:val="SangriaFrancesaArticulo"/>
      </w:pPr>
      <w:r w:rsidRPr="00E27756">
        <w:rPr>
          <w:rStyle w:val="TextoNormalNegritaCaracter"/>
        </w:rPr>
        <w:t>Artículo 128.</w:t>
      </w:r>
      <w:r w:rsidRPr="00E27756">
        <w:rPr>
          <w:rStyle w:val="TextoNormalCaracter"/>
        </w:rPr>
        <w:t>-</w:t>
      </w:r>
      <w:r>
        <w:t xml:space="preserve"> Sentencias </w:t>
      </w:r>
      <w:hyperlink w:anchor="SENTENCIA_2013_34" w:history="1">
        <w:r w:rsidRPr="00E27756">
          <w:rPr>
            <w:rStyle w:val="TextoNormalCaracter"/>
          </w:rPr>
          <w:t>34/2013</w:t>
        </w:r>
      </w:hyperlink>
      <w:r>
        <w:t xml:space="preserve">, ff. 5, VP I; </w:t>
      </w:r>
      <w:hyperlink w:anchor="SENTENCIA_2013_34" w:history="1">
        <w:r w:rsidRPr="00E27756">
          <w:rPr>
            <w:rStyle w:val="TextoNormalCaracter"/>
          </w:rPr>
          <w:t>34/2013</w:t>
        </w:r>
      </w:hyperlink>
      <w:r>
        <w:t>, f. 3.</w:t>
      </w:r>
    </w:p>
    <w:p w:rsidR="00E27756" w:rsidRDefault="00E27756" w:rsidP="00E27756">
      <w:pPr>
        <w:pStyle w:val="SangriaFrancesaArticulo"/>
      </w:pPr>
      <w:r w:rsidRPr="00E27756">
        <w:rPr>
          <w:rStyle w:val="TextoNormalNegritaCaracter"/>
        </w:rPr>
        <w:lastRenderedPageBreak/>
        <w:t>Artículo 128.1.</w:t>
      </w:r>
      <w:r w:rsidRPr="00E27756">
        <w:rPr>
          <w:rStyle w:val="TextoNormalCaracter"/>
        </w:rPr>
        <w:t>-</w:t>
      </w:r>
      <w:r>
        <w:t xml:space="preserve"> Sentencia </w:t>
      </w:r>
      <w:hyperlink w:anchor="SENTENCIA_2013_34" w:history="1">
        <w:r w:rsidRPr="00E27756">
          <w:rPr>
            <w:rStyle w:val="TextoNormalCaracter"/>
          </w:rPr>
          <w:t>34/2013</w:t>
        </w:r>
      </w:hyperlink>
      <w:r>
        <w:t>, f. 3.</w:t>
      </w:r>
    </w:p>
    <w:p w:rsidR="00E27756" w:rsidRDefault="00E27756" w:rsidP="00E27756">
      <w:pPr>
        <w:pStyle w:val="SangriaFrancesaArticulo"/>
      </w:pPr>
      <w:r w:rsidRPr="00E27756">
        <w:rPr>
          <w:rStyle w:val="TextoNormalNegritaCaracter"/>
        </w:rPr>
        <w:t>Artículo 128.4.</w:t>
      </w:r>
      <w:r w:rsidRPr="00E27756">
        <w:rPr>
          <w:rStyle w:val="TextoNormalCaracter"/>
        </w:rPr>
        <w:t>-</w:t>
      </w:r>
      <w:r>
        <w:t xml:space="preserve"> Sentencia </w:t>
      </w:r>
      <w:hyperlink w:anchor="SENTENCIA_2013_34" w:history="1">
        <w:r w:rsidRPr="00E27756">
          <w:rPr>
            <w:rStyle w:val="TextoNormalCaracter"/>
          </w:rPr>
          <w:t>34/2013</w:t>
        </w:r>
      </w:hyperlink>
      <w:r>
        <w:t>, f. 4.</w:t>
      </w:r>
    </w:p>
    <w:p w:rsidR="00E27756" w:rsidRDefault="00E27756" w:rsidP="00E27756">
      <w:pPr>
        <w:pStyle w:val="SangriaFrancesaArticulo"/>
      </w:pPr>
      <w:r w:rsidRPr="00E27756">
        <w:rPr>
          <w:rStyle w:val="TextoNormalNegritaCaracter"/>
        </w:rPr>
        <w:t>Artículo 131.</w:t>
      </w:r>
      <w:r w:rsidRPr="00E27756">
        <w:rPr>
          <w:rStyle w:val="TextoNormalCaracter"/>
        </w:rPr>
        <w:t>-</w:t>
      </w:r>
      <w:r>
        <w:t xml:space="preserve"> Sentencias </w:t>
      </w:r>
      <w:hyperlink w:anchor="SENTENCIA_2013_15" w:history="1">
        <w:r w:rsidRPr="00E27756">
          <w:rPr>
            <w:rStyle w:val="TextoNormalCaracter"/>
          </w:rPr>
          <w:t>15/2013</w:t>
        </w:r>
      </w:hyperlink>
      <w:r>
        <w:t xml:space="preserve">, f. 3; </w:t>
      </w:r>
      <w:hyperlink w:anchor="SENTENCIA_2013_25" w:history="1">
        <w:r w:rsidRPr="00E27756">
          <w:rPr>
            <w:rStyle w:val="TextoNormalCaracter"/>
          </w:rPr>
          <w:t>25/2013</w:t>
        </w:r>
      </w:hyperlink>
      <w:r>
        <w:t xml:space="preserve">, f. 3; </w:t>
      </w:r>
      <w:hyperlink w:anchor="SENTENCIA_2013_48" w:history="1">
        <w:r w:rsidRPr="00E27756">
          <w:rPr>
            <w:rStyle w:val="TextoNormalCaracter"/>
          </w:rPr>
          <w:t>48/2013</w:t>
        </w:r>
      </w:hyperlink>
      <w:r>
        <w:t>, f. 3.</w:t>
      </w:r>
    </w:p>
    <w:p w:rsidR="00E27756" w:rsidRDefault="00E27756" w:rsidP="00E27756">
      <w:pPr>
        <w:pStyle w:val="SangriaFrancesaArticulo"/>
      </w:pPr>
      <w:r w:rsidRPr="00E27756">
        <w:rPr>
          <w:rStyle w:val="TextoNormalNegritaCaracter"/>
        </w:rPr>
        <w:t>Artículo 131.1.</w:t>
      </w:r>
      <w:r w:rsidRPr="00E27756">
        <w:rPr>
          <w:rStyle w:val="TextoNormalCaracter"/>
        </w:rPr>
        <w:t>-</w:t>
      </w:r>
      <w:r>
        <w:t xml:space="preserve"> Sentencias </w:t>
      </w:r>
      <w:hyperlink w:anchor="SENTENCIA_2013_15" w:history="1">
        <w:r w:rsidRPr="00E27756">
          <w:rPr>
            <w:rStyle w:val="TextoNormalCaracter"/>
          </w:rPr>
          <w:t>15/2013</w:t>
        </w:r>
      </w:hyperlink>
      <w:r>
        <w:t xml:space="preserve">, f. 3; </w:t>
      </w:r>
      <w:hyperlink w:anchor="SENTENCIA_2013_24" w:history="1">
        <w:r w:rsidRPr="00E27756">
          <w:rPr>
            <w:rStyle w:val="TextoNormalCaracter"/>
          </w:rPr>
          <w:t>24/2013</w:t>
        </w:r>
      </w:hyperlink>
      <w:r>
        <w:t xml:space="preserve">, f. 3; </w:t>
      </w:r>
      <w:hyperlink w:anchor="SENTENCIA_2013_25" w:history="1">
        <w:r w:rsidRPr="00E27756">
          <w:rPr>
            <w:rStyle w:val="TextoNormalCaracter"/>
          </w:rPr>
          <w:t>25/2013</w:t>
        </w:r>
      </w:hyperlink>
      <w:r>
        <w:t xml:space="preserve">, f. 3; </w:t>
      </w:r>
      <w:hyperlink w:anchor="SENTENCIA_2013_47" w:history="1">
        <w:r w:rsidRPr="00E27756">
          <w:rPr>
            <w:rStyle w:val="TextoNormalCaracter"/>
          </w:rPr>
          <w:t>47/2013</w:t>
        </w:r>
      </w:hyperlink>
      <w:r>
        <w:t xml:space="preserve">, f. 3; </w:t>
      </w:r>
      <w:hyperlink w:anchor="SENTENCIA_2013_48" w:history="1">
        <w:r w:rsidRPr="00E27756">
          <w:rPr>
            <w:rStyle w:val="TextoNormalCaracter"/>
          </w:rPr>
          <w:t>48/2013</w:t>
        </w:r>
      </w:hyperlink>
      <w:r>
        <w:t>, f. 3.</w:t>
      </w:r>
    </w:p>
    <w:p w:rsidR="00E27756" w:rsidRDefault="00E27756" w:rsidP="00E27756">
      <w:pPr>
        <w:pStyle w:val="SangriaFrancesaArticulo"/>
      </w:pPr>
      <w:r w:rsidRPr="00E27756">
        <w:rPr>
          <w:rStyle w:val="TextoNormalNegritaCaracter"/>
        </w:rPr>
        <w:t>Artículo 131.1.2.</w:t>
      </w:r>
      <w:r w:rsidRPr="00E27756">
        <w:rPr>
          <w:rStyle w:val="TextoNormalCaracter"/>
        </w:rPr>
        <w:t>-</w:t>
      </w:r>
      <w:r>
        <w:t xml:space="preserve"> Sentencia </w:t>
      </w:r>
      <w:hyperlink w:anchor="SENTENCIA_2013_49" w:history="1">
        <w:r w:rsidRPr="00E27756">
          <w:rPr>
            <w:rStyle w:val="TextoNormalCaracter"/>
          </w:rPr>
          <w:t>49/2013</w:t>
        </w:r>
      </w:hyperlink>
      <w:r>
        <w:t>, f. 12.</w:t>
      </w:r>
    </w:p>
    <w:p w:rsidR="00E27756" w:rsidRDefault="00E27756" w:rsidP="00E27756">
      <w:pPr>
        <w:pStyle w:val="SangriaFrancesaArticulo"/>
      </w:pPr>
      <w:r w:rsidRPr="00E27756">
        <w:rPr>
          <w:rStyle w:val="TextoNormalNegritaCaracter"/>
        </w:rPr>
        <w:t>Artículo 131.2.</w:t>
      </w:r>
      <w:r w:rsidRPr="00E27756">
        <w:rPr>
          <w:rStyle w:val="TextoNormalCaracter"/>
        </w:rPr>
        <w:t>-</w:t>
      </w:r>
      <w:r>
        <w:t xml:space="preserve"> Sentencias </w:t>
      </w:r>
      <w:hyperlink w:anchor="SENTENCIA_2013_15" w:history="1">
        <w:r w:rsidRPr="00E27756">
          <w:rPr>
            <w:rStyle w:val="TextoNormalCaracter"/>
          </w:rPr>
          <w:t>15/2013</w:t>
        </w:r>
      </w:hyperlink>
      <w:r>
        <w:t xml:space="preserve">, f. 3; </w:t>
      </w:r>
      <w:hyperlink w:anchor="SENTENCIA_2013_25" w:history="1">
        <w:r w:rsidRPr="00E27756">
          <w:rPr>
            <w:rStyle w:val="TextoNormalCaracter"/>
          </w:rPr>
          <w:t>25/2013</w:t>
        </w:r>
      </w:hyperlink>
      <w:r>
        <w:t xml:space="preserve">, f. 3; </w:t>
      </w:r>
      <w:hyperlink w:anchor="SENTENCIA_2013_48" w:history="1">
        <w:r w:rsidRPr="00E27756">
          <w:rPr>
            <w:rStyle w:val="TextoNormalCaracter"/>
          </w:rPr>
          <w:t>48/2013</w:t>
        </w:r>
      </w:hyperlink>
      <w:r>
        <w:t>, f. 3.</w:t>
      </w:r>
    </w:p>
    <w:p w:rsidR="00E27756" w:rsidRDefault="00E27756" w:rsidP="00E27756">
      <w:pPr>
        <w:pStyle w:val="SangriaFrancesaArticulo"/>
      </w:pPr>
      <w:r w:rsidRPr="00E27756">
        <w:rPr>
          <w:rStyle w:val="TextoNormalNegritaCaracter"/>
        </w:rPr>
        <w:t>Artículo 131.3.</w:t>
      </w:r>
      <w:r w:rsidRPr="00E27756">
        <w:rPr>
          <w:rStyle w:val="TextoNormalCaracter"/>
        </w:rPr>
        <w:t>-</w:t>
      </w:r>
      <w:r>
        <w:t xml:space="preserve"> Sentencias </w:t>
      </w:r>
      <w:hyperlink w:anchor="SENTENCIA_2013_15" w:history="1">
        <w:r w:rsidRPr="00E27756">
          <w:rPr>
            <w:rStyle w:val="TextoNormalCaracter"/>
          </w:rPr>
          <w:t>15/2013</w:t>
        </w:r>
      </w:hyperlink>
      <w:r>
        <w:t xml:space="preserve">, f. 3; </w:t>
      </w:r>
      <w:hyperlink w:anchor="SENTENCIA_2013_25" w:history="1">
        <w:r w:rsidRPr="00E27756">
          <w:rPr>
            <w:rStyle w:val="TextoNormalCaracter"/>
          </w:rPr>
          <w:t>25/2013</w:t>
        </w:r>
      </w:hyperlink>
      <w:r>
        <w:t xml:space="preserve">, f. 3; </w:t>
      </w:r>
      <w:hyperlink w:anchor="SENTENCIA_2013_48" w:history="1">
        <w:r w:rsidRPr="00E27756">
          <w:rPr>
            <w:rStyle w:val="TextoNormalCaracter"/>
          </w:rPr>
          <w:t>48/2013</w:t>
        </w:r>
      </w:hyperlink>
      <w:r>
        <w:t>, f. 3.</w:t>
      </w:r>
    </w:p>
    <w:p w:rsidR="00E27756" w:rsidRDefault="00E27756" w:rsidP="00E27756">
      <w:pPr>
        <w:pStyle w:val="SangriaFrancesaArticulo"/>
      </w:pPr>
      <w:r w:rsidRPr="00E27756">
        <w:rPr>
          <w:rStyle w:val="TextoNormalNegritaCaracter"/>
        </w:rPr>
        <w:t>Artículo 131.3 c).</w:t>
      </w:r>
      <w:r w:rsidRPr="00E27756">
        <w:rPr>
          <w:rStyle w:val="TextoNormalCaracter"/>
        </w:rPr>
        <w:t>-</w:t>
      </w:r>
      <w:r>
        <w:t xml:space="preserve"> Sentencia </w:t>
      </w:r>
      <w:hyperlink w:anchor="SENTENCIA_2013_24" w:history="1">
        <w:r w:rsidRPr="00E27756">
          <w:rPr>
            <w:rStyle w:val="TextoNormalCaracter"/>
          </w:rPr>
          <w:t>24/2013</w:t>
        </w:r>
      </w:hyperlink>
      <w:r>
        <w:t>, f. 3.</w:t>
      </w:r>
    </w:p>
    <w:p w:rsidR="00E27756" w:rsidRDefault="00E27756" w:rsidP="00E27756">
      <w:pPr>
        <w:pStyle w:val="SangriaFrancesaArticulo"/>
      </w:pPr>
      <w:r w:rsidRPr="00E27756">
        <w:rPr>
          <w:rStyle w:val="TextoNormalNegritaCaracter"/>
        </w:rPr>
        <w:t>Artículo 131.4.</w:t>
      </w:r>
      <w:r w:rsidRPr="00E27756">
        <w:rPr>
          <w:rStyle w:val="TextoNormalCaracter"/>
        </w:rPr>
        <w:t>-</w:t>
      </w:r>
      <w:r>
        <w:t xml:space="preserve"> Sentencia </w:t>
      </w:r>
      <w:hyperlink w:anchor="SENTENCIA_2013_25" w:history="1">
        <w:r w:rsidRPr="00E27756">
          <w:rPr>
            <w:rStyle w:val="TextoNormalCaracter"/>
          </w:rPr>
          <w:t>25/2013</w:t>
        </w:r>
      </w:hyperlink>
      <w:r>
        <w:t>, f. 3.</w:t>
      </w:r>
    </w:p>
    <w:p w:rsidR="00E27756" w:rsidRDefault="00E27756" w:rsidP="00E27756">
      <w:pPr>
        <w:pStyle w:val="SangriaFrancesaArticulo"/>
      </w:pPr>
      <w:r w:rsidRPr="00E27756">
        <w:rPr>
          <w:rStyle w:val="TextoNormalNegritaCaracter"/>
        </w:rPr>
        <w:t>Artículo 132.2.</w:t>
      </w:r>
      <w:r w:rsidRPr="00E27756">
        <w:rPr>
          <w:rStyle w:val="TextoNormalCaracter"/>
        </w:rPr>
        <w:t>-</w:t>
      </w:r>
      <w:r>
        <w:t xml:space="preserve"> Sentencia </w:t>
      </w:r>
      <w:hyperlink w:anchor="SENTENCIA_2013_47" w:history="1">
        <w:r w:rsidRPr="00E27756">
          <w:rPr>
            <w:rStyle w:val="TextoNormalCaracter"/>
          </w:rPr>
          <w:t>47/2013</w:t>
        </w:r>
      </w:hyperlink>
      <w:r>
        <w:t>, f. 3.</w:t>
      </w:r>
    </w:p>
    <w:p w:rsidR="00E27756" w:rsidRDefault="00E27756" w:rsidP="00E27756">
      <w:pPr>
        <w:pStyle w:val="SangriaFrancesaArticulo"/>
      </w:pPr>
      <w:r w:rsidRPr="00E27756">
        <w:rPr>
          <w:rStyle w:val="TextoNormalNegritaCaracter"/>
        </w:rPr>
        <w:t>Artículo 136 a).</w:t>
      </w:r>
      <w:r w:rsidRPr="00E27756">
        <w:rPr>
          <w:rStyle w:val="TextoNormalCaracter"/>
        </w:rPr>
        <w:t>-</w:t>
      </w:r>
      <w:r>
        <w:t xml:space="preserve"> Sentencia </w:t>
      </w:r>
      <w:hyperlink w:anchor="SENTENCIA_2013_7" w:history="1">
        <w:r w:rsidRPr="00E27756">
          <w:rPr>
            <w:rStyle w:val="TextoNormalCaracter"/>
          </w:rPr>
          <w:t>7/2013</w:t>
        </w:r>
      </w:hyperlink>
      <w:r>
        <w:t>, ff. 3 a 5.</w:t>
      </w:r>
    </w:p>
    <w:p w:rsidR="00E27756" w:rsidRDefault="00E27756" w:rsidP="00E27756">
      <w:pPr>
        <w:pStyle w:val="SangriaFrancesaArticulo"/>
      </w:pPr>
      <w:r w:rsidRPr="00E27756">
        <w:rPr>
          <w:rStyle w:val="TextoNormalNegritaCaracter"/>
        </w:rPr>
        <w:t>Artículo 136 b).</w:t>
      </w:r>
      <w:r w:rsidRPr="00E27756">
        <w:rPr>
          <w:rStyle w:val="TextoNormalCaracter"/>
        </w:rPr>
        <w:t>-</w:t>
      </w:r>
      <w:r>
        <w:t xml:space="preserve"> Sentencia </w:t>
      </w:r>
      <w:hyperlink w:anchor="SENTENCIA_2013_7" w:history="1">
        <w:r w:rsidRPr="00E27756">
          <w:rPr>
            <w:rStyle w:val="TextoNormalCaracter"/>
          </w:rPr>
          <w:t>7/2013</w:t>
        </w:r>
      </w:hyperlink>
      <w:r>
        <w:t>, ff. 3 a 5.</w:t>
      </w:r>
    </w:p>
    <w:p w:rsidR="00E27756" w:rsidRDefault="00E27756" w:rsidP="00E27756">
      <w:pPr>
        <w:pStyle w:val="SangriaIzquierdaArticulo"/>
      </w:pPr>
      <w:r>
        <w:t xml:space="preserve">Autos </w:t>
      </w:r>
      <w:hyperlink w:anchor="AUTO_2013_85" w:history="1">
        <w:r w:rsidRPr="00E27756">
          <w:rPr>
            <w:rStyle w:val="TextoNormalCaracter"/>
          </w:rPr>
          <w:t>85/2013</w:t>
        </w:r>
      </w:hyperlink>
      <w:r>
        <w:t xml:space="preserve">, f. 4; </w:t>
      </w:r>
      <w:hyperlink w:anchor="AUTO_2013_125" w:history="1">
        <w:r w:rsidRPr="00E27756">
          <w:rPr>
            <w:rStyle w:val="TextoNormalCaracter"/>
          </w:rPr>
          <w:t>125/2013</w:t>
        </w:r>
      </w:hyperlink>
      <w:r>
        <w:t xml:space="preserve">, f. 2; </w:t>
      </w:r>
      <w:hyperlink w:anchor="AUTO_2013_127" w:history="1">
        <w:r w:rsidRPr="00E27756">
          <w:rPr>
            <w:rStyle w:val="TextoNormalCaracter"/>
          </w:rPr>
          <w:t>127/2013</w:t>
        </w:r>
      </w:hyperlink>
      <w:r>
        <w:t xml:space="preserve">, f. 2; </w:t>
      </w:r>
      <w:hyperlink w:anchor="AUTO_2013_128" w:history="1">
        <w:r w:rsidRPr="00E27756">
          <w:rPr>
            <w:rStyle w:val="TextoNormalCaracter"/>
          </w:rPr>
          <w:t>128/2013</w:t>
        </w:r>
      </w:hyperlink>
      <w:r>
        <w:t>, f. 2.</w:t>
      </w:r>
    </w:p>
    <w:p w:rsidR="00E27756" w:rsidRDefault="00E27756" w:rsidP="00E27756">
      <w:pPr>
        <w:pStyle w:val="SangriaFrancesaArticulo"/>
      </w:pPr>
      <w:r w:rsidRPr="00E27756">
        <w:rPr>
          <w:rStyle w:val="TextoNormalNegritaCaracter"/>
        </w:rPr>
        <w:t>Artículo 136 c).</w:t>
      </w:r>
      <w:r w:rsidRPr="00E27756">
        <w:rPr>
          <w:rStyle w:val="TextoNormalCaracter"/>
        </w:rPr>
        <w:t>-</w:t>
      </w:r>
      <w:r>
        <w:t xml:space="preserve"> Sentencia </w:t>
      </w:r>
      <w:hyperlink w:anchor="SENTENCIA_2013_7" w:history="1">
        <w:r w:rsidRPr="00E27756">
          <w:rPr>
            <w:rStyle w:val="TextoNormalCaracter"/>
          </w:rPr>
          <w:t>7/2013</w:t>
        </w:r>
      </w:hyperlink>
      <w:r>
        <w:t>, f. 3.</w:t>
      </w:r>
    </w:p>
    <w:p w:rsidR="00E27756" w:rsidRDefault="00E27756" w:rsidP="00E27756">
      <w:pPr>
        <w:pStyle w:val="SangriaFrancesaArticulo"/>
      </w:pPr>
      <w:r w:rsidRPr="00E27756">
        <w:rPr>
          <w:rStyle w:val="TextoNormalNegritaCaracter"/>
        </w:rPr>
        <w:t>Artículo 140.1.</w:t>
      </w:r>
      <w:r w:rsidRPr="00E27756">
        <w:rPr>
          <w:rStyle w:val="TextoNormalCaracter"/>
        </w:rPr>
        <w:t>-</w:t>
      </w:r>
      <w:r>
        <w:t xml:space="preserve"> Sentencia </w:t>
      </w:r>
      <w:hyperlink w:anchor="SENTENCIA_2013_5" w:history="1">
        <w:r w:rsidRPr="00E27756">
          <w:rPr>
            <w:rStyle w:val="TextoNormalCaracter"/>
          </w:rPr>
          <w:t>5/2013</w:t>
        </w:r>
      </w:hyperlink>
      <w:r>
        <w:t>, f. 3, VP.</w:t>
      </w:r>
    </w:p>
    <w:p w:rsidR="00E27756" w:rsidRDefault="00E27756" w:rsidP="00E27756">
      <w:pPr>
        <w:pStyle w:val="SangriaFrancesaArticulo"/>
      </w:pPr>
      <w:r w:rsidRPr="00E27756">
        <w:rPr>
          <w:rStyle w:val="TextoNormalNegritaCaracter"/>
        </w:rPr>
        <w:t>Artículo 144.1.</w:t>
      </w:r>
      <w:r w:rsidRPr="00E27756">
        <w:rPr>
          <w:rStyle w:val="TextoNormalCaracter"/>
        </w:rPr>
        <w:t>-</w:t>
      </w:r>
      <w:r>
        <w:t xml:space="preserve"> Sentencia </w:t>
      </w:r>
      <w:hyperlink w:anchor="SENTENCIA_2013_113" w:history="1">
        <w:r w:rsidRPr="00E27756">
          <w:rPr>
            <w:rStyle w:val="TextoNormalCaracter"/>
          </w:rPr>
          <w:t>113/2013</w:t>
        </w:r>
      </w:hyperlink>
      <w:r>
        <w:t>, f. 4.</w:t>
      </w:r>
    </w:p>
    <w:p w:rsidR="00E27756" w:rsidRDefault="00E27756" w:rsidP="00E27756">
      <w:pPr>
        <w:pStyle w:val="SangriaFrancesaArticulo"/>
      </w:pPr>
      <w:r w:rsidRPr="00E27756">
        <w:rPr>
          <w:rStyle w:val="TextoNormalNegritaCaracter"/>
        </w:rPr>
        <w:t>Artículo 144.1 h).</w:t>
      </w:r>
      <w:r w:rsidRPr="00E27756">
        <w:rPr>
          <w:rStyle w:val="TextoNormalCaracter"/>
        </w:rPr>
        <w:t>-</w:t>
      </w:r>
      <w:r>
        <w:t xml:space="preserve"> Sentencia </w:t>
      </w:r>
      <w:hyperlink w:anchor="SENTENCIA_2013_5" w:history="1">
        <w:r w:rsidRPr="00E27756">
          <w:rPr>
            <w:rStyle w:val="TextoNormalCaracter"/>
          </w:rPr>
          <w:t>5/2013</w:t>
        </w:r>
      </w:hyperlink>
      <w:r>
        <w:t>, f. 3.</w:t>
      </w:r>
    </w:p>
    <w:p w:rsidR="00E27756" w:rsidRDefault="00E27756" w:rsidP="00E27756">
      <w:pPr>
        <w:pStyle w:val="SangriaFrancesaArticulo"/>
      </w:pPr>
      <w:r w:rsidRPr="00E27756">
        <w:rPr>
          <w:rStyle w:val="TextoNormalNegritaCaracter"/>
        </w:rPr>
        <w:t>Artículo 149.1.16.</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r w:rsidRPr="00E27756">
        <w:rPr>
          <w:rStyle w:val="TextoNormalNegritaCaracter"/>
        </w:rPr>
        <w:t>Artículo 160.</w:t>
      </w:r>
      <w:r w:rsidRPr="00E27756">
        <w:rPr>
          <w:rStyle w:val="TextoNormalCaracter"/>
        </w:rPr>
        <w:t>-</w:t>
      </w:r>
      <w:r>
        <w:t xml:space="preserve"> Sentencia </w:t>
      </w:r>
      <w:hyperlink w:anchor="SENTENCIA_2013_103" w:history="1">
        <w:r w:rsidRPr="00E27756">
          <w:rPr>
            <w:rStyle w:val="TextoNormalCaracter"/>
          </w:rPr>
          <w:t>103/2013</w:t>
        </w:r>
      </w:hyperlink>
      <w:r>
        <w:t>, f. 4.</w:t>
      </w:r>
    </w:p>
    <w:p w:rsidR="00E27756" w:rsidRDefault="00E27756" w:rsidP="00E27756">
      <w:pPr>
        <w:pStyle w:val="SangriaFrancesaArticulo"/>
      </w:pPr>
      <w:r w:rsidRPr="00E27756">
        <w:rPr>
          <w:rStyle w:val="TextoNormalNegritaCaracter"/>
        </w:rPr>
        <w:t>Artículo 160.1.</w:t>
      </w:r>
      <w:r w:rsidRPr="00E27756">
        <w:rPr>
          <w:rStyle w:val="TextoNormalCaracter"/>
        </w:rPr>
        <w:t>-</w:t>
      </w:r>
      <w:r>
        <w:t xml:space="preserve"> Sentencia </w:t>
      </w:r>
      <w:hyperlink w:anchor="SENTENCIA_2013_103" w:history="1">
        <w:r w:rsidRPr="00E27756">
          <w:rPr>
            <w:rStyle w:val="TextoNormalCaracter"/>
          </w:rPr>
          <w:t>103/2013</w:t>
        </w:r>
      </w:hyperlink>
      <w:r>
        <w:t>, f. 4.</w:t>
      </w:r>
    </w:p>
    <w:p w:rsidR="00E27756" w:rsidRDefault="00E27756" w:rsidP="00E27756">
      <w:pPr>
        <w:pStyle w:val="SangriaFrancesaArticulo"/>
      </w:pPr>
      <w:r w:rsidRPr="00E27756">
        <w:rPr>
          <w:rStyle w:val="TextoNormalNegritaCaracter"/>
        </w:rPr>
        <w:t>Artículo 160.1 a).</w:t>
      </w:r>
      <w:r w:rsidRPr="00E27756">
        <w:rPr>
          <w:rStyle w:val="TextoNormalCaracter"/>
        </w:rPr>
        <w:t>-</w:t>
      </w:r>
      <w:r>
        <w:t xml:space="preserve"> Sentencia </w:t>
      </w:r>
      <w:hyperlink w:anchor="SENTENCIA_2013_7" w:history="1">
        <w:r w:rsidRPr="00E27756">
          <w:rPr>
            <w:rStyle w:val="TextoNormalCaracter"/>
          </w:rPr>
          <w:t>7/2013</w:t>
        </w:r>
      </w:hyperlink>
      <w:r>
        <w:t>, ff. 3 a 5.</w:t>
      </w:r>
    </w:p>
    <w:p w:rsidR="00E27756" w:rsidRDefault="00E27756" w:rsidP="00E27756">
      <w:pPr>
        <w:pStyle w:val="SangriaFrancesaArticulo"/>
      </w:pPr>
      <w:r w:rsidRPr="00E27756">
        <w:rPr>
          <w:rStyle w:val="TextoNormalNegritaCaracter"/>
        </w:rPr>
        <w:t>Artículo 160.2.</w:t>
      </w:r>
      <w:r w:rsidRPr="00E27756">
        <w:rPr>
          <w:rStyle w:val="TextoNormalCaracter"/>
        </w:rPr>
        <w:t>-</w:t>
      </w:r>
      <w:r>
        <w:t xml:space="preserve"> Sentencias </w:t>
      </w:r>
      <w:hyperlink w:anchor="SENTENCIA_2013_7" w:history="1">
        <w:r w:rsidRPr="00E27756">
          <w:rPr>
            <w:rStyle w:val="TextoNormalCaracter"/>
          </w:rPr>
          <w:t>7/2013</w:t>
        </w:r>
      </w:hyperlink>
      <w:r>
        <w:t xml:space="preserve">, ff. 3 a 5; </w:t>
      </w:r>
      <w:hyperlink w:anchor="SENTENCIA_2013_103" w:history="1">
        <w:r w:rsidRPr="00E27756">
          <w:rPr>
            <w:rStyle w:val="TextoNormalCaracter"/>
          </w:rPr>
          <w:t>103/2013</w:t>
        </w:r>
      </w:hyperlink>
      <w:r>
        <w:t>, f. 4.</w:t>
      </w:r>
    </w:p>
    <w:p w:rsidR="00E27756" w:rsidRDefault="00E27756" w:rsidP="00E27756">
      <w:pPr>
        <w:pStyle w:val="SangriaFrancesaArticulo"/>
      </w:pPr>
      <w:r w:rsidRPr="00E27756">
        <w:rPr>
          <w:rStyle w:val="TextoNormalNegritaCaracter"/>
        </w:rPr>
        <w:t>Artículo 160.3.</w:t>
      </w:r>
      <w:r w:rsidRPr="00E27756">
        <w:rPr>
          <w:rStyle w:val="TextoNormalCaracter"/>
        </w:rPr>
        <w:t>-</w:t>
      </w:r>
      <w:r>
        <w:t xml:space="preserve"> Sentencia </w:t>
      </w:r>
      <w:hyperlink w:anchor="SENTENCIA_2013_103" w:history="1">
        <w:r w:rsidRPr="00E27756">
          <w:rPr>
            <w:rStyle w:val="TextoNormalCaracter"/>
          </w:rPr>
          <w:t>103/2013</w:t>
        </w:r>
      </w:hyperlink>
      <w:r>
        <w:t>, f. 4.</w:t>
      </w:r>
    </w:p>
    <w:p w:rsidR="00E27756" w:rsidRDefault="00E27756" w:rsidP="00E27756">
      <w:pPr>
        <w:pStyle w:val="SangriaFrancesaArticulo"/>
      </w:pPr>
      <w:r w:rsidRPr="00E27756">
        <w:rPr>
          <w:rStyle w:val="TextoNormalNegritaCaracter"/>
        </w:rPr>
        <w:t>Artículo 165.1 b).</w:t>
      </w:r>
      <w:r w:rsidRPr="00E27756">
        <w:rPr>
          <w:rStyle w:val="TextoNormalCaracter"/>
        </w:rPr>
        <w:t>-</w:t>
      </w:r>
      <w:r>
        <w:t xml:space="preserve"> Sentencia </w:t>
      </w:r>
      <w:hyperlink w:anchor="SENTENCIA_2013_104" w:history="1">
        <w:r w:rsidRPr="00E27756">
          <w:rPr>
            <w:rStyle w:val="TextoNormalCaracter"/>
          </w:rPr>
          <w:t>104/2013</w:t>
        </w:r>
      </w:hyperlink>
      <w:r>
        <w:t>, f. 4.</w:t>
      </w:r>
    </w:p>
    <w:p w:rsidR="00E27756" w:rsidRDefault="00E27756" w:rsidP="00E27756">
      <w:pPr>
        <w:pStyle w:val="SangriaFrancesaArticulo"/>
      </w:pPr>
      <w:r w:rsidRPr="00E27756">
        <w:rPr>
          <w:rStyle w:val="TextoNormalNegritaCaracter"/>
        </w:rPr>
        <w:t>Artículo 166.</w:t>
      </w:r>
      <w:r w:rsidRPr="00E27756">
        <w:rPr>
          <w:rStyle w:val="TextoNormalCaracter"/>
        </w:rPr>
        <w:t>-</w:t>
      </w:r>
      <w:r>
        <w:t xml:space="preserve"> Sentencias </w:t>
      </w:r>
      <w:hyperlink w:anchor="SENTENCIA_2013_21" w:history="1">
        <w:r w:rsidRPr="00E27756">
          <w:rPr>
            <w:rStyle w:val="TextoNormalCaracter"/>
          </w:rPr>
          <w:t>21/2013</w:t>
        </w:r>
      </w:hyperlink>
      <w:r>
        <w:t xml:space="preserve">, f. 5; </w:t>
      </w:r>
      <w:hyperlink w:anchor="SENTENCIA_2013_26" w:history="1">
        <w:r w:rsidRPr="00E27756">
          <w:rPr>
            <w:rStyle w:val="TextoNormalCaracter"/>
          </w:rPr>
          <w:t>26/2013</w:t>
        </w:r>
      </w:hyperlink>
      <w:r>
        <w:t xml:space="preserve">, f. 6; </w:t>
      </w:r>
      <w:hyperlink w:anchor="SENTENCIA_2013_52" w:history="1">
        <w:r w:rsidRPr="00E27756">
          <w:rPr>
            <w:rStyle w:val="TextoNormalCaracter"/>
          </w:rPr>
          <w:t>52/2013</w:t>
        </w:r>
      </w:hyperlink>
      <w:r>
        <w:t>, f. 5.</w:t>
      </w:r>
    </w:p>
    <w:p w:rsidR="00E27756" w:rsidRDefault="00E27756" w:rsidP="00E27756">
      <w:pPr>
        <w:pStyle w:val="SangriaFrancesaArticulo"/>
      </w:pPr>
      <w:r w:rsidRPr="00E27756">
        <w:rPr>
          <w:rStyle w:val="TextoNormalNegritaCaracter"/>
        </w:rPr>
        <w:t>Artículo 170.1.</w:t>
      </w:r>
      <w:r w:rsidRPr="00E27756">
        <w:rPr>
          <w:rStyle w:val="TextoNormalCaracter"/>
        </w:rPr>
        <w:t>-</w:t>
      </w:r>
      <w:r>
        <w:t xml:space="preserve"> Sentencia </w:t>
      </w:r>
      <w:hyperlink w:anchor="SENTENCIA_2013_95" w:history="1">
        <w:r w:rsidRPr="00E27756">
          <w:rPr>
            <w:rStyle w:val="TextoNormalCaracter"/>
          </w:rPr>
          <w:t>95/2013</w:t>
        </w:r>
      </w:hyperlink>
      <w:r>
        <w:t>, f. 3.</w:t>
      </w:r>
    </w:p>
    <w:p w:rsidR="00E27756" w:rsidRDefault="00E27756" w:rsidP="00E27756">
      <w:pPr>
        <w:pStyle w:val="SangriaFrancesaArticulo"/>
      </w:pPr>
      <w:r w:rsidRPr="00E27756">
        <w:rPr>
          <w:rStyle w:val="TextoNormalNegritaCaracter"/>
        </w:rPr>
        <w:t>Artículo 170.1 b).</w:t>
      </w:r>
      <w:r w:rsidRPr="00E27756">
        <w:rPr>
          <w:rStyle w:val="TextoNormalCaracter"/>
        </w:rPr>
        <w:t>-</w:t>
      </w:r>
      <w:r>
        <w:t xml:space="preserve"> Sentencia </w:t>
      </w:r>
      <w:hyperlink w:anchor="SENTENCIA_2013_7" w:history="1">
        <w:r w:rsidRPr="00E27756">
          <w:rPr>
            <w:rStyle w:val="TextoNormalCaracter"/>
          </w:rPr>
          <w:t>7/2013</w:t>
        </w:r>
      </w:hyperlink>
      <w:r>
        <w:t>, ff. 3 a 5.</w:t>
      </w:r>
    </w:p>
    <w:p w:rsidR="00E27756" w:rsidRDefault="00E27756" w:rsidP="00E27756">
      <w:pPr>
        <w:pStyle w:val="SangriaFrancesaArticulo"/>
      </w:pPr>
      <w:r w:rsidRPr="00E27756">
        <w:rPr>
          <w:rStyle w:val="TextoNormalNegritaCaracter"/>
        </w:rPr>
        <w:t>Artículo 170.1 epígrafes b), c).</w:t>
      </w:r>
      <w:r w:rsidRPr="00E27756">
        <w:rPr>
          <w:rStyle w:val="TextoNormalCaracter"/>
        </w:rPr>
        <w:t>-</w:t>
      </w:r>
      <w:r>
        <w:t xml:space="preserve"> Sentencia </w:t>
      </w:r>
      <w:hyperlink w:anchor="SENTENCIA_2013_95" w:history="1">
        <w:r w:rsidRPr="00E27756">
          <w:rPr>
            <w:rStyle w:val="TextoNormalCaracter"/>
          </w:rPr>
          <w:t>95/2013</w:t>
        </w:r>
      </w:hyperlink>
      <w:r>
        <w:t>, f. 3.</w:t>
      </w:r>
    </w:p>
    <w:p w:rsidR="00E27756" w:rsidRDefault="00E27756" w:rsidP="00E27756">
      <w:pPr>
        <w:pStyle w:val="SangriaFrancesaArticulo"/>
      </w:pPr>
      <w:r w:rsidRPr="00E27756">
        <w:rPr>
          <w:rStyle w:val="TextoNormalNegritaCaracter"/>
        </w:rPr>
        <w:t>Artículo 170.1 i).</w:t>
      </w:r>
      <w:r w:rsidRPr="00E27756">
        <w:rPr>
          <w:rStyle w:val="TextoNormalCaracter"/>
        </w:rPr>
        <w:t>-</w:t>
      </w:r>
      <w:r>
        <w:t xml:space="preserve"> Sentencia </w:t>
      </w:r>
      <w:hyperlink w:anchor="SENTENCIA_2013_124" w:history="1">
        <w:r w:rsidRPr="00E27756">
          <w:rPr>
            <w:rStyle w:val="TextoNormalCaracter"/>
          </w:rPr>
          <w:t>124/2013</w:t>
        </w:r>
      </w:hyperlink>
      <w:r>
        <w:t>, ff. 1, 2.</w:t>
      </w:r>
    </w:p>
    <w:p w:rsidR="00E27756" w:rsidRDefault="00E27756" w:rsidP="00E27756">
      <w:pPr>
        <w:pStyle w:val="SangriaFrancesaArticulo"/>
      </w:pPr>
      <w:r w:rsidRPr="00E27756">
        <w:rPr>
          <w:rStyle w:val="TextoNormalNegritaCaracter"/>
        </w:rPr>
        <w:t>Artículo 212.</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SangriaFrancesaArticulo"/>
      </w:pPr>
      <w:r w:rsidRPr="00E27756">
        <w:rPr>
          <w:rStyle w:val="TextoNormalNegritaCaracter"/>
        </w:rPr>
        <w:t>Disposición adicional tercera.</w:t>
      </w:r>
      <w:r w:rsidRPr="00E27756">
        <w:rPr>
          <w:rStyle w:val="TextoNormalCaracter"/>
        </w:rPr>
        <w:t>-</w:t>
      </w:r>
      <w:r>
        <w:t xml:space="preserve"> Sentencia </w:t>
      </w:r>
      <w:hyperlink w:anchor="SENTENCIA_2013_100" w:history="1">
        <w:r w:rsidRPr="00E27756">
          <w:rPr>
            <w:rStyle w:val="TextoNormalCaracter"/>
          </w:rPr>
          <w:t>100/2013</w:t>
        </w:r>
      </w:hyperlink>
      <w:r>
        <w:t>, ff. 3, 4.</w:t>
      </w:r>
    </w:p>
    <w:p w:rsidR="00E27756" w:rsidRDefault="00E27756" w:rsidP="00E27756">
      <w:pPr>
        <w:pStyle w:val="SangriaFrancesaArticulo"/>
      </w:pPr>
      <w:r w:rsidRPr="00E27756">
        <w:rPr>
          <w:rStyle w:val="TextoNormalNegritaCaracter"/>
        </w:rPr>
        <w:t>Disposición adicional tercera. 1.</w:t>
      </w:r>
      <w:r w:rsidRPr="00E27756">
        <w:rPr>
          <w:rStyle w:val="TextoNormalCaracter"/>
        </w:rPr>
        <w:t>-</w:t>
      </w:r>
      <w:r>
        <w:t xml:space="preserve"> Sentencia </w:t>
      </w:r>
      <w:hyperlink w:anchor="SENTENCIA_2013_100" w:history="1">
        <w:r w:rsidRPr="00E27756">
          <w:rPr>
            <w:rStyle w:val="TextoNormalCaracter"/>
          </w:rPr>
          <w:t>100/2013</w:t>
        </w:r>
      </w:hyperlink>
      <w:r>
        <w:t>, f. 4.</w:t>
      </w:r>
    </w:p>
    <w:p w:rsidR="00E27756" w:rsidRDefault="00E27756" w:rsidP="00E27756">
      <w:pPr>
        <w:pStyle w:val="SangriaFrancesaArticulo"/>
      </w:pPr>
      <w:r w:rsidRPr="00E27756">
        <w:rPr>
          <w:rStyle w:val="TextoNormalNegritaCaracter"/>
        </w:rPr>
        <w:t>Disposición adicional decimotercera.</w:t>
      </w:r>
      <w:r w:rsidRPr="00E27756">
        <w:rPr>
          <w:rStyle w:val="TextoNormalCaracter"/>
        </w:rPr>
        <w:t>-</w:t>
      </w:r>
      <w:r>
        <w:t xml:space="preserve"> Sentencias </w:t>
      </w:r>
      <w:hyperlink w:anchor="SENTENCIA_2013_14" w:history="1">
        <w:r w:rsidRPr="00E27756">
          <w:rPr>
            <w:rStyle w:val="TextoNormalCaracter"/>
          </w:rPr>
          <w:t>14/2013</w:t>
        </w:r>
      </w:hyperlink>
      <w:r>
        <w:t xml:space="preserve">, ff. 4, 5; </w:t>
      </w:r>
      <w:hyperlink w:anchor="SENTENCIA_2013_38" w:history="1">
        <w:r w:rsidRPr="00E27756">
          <w:rPr>
            <w:rStyle w:val="TextoNormalCaracter"/>
          </w:rPr>
          <w:t>38/2013</w:t>
        </w:r>
      </w:hyperlink>
      <w:r>
        <w:t xml:space="preserve">, f. 4; </w:t>
      </w:r>
      <w:hyperlink w:anchor="SENTENCIA_2013_66" w:history="1">
        <w:r w:rsidRPr="00E27756">
          <w:rPr>
            <w:rStyle w:val="TextoNormalCaracter"/>
          </w:rPr>
          <w:t>66/2013</w:t>
        </w:r>
      </w:hyperlink>
      <w:r>
        <w:t xml:space="preserve">, f. 2; </w:t>
      </w:r>
      <w:hyperlink w:anchor="SENTENCIA_2013_66" w:history="1">
        <w:r w:rsidRPr="00E27756">
          <w:rPr>
            <w:rStyle w:val="TextoNormalCaracter"/>
          </w:rPr>
          <w:t>66/2013</w:t>
        </w:r>
      </w:hyperlink>
      <w:r>
        <w:t xml:space="preserve">, f. 3; </w:t>
      </w:r>
      <w:hyperlink w:anchor="SENTENCIA_2013_136" w:history="1">
        <w:r w:rsidRPr="00E27756">
          <w:rPr>
            <w:rStyle w:val="TextoNormalCaracter"/>
          </w:rPr>
          <w:t>136/2013</w:t>
        </w:r>
      </w:hyperlink>
      <w:r>
        <w:t>, f. 4.</w:t>
      </w:r>
    </w:p>
    <w:p w:rsidR="00E27756" w:rsidRDefault="00E27756" w:rsidP="00E27756">
      <w:pPr>
        <w:pStyle w:val="SangriaFrancesaArticulo"/>
      </w:pPr>
      <w:r w:rsidRPr="00E27756">
        <w:rPr>
          <w:rStyle w:val="TextoNormalNegritaCaracter"/>
        </w:rPr>
        <w:t>Anexo XVII.</w:t>
      </w:r>
      <w:r w:rsidRPr="00E27756">
        <w:rPr>
          <w:rStyle w:val="TextoNormalCaracter"/>
        </w:rPr>
        <w:t>-</w:t>
      </w:r>
      <w:r>
        <w:t xml:space="preserve"> Sentencia </w:t>
      </w:r>
      <w:hyperlink w:anchor="SENTENCIA_2013_100" w:history="1">
        <w:r w:rsidRPr="00E27756">
          <w:rPr>
            <w:rStyle w:val="TextoNormalCaracter"/>
          </w:rPr>
          <w:t>100/2013</w:t>
        </w:r>
      </w:hyperlink>
      <w:r>
        <w:t>, f. 3.</w:t>
      </w:r>
    </w:p>
    <w:p w:rsidR="00E27756" w:rsidRDefault="00E27756" w:rsidP="00E27756">
      <w:pPr>
        <w:pStyle w:val="TextoNormal"/>
      </w:pPr>
    </w:p>
    <w:p w:rsidR="00E27756" w:rsidRDefault="00E27756" w:rsidP="00E27756">
      <w:pPr>
        <w:pStyle w:val="TextoNormalNegritaCentradoSubrayado"/>
        <w:suppressAutoHyphens/>
      </w:pPr>
      <w:r>
        <w:t>J.9.b) Leyes y disposiciones con fuerza de Ley</w:t>
      </w:r>
    </w:p>
    <w:p w:rsidR="00E27756" w:rsidRDefault="00E27756" w:rsidP="00E27756">
      <w:pPr>
        <w:pStyle w:val="TextoNormalNegritaCentradoSubrayado"/>
      </w:pPr>
    </w:p>
    <w:p w:rsidR="00E27756" w:rsidRDefault="00E27756" w:rsidP="00E27756">
      <w:pPr>
        <w:pStyle w:val="TextoNormalNegritaCursivandice"/>
      </w:pPr>
      <w:r>
        <w:t>Decreto Legislativo de la Generalidad de Cataluña 1/1984, de 19 de julio. Texto refundido de la compilación del Derecho civil de Cataluña</w:t>
      </w:r>
    </w:p>
    <w:p w:rsidR="00E27756" w:rsidRDefault="00E27756" w:rsidP="00E27756">
      <w:pPr>
        <w:pStyle w:val="SangriaFrancesaArticulo"/>
      </w:pPr>
      <w:r w:rsidRPr="00E27756">
        <w:rPr>
          <w:rStyle w:val="TextoNormalNegritaCaracter"/>
        </w:rPr>
        <w:t>Artículo 344.</w:t>
      </w:r>
      <w:r w:rsidRPr="00E27756">
        <w:rPr>
          <w:rStyle w:val="TextoNormalCaracter"/>
        </w:rPr>
        <w:t>-</w:t>
      </w:r>
      <w:r>
        <w:t xml:space="preserve"> Sentencia </w:t>
      </w:r>
      <w:hyperlink w:anchor="SENTENCIA_2013_42" w:history="1">
        <w:r w:rsidRPr="00E27756">
          <w:rPr>
            <w:rStyle w:val="TextoNormalCaracter"/>
          </w:rPr>
          <w:t>42/2013</w:t>
        </w:r>
      </w:hyperlink>
      <w:r>
        <w:t>, ff. 3, 4.</w:t>
      </w:r>
    </w:p>
    <w:p w:rsidR="00E27756" w:rsidRDefault="00E27756" w:rsidP="00E27756">
      <w:pPr>
        <w:pStyle w:val="SangriaFrancesaArticulo"/>
      </w:pPr>
    </w:p>
    <w:p w:rsidR="00E27756" w:rsidRDefault="00E27756" w:rsidP="00E27756">
      <w:pPr>
        <w:pStyle w:val="TextoNormalNegritaCursivandice"/>
      </w:pPr>
      <w:r>
        <w:t>Ley del Parlamento de Cataluña 3/1991, de 18 de marzo. Formación de Adultos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4" w:history="1">
        <w:r w:rsidRPr="00E27756">
          <w:rPr>
            <w:rStyle w:val="TextoNormalCaracter"/>
          </w:rPr>
          <w:t>24/2013</w:t>
        </w:r>
      </w:hyperlink>
      <w:r>
        <w:t>, f. 6.</w:t>
      </w:r>
    </w:p>
    <w:p w:rsidR="00E27756" w:rsidRDefault="00E27756" w:rsidP="00E27756">
      <w:pPr>
        <w:pStyle w:val="SangriaFrancesaArticulo"/>
      </w:pPr>
    </w:p>
    <w:p w:rsidR="00E27756" w:rsidRDefault="00E27756" w:rsidP="00E27756">
      <w:pPr>
        <w:pStyle w:val="TextoNormalNegritaCursivandice"/>
      </w:pPr>
      <w:r>
        <w:lastRenderedPageBreak/>
        <w:t>Ley del Parlamento de Cataluña 9/1993, de 30 de septiembre. Patrimonio cultural catalán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0" w:history="1">
        <w:r w:rsidRPr="00E27756">
          <w:rPr>
            <w:rStyle w:val="TextoNormalCaracter"/>
          </w:rPr>
          <w:t>20/2013</w:t>
        </w:r>
      </w:hyperlink>
      <w:r>
        <w:t>, ff. 3, 9.</w:t>
      </w:r>
    </w:p>
    <w:p w:rsidR="00E27756" w:rsidRDefault="00E27756" w:rsidP="00E27756">
      <w:pPr>
        <w:pStyle w:val="SangriaFrancesaArticulo"/>
      </w:pPr>
    </w:p>
    <w:p w:rsidR="00E27756" w:rsidRDefault="00E27756" w:rsidP="00E27756">
      <w:pPr>
        <w:pStyle w:val="TextoNormalNegritaCursivandice"/>
      </w:pPr>
      <w:r>
        <w:t>Ley del Parlamento de Cataluña 4/1997, de 20 de mayo. Protección civil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0" w:history="1">
        <w:r w:rsidRPr="00E27756">
          <w:rPr>
            <w:rStyle w:val="TextoNormalCaracter"/>
          </w:rPr>
          <w:t>60/2013</w:t>
        </w:r>
      </w:hyperlink>
      <w:r>
        <w:t>, f. 2.</w:t>
      </w:r>
    </w:p>
    <w:p w:rsidR="00E27756" w:rsidRDefault="00E27756" w:rsidP="00E27756">
      <w:pPr>
        <w:pStyle w:val="SangriaFrancesaArticulo"/>
      </w:pPr>
    </w:p>
    <w:p w:rsidR="00E27756" w:rsidRDefault="00E27756" w:rsidP="00E27756">
      <w:pPr>
        <w:pStyle w:val="TextoNormalNegritaCursivandice"/>
      </w:pPr>
      <w:r>
        <w:t>Ley del Parlamento de Cataluña 3/1998, de 27 de febrero. Intervención Integral de la Administración Ambiental</w:t>
      </w:r>
    </w:p>
    <w:p w:rsidR="00E27756" w:rsidRDefault="00E27756" w:rsidP="00E27756">
      <w:pPr>
        <w:pStyle w:val="SangriaFrancesaArticulo"/>
      </w:pPr>
      <w:r w:rsidRPr="00E27756">
        <w:rPr>
          <w:rStyle w:val="TextoNormalNegritaCaracter"/>
        </w:rPr>
        <w:t>Disposiciones transitorias.</w:t>
      </w:r>
      <w:r w:rsidRPr="00E27756">
        <w:rPr>
          <w:rStyle w:val="TextoNormalCaracter"/>
        </w:rPr>
        <w:t>-</w:t>
      </w:r>
      <w:r>
        <w:t xml:space="preserve"> Auto </w:t>
      </w:r>
      <w:hyperlink w:anchor="AUTO_2013_20" w:history="1">
        <w:r w:rsidRPr="00E27756">
          <w:rPr>
            <w:rStyle w:val="TextoNormalCaracter"/>
          </w:rPr>
          <w:t>20/2013</w:t>
        </w:r>
      </w:hyperlink>
      <w:r>
        <w:t>, F. 2.</w:t>
      </w:r>
    </w:p>
    <w:p w:rsidR="00E27756" w:rsidRDefault="00E27756" w:rsidP="00E27756">
      <w:pPr>
        <w:pStyle w:val="SangriaFrancesaArticulo"/>
      </w:pPr>
    </w:p>
    <w:p w:rsidR="00E27756" w:rsidRDefault="00E27756" w:rsidP="00E27756">
      <w:pPr>
        <w:pStyle w:val="TextoNormalNegritaCursivandice"/>
      </w:pPr>
      <w:r>
        <w:t>Ley del Parlamento de Cataluña 16/2000, de 29 de diciembre.  Impuesto sobre grandes establecimientos comerciales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6" w:history="1">
        <w:r w:rsidRPr="00E27756">
          <w:rPr>
            <w:rStyle w:val="TextoNormalCaracter"/>
          </w:rPr>
          <w:t>96/2013</w:t>
        </w:r>
      </w:hyperlink>
      <w:r>
        <w:t>, f. 10.</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96" w:history="1">
        <w:r w:rsidRPr="00E27756">
          <w:rPr>
            <w:rStyle w:val="TextoNormalCaracter"/>
          </w:rPr>
          <w:t>96/2013</w:t>
        </w:r>
      </w:hyperlink>
      <w:r>
        <w:t>, f. 12.</w:t>
      </w:r>
    </w:p>
    <w:p w:rsidR="00E27756" w:rsidRDefault="00E27756" w:rsidP="00E27756">
      <w:pPr>
        <w:pStyle w:val="SangriaFrancesaArticulo"/>
      </w:pPr>
    </w:p>
    <w:p w:rsidR="00E27756" w:rsidRDefault="00E27756" w:rsidP="00E27756">
      <w:pPr>
        <w:pStyle w:val="TextoNormalNegritaCursivandice"/>
      </w:pPr>
      <w:r>
        <w:t>Ley del Parlamento de Cataluña 10/2001, de 13 de julio.  Normas reguladoras de archivos y documentos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4" w:history="1">
        <w:r w:rsidRPr="00E27756">
          <w:rPr>
            <w:rStyle w:val="TextoNormalCaracter"/>
          </w:rPr>
          <w:t>14/2013</w:t>
        </w:r>
      </w:hyperlink>
      <w:r>
        <w:t xml:space="preserve">, f. 6; </w:t>
      </w:r>
      <w:hyperlink w:anchor="SENTENCIA_2013_20" w:history="1">
        <w:r w:rsidRPr="00E27756">
          <w:rPr>
            <w:rStyle w:val="TextoNormalCaracter"/>
          </w:rPr>
          <w:t>20/2013</w:t>
        </w:r>
      </w:hyperlink>
      <w:r>
        <w:t xml:space="preserve">, ff. 3, 9; </w:t>
      </w:r>
      <w:hyperlink w:anchor="SENTENCIA_2013_38" w:history="1">
        <w:r w:rsidRPr="00E27756">
          <w:rPr>
            <w:rStyle w:val="TextoNormalCaracter"/>
          </w:rPr>
          <w:t>38/2013</w:t>
        </w:r>
      </w:hyperlink>
      <w:r>
        <w:t xml:space="preserve">, f. 5; </w:t>
      </w:r>
      <w:hyperlink w:anchor="SENTENCIA_2013_66" w:history="1">
        <w:r w:rsidRPr="00E27756">
          <w:rPr>
            <w:rStyle w:val="TextoNormalCaracter"/>
          </w:rPr>
          <w:t>66/2013</w:t>
        </w:r>
      </w:hyperlink>
      <w:r>
        <w:t xml:space="preserve">, f. 3; </w:t>
      </w:r>
      <w:hyperlink w:anchor="SENTENCIA_2013_136" w:history="1">
        <w:r w:rsidRPr="00E27756">
          <w:rPr>
            <w:rStyle w:val="TextoNormalCaracter"/>
          </w:rPr>
          <w:t>136/2013</w:t>
        </w:r>
      </w:hyperlink>
      <w:r>
        <w:t>, f. 4.</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14" w:history="1">
        <w:r w:rsidRPr="00E27756">
          <w:rPr>
            <w:rStyle w:val="TextoNormalCaracter"/>
          </w:rPr>
          <w:t>14/2013</w:t>
        </w:r>
      </w:hyperlink>
      <w:r>
        <w:t>, f. 1.</w:t>
      </w:r>
    </w:p>
    <w:p w:rsidR="00E27756" w:rsidRDefault="00E27756" w:rsidP="00E27756">
      <w:pPr>
        <w:pStyle w:val="SangriaFrancesaArticulo"/>
      </w:pPr>
      <w:r w:rsidRPr="00E27756">
        <w:rPr>
          <w:rStyle w:val="TextoNormalNegritaCaracter"/>
        </w:rPr>
        <w:t>Artículo 2 d).</w:t>
      </w:r>
      <w:r w:rsidRPr="00E27756">
        <w:rPr>
          <w:rStyle w:val="TextoNormalCaracter"/>
        </w:rPr>
        <w:t>-</w:t>
      </w:r>
      <w:r>
        <w:t xml:space="preserve"> Sentencia </w:t>
      </w:r>
      <w:hyperlink w:anchor="SENTENCIA_2013_14" w:history="1">
        <w:r w:rsidRPr="00E27756">
          <w:rPr>
            <w:rStyle w:val="TextoNormalCaracter"/>
          </w:rPr>
          <w:t>14/2013</w:t>
        </w:r>
      </w:hyperlink>
      <w:r>
        <w:t>, f. 5.</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14" w:history="1">
        <w:r w:rsidRPr="00E27756">
          <w:rPr>
            <w:rStyle w:val="TextoNormalCaracter"/>
          </w:rPr>
          <w:t>14/2013</w:t>
        </w:r>
      </w:hyperlink>
      <w:r>
        <w:t>, ff. 1, 6.</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20" w:history="1">
        <w:r w:rsidRPr="00E27756">
          <w:rPr>
            <w:rStyle w:val="TextoNormalCaracter"/>
          </w:rPr>
          <w:t>20/2013</w:t>
        </w:r>
      </w:hyperlink>
      <w:r>
        <w:t>, f. 3.</w:t>
      </w:r>
    </w:p>
    <w:p w:rsidR="00E27756" w:rsidRDefault="00E27756" w:rsidP="00E27756">
      <w:pPr>
        <w:pStyle w:val="SangriaFrancesaArticulo"/>
      </w:pPr>
      <w:r w:rsidRPr="00E27756">
        <w:rPr>
          <w:rStyle w:val="TextoNormalNegritaCaracter"/>
        </w:rPr>
        <w:t>Artículo 16.1.</w:t>
      </w:r>
      <w:r w:rsidRPr="00E27756">
        <w:rPr>
          <w:rStyle w:val="TextoNormalCaracter"/>
        </w:rPr>
        <w:t>-</w:t>
      </w:r>
      <w:r>
        <w:t xml:space="preserve"> Sentencia </w:t>
      </w:r>
      <w:hyperlink w:anchor="SENTENCIA_2013_14" w:history="1">
        <w:r w:rsidRPr="00E27756">
          <w:rPr>
            <w:rStyle w:val="TextoNormalCaracter"/>
          </w:rPr>
          <w:t>14/2013</w:t>
        </w:r>
      </w:hyperlink>
      <w:r>
        <w:t>, ff. 1, 6.</w:t>
      </w:r>
    </w:p>
    <w:p w:rsidR="00E27756" w:rsidRDefault="00E27756" w:rsidP="00E27756">
      <w:pPr>
        <w:pStyle w:val="SangriaFrancesaArticulo"/>
      </w:pPr>
      <w:r w:rsidRPr="00E27756">
        <w:rPr>
          <w:rStyle w:val="TextoNormalNegritaCaracter"/>
        </w:rPr>
        <w:t>Artículo 17.2 b).</w:t>
      </w:r>
      <w:r w:rsidRPr="00E27756">
        <w:rPr>
          <w:rStyle w:val="TextoNormalCaracter"/>
        </w:rPr>
        <w:t>-</w:t>
      </w:r>
      <w:r>
        <w:t xml:space="preserve"> Sentencia </w:t>
      </w:r>
      <w:hyperlink w:anchor="SENTENCIA_2013_14" w:history="1">
        <w:r w:rsidRPr="00E27756">
          <w:rPr>
            <w:rStyle w:val="TextoNormalCaracter"/>
          </w:rPr>
          <w:t>14/2013</w:t>
        </w:r>
      </w:hyperlink>
      <w:r>
        <w:t>, f. 6.</w:t>
      </w:r>
    </w:p>
    <w:p w:rsidR="00E27756" w:rsidRDefault="00E27756" w:rsidP="00E27756">
      <w:pPr>
        <w:pStyle w:val="SangriaFrancesaArticulo"/>
      </w:pPr>
      <w:r w:rsidRPr="00E27756">
        <w:rPr>
          <w:rStyle w:val="TextoNormalNegritaCaracter"/>
        </w:rPr>
        <w:t>Artículo 20.1.</w:t>
      </w:r>
      <w:r w:rsidRPr="00E27756">
        <w:rPr>
          <w:rStyle w:val="TextoNormalCaracter"/>
        </w:rPr>
        <w:t>-</w:t>
      </w:r>
      <w:r>
        <w:t xml:space="preserve"> Sentencia </w:t>
      </w:r>
      <w:hyperlink w:anchor="SENTENCIA_2013_14" w:history="1">
        <w:r w:rsidRPr="00E27756">
          <w:rPr>
            <w:rStyle w:val="TextoNormalCaracter"/>
          </w:rPr>
          <w:t>14/2013</w:t>
        </w:r>
      </w:hyperlink>
      <w:r>
        <w:t>, f. 1.</w:t>
      </w:r>
    </w:p>
    <w:p w:rsidR="00E27756" w:rsidRDefault="00E27756" w:rsidP="00E27756">
      <w:pPr>
        <w:pStyle w:val="SangriaFrancesaArticulo"/>
      </w:pPr>
      <w:r w:rsidRPr="00E27756">
        <w:rPr>
          <w:rStyle w:val="TextoNormalNegritaCaracter"/>
        </w:rPr>
        <w:t>Artículo 20.1 a), f).</w:t>
      </w:r>
      <w:r w:rsidRPr="00E27756">
        <w:rPr>
          <w:rStyle w:val="TextoNormalCaracter"/>
        </w:rPr>
        <w:t>-</w:t>
      </w:r>
      <w:r>
        <w:t xml:space="preserve"> Sentencia </w:t>
      </w:r>
      <w:hyperlink w:anchor="SENTENCIA_2013_14" w:history="1">
        <w:r w:rsidRPr="00E27756">
          <w:rPr>
            <w:rStyle w:val="TextoNormalCaracter"/>
          </w:rPr>
          <w:t>14/2013</w:t>
        </w:r>
      </w:hyperlink>
      <w:r>
        <w:t>, f. 1.</w:t>
      </w:r>
    </w:p>
    <w:p w:rsidR="00E27756" w:rsidRDefault="00E27756" w:rsidP="00E27756">
      <w:pPr>
        <w:pStyle w:val="SangriaFrancesaArticulo"/>
      </w:pPr>
      <w:r w:rsidRPr="00E27756">
        <w:rPr>
          <w:rStyle w:val="TextoNormalNegritaCaracter"/>
        </w:rPr>
        <w:t>Artículos 21 a 25.</w:t>
      </w:r>
      <w:r w:rsidRPr="00E27756">
        <w:rPr>
          <w:rStyle w:val="TextoNormalCaracter"/>
        </w:rPr>
        <w:t>-</w:t>
      </w:r>
      <w:r>
        <w:t xml:space="preserve"> Sentencia </w:t>
      </w:r>
      <w:hyperlink w:anchor="SENTENCIA_2013_14" w:history="1">
        <w:r w:rsidRPr="00E27756">
          <w:rPr>
            <w:rStyle w:val="TextoNormalCaracter"/>
          </w:rPr>
          <w:t>14/2013</w:t>
        </w:r>
      </w:hyperlink>
      <w:r>
        <w:t>, f. 6.</w:t>
      </w:r>
    </w:p>
    <w:p w:rsidR="00E27756" w:rsidRDefault="00E27756" w:rsidP="00E27756">
      <w:pPr>
        <w:pStyle w:val="SangriaFrancesaArticulo"/>
      </w:pPr>
    </w:p>
    <w:p w:rsidR="00E27756" w:rsidRDefault="00E27756" w:rsidP="00E27756">
      <w:pPr>
        <w:pStyle w:val="TextoNormalNegritaCursivandice"/>
      </w:pPr>
      <w:r>
        <w:t>Ley del Parlamento de Cataluña 15/2002, de 27 de junio. Ordenación Vitivinícola.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4" w:history="1">
        <w:r w:rsidRPr="00E27756">
          <w:rPr>
            <w:rStyle w:val="TextoNormalCaracter"/>
          </w:rPr>
          <w:t>34/2013</w:t>
        </w:r>
      </w:hyperlink>
      <w:r>
        <w:t>, ff. 15, 17, 18.</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 </w:t>
      </w:r>
      <w:hyperlink w:anchor="SENTENCIA_2013_34" w:history="1">
        <w:r w:rsidRPr="00E27756">
          <w:rPr>
            <w:rStyle w:val="TextoNormalCaracter"/>
          </w:rPr>
          <w:t>34/2013</w:t>
        </w:r>
      </w:hyperlink>
      <w:r>
        <w:t>, f. 17.</w:t>
      </w:r>
    </w:p>
    <w:p w:rsidR="00E27756" w:rsidRDefault="00E27756" w:rsidP="00E27756">
      <w:pPr>
        <w:pStyle w:val="SangriaFrancesaArticulo"/>
      </w:pPr>
    </w:p>
    <w:p w:rsidR="00E27756" w:rsidRDefault="00E27756" w:rsidP="00E27756">
      <w:pPr>
        <w:pStyle w:val="TextoNormalNegritaCursivandice"/>
      </w:pPr>
      <w:r>
        <w:t>Ley del Parlamento de Cataluña 16/2002, de 28 de junio. Protección contra la contaminación acústica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 w:history="1">
        <w:r w:rsidRPr="00E27756">
          <w:rPr>
            <w:rStyle w:val="TextoNormalCaracter"/>
          </w:rPr>
          <w:t>5/2013</w:t>
        </w:r>
      </w:hyperlink>
      <w:r>
        <w:t>, ff. 2, 5, 7.</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5" w:history="1">
        <w:r w:rsidRPr="00E27756">
          <w:rPr>
            <w:rStyle w:val="TextoNormalCaracter"/>
          </w:rPr>
          <w:t>5/2013</w:t>
        </w:r>
      </w:hyperlink>
      <w:r>
        <w:t>, f. 3.</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5" w:history="1">
        <w:r w:rsidRPr="00E27756">
          <w:rPr>
            <w:rStyle w:val="TextoNormalCaracter"/>
          </w:rPr>
          <w:t>5/2013</w:t>
        </w:r>
      </w:hyperlink>
      <w:r>
        <w:t>, f. 5.</w:t>
      </w:r>
    </w:p>
    <w:p w:rsidR="00E27756" w:rsidRDefault="00E27756" w:rsidP="00E27756">
      <w:pPr>
        <w:pStyle w:val="SangriaFrancesaArticulo"/>
      </w:pPr>
      <w:r w:rsidRPr="00E27756">
        <w:rPr>
          <w:rStyle w:val="TextoNormalNegritaCaracter"/>
        </w:rPr>
        <w:t>Artículo 12.1.</w:t>
      </w:r>
      <w:r w:rsidRPr="00E27756">
        <w:rPr>
          <w:rStyle w:val="TextoNormalCaracter"/>
        </w:rPr>
        <w:t>-</w:t>
      </w:r>
      <w:r>
        <w:t xml:space="preserve"> Sentencia </w:t>
      </w:r>
      <w:hyperlink w:anchor="SENTENCIA_2013_5" w:history="1">
        <w:r w:rsidRPr="00E27756">
          <w:rPr>
            <w:rStyle w:val="TextoNormalCaracter"/>
          </w:rPr>
          <w:t>5/2013</w:t>
        </w:r>
      </w:hyperlink>
      <w:r>
        <w:t>, f. 5.</w:t>
      </w:r>
    </w:p>
    <w:p w:rsidR="00E27756" w:rsidRDefault="00E27756" w:rsidP="00E27756">
      <w:pPr>
        <w:pStyle w:val="SangriaFrancesaArticulo"/>
      </w:pPr>
      <w:r w:rsidRPr="00E27756">
        <w:rPr>
          <w:rStyle w:val="TextoNormalNegritaCaracter"/>
        </w:rPr>
        <w:t>Artículo 12.2.</w:t>
      </w:r>
      <w:r w:rsidRPr="00E27756">
        <w:rPr>
          <w:rStyle w:val="TextoNormalCaracter"/>
        </w:rPr>
        <w:t>-</w:t>
      </w:r>
      <w:r>
        <w:t xml:space="preserve"> Sentencia </w:t>
      </w:r>
      <w:hyperlink w:anchor="SENTENCIA_2013_5" w:history="1">
        <w:r w:rsidRPr="00E27756">
          <w:rPr>
            <w:rStyle w:val="TextoNormalCaracter"/>
          </w:rPr>
          <w:t>5/2013</w:t>
        </w:r>
      </w:hyperlink>
      <w:r>
        <w:t>, f. 5.</w:t>
      </w:r>
    </w:p>
    <w:p w:rsidR="00E27756" w:rsidRDefault="00E27756" w:rsidP="00E27756">
      <w:pPr>
        <w:pStyle w:val="SangriaFrancesaArticulo"/>
      </w:pPr>
      <w:r w:rsidRPr="00E27756">
        <w:rPr>
          <w:rStyle w:val="TextoNormalNegritaCaracter"/>
        </w:rPr>
        <w:t>Artículo 12.3.</w:t>
      </w:r>
      <w:r w:rsidRPr="00E27756">
        <w:rPr>
          <w:rStyle w:val="TextoNormalCaracter"/>
        </w:rPr>
        <w:t>-</w:t>
      </w:r>
      <w:r>
        <w:t xml:space="preserve"> Sentencia </w:t>
      </w:r>
      <w:hyperlink w:anchor="SENTENCIA_2013_5" w:history="1">
        <w:r w:rsidRPr="00E27756">
          <w:rPr>
            <w:rStyle w:val="TextoNormalCaracter"/>
          </w:rPr>
          <w:t>5/2013</w:t>
        </w:r>
      </w:hyperlink>
      <w:r>
        <w:t>, ff. 5, 7.</w:t>
      </w:r>
    </w:p>
    <w:p w:rsidR="00E27756" w:rsidRDefault="00E27756" w:rsidP="00E27756">
      <w:pPr>
        <w:pStyle w:val="SangriaFrancesaArticulo"/>
      </w:pPr>
      <w:r w:rsidRPr="00E27756">
        <w:rPr>
          <w:rStyle w:val="TextoNormalNegritaCaracter"/>
        </w:rPr>
        <w:t>Artículo 12.4 inciso 2.</w:t>
      </w:r>
      <w:r w:rsidRPr="00E27756">
        <w:rPr>
          <w:rStyle w:val="TextoNormalCaracter"/>
        </w:rPr>
        <w:t>-</w:t>
      </w:r>
      <w:r>
        <w:t xml:space="preserve"> Sentencia </w:t>
      </w:r>
      <w:hyperlink w:anchor="SENTENCIA_2013_5" w:history="1">
        <w:r w:rsidRPr="00E27756">
          <w:rPr>
            <w:rStyle w:val="TextoNormalCaracter"/>
          </w:rPr>
          <w:t>5/2013</w:t>
        </w:r>
      </w:hyperlink>
      <w:r>
        <w:t>, ff. 1, 3, 4, VP.</w:t>
      </w:r>
    </w:p>
    <w:p w:rsidR="00E27756" w:rsidRDefault="00E27756" w:rsidP="00E27756">
      <w:pPr>
        <w:pStyle w:val="SangriaFrancesaArticulo"/>
      </w:pPr>
      <w:r w:rsidRPr="00E27756">
        <w:rPr>
          <w:rStyle w:val="TextoNormalNegritaCaracter"/>
        </w:rPr>
        <w:t>Artículo 38.</w:t>
      </w:r>
      <w:r w:rsidRPr="00E27756">
        <w:rPr>
          <w:rStyle w:val="TextoNormalCaracter"/>
        </w:rPr>
        <w:t>-</w:t>
      </w:r>
      <w:r>
        <w:t xml:space="preserve"> Sentencia </w:t>
      </w:r>
      <w:hyperlink w:anchor="SENTENCIA_2013_5" w:history="1">
        <w:r w:rsidRPr="00E27756">
          <w:rPr>
            <w:rStyle w:val="TextoNormalCaracter"/>
          </w:rPr>
          <w:t>5/2013</w:t>
        </w:r>
      </w:hyperlink>
      <w:r>
        <w:t>, f. 5.</w:t>
      </w:r>
    </w:p>
    <w:p w:rsidR="00E27756" w:rsidRDefault="00E27756" w:rsidP="00E27756">
      <w:pPr>
        <w:pStyle w:val="SangriaFrancesaArticulo"/>
      </w:pPr>
      <w:r w:rsidRPr="00E27756">
        <w:rPr>
          <w:rStyle w:val="TextoNormalNegritaCaracter"/>
        </w:rPr>
        <w:t>Artículo 38.2.</w:t>
      </w:r>
      <w:r w:rsidRPr="00E27756">
        <w:rPr>
          <w:rStyle w:val="TextoNormalCaracter"/>
        </w:rPr>
        <w:t>-</w:t>
      </w:r>
      <w:r>
        <w:t xml:space="preserve"> Sentencia </w:t>
      </w:r>
      <w:hyperlink w:anchor="SENTENCIA_2013_5" w:history="1">
        <w:r w:rsidRPr="00E27756">
          <w:rPr>
            <w:rStyle w:val="TextoNormalCaracter"/>
          </w:rPr>
          <w:t>5/2013</w:t>
        </w:r>
      </w:hyperlink>
      <w:r>
        <w:t>, ff. 1, 5, 7, VP.</w:t>
      </w:r>
    </w:p>
    <w:p w:rsidR="00E27756" w:rsidRDefault="00E27756" w:rsidP="00E27756">
      <w:pPr>
        <w:pStyle w:val="SangriaFrancesaArticulo"/>
      </w:pPr>
      <w:r w:rsidRPr="00E27756">
        <w:rPr>
          <w:rStyle w:val="TextoNormalNegritaCaracter"/>
        </w:rPr>
        <w:t>Disposición transitoria tercera, apartado 1.</w:t>
      </w:r>
      <w:r w:rsidRPr="00E27756">
        <w:rPr>
          <w:rStyle w:val="TextoNormalCaracter"/>
        </w:rPr>
        <w:t>-</w:t>
      </w:r>
      <w:r>
        <w:t xml:space="preserve"> Sentencia </w:t>
      </w:r>
      <w:hyperlink w:anchor="SENTENCIA_2013_5" w:history="1">
        <w:r w:rsidRPr="00E27756">
          <w:rPr>
            <w:rStyle w:val="TextoNormalCaracter"/>
          </w:rPr>
          <w:t>5/2013</w:t>
        </w:r>
      </w:hyperlink>
      <w:r>
        <w:t>, f. 5.</w:t>
      </w:r>
    </w:p>
    <w:p w:rsidR="00E27756" w:rsidRDefault="00E27756" w:rsidP="00E27756">
      <w:pPr>
        <w:pStyle w:val="SangriaFrancesaArticulo"/>
      </w:pPr>
      <w:r w:rsidRPr="00E27756">
        <w:rPr>
          <w:rStyle w:val="TextoNormalNegritaCaracter"/>
        </w:rPr>
        <w:t>Anexo I.</w:t>
      </w:r>
      <w:r w:rsidRPr="00E27756">
        <w:rPr>
          <w:rStyle w:val="TextoNormalCaracter"/>
        </w:rPr>
        <w:t>-</w:t>
      </w:r>
      <w:r>
        <w:t xml:space="preserve"> Sentencia </w:t>
      </w:r>
      <w:hyperlink w:anchor="SENTENCIA_2013_5" w:history="1">
        <w:r w:rsidRPr="00E27756">
          <w:rPr>
            <w:rStyle w:val="TextoNormalCaracter"/>
          </w:rPr>
          <w:t>5/2013</w:t>
        </w:r>
      </w:hyperlink>
      <w:r>
        <w:t>, f. 5.</w:t>
      </w:r>
    </w:p>
    <w:p w:rsidR="00E27756" w:rsidRDefault="00E27756" w:rsidP="00E27756">
      <w:pPr>
        <w:pStyle w:val="SangriaFrancesaArticulo"/>
      </w:pPr>
      <w:r w:rsidRPr="00E27756">
        <w:rPr>
          <w:rStyle w:val="TextoNormalNegritaCaracter"/>
        </w:rPr>
        <w:lastRenderedPageBreak/>
        <w:t>Anexo II.</w:t>
      </w:r>
      <w:r w:rsidRPr="00E27756">
        <w:rPr>
          <w:rStyle w:val="TextoNormalCaracter"/>
        </w:rPr>
        <w:t>-</w:t>
      </w:r>
      <w:r>
        <w:t xml:space="preserve"> Sentencia </w:t>
      </w:r>
      <w:hyperlink w:anchor="SENTENCIA_2013_5" w:history="1">
        <w:r w:rsidRPr="00E27756">
          <w:rPr>
            <w:rStyle w:val="TextoNormalCaracter"/>
          </w:rPr>
          <w:t>5/2013</w:t>
        </w:r>
      </w:hyperlink>
      <w:r>
        <w:t>, f. 3.</w:t>
      </w:r>
    </w:p>
    <w:p w:rsidR="00E27756" w:rsidRDefault="00E27756" w:rsidP="00E27756">
      <w:pPr>
        <w:pStyle w:val="SangriaFrancesaArticulo"/>
      </w:pPr>
    </w:p>
    <w:p w:rsidR="00E27756" w:rsidRDefault="00E27756" w:rsidP="00E27756">
      <w:pPr>
        <w:pStyle w:val="TextoNormalNegritaCursivandice"/>
      </w:pPr>
      <w:r>
        <w:t>Ley del Parlamento de Cataluña 29/2002, de 30 de diciembre. Código civil de Cataluña, libro primero relativo a las disposiciones generales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2" w:history="1">
        <w:r w:rsidRPr="00E27756">
          <w:rPr>
            <w:rStyle w:val="TextoNormalCaracter"/>
          </w:rPr>
          <w:t>42/2013</w:t>
        </w:r>
      </w:hyperlink>
      <w:r>
        <w:t>, ff. 1, 3, 4.</w:t>
      </w:r>
    </w:p>
    <w:p w:rsidR="00E27756" w:rsidRDefault="00E27756" w:rsidP="00E27756">
      <w:pPr>
        <w:pStyle w:val="SangriaFrancesaArticulo"/>
      </w:pPr>
      <w:r w:rsidRPr="00E27756">
        <w:rPr>
          <w:rStyle w:val="TextoNormalNegritaCaracter"/>
        </w:rPr>
        <w:t>Título II.</w:t>
      </w:r>
      <w:r w:rsidRPr="00E27756">
        <w:rPr>
          <w:rStyle w:val="TextoNormalCaracter"/>
        </w:rPr>
        <w:t>-</w:t>
      </w:r>
      <w:r>
        <w:t xml:space="preserve"> Sentencia </w:t>
      </w:r>
      <w:hyperlink w:anchor="SENTENCIA_2013_42" w:history="1">
        <w:r w:rsidRPr="00E27756">
          <w:rPr>
            <w:rStyle w:val="TextoNormalCaracter"/>
          </w:rPr>
          <w:t>42/2013</w:t>
        </w:r>
      </w:hyperlink>
      <w:r>
        <w:t>, ff. 3, 4.</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Sentencia </w:t>
      </w:r>
      <w:hyperlink w:anchor="SENTENCIA_2013_42" w:history="1">
        <w:r w:rsidRPr="00E27756">
          <w:rPr>
            <w:rStyle w:val="TextoNormalCaracter"/>
          </w:rPr>
          <w:t>42/2013</w:t>
        </w:r>
      </w:hyperlink>
      <w:r>
        <w:t>, f. 3.</w:t>
      </w:r>
    </w:p>
    <w:p w:rsidR="00E27756" w:rsidRDefault="00E27756" w:rsidP="00E27756">
      <w:pPr>
        <w:pStyle w:val="SangriaFrancesaArticulo"/>
      </w:pPr>
      <w:r w:rsidRPr="00E27756">
        <w:rPr>
          <w:rStyle w:val="TextoNormalNegritaCaracter"/>
        </w:rPr>
        <w:t>Artículo 121.21 d).</w:t>
      </w:r>
      <w:r w:rsidRPr="00E27756">
        <w:rPr>
          <w:rStyle w:val="TextoNormalCaracter"/>
        </w:rPr>
        <w:t>-</w:t>
      </w:r>
      <w:r>
        <w:t xml:space="preserve"> Sentencia </w:t>
      </w:r>
      <w:hyperlink w:anchor="SENTENCIA_2013_42" w:history="1">
        <w:r w:rsidRPr="00E27756">
          <w:rPr>
            <w:rStyle w:val="TextoNormalCaracter"/>
          </w:rPr>
          <w:t>42/2013</w:t>
        </w:r>
      </w:hyperlink>
      <w:r>
        <w:t>, ff. 1, 3 a 5.</w:t>
      </w:r>
    </w:p>
    <w:p w:rsidR="00E27756" w:rsidRDefault="00E27756" w:rsidP="00E27756">
      <w:pPr>
        <w:pStyle w:val="SangriaFrancesaArticulo"/>
      </w:pPr>
      <w:r w:rsidRPr="00E27756">
        <w:rPr>
          <w:rStyle w:val="TextoNormalNegritaCaracter"/>
        </w:rPr>
        <w:t>Disposición transitoria única.</w:t>
      </w:r>
      <w:r w:rsidRPr="00E27756">
        <w:rPr>
          <w:rStyle w:val="TextoNormalCaracter"/>
        </w:rPr>
        <w:t>-</w:t>
      </w:r>
      <w:r>
        <w:t xml:space="preserve"> Sentencia </w:t>
      </w:r>
      <w:hyperlink w:anchor="SENTENCIA_2013_42" w:history="1">
        <w:r w:rsidRPr="00E27756">
          <w:rPr>
            <w:rStyle w:val="TextoNormalCaracter"/>
          </w:rPr>
          <w:t>42/2013</w:t>
        </w:r>
      </w:hyperlink>
      <w:r>
        <w:t>, ff. 3, 4.</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42" w:history="1">
        <w:r w:rsidRPr="00E27756">
          <w:rPr>
            <w:rStyle w:val="TextoNormalCaracter"/>
          </w:rPr>
          <w:t>42/2013</w:t>
        </w:r>
      </w:hyperlink>
      <w:r>
        <w:t>, f. 3.</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Sentencia </w:t>
      </w:r>
      <w:hyperlink w:anchor="SENTENCIA_2013_42" w:history="1">
        <w:r w:rsidRPr="00E27756">
          <w:rPr>
            <w:rStyle w:val="TextoNormalCaracter"/>
          </w:rPr>
          <w:t>42/2013</w:t>
        </w:r>
      </w:hyperlink>
      <w:r>
        <w:t>, f. 3.</w:t>
      </w:r>
    </w:p>
    <w:p w:rsidR="00E27756" w:rsidRDefault="00E27756" w:rsidP="00E27756">
      <w:pPr>
        <w:pStyle w:val="SangriaFrancesaArticulo"/>
      </w:pPr>
    </w:p>
    <w:p w:rsidR="00E27756" w:rsidRDefault="00E27756" w:rsidP="00E27756">
      <w:pPr>
        <w:pStyle w:val="TextoNormalNegritaCursivandice"/>
      </w:pPr>
      <w:r>
        <w:t>Decreto Legislativo de la Generalidad de Cataluña 2/2003, de 28 de abril. Aprueba el texto refundido de la Ley municipal y de régimen local</w:t>
      </w:r>
    </w:p>
    <w:p w:rsidR="00E27756" w:rsidRDefault="00E27756" w:rsidP="00E27756">
      <w:pPr>
        <w:pStyle w:val="SangriaFrancesaArticulo"/>
      </w:pPr>
      <w:r w:rsidRPr="00E27756">
        <w:rPr>
          <w:rStyle w:val="TextoNormalNegritaCaracter"/>
        </w:rPr>
        <w:t>Artículo 59.</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r w:rsidRPr="00E27756">
        <w:rPr>
          <w:rStyle w:val="TextoNormalNegritaCaracter"/>
        </w:rPr>
        <w:t>Artículo 244.</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p>
    <w:p w:rsidR="00E27756" w:rsidRDefault="00E27756" w:rsidP="00E27756">
      <w:pPr>
        <w:pStyle w:val="TextoNormalNegritaCursivandice"/>
      </w:pPr>
      <w:r>
        <w:t>Ley del Parlamento de Cataluña 8/2004, de 23 de diciembre. Horarios comerciales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46" w:history="1">
        <w:r w:rsidRPr="00E27756">
          <w:rPr>
            <w:rStyle w:val="TextoNormalCaracter"/>
          </w:rPr>
          <w:t>146/2013</w:t>
        </w:r>
      </w:hyperlink>
      <w:r>
        <w:t>, f. 3.</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Auto </w:t>
      </w:r>
      <w:hyperlink w:anchor="AUTO_2013_146" w:history="1">
        <w:r w:rsidRPr="00E27756">
          <w:rPr>
            <w:rStyle w:val="TextoNormalCaracter"/>
          </w:rPr>
          <w:t>146/2013</w:t>
        </w:r>
      </w:hyperlink>
      <w:r>
        <w:t>, f. 3.</w:t>
      </w:r>
    </w:p>
    <w:p w:rsidR="00E27756" w:rsidRDefault="00E27756" w:rsidP="00E27756">
      <w:pPr>
        <w:pStyle w:val="SangriaFrancesaArticulo"/>
      </w:pPr>
      <w:r w:rsidRPr="00E27756">
        <w:rPr>
          <w:rStyle w:val="TextoNormalNegritaCaracter"/>
        </w:rPr>
        <w:t>Artículo 1.2 a) a e)</w:t>
      </w:r>
      <w:r>
        <w:t xml:space="preserve"> </w:t>
      </w:r>
      <w:r w:rsidRPr="00E27756">
        <w:rPr>
          <w:rStyle w:val="TextoNormalCaracter"/>
        </w:rPr>
        <w:t>(redactado por el Decreto-ley de la Generalidad de Cataluña 4/2012, de 30 de octubre)</w:t>
      </w:r>
      <w:r w:rsidRPr="00E27756">
        <w:rPr>
          <w:rStyle w:val="TextoNormalNegritaCaracter"/>
        </w:rPr>
        <w:t>.</w:t>
      </w:r>
      <w:r w:rsidRPr="00E27756">
        <w:rPr>
          <w:rStyle w:val="TextoNormalCaracter"/>
        </w:rPr>
        <w:t>-</w:t>
      </w:r>
      <w:r>
        <w:t xml:space="preserve"> Auto </w:t>
      </w:r>
      <w:hyperlink w:anchor="AUTO_2013_146" w:history="1">
        <w:r w:rsidRPr="00E27756">
          <w:rPr>
            <w:rStyle w:val="TextoNormalCaracter"/>
          </w:rPr>
          <w:t>146/2013</w:t>
        </w:r>
      </w:hyperlink>
      <w:r>
        <w:t>, f. 1.</w:t>
      </w:r>
    </w:p>
    <w:p w:rsidR="00E27756" w:rsidRDefault="00E27756" w:rsidP="00E27756">
      <w:pPr>
        <w:pStyle w:val="SangriaFrancesaArticulo"/>
      </w:pPr>
      <w:r w:rsidRPr="00E27756">
        <w:rPr>
          <w:rStyle w:val="TextoNormalNegritaCaracter"/>
        </w:rPr>
        <w:t>Artículo 2.1 b) a d), f), i), l)</w:t>
      </w:r>
      <w:r>
        <w:t xml:space="preserve"> </w:t>
      </w:r>
      <w:r w:rsidRPr="00E27756">
        <w:rPr>
          <w:rStyle w:val="TextoNormalCaracter"/>
        </w:rPr>
        <w:t>(redactado por el Decreto-ley de la Generalidad de Cataluña 4/2012, de 30 de octubre)</w:t>
      </w:r>
      <w:r w:rsidRPr="00E27756">
        <w:rPr>
          <w:rStyle w:val="TextoNormalNegritaCaracter"/>
        </w:rPr>
        <w:t>.</w:t>
      </w:r>
      <w:r w:rsidRPr="00E27756">
        <w:rPr>
          <w:rStyle w:val="TextoNormalCaracter"/>
        </w:rPr>
        <w:t>-</w:t>
      </w:r>
      <w:r>
        <w:t xml:space="preserve"> Auto </w:t>
      </w:r>
      <w:hyperlink w:anchor="AUTO_2013_146" w:history="1">
        <w:r w:rsidRPr="00E27756">
          <w:rPr>
            <w:rStyle w:val="TextoNormalCaracter"/>
          </w:rPr>
          <w:t>146/2013</w:t>
        </w:r>
      </w:hyperlink>
      <w:r>
        <w:t>, f. 1.</w:t>
      </w:r>
    </w:p>
    <w:p w:rsidR="00E27756" w:rsidRDefault="00E27756" w:rsidP="00E27756">
      <w:pPr>
        <w:pStyle w:val="SangriaFrancesaArticulo"/>
      </w:pPr>
      <w:r w:rsidRPr="00E27756">
        <w:rPr>
          <w:rStyle w:val="TextoNormalNegritaCaracter"/>
        </w:rPr>
        <w:t>Artículo 2.2</w:t>
      </w:r>
      <w:r>
        <w:t xml:space="preserve"> </w:t>
      </w:r>
      <w:r w:rsidRPr="00E27756">
        <w:rPr>
          <w:rStyle w:val="TextoNormalCaracter"/>
        </w:rPr>
        <w:t>(redactado por el Decreto-ley de la Generalidad de Cataluña 4/2012, de 30 de octubre)</w:t>
      </w:r>
      <w:r w:rsidRPr="00E27756">
        <w:rPr>
          <w:rStyle w:val="TextoNormalNegritaCaracter"/>
        </w:rPr>
        <w:t>.</w:t>
      </w:r>
      <w:r w:rsidRPr="00E27756">
        <w:rPr>
          <w:rStyle w:val="TextoNormalCaracter"/>
        </w:rPr>
        <w:t>-</w:t>
      </w:r>
      <w:r>
        <w:t xml:space="preserve"> Auto </w:t>
      </w:r>
      <w:hyperlink w:anchor="AUTO_2013_146" w:history="1">
        <w:r w:rsidRPr="00E27756">
          <w:rPr>
            <w:rStyle w:val="TextoNormalCaracter"/>
          </w:rPr>
          <w:t>146/2013</w:t>
        </w:r>
      </w:hyperlink>
      <w:r>
        <w:t>, f. 1.</w:t>
      </w:r>
    </w:p>
    <w:p w:rsidR="00E27756" w:rsidRDefault="00E27756" w:rsidP="00E27756">
      <w:pPr>
        <w:pStyle w:val="SangriaFrancesaArticulo"/>
      </w:pPr>
    </w:p>
    <w:p w:rsidR="00E27756" w:rsidRDefault="00E27756" w:rsidP="00E27756">
      <w:pPr>
        <w:pStyle w:val="TextoNormalNegritaCursivandice"/>
      </w:pPr>
      <w:r>
        <w:t>Ley del Parlamento de Cataluña 3/2005, de 8 de abril. Modificación de la Ley 9/1998, del código de familia, de la Ley 10/1998, de uniones estables de pareja, y de la Ley 40/1991, del código de sucesiones por causa de muerte en el Derecho civil de Cataluña, en materia de adopción y tutela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41" w:history="1">
        <w:r w:rsidRPr="00E27756">
          <w:rPr>
            <w:rStyle w:val="TextoNormalCaracter"/>
          </w:rPr>
          <w:t>41/2013</w:t>
        </w:r>
      </w:hyperlink>
      <w:r>
        <w:t xml:space="preserve">, ff. 1, 5; </w:t>
      </w:r>
      <w:hyperlink w:anchor="SENTENCIA_2013_55" w:history="1">
        <w:r w:rsidRPr="00E27756">
          <w:rPr>
            <w:rStyle w:val="TextoNormalCaracter"/>
          </w:rPr>
          <w:t>55/2013</w:t>
        </w:r>
      </w:hyperlink>
      <w:r>
        <w:t>, f. 1.</w:t>
      </w:r>
    </w:p>
    <w:p w:rsidR="00E27756" w:rsidRDefault="00E27756" w:rsidP="00E27756">
      <w:pPr>
        <w:pStyle w:val="SangriaFrancesaArticulo"/>
      </w:pPr>
    </w:p>
    <w:p w:rsidR="00E27756" w:rsidRDefault="00E27756" w:rsidP="00E27756">
      <w:pPr>
        <w:pStyle w:val="TextoNormalNegritaCursivandice"/>
      </w:pPr>
      <w:r>
        <w:t>Ley del Parlamento de Cataluña 18/2005, de 27 de diciembre. Equipamientos comerciales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0" w:history="1">
        <w:r w:rsidRPr="00E27756">
          <w:rPr>
            <w:rStyle w:val="TextoNormalCaracter"/>
          </w:rPr>
          <w:t>10/2013</w:t>
        </w:r>
      </w:hyperlink>
      <w:r>
        <w:t>, f. 4.</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Auto </w:t>
      </w:r>
      <w:hyperlink w:anchor="AUTO_2013_10" w:history="1">
        <w:r w:rsidRPr="00E27756">
          <w:rPr>
            <w:rStyle w:val="TextoNormalCaracter"/>
          </w:rPr>
          <w:t>10/2013</w:t>
        </w:r>
      </w:hyperlink>
      <w:r>
        <w:t>, f. 3.</w:t>
      </w:r>
    </w:p>
    <w:p w:rsidR="00E27756" w:rsidRDefault="00E27756" w:rsidP="00E27756">
      <w:pPr>
        <w:pStyle w:val="SangriaFrancesaArticulo"/>
      </w:pPr>
    </w:p>
    <w:p w:rsidR="00E27756" w:rsidRDefault="00E27756" w:rsidP="00E27756">
      <w:pPr>
        <w:pStyle w:val="TextoNormalNegritaCursivandice"/>
      </w:pPr>
      <w:r>
        <w:t>Ley del Parlamento de Cataluña 22/2005, de 29 de diciembre. Comunicación audiovisual de Cataluña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60" w:history="1">
        <w:r w:rsidRPr="00E27756">
          <w:rPr>
            <w:rStyle w:val="TextoNormalCaracter"/>
          </w:rPr>
          <w:t>60/2013</w:t>
        </w:r>
      </w:hyperlink>
      <w:r>
        <w:t>, ff. 3, 5.</w:t>
      </w:r>
    </w:p>
    <w:p w:rsidR="00E27756" w:rsidRDefault="00E27756" w:rsidP="00E27756">
      <w:pPr>
        <w:pStyle w:val="SangriaFrancesaArticulo"/>
      </w:pPr>
      <w:r w:rsidRPr="00E27756">
        <w:rPr>
          <w:rStyle w:val="TextoNormalNegritaCaracter"/>
        </w:rPr>
        <w:t>Artículo 111.2 j).</w:t>
      </w:r>
      <w:r w:rsidRPr="00E27756">
        <w:rPr>
          <w:rStyle w:val="TextoNormalCaracter"/>
        </w:rPr>
        <w:t>-</w:t>
      </w:r>
      <w:r>
        <w:t xml:space="preserve"> Auto </w:t>
      </w:r>
      <w:hyperlink w:anchor="AUTO_2013_60" w:history="1">
        <w:r w:rsidRPr="00E27756">
          <w:rPr>
            <w:rStyle w:val="TextoNormalCaracter"/>
          </w:rPr>
          <w:t>60/2013</w:t>
        </w:r>
      </w:hyperlink>
      <w:r>
        <w:t>, ff. 3 a 5.</w:t>
      </w:r>
    </w:p>
    <w:p w:rsidR="00E27756" w:rsidRDefault="00E27756" w:rsidP="00E27756">
      <w:pPr>
        <w:pStyle w:val="SangriaFrancesaArticulo"/>
      </w:pPr>
      <w:r w:rsidRPr="00E27756">
        <w:rPr>
          <w:rStyle w:val="TextoNormalNegritaCaracter"/>
        </w:rPr>
        <w:t>Artículo 127.2.</w:t>
      </w:r>
      <w:r w:rsidRPr="00E27756">
        <w:rPr>
          <w:rStyle w:val="TextoNormalCaracter"/>
        </w:rPr>
        <w:t>-</w:t>
      </w:r>
      <w:r>
        <w:t xml:space="preserve"> Auto </w:t>
      </w:r>
      <w:hyperlink w:anchor="AUTO_2013_60" w:history="1">
        <w:r w:rsidRPr="00E27756">
          <w:rPr>
            <w:rStyle w:val="TextoNormalCaracter"/>
          </w:rPr>
          <w:t>60/2013</w:t>
        </w:r>
      </w:hyperlink>
      <w:r>
        <w:t>, ff. 3, 4.</w:t>
      </w:r>
    </w:p>
    <w:p w:rsidR="00E27756" w:rsidRDefault="00E27756" w:rsidP="00E27756">
      <w:pPr>
        <w:pStyle w:val="SangriaFrancesaArticulo"/>
      </w:pPr>
      <w:r w:rsidRPr="00E27756">
        <w:rPr>
          <w:rStyle w:val="TextoNormalNegritaCaracter"/>
        </w:rPr>
        <w:t>Artículo 132.</w:t>
      </w:r>
      <w:r w:rsidRPr="00E27756">
        <w:rPr>
          <w:rStyle w:val="TextoNormalCaracter"/>
        </w:rPr>
        <w:t>-</w:t>
      </w:r>
      <w:r>
        <w:t xml:space="preserve"> Auto </w:t>
      </w:r>
      <w:hyperlink w:anchor="AUTO_2013_60" w:history="1">
        <w:r w:rsidRPr="00E27756">
          <w:rPr>
            <w:rStyle w:val="TextoNormalCaracter"/>
          </w:rPr>
          <w:t>60/2013</w:t>
        </w:r>
      </w:hyperlink>
      <w:r>
        <w:t>, f. 4.</w:t>
      </w:r>
    </w:p>
    <w:p w:rsidR="00E27756" w:rsidRDefault="00E27756" w:rsidP="00E27756">
      <w:pPr>
        <w:pStyle w:val="SangriaFrancesaArticulo"/>
      </w:pPr>
      <w:r w:rsidRPr="00E27756">
        <w:rPr>
          <w:rStyle w:val="TextoNormalNegritaCaracter"/>
        </w:rPr>
        <w:t>Artículo 132 a)</w:t>
      </w:r>
      <w:r>
        <w:t xml:space="preserve"> </w:t>
      </w:r>
      <w:r w:rsidRPr="00E27756">
        <w:rPr>
          <w:rStyle w:val="TextoNormalCaracter"/>
        </w:rPr>
        <w:t>(redactado por el artículo 10 de la Ley 2/2012)</w:t>
      </w:r>
      <w:r w:rsidRPr="00E27756">
        <w:rPr>
          <w:rStyle w:val="TextoNormalNegritaCaracter"/>
        </w:rPr>
        <w:t>.</w:t>
      </w:r>
      <w:r w:rsidRPr="00E27756">
        <w:rPr>
          <w:rStyle w:val="TextoNormalCaracter"/>
        </w:rPr>
        <w:t>-</w:t>
      </w:r>
      <w:r>
        <w:t xml:space="preserve"> Auto </w:t>
      </w:r>
      <w:hyperlink w:anchor="AUTO_2013_60" w:history="1">
        <w:r w:rsidRPr="00E27756">
          <w:rPr>
            <w:rStyle w:val="TextoNormalCaracter"/>
          </w:rPr>
          <w:t>60/2013</w:t>
        </w:r>
      </w:hyperlink>
      <w:r>
        <w:t>, f. 3.</w:t>
      </w:r>
    </w:p>
    <w:p w:rsidR="00E27756" w:rsidRDefault="00E27756" w:rsidP="00E27756">
      <w:pPr>
        <w:pStyle w:val="SangriaFrancesaArticulo"/>
      </w:pPr>
      <w:r w:rsidRPr="00E27756">
        <w:rPr>
          <w:rStyle w:val="TextoNormalNegritaCaracter"/>
        </w:rPr>
        <w:t>Artículo 132 a)</w:t>
      </w:r>
      <w:r>
        <w:t xml:space="preserve"> </w:t>
      </w:r>
      <w:r w:rsidRPr="00E27756">
        <w:rPr>
          <w:rStyle w:val="TextoNormalCaracter"/>
        </w:rPr>
        <w:t>(redactado por la Ley del Parlamento de Cataluña 2/2012, de 22 de febrero)</w:t>
      </w:r>
      <w:r w:rsidRPr="00E27756">
        <w:rPr>
          <w:rStyle w:val="TextoNormalNegritaCaracter"/>
        </w:rPr>
        <w:t>.</w:t>
      </w:r>
      <w:r w:rsidRPr="00E27756">
        <w:rPr>
          <w:rStyle w:val="TextoNormalCaracter"/>
        </w:rPr>
        <w:t>-</w:t>
      </w:r>
      <w:r>
        <w:t xml:space="preserve"> Auto </w:t>
      </w:r>
      <w:hyperlink w:anchor="AUTO_2013_60" w:history="1">
        <w:r w:rsidRPr="00E27756">
          <w:rPr>
            <w:rStyle w:val="TextoNormalCaracter"/>
          </w:rPr>
          <w:t>60/2013</w:t>
        </w:r>
      </w:hyperlink>
      <w:r>
        <w:t>, f. 3.</w:t>
      </w:r>
    </w:p>
    <w:p w:rsidR="00E27756" w:rsidRDefault="00E27756" w:rsidP="00E27756">
      <w:pPr>
        <w:pStyle w:val="SangriaFrancesaArticulo"/>
      </w:pPr>
      <w:r w:rsidRPr="00E27756">
        <w:rPr>
          <w:rStyle w:val="TextoNormalNegritaCaracter"/>
        </w:rPr>
        <w:lastRenderedPageBreak/>
        <w:t>Disposición transitoria segunda.</w:t>
      </w:r>
      <w:r w:rsidRPr="00E27756">
        <w:rPr>
          <w:rStyle w:val="TextoNormalCaracter"/>
        </w:rPr>
        <w:t>-</w:t>
      </w:r>
      <w:r>
        <w:t xml:space="preserve"> Auto </w:t>
      </w:r>
      <w:hyperlink w:anchor="AUTO_2013_60" w:history="1">
        <w:r w:rsidRPr="00E27756">
          <w:rPr>
            <w:rStyle w:val="TextoNormalCaracter"/>
          </w:rPr>
          <w:t>60/2013</w:t>
        </w:r>
      </w:hyperlink>
      <w:r>
        <w:t>, f. 4.</w:t>
      </w:r>
    </w:p>
    <w:p w:rsidR="00E27756" w:rsidRDefault="00E27756" w:rsidP="00E27756">
      <w:pPr>
        <w:pStyle w:val="SangriaFrancesaArticulo"/>
      </w:pPr>
    </w:p>
    <w:p w:rsidR="00E27756" w:rsidRDefault="00E27756" w:rsidP="00E27756">
      <w:pPr>
        <w:pStyle w:val="TextoNormalNegritaCursivandice"/>
      </w:pPr>
      <w:r>
        <w:t>Decreto Legislativo de la Generalidad de Cataluña 3/2008, de 25 de junio. Texto refundido de la Ley de tasas y precios públicos</w:t>
      </w:r>
    </w:p>
    <w:p w:rsidR="00E27756" w:rsidRDefault="00E27756" w:rsidP="00E27756">
      <w:pPr>
        <w:pStyle w:val="SangriaFrancesaArticulo"/>
      </w:pPr>
      <w:r w:rsidRPr="00E27756">
        <w:rPr>
          <w:rStyle w:val="TextoNormalNegritaCaracter"/>
        </w:rPr>
        <w:t>Artículo 3 bis.1-1, apartado 1.</w:t>
      </w:r>
      <w:r w:rsidRPr="00E27756">
        <w:rPr>
          <w:rStyle w:val="TextoNormalCaracter"/>
        </w:rPr>
        <w:t>-</w:t>
      </w:r>
      <w:r>
        <w:t xml:space="preserve"> Autos </w:t>
      </w:r>
      <w:hyperlink w:anchor="AUTO_2013_122" w:history="1">
        <w:r w:rsidRPr="00E27756">
          <w:rPr>
            <w:rStyle w:val="TextoNormalCaracter"/>
          </w:rPr>
          <w:t>122/2013</w:t>
        </w:r>
      </w:hyperlink>
      <w:r>
        <w:t xml:space="preserve">, f. 1; </w:t>
      </w:r>
      <w:hyperlink w:anchor="AUTO_2013_122" w:history="1">
        <w:r w:rsidRPr="00E27756">
          <w:rPr>
            <w:rStyle w:val="TextoNormalCaracter"/>
          </w:rPr>
          <w:t>122/2013</w:t>
        </w:r>
      </w:hyperlink>
      <w:r>
        <w:t>, f. 1.</w:t>
      </w:r>
    </w:p>
    <w:p w:rsidR="00E27756" w:rsidRDefault="00E27756" w:rsidP="00E27756">
      <w:pPr>
        <w:pStyle w:val="SangriaFrancesaArticulo"/>
      </w:pPr>
      <w:r w:rsidRPr="00E27756">
        <w:rPr>
          <w:rStyle w:val="TextoNormalNegritaCaracter"/>
        </w:rPr>
        <w:t>Artículo 21.22.5</w:t>
      </w:r>
      <w:r>
        <w:t xml:space="preserve"> </w:t>
      </w:r>
      <w:r w:rsidRPr="00E27756">
        <w:rPr>
          <w:rStyle w:val="TextoNormalCaracter"/>
        </w:rPr>
        <w:t>(redactado por la Ley 5/2012, de 20 de marzo)</w:t>
      </w:r>
      <w:r w:rsidRPr="00E27756">
        <w:rPr>
          <w:rStyle w:val="TextoNormalNegritaCaracter"/>
        </w:rPr>
        <w:t>.</w:t>
      </w:r>
      <w:r w:rsidRPr="00E27756">
        <w:rPr>
          <w:rStyle w:val="TextoNormalCaracter"/>
        </w:rPr>
        <w:t>-</w:t>
      </w:r>
      <w:r>
        <w:t xml:space="preserve"> Auto </w:t>
      </w:r>
      <w:hyperlink w:anchor="AUTO_2013_122" w:history="1">
        <w:r w:rsidRPr="00E27756">
          <w:rPr>
            <w:rStyle w:val="TextoNormalCaracter"/>
          </w:rPr>
          <w:t>122/2013</w:t>
        </w:r>
      </w:hyperlink>
      <w:r>
        <w:t>, f. 5.</w:t>
      </w:r>
    </w:p>
    <w:p w:rsidR="00E27756" w:rsidRDefault="00E27756" w:rsidP="00E27756">
      <w:pPr>
        <w:pStyle w:val="SangriaFrancesaArticulo"/>
      </w:pPr>
      <w:r w:rsidRPr="00E27756">
        <w:rPr>
          <w:rStyle w:val="TextoNormalNegritaCaracter"/>
        </w:rPr>
        <w:t>Artículo 21.22.5</w:t>
      </w:r>
      <w:r>
        <w:t xml:space="preserve"> </w:t>
      </w:r>
      <w:r w:rsidRPr="00E27756">
        <w:rPr>
          <w:rStyle w:val="TextoNormalCaracter"/>
        </w:rPr>
        <w:t>(redactado por la Ley del Parlamento de Cataluña 5/2012, de 20 de marzo)</w:t>
      </w:r>
      <w:r w:rsidRPr="00E27756">
        <w:rPr>
          <w:rStyle w:val="TextoNormalNegritaCaracter"/>
        </w:rPr>
        <w:t>.</w:t>
      </w:r>
      <w:r w:rsidRPr="00E27756">
        <w:rPr>
          <w:rStyle w:val="TextoNormalCaracter"/>
        </w:rPr>
        <w:t>-</w:t>
      </w:r>
      <w:r>
        <w:t xml:space="preserve"> Auto </w:t>
      </w:r>
      <w:hyperlink w:anchor="AUTO_2013_122" w:history="1">
        <w:r w:rsidRPr="00E27756">
          <w:rPr>
            <w:rStyle w:val="TextoNormalCaracter"/>
          </w:rPr>
          <w:t>122/2013</w:t>
        </w:r>
      </w:hyperlink>
      <w:r>
        <w:t>, f. 5.</w:t>
      </w:r>
    </w:p>
    <w:p w:rsidR="00E27756" w:rsidRDefault="00E27756" w:rsidP="00E27756">
      <w:pPr>
        <w:pStyle w:val="SangriaFrancesaArticulo"/>
      </w:pPr>
    </w:p>
    <w:p w:rsidR="00E27756" w:rsidRDefault="00E27756" w:rsidP="00E27756">
      <w:pPr>
        <w:pStyle w:val="TextoNormalNegritaCursivandice"/>
      </w:pPr>
      <w:r>
        <w:t>Decreto-ley de la Generalitat de Cataluña 1/2009, de 22 de diciembre. Ordenación de los equipamientos comerciales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0" w:history="1">
        <w:r w:rsidRPr="00E27756">
          <w:rPr>
            <w:rStyle w:val="TextoNormalCaracter"/>
          </w:rPr>
          <w:t>10/2013</w:t>
        </w:r>
      </w:hyperlink>
      <w:r>
        <w:t>, f. 4.</w:t>
      </w:r>
    </w:p>
    <w:p w:rsidR="00E27756" w:rsidRDefault="00E27756" w:rsidP="00E27756">
      <w:pPr>
        <w:pStyle w:val="SangriaFrancesaArticulo"/>
      </w:pPr>
      <w:r w:rsidRPr="00E27756">
        <w:rPr>
          <w:rStyle w:val="TextoNormalNegritaCaracter"/>
        </w:rPr>
        <w:t>Artículo 9.3.</w:t>
      </w:r>
      <w:r w:rsidRPr="00E27756">
        <w:rPr>
          <w:rStyle w:val="TextoNormalCaracter"/>
        </w:rPr>
        <w:t>-</w:t>
      </w:r>
      <w:r>
        <w:t xml:space="preserve"> Auto </w:t>
      </w:r>
      <w:hyperlink w:anchor="AUTO_2013_10" w:history="1">
        <w:r w:rsidRPr="00E27756">
          <w:rPr>
            <w:rStyle w:val="TextoNormalCaracter"/>
          </w:rPr>
          <w:t>10/2013</w:t>
        </w:r>
      </w:hyperlink>
      <w:r>
        <w:t>, ff. 1, 4.</w:t>
      </w:r>
    </w:p>
    <w:p w:rsidR="00E27756" w:rsidRDefault="00E27756" w:rsidP="00E27756">
      <w:pPr>
        <w:pStyle w:val="SangriaFrancesaArticulo"/>
      </w:pPr>
      <w:r w:rsidRPr="00E27756">
        <w:rPr>
          <w:rStyle w:val="TextoNormalNegritaCaracter"/>
        </w:rPr>
        <w:t>Artículo 9.3</w:t>
      </w:r>
      <w:r>
        <w:t xml:space="preserve"> </w:t>
      </w:r>
      <w:r w:rsidRPr="00E27756">
        <w:rPr>
          <w:rStyle w:val="TextoNormalCaracter"/>
        </w:rPr>
        <w:t>(redactado por la Ley del Parlamento de Cataluña 9/2011, de 29 de diciembre)</w:t>
      </w:r>
      <w:r w:rsidRPr="00E27756">
        <w:rPr>
          <w:rStyle w:val="TextoNormalNegritaCaracter"/>
        </w:rPr>
        <w:t>.</w:t>
      </w:r>
      <w:r w:rsidRPr="00E27756">
        <w:rPr>
          <w:rStyle w:val="TextoNormalCaracter"/>
        </w:rPr>
        <w:t>-</w:t>
      </w:r>
      <w:r>
        <w:t xml:space="preserve"> Auto </w:t>
      </w:r>
      <w:hyperlink w:anchor="AUTO_2013_10" w:history="1">
        <w:r w:rsidRPr="00E27756">
          <w:rPr>
            <w:rStyle w:val="TextoNormalCaracter"/>
          </w:rPr>
          <w:t>10/2013</w:t>
        </w:r>
      </w:hyperlink>
      <w:r>
        <w:t>, ff. 1, 4.</w:t>
      </w:r>
    </w:p>
    <w:p w:rsidR="00E27756" w:rsidRDefault="00E27756" w:rsidP="00E27756">
      <w:pPr>
        <w:pStyle w:val="SangriaFrancesaArticulo"/>
      </w:pPr>
      <w:r w:rsidRPr="00E27756">
        <w:rPr>
          <w:rStyle w:val="TextoNormalNegritaCaracter"/>
        </w:rPr>
        <w:t>Artículo 9.4.</w:t>
      </w:r>
      <w:r w:rsidRPr="00E27756">
        <w:rPr>
          <w:rStyle w:val="TextoNormalCaracter"/>
        </w:rPr>
        <w:t>-</w:t>
      </w:r>
      <w:r>
        <w:t xml:space="preserve"> Auto </w:t>
      </w:r>
      <w:hyperlink w:anchor="AUTO_2013_10" w:history="1">
        <w:r w:rsidRPr="00E27756">
          <w:rPr>
            <w:rStyle w:val="TextoNormalCaracter"/>
          </w:rPr>
          <w:t>10/2013</w:t>
        </w:r>
      </w:hyperlink>
      <w:r>
        <w:t>, ff. 1, 4.</w:t>
      </w:r>
    </w:p>
    <w:p w:rsidR="00E27756" w:rsidRDefault="00E27756" w:rsidP="00E27756">
      <w:pPr>
        <w:pStyle w:val="SangriaFrancesaArticulo"/>
      </w:pPr>
      <w:r w:rsidRPr="00E27756">
        <w:rPr>
          <w:rStyle w:val="TextoNormalNegritaCaracter"/>
        </w:rPr>
        <w:t>Artículo 9.4</w:t>
      </w:r>
      <w:r>
        <w:t xml:space="preserve"> </w:t>
      </w:r>
      <w:r w:rsidRPr="00E27756">
        <w:rPr>
          <w:rStyle w:val="TextoNormalCaracter"/>
        </w:rPr>
        <w:t>(redactado por la Ley del Parlamento de Cataluña 9/2011, de 29 de diciembre)</w:t>
      </w:r>
      <w:r w:rsidRPr="00E27756">
        <w:rPr>
          <w:rStyle w:val="TextoNormalNegritaCaracter"/>
        </w:rPr>
        <w:t>.</w:t>
      </w:r>
      <w:r w:rsidRPr="00E27756">
        <w:rPr>
          <w:rStyle w:val="TextoNormalCaracter"/>
        </w:rPr>
        <w:t>-</w:t>
      </w:r>
      <w:r>
        <w:t xml:space="preserve"> Auto </w:t>
      </w:r>
      <w:hyperlink w:anchor="AUTO_2013_10" w:history="1">
        <w:r w:rsidRPr="00E27756">
          <w:rPr>
            <w:rStyle w:val="TextoNormalCaracter"/>
          </w:rPr>
          <w:t>10/2013</w:t>
        </w:r>
      </w:hyperlink>
      <w:r>
        <w:t>, ff. 1, 4.</w:t>
      </w:r>
    </w:p>
    <w:p w:rsidR="00E27756" w:rsidRDefault="00E27756" w:rsidP="00E27756">
      <w:pPr>
        <w:pStyle w:val="SangriaFrancesaArticulo"/>
      </w:pPr>
    </w:p>
    <w:p w:rsidR="00E27756" w:rsidRDefault="00E27756" w:rsidP="00E27756">
      <w:pPr>
        <w:pStyle w:val="TextoNormalNegritaCursivandice"/>
      </w:pPr>
      <w:r>
        <w:t>Ley del Parlamento de Cataluña 26/2010, de 3 de agosto. Régimen jurídico y de procedimiento de las administraciones públicas de Cataluña</w:t>
      </w:r>
    </w:p>
    <w:p w:rsidR="00E27756" w:rsidRDefault="00E27756" w:rsidP="00E27756">
      <w:pPr>
        <w:pStyle w:val="SangriaFrancesaArticulo"/>
      </w:pPr>
      <w:r w:rsidRPr="00E27756">
        <w:rPr>
          <w:rStyle w:val="TextoNormalNegritaCaracter"/>
        </w:rPr>
        <w:t>Artículo 36.2.</w:t>
      </w:r>
      <w:r w:rsidRPr="00E27756">
        <w:rPr>
          <w:rStyle w:val="TextoNormalCaracter"/>
        </w:rPr>
        <w:t>-</w:t>
      </w:r>
      <w:r>
        <w:t xml:space="preserve"> Auto </w:t>
      </w:r>
      <w:hyperlink w:anchor="AUTO_2013_80" w:history="1">
        <w:r w:rsidRPr="00E27756">
          <w:rPr>
            <w:rStyle w:val="TextoNormalCaracter"/>
          </w:rPr>
          <w:t>80/2013</w:t>
        </w:r>
      </w:hyperlink>
      <w:r>
        <w:t>, f. 4.</w:t>
      </w:r>
    </w:p>
    <w:p w:rsidR="00E27756" w:rsidRDefault="00E27756" w:rsidP="00E27756">
      <w:pPr>
        <w:pStyle w:val="SangriaFrancesaArticulo"/>
      </w:pPr>
    </w:p>
    <w:p w:rsidR="00E27756" w:rsidRDefault="00E27756" w:rsidP="00E27756">
      <w:pPr>
        <w:pStyle w:val="TextoNormalNegritaCursivandice"/>
      </w:pPr>
      <w:r>
        <w:t>Decreto Legislativo de la Generalidad de Cataluña 1/2010, de 3 de agosto. Texto refundido de la Ley de urbanismo de Cataluña 2010</w:t>
      </w:r>
    </w:p>
    <w:p w:rsidR="00E27756" w:rsidRDefault="00E27756" w:rsidP="00E27756">
      <w:pPr>
        <w:pStyle w:val="SangriaFrancesaArticulo"/>
      </w:pPr>
      <w:r w:rsidRPr="00E27756">
        <w:rPr>
          <w:rStyle w:val="TextoNormalNegritaCaracter"/>
        </w:rPr>
        <w:t>Artículo 167</w:t>
      </w:r>
      <w:r>
        <w:t xml:space="preserve"> </w:t>
      </w:r>
      <w:r w:rsidRPr="00E27756">
        <w:rPr>
          <w:rStyle w:val="TextoNormalCaracter"/>
        </w:rPr>
        <w:t>(redactado por la Ley del Parlamento de Cataluña 3/2012, de 22 de febrero)</w:t>
      </w:r>
      <w:r w:rsidRPr="00E27756">
        <w:rPr>
          <w:rStyle w:val="TextoNormalNegritaCaracter"/>
        </w:rPr>
        <w:t>.</w:t>
      </w:r>
      <w:r w:rsidRPr="00E27756">
        <w:rPr>
          <w:rStyle w:val="TextoNormalCaracter"/>
        </w:rPr>
        <w:t>-</w:t>
      </w:r>
      <w:r>
        <w:t xml:space="preserve"> Auto </w:t>
      </w:r>
      <w:hyperlink w:anchor="AUTO_2013_80" w:history="1">
        <w:r w:rsidRPr="00E27756">
          <w:rPr>
            <w:rStyle w:val="TextoNormalCaracter"/>
          </w:rPr>
          <w:t>80/2013</w:t>
        </w:r>
      </w:hyperlink>
      <w:r>
        <w:t>, f. 3.</w:t>
      </w:r>
    </w:p>
    <w:p w:rsidR="00E27756" w:rsidRDefault="00E27756" w:rsidP="00E27756">
      <w:pPr>
        <w:pStyle w:val="SangriaFrancesaArticulo"/>
      </w:pPr>
      <w:r w:rsidRPr="00E27756">
        <w:rPr>
          <w:rStyle w:val="TextoNormalNegritaCaracter"/>
        </w:rPr>
        <w:t>Artículo 167, apartado 1</w:t>
      </w:r>
      <w:r>
        <w:t xml:space="preserve"> </w:t>
      </w:r>
      <w:r w:rsidRPr="00E27756">
        <w:rPr>
          <w:rStyle w:val="TextoNormalCaracter"/>
        </w:rPr>
        <w:t>(redactado por la Ley del Parlamento de Cataluña 3/2012, de 22 de febrero)</w:t>
      </w:r>
      <w:r w:rsidRPr="00E27756">
        <w:rPr>
          <w:rStyle w:val="TextoNormalNegritaCaracter"/>
        </w:rPr>
        <w:t>.</w:t>
      </w:r>
      <w:r w:rsidRPr="00E27756">
        <w:rPr>
          <w:rStyle w:val="TextoNormalCaracter"/>
        </w:rPr>
        <w:t>-</w:t>
      </w:r>
      <w:r>
        <w:t xml:space="preserve"> Auto </w:t>
      </w:r>
      <w:hyperlink w:anchor="AUTO_2013_80" w:history="1">
        <w:r w:rsidRPr="00E27756">
          <w:rPr>
            <w:rStyle w:val="TextoNormalCaracter"/>
          </w:rPr>
          <w:t>80/2013</w:t>
        </w:r>
      </w:hyperlink>
      <w:r>
        <w:t>, f. 3.</w:t>
      </w:r>
    </w:p>
    <w:p w:rsidR="00E27756" w:rsidRDefault="00E27756" w:rsidP="00E27756">
      <w:pPr>
        <w:pStyle w:val="SangriaFrancesaArticulo"/>
      </w:pPr>
      <w:r w:rsidRPr="00E27756">
        <w:rPr>
          <w:rStyle w:val="TextoNormalNegritaCaracter"/>
        </w:rPr>
        <w:t>Artículo 187, apartado 5</w:t>
      </w:r>
      <w:r>
        <w:t xml:space="preserve"> </w:t>
      </w:r>
      <w:r w:rsidRPr="00E27756">
        <w:rPr>
          <w:rStyle w:val="TextoNormalCaracter"/>
        </w:rPr>
        <w:t>(redactado por la Ley del Parlamento de Cataluña 3/2012, de 22 de febrero)</w:t>
      </w:r>
      <w:r w:rsidRPr="00E27756">
        <w:rPr>
          <w:rStyle w:val="TextoNormalNegritaCaracter"/>
        </w:rPr>
        <w:t>.</w:t>
      </w:r>
      <w:r w:rsidRPr="00E27756">
        <w:rPr>
          <w:rStyle w:val="TextoNormalCaracter"/>
        </w:rPr>
        <w:t>-</w:t>
      </w:r>
      <w:r>
        <w:t xml:space="preserve"> Auto </w:t>
      </w:r>
      <w:hyperlink w:anchor="AUTO_2013_80" w:history="1">
        <w:r w:rsidRPr="00E27756">
          <w:rPr>
            <w:rStyle w:val="TextoNormalCaracter"/>
          </w:rPr>
          <w:t>80/2013</w:t>
        </w:r>
      </w:hyperlink>
      <w:r>
        <w:t>, f. 4.</w:t>
      </w:r>
    </w:p>
    <w:p w:rsidR="00E27756" w:rsidRDefault="00E27756" w:rsidP="00E27756">
      <w:pPr>
        <w:pStyle w:val="SangriaFrancesaArticulo"/>
      </w:pPr>
    </w:p>
    <w:p w:rsidR="00E27756" w:rsidRDefault="00E27756" w:rsidP="00E27756">
      <w:pPr>
        <w:pStyle w:val="TextoNormalNegritaCursivandice"/>
      </w:pPr>
      <w:r>
        <w:t>Ley del Parlamento de Cataluña 9/2011, de 29 de diciembre. Promoción de la actividad económica</w:t>
      </w:r>
    </w:p>
    <w:p w:rsidR="00E27756" w:rsidRDefault="00E27756" w:rsidP="00E27756">
      <w:pPr>
        <w:pStyle w:val="SangriaFrancesaArticulo"/>
      </w:pPr>
      <w:r w:rsidRPr="00E27756">
        <w:rPr>
          <w:rStyle w:val="TextoNormalNegritaCaracter"/>
        </w:rPr>
        <w:t>Artículo 114.</w:t>
      </w:r>
      <w:r w:rsidRPr="00E27756">
        <w:rPr>
          <w:rStyle w:val="TextoNormalCaracter"/>
        </w:rPr>
        <w:t>-</w:t>
      </w:r>
      <w:r>
        <w:t xml:space="preserve"> Auto </w:t>
      </w:r>
      <w:hyperlink w:anchor="AUTO_2013_10" w:history="1">
        <w:r w:rsidRPr="00E27756">
          <w:rPr>
            <w:rStyle w:val="TextoNormalCaracter"/>
          </w:rPr>
          <w:t>10/2013</w:t>
        </w:r>
      </w:hyperlink>
      <w:r>
        <w:t>, ff. 1, 4.</w:t>
      </w:r>
    </w:p>
    <w:p w:rsidR="00E27756" w:rsidRDefault="00E27756" w:rsidP="00E27756">
      <w:pPr>
        <w:pStyle w:val="SangriaFrancesaArticulo"/>
      </w:pPr>
    </w:p>
    <w:p w:rsidR="00E27756" w:rsidRDefault="00E27756" w:rsidP="00E27756">
      <w:pPr>
        <w:pStyle w:val="TextoNormalNegritaCursivandice"/>
      </w:pPr>
      <w:r>
        <w:t>Ley del Parlamento de Cataluña 2/2012, de 22 de febrero. Modificación de varias leyes en materia audiovisual</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Auto </w:t>
      </w:r>
      <w:hyperlink w:anchor="AUTO_2013_60" w:history="1">
        <w:r w:rsidRPr="00E27756">
          <w:rPr>
            <w:rStyle w:val="TextoNormalCaracter"/>
          </w:rPr>
          <w:t>60/2013</w:t>
        </w:r>
      </w:hyperlink>
      <w:r>
        <w:t>, ff. 1, 3, 5.</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Auto </w:t>
      </w:r>
      <w:hyperlink w:anchor="AUTO_2013_60" w:history="1">
        <w:r w:rsidRPr="00E27756">
          <w:rPr>
            <w:rStyle w:val="TextoNormalCaracter"/>
          </w:rPr>
          <w:t>60/2013</w:t>
        </w:r>
      </w:hyperlink>
      <w:r>
        <w:t>, ff. 1, 3, 5.</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Autos </w:t>
      </w:r>
      <w:hyperlink w:anchor="AUTO_2013_60" w:history="1">
        <w:r w:rsidRPr="00E27756">
          <w:rPr>
            <w:rStyle w:val="TextoNormalCaracter"/>
          </w:rPr>
          <w:t>60/2013</w:t>
        </w:r>
      </w:hyperlink>
      <w:r>
        <w:t xml:space="preserve">, ff. 1, 5; </w:t>
      </w:r>
      <w:hyperlink w:anchor="AUTO_2013_60" w:history="1">
        <w:r w:rsidRPr="00E27756">
          <w:rPr>
            <w:rStyle w:val="TextoNormalCaracter"/>
          </w:rPr>
          <w:t>60/2013</w:t>
        </w:r>
      </w:hyperlink>
      <w:r>
        <w:t>, f. 3.</w:t>
      </w:r>
    </w:p>
    <w:p w:rsidR="00E27756" w:rsidRDefault="00E27756" w:rsidP="00E27756">
      <w:pPr>
        <w:pStyle w:val="SangriaFrancesaArticulo"/>
      </w:pPr>
    </w:p>
    <w:p w:rsidR="00E27756" w:rsidRDefault="00E27756" w:rsidP="00E27756">
      <w:pPr>
        <w:pStyle w:val="TextoNormalNegritaCursivandice"/>
      </w:pPr>
      <w:r>
        <w:t>Ley del Parlamento de Cataluña 3/2012, de 22 de febrero. Modificación del texto refundido de la Ley de urbanismo, aprobado por el Decreto Legislativo 1/2010, de 3 de agosto.</w:t>
      </w:r>
    </w:p>
    <w:p w:rsidR="00E27756" w:rsidRDefault="00E27756" w:rsidP="00E27756">
      <w:pPr>
        <w:pStyle w:val="SangriaFrancesaArticulo"/>
      </w:pPr>
      <w:r w:rsidRPr="00E27756">
        <w:rPr>
          <w:rStyle w:val="TextoNormalNegritaCaracter"/>
        </w:rPr>
        <w:t>Artículo 59.</w:t>
      </w:r>
      <w:r w:rsidRPr="00E27756">
        <w:rPr>
          <w:rStyle w:val="TextoNormalCaracter"/>
        </w:rPr>
        <w:t>-</w:t>
      </w:r>
      <w:r>
        <w:t xml:space="preserve"> Auto </w:t>
      </w:r>
      <w:hyperlink w:anchor="AUTO_2013_80" w:history="1">
        <w:r w:rsidRPr="00E27756">
          <w:rPr>
            <w:rStyle w:val="TextoNormalCaracter"/>
          </w:rPr>
          <w:t>80/2013</w:t>
        </w:r>
      </w:hyperlink>
      <w:r>
        <w:t>, ff. 1, 3.</w:t>
      </w:r>
    </w:p>
    <w:p w:rsidR="00E27756" w:rsidRDefault="00E27756" w:rsidP="00E27756">
      <w:pPr>
        <w:pStyle w:val="SangriaFrancesaArticulo"/>
      </w:pPr>
      <w:r w:rsidRPr="00E27756">
        <w:rPr>
          <w:rStyle w:val="TextoNormalNegritaCaracter"/>
        </w:rPr>
        <w:t>Artículo 64.4.</w:t>
      </w:r>
      <w:r w:rsidRPr="00E27756">
        <w:rPr>
          <w:rStyle w:val="TextoNormalCaracter"/>
        </w:rPr>
        <w:t>-</w:t>
      </w:r>
      <w:r>
        <w:t xml:space="preserve"> Auto </w:t>
      </w:r>
      <w:hyperlink w:anchor="AUTO_2013_80" w:history="1">
        <w:r w:rsidRPr="00E27756">
          <w:rPr>
            <w:rStyle w:val="TextoNormalCaracter"/>
          </w:rPr>
          <w:t>80/2013</w:t>
        </w:r>
      </w:hyperlink>
      <w:r>
        <w:t>, ff. 1, 3, 4.</w:t>
      </w:r>
    </w:p>
    <w:p w:rsidR="00E27756" w:rsidRDefault="00E27756" w:rsidP="00E27756">
      <w:pPr>
        <w:pStyle w:val="SangriaFrancesaArticulo"/>
      </w:pPr>
      <w:r w:rsidRPr="00E27756">
        <w:rPr>
          <w:rStyle w:val="TextoNormalNegritaCaracter"/>
        </w:rPr>
        <w:lastRenderedPageBreak/>
        <w:t>Disposición adicional sexta, apartado 7.</w:t>
      </w:r>
      <w:r w:rsidRPr="00E27756">
        <w:rPr>
          <w:rStyle w:val="TextoNormalCaracter"/>
        </w:rPr>
        <w:t>-</w:t>
      </w:r>
      <w:r>
        <w:t xml:space="preserve"> Auto </w:t>
      </w:r>
      <w:hyperlink w:anchor="AUTO_2013_80" w:history="1">
        <w:r w:rsidRPr="00E27756">
          <w:rPr>
            <w:rStyle w:val="TextoNormalCaracter"/>
          </w:rPr>
          <w:t>80/2013</w:t>
        </w:r>
      </w:hyperlink>
      <w:r>
        <w:t>, ff. 1, 5.</w:t>
      </w:r>
    </w:p>
    <w:p w:rsidR="00E27756" w:rsidRDefault="00E27756" w:rsidP="00E27756">
      <w:pPr>
        <w:pStyle w:val="SangriaFrancesaArticulo"/>
      </w:pPr>
    </w:p>
    <w:p w:rsidR="00E27756" w:rsidRDefault="00E27756" w:rsidP="00E27756">
      <w:pPr>
        <w:pStyle w:val="TextoNormalNegritaCursivandice"/>
      </w:pPr>
      <w:r>
        <w:t>Ley del Parlamento de Cataluña 5/2012, de 20 de marzo. Medidas fiscales, financieras y administrativas y de creación del impuesto sobre las estancias en establecimientos turísticos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22" w:history="1">
        <w:r w:rsidRPr="00E27756">
          <w:rPr>
            <w:rStyle w:val="TextoNormalCaracter"/>
          </w:rPr>
          <w:t>122/2013</w:t>
        </w:r>
      </w:hyperlink>
      <w:r>
        <w:t>, ff. 3, 4.</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Auto </w:t>
      </w:r>
      <w:hyperlink w:anchor="AUTO_2013_85" w:history="1">
        <w:r w:rsidRPr="00E27756">
          <w:rPr>
            <w:rStyle w:val="TextoNormalCaracter"/>
          </w:rPr>
          <w:t>85/2013</w:t>
        </w:r>
      </w:hyperlink>
      <w:r>
        <w:t>, f. 6.</w:t>
      </w:r>
    </w:p>
    <w:p w:rsidR="00E27756" w:rsidRDefault="00E27756" w:rsidP="00E27756">
      <w:pPr>
        <w:pStyle w:val="SangriaFrancesaArticulo"/>
      </w:pPr>
      <w:r w:rsidRPr="00E27756">
        <w:rPr>
          <w:rStyle w:val="TextoNormalNegritaCaracter"/>
        </w:rPr>
        <w:t>Artículo 3 bis.1.7.</w:t>
      </w:r>
      <w:r w:rsidRPr="00E27756">
        <w:rPr>
          <w:rStyle w:val="TextoNormalCaracter"/>
        </w:rPr>
        <w:t>-</w:t>
      </w:r>
      <w:r>
        <w:t xml:space="preserve"> Auto </w:t>
      </w:r>
      <w:hyperlink w:anchor="AUTO_2013_122" w:history="1">
        <w:r w:rsidRPr="00E27756">
          <w:rPr>
            <w:rStyle w:val="TextoNormalCaracter"/>
          </w:rPr>
          <w:t>122/2013</w:t>
        </w:r>
      </w:hyperlink>
      <w:r>
        <w:t>, f. 4.</w:t>
      </w:r>
    </w:p>
    <w:p w:rsidR="00E27756" w:rsidRDefault="00E27756" w:rsidP="00E27756">
      <w:pPr>
        <w:pStyle w:val="SangriaFrancesaArticulo"/>
      </w:pPr>
      <w:r w:rsidRPr="00E27756">
        <w:rPr>
          <w:rStyle w:val="TextoNormalNegritaCaracter"/>
        </w:rPr>
        <w:t>Artículo 16.</w:t>
      </w:r>
      <w:r w:rsidRPr="00E27756">
        <w:rPr>
          <w:rStyle w:val="TextoNormalCaracter"/>
        </w:rPr>
        <w:t>-</w:t>
      </w:r>
      <w:r>
        <w:t xml:space="preserve"> Auto </w:t>
      </w:r>
      <w:hyperlink w:anchor="AUTO_2013_122" w:history="1">
        <w:r w:rsidRPr="00E27756">
          <w:rPr>
            <w:rStyle w:val="TextoNormalCaracter"/>
          </w:rPr>
          <w:t>122/2013</w:t>
        </w:r>
      </w:hyperlink>
      <w:r>
        <w:t>, f. 1.</w:t>
      </w:r>
    </w:p>
    <w:p w:rsidR="00E27756" w:rsidRDefault="00E27756" w:rsidP="00E27756">
      <w:pPr>
        <w:pStyle w:val="SangriaFrancesaArticulo"/>
      </w:pPr>
      <w:r w:rsidRPr="00E27756">
        <w:rPr>
          <w:rStyle w:val="TextoNormalNegritaCaracter"/>
        </w:rPr>
        <w:t>Artículo 21.22.1.</w:t>
      </w:r>
      <w:r w:rsidRPr="00E27756">
        <w:rPr>
          <w:rStyle w:val="TextoNormalCaracter"/>
        </w:rPr>
        <w:t>-</w:t>
      </w:r>
      <w:r>
        <w:t xml:space="preserve"> Auto </w:t>
      </w:r>
      <w:hyperlink w:anchor="AUTO_2013_142" w:history="1">
        <w:r w:rsidRPr="00E27756">
          <w:rPr>
            <w:rStyle w:val="TextoNormalCaracter"/>
          </w:rPr>
          <w:t>142/2013</w:t>
        </w:r>
      </w:hyperlink>
      <w:r>
        <w:t>, f. 2.</w:t>
      </w:r>
    </w:p>
    <w:p w:rsidR="00E27756" w:rsidRDefault="00E27756" w:rsidP="00E27756">
      <w:pPr>
        <w:pStyle w:val="SangriaFrancesaArticulo"/>
      </w:pPr>
      <w:r w:rsidRPr="00E27756">
        <w:rPr>
          <w:rStyle w:val="TextoNormalNegritaCaracter"/>
        </w:rPr>
        <w:t>Artículo 21.22.2.</w:t>
      </w:r>
      <w:r w:rsidRPr="00E27756">
        <w:rPr>
          <w:rStyle w:val="TextoNormalCaracter"/>
        </w:rPr>
        <w:t>-</w:t>
      </w:r>
      <w:r>
        <w:t xml:space="preserve"> Auto </w:t>
      </w:r>
      <w:hyperlink w:anchor="AUTO_2013_142" w:history="1">
        <w:r w:rsidRPr="00E27756">
          <w:rPr>
            <w:rStyle w:val="TextoNormalCaracter"/>
          </w:rPr>
          <w:t>142/2013</w:t>
        </w:r>
      </w:hyperlink>
      <w:r>
        <w:t>, f. 2.</w:t>
      </w:r>
    </w:p>
    <w:p w:rsidR="00E27756" w:rsidRDefault="00E27756" w:rsidP="00E27756">
      <w:pPr>
        <w:pStyle w:val="SangriaFrancesaArticulo"/>
      </w:pPr>
      <w:r w:rsidRPr="00E27756">
        <w:rPr>
          <w:rStyle w:val="TextoNormalNegritaCaracter"/>
        </w:rPr>
        <w:t>Artículo 21.22.4.</w:t>
      </w:r>
      <w:r w:rsidRPr="00E27756">
        <w:rPr>
          <w:rStyle w:val="TextoNormalCaracter"/>
        </w:rPr>
        <w:t>-</w:t>
      </w:r>
      <w:r>
        <w:t xml:space="preserve"> Auto </w:t>
      </w:r>
      <w:hyperlink w:anchor="AUTO_2013_142" w:history="1">
        <w:r w:rsidRPr="00E27756">
          <w:rPr>
            <w:rStyle w:val="TextoNormalCaracter"/>
          </w:rPr>
          <w:t>142/2013</w:t>
        </w:r>
      </w:hyperlink>
      <w:r>
        <w:t>, f. 2.</w:t>
      </w:r>
    </w:p>
    <w:p w:rsidR="00E27756" w:rsidRDefault="00E27756" w:rsidP="00E27756">
      <w:pPr>
        <w:pStyle w:val="SangriaFrancesaArticulo"/>
      </w:pPr>
      <w:r w:rsidRPr="00E27756">
        <w:rPr>
          <w:rStyle w:val="TextoNormalNegritaCaracter"/>
        </w:rPr>
        <w:t>Artículo 21.22.5.</w:t>
      </w:r>
      <w:r w:rsidRPr="00E27756">
        <w:rPr>
          <w:rStyle w:val="TextoNormalCaracter"/>
        </w:rPr>
        <w:t>-</w:t>
      </w:r>
      <w:r>
        <w:t xml:space="preserve"> Auto </w:t>
      </w:r>
      <w:hyperlink w:anchor="AUTO_2013_142" w:history="1">
        <w:r w:rsidRPr="00E27756">
          <w:rPr>
            <w:rStyle w:val="TextoNormalCaracter"/>
          </w:rPr>
          <w:t>142/2013</w:t>
        </w:r>
      </w:hyperlink>
      <w:r>
        <w:t>, f. 2.</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Autos </w:t>
      </w:r>
      <w:hyperlink w:anchor="AUTO_2013_122" w:history="1">
        <w:r w:rsidRPr="00E27756">
          <w:rPr>
            <w:rStyle w:val="TextoNormalCaracter"/>
          </w:rPr>
          <w:t>122/2013</w:t>
        </w:r>
      </w:hyperlink>
      <w:r>
        <w:t xml:space="preserve">, ff. 1, 5; </w:t>
      </w:r>
      <w:hyperlink w:anchor="AUTO_2013_142" w:history="1">
        <w:r w:rsidRPr="00E27756">
          <w:rPr>
            <w:rStyle w:val="TextoNormalCaracter"/>
          </w:rPr>
          <w:t>142/2013</w:t>
        </w:r>
      </w:hyperlink>
      <w:r>
        <w:t>, f. 2.</w:t>
      </w:r>
    </w:p>
    <w:p w:rsidR="00E27756" w:rsidRDefault="00E27756" w:rsidP="00E27756">
      <w:pPr>
        <w:pStyle w:val="SangriaFrancesaArticulo"/>
      </w:pPr>
      <w:r w:rsidRPr="00E27756">
        <w:rPr>
          <w:rStyle w:val="TextoNormalNegritaCaracter"/>
        </w:rPr>
        <w:t>Disposición adicional decimotercera.</w:t>
      </w:r>
      <w:r w:rsidRPr="00E27756">
        <w:rPr>
          <w:rStyle w:val="TextoNormalCaracter"/>
        </w:rPr>
        <w:t>-</w:t>
      </w:r>
      <w:r>
        <w:t xml:space="preserve"> Autos </w:t>
      </w:r>
      <w:hyperlink w:anchor="AUTO_2013_85" w:history="1">
        <w:r w:rsidRPr="00E27756">
          <w:rPr>
            <w:rStyle w:val="TextoNormalCaracter"/>
          </w:rPr>
          <w:t>85/2013</w:t>
        </w:r>
      </w:hyperlink>
      <w:r>
        <w:t xml:space="preserve">, ff. 5, 6; </w:t>
      </w:r>
      <w:hyperlink w:anchor="AUTO_2013_125" w:history="1">
        <w:r w:rsidRPr="00E27756">
          <w:rPr>
            <w:rStyle w:val="TextoNormalCaracter"/>
          </w:rPr>
          <w:t>125/2013</w:t>
        </w:r>
      </w:hyperlink>
      <w:r>
        <w:t xml:space="preserve">, f. 2; </w:t>
      </w:r>
      <w:hyperlink w:anchor="AUTO_2013_127" w:history="1">
        <w:r w:rsidRPr="00E27756">
          <w:rPr>
            <w:rStyle w:val="TextoNormalCaracter"/>
          </w:rPr>
          <w:t>127/2013</w:t>
        </w:r>
      </w:hyperlink>
      <w:r>
        <w:t xml:space="preserve">, f. 2; </w:t>
      </w:r>
      <w:hyperlink w:anchor="AUTO_2013_128" w:history="1">
        <w:r w:rsidRPr="00E27756">
          <w:rPr>
            <w:rStyle w:val="TextoNormalCaracter"/>
          </w:rPr>
          <w:t>128/2013</w:t>
        </w:r>
      </w:hyperlink>
      <w:r>
        <w:t>, f. 2.</w:t>
      </w:r>
    </w:p>
    <w:p w:rsidR="00E27756" w:rsidRDefault="00E27756" w:rsidP="00E27756">
      <w:pPr>
        <w:pStyle w:val="SangriaFrancesaArticulo"/>
      </w:pPr>
      <w:r w:rsidRPr="00E27756">
        <w:rPr>
          <w:rStyle w:val="TextoNormalNegritaCaracter"/>
        </w:rPr>
        <w:t>Disposición transitoria novena.</w:t>
      </w:r>
      <w:r w:rsidRPr="00E27756">
        <w:rPr>
          <w:rStyle w:val="TextoNormalCaracter"/>
        </w:rPr>
        <w:t>-</w:t>
      </w:r>
      <w:r>
        <w:t xml:space="preserve"> Auto </w:t>
      </w:r>
      <w:hyperlink w:anchor="AUTO_2013_125" w:history="1">
        <w:r w:rsidRPr="00E27756">
          <w:rPr>
            <w:rStyle w:val="TextoNormalCaracter"/>
          </w:rPr>
          <w:t>125/2013</w:t>
        </w:r>
      </w:hyperlink>
      <w:r>
        <w:t>, ff. 1, 2.</w:t>
      </w:r>
    </w:p>
    <w:p w:rsidR="00E27756" w:rsidRDefault="00E27756" w:rsidP="00E27756">
      <w:pPr>
        <w:pStyle w:val="SangriaFrancesaArticulo"/>
      </w:pPr>
      <w:r w:rsidRPr="00E27756">
        <w:rPr>
          <w:rStyle w:val="TextoNormalNegritaCaracter"/>
        </w:rPr>
        <w:t>Disposición transitoria novena, inciso 2.</w:t>
      </w:r>
      <w:r w:rsidRPr="00E27756">
        <w:rPr>
          <w:rStyle w:val="TextoNormalCaracter"/>
        </w:rPr>
        <w:t>-</w:t>
      </w:r>
      <w:r>
        <w:t xml:space="preserve"> Autos </w:t>
      </w:r>
      <w:hyperlink w:anchor="AUTO_2013_85" w:history="1">
        <w:r w:rsidRPr="00E27756">
          <w:rPr>
            <w:rStyle w:val="TextoNormalCaracter"/>
          </w:rPr>
          <w:t>85/2013</w:t>
        </w:r>
      </w:hyperlink>
      <w:r>
        <w:t xml:space="preserve">, ff. 1, 3; </w:t>
      </w:r>
      <w:hyperlink w:anchor="AUTO_2013_127" w:history="1">
        <w:r w:rsidRPr="00E27756">
          <w:rPr>
            <w:rStyle w:val="TextoNormalCaracter"/>
          </w:rPr>
          <w:t>127/2013</w:t>
        </w:r>
      </w:hyperlink>
      <w:r>
        <w:t xml:space="preserve">, ff. 1, 2; </w:t>
      </w:r>
      <w:hyperlink w:anchor="AUTO_2013_128" w:history="1">
        <w:r w:rsidRPr="00E27756">
          <w:rPr>
            <w:rStyle w:val="TextoNormalCaracter"/>
          </w:rPr>
          <w:t>128/2013</w:t>
        </w:r>
      </w:hyperlink>
      <w:r>
        <w:t>, ff. 1, 2.</w:t>
      </w:r>
    </w:p>
    <w:p w:rsidR="00E27756" w:rsidRDefault="00E27756" w:rsidP="00E27756">
      <w:pPr>
        <w:pStyle w:val="SangriaFrancesaArticulo"/>
      </w:pPr>
    </w:p>
    <w:p w:rsidR="00E27756" w:rsidRDefault="00E27756" w:rsidP="00E27756">
      <w:pPr>
        <w:pStyle w:val="TextoNormalNegritaCursivandice"/>
      </w:pPr>
      <w:r>
        <w:t>Decreto-ley de la Generalidad de Cataluña 4/2012, de 30 de octubre. Medidas en materia de horarios comerciales y determinadas actividades de promoción</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Autos </w:t>
      </w:r>
      <w:hyperlink w:anchor="AUTO_2013_146" w:history="1">
        <w:r w:rsidRPr="00E27756">
          <w:rPr>
            <w:rStyle w:val="TextoNormalCaracter"/>
          </w:rPr>
          <w:t>146/2013</w:t>
        </w:r>
      </w:hyperlink>
      <w:r>
        <w:t xml:space="preserve">, f. 3; </w:t>
      </w:r>
      <w:hyperlink w:anchor="AUTO_2013_146" w:history="1">
        <w:r w:rsidRPr="00E27756">
          <w:rPr>
            <w:rStyle w:val="TextoNormalCaracter"/>
          </w:rPr>
          <w:t>146/2013</w:t>
        </w:r>
      </w:hyperlink>
      <w:r>
        <w:t>, f. 3.</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Autos </w:t>
      </w:r>
      <w:hyperlink w:anchor="AUTO_2013_146" w:history="1">
        <w:r w:rsidRPr="00E27756">
          <w:rPr>
            <w:rStyle w:val="TextoNormalCaracter"/>
          </w:rPr>
          <w:t>146/2013</w:t>
        </w:r>
      </w:hyperlink>
      <w:r>
        <w:t xml:space="preserve">, f. 1; </w:t>
      </w:r>
      <w:hyperlink w:anchor="AUTO_2013_146" w:history="1">
        <w:r w:rsidRPr="00E27756">
          <w:rPr>
            <w:rStyle w:val="TextoNormalCaracter"/>
          </w:rPr>
          <w:t>146/2013</w:t>
        </w:r>
      </w:hyperlink>
      <w:r>
        <w:t>, f. 1.</w:t>
      </w:r>
    </w:p>
    <w:p w:rsidR="00E27756" w:rsidRDefault="00E27756" w:rsidP="00E27756">
      <w:pPr>
        <w:pStyle w:val="SangriaFrancesaArticulo"/>
      </w:pPr>
      <w:r w:rsidRPr="00E27756">
        <w:rPr>
          <w:rStyle w:val="TextoNormalNegritaCaracter"/>
        </w:rPr>
        <w:t>Artículo 27.</w:t>
      </w:r>
      <w:r w:rsidRPr="00E27756">
        <w:rPr>
          <w:rStyle w:val="TextoNormalCaracter"/>
        </w:rPr>
        <w:t>-</w:t>
      </w:r>
      <w:r>
        <w:t xml:space="preserve"> Autos </w:t>
      </w:r>
      <w:hyperlink w:anchor="AUTO_2013_146" w:history="1">
        <w:r w:rsidRPr="00E27756">
          <w:rPr>
            <w:rStyle w:val="TextoNormalCaracter"/>
          </w:rPr>
          <w:t>146/2013</w:t>
        </w:r>
      </w:hyperlink>
      <w:r>
        <w:t xml:space="preserve">, f. 3; </w:t>
      </w:r>
      <w:hyperlink w:anchor="AUTO_2013_146" w:history="1">
        <w:r w:rsidRPr="00E27756">
          <w:rPr>
            <w:rStyle w:val="TextoNormalCaracter"/>
          </w:rPr>
          <w:t>146/2013</w:t>
        </w:r>
      </w:hyperlink>
      <w:r>
        <w:t>, f. 3.</w:t>
      </w:r>
    </w:p>
    <w:p w:rsidR="00E27756" w:rsidRDefault="00E27756" w:rsidP="00E27756">
      <w:pPr>
        <w:pStyle w:val="SangriaFrancesaArticulo"/>
      </w:pPr>
      <w:r w:rsidRPr="00E27756">
        <w:rPr>
          <w:rStyle w:val="TextoNormalNegritaCaracter"/>
        </w:rPr>
        <w:t>Artículo 28.</w:t>
      </w:r>
      <w:r w:rsidRPr="00E27756">
        <w:rPr>
          <w:rStyle w:val="TextoNormalCaracter"/>
        </w:rPr>
        <w:t>-</w:t>
      </w:r>
      <w:r>
        <w:t xml:space="preserve"> Autos </w:t>
      </w:r>
      <w:hyperlink w:anchor="AUTO_2013_146" w:history="1">
        <w:r w:rsidRPr="00E27756">
          <w:rPr>
            <w:rStyle w:val="TextoNormalCaracter"/>
          </w:rPr>
          <w:t>146/2013</w:t>
        </w:r>
      </w:hyperlink>
      <w:r>
        <w:t xml:space="preserve">, f. 3; </w:t>
      </w:r>
      <w:hyperlink w:anchor="AUTO_2013_146" w:history="1">
        <w:r w:rsidRPr="00E27756">
          <w:rPr>
            <w:rStyle w:val="TextoNormalCaracter"/>
          </w:rPr>
          <w:t>146/2013</w:t>
        </w:r>
      </w:hyperlink>
      <w:r>
        <w:t>, f. 3.</w:t>
      </w:r>
    </w:p>
    <w:p w:rsidR="00E27756" w:rsidRDefault="00E27756" w:rsidP="00E27756">
      <w:pPr>
        <w:pStyle w:val="SangriaFrancesaArticulo"/>
      </w:pPr>
    </w:p>
    <w:p w:rsidR="00E27756" w:rsidRDefault="00E27756" w:rsidP="00E27756">
      <w:pPr>
        <w:pStyle w:val="TextoNormalNegritaCursivandice"/>
      </w:pPr>
      <w:r>
        <w:t>Decreto-ley de la Generalidad de Cataluña 5/2012, de 18 de diciembre. Impuesto sobre los depósitos en las entidades de crédito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Autos </w:t>
      </w:r>
      <w:hyperlink w:anchor="AUTO_2013_123" w:history="1">
        <w:r w:rsidRPr="00E27756">
          <w:rPr>
            <w:rStyle w:val="TextoNormalCaracter"/>
          </w:rPr>
          <w:t>123/2013</w:t>
        </w:r>
      </w:hyperlink>
      <w:r>
        <w:t xml:space="preserve">, f. 1; </w:t>
      </w:r>
      <w:hyperlink w:anchor="AUTO_2013_123" w:history="1">
        <w:r w:rsidRPr="00E27756">
          <w:rPr>
            <w:rStyle w:val="TextoNormalCaracter"/>
          </w:rPr>
          <w:t>123/2013</w:t>
        </w:r>
      </w:hyperlink>
      <w:r>
        <w:t>, f. 1.</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Autos </w:t>
      </w:r>
      <w:hyperlink w:anchor="AUTO_2013_123" w:history="1">
        <w:r w:rsidRPr="00E27756">
          <w:rPr>
            <w:rStyle w:val="TextoNormalCaracter"/>
          </w:rPr>
          <w:t>123/2013</w:t>
        </w:r>
      </w:hyperlink>
      <w:r>
        <w:t xml:space="preserve">, f. 4; </w:t>
      </w:r>
      <w:hyperlink w:anchor="AUTO_2013_123" w:history="1">
        <w:r w:rsidRPr="00E27756">
          <w:rPr>
            <w:rStyle w:val="TextoNormalCaracter"/>
          </w:rPr>
          <w:t>123/2013</w:t>
        </w:r>
      </w:hyperlink>
      <w:r>
        <w:t>, f. 4.</w:t>
      </w:r>
    </w:p>
    <w:p w:rsidR="00E27756" w:rsidRDefault="00E27756" w:rsidP="00E27756">
      <w:pPr>
        <w:pStyle w:val="SangriaFrancesaArticulo"/>
      </w:pPr>
      <w:r w:rsidRPr="00E27756">
        <w:rPr>
          <w:rStyle w:val="TextoNormalNegritaCaracter"/>
        </w:rPr>
        <w:t>Disposición adicional segunda.</w:t>
      </w:r>
      <w:r w:rsidRPr="00E27756">
        <w:rPr>
          <w:rStyle w:val="TextoNormalCaracter"/>
        </w:rPr>
        <w:t>-</w:t>
      </w:r>
      <w:r>
        <w:t xml:space="preserve"> Autos </w:t>
      </w:r>
      <w:hyperlink w:anchor="AUTO_2013_123" w:history="1">
        <w:r w:rsidRPr="00E27756">
          <w:rPr>
            <w:rStyle w:val="TextoNormalCaracter"/>
          </w:rPr>
          <w:t>123/2013</w:t>
        </w:r>
      </w:hyperlink>
      <w:r>
        <w:t xml:space="preserve">, f. 1; </w:t>
      </w:r>
      <w:hyperlink w:anchor="AUTO_2013_123" w:history="1">
        <w:r w:rsidRPr="00E27756">
          <w:rPr>
            <w:rStyle w:val="TextoNormalCaracter"/>
          </w:rPr>
          <w:t>123/2013</w:t>
        </w:r>
      </w:hyperlink>
      <w:r>
        <w:t>, f. 1.</w:t>
      </w:r>
    </w:p>
    <w:p w:rsidR="00E27756" w:rsidRDefault="00E27756" w:rsidP="00E27756">
      <w:pPr>
        <w:pStyle w:val="TextoNormal"/>
      </w:pPr>
    </w:p>
    <w:p w:rsidR="00E27756" w:rsidRDefault="00E27756" w:rsidP="00E27756">
      <w:pPr>
        <w:pStyle w:val="TextoNormalNegritaCentradoSubrayado"/>
        <w:suppressAutoHyphens/>
      </w:pPr>
      <w:r>
        <w:t>J.9.c) Decretos y otras disposiciones reglamentarias</w:t>
      </w:r>
    </w:p>
    <w:p w:rsidR="00E27756" w:rsidRDefault="00E27756" w:rsidP="00E27756">
      <w:pPr>
        <w:pStyle w:val="TextoNormalNegritaCentradoSubrayado"/>
      </w:pPr>
    </w:p>
    <w:p w:rsidR="00E27756" w:rsidRDefault="00E27756" w:rsidP="00E27756">
      <w:pPr>
        <w:pStyle w:val="TextoNormalNegritaCursivandice"/>
      </w:pPr>
      <w:r>
        <w:t>Decreto de la Generalidad de Cataluña 150/1996, de 30 de abril. Establece los períodos de rebajas en el comercio minorista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46" w:history="1">
        <w:r w:rsidRPr="00E27756">
          <w:rPr>
            <w:rStyle w:val="TextoNormalCaracter"/>
          </w:rPr>
          <w:t>146/2013</w:t>
        </w:r>
      </w:hyperlink>
      <w:r>
        <w:t>, f. 3.</w:t>
      </w:r>
    </w:p>
    <w:p w:rsidR="00E27756" w:rsidRDefault="00E27756" w:rsidP="00E27756">
      <w:pPr>
        <w:pStyle w:val="SangriaFrancesaArticulo"/>
      </w:pPr>
    </w:p>
    <w:p w:rsidR="00E27756" w:rsidRDefault="00E27756" w:rsidP="00E27756">
      <w:pPr>
        <w:pStyle w:val="TextoNormalNegritaCursivandice"/>
      </w:pPr>
      <w:r>
        <w:t>Decreto de la Generalidad de Cataluña 183/2008, de 9 de septiembre.  Se establece el procedimiento para la restitución a las personas físicas o jurídicas de carácter privado de los documentos incautados con motivo de la guerra civil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0" w:history="1">
        <w:r w:rsidRPr="00E27756">
          <w:rPr>
            <w:rStyle w:val="TextoNormalCaracter"/>
          </w:rPr>
          <w:t>20/2013</w:t>
        </w:r>
      </w:hyperlink>
      <w:r>
        <w:t>, f. 9.</w:t>
      </w:r>
    </w:p>
    <w:p w:rsidR="00E27756" w:rsidRDefault="00E27756" w:rsidP="00E27756">
      <w:pPr>
        <w:pStyle w:val="SangriaFrancesaArticulo"/>
      </w:pPr>
      <w:r w:rsidRPr="00E27756">
        <w:rPr>
          <w:rStyle w:val="TextoNormalNegritaCaracter"/>
        </w:rPr>
        <w:t>Artículo 13.2.</w:t>
      </w:r>
      <w:r w:rsidRPr="00E27756">
        <w:rPr>
          <w:rStyle w:val="TextoNormalCaracter"/>
        </w:rPr>
        <w:t>-</w:t>
      </w:r>
      <w:r>
        <w:t xml:space="preserve"> Sentencia </w:t>
      </w:r>
      <w:hyperlink w:anchor="SENTENCIA_2013_20" w:history="1">
        <w:r w:rsidRPr="00E27756">
          <w:rPr>
            <w:rStyle w:val="TextoNormalCaracter"/>
          </w:rPr>
          <w:t>20/2013</w:t>
        </w:r>
      </w:hyperlink>
      <w:r>
        <w:t>, ff. 3, 9.</w:t>
      </w:r>
    </w:p>
    <w:p w:rsidR="00E27756" w:rsidRDefault="00E27756" w:rsidP="00E27756">
      <w:pPr>
        <w:pStyle w:val="SangriaFrancesaArticulo"/>
      </w:pPr>
    </w:p>
    <w:p w:rsidR="00E27756" w:rsidRDefault="00E27756" w:rsidP="00E27756">
      <w:pPr>
        <w:pStyle w:val="TextoNormalNegritaCursivandice"/>
      </w:pPr>
      <w:r>
        <w:lastRenderedPageBreak/>
        <w:t>Resolución SLT/3104/2011, de 23 de diciembre. Plan de ordenación de recursos humanos del Instituto Catalán de la Salud para el periodo 2012-2015</w:t>
      </w:r>
    </w:p>
    <w:p w:rsidR="00E27756" w:rsidRDefault="00E27756" w:rsidP="00E27756">
      <w:pPr>
        <w:pStyle w:val="SangriaFrancesaArticulo"/>
      </w:pPr>
      <w:r w:rsidRPr="00E27756">
        <w:rPr>
          <w:rStyle w:val="TextoNormalNegritaCaracter"/>
        </w:rPr>
        <w:t>Anexo I.</w:t>
      </w:r>
      <w:r w:rsidRPr="00E27756">
        <w:rPr>
          <w:rStyle w:val="TextoNormalCaracter"/>
        </w:rPr>
        <w:t>-</w:t>
      </w:r>
      <w:r>
        <w:t xml:space="preserve"> Auto </w:t>
      </w:r>
      <w:hyperlink w:anchor="AUTO_2013_85" w:history="1">
        <w:r w:rsidRPr="00E27756">
          <w:rPr>
            <w:rStyle w:val="TextoNormalCaracter"/>
          </w:rPr>
          <w:t>85/2013</w:t>
        </w:r>
      </w:hyperlink>
      <w:r>
        <w:t>, f. 6.</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J.10) Extremadura</w:t>
      </w:r>
    </w:p>
    <w:p w:rsidR="00E27756" w:rsidRDefault="00E27756" w:rsidP="00E27756">
      <w:pPr>
        <w:pStyle w:val="TextoNormal"/>
      </w:pPr>
    </w:p>
    <w:p w:rsidR="00E27756" w:rsidRDefault="00E27756" w:rsidP="00E27756">
      <w:pPr>
        <w:pStyle w:val="TextoNormalNegritaCentradoSubrayado"/>
        <w:suppressAutoHyphens/>
      </w:pPr>
      <w:r>
        <w:t>J.10.a) Estatuto de Autonomía</w:t>
      </w:r>
    </w:p>
    <w:p w:rsidR="00E27756" w:rsidRDefault="00E27756" w:rsidP="00E27756">
      <w:pPr>
        <w:pStyle w:val="TextoNormalNegritaCentradoSubrayado"/>
      </w:pPr>
    </w:p>
    <w:p w:rsidR="00E27756" w:rsidRDefault="00E27756" w:rsidP="00E27756">
      <w:pPr>
        <w:pStyle w:val="TextoNormalNegritaCursivandice"/>
      </w:pPr>
      <w:r>
        <w:t>Ley Orgánica 1/1983, de 25 de febrero. Estatuto de Autonomía de Extremadura</w:t>
      </w:r>
    </w:p>
    <w:p w:rsidR="00E27756" w:rsidRDefault="00E27756" w:rsidP="00E27756">
      <w:pPr>
        <w:pStyle w:val="SangriaFrancesaArticulo"/>
      </w:pPr>
      <w:r w:rsidRPr="00E27756">
        <w:rPr>
          <w:rStyle w:val="TextoNormalNegritaCaracter"/>
        </w:rPr>
        <w:t>Artículo 7.1.28.</w:t>
      </w:r>
      <w:r w:rsidRPr="00E27756">
        <w:rPr>
          <w:rStyle w:val="TextoNormalCaracter"/>
        </w:rPr>
        <w:t>-</w:t>
      </w:r>
      <w:r>
        <w:t xml:space="preserve"> Sentencia </w:t>
      </w:r>
      <w:hyperlink w:anchor="SENTENCIA_2013_4" w:history="1">
        <w:r w:rsidRPr="00E27756">
          <w:rPr>
            <w:rStyle w:val="TextoNormalCaracter"/>
          </w:rPr>
          <w:t>4/2013</w:t>
        </w:r>
      </w:hyperlink>
      <w:r>
        <w:t>, f. 1.</w:t>
      </w:r>
    </w:p>
    <w:p w:rsidR="00E27756" w:rsidRDefault="00E27756" w:rsidP="00E27756">
      <w:pPr>
        <w:pStyle w:val="SangriaFrancesaArticulo"/>
      </w:pPr>
      <w:r w:rsidRPr="00E27756">
        <w:rPr>
          <w:rStyle w:val="TextoNormalNegritaCaracter"/>
        </w:rPr>
        <w:t>Artículo 7.1.33.</w:t>
      </w:r>
      <w:r w:rsidRPr="00E27756">
        <w:rPr>
          <w:rStyle w:val="TextoNormalCaracter"/>
        </w:rPr>
        <w:t>-</w:t>
      </w:r>
      <w:r>
        <w:t xml:space="preserve"> Sentencia </w:t>
      </w:r>
      <w:hyperlink w:anchor="SENTENCIA_2013_4" w:history="1">
        <w:r w:rsidRPr="00E27756">
          <w:rPr>
            <w:rStyle w:val="TextoNormalCaracter"/>
          </w:rPr>
          <w:t>4/2013</w:t>
        </w:r>
      </w:hyperlink>
      <w:r>
        <w:t>, f. 1.</w:t>
      </w:r>
    </w:p>
    <w:p w:rsidR="00E27756" w:rsidRDefault="00E27756" w:rsidP="00E27756">
      <w:pPr>
        <w:pStyle w:val="SangriaFrancesaArticulo"/>
      </w:pPr>
      <w:r w:rsidRPr="00E27756">
        <w:rPr>
          <w:rStyle w:val="TextoNormalNegritaCaracter"/>
        </w:rPr>
        <w:t>Artículo 8.7.</w:t>
      </w:r>
      <w:r w:rsidRPr="00E27756">
        <w:rPr>
          <w:rStyle w:val="TextoNormalCaracter"/>
        </w:rPr>
        <w:t>-</w:t>
      </w:r>
      <w:r>
        <w:t xml:space="preserve"> Sentencia </w:t>
      </w:r>
      <w:hyperlink w:anchor="SENTENCIA_2013_4" w:history="1">
        <w:r w:rsidRPr="00E27756">
          <w:rPr>
            <w:rStyle w:val="TextoNormalCaracter"/>
          </w:rPr>
          <w:t>4/2013</w:t>
        </w:r>
      </w:hyperlink>
      <w:r>
        <w:t>, f. 1.</w:t>
      </w:r>
    </w:p>
    <w:p w:rsidR="00E27756" w:rsidRDefault="00E27756" w:rsidP="00E27756">
      <w:pPr>
        <w:pStyle w:val="SangriaFrancesaArticulo"/>
      </w:pPr>
    </w:p>
    <w:p w:rsidR="00E27756" w:rsidRDefault="00E27756" w:rsidP="00E27756">
      <w:pPr>
        <w:pStyle w:val="TextoNormalNegritaCursivandice"/>
      </w:pPr>
      <w:r>
        <w:t>Ley Orgánica 1/2011, de 28 de enero. Reforma del Estatuto de Autonomía de la Comunidad Autónoma de Extremadura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 w:history="1">
        <w:r w:rsidRPr="00E27756">
          <w:rPr>
            <w:rStyle w:val="TextoNormalCaracter"/>
          </w:rPr>
          <w:t>4/2013</w:t>
        </w:r>
      </w:hyperlink>
      <w:r>
        <w:t>, f. 2.</w:t>
      </w:r>
    </w:p>
    <w:p w:rsidR="00E27756" w:rsidRDefault="00E27756" w:rsidP="00E27756">
      <w:pPr>
        <w:pStyle w:val="SangriaFrancesaArticulo"/>
      </w:pPr>
      <w:r w:rsidRPr="00E27756">
        <w:rPr>
          <w:rStyle w:val="TextoNormalNegritaCaracter"/>
        </w:rPr>
        <w:t>Artículo 8.1.</w:t>
      </w:r>
      <w:r w:rsidRPr="00E27756">
        <w:rPr>
          <w:rStyle w:val="TextoNormalCaracter"/>
        </w:rPr>
        <w:t>-</w:t>
      </w:r>
      <w:r>
        <w:t xml:space="preserve"> Sentencia </w:t>
      </w:r>
      <w:hyperlink w:anchor="SENTENCIA_2013_46" w:history="1">
        <w:r w:rsidRPr="00E27756">
          <w:rPr>
            <w:rStyle w:val="TextoNormalCaracter"/>
          </w:rPr>
          <w:t>46/2013</w:t>
        </w:r>
      </w:hyperlink>
      <w:r>
        <w:t>, f. 2.</w:t>
      </w:r>
    </w:p>
    <w:p w:rsidR="00E27756" w:rsidRDefault="00E27756" w:rsidP="00E27756">
      <w:pPr>
        <w:pStyle w:val="SangriaFrancesaArticulo"/>
      </w:pPr>
      <w:r w:rsidRPr="00E27756">
        <w:rPr>
          <w:rStyle w:val="TextoNormalNegritaCaracter"/>
        </w:rPr>
        <w:t>Artículo 9.1.37.</w:t>
      </w:r>
      <w:r w:rsidRPr="00E27756">
        <w:rPr>
          <w:rStyle w:val="TextoNormalCaracter"/>
        </w:rPr>
        <w:t>-</w:t>
      </w:r>
      <w:r>
        <w:t xml:space="preserve"> Sentencia </w:t>
      </w:r>
      <w:hyperlink w:anchor="SENTENCIA_2013_4" w:history="1">
        <w:r w:rsidRPr="00E27756">
          <w:rPr>
            <w:rStyle w:val="TextoNormalCaracter"/>
          </w:rPr>
          <w:t>4/2013</w:t>
        </w:r>
      </w:hyperlink>
      <w:r>
        <w:t>, f. 2.</w:t>
      </w:r>
    </w:p>
    <w:p w:rsidR="00E27756" w:rsidRDefault="00E27756" w:rsidP="00E27756">
      <w:pPr>
        <w:pStyle w:val="SangriaFrancesaArticulo"/>
      </w:pPr>
      <w:r w:rsidRPr="00E27756">
        <w:rPr>
          <w:rStyle w:val="TextoNormalNegritaCaracter"/>
        </w:rPr>
        <w:t>Artículo 9.11.</w:t>
      </w:r>
      <w:r w:rsidRPr="00E27756">
        <w:rPr>
          <w:rStyle w:val="TextoNormalCaracter"/>
        </w:rPr>
        <w:t>-</w:t>
      </w:r>
      <w:r>
        <w:t xml:space="preserve"> Sentencia </w:t>
      </w:r>
      <w:hyperlink w:anchor="SENTENCIA_2013_46" w:history="1">
        <w:r w:rsidRPr="00E27756">
          <w:rPr>
            <w:rStyle w:val="TextoNormalCaracter"/>
          </w:rPr>
          <w:t>46/2013</w:t>
        </w:r>
      </w:hyperlink>
      <w:r>
        <w:t>, f. 2.</w:t>
      </w:r>
    </w:p>
    <w:p w:rsidR="00E27756" w:rsidRDefault="00E27756" w:rsidP="00E27756">
      <w:pPr>
        <w:pStyle w:val="SangriaFrancesaArticulo"/>
      </w:pPr>
      <w:r w:rsidRPr="00E27756">
        <w:rPr>
          <w:rStyle w:val="TextoNormalNegritaCaracter"/>
        </w:rPr>
        <w:t>Artículo 78.6.</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TextoNormal"/>
      </w:pPr>
    </w:p>
    <w:p w:rsidR="00E27756" w:rsidRDefault="00E27756" w:rsidP="00E27756">
      <w:pPr>
        <w:pStyle w:val="TextoNormalNegritaCentradoSubrayado"/>
        <w:suppressAutoHyphens/>
      </w:pPr>
      <w:r>
        <w:t>J.10.b) Leyes y disposiciones con fuerza de Ley</w:t>
      </w:r>
    </w:p>
    <w:p w:rsidR="00E27756" w:rsidRDefault="00E27756" w:rsidP="00E27756">
      <w:pPr>
        <w:pStyle w:val="TextoNormalNegritaCentradoSubrayado"/>
      </w:pPr>
    </w:p>
    <w:p w:rsidR="00E27756" w:rsidRDefault="00E27756" w:rsidP="00E27756">
      <w:pPr>
        <w:pStyle w:val="TextoNormalNegritaCursivandice"/>
      </w:pPr>
      <w:r>
        <w:t>Ley de la Asamblea de Extremadura 14/2001, de 29 de noviembre. Impuesto sobre depósitos de las entidades de crédito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6" w:history="1">
        <w:r w:rsidRPr="00E27756">
          <w:rPr>
            <w:rStyle w:val="TextoNormalCaracter"/>
          </w:rPr>
          <w:t>96/2013</w:t>
        </w:r>
      </w:hyperlink>
      <w:r>
        <w:t>, ff. 2, 10.</w:t>
      </w:r>
    </w:p>
    <w:p w:rsidR="00E27756" w:rsidRDefault="00E27756" w:rsidP="00E27756">
      <w:pPr>
        <w:pStyle w:val="SangriaFrancesaArticulo"/>
      </w:pPr>
    </w:p>
    <w:p w:rsidR="00E27756" w:rsidRDefault="00E27756" w:rsidP="00E27756">
      <w:pPr>
        <w:pStyle w:val="TextoNormalNegritaCursivandice"/>
      </w:pPr>
      <w:r>
        <w:t>Ley de la Asamblea de Extremadura 2/2002, de 25 de abril. Protección de la calidad del suministro eléctrico en Extremadura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 w:history="1">
        <w:r w:rsidRPr="00E27756">
          <w:rPr>
            <w:rStyle w:val="TextoNormalCaracter"/>
          </w:rPr>
          <w:t>4/2013</w:t>
        </w:r>
      </w:hyperlink>
      <w:r>
        <w:t>, ff. 2, 3, 7.</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4" w:history="1">
        <w:r w:rsidRPr="00E27756">
          <w:rPr>
            <w:rStyle w:val="TextoNormalCaracter"/>
          </w:rPr>
          <w:t>4/2013</w:t>
        </w:r>
      </w:hyperlink>
      <w:r>
        <w:t>, ff. 1, 4, 5.</w:t>
      </w:r>
    </w:p>
    <w:p w:rsidR="00E27756" w:rsidRDefault="00E27756" w:rsidP="00E27756">
      <w:pPr>
        <w:pStyle w:val="SangriaFrancesaArticulo"/>
      </w:pPr>
      <w:r w:rsidRPr="00E27756">
        <w:rPr>
          <w:rStyle w:val="TextoNormalNegritaCaracter"/>
        </w:rPr>
        <w:t>Artículo 5.3.</w:t>
      </w:r>
      <w:r w:rsidRPr="00E27756">
        <w:rPr>
          <w:rStyle w:val="TextoNormalCaracter"/>
        </w:rPr>
        <w:t>-</w:t>
      </w:r>
      <w:r>
        <w:t xml:space="preserve"> Sentencia </w:t>
      </w:r>
      <w:hyperlink w:anchor="SENTENCIA_2013_4" w:history="1">
        <w:r w:rsidRPr="00E27756">
          <w:rPr>
            <w:rStyle w:val="TextoNormalCaracter"/>
          </w:rPr>
          <w:t>4/2013</w:t>
        </w:r>
      </w:hyperlink>
      <w:r>
        <w:t>, f. 5.</w:t>
      </w:r>
    </w:p>
    <w:p w:rsidR="00E27756" w:rsidRDefault="00E27756" w:rsidP="00E27756">
      <w:pPr>
        <w:pStyle w:val="SangriaFrancesaArticulo"/>
      </w:pPr>
      <w:r w:rsidRPr="00E27756">
        <w:rPr>
          <w:rStyle w:val="TextoNormalNegritaCaracter"/>
        </w:rPr>
        <w:t>Artículo 7.3 a).</w:t>
      </w:r>
      <w:r w:rsidRPr="00E27756">
        <w:rPr>
          <w:rStyle w:val="TextoNormalCaracter"/>
        </w:rPr>
        <w:t>-</w:t>
      </w:r>
      <w:r>
        <w:t xml:space="preserve"> Sentencia </w:t>
      </w:r>
      <w:hyperlink w:anchor="SENTENCIA_2013_4" w:history="1">
        <w:r w:rsidRPr="00E27756">
          <w:rPr>
            <w:rStyle w:val="TextoNormalCaracter"/>
          </w:rPr>
          <w:t>4/2013</w:t>
        </w:r>
      </w:hyperlink>
      <w:r>
        <w:t>, ff. 1, 6, 8.</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4" w:history="1">
        <w:r w:rsidRPr="00E27756">
          <w:rPr>
            <w:rStyle w:val="TextoNormalCaracter"/>
          </w:rPr>
          <w:t>4/2013</w:t>
        </w:r>
      </w:hyperlink>
      <w:r>
        <w:t>, f. 8.</w:t>
      </w:r>
    </w:p>
    <w:p w:rsidR="00E27756" w:rsidRDefault="00E27756" w:rsidP="00E27756">
      <w:pPr>
        <w:pStyle w:val="SangriaFrancesaArticulo"/>
      </w:pPr>
      <w:r w:rsidRPr="00E27756">
        <w:rPr>
          <w:rStyle w:val="TextoNormalNegritaCaracter"/>
        </w:rPr>
        <w:t>Artículo 9.5.</w:t>
      </w:r>
      <w:r w:rsidRPr="00E27756">
        <w:rPr>
          <w:rStyle w:val="TextoNormalCaracter"/>
        </w:rPr>
        <w:t>-</w:t>
      </w:r>
      <w:r>
        <w:t xml:space="preserve"> Sentencia </w:t>
      </w:r>
      <w:hyperlink w:anchor="SENTENCIA_2013_4" w:history="1">
        <w:r w:rsidRPr="00E27756">
          <w:rPr>
            <w:rStyle w:val="TextoNormalCaracter"/>
          </w:rPr>
          <w:t>4/2013</w:t>
        </w:r>
      </w:hyperlink>
      <w:r>
        <w:t>, ff. 1, 9 a 11.</w:t>
      </w:r>
    </w:p>
    <w:p w:rsidR="00E27756" w:rsidRDefault="00E27756" w:rsidP="00E27756">
      <w:pPr>
        <w:pStyle w:val="SangriaFrancesaArticulo"/>
      </w:pPr>
    </w:p>
    <w:p w:rsidR="00E27756" w:rsidRDefault="00E27756" w:rsidP="00E27756">
      <w:pPr>
        <w:pStyle w:val="TextoNormalNegritaCursivandice"/>
      </w:pPr>
      <w:r>
        <w:t>Ley de la Asamblea de Extremadura 11/2002, de 12 diciembre. Colegios y consejos de colegios profesionales</w:t>
      </w:r>
    </w:p>
    <w:p w:rsidR="00E27756" w:rsidRDefault="00E27756" w:rsidP="00E27756">
      <w:pPr>
        <w:pStyle w:val="SangriaFrancesaArticulo"/>
      </w:pPr>
      <w:r w:rsidRPr="00E27756">
        <w:rPr>
          <w:rStyle w:val="TextoNormalNegritaCaracter"/>
        </w:rPr>
        <w:t>Artículo 17.1.</w:t>
      </w:r>
      <w:r w:rsidRPr="00E27756">
        <w:rPr>
          <w:rStyle w:val="TextoNormalCaracter"/>
        </w:rPr>
        <w:t>-</w:t>
      </w:r>
      <w:r>
        <w:t xml:space="preserve"> Sentencia </w:t>
      </w:r>
      <w:hyperlink w:anchor="SENTENCIA_2013_123" w:history="1">
        <w:r w:rsidRPr="00E27756">
          <w:rPr>
            <w:rStyle w:val="TextoNormalCaracter"/>
          </w:rPr>
          <w:t>123/2013</w:t>
        </w:r>
      </w:hyperlink>
      <w:r>
        <w:t>, f. 9.</w:t>
      </w:r>
    </w:p>
    <w:p w:rsidR="00E27756" w:rsidRDefault="00E27756" w:rsidP="00E27756">
      <w:pPr>
        <w:pStyle w:val="SangriaIzquierdaArticulo"/>
      </w:pPr>
      <w:r>
        <w:t xml:space="preserve">Auto </w:t>
      </w:r>
      <w:hyperlink w:anchor="AUTO_2013_67" w:history="1">
        <w:r w:rsidRPr="00E27756">
          <w:rPr>
            <w:rStyle w:val="TextoNormalCaracter"/>
          </w:rPr>
          <w:t>67/2013</w:t>
        </w:r>
      </w:hyperlink>
      <w:r>
        <w:t>, ff. 1, 2.</w:t>
      </w:r>
    </w:p>
    <w:p w:rsidR="00E27756" w:rsidRDefault="00E27756" w:rsidP="00E27756">
      <w:pPr>
        <w:pStyle w:val="SangriaFrancesaArticulo"/>
      </w:pPr>
      <w:r w:rsidRPr="00E27756">
        <w:rPr>
          <w:rStyle w:val="TextoNormalNegritaCaracter"/>
        </w:rPr>
        <w:t>Artículo 17.1 inciso in fine.</w:t>
      </w:r>
      <w:r w:rsidRPr="00E27756">
        <w:rPr>
          <w:rStyle w:val="TextoNormalCaracter"/>
        </w:rPr>
        <w:t>-</w:t>
      </w:r>
      <w:r>
        <w:t xml:space="preserve"> Sentencia </w:t>
      </w:r>
      <w:hyperlink w:anchor="SENTENCIA_2013_46" w:history="1">
        <w:r w:rsidRPr="00E27756">
          <w:rPr>
            <w:rStyle w:val="TextoNormalCaracter"/>
          </w:rPr>
          <w:t>46/2013</w:t>
        </w:r>
      </w:hyperlink>
      <w:r>
        <w:t>, f. 1.</w:t>
      </w:r>
    </w:p>
    <w:p w:rsidR="00E27756" w:rsidRDefault="00E27756" w:rsidP="00E27756">
      <w:pPr>
        <w:pStyle w:val="SangriaFrancesaArticulo"/>
      </w:pPr>
    </w:p>
    <w:p w:rsidR="00E27756" w:rsidRDefault="00E27756" w:rsidP="00E27756">
      <w:pPr>
        <w:pStyle w:val="TextoNormalNegritaCursivandice"/>
      </w:pPr>
      <w:r>
        <w:t>Decreto Legislativo de la Junta de Extremadura 2/2006, de 12 de diciembre. Texto refundido de las disposiciones legales de la Comunidad Autónoma de Extremadura en materia de tributos propios</w:t>
      </w:r>
    </w:p>
    <w:p w:rsidR="00E27756" w:rsidRDefault="00E27756" w:rsidP="00E27756">
      <w:pPr>
        <w:pStyle w:val="SangriaFrancesaArticulo"/>
      </w:pPr>
      <w:r w:rsidRPr="00E27756">
        <w:rPr>
          <w:rStyle w:val="TextoNormalNegritaCaracter"/>
        </w:rPr>
        <w:lastRenderedPageBreak/>
        <w:t>Título IV.</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SangriaFrancesaArticulo"/>
      </w:pPr>
      <w:r w:rsidRPr="00E27756">
        <w:rPr>
          <w:rStyle w:val="TextoNormalNegritaCaracter"/>
        </w:rPr>
        <w:t>Disposición derogatoria.</w:t>
      </w:r>
      <w:r w:rsidRPr="00E27756">
        <w:rPr>
          <w:rStyle w:val="TextoNormalCaracter"/>
        </w:rPr>
        <w:t>-</w:t>
      </w:r>
      <w:r>
        <w:t xml:space="preserve"> Sentencia </w:t>
      </w:r>
      <w:hyperlink w:anchor="SENTENCIA_2013_96" w:history="1">
        <w:r w:rsidRPr="00E27756">
          <w:rPr>
            <w:rStyle w:val="TextoNormalCaracter"/>
          </w:rPr>
          <w:t>96/2013</w:t>
        </w:r>
      </w:hyperlink>
      <w:r>
        <w:t>, f. 2.</w:t>
      </w:r>
    </w:p>
    <w:p w:rsidR="00E27756" w:rsidRDefault="00E27756" w:rsidP="00E27756">
      <w:pPr>
        <w:pStyle w:val="TextoNormal"/>
      </w:pPr>
    </w:p>
    <w:p w:rsidR="00E27756" w:rsidRDefault="00E27756" w:rsidP="00E27756">
      <w:pPr>
        <w:pStyle w:val="TextoNormalNegritaCentradoSubrayado"/>
        <w:suppressAutoHyphens/>
      </w:pPr>
      <w:r>
        <w:t>J.10.c) Decretos y otras disposiciones reglamentarias</w:t>
      </w:r>
    </w:p>
    <w:p w:rsidR="00E27756" w:rsidRDefault="00E27756" w:rsidP="00E27756">
      <w:pPr>
        <w:pStyle w:val="TextoNormalNegritaCentradoSubrayado"/>
      </w:pPr>
    </w:p>
    <w:p w:rsidR="00E27756" w:rsidRDefault="00E27756" w:rsidP="00E27756">
      <w:pPr>
        <w:pStyle w:val="TextoNormalNegritaCursivandice"/>
      </w:pPr>
      <w:r>
        <w:t>Orden de la Consejería de Agricultura y Comercio de la Junta de Extremadura de 21 de enero de 1999. Ayudas a los productores de determinados cultivos herbáceos en la campaña de comercialización 1999-2000, de las declaraciones de superficie forrajeras de las declaraciones de superficies de determinados cultivos textiles y de las primas en beneficio de los productores de ovino y caprino, de los productores de carne de vacuno y de los que mantengan vacas nodrizas para el año 1999 y declaración anual del Registro de explotaciones agrarias</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 </w:t>
      </w:r>
      <w:hyperlink w:anchor="SENTENCIA_2013_27" w:history="1">
        <w:r w:rsidRPr="00E27756">
          <w:rPr>
            <w:rStyle w:val="TextoNormalCaracter"/>
          </w:rPr>
          <w:t>27/2013</w:t>
        </w:r>
      </w:hyperlink>
      <w:r>
        <w:t>, f. 4.</w:t>
      </w:r>
    </w:p>
    <w:p w:rsidR="00E27756" w:rsidRDefault="00E27756" w:rsidP="00E27756">
      <w:pPr>
        <w:pStyle w:val="SangriaFrancesaArticulo"/>
      </w:pPr>
    </w:p>
    <w:p w:rsidR="00E27756" w:rsidRDefault="00E27756" w:rsidP="00E27756">
      <w:pPr>
        <w:pStyle w:val="TextoNormalNegritaCursivandice"/>
      </w:pPr>
      <w:r>
        <w:t>Decreto de la Junta de Extremadura 58/2007, de 10 de abril. Regula el procedimiento de control de la continuidad en el suministro eléctrico y las consecuencias derivadas de su incumplimiento</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4" w:history="1">
        <w:r w:rsidRPr="00E27756">
          <w:rPr>
            <w:rStyle w:val="TextoNormalCaracter"/>
          </w:rPr>
          <w:t>4/2013</w:t>
        </w:r>
      </w:hyperlink>
      <w:r>
        <w:t>, f. 5.</w:t>
      </w:r>
    </w:p>
    <w:p w:rsidR="00E27756" w:rsidRDefault="00E27756" w:rsidP="00E27756">
      <w:pPr>
        <w:pStyle w:val="SangriaFrancesaArticulo"/>
      </w:pPr>
      <w:r w:rsidRPr="00E27756">
        <w:rPr>
          <w:rStyle w:val="TextoNormalNegritaCaracter"/>
        </w:rPr>
        <w:t>Artículo 11.2.</w:t>
      </w:r>
      <w:r w:rsidRPr="00E27756">
        <w:rPr>
          <w:rStyle w:val="TextoNormalCaracter"/>
        </w:rPr>
        <w:t>-</w:t>
      </w:r>
      <w:r>
        <w:t xml:space="preserve"> Sentencia </w:t>
      </w:r>
      <w:hyperlink w:anchor="SENTENCIA_2013_4" w:history="1">
        <w:r w:rsidRPr="00E27756">
          <w:rPr>
            <w:rStyle w:val="TextoNormalCaracter"/>
          </w:rPr>
          <w:t>4/2013</w:t>
        </w:r>
      </w:hyperlink>
      <w:r>
        <w:t>, f. 8.</w:t>
      </w:r>
    </w:p>
    <w:p w:rsidR="00E27756" w:rsidRDefault="00E27756" w:rsidP="00E27756">
      <w:pPr>
        <w:pStyle w:val="SangriaFrancesaArticulo"/>
      </w:pPr>
      <w:r w:rsidRPr="00E27756">
        <w:rPr>
          <w:rStyle w:val="TextoNormalNegritaCaracter"/>
        </w:rPr>
        <w:t>Artículo 12.1.</w:t>
      </w:r>
      <w:r w:rsidRPr="00E27756">
        <w:rPr>
          <w:rStyle w:val="TextoNormalCaracter"/>
        </w:rPr>
        <w:t>-</w:t>
      </w:r>
      <w:r>
        <w:t xml:space="preserve"> Sentencia </w:t>
      </w:r>
      <w:hyperlink w:anchor="SENTENCIA_2013_4" w:history="1">
        <w:r w:rsidRPr="00E27756">
          <w:rPr>
            <w:rStyle w:val="TextoNormalCaracter"/>
          </w:rPr>
          <w:t>4/2013</w:t>
        </w:r>
      </w:hyperlink>
      <w:r>
        <w:t>, f. 5.</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J.11) Galicia</w:t>
      </w:r>
    </w:p>
    <w:p w:rsidR="00E27756" w:rsidRDefault="00E27756" w:rsidP="00E27756">
      <w:pPr>
        <w:pStyle w:val="TextoNormal"/>
      </w:pPr>
    </w:p>
    <w:p w:rsidR="00E27756" w:rsidRDefault="00E27756" w:rsidP="00E27756">
      <w:pPr>
        <w:pStyle w:val="TextoNormalNegritaCentradoSubrayado"/>
        <w:suppressAutoHyphens/>
      </w:pPr>
      <w:r>
        <w:t>J.11.a) Estatuto de Autonomía</w:t>
      </w:r>
    </w:p>
    <w:p w:rsidR="00E27756" w:rsidRDefault="00E27756" w:rsidP="00E27756">
      <w:pPr>
        <w:pStyle w:val="TextoNormalNegritaCentradoSubrayado"/>
      </w:pPr>
    </w:p>
    <w:p w:rsidR="00E27756" w:rsidRDefault="00E27756" w:rsidP="00E27756">
      <w:pPr>
        <w:pStyle w:val="TextoNormalNegritaCursivandice"/>
      </w:pPr>
      <w:r>
        <w:t>Ley Orgánica 1/1981, de 6 de abril. Estatuto de Autonomía de Galicia</w:t>
      </w:r>
    </w:p>
    <w:p w:rsidR="00E27756" w:rsidRDefault="00E27756" w:rsidP="00E27756">
      <w:pPr>
        <w:pStyle w:val="SangriaFrancesaArticulo"/>
      </w:pPr>
      <w:r w:rsidRPr="00E27756">
        <w:rPr>
          <w:rStyle w:val="TextoNormalNegritaCaracter"/>
        </w:rPr>
        <w:t>Artículo 27.</w:t>
      </w:r>
      <w:r w:rsidRPr="00E27756">
        <w:rPr>
          <w:rStyle w:val="TextoNormalCaracter"/>
        </w:rPr>
        <w:t>-</w:t>
      </w:r>
      <w:r>
        <w:t xml:space="preserve"> Sentencia </w:t>
      </w:r>
      <w:hyperlink w:anchor="SENTENCIA_2013_91" w:history="1">
        <w:r w:rsidRPr="00E27756">
          <w:rPr>
            <w:rStyle w:val="TextoNormalCaracter"/>
          </w:rPr>
          <w:t>91/2013</w:t>
        </w:r>
      </w:hyperlink>
      <w:r>
        <w:t>, f. 3.</w:t>
      </w:r>
    </w:p>
    <w:p w:rsidR="00E27756" w:rsidRDefault="00E27756" w:rsidP="00E27756">
      <w:pPr>
        <w:pStyle w:val="SangriaFrancesaArticulo"/>
      </w:pPr>
      <w:r w:rsidRPr="00E27756">
        <w:rPr>
          <w:rStyle w:val="TextoNormalNegritaCaracter"/>
        </w:rPr>
        <w:t>Artículo 27.23.</w:t>
      </w:r>
      <w:r w:rsidRPr="00E27756">
        <w:rPr>
          <w:rStyle w:val="TextoNormalCaracter"/>
        </w:rPr>
        <w:t>-</w:t>
      </w:r>
      <w:r>
        <w:t xml:space="preserve"> Sentencia </w:t>
      </w:r>
      <w:hyperlink w:anchor="SENTENCIA_2013_40" w:history="1">
        <w:r w:rsidRPr="00E27756">
          <w:rPr>
            <w:rStyle w:val="TextoNormalCaracter"/>
          </w:rPr>
          <w:t>40/2013</w:t>
        </w:r>
      </w:hyperlink>
      <w:r>
        <w:t>, f. 5.</w:t>
      </w:r>
    </w:p>
    <w:p w:rsidR="00E27756" w:rsidRDefault="00E27756" w:rsidP="00E27756">
      <w:pPr>
        <w:pStyle w:val="SangriaFrancesaArticulo"/>
      </w:pPr>
      <w:r w:rsidRPr="00E27756">
        <w:rPr>
          <w:rStyle w:val="TextoNormalNegritaCaracter"/>
        </w:rPr>
        <w:t>Artículo 29.1.</w:t>
      </w:r>
      <w:r w:rsidRPr="00E27756">
        <w:rPr>
          <w:rStyle w:val="TextoNormalCaracter"/>
        </w:rPr>
        <w:t>-</w:t>
      </w:r>
      <w:r>
        <w:t xml:space="preserve"> Sentencia </w:t>
      </w:r>
      <w:hyperlink w:anchor="SENTENCIA_2013_16" w:history="1">
        <w:r w:rsidRPr="00E27756">
          <w:rPr>
            <w:rStyle w:val="TextoNormalCaracter"/>
          </w:rPr>
          <w:t>16/2013</w:t>
        </w:r>
      </w:hyperlink>
      <w:r>
        <w:t>, f. 3.</w:t>
      </w:r>
    </w:p>
    <w:p w:rsidR="00E27756" w:rsidRDefault="00E27756" w:rsidP="00E27756">
      <w:pPr>
        <w:pStyle w:val="TextoNormal"/>
      </w:pPr>
    </w:p>
    <w:p w:rsidR="00E27756" w:rsidRDefault="00E27756" w:rsidP="00E27756">
      <w:pPr>
        <w:pStyle w:val="TextoNormalNegritaCentradoSubrayado"/>
        <w:suppressAutoHyphens/>
      </w:pPr>
      <w:r>
        <w:t>J.11.b) Leyes y disposiciones con fuerza de Ley</w:t>
      </w:r>
    </w:p>
    <w:p w:rsidR="00E27756" w:rsidRDefault="00E27756" w:rsidP="00E27756">
      <w:pPr>
        <w:pStyle w:val="TextoNormalNegritaCentradoSubrayado"/>
      </w:pPr>
    </w:p>
    <w:p w:rsidR="00E27756" w:rsidRDefault="00E27756" w:rsidP="00E27756">
      <w:pPr>
        <w:pStyle w:val="TextoNormalNegritaCursivandice"/>
      </w:pPr>
      <w:r>
        <w:t>Ley del Parlamento de Galicia 11/2001, de 18 de septiembre. Normas reguladoras de los colegios profesionales de la Comunidad Autónoma de Galicia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1" w:history="1">
        <w:r w:rsidRPr="00E27756">
          <w:rPr>
            <w:rStyle w:val="TextoNormalCaracter"/>
          </w:rPr>
          <w:t>91/2013</w:t>
        </w:r>
      </w:hyperlink>
      <w:r>
        <w:t>, f. 3.</w:t>
      </w:r>
    </w:p>
    <w:p w:rsidR="00E27756" w:rsidRDefault="00E27756" w:rsidP="00E27756">
      <w:pPr>
        <w:pStyle w:val="SangriaFrancesaArticulo"/>
      </w:pPr>
      <w:r w:rsidRPr="00E27756">
        <w:rPr>
          <w:rStyle w:val="TextoNormalNegritaCaracter"/>
        </w:rPr>
        <w:t>Artículo 2 apartados 3, 4.</w:t>
      </w:r>
      <w:r w:rsidRPr="00E27756">
        <w:rPr>
          <w:rStyle w:val="TextoNormalCaracter"/>
        </w:rPr>
        <w:t>-</w:t>
      </w:r>
      <w:r>
        <w:t xml:space="preserve"> Sentencia </w:t>
      </w:r>
      <w:hyperlink w:anchor="SENTENCIA_2013_91" w:history="1">
        <w:r w:rsidRPr="00E27756">
          <w:rPr>
            <w:rStyle w:val="TextoNormalCaracter"/>
          </w:rPr>
          <w:t>91/2013</w:t>
        </w:r>
      </w:hyperlink>
      <w:r>
        <w:t>, f. 3.</w:t>
      </w:r>
    </w:p>
    <w:p w:rsidR="00E27756" w:rsidRDefault="00E27756" w:rsidP="00E27756">
      <w:pPr>
        <w:pStyle w:val="SangriaFrancesaArticulo"/>
      </w:pPr>
      <w:r w:rsidRPr="00E27756">
        <w:rPr>
          <w:rStyle w:val="TextoNormalNegritaCaracter"/>
        </w:rPr>
        <w:t>Artículo 2.3 inciso 1.</w:t>
      </w:r>
      <w:r w:rsidRPr="00E27756">
        <w:rPr>
          <w:rStyle w:val="TextoNormalCaracter"/>
        </w:rPr>
        <w:t>-</w:t>
      </w:r>
      <w:r>
        <w:t xml:space="preserve"> Sentencia </w:t>
      </w:r>
      <w:hyperlink w:anchor="SENTENCIA_2013_91" w:history="1">
        <w:r w:rsidRPr="00E27756">
          <w:rPr>
            <w:rStyle w:val="TextoNormalCaracter"/>
          </w:rPr>
          <w:t>91/2013</w:t>
        </w:r>
      </w:hyperlink>
      <w:r>
        <w:t>, f. 3.</w:t>
      </w:r>
    </w:p>
    <w:p w:rsidR="00E27756" w:rsidRDefault="00E27756" w:rsidP="00E27756">
      <w:pPr>
        <w:pStyle w:val="SangriaFrancesaArticulo"/>
      </w:pPr>
      <w:r w:rsidRPr="00E27756">
        <w:rPr>
          <w:rStyle w:val="TextoNormalNegritaCaracter"/>
        </w:rPr>
        <w:t>Artículo 2.4 párrafo 1.</w:t>
      </w:r>
      <w:r w:rsidRPr="00E27756">
        <w:rPr>
          <w:rStyle w:val="TextoNormalCaracter"/>
        </w:rPr>
        <w:t>-</w:t>
      </w:r>
      <w:r>
        <w:t xml:space="preserve"> Sentencia </w:t>
      </w:r>
      <w:hyperlink w:anchor="SENTENCIA_2013_91" w:history="1">
        <w:r w:rsidRPr="00E27756">
          <w:rPr>
            <w:rStyle w:val="TextoNormalCaracter"/>
          </w:rPr>
          <w:t>91/2013</w:t>
        </w:r>
      </w:hyperlink>
      <w:r>
        <w:t>, f. 3.</w:t>
      </w:r>
    </w:p>
    <w:p w:rsidR="00E27756" w:rsidRDefault="00E27756" w:rsidP="00E27756">
      <w:pPr>
        <w:pStyle w:val="SangriaFrancesaArticulo"/>
      </w:pPr>
      <w:r w:rsidRPr="00E27756">
        <w:rPr>
          <w:rStyle w:val="TextoNormalNegritaCaracter"/>
        </w:rPr>
        <w:t>Artículo 11.4.</w:t>
      </w:r>
      <w:r w:rsidRPr="00E27756">
        <w:rPr>
          <w:rStyle w:val="TextoNormalCaracter"/>
        </w:rPr>
        <w:t>-</w:t>
      </w:r>
      <w:r>
        <w:t xml:space="preserve"> Sentencia </w:t>
      </w:r>
      <w:hyperlink w:anchor="SENTENCIA_2013_91" w:history="1">
        <w:r w:rsidRPr="00E27756">
          <w:rPr>
            <w:rStyle w:val="TextoNormalCaracter"/>
          </w:rPr>
          <w:t>91/2013</w:t>
        </w:r>
      </w:hyperlink>
      <w:r>
        <w:t>, f. 3.</w:t>
      </w:r>
    </w:p>
    <w:p w:rsidR="00E27756" w:rsidRDefault="00E27756" w:rsidP="00E27756">
      <w:pPr>
        <w:pStyle w:val="SangriaFrancesaArticulo"/>
      </w:pPr>
      <w:r w:rsidRPr="00E27756">
        <w:rPr>
          <w:rStyle w:val="TextoNormalNegritaCaracter"/>
        </w:rPr>
        <w:t>Artículo 11.5.</w:t>
      </w:r>
      <w:r w:rsidRPr="00E27756">
        <w:rPr>
          <w:rStyle w:val="TextoNormalCaracter"/>
        </w:rPr>
        <w:t>-</w:t>
      </w:r>
      <w:r>
        <w:t xml:space="preserve"> Sentencia </w:t>
      </w:r>
      <w:hyperlink w:anchor="SENTENCIA_2013_91" w:history="1">
        <w:r w:rsidRPr="00E27756">
          <w:rPr>
            <w:rStyle w:val="TextoNormalCaracter"/>
          </w:rPr>
          <w:t>91/2013</w:t>
        </w:r>
      </w:hyperlink>
      <w:r>
        <w:t>, f. 3.</w:t>
      </w:r>
    </w:p>
    <w:p w:rsidR="00E27756" w:rsidRDefault="00E27756" w:rsidP="00E27756">
      <w:pPr>
        <w:pStyle w:val="SangriaFrancesaArticulo"/>
      </w:pPr>
    </w:p>
    <w:p w:rsidR="00E27756" w:rsidRDefault="00E27756" w:rsidP="00E27756">
      <w:pPr>
        <w:pStyle w:val="TextoNormalNegritaCursivandice"/>
      </w:pPr>
      <w:r>
        <w:t>Ley del Parlamento de Galicia 16/2007, de 26 de diciembre. Presupuestos   generales de la Comunidad Autónoma de Galicia para el año 2008</w:t>
      </w:r>
    </w:p>
    <w:p w:rsidR="00E27756" w:rsidRDefault="00E27756" w:rsidP="00E27756">
      <w:pPr>
        <w:pStyle w:val="SangriaFrancesaArticulo"/>
      </w:pPr>
      <w:r w:rsidRPr="00E27756">
        <w:rPr>
          <w:rStyle w:val="TextoNormalNegritaCaracter"/>
        </w:rPr>
        <w:t>Artículo 64.</w:t>
      </w:r>
      <w:r w:rsidRPr="00E27756">
        <w:rPr>
          <w:rStyle w:val="TextoNormalCaracter"/>
        </w:rPr>
        <w:t>-</w:t>
      </w:r>
      <w:r>
        <w:t xml:space="preserve"> Sentencia </w:t>
      </w:r>
      <w:hyperlink w:anchor="SENTENCIA_2013_91" w:history="1">
        <w:r w:rsidRPr="00E27756">
          <w:rPr>
            <w:rStyle w:val="TextoNormalCaracter"/>
          </w:rPr>
          <w:t>91/2013</w:t>
        </w:r>
      </w:hyperlink>
      <w:r>
        <w:t>, f. 1.</w:t>
      </w:r>
    </w:p>
    <w:p w:rsidR="00E27756" w:rsidRDefault="00E27756" w:rsidP="00E27756">
      <w:pPr>
        <w:pStyle w:val="SangriaFrancesaArticulo"/>
      </w:pPr>
      <w:r w:rsidRPr="00E27756">
        <w:rPr>
          <w:rStyle w:val="TextoNormalNegritaCaracter"/>
        </w:rPr>
        <w:lastRenderedPageBreak/>
        <w:t>Artículo 64.4 a).</w:t>
      </w:r>
      <w:r w:rsidRPr="00E27756">
        <w:rPr>
          <w:rStyle w:val="TextoNormalCaracter"/>
        </w:rPr>
        <w:t>-</w:t>
      </w:r>
      <w:r>
        <w:t xml:space="preserve"> Sentencia </w:t>
      </w:r>
      <w:hyperlink w:anchor="SENTENCIA_2013_91" w:history="1">
        <w:r w:rsidRPr="00E27756">
          <w:rPr>
            <w:rStyle w:val="TextoNormalCaracter"/>
          </w:rPr>
          <w:t>91/2013</w:t>
        </w:r>
      </w:hyperlink>
      <w:r>
        <w:t>, ff. 1 a 4.</w:t>
      </w:r>
    </w:p>
    <w:p w:rsidR="00E27756" w:rsidRDefault="00E27756" w:rsidP="00E27756">
      <w:pPr>
        <w:pStyle w:val="SangriaFrancesaArticulo"/>
      </w:pPr>
    </w:p>
    <w:p w:rsidR="00E27756" w:rsidRDefault="00E27756" w:rsidP="00E27756">
      <w:pPr>
        <w:pStyle w:val="TextoNormalNegritaCursivandice"/>
      </w:pPr>
      <w:r>
        <w:t>Decreto Legislativo de la Junta de Galicia 1/2011, de 28 de julio. Aprueba el texto refundido de las disposiciones legales de la Comunidad Autónoma de Galicia en materia de tributos cedidos por el Estado</w:t>
      </w:r>
    </w:p>
    <w:p w:rsidR="00E27756" w:rsidRDefault="00E27756" w:rsidP="00E27756">
      <w:pPr>
        <w:pStyle w:val="SangriaFrancesaArticulo"/>
      </w:pPr>
      <w:r w:rsidRPr="00E27756">
        <w:rPr>
          <w:rStyle w:val="TextoNormalNegritaCaracter"/>
        </w:rPr>
        <w:t>Artículo 29.</w:t>
      </w:r>
      <w:r w:rsidRPr="00E27756">
        <w:rPr>
          <w:rStyle w:val="TextoNormalCaracter"/>
        </w:rPr>
        <w:t>-</w:t>
      </w:r>
      <w:r>
        <w:t xml:space="preserve"> Sentencia </w:t>
      </w:r>
      <w:hyperlink w:anchor="SENTENCIA_2013_91" w:history="1">
        <w:r w:rsidRPr="00E27756">
          <w:rPr>
            <w:rStyle w:val="TextoNormalCaracter"/>
          </w:rPr>
          <w:t>91/2013</w:t>
        </w:r>
      </w:hyperlink>
      <w:r>
        <w:t>, f. 1.</w:t>
      </w:r>
    </w:p>
    <w:p w:rsidR="00E27756" w:rsidRDefault="00E27756" w:rsidP="00E27756">
      <w:pPr>
        <w:pStyle w:val="SangriaFrancesaArticulo"/>
      </w:pPr>
      <w:r w:rsidRPr="00E27756">
        <w:rPr>
          <w:rStyle w:val="TextoNormalNegritaCaracter"/>
        </w:rPr>
        <w:t>Disposición derogatoria única, apartado 1 h).</w:t>
      </w:r>
      <w:r w:rsidRPr="00E27756">
        <w:rPr>
          <w:rStyle w:val="TextoNormalCaracter"/>
        </w:rPr>
        <w:t>-</w:t>
      </w:r>
      <w:r>
        <w:t xml:space="preserve"> Sentencia </w:t>
      </w:r>
      <w:hyperlink w:anchor="SENTENCIA_2013_91" w:history="1">
        <w:r w:rsidRPr="00E27756">
          <w:rPr>
            <w:rStyle w:val="TextoNormalCaracter"/>
          </w:rPr>
          <w:t>91/2013</w:t>
        </w:r>
      </w:hyperlink>
      <w:r>
        <w:t>, f. 1.</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J.12) La Rioja</w:t>
      </w:r>
    </w:p>
    <w:p w:rsidR="00E27756" w:rsidRDefault="00E27756" w:rsidP="00E27756">
      <w:pPr>
        <w:pStyle w:val="TextoNormal"/>
      </w:pPr>
    </w:p>
    <w:p w:rsidR="00E27756" w:rsidRDefault="00E27756" w:rsidP="00E27756">
      <w:pPr>
        <w:pStyle w:val="TextoNormalNegritaCentradoSubrayado"/>
        <w:suppressAutoHyphens/>
      </w:pPr>
      <w:r>
        <w:t>J.12.a) Estatuto de Autonomía</w:t>
      </w:r>
    </w:p>
    <w:p w:rsidR="00E27756" w:rsidRDefault="00E27756" w:rsidP="00E27756">
      <w:pPr>
        <w:pStyle w:val="TextoNormalNegritaCentradoSubrayado"/>
      </w:pPr>
    </w:p>
    <w:p w:rsidR="00E27756" w:rsidRDefault="00E27756" w:rsidP="00E27756">
      <w:pPr>
        <w:pStyle w:val="TextoNormalNegritaCursivandice"/>
      </w:pPr>
      <w:r>
        <w:t>Ley Orgánica 3/1982, de 9 de junio. Estatuto de Autonomía de La Rioja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8" w:history="1">
        <w:r w:rsidRPr="00E27756">
          <w:rPr>
            <w:rStyle w:val="TextoNormalCaracter"/>
          </w:rPr>
          <w:t>98/2013</w:t>
        </w:r>
      </w:hyperlink>
      <w:r>
        <w:t>, f. 3.</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100" w:history="1">
        <w:r w:rsidRPr="00E27756">
          <w:rPr>
            <w:rStyle w:val="TextoNormalCaracter"/>
          </w:rPr>
          <w:t>100/2013</w:t>
        </w:r>
      </w:hyperlink>
      <w:r>
        <w:t>, ff. 1, 2.</w:t>
      </w:r>
    </w:p>
    <w:p w:rsidR="00E27756" w:rsidRDefault="00E27756" w:rsidP="00E27756">
      <w:pPr>
        <w:pStyle w:val="SangriaFrancesaArticulo"/>
      </w:pPr>
      <w:r w:rsidRPr="00E27756">
        <w:rPr>
          <w:rStyle w:val="TextoNormalNegritaCaracter"/>
        </w:rPr>
        <w:t>Artículo 8.1.9.</w:t>
      </w:r>
      <w:r w:rsidRPr="00E27756">
        <w:rPr>
          <w:rStyle w:val="TextoNormalCaracter"/>
        </w:rPr>
        <w:t>-</w:t>
      </w:r>
      <w:r>
        <w:t xml:space="preserve"> Sentencia </w:t>
      </w:r>
      <w:hyperlink w:anchor="SENTENCIA_2013_84" w:history="1">
        <w:r w:rsidRPr="00E27756">
          <w:rPr>
            <w:rStyle w:val="TextoNormalCaracter"/>
          </w:rPr>
          <w:t>84/2013</w:t>
        </w:r>
      </w:hyperlink>
      <w:r>
        <w:t>, f. 1.</w:t>
      </w:r>
    </w:p>
    <w:p w:rsidR="00E27756" w:rsidRDefault="00E27756" w:rsidP="00E27756">
      <w:pPr>
        <w:pStyle w:val="SangriaFrancesaArticulo"/>
      </w:pPr>
      <w:r w:rsidRPr="00E27756">
        <w:rPr>
          <w:rStyle w:val="TextoNormalNegritaCaracter"/>
        </w:rPr>
        <w:t>Artículo 8.1.16.</w:t>
      </w:r>
      <w:r w:rsidRPr="00E27756">
        <w:rPr>
          <w:rStyle w:val="TextoNormalCaracter"/>
        </w:rPr>
        <w:t>-</w:t>
      </w:r>
      <w:r>
        <w:t xml:space="preserve"> Sentencia </w:t>
      </w:r>
      <w:hyperlink w:anchor="SENTENCIA_2013_84" w:history="1">
        <w:r w:rsidRPr="00E27756">
          <w:rPr>
            <w:rStyle w:val="TextoNormalCaracter"/>
          </w:rPr>
          <w:t>84/2013</w:t>
        </w:r>
      </w:hyperlink>
      <w:r>
        <w:t>, f. 1.</w:t>
      </w:r>
    </w:p>
    <w:p w:rsidR="00E27756" w:rsidRDefault="00E27756" w:rsidP="00E27756">
      <w:pPr>
        <w:pStyle w:val="SangriaFrancesaArticulo"/>
      </w:pPr>
      <w:r w:rsidRPr="00E27756">
        <w:rPr>
          <w:rStyle w:val="TextoNormalNegritaCaracter"/>
        </w:rPr>
        <w:t>Artículo 8.1.23.</w:t>
      </w:r>
      <w:r w:rsidRPr="00E27756">
        <w:rPr>
          <w:rStyle w:val="TextoNormalCaracter"/>
        </w:rPr>
        <w:t>-</w:t>
      </w:r>
      <w:r>
        <w:t xml:space="preserve"> Sentencia </w:t>
      </w:r>
      <w:hyperlink w:anchor="SENTENCIA_2013_84" w:history="1">
        <w:r w:rsidRPr="00E27756">
          <w:rPr>
            <w:rStyle w:val="TextoNormalCaracter"/>
          </w:rPr>
          <w:t>84/2013</w:t>
        </w:r>
      </w:hyperlink>
      <w:r>
        <w:t>, f. 1.</w:t>
      </w:r>
    </w:p>
    <w:p w:rsidR="00E27756" w:rsidRDefault="00E27756" w:rsidP="00E27756">
      <w:pPr>
        <w:pStyle w:val="SangriaFrancesaArticulo"/>
      </w:pPr>
      <w:r w:rsidRPr="00E27756">
        <w:rPr>
          <w:rStyle w:val="TextoNormalNegritaCaracter"/>
        </w:rPr>
        <w:t>Artículo 8.1.27.</w:t>
      </w:r>
      <w:r w:rsidRPr="00E27756">
        <w:rPr>
          <w:rStyle w:val="TextoNormalCaracter"/>
        </w:rPr>
        <w:t>-</w:t>
      </w:r>
      <w:r>
        <w:t xml:space="preserve"> Sentencia </w:t>
      </w:r>
      <w:hyperlink w:anchor="SENTENCIA_2013_84" w:history="1">
        <w:r w:rsidRPr="00E27756">
          <w:rPr>
            <w:rStyle w:val="TextoNormalCaracter"/>
          </w:rPr>
          <w:t>84/2013</w:t>
        </w:r>
      </w:hyperlink>
      <w:r>
        <w:t>, f. 1.</w:t>
      </w:r>
    </w:p>
    <w:p w:rsidR="00E27756" w:rsidRDefault="00E27756" w:rsidP="00E27756">
      <w:pPr>
        <w:pStyle w:val="SangriaFrancesaArticulo"/>
      </w:pPr>
      <w:r w:rsidRPr="00E27756">
        <w:rPr>
          <w:rStyle w:val="TextoNormalNegritaCaracter"/>
        </w:rPr>
        <w:t>Artículo 9.1.</w:t>
      </w:r>
      <w:r w:rsidRPr="00E27756">
        <w:rPr>
          <w:rStyle w:val="TextoNormalCaracter"/>
        </w:rPr>
        <w:t>-</w:t>
      </w:r>
      <w:r>
        <w:t xml:space="preserve"> Sentencia </w:t>
      </w:r>
      <w:hyperlink w:anchor="SENTENCIA_2013_84" w:history="1">
        <w:r w:rsidRPr="00E27756">
          <w:rPr>
            <w:rStyle w:val="TextoNormalCaracter"/>
          </w:rPr>
          <w:t>84/2013</w:t>
        </w:r>
      </w:hyperlink>
      <w:r>
        <w:t>, f. 1.</w:t>
      </w:r>
    </w:p>
    <w:p w:rsidR="00E27756" w:rsidRDefault="00E27756" w:rsidP="00E27756">
      <w:pPr>
        <w:pStyle w:val="SangriaFrancesaArticulo"/>
      </w:pPr>
      <w:r w:rsidRPr="00E27756">
        <w:rPr>
          <w:rStyle w:val="TextoNormalNegritaCaracter"/>
        </w:rPr>
        <w:t>Artículo 9.11.</w:t>
      </w:r>
      <w:r w:rsidRPr="00E27756">
        <w:rPr>
          <w:rStyle w:val="TextoNormalCaracter"/>
        </w:rPr>
        <w:t>-</w:t>
      </w:r>
      <w:r>
        <w:t xml:space="preserve"> Sentencia </w:t>
      </w:r>
      <w:hyperlink w:anchor="SENTENCIA_2013_84" w:history="1">
        <w:r w:rsidRPr="00E27756">
          <w:rPr>
            <w:rStyle w:val="TextoNormalCaracter"/>
          </w:rPr>
          <w:t>84/2013</w:t>
        </w:r>
      </w:hyperlink>
      <w:r>
        <w:t>, f. 1.</w:t>
      </w:r>
    </w:p>
    <w:p w:rsidR="00E27756" w:rsidRDefault="00E27756" w:rsidP="00E27756">
      <w:pPr>
        <w:pStyle w:val="SangriaFrancesaArticulo"/>
      </w:pPr>
      <w:r w:rsidRPr="00E27756">
        <w:rPr>
          <w:rStyle w:val="TextoNormalNegritaCaracter"/>
        </w:rPr>
        <w:t>Artículo 18.1.4.</w:t>
      </w:r>
      <w:r w:rsidRPr="00E27756">
        <w:rPr>
          <w:rStyle w:val="TextoNormalCaracter"/>
        </w:rPr>
        <w:t>-</w:t>
      </w:r>
      <w:r>
        <w:t xml:space="preserve"> Sentencia </w:t>
      </w:r>
      <w:hyperlink w:anchor="SENTENCIA_2013_98" w:history="1">
        <w:r w:rsidRPr="00E27756">
          <w:rPr>
            <w:rStyle w:val="TextoNormalCaracter"/>
          </w:rPr>
          <w:t>98/2013</w:t>
        </w:r>
      </w:hyperlink>
      <w:r>
        <w:t>, ff. 1, 4.</w:t>
      </w:r>
    </w:p>
    <w:p w:rsidR="00E27756" w:rsidRDefault="00E27756" w:rsidP="00E27756">
      <w:pPr>
        <w:pStyle w:val="SangriaFrancesaArticulo"/>
      </w:pPr>
      <w:r w:rsidRPr="00E27756">
        <w:rPr>
          <w:rStyle w:val="TextoNormalNegritaCaracter"/>
        </w:rPr>
        <w:t>Artículo 43.</w:t>
      </w:r>
      <w:r w:rsidRPr="00E27756">
        <w:rPr>
          <w:rStyle w:val="TextoNormalCaracter"/>
        </w:rPr>
        <w:t>-</w:t>
      </w:r>
      <w:r>
        <w:t xml:space="preserve"> Sentencia </w:t>
      </w:r>
      <w:hyperlink w:anchor="SENTENCIA_2013_100" w:history="1">
        <w:r w:rsidRPr="00E27756">
          <w:rPr>
            <w:rStyle w:val="TextoNormalCaracter"/>
          </w:rPr>
          <w:t>100/2013</w:t>
        </w:r>
      </w:hyperlink>
      <w:r>
        <w:t>, ff. 1, 2.</w:t>
      </w:r>
    </w:p>
    <w:p w:rsidR="00E27756" w:rsidRDefault="00E27756" w:rsidP="00E27756">
      <w:pPr>
        <w:pStyle w:val="SangriaFrancesaArticulo"/>
      </w:pPr>
      <w:r w:rsidRPr="00E27756">
        <w:rPr>
          <w:rStyle w:val="TextoNormalNegritaCaracter"/>
        </w:rPr>
        <w:t>Artículo 45.</w:t>
      </w:r>
      <w:r w:rsidRPr="00E27756">
        <w:rPr>
          <w:rStyle w:val="TextoNormalCaracter"/>
        </w:rPr>
        <w:t>-</w:t>
      </w:r>
      <w:r>
        <w:t xml:space="preserve"> Sentencia </w:t>
      </w:r>
      <w:hyperlink w:anchor="SENTENCIA_2013_100" w:history="1">
        <w:r w:rsidRPr="00E27756">
          <w:rPr>
            <w:rStyle w:val="TextoNormalCaracter"/>
          </w:rPr>
          <w:t>100/2013</w:t>
        </w:r>
      </w:hyperlink>
      <w:r>
        <w:t>, ff. 1, 2.</w:t>
      </w:r>
    </w:p>
    <w:p w:rsidR="00E27756" w:rsidRDefault="00E27756" w:rsidP="00E27756">
      <w:pPr>
        <w:pStyle w:val="SangriaFrancesaArticulo"/>
      </w:pPr>
      <w:r w:rsidRPr="00E27756">
        <w:rPr>
          <w:rStyle w:val="TextoNormalNegritaCaracter"/>
        </w:rPr>
        <w:t>Artículo 47.</w:t>
      </w:r>
      <w:r w:rsidRPr="00E27756">
        <w:rPr>
          <w:rStyle w:val="TextoNormalCaracter"/>
        </w:rPr>
        <w:t>-</w:t>
      </w:r>
      <w:r>
        <w:t xml:space="preserve"> Sentencia </w:t>
      </w:r>
      <w:hyperlink w:anchor="SENTENCIA_2013_100" w:history="1">
        <w:r w:rsidRPr="00E27756">
          <w:rPr>
            <w:rStyle w:val="TextoNormalCaracter"/>
          </w:rPr>
          <w:t>100/2013</w:t>
        </w:r>
      </w:hyperlink>
      <w:r>
        <w:t>, ff. 1, 2.</w:t>
      </w:r>
    </w:p>
    <w:p w:rsidR="00E27756" w:rsidRDefault="00E27756" w:rsidP="00E27756">
      <w:pPr>
        <w:pStyle w:val="SangriaFrancesaArticulo"/>
      </w:pPr>
      <w:r w:rsidRPr="00E27756">
        <w:rPr>
          <w:rStyle w:val="TextoNormalNegritaCaracter"/>
        </w:rPr>
        <w:t>Artículo 56.5.</w:t>
      </w:r>
      <w:r w:rsidRPr="00E27756">
        <w:rPr>
          <w:rStyle w:val="TextoNormalCaracter"/>
        </w:rPr>
        <w:t>-</w:t>
      </w:r>
      <w:r>
        <w:t xml:space="preserve"> Sentencia </w:t>
      </w:r>
      <w:hyperlink w:anchor="SENTENCIA_2013_132" w:history="1">
        <w:r w:rsidRPr="00E27756">
          <w:rPr>
            <w:rStyle w:val="TextoNormalCaracter"/>
          </w:rPr>
          <w:t>132/2013</w:t>
        </w:r>
      </w:hyperlink>
      <w:r>
        <w:t>, f. 2.</w:t>
      </w:r>
    </w:p>
    <w:p w:rsidR="00E27756" w:rsidRDefault="00E27756" w:rsidP="00E27756">
      <w:pPr>
        <w:pStyle w:val="TextoNormal"/>
      </w:pPr>
    </w:p>
    <w:p w:rsidR="00E27756" w:rsidRDefault="00E27756" w:rsidP="00E27756">
      <w:pPr>
        <w:pStyle w:val="TextoNormalNegritaCentradoSubrayado"/>
        <w:suppressAutoHyphens/>
      </w:pPr>
      <w:r>
        <w:t>J.12.b) Leyes y disposiciones con fuerza de Ley</w:t>
      </w:r>
    </w:p>
    <w:p w:rsidR="00E27756" w:rsidRDefault="00E27756" w:rsidP="00E27756">
      <w:pPr>
        <w:pStyle w:val="TextoNormalNegritaCentradoSubrayado"/>
      </w:pPr>
    </w:p>
    <w:p w:rsidR="00E27756" w:rsidRDefault="00E27756" w:rsidP="00E27756">
      <w:pPr>
        <w:pStyle w:val="TextoNormalNegritaCursivandice"/>
      </w:pPr>
      <w:r>
        <w:t>Ley del Parlamento de La Rioja 1/2007, de 12 de febrero. Fundaciones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8" w:history="1">
        <w:r w:rsidRPr="00E27756">
          <w:rPr>
            <w:rStyle w:val="TextoNormalCaracter"/>
          </w:rPr>
          <w:t>98/2013</w:t>
        </w:r>
      </w:hyperlink>
      <w:r>
        <w:t>, f. 1.</w:t>
      </w:r>
    </w:p>
    <w:p w:rsidR="00E27756" w:rsidRDefault="00E27756" w:rsidP="00E27756">
      <w:pPr>
        <w:pStyle w:val="SangriaFrancesaArticulo"/>
      </w:pPr>
      <w:r w:rsidRPr="00E27756">
        <w:rPr>
          <w:rStyle w:val="TextoNormalNegritaCaracter"/>
        </w:rPr>
        <w:t>Artículo 37.1.</w:t>
      </w:r>
      <w:r w:rsidRPr="00E27756">
        <w:rPr>
          <w:rStyle w:val="TextoNormalCaracter"/>
        </w:rPr>
        <w:t>-</w:t>
      </w:r>
      <w:r>
        <w:t xml:space="preserve"> Sentencia </w:t>
      </w:r>
      <w:hyperlink w:anchor="SENTENCIA_2013_98" w:history="1">
        <w:r w:rsidRPr="00E27756">
          <w:rPr>
            <w:rStyle w:val="TextoNormalCaracter"/>
          </w:rPr>
          <w:t>98/2013</w:t>
        </w:r>
      </w:hyperlink>
      <w:r>
        <w:t>, ff. 1, 3, 4.</w:t>
      </w:r>
    </w:p>
    <w:p w:rsidR="00E27756" w:rsidRDefault="00E27756" w:rsidP="00E27756">
      <w:pPr>
        <w:pStyle w:val="SangriaFrancesaArticulo"/>
      </w:pPr>
      <w:r w:rsidRPr="00E27756">
        <w:rPr>
          <w:rStyle w:val="TextoNormalNegritaCaracter"/>
        </w:rPr>
        <w:t>Artículo 37.3.</w:t>
      </w:r>
      <w:r w:rsidRPr="00E27756">
        <w:rPr>
          <w:rStyle w:val="TextoNormalCaracter"/>
        </w:rPr>
        <w:t>-</w:t>
      </w:r>
      <w:r>
        <w:t xml:space="preserve"> Sentencia </w:t>
      </w:r>
      <w:hyperlink w:anchor="SENTENCIA_2013_98" w:history="1">
        <w:r w:rsidRPr="00E27756">
          <w:rPr>
            <w:rStyle w:val="TextoNormalCaracter"/>
          </w:rPr>
          <w:t>98/2013</w:t>
        </w:r>
      </w:hyperlink>
      <w:r>
        <w:t>, ff. 1, 3, 4.</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J.13) Madrid</w:t>
      </w:r>
    </w:p>
    <w:p w:rsidR="00E27756" w:rsidRDefault="00E27756" w:rsidP="00E27756">
      <w:pPr>
        <w:pStyle w:val="TextoNormal"/>
      </w:pPr>
    </w:p>
    <w:p w:rsidR="00E27756" w:rsidRDefault="00E27756" w:rsidP="00E27756">
      <w:pPr>
        <w:pStyle w:val="TextoNormalNegritaCentradoSubrayado"/>
        <w:suppressAutoHyphens/>
      </w:pPr>
      <w:r>
        <w:t>J.13.a) Estatuto de Autonomía</w:t>
      </w:r>
    </w:p>
    <w:p w:rsidR="00E27756" w:rsidRDefault="00E27756" w:rsidP="00E27756">
      <w:pPr>
        <w:pStyle w:val="TextoNormalNegritaCentradoSubrayado"/>
      </w:pPr>
    </w:p>
    <w:p w:rsidR="00E27756" w:rsidRDefault="00E27756" w:rsidP="00E27756">
      <w:pPr>
        <w:pStyle w:val="TextoNormalNegritaCursivandice"/>
      </w:pPr>
      <w:r>
        <w:t>Ley Orgánica 3/1983, de 25 de febrero. Estatuto de Autonomía de la Comunidad de Madrid</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Sentencia </w:t>
      </w:r>
      <w:hyperlink w:anchor="SENTENCIA_2013_81" w:history="1">
        <w:r w:rsidRPr="00E27756">
          <w:rPr>
            <w:rStyle w:val="TextoNormalCaracter"/>
          </w:rPr>
          <w:t>81/2013</w:t>
        </w:r>
      </w:hyperlink>
      <w:r>
        <w:t>, f. 3.</w:t>
      </w:r>
    </w:p>
    <w:p w:rsidR="00E27756" w:rsidRDefault="00E27756" w:rsidP="00E27756">
      <w:pPr>
        <w:pStyle w:val="SangriaFrancesaArticulo"/>
      </w:pPr>
      <w:r w:rsidRPr="00E27756">
        <w:rPr>
          <w:rStyle w:val="TextoNormalNegritaCaracter"/>
        </w:rPr>
        <w:t>Artículo 26.1.4.</w:t>
      </w:r>
      <w:r w:rsidRPr="00E27756">
        <w:rPr>
          <w:rStyle w:val="TextoNormalCaracter"/>
        </w:rPr>
        <w:t>-</w:t>
      </w:r>
      <w:r>
        <w:t xml:space="preserve"> Sentencia </w:t>
      </w:r>
      <w:hyperlink w:anchor="SENTENCIA_2013_112" w:history="1">
        <w:r w:rsidRPr="00E27756">
          <w:rPr>
            <w:rStyle w:val="TextoNormalCaracter"/>
          </w:rPr>
          <w:t>112/2013</w:t>
        </w:r>
      </w:hyperlink>
      <w:r>
        <w:t>, f. 3.</w:t>
      </w:r>
    </w:p>
    <w:p w:rsidR="00E27756" w:rsidRDefault="00E27756" w:rsidP="00E27756">
      <w:pPr>
        <w:pStyle w:val="SangriaFrancesaArticulo"/>
      </w:pPr>
      <w:r w:rsidRPr="00E27756">
        <w:rPr>
          <w:rStyle w:val="TextoNormalNegritaCaracter"/>
        </w:rPr>
        <w:t>Artículo 27.2.</w:t>
      </w:r>
      <w:r w:rsidRPr="00E27756">
        <w:rPr>
          <w:rStyle w:val="TextoNormalCaracter"/>
        </w:rPr>
        <w:t>-</w:t>
      </w:r>
      <w:r>
        <w:t xml:space="preserve"> Sentencia </w:t>
      </w:r>
      <w:hyperlink w:anchor="SENTENCIA_2013_81" w:history="1">
        <w:r w:rsidRPr="00E27756">
          <w:rPr>
            <w:rStyle w:val="TextoNormalCaracter"/>
          </w:rPr>
          <w:t>81/2013</w:t>
        </w:r>
      </w:hyperlink>
      <w:r>
        <w:t>, f. 6.</w:t>
      </w:r>
    </w:p>
    <w:p w:rsidR="00E27756" w:rsidRDefault="00E27756" w:rsidP="00E27756">
      <w:pPr>
        <w:pStyle w:val="SangriaFrancesaArticulo"/>
      </w:pPr>
      <w:r w:rsidRPr="00E27756">
        <w:rPr>
          <w:rStyle w:val="TextoNormalNegritaCaracter"/>
        </w:rPr>
        <w:t>Artículo 27.7.</w:t>
      </w:r>
      <w:r w:rsidRPr="00E27756">
        <w:rPr>
          <w:rStyle w:val="TextoNormalCaracter"/>
        </w:rPr>
        <w:t>-</w:t>
      </w:r>
      <w:r>
        <w:t xml:space="preserve"> Sentencia </w:t>
      </w:r>
      <w:hyperlink w:anchor="SENTENCIA_2013_138" w:history="1">
        <w:r w:rsidRPr="00E27756">
          <w:rPr>
            <w:rStyle w:val="TextoNormalCaracter"/>
          </w:rPr>
          <w:t>138/2013</w:t>
        </w:r>
      </w:hyperlink>
      <w:r>
        <w:t>, f. 1.</w:t>
      </w:r>
    </w:p>
    <w:p w:rsidR="00E27756" w:rsidRDefault="00E27756" w:rsidP="00E27756">
      <w:pPr>
        <w:pStyle w:val="SangriaFrancesaArticulo"/>
      </w:pPr>
      <w:r w:rsidRPr="00E27756">
        <w:rPr>
          <w:rStyle w:val="TextoNormalNegritaCaracter"/>
        </w:rPr>
        <w:lastRenderedPageBreak/>
        <w:t>Artículo 28.1.1.12.</w:t>
      </w:r>
      <w:r w:rsidRPr="00E27756">
        <w:rPr>
          <w:rStyle w:val="TextoNormalCaracter"/>
        </w:rPr>
        <w:t>-</w:t>
      </w:r>
      <w:r>
        <w:t xml:space="preserve"> Sentencia </w:t>
      </w:r>
      <w:hyperlink w:anchor="SENTENCIA_2013_37" w:history="1">
        <w:r w:rsidRPr="00E27756">
          <w:rPr>
            <w:rStyle w:val="TextoNormalCaracter"/>
          </w:rPr>
          <w:t>37/2013</w:t>
        </w:r>
      </w:hyperlink>
      <w:r>
        <w:t>, ff. 2, 4.</w:t>
      </w:r>
    </w:p>
    <w:p w:rsidR="00E27756" w:rsidRDefault="00E27756" w:rsidP="00E27756">
      <w:pPr>
        <w:pStyle w:val="SangriaFrancesaArticulo"/>
      </w:pPr>
      <w:r w:rsidRPr="00E27756">
        <w:rPr>
          <w:rStyle w:val="TextoNormalNegritaCaracter"/>
        </w:rPr>
        <w:t>Artículo 28.1.12.</w:t>
      </w:r>
      <w:r w:rsidRPr="00E27756">
        <w:rPr>
          <w:rStyle w:val="TextoNormalCaracter"/>
        </w:rPr>
        <w:t>-</w:t>
      </w:r>
      <w:r>
        <w:t xml:space="preserve"> Sentencia </w:t>
      </w:r>
      <w:hyperlink w:anchor="SENTENCIA_2013_81" w:history="1">
        <w:r w:rsidRPr="00E27756">
          <w:rPr>
            <w:rStyle w:val="TextoNormalCaracter"/>
          </w:rPr>
          <w:t>81/2013</w:t>
        </w:r>
      </w:hyperlink>
      <w:r>
        <w:t>, f. 6, VP.</w:t>
      </w:r>
    </w:p>
    <w:p w:rsidR="00E27756" w:rsidRDefault="00E27756" w:rsidP="00E27756">
      <w:pPr>
        <w:pStyle w:val="TextoNormal"/>
      </w:pPr>
    </w:p>
    <w:p w:rsidR="00E27756" w:rsidRDefault="00E27756" w:rsidP="00E27756">
      <w:pPr>
        <w:pStyle w:val="TextoNormalNegritaCentradoSubrayado"/>
        <w:suppressAutoHyphens/>
      </w:pPr>
      <w:r>
        <w:t>J.13.b) Leyes y disposiciones con fuerza de Ley</w:t>
      </w:r>
    </w:p>
    <w:p w:rsidR="00E27756" w:rsidRDefault="00E27756" w:rsidP="00E27756">
      <w:pPr>
        <w:pStyle w:val="TextoNormalNegritaCentradoSubrayado"/>
      </w:pPr>
    </w:p>
    <w:p w:rsidR="00E27756" w:rsidRDefault="00E27756" w:rsidP="00E27756">
      <w:pPr>
        <w:pStyle w:val="TextoNormalNegritaCursivandice"/>
      </w:pPr>
      <w:r>
        <w:t>Ley de la Asamblea de Madrid 1/1998, de 2 de marzo. Fundaciones</w:t>
      </w:r>
    </w:p>
    <w:p w:rsidR="00E27756" w:rsidRDefault="00E27756" w:rsidP="00E27756">
      <w:pPr>
        <w:pStyle w:val="SangriaFrancesaArticulo"/>
      </w:pPr>
      <w:r w:rsidRPr="00E27756">
        <w:rPr>
          <w:rStyle w:val="TextoNormalNegritaCaracter"/>
        </w:rPr>
        <w:t>Artículo 24.3.</w:t>
      </w:r>
      <w:r w:rsidRPr="00E27756">
        <w:rPr>
          <w:rStyle w:val="TextoNormalCaracter"/>
        </w:rPr>
        <w:t>-</w:t>
      </w:r>
      <w:r>
        <w:t xml:space="preserve"> Sentencia </w:t>
      </w:r>
      <w:hyperlink w:anchor="SENTENCIA_2013_98" w:history="1">
        <w:r w:rsidRPr="00E27756">
          <w:rPr>
            <w:rStyle w:val="TextoNormalCaracter"/>
          </w:rPr>
          <w:t>98/2013</w:t>
        </w:r>
      </w:hyperlink>
      <w:r>
        <w:t>, f. 4.</w:t>
      </w:r>
    </w:p>
    <w:p w:rsidR="00E27756" w:rsidRDefault="00E27756" w:rsidP="00E27756">
      <w:pPr>
        <w:pStyle w:val="SangriaFrancesaArticulo"/>
      </w:pPr>
    </w:p>
    <w:p w:rsidR="00E27756" w:rsidRDefault="00E27756" w:rsidP="00E27756">
      <w:pPr>
        <w:pStyle w:val="TextoNormalNegritaCursivandice"/>
      </w:pPr>
      <w:r>
        <w:t>Ley de la Asamblea de Madrid 20/1998, de 27 de noviembre. Ordenación y coordinación de los transportes urbanos</w:t>
      </w:r>
    </w:p>
    <w:p w:rsidR="00E27756" w:rsidRDefault="00E27756" w:rsidP="00E27756">
      <w:pPr>
        <w:pStyle w:val="SangriaFrancesaArticulo"/>
      </w:pPr>
      <w:r w:rsidRPr="00E27756">
        <w:rPr>
          <w:rStyle w:val="TextoNormalNegritaCaracter"/>
        </w:rPr>
        <w:t>Artículo 16.2.</w:t>
      </w:r>
      <w:r w:rsidRPr="00E27756">
        <w:rPr>
          <w:rStyle w:val="TextoNormalCaracter"/>
        </w:rPr>
        <w:t>-</w:t>
      </w:r>
      <w:r>
        <w:t xml:space="preserve"> Sentencia </w:t>
      </w:r>
      <w:hyperlink w:anchor="SENTENCIA_2013_13" w:history="1">
        <w:r w:rsidRPr="00E27756">
          <w:rPr>
            <w:rStyle w:val="TextoNormalCaracter"/>
          </w:rPr>
          <w:t>13/2013</w:t>
        </w:r>
      </w:hyperlink>
      <w:r>
        <w:t>, f. 4.</w:t>
      </w:r>
    </w:p>
    <w:p w:rsidR="00E27756" w:rsidRDefault="00E27756" w:rsidP="00E27756">
      <w:pPr>
        <w:pStyle w:val="SangriaFrancesaArticulo"/>
      </w:pPr>
      <w:r w:rsidRPr="00E27756">
        <w:rPr>
          <w:rStyle w:val="TextoNormalNegritaCaracter"/>
        </w:rPr>
        <w:t>Artículo 16.2 b) apartado 7.</w:t>
      </w:r>
      <w:r w:rsidRPr="00E27756">
        <w:rPr>
          <w:rStyle w:val="TextoNormalCaracter"/>
        </w:rPr>
        <w:t>-</w:t>
      </w:r>
      <w:r>
        <w:t xml:space="preserve"> Sentencia </w:t>
      </w:r>
      <w:hyperlink w:anchor="SENTENCIA_2013_13" w:history="1">
        <w:r w:rsidRPr="00E27756">
          <w:rPr>
            <w:rStyle w:val="TextoNormalCaracter"/>
          </w:rPr>
          <w:t>13/2013</w:t>
        </w:r>
      </w:hyperlink>
      <w:r>
        <w:t>, ff. 1, 3, 4.</w:t>
      </w:r>
    </w:p>
    <w:p w:rsidR="00E27756" w:rsidRDefault="00E27756" w:rsidP="00E27756">
      <w:pPr>
        <w:pStyle w:val="SangriaIzquierdaArticulo"/>
      </w:pPr>
      <w:r>
        <w:t xml:space="preserve">Autos </w:t>
      </w:r>
      <w:hyperlink w:anchor="AUTO_2013_49" w:history="1">
        <w:r w:rsidRPr="00E27756">
          <w:rPr>
            <w:rStyle w:val="TextoNormalCaracter"/>
          </w:rPr>
          <w:t>49/2013</w:t>
        </w:r>
      </w:hyperlink>
      <w:r>
        <w:t xml:space="preserve">, f. único; </w:t>
      </w:r>
      <w:hyperlink w:anchor="AUTO_2013_50" w:history="1">
        <w:r w:rsidRPr="00E27756">
          <w:rPr>
            <w:rStyle w:val="TextoNormalCaracter"/>
          </w:rPr>
          <w:t>50/2013</w:t>
        </w:r>
      </w:hyperlink>
      <w:r>
        <w:t xml:space="preserve">, f. único; </w:t>
      </w:r>
      <w:hyperlink w:anchor="AUTO_2013_51" w:history="1">
        <w:r w:rsidRPr="00E27756">
          <w:rPr>
            <w:rStyle w:val="TextoNormalCaracter"/>
          </w:rPr>
          <w:t>51/2013</w:t>
        </w:r>
      </w:hyperlink>
      <w:r>
        <w:t xml:space="preserve">, f. único; </w:t>
      </w:r>
      <w:hyperlink w:anchor="AUTO_2013_52" w:history="1">
        <w:r w:rsidRPr="00E27756">
          <w:rPr>
            <w:rStyle w:val="TextoNormalCaracter"/>
          </w:rPr>
          <w:t>52/2013</w:t>
        </w:r>
      </w:hyperlink>
      <w:r>
        <w:t xml:space="preserve">, f. único; </w:t>
      </w:r>
      <w:hyperlink w:anchor="AUTO_2013_53" w:history="1">
        <w:r w:rsidRPr="00E27756">
          <w:rPr>
            <w:rStyle w:val="TextoNormalCaracter"/>
          </w:rPr>
          <w:t>53/2013</w:t>
        </w:r>
      </w:hyperlink>
      <w:r>
        <w:t xml:space="preserve">, f. único; </w:t>
      </w:r>
      <w:hyperlink w:anchor="AUTO_2013_54" w:history="1">
        <w:r w:rsidRPr="00E27756">
          <w:rPr>
            <w:rStyle w:val="TextoNormalCaracter"/>
          </w:rPr>
          <w:t>54/2013</w:t>
        </w:r>
      </w:hyperlink>
      <w:r>
        <w:t xml:space="preserve">, f. único; </w:t>
      </w:r>
      <w:hyperlink w:anchor="AUTO_2013_55" w:history="1">
        <w:r w:rsidRPr="00E27756">
          <w:rPr>
            <w:rStyle w:val="TextoNormalCaracter"/>
          </w:rPr>
          <w:t>55/2013</w:t>
        </w:r>
      </w:hyperlink>
      <w:r>
        <w:t xml:space="preserve">, f. único; </w:t>
      </w:r>
      <w:hyperlink w:anchor="AUTO_2013_57" w:history="1">
        <w:r w:rsidRPr="00E27756">
          <w:rPr>
            <w:rStyle w:val="TextoNormalCaracter"/>
          </w:rPr>
          <w:t>57/2013</w:t>
        </w:r>
      </w:hyperlink>
      <w:r>
        <w:t>, f. único.</w:t>
      </w:r>
    </w:p>
    <w:p w:rsidR="00E27756" w:rsidRDefault="00E27756" w:rsidP="00E27756">
      <w:pPr>
        <w:pStyle w:val="SangriaIzquierdaArticulo"/>
      </w:pPr>
    </w:p>
    <w:p w:rsidR="00E27756" w:rsidRDefault="00E27756" w:rsidP="00E27756">
      <w:pPr>
        <w:pStyle w:val="TextoNormalNegritaCursivandice"/>
      </w:pPr>
      <w:r>
        <w:t>Ley de la Asamblea de Madrid 9/2001, de 17 de julio. Suelo</w:t>
      </w:r>
    </w:p>
    <w:p w:rsidR="00E27756" w:rsidRDefault="00E27756" w:rsidP="00E27756">
      <w:pPr>
        <w:pStyle w:val="SangriaFrancesaArticulo"/>
      </w:pPr>
      <w:r w:rsidRPr="00E27756">
        <w:rPr>
          <w:rStyle w:val="TextoNormalNegritaCaracter"/>
        </w:rPr>
        <w:t>Artículo 38.</w:t>
      </w:r>
      <w:r w:rsidRPr="00E27756">
        <w:rPr>
          <w:rStyle w:val="TextoNormalCaracter"/>
        </w:rPr>
        <w:t>-</w:t>
      </w:r>
      <w:r>
        <w:t xml:space="preserve"> Sentencia </w:t>
      </w:r>
      <w:hyperlink w:anchor="SENTENCIA_2013_112" w:history="1">
        <w:r w:rsidRPr="00E27756">
          <w:rPr>
            <w:rStyle w:val="TextoNormalCaracter"/>
          </w:rPr>
          <w:t>112/2013</w:t>
        </w:r>
      </w:hyperlink>
      <w:r>
        <w:t>, f. 5.</w:t>
      </w:r>
    </w:p>
    <w:p w:rsidR="00E27756" w:rsidRDefault="00E27756" w:rsidP="00E27756">
      <w:pPr>
        <w:pStyle w:val="SangriaFrancesaArticulo"/>
      </w:pPr>
    </w:p>
    <w:p w:rsidR="00E27756" w:rsidRDefault="00E27756" w:rsidP="00E27756">
      <w:pPr>
        <w:pStyle w:val="TextoNormalNegritaCursivandice"/>
      </w:pPr>
      <w:r>
        <w:t>Ley de la Asamblea de Madrid 11/2001, de 19 diciembre. Uniones de hecho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81" w:history="1">
        <w:r w:rsidRPr="00E27756">
          <w:rPr>
            <w:rStyle w:val="TextoNormalCaracter"/>
          </w:rPr>
          <w:t>81/2013</w:t>
        </w:r>
      </w:hyperlink>
      <w:r>
        <w:t xml:space="preserve">, ff. 1 a 4, VP;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81" w:history="1">
        <w:r w:rsidRPr="00E27756">
          <w:rPr>
            <w:rStyle w:val="TextoNormalCaracter"/>
          </w:rPr>
          <w:t>81/2013</w:t>
        </w:r>
      </w:hyperlink>
      <w:r>
        <w:t>, f. 3.</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81" w:history="1">
        <w:r w:rsidRPr="00E27756">
          <w:rPr>
            <w:rStyle w:val="TextoNormalCaracter"/>
          </w:rPr>
          <w:t>81/2013</w:t>
        </w:r>
      </w:hyperlink>
      <w:r>
        <w:t>, f. 4.</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81" w:history="1">
        <w:r w:rsidRPr="00E27756">
          <w:rPr>
            <w:rStyle w:val="TextoNormalCaracter"/>
          </w:rPr>
          <w:t>81/2013</w:t>
        </w:r>
      </w:hyperlink>
      <w:r>
        <w:t>, f. 4.</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81" w:history="1">
        <w:r w:rsidRPr="00E27756">
          <w:rPr>
            <w:rStyle w:val="TextoNormalCaracter"/>
          </w:rPr>
          <w:t>81/2013</w:t>
        </w:r>
      </w:hyperlink>
      <w:r>
        <w:t>, ff. 3, 4.</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81" w:history="1">
        <w:r w:rsidRPr="00E27756">
          <w:rPr>
            <w:rStyle w:val="TextoNormalCaracter"/>
          </w:rPr>
          <w:t>81/2013</w:t>
        </w:r>
      </w:hyperlink>
      <w:r>
        <w:t>, ff. 1, 3, 5, VP.</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81" w:history="1">
        <w:r w:rsidRPr="00E27756">
          <w:rPr>
            <w:rStyle w:val="TextoNormalCaracter"/>
          </w:rPr>
          <w:t>81/2013</w:t>
        </w:r>
      </w:hyperlink>
      <w:r>
        <w:t>, ff. 1, 3, 4, VP.</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81" w:history="1">
        <w:r w:rsidRPr="00E27756">
          <w:rPr>
            <w:rStyle w:val="TextoNormalCaracter"/>
          </w:rPr>
          <w:t>81/2013</w:t>
        </w:r>
      </w:hyperlink>
      <w:r>
        <w:t>, f. 4.</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81" w:history="1">
        <w:r w:rsidRPr="00E27756">
          <w:rPr>
            <w:rStyle w:val="TextoNormalCaracter"/>
          </w:rPr>
          <w:t>81/2013</w:t>
        </w:r>
      </w:hyperlink>
      <w:r>
        <w:t>, f. 4.</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Sentencia </w:t>
      </w:r>
      <w:hyperlink w:anchor="SENTENCIA_2013_81" w:history="1">
        <w:r w:rsidRPr="00E27756">
          <w:rPr>
            <w:rStyle w:val="TextoNormalCaracter"/>
          </w:rPr>
          <w:t>81/2013</w:t>
        </w:r>
      </w:hyperlink>
      <w:r>
        <w:t>, ff. 1, 3, 4, VP.</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81" w:history="1">
        <w:r w:rsidRPr="00E27756">
          <w:rPr>
            <w:rStyle w:val="TextoNormalCaracter"/>
          </w:rPr>
          <w:t>81/2013</w:t>
        </w:r>
      </w:hyperlink>
      <w:r>
        <w:t>, f. 3.</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Sentencia </w:t>
      </w:r>
      <w:hyperlink w:anchor="SENTENCIA_2013_81" w:history="1">
        <w:r w:rsidRPr="00E27756">
          <w:rPr>
            <w:rStyle w:val="TextoNormalCaracter"/>
          </w:rPr>
          <w:t>81/2013</w:t>
        </w:r>
      </w:hyperlink>
      <w:r>
        <w:t>, f. 3.</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81" w:history="1">
        <w:r w:rsidRPr="00E27756">
          <w:rPr>
            <w:rStyle w:val="TextoNormalCaracter"/>
          </w:rPr>
          <w:t>81/2013</w:t>
        </w:r>
      </w:hyperlink>
      <w:r>
        <w:t>, ff. 1, 3, 6, VP.</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81" w:history="1">
        <w:r w:rsidRPr="00E27756">
          <w:rPr>
            <w:rStyle w:val="TextoNormalCaracter"/>
          </w:rPr>
          <w:t>81/2013</w:t>
        </w:r>
      </w:hyperlink>
      <w:r>
        <w:t>, ff. 1, 3, 6, VP.</w:t>
      </w:r>
    </w:p>
    <w:p w:rsidR="00E27756" w:rsidRDefault="00E27756" w:rsidP="00E27756">
      <w:pPr>
        <w:pStyle w:val="SangriaFrancesaArticulo"/>
      </w:pPr>
    </w:p>
    <w:p w:rsidR="00E27756" w:rsidRDefault="00E27756" w:rsidP="00E27756">
      <w:pPr>
        <w:pStyle w:val="TextoNormalNegritaCursivandice"/>
      </w:pPr>
      <w:r>
        <w:t>Decreto Legislativo del Consejo de Gobierno de la Comunidad de Madrid 1/2002, de 24 de octubre. Texto refundido de la Ley de tasas y precios públicos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42" w:history="1">
        <w:r w:rsidRPr="00E27756">
          <w:rPr>
            <w:rStyle w:val="TextoNormalCaracter"/>
          </w:rPr>
          <w:t>142/2013</w:t>
        </w:r>
      </w:hyperlink>
      <w:r>
        <w:t>, f. 1.</w:t>
      </w:r>
    </w:p>
    <w:p w:rsidR="00E27756" w:rsidRDefault="00E27756" w:rsidP="00E27756">
      <w:pPr>
        <w:pStyle w:val="SangriaFrancesaArticulo"/>
      </w:pPr>
      <w:r w:rsidRPr="00E27756">
        <w:rPr>
          <w:rStyle w:val="TextoNormalNegritaCaracter"/>
        </w:rPr>
        <w:t>Título IV, capítulo CVII</w:t>
      </w:r>
      <w:r>
        <w:t xml:space="preserve"> </w:t>
      </w:r>
      <w:r w:rsidRPr="00E27756">
        <w:rPr>
          <w:rStyle w:val="TextoNormalCaracter"/>
        </w:rPr>
        <w:t>(redactado por la Ley de la Asamblea de Madrid 8/2012, de 28 de diciembre)</w:t>
      </w:r>
      <w:r w:rsidRPr="00E27756">
        <w:rPr>
          <w:rStyle w:val="TextoNormalNegritaCaracter"/>
        </w:rPr>
        <w:t>.</w:t>
      </w:r>
      <w:r w:rsidRPr="00E27756">
        <w:rPr>
          <w:rStyle w:val="TextoNormalCaracter"/>
        </w:rPr>
        <w:t>-</w:t>
      </w:r>
      <w:r>
        <w:t xml:space="preserve"> Auto </w:t>
      </w:r>
      <w:hyperlink w:anchor="AUTO_2013_142" w:history="1">
        <w:r w:rsidRPr="00E27756">
          <w:rPr>
            <w:rStyle w:val="TextoNormalCaracter"/>
          </w:rPr>
          <w:t>142/2013</w:t>
        </w:r>
      </w:hyperlink>
      <w:r>
        <w:t>, f. 1.</w:t>
      </w:r>
    </w:p>
    <w:p w:rsidR="00E27756" w:rsidRDefault="00E27756" w:rsidP="00E27756">
      <w:pPr>
        <w:pStyle w:val="SangriaFrancesaArticulo"/>
      </w:pPr>
      <w:r w:rsidRPr="00E27756">
        <w:rPr>
          <w:rStyle w:val="TextoNormalNegritaCaracter"/>
        </w:rPr>
        <w:t>Artículo 530.</w:t>
      </w:r>
      <w:r w:rsidRPr="00E27756">
        <w:rPr>
          <w:rStyle w:val="TextoNormalCaracter"/>
        </w:rPr>
        <w:t>-</w:t>
      </w:r>
      <w:r>
        <w:t xml:space="preserve"> Auto </w:t>
      </w:r>
      <w:hyperlink w:anchor="AUTO_2013_142" w:history="1">
        <w:r w:rsidRPr="00E27756">
          <w:rPr>
            <w:rStyle w:val="TextoNormalCaracter"/>
          </w:rPr>
          <w:t>142/2013</w:t>
        </w:r>
      </w:hyperlink>
      <w:r>
        <w:t>, f. 2.</w:t>
      </w:r>
    </w:p>
    <w:p w:rsidR="00E27756" w:rsidRDefault="00E27756" w:rsidP="00E27756">
      <w:pPr>
        <w:pStyle w:val="SangriaFrancesaArticulo"/>
      </w:pPr>
      <w:r w:rsidRPr="00E27756">
        <w:rPr>
          <w:rStyle w:val="TextoNormalNegritaCaracter"/>
        </w:rPr>
        <w:t>Artículo 530 a 535</w:t>
      </w:r>
      <w:r>
        <w:t xml:space="preserve"> </w:t>
      </w:r>
      <w:r w:rsidRPr="00E27756">
        <w:rPr>
          <w:rStyle w:val="TextoNormalCaracter"/>
        </w:rPr>
        <w:t>(redactado por la Ley de la Asamblea de Madrid 8/2012, de 28 de diciembre)</w:t>
      </w:r>
      <w:r w:rsidRPr="00E27756">
        <w:rPr>
          <w:rStyle w:val="TextoNormalNegritaCaracter"/>
        </w:rPr>
        <w:t>.</w:t>
      </w:r>
      <w:r w:rsidRPr="00E27756">
        <w:rPr>
          <w:rStyle w:val="TextoNormalCaracter"/>
        </w:rPr>
        <w:t>-</w:t>
      </w:r>
      <w:r>
        <w:t xml:space="preserve"> Auto </w:t>
      </w:r>
      <w:hyperlink w:anchor="AUTO_2013_142" w:history="1">
        <w:r w:rsidRPr="00E27756">
          <w:rPr>
            <w:rStyle w:val="TextoNormalCaracter"/>
          </w:rPr>
          <w:t>142/2013</w:t>
        </w:r>
      </w:hyperlink>
      <w:r>
        <w:t>, f. 1.</w:t>
      </w:r>
    </w:p>
    <w:p w:rsidR="00E27756" w:rsidRDefault="00E27756" w:rsidP="00E27756">
      <w:pPr>
        <w:pStyle w:val="SangriaFrancesaArticulo"/>
      </w:pPr>
      <w:r w:rsidRPr="00E27756">
        <w:rPr>
          <w:rStyle w:val="TextoNormalNegritaCaracter"/>
        </w:rPr>
        <w:t>Artículo 531.</w:t>
      </w:r>
      <w:r w:rsidRPr="00E27756">
        <w:rPr>
          <w:rStyle w:val="TextoNormalCaracter"/>
        </w:rPr>
        <w:t>-</w:t>
      </w:r>
      <w:r>
        <w:t xml:space="preserve"> Auto </w:t>
      </w:r>
      <w:hyperlink w:anchor="AUTO_2013_142" w:history="1">
        <w:r w:rsidRPr="00E27756">
          <w:rPr>
            <w:rStyle w:val="TextoNormalCaracter"/>
          </w:rPr>
          <w:t>142/2013</w:t>
        </w:r>
      </w:hyperlink>
      <w:r>
        <w:t>, f. 2.</w:t>
      </w:r>
    </w:p>
    <w:p w:rsidR="00E27756" w:rsidRDefault="00E27756" w:rsidP="00E27756">
      <w:pPr>
        <w:pStyle w:val="SangriaFrancesaArticulo"/>
      </w:pPr>
      <w:r w:rsidRPr="00E27756">
        <w:rPr>
          <w:rStyle w:val="TextoNormalNegritaCaracter"/>
        </w:rPr>
        <w:t>Artículo 532.1.</w:t>
      </w:r>
      <w:r w:rsidRPr="00E27756">
        <w:rPr>
          <w:rStyle w:val="TextoNormalCaracter"/>
        </w:rPr>
        <w:t>-</w:t>
      </w:r>
      <w:r>
        <w:t xml:space="preserve"> Auto </w:t>
      </w:r>
      <w:hyperlink w:anchor="AUTO_2013_142" w:history="1">
        <w:r w:rsidRPr="00E27756">
          <w:rPr>
            <w:rStyle w:val="TextoNormalCaracter"/>
          </w:rPr>
          <w:t>142/2013</w:t>
        </w:r>
      </w:hyperlink>
      <w:r>
        <w:t>, f. 2.</w:t>
      </w:r>
    </w:p>
    <w:p w:rsidR="00E27756" w:rsidRDefault="00E27756" w:rsidP="00E27756">
      <w:pPr>
        <w:pStyle w:val="SangriaFrancesaArticulo"/>
      </w:pPr>
      <w:r w:rsidRPr="00E27756">
        <w:rPr>
          <w:rStyle w:val="TextoNormalNegritaCaracter"/>
        </w:rPr>
        <w:t>Artículo 533.</w:t>
      </w:r>
      <w:r w:rsidRPr="00E27756">
        <w:rPr>
          <w:rStyle w:val="TextoNormalCaracter"/>
        </w:rPr>
        <w:t>-</w:t>
      </w:r>
      <w:r>
        <w:t xml:space="preserve"> Auto </w:t>
      </w:r>
      <w:hyperlink w:anchor="AUTO_2013_142" w:history="1">
        <w:r w:rsidRPr="00E27756">
          <w:rPr>
            <w:rStyle w:val="TextoNormalCaracter"/>
          </w:rPr>
          <w:t>142/2013</w:t>
        </w:r>
      </w:hyperlink>
      <w:r>
        <w:t>, f. 2.</w:t>
      </w:r>
    </w:p>
    <w:p w:rsidR="00E27756" w:rsidRDefault="00E27756" w:rsidP="00E27756">
      <w:pPr>
        <w:pStyle w:val="SangriaFrancesaArticulo"/>
      </w:pPr>
    </w:p>
    <w:p w:rsidR="00E27756" w:rsidRDefault="00E27756" w:rsidP="00E27756">
      <w:pPr>
        <w:pStyle w:val="TextoNormalNegritaCursivandice"/>
      </w:pPr>
      <w:r>
        <w:lastRenderedPageBreak/>
        <w:t>Ley de la Asamblea de Madrid 2/2009, de 23 de junio. Modificación de la Ley 4/2003, de 11 de marzo, de Cajas de Ahorros de la Comunidad de Madrid</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Autos </w:t>
      </w:r>
      <w:hyperlink w:anchor="AUTO_2013_124" w:history="1">
        <w:r w:rsidRPr="00E27756">
          <w:rPr>
            <w:rStyle w:val="TextoNormalCaracter"/>
          </w:rPr>
          <w:t>124/2013</w:t>
        </w:r>
      </w:hyperlink>
      <w:r>
        <w:t xml:space="preserve">, f. 4; </w:t>
      </w:r>
      <w:hyperlink w:anchor="AUTO_2013_124" w:history="1">
        <w:r w:rsidRPr="00E27756">
          <w:rPr>
            <w:rStyle w:val="TextoNormalCaracter"/>
          </w:rPr>
          <w:t>124/2013</w:t>
        </w:r>
      </w:hyperlink>
      <w:r>
        <w:t>, f. 4.</w:t>
      </w:r>
    </w:p>
    <w:p w:rsidR="00E27756" w:rsidRDefault="00E27756" w:rsidP="00E27756">
      <w:pPr>
        <w:pStyle w:val="SangriaFrancesaArticulo"/>
      </w:pPr>
    </w:p>
    <w:p w:rsidR="00E27756" w:rsidRDefault="00E27756" w:rsidP="00E27756">
      <w:pPr>
        <w:pStyle w:val="TextoNormalNegritaCursivandice"/>
      </w:pPr>
      <w:r>
        <w:t>Ley de la Asamblea de Madrid 1/2012, de 26 de marzo. Protección de los derechos de los consumidores mediante el fomento de la transparencia en la contratación hipotecaria en la Comunidad de Madrid</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124" w:history="1">
        <w:r w:rsidRPr="00E27756">
          <w:rPr>
            <w:rStyle w:val="TextoNormalCaracter"/>
          </w:rPr>
          <w:t>124/2013</w:t>
        </w:r>
      </w:hyperlink>
      <w:r>
        <w:t>, f. 3.</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Auto </w:t>
      </w:r>
      <w:hyperlink w:anchor="AUTO_2013_124" w:history="1">
        <w:r w:rsidRPr="00E27756">
          <w:rPr>
            <w:rStyle w:val="TextoNormalCaracter"/>
          </w:rPr>
          <w:t>124/2013</w:t>
        </w:r>
      </w:hyperlink>
      <w:r>
        <w:t>, f. 1.</w:t>
      </w:r>
    </w:p>
    <w:p w:rsidR="00E27756" w:rsidRDefault="00E27756" w:rsidP="00E27756">
      <w:pPr>
        <w:pStyle w:val="SangriaFrancesaArticulo"/>
      </w:pPr>
      <w:r w:rsidRPr="00E27756">
        <w:rPr>
          <w:rStyle w:val="TextoNormalNegritaCaracter"/>
        </w:rPr>
        <w:t>Artículo 2 a).</w:t>
      </w:r>
      <w:r w:rsidRPr="00E27756">
        <w:rPr>
          <w:rStyle w:val="TextoNormalCaracter"/>
        </w:rPr>
        <w:t>-</w:t>
      </w:r>
      <w:r>
        <w:t xml:space="preserve"> Auto </w:t>
      </w:r>
      <w:hyperlink w:anchor="AUTO_2013_124" w:history="1">
        <w:r w:rsidRPr="00E27756">
          <w:rPr>
            <w:rStyle w:val="TextoNormalCaracter"/>
          </w:rPr>
          <w:t>124/2013</w:t>
        </w:r>
      </w:hyperlink>
      <w:r>
        <w:t>, f. 4.</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Auto </w:t>
      </w:r>
      <w:hyperlink w:anchor="AUTO_2013_124" w:history="1">
        <w:r w:rsidRPr="00E27756">
          <w:rPr>
            <w:rStyle w:val="TextoNormalCaracter"/>
          </w:rPr>
          <w:t>124/2013</w:t>
        </w:r>
      </w:hyperlink>
      <w:r>
        <w:t>, ff. 1, 4.</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Auto </w:t>
      </w:r>
      <w:hyperlink w:anchor="AUTO_2013_124" w:history="1">
        <w:r w:rsidRPr="00E27756">
          <w:rPr>
            <w:rStyle w:val="TextoNormalCaracter"/>
          </w:rPr>
          <w:t>124/2013</w:t>
        </w:r>
      </w:hyperlink>
      <w:r>
        <w:t>, ff. 1, 4.</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Auto </w:t>
      </w:r>
      <w:hyperlink w:anchor="AUTO_2013_124" w:history="1">
        <w:r w:rsidRPr="00E27756">
          <w:rPr>
            <w:rStyle w:val="TextoNormalCaracter"/>
          </w:rPr>
          <w:t>124/2013</w:t>
        </w:r>
      </w:hyperlink>
      <w:r>
        <w:t>, ff. 1, 4.</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Auto </w:t>
      </w:r>
      <w:hyperlink w:anchor="AUTO_2013_124" w:history="1">
        <w:r w:rsidRPr="00E27756">
          <w:rPr>
            <w:rStyle w:val="TextoNormalCaracter"/>
          </w:rPr>
          <w:t>124/2013</w:t>
        </w:r>
      </w:hyperlink>
      <w:r>
        <w:t>, ff. 1, 4.</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Auto </w:t>
      </w:r>
      <w:hyperlink w:anchor="AUTO_2013_124" w:history="1">
        <w:r w:rsidRPr="00E27756">
          <w:rPr>
            <w:rStyle w:val="TextoNormalCaracter"/>
          </w:rPr>
          <w:t>124/2013</w:t>
        </w:r>
      </w:hyperlink>
      <w:r>
        <w:t>, ff. 1, 4.</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Auto </w:t>
      </w:r>
      <w:hyperlink w:anchor="AUTO_2013_124" w:history="1">
        <w:r w:rsidRPr="00E27756">
          <w:rPr>
            <w:rStyle w:val="TextoNormalCaracter"/>
          </w:rPr>
          <w:t>124/2013</w:t>
        </w:r>
      </w:hyperlink>
      <w:r>
        <w:t>, ff. 1, 4.</w:t>
      </w:r>
    </w:p>
    <w:p w:rsidR="00E27756" w:rsidRDefault="00E27756" w:rsidP="00E27756">
      <w:pPr>
        <w:pStyle w:val="SangriaFrancesaArticulo"/>
      </w:pPr>
      <w:r w:rsidRPr="00E27756">
        <w:rPr>
          <w:rStyle w:val="TextoNormalNegritaCaracter"/>
        </w:rPr>
        <w:t>Artículo 149.1.11.</w:t>
      </w:r>
      <w:r w:rsidRPr="00E27756">
        <w:rPr>
          <w:rStyle w:val="TextoNormalCaracter"/>
        </w:rPr>
        <w:t>-</w:t>
      </w:r>
      <w:r>
        <w:t xml:space="preserve"> Auto </w:t>
      </w:r>
      <w:hyperlink w:anchor="AUTO_2013_124" w:history="1">
        <w:r w:rsidRPr="00E27756">
          <w:rPr>
            <w:rStyle w:val="TextoNormalCaracter"/>
          </w:rPr>
          <w:t>124/2013</w:t>
        </w:r>
      </w:hyperlink>
      <w:r>
        <w:t>, f. 3.</w:t>
      </w:r>
    </w:p>
    <w:p w:rsidR="00E27756" w:rsidRDefault="00E27756" w:rsidP="00E27756">
      <w:pPr>
        <w:pStyle w:val="SangriaFrancesaArticulo"/>
      </w:pPr>
    </w:p>
    <w:p w:rsidR="00E27756" w:rsidRDefault="00E27756" w:rsidP="00E27756">
      <w:pPr>
        <w:pStyle w:val="TextoNormalNegritaCursivandice"/>
      </w:pPr>
      <w:r>
        <w:t>Ley de la Asamblea de Madrid 8/2012, de 28 de diciembre. Medidas fiscales y administrativas</w:t>
      </w:r>
    </w:p>
    <w:p w:rsidR="00E27756" w:rsidRDefault="00E27756" w:rsidP="00E27756">
      <w:pPr>
        <w:pStyle w:val="SangriaFrancesaArticulo"/>
      </w:pPr>
      <w:r w:rsidRPr="00E27756">
        <w:rPr>
          <w:rStyle w:val="TextoNormalNegritaCaracter"/>
        </w:rPr>
        <w:t>Artículo 2.9.</w:t>
      </w:r>
      <w:r w:rsidRPr="00E27756">
        <w:rPr>
          <w:rStyle w:val="TextoNormalCaracter"/>
        </w:rPr>
        <w:t>-</w:t>
      </w:r>
      <w:r>
        <w:t xml:space="preserve"> Auto </w:t>
      </w:r>
      <w:hyperlink w:anchor="AUTO_2013_142" w:history="1">
        <w:r w:rsidRPr="00E27756">
          <w:rPr>
            <w:rStyle w:val="TextoNormalCaracter"/>
          </w:rPr>
          <w:t>142/2013</w:t>
        </w:r>
      </w:hyperlink>
      <w:r>
        <w:t>, f. 1.</w:t>
      </w:r>
    </w:p>
    <w:p w:rsidR="00E27756" w:rsidRDefault="00E27756" w:rsidP="00E27756">
      <w:pPr>
        <w:pStyle w:val="TextoNormal"/>
      </w:pPr>
    </w:p>
    <w:p w:rsidR="00E27756" w:rsidRDefault="00E27756" w:rsidP="00E27756">
      <w:pPr>
        <w:pStyle w:val="TextoNormalNegritaCentradoSubrayado"/>
        <w:suppressAutoHyphens/>
      </w:pPr>
      <w:r>
        <w:t>J.13.c) Decretos y otras disposiciones reglamentarias</w:t>
      </w:r>
    </w:p>
    <w:p w:rsidR="00E27756" w:rsidRDefault="00E27756" w:rsidP="00E27756">
      <w:pPr>
        <w:pStyle w:val="TextoNormalNegritaCentradoSubrayado"/>
      </w:pPr>
    </w:p>
    <w:p w:rsidR="00E27756" w:rsidRDefault="00E27756" w:rsidP="00E27756">
      <w:pPr>
        <w:pStyle w:val="TextoNormalNegritaCursivandice"/>
      </w:pPr>
      <w:r>
        <w:t>Decreto del Consejo de Gobierno de la Comunidad de Madrid 36/1995, de 20 de abril. Crea el   Registro de uniones de hecho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1" w:history="1">
        <w:r w:rsidRPr="00E27756">
          <w:rPr>
            <w:rStyle w:val="TextoNormalCaracter"/>
          </w:rPr>
          <w:t>81/2013</w:t>
        </w:r>
      </w:hyperlink>
      <w:r>
        <w:t>, f. 5.</w:t>
      </w:r>
    </w:p>
    <w:p w:rsidR="00E27756" w:rsidRDefault="00E27756" w:rsidP="00E27756">
      <w:pPr>
        <w:pStyle w:val="SangriaFrancesaArticulo"/>
      </w:pPr>
    </w:p>
    <w:p w:rsidR="00E27756" w:rsidRDefault="00E27756" w:rsidP="00E27756">
      <w:pPr>
        <w:pStyle w:val="TextoNormalNegritaCursivandice"/>
      </w:pPr>
      <w:r>
        <w:t>Decreto del Consejo de Gobierno de la Comunidad de Madrid 134/2002, de 18 de julio. Aprueba  el Reglamento del Registro de uniones de hecho</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81" w:history="1">
        <w:r w:rsidRPr="00E27756">
          <w:rPr>
            <w:rStyle w:val="TextoNormalCaracter"/>
          </w:rPr>
          <w:t>81/2013</w:t>
        </w:r>
      </w:hyperlink>
      <w:r>
        <w:t>, f. 5.</w:t>
      </w:r>
    </w:p>
    <w:p w:rsidR="00E27756" w:rsidRDefault="00E27756" w:rsidP="00E27756">
      <w:pPr>
        <w:pStyle w:val="SangriaFrancesaArticulo"/>
      </w:pPr>
    </w:p>
    <w:p w:rsidR="00E27756" w:rsidRDefault="00E27756" w:rsidP="00E27756">
      <w:pPr>
        <w:pStyle w:val="TextoNormalNegritaCursivandice"/>
      </w:pPr>
      <w:r>
        <w:t>Orden 3766/2005, de 7 de diciembre. Regula la lista única de solicitantes de viviendas con  protección pública para arrendamiento con opción a compra para jóvenes y el procedimiento de selección de la misma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12" w:history="1">
        <w:r w:rsidRPr="00E27756">
          <w:rPr>
            <w:rStyle w:val="TextoNormalCaracter"/>
          </w:rPr>
          <w:t>112/2013</w:t>
        </w:r>
      </w:hyperlink>
      <w:r>
        <w:t>, f. 4.</w:t>
      </w:r>
    </w:p>
    <w:p w:rsidR="00E27756" w:rsidRDefault="00E27756" w:rsidP="00E27756">
      <w:pPr>
        <w:pStyle w:val="SangriaFrancesaArticulo"/>
      </w:pPr>
    </w:p>
    <w:p w:rsidR="00E27756" w:rsidRDefault="00E27756" w:rsidP="00E27756">
      <w:pPr>
        <w:pStyle w:val="TextoNormalNegritaCursivandice"/>
      </w:pPr>
      <w:r>
        <w:t>Decreto 19/2006, de 9 de febrero, del Consejo de Gobierno. Regula el proceso de adjudicación de viviendas del Instituto de la Vivienda de Madrid</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12" w:history="1">
        <w:r w:rsidRPr="00E27756">
          <w:rPr>
            <w:rStyle w:val="TextoNormalCaracter"/>
          </w:rPr>
          <w:t>112/2013</w:t>
        </w:r>
      </w:hyperlink>
      <w:r>
        <w:t>, f. 4.</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J.14) Murcia</w:t>
      </w:r>
    </w:p>
    <w:p w:rsidR="00E27756" w:rsidRDefault="00E27756" w:rsidP="00E27756">
      <w:pPr>
        <w:pStyle w:val="TextoNormal"/>
      </w:pPr>
    </w:p>
    <w:p w:rsidR="00E27756" w:rsidRDefault="00E27756" w:rsidP="00E27756">
      <w:pPr>
        <w:pStyle w:val="TextoNormalNegritaCentradoSubrayado"/>
        <w:suppressAutoHyphens/>
      </w:pPr>
      <w:r>
        <w:t>J.14.a) Estatuto de Autonomía</w:t>
      </w:r>
    </w:p>
    <w:p w:rsidR="00E27756" w:rsidRDefault="00E27756" w:rsidP="00E27756">
      <w:pPr>
        <w:pStyle w:val="TextoNormalNegritaCentradoSubrayado"/>
      </w:pPr>
    </w:p>
    <w:p w:rsidR="00E27756" w:rsidRDefault="00E27756" w:rsidP="00E27756">
      <w:pPr>
        <w:pStyle w:val="TextoNormalNegritaCursivandice"/>
      </w:pPr>
      <w:r>
        <w:lastRenderedPageBreak/>
        <w:t>Ley Orgánica 4/1982, de 9 de junio. Estatuto de Autonomía de la Región de Murcia</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 </w:t>
      </w:r>
      <w:hyperlink w:anchor="SENTENCIA_2013_8" w:history="1">
        <w:r w:rsidRPr="00E27756">
          <w:rPr>
            <w:rStyle w:val="TextoNormalCaracter"/>
          </w:rPr>
          <w:t>8/2013</w:t>
        </w:r>
      </w:hyperlink>
      <w:r>
        <w:t>, f. 5.</w:t>
      </w:r>
    </w:p>
    <w:p w:rsidR="00E27756" w:rsidRDefault="00E27756" w:rsidP="00E27756">
      <w:pPr>
        <w:pStyle w:val="TextoNormal"/>
      </w:pPr>
    </w:p>
    <w:p w:rsidR="00E27756" w:rsidRDefault="00E27756" w:rsidP="00E27756">
      <w:pPr>
        <w:pStyle w:val="TextoNormalNegritaCentradoSubrayado"/>
        <w:suppressAutoHyphens/>
      </w:pPr>
      <w:r>
        <w:t>J.14.b) Leyes y disposiciones con fuerza de Ley</w:t>
      </w:r>
    </w:p>
    <w:p w:rsidR="00E27756" w:rsidRDefault="00E27756" w:rsidP="00E27756">
      <w:pPr>
        <w:pStyle w:val="TextoNormalNegritaCentradoSubrayado"/>
      </w:pPr>
    </w:p>
    <w:p w:rsidR="00E27756" w:rsidRDefault="00E27756" w:rsidP="00E27756">
      <w:pPr>
        <w:pStyle w:val="TextoNormalNegritaCursivandice"/>
      </w:pPr>
      <w:r>
        <w:t>Ley de la Asamblea Regional de Murcia 4/1994, de 26 de julio. Salud de la Región de Murcia</w:t>
      </w:r>
    </w:p>
    <w:p w:rsidR="00E27756" w:rsidRDefault="00E27756" w:rsidP="00E27756">
      <w:pPr>
        <w:pStyle w:val="SangriaFrancesaArticulo"/>
      </w:pPr>
      <w:r w:rsidRPr="00E27756">
        <w:rPr>
          <w:rStyle w:val="TextoNormalNegritaCaracter"/>
        </w:rPr>
        <w:t>Artículo 20.</w:t>
      </w:r>
      <w:r w:rsidRPr="00E27756">
        <w:rPr>
          <w:rStyle w:val="TextoNormalCaracter"/>
        </w:rPr>
        <w:t>-</w:t>
      </w:r>
      <w:r>
        <w:t xml:space="preserve"> Sentencia </w:t>
      </w:r>
      <w:hyperlink w:anchor="SENTENCIA_2013_58" w:history="1">
        <w:r w:rsidRPr="00E27756">
          <w:rPr>
            <w:rStyle w:val="TextoNormalCaracter"/>
          </w:rPr>
          <w:t>58/2013</w:t>
        </w:r>
      </w:hyperlink>
      <w:r>
        <w:t>, f. 4.</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 </w:t>
      </w:r>
      <w:hyperlink w:anchor="SENTENCIA_2013_58" w:history="1">
        <w:r w:rsidRPr="00E27756">
          <w:rPr>
            <w:rStyle w:val="TextoNormalCaracter"/>
          </w:rPr>
          <w:t>58/2013</w:t>
        </w:r>
      </w:hyperlink>
      <w:r>
        <w:t>, f. 4.</w:t>
      </w:r>
    </w:p>
    <w:p w:rsidR="00E27756" w:rsidRDefault="00E27756" w:rsidP="00E27756">
      <w:pPr>
        <w:pStyle w:val="SangriaFrancesaArticulo"/>
      </w:pPr>
      <w:r w:rsidRPr="00E27756">
        <w:rPr>
          <w:rStyle w:val="TextoNormalNegritaCaracter"/>
        </w:rPr>
        <w:t>Artículo 25.</w:t>
      </w:r>
      <w:r w:rsidRPr="00E27756">
        <w:rPr>
          <w:rStyle w:val="TextoNormalCaracter"/>
        </w:rPr>
        <w:t>-</w:t>
      </w:r>
      <w:r>
        <w:t xml:space="preserve"> Sentencia </w:t>
      </w:r>
      <w:hyperlink w:anchor="SENTENCIA_2013_58" w:history="1">
        <w:r w:rsidRPr="00E27756">
          <w:rPr>
            <w:rStyle w:val="TextoNormalCaracter"/>
          </w:rPr>
          <w:t>58/2013</w:t>
        </w:r>
      </w:hyperlink>
      <w:r>
        <w:t>, f. 4.</w:t>
      </w:r>
    </w:p>
    <w:p w:rsidR="00E27756" w:rsidRDefault="00E27756" w:rsidP="00E27756">
      <w:pPr>
        <w:pStyle w:val="SangriaFrancesaArticulo"/>
      </w:pPr>
    </w:p>
    <w:p w:rsidR="00E27756" w:rsidRDefault="00E27756" w:rsidP="00E27756">
      <w:pPr>
        <w:pStyle w:val="TextoNormalNegritaCursivandice"/>
      </w:pPr>
      <w:r>
        <w:t>Ley de la Asamblea Regional de Murcia 5/2001, de 5 de diciembre. Personal estatutario del Servicio Murciano de Salud</w:t>
      </w:r>
    </w:p>
    <w:p w:rsidR="00E27756" w:rsidRDefault="00E27756" w:rsidP="00E27756">
      <w:pPr>
        <w:pStyle w:val="SangriaFrancesaArticulo"/>
      </w:pPr>
      <w:r w:rsidRPr="00E27756">
        <w:rPr>
          <w:rStyle w:val="TextoNormalNegritaCaracter"/>
        </w:rPr>
        <w:t>Artículo 5.1 d).</w:t>
      </w:r>
      <w:r w:rsidRPr="00E27756">
        <w:rPr>
          <w:rStyle w:val="TextoNormalCaracter"/>
        </w:rPr>
        <w:t>-</w:t>
      </w:r>
      <w:r>
        <w:t xml:space="preserve"> Sentencia </w:t>
      </w:r>
      <w:hyperlink w:anchor="SENTENCIA_2013_58" w:history="1">
        <w:r w:rsidRPr="00E27756">
          <w:rPr>
            <w:rStyle w:val="TextoNormalCaracter"/>
          </w:rPr>
          <w:t>58/2013</w:t>
        </w:r>
      </w:hyperlink>
      <w:r>
        <w:t>, f. 2.</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Sentencia </w:t>
      </w:r>
      <w:hyperlink w:anchor="SENTENCIA_2013_58" w:history="1">
        <w:r w:rsidRPr="00E27756">
          <w:rPr>
            <w:rStyle w:val="TextoNormalCaracter"/>
          </w:rPr>
          <w:t>58/2013</w:t>
        </w:r>
      </w:hyperlink>
      <w:r>
        <w:t>, f. 4.</w:t>
      </w:r>
    </w:p>
    <w:p w:rsidR="00E27756" w:rsidRDefault="00E27756" w:rsidP="00E27756">
      <w:pPr>
        <w:pStyle w:val="SangriaFrancesaArticulo"/>
      </w:pPr>
      <w:r w:rsidRPr="00E27756">
        <w:rPr>
          <w:rStyle w:val="TextoNormalNegritaCaracter"/>
        </w:rPr>
        <w:t>Artículo 7.2 l).</w:t>
      </w:r>
      <w:r w:rsidRPr="00E27756">
        <w:rPr>
          <w:rStyle w:val="TextoNormalCaracter"/>
        </w:rPr>
        <w:t>-</w:t>
      </w:r>
      <w:r>
        <w:t xml:space="preserve"> Sentencia </w:t>
      </w:r>
      <w:hyperlink w:anchor="SENTENCIA_2013_58" w:history="1">
        <w:r w:rsidRPr="00E27756">
          <w:rPr>
            <w:rStyle w:val="TextoNormalCaracter"/>
          </w:rPr>
          <w:t>58/2013</w:t>
        </w:r>
      </w:hyperlink>
      <w:r>
        <w:t>, ff. 1, 2, 4.</w:t>
      </w:r>
    </w:p>
    <w:p w:rsidR="00E27756" w:rsidRDefault="00E27756" w:rsidP="00E27756">
      <w:pPr>
        <w:pStyle w:val="SangriaFrancesaArticulo"/>
      </w:pPr>
      <w:r w:rsidRPr="00E27756">
        <w:rPr>
          <w:rStyle w:val="TextoNormalNegritaCaracter"/>
        </w:rPr>
        <w:t>Artículo 7.2 m).</w:t>
      </w:r>
      <w:r w:rsidRPr="00E27756">
        <w:rPr>
          <w:rStyle w:val="TextoNormalCaracter"/>
        </w:rPr>
        <w:t>-</w:t>
      </w:r>
      <w:r>
        <w:t xml:space="preserve"> Sentencia </w:t>
      </w:r>
      <w:hyperlink w:anchor="SENTENCIA_2013_58" w:history="1">
        <w:r w:rsidRPr="00E27756">
          <w:rPr>
            <w:rStyle w:val="TextoNormalCaracter"/>
          </w:rPr>
          <w:t>58/2013</w:t>
        </w:r>
      </w:hyperlink>
      <w:r>
        <w:t>, f. 2.</w:t>
      </w:r>
    </w:p>
    <w:p w:rsidR="00E27756" w:rsidRDefault="00E27756" w:rsidP="00E27756">
      <w:pPr>
        <w:pStyle w:val="SangriaFrancesaArticulo"/>
      </w:pPr>
    </w:p>
    <w:p w:rsidR="00E27756" w:rsidRDefault="00E27756" w:rsidP="00E27756">
      <w:pPr>
        <w:pStyle w:val="TextoNormalNegritaCursivandice"/>
      </w:pPr>
      <w:r>
        <w:t>Ley de la Asamblea Regional de Murcia 5/2012, de 29 de junio. Ajuste presupuestario y de medidas en materia de función pública</w:t>
      </w:r>
    </w:p>
    <w:p w:rsidR="00E27756" w:rsidRDefault="00E27756" w:rsidP="00E27756">
      <w:pPr>
        <w:pStyle w:val="SangriaFrancesaArticulo"/>
      </w:pPr>
      <w:r w:rsidRPr="00E27756">
        <w:rPr>
          <w:rStyle w:val="TextoNormalNegritaCaracter"/>
        </w:rPr>
        <w:t>Artículo 18.</w:t>
      </w:r>
      <w:r w:rsidRPr="00E27756">
        <w:rPr>
          <w:rStyle w:val="TextoNormalCaracter"/>
        </w:rPr>
        <w:t>-</w:t>
      </w:r>
      <w:r>
        <w:t xml:space="preserve"> Sentencia </w:t>
      </w:r>
      <w:hyperlink w:anchor="SENTENCIA_2013_58" w:history="1">
        <w:r w:rsidRPr="00E27756">
          <w:rPr>
            <w:rStyle w:val="TextoNormalCaracter"/>
          </w:rPr>
          <w:t>58/2013</w:t>
        </w:r>
      </w:hyperlink>
      <w:r>
        <w:t>, f. 2.</w:t>
      </w:r>
    </w:p>
    <w:p w:rsidR="00E27756" w:rsidRDefault="00E27756" w:rsidP="00E27756">
      <w:pPr>
        <w:pStyle w:val="TextoNormal"/>
      </w:pPr>
    </w:p>
    <w:p w:rsidR="00E27756" w:rsidRDefault="00E27756" w:rsidP="00E27756">
      <w:pPr>
        <w:pStyle w:val="TextoNormalNegritaCentradoSubrayado"/>
        <w:suppressAutoHyphens/>
      </w:pPr>
      <w:r>
        <w:t>J.14.c) Decretos y otras disposiciones reglamentarias</w:t>
      </w:r>
    </w:p>
    <w:p w:rsidR="00E27756" w:rsidRDefault="00E27756" w:rsidP="00E27756">
      <w:pPr>
        <w:pStyle w:val="TextoNormalNegritaCentradoSubrayado"/>
      </w:pPr>
    </w:p>
    <w:p w:rsidR="00E27756" w:rsidRDefault="00E27756" w:rsidP="00E27756">
      <w:pPr>
        <w:pStyle w:val="TextoNormalNegritaCursivandice"/>
      </w:pPr>
      <w:r>
        <w:t>Decreto del Gobierno de la Región de Murcia 148/2002, de 27 de diciembre. Establece la estructura y funciones de los órganos de participación, administración y gestión del Servicio Murciano de Salud.</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58" w:history="1">
        <w:r w:rsidRPr="00E27756">
          <w:rPr>
            <w:rStyle w:val="TextoNormalCaracter"/>
          </w:rPr>
          <w:t>58/2013</w:t>
        </w:r>
      </w:hyperlink>
      <w:r>
        <w:t>, f. 4.</w:t>
      </w:r>
    </w:p>
    <w:p w:rsidR="00E27756" w:rsidRDefault="00E27756" w:rsidP="00E27756">
      <w:pPr>
        <w:pStyle w:val="SangriaFrancesaArticulo"/>
      </w:pPr>
      <w:r w:rsidRPr="00E27756">
        <w:rPr>
          <w:rStyle w:val="TextoNormalNegritaCaracter"/>
        </w:rPr>
        <w:t>Artículo 8.1 ll).</w:t>
      </w:r>
      <w:r w:rsidRPr="00E27756">
        <w:rPr>
          <w:rStyle w:val="TextoNormalCaracter"/>
        </w:rPr>
        <w:t>-</w:t>
      </w:r>
      <w:r>
        <w:t xml:space="preserve"> Sentencia </w:t>
      </w:r>
      <w:hyperlink w:anchor="SENTENCIA_2013_58" w:history="1">
        <w:r w:rsidRPr="00E27756">
          <w:rPr>
            <w:rStyle w:val="TextoNormalCaracter"/>
          </w:rPr>
          <w:t>58/2013</w:t>
        </w:r>
      </w:hyperlink>
      <w:r>
        <w:t>, f. 4.</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J.15) Navarra</w:t>
      </w:r>
    </w:p>
    <w:p w:rsidR="00E27756" w:rsidRDefault="00E27756" w:rsidP="00E27756">
      <w:pPr>
        <w:pStyle w:val="TextoNormal"/>
      </w:pPr>
    </w:p>
    <w:p w:rsidR="00E27756" w:rsidRDefault="00E27756" w:rsidP="00E27756">
      <w:pPr>
        <w:pStyle w:val="TextoNormalNegritaCentradoSubrayado"/>
        <w:suppressAutoHyphens/>
      </w:pPr>
      <w:r>
        <w:t>J.15.a) Estatuto de Autonomía</w:t>
      </w:r>
    </w:p>
    <w:p w:rsidR="00E27756" w:rsidRDefault="00E27756" w:rsidP="00E27756">
      <w:pPr>
        <w:pStyle w:val="TextoNormalNegritaCentradoSubrayado"/>
      </w:pPr>
    </w:p>
    <w:p w:rsidR="00E27756" w:rsidRDefault="00E27756" w:rsidP="00E27756">
      <w:pPr>
        <w:pStyle w:val="TextoNormalNegritaCursivandice"/>
      </w:pPr>
      <w:r>
        <w:t>Ley Orgánica 13/1982, de 10 de agosto. Reintegración y amejoramiento del régimen foral de Navarra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ff. 2, 4, 6, 13.</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93" w:history="1">
        <w:r w:rsidRPr="00E27756">
          <w:rPr>
            <w:rStyle w:val="TextoNormalCaracter"/>
          </w:rPr>
          <w:t>93/2013</w:t>
        </w:r>
      </w:hyperlink>
      <w:r>
        <w:t>, f. 10.</w:t>
      </w:r>
    </w:p>
    <w:p w:rsidR="00E27756" w:rsidRDefault="00E27756" w:rsidP="00E27756">
      <w:pPr>
        <w:pStyle w:val="SangriaFrancesaArticulo"/>
      </w:pPr>
      <w:r w:rsidRPr="00E27756">
        <w:rPr>
          <w:rStyle w:val="TextoNormalNegritaCaracter"/>
        </w:rPr>
        <w:t>Artículo 20.2.</w:t>
      </w:r>
      <w:r w:rsidRPr="00E27756">
        <w:rPr>
          <w:rStyle w:val="TextoNormalCaracter"/>
        </w:rPr>
        <w:t>-</w:t>
      </w:r>
      <w:r>
        <w:t xml:space="preserve"> Sentencia </w:t>
      </w:r>
      <w:hyperlink w:anchor="SENTENCIA_2013_93" w:history="1">
        <w:r w:rsidRPr="00E27756">
          <w:rPr>
            <w:rStyle w:val="TextoNormalCaracter"/>
          </w:rPr>
          <w:t>93/2013</w:t>
        </w:r>
      </w:hyperlink>
      <w:r>
        <w:t>, f. 4.</w:t>
      </w:r>
    </w:p>
    <w:p w:rsidR="00E27756" w:rsidRDefault="00E27756" w:rsidP="00E27756">
      <w:pPr>
        <w:pStyle w:val="SangriaFrancesaArticulo"/>
      </w:pPr>
      <w:r w:rsidRPr="00E27756">
        <w:rPr>
          <w:rStyle w:val="TextoNormalNegritaCaracter"/>
        </w:rPr>
        <w:t>Artículo 39.1 a).</w:t>
      </w:r>
      <w:r w:rsidRPr="00E27756">
        <w:rPr>
          <w:rStyle w:val="TextoNormalCaracter"/>
        </w:rPr>
        <w:t>-</w:t>
      </w:r>
      <w:r>
        <w:t xml:space="preserve"> Sentencia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Artículo 43.</w:t>
      </w:r>
      <w:r w:rsidRPr="00E27756">
        <w:rPr>
          <w:rStyle w:val="TextoNormalCaracter"/>
        </w:rPr>
        <w:t>-</w:t>
      </w:r>
      <w:r>
        <w:t xml:space="preserve"> Sentencia </w:t>
      </w:r>
      <w:hyperlink w:anchor="SENTENCIA_2013_93" w:history="1">
        <w:r w:rsidRPr="00E27756">
          <w:rPr>
            <w:rStyle w:val="TextoNormalCaracter"/>
          </w:rPr>
          <w:t>93/2013</w:t>
        </w:r>
      </w:hyperlink>
      <w:r>
        <w:t>, f. 6.</w:t>
      </w:r>
    </w:p>
    <w:p w:rsidR="00E27756" w:rsidRDefault="00E27756" w:rsidP="00E27756">
      <w:pPr>
        <w:pStyle w:val="SangriaFrancesaArticulo"/>
      </w:pPr>
      <w:r w:rsidRPr="00E27756">
        <w:rPr>
          <w:rStyle w:val="TextoNormalNegritaCaracter"/>
        </w:rPr>
        <w:t>Artículo 45.3.</w:t>
      </w:r>
      <w:r w:rsidRPr="00E27756">
        <w:rPr>
          <w:rStyle w:val="TextoNormalCaracter"/>
        </w:rPr>
        <w:t>-</w:t>
      </w:r>
      <w:r>
        <w:t xml:space="preserve"> Sentencia </w:t>
      </w:r>
      <w:hyperlink w:anchor="SENTENCIA_2013_93" w:history="1">
        <w:r w:rsidRPr="00E27756">
          <w:rPr>
            <w:rStyle w:val="TextoNormalCaracter"/>
          </w:rPr>
          <w:t>93/2013</w:t>
        </w:r>
      </w:hyperlink>
      <w:r>
        <w:t>, ff. 5, 13.</w:t>
      </w:r>
    </w:p>
    <w:p w:rsidR="00E27756" w:rsidRDefault="00E27756" w:rsidP="00E27756">
      <w:pPr>
        <w:pStyle w:val="SangriaFrancesaArticulo"/>
      </w:pPr>
      <w:r w:rsidRPr="00E27756">
        <w:rPr>
          <w:rStyle w:val="TextoNormalNegritaCaracter"/>
        </w:rPr>
        <w:lastRenderedPageBreak/>
        <w:t>Artículo 48.</w:t>
      </w:r>
      <w:r w:rsidRPr="00E27756">
        <w:rPr>
          <w:rStyle w:val="TextoNormalCaracter"/>
        </w:rPr>
        <w:t>-</w:t>
      </w:r>
      <w:r>
        <w:t xml:space="preserve"> Sentencia </w:t>
      </w:r>
      <w:hyperlink w:anchor="SENTENCIA_2013_93" w:history="1">
        <w:r w:rsidRPr="00E27756">
          <w:rPr>
            <w:rStyle w:val="TextoNormalCaracter"/>
          </w:rPr>
          <w:t>93/2013</w:t>
        </w:r>
      </w:hyperlink>
      <w:r>
        <w:t>, ff. 5, 12, VP I.</w:t>
      </w:r>
    </w:p>
    <w:p w:rsidR="00E27756" w:rsidRDefault="00E27756" w:rsidP="00E27756">
      <w:pPr>
        <w:pStyle w:val="SangriaFrancesaArticulo"/>
      </w:pPr>
      <w:r w:rsidRPr="00E27756">
        <w:rPr>
          <w:rStyle w:val="TextoNormalNegritaCaracter"/>
        </w:rPr>
        <w:t>Artículo 48.1.</w:t>
      </w:r>
      <w:r w:rsidRPr="00E27756">
        <w:rPr>
          <w:rStyle w:val="TextoNormalCaracter"/>
        </w:rPr>
        <w:t>-</w:t>
      </w:r>
      <w:r>
        <w:t xml:space="preserve"> Sentencia </w:t>
      </w:r>
      <w:hyperlink w:anchor="SENTENCIA_2013_93" w:history="1">
        <w:r w:rsidRPr="00E27756">
          <w:rPr>
            <w:rStyle w:val="TextoNormalCaracter"/>
          </w:rPr>
          <w:t>93/2013</w:t>
        </w:r>
      </w:hyperlink>
      <w:r>
        <w:t>, ff. 5, 13.</w:t>
      </w:r>
    </w:p>
    <w:p w:rsidR="00E27756" w:rsidRDefault="00E27756" w:rsidP="00E27756">
      <w:pPr>
        <w:pStyle w:val="SangriaFrancesaArticulo"/>
      </w:pPr>
      <w:r w:rsidRPr="00E27756">
        <w:rPr>
          <w:rStyle w:val="TextoNormalNegritaCaracter"/>
        </w:rPr>
        <w:t>Artículo 48.2.</w:t>
      </w:r>
      <w:r w:rsidRPr="00E27756">
        <w:rPr>
          <w:rStyle w:val="TextoNormalCaracter"/>
        </w:rPr>
        <w:t>-</w:t>
      </w:r>
      <w:r>
        <w:t xml:space="preserve"> Sentencia </w:t>
      </w:r>
      <w:hyperlink w:anchor="SENTENCIA_2013_93" w:history="1">
        <w:r w:rsidRPr="00E27756">
          <w:rPr>
            <w:rStyle w:val="TextoNormalCaracter"/>
          </w:rPr>
          <w:t>93/2013</w:t>
        </w:r>
      </w:hyperlink>
      <w:r>
        <w:t>, f. 4.</w:t>
      </w:r>
    </w:p>
    <w:p w:rsidR="00E27756" w:rsidRDefault="00E27756" w:rsidP="00E27756">
      <w:pPr>
        <w:pStyle w:val="SangriaFrancesaArticulo"/>
      </w:pPr>
      <w:r w:rsidRPr="00E27756">
        <w:rPr>
          <w:rStyle w:val="TextoNormalNegritaCaracter"/>
        </w:rPr>
        <w:t>Artículo 49.1 b).</w:t>
      </w:r>
      <w:r w:rsidRPr="00E27756">
        <w:rPr>
          <w:rStyle w:val="TextoNormalCaracter"/>
        </w:rPr>
        <w:t>-</w:t>
      </w:r>
      <w:r>
        <w:t xml:space="preserve"> Sentencia </w:t>
      </w:r>
      <w:hyperlink w:anchor="SENTENCIA_2013_93" w:history="1">
        <w:r w:rsidRPr="00E27756">
          <w:rPr>
            <w:rStyle w:val="TextoNormalCaracter"/>
          </w:rPr>
          <w:t>93/2013</w:t>
        </w:r>
      </w:hyperlink>
      <w:r>
        <w:t>, ff. 5, 13.</w:t>
      </w:r>
    </w:p>
    <w:p w:rsidR="00E27756" w:rsidRDefault="00E27756" w:rsidP="00E27756">
      <w:pPr>
        <w:pStyle w:val="SangriaFrancesaArticulo"/>
      </w:pPr>
      <w:r w:rsidRPr="00E27756">
        <w:rPr>
          <w:rStyle w:val="TextoNormalNegritaCaracter"/>
        </w:rPr>
        <w:t>Artículo 53.1.</w:t>
      </w:r>
      <w:r w:rsidRPr="00E27756">
        <w:rPr>
          <w:rStyle w:val="TextoNormalCaracter"/>
        </w:rPr>
        <w:t>-</w:t>
      </w:r>
      <w:r>
        <w:t xml:space="preserve"> Sentencia </w:t>
      </w:r>
      <w:hyperlink w:anchor="SENTENCIA_2013_137" w:history="1">
        <w:r w:rsidRPr="00E27756">
          <w:rPr>
            <w:rStyle w:val="TextoNormalCaracter"/>
          </w:rPr>
          <w:t>137/2013</w:t>
        </w:r>
      </w:hyperlink>
      <w:r>
        <w:t>, ff. 1, 3.</w:t>
      </w:r>
    </w:p>
    <w:p w:rsidR="00E27756" w:rsidRDefault="00E27756" w:rsidP="00E27756">
      <w:pPr>
        <w:pStyle w:val="SangriaFrancesaArticulo"/>
      </w:pPr>
      <w:r w:rsidRPr="00E27756">
        <w:rPr>
          <w:rStyle w:val="TextoNormalNegritaCaracter"/>
        </w:rPr>
        <w:t>Artículo 53.2.</w:t>
      </w:r>
      <w:r w:rsidRPr="00E27756">
        <w:rPr>
          <w:rStyle w:val="TextoNormalCaracter"/>
        </w:rPr>
        <w:t>-</w:t>
      </w:r>
      <w:r>
        <w:t xml:space="preserve"> Sentencia </w:t>
      </w:r>
      <w:hyperlink w:anchor="SENTENCIA_2013_137" w:history="1">
        <w:r w:rsidRPr="00E27756">
          <w:rPr>
            <w:rStyle w:val="TextoNormalCaracter"/>
          </w:rPr>
          <w:t>137/2013</w:t>
        </w:r>
      </w:hyperlink>
      <w:r>
        <w:t>, f. 3.</w:t>
      </w:r>
    </w:p>
    <w:p w:rsidR="00E27756" w:rsidRDefault="00E27756" w:rsidP="00E27756">
      <w:pPr>
        <w:pStyle w:val="SangriaFrancesaArticulo"/>
      </w:pPr>
      <w:r w:rsidRPr="00E27756">
        <w:rPr>
          <w:rStyle w:val="TextoNormalNegritaCaracter"/>
        </w:rPr>
        <w:t>Artículo 54.1 a).</w:t>
      </w:r>
      <w:r w:rsidRPr="00E27756">
        <w:rPr>
          <w:rStyle w:val="TextoNormalCaracter"/>
        </w:rPr>
        <w:t>-</w:t>
      </w:r>
      <w:r>
        <w:t xml:space="preserve"> Sentencia </w:t>
      </w:r>
      <w:hyperlink w:anchor="SENTENCIA_2013_137" w:history="1">
        <w:r w:rsidRPr="00E27756">
          <w:rPr>
            <w:rStyle w:val="TextoNormalCaracter"/>
          </w:rPr>
          <w:t>137/2013</w:t>
        </w:r>
      </w:hyperlink>
      <w:r>
        <w:t>, f. 1.</w:t>
      </w:r>
    </w:p>
    <w:p w:rsidR="00E27756" w:rsidRDefault="00E27756" w:rsidP="00E27756">
      <w:pPr>
        <w:pStyle w:val="TextoNormal"/>
      </w:pPr>
    </w:p>
    <w:p w:rsidR="00E27756" w:rsidRDefault="00E27756" w:rsidP="00E27756">
      <w:pPr>
        <w:pStyle w:val="TextoNormalNegritaCentradoSubrayado"/>
        <w:suppressAutoHyphens/>
      </w:pPr>
      <w:r>
        <w:t>J.15.b) Leyes y disposiciones con fuerza de Ley</w:t>
      </w:r>
    </w:p>
    <w:p w:rsidR="00E27756" w:rsidRDefault="00E27756" w:rsidP="00E27756">
      <w:pPr>
        <w:pStyle w:val="TextoNormalNegritaCentradoSubrayado"/>
      </w:pPr>
    </w:p>
    <w:p w:rsidR="00E27756" w:rsidRDefault="00E27756" w:rsidP="00E27756">
      <w:pPr>
        <w:pStyle w:val="TextoNormalNegritaCursivandice"/>
      </w:pPr>
      <w:r>
        <w:t>Ley Foral del Parlamento de Navarra 10/1990, de 23 de noviembre. Salud</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7" w:history="1">
        <w:r w:rsidRPr="00E27756">
          <w:rPr>
            <w:rStyle w:val="TextoNormalCaracter"/>
          </w:rPr>
          <w:t>137/2013</w:t>
        </w:r>
      </w:hyperlink>
      <w:r>
        <w:t>, f. 4.</w:t>
      </w:r>
    </w:p>
    <w:p w:rsidR="00E27756" w:rsidRDefault="00E27756" w:rsidP="00E27756">
      <w:pPr>
        <w:pStyle w:val="SangriaFrancesaArticulo"/>
      </w:pPr>
      <w:r w:rsidRPr="00E27756">
        <w:rPr>
          <w:rStyle w:val="TextoNormalNegritaCaracter"/>
        </w:rPr>
        <w:t>Artículo 78.</w:t>
      </w:r>
      <w:r w:rsidRPr="00E27756">
        <w:rPr>
          <w:rStyle w:val="TextoNormalCaracter"/>
        </w:rPr>
        <w:t>-</w:t>
      </w:r>
      <w:r>
        <w:t xml:space="preserve"> Sentencia </w:t>
      </w:r>
      <w:hyperlink w:anchor="SENTENCIA_2013_137" w:history="1">
        <w:r w:rsidRPr="00E27756">
          <w:rPr>
            <w:rStyle w:val="TextoNormalCaracter"/>
          </w:rPr>
          <w:t>137/2013</w:t>
        </w:r>
      </w:hyperlink>
      <w:r>
        <w:t>, f. 4.</w:t>
      </w:r>
    </w:p>
    <w:p w:rsidR="00E27756" w:rsidRDefault="00E27756" w:rsidP="00E27756">
      <w:pPr>
        <w:pStyle w:val="SangriaFrancesaArticulo"/>
      </w:pPr>
    </w:p>
    <w:p w:rsidR="00E27756" w:rsidRDefault="00E27756" w:rsidP="00E27756">
      <w:pPr>
        <w:pStyle w:val="TextoNormalNegritaCursivandice"/>
      </w:pPr>
      <w:r>
        <w:t>Decreto Foral  Legislativo del Gobierno de Navarra 251/1993, de 30 de agosto. Texto refundido del Estatuto del personal al servicio de las Administraciones públicas de la Comunidad foral</w:t>
      </w:r>
    </w:p>
    <w:p w:rsidR="00E27756" w:rsidRDefault="00E27756" w:rsidP="00E27756">
      <w:pPr>
        <w:pStyle w:val="SangriaFrancesaArticulo"/>
      </w:pPr>
      <w:r w:rsidRPr="00E27756">
        <w:rPr>
          <w:rStyle w:val="TextoNormalNegritaCaracter"/>
        </w:rPr>
        <w:t>Artículo 50.1 a)</w:t>
      </w:r>
      <w:r>
        <w:t xml:space="preserve"> </w:t>
      </w:r>
      <w:r w:rsidRPr="00E27756">
        <w:rPr>
          <w:rStyle w:val="TextoNormalCaracter"/>
        </w:rPr>
        <w:t>(redactado por la Ley Foral del Parlamento de Navarra 6/2000, de 3 de julio)</w:t>
      </w:r>
      <w:r w:rsidRPr="00E27756">
        <w:rPr>
          <w:rStyle w:val="TextoNormalNegritaCaracter"/>
        </w:rPr>
        <w:t>.</w:t>
      </w:r>
      <w:r w:rsidRPr="00E27756">
        <w:rPr>
          <w:rStyle w:val="TextoNormalCaracter"/>
        </w:rPr>
        <w:t>-</w:t>
      </w:r>
      <w:r>
        <w:t xml:space="preserve"> Sentencia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Artículo 75.</w:t>
      </w:r>
      <w:r w:rsidRPr="00E27756">
        <w:rPr>
          <w:rStyle w:val="TextoNormalCaracter"/>
        </w:rPr>
        <w:t>-</w:t>
      </w:r>
      <w:r>
        <w:t xml:space="preserve"> Sentencia </w:t>
      </w:r>
      <w:hyperlink w:anchor="SENTENCIA_2013_93" w:history="1">
        <w:r w:rsidRPr="00E27756">
          <w:rPr>
            <w:rStyle w:val="TextoNormalCaracter"/>
          </w:rPr>
          <w:t>93/2013</w:t>
        </w:r>
      </w:hyperlink>
      <w:r>
        <w:t>, f. 2.</w:t>
      </w:r>
    </w:p>
    <w:p w:rsidR="00E27756" w:rsidRDefault="00E27756" w:rsidP="00E27756">
      <w:pPr>
        <w:pStyle w:val="SangriaFrancesaArticulo"/>
      </w:pPr>
    </w:p>
    <w:p w:rsidR="00E27756" w:rsidRDefault="00E27756" w:rsidP="00E27756">
      <w:pPr>
        <w:pStyle w:val="TextoNormalNegritaCursivandice"/>
      </w:pPr>
      <w:r>
        <w:t>Ley Foral del Parlamento de Navarra 22/1998, de 30 de diciembre. Normas reguladoras del impuesto sobre la renta de las personas físicas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 2.</w:t>
      </w:r>
    </w:p>
    <w:p w:rsidR="00E27756" w:rsidRDefault="00E27756" w:rsidP="00E27756">
      <w:pPr>
        <w:pStyle w:val="SangriaFrancesaArticulo"/>
      </w:pPr>
    </w:p>
    <w:p w:rsidR="00E27756" w:rsidRDefault="00E27756" w:rsidP="00E27756">
      <w:pPr>
        <w:pStyle w:val="TextoNormalNegritaCursivandice"/>
      </w:pPr>
      <w:r>
        <w:t>Ley Foral del Parlamento de Navarra 6/2000, de 3 de julio. Igualdad jurídica de las parejas estables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ff. 1, 2 a 7, 9 a 14, VP I.</w:t>
      </w:r>
    </w:p>
    <w:p w:rsidR="00E27756" w:rsidRDefault="00E27756" w:rsidP="00E27756">
      <w:pPr>
        <w:pStyle w:val="SangriaIzquierdaArticulo"/>
      </w:pPr>
      <w:r>
        <w:t xml:space="preserve">Auto </w:t>
      </w:r>
      <w:hyperlink w:anchor="AUTO_2013_93" w:history="1">
        <w:r w:rsidRPr="00E27756">
          <w:rPr>
            <w:rStyle w:val="TextoNormalCaracter"/>
          </w:rPr>
          <w:t>93/2013</w:t>
        </w:r>
      </w:hyperlink>
      <w:r>
        <w:t>, ff. 1, 2.</w:t>
      </w:r>
    </w:p>
    <w:p w:rsidR="00E27756" w:rsidRDefault="00E27756" w:rsidP="00E27756">
      <w:pPr>
        <w:pStyle w:val="SangriaFrancesaArticulo"/>
      </w:pPr>
      <w:r w:rsidRPr="00E27756">
        <w:rPr>
          <w:rStyle w:val="TextoNormalNegritaCaracter"/>
        </w:rPr>
        <w:t>Capítulo I.</w:t>
      </w:r>
      <w:r w:rsidRPr="00E27756">
        <w:rPr>
          <w:rStyle w:val="TextoNormalCaracter"/>
        </w:rPr>
        <w:t>-</w:t>
      </w:r>
      <w:r>
        <w:t xml:space="preserve"> Sentencia </w:t>
      </w:r>
      <w:hyperlink w:anchor="SENTENCIA_2013_93" w:history="1">
        <w:r w:rsidRPr="00E27756">
          <w:rPr>
            <w:rStyle w:val="TextoNormalCaracter"/>
          </w:rPr>
          <w:t>93/2013</w:t>
        </w:r>
      </w:hyperlink>
      <w:r>
        <w:t>, ff. 3, 10.</w:t>
      </w:r>
    </w:p>
    <w:p w:rsidR="00E27756" w:rsidRDefault="00E27756" w:rsidP="00E27756">
      <w:pPr>
        <w:pStyle w:val="SangriaFrancesaArticulo"/>
      </w:pPr>
      <w:r w:rsidRPr="00E27756">
        <w:rPr>
          <w:rStyle w:val="TextoNormalNegritaCaracter"/>
        </w:rPr>
        <w:t>Capítulo II.</w:t>
      </w:r>
      <w:r w:rsidRPr="00E27756">
        <w:rPr>
          <w:rStyle w:val="TextoNormalCaracter"/>
        </w:rPr>
        <w:t>-</w:t>
      </w:r>
      <w:r>
        <w:t xml:space="preserve"> Sentencia </w:t>
      </w:r>
      <w:hyperlink w:anchor="SENTENCIA_2013_93" w:history="1">
        <w:r w:rsidRPr="00E27756">
          <w:rPr>
            <w:rStyle w:val="TextoNormalCaracter"/>
          </w:rPr>
          <w:t>93/2013</w:t>
        </w:r>
      </w:hyperlink>
      <w:r>
        <w:t>, ff. 3, 11 a 13.</w:t>
      </w:r>
    </w:p>
    <w:p w:rsidR="00E27756" w:rsidRDefault="00E27756" w:rsidP="00E27756">
      <w:pPr>
        <w:pStyle w:val="SangriaFrancesaArticulo"/>
      </w:pPr>
      <w:r w:rsidRPr="00E27756">
        <w:rPr>
          <w:rStyle w:val="TextoNormalNegritaCaracter"/>
        </w:rPr>
        <w:t>Capítulo III.</w:t>
      </w:r>
      <w:r w:rsidRPr="00E27756">
        <w:rPr>
          <w:rStyle w:val="TextoNormalCaracter"/>
        </w:rPr>
        <w:t>-</w:t>
      </w:r>
      <w:r>
        <w:t xml:space="preserve"> Sentencia </w:t>
      </w:r>
      <w:hyperlink w:anchor="SENTENCIA_2013_93" w:history="1">
        <w:r w:rsidRPr="00E27756">
          <w:rPr>
            <w:rStyle w:val="TextoNormalCaracter"/>
          </w:rPr>
          <w:t>93/2013</w:t>
        </w:r>
      </w:hyperlink>
      <w:r>
        <w:t>, ff. 3, 13.</w:t>
      </w:r>
    </w:p>
    <w:p w:rsidR="00E27756" w:rsidRDefault="00E27756" w:rsidP="00E27756">
      <w:pPr>
        <w:pStyle w:val="SangriaFrancesaArticulo"/>
      </w:pPr>
      <w:r w:rsidRPr="00E27756">
        <w:rPr>
          <w:rStyle w:val="TextoNormalNegritaCaracter"/>
        </w:rPr>
        <w:t>Exposición de motivos, in fine.</w:t>
      </w:r>
      <w:r w:rsidRPr="00E27756">
        <w:rPr>
          <w:rStyle w:val="TextoNormalCaracter"/>
        </w:rPr>
        <w:t>-</w:t>
      </w:r>
      <w:r>
        <w:t xml:space="preserve"> Sentencia </w:t>
      </w:r>
      <w:hyperlink w:anchor="SENTENCIA_2013_93" w:history="1">
        <w:r w:rsidRPr="00E27756">
          <w:rPr>
            <w:rStyle w:val="TextoNormalCaracter"/>
          </w:rPr>
          <w:t>93/2013</w:t>
        </w:r>
      </w:hyperlink>
      <w:r>
        <w:t>, f. 3.</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93" w:history="1">
        <w:r w:rsidRPr="00E27756">
          <w:rPr>
            <w:rStyle w:val="TextoNormalCaracter"/>
          </w:rPr>
          <w:t>93/2013</w:t>
        </w:r>
      </w:hyperlink>
      <w:r>
        <w:t>, ff. 3, 10.</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 </w:t>
      </w:r>
      <w:hyperlink w:anchor="SENTENCIA_2013_93" w:history="1">
        <w:r w:rsidRPr="00E27756">
          <w:rPr>
            <w:rStyle w:val="TextoNormalCaracter"/>
          </w:rPr>
          <w:t>93/2013</w:t>
        </w:r>
      </w:hyperlink>
      <w:r>
        <w:t>, ff. 3, 5, 9, 10, VP I.</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93" w:history="1">
        <w:r w:rsidRPr="00E27756">
          <w:rPr>
            <w:rStyle w:val="TextoNormalCaracter"/>
          </w:rPr>
          <w:t>93/2013</w:t>
        </w:r>
      </w:hyperlink>
      <w:r>
        <w:t>, ff. 3, 9, 10.</w:t>
      </w:r>
    </w:p>
    <w:p w:rsidR="00E27756" w:rsidRDefault="00E27756" w:rsidP="00E27756">
      <w:pPr>
        <w:pStyle w:val="SangriaFrancesaArticulo"/>
      </w:pPr>
      <w:r w:rsidRPr="00E27756">
        <w:rPr>
          <w:rStyle w:val="TextoNormalNegritaCaracter"/>
        </w:rPr>
        <w:t>Artículo 2.2.1.</w:t>
      </w:r>
      <w:r w:rsidRPr="00E27756">
        <w:rPr>
          <w:rStyle w:val="TextoNormalCaracter"/>
        </w:rPr>
        <w:t>-</w:t>
      </w:r>
      <w:r>
        <w:t xml:space="preserve"> Sentencia </w:t>
      </w:r>
      <w:hyperlink w:anchor="SENTENCIA_2013_93" w:history="1">
        <w:r w:rsidRPr="00E27756">
          <w:rPr>
            <w:rStyle w:val="TextoNormalCaracter"/>
          </w:rPr>
          <w:t>93/2013</w:t>
        </w:r>
      </w:hyperlink>
      <w:r>
        <w:t>, ff. 9, 10.</w:t>
      </w:r>
    </w:p>
    <w:p w:rsidR="00E27756" w:rsidRDefault="00E27756" w:rsidP="00E27756">
      <w:pPr>
        <w:pStyle w:val="SangriaFrancesaArticulo"/>
      </w:pPr>
      <w:r w:rsidRPr="00E27756">
        <w:rPr>
          <w:rStyle w:val="TextoNormalNegritaCaracter"/>
        </w:rPr>
        <w:t>Artículo 2.2.2.</w:t>
      </w:r>
      <w:r w:rsidRPr="00E27756">
        <w:rPr>
          <w:rStyle w:val="TextoNormalCaracter"/>
        </w:rPr>
        <w:t>-</w:t>
      </w:r>
      <w:r>
        <w:t xml:space="preserve"> Sentencia </w:t>
      </w:r>
      <w:hyperlink w:anchor="SENTENCIA_2013_93" w:history="1">
        <w:r w:rsidRPr="00E27756">
          <w:rPr>
            <w:rStyle w:val="TextoNormalCaracter"/>
          </w:rPr>
          <w:t>93/2013</w:t>
        </w:r>
      </w:hyperlink>
      <w:r>
        <w:t>, f. 9.</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 </w:t>
      </w:r>
      <w:hyperlink w:anchor="SENTENCIA_2013_93" w:history="1">
        <w:r w:rsidRPr="00E27756">
          <w:rPr>
            <w:rStyle w:val="TextoNormalCaracter"/>
          </w:rPr>
          <w:t>93/2013</w:t>
        </w:r>
      </w:hyperlink>
      <w:r>
        <w:t>, ff. 1, 3, 6, 9, 10.</w:t>
      </w:r>
    </w:p>
    <w:p w:rsidR="00E27756" w:rsidRDefault="00E27756" w:rsidP="00E27756">
      <w:pPr>
        <w:pStyle w:val="SangriaIzquierdaArticulo"/>
      </w:pPr>
      <w:r>
        <w:t xml:space="preserve">Auto </w:t>
      </w:r>
      <w:hyperlink w:anchor="AUTO_2013_93" w:history="1">
        <w:r w:rsidRPr="00E27756">
          <w:rPr>
            <w:rStyle w:val="TextoNormalCaracter"/>
          </w:rPr>
          <w:t>93/2013</w:t>
        </w:r>
      </w:hyperlink>
      <w:r>
        <w:t>, ff. 1, 2.</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93" w:history="1">
        <w:r w:rsidRPr="00E27756">
          <w:rPr>
            <w:rStyle w:val="TextoNormalCaracter"/>
          </w:rPr>
          <w:t>93/2013</w:t>
        </w:r>
      </w:hyperlink>
      <w:r>
        <w:t>, ff. 3, 9, 10.</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93" w:history="1">
        <w:r w:rsidRPr="00E27756">
          <w:rPr>
            <w:rStyle w:val="TextoNormalCaracter"/>
          </w:rPr>
          <w:t>93/2013</w:t>
        </w:r>
      </w:hyperlink>
      <w:r>
        <w:t>, ff. 3, 10.</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93" w:history="1">
        <w:r w:rsidRPr="00E27756">
          <w:rPr>
            <w:rStyle w:val="TextoNormalCaracter"/>
          </w:rPr>
          <w:t>93/2013</w:t>
        </w:r>
      </w:hyperlink>
      <w:r>
        <w:t>, f. 10.</w:t>
      </w:r>
    </w:p>
    <w:p w:rsidR="00E27756" w:rsidRDefault="00E27756" w:rsidP="00E27756">
      <w:pPr>
        <w:pStyle w:val="SangriaFrancesaArticulo"/>
      </w:pPr>
      <w:r w:rsidRPr="00E27756">
        <w:rPr>
          <w:rStyle w:val="TextoNormalNegritaCaracter"/>
        </w:rPr>
        <w:t>Artículo 4.1 f).</w:t>
      </w:r>
      <w:r w:rsidRPr="00E27756">
        <w:rPr>
          <w:rStyle w:val="TextoNormalCaracter"/>
        </w:rPr>
        <w:t>-</w:t>
      </w:r>
      <w:r>
        <w:t xml:space="preserve"> Sentencia </w:t>
      </w:r>
      <w:hyperlink w:anchor="SENTENCIA_2013_93" w:history="1">
        <w:r w:rsidRPr="00E27756">
          <w:rPr>
            <w:rStyle w:val="TextoNormalCaracter"/>
          </w:rPr>
          <w:t>93/2013</w:t>
        </w:r>
      </w:hyperlink>
      <w:r>
        <w:t>, f. 10.</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93" w:history="1">
        <w:r w:rsidRPr="00E27756">
          <w:rPr>
            <w:rStyle w:val="TextoNormalCaracter"/>
          </w:rPr>
          <w:t>93/2013</w:t>
        </w:r>
      </w:hyperlink>
      <w:r>
        <w:t>, f. 10.</w:t>
      </w:r>
    </w:p>
    <w:p w:rsidR="00E27756" w:rsidRDefault="00E27756" w:rsidP="00E27756">
      <w:pPr>
        <w:pStyle w:val="SangriaFrancesaArticulo"/>
      </w:pPr>
      <w:r w:rsidRPr="00E27756">
        <w:rPr>
          <w:rStyle w:val="TextoNormalNegritaCaracter"/>
        </w:rPr>
        <w:t>Artículo 4.3.</w:t>
      </w:r>
      <w:r w:rsidRPr="00E27756">
        <w:rPr>
          <w:rStyle w:val="TextoNormalCaracter"/>
        </w:rPr>
        <w:t>-</w:t>
      </w:r>
      <w:r>
        <w:t xml:space="preserve"> Sentencia </w:t>
      </w:r>
      <w:hyperlink w:anchor="SENTENCIA_2013_93" w:history="1">
        <w:r w:rsidRPr="00E27756">
          <w:rPr>
            <w:rStyle w:val="TextoNormalCaracter"/>
          </w:rPr>
          <w:t>93/2013</w:t>
        </w:r>
      </w:hyperlink>
      <w:r>
        <w:t>, ff. 3, 10.</w:t>
      </w:r>
    </w:p>
    <w:p w:rsidR="00E27756" w:rsidRDefault="00E27756" w:rsidP="00E27756">
      <w:pPr>
        <w:pStyle w:val="SangriaFrancesaArticulo"/>
      </w:pPr>
      <w:r w:rsidRPr="00E27756">
        <w:rPr>
          <w:rStyle w:val="TextoNormalNegritaCaracter"/>
        </w:rPr>
        <w:t>Artículo 4.4.</w:t>
      </w:r>
      <w:r w:rsidRPr="00E27756">
        <w:rPr>
          <w:rStyle w:val="TextoNormalCaracter"/>
        </w:rPr>
        <w:t>-</w:t>
      </w:r>
      <w:r>
        <w:t xml:space="preserve"> Sentencia </w:t>
      </w:r>
      <w:hyperlink w:anchor="SENTENCIA_2013_93" w:history="1">
        <w:r w:rsidRPr="00E27756">
          <w:rPr>
            <w:rStyle w:val="TextoNormalCaracter"/>
          </w:rPr>
          <w:t>93/2013</w:t>
        </w:r>
      </w:hyperlink>
      <w:r>
        <w:t>, f. 10.</w:t>
      </w:r>
    </w:p>
    <w:p w:rsidR="00E27756" w:rsidRDefault="00E27756" w:rsidP="00E27756">
      <w:pPr>
        <w:pStyle w:val="SangriaFrancesaArticulo"/>
      </w:pPr>
      <w:r w:rsidRPr="00E27756">
        <w:rPr>
          <w:rStyle w:val="TextoNormalNegritaCaracter"/>
        </w:rPr>
        <w:lastRenderedPageBreak/>
        <w:t>Artículo 5.</w:t>
      </w:r>
      <w:r w:rsidRPr="00E27756">
        <w:rPr>
          <w:rStyle w:val="TextoNormalCaracter"/>
        </w:rPr>
        <w:t>-</w:t>
      </w:r>
      <w:r>
        <w:t xml:space="preserve"> Sentencia </w:t>
      </w:r>
      <w:hyperlink w:anchor="SENTENCIA_2013_93" w:history="1">
        <w:r w:rsidRPr="00E27756">
          <w:rPr>
            <w:rStyle w:val="TextoNormalCaracter"/>
          </w:rPr>
          <w:t>93/2013</w:t>
        </w:r>
      </w:hyperlink>
      <w:r>
        <w:t>, ff. 9, 11.</w:t>
      </w:r>
    </w:p>
    <w:p w:rsidR="00E27756" w:rsidRDefault="00E27756" w:rsidP="00E27756">
      <w:pPr>
        <w:pStyle w:val="SangriaFrancesaArticulo"/>
      </w:pPr>
      <w:r w:rsidRPr="00E27756">
        <w:rPr>
          <w:rStyle w:val="TextoNormalNegritaCaracter"/>
        </w:rPr>
        <w:t>Artículo 5.1.</w:t>
      </w:r>
      <w:r w:rsidRPr="00E27756">
        <w:rPr>
          <w:rStyle w:val="TextoNormalCaracter"/>
        </w:rPr>
        <w:t>-</w:t>
      </w:r>
      <w:r>
        <w:t xml:space="preserve"> Sentencia </w:t>
      </w:r>
      <w:hyperlink w:anchor="SENTENCIA_2013_93" w:history="1">
        <w:r w:rsidRPr="00E27756">
          <w:rPr>
            <w:rStyle w:val="TextoNormalCaracter"/>
          </w:rPr>
          <w:t>93/2013</w:t>
        </w:r>
      </w:hyperlink>
      <w:r>
        <w:t>, ff. 3, 9, 11.</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Sentencia </w:t>
      </w:r>
      <w:hyperlink w:anchor="SENTENCIA_2013_93" w:history="1">
        <w:r w:rsidRPr="00E27756">
          <w:rPr>
            <w:rStyle w:val="TextoNormalCaracter"/>
          </w:rPr>
          <w:t>93/2013</w:t>
        </w:r>
      </w:hyperlink>
      <w:r>
        <w:t>, ff. 3, 9, 11.</w:t>
      </w:r>
    </w:p>
    <w:p w:rsidR="00E27756" w:rsidRDefault="00E27756" w:rsidP="00E27756">
      <w:pPr>
        <w:pStyle w:val="SangriaFrancesaArticulo"/>
      </w:pPr>
      <w:r w:rsidRPr="00E27756">
        <w:rPr>
          <w:rStyle w:val="TextoNormalNegritaCaracter"/>
        </w:rPr>
        <w:t>Artículo 5.3.</w:t>
      </w:r>
      <w:r w:rsidRPr="00E27756">
        <w:rPr>
          <w:rStyle w:val="TextoNormalCaracter"/>
        </w:rPr>
        <w:t>-</w:t>
      </w:r>
      <w:r>
        <w:t xml:space="preserve"> Sentencia </w:t>
      </w:r>
      <w:hyperlink w:anchor="SENTENCIA_2013_93" w:history="1">
        <w:r w:rsidRPr="00E27756">
          <w:rPr>
            <w:rStyle w:val="TextoNormalCaracter"/>
          </w:rPr>
          <w:t>93/2013</w:t>
        </w:r>
      </w:hyperlink>
      <w:r>
        <w:t>, ff. 3, 11.</w:t>
      </w:r>
    </w:p>
    <w:p w:rsidR="00E27756" w:rsidRDefault="00E27756" w:rsidP="00E27756">
      <w:pPr>
        <w:pStyle w:val="SangriaFrancesaArticulo"/>
      </w:pPr>
      <w:r w:rsidRPr="00E27756">
        <w:rPr>
          <w:rStyle w:val="TextoNormalNegritaCaracter"/>
        </w:rPr>
        <w:t>Artículo 5.4.</w:t>
      </w:r>
      <w:r w:rsidRPr="00E27756">
        <w:rPr>
          <w:rStyle w:val="TextoNormalCaracter"/>
        </w:rPr>
        <w:t>-</w:t>
      </w:r>
      <w:r>
        <w:t xml:space="preserve"> Sentencia </w:t>
      </w:r>
      <w:hyperlink w:anchor="SENTENCIA_2013_93" w:history="1">
        <w:r w:rsidRPr="00E27756">
          <w:rPr>
            <w:rStyle w:val="TextoNormalCaracter"/>
          </w:rPr>
          <w:t>93/2013</w:t>
        </w:r>
      </w:hyperlink>
      <w:r>
        <w:t>, ff. 3, 11.</w:t>
      </w:r>
    </w:p>
    <w:p w:rsidR="00E27756" w:rsidRDefault="00E27756" w:rsidP="00E27756">
      <w:pPr>
        <w:pStyle w:val="SangriaFrancesaArticulo"/>
      </w:pPr>
      <w:r w:rsidRPr="00E27756">
        <w:rPr>
          <w:rStyle w:val="TextoNormalNegritaCaracter"/>
        </w:rPr>
        <w:t>Artículo 5.5.</w:t>
      </w:r>
      <w:r w:rsidRPr="00E27756">
        <w:rPr>
          <w:rStyle w:val="TextoNormalCaracter"/>
        </w:rPr>
        <w:t>-</w:t>
      </w:r>
      <w:r>
        <w:t xml:space="preserve"> Sentencia </w:t>
      </w:r>
      <w:hyperlink w:anchor="SENTENCIA_2013_93" w:history="1">
        <w:r w:rsidRPr="00E27756">
          <w:rPr>
            <w:rStyle w:val="TextoNormalCaracter"/>
          </w:rPr>
          <w:t>93/2013</w:t>
        </w:r>
      </w:hyperlink>
      <w:r>
        <w:t>, ff. 3, 11.</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93" w:history="1">
        <w:r w:rsidRPr="00E27756">
          <w:rPr>
            <w:rStyle w:val="TextoNormalCaracter"/>
          </w:rPr>
          <w:t>93/2013</w:t>
        </w:r>
      </w:hyperlink>
      <w:r>
        <w:t>, f. 11.</w:t>
      </w:r>
    </w:p>
    <w:p w:rsidR="00E27756" w:rsidRDefault="00E27756" w:rsidP="00E27756">
      <w:pPr>
        <w:pStyle w:val="SangriaFrancesaArticulo"/>
      </w:pPr>
      <w:r w:rsidRPr="00E27756">
        <w:rPr>
          <w:rStyle w:val="TextoNormalNegritaCaracter"/>
        </w:rPr>
        <w:t>Artículo 6.1.</w:t>
      </w:r>
      <w:r w:rsidRPr="00E27756">
        <w:rPr>
          <w:rStyle w:val="TextoNormalCaracter"/>
        </w:rPr>
        <w:t>-</w:t>
      </w:r>
      <w:r>
        <w:t xml:space="preserve"> Sentencia </w:t>
      </w:r>
      <w:hyperlink w:anchor="SENTENCIA_2013_93" w:history="1">
        <w:r w:rsidRPr="00E27756">
          <w:rPr>
            <w:rStyle w:val="TextoNormalCaracter"/>
          </w:rPr>
          <w:t>93/2013</w:t>
        </w:r>
      </w:hyperlink>
      <w:r>
        <w:t>, f. 3.</w:t>
      </w:r>
    </w:p>
    <w:p w:rsidR="00E27756" w:rsidRDefault="00E27756" w:rsidP="00E27756">
      <w:pPr>
        <w:pStyle w:val="SangriaFrancesaArticulo"/>
      </w:pPr>
      <w:r w:rsidRPr="00E27756">
        <w:rPr>
          <w:rStyle w:val="TextoNormalNegritaCaracter"/>
        </w:rPr>
        <w:t>Artículo 6.2.</w:t>
      </w:r>
      <w:r w:rsidRPr="00E27756">
        <w:rPr>
          <w:rStyle w:val="TextoNormalCaracter"/>
        </w:rPr>
        <w:t>-</w:t>
      </w:r>
      <w:r>
        <w:t xml:space="preserve"> Sentencia </w:t>
      </w:r>
      <w:hyperlink w:anchor="SENTENCIA_2013_93" w:history="1">
        <w:r w:rsidRPr="00E27756">
          <w:rPr>
            <w:rStyle w:val="TextoNormalCaracter"/>
          </w:rPr>
          <w:t>93/2013</w:t>
        </w:r>
      </w:hyperlink>
      <w:r>
        <w:t>, f. 3.</w:t>
      </w:r>
    </w:p>
    <w:p w:rsidR="00E27756" w:rsidRDefault="00E27756" w:rsidP="00E27756">
      <w:pPr>
        <w:pStyle w:val="SangriaFrancesaArticulo"/>
      </w:pPr>
      <w:r w:rsidRPr="00E27756">
        <w:rPr>
          <w:rStyle w:val="TextoNormalNegritaCaracter"/>
        </w:rPr>
        <w:t>Artículo 6.3.</w:t>
      </w:r>
      <w:r w:rsidRPr="00E27756">
        <w:rPr>
          <w:rStyle w:val="TextoNormalCaracter"/>
        </w:rPr>
        <w:t>-</w:t>
      </w:r>
      <w:r>
        <w:t xml:space="preserve"> Sentencia </w:t>
      </w:r>
      <w:hyperlink w:anchor="SENTENCIA_2013_93" w:history="1">
        <w:r w:rsidRPr="00E27756">
          <w:rPr>
            <w:rStyle w:val="TextoNormalCaracter"/>
          </w:rPr>
          <w:t>93/2013</w:t>
        </w:r>
      </w:hyperlink>
      <w:r>
        <w:t>, ff. 3, 11.</w:t>
      </w:r>
    </w:p>
    <w:p w:rsidR="00E27756" w:rsidRDefault="00E27756" w:rsidP="00E27756">
      <w:pPr>
        <w:pStyle w:val="SangriaFrancesaArticulo"/>
      </w:pPr>
      <w:r w:rsidRPr="00E27756">
        <w:rPr>
          <w:rStyle w:val="TextoNormalNegritaCaracter"/>
        </w:rPr>
        <w:t>Artículo 6.4.</w:t>
      </w:r>
      <w:r w:rsidRPr="00E27756">
        <w:rPr>
          <w:rStyle w:val="TextoNormalCaracter"/>
        </w:rPr>
        <w:t>-</w:t>
      </w:r>
      <w:r>
        <w:t xml:space="preserve"> Sentencia </w:t>
      </w:r>
      <w:hyperlink w:anchor="SENTENCIA_2013_93" w:history="1">
        <w:r w:rsidRPr="00E27756">
          <w:rPr>
            <w:rStyle w:val="TextoNormalCaracter"/>
          </w:rPr>
          <w:t>93/2013</w:t>
        </w:r>
      </w:hyperlink>
      <w:r>
        <w:t>, ff. 3, 11.</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Sentencia </w:t>
      </w:r>
      <w:hyperlink w:anchor="SENTENCIA_2013_93" w:history="1">
        <w:r w:rsidRPr="00E27756">
          <w:rPr>
            <w:rStyle w:val="TextoNormalCaracter"/>
          </w:rPr>
          <w:t>93/2013</w:t>
        </w:r>
      </w:hyperlink>
      <w:r>
        <w:t>, ff. 3, 9, 11.</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93" w:history="1">
        <w:r w:rsidRPr="00E27756">
          <w:rPr>
            <w:rStyle w:val="TextoNormalCaracter"/>
          </w:rPr>
          <w:t>93/2013</w:t>
        </w:r>
      </w:hyperlink>
      <w:r>
        <w:t>, ff. 1, 3, 9, 12, VP II.</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93" w:history="1">
        <w:r w:rsidRPr="00E27756">
          <w:rPr>
            <w:rStyle w:val="TextoNormalCaracter"/>
          </w:rPr>
          <w:t>93/2013</w:t>
        </w:r>
      </w:hyperlink>
      <w:r>
        <w:t>, ff. 3, 11.</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 </w:t>
      </w:r>
      <w:hyperlink w:anchor="SENTENCIA_2013_93" w:history="1">
        <w:r w:rsidRPr="00E27756">
          <w:rPr>
            <w:rStyle w:val="TextoNormalCaracter"/>
          </w:rPr>
          <w:t>93/2013</w:t>
        </w:r>
      </w:hyperlink>
      <w:r>
        <w:t>, f. 2.</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93" w:history="1">
        <w:r w:rsidRPr="00E27756">
          <w:rPr>
            <w:rStyle w:val="TextoNormalCaracter"/>
          </w:rPr>
          <w:t>93/2013</w:t>
        </w:r>
      </w:hyperlink>
      <w:r>
        <w:t>, ff. 9, 13.</w:t>
      </w:r>
    </w:p>
    <w:p w:rsidR="00E27756" w:rsidRDefault="00E27756" w:rsidP="00E27756">
      <w:pPr>
        <w:pStyle w:val="SangriaFrancesaArticulo"/>
      </w:pPr>
      <w:r w:rsidRPr="00E27756">
        <w:rPr>
          <w:rStyle w:val="TextoNormalNegritaCaracter"/>
        </w:rPr>
        <w:t>Artículo 11.1.</w:t>
      </w:r>
      <w:r w:rsidRPr="00E27756">
        <w:rPr>
          <w:rStyle w:val="TextoNormalCaracter"/>
        </w:rPr>
        <w:t>-</w:t>
      </w:r>
      <w:r>
        <w:t xml:space="preserve"> Sentencia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Artículo 11.2.</w:t>
      </w:r>
      <w:r w:rsidRPr="00E27756">
        <w:rPr>
          <w:rStyle w:val="TextoNormalCaracter"/>
        </w:rPr>
        <w:t>-</w:t>
      </w:r>
      <w:r>
        <w:t xml:space="preserve"> Sentencia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Artículo 11.3.</w:t>
      </w:r>
      <w:r w:rsidRPr="00E27756">
        <w:rPr>
          <w:rStyle w:val="TextoNormalCaracter"/>
        </w:rPr>
        <w:t>-</w:t>
      </w:r>
      <w:r>
        <w:t xml:space="preserve"> Sentencia </w:t>
      </w:r>
      <w:hyperlink w:anchor="SENTENCIA_2013_93" w:history="1">
        <w:r w:rsidRPr="00E27756">
          <w:rPr>
            <w:rStyle w:val="TextoNormalCaracter"/>
          </w:rPr>
          <w:t>93/2013</w:t>
        </w:r>
      </w:hyperlink>
      <w:r>
        <w:t>, f. 13.</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93" w:history="1">
        <w:r w:rsidRPr="00E27756">
          <w:rPr>
            <w:rStyle w:val="TextoNormalCaracter"/>
          </w:rPr>
          <w:t>93/2013</w:t>
        </w:r>
      </w:hyperlink>
      <w:r>
        <w:t>, ff. 1 a 3, 13.</w:t>
      </w:r>
    </w:p>
    <w:p w:rsidR="00E27756" w:rsidRDefault="00E27756" w:rsidP="00E27756">
      <w:pPr>
        <w:pStyle w:val="SangriaFrancesaArticulo"/>
      </w:pPr>
      <w:r w:rsidRPr="00E27756">
        <w:rPr>
          <w:rStyle w:val="TextoNormalNegritaCaracter"/>
        </w:rPr>
        <w:t>Artículo 12.1.</w:t>
      </w:r>
      <w:r w:rsidRPr="00E27756">
        <w:rPr>
          <w:rStyle w:val="TextoNormalCaracter"/>
        </w:rPr>
        <w:t>-</w:t>
      </w:r>
      <w:r>
        <w:t xml:space="preserve"> Sentencia </w:t>
      </w:r>
      <w:hyperlink w:anchor="SENTENCIA_2013_93" w:history="1">
        <w:r w:rsidRPr="00E27756">
          <w:rPr>
            <w:rStyle w:val="TextoNormalCaracter"/>
          </w:rPr>
          <w:t>93/2013</w:t>
        </w:r>
      </w:hyperlink>
      <w:r>
        <w:t>, ff. 2, 9, 13.</w:t>
      </w:r>
    </w:p>
    <w:p w:rsidR="00E27756" w:rsidRDefault="00E27756" w:rsidP="00E27756">
      <w:pPr>
        <w:pStyle w:val="SangriaFrancesaArticulo"/>
      </w:pPr>
      <w:r w:rsidRPr="00E27756">
        <w:rPr>
          <w:rStyle w:val="TextoNormalNegritaCaracter"/>
        </w:rPr>
        <w:t>Artículo 12.2.</w:t>
      </w:r>
      <w:r w:rsidRPr="00E27756">
        <w:rPr>
          <w:rStyle w:val="TextoNormalCaracter"/>
        </w:rPr>
        <w:t>-</w:t>
      </w:r>
      <w:r>
        <w:t xml:space="preserve"> Sentencia </w:t>
      </w:r>
      <w:hyperlink w:anchor="SENTENCIA_2013_93" w:history="1">
        <w:r w:rsidRPr="00E27756">
          <w:rPr>
            <w:rStyle w:val="TextoNormalCaracter"/>
          </w:rPr>
          <w:t>93/2013</w:t>
        </w:r>
      </w:hyperlink>
      <w:r>
        <w:t>, ff. 2, 13.</w:t>
      </w:r>
    </w:p>
    <w:p w:rsidR="00E27756" w:rsidRDefault="00E27756" w:rsidP="00E27756">
      <w:pPr>
        <w:pStyle w:val="SangriaFrancesaArticulo"/>
      </w:pPr>
      <w:r w:rsidRPr="00E27756">
        <w:rPr>
          <w:rStyle w:val="TextoNormalNegritaCaracter"/>
        </w:rPr>
        <w:t>Artículo 12.3.</w:t>
      </w:r>
      <w:r w:rsidRPr="00E27756">
        <w:rPr>
          <w:rStyle w:val="TextoNormalCaracter"/>
        </w:rPr>
        <w:t>-</w:t>
      </w:r>
      <w:r>
        <w:t xml:space="preserve"> Sentencia </w:t>
      </w:r>
      <w:hyperlink w:anchor="SENTENCIA_2013_93" w:history="1">
        <w:r w:rsidRPr="00E27756">
          <w:rPr>
            <w:rStyle w:val="TextoNormalCaracter"/>
          </w:rPr>
          <w:t>93/2013</w:t>
        </w:r>
      </w:hyperlink>
      <w:r>
        <w:t>, f. 2.</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93" w:history="1">
        <w:r w:rsidRPr="00E27756">
          <w:rPr>
            <w:rStyle w:val="TextoNormalCaracter"/>
          </w:rPr>
          <w:t>93/2013</w:t>
        </w:r>
      </w:hyperlink>
      <w:r>
        <w:t>, ff. 1 a 3, 9, 13.</w:t>
      </w:r>
    </w:p>
    <w:p w:rsidR="00E27756" w:rsidRDefault="00E27756" w:rsidP="00E27756">
      <w:pPr>
        <w:pStyle w:val="SangriaFrancesaArticulo"/>
      </w:pPr>
      <w:r w:rsidRPr="00E27756">
        <w:rPr>
          <w:rStyle w:val="TextoNormalNegritaCaracter"/>
        </w:rPr>
        <w:t>Artículo 13.1.</w:t>
      </w:r>
      <w:r w:rsidRPr="00E27756">
        <w:rPr>
          <w:rStyle w:val="TextoNormalCaracter"/>
        </w:rPr>
        <w:t>-</w:t>
      </w:r>
      <w:r>
        <w:t xml:space="preserve"> Sentencia </w:t>
      </w:r>
      <w:hyperlink w:anchor="SENTENCIA_2013_93" w:history="1">
        <w:r w:rsidRPr="00E27756">
          <w:rPr>
            <w:rStyle w:val="TextoNormalCaracter"/>
          </w:rPr>
          <w:t>93/2013</w:t>
        </w:r>
      </w:hyperlink>
      <w:r>
        <w:t>, ff. 2, 13.</w:t>
      </w:r>
    </w:p>
    <w:p w:rsidR="00E27756" w:rsidRDefault="00E27756" w:rsidP="00E27756">
      <w:pPr>
        <w:pStyle w:val="SangriaFrancesaArticulo"/>
      </w:pPr>
      <w:r w:rsidRPr="00E27756">
        <w:rPr>
          <w:rStyle w:val="TextoNormalNegritaCaracter"/>
        </w:rPr>
        <w:t>Artículo 13.2.</w:t>
      </w:r>
      <w:r w:rsidRPr="00E27756">
        <w:rPr>
          <w:rStyle w:val="TextoNormalCaracter"/>
        </w:rPr>
        <w:t>-</w:t>
      </w:r>
      <w:r>
        <w:t xml:space="preserve"> Sentencia </w:t>
      </w:r>
      <w:hyperlink w:anchor="SENTENCIA_2013_93" w:history="1">
        <w:r w:rsidRPr="00E27756">
          <w:rPr>
            <w:rStyle w:val="TextoNormalCaracter"/>
          </w:rPr>
          <w:t>93/2013</w:t>
        </w:r>
      </w:hyperlink>
      <w:r>
        <w:t>, ff. 2, 13.</w:t>
      </w:r>
    </w:p>
    <w:p w:rsidR="00E27756" w:rsidRDefault="00E27756" w:rsidP="00E27756">
      <w:pPr>
        <w:pStyle w:val="SangriaFrancesaArticulo"/>
      </w:pPr>
      <w:r w:rsidRPr="00E27756">
        <w:rPr>
          <w:rStyle w:val="TextoNormalNegritaCaracter"/>
        </w:rPr>
        <w:t>Artículo 13.3.</w:t>
      </w:r>
      <w:r w:rsidRPr="00E27756">
        <w:rPr>
          <w:rStyle w:val="TextoNormalCaracter"/>
        </w:rPr>
        <w:t>-</w:t>
      </w:r>
      <w:r>
        <w:t xml:space="preserve"> Sentencia </w:t>
      </w:r>
      <w:hyperlink w:anchor="SENTENCIA_2013_93" w:history="1">
        <w:r w:rsidRPr="00E27756">
          <w:rPr>
            <w:rStyle w:val="TextoNormalCaracter"/>
          </w:rPr>
          <w:t>93/2013</w:t>
        </w:r>
      </w:hyperlink>
      <w:r>
        <w:t>, ff. 2, 13.</w:t>
      </w:r>
    </w:p>
    <w:p w:rsidR="00E27756" w:rsidRDefault="00E27756" w:rsidP="00E27756">
      <w:pPr>
        <w:pStyle w:val="SangriaFrancesaArticulo"/>
      </w:pPr>
      <w:r w:rsidRPr="00E27756">
        <w:rPr>
          <w:rStyle w:val="TextoNormalNegritaCaracter"/>
        </w:rPr>
        <w:t>Disposición adicional.</w:t>
      </w:r>
      <w:r w:rsidRPr="00E27756">
        <w:rPr>
          <w:rStyle w:val="TextoNormalCaracter"/>
        </w:rPr>
        <w:t>-</w:t>
      </w:r>
      <w:r>
        <w:t xml:space="preserve"> Sentencia </w:t>
      </w:r>
      <w:hyperlink w:anchor="SENTENCIA_2013_93" w:history="1">
        <w:r w:rsidRPr="00E27756">
          <w:rPr>
            <w:rStyle w:val="TextoNormalCaracter"/>
          </w:rPr>
          <w:t>93/2013</w:t>
        </w:r>
      </w:hyperlink>
      <w:r>
        <w:t>, ff. 3, 9, 10.</w:t>
      </w:r>
    </w:p>
    <w:p w:rsidR="00E27756" w:rsidRDefault="00E27756" w:rsidP="00E27756">
      <w:pPr>
        <w:pStyle w:val="SangriaFrancesaArticulo"/>
      </w:pPr>
      <w:r w:rsidRPr="00E27756">
        <w:rPr>
          <w:rStyle w:val="TextoNormalNegritaCaracter"/>
        </w:rPr>
        <w:t>Disposición transitoria.</w:t>
      </w:r>
      <w:r w:rsidRPr="00E27756">
        <w:rPr>
          <w:rStyle w:val="TextoNormalCaracter"/>
        </w:rPr>
        <w:t>-</w:t>
      </w:r>
      <w:r>
        <w:t xml:space="preserve"> Sentencia </w:t>
      </w:r>
      <w:hyperlink w:anchor="SENTENCIA_2013_93" w:history="1">
        <w:r w:rsidRPr="00E27756">
          <w:rPr>
            <w:rStyle w:val="TextoNormalCaracter"/>
          </w:rPr>
          <w:t>93/2013</w:t>
        </w:r>
      </w:hyperlink>
      <w:r>
        <w:t>, f. 3.</w:t>
      </w:r>
    </w:p>
    <w:p w:rsidR="00E27756" w:rsidRDefault="00E27756" w:rsidP="00E27756">
      <w:pPr>
        <w:pStyle w:val="SangriaFrancesaArticulo"/>
      </w:pPr>
    </w:p>
    <w:p w:rsidR="00E27756" w:rsidRDefault="00E27756" w:rsidP="00E27756">
      <w:pPr>
        <w:pStyle w:val="TextoNormalNegritaCursivandice"/>
      </w:pPr>
      <w:r>
        <w:t>Ley Foral del Parlamento de Navarra 12/2000, de 16 de noviembre. Atención farmacéutica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7" w:history="1">
        <w:r w:rsidRPr="00E27756">
          <w:rPr>
            <w:rStyle w:val="TextoNormalCaracter"/>
          </w:rPr>
          <w:t>137/2013</w:t>
        </w:r>
      </w:hyperlink>
      <w:r>
        <w:t>, ff. 1, 2, 4 a 6.</w:t>
      </w:r>
    </w:p>
    <w:p w:rsidR="00E27756" w:rsidRDefault="00E27756" w:rsidP="00E27756">
      <w:pPr>
        <w:pStyle w:val="SangriaFrancesaArticulo"/>
      </w:pPr>
      <w:r w:rsidRPr="00E27756">
        <w:rPr>
          <w:rStyle w:val="TextoNormalNegritaCaracter"/>
        </w:rPr>
        <w:t>Título II, capítulo II sección cuarta.</w:t>
      </w:r>
      <w:r w:rsidRPr="00E27756">
        <w:rPr>
          <w:rStyle w:val="TextoNormalCaracter"/>
        </w:rPr>
        <w:t>-</w:t>
      </w:r>
      <w:r>
        <w:t xml:space="preserve"> Sentencia </w:t>
      </w:r>
      <w:hyperlink w:anchor="SENTENCIA_2013_137" w:history="1">
        <w:r w:rsidRPr="00E27756">
          <w:rPr>
            <w:rStyle w:val="TextoNormalCaracter"/>
          </w:rPr>
          <w:t>137/2013</w:t>
        </w:r>
      </w:hyperlink>
      <w:r>
        <w:t>, f. 4.</w:t>
      </w:r>
    </w:p>
    <w:p w:rsidR="00E27756" w:rsidRDefault="00E27756" w:rsidP="00E27756">
      <w:pPr>
        <w:pStyle w:val="SangriaFrancesaArticulo"/>
      </w:pPr>
      <w:r w:rsidRPr="00E27756">
        <w:rPr>
          <w:rStyle w:val="TextoNormalNegritaCaracter"/>
        </w:rPr>
        <w:t>Artículo 11.2 a).</w:t>
      </w:r>
      <w:r w:rsidRPr="00E27756">
        <w:rPr>
          <w:rStyle w:val="TextoNormalCaracter"/>
        </w:rPr>
        <w:t>-</w:t>
      </w:r>
      <w:r>
        <w:t xml:space="preserve"> Sentencia </w:t>
      </w:r>
      <w:hyperlink w:anchor="SENTENCIA_2013_137" w:history="1">
        <w:r w:rsidRPr="00E27756">
          <w:rPr>
            <w:rStyle w:val="TextoNormalCaracter"/>
          </w:rPr>
          <w:t>137/2013</w:t>
        </w:r>
      </w:hyperlink>
      <w:r>
        <w:t>, f. 4.</w:t>
      </w:r>
    </w:p>
    <w:p w:rsidR="00E27756" w:rsidRDefault="00E27756" w:rsidP="00E27756">
      <w:pPr>
        <w:pStyle w:val="SangriaFrancesaArticulo"/>
      </w:pPr>
      <w:r w:rsidRPr="00E27756">
        <w:rPr>
          <w:rStyle w:val="TextoNormalNegritaCaracter"/>
        </w:rPr>
        <w:t>Artículo 11.2 j).</w:t>
      </w:r>
      <w:r w:rsidRPr="00E27756">
        <w:rPr>
          <w:rStyle w:val="TextoNormalCaracter"/>
        </w:rPr>
        <w:t>-</w:t>
      </w:r>
      <w:r>
        <w:t xml:space="preserve"> Sentencia </w:t>
      </w:r>
      <w:hyperlink w:anchor="SENTENCIA_2013_137" w:history="1">
        <w:r w:rsidRPr="00E27756">
          <w:rPr>
            <w:rStyle w:val="TextoNormalCaracter"/>
          </w:rPr>
          <w:t>137/2013</w:t>
        </w:r>
      </w:hyperlink>
      <w:r>
        <w:t>, f. 4.</w:t>
      </w:r>
    </w:p>
    <w:p w:rsidR="00E27756" w:rsidRDefault="00E27756" w:rsidP="00E27756">
      <w:pPr>
        <w:pStyle w:val="SangriaFrancesaArticulo"/>
      </w:pPr>
      <w:r w:rsidRPr="00E27756">
        <w:rPr>
          <w:rStyle w:val="TextoNormalNegritaCaracter"/>
        </w:rPr>
        <w:t>Artículo 22.1.</w:t>
      </w:r>
      <w:r w:rsidRPr="00E27756">
        <w:rPr>
          <w:rStyle w:val="TextoNormalCaracter"/>
        </w:rPr>
        <w:t>-</w:t>
      </w:r>
      <w:r>
        <w:t xml:space="preserve"> Sentencia </w:t>
      </w:r>
      <w:hyperlink w:anchor="SENTENCIA_2013_137" w:history="1">
        <w:r w:rsidRPr="00E27756">
          <w:rPr>
            <w:rStyle w:val="TextoNormalCaracter"/>
          </w:rPr>
          <w:t>137/2013</w:t>
        </w:r>
      </w:hyperlink>
      <w:r>
        <w:t>, f. 6.</w:t>
      </w:r>
    </w:p>
    <w:p w:rsidR="00E27756" w:rsidRDefault="00E27756" w:rsidP="00E27756">
      <w:pPr>
        <w:pStyle w:val="SangriaFrancesaArticulo"/>
      </w:pPr>
      <w:r w:rsidRPr="00E27756">
        <w:rPr>
          <w:rStyle w:val="TextoNormalNegritaCaracter"/>
        </w:rPr>
        <w:t>Artículo 28.1.</w:t>
      </w:r>
      <w:r w:rsidRPr="00E27756">
        <w:rPr>
          <w:rStyle w:val="TextoNormalCaracter"/>
        </w:rPr>
        <w:t>-</w:t>
      </w:r>
      <w:r>
        <w:t xml:space="preserve"> Sentencia </w:t>
      </w:r>
      <w:hyperlink w:anchor="SENTENCIA_2013_137" w:history="1">
        <w:r w:rsidRPr="00E27756">
          <w:rPr>
            <w:rStyle w:val="TextoNormalCaracter"/>
          </w:rPr>
          <w:t>137/2013</w:t>
        </w:r>
      </w:hyperlink>
      <w:r>
        <w:t>, ff. 1, 7.</w:t>
      </w:r>
    </w:p>
    <w:p w:rsidR="00E27756" w:rsidRDefault="00E27756" w:rsidP="00E27756">
      <w:pPr>
        <w:pStyle w:val="SangriaFrancesaArticulo"/>
      </w:pPr>
      <w:r w:rsidRPr="00E27756">
        <w:rPr>
          <w:rStyle w:val="TextoNormalNegritaCaracter"/>
        </w:rPr>
        <w:t>Artículo 28.2.</w:t>
      </w:r>
      <w:r w:rsidRPr="00E27756">
        <w:rPr>
          <w:rStyle w:val="TextoNormalCaracter"/>
        </w:rPr>
        <w:t>-</w:t>
      </w:r>
      <w:r>
        <w:t xml:space="preserve"> Sentencia </w:t>
      </w:r>
      <w:hyperlink w:anchor="SENTENCIA_2013_137" w:history="1">
        <w:r w:rsidRPr="00E27756">
          <w:rPr>
            <w:rStyle w:val="TextoNormalCaracter"/>
          </w:rPr>
          <w:t>137/2013</w:t>
        </w:r>
      </w:hyperlink>
      <w:r>
        <w:t>, f. 7.</w:t>
      </w:r>
    </w:p>
    <w:p w:rsidR="00E27756" w:rsidRDefault="00E27756" w:rsidP="00E27756">
      <w:pPr>
        <w:pStyle w:val="SangriaFrancesaArticulo"/>
      </w:pPr>
      <w:r w:rsidRPr="00E27756">
        <w:rPr>
          <w:rStyle w:val="TextoNormalNegritaCaracter"/>
        </w:rPr>
        <w:t>Artículo 28.3.</w:t>
      </w:r>
      <w:r w:rsidRPr="00E27756">
        <w:rPr>
          <w:rStyle w:val="TextoNormalCaracter"/>
        </w:rPr>
        <w:t>-</w:t>
      </w:r>
      <w:r>
        <w:t xml:space="preserve"> Sentencia </w:t>
      </w:r>
      <w:hyperlink w:anchor="SENTENCIA_2013_137" w:history="1">
        <w:r w:rsidRPr="00E27756">
          <w:rPr>
            <w:rStyle w:val="TextoNormalCaracter"/>
          </w:rPr>
          <w:t>137/2013</w:t>
        </w:r>
      </w:hyperlink>
      <w:r>
        <w:t>, ff. 1, 4, 7.</w:t>
      </w:r>
    </w:p>
    <w:p w:rsidR="00E27756" w:rsidRDefault="00E27756" w:rsidP="00E27756">
      <w:pPr>
        <w:pStyle w:val="SangriaFrancesaArticulo"/>
      </w:pPr>
      <w:r w:rsidRPr="00E27756">
        <w:rPr>
          <w:rStyle w:val="TextoNormalNegritaCaracter"/>
        </w:rPr>
        <w:t>Artículo 29.</w:t>
      </w:r>
      <w:r w:rsidRPr="00E27756">
        <w:rPr>
          <w:rStyle w:val="TextoNormalCaracter"/>
        </w:rPr>
        <w:t>-</w:t>
      </w:r>
      <w:r>
        <w:t xml:space="preserve"> Sentencia </w:t>
      </w:r>
      <w:hyperlink w:anchor="SENTENCIA_2013_137" w:history="1">
        <w:r w:rsidRPr="00E27756">
          <w:rPr>
            <w:rStyle w:val="TextoNormalCaracter"/>
          </w:rPr>
          <w:t>137/2013</w:t>
        </w:r>
      </w:hyperlink>
      <w:r>
        <w:t>, ff. 1, 5.</w:t>
      </w:r>
    </w:p>
    <w:p w:rsidR="00E27756" w:rsidRDefault="00E27756" w:rsidP="00E27756">
      <w:pPr>
        <w:pStyle w:val="SangriaFrancesaArticulo"/>
      </w:pPr>
      <w:r w:rsidRPr="00E27756">
        <w:rPr>
          <w:rStyle w:val="TextoNormalNegritaCaracter"/>
        </w:rPr>
        <w:t>Artículo 29.1.</w:t>
      </w:r>
      <w:r w:rsidRPr="00E27756">
        <w:rPr>
          <w:rStyle w:val="TextoNormalCaracter"/>
        </w:rPr>
        <w:t>-</w:t>
      </w:r>
      <w:r>
        <w:t xml:space="preserve"> Sentencia </w:t>
      </w:r>
      <w:hyperlink w:anchor="SENTENCIA_2013_137" w:history="1">
        <w:r w:rsidRPr="00E27756">
          <w:rPr>
            <w:rStyle w:val="TextoNormalCaracter"/>
          </w:rPr>
          <w:t>137/2013</w:t>
        </w:r>
      </w:hyperlink>
      <w:r>
        <w:t>, ff. 4, 5.</w:t>
      </w:r>
    </w:p>
    <w:p w:rsidR="00E27756" w:rsidRDefault="00E27756" w:rsidP="00E27756">
      <w:pPr>
        <w:pStyle w:val="SangriaFrancesaArticulo"/>
      </w:pPr>
      <w:r w:rsidRPr="00E27756">
        <w:rPr>
          <w:rStyle w:val="TextoNormalNegritaCaracter"/>
        </w:rPr>
        <w:t>Artículo 29.2.</w:t>
      </w:r>
      <w:r w:rsidRPr="00E27756">
        <w:rPr>
          <w:rStyle w:val="TextoNormalCaracter"/>
        </w:rPr>
        <w:t>-</w:t>
      </w:r>
      <w:r>
        <w:t xml:space="preserve"> Sentencia </w:t>
      </w:r>
      <w:hyperlink w:anchor="SENTENCIA_2013_137" w:history="1">
        <w:r w:rsidRPr="00E27756">
          <w:rPr>
            <w:rStyle w:val="TextoNormalCaracter"/>
          </w:rPr>
          <w:t>137/2013</w:t>
        </w:r>
      </w:hyperlink>
      <w:r>
        <w:t>, ff. 4, 5.</w:t>
      </w:r>
    </w:p>
    <w:p w:rsidR="00E27756" w:rsidRDefault="00E27756" w:rsidP="00E27756">
      <w:pPr>
        <w:pStyle w:val="SangriaFrancesaArticulo"/>
      </w:pPr>
      <w:r w:rsidRPr="00E27756">
        <w:rPr>
          <w:rStyle w:val="TextoNormalNegritaCaracter"/>
        </w:rPr>
        <w:t>Artículo 30.1.</w:t>
      </w:r>
      <w:r w:rsidRPr="00E27756">
        <w:rPr>
          <w:rStyle w:val="TextoNormalCaracter"/>
        </w:rPr>
        <w:t>-</w:t>
      </w:r>
      <w:r>
        <w:t xml:space="preserve"> Sentencia </w:t>
      </w:r>
      <w:hyperlink w:anchor="SENTENCIA_2013_137" w:history="1">
        <w:r w:rsidRPr="00E27756">
          <w:rPr>
            <w:rStyle w:val="TextoNormalCaracter"/>
          </w:rPr>
          <w:t>137/2013</w:t>
        </w:r>
      </w:hyperlink>
      <w:r>
        <w:t>, f. 4.</w:t>
      </w:r>
    </w:p>
    <w:p w:rsidR="00E27756" w:rsidRDefault="00E27756" w:rsidP="00E27756">
      <w:pPr>
        <w:pStyle w:val="SangriaFrancesaArticulo"/>
      </w:pPr>
      <w:r w:rsidRPr="00E27756">
        <w:rPr>
          <w:rStyle w:val="TextoNormalNegritaCaracter"/>
        </w:rPr>
        <w:t>Artículo 30.3 a).</w:t>
      </w:r>
      <w:r w:rsidRPr="00E27756">
        <w:rPr>
          <w:rStyle w:val="TextoNormalCaracter"/>
        </w:rPr>
        <w:t>-</w:t>
      </w:r>
      <w:r>
        <w:t xml:space="preserve"> Sentencia </w:t>
      </w:r>
      <w:hyperlink w:anchor="SENTENCIA_2013_137" w:history="1">
        <w:r w:rsidRPr="00E27756">
          <w:rPr>
            <w:rStyle w:val="TextoNormalCaracter"/>
          </w:rPr>
          <w:t>137/2013</w:t>
        </w:r>
      </w:hyperlink>
      <w:r>
        <w:t>, f. 4.</w:t>
      </w:r>
    </w:p>
    <w:p w:rsidR="00E27756" w:rsidRDefault="00E27756" w:rsidP="00E27756">
      <w:pPr>
        <w:pStyle w:val="SangriaFrancesaArticulo"/>
      </w:pPr>
      <w:r w:rsidRPr="00E27756">
        <w:rPr>
          <w:rStyle w:val="TextoNormalNegritaCaracter"/>
        </w:rPr>
        <w:t>Artículo 30.4.</w:t>
      </w:r>
      <w:r w:rsidRPr="00E27756">
        <w:rPr>
          <w:rStyle w:val="TextoNormalCaracter"/>
        </w:rPr>
        <w:t>-</w:t>
      </w:r>
      <w:r>
        <w:t xml:space="preserve"> Sentencia </w:t>
      </w:r>
      <w:hyperlink w:anchor="SENTENCIA_2013_137" w:history="1">
        <w:r w:rsidRPr="00E27756">
          <w:rPr>
            <w:rStyle w:val="TextoNormalCaracter"/>
          </w:rPr>
          <w:t>137/2013</w:t>
        </w:r>
      </w:hyperlink>
      <w:r>
        <w:t>, ff. 1, 4, 5.</w:t>
      </w:r>
    </w:p>
    <w:p w:rsidR="00E27756" w:rsidRDefault="00E27756" w:rsidP="00E27756">
      <w:pPr>
        <w:pStyle w:val="SangriaFrancesaArticulo"/>
      </w:pPr>
      <w:r w:rsidRPr="00E27756">
        <w:rPr>
          <w:rStyle w:val="TextoNormalNegritaCaracter"/>
        </w:rPr>
        <w:t>Artículo 30.5.</w:t>
      </w:r>
      <w:r w:rsidRPr="00E27756">
        <w:rPr>
          <w:rStyle w:val="TextoNormalCaracter"/>
        </w:rPr>
        <w:t>-</w:t>
      </w:r>
      <w:r>
        <w:t xml:space="preserve"> Sentencia </w:t>
      </w:r>
      <w:hyperlink w:anchor="SENTENCIA_2013_137" w:history="1">
        <w:r w:rsidRPr="00E27756">
          <w:rPr>
            <w:rStyle w:val="TextoNormalCaracter"/>
          </w:rPr>
          <w:t>137/2013</w:t>
        </w:r>
      </w:hyperlink>
      <w:r>
        <w:t>, f. 4.</w:t>
      </w:r>
    </w:p>
    <w:p w:rsidR="00E27756" w:rsidRDefault="00E27756" w:rsidP="00E27756">
      <w:pPr>
        <w:pStyle w:val="SangriaFrancesaArticulo"/>
      </w:pPr>
      <w:r w:rsidRPr="00E27756">
        <w:rPr>
          <w:rStyle w:val="TextoNormalNegritaCaracter"/>
        </w:rPr>
        <w:t>Artículo 31.2.</w:t>
      </w:r>
      <w:r w:rsidRPr="00E27756">
        <w:rPr>
          <w:rStyle w:val="TextoNormalCaracter"/>
        </w:rPr>
        <w:t>-</w:t>
      </w:r>
      <w:r>
        <w:t xml:space="preserve"> Sentencia </w:t>
      </w:r>
      <w:hyperlink w:anchor="SENTENCIA_2013_137" w:history="1">
        <w:r w:rsidRPr="00E27756">
          <w:rPr>
            <w:rStyle w:val="TextoNormalCaracter"/>
          </w:rPr>
          <w:t>137/2013</w:t>
        </w:r>
      </w:hyperlink>
      <w:r>
        <w:t>, ff. 1, 4, 6.</w:t>
      </w:r>
    </w:p>
    <w:p w:rsidR="00E27756" w:rsidRDefault="00E27756" w:rsidP="00E27756">
      <w:pPr>
        <w:pStyle w:val="SangriaFrancesaArticulo"/>
      </w:pPr>
      <w:r w:rsidRPr="00E27756">
        <w:rPr>
          <w:rStyle w:val="TextoNormalNegritaCaracter"/>
        </w:rPr>
        <w:lastRenderedPageBreak/>
        <w:t>Artículo 31.2 f).</w:t>
      </w:r>
      <w:r w:rsidRPr="00E27756">
        <w:rPr>
          <w:rStyle w:val="TextoNormalCaracter"/>
        </w:rPr>
        <w:t>-</w:t>
      </w:r>
      <w:r>
        <w:t xml:space="preserve"> Sentencia </w:t>
      </w:r>
      <w:hyperlink w:anchor="SENTENCIA_2013_137" w:history="1">
        <w:r w:rsidRPr="00E27756">
          <w:rPr>
            <w:rStyle w:val="TextoNormalCaracter"/>
          </w:rPr>
          <w:t>137/2013</w:t>
        </w:r>
      </w:hyperlink>
      <w:r>
        <w:t>, ff. 1, 6.</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137" w:history="1">
        <w:r w:rsidRPr="00E27756">
          <w:rPr>
            <w:rStyle w:val="TextoNormalCaracter"/>
          </w:rPr>
          <w:t>137/2013</w:t>
        </w:r>
      </w:hyperlink>
      <w:r>
        <w:t>, ff. 1, 4, 6.</w:t>
      </w:r>
    </w:p>
    <w:p w:rsidR="00E27756" w:rsidRDefault="00E27756" w:rsidP="00E27756">
      <w:pPr>
        <w:pStyle w:val="SangriaFrancesaArticulo"/>
      </w:pPr>
      <w:r w:rsidRPr="00E27756">
        <w:rPr>
          <w:rStyle w:val="TextoNormalNegritaCaracter"/>
        </w:rPr>
        <w:t>Artículo 47.4 s).</w:t>
      </w:r>
      <w:r w:rsidRPr="00E27756">
        <w:rPr>
          <w:rStyle w:val="TextoNormalCaracter"/>
        </w:rPr>
        <w:t>-</w:t>
      </w:r>
      <w:r>
        <w:t xml:space="preserve"> Sentencia </w:t>
      </w:r>
      <w:hyperlink w:anchor="SENTENCIA_2013_137" w:history="1">
        <w:r w:rsidRPr="00E27756">
          <w:rPr>
            <w:rStyle w:val="TextoNormalCaracter"/>
          </w:rPr>
          <w:t>137/2013</w:t>
        </w:r>
      </w:hyperlink>
      <w:r>
        <w:t>, f. 6.</w:t>
      </w:r>
    </w:p>
    <w:p w:rsidR="00E27756" w:rsidRDefault="00E27756" w:rsidP="00E27756">
      <w:pPr>
        <w:pStyle w:val="SangriaFrancesaArticulo"/>
      </w:pPr>
    </w:p>
    <w:p w:rsidR="00E27756" w:rsidRDefault="00E27756" w:rsidP="00E27756">
      <w:pPr>
        <w:pStyle w:val="TextoNormalNegritaCursivandice"/>
      </w:pPr>
      <w:r>
        <w:t>Ley Foral del Parlamento de Navarra 23/2001, de 27 de noviembre. Creación de un impuesto sobre los grandes establecimientos comerciales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6" w:history="1">
        <w:r w:rsidRPr="00E27756">
          <w:rPr>
            <w:rStyle w:val="TextoNormalCaracter"/>
          </w:rPr>
          <w:t>96/2013</w:t>
        </w:r>
      </w:hyperlink>
      <w:r>
        <w:t>, f. 10.</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96" w:history="1">
        <w:r w:rsidRPr="00E27756">
          <w:rPr>
            <w:rStyle w:val="TextoNormalCaracter"/>
          </w:rPr>
          <w:t>96/2013</w:t>
        </w:r>
      </w:hyperlink>
      <w:r>
        <w:t>, f. 12.</w:t>
      </w:r>
    </w:p>
    <w:p w:rsidR="00E27756" w:rsidRDefault="00E27756" w:rsidP="00E27756">
      <w:pPr>
        <w:pStyle w:val="SangriaFrancesaArticulo"/>
      </w:pPr>
    </w:p>
    <w:p w:rsidR="00E27756" w:rsidRDefault="00E27756" w:rsidP="00E27756">
      <w:pPr>
        <w:pStyle w:val="TextoNormalNegritaCursivandice"/>
      </w:pPr>
      <w:r>
        <w:t>Decreto Foral Legislativo del Gobierno de Navarra 250/2002, de 16 de diciembre. Aprueba el texto refundido de las disposiciones del impuesto sobre sucesiones y donaciones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93" w:history="1">
        <w:r w:rsidRPr="00E27756">
          <w:rPr>
            <w:rStyle w:val="TextoNormalCaracter"/>
          </w:rPr>
          <w:t>93/2013</w:t>
        </w:r>
      </w:hyperlink>
      <w:r>
        <w:t xml:space="preserve">, ff. 2, 13; </w:t>
      </w:r>
      <w:hyperlink w:anchor="SENTENCIA_2013_93" w:history="1">
        <w:r w:rsidRPr="00E27756">
          <w:rPr>
            <w:rStyle w:val="TextoNormalCaracter"/>
          </w:rPr>
          <w:t>93/2013</w:t>
        </w:r>
      </w:hyperlink>
      <w:r>
        <w:t>, ff. 2, 13.</w:t>
      </w:r>
    </w:p>
    <w:p w:rsidR="00E27756" w:rsidRDefault="00E27756" w:rsidP="00E27756">
      <w:pPr>
        <w:pStyle w:val="SangriaFrancesaArticulo"/>
      </w:pPr>
    </w:p>
    <w:p w:rsidR="00E27756" w:rsidRDefault="00E27756" w:rsidP="00E27756">
      <w:pPr>
        <w:pStyle w:val="TextoNormalNegritaCursivandice"/>
      </w:pPr>
      <w:r>
        <w:t>Ley Foral del Parlamento de Navarra 10/2003, de 5 de marzo. Régimen transitorio de los derechos pasivos del personal funcionario de los montepíos de las administraciones públicas de Navarra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 2.</w:t>
      </w:r>
    </w:p>
    <w:p w:rsidR="00E27756" w:rsidRDefault="00E27756" w:rsidP="00E27756">
      <w:pPr>
        <w:pStyle w:val="SangriaFrancesaArticulo"/>
      </w:pPr>
    </w:p>
    <w:p w:rsidR="00E27756" w:rsidRDefault="00E27756" w:rsidP="00E27756">
      <w:pPr>
        <w:pStyle w:val="TextoNormalNegritaCursivandice"/>
      </w:pPr>
      <w:r>
        <w:t>Decreto Foral Legislativo del Gobierno de Navarra 4/2008, de 2 de junio. Aprueba el texto refundido de la Ley Foral del impuesto sobre la renta de las personas físicas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ff. 2, 13.</w:t>
      </w:r>
    </w:p>
    <w:p w:rsidR="00E27756" w:rsidRDefault="00E27756" w:rsidP="00E27756">
      <w:pPr>
        <w:pStyle w:val="SangriaFrancesaArticulo"/>
      </w:pPr>
    </w:p>
    <w:p w:rsidR="00E27756" w:rsidRDefault="00E27756" w:rsidP="00E27756">
      <w:pPr>
        <w:pStyle w:val="TextoNormalNegritaCursivandice"/>
      </w:pPr>
      <w:r>
        <w:t>Ley Foral del Parlamento de Navarra 3/2011, de 17 de marzo. Custodia de los hijos en los casos de ruptura de la convivencia de los padres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 2.</w:t>
      </w:r>
    </w:p>
    <w:p w:rsidR="00E27756" w:rsidRDefault="00E27756" w:rsidP="00E27756">
      <w:pPr>
        <w:pStyle w:val="SangriaFrancesaArticulo"/>
      </w:pPr>
    </w:p>
    <w:p w:rsidR="00E27756" w:rsidRDefault="00E27756" w:rsidP="00E27756">
      <w:pPr>
        <w:pStyle w:val="TextoNormalNegritaCursivandice"/>
      </w:pPr>
      <w:r>
        <w:t>Ley Foral del Parlamento de Navarra 18/2012, de 19 de octubre. Complementación de las prestaciones farmacéuticas en la Comunidad Foral de Navarra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88" w:history="1">
        <w:r w:rsidRPr="00E27756">
          <w:rPr>
            <w:rStyle w:val="TextoNormalCaracter"/>
          </w:rPr>
          <w:t>88/2013</w:t>
        </w:r>
      </w:hyperlink>
      <w:r>
        <w:t>, f. 1.</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Auto </w:t>
      </w:r>
      <w:hyperlink w:anchor="AUTO_2013_88" w:history="1">
        <w:r w:rsidRPr="00E27756">
          <w:rPr>
            <w:rStyle w:val="TextoNormalCaracter"/>
          </w:rPr>
          <w:t>88/2013</w:t>
        </w:r>
      </w:hyperlink>
      <w:r>
        <w:t>, ff. 1, 4.</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Auto </w:t>
      </w:r>
      <w:hyperlink w:anchor="AUTO_2013_88" w:history="1">
        <w:r w:rsidRPr="00E27756">
          <w:rPr>
            <w:rStyle w:val="TextoNormalCaracter"/>
          </w:rPr>
          <w:t>88/2013</w:t>
        </w:r>
      </w:hyperlink>
      <w:r>
        <w:t>, ff. 1, 4.</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Auto </w:t>
      </w:r>
      <w:hyperlink w:anchor="AUTO_2013_88" w:history="1">
        <w:r w:rsidRPr="00E27756">
          <w:rPr>
            <w:rStyle w:val="TextoNormalCaracter"/>
          </w:rPr>
          <w:t>88/2013</w:t>
        </w:r>
      </w:hyperlink>
      <w:r>
        <w:t>, f. 4.</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Auto </w:t>
      </w:r>
      <w:hyperlink w:anchor="AUTO_2013_88" w:history="1">
        <w:r w:rsidRPr="00E27756">
          <w:rPr>
            <w:rStyle w:val="TextoNormalCaracter"/>
          </w:rPr>
          <w:t>88/2013</w:t>
        </w:r>
      </w:hyperlink>
      <w:r>
        <w:t>, f. 4.</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Auto </w:t>
      </w:r>
      <w:hyperlink w:anchor="AUTO_2013_88" w:history="1">
        <w:r w:rsidRPr="00E27756">
          <w:rPr>
            <w:rStyle w:val="TextoNormalCaracter"/>
          </w:rPr>
          <w:t>88/2013</w:t>
        </w:r>
      </w:hyperlink>
      <w:r>
        <w:t>, f. 4.</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Auto </w:t>
      </w:r>
      <w:hyperlink w:anchor="AUTO_2013_88" w:history="1">
        <w:r w:rsidRPr="00E27756">
          <w:rPr>
            <w:rStyle w:val="TextoNormalCaracter"/>
          </w:rPr>
          <w:t>88/2013</w:t>
        </w:r>
      </w:hyperlink>
      <w:r>
        <w:t>, f. 4.</w:t>
      </w:r>
    </w:p>
    <w:p w:rsidR="00E27756" w:rsidRDefault="00E27756" w:rsidP="00E27756">
      <w:pPr>
        <w:pStyle w:val="SangriaFrancesaArticulo"/>
      </w:pPr>
      <w:r w:rsidRPr="00E27756">
        <w:rPr>
          <w:rStyle w:val="TextoNormalNegritaCaracter"/>
        </w:rPr>
        <w:t>Artículo 5.</w:t>
      </w:r>
      <w:r w:rsidRPr="00E27756">
        <w:rPr>
          <w:rStyle w:val="TextoNormalCaracter"/>
        </w:rPr>
        <w:t>-</w:t>
      </w:r>
      <w:r>
        <w:t xml:space="preserve"> Auto </w:t>
      </w:r>
      <w:hyperlink w:anchor="AUTO_2013_88" w:history="1">
        <w:r w:rsidRPr="00E27756">
          <w:rPr>
            <w:rStyle w:val="TextoNormalCaracter"/>
          </w:rPr>
          <w:t>88/2013</w:t>
        </w:r>
      </w:hyperlink>
      <w:r>
        <w:t>, ff. 1, 4.</w:t>
      </w:r>
    </w:p>
    <w:p w:rsidR="00E27756" w:rsidRDefault="00E27756" w:rsidP="00E27756">
      <w:pPr>
        <w:pStyle w:val="SangriaFrancesaArticulo"/>
      </w:pPr>
      <w:r w:rsidRPr="00E27756">
        <w:rPr>
          <w:rStyle w:val="TextoNormalNegritaCaracter"/>
        </w:rPr>
        <w:t>Artículo 5.1.</w:t>
      </w:r>
      <w:r w:rsidRPr="00E27756">
        <w:rPr>
          <w:rStyle w:val="TextoNormalCaracter"/>
        </w:rPr>
        <w:t>-</w:t>
      </w:r>
      <w:r>
        <w:t xml:space="preserve"> Auto </w:t>
      </w:r>
      <w:hyperlink w:anchor="AUTO_2013_88" w:history="1">
        <w:r w:rsidRPr="00E27756">
          <w:rPr>
            <w:rStyle w:val="TextoNormalCaracter"/>
          </w:rPr>
          <w:t>88/2013</w:t>
        </w:r>
      </w:hyperlink>
      <w:r>
        <w:t>, f. 4.</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Auto </w:t>
      </w:r>
      <w:hyperlink w:anchor="AUTO_2013_88" w:history="1">
        <w:r w:rsidRPr="00E27756">
          <w:rPr>
            <w:rStyle w:val="TextoNormalCaracter"/>
          </w:rPr>
          <w:t>88/2013</w:t>
        </w:r>
      </w:hyperlink>
      <w:r>
        <w:t>, f. 4.</w:t>
      </w:r>
    </w:p>
    <w:p w:rsidR="00E27756" w:rsidRDefault="00E27756" w:rsidP="00E27756">
      <w:pPr>
        <w:pStyle w:val="SangriaFrancesaArticulo"/>
      </w:pPr>
      <w:r w:rsidRPr="00E27756">
        <w:rPr>
          <w:rStyle w:val="TextoNormalNegritaCaracter"/>
        </w:rPr>
        <w:t>Disposición adicional segunda.</w:t>
      </w:r>
      <w:r w:rsidRPr="00E27756">
        <w:rPr>
          <w:rStyle w:val="TextoNormalCaracter"/>
        </w:rPr>
        <w:t>-</w:t>
      </w:r>
      <w:r>
        <w:t xml:space="preserve"> Auto </w:t>
      </w:r>
      <w:hyperlink w:anchor="AUTO_2013_88" w:history="1">
        <w:r w:rsidRPr="00E27756">
          <w:rPr>
            <w:rStyle w:val="TextoNormalCaracter"/>
          </w:rPr>
          <w:t>88/2013</w:t>
        </w:r>
      </w:hyperlink>
      <w:r>
        <w:t>, f. 4.</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Auto </w:t>
      </w:r>
      <w:hyperlink w:anchor="AUTO_2013_88" w:history="1">
        <w:r w:rsidRPr="00E27756">
          <w:rPr>
            <w:rStyle w:val="TextoNormalCaracter"/>
          </w:rPr>
          <w:t>88/2013</w:t>
        </w:r>
      </w:hyperlink>
      <w:r>
        <w:t>, f. 1.</w:t>
      </w:r>
    </w:p>
    <w:p w:rsidR="00E27756" w:rsidRDefault="00E27756" w:rsidP="00E27756">
      <w:pPr>
        <w:pStyle w:val="SangriaFrancesaArticulo"/>
      </w:pPr>
      <w:r w:rsidRPr="00E27756">
        <w:rPr>
          <w:rStyle w:val="TextoNormalNegritaCaracter"/>
        </w:rPr>
        <w:t>Disposición final segunda.</w:t>
      </w:r>
      <w:r w:rsidRPr="00E27756">
        <w:rPr>
          <w:rStyle w:val="TextoNormalCaracter"/>
        </w:rPr>
        <w:t>-</w:t>
      </w:r>
      <w:r>
        <w:t xml:space="preserve"> Auto </w:t>
      </w:r>
      <w:hyperlink w:anchor="AUTO_2013_88" w:history="1">
        <w:r w:rsidRPr="00E27756">
          <w:rPr>
            <w:rStyle w:val="TextoNormalCaracter"/>
          </w:rPr>
          <w:t>88/2013</w:t>
        </w:r>
      </w:hyperlink>
      <w:r>
        <w:t>, f. 4.</w:t>
      </w:r>
    </w:p>
    <w:p w:rsidR="00E27756" w:rsidRDefault="00E27756" w:rsidP="00E27756">
      <w:pPr>
        <w:pStyle w:val="SangriaFrancesaArticulo"/>
      </w:pPr>
    </w:p>
    <w:p w:rsidR="00E27756" w:rsidRDefault="00E27756" w:rsidP="00E27756">
      <w:pPr>
        <w:pStyle w:val="TextoNormalNegritaCursivandice"/>
      </w:pPr>
      <w:r>
        <w:t>Ley Foral del Parlamento de Navarra 8/2013, de 25 de febrero. Reconoce a las personas residentes en Navarra el derecho de acceso a la asistencia sanitaria gratuita del sistema público sanitario de Navarra</w:t>
      </w:r>
    </w:p>
    <w:p w:rsidR="00E27756" w:rsidRDefault="00E27756" w:rsidP="00E27756">
      <w:pPr>
        <w:pStyle w:val="SangriaFrancesaArticulo"/>
      </w:pPr>
      <w:r w:rsidRPr="00E27756">
        <w:rPr>
          <w:rStyle w:val="TextoNormalNegritaCaracter"/>
        </w:rPr>
        <w:lastRenderedPageBreak/>
        <w:t>Disposición derogatoria.</w:t>
      </w:r>
      <w:r w:rsidRPr="00E27756">
        <w:rPr>
          <w:rStyle w:val="TextoNormalCaracter"/>
        </w:rPr>
        <w:t>-</w:t>
      </w:r>
      <w:r>
        <w:t xml:space="preserve"> Auto </w:t>
      </w:r>
      <w:hyperlink w:anchor="AUTO_2013_87" w:history="1">
        <w:r w:rsidRPr="00E27756">
          <w:rPr>
            <w:rStyle w:val="TextoNormalCaracter"/>
          </w:rPr>
          <w:t>87/2013</w:t>
        </w:r>
      </w:hyperlink>
      <w:r>
        <w:t>, f. único.</w:t>
      </w:r>
    </w:p>
    <w:p w:rsidR="00E27756" w:rsidRDefault="00E27756" w:rsidP="00E27756">
      <w:pPr>
        <w:pStyle w:val="TextoNormal"/>
      </w:pPr>
    </w:p>
    <w:p w:rsidR="00E27756" w:rsidRDefault="00E27756" w:rsidP="00E27756">
      <w:pPr>
        <w:pStyle w:val="TextoNormalNegritaCentradoSubrayado"/>
        <w:suppressAutoHyphens/>
      </w:pPr>
      <w:r>
        <w:t>J.15.c) Decretos y otras disposiciones reglamentarias</w:t>
      </w:r>
    </w:p>
    <w:p w:rsidR="00E27756" w:rsidRDefault="00E27756" w:rsidP="00E27756">
      <w:pPr>
        <w:pStyle w:val="TextoNormalNegritaCentradoSubrayado"/>
      </w:pPr>
    </w:p>
    <w:p w:rsidR="00E27756" w:rsidRDefault="00E27756" w:rsidP="00E27756">
      <w:pPr>
        <w:pStyle w:val="TextoNormalNegritaCursivandice"/>
      </w:pPr>
      <w:r>
        <w:t>Decreto foral 129/2003, de 26 de mayo. Establece el horario de atención al público, el servicio de guardia y el cierre temporal por vacaciones de las oficinas de farmacia</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137" w:history="1">
        <w:r w:rsidRPr="00E27756">
          <w:rPr>
            <w:rStyle w:val="TextoNormalCaracter"/>
          </w:rPr>
          <w:t>137/2013</w:t>
        </w:r>
      </w:hyperlink>
      <w:r>
        <w:t>, f. 6.</w:t>
      </w:r>
    </w:p>
    <w:p w:rsidR="00E27756" w:rsidRDefault="00E27756" w:rsidP="00E27756">
      <w:pPr>
        <w:pStyle w:val="SangriaFrancesaArticulo"/>
      </w:pPr>
    </w:p>
    <w:p w:rsidR="00E27756" w:rsidRDefault="00E27756" w:rsidP="00E27756">
      <w:pPr>
        <w:pStyle w:val="TextoNormalNegritaCursivandice"/>
      </w:pPr>
      <w:r>
        <w:t>Decreto Foral del Gobierno de Navarra 117/2012, de 31 de octubre. Modifica el Decreto Foral 640/1996, de 18 de noviembre, por el que se establecen el procedimiento y las condiciones para el acceso a las prestaciones del régimen de universalización de la asistencia sanitaria pública en la Comunidad Foral de Navarra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87" w:history="1">
        <w:r w:rsidRPr="00E27756">
          <w:rPr>
            <w:rStyle w:val="TextoNormalCaracter"/>
          </w:rPr>
          <w:t>87/2013</w:t>
        </w:r>
      </w:hyperlink>
      <w:r>
        <w:t>, f. único.</w:t>
      </w:r>
    </w:p>
    <w:p w:rsidR="00E27756" w:rsidRDefault="00E27756" w:rsidP="00E27756">
      <w:pPr>
        <w:pStyle w:val="TextoNormal"/>
      </w:pPr>
    </w:p>
    <w:p w:rsidR="00E27756" w:rsidRDefault="00E27756" w:rsidP="00E27756">
      <w:pPr>
        <w:pStyle w:val="TextoNormalNegritaCentradoSubrayado"/>
        <w:suppressAutoHyphens/>
      </w:pPr>
      <w:r>
        <w:t>J.15.d) Normas parlamentarias autonómicas</w:t>
      </w:r>
    </w:p>
    <w:p w:rsidR="00E27756" w:rsidRDefault="00E27756" w:rsidP="00E27756">
      <w:pPr>
        <w:pStyle w:val="TextoNormalNegritaCentradoSubrayado"/>
      </w:pPr>
    </w:p>
    <w:p w:rsidR="00E27756" w:rsidRDefault="00E27756" w:rsidP="00E27756">
      <w:pPr>
        <w:pStyle w:val="TextoNormalNegritaCursivandice"/>
      </w:pPr>
      <w:r>
        <w:t>Reglamento del Parlamento de Navarra, de 2 de febrero de 1995</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 4.</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J.16) País Vasco</w:t>
      </w:r>
    </w:p>
    <w:p w:rsidR="00E27756" w:rsidRDefault="00E27756" w:rsidP="00E27756">
      <w:pPr>
        <w:pStyle w:val="TextoNormal"/>
      </w:pPr>
    </w:p>
    <w:p w:rsidR="00E27756" w:rsidRDefault="00E27756" w:rsidP="00E27756">
      <w:pPr>
        <w:pStyle w:val="TextoNormalNegritaCentradoSubrayado"/>
        <w:suppressAutoHyphens/>
      </w:pPr>
      <w:r>
        <w:t>J.16.a) Estatuto de Autonomía</w:t>
      </w:r>
    </w:p>
    <w:p w:rsidR="00E27756" w:rsidRDefault="00E27756" w:rsidP="00E27756">
      <w:pPr>
        <w:pStyle w:val="TextoNormalNegritaCentradoSubrayado"/>
      </w:pPr>
    </w:p>
    <w:p w:rsidR="00E27756" w:rsidRDefault="00E27756" w:rsidP="00E27756">
      <w:pPr>
        <w:pStyle w:val="TextoNormalNegritaCursivandice"/>
      </w:pPr>
      <w:r>
        <w:t>Ley Orgánica 3/1979, de 18 de diciembre. Estatuto de Autonomía del País Vasco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5" w:history="1">
        <w:r w:rsidRPr="00E27756">
          <w:rPr>
            <w:rStyle w:val="TextoNormalCaracter"/>
          </w:rPr>
          <w:t>85/2013</w:t>
        </w:r>
      </w:hyperlink>
      <w:r>
        <w:t>, f. 5.</w:t>
      </w:r>
    </w:p>
    <w:p w:rsidR="00E27756" w:rsidRDefault="00E27756" w:rsidP="00E27756">
      <w:pPr>
        <w:pStyle w:val="SangriaFrancesaArticulo"/>
      </w:pPr>
      <w:r w:rsidRPr="00E27756">
        <w:rPr>
          <w:rStyle w:val="TextoNormalNegritaCaracter"/>
        </w:rPr>
        <w:t>Artículo 10.11.</w:t>
      </w:r>
      <w:r w:rsidRPr="00E27756">
        <w:rPr>
          <w:rStyle w:val="TextoNormalCaracter"/>
        </w:rPr>
        <w:t>-</w:t>
      </w:r>
      <w:r>
        <w:t xml:space="preserve"> Sentencia </w:t>
      </w:r>
      <w:hyperlink w:anchor="SENTENCIA_2013_85" w:history="1">
        <w:r w:rsidRPr="00E27756">
          <w:rPr>
            <w:rStyle w:val="TextoNormalCaracter"/>
          </w:rPr>
          <w:t>85/2013</w:t>
        </w:r>
      </w:hyperlink>
      <w:r>
        <w:t>, f. 5.</w:t>
      </w:r>
    </w:p>
    <w:p w:rsidR="00E27756" w:rsidRDefault="00E27756" w:rsidP="00E27756">
      <w:pPr>
        <w:pStyle w:val="SangriaFrancesaArticulo"/>
      </w:pPr>
      <w:r w:rsidRPr="00E27756">
        <w:rPr>
          <w:rStyle w:val="TextoNormalNegritaCaracter"/>
        </w:rPr>
        <w:t>Artículo 11.1 a).</w:t>
      </w:r>
      <w:r w:rsidRPr="00E27756">
        <w:rPr>
          <w:rStyle w:val="TextoNormalCaracter"/>
        </w:rPr>
        <w:t>-</w:t>
      </w:r>
      <w:r>
        <w:t xml:space="preserve"> Sentencia </w:t>
      </w:r>
      <w:hyperlink w:anchor="SENTENCIA_2013_85" w:history="1">
        <w:r w:rsidRPr="00E27756">
          <w:rPr>
            <w:rStyle w:val="TextoNormalCaracter"/>
          </w:rPr>
          <w:t>85/2013</w:t>
        </w:r>
      </w:hyperlink>
      <w:r>
        <w:t>, f. 5.</w:t>
      </w:r>
    </w:p>
    <w:p w:rsidR="00E27756" w:rsidRDefault="00E27756" w:rsidP="00E27756">
      <w:pPr>
        <w:pStyle w:val="SangriaFrancesaArticulo"/>
      </w:pPr>
      <w:r w:rsidRPr="00E27756">
        <w:rPr>
          <w:rStyle w:val="TextoNormalNegritaCaracter"/>
        </w:rPr>
        <w:t>Artículo 39.</w:t>
      </w:r>
      <w:r w:rsidRPr="00E27756">
        <w:rPr>
          <w:rStyle w:val="TextoNormalCaracter"/>
        </w:rPr>
        <w:t>-</w:t>
      </w:r>
      <w:r>
        <w:t xml:space="preserve"> Sentencia </w:t>
      </w:r>
      <w:hyperlink w:anchor="SENTENCIA_2013_85" w:history="1">
        <w:r w:rsidRPr="00E27756">
          <w:rPr>
            <w:rStyle w:val="TextoNormalCaracter"/>
          </w:rPr>
          <w:t>85/2013</w:t>
        </w:r>
      </w:hyperlink>
      <w:r>
        <w:t>, VP.</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85" w:history="1">
        <w:r w:rsidRPr="00E27756">
          <w:rPr>
            <w:rStyle w:val="TextoNormalCaracter"/>
          </w:rPr>
          <w:t>85/2013</w:t>
        </w:r>
      </w:hyperlink>
      <w:r>
        <w:t>, VP.</w:t>
      </w:r>
    </w:p>
    <w:p w:rsidR="00E27756" w:rsidRDefault="00E27756" w:rsidP="00E27756">
      <w:pPr>
        <w:pStyle w:val="SangriaFrancesaArticulo"/>
      </w:pPr>
      <w:r w:rsidRPr="00E27756">
        <w:rPr>
          <w:rStyle w:val="TextoNormalNegritaCaracter"/>
        </w:rPr>
        <w:t>Artículo 41.2 a).</w:t>
      </w:r>
      <w:r w:rsidRPr="00E27756">
        <w:rPr>
          <w:rStyle w:val="TextoNormalCaracter"/>
        </w:rPr>
        <w:t>-</w:t>
      </w:r>
      <w:r>
        <w:t xml:space="preserve"> Sentencia </w:t>
      </w:r>
      <w:hyperlink w:anchor="SENTENCIA_2013_85" w:history="1">
        <w:r w:rsidRPr="00E27756">
          <w:rPr>
            <w:rStyle w:val="TextoNormalCaracter"/>
          </w:rPr>
          <w:t>85/2013</w:t>
        </w:r>
      </w:hyperlink>
      <w:r>
        <w:t>, f. 5, VP.</w:t>
      </w:r>
    </w:p>
    <w:p w:rsidR="00E27756" w:rsidRDefault="00E27756" w:rsidP="00E27756">
      <w:pPr>
        <w:pStyle w:val="SangriaFrancesaArticulo"/>
      </w:pPr>
      <w:r w:rsidRPr="00E27756">
        <w:rPr>
          <w:rStyle w:val="TextoNormalNegritaCaracter"/>
        </w:rPr>
        <w:t>Artículo 42 b).</w:t>
      </w:r>
      <w:r w:rsidRPr="00E27756">
        <w:rPr>
          <w:rStyle w:val="TextoNormalCaracter"/>
        </w:rPr>
        <w:t>-</w:t>
      </w:r>
      <w:r>
        <w:t xml:space="preserve"> Sentencia </w:t>
      </w:r>
      <w:hyperlink w:anchor="SENTENCIA_2013_85" w:history="1">
        <w:r w:rsidRPr="00E27756">
          <w:rPr>
            <w:rStyle w:val="TextoNormalCaracter"/>
          </w:rPr>
          <w:t>85/2013</w:t>
        </w:r>
      </w:hyperlink>
      <w:r>
        <w:t>, ff. 3, 5.</w:t>
      </w:r>
    </w:p>
    <w:p w:rsidR="00E27756" w:rsidRDefault="00E27756" w:rsidP="00E27756">
      <w:pPr>
        <w:pStyle w:val="TextoNormal"/>
      </w:pPr>
    </w:p>
    <w:p w:rsidR="00E27756" w:rsidRDefault="00E27756" w:rsidP="00E27756">
      <w:pPr>
        <w:pStyle w:val="TextoNormalNegritaCentradoSubrayado"/>
        <w:suppressAutoHyphens/>
      </w:pPr>
      <w:r>
        <w:t>J.16.b) Leyes y disposiciones con fuerza de Ley</w:t>
      </w:r>
    </w:p>
    <w:p w:rsidR="00E27756" w:rsidRDefault="00E27756" w:rsidP="00E27756">
      <w:pPr>
        <w:pStyle w:val="TextoNormalNegritaCentradoSubrayado"/>
      </w:pPr>
    </w:p>
    <w:p w:rsidR="00E27756" w:rsidRDefault="00E27756" w:rsidP="00E27756">
      <w:pPr>
        <w:pStyle w:val="TextoNormalNegritaCursivandice"/>
      </w:pPr>
      <w:r>
        <w:t>Ley del Parlamento Vasco 27/1983, de 25 de noviembre. Relaciones entre las instituciones comunes de la Comunidad Autónoma y los órganos forales de sus territorios históricos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5" w:history="1">
        <w:r w:rsidRPr="00E27756">
          <w:rPr>
            <w:rStyle w:val="TextoNormalCaracter"/>
          </w:rPr>
          <w:t>85/2013</w:t>
        </w:r>
      </w:hyperlink>
      <w:r>
        <w:t>, f. 5, VP.</w:t>
      </w:r>
    </w:p>
    <w:p w:rsidR="00E27756" w:rsidRDefault="00E27756" w:rsidP="00E27756">
      <w:pPr>
        <w:pStyle w:val="SangriaFrancesaArticulo"/>
      </w:pPr>
      <w:r w:rsidRPr="00E27756">
        <w:rPr>
          <w:rStyle w:val="TextoNormalNegritaCaracter"/>
        </w:rPr>
        <w:t>Artículo 14.3.</w:t>
      </w:r>
      <w:r w:rsidRPr="00E27756">
        <w:rPr>
          <w:rStyle w:val="TextoNormalCaracter"/>
        </w:rPr>
        <w:t>-</w:t>
      </w:r>
      <w:r>
        <w:t xml:space="preserve"> Sentencia </w:t>
      </w:r>
      <w:hyperlink w:anchor="SENTENCIA_2013_85" w:history="1">
        <w:r w:rsidRPr="00E27756">
          <w:rPr>
            <w:rStyle w:val="TextoNormalCaracter"/>
          </w:rPr>
          <w:t>85/2013</w:t>
        </w:r>
      </w:hyperlink>
      <w:r>
        <w:t>, f. 5.</w:t>
      </w:r>
    </w:p>
    <w:p w:rsidR="00E27756" w:rsidRDefault="00E27756" w:rsidP="00E27756">
      <w:pPr>
        <w:pStyle w:val="SangriaFrancesaArticulo"/>
      </w:pPr>
    </w:p>
    <w:p w:rsidR="00E27756" w:rsidRDefault="00E27756" w:rsidP="00E27756">
      <w:pPr>
        <w:pStyle w:val="TextoNormalNegritaCursivandice"/>
      </w:pPr>
      <w:r>
        <w:t>Ley del Parlamento Vasco 3/1989, de 30 de mayo.  Armonización, coordinación y colaboración fiscal</w:t>
      </w:r>
    </w:p>
    <w:p w:rsidR="00E27756" w:rsidRDefault="00E27756" w:rsidP="00E27756">
      <w:pPr>
        <w:pStyle w:val="SangriaFrancesaArticulo"/>
      </w:pPr>
      <w:r w:rsidRPr="00E27756">
        <w:rPr>
          <w:rStyle w:val="TextoNormalNegritaCaracter"/>
        </w:rPr>
        <w:lastRenderedPageBreak/>
        <w:t>En general.</w:t>
      </w:r>
      <w:r w:rsidRPr="00E27756">
        <w:rPr>
          <w:rStyle w:val="TextoNormalCaracter"/>
        </w:rPr>
        <w:t>-</w:t>
      </w:r>
      <w:r>
        <w:t xml:space="preserve"> Sentencia </w:t>
      </w:r>
      <w:hyperlink w:anchor="SENTENCIA_2013_85" w:history="1">
        <w:r w:rsidRPr="00E27756">
          <w:rPr>
            <w:rStyle w:val="TextoNormalCaracter"/>
          </w:rPr>
          <w:t>85/2013</w:t>
        </w:r>
      </w:hyperlink>
      <w:r>
        <w:t>, f. 5, VP.</w:t>
      </w:r>
    </w:p>
    <w:p w:rsidR="00E27756" w:rsidRDefault="00E27756" w:rsidP="00E27756">
      <w:pPr>
        <w:pStyle w:val="SangriaFrancesaArticulo"/>
      </w:pPr>
      <w:r w:rsidRPr="00E27756">
        <w:rPr>
          <w:rStyle w:val="TextoNormalNegritaCaracter"/>
        </w:rPr>
        <w:t>Artículo 1 a).</w:t>
      </w:r>
      <w:r w:rsidRPr="00E27756">
        <w:rPr>
          <w:rStyle w:val="TextoNormalCaracter"/>
        </w:rPr>
        <w:t>-</w:t>
      </w:r>
      <w:r>
        <w:t xml:space="preserve"> Sentencia </w:t>
      </w:r>
      <w:hyperlink w:anchor="SENTENCIA_2013_85" w:history="1">
        <w:r w:rsidRPr="00E27756">
          <w:rPr>
            <w:rStyle w:val="TextoNormalCaracter"/>
          </w:rPr>
          <w:t>85/2013</w:t>
        </w:r>
      </w:hyperlink>
      <w:r>
        <w:t>, f. 5.</w:t>
      </w:r>
    </w:p>
    <w:p w:rsidR="00E27756" w:rsidRDefault="00E27756" w:rsidP="00E27756">
      <w:pPr>
        <w:pStyle w:val="SangriaFrancesaArticulo"/>
      </w:pPr>
      <w:r w:rsidRPr="00E27756">
        <w:rPr>
          <w:rStyle w:val="TextoNormalNegritaCaracter"/>
        </w:rPr>
        <w:t>Artículo 7 a) 5.</w:t>
      </w:r>
      <w:r w:rsidRPr="00E27756">
        <w:rPr>
          <w:rStyle w:val="TextoNormalCaracter"/>
        </w:rPr>
        <w:t>-</w:t>
      </w:r>
      <w:r>
        <w:t xml:space="preserve"> Sentencia </w:t>
      </w:r>
      <w:hyperlink w:anchor="SENTENCIA_2013_85" w:history="1">
        <w:r w:rsidRPr="00E27756">
          <w:rPr>
            <w:rStyle w:val="TextoNormalCaracter"/>
          </w:rPr>
          <w:t>85/2013</w:t>
        </w:r>
      </w:hyperlink>
      <w:r>
        <w:t>, f. 5, VP.</w:t>
      </w:r>
    </w:p>
    <w:p w:rsidR="00E27756" w:rsidRDefault="00E27756" w:rsidP="00E27756">
      <w:pPr>
        <w:pStyle w:val="SangriaFrancesaArticulo"/>
      </w:pPr>
      <w:r w:rsidRPr="00E27756">
        <w:rPr>
          <w:rStyle w:val="TextoNormalNegritaCaracter"/>
        </w:rPr>
        <w:t>Artículo 41.4.</w:t>
      </w:r>
      <w:r w:rsidRPr="00E27756">
        <w:rPr>
          <w:rStyle w:val="TextoNormalCaracter"/>
        </w:rPr>
        <w:t>-</w:t>
      </w:r>
      <w:r>
        <w:t xml:space="preserve"> Sentencia </w:t>
      </w:r>
      <w:hyperlink w:anchor="SENTENCIA_2013_85" w:history="1">
        <w:r w:rsidRPr="00E27756">
          <w:rPr>
            <w:rStyle w:val="TextoNormalCaracter"/>
          </w:rPr>
          <w:t>85/2013</w:t>
        </w:r>
      </w:hyperlink>
      <w:r>
        <w:t>, f. 5.</w:t>
      </w:r>
    </w:p>
    <w:p w:rsidR="00E27756" w:rsidRDefault="00E27756" w:rsidP="00E27756">
      <w:pPr>
        <w:pStyle w:val="SangriaFrancesaArticulo"/>
      </w:pPr>
    </w:p>
    <w:p w:rsidR="00E27756" w:rsidRDefault="00E27756" w:rsidP="00E27756">
      <w:pPr>
        <w:pStyle w:val="TextoNormalNegritaCursivandice"/>
      </w:pPr>
      <w:r>
        <w:t>Ley del Parlamento Vasco 2/1993, de 19 de febrero. Cuerpos docentes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5" w:history="1">
        <w:r w:rsidRPr="00E27756">
          <w:rPr>
            <w:rStyle w:val="TextoNormalCaracter"/>
          </w:rPr>
          <w:t>85/2013</w:t>
        </w:r>
      </w:hyperlink>
      <w:r>
        <w:t>, f. 5.</w:t>
      </w:r>
    </w:p>
    <w:p w:rsidR="00E27756" w:rsidRDefault="00E27756" w:rsidP="00E27756">
      <w:pPr>
        <w:pStyle w:val="SangriaFrancesaArticulo"/>
      </w:pPr>
    </w:p>
    <w:p w:rsidR="00E27756" w:rsidRDefault="00E27756" w:rsidP="00E27756">
      <w:pPr>
        <w:pStyle w:val="TextoNormalNegritaCursivandice"/>
      </w:pPr>
      <w:r>
        <w:t>Ley del Parlamento Vasco 3/1998, de 27 de febrero. Protección del medio ambiente</w:t>
      </w:r>
    </w:p>
    <w:p w:rsidR="00E27756" w:rsidRDefault="00E27756" w:rsidP="00E27756">
      <w:pPr>
        <w:pStyle w:val="SangriaFrancesaArticulo"/>
      </w:pPr>
      <w:r w:rsidRPr="00E27756">
        <w:rPr>
          <w:rStyle w:val="TextoNormalNegritaCaracter"/>
        </w:rPr>
        <w:t>Artículo 55.</w:t>
      </w:r>
      <w:r w:rsidRPr="00E27756">
        <w:rPr>
          <w:rStyle w:val="TextoNormalCaracter"/>
        </w:rPr>
        <w:t>-</w:t>
      </w:r>
      <w:r>
        <w:t xml:space="preserve"> Auto </w:t>
      </w:r>
      <w:hyperlink w:anchor="AUTO_2013_23" w:history="1">
        <w:r w:rsidRPr="00E27756">
          <w:rPr>
            <w:rStyle w:val="TextoNormalCaracter"/>
          </w:rPr>
          <w:t>23/2013</w:t>
        </w:r>
      </w:hyperlink>
      <w:r>
        <w:t>, f. 3.</w:t>
      </w:r>
    </w:p>
    <w:p w:rsidR="00E27756" w:rsidRDefault="00E27756" w:rsidP="00E27756">
      <w:pPr>
        <w:pStyle w:val="SangriaFrancesaArticulo"/>
      </w:pPr>
      <w:r w:rsidRPr="00E27756">
        <w:rPr>
          <w:rStyle w:val="TextoNormalNegritaCaracter"/>
        </w:rPr>
        <w:t>Artículo 55 redactado por la Ley 7/2012.</w:t>
      </w:r>
      <w:r w:rsidRPr="00E27756">
        <w:rPr>
          <w:rStyle w:val="TextoNormalCaracter"/>
        </w:rPr>
        <w:t>-</w:t>
      </w:r>
      <w:r>
        <w:t xml:space="preserve"> Auto </w:t>
      </w:r>
      <w:hyperlink w:anchor="AUTO_2013_23" w:history="1">
        <w:r w:rsidRPr="00E27756">
          <w:rPr>
            <w:rStyle w:val="TextoNormalCaracter"/>
          </w:rPr>
          <w:t>23/2013</w:t>
        </w:r>
      </w:hyperlink>
      <w:r>
        <w:t>, f. 3.</w:t>
      </w:r>
    </w:p>
    <w:p w:rsidR="00E27756" w:rsidRDefault="00E27756" w:rsidP="00E27756">
      <w:pPr>
        <w:pStyle w:val="SangriaFrancesaArticulo"/>
      </w:pPr>
      <w:r w:rsidRPr="00E27756">
        <w:rPr>
          <w:rStyle w:val="TextoNormalNegritaCaracter"/>
        </w:rPr>
        <w:t>Artículo 55.1.</w:t>
      </w:r>
      <w:r w:rsidRPr="00E27756">
        <w:rPr>
          <w:rStyle w:val="TextoNormalCaracter"/>
        </w:rPr>
        <w:t>-</w:t>
      </w:r>
      <w:r>
        <w:t xml:space="preserve"> Auto </w:t>
      </w:r>
      <w:hyperlink w:anchor="AUTO_2013_23" w:history="1">
        <w:r w:rsidRPr="00E27756">
          <w:rPr>
            <w:rStyle w:val="TextoNormalCaracter"/>
          </w:rPr>
          <w:t>23/2013</w:t>
        </w:r>
      </w:hyperlink>
      <w:r>
        <w:t>, ff. 1 a 3, 5.</w:t>
      </w:r>
    </w:p>
    <w:p w:rsidR="00E27756" w:rsidRDefault="00E27756" w:rsidP="00E27756">
      <w:pPr>
        <w:pStyle w:val="SangriaFrancesaArticulo"/>
      </w:pPr>
      <w:r w:rsidRPr="00E27756">
        <w:rPr>
          <w:rStyle w:val="TextoNormalNegritaCaracter"/>
        </w:rPr>
        <w:t>Artículo 55.1 redactado por la Ley 7/2012.</w:t>
      </w:r>
      <w:r w:rsidRPr="00E27756">
        <w:rPr>
          <w:rStyle w:val="TextoNormalCaracter"/>
        </w:rPr>
        <w:t>-</w:t>
      </w:r>
      <w:r>
        <w:t xml:space="preserve"> Auto </w:t>
      </w:r>
      <w:hyperlink w:anchor="AUTO_2013_23" w:history="1">
        <w:r w:rsidRPr="00E27756">
          <w:rPr>
            <w:rStyle w:val="TextoNormalCaracter"/>
          </w:rPr>
          <w:t>23/2013</w:t>
        </w:r>
      </w:hyperlink>
      <w:r>
        <w:t>, ff. 1 a 3, 5.</w:t>
      </w:r>
    </w:p>
    <w:p w:rsidR="00E27756" w:rsidRDefault="00E27756" w:rsidP="00E27756">
      <w:pPr>
        <w:pStyle w:val="SangriaFrancesaArticulo"/>
      </w:pPr>
      <w:r w:rsidRPr="00E27756">
        <w:rPr>
          <w:rStyle w:val="TextoNormalNegritaCaracter"/>
        </w:rPr>
        <w:t>Artículo 60.</w:t>
      </w:r>
      <w:r w:rsidRPr="00E27756">
        <w:rPr>
          <w:rStyle w:val="TextoNormalCaracter"/>
        </w:rPr>
        <w:t>-</w:t>
      </w:r>
      <w:r>
        <w:t xml:space="preserve"> Auto </w:t>
      </w:r>
      <w:hyperlink w:anchor="AUTO_2013_23" w:history="1">
        <w:r w:rsidRPr="00E27756">
          <w:rPr>
            <w:rStyle w:val="TextoNormalCaracter"/>
          </w:rPr>
          <w:t>23/2013</w:t>
        </w:r>
      </w:hyperlink>
      <w:r>
        <w:t>, f. 5.</w:t>
      </w:r>
    </w:p>
    <w:p w:rsidR="00E27756" w:rsidRDefault="00E27756" w:rsidP="00E27756">
      <w:pPr>
        <w:pStyle w:val="SangriaFrancesaArticulo"/>
      </w:pPr>
      <w:r w:rsidRPr="00E27756">
        <w:rPr>
          <w:rStyle w:val="TextoNormalNegritaCaracter"/>
        </w:rPr>
        <w:t>Anexo II.</w:t>
      </w:r>
      <w:r w:rsidRPr="00E27756">
        <w:rPr>
          <w:rStyle w:val="TextoNormalCaracter"/>
        </w:rPr>
        <w:t>-</w:t>
      </w:r>
      <w:r>
        <w:t xml:space="preserve"> Auto </w:t>
      </w:r>
      <w:hyperlink w:anchor="AUTO_2013_23" w:history="1">
        <w:r w:rsidRPr="00E27756">
          <w:rPr>
            <w:rStyle w:val="TextoNormalCaracter"/>
          </w:rPr>
          <w:t>23/2013</w:t>
        </w:r>
      </w:hyperlink>
      <w:r>
        <w:t>, f. 3.</w:t>
      </w:r>
    </w:p>
    <w:p w:rsidR="00E27756" w:rsidRDefault="00E27756" w:rsidP="00E27756">
      <w:pPr>
        <w:pStyle w:val="SangriaFrancesaArticulo"/>
      </w:pPr>
      <w:r w:rsidRPr="00E27756">
        <w:rPr>
          <w:rStyle w:val="TextoNormalNegritaCaracter"/>
        </w:rPr>
        <w:t>Anexo II J).</w:t>
      </w:r>
      <w:r w:rsidRPr="00E27756">
        <w:rPr>
          <w:rStyle w:val="TextoNormalCaracter"/>
        </w:rPr>
        <w:t>-</w:t>
      </w:r>
      <w:r>
        <w:t xml:space="preserve"> Auto </w:t>
      </w:r>
      <w:hyperlink w:anchor="AUTO_2013_23" w:history="1">
        <w:r w:rsidRPr="00E27756">
          <w:rPr>
            <w:rStyle w:val="TextoNormalCaracter"/>
          </w:rPr>
          <w:t>23/2013</w:t>
        </w:r>
      </w:hyperlink>
      <w:r>
        <w:t>, ff. 1 a 3, 5.</w:t>
      </w:r>
    </w:p>
    <w:p w:rsidR="00E27756" w:rsidRDefault="00E27756" w:rsidP="00E27756">
      <w:pPr>
        <w:pStyle w:val="SangriaFrancesaArticulo"/>
      </w:pPr>
      <w:r w:rsidRPr="00E27756">
        <w:rPr>
          <w:rStyle w:val="TextoNormalNegritaCaracter"/>
        </w:rPr>
        <w:t>Anexo II redactado por la Ley 7/2012.</w:t>
      </w:r>
      <w:r w:rsidRPr="00E27756">
        <w:rPr>
          <w:rStyle w:val="TextoNormalCaracter"/>
        </w:rPr>
        <w:t>-</w:t>
      </w:r>
      <w:r>
        <w:t xml:space="preserve"> Auto </w:t>
      </w:r>
      <w:hyperlink w:anchor="AUTO_2013_23" w:history="1">
        <w:r w:rsidRPr="00E27756">
          <w:rPr>
            <w:rStyle w:val="TextoNormalCaracter"/>
          </w:rPr>
          <w:t>23/2013</w:t>
        </w:r>
      </w:hyperlink>
      <w:r>
        <w:t>, f. 3.</w:t>
      </w:r>
    </w:p>
    <w:p w:rsidR="00E27756" w:rsidRDefault="00E27756" w:rsidP="00E27756">
      <w:pPr>
        <w:pStyle w:val="SangriaFrancesaArticulo"/>
      </w:pPr>
      <w:r w:rsidRPr="00E27756">
        <w:rPr>
          <w:rStyle w:val="TextoNormalNegritaCaracter"/>
        </w:rPr>
        <w:t>Anexo II. J redactado por la Ley 7/2012.</w:t>
      </w:r>
      <w:r w:rsidRPr="00E27756">
        <w:rPr>
          <w:rStyle w:val="TextoNormalCaracter"/>
        </w:rPr>
        <w:t>-</w:t>
      </w:r>
      <w:r>
        <w:t xml:space="preserve"> Auto </w:t>
      </w:r>
      <w:hyperlink w:anchor="AUTO_2013_23" w:history="1">
        <w:r w:rsidRPr="00E27756">
          <w:rPr>
            <w:rStyle w:val="TextoNormalCaracter"/>
          </w:rPr>
          <w:t>23/2013</w:t>
        </w:r>
      </w:hyperlink>
      <w:r>
        <w:t>, ff. 1 a 3, 5.</w:t>
      </w:r>
    </w:p>
    <w:p w:rsidR="00E27756" w:rsidRDefault="00E27756" w:rsidP="00E27756">
      <w:pPr>
        <w:pStyle w:val="SangriaFrancesaArticulo"/>
      </w:pPr>
    </w:p>
    <w:p w:rsidR="00E27756" w:rsidRDefault="00E27756" w:rsidP="00E27756">
      <w:pPr>
        <w:pStyle w:val="TextoNormalNegritaCursivandice"/>
      </w:pPr>
      <w:r>
        <w:t>Ley del Parlamento Vasco 1/2006, de 23 de junio.  Aguas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5" w:history="1">
        <w:r w:rsidRPr="00E27756">
          <w:rPr>
            <w:rStyle w:val="TextoNormalCaracter"/>
          </w:rPr>
          <w:t>85/2013</w:t>
        </w:r>
      </w:hyperlink>
      <w:r>
        <w:t>, ff. 2 a 6, VP.</w:t>
      </w:r>
    </w:p>
    <w:p w:rsidR="00E27756" w:rsidRDefault="00E27756" w:rsidP="00E27756">
      <w:pPr>
        <w:pStyle w:val="SangriaFrancesaArticulo"/>
      </w:pPr>
      <w:r w:rsidRPr="00E27756">
        <w:rPr>
          <w:rStyle w:val="TextoNormalNegritaCaracter"/>
        </w:rPr>
        <w:t>Exposición de motivos.</w:t>
      </w:r>
      <w:r w:rsidRPr="00E27756">
        <w:rPr>
          <w:rStyle w:val="TextoNormalCaracter"/>
        </w:rPr>
        <w:t>-</w:t>
      </w:r>
      <w:r>
        <w:t xml:space="preserve"> Sentencia </w:t>
      </w:r>
      <w:hyperlink w:anchor="SENTENCIA_2013_85" w:history="1">
        <w:r w:rsidRPr="00E27756">
          <w:rPr>
            <w:rStyle w:val="TextoNormalCaracter"/>
          </w:rPr>
          <w:t>85/2013</w:t>
        </w:r>
      </w:hyperlink>
      <w:r>
        <w:t>, f. 5, VP.</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85" w:history="1">
        <w:r w:rsidRPr="00E27756">
          <w:rPr>
            <w:rStyle w:val="TextoNormalCaracter"/>
          </w:rPr>
          <w:t>85/2013</w:t>
        </w:r>
      </w:hyperlink>
      <w:r>
        <w:t>, f. 5.</w:t>
      </w:r>
    </w:p>
    <w:p w:rsidR="00E27756" w:rsidRDefault="00E27756" w:rsidP="00E27756">
      <w:pPr>
        <w:pStyle w:val="SangriaFrancesaArticulo"/>
      </w:pPr>
      <w:r w:rsidRPr="00E27756">
        <w:rPr>
          <w:rStyle w:val="TextoNormalNegritaCaracter"/>
        </w:rPr>
        <w:t>Artículo 1 c).</w:t>
      </w:r>
      <w:r w:rsidRPr="00E27756">
        <w:rPr>
          <w:rStyle w:val="TextoNormalCaracter"/>
        </w:rPr>
        <w:t>-</w:t>
      </w:r>
      <w:r>
        <w:t xml:space="preserve"> Sentencia </w:t>
      </w:r>
      <w:hyperlink w:anchor="SENTENCIA_2013_85" w:history="1">
        <w:r w:rsidRPr="00E27756">
          <w:rPr>
            <w:rStyle w:val="TextoNormalCaracter"/>
          </w:rPr>
          <w:t>85/2013</w:t>
        </w:r>
      </w:hyperlink>
      <w:r>
        <w:t>, ff. 1, 2.</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85" w:history="1">
        <w:r w:rsidRPr="00E27756">
          <w:rPr>
            <w:rStyle w:val="TextoNormalCaracter"/>
          </w:rPr>
          <w:t>85/2013</w:t>
        </w:r>
      </w:hyperlink>
      <w:r>
        <w:t>, VP.</w:t>
      </w:r>
    </w:p>
    <w:p w:rsidR="00E27756" w:rsidRDefault="00E27756" w:rsidP="00E27756">
      <w:pPr>
        <w:pStyle w:val="SangriaFrancesaArticulo"/>
      </w:pPr>
      <w:r w:rsidRPr="00E27756">
        <w:rPr>
          <w:rStyle w:val="TextoNormalNegritaCaracter"/>
        </w:rPr>
        <w:t>Artículo 7.</w:t>
      </w:r>
      <w:r w:rsidRPr="00E27756">
        <w:rPr>
          <w:rStyle w:val="TextoNormalCaracter"/>
        </w:rPr>
        <w:t>-</w:t>
      </w:r>
      <w:r>
        <w:t xml:space="preserve"> Sentencia </w:t>
      </w:r>
      <w:hyperlink w:anchor="SENTENCIA_2013_85" w:history="1">
        <w:r w:rsidRPr="00E27756">
          <w:rPr>
            <w:rStyle w:val="TextoNormalCaracter"/>
          </w:rPr>
          <w:t>85/2013</w:t>
        </w:r>
      </w:hyperlink>
      <w:r>
        <w:t>, VP.</w:t>
      </w:r>
    </w:p>
    <w:p w:rsidR="00E27756" w:rsidRDefault="00E27756" w:rsidP="00E27756">
      <w:pPr>
        <w:pStyle w:val="SangriaFrancesaArticulo"/>
      </w:pPr>
      <w:r w:rsidRPr="00E27756">
        <w:rPr>
          <w:rStyle w:val="TextoNormalNegritaCaracter"/>
        </w:rPr>
        <w:t>Artículo 9 e).</w:t>
      </w:r>
      <w:r w:rsidRPr="00E27756">
        <w:rPr>
          <w:rStyle w:val="TextoNormalCaracter"/>
        </w:rPr>
        <w:t>-</w:t>
      </w:r>
      <w:r>
        <w:t xml:space="preserve"> Sentencia </w:t>
      </w:r>
      <w:hyperlink w:anchor="SENTENCIA_2013_85" w:history="1">
        <w:r w:rsidRPr="00E27756">
          <w:rPr>
            <w:rStyle w:val="TextoNormalCaracter"/>
          </w:rPr>
          <w:t>85/2013</w:t>
        </w:r>
      </w:hyperlink>
      <w:r>
        <w:t>, ff. 1, 2, 5.</w:t>
      </w:r>
    </w:p>
    <w:p w:rsidR="00E27756" w:rsidRDefault="00E27756" w:rsidP="00E27756">
      <w:pPr>
        <w:pStyle w:val="SangriaFrancesaArticulo"/>
      </w:pPr>
      <w:r w:rsidRPr="00E27756">
        <w:rPr>
          <w:rStyle w:val="TextoNormalNegritaCaracter"/>
        </w:rPr>
        <w:t>Artículo 41.</w:t>
      </w:r>
      <w:r w:rsidRPr="00E27756">
        <w:rPr>
          <w:rStyle w:val="TextoNormalCaracter"/>
        </w:rPr>
        <w:t>-</w:t>
      </w:r>
      <w:r>
        <w:t xml:space="preserve"> Sentencia </w:t>
      </w:r>
      <w:hyperlink w:anchor="SENTENCIA_2013_85" w:history="1">
        <w:r w:rsidRPr="00E27756">
          <w:rPr>
            <w:rStyle w:val="TextoNormalCaracter"/>
          </w:rPr>
          <w:t>85/2013</w:t>
        </w:r>
      </w:hyperlink>
      <w:r>
        <w:t>, f. 5, VP.</w:t>
      </w:r>
    </w:p>
    <w:p w:rsidR="00E27756" w:rsidRDefault="00E27756" w:rsidP="00E27756">
      <w:pPr>
        <w:pStyle w:val="SangriaFrancesaArticulo"/>
      </w:pPr>
      <w:r w:rsidRPr="00E27756">
        <w:rPr>
          <w:rStyle w:val="TextoNormalNegritaCaracter"/>
        </w:rPr>
        <w:t>Artículo 41.2.</w:t>
      </w:r>
      <w:r w:rsidRPr="00E27756">
        <w:rPr>
          <w:rStyle w:val="TextoNormalCaracter"/>
        </w:rPr>
        <w:t>-</w:t>
      </w:r>
      <w:r>
        <w:t xml:space="preserve"> Sentencia </w:t>
      </w:r>
      <w:hyperlink w:anchor="SENTENCIA_2013_85" w:history="1">
        <w:r w:rsidRPr="00E27756">
          <w:rPr>
            <w:rStyle w:val="TextoNormalCaracter"/>
          </w:rPr>
          <w:t>85/2013</w:t>
        </w:r>
      </w:hyperlink>
      <w:r>
        <w:t>, VP.</w:t>
      </w:r>
    </w:p>
    <w:p w:rsidR="00E27756" w:rsidRDefault="00E27756" w:rsidP="00E27756">
      <w:pPr>
        <w:pStyle w:val="SangriaFrancesaArticulo"/>
      </w:pPr>
      <w:r w:rsidRPr="00E27756">
        <w:rPr>
          <w:rStyle w:val="TextoNormalNegritaCaracter"/>
        </w:rPr>
        <w:t>Artículo 41.3 in fine.</w:t>
      </w:r>
      <w:r w:rsidRPr="00E27756">
        <w:rPr>
          <w:rStyle w:val="TextoNormalCaracter"/>
        </w:rPr>
        <w:t>-</w:t>
      </w:r>
      <w:r>
        <w:t xml:space="preserve"> Sentencia </w:t>
      </w:r>
      <w:hyperlink w:anchor="SENTENCIA_2013_85" w:history="1">
        <w:r w:rsidRPr="00E27756">
          <w:rPr>
            <w:rStyle w:val="TextoNormalCaracter"/>
          </w:rPr>
          <w:t>85/2013</w:t>
        </w:r>
      </w:hyperlink>
      <w:r>
        <w:t>, f. 5.</w:t>
      </w:r>
    </w:p>
    <w:p w:rsidR="00E27756" w:rsidRDefault="00E27756" w:rsidP="00E27756">
      <w:pPr>
        <w:pStyle w:val="SangriaFrancesaArticulo"/>
      </w:pPr>
      <w:r w:rsidRPr="00E27756">
        <w:rPr>
          <w:rStyle w:val="TextoNormalNegritaCaracter"/>
        </w:rPr>
        <w:t>Artículo 41.4.</w:t>
      </w:r>
      <w:r w:rsidRPr="00E27756">
        <w:rPr>
          <w:rStyle w:val="TextoNormalCaracter"/>
        </w:rPr>
        <w:t>-</w:t>
      </w:r>
      <w:r>
        <w:t xml:space="preserve"> Sentencia </w:t>
      </w:r>
      <w:hyperlink w:anchor="SENTENCIA_2013_85" w:history="1">
        <w:r w:rsidRPr="00E27756">
          <w:rPr>
            <w:rStyle w:val="TextoNormalCaracter"/>
          </w:rPr>
          <w:t>85/2013</w:t>
        </w:r>
      </w:hyperlink>
      <w:r>
        <w:t>, f. 5, VP.</w:t>
      </w:r>
    </w:p>
    <w:p w:rsidR="00E27756" w:rsidRDefault="00E27756" w:rsidP="00E27756">
      <w:pPr>
        <w:pStyle w:val="SangriaFrancesaArticulo"/>
      </w:pPr>
      <w:r w:rsidRPr="00E27756">
        <w:rPr>
          <w:rStyle w:val="TextoNormalNegritaCaracter"/>
        </w:rPr>
        <w:t>Artículos 41 a 52.</w:t>
      </w:r>
      <w:r w:rsidRPr="00E27756">
        <w:rPr>
          <w:rStyle w:val="TextoNormalCaracter"/>
        </w:rPr>
        <w:t>-</w:t>
      </w:r>
      <w:r>
        <w:t xml:space="preserve"> Sentencia </w:t>
      </w:r>
      <w:hyperlink w:anchor="SENTENCIA_2013_85" w:history="1">
        <w:r w:rsidRPr="00E27756">
          <w:rPr>
            <w:rStyle w:val="TextoNormalCaracter"/>
          </w:rPr>
          <w:t>85/2013</w:t>
        </w:r>
      </w:hyperlink>
      <w:r>
        <w:t>, ff. 1, 2, VP.</w:t>
      </w:r>
    </w:p>
    <w:p w:rsidR="00E27756" w:rsidRDefault="00E27756" w:rsidP="00E27756">
      <w:pPr>
        <w:pStyle w:val="SangriaFrancesaArticulo"/>
      </w:pPr>
      <w:r w:rsidRPr="00E27756">
        <w:rPr>
          <w:rStyle w:val="TextoNormalNegritaCaracter"/>
        </w:rPr>
        <w:t>Artículo 42.</w:t>
      </w:r>
      <w:r w:rsidRPr="00E27756">
        <w:rPr>
          <w:rStyle w:val="TextoNormalCaracter"/>
        </w:rPr>
        <w:t>-</w:t>
      </w:r>
      <w:r>
        <w:t xml:space="preserve"> Sentencia </w:t>
      </w:r>
      <w:hyperlink w:anchor="SENTENCIA_2013_85" w:history="1">
        <w:r w:rsidRPr="00E27756">
          <w:rPr>
            <w:rStyle w:val="TextoNormalCaracter"/>
          </w:rPr>
          <w:t>85/2013</w:t>
        </w:r>
      </w:hyperlink>
      <w:r>
        <w:t>, f. 4.</w:t>
      </w:r>
    </w:p>
    <w:p w:rsidR="00E27756" w:rsidRDefault="00E27756" w:rsidP="00E27756">
      <w:pPr>
        <w:pStyle w:val="SangriaFrancesaArticulo"/>
      </w:pPr>
      <w:r w:rsidRPr="00E27756">
        <w:rPr>
          <w:rStyle w:val="TextoNormalNegritaCaracter"/>
        </w:rPr>
        <w:t>Artículo 42.2.</w:t>
      </w:r>
      <w:r w:rsidRPr="00E27756">
        <w:rPr>
          <w:rStyle w:val="TextoNormalCaracter"/>
        </w:rPr>
        <w:t>-</w:t>
      </w:r>
      <w:r>
        <w:t xml:space="preserve"> Sentencia </w:t>
      </w:r>
      <w:hyperlink w:anchor="SENTENCIA_2013_85" w:history="1">
        <w:r w:rsidRPr="00E27756">
          <w:rPr>
            <w:rStyle w:val="TextoNormalCaracter"/>
          </w:rPr>
          <w:t>85/2013</w:t>
        </w:r>
      </w:hyperlink>
      <w:r>
        <w:t>, f. 5.</w:t>
      </w:r>
    </w:p>
    <w:p w:rsidR="00E27756" w:rsidRDefault="00E27756" w:rsidP="00E27756">
      <w:pPr>
        <w:pStyle w:val="SangriaFrancesaArticulo"/>
      </w:pPr>
      <w:r w:rsidRPr="00E27756">
        <w:rPr>
          <w:rStyle w:val="TextoNormalNegritaCaracter"/>
        </w:rPr>
        <w:t>Artículo 43.</w:t>
      </w:r>
      <w:r w:rsidRPr="00E27756">
        <w:rPr>
          <w:rStyle w:val="TextoNormalCaracter"/>
        </w:rPr>
        <w:t>-</w:t>
      </w:r>
      <w:r>
        <w:t xml:space="preserve"> Sentencia </w:t>
      </w:r>
      <w:hyperlink w:anchor="SENTENCIA_2013_85" w:history="1">
        <w:r w:rsidRPr="00E27756">
          <w:rPr>
            <w:rStyle w:val="TextoNormalCaracter"/>
          </w:rPr>
          <w:t>85/2013</w:t>
        </w:r>
      </w:hyperlink>
      <w:r>
        <w:t>, f. 4.</w:t>
      </w:r>
    </w:p>
    <w:p w:rsidR="00E27756" w:rsidRDefault="00E27756" w:rsidP="00E27756">
      <w:pPr>
        <w:pStyle w:val="SangriaFrancesaArticulo"/>
      </w:pPr>
      <w:r w:rsidRPr="00E27756">
        <w:rPr>
          <w:rStyle w:val="TextoNormalNegritaCaracter"/>
        </w:rPr>
        <w:t>Artículo 43.1 a).</w:t>
      </w:r>
      <w:r w:rsidRPr="00E27756">
        <w:rPr>
          <w:rStyle w:val="TextoNormalCaracter"/>
        </w:rPr>
        <w:t>-</w:t>
      </w:r>
      <w:r>
        <w:t xml:space="preserve"> Sentencia </w:t>
      </w:r>
      <w:hyperlink w:anchor="SENTENCIA_2013_85" w:history="1">
        <w:r w:rsidRPr="00E27756">
          <w:rPr>
            <w:rStyle w:val="TextoNormalCaracter"/>
          </w:rPr>
          <w:t>85/2013</w:t>
        </w:r>
      </w:hyperlink>
      <w:r>
        <w:t>, f. 4.</w:t>
      </w:r>
    </w:p>
    <w:p w:rsidR="00E27756" w:rsidRDefault="00E27756" w:rsidP="00E27756">
      <w:pPr>
        <w:pStyle w:val="SangriaFrancesaArticulo"/>
      </w:pPr>
      <w:r w:rsidRPr="00E27756">
        <w:rPr>
          <w:rStyle w:val="TextoNormalNegritaCaracter"/>
        </w:rPr>
        <w:t>Artículo 45.1.</w:t>
      </w:r>
      <w:r w:rsidRPr="00E27756">
        <w:rPr>
          <w:rStyle w:val="TextoNormalCaracter"/>
        </w:rPr>
        <w:t>-</w:t>
      </w:r>
      <w:r>
        <w:t xml:space="preserve"> Sentencia </w:t>
      </w:r>
      <w:hyperlink w:anchor="SENTENCIA_2013_85" w:history="1">
        <w:r w:rsidRPr="00E27756">
          <w:rPr>
            <w:rStyle w:val="TextoNormalCaracter"/>
          </w:rPr>
          <w:t>85/2013</w:t>
        </w:r>
      </w:hyperlink>
      <w:r>
        <w:t>, f. 4.</w:t>
      </w:r>
    </w:p>
    <w:p w:rsidR="00E27756" w:rsidRDefault="00E27756" w:rsidP="00E27756">
      <w:pPr>
        <w:pStyle w:val="SangriaFrancesaArticulo"/>
      </w:pPr>
      <w:r w:rsidRPr="00E27756">
        <w:rPr>
          <w:rStyle w:val="TextoNormalNegritaCaracter"/>
        </w:rPr>
        <w:t>Artículo 46 a).</w:t>
      </w:r>
      <w:r w:rsidRPr="00E27756">
        <w:rPr>
          <w:rStyle w:val="TextoNormalCaracter"/>
        </w:rPr>
        <w:t>-</w:t>
      </w:r>
      <w:r>
        <w:t xml:space="preserve"> Sentencia </w:t>
      </w:r>
      <w:hyperlink w:anchor="SENTENCIA_2013_85" w:history="1">
        <w:r w:rsidRPr="00E27756">
          <w:rPr>
            <w:rStyle w:val="TextoNormalCaracter"/>
          </w:rPr>
          <w:t>85/2013</w:t>
        </w:r>
      </w:hyperlink>
      <w:r>
        <w:t>, f. 4.</w:t>
      </w:r>
    </w:p>
    <w:p w:rsidR="00E27756" w:rsidRDefault="00E27756" w:rsidP="00E27756">
      <w:pPr>
        <w:pStyle w:val="SangriaFrancesaArticulo"/>
      </w:pPr>
      <w:r w:rsidRPr="00E27756">
        <w:rPr>
          <w:rStyle w:val="TextoNormalNegritaCaracter"/>
        </w:rPr>
        <w:t>Artículo 46 a), e), f).</w:t>
      </w:r>
      <w:r w:rsidRPr="00E27756">
        <w:rPr>
          <w:rStyle w:val="TextoNormalCaracter"/>
        </w:rPr>
        <w:t>-</w:t>
      </w:r>
      <w:r>
        <w:t xml:space="preserve"> Sentencia </w:t>
      </w:r>
      <w:hyperlink w:anchor="SENTENCIA_2013_85" w:history="1">
        <w:r w:rsidRPr="00E27756">
          <w:rPr>
            <w:rStyle w:val="TextoNormalCaracter"/>
          </w:rPr>
          <w:t>85/2013</w:t>
        </w:r>
      </w:hyperlink>
      <w:r>
        <w:t>, f. 4.</w:t>
      </w:r>
    </w:p>
    <w:p w:rsidR="00E27756" w:rsidRDefault="00E27756" w:rsidP="00E27756">
      <w:pPr>
        <w:pStyle w:val="SangriaFrancesaArticulo"/>
      </w:pPr>
      <w:r w:rsidRPr="00E27756">
        <w:rPr>
          <w:rStyle w:val="TextoNormalNegritaCaracter"/>
        </w:rPr>
        <w:t>Artículo 47.</w:t>
      </w:r>
      <w:r w:rsidRPr="00E27756">
        <w:rPr>
          <w:rStyle w:val="TextoNormalCaracter"/>
        </w:rPr>
        <w:t>-</w:t>
      </w:r>
      <w:r>
        <w:t xml:space="preserve"> Sentencia </w:t>
      </w:r>
      <w:hyperlink w:anchor="SENTENCIA_2013_85" w:history="1">
        <w:r w:rsidRPr="00E27756">
          <w:rPr>
            <w:rStyle w:val="TextoNormalCaracter"/>
          </w:rPr>
          <w:t>85/2013</w:t>
        </w:r>
      </w:hyperlink>
      <w:r>
        <w:t>, ff. 1, 4, 6.</w:t>
      </w:r>
    </w:p>
    <w:p w:rsidR="00E27756" w:rsidRDefault="00E27756" w:rsidP="00E27756">
      <w:pPr>
        <w:pStyle w:val="SangriaFrancesaArticulo"/>
      </w:pPr>
      <w:r w:rsidRPr="00E27756">
        <w:rPr>
          <w:rStyle w:val="TextoNormalNegritaCaracter"/>
        </w:rPr>
        <w:t>Artículo 47 b), c).</w:t>
      </w:r>
      <w:r w:rsidRPr="00E27756">
        <w:rPr>
          <w:rStyle w:val="TextoNormalCaracter"/>
        </w:rPr>
        <w:t>-</w:t>
      </w:r>
      <w:r>
        <w:t xml:space="preserve"> Sentencia </w:t>
      </w:r>
      <w:hyperlink w:anchor="SENTENCIA_2013_85" w:history="1">
        <w:r w:rsidRPr="00E27756">
          <w:rPr>
            <w:rStyle w:val="TextoNormalCaracter"/>
          </w:rPr>
          <w:t>85/2013</w:t>
        </w:r>
      </w:hyperlink>
      <w:r>
        <w:t>, f. 4.</w:t>
      </w:r>
    </w:p>
    <w:p w:rsidR="00E27756" w:rsidRDefault="00E27756" w:rsidP="00E27756">
      <w:pPr>
        <w:pStyle w:val="SangriaFrancesaArticulo"/>
      </w:pPr>
      <w:r w:rsidRPr="00E27756">
        <w:rPr>
          <w:rStyle w:val="TextoNormalNegritaCaracter"/>
        </w:rPr>
        <w:t>Artículo 48.3.</w:t>
      </w:r>
      <w:r w:rsidRPr="00E27756">
        <w:rPr>
          <w:rStyle w:val="TextoNormalCaracter"/>
        </w:rPr>
        <w:t>-</w:t>
      </w:r>
      <w:r>
        <w:t xml:space="preserve"> Sentencia </w:t>
      </w:r>
      <w:hyperlink w:anchor="SENTENCIA_2013_85" w:history="1">
        <w:r w:rsidRPr="00E27756">
          <w:rPr>
            <w:rStyle w:val="TextoNormalCaracter"/>
          </w:rPr>
          <w:t>85/2013</w:t>
        </w:r>
      </w:hyperlink>
      <w:r>
        <w:t>, f. 5.</w:t>
      </w:r>
    </w:p>
    <w:p w:rsidR="00E27756" w:rsidRDefault="00E27756" w:rsidP="00E27756">
      <w:pPr>
        <w:pStyle w:val="SangriaFrancesaArticulo"/>
      </w:pPr>
      <w:r w:rsidRPr="00E27756">
        <w:rPr>
          <w:rStyle w:val="TextoNormalNegritaCaracter"/>
        </w:rPr>
        <w:t>Artículo 49.2 a).</w:t>
      </w:r>
      <w:r w:rsidRPr="00E27756">
        <w:rPr>
          <w:rStyle w:val="TextoNormalCaracter"/>
        </w:rPr>
        <w:t>-</w:t>
      </w:r>
      <w:r>
        <w:t xml:space="preserve"> Sentencia </w:t>
      </w:r>
      <w:hyperlink w:anchor="SENTENCIA_2013_85" w:history="1">
        <w:r w:rsidRPr="00E27756">
          <w:rPr>
            <w:rStyle w:val="TextoNormalCaracter"/>
          </w:rPr>
          <w:t>85/2013</w:t>
        </w:r>
      </w:hyperlink>
      <w:r>
        <w:t>, f. 5.</w:t>
      </w:r>
    </w:p>
    <w:p w:rsidR="00E27756" w:rsidRDefault="00E27756" w:rsidP="00E27756">
      <w:pPr>
        <w:pStyle w:val="SangriaFrancesaArticulo"/>
      </w:pPr>
      <w:r w:rsidRPr="00E27756">
        <w:rPr>
          <w:rStyle w:val="TextoNormalNegritaCaracter"/>
        </w:rPr>
        <w:t>Artículo 51.1.</w:t>
      </w:r>
      <w:r w:rsidRPr="00E27756">
        <w:rPr>
          <w:rStyle w:val="TextoNormalCaracter"/>
        </w:rPr>
        <w:t>-</w:t>
      </w:r>
      <w:r>
        <w:t xml:space="preserve"> Sentencia </w:t>
      </w:r>
      <w:hyperlink w:anchor="SENTENCIA_2013_85" w:history="1">
        <w:r w:rsidRPr="00E27756">
          <w:rPr>
            <w:rStyle w:val="TextoNormalCaracter"/>
          </w:rPr>
          <w:t>85/2013</w:t>
        </w:r>
      </w:hyperlink>
      <w:r>
        <w:t>, f. 4.</w:t>
      </w:r>
    </w:p>
    <w:p w:rsidR="00E27756" w:rsidRDefault="00E27756" w:rsidP="00E27756">
      <w:pPr>
        <w:pStyle w:val="SangriaFrancesaArticulo"/>
      </w:pPr>
      <w:r w:rsidRPr="00E27756">
        <w:rPr>
          <w:rStyle w:val="TextoNormalNegritaCaracter"/>
        </w:rPr>
        <w:t>Artículo 52.</w:t>
      </w:r>
      <w:r w:rsidRPr="00E27756">
        <w:rPr>
          <w:rStyle w:val="TextoNormalCaracter"/>
        </w:rPr>
        <w:t>-</w:t>
      </w:r>
      <w:r>
        <w:t xml:space="preserve"> Sentencia </w:t>
      </w:r>
      <w:hyperlink w:anchor="SENTENCIA_2013_85" w:history="1">
        <w:r w:rsidRPr="00E27756">
          <w:rPr>
            <w:rStyle w:val="TextoNormalCaracter"/>
          </w:rPr>
          <w:t>85/2013</w:t>
        </w:r>
      </w:hyperlink>
      <w:r>
        <w:t>, f. 5.</w:t>
      </w:r>
    </w:p>
    <w:p w:rsidR="00E27756" w:rsidRDefault="00E27756" w:rsidP="00E27756">
      <w:pPr>
        <w:pStyle w:val="SangriaFrancesaArticulo"/>
      </w:pPr>
      <w:r w:rsidRPr="00E27756">
        <w:rPr>
          <w:rStyle w:val="TextoNormalNegritaCaracter"/>
        </w:rPr>
        <w:t>Artículo 55 n).</w:t>
      </w:r>
      <w:r w:rsidRPr="00E27756">
        <w:rPr>
          <w:rStyle w:val="TextoNormalCaracter"/>
        </w:rPr>
        <w:t>-</w:t>
      </w:r>
      <w:r>
        <w:t xml:space="preserve"> Sentencia </w:t>
      </w:r>
      <w:hyperlink w:anchor="SENTENCIA_2013_85" w:history="1">
        <w:r w:rsidRPr="00E27756">
          <w:rPr>
            <w:rStyle w:val="TextoNormalCaracter"/>
          </w:rPr>
          <w:t>85/2013</w:t>
        </w:r>
      </w:hyperlink>
      <w:r>
        <w:t>, f. 2.</w:t>
      </w:r>
    </w:p>
    <w:p w:rsidR="00E27756" w:rsidRDefault="00E27756" w:rsidP="00E27756">
      <w:pPr>
        <w:pStyle w:val="SangriaFrancesaArticulo"/>
      </w:pPr>
      <w:r w:rsidRPr="00E27756">
        <w:rPr>
          <w:rStyle w:val="TextoNormalNegritaCaracter"/>
        </w:rPr>
        <w:t>Artículo 55 n), o), q).</w:t>
      </w:r>
      <w:r w:rsidRPr="00E27756">
        <w:rPr>
          <w:rStyle w:val="TextoNormalCaracter"/>
        </w:rPr>
        <w:t>-</w:t>
      </w:r>
      <w:r>
        <w:t xml:space="preserve"> Sentencia </w:t>
      </w:r>
      <w:hyperlink w:anchor="SENTENCIA_2013_85" w:history="1">
        <w:r w:rsidRPr="00E27756">
          <w:rPr>
            <w:rStyle w:val="TextoNormalCaracter"/>
          </w:rPr>
          <w:t>85/2013</w:t>
        </w:r>
      </w:hyperlink>
      <w:r>
        <w:t>, ff. 1, 2.</w:t>
      </w:r>
    </w:p>
    <w:p w:rsidR="00E27756" w:rsidRDefault="00E27756" w:rsidP="00E27756">
      <w:pPr>
        <w:pStyle w:val="SangriaFrancesaArticulo"/>
      </w:pPr>
      <w:r w:rsidRPr="00E27756">
        <w:rPr>
          <w:rStyle w:val="TextoNormalNegritaCaracter"/>
        </w:rPr>
        <w:t>Artículo 56.3.</w:t>
      </w:r>
      <w:r w:rsidRPr="00E27756">
        <w:rPr>
          <w:rStyle w:val="TextoNormalCaracter"/>
        </w:rPr>
        <w:t>-</w:t>
      </w:r>
      <w:r>
        <w:t xml:space="preserve"> Sentencia </w:t>
      </w:r>
      <w:hyperlink w:anchor="SENTENCIA_2013_85" w:history="1">
        <w:r w:rsidRPr="00E27756">
          <w:rPr>
            <w:rStyle w:val="TextoNormalCaracter"/>
          </w:rPr>
          <w:t>85/2013</w:t>
        </w:r>
      </w:hyperlink>
      <w:r>
        <w:t>, ff. 1, 2, 5.</w:t>
      </w:r>
    </w:p>
    <w:p w:rsidR="00E27756" w:rsidRDefault="00E27756" w:rsidP="00E27756">
      <w:pPr>
        <w:pStyle w:val="SangriaFrancesaArticulo"/>
      </w:pPr>
      <w:r w:rsidRPr="00E27756">
        <w:rPr>
          <w:rStyle w:val="TextoNormalNegritaCaracter"/>
        </w:rPr>
        <w:lastRenderedPageBreak/>
        <w:t>Disposición adicional sexta.</w:t>
      </w:r>
      <w:r w:rsidRPr="00E27756">
        <w:rPr>
          <w:rStyle w:val="TextoNormalCaracter"/>
        </w:rPr>
        <w:t>-</w:t>
      </w:r>
      <w:r>
        <w:t xml:space="preserve"> Sentencia </w:t>
      </w:r>
      <w:hyperlink w:anchor="SENTENCIA_2013_85" w:history="1">
        <w:r w:rsidRPr="00E27756">
          <w:rPr>
            <w:rStyle w:val="TextoNormalCaracter"/>
          </w:rPr>
          <w:t>85/2013</w:t>
        </w:r>
      </w:hyperlink>
      <w:r>
        <w:t>, ff. 1, 2, 5.</w:t>
      </w:r>
    </w:p>
    <w:p w:rsidR="00E27756" w:rsidRDefault="00E27756" w:rsidP="00E27756">
      <w:pPr>
        <w:pStyle w:val="SangriaFrancesaArticulo"/>
      </w:pPr>
      <w:r w:rsidRPr="00E27756">
        <w:rPr>
          <w:rStyle w:val="TextoNormalNegritaCaracter"/>
        </w:rPr>
        <w:t>Disposición transitoria tercera.</w:t>
      </w:r>
      <w:r w:rsidRPr="00E27756">
        <w:rPr>
          <w:rStyle w:val="TextoNormalCaracter"/>
        </w:rPr>
        <w:t>-</w:t>
      </w:r>
      <w:r>
        <w:t xml:space="preserve"> Sentencia </w:t>
      </w:r>
      <w:hyperlink w:anchor="SENTENCIA_2013_85" w:history="1">
        <w:r w:rsidRPr="00E27756">
          <w:rPr>
            <w:rStyle w:val="TextoNormalCaracter"/>
          </w:rPr>
          <w:t>85/2013</w:t>
        </w:r>
      </w:hyperlink>
      <w:r>
        <w:t>, f. 1.</w:t>
      </w:r>
    </w:p>
    <w:p w:rsidR="00E27756" w:rsidRDefault="00E27756" w:rsidP="00E27756">
      <w:pPr>
        <w:pStyle w:val="SangriaFrancesaArticulo"/>
      </w:pPr>
      <w:r w:rsidRPr="00E27756">
        <w:rPr>
          <w:rStyle w:val="TextoNormalNegritaCaracter"/>
        </w:rPr>
        <w:t>Disposición final primera.</w:t>
      </w:r>
      <w:r w:rsidRPr="00E27756">
        <w:rPr>
          <w:rStyle w:val="TextoNormalCaracter"/>
        </w:rPr>
        <w:t>-</w:t>
      </w:r>
      <w:r>
        <w:t xml:space="preserve"> Sentencia </w:t>
      </w:r>
      <w:hyperlink w:anchor="SENTENCIA_2013_85" w:history="1">
        <w:r w:rsidRPr="00E27756">
          <w:rPr>
            <w:rStyle w:val="TextoNormalCaracter"/>
          </w:rPr>
          <w:t>85/2013</w:t>
        </w:r>
      </w:hyperlink>
      <w:r>
        <w:t>, VP.</w:t>
      </w:r>
    </w:p>
    <w:p w:rsidR="00E27756" w:rsidRDefault="00E27756" w:rsidP="00E27756">
      <w:pPr>
        <w:pStyle w:val="SangriaFrancesaArticulo"/>
      </w:pPr>
    </w:p>
    <w:p w:rsidR="00E27756" w:rsidRDefault="00E27756" w:rsidP="00E27756">
      <w:pPr>
        <w:pStyle w:val="TextoNormalNegritaCursivandice"/>
      </w:pPr>
      <w:r>
        <w:t>Ley del Parlamento Vasco 6/2011, de 23 de diciembre. Presupuestos generales de la Comunidad Autónoma de Euskadi para el ejercicio 2012</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86" w:history="1">
        <w:r w:rsidRPr="00E27756">
          <w:rPr>
            <w:rStyle w:val="TextoNormalCaracter"/>
          </w:rPr>
          <w:t>86/2013</w:t>
        </w:r>
      </w:hyperlink>
      <w:r>
        <w:t>, ff. 3, 6.</w:t>
      </w:r>
    </w:p>
    <w:p w:rsidR="00E27756" w:rsidRDefault="00E27756" w:rsidP="00E27756">
      <w:pPr>
        <w:pStyle w:val="SangriaFrancesaArticulo"/>
      </w:pPr>
    </w:p>
    <w:p w:rsidR="00E27756" w:rsidRDefault="00E27756" w:rsidP="00E27756">
      <w:pPr>
        <w:pStyle w:val="TextoNormalNegritaCursivandice"/>
      </w:pPr>
      <w:r>
        <w:t>Ley del Parlamento Vasco 7/2012, de 23 de abril. Modificación de diversas leyes para su adaptación a la Directiva 2006/123/CE, de 12 de diciembre, del Parlamento Europeo y del Consejo, relativa a los servicios en el mercado interior</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23" w:history="1">
        <w:r w:rsidRPr="00E27756">
          <w:rPr>
            <w:rStyle w:val="TextoNormalCaracter"/>
          </w:rPr>
          <w:t>23/2013</w:t>
        </w:r>
      </w:hyperlink>
      <w:r>
        <w:t>, ff. 3 a 5.</w:t>
      </w:r>
    </w:p>
    <w:p w:rsidR="00E27756" w:rsidRDefault="00E27756" w:rsidP="00E27756">
      <w:pPr>
        <w:pStyle w:val="SangriaFrancesaArticulo"/>
      </w:pPr>
      <w:r w:rsidRPr="00E27756">
        <w:rPr>
          <w:rStyle w:val="TextoNormalNegritaCaracter"/>
        </w:rPr>
        <w:t>Disposición derogatoria.</w:t>
      </w:r>
      <w:r w:rsidRPr="00E27756">
        <w:rPr>
          <w:rStyle w:val="TextoNormalCaracter"/>
        </w:rPr>
        <w:t>-</w:t>
      </w:r>
      <w:r>
        <w:t xml:space="preserve"> Auto </w:t>
      </w:r>
      <w:hyperlink w:anchor="AUTO_2013_23" w:history="1">
        <w:r w:rsidRPr="00E27756">
          <w:rPr>
            <w:rStyle w:val="TextoNormalCaracter"/>
          </w:rPr>
          <w:t>23/2013</w:t>
        </w:r>
      </w:hyperlink>
      <w:r>
        <w:t>, f. 3.</w:t>
      </w:r>
    </w:p>
    <w:p w:rsidR="00E27756" w:rsidRDefault="00E27756" w:rsidP="00E27756">
      <w:pPr>
        <w:pStyle w:val="TextoNormal"/>
      </w:pPr>
    </w:p>
    <w:p w:rsidR="00E27756" w:rsidRDefault="00E27756" w:rsidP="00E27756">
      <w:pPr>
        <w:pStyle w:val="TextoNormalNegritaCentradoSubrayado"/>
        <w:suppressAutoHyphens/>
      </w:pPr>
      <w:r>
        <w:t>J.16.c) Decretos y otras disposiciones reglamentarias</w:t>
      </w:r>
    </w:p>
    <w:p w:rsidR="00E27756" w:rsidRDefault="00E27756" w:rsidP="00E27756">
      <w:pPr>
        <w:pStyle w:val="TextoNormalNegritaCentradoSubrayado"/>
      </w:pPr>
    </w:p>
    <w:p w:rsidR="00E27756" w:rsidRDefault="00E27756" w:rsidP="00E27756">
      <w:pPr>
        <w:pStyle w:val="TextoNormalNegritaCursivandice"/>
      </w:pPr>
      <w:r>
        <w:t>Decreto del Gobierno Vasco 114/2012, de 26 de junio. Régimen de las prestaciones sanitarias del Sistema Nacional de Salud</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88" w:history="1">
        <w:r w:rsidRPr="00E27756">
          <w:rPr>
            <w:rStyle w:val="TextoNormalCaracter"/>
          </w:rPr>
          <w:t>88/2013</w:t>
        </w:r>
      </w:hyperlink>
      <w:r>
        <w:t>, f. 3.</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J.17) Valencia</w:t>
      </w:r>
    </w:p>
    <w:p w:rsidR="00E27756" w:rsidRDefault="00E27756" w:rsidP="00E27756">
      <w:pPr>
        <w:pStyle w:val="TextoNormal"/>
      </w:pPr>
    </w:p>
    <w:p w:rsidR="00E27756" w:rsidRDefault="00E27756" w:rsidP="00E27756">
      <w:pPr>
        <w:pStyle w:val="TextoNormalNegritaCentradoSubrayado"/>
        <w:suppressAutoHyphens/>
      </w:pPr>
      <w:r>
        <w:t>J.17.a) Estatuto de Autonomía</w:t>
      </w:r>
    </w:p>
    <w:p w:rsidR="00E27756" w:rsidRDefault="00E27756" w:rsidP="00E27756">
      <w:pPr>
        <w:pStyle w:val="TextoNormalNegritaCentradoSubrayado"/>
      </w:pPr>
    </w:p>
    <w:p w:rsidR="00E27756" w:rsidRDefault="00E27756" w:rsidP="00E27756">
      <w:pPr>
        <w:pStyle w:val="TextoNormalNegritaCursivandice"/>
      </w:pPr>
      <w:r>
        <w:t>Ley Orgánica 5/1982, de 1 de julio. Estatuto de Autonomía de la Comunidad Valenciana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6" w:history="1">
        <w:r w:rsidRPr="00E27756">
          <w:rPr>
            <w:rStyle w:val="TextoNormalCaracter"/>
          </w:rPr>
          <w:t>66/2013</w:t>
        </w:r>
      </w:hyperlink>
      <w:r>
        <w:t>, f. 2.</w:t>
      </w:r>
    </w:p>
    <w:p w:rsidR="00E27756" w:rsidRDefault="00E27756" w:rsidP="00E27756">
      <w:pPr>
        <w:pStyle w:val="SangriaFrancesaArticulo"/>
      </w:pPr>
      <w:r w:rsidRPr="00E27756">
        <w:rPr>
          <w:rStyle w:val="TextoNormalNegritaCaracter"/>
        </w:rPr>
        <w:t>Artículo 22 a).</w:t>
      </w:r>
      <w:r w:rsidRPr="00E27756">
        <w:rPr>
          <w:rStyle w:val="TextoNormalCaracter"/>
        </w:rPr>
        <w:t>-</w:t>
      </w:r>
      <w:r>
        <w:t xml:space="preserve"> Sentencia </w:t>
      </w:r>
      <w:hyperlink w:anchor="SENTENCIA_2013_86" w:history="1">
        <w:r w:rsidRPr="00E27756">
          <w:rPr>
            <w:rStyle w:val="TextoNormalCaracter"/>
          </w:rPr>
          <w:t>86/2013</w:t>
        </w:r>
      </w:hyperlink>
      <w:r>
        <w:t>, f. 4.</w:t>
      </w:r>
    </w:p>
    <w:p w:rsidR="00E27756" w:rsidRDefault="00E27756" w:rsidP="00E27756">
      <w:pPr>
        <w:pStyle w:val="SangriaFrancesaArticulo"/>
      </w:pPr>
      <w:r w:rsidRPr="00E27756">
        <w:rPr>
          <w:rStyle w:val="TextoNormalNegritaCaracter"/>
        </w:rPr>
        <w:t>Artículo 33.1.</w:t>
      </w:r>
      <w:r w:rsidRPr="00E27756">
        <w:rPr>
          <w:rStyle w:val="TextoNormalCaracter"/>
        </w:rPr>
        <w:t>-</w:t>
      </w:r>
      <w:r>
        <w:t xml:space="preserve"> Sentencia </w:t>
      </w:r>
      <w:hyperlink w:anchor="SENTENCIA_2013_65" w:history="1">
        <w:r w:rsidRPr="00E27756">
          <w:rPr>
            <w:rStyle w:val="TextoNormalCaracter"/>
          </w:rPr>
          <w:t>65/2013</w:t>
        </w:r>
      </w:hyperlink>
      <w:r>
        <w:t>, f. 1.</w:t>
      </w:r>
    </w:p>
    <w:p w:rsidR="00E27756" w:rsidRDefault="00E27756" w:rsidP="00E27756">
      <w:pPr>
        <w:pStyle w:val="SangriaFrancesaArticulo"/>
      </w:pPr>
      <w:r w:rsidRPr="00E27756">
        <w:rPr>
          <w:rStyle w:val="TextoNormalNegritaCaracter"/>
        </w:rPr>
        <w:t>Artículo 49.1.4.</w:t>
      </w:r>
      <w:r w:rsidRPr="00E27756">
        <w:rPr>
          <w:rStyle w:val="TextoNormalCaracter"/>
        </w:rPr>
        <w:t>-</w:t>
      </w:r>
      <w:r>
        <w:t xml:space="preserve"> Sentencia </w:t>
      </w:r>
      <w:hyperlink w:anchor="SENTENCIA_2013_66" w:history="1">
        <w:r w:rsidRPr="00E27756">
          <w:rPr>
            <w:rStyle w:val="TextoNormalCaracter"/>
          </w:rPr>
          <w:t>66/2013</w:t>
        </w:r>
      </w:hyperlink>
      <w:r>
        <w:t>, f. 2.</w:t>
      </w:r>
    </w:p>
    <w:p w:rsidR="00E27756" w:rsidRDefault="00E27756" w:rsidP="00E27756">
      <w:pPr>
        <w:pStyle w:val="SangriaFrancesaArticulo"/>
      </w:pPr>
      <w:r w:rsidRPr="00E27756">
        <w:rPr>
          <w:rStyle w:val="TextoNormalNegritaCaracter"/>
        </w:rPr>
        <w:t>Artículo 49.1.5.</w:t>
      </w:r>
      <w:r w:rsidRPr="00E27756">
        <w:rPr>
          <w:rStyle w:val="TextoNormalCaracter"/>
        </w:rPr>
        <w:t>-</w:t>
      </w:r>
      <w:r>
        <w:t xml:space="preserve"> Sentencia </w:t>
      </w:r>
      <w:hyperlink w:anchor="SENTENCIA_2013_66" w:history="1">
        <w:r w:rsidRPr="00E27756">
          <w:rPr>
            <w:rStyle w:val="TextoNormalCaracter"/>
          </w:rPr>
          <w:t>66/2013</w:t>
        </w:r>
      </w:hyperlink>
      <w:r>
        <w:t>, f. 2.</w:t>
      </w:r>
    </w:p>
    <w:p w:rsidR="00E27756" w:rsidRDefault="00E27756" w:rsidP="00E27756">
      <w:pPr>
        <w:pStyle w:val="SangriaFrancesaArticulo"/>
      </w:pPr>
      <w:r w:rsidRPr="00E27756">
        <w:rPr>
          <w:rStyle w:val="TextoNormalNegritaCaracter"/>
        </w:rPr>
        <w:t>Artículo 49.1.6.</w:t>
      </w:r>
      <w:r w:rsidRPr="00E27756">
        <w:rPr>
          <w:rStyle w:val="TextoNormalCaracter"/>
        </w:rPr>
        <w:t>-</w:t>
      </w:r>
      <w:r>
        <w:t xml:space="preserve"> Sentencia </w:t>
      </w:r>
      <w:hyperlink w:anchor="SENTENCIA_2013_66" w:history="1">
        <w:r w:rsidRPr="00E27756">
          <w:rPr>
            <w:rStyle w:val="TextoNormalCaracter"/>
          </w:rPr>
          <w:t>66/2013</w:t>
        </w:r>
      </w:hyperlink>
      <w:r>
        <w:t>, f. 2.</w:t>
      </w:r>
    </w:p>
    <w:p w:rsidR="00E27756" w:rsidRDefault="00E27756" w:rsidP="00E27756">
      <w:pPr>
        <w:pStyle w:val="SangriaFrancesaArticulo"/>
      </w:pPr>
      <w:r w:rsidRPr="00E27756">
        <w:rPr>
          <w:rStyle w:val="TextoNormalNegritaCaracter"/>
        </w:rPr>
        <w:t>Artículo 51.1.1.</w:t>
      </w:r>
      <w:r w:rsidRPr="00E27756">
        <w:rPr>
          <w:rStyle w:val="TextoNormalCaracter"/>
        </w:rPr>
        <w:t>-</w:t>
      </w:r>
      <w:r>
        <w:t xml:space="preserve"> Sentencia </w:t>
      </w:r>
      <w:hyperlink w:anchor="SENTENCIA_2013_65" w:history="1">
        <w:r w:rsidRPr="00E27756">
          <w:rPr>
            <w:rStyle w:val="TextoNormalCaracter"/>
          </w:rPr>
          <w:t>65/2013</w:t>
        </w:r>
      </w:hyperlink>
      <w:r>
        <w:t>, f. 3.</w:t>
      </w:r>
    </w:p>
    <w:p w:rsidR="00E27756" w:rsidRDefault="00E27756" w:rsidP="00E27756">
      <w:pPr>
        <w:pStyle w:val="SangriaFrancesaArticulo"/>
      </w:pPr>
      <w:r w:rsidRPr="00E27756">
        <w:rPr>
          <w:rStyle w:val="TextoNormalNegritaCaracter"/>
        </w:rPr>
        <w:t>Artículo 51.5.</w:t>
      </w:r>
      <w:r w:rsidRPr="00E27756">
        <w:rPr>
          <w:rStyle w:val="TextoNormalCaracter"/>
        </w:rPr>
        <w:t>-</w:t>
      </w:r>
      <w:r>
        <w:t xml:space="preserve"> Sentencia </w:t>
      </w:r>
      <w:hyperlink w:anchor="SENTENCIA_2013_66" w:history="1">
        <w:r w:rsidRPr="00E27756">
          <w:rPr>
            <w:rStyle w:val="TextoNormalCaracter"/>
          </w:rPr>
          <w:t>66/2013</w:t>
        </w:r>
      </w:hyperlink>
      <w:r>
        <w:t>, f. 2.</w:t>
      </w:r>
    </w:p>
    <w:p w:rsidR="00E27756" w:rsidRDefault="00E27756" w:rsidP="00E27756">
      <w:pPr>
        <w:pStyle w:val="SangriaFrancesaArticulo"/>
      </w:pPr>
      <w:r w:rsidRPr="00E27756">
        <w:rPr>
          <w:rStyle w:val="TextoNormalNegritaCaracter"/>
        </w:rPr>
        <w:t>Artículo 76.</w:t>
      </w:r>
      <w:r w:rsidRPr="00E27756">
        <w:rPr>
          <w:rStyle w:val="TextoNormalCaracter"/>
        </w:rPr>
        <w:t>-</w:t>
      </w:r>
      <w:r>
        <w:t xml:space="preserve"> Sentencia </w:t>
      </w:r>
      <w:hyperlink w:anchor="SENTENCIA_2013_86" w:history="1">
        <w:r w:rsidRPr="00E27756">
          <w:rPr>
            <w:rStyle w:val="TextoNormalCaracter"/>
          </w:rPr>
          <w:t>86/2013</w:t>
        </w:r>
      </w:hyperlink>
      <w:r>
        <w:t>, ff. 1, 3, 4.</w:t>
      </w:r>
    </w:p>
    <w:p w:rsidR="00E27756" w:rsidRDefault="00E27756" w:rsidP="00E27756">
      <w:pPr>
        <w:pStyle w:val="SangriaFrancesaArticulo"/>
      </w:pPr>
      <w:r w:rsidRPr="00E27756">
        <w:rPr>
          <w:rStyle w:val="TextoNormalNegritaCaracter"/>
        </w:rPr>
        <w:t>Artículo 76.1.</w:t>
      </w:r>
      <w:r w:rsidRPr="00E27756">
        <w:rPr>
          <w:rStyle w:val="TextoNormalCaracter"/>
        </w:rPr>
        <w:t>-</w:t>
      </w:r>
      <w:r>
        <w:t xml:space="preserve"> Sentencia </w:t>
      </w:r>
      <w:hyperlink w:anchor="SENTENCIA_2013_86" w:history="1">
        <w:r w:rsidRPr="00E27756">
          <w:rPr>
            <w:rStyle w:val="TextoNormalCaracter"/>
          </w:rPr>
          <w:t>86/2013</w:t>
        </w:r>
      </w:hyperlink>
      <w:r>
        <w:t>, f. 4.</w:t>
      </w:r>
    </w:p>
    <w:p w:rsidR="00E27756" w:rsidRDefault="00E27756" w:rsidP="00E27756">
      <w:pPr>
        <w:pStyle w:val="SangriaFrancesaArticulo"/>
      </w:pPr>
      <w:r w:rsidRPr="00E27756">
        <w:rPr>
          <w:rStyle w:val="TextoNormalNegritaCaracter"/>
        </w:rPr>
        <w:t>Artículo 76.2.</w:t>
      </w:r>
      <w:r w:rsidRPr="00E27756">
        <w:rPr>
          <w:rStyle w:val="TextoNormalCaracter"/>
        </w:rPr>
        <w:t>-</w:t>
      </w:r>
      <w:r>
        <w:t xml:space="preserve"> Sentencia </w:t>
      </w:r>
      <w:hyperlink w:anchor="SENTENCIA_2013_86" w:history="1">
        <w:r w:rsidRPr="00E27756">
          <w:rPr>
            <w:rStyle w:val="TextoNormalCaracter"/>
          </w:rPr>
          <w:t>86/2013</w:t>
        </w:r>
      </w:hyperlink>
      <w:r>
        <w:t>, f. 4.</w:t>
      </w:r>
    </w:p>
    <w:p w:rsidR="00E27756" w:rsidRDefault="00E27756" w:rsidP="00E27756">
      <w:pPr>
        <w:pStyle w:val="SangriaFrancesaArticulo"/>
      </w:pPr>
      <w:r w:rsidRPr="00E27756">
        <w:rPr>
          <w:rStyle w:val="TextoNormalNegritaCaracter"/>
        </w:rPr>
        <w:t>Artículo 76.3.</w:t>
      </w:r>
      <w:r w:rsidRPr="00E27756">
        <w:rPr>
          <w:rStyle w:val="TextoNormalCaracter"/>
        </w:rPr>
        <w:t>-</w:t>
      </w:r>
      <w:r>
        <w:t xml:space="preserve"> Sentencia </w:t>
      </w:r>
      <w:hyperlink w:anchor="SENTENCIA_2013_86" w:history="1">
        <w:r w:rsidRPr="00E27756">
          <w:rPr>
            <w:rStyle w:val="TextoNormalCaracter"/>
          </w:rPr>
          <w:t>86/2013</w:t>
        </w:r>
      </w:hyperlink>
      <w:r>
        <w:t>, f. 4.</w:t>
      </w:r>
    </w:p>
    <w:p w:rsidR="00E27756" w:rsidRDefault="00E27756" w:rsidP="00E27756">
      <w:pPr>
        <w:pStyle w:val="SangriaFrancesaArticulo"/>
      </w:pPr>
      <w:r w:rsidRPr="00E27756">
        <w:rPr>
          <w:rStyle w:val="TextoNormalNegritaCaracter"/>
        </w:rPr>
        <w:t>Artículo 76.4.</w:t>
      </w:r>
      <w:r w:rsidRPr="00E27756">
        <w:rPr>
          <w:rStyle w:val="TextoNormalCaracter"/>
        </w:rPr>
        <w:t>-</w:t>
      </w:r>
      <w:r>
        <w:t xml:space="preserve"> Sentencia </w:t>
      </w:r>
      <w:hyperlink w:anchor="SENTENCIA_2013_86" w:history="1">
        <w:r w:rsidRPr="00E27756">
          <w:rPr>
            <w:rStyle w:val="TextoNormalCaracter"/>
          </w:rPr>
          <w:t>86/2013</w:t>
        </w:r>
      </w:hyperlink>
      <w:r>
        <w:t>, f. 4.</w:t>
      </w:r>
    </w:p>
    <w:p w:rsidR="00E27756" w:rsidRDefault="00E27756" w:rsidP="00E27756">
      <w:pPr>
        <w:pStyle w:val="SangriaFrancesaArticulo"/>
      </w:pPr>
      <w:r w:rsidRPr="00E27756">
        <w:rPr>
          <w:rStyle w:val="TextoNormalNegritaCaracter"/>
        </w:rPr>
        <w:t>Disposición adicional tercera.</w:t>
      </w:r>
      <w:r w:rsidRPr="00E27756">
        <w:rPr>
          <w:rStyle w:val="TextoNormalCaracter"/>
        </w:rPr>
        <w:t>-</w:t>
      </w:r>
      <w:r>
        <w:t xml:space="preserve"> Sentencia </w:t>
      </w:r>
      <w:hyperlink w:anchor="SENTENCIA_2013_14" w:history="1">
        <w:r w:rsidRPr="00E27756">
          <w:rPr>
            <w:rStyle w:val="TextoNormalCaracter"/>
          </w:rPr>
          <w:t>14/2013</w:t>
        </w:r>
      </w:hyperlink>
      <w:r>
        <w:t>, ff. 2, 5.</w:t>
      </w:r>
    </w:p>
    <w:p w:rsidR="00E27756" w:rsidRDefault="00E27756" w:rsidP="00E27756">
      <w:pPr>
        <w:pStyle w:val="SangriaFrancesaArticulo"/>
      </w:pPr>
    </w:p>
    <w:p w:rsidR="00E27756" w:rsidRDefault="00E27756" w:rsidP="00E27756">
      <w:pPr>
        <w:pStyle w:val="TextoNormalNegritaCursivandice"/>
      </w:pPr>
      <w:r>
        <w:t>Ley Orgánica 1/2006, de 10 de abril. Reforma de la Ley Orgánica 5/1982, de 1 de julio, de Estatuto de Autonomía de la Comunidad Valenciana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65" w:history="1">
        <w:r w:rsidRPr="00E27756">
          <w:rPr>
            <w:rStyle w:val="TextoNormalCaracter"/>
          </w:rPr>
          <w:t>65/2013</w:t>
        </w:r>
      </w:hyperlink>
      <w:r>
        <w:t xml:space="preserve">, f. 2; </w:t>
      </w:r>
      <w:hyperlink w:anchor="SENTENCIA_2013_66" w:history="1">
        <w:r w:rsidRPr="00E27756">
          <w:rPr>
            <w:rStyle w:val="TextoNormalCaracter"/>
          </w:rPr>
          <w:t>66/2013</w:t>
        </w:r>
      </w:hyperlink>
      <w:r>
        <w:t xml:space="preserve">, f. 2; </w:t>
      </w:r>
      <w:hyperlink w:anchor="SENTENCIA_2013_86" w:history="1">
        <w:r w:rsidRPr="00E27756">
          <w:rPr>
            <w:rStyle w:val="TextoNormalCaracter"/>
          </w:rPr>
          <w:t>86/2013</w:t>
        </w:r>
      </w:hyperlink>
      <w:r>
        <w:t>, f. 1.</w:t>
      </w:r>
    </w:p>
    <w:p w:rsidR="00E27756" w:rsidRDefault="00E27756" w:rsidP="00E27756">
      <w:pPr>
        <w:pStyle w:val="TextoNormal"/>
      </w:pPr>
    </w:p>
    <w:p w:rsidR="00E27756" w:rsidRDefault="00E27756" w:rsidP="00E27756">
      <w:pPr>
        <w:pStyle w:val="TextoNormalNegritaCentradoSubrayado"/>
        <w:suppressAutoHyphens/>
      </w:pPr>
      <w:r>
        <w:lastRenderedPageBreak/>
        <w:t>J.17.b) Leyes y disposiciones con fuerza de Ley</w:t>
      </w:r>
    </w:p>
    <w:p w:rsidR="00E27756" w:rsidRDefault="00E27756" w:rsidP="00E27756">
      <w:pPr>
        <w:pStyle w:val="TextoNormalNegritaCentradoSubrayado"/>
      </w:pPr>
    </w:p>
    <w:p w:rsidR="00E27756" w:rsidRDefault="00E27756" w:rsidP="00E27756">
      <w:pPr>
        <w:pStyle w:val="TextoNormalNegritaCursivandice"/>
      </w:pPr>
      <w:r>
        <w:t>Decreto Legislativo de la Generalidad Valenciana, de 26 de junio de 1991. Texto refundido de la Ley de hacienda pública de la Generalidad Valenciana</w:t>
      </w:r>
    </w:p>
    <w:p w:rsidR="00E27756" w:rsidRDefault="00E27756" w:rsidP="00E27756">
      <w:pPr>
        <w:pStyle w:val="SangriaFrancesaArticulo"/>
      </w:pPr>
      <w:r w:rsidRPr="00E27756">
        <w:rPr>
          <w:rStyle w:val="TextoNormalNegritaCaracter"/>
        </w:rPr>
        <w:t>Artículo 20.1.</w:t>
      </w:r>
      <w:r w:rsidRPr="00E27756">
        <w:rPr>
          <w:rStyle w:val="TextoNormalCaracter"/>
        </w:rPr>
        <w:t>-</w:t>
      </w:r>
      <w:r>
        <w:t xml:space="preserve"> Sentencia </w:t>
      </w:r>
      <w:hyperlink w:anchor="SENTENCIA_2013_86" w:history="1">
        <w:r w:rsidRPr="00E27756">
          <w:rPr>
            <w:rStyle w:val="TextoNormalCaracter"/>
          </w:rPr>
          <w:t>86/2013</w:t>
        </w:r>
      </w:hyperlink>
      <w:r>
        <w:t>, f. 4.</w:t>
      </w:r>
    </w:p>
    <w:p w:rsidR="00E27756" w:rsidRDefault="00E27756" w:rsidP="00E27756">
      <w:pPr>
        <w:pStyle w:val="SangriaFrancesaArticulo"/>
      </w:pPr>
      <w:r w:rsidRPr="00E27756">
        <w:rPr>
          <w:rStyle w:val="TextoNormalNegritaCaracter"/>
        </w:rPr>
        <w:t>Artículos 20 a 48.</w:t>
      </w:r>
      <w:r w:rsidRPr="00E27756">
        <w:rPr>
          <w:rStyle w:val="TextoNormalCaracter"/>
        </w:rPr>
        <w:t>-</w:t>
      </w:r>
      <w:r>
        <w:t xml:space="preserve"> Sentencia </w:t>
      </w:r>
      <w:hyperlink w:anchor="SENTENCIA_2013_86" w:history="1">
        <w:r w:rsidRPr="00E27756">
          <w:rPr>
            <w:rStyle w:val="TextoNormalCaracter"/>
          </w:rPr>
          <w:t>86/2013</w:t>
        </w:r>
      </w:hyperlink>
      <w:r>
        <w:t>, f. 4.</w:t>
      </w:r>
    </w:p>
    <w:p w:rsidR="00E27756" w:rsidRDefault="00E27756" w:rsidP="00E27756">
      <w:pPr>
        <w:pStyle w:val="SangriaFrancesaArticulo"/>
      </w:pPr>
      <w:r w:rsidRPr="00E27756">
        <w:rPr>
          <w:rStyle w:val="TextoNormalNegritaCaracter"/>
        </w:rPr>
        <w:t>Artículo 22.1.</w:t>
      </w:r>
      <w:r w:rsidRPr="00E27756">
        <w:rPr>
          <w:rStyle w:val="TextoNormalCaracter"/>
        </w:rPr>
        <w:t>-</w:t>
      </w:r>
      <w:r>
        <w:t xml:space="preserve"> Sentencia </w:t>
      </w:r>
      <w:hyperlink w:anchor="SENTENCIA_2013_86" w:history="1">
        <w:r w:rsidRPr="00E27756">
          <w:rPr>
            <w:rStyle w:val="TextoNormalCaracter"/>
          </w:rPr>
          <w:t>86/2013</w:t>
        </w:r>
      </w:hyperlink>
      <w:r>
        <w:t>, f. 4.</w:t>
      </w:r>
    </w:p>
    <w:p w:rsidR="00E27756" w:rsidRDefault="00E27756" w:rsidP="00E27756">
      <w:pPr>
        <w:pStyle w:val="SangriaFrancesaArticulo"/>
      </w:pPr>
    </w:p>
    <w:p w:rsidR="00E27756" w:rsidRDefault="00E27756" w:rsidP="00E27756">
      <w:pPr>
        <w:pStyle w:val="TextoNormalNegritaCursivandice"/>
      </w:pPr>
      <w:r>
        <w:t>Ley de las Cortes Valencianas 13/2004, de 27 de diciembre. Caza</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 </w:t>
      </w:r>
      <w:hyperlink w:anchor="SENTENCIA_2013_114" w:history="1">
        <w:r w:rsidRPr="00E27756">
          <w:rPr>
            <w:rStyle w:val="TextoNormalCaracter"/>
          </w:rPr>
          <w:t>114/2013</w:t>
        </w:r>
      </w:hyperlink>
      <w:r>
        <w:t>, ff. 1, 2.</w:t>
      </w:r>
    </w:p>
    <w:p w:rsidR="00E27756" w:rsidRDefault="00E27756" w:rsidP="00E27756">
      <w:pPr>
        <w:pStyle w:val="SangriaFrancesaArticulo"/>
      </w:pPr>
      <w:r w:rsidRPr="00E27756">
        <w:rPr>
          <w:rStyle w:val="TextoNormalNegritaCaracter"/>
        </w:rPr>
        <w:t>Artículo 13.2.</w:t>
      </w:r>
      <w:r w:rsidRPr="00E27756">
        <w:rPr>
          <w:rStyle w:val="TextoNormalCaracter"/>
        </w:rPr>
        <w:t>-</w:t>
      </w:r>
      <w:r>
        <w:t xml:space="preserve"> Sentencia </w:t>
      </w:r>
      <w:hyperlink w:anchor="SENTENCIA_2013_114" w:history="1">
        <w:r w:rsidRPr="00E27756">
          <w:rPr>
            <w:rStyle w:val="TextoNormalCaracter"/>
          </w:rPr>
          <w:t>114/2013</w:t>
        </w:r>
      </w:hyperlink>
      <w:r>
        <w:t>, f. 1.</w:t>
      </w:r>
    </w:p>
    <w:p w:rsidR="00E27756" w:rsidRDefault="00E27756" w:rsidP="00E27756">
      <w:pPr>
        <w:pStyle w:val="SangriaFrancesaArticulo"/>
      </w:pPr>
    </w:p>
    <w:p w:rsidR="00E27756" w:rsidRDefault="00E27756" w:rsidP="00E27756">
      <w:pPr>
        <w:pStyle w:val="TextoNormalNegritaCursivandice"/>
      </w:pPr>
      <w:r>
        <w:t>Ley de las Cortes Valencianas 3/2005, de 15 de junio. Archivos</w:t>
      </w:r>
    </w:p>
    <w:p w:rsidR="00E27756" w:rsidRDefault="00E27756" w:rsidP="00E27756">
      <w:pPr>
        <w:pStyle w:val="SangriaFrancesaArticulo"/>
      </w:pPr>
      <w:r w:rsidRPr="00E27756">
        <w:rPr>
          <w:rStyle w:val="TextoNormalNegritaCaracter"/>
        </w:rPr>
        <w:t>Título preliminar.</w:t>
      </w:r>
      <w:r w:rsidRPr="00E27756">
        <w:rPr>
          <w:rStyle w:val="TextoNormalCaracter"/>
        </w:rPr>
        <w:t>-</w:t>
      </w:r>
      <w:r>
        <w:t xml:space="preserve"> Sentencia </w:t>
      </w:r>
      <w:hyperlink w:anchor="SENTENCIA_2013_66" w:history="1">
        <w:r w:rsidRPr="00E27756">
          <w:rPr>
            <w:rStyle w:val="TextoNormalCaracter"/>
          </w:rPr>
          <w:t>66/2013</w:t>
        </w:r>
      </w:hyperlink>
      <w:r>
        <w:t>, f. 4.</w:t>
      </w:r>
    </w:p>
    <w:p w:rsidR="00E27756" w:rsidRDefault="00E27756" w:rsidP="00E27756">
      <w:pPr>
        <w:pStyle w:val="SangriaFrancesaArticulo"/>
      </w:pPr>
      <w:r w:rsidRPr="00E27756">
        <w:rPr>
          <w:rStyle w:val="TextoNormalNegritaCaracter"/>
        </w:rPr>
        <w:t>Título II.</w:t>
      </w:r>
      <w:r w:rsidRPr="00E27756">
        <w:rPr>
          <w:rStyle w:val="TextoNormalCaracter"/>
        </w:rPr>
        <w:t>-</w:t>
      </w:r>
      <w:r>
        <w:t xml:space="preserve"> Sentencia </w:t>
      </w:r>
      <w:hyperlink w:anchor="SENTENCIA_2013_66" w:history="1">
        <w:r w:rsidRPr="00E27756">
          <w:rPr>
            <w:rStyle w:val="TextoNormalCaracter"/>
          </w:rPr>
          <w:t>66/2013</w:t>
        </w:r>
      </w:hyperlink>
      <w:r>
        <w:t>, f. 4.</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66" w:history="1">
        <w:r w:rsidRPr="00E27756">
          <w:rPr>
            <w:rStyle w:val="TextoNormalCaracter"/>
          </w:rPr>
          <w:t>66/2013</w:t>
        </w:r>
      </w:hyperlink>
      <w:r>
        <w:t>, f. 4.</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66" w:history="1">
        <w:r w:rsidRPr="00E27756">
          <w:rPr>
            <w:rStyle w:val="TextoNormalCaracter"/>
          </w:rPr>
          <w:t>66/2013</w:t>
        </w:r>
      </w:hyperlink>
      <w:r>
        <w:t>, f. 4.</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 </w:t>
      </w:r>
      <w:hyperlink w:anchor="SENTENCIA_2013_66" w:history="1">
        <w:r w:rsidRPr="00E27756">
          <w:rPr>
            <w:rStyle w:val="TextoNormalCaracter"/>
          </w:rPr>
          <w:t>66/2013</w:t>
        </w:r>
      </w:hyperlink>
      <w:r>
        <w:t>, f. 4.</w:t>
      </w:r>
    </w:p>
    <w:p w:rsidR="00E27756" w:rsidRDefault="00E27756" w:rsidP="00E27756">
      <w:pPr>
        <w:pStyle w:val="SangriaFrancesaArticulo"/>
      </w:pPr>
      <w:r w:rsidRPr="00E27756">
        <w:rPr>
          <w:rStyle w:val="TextoNormalNegritaCaracter"/>
        </w:rPr>
        <w:t>Artículo 2.2.</w:t>
      </w:r>
      <w:r w:rsidRPr="00E27756">
        <w:rPr>
          <w:rStyle w:val="TextoNormalCaracter"/>
        </w:rPr>
        <w:t>-</w:t>
      </w:r>
      <w:r>
        <w:t xml:space="preserve"> Sentencia </w:t>
      </w:r>
      <w:hyperlink w:anchor="SENTENCIA_2013_66" w:history="1">
        <w:r w:rsidRPr="00E27756">
          <w:rPr>
            <w:rStyle w:val="TextoNormalCaracter"/>
          </w:rPr>
          <w:t>66/2013</w:t>
        </w:r>
      </w:hyperlink>
      <w:r>
        <w:t>, f. 4.</w:t>
      </w:r>
    </w:p>
    <w:p w:rsidR="00E27756" w:rsidRDefault="00E27756" w:rsidP="00E27756">
      <w:pPr>
        <w:pStyle w:val="SangriaFrancesaArticulo"/>
      </w:pPr>
      <w:r w:rsidRPr="00E27756">
        <w:rPr>
          <w:rStyle w:val="TextoNormalNegritaCaracter"/>
        </w:rPr>
        <w:t>Artículo 2.3.</w:t>
      </w:r>
      <w:r w:rsidRPr="00E27756">
        <w:rPr>
          <w:rStyle w:val="TextoNormalCaracter"/>
        </w:rPr>
        <w:t>-</w:t>
      </w:r>
      <w:r>
        <w:t xml:space="preserve"> Sentencia </w:t>
      </w:r>
      <w:hyperlink w:anchor="SENTENCIA_2013_66" w:history="1">
        <w:r w:rsidRPr="00E27756">
          <w:rPr>
            <w:rStyle w:val="TextoNormalCaracter"/>
          </w:rPr>
          <w:t>66/2013</w:t>
        </w:r>
      </w:hyperlink>
      <w:r>
        <w:t>, f. 4.</w:t>
      </w:r>
    </w:p>
    <w:p w:rsidR="00E27756" w:rsidRDefault="00E27756" w:rsidP="00E27756">
      <w:pPr>
        <w:pStyle w:val="SangriaFrancesaArticulo"/>
      </w:pPr>
      <w:r w:rsidRPr="00E27756">
        <w:rPr>
          <w:rStyle w:val="TextoNormalNegritaCaracter"/>
        </w:rPr>
        <w:t>Artículo 3 a).</w:t>
      </w:r>
      <w:r w:rsidRPr="00E27756">
        <w:rPr>
          <w:rStyle w:val="TextoNormalCaracter"/>
        </w:rPr>
        <w:t>-</w:t>
      </w:r>
      <w:r>
        <w:t xml:space="preserve"> Sentencia </w:t>
      </w:r>
      <w:hyperlink w:anchor="SENTENCIA_2013_66" w:history="1">
        <w:r w:rsidRPr="00E27756">
          <w:rPr>
            <w:rStyle w:val="TextoNormalCaracter"/>
          </w:rPr>
          <w:t>66/2013</w:t>
        </w:r>
      </w:hyperlink>
      <w:r>
        <w:t>, f. 4.</w:t>
      </w:r>
    </w:p>
    <w:p w:rsidR="00E27756" w:rsidRDefault="00E27756" w:rsidP="00E27756">
      <w:pPr>
        <w:pStyle w:val="SangriaFrancesaArticulo"/>
      </w:pPr>
      <w:r w:rsidRPr="00E27756">
        <w:rPr>
          <w:rStyle w:val="TextoNormalNegritaCaracter"/>
        </w:rPr>
        <w:t>Artículo 7.4.</w:t>
      </w:r>
      <w:r w:rsidRPr="00E27756">
        <w:rPr>
          <w:rStyle w:val="TextoNormalCaracter"/>
        </w:rPr>
        <w:t>-</w:t>
      </w:r>
      <w:r>
        <w:t xml:space="preserve"> Sentencia </w:t>
      </w:r>
      <w:hyperlink w:anchor="SENTENCIA_2013_66" w:history="1">
        <w:r w:rsidRPr="00E27756">
          <w:rPr>
            <w:rStyle w:val="TextoNormalCaracter"/>
          </w:rPr>
          <w:t>66/2013</w:t>
        </w:r>
      </w:hyperlink>
      <w:r>
        <w:t>, f. 4.</w:t>
      </w:r>
    </w:p>
    <w:p w:rsidR="00E27756" w:rsidRDefault="00E27756" w:rsidP="00E27756">
      <w:pPr>
        <w:pStyle w:val="SangriaFrancesaArticulo"/>
      </w:pPr>
      <w:r w:rsidRPr="00E27756">
        <w:rPr>
          <w:rStyle w:val="TextoNormalNegritaCaracter"/>
        </w:rPr>
        <w:t>Artículo 7.4 a).</w:t>
      </w:r>
      <w:r w:rsidRPr="00E27756">
        <w:rPr>
          <w:rStyle w:val="TextoNormalCaracter"/>
        </w:rPr>
        <w:t>-</w:t>
      </w:r>
      <w:r>
        <w:t xml:space="preserve"> Sentencia </w:t>
      </w:r>
      <w:hyperlink w:anchor="SENTENCIA_2013_66" w:history="1">
        <w:r w:rsidRPr="00E27756">
          <w:rPr>
            <w:rStyle w:val="TextoNormalCaracter"/>
          </w:rPr>
          <w:t>66/2013</w:t>
        </w:r>
      </w:hyperlink>
      <w:r>
        <w:t>, ff. 1, 4.</w:t>
      </w:r>
    </w:p>
    <w:p w:rsidR="00E27756" w:rsidRDefault="00E27756" w:rsidP="00E27756">
      <w:pPr>
        <w:pStyle w:val="SangriaFrancesaArticulo"/>
      </w:pPr>
      <w:r w:rsidRPr="00E27756">
        <w:rPr>
          <w:rStyle w:val="TextoNormalNegritaCaracter"/>
        </w:rPr>
        <w:t>Artículo 7.4 b) a f).</w:t>
      </w:r>
      <w:r w:rsidRPr="00E27756">
        <w:rPr>
          <w:rStyle w:val="TextoNormalCaracter"/>
        </w:rPr>
        <w:t>-</w:t>
      </w:r>
      <w:r>
        <w:t xml:space="preserve"> Sentencia </w:t>
      </w:r>
      <w:hyperlink w:anchor="SENTENCIA_2013_66" w:history="1">
        <w:r w:rsidRPr="00E27756">
          <w:rPr>
            <w:rStyle w:val="TextoNormalCaracter"/>
          </w:rPr>
          <w:t>66/2013</w:t>
        </w:r>
      </w:hyperlink>
      <w:r>
        <w:t>, f. 1.</w:t>
      </w:r>
    </w:p>
    <w:p w:rsidR="00E27756" w:rsidRDefault="00E27756" w:rsidP="00E27756">
      <w:pPr>
        <w:pStyle w:val="SangriaFrancesaArticulo"/>
      </w:pPr>
      <w:r w:rsidRPr="00E27756">
        <w:rPr>
          <w:rStyle w:val="TextoNormalNegritaCaracter"/>
        </w:rPr>
        <w:t>Artículo 7.4 h) a j).</w:t>
      </w:r>
      <w:r w:rsidRPr="00E27756">
        <w:rPr>
          <w:rStyle w:val="TextoNormalCaracter"/>
        </w:rPr>
        <w:t>-</w:t>
      </w:r>
      <w:r>
        <w:t xml:space="preserve"> Sentencia </w:t>
      </w:r>
      <w:hyperlink w:anchor="SENTENCIA_2013_66" w:history="1">
        <w:r w:rsidRPr="00E27756">
          <w:rPr>
            <w:rStyle w:val="TextoNormalCaracter"/>
          </w:rPr>
          <w:t>66/2013</w:t>
        </w:r>
      </w:hyperlink>
      <w:r>
        <w:t>, f. 1.</w:t>
      </w:r>
    </w:p>
    <w:p w:rsidR="00E27756" w:rsidRDefault="00E27756" w:rsidP="00E27756">
      <w:pPr>
        <w:pStyle w:val="SangriaFrancesaArticulo"/>
      </w:pPr>
      <w:r w:rsidRPr="00E27756">
        <w:rPr>
          <w:rStyle w:val="TextoNormalNegritaCaracter"/>
        </w:rPr>
        <w:t>Artículo 8.1.</w:t>
      </w:r>
      <w:r w:rsidRPr="00E27756">
        <w:rPr>
          <w:rStyle w:val="TextoNormalCaracter"/>
        </w:rPr>
        <w:t>-</w:t>
      </w:r>
      <w:r>
        <w:t xml:space="preserve"> Sentencia </w:t>
      </w:r>
      <w:hyperlink w:anchor="SENTENCIA_2013_66" w:history="1">
        <w:r w:rsidRPr="00E27756">
          <w:rPr>
            <w:rStyle w:val="TextoNormalCaracter"/>
          </w:rPr>
          <w:t>66/2013</w:t>
        </w:r>
      </w:hyperlink>
      <w:r>
        <w:t>, f. 4.</w:t>
      </w:r>
    </w:p>
    <w:p w:rsidR="00E27756" w:rsidRDefault="00E27756" w:rsidP="00E27756">
      <w:pPr>
        <w:pStyle w:val="SangriaFrancesaArticulo"/>
      </w:pPr>
      <w:r w:rsidRPr="00E27756">
        <w:rPr>
          <w:rStyle w:val="TextoNormalNegritaCaracter"/>
        </w:rPr>
        <w:t>Artículo 9 a).</w:t>
      </w:r>
      <w:r w:rsidRPr="00E27756">
        <w:rPr>
          <w:rStyle w:val="TextoNormalCaracter"/>
        </w:rPr>
        <w:t>-</w:t>
      </w:r>
      <w:r>
        <w:t xml:space="preserve"> Sentencia </w:t>
      </w:r>
      <w:hyperlink w:anchor="SENTENCIA_2013_66" w:history="1">
        <w:r w:rsidRPr="00E27756">
          <w:rPr>
            <w:rStyle w:val="TextoNormalCaracter"/>
          </w:rPr>
          <w:t>66/2013</w:t>
        </w:r>
      </w:hyperlink>
      <w:r>
        <w:t>, f. 4.</w:t>
      </w:r>
    </w:p>
    <w:p w:rsidR="00E27756" w:rsidRDefault="00E27756" w:rsidP="00E27756">
      <w:pPr>
        <w:pStyle w:val="SangriaFrancesaArticulo"/>
      </w:pPr>
      <w:r w:rsidRPr="00E27756">
        <w:rPr>
          <w:rStyle w:val="TextoNormalNegritaCaracter"/>
        </w:rPr>
        <w:t>Artículo 9 b).</w:t>
      </w:r>
      <w:r w:rsidRPr="00E27756">
        <w:rPr>
          <w:rStyle w:val="TextoNormalCaracter"/>
        </w:rPr>
        <w:t>-</w:t>
      </w:r>
      <w:r>
        <w:t xml:space="preserve"> Sentencia </w:t>
      </w:r>
      <w:hyperlink w:anchor="SENTENCIA_2013_66" w:history="1">
        <w:r w:rsidRPr="00E27756">
          <w:rPr>
            <w:rStyle w:val="TextoNormalCaracter"/>
          </w:rPr>
          <w:t>66/2013</w:t>
        </w:r>
      </w:hyperlink>
      <w:r>
        <w:t>, f. 4.</w:t>
      </w:r>
    </w:p>
    <w:p w:rsidR="00E27756" w:rsidRDefault="00E27756" w:rsidP="00E27756">
      <w:pPr>
        <w:pStyle w:val="SangriaFrancesaArticulo"/>
      </w:pPr>
      <w:r w:rsidRPr="00E27756">
        <w:rPr>
          <w:rStyle w:val="TextoNormalNegritaCaracter"/>
        </w:rPr>
        <w:t>Artículo 9 e).</w:t>
      </w:r>
      <w:r w:rsidRPr="00E27756">
        <w:rPr>
          <w:rStyle w:val="TextoNormalCaracter"/>
        </w:rPr>
        <w:t>-</w:t>
      </w:r>
      <w:r>
        <w:t xml:space="preserve"> Sentencia </w:t>
      </w:r>
      <w:hyperlink w:anchor="SENTENCIA_2013_66" w:history="1">
        <w:r w:rsidRPr="00E27756">
          <w:rPr>
            <w:rStyle w:val="TextoNormalCaracter"/>
          </w:rPr>
          <w:t>66/2013</w:t>
        </w:r>
      </w:hyperlink>
      <w:r>
        <w:t>, f. 4.</w:t>
      </w:r>
    </w:p>
    <w:p w:rsidR="00E27756" w:rsidRDefault="00E27756" w:rsidP="00E27756">
      <w:pPr>
        <w:pStyle w:val="SangriaFrancesaArticulo"/>
      </w:pPr>
    </w:p>
    <w:p w:rsidR="00E27756" w:rsidRDefault="00E27756" w:rsidP="00E27756">
      <w:pPr>
        <w:pStyle w:val="TextoNormalNegritaCursivandice"/>
      </w:pPr>
      <w:r>
        <w:t>Ley de las Cortes Valencianas 15/2007, de 27 de diciembre. Presupuestos de la Generalidad para el ejercicio 2008</w:t>
      </w:r>
    </w:p>
    <w:p w:rsidR="00E27756" w:rsidRDefault="00E27756" w:rsidP="00E27756">
      <w:pPr>
        <w:pStyle w:val="SangriaFrancesaArticulo"/>
      </w:pPr>
      <w:r w:rsidRPr="00E27756">
        <w:rPr>
          <w:rStyle w:val="TextoNormalNegritaCaracter"/>
        </w:rPr>
        <w:t>Artículo 134.</w:t>
      </w:r>
      <w:r w:rsidRPr="00E27756">
        <w:rPr>
          <w:rStyle w:val="TextoNormalCaracter"/>
        </w:rPr>
        <w:t>-</w:t>
      </w:r>
      <w:r>
        <w:t xml:space="preserve"> Sentencia </w:t>
      </w:r>
      <w:hyperlink w:anchor="SENTENCIA_2013_86" w:history="1">
        <w:r w:rsidRPr="00E27756">
          <w:rPr>
            <w:rStyle w:val="TextoNormalCaracter"/>
          </w:rPr>
          <w:t>86/2013</w:t>
        </w:r>
      </w:hyperlink>
      <w:r>
        <w:t>, f. 1.</w:t>
      </w:r>
    </w:p>
    <w:p w:rsidR="00E27756" w:rsidRDefault="00E27756" w:rsidP="00E27756">
      <w:pPr>
        <w:pStyle w:val="SangriaFrancesaArticulo"/>
      </w:pPr>
      <w:r w:rsidRPr="00E27756">
        <w:rPr>
          <w:rStyle w:val="TextoNormalNegritaCaracter"/>
        </w:rPr>
        <w:t>Disposición adicional undécima.</w:t>
      </w:r>
      <w:r w:rsidRPr="00E27756">
        <w:rPr>
          <w:rStyle w:val="TextoNormalCaracter"/>
        </w:rPr>
        <w:t>-</w:t>
      </w:r>
      <w:r>
        <w:t xml:space="preserve"> Sentencia </w:t>
      </w:r>
      <w:hyperlink w:anchor="SENTENCIA_2013_86" w:history="1">
        <w:r w:rsidRPr="00E27756">
          <w:rPr>
            <w:rStyle w:val="TextoNormalCaracter"/>
          </w:rPr>
          <w:t>86/2013</w:t>
        </w:r>
      </w:hyperlink>
      <w:r>
        <w:t>, ff. 1, 5.</w:t>
      </w:r>
    </w:p>
    <w:p w:rsidR="00E27756" w:rsidRDefault="00E27756" w:rsidP="00E27756">
      <w:pPr>
        <w:pStyle w:val="SangriaFrancesaArticulo"/>
      </w:pPr>
    </w:p>
    <w:p w:rsidR="00E27756" w:rsidRDefault="00E27756" w:rsidP="00E27756">
      <w:pPr>
        <w:pStyle w:val="TextoNormalNegritaCursivandice"/>
      </w:pPr>
      <w:r>
        <w:t>Ley de las Cortes Valencianas 16/2008, de 22 de diciembre. Medidas fiscales, de gestión administrativa y financiera y de organización de la Generalidad</w:t>
      </w:r>
    </w:p>
    <w:p w:rsidR="00E27756" w:rsidRDefault="00E27756" w:rsidP="00E27756">
      <w:pPr>
        <w:pStyle w:val="SangriaFrancesaArticulo"/>
      </w:pPr>
      <w:r w:rsidRPr="00E27756">
        <w:rPr>
          <w:rStyle w:val="TextoNormalNegritaCaracter"/>
        </w:rPr>
        <w:t>Artículo 79.</w:t>
      </w:r>
      <w:r w:rsidRPr="00E27756">
        <w:rPr>
          <w:rStyle w:val="TextoNormalCaracter"/>
        </w:rPr>
        <w:t>-</w:t>
      </w:r>
      <w:r>
        <w:t xml:space="preserve"> Sentencia </w:t>
      </w:r>
      <w:hyperlink w:anchor="SENTENCIA_2013_86" w:history="1">
        <w:r w:rsidRPr="00E27756">
          <w:rPr>
            <w:rStyle w:val="TextoNormalCaracter"/>
          </w:rPr>
          <w:t>86/2013</w:t>
        </w:r>
      </w:hyperlink>
      <w:r>
        <w:t>, f. 2.</w:t>
      </w:r>
    </w:p>
    <w:p w:rsidR="00E27756" w:rsidRDefault="00E27756" w:rsidP="00E27756">
      <w:pPr>
        <w:pStyle w:val="SangriaFrancesaArticulo"/>
      </w:pPr>
      <w:r w:rsidRPr="00E27756">
        <w:rPr>
          <w:rStyle w:val="TextoNormalNegritaCaracter"/>
        </w:rPr>
        <w:t>Disposición derogatoria segunda.</w:t>
      </w:r>
      <w:r w:rsidRPr="00E27756">
        <w:rPr>
          <w:rStyle w:val="TextoNormalCaracter"/>
        </w:rPr>
        <w:t>-</w:t>
      </w:r>
      <w:r>
        <w:t xml:space="preserve"> Sentencia </w:t>
      </w:r>
      <w:hyperlink w:anchor="SENTENCIA_2013_86" w:history="1">
        <w:r w:rsidRPr="00E27756">
          <w:rPr>
            <w:rStyle w:val="TextoNormalCaracter"/>
          </w:rPr>
          <w:t>86/2013</w:t>
        </w:r>
      </w:hyperlink>
      <w:r>
        <w:t>, f. 2.</w:t>
      </w:r>
    </w:p>
    <w:p w:rsidR="00E27756" w:rsidRDefault="00E27756" w:rsidP="00E27756">
      <w:pPr>
        <w:pStyle w:val="SangriaFrancesaArticulo"/>
      </w:pPr>
    </w:p>
    <w:p w:rsidR="00E27756" w:rsidRDefault="00E27756" w:rsidP="00E27756">
      <w:pPr>
        <w:pStyle w:val="TextoNormalNegritaCursivandice"/>
      </w:pPr>
      <w:r>
        <w:t>Ley de las Cortes Valencianas 7/2009, de 22 de octubre. Reforma de los artículos 7 y 10 de la Ley 13/2004, de 27 de diciembre, de Caza de la Comunidad Valenciana</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114" w:history="1">
        <w:r w:rsidRPr="00E27756">
          <w:rPr>
            <w:rStyle w:val="TextoNormalCaracter"/>
          </w:rPr>
          <w:t>114/2013</w:t>
        </w:r>
      </w:hyperlink>
      <w:r>
        <w:t>, f. 1.</w:t>
      </w:r>
    </w:p>
    <w:p w:rsidR="00E27756" w:rsidRDefault="00E27756" w:rsidP="00E27756">
      <w:pPr>
        <w:pStyle w:val="TextoNormal"/>
      </w:pPr>
    </w:p>
    <w:p w:rsidR="00E27756" w:rsidRDefault="00E27756" w:rsidP="00E27756">
      <w:pPr>
        <w:pStyle w:val="TextoNormalNegritaCentradoSubrayado"/>
        <w:suppressAutoHyphens/>
      </w:pPr>
      <w:r>
        <w:t>J.17.d) Normas parlamentarias autonómicas</w:t>
      </w:r>
    </w:p>
    <w:p w:rsidR="00E27756" w:rsidRDefault="00E27756" w:rsidP="00E27756">
      <w:pPr>
        <w:pStyle w:val="TextoNormalNegritaCentradoSubrayado"/>
      </w:pPr>
    </w:p>
    <w:p w:rsidR="00E27756" w:rsidRDefault="00E27756" w:rsidP="00E27756">
      <w:pPr>
        <w:pStyle w:val="TextoNormalNegritaCursivandice"/>
      </w:pPr>
      <w:r>
        <w:lastRenderedPageBreak/>
        <w:t>Reglamento de las Cortes Valencianas, de 18 de diciembre de 2006</w:t>
      </w:r>
    </w:p>
    <w:p w:rsidR="00E27756" w:rsidRDefault="00E27756" w:rsidP="00E27756">
      <w:pPr>
        <w:pStyle w:val="SangriaFrancesaArticulo"/>
      </w:pPr>
      <w:r w:rsidRPr="00E27756">
        <w:rPr>
          <w:rStyle w:val="TextoNormalNegritaCaracter"/>
        </w:rPr>
        <w:t>Título V, capítulo III, sección 2.</w:t>
      </w:r>
      <w:r w:rsidRPr="00E27756">
        <w:rPr>
          <w:rStyle w:val="TextoNormalCaracter"/>
        </w:rPr>
        <w:t>-</w:t>
      </w:r>
      <w:r>
        <w:t xml:space="preserve"> Sentencia </w:t>
      </w:r>
      <w:hyperlink w:anchor="SENTENCIA_2013_86" w:history="1">
        <w:r w:rsidRPr="00E27756">
          <w:rPr>
            <w:rStyle w:val="TextoNormalCaracter"/>
          </w:rPr>
          <w:t>86/2013</w:t>
        </w:r>
      </w:hyperlink>
      <w:r>
        <w:t>, f. 4.</w:t>
      </w:r>
    </w:p>
    <w:p w:rsidR="00E27756" w:rsidRDefault="00E27756" w:rsidP="00E27756">
      <w:pPr>
        <w:pStyle w:val="SangriaFrancesaArticulo"/>
      </w:pPr>
      <w:r w:rsidRPr="00E27756">
        <w:rPr>
          <w:rStyle w:val="TextoNormalNegritaCaracter"/>
        </w:rPr>
        <w:t>Artículos 130 a 132.</w:t>
      </w:r>
      <w:r w:rsidRPr="00E27756">
        <w:rPr>
          <w:rStyle w:val="TextoNormalCaracter"/>
        </w:rPr>
        <w:t>-</w:t>
      </w:r>
      <w:r>
        <w:t xml:space="preserve"> Sentencia </w:t>
      </w:r>
      <w:hyperlink w:anchor="SENTENCIA_2013_86" w:history="1">
        <w:r w:rsidRPr="00E27756">
          <w:rPr>
            <w:rStyle w:val="TextoNormalCaracter"/>
          </w:rPr>
          <w:t>86/2013</w:t>
        </w:r>
      </w:hyperlink>
      <w:r>
        <w:t>, f. 4.</w:t>
      </w:r>
    </w:p>
    <w:p w:rsidR="00E27756" w:rsidRDefault="00E27756" w:rsidP="00E27756">
      <w:pPr>
        <w:pStyle w:val="TextoNormal"/>
      </w:pPr>
    </w:p>
    <w:p w:rsidR="00E27756" w:rsidRDefault="00E27756" w:rsidP="00E27756">
      <w:pPr>
        <w:pStyle w:val="SangriaFrancesaArticulo"/>
      </w:pPr>
      <w:bookmarkStart w:id="304" w:name="INDICE22869"/>
    </w:p>
    <w:bookmarkEnd w:id="304"/>
    <w:p w:rsidR="00E27756" w:rsidRDefault="00E27756" w:rsidP="00E27756">
      <w:pPr>
        <w:pStyle w:val="TextoIndiceNivel2"/>
        <w:suppressAutoHyphens/>
      </w:pPr>
      <w:r>
        <w:t>K) Territorios históricos y corporaciones locales</w:t>
      </w:r>
    </w:p>
    <w:p w:rsidR="00E27756" w:rsidRDefault="00E27756" w:rsidP="00E27756">
      <w:pPr>
        <w:pStyle w:val="TextoNormal"/>
      </w:pPr>
    </w:p>
    <w:p w:rsidR="00E27756" w:rsidRDefault="00E27756" w:rsidP="00E27756">
      <w:pPr>
        <w:pStyle w:val="TextoNormalNegritaCentrado"/>
        <w:suppressAutoHyphens/>
      </w:pPr>
      <w:r w:rsidRPr="00E27756">
        <w:rPr>
          <w:rStyle w:val="TextoNormalNegritaCentradoSombreado"/>
        </w:rPr>
        <w:t>K.18) Territorios históricos</w:t>
      </w:r>
    </w:p>
    <w:p w:rsidR="00E27756" w:rsidRDefault="00E27756" w:rsidP="00E27756">
      <w:pPr>
        <w:pStyle w:val="TextoNormal"/>
      </w:pPr>
    </w:p>
    <w:p w:rsidR="00E27756" w:rsidRDefault="00E27756" w:rsidP="00E27756">
      <w:pPr>
        <w:pStyle w:val="TextoNormalNegritaCentradoSubrayado"/>
        <w:suppressAutoHyphens/>
      </w:pPr>
      <w:r>
        <w:t>K.18.1</w:t>
      </w:r>
      <w:r w:rsidR="00EE3DBB">
        <w:t>) Araba/Álava</w:t>
      </w:r>
    </w:p>
    <w:p w:rsidR="00E27756" w:rsidRDefault="00E27756" w:rsidP="00E27756">
      <w:pPr>
        <w:pStyle w:val="TextoNormalNegritaCentradoSubrayado"/>
      </w:pPr>
    </w:p>
    <w:p w:rsidR="00E27756" w:rsidRDefault="00E27756" w:rsidP="00E27756">
      <w:pPr>
        <w:pStyle w:val="TextoNormalNegritaCursivandice"/>
      </w:pPr>
      <w:r>
        <w:t>Norma Foral de la Junta General de Álava 41/1989, de 19 de julio. Haciendas locales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5" w:history="1">
        <w:r w:rsidRPr="00E27756">
          <w:rPr>
            <w:rStyle w:val="TextoNormalCaracter"/>
          </w:rPr>
          <w:t>85/2013</w:t>
        </w:r>
      </w:hyperlink>
      <w:r>
        <w:t>, f. 5.</w:t>
      </w:r>
    </w:p>
    <w:p w:rsidR="00E27756" w:rsidRDefault="00E27756" w:rsidP="00E27756">
      <w:pPr>
        <w:pStyle w:val="SangriaFrancesaArticulo"/>
      </w:pPr>
      <w:r w:rsidRPr="00E27756">
        <w:rPr>
          <w:rStyle w:val="TextoNormalNegritaCaracter"/>
        </w:rPr>
        <w:t>Artículo 20.3 t).</w:t>
      </w:r>
      <w:r w:rsidRPr="00E27756">
        <w:rPr>
          <w:rStyle w:val="TextoNormalCaracter"/>
        </w:rPr>
        <w:t>-</w:t>
      </w:r>
      <w:r>
        <w:t xml:space="preserve"> Sentencia </w:t>
      </w:r>
      <w:hyperlink w:anchor="SENTENCIA_2013_85" w:history="1">
        <w:r w:rsidRPr="00E27756">
          <w:rPr>
            <w:rStyle w:val="TextoNormalCaracter"/>
          </w:rPr>
          <w:t>85/2013</w:t>
        </w:r>
      </w:hyperlink>
      <w:r>
        <w:t>, f. 4.</w:t>
      </w:r>
    </w:p>
    <w:p w:rsidR="00E27756" w:rsidRDefault="00E27756" w:rsidP="00E27756">
      <w:pPr>
        <w:pStyle w:val="TextoNormal"/>
      </w:pPr>
    </w:p>
    <w:p w:rsidR="00E27756" w:rsidRDefault="00E27756" w:rsidP="00E27756">
      <w:pPr>
        <w:pStyle w:val="TextoNormalNegritaCentradoSubrayado"/>
        <w:suppressAutoHyphens/>
      </w:pPr>
      <w:r>
        <w:t>K.18.1</w:t>
      </w:r>
      <w:r w:rsidR="00E63417">
        <w:t>) Gipuzkoa</w:t>
      </w:r>
    </w:p>
    <w:p w:rsidR="00E27756" w:rsidRDefault="00E27756" w:rsidP="00E27756">
      <w:pPr>
        <w:pStyle w:val="TextoNormalNegritaCentradoSubrayado"/>
      </w:pPr>
    </w:p>
    <w:p w:rsidR="00E27756" w:rsidRDefault="00E27756" w:rsidP="00E27756">
      <w:pPr>
        <w:pStyle w:val="TextoNormalNegritaCursivandice"/>
      </w:pPr>
      <w:r>
        <w:t>Norma Foral de la Junta General de Gipuzkoa 11/1989, de 5 de julio.  Haciendas locales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5" w:history="1">
        <w:r w:rsidRPr="00E27756">
          <w:rPr>
            <w:rStyle w:val="TextoNormalCaracter"/>
          </w:rPr>
          <w:t>85/2013</w:t>
        </w:r>
      </w:hyperlink>
      <w:r>
        <w:t>, ff. 5, 6.</w:t>
      </w:r>
    </w:p>
    <w:p w:rsidR="00E27756" w:rsidRDefault="00E27756" w:rsidP="00E27756">
      <w:pPr>
        <w:pStyle w:val="SangriaFrancesaArticulo"/>
      </w:pPr>
      <w:r w:rsidRPr="00E27756">
        <w:rPr>
          <w:rStyle w:val="TextoNormalNegritaCaracter"/>
        </w:rPr>
        <w:t>Artículo 20.3 t).</w:t>
      </w:r>
      <w:r w:rsidRPr="00E27756">
        <w:rPr>
          <w:rStyle w:val="TextoNormalCaracter"/>
        </w:rPr>
        <w:t>-</w:t>
      </w:r>
      <w:r>
        <w:t xml:space="preserve"> Sentencia </w:t>
      </w:r>
      <w:hyperlink w:anchor="SENTENCIA_2013_85" w:history="1">
        <w:r w:rsidRPr="00E27756">
          <w:rPr>
            <w:rStyle w:val="TextoNormalCaracter"/>
          </w:rPr>
          <w:t>85/2013</w:t>
        </w:r>
      </w:hyperlink>
      <w:r>
        <w:t>, f. 4.</w:t>
      </w:r>
    </w:p>
    <w:p w:rsidR="00E27756" w:rsidRDefault="00E27756" w:rsidP="00E27756">
      <w:pPr>
        <w:pStyle w:val="TextoNormal"/>
      </w:pPr>
    </w:p>
    <w:p w:rsidR="00E27756" w:rsidRDefault="00E27756" w:rsidP="00E27756">
      <w:pPr>
        <w:pStyle w:val="TextoNormalNegritaCentradoSubrayado"/>
        <w:suppressAutoHyphens/>
      </w:pPr>
      <w:r>
        <w:t>K.18.1</w:t>
      </w:r>
      <w:r w:rsidR="00F7551D">
        <w:t>) Bizkaia</w:t>
      </w:r>
    </w:p>
    <w:p w:rsidR="00E27756" w:rsidRDefault="00E27756" w:rsidP="00E27756">
      <w:pPr>
        <w:pStyle w:val="TextoNormalNegritaCentradoSubrayado"/>
      </w:pPr>
    </w:p>
    <w:p w:rsidR="00E27756" w:rsidRDefault="00E27756" w:rsidP="00E27756">
      <w:pPr>
        <w:pStyle w:val="TextoNormalNegritaCursivandice"/>
      </w:pPr>
      <w:r>
        <w:t>Norma Foral de la Junta General de Vizcaya 9/2005, de 16 de diciembre. Haciendas locales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5" w:history="1">
        <w:r w:rsidRPr="00E27756">
          <w:rPr>
            <w:rStyle w:val="TextoNormalCaracter"/>
          </w:rPr>
          <w:t>85/2013</w:t>
        </w:r>
      </w:hyperlink>
      <w:r>
        <w:t>, f. 5.</w:t>
      </w:r>
    </w:p>
    <w:p w:rsidR="00E27756" w:rsidRDefault="00E27756" w:rsidP="00E27756">
      <w:pPr>
        <w:pStyle w:val="SangriaFrancesaArticulo"/>
      </w:pPr>
      <w:r w:rsidRPr="00E27756">
        <w:rPr>
          <w:rStyle w:val="TextoNormalNegritaCaracter"/>
        </w:rPr>
        <w:t>Artículo 21.4 t).</w:t>
      </w:r>
      <w:r w:rsidRPr="00E27756">
        <w:rPr>
          <w:rStyle w:val="TextoNormalCaracter"/>
        </w:rPr>
        <w:t>-</w:t>
      </w:r>
      <w:r>
        <w:t xml:space="preserve"> Sentencia </w:t>
      </w:r>
      <w:hyperlink w:anchor="SENTENCIA_2013_85" w:history="1">
        <w:r w:rsidRPr="00E27756">
          <w:rPr>
            <w:rStyle w:val="TextoNormalCaracter"/>
          </w:rPr>
          <w:t>85/2013</w:t>
        </w:r>
      </w:hyperlink>
      <w:r>
        <w:t>, f. 4.</w:t>
      </w:r>
    </w:p>
    <w:p w:rsidR="00E27756" w:rsidRDefault="00E27756" w:rsidP="00E27756">
      <w:pPr>
        <w:pStyle w:val="TextoNormal"/>
      </w:pPr>
    </w:p>
    <w:p w:rsidR="00E27756" w:rsidRDefault="00E27756" w:rsidP="00E27756">
      <w:pPr>
        <w:pStyle w:val="SangriaFrancesaArticulo"/>
      </w:pPr>
      <w:bookmarkStart w:id="305" w:name="INDICE22870"/>
    </w:p>
    <w:bookmarkEnd w:id="305"/>
    <w:p w:rsidR="00E27756" w:rsidRDefault="00E27756" w:rsidP="00E27756">
      <w:pPr>
        <w:pStyle w:val="TextoIndiceNivel2"/>
        <w:suppressAutoHyphens/>
      </w:pPr>
      <w:r>
        <w:t>L) Tratados y acuerdos internacionales</w:t>
      </w:r>
    </w:p>
    <w:p w:rsidR="00E27756" w:rsidRDefault="00E27756" w:rsidP="00E27756">
      <w:pPr>
        <w:pStyle w:val="TextoIndiceNivel2"/>
      </w:pPr>
    </w:p>
    <w:p w:rsidR="00E27756" w:rsidRDefault="00E27756" w:rsidP="00E27756">
      <w:pPr>
        <w:pStyle w:val="TextoNormalNegritaCursivandice"/>
      </w:pPr>
      <w:r>
        <w:t>Declaración universal de derechos humanos de 10 de diciembre de 1948</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2" w:history="1">
        <w:r w:rsidRPr="00E27756">
          <w:rPr>
            <w:rStyle w:val="TextoNormalCaracter"/>
          </w:rPr>
          <w:t>12/2013</w:t>
        </w:r>
      </w:hyperlink>
      <w:r>
        <w:t xml:space="preserve">, f. 2; </w:t>
      </w:r>
      <w:hyperlink w:anchor="SENTENCIA_2013_93" w:history="1">
        <w:r w:rsidRPr="00E27756">
          <w:rPr>
            <w:rStyle w:val="TextoNormalCaracter"/>
          </w:rPr>
          <w:t>93/2013</w:t>
        </w:r>
      </w:hyperlink>
      <w:r>
        <w:t>, f. 8.</w:t>
      </w:r>
    </w:p>
    <w:p w:rsidR="00E27756" w:rsidRDefault="00E27756" w:rsidP="00E27756">
      <w:pPr>
        <w:pStyle w:val="SangriaFrancesaArticulo"/>
      </w:pPr>
    </w:p>
    <w:p w:rsidR="00E27756" w:rsidRDefault="00E27756" w:rsidP="00E27756">
      <w:pPr>
        <w:pStyle w:val="TextoNormalNegritaCursivandice"/>
      </w:pPr>
      <w:r>
        <w:t>Reglas mínimas para el tratamiento de los reclusos adoptadas por Naciones Unidas en 1955</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Pacto internacional de derechos civiles y políticos. Nueva York, 16 de diciembre de 1966, ratificado por Instrumento de 13 de abril de 1977</w:t>
      </w:r>
    </w:p>
    <w:p w:rsidR="00E27756" w:rsidRDefault="00E27756" w:rsidP="00E27756">
      <w:pPr>
        <w:pStyle w:val="SangriaFrancesaArticulo"/>
      </w:pPr>
      <w:r w:rsidRPr="00E27756">
        <w:rPr>
          <w:rStyle w:val="TextoNormalNegritaCaracter"/>
        </w:rPr>
        <w:lastRenderedPageBreak/>
        <w:t>En general.</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Convención de Viena sobre el Derecho de los tratados, de 23 de mayo de 1969, a la que se adhirió España por Instrumento de 2 de mayo de 1972</w:t>
      </w:r>
    </w:p>
    <w:p w:rsidR="00E27756" w:rsidRDefault="00E27756" w:rsidP="00E27756">
      <w:pPr>
        <w:pStyle w:val="SangriaFrancesaArticulo"/>
      </w:pPr>
      <w:r w:rsidRPr="00E27756">
        <w:rPr>
          <w:rStyle w:val="TextoNormalNegritaCaracter"/>
        </w:rPr>
        <w:t>Artículo 27.</w:t>
      </w:r>
      <w:r w:rsidRPr="00E27756">
        <w:rPr>
          <w:rStyle w:val="TextoNormalCaracter"/>
        </w:rPr>
        <w:t>-</w:t>
      </w:r>
      <w:r>
        <w:t xml:space="preserve"> Sentencia </w:t>
      </w:r>
      <w:hyperlink w:anchor="SENTENCIA_2013_131" w:history="1">
        <w:r w:rsidRPr="00E27756">
          <w:rPr>
            <w:rStyle w:val="TextoNormalCaracter"/>
          </w:rPr>
          <w:t>131/2013</w:t>
        </w:r>
      </w:hyperlink>
      <w:r>
        <w:t>, VP III.</w:t>
      </w:r>
    </w:p>
    <w:p w:rsidR="00E27756" w:rsidRDefault="00E27756" w:rsidP="00E27756">
      <w:pPr>
        <w:pStyle w:val="SangriaFrancesaArticulo"/>
      </w:pPr>
      <w:r w:rsidRPr="00E27756">
        <w:rPr>
          <w:rStyle w:val="TextoNormalNegritaCaracter"/>
        </w:rPr>
        <w:t>Artículo 31.3.</w:t>
      </w:r>
      <w:r w:rsidRPr="00E27756">
        <w:rPr>
          <w:rStyle w:val="TextoNormalCaracter"/>
        </w:rPr>
        <w:t>-</w:t>
      </w:r>
      <w:r>
        <w:t xml:space="preserve"> Sentencia </w:t>
      </w:r>
      <w:hyperlink w:anchor="SENTENCIA_2013_131" w:history="1">
        <w:r w:rsidRPr="00E27756">
          <w:rPr>
            <w:rStyle w:val="TextoNormalCaracter"/>
          </w:rPr>
          <w:t>131/2013</w:t>
        </w:r>
      </w:hyperlink>
      <w:r>
        <w:t>, VP III.</w:t>
      </w:r>
    </w:p>
    <w:p w:rsidR="00E27756" w:rsidRDefault="00E27756" w:rsidP="00E27756">
      <w:pPr>
        <w:pStyle w:val="SangriaFrancesaArticulo"/>
      </w:pPr>
    </w:p>
    <w:p w:rsidR="00E27756" w:rsidRDefault="00E27756" w:rsidP="00E27756">
      <w:pPr>
        <w:pStyle w:val="TextoNormalNegritaCursivandice"/>
      </w:pPr>
      <w:r>
        <w:t>Convención de Ramsar de 2 de febrero de 1971, de humedales de importancia internacional, especialmente como hábitat de aves acuáticas. Ratificado por Instrumento de 18 de marzo de 1982</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69" w:history="1">
        <w:r w:rsidRPr="00E27756">
          <w:rPr>
            <w:rStyle w:val="TextoNormalCaracter"/>
          </w:rPr>
          <w:t>69/2013</w:t>
        </w:r>
      </w:hyperlink>
      <w:r>
        <w:t xml:space="preserve">, f. 6; </w:t>
      </w:r>
      <w:hyperlink w:anchor="SENTENCIA_2013_138" w:history="1">
        <w:r w:rsidRPr="00E27756">
          <w:rPr>
            <w:rStyle w:val="TextoNormalCaracter"/>
          </w:rPr>
          <w:t>138/2013</w:t>
        </w:r>
      </w:hyperlink>
      <w:r>
        <w:t>, f. 10.</w:t>
      </w:r>
    </w:p>
    <w:p w:rsidR="00E27756" w:rsidRDefault="00E27756" w:rsidP="00E27756">
      <w:pPr>
        <w:pStyle w:val="SangriaFrancesaArticulo"/>
      </w:pPr>
    </w:p>
    <w:p w:rsidR="00E27756" w:rsidRDefault="00E27756" w:rsidP="00E27756">
      <w:pPr>
        <w:pStyle w:val="TextoNormalNegritaCursivandice"/>
      </w:pPr>
      <w:r>
        <w:t>Declaración sobre la protección contra la tortura, adoptada por la Asamblea General de Naciones Unidas el 9 de diciembre de 1975</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Acuerdo entre el Estado español y la Santa Sede de 3 de enero de 1979. Asuntos jurídicos, ratificado por Instrumento de 4 de diciembre</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f. 5.</w:t>
      </w:r>
    </w:p>
    <w:p w:rsidR="00E27756" w:rsidRDefault="00E27756" w:rsidP="00E27756">
      <w:pPr>
        <w:pStyle w:val="SangriaFrancesaArticulo"/>
      </w:pPr>
    </w:p>
    <w:p w:rsidR="00E27756" w:rsidRDefault="00E27756" w:rsidP="00E27756">
      <w:pPr>
        <w:pStyle w:val="TextoNormalNegritaCursivandice"/>
      </w:pPr>
      <w:r>
        <w:t>Acuerdo entre el Estado español y la Santa Sede de 3 de enero de 1979. Enseñanza y asuntos culturales, ratificado por Instrumento de 4 de diciembre de 1979</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1" w:history="1">
        <w:r w:rsidRPr="00E27756">
          <w:rPr>
            <w:rStyle w:val="TextoNormalCaracter"/>
          </w:rPr>
          <w:t>131/2013</w:t>
        </w:r>
      </w:hyperlink>
      <w:r>
        <w:t>, f. 10, VP I, VP II, VP III, VP IV, VP V.</w:t>
      </w:r>
    </w:p>
    <w:p w:rsidR="00E27756" w:rsidRDefault="00E27756" w:rsidP="00E27756">
      <w:pPr>
        <w:pStyle w:val="SangriaFrancesaArticulo"/>
      </w:pPr>
      <w:r w:rsidRPr="00E27756">
        <w:rPr>
          <w:rStyle w:val="TextoNormalNegritaCaracter"/>
        </w:rPr>
        <w:t>Artículo X.</w:t>
      </w:r>
      <w:r w:rsidRPr="00E27756">
        <w:rPr>
          <w:rStyle w:val="TextoNormalCaracter"/>
        </w:rPr>
        <w:t>-</w:t>
      </w:r>
      <w:r>
        <w:t xml:space="preserve"> Sentencia </w:t>
      </w:r>
      <w:hyperlink w:anchor="SENTENCIA_2013_131" w:history="1">
        <w:r w:rsidRPr="00E27756">
          <w:rPr>
            <w:rStyle w:val="TextoNormalCaracter"/>
          </w:rPr>
          <w:t>131/2013</w:t>
        </w:r>
      </w:hyperlink>
      <w:r>
        <w:t>, f. 10, VP I, VP II, VP IV, VP V.</w:t>
      </w:r>
    </w:p>
    <w:p w:rsidR="00E27756" w:rsidRDefault="00E27756" w:rsidP="00E27756">
      <w:pPr>
        <w:pStyle w:val="SangriaFrancesaArticulo"/>
      </w:pPr>
      <w:r w:rsidRPr="00E27756">
        <w:rPr>
          <w:rStyle w:val="TextoNormalNegritaCaracter"/>
        </w:rPr>
        <w:t>Artículo X, apartado 1.</w:t>
      </w:r>
      <w:r w:rsidRPr="00E27756">
        <w:rPr>
          <w:rStyle w:val="TextoNormalCaracter"/>
        </w:rPr>
        <w:t>-</w:t>
      </w:r>
      <w:r>
        <w:t xml:space="preserve"> Sentencia </w:t>
      </w:r>
      <w:hyperlink w:anchor="SENTENCIA_2013_131" w:history="1">
        <w:r w:rsidRPr="00E27756">
          <w:rPr>
            <w:rStyle w:val="TextoNormalCaracter"/>
          </w:rPr>
          <w:t>131/2013</w:t>
        </w:r>
      </w:hyperlink>
      <w:r>
        <w:t>, VP II, VP III.</w:t>
      </w:r>
    </w:p>
    <w:p w:rsidR="00E27756" w:rsidRDefault="00E27756" w:rsidP="00E27756">
      <w:pPr>
        <w:pStyle w:val="SangriaFrancesaArticulo"/>
      </w:pPr>
      <w:r w:rsidRPr="00E27756">
        <w:rPr>
          <w:rStyle w:val="TextoNormalNegritaCaracter"/>
        </w:rPr>
        <w:t>Artículo X, apartado 1 párrafo 1.</w:t>
      </w:r>
      <w:r w:rsidRPr="00E27756">
        <w:rPr>
          <w:rStyle w:val="TextoNormalCaracter"/>
        </w:rPr>
        <w:t>-</w:t>
      </w:r>
      <w:r>
        <w:t xml:space="preserve"> Sentencia </w:t>
      </w:r>
      <w:hyperlink w:anchor="SENTENCIA_2013_131" w:history="1">
        <w:r w:rsidRPr="00E27756">
          <w:rPr>
            <w:rStyle w:val="TextoNormalCaracter"/>
          </w:rPr>
          <w:t>131/2013</w:t>
        </w:r>
      </w:hyperlink>
      <w:r>
        <w:t>, VP IV.</w:t>
      </w:r>
    </w:p>
    <w:p w:rsidR="00E27756" w:rsidRDefault="00E27756" w:rsidP="00E27756">
      <w:pPr>
        <w:pStyle w:val="SangriaFrancesaArticulo"/>
      </w:pPr>
      <w:r w:rsidRPr="00E27756">
        <w:rPr>
          <w:rStyle w:val="TextoNormalNegritaCaracter"/>
        </w:rPr>
        <w:t>Artículo X, apartado 2.</w:t>
      </w:r>
      <w:r w:rsidRPr="00E27756">
        <w:rPr>
          <w:rStyle w:val="TextoNormalCaracter"/>
        </w:rPr>
        <w:t>-</w:t>
      </w:r>
      <w:r>
        <w:t xml:space="preserve"> Sentencia </w:t>
      </w:r>
      <w:hyperlink w:anchor="SENTENCIA_2013_131" w:history="1">
        <w:r w:rsidRPr="00E27756">
          <w:rPr>
            <w:rStyle w:val="TextoNormalCaracter"/>
          </w:rPr>
          <w:t>131/2013</w:t>
        </w:r>
      </w:hyperlink>
      <w:r>
        <w:t>, VP II.</w:t>
      </w:r>
    </w:p>
    <w:p w:rsidR="00E27756" w:rsidRDefault="00E27756" w:rsidP="00E27756">
      <w:pPr>
        <w:pStyle w:val="SangriaFrancesaArticulo"/>
      </w:pPr>
      <w:r w:rsidRPr="00E27756">
        <w:rPr>
          <w:rStyle w:val="TextoNormalNegritaCaracter"/>
        </w:rPr>
        <w:t>Artículo XVI.</w:t>
      </w:r>
      <w:r w:rsidRPr="00E27756">
        <w:rPr>
          <w:rStyle w:val="TextoNormalCaracter"/>
        </w:rPr>
        <w:t>-</w:t>
      </w:r>
      <w:r>
        <w:t xml:space="preserve"> Sentencia </w:t>
      </w:r>
      <w:hyperlink w:anchor="SENTENCIA_2013_131" w:history="1">
        <w:r w:rsidRPr="00E27756">
          <w:rPr>
            <w:rStyle w:val="TextoNormalCaracter"/>
          </w:rPr>
          <w:t>131/2013</w:t>
        </w:r>
      </w:hyperlink>
      <w:r>
        <w:t>, VP III, VP IV.</w:t>
      </w:r>
    </w:p>
    <w:p w:rsidR="00E27756" w:rsidRDefault="00E27756" w:rsidP="00E27756">
      <w:pPr>
        <w:pStyle w:val="SangriaFrancesaArticulo"/>
      </w:pPr>
      <w:r w:rsidRPr="00E27756">
        <w:rPr>
          <w:rStyle w:val="TextoNormalNegritaCaracter"/>
        </w:rPr>
        <w:t>Artículo XVII, apartado 2.</w:t>
      </w:r>
      <w:r w:rsidRPr="00E27756">
        <w:rPr>
          <w:rStyle w:val="TextoNormalCaracter"/>
        </w:rPr>
        <w:t>-</w:t>
      </w:r>
      <w:r>
        <w:t xml:space="preserve"> Sentencia </w:t>
      </w:r>
      <w:hyperlink w:anchor="SENTENCIA_2013_131" w:history="1">
        <w:r w:rsidRPr="00E27756">
          <w:rPr>
            <w:rStyle w:val="TextoNormalCaracter"/>
          </w:rPr>
          <w:t>131/2013</w:t>
        </w:r>
      </w:hyperlink>
      <w:r>
        <w:t>, f. 10, VP II.</w:t>
      </w:r>
    </w:p>
    <w:p w:rsidR="00E27756" w:rsidRDefault="00E27756" w:rsidP="00E27756">
      <w:pPr>
        <w:pStyle w:val="SangriaFrancesaArticulo"/>
      </w:pPr>
    </w:p>
    <w:p w:rsidR="00E27756" w:rsidRDefault="00E27756" w:rsidP="00E27756">
      <w:pPr>
        <w:pStyle w:val="TextoNormalNegritaCursivandice"/>
      </w:pPr>
      <w:r>
        <w:t>Resolución de la Asamblea General de Naciones Unidas 34/169, de 17 de diciembre de 1979. Código de conducta para funcionarios encargados de hacer cumplir la ley</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Convención de las Naciones Unidas sobre el derecho del mar, de 10 de diciembre de 1982</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 w:history="1">
        <w:r w:rsidRPr="00E27756">
          <w:rPr>
            <w:rStyle w:val="TextoNormalCaracter"/>
          </w:rPr>
          <w:t>8/2013</w:t>
        </w:r>
      </w:hyperlink>
      <w:r>
        <w:t>, f. 7.</w:t>
      </w:r>
    </w:p>
    <w:p w:rsidR="00E27756" w:rsidRDefault="00E27756" w:rsidP="00E27756">
      <w:pPr>
        <w:pStyle w:val="SangriaFrancesaArticulo"/>
      </w:pPr>
      <w:r w:rsidRPr="00E27756">
        <w:rPr>
          <w:rStyle w:val="TextoNormalNegritaCaracter"/>
        </w:rPr>
        <w:t>Artículo 46.</w:t>
      </w:r>
      <w:r w:rsidRPr="00E27756">
        <w:rPr>
          <w:rStyle w:val="TextoNormalCaracter"/>
        </w:rPr>
        <w:t>-</w:t>
      </w:r>
      <w:r>
        <w:t xml:space="preserve"> Sentencia </w:t>
      </w:r>
      <w:hyperlink w:anchor="SENTENCIA_2013_8" w:history="1">
        <w:r w:rsidRPr="00E27756">
          <w:rPr>
            <w:rStyle w:val="TextoNormalCaracter"/>
          </w:rPr>
          <w:t>8/2013</w:t>
        </w:r>
      </w:hyperlink>
      <w:r>
        <w:t>, f. 7.</w:t>
      </w:r>
    </w:p>
    <w:p w:rsidR="00E27756" w:rsidRDefault="00E27756" w:rsidP="00E27756">
      <w:pPr>
        <w:pStyle w:val="SangriaFrancesaArticulo"/>
      </w:pPr>
      <w:r w:rsidRPr="00E27756">
        <w:rPr>
          <w:rStyle w:val="TextoNormalNegritaCaracter"/>
        </w:rPr>
        <w:t>Artículo 46 b).</w:t>
      </w:r>
      <w:r w:rsidRPr="00E27756">
        <w:rPr>
          <w:rStyle w:val="TextoNormalCaracter"/>
        </w:rPr>
        <w:t>-</w:t>
      </w:r>
      <w:r>
        <w:t xml:space="preserve"> Sentencias </w:t>
      </w:r>
      <w:hyperlink w:anchor="SENTENCIA_2013_8" w:history="1">
        <w:r w:rsidRPr="00E27756">
          <w:rPr>
            <w:rStyle w:val="TextoNormalCaracter"/>
          </w:rPr>
          <w:t>8/2013</w:t>
        </w:r>
      </w:hyperlink>
      <w:r>
        <w:t xml:space="preserve">, f. 7; </w:t>
      </w:r>
      <w:hyperlink w:anchor="SENTENCIA_2013_99" w:history="1">
        <w:r w:rsidRPr="00E27756">
          <w:rPr>
            <w:rStyle w:val="TextoNormalCaracter"/>
          </w:rPr>
          <w:t>99/2013</w:t>
        </w:r>
      </w:hyperlink>
      <w:r>
        <w:t>, f. 7.</w:t>
      </w:r>
    </w:p>
    <w:p w:rsidR="00E27756" w:rsidRDefault="00E27756" w:rsidP="00E27756">
      <w:pPr>
        <w:pStyle w:val="SangriaFrancesaArticulo"/>
      </w:pPr>
      <w:r w:rsidRPr="00E27756">
        <w:rPr>
          <w:rStyle w:val="TextoNormalNegritaCaracter"/>
        </w:rPr>
        <w:t>Artículo 46.1.</w:t>
      </w:r>
      <w:r w:rsidRPr="00E27756">
        <w:rPr>
          <w:rStyle w:val="TextoNormalCaracter"/>
        </w:rPr>
        <w:t>-</w:t>
      </w:r>
      <w:r>
        <w:t xml:space="preserve"> Sentencia </w:t>
      </w:r>
      <w:hyperlink w:anchor="SENTENCIA_2013_8" w:history="1">
        <w:r w:rsidRPr="00E27756">
          <w:rPr>
            <w:rStyle w:val="TextoNormalCaracter"/>
          </w:rPr>
          <w:t>8/2013</w:t>
        </w:r>
      </w:hyperlink>
      <w:r>
        <w:t>, f. 7.</w:t>
      </w:r>
    </w:p>
    <w:p w:rsidR="00E27756" w:rsidRDefault="00E27756" w:rsidP="00E27756">
      <w:pPr>
        <w:pStyle w:val="SangriaFrancesaArticulo"/>
      </w:pPr>
    </w:p>
    <w:p w:rsidR="00E27756" w:rsidRDefault="00E27756" w:rsidP="00E27756">
      <w:pPr>
        <w:pStyle w:val="TextoNormalNegritaCursivandice"/>
      </w:pPr>
      <w:r>
        <w:t>Resolución de la Asamblea General de Naciones Unidas 37/194, de 18 de diciembre de 1982. Principios de ética médica aplicables por personal de salud, en la protección de personas presas y detenidas contra la tortura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Convención de Nueva York contra la tortura y otros tratos o penas crueles, inhumanos o degradantes, de 10 de diciembre de 1984, ratificada por España el 19 de octubre de 1987</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Tratado de Schengen, de 14 de junio de 1985, relativo a la supresión gradual de los controles en las fronteras comunes, al que se adhirió España el 25 de junio de 1991</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p>
    <w:p w:rsidR="00E27756" w:rsidRDefault="00E27756" w:rsidP="00E27756">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Sentencias </w:t>
      </w:r>
      <w:hyperlink w:anchor="SENTENCIA_2013_57" w:history="1">
        <w:r w:rsidRPr="00E27756">
          <w:rPr>
            <w:rStyle w:val="TextoNormalCaracter"/>
          </w:rPr>
          <w:t>57/2013</w:t>
        </w:r>
      </w:hyperlink>
      <w:r>
        <w:t xml:space="preserve">, f. 1; </w:t>
      </w:r>
      <w:hyperlink w:anchor="SENTENCIA_2013_127" w:history="1">
        <w:r w:rsidRPr="00E27756">
          <w:rPr>
            <w:rStyle w:val="TextoNormalCaracter"/>
          </w:rPr>
          <w:t>127/2013</w:t>
        </w:r>
      </w:hyperlink>
      <w:r>
        <w:t>, f. 1.</w:t>
      </w:r>
    </w:p>
    <w:p w:rsidR="00E27756" w:rsidRDefault="00E27756" w:rsidP="00E27756">
      <w:pPr>
        <w:pStyle w:val="SangriaFrancesaArticulo"/>
      </w:pPr>
    </w:p>
    <w:p w:rsidR="00E27756" w:rsidRDefault="00E27756" w:rsidP="00E27756">
      <w:pPr>
        <w:pStyle w:val="TextoNormalNegritaCursivandice"/>
      </w:pPr>
      <w:r>
        <w:t>Resolución de la Asamblea General de Naciones Unidas 43/173, de 9 de diciembre de 1988. Principios para la protección de las personas detenidas o presas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Convención sobre los derechos del niño, adoptada por la Asamblea General de Naciones Unidas el 20 de noviembre de 1989. Ratificada por Instrumento de 30 de noviembre de 1990</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Sentencias </w:t>
      </w:r>
      <w:hyperlink w:anchor="SENTENCIA_2013_93" w:history="1">
        <w:r w:rsidRPr="00E27756">
          <w:rPr>
            <w:rStyle w:val="TextoNormalCaracter"/>
          </w:rPr>
          <w:t>93/2013</w:t>
        </w:r>
      </w:hyperlink>
      <w:r>
        <w:t xml:space="preserve">, f. 12; </w:t>
      </w:r>
      <w:hyperlink w:anchor="SENTENCIA_2013_127" w:history="1">
        <w:r w:rsidRPr="00E27756">
          <w:rPr>
            <w:rStyle w:val="TextoNormalCaracter"/>
          </w:rPr>
          <w:t>127/2013</w:t>
        </w:r>
      </w:hyperlink>
      <w:r>
        <w:t>, f. 6.</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p>
    <w:p w:rsidR="00E27756" w:rsidRDefault="00E27756" w:rsidP="00E27756">
      <w:pPr>
        <w:pStyle w:val="TextoNormalNegritaCursivandice"/>
      </w:pPr>
      <w:r>
        <w:t>Convenio de aplicación de 19 de junio de 1990 del Tratado de Schengen, de 14 de junio de 1985, relativo a la supresión gradual de controles en las fronteras comunes, ratificado por España por Instrumento de 23 de julio de 1993 (Schengen II)</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r w:rsidRPr="00E27756">
        <w:rPr>
          <w:rStyle w:val="TextoNormalNegritaCaracter"/>
        </w:rPr>
        <w:t>Artículo 26.</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r w:rsidRPr="00E27756">
        <w:rPr>
          <w:rStyle w:val="TextoNormalNegritaCaracter"/>
        </w:rPr>
        <w:t>Artículo 26.1 b).</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p>
    <w:p w:rsidR="00E27756" w:rsidRDefault="00E27756" w:rsidP="00E27756">
      <w:pPr>
        <w:pStyle w:val="TextoNormalNegritaCursivandice"/>
      </w:pPr>
      <w:r>
        <w:t>Resolución de la Asamblea General de Naciones Unidas 45/111, de 14 de diciembre de 1990.  Principios básicos para el tratamiento de reclusos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Convenio de Río de Janeiro, de 5 de junio de 1992.  Diversidad biológica, ratificado por Instrumento de 16 de noviembre de 1993.</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9" w:history="1">
        <w:r w:rsidRPr="00E27756">
          <w:rPr>
            <w:rStyle w:val="TextoNormalCaracter"/>
          </w:rPr>
          <w:t>69/2013</w:t>
        </w:r>
      </w:hyperlink>
      <w:r>
        <w:t>, f. 2.</w:t>
      </w:r>
    </w:p>
    <w:p w:rsidR="00E27756" w:rsidRDefault="00E27756" w:rsidP="00E27756">
      <w:pPr>
        <w:pStyle w:val="SangriaFrancesaArticulo"/>
      </w:pPr>
    </w:p>
    <w:p w:rsidR="00E27756" w:rsidRDefault="00E27756" w:rsidP="00E27756">
      <w:pPr>
        <w:pStyle w:val="TextoNormalNegritaCursivandice"/>
      </w:pPr>
      <w:r>
        <w:lastRenderedPageBreak/>
        <w:t>Convenio de Aarhus, de 25 de junio de 1998. Acceso a la información, la participación del público en la toma de decisiones y el acceso a la justicia en materia de medio ambiente</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8" w:history="1">
        <w:r w:rsidRPr="00E27756">
          <w:rPr>
            <w:rStyle w:val="TextoNormalCaracter"/>
          </w:rPr>
          <w:t>138/2013</w:t>
        </w:r>
      </w:hyperlink>
      <w:r>
        <w:t>, f. 4.</w:t>
      </w:r>
    </w:p>
    <w:p w:rsidR="00E27756" w:rsidRDefault="00E27756" w:rsidP="00E27756">
      <w:pPr>
        <w:pStyle w:val="SangriaFrancesaArticulo"/>
      </w:pPr>
      <w:r w:rsidRPr="00E27756">
        <w:rPr>
          <w:rStyle w:val="TextoNormalNegritaCaracter"/>
        </w:rPr>
        <w:t>Artículo 9, apartado 2.</w:t>
      </w:r>
      <w:r w:rsidRPr="00E27756">
        <w:rPr>
          <w:rStyle w:val="TextoNormalCaracter"/>
        </w:rPr>
        <w:t>-</w:t>
      </w:r>
      <w:r>
        <w:t xml:space="preserve"> Sentencia </w:t>
      </w:r>
      <w:hyperlink w:anchor="SENTENCIA_2013_129" w:history="1">
        <w:r w:rsidRPr="00E27756">
          <w:rPr>
            <w:rStyle w:val="TextoNormalCaracter"/>
          </w:rPr>
          <w:t>129/2013</w:t>
        </w:r>
      </w:hyperlink>
      <w:r>
        <w:t>, f. 7.</w:t>
      </w:r>
    </w:p>
    <w:p w:rsidR="00E27756" w:rsidRDefault="00E27756" w:rsidP="00E27756">
      <w:pPr>
        <w:pStyle w:val="SangriaFrancesaArticulo"/>
      </w:pPr>
    </w:p>
    <w:p w:rsidR="00E27756" w:rsidRDefault="00E27756" w:rsidP="00E27756">
      <w:pPr>
        <w:pStyle w:val="TextoNormalNegritaCursivandice"/>
      </w:pPr>
      <w:r>
        <w:t>Convención de Naciones Unidas contra la corrupción, hecha en Nueva York el 31 de octubre de 2003, ratificada por España el 9 de junio de 2006</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1" w:history="1">
        <w:r w:rsidRPr="00E27756">
          <w:rPr>
            <w:rStyle w:val="TextoNormalCaracter"/>
          </w:rPr>
          <w:t>31/2013</w:t>
        </w:r>
      </w:hyperlink>
      <w:r>
        <w:t>, ff. 4, 6.</w:t>
      </w:r>
    </w:p>
    <w:p w:rsidR="00E27756" w:rsidRDefault="00E27756" w:rsidP="00E27756">
      <w:pPr>
        <w:pStyle w:val="SangriaFrancesaArticulo"/>
      </w:pPr>
    </w:p>
    <w:p w:rsidR="00E27756" w:rsidRDefault="00E27756" w:rsidP="00E27756">
      <w:pPr>
        <w:pStyle w:val="TextoNormalNegritaCursivandice"/>
      </w:pPr>
      <w:r>
        <w:t>Tratado de extradición entre España y la República Popular China, de 14 de noviembre de 2005</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1" w:history="1">
        <w:r w:rsidRPr="00E27756">
          <w:rPr>
            <w:rStyle w:val="TextoNormalCaracter"/>
          </w:rPr>
          <w:t>31/2013</w:t>
        </w:r>
      </w:hyperlink>
      <w:r>
        <w:t>, ff. 1, 4, 6.</w:t>
      </w:r>
    </w:p>
    <w:p w:rsidR="00E27756" w:rsidRDefault="00E27756" w:rsidP="00E27756">
      <w:pPr>
        <w:pStyle w:val="TextoNormal"/>
      </w:pPr>
    </w:p>
    <w:p w:rsidR="00E27756" w:rsidRDefault="00E27756" w:rsidP="00E27756">
      <w:pPr>
        <w:pStyle w:val="SangriaFrancesaArticulo"/>
      </w:pPr>
      <w:bookmarkStart w:id="306" w:name="INDICE22871"/>
    </w:p>
    <w:bookmarkEnd w:id="306"/>
    <w:p w:rsidR="00E27756" w:rsidRDefault="00E27756" w:rsidP="00E27756">
      <w:pPr>
        <w:pStyle w:val="TextoIndiceNivel2"/>
        <w:suppressAutoHyphens/>
      </w:pPr>
      <w:r>
        <w:t>M) Unión Europea</w:t>
      </w:r>
    </w:p>
    <w:p w:rsidR="00E27756" w:rsidRDefault="00E27756" w:rsidP="00E27756">
      <w:pPr>
        <w:pStyle w:val="TextoIndiceNivel2"/>
      </w:pPr>
    </w:p>
    <w:p w:rsidR="00E27756" w:rsidRDefault="00E27756" w:rsidP="00E27756">
      <w:pPr>
        <w:pStyle w:val="TextoNormalNegritaCursivandice"/>
      </w:pPr>
      <w:r>
        <w:t>Tratado constitutivo de la Comunidad Económica Europea, firmado en Roma el 25 de marzo de 1957</w:t>
      </w:r>
    </w:p>
    <w:p w:rsidR="00E27756" w:rsidRDefault="00E27756" w:rsidP="00E27756">
      <w:pPr>
        <w:pStyle w:val="SangriaFrancesaArticulo"/>
      </w:pPr>
      <w:r w:rsidRPr="00E27756">
        <w:rPr>
          <w:rStyle w:val="TextoNormalNegritaCaracter"/>
        </w:rPr>
        <w:t>Artículo 177.</w:t>
      </w:r>
      <w:r w:rsidRPr="00E27756">
        <w:rPr>
          <w:rStyle w:val="TextoNormalCaracter"/>
        </w:rPr>
        <w:t>-</w:t>
      </w:r>
      <w:r>
        <w:t xml:space="preserve"> Sentencia </w:t>
      </w:r>
      <w:hyperlink w:anchor="SENTENCIA_2013_27" w:history="1">
        <w:r w:rsidRPr="00E27756">
          <w:rPr>
            <w:rStyle w:val="TextoNormalCaracter"/>
          </w:rPr>
          <w:t>27/2013</w:t>
        </w:r>
      </w:hyperlink>
      <w:r>
        <w:t>, VP I.</w:t>
      </w:r>
    </w:p>
    <w:p w:rsidR="00E27756" w:rsidRDefault="00E27756" w:rsidP="00E27756">
      <w:pPr>
        <w:pStyle w:val="SangriaFrancesaArticulo"/>
      </w:pPr>
    </w:p>
    <w:p w:rsidR="00E27756" w:rsidRDefault="00E27756" w:rsidP="00E27756">
      <w:pPr>
        <w:pStyle w:val="TextoNormalNegritaCursivandice"/>
      </w:pPr>
      <w:r>
        <w:t>Reglamento (CE) 619/1971 del Consejo, de 22 de marzo de 1971. Ayuda para el lino y el cáñamo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7" w:history="1">
        <w:r w:rsidRPr="00E27756">
          <w:rPr>
            <w:rStyle w:val="TextoNormalCaracter"/>
          </w:rPr>
          <w:t>27/2013</w:t>
        </w:r>
      </w:hyperlink>
      <w:r>
        <w:t>, f. 4.</w:t>
      </w:r>
    </w:p>
    <w:p w:rsidR="00E27756" w:rsidRDefault="00E27756" w:rsidP="00E27756">
      <w:pPr>
        <w:pStyle w:val="SangriaFrancesaArticulo"/>
      </w:pPr>
    </w:p>
    <w:p w:rsidR="00E27756" w:rsidRDefault="00E27756" w:rsidP="00E27756">
      <w:pPr>
        <w:pStyle w:val="TextoNormalNegritaCursivandice"/>
      </w:pPr>
      <w:r>
        <w:t>Directiva 79/7/CEE del Consejo, de 19 de diciembre de 1978. Aplicación progresiva del principio de igualdad de trato entre hombres y mujeres en materia de seguridad social</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Sentencias </w:t>
      </w:r>
      <w:hyperlink w:anchor="SENTENCIA_2013_61" w:history="1">
        <w:r w:rsidRPr="00E27756">
          <w:rPr>
            <w:rStyle w:val="TextoNormalCaracter"/>
          </w:rPr>
          <w:t>61/2013</w:t>
        </w:r>
      </w:hyperlink>
      <w:r>
        <w:t xml:space="preserve">, f. 5; </w:t>
      </w:r>
      <w:hyperlink w:anchor="SENTENCIA_2013_71" w:history="1">
        <w:r w:rsidRPr="00E27756">
          <w:rPr>
            <w:rStyle w:val="TextoNormalCaracter"/>
          </w:rPr>
          <w:t>71/2013</w:t>
        </w:r>
      </w:hyperlink>
      <w:r>
        <w:t>, f. 3.</w:t>
      </w:r>
    </w:p>
    <w:p w:rsidR="00E27756" w:rsidRDefault="00E27756" w:rsidP="00E27756">
      <w:pPr>
        <w:pStyle w:val="SangriaFrancesaArticulo"/>
      </w:pPr>
    </w:p>
    <w:p w:rsidR="00E27756" w:rsidRDefault="00E27756" w:rsidP="00E27756">
      <w:pPr>
        <w:pStyle w:val="TextoNormalNegritaCursivandice"/>
      </w:pPr>
      <w:r>
        <w:t>Directiva 79/409/CEE del Consejo, de 2 de abril de 1979. Conservación de las aves silvestres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59" w:history="1">
        <w:r w:rsidRPr="00E27756">
          <w:rPr>
            <w:rStyle w:val="TextoNormalCaracter"/>
          </w:rPr>
          <w:t>59/2013</w:t>
        </w:r>
      </w:hyperlink>
      <w:r>
        <w:t xml:space="preserve">, f. 3; </w:t>
      </w:r>
      <w:hyperlink w:anchor="SENTENCIA_2013_69" w:history="1">
        <w:r w:rsidRPr="00E27756">
          <w:rPr>
            <w:rStyle w:val="TextoNormalCaracter"/>
          </w:rPr>
          <w:t>69/2013</w:t>
        </w:r>
      </w:hyperlink>
      <w:r>
        <w:t xml:space="preserve">, f. 6; </w:t>
      </w:r>
      <w:hyperlink w:anchor="SENTENCIA_2013_114" w:history="1">
        <w:r w:rsidRPr="00E27756">
          <w:rPr>
            <w:rStyle w:val="TextoNormalCaracter"/>
          </w:rPr>
          <w:t>114/2013</w:t>
        </w:r>
      </w:hyperlink>
      <w:r>
        <w:t>, f. 2.</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59" w:history="1">
        <w:r w:rsidRPr="00E27756">
          <w:rPr>
            <w:rStyle w:val="TextoNormalCaracter"/>
          </w:rPr>
          <w:t>59/2013</w:t>
        </w:r>
      </w:hyperlink>
      <w:r>
        <w:t>, f. 2.</w:t>
      </w:r>
    </w:p>
    <w:p w:rsidR="00E27756" w:rsidRDefault="00E27756" w:rsidP="00E27756">
      <w:pPr>
        <w:pStyle w:val="SangriaFrancesaArticulo"/>
      </w:pPr>
    </w:p>
    <w:p w:rsidR="00E27756" w:rsidRDefault="00E27756" w:rsidP="00E27756">
      <w:pPr>
        <w:pStyle w:val="TextoNormalNegritaCursivandice"/>
      </w:pPr>
      <w:r>
        <w:t>Directiva 85/337/CEE del Consejo, de 27 de junio de 1985. Evaluación de las repercusiones de determinados proyectos públicos y privados sobre el medio ambiente</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9" w:history="1">
        <w:r w:rsidRPr="00E27756">
          <w:rPr>
            <w:rStyle w:val="TextoNormalCaracter"/>
          </w:rPr>
          <w:t>129/2013</w:t>
        </w:r>
      </w:hyperlink>
      <w:r>
        <w:t>, f. 7.</w:t>
      </w:r>
    </w:p>
    <w:p w:rsidR="00E27756" w:rsidRDefault="00E27756" w:rsidP="00E27756">
      <w:pPr>
        <w:pStyle w:val="SangriaFrancesaArticulo"/>
      </w:pPr>
    </w:p>
    <w:p w:rsidR="00E27756" w:rsidRDefault="00E27756" w:rsidP="00E27756">
      <w:pPr>
        <w:pStyle w:val="TextoNormalNegritaCursivandice"/>
      </w:pPr>
      <w:r>
        <w:t>Reglamento (CEE) núm. 1164/89 de la Comisión, de 28 de abril de 1989. Ayuda para el lino textil y cáñamo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7" w:history="1">
        <w:r w:rsidRPr="00E27756">
          <w:rPr>
            <w:rStyle w:val="TextoNormalCaracter"/>
          </w:rPr>
          <w:t>27/2013</w:t>
        </w:r>
      </w:hyperlink>
      <w:r>
        <w:t>, f. 4.</w:t>
      </w:r>
    </w:p>
    <w:p w:rsidR="00E27756" w:rsidRDefault="00E27756" w:rsidP="00E27756">
      <w:pPr>
        <w:pStyle w:val="SangriaFrancesaArticulo"/>
      </w:pPr>
      <w:r w:rsidRPr="00E27756">
        <w:rPr>
          <w:rStyle w:val="TextoNormalNegritaCaracter"/>
        </w:rPr>
        <w:t>Artículo 4.</w:t>
      </w:r>
      <w:r w:rsidRPr="00E27756">
        <w:rPr>
          <w:rStyle w:val="TextoNormalCaracter"/>
        </w:rPr>
        <w:t>-</w:t>
      </w:r>
      <w:r>
        <w:t xml:space="preserve"> Sentencia </w:t>
      </w:r>
      <w:hyperlink w:anchor="SENTENCIA_2013_27" w:history="1">
        <w:r w:rsidRPr="00E27756">
          <w:rPr>
            <w:rStyle w:val="TextoNormalCaracter"/>
          </w:rPr>
          <w:t>27/2013</w:t>
        </w:r>
      </w:hyperlink>
      <w:r>
        <w:t>, f. 4.</w:t>
      </w:r>
    </w:p>
    <w:p w:rsidR="00E27756" w:rsidRDefault="00E27756" w:rsidP="00E27756">
      <w:pPr>
        <w:pStyle w:val="SangriaFrancesaArticulo"/>
      </w:pPr>
    </w:p>
    <w:p w:rsidR="00E27756" w:rsidRDefault="00E27756" w:rsidP="00E27756">
      <w:pPr>
        <w:pStyle w:val="TextoNormalNegritaCursivandice"/>
      </w:pPr>
      <w:r>
        <w:lastRenderedPageBreak/>
        <w:t>Reglamento (CEE) núm. 4045/89 del Consejo, de 21 de diciembre de 1989. Relativo a los controles, por los Estados miembros, de las operaciones comprendidas en el sistema de financiación por el Fondo europeo de orientación y garantía agraria, sección garantía, y por el que se deroga la Directiva 77/435/CEE</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30" w:history="1">
        <w:r w:rsidRPr="00E27756">
          <w:rPr>
            <w:rStyle w:val="TextoNormalCaracter"/>
          </w:rPr>
          <w:t>130/2013</w:t>
        </w:r>
      </w:hyperlink>
      <w:r>
        <w:t>, f. 12.</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 </w:t>
      </w:r>
      <w:hyperlink w:anchor="SENTENCIA_2013_130" w:history="1">
        <w:r w:rsidRPr="00E27756">
          <w:rPr>
            <w:rStyle w:val="TextoNormalCaracter"/>
          </w:rPr>
          <w:t>130/2013</w:t>
        </w:r>
      </w:hyperlink>
      <w:r>
        <w:t>, f. 12.</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Sentencias </w:t>
      </w:r>
      <w:hyperlink w:anchor="SENTENCIA_2013_130" w:history="1">
        <w:r w:rsidRPr="00E27756">
          <w:rPr>
            <w:rStyle w:val="TextoNormalCaracter"/>
          </w:rPr>
          <w:t>130/2013</w:t>
        </w:r>
      </w:hyperlink>
      <w:r>
        <w:t xml:space="preserve">, f. 12; </w:t>
      </w:r>
      <w:hyperlink w:anchor="SENTENCIA_2013_135" w:history="1">
        <w:r w:rsidRPr="00E27756">
          <w:rPr>
            <w:rStyle w:val="TextoNormalCaracter"/>
          </w:rPr>
          <w:t>135/2013</w:t>
        </w:r>
      </w:hyperlink>
      <w:r>
        <w:t>, f. 4.</w:t>
      </w:r>
    </w:p>
    <w:p w:rsidR="00E27756" w:rsidRDefault="00E27756" w:rsidP="00E27756">
      <w:pPr>
        <w:pStyle w:val="SangriaFrancesaArticulo"/>
      </w:pPr>
    </w:p>
    <w:p w:rsidR="00E27756" w:rsidRDefault="00E27756" w:rsidP="00E27756">
      <w:pPr>
        <w:pStyle w:val="TextoNormalNegritaCursivandice"/>
      </w:pPr>
      <w:r>
        <w:t>Reglamento (CEE) núm. 2328/91 del Consejo, de 15 de julio de 1991. Mejora de la eficacia de las estructuras agrarias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4" w:history="1">
        <w:r w:rsidRPr="00E27756">
          <w:rPr>
            <w:rStyle w:val="TextoNormalCaracter"/>
          </w:rPr>
          <w:t>34/2013</w:t>
        </w:r>
      </w:hyperlink>
      <w:r>
        <w:t>, f. 7.</w:t>
      </w:r>
    </w:p>
    <w:p w:rsidR="00E27756" w:rsidRDefault="00E27756" w:rsidP="00E27756">
      <w:pPr>
        <w:pStyle w:val="SangriaFrancesaArticulo"/>
      </w:pPr>
    </w:p>
    <w:p w:rsidR="00E27756" w:rsidRDefault="00E27756" w:rsidP="00E27756">
      <w:pPr>
        <w:pStyle w:val="TextoNormalNegritaCursivandice"/>
      </w:pPr>
      <w:r>
        <w:t>Tratado de Maastricht, de 7 de febrero de 1992. Título II Modificación del Tratado constitutivo de la Comunidad Económica Europea</w:t>
      </w:r>
    </w:p>
    <w:p w:rsidR="00E27756" w:rsidRDefault="00E27756" w:rsidP="00E27756">
      <w:pPr>
        <w:pStyle w:val="SangriaFrancesaArticulo"/>
      </w:pPr>
      <w:r w:rsidRPr="00E27756">
        <w:rPr>
          <w:rStyle w:val="TextoNormalNegritaCaracter"/>
        </w:rPr>
        <w:t>Artículo 234.</w:t>
      </w:r>
      <w:r w:rsidRPr="00E27756">
        <w:rPr>
          <w:rStyle w:val="TextoNormalCaracter"/>
        </w:rPr>
        <w:t>-</w:t>
      </w:r>
      <w:r>
        <w:t xml:space="preserve"> Sentencia </w:t>
      </w:r>
      <w:hyperlink w:anchor="SENTENCIA_2013_27" w:history="1">
        <w:r w:rsidRPr="00E27756">
          <w:rPr>
            <w:rStyle w:val="TextoNormalCaracter"/>
          </w:rPr>
          <w:t>27/2013</w:t>
        </w:r>
      </w:hyperlink>
      <w:r>
        <w:t>, VP I.</w:t>
      </w:r>
    </w:p>
    <w:p w:rsidR="00E27756" w:rsidRDefault="00E27756" w:rsidP="00E27756">
      <w:pPr>
        <w:pStyle w:val="SangriaFrancesaArticulo"/>
      </w:pPr>
    </w:p>
    <w:p w:rsidR="00E27756" w:rsidRDefault="00E27756" w:rsidP="00E27756">
      <w:pPr>
        <w:pStyle w:val="TextoNormalNegritaCursivandice"/>
      </w:pPr>
      <w:r>
        <w:t>Directiva 92/43/CEE del Consejo, de 21 de mayo de 1992. Conservación de los hábitats naturales y de la fauna y flora silvestres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69" w:history="1">
        <w:r w:rsidRPr="00E27756">
          <w:rPr>
            <w:rStyle w:val="TextoNormalCaracter"/>
          </w:rPr>
          <w:t>69/2013</w:t>
        </w:r>
      </w:hyperlink>
      <w:r>
        <w:t xml:space="preserve">, f. 5; </w:t>
      </w:r>
      <w:hyperlink w:anchor="SENTENCIA_2013_138" w:history="1">
        <w:r w:rsidRPr="00E27756">
          <w:rPr>
            <w:rStyle w:val="TextoNormalCaracter"/>
          </w:rPr>
          <w:t>138/2013</w:t>
        </w:r>
      </w:hyperlink>
      <w:r>
        <w:t>, f. 9.</w:t>
      </w:r>
    </w:p>
    <w:p w:rsidR="00E27756" w:rsidRDefault="00E27756" w:rsidP="00E27756">
      <w:pPr>
        <w:pStyle w:val="SangriaFrancesaArticulo"/>
      </w:pPr>
      <w:r w:rsidRPr="00E27756">
        <w:rPr>
          <w:rStyle w:val="TextoNormalNegritaCaracter"/>
        </w:rPr>
        <w:t>Artículo 6.3.</w:t>
      </w:r>
      <w:r w:rsidRPr="00E27756">
        <w:rPr>
          <w:rStyle w:val="TextoNormalCaracter"/>
        </w:rPr>
        <w:t>-</w:t>
      </w:r>
      <w:r>
        <w:t xml:space="preserve"> Sentencias </w:t>
      </w:r>
      <w:hyperlink w:anchor="SENTENCIA_2013_59" w:history="1">
        <w:r w:rsidRPr="00E27756">
          <w:rPr>
            <w:rStyle w:val="TextoNormalCaracter"/>
          </w:rPr>
          <w:t>59/2013</w:t>
        </w:r>
      </w:hyperlink>
      <w:r>
        <w:t xml:space="preserve">, f. 4; </w:t>
      </w:r>
      <w:hyperlink w:anchor="SENTENCIA_2013_80" w:history="1">
        <w:r w:rsidRPr="00E27756">
          <w:rPr>
            <w:rStyle w:val="TextoNormalCaracter"/>
          </w:rPr>
          <w:t>80/2013</w:t>
        </w:r>
      </w:hyperlink>
      <w:r>
        <w:t>, ff. 3, 4.</w:t>
      </w:r>
    </w:p>
    <w:p w:rsidR="00E27756" w:rsidRDefault="00E27756" w:rsidP="00E27756">
      <w:pPr>
        <w:pStyle w:val="SangriaFrancesaArticulo"/>
      </w:pPr>
      <w:r w:rsidRPr="00E27756">
        <w:rPr>
          <w:rStyle w:val="TextoNormalNegritaCaracter"/>
        </w:rPr>
        <w:t>Anexo VI.</w:t>
      </w:r>
      <w:r w:rsidRPr="00E27756">
        <w:rPr>
          <w:rStyle w:val="TextoNormalCaracter"/>
        </w:rPr>
        <w:t>-</w:t>
      </w:r>
      <w:r>
        <w:t xml:space="preserve"> Sentencia </w:t>
      </w:r>
      <w:hyperlink w:anchor="SENTENCIA_2013_69" w:history="1">
        <w:r w:rsidRPr="00E27756">
          <w:rPr>
            <w:rStyle w:val="TextoNormalCaracter"/>
          </w:rPr>
          <w:t>69/2013</w:t>
        </w:r>
      </w:hyperlink>
      <w:r>
        <w:t>, f. 6.</w:t>
      </w:r>
    </w:p>
    <w:p w:rsidR="00E27756" w:rsidRDefault="00E27756" w:rsidP="00E27756">
      <w:pPr>
        <w:pStyle w:val="SangriaFrancesaArticulo"/>
      </w:pPr>
    </w:p>
    <w:p w:rsidR="00E27756" w:rsidRDefault="00E27756" w:rsidP="00E27756">
      <w:pPr>
        <w:pStyle w:val="TextoNormalNegritaCursivandice"/>
      </w:pPr>
      <w:r>
        <w:t>Resolución del Parlamento Europeo de 8 de febrero de 1994. Igualdad de derechos de los homosexuales y de las lesbianas en la Comunidad Europea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1" w:history="1">
        <w:r w:rsidRPr="00E27756">
          <w:rPr>
            <w:rStyle w:val="TextoNormalCaracter"/>
          </w:rPr>
          <w:t>81/2013</w:t>
        </w:r>
      </w:hyperlink>
      <w:r>
        <w:t>, f. 3.</w:t>
      </w:r>
    </w:p>
    <w:p w:rsidR="00E27756" w:rsidRDefault="00E27756" w:rsidP="00E27756">
      <w:pPr>
        <w:pStyle w:val="SangriaFrancesaArticulo"/>
      </w:pPr>
    </w:p>
    <w:p w:rsidR="00E27756" w:rsidRDefault="00E27756" w:rsidP="00E27756">
      <w:pPr>
        <w:pStyle w:val="TextoNormalNegritaCursivandice"/>
      </w:pPr>
      <w:r>
        <w:t>Directiva 95/46/CE del Parlamento Europeo y del Consejo, de 24 de octubre de 1995. Protección de las personas físicas en lo que respecta al tratamiento de datos personales y a la libre circulación de estos datos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f. 4.</w:t>
      </w:r>
    </w:p>
    <w:p w:rsidR="00E27756" w:rsidRDefault="00E27756" w:rsidP="00E27756">
      <w:pPr>
        <w:pStyle w:val="SangriaFrancesaArticulo"/>
      </w:pPr>
      <w:r w:rsidRPr="00E27756">
        <w:rPr>
          <w:rStyle w:val="TextoNormalNegritaCaracter"/>
        </w:rPr>
        <w:t>Artículo 2 a).</w:t>
      </w:r>
      <w:r w:rsidRPr="00E27756">
        <w:rPr>
          <w:rStyle w:val="TextoNormalCaracter"/>
        </w:rPr>
        <w:t>-</w:t>
      </w:r>
      <w:r>
        <w:t xml:space="preserve"> Sentencia </w:t>
      </w:r>
      <w:hyperlink w:anchor="SENTENCIA_2013_29" w:history="1">
        <w:r w:rsidRPr="00E27756">
          <w:rPr>
            <w:rStyle w:val="TextoNormalCaracter"/>
          </w:rPr>
          <w:t>29/2013</w:t>
        </w:r>
      </w:hyperlink>
      <w:r>
        <w:t>, f. 5.</w:t>
      </w:r>
    </w:p>
    <w:p w:rsidR="00E27756" w:rsidRDefault="00E27756" w:rsidP="00E27756">
      <w:pPr>
        <w:pStyle w:val="SangriaFrancesaArticulo"/>
      </w:pPr>
    </w:p>
    <w:p w:rsidR="00E27756" w:rsidRDefault="00E27756" w:rsidP="00E27756">
      <w:pPr>
        <w:pStyle w:val="TextoNormalNegritaCursivandice"/>
      </w:pPr>
      <w:r>
        <w:t>Directiva 96/92/CE del Parlamento Europeo y del Consejo de 19 de diciembre de 1996. Normas comunes para el mercado interior de la electricidad</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3" w:history="1">
        <w:r w:rsidRPr="00E27756">
          <w:rPr>
            <w:rStyle w:val="TextoNormalCaracter"/>
          </w:rPr>
          <w:t>123/2013</w:t>
        </w:r>
      </w:hyperlink>
      <w:r>
        <w:t>, ff. 4, 6.</w:t>
      </w:r>
    </w:p>
    <w:p w:rsidR="00E27756" w:rsidRDefault="00E27756" w:rsidP="00E27756">
      <w:pPr>
        <w:pStyle w:val="SangriaFrancesaArticulo"/>
      </w:pPr>
    </w:p>
    <w:p w:rsidR="00E27756" w:rsidRDefault="00E27756" w:rsidP="00E27756">
      <w:pPr>
        <w:pStyle w:val="TextoNormalNegritaCursivandice"/>
      </w:pPr>
      <w:r>
        <w:t>Reglamento (CE) núm. 154/97 del Consejo, de 20 de enero de 1997. Modifica el Reglamento (CEE) 619/71. Ayuda para el lino y el cáñamo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7" w:history="1">
        <w:r w:rsidRPr="00E27756">
          <w:rPr>
            <w:rStyle w:val="TextoNormalCaracter"/>
          </w:rPr>
          <w:t>27/2013</w:t>
        </w:r>
      </w:hyperlink>
      <w:r>
        <w:t>, f. 4.</w:t>
      </w:r>
    </w:p>
    <w:p w:rsidR="00E27756" w:rsidRDefault="00E27756" w:rsidP="00E27756">
      <w:pPr>
        <w:pStyle w:val="SangriaFrancesaArticulo"/>
      </w:pPr>
    </w:p>
    <w:p w:rsidR="00E27756" w:rsidRDefault="00E27756" w:rsidP="00E27756">
      <w:pPr>
        <w:pStyle w:val="TextoNormalNegritaCursivandice"/>
      </w:pPr>
      <w:r>
        <w:t>Reglamento (CE) 1493/1999 del Consejo, de 17 de mayo de 1999. Establece la organización común del mercado vitivinícola</w:t>
      </w:r>
    </w:p>
    <w:p w:rsidR="00E27756" w:rsidRDefault="00E27756" w:rsidP="00E27756">
      <w:pPr>
        <w:pStyle w:val="SangriaFrancesaArticulo"/>
      </w:pPr>
      <w:r w:rsidRPr="00E27756">
        <w:rPr>
          <w:rStyle w:val="TextoNormalNegritaCaracter"/>
        </w:rPr>
        <w:t>Considerando 57.</w:t>
      </w:r>
      <w:r w:rsidRPr="00E27756">
        <w:rPr>
          <w:rStyle w:val="TextoNormalCaracter"/>
        </w:rPr>
        <w:t>-</w:t>
      </w:r>
      <w:r>
        <w:t xml:space="preserve"> Sentencia </w:t>
      </w:r>
      <w:hyperlink w:anchor="SENTENCIA_2013_34" w:history="1">
        <w:r w:rsidRPr="00E27756">
          <w:rPr>
            <w:rStyle w:val="TextoNormalCaracter"/>
          </w:rPr>
          <w:t>34/2013</w:t>
        </w:r>
      </w:hyperlink>
      <w:r>
        <w:t>, f. 9.</w:t>
      </w:r>
    </w:p>
    <w:p w:rsidR="00E27756" w:rsidRDefault="00E27756" w:rsidP="00E27756">
      <w:pPr>
        <w:pStyle w:val="SangriaFrancesaArticulo"/>
      </w:pPr>
      <w:r w:rsidRPr="00E27756">
        <w:rPr>
          <w:rStyle w:val="TextoNormalNegritaCaracter"/>
        </w:rPr>
        <w:t>Considerando quincuagésimo séptimo.</w:t>
      </w:r>
      <w:r w:rsidRPr="00E27756">
        <w:rPr>
          <w:rStyle w:val="TextoNormalCaracter"/>
        </w:rPr>
        <w:t>-</w:t>
      </w:r>
      <w:r>
        <w:t xml:space="preserve"> Sentencia </w:t>
      </w:r>
      <w:hyperlink w:anchor="SENTENCIA_2013_34" w:history="1">
        <w:r w:rsidRPr="00E27756">
          <w:rPr>
            <w:rStyle w:val="TextoNormalCaracter"/>
          </w:rPr>
          <w:t>34/2013</w:t>
        </w:r>
      </w:hyperlink>
      <w:r>
        <w:t>, f. 9.</w:t>
      </w:r>
    </w:p>
    <w:p w:rsidR="00E27756" w:rsidRDefault="00E27756" w:rsidP="00E27756">
      <w:pPr>
        <w:pStyle w:val="SangriaFrancesaArticulo"/>
      </w:pPr>
    </w:p>
    <w:p w:rsidR="00E27756" w:rsidRDefault="00E27756" w:rsidP="00E27756">
      <w:pPr>
        <w:pStyle w:val="TextoNormalNegritaCursivandice"/>
      </w:pPr>
      <w:r>
        <w:lastRenderedPageBreak/>
        <w:t>Directiva 2000/43/CE del Consejo, de 29 de junio de 2000. Aplicación del principio de igualdad de trato de las personas independientemente de su origen racial o étnico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4" w:history="1">
        <w:r w:rsidRPr="00E27756">
          <w:rPr>
            <w:rStyle w:val="TextoNormalCaracter"/>
          </w:rPr>
          <w:t>104/2013</w:t>
        </w:r>
      </w:hyperlink>
      <w:r>
        <w:t>, f. 3.</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104" w:history="1">
        <w:r w:rsidRPr="00E27756">
          <w:rPr>
            <w:rStyle w:val="TextoNormalCaracter"/>
          </w:rPr>
          <w:t>104/2013</w:t>
        </w:r>
      </w:hyperlink>
      <w:r>
        <w:t>, f. 3.</w:t>
      </w:r>
    </w:p>
    <w:p w:rsidR="00E27756" w:rsidRDefault="00E27756" w:rsidP="00E27756">
      <w:pPr>
        <w:pStyle w:val="SangriaFrancesaArticulo"/>
      </w:pPr>
    </w:p>
    <w:p w:rsidR="00E27756" w:rsidRDefault="00E27756" w:rsidP="00E27756">
      <w:pPr>
        <w:pStyle w:val="TextoNormalNegritaCursivandice"/>
      </w:pPr>
      <w:r>
        <w:t>Directiva 2000/60/CE del Parlamento Europeo y del Consejo, de 23 de octubre de 2000. Establecimiento de un marco comunitario de actuación en el ámbito de la política de aguas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9" w:history="1">
        <w:r w:rsidRPr="00E27756">
          <w:rPr>
            <w:rStyle w:val="TextoNormalCaracter"/>
          </w:rPr>
          <w:t>19/2013</w:t>
        </w:r>
      </w:hyperlink>
      <w:r>
        <w:t xml:space="preserve">, f. 2; </w:t>
      </w:r>
      <w:hyperlink w:anchor="SENTENCIA_2013_36" w:history="1">
        <w:r w:rsidRPr="00E27756">
          <w:rPr>
            <w:rStyle w:val="TextoNormalCaracter"/>
          </w:rPr>
          <w:t>36/2013</w:t>
        </w:r>
      </w:hyperlink>
      <w:r>
        <w:t xml:space="preserve">, ff. 2, 4; </w:t>
      </w:r>
      <w:hyperlink w:anchor="SENTENCIA_2013_51" w:history="1">
        <w:r w:rsidRPr="00E27756">
          <w:rPr>
            <w:rStyle w:val="TextoNormalCaracter"/>
          </w:rPr>
          <w:t>51/2013</w:t>
        </w:r>
      </w:hyperlink>
      <w:r>
        <w:t xml:space="preserve">, f. 2; </w:t>
      </w:r>
      <w:hyperlink w:anchor="SENTENCIA_2013_63" w:history="1">
        <w:r w:rsidRPr="00E27756">
          <w:rPr>
            <w:rStyle w:val="TextoNormalCaracter"/>
          </w:rPr>
          <w:t>63/2013</w:t>
        </w:r>
      </w:hyperlink>
      <w:r>
        <w:t xml:space="preserve">, f. 4; </w:t>
      </w:r>
      <w:hyperlink w:anchor="SENTENCIA_2013_64" w:history="1">
        <w:r w:rsidRPr="00E27756">
          <w:rPr>
            <w:rStyle w:val="TextoNormalCaracter"/>
          </w:rPr>
          <w:t>64/2013</w:t>
        </w:r>
      </w:hyperlink>
      <w:r>
        <w:t xml:space="preserve">, f. 4; </w:t>
      </w:r>
      <w:hyperlink w:anchor="SENTENCIA_2013_85" w:history="1">
        <w:r w:rsidRPr="00E27756">
          <w:rPr>
            <w:rStyle w:val="TextoNormalCaracter"/>
          </w:rPr>
          <w:t>85/2013</w:t>
        </w:r>
      </w:hyperlink>
      <w:r>
        <w:t xml:space="preserve">, ff. 4 a 6, VP; </w:t>
      </w:r>
      <w:hyperlink w:anchor="SENTENCIA_2013_104" w:history="1">
        <w:r w:rsidRPr="00E27756">
          <w:rPr>
            <w:rStyle w:val="TextoNormalCaracter"/>
          </w:rPr>
          <w:t>104/2013</w:t>
        </w:r>
      </w:hyperlink>
      <w:r>
        <w:t xml:space="preserve">, f. 9; </w:t>
      </w:r>
      <w:hyperlink w:anchor="SENTENCIA_2013_111" w:history="1">
        <w:r w:rsidRPr="00E27756">
          <w:rPr>
            <w:rStyle w:val="TextoNormalCaracter"/>
          </w:rPr>
          <w:t>111/2013</w:t>
        </w:r>
      </w:hyperlink>
      <w:r>
        <w:t>, ff. 1, 5.</w:t>
      </w:r>
    </w:p>
    <w:p w:rsidR="00E27756" w:rsidRDefault="00E27756" w:rsidP="00E27756">
      <w:pPr>
        <w:pStyle w:val="SangriaFrancesaArticulo"/>
      </w:pPr>
      <w:r w:rsidRPr="00E27756">
        <w:rPr>
          <w:rStyle w:val="TextoNormalNegritaCaracter"/>
        </w:rPr>
        <w:t>Artículo 2.</w:t>
      </w:r>
      <w:r w:rsidRPr="00E27756">
        <w:rPr>
          <w:rStyle w:val="TextoNormalCaracter"/>
        </w:rPr>
        <w:t>-</w:t>
      </w:r>
      <w:r>
        <w:t xml:space="preserve"> Sentencia </w:t>
      </w:r>
      <w:hyperlink w:anchor="SENTENCIA_2013_36" w:history="1">
        <w:r w:rsidRPr="00E27756">
          <w:rPr>
            <w:rStyle w:val="TextoNormalCaracter"/>
          </w:rPr>
          <w:t>36/2013</w:t>
        </w:r>
      </w:hyperlink>
      <w:r>
        <w:t>, f. 2.</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36" w:history="1">
        <w:r w:rsidRPr="00E27756">
          <w:rPr>
            <w:rStyle w:val="TextoNormalCaracter"/>
          </w:rPr>
          <w:t>36/2013</w:t>
        </w:r>
      </w:hyperlink>
      <w:r>
        <w:t>, f. 2.</w:t>
      </w:r>
    </w:p>
    <w:p w:rsidR="00E27756" w:rsidRDefault="00E27756" w:rsidP="00E27756">
      <w:pPr>
        <w:pStyle w:val="SangriaFrancesaArticulo"/>
      </w:pPr>
      <w:r w:rsidRPr="00E27756">
        <w:rPr>
          <w:rStyle w:val="TextoNormalNegritaCaracter"/>
        </w:rPr>
        <w:t>Artículo 9.</w:t>
      </w:r>
      <w:r w:rsidRPr="00E27756">
        <w:rPr>
          <w:rStyle w:val="TextoNormalCaracter"/>
        </w:rPr>
        <w:t>-</w:t>
      </w:r>
      <w:r>
        <w:t xml:space="preserve"> Sentencia </w:t>
      </w:r>
      <w:hyperlink w:anchor="SENTENCIA_2013_85" w:history="1">
        <w:r w:rsidRPr="00E27756">
          <w:rPr>
            <w:rStyle w:val="TextoNormalCaracter"/>
          </w:rPr>
          <w:t>85/2013</w:t>
        </w:r>
      </w:hyperlink>
      <w:r>
        <w:t>, VP.</w:t>
      </w:r>
    </w:p>
    <w:p w:rsidR="00E27756" w:rsidRDefault="00E27756" w:rsidP="00E27756">
      <w:pPr>
        <w:pStyle w:val="SangriaFrancesaArticulo"/>
      </w:pPr>
      <w:r w:rsidRPr="00E27756">
        <w:rPr>
          <w:rStyle w:val="TextoNormalNegritaCaracter"/>
        </w:rPr>
        <w:t>Artículo 9.1.</w:t>
      </w:r>
      <w:r w:rsidRPr="00E27756">
        <w:rPr>
          <w:rStyle w:val="TextoNormalCaracter"/>
        </w:rPr>
        <w:t>-</w:t>
      </w:r>
      <w:r>
        <w:t xml:space="preserve"> Sentencia </w:t>
      </w:r>
      <w:hyperlink w:anchor="SENTENCIA_2013_85" w:history="1">
        <w:r w:rsidRPr="00E27756">
          <w:rPr>
            <w:rStyle w:val="TextoNormalCaracter"/>
          </w:rPr>
          <w:t>85/2013</w:t>
        </w:r>
      </w:hyperlink>
      <w:r>
        <w:t>, f. 6.</w:t>
      </w:r>
    </w:p>
    <w:p w:rsidR="00E27756" w:rsidRDefault="00E27756" w:rsidP="00E27756">
      <w:pPr>
        <w:pStyle w:val="SangriaFrancesaArticulo"/>
      </w:pPr>
      <w:r w:rsidRPr="00E27756">
        <w:rPr>
          <w:rStyle w:val="TextoNormalNegritaCaracter"/>
        </w:rPr>
        <w:t>Anexo III.</w:t>
      </w:r>
      <w:r w:rsidRPr="00E27756">
        <w:rPr>
          <w:rStyle w:val="TextoNormalCaracter"/>
        </w:rPr>
        <w:t>-</w:t>
      </w:r>
      <w:r>
        <w:t xml:space="preserve"> Sentencia </w:t>
      </w:r>
      <w:hyperlink w:anchor="SENTENCIA_2013_85" w:history="1">
        <w:r w:rsidRPr="00E27756">
          <w:rPr>
            <w:rStyle w:val="TextoNormalCaracter"/>
          </w:rPr>
          <w:t>85/2013</w:t>
        </w:r>
      </w:hyperlink>
      <w:r>
        <w:t>, VP.</w:t>
      </w:r>
    </w:p>
    <w:p w:rsidR="00E27756" w:rsidRDefault="00E27756" w:rsidP="00E27756">
      <w:pPr>
        <w:pStyle w:val="SangriaFrancesaArticulo"/>
      </w:pPr>
    </w:p>
    <w:p w:rsidR="00E27756" w:rsidRDefault="00E27756" w:rsidP="00E27756">
      <w:pPr>
        <w:pStyle w:val="TextoNormalNegritaCursivandice"/>
      </w:pPr>
      <w:r>
        <w:t>Directiva 2000/78/CE, del Consejo, de 27 de noviembre. Establecimiento de un marco general para la igualdad de trato en el empleo y la ocupación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1" w:history="1">
        <w:r w:rsidRPr="00E27756">
          <w:rPr>
            <w:rStyle w:val="TextoNormalCaracter"/>
          </w:rPr>
          <w:t>41/2013</w:t>
        </w:r>
      </w:hyperlink>
      <w:r>
        <w:t>, f. 2.</w:t>
      </w:r>
    </w:p>
    <w:p w:rsidR="00E27756" w:rsidRDefault="00E27756" w:rsidP="00E27756">
      <w:pPr>
        <w:pStyle w:val="SangriaFrancesaArticulo"/>
      </w:pPr>
    </w:p>
    <w:p w:rsidR="00E27756" w:rsidRDefault="00E27756" w:rsidP="00E27756">
      <w:pPr>
        <w:pStyle w:val="TextoNormalNegritaCursivandice"/>
      </w:pPr>
      <w:r>
        <w:t>Directiva 2001/42/CE del Parlamento Europeo y del Consejo, de 27 de junio de 2001. Relativa a la evaluación de los efectos de determinados planes y programas en el medio ambiente</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9" w:history="1">
        <w:r w:rsidRPr="00E27756">
          <w:rPr>
            <w:rStyle w:val="TextoNormalCaracter"/>
          </w:rPr>
          <w:t>19/2013</w:t>
        </w:r>
      </w:hyperlink>
      <w:r>
        <w:t>, f. 2.</w:t>
      </w:r>
    </w:p>
    <w:p w:rsidR="00E27756" w:rsidRDefault="00E27756" w:rsidP="00E27756">
      <w:pPr>
        <w:pStyle w:val="SangriaFrancesaArticulo"/>
      </w:pPr>
    </w:p>
    <w:p w:rsidR="00E27756" w:rsidRDefault="00E27756" w:rsidP="00E27756">
      <w:pPr>
        <w:pStyle w:val="TextoNormalNegritaCursivandice"/>
      </w:pPr>
      <w:r>
        <w:t>Directiva 2001/51/CE del Consejo, de 28 de junio de 2001. Se completan las disposiciones del artículo 26 del Convenio de aplicación del Acuerdo de Schengen de 14 de junio de 1985</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p>
    <w:p w:rsidR="00E27756" w:rsidRDefault="00E27756" w:rsidP="00E27756">
      <w:pPr>
        <w:pStyle w:val="TextoNormalNegritaCursivandice"/>
      </w:pPr>
      <w:r>
        <w:t>Directiva 2003/35/CE del Parlamento Europeo y del Consejo, de 26 de mayo de 2003. Establece medidas para la participación del público en la elaboración de determinados planes y programas relacionados con el medio ambiente y por la que se modifican, en lo que se refiere a la participación del público y el acceso a la justicia, las Directivas 85/337/CEE y 96/61/CE del Consejo - Declaración de la Comisión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9" w:history="1">
        <w:r w:rsidRPr="00E27756">
          <w:rPr>
            <w:rStyle w:val="TextoNormalCaracter"/>
          </w:rPr>
          <w:t>129/2013</w:t>
        </w:r>
      </w:hyperlink>
      <w:r>
        <w:t>, f. 7.</w:t>
      </w:r>
    </w:p>
    <w:p w:rsidR="00E27756" w:rsidRDefault="00E27756" w:rsidP="00E27756">
      <w:pPr>
        <w:pStyle w:val="SangriaFrancesaArticulo"/>
      </w:pPr>
    </w:p>
    <w:p w:rsidR="00E27756" w:rsidRDefault="00E27756" w:rsidP="00E27756">
      <w:pPr>
        <w:pStyle w:val="TextoNormalNegritaCursivandice"/>
      </w:pPr>
      <w:r>
        <w:t>Directiva 2003/54/CE del Parlamento Europeo y del Consejo, de 26 de junio de 2003. Normas comunes para el mercado interior de la electricidad</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4" w:history="1">
        <w:r w:rsidRPr="00E27756">
          <w:rPr>
            <w:rStyle w:val="TextoNormalCaracter"/>
          </w:rPr>
          <w:t>4/2013</w:t>
        </w:r>
      </w:hyperlink>
      <w:r>
        <w:t xml:space="preserve">, f. 10; </w:t>
      </w:r>
      <w:hyperlink w:anchor="SENTENCIA_2013_102" w:history="1">
        <w:r w:rsidRPr="00E27756">
          <w:rPr>
            <w:rStyle w:val="TextoNormalCaracter"/>
          </w:rPr>
          <w:t>102/2013</w:t>
        </w:r>
      </w:hyperlink>
      <w:r>
        <w:t>, f. 3.</w:t>
      </w:r>
    </w:p>
    <w:p w:rsidR="00E27756" w:rsidRDefault="00E27756" w:rsidP="00E27756">
      <w:pPr>
        <w:pStyle w:val="SangriaFrancesaArticulo"/>
      </w:pPr>
    </w:p>
    <w:p w:rsidR="00E27756" w:rsidRDefault="00E27756" w:rsidP="00E27756">
      <w:pPr>
        <w:pStyle w:val="TextoNormalNegritaCursivandice"/>
      </w:pPr>
      <w:r>
        <w:t>Directiva 2003/55/CE del Parlamento Europeo y del Consejo, de 26 de junio de 2003. Normas comunes para el mercado interior del gas natural y derogación de la Directiva 1998/30/CE</w:t>
      </w:r>
    </w:p>
    <w:p w:rsidR="00E27756" w:rsidRDefault="00E27756" w:rsidP="00E27756">
      <w:pPr>
        <w:pStyle w:val="SangriaFrancesaArticulo"/>
      </w:pPr>
      <w:r w:rsidRPr="00E27756">
        <w:rPr>
          <w:rStyle w:val="TextoNormalNegritaCaracter"/>
        </w:rPr>
        <w:lastRenderedPageBreak/>
        <w:t>En general.</w:t>
      </w:r>
      <w:r w:rsidRPr="00E27756">
        <w:rPr>
          <w:rStyle w:val="TextoNormalCaracter"/>
        </w:rPr>
        <w:t>-</w:t>
      </w:r>
      <w:r>
        <w:t xml:space="preserve"> Sentencia </w:t>
      </w:r>
      <w:hyperlink w:anchor="SENTENCIA_2013_8" w:history="1">
        <w:r w:rsidRPr="00E27756">
          <w:rPr>
            <w:rStyle w:val="TextoNormalCaracter"/>
          </w:rPr>
          <w:t>8/2013</w:t>
        </w:r>
      </w:hyperlink>
      <w:r>
        <w:t>, ff. 1, 2.</w:t>
      </w:r>
    </w:p>
    <w:p w:rsidR="00E27756" w:rsidRDefault="00E27756" w:rsidP="00E27756">
      <w:pPr>
        <w:pStyle w:val="SangriaFrancesaArticulo"/>
      </w:pPr>
    </w:p>
    <w:p w:rsidR="00E27756" w:rsidRDefault="00E27756" w:rsidP="00E27756">
      <w:pPr>
        <w:pStyle w:val="TextoNormalNegritaCursivandice"/>
      </w:pPr>
      <w:r>
        <w:t>Reglamento (CE) 1782/2003 del Consejo, de 29 de septiembre de 2003. Establece disposiciones comunes aplicables a los regímenes de ayuda directa en el marco de la política agrícola común y se instauran determinados regímenes de ayuda a los agricultores y por el que se modifican los Reglamentos (CEE) 2019/1993, (CE) 1452/2001, (CE) 1453/2001, (CE) 1454/2001, (CE) 1868/1994, (CE) 1251/1999, (CE) 1254/1999, (CE) 1673/2000, (CEE) 2358/1971 y (CE) 2529/2001</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r w:rsidRPr="00E27756">
        <w:rPr>
          <w:rStyle w:val="TextoNormalNegritaCaracter"/>
        </w:rPr>
        <w:t>Título III, capítulo 5, sección 2.</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r w:rsidRPr="00E27756">
        <w:rPr>
          <w:rStyle w:val="TextoNormalNegritaCaracter"/>
        </w:rPr>
        <w:t>Título III, capítulos 1 a 4.</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r w:rsidRPr="00E27756">
        <w:rPr>
          <w:rStyle w:val="TextoNormalNegritaCaracter"/>
        </w:rPr>
        <w:t>Artículo 58.</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r w:rsidRPr="00E27756">
        <w:rPr>
          <w:rStyle w:val="TextoNormalNegritaCaracter"/>
        </w:rPr>
        <w:t>Artículo 66.</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r w:rsidRPr="00E27756">
        <w:rPr>
          <w:rStyle w:val="TextoNormalNegritaCaracter"/>
        </w:rPr>
        <w:t>Artículo 67.</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r w:rsidRPr="00E27756">
        <w:rPr>
          <w:rStyle w:val="TextoNormalNegritaCaracter"/>
        </w:rPr>
        <w:t>Artículo 68.</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r w:rsidRPr="00E27756">
        <w:rPr>
          <w:rStyle w:val="TextoNormalNegritaCaracter"/>
        </w:rPr>
        <w:t>Artículo 69.</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p>
    <w:p w:rsidR="00E27756" w:rsidRDefault="00E27756" w:rsidP="00E27756">
      <w:pPr>
        <w:pStyle w:val="TextoNormalNegritaCursivandice"/>
      </w:pPr>
      <w:r>
        <w:t>Reglamento (CE) núm. 2201/2003 del Consejo, de 27 de noviembre de 2003. Competencia, reconocimiento y ejecución de resoluciones judiciales en materia matrimonial y de responsabilidad parental, por el que se deroga el Reglamento (CE) núm. 1347/2000</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7" w:history="1">
        <w:r w:rsidRPr="00E27756">
          <w:rPr>
            <w:rStyle w:val="TextoNormalCaracter"/>
          </w:rPr>
          <w:t>127/2013</w:t>
        </w:r>
      </w:hyperlink>
      <w:r>
        <w:t>, f. 2.</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127" w:history="1">
        <w:r w:rsidRPr="00E27756">
          <w:rPr>
            <w:rStyle w:val="TextoNormalCaracter"/>
          </w:rPr>
          <w:t>127/2013</w:t>
        </w:r>
      </w:hyperlink>
      <w:r>
        <w:t>, f. 4.</w:t>
      </w:r>
    </w:p>
    <w:p w:rsidR="00E27756" w:rsidRDefault="00E27756" w:rsidP="00E27756">
      <w:pPr>
        <w:pStyle w:val="SangriaFrancesaArticulo"/>
      </w:pPr>
      <w:r w:rsidRPr="00E27756">
        <w:rPr>
          <w:rStyle w:val="TextoNormalNegritaCaracter"/>
        </w:rPr>
        <w:t>Artículo 10.</w:t>
      </w:r>
      <w:r w:rsidRPr="00E27756">
        <w:rPr>
          <w:rStyle w:val="TextoNormalCaracter"/>
        </w:rPr>
        <w:t>-</w:t>
      </w:r>
      <w:r>
        <w:t xml:space="preserve"> Sentencia </w:t>
      </w:r>
      <w:hyperlink w:anchor="SENTENCIA_2013_127" w:history="1">
        <w:r w:rsidRPr="00E27756">
          <w:rPr>
            <w:rStyle w:val="TextoNormalCaracter"/>
          </w:rPr>
          <w:t>127/2013</w:t>
        </w:r>
      </w:hyperlink>
      <w:r>
        <w:t>, f. 4.</w:t>
      </w:r>
    </w:p>
    <w:p w:rsidR="00E27756" w:rsidRDefault="00E27756" w:rsidP="00E27756">
      <w:pPr>
        <w:pStyle w:val="SangriaFrancesaArticulo"/>
      </w:pPr>
    </w:p>
    <w:p w:rsidR="00E27756" w:rsidRDefault="00E27756" w:rsidP="00E27756">
      <w:pPr>
        <w:pStyle w:val="TextoNormalNegritaCursivandice"/>
      </w:pPr>
      <w:r>
        <w:t>Directiva 2004/82/CE del Consejo, de 29 de abril de 2004. Sobre la obligación de los transportistas de comunicar los datos de las personas transportadas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17" w:history="1">
        <w:r w:rsidRPr="00E27756">
          <w:rPr>
            <w:rStyle w:val="TextoNormalCaracter"/>
          </w:rPr>
          <w:t>17/2013</w:t>
        </w:r>
      </w:hyperlink>
      <w:r>
        <w:t>, f. 6.</w:t>
      </w:r>
    </w:p>
    <w:p w:rsidR="00E27756" w:rsidRDefault="00E27756" w:rsidP="00E27756">
      <w:pPr>
        <w:pStyle w:val="SangriaFrancesaArticulo"/>
      </w:pPr>
    </w:p>
    <w:p w:rsidR="00E27756" w:rsidRDefault="00E27756" w:rsidP="00E27756">
      <w:pPr>
        <w:pStyle w:val="TextoNormalNegritaCursivandice"/>
      </w:pPr>
      <w:r>
        <w:t>Directiva 2006/123/CE del Parlamento Europeo y del Consejo, de 12 de diciembre de 2006. Servicios en el mercado interior</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3" w:history="1">
        <w:r w:rsidRPr="00E27756">
          <w:rPr>
            <w:rStyle w:val="TextoNormalCaracter"/>
          </w:rPr>
          <w:t>3/2013</w:t>
        </w:r>
      </w:hyperlink>
      <w:r>
        <w:t xml:space="preserve">, f. 7; </w:t>
      </w:r>
      <w:hyperlink w:anchor="SENTENCIA_2013_102" w:history="1">
        <w:r w:rsidRPr="00E27756">
          <w:rPr>
            <w:rStyle w:val="TextoNormalCaracter"/>
          </w:rPr>
          <w:t>102/2013</w:t>
        </w:r>
      </w:hyperlink>
      <w:r>
        <w:t>, f. 3.</w:t>
      </w:r>
    </w:p>
    <w:p w:rsidR="00E27756" w:rsidRDefault="00E27756" w:rsidP="00E27756">
      <w:pPr>
        <w:pStyle w:val="SangriaIzquierdaArticulo"/>
      </w:pPr>
      <w:r>
        <w:t xml:space="preserve">Autos </w:t>
      </w:r>
      <w:hyperlink w:anchor="AUTO_2013_10" w:history="1">
        <w:r w:rsidRPr="00E27756">
          <w:rPr>
            <w:rStyle w:val="TextoNormalCaracter"/>
          </w:rPr>
          <w:t>10/2013</w:t>
        </w:r>
      </w:hyperlink>
      <w:r>
        <w:t xml:space="preserve">, f. 4; </w:t>
      </w:r>
      <w:hyperlink w:anchor="AUTO_2013_23" w:history="1">
        <w:r w:rsidRPr="00E27756">
          <w:rPr>
            <w:rStyle w:val="TextoNormalCaracter"/>
          </w:rPr>
          <w:t>23/2013</w:t>
        </w:r>
      </w:hyperlink>
      <w:r>
        <w:t>, f. 2.</w:t>
      </w:r>
    </w:p>
    <w:p w:rsidR="00E27756" w:rsidRDefault="00E27756" w:rsidP="00E27756">
      <w:pPr>
        <w:pStyle w:val="SangriaIzquierdaArticulo"/>
      </w:pPr>
    </w:p>
    <w:p w:rsidR="00E27756" w:rsidRDefault="00E27756" w:rsidP="00E27756">
      <w:pPr>
        <w:pStyle w:val="TextoNormalNegritaCursivandice"/>
      </w:pPr>
      <w:r>
        <w:t>Reglamento (CE) 1234/2007 del Consejo, de 22 de octubre de 2007. Crea una organización común de mercados agrícolas y se establecen disposiciones específicas para determinados productos agrícolas (Reglamento único para las OCM)</w:t>
      </w:r>
    </w:p>
    <w:p w:rsidR="00E27756" w:rsidRDefault="00E27756" w:rsidP="00E27756">
      <w:pPr>
        <w:pStyle w:val="SangriaFrancesaArticulo"/>
      </w:pPr>
      <w:r w:rsidRPr="00E27756">
        <w:rPr>
          <w:rStyle w:val="TextoNormalNegritaCaracter"/>
        </w:rPr>
        <w:t>Artículo 118 ter.</w:t>
      </w:r>
      <w:r w:rsidRPr="00E27756">
        <w:rPr>
          <w:rStyle w:val="TextoNormalCaracter"/>
        </w:rPr>
        <w:t>-</w:t>
      </w:r>
      <w:r>
        <w:t xml:space="preserve"> Sentencia </w:t>
      </w:r>
      <w:hyperlink w:anchor="SENTENCIA_2013_34" w:history="1">
        <w:r w:rsidRPr="00E27756">
          <w:rPr>
            <w:rStyle w:val="TextoNormalCaracter"/>
          </w:rPr>
          <w:t>34/2013</w:t>
        </w:r>
      </w:hyperlink>
      <w:r>
        <w:t>, f. 5.</w:t>
      </w:r>
    </w:p>
    <w:p w:rsidR="00E27756" w:rsidRDefault="00E27756" w:rsidP="00E27756">
      <w:pPr>
        <w:pStyle w:val="SangriaFrancesaArticulo"/>
      </w:pPr>
    </w:p>
    <w:p w:rsidR="00E27756" w:rsidRDefault="00E27756" w:rsidP="00E27756">
      <w:pPr>
        <w:pStyle w:val="TextoNormalNegritaCursivandice"/>
      </w:pPr>
      <w:r>
        <w:t>Tratado de Lisboa, de 13 de diciembre de 2007. Tratado de funcionamiento de la Unión Europea</w:t>
      </w:r>
    </w:p>
    <w:p w:rsidR="00E27756" w:rsidRDefault="00E27756" w:rsidP="00E27756">
      <w:pPr>
        <w:pStyle w:val="SangriaFrancesaArticulo"/>
      </w:pPr>
      <w:r w:rsidRPr="00E27756">
        <w:rPr>
          <w:rStyle w:val="TextoNormalNegritaCaracter"/>
        </w:rPr>
        <w:t>Artículo 267.</w:t>
      </w:r>
      <w:r w:rsidRPr="00E27756">
        <w:rPr>
          <w:rStyle w:val="TextoNormalCaracter"/>
        </w:rPr>
        <w:t>-</w:t>
      </w:r>
      <w:r>
        <w:t xml:space="preserve"> Sentencias </w:t>
      </w:r>
      <w:hyperlink w:anchor="SENTENCIA_2013_27" w:history="1">
        <w:r w:rsidRPr="00E27756">
          <w:rPr>
            <w:rStyle w:val="TextoNormalCaracter"/>
          </w:rPr>
          <w:t>27/2013</w:t>
        </w:r>
      </w:hyperlink>
      <w:r>
        <w:t xml:space="preserve">, VP I; </w:t>
      </w:r>
      <w:hyperlink w:anchor="SENTENCIA_2013_127" w:history="1">
        <w:r w:rsidRPr="00E27756">
          <w:rPr>
            <w:rStyle w:val="TextoNormalCaracter"/>
          </w:rPr>
          <w:t>127/2013</w:t>
        </w:r>
      </w:hyperlink>
      <w:r>
        <w:t>, f. 7.</w:t>
      </w:r>
    </w:p>
    <w:p w:rsidR="00E27756" w:rsidRDefault="00E27756" w:rsidP="00E27756">
      <w:pPr>
        <w:pStyle w:val="SangriaFrancesaArticulo"/>
      </w:pPr>
    </w:p>
    <w:p w:rsidR="00E27756" w:rsidRDefault="00E27756" w:rsidP="00E27756">
      <w:pPr>
        <w:pStyle w:val="TextoNormalNegritaCursivandice"/>
      </w:pPr>
      <w:r>
        <w:t xml:space="preserve">Reglamento (CE) 479/2008 del Consejo, de 29 de abril de 2008. Establece la organización común del mercado vitivinícola, se modifican los Reglamentos (CE) </w:t>
      </w:r>
      <w:r>
        <w:lastRenderedPageBreak/>
        <w:t>1493/1999, (CE) 1782/2003, (CE) 1290/2005 y (CE) 3/2008 y se derogan los Reglamentos (CEE) 2392/86 y (CE) 1493/1999</w:t>
      </w:r>
    </w:p>
    <w:p w:rsidR="00E27756" w:rsidRDefault="00E27756" w:rsidP="00E27756">
      <w:pPr>
        <w:pStyle w:val="SangriaFrancesaArticulo"/>
      </w:pPr>
      <w:r w:rsidRPr="00E27756">
        <w:rPr>
          <w:rStyle w:val="TextoNormalNegritaCaracter"/>
        </w:rPr>
        <w:t>Considerando segundo.</w:t>
      </w:r>
      <w:r w:rsidRPr="00E27756">
        <w:rPr>
          <w:rStyle w:val="TextoNormalCaracter"/>
        </w:rPr>
        <w:t>-</w:t>
      </w:r>
      <w:r>
        <w:t xml:space="preserve"> Sentencia </w:t>
      </w:r>
      <w:hyperlink w:anchor="SENTENCIA_2013_34" w:history="1">
        <w:r w:rsidRPr="00E27756">
          <w:rPr>
            <w:rStyle w:val="TextoNormalCaracter"/>
          </w:rPr>
          <w:t>34/2013</w:t>
        </w:r>
      </w:hyperlink>
      <w:r>
        <w:t>, f. 9.</w:t>
      </w:r>
    </w:p>
    <w:p w:rsidR="00E27756" w:rsidRDefault="00E27756" w:rsidP="00E27756">
      <w:pPr>
        <w:pStyle w:val="SangriaFrancesaArticulo"/>
      </w:pPr>
    </w:p>
    <w:p w:rsidR="00E27756" w:rsidRDefault="00E27756" w:rsidP="00E27756">
      <w:pPr>
        <w:pStyle w:val="TextoNormalNegritaCursivandice"/>
      </w:pPr>
      <w:r>
        <w:t>Reglamento (CE) núm. 485/2008 del Consejo, de 26 de mayo de 2008. Relativo a los controles, por los Estados miembros, de las operaciones comprendidas en el sistema de financiación por el fondo europeo agrícola de garantía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30" w:history="1">
        <w:r w:rsidRPr="00E27756">
          <w:rPr>
            <w:rStyle w:val="TextoNormalCaracter"/>
          </w:rPr>
          <w:t>130/2013</w:t>
        </w:r>
      </w:hyperlink>
      <w:r>
        <w:t xml:space="preserve">, f. 12; </w:t>
      </w:r>
      <w:hyperlink w:anchor="SENTENCIA_2013_135" w:history="1">
        <w:r w:rsidRPr="00E27756">
          <w:rPr>
            <w:rStyle w:val="TextoNormalCaracter"/>
          </w:rPr>
          <w:t>135/2013</w:t>
        </w:r>
      </w:hyperlink>
      <w:r>
        <w:t>, f. 4.</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130" w:history="1">
        <w:r w:rsidRPr="00E27756">
          <w:rPr>
            <w:rStyle w:val="TextoNormalCaracter"/>
          </w:rPr>
          <w:t>130/2013</w:t>
        </w:r>
      </w:hyperlink>
      <w:r>
        <w:t>, f. 12.</w:t>
      </w:r>
    </w:p>
    <w:p w:rsidR="00E27756" w:rsidRDefault="00E27756" w:rsidP="00E27756">
      <w:pPr>
        <w:pStyle w:val="SangriaFrancesaArticulo"/>
      </w:pPr>
      <w:r w:rsidRPr="00E27756">
        <w:rPr>
          <w:rStyle w:val="TextoNormalNegritaCaracter"/>
        </w:rPr>
        <w:t>Artículo 2.7.</w:t>
      </w:r>
      <w:r w:rsidRPr="00E27756">
        <w:rPr>
          <w:rStyle w:val="TextoNormalCaracter"/>
        </w:rPr>
        <w:t>-</w:t>
      </w:r>
      <w:r>
        <w:t xml:space="preserve"> Sentencia </w:t>
      </w:r>
      <w:hyperlink w:anchor="SENTENCIA_2013_130" w:history="1">
        <w:r w:rsidRPr="00E27756">
          <w:rPr>
            <w:rStyle w:val="TextoNormalCaracter"/>
          </w:rPr>
          <w:t>130/2013</w:t>
        </w:r>
      </w:hyperlink>
      <w:r>
        <w:t>, f. 12.</w:t>
      </w:r>
    </w:p>
    <w:p w:rsidR="00E27756" w:rsidRDefault="00E27756" w:rsidP="00E27756">
      <w:pPr>
        <w:pStyle w:val="SangriaFrancesaArticulo"/>
      </w:pPr>
      <w:r w:rsidRPr="00E27756">
        <w:rPr>
          <w:rStyle w:val="TextoNormalNegritaCaracter"/>
        </w:rPr>
        <w:t>Artículo 11.</w:t>
      </w:r>
      <w:r w:rsidRPr="00E27756">
        <w:rPr>
          <w:rStyle w:val="TextoNormalCaracter"/>
        </w:rPr>
        <w:t>-</w:t>
      </w:r>
      <w:r>
        <w:t xml:space="preserve"> Sentencia </w:t>
      </w:r>
      <w:hyperlink w:anchor="SENTENCIA_2013_130" w:history="1">
        <w:r w:rsidRPr="00E27756">
          <w:rPr>
            <w:rStyle w:val="TextoNormalCaracter"/>
          </w:rPr>
          <w:t>130/2013</w:t>
        </w:r>
      </w:hyperlink>
      <w:r>
        <w:t>, f. 12.</w:t>
      </w:r>
    </w:p>
    <w:p w:rsidR="00E27756" w:rsidRDefault="00E27756" w:rsidP="00E27756">
      <w:pPr>
        <w:pStyle w:val="SangriaFrancesaArticulo"/>
      </w:pPr>
    </w:p>
    <w:p w:rsidR="00E27756" w:rsidRDefault="00E27756" w:rsidP="00E27756">
      <w:pPr>
        <w:pStyle w:val="TextoNormalNegritaCursivandice"/>
      </w:pPr>
      <w:r>
        <w:t>Reglamento (CE) 73/2009 del Consejo, de 19 de enero de 2009. Establece disposiciones comunes aplicables a los regímenes de ayuda directa a los agricultores en el marco de la política agrícola común y se instauran determinados regímenes de ayuda a los agricultores y por el que se modifican los Reglamentos (CE) 1290/2005, (CE) 247/2006, (CE) 378/2007 y se deroga el Reglamento (CE) 1782/2003</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r w:rsidRPr="00E27756">
        <w:rPr>
          <w:rStyle w:val="TextoNormalNegritaCaracter"/>
        </w:rPr>
        <w:t>Artículo 46.</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r w:rsidRPr="00E27756">
        <w:rPr>
          <w:rStyle w:val="TextoNormalNegritaCaracter"/>
        </w:rPr>
        <w:t>Anexo IV.</w:t>
      </w:r>
      <w:r w:rsidRPr="00E27756">
        <w:rPr>
          <w:rStyle w:val="TextoNormalCaracter"/>
        </w:rPr>
        <w:t>-</w:t>
      </w:r>
      <w:r>
        <w:t xml:space="preserve"> Sentencia </w:t>
      </w:r>
      <w:hyperlink w:anchor="SENTENCIA_2013_104" w:history="1">
        <w:r w:rsidRPr="00E27756">
          <w:rPr>
            <w:rStyle w:val="TextoNormalCaracter"/>
          </w:rPr>
          <w:t>104/2013</w:t>
        </w:r>
      </w:hyperlink>
      <w:r>
        <w:t>, f. 5.</w:t>
      </w:r>
    </w:p>
    <w:p w:rsidR="00E27756" w:rsidRDefault="00E27756" w:rsidP="00E27756">
      <w:pPr>
        <w:pStyle w:val="SangriaFrancesaArticulo"/>
      </w:pPr>
    </w:p>
    <w:p w:rsidR="00E27756" w:rsidRDefault="00E27756" w:rsidP="00E27756">
      <w:pPr>
        <w:pStyle w:val="TextoNormalNegritaCursivandice"/>
      </w:pPr>
      <w:r>
        <w:t>Directiva 2009/147/CE del Parlamento Europeo y del Consejo, de 30 de noviembre de 2009. Relativa a la conservación de las aves silvestres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9" w:history="1">
        <w:r w:rsidRPr="00E27756">
          <w:rPr>
            <w:rStyle w:val="TextoNormalCaracter"/>
          </w:rPr>
          <w:t>69/2013</w:t>
        </w:r>
      </w:hyperlink>
      <w:r>
        <w:t>, f. 6.</w:t>
      </w:r>
    </w:p>
    <w:p w:rsidR="00E27756" w:rsidRDefault="00E27756" w:rsidP="00E27756">
      <w:pPr>
        <w:pStyle w:val="SangriaFrancesaArticulo"/>
      </w:pPr>
      <w:r w:rsidRPr="00E27756">
        <w:rPr>
          <w:rStyle w:val="TextoNormalNegritaCaracter"/>
        </w:rPr>
        <w:t>Preámbulo.</w:t>
      </w:r>
      <w:r w:rsidRPr="00E27756">
        <w:rPr>
          <w:rStyle w:val="TextoNormalCaracter"/>
        </w:rPr>
        <w:t>-</w:t>
      </w:r>
      <w:r>
        <w:t xml:space="preserve"> Sentencia </w:t>
      </w:r>
      <w:hyperlink w:anchor="SENTENCIA_2013_69" w:history="1">
        <w:r w:rsidRPr="00E27756">
          <w:rPr>
            <w:rStyle w:val="TextoNormalCaracter"/>
          </w:rPr>
          <w:t>69/2013</w:t>
        </w:r>
      </w:hyperlink>
      <w:r>
        <w:t>, f. 6.</w:t>
      </w:r>
    </w:p>
    <w:p w:rsidR="00E27756" w:rsidRDefault="00E27756" w:rsidP="00E27756">
      <w:pPr>
        <w:pStyle w:val="SangriaFrancesaArticulo"/>
      </w:pPr>
      <w:r w:rsidRPr="00E27756">
        <w:rPr>
          <w:rStyle w:val="TextoNormalNegritaCaracter"/>
        </w:rPr>
        <w:t>Artículo 1.</w:t>
      </w:r>
      <w:r w:rsidRPr="00E27756">
        <w:rPr>
          <w:rStyle w:val="TextoNormalCaracter"/>
        </w:rPr>
        <w:t>-</w:t>
      </w:r>
      <w:r>
        <w:t xml:space="preserve"> Sentencia </w:t>
      </w:r>
      <w:hyperlink w:anchor="SENTENCIA_2013_69" w:history="1">
        <w:r w:rsidRPr="00E27756">
          <w:rPr>
            <w:rStyle w:val="TextoNormalCaracter"/>
          </w:rPr>
          <w:t>69/2013</w:t>
        </w:r>
      </w:hyperlink>
      <w:r>
        <w:t>, f. 6.</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 </w:t>
      </w:r>
      <w:hyperlink w:anchor="SENTENCIA_2013_69" w:history="1">
        <w:r w:rsidRPr="00E27756">
          <w:rPr>
            <w:rStyle w:val="TextoNormalCaracter"/>
          </w:rPr>
          <w:t>69/2013</w:t>
        </w:r>
      </w:hyperlink>
      <w:r>
        <w:t>, f. 6.</w:t>
      </w:r>
    </w:p>
    <w:p w:rsidR="00E27756" w:rsidRDefault="00E27756" w:rsidP="00E27756">
      <w:pPr>
        <w:pStyle w:val="SangriaFrancesaArticulo"/>
      </w:pPr>
      <w:r w:rsidRPr="00E27756">
        <w:rPr>
          <w:rStyle w:val="TextoNormalNegritaCaracter"/>
        </w:rPr>
        <w:t>Anexo IV.</w:t>
      </w:r>
      <w:r w:rsidRPr="00E27756">
        <w:rPr>
          <w:rStyle w:val="TextoNormalCaracter"/>
        </w:rPr>
        <w:t>-</w:t>
      </w:r>
      <w:r>
        <w:t xml:space="preserve"> Sentencia </w:t>
      </w:r>
      <w:hyperlink w:anchor="SENTENCIA_2013_69" w:history="1">
        <w:r w:rsidRPr="00E27756">
          <w:rPr>
            <w:rStyle w:val="TextoNormalCaracter"/>
          </w:rPr>
          <w:t>69/2013</w:t>
        </w:r>
      </w:hyperlink>
      <w:r>
        <w:t>, f. 6.</w:t>
      </w:r>
    </w:p>
    <w:p w:rsidR="00E27756" w:rsidRDefault="00E27756" w:rsidP="00E27756">
      <w:pPr>
        <w:pStyle w:val="TextoNormal"/>
      </w:pPr>
    </w:p>
    <w:p w:rsidR="00E27756" w:rsidRDefault="00E27756" w:rsidP="00E27756">
      <w:pPr>
        <w:pStyle w:val="SangriaFrancesaArticulo"/>
      </w:pPr>
      <w:bookmarkStart w:id="307" w:name="INDICE27994"/>
    </w:p>
    <w:bookmarkEnd w:id="307"/>
    <w:p w:rsidR="00E27756" w:rsidRDefault="00E27756" w:rsidP="00E27756">
      <w:pPr>
        <w:pStyle w:val="TextoIndiceNivel2"/>
        <w:suppressAutoHyphens/>
      </w:pPr>
      <w:r>
        <w:t>N) Consejo de Europa</w:t>
      </w:r>
    </w:p>
    <w:p w:rsidR="00E27756" w:rsidRDefault="00E27756" w:rsidP="00E27756">
      <w:pPr>
        <w:pStyle w:val="TextoIndiceNivel2"/>
      </w:pPr>
    </w:p>
    <w:p w:rsidR="00E27756" w:rsidRDefault="00E27756" w:rsidP="00E27756">
      <w:pPr>
        <w:pStyle w:val="TextoNormalNegritaCursivandice"/>
      </w:pPr>
      <w:r>
        <w:t>Convenio europeo para la protección de los derechos humanos y de las libertades fundamentales. Hecho en Roma el 4 de noviembre de 1950, ratificado por Instrumento de 26 de septiembre de 1979</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12" w:history="1">
        <w:r w:rsidRPr="00E27756">
          <w:rPr>
            <w:rStyle w:val="TextoNormalCaracter"/>
          </w:rPr>
          <w:t>12/2013</w:t>
        </w:r>
      </w:hyperlink>
      <w:r>
        <w:t xml:space="preserve">, f. 4; </w:t>
      </w:r>
      <w:hyperlink w:anchor="SENTENCIA_2013_75" w:history="1">
        <w:r w:rsidRPr="00E27756">
          <w:rPr>
            <w:rStyle w:val="TextoNormalCaracter"/>
          </w:rPr>
          <w:t>75/2013</w:t>
        </w:r>
      </w:hyperlink>
      <w:r>
        <w:t>, f. 5.</w:t>
      </w:r>
    </w:p>
    <w:p w:rsidR="00E27756" w:rsidRDefault="00E27756" w:rsidP="00E27756">
      <w:pPr>
        <w:pStyle w:val="SangriaFrancesaArticulo"/>
      </w:pPr>
      <w:r w:rsidRPr="00E27756">
        <w:rPr>
          <w:rStyle w:val="TextoNormalNegritaCaracter"/>
        </w:rPr>
        <w:t>Artículo 3.</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Sentencia </w:t>
      </w:r>
      <w:hyperlink w:anchor="SENTENCIA_2013_75" w:history="1">
        <w:r w:rsidRPr="00E27756">
          <w:rPr>
            <w:rStyle w:val="TextoNormalCaracter"/>
          </w:rPr>
          <w:t>75/2013</w:t>
        </w:r>
      </w:hyperlink>
      <w:r>
        <w:t>, f. 4.</w:t>
      </w:r>
    </w:p>
    <w:p w:rsidR="00E27756" w:rsidRDefault="00E27756" w:rsidP="00E27756">
      <w:pPr>
        <w:pStyle w:val="SangriaFrancesaArticulo"/>
      </w:pPr>
      <w:r w:rsidRPr="00E27756">
        <w:rPr>
          <w:rStyle w:val="TextoNormalNegritaCaracter"/>
        </w:rPr>
        <w:t>Artículo 6.1.</w:t>
      </w:r>
      <w:r w:rsidRPr="00E27756">
        <w:rPr>
          <w:rStyle w:val="TextoNormalCaracter"/>
        </w:rPr>
        <w:t>-</w:t>
      </w:r>
      <w:r>
        <w:t xml:space="preserve"> Sentencia </w:t>
      </w:r>
      <w:hyperlink w:anchor="SENTENCIA_2013_75" w:history="1">
        <w:r w:rsidRPr="00E27756">
          <w:rPr>
            <w:rStyle w:val="TextoNormalCaracter"/>
          </w:rPr>
          <w:t>75/2013</w:t>
        </w:r>
      </w:hyperlink>
      <w:r>
        <w:t>, f. 4.</w:t>
      </w:r>
    </w:p>
    <w:p w:rsidR="00E27756" w:rsidRDefault="00E27756" w:rsidP="00E27756">
      <w:pPr>
        <w:pStyle w:val="SangriaFrancesaArticulo"/>
      </w:pPr>
      <w:r w:rsidRPr="00E27756">
        <w:rPr>
          <w:rStyle w:val="TextoNormalNegritaCaracter"/>
        </w:rPr>
        <w:t>Artículo 6.3 d).</w:t>
      </w:r>
      <w:r w:rsidRPr="00E27756">
        <w:rPr>
          <w:rStyle w:val="TextoNormalCaracter"/>
        </w:rPr>
        <w:t>-</w:t>
      </w:r>
      <w:r>
        <w:t xml:space="preserve"> Sentencias </w:t>
      </w:r>
      <w:hyperlink w:anchor="SENTENCIA_2013_57" w:history="1">
        <w:r w:rsidRPr="00E27756">
          <w:rPr>
            <w:rStyle w:val="TextoNormalCaracter"/>
          </w:rPr>
          <w:t>57/2013</w:t>
        </w:r>
      </w:hyperlink>
      <w:r>
        <w:t xml:space="preserve">, f. 4; </w:t>
      </w:r>
      <w:hyperlink w:anchor="SENTENCIA_2013_75" w:history="1">
        <w:r w:rsidRPr="00E27756">
          <w:rPr>
            <w:rStyle w:val="TextoNormalCaracter"/>
          </w:rPr>
          <w:t>75/2013</w:t>
        </w:r>
      </w:hyperlink>
      <w:r>
        <w:t>, ff. 3, 4.</w:t>
      </w:r>
    </w:p>
    <w:p w:rsidR="00E27756" w:rsidRDefault="00E27756" w:rsidP="00E27756">
      <w:pPr>
        <w:pStyle w:val="SangriaFrancesaArticulo"/>
      </w:pPr>
      <w:r w:rsidRPr="00E27756">
        <w:rPr>
          <w:rStyle w:val="TextoNormalNegritaCaracter"/>
        </w:rPr>
        <w:t>Artículo 8.</w:t>
      </w:r>
      <w:r w:rsidRPr="00E27756">
        <w:rPr>
          <w:rStyle w:val="TextoNormalCaracter"/>
        </w:rPr>
        <w:t>-</w:t>
      </w:r>
      <w:r>
        <w:t xml:space="preserve"> Sentencias </w:t>
      </w:r>
      <w:hyperlink w:anchor="SENTENCIA_2013_17" w:history="1">
        <w:r w:rsidRPr="00E27756">
          <w:rPr>
            <w:rStyle w:val="TextoNormalCaracter"/>
          </w:rPr>
          <w:t>17/2013</w:t>
        </w:r>
      </w:hyperlink>
      <w:r>
        <w:t xml:space="preserve">, f. 4; </w:t>
      </w:r>
      <w:hyperlink w:anchor="SENTENCIA_2013_93" w:history="1">
        <w:r w:rsidRPr="00E27756">
          <w:rPr>
            <w:rStyle w:val="TextoNormalCaracter"/>
          </w:rPr>
          <w:t>93/2013</w:t>
        </w:r>
      </w:hyperlink>
      <w:r>
        <w:t xml:space="preserve">, VP II; </w:t>
      </w:r>
      <w:hyperlink w:anchor="SENTENCIA_2013_127" w:history="1">
        <w:r w:rsidRPr="00E27756">
          <w:rPr>
            <w:rStyle w:val="TextoNormalCaracter"/>
          </w:rPr>
          <w:t>127/2013</w:t>
        </w:r>
      </w:hyperlink>
      <w:r>
        <w:t>, f. 6.</w:t>
      </w:r>
    </w:p>
    <w:p w:rsidR="00E27756" w:rsidRDefault="00E27756" w:rsidP="00E27756">
      <w:pPr>
        <w:pStyle w:val="SangriaIzquierdaArticulo"/>
      </w:pPr>
      <w:r>
        <w:t xml:space="preserve">Auto </w:t>
      </w:r>
      <w:hyperlink w:anchor="AUTO_2013_132" w:history="1">
        <w:r w:rsidRPr="00E27756">
          <w:rPr>
            <w:rStyle w:val="TextoNormalCaracter"/>
          </w:rPr>
          <w:t>132/2013</w:t>
        </w:r>
      </w:hyperlink>
      <w:r>
        <w:t>, ff. 1, 3.</w:t>
      </w:r>
    </w:p>
    <w:p w:rsidR="00E27756" w:rsidRDefault="00E27756" w:rsidP="00E27756">
      <w:pPr>
        <w:pStyle w:val="SangriaFrancesaArticulo"/>
      </w:pPr>
      <w:r w:rsidRPr="00E27756">
        <w:rPr>
          <w:rStyle w:val="TextoNormalNegritaCaracter"/>
        </w:rPr>
        <w:t>Artículo 14.</w:t>
      </w:r>
      <w:r w:rsidRPr="00E27756">
        <w:rPr>
          <w:rStyle w:val="TextoNormalCaracter"/>
        </w:rPr>
        <w:t>-</w:t>
      </w:r>
      <w:r>
        <w:t xml:space="preserve"> Sentencia </w:t>
      </w:r>
      <w:hyperlink w:anchor="SENTENCIA_2013_93" w:history="1">
        <w:r w:rsidRPr="00E27756">
          <w:rPr>
            <w:rStyle w:val="TextoNormalCaracter"/>
          </w:rPr>
          <w:t>93/2013</w:t>
        </w:r>
      </w:hyperlink>
      <w:r>
        <w:t>, VP II.</w:t>
      </w:r>
    </w:p>
    <w:p w:rsidR="00E27756" w:rsidRDefault="00E27756" w:rsidP="00E27756">
      <w:pPr>
        <w:pStyle w:val="SangriaFrancesaArticulo"/>
      </w:pPr>
    </w:p>
    <w:p w:rsidR="00E27756" w:rsidRDefault="00E27756" w:rsidP="00E27756">
      <w:pPr>
        <w:pStyle w:val="TextoNormalNegritaCursivandice"/>
      </w:pPr>
      <w:r>
        <w:lastRenderedPageBreak/>
        <w:t>Carta social europea de 18 de octubre de 1961, ratificada por Instrumento de 29 de abril de 1980</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3" w:history="1">
        <w:r w:rsidRPr="00E27756">
          <w:rPr>
            <w:rStyle w:val="TextoNormalCaracter"/>
          </w:rPr>
          <w:t>23/2013</w:t>
        </w:r>
      </w:hyperlink>
      <w:r>
        <w:t>, f. 3.</w:t>
      </w:r>
    </w:p>
    <w:p w:rsidR="00E27756" w:rsidRDefault="00E27756" w:rsidP="00E27756">
      <w:pPr>
        <w:pStyle w:val="SangriaFrancesaArticulo"/>
      </w:pPr>
    </w:p>
    <w:p w:rsidR="00E27756" w:rsidRDefault="00E27756" w:rsidP="00E27756">
      <w:pPr>
        <w:pStyle w:val="TextoNormalNegritaCursivandice"/>
      </w:pPr>
      <w:r>
        <w:t>Convenio europeo de extradición. Protocolo adicional (núm. 2), de 17 de marzo de 1978, ratificado por Instrumento de 18 de febrero de 1985</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Auto </w:t>
      </w:r>
      <w:hyperlink w:anchor="AUTO_2013_2" w:history="1">
        <w:r w:rsidRPr="00E27756">
          <w:rPr>
            <w:rStyle w:val="TextoNormalCaracter"/>
          </w:rPr>
          <w:t>2/2013</w:t>
        </w:r>
      </w:hyperlink>
      <w:r>
        <w:t>, f. 2.</w:t>
      </w:r>
    </w:p>
    <w:p w:rsidR="00E27756" w:rsidRDefault="00E27756" w:rsidP="00E27756">
      <w:pPr>
        <w:pStyle w:val="SangriaFrancesaArticulo"/>
      </w:pPr>
      <w:r w:rsidRPr="00E27756">
        <w:rPr>
          <w:rStyle w:val="TextoNormalNegritaCaracter"/>
        </w:rPr>
        <w:t>Artículo 6.</w:t>
      </w:r>
      <w:r w:rsidRPr="00E27756">
        <w:rPr>
          <w:rStyle w:val="TextoNormalCaracter"/>
        </w:rPr>
        <w:t>-</w:t>
      </w:r>
      <w:r>
        <w:t xml:space="preserve"> Auto </w:t>
      </w:r>
      <w:hyperlink w:anchor="AUTO_2013_2" w:history="1">
        <w:r w:rsidRPr="00E27756">
          <w:rPr>
            <w:rStyle w:val="TextoNormalCaracter"/>
          </w:rPr>
          <w:t>2/2013</w:t>
        </w:r>
      </w:hyperlink>
      <w:r>
        <w:t>, f. 2.</w:t>
      </w:r>
    </w:p>
    <w:p w:rsidR="00E27756" w:rsidRDefault="00E27756" w:rsidP="00E27756">
      <w:pPr>
        <w:pStyle w:val="SangriaFrancesaArticulo"/>
      </w:pPr>
    </w:p>
    <w:p w:rsidR="00E27756" w:rsidRDefault="00E27756" w:rsidP="00E27756">
      <w:pPr>
        <w:pStyle w:val="TextoNormalNegritaCursivandice"/>
      </w:pPr>
      <w:r>
        <w:t>Convenio europeo sobre protección de las personas con respecto al tratamiento automatizado de datos de carácter personal. Hecho en Estrasburgo el 28 de enero de 1981, ratificado por Instrumento de 27 de enero de 1984</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f. 4.</w:t>
      </w:r>
    </w:p>
    <w:p w:rsidR="00E27756" w:rsidRDefault="00E27756" w:rsidP="00E27756">
      <w:pPr>
        <w:pStyle w:val="SangriaFrancesaArticulo"/>
      </w:pPr>
    </w:p>
    <w:p w:rsidR="00E27756" w:rsidRDefault="00E27756" w:rsidP="00E27756">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E27756" w:rsidRDefault="00E27756" w:rsidP="00E27756">
      <w:pPr>
        <w:pStyle w:val="SangriaFrancesaArticulo"/>
      </w:pPr>
      <w:r w:rsidRPr="00E27756">
        <w:rPr>
          <w:rStyle w:val="TextoNormalNegritaCaracter"/>
        </w:rPr>
        <w:t>Artículo 2.1.</w:t>
      </w:r>
      <w:r w:rsidRPr="00E27756">
        <w:rPr>
          <w:rStyle w:val="TextoNormalCaracter"/>
        </w:rPr>
        <w:t>-</w:t>
      </w:r>
      <w:r>
        <w:t xml:space="preserve"> Auto </w:t>
      </w:r>
      <w:hyperlink w:anchor="AUTO_2013_59" w:history="1">
        <w:r w:rsidRPr="00E27756">
          <w:rPr>
            <w:rStyle w:val="TextoNormalCaracter"/>
          </w:rPr>
          <w:t>59/2013</w:t>
        </w:r>
      </w:hyperlink>
      <w:r>
        <w:t>, f. 3.</w:t>
      </w:r>
    </w:p>
    <w:p w:rsidR="00E27756" w:rsidRDefault="00E27756" w:rsidP="00E27756">
      <w:pPr>
        <w:pStyle w:val="SangriaFrancesaArticulo"/>
      </w:pPr>
    </w:p>
    <w:p w:rsidR="00E27756" w:rsidRDefault="00E27756" w:rsidP="00E27756">
      <w:pPr>
        <w:pStyle w:val="TextoNormalNegritaCursivandice"/>
      </w:pPr>
      <w:r>
        <w:t>Carta europea de autonomía local, hecha en Estrasburgo, de 15 de octubre de 1985. Ratificada por Instrumento de 20 de enero de 1988</w:t>
      </w:r>
    </w:p>
    <w:p w:rsidR="00E27756" w:rsidRDefault="00E27756" w:rsidP="00E27756">
      <w:pPr>
        <w:pStyle w:val="SangriaFrancesaArticulo"/>
      </w:pPr>
      <w:r w:rsidRPr="00E27756">
        <w:rPr>
          <w:rStyle w:val="TextoNormalNegritaCaracter"/>
        </w:rPr>
        <w:t>Artículo 3.1.</w:t>
      </w:r>
      <w:r w:rsidRPr="00E27756">
        <w:rPr>
          <w:rStyle w:val="TextoNormalCaracter"/>
        </w:rPr>
        <w:t>-</w:t>
      </w:r>
      <w:r>
        <w:t xml:space="preserve"> Sentencia </w:t>
      </w:r>
      <w:hyperlink w:anchor="SENTENCIA_2013_103" w:history="1">
        <w:r w:rsidRPr="00E27756">
          <w:rPr>
            <w:rStyle w:val="TextoNormalCaracter"/>
          </w:rPr>
          <w:t>103/2013</w:t>
        </w:r>
      </w:hyperlink>
      <w:r>
        <w:t>, f. 6.</w:t>
      </w:r>
    </w:p>
    <w:p w:rsidR="00E27756" w:rsidRDefault="00E27756" w:rsidP="00E27756">
      <w:pPr>
        <w:pStyle w:val="SangriaFrancesaArticulo"/>
      </w:pPr>
      <w:r w:rsidRPr="00E27756">
        <w:rPr>
          <w:rStyle w:val="TextoNormalNegritaCaracter"/>
        </w:rPr>
        <w:t>Artículo 3.2.</w:t>
      </w:r>
      <w:r w:rsidRPr="00E27756">
        <w:rPr>
          <w:rStyle w:val="TextoNormalCaracter"/>
        </w:rPr>
        <w:t>-</w:t>
      </w:r>
      <w:r>
        <w:t xml:space="preserve"> Sentencia </w:t>
      </w:r>
      <w:hyperlink w:anchor="SENTENCIA_2013_103" w:history="1">
        <w:r w:rsidRPr="00E27756">
          <w:rPr>
            <w:rStyle w:val="TextoNormalCaracter"/>
          </w:rPr>
          <w:t>103/2013</w:t>
        </w:r>
      </w:hyperlink>
      <w:r>
        <w:t>, f. 6, VP.</w:t>
      </w:r>
    </w:p>
    <w:p w:rsidR="00E27756" w:rsidRDefault="00E27756" w:rsidP="00E27756">
      <w:pPr>
        <w:pStyle w:val="SangriaFrancesaArticulo"/>
      </w:pPr>
      <w:r w:rsidRPr="00E27756">
        <w:rPr>
          <w:rStyle w:val="TextoNormalNegritaCaracter"/>
        </w:rPr>
        <w:t>Artículo 19.</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SangriaFrancesaArticulo"/>
      </w:pPr>
    </w:p>
    <w:p w:rsidR="00E27756" w:rsidRDefault="00E27756" w:rsidP="00E27756">
      <w:pPr>
        <w:pStyle w:val="TextoNormalNegritaCursivandice"/>
      </w:pPr>
      <w:r>
        <w:t>Convenio europeo para la protección de los derechos humanos y de las libertades fundamentales. Protocolo núm. 11, de 11 de mayo de 1994</w:t>
      </w:r>
    </w:p>
    <w:p w:rsidR="00E27756" w:rsidRDefault="00E27756" w:rsidP="00E27756">
      <w:pPr>
        <w:pStyle w:val="SangriaFrancesaArticulo"/>
      </w:pPr>
      <w:r w:rsidRPr="00E27756">
        <w:rPr>
          <w:rStyle w:val="TextoNormalNegritaCaracter"/>
        </w:rPr>
        <w:t>Artículo 6.1.</w:t>
      </w:r>
      <w:r w:rsidRPr="00E27756">
        <w:rPr>
          <w:rStyle w:val="TextoNormalCaracter"/>
        </w:rPr>
        <w:t>-</w:t>
      </w:r>
      <w:r>
        <w:t xml:space="preserve"> Sentencia </w:t>
      </w:r>
      <w:hyperlink w:anchor="SENTENCIA_2013_88" w:history="1">
        <w:r w:rsidRPr="00E27756">
          <w:rPr>
            <w:rStyle w:val="TextoNormalCaracter"/>
          </w:rPr>
          <w:t>88/2013</w:t>
        </w:r>
      </w:hyperlink>
      <w:r>
        <w:t>, f. 9.</w:t>
      </w:r>
    </w:p>
    <w:p w:rsidR="00E27756" w:rsidRDefault="00E27756" w:rsidP="00E27756">
      <w:pPr>
        <w:pStyle w:val="SangriaFrancesaArticulo"/>
      </w:pPr>
      <w:r w:rsidRPr="00E27756">
        <w:rPr>
          <w:rStyle w:val="TextoNormalNegritaCaracter"/>
        </w:rPr>
        <w:t>Artículo 14.</w:t>
      </w:r>
      <w:r w:rsidRPr="00E27756">
        <w:rPr>
          <w:rStyle w:val="TextoNormalCaracter"/>
        </w:rPr>
        <w:t>-</w:t>
      </w:r>
      <w:r>
        <w:t xml:space="preserve"> Sentencia </w:t>
      </w:r>
      <w:hyperlink w:anchor="SENTENCIA_2013_41" w:history="1">
        <w:r w:rsidRPr="00E27756">
          <w:rPr>
            <w:rStyle w:val="TextoNormalCaracter"/>
          </w:rPr>
          <w:t>41/2013</w:t>
        </w:r>
      </w:hyperlink>
      <w:r>
        <w:t>, f. 6.</w:t>
      </w:r>
    </w:p>
    <w:p w:rsidR="00E27756" w:rsidRDefault="00E27756" w:rsidP="00E27756">
      <w:pPr>
        <w:pStyle w:val="SangriaFrancesaArticulo"/>
      </w:pPr>
    </w:p>
    <w:p w:rsidR="00E27756" w:rsidRDefault="00E27756" w:rsidP="00E27756">
      <w:pPr>
        <w:pStyle w:val="TextoNormalNegritaCursivandice"/>
      </w:pPr>
      <w:r>
        <w:t>Recomendación (2001) 19, del Comité de Ministros del Consejo de Europa, de 6 de diciembre de 2001. Participación de los ciudadanos en la vida pública en el nivel local</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03" w:history="1">
        <w:r w:rsidRPr="00E27756">
          <w:rPr>
            <w:rStyle w:val="TextoNormalCaracter"/>
          </w:rPr>
          <w:t>103/2013</w:t>
        </w:r>
      </w:hyperlink>
      <w:r>
        <w:t>, f. 5.</w:t>
      </w:r>
    </w:p>
    <w:p w:rsidR="00E27756" w:rsidRDefault="00E27756" w:rsidP="00E27756">
      <w:pPr>
        <w:pStyle w:val="TextoNormal"/>
      </w:pPr>
    </w:p>
    <w:p w:rsidR="00E27756" w:rsidRDefault="00E27756" w:rsidP="00E27756">
      <w:pPr>
        <w:pStyle w:val="SangriaFrancesaArticulo"/>
      </w:pPr>
      <w:bookmarkStart w:id="308" w:name="INDICE22872"/>
    </w:p>
    <w:bookmarkEnd w:id="308"/>
    <w:p w:rsidR="00E27756" w:rsidRDefault="00E27756" w:rsidP="00E27756">
      <w:pPr>
        <w:pStyle w:val="TextoIndiceNivel2"/>
        <w:suppressAutoHyphens/>
      </w:pPr>
      <w:r>
        <w:t>Ñ) Legislación extranjera</w:t>
      </w:r>
    </w:p>
    <w:p w:rsidR="00E27756" w:rsidRDefault="00E27756" w:rsidP="00E27756">
      <w:pPr>
        <w:pStyle w:val="TextoIndiceNivel2"/>
      </w:pPr>
    </w:p>
    <w:p w:rsidR="00E27756" w:rsidRDefault="00E27756" w:rsidP="00E27756">
      <w:pPr>
        <w:pStyle w:val="TextoNormalNegritaCursivandice"/>
      </w:pPr>
      <w:r>
        <w:t>Ley Básica de la región administrativa especial de Hong Kong, de 4 de abril de 1990</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31" w:history="1">
        <w:r w:rsidRPr="00E27756">
          <w:rPr>
            <w:rStyle w:val="TextoNormalCaracter"/>
          </w:rPr>
          <w:t>31/2013</w:t>
        </w:r>
      </w:hyperlink>
      <w:r>
        <w:t>, f. 5.</w:t>
      </w:r>
    </w:p>
    <w:p w:rsidR="00E27756" w:rsidRDefault="00E27756" w:rsidP="00E27756">
      <w:pPr>
        <w:pStyle w:val="SangriaFrancesaArticulo"/>
      </w:pPr>
      <w:r w:rsidRPr="00E27756">
        <w:rPr>
          <w:rStyle w:val="TextoNormalNegritaCaracter"/>
        </w:rPr>
        <w:t>Capítulo VII.</w:t>
      </w:r>
      <w:r w:rsidRPr="00E27756">
        <w:rPr>
          <w:rStyle w:val="TextoNormalCaracter"/>
        </w:rPr>
        <w:t>-</w:t>
      </w:r>
      <w:r>
        <w:t xml:space="preserve"> Sentencia </w:t>
      </w:r>
      <w:hyperlink w:anchor="SENTENCIA_2013_31" w:history="1">
        <w:r w:rsidRPr="00E27756">
          <w:rPr>
            <w:rStyle w:val="TextoNormalCaracter"/>
          </w:rPr>
          <w:t>31/2013</w:t>
        </w:r>
      </w:hyperlink>
      <w:r>
        <w:t>, f. 4.</w:t>
      </w:r>
    </w:p>
    <w:p w:rsidR="00E27756" w:rsidRDefault="00E27756" w:rsidP="00E27756">
      <w:pPr>
        <w:pStyle w:val="SangriaFrancesaArticulo"/>
      </w:pPr>
      <w:r w:rsidRPr="00E27756">
        <w:rPr>
          <w:rStyle w:val="TextoNormalNegritaCaracter"/>
        </w:rPr>
        <w:t>Artículo 12.</w:t>
      </w:r>
      <w:r w:rsidRPr="00E27756">
        <w:rPr>
          <w:rStyle w:val="TextoNormalCaracter"/>
        </w:rPr>
        <w:t>-</w:t>
      </w:r>
      <w:r>
        <w:t xml:space="preserve"> Sentencia </w:t>
      </w:r>
      <w:hyperlink w:anchor="SENTENCIA_2013_31" w:history="1">
        <w:r w:rsidRPr="00E27756">
          <w:rPr>
            <w:rStyle w:val="TextoNormalCaracter"/>
          </w:rPr>
          <w:t>31/2013</w:t>
        </w:r>
      </w:hyperlink>
      <w:r>
        <w:t>, f. 5.</w:t>
      </w:r>
    </w:p>
    <w:p w:rsidR="00E27756" w:rsidRDefault="00E27756" w:rsidP="00E27756">
      <w:pPr>
        <w:pStyle w:val="SangriaFrancesaArticulo"/>
      </w:pPr>
      <w:r w:rsidRPr="00E27756">
        <w:rPr>
          <w:rStyle w:val="TextoNormalNegritaCaracter"/>
        </w:rPr>
        <w:t>Artículo 13.</w:t>
      </w:r>
      <w:r w:rsidRPr="00E27756">
        <w:rPr>
          <w:rStyle w:val="TextoNormalCaracter"/>
        </w:rPr>
        <w:t>-</w:t>
      </w:r>
      <w:r>
        <w:t xml:space="preserve"> Sentencia </w:t>
      </w:r>
      <w:hyperlink w:anchor="SENTENCIA_2013_31" w:history="1">
        <w:r w:rsidRPr="00E27756">
          <w:rPr>
            <w:rStyle w:val="TextoNormalCaracter"/>
          </w:rPr>
          <w:t>31/2013</w:t>
        </w:r>
      </w:hyperlink>
      <w:r>
        <w:t>, ff. 5, 6.</w:t>
      </w:r>
    </w:p>
    <w:p w:rsidR="00E27756" w:rsidRDefault="00E27756" w:rsidP="00E27756">
      <w:pPr>
        <w:pStyle w:val="SangriaFrancesaArticulo"/>
      </w:pPr>
      <w:r w:rsidRPr="00E27756">
        <w:rPr>
          <w:rStyle w:val="TextoNormalNegritaCaracter"/>
        </w:rPr>
        <w:t>Artículo 96.</w:t>
      </w:r>
      <w:r w:rsidRPr="00E27756">
        <w:rPr>
          <w:rStyle w:val="TextoNormalCaracter"/>
        </w:rPr>
        <w:t>-</w:t>
      </w:r>
      <w:r>
        <w:t xml:space="preserve"> Sentencia </w:t>
      </w:r>
      <w:hyperlink w:anchor="SENTENCIA_2013_31" w:history="1">
        <w:r w:rsidRPr="00E27756">
          <w:rPr>
            <w:rStyle w:val="TextoNormalCaracter"/>
          </w:rPr>
          <w:t>31/2013</w:t>
        </w:r>
      </w:hyperlink>
      <w:r>
        <w:t>, ff. 5, 6.</w:t>
      </w:r>
    </w:p>
    <w:p w:rsidR="00E27756" w:rsidRDefault="00E27756" w:rsidP="00E27756">
      <w:pPr>
        <w:pStyle w:val="SangriaFrancesaArticulo"/>
      </w:pPr>
      <w:r w:rsidRPr="00E27756">
        <w:rPr>
          <w:rStyle w:val="TextoNormalNegritaCaracter"/>
        </w:rPr>
        <w:lastRenderedPageBreak/>
        <w:t>Artículo 151.</w:t>
      </w:r>
      <w:r w:rsidRPr="00E27756">
        <w:rPr>
          <w:rStyle w:val="TextoNormalCaracter"/>
        </w:rPr>
        <w:t>-</w:t>
      </w:r>
      <w:r>
        <w:t xml:space="preserve"> Sentencia </w:t>
      </w:r>
      <w:hyperlink w:anchor="SENTENCIA_2013_31" w:history="1">
        <w:r w:rsidRPr="00E27756">
          <w:rPr>
            <w:rStyle w:val="TextoNormalCaracter"/>
          </w:rPr>
          <w:t>31/2013</w:t>
        </w:r>
      </w:hyperlink>
      <w:r>
        <w:t>, f. 4.</w:t>
      </w:r>
    </w:p>
    <w:p w:rsidR="00E27756" w:rsidRDefault="00E27756" w:rsidP="00E27756">
      <w:pPr>
        <w:pStyle w:val="SangriaFrancesaArticulo"/>
      </w:pPr>
      <w:r w:rsidRPr="00E27756">
        <w:rPr>
          <w:rStyle w:val="TextoNormalNegritaCaracter"/>
        </w:rPr>
        <w:t>Sección IV, capítulo IV.</w:t>
      </w:r>
      <w:r w:rsidRPr="00E27756">
        <w:rPr>
          <w:rStyle w:val="TextoNormalCaracter"/>
        </w:rPr>
        <w:t>-</w:t>
      </w:r>
      <w:r>
        <w:t xml:space="preserve"> Sentencia </w:t>
      </w:r>
      <w:hyperlink w:anchor="SENTENCIA_2013_31" w:history="1">
        <w:r w:rsidRPr="00E27756">
          <w:rPr>
            <w:rStyle w:val="TextoNormalCaracter"/>
          </w:rPr>
          <w:t>31/2013</w:t>
        </w:r>
      </w:hyperlink>
      <w:r>
        <w:t>, f. 4.</w:t>
      </w:r>
    </w:p>
    <w:p w:rsidR="00E27756" w:rsidRDefault="00E27756">
      <w:pPr>
        <w:spacing w:after="160" w:line="259" w:lineRule="auto"/>
        <w:rPr>
          <w:rFonts w:ascii="Times New Roman" w:eastAsia="Times New Roman" w:hAnsi="Times New Roman" w:cs="Times New Roman"/>
          <w:sz w:val="24"/>
          <w:szCs w:val="24"/>
          <w:lang w:eastAsia="es-ES"/>
        </w:rPr>
      </w:pPr>
      <w:r>
        <w:br w:type="page"/>
      </w:r>
    </w:p>
    <w:p w:rsidR="00E27756" w:rsidRDefault="00E27756" w:rsidP="00E27756">
      <w:pPr>
        <w:pStyle w:val="SangriaFrancesaArticulo"/>
      </w:pPr>
    </w:p>
    <w:p w:rsidR="00E27756" w:rsidRDefault="00E27756" w:rsidP="00E27756">
      <w:pPr>
        <w:pStyle w:val="TextoNormal"/>
      </w:pPr>
    </w:p>
    <w:p w:rsidR="00E27756" w:rsidRDefault="00E27756" w:rsidP="00E27756">
      <w:pPr>
        <w:pStyle w:val="TextoNormal"/>
      </w:pPr>
    </w:p>
    <w:p w:rsidR="00E27756" w:rsidRDefault="00E27756" w:rsidP="00E27756">
      <w:pPr>
        <w:pStyle w:val="TextoNormal"/>
      </w:pPr>
    </w:p>
    <w:p w:rsidR="001722C6" w:rsidRDefault="00E27756" w:rsidP="00E27756">
      <w:pPr>
        <w:pStyle w:val="Ttulondice"/>
        <w:suppressAutoHyphens/>
      </w:pPr>
      <w:r>
        <w:t xml:space="preserve">6. ÍNDICE DE </w:t>
      </w:r>
      <w:r w:rsidR="001722C6" w:rsidRPr="001722C6">
        <w:t xml:space="preserve">RESOLUCIONES </w:t>
      </w:r>
    </w:p>
    <w:p w:rsidR="00E27756" w:rsidRDefault="001722C6" w:rsidP="00E27756">
      <w:pPr>
        <w:pStyle w:val="Ttulondice"/>
        <w:suppressAutoHyphens/>
      </w:pPr>
      <w:r w:rsidRPr="001722C6">
        <w:t>JUDICIALES DE OTROS TRIBUNALES</w:t>
      </w: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suppressAutoHyphens/>
      </w:pPr>
    </w:p>
    <w:p w:rsidR="00E27756" w:rsidRDefault="00E27756" w:rsidP="00E27756">
      <w:pPr>
        <w:pStyle w:val="TextoNormal"/>
      </w:pPr>
    </w:p>
    <w:p w:rsidR="00E27756" w:rsidRDefault="00E27756" w:rsidP="00E27756">
      <w:pPr>
        <w:pStyle w:val="TextoNormal"/>
      </w:pPr>
      <w:bookmarkStart w:id="309" w:name="INDICE22805"/>
      <w:bookmarkEnd w:id="309"/>
    </w:p>
    <w:p w:rsidR="00E27756" w:rsidRDefault="00E27756" w:rsidP="00E27756">
      <w:pPr>
        <w:pStyle w:val="TextoIndiceNivel2"/>
        <w:suppressAutoHyphens/>
      </w:pPr>
      <w:r>
        <w:t>A) Tribunal Europeo de Derechos Humanos</w:t>
      </w:r>
    </w:p>
    <w:p w:rsidR="00E27756" w:rsidRDefault="00E27756" w:rsidP="00E27756">
      <w:pPr>
        <w:pStyle w:val="TextoIndiceNivel2"/>
      </w:pPr>
    </w:p>
    <w:p w:rsidR="00E27756" w:rsidRDefault="00E27756" w:rsidP="00E27756">
      <w:pPr>
        <w:pStyle w:val="TextoNormalNegritaCursivandice"/>
      </w:pPr>
      <w:r>
        <w:t>Sentencia del Tribunal Europeo de Derechos Humanos de 2 de agosto de 1984 (Malone c. Reino Unido)</w:t>
      </w:r>
    </w:p>
    <w:p w:rsidR="00E27756" w:rsidRDefault="00E27756" w:rsidP="00E27756">
      <w:pPr>
        <w:pStyle w:val="SangriaFrancesaArticulo"/>
      </w:pPr>
      <w:r w:rsidRPr="00E27756">
        <w:rPr>
          <w:rStyle w:val="TextoNormalNegritaCaracter"/>
        </w:rPr>
        <w:t>§ 84.</w:t>
      </w:r>
      <w:r w:rsidRPr="00E27756">
        <w:rPr>
          <w:rStyle w:val="TextoNormalCaracter"/>
        </w:rPr>
        <w:t>-</w:t>
      </w:r>
      <w:r>
        <w:t xml:space="preserve"> Sentencia </w:t>
      </w:r>
      <w:hyperlink w:anchor="SENTENCIA_2013_115" w:history="1">
        <w:r w:rsidRPr="00E27756">
          <w:rPr>
            <w:rStyle w:val="TextoNormalCaracter"/>
          </w:rPr>
          <w:t>115/2013</w:t>
        </w:r>
      </w:hyperlink>
      <w:r>
        <w:t>, f. 3.</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26 de mayo de 1988 (Ekbatani c. Suecia)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8" w:history="1">
        <w:r w:rsidRPr="00E27756">
          <w:rPr>
            <w:rStyle w:val="TextoNormalCaracter"/>
          </w:rPr>
          <w:t>88/2013</w:t>
        </w:r>
      </w:hyperlink>
      <w:r>
        <w:t>, f. 7.</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20 de noviembre de 1989 (Kostovski c. Holanda)</w:t>
      </w:r>
    </w:p>
    <w:p w:rsidR="00E27756" w:rsidRDefault="00E27756" w:rsidP="00E27756">
      <w:pPr>
        <w:pStyle w:val="SangriaFrancesaArticulo"/>
      </w:pPr>
      <w:r w:rsidRPr="00E27756">
        <w:rPr>
          <w:rStyle w:val="TextoNormalNegritaCaracter"/>
        </w:rPr>
        <w:t>§ 41.</w:t>
      </w:r>
      <w:r w:rsidRPr="00E27756">
        <w:rPr>
          <w:rStyle w:val="TextoNormalCaracter"/>
        </w:rPr>
        <w:t>-</w:t>
      </w:r>
      <w:r>
        <w:t xml:space="preserve"> Sentencia </w:t>
      </w:r>
      <w:hyperlink w:anchor="SENTENCIA_2013_75" w:history="1">
        <w:r w:rsidRPr="00E27756">
          <w:rPr>
            <w:rStyle w:val="TextoNormalCaracter"/>
          </w:rPr>
          <w:t>75/2013</w:t>
        </w:r>
      </w:hyperlink>
      <w:r>
        <w:t>, f. 4.</w:t>
      </w:r>
    </w:p>
    <w:p w:rsidR="00E27756" w:rsidRDefault="00E27756" w:rsidP="00E27756">
      <w:pPr>
        <w:pStyle w:val="SangriaFrancesaArticulo"/>
      </w:pPr>
      <w:r w:rsidRPr="00E27756">
        <w:rPr>
          <w:rStyle w:val="TextoNormalNegritaCaracter"/>
        </w:rPr>
        <w:t>§ 42.</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27 de septiembre de 1990 (Windisch c. Austria)</w:t>
      </w:r>
    </w:p>
    <w:p w:rsidR="00E27756" w:rsidRDefault="00E27756" w:rsidP="00E27756">
      <w:pPr>
        <w:pStyle w:val="SangriaFrancesaArticulo"/>
      </w:pPr>
      <w:r w:rsidRPr="00E27756">
        <w:rPr>
          <w:rStyle w:val="TextoNormalNegritaCaracter"/>
        </w:rPr>
        <w:t>§ 28.</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26 de marzo de 1996 (Doorson c. Holanda)</w:t>
      </w:r>
    </w:p>
    <w:p w:rsidR="00E27756" w:rsidRDefault="00E27756" w:rsidP="00E27756">
      <w:pPr>
        <w:pStyle w:val="SangriaFrancesaArticulo"/>
      </w:pPr>
      <w:r w:rsidRPr="00E27756">
        <w:rPr>
          <w:rStyle w:val="TextoNormalNegritaCaracter"/>
        </w:rPr>
        <w:t>§ 69.</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r w:rsidRPr="00E27756">
        <w:rPr>
          <w:rStyle w:val="TextoNormalNegritaCaracter"/>
        </w:rPr>
        <w:t>§ 70.</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r w:rsidRPr="00E27756">
        <w:rPr>
          <w:rStyle w:val="TextoNormalNegritaCaracter"/>
        </w:rPr>
        <w:t>§ 72.</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r w:rsidRPr="00E27756">
        <w:rPr>
          <w:rStyle w:val="TextoNormalNegritaCaracter"/>
        </w:rPr>
        <w:t>§ 76.</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p>
    <w:p w:rsidR="00E27756" w:rsidRDefault="00E27756" w:rsidP="00E27756">
      <w:pPr>
        <w:pStyle w:val="TextoNormalNegritaCursivandice"/>
      </w:pPr>
      <w:r>
        <w:lastRenderedPageBreak/>
        <w:t>Sentencia del Tribunal Europeo de Derechos Humanos de 23 de abril de 1997 (Van Mechelen y otros c. Holanda)</w:t>
      </w:r>
    </w:p>
    <w:p w:rsidR="00E27756" w:rsidRDefault="00E27756" w:rsidP="00E27756">
      <w:pPr>
        <w:pStyle w:val="SangriaFrancesaArticulo"/>
      </w:pPr>
      <w:r w:rsidRPr="00E27756">
        <w:rPr>
          <w:rStyle w:val="TextoNormalNegritaCaracter"/>
        </w:rPr>
        <w:t>§ 51.</w:t>
      </w:r>
      <w:r w:rsidRPr="00E27756">
        <w:rPr>
          <w:rStyle w:val="TextoNormalCaracter"/>
        </w:rPr>
        <w:t>-</w:t>
      </w:r>
      <w:r>
        <w:t xml:space="preserve"> Sentencia </w:t>
      </w:r>
      <w:hyperlink w:anchor="SENTENCIA_2013_75" w:history="1">
        <w:r w:rsidRPr="00E27756">
          <w:rPr>
            <w:rStyle w:val="TextoNormalCaracter"/>
          </w:rPr>
          <w:t>75/2013</w:t>
        </w:r>
      </w:hyperlink>
      <w:r>
        <w:t>, f. 4.</w:t>
      </w:r>
    </w:p>
    <w:p w:rsidR="00E27756" w:rsidRDefault="00E27756" w:rsidP="00E27756">
      <w:pPr>
        <w:pStyle w:val="SangriaFrancesaArticulo"/>
      </w:pPr>
      <w:r w:rsidRPr="00E27756">
        <w:rPr>
          <w:rStyle w:val="TextoNormalNegritaCaracter"/>
        </w:rPr>
        <w:t>§ 52.</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r w:rsidRPr="00E27756">
        <w:rPr>
          <w:rStyle w:val="TextoNormalNegritaCaracter"/>
        </w:rPr>
        <w:t>§ 53.</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r w:rsidRPr="00E27756">
        <w:rPr>
          <w:rStyle w:val="TextoNormalNegritaCaracter"/>
        </w:rPr>
        <w:t>§ 54.</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18 de febrero de 1999 (Matthews c. Reino Unido)</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5" w:history="1">
        <w:r w:rsidRPr="00E27756">
          <w:rPr>
            <w:rStyle w:val="TextoNormalCaracter"/>
          </w:rPr>
          <w:t>125/2013</w:t>
        </w:r>
      </w:hyperlink>
      <w:r>
        <w:t>, f. 7.</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27 de junio de 2000 (Constantinescu c. Rumania)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8" w:history="1">
        <w:r w:rsidRPr="00E27756">
          <w:rPr>
            <w:rStyle w:val="TextoNormalCaracter"/>
          </w:rPr>
          <w:t>88/2013</w:t>
        </w:r>
      </w:hyperlink>
      <w:r>
        <w:t>, f. 7.</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27 de febrero de 2001 (Lucà c. Italia)</w:t>
      </w:r>
    </w:p>
    <w:p w:rsidR="00E27756" w:rsidRDefault="00E27756" w:rsidP="00E27756">
      <w:pPr>
        <w:pStyle w:val="SangriaFrancesaArticulo"/>
      </w:pPr>
      <w:r w:rsidRPr="00E27756">
        <w:rPr>
          <w:rStyle w:val="TextoNormalNegritaCaracter"/>
        </w:rPr>
        <w:t>§ 40.</w:t>
      </w:r>
      <w:r w:rsidRPr="00E27756">
        <w:rPr>
          <w:rStyle w:val="TextoNormalCaracter"/>
        </w:rPr>
        <w:t>-</w:t>
      </w:r>
      <w:r>
        <w:t xml:space="preserve"> Sentencia </w:t>
      </w:r>
      <w:hyperlink w:anchor="SENTENCIA_2013_75" w:history="1">
        <w:r w:rsidRPr="00E27756">
          <w:rPr>
            <w:rStyle w:val="TextoNormalCaracter"/>
          </w:rPr>
          <w:t>75/2013</w:t>
        </w:r>
      </w:hyperlink>
      <w:r>
        <w:t>, f. 4.</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20 de diciembre de 2001 (P.S. c. Alemania)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57" w:history="1">
        <w:r w:rsidRPr="00E27756">
          <w:rPr>
            <w:rStyle w:val="TextoNormalCaracter"/>
          </w:rPr>
          <w:t>57/2013</w:t>
        </w:r>
      </w:hyperlink>
      <w:r>
        <w:t xml:space="preserve">, f. 4; </w:t>
      </w:r>
      <w:hyperlink w:anchor="SENTENCIA_2013_75" w:history="1">
        <w:r w:rsidRPr="00E27756">
          <w:rPr>
            <w:rStyle w:val="TextoNormalCaracter"/>
          </w:rPr>
          <w:t>75/2013</w:t>
        </w:r>
      </w:hyperlink>
      <w:r>
        <w:t>, f. 4.</w:t>
      </w:r>
    </w:p>
    <w:p w:rsidR="00E27756" w:rsidRDefault="00E27756" w:rsidP="00E27756">
      <w:pPr>
        <w:pStyle w:val="SangriaFrancesaArticulo"/>
      </w:pPr>
      <w:r w:rsidRPr="00E27756">
        <w:rPr>
          <w:rStyle w:val="TextoNormalNegritaCaracter"/>
        </w:rPr>
        <w:t>§ 30.</w:t>
      </w:r>
      <w:r w:rsidRPr="00E27756">
        <w:rPr>
          <w:rStyle w:val="TextoNormalCaracter"/>
        </w:rPr>
        <w:t>-</w:t>
      </w:r>
      <w:r>
        <w:t xml:space="preserve"> Sentencia </w:t>
      </w:r>
      <w:hyperlink w:anchor="SENTENCIA_2013_57" w:history="1">
        <w:r w:rsidRPr="00E27756">
          <w:rPr>
            <w:rStyle w:val="TextoNormalCaracter"/>
          </w:rPr>
          <w:t>57/2013</w:t>
        </w:r>
      </w:hyperlink>
      <w:r>
        <w:t>, ff. 5, 6.</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14 de febrero de 2002 (Visser c. Holanda)</w:t>
      </w:r>
    </w:p>
    <w:p w:rsidR="00E27756" w:rsidRDefault="00E27756" w:rsidP="00E27756">
      <w:pPr>
        <w:pStyle w:val="SangriaFrancesaArticulo"/>
      </w:pPr>
      <w:r w:rsidRPr="00E27756">
        <w:rPr>
          <w:rStyle w:val="TextoNormalNegritaCaracter"/>
        </w:rPr>
        <w:t>§ 53.</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r w:rsidRPr="00E27756">
        <w:rPr>
          <w:rStyle w:val="TextoNormalNegritaCaracter"/>
        </w:rPr>
        <w:t>§ 55.</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26 de febrero de 2002 (Frette c. Francia)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VP II.</w:t>
      </w:r>
    </w:p>
    <w:p w:rsidR="00E27756" w:rsidRDefault="00E27756" w:rsidP="00E27756">
      <w:pPr>
        <w:pStyle w:val="SangriaFrancesaArticulo"/>
      </w:pPr>
      <w:r w:rsidRPr="00E27756">
        <w:rPr>
          <w:rStyle w:val="TextoNormalNegritaCaracter"/>
        </w:rPr>
        <w:t>§ 42.</w:t>
      </w:r>
      <w:r w:rsidRPr="00E27756">
        <w:rPr>
          <w:rStyle w:val="TextoNormalCaracter"/>
        </w:rPr>
        <w:t>-</w:t>
      </w:r>
      <w:r>
        <w:t xml:space="preserve"> Sentencia </w:t>
      </w:r>
      <w:hyperlink w:anchor="SENTENCIA_2013_93" w:history="1">
        <w:r w:rsidRPr="00E27756">
          <w:rPr>
            <w:rStyle w:val="TextoNormalCaracter"/>
          </w:rPr>
          <w:t>93/2013</w:t>
        </w:r>
      </w:hyperlink>
      <w:r>
        <w:t>, f. 12.</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28 de marzo de 2002 (Birutis y otros c. Lituania)</w:t>
      </w:r>
    </w:p>
    <w:p w:rsidR="00E27756" w:rsidRDefault="00E27756" w:rsidP="00E27756">
      <w:pPr>
        <w:pStyle w:val="SangriaFrancesaArticulo"/>
      </w:pPr>
      <w:r w:rsidRPr="00E27756">
        <w:rPr>
          <w:rStyle w:val="TextoNormalNegritaCaracter"/>
        </w:rPr>
        <w:t>§ 29.</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 de julio de 2002 (S.N. c. Suecia)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57" w:history="1">
        <w:r w:rsidRPr="00E27756">
          <w:rPr>
            <w:rStyle w:val="TextoNormalCaracter"/>
          </w:rPr>
          <w:t>57/2013</w:t>
        </w:r>
      </w:hyperlink>
      <w:r>
        <w:t xml:space="preserve">, ff. 3, 4; </w:t>
      </w:r>
      <w:hyperlink w:anchor="SENTENCIA_2013_75" w:history="1">
        <w:r w:rsidRPr="00E27756">
          <w:rPr>
            <w:rStyle w:val="TextoNormalCaracter"/>
          </w:rPr>
          <w:t>75/2013</w:t>
        </w:r>
      </w:hyperlink>
      <w:r>
        <w:t>, f. 4.</w:t>
      </w:r>
    </w:p>
    <w:p w:rsidR="00E27756" w:rsidRDefault="00E27756" w:rsidP="00E27756">
      <w:pPr>
        <w:pStyle w:val="SangriaFrancesaArticulo"/>
      </w:pPr>
      <w:r w:rsidRPr="00E27756">
        <w:rPr>
          <w:rStyle w:val="TextoNormalNegritaCaracter"/>
        </w:rPr>
        <w:t>§ § 40, 50.</w:t>
      </w:r>
      <w:r w:rsidRPr="00E27756">
        <w:rPr>
          <w:rStyle w:val="TextoNormalCaracter"/>
        </w:rPr>
        <w:t>-</w:t>
      </w:r>
      <w:r>
        <w:t xml:space="preserve"> Sentencia </w:t>
      </w:r>
      <w:hyperlink w:anchor="SENTENCIA_2013_57" w:history="1">
        <w:r w:rsidRPr="00E27756">
          <w:rPr>
            <w:rStyle w:val="TextoNormalCaracter"/>
          </w:rPr>
          <w:t>57/2013</w:t>
        </w:r>
      </w:hyperlink>
      <w:r>
        <w:t>, f. 5.</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15 de octubre de 2002 (Cañete de Goñi c. España)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76" w:history="1">
        <w:r w:rsidRPr="00E27756">
          <w:rPr>
            <w:rStyle w:val="TextoNormalCaracter"/>
          </w:rPr>
          <w:t>76/2013</w:t>
        </w:r>
      </w:hyperlink>
      <w:r>
        <w:t>, f. 3.</w:t>
      </w:r>
    </w:p>
    <w:p w:rsidR="00E27756" w:rsidRDefault="00E27756" w:rsidP="00E27756">
      <w:pPr>
        <w:pStyle w:val="SangriaFrancesaArticulo"/>
      </w:pPr>
    </w:p>
    <w:p w:rsidR="00E27756" w:rsidRDefault="00E27756" w:rsidP="00E27756">
      <w:pPr>
        <w:pStyle w:val="TextoNormalNegritaCursivandice"/>
      </w:pPr>
      <w:r>
        <w:lastRenderedPageBreak/>
        <w:t>Sentencia del Tribunal Europeo de Derechos Humanos de 4 de mayo de 2004 (Agapito Maestre Sánchez c. España)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76" w:history="1">
        <w:r w:rsidRPr="00E27756">
          <w:rPr>
            <w:rStyle w:val="TextoNormalCaracter"/>
          </w:rPr>
          <w:t>76/2013</w:t>
        </w:r>
      </w:hyperlink>
      <w:r>
        <w:t>, f. 3.</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 de noviembre de 2004 (Martínez Sala y otros c. España)</w:t>
      </w:r>
    </w:p>
    <w:p w:rsidR="00E27756" w:rsidRDefault="00E27756" w:rsidP="00E27756">
      <w:pPr>
        <w:pStyle w:val="SangriaFrancesaArticulo"/>
      </w:pPr>
      <w:r w:rsidRPr="00E27756">
        <w:rPr>
          <w:rStyle w:val="TextoNormalNegritaCaracter"/>
        </w:rPr>
        <w:t>§ 120.</w:t>
      </w:r>
      <w:r w:rsidRPr="00E27756">
        <w:rPr>
          <w:rStyle w:val="TextoNormalCaracter"/>
        </w:rPr>
        <w:t>-</w:t>
      </w:r>
      <w:r>
        <w:t xml:space="preserve"> Sentencia </w:t>
      </w:r>
      <w:hyperlink w:anchor="SENTENCIA_2013_12" w:history="1">
        <w:r w:rsidRPr="00E27756">
          <w:rPr>
            <w:rStyle w:val="TextoNormalCaracter"/>
          </w:rPr>
          <w:t>12/2013</w:t>
        </w:r>
      </w:hyperlink>
      <w:r>
        <w:t>, VP.</w:t>
      </w:r>
    </w:p>
    <w:p w:rsidR="00E27756" w:rsidRDefault="00E27756" w:rsidP="00E27756">
      <w:pPr>
        <w:pStyle w:val="SangriaFrancesaArticulo"/>
      </w:pPr>
      <w:r w:rsidRPr="00E27756">
        <w:rPr>
          <w:rStyle w:val="TextoNormalNegritaCaracter"/>
        </w:rPr>
        <w:t>§§ 156, 160.</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r w:rsidRPr="00E27756">
        <w:rPr>
          <w:rStyle w:val="TextoNormalNegritaCaracter"/>
        </w:rPr>
        <w:t>§ 159.</w:t>
      </w:r>
      <w:r w:rsidRPr="00E27756">
        <w:rPr>
          <w:rStyle w:val="TextoNormalCaracter"/>
        </w:rPr>
        <w:t>-</w:t>
      </w:r>
      <w:r>
        <w:t xml:space="preserve"> Sentencia </w:t>
      </w:r>
      <w:hyperlink w:anchor="SENTENCIA_2013_12" w:history="1">
        <w:r w:rsidRPr="00E27756">
          <w:rPr>
            <w:rStyle w:val="TextoNormalCaracter"/>
          </w:rPr>
          <w:t>12/2013</w:t>
        </w:r>
      </w:hyperlink>
      <w:r>
        <w:t>, VP.</w:t>
      </w:r>
    </w:p>
    <w:p w:rsidR="00E27756" w:rsidRDefault="00E27756" w:rsidP="00E27756">
      <w:pPr>
        <w:pStyle w:val="SangriaFrancesaArticulo"/>
      </w:pPr>
    </w:p>
    <w:p w:rsidR="00E27756" w:rsidRDefault="00E27756" w:rsidP="00E27756">
      <w:pPr>
        <w:pStyle w:val="TextoNormalNegritaCursivandice"/>
      </w:pPr>
      <w:r>
        <w:t>Decisión de inadmisión de la Comisión Europea de Derechos Humanos 30598/2002, de 20 de enero de 2005 (Accardi y otros c. Italia)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7" w:history="1">
        <w:r w:rsidRPr="00E27756">
          <w:rPr>
            <w:rStyle w:val="TextoNormalCaracter"/>
          </w:rPr>
          <w:t>57/2013</w:t>
        </w:r>
      </w:hyperlink>
      <w:r>
        <w:t>, f. 5.</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20 de septiembre de 2005 (Frik c. Turquía)</w:t>
      </w:r>
    </w:p>
    <w:p w:rsidR="00E27756" w:rsidRDefault="00E27756" w:rsidP="00E27756">
      <w:pPr>
        <w:pStyle w:val="SangriaFrancesaArticulo"/>
      </w:pPr>
      <w:r w:rsidRPr="00E27756">
        <w:rPr>
          <w:rStyle w:val="TextoNormalNegritaCaracter"/>
        </w:rPr>
        <w:t>§ 36.</w:t>
      </w:r>
      <w:r w:rsidRPr="00E27756">
        <w:rPr>
          <w:rStyle w:val="TextoNormalCaracter"/>
        </w:rPr>
        <w:t>-</w:t>
      </w:r>
      <w:r>
        <w:t xml:space="preserve"> Sentencia </w:t>
      </w:r>
      <w:hyperlink w:anchor="SENTENCIA_2013_12" w:history="1">
        <w:r w:rsidRPr="00E27756">
          <w:rPr>
            <w:rStyle w:val="TextoNormalCaracter"/>
          </w:rPr>
          <w:t>12/2013</w:t>
        </w:r>
      </w:hyperlink>
      <w:r>
        <w:t>, f. 4.</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10 de noviembre de 2005 (Bocos-Cuesta c. Países Bajos)</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7" w:history="1">
        <w:r w:rsidRPr="00E27756">
          <w:rPr>
            <w:rStyle w:val="TextoNormalCaracter"/>
          </w:rPr>
          <w:t>57/2013</w:t>
        </w:r>
      </w:hyperlink>
      <w:r>
        <w:t>, f. 4.</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4 de abril de 2006 (Corsacov c. Moldavia)</w:t>
      </w:r>
    </w:p>
    <w:p w:rsidR="00E27756" w:rsidRDefault="00E27756" w:rsidP="00E27756">
      <w:pPr>
        <w:pStyle w:val="SangriaFrancesaArticulo"/>
      </w:pPr>
      <w:r w:rsidRPr="00E27756">
        <w:rPr>
          <w:rStyle w:val="TextoNormalNegritaCaracter"/>
        </w:rPr>
        <w:t>§ 68.</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17 de octubre de 2006 (Danelia c. Georgia)</w:t>
      </w:r>
    </w:p>
    <w:p w:rsidR="00E27756" w:rsidRDefault="00E27756" w:rsidP="00E27756">
      <w:pPr>
        <w:pStyle w:val="SangriaFrancesaArticulo"/>
      </w:pPr>
      <w:r w:rsidRPr="00E27756">
        <w:rPr>
          <w:rStyle w:val="TextoNormalNegritaCaracter"/>
        </w:rPr>
        <w:t>§ 45.</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3 de abril de 2007  (Copland c. Reino Unido)</w:t>
      </w:r>
    </w:p>
    <w:p w:rsidR="00E27756" w:rsidRDefault="00E27756" w:rsidP="00E27756">
      <w:pPr>
        <w:pStyle w:val="SangriaFrancesaArticulo"/>
      </w:pPr>
      <w:r w:rsidRPr="00E27756">
        <w:rPr>
          <w:rStyle w:val="TextoNormalNegritaCaracter"/>
        </w:rPr>
        <w:t>§ 43.</w:t>
      </w:r>
      <w:r w:rsidRPr="00E27756">
        <w:rPr>
          <w:rStyle w:val="TextoNormalCaracter"/>
        </w:rPr>
        <w:t>-</w:t>
      </w:r>
      <w:r>
        <w:t xml:space="preserve"> Sentencia </w:t>
      </w:r>
      <w:hyperlink w:anchor="SENTENCIA_2013_115" w:history="1">
        <w:r w:rsidRPr="00E27756">
          <w:rPr>
            <w:rStyle w:val="TextoNormalCaracter"/>
          </w:rPr>
          <w:t>115/2013</w:t>
        </w:r>
      </w:hyperlink>
      <w:r>
        <w:t>, f. 3.</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24 de abril de 2007 (B. c. Finlandia)</w:t>
      </w:r>
    </w:p>
    <w:p w:rsidR="00E27756" w:rsidRDefault="00E27756" w:rsidP="00E27756">
      <w:pPr>
        <w:pStyle w:val="SangriaFrancesaArticulo"/>
      </w:pPr>
      <w:r w:rsidRPr="00E27756">
        <w:rPr>
          <w:rStyle w:val="TextoNormalNegritaCaracter"/>
        </w:rPr>
        <w:t>§ 44.</w:t>
      </w:r>
      <w:r w:rsidRPr="00E27756">
        <w:rPr>
          <w:rStyle w:val="TextoNormalCaracter"/>
        </w:rPr>
        <w:t>-</w:t>
      </w:r>
      <w:r>
        <w:t xml:space="preserve"> Sentencia </w:t>
      </w:r>
      <w:hyperlink w:anchor="SENTENCIA_2013_57" w:history="1">
        <w:r w:rsidRPr="00E27756">
          <w:rPr>
            <w:rStyle w:val="TextoNormalCaracter"/>
          </w:rPr>
          <w:t>57/2013</w:t>
        </w:r>
      </w:hyperlink>
      <w:r>
        <w:t>, f. 5.</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24 de abril de 2007 (W. c. Finlandia)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7" w:history="1">
        <w:r w:rsidRPr="00E27756">
          <w:rPr>
            <w:rStyle w:val="TextoNormalCaracter"/>
          </w:rPr>
          <w:t>57/2013</w:t>
        </w:r>
      </w:hyperlink>
      <w:r>
        <w:t>, f. 4.</w:t>
      </w:r>
    </w:p>
    <w:p w:rsidR="00E27756" w:rsidRDefault="00E27756" w:rsidP="00E27756">
      <w:pPr>
        <w:pStyle w:val="SangriaFrancesaArticulo"/>
      </w:pPr>
      <w:r w:rsidRPr="00E27756">
        <w:rPr>
          <w:rStyle w:val="TextoNormalNegritaCaracter"/>
        </w:rPr>
        <w:t>§ 47.</w:t>
      </w:r>
      <w:r w:rsidRPr="00E27756">
        <w:rPr>
          <w:rStyle w:val="TextoNormalCaracter"/>
        </w:rPr>
        <w:t>-</w:t>
      </w:r>
      <w:r>
        <w:t xml:space="preserve"> Sentencia </w:t>
      </w:r>
      <w:hyperlink w:anchor="SENTENCIA_2013_57" w:history="1">
        <w:r w:rsidRPr="00E27756">
          <w:rPr>
            <w:rStyle w:val="TextoNormalCaracter"/>
          </w:rPr>
          <w:t>57/2013</w:t>
        </w:r>
      </w:hyperlink>
      <w:r>
        <w:t>, ff. 5, 6.</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10 de mayo de 2007 (A.H. c. Finlandia)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7" w:history="1">
        <w:r w:rsidRPr="00E27756">
          <w:rPr>
            <w:rStyle w:val="TextoNormalCaracter"/>
          </w:rPr>
          <w:t>57/2013</w:t>
        </w:r>
      </w:hyperlink>
      <w:r>
        <w:t>, f. 4.</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10 de abril de 2008 (Dzeladinov y otros c. Macedonia)</w:t>
      </w:r>
    </w:p>
    <w:p w:rsidR="00E27756" w:rsidRDefault="00E27756" w:rsidP="00E27756">
      <w:pPr>
        <w:pStyle w:val="SangriaFrancesaArticulo"/>
      </w:pPr>
      <w:r w:rsidRPr="00E27756">
        <w:rPr>
          <w:rStyle w:val="TextoNormalNegritaCaracter"/>
        </w:rPr>
        <w:t>§ 69.</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r w:rsidRPr="00E27756">
        <w:rPr>
          <w:rStyle w:val="TextoNormalNegritaCaracter"/>
        </w:rPr>
        <w:t>§ 72.</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22 de julio de 2008 (Boyko Ivanov c. Bulgaria)</w:t>
      </w:r>
    </w:p>
    <w:p w:rsidR="00E27756" w:rsidRDefault="00E27756" w:rsidP="00E27756">
      <w:pPr>
        <w:pStyle w:val="SangriaFrancesaArticulo"/>
      </w:pPr>
      <w:r w:rsidRPr="00E27756">
        <w:rPr>
          <w:rStyle w:val="TextoNormalNegritaCaracter"/>
        </w:rPr>
        <w:t>§ 38.</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18 de septiembre de 2008 (Türkan c. Turquía)</w:t>
      </w:r>
    </w:p>
    <w:p w:rsidR="00E27756" w:rsidRDefault="00E27756" w:rsidP="00E27756">
      <w:pPr>
        <w:pStyle w:val="SangriaFrancesaArticulo"/>
      </w:pPr>
      <w:r w:rsidRPr="00E27756">
        <w:rPr>
          <w:rStyle w:val="TextoNormalNegritaCaracter"/>
        </w:rPr>
        <w:t>§ 42.</w:t>
      </w:r>
      <w:r w:rsidRPr="00E27756">
        <w:rPr>
          <w:rStyle w:val="TextoNormalCaracter"/>
        </w:rPr>
        <w:t>-</w:t>
      </w:r>
      <w:r>
        <w:t xml:space="preserve"> Sentencia </w:t>
      </w:r>
      <w:hyperlink w:anchor="SENTENCIA_2013_12" w:history="1">
        <w:r w:rsidRPr="00E27756">
          <w:rPr>
            <w:rStyle w:val="TextoNormalCaracter"/>
          </w:rPr>
          <w:t>12/2013</w:t>
        </w:r>
      </w:hyperlink>
      <w:r>
        <w:t>, f. 3.</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27 de enero de 2009 (A.L. c. Finlandia)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7" w:history="1">
        <w:r w:rsidRPr="00E27756">
          <w:rPr>
            <w:rStyle w:val="TextoNormalCaracter"/>
          </w:rPr>
          <w:t>57/2013</w:t>
        </w:r>
      </w:hyperlink>
      <w:r>
        <w:t>, f. 4.</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10 de marzo de 2009 (Igual Coll c. España)</w:t>
      </w:r>
    </w:p>
    <w:p w:rsidR="00E27756" w:rsidRDefault="00E27756" w:rsidP="00E27756">
      <w:pPr>
        <w:pStyle w:val="SangriaFrancesaArticulo"/>
      </w:pPr>
      <w:r w:rsidRPr="00E27756">
        <w:rPr>
          <w:rStyle w:val="TextoNormalNegritaCaracter"/>
        </w:rPr>
        <w:t>§ 27.</w:t>
      </w:r>
      <w:r w:rsidRPr="00E27756">
        <w:rPr>
          <w:rStyle w:val="TextoNormalCaracter"/>
        </w:rPr>
        <w:t>-</w:t>
      </w:r>
      <w:r>
        <w:t xml:space="preserve"> Sentencia </w:t>
      </w:r>
      <w:hyperlink w:anchor="SENTENCIA_2013_88" w:history="1">
        <w:r w:rsidRPr="00E27756">
          <w:rPr>
            <w:rStyle w:val="TextoNormalCaracter"/>
          </w:rPr>
          <w:t>88/2013</w:t>
        </w:r>
      </w:hyperlink>
      <w:r>
        <w:t>, f. 8.</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26 de mayo de 2009 (Naíf Demirci c. Turquía)</w:t>
      </w:r>
    </w:p>
    <w:p w:rsidR="00E27756" w:rsidRDefault="00E27756" w:rsidP="00E27756">
      <w:pPr>
        <w:pStyle w:val="SangriaFrancesaArticulo"/>
      </w:pPr>
      <w:r w:rsidRPr="00E27756">
        <w:rPr>
          <w:rStyle w:val="TextoNormalNegritaCaracter"/>
        </w:rPr>
        <w:t>§ 23.</w:t>
      </w:r>
      <w:r w:rsidRPr="00E27756">
        <w:rPr>
          <w:rStyle w:val="TextoNormalCaracter"/>
        </w:rPr>
        <w:t>-</w:t>
      </w:r>
      <w:r>
        <w:t xml:space="preserve"> Sentencia </w:t>
      </w:r>
      <w:hyperlink w:anchor="SENTENCIA_2013_12" w:history="1">
        <w:r w:rsidRPr="00E27756">
          <w:rPr>
            <w:rStyle w:val="TextoNormalCaracter"/>
          </w:rPr>
          <w:t>12/2013</w:t>
        </w:r>
      </w:hyperlink>
      <w:r>
        <w:t>, f. 4.</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7 de julio de 2009 (D. c. Finlandia)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57" w:history="1">
        <w:r w:rsidRPr="00E27756">
          <w:rPr>
            <w:rStyle w:val="TextoNormalCaracter"/>
          </w:rPr>
          <w:t>57/2013</w:t>
        </w:r>
      </w:hyperlink>
      <w:r>
        <w:t>, f. 4.</w:t>
      </w:r>
    </w:p>
    <w:p w:rsidR="00E27756" w:rsidRDefault="00E27756" w:rsidP="00E27756">
      <w:pPr>
        <w:pStyle w:val="SangriaFrancesaArticulo"/>
      </w:pPr>
      <w:r w:rsidRPr="00E27756">
        <w:rPr>
          <w:rStyle w:val="TextoNormalNegritaCaracter"/>
        </w:rPr>
        <w:t>§ 44.</w:t>
      </w:r>
      <w:r w:rsidRPr="00E27756">
        <w:rPr>
          <w:rStyle w:val="TextoNormalCaracter"/>
        </w:rPr>
        <w:t>-</w:t>
      </w:r>
      <w:r>
        <w:t xml:space="preserve"> Sentencia </w:t>
      </w:r>
      <w:hyperlink w:anchor="SENTENCIA_2013_57" w:history="1">
        <w:r w:rsidRPr="00E27756">
          <w:rPr>
            <w:rStyle w:val="TextoNormalCaracter"/>
          </w:rPr>
          <w:t>57/2013</w:t>
        </w:r>
      </w:hyperlink>
      <w:r>
        <w:t>, ff. 5, 6.</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 de octubre de 2009 (Stanchev c. Bulgaria)</w:t>
      </w:r>
    </w:p>
    <w:p w:rsidR="00E27756" w:rsidRDefault="00E27756" w:rsidP="00E27756">
      <w:pPr>
        <w:pStyle w:val="SangriaFrancesaArticulo"/>
      </w:pPr>
      <w:r w:rsidRPr="00E27756">
        <w:rPr>
          <w:rStyle w:val="TextoNormalNegritaCaracter"/>
        </w:rPr>
        <w:t>§ 67.</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24 de junio de 2010 (Schalk y Kopf c. Austria)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VP II.</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13 de julio de 2010 (Parnov c. Moldavia)</w:t>
      </w:r>
    </w:p>
    <w:p w:rsidR="00E27756" w:rsidRDefault="00E27756" w:rsidP="00E27756">
      <w:pPr>
        <w:pStyle w:val="SangriaFrancesaArticulo"/>
      </w:pPr>
      <w:r w:rsidRPr="00E27756">
        <w:rPr>
          <w:rStyle w:val="TextoNormalNegritaCaracter"/>
        </w:rPr>
        <w:t>§ 30.</w:t>
      </w:r>
      <w:r w:rsidRPr="00E27756">
        <w:rPr>
          <w:rStyle w:val="TextoNormalCaracter"/>
        </w:rPr>
        <w:t>-</w:t>
      </w:r>
      <w:r>
        <w:t xml:space="preserve"> Sentencia </w:t>
      </w:r>
      <w:hyperlink w:anchor="SENTENCIA_2013_12" w:history="1">
        <w:r w:rsidRPr="00E27756">
          <w:rPr>
            <w:rStyle w:val="TextoNormalCaracter"/>
          </w:rPr>
          <w:t>12/2013</w:t>
        </w:r>
      </w:hyperlink>
      <w:r>
        <w:t>, f. 3.</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21 de septiembre de 2010 (Marcos Barrios c. España)</w:t>
      </w:r>
    </w:p>
    <w:p w:rsidR="00E27756" w:rsidRDefault="00E27756" w:rsidP="00E27756">
      <w:pPr>
        <w:pStyle w:val="SangriaFrancesaArticulo"/>
      </w:pPr>
      <w:r w:rsidRPr="00E27756">
        <w:rPr>
          <w:rStyle w:val="TextoNormalNegritaCaracter"/>
        </w:rPr>
        <w:t>§ 32.</w:t>
      </w:r>
      <w:r w:rsidRPr="00E27756">
        <w:rPr>
          <w:rStyle w:val="TextoNormalCaracter"/>
        </w:rPr>
        <w:t>-</w:t>
      </w:r>
      <w:r>
        <w:t xml:space="preserve"> Sentencia </w:t>
      </w:r>
      <w:hyperlink w:anchor="SENTENCIA_2013_88" w:history="1">
        <w:r w:rsidRPr="00E27756">
          <w:rPr>
            <w:rStyle w:val="TextoNormalCaracter"/>
          </w:rPr>
          <w:t>88/2013</w:t>
        </w:r>
      </w:hyperlink>
      <w:r>
        <w:t>, f. 8.</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28 de septiembre de 2010 (A.S. c. Finlandia)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57" w:history="1">
        <w:r w:rsidRPr="00E27756">
          <w:rPr>
            <w:rStyle w:val="TextoNormalCaracter"/>
          </w:rPr>
          <w:t>57/2013</w:t>
        </w:r>
      </w:hyperlink>
      <w:r>
        <w:t xml:space="preserve">, f. 4; </w:t>
      </w:r>
      <w:hyperlink w:anchor="SENTENCIA_2013_75" w:history="1">
        <w:r w:rsidRPr="00E27756">
          <w:rPr>
            <w:rStyle w:val="TextoNormalCaracter"/>
          </w:rPr>
          <w:t>75/2013</w:t>
        </w:r>
      </w:hyperlink>
      <w:r>
        <w:t>, f. 4.</w:t>
      </w:r>
    </w:p>
    <w:p w:rsidR="00E27756" w:rsidRDefault="00E27756" w:rsidP="00E27756">
      <w:pPr>
        <w:pStyle w:val="SangriaFrancesaArticulo"/>
      </w:pPr>
      <w:r w:rsidRPr="00E27756">
        <w:rPr>
          <w:rStyle w:val="TextoNormalNegritaCaracter"/>
        </w:rPr>
        <w:t>§ 56.</w:t>
      </w:r>
      <w:r w:rsidRPr="00E27756">
        <w:rPr>
          <w:rStyle w:val="TextoNormalCaracter"/>
        </w:rPr>
        <w:t>-</w:t>
      </w:r>
      <w:r>
        <w:t xml:space="preserve"> Sentencias </w:t>
      </w:r>
      <w:hyperlink w:anchor="SENTENCIA_2013_57" w:history="1">
        <w:r w:rsidRPr="00E27756">
          <w:rPr>
            <w:rStyle w:val="TextoNormalCaracter"/>
          </w:rPr>
          <w:t>57/2013</w:t>
        </w:r>
      </w:hyperlink>
      <w:r>
        <w:t xml:space="preserve">, f. 5; </w:t>
      </w:r>
      <w:hyperlink w:anchor="SENTENCIA_2013_75" w:history="1">
        <w:r w:rsidRPr="00E27756">
          <w:rPr>
            <w:rStyle w:val="TextoNormalCaracter"/>
          </w:rPr>
          <w:t>75/2013</w:t>
        </w:r>
      </w:hyperlink>
      <w:r>
        <w:t>, f. 4.</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28 de septiembre de 2010 (San Argimiro Isasa c. España)</w:t>
      </w:r>
    </w:p>
    <w:p w:rsidR="00E27756" w:rsidRDefault="00E27756" w:rsidP="00E27756">
      <w:pPr>
        <w:pStyle w:val="SangriaFrancesaArticulo"/>
      </w:pPr>
      <w:r w:rsidRPr="00E27756">
        <w:rPr>
          <w:rStyle w:val="TextoNormalNegritaCaracter"/>
        </w:rPr>
        <w:t>§ 34.</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r w:rsidRPr="00E27756">
        <w:rPr>
          <w:rStyle w:val="TextoNormalNegritaCaracter"/>
        </w:rPr>
        <w:t>§ 58.</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r w:rsidRPr="00E27756">
        <w:rPr>
          <w:rStyle w:val="TextoNormalNegritaCaracter"/>
        </w:rPr>
        <w:t>§ 59.</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r w:rsidRPr="00E27756">
        <w:rPr>
          <w:rStyle w:val="TextoNormalNegritaCaracter"/>
        </w:rPr>
        <w:t>§ 65.</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16 de noviembre de 2010 (García Hernández c. España)</w:t>
      </w:r>
    </w:p>
    <w:p w:rsidR="00E27756" w:rsidRDefault="00E27756" w:rsidP="00E27756">
      <w:pPr>
        <w:pStyle w:val="SangriaFrancesaArticulo"/>
      </w:pPr>
      <w:r w:rsidRPr="00E27756">
        <w:rPr>
          <w:rStyle w:val="TextoNormalNegritaCaracter"/>
        </w:rPr>
        <w:t>§ 25.</w:t>
      </w:r>
      <w:r w:rsidRPr="00E27756">
        <w:rPr>
          <w:rStyle w:val="TextoNormalCaracter"/>
        </w:rPr>
        <w:t>-</w:t>
      </w:r>
      <w:r>
        <w:t xml:space="preserve"> Sentencia </w:t>
      </w:r>
      <w:hyperlink w:anchor="SENTENCIA_2013_88" w:history="1">
        <w:r w:rsidRPr="00E27756">
          <w:rPr>
            <w:rStyle w:val="TextoNormalCaracter"/>
          </w:rPr>
          <w:t>88/2013</w:t>
        </w:r>
      </w:hyperlink>
      <w:r>
        <w:t>, f. 8.</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30 de noviembre de 2010 (P.V. c. España)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93" w:history="1">
        <w:r w:rsidRPr="00E27756">
          <w:rPr>
            <w:rStyle w:val="TextoNormalCaracter"/>
          </w:rPr>
          <w:t>93/2013</w:t>
        </w:r>
      </w:hyperlink>
      <w:r>
        <w:t>, VP II.</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8 de marzo de 2011 (Beristain Ukar c. España)</w:t>
      </w:r>
    </w:p>
    <w:p w:rsidR="00E27756" w:rsidRDefault="00E27756" w:rsidP="00E27756">
      <w:pPr>
        <w:pStyle w:val="SangriaFrancesaArticulo"/>
      </w:pPr>
      <w:r w:rsidRPr="00E27756">
        <w:rPr>
          <w:rStyle w:val="TextoNormalNegritaCaracter"/>
        </w:rPr>
        <w:t>§ 30.</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r w:rsidRPr="00E27756">
        <w:rPr>
          <w:rStyle w:val="TextoNormalNegritaCaracter"/>
        </w:rPr>
        <w:t>§§ 39, 41, 42.</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r w:rsidRPr="00E27756">
        <w:rPr>
          <w:rStyle w:val="TextoNormalNegritaCaracter"/>
        </w:rPr>
        <w:t>§ 39.</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r w:rsidRPr="00E27756">
        <w:rPr>
          <w:rStyle w:val="TextoNormalNegritaCaracter"/>
        </w:rPr>
        <w:t>§ 41.</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r w:rsidRPr="00E27756">
        <w:rPr>
          <w:rStyle w:val="TextoNormalNegritaCaracter"/>
        </w:rPr>
        <w:t>§ 42.</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20 de septiembre de 2011 (Ullens de Schooten et Rezabek c. Belgique)</w:t>
      </w:r>
    </w:p>
    <w:p w:rsidR="00E27756" w:rsidRDefault="00E27756" w:rsidP="00E27756">
      <w:pPr>
        <w:pStyle w:val="SangriaFrancesaArticulo"/>
      </w:pPr>
      <w:r w:rsidRPr="00E27756">
        <w:rPr>
          <w:rStyle w:val="TextoNormalNegritaCaracter"/>
        </w:rPr>
        <w:t>§§ 57-61.</w:t>
      </w:r>
      <w:r w:rsidRPr="00E27756">
        <w:rPr>
          <w:rStyle w:val="TextoNormalCaracter"/>
        </w:rPr>
        <w:t>-</w:t>
      </w:r>
      <w:r>
        <w:t xml:space="preserve"> Sentencia </w:t>
      </w:r>
      <w:hyperlink w:anchor="SENTENCIA_2013_27" w:history="1">
        <w:r w:rsidRPr="00E27756">
          <w:rPr>
            <w:rStyle w:val="TextoNormalCaracter"/>
          </w:rPr>
          <w:t>27/2013</w:t>
        </w:r>
      </w:hyperlink>
      <w:r>
        <w:t>, VP I.</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25 de octubre de 2011 (Almenara Álvarez c. España)</w:t>
      </w:r>
    </w:p>
    <w:p w:rsidR="00E27756" w:rsidRDefault="00E27756" w:rsidP="00E27756">
      <w:pPr>
        <w:pStyle w:val="SangriaFrancesaArticulo"/>
      </w:pPr>
      <w:r w:rsidRPr="00E27756">
        <w:rPr>
          <w:rStyle w:val="TextoNormalNegritaCaracter"/>
        </w:rPr>
        <w:t>§ 39.</w:t>
      </w:r>
      <w:r w:rsidRPr="00E27756">
        <w:rPr>
          <w:rStyle w:val="TextoNormalCaracter"/>
        </w:rPr>
        <w:t>-</w:t>
      </w:r>
      <w:r>
        <w:t xml:space="preserve"> Sentencia </w:t>
      </w:r>
      <w:hyperlink w:anchor="SENTENCIA_2013_88" w:history="1">
        <w:r w:rsidRPr="00E27756">
          <w:rPr>
            <w:rStyle w:val="TextoNormalCaracter"/>
          </w:rPr>
          <w:t>88/2013</w:t>
        </w:r>
      </w:hyperlink>
      <w:r>
        <w:t>, f. 8.</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22 de noviembre de 2011 (Lacadena Calero c. España)</w:t>
      </w:r>
    </w:p>
    <w:p w:rsidR="00E27756" w:rsidRDefault="00E27756" w:rsidP="00E27756">
      <w:pPr>
        <w:pStyle w:val="SangriaFrancesaArticulo"/>
      </w:pPr>
      <w:r w:rsidRPr="00E27756">
        <w:rPr>
          <w:rStyle w:val="TextoNormalNegritaCaracter"/>
        </w:rPr>
        <w:t>§ 38.</w:t>
      </w:r>
      <w:r w:rsidRPr="00E27756">
        <w:rPr>
          <w:rStyle w:val="TextoNormalCaracter"/>
        </w:rPr>
        <w:t>-</w:t>
      </w:r>
      <w:r>
        <w:t xml:space="preserve"> Sentencia </w:t>
      </w:r>
      <w:hyperlink w:anchor="SENTENCIA_2013_88" w:history="1">
        <w:r w:rsidRPr="00E27756">
          <w:rPr>
            <w:rStyle w:val="TextoNormalCaracter"/>
          </w:rPr>
          <w:t>88/2013</w:t>
        </w:r>
      </w:hyperlink>
      <w:r>
        <w:t>, f. 8.</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13 de diciembre de 2011 (Valbuena Redondo c. España)</w:t>
      </w:r>
    </w:p>
    <w:p w:rsidR="00E27756" w:rsidRDefault="00E27756" w:rsidP="00E27756">
      <w:pPr>
        <w:pStyle w:val="SangriaFrancesaArticulo"/>
      </w:pPr>
      <w:r w:rsidRPr="00E27756">
        <w:rPr>
          <w:rStyle w:val="TextoNormalNegritaCaracter"/>
        </w:rPr>
        <w:t>§ 29.</w:t>
      </w:r>
      <w:r w:rsidRPr="00E27756">
        <w:rPr>
          <w:rStyle w:val="TextoNormalCaracter"/>
        </w:rPr>
        <w:t>-</w:t>
      </w:r>
      <w:r>
        <w:t xml:space="preserve"> Sentencia </w:t>
      </w:r>
      <w:hyperlink w:anchor="SENTENCIA_2013_88" w:history="1">
        <w:r w:rsidRPr="00E27756">
          <w:rPr>
            <w:rStyle w:val="TextoNormalCaracter"/>
          </w:rPr>
          <w:t>88/2013</w:t>
        </w:r>
      </w:hyperlink>
      <w:r>
        <w:t>, f. 8.</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15 de diciembre de 2011 (Al-Khawaja y Tahery c. Reino Unido)</w:t>
      </w:r>
    </w:p>
    <w:p w:rsidR="00E27756" w:rsidRDefault="00E27756" w:rsidP="00E27756">
      <w:pPr>
        <w:pStyle w:val="SangriaFrancesaArticulo"/>
      </w:pPr>
      <w:r w:rsidRPr="00E27756">
        <w:rPr>
          <w:rStyle w:val="TextoNormalNegritaCaracter"/>
        </w:rPr>
        <w:lastRenderedPageBreak/>
        <w:t>§ 118.</w:t>
      </w:r>
      <w:r w:rsidRPr="00E27756">
        <w:rPr>
          <w:rStyle w:val="TextoNormalCaracter"/>
        </w:rPr>
        <w:t>-</w:t>
      </w:r>
      <w:r>
        <w:t xml:space="preserve"> Sentencia </w:t>
      </w:r>
      <w:hyperlink w:anchor="SENTENCIA_2013_75" w:history="1">
        <w:r w:rsidRPr="00E27756">
          <w:rPr>
            <w:rStyle w:val="TextoNormalCaracter"/>
          </w:rPr>
          <w:t>75/2013</w:t>
        </w:r>
      </w:hyperlink>
      <w:r>
        <w:t>, f. 4.</w:t>
      </w:r>
    </w:p>
    <w:p w:rsidR="00E27756" w:rsidRDefault="00E27756" w:rsidP="00E27756">
      <w:pPr>
        <w:pStyle w:val="SangriaFrancesaArticulo"/>
      </w:pPr>
      <w:r w:rsidRPr="00E27756">
        <w:rPr>
          <w:rStyle w:val="TextoNormalNegritaCaracter"/>
        </w:rPr>
        <w:t>§ 127.</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r w:rsidRPr="00E27756">
        <w:rPr>
          <w:rStyle w:val="TextoNormalNegritaCaracter"/>
        </w:rPr>
        <w:t>§ 147.</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20 de diciembre de 2011 (Pascari c. Moldavia)</w:t>
      </w:r>
    </w:p>
    <w:p w:rsidR="00E27756" w:rsidRDefault="00E27756" w:rsidP="00E27756">
      <w:pPr>
        <w:pStyle w:val="SangriaFrancesaArticulo"/>
      </w:pPr>
      <w:r w:rsidRPr="00E27756">
        <w:rPr>
          <w:rStyle w:val="TextoNormalNegritaCaracter"/>
        </w:rPr>
        <w:t>§ 45.</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20 de marzo de 2012 (Serrano Contreras c. España)</w:t>
      </w:r>
    </w:p>
    <w:p w:rsidR="00E27756" w:rsidRDefault="00E27756" w:rsidP="00E27756">
      <w:pPr>
        <w:pStyle w:val="SangriaFrancesaArticulo"/>
      </w:pPr>
      <w:r w:rsidRPr="00E27756">
        <w:rPr>
          <w:rStyle w:val="TextoNormalNegritaCaracter"/>
        </w:rPr>
        <w:t>§ 31.</w:t>
      </w:r>
      <w:r w:rsidRPr="00E27756">
        <w:rPr>
          <w:rStyle w:val="TextoNormalCaracter"/>
        </w:rPr>
        <w:t>-</w:t>
      </w:r>
      <w:r>
        <w:t xml:space="preserve"> Sentencia </w:t>
      </w:r>
      <w:hyperlink w:anchor="SENTENCIA_2013_88" w:history="1">
        <w:r w:rsidRPr="00E27756">
          <w:rPr>
            <w:rStyle w:val="TextoNormalCaracter"/>
          </w:rPr>
          <w:t>88/2013</w:t>
        </w:r>
      </w:hyperlink>
      <w:r>
        <w:t>, f. 8.</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3 de abril de 2012 (Dimitar Dimitrov c. Bulgaria)</w:t>
      </w:r>
    </w:p>
    <w:p w:rsidR="00E27756" w:rsidRDefault="00E27756" w:rsidP="00E27756">
      <w:pPr>
        <w:pStyle w:val="SangriaFrancesaArticulo"/>
      </w:pPr>
      <w:r w:rsidRPr="00E27756">
        <w:rPr>
          <w:rStyle w:val="TextoNormalNegritaCaracter"/>
        </w:rPr>
        <w:t>§ 45.</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17 de abril de 2012 (Rizvanov c. Azerbaijan)</w:t>
      </w:r>
    </w:p>
    <w:p w:rsidR="00E27756" w:rsidRDefault="00E27756" w:rsidP="00E27756">
      <w:pPr>
        <w:pStyle w:val="SangriaFrancesaArticulo"/>
      </w:pPr>
      <w:r w:rsidRPr="00E27756">
        <w:rPr>
          <w:rStyle w:val="TextoNormalNegritaCaracter"/>
        </w:rPr>
        <w:t>§ 47.</w:t>
      </w:r>
      <w:r w:rsidRPr="00E27756">
        <w:rPr>
          <w:rStyle w:val="TextoNormalCaracter"/>
        </w:rPr>
        <w:t>-</w:t>
      </w:r>
      <w:r>
        <w:t xml:space="preserve"> Sentencia </w:t>
      </w:r>
      <w:hyperlink w:anchor="SENTENCIA_2013_12" w:history="1">
        <w:r w:rsidRPr="00E27756">
          <w:rPr>
            <w:rStyle w:val="TextoNormalCaracter"/>
          </w:rPr>
          <w:t>12/2013</w:t>
        </w:r>
      </w:hyperlink>
      <w:r>
        <w:t>, f. 3.</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19 de julio de 2012 (Hümmer c. Alemania)</w:t>
      </w:r>
    </w:p>
    <w:p w:rsidR="00E27756" w:rsidRDefault="00E27756" w:rsidP="00E27756">
      <w:pPr>
        <w:pStyle w:val="SangriaFrancesaArticulo"/>
      </w:pPr>
      <w:r w:rsidRPr="00E27756">
        <w:rPr>
          <w:rStyle w:val="TextoNormalNegritaCaracter"/>
        </w:rPr>
        <w:t>§ 38.</w:t>
      </w:r>
      <w:r w:rsidRPr="00E27756">
        <w:rPr>
          <w:rStyle w:val="TextoNormalCaracter"/>
        </w:rPr>
        <w:t>-</w:t>
      </w:r>
      <w:r>
        <w:t xml:space="preserve"> Sentencia </w:t>
      </w:r>
      <w:hyperlink w:anchor="SENTENCIA_2013_75" w:history="1">
        <w:r w:rsidRPr="00E27756">
          <w:rPr>
            <w:rStyle w:val="TextoNormalCaracter"/>
          </w:rPr>
          <w:t>75/2013</w:t>
        </w:r>
      </w:hyperlink>
      <w:r>
        <w:t>, ff. 4, 5.</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16 de octubre de 2012 (Otamendi Egiguren c. España)</w:t>
      </w:r>
    </w:p>
    <w:p w:rsidR="00E27756" w:rsidRDefault="00E27756" w:rsidP="00E27756">
      <w:pPr>
        <w:pStyle w:val="SangriaFrancesaArticulo"/>
      </w:pPr>
      <w:r w:rsidRPr="00E27756">
        <w:rPr>
          <w:rStyle w:val="TextoNormalNegritaCaracter"/>
        </w:rPr>
        <w:t>§ 38.</w:t>
      </w:r>
      <w:r w:rsidRPr="00E27756">
        <w:rPr>
          <w:rStyle w:val="TextoNormalCaracter"/>
        </w:rPr>
        <w:t>-</w:t>
      </w:r>
      <w:r>
        <w:t xml:space="preserve"> Sentencia </w:t>
      </w:r>
      <w:hyperlink w:anchor="SENTENCIA_2013_12" w:history="1">
        <w:r w:rsidRPr="00E27756">
          <w:rPr>
            <w:rStyle w:val="TextoNormalCaracter"/>
          </w:rPr>
          <w:t>12/2013</w:t>
        </w:r>
      </w:hyperlink>
      <w:r>
        <w:t>, f. 2, VP.</w:t>
      </w:r>
    </w:p>
    <w:p w:rsidR="00E27756" w:rsidRDefault="00E27756" w:rsidP="00E27756">
      <w:pPr>
        <w:pStyle w:val="SangriaFrancesaArticulo"/>
      </w:pPr>
      <w:r w:rsidRPr="00E27756">
        <w:rPr>
          <w:rStyle w:val="TextoNormalNegritaCaracter"/>
        </w:rPr>
        <w:t>§ 39.</w:t>
      </w:r>
      <w:r w:rsidRPr="00E27756">
        <w:rPr>
          <w:rStyle w:val="TextoNormalCaracter"/>
        </w:rPr>
        <w:t>-</w:t>
      </w:r>
      <w:r>
        <w:t xml:space="preserve"> Sentencia </w:t>
      </w:r>
      <w:hyperlink w:anchor="SENTENCIA_2013_12" w:history="1">
        <w:r w:rsidRPr="00E27756">
          <w:rPr>
            <w:rStyle w:val="TextoNormalCaracter"/>
          </w:rPr>
          <w:t>12/2013</w:t>
        </w:r>
      </w:hyperlink>
      <w:r>
        <w:t>, f. 2.</w:t>
      </w:r>
    </w:p>
    <w:p w:rsidR="00E27756" w:rsidRDefault="00E27756" w:rsidP="00E27756">
      <w:pPr>
        <w:pStyle w:val="SangriaFrancesaArticulo"/>
      </w:pPr>
      <w:r w:rsidRPr="00E27756">
        <w:rPr>
          <w:rStyle w:val="TextoNormalNegritaCaracter"/>
        </w:rPr>
        <w:t>§ 41.</w:t>
      </w:r>
      <w:r w:rsidRPr="00E27756">
        <w:rPr>
          <w:rStyle w:val="TextoNormalCaracter"/>
        </w:rPr>
        <w:t>-</w:t>
      </w:r>
      <w:r>
        <w:t xml:space="preserve"> Sentencia </w:t>
      </w:r>
      <w:hyperlink w:anchor="SENTENCIA_2013_12" w:history="1">
        <w:r w:rsidRPr="00E27756">
          <w:rPr>
            <w:rStyle w:val="TextoNormalCaracter"/>
          </w:rPr>
          <w:t>12/2013</w:t>
        </w:r>
      </w:hyperlink>
      <w:r>
        <w:t>, VP.</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27 de noviembre de 2012 (Vilanova Goterris y LLop García c. España)</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88" w:history="1">
        <w:r w:rsidRPr="00E27756">
          <w:rPr>
            <w:rStyle w:val="TextoNormalCaracter"/>
          </w:rPr>
          <w:t>88/2013</w:t>
        </w:r>
      </w:hyperlink>
      <w:r>
        <w:t>, f. 8.</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6 de diciembre de 2012 (Pesukic c. Suiza)</w:t>
      </w:r>
    </w:p>
    <w:p w:rsidR="00E27756" w:rsidRDefault="00E27756" w:rsidP="00E27756">
      <w:pPr>
        <w:pStyle w:val="SangriaFrancesaArticulo"/>
      </w:pPr>
      <w:r w:rsidRPr="00E27756">
        <w:rPr>
          <w:rStyle w:val="TextoNormalNegritaCaracter"/>
        </w:rPr>
        <w:t>§ 45.</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SangriaFrancesaArticulo"/>
      </w:pPr>
    </w:p>
    <w:p w:rsidR="00E27756" w:rsidRDefault="00E27756" w:rsidP="00E27756">
      <w:pPr>
        <w:pStyle w:val="TextoNormalNegritaCursivandice"/>
      </w:pPr>
      <w:r>
        <w:t>Sentencia del Tribunal Europeo de Derechos Humanos de 19 de febrero de 2013 (Gani c. España)</w:t>
      </w:r>
    </w:p>
    <w:p w:rsidR="00E27756" w:rsidRDefault="00E27756" w:rsidP="00E27756">
      <w:pPr>
        <w:pStyle w:val="SangriaFrancesaArticulo"/>
      </w:pPr>
      <w:r w:rsidRPr="00E27756">
        <w:rPr>
          <w:rStyle w:val="TextoNormalNegritaCaracter"/>
        </w:rPr>
        <w:t>§ 38.</w:t>
      </w:r>
      <w:r w:rsidRPr="00E27756">
        <w:rPr>
          <w:rStyle w:val="TextoNormalCaracter"/>
        </w:rPr>
        <w:t>-</w:t>
      </w:r>
      <w:r>
        <w:t xml:space="preserve"> Sentencias </w:t>
      </w:r>
      <w:hyperlink w:anchor="SENTENCIA_2013_57" w:history="1">
        <w:r w:rsidRPr="00E27756">
          <w:rPr>
            <w:rStyle w:val="TextoNormalCaracter"/>
          </w:rPr>
          <w:t>57/2013</w:t>
        </w:r>
      </w:hyperlink>
      <w:r>
        <w:t xml:space="preserve">, f. 4; </w:t>
      </w:r>
      <w:hyperlink w:anchor="SENTENCIA_2013_75" w:history="1">
        <w:r w:rsidRPr="00E27756">
          <w:rPr>
            <w:rStyle w:val="TextoNormalCaracter"/>
          </w:rPr>
          <w:t>75/2013</w:t>
        </w:r>
      </w:hyperlink>
      <w:r>
        <w:t>, f. 4.</w:t>
      </w:r>
    </w:p>
    <w:p w:rsidR="00E27756" w:rsidRDefault="00E27756" w:rsidP="00E27756">
      <w:pPr>
        <w:pStyle w:val="SangriaFrancesaArticulo"/>
      </w:pPr>
      <w:r w:rsidRPr="00E27756">
        <w:rPr>
          <w:rStyle w:val="TextoNormalNegritaCaracter"/>
        </w:rPr>
        <w:t>§ 41.</w:t>
      </w:r>
      <w:r w:rsidRPr="00E27756">
        <w:rPr>
          <w:rStyle w:val="TextoNormalCaracter"/>
        </w:rPr>
        <w:t>-</w:t>
      </w:r>
      <w:r>
        <w:t xml:space="preserve"> Sentencia </w:t>
      </w:r>
      <w:hyperlink w:anchor="SENTENCIA_2013_75" w:history="1">
        <w:r w:rsidRPr="00E27756">
          <w:rPr>
            <w:rStyle w:val="TextoNormalCaracter"/>
          </w:rPr>
          <w:t>75/2013</w:t>
        </w:r>
      </w:hyperlink>
      <w:r>
        <w:t>, f. 5.</w:t>
      </w:r>
    </w:p>
    <w:p w:rsidR="00E27756" w:rsidRDefault="00E27756" w:rsidP="00E27756">
      <w:pPr>
        <w:pStyle w:val="TextoNormal"/>
      </w:pPr>
    </w:p>
    <w:p w:rsidR="00E27756" w:rsidRDefault="00E27756" w:rsidP="00E27756">
      <w:pPr>
        <w:pStyle w:val="SangriaFrancesaArticulo"/>
      </w:pPr>
      <w:bookmarkStart w:id="310" w:name="INDICE22924"/>
    </w:p>
    <w:bookmarkEnd w:id="310"/>
    <w:p w:rsidR="00E27756" w:rsidRDefault="00E27756" w:rsidP="00E27756">
      <w:pPr>
        <w:pStyle w:val="TextoIndiceNivel2"/>
        <w:suppressAutoHyphens/>
      </w:pPr>
      <w:r>
        <w:lastRenderedPageBreak/>
        <w:t>B) Tribunales de Justicia de las Comunidades Europeas y de la Unión Europea</w:t>
      </w:r>
    </w:p>
    <w:p w:rsidR="00E27756" w:rsidRDefault="00E27756" w:rsidP="00E27756">
      <w:pPr>
        <w:pStyle w:val="TextoIndiceNivel2"/>
      </w:pPr>
    </w:p>
    <w:p w:rsidR="00E27756" w:rsidRDefault="00E27756" w:rsidP="00E27756">
      <w:pPr>
        <w:pStyle w:val="TextoNormalNegritaCursivandice"/>
      </w:pPr>
      <w:r>
        <w:t>Sentencia del Tribunal de Justicia de las Comunidades Europeas de 6 de octubre de 1982 (Srl Cilfit y Lanificio di Gavardo, SpA c. Ministero della Sanità, asunto 283/81)</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27" w:history="1">
        <w:r w:rsidRPr="00E27756">
          <w:rPr>
            <w:rStyle w:val="TextoNormalCaracter"/>
          </w:rPr>
          <w:t>27/2013</w:t>
        </w:r>
      </w:hyperlink>
      <w:r>
        <w:t>, VP I.</w:t>
      </w:r>
    </w:p>
    <w:p w:rsidR="00E27756" w:rsidRDefault="00E27756" w:rsidP="00E27756">
      <w:pPr>
        <w:pStyle w:val="SangriaFrancesaArticulo"/>
      </w:pPr>
    </w:p>
    <w:p w:rsidR="00E27756" w:rsidRDefault="00E27756" w:rsidP="00E27756">
      <w:pPr>
        <w:pStyle w:val="TextoNormalNegritaCursivandice"/>
      </w:pPr>
      <w:r>
        <w:t>Sentencia del Tribunal de Justicia de las Comunidades Europeas de 8 de julio de 1987 (Comisión c. República Italiana, asunto 262/85)</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69" w:history="1">
        <w:r w:rsidRPr="00E27756">
          <w:rPr>
            <w:rStyle w:val="TextoNormalCaracter"/>
          </w:rPr>
          <w:t>69/2013</w:t>
        </w:r>
      </w:hyperlink>
      <w:r>
        <w:t xml:space="preserve">, f. 6; </w:t>
      </w:r>
      <w:hyperlink w:anchor="SENTENCIA_2013_114" w:history="1">
        <w:r w:rsidRPr="00E27756">
          <w:rPr>
            <w:rStyle w:val="TextoNormalCaracter"/>
          </w:rPr>
          <w:t>114/2013</w:t>
        </w:r>
      </w:hyperlink>
      <w:r>
        <w:t>, f. 3.</w:t>
      </w:r>
    </w:p>
    <w:p w:rsidR="00E27756" w:rsidRDefault="00E27756" w:rsidP="00E27756">
      <w:pPr>
        <w:pStyle w:val="SangriaFrancesaArticulo"/>
      </w:pPr>
    </w:p>
    <w:p w:rsidR="00E27756" w:rsidRDefault="00E27756" w:rsidP="00E27756">
      <w:pPr>
        <w:pStyle w:val="TextoNormalNegritaCursivandice"/>
      </w:pPr>
      <w:r>
        <w:t>Sentencia del Tribunal de Justicia de las Comunidades Europeas de 15 de diciembre de 1995 (Bosman, asunto C-415/93)</w:t>
      </w:r>
    </w:p>
    <w:p w:rsidR="00E27756" w:rsidRDefault="00E27756" w:rsidP="00E27756">
      <w:pPr>
        <w:pStyle w:val="SangriaFrancesaArticulo"/>
      </w:pPr>
      <w:r w:rsidRPr="00E27756">
        <w:rPr>
          <w:rStyle w:val="TextoNormalNegritaCaracter"/>
        </w:rPr>
        <w:t>§ 59.</w:t>
      </w:r>
      <w:r w:rsidRPr="00E27756">
        <w:rPr>
          <w:rStyle w:val="TextoNormalCaracter"/>
        </w:rPr>
        <w:t>-</w:t>
      </w:r>
      <w:r>
        <w:t xml:space="preserve"> Sentencia </w:t>
      </w:r>
      <w:hyperlink w:anchor="SENTENCIA_2013_27" w:history="1">
        <w:r w:rsidRPr="00E27756">
          <w:rPr>
            <w:rStyle w:val="TextoNormalCaracter"/>
          </w:rPr>
          <w:t>27/2013</w:t>
        </w:r>
      </w:hyperlink>
      <w:r>
        <w:t>, f. 4.</w:t>
      </w:r>
    </w:p>
    <w:p w:rsidR="00E27756" w:rsidRDefault="00E27756" w:rsidP="00E27756">
      <w:pPr>
        <w:pStyle w:val="SangriaFrancesaArticulo"/>
      </w:pPr>
    </w:p>
    <w:p w:rsidR="00E27756" w:rsidRDefault="00E27756" w:rsidP="00E27756">
      <w:pPr>
        <w:pStyle w:val="TextoNormalNegritaCursivandice"/>
      </w:pPr>
      <w:r>
        <w:t>Sentencia del Tribunal de Justicia de las Comunidades Europeas de 27 de noviembre de 1997 (Somalfruit y Camar, asunto C-369/95)</w:t>
      </w:r>
    </w:p>
    <w:p w:rsidR="00E27756" w:rsidRDefault="00E27756" w:rsidP="00E27756">
      <w:pPr>
        <w:pStyle w:val="SangriaFrancesaArticulo"/>
      </w:pPr>
      <w:r w:rsidRPr="00E27756">
        <w:rPr>
          <w:rStyle w:val="TextoNormalNegritaCaracter"/>
        </w:rPr>
        <w:t>§ 40.</w:t>
      </w:r>
      <w:r w:rsidRPr="00E27756">
        <w:rPr>
          <w:rStyle w:val="TextoNormalCaracter"/>
        </w:rPr>
        <w:t>-</w:t>
      </w:r>
      <w:r>
        <w:t xml:space="preserve"> Sentencia </w:t>
      </w:r>
      <w:hyperlink w:anchor="SENTENCIA_2013_27" w:history="1">
        <w:r w:rsidRPr="00E27756">
          <w:rPr>
            <w:rStyle w:val="TextoNormalCaracter"/>
          </w:rPr>
          <w:t>27/2013</w:t>
        </w:r>
      </w:hyperlink>
      <w:r>
        <w:t>, f. 4.</w:t>
      </w:r>
    </w:p>
    <w:p w:rsidR="00E27756" w:rsidRDefault="00E27756" w:rsidP="00E27756">
      <w:pPr>
        <w:pStyle w:val="SangriaFrancesaArticulo"/>
      </w:pPr>
    </w:p>
    <w:p w:rsidR="00E27756" w:rsidRDefault="00E27756" w:rsidP="00E27756">
      <w:pPr>
        <w:pStyle w:val="TextoNormalNegritaCursivandice"/>
      </w:pPr>
      <w:r>
        <w:t>Sentencia del Tribunal de Justicia de las Comunidades Europeas de 16 de septiembre de 1999. (WWF y otros c. Autonome Provinz Bozen y otros, asunto C&amp;#8209;435/97)</w:t>
      </w:r>
    </w:p>
    <w:p w:rsidR="00E27756" w:rsidRDefault="00E27756" w:rsidP="00E27756">
      <w:pPr>
        <w:pStyle w:val="SangriaFrancesaArticulo"/>
      </w:pPr>
      <w:r w:rsidRPr="00E27756">
        <w:rPr>
          <w:rStyle w:val="TextoNormalNegritaCaracter"/>
        </w:rPr>
        <w:t>§ 39.</w:t>
      </w:r>
      <w:r w:rsidRPr="00E27756">
        <w:rPr>
          <w:rStyle w:val="TextoNormalCaracter"/>
        </w:rPr>
        <w:t>-</w:t>
      </w:r>
      <w:r>
        <w:t xml:space="preserve"> Sentencia </w:t>
      </w:r>
      <w:hyperlink w:anchor="SENTENCIA_2013_129" w:history="1">
        <w:r w:rsidRPr="00E27756">
          <w:rPr>
            <w:rStyle w:val="TextoNormalCaracter"/>
          </w:rPr>
          <w:t>129/2013</w:t>
        </w:r>
      </w:hyperlink>
      <w:r>
        <w:t>, f. 7.</w:t>
      </w:r>
    </w:p>
    <w:p w:rsidR="00E27756" w:rsidRDefault="00E27756" w:rsidP="00E27756">
      <w:pPr>
        <w:pStyle w:val="SangriaFrancesaArticulo"/>
      </w:pPr>
      <w:r w:rsidRPr="00E27756">
        <w:rPr>
          <w:rStyle w:val="TextoNormalNegritaCaracter"/>
        </w:rPr>
        <w:t>§ 44.</w:t>
      </w:r>
      <w:r w:rsidRPr="00E27756">
        <w:rPr>
          <w:rStyle w:val="TextoNormalCaracter"/>
        </w:rPr>
        <w:t>-</w:t>
      </w:r>
      <w:r>
        <w:t xml:space="preserve"> Sentencia </w:t>
      </w:r>
      <w:hyperlink w:anchor="SENTENCIA_2013_129" w:history="1">
        <w:r w:rsidRPr="00E27756">
          <w:rPr>
            <w:rStyle w:val="TextoNormalCaracter"/>
          </w:rPr>
          <w:t>129/2013</w:t>
        </w:r>
      </w:hyperlink>
      <w:r>
        <w:t>, f. 7.</w:t>
      </w:r>
    </w:p>
    <w:p w:rsidR="00E27756" w:rsidRDefault="00E27756" w:rsidP="00E27756">
      <w:pPr>
        <w:pStyle w:val="SangriaFrancesaArticulo"/>
      </w:pPr>
      <w:r w:rsidRPr="00E27756">
        <w:rPr>
          <w:rStyle w:val="TextoNormalNegritaCaracter"/>
        </w:rPr>
        <w:t>§ 47.</w:t>
      </w:r>
      <w:r w:rsidRPr="00E27756">
        <w:rPr>
          <w:rStyle w:val="TextoNormalCaracter"/>
        </w:rPr>
        <w:t>-</w:t>
      </w:r>
      <w:r>
        <w:t xml:space="preserve"> Sentencia </w:t>
      </w:r>
      <w:hyperlink w:anchor="SENTENCIA_2013_129" w:history="1">
        <w:r w:rsidRPr="00E27756">
          <w:rPr>
            <w:rStyle w:val="TextoNormalCaracter"/>
          </w:rPr>
          <w:t>129/2013</w:t>
        </w:r>
      </w:hyperlink>
      <w:r>
        <w:t>, f. 7.</w:t>
      </w:r>
    </w:p>
    <w:p w:rsidR="00E27756" w:rsidRDefault="00E27756" w:rsidP="00E27756">
      <w:pPr>
        <w:pStyle w:val="SangriaFrancesaArticulo"/>
      </w:pPr>
      <w:r w:rsidRPr="00E27756">
        <w:rPr>
          <w:rStyle w:val="TextoNormalNegritaCaracter"/>
        </w:rPr>
        <w:t>§ 59.</w:t>
      </w:r>
      <w:r w:rsidRPr="00E27756">
        <w:rPr>
          <w:rStyle w:val="TextoNormalCaracter"/>
        </w:rPr>
        <w:t>-</w:t>
      </w:r>
      <w:r>
        <w:t xml:space="preserve"> Sentencia </w:t>
      </w:r>
      <w:hyperlink w:anchor="SENTENCIA_2013_129" w:history="1">
        <w:r w:rsidRPr="00E27756">
          <w:rPr>
            <w:rStyle w:val="TextoNormalCaracter"/>
          </w:rPr>
          <w:t>129/2013</w:t>
        </w:r>
      </w:hyperlink>
      <w:r>
        <w:t>, f. 7.</w:t>
      </w:r>
    </w:p>
    <w:p w:rsidR="00E27756" w:rsidRDefault="00E27756" w:rsidP="00E27756">
      <w:pPr>
        <w:pStyle w:val="SangriaFrancesaArticulo"/>
      </w:pPr>
    </w:p>
    <w:p w:rsidR="00E27756" w:rsidRDefault="00E27756" w:rsidP="00E27756">
      <w:pPr>
        <w:pStyle w:val="TextoNormalNegritaCursivandice"/>
      </w:pPr>
      <w:r>
        <w:t>Sentencia del Tribunal de Justicia de las Comunidades Europeas de 13 de julio de 2000 (Idéal tourisme, asunto C-36/99)</w:t>
      </w:r>
    </w:p>
    <w:p w:rsidR="00E27756" w:rsidRDefault="00E27756" w:rsidP="00E27756">
      <w:pPr>
        <w:pStyle w:val="SangriaFrancesaArticulo"/>
      </w:pPr>
      <w:r w:rsidRPr="00E27756">
        <w:rPr>
          <w:rStyle w:val="TextoNormalNegritaCaracter"/>
        </w:rPr>
        <w:t>§ 20.</w:t>
      </w:r>
      <w:r w:rsidRPr="00E27756">
        <w:rPr>
          <w:rStyle w:val="TextoNormalCaracter"/>
        </w:rPr>
        <w:t>-</w:t>
      </w:r>
      <w:r>
        <w:t xml:space="preserve"> Sentencia </w:t>
      </w:r>
      <w:hyperlink w:anchor="SENTENCIA_2013_27" w:history="1">
        <w:r w:rsidRPr="00E27756">
          <w:rPr>
            <w:rStyle w:val="TextoNormalCaracter"/>
          </w:rPr>
          <w:t>27/2013</w:t>
        </w:r>
      </w:hyperlink>
      <w:r>
        <w:t>, f. 4.</w:t>
      </w:r>
    </w:p>
    <w:p w:rsidR="00E27756" w:rsidRDefault="00E27756" w:rsidP="00E27756">
      <w:pPr>
        <w:pStyle w:val="SangriaFrancesaArticulo"/>
      </w:pPr>
    </w:p>
    <w:p w:rsidR="00E27756" w:rsidRDefault="00E27756" w:rsidP="00E27756">
      <w:pPr>
        <w:pStyle w:val="TextoNormalNegritaCursivandice"/>
      </w:pPr>
      <w:r>
        <w:t>Sentencia del Tribunal de Justicia de las Comunidades Europeas de 8 de enero de 2002 (H. van den Bor BV, asunto C-428/99)</w:t>
      </w:r>
    </w:p>
    <w:p w:rsidR="00E27756" w:rsidRDefault="00E27756" w:rsidP="00E27756">
      <w:pPr>
        <w:pStyle w:val="SangriaFrancesaArticulo"/>
      </w:pPr>
      <w:r w:rsidRPr="00E27756">
        <w:rPr>
          <w:rStyle w:val="TextoNormalNegritaCaracter"/>
        </w:rPr>
        <w:t>§ 35.</w:t>
      </w:r>
      <w:r w:rsidRPr="00E27756">
        <w:rPr>
          <w:rStyle w:val="TextoNormalCaracter"/>
        </w:rPr>
        <w:t>-</w:t>
      </w:r>
      <w:r>
        <w:t xml:space="preserve"> Sentencia </w:t>
      </w:r>
      <w:hyperlink w:anchor="SENTENCIA_2013_27" w:history="1">
        <w:r w:rsidRPr="00E27756">
          <w:rPr>
            <w:rStyle w:val="TextoNormalCaracter"/>
          </w:rPr>
          <w:t>27/2013</w:t>
        </w:r>
      </w:hyperlink>
      <w:r>
        <w:t>, VP I.</w:t>
      </w:r>
    </w:p>
    <w:p w:rsidR="00E27756" w:rsidRDefault="00E27756" w:rsidP="00E27756">
      <w:pPr>
        <w:pStyle w:val="SangriaFrancesaArticulo"/>
      </w:pPr>
    </w:p>
    <w:p w:rsidR="00E27756" w:rsidRDefault="00E27756" w:rsidP="00E27756">
      <w:pPr>
        <w:pStyle w:val="TextoNormalNegritaCursivandice"/>
      </w:pPr>
      <w:r>
        <w:t>Sentencia del Tribunal de Justicia de las Comunidades Europeas de 30 de septiembre de 2003, (Gerhard Köbler c. Austria, asunto C-224/01)</w:t>
      </w:r>
    </w:p>
    <w:p w:rsidR="00E27756" w:rsidRDefault="00E27756" w:rsidP="00E27756">
      <w:pPr>
        <w:pStyle w:val="SangriaFrancesaArticulo"/>
      </w:pPr>
      <w:r w:rsidRPr="00E27756">
        <w:rPr>
          <w:rStyle w:val="TextoNormalNegritaCaracter"/>
        </w:rPr>
        <w:t>§ 60.</w:t>
      </w:r>
      <w:r w:rsidRPr="00E27756">
        <w:rPr>
          <w:rStyle w:val="TextoNormalCaracter"/>
        </w:rPr>
        <w:t>-</w:t>
      </w:r>
      <w:r>
        <w:t xml:space="preserve"> Sentencia </w:t>
      </w:r>
      <w:hyperlink w:anchor="SENTENCIA_2013_27" w:history="1">
        <w:r w:rsidRPr="00E27756">
          <w:rPr>
            <w:rStyle w:val="TextoNormalCaracter"/>
          </w:rPr>
          <w:t>27/2013</w:t>
        </w:r>
      </w:hyperlink>
      <w:r>
        <w:t>, f. 4.</w:t>
      </w:r>
    </w:p>
    <w:p w:rsidR="00E27756" w:rsidRDefault="00E27756" w:rsidP="00E27756">
      <w:pPr>
        <w:pStyle w:val="SangriaFrancesaArticulo"/>
      </w:pPr>
    </w:p>
    <w:p w:rsidR="00E27756" w:rsidRDefault="00E27756" w:rsidP="00E27756">
      <w:pPr>
        <w:pStyle w:val="TextoNormalNegritaCursivandice"/>
      </w:pPr>
      <w:r>
        <w:t>Sentencia del Tribunal de Justicia de las Comunidades Europeas de 9 de diciembre de 2004. (Comisión c. Reino de España, asunto C-79/03)</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69" w:history="1">
        <w:r w:rsidRPr="00E27756">
          <w:rPr>
            <w:rStyle w:val="TextoNormalCaracter"/>
          </w:rPr>
          <w:t>69/2013</w:t>
        </w:r>
      </w:hyperlink>
      <w:r>
        <w:t xml:space="preserve">, f. 6; </w:t>
      </w:r>
      <w:hyperlink w:anchor="SENTENCIA_2013_114" w:history="1">
        <w:r w:rsidRPr="00E27756">
          <w:rPr>
            <w:rStyle w:val="TextoNormalCaracter"/>
          </w:rPr>
          <w:t>114/2013</w:t>
        </w:r>
      </w:hyperlink>
      <w:r>
        <w:t>, f. 3.</w:t>
      </w:r>
    </w:p>
    <w:p w:rsidR="00E27756" w:rsidRDefault="00E27756" w:rsidP="00E27756">
      <w:pPr>
        <w:pStyle w:val="SangriaFrancesaArticulo"/>
      </w:pPr>
    </w:p>
    <w:p w:rsidR="00E27756" w:rsidRDefault="00E27756" w:rsidP="00E27756">
      <w:pPr>
        <w:pStyle w:val="TextoNormalNegritaCursivandice"/>
      </w:pPr>
      <w:r>
        <w:lastRenderedPageBreak/>
        <w:t>Sentencia del Tribunal de Justicia de las Comunidades Europeas de 7 de junio de 2005 (Eneco NV y otros)</w:t>
      </w:r>
    </w:p>
    <w:p w:rsidR="00E27756" w:rsidRDefault="00E27756" w:rsidP="00E27756">
      <w:pPr>
        <w:pStyle w:val="SangriaFrancesaArticulo"/>
      </w:pPr>
      <w:r w:rsidRPr="00E27756">
        <w:rPr>
          <w:rStyle w:val="TextoNormalNegritaCaracter"/>
        </w:rPr>
        <w:t>§ 34.</w:t>
      </w:r>
      <w:r w:rsidRPr="00E27756">
        <w:rPr>
          <w:rStyle w:val="TextoNormalCaracter"/>
        </w:rPr>
        <w:t>-</w:t>
      </w:r>
      <w:r>
        <w:t xml:space="preserve"> Sentencia </w:t>
      </w:r>
      <w:hyperlink w:anchor="SENTENCIA_2013_27" w:history="1">
        <w:r w:rsidRPr="00E27756">
          <w:rPr>
            <w:rStyle w:val="TextoNormalCaracter"/>
          </w:rPr>
          <w:t>27/2013</w:t>
        </w:r>
      </w:hyperlink>
      <w:r>
        <w:t>, f. 4.</w:t>
      </w:r>
    </w:p>
    <w:p w:rsidR="00E27756" w:rsidRDefault="00E27756" w:rsidP="00E27756">
      <w:pPr>
        <w:pStyle w:val="SangriaFrancesaArticulo"/>
      </w:pPr>
    </w:p>
    <w:p w:rsidR="00E27756" w:rsidRDefault="00E27756" w:rsidP="00E27756">
      <w:pPr>
        <w:pStyle w:val="TextoNormalNegritaCursivandice"/>
      </w:pPr>
      <w:r>
        <w:t>Sentencia del Tribunal de Justicia de las Comunidades Europeas de 15 de septiembre de 2005 (Intermodal Transports, asunto C-495/03)</w:t>
      </w:r>
    </w:p>
    <w:p w:rsidR="00E27756" w:rsidRDefault="00E27756" w:rsidP="00E27756">
      <w:pPr>
        <w:pStyle w:val="SangriaFrancesaArticulo"/>
      </w:pPr>
      <w:r w:rsidRPr="00E27756">
        <w:rPr>
          <w:rStyle w:val="TextoNormalNegritaCaracter"/>
        </w:rPr>
        <w:t>§ 38.</w:t>
      </w:r>
      <w:r w:rsidRPr="00E27756">
        <w:rPr>
          <w:rStyle w:val="TextoNormalCaracter"/>
        </w:rPr>
        <w:t>-</w:t>
      </w:r>
      <w:r>
        <w:t xml:space="preserve"> Sentencia </w:t>
      </w:r>
      <w:hyperlink w:anchor="SENTENCIA_2013_27" w:history="1">
        <w:r w:rsidRPr="00E27756">
          <w:rPr>
            <w:rStyle w:val="TextoNormalCaracter"/>
          </w:rPr>
          <w:t>27/2013</w:t>
        </w:r>
      </w:hyperlink>
      <w:r>
        <w:t>, VP I.</w:t>
      </w:r>
    </w:p>
    <w:p w:rsidR="00E27756" w:rsidRDefault="00E27756" w:rsidP="00E27756">
      <w:pPr>
        <w:pStyle w:val="SangriaFrancesaArticulo"/>
      </w:pPr>
    </w:p>
    <w:p w:rsidR="00E27756" w:rsidRDefault="00E27756" w:rsidP="00E27756">
      <w:pPr>
        <w:pStyle w:val="TextoNormalNegritaCursivandice"/>
      </w:pPr>
      <w:r>
        <w:t>Sentencia del Tribunal de Justicia de las Comunidades Europeas de 1 de abril de 2008 (Tadao Maruko c. Versorgungsanstalt der deutschen Bühnen)</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41" w:history="1">
        <w:r w:rsidRPr="00E27756">
          <w:rPr>
            <w:rStyle w:val="TextoNormalCaracter"/>
          </w:rPr>
          <w:t>41/2013</w:t>
        </w:r>
      </w:hyperlink>
      <w:r>
        <w:t>, f. 2.</w:t>
      </w:r>
    </w:p>
    <w:p w:rsidR="00E27756" w:rsidRDefault="00E27756" w:rsidP="00E27756">
      <w:pPr>
        <w:pStyle w:val="SangriaFrancesaArticulo"/>
      </w:pPr>
    </w:p>
    <w:p w:rsidR="00E27756" w:rsidRDefault="00E27756" w:rsidP="00E27756">
      <w:pPr>
        <w:pStyle w:val="TextoNormalNegritaCursivandice"/>
      </w:pPr>
      <w:r>
        <w:t>Sentencia del Tribunal de Justicia de la Unión Europea de 13 de abril de 2010 (Bressol y otros, asunto C-73/08)</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1" w:history="1">
        <w:r w:rsidRPr="00E27756">
          <w:rPr>
            <w:rStyle w:val="TextoNormalCaracter"/>
          </w:rPr>
          <w:t>61/2013</w:t>
        </w:r>
      </w:hyperlink>
      <w:r>
        <w:t>, f. 4.</w:t>
      </w:r>
    </w:p>
    <w:p w:rsidR="00E27756" w:rsidRDefault="00E27756" w:rsidP="00E27756">
      <w:pPr>
        <w:pStyle w:val="SangriaFrancesaArticulo"/>
      </w:pPr>
    </w:p>
    <w:p w:rsidR="00E27756" w:rsidRDefault="00E27756" w:rsidP="00E27756">
      <w:pPr>
        <w:pStyle w:val="TextoNormalNegritaCursivandice"/>
      </w:pPr>
      <w:r>
        <w:t>Sentencia del Tribunal de Justicia de la Unión Europea de 18 de octubre de 2011 (Boxus c. región wallone, asuntos acumulados C-128/09 a C-134/09 y C-135/09)</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29" w:history="1">
        <w:r w:rsidRPr="00E27756">
          <w:rPr>
            <w:rStyle w:val="TextoNormalCaracter"/>
          </w:rPr>
          <w:t>129/2013</w:t>
        </w:r>
      </w:hyperlink>
      <w:r>
        <w:t>, f. 7.</w:t>
      </w:r>
    </w:p>
    <w:p w:rsidR="00E27756" w:rsidRDefault="00E27756" w:rsidP="00E27756">
      <w:pPr>
        <w:pStyle w:val="SangriaFrancesaArticulo"/>
      </w:pPr>
    </w:p>
    <w:p w:rsidR="00E27756" w:rsidRDefault="00E27756" w:rsidP="00E27756">
      <w:pPr>
        <w:pStyle w:val="TextoNormalNegritaCursivandice"/>
      </w:pPr>
      <w:r>
        <w:t>Sentencia del Tribunal de Justicia de la Unión Europea de 20 de octubre de 2011 (Brachner, asunto C-123/10)</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61" w:history="1">
        <w:r w:rsidRPr="00E27756">
          <w:rPr>
            <w:rStyle w:val="TextoNormalCaracter"/>
          </w:rPr>
          <w:t>61/2013</w:t>
        </w:r>
      </w:hyperlink>
      <w:r>
        <w:t>, f. 4.</w:t>
      </w:r>
    </w:p>
    <w:p w:rsidR="00E27756" w:rsidRDefault="00E27756" w:rsidP="00E27756">
      <w:pPr>
        <w:pStyle w:val="SangriaFrancesaArticulo"/>
      </w:pPr>
    </w:p>
    <w:p w:rsidR="00E27756" w:rsidRDefault="00E27756" w:rsidP="00E27756">
      <w:pPr>
        <w:pStyle w:val="TextoNormalNegritaCursivandice"/>
      </w:pPr>
      <w:r>
        <w:t>Sentencia del Tribunal de Justicia de la Unión Europea de 22 de noviembre de 2012 (Elbal Moreno, asunto C-385/11)</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Sentencias </w:t>
      </w:r>
      <w:hyperlink w:anchor="SENTENCIA_2013_61" w:history="1">
        <w:r w:rsidRPr="00E27756">
          <w:rPr>
            <w:rStyle w:val="TextoNormalCaracter"/>
          </w:rPr>
          <w:t>61/2013</w:t>
        </w:r>
      </w:hyperlink>
      <w:r>
        <w:t xml:space="preserve">, ff. 5, 6; </w:t>
      </w:r>
      <w:hyperlink w:anchor="SENTENCIA_2013_71" w:history="1">
        <w:r w:rsidRPr="00E27756">
          <w:rPr>
            <w:rStyle w:val="TextoNormalCaracter"/>
          </w:rPr>
          <w:t>71/2013</w:t>
        </w:r>
      </w:hyperlink>
      <w:r>
        <w:t>, f. 3.</w:t>
      </w:r>
    </w:p>
    <w:p w:rsidR="00E27756" w:rsidRDefault="00E27756" w:rsidP="00E27756">
      <w:pPr>
        <w:pStyle w:val="SangriaFrancesaArticulo"/>
      </w:pPr>
      <w:r w:rsidRPr="00E27756">
        <w:rPr>
          <w:rStyle w:val="TextoNormalNegritaCaracter"/>
        </w:rPr>
        <w:t>§ 30.</w:t>
      </w:r>
      <w:r w:rsidRPr="00E27756">
        <w:rPr>
          <w:rStyle w:val="TextoNormalCaracter"/>
        </w:rPr>
        <w:t>-</w:t>
      </w:r>
      <w:r>
        <w:t xml:space="preserve"> Sentencia </w:t>
      </w:r>
      <w:hyperlink w:anchor="SENTENCIA_2013_61" w:history="1">
        <w:r w:rsidRPr="00E27756">
          <w:rPr>
            <w:rStyle w:val="TextoNormalCaracter"/>
          </w:rPr>
          <w:t>61/2013</w:t>
        </w:r>
      </w:hyperlink>
      <w:r>
        <w:t>, f. 5.</w:t>
      </w:r>
    </w:p>
    <w:p w:rsidR="00E27756" w:rsidRDefault="00E27756" w:rsidP="00E27756">
      <w:pPr>
        <w:pStyle w:val="SangriaFrancesaArticulo"/>
      </w:pPr>
      <w:r w:rsidRPr="00E27756">
        <w:rPr>
          <w:rStyle w:val="TextoNormalNegritaCaracter"/>
        </w:rPr>
        <w:t>§ 35.</w:t>
      </w:r>
      <w:r w:rsidRPr="00E27756">
        <w:rPr>
          <w:rStyle w:val="TextoNormalCaracter"/>
        </w:rPr>
        <w:t>-</w:t>
      </w:r>
      <w:r>
        <w:t xml:space="preserve"> Sentencia </w:t>
      </w:r>
      <w:hyperlink w:anchor="SENTENCIA_2013_61" w:history="1">
        <w:r w:rsidRPr="00E27756">
          <w:rPr>
            <w:rStyle w:val="TextoNormalCaracter"/>
          </w:rPr>
          <w:t>61/2013</w:t>
        </w:r>
      </w:hyperlink>
      <w:r>
        <w:t>, f. 5.</w:t>
      </w:r>
    </w:p>
    <w:p w:rsidR="00E27756" w:rsidRDefault="00E27756" w:rsidP="00E27756">
      <w:pPr>
        <w:pStyle w:val="SangriaFrancesaArticulo"/>
      </w:pPr>
      <w:r w:rsidRPr="00E27756">
        <w:rPr>
          <w:rStyle w:val="TextoNormalNegritaCaracter"/>
        </w:rPr>
        <w:t>§ 36.</w:t>
      </w:r>
      <w:r w:rsidRPr="00E27756">
        <w:rPr>
          <w:rStyle w:val="TextoNormalCaracter"/>
        </w:rPr>
        <w:t>-</w:t>
      </w:r>
      <w:r>
        <w:t xml:space="preserve"> Sentencia </w:t>
      </w:r>
      <w:hyperlink w:anchor="SENTENCIA_2013_61" w:history="1">
        <w:r w:rsidRPr="00E27756">
          <w:rPr>
            <w:rStyle w:val="TextoNormalCaracter"/>
          </w:rPr>
          <w:t>61/2013</w:t>
        </w:r>
      </w:hyperlink>
      <w:r>
        <w:t>, f. 5.</w:t>
      </w:r>
    </w:p>
    <w:p w:rsidR="00E27756" w:rsidRDefault="00E27756" w:rsidP="00E27756">
      <w:pPr>
        <w:pStyle w:val="TextoNormal"/>
      </w:pPr>
    </w:p>
    <w:p w:rsidR="00E27756" w:rsidRDefault="00E27756" w:rsidP="00E27756">
      <w:pPr>
        <w:pStyle w:val="SangriaFrancesaArticulo"/>
      </w:pPr>
      <w:bookmarkStart w:id="311" w:name="INDICE22925"/>
    </w:p>
    <w:bookmarkEnd w:id="311"/>
    <w:p w:rsidR="00E27756" w:rsidRDefault="00E27756" w:rsidP="00E27756">
      <w:pPr>
        <w:pStyle w:val="TextoIndiceNivel2"/>
        <w:suppressAutoHyphens/>
      </w:pPr>
      <w:r>
        <w:t>C) Tribunal Supremo</w:t>
      </w:r>
    </w:p>
    <w:p w:rsidR="00E27756" w:rsidRDefault="00E27756" w:rsidP="00E27756">
      <w:pPr>
        <w:pStyle w:val="TextoIndiceNivel2"/>
      </w:pPr>
    </w:p>
    <w:p w:rsidR="00E27756" w:rsidRDefault="00E27756" w:rsidP="00E27756">
      <w:pPr>
        <w:pStyle w:val="TextoNormalNegritaCursivandice"/>
      </w:pPr>
      <w:r>
        <w:t>Auto de la Sala de lo Civil del Tribunal Supremo de 28 de abril de 2003 (autos sobre responsabilidad civil núm. 1-2003)</w:t>
      </w:r>
    </w:p>
    <w:p w:rsidR="00E27756" w:rsidRDefault="00E27756" w:rsidP="00E27756">
      <w:pPr>
        <w:pStyle w:val="SangriaFrancesaArticulo"/>
      </w:pPr>
      <w:r>
        <w:t xml:space="preserve">Sentencia </w:t>
      </w:r>
      <w:hyperlink w:anchor="SENTENCIA_2013_133" w:history="1">
        <w:r w:rsidRPr="00E27756">
          <w:rPr>
            <w:rStyle w:val="TextoNormalCaracter"/>
          </w:rPr>
          <w:t>133/2013</w:t>
        </w:r>
      </w:hyperlink>
      <w:r>
        <w:t xml:space="preserve"> (anula).</w:t>
      </w:r>
    </w:p>
    <w:p w:rsidR="00E27756" w:rsidRDefault="00E27756" w:rsidP="00E27756">
      <w:pPr>
        <w:pStyle w:val="SangriaFrancesaArticulo"/>
      </w:pPr>
    </w:p>
    <w:p w:rsidR="00E27756" w:rsidRDefault="00E27756" w:rsidP="00E27756">
      <w:pPr>
        <w:pStyle w:val="TextoNormalNegritaCursivandice"/>
      </w:pPr>
      <w:r>
        <w:t>Sentencia de la Sala de lo Civil del Tribunal Supremo de 23 de enero de 2004 (aclarada por Auto de 27 de enero de 2004 dictada en los autos sobre responsabilidad civil núm. 1-2003)</w:t>
      </w:r>
    </w:p>
    <w:p w:rsidR="00E27756" w:rsidRDefault="00E27756" w:rsidP="00E27756">
      <w:pPr>
        <w:pStyle w:val="SangriaFrancesaArticulo"/>
      </w:pPr>
      <w:r>
        <w:t xml:space="preserve">Sentencia </w:t>
      </w:r>
      <w:hyperlink w:anchor="SENTENCIA_2013_133" w:history="1">
        <w:r w:rsidRPr="00E27756">
          <w:rPr>
            <w:rStyle w:val="TextoNormalCaracter"/>
          </w:rPr>
          <w:t>133/2013</w:t>
        </w:r>
      </w:hyperlink>
      <w:r>
        <w:t xml:space="preserve"> (anula).</w:t>
      </w:r>
    </w:p>
    <w:p w:rsidR="00E27756" w:rsidRDefault="00E27756" w:rsidP="00E27756">
      <w:pPr>
        <w:pStyle w:val="SangriaFrancesaArticulo"/>
      </w:pPr>
    </w:p>
    <w:p w:rsidR="00E27756" w:rsidRDefault="00E27756" w:rsidP="00E27756">
      <w:pPr>
        <w:pStyle w:val="TextoNormalNegritaCursivandice"/>
      </w:pPr>
      <w:r>
        <w:t>Sentencia de la Sala de lo Social del Tribunal Supremo de 16 de mayo de 2007 (recurso de casación para la unificación de doctrina núm. 2314-2006)</w:t>
      </w:r>
    </w:p>
    <w:p w:rsidR="00E27756" w:rsidRDefault="00E27756" w:rsidP="00E27756">
      <w:pPr>
        <w:pStyle w:val="SangriaFrancesaArticulo"/>
      </w:pPr>
      <w:r>
        <w:lastRenderedPageBreak/>
        <w:t xml:space="preserve">Sentencia </w:t>
      </w:r>
      <w:hyperlink w:anchor="SENTENCIA_2013_71" w:history="1">
        <w:r w:rsidRPr="00E27756">
          <w:rPr>
            <w:rStyle w:val="TextoNormalCaracter"/>
          </w:rPr>
          <w:t>71/2013</w:t>
        </w:r>
      </w:hyperlink>
      <w:r>
        <w:t xml:space="preserve"> (anula).</w:t>
      </w:r>
    </w:p>
    <w:p w:rsidR="00E27756" w:rsidRDefault="00E27756" w:rsidP="00E27756">
      <w:pPr>
        <w:pStyle w:val="SangriaFrancesaArticulo"/>
      </w:pPr>
    </w:p>
    <w:p w:rsidR="00E27756" w:rsidRDefault="00E27756" w:rsidP="00E27756">
      <w:pPr>
        <w:pStyle w:val="TextoNormalNegritaCursivandice"/>
      </w:pPr>
      <w:r>
        <w:t>Auto de la Sala de lo Social del Tribunal Supremo, de 10 de octubre de 2007</w:t>
      </w:r>
    </w:p>
    <w:p w:rsidR="00E27756" w:rsidRDefault="00E27756" w:rsidP="00E27756">
      <w:pPr>
        <w:pStyle w:val="SangriaFrancesaArticulo"/>
      </w:pPr>
      <w:r>
        <w:t xml:space="preserve">Sentencia </w:t>
      </w:r>
      <w:hyperlink w:anchor="SENTENCIA_2013_72" w:history="1">
        <w:r w:rsidRPr="00E27756">
          <w:rPr>
            <w:rStyle w:val="TextoNormalCaracter"/>
          </w:rPr>
          <w:t>72/2013</w:t>
        </w:r>
      </w:hyperlink>
      <w:r>
        <w:t xml:space="preserve"> (anula).</w:t>
      </w:r>
    </w:p>
    <w:p w:rsidR="00E27756" w:rsidRDefault="00E27756" w:rsidP="00E27756">
      <w:pPr>
        <w:pStyle w:val="SangriaFrancesaArticulo"/>
      </w:pPr>
    </w:p>
    <w:p w:rsidR="00E27756" w:rsidRDefault="00E27756" w:rsidP="00E27756">
      <w:pPr>
        <w:pStyle w:val="TextoNormalNegritaCursivandice"/>
      </w:pPr>
      <w:r>
        <w:t>Sentencia de la Sala de lo Social del Tribunal Supremo, de 23 de febrero de 2009 (recurso de casación para la unificación de doctrina núm. 1299-2008)</w:t>
      </w:r>
    </w:p>
    <w:p w:rsidR="00E27756" w:rsidRDefault="00E27756" w:rsidP="00E27756">
      <w:pPr>
        <w:pStyle w:val="SangriaFrancesaArticulo"/>
      </w:pPr>
      <w:r>
        <w:t xml:space="preserve">Sentencia </w:t>
      </w:r>
      <w:hyperlink w:anchor="SENTENCIA_2013_117" w:history="1">
        <w:r w:rsidRPr="00E27756">
          <w:rPr>
            <w:rStyle w:val="TextoNormalCaracter"/>
          </w:rPr>
          <w:t>117/2013</w:t>
        </w:r>
      </w:hyperlink>
      <w:r>
        <w:t xml:space="preserve"> (anula).</w:t>
      </w:r>
    </w:p>
    <w:p w:rsidR="00E27756" w:rsidRDefault="00E27756" w:rsidP="00E27756">
      <w:pPr>
        <w:pStyle w:val="SangriaFrancesaArticulo"/>
      </w:pPr>
    </w:p>
    <w:p w:rsidR="00E27756" w:rsidRDefault="00E27756" w:rsidP="00E27756">
      <w:pPr>
        <w:pStyle w:val="TextoNormalNegritaCursivandice"/>
      </w:pPr>
      <w:r>
        <w:t>Sentencia de la Sala de lo Penal del Tribunal Supremo de 1 de octubre de 2010 (recurso de casación 10413-2010)</w:t>
      </w:r>
    </w:p>
    <w:p w:rsidR="00E27756" w:rsidRDefault="00E27756" w:rsidP="00E27756">
      <w:pPr>
        <w:pStyle w:val="SangriaFrancesaArticulo"/>
      </w:pPr>
      <w:r>
        <w:t xml:space="preserve">Sentencia </w:t>
      </w:r>
      <w:hyperlink w:anchor="SENTENCIA_2013_53" w:history="1">
        <w:r w:rsidRPr="00E27756">
          <w:rPr>
            <w:rStyle w:val="TextoNormalCaracter"/>
          </w:rPr>
          <w:t>53/2013</w:t>
        </w:r>
      </w:hyperlink>
      <w:r>
        <w:t xml:space="preserve"> (anula).</w:t>
      </w:r>
    </w:p>
    <w:p w:rsidR="00E27756" w:rsidRDefault="00E27756" w:rsidP="00E27756">
      <w:pPr>
        <w:pStyle w:val="SangriaFrancesaArticulo"/>
      </w:pPr>
    </w:p>
    <w:p w:rsidR="00E27756" w:rsidRDefault="00E27756" w:rsidP="00E27756">
      <w:pPr>
        <w:pStyle w:val="TextoNormalNegritaCursivandice"/>
      </w:pPr>
      <w:r>
        <w:t>Auto de la Sala de lo Penal del Tribunal Supremo, de 22 de diciembre de 2010 (recurso de casación núm. 2084-2010)</w:t>
      </w:r>
    </w:p>
    <w:p w:rsidR="00E27756" w:rsidRDefault="00E27756" w:rsidP="00E27756">
      <w:pPr>
        <w:pStyle w:val="SangriaFrancesaArticulo"/>
      </w:pPr>
      <w:r>
        <w:t xml:space="preserve">Sentencia </w:t>
      </w:r>
      <w:hyperlink w:anchor="SENTENCIA_2013_75" w:history="1">
        <w:r w:rsidRPr="00E27756">
          <w:rPr>
            <w:rStyle w:val="TextoNormalCaracter"/>
          </w:rPr>
          <w:t>75/2013</w:t>
        </w:r>
      </w:hyperlink>
      <w:r>
        <w:t xml:space="preserve"> (anula).</w:t>
      </w:r>
    </w:p>
    <w:p w:rsidR="00E27756" w:rsidRDefault="00E27756" w:rsidP="00E27756">
      <w:pPr>
        <w:pStyle w:val="SangriaFrancesaArticulo"/>
      </w:pPr>
    </w:p>
    <w:p w:rsidR="00E27756" w:rsidRDefault="00E27756" w:rsidP="00E27756">
      <w:pPr>
        <w:pStyle w:val="TextoNormalNegritaCursivandice"/>
      </w:pPr>
      <w:r>
        <w:t>Sentencia de la Sala de lo Contencioso-Administrativo del Tribunal Supremo de 6 de abril de 2011 (recurso de casación núm. 1602-2007)</w:t>
      </w:r>
    </w:p>
    <w:p w:rsidR="00E27756" w:rsidRDefault="00E27756" w:rsidP="00E27756">
      <w:pPr>
        <w:pStyle w:val="SangriaFrancesaArticulo"/>
      </w:pPr>
      <w:r>
        <w:t xml:space="preserve">Sentencia </w:t>
      </w:r>
      <w:hyperlink w:anchor="SENTENCIA_2013_76" w:history="1">
        <w:r w:rsidRPr="00E27756">
          <w:rPr>
            <w:rStyle w:val="TextoNormalCaracter"/>
          </w:rPr>
          <w:t>76/2013</w:t>
        </w:r>
      </w:hyperlink>
      <w:r>
        <w:t xml:space="preserve"> (anula).</w:t>
      </w:r>
    </w:p>
    <w:p w:rsidR="00E27756" w:rsidRDefault="00E27756" w:rsidP="00E27756">
      <w:pPr>
        <w:pStyle w:val="SangriaFrancesaArticulo"/>
      </w:pPr>
    </w:p>
    <w:p w:rsidR="00E27756" w:rsidRDefault="00E27756" w:rsidP="00E27756">
      <w:pPr>
        <w:pStyle w:val="TextoNormalNegritaCursivandice"/>
      </w:pPr>
      <w:r>
        <w:t>Auto de la Sala de lo Social del Tribunal Supremo de 8 de junio de 2011 (recurso de casación para la unificación de doctrina núm. 3919-2010)</w:t>
      </w:r>
    </w:p>
    <w:p w:rsidR="00E27756" w:rsidRDefault="00E27756" w:rsidP="00E27756">
      <w:pPr>
        <w:pStyle w:val="SangriaFrancesaArticulo"/>
      </w:pPr>
      <w:r>
        <w:t xml:space="preserve">Sentencia </w:t>
      </w:r>
      <w:hyperlink w:anchor="SENTENCIA_2013_77" w:history="1">
        <w:r w:rsidRPr="00E27756">
          <w:rPr>
            <w:rStyle w:val="TextoNormalCaracter"/>
          </w:rPr>
          <w:t>77/2013</w:t>
        </w:r>
      </w:hyperlink>
      <w:r>
        <w:t xml:space="preserve"> (anula).</w:t>
      </w:r>
    </w:p>
    <w:p w:rsidR="00E27756" w:rsidRDefault="00E27756" w:rsidP="00E27756">
      <w:pPr>
        <w:pStyle w:val="SangriaFrancesaArticulo"/>
      </w:pPr>
    </w:p>
    <w:p w:rsidR="00E27756" w:rsidRDefault="00E27756" w:rsidP="00E27756">
      <w:pPr>
        <w:pStyle w:val="TextoNormalNegritaCursivandice"/>
      </w:pPr>
      <w:r>
        <w:t>Auto de la Sección Tercera de la Sala de lo Contencioso-Administrativo del Tribunal Supremo de 19 de julio de 2011 (recurso de revisión)</w:t>
      </w:r>
    </w:p>
    <w:p w:rsidR="00E27756" w:rsidRDefault="00E27756" w:rsidP="00E27756">
      <w:pPr>
        <w:pStyle w:val="SangriaFrancesaArticulo"/>
      </w:pPr>
      <w:r>
        <w:t xml:space="preserve">Sentencia </w:t>
      </w:r>
      <w:hyperlink w:anchor="SENTENCIA_2013_108" w:history="1">
        <w:r w:rsidRPr="00E27756">
          <w:rPr>
            <w:rStyle w:val="TextoNormalCaracter"/>
          </w:rPr>
          <w:t>108/2013</w:t>
        </w:r>
      </w:hyperlink>
      <w:r>
        <w:t xml:space="preserve"> (anula).</w:t>
      </w:r>
    </w:p>
    <w:p w:rsidR="00E27756" w:rsidRDefault="00E27756" w:rsidP="00E27756">
      <w:pPr>
        <w:pStyle w:val="SangriaFrancesaArticulo"/>
      </w:pPr>
    </w:p>
    <w:p w:rsidR="00E27756" w:rsidRDefault="00E27756" w:rsidP="00E27756">
      <w:pPr>
        <w:pStyle w:val="TextoNormalNegritaCursivandice"/>
      </w:pPr>
      <w:r>
        <w:t>Auto de la Sección Tercera de la Sala de lo Contencioso-Administrativo del Tribunal Supremo de 15 de noviembre de 2011 (recurso de casación núm. 3337-2007)</w:t>
      </w:r>
    </w:p>
    <w:p w:rsidR="00E27756" w:rsidRDefault="00E27756" w:rsidP="00E27756">
      <w:pPr>
        <w:pStyle w:val="SangriaFrancesaArticulo"/>
      </w:pPr>
      <w:r>
        <w:t xml:space="preserve">Sentencia </w:t>
      </w:r>
      <w:hyperlink w:anchor="SENTENCIA_2013_108" w:history="1">
        <w:r w:rsidRPr="00E27756">
          <w:rPr>
            <w:rStyle w:val="TextoNormalCaracter"/>
          </w:rPr>
          <w:t>108/2013</w:t>
        </w:r>
      </w:hyperlink>
      <w:r>
        <w:t xml:space="preserve"> (anula).</w:t>
      </w:r>
    </w:p>
    <w:p w:rsidR="00E27756" w:rsidRDefault="00E27756" w:rsidP="00E27756">
      <w:pPr>
        <w:pStyle w:val="TextoNormal"/>
      </w:pPr>
    </w:p>
    <w:p w:rsidR="00E27756" w:rsidRDefault="00E27756" w:rsidP="00E27756">
      <w:pPr>
        <w:pStyle w:val="SangriaFrancesaArticulo"/>
      </w:pPr>
      <w:bookmarkStart w:id="312" w:name="INDICE22926"/>
    </w:p>
    <w:bookmarkEnd w:id="312"/>
    <w:p w:rsidR="00E27756" w:rsidRDefault="00E27756" w:rsidP="00E27756">
      <w:pPr>
        <w:pStyle w:val="TextoIndiceNivel2"/>
        <w:suppressAutoHyphens/>
      </w:pPr>
      <w:r>
        <w:t>D) Otros Tribunales</w:t>
      </w:r>
    </w:p>
    <w:p w:rsidR="00E27756" w:rsidRDefault="00E27756" w:rsidP="00E27756">
      <w:pPr>
        <w:pStyle w:val="TextoIndiceNivel2"/>
      </w:pPr>
    </w:p>
    <w:p w:rsidR="00E27756" w:rsidRDefault="00E27756" w:rsidP="00E27756">
      <w:pPr>
        <w:pStyle w:val="TextoNormalNegritaCursivandice"/>
      </w:pPr>
      <w:r>
        <w:t>Sentencia de la Sala Primera del Tribunal Constitucional Federal alemán, de 11 de marzo de 2008</w:t>
      </w:r>
    </w:p>
    <w:p w:rsidR="00E27756" w:rsidRDefault="00E27756" w:rsidP="00E27756">
      <w:pPr>
        <w:pStyle w:val="SangriaFrancesaArticulo"/>
      </w:pPr>
      <w:r w:rsidRPr="00E27756">
        <w:rPr>
          <w:rStyle w:val="TextoNormalNegritaCaracter"/>
        </w:rPr>
        <w:t>En general.</w:t>
      </w:r>
      <w:r w:rsidRPr="00E27756">
        <w:rPr>
          <w:rStyle w:val="TextoNormalCaracter"/>
        </w:rPr>
        <w:t>-</w:t>
      </w:r>
      <w:r>
        <w:t xml:space="preserve"> Sentencia </w:t>
      </w:r>
      <w:hyperlink w:anchor="SENTENCIA_2013_17" w:history="1">
        <w:r w:rsidRPr="00E27756">
          <w:rPr>
            <w:rStyle w:val="TextoNormalCaracter"/>
          </w:rPr>
          <w:t>17/2013</w:t>
        </w:r>
      </w:hyperlink>
      <w:r>
        <w:t>, VP.</w:t>
      </w:r>
    </w:p>
    <w:p w:rsidR="00E27756" w:rsidRDefault="00E27756">
      <w:pPr>
        <w:spacing w:after="160" w:line="259" w:lineRule="auto"/>
        <w:rPr>
          <w:rFonts w:ascii="Times New Roman" w:eastAsia="Times New Roman" w:hAnsi="Times New Roman" w:cs="Times New Roman"/>
          <w:sz w:val="24"/>
          <w:szCs w:val="24"/>
          <w:lang w:eastAsia="es-ES"/>
        </w:rPr>
      </w:pPr>
      <w:r>
        <w:br w:type="page"/>
      </w:r>
    </w:p>
    <w:p w:rsidR="00E27756" w:rsidRDefault="00E27756" w:rsidP="00E27756">
      <w:pPr>
        <w:pStyle w:val="SangriaFrancesaArticulo"/>
      </w:pPr>
      <w:bookmarkStart w:id="313" w:name="DESCRIPTOR1"/>
      <w:bookmarkStart w:id="314" w:name="DESCRIPTOR2"/>
      <w:bookmarkStart w:id="315" w:name="DESCRIPTOR3"/>
      <w:bookmarkStart w:id="316" w:name="DESCRIPTOR4"/>
      <w:bookmarkStart w:id="317" w:name="DESCRIPTOR5"/>
      <w:bookmarkStart w:id="318" w:name="DESCRIPTOR6"/>
      <w:bookmarkStart w:id="319" w:name="DESCRIPTOR7"/>
      <w:bookmarkStart w:id="320" w:name="DESCRIPTOR8"/>
      <w:bookmarkStart w:id="321" w:name="DESCRIPTOR9"/>
      <w:bookmarkStart w:id="322" w:name="DESCRIPTOR10"/>
      <w:bookmarkStart w:id="323" w:name="DESCRIPTOR11"/>
      <w:bookmarkStart w:id="324" w:name="DESCRIPTOR12"/>
      <w:bookmarkStart w:id="325" w:name="DESCRIPTOR13"/>
      <w:bookmarkStart w:id="326" w:name="DESCRIPTOR14"/>
      <w:bookmarkStart w:id="327" w:name="DESCRIPTOR15"/>
      <w:bookmarkStart w:id="328" w:name="DESCRIPTOR16"/>
      <w:bookmarkStart w:id="329" w:name="DESCRIPTOR17"/>
      <w:bookmarkStart w:id="330" w:name="DESCRIPTOR18"/>
      <w:bookmarkStart w:id="331" w:name="DESCRIPTOR19"/>
      <w:bookmarkStart w:id="332" w:name="DESCRIPTOR20"/>
      <w:bookmarkStart w:id="333" w:name="DESCRIPTOR21"/>
      <w:bookmarkStart w:id="334" w:name="DESCRIPTOR22"/>
      <w:bookmarkStart w:id="335" w:name="DESCRIPTOR23"/>
      <w:bookmarkStart w:id="336" w:name="DESCRIPTOR24"/>
      <w:bookmarkStart w:id="337" w:name="DESCRIPTOR25"/>
      <w:bookmarkStart w:id="338" w:name="DESCRIPTOR26"/>
      <w:bookmarkStart w:id="339" w:name="DESCRIPTOR27"/>
      <w:bookmarkStart w:id="340" w:name="DESCRIPTOR28"/>
      <w:bookmarkStart w:id="341" w:name="DESCRIPTOR29"/>
      <w:bookmarkStart w:id="342" w:name="DESCRIPTOR30"/>
      <w:bookmarkStart w:id="343" w:name="DESCRIPTOR31"/>
      <w:bookmarkStart w:id="344" w:name="DESCRIPTOR32"/>
      <w:bookmarkStart w:id="345" w:name="DESCRIPTOR33"/>
      <w:bookmarkStart w:id="346" w:name="DESCRIPTOR34"/>
      <w:bookmarkStart w:id="347" w:name="DESCRIPTOR35"/>
      <w:bookmarkStart w:id="348" w:name="DESCRIPTOR36"/>
      <w:bookmarkStart w:id="349" w:name="DESCRIPTOR37"/>
      <w:bookmarkStart w:id="350" w:name="DESCRIPTOR38"/>
      <w:bookmarkStart w:id="351" w:name="DESCRIPTOR39"/>
      <w:bookmarkStart w:id="352" w:name="DESCRIPTOR40"/>
      <w:bookmarkStart w:id="353" w:name="DESCRIPTOR41"/>
      <w:bookmarkStart w:id="354" w:name="DESCRIPTOR42"/>
      <w:bookmarkStart w:id="355" w:name="DESCRIPTOR43"/>
      <w:bookmarkStart w:id="356" w:name="DESCRIPTOR44"/>
      <w:bookmarkStart w:id="357" w:name="DESCRIPTOR45"/>
      <w:bookmarkStart w:id="358" w:name="DESCRIPTOR46"/>
      <w:bookmarkStart w:id="359" w:name="DESCRIPTOR47"/>
      <w:bookmarkStart w:id="360" w:name="DESCRIPTOR48"/>
      <w:bookmarkStart w:id="361" w:name="DESCRIPTOR49"/>
      <w:bookmarkStart w:id="362" w:name="DESCRIPTOR50"/>
      <w:bookmarkStart w:id="363" w:name="DESCRIPTOR51"/>
      <w:bookmarkStart w:id="364" w:name="DESCRIPTOR52"/>
      <w:bookmarkStart w:id="365" w:name="DESCRIPTOR53"/>
      <w:bookmarkStart w:id="366" w:name="DESCRIPTOR54"/>
      <w:bookmarkStart w:id="367" w:name="DESCRIPTOR55"/>
      <w:bookmarkStart w:id="368" w:name="DESCRIPTOR56"/>
      <w:bookmarkStart w:id="369" w:name="DESCRIPTOR57"/>
      <w:bookmarkStart w:id="370" w:name="DESCRIPTOR58"/>
      <w:bookmarkStart w:id="371" w:name="DESCRIPTOR59"/>
      <w:bookmarkStart w:id="372" w:name="DESCRIPTOR60"/>
      <w:bookmarkStart w:id="373" w:name="DESCRIPTOR61"/>
      <w:bookmarkStart w:id="374" w:name="DESCRIPTOR62"/>
      <w:bookmarkStart w:id="375" w:name="DESCRIPTOR63"/>
      <w:bookmarkStart w:id="376" w:name="DESCRIPTOR64"/>
      <w:bookmarkStart w:id="377" w:name="DESCRIPTOR65"/>
      <w:bookmarkStart w:id="378" w:name="DESCRIPTOR66"/>
      <w:bookmarkStart w:id="379" w:name="DESCRIPTOR67"/>
      <w:bookmarkStart w:id="380" w:name="DESCRIPTOR68"/>
      <w:bookmarkStart w:id="381" w:name="DESCRIPTOR69"/>
      <w:bookmarkStart w:id="382" w:name="DESCRIPTOR70"/>
      <w:bookmarkStart w:id="383" w:name="DESCRIPTOR71"/>
      <w:bookmarkStart w:id="384" w:name="DESCRIPTOR72"/>
      <w:bookmarkStart w:id="385" w:name="DESCRIPTOR73"/>
      <w:bookmarkStart w:id="386" w:name="DESCRIPTOR74"/>
      <w:bookmarkStart w:id="387" w:name="DESCRIPTOR75"/>
      <w:bookmarkStart w:id="388" w:name="DESCRIPTOR76"/>
      <w:bookmarkStart w:id="389" w:name="DESCRIPTOR77"/>
      <w:bookmarkStart w:id="390" w:name="DESCRIPTOR78"/>
      <w:bookmarkStart w:id="391" w:name="DESCRIPTOR79"/>
      <w:bookmarkStart w:id="392" w:name="DESCRIPTOR80"/>
      <w:bookmarkStart w:id="393" w:name="DESCRIPTOR81"/>
      <w:bookmarkStart w:id="394" w:name="DESCRIPTOR82"/>
      <w:bookmarkStart w:id="395" w:name="DESCRIPTOR83"/>
      <w:bookmarkStart w:id="396" w:name="DESCRIPTOR84"/>
      <w:bookmarkStart w:id="397" w:name="DESCRIPTOR85"/>
      <w:bookmarkStart w:id="398" w:name="DESCRIPTOR86"/>
      <w:bookmarkStart w:id="399" w:name="DESCRIPTOR87"/>
      <w:bookmarkStart w:id="400" w:name="DESCRIPTOR88"/>
      <w:bookmarkStart w:id="401" w:name="DESCRIPTOR89"/>
      <w:bookmarkStart w:id="402" w:name="DESCRIPTOR90"/>
      <w:bookmarkStart w:id="403" w:name="DESCRIPTOR91"/>
      <w:bookmarkStart w:id="404" w:name="DESCRIPTOR92"/>
      <w:bookmarkStart w:id="405" w:name="DESCRIPTOR93"/>
      <w:bookmarkStart w:id="406" w:name="DESCRIPTOR94"/>
      <w:bookmarkStart w:id="407" w:name="DESCRIPTOR95"/>
      <w:bookmarkStart w:id="408" w:name="DESCRIPTOR96"/>
      <w:bookmarkStart w:id="409" w:name="DESCRIPTOR97"/>
      <w:bookmarkStart w:id="410" w:name="DESCRIPTOR98"/>
      <w:bookmarkStart w:id="411" w:name="DESCRIPTOR99"/>
      <w:bookmarkStart w:id="412" w:name="DESCRIPTOR100"/>
      <w:bookmarkStart w:id="413" w:name="DESCRIPTOR101"/>
      <w:bookmarkStart w:id="414" w:name="DESCRIPTOR102"/>
      <w:bookmarkStart w:id="415" w:name="DESCRIPTOR103"/>
      <w:bookmarkStart w:id="416" w:name="DESCRIPTOR104"/>
      <w:bookmarkStart w:id="417" w:name="DESCRIPTOR105"/>
      <w:bookmarkStart w:id="418" w:name="DESCRIPTOR106"/>
      <w:bookmarkStart w:id="419" w:name="DESCRIPTOR107"/>
      <w:bookmarkStart w:id="420" w:name="DESCRIPTOR108"/>
      <w:bookmarkStart w:id="421" w:name="DESCRIPTOR109"/>
      <w:bookmarkStart w:id="422" w:name="DESCRIPTOR110"/>
      <w:bookmarkStart w:id="423" w:name="DESCRIPTOR111"/>
      <w:bookmarkStart w:id="424" w:name="DESCRIPTOR112"/>
      <w:bookmarkStart w:id="425" w:name="DESCRIPTOR113"/>
      <w:bookmarkStart w:id="426" w:name="DESCRIPTOR114"/>
      <w:bookmarkStart w:id="427" w:name="DESCRIPTOR115"/>
      <w:bookmarkStart w:id="428" w:name="DESCRIPTOR116"/>
      <w:bookmarkStart w:id="429" w:name="DESCRIPTOR117"/>
      <w:bookmarkStart w:id="430" w:name="DESCRIPTOR118"/>
      <w:bookmarkStart w:id="431" w:name="DESCRIPTOR119"/>
      <w:bookmarkStart w:id="432" w:name="DESCRIPTOR120"/>
      <w:bookmarkStart w:id="433" w:name="DESCRIPTOR121"/>
      <w:bookmarkStart w:id="434" w:name="DESCRIPTOR122"/>
      <w:bookmarkStart w:id="435" w:name="DESCRIPTOR123"/>
      <w:bookmarkStart w:id="436" w:name="DESCRIPTOR124"/>
      <w:bookmarkStart w:id="437" w:name="DESCRIPTOR125"/>
      <w:bookmarkStart w:id="438" w:name="DESCRIPTOR126"/>
      <w:bookmarkStart w:id="439" w:name="DESCRIPTOR127"/>
      <w:bookmarkStart w:id="440" w:name="DESCRIPTOR128"/>
      <w:bookmarkStart w:id="441" w:name="DESCRIPTOR129"/>
      <w:bookmarkStart w:id="442" w:name="DESCRIPTOR130"/>
      <w:bookmarkStart w:id="443" w:name="DESCRIPTOR131"/>
      <w:bookmarkStart w:id="444" w:name="DESCRIPTOR132"/>
      <w:bookmarkStart w:id="445" w:name="DESCRIPTOR133"/>
      <w:bookmarkStart w:id="446" w:name="DESCRIPTOR134"/>
      <w:bookmarkStart w:id="447" w:name="DESCRIPTOR135"/>
      <w:bookmarkStart w:id="448" w:name="DESCRIPTOR136"/>
      <w:bookmarkStart w:id="449" w:name="DESCRIPTOR137"/>
      <w:bookmarkStart w:id="450" w:name="DESCRIPTOR138"/>
      <w:bookmarkStart w:id="451" w:name="DESCRIPTOR139"/>
      <w:bookmarkStart w:id="452" w:name="DESCRIPTOR140"/>
      <w:bookmarkStart w:id="453" w:name="DESCRIPTOR141"/>
      <w:bookmarkStart w:id="454" w:name="DESCRIPTOR142"/>
      <w:bookmarkStart w:id="455" w:name="DESCRIPTOR143"/>
      <w:bookmarkStart w:id="456" w:name="DESCRIPTOR144"/>
      <w:bookmarkStart w:id="457" w:name="DESCRIPTOR145"/>
      <w:bookmarkStart w:id="458" w:name="DESCRIPTOR146"/>
      <w:bookmarkStart w:id="459" w:name="DESCRIPTOR147"/>
      <w:bookmarkStart w:id="460" w:name="DESCRIPTOR148"/>
      <w:bookmarkStart w:id="461" w:name="DESCRIPTOR149"/>
      <w:bookmarkStart w:id="462" w:name="DESCRIPTOR150"/>
      <w:bookmarkStart w:id="463" w:name="DESCRIPTOR151"/>
      <w:bookmarkStart w:id="464" w:name="DESCRIPTOR152"/>
      <w:bookmarkStart w:id="465" w:name="DESCRIPTOR153"/>
      <w:bookmarkStart w:id="466" w:name="DESCRIPTOR154"/>
      <w:bookmarkStart w:id="467" w:name="DESCRIPTOR155"/>
      <w:bookmarkStart w:id="468" w:name="DESCRIPTOR156"/>
      <w:bookmarkStart w:id="469" w:name="DESCRIPTOR157"/>
      <w:bookmarkStart w:id="470" w:name="DESCRIPTOR158"/>
      <w:bookmarkStart w:id="471" w:name="DESCRIPTOR159"/>
      <w:bookmarkStart w:id="472" w:name="DESCRIPTOR160"/>
      <w:bookmarkStart w:id="473" w:name="DESCRIPTOR161"/>
      <w:bookmarkStart w:id="474" w:name="DESCRIPTOR162"/>
      <w:bookmarkStart w:id="475" w:name="DESCRIPTOR163"/>
      <w:bookmarkStart w:id="476" w:name="DESCRIPTOR164"/>
      <w:bookmarkStart w:id="477" w:name="DESCRIPTOR165"/>
      <w:bookmarkStart w:id="478" w:name="DESCRIPTOR166"/>
      <w:bookmarkStart w:id="479" w:name="DESCRIPTOR167"/>
      <w:bookmarkStart w:id="480" w:name="DESCRIPTOR168"/>
      <w:bookmarkStart w:id="481" w:name="DESCRIPTOR169"/>
      <w:bookmarkStart w:id="482" w:name="DESCRIPTOR170"/>
      <w:bookmarkStart w:id="483" w:name="DESCRIPTOR171"/>
      <w:bookmarkStart w:id="484" w:name="DESCRIPTOR172"/>
      <w:bookmarkStart w:id="485" w:name="DESCRIPTOR173"/>
      <w:bookmarkStart w:id="486" w:name="DESCRIPTOR174"/>
      <w:bookmarkStart w:id="487" w:name="DESCRIPTOR175"/>
      <w:bookmarkStart w:id="488" w:name="DESCRIPTOR176"/>
      <w:bookmarkStart w:id="489" w:name="DESCRIPTOR177"/>
      <w:bookmarkStart w:id="490" w:name="DESCRIPTOR178"/>
      <w:bookmarkStart w:id="491" w:name="DESCRIPTOR179"/>
      <w:bookmarkStart w:id="492" w:name="DESCRIPTOR180"/>
      <w:bookmarkStart w:id="493" w:name="DESCRIPTOR181"/>
      <w:bookmarkStart w:id="494" w:name="DESCRIPTOR182"/>
      <w:bookmarkStart w:id="495" w:name="DESCRIPTOR183"/>
      <w:bookmarkStart w:id="496" w:name="DESCRIPTOR184"/>
      <w:bookmarkStart w:id="497" w:name="DESCRIPTOR185"/>
      <w:bookmarkStart w:id="498" w:name="DESCRIPTOR186"/>
      <w:bookmarkStart w:id="499" w:name="DESCRIPTOR187"/>
      <w:bookmarkStart w:id="500" w:name="DESCRIPTOR188"/>
      <w:bookmarkStart w:id="501" w:name="DESCRIPTOR189"/>
      <w:bookmarkStart w:id="502" w:name="DESCRIPTOR190"/>
      <w:bookmarkStart w:id="503" w:name="DESCRIPTOR191"/>
      <w:bookmarkStart w:id="504" w:name="DESCRIPTOR192"/>
      <w:bookmarkStart w:id="505" w:name="DESCRIPTOR193"/>
      <w:bookmarkStart w:id="506" w:name="DESCRIPTOR194"/>
      <w:bookmarkStart w:id="507" w:name="DESCRIPTOR195"/>
      <w:bookmarkStart w:id="508" w:name="DESCRIPTOR196"/>
      <w:bookmarkStart w:id="509" w:name="DESCRIPTOR197"/>
      <w:bookmarkStart w:id="510" w:name="DESCRIPTOR198"/>
      <w:bookmarkStart w:id="511" w:name="DESCRIPTOR199"/>
      <w:bookmarkStart w:id="512" w:name="DESCRIPTOR200"/>
      <w:bookmarkStart w:id="513" w:name="DESCRIPTOR201"/>
      <w:bookmarkStart w:id="514" w:name="DESCRIPTOR202"/>
      <w:bookmarkStart w:id="515" w:name="DESCRIPTOR203"/>
      <w:bookmarkStart w:id="516" w:name="DESCRIPTOR204"/>
      <w:bookmarkStart w:id="517" w:name="DESCRIPTOR205"/>
      <w:bookmarkStart w:id="518" w:name="DESCRIPTOR206"/>
      <w:bookmarkStart w:id="519" w:name="DESCRIPTOR207"/>
      <w:bookmarkStart w:id="520" w:name="DESCRIPTOR208"/>
      <w:bookmarkStart w:id="521" w:name="DESCRIPTOR209"/>
      <w:bookmarkStart w:id="522" w:name="DESCRIPTOR210"/>
      <w:bookmarkStart w:id="523" w:name="DESCRIPTOR211"/>
      <w:bookmarkStart w:id="524" w:name="DESCRIPTOR212"/>
      <w:bookmarkStart w:id="525" w:name="DESCRIPTOR213"/>
      <w:bookmarkStart w:id="526" w:name="DESCRIPTOR214"/>
      <w:bookmarkStart w:id="527" w:name="DESCRIPTOR215"/>
      <w:bookmarkStart w:id="528" w:name="DESCRIPTOR216"/>
      <w:bookmarkStart w:id="529" w:name="DESCRIPTOR217"/>
      <w:bookmarkStart w:id="530" w:name="DESCRIPTOR218"/>
      <w:bookmarkStart w:id="531" w:name="DESCRIPTOR219"/>
      <w:bookmarkStart w:id="532" w:name="DESCRIPTOR220"/>
      <w:bookmarkStart w:id="533" w:name="DESCRIPTOR221"/>
      <w:bookmarkStart w:id="534" w:name="DESCRIPTOR222"/>
      <w:bookmarkStart w:id="535" w:name="DESCRIPTOR223"/>
      <w:bookmarkStart w:id="536" w:name="DESCRIPTOR224"/>
      <w:bookmarkStart w:id="537" w:name="DESCRIPTOR225"/>
      <w:bookmarkStart w:id="538" w:name="DESCRIPTOR226"/>
      <w:bookmarkStart w:id="539" w:name="DESCRIPTOR227"/>
      <w:bookmarkStart w:id="540" w:name="DESCRIPTOR228"/>
      <w:bookmarkStart w:id="541" w:name="DESCRIPTOR229"/>
      <w:bookmarkStart w:id="542" w:name="DESCRIPTOR230"/>
      <w:bookmarkStart w:id="543" w:name="DESCRIPTOR231"/>
      <w:bookmarkStart w:id="544" w:name="DESCRIPTOR232"/>
      <w:bookmarkStart w:id="545" w:name="DESCRIPTOR233"/>
      <w:bookmarkStart w:id="546" w:name="DESCRIPTOR234"/>
      <w:bookmarkStart w:id="547" w:name="DESCRIPTOR235"/>
      <w:bookmarkStart w:id="548" w:name="DESCRIPTOR236"/>
      <w:bookmarkStart w:id="549" w:name="DESCRIPTOR237"/>
      <w:bookmarkStart w:id="550" w:name="DESCRIPTOR238"/>
      <w:bookmarkStart w:id="551" w:name="DESCRIPTOR239"/>
      <w:bookmarkStart w:id="552" w:name="DESCRIPTOR240"/>
      <w:bookmarkStart w:id="553" w:name="DESCRIPTOR241"/>
      <w:bookmarkStart w:id="554" w:name="DESCRIPTOR242"/>
      <w:bookmarkStart w:id="555" w:name="DESCRIPTOR243"/>
      <w:bookmarkStart w:id="556" w:name="DESCRIPTOR244"/>
      <w:bookmarkStart w:id="557" w:name="DESCRIPTOR245"/>
      <w:bookmarkStart w:id="558" w:name="DESCRIPTOR246"/>
      <w:bookmarkStart w:id="559" w:name="DESCRIPTOR247"/>
      <w:bookmarkStart w:id="560" w:name="DESCRIPTOR248"/>
      <w:bookmarkStart w:id="561" w:name="DESCRIPTOR249"/>
      <w:bookmarkStart w:id="562" w:name="DESCRIPTOR250"/>
      <w:bookmarkStart w:id="563" w:name="DESCRIPTOR251"/>
      <w:bookmarkStart w:id="564" w:name="DESCRIPTOR252"/>
      <w:bookmarkStart w:id="565" w:name="DESCRIPTOR253"/>
      <w:bookmarkStart w:id="566" w:name="DESCRIPTOR254"/>
      <w:bookmarkStart w:id="567" w:name="DESCRIPTOR255"/>
      <w:bookmarkStart w:id="568" w:name="DESCRIPTOR256"/>
      <w:bookmarkStart w:id="569" w:name="DESCRIPTOR257"/>
      <w:bookmarkStart w:id="570" w:name="DESCRIPTOR258"/>
      <w:bookmarkStart w:id="571" w:name="DESCRIPTOR259"/>
      <w:bookmarkStart w:id="572" w:name="DESCRIPTOR260"/>
      <w:bookmarkStart w:id="573" w:name="DESCRIPTOR261"/>
      <w:bookmarkStart w:id="574" w:name="DESCRIPTOR262"/>
      <w:bookmarkStart w:id="575" w:name="DESCRIPTOR263"/>
      <w:bookmarkStart w:id="576" w:name="DESCRIPTOR264"/>
      <w:bookmarkStart w:id="577" w:name="DESCRIPTOR265"/>
      <w:bookmarkStart w:id="578" w:name="DESCRIPTOR266"/>
      <w:bookmarkStart w:id="579" w:name="DESCRIPTOR267"/>
      <w:bookmarkStart w:id="580" w:name="DESCRIPTOR268"/>
      <w:bookmarkStart w:id="581" w:name="DESCRIPTOR269"/>
      <w:bookmarkStart w:id="582" w:name="DESCRIPTOR270"/>
      <w:bookmarkStart w:id="583" w:name="DESCRIPTOR271"/>
      <w:bookmarkStart w:id="584" w:name="DESCRIPTOR272"/>
      <w:bookmarkStart w:id="585" w:name="DESCRIPTOR273"/>
      <w:bookmarkStart w:id="586" w:name="DESCRIPTOR274"/>
      <w:bookmarkStart w:id="587" w:name="DESCRIPTOR275"/>
      <w:bookmarkStart w:id="588" w:name="DESCRIPTOR276"/>
      <w:bookmarkStart w:id="589" w:name="DESCRIPTOR277"/>
      <w:bookmarkStart w:id="590" w:name="DESCRIPTOR278"/>
      <w:bookmarkStart w:id="591" w:name="DESCRIPTOR279"/>
      <w:bookmarkStart w:id="592" w:name="DESCRIPTOR280"/>
      <w:bookmarkStart w:id="593" w:name="DESCRIPTOR281"/>
      <w:bookmarkStart w:id="594" w:name="DESCRIPTOR282"/>
      <w:bookmarkStart w:id="595" w:name="DESCRIPTOR283"/>
      <w:bookmarkStart w:id="596" w:name="DESCRIPTOR284"/>
      <w:bookmarkStart w:id="597" w:name="DESCRIPTOR285"/>
      <w:bookmarkStart w:id="598" w:name="DESCRIPTOR286"/>
      <w:bookmarkStart w:id="599" w:name="DESCRIPTOR287"/>
      <w:bookmarkStart w:id="600" w:name="DESCRIPTOR288"/>
      <w:bookmarkStart w:id="601" w:name="DESCRIPTOR289"/>
      <w:bookmarkStart w:id="602" w:name="DESCRIPTOR290"/>
      <w:bookmarkStart w:id="603" w:name="DESCRIPTOR291"/>
      <w:bookmarkStart w:id="604" w:name="DESCRIPTOR292"/>
      <w:bookmarkStart w:id="605" w:name="DESCRIPTOR293"/>
      <w:bookmarkStart w:id="606" w:name="DESCRIPTOR294"/>
      <w:bookmarkStart w:id="607" w:name="DESCRIPTOR295"/>
      <w:bookmarkStart w:id="608" w:name="DESCRIPTOR296"/>
      <w:bookmarkStart w:id="609" w:name="DESCRIPTOR297"/>
      <w:bookmarkStart w:id="610" w:name="DESCRIPTOR298"/>
      <w:bookmarkStart w:id="611" w:name="DESCRIPTOR299"/>
      <w:bookmarkStart w:id="612" w:name="DESCRIPTOR300"/>
      <w:bookmarkStart w:id="613" w:name="DESCRIPTOR301"/>
      <w:bookmarkStart w:id="614" w:name="DESCRIPTOR302"/>
      <w:bookmarkStart w:id="615" w:name="DESCRIPTOR303"/>
      <w:bookmarkStart w:id="616" w:name="DESCRIPTOR304"/>
      <w:bookmarkStart w:id="617" w:name="DESCRIPTOR305"/>
      <w:bookmarkStart w:id="618" w:name="DESCRIPTOR306"/>
      <w:bookmarkStart w:id="619" w:name="DESCRIPTOR307"/>
      <w:bookmarkStart w:id="620" w:name="DESCRIPTOR308"/>
      <w:bookmarkStart w:id="621" w:name="DESCRIPTOR309"/>
      <w:bookmarkStart w:id="622" w:name="DESCRIPTOR310"/>
      <w:bookmarkStart w:id="623" w:name="DESCRIPTOR311"/>
      <w:bookmarkStart w:id="624" w:name="DESCRIPTOR312"/>
      <w:bookmarkStart w:id="625" w:name="DESCRIPTOR313"/>
      <w:bookmarkStart w:id="626" w:name="DESCRIPTOR314"/>
      <w:bookmarkStart w:id="627" w:name="DESCRIPTOR315"/>
      <w:bookmarkStart w:id="628" w:name="DESCRIPTOR316"/>
      <w:bookmarkStart w:id="629" w:name="DESCRIPTOR317"/>
      <w:bookmarkStart w:id="630" w:name="DESCRIPTOR318"/>
      <w:bookmarkStart w:id="631" w:name="DESCRIPTOR319"/>
      <w:bookmarkStart w:id="632" w:name="DESCRIPTOR320"/>
      <w:bookmarkStart w:id="633" w:name="DESCRIPTOR321"/>
      <w:bookmarkStart w:id="634" w:name="DESCRIPTOR322"/>
      <w:bookmarkStart w:id="635" w:name="DESCRIPTOR323"/>
      <w:bookmarkStart w:id="636" w:name="DESCRIPTOR324"/>
      <w:bookmarkStart w:id="637" w:name="DESCRIPTOR325"/>
      <w:bookmarkStart w:id="638" w:name="DESCRIPTOR326"/>
      <w:bookmarkStart w:id="639" w:name="DESCRIPTOR327"/>
      <w:bookmarkStart w:id="640" w:name="DESCRIPTOR328"/>
      <w:bookmarkStart w:id="641" w:name="DESCRIPTOR329"/>
      <w:bookmarkStart w:id="642" w:name="DESCRIPTOR330"/>
      <w:bookmarkStart w:id="643" w:name="DESCRIPTOR331"/>
      <w:bookmarkStart w:id="644" w:name="DESCRIPTOR332"/>
      <w:bookmarkStart w:id="645" w:name="DESCRIPTOR333"/>
      <w:bookmarkStart w:id="646" w:name="DESCRIPTOR334"/>
      <w:bookmarkStart w:id="647" w:name="DESCRIPTOR335"/>
      <w:bookmarkStart w:id="648" w:name="DESCRIPTOR336"/>
      <w:bookmarkStart w:id="649" w:name="DESCRIPTOR337"/>
      <w:bookmarkStart w:id="650" w:name="DESCRIPTOR338"/>
      <w:bookmarkStart w:id="651" w:name="DESCRIPTOR339"/>
      <w:bookmarkStart w:id="652" w:name="DESCRIPTOR340"/>
      <w:bookmarkStart w:id="653" w:name="DESCRIPTOR341"/>
      <w:bookmarkStart w:id="654" w:name="DESCRIPTOR342"/>
      <w:bookmarkStart w:id="655" w:name="DESCRIPTOR343"/>
      <w:bookmarkStart w:id="656" w:name="DESCRIPTOR344"/>
      <w:bookmarkStart w:id="657" w:name="DESCRIPTOR345"/>
      <w:bookmarkStart w:id="658" w:name="DESCRIPTOR346"/>
      <w:bookmarkStart w:id="659" w:name="DESCRIPTOR347"/>
      <w:bookmarkStart w:id="660" w:name="DESCRIPTOR348"/>
      <w:bookmarkStart w:id="661" w:name="DESCRIPTOR349"/>
      <w:bookmarkStart w:id="662" w:name="DESCRIPTOR350"/>
      <w:bookmarkStart w:id="663" w:name="DESCRIPTOR351"/>
      <w:bookmarkStart w:id="664" w:name="DESCRIPTOR352"/>
      <w:bookmarkStart w:id="665" w:name="DESCRIPTOR353"/>
      <w:bookmarkStart w:id="666" w:name="DESCRIPTOR354"/>
      <w:bookmarkStart w:id="667" w:name="DESCRIPTOR355"/>
      <w:bookmarkStart w:id="668" w:name="DESCRIPTOR356"/>
      <w:bookmarkStart w:id="669" w:name="DESCRIPTOR357"/>
      <w:bookmarkStart w:id="670" w:name="DESCRIPTOR358"/>
      <w:bookmarkStart w:id="671" w:name="DESCRIPTOR359"/>
      <w:bookmarkStart w:id="672" w:name="DESCRIPTOR360"/>
      <w:bookmarkStart w:id="673" w:name="DESCRIPTOR361"/>
      <w:bookmarkStart w:id="674" w:name="DESCRIPTOR362"/>
      <w:bookmarkStart w:id="675" w:name="DESCRIPTOR363"/>
      <w:bookmarkStart w:id="676" w:name="DESCRIPTOR364"/>
      <w:bookmarkStart w:id="677" w:name="DESCRIPTOR365"/>
      <w:bookmarkStart w:id="678" w:name="DESCRIPTOR366"/>
      <w:bookmarkStart w:id="679" w:name="DESCRIPTOR367"/>
      <w:bookmarkStart w:id="680" w:name="DESCRIPTOR368"/>
      <w:bookmarkStart w:id="681" w:name="DESCRIPTOR369"/>
      <w:bookmarkStart w:id="682" w:name="DESCRIPTOR370"/>
      <w:bookmarkStart w:id="683" w:name="DESCRIPTOR371"/>
      <w:bookmarkStart w:id="684" w:name="DESCRIPTOR372"/>
      <w:bookmarkStart w:id="685" w:name="DESCRIPTOR373"/>
      <w:bookmarkStart w:id="686" w:name="DESCRIPTOR374"/>
      <w:bookmarkStart w:id="687" w:name="DESCRIPTOR375"/>
      <w:bookmarkStart w:id="688" w:name="DESCRIPTOR376"/>
      <w:bookmarkStart w:id="689" w:name="DESCRIPTOR377"/>
      <w:bookmarkStart w:id="690" w:name="DESCRIPTOR378"/>
      <w:bookmarkStart w:id="691" w:name="DESCRIPTOR379"/>
      <w:bookmarkStart w:id="692" w:name="DESCRIPTOR380"/>
      <w:bookmarkStart w:id="693" w:name="DESCRIPTOR381"/>
      <w:bookmarkStart w:id="694" w:name="DESCRIPTOR382"/>
      <w:bookmarkStart w:id="695" w:name="DESCRIPTOR383"/>
      <w:bookmarkStart w:id="696" w:name="DESCRIPTOR384"/>
      <w:bookmarkStart w:id="697" w:name="DESCRIPTOR385"/>
      <w:bookmarkStart w:id="698" w:name="DESCRIPTOR386"/>
      <w:bookmarkStart w:id="699" w:name="DESCRIPTOR387"/>
      <w:bookmarkStart w:id="700" w:name="DESCRIPTOR388"/>
      <w:bookmarkStart w:id="701" w:name="DESCRIPTOR389"/>
      <w:bookmarkStart w:id="702" w:name="DESCRIPTOR390"/>
      <w:bookmarkStart w:id="703" w:name="DESCRIPTOR391"/>
      <w:bookmarkStart w:id="704" w:name="DESCRIPTOR392"/>
      <w:bookmarkStart w:id="705" w:name="DESCRIPTOR393"/>
      <w:bookmarkStart w:id="706" w:name="DESCRIPTOR394"/>
      <w:bookmarkStart w:id="707" w:name="DESCRIPTOR395"/>
      <w:bookmarkStart w:id="708" w:name="DESCRIPTOR396"/>
      <w:bookmarkStart w:id="709" w:name="DESCRIPTOR397"/>
      <w:bookmarkStart w:id="710" w:name="DESCRIPTOR398"/>
      <w:bookmarkStart w:id="711" w:name="DESCRIPTOR399"/>
      <w:bookmarkStart w:id="712" w:name="DESCRIPTOR400"/>
      <w:bookmarkStart w:id="713" w:name="DESCRIPTOR401"/>
      <w:bookmarkStart w:id="714" w:name="DESCRIPTOR402"/>
      <w:bookmarkStart w:id="715" w:name="DESCRIPTOR403"/>
      <w:bookmarkStart w:id="716" w:name="DESCRIPTOR404"/>
      <w:bookmarkStart w:id="717" w:name="DESCRIPTOR405"/>
      <w:bookmarkStart w:id="718" w:name="DESCRIPTOR406"/>
      <w:bookmarkStart w:id="719" w:name="DESCRIPTOR407"/>
      <w:bookmarkStart w:id="720" w:name="DESCRIPTOR408"/>
      <w:bookmarkStart w:id="721" w:name="DESCRIPTOR409"/>
      <w:bookmarkStart w:id="722" w:name="DESCRIPTOR410"/>
      <w:bookmarkStart w:id="723" w:name="DESCRIPTOR411"/>
      <w:bookmarkStart w:id="724" w:name="DESCRIPTOR412"/>
      <w:bookmarkStart w:id="725" w:name="DESCRIPTOR413"/>
      <w:bookmarkStart w:id="726" w:name="DESCRIPTOR414"/>
      <w:bookmarkStart w:id="727" w:name="DESCRIPTOR415"/>
      <w:bookmarkStart w:id="728" w:name="DESCRIPTOR416"/>
      <w:bookmarkStart w:id="729" w:name="DESCRIPTOR417"/>
      <w:bookmarkStart w:id="730" w:name="DESCRIPTOR418"/>
      <w:bookmarkStart w:id="731" w:name="DESCRIPTOR419"/>
      <w:bookmarkStart w:id="732" w:name="DESCRIPTOR420"/>
      <w:bookmarkStart w:id="733" w:name="DESCRIPTOR421"/>
      <w:bookmarkStart w:id="734" w:name="DESCRIPTOR422"/>
      <w:bookmarkStart w:id="735" w:name="DESCRIPTOR423"/>
      <w:bookmarkStart w:id="736" w:name="DESCRIPTOR424"/>
      <w:bookmarkStart w:id="737" w:name="DESCRIPTOR425"/>
      <w:bookmarkStart w:id="738" w:name="DESCRIPTOR426"/>
      <w:bookmarkStart w:id="739" w:name="DESCRIPTOR427"/>
      <w:bookmarkStart w:id="740" w:name="DESCRIPTOR428"/>
      <w:bookmarkStart w:id="741" w:name="DESCRIPTOR429"/>
      <w:bookmarkStart w:id="742" w:name="DESCRIPTOR430"/>
      <w:bookmarkStart w:id="743" w:name="DESCRIPTOR431"/>
      <w:bookmarkStart w:id="744" w:name="DESCRIPTOR432"/>
      <w:bookmarkStart w:id="745" w:name="DESCRIPTOR433"/>
      <w:bookmarkStart w:id="746" w:name="DESCRIPTOR434"/>
      <w:bookmarkStart w:id="747" w:name="DESCRIPTOR435"/>
      <w:bookmarkStart w:id="748" w:name="DESCRIPTOR436"/>
      <w:bookmarkStart w:id="749" w:name="DESCRIPTOR437"/>
      <w:bookmarkStart w:id="750" w:name="DESCRIPTOR438"/>
      <w:bookmarkStart w:id="751" w:name="DESCRIPTOR439"/>
      <w:bookmarkStart w:id="752" w:name="DESCRIPTOR440"/>
      <w:bookmarkStart w:id="753" w:name="DESCRIPTOR441"/>
      <w:bookmarkStart w:id="754" w:name="DESCRIPTOR442"/>
      <w:bookmarkStart w:id="755" w:name="DESCRIPTOR443"/>
      <w:bookmarkStart w:id="756" w:name="DESCRIPTOR444"/>
      <w:bookmarkStart w:id="757" w:name="DESCRIPTOR445"/>
      <w:bookmarkStart w:id="758" w:name="DESCRIPTOR446"/>
      <w:bookmarkStart w:id="759" w:name="DESCRIPTOR447"/>
      <w:bookmarkStart w:id="760" w:name="DESCRIPTOR448"/>
      <w:bookmarkStart w:id="761" w:name="DESCRIPTOR449"/>
      <w:bookmarkStart w:id="762" w:name="DESCRIPTOR450"/>
      <w:bookmarkStart w:id="763" w:name="DESCRIPTOR451"/>
      <w:bookmarkStart w:id="764" w:name="DESCRIPTOR452"/>
      <w:bookmarkStart w:id="765" w:name="DESCRIPTOR453"/>
      <w:bookmarkStart w:id="766" w:name="DESCRIPTOR454"/>
      <w:bookmarkStart w:id="767" w:name="DESCRIPTOR455"/>
      <w:bookmarkStart w:id="768" w:name="DESCRIPTOR456"/>
      <w:bookmarkStart w:id="769" w:name="DESCRIPTOR457"/>
      <w:bookmarkStart w:id="770" w:name="DESCRIPTOR458"/>
      <w:bookmarkStart w:id="771" w:name="DESCRIPTOR459"/>
      <w:bookmarkStart w:id="772" w:name="DESCRIPTOR460"/>
      <w:bookmarkStart w:id="773" w:name="DESCRIPTOR461"/>
      <w:bookmarkStart w:id="774" w:name="DESCRIPTOR462"/>
      <w:bookmarkStart w:id="775" w:name="DESCRIPTOR463"/>
      <w:bookmarkStart w:id="776" w:name="DESCRIPTOR464"/>
      <w:bookmarkStart w:id="777" w:name="DESCRIPTOR465"/>
      <w:bookmarkStart w:id="778" w:name="DESCRIPTOR466"/>
      <w:bookmarkStart w:id="779" w:name="DESCRIPTOR467"/>
      <w:bookmarkStart w:id="780" w:name="DESCRIPTOR468"/>
      <w:bookmarkStart w:id="781" w:name="DESCRIPTOR469"/>
      <w:bookmarkStart w:id="782" w:name="DESCRIPTOR470"/>
      <w:bookmarkStart w:id="783" w:name="DESCRIPTOR471"/>
      <w:bookmarkStart w:id="784" w:name="DESCRIPTOR472"/>
      <w:bookmarkStart w:id="785" w:name="DESCRIPTOR473"/>
      <w:bookmarkStart w:id="786" w:name="DESCRIPTOR474"/>
      <w:bookmarkStart w:id="787" w:name="DESCRIPTOR475"/>
      <w:bookmarkStart w:id="788" w:name="DESCRIPTOR476"/>
      <w:bookmarkStart w:id="789" w:name="DESCRIPTOR477"/>
      <w:bookmarkStart w:id="790" w:name="DESCRIPTOR478"/>
      <w:bookmarkStart w:id="791" w:name="DESCRIPTOR479"/>
      <w:bookmarkStart w:id="792" w:name="DESCRIPTOR480"/>
      <w:bookmarkStart w:id="793" w:name="DESCRIPTOR481"/>
      <w:bookmarkStart w:id="794" w:name="DESCRIPTOR482"/>
      <w:bookmarkStart w:id="795" w:name="DESCRIPTOR483"/>
      <w:bookmarkStart w:id="796" w:name="DESCRIPTOR484"/>
      <w:bookmarkStart w:id="797" w:name="DESCRIPTOR485"/>
      <w:bookmarkStart w:id="798" w:name="DESCRIPTOR486"/>
      <w:bookmarkStart w:id="799" w:name="DESCRIPTOR487"/>
      <w:bookmarkStart w:id="800" w:name="DESCRIPTOR488"/>
      <w:bookmarkStart w:id="801" w:name="DESCRIPTOR489"/>
      <w:bookmarkStart w:id="802" w:name="DESCRIPTOR490"/>
      <w:bookmarkStart w:id="803" w:name="DESCRIPTOR491"/>
      <w:bookmarkStart w:id="804" w:name="DESCRIPTOR492"/>
      <w:bookmarkStart w:id="805" w:name="DESCRIPTOR493"/>
      <w:bookmarkStart w:id="806" w:name="DESCRIPTOR494"/>
      <w:bookmarkStart w:id="807" w:name="DESCRIPTOR495"/>
      <w:bookmarkStart w:id="808" w:name="DESCRIPTOR496"/>
      <w:bookmarkStart w:id="809" w:name="DESCRIPTOR497"/>
      <w:bookmarkStart w:id="810" w:name="DESCRIPTOR498"/>
      <w:bookmarkStart w:id="811" w:name="DESCRIPTOR499"/>
      <w:bookmarkStart w:id="812" w:name="DESCRIPTOR500"/>
      <w:bookmarkStart w:id="813" w:name="DESCRIPTOR501"/>
      <w:bookmarkStart w:id="814" w:name="DESCRIPTOR502"/>
      <w:bookmarkStart w:id="815" w:name="DESCRIPTOR503"/>
      <w:bookmarkStart w:id="816" w:name="DESCRIPTOR504"/>
      <w:bookmarkStart w:id="817" w:name="DESCRIPTOR505"/>
      <w:bookmarkStart w:id="818" w:name="DESCRIPTOR506"/>
      <w:bookmarkStart w:id="819" w:name="DESCRIPTOR507"/>
      <w:bookmarkStart w:id="820" w:name="DESCRIPTOR508"/>
      <w:bookmarkStart w:id="821" w:name="DESCRIPTOR509"/>
      <w:bookmarkStart w:id="822" w:name="DESCRIPTOR510"/>
      <w:bookmarkStart w:id="823" w:name="DESCRIPTOR511"/>
      <w:bookmarkStart w:id="824" w:name="DESCRIPTOR512"/>
      <w:bookmarkStart w:id="825" w:name="DESCRIPTOR513"/>
      <w:bookmarkStart w:id="826" w:name="DESCRIPTOR514"/>
      <w:bookmarkStart w:id="827" w:name="DESCRIPTOR515"/>
      <w:bookmarkStart w:id="828" w:name="DESCRIPTOR516"/>
      <w:bookmarkStart w:id="829" w:name="DESCRIPTOR517"/>
      <w:bookmarkStart w:id="830" w:name="DESCRIPTOR518"/>
      <w:bookmarkStart w:id="831" w:name="DESCRIPTOR519"/>
      <w:bookmarkStart w:id="832" w:name="DESCRIPTOR520"/>
      <w:bookmarkStart w:id="833" w:name="DESCRIPTOR521"/>
      <w:bookmarkStart w:id="834" w:name="DESCRIPTOR522"/>
      <w:bookmarkStart w:id="835" w:name="DESCRIPTOR523"/>
      <w:bookmarkStart w:id="836" w:name="DESCRIPTOR524"/>
      <w:bookmarkStart w:id="837" w:name="DESCRIPTOR525"/>
      <w:bookmarkStart w:id="838" w:name="DESCRIPTOR526"/>
      <w:bookmarkStart w:id="839" w:name="DESCRIPTOR527"/>
      <w:bookmarkStart w:id="840" w:name="DESCRIPTOR528"/>
      <w:bookmarkStart w:id="841" w:name="DESCRIPTOR529"/>
      <w:bookmarkStart w:id="842" w:name="DESCRIPTOR530"/>
      <w:bookmarkStart w:id="843" w:name="DESCRIPTOR531"/>
      <w:bookmarkStart w:id="844" w:name="DESCRIPTOR532"/>
      <w:bookmarkStart w:id="845" w:name="DESCRIPTOR533"/>
      <w:bookmarkStart w:id="846" w:name="DESCRIPTOR534"/>
      <w:bookmarkStart w:id="847" w:name="DESCRIPTOR535"/>
      <w:bookmarkStart w:id="848" w:name="DESCRIPTOR536"/>
      <w:bookmarkStart w:id="849" w:name="DESCRIPTOR537"/>
      <w:bookmarkStart w:id="850" w:name="DESCRIPTOR538"/>
      <w:bookmarkStart w:id="851" w:name="DESCRIPTOR539"/>
      <w:bookmarkStart w:id="852" w:name="DESCRIPTOR540"/>
      <w:bookmarkStart w:id="853" w:name="DESCRIPTOR541"/>
      <w:bookmarkStart w:id="854" w:name="DESCRIPTOR542"/>
      <w:bookmarkStart w:id="855" w:name="DESCRIPTOR543"/>
      <w:bookmarkStart w:id="856" w:name="DESCRIPTOR544"/>
      <w:bookmarkStart w:id="857" w:name="DESCRIPTOR545"/>
      <w:bookmarkStart w:id="858" w:name="DESCRIPTOR546"/>
      <w:bookmarkStart w:id="859" w:name="DESCRIPTOR547"/>
      <w:bookmarkStart w:id="860" w:name="DESCRIPTOR548"/>
      <w:bookmarkStart w:id="861" w:name="DESCRIPTOR549"/>
      <w:bookmarkStart w:id="862" w:name="DESCRIPTOR550"/>
      <w:bookmarkStart w:id="863" w:name="DESCRIPTOR551"/>
      <w:bookmarkStart w:id="864" w:name="DESCRIPTOR552"/>
      <w:bookmarkStart w:id="865" w:name="DESCRIPTOR553"/>
      <w:bookmarkStart w:id="866" w:name="DESCRIPTOR554"/>
      <w:bookmarkStart w:id="867" w:name="DESCRIPTOR555"/>
      <w:bookmarkStart w:id="868" w:name="DESCRIPTOR556"/>
      <w:bookmarkStart w:id="869" w:name="DESCRIPTOR557"/>
      <w:bookmarkStart w:id="870" w:name="DESCRIPTOR558"/>
      <w:bookmarkStart w:id="871" w:name="DESCRIPTOR559"/>
      <w:bookmarkStart w:id="872" w:name="DESCRIPTOR560"/>
      <w:bookmarkStart w:id="873" w:name="DESCRIPTOR561"/>
      <w:bookmarkStart w:id="874" w:name="DESCRIPTOR562"/>
      <w:bookmarkStart w:id="875" w:name="DESCRIPTOR563"/>
      <w:bookmarkStart w:id="876" w:name="DESCRIPTOR564"/>
      <w:bookmarkStart w:id="877" w:name="DESCRIPTOR565"/>
      <w:bookmarkStart w:id="878" w:name="DESCRIPTOR566"/>
      <w:bookmarkStart w:id="879" w:name="DESCRIPTOR567"/>
      <w:bookmarkStart w:id="880" w:name="DESCRIPTOR568"/>
      <w:bookmarkStart w:id="881" w:name="DESCRIPTOR569"/>
      <w:bookmarkStart w:id="882" w:name="DESCRIPTOR570"/>
      <w:bookmarkStart w:id="883" w:name="DESCRIPTOR571"/>
      <w:bookmarkStart w:id="884" w:name="DESCRIPTOR572"/>
      <w:bookmarkStart w:id="885" w:name="DESCRIPTOR573"/>
      <w:bookmarkStart w:id="886" w:name="DESCRIPTOR574"/>
      <w:bookmarkStart w:id="887" w:name="DESCRIPTOR575"/>
      <w:bookmarkStart w:id="888" w:name="DESCRIPTOR576"/>
      <w:bookmarkStart w:id="889" w:name="DESCRIPTOR577"/>
      <w:bookmarkStart w:id="890" w:name="DESCRIPTOR578"/>
      <w:bookmarkStart w:id="891" w:name="DESCRIPTOR579"/>
      <w:bookmarkStart w:id="892" w:name="DESCRIPTOR580"/>
      <w:bookmarkStart w:id="893" w:name="DESCRIPTOR581"/>
      <w:bookmarkStart w:id="894" w:name="DESCRIPTOR582"/>
      <w:bookmarkStart w:id="895" w:name="DESCRIPTOR583"/>
      <w:bookmarkStart w:id="896" w:name="DESCRIPTOR584"/>
      <w:bookmarkStart w:id="897" w:name="DESCRIPTOR585"/>
      <w:bookmarkStart w:id="898" w:name="DESCRIPTOR586"/>
      <w:bookmarkStart w:id="899" w:name="DESCRIPTOR587"/>
      <w:bookmarkStart w:id="900" w:name="DESCRIPTOR588"/>
      <w:bookmarkStart w:id="901" w:name="DESCRIPTOR589"/>
      <w:bookmarkStart w:id="902" w:name="DESCRIPTOR590"/>
      <w:bookmarkStart w:id="903" w:name="DESCRIPTOR591"/>
      <w:bookmarkStart w:id="904" w:name="DESCRIPTOR592"/>
      <w:bookmarkStart w:id="905" w:name="DESCRIPTOR593"/>
      <w:bookmarkStart w:id="906" w:name="DESCRIPTOR594"/>
      <w:bookmarkStart w:id="907" w:name="DESCRIPTOR595"/>
      <w:bookmarkStart w:id="908" w:name="DESCRIPTOR596"/>
      <w:bookmarkStart w:id="909" w:name="DESCRIPTOR597"/>
      <w:bookmarkStart w:id="910" w:name="DESCRIPTOR598"/>
      <w:bookmarkStart w:id="911" w:name="DESCRIPTOR599"/>
      <w:bookmarkStart w:id="912" w:name="DESCRIPTOR600"/>
      <w:bookmarkStart w:id="913" w:name="DESCRIPTOR601"/>
      <w:bookmarkStart w:id="914" w:name="DESCRIPTOR602"/>
      <w:bookmarkStart w:id="915" w:name="DESCRIPTOR603"/>
      <w:bookmarkStart w:id="916" w:name="DESCRIPTOR604"/>
      <w:bookmarkStart w:id="917" w:name="DESCRIPTOR605"/>
      <w:bookmarkStart w:id="918" w:name="DESCRIPTOR606"/>
      <w:bookmarkStart w:id="919" w:name="DESCRIPTOR607"/>
      <w:bookmarkStart w:id="920" w:name="DESCRIPTOR608"/>
      <w:bookmarkStart w:id="921" w:name="DESCRIPTOR609"/>
      <w:bookmarkStart w:id="922" w:name="DESCRIPTOR610"/>
      <w:bookmarkStart w:id="923" w:name="DESCRIPTOR611"/>
      <w:bookmarkStart w:id="924" w:name="DESCRIPTOR612"/>
      <w:bookmarkStart w:id="925" w:name="DESCRIPTOR613"/>
      <w:bookmarkStart w:id="926" w:name="DESCRIPTOR614"/>
      <w:bookmarkStart w:id="927" w:name="DESCRIPTOR615"/>
      <w:bookmarkStart w:id="928" w:name="DESCRIPTOR616"/>
      <w:bookmarkStart w:id="929" w:name="DESCRIPTOR617"/>
      <w:bookmarkStart w:id="930" w:name="DESCRIPTOR618"/>
      <w:bookmarkStart w:id="931" w:name="DESCRIPTOR619"/>
      <w:bookmarkStart w:id="932" w:name="DESCRIPTOR620"/>
      <w:bookmarkStart w:id="933" w:name="DESCRIPTOR621"/>
      <w:bookmarkStart w:id="934" w:name="DESCRIPTOR622"/>
      <w:bookmarkStart w:id="935" w:name="DESCRIPTOR623"/>
      <w:bookmarkStart w:id="936" w:name="DESCRIPTOR624"/>
      <w:bookmarkStart w:id="937" w:name="DESCRIPTOR625"/>
      <w:bookmarkStart w:id="938" w:name="DESCRIPTOR626"/>
      <w:bookmarkStart w:id="939" w:name="DESCRIPTOR627"/>
      <w:bookmarkStart w:id="940" w:name="DESCRIPTOR628"/>
      <w:bookmarkStart w:id="941" w:name="DESCRIPTOR629"/>
      <w:bookmarkStart w:id="942" w:name="DESCRIPTOR630"/>
      <w:bookmarkStart w:id="943" w:name="DESCRIPTOR631"/>
      <w:bookmarkStart w:id="944" w:name="DESCRIPTOR632"/>
      <w:bookmarkStart w:id="945" w:name="DESCRIPTOR633"/>
      <w:bookmarkStart w:id="946" w:name="DESCRIPTOR634"/>
      <w:bookmarkStart w:id="947" w:name="DESCRIPTOR635"/>
      <w:bookmarkStart w:id="948" w:name="DESCRIPTOR636"/>
      <w:bookmarkStart w:id="949" w:name="DESCRIPTOR637"/>
      <w:bookmarkStart w:id="950" w:name="DESCRIPTOR638"/>
      <w:bookmarkStart w:id="951" w:name="DESCRIPTOR639"/>
      <w:bookmarkStart w:id="952" w:name="DESCRIPTOR640"/>
      <w:bookmarkStart w:id="953" w:name="DESCRIPTOR641"/>
      <w:bookmarkStart w:id="954" w:name="DESCRIPTOR642"/>
      <w:bookmarkStart w:id="955" w:name="DESCRIPTOR643"/>
      <w:bookmarkStart w:id="956" w:name="DESCRIPTOR644"/>
      <w:bookmarkStart w:id="957" w:name="DESCRIPTOR645"/>
      <w:bookmarkStart w:id="958" w:name="DESCRIPTOR646"/>
      <w:bookmarkStart w:id="959" w:name="DESCRIPTOR647"/>
      <w:bookmarkStart w:id="960" w:name="DESCRIPTOR648"/>
      <w:bookmarkStart w:id="961" w:name="DESCRIPTOR649"/>
      <w:bookmarkStart w:id="962" w:name="DESCRIPTOR650"/>
      <w:bookmarkStart w:id="963" w:name="DESCRIPTOR651"/>
      <w:bookmarkStart w:id="964" w:name="DESCRIPTOR652"/>
      <w:bookmarkStart w:id="965" w:name="DESCRIPTOR653"/>
      <w:bookmarkStart w:id="966" w:name="DESCRIPTOR654"/>
      <w:bookmarkStart w:id="967" w:name="DESCRIPTOR655"/>
      <w:bookmarkStart w:id="968" w:name="DESCRIPTOR656"/>
      <w:bookmarkStart w:id="969" w:name="DESCRIPTOR657"/>
      <w:bookmarkStart w:id="970" w:name="DESCRIPTOR658"/>
      <w:bookmarkStart w:id="971" w:name="DESCRIPTOR659"/>
      <w:bookmarkStart w:id="972" w:name="DESCRIPTOR660"/>
      <w:bookmarkStart w:id="973" w:name="DESCRIPTOR661"/>
      <w:bookmarkStart w:id="974" w:name="DESCRIPTOR662"/>
      <w:bookmarkStart w:id="975" w:name="DESCRIPTOR663"/>
      <w:bookmarkStart w:id="976" w:name="DESCRIPTOR664"/>
      <w:bookmarkStart w:id="977" w:name="DESCRIPTOR665"/>
      <w:bookmarkStart w:id="978" w:name="DESCRIPTOR666"/>
      <w:bookmarkStart w:id="979" w:name="DESCRIPTOR667"/>
      <w:bookmarkStart w:id="980" w:name="DESCRIPTOR668"/>
      <w:bookmarkStart w:id="981" w:name="DESCRIPTOR669"/>
      <w:bookmarkStart w:id="982" w:name="DESCRIPTOR670"/>
      <w:bookmarkStart w:id="983" w:name="DESCRIPTOR671"/>
      <w:bookmarkStart w:id="984" w:name="DESCRIPTOR672"/>
      <w:bookmarkStart w:id="985" w:name="DESCRIPTOR673"/>
      <w:bookmarkStart w:id="986" w:name="DESCRIPTOR674"/>
      <w:bookmarkStart w:id="987" w:name="DESCRIPTOR675"/>
      <w:bookmarkStart w:id="988" w:name="DESCRIPTOR676"/>
      <w:bookmarkStart w:id="989" w:name="DESCRIPTOR677"/>
      <w:bookmarkStart w:id="990" w:name="DESCRIPTOR678"/>
      <w:bookmarkStart w:id="991" w:name="DESCRIPTOR679"/>
      <w:bookmarkStart w:id="992" w:name="DESCRIPTOR680"/>
      <w:bookmarkStart w:id="993" w:name="DESCRIPTOR681"/>
      <w:bookmarkStart w:id="994" w:name="DESCRIPTOR682"/>
      <w:bookmarkStart w:id="995" w:name="DESCRIPTOR683"/>
      <w:bookmarkStart w:id="996" w:name="DESCRIPTOR684"/>
      <w:bookmarkStart w:id="997" w:name="DESCRIPTOR685"/>
      <w:bookmarkStart w:id="998" w:name="DESCRIPTOR686"/>
      <w:bookmarkStart w:id="999" w:name="DESCRIPTOR687"/>
      <w:bookmarkStart w:id="1000" w:name="DESCRIPTOR688"/>
      <w:bookmarkStart w:id="1001" w:name="DESCRIPTOR689"/>
      <w:bookmarkStart w:id="1002" w:name="DESCRIPTOR690"/>
      <w:bookmarkStart w:id="1003" w:name="DESCRIPTOR691"/>
      <w:bookmarkStart w:id="1004" w:name="DESCRIPTOR692"/>
      <w:bookmarkStart w:id="1005" w:name="DESCRIPTOR693"/>
      <w:bookmarkStart w:id="1006" w:name="DESCRIPTOR694"/>
      <w:bookmarkStart w:id="1007" w:name="DESCRIPTOR695"/>
      <w:bookmarkStart w:id="1008" w:name="DESCRIPTOR696"/>
      <w:bookmarkStart w:id="1009" w:name="DESCRIPTOR697"/>
      <w:bookmarkStart w:id="1010" w:name="DESCRIPTOR698"/>
      <w:bookmarkStart w:id="1011" w:name="DESCRIPTOR699"/>
      <w:bookmarkStart w:id="1012" w:name="DESCRIPTOR700"/>
      <w:bookmarkStart w:id="1013" w:name="DESCRIPTOR701"/>
      <w:bookmarkStart w:id="1014" w:name="DESCRIPTOR702"/>
      <w:bookmarkStart w:id="1015" w:name="DESCRIPTOR703"/>
      <w:bookmarkStart w:id="1016" w:name="DESCRIPTOR704"/>
      <w:bookmarkStart w:id="1017" w:name="DESCRIPTOR705"/>
      <w:bookmarkStart w:id="1018" w:name="DESCRIPTOR706"/>
      <w:bookmarkStart w:id="1019" w:name="DESCRIPTOR707"/>
      <w:bookmarkStart w:id="1020" w:name="DESCRIPTOR708"/>
      <w:bookmarkStart w:id="1021" w:name="DESCRIPTOR709"/>
      <w:bookmarkStart w:id="1022" w:name="DESCRIPTOR710"/>
      <w:bookmarkStart w:id="1023" w:name="DESCRIPTOR711"/>
      <w:bookmarkStart w:id="1024" w:name="DESCRIPTOR712"/>
      <w:bookmarkStart w:id="1025" w:name="DESCRIPTOR713"/>
      <w:bookmarkStart w:id="1026" w:name="DESCRIPTOR714"/>
      <w:bookmarkStart w:id="1027" w:name="DESCRIPTOR715"/>
      <w:bookmarkStart w:id="1028" w:name="DESCRIPTOR716"/>
      <w:bookmarkStart w:id="1029" w:name="DESCRIPTOR717"/>
      <w:bookmarkStart w:id="1030" w:name="DESCRIPTOR718"/>
      <w:bookmarkStart w:id="1031" w:name="DESCRIPTOR719"/>
      <w:bookmarkStart w:id="1032" w:name="DESCRIPTOR720"/>
      <w:bookmarkStart w:id="1033" w:name="DESCRIPTOR721"/>
      <w:bookmarkStart w:id="1034" w:name="DESCRIPTOR722"/>
      <w:bookmarkStart w:id="1035" w:name="DESCRIPTOR723"/>
      <w:bookmarkStart w:id="1036" w:name="DESCRIPTOR724"/>
      <w:bookmarkStart w:id="1037" w:name="DESCRIPTOR725"/>
      <w:bookmarkStart w:id="1038" w:name="DESCRIPTOR726"/>
      <w:bookmarkStart w:id="1039" w:name="DESCRIPTOR727"/>
      <w:bookmarkStart w:id="1040" w:name="DESCRIPTOR728"/>
      <w:bookmarkStart w:id="1041" w:name="DESCRIPTOR729"/>
      <w:bookmarkStart w:id="1042" w:name="DESCRIPTOR730"/>
      <w:bookmarkStart w:id="1043" w:name="DESCRIPTOR731"/>
      <w:bookmarkStart w:id="1044" w:name="DESCRIPTOR732"/>
      <w:bookmarkStart w:id="1045" w:name="DESCRIPTOR733"/>
      <w:bookmarkStart w:id="1046" w:name="DESCRIPTOR734"/>
      <w:bookmarkStart w:id="1047" w:name="DESCRIPTOR735"/>
      <w:bookmarkStart w:id="1048" w:name="DESCRIPTOR736"/>
      <w:bookmarkStart w:id="1049" w:name="DESCRIPTOR737"/>
      <w:bookmarkStart w:id="1050" w:name="DESCRIPTOR738"/>
      <w:bookmarkStart w:id="1051" w:name="DESCRIPTOR739"/>
      <w:bookmarkStart w:id="1052" w:name="DESCRIPTOR740"/>
      <w:bookmarkStart w:id="1053" w:name="DESCRIPTOR741"/>
      <w:bookmarkStart w:id="1054" w:name="DESCRIPTOR742"/>
      <w:bookmarkStart w:id="1055" w:name="DESCRIPTOR743"/>
      <w:bookmarkStart w:id="1056" w:name="DESCRIPTOR744"/>
      <w:bookmarkStart w:id="1057" w:name="DESCRIPTOR745"/>
      <w:bookmarkStart w:id="1058" w:name="DESCRIPTOR746"/>
      <w:bookmarkStart w:id="1059" w:name="DESCRIPTOR747"/>
      <w:bookmarkStart w:id="1060" w:name="DESCRIPTOR748"/>
      <w:bookmarkStart w:id="1061" w:name="DESCRIPTOR749"/>
      <w:bookmarkStart w:id="1062" w:name="DESCRIPTOR750"/>
      <w:bookmarkStart w:id="1063" w:name="DESCRIPTOR751"/>
      <w:bookmarkStart w:id="1064" w:name="DESCRIPTOR752"/>
      <w:bookmarkStart w:id="1065" w:name="DESCRIPTOR753"/>
      <w:bookmarkStart w:id="1066" w:name="DESCRIPTOR754"/>
      <w:bookmarkStart w:id="1067" w:name="DESCRIPTOR755"/>
      <w:bookmarkStart w:id="1068" w:name="DESCRIPTOR756"/>
      <w:bookmarkStart w:id="1069" w:name="DESCRIPTOR757"/>
      <w:bookmarkStart w:id="1070" w:name="DESCRIPTOR758"/>
      <w:bookmarkStart w:id="1071" w:name="DESCRIPTOR759"/>
      <w:bookmarkStart w:id="1072" w:name="DESCRIPTOR760"/>
      <w:bookmarkStart w:id="1073" w:name="DESCRIPTOR761"/>
      <w:bookmarkStart w:id="1074" w:name="DESCRIPTOR762"/>
      <w:bookmarkStart w:id="1075" w:name="DESCRIPTOR763"/>
      <w:bookmarkStart w:id="1076" w:name="DESCRIPTOR764"/>
      <w:bookmarkStart w:id="1077" w:name="DESCRIPTOR765"/>
      <w:bookmarkStart w:id="1078" w:name="DESCRIPTOR766"/>
      <w:bookmarkStart w:id="1079" w:name="DESCRIPTOR767"/>
      <w:bookmarkStart w:id="1080" w:name="DESCRIPTOR768"/>
      <w:bookmarkStart w:id="1081" w:name="DESCRIPTOR769"/>
      <w:bookmarkStart w:id="1082" w:name="DESCRIPTOR770"/>
      <w:bookmarkStart w:id="1083" w:name="DESCRIPTOR771"/>
      <w:bookmarkStart w:id="1084" w:name="DESCRIPTOR772"/>
      <w:bookmarkStart w:id="1085" w:name="DESCRIPTOR773"/>
      <w:bookmarkStart w:id="1086" w:name="DESCRIPTOR774"/>
      <w:bookmarkStart w:id="1087" w:name="DESCRIPTOR775"/>
      <w:bookmarkStart w:id="1088" w:name="DESCRIPTOR776"/>
      <w:bookmarkStart w:id="1089" w:name="DESCRIPTOR777"/>
      <w:bookmarkStart w:id="1090" w:name="DESCRIPTOR778"/>
      <w:bookmarkStart w:id="1091" w:name="DESCRIPTOR779"/>
      <w:bookmarkStart w:id="1092" w:name="DESCRIPTOR780"/>
      <w:bookmarkStart w:id="1093" w:name="DESCRIPTOR781"/>
      <w:bookmarkStart w:id="1094" w:name="DESCRIPTOR782"/>
      <w:bookmarkStart w:id="1095" w:name="DESCRIPTOR783"/>
      <w:bookmarkStart w:id="1096" w:name="DESCRIPTOR784"/>
      <w:bookmarkStart w:id="1097" w:name="DESCRIPTOR785"/>
      <w:bookmarkStart w:id="1098" w:name="DESCRIPTOR786"/>
      <w:bookmarkStart w:id="1099" w:name="DESCRIPTOR787"/>
      <w:bookmarkStart w:id="1100" w:name="DESCRIPTOR788"/>
      <w:bookmarkStart w:id="1101" w:name="DESCRIPTOR789"/>
      <w:bookmarkStart w:id="1102" w:name="DESCRIPTOR790"/>
      <w:bookmarkStart w:id="1103" w:name="DESCRIPTOR791"/>
      <w:bookmarkStart w:id="1104" w:name="DESCRIPTOR792"/>
      <w:bookmarkStart w:id="1105" w:name="DESCRIPTOR793"/>
      <w:bookmarkStart w:id="1106" w:name="DESCRIPTOR794"/>
      <w:bookmarkStart w:id="1107" w:name="DESCRIPTOR795"/>
      <w:bookmarkStart w:id="1108" w:name="DESCRIPTOR796"/>
      <w:bookmarkStart w:id="1109" w:name="DESCRIPTOR797"/>
      <w:bookmarkStart w:id="1110" w:name="DESCRIPTOR798"/>
      <w:bookmarkStart w:id="1111" w:name="DESCRIPTOR799"/>
      <w:bookmarkStart w:id="1112" w:name="DESCRIPTOR800"/>
      <w:bookmarkStart w:id="1113" w:name="DESCRIPTOR801"/>
      <w:bookmarkStart w:id="1114" w:name="DESCRIPTOR802"/>
      <w:bookmarkStart w:id="1115" w:name="DESCRIPTOR803"/>
      <w:bookmarkStart w:id="1116" w:name="DESCRIPTOR804"/>
      <w:bookmarkStart w:id="1117" w:name="DESCRIPTOR805"/>
      <w:bookmarkStart w:id="1118" w:name="DESCRIPTOR806"/>
      <w:bookmarkStart w:id="1119" w:name="DESCRIPTOR807"/>
      <w:bookmarkStart w:id="1120" w:name="DESCRIPTOR808"/>
      <w:bookmarkStart w:id="1121" w:name="DESCRIPTOR809"/>
      <w:bookmarkStart w:id="1122" w:name="DESCRIPTOR810"/>
      <w:bookmarkStart w:id="1123" w:name="DESCRIPTOR811"/>
      <w:bookmarkStart w:id="1124" w:name="DESCRIPTOR812"/>
      <w:bookmarkStart w:id="1125" w:name="DESCRIPTOR813"/>
      <w:bookmarkStart w:id="1126" w:name="DESCRIPTOR814"/>
      <w:bookmarkStart w:id="1127" w:name="DESCRIPTOR815"/>
      <w:bookmarkStart w:id="1128" w:name="DESCRIPTOR816"/>
      <w:bookmarkStart w:id="1129" w:name="DESCRIPTOR817"/>
      <w:bookmarkStart w:id="1130" w:name="DESCRIPTOR818"/>
      <w:bookmarkStart w:id="1131" w:name="DESCRIPTOR819"/>
      <w:bookmarkStart w:id="1132" w:name="DESCRIPTOR820"/>
      <w:bookmarkStart w:id="1133" w:name="DESCRIPTOR821"/>
      <w:bookmarkStart w:id="1134" w:name="DESCRIPTOR822"/>
      <w:bookmarkStart w:id="1135" w:name="DESCRIPTOR823"/>
      <w:bookmarkStart w:id="1136" w:name="DESCRIPTOR824"/>
      <w:bookmarkStart w:id="1137" w:name="DESCRIPTOR825"/>
      <w:bookmarkStart w:id="1138" w:name="DESCRIPTOR826"/>
      <w:bookmarkStart w:id="1139" w:name="DESCRIPTOR827"/>
      <w:bookmarkStart w:id="1140" w:name="DESCRIPTOR828"/>
      <w:bookmarkStart w:id="1141" w:name="DESCRIPTOR829"/>
      <w:bookmarkStart w:id="1142" w:name="DESCRIPTOR830"/>
      <w:bookmarkStart w:id="1143" w:name="DESCRIPTOR831"/>
      <w:bookmarkStart w:id="1144" w:name="DESCRIPTOR832"/>
      <w:bookmarkStart w:id="1145" w:name="DESCRIPTOR833"/>
      <w:bookmarkStart w:id="1146" w:name="DESCRIPTOR834"/>
      <w:bookmarkStart w:id="1147" w:name="DESCRIPTOR835"/>
      <w:bookmarkStart w:id="1148" w:name="DESCRIPTOR836"/>
      <w:bookmarkStart w:id="1149" w:name="DESCRIPTOR837"/>
      <w:bookmarkStart w:id="1150" w:name="DESCRIPTOR838"/>
      <w:bookmarkStart w:id="1151" w:name="DESCRIPTOR839"/>
      <w:bookmarkStart w:id="1152" w:name="DESCRIPTOR840"/>
      <w:bookmarkStart w:id="1153" w:name="DESCRIPTOR841"/>
      <w:bookmarkStart w:id="1154" w:name="DESCRIPTOR842"/>
      <w:bookmarkStart w:id="1155" w:name="DESCRIPTOR843"/>
      <w:bookmarkStart w:id="1156" w:name="DESCRIPTOR844"/>
      <w:bookmarkStart w:id="1157" w:name="DESCRIPTOR845"/>
      <w:bookmarkStart w:id="1158" w:name="DESCRIPTOR846"/>
      <w:bookmarkStart w:id="1159" w:name="DESCRIPTOR847"/>
      <w:bookmarkStart w:id="1160" w:name="DESCRIPTOR848"/>
      <w:bookmarkStart w:id="1161" w:name="DESCRIPTOR849"/>
      <w:bookmarkStart w:id="1162" w:name="DESCRIPTOR850"/>
      <w:bookmarkStart w:id="1163" w:name="DESCRIPTOR851"/>
      <w:bookmarkStart w:id="1164" w:name="DESCRIPTOR852"/>
      <w:bookmarkStart w:id="1165" w:name="DESCRIPTOR853"/>
      <w:bookmarkStart w:id="1166" w:name="DESCRIPTOR854"/>
      <w:bookmarkStart w:id="1167" w:name="DESCRIPTOR855"/>
      <w:bookmarkStart w:id="1168" w:name="DESCRIPTOR856"/>
      <w:bookmarkStart w:id="1169" w:name="DESCRIPTOR857"/>
      <w:bookmarkStart w:id="1170" w:name="DESCRIPTOR858"/>
      <w:bookmarkStart w:id="1171" w:name="DESCRIPTOR859"/>
      <w:bookmarkStart w:id="1172" w:name="DESCRIPTOR860"/>
      <w:bookmarkStart w:id="1173" w:name="DESCRIPTOR861"/>
      <w:bookmarkStart w:id="1174" w:name="DESCRIPTOR862"/>
      <w:bookmarkStart w:id="1175" w:name="DESCRIPTOR863"/>
      <w:bookmarkStart w:id="1176" w:name="DESCRIPTOR864"/>
      <w:bookmarkStart w:id="1177" w:name="DESCRIPTOR865"/>
      <w:bookmarkStart w:id="1178" w:name="DESCRIPTOR866"/>
      <w:bookmarkStart w:id="1179" w:name="DESCRIPTOR867"/>
      <w:bookmarkStart w:id="1180" w:name="DESCRIPTOR868"/>
      <w:bookmarkStart w:id="1181" w:name="DESCRIPTOR869"/>
      <w:bookmarkStart w:id="1182" w:name="DESCRIPTOR870"/>
      <w:bookmarkStart w:id="1183" w:name="DESCRIPTOR871"/>
      <w:bookmarkStart w:id="1184" w:name="DESCRIPTOR872"/>
      <w:bookmarkStart w:id="1185" w:name="DESCRIPTOR873"/>
      <w:bookmarkStart w:id="1186" w:name="DESCRIPTOR874"/>
      <w:bookmarkStart w:id="1187" w:name="DESCRIPTOR875"/>
      <w:bookmarkStart w:id="1188" w:name="DESCRIPTOR876"/>
      <w:bookmarkStart w:id="1189" w:name="DESCRIPTOR877"/>
      <w:bookmarkStart w:id="1190" w:name="DESCRIPTOR878"/>
      <w:bookmarkStart w:id="1191" w:name="DESCRIPTOR879"/>
      <w:bookmarkStart w:id="1192" w:name="DESCRIPTOR880"/>
      <w:bookmarkStart w:id="1193" w:name="DESCRIPTOR881"/>
      <w:bookmarkStart w:id="1194" w:name="DESCRIPTOR882"/>
      <w:bookmarkStart w:id="1195" w:name="DESCRIPTOR883"/>
      <w:bookmarkStart w:id="1196" w:name="DESCRIPTOR884"/>
      <w:bookmarkStart w:id="1197" w:name="DESCRIPTOR885"/>
      <w:bookmarkStart w:id="1198" w:name="DESCRIPTOR886"/>
      <w:bookmarkStart w:id="1199" w:name="DESCRIPTOR887"/>
      <w:bookmarkStart w:id="1200" w:name="DESCRIPTOR888"/>
      <w:bookmarkStart w:id="1201" w:name="DESCRIPTOR889"/>
      <w:bookmarkStart w:id="1202" w:name="DESCRIPTOR890"/>
      <w:bookmarkStart w:id="1203" w:name="DESCRIPTOR891"/>
      <w:bookmarkStart w:id="1204" w:name="DESCRIPTOR892"/>
      <w:bookmarkStart w:id="1205" w:name="DESCRIPTOR893"/>
      <w:bookmarkStart w:id="1206" w:name="DESCRIPTOR894"/>
      <w:bookmarkStart w:id="1207" w:name="DESCRIPTOR895"/>
      <w:bookmarkStart w:id="1208" w:name="DESCRIPTOR896"/>
      <w:bookmarkStart w:id="1209" w:name="DESCRIPTOR897"/>
      <w:bookmarkStart w:id="1210" w:name="DESCRIPTOR898"/>
      <w:bookmarkStart w:id="1211" w:name="DESCRIPTOR899"/>
      <w:bookmarkStart w:id="1212" w:name="DESCRIPTOR900"/>
      <w:bookmarkStart w:id="1213" w:name="DESCRIPTOR901"/>
      <w:bookmarkStart w:id="1214" w:name="DESCRIPTOR902"/>
      <w:bookmarkStart w:id="1215" w:name="DESCRIPTOR903"/>
      <w:bookmarkStart w:id="1216" w:name="DESCRIPTOR904"/>
      <w:bookmarkStart w:id="1217" w:name="DESCRIPTOR905"/>
      <w:bookmarkStart w:id="1218" w:name="DESCRIPTOR906"/>
      <w:bookmarkStart w:id="1219" w:name="DESCRIPTOR907"/>
      <w:bookmarkStart w:id="1220" w:name="DESCRIPTOR908"/>
      <w:bookmarkStart w:id="1221" w:name="DESCRIPTOR909"/>
      <w:bookmarkStart w:id="1222" w:name="DESCRIPTOR910"/>
      <w:bookmarkStart w:id="1223" w:name="DESCRIPTOR911"/>
      <w:bookmarkStart w:id="1224" w:name="DESCRIPTOR912"/>
      <w:bookmarkStart w:id="1225" w:name="DESCRIPTOR913"/>
      <w:bookmarkStart w:id="1226" w:name="DESCRIPTOR914"/>
      <w:bookmarkStart w:id="1227" w:name="DESCRIPTOR915"/>
      <w:bookmarkStart w:id="1228" w:name="DESCRIPTOR916"/>
      <w:bookmarkStart w:id="1229" w:name="DESCRIPTOR917"/>
      <w:bookmarkStart w:id="1230" w:name="DESCRIPTOR918"/>
      <w:bookmarkStart w:id="1231" w:name="DESCRIPTOR919"/>
      <w:bookmarkStart w:id="1232" w:name="DESCRIPTOR920"/>
      <w:bookmarkStart w:id="1233" w:name="DESCRIPTOR921"/>
      <w:bookmarkStart w:id="1234" w:name="DESCRIPTOR922"/>
      <w:bookmarkStart w:id="1235" w:name="DESCRIPTOR923"/>
      <w:bookmarkStart w:id="1236" w:name="DESCRIPTOR924"/>
      <w:bookmarkStart w:id="1237" w:name="DESCRIPTOR925"/>
      <w:bookmarkStart w:id="1238" w:name="DESCRIPTOR926"/>
      <w:bookmarkStart w:id="1239" w:name="DESCRIPTOR927"/>
      <w:bookmarkStart w:id="1240" w:name="DESCRIPTOR928"/>
      <w:bookmarkStart w:id="1241" w:name="DESCRIPTOR929"/>
      <w:bookmarkStart w:id="1242" w:name="DESCRIPTOR930"/>
      <w:bookmarkStart w:id="1243" w:name="DESCRIPTOR931"/>
      <w:bookmarkStart w:id="1244" w:name="DESCRIPTOR932"/>
      <w:bookmarkStart w:id="1245" w:name="DESCRIPTOR933"/>
      <w:bookmarkStart w:id="1246" w:name="DESCRIPTOR934"/>
      <w:bookmarkStart w:id="1247" w:name="DESCRIPTOR935"/>
      <w:bookmarkStart w:id="1248" w:name="DESCRIPTOR936"/>
      <w:bookmarkStart w:id="1249" w:name="DESCRIPTOR937"/>
      <w:bookmarkStart w:id="1250" w:name="DESCRIPTOR938"/>
      <w:bookmarkStart w:id="1251" w:name="DESCRIPTOR939"/>
      <w:bookmarkStart w:id="1252" w:name="DESCRIPTOR940"/>
      <w:bookmarkStart w:id="1253" w:name="DESCRIPTOR941"/>
      <w:bookmarkStart w:id="1254" w:name="DESCRIPTOR942"/>
      <w:bookmarkStart w:id="1255" w:name="DESCRIPTOR943"/>
      <w:bookmarkStart w:id="1256" w:name="DESCRIPTOR944"/>
      <w:bookmarkStart w:id="1257" w:name="DESCRIPTOR945"/>
      <w:bookmarkStart w:id="1258" w:name="DESCRIPTOR946"/>
      <w:bookmarkStart w:id="1259" w:name="DESCRIPTOR947"/>
      <w:bookmarkStart w:id="1260" w:name="DESCRIPTOR948"/>
      <w:bookmarkStart w:id="1261" w:name="INDICE5ALFABETICO"/>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rsidR="00234417" w:rsidRDefault="00234417" w:rsidP="00234417">
      <w:pPr>
        <w:pStyle w:val="TextoNormal"/>
      </w:pPr>
    </w:p>
    <w:p w:rsidR="00234417" w:rsidRDefault="00234417" w:rsidP="00234417">
      <w:pPr>
        <w:pStyle w:val="TextoNormal"/>
      </w:pPr>
    </w:p>
    <w:p w:rsidR="00234417" w:rsidRDefault="00234417" w:rsidP="00234417">
      <w:pPr>
        <w:pStyle w:val="TextoNormal"/>
      </w:pPr>
    </w:p>
    <w:p w:rsidR="00234417" w:rsidRDefault="00234417" w:rsidP="00234417">
      <w:pPr>
        <w:pStyle w:val="Ttulondice"/>
      </w:pPr>
      <w:r>
        <w:t>7. ÍNDICE ANALÍTICO</w:t>
      </w:r>
    </w:p>
    <w:p w:rsidR="00234417" w:rsidRDefault="00234417" w:rsidP="00234417">
      <w:pPr>
        <w:pStyle w:val="TextoNormal"/>
      </w:pPr>
    </w:p>
    <w:p w:rsidR="00234417" w:rsidRDefault="00234417" w:rsidP="00234417">
      <w:pPr>
        <w:pStyle w:val="Ttulondice"/>
      </w:pPr>
    </w:p>
    <w:p w:rsidR="00234417" w:rsidRDefault="00234417" w:rsidP="00234417">
      <w:pPr>
        <w:pStyle w:val="Ttulondice"/>
      </w:pPr>
    </w:p>
    <w:p w:rsidR="00234417" w:rsidRDefault="00234417" w:rsidP="00234417">
      <w:pPr>
        <w:pStyle w:val="Ttulondice"/>
      </w:pPr>
    </w:p>
    <w:p w:rsidR="00234417" w:rsidRDefault="00234417" w:rsidP="00234417">
      <w:pPr>
        <w:pStyle w:val="Ttulondice"/>
      </w:pPr>
    </w:p>
    <w:p w:rsidR="00234417" w:rsidRDefault="00234417" w:rsidP="00234417">
      <w:pPr>
        <w:pStyle w:val="Ttulondice"/>
      </w:pPr>
    </w:p>
    <w:p w:rsidR="00234417" w:rsidRDefault="00234417" w:rsidP="00234417">
      <w:pPr>
        <w:pStyle w:val="Ttulondice"/>
      </w:pPr>
    </w:p>
    <w:p w:rsidR="00234417" w:rsidRDefault="00234417" w:rsidP="00234417">
      <w:pPr>
        <w:pStyle w:val="Ttulondice"/>
      </w:pPr>
    </w:p>
    <w:p w:rsidR="00234417" w:rsidRDefault="00234417" w:rsidP="00234417">
      <w:pPr>
        <w:pStyle w:val="TextoNormalNegritaCentrado"/>
      </w:pPr>
      <w:r>
        <w:t>A</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1262" w:name="DESCRIPTORALFABETICO242"/>
      <w:r w:rsidRPr="00234417">
        <w:rPr>
          <w:rStyle w:val="TextoNormalNegritaCaracter"/>
        </w:rPr>
        <w:t>Abstención de magistrados del Tribunal Constitucional</w:t>
      </w:r>
      <w:bookmarkEnd w:id="1262"/>
      <w:r w:rsidRPr="00234417">
        <w:rPr>
          <w:rStyle w:val="TextoNormalCaracter"/>
        </w:rPr>
        <w:t xml:space="preserve">, </w:t>
      </w:r>
    </w:p>
    <w:p w:rsidR="00234417" w:rsidRPr="00234417" w:rsidRDefault="00234417" w:rsidP="00234417">
      <w:pPr>
        <w:pStyle w:val="TextoNormalSangraFrancesa"/>
        <w:rPr>
          <w:rStyle w:val="TextoNormalCaracter"/>
        </w:rPr>
      </w:pPr>
      <w:r w:rsidRPr="00234417">
        <w:rPr>
          <w:rStyle w:val="TextoNormalCursivaCaracter"/>
        </w:rPr>
        <w:t xml:space="preserve">    Acepta, </w:t>
      </w:r>
      <w:r w:rsidRPr="00234417">
        <w:rPr>
          <w:rStyle w:val="TextoNormalCaracter"/>
        </w:rPr>
        <w:t xml:space="preserve">Autos </w:t>
      </w:r>
      <w:hyperlink w:anchor="AUTO_2013_3" w:history="1">
        <w:r w:rsidRPr="00234417">
          <w:rPr>
            <w:rStyle w:val="TextoNormalCaracter"/>
          </w:rPr>
          <w:t>3/2013</w:t>
        </w:r>
      </w:hyperlink>
      <w:r w:rsidRPr="00234417">
        <w:rPr>
          <w:rStyle w:val="TextoNormalCaracter"/>
        </w:rPr>
        <w:t xml:space="preserve">, f. único; </w:t>
      </w:r>
      <w:hyperlink w:anchor="AUTO_2013_4" w:history="1">
        <w:r w:rsidRPr="00234417">
          <w:rPr>
            <w:rStyle w:val="TextoNormalCaracter"/>
          </w:rPr>
          <w:t>4/2013</w:t>
        </w:r>
      </w:hyperlink>
      <w:r w:rsidRPr="00234417">
        <w:rPr>
          <w:rStyle w:val="TextoNormalCaracter"/>
        </w:rPr>
        <w:t xml:space="preserve">, f. único; </w:t>
      </w:r>
      <w:hyperlink w:anchor="AUTO_2013_11" w:history="1">
        <w:r w:rsidRPr="00234417">
          <w:rPr>
            <w:rStyle w:val="TextoNormalCaracter"/>
          </w:rPr>
          <w:t>11/2013</w:t>
        </w:r>
      </w:hyperlink>
      <w:r w:rsidRPr="00234417">
        <w:rPr>
          <w:rStyle w:val="TextoNormalCaracter"/>
        </w:rPr>
        <w:t xml:space="preserve">, f. único; </w:t>
      </w:r>
      <w:hyperlink w:anchor="AUTO_2013_12" w:history="1">
        <w:r w:rsidRPr="00234417">
          <w:rPr>
            <w:rStyle w:val="TextoNormalCaracter"/>
          </w:rPr>
          <w:t>12/2013</w:t>
        </w:r>
      </w:hyperlink>
      <w:r w:rsidRPr="00234417">
        <w:rPr>
          <w:rStyle w:val="TextoNormalCaracter"/>
        </w:rPr>
        <w:t xml:space="preserve">, f. único; </w:t>
      </w:r>
      <w:hyperlink w:anchor="AUTO_2013_15" w:history="1">
        <w:r w:rsidRPr="00234417">
          <w:rPr>
            <w:rStyle w:val="TextoNormalCaracter"/>
          </w:rPr>
          <w:t>15/2013</w:t>
        </w:r>
      </w:hyperlink>
      <w:r w:rsidRPr="00234417">
        <w:rPr>
          <w:rStyle w:val="TextoNormalCaracter"/>
        </w:rPr>
        <w:t xml:space="preserve">, f. único; </w:t>
      </w:r>
      <w:hyperlink w:anchor="AUTO_2013_16" w:history="1">
        <w:r w:rsidRPr="00234417">
          <w:rPr>
            <w:rStyle w:val="TextoNormalCaracter"/>
          </w:rPr>
          <w:t>16/2013</w:t>
        </w:r>
      </w:hyperlink>
      <w:r w:rsidRPr="00234417">
        <w:rPr>
          <w:rStyle w:val="TextoNormalCaracter"/>
        </w:rPr>
        <w:t xml:space="preserve">, f. único; </w:t>
      </w:r>
      <w:hyperlink w:anchor="AUTO_2013_17" w:history="1">
        <w:r w:rsidRPr="00234417">
          <w:rPr>
            <w:rStyle w:val="TextoNormalCaracter"/>
          </w:rPr>
          <w:t>17/2013</w:t>
        </w:r>
      </w:hyperlink>
      <w:r w:rsidRPr="00234417">
        <w:rPr>
          <w:rStyle w:val="TextoNormalCaracter"/>
        </w:rPr>
        <w:t xml:space="preserve">, f. único; </w:t>
      </w:r>
      <w:hyperlink w:anchor="AUTO_2013_29" w:history="1">
        <w:r w:rsidRPr="00234417">
          <w:rPr>
            <w:rStyle w:val="TextoNormalCaracter"/>
          </w:rPr>
          <w:t>29/2013</w:t>
        </w:r>
      </w:hyperlink>
      <w:r w:rsidRPr="00234417">
        <w:rPr>
          <w:rStyle w:val="TextoNormalCaracter"/>
        </w:rPr>
        <w:t xml:space="preserve">, f. único; </w:t>
      </w:r>
      <w:hyperlink w:anchor="AUTO_2013_34" w:history="1">
        <w:r w:rsidRPr="00234417">
          <w:rPr>
            <w:rStyle w:val="TextoNormalCaracter"/>
          </w:rPr>
          <w:t>34/2013</w:t>
        </w:r>
      </w:hyperlink>
      <w:r w:rsidRPr="00234417">
        <w:rPr>
          <w:rStyle w:val="TextoNormalCaracter"/>
        </w:rPr>
        <w:t xml:space="preserve">, f. único; </w:t>
      </w:r>
      <w:hyperlink w:anchor="AUTO_2013_37" w:history="1">
        <w:r w:rsidRPr="00234417">
          <w:rPr>
            <w:rStyle w:val="TextoNormalCaracter"/>
          </w:rPr>
          <w:t>37/2013</w:t>
        </w:r>
      </w:hyperlink>
      <w:r w:rsidRPr="00234417">
        <w:rPr>
          <w:rStyle w:val="TextoNormalCaracter"/>
        </w:rPr>
        <w:t xml:space="preserve">, f. único; </w:t>
      </w:r>
      <w:hyperlink w:anchor="AUTO_2013_38" w:history="1">
        <w:r w:rsidRPr="00234417">
          <w:rPr>
            <w:rStyle w:val="TextoNormalCaracter"/>
          </w:rPr>
          <w:t>38/2013</w:t>
        </w:r>
      </w:hyperlink>
      <w:r w:rsidRPr="00234417">
        <w:rPr>
          <w:rStyle w:val="TextoNormalCaracter"/>
        </w:rPr>
        <w:t xml:space="preserve">, f. único; </w:t>
      </w:r>
      <w:hyperlink w:anchor="AUTO_2013_39" w:history="1">
        <w:r w:rsidRPr="00234417">
          <w:rPr>
            <w:rStyle w:val="TextoNormalCaracter"/>
          </w:rPr>
          <w:t>39/2013</w:t>
        </w:r>
      </w:hyperlink>
      <w:r w:rsidRPr="00234417">
        <w:rPr>
          <w:rStyle w:val="TextoNormalCaracter"/>
        </w:rPr>
        <w:t xml:space="preserve">, f. único; </w:t>
      </w:r>
      <w:hyperlink w:anchor="AUTO_2013_44" w:history="1">
        <w:r w:rsidRPr="00234417">
          <w:rPr>
            <w:rStyle w:val="TextoNormalCaracter"/>
          </w:rPr>
          <w:t>44/2013</w:t>
        </w:r>
      </w:hyperlink>
      <w:r w:rsidRPr="00234417">
        <w:rPr>
          <w:rStyle w:val="TextoNormalCaracter"/>
        </w:rPr>
        <w:t xml:space="preserve">, f. único; </w:t>
      </w:r>
      <w:hyperlink w:anchor="AUTO_2013_45" w:history="1">
        <w:r w:rsidRPr="00234417">
          <w:rPr>
            <w:rStyle w:val="TextoNormalCaracter"/>
          </w:rPr>
          <w:t>45/2013</w:t>
        </w:r>
      </w:hyperlink>
      <w:r w:rsidRPr="00234417">
        <w:rPr>
          <w:rStyle w:val="TextoNormalCaracter"/>
        </w:rPr>
        <w:t xml:space="preserve">, f. único; </w:t>
      </w:r>
      <w:hyperlink w:anchor="AUTO_2013_49" w:history="1">
        <w:r w:rsidRPr="00234417">
          <w:rPr>
            <w:rStyle w:val="TextoNormalCaracter"/>
          </w:rPr>
          <w:t>49/2013</w:t>
        </w:r>
      </w:hyperlink>
      <w:r w:rsidRPr="00234417">
        <w:rPr>
          <w:rStyle w:val="TextoNormalCaracter"/>
        </w:rPr>
        <w:t xml:space="preserve">, f. único; </w:t>
      </w:r>
      <w:hyperlink w:anchor="AUTO_2013_62" w:history="1">
        <w:r w:rsidRPr="00234417">
          <w:rPr>
            <w:rStyle w:val="TextoNormalCaracter"/>
          </w:rPr>
          <w:t>62/2013</w:t>
        </w:r>
      </w:hyperlink>
      <w:r w:rsidRPr="00234417">
        <w:rPr>
          <w:rStyle w:val="TextoNormalCaracter"/>
        </w:rPr>
        <w:t xml:space="preserve">, f. único; </w:t>
      </w:r>
      <w:hyperlink w:anchor="AUTO_2013_81" w:history="1">
        <w:r w:rsidRPr="00234417">
          <w:rPr>
            <w:rStyle w:val="TextoNormalCaracter"/>
          </w:rPr>
          <w:t>81/2013</w:t>
        </w:r>
      </w:hyperlink>
      <w:r w:rsidRPr="00234417">
        <w:rPr>
          <w:rStyle w:val="TextoNormalCaracter"/>
        </w:rPr>
        <w:t xml:space="preserve">, f. único; </w:t>
      </w:r>
      <w:hyperlink w:anchor="AUTO_2013_90" w:history="1">
        <w:r w:rsidRPr="00234417">
          <w:rPr>
            <w:rStyle w:val="TextoNormalCaracter"/>
          </w:rPr>
          <w:t>90/2013</w:t>
        </w:r>
      </w:hyperlink>
      <w:r w:rsidRPr="00234417">
        <w:rPr>
          <w:rStyle w:val="TextoNormalCaracter"/>
        </w:rPr>
        <w:t xml:space="preserve">, f. único; </w:t>
      </w:r>
      <w:hyperlink w:anchor="AUTO_2013_91" w:history="1">
        <w:r w:rsidRPr="00234417">
          <w:rPr>
            <w:rStyle w:val="TextoNormalCaracter"/>
          </w:rPr>
          <w:t>91/2013</w:t>
        </w:r>
      </w:hyperlink>
      <w:r w:rsidRPr="00234417">
        <w:rPr>
          <w:rStyle w:val="TextoNormalCaracter"/>
        </w:rPr>
        <w:t xml:space="preserve">, f. único; </w:t>
      </w:r>
      <w:hyperlink w:anchor="AUTO_2013_97" w:history="1">
        <w:r w:rsidRPr="00234417">
          <w:rPr>
            <w:rStyle w:val="TextoNormalCaracter"/>
          </w:rPr>
          <w:t>97/2013</w:t>
        </w:r>
      </w:hyperlink>
      <w:r w:rsidRPr="00234417">
        <w:rPr>
          <w:rStyle w:val="TextoNormalCaracter"/>
        </w:rPr>
        <w:t xml:space="preserve">, f. único; </w:t>
      </w:r>
      <w:hyperlink w:anchor="AUTO_2013_98" w:history="1">
        <w:r w:rsidRPr="00234417">
          <w:rPr>
            <w:rStyle w:val="TextoNormalCaracter"/>
          </w:rPr>
          <w:t>98/2013</w:t>
        </w:r>
      </w:hyperlink>
      <w:r w:rsidRPr="00234417">
        <w:rPr>
          <w:rStyle w:val="TextoNormalCaracter"/>
        </w:rPr>
        <w:t xml:space="preserve">, f. único; </w:t>
      </w:r>
      <w:hyperlink w:anchor="AUTO_2013_99" w:history="1">
        <w:r w:rsidRPr="00234417">
          <w:rPr>
            <w:rStyle w:val="TextoNormalCaracter"/>
          </w:rPr>
          <w:t>99/2013</w:t>
        </w:r>
      </w:hyperlink>
      <w:r w:rsidRPr="00234417">
        <w:rPr>
          <w:rStyle w:val="TextoNormalCaracter"/>
        </w:rPr>
        <w:t xml:space="preserve">, f. único; </w:t>
      </w:r>
      <w:hyperlink w:anchor="AUTO_2013_100" w:history="1">
        <w:r w:rsidRPr="00234417">
          <w:rPr>
            <w:rStyle w:val="TextoNormalCaracter"/>
          </w:rPr>
          <w:t>100/2013</w:t>
        </w:r>
      </w:hyperlink>
      <w:r w:rsidRPr="00234417">
        <w:rPr>
          <w:rStyle w:val="TextoNormalCaracter"/>
        </w:rPr>
        <w:t xml:space="preserve">, f. único; </w:t>
      </w:r>
      <w:hyperlink w:anchor="AUTO_2013_101" w:history="1">
        <w:r w:rsidRPr="00234417">
          <w:rPr>
            <w:rStyle w:val="TextoNormalCaracter"/>
          </w:rPr>
          <w:t>101/2013</w:t>
        </w:r>
      </w:hyperlink>
      <w:r w:rsidRPr="00234417">
        <w:rPr>
          <w:rStyle w:val="TextoNormalCaracter"/>
        </w:rPr>
        <w:t xml:space="preserve">, f. único; </w:t>
      </w:r>
      <w:hyperlink w:anchor="AUTO_2013_102" w:history="1">
        <w:r w:rsidRPr="00234417">
          <w:rPr>
            <w:rStyle w:val="TextoNormalCaracter"/>
          </w:rPr>
          <w:t>102/2013</w:t>
        </w:r>
      </w:hyperlink>
      <w:r w:rsidRPr="00234417">
        <w:rPr>
          <w:rStyle w:val="TextoNormalCaracter"/>
        </w:rPr>
        <w:t xml:space="preserve">, f. único; </w:t>
      </w:r>
      <w:hyperlink w:anchor="AUTO_2013_103" w:history="1">
        <w:r w:rsidRPr="00234417">
          <w:rPr>
            <w:rStyle w:val="TextoNormalCaracter"/>
          </w:rPr>
          <w:t>103/2013</w:t>
        </w:r>
      </w:hyperlink>
      <w:r w:rsidRPr="00234417">
        <w:rPr>
          <w:rStyle w:val="TextoNormalCaracter"/>
        </w:rPr>
        <w:t xml:space="preserve">, f. único; </w:t>
      </w:r>
      <w:hyperlink w:anchor="AUTO_2013_131" w:history="1">
        <w:r w:rsidRPr="00234417">
          <w:rPr>
            <w:rStyle w:val="TextoNormalCaracter"/>
          </w:rPr>
          <w:t>131/2013</w:t>
        </w:r>
      </w:hyperlink>
      <w:r w:rsidRPr="00234417">
        <w:rPr>
          <w:rStyle w:val="TextoNormalCaracter"/>
        </w:rPr>
        <w:t xml:space="preserve">, f. único; </w:t>
      </w:r>
      <w:hyperlink w:anchor="AUTO_2013_135" w:history="1">
        <w:r w:rsidRPr="00234417">
          <w:rPr>
            <w:rStyle w:val="TextoNormalCaracter"/>
          </w:rPr>
          <w:t>135/2013</w:t>
        </w:r>
      </w:hyperlink>
      <w:r w:rsidRPr="00234417">
        <w:rPr>
          <w:rStyle w:val="TextoNormalCaracter"/>
        </w:rPr>
        <w:t xml:space="preserve">, f. único; </w:t>
      </w:r>
      <w:hyperlink w:anchor="AUTO_2013_138" w:history="1">
        <w:r w:rsidRPr="00234417">
          <w:rPr>
            <w:rStyle w:val="TextoNormalCaracter"/>
          </w:rPr>
          <w:t>138/2013</w:t>
        </w:r>
      </w:hyperlink>
      <w:r w:rsidRPr="00234417">
        <w:rPr>
          <w:rStyle w:val="TextoNormalCaracter"/>
        </w:rPr>
        <w:t xml:space="preserve">, f. único; </w:t>
      </w:r>
      <w:hyperlink w:anchor="AUTO_2013_144" w:history="1">
        <w:r w:rsidRPr="00234417">
          <w:rPr>
            <w:rStyle w:val="TextoNormalCaracter"/>
          </w:rPr>
          <w:t>144/2013</w:t>
        </w:r>
      </w:hyperlink>
      <w:r w:rsidRPr="00234417">
        <w:rPr>
          <w:rStyle w:val="TextoNormalCaracter"/>
        </w:rPr>
        <w:t xml:space="preserve">, f. único; </w:t>
      </w:r>
      <w:hyperlink w:anchor="AUTO_2013_147" w:history="1">
        <w:r w:rsidRPr="00234417">
          <w:rPr>
            <w:rStyle w:val="TextoNormalCaracter"/>
          </w:rPr>
          <w:t>147/2013</w:t>
        </w:r>
      </w:hyperlink>
      <w:r w:rsidRPr="00234417">
        <w:rPr>
          <w:rStyle w:val="TextoNormalCaracter"/>
        </w:rPr>
        <w:t xml:space="preserve">, f. único; </w:t>
      </w:r>
      <w:hyperlink w:anchor="AUTO_2013_148" w:history="1">
        <w:r w:rsidRPr="00234417">
          <w:rPr>
            <w:rStyle w:val="TextoNormalCaracter"/>
          </w:rPr>
          <w:t>148/2013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263" w:name="DESCRIPTORALFABETICO597"/>
      <w:r w:rsidRPr="00234417">
        <w:rPr>
          <w:rStyle w:val="TextoNormalNegritaCaracter"/>
        </w:rPr>
        <w:t>Abusos sexuales a menores</w:t>
      </w:r>
      <w:bookmarkEnd w:id="1263"/>
      <w:r w:rsidRPr="00234417">
        <w:rPr>
          <w:rStyle w:val="TextoNormalCaracter"/>
        </w:rPr>
        <w:t xml:space="preserve">, Sentencia </w:t>
      </w:r>
      <w:hyperlink w:anchor="SENTENCIA_2013_57" w:history="1">
        <w:r w:rsidRPr="00234417">
          <w:rPr>
            <w:rStyle w:val="TextoNormalCaracter"/>
          </w:rPr>
          <w:t>57/2013</w:t>
        </w:r>
      </w:hyperlink>
      <w:r w:rsidRPr="00234417">
        <w:rPr>
          <w:rStyle w:val="TextoNormalCaracter"/>
        </w:rPr>
        <w:t>, ff. 1, 5.</w:t>
      </w:r>
    </w:p>
    <w:p w:rsidR="00234417" w:rsidRPr="00234417" w:rsidRDefault="00234417" w:rsidP="00234417">
      <w:pPr>
        <w:pStyle w:val="TextoNormalSangraFrancesa"/>
        <w:rPr>
          <w:rStyle w:val="TextoNormalCaracter"/>
        </w:rPr>
      </w:pPr>
      <w:bookmarkStart w:id="1264" w:name="DESCRIPTORALFABETICO160"/>
      <w:r w:rsidRPr="00234417">
        <w:rPr>
          <w:rStyle w:val="TextoNormalNegritaCaracter"/>
        </w:rPr>
        <w:t>Acceso a la justicia</w:t>
      </w:r>
      <w:bookmarkEnd w:id="1264"/>
      <w:r w:rsidRPr="00234417">
        <w:rPr>
          <w:rStyle w:val="TextoNormalCaracter"/>
        </w:rPr>
        <w:t xml:space="preserve">, Sentencias </w:t>
      </w:r>
      <w:hyperlink w:anchor="SENTENCIA_2013_106" w:history="1">
        <w:r w:rsidRPr="00234417">
          <w:rPr>
            <w:rStyle w:val="TextoNormalCaracter"/>
          </w:rPr>
          <w:t>106/2013</w:t>
        </w:r>
      </w:hyperlink>
      <w:r w:rsidRPr="00234417">
        <w:rPr>
          <w:rStyle w:val="TextoNormalCaracter"/>
        </w:rPr>
        <w:t xml:space="preserve">, ff. 4, 5; </w:t>
      </w:r>
      <w:hyperlink w:anchor="SENTENCIA_2013_127" w:history="1">
        <w:r w:rsidRPr="00234417">
          <w:rPr>
            <w:rStyle w:val="TextoNormalCaracter"/>
          </w:rPr>
          <w:t>127/2013</w:t>
        </w:r>
      </w:hyperlink>
      <w:r w:rsidRPr="00234417">
        <w:rPr>
          <w:rStyle w:val="TextoNormalCaracter"/>
        </w:rPr>
        <w:t>, ff. 2 a 6.</w:t>
      </w:r>
    </w:p>
    <w:p w:rsidR="00234417" w:rsidRPr="00234417" w:rsidRDefault="00234417" w:rsidP="00234417">
      <w:pPr>
        <w:pStyle w:val="TextoNormalSangraFrancesa"/>
        <w:rPr>
          <w:rStyle w:val="TextoNormalCaracter"/>
        </w:rPr>
      </w:pPr>
      <w:r w:rsidRPr="00234417">
        <w:rPr>
          <w:rStyle w:val="TextoNormalCursivaCaracter"/>
        </w:rPr>
        <w:t xml:space="preserve">    Respetado, </w:t>
      </w:r>
      <w:r w:rsidRPr="00234417">
        <w:rPr>
          <w:rStyle w:val="TextoNormalCaracter"/>
        </w:rPr>
        <w:t xml:space="preserve">Sentencia </w:t>
      </w:r>
      <w:hyperlink w:anchor="SENTENCIA_2013_44" w:history="1">
        <w:r w:rsidRPr="00234417">
          <w:rPr>
            <w:rStyle w:val="TextoNormalCaracter"/>
          </w:rPr>
          <w:t>44/2013</w:t>
        </w:r>
      </w:hyperlink>
      <w:r w:rsidRPr="00234417">
        <w:rPr>
          <w:rStyle w:val="TextoNormalCaracter"/>
        </w:rPr>
        <w:t>, f. 6.</w:t>
      </w:r>
    </w:p>
    <w:p w:rsidR="00234417" w:rsidRPr="00234417" w:rsidRDefault="00234417" w:rsidP="00234417">
      <w:pPr>
        <w:pStyle w:val="TextoNormalSangraFrancesa"/>
        <w:rPr>
          <w:rStyle w:val="TextoNormalCaracter"/>
        </w:rPr>
      </w:pPr>
      <w:r w:rsidRPr="00234417">
        <w:rPr>
          <w:rStyle w:val="TextoNormalCursivaCaracter"/>
        </w:rPr>
        <w:t xml:space="preserve">    Vulnerado, </w:t>
      </w:r>
      <w:r w:rsidRPr="00234417">
        <w:rPr>
          <w:rStyle w:val="TextoNormalCaracter"/>
        </w:rPr>
        <w:t xml:space="preserve">Sentencia </w:t>
      </w:r>
      <w:hyperlink w:anchor="SENTENCIA_2013_106" w:history="1">
        <w:r w:rsidRPr="00234417">
          <w:rPr>
            <w:rStyle w:val="TextoNormalCaracter"/>
          </w:rPr>
          <w:t>106/2013</w:t>
        </w:r>
      </w:hyperlink>
      <w:r w:rsidRPr="00234417">
        <w:rPr>
          <w:rStyle w:val="TextoNormalCaracter"/>
        </w:rPr>
        <w:t>, ff. 4, 5.</w:t>
      </w:r>
    </w:p>
    <w:p w:rsidR="00234417" w:rsidRPr="00234417" w:rsidRDefault="00234417" w:rsidP="00234417">
      <w:pPr>
        <w:pStyle w:val="TextoNormalSangraFrancesa"/>
        <w:rPr>
          <w:rStyle w:val="TextoNormalCaracter"/>
        </w:rPr>
      </w:pPr>
      <w:bookmarkStart w:id="1265" w:name="DESCRIPTORALFABETICO161"/>
      <w:r w:rsidRPr="00234417">
        <w:rPr>
          <w:rStyle w:val="TextoNormalNegritaCaracter"/>
        </w:rPr>
        <w:t>Acceso al proceso de terceros interesados</w:t>
      </w:r>
      <w:bookmarkEnd w:id="1265"/>
      <w:r w:rsidRPr="00234417">
        <w:rPr>
          <w:rStyle w:val="TextoNormalCaracter"/>
        </w:rPr>
        <w:t xml:space="preserve">, Sentencia </w:t>
      </w:r>
      <w:hyperlink w:anchor="SENTENCIA_2013_79" w:history="1">
        <w:r w:rsidRPr="00234417">
          <w:rPr>
            <w:rStyle w:val="TextoNormalCaracter"/>
          </w:rPr>
          <w:t>79/2013</w:t>
        </w:r>
      </w:hyperlink>
      <w:r w:rsidRPr="00234417">
        <w:rPr>
          <w:rStyle w:val="TextoNormalCaracter"/>
        </w:rPr>
        <w:t>, ff. 2, 5.</w:t>
      </w:r>
    </w:p>
    <w:p w:rsidR="00234417" w:rsidRPr="00234417" w:rsidRDefault="00234417" w:rsidP="00234417">
      <w:pPr>
        <w:pStyle w:val="TextoNormalSangraFrancesa"/>
        <w:rPr>
          <w:rStyle w:val="TextoNormalCaracter"/>
        </w:rPr>
      </w:pPr>
      <w:bookmarkStart w:id="1266" w:name="DESCRIPTORALFABETICO162"/>
      <w:r w:rsidRPr="00234417">
        <w:rPr>
          <w:rStyle w:val="TextoNormalNegritaCaracter"/>
        </w:rPr>
        <w:t>Acceso al recurso legal</w:t>
      </w:r>
      <w:bookmarkEnd w:id="1266"/>
      <w:r w:rsidRPr="00234417">
        <w:rPr>
          <w:rStyle w:val="TextoNormalCaracter"/>
        </w:rPr>
        <w:t xml:space="preserve">, Sentencias </w:t>
      </w:r>
      <w:hyperlink w:anchor="SENTENCIA_2013_73" w:history="1">
        <w:r w:rsidRPr="00234417">
          <w:rPr>
            <w:rStyle w:val="TextoNormalCaracter"/>
          </w:rPr>
          <w:t>73/2013</w:t>
        </w:r>
      </w:hyperlink>
      <w:r w:rsidRPr="00234417">
        <w:rPr>
          <w:rStyle w:val="TextoNormalCaracter"/>
        </w:rPr>
        <w:t xml:space="preserve">, ff. 2, 3; </w:t>
      </w:r>
      <w:hyperlink w:anchor="SENTENCIA_2013_74" w:history="1">
        <w:r w:rsidRPr="00234417">
          <w:rPr>
            <w:rStyle w:val="TextoNormalCaracter"/>
          </w:rPr>
          <w:t>74/2013</w:t>
        </w:r>
      </w:hyperlink>
      <w:r w:rsidRPr="00234417">
        <w:rPr>
          <w:rStyle w:val="TextoNormalCaracter"/>
        </w:rPr>
        <w:t xml:space="preserve">, ff. 1, 2, 3, 4; </w:t>
      </w:r>
      <w:hyperlink w:anchor="SENTENCIA_2013_90" w:history="1">
        <w:r w:rsidRPr="00234417">
          <w:rPr>
            <w:rStyle w:val="TextoNormalCaracter"/>
          </w:rPr>
          <w:t>90/2013</w:t>
        </w:r>
      </w:hyperlink>
      <w:r w:rsidRPr="00234417">
        <w:rPr>
          <w:rStyle w:val="TextoNormalCaracter"/>
        </w:rPr>
        <w:t>, ff. 2, 3, 4.</w:t>
      </w:r>
    </w:p>
    <w:p w:rsidR="00234417" w:rsidRPr="00234417" w:rsidRDefault="00234417" w:rsidP="00234417">
      <w:pPr>
        <w:pStyle w:val="TextoNormalSangraFrancesa"/>
        <w:rPr>
          <w:rStyle w:val="TextoNormalCaracter"/>
        </w:rPr>
      </w:pPr>
      <w:r w:rsidRPr="00234417">
        <w:rPr>
          <w:rStyle w:val="TextoNormalCursivaCaracter"/>
        </w:rPr>
        <w:t xml:space="preserve">    Respetado, </w:t>
      </w:r>
      <w:r w:rsidRPr="00234417">
        <w:rPr>
          <w:rStyle w:val="TextoNormalCaracter"/>
        </w:rPr>
        <w:t xml:space="preserve">Sentencia </w:t>
      </w:r>
      <w:hyperlink w:anchor="SENTENCIA_2013_90" w:history="1">
        <w:r w:rsidRPr="00234417">
          <w:rPr>
            <w:rStyle w:val="TextoNormalCaracter"/>
          </w:rPr>
          <w:t>90/2013</w:t>
        </w:r>
      </w:hyperlink>
      <w:r w:rsidRPr="00234417">
        <w:rPr>
          <w:rStyle w:val="TextoNormalCaracter"/>
        </w:rPr>
        <w:t>, ff. 2 a 5.</w:t>
      </w:r>
    </w:p>
    <w:p w:rsidR="00234417" w:rsidRPr="00234417" w:rsidRDefault="00234417" w:rsidP="00234417">
      <w:pPr>
        <w:pStyle w:val="TextoNormalSangraFrancesa"/>
        <w:rPr>
          <w:rStyle w:val="TextoNormalCaracter"/>
        </w:rPr>
      </w:pPr>
      <w:r w:rsidRPr="00234417">
        <w:rPr>
          <w:rStyle w:val="TextoNormalCursivaCaracter"/>
        </w:rPr>
        <w:t xml:space="preserve">    Vulnerado, </w:t>
      </w:r>
      <w:r w:rsidRPr="00234417">
        <w:rPr>
          <w:rStyle w:val="TextoNormalCaracter"/>
        </w:rPr>
        <w:t xml:space="preserve">Sentencias </w:t>
      </w:r>
      <w:hyperlink w:anchor="SENTENCIA_2013_73" w:history="1">
        <w:r w:rsidRPr="00234417">
          <w:rPr>
            <w:rStyle w:val="TextoNormalCaracter"/>
          </w:rPr>
          <w:t>73/2013</w:t>
        </w:r>
      </w:hyperlink>
      <w:r w:rsidRPr="00234417">
        <w:rPr>
          <w:rStyle w:val="TextoNormalCaracter"/>
        </w:rPr>
        <w:t xml:space="preserve">, ff. 2, 3; </w:t>
      </w:r>
      <w:hyperlink w:anchor="SENTENCIA_2013_74" w:history="1">
        <w:r w:rsidRPr="00234417">
          <w:rPr>
            <w:rStyle w:val="TextoNormalCaracter"/>
          </w:rPr>
          <w:t>74/2013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267" w:name="DESCRIPTORALFABETICO324"/>
      <w:r w:rsidRPr="00234417">
        <w:rPr>
          <w:rStyle w:val="TextoNormalNegritaCaracter"/>
        </w:rPr>
        <w:t>Aclaración de sentencias del Tribunal Constitucional</w:t>
      </w:r>
      <w:bookmarkEnd w:id="1267"/>
      <w:r w:rsidRPr="00234417">
        <w:rPr>
          <w:rStyle w:val="TextoNormalCaracter"/>
        </w:rPr>
        <w:t xml:space="preserve">, Autos </w:t>
      </w:r>
      <w:hyperlink w:anchor="AUTO_2013_66" w:history="1">
        <w:r w:rsidRPr="00234417">
          <w:rPr>
            <w:rStyle w:val="TextoNormalCaracter"/>
          </w:rPr>
          <w:t>66/2013</w:t>
        </w:r>
      </w:hyperlink>
      <w:r w:rsidRPr="00234417">
        <w:rPr>
          <w:rStyle w:val="TextoNormalCaracter"/>
        </w:rPr>
        <w:t xml:space="preserve">, f. 2; </w:t>
      </w:r>
      <w:hyperlink w:anchor="AUTO_2013_94" w:history="1">
        <w:r w:rsidRPr="00234417">
          <w:rPr>
            <w:rStyle w:val="TextoNormalCaracter"/>
          </w:rPr>
          <w:t>94/2013</w:t>
        </w:r>
      </w:hyperlink>
      <w:r w:rsidRPr="00234417">
        <w:rPr>
          <w:rStyle w:val="TextoNormalCaracter"/>
        </w:rPr>
        <w:t>, f. 2.</w:t>
      </w:r>
    </w:p>
    <w:p w:rsidR="00234417" w:rsidRPr="00234417" w:rsidRDefault="00234417" w:rsidP="00234417">
      <w:pPr>
        <w:pStyle w:val="TextoNormalSangraFrancesa"/>
        <w:rPr>
          <w:rStyle w:val="TextoNormalCaracter"/>
        </w:rPr>
      </w:pPr>
      <w:bookmarkStart w:id="1268" w:name="DESCRIPTORALFABETICO325"/>
      <w:r w:rsidRPr="00234417">
        <w:rPr>
          <w:rStyle w:val="TextoNormalNegritaCaracter"/>
        </w:rPr>
        <w:t>Aclaración improcedente</w:t>
      </w:r>
      <w:bookmarkEnd w:id="1268"/>
      <w:r w:rsidRPr="00234417">
        <w:rPr>
          <w:rStyle w:val="TextoNormalCaracter"/>
        </w:rPr>
        <w:t xml:space="preserve">, Autos </w:t>
      </w:r>
      <w:hyperlink w:anchor="AUTO_2013_66" w:history="1">
        <w:r w:rsidRPr="00234417">
          <w:rPr>
            <w:rStyle w:val="TextoNormalCaracter"/>
          </w:rPr>
          <w:t>66/2013</w:t>
        </w:r>
      </w:hyperlink>
      <w:r w:rsidRPr="00234417">
        <w:rPr>
          <w:rStyle w:val="TextoNormalCaracter"/>
        </w:rPr>
        <w:t xml:space="preserve">, f. 2; </w:t>
      </w:r>
      <w:hyperlink w:anchor="AUTO_2013_94" w:history="1">
        <w:r w:rsidRPr="00234417">
          <w:rPr>
            <w:rStyle w:val="TextoNormalCaracter"/>
          </w:rPr>
          <w:t>94/2013</w:t>
        </w:r>
      </w:hyperlink>
      <w:r w:rsidRPr="00234417">
        <w:rPr>
          <w:rStyle w:val="TextoNormalCaracter"/>
        </w:rPr>
        <w:t>, f. 2.</w:t>
      </w:r>
    </w:p>
    <w:p w:rsidR="00234417" w:rsidRPr="00234417" w:rsidRDefault="00234417" w:rsidP="00234417">
      <w:pPr>
        <w:pStyle w:val="TextoNormalSangraFrancesa"/>
        <w:rPr>
          <w:rStyle w:val="TextoNormalCaracter"/>
        </w:rPr>
      </w:pPr>
      <w:bookmarkStart w:id="1269" w:name="DESCRIPTORALFABETICO326"/>
      <w:r w:rsidRPr="00234417">
        <w:rPr>
          <w:rStyle w:val="TextoNormalNegritaCaracter"/>
        </w:rPr>
        <w:t>Aclaración procedente</w:t>
      </w:r>
      <w:bookmarkEnd w:id="1269"/>
      <w:r w:rsidRPr="00234417">
        <w:rPr>
          <w:rStyle w:val="TextoNormalCaracter"/>
        </w:rPr>
        <w:t xml:space="preserve">, Auto </w:t>
      </w:r>
      <w:hyperlink w:anchor="AUTO_2013_68" w:history="1">
        <w:r w:rsidRPr="00234417">
          <w:rPr>
            <w:rStyle w:val="TextoNormalCaracter"/>
          </w:rPr>
          <w:t>68/2013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270" w:name="DESCRIPTORALFABETICO861"/>
      <w:r w:rsidRPr="00234417">
        <w:rPr>
          <w:rStyle w:val="TextoNormalNegritaCaracter"/>
        </w:rPr>
        <w:t>Acreditación de la representación procesal</w:t>
      </w:r>
      <w:bookmarkEnd w:id="1270"/>
      <w:r w:rsidRPr="00234417">
        <w:rPr>
          <w:rStyle w:val="TextoNormalCaracter"/>
        </w:rPr>
        <w:t xml:space="preserve">, Sentencia </w:t>
      </w:r>
      <w:hyperlink w:anchor="SENTENCIA_2013_90" w:history="1">
        <w:r w:rsidRPr="00234417">
          <w:rPr>
            <w:rStyle w:val="TextoNormalCaracter"/>
          </w:rPr>
          <w:t>90/2013</w:t>
        </w:r>
      </w:hyperlink>
      <w:r w:rsidRPr="00234417">
        <w:rPr>
          <w:rStyle w:val="TextoNormalCaracter"/>
        </w:rPr>
        <w:t>, f. 4.</w:t>
      </w:r>
    </w:p>
    <w:p w:rsidR="00234417" w:rsidRPr="00234417" w:rsidRDefault="00234417" w:rsidP="00234417">
      <w:pPr>
        <w:pStyle w:val="TextoNormalSangraFrancesa"/>
        <w:rPr>
          <w:rStyle w:val="TextoNormalCaracter"/>
        </w:rPr>
      </w:pPr>
      <w:bookmarkStart w:id="1271" w:name="DESCRIPTORALFABETICO236"/>
      <w:r w:rsidRPr="00234417">
        <w:rPr>
          <w:rStyle w:val="TextoNormalNegritaCaracter"/>
        </w:rPr>
        <w:t>Acreditación por el Abogado del Estado del perjuicio irreparable</w:t>
      </w:r>
      <w:bookmarkEnd w:id="1271"/>
      <w:r w:rsidRPr="00234417">
        <w:rPr>
          <w:rStyle w:val="TextoNormalCaracter"/>
        </w:rPr>
        <w:t xml:space="preserve">, Autos </w:t>
      </w:r>
      <w:hyperlink w:anchor="AUTO_2013_80" w:history="1">
        <w:r w:rsidRPr="00234417">
          <w:rPr>
            <w:rStyle w:val="TextoNormalCaracter"/>
          </w:rPr>
          <w:t>80/2013</w:t>
        </w:r>
      </w:hyperlink>
      <w:r w:rsidRPr="00234417">
        <w:rPr>
          <w:rStyle w:val="TextoNormalCaracter"/>
        </w:rPr>
        <w:t xml:space="preserve">, ff. 3, 5; </w:t>
      </w:r>
      <w:hyperlink w:anchor="AUTO_2013_88" w:history="1">
        <w:r w:rsidRPr="00234417">
          <w:rPr>
            <w:rStyle w:val="TextoNormalCaracter"/>
          </w:rPr>
          <w:t>88/2013</w:t>
        </w:r>
      </w:hyperlink>
      <w:r w:rsidRPr="00234417">
        <w:rPr>
          <w:rStyle w:val="TextoNormalCaracter"/>
        </w:rPr>
        <w:t xml:space="preserve">, f. 4; </w:t>
      </w:r>
      <w:hyperlink w:anchor="AUTO_2013_122" w:history="1">
        <w:r w:rsidRPr="00234417">
          <w:rPr>
            <w:rStyle w:val="TextoNormalCaracter"/>
          </w:rPr>
          <w:t>122/2013</w:t>
        </w:r>
      </w:hyperlink>
      <w:r w:rsidRPr="00234417">
        <w:rPr>
          <w:rStyle w:val="TextoNormalCaracter"/>
        </w:rPr>
        <w:t xml:space="preserve">, ff. 2, 3; </w:t>
      </w:r>
      <w:hyperlink w:anchor="AUTO_2013_123" w:history="1">
        <w:r w:rsidRPr="00234417">
          <w:rPr>
            <w:rStyle w:val="TextoNormalCaracter"/>
          </w:rPr>
          <w:t>123/2013</w:t>
        </w:r>
      </w:hyperlink>
      <w:r w:rsidRPr="00234417">
        <w:rPr>
          <w:rStyle w:val="TextoNormalCaracter"/>
        </w:rPr>
        <w:t xml:space="preserve">, ff. 4, 5; </w:t>
      </w:r>
      <w:hyperlink w:anchor="AUTO_2013_142" w:history="1">
        <w:r w:rsidRPr="00234417">
          <w:rPr>
            <w:rStyle w:val="TextoNormalCaracter"/>
          </w:rPr>
          <w:t>142/2013</w:t>
        </w:r>
      </w:hyperlink>
      <w:r w:rsidRPr="00234417">
        <w:rPr>
          <w:rStyle w:val="TextoNormalCaracter"/>
        </w:rPr>
        <w:t xml:space="preserve">, f. 3; </w:t>
      </w:r>
      <w:hyperlink w:anchor="AUTO_2013_146" w:history="1">
        <w:r w:rsidRPr="00234417">
          <w:rPr>
            <w:rStyle w:val="TextoNormalCaracter"/>
          </w:rPr>
          <w:t>146/2013</w:t>
        </w:r>
      </w:hyperlink>
      <w:r w:rsidRPr="00234417">
        <w:rPr>
          <w:rStyle w:val="TextoNormalCaracter"/>
        </w:rPr>
        <w:t>, f. 2.</w:t>
      </w:r>
    </w:p>
    <w:p w:rsidR="00234417" w:rsidRPr="00234417" w:rsidRDefault="00234417" w:rsidP="00234417">
      <w:pPr>
        <w:pStyle w:val="TextoNormalSangraFrancesa"/>
        <w:rPr>
          <w:rStyle w:val="TextoNormalCaracter"/>
        </w:rPr>
      </w:pPr>
      <w:bookmarkStart w:id="1272" w:name="DESCRIPTORALFABETICO649"/>
      <w:r w:rsidRPr="00234417">
        <w:rPr>
          <w:rStyle w:val="TextoNormalNegritaCaracter"/>
        </w:rPr>
        <w:t>Actualización del régimen foral</w:t>
      </w:r>
      <w:bookmarkEnd w:id="1272"/>
      <w:r w:rsidRPr="00234417">
        <w:rPr>
          <w:rStyle w:val="TextoNormalCaracter"/>
        </w:rPr>
        <w:t xml:space="preserve">, Sentencia </w:t>
      </w:r>
      <w:hyperlink w:anchor="SENTENCIA_2013_85" w:history="1">
        <w:r w:rsidRPr="00234417">
          <w:rPr>
            <w:rStyle w:val="TextoNormalCaracter"/>
          </w:rPr>
          <w:t>85/2013</w:t>
        </w:r>
      </w:hyperlink>
      <w:r w:rsidRPr="00234417">
        <w:rPr>
          <w:rStyle w:val="TextoNormalCaracter"/>
        </w:rPr>
        <w:t>, f- 5.</w:t>
      </w:r>
    </w:p>
    <w:p w:rsidR="00234417" w:rsidRPr="00234417" w:rsidRDefault="00234417" w:rsidP="00234417">
      <w:pPr>
        <w:pStyle w:val="TextoNormalSangraFrancesa"/>
        <w:rPr>
          <w:rStyle w:val="TextoNormalCaracter"/>
        </w:rPr>
      </w:pPr>
      <w:bookmarkStart w:id="1273" w:name="DESCRIPTORALFABETICO645"/>
      <w:r w:rsidRPr="00234417">
        <w:rPr>
          <w:rStyle w:val="TextoNormalNegritaCaracter"/>
        </w:rPr>
        <w:lastRenderedPageBreak/>
        <w:t>Acuerdos con la Santa Sede</w:t>
      </w:r>
      <w:bookmarkEnd w:id="1273"/>
      <w:r w:rsidRPr="00234417">
        <w:rPr>
          <w:rStyle w:val="TextoNormalCaracter"/>
        </w:rPr>
        <w:t xml:space="preserve">, Sentencia </w:t>
      </w:r>
      <w:hyperlink w:anchor="SENTENCIA_2013_131" w:history="1">
        <w:r w:rsidRPr="00234417">
          <w:rPr>
            <w:rStyle w:val="TextoNormalCaracter"/>
          </w:rPr>
          <w:t>131/2013</w:t>
        </w:r>
      </w:hyperlink>
      <w:r w:rsidRPr="00234417">
        <w:rPr>
          <w:rStyle w:val="TextoNormalCaracter"/>
        </w:rPr>
        <w:t>, f. 10, VP I, VP II, VP III, VP IV, VP V.</w:t>
      </w:r>
    </w:p>
    <w:p w:rsidR="00234417" w:rsidRPr="00234417" w:rsidRDefault="00234417" w:rsidP="00234417">
      <w:pPr>
        <w:pStyle w:val="TextoNormalSangraFrancesa"/>
        <w:rPr>
          <w:rStyle w:val="TextoNormalCaracter"/>
        </w:rPr>
      </w:pPr>
      <w:bookmarkStart w:id="1274" w:name="DESCRIPTORALFABETICO924"/>
      <w:r w:rsidRPr="00234417">
        <w:rPr>
          <w:rStyle w:val="TextoNormalNegritaCaracter"/>
        </w:rPr>
        <w:t>Acumulación de condenas</w:t>
      </w:r>
      <w:bookmarkEnd w:id="1274"/>
      <w:r w:rsidRPr="00234417">
        <w:rPr>
          <w:rStyle w:val="TextoNormalCaracter"/>
        </w:rPr>
        <w:t xml:space="preserve">, Sentencias </w:t>
      </w:r>
      <w:hyperlink w:anchor="SENTENCIA_2013_28" w:history="1">
        <w:r w:rsidRPr="00234417">
          <w:rPr>
            <w:rStyle w:val="TextoNormalCaracter"/>
          </w:rPr>
          <w:t>28/2013</w:t>
        </w:r>
      </w:hyperlink>
      <w:r w:rsidRPr="00234417">
        <w:rPr>
          <w:rStyle w:val="TextoNormalCaracter"/>
        </w:rPr>
        <w:t xml:space="preserve">, f. 3; </w:t>
      </w:r>
      <w:hyperlink w:anchor="SENTENCIA_2013_54" w:history="1">
        <w:r w:rsidRPr="00234417">
          <w:rPr>
            <w:rStyle w:val="TextoNormalCaracter"/>
          </w:rPr>
          <w:t>54/2013</w:t>
        </w:r>
      </w:hyperlink>
      <w:r w:rsidRPr="00234417">
        <w:rPr>
          <w:rStyle w:val="TextoNormalCaracter"/>
        </w:rPr>
        <w:t>, f. 3.</w:t>
      </w:r>
    </w:p>
    <w:p w:rsidR="00234417" w:rsidRPr="00234417" w:rsidRDefault="00234417" w:rsidP="00234417">
      <w:pPr>
        <w:pStyle w:val="TextoNormalSangraFrancesa"/>
        <w:rPr>
          <w:rStyle w:val="TextoNormalCaracter"/>
        </w:rPr>
      </w:pPr>
      <w:bookmarkStart w:id="1275" w:name="DESCRIPTORALFABETICO245"/>
      <w:r w:rsidRPr="00234417">
        <w:rPr>
          <w:rStyle w:val="TextoNormalNegritaCaracter"/>
        </w:rPr>
        <w:t>Acumulación de recursos de amparo</w:t>
      </w:r>
      <w:bookmarkEnd w:id="1275"/>
      <w:r w:rsidRPr="00234417">
        <w:rPr>
          <w:rStyle w:val="TextoNormalCaracter"/>
        </w:rPr>
        <w:t xml:space="preserve">, </w:t>
      </w:r>
    </w:p>
    <w:p w:rsidR="00234417" w:rsidRPr="00234417" w:rsidRDefault="00234417" w:rsidP="00234417">
      <w:pPr>
        <w:pStyle w:val="TextoNormalSangraFrancesa"/>
        <w:rPr>
          <w:rStyle w:val="TextoNormalCaracter"/>
        </w:rPr>
      </w:pPr>
      <w:r w:rsidRPr="00234417">
        <w:rPr>
          <w:rStyle w:val="TextoNormalCursivaCaracter"/>
        </w:rPr>
        <w:t xml:space="preserve">    Procedencia, </w:t>
      </w:r>
      <w:r w:rsidRPr="00234417">
        <w:rPr>
          <w:rStyle w:val="TextoNormalCaracter"/>
        </w:rPr>
        <w:t xml:space="preserve">Auto </w:t>
      </w:r>
      <w:hyperlink w:anchor="AUTO_2013_5" w:history="1">
        <w:r w:rsidRPr="00234417">
          <w:rPr>
            <w:rStyle w:val="TextoNormalCaracter"/>
          </w:rPr>
          <w:t>5/2013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276" w:name="DESCRIPTORALFABETICO246"/>
      <w:r w:rsidRPr="00234417">
        <w:rPr>
          <w:rStyle w:val="TextoNormalNegritaCaracter"/>
        </w:rPr>
        <w:t>Acumulación de recursos de inconstitucionalidad</w:t>
      </w:r>
      <w:bookmarkEnd w:id="1276"/>
      <w:r w:rsidRPr="00234417">
        <w:rPr>
          <w:rStyle w:val="TextoNormalCaracter"/>
        </w:rPr>
        <w:t xml:space="preserve">, </w:t>
      </w:r>
    </w:p>
    <w:p w:rsidR="00234417" w:rsidRPr="00234417" w:rsidRDefault="00234417" w:rsidP="00234417">
      <w:pPr>
        <w:pStyle w:val="TextoNormalSangraFrancesa"/>
        <w:rPr>
          <w:rStyle w:val="TextoNormalCaracter"/>
        </w:rPr>
      </w:pPr>
      <w:r w:rsidRPr="00234417">
        <w:rPr>
          <w:rStyle w:val="TextoNormalCursivaCaracter"/>
        </w:rPr>
        <w:t xml:space="preserve">    Procedencia, </w:t>
      </w:r>
      <w:r w:rsidRPr="00234417">
        <w:rPr>
          <w:rStyle w:val="TextoNormalCaracter"/>
        </w:rPr>
        <w:t xml:space="preserve">Auto </w:t>
      </w:r>
      <w:hyperlink w:anchor="AUTO_2013_78" w:history="1">
        <w:r w:rsidRPr="00234417">
          <w:rPr>
            <w:rStyle w:val="TextoNormalCaracter"/>
          </w:rPr>
          <w:t>78/2013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277" w:name="DESCRIPTORALFABETICO895"/>
      <w:r w:rsidRPr="00234417">
        <w:rPr>
          <w:rStyle w:val="TextoNormalNegritaCaracter"/>
        </w:rPr>
        <w:t>Acusación</w:t>
      </w:r>
      <w:bookmarkEnd w:id="1277"/>
      <w:r w:rsidRPr="00234417">
        <w:rPr>
          <w:rStyle w:val="TextoNormalCaracter"/>
        </w:rPr>
        <w:t xml:space="preserve">, Sentencia </w:t>
      </w:r>
      <w:hyperlink w:anchor="SENTENCIA_2013_57" w:history="1">
        <w:r w:rsidRPr="00234417">
          <w:rPr>
            <w:rStyle w:val="TextoNormalCaracter"/>
          </w:rPr>
          <w:t>57/2013</w:t>
        </w:r>
      </w:hyperlink>
      <w:r w:rsidRPr="00234417">
        <w:rPr>
          <w:rStyle w:val="TextoNormalCaracter"/>
        </w:rPr>
        <w:t>, ff. 2 a 6.</w:t>
      </w:r>
    </w:p>
    <w:p w:rsidR="00234417" w:rsidRPr="00234417" w:rsidRDefault="00234417" w:rsidP="00234417">
      <w:pPr>
        <w:pStyle w:val="TextoNormalSangraFrancesa"/>
        <w:rPr>
          <w:rStyle w:val="TextoNormalNegritaCaracter"/>
        </w:rPr>
      </w:pPr>
      <w:r w:rsidRPr="00234417">
        <w:rPr>
          <w:rStyle w:val="TextoNormalCursivaCaracter"/>
        </w:rPr>
        <w:t>Acusación penal</w:t>
      </w:r>
      <w:r>
        <w:t xml:space="preserve"> véase </w:t>
      </w:r>
      <w:hyperlink w:anchor="DESCRIPTORALFABETICO895" w:history="1">
        <w:r w:rsidRPr="00234417">
          <w:rPr>
            <w:rStyle w:val="TextoNormalNegritaCaracter"/>
          </w:rPr>
          <w:t>Acusación</w:t>
        </w:r>
      </w:hyperlink>
    </w:p>
    <w:p w:rsidR="00234417" w:rsidRPr="00234417" w:rsidRDefault="00234417" w:rsidP="00234417">
      <w:pPr>
        <w:pStyle w:val="TextoNormalSangraFrancesa"/>
        <w:rPr>
          <w:rStyle w:val="TextoNormalCaracter"/>
        </w:rPr>
      </w:pPr>
      <w:bookmarkStart w:id="1278" w:name="DESCRIPTORALFABETICO352"/>
      <w:r w:rsidRPr="00234417">
        <w:rPr>
          <w:rStyle w:val="TextoNormalNegritaCaracter"/>
        </w:rPr>
        <w:t>Administración de justicia</w:t>
      </w:r>
      <w:bookmarkEnd w:id="1278"/>
      <w:r w:rsidRPr="00234417">
        <w:rPr>
          <w:rStyle w:val="TextoNormalCaracter"/>
        </w:rPr>
        <w:t xml:space="preserve">, Sentencia </w:t>
      </w:r>
      <w:hyperlink w:anchor="SENTENCIA_2013_18" w:history="1">
        <w:r w:rsidRPr="00234417">
          <w:rPr>
            <w:rStyle w:val="TextoNormalCaracter"/>
          </w:rPr>
          <w:t>18/2013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1279" w:name="DESCRIPTORALFABETICO353"/>
      <w:r w:rsidRPr="00234417">
        <w:rPr>
          <w:rStyle w:val="TextoNormalNegritaCaracter"/>
        </w:rPr>
        <w:t>Administración de la Administración de justicia</w:t>
      </w:r>
      <w:bookmarkEnd w:id="1279"/>
      <w:r w:rsidRPr="00234417">
        <w:rPr>
          <w:rStyle w:val="TextoNormalCaracter"/>
        </w:rPr>
        <w:t xml:space="preserve">, Sentencia </w:t>
      </w:r>
      <w:hyperlink w:anchor="SENTENCIA_2013_18" w:history="1">
        <w:r w:rsidRPr="00234417">
          <w:rPr>
            <w:rStyle w:val="TextoNormalCaracter"/>
          </w:rPr>
          <w:t>18/2013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1280" w:name="DESCRIPTORALFABETICO357"/>
      <w:r w:rsidRPr="00234417">
        <w:rPr>
          <w:rStyle w:val="TextoNormalNegritaCaracter"/>
        </w:rPr>
        <w:t>Administración local</w:t>
      </w:r>
      <w:bookmarkEnd w:id="1280"/>
      <w:r w:rsidRPr="00234417">
        <w:rPr>
          <w:rStyle w:val="TextoNormalCaracter"/>
        </w:rPr>
        <w:t xml:space="preserve">, Sentencia </w:t>
      </w:r>
      <w:hyperlink w:anchor="SENTENCIA_2013_103" w:history="1">
        <w:r w:rsidRPr="00234417">
          <w:rPr>
            <w:rStyle w:val="TextoNormalCaracter"/>
          </w:rPr>
          <w:t>103/2013</w:t>
        </w:r>
      </w:hyperlink>
      <w:r w:rsidRPr="00234417">
        <w:rPr>
          <w:rStyle w:val="TextoNormalCaracter"/>
        </w:rPr>
        <w:t>, f. 5.</w:t>
      </w:r>
    </w:p>
    <w:p w:rsidR="00234417" w:rsidRPr="00234417" w:rsidRDefault="00234417" w:rsidP="00234417">
      <w:pPr>
        <w:pStyle w:val="TextoNormalSangraFrancesa"/>
        <w:rPr>
          <w:rStyle w:val="TextoNormalCaracter"/>
        </w:rPr>
      </w:pPr>
      <w:bookmarkStart w:id="1281" w:name="DESCRIPTORALFABETICO351"/>
      <w:r w:rsidRPr="00234417">
        <w:rPr>
          <w:rStyle w:val="TextoNormalNegritaCaracter"/>
        </w:rPr>
        <w:t>Administración pública</w:t>
      </w:r>
      <w:bookmarkEnd w:id="1281"/>
      <w:r w:rsidRPr="00234417">
        <w:rPr>
          <w:rStyle w:val="TextoNormalCaracter"/>
        </w:rPr>
        <w:t xml:space="preserve">, Sentencias </w:t>
      </w:r>
      <w:hyperlink w:anchor="SENTENCIA_2013_92" w:history="1">
        <w:r w:rsidRPr="00234417">
          <w:rPr>
            <w:rStyle w:val="TextoNormalCaracter"/>
          </w:rPr>
          <w:t>92/2013</w:t>
        </w:r>
      </w:hyperlink>
      <w:r w:rsidRPr="00234417">
        <w:rPr>
          <w:rStyle w:val="TextoNormalCaracter"/>
        </w:rPr>
        <w:t xml:space="preserve">, f. 5; </w:t>
      </w:r>
      <w:hyperlink w:anchor="SENTENCIA_2013_93" w:history="1">
        <w:r w:rsidRPr="00234417">
          <w:rPr>
            <w:rStyle w:val="TextoNormalCaracter"/>
          </w:rPr>
          <w:t>93/2013</w:t>
        </w:r>
      </w:hyperlink>
      <w:r w:rsidRPr="00234417">
        <w:rPr>
          <w:rStyle w:val="TextoNormalCaracter"/>
        </w:rPr>
        <w:t>, f. 13.</w:t>
      </w:r>
    </w:p>
    <w:p w:rsidR="00234417" w:rsidRPr="00234417" w:rsidRDefault="00234417" w:rsidP="00234417">
      <w:pPr>
        <w:pStyle w:val="TextoNormalSangraFrancesa"/>
        <w:rPr>
          <w:rStyle w:val="TextoNormalCaracter"/>
        </w:rPr>
      </w:pPr>
      <w:bookmarkStart w:id="1282" w:name="DESCRIPTORALFABETICO559"/>
      <w:r w:rsidRPr="00234417">
        <w:rPr>
          <w:rStyle w:val="TextoNormalNegritaCaracter"/>
        </w:rPr>
        <w:t>Adopción</w:t>
      </w:r>
      <w:bookmarkEnd w:id="1282"/>
      <w:r w:rsidRPr="00234417">
        <w:rPr>
          <w:rStyle w:val="TextoNormalCaracter"/>
        </w:rPr>
        <w:t xml:space="preserve">, Sentencia </w:t>
      </w:r>
      <w:hyperlink w:anchor="SENTENCIA_2013_93" w:history="1">
        <w:r w:rsidRPr="00234417">
          <w:rPr>
            <w:rStyle w:val="TextoNormalCaracter"/>
          </w:rPr>
          <w:t>93/2013</w:t>
        </w:r>
      </w:hyperlink>
      <w:r w:rsidRPr="00234417">
        <w:rPr>
          <w:rStyle w:val="TextoNormalCaracter"/>
        </w:rPr>
        <w:t>, f. 12, VP II.</w:t>
      </w:r>
    </w:p>
    <w:p w:rsidR="00234417" w:rsidRPr="00234417" w:rsidRDefault="00234417" w:rsidP="00234417">
      <w:pPr>
        <w:pStyle w:val="TextoNormalSangraFrancesa"/>
        <w:rPr>
          <w:rStyle w:val="TextoNormalCaracter"/>
        </w:rPr>
      </w:pPr>
      <w:bookmarkStart w:id="1283" w:name="DESCRIPTORALFABETICO548"/>
      <w:r w:rsidRPr="00234417">
        <w:rPr>
          <w:rStyle w:val="TextoNormalNegritaCaracter"/>
        </w:rPr>
        <w:t>Agencias de colocación</w:t>
      </w:r>
      <w:bookmarkEnd w:id="1283"/>
      <w:r w:rsidRPr="00234417">
        <w:rPr>
          <w:rStyle w:val="TextoNormalCaracter"/>
        </w:rPr>
        <w:t xml:space="preserve">, Sentencia </w:t>
      </w:r>
      <w:hyperlink w:anchor="SENTENCIA_2013_104" w:history="1">
        <w:r w:rsidRPr="00234417">
          <w:rPr>
            <w:rStyle w:val="TextoNormalCaracter"/>
          </w:rPr>
          <w:t>104/2013</w:t>
        </w:r>
      </w:hyperlink>
      <w:r w:rsidRPr="00234417">
        <w:rPr>
          <w:rStyle w:val="TextoNormalCaracter"/>
        </w:rPr>
        <w:t>, f. 4.</w:t>
      </w:r>
    </w:p>
    <w:p w:rsidR="00234417" w:rsidRPr="00234417" w:rsidRDefault="00234417" w:rsidP="00234417">
      <w:pPr>
        <w:pStyle w:val="TextoNormalSangraFrancesa"/>
        <w:rPr>
          <w:rStyle w:val="TextoNormalCaracter"/>
        </w:rPr>
      </w:pPr>
      <w:bookmarkStart w:id="1284" w:name="DESCRIPTORALFABETICO308"/>
      <w:r w:rsidRPr="00234417">
        <w:rPr>
          <w:rStyle w:val="TextoNormalNegritaCaracter"/>
        </w:rPr>
        <w:t>Agotamiento de la vía judicial</w:t>
      </w:r>
      <w:bookmarkEnd w:id="1284"/>
      <w:r w:rsidRPr="00234417">
        <w:rPr>
          <w:rStyle w:val="TextoNormalCaracter"/>
        </w:rPr>
        <w:t xml:space="preserve">, Sentencias </w:t>
      </w:r>
      <w:hyperlink w:anchor="SENTENCIA_2013_1" w:history="1">
        <w:r w:rsidRPr="00234417">
          <w:rPr>
            <w:rStyle w:val="TextoNormalCaracter"/>
          </w:rPr>
          <w:t>1/2013</w:t>
        </w:r>
      </w:hyperlink>
      <w:r w:rsidRPr="00234417">
        <w:rPr>
          <w:rStyle w:val="TextoNormalCaracter"/>
        </w:rPr>
        <w:t xml:space="preserve">, f. 2; </w:t>
      </w:r>
      <w:hyperlink w:anchor="SENTENCIA_2013_28" w:history="1">
        <w:r w:rsidRPr="00234417">
          <w:rPr>
            <w:rStyle w:val="TextoNormalCaracter"/>
          </w:rPr>
          <w:t>28/2013</w:t>
        </w:r>
      </w:hyperlink>
      <w:r w:rsidRPr="00234417">
        <w:rPr>
          <w:rStyle w:val="TextoNormalCaracter"/>
        </w:rPr>
        <w:t xml:space="preserve">, f. 3; </w:t>
      </w:r>
      <w:hyperlink w:anchor="SENTENCIA_2013_29" w:history="1">
        <w:r w:rsidRPr="00234417">
          <w:rPr>
            <w:rStyle w:val="TextoNormalCaracter"/>
          </w:rPr>
          <w:t>29/2013</w:t>
        </w:r>
      </w:hyperlink>
      <w:r w:rsidRPr="00234417">
        <w:rPr>
          <w:rStyle w:val="TextoNormalCaracter"/>
        </w:rPr>
        <w:t xml:space="preserve">, f. 3; </w:t>
      </w:r>
      <w:hyperlink w:anchor="SENTENCIA_2013_54" w:history="1">
        <w:r w:rsidRPr="00234417">
          <w:rPr>
            <w:rStyle w:val="TextoNormalCaracter"/>
          </w:rPr>
          <w:t>54/2013</w:t>
        </w:r>
      </w:hyperlink>
      <w:r w:rsidRPr="00234417">
        <w:rPr>
          <w:rStyle w:val="TextoNormalCaracter"/>
        </w:rPr>
        <w:t xml:space="preserve">, f. 3; </w:t>
      </w:r>
      <w:hyperlink w:anchor="SENTENCIA_2013_56" w:history="1">
        <w:r w:rsidRPr="00234417">
          <w:rPr>
            <w:rStyle w:val="TextoNormalCaracter"/>
          </w:rPr>
          <w:t>56/2013</w:t>
        </w:r>
      </w:hyperlink>
      <w:r w:rsidRPr="00234417">
        <w:rPr>
          <w:rStyle w:val="TextoNormalCaracter"/>
        </w:rPr>
        <w:t xml:space="preserve">, f. 1; </w:t>
      </w:r>
      <w:hyperlink w:anchor="SENTENCIA_2013_106" w:history="1">
        <w:r w:rsidRPr="00234417">
          <w:rPr>
            <w:rStyle w:val="TextoNormalCaracter"/>
          </w:rPr>
          <w:t>106/2013</w:t>
        </w:r>
      </w:hyperlink>
      <w:r w:rsidRPr="00234417">
        <w:rPr>
          <w:rStyle w:val="TextoNormalCaracter"/>
        </w:rPr>
        <w:t xml:space="preserve">, f. 3; </w:t>
      </w:r>
      <w:hyperlink w:anchor="SENTENCIA_2013_110" w:history="1">
        <w:r w:rsidRPr="00234417">
          <w:rPr>
            <w:rStyle w:val="TextoNormalCaracter"/>
          </w:rPr>
          <w:t>110/2013</w:t>
        </w:r>
      </w:hyperlink>
      <w:r w:rsidRPr="00234417">
        <w:rPr>
          <w:rStyle w:val="TextoNormalCaracter"/>
        </w:rPr>
        <w:t xml:space="preserve">, f. 2; </w:t>
      </w:r>
      <w:hyperlink w:anchor="SENTENCIA_2013_127" w:history="1">
        <w:r w:rsidRPr="00234417">
          <w:rPr>
            <w:rStyle w:val="TextoNormalCaracter"/>
          </w:rPr>
          <w:t>127/2013</w:t>
        </w:r>
      </w:hyperlink>
      <w:r w:rsidRPr="00234417">
        <w:rPr>
          <w:rStyle w:val="TextoNormalCaracter"/>
        </w:rPr>
        <w:t>, f. 2.</w:t>
      </w:r>
    </w:p>
    <w:p w:rsidR="00234417" w:rsidRPr="00234417" w:rsidRDefault="00234417" w:rsidP="00234417">
      <w:pPr>
        <w:pStyle w:val="TextoNormalSangraFrancesa"/>
        <w:rPr>
          <w:rStyle w:val="TextoNormalNegritaCaracter"/>
        </w:rPr>
      </w:pPr>
      <w:r w:rsidRPr="00234417">
        <w:rPr>
          <w:rStyle w:val="TextoNormalCursivaCaracter"/>
        </w:rPr>
        <w:t>Agotamiento de recursos en la vía judicial</w:t>
      </w:r>
      <w:r>
        <w:t xml:space="preserve"> véase </w:t>
      </w:r>
      <w:hyperlink w:anchor="DESCRIPTORALFABETICO308" w:history="1">
        <w:r w:rsidRPr="00234417">
          <w:rPr>
            <w:rStyle w:val="TextoNormalNegritaCaracter"/>
          </w:rPr>
          <w:t>Agotamiento de la vía judicial</w:t>
        </w:r>
      </w:hyperlink>
    </w:p>
    <w:p w:rsidR="00234417" w:rsidRPr="00234417" w:rsidRDefault="00234417" w:rsidP="00234417">
      <w:pPr>
        <w:pStyle w:val="TextoNormalSangraFrancesa"/>
        <w:rPr>
          <w:rStyle w:val="TextoNormalCaracter"/>
        </w:rPr>
      </w:pPr>
      <w:bookmarkStart w:id="1285" w:name="DESCRIPTORALFABETICO479"/>
      <w:r w:rsidRPr="00234417">
        <w:rPr>
          <w:rStyle w:val="TextoNormalNegritaCaracter"/>
        </w:rPr>
        <w:t>Aguas</w:t>
      </w:r>
      <w:bookmarkEnd w:id="1285"/>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ff. 2, 3; </w:t>
      </w:r>
      <w:hyperlink w:anchor="SENTENCIA_2013_36" w:history="1">
        <w:r w:rsidRPr="00234417">
          <w:rPr>
            <w:rStyle w:val="TextoNormalCaracter"/>
          </w:rPr>
          <w:t>36/2013</w:t>
        </w:r>
      </w:hyperlink>
      <w:r w:rsidRPr="00234417">
        <w:rPr>
          <w:rStyle w:val="TextoNormalCaracter"/>
        </w:rPr>
        <w:t xml:space="preserve">, f. 8; </w:t>
      </w:r>
      <w:hyperlink w:anchor="SENTENCIA_2013_51" w:history="1">
        <w:r w:rsidRPr="00234417">
          <w:rPr>
            <w:rStyle w:val="TextoNormalCaracter"/>
          </w:rPr>
          <w:t>51/2013</w:t>
        </w:r>
      </w:hyperlink>
      <w:r w:rsidRPr="00234417">
        <w:rPr>
          <w:rStyle w:val="TextoNormalCaracter"/>
        </w:rPr>
        <w:t xml:space="preserve">, ff. 2, 4, 5, 6; </w:t>
      </w:r>
      <w:hyperlink w:anchor="SENTENCIA_2013_64" w:history="1">
        <w:r w:rsidRPr="00234417">
          <w:rPr>
            <w:rStyle w:val="TextoNormalCaracter"/>
          </w:rPr>
          <w:t>64/2013</w:t>
        </w:r>
      </w:hyperlink>
      <w:r w:rsidRPr="00234417">
        <w:rPr>
          <w:rStyle w:val="TextoNormalCaracter"/>
        </w:rPr>
        <w:t xml:space="preserve">, ff. 3, 4, 6; </w:t>
      </w:r>
      <w:hyperlink w:anchor="SENTENCIA_2013_85" w:history="1">
        <w:r w:rsidRPr="00234417">
          <w:rPr>
            <w:rStyle w:val="TextoNormalCaracter"/>
          </w:rPr>
          <w:t>85/2013</w:t>
        </w:r>
      </w:hyperlink>
      <w:r w:rsidRPr="00234417">
        <w:rPr>
          <w:rStyle w:val="TextoNormalCaracter"/>
        </w:rPr>
        <w:t xml:space="preserve">, f. 5; </w:t>
      </w:r>
      <w:hyperlink w:anchor="SENTENCIA_2013_104" w:history="1">
        <w:r w:rsidRPr="00234417">
          <w:rPr>
            <w:rStyle w:val="TextoNormalCaracter"/>
          </w:rPr>
          <w:t>104/2013</w:t>
        </w:r>
      </w:hyperlink>
      <w:r w:rsidRPr="00234417">
        <w:rPr>
          <w:rStyle w:val="TextoNormalCaracter"/>
        </w:rPr>
        <w:t>, f. 6.</w:t>
      </w:r>
    </w:p>
    <w:p w:rsidR="00234417" w:rsidRPr="00234417" w:rsidRDefault="00234417" w:rsidP="00234417">
      <w:pPr>
        <w:pStyle w:val="TextoNormalSangraFrancesa"/>
        <w:rPr>
          <w:rStyle w:val="TextoNormalCaracter"/>
        </w:rPr>
      </w:pPr>
      <w:bookmarkStart w:id="1286" w:name="DESCRIPTORALFABETICO481"/>
      <w:r w:rsidRPr="00234417">
        <w:rPr>
          <w:rStyle w:val="TextoNormalNegritaCaracter"/>
        </w:rPr>
        <w:t>Aguas interautonómicas</w:t>
      </w:r>
      <w:bookmarkEnd w:id="1286"/>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 2; </w:t>
      </w:r>
      <w:hyperlink w:anchor="SENTENCIA_2013_36" w:history="1">
        <w:r w:rsidRPr="00234417">
          <w:rPr>
            <w:rStyle w:val="TextoNormalCaracter"/>
          </w:rPr>
          <w:t>36/2013</w:t>
        </w:r>
      </w:hyperlink>
      <w:r w:rsidRPr="00234417">
        <w:rPr>
          <w:rStyle w:val="TextoNormalCaracter"/>
        </w:rPr>
        <w:t xml:space="preserve">, f. 8; </w:t>
      </w:r>
      <w:hyperlink w:anchor="SENTENCIA_2013_51" w:history="1">
        <w:r w:rsidRPr="00234417">
          <w:rPr>
            <w:rStyle w:val="TextoNormalCaracter"/>
          </w:rPr>
          <w:t>51/2013</w:t>
        </w:r>
      </w:hyperlink>
      <w:r w:rsidRPr="00234417">
        <w:rPr>
          <w:rStyle w:val="TextoNormalCaracter"/>
        </w:rPr>
        <w:t>, ff. 2, 4, 5.</w:t>
      </w:r>
    </w:p>
    <w:p w:rsidR="00234417" w:rsidRPr="00234417" w:rsidRDefault="00234417" w:rsidP="00234417">
      <w:pPr>
        <w:pStyle w:val="TextoNormalSangraFrancesa"/>
        <w:rPr>
          <w:rStyle w:val="TextoNormalCaracter"/>
        </w:rPr>
      </w:pPr>
      <w:bookmarkStart w:id="1287" w:name="DESCRIPTORALFABETICO450"/>
      <w:r w:rsidRPr="00234417">
        <w:rPr>
          <w:rStyle w:val="TextoNormalNegritaCaracter"/>
        </w:rPr>
        <w:t>Alcaldes</w:t>
      </w:r>
      <w:bookmarkEnd w:id="1287"/>
      <w:r w:rsidRPr="00234417">
        <w:rPr>
          <w:rStyle w:val="TextoNormalCaracter"/>
        </w:rPr>
        <w:t xml:space="preserve">, Sentencia </w:t>
      </w:r>
      <w:hyperlink w:anchor="SENTENCIA_2013_125" w:history="1">
        <w:r w:rsidRPr="00234417">
          <w:rPr>
            <w:rStyle w:val="TextoNormalCaracter"/>
          </w:rPr>
          <w:t>125/2013</w:t>
        </w:r>
      </w:hyperlink>
      <w:r w:rsidRPr="00234417">
        <w:rPr>
          <w:rStyle w:val="TextoNormalCaracter"/>
        </w:rPr>
        <w:t>, ff. 4 a 8.</w:t>
      </w:r>
    </w:p>
    <w:p w:rsidR="00234417" w:rsidRPr="00234417" w:rsidRDefault="00234417" w:rsidP="00234417">
      <w:pPr>
        <w:pStyle w:val="TextoNormalSangraFrancesa"/>
        <w:rPr>
          <w:rStyle w:val="TextoNormalCaracter"/>
        </w:rPr>
      </w:pPr>
      <w:bookmarkStart w:id="1288" w:name="DESCRIPTORALFABETICO288"/>
      <w:r w:rsidRPr="00234417">
        <w:rPr>
          <w:rStyle w:val="TextoNormalNegritaCaracter"/>
        </w:rPr>
        <w:t>Alcance de la declaración de inconstitucionalidad</w:t>
      </w:r>
      <w:bookmarkEnd w:id="1288"/>
      <w:r w:rsidRPr="00234417">
        <w:rPr>
          <w:rStyle w:val="TextoNormalCaracter"/>
        </w:rPr>
        <w:t xml:space="preserve">, Sentencia </w:t>
      </w:r>
      <w:hyperlink w:anchor="SENTENCIA_2013_104" w:history="1">
        <w:r w:rsidRPr="00234417">
          <w:rPr>
            <w:rStyle w:val="TextoNormalCaracter"/>
          </w:rPr>
          <w:t>104/2013</w:t>
        </w:r>
      </w:hyperlink>
      <w:r w:rsidRPr="00234417">
        <w:rPr>
          <w:rStyle w:val="TextoNormalCaracter"/>
        </w:rPr>
        <w:t>, f. 4.</w:t>
      </w:r>
    </w:p>
    <w:p w:rsidR="00234417" w:rsidRPr="00234417" w:rsidRDefault="00234417" w:rsidP="00234417">
      <w:pPr>
        <w:pStyle w:val="TextoNormalSangraFrancesa"/>
        <w:rPr>
          <w:rStyle w:val="TextoNormalCaracter"/>
        </w:rPr>
      </w:pPr>
      <w:bookmarkStart w:id="1289" w:name="DESCRIPTORALFABETICO264"/>
      <w:r w:rsidRPr="00234417">
        <w:rPr>
          <w:rStyle w:val="TextoNormalNegritaCaracter"/>
        </w:rPr>
        <w:t>Alcance del fallo en conflictos positivos de competencia</w:t>
      </w:r>
      <w:bookmarkEnd w:id="1289"/>
      <w:r w:rsidRPr="00234417">
        <w:rPr>
          <w:rStyle w:val="TextoNormalCaracter"/>
        </w:rPr>
        <w:t xml:space="preserve">, Sentencia </w:t>
      </w:r>
      <w:hyperlink w:anchor="SENTENCIA_2013_26" w:history="1">
        <w:r w:rsidRPr="00234417">
          <w:rPr>
            <w:rStyle w:val="TextoNormalCaracter"/>
          </w:rPr>
          <w:t>26/2013</w:t>
        </w:r>
      </w:hyperlink>
      <w:r w:rsidRPr="00234417">
        <w:rPr>
          <w:rStyle w:val="TextoNormalCaracter"/>
        </w:rPr>
        <w:t>, f. 9.</w:t>
      </w:r>
    </w:p>
    <w:p w:rsidR="00234417" w:rsidRPr="00234417" w:rsidRDefault="00234417" w:rsidP="00234417">
      <w:pPr>
        <w:pStyle w:val="TextoNormalSangraFrancesa"/>
        <w:rPr>
          <w:rStyle w:val="TextoNormalCaracter"/>
        </w:rPr>
      </w:pPr>
      <w:bookmarkStart w:id="1290" w:name="DESCRIPTORALFABETICO336"/>
      <w:r w:rsidRPr="00234417">
        <w:rPr>
          <w:rStyle w:val="TextoNormalNegritaCaracter"/>
        </w:rPr>
        <w:t>Alcance del fallo en recurso de amparo</w:t>
      </w:r>
      <w:bookmarkEnd w:id="1290"/>
      <w:r w:rsidRPr="00234417">
        <w:rPr>
          <w:rStyle w:val="TextoNormalCaracter"/>
        </w:rPr>
        <w:t xml:space="preserve">, Sentencia </w:t>
      </w:r>
      <w:hyperlink w:anchor="SENTENCIA_2013_108" w:history="1">
        <w:r w:rsidRPr="00234417">
          <w:rPr>
            <w:rStyle w:val="TextoNormalCaracter"/>
          </w:rPr>
          <w:t>108/2013</w:t>
        </w:r>
      </w:hyperlink>
      <w:r w:rsidRPr="00234417">
        <w:rPr>
          <w:rStyle w:val="TextoNormalCaracter"/>
        </w:rPr>
        <w:t>, f. 6.</w:t>
      </w:r>
    </w:p>
    <w:p w:rsidR="00234417" w:rsidRPr="00234417" w:rsidRDefault="00234417" w:rsidP="00234417">
      <w:pPr>
        <w:pStyle w:val="TextoNormalSangraFrancesa"/>
        <w:rPr>
          <w:rStyle w:val="TextoNormalCaracter"/>
        </w:rPr>
      </w:pPr>
      <w:bookmarkStart w:id="1291" w:name="DESCRIPTORALFABETICO885"/>
      <w:r w:rsidRPr="00234417">
        <w:rPr>
          <w:rStyle w:val="TextoNormalNegritaCaracter"/>
        </w:rPr>
        <w:t>Allanamiento procesal</w:t>
      </w:r>
      <w:bookmarkEnd w:id="1291"/>
      <w:r w:rsidRPr="00234417">
        <w:rPr>
          <w:rStyle w:val="TextoNormalCaracter"/>
        </w:rPr>
        <w:t xml:space="preserve">, Sentencia </w:t>
      </w:r>
      <w:hyperlink w:anchor="SENTENCIA_2013_106" w:history="1">
        <w:r w:rsidRPr="00234417">
          <w:rPr>
            <w:rStyle w:val="TextoNormalCaracter"/>
          </w:rPr>
          <w:t>106/2013</w:t>
        </w:r>
      </w:hyperlink>
      <w:r w:rsidRPr="00234417">
        <w:rPr>
          <w:rStyle w:val="TextoNormalCaracter"/>
        </w:rPr>
        <w:t>, ff. 4, 5.</w:t>
      </w:r>
    </w:p>
    <w:p w:rsidR="00234417" w:rsidRPr="00234417" w:rsidRDefault="00234417" w:rsidP="00234417">
      <w:pPr>
        <w:pStyle w:val="TextoNormalSangraFrancesa"/>
        <w:rPr>
          <w:rStyle w:val="TextoNormalCaracter"/>
        </w:rPr>
      </w:pPr>
      <w:bookmarkStart w:id="1292" w:name="DESCRIPTORALFABETICO625"/>
      <w:r w:rsidRPr="00234417">
        <w:rPr>
          <w:rStyle w:val="TextoNormalNegritaCaracter"/>
        </w:rPr>
        <w:t>Almacenamiento de residuos nucleares</w:t>
      </w:r>
      <w:bookmarkEnd w:id="1292"/>
      <w:r w:rsidRPr="00234417">
        <w:rPr>
          <w:rStyle w:val="TextoNormalCaracter"/>
        </w:rPr>
        <w:t xml:space="preserve">, Sentencia </w:t>
      </w:r>
      <w:hyperlink w:anchor="SENTENCIA_2013_60" w:history="1">
        <w:r w:rsidRPr="00234417">
          <w:rPr>
            <w:rStyle w:val="TextoNormalCaracter"/>
          </w:rPr>
          <w:t>60/2013</w:t>
        </w:r>
      </w:hyperlink>
      <w:r w:rsidRPr="00234417">
        <w:rPr>
          <w:rStyle w:val="TextoNormalCaracter"/>
        </w:rPr>
        <w:t>, ff. 2, 6, 7.</w:t>
      </w:r>
    </w:p>
    <w:p w:rsidR="00234417" w:rsidRPr="00234417" w:rsidRDefault="00234417" w:rsidP="00234417">
      <w:pPr>
        <w:pStyle w:val="TextoNormalSangraFrancesa"/>
        <w:rPr>
          <w:rStyle w:val="TextoNormalCaracter"/>
        </w:rPr>
      </w:pPr>
      <w:bookmarkStart w:id="1293" w:name="DESCRIPTORALFABETICO168"/>
      <w:r w:rsidRPr="00234417">
        <w:rPr>
          <w:rStyle w:val="TextoNormalNegritaCaracter"/>
        </w:rPr>
        <w:t>Alteración del fallo</w:t>
      </w:r>
      <w:bookmarkEnd w:id="1293"/>
      <w:r w:rsidRPr="00234417">
        <w:rPr>
          <w:rStyle w:val="TextoNormalCaracter"/>
        </w:rPr>
        <w:t xml:space="preserve">, Sentencia </w:t>
      </w:r>
      <w:hyperlink w:anchor="SENTENCIA_2013_126" w:history="1">
        <w:r w:rsidRPr="00234417">
          <w:rPr>
            <w:rStyle w:val="TextoNormalCaracter"/>
          </w:rPr>
          <w:t>126/2013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1294" w:name="DESCRIPTORALFABETICO934"/>
      <w:r w:rsidRPr="00234417">
        <w:rPr>
          <w:rStyle w:val="TextoNormalNegritaCaracter"/>
        </w:rPr>
        <w:t>Andalucía</w:t>
      </w:r>
      <w:bookmarkEnd w:id="1294"/>
      <w:r w:rsidRPr="00234417">
        <w:rPr>
          <w:rStyle w:val="TextoNormalCaracter"/>
        </w:rPr>
        <w:t xml:space="preserve">, Sentencias </w:t>
      </w:r>
      <w:hyperlink w:anchor="SENTENCIA_2013_3" w:history="1">
        <w:r w:rsidRPr="00234417">
          <w:rPr>
            <w:rStyle w:val="TextoNormalCaracter"/>
          </w:rPr>
          <w:t>3/2013</w:t>
        </w:r>
      </w:hyperlink>
      <w:r w:rsidRPr="00234417">
        <w:rPr>
          <w:rStyle w:val="TextoNormalCaracter"/>
        </w:rPr>
        <w:t xml:space="preserve">, f. 5; </w:t>
      </w:r>
      <w:hyperlink w:anchor="SENTENCIA_2013_35" w:history="1">
        <w:r w:rsidRPr="00234417">
          <w:rPr>
            <w:rStyle w:val="TextoNormalCaracter"/>
          </w:rPr>
          <w:t>35/2013</w:t>
        </w:r>
      </w:hyperlink>
      <w:r w:rsidRPr="00234417">
        <w:rPr>
          <w:rStyle w:val="TextoNormalCaracter"/>
        </w:rPr>
        <w:t xml:space="preserve">, ff. 1 a 10; </w:t>
      </w:r>
      <w:hyperlink w:anchor="SENTENCIA_2013_63" w:history="1">
        <w:r w:rsidRPr="00234417">
          <w:rPr>
            <w:rStyle w:val="TextoNormalCaracter"/>
          </w:rPr>
          <w:t>63/2013</w:t>
        </w:r>
      </w:hyperlink>
      <w:r w:rsidRPr="00234417">
        <w:rPr>
          <w:rStyle w:val="TextoNormalCaracter"/>
        </w:rPr>
        <w:t xml:space="preserve">, ff. 2, 3; </w:t>
      </w:r>
      <w:hyperlink w:anchor="SENTENCIA_2013_83" w:history="1">
        <w:r w:rsidRPr="00234417">
          <w:rPr>
            <w:rStyle w:val="TextoNormalCaracter"/>
          </w:rPr>
          <w:t>83/2013</w:t>
        </w:r>
      </w:hyperlink>
      <w:r w:rsidRPr="00234417">
        <w:rPr>
          <w:rStyle w:val="TextoNormalCaracter"/>
        </w:rPr>
        <w:t>, ff. 2, 3, 4, 5.</w:t>
      </w:r>
    </w:p>
    <w:p w:rsidR="00234417" w:rsidRPr="00234417" w:rsidRDefault="00234417" w:rsidP="00234417">
      <w:pPr>
        <w:pStyle w:val="TextoNormalSangraFrancesa"/>
        <w:rPr>
          <w:rStyle w:val="TextoNormalCaracter"/>
        </w:rPr>
      </w:pPr>
      <w:bookmarkStart w:id="1295" w:name="DESCRIPTORALFABETICO328"/>
      <w:r w:rsidRPr="00234417">
        <w:rPr>
          <w:rStyle w:val="TextoNormalNegritaCaracter"/>
        </w:rPr>
        <w:t>Apartamiento de doctrina constitucional</w:t>
      </w:r>
      <w:bookmarkEnd w:id="1295"/>
      <w:r w:rsidRPr="00234417">
        <w:rPr>
          <w:rStyle w:val="TextoNormalCaracter"/>
        </w:rPr>
        <w:t xml:space="preserve">, Sentencia </w:t>
      </w:r>
      <w:hyperlink w:anchor="SENTENCIA_2013_88" w:history="1">
        <w:r w:rsidRPr="00234417">
          <w:rPr>
            <w:rStyle w:val="TextoNormalCaracter"/>
          </w:rPr>
          <w:t>88/2013</w:t>
        </w:r>
      </w:hyperlink>
      <w:r w:rsidRPr="00234417">
        <w:rPr>
          <w:rStyle w:val="TextoNormalCaracter"/>
        </w:rPr>
        <w:t>, ff. 2 a 5, VP I.</w:t>
      </w:r>
    </w:p>
    <w:p w:rsidR="00234417" w:rsidRPr="00234417" w:rsidRDefault="00234417" w:rsidP="00234417">
      <w:pPr>
        <w:pStyle w:val="TextoNormalSangraFrancesa"/>
        <w:rPr>
          <w:rStyle w:val="TextoNormalNegritaCaracter"/>
        </w:rPr>
      </w:pPr>
      <w:r w:rsidRPr="00234417">
        <w:rPr>
          <w:rStyle w:val="TextoNormalCursivaCaracter"/>
        </w:rPr>
        <w:t>Aplicabilidad de la norma cuestionada</w:t>
      </w:r>
      <w:r>
        <w:t xml:space="preserve"> véase </w:t>
      </w:r>
      <w:hyperlink w:anchor="DESCRIPTORALFABETICO282" w:history="1">
        <w:r w:rsidRPr="00234417">
          <w:rPr>
            <w:rStyle w:val="TextoNormalNegritaCaracter"/>
          </w:rPr>
          <w:t>Juicio de aplicabilidad</w:t>
        </w:r>
      </w:hyperlink>
    </w:p>
    <w:p w:rsidR="00234417" w:rsidRPr="00234417" w:rsidRDefault="00234417" w:rsidP="00234417">
      <w:pPr>
        <w:pStyle w:val="TextoNormalSangraFrancesa"/>
        <w:rPr>
          <w:rStyle w:val="TextoNormalCaracter"/>
        </w:rPr>
      </w:pPr>
      <w:bookmarkStart w:id="1296" w:name="DESCRIPTORALFABETICO329"/>
      <w:r w:rsidRPr="00234417">
        <w:rPr>
          <w:rStyle w:val="TextoNormalNegritaCaracter"/>
        </w:rPr>
        <w:t>Aplicación de doctrina de sentencia precedente</w:t>
      </w:r>
      <w:bookmarkEnd w:id="1296"/>
      <w:r w:rsidRPr="00234417">
        <w:rPr>
          <w:rStyle w:val="TextoNormalCaracter"/>
        </w:rPr>
        <w:t xml:space="preserve">, Sentencia </w:t>
      </w:r>
      <w:hyperlink w:anchor="SENTENCIA_2013_69" w:history="1">
        <w:r w:rsidRPr="00234417">
          <w:rPr>
            <w:rStyle w:val="TextoNormalCaracter"/>
          </w:rPr>
          <w:t>69/2013</w:t>
        </w:r>
      </w:hyperlink>
      <w:r w:rsidRPr="00234417">
        <w:rPr>
          <w:rStyle w:val="TextoNormalCaracter"/>
        </w:rPr>
        <w:t>, f. 6.</w:t>
      </w:r>
    </w:p>
    <w:p w:rsidR="00234417" w:rsidRPr="00234417" w:rsidRDefault="00234417" w:rsidP="00234417">
      <w:pPr>
        <w:pStyle w:val="TextoNormalSangraFrancesa"/>
        <w:rPr>
          <w:rStyle w:val="TextoNormalNegritaCaracter"/>
        </w:rPr>
      </w:pPr>
      <w:r w:rsidRPr="00234417">
        <w:rPr>
          <w:rStyle w:val="TextoNormalCursivaCaracter"/>
        </w:rPr>
        <w:t>Apreciación de la prueba</w:t>
      </w:r>
      <w:r>
        <w:t xml:space="preserve"> véase </w:t>
      </w:r>
      <w:hyperlink w:anchor="DESCRIPTORALFABETICO851" w:history="1">
        <w:r w:rsidRPr="00234417">
          <w:rPr>
            <w:rStyle w:val="TextoNormalNegritaCaracter"/>
          </w:rPr>
          <w:t>Valoración de la prueba</w:t>
        </w:r>
      </w:hyperlink>
    </w:p>
    <w:p w:rsidR="00234417" w:rsidRPr="00234417" w:rsidRDefault="00234417" w:rsidP="00234417">
      <w:pPr>
        <w:pStyle w:val="TextoNormalSangraFrancesa"/>
        <w:rPr>
          <w:rStyle w:val="TextoNormalCaracter"/>
        </w:rPr>
      </w:pPr>
      <w:bookmarkStart w:id="1297" w:name="DESCRIPTORALFABETICO491"/>
      <w:r w:rsidRPr="00234417">
        <w:rPr>
          <w:rStyle w:val="TextoNormalNegritaCaracter"/>
        </w:rPr>
        <w:t>Aprovechamientos cinegéticos</w:t>
      </w:r>
      <w:bookmarkEnd w:id="1297"/>
      <w:r w:rsidRPr="00234417">
        <w:rPr>
          <w:rStyle w:val="TextoNormalCaracter"/>
        </w:rPr>
        <w:t xml:space="preserve">, Sentencia </w:t>
      </w:r>
      <w:hyperlink w:anchor="SENTENCIA_2013_69" w:history="1">
        <w:r w:rsidRPr="00234417">
          <w:rPr>
            <w:rStyle w:val="TextoNormalCaracter"/>
          </w:rPr>
          <w:t>69/2013</w:t>
        </w:r>
      </w:hyperlink>
      <w:r w:rsidRPr="00234417">
        <w:rPr>
          <w:rStyle w:val="TextoNormalCaracter"/>
        </w:rPr>
        <w:t>, f. 1.</w:t>
      </w:r>
    </w:p>
    <w:p w:rsidR="00234417" w:rsidRPr="00234417" w:rsidRDefault="00234417" w:rsidP="00234417">
      <w:pPr>
        <w:pStyle w:val="TextoNormalSangraFrancesa"/>
        <w:rPr>
          <w:rStyle w:val="TextoNormalCaracter"/>
        </w:rPr>
      </w:pPr>
      <w:bookmarkStart w:id="1298" w:name="DESCRIPTORALFABETICO935"/>
      <w:r w:rsidRPr="00234417">
        <w:rPr>
          <w:rStyle w:val="TextoNormalNegritaCaracter"/>
        </w:rPr>
        <w:t>Aragón</w:t>
      </w:r>
      <w:bookmarkEnd w:id="1298"/>
      <w:r w:rsidRPr="00234417">
        <w:rPr>
          <w:rStyle w:val="TextoNormalCaracter"/>
        </w:rPr>
        <w:t xml:space="preserve">, Sentencias </w:t>
      </w:r>
      <w:hyperlink w:anchor="SENTENCIA_2013_59" w:history="1">
        <w:r w:rsidRPr="00234417">
          <w:rPr>
            <w:rStyle w:val="TextoNormalCaracter"/>
          </w:rPr>
          <w:t>59/2013</w:t>
        </w:r>
      </w:hyperlink>
      <w:r w:rsidRPr="00234417">
        <w:rPr>
          <w:rStyle w:val="TextoNormalCaracter"/>
        </w:rPr>
        <w:t xml:space="preserve">, ff. 3, 4; </w:t>
      </w:r>
      <w:hyperlink w:anchor="SENTENCIA_2013_62" w:history="1">
        <w:r w:rsidRPr="00234417">
          <w:rPr>
            <w:rStyle w:val="TextoNormalCaracter"/>
          </w:rPr>
          <w:t>62/2013</w:t>
        </w:r>
      </w:hyperlink>
      <w:r w:rsidRPr="00234417">
        <w:rPr>
          <w:rStyle w:val="TextoNormalCaracter"/>
        </w:rPr>
        <w:t xml:space="preserve">, ff. 3, 5; </w:t>
      </w:r>
      <w:hyperlink w:anchor="SENTENCIA_2013_94" w:history="1">
        <w:r w:rsidRPr="00234417">
          <w:rPr>
            <w:rStyle w:val="TextoNormalCaracter"/>
          </w:rPr>
          <w:t>94/2013</w:t>
        </w:r>
      </w:hyperlink>
      <w:r w:rsidRPr="00234417">
        <w:rPr>
          <w:rStyle w:val="TextoNormalCaracter"/>
        </w:rPr>
        <w:t xml:space="preserve">, ff. 2, 4, 7, 8, VP I, VP II; </w:t>
      </w:r>
      <w:hyperlink w:anchor="SENTENCIA_2013_96" w:history="1">
        <w:r w:rsidRPr="00234417">
          <w:rPr>
            <w:rStyle w:val="TextoNormalCaracter"/>
          </w:rPr>
          <w:t>96/2013</w:t>
        </w:r>
      </w:hyperlink>
      <w:r w:rsidRPr="00234417">
        <w:rPr>
          <w:rStyle w:val="TextoNormalCaracter"/>
        </w:rPr>
        <w:t xml:space="preserve">, ff. 2, 5, 8; </w:t>
      </w:r>
      <w:hyperlink w:anchor="SENTENCIA_2013_111" w:history="1">
        <w:r w:rsidRPr="00234417">
          <w:rPr>
            <w:rStyle w:val="TextoNormalCaracter"/>
          </w:rPr>
          <w:t>111/2013</w:t>
        </w:r>
      </w:hyperlink>
      <w:r w:rsidRPr="00234417">
        <w:rPr>
          <w:rStyle w:val="TextoNormalCaracter"/>
        </w:rPr>
        <w:t xml:space="preserve">, f. 3; </w:t>
      </w:r>
      <w:hyperlink w:anchor="SENTENCIA_2013_130" w:history="1">
        <w:r w:rsidRPr="00234417">
          <w:rPr>
            <w:rStyle w:val="TextoNormalCaracter"/>
          </w:rPr>
          <w:t>130/2013</w:t>
        </w:r>
      </w:hyperlink>
      <w:r w:rsidRPr="00234417">
        <w:rPr>
          <w:rStyle w:val="TextoNormalCaracter"/>
        </w:rPr>
        <w:t>, ff. 3 a 14, VP.</w:t>
      </w:r>
    </w:p>
    <w:p w:rsidR="00234417" w:rsidRPr="00234417" w:rsidRDefault="00234417" w:rsidP="00234417">
      <w:pPr>
        <w:pStyle w:val="TextoNormalSangraFrancesa"/>
        <w:rPr>
          <w:rStyle w:val="TextoNormalCaracter"/>
        </w:rPr>
      </w:pPr>
      <w:bookmarkStart w:id="1299" w:name="DESCRIPTORALFABETICO865"/>
      <w:r w:rsidRPr="00234417">
        <w:rPr>
          <w:rStyle w:val="TextoNormalNegritaCaracter"/>
        </w:rPr>
        <w:t>Arancel de derechos del procurador</w:t>
      </w:r>
      <w:bookmarkEnd w:id="1299"/>
      <w:r w:rsidRPr="00234417">
        <w:rPr>
          <w:rStyle w:val="TextoNormalCaracter"/>
        </w:rPr>
        <w:t xml:space="preserve">, Sentencia </w:t>
      </w:r>
      <w:hyperlink w:anchor="SENTENCIA_2013_108" w:history="1">
        <w:r w:rsidRPr="00234417">
          <w:rPr>
            <w:rStyle w:val="TextoNormalCaracter"/>
          </w:rPr>
          <w:t>108/2013</w:t>
        </w:r>
      </w:hyperlink>
      <w:r w:rsidRPr="00234417">
        <w:rPr>
          <w:rStyle w:val="TextoNormalCaracter"/>
        </w:rPr>
        <w:t>, f. 5.</w:t>
      </w:r>
    </w:p>
    <w:p w:rsidR="00234417" w:rsidRPr="00234417" w:rsidRDefault="00234417" w:rsidP="00234417">
      <w:pPr>
        <w:pStyle w:val="TextoNormalSangraFrancesa"/>
        <w:rPr>
          <w:rStyle w:val="TextoNormalCaracter"/>
        </w:rPr>
      </w:pPr>
      <w:bookmarkStart w:id="1300" w:name="DESCRIPTORALFABETICO411"/>
      <w:r w:rsidRPr="00234417">
        <w:rPr>
          <w:rStyle w:val="TextoNormalNegritaCaracter"/>
        </w:rPr>
        <w:t>Arbitrariedad del legislador</w:t>
      </w:r>
      <w:bookmarkEnd w:id="1300"/>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 2; </w:t>
      </w:r>
      <w:hyperlink w:anchor="SENTENCIA_2013_20" w:history="1">
        <w:r w:rsidRPr="00234417">
          <w:rPr>
            <w:rStyle w:val="TextoNormalCaracter"/>
          </w:rPr>
          <w:t>20/2013</w:t>
        </w:r>
      </w:hyperlink>
      <w:r w:rsidRPr="00234417">
        <w:rPr>
          <w:rStyle w:val="TextoNormalCaracter"/>
        </w:rPr>
        <w:t xml:space="preserve">, ff. 3, 6, 8, 10; </w:t>
      </w:r>
      <w:hyperlink w:anchor="SENTENCIA_2013_51" w:history="1">
        <w:r w:rsidRPr="00234417">
          <w:rPr>
            <w:rStyle w:val="TextoNormalCaracter"/>
          </w:rPr>
          <w:t>51/2013</w:t>
        </w:r>
      </w:hyperlink>
      <w:r w:rsidRPr="00234417">
        <w:rPr>
          <w:rStyle w:val="TextoNormalCaracter"/>
        </w:rPr>
        <w:t xml:space="preserve">, f. 7; </w:t>
      </w:r>
      <w:hyperlink w:anchor="SENTENCIA_2013_64" w:history="1">
        <w:r w:rsidRPr="00234417">
          <w:rPr>
            <w:rStyle w:val="TextoNormalCaracter"/>
          </w:rPr>
          <w:t>64/2013</w:t>
        </w:r>
      </w:hyperlink>
      <w:r w:rsidRPr="00234417">
        <w:rPr>
          <w:rStyle w:val="TextoNormalCaracter"/>
        </w:rPr>
        <w:t xml:space="preserve">, f. 5;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f. 4.</w:t>
      </w:r>
    </w:p>
    <w:p w:rsidR="00234417" w:rsidRPr="00234417" w:rsidRDefault="00234417" w:rsidP="00234417">
      <w:pPr>
        <w:pStyle w:val="TextoNormalSangraFrancesa"/>
        <w:rPr>
          <w:rStyle w:val="TextoNormalCaracter"/>
        </w:rPr>
      </w:pPr>
      <w:bookmarkStart w:id="1301" w:name="DESCRIPTORALFABETICO465"/>
      <w:r w:rsidRPr="00234417">
        <w:rPr>
          <w:rStyle w:val="TextoNormalNegritaCaracter"/>
        </w:rPr>
        <w:t>Archipiélagos</w:t>
      </w:r>
      <w:bookmarkEnd w:id="1301"/>
      <w:r w:rsidRPr="00234417">
        <w:rPr>
          <w:rStyle w:val="TextoNormalCaracter"/>
        </w:rPr>
        <w:t xml:space="preserve">, Sentencias </w:t>
      </w:r>
      <w:hyperlink w:anchor="SENTENCIA_2013_8" w:history="1">
        <w:r w:rsidRPr="00234417">
          <w:rPr>
            <w:rStyle w:val="TextoNormalCaracter"/>
          </w:rPr>
          <w:t>8/2013</w:t>
        </w:r>
      </w:hyperlink>
      <w:r w:rsidRPr="00234417">
        <w:rPr>
          <w:rStyle w:val="TextoNormalCaracter"/>
        </w:rPr>
        <w:t xml:space="preserve">, ff. 5 a 9; </w:t>
      </w:r>
      <w:hyperlink w:anchor="SENTENCIA_2013_87" w:history="1">
        <w:r w:rsidRPr="00234417">
          <w:rPr>
            <w:rStyle w:val="TextoNormalCaracter"/>
          </w:rPr>
          <w:t>87/2013</w:t>
        </w:r>
      </w:hyperlink>
      <w:r w:rsidRPr="00234417">
        <w:rPr>
          <w:rStyle w:val="TextoNormalCaracter"/>
        </w:rPr>
        <w:t xml:space="preserve">, f. 2; </w:t>
      </w:r>
      <w:hyperlink w:anchor="SENTENCIA_2013_99" w:history="1">
        <w:r w:rsidRPr="00234417">
          <w:rPr>
            <w:rStyle w:val="TextoNormalCaracter"/>
          </w:rPr>
          <w:t>99/2013</w:t>
        </w:r>
      </w:hyperlink>
      <w:r w:rsidRPr="00234417">
        <w:rPr>
          <w:rStyle w:val="TextoNormalCaracter"/>
        </w:rPr>
        <w:t>, ff. 5, 7.</w:t>
      </w:r>
    </w:p>
    <w:p w:rsidR="00234417" w:rsidRPr="00234417" w:rsidRDefault="00234417" w:rsidP="00234417">
      <w:pPr>
        <w:pStyle w:val="TextoNormalSangraFrancesa"/>
        <w:rPr>
          <w:rStyle w:val="TextoNormalCaracter"/>
        </w:rPr>
      </w:pPr>
      <w:bookmarkStart w:id="1302" w:name="DESCRIPTORALFABETICO809"/>
      <w:r w:rsidRPr="00234417">
        <w:rPr>
          <w:rStyle w:val="TextoNormalNegritaCaracter"/>
        </w:rPr>
        <w:t>Archivo de actuaciones</w:t>
      </w:r>
      <w:bookmarkEnd w:id="1302"/>
      <w:r w:rsidRPr="00234417">
        <w:rPr>
          <w:rStyle w:val="TextoNormalCaracter"/>
        </w:rPr>
        <w:t xml:space="preserve">, Sentencia </w:t>
      </w:r>
      <w:hyperlink w:anchor="SENTENCIA_2013_44" w:history="1">
        <w:r w:rsidRPr="00234417">
          <w:rPr>
            <w:rStyle w:val="TextoNormalCaracter"/>
          </w:rPr>
          <w:t>44/2013</w:t>
        </w:r>
      </w:hyperlink>
      <w:r w:rsidRPr="00234417">
        <w:rPr>
          <w:rStyle w:val="TextoNormalCaracter"/>
        </w:rPr>
        <w:t>, ff. 4, 5, 6.</w:t>
      </w:r>
    </w:p>
    <w:p w:rsidR="00234417" w:rsidRPr="00234417" w:rsidRDefault="00234417" w:rsidP="00234417">
      <w:pPr>
        <w:pStyle w:val="TextoNormalSangraFrancesa"/>
        <w:rPr>
          <w:rStyle w:val="TextoNormalCaracter"/>
        </w:rPr>
      </w:pPr>
      <w:bookmarkStart w:id="1303" w:name="DESCRIPTORALFABETICO932"/>
      <w:r w:rsidRPr="00234417">
        <w:rPr>
          <w:rStyle w:val="TextoNormalNegritaCaracter"/>
        </w:rPr>
        <w:t>Archivo de la Corona de Aragón</w:t>
      </w:r>
      <w:bookmarkEnd w:id="1303"/>
      <w:r w:rsidRPr="00234417">
        <w:rPr>
          <w:rStyle w:val="TextoNormalCaracter"/>
        </w:rPr>
        <w:t xml:space="preserve">, Sentencias </w:t>
      </w:r>
      <w:hyperlink w:anchor="SENTENCIA_2013_14" w:history="1">
        <w:r w:rsidRPr="00234417">
          <w:rPr>
            <w:rStyle w:val="TextoNormalCaracter"/>
          </w:rPr>
          <w:t>14/2013</w:t>
        </w:r>
      </w:hyperlink>
      <w:r w:rsidRPr="00234417">
        <w:rPr>
          <w:rStyle w:val="TextoNormalCaracter"/>
        </w:rPr>
        <w:t xml:space="preserve">, ff. 1, 3, 5, 6; </w:t>
      </w:r>
      <w:hyperlink w:anchor="SENTENCIA_2013_66" w:history="1">
        <w:r w:rsidRPr="00234417">
          <w:rPr>
            <w:rStyle w:val="TextoNormalCaracter"/>
          </w:rPr>
          <w:t>66/2013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304" w:name="DESCRIPTORALFABETICO933"/>
      <w:r w:rsidRPr="00234417">
        <w:rPr>
          <w:rStyle w:val="TextoNormalNegritaCaracter"/>
        </w:rPr>
        <w:t>Archivo General de la Guerra Civil Española</w:t>
      </w:r>
      <w:bookmarkEnd w:id="1304"/>
      <w:r w:rsidRPr="00234417">
        <w:rPr>
          <w:rStyle w:val="TextoNormalCaracter"/>
        </w:rPr>
        <w:t xml:space="preserve">, Sentencias </w:t>
      </w:r>
      <w:hyperlink w:anchor="SENTENCIA_2013_20" w:history="1">
        <w:r w:rsidRPr="00234417">
          <w:rPr>
            <w:rStyle w:val="TextoNormalCaracter"/>
          </w:rPr>
          <w:t>20/2013</w:t>
        </w:r>
      </w:hyperlink>
      <w:r w:rsidRPr="00234417">
        <w:rPr>
          <w:rStyle w:val="TextoNormalCaracter"/>
        </w:rPr>
        <w:t xml:space="preserve">, ff. 3 a 10;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f. 4.</w:t>
      </w:r>
    </w:p>
    <w:p w:rsidR="00234417" w:rsidRPr="00234417" w:rsidRDefault="00234417" w:rsidP="00234417">
      <w:pPr>
        <w:pStyle w:val="TextoNormalSangraFrancesa"/>
        <w:rPr>
          <w:rStyle w:val="TextoNormalCaracter"/>
        </w:rPr>
      </w:pPr>
      <w:bookmarkStart w:id="1305" w:name="DESCRIPTORALFABETICO498"/>
      <w:r w:rsidRPr="00234417">
        <w:rPr>
          <w:rStyle w:val="TextoNormalNegritaCaracter"/>
        </w:rPr>
        <w:t>Archivos</w:t>
      </w:r>
      <w:bookmarkEnd w:id="1305"/>
      <w:r w:rsidRPr="00234417">
        <w:rPr>
          <w:rStyle w:val="TextoNormalCaracter"/>
        </w:rPr>
        <w:t xml:space="preserve">, Sentencias </w:t>
      </w:r>
      <w:hyperlink w:anchor="SENTENCIA_2013_14" w:history="1">
        <w:r w:rsidRPr="00234417">
          <w:rPr>
            <w:rStyle w:val="TextoNormalCaracter"/>
          </w:rPr>
          <w:t>14/2013</w:t>
        </w:r>
      </w:hyperlink>
      <w:r w:rsidRPr="00234417">
        <w:rPr>
          <w:rStyle w:val="TextoNormalCaracter"/>
        </w:rPr>
        <w:t xml:space="preserve">, ff. 1, 2, 3, 4, 5, 6; </w:t>
      </w:r>
      <w:hyperlink w:anchor="SENTENCIA_2013_20" w:history="1">
        <w:r w:rsidRPr="00234417">
          <w:rPr>
            <w:rStyle w:val="TextoNormalCaracter"/>
          </w:rPr>
          <w:t>20/2013</w:t>
        </w:r>
      </w:hyperlink>
      <w:r w:rsidRPr="00234417">
        <w:rPr>
          <w:rStyle w:val="TextoNormalCaracter"/>
        </w:rPr>
        <w:t xml:space="preserve">, ff. 3, 4, 5, 6, 7, 8, 9, 10; </w:t>
      </w:r>
      <w:hyperlink w:anchor="SENTENCIA_2013_38" w:history="1">
        <w:r w:rsidRPr="00234417">
          <w:rPr>
            <w:rStyle w:val="TextoNormalCaracter"/>
          </w:rPr>
          <w:t>38/2013</w:t>
        </w:r>
      </w:hyperlink>
      <w:r w:rsidRPr="00234417">
        <w:rPr>
          <w:rStyle w:val="TextoNormalCaracter"/>
        </w:rPr>
        <w:t xml:space="preserve">, ff. 2, 3, 4, 5; </w:t>
      </w:r>
      <w:hyperlink w:anchor="SENTENCIA_2013_66" w:history="1">
        <w:r w:rsidRPr="00234417">
          <w:rPr>
            <w:rStyle w:val="TextoNormalCaracter"/>
          </w:rPr>
          <w:t>66/2013</w:t>
        </w:r>
      </w:hyperlink>
      <w:r w:rsidRPr="00234417">
        <w:rPr>
          <w:rStyle w:val="TextoNormalCaracter"/>
        </w:rPr>
        <w:t xml:space="preserve">, ff. 3, 4;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xml:space="preserve">, f. 4; </w:t>
      </w:r>
      <w:hyperlink w:anchor="SENTENCIA_2013_136" w:history="1">
        <w:r w:rsidRPr="00234417">
          <w:rPr>
            <w:rStyle w:val="TextoNormalCaracter"/>
          </w:rPr>
          <w:t>136/2013</w:t>
        </w:r>
      </w:hyperlink>
      <w:r w:rsidRPr="00234417">
        <w:rPr>
          <w:rStyle w:val="TextoNormalCaracter"/>
        </w:rPr>
        <w:t>, ff. 3, 4, 5.</w:t>
      </w:r>
    </w:p>
    <w:p w:rsidR="00234417" w:rsidRPr="00234417" w:rsidRDefault="00234417" w:rsidP="00234417">
      <w:pPr>
        <w:pStyle w:val="TextoNormalSangraFrancesa"/>
        <w:rPr>
          <w:rStyle w:val="TextoNormalCaracter"/>
        </w:rPr>
      </w:pPr>
      <w:bookmarkStart w:id="1306" w:name="DESCRIPTORALFABETICO499"/>
      <w:r w:rsidRPr="00234417">
        <w:rPr>
          <w:rStyle w:val="TextoNormalNegritaCaracter"/>
        </w:rPr>
        <w:t>Archivos históricos provinciales</w:t>
      </w:r>
      <w:bookmarkEnd w:id="1306"/>
      <w:r w:rsidRPr="00234417">
        <w:rPr>
          <w:rStyle w:val="TextoNormalCaracter"/>
        </w:rPr>
        <w:t xml:space="preserve">, Sentencias </w:t>
      </w:r>
      <w:hyperlink w:anchor="SENTENCIA_2013_14" w:history="1">
        <w:r w:rsidRPr="00234417">
          <w:rPr>
            <w:rStyle w:val="TextoNormalCaracter"/>
          </w:rPr>
          <w:t>14/2013</w:t>
        </w:r>
      </w:hyperlink>
      <w:r w:rsidRPr="00234417">
        <w:rPr>
          <w:rStyle w:val="TextoNormalCaracter"/>
        </w:rPr>
        <w:t xml:space="preserve">, ff. 2, 6; </w:t>
      </w:r>
      <w:hyperlink w:anchor="SENTENCIA_2013_38" w:history="1">
        <w:r w:rsidRPr="00234417">
          <w:rPr>
            <w:rStyle w:val="TextoNormalCaracter"/>
          </w:rPr>
          <w:t>38/2013</w:t>
        </w:r>
      </w:hyperlink>
      <w:r w:rsidRPr="00234417">
        <w:rPr>
          <w:rStyle w:val="TextoNormalCaracter"/>
        </w:rPr>
        <w:t xml:space="preserve">, f. 4; </w:t>
      </w:r>
      <w:hyperlink w:anchor="SENTENCIA_2013_66" w:history="1">
        <w:r w:rsidRPr="00234417">
          <w:rPr>
            <w:rStyle w:val="TextoNormalCaracter"/>
          </w:rPr>
          <w:t>66/2013</w:t>
        </w:r>
      </w:hyperlink>
      <w:r w:rsidRPr="00234417">
        <w:rPr>
          <w:rStyle w:val="TextoNormalCaracter"/>
        </w:rPr>
        <w:t xml:space="preserve">, ff. 3, 4; </w:t>
      </w:r>
      <w:hyperlink w:anchor="SENTENCIA_2013_136" w:history="1">
        <w:r w:rsidRPr="00234417">
          <w:rPr>
            <w:rStyle w:val="TextoNormalCaracter"/>
          </w:rPr>
          <w:t>136/2013</w:t>
        </w:r>
      </w:hyperlink>
      <w:r w:rsidRPr="00234417">
        <w:rPr>
          <w:rStyle w:val="TextoNormalCaracter"/>
        </w:rPr>
        <w:t>, f. 4.</w:t>
      </w:r>
    </w:p>
    <w:p w:rsidR="00234417" w:rsidRPr="00234417" w:rsidRDefault="00234417" w:rsidP="00234417">
      <w:pPr>
        <w:pStyle w:val="TextoNormalSangraFrancesa"/>
        <w:rPr>
          <w:rStyle w:val="TextoNormalCaracter"/>
        </w:rPr>
      </w:pPr>
      <w:bookmarkStart w:id="1307" w:name="DESCRIPTORALFABETICO93"/>
      <w:r w:rsidRPr="00234417">
        <w:rPr>
          <w:rStyle w:val="TextoNormalNegritaCaracter"/>
        </w:rPr>
        <w:lastRenderedPageBreak/>
        <w:t>Armonización fiscal</w:t>
      </w:r>
      <w:bookmarkEnd w:id="1307"/>
      <w:r w:rsidRPr="00234417">
        <w:rPr>
          <w:rStyle w:val="TextoNormalCaracter"/>
        </w:rPr>
        <w:t xml:space="preserve">, Sentencia </w:t>
      </w:r>
      <w:hyperlink w:anchor="SENTENCIA_2013_85" w:history="1">
        <w:r w:rsidRPr="00234417">
          <w:rPr>
            <w:rStyle w:val="TextoNormalCaracter"/>
          </w:rPr>
          <w:t>85/2013</w:t>
        </w:r>
      </w:hyperlink>
      <w:r w:rsidRPr="00234417">
        <w:rPr>
          <w:rStyle w:val="TextoNormalCaracter"/>
        </w:rPr>
        <w:t>, f. 5, VP.</w:t>
      </w:r>
    </w:p>
    <w:p w:rsidR="00234417" w:rsidRPr="00234417" w:rsidRDefault="00234417" w:rsidP="00234417">
      <w:pPr>
        <w:pStyle w:val="TextoNormalSangraFrancesa"/>
        <w:rPr>
          <w:rStyle w:val="TextoNormalNegritaCaracter"/>
        </w:rPr>
      </w:pPr>
      <w:r w:rsidRPr="00234417">
        <w:rPr>
          <w:rStyle w:val="TextoNormalCursivaCaracter"/>
        </w:rPr>
        <w:t>Asistencia jurídica gratuita</w:t>
      </w:r>
      <w:r>
        <w:t xml:space="preserve"> véase </w:t>
      </w:r>
      <w:hyperlink w:anchor="DESCRIPTORALFABETICO858" w:history="1">
        <w:r w:rsidRPr="00234417">
          <w:rPr>
            <w:rStyle w:val="TextoNormalNegritaCaracter"/>
          </w:rPr>
          <w:t>Justicia gratuita</w:t>
        </w:r>
      </w:hyperlink>
    </w:p>
    <w:p w:rsidR="00234417" w:rsidRPr="00234417" w:rsidRDefault="00234417" w:rsidP="00234417">
      <w:pPr>
        <w:pStyle w:val="TextoNormalSangraFrancesa"/>
        <w:rPr>
          <w:rStyle w:val="TextoNormalCaracter"/>
        </w:rPr>
      </w:pPr>
      <w:bookmarkStart w:id="1308" w:name="DESCRIPTORALFABETICO736"/>
      <w:r w:rsidRPr="00234417">
        <w:rPr>
          <w:rStyle w:val="TextoNormalNegritaCaracter"/>
        </w:rPr>
        <w:t>Asistencia social</w:t>
      </w:r>
      <w:bookmarkEnd w:id="1308"/>
      <w:r w:rsidRPr="00234417">
        <w:rPr>
          <w:rStyle w:val="TextoNormalCaracter"/>
        </w:rPr>
        <w:t xml:space="preserve">, Sentencias </w:t>
      </w:r>
      <w:hyperlink w:anchor="SENTENCIA_2013_21" w:history="1">
        <w:r w:rsidRPr="00234417">
          <w:rPr>
            <w:rStyle w:val="TextoNormalCaracter"/>
          </w:rPr>
          <w:t>21/2013</w:t>
        </w:r>
      </w:hyperlink>
      <w:r w:rsidRPr="00234417">
        <w:rPr>
          <w:rStyle w:val="TextoNormalCaracter"/>
        </w:rPr>
        <w:t xml:space="preserve">, ff. 5, 6; </w:t>
      </w:r>
      <w:hyperlink w:anchor="SENTENCIA_2013_23" w:history="1">
        <w:r w:rsidRPr="00234417">
          <w:rPr>
            <w:rStyle w:val="TextoNormalCaracter"/>
          </w:rPr>
          <w:t>23/2013</w:t>
        </w:r>
      </w:hyperlink>
      <w:r w:rsidRPr="00234417">
        <w:rPr>
          <w:rStyle w:val="TextoNormalCaracter"/>
        </w:rPr>
        <w:t xml:space="preserve">, ff. 3, 4, 5; </w:t>
      </w:r>
      <w:hyperlink w:anchor="SENTENCIA_2013_26" w:history="1">
        <w:r w:rsidRPr="00234417">
          <w:rPr>
            <w:rStyle w:val="TextoNormalCaracter"/>
          </w:rPr>
          <w:t>26/2013</w:t>
        </w:r>
      </w:hyperlink>
      <w:r w:rsidRPr="00234417">
        <w:rPr>
          <w:rStyle w:val="TextoNormalCaracter"/>
        </w:rPr>
        <w:t xml:space="preserve">, f. 4; </w:t>
      </w:r>
      <w:hyperlink w:anchor="SENTENCIA_2013_40" w:history="1">
        <w:r w:rsidRPr="00234417">
          <w:rPr>
            <w:rStyle w:val="TextoNormalCaracter"/>
          </w:rPr>
          <w:t>40/2013</w:t>
        </w:r>
      </w:hyperlink>
      <w:r w:rsidRPr="00234417">
        <w:rPr>
          <w:rStyle w:val="TextoNormalCaracter"/>
        </w:rPr>
        <w:t xml:space="preserve">, ff. 5, 6; </w:t>
      </w:r>
      <w:hyperlink w:anchor="SENTENCIA_2013_52" w:history="1">
        <w:r w:rsidRPr="00234417">
          <w:rPr>
            <w:rStyle w:val="TextoNormalCaracter"/>
          </w:rPr>
          <w:t>52/2013</w:t>
        </w:r>
      </w:hyperlink>
      <w:r w:rsidRPr="00234417">
        <w:rPr>
          <w:rStyle w:val="TextoNormalCaracter"/>
        </w:rPr>
        <w:t xml:space="preserve">, ff. 5, 6; </w:t>
      </w:r>
      <w:hyperlink w:anchor="SENTENCIA_2013_70" w:history="1">
        <w:r w:rsidRPr="00234417">
          <w:rPr>
            <w:rStyle w:val="TextoNormalCaracter"/>
          </w:rPr>
          <w:t>70/2013</w:t>
        </w:r>
      </w:hyperlink>
      <w:r w:rsidRPr="00234417">
        <w:rPr>
          <w:rStyle w:val="TextoNormalCaracter"/>
        </w:rPr>
        <w:t>, ff. 3, 4, 5, 6.</w:t>
      </w:r>
    </w:p>
    <w:p w:rsidR="00234417" w:rsidRPr="00234417" w:rsidRDefault="00234417" w:rsidP="00234417">
      <w:pPr>
        <w:pStyle w:val="TextoNormalSangraFrancesa"/>
        <w:rPr>
          <w:rStyle w:val="TextoNormalCaracter"/>
        </w:rPr>
      </w:pPr>
      <w:r w:rsidRPr="00234417">
        <w:rPr>
          <w:rStyle w:val="TextoNormalCursivaCaracter"/>
        </w:rPr>
        <w:t xml:space="preserve">    Concepto, </w:t>
      </w:r>
      <w:r w:rsidRPr="00234417">
        <w:rPr>
          <w:rStyle w:val="TextoNormalCaracter"/>
        </w:rPr>
        <w:t xml:space="preserve">Sentencia </w:t>
      </w:r>
      <w:hyperlink w:anchor="SENTENCIA_2013_23" w:history="1">
        <w:r w:rsidRPr="00234417">
          <w:rPr>
            <w:rStyle w:val="TextoNormalCaracter"/>
          </w:rPr>
          <w:t>23/2013</w:t>
        </w:r>
      </w:hyperlink>
      <w:r w:rsidRPr="00234417">
        <w:rPr>
          <w:rStyle w:val="TextoNormalCaracter"/>
        </w:rPr>
        <w:t>, f. 3.</w:t>
      </w:r>
    </w:p>
    <w:p w:rsidR="00234417" w:rsidRPr="00234417" w:rsidRDefault="00234417" w:rsidP="00234417">
      <w:pPr>
        <w:pStyle w:val="TextoNormalSangraFrancesa"/>
        <w:rPr>
          <w:rStyle w:val="TextoNormalCaracter"/>
        </w:rPr>
      </w:pPr>
      <w:bookmarkStart w:id="1309" w:name="DESCRIPTORALFABETICO936"/>
      <w:r w:rsidRPr="00234417">
        <w:rPr>
          <w:rStyle w:val="TextoNormalNegritaCaracter"/>
        </w:rPr>
        <w:t>Asturias</w:t>
      </w:r>
      <w:bookmarkEnd w:id="1309"/>
      <w:r w:rsidRPr="00234417">
        <w:rPr>
          <w:rStyle w:val="TextoNormalCaracter"/>
        </w:rPr>
        <w:t xml:space="preserve">, Sentencias </w:t>
      </w:r>
      <w:hyperlink w:anchor="SENTENCIA_2013_6" w:history="1">
        <w:r w:rsidRPr="00234417">
          <w:rPr>
            <w:rStyle w:val="TextoNormalCaracter"/>
          </w:rPr>
          <w:t>6/2013</w:t>
        </w:r>
      </w:hyperlink>
      <w:r w:rsidRPr="00234417">
        <w:rPr>
          <w:rStyle w:val="TextoNormalCaracter"/>
        </w:rPr>
        <w:t xml:space="preserve">, ff. 1 a 7; </w:t>
      </w:r>
      <w:hyperlink w:anchor="SENTENCIA_2013_50" w:history="1">
        <w:r w:rsidRPr="00234417">
          <w:rPr>
            <w:rStyle w:val="TextoNormalCaracter"/>
          </w:rPr>
          <w:t>50/2013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310" w:name="DESCRIPTORALFABETICO3"/>
      <w:r w:rsidRPr="00234417">
        <w:rPr>
          <w:rStyle w:val="TextoNormalNegritaCaracter"/>
        </w:rPr>
        <w:t>Atribución de competencias</w:t>
      </w:r>
      <w:bookmarkEnd w:id="1310"/>
      <w:r w:rsidRPr="00234417">
        <w:rPr>
          <w:rStyle w:val="TextoNormalCaracter"/>
        </w:rPr>
        <w:t xml:space="preserve">, Sentencia </w:t>
      </w:r>
      <w:hyperlink w:anchor="SENTENCIA_2013_89" w:history="1">
        <w:r w:rsidRPr="00234417">
          <w:rPr>
            <w:rStyle w:val="TextoNormalCaracter"/>
          </w:rPr>
          <w:t>89/2013</w:t>
        </w:r>
      </w:hyperlink>
      <w:r w:rsidRPr="00234417">
        <w:rPr>
          <w:rStyle w:val="TextoNormalCaracter"/>
        </w:rPr>
        <w:t>, f. 3.</w:t>
      </w:r>
    </w:p>
    <w:p w:rsidR="00234417" w:rsidRPr="00234417" w:rsidRDefault="00234417" w:rsidP="00234417">
      <w:pPr>
        <w:pStyle w:val="TextoNormalSangraFrancesa"/>
        <w:rPr>
          <w:rStyle w:val="TextoNormalCaracter"/>
        </w:rPr>
      </w:pPr>
      <w:bookmarkStart w:id="1311" w:name="DESCRIPTORALFABETICO4"/>
      <w:r w:rsidRPr="00234417">
        <w:rPr>
          <w:rStyle w:val="TextoNormalNegritaCaracter"/>
        </w:rPr>
        <w:t xml:space="preserve">Atribución de competencias </w:t>
      </w:r>
      <w:r w:rsidRPr="00234417">
        <w:rPr>
          <w:rStyle w:val="TextoNormalNegritaCaracter"/>
          <w:i/>
        </w:rPr>
        <w:t>ratione materiae</w:t>
      </w:r>
      <w:bookmarkEnd w:id="1311"/>
      <w:r w:rsidRPr="00234417">
        <w:rPr>
          <w:rStyle w:val="TextoNormalCaracter"/>
        </w:rPr>
        <w:t xml:space="preserve">, Sentencia </w:t>
      </w:r>
      <w:hyperlink w:anchor="SENTENCIA_2013_132" w:history="1">
        <w:r w:rsidRPr="00234417">
          <w:rPr>
            <w:rStyle w:val="TextoNormalCaracter"/>
          </w:rPr>
          <w:t>132/2013</w:t>
        </w:r>
      </w:hyperlink>
      <w:r w:rsidRPr="00234417">
        <w:rPr>
          <w:rStyle w:val="TextoNormalCaracter"/>
        </w:rPr>
        <w:t>, f. 8 e).</w:t>
      </w:r>
    </w:p>
    <w:p w:rsidR="00234417" w:rsidRPr="00234417" w:rsidRDefault="00234417" w:rsidP="00234417">
      <w:pPr>
        <w:pStyle w:val="TextoNormalSangraFrancesa"/>
        <w:rPr>
          <w:rStyle w:val="TextoNormalCaracter"/>
        </w:rPr>
      </w:pPr>
      <w:bookmarkStart w:id="1312" w:name="DESCRIPTORALFABETICO275"/>
      <w:r w:rsidRPr="00234417">
        <w:rPr>
          <w:rStyle w:val="TextoNormalNegritaCaracter"/>
        </w:rPr>
        <w:t>Audiencia previa a las partes</w:t>
      </w:r>
      <w:bookmarkEnd w:id="1312"/>
      <w:r w:rsidRPr="00234417">
        <w:rPr>
          <w:rStyle w:val="TextoNormalCaracter"/>
        </w:rPr>
        <w:t xml:space="preserve">, Sentencia </w:t>
      </w:r>
      <w:hyperlink w:anchor="SENTENCIA_2013_61" w:history="1">
        <w:r w:rsidRPr="00234417">
          <w:rPr>
            <w:rStyle w:val="TextoNormalCaracter"/>
          </w:rPr>
          <w:t>61/2013</w:t>
        </w:r>
      </w:hyperlink>
      <w:r w:rsidRPr="00234417">
        <w:rPr>
          <w:rStyle w:val="TextoNormalCaracter"/>
        </w:rPr>
        <w:t>, f. 2.</w:t>
      </w:r>
    </w:p>
    <w:p w:rsidR="00234417" w:rsidRPr="00234417" w:rsidRDefault="00234417" w:rsidP="00234417">
      <w:pPr>
        <w:pStyle w:val="TextoNormalSangraFrancesa"/>
        <w:rPr>
          <w:rStyle w:val="TextoNormalCaracter"/>
        </w:rPr>
      </w:pPr>
      <w:bookmarkStart w:id="1313" w:name="DESCRIPTORALFABETICO348"/>
      <w:r w:rsidRPr="00234417">
        <w:rPr>
          <w:rStyle w:val="TextoNormalNegritaCaracter"/>
        </w:rPr>
        <w:t>Auditores del Tribunal de Cuentas</w:t>
      </w:r>
      <w:bookmarkEnd w:id="1313"/>
      <w:r w:rsidRPr="00234417">
        <w:rPr>
          <w:rStyle w:val="TextoNormalCaracter"/>
        </w:rPr>
        <w:t xml:space="preserve">, Sentencia </w:t>
      </w:r>
      <w:hyperlink w:anchor="SENTENCIA_2013_9" w:history="1">
        <w:r w:rsidRPr="00234417">
          <w:rPr>
            <w:rStyle w:val="TextoNormalCaracter"/>
          </w:rPr>
          <w:t>9/2013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314" w:name="DESCRIPTORALFABETICO312"/>
      <w:r w:rsidRPr="00234417">
        <w:rPr>
          <w:rStyle w:val="TextoNormalNegritaCaracter"/>
        </w:rPr>
        <w:t>Ausencia de doctrina constitucional</w:t>
      </w:r>
      <w:bookmarkEnd w:id="1314"/>
      <w:r w:rsidRPr="00234417">
        <w:rPr>
          <w:rStyle w:val="TextoNormalCaracter"/>
        </w:rPr>
        <w:t xml:space="preserve">, Sentencias </w:t>
      </w:r>
      <w:hyperlink w:anchor="SENTENCIA_2013_75" w:history="1">
        <w:r w:rsidRPr="00234417">
          <w:rPr>
            <w:rStyle w:val="TextoNormalCaracter"/>
          </w:rPr>
          <w:t>75/2013</w:t>
        </w:r>
      </w:hyperlink>
      <w:r w:rsidRPr="00234417">
        <w:rPr>
          <w:rStyle w:val="TextoNormalCaracter"/>
        </w:rPr>
        <w:t xml:space="preserve">, f. 2; </w:t>
      </w:r>
      <w:hyperlink w:anchor="SENTENCIA_2013_79" w:history="1">
        <w:r w:rsidRPr="00234417">
          <w:rPr>
            <w:rStyle w:val="TextoNormalCaracter"/>
          </w:rPr>
          <w:t>79/2013</w:t>
        </w:r>
      </w:hyperlink>
      <w:r w:rsidRPr="00234417">
        <w:rPr>
          <w:rStyle w:val="TextoNormalCaracter"/>
        </w:rPr>
        <w:t xml:space="preserve">, f. 2; </w:t>
      </w:r>
      <w:hyperlink w:anchor="SENTENCIA_2013_115" w:history="1">
        <w:r w:rsidRPr="00234417">
          <w:rPr>
            <w:rStyle w:val="TextoNormalCaracter"/>
          </w:rPr>
          <w:t>115/2013</w:t>
        </w:r>
      </w:hyperlink>
      <w:r w:rsidRPr="00234417">
        <w:rPr>
          <w:rStyle w:val="TextoNormalCaracter"/>
        </w:rPr>
        <w:t xml:space="preserve">, f. 2; </w:t>
      </w:r>
      <w:hyperlink w:anchor="SENTENCIA_2013_125" w:history="1">
        <w:r w:rsidRPr="00234417">
          <w:rPr>
            <w:rStyle w:val="TextoNormalCaracter"/>
          </w:rPr>
          <w:t>125/2013</w:t>
        </w:r>
      </w:hyperlink>
      <w:r w:rsidRPr="00234417">
        <w:rPr>
          <w:rStyle w:val="TextoNormalCaracter"/>
        </w:rPr>
        <w:t>, f. 3.</w:t>
      </w:r>
    </w:p>
    <w:p w:rsidR="00234417" w:rsidRPr="00234417" w:rsidRDefault="00234417" w:rsidP="00234417">
      <w:pPr>
        <w:pStyle w:val="TextoNormalSangraFrancesa"/>
        <w:rPr>
          <w:rStyle w:val="TextoNormalCaracter"/>
        </w:rPr>
      </w:pPr>
      <w:bookmarkStart w:id="1315" w:name="DESCRIPTORALFABETICO880"/>
      <w:r w:rsidRPr="00234417">
        <w:rPr>
          <w:rStyle w:val="TextoNormalNegritaCaracter"/>
        </w:rPr>
        <w:t>Auto de aclaración</w:t>
      </w:r>
      <w:bookmarkEnd w:id="1315"/>
      <w:r w:rsidRPr="00234417">
        <w:rPr>
          <w:rStyle w:val="TextoNormalCaracter"/>
        </w:rPr>
        <w:t xml:space="preserve">, Auto </w:t>
      </w:r>
      <w:hyperlink w:anchor="AUTO_2013_68" w:history="1">
        <w:r w:rsidRPr="00234417">
          <w:rPr>
            <w:rStyle w:val="TextoNormalCaracter"/>
          </w:rPr>
          <w:t>68/2013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316" w:name="DESCRIPTORALFABETICO88"/>
      <w:r w:rsidRPr="00234417">
        <w:rPr>
          <w:rStyle w:val="TextoNormalNegritaCaracter"/>
        </w:rPr>
        <w:t>Autonomía financiera</w:t>
      </w:r>
      <w:bookmarkEnd w:id="1316"/>
      <w:r w:rsidRPr="00234417">
        <w:rPr>
          <w:rStyle w:val="TextoNormalCaracter"/>
        </w:rPr>
        <w:t xml:space="preserve">, Sentencias </w:t>
      </w:r>
      <w:hyperlink w:anchor="SENTENCIA_2013_37" w:history="1">
        <w:r w:rsidRPr="00234417">
          <w:rPr>
            <w:rStyle w:val="TextoNormalCaracter"/>
          </w:rPr>
          <w:t>37/2013</w:t>
        </w:r>
      </w:hyperlink>
      <w:r w:rsidRPr="00234417">
        <w:rPr>
          <w:rStyle w:val="TextoNormalCaracter"/>
        </w:rPr>
        <w:t xml:space="preserve">, ff. 4 a 6; </w:t>
      </w:r>
      <w:hyperlink w:anchor="SENTENCIA_2013_60" w:history="1">
        <w:r w:rsidRPr="00234417">
          <w:rPr>
            <w:rStyle w:val="TextoNormalCaracter"/>
          </w:rPr>
          <w:t>60/2013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122" w:history="1">
        <w:r w:rsidRPr="00234417">
          <w:rPr>
            <w:rStyle w:val="TextoNormalCaracter"/>
          </w:rPr>
          <w:t>122/2013</w:t>
        </w:r>
      </w:hyperlink>
      <w:r w:rsidRPr="00234417">
        <w:rPr>
          <w:rStyle w:val="TextoNormalCaracter"/>
        </w:rPr>
        <w:t>, ff. 4, 5.</w:t>
      </w:r>
    </w:p>
    <w:p w:rsidR="00234417" w:rsidRPr="00234417" w:rsidRDefault="00234417" w:rsidP="00234417">
      <w:pPr>
        <w:pStyle w:val="TextoNormalSangraFrancesa"/>
        <w:rPr>
          <w:rStyle w:val="TextoNormalCaracter"/>
        </w:rPr>
      </w:pPr>
      <w:bookmarkStart w:id="1317" w:name="DESCRIPTORALFABETICO407"/>
      <w:r w:rsidRPr="00234417">
        <w:rPr>
          <w:rStyle w:val="TextoNormalNegritaCaracter"/>
        </w:rPr>
        <w:t>Autonomía local</w:t>
      </w:r>
      <w:bookmarkEnd w:id="1317"/>
      <w:r w:rsidRPr="00234417">
        <w:rPr>
          <w:rStyle w:val="TextoNormalCaracter"/>
        </w:rPr>
        <w:t xml:space="preserve">, Sentencias </w:t>
      </w:r>
      <w:hyperlink w:anchor="SENTENCIA_2013_36" w:history="1">
        <w:r w:rsidRPr="00234417">
          <w:rPr>
            <w:rStyle w:val="TextoNormalCaracter"/>
          </w:rPr>
          <w:t>36/2013</w:t>
        </w:r>
      </w:hyperlink>
      <w:r w:rsidRPr="00234417">
        <w:rPr>
          <w:rStyle w:val="TextoNormalCaracter"/>
        </w:rPr>
        <w:t xml:space="preserve">, f. 4; </w:t>
      </w:r>
      <w:hyperlink w:anchor="SENTENCIA_2013_85" w:history="1">
        <w:r w:rsidRPr="00234417">
          <w:rPr>
            <w:rStyle w:val="TextoNormalCaracter"/>
          </w:rPr>
          <w:t>85/2013</w:t>
        </w:r>
      </w:hyperlink>
      <w:r w:rsidRPr="00234417">
        <w:rPr>
          <w:rStyle w:val="TextoNormalCaracter"/>
        </w:rPr>
        <w:t xml:space="preserve">, f. 5; </w:t>
      </w:r>
      <w:hyperlink w:anchor="SENTENCIA_2013_94" w:history="1">
        <w:r w:rsidRPr="00234417">
          <w:rPr>
            <w:rStyle w:val="TextoNormalCaracter"/>
          </w:rPr>
          <w:t>94/2013</w:t>
        </w:r>
      </w:hyperlink>
      <w:r w:rsidRPr="00234417">
        <w:rPr>
          <w:rStyle w:val="TextoNormalCaracter"/>
        </w:rPr>
        <w:t xml:space="preserve">, f. 8, VP I, VP II; </w:t>
      </w:r>
      <w:hyperlink w:anchor="SENTENCIA_2013_103" w:history="1">
        <w:r w:rsidRPr="00234417">
          <w:rPr>
            <w:rStyle w:val="TextoNormalCaracter"/>
          </w:rPr>
          <w:t>103/2013</w:t>
        </w:r>
      </w:hyperlink>
      <w:r w:rsidRPr="00234417">
        <w:rPr>
          <w:rStyle w:val="TextoNormalCaracter"/>
        </w:rPr>
        <w:t xml:space="preserve">, ff. 2, 4, 5, 6, VP; </w:t>
      </w:r>
      <w:hyperlink w:anchor="SENTENCIA_2013_104" w:history="1">
        <w:r w:rsidRPr="00234417">
          <w:rPr>
            <w:rStyle w:val="TextoNormalCaracter"/>
          </w:rPr>
          <w:t>104/2013</w:t>
        </w:r>
      </w:hyperlink>
      <w:r w:rsidRPr="00234417">
        <w:rPr>
          <w:rStyle w:val="TextoNormalCaracter"/>
        </w:rPr>
        <w:t xml:space="preserve">, f. 6; </w:t>
      </w:r>
      <w:hyperlink w:anchor="SENTENCIA_2013_125" w:history="1">
        <w:r w:rsidRPr="00234417">
          <w:rPr>
            <w:rStyle w:val="TextoNormalCaracter"/>
          </w:rPr>
          <w:t>125/2013</w:t>
        </w:r>
      </w:hyperlink>
      <w:r w:rsidRPr="00234417">
        <w:rPr>
          <w:rStyle w:val="TextoNormalCaracter"/>
        </w:rPr>
        <w:t xml:space="preserve">, ff. 4 a 8; </w:t>
      </w:r>
      <w:hyperlink w:anchor="SENTENCIA_2013_129" w:history="1">
        <w:r w:rsidRPr="00234417">
          <w:rPr>
            <w:rStyle w:val="TextoNormalCaracter"/>
          </w:rPr>
          <w:t>129/2013</w:t>
        </w:r>
      </w:hyperlink>
      <w:r w:rsidRPr="00234417">
        <w:rPr>
          <w:rStyle w:val="TextoNormalCaracter"/>
        </w:rPr>
        <w:t>, ff. 8, 9.</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9" w:history="1">
        <w:r w:rsidRPr="00234417">
          <w:rPr>
            <w:rStyle w:val="TextoNormalCaracter"/>
          </w:rPr>
          <w:t>9/2013</w:t>
        </w:r>
      </w:hyperlink>
      <w:r w:rsidRPr="00234417">
        <w:rPr>
          <w:rStyle w:val="TextoNormalCaracter"/>
        </w:rPr>
        <w:t>, f. 2.</w:t>
      </w:r>
    </w:p>
    <w:p w:rsidR="00234417" w:rsidRPr="00234417" w:rsidRDefault="00234417" w:rsidP="00234417">
      <w:pPr>
        <w:pStyle w:val="TextoNormalSangraFrancesa"/>
        <w:rPr>
          <w:rStyle w:val="TextoNormalCaracter"/>
        </w:rPr>
      </w:pPr>
      <w:bookmarkStart w:id="1318" w:name="DESCRIPTORALFABETICO408"/>
      <w:r w:rsidRPr="00234417">
        <w:rPr>
          <w:rStyle w:val="TextoNormalNegritaCaracter"/>
        </w:rPr>
        <w:t>Autonomía municipal</w:t>
      </w:r>
      <w:bookmarkEnd w:id="1318"/>
      <w:r w:rsidRPr="00234417">
        <w:rPr>
          <w:rStyle w:val="TextoNormalCaracter"/>
        </w:rPr>
        <w:t xml:space="preserve">, </w:t>
      </w:r>
    </w:p>
    <w:p w:rsidR="00234417" w:rsidRPr="00234417" w:rsidRDefault="00234417" w:rsidP="00234417">
      <w:pPr>
        <w:pStyle w:val="TextoNormalSangraFrancesa"/>
        <w:rPr>
          <w:rStyle w:val="TextoNormalCaracter"/>
        </w:rPr>
      </w:pPr>
      <w:r w:rsidRPr="00234417">
        <w:rPr>
          <w:rStyle w:val="TextoNormalCursivaCaracter"/>
        </w:rPr>
        <w:t xml:space="preserve">    Contenido, </w:t>
      </w:r>
      <w:r w:rsidRPr="00234417">
        <w:rPr>
          <w:rStyle w:val="TextoNormalCaracter"/>
        </w:rPr>
        <w:t xml:space="preserve">Sentencia </w:t>
      </w:r>
      <w:hyperlink w:anchor="SENTENCIA_2013_103" w:history="1">
        <w:r w:rsidRPr="00234417">
          <w:rPr>
            <w:rStyle w:val="TextoNormalCaracter"/>
          </w:rPr>
          <w:t>103/2013</w:t>
        </w:r>
      </w:hyperlink>
      <w:r w:rsidRPr="00234417">
        <w:rPr>
          <w:rStyle w:val="TextoNormalCaracter"/>
        </w:rPr>
        <w:t>, ff. 4 a 6, VP.</w:t>
      </w:r>
    </w:p>
    <w:p w:rsidR="00234417" w:rsidRPr="00234417" w:rsidRDefault="00234417" w:rsidP="00234417">
      <w:pPr>
        <w:pStyle w:val="TextoNormalSangraFrancesa"/>
        <w:rPr>
          <w:rStyle w:val="TextoNormalCaracter"/>
        </w:rPr>
      </w:pPr>
      <w:bookmarkStart w:id="1319" w:name="DESCRIPTORALFABETICO554"/>
      <w:r w:rsidRPr="00234417">
        <w:rPr>
          <w:rStyle w:val="TextoNormalNegritaCaracter"/>
        </w:rPr>
        <w:t>Autorizaciones de exploración de hidrocarburos</w:t>
      </w:r>
      <w:bookmarkEnd w:id="1319"/>
      <w:r w:rsidRPr="00234417">
        <w:rPr>
          <w:rStyle w:val="TextoNormalCaracter"/>
        </w:rPr>
        <w:t xml:space="preserve">, Sentencia </w:t>
      </w:r>
      <w:hyperlink w:anchor="SENTENCIA_2013_8" w:history="1">
        <w:r w:rsidRPr="00234417">
          <w:rPr>
            <w:rStyle w:val="TextoNormalCaracter"/>
          </w:rPr>
          <w:t>8/2013</w:t>
        </w:r>
      </w:hyperlink>
      <w:r w:rsidRPr="00234417">
        <w:rPr>
          <w:rStyle w:val="TextoNormalCaracter"/>
        </w:rPr>
        <w:t>, ff. 2, 4, 9.</w:t>
      </w:r>
    </w:p>
    <w:p w:rsidR="00234417" w:rsidRPr="00234417" w:rsidRDefault="00234417" w:rsidP="00234417">
      <w:pPr>
        <w:pStyle w:val="TextoNormalSangraFrancesa"/>
        <w:rPr>
          <w:rStyle w:val="TextoNormalCaracter"/>
        </w:rPr>
      </w:pPr>
      <w:bookmarkStart w:id="1320" w:name="DESCRIPTORALFABETICO327"/>
      <w:r w:rsidRPr="00234417">
        <w:rPr>
          <w:rStyle w:val="TextoNormalNegritaCaracter"/>
        </w:rPr>
        <w:t>Autos del Tribunal Constitucional</w:t>
      </w:r>
      <w:bookmarkEnd w:id="1320"/>
      <w:r w:rsidRPr="00234417">
        <w:rPr>
          <w:rStyle w:val="TextoNormalCaracter"/>
        </w:rPr>
        <w:t xml:space="preserve">, Auto </w:t>
      </w:r>
      <w:hyperlink w:anchor="AUTO_2013_92" w:history="1">
        <w:r w:rsidRPr="00234417">
          <w:rPr>
            <w:rStyle w:val="TextoNormalCaracter"/>
          </w:rPr>
          <w:t>92/2013</w:t>
        </w:r>
      </w:hyperlink>
      <w:r w:rsidRPr="00234417">
        <w:rPr>
          <w:rStyle w:val="TextoNormalCaracter"/>
        </w:rPr>
        <w:t>, f. único.</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B</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NegritaCaracter"/>
        </w:rPr>
      </w:pPr>
      <w:r w:rsidRPr="00234417">
        <w:rPr>
          <w:rStyle w:val="TextoNormalCursivaCaracter"/>
        </w:rPr>
        <w:t>Bases</w:t>
      </w:r>
      <w:r>
        <w:t xml:space="preserve"> véase </w:t>
      </w:r>
      <w:hyperlink w:anchor="DESCRIPTORALFABETICO659" w:history="1">
        <w:r w:rsidRPr="00234417">
          <w:rPr>
            <w:rStyle w:val="TextoNormalNegritaCaracter"/>
          </w:rPr>
          <w:t>Legislación básica</w:t>
        </w:r>
      </w:hyperlink>
    </w:p>
    <w:p w:rsidR="00234417" w:rsidRPr="00234417" w:rsidRDefault="00234417" w:rsidP="00234417">
      <w:pPr>
        <w:pStyle w:val="TextoNormalSangraFrancesa"/>
        <w:rPr>
          <w:rStyle w:val="TextoNormalCaracter"/>
        </w:rPr>
      </w:pPr>
      <w:bookmarkStart w:id="1321" w:name="DESCRIPTORALFABETICO99"/>
      <w:r w:rsidRPr="00234417">
        <w:rPr>
          <w:rStyle w:val="TextoNormalNegritaCaracter"/>
        </w:rPr>
        <w:t>Bases de la planificación económica</w:t>
      </w:r>
      <w:bookmarkEnd w:id="1321"/>
      <w:r w:rsidRPr="00234417">
        <w:rPr>
          <w:rStyle w:val="TextoNormalCaracter"/>
        </w:rPr>
        <w:t xml:space="preserve">, Sentencias </w:t>
      </w:r>
      <w:hyperlink w:anchor="SENTENCIA_2013_4" w:history="1">
        <w:r w:rsidRPr="00234417">
          <w:rPr>
            <w:rStyle w:val="TextoNormalCaracter"/>
          </w:rPr>
          <w:t>4/2013</w:t>
        </w:r>
      </w:hyperlink>
      <w:r w:rsidRPr="00234417">
        <w:rPr>
          <w:rStyle w:val="TextoNormalCaracter"/>
        </w:rPr>
        <w:t xml:space="preserve">, ff. 1 a 5; </w:t>
      </w:r>
      <w:hyperlink w:anchor="SENTENCIA_2013_34" w:history="1">
        <w:r w:rsidRPr="00234417">
          <w:rPr>
            <w:rStyle w:val="TextoNormalCaracter"/>
          </w:rPr>
          <w:t>34/2013</w:t>
        </w:r>
      </w:hyperlink>
      <w:r w:rsidRPr="00234417">
        <w:rPr>
          <w:rStyle w:val="TextoNormalCaracter"/>
        </w:rPr>
        <w:t>, f. 4, VP.</w:t>
      </w:r>
    </w:p>
    <w:p w:rsidR="00234417" w:rsidRPr="00234417" w:rsidRDefault="00234417" w:rsidP="00234417">
      <w:pPr>
        <w:pStyle w:val="TextoNormalSangraFrancesa"/>
        <w:rPr>
          <w:rStyle w:val="TextoNormalCaracter"/>
        </w:rPr>
      </w:pPr>
      <w:bookmarkStart w:id="1322" w:name="DESCRIPTORALFABETICO373"/>
      <w:r w:rsidRPr="00234417">
        <w:rPr>
          <w:rStyle w:val="TextoNormalNegritaCaracter"/>
        </w:rPr>
        <w:t>Bases del régimen jurídico de las Administraciones públicas</w:t>
      </w:r>
      <w:bookmarkEnd w:id="1322"/>
      <w:r w:rsidRPr="00234417">
        <w:rPr>
          <w:rStyle w:val="TextoNormalCaracter"/>
        </w:rPr>
        <w:t xml:space="preserve">, Sentencias </w:t>
      </w:r>
      <w:hyperlink w:anchor="SENTENCIA_2013_130" w:history="1">
        <w:r w:rsidRPr="00234417">
          <w:rPr>
            <w:rStyle w:val="TextoNormalCaracter"/>
          </w:rPr>
          <w:t>130/2013</w:t>
        </w:r>
      </w:hyperlink>
      <w:r w:rsidRPr="00234417">
        <w:rPr>
          <w:rStyle w:val="TextoNormalCaracter"/>
        </w:rPr>
        <w:t xml:space="preserve">, ff. 3, 5, 7, VP; </w:t>
      </w:r>
      <w:hyperlink w:anchor="SENTENCIA_2013_135" w:history="1">
        <w:r w:rsidRPr="00234417">
          <w:rPr>
            <w:rStyle w:val="TextoNormalCaracter"/>
          </w:rPr>
          <w:t>135/2013</w:t>
        </w:r>
      </w:hyperlink>
      <w:r w:rsidRPr="00234417">
        <w:rPr>
          <w:rStyle w:val="TextoNormalCaracter"/>
        </w:rPr>
        <w:t>, f. 4.</w:t>
      </w:r>
    </w:p>
    <w:p w:rsidR="00234417" w:rsidRPr="00234417" w:rsidRDefault="00234417" w:rsidP="00234417">
      <w:pPr>
        <w:pStyle w:val="TextoNormalSangraFrancesa"/>
        <w:rPr>
          <w:rStyle w:val="TextoNormalCaracter"/>
        </w:rPr>
      </w:pPr>
      <w:bookmarkStart w:id="1323" w:name="DESCRIPTORALFABETICO570"/>
      <w:r w:rsidRPr="00234417">
        <w:rPr>
          <w:rStyle w:val="TextoNormalNegritaCaracter"/>
        </w:rPr>
        <w:t>Beneficiarios de subvenciones</w:t>
      </w:r>
      <w:bookmarkEnd w:id="1323"/>
      <w:r w:rsidRPr="00234417">
        <w:rPr>
          <w:rStyle w:val="TextoNormalCaracter"/>
        </w:rPr>
        <w:t xml:space="preserve">, Sentencia </w:t>
      </w:r>
      <w:hyperlink w:anchor="SENTENCIA_2013_37" w:history="1">
        <w:r w:rsidRPr="00234417">
          <w:rPr>
            <w:rStyle w:val="TextoNormalCaracter"/>
          </w:rPr>
          <w:t>37/2013</w:t>
        </w:r>
      </w:hyperlink>
      <w:r w:rsidRPr="00234417">
        <w:rPr>
          <w:rStyle w:val="TextoNormalCaracter"/>
        </w:rPr>
        <w:t>, ff. 1 a 5.</w:t>
      </w:r>
    </w:p>
    <w:p w:rsidR="00234417" w:rsidRPr="00234417" w:rsidRDefault="00234417" w:rsidP="00234417">
      <w:pPr>
        <w:pStyle w:val="TextoNormalSangraFrancesa"/>
        <w:rPr>
          <w:rStyle w:val="TextoNormalCaracter"/>
        </w:rPr>
      </w:pPr>
      <w:bookmarkStart w:id="1324" w:name="DESCRIPTORALFABETICO608"/>
      <w:r w:rsidRPr="00234417">
        <w:rPr>
          <w:rStyle w:val="TextoNormalNegritaCaracter"/>
        </w:rPr>
        <w:t>Biodiversidad</w:t>
      </w:r>
      <w:bookmarkEnd w:id="1324"/>
      <w:r w:rsidRPr="00234417">
        <w:rPr>
          <w:rStyle w:val="TextoNormalCaracter"/>
        </w:rPr>
        <w:t xml:space="preserve">, Sentencias </w:t>
      </w:r>
      <w:hyperlink w:anchor="SENTENCIA_2013_69" w:history="1">
        <w:r w:rsidRPr="00234417">
          <w:rPr>
            <w:rStyle w:val="TextoNormalCaracter"/>
          </w:rPr>
          <w:t>69/2013</w:t>
        </w:r>
      </w:hyperlink>
      <w:r w:rsidRPr="00234417">
        <w:rPr>
          <w:rStyle w:val="TextoNormalCaracter"/>
        </w:rPr>
        <w:t xml:space="preserve">, ff. 2, 6; </w:t>
      </w:r>
      <w:hyperlink w:anchor="SENTENCIA_2013_138" w:history="1">
        <w:r w:rsidRPr="00234417">
          <w:rPr>
            <w:rStyle w:val="TextoNormalCaracter"/>
          </w:rPr>
          <w:t>138/2013</w:t>
        </w:r>
      </w:hyperlink>
      <w:r w:rsidRPr="00234417">
        <w:rPr>
          <w:rStyle w:val="TextoNormalCaracter"/>
        </w:rPr>
        <w:t>, ff. 3 a 9.</w:t>
      </w:r>
    </w:p>
    <w:p w:rsidR="00234417" w:rsidRPr="00234417" w:rsidRDefault="00234417" w:rsidP="00234417">
      <w:pPr>
        <w:pStyle w:val="TextoNormalSangraFrancesa"/>
        <w:rPr>
          <w:rStyle w:val="TextoNormalCaracter"/>
        </w:rPr>
      </w:pPr>
      <w:bookmarkStart w:id="1325" w:name="DESCRIPTORALFABETICO1"/>
      <w:r w:rsidRPr="00234417">
        <w:rPr>
          <w:rStyle w:val="TextoNormalNegritaCaracter"/>
        </w:rPr>
        <w:t>Bloque de la constitucionalidad</w:t>
      </w:r>
      <w:bookmarkEnd w:id="1325"/>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 2; </w:t>
      </w:r>
      <w:hyperlink w:anchor="SENTENCIA_2013_51" w:history="1">
        <w:r w:rsidRPr="00234417">
          <w:rPr>
            <w:rStyle w:val="TextoNormalCaracter"/>
          </w:rPr>
          <w:t>51/2013</w:t>
        </w:r>
      </w:hyperlink>
      <w:r w:rsidRPr="00234417">
        <w:rPr>
          <w:rStyle w:val="TextoNormalCaracter"/>
        </w:rPr>
        <w:t xml:space="preserve">, ff. 2, 4, 5; </w:t>
      </w:r>
      <w:hyperlink w:anchor="SENTENCIA_2013_64" w:history="1">
        <w:r w:rsidRPr="00234417">
          <w:rPr>
            <w:rStyle w:val="TextoNormalCaracter"/>
          </w:rPr>
          <w:t>64/2013</w:t>
        </w:r>
      </w:hyperlink>
      <w:r w:rsidRPr="00234417">
        <w:rPr>
          <w:rStyle w:val="TextoNormalCaracter"/>
        </w:rPr>
        <w:t xml:space="preserve">, f. 3; </w:t>
      </w:r>
      <w:hyperlink w:anchor="SENTENCIA_2013_103" w:history="1">
        <w:r w:rsidRPr="00234417">
          <w:rPr>
            <w:rStyle w:val="TextoNormalCaracter"/>
          </w:rPr>
          <w:t>103/2013</w:t>
        </w:r>
      </w:hyperlink>
      <w:r w:rsidRPr="00234417">
        <w:rPr>
          <w:rStyle w:val="TextoNormalCaracter"/>
        </w:rPr>
        <w:t>, ff. 2, 4 a 6.</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123" w:history="1">
        <w:r w:rsidRPr="00234417">
          <w:rPr>
            <w:rStyle w:val="TextoNormalCaracter"/>
          </w:rPr>
          <w:t>123/2013</w:t>
        </w:r>
      </w:hyperlink>
      <w:r w:rsidRPr="00234417">
        <w:rPr>
          <w:rStyle w:val="TextoNormalCaracter"/>
        </w:rPr>
        <w:t>, f. 6.</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C</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1326" w:name="DESCRIPTORALFABETICO130"/>
      <w:r w:rsidRPr="00234417">
        <w:rPr>
          <w:rStyle w:val="TextoNormalNegritaCaracter"/>
        </w:rPr>
        <w:t>Cabeza de lista</w:t>
      </w:r>
      <w:bookmarkEnd w:id="1326"/>
      <w:r w:rsidRPr="00234417">
        <w:rPr>
          <w:rStyle w:val="TextoNormalCaracter"/>
        </w:rPr>
        <w:t xml:space="preserve">, Sentencia </w:t>
      </w:r>
      <w:hyperlink w:anchor="SENTENCIA_2013_125" w:history="1">
        <w:r w:rsidRPr="00234417">
          <w:rPr>
            <w:rStyle w:val="TextoNormalCaracter"/>
          </w:rPr>
          <w:t>125/2013</w:t>
        </w:r>
      </w:hyperlink>
      <w:r w:rsidRPr="00234417">
        <w:rPr>
          <w:rStyle w:val="TextoNormalCaracter"/>
        </w:rPr>
        <w:t>, ff. 6 a 8, VP.</w:t>
      </w:r>
    </w:p>
    <w:p w:rsidR="00234417" w:rsidRPr="00234417" w:rsidRDefault="00234417" w:rsidP="00234417">
      <w:pPr>
        <w:pStyle w:val="TextoNormalSangraFrancesa"/>
        <w:rPr>
          <w:rStyle w:val="TextoNormalCaracter"/>
        </w:rPr>
      </w:pPr>
      <w:bookmarkStart w:id="1327" w:name="DESCRIPTORALFABETICO766"/>
      <w:r w:rsidRPr="00234417">
        <w:rPr>
          <w:rStyle w:val="TextoNormalNegritaCaracter"/>
        </w:rPr>
        <w:t>Caja única de la Seguridad Social</w:t>
      </w:r>
      <w:bookmarkEnd w:id="1327"/>
      <w:r w:rsidRPr="00234417">
        <w:rPr>
          <w:rStyle w:val="TextoNormalCaracter"/>
        </w:rPr>
        <w:t xml:space="preserve">, Sentencia </w:t>
      </w:r>
      <w:hyperlink w:anchor="SENTENCIA_2013_16" w:history="1">
        <w:r w:rsidRPr="00234417">
          <w:rPr>
            <w:rStyle w:val="TextoNormalCaracter"/>
          </w:rPr>
          <w:t>16/2013</w:t>
        </w:r>
      </w:hyperlink>
      <w:r w:rsidRPr="00234417">
        <w:rPr>
          <w:rStyle w:val="TextoNormalCaracter"/>
        </w:rPr>
        <w:t>, f. 5.</w:t>
      </w:r>
    </w:p>
    <w:p w:rsidR="00234417" w:rsidRPr="00234417" w:rsidRDefault="00234417" w:rsidP="00234417">
      <w:pPr>
        <w:pStyle w:val="TextoNormalSangraFrancesa"/>
        <w:rPr>
          <w:rStyle w:val="TextoNormalCaracter"/>
        </w:rPr>
      </w:pPr>
      <w:bookmarkStart w:id="1328" w:name="DESCRIPTORALFABETICO523"/>
      <w:r w:rsidRPr="00234417">
        <w:rPr>
          <w:rStyle w:val="TextoNormalNegritaCaracter"/>
        </w:rPr>
        <w:t>Calendario escolar</w:t>
      </w:r>
      <w:bookmarkEnd w:id="1328"/>
      <w:r w:rsidRPr="00234417">
        <w:rPr>
          <w:rStyle w:val="TextoNormalCaracter"/>
        </w:rPr>
        <w:t xml:space="preserve">, Sentencia </w:t>
      </w:r>
      <w:hyperlink w:anchor="SENTENCIA_2013_15" w:history="1">
        <w:r w:rsidRPr="00234417">
          <w:rPr>
            <w:rStyle w:val="TextoNormalCaracter"/>
          </w:rPr>
          <w:t>15/2013</w:t>
        </w:r>
      </w:hyperlink>
      <w:r w:rsidRPr="00234417">
        <w:rPr>
          <w:rStyle w:val="TextoNormalCaracter"/>
        </w:rPr>
        <w:t>, f. 2.</w:t>
      </w:r>
    </w:p>
    <w:p w:rsidR="00234417" w:rsidRPr="00234417" w:rsidRDefault="00234417" w:rsidP="00234417">
      <w:pPr>
        <w:pStyle w:val="TextoNormalSangraFrancesa"/>
        <w:rPr>
          <w:rStyle w:val="TextoNormalCaracter"/>
        </w:rPr>
      </w:pPr>
      <w:bookmarkStart w:id="1329" w:name="DESCRIPTORALFABETICO735"/>
      <w:r w:rsidRPr="00234417">
        <w:rPr>
          <w:rStyle w:val="TextoNormalNegritaCaracter"/>
        </w:rPr>
        <w:t>Calificación del concurso</w:t>
      </w:r>
      <w:bookmarkEnd w:id="1329"/>
      <w:r w:rsidRPr="00234417">
        <w:rPr>
          <w:rStyle w:val="TextoNormalCaracter"/>
        </w:rPr>
        <w:t xml:space="preserve">, Auto </w:t>
      </w:r>
      <w:hyperlink w:anchor="AUTO_2013_24" w:history="1">
        <w:r w:rsidRPr="00234417">
          <w:rPr>
            <w:rStyle w:val="TextoNormalCaracter"/>
          </w:rPr>
          <w:t>24/2013</w:t>
        </w:r>
      </w:hyperlink>
      <w:r w:rsidRPr="00234417">
        <w:rPr>
          <w:rStyle w:val="TextoNormalCaracter"/>
        </w:rPr>
        <w:t>, f. 1.</w:t>
      </w:r>
    </w:p>
    <w:p w:rsidR="00234417" w:rsidRPr="00234417" w:rsidRDefault="00234417" w:rsidP="00234417">
      <w:pPr>
        <w:pStyle w:val="TextoNormalSangraFrancesa"/>
        <w:rPr>
          <w:rStyle w:val="TextoNormalCaracter"/>
        </w:rPr>
      </w:pPr>
      <w:bookmarkStart w:id="1330" w:name="DESCRIPTORALFABETICO138"/>
      <w:r w:rsidRPr="00234417">
        <w:rPr>
          <w:rStyle w:val="TextoNormalNegritaCaracter"/>
        </w:rPr>
        <w:t>Cambio de criterio del órgano judicial</w:t>
      </w:r>
      <w:bookmarkEnd w:id="1330"/>
      <w:r w:rsidRPr="00234417">
        <w:rPr>
          <w:rStyle w:val="TextoNormalCaracter"/>
        </w:rPr>
        <w:t xml:space="preserve">, Sentencia </w:t>
      </w:r>
      <w:hyperlink w:anchor="SENTENCIA_2013_11" w:history="1">
        <w:r w:rsidRPr="00234417">
          <w:rPr>
            <w:rStyle w:val="TextoNormalCaracter"/>
          </w:rPr>
          <w:t>11/2013</w:t>
        </w:r>
      </w:hyperlink>
      <w:r w:rsidRPr="00234417">
        <w:rPr>
          <w:rStyle w:val="TextoNormalCaracter"/>
        </w:rPr>
        <w:t>, f. 4.</w:t>
      </w:r>
    </w:p>
    <w:p w:rsidR="00234417" w:rsidRPr="00234417" w:rsidRDefault="00234417" w:rsidP="00234417">
      <w:pPr>
        <w:pStyle w:val="TextoNormalSangraFrancesa"/>
        <w:rPr>
          <w:rStyle w:val="TextoNormalCaracter"/>
        </w:rPr>
      </w:pPr>
      <w:bookmarkStart w:id="1331" w:name="DESCRIPTORALFABETICO937"/>
      <w:r w:rsidRPr="00234417">
        <w:rPr>
          <w:rStyle w:val="TextoNormalNegritaCaracter"/>
        </w:rPr>
        <w:lastRenderedPageBreak/>
        <w:t>Canarias</w:t>
      </w:r>
      <w:bookmarkEnd w:id="1331"/>
      <w:r w:rsidRPr="00234417">
        <w:rPr>
          <w:rStyle w:val="TextoNormalCaracter"/>
        </w:rPr>
        <w:t xml:space="preserve">, Sentencias </w:t>
      </w:r>
      <w:hyperlink w:anchor="SENTENCIA_2013_8" w:history="1">
        <w:r w:rsidRPr="00234417">
          <w:rPr>
            <w:rStyle w:val="TextoNormalCaracter"/>
          </w:rPr>
          <w:t>8/2013</w:t>
        </w:r>
      </w:hyperlink>
      <w:r w:rsidRPr="00234417">
        <w:rPr>
          <w:rStyle w:val="TextoNormalCaracter"/>
        </w:rPr>
        <w:t xml:space="preserve">, ff. 3, 4, 6, 7; </w:t>
      </w:r>
      <w:hyperlink w:anchor="SENTENCIA_2013_33" w:history="1">
        <w:r w:rsidRPr="00234417">
          <w:rPr>
            <w:rStyle w:val="TextoNormalCaracter"/>
          </w:rPr>
          <w:t>33/2013</w:t>
        </w:r>
      </w:hyperlink>
      <w:r w:rsidRPr="00234417">
        <w:rPr>
          <w:rStyle w:val="TextoNormalCaracter"/>
        </w:rPr>
        <w:t xml:space="preserve">, ff. 5, 6; </w:t>
      </w:r>
      <w:hyperlink w:anchor="SENTENCIA_2013_87" w:history="1">
        <w:r w:rsidRPr="00234417">
          <w:rPr>
            <w:rStyle w:val="TextoNormalCaracter"/>
          </w:rPr>
          <w:t>87/2013</w:t>
        </w:r>
      </w:hyperlink>
      <w:r w:rsidRPr="00234417">
        <w:rPr>
          <w:rStyle w:val="TextoNormalCaracter"/>
        </w:rPr>
        <w:t xml:space="preserve">, ff. 3, 4, 5, 6; </w:t>
      </w:r>
      <w:hyperlink w:anchor="SENTENCIA_2013_101" w:history="1">
        <w:r w:rsidRPr="00234417">
          <w:rPr>
            <w:rStyle w:val="TextoNormalCaracter"/>
          </w:rPr>
          <w:t>101/2013</w:t>
        </w:r>
      </w:hyperlink>
      <w:r w:rsidRPr="00234417">
        <w:rPr>
          <w:rStyle w:val="TextoNormalCaracter"/>
        </w:rPr>
        <w:t xml:space="preserve">, ff. 7 a 11; </w:t>
      </w:r>
      <w:hyperlink w:anchor="SENTENCIA_2013_102" w:history="1">
        <w:r w:rsidRPr="00234417">
          <w:rPr>
            <w:rStyle w:val="TextoNormalCaracter"/>
          </w:rPr>
          <w:t>102/2013</w:t>
        </w:r>
      </w:hyperlink>
      <w:r w:rsidRPr="00234417">
        <w:rPr>
          <w:rStyle w:val="TextoNormalCaracter"/>
        </w:rPr>
        <w:t xml:space="preserve">, ff. 3, 4, 6, 7, 9, 10; </w:t>
      </w:r>
      <w:hyperlink w:anchor="SENTENCIA_2013_123" w:history="1">
        <w:r w:rsidRPr="00234417">
          <w:rPr>
            <w:rStyle w:val="TextoNormalCaracter"/>
          </w:rPr>
          <w:t>123/2013</w:t>
        </w:r>
      </w:hyperlink>
      <w:r w:rsidRPr="00234417">
        <w:rPr>
          <w:rStyle w:val="TextoNormalCaracter"/>
        </w:rPr>
        <w:t xml:space="preserve">, ff. 4, 5, 6, 7, 8, 9; </w:t>
      </w:r>
      <w:hyperlink w:anchor="SENTENCIA_2013_132" w:history="1">
        <w:r w:rsidRPr="00234417">
          <w:rPr>
            <w:rStyle w:val="TextoNormalCaracter"/>
          </w:rPr>
          <w:t>132/2013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9" w:history="1">
        <w:r w:rsidRPr="00234417">
          <w:rPr>
            <w:rStyle w:val="TextoNormalCaracter"/>
          </w:rPr>
          <w:t>9/2013</w:t>
        </w:r>
      </w:hyperlink>
      <w:r w:rsidRPr="00234417">
        <w:rPr>
          <w:rStyle w:val="TextoNormalCaracter"/>
        </w:rPr>
        <w:t>, ff. 3, 5.</w:t>
      </w:r>
    </w:p>
    <w:p w:rsidR="00234417" w:rsidRPr="00234417" w:rsidRDefault="00234417" w:rsidP="00234417">
      <w:pPr>
        <w:pStyle w:val="TextoNormalSangraFrancesa"/>
        <w:rPr>
          <w:rStyle w:val="TextoNormalCaracter"/>
        </w:rPr>
      </w:pPr>
      <w:bookmarkStart w:id="1332" w:name="DESCRIPTORALFABETICO211"/>
      <w:r w:rsidRPr="00234417">
        <w:rPr>
          <w:rStyle w:val="TextoNormalNegritaCaracter"/>
        </w:rPr>
        <w:t>Canon de constitucionalidad reforzado</w:t>
      </w:r>
      <w:bookmarkEnd w:id="1332"/>
      <w:r w:rsidRPr="00234417">
        <w:rPr>
          <w:rStyle w:val="TextoNormalCaracter"/>
        </w:rPr>
        <w:t xml:space="preserve">, Auto </w:t>
      </w:r>
      <w:hyperlink w:anchor="AUTO_2013_2" w:history="1">
        <w:r w:rsidRPr="00234417">
          <w:rPr>
            <w:rStyle w:val="TextoNormalCaracter"/>
          </w:rPr>
          <w:t>2/2013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333" w:name="DESCRIPTORALFABETICO173"/>
      <w:r w:rsidRPr="00234417">
        <w:rPr>
          <w:rStyle w:val="TextoNormalNegritaCaracter"/>
        </w:rPr>
        <w:t>Canon de motivación reforzado cuando afecta a derechos fundamentales</w:t>
      </w:r>
      <w:bookmarkEnd w:id="1333"/>
      <w:r w:rsidRPr="00234417">
        <w:rPr>
          <w:rStyle w:val="TextoNormalCaracter"/>
        </w:rPr>
        <w:t xml:space="preserve">, Sentencia </w:t>
      </w:r>
      <w:hyperlink w:anchor="SENTENCIA_2013_31" w:history="1">
        <w:r w:rsidRPr="00234417">
          <w:rPr>
            <w:rStyle w:val="TextoNormalCaracter"/>
          </w:rPr>
          <w:t>31/2013</w:t>
        </w:r>
      </w:hyperlink>
      <w:r w:rsidRPr="00234417">
        <w:rPr>
          <w:rStyle w:val="TextoNormalCaracter"/>
        </w:rPr>
        <w:t>, f. 3.</w:t>
      </w:r>
    </w:p>
    <w:p w:rsidR="00234417" w:rsidRPr="00234417" w:rsidRDefault="00234417" w:rsidP="00234417">
      <w:pPr>
        <w:pStyle w:val="TextoNormalSangraFrancesa"/>
        <w:rPr>
          <w:rStyle w:val="TextoNormalCaracter"/>
        </w:rPr>
      </w:pPr>
      <w:bookmarkStart w:id="1334" w:name="DESCRIPTORALFABETICO117"/>
      <w:r w:rsidRPr="00234417">
        <w:rPr>
          <w:rStyle w:val="TextoNormalNegritaCaracter"/>
        </w:rPr>
        <w:t>Canon del agua</w:t>
      </w:r>
      <w:bookmarkEnd w:id="1334"/>
      <w:r w:rsidRPr="00234417">
        <w:rPr>
          <w:rStyle w:val="TextoNormalCaracter"/>
        </w:rPr>
        <w:t xml:space="preserve">, Sentencia </w:t>
      </w:r>
      <w:hyperlink w:anchor="SENTENCIA_2013_85" w:history="1">
        <w:r w:rsidRPr="00234417">
          <w:rPr>
            <w:rStyle w:val="TextoNormalCaracter"/>
          </w:rPr>
          <w:t>85/2013</w:t>
        </w:r>
      </w:hyperlink>
      <w:r w:rsidRPr="00234417">
        <w:rPr>
          <w:rStyle w:val="TextoNormalCaracter"/>
        </w:rPr>
        <w:t>, ff. 4 a 6.</w:t>
      </w:r>
    </w:p>
    <w:p w:rsidR="00234417" w:rsidRPr="00234417" w:rsidRDefault="00234417" w:rsidP="00234417">
      <w:pPr>
        <w:pStyle w:val="TextoNormalSangraFrancesa"/>
        <w:rPr>
          <w:rStyle w:val="TextoNormalCaracter"/>
        </w:rPr>
      </w:pPr>
      <w:bookmarkStart w:id="1335" w:name="DESCRIPTORALFABETICO146"/>
      <w:r w:rsidRPr="00234417">
        <w:rPr>
          <w:rStyle w:val="TextoNormalNegritaCaracter"/>
        </w:rPr>
        <w:t>Canon reforzado de investigación</w:t>
      </w:r>
      <w:bookmarkEnd w:id="1335"/>
      <w:r w:rsidRPr="00234417">
        <w:rPr>
          <w:rStyle w:val="TextoNormalCaracter"/>
        </w:rPr>
        <w:t xml:space="preserve">, Sentencia </w:t>
      </w:r>
      <w:hyperlink w:anchor="SENTENCIA_2013_12" w:history="1">
        <w:r w:rsidRPr="00234417">
          <w:rPr>
            <w:rStyle w:val="TextoNormalCaracter"/>
          </w:rPr>
          <w:t>12/2013</w:t>
        </w:r>
      </w:hyperlink>
      <w:r w:rsidRPr="00234417">
        <w:rPr>
          <w:rStyle w:val="TextoNormalCaracter"/>
        </w:rPr>
        <w:t>, ff. 2, 4, VP I.</w:t>
      </w:r>
    </w:p>
    <w:p w:rsidR="00234417" w:rsidRPr="00234417" w:rsidRDefault="00234417" w:rsidP="00234417">
      <w:pPr>
        <w:pStyle w:val="TextoNormalSangraFrancesa"/>
        <w:rPr>
          <w:rStyle w:val="TextoNormalCaracter"/>
        </w:rPr>
      </w:pPr>
      <w:bookmarkStart w:id="1336" w:name="DESCRIPTORALFABETICO660"/>
      <w:r w:rsidRPr="00234417">
        <w:rPr>
          <w:rStyle w:val="TextoNormalNegritaCaracter"/>
        </w:rPr>
        <w:t>Carácter básico de las normas jurídicas</w:t>
      </w:r>
      <w:bookmarkEnd w:id="1336"/>
      <w:r w:rsidRPr="00234417">
        <w:rPr>
          <w:rStyle w:val="TextoNormalCaracter"/>
        </w:rPr>
        <w:t xml:space="preserve">, Sentencias </w:t>
      </w:r>
      <w:hyperlink w:anchor="SENTENCIA_2013_4" w:history="1">
        <w:r w:rsidRPr="00234417">
          <w:rPr>
            <w:rStyle w:val="TextoNormalCaracter"/>
          </w:rPr>
          <w:t>4/2013</w:t>
        </w:r>
      </w:hyperlink>
      <w:r w:rsidRPr="00234417">
        <w:rPr>
          <w:rStyle w:val="TextoNormalCaracter"/>
        </w:rPr>
        <w:t xml:space="preserve">, f. 5; </w:t>
      </w:r>
      <w:hyperlink w:anchor="SENTENCIA_2013_36" w:history="1">
        <w:r w:rsidRPr="00234417">
          <w:rPr>
            <w:rStyle w:val="TextoNormalCaracter"/>
          </w:rPr>
          <w:t>36/2013</w:t>
        </w:r>
      </w:hyperlink>
      <w:r w:rsidRPr="00234417">
        <w:rPr>
          <w:rStyle w:val="TextoNormalCaracter"/>
        </w:rPr>
        <w:t xml:space="preserve">, f. 5; </w:t>
      </w:r>
      <w:hyperlink w:anchor="SENTENCIA_2013_107" w:history="1">
        <w:r w:rsidRPr="00234417">
          <w:rPr>
            <w:rStyle w:val="TextoNormalCaracter"/>
          </w:rPr>
          <w:t>107/2013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85" w:history="1">
        <w:r w:rsidRPr="00234417">
          <w:rPr>
            <w:rStyle w:val="TextoNormalCaracter"/>
          </w:rPr>
          <w:t>85/2013</w:t>
        </w:r>
      </w:hyperlink>
      <w:r w:rsidRPr="00234417">
        <w:rPr>
          <w:rStyle w:val="TextoNormalCaracter"/>
        </w:rPr>
        <w:t>, ff. 4 a 7.</w:t>
      </w:r>
    </w:p>
    <w:p w:rsidR="00234417" w:rsidRPr="00234417" w:rsidRDefault="00234417" w:rsidP="00234417">
      <w:pPr>
        <w:pStyle w:val="TextoNormalSangraFrancesa"/>
        <w:rPr>
          <w:rStyle w:val="TextoNormalCaracter"/>
        </w:rPr>
      </w:pPr>
      <w:bookmarkStart w:id="1337" w:name="DESCRIPTORALFABETICO652"/>
      <w:r w:rsidRPr="00234417">
        <w:rPr>
          <w:rStyle w:val="TextoNormalNegritaCaracter"/>
        </w:rPr>
        <w:t>Carácter excepcional de los decretos-leyes</w:t>
      </w:r>
      <w:bookmarkEnd w:id="1337"/>
      <w:r w:rsidRPr="00234417">
        <w:rPr>
          <w:rStyle w:val="TextoNormalCaracter"/>
        </w:rPr>
        <w:t xml:space="preserve">, Sentencia </w:t>
      </w:r>
      <w:hyperlink w:anchor="SENTENCIA_2013_39" w:history="1">
        <w:r w:rsidRPr="00234417">
          <w:rPr>
            <w:rStyle w:val="TextoNormalCaracter"/>
          </w:rPr>
          <w:t>39/2013</w:t>
        </w:r>
      </w:hyperlink>
      <w:r w:rsidRPr="00234417">
        <w:rPr>
          <w:rStyle w:val="TextoNormalCaracter"/>
        </w:rPr>
        <w:t>, f. 5.</w:t>
      </w:r>
    </w:p>
    <w:p w:rsidR="00234417" w:rsidRPr="00234417" w:rsidRDefault="00234417" w:rsidP="00234417">
      <w:pPr>
        <w:pStyle w:val="TextoNormalSangraFrancesa"/>
        <w:rPr>
          <w:rStyle w:val="TextoNormalCaracter"/>
        </w:rPr>
      </w:pPr>
      <w:bookmarkStart w:id="1338" w:name="DESCRIPTORALFABETICO691"/>
      <w:r w:rsidRPr="00234417">
        <w:rPr>
          <w:rStyle w:val="TextoNormalNegritaCaracter"/>
        </w:rPr>
        <w:t>Carácter prevalente de la interpretación conforme</w:t>
      </w:r>
      <w:bookmarkEnd w:id="1338"/>
      <w:r w:rsidRPr="00234417">
        <w:rPr>
          <w:rStyle w:val="TextoNormalCaracter"/>
        </w:rPr>
        <w:t xml:space="preserve">, Sentencia </w:t>
      </w:r>
      <w:hyperlink w:anchor="SENTENCIA_2013_5" w:history="1">
        <w:r w:rsidRPr="00234417">
          <w:rPr>
            <w:rStyle w:val="TextoNormalCaracter"/>
          </w:rPr>
          <w:t>5/2013</w:t>
        </w:r>
      </w:hyperlink>
      <w:r w:rsidRPr="00234417">
        <w:rPr>
          <w:rStyle w:val="TextoNormalCaracter"/>
        </w:rPr>
        <w:t>, f. 3.</w:t>
      </w:r>
    </w:p>
    <w:p w:rsidR="00234417" w:rsidRPr="00234417" w:rsidRDefault="00234417" w:rsidP="00234417">
      <w:pPr>
        <w:pStyle w:val="TextoNormalSangraFrancesa"/>
        <w:rPr>
          <w:rStyle w:val="TextoNormalCaracter"/>
        </w:rPr>
      </w:pPr>
      <w:bookmarkStart w:id="1339" w:name="DESCRIPTORALFABETICO318"/>
      <w:r w:rsidRPr="00234417">
        <w:rPr>
          <w:rStyle w:val="TextoNormalNegritaCaracter"/>
        </w:rPr>
        <w:t>Carencia de especial trascendencia constitucional</w:t>
      </w:r>
      <w:bookmarkEnd w:id="1339"/>
      <w:r w:rsidRPr="00234417">
        <w:rPr>
          <w:rStyle w:val="TextoNormalCaracter"/>
        </w:rPr>
        <w:t xml:space="preserve">, Auto </w:t>
      </w:r>
      <w:hyperlink w:anchor="AUTO_2013_25" w:history="1">
        <w:r w:rsidRPr="00234417">
          <w:rPr>
            <w:rStyle w:val="TextoNormalCaracter"/>
          </w:rPr>
          <w:t>25/2013</w:t>
        </w:r>
      </w:hyperlink>
      <w:r w:rsidRPr="00234417">
        <w:rPr>
          <w:rStyle w:val="TextoNormalCaracter"/>
        </w:rPr>
        <w:t>, f. 4.</w:t>
      </w:r>
    </w:p>
    <w:p w:rsidR="00234417" w:rsidRPr="00234417" w:rsidRDefault="00234417" w:rsidP="00234417">
      <w:pPr>
        <w:pStyle w:val="TextoNormalSangraFrancesa"/>
        <w:rPr>
          <w:rStyle w:val="TextoNormalCaracter"/>
        </w:rPr>
      </w:pPr>
      <w:bookmarkStart w:id="1340" w:name="DESCRIPTORALFABETICO217"/>
      <w:r w:rsidRPr="00234417">
        <w:rPr>
          <w:rStyle w:val="TextoNormalNegritaCaracter"/>
        </w:rPr>
        <w:t>Carencia de jurisdicción para controlar la adecuación de los actos de los poderes públicos nacionales al Derecho de la Unión Europea</w:t>
      </w:r>
      <w:bookmarkEnd w:id="1340"/>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 2; </w:t>
      </w:r>
      <w:hyperlink w:anchor="SENTENCIA_2013_51" w:history="1">
        <w:r w:rsidRPr="00234417">
          <w:rPr>
            <w:rStyle w:val="TextoNormalCaracter"/>
          </w:rPr>
          <w:t>51/2013</w:t>
        </w:r>
      </w:hyperlink>
      <w:r w:rsidRPr="00234417">
        <w:rPr>
          <w:rStyle w:val="TextoNormalCaracter"/>
        </w:rPr>
        <w:t xml:space="preserve">, f. 6; </w:t>
      </w:r>
      <w:hyperlink w:anchor="SENTENCIA_2013_64" w:history="1">
        <w:r w:rsidRPr="00234417">
          <w:rPr>
            <w:rStyle w:val="TextoNormalCaracter"/>
          </w:rPr>
          <w:t>64/2013</w:t>
        </w:r>
      </w:hyperlink>
      <w:r w:rsidRPr="00234417">
        <w:rPr>
          <w:rStyle w:val="TextoNormalCaracter"/>
        </w:rPr>
        <w:t xml:space="preserve">, f. 4; </w:t>
      </w:r>
      <w:hyperlink w:anchor="SENTENCIA_2013_129" w:history="1">
        <w:r w:rsidRPr="00234417">
          <w:rPr>
            <w:rStyle w:val="TextoNormalCaracter"/>
          </w:rPr>
          <w:t>129/2013</w:t>
        </w:r>
      </w:hyperlink>
      <w:r w:rsidRPr="00234417">
        <w:rPr>
          <w:rStyle w:val="TextoNormalCaracter"/>
        </w:rPr>
        <w:t>, f. 7.</w:t>
      </w:r>
    </w:p>
    <w:p w:rsidR="00234417" w:rsidRPr="00234417" w:rsidRDefault="00234417" w:rsidP="00234417">
      <w:pPr>
        <w:pStyle w:val="TextoNormalSangraFrancesa"/>
        <w:rPr>
          <w:rStyle w:val="TextoNormalCaracter"/>
        </w:rPr>
      </w:pPr>
      <w:bookmarkStart w:id="1341" w:name="DESCRIPTORALFABETICO218"/>
      <w:r w:rsidRPr="00234417">
        <w:rPr>
          <w:rStyle w:val="TextoNormalNegritaCaracter"/>
        </w:rPr>
        <w:t>Carencia de jurisdicción para revisar el juicio de oportunidad</w:t>
      </w:r>
      <w:bookmarkEnd w:id="1341"/>
      <w:r w:rsidRPr="00234417">
        <w:rPr>
          <w:rStyle w:val="TextoNormalCaracter"/>
        </w:rPr>
        <w:t xml:space="preserve">, Sentencia </w:t>
      </w:r>
      <w:hyperlink w:anchor="SENTENCIA_2013_20" w:history="1">
        <w:r w:rsidRPr="00234417">
          <w:rPr>
            <w:rStyle w:val="TextoNormalCaracter"/>
          </w:rPr>
          <w:t>20/2013</w:t>
        </w:r>
      </w:hyperlink>
      <w:r w:rsidRPr="00234417">
        <w:rPr>
          <w:rStyle w:val="TextoNormalCaracter"/>
        </w:rPr>
        <w:t>, f. 10.</w:t>
      </w:r>
    </w:p>
    <w:p w:rsidR="00234417" w:rsidRPr="00234417" w:rsidRDefault="00234417" w:rsidP="00234417">
      <w:pPr>
        <w:pStyle w:val="TextoNormalSangraFrancesa"/>
        <w:rPr>
          <w:rStyle w:val="TextoNormalCaracter"/>
        </w:rPr>
      </w:pPr>
      <w:bookmarkStart w:id="1342" w:name="DESCRIPTORALFABETICO319"/>
      <w:r w:rsidRPr="00234417">
        <w:rPr>
          <w:rStyle w:val="TextoNormalNegritaCaracter"/>
        </w:rPr>
        <w:t>Carencia de justificación de la especial trascendencia constitucional</w:t>
      </w:r>
      <w:bookmarkEnd w:id="1342"/>
      <w:r w:rsidRPr="00234417">
        <w:rPr>
          <w:rStyle w:val="TextoNormalCaracter"/>
        </w:rPr>
        <w:t xml:space="preserve">, Auto </w:t>
      </w:r>
      <w:hyperlink w:anchor="AUTO_2013_28" w:history="1">
        <w:r w:rsidRPr="00234417">
          <w:rPr>
            <w:rStyle w:val="TextoNormalCaracter"/>
          </w:rPr>
          <w:t>28/2013</w:t>
        </w:r>
      </w:hyperlink>
      <w:r w:rsidRPr="00234417">
        <w:rPr>
          <w:rStyle w:val="TextoNormalCaracter"/>
        </w:rPr>
        <w:t>, ff. 1, 2, VP I.</w:t>
      </w:r>
    </w:p>
    <w:p w:rsidR="00234417" w:rsidRPr="00234417" w:rsidRDefault="00234417" w:rsidP="00234417">
      <w:pPr>
        <w:pStyle w:val="TextoNormalSangraFrancesa"/>
        <w:rPr>
          <w:rStyle w:val="TextoNormalCaracter"/>
        </w:rPr>
      </w:pPr>
      <w:bookmarkStart w:id="1343" w:name="DESCRIPTORALFABETICO309"/>
      <w:r w:rsidRPr="00234417">
        <w:rPr>
          <w:rStyle w:val="TextoNormalNegritaCaracter"/>
        </w:rPr>
        <w:t>Carga de acreditación de la procedencia del recurso</w:t>
      </w:r>
      <w:bookmarkEnd w:id="1343"/>
      <w:r w:rsidRPr="00234417">
        <w:rPr>
          <w:rStyle w:val="TextoNormalCaracter"/>
        </w:rPr>
        <w:t xml:space="preserve">, Sentencia </w:t>
      </w:r>
      <w:hyperlink w:anchor="SENTENCIA_2013_29" w:history="1">
        <w:r w:rsidRPr="00234417">
          <w:rPr>
            <w:rStyle w:val="TextoNormalCaracter"/>
          </w:rPr>
          <w:t>29/2013</w:t>
        </w:r>
      </w:hyperlink>
      <w:r w:rsidRPr="00234417">
        <w:rPr>
          <w:rStyle w:val="TextoNormalCaracter"/>
        </w:rPr>
        <w:t>, f. 3.</w:t>
      </w:r>
    </w:p>
    <w:p w:rsidR="00234417" w:rsidRPr="00234417" w:rsidRDefault="00234417" w:rsidP="00234417">
      <w:pPr>
        <w:pStyle w:val="TextoNormalSangraFrancesa"/>
        <w:rPr>
          <w:rStyle w:val="TextoNormalCaracter"/>
        </w:rPr>
      </w:pPr>
      <w:bookmarkStart w:id="1344" w:name="DESCRIPTORALFABETICO412"/>
      <w:r w:rsidRPr="00234417">
        <w:rPr>
          <w:rStyle w:val="TextoNormalNegritaCaracter"/>
        </w:rPr>
        <w:t>Carga de razonamiento de la supuesta arbitrariedad</w:t>
      </w:r>
      <w:bookmarkEnd w:id="1344"/>
      <w:r w:rsidRPr="00234417">
        <w:rPr>
          <w:rStyle w:val="TextoNormalCaracter"/>
        </w:rPr>
        <w:t xml:space="preserve">, Sentencia </w:t>
      </w:r>
      <w:hyperlink w:anchor="SENTENCIA_2013_19" w:history="1">
        <w:r w:rsidRPr="00234417">
          <w:rPr>
            <w:rStyle w:val="TextoNormalCaracter"/>
          </w:rPr>
          <w:t>19/2013</w:t>
        </w:r>
      </w:hyperlink>
      <w:r w:rsidRPr="00234417">
        <w:rPr>
          <w:rStyle w:val="TextoNormalCaracter"/>
        </w:rPr>
        <w:t>, f. 2.</w:t>
      </w:r>
    </w:p>
    <w:p w:rsidR="00234417" w:rsidRPr="00234417" w:rsidRDefault="00234417" w:rsidP="00234417">
      <w:pPr>
        <w:pStyle w:val="TextoNormalSangraFrancesa"/>
        <w:rPr>
          <w:rStyle w:val="TextoNormalCaracter"/>
        </w:rPr>
      </w:pPr>
      <w:bookmarkStart w:id="1345" w:name="DESCRIPTORALFABETICO442"/>
      <w:r w:rsidRPr="00234417">
        <w:rPr>
          <w:rStyle w:val="TextoNormalNegritaCaracter"/>
        </w:rPr>
        <w:t>Castellano</w:t>
      </w:r>
      <w:bookmarkEnd w:id="1345"/>
      <w:r w:rsidRPr="00234417">
        <w:rPr>
          <w:rStyle w:val="TextoNormalCaracter"/>
        </w:rPr>
        <w:t xml:space="preserve">, Sentencias </w:t>
      </w:r>
      <w:hyperlink w:anchor="SENTENCIA_2013_15" w:history="1">
        <w:r w:rsidRPr="00234417">
          <w:rPr>
            <w:rStyle w:val="TextoNormalCaracter"/>
          </w:rPr>
          <w:t>15/2013</w:t>
        </w:r>
      </w:hyperlink>
      <w:r w:rsidRPr="00234417">
        <w:rPr>
          <w:rStyle w:val="TextoNormalCaracter"/>
        </w:rPr>
        <w:t xml:space="preserve">, ff. 3, 4; </w:t>
      </w:r>
      <w:hyperlink w:anchor="SENTENCIA_2013_24" w:history="1">
        <w:r w:rsidRPr="00234417">
          <w:rPr>
            <w:rStyle w:val="TextoNormalCaracter"/>
          </w:rPr>
          <w:t>24/2013</w:t>
        </w:r>
      </w:hyperlink>
      <w:r w:rsidRPr="00234417">
        <w:rPr>
          <w:rStyle w:val="TextoNormalCaracter"/>
        </w:rPr>
        <w:t xml:space="preserve">, f. 7; </w:t>
      </w:r>
      <w:hyperlink w:anchor="SENTENCIA_2013_48" w:history="1">
        <w:r w:rsidRPr="00234417">
          <w:rPr>
            <w:rStyle w:val="TextoNormalCaracter"/>
          </w:rPr>
          <w:t>48/2013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346" w:name="DESCRIPTORALFABETICO938"/>
      <w:r w:rsidRPr="00234417">
        <w:rPr>
          <w:rStyle w:val="TextoNormalNegritaCaracter"/>
        </w:rPr>
        <w:t>Castilla y León</w:t>
      </w:r>
      <w:bookmarkEnd w:id="1346"/>
      <w:r w:rsidRPr="00234417">
        <w:rPr>
          <w:rStyle w:val="TextoNormalCaracter"/>
        </w:rPr>
        <w:t xml:space="preserve">, Sentencias </w:t>
      </w:r>
      <w:hyperlink w:anchor="SENTENCIA_2013_23" w:history="1">
        <w:r w:rsidRPr="00234417">
          <w:rPr>
            <w:rStyle w:val="TextoNormalCaracter"/>
          </w:rPr>
          <w:t>23/2013</w:t>
        </w:r>
      </w:hyperlink>
      <w:r w:rsidRPr="00234417">
        <w:rPr>
          <w:rStyle w:val="TextoNormalCaracter"/>
        </w:rPr>
        <w:t xml:space="preserve">, ff. 3, 4; </w:t>
      </w:r>
      <w:hyperlink w:anchor="SENTENCIA_2013_38" w:history="1">
        <w:r w:rsidRPr="00234417">
          <w:rPr>
            <w:rStyle w:val="TextoNormalCaracter"/>
          </w:rPr>
          <w:t>38/2013</w:t>
        </w:r>
      </w:hyperlink>
      <w:r w:rsidRPr="00234417">
        <w:rPr>
          <w:rStyle w:val="TextoNormalCaracter"/>
        </w:rPr>
        <w:t xml:space="preserve">, ff. 2 a 5; </w:t>
      </w:r>
      <w:hyperlink w:anchor="SENTENCIA_2013_69" w:history="1">
        <w:r w:rsidRPr="00234417">
          <w:rPr>
            <w:rStyle w:val="TextoNormalCaracter"/>
          </w:rPr>
          <w:t>69/2013</w:t>
        </w:r>
      </w:hyperlink>
      <w:r w:rsidRPr="00234417">
        <w:rPr>
          <w:rStyle w:val="TextoNormalCaracter"/>
        </w:rPr>
        <w:t xml:space="preserve">, f. 4; </w:t>
      </w:r>
      <w:hyperlink w:anchor="SENTENCIA_2013_97" w:history="1">
        <w:r w:rsidRPr="00234417">
          <w:rPr>
            <w:rStyle w:val="TextoNormalCaracter"/>
          </w:rPr>
          <w:t>97/2013</w:t>
        </w:r>
      </w:hyperlink>
      <w:r w:rsidRPr="00234417">
        <w:rPr>
          <w:rStyle w:val="TextoNormalCaracter"/>
        </w:rPr>
        <w:t xml:space="preserve">, ff. 3, 4; </w:t>
      </w:r>
      <w:hyperlink w:anchor="SENTENCIA_2013_107" w:history="1">
        <w:r w:rsidRPr="00234417">
          <w:rPr>
            <w:rStyle w:val="TextoNormalCaracter"/>
          </w:rPr>
          <w:t>107/2013</w:t>
        </w:r>
      </w:hyperlink>
      <w:r w:rsidRPr="00234417">
        <w:rPr>
          <w:rStyle w:val="TextoNormalCaracter"/>
        </w:rPr>
        <w:t xml:space="preserve">, f. 2; </w:t>
      </w:r>
      <w:hyperlink w:anchor="SENTENCIA_2013_129" w:history="1">
        <w:r w:rsidRPr="00234417">
          <w:rPr>
            <w:rStyle w:val="TextoNormalCaracter"/>
          </w:rPr>
          <w:t>129/2013</w:t>
        </w:r>
      </w:hyperlink>
      <w:r w:rsidRPr="00234417">
        <w:rPr>
          <w:rStyle w:val="TextoNormalCaracter"/>
        </w:rPr>
        <w:t xml:space="preserve">, f. 8; </w:t>
      </w:r>
      <w:hyperlink w:anchor="SENTENCIA_2013_136" w:history="1">
        <w:r w:rsidRPr="00234417">
          <w:rPr>
            <w:rStyle w:val="TextoNormalCaracter"/>
          </w:rPr>
          <w:t>136/2013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1347" w:name="DESCRIPTORALFABETICO939"/>
      <w:r w:rsidRPr="00234417">
        <w:rPr>
          <w:rStyle w:val="TextoNormalNegritaCaracter"/>
        </w:rPr>
        <w:t>Castilla-La Mancha</w:t>
      </w:r>
      <w:bookmarkEnd w:id="1347"/>
      <w:r w:rsidRPr="00234417">
        <w:rPr>
          <w:rStyle w:val="TextoNormalCaracter"/>
        </w:rPr>
        <w:t xml:space="preserve">, Sentencias </w:t>
      </w:r>
      <w:hyperlink w:anchor="SENTENCIA_2013_60" w:history="1">
        <w:r w:rsidRPr="00234417">
          <w:rPr>
            <w:rStyle w:val="TextoNormalCaracter"/>
          </w:rPr>
          <w:t>60/2013</w:t>
        </w:r>
      </w:hyperlink>
      <w:r w:rsidRPr="00234417">
        <w:rPr>
          <w:rStyle w:val="TextoNormalCaracter"/>
        </w:rPr>
        <w:t xml:space="preserve">, ff. 2 a 6; </w:t>
      </w:r>
      <w:hyperlink w:anchor="SENTENCIA_2013_80" w:history="1">
        <w:r w:rsidRPr="00234417">
          <w:rPr>
            <w:rStyle w:val="TextoNormalCaracter"/>
          </w:rPr>
          <w:t>80/2013</w:t>
        </w:r>
      </w:hyperlink>
      <w:r w:rsidRPr="00234417">
        <w:rPr>
          <w:rStyle w:val="TextoNormalCaracter"/>
        </w:rPr>
        <w:t xml:space="preserve">, ff. 3, 4; </w:t>
      </w:r>
      <w:hyperlink w:anchor="SENTENCIA_2013_82" w:history="1">
        <w:r w:rsidRPr="00234417">
          <w:rPr>
            <w:rStyle w:val="TextoNormalCaracter"/>
          </w:rPr>
          <w:t>82/2013</w:t>
        </w:r>
      </w:hyperlink>
      <w:r w:rsidRPr="00234417">
        <w:rPr>
          <w:rStyle w:val="TextoNormalCaracter"/>
        </w:rPr>
        <w:t>, ff. 2 a 5.</w:t>
      </w:r>
    </w:p>
    <w:p w:rsidR="00234417" w:rsidRPr="00234417" w:rsidRDefault="00234417" w:rsidP="00234417">
      <w:pPr>
        <w:pStyle w:val="TextoNormalSangraFrancesa"/>
        <w:rPr>
          <w:rStyle w:val="TextoNormalCaracter"/>
        </w:rPr>
      </w:pPr>
      <w:bookmarkStart w:id="1348" w:name="DESCRIPTORALFABETICO443"/>
      <w:r w:rsidRPr="00234417">
        <w:rPr>
          <w:rStyle w:val="TextoNormalNegritaCaracter"/>
        </w:rPr>
        <w:t>Catalán</w:t>
      </w:r>
      <w:bookmarkEnd w:id="1348"/>
      <w:r w:rsidRPr="00234417">
        <w:rPr>
          <w:rStyle w:val="TextoNormalCaracter"/>
        </w:rPr>
        <w:t xml:space="preserve">, Sentencias </w:t>
      </w:r>
      <w:hyperlink w:anchor="SENTENCIA_2013_15" w:history="1">
        <w:r w:rsidRPr="00234417">
          <w:rPr>
            <w:rStyle w:val="TextoNormalCaracter"/>
          </w:rPr>
          <w:t>15/2013</w:t>
        </w:r>
      </w:hyperlink>
      <w:r w:rsidRPr="00234417">
        <w:rPr>
          <w:rStyle w:val="TextoNormalCaracter"/>
        </w:rPr>
        <w:t xml:space="preserve">, ff. 3, 4; </w:t>
      </w:r>
      <w:hyperlink w:anchor="SENTENCIA_2013_24" w:history="1">
        <w:r w:rsidRPr="00234417">
          <w:rPr>
            <w:rStyle w:val="TextoNormalCaracter"/>
          </w:rPr>
          <w:t>24/2013</w:t>
        </w:r>
      </w:hyperlink>
      <w:r w:rsidRPr="00234417">
        <w:rPr>
          <w:rStyle w:val="TextoNormalCaracter"/>
        </w:rPr>
        <w:t xml:space="preserve">, f. 7; </w:t>
      </w:r>
      <w:hyperlink w:anchor="SENTENCIA_2013_48" w:history="1">
        <w:r w:rsidRPr="00234417">
          <w:rPr>
            <w:rStyle w:val="TextoNormalCaracter"/>
          </w:rPr>
          <w:t>48/2013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349" w:name="DESCRIPTORALFABETICO940"/>
      <w:r w:rsidRPr="00234417">
        <w:rPr>
          <w:rStyle w:val="TextoNormalNegritaCaracter"/>
        </w:rPr>
        <w:t>Cataluña</w:t>
      </w:r>
      <w:bookmarkEnd w:id="1349"/>
      <w:r w:rsidRPr="00234417">
        <w:rPr>
          <w:rStyle w:val="TextoNormalCaracter"/>
        </w:rPr>
        <w:t xml:space="preserve">, Sentencias </w:t>
      </w:r>
      <w:hyperlink w:anchor="SENTENCIA_2013_5" w:history="1">
        <w:r w:rsidRPr="00234417">
          <w:rPr>
            <w:rStyle w:val="TextoNormalCaracter"/>
          </w:rPr>
          <w:t>5/2013</w:t>
        </w:r>
      </w:hyperlink>
      <w:r w:rsidRPr="00234417">
        <w:rPr>
          <w:rStyle w:val="TextoNormalCaracter"/>
        </w:rPr>
        <w:t xml:space="preserve">, ff. 3, 5; </w:t>
      </w:r>
      <w:hyperlink w:anchor="SENTENCIA_2013_7" w:history="1">
        <w:r w:rsidRPr="00234417">
          <w:rPr>
            <w:rStyle w:val="TextoNormalCaracter"/>
          </w:rPr>
          <w:t>7/2013</w:t>
        </w:r>
      </w:hyperlink>
      <w:r w:rsidRPr="00234417">
        <w:rPr>
          <w:rStyle w:val="TextoNormalCaracter"/>
        </w:rPr>
        <w:t xml:space="preserve">, ff. 3 a 6; </w:t>
      </w:r>
      <w:hyperlink w:anchor="SENTENCIA_2013_14" w:history="1">
        <w:r w:rsidRPr="00234417">
          <w:rPr>
            <w:rStyle w:val="TextoNormalCaracter"/>
          </w:rPr>
          <w:t>14/2013</w:t>
        </w:r>
      </w:hyperlink>
      <w:r w:rsidRPr="00234417">
        <w:rPr>
          <w:rStyle w:val="TextoNormalCaracter"/>
        </w:rPr>
        <w:t xml:space="preserve">, ff. 2, 3, 4, 5, 6; </w:t>
      </w:r>
      <w:hyperlink w:anchor="SENTENCIA_2013_15" w:history="1">
        <w:r w:rsidRPr="00234417">
          <w:rPr>
            <w:rStyle w:val="TextoNormalCaracter"/>
          </w:rPr>
          <w:t>15/2013</w:t>
        </w:r>
      </w:hyperlink>
      <w:r w:rsidRPr="00234417">
        <w:rPr>
          <w:rStyle w:val="TextoNormalCaracter"/>
        </w:rPr>
        <w:t xml:space="preserve">, f. 3; </w:t>
      </w:r>
      <w:hyperlink w:anchor="SENTENCIA_2013_18" w:history="1">
        <w:r w:rsidRPr="00234417">
          <w:rPr>
            <w:rStyle w:val="TextoNormalCaracter"/>
          </w:rPr>
          <w:t>18/2013</w:t>
        </w:r>
      </w:hyperlink>
      <w:r w:rsidRPr="00234417">
        <w:rPr>
          <w:rStyle w:val="TextoNormalCaracter"/>
        </w:rPr>
        <w:t xml:space="preserve">, ff. 5, 6; </w:t>
      </w:r>
      <w:hyperlink w:anchor="SENTENCIA_2013_19" w:history="1">
        <w:r w:rsidRPr="00234417">
          <w:rPr>
            <w:rStyle w:val="TextoNormalCaracter"/>
          </w:rPr>
          <w:t>19/2013</w:t>
        </w:r>
      </w:hyperlink>
      <w:r w:rsidRPr="00234417">
        <w:rPr>
          <w:rStyle w:val="TextoNormalCaracter"/>
        </w:rPr>
        <w:t xml:space="preserve">, ff. 1 a 4; </w:t>
      </w:r>
      <w:hyperlink w:anchor="SENTENCIA_2013_20" w:history="1">
        <w:r w:rsidRPr="00234417">
          <w:rPr>
            <w:rStyle w:val="TextoNormalCaracter"/>
          </w:rPr>
          <w:t>20/2013</w:t>
        </w:r>
      </w:hyperlink>
      <w:r w:rsidRPr="00234417">
        <w:rPr>
          <w:rStyle w:val="TextoNormalCaracter"/>
        </w:rPr>
        <w:t xml:space="preserve">, ff. 3, 5 a 10; </w:t>
      </w:r>
      <w:hyperlink w:anchor="SENTENCIA_2013_21" w:history="1">
        <w:r w:rsidRPr="00234417">
          <w:rPr>
            <w:rStyle w:val="TextoNormalCaracter"/>
          </w:rPr>
          <w:t>21/2013</w:t>
        </w:r>
      </w:hyperlink>
      <w:r w:rsidRPr="00234417">
        <w:rPr>
          <w:rStyle w:val="TextoNormalCaracter"/>
        </w:rPr>
        <w:t xml:space="preserve">, ff. 4, 5, 6; </w:t>
      </w:r>
      <w:hyperlink w:anchor="SENTENCIA_2013_24" w:history="1">
        <w:r w:rsidRPr="00234417">
          <w:rPr>
            <w:rStyle w:val="TextoNormalCaracter"/>
          </w:rPr>
          <w:t>24/2013</w:t>
        </w:r>
      </w:hyperlink>
      <w:r w:rsidRPr="00234417">
        <w:rPr>
          <w:rStyle w:val="TextoNormalCaracter"/>
        </w:rPr>
        <w:t xml:space="preserve">, f. 3; </w:t>
      </w:r>
      <w:hyperlink w:anchor="SENTENCIA_2013_26" w:history="1">
        <w:r w:rsidRPr="00234417">
          <w:rPr>
            <w:rStyle w:val="TextoNormalCaracter"/>
          </w:rPr>
          <w:t>26/2013</w:t>
        </w:r>
      </w:hyperlink>
      <w:r w:rsidRPr="00234417">
        <w:rPr>
          <w:rStyle w:val="TextoNormalCaracter"/>
        </w:rPr>
        <w:t xml:space="preserve">, f. 7; </w:t>
      </w:r>
      <w:hyperlink w:anchor="SENTENCIA_2013_34" w:history="1">
        <w:r w:rsidRPr="00234417">
          <w:rPr>
            <w:rStyle w:val="TextoNormalCaracter"/>
          </w:rPr>
          <w:t>34/2013</w:t>
        </w:r>
      </w:hyperlink>
      <w:r w:rsidRPr="00234417">
        <w:rPr>
          <w:rStyle w:val="TextoNormalCaracter"/>
        </w:rPr>
        <w:t xml:space="preserve">, f. 1; </w:t>
      </w:r>
      <w:hyperlink w:anchor="SENTENCIA_2013_42" w:history="1">
        <w:r w:rsidRPr="00234417">
          <w:rPr>
            <w:rStyle w:val="TextoNormalCaracter"/>
          </w:rPr>
          <w:t>42/2013</w:t>
        </w:r>
      </w:hyperlink>
      <w:r w:rsidRPr="00234417">
        <w:rPr>
          <w:rStyle w:val="TextoNormalCaracter"/>
        </w:rPr>
        <w:t xml:space="preserve">, ff. 1, 3; </w:t>
      </w:r>
      <w:hyperlink w:anchor="SENTENCIA_2013_47" w:history="1">
        <w:r w:rsidRPr="00234417">
          <w:rPr>
            <w:rStyle w:val="TextoNormalCaracter"/>
          </w:rPr>
          <w:t>47/2013</w:t>
        </w:r>
      </w:hyperlink>
      <w:r w:rsidRPr="00234417">
        <w:rPr>
          <w:rStyle w:val="TextoNormalCaracter"/>
        </w:rPr>
        <w:t xml:space="preserve">, ff. 3, 4; </w:t>
      </w:r>
      <w:hyperlink w:anchor="SENTENCIA_2013_48" w:history="1">
        <w:r w:rsidRPr="00234417">
          <w:rPr>
            <w:rStyle w:val="TextoNormalCaracter"/>
          </w:rPr>
          <w:t>48/2013</w:t>
        </w:r>
      </w:hyperlink>
      <w:r w:rsidRPr="00234417">
        <w:rPr>
          <w:rStyle w:val="TextoNormalCaracter"/>
        </w:rPr>
        <w:t xml:space="preserve">, ff. 3 a 5; </w:t>
      </w:r>
      <w:hyperlink w:anchor="SENTENCIA_2013_49" w:history="1">
        <w:r w:rsidRPr="00234417">
          <w:rPr>
            <w:rStyle w:val="TextoNormalCaracter"/>
          </w:rPr>
          <w:t>49/2013</w:t>
        </w:r>
      </w:hyperlink>
      <w:r w:rsidRPr="00234417">
        <w:rPr>
          <w:rStyle w:val="TextoNormalCaracter"/>
        </w:rPr>
        <w:t xml:space="preserve">, ff. 7, 8, 9, 10, 11, 12; </w:t>
      </w:r>
      <w:hyperlink w:anchor="SENTENCIA_2013_52" w:history="1">
        <w:r w:rsidRPr="00234417">
          <w:rPr>
            <w:rStyle w:val="TextoNormalCaracter"/>
          </w:rPr>
          <w:t>52/2013</w:t>
        </w:r>
      </w:hyperlink>
      <w:r w:rsidRPr="00234417">
        <w:rPr>
          <w:rStyle w:val="TextoNormalCaracter"/>
        </w:rPr>
        <w:t xml:space="preserve">, ff. 2, 3, 4, 5, 6, 7;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xml:space="preserve">, f. 4; </w:t>
      </w:r>
      <w:hyperlink w:anchor="SENTENCIA_2013_70" w:history="1">
        <w:r w:rsidRPr="00234417">
          <w:rPr>
            <w:rStyle w:val="TextoNormalCaracter"/>
          </w:rPr>
          <w:t>70/2013</w:t>
        </w:r>
      </w:hyperlink>
      <w:r w:rsidRPr="00234417">
        <w:rPr>
          <w:rStyle w:val="TextoNormalCaracter"/>
        </w:rPr>
        <w:t xml:space="preserve">, ff. 3, 4, 5, 6, 7; </w:t>
      </w:r>
      <w:hyperlink w:anchor="SENTENCIA_2013_95" w:history="1">
        <w:r w:rsidRPr="00234417">
          <w:rPr>
            <w:rStyle w:val="TextoNormalCaracter"/>
          </w:rPr>
          <w:t>95/2013</w:t>
        </w:r>
      </w:hyperlink>
      <w:r w:rsidRPr="00234417">
        <w:rPr>
          <w:rStyle w:val="TextoNormalCaracter"/>
        </w:rPr>
        <w:t xml:space="preserve">, ff. 3 a 6; </w:t>
      </w:r>
      <w:hyperlink w:anchor="SENTENCIA_2013_103" w:history="1">
        <w:r w:rsidRPr="00234417">
          <w:rPr>
            <w:rStyle w:val="TextoNormalCaracter"/>
          </w:rPr>
          <w:t>103/2013</w:t>
        </w:r>
      </w:hyperlink>
      <w:r w:rsidRPr="00234417">
        <w:rPr>
          <w:rStyle w:val="TextoNormalCaracter"/>
        </w:rPr>
        <w:t xml:space="preserve">, ff. 2 a 6; </w:t>
      </w:r>
      <w:hyperlink w:anchor="SENTENCIA_2013_104" w:history="1">
        <w:r w:rsidRPr="00234417">
          <w:rPr>
            <w:rStyle w:val="TextoNormalCaracter"/>
          </w:rPr>
          <w:t>104/2013</w:t>
        </w:r>
      </w:hyperlink>
      <w:r w:rsidRPr="00234417">
        <w:rPr>
          <w:rStyle w:val="TextoNormalCaracter"/>
        </w:rPr>
        <w:t xml:space="preserve">, ff. 4, 5, 6, 7, 10; </w:t>
      </w:r>
      <w:hyperlink w:anchor="SENTENCIA_2013_113" w:history="1">
        <w:r w:rsidRPr="00234417">
          <w:rPr>
            <w:rStyle w:val="TextoNormalCaracter"/>
          </w:rPr>
          <w:t>113/2013</w:t>
        </w:r>
      </w:hyperlink>
      <w:r w:rsidRPr="00234417">
        <w:rPr>
          <w:rStyle w:val="TextoNormalCaracter"/>
        </w:rPr>
        <w:t xml:space="preserve">, f. 4; </w:t>
      </w:r>
      <w:hyperlink w:anchor="SENTENCIA_2013_124" w:history="1">
        <w:r w:rsidRPr="00234417">
          <w:rPr>
            <w:rStyle w:val="TextoNormalCaracter"/>
          </w:rPr>
          <w:t>124/2013</w:t>
        </w:r>
      </w:hyperlink>
      <w:r w:rsidRPr="00234417">
        <w:rPr>
          <w:rStyle w:val="TextoNormalCaracter"/>
        </w:rPr>
        <w:t xml:space="preserve">, ff. 2, 4; </w:t>
      </w:r>
      <w:hyperlink w:anchor="SENTENCIA_2013_135" w:history="1">
        <w:r w:rsidRPr="00234417">
          <w:rPr>
            <w:rStyle w:val="TextoNormalCaracter"/>
          </w:rPr>
          <w:t>135/2013</w:t>
        </w:r>
      </w:hyperlink>
      <w:r w:rsidRPr="00234417">
        <w:rPr>
          <w:rStyle w:val="TextoNormalCaracter"/>
        </w:rPr>
        <w:t>, ff. 4 a 6.</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33" w:history="1">
        <w:r w:rsidRPr="00234417">
          <w:rPr>
            <w:rStyle w:val="TextoNormalCaracter"/>
          </w:rPr>
          <w:t>33/2013</w:t>
        </w:r>
      </w:hyperlink>
      <w:r w:rsidRPr="00234417">
        <w:rPr>
          <w:rStyle w:val="TextoNormalCaracter"/>
        </w:rPr>
        <w:t xml:space="preserve">, f. 1; </w:t>
      </w:r>
      <w:hyperlink w:anchor="AUTO_2013_60" w:history="1">
        <w:r w:rsidRPr="00234417">
          <w:rPr>
            <w:rStyle w:val="TextoNormalCaracter"/>
          </w:rPr>
          <w:t>60/2013</w:t>
        </w:r>
      </w:hyperlink>
      <w:r w:rsidRPr="00234417">
        <w:rPr>
          <w:rStyle w:val="TextoNormalCaracter"/>
        </w:rPr>
        <w:t xml:space="preserve">, ff. 2 a 5; </w:t>
      </w:r>
      <w:hyperlink w:anchor="AUTO_2013_85" w:history="1">
        <w:r w:rsidRPr="00234417">
          <w:rPr>
            <w:rStyle w:val="TextoNormalCaracter"/>
          </w:rPr>
          <w:t>85/2013</w:t>
        </w:r>
      </w:hyperlink>
      <w:r w:rsidRPr="00234417">
        <w:rPr>
          <w:rStyle w:val="TextoNormalCaracter"/>
        </w:rPr>
        <w:t xml:space="preserve">, ff. 2 a 6; </w:t>
      </w:r>
      <w:hyperlink w:anchor="AUTO_2013_122" w:history="1">
        <w:r w:rsidRPr="00234417">
          <w:rPr>
            <w:rStyle w:val="TextoNormalCaracter"/>
          </w:rPr>
          <w:t>122/2013</w:t>
        </w:r>
      </w:hyperlink>
      <w:r w:rsidRPr="00234417">
        <w:rPr>
          <w:rStyle w:val="TextoNormalCaracter"/>
        </w:rPr>
        <w:t xml:space="preserve">, f. 4; </w:t>
      </w:r>
      <w:hyperlink w:anchor="AUTO_2013_123" w:history="1">
        <w:r w:rsidRPr="00234417">
          <w:rPr>
            <w:rStyle w:val="TextoNormalCaracter"/>
          </w:rPr>
          <w:t>123/2013</w:t>
        </w:r>
      </w:hyperlink>
      <w:r w:rsidRPr="00234417">
        <w:rPr>
          <w:rStyle w:val="TextoNormalCaracter"/>
        </w:rPr>
        <w:t xml:space="preserve">, f. 1; </w:t>
      </w:r>
      <w:hyperlink w:anchor="AUTO_2013_125" w:history="1">
        <w:r w:rsidRPr="00234417">
          <w:rPr>
            <w:rStyle w:val="TextoNormalCaracter"/>
          </w:rPr>
          <w:t>125/2013</w:t>
        </w:r>
      </w:hyperlink>
      <w:r w:rsidRPr="00234417">
        <w:rPr>
          <w:rStyle w:val="TextoNormalCaracter"/>
        </w:rPr>
        <w:t xml:space="preserve">, ff. 2, 3; </w:t>
      </w:r>
      <w:hyperlink w:anchor="AUTO_2013_127" w:history="1">
        <w:r w:rsidRPr="00234417">
          <w:rPr>
            <w:rStyle w:val="TextoNormalCaracter"/>
          </w:rPr>
          <w:t>127/2013</w:t>
        </w:r>
      </w:hyperlink>
      <w:r w:rsidRPr="00234417">
        <w:rPr>
          <w:rStyle w:val="TextoNormalCaracter"/>
        </w:rPr>
        <w:t xml:space="preserve">, ff. 2, 3; </w:t>
      </w:r>
      <w:hyperlink w:anchor="AUTO_2013_128" w:history="1">
        <w:r w:rsidRPr="00234417">
          <w:rPr>
            <w:rStyle w:val="TextoNormalCaracter"/>
          </w:rPr>
          <w:t>128/2013</w:t>
        </w:r>
      </w:hyperlink>
      <w:r w:rsidRPr="00234417">
        <w:rPr>
          <w:rStyle w:val="TextoNormalCaracter"/>
        </w:rPr>
        <w:t xml:space="preserve">, ff. 2, 3; </w:t>
      </w:r>
      <w:hyperlink w:anchor="AUTO_2013_146" w:history="1">
        <w:r w:rsidRPr="00234417">
          <w:rPr>
            <w:rStyle w:val="TextoNormalCaracter"/>
          </w:rPr>
          <w:t>146/2013</w:t>
        </w:r>
      </w:hyperlink>
      <w:r w:rsidRPr="00234417">
        <w:rPr>
          <w:rStyle w:val="TextoNormalCaracter"/>
        </w:rPr>
        <w:t>, f. 3.</w:t>
      </w:r>
    </w:p>
    <w:p w:rsidR="00234417" w:rsidRPr="00234417" w:rsidRDefault="00234417" w:rsidP="00234417">
      <w:pPr>
        <w:pStyle w:val="TextoNormalSangraFrancesa"/>
        <w:rPr>
          <w:rStyle w:val="TextoNormalCaracter"/>
        </w:rPr>
      </w:pPr>
      <w:bookmarkStart w:id="1350" w:name="DESCRIPTORALFABETICO243"/>
      <w:r w:rsidRPr="00234417">
        <w:rPr>
          <w:rStyle w:val="TextoNormalNegritaCaracter"/>
        </w:rPr>
        <w:t>Causas de abstención y recusación de magistrados del Tribunal Constitucional</w:t>
      </w:r>
      <w:bookmarkEnd w:id="1350"/>
      <w:r w:rsidRPr="00234417">
        <w:rPr>
          <w:rStyle w:val="TextoNormalCaracter"/>
        </w:rPr>
        <w:t xml:space="preserve">, Sentencia </w:t>
      </w:r>
      <w:hyperlink w:anchor="SENTENCIA_2013_133" w:history="1">
        <w:r w:rsidRPr="00234417">
          <w:rPr>
            <w:rStyle w:val="TextoNormalCaracter"/>
          </w:rPr>
          <w:t>133/2013</w:t>
        </w:r>
      </w:hyperlink>
      <w:r w:rsidRPr="00234417">
        <w:rPr>
          <w:rStyle w:val="TextoNormalCaracter"/>
        </w:rPr>
        <w:t>, f. 2.</w:t>
      </w:r>
    </w:p>
    <w:p w:rsidR="00234417" w:rsidRPr="00234417" w:rsidRDefault="00234417" w:rsidP="00234417">
      <w:pPr>
        <w:pStyle w:val="TextoNormalSangraFrancesa"/>
        <w:rPr>
          <w:rStyle w:val="TextoNormalCaracter"/>
        </w:rPr>
      </w:pPr>
      <w:bookmarkStart w:id="1351" w:name="DESCRIPTORALFABETICO490"/>
      <w:r w:rsidRPr="00234417">
        <w:rPr>
          <w:rStyle w:val="TextoNormalNegritaCaracter"/>
        </w:rPr>
        <w:t>Caza</w:t>
      </w:r>
      <w:bookmarkEnd w:id="1351"/>
      <w:r w:rsidRPr="00234417">
        <w:rPr>
          <w:rStyle w:val="TextoNormalCaracter"/>
        </w:rPr>
        <w:t xml:space="preserve">, Sentencias </w:t>
      </w:r>
      <w:hyperlink w:anchor="SENTENCIA_2013_69" w:history="1">
        <w:r w:rsidRPr="00234417">
          <w:rPr>
            <w:rStyle w:val="TextoNormalCaracter"/>
          </w:rPr>
          <w:t>69/2013</w:t>
        </w:r>
      </w:hyperlink>
      <w:r w:rsidRPr="00234417">
        <w:rPr>
          <w:rStyle w:val="TextoNormalCaracter"/>
        </w:rPr>
        <w:t xml:space="preserve">, f. 6; </w:t>
      </w:r>
      <w:hyperlink w:anchor="SENTENCIA_2013_114" w:history="1">
        <w:r w:rsidRPr="00234417">
          <w:rPr>
            <w:rStyle w:val="TextoNormalCaracter"/>
          </w:rPr>
          <w:t>114/2013</w:t>
        </w:r>
      </w:hyperlink>
      <w:r w:rsidRPr="00234417">
        <w:rPr>
          <w:rStyle w:val="TextoNormalCaracter"/>
        </w:rPr>
        <w:t>, f. 4.</w:t>
      </w:r>
    </w:p>
    <w:p w:rsidR="00234417" w:rsidRPr="00234417" w:rsidRDefault="00234417" w:rsidP="00234417">
      <w:pPr>
        <w:pStyle w:val="TextoNormalSangraFrancesa"/>
        <w:rPr>
          <w:rStyle w:val="TextoNormalCaracter"/>
        </w:rPr>
      </w:pPr>
      <w:bookmarkStart w:id="1352" w:name="DESCRIPTORALFABETICO434"/>
      <w:r w:rsidRPr="00234417">
        <w:rPr>
          <w:rStyle w:val="TextoNormalNegritaCaracter"/>
        </w:rPr>
        <w:t>Centros de internamiento de extranjeros</w:t>
      </w:r>
      <w:bookmarkEnd w:id="1352"/>
      <w:r w:rsidRPr="00234417">
        <w:rPr>
          <w:rStyle w:val="TextoNormalCaracter"/>
        </w:rPr>
        <w:t xml:space="preserve">, Sentencia </w:t>
      </w:r>
      <w:hyperlink w:anchor="SENTENCIA_2013_17" w:history="1">
        <w:r w:rsidRPr="00234417">
          <w:rPr>
            <w:rStyle w:val="TextoNormalCaracter"/>
          </w:rPr>
          <w:t>17/2013</w:t>
        </w:r>
      </w:hyperlink>
      <w:r w:rsidRPr="00234417">
        <w:rPr>
          <w:rStyle w:val="TextoNormalCaracter"/>
        </w:rPr>
        <w:t>, ff. 13 a 15, VP.</w:t>
      </w:r>
    </w:p>
    <w:p w:rsidR="00234417" w:rsidRPr="00234417" w:rsidRDefault="00234417" w:rsidP="00234417">
      <w:pPr>
        <w:pStyle w:val="TextoNormalSangraFrancesa"/>
        <w:rPr>
          <w:rStyle w:val="TextoNormalCaracter"/>
        </w:rPr>
      </w:pPr>
      <w:bookmarkStart w:id="1353" w:name="DESCRIPTORALFABETICO624"/>
      <w:r w:rsidRPr="00234417">
        <w:rPr>
          <w:rStyle w:val="TextoNormalNegritaCaracter"/>
        </w:rPr>
        <w:t>Centros de tratamiento de residuos</w:t>
      </w:r>
      <w:bookmarkEnd w:id="1353"/>
      <w:r w:rsidRPr="00234417">
        <w:rPr>
          <w:rStyle w:val="TextoNormalCaracter"/>
        </w:rPr>
        <w:t xml:space="preserve">, Sentencia </w:t>
      </w:r>
      <w:hyperlink w:anchor="SENTENCIA_2013_129" w:history="1">
        <w:r w:rsidRPr="00234417">
          <w:rPr>
            <w:rStyle w:val="TextoNormalCaracter"/>
          </w:rPr>
          <w:t>129/2013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354" w:name="DESCRIPTORALFABETICO517"/>
      <w:r w:rsidRPr="00234417">
        <w:rPr>
          <w:rStyle w:val="TextoNormalNegritaCaracter"/>
        </w:rPr>
        <w:t>Centros docentes concertados</w:t>
      </w:r>
      <w:bookmarkEnd w:id="1354"/>
      <w:r w:rsidRPr="00234417">
        <w:rPr>
          <w:rStyle w:val="TextoNormalCaracter"/>
        </w:rPr>
        <w:t xml:space="preserve">, Auto </w:t>
      </w:r>
      <w:hyperlink w:anchor="AUTO_2013_89" w:history="1">
        <w:r w:rsidRPr="00234417">
          <w:rPr>
            <w:rStyle w:val="TextoNormalCaracter"/>
          </w:rPr>
          <w:t>89/2013</w:t>
        </w:r>
      </w:hyperlink>
      <w:r w:rsidRPr="00234417">
        <w:rPr>
          <w:rStyle w:val="TextoNormalCaracter"/>
        </w:rPr>
        <w:t>, f. 4.</w:t>
      </w:r>
    </w:p>
    <w:p w:rsidR="00234417" w:rsidRPr="00234417" w:rsidRDefault="00234417" w:rsidP="00234417">
      <w:pPr>
        <w:pStyle w:val="TextoNormalSangraFrancesa"/>
        <w:rPr>
          <w:rStyle w:val="TextoNormalCaracter"/>
        </w:rPr>
      </w:pPr>
      <w:bookmarkStart w:id="1355" w:name="DESCRIPTORALFABETICO519"/>
      <w:r w:rsidRPr="00234417">
        <w:rPr>
          <w:rStyle w:val="TextoNormalNegritaCaracter"/>
        </w:rPr>
        <w:t>Centros docentes privados</w:t>
      </w:r>
      <w:bookmarkEnd w:id="1355"/>
      <w:r w:rsidRPr="00234417">
        <w:rPr>
          <w:rStyle w:val="TextoNormalCaracter"/>
        </w:rPr>
        <w:t xml:space="preserve">, Sentencia </w:t>
      </w:r>
      <w:hyperlink w:anchor="SENTENCIA_2013_6" w:history="1">
        <w:r w:rsidRPr="00234417">
          <w:rPr>
            <w:rStyle w:val="TextoNormalCaracter"/>
          </w:rPr>
          <w:t>6/2013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1356" w:name="DESCRIPTORALFABETICO520"/>
      <w:r w:rsidRPr="00234417">
        <w:rPr>
          <w:rStyle w:val="TextoNormalNegritaCaracter"/>
        </w:rPr>
        <w:t>Centros docentes sostenidos con fondos públicos</w:t>
      </w:r>
      <w:bookmarkEnd w:id="1356"/>
      <w:r w:rsidRPr="00234417">
        <w:rPr>
          <w:rStyle w:val="TextoNormalCaracter"/>
        </w:rPr>
        <w:t xml:space="preserve">, Sentencia </w:t>
      </w:r>
      <w:hyperlink w:anchor="SENTENCIA_2013_6" w:history="1">
        <w:r w:rsidRPr="00234417">
          <w:rPr>
            <w:rStyle w:val="TextoNormalCaracter"/>
          </w:rPr>
          <w:t>6/2013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1357" w:name="DESCRIPTORALFABETICO541"/>
      <w:r w:rsidRPr="00234417">
        <w:rPr>
          <w:rStyle w:val="TextoNormalNegritaCaracter"/>
        </w:rPr>
        <w:t>Certificado de profesionalidad</w:t>
      </w:r>
      <w:bookmarkEnd w:id="1357"/>
      <w:r w:rsidRPr="00234417">
        <w:rPr>
          <w:rStyle w:val="TextoNormalCaracter"/>
        </w:rPr>
        <w:t xml:space="preserve">, Auto </w:t>
      </w:r>
      <w:hyperlink w:anchor="AUTO_2013_58" w:history="1">
        <w:r w:rsidRPr="00234417">
          <w:rPr>
            <w:rStyle w:val="TextoNormalCaracter"/>
          </w:rPr>
          <w:t>58/2013</w:t>
        </w:r>
      </w:hyperlink>
      <w:r w:rsidRPr="00234417">
        <w:rPr>
          <w:rStyle w:val="TextoNormalCaracter"/>
        </w:rPr>
        <w:t>, f. 5.</w:t>
      </w:r>
    </w:p>
    <w:p w:rsidR="00234417" w:rsidRPr="00234417" w:rsidRDefault="00234417" w:rsidP="00234417">
      <w:pPr>
        <w:pStyle w:val="TextoNormalSangraFrancesa"/>
        <w:rPr>
          <w:rStyle w:val="TextoNormalCaracter"/>
        </w:rPr>
      </w:pPr>
      <w:bookmarkStart w:id="1358" w:name="DESCRIPTORALFABETICO120"/>
      <w:r w:rsidRPr="00234417">
        <w:rPr>
          <w:rStyle w:val="TextoNormalNegritaCaracter"/>
        </w:rPr>
        <w:t>Cese de actividad económica</w:t>
      </w:r>
      <w:bookmarkEnd w:id="1358"/>
      <w:r w:rsidRPr="00234417">
        <w:rPr>
          <w:rStyle w:val="TextoNormalCaracter"/>
        </w:rPr>
        <w:t xml:space="preserve">, Auto </w:t>
      </w:r>
      <w:hyperlink w:anchor="AUTO_2013_20" w:history="1">
        <w:r w:rsidRPr="00234417">
          <w:rPr>
            <w:rStyle w:val="TextoNormalCaracter"/>
          </w:rPr>
          <w:t>20/2013</w:t>
        </w:r>
      </w:hyperlink>
      <w:r w:rsidRPr="00234417">
        <w:rPr>
          <w:rStyle w:val="TextoNormalCaracter"/>
        </w:rPr>
        <w:t>, ff. 1, 2.</w:t>
      </w:r>
    </w:p>
    <w:p w:rsidR="00234417" w:rsidRPr="00234417" w:rsidRDefault="00234417" w:rsidP="00234417">
      <w:pPr>
        <w:pStyle w:val="TextoNormalSangraFrancesa"/>
        <w:rPr>
          <w:rStyle w:val="TextoNormalNegritaCaracter"/>
        </w:rPr>
      </w:pPr>
      <w:r w:rsidRPr="00234417">
        <w:rPr>
          <w:rStyle w:val="TextoNormalCursivaCaracter"/>
        </w:rPr>
        <w:t>Cese de negocio</w:t>
      </w:r>
      <w:r>
        <w:t xml:space="preserve"> véase </w:t>
      </w:r>
      <w:hyperlink w:anchor="DESCRIPTORALFABETICO120" w:history="1">
        <w:r w:rsidRPr="00234417">
          <w:rPr>
            <w:rStyle w:val="TextoNormalNegritaCaracter"/>
          </w:rPr>
          <w:t>Cese de actividad económica</w:t>
        </w:r>
      </w:hyperlink>
    </w:p>
    <w:p w:rsidR="00234417" w:rsidRPr="00234417" w:rsidRDefault="00234417" w:rsidP="00234417">
      <w:pPr>
        <w:pStyle w:val="TextoNormalSangraFrancesa"/>
        <w:rPr>
          <w:rStyle w:val="TextoNormalCaracter"/>
        </w:rPr>
      </w:pPr>
      <w:bookmarkStart w:id="1359" w:name="DESCRIPTORALFABETICO152"/>
      <w:r w:rsidRPr="00234417">
        <w:rPr>
          <w:rStyle w:val="TextoNormalNegritaCaracter"/>
        </w:rPr>
        <w:t>Cesión de datos entre Administraciones públicas</w:t>
      </w:r>
      <w:bookmarkEnd w:id="1359"/>
      <w:r w:rsidRPr="00234417">
        <w:rPr>
          <w:rStyle w:val="TextoNormalCaracter"/>
        </w:rPr>
        <w:t xml:space="preserve">, Sentencia </w:t>
      </w:r>
      <w:hyperlink w:anchor="SENTENCIA_2013_17" w:history="1">
        <w:r w:rsidRPr="00234417">
          <w:rPr>
            <w:rStyle w:val="TextoNormalCaracter"/>
          </w:rPr>
          <w:t>17/2013</w:t>
        </w:r>
      </w:hyperlink>
      <w:r w:rsidRPr="00234417">
        <w:rPr>
          <w:rStyle w:val="TextoNormalCaracter"/>
        </w:rPr>
        <w:t>, f. 7.</w:t>
      </w:r>
    </w:p>
    <w:p w:rsidR="00234417" w:rsidRPr="00234417" w:rsidRDefault="00234417" w:rsidP="00234417">
      <w:pPr>
        <w:pStyle w:val="TextoNormalSangraFrancesa"/>
        <w:rPr>
          <w:rStyle w:val="TextoNormalCaracter"/>
        </w:rPr>
      </w:pPr>
      <w:bookmarkStart w:id="1360" w:name="DESCRIPTORALFABETICO748"/>
      <w:r w:rsidRPr="00234417">
        <w:rPr>
          <w:rStyle w:val="TextoNormalNegritaCaracter"/>
        </w:rPr>
        <w:t>Circunstancias atenuantes de la responsabilidad penal</w:t>
      </w:r>
      <w:bookmarkEnd w:id="1360"/>
      <w:r w:rsidRPr="00234417">
        <w:rPr>
          <w:rStyle w:val="TextoNormalCaracter"/>
        </w:rPr>
        <w:t xml:space="preserve">, Sentencia </w:t>
      </w:r>
      <w:hyperlink w:anchor="SENTENCIA_2013_78" w:history="1">
        <w:r w:rsidRPr="00234417">
          <w:rPr>
            <w:rStyle w:val="TextoNormalCaracter"/>
          </w:rPr>
          <w:t>78/2013</w:t>
        </w:r>
      </w:hyperlink>
      <w:r w:rsidRPr="00234417">
        <w:rPr>
          <w:rStyle w:val="TextoNormalCaracter"/>
        </w:rPr>
        <w:t>, f. 4.</w:t>
      </w:r>
    </w:p>
    <w:p w:rsidR="00234417" w:rsidRPr="00234417" w:rsidRDefault="00234417" w:rsidP="00234417">
      <w:pPr>
        <w:pStyle w:val="TextoNormalSangraFrancesa"/>
        <w:rPr>
          <w:rStyle w:val="TextoNormalCaracter"/>
        </w:rPr>
      </w:pPr>
      <w:bookmarkStart w:id="1361" w:name="DESCRIPTORALFABETICO301"/>
      <w:r w:rsidRPr="00234417">
        <w:rPr>
          <w:rStyle w:val="TextoNormalNegritaCaracter"/>
        </w:rPr>
        <w:lastRenderedPageBreak/>
        <w:t>Codemandantes en el recurso de amparo</w:t>
      </w:r>
      <w:bookmarkEnd w:id="1361"/>
      <w:r w:rsidRPr="00234417">
        <w:rPr>
          <w:rStyle w:val="TextoNormalCaracter"/>
        </w:rPr>
        <w:t xml:space="preserve">, Sentencia </w:t>
      </w:r>
      <w:hyperlink w:anchor="SENTENCIA_2013_22" w:history="1">
        <w:r w:rsidRPr="00234417">
          <w:rPr>
            <w:rStyle w:val="TextoNormalCaracter"/>
          </w:rPr>
          <w:t>22/2013</w:t>
        </w:r>
      </w:hyperlink>
      <w:r w:rsidRPr="00234417">
        <w:rPr>
          <w:rStyle w:val="TextoNormalCaracter"/>
        </w:rPr>
        <w:t>, f. 2.</w:t>
      </w:r>
    </w:p>
    <w:p w:rsidR="00234417" w:rsidRPr="00234417" w:rsidRDefault="00234417" w:rsidP="00234417">
      <w:pPr>
        <w:pStyle w:val="TextoNormalSangraFrancesa"/>
        <w:rPr>
          <w:rStyle w:val="TextoNormalCaracter"/>
        </w:rPr>
      </w:pPr>
      <w:bookmarkStart w:id="1362" w:name="DESCRIPTORALFABETICO364"/>
      <w:r w:rsidRPr="00234417">
        <w:rPr>
          <w:rStyle w:val="TextoNormalNegritaCaracter"/>
        </w:rPr>
        <w:t>Colaboración entre el Estado y las Comunidades Autónomas</w:t>
      </w:r>
      <w:bookmarkEnd w:id="1362"/>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 3; </w:t>
      </w:r>
      <w:hyperlink w:anchor="SENTENCIA_2013_49" w:history="1">
        <w:r w:rsidRPr="00234417">
          <w:rPr>
            <w:rStyle w:val="TextoNormalCaracter"/>
          </w:rPr>
          <w:t>49/2013</w:t>
        </w:r>
      </w:hyperlink>
      <w:r w:rsidRPr="00234417">
        <w:rPr>
          <w:rStyle w:val="TextoNormalCaracter"/>
        </w:rPr>
        <w:t>, f. 7.</w:t>
      </w:r>
    </w:p>
    <w:p w:rsidR="00234417" w:rsidRPr="00234417" w:rsidRDefault="00234417" w:rsidP="00234417">
      <w:pPr>
        <w:pStyle w:val="TextoNormalSangraFrancesa"/>
        <w:rPr>
          <w:rStyle w:val="TextoNormalCaracter"/>
        </w:rPr>
      </w:pPr>
      <w:bookmarkStart w:id="1363" w:name="DESCRIPTORALFABETICO723"/>
      <w:r w:rsidRPr="00234417">
        <w:rPr>
          <w:rStyle w:val="TextoNormalNegritaCaracter"/>
        </w:rPr>
        <w:t>Colegiación obligatoria</w:t>
      </w:r>
      <w:bookmarkEnd w:id="1363"/>
      <w:r w:rsidRPr="00234417">
        <w:rPr>
          <w:rStyle w:val="TextoNormalCaracter"/>
        </w:rPr>
        <w:t xml:space="preserve">, Sentencias </w:t>
      </w:r>
      <w:hyperlink w:anchor="SENTENCIA_2013_3" w:history="1">
        <w:r w:rsidRPr="00234417">
          <w:rPr>
            <w:rStyle w:val="TextoNormalCaracter"/>
          </w:rPr>
          <w:t>3/2013</w:t>
        </w:r>
      </w:hyperlink>
      <w:r w:rsidRPr="00234417">
        <w:rPr>
          <w:rStyle w:val="TextoNormalCaracter"/>
        </w:rPr>
        <w:t xml:space="preserve">, ff. 6 a 8; </w:t>
      </w:r>
      <w:hyperlink w:anchor="SENTENCIA_2013_46" w:history="1">
        <w:r w:rsidRPr="00234417">
          <w:rPr>
            <w:rStyle w:val="TextoNormalCaracter"/>
          </w:rPr>
          <w:t>46/2013</w:t>
        </w:r>
      </w:hyperlink>
      <w:r w:rsidRPr="00234417">
        <w:rPr>
          <w:rStyle w:val="TextoNormalCaracter"/>
        </w:rPr>
        <w:t xml:space="preserve">, ff. 3, 4; </w:t>
      </w:r>
      <w:hyperlink w:anchor="SENTENCIA_2013_50" w:history="1">
        <w:r w:rsidRPr="00234417">
          <w:rPr>
            <w:rStyle w:val="TextoNormalCaracter"/>
          </w:rPr>
          <w:t>50/2013</w:t>
        </w:r>
      </w:hyperlink>
      <w:r w:rsidRPr="00234417">
        <w:rPr>
          <w:rStyle w:val="TextoNormalCaracter"/>
        </w:rPr>
        <w:t xml:space="preserve">, ff. 3, 4; </w:t>
      </w:r>
      <w:hyperlink w:anchor="SENTENCIA_2013_63" w:history="1">
        <w:r w:rsidRPr="00234417">
          <w:rPr>
            <w:rStyle w:val="TextoNormalCaracter"/>
          </w:rPr>
          <w:t>63/2013</w:t>
        </w:r>
      </w:hyperlink>
      <w:r w:rsidRPr="00234417">
        <w:rPr>
          <w:rStyle w:val="TextoNormalCaracter"/>
        </w:rPr>
        <w:t xml:space="preserve">, ff. 2, 3; </w:t>
      </w:r>
      <w:hyperlink w:anchor="SENTENCIA_2013_89" w:history="1">
        <w:r w:rsidRPr="00234417">
          <w:rPr>
            <w:rStyle w:val="TextoNormalCaracter"/>
          </w:rPr>
          <w:t>89/2013</w:t>
        </w:r>
      </w:hyperlink>
      <w:r w:rsidRPr="00234417">
        <w:rPr>
          <w:rStyle w:val="TextoNormalCaracter"/>
        </w:rPr>
        <w:t>, ff. 2 a 4.</w:t>
      </w:r>
    </w:p>
    <w:p w:rsidR="00234417" w:rsidRPr="00234417" w:rsidRDefault="00234417" w:rsidP="00234417">
      <w:pPr>
        <w:pStyle w:val="TextoNormalSangraFrancesa"/>
        <w:rPr>
          <w:rStyle w:val="TextoNormalCaracter"/>
        </w:rPr>
      </w:pPr>
      <w:bookmarkStart w:id="1364" w:name="DESCRIPTORALFABETICO722"/>
      <w:r w:rsidRPr="00234417">
        <w:rPr>
          <w:rStyle w:val="TextoNormalNegritaCaracter"/>
        </w:rPr>
        <w:t>Colegiación profesional</w:t>
      </w:r>
      <w:bookmarkEnd w:id="1364"/>
      <w:r w:rsidRPr="00234417">
        <w:rPr>
          <w:rStyle w:val="TextoNormalCaracter"/>
        </w:rPr>
        <w:t xml:space="preserve">, Sentencia </w:t>
      </w:r>
      <w:hyperlink w:anchor="SENTENCIA_2013_91" w:history="1">
        <w:r w:rsidRPr="00234417">
          <w:rPr>
            <w:rStyle w:val="TextoNormalCaracter"/>
          </w:rPr>
          <w:t>91/2013</w:t>
        </w:r>
      </w:hyperlink>
      <w:r w:rsidRPr="00234417">
        <w:rPr>
          <w:rStyle w:val="TextoNormalCaracter"/>
        </w:rPr>
        <w:t>, f. 4.</w:t>
      </w:r>
    </w:p>
    <w:p w:rsidR="00234417" w:rsidRPr="00234417" w:rsidRDefault="00234417" w:rsidP="00234417">
      <w:pPr>
        <w:pStyle w:val="TextoNormalSangraFrancesa"/>
        <w:rPr>
          <w:rStyle w:val="TextoNormalCaracter"/>
        </w:rPr>
      </w:pPr>
      <w:bookmarkStart w:id="1365" w:name="DESCRIPTORALFABETICO725"/>
      <w:r w:rsidRPr="00234417">
        <w:rPr>
          <w:rStyle w:val="TextoNormalNegritaCaracter"/>
        </w:rPr>
        <w:t>Colegiación voluntaria</w:t>
      </w:r>
      <w:bookmarkEnd w:id="1365"/>
      <w:r w:rsidRPr="00234417">
        <w:rPr>
          <w:rStyle w:val="TextoNormalCaracter"/>
        </w:rPr>
        <w:t xml:space="preserve">, Sentencias </w:t>
      </w:r>
      <w:hyperlink w:anchor="SENTENCIA_2013_3" w:history="1">
        <w:r w:rsidRPr="00234417">
          <w:rPr>
            <w:rStyle w:val="TextoNormalCaracter"/>
          </w:rPr>
          <w:t>3/2013</w:t>
        </w:r>
      </w:hyperlink>
      <w:r w:rsidRPr="00234417">
        <w:rPr>
          <w:rStyle w:val="TextoNormalCaracter"/>
        </w:rPr>
        <w:t xml:space="preserve">, f. 7; </w:t>
      </w:r>
      <w:hyperlink w:anchor="SENTENCIA_2013_89" w:history="1">
        <w:r w:rsidRPr="00234417">
          <w:rPr>
            <w:rStyle w:val="TextoNormalCaracter"/>
          </w:rPr>
          <w:t>89/2013</w:t>
        </w:r>
      </w:hyperlink>
      <w:r w:rsidRPr="00234417">
        <w:rPr>
          <w:rStyle w:val="TextoNormalCaracter"/>
        </w:rPr>
        <w:t>, f. 2.</w:t>
      </w:r>
    </w:p>
    <w:p w:rsidR="00234417" w:rsidRPr="00234417" w:rsidRDefault="00234417" w:rsidP="00234417">
      <w:pPr>
        <w:pStyle w:val="TextoNormalSangraFrancesa"/>
        <w:rPr>
          <w:rStyle w:val="TextoNormalCaracter"/>
        </w:rPr>
      </w:pPr>
      <w:bookmarkStart w:id="1366" w:name="DESCRIPTORALFABETICO721"/>
      <w:r w:rsidRPr="00234417">
        <w:rPr>
          <w:rStyle w:val="TextoNormalNegritaCaracter"/>
        </w:rPr>
        <w:t>Colegios profesionales</w:t>
      </w:r>
      <w:bookmarkEnd w:id="1366"/>
      <w:r w:rsidRPr="00234417">
        <w:rPr>
          <w:rStyle w:val="TextoNormalCaracter"/>
        </w:rPr>
        <w:t xml:space="preserve">, Sentencias </w:t>
      </w:r>
      <w:hyperlink w:anchor="SENTENCIA_2013_3" w:history="1">
        <w:r w:rsidRPr="00234417">
          <w:rPr>
            <w:rStyle w:val="TextoNormalCaracter"/>
          </w:rPr>
          <w:t>3/2013</w:t>
        </w:r>
      </w:hyperlink>
      <w:r w:rsidRPr="00234417">
        <w:rPr>
          <w:rStyle w:val="TextoNormalCaracter"/>
        </w:rPr>
        <w:t xml:space="preserve">, ff. 6, 7, 8; </w:t>
      </w:r>
      <w:hyperlink w:anchor="SENTENCIA_2013_46" w:history="1">
        <w:r w:rsidRPr="00234417">
          <w:rPr>
            <w:rStyle w:val="TextoNormalCaracter"/>
          </w:rPr>
          <w:t>46/2013</w:t>
        </w:r>
      </w:hyperlink>
      <w:r w:rsidRPr="00234417">
        <w:rPr>
          <w:rStyle w:val="TextoNormalCaracter"/>
        </w:rPr>
        <w:t xml:space="preserve">, ff. 3, 4; </w:t>
      </w:r>
      <w:hyperlink w:anchor="SENTENCIA_2013_50" w:history="1">
        <w:r w:rsidRPr="00234417">
          <w:rPr>
            <w:rStyle w:val="TextoNormalCaracter"/>
          </w:rPr>
          <w:t>50/2013</w:t>
        </w:r>
      </w:hyperlink>
      <w:r w:rsidRPr="00234417">
        <w:rPr>
          <w:rStyle w:val="TextoNormalCaracter"/>
        </w:rPr>
        <w:t xml:space="preserve">, ff. 3, 4; </w:t>
      </w:r>
      <w:hyperlink w:anchor="SENTENCIA_2013_63" w:history="1">
        <w:r w:rsidRPr="00234417">
          <w:rPr>
            <w:rStyle w:val="TextoNormalCaracter"/>
          </w:rPr>
          <w:t>63/2013</w:t>
        </w:r>
      </w:hyperlink>
      <w:r w:rsidRPr="00234417">
        <w:rPr>
          <w:rStyle w:val="TextoNormalCaracter"/>
        </w:rPr>
        <w:t xml:space="preserve">, ff. 2, 3; </w:t>
      </w:r>
      <w:hyperlink w:anchor="SENTENCIA_2013_89" w:history="1">
        <w:r w:rsidRPr="00234417">
          <w:rPr>
            <w:rStyle w:val="TextoNormalCaracter"/>
          </w:rPr>
          <w:t>89/2013</w:t>
        </w:r>
      </w:hyperlink>
      <w:r w:rsidRPr="00234417">
        <w:rPr>
          <w:rStyle w:val="TextoNormalCaracter"/>
        </w:rPr>
        <w:t>, ff. 2 a 4.</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Sentencias </w:t>
      </w:r>
      <w:hyperlink w:anchor="SENTENCIA_2013_3" w:history="1">
        <w:r w:rsidRPr="00234417">
          <w:rPr>
            <w:rStyle w:val="TextoNormalCaracter"/>
          </w:rPr>
          <w:t>3/2013</w:t>
        </w:r>
      </w:hyperlink>
      <w:r w:rsidRPr="00234417">
        <w:rPr>
          <w:rStyle w:val="TextoNormalCaracter"/>
        </w:rPr>
        <w:t xml:space="preserve">, ff. 6 a 8; </w:t>
      </w:r>
      <w:hyperlink w:anchor="SENTENCIA_2013_46" w:history="1">
        <w:r w:rsidRPr="00234417">
          <w:rPr>
            <w:rStyle w:val="TextoNormalCaracter"/>
          </w:rPr>
          <w:t>46/2013</w:t>
        </w:r>
      </w:hyperlink>
      <w:r w:rsidRPr="00234417">
        <w:rPr>
          <w:rStyle w:val="TextoNormalCaracter"/>
        </w:rPr>
        <w:t xml:space="preserve">, ff. 3, 4; </w:t>
      </w:r>
      <w:hyperlink w:anchor="SENTENCIA_2013_50" w:history="1">
        <w:r w:rsidRPr="00234417">
          <w:rPr>
            <w:rStyle w:val="TextoNormalCaracter"/>
          </w:rPr>
          <w:t>50/2013</w:t>
        </w:r>
      </w:hyperlink>
      <w:r w:rsidRPr="00234417">
        <w:rPr>
          <w:rStyle w:val="TextoNormalCaracter"/>
        </w:rPr>
        <w:t xml:space="preserve">, ff. 3, 4; </w:t>
      </w:r>
      <w:hyperlink w:anchor="SENTENCIA_2013_63" w:history="1">
        <w:r w:rsidRPr="00234417">
          <w:rPr>
            <w:rStyle w:val="TextoNormalCaracter"/>
          </w:rPr>
          <w:t>63/2013</w:t>
        </w:r>
      </w:hyperlink>
      <w:r w:rsidRPr="00234417">
        <w:rPr>
          <w:rStyle w:val="TextoNormalCaracter"/>
        </w:rPr>
        <w:t>, ff. 2, 3.</w:t>
      </w:r>
    </w:p>
    <w:p w:rsidR="00234417" w:rsidRPr="00234417" w:rsidRDefault="00234417" w:rsidP="00234417">
      <w:pPr>
        <w:pStyle w:val="TextoNormalSangraFrancesa"/>
        <w:rPr>
          <w:rStyle w:val="TextoNormalCaracter"/>
        </w:rPr>
      </w:pPr>
      <w:r w:rsidRPr="00234417">
        <w:rPr>
          <w:rStyle w:val="TextoNormalCursivaCaracter"/>
        </w:rPr>
        <w:t xml:space="preserve">    Función, </w:t>
      </w:r>
      <w:r w:rsidRPr="00234417">
        <w:rPr>
          <w:rStyle w:val="TextoNormalCaracter"/>
        </w:rPr>
        <w:t xml:space="preserve">Sentencia </w:t>
      </w:r>
      <w:hyperlink w:anchor="SENTENCIA_2013_89" w:history="1">
        <w:r w:rsidRPr="00234417">
          <w:rPr>
            <w:rStyle w:val="TextoNormalCaracter"/>
          </w:rPr>
          <w:t>89/2013</w:t>
        </w:r>
      </w:hyperlink>
      <w:r w:rsidRPr="00234417">
        <w:rPr>
          <w:rStyle w:val="TextoNormalCaracter"/>
        </w:rPr>
        <w:t>, ff. 2 a 4.</w:t>
      </w:r>
    </w:p>
    <w:p w:rsidR="00234417" w:rsidRPr="00234417" w:rsidRDefault="00234417" w:rsidP="00234417">
      <w:pPr>
        <w:pStyle w:val="TextoNormalSangraFrancesa"/>
        <w:rPr>
          <w:rStyle w:val="TextoNormalCaracter"/>
        </w:rPr>
      </w:pPr>
      <w:bookmarkStart w:id="1367" w:name="DESCRIPTORALFABETICO290"/>
      <w:r w:rsidRPr="00234417">
        <w:rPr>
          <w:rStyle w:val="TextoNormalNegritaCaracter"/>
        </w:rPr>
        <w:t>Colisión con normas básicas</w:t>
      </w:r>
      <w:bookmarkEnd w:id="1367"/>
      <w:r w:rsidRPr="00234417">
        <w:rPr>
          <w:rStyle w:val="TextoNormalCaracter"/>
        </w:rPr>
        <w:t xml:space="preserve">, Sentencias </w:t>
      </w:r>
      <w:hyperlink w:anchor="SENTENCIA_2013_4" w:history="1">
        <w:r w:rsidRPr="00234417">
          <w:rPr>
            <w:rStyle w:val="TextoNormalCaracter"/>
          </w:rPr>
          <w:t>4/2013</w:t>
        </w:r>
      </w:hyperlink>
      <w:r w:rsidRPr="00234417">
        <w:rPr>
          <w:rStyle w:val="TextoNormalCaracter"/>
        </w:rPr>
        <w:t xml:space="preserve">, f. 3; </w:t>
      </w:r>
      <w:hyperlink w:anchor="SENTENCIA_2013_91" w:history="1">
        <w:r w:rsidRPr="00234417">
          <w:rPr>
            <w:rStyle w:val="TextoNormalCaracter"/>
          </w:rPr>
          <w:t>91/2013</w:t>
        </w:r>
      </w:hyperlink>
      <w:r w:rsidRPr="00234417">
        <w:rPr>
          <w:rStyle w:val="TextoNormalCaracter"/>
        </w:rPr>
        <w:t xml:space="preserve">, f. 3; </w:t>
      </w:r>
      <w:hyperlink w:anchor="SENTENCIA_2013_132" w:history="1">
        <w:r w:rsidRPr="00234417">
          <w:rPr>
            <w:rStyle w:val="TextoNormalCaracter"/>
          </w:rPr>
          <w:t>132/2013</w:t>
        </w:r>
      </w:hyperlink>
      <w:r w:rsidRPr="00234417">
        <w:rPr>
          <w:rStyle w:val="TextoNormalCaracter"/>
        </w:rPr>
        <w:t xml:space="preserve">, f. 8 b); </w:t>
      </w:r>
      <w:hyperlink w:anchor="SENTENCIA_2013_137" w:history="1">
        <w:r w:rsidRPr="00234417">
          <w:rPr>
            <w:rStyle w:val="TextoNormalCaracter"/>
          </w:rPr>
          <w:t>137/2013</w:t>
        </w:r>
      </w:hyperlink>
      <w:r w:rsidRPr="00234417">
        <w:rPr>
          <w:rStyle w:val="TextoNormalCaracter"/>
        </w:rPr>
        <w:t>, ff. 3, 5 a 7.</w:t>
      </w:r>
    </w:p>
    <w:p w:rsidR="00234417" w:rsidRPr="00234417" w:rsidRDefault="00234417" w:rsidP="00234417">
      <w:pPr>
        <w:pStyle w:val="TextoNormalSangraFrancesa"/>
        <w:rPr>
          <w:rStyle w:val="TextoNormalNegritaCaracter"/>
        </w:rPr>
      </w:pPr>
      <w:r w:rsidRPr="00234417">
        <w:rPr>
          <w:rStyle w:val="TextoNormalCursivaCaracter"/>
        </w:rPr>
        <w:t>Colisiones internormativas</w:t>
      </w:r>
      <w:r>
        <w:t xml:space="preserve"> véase </w:t>
      </w:r>
      <w:hyperlink w:anchor="DESCRIPTORALFABETICO684" w:history="1">
        <w:r w:rsidRPr="00234417">
          <w:rPr>
            <w:rStyle w:val="TextoNormalNegritaCaracter"/>
          </w:rPr>
          <w:t>Conflicto de normas</w:t>
        </w:r>
      </w:hyperlink>
    </w:p>
    <w:p w:rsidR="00234417" w:rsidRPr="00234417" w:rsidRDefault="00234417" w:rsidP="00234417">
      <w:pPr>
        <w:pStyle w:val="TextoNormalSangraFrancesa"/>
        <w:rPr>
          <w:rStyle w:val="TextoNormalCaracter"/>
        </w:rPr>
      </w:pPr>
      <w:bookmarkStart w:id="1368" w:name="DESCRIPTORALFABETICO399"/>
      <w:r w:rsidRPr="00234417">
        <w:rPr>
          <w:rStyle w:val="TextoNormalNegritaCaracter"/>
        </w:rPr>
        <w:t>Comisiones parlamentarias</w:t>
      </w:r>
      <w:bookmarkEnd w:id="1368"/>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3.</w:t>
      </w:r>
    </w:p>
    <w:p w:rsidR="00234417" w:rsidRPr="00234417" w:rsidRDefault="00234417" w:rsidP="00234417">
      <w:pPr>
        <w:pStyle w:val="TextoNormalSangraFrancesa"/>
        <w:rPr>
          <w:rStyle w:val="TextoNormalNegritaCaracter"/>
        </w:rPr>
      </w:pPr>
      <w:r w:rsidRPr="00234417">
        <w:rPr>
          <w:rStyle w:val="TextoNormalCursivaCaracter"/>
        </w:rPr>
        <w:t>Competencia ejercida en régimen de colaboración</w:t>
      </w:r>
      <w:r>
        <w:t xml:space="preserve"> véase </w:t>
      </w:r>
      <w:hyperlink w:anchor="DESCRIPTORALFABETICO7" w:history="1">
        <w:r w:rsidRPr="00234417">
          <w:rPr>
            <w:rStyle w:val="TextoNormalNegritaCaracter"/>
          </w:rPr>
          <w:t>Competencias de colaboración</w:t>
        </w:r>
      </w:hyperlink>
    </w:p>
    <w:p w:rsidR="00234417" w:rsidRPr="00234417" w:rsidRDefault="00234417" w:rsidP="00234417">
      <w:pPr>
        <w:pStyle w:val="TextoNormalSangraFrancesa"/>
        <w:rPr>
          <w:rStyle w:val="TextoNormalCaracter"/>
        </w:rPr>
      </w:pPr>
      <w:bookmarkStart w:id="1369" w:name="DESCRIPTORALFABETICO220"/>
      <w:r w:rsidRPr="00234417">
        <w:rPr>
          <w:rStyle w:val="TextoNormalNegritaCaracter"/>
        </w:rPr>
        <w:t>Competencia en materia de valoración de la prueba</w:t>
      </w:r>
      <w:bookmarkEnd w:id="1369"/>
      <w:r w:rsidRPr="00234417">
        <w:rPr>
          <w:rStyle w:val="TextoNormalCaracter"/>
        </w:rPr>
        <w:t xml:space="preserve">, Sentencia </w:t>
      </w:r>
      <w:hyperlink w:anchor="SENTENCIA_2013_126" w:history="1">
        <w:r w:rsidRPr="00234417">
          <w:rPr>
            <w:rStyle w:val="TextoNormalCaracter"/>
          </w:rPr>
          <w:t>126/2013</w:t>
        </w:r>
      </w:hyperlink>
      <w:r w:rsidRPr="00234417">
        <w:rPr>
          <w:rStyle w:val="TextoNormalCaracter"/>
        </w:rPr>
        <w:t>, f. 3.</w:t>
      </w:r>
    </w:p>
    <w:p w:rsidR="00234417" w:rsidRPr="00234417" w:rsidRDefault="00234417" w:rsidP="00234417">
      <w:pPr>
        <w:pStyle w:val="TextoNormalSangraFrancesa"/>
        <w:rPr>
          <w:rStyle w:val="TextoNormalCaracter"/>
        </w:rPr>
      </w:pPr>
      <w:bookmarkStart w:id="1370" w:name="DESCRIPTORALFABETICO790"/>
      <w:r w:rsidRPr="00234417">
        <w:rPr>
          <w:rStyle w:val="TextoNormalNegritaCaracter"/>
        </w:rPr>
        <w:t>Competencia judicial internacional</w:t>
      </w:r>
      <w:bookmarkEnd w:id="1370"/>
      <w:r w:rsidRPr="00234417">
        <w:rPr>
          <w:rStyle w:val="TextoNormalCaracter"/>
        </w:rPr>
        <w:t xml:space="preserve">, Sentencia </w:t>
      </w:r>
      <w:hyperlink w:anchor="SENTENCIA_2013_127" w:history="1">
        <w:r w:rsidRPr="00234417">
          <w:rPr>
            <w:rStyle w:val="TextoNormalCaracter"/>
          </w:rPr>
          <w:t>127/2013</w:t>
        </w:r>
      </w:hyperlink>
      <w:r w:rsidRPr="00234417">
        <w:rPr>
          <w:rStyle w:val="TextoNormalCaracter"/>
        </w:rPr>
        <w:t>, ff. 2 a 6.</w:t>
      </w:r>
    </w:p>
    <w:p w:rsidR="00234417" w:rsidRPr="00234417" w:rsidRDefault="00234417" w:rsidP="00234417">
      <w:pPr>
        <w:pStyle w:val="TextoNormalSangraFrancesa"/>
        <w:rPr>
          <w:rStyle w:val="TextoNormalCaracter"/>
        </w:rPr>
      </w:pPr>
      <w:bookmarkStart w:id="1371" w:name="DESCRIPTORALFABETICO502"/>
      <w:r w:rsidRPr="00234417">
        <w:rPr>
          <w:rStyle w:val="TextoNormalNegritaCaracter"/>
        </w:rPr>
        <w:t>Competencia para la declaración de bienes de interés cultural</w:t>
      </w:r>
      <w:bookmarkEnd w:id="1371"/>
      <w:r w:rsidRPr="00234417">
        <w:rPr>
          <w:rStyle w:val="TextoNormalCaracter"/>
        </w:rPr>
        <w:t xml:space="preserve">, Sentencia </w:t>
      </w:r>
      <w:hyperlink w:anchor="SENTENCIA_2013_136" w:history="1">
        <w:r w:rsidRPr="00234417">
          <w:rPr>
            <w:rStyle w:val="TextoNormalCaracter"/>
          </w:rPr>
          <w:t>136/2013</w:t>
        </w:r>
      </w:hyperlink>
      <w:r w:rsidRPr="00234417">
        <w:rPr>
          <w:rStyle w:val="TextoNormalCaracter"/>
        </w:rPr>
        <w:t>, f. 4.</w:t>
      </w:r>
    </w:p>
    <w:p w:rsidR="00234417" w:rsidRPr="00234417" w:rsidRDefault="00234417" w:rsidP="00234417">
      <w:pPr>
        <w:pStyle w:val="TextoNormalSangraFrancesa"/>
        <w:rPr>
          <w:rStyle w:val="TextoNormalCaracter"/>
        </w:rPr>
      </w:pPr>
      <w:bookmarkStart w:id="1372" w:name="DESCRIPTORALFABETICO5"/>
      <w:r w:rsidRPr="00234417">
        <w:rPr>
          <w:rStyle w:val="TextoNormalNegritaCaracter"/>
        </w:rPr>
        <w:t>Competencias</w:t>
      </w:r>
      <w:bookmarkEnd w:id="1372"/>
      <w:r w:rsidRPr="00234417">
        <w:rPr>
          <w:rStyle w:val="TextoNormalCaracter"/>
        </w:rPr>
        <w:t xml:space="preserve">, Sentencias </w:t>
      </w:r>
      <w:hyperlink w:anchor="SENTENCIA_2013_14" w:history="1">
        <w:r w:rsidRPr="00234417">
          <w:rPr>
            <w:rStyle w:val="TextoNormalCaracter"/>
          </w:rPr>
          <w:t>14/2013</w:t>
        </w:r>
      </w:hyperlink>
      <w:r w:rsidRPr="00234417">
        <w:rPr>
          <w:rStyle w:val="TextoNormalCaracter"/>
        </w:rPr>
        <w:t xml:space="preserve">, f. 2; </w:t>
      </w:r>
      <w:hyperlink w:anchor="SENTENCIA_2013_23" w:history="1">
        <w:r w:rsidRPr="00234417">
          <w:rPr>
            <w:rStyle w:val="TextoNormalCaracter"/>
          </w:rPr>
          <w:t>23/2013</w:t>
        </w:r>
      </w:hyperlink>
      <w:r w:rsidRPr="00234417">
        <w:rPr>
          <w:rStyle w:val="TextoNormalCaracter"/>
        </w:rPr>
        <w:t xml:space="preserve">, f. 2; </w:t>
      </w:r>
      <w:hyperlink w:anchor="SENTENCIA_2013_33" w:history="1">
        <w:r w:rsidRPr="00234417">
          <w:rPr>
            <w:rStyle w:val="TextoNormalCaracter"/>
          </w:rPr>
          <w:t>33/2013</w:t>
        </w:r>
      </w:hyperlink>
      <w:r w:rsidRPr="00234417">
        <w:rPr>
          <w:rStyle w:val="TextoNormalCaracter"/>
        </w:rPr>
        <w:t xml:space="preserve">, f. 5; </w:t>
      </w:r>
      <w:hyperlink w:anchor="SENTENCIA_2013_38" w:history="1">
        <w:r w:rsidRPr="00234417">
          <w:rPr>
            <w:rStyle w:val="TextoNormalCaracter"/>
          </w:rPr>
          <w:t>38/2013</w:t>
        </w:r>
      </w:hyperlink>
      <w:r w:rsidRPr="00234417">
        <w:rPr>
          <w:rStyle w:val="TextoNormalCaracter"/>
        </w:rPr>
        <w:t xml:space="preserve">, f. 2; </w:t>
      </w:r>
      <w:hyperlink w:anchor="SENTENCIA_2013_60" w:history="1">
        <w:r w:rsidRPr="00234417">
          <w:rPr>
            <w:rStyle w:val="TextoNormalCaracter"/>
          </w:rPr>
          <w:t>60/2013</w:t>
        </w:r>
      </w:hyperlink>
      <w:r w:rsidRPr="00234417">
        <w:rPr>
          <w:rStyle w:val="TextoNormalCaracter"/>
        </w:rPr>
        <w:t xml:space="preserve">, f. 2; </w:t>
      </w:r>
      <w:hyperlink w:anchor="SENTENCIA_2013_69" w:history="1">
        <w:r w:rsidRPr="00234417">
          <w:rPr>
            <w:rStyle w:val="TextoNormalCaracter"/>
          </w:rPr>
          <w:t>69/2013</w:t>
        </w:r>
      </w:hyperlink>
      <w:r w:rsidRPr="00234417">
        <w:rPr>
          <w:rStyle w:val="TextoNormalCaracter"/>
        </w:rPr>
        <w:t xml:space="preserve">, ff. 3, 4, 5; </w:t>
      </w:r>
      <w:hyperlink w:anchor="SENTENCIA_2013_80" w:history="1">
        <w:r w:rsidRPr="00234417">
          <w:rPr>
            <w:rStyle w:val="TextoNormalCaracter"/>
          </w:rPr>
          <w:t>80/2013</w:t>
        </w:r>
      </w:hyperlink>
      <w:r w:rsidRPr="00234417">
        <w:rPr>
          <w:rStyle w:val="TextoNormalCaracter"/>
        </w:rPr>
        <w:t xml:space="preserve">, f. 3; </w:t>
      </w:r>
      <w:hyperlink w:anchor="SENTENCIA_2013_83" w:history="1">
        <w:r w:rsidRPr="00234417">
          <w:rPr>
            <w:rStyle w:val="TextoNormalCaracter"/>
          </w:rPr>
          <w:t>83/2013</w:t>
        </w:r>
      </w:hyperlink>
      <w:r w:rsidRPr="00234417">
        <w:rPr>
          <w:rStyle w:val="TextoNormalCaracter"/>
        </w:rPr>
        <w:t xml:space="preserve">, f. 3; </w:t>
      </w:r>
      <w:hyperlink w:anchor="SENTENCIA_2013_89" w:history="1">
        <w:r w:rsidRPr="00234417">
          <w:rPr>
            <w:rStyle w:val="TextoNormalCaracter"/>
          </w:rPr>
          <w:t>89/2013</w:t>
        </w:r>
      </w:hyperlink>
      <w:r w:rsidRPr="00234417">
        <w:rPr>
          <w:rStyle w:val="TextoNormalCaracter"/>
        </w:rPr>
        <w:t xml:space="preserve">, f. 3; </w:t>
      </w:r>
      <w:hyperlink w:anchor="SENTENCIA_2013_101" w:history="1">
        <w:r w:rsidRPr="00234417">
          <w:rPr>
            <w:rStyle w:val="TextoNormalCaracter"/>
          </w:rPr>
          <w:t>101/2013</w:t>
        </w:r>
      </w:hyperlink>
      <w:r w:rsidRPr="00234417">
        <w:rPr>
          <w:rStyle w:val="TextoNormalCaracter"/>
        </w:rPr>
        <w:t xml:space="preserve">, f. 11; </w:t>
      </w:r>
      <w:hyperlink w:anchor="SENTENCIA_2013_113" w:history="1">
        <w:r w:rsidRPr="00234417">
          <w:rPr>
            <w:rStyle w:val="TextoNormalCaracter"/>
          </w:rPr>
          <w:t>113/2013</w:t>
        </w:r>
      </w:hyperlink>
      <w:r w:rsidRPr="00234417">
        <w:rPr>
          <w:rStyle w:val="TextoNormalCaracter"/>
        </w:rPr>
        <w:t xml:space="preserve">, ff. 4, 6, 7; </w:t>
      </w:r>
      <w:hyperlink w:anchor="SENTENCIA_2013_114" w:history="1">
        <w:r w:rsidRPr="00234417">
          <w:rPr>
            <w:rStyle w:val="TextoNormalCaracter"/>
          </w:rPr>
          <w:t>114/2013</w:t>
        </w:r>
      </w:hyperlink>
      <w:r w:rsidRPr="00234417">
        <w:rPr>
          <w:rStyle w:val="TextoNormalCaracter"/>
        </w:rPr>
        <w:t>, f. 2.</w:t>
      </w:r>
    </w:p>
    <w:p w:rsidR="00234417" w:rsidRPr="00234417" w:rsidRDefault="00234417" w:rsidP="00234417">
      <w:pPr>
        <w:pStyle w:val="TextoNormalSangraFrancesa"/>
        <w:rPr>
          <w:rStyle w:val="TextoNormalNegritaCaracter"/>
        </w:rPr>
      </w:pPr>
      <w:r w:rsidRPr="00234417">
        <w:rPr>
          <w:rStyle w:val="TextoNormalCursivaCaracter"/>
        </w:rPr>
        <w:t>Competencias autonómicas</w:t>
      </w:r>
      <w:r>
        <w:t xml:space="preserve"> véase </w:t>
      </w:r>
      <w:hyperlink w:anchor="DESCRIPTORALFABETICO9" w:history="1">
        <w:r w:rsidRPr="00234417">
          <w:rPr>
            <w:rStyle w:val="TextoNormalNegritaCaracter"/>
          </w:rPr>
          <w:t>Competencias de las Comunidades Autónomas</w:t>
        </w:r>
      </w:hyperlink>
    </w:p>
    <w:p w:rsidR="00234417" w:rsidRPr="00234417" w:rsidRDefault="00234417" w:rsidP="00234417">
      <w:pPr>
        <w:pStyle w:val="TextoNormalSangraFrancesa"/>
        <w:rPr>
          <w:rStyle w:val="TextoNormalCaracter"/>
        </w:rPr>
      </w:pPr>
      <w:bookmarkStart w:id="1373" w:name="DESCRIPTORALFABETICO11"/>
      <w:r w:rsidRPr="00234417">
        <w:rPr>
          <w:rStyle w:val="TextoNormalNegritaCaracter"/>
        </w:rPr>
        <w:t>Competencias autonómicas de desarrollo normativo</w:t>
      </w:r>
      <w:bookmarkEnd w:id="1373"/>
      <w:r w:rsidRPr="00234417">
        <w:rPr>
          <w:rStyle w:val="TextoNormalCaracter"/>
        </w:rPr>
        <w:t xml:space="preserve">, Sentencias </w:t>
      </w:r>
      <w:hyperlink w:anchor="SENTENCIA_2013_27" w:history="1">
        <w:r w:rsidRPr="00234417">
          <w:rPr>
            <w:rStyle w:val="TextoNormalCaracter"/>
          </w:rPr>
          <w:t>27/2013</w:t>
        </w:r>
      </w:hyperlink>
      <w:r w:rsidRPr="00234417">
        <w:rPr>
          <w:rStyle w:val="TextoNormalCaracter"/>
        </w:rPr>
        <w:t xml:space="preserve">, ff. 4, 6; </w:t>
      </w:r>
      <w:hyperlink w:anchor="SENTENCIA_2013_97" w:history="1">
        <w:r w:rsidRPr="00234417">
          <w:rPr>
            <w:rStyle w:val="TextoNormalCaracter"/>
          </w:rPr>
          <w:t>97/2013</w:t>
        </w:r>
      </w:hyperlink>
      <w:r w:rsidRPr="00234417">
        <w:rPr>
          <w:rStyle w:val="TextoNormalCaracter"/>
        </w:rPr>
        <w:t xml:space="preserve">, f. 4; </w:t>
      </w:r>
      <w:hyperlink w:anchor="SENTENCIA_2013_135" w:history="1">
        <w:r w:rsidRPr="00234417">
          <w:rPr>
            <w:rStyle w:val="TextoNormalCaracter"/>
          </w:rPr>
          <w:t>135/2013</w:t>
        </w:r>
      </w:hyperlink>
      <w:r w:rsidRPr="00234417">
        <w:rPr>
          <w:rStyle w:val="TextoNormalCaracter"/>
        </w:rPr>
        <w:t>, ff. 4 a 6.</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85" w:history="1">
        <w:r w:rsidRPr="00234417">
          <w:rPr>
            <w:rStyle w:val="TextoNormalCaracter"/>
          </w:rPr>
          <w:t>85/2013</w:t>
        </w:r>
      </w:hyperlink>
      <w:r w:rsidRPr="00234417">
        <w:rPr>
          <w:rStyle w:val="TextoNormalCaracter"/>
        </w:rPr>
        <w:t>, ff. 4 a 6.</w:t>
      </w:r>
    </w:p>
    <w:p w:rsidR="00234417" w:rsidRPr="00234417" w:rsidRDefault="00234417" w:rsidP="00234417">
      <w:pPr>
        <w:pStyle w:val="TextoNormalSangraFrancesa"/>
        <w:rPr>
          <w:rStyle w:val="TextoNormalCaracter"/>
        </w:rPr>
      </w:pPr>
      <w:bookmarkStart w:id="1374" w:name="DESCRIPTORALFABETICO10"/>
      <w:r w:rsidRPr="00234417">
        <w:rPr>
          <w:rStyle w:val="TextoNormalNegritaCaracter"/>
        </w:rPr>
        <w:t>Competencias autonómicas de ejecución</w:t>
      </w:r>
      <w:bookmarkEnd w:id="1374"/>
      <w:r w:rsidRPr="00234417">
        <w:rPr>
          <w:rStyle w:val="TextoNormalCaracter"/>
        </w:rPr>
        <w:t xml:space="preserve">, Sentencias </w:t>
      </w:r>
      <w:hyperlink w:anchor="SENTENCIA_2013_6" w:history="1">
        <w:r w:rsidRPr="00234417">
          <w:rPr>
            <w:rStyle w:val="TextoNormalCaracter"/>
          </w:rPr>
          <w:t>6/2013</w:t>
        </w:r>
      </w:hyperlink>
      <w:r w:rsidRPr="00234417">
        <w:rPr>
          <w:rStyle w:val="TextoNormalCaracter"/>
        </w:rPr>
        <w:t xml:space="preserve">, f. 5; </w:t>
      </w:r>
      <w:hyperlink w:anchor="SENTENCIA_2013_14" w:history="1">
        <w:r w:rsidRPr="00234417">
          <w:rPr>
            <w:rStyle w:val="TextoNormalCaracter"/>
          </w:rPr>
          <w:t>14/2013</w:t>
        </w:r>
      </w:hyperlink>
      <w:r w:rsidRPr="00234417">
        <w:rPr>
          <w:rStyle w:val="TextoNormalCaracter"/>
        </w:rPr>
        <w:t xml:space="preserve">, f. 6; </w:t>
      </w:r>
      <w:hyperlink w:anchor="SENTENCIA_2013_25" w:history="1">
        <w:r w:rsidRPr="00234417">
          <w:rPr>
            <w:rStyle w:val="TextoNormalCaracter"/>
          </w:rPr>
          <w:t>25/2013</w:t>
        </w:r>
      </w:hyperlink>
      <w:r w:rsidRPr="00234417">
        <w:rPr>
          <w:rStyle w:val="TextoNormalCaracter"/>
        </w:rPr>
        <w:t xml:space="preserve">, f. 4; </w:t>
      </w:r>
      <w:hyperlink w:anchor="SENTENCIA_2013_27" w:history="1">
        <w:r w:rsidRPr="00234417">
          <w:rPr>
            <w:rStyle w:val="TextoNormalCaracter"/>
          </w:rPr>
          <w:t>27/2013</w:t>
        </w:r>
      </w:hyperlink>
      <w:r w:rsidRPr="00234417">
        <w:rPr>
          <w:rStyle w:val="TextoNormalCaracter"/>
        </w:rPr>
        <w:t xml:space="preserve">, f. 6; </w:t>
      </w:r>
      <w:hyperlink w:anchor="SENTENCIA_2013_38" w:history="1">
        <w:r w:rsidRPr="00234417">
          <w:rPr>
            <w:rStyle w:val="TextoNormalCaracter"/>
          </w:rPr>
          <w:t>38/2013</w:t>
        </w:r>
      </w:hyperlink>
      <w:r w:rsidRPr="00234417">
        <w:rPr>
          <w:rStyle w:val="TextoNormalCaracter"/>
        </w:rPr>
        <w:t xml:space="preserve">, f. 4; </w:t>
      </w:r>
      <w:hyperlink w:anchor="SENTENCIA_2013_65" w:history="1">
        <w:r w:rsidRPr="00234417">
          <w:rPr>
            <w:rStyle w:val="TextoNormalCaracter"/>
          </w:rPr>
          <w:t>65/2013</w:t>
        </w:r>
      </w:hyperlink>
      <w:r w:rsidRPr="00234417">
        <w:rPr>
          <w:rStyle w:val="TextoNormalCaracter"/>
        </w:rPr>
        <w:t xml:space="preserve">, ff. 2 a 5; </w:t>
      </w:r>
      <w:hyperlink w:anchor="SENTENCIA_2013_66" w:history="1">
        <w:r w:rsidRPr="00234417">
          <w:rPr>
            <w:rStyle w:val="TextoNormalCaracter"/>
          </w:rPr>
          <w:t>66/2013</w:t>
        </w:r>
      </w:hyperlink>
      <w:r w:rsidRPr="00234417">
        <w:rPr>
          <w:rStyle w:val="TextoNormalCaracter"/>
        </w:rPr>
        <w:t xml:space="preserve">, f. 3; </w:t>
      </w:r>
      <w:hyperlink w:anchor="SENTENCIA_2013_124" w:history="1">
        <w:r w:rsidRPr="00234417">
          <w:rPr>
            <w:rStyle w:val="TextoNormalCaracter"/>
          </w:rPr>
          <w:t>124/2013</w:t>
        </w:r>
      </w:hyperlink>
      <w:r w:rsidRPr="00234417">
        <w:rPr>
          <w:rStyle w:val="TextoNormalCaracter"/>
        </w:rPr>
        <w:t xml:space="preserve">, ff. 1 a 4; </w:t>
      </w:r>
      <w:hyperlink w:anchor="SENTENCIA_2013_136" w:history="1">
        <w:r w:rsidRPr="00234417">
          <w:rPr>
            <w:rStyle w:val="TextoNormalCaracter"/>
          </w:rPr>
          <w:t>136/2013</w:t>
        </w:r>
      </w:hyperlink>
      <w:r w:rsidRPr="00234417">
        <w:rPr>
          <w:rStyle w:val="TextoNormalCaracter"/>
        </w:rPr>
        <w:t>, f. 4.</w:t>
      </w:r>
    </w:p>
    <w:p w:rsidR="00234417" w:rsidRPr="00234417" w:rsidRDefault="00234417" w:rsidP="00234417">
      <w:pPr>
        <w:pStyle w:val="TextoNormalSangraFrancesa"/>
        <w:rPr>
          <w:rStyle w:val="TextoNormalCaracter"/>
        </w:rPr>
      </w:pPr>
      <w:bookmarkStart w:id="1375" w:name="DESCRIPTORALFABETICO6"/>
      <w:r w:rsidRPr="00234417">
        <w:rPr>
          <w:rStyle w:val="TextoNormalNegritaCaracter"/>
        </w:rPr>
        <w:t>Competencias compartidas</w:t>
      </w:r>
      <w:bookmarkEnd w:id="1375"/>
      <w:r w:rsidRPr="00234417">
        <w:rPr>
          <w:rStyle w:val="TextoNormalCaracter"/>
        </w:rPr>
        <w:t xml:space="preserve">, Sentencia </w:t>
      </w:r>
      <w:hyperlink w:anchor="SENTENCIA_2013_60" w:history="1">
        <w:r w:rsidRPr="00234417">
          <w:rPr>
            <w:rStyle w:val="TextoNormalCaracter"/>
          </w:rPr>
          <w:t>60/2013</w:t>
        </w:r>
      </w:hyperlink>
      <w:r w:rsidRPr="00234417">
        <w:rPr>
          <w:rStyle w:val="TextoNormalCaracter"/>
        </w:rPr>
        <w:t>, f. 2.</w:t>
      </w:r>
    </w:p>
    <w:p w:rsidR="00234417" w:rsidRPr="00234417" w:rsidRDefault="00234417" w:rsidP="00234417">
      <w:pPr>
        <w:pStyle w:val="TextoNormalSangraFrancesa"/>
        <w:rPr>
          <w:rStyle w:val="TextoNormalNegritaCaracter"/>
        </w:rPr>
      </w:pPr>
      <w:r w:rsidRPr="00234417">
        <w:rPr>
          <w:rStyle w:val="TextoNormalCursivaCaracter"/>
        </w:rPr>
        <w:t>Competencias concurrentes</w:t>
      </w:r>
      <w:r>
        <w:t xml:space="preserve"> véase </w:t>
      </w:r>
      <w:hyperlink w:anchor="DESCRIPTORALFABETICO24" w:history="1">
        <w:r w:rsidRPr="00234417">
          <w:rPr>
            <w:rStyle w:val="TextoNormalNegritaCaracter"/>
          </w:rPr>
          <w:t>Concurrencia de competencias sobre el mismo espacio físico</w:t>
        </w:r>
      </w:hyperlink>
    </w:p>
    <w:p w:rsidR="00234417" w:rsidRPr="00234417" w:rsidRDefault="00234417" w:rsidP="00234417">
      <w:pPr>
        <w:pStyle w:val="TextoNormalSangraFrancesa"/>
        <w:rPr>
          <w:rStyle w:val="TextoNormalCaracter"/>
        </w:rPr>
      </w:pPr>
      <w:bookmarkStart w:id="1376" w:name="DESCRIPTORALFABETICO7"/>
      <w:r w:rsidRPr="00234417">
        <w:rPr>
          <w:rStyle w:val="TextoNormalNegritaCaracter"/>
        </w:rPr>
        <w:t>Competencias de colaboración</w:t>
      </w:r>
      <w:bookmarkEnd w:id="1376"/>
      <w:r w:rsidRPr="00234417">
        <w:rPr>
          <w:rStyle w:val="TextoNormalCaracter"/>
        </w:rPr>
        <w:t xml:space="preserve">, Sentencias </w:t>
      </w:r>
      <w:hyperlink w:anchor="SENTENCIA_2013_34" w:history="1">
        <w:r w:rsidRPr="00234417">
          <w:rPr>
            <w:rStyle w:val="TextoNormalCaracter"/>
          </w:rPr>
          <w:t>34/2013</w:t>
        </w:r>
      </w:hyperlink>
      <w:r w:rsidRPr="00234417">
        <w:rPr>
          <w:rStyle w:val="TextoNormalCaracter"/>
        </w:rPr>
        <w:t xml:space="preserve">, ff. 3, 4, 6; </w:t>
      </w:r>
      <w:hyperlink w:anchor="SENTENCIA_2013_82" w:history="1">
        <w:r w:rsidRPr="00234417">
          <w:rPr>
            <w:rStyle w:val="TextoNormalCaracter"/>
          </w:rPr>
          <w:t>82/2013</w:t>
        </w:r>
      </w:hyperlink>
      <w:r w:rsidRPr="00234417">
        <w:rPr>
          <w:rStyle w:val="TextoNormalCaracter"/>
        </w:rPr>
        <w:t>, f. 3.</w:t>
      </w:r>
    </w:p>
    <w:p w:rsidR="00234417" w:rsidRPr="00234417" w:rsidRDefault="00234417" w:rsidP="00234417">
      <w:pPr>
        <w:pStyle w:val="TextoNormalSangraFrancesa"/>
        <w:rPr>
          <w:rStyle w:val="TextoNormalCaracter"/>
        </w:rPr>
      </w:pPr>
      <w:bookmarkStart w:id="1377" w:name="DESCRIPTORALFABETICO8"/>
      <w:r w:rsidRPr="00234417">
        <w:rPr>
          <w:rStyle w:val="TextoNormalNegritaCaracter"/>
        </w:rPr>
        <w:t>Competencias de coordinación</w:t>
      </w:r>
      <w:bookmarkEnd w:id="1377"/>
      <w:r w:rsidRPr="00234417">
        <w:rPr>
          <w:rStyle w:val="TextoNormalCaracter"/>
        </w:rPr>
        <w:t xml:space="preserve">, Sentencias </w:t>
      </w:r>
      <w:hyperlink w:anchor="SENTENCIA_2013_69" w:history="1">
        <w:r w:rsidRPr="00234417">
          <w:rPr>
            <w:rStyle w:val="TextoNormalCaracter"/>
          </w:rPr>
          <w:t>69/2013</w:t>
        </w:r>
      </w:hyperlink>
      <w:r w:rsidRPr="00234417">
        <w:rPr>
          <w:rStyle w:val="TextoNormalCaracter"/>
        </w:rPr>
        <w:t xml:space="preserve">, ff. 1, 7; </w:t>
      </w:r>
      <w:hyperlink w:anchor="SENTENCIA_2013_138" w:history="1">
        <w:r w:rsidRPr="00234417">
          <w:rPr>
            <w:rStyle w:val="TextoNormalCaracter"/>
          </w:rPr>
          <w:t>138/2013</w:t>
        </w:r>
      </w:hyperlink>
      <w:r w:rsidRPr="00234417">
        <w:rPr>
          <w:rStyle w:val="TextoNormalCaracter"/>
        </w:rPr>
        <w:t>, ff. 8, 11.</w:t>
      </w:r>
    </w:p>
    <w:p w:rsidR="00234417" w:rsidRPr="00234417" w:rsidRDefault="00234417" w:rsidP="00234417">
      <w:pPr>
        <w:pStyle w:val="TextoNormalSangraFrancesa"/>
        <w:rPr>
          <w:rStyle w:val="TextoNormalNegritaCaracter"/>
        </w:rPr>
      </w:pPr>
      <w:r w:rsidRPr="00234417">
        <w:rPr>
          <w:rStyle w:val="TextoNormalCursivaCaracter"/>
        </w:rPr>
        <w:t>Competencias de desarrollo legislativo</w:t>
      </w:r>
      <w:r>
        <w:t xml:space="preserve"> véase </w:t>
      </w:r>
      <w:hyperlink w:anchor="DESCRIPTORALFABETICO11" w:history="1">
        <w:r w:rsidRPr="00234417">
          <w:rPr>
            <w:rStyle w:val="TextoNormalNegritaCaracter"/>
          </w:rPr>
          <w:t>Competencias autonómicas de desarrollo normativo</w:t>
        </w:r>
      </w:hyperlink>
    </w:p>
    <w:p w:rsidR="00234417" w:rsidRPr="00234417" w:rsidRDefault="00234417" w:rsidP="00234417">
      <w:pPr>
        <w:pStyle w:val="TextoNormalSangraFrancesa"/>
        <w:rPr>
          <w:rStyle w:val="TextoNormalCaracter"/>
        </w:rPr>
      </w:pPr>
      <w:bookmarkStart w:id="1378" w:name="DESCRIPTORALFABETICO9"/>
      <w:r w:rsidRPr="00234417">
        <w:rPr>
          <w:rStyle w:val="TextoNormalNegritaCaracter"/>
        </w:rPr>
        <w:t>Competencias de las Comunidades Autónomas</w:t>
      </w:r>
      <w:bookmarkEnd w:id="1378"/>
      <w:r w:rsidRPr="00234417">
        <w:rPr>
          <w:rStyle w:val="TextoNormalCaracter"/>
        </w:rPr>
        <w:t xml:space="preserve">, Sentencias </w:t>
      </w:r>
      <w:hyperlink w:anchor="SENTENCIA_2013_3" w:history="1">
        <w:r w:rsidRPr="00234417">
          <w:rPr>
            <w:rStyle w:val="TextoNormalCaracter"/>
          </w:rPr>
          <w:t>3/2013</w:t>
        </w:r>
      </w:hyperlink>
      <w:r w:rsidRPr="00234417">
        <w:rPr>
          <w:rStyle w:val="TextoNormalCaracter"/>
        </w:rPr>
        <w:t xml:space="preserve">, ff. 5, 6, 7, 8; </w:t>
      </w:r>
      <w:hyperlink w:anchor="SENTENCIA_2013_4" w:history="1">
        <w:r w:rsidRPr="00234417">
          <w:rPr>
            <w:rStyle w:val="TextoNormalCaracter"/>
          </w:rPr>
          <w:t>4/2013</w:t>
        </w:r>
      </w:hyperlink>
      <w:r w:rsidRPr="00234417">
        <w:rPr>
          <w:rStyle w:val="TextoNormalCaracter"/>
        </w:rPr>
        <w:t xml:space="preserve">, ff. 1 a 11; </w:t>
      </w:r>
      <w:hyperlink w:anchor="SENTENCIA_2013_6" w:history="1">
        <w:r w:rsidRPr="00234417">
          <w:rPr>
            <w:rStyle w:val="TextoNormalCaracter"/>
          </w:rPr>
          <w:t>6/2013</w:t>
        </w:r>
      </w:hyperlink>
      <w:r w:rsidRPr="00234417">
        <w:rPr>
          <w:rStyle w:val="TextoNormalCaracter"/>
        </w:rPr>
        <w:t xml:space="preserve">, ff. 1 a 7; </w:t>
      </w:r>
      <w:hyperlink w:anchor="SENTENCIA_2013_7" w:history="1">
        <w:r w:rsidRPr="00234417">
          <w:rPr>
            <w:rStyle w:val="TextoNormalCaracter"/>
          </w:rPr>
          <w:t>7/2013</w:t>
        </w:r>
      </w:hyperlink>
      <w:r w:rsidRPr="00234417">
        <w:rPr>
          <w:rStyle w:val="TextoNormalCaracter"/>
        </w:rPr>
        <w:t xml:space="preserve">, f. 3; </w:t>
      </w:r>
      <w:hyperlink w:anchor="SENTENCIA_2013_8" w:history="1">
        <w:r w:rsidRPr="00234417">
          <w:rPr>
            <w:rStyle w:val="TextoNormalCaracter"/>
          </w:rPr>
          <w:t>8/2013</w:t>
        </w:r>
      </w:hyperlink>
      <w:r w:rsidRPr="00234417">
        <w:rPr>
          <w:rStyle w:val="TextoNormalCaracter"/>
        </w:rPr>
        <w:t xml:space="preserve">, ff. 3, 4, 5, 6, 7, 9; </w:t>
      </w:r>
      <w:hyperlink w:anchor="SENTENCIA_2013_15" w:history="1">
        <w:r w:rsidRPr="00234417">
          <w:rPr>
            <w:rStyle w:val="TextoNormalCaracter"/>
          </w:rPr>
          <w:t>15/2013</w:t>
        </w:r>
      </w:hyperlink>
      <w:r w:rsidRPr="00234417">
        <w:rPr>
          <w:rStyle w:val="TextoNormalCaracter"/>
        </w:rPr>
        <w:t xml:space="preserve">, f. 3; </w:t>
      </w:r>
      <w:hyperlink w:anchor="SENTENCIA_2013_16" w:history="1">
        <w:r w:rsidRPr="00234417">
          <w:rPr>
            <w:rStyle w:val="TextoNormalCaracter"/>
          </w:rPr>
          <w:t>16/2013</w:t>
        </w:r>
      </w:hyperlink>
      <w:r w:rsidRPr="00234417">
        <w:rPr>
          <w:rStyle w:val="TextoNormalCaracter"/>
        </w:rPr>
        <w:t xml:space="preserve">, ff. 3, 4, 6; </w:t>
      </w:r>
      <w:hyperlink w:anchor="SENTENCIA_2013_20" w:history="1">
        <w:r w:rsidRPr="00234417">
          <w:rPr>
            <w:rStyle w:val="TextoNormalCaracter"/>
          </w:rPr>
          <w:t>20/2013</w:t>
        </w:r>
      </w:hyperlink>
      <w:r w:rsidRPr="00234417">
        <w:rPr>
          <w:rStyle w:val="TextoNormalCaracter"/>
        </w:rPr>
        <w:t xml:space="preserve">, ff. 3, 5 a 9; </w:t>
      </w:r>
      <w:hyperlink w:anchor="SENTENCIA_2013_23" w:history="1">
        <w:r w:rsidRPr="00234417">
          <w:rPr>
            <w:rStyle w:val="TextoNormalCaracter"/>
          </w:rPr>
          <w:t>23/2013</w:t>
        </w:r>
      </w:hyperlink>
      <w:r w:rsidRPr="00234417">
        <w:rPr>
          <w:rStyle w:val="TextoNormalCaracter"/>
        </w:rPr>
        <w:t xml:space="preserve">, f. 3; </w:t>
      </w:r>
      <w:hyperlink w:anchor="SENTENCIA_2013_25" w:history="1">
        <w:r w:rsidRPr="00234417">
          <w:rPr>
            <w:rStyle w:val="TextoNormalCaracter"/>
          </w:rPr>
          <w:t>25/2013</w:t>
        </w:r>
      </w:hyperlink>
      <w:r w:rsidRPr="00234417">
        <w:rPr>
          <w:rStyle w:val="TextoNormalCaracter"/>
        </w:rPr>
        <w:t xml:space="preserve">, ff. 3, 4; </w:t>
      </w:r>
      <w:hyperlink w:anchor="SENTENCIA_2013_27" w:history="1">
        <w:r w:rsidRPr="00234417">
          <w:rPr>
            <w:rStyle w:val="TextoNormalCaracter"/>
          </w:rPr>
          <w:t>27/2013</w:t>
        </w:r>
      </w:hyperlink>
      <w:r w:rsidRPr="00234417">
        <w:rPr>
          <w:rStyle w:val="TextoNormalCaracter"/>
        </w:rPr>
        <w:t xml:space="preserve">, f. 4; </w:t>
      </w:r>
      <w:hyperlink w:anchor="SENTENCIA_2013_33" w:history="1">
        <w:r w:rsidRPr="00234417">
          <w:rPr>
            <w:rStyle w:val="TextoNormalCaracter"/>
          </w:rPr>
          <w:t>33/2013</w:t>
        </w:r>
      </w:hyperlink>
      <w:r w:rsidRPr="00234417">
        <w:rPr>
          <w:rStyle w:val="TextoNormalCaracter"/>
        </w:rPr>
        <w:t xml:space="preserve">, ff. 5, 6; </w:t>
      </w:r>
      <w:hyperlink w:anchor="SENTENCIA_2013_34" w:history="1">
        <w:r w:rsidRPr="00234417">
          <w:rPr>
            <w:rStyle w:val="TextoNormalCaracter"/>
          </w:rPr>
          <w:t>34/2013</w:t>
        </w:r>
      </w:hyperlink>
      <w:r w:rsidRPr="00234417">
        <w:rPr>
          <w:rStyle w:val="TextoNormalCaracter"/>
        </w:rPr>
        <w:t xml:space="preserve">, ff. 2, 3, 4, 5, 6, 7, 8, 10, 11, 12, 13, 14, 16, 17, 18, 19, 20, 21, VP; </w:t>
      </w:r>
      <w:hyperlink w:anchor="SENTENCIA_2013_35" w:history="1">
        <w:r w:rsidRPr="00234417">
          <w:rPr>
            <w:rStyle w:val="TextoNormalCaracter"/>
          </w:rPr>
          <w:t>35/2013</w:t>
        </w:r>
      </w:hyperlink>
      <w:r w:rsidRPr="00234417">
        <w:rPr>
          <w:rStyle w:val="TextoNormalCaracter"/>
        </w:rPr>
        <w:t xml:space="preserve">, ff. 3 a 9; </w:t>
      </w:r>
      <w:hyperlink w:anchor="SENTENCIA_2013_36" w:history="1">
        <w:r w:rsidRPr="00234417">
          <w:rPr>
            <w:rStyle w:val="TextoNormalCaracter"/>
          </w:rPr>
          <w:t>36/2013</w:t>
        </w:r>
      </w:hyperlink>
      <w:r w:rsidRPr="00234417">
        <w:rPr>
          <w:rStyle w:val="TextoNormalCaracter"/>
        </w:rPr>
        <w:t xml:space="preserve">, f. 8; </w:t>
      </w:r>
      <w:hyperlink w:anchor="SENTENCIA_2013_38" w:history="1">
        <w:r w:rsidRPr="00234417">
          <w:rPr>
            <w:rStyle w:val="TextoNormalCaracter"/>
          </w:rPr>
          <w:t>38/2013</w:t>
        </w:r>
      </w:hyperlink>
      <w:r w:rsidRPr="00234417">
        <w:rPr>
          <w:rStyle w:val="TextoNormalCaracter"/>
        </w:rPr>
        <w:t xml:space="preserve">, f. 5; </w:t>
      </w:r>
      <w:hyperlink w:anchor="SENTENCIA_2013_46" w:history="1">
        <w:r w:rsidRPr="00234417">
          <w:rPr>
            <w:rStyle w:val="TextoNormalCaracter"/>
          </w:rPr>
          <w:t>46/2013</w:t>
        </w:r>
      </w:hyperlink>
      <w:r w:rsidRPr="00234417">
        <w:rPr>
          <w:rStyle w:val="TextoNormalCaracter"/>
        </w:rPr>
        <w:t xml:space="preserve">, ff. 3, 4; </w:t>
      </w:r>
      <w:hyperlink w:anchor="SENTENCIA_2013_47" w:history="1">
        <w:r w:rsidRPr="00234417">
          <w:rPr>
            <w:rStyle w:val="TextoNormalCaracter"/>
          </w:rPr>
          <w:t>47/2013</w:t>
        </w:r>
      </w:hyperlink>
      <w:r w:rsidRPr="00234417">
        <w:rPr>
          <w:rStyle w:val="TextoNormalCaracter"/>
        </w:rPr>
        <w:t xml:space="preserve">, ff. 3, 4; </w:t>
      </w:r>
      <w:hyperlink w:anchor="SENTENCIA_2013_48" w:history="1">
        <w:r w:rsidRPr="00234417">
          <w:rPr>
            <w:rStyle w:val="TextoNormalCaracter"/>
          </w:rPr>
          <w:t>48/2013</w:t>
        </w:r>
      </w:hyperlink>
      <w:r w:rsidRPr="00234417">
        <w:rPr>
          <w:rStyle w:val="TextoNormalCaracter"/>
        </w:rPr>
        <w:t xml:space="preserve">, ff. 3 a 5; </w:t>
      </w:r>
      <w:hyperlink w:anchor="SENTENCIA_2013_50" w:history="1">
        <w:r w:rsidRPr="00234417">
          <w:rPr>
            <w:rStyle w:val="TextoNormalCaracter"/>
          </w:rPr>
          <w:t>50/2013</w:t>
        </w:r>
      </w:hyperlink>
      <w:r w:rsidRPr="00234417">
        <w:rPr>
          <w:rStyle w:val="TextoNormalCaracter"/>
        </w:rPr>
        <w:t xml:space="preserve">, ff. 3, 4; </w:t>
      </w:r>
      <w:hyperlink w:anchor="SENTENCIA_2013_60" w:history="1">
        <w:r w:rsidRPr="00234417">
          <w:rPr>
            <w:rStyle w:val="TextoNormalCaracter"/>
          </w:rPr>
          <w:t>60/2013</w:t>
        </w:r>
      </w:hyperlink>
      <w:r w:rsidRPr="00234417">
        <w:rPr>
          <w:rStyle w:val="TextoNormalCaracter"/>
        </w:rPr>
        <w:t xml:space="preserve">, f. 2; </w:t>
      </w:r>
      <w:hyperlink w:anchor="SENTENCIA_2013_62" w:history="1">
        <w:r w:rsidRPr="00234417">
          <w:rPr>
            <w:rStyle w:val="TextoNormalCaracter"/>
          </w:rPr>
          <w:t>62/2013</w:t>
        </w:r>
      </w:hyperlink>
      <w:r w:rsidRPr="00234417">
        <w:rPr>
          <w:rStyle w:val="TextoNormalCaracter"/>
        </w:rPr>
        <w:t xml:space="preserve">, f. 3; </w:t>
      </w:r>
      <w:hyperlink w:anchor="SENTENCIA_2013_65" w:history="1">
        <w:r w:rsidRPr="00234417">
          <w:rPr>
            <w:rStyle w:val="TextoNormalCaracter"/>
          </w:rPr>
          <w:t>65/2013</w:t>
        </w:r>
      </w:hyperlink>
      <w:r w:rsidRPr="00234417">
        <w:rPr>
          <w:rStyle w:val="TextoNormalCaracter"/>
        </w:rPr>
        <w:t xml:space="preserve">, f. 3;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xml:space="preserve">, f. 4; </w:t>
      </w:r>
      <w:hyperlink w:anchor="SENTENCIA_2013_82" w:history="1">
        <w:r w:rsidRPr="00234417">
          <w:rPr>
            <w:rStyle w:val="TextoNormalCaracter"/>
          </w:rPr>
          <w:t>82/2013</w:t>
        </w:r>
      </w:hyperlink>
      <w:r w:rsidRPr="00234417">
        <w:rPr>
          <w:rStyle w:val="TextoNormalCaracter"/>
        </w:rPr>
        <w:t xml:space="preserve">, ff. 2, 3, 4, 5, 6; </w:t>
      </w:r>
      <w:hyperlink w:anchor="SENTENCIA_2013_84" w:history="1">
        <w:r w:rsidRPr="00234417">
          <w:rPr>
            <w:rStyle w:val="TextoNormalCaracter"/>
          </w:rPr>
          <w:t>84/2013</w:t>
        </w:r>
      </w:hyperlink>
      <w:r w:rsidRPr="00234417">
        <w:rPr>
          <w:rStyle w:val="TextoNormalCaracter"/>
        </w:rPr>
        <w:t xml:space="preserve">, f. 4; </w:t>
      </w:r>
      <w:hyperlink w:anchor="SENTENCIA_2013_87" w:history="1">
        <w:r w:rsidRPr="00234417">
          <w:rPr>
            <w:rStyle w:val="TextoNormalCaracter"/>
          </w:rPr>
          <w:t>87/2013</w:t>
        </w:r>
      </w:hyperlink>
      <w:r w:rsidRPr="00234417">
        <w:rPr>
          <w:rStyle w:val="TextoNormalCaracter"/>
        </w:rPr>
        <w:t xml:space="preserve">, ff. 3 a 6; </w:t>
      </w:r>
      <w:hyperlink w:anchor="SENTENCIA_2013_89" w:history="1">
        <w:r w:rsidRPr="00234417">
          <w:rPr>
            <w:rStyle w:val="TextoNormalCaracter"/>
          </w:rPr>
          <w:t>89/2013</w:t>
        </w:r>
      </w:hyperlink>
      <w:r w:rsidRPr="00234417">
        <w:rPr>
          <w:rStyle w:val="TextoNormalCaracter"/>
        </w:rPr>
        <w:t xml:space="preserve">, ff. 2 a 4; </w:t>
      </w:r>
      <w:hyperlink w:anchor="SENTENCIA_2013_93" w:history="1">
        <w:r w:rsidRPr="00234417">
          <w:rPr>
            <w:rStyle w:val="TextoNormalCaracter"/>
          </w:rPr>
          <w:t>93/2013</w:t>
        </w:r>
      </w:hyperlink>
      <w:r w:rsidRPr="00234417">
        <w:rPr>
          <w:rStyle w:val="TextoNormalCaracter"/>
        </w:rPr>
        <w:t xml:space="preserve">, f. 5, VP I; </w:t>
      </w:r>
      <w:hyperlink w:anchor="SENTENCIA_2013_94" w:history="1">
        <w:r w:rsidRPr="00234417">
          <w:rPr>
            <w:rStyle w:val="TextoNormalCaracter"/>
          </w:rPr>
          <w:t>94/2013</w:t>
        </w:r>
      </w:hyperlink>
      <w:r w:rsidRPr="00234417">
        <w:rPr>
          <w:rStyle w:val="TextoNormalCaracter"/>
        </w:rPr>
        <w:t xml:space="preserve">, ff. 2, 4, 5, 6, 7, 8, 9, VP I, VP II; </w:t>
      </w:r>
      <w:hyperlink w:anchor="SENTENCIA_2013_95" w:history="1">
        <w:r w:rsidRPr="00234417">
          <w:rPr>
            <w:rStyle w:val="TextoNormalCaracter"/>
          </w:rPr>
          <w:t>95/2013</w:t>
        </w:r>
      </w:hyperlink>
      <w:r w:rsidRPr="00234417">
        <w:rPr>
          <w:rStyle w:val="TextoNormalCaracter"/>
        </w:rPr>
        <w:t xml:space="preserve">, ff. 1, 3, 4; </w:t>
      </w:r>
      <w:hyperlink w:anchor="SENTENCIA_2013_98" w:history="1">
        <w:r w:rsidRPr="00234417">
          <w:rPr>
            <w:rStyle w:val="TextoNormalCaracter"/>
          </w:rPr>
          <w:t>98/2013</w:t>
        </w:r>
      </w:hyperlink>
      <w:r w:rsidRPr="00234417">
        <w:rPr>
          <w:rStyle w:val="TextoNormalCaracter"/>
        </w:rPr>
        <w:t xml:space="preserve">, ff. 3, 4; </w:t>
      </w:r>
      <w:hyperlink w:anchor="SENTENCIA_2013_99" w:history="1">
        <w:r w:rsidRPr="00234417">
          <w:rPr>
            <w:rStyle w:val="TextoNormalCaracter"/>
          </w:rPr>
          <w:t>99/2013</w:t>
        </w:r>
      </w:hyperlink>
      <w:r w:rsidRPr="00234417">
        <w:rPr>
          <w:rStyle w:val="TextoNormalCaracter"/>
        </w:rPr>
        <w:t xml:space="preserve">, ff. 4, 6, 7, 8, 9; </w:t>
      </w:r>
      <w:hyperlink w:anchor="SENTENCIA_2013_103" w:history="1">
        <w:r w:rsidRPr="00234417">
          <w:rPr>
            <w:rStyle w:val="TextoNormalCaracter"/>
          </w:rPr>
          <w:t>103/2013</w:t>
        </w:r>
      </w:hyperlink>
      <w:r w:rsidRPr="00234417">
        <w:rPr>
          <w:rStyle w:val="TextoNormalCaracter"/>
        </w:rPr>
        <w:t xml:space="preserve">, ff. 5, 6; </w:t>
      </w:r>
      <w:hyperlink w:anchor="SENTENCIA_2013_104" w:history="1">
        <w:r w:rsidRPr="00234417">
          <w:rPr>
            <w:rStyle w:val="TextoNormalCaracter"/>
          </w:rPr>
          <w:t>104/2013</w:t>
        </w:r>
      </w:hyperlink>
      <w:r w:rsidRPr="00234417">
        <w:rPr>
          <w:rStyle w:val="TextoNormalCaracter"/>
        </w:rPr>
        <w:t xml:space="preserve">, f. 5; </w:t>
      </w:r>
      <w:hyperlink w:anchor="SENTENCIA_2013_111" w:history="1">
        <w:r w:rsidRPr="00234417">
          <w:rPr>
            <w:rStyle w:val="TextoNormalCaracter"/>
          </w:rPr>
          <w:t>111/2013</w:t>
        </w:r>
      </w:hyperlink>
      <w:r w:rsidRPr="00234417">
        <w:rPr>
          <w:rStyle w:val="TextoNormalCaracter"/>
        </w:rPr>
        <w:t xml:space="preserve">, f. 3; </w:t>
      </w:r>
      <w:hyperlink w:anchor="SENTENCIA_2013_112" w:history="1">
        <w:r w:rsidRPr="00234417">
          <w:rPr>
            <w:rStyle w:val="TextoNormalCaracter"/>
          </w:rPr>
          <w:t>112/2013</w:t>
        </w:r>
      </w:hyperlink>
      <w:r w:rsidRPr="00234417">
        <w:rPr>
          <w:rStyle w:val="TextoNormalCaracter"/>
        </w:rPr>
        <w:t xml:space="preserve">, </w:t>
      </w:r>
      <w:r w:rsidRPr="00234417">
        <w:rPr>
          <w:rStyle w:val="TextoNormalCaracter"/>
        </w:rPr>
        <w:lastRenderedPageBreak/>
        <w:t xml:space="preserve">f. 3; </w:t>
      </w:r>
      <w:hyperlink w:anchor="SENTENCIA_2013_113" w:history="1">
        <w:r w:rsidRPr="00234417">
          <w:rPr>
            <w:rStyle w:val="TextoNormalCaracter"/>
          </w:rPr>
          <w:t>113/2013</w:t>
        </w:r>
      </w:hyperlink>
      <w:r w:rsidRPr="00234417">
        <w:rPr>
          <w:rStyle w:val="TextoNormalCaracter"/>
        </w:rPr>
        <w:t xml:space="preserve">, f. 4; </w:t>
      </w:r>
      <w:hyperlink w:anchor="SENTENCIA_2013_123" w:history="1">
        <w:r w:rsidRPr="00234417">
          <w:rPr>
            <w:rStyle w:val="TextoNormalCaracter"/>
          </w:rPr>
          <w:t>123/2013</w:t>
        </w:r>
      </w:hyperlink>
      <w:r w:rsidRPr="00234417">
        <w:rPr>
          <w:rStyle w:val="TextoNormalCaracter"/>
        </w:rPr>
        <w:t xml:space="preserve">, f. 9; </w:t>
      </w:r>
      <w:hyperlink w:anchor="SENTENCIA_2013_129" w:history="1">
        <w:r w:rsidRPr="00234417">
          <w:rPr>
            <w:rStyle w:val="TextoNormalCaracter"/>
          </w:rPr>
          <w:t>129/2013</w:t>
        </w:r>
      </w:hyperlink>
      <w:r w:rsidRPr="00234417">
        <w:rPr>
          <w:rStyle w:val="TextoNormalCaracter"/>
        </w:rPr>
        <w:t xml:space="preserve">, ff. 8, 9; </w:t>
      </w:r>
      <w:hyperlink w:anchor="SENTENCIA_2013_132" w:history="1">
        <w:r w:rsidRPr="00234417">
          <w:rPr>
            <w:rStyle w:val="TextoNormalCaracter"/>
          </w:rPr>
          <w:t>132/2013</w:t>
        </w:r>
      </w:hyperlink>
      <w:r w:rsidRPr="00234417">
        <w:rPr>
          <w:rStyle w:val="TextoNormalCaracter"/>
        </w:rPr>
        <w:t xml:space="preserve">, f. 8 e); </w:t>
      </w:r>
      <w:hyperlink w:anchor="SENTENCIA_2013_136" w:history="1">
        <w:r w:rsidRPr="00234417">
          <w:rPr>
            <w:rStyle w:val="TextoNormalCaracter"/>
          </w:rPr>
          <w:t>136/2013</w:t>
        </w:r>
      </w:hyperlink>
      <w:r w:rsidRPr="00234417">
        <w:rPr>
          <w:rStyle w:val="TextoNormalCaracter"/>
        </w:rPr>
        <w:t xml:space="preserve">, ff. 3 a 5; </w:t>
      </w:r>
      <w:hyperlink w:anchor="SENTENCIA_2013_137" w:history="1">
        <w:r w:rsidRPr="00234417">
          <w:rPr>
            <w:rStyle w:val="TextoNormalCaracter"/>
          </w:rPr>
          <w:t>137/2013</w:t>
        </w:r>
      </w:hyperlink>
      <w:r w:rsidRPr="00234417">
        <w:rPr>
          <w:rStyle w:val="TextoNormalCaracter"/>
        </w:rPr>
        <w:t>, ff. 5, 7.</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58" w:history="1">
        <w:r w:rsidRPr="00234417">
          <w:rPr>
            <w:rStyle w:val="TextoNormalCaracter"/>
          </w:rPr>
          <w:t>58/2013</w:t>
        </w:r>
      </w:hyperlink>
      <w:r w:rsidRPr="00234417">
        <w:rPr>
          <w:rStyle w:val="TextoNormalCaracter"/>
        </w:rPr>
        <w:t xml:space="preserve">, f. 1; </w:t>
      </w:r>
      <w:hyperlink w:anchor="AUTO_2013_85" w:history="1">
        <w:r w:rsidRPr="00234417">
          <w:rPr>
            <w:rStyle w:val="TextoNormalCaracter"/>
          </w:rPr>
          <w:t>85/2013</w:t>
        </w:r>
      </w:hyperlink>
      <w:r w:rsidRPr="00234417">
        <w:rPr>
          <w:rStyle w:val="TextoNormalCaracter"/>
        </w:rPr>
        <w:t>, ff. 2 a 6.</w:t>
      </w:r>
    </w:p>
    <w:p w:rsidR="00234417" w:rsidRPr="00234417" w:rsidRDefault="00234417" w:rsidP="00234417">
      <w:pPr>
        <w:pStyle w:val="TextoNormalSangraFrancesa"/>
        <w:rPr>
          <w:rStyle w:val="TextoNormalCaracter"/>
        </w:rPr>
      </w:pPr>
      <w:bookmarkStart w:id="1379" w:name="DESCRIPTORALFABETICO455"/>
      <w:r w:rsidRPr="00234417">
        <w:rPr>
          <w:rStyle w:val="TextoNormalNegritaCaracter"/>
        </w:rPr>
        <w:t>Competencias de las diputaciones provinciales</w:t>
      </w:r>
      <w:bookmarkEnd w:id="1379"/>
      <w:r w:rsidRPr="00234417">
        <w:rPr>
          <w:rStyle w:val="TextoNormalCaracter"/>
        </w:rPr>
        <w:t xml:space="preserve">, Sentencia </w:t>
      </w:r>
      <w:hyperlink w:anchor="SENTENCIA_2013_103" w:history="1">
        <w:r w:rsidRPr="00234417">
          <w:rPr>
            <w:rStyle w:val="TextoNormalCaracter"/>
          </w:rPr>
          <w:t>103/2013</w:t>
        </w:r>
      </w:hyperlink>
      <w:r w:rsidRPr="00234417">
        <w:rPr>
          <w:rStyle w:val="TextoNormalCaracter"/>
        </w:rPr>
        <w:t>, f. 5 c).</w:t>
      </w:r>
    </w:p>
    <w:p w:rsidR="00234417" w:rsidRPr="00234417" w:rsidRDefault="00234417" w:rsidP="00234417">
      <w:pPr>
        <w:pStyle w:val="TextoNormalSangraFrancesa"/>
        <w:rPr>
          <w:rStyle w:val="TextoNormalCaracter"/>
        </w:rPr>
      </w:pPr>
      <w:bookmarkStart w:id="1380" w:name="DESCRIPTORALFABETICO16"/>
      <w:r w:rsidRPr="00234417">
        <w:rPr>
          <w:rStyle w:val="TextoNormalNegritaCaracter"/>
        </w:rPr>
        <w:t>Competencias de los entes locales</w:t>
      </w:r>
      <w:bookmarkEnd w:id="1380"/>
      <w:r w:rsidRPr="00234417">
        <w:rPr>
          <w:rStyle w:val="TextoNormalCaracter"/>
        </w:rPr>
        <w:t xml:space="preserve">, Sentencia </w:t>
      </w:r>
      <w:hyperlink w:anchor="SENTENCIA_2013_103" w:history="1">
        <w:r w:rsidRPr="00234417">
          <w:rPr>
            <w:rStyle w:val="TextoNormalCaracter"/>
          </w:rPr>
          <w:t>103/2013</w:t>
        </w:r>
      </w:hyperlink>
      <w:r w:rsidRPr="00234417">
        <w:rPr>
          <w:rStyle w:val="TextoNormalCaracter"/>
        </w:rPr>
        <w:t>, ff. 2, 4 a 6.</w:t>
      </w:r>
    </w:p>
    <w:p w:rsidR="00234417" w:rsidRPr="00234417" w:rsidRDefault="00234417" w:rsidP="00234417">
      <w:pPr>
        <w:pStyle w:val="TextoNormalSangraFrancesa"/>
        <w:rPr>
          <w:rStyle w:val="TextoNormalCaracter"/>
        </w:rPr>
      </w:pPr>
      <w:bookmarkStart w:id="1381" w:name="DESCRIPTORALFABETICO17"/>
      <w:r w:rsidRPr="00234417">
        <w:rPr>
          <w:rStyle w:val="TextoNormalNegritaCaracter"/>
        </w:rPr>
        <w:t>Competencias de los municipios</w:t>
      </w:r>
      <w:bookmarkEnd w:id="1381"/>
      <w:r w:rsidRPr="00234417">
        <w:rPr>
          <w:rStyle w:val="TextoNormalCaracter"/>
        </w:rPr>
        <w:t xml:space="preserve">, Sentencia </w:t>
      </w:r>
      <w:hyperlink w:anchor="SENTENCIA_2013_94" w:history="1">
        <w:r w:rsidRPr="00234417">
          <w:rPr>
            <w:rStyle w:val="TextoNormalCaracter"/>
          </w:rPr>
          <w:t>94/2013</w:t>
        </w:r>
      </w:hyperlink>
      <w:r w:rsidRPr="00234417">
        <w:rPr>
          <w:rStyle w:val="TextoNormalCaracter"/>
        </w:rPr>
        <w:t>, ff. 6, 8, VP I, VP II.</w:t>
      </w:r>
    </w:p>
    <w:p w:rsidR="00234417" w:rsidRPr="00234417" w:rsidRDefault="00234417" w:rsidP="00234417">
      <w:pPr>
        <w:pStyle w:val="TextoNormalSangraFrancesa"/>
        <w:rPr>
          <w:rStyle w:val="TextoNormalCaracter"/>
        </w:rPr>
      </w:pPr>
      <w:bookmarkStart w:id="1382" w:name="DESCRIPTORALFABETICO792"/>
      <w:r w:rsidRPr="00234417">
        <w:rPr>
          <w:rStyle w:val="TextoNormalNegritaCaracter"/>
        </w:rPr>
        <w:t>Competencias de los órganos judiciales</w:t>
      </w:r>
      <w:bookmarkEnd w:id="1382"/>
      <w:r w:rsidRPr="00234417">
        <w:rPr>
          <w:rStyle w:val="TextoNormalCaracter"/>
        </w:rPr>
        <w:t xml:space="preserve">, Sentencia </w:t>
      </w:r>
      <w:hyperlink w:anchor="SENTENCIA_2013_108" w:history="1">
        <w:r w:rsidRPr="00234417">
          <w:rPr>
            <w:rStyle w:val="TextoNormalCaracter"/>
          </w:rPr>
          <w:t>108/2013</w:t>
        </w:r>
      </w:hyperlink>
      <w:r w:rsidRPr="00234417">
        <w:rPr>
          <w:rStyle w:val="TextoNormalCaracter"/>
        </w:rPr>
        <w:t>, f. 3.</w:t>
      </w:r>
    </w:p>
    <w:p w:rsidR="00234417" w:rsidRPr="00234417" w:rsidRDefault="00234417" w:rsidP="00234417">
      <w:pPr>
        <w:pStyle w:val="TextoNormalSangraFrancesa"/>
        <w:rPr>
          <w:rStyle w:val="TextoNormalCaracter"/>
        </w:rPr>
      </w:pPr>
      <w:bookmarkStart w:id="1383" w:name="DESCRIPTORALFABETICO18"/>
      <w:r w:rsidRPr="00234417">
        <w:rPr>
          <w:rStyle w:val="TextoNormalNegritaCaracter"/>
        </w:rPr>
        <w:t>Competencias de los territorios históricos</w:t>
      </w:r>
      <w:bookmarkEnd w:id="1383"/>
      <w:r w:rsidRPr="00234417">
        <w:rPr>
          <w:rStyle w:val="TextoNormalCaracter"/>
        </w:rPr>
        <w:t xml:space="preserve">, Sentencia </w:t>
      </w:r>
      <w:hyperlink w:anchor="SENTENCIA_2013_85" w:history="1">
        <w:r w:rsidRPr="00234417">
          <w:rPr>
            <w:rStyle w:val="TextoNormalCaracter"/>
          </w:rPr>
          <w:t>85/2013</w:t>
        </w:r>
      </w:hyperlink>
      <w:r w:rsidRPr="00234417">
        <w:rPr>
          <w:rStyle w:val="TextoNormalCaracter"/>
        </w:rPr>
        <w:t>, ff. 4, 5.</w:t>
      </w:r>
    </w:p>
    <w:p w:rsidR="00234417" w:rsidRPr="00234417" w:rsidRDefault="00234417" w:rsidP="00234417">
      <w:pPr>
        <w:pStyle w:val="TextoNormalSangraFrancesa"/>
        <w:rPr>
          <w:rStyle w:val="TextoNormalNegritaCaracter"/>
        </w:rPr>
      </w:pPr>
      <w:r w:rsidRPr="00234417">
        <w:rPr>
          <w:rStyle w:val="TextoNormalCursivaCaracter"/>
        </w:rPr>
        <w:t>Competencias de Tribunales extranjeros</w:t>
      </w:r>
      <w:r>
        <w:t xml:space="preserve"> véase </w:t>
      </w:r>
      <w:hyperlink w:anchor="DESCRIPTORALFABETICO790" w:history="1">
        <w:r w:rsidRPr="00234417">
          <w:rPr>
            <w:rStyle w:val="TextoNormalNegritaCaracter"/>
          </w:rPr>
          <w:t>Competencia judicial internacional</w:t>
        </w:r>
      </w:hyperlink>
    </w:p>
    <w:p w:rsidR="00234417" w:rsidRPr="00234417" w:rsidRDefault="00234417" w:rsidP="00234417">
      <w:pPr>
        <w:pStyle w:val="TextoNormalSangraFrancesa"/>
        <w:rPr>
          <w:rStyle w:val="TextoNormalCaracter"/>
        </w:rPr>
      </w:pPr>
      <w:bookmarkStart w:id="1384" w:name="DESCRIPTORALFABETICO19"/>
      <w:r w:rsidRPr="00234417">
        <w:rPr>
          <w:rStyle w:val="TextoNormalNegritaCaracter"/>
        </w:rPr>
        <w:t>Competencias del Estado</w:t>
      </w:r>
      <w:bookmarkEnd w:id="1384"/>
      <w:r w:rsidRPr="00234417">
        <w:rPr>
          <w:rStyle w:val="TextoNormalCaracter"/>
        </w:rPr>
        <w:t xml:space="preserve">, Sentencias </w:t>
      </w:r>
      <w:hyperlink w:anchor="SENTENCIA_2013_3" w:history="1">
        <w:r w:rsidRPr="00234417">
          <w:rPr>
            <w:rStyle w:val="TextoNormalCaracter"/>
          </w:rPr>
          <w:t>3/2013</w:t>
        </w:r>
      </w:hyperlink>
      <w:r w:rsidRPr="00234417">
        <w:rPr>
          <w:rStyle w:val="TextoNormalCaracter"/>
        </w:rPr>
        <w:t xml:space="preserve">, ff. 6 a 8; </w:t>
      </w:r>
      <w:hyperlink w:anchor="SENTENCIA_2013_4" w:history="1">
        <w:r w:rsidRPr="00234417">
          <w:rPr>
            <w:rStyle w:val="TextoNormalCaracter"/>
          </w:rPr>
          <w:t>4/2013</w:t>
        </w:r>
      </w:hyperlink>
      <w:r w:rsidRPr="00234417">
        <w:rPr>
          <w:rStyle w:val="TextoNormalCaracter"/>
        </w:rPr>
        <w:t xml:space="preserve">, ff. 1, 2; </w:t>
      </w:r>
      <w:hyperlink w:anchor="SENTENCIA_2013_5" w:history="1">
        <w:r w:rsidRPr="00234417">
          <w:rPr>
            <w:rStyle w:val="TextoNormalCaracter"/>
          </w:rPr>
          <w:t>5/2013</w:t>
        </w:r>
      </w:hyperlink>
      <w:r w:rsidRPr="00234417">
        <w:rPr>
          <w:rStyle w:val="TextoNormalCaracter"/>
        </w:rPr>
        <w:t xml:space="preserve">, f. 4; </w:t>
      </w:r>
      <w:hyperlink w:anchor="SENTENCIA_2013_6" w:history="1">
        <w:r w:rsidRPr="00234417">
          <w:rPr>
            <w:rStyle w:val="TextoNormalCaracter"/>
          </w:rPr>
          <w:t>6/2013</w:t>
        </w:r>
      </w:hyperlink>
      <w:r w:rsidRPr="00234417">
        <w:rPr>
          <w:rStyle w:val="TextoNormalCaracter"/>
        </w:rPr>
        <w:t xml:space="preserve">, ff. 1 a 7; </w:t>
      </w:r>
      <w:hyperlink w:anchor="SENTENCIA_2013_7" w:history="1">
        <w:r w:rsidRPr="00234417">
          <w:rPr>
            <w:rStyle w:val="TextoNormalCaracter"/>
          </w:rPr>
          <w:t>7/2013</w:t>
        </w:r>
      </w:hyperlink>
      <w:r w:rsidRPr="00234417">
        <w:rPr>
          <w:rStyle w:val="TextoNormalCaracter"/>
        </w:rPr>
        <w:t xml:space="preserve">, f. 3; </w:t>
      </w:r>
      <w:hyperlink w:anchor="SENTENCIA_2013_8" w:history="1">
        <w:r w:rsidRPr="00234417">
          <w:rPr>
            <w:rStyle w:val="TextoNormalCaracter"/>
          </w:rPr>
          <w:t>8/2013</w:t>
        </w:r>
      </w:hyperlink>
      <w:r w:rsidRPr="00234417">
        <w:rPr>
          <w:rStyle w:val="TextoNormalCaracter"/>
        </w:rPr>
        <w:t xml:space="preserve">, ff. 3 a 5, 9; </w:t>
      </w:r>
      <w:hyperlink w:anchor="SENTENCIA_2013_14" w:history="1">
        <w:r w:rsidRPr="00234417">
          <w:rPr>
            <w:rStyle w:val="TextoNormalCaracter"/>
          </w:rPr>
          <w:t>14/2013</w:t>
        </w:r>
      </w:hyperlink>
      <w:r w:rsidRPr="00234417">
        <w:rPr>
          <w:rStyle w:val="TextoNormalCaracter"/>
        </w:rPr>
        <w:t xml:space="preserve">, ff. 2, 3, 6; </w:t>
      </w:r>
      <w:hyperlink w:anchor="SENTENCIA_2013_15" w:history="1">
        <w:r w:rsidRPr="00234417">
          <w:rPr>
            <w:rStyle w:val="TextoNormalCaracter"/>
          </w:rPr>
          <w:t>15/2013</w:t>
        </w:r>
      </w:hyperlink>
      <w:r w:rsidRPr="00234417">
        <w:rPr>
          <w:rStyle w:val="TextoNormalCaracter"/>
        </w:rPr>
        <w:t xml:space="preserve">, ff. 3, 4; </w:t>
      </w:r>
      <w:hyperlink w:anchor="SENTENCIA_2013_16" w:history="1">
        <w:r w:rsidRPr="00234417">
          <w:rPr>
            <w:rStyle w:val="TextoNormalCaracter"/>
          </w:rPr>
          <w:t>16/2013</w:t>
        </w:r>
      </w:hyperlink>
      <w:r w:rsidRPr="00234417">
        <w:rPr>
          <w:rStyle w:val="TextoNormalCaracter"/>
        </w:rPr>
        <w:t xml:space="preserve">, ff. 3, 4, 6; </w:t>
      </w:r>
      <w:hyperlink w:anchor="SENTENCIA_2013_18" w:history="1">
        <w:r w:rsidRPr="00234417">
          <w:rPr>
            <w:rStyle w:val="TextoNormalCaracter"/>
          </w:rPr>
          <w:t>18/2013</w:t>
        </w:r>
      </w:hyperlink>
      <w:r w:rsidRPr="00234417">
        <w:rPr>
          <w:rStyle w:val="TextoNormalCaracter"/>
        </w:rPr>
        <w:t xml:space="preserve">, ff. 5, 6; </w:t>
      </w:r>
      <w:hyperlink w:anchor="SENTENCIA_2013_20" w:history="1">
        <w:r w:rsidRPr="00234417">
          <w:rPr>
            <w:rStyle w:val="TextoNormalCaracter"/>
          </w:rPr>
          <w:t>20/2013</w:t>
        </w:r>
      </w:hyperlink>
      <w:r w:rsidRPr="00234417">
        <w:rPr>
          <w:rStyle w:val="TextoNormalCaracter"/>
        </w:rPr>
        <w:t xml:space="preserve">, ff. 3, 5 a 9; </w:t>
      </w:r>
      <w:hyperlink w:anchor="SENTENCIA_2013_21" w:history="1">
        <w:r w:rsidRPr="00234417">
          <w:rPr>
            <w:rStyle w:val="TextoNormalCaracter"/>
          </w:rPr>
          <w:t>21/2013</w:t>
        </w:r>
      </w:hyperlink>
      <w:r w:rsidRPr="00234417">
        <w:rPr>
          <w:rStyle w:val="TextoNormalCaracter"/>
        </w:rPr>
        <w:t xml:space="preserve">, f. 5; </w:t>
      </w:r>
      <w:hyperlink w:anchor="SENTENCIA_2013_23" w:history="1">
        <w:r w:rsidRPr="00234417">
          <w:rPr>
            <w:rStyle w:val="TextoNormalCaracter"/>
          </w:rPr>
          <w:t>23/2013</w:t>
        </w:r>
      </w:hyperlink>
      <w:r w:rsidRPr="00234417">
        <w:rPr>
          <w:rStyle w:val="TextoNormalCaracter"/>
        </w:rPr>
        <w:t xml:space="preserve">, f. 3; </w:t>
      </w:r>
      <w:hyperlink w:anchor="SENTENCIA_2013_24" w:history="1">
        <w:r w:rsidRPr="00234417">
          <w:rPr>
            <w:rStyle w:val="TextoNormalCaracter"/>
          </w:rPr>
          <w:t>24/2013</w:t>
        </w:r>
      </w:hyperlink>
      <w:r w:rsidRPr="00234417">
        <w:rPr>
          <w:rStyle w:val="TextoNormalCaracter"/>
        </w:rPr>
        <w:t xml:space="preserve">, ff. 3, 4, 5; </w:t>
      </w:r>
      <w:hyperlink w:anchor="SENTENCIA_2013_25" w:history="1">
        <w:r w:rsidRPr="00234417">
          <w:rPr>
            <w:rStyle w:val="TextoNormalCaracter"/>
          </w:rPr>
          <w:t>25/2013</w:t>
        </w:r>
      </w:hyperlink>
      <w:r w:rsidRPr="00234417">
        <w:rPr>
          <w:rStyle w:val="TextoNormalCaracter"/>
        </w:rPr>
        <w:t xml:space="preserve">, ff. 3, 4, 5; </w:t>
      </w:r>
      <w:hyperlink w:anchor="SENTENCIA_2013_33" w:history="1">
        <w:r w:rsidRPr="00234417">
          <w:rPr>
            <w:rStyle w:val="TextoNormalCaracter"/>
          </w:rPr>
          <w:t>33/2013</w:t>
        </w:r>
      </w:hyperlink>
      <w:r w:rsidRPr="00234417">
        <w:rPr>
          <w:rStyle w:val="TextoNormalCaracter"/>
        </w:rPr>
        <w:t xml:space="preserve">, ff. 4, 5, 6; </w:t>
      </w:r>
      <w:hyperlink w:anchor="SENTENCIA_2013_34" w:history="1">
        <w:r w:rsidRPr="00234417">
          <w:rPr>
            <w:rStyle w:val="TextoNormalCaracter"/>
          </w:rPr>
          <w:t>34/2013</w:t>
        </w:r>
      </w:hyperlink>
      <w:r w:rsidRPr="00234417">
        <w:rPr>
          <w:rStyle w:val="TextoNormalCaracter"/>
        </w:rPr>
        <w:t xml:space="preserve">, ff. 2, 3, 4, 5, 6, 7, 8, 9, 10, 11, 12, 13, 14, 17, 18, 19, 20, 21, VP; </w:t>
      </w:r>
      <w:hyperlink w:anchor="SENTENCIA_2013_35" w:history="1">
        <w:r w:rsidRPr="00234417">
          <w:rPr>
            <w:rStyle w:val="TextoNormalCaracter"/>
          </w:rPr>
          <w:t>35/2013</w:t>
        </w:r>
      </w:hyperlink>
      <w:r w:rsidRPr="00234417">
        <w:rPr>
          <w:rStyle w:val="TextoNormalCaracter"/>
        </w:rPr>
        <w:t xml:space="preserve">, ff. 3 a 9; </w:t>
      </w:r>
      <w:hyperlink w:anchor="SENTENCIA_2013_36" w:history="1">
        <w:r w:rsidRPr="00234417">
          <w:rPr>
            <w:rStyle w:val="TextoNormalCaracter"/>
          </w:rPr>
          <w:t>36/2013</w:t>
        </w:r>
      </w:hyperlink>
      <w:r w:rsidRPr="00234417">
        <w:rPr>
          <w:rStyle w:val="TextoNormalCaracter"/>
        </w:rPr>
        <w:t xml:space="preserve">, ff. 2 a 9; </w:t>
      </w:r>
      <w:hyperlink w:anchor="SENTENCIA_2013_37" w:history="1">
        <w:r w:rsidRPr="00234417">
          <w:rPr>
            <w:rStyle w:val="TextoNormalCaracter"/>
          </w:rPr>
          <w:t>37/2013</w:t>
        </w:r>
      </w:hyperlink>
      <w:r w:rsidRPr="00234417">
        <w:rPr>
          <w:rStyle w:val="TextoNormalCaracter"/>
        </w:rPr>
        <w:t xml:space="preserve">, f. 4; </w:t>
      </w:r>
      <w:hyperlink w:anchor="SENTENCIA_2013_38" w:history="1">
        <w:r w:rsidRPr="00234417">
          <w:rPr>
            <w:rStyle w:val="TextoNormalCaracter"/>
          </w:rPr>
          <w:t>38/2013</w:t>
        </w:r>
      </w:hyperlink>
      <w:r w:rsidRPr="00234417">
        <w:rPr>
          <w:rStyle w:val="TextoNormalCaracter"/>
        </w:rPr>
        <w:t xml:space="preserve">, ff. 3 a 5; </w:t>
      </w:r>
      <w:hyperlink w:anchor="SENTENCIA_2013_39" w:history="1">
        <w:r w:rsidRPr="00234417">
          <w:rPr>
            <w:rStyle w:val="TextoNormalCaracter"/>
          </w:rPr>
          <w:t>39/2013</w:t>
        </w:r>
      </w:hyperlink>
      <w:r w:rsidRPr="00234417">
        <w:rPr>
          <w:rStyle w:val="TextoNormalCaracter"/>
        </w:rPr>
        <w:t xml:space="preserve">, ff. 6, 7, 8, 9; </w:t>
      </w:r>
      <w:hyperlink w:anchor="SENTENCIA_2013_40" w:history="1">
        <w:r w:rsidRPr="00234417">
          <w:rPr>
            <w:rStyle w:val="TextoNormalCaracter"/>
          </w:rPr>
          <w:t>40/2013</w:t>
        </w:r>
      </w:hyperlink>
      <w:r w:rsidRPr="00234417">
        <w:rPr>
          <w:rStyle w:val="TextoNormalCaracter"/>
        </w:rPr>
        <w:t xml:space="preserve">, f. 5; </w:t>
      </w:r>
      <w:hyperlink w:anchor="SENTENCIA_2013_46" w:history="1">
        <w:r w:rsidRPr="00234417">
          <w:rPr>
            <w:rStyle w:val="TextoNormalCaracter"/>
          </w:rPr>
          <w:t>46/2013</w:t>
        </w:r>
      </w:hyperlink>
      <w:r w:rsidRPr="00234417">
        <w:rPr>
          <w:rStyle w:val="TextoNormalCaracter"/>
        </w:rPr>
        <w:t xml:space="preserve">, ff. 3, 4; </w:t>
      </w:r>
      <w:hyperlink w:anchor="SENTENCIA_2013_47" w:history="1">
        <w:r w:rsidRPr="00234417">
          <w:rPr>
            <w:rStyle w:val="TextoNormalCaracter"/>
          </w:rPr>
          <w:t>47/2013</w:t>
        </w:r>
      </w:hyperlink>
      <w:r w:rsidRPr="00234417">
        <w:rPr>
          <w:rStyle w:val="TextoNormalCaracter"/>
        </w:rPr>
        <w:t xml:space="preserve">, ff. 3, 4; </w:t>
      </w:r>
      <w:hyperlink w:anchor="SENTENCIA_2013_48" w:history="1">
        <w:r w:rsidRPr="00234417">
          <w:rPr>
            <w:rStyle w:val="TextoNormalCaracter"/>
          </w:rPr>
          <w:t>48/2013</w:t>
        </w:r>
      </w:hyperlink>
      <w:r w:rsidRPr="00234417">
        <w:rPr>
          <w:rStyle w:val="TextoNormalCaracter"/>
        </w:rPr>
        <w:t xml:space="preserve">, ff. 3, 4, 5, 6; </w:t>
      </w:r>
      <w:hyperlink w:anchor="SENTENCIA_2013_49" w:history="1">
        <w:r w:rsidRPr="00234417">
          <w:rPr>
            <w:rStyle w:val="TextoNormalCaracter"/>
          </w:rPr>
          <w:t>49/2013</w:t>
        </w:r>
      </w:hyperlink>
      <w:r w:rsidRPr="00234417">
        <w:rPr>
          <w:rStyle w:val="TextoNormalCaracter"/>
        </w:rPr>
        <w:t xml:space="preserve">, f. 7; </w:t>
      </w:r>
      <w:hyperlink w:anchor="SENTENCIA_2013_50" w:history="1">
        <w:r w:rsidRPr="00234417">
          <w:rPr>
            <w:rStyle w:val="TextoNormalCaracter"/>
          </w:rPr>
          <w:t>50/2013</w:t>
        </w:r>
      </w:hyperlink>
      <w:r w:rsidRPr="00234417">
        <w:rPr>
          <w:rStyle w:val="TextoNormalCaracter"/>
        </w:rPr>
        <w:t xml:space="preserve">, ff. 3, 4; </w:t>
      </w:r>
      <w:hyperlink w:anchor="SENTENCIA_2013_52" w:history="1">
        <w:r w:rsidRPr="00234417">
          <w:rPr>
            <w:rStyle w:val="TextoNormalCaracter"/>
          </w:rPr>
          <w:t>52/2013</w:t>
        </w:r>
      </w:hyperlink>
      <w:r w:rsidRPr="00234417">
        <w:rPr>
          <w:rStyle w:val="TextoNormalCaracter"/>
        </w:rPr>
        <w:t xml:space="preserve">, f. 5; </w:t>
      </w:r>
      <w:hyperlink w:anchor="SENTENCIA_2013_59" w:history="1">
        <w:r w:rsidRPr="00234417">
          <w:rPr>
            <w:rStyle w:val="TextoNormalCaracter"/>
          </w:rPr>
          <w:t>59/2013</w:t>
        </w:r>
      </w:hyperlink>
      <w:r w:rsidRPr="00234417">
        <w:rPr>
          <w:rStyle w:val="TextoNormalCaracter"/>
        </w:rPr>
        <w:t xml:space="preserve">, ff. 3, 4; </w:t>
      </w:r>
      <w:hyperlink w:anchor="SENTENCIA_2013_62" w:history="1">
        <w:r w:rsidRPr="00234417">
          <w:rPr>
            <w:rStyle w:val="TextoNormalCaracter"/>
          </w:rPr>
          <w:t>62/2013</w:t>
        </w:r>
      </w:hyperlink>
      <w:r w:rsidRPr="00234417">
        <w:rPr>
          <w:rStyle w:val="TextoNormalCaracter"/>
        </w:rPr>
        <w:t xml:space="preserve">, f. 3; </w:t>
      </w:r>
      <w:hyperlink w:anchor="SENTENCIA_2013_63" w:history="1">
        <w:r w:rsidRPr="00234417">
          <w:rPr>
            <w:rStyle w:val="TextoNormalCaracter"/>
          </w:rPr>
          <w:t>63/2013</w:t>
        </w:r>
      </w:hyperlink>
      <w:r w:rsidRPr="00234417">
        <w:rPr>
          <w:rStyle w:val="TextoNormalCaracter"/>
        </w:rPr>
        <w:t xml:space="preserve">, ff. 2, 3; </w:t>
      </w:r>
      <w:hyperlink w:anchor="SENTENCIA_2013_65" w:history="1">
        <w:r w:rsidRPr="00234417">
          <w:rPr>
            <w:rStyle w:val="TextoNormalCaracter"/>
          </w:rPr>
          <w:t>65/2013</w:t>
        </w:r>
      </w:hyperlink>
      <w:r w:rsidRPr="00234417">
        <w:rPr>
          <w:rStyle w:val="TextoNormalCaracter"/>
        </w:rPr>
        <w:t xml:space="preserve">, f. 3; </w:t>
      </w:r>
      <w:hyperlink w:anchor="SENTENCIA_2013_66" w:history="1">
        <w:r w:rsidRPr="00234417">
          <w:rPr>
            <w:rStyle w:val="TextoNormalCaracter"/>
          </w:rPr>
          <w:t>66/2013</w:t>
        </w:r>
      </w:hyperlink>
      <w:r w:rsidRPr="00234417">
        <w:rPr>
          <w:rStyle w:val="TextoNormalCaracter"/>
        </w:rPr>
        <w:t xml:space="preserve">, ff. 3, 4;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xml:space="preserve">, f. 4; </w:t>
      </w:r>
      <w:hyperlink w:anchor="SENTENCIA_2013_69" w:history="1">
        <w:r w:rsidRPr="00234417">
          <w:rPr>
            <w:rStyle w:val="TextoNormalCaracter"/>
          </w:rPr>
          <w:t>69/2013</w:t>
        </w:r>
      </w:hyperlink>
      <w:r w:rsidRPr="00234417">
        <w:rPr>
          <w:rStyle w:val="TextoNormalCaracter"/>
        </w:rPr>
        <w:t xml:space="preserve">, ff. 1, 2, 5, 6, 7; </w:t>
      </w:r>
      <w:hyperlink w:anchor="SENTENCIA_2013_70" w:history="1">
        <w:r w:rsidRPr="00234417">
          <w:rPr>
            <w:rStyle w:val="TextoNormalCaracter"/>
          </w:rPr>
          <w:t>70/2013</w:t>
        </w:r>
      </w:hyperlink>
      <w:r w:rsidRPr="00234417">
        <w:rPr>
          <w:rStyle w:val="TextoNormalCaracter"/>
        </w:rPr>
        <w:t xml:space="preserve">, f. 4; </w:t>
      </w:r>
      <w:hyperlink w:anchor="SENTENCIA_2013_81" w:history="1">
        <w:r w:rsidRPr="00234417">
          <w:rPr>
            <w:rStyle w:val="TextoNormalCaracter"/>
          </w:rPr>
          <w:t>81/2013</w:t>
        </w:r>
      </w:hyperlink>
      <w:r w:rsidRPr="00234417">
        <w:rPr>
          <w:rStyle w:val="TextoNormalCaracter"/>
        </w:rPr>
        <w:t xml:space="preserve">, f. 4; </w:t>
      </w:r>
      <w:hyperlink w:anchor="SENTENCIA_2013_82" w:history="1">
        <w:r w:rsidRPr="00234417">
          <w:rPr>
            <w:rStyle w:val="TextoNormalCaracter"/>
          </w:rPr>
          <w:t>82/2013</w:t>
        </w:r>
      </w:hyperlink>
      <w:r w:rsidRPr="00234417">
        <w:rPr>
          <w:rStyle w:val="TextoNormalCaracter"/>
        </w:rPr>
        <w:t xml:space="preserve">, ff. 3, 4; </w:t>
      </w:r>
      <w:hyperlink w:anchor="SENTENCIA_2013_84" w:history="1">
        <w:r w:rsidRPr="00234417">
          <w:rPr>
            <w:rStyle w:val="TextoNormalCaracter"/>
          </w:rPr>
          <w:t>84/2013</w:t>
        </w:r>
      </w:hyperlink>
      <w:r w:rsidRPr="00234417">
        <w:rPr>
          <w:rStyle w:val="TextoNormalCaracter"/>
        </w:rPr>
        <w:t xml:space="preserve">, ff. 2, 4; </w:t>
      </w:r>
      <w:hyperlink w:anchor="SENTENCIA_2013_87" w:history="1">
        <w:r w:rsidRPr="00234417">
          <w:rPr>
            <w:rStyle w:val="TextoNormalCaracter"/>
          </w:rPr>
          <w:t>87/2013</w:t>
        </w:r>
      </w:hyperlink>
      <w:r w:rsidRPr="00234417">
        <w:rPr>
          <w:rStyle w:val="TextoNormalCaracter"/>
        </w:rPr>
        <w:t xml:space="preserve">, ff. 4 a 6; </w:t>
      </w:r>
      <w:hyperlink w:anchor="SENTENCIA_2013_89" w:history="1">
        <w:r w:rsidRPr="00234417">
          <w:rPr>
            <w:rStyle w:val="TextoNormalCaracter"/>
          </w:rPr>
          <w:t>89/2013</w:t>
        </w:r>
      </w:hyperlink>
      <w:r w:rsidRPr="00234417">
        <w:rPr>
          <w:rStyle w:val="TextoNormalCaracter"/>
        </w:rPr>
        <w:t xml:space="preserve">, ff. 2 a 4; </w:t>
      </w:r>
      <w:hyperlink w:anchor="SENTENCIA_2013_92" w:history="1">
        <w:r w:rsidRPr="00234417">
          <w:rPr>
            <w:rStyle w:val="TextoNormalCaracter"/>
          </w:rPr>
          <w:t>92/2013</w:t>
        </w:r>
      </w:hyperlink>
      <w:r w:rsidRPr="00234417">
        <w:rPr>
          <w:rStyle w:val="TextoNormalCaracter"/>
        </w:rPr>
        <w:t xml:space="preserve">, ff. 4 a 6; </w:t>
      </w:r>
      <w:hyperlink w:anchor="SENTENCIA_2013_93" w:history="1">
        <w:r w:rsidRPr="00234417">
          <w:rPr>
            <w:rStyle w:val="TextoNormalCaracter"/>
          </w:rPr>
          <w:t>93/2013</w:t>
        </w:r>
      </w:hyperlink>
      <w:r w:rsidRPr="00234417">
        <w:rPr>
          <w:rStyle w:val="TextoNormalCaracter"/>
        </w:rPr>
        <w:t xml:space="preserve">, ff. 5, 6, 13, VP I; </w:t>
      </w:r>
      <w:hyperlink w:anchor="SENTENCIA_2013_94" w:history="1">
        <w:r w:rsidRPr="00234417">
          <w:rPr>
            <w:rStyle w:val="TextoNormalCaracter"/>
          </w:rPr>
          <w:t>94/2013</w:t>
        </w:r>
      </w:hyperlink>
      <w:r w:rsidRPr="00234417">
        <w:rPr>
          <w:rStyle w:val="TextoNormalCaracter"/>
        </w:rPr>
        <w:t xml:space="preserve">, ff. 3, 4, 5, 6, 7, 8, 9, VP I, VP II; </w:t>
      </w:r>
      <w:hyperlink w:anchor="SENTENCIA_2013_95" w:history="1">
        <w:r w:rsidRPr="00234417">
          <w:rPr>
            <w:rStyle w:val="TextoNormalCaracter"/>
          </w:rPr>
          <w:t>95/2013</w:t>
        </w:r>
      </w:hyperlink>
      <w:r w:rsidRPr="00234417">
        <w:rPr>
          <w:rStyle w:val="TextoNormalCaracter"/>
        </w:rPr>
        <w:t xml:space="preserve">, ff. 1, 3 a 5; </w:t>
      </w:r>
      <w:hyperlink w:anchor="SENTENCIA_2013_97" w:history="1">
        <w:r w:rsidRPr="00234417">
          <w:rPr>
            <w:rStyle w:val="TextoNormalCaracter"/>
          </w:rPr>
          <w:t>97/2013</w:t>
        </w:r>
      </w:hyperlink>
      <w:r w:rsidRPr="00234417">
        <w:rPr>
          <w:rStyle w:val="TextoNormalCaracter"/>
        </w:rPr>
        <w:t xml:space="preserve">, ff. 3, 4, 5, 6; </w:t>
      </w:r>
      <w:hyperlink w:anchor="SENTENCIA_2013_98" w:history="1">
        <w:r w:rsidRPr="00234417">
          <w:rPr>
            <w:rStyle w:val="TextoNormalCaracter"/>
          </w:rPr>
          <w:t>98/2013</w:t>
        </w:r>
      </w:hyperlink>
      <w:r w:rsidRPr="00234417">
        <w:rPr>
          <w:rStyle w:val="TextoNormalCaracter"/>
        </w:rPr>
        <w:t xml:space="preserve">, ff. 2, 3, 4; </w:t>
      </w:r>
      <w:hyperlink w:anchor="SENTENCIA_2013_99" w:history="1">
        <w:r w:rsidRPr="00234417">
          <w:rPr>
            <w:rStyle w:val="TextoNormalCaracter"/>
          </w:rPr>
          <w:t>99/2013</w:t>
        </w:r>
      </w:hyperlink>
      <w:r w:rsidRPr="00234417">
        <w:rPr>
          <w:rStyle w:val="TextoNormalCaracter"/>
        </w:rPr>
        <w:t xml:space="preserve">, f. 8; </w:t>
      </w:r>
      <w:hyperlink w:anchor="SENTENCIA_2013_102" w:history="1">
        <w:r w:rsidRPr="00234417">
          <w:rPr>
            <w:rStyle w:val="TextoNormalCaracter"/>
          </w:rPr>
          <w:t>102/2013</w:t>
        </w:r>
      </w:hyperlink>
      <w:r w:rsidRPr="00234417">
        <w:rPr>
          <w:rStyle w:val="TextoNormalCaracter"/>
        </w:rPr>
        <w:t xml:space="preserve">, ff. 3, 4, 5, 6, 8, 9, 10, 11, 12; </w:t>
      </w:r>
      <w:hyperlink w:anchor="SENTENCIA_2013_103" w:history="1">
        <w:r w:rsidRPr="00234417">
          <w:rPr>
            <w:rStyle w:val="TextoNormalCaracter"/>
          </w:rPr>
          <w:t>103/2013</w:t>
        </w:r>
      </w:hyperlink>
      <w:r w:rsidRPr="00234417">
        <w:rPr>
          <w:rStyle w:val="TextoNormalCaracter"/>
        </w:rPr>
        <w:t xml:space="preserve">, f. 4; </w:t>
      </w:r>
      <w:hyperlink w:anchor="SENTENCIA_2013_104" w:history="1">
        <w:r w:rsidRPr="00234417">
          <w:rPr>
            <w:rStyle w:val="TextoNormalCaracter"/>
          </w:rPr>
          <w:t>104/2013</w:t>
        </w:r>
      </w:hyperlink>
      <w:r w:rsidRPr="00234417">
        <w:rPr>
          <w:rStyle w:val="TextoNormalCaracter"/>
        </w:rPr>
        <w:t xml:space="preserve">, ff. 4, 5, 6, 7, 9, 10; </w:t>
      </w:r>
      <w:hyperlink w:anchor="SENTENCIA_2013_111" w:history="1">
        <w:r w:rsidRPr="00234417">
          <w:rPr>
            <w:rStyle w:val="TextoNormalCaracter"/>
          </w:rPr>
          <w:t>111/2013</w:t>
        </w:r>
      </w:hyperlink>
      <w:r w:rsidRPr="00234417">
        <w:rPr>
          <w:rStyle w:val="TextoNormalCaracter"/>
        </w:rPr>
        <w:t xml:space="preserve">, ff. 2, 3, 4, 5; </w:t>
      </w:r>
      <w:hyperlink w:anchor="SENTENCIA_2013_112" w:history="1">
        <w:r w:rsidRPr="00234417">
          <w:rPr>
            <w:rStyle w:val="TextoNormalCaracter"/>
          </w:rPr>
          <w:t>112/2013</w:t>
        </w:r>
      </w:hyperlink>
      <w:r w:rsidRPr="00234417">
        <w:rPr>
          <w:rStyle w:val="TextoNormalCaracter"/>
        </w:rPr>
        <w:t xml:space="preserve">, ff. 3, 4; </w:t>
      </w:r>
      <w:hyperlink w:anchor="SENTENCIA_2013_113" w:history="1">
        <w:r w:rsidRPr="00234417">
          <w:rPr>
            <w:rStyle w:val="TextoNormalCaracter"/>
          </w:rPr>
          <w:t>113/2013</w:t>
        </w:r>
      </w:hyperlink>
      <w:r w:rsidRPr="00234417">
        <w:rPr>
          <w:rStyle w:val="TextoNormalCaracter"/>
        </w:rPr>
        <w:t xml:space="preserve">, f. 4; </w:t>
      </w:r>
      <w:hyperlink w:anchor="SENTENCIA_2013_114" w:history="1">
        <w:r w:rsidRPr="00234417">
          <w:rPr>
            <w:rStyle w:val="TextoNormalCaracter"/>
          </w:rPr>
          <w:t>114/2013</w:t>
        </w:r>
      </w:hyperlink>
      <w:r w:rsidRPr="00234417">
        <w:rPr>
          <w:rStyle w:val="TextoNormalCaracter"/>
        </w:rPr>
        <w:t xml:space="preserve">, f. 4; </w:t>
      </w:r>
      <w:hyperlink w:anchor="SENTENCIA_2013_123" w:history="1">
        <w:r w:rsidRPr="00234417">
          <w:rPr>
            <w:rStyle w:val="TextoNormalCaracter"/>
          </w:rPr>
          <w:t>123/2013</w:t>
        </w:r>
      </w:hyperlink>
      <w:r w:rsidRPr="00234417">
        <w:rPr>
          <w:rStyle w:val="TextoNormalCaracter"/>
        </w:rPr>
        <w:t xml:space="preserve">, ff. 4, 5, 6, 7, 8, 9; </w:t>
      </w:r>
      <w:hyperlink w:anchor="SENTENCIA_2013_124" w:history="1">
        <w:r w:rsidRPr="00234417">
          <w:rPr>
            <w:rStyle w:val="TextoNormalCaracter"/>
          </w:rPr>
          <w:t>124/2013</w:t>
        </w:r>
      </w:hyperlink>
      <w:r w:rsidRPr="00234417">
        <w:rPr>
          <w:rStyle w:val="TextoNormalCaracter"/>
        </w:rPr>
        <w:t xml:space="preserve">, ff. 1 a 5; </w:t>
      </w:r>
      <w:hyperlink w:anchor="SENTENCIA_2013_130" w:history="1">
        <w:r w:rsidRPr="00234417">
          <w:rPr>
            <w:rStyle w:val="TextoNormalCaracter"/>
          </w:rPr>
          <w:t>130/2013</w:t>
        </w:r>
      </w:hyperlink>
      <w:r w:rsidRPr="00234417">
        <w:rPr>
          <w:rStyle w:val="TextoNormalCaracter"/>
        </w:rPr>
        <w:t xml:space="preserve">, ff. 3, 4, 5, 6, 7, 8, 9, 10, 11, 12, 13, 14, VP; </w:t>
      </w:r>
      <w:hyperlink w:anchor="SENTENCIA_2013_135" w:history="1">
        <w:r w:rsidRPr="00234417">
          <w:rPr>
            <w:rStyle w:val="TextoNormalCaracter"/>
          </w:rPr>
          <w:t>135/2013</w:t>
        </w:r>
      </w:hyperlink>
      <w:r w:rsidRPr="00234417">
        <w:rPr>
          <w:rStyle w:val="TextoNormalCaracter"/>
        </w:rPr>
        <w:t xml:space="preserve">, ff. 3, 4, 6; </w:t>
      </w:r>
      <w:hyperlink w:anchor="SENTENCIA_2013_136" w:history="1">
        <w:r w:rsidRPr="00234417">
          <w:rPr>
            <w:rStyle w:val="TextoNormalCaracter"/>
          </w:rPr>
          <w:t>136/2013</w:t>
        </w:r>
      </w:hyperlink>
      <w:r w:rsidRPr="00234417">
        <w:rPr>
          <w:rStyle w:val="TextoNormalCaracter"/>
        </w:rPr>
        <w:t xml:space="preserve">, ff. 3 a 5; </w:t>
      </w:r>
      <w:hyperlink w:anchor="SENTENCIA_2013_137" w:history="1">
        <w:r w:rsidRPr="00234417">
          <w:rPr>
            <w:rStyle w:val="TextoNormalCaracter"/>
          </w:rPr>
          <w:t>137/2013</w:t>
        </w:r>
      </w:hyperlink>
      <w:r w:rsidRPr="00234417">
        <w:rPr>
          <w:rStyle w:val="TextoNormalCaracter"/>
        </w:rPr>
        <w:t xml:space="preserve">, f. 5; </w:t>
      </w:r>
      <w:hyperlink w:anchor="SENTENCIA_2013_138" w:history="1">
        <w:r w:rsidRPr="00234417">
          <w:rPr>
            <w:rStyle w:val="TextoNormalCaracter"/>
          </w:rPr>
          <w:t>138/2013</w:t>
        </w:r>
      </w:hyperlink>
      <w:r w:rsidRPr="00234417">
        <w:rPr>
          <w:rStyle w:val="TextoNormalCaracter"/>
        </w:rPr>
        <w:t>, ff. 4, 8, 9, 10, 11.</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85" w:history="1">
        <w:r w:rsidRPr="00234417">
          <w:rPr>
            <w:rStyle w:val="TextoNormalCaracter"/>
          </w:rPr>
          <w:t>85/2013</w:t>
        </w:r>
      </w:hyperlink>
      <w:r w:rsidRPr="00234417">
        <w:rPr>
          <w:rStyle w:val="TextoNormalCaracter"/>
        </w:rPr>
        <w:t xml:space="preserve">, ff. 2, 3, 4, 5, 6, 7; </w:t>
      </w:r>
      <w:hyperlink w:anchor="AUTO_2013_125" w:history="1">
        <w:r w:rsidRPr="00234417">
          <w:rPr>
            <w:rStyle w:val="TextoNormalCaracter"/>
          </w:rPr>
          <w:t>125/2013</w:t>
        </w:r>
      </w:hyperlink>
      <w:r w:rsidRPr="00234417">
        <w:rPr>
          <w:rStyle w:val="TextoNormalCaracter"/>
        </w:rPr>
        <w:t xml:space="preserve">, ff. 2, 3; </w:t>
      </w:r>
      <w:hyperlink w:anchor="AUTO_2013_127" w:history="1">
        <w:r w:rsidRPr="00234417">
          <w:rPr>
            <w:rStyle w:val="TextoNormalCaracter"/>
          </w:rPr>
          <w:t>127/2013</w:t>
        </w:r>
      </w:hyperlink>
      <w:r w:rsidRPr="00234417">
        <w:rPr>
          <w:rStyle w:val="TextoNormalCaracter"/>
        </w:rPr>
        <w:t xml:space="preserve">, ff. 2, 3; </w:t>
      </w:r>
      <w:hyperlink w:anchor="AUTO_2013_128" w:history="1">
        <w:r w:rsidRPr="00234417">
          <w:rPr>
            <w:rStyle w:val="TextoNormalCaracter"/>
          </w:rPr>
          <w:t>128/2013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385" w:name="DESCRIPTORALFABETICO219"/>
      <w:r w:rsidRPr="00234417">
        <w:rPr>
          <w:rStyle w:val="TextoNormalNegritaCaracter"/>
        </w:rPr>
        <w:t>Competencias del Tribunal Constitucional</w:t>
      </w:r>
      <w:bookmarkEnd w:id="1385"/>
      <w:r w:rsidRPr="00234417">
        <w:rPr>
          <w:rStyle w:val="TextoNormalCaracter"/>
        </w:rPr>
        <w:t xml:space="preserve">, Sentencia </w:t>
      </w:r>
      <w:hyperlink w:anchor="SENTENCIA_2013_39" w:history="1">
        <w:r w:rsidRPr="00234417">
          <w:rPr>
            <w:rStyle w:val="TextoNormalCaracter"/>
          </w:rPr>
          <w:t>39/2013</w:t>
        </w:r>
      </w:hyperlink>
      <w:r w:rsidRPr="00234417">
        <w:rPr>
          <w:rStyle w:val="TextoNormalCaracter"/>
        </w:rPr>
        <w:t>, ff. 3, 5.</w:t>
      </w:r>
    </w:p>
    <w:p w:rsidR="00234417" w:rsidRPr="00234417" w:rsidRDefault="00234417" w:rsidP="00234417">
      <w:pPr>
        <w:pStyle w:val="TextoNormalSangraFrancesa"/>
        <w:rPr>
          <w:rStyle w:val="TextoNormalCaracter"/>
        </w:rPr>
      </w:pPr>
      <w:bookmarkStart w:id="1386" w:name="DESCRIPTORALFABETICO12"/>
      <w:r w:rsidRPr="00234417">
        <w:rPr>
          <w:rStyle w:val="TextoNormalNegritaCaracter"/>
        </w:rPr>
        <w:t>Competencias delimitadas por la legislación básica</w:t>
      </w:r>
      <w:bookmarkEnd w:id="1386"/>
      <w:r w:rsidRPr="00234417">
        <w:rPr>
          <w:rStyle w:val="TextoNormalCaracter"/>
        </w:rPr>
        <w:t xml:space="preserve">, Sentencias </w:t>
      </w:r>
      <w:hyperlink w:anchor="SENTENCIA_2013_69" w:history="1">
        <w:r w:rsidRPr="00234417">
          <w:rPr>
            <w:rStyle w:val="TextoNormalCaracter"/>
          </w:rPr>
          <w:t>69/2013</w:t>
        </w:r>
      </w:hyperlink>
      <w:r w:rsidRPr="00234417">
        <w:rPr>
          <w:rStyle w:val="TextoNormalCaracter"/>
        </w:rPr>
        <w:t xml:space="preserve">, f. 5; </w:t>
      </w:r>
      <w:hyperlink w:anchor="SENTENCIA_2013_80" w:history="1">
        <w:r w:rsidRPr="00234417">
          <w:rPr>
            <w:rStyle w:val="TextoNormalCaracter"/>
          </w:rPr>
          <w:t>80/2013</w:t>
        </w:r>
      </w:hyperlink>
      <w:r w:rsidRPr="00234417">
        <w:rPr>
          <w:rStyle w:val="TextoNormalCaracter"/>
        </w:rPr>
        <w:t xml:space="preserve">, f. 2; </w:t>
      </w:r>
      <w:hyperlink w:anchor="SENTENCIA_2013_114" w:history="1">
        <w:r w:rsidRPr="00234417">
          <w:rPr>
            <w:rStyle w:val="TextoNormalCaracter"/>
          </w:rPr>
          <w:t>114/2013</w:t>
        </w:r>
      </w:hyperlink>
      <w:r w:rsidRPr="00234417">
        <w:rPr>
          <w:rStyle w:val="TextoNormalCaracter"/>
        </w:rPr>
        <w:t xml:space="preserve">, f. 4; </w:t>
      </w:r>
      <w:hyperlink w:anchor="SENTENCIA_2013_138" w:history="1">
        <w:r w:rsidRPr="00234417">
          <w:rPr>
            <w:rStyle w:val="TextoNormalCaracter"/>
          </w:rPr>
          <w:t>138/2013</w:t>
        </w:r>
      </w:hyperlink>
      <w:r w:rsidRPr="00234417">
        <w:rPr>
          <w:rStyle w:val="TextoNormalCaracter"/>
        </w:rPr>
        <w:t>, ff. 3 a 10.</w:t>
      </w:r>
    </w:p>
    <w:p w:rsidR="00234417" w:rsidRPr="00234417" w:rsidRDefault="00234417" w:rsidP="00234417">
      <w:pPr>
        <w:pStyle w:val="TextoNormalSangraFrancesa"/>
        <w:rPr>
          <w:rStyle w:val="TextoNormalCaracter"/>
        </w:rPr>
      </w:pPr>
      <w:bookmarkStart w:id="1387" w:name="DESCRIPTORALFABETICO34"/>
      <w:r w:rsidRPr="00234417">
        <w:rPr>
          <w:rStyle w:val="TextoNormalNegritaCaracter"/>
        </w:rPr>
        <w:t>Competencias en materia de acceso a la función pública</w:t>
      </w:r>
      <w:bookmarkEnd w:id="1387"/>
      <w:r w:rsidRPr="00234417">
        <w:rPr>
          <w:rStyle w:val="TextoNormalCaracter"/>
        </w:rPr>
        <w:t xml:space="preserve">, Auto </w:t>
      </w:r>
      <w:hyperlink w:anchor="AUTO_2013_85" w:history="1">
        <w:r w:rsidRPr="00234417">
          <w:rPr>
            <w:rStyle w:val="TextoNormalCaracter"/>
          </w:rPr>
          <w:t>85/2013</w:t>
        </w:r>
      </w:hyperlink>
      <w:r w:rsidRPr="00234417">
        <w:rPr>
          <w:rStyle w:val="TextoNormalCaracter"/>
        </w:rPr>
        <w:t>, ff. 2 a 6.</w:t>
      </w:r>
    </w:p>
    <w:p w:rsidR="00234417" w:rsidRPr="00234417" w:rsidRDefault="00234417" w:rsidP="00234417">
      <w:pPr>
        <w:pStyle w:val="TextoNormalSangraFrancesa"/>
        <w:rPr>
          <w:rStyle w:val="TextoNormalCaracter"/>
        </w:rPr>
      </w:pPr>
      <w:bookmarkStart w:id="1388" w:name="DESCRIPTORALFABETICO35"/>
      <w:r w:rsidRPr="00234417">
        <w:rPr>
          <w:rStyle w:val="TextoNormalNegritaCaracter"/>
        </w:rPr>
        <w:t>Competencias en materia de Administración de justicia</w:t>
      </w:r>
      <w:bookmarkEnd w:id="1388"/>
      <w:r w:rsidRPr="00234417">
        <w:rPr>
          <w:rStyle w:val="TextoNormalCaracter"/>
        </w:rPr>
        <w:t xml:space="preserve">, Sentencia </w:t>
      </w:r>
      <w:hyperlink w:anchor="SENTENCIA_2013_18" w:history="1">
        <w:r w:rsidRPr="00234417">
          <w:rPr>
            <w:rStyle w:val="TextoNormalCaracter"/>
          </w:rPr>
          <w:t>18/2013</w:t>
        </w:r>
      </w:hyperlink>
      <w:r w:rsidRPr="00234417">
        <w:rPr>
          <w:rStyle w:val="TextoNormalCaracter"/>
        </w:rPr>
        <w:t>, ff. 5, 6.</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122" w:history="1">
        <w:r w:rsidRPr="00234417">
          <w:rPr>
            <w:rStyle w:val="TextoNormalCaracter"/>
          </w:rPr>
          <w:t>122/2013</w:t>
        </w:r>
      </w:hyperlink>
      <w:r w:rsidRPr="00234417">
        <w:rPr>
          <w:rStyle w:val="TextoNormalCaracter"/>
        </w:rPr>
        <w:t>, f. 4.</w:t>
      </w:r>
    </w:p>
    <w:p w:rsidR="00234417" w:rsidRPr="00234417" w:rsidRDefault="00234417" w:rsidP="00234417">
      <w:pPr>
        <w:pStyle w:val="TextoNormalSangraFrancesa"/>
        <w:rPr>
          <w:rStyle w:val="TextoNormalCaracter"/>
        </w:rPr>
      </w:pPr>
      <w:bookmarkStart w:id="1389" w:name="DESCRIPTORALFABETICO36"/>
      <w:r w:rsidRPr="00234417">
        <w:rPr>
          <w:rStyle w:val="TextoNormalNegritaCaracter"/>
        </w:rPr>
        <w:t>Competencias en materia de aeropuertos</w:t>
      </w:r>
      <w:bookmarkEnd w:id="1389"/>
      <w:r w:rsidRPr="00234417">
        <w:rPr>
          <w:rStyle w:val="TextoNormalCaracter"/>
        </w:rPr>
        <w:t xml:space="preserve">, Sentencias </w:t>
      </w:r>
      <w:hyperlink w:anchor="SENTENCIA_2013_5" w:history="1">
        <w:r w:rsidRPr="00234417">
          <w:rPr>
            <w:rStyle w:val="TextoNormalCaracter"/>
          </w:rPr>
          <w:t>5/2013</w:t>
        </w:r>
      </w:hyperlink>
      <w:r w:rsidRPr="00234417">
        <w:rPr>
          <w:rStyle w:val="TextoNormalCaracter"/>
        </w:rPr>
        <w:t xml:space="preserve">, f. 3; </w:t>
      </w:r>
      <w:hyperlink w:anchor="SENTENCIA_2013_124" w:history="1">
        <w:r w:rsidRPr="00234417">
          <w:rPr>
            <w:rStyle w:val="TextoNormalCaracter"/>
          </w:rPr>
          <w:t>124/2013</w:t>
        </w:r>
      </w:hyperlink>
      <w:r w:rsidRPr="00234417">
        <w:rPr>
          <w:rStyle w:val="TextoNormalCaracter"/>
        </w:rPr>
        <w:t>, ff. 1, 2, 3, 4, 5.</w:t>
      </w:r>
    </w:p>
    <w:p w:rsidR="00234417" w:rsidRPr="00234417" w:rsidRDefault="00234417" w:rsidP="00234417">
      <w:pPr>
        <w:pStyle w:val="TextoNormalSangraFrancesa"/>
        <w:rPr>
          <w:rStyle w:val="TextoNormalCaracter"/>
        </w:rPr>
      </w:pPr>
      <w:bookmarkStart w:id="1390" w:name="DESCRIPTORALFABETICO37"/>
      <w:r w:rsidRPr="00234417">
        <w:rPr>
          <w:rStyle w:val="TextoNormalNegritaCaracter"/>
        </w:rPr>
        <w:t>Competencias en materia de agricultura</w:t>
      </w:r>
      <w:bookmarkEnd w:id="1390"/>
      <w:r w:rsidRPr="00234417">
        <w:rPr>
          <w:rStyle w:val="TextoNormalCaracter"/>
        </w:rPr>
        <w:t xml:space="preserve">, Sentencias </w:t>
      </w:r>
      <w:hyperlink w:anchor="SENTENCIA_2013_27" w:history="1">
        <w:r w:rsidRPr="00234417">
          <w:rPr>
            <w:rStyle w:val="TextoNormalCaracter"/>
          </w:rPr>
          <w:t>27/2013</w:t>
        </w:r>
      </w:hyperlink>
      <w:r w:rsidRPr="00234417">
        <w:rPr>
          <w:rStyle w:val="TextoNormalCaracter"/>
        </w:rPr>
        <w:t xml:space="preserve">, f. 4; </w:t>
      </w:r>
      <w:hyperlink w:anchor="SENTENCIA_2013_34" w:history="1">
        <w:r w:rsidRPr="00234417">
          <w:rPr>
            <w:rStyle w:val="TextoNormalCaracter"/>
          </w:rPr>
          <w:t>34/2013</w:t>
        </w:r>
      </w:hyperlink>
      <w:r w:rsidRPr="00234417">
        <w:rPr>
          <w:rStyle w:val="TextoNormalCaracter"/>
        </w:rPr>
        <w:t xml:space="preserve">, f. 2; </w:t>
      </w:r>
      <w:hyperlink w:anchor="SENTENCIA_2013_104" w:history="1">
        <w:r w:rsidRPr="00234417">
          <w:rPr>
            <w:rStyle w:val="TextoNormalCaracter"/>
          </w:rPr>
          <w:t>104/2013</w:t>
        </w:r>
      </w:hyperlink>
      <w:r w:rsidRPr="00234417">
        <w:rPr>
          <w:rStyle w:val="TextoNormalCaracter"/>
        </w:rPr>
        <w:t>, f. 5.</w:t>
      </w:r>
    </w:p>
    <w:p w:rsidR="00234417" w:rsidRPr="00234417" w:rsidRDefault="00234417" w:rsidP="00234417">
      <w:pPr>
        <w:pStyle w:val="TextoNormalSangraFrancesa"/>
        <w:rPr>
          <w:rStyle w:val="TextoNormalCaracter"/>
        </w:rPr>
      </w:pPr>
      <w:bookmarkStart w:id="1391" w:name="DESCRIPTORALFABETICO38"/>
      <w:r w:rsidRPr="00234417">
        <w:rPr>
          <w:rStyle w:val="TextoNormalNegritaCaracter"/>
        </w:rPr>
        <w:t>Competencias en materia de aguas</w:t>
      </w:r>
      <w:bookmarkEnd w:id="1391"/>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ff. 1 a 4; </w:t>
      </w:r>
      <w:hyperlink w:anchor="SENTENCIA_2013_36" w:history="1">
        <w:r w:rsidRPr="00234417">
          <w:rPr>
            <w:rStyle w:val="TextoNormalCaracter"/>
          </w:rPr>
          <w:t>36/2013</w:t>
        </w:r>
      </w:hyperlink>
      <w:r w:rsidRPr="00234417">
        <w:rPr>
          <w:rStyle w:val="TextoNormalCaracter"/>
        </w:rPr>
        <w:t xml:space="preserve">, ff. 2 a 9; </w:t>
      </w:r>
      <w:hyperlink w:anchor="SENTENCIA_2013_59" w:history="1">
        <w:r w:rsidRPr="00234417">
          <w:rPr>
            <w:rStyle w:val="TextoNormalCaracter"/>
          </w:rPr>
          <w:t>59/2013</w:t>
        </w:r>
      </w:hyperlink>
      <w:r w:rsidRPr="00234417">
        <w:rPr>
          <w:rStyle w:val="TextoNormalCaracter"/>
        </w:rPr>
        <w:t xml:space="preserve">, f. 4; </w:t>
      </w:r>
      <w:hyperlink w:anchor="SENTENCIA_2013_85" w:history="1">
        <w:r w:rsidRPr="00234417">
          <w:rPr>
            <w:rStyle w:val="TextoNormalCaracter"/>
          </w:rPr>
          <w:t>85/2013</w:t>
        </w:r>
      </w:hyperlink>
      <w:r w:rsidRPr="00234417">
        <w:rPr>
          <w:rStyle w:val="TextoNormalCaracter"/>
        </w:rPr>
        <w:t xml:space="preserve">, f. 5; </w:t>
      </w:r>
      <w:hyperlink w:anchor="SENTENCIA_2013_87" w:history="1">
        <w:r w:rsidRPr="00234417">
          <w:rPr>
            <w:rStyle w:val="TextoNormalCaracter"/>
          </w:rPr>
          <w:t>87/2013</w:t>
        </w:r>
      </w:hyperlink>
      <w:r w:rsidRPr="00234417">
        <w:rPr>
          <w:rStyle w:val="TextoNormalCaracter"/>
        </w:rPr>
        <w:t xml:space="preserve">, ff. 4 a 6; </w:t>
      </w:r>
      <w:hyperlink w:anchor="SENTENCIA_2013_104" w:history="1">
        <w:r w:rsidRPr="00234417">
          <w:rPr>
            <w:rStyle w:val="TextoNormalCaracter"/>
          </w:rPr>
          <w:t>104/2013</w:t>
        </w:r>
      </w:hyperlink>
      <w:r w:rsidRPr="00234417">
        <w:rPr>
          <w:rStyle w:val="TextoNormalCaracter"/>
        </w:rPr>
        <w:t xml:space="preserve">, ff. 6, 9, 10; </w:t>
      </w:r>
      <w:hyperlink w:anchor="SENTENCIA_2013_111" w:history="1">
        <w:r w:rsidRPr="00234417">
          <w:rPr>
            <w:rStyle w:val="TextoNormalCaracter"/>
          </w:rPr>
          <w:t>111/2013</w:t>
        </w:r>
      </w:hyperlink>
      <w:r w:rsidRPr="00234417">
        <w:rPr>
          <w:rStyle w:val="TextoNormalCaracter"/>
        </w:rPr>
        <w:t>, ff. 3, 5.</w:t>
      </w:r>
    </w:p>
    <w:p w:rsidR="00234417" w:rsidRPr="00234417" w:rsidRDefault="00234417" w:rsidP="00234417">
      <w:pPr>
        <w:pStyle w:val="TextoNormalSangraFrancesa"/>
        <w:rPr>
          <w:rStyle w:val="TextoNormalCaracter"/>
        </w:rPr>
      </w:pPr>
      <w:bookmarkStart w:id="1392" w:name="DESCRIPTORALFABETICO39"/>
      <w:r w:rsidRPr="00234417">
        <w:rPr>
          <w:rStyle w:val="TextoNormalNegritaCaracter"/>
        </w:rPr>
        <w:t>Competencias en materia de archivos</w:t>
      </w:r>
      <w:bookmarkEnd w:id="1392"/>
      <w:r w:rsidRPr="00234417">
        <w:rPr>
          <w:rStyle w:val="TextoNormalCaracter"/>
        </w:rPr>
        <w:t xml:space="preserve">, Sentencias </w:t>
      </w:r>
      <w:hyperlink w:anchor="SENTENCIA_2013_14" w:history="1">
        <w:r w:rsidRPr="00234417">
          <w:rPr>
            <w:rStyle w:val="TextoNormalCaracter"/>
          </w:rPr>
          <w:t>14/2013</w:t>
        </w:r>
      </w:hyperlink>
      <w:r w:rsidRPr="00234417">
        <w:rPr>
          <w:rStyle w:val="TextoNormalCaracter"/>
        </w:rPr>
        <w:t xml:space="preserve">, ff. 2, 3, 4, 5, 6; </w:t>
      </w:r>
      <w:hyperlink w:anchor="SENTENCIA_2013_20" w:history="1">
        <w:r w:rsidRPr="00234417">
          <w:rPr>
            <w:rStyle w:val="TextoNormalCaracter"/>
          </w:rPr>
          <w:t>20/2013</w:t>
        </w:r>
      </w:hyperlink>
      <w:r w:rsidRPr="00234417">
        <w:rPr>
          <w:rStyle w:val="TextoNormalCaracter"/>
        </w:rPr>
        <w:t xml:space="preserve">, ff. 3, 5, 6, 7, 8, 9, 10; </w:t>
      </w:r>
      <w:hyperlink w:anchor="SENTENCIA_2013_38" w:history="1">
        <w:r w:rsidRPr="00234417">
          <w:rPr>
            <w:rStyle w:val="TextoNormalCaracter"/>
          </w:rPr>
          <w:t>38/2013</w:t>
        </w:r>
      </w:hyperlink>
      <w:r w:rsidRPr="00234417">
        <w:rPr>
          <w:rStyle w:val="TextoNormalCaracter"/>
        </w:rPr>
        <w:t xml:space="preserve">, ff. 2, 3, 4, 5; </w:t>
      </w:r>
      <w:hyperlink w:anchor="SENTENCIA_2013_66" w:history="1">
        <w:r w:rsidRPr="00234417">
          <w:rPr>
            <w:rStyle w:val="TextoNormalCaracter"/>
          </w:rPr>
          <w:t>66/2013</w:t>
        </w:r>
      </w:hyperlink>
      <w:r w:rsidRPr="00234417">
        <w:rPr>
          <w:rStyle w:val="TextoNormalCaracter"/>
        </w:rPr>
        <w:t xml:space="preserve">, ff. 3, 4;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xml:space="preserve">, f. 4; </w:t>
      </w:r>
      <w:hyperlink w:anchor="SENTENCIA_2013_136" w:history="1">
        <w:r w:rsidRPr="00234417">
          <w:rPr>
            <w:rStyle w:val="TextoNormalCaracter"/>
          </w:rPr>
          <w:t>136/2013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1393" w:name="DESCRIPTORALFABETICO40"/>
      <w:r w:rsidRPr="00234417">
        <w:rPr>
          <w:rStyle w:val="TextoNormalNegritaCaracter"/>
        </w:rPr>
        <w:t>Competencias en materia de asistencia social</w:t>
      </w:r>
      <w:bookmarkEnd w:id="1393"/>
      <w:r w:rsidRPr="00234417">
        <w:rPr>
          <w:rStyle w:val="TextoNormalCaracter"/>
        </w:rPr>
        <w:t xml:space="preserve">, Sentencias </w:t>
      </w:r>
      <w:hyperlink w:anchor="SENTENCIA_2013_21" w:history="1">
        <w:r w:rsidRPr="00234417">
          <w:rPr>
            <w:rStyle w:val="TextoNormalCaracter"/>
          </w:rPr>
          <w:t>21/2013</w:t>
        </w:r>
      </w:hyperlink>
      <w:r w:rsidRPr="00234417">
        <w:rPr>
          <w:rStyle w:val="TextoNormalCaracter"/>
        </w:rPr>
        <w:t xml:space="preserve">, ff. 4 a 6; </w:t>
      </w:r>
      <w:hyperlink w:anchor="SENTENCIA_2013_23" w:history="1">
        <w:r w:rsidRPr="00234417">
          <w:rPr>
            <w:rStyle w:val="TextoNormalCaracter"/>
          </w:rPr>
          <w:t>23/2013</w:t>
        </w:r>
      </w:hyperlink>
      <w:r w:rsidRPr="00234417">
        <w:rPr>
          <w:rStyle w:val="TextoNormalCaracter"/>
        </w:rPr>
        <w:t xml:space="preserve">, f. 3; </w:t>
      </w:r>
      <w:hyperlink w:anchor="SENTENCIA_2013_26" w:history="1">
        <w:r w:rsidRPr="00234417">
          <w:rPr>
            <w:rStyle w:val="TextoNormalCaracter"/>
          </w:rPr>
          <w:t>26/2013</w:t>
        </w:r>
      </w:hyperlink>
      <w:r w:rsidRPr="00234417">
        <w:rPr>
          <w:rStyle w:val="TextoNormalCaracter"/>
        </w:rPr>
        <w:t xml:space="preserve">, f. 7; </w:t>
      </w:r>
      <w:hyperlink w:anchor="SENTENCIA_2013_40" w:history="1">
        <w:r w:rsidRPr="00234417">
          <w:rPr>
            <w:rStyle w:val="TextoNormalCaracter"/>
          </w:rPr>
          <w:t>40/2013</w:t>
        </w:r>
      </w:hyperlink>
      <w:r w:rsidRPr="00234417">
        <w:rPr>
          <w:rStyle w:val="TextoNormalCaracter"/>
        </w:rPr>
        <w:t xml:space="preserve">, f. 5; </w:t>
      </w:r>
      <w:hyperlink w:anchor="SENTENCIA_2013_52" w:history="1">
        <w:r w:rsidRPr="00234417">
          <w:rPr>
            <w:rStyle w:val="TextoNormalCaracter"/>
          </w:rPr>
          <w:t>52/2013</w:t>
        </w:r>
      </w:hyperlink>
      <w:r w:rsidRPr="00234417">
        <w:rPr>
          <w:rStyle w:val="TextoNormalCaracter"/>
        </w:rPr>
        <w:t xml:space="preserve">, ff. 4 a 6; </w:t>
      </w:r>
      <w:hyperlink w:anchor="SENTENCIA_2013_70" w:history="1">
        <w:r w:rsidRPr="00234417">
          <w:rPr>
            <w:rStyle w:val="TextoNormalCaracter"/>
          </w:rPr>
          <w:t>70/2013</w:t>
        </w:r>
      </w:hyperlink>
      <w:r w:rsidRPr="00234417">
        <w:rPr>
          <w:rStyle w:val="TextoNormalCaracter"/>
        </w:rPr>
        <w:t>, ff. 3 a 6.</w:t>
      </w:r>
    </w:p>
    <w:p w:rsidR="00234417" w:rsidRPr="00234417" w:rsidRDefault="00234417" w:rsidP="00234417">
      <w:pPr>
        <w:pStyle w:val="TextoNormalSangraFrancesa"/>
        <w:rPr>
          <w:rStyle w:val="TextoNormalCaracter"/>
        </w:rPr>
      </w:pPr>
      <w:bookmarkStart w:id="1394" w:name="DESCRIPTORALFABETICO41"/>
      <w:r w:rsidRPr="00234417">
        <w:rPr>
          <w:rStyle w:val="TextoNormalNegritaCaracter"/>
        </w:rPr>
        <w:t>Competencias en materia de atención farmacéutica</w:t>
      </w:r>
      <w:bookmarkEnd w:id="1394"/>
      <w:r w:rsidRPr="00234417">
        <w:rPr>
          <w:rStyle w:val="TextoNormalCaracter"/>
        </w:rPr>
        <w:t xml:space="preserve">, Sentencia </w:t>
      </w:r>
      <w:hyperlink w:anchor="SENTENCIA_2013_137" w:history="1">
        <w:r w:rsidRPr="00234417">
          <w:rPr>
            <w:rStyle w:val="TextoNormalCaracter"/>
          </w:rPr>
          <w:t>137/2013</w:t>
        </w:r>
      </w:hyperlink>
      <w:r w:rsidRPr="00234417">
        <w:rPr>
          <w:rStyle w:val="TextoNormalCaracter"/>
        </w:rPr>
        <w:t>, ff. 3 a 7.</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88" w:history="1">
        <w:r w:rsidRPr="00234417">
          <w:rPr>
            <w:rStyle w:val="TextoNormalCaracter"/>
          </w:rPr>
          <w:t>88/2013</w:t>
        </w:r>
      </w:hyperlink>
      <w:r w:rsidRPr="00234417">
        <w:rPr>
          <w:rStyle w:val="TextoNormalCaracter"/>
        </w:rPr>
        <w:t>, f. 1.</w:t>
      </w:r>
    </w:p>
    <w:p w:rsidR="00234417" w:rsidRPr="00234417" w:rsidRDefault="00234417" w:rsidP="00234417">
      <w:pPr>
        <w:pStyle w:val="TextoNormalSangraFrancesa"/>
        <w:rPr>
          <w:rStyle w:val="TextoNormalCaracter"/>
        </w:rPr>
      </w:pPr>
      <w:bookmarkStart w:id="1395" w:name="DESCRIPTORALFABETICO42"/>
      <w:r w:rsidRPr="00234417">
        <w:rPr>
          <w:rStyle w:val="TextoNormalNegritaCaracter"/>
        </w:rPr>
        <w:t>Competencias en materia de colegios profesionales</w:t>
      </w:r>
      <w:bookmarkEnd w:id="1395"/>
      <w:r w:rsidRPr="00234417">
        <w:rPr>
          <w:rStyle w:val="TextoNormalCaracter"/>
        </w:rPr>
        <w:t xml:space="preserve">, Sentencias </w:t>
      </w:r>
      <w:hyperlink w:anchor="SENTENCIA_2013_3" w:history="1">
        <w:r w:rsidRPr="00234417">
          <w:rPr>
            <w:rStyle w:val="TextoNormalCaracter"/>
          </w:rPr>
          <w:t>3/2013</w:t>
        </w:r>
      </w:hyperlink>
      <w:r w:rsidRPr="00234417">
        <w:rPr>
          <w:rStyle w:val="TextoNormalCaracter"/>
        </w:rPr>
        <w:t xml:space="preserve">, ff. 5, 6, 7, 8; </w:t>
      </w:r>
      <w:hyperlink w:anchor="SENTENCIA_2013_46" w:history="1">
        <w:r w:rsidRPr="00234417">
          <w:rPr>
            <w:rStyle w:val="TextoNormalCaracter"/>
          </w:rPr>
          <w:t>46/2013</w:t>
        </w:r>
      </w:hyperlink>
      <w:r w:rsidRPr="00234417">
        <w:rPr>
          <w:rStyle w:val="TextoNormalCaracter"/>
        </w:rPr>
        <w:t xml:space="preserve">, ff. 3, 4; </w:t>
      </w:r>
      <w:hyperlink w:anchor="SENTENCIA_2013_50" w:history="1">
        <w:r w:rsidRPr="00234417">
          <w:rPr>
            <w:rStyle w:val="TextoNormalCaracter"/>
          </w:rPr>
          <w:t>50/2013</w:t>
        </w:r>
      </w:hyperlink>
      <w:r w:rsidRPr="00234417">
        <w:rPr>
          <w:rStyle w:val="TextoNormalCaracter"/>
        </w:rPr>
        <w:t xml:space="preserve">, ff. 3, 4; </w:t>
      </w:r>
      <w:hyperlink w:anchor="SENTENCIA_2013_63" w:history="1">
        <w:r w:rsidRPr="00234417">
          <w:rPr>
            <w:rStyle w:val="TextoNormalCaracter"/>
          </w:rPr>
          <w:t>63/2013</w:t>
        </w:r>
      </w:hyperlink>
      <w:r w:rsidRPr="00234417">
        <w:rPr>
          <w:rStyle w:val="TextoNormalCaracter"/>
        </w:rPr>
        <w:t xml:space="preserve">, ff. 2, 3; </w:t>
      </w:r>
      <w:hyperlink w:anchor="SENTENCIA_2013_89" w:history="1">
        <w:r w:rsidRPr="00234417">
          <w:rPr>
            <w:rStyle w:val="TextoNormalCaracter"/>
          </w:rPr>
          <w:t>89/2013</w:t>
        </w:r>
      </w:hyperlink>
      <w:r w:rsidRPr="00234417">
        <w:rPr>
          <w:rStyle w:val="TextoNormalCaracter"/>
        </w:rPr>
        <w:t xml:space="preserve">, ff. 2 a 4; </w:t>
      </w:r>
      <w:hyperlink w:anchor="SENTENCIA_2013_123" w:history="1">
        <w:r w:rsidRPr="00234417">
          <w:rPr>
            <w:rStyle w:val="TextoNormalCaracter"/>
          </w:rPr>
          <w:t>123/2013</w:t>
        </w:r>
      </w:hyperlink>
      <w:r w:rsidRPr="00234417">
        <w:rPr>
          <w:rStyle w:val="TextoNormalCaracter"/>
        </w:rPr>
        <w:t>, f. 9.</w:t>
      </w:r>
    </w:p>
    <w:p w:rsidR="00234417" w:rsidRPr="00234417" w:rsidRDefault="00234417" w:rsidP="00234417">
      <w:pPr>
        <w:pStyle w:val="TextoNormalSangraFrancesa"/>
        <w:rPr>
          <w:rStyle w:val="TextoNormalCaracter"/>
        </w:rPr>
      </w:pPr>
      <w:bookmarkStart w:id="1396" w:name="DESCRIPTORALFABETICO43"/>
      <w:r w:rsidRPr="00234417">
        <w:rPr>
          <w:rStyle w:val="TextoNormalNegritaCaracter"/>
        </w:rPr>
        <w:lastRenderedPageBreak/>
        <w:t>Competencias en materia de comercio interior</w:t>
      </w:r>
      <w:bookmarkEnd w:id="1396"/>
      <w:r w:rsidRPr="00234417">
        <w:rPr>
          <w:rStyle w:val="TextoNormalCaracter"/>
        </w:rPr>
        <w:t xml:space="preserve">, Sentencia </w:t>
      </w:r>
      <w:hyperlink w:anchor="SENTENCIA_2013_96" w:history="1">
        <w:r w:rsidRPr="00234417">
          <w:rPr>
            <w:rStyle w:val="TextoNormalCaracter"/>
          </w:rPr>
          <w:t>96/2013</w:t>
        </w:r>
      </w:hyperlink>
      <w:r w:rsidRPr="00234417">
        <w:rPr>
          <w:rStyle w:val="TextoNormalCaracter"/>
        </w:rPr>
        <w:t>, f. 5.</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146" w:history="1">
        <w:r w:rsidRPr="00234417">
          <w:rPr>
            <w:rStyle w:val="TextoNormalCaracter"/>
          </w:rPr>
          <w:t>146/2013</w:t>
        </w:r>
      </w:hyperlink>
      <w:r w:rsidRPr="00234417">
        <w:rPr>
          <w:rStyle w:val="TextoNormalCaracter"/>
        </w:rPr>
        <w:t>, f. 3.</w:t>
      </w:r>
    </w:p>
    <w:p w:rsidR="00234417" w:rsidRPr="00234417" w:rsidRDefault="00234417" w:rsidP="00234417">
      <w:pPr>
        <w:pStyle w:val="TextoNormalSangraFrancesa"/>
        <w:rPr>
          <w:rStyle w:val="TextoNormalCaracter"/>
        </w:rPr>
      </w:pPr>
      <w:bookmarkStart w:id="1397" w:name="DESCRIPTORALFABETICO44"/>
      <w:r w:rsidRPr="00234417">
        <w:rPr>
          <w:rStyle w:val="TextoNormalNegritaCaracter"/>
        </w:rPr>
        <w:t>Competencias en materia de cultura</w:t>
      </w:r>
      <w:bookmarkEnd w:id="1397"/>
      <w:r w:rsidRPr="00234417">
        <w:rPr>
          <w:rStyle w:val="TextoNormalCaracter"/>
        </w:rPr>
        <w:t xml:space="preserve">, Sentencia </w:t>
      </w:r>
      <w:hyperlink w:anchor="SENTENCIA_2013_14" w:history="1">
        <w:r w:rsidRPr="00234417">
          <w:rPr>
            <w:rStyle w:val="TextoNormalCaracter"/>
          </w:rPr>
          <w:t>14/2013</w:t>
        </w:r>
      </w:hyperlink>
      <w:r w:rsidRPr="00234417">
        <w:rPr>
          <w:rStyle w:val="TextoNormalCaracter"/>
        </w:rPr>
        <w:t>, ff. 2, 5.</w:t>
      </w:r>
    </w:p>
    <w:p w:rsidR="00234417" w:rsidRPr="00234417" w:rsidRDefault="00234417" w:rsidP="00234417">
      <w:pPr>
        <w:pStyle w:val="TextoNormalSangraFrancesa"/>
        <w:rPr>
          <w:rStyle w:val="TextoNormalCaracter"/>
        </w:rPr>
      </w:pPr>
      <w:bookmarkStart w:id="1398" w:name="DESCRIPTORALFABETICO45"/>
      <w:r w:rsidRPr="00234417">
        <w:rPr>
          <w:rStyle w:val="TextoNormalNegritaCaracter"/>
        </w:rPr>
        <w:t>Competencias en materia de denominaciones de origen</w:t>
      </w:r>
      <w:bookmarkEnd w:id="1398"/>
      <w:r w:rsidRPr="00234417">
        <w:rPr>
          <w:rStyle w:val="TextoNormalCaracter"/>
        </w:rPr>
        <w:t xml:space="preserve">, Sentencias </w:t>
      </w:r>
      <w:hyperlink w:anchor="SENTENCIA_2013_34" w:history="1">
        <w:r w:rsidRPr="00234417">
          <w:rPr>
            <w:rStyle w:val="TextoNormalCaracter"/>
          </w:rPr>
          <w:t>34/2013</w:t>
        </w:r>
      </w:hyperlink>
      <w:r w:rsidRPr="00234417">
        <w:rPr>
          <w:rStyle w:val="TextoNormalCaracter"/>
        </w:rPr>
        <w:t xml:space="preserve">, ff. 2 a 8, 10 a 14, 17 a 21, VP; </w:t>
      </w:r>
      <w:hyperlink w:anchor="SENTENCIA_2013_82" w:history="1">
        <w:r w:rsidRPr="00234417">
          <w:rPr>
            <w:rStyle w:val="TextoNormalCaracter"/>
          </w:rPr>
          <w:t>82/2013</w:t>
        </w:r>
      </w:hyperlink>
      <w:r w:rsidRPr="00234417">
        <w:rPr>
          <w:rStyle w:val="TextoNormalCaracter"/>
        </w:rPr>
        <w:t>, ff. 2, 3, 4, 5.</w:t>
      </w:r>
    </w:p>
    <w:p w:rsidR="00234417" w:rsidRPr="00234417" w:rsidRDefault="00234417" w:rsidP="00234417">
      <w:pPr>
        <w:pStyle w:val="TextoNormalSangraFrancesa"/>
        <w:rPr>
          <w:rStyle w:val="TextoNormalCaracter"/>
        </w:rPr>
      </w:pPr>
      <w:bookmarkStart w:id="1399" w:name="DESCRIPTORALFABETICO46"/>
      <w:r w:rsidRPr="00234417">
        <w:rPr>
          <w:rStyle w:val="TextoNormalNegritaCaracter"/>
        </w:rPr>
        <w:t>Competencias en materia de Derechos civiles especiales</w:t>
      </w:r>
      <w:bookmarkEnd w:id="1399"/>
      <w:r w:rsidRPr="00234417">
        <w:rPr>
          <w:rStyle w:val="TextoNormalCaracter"/>
        </w:rPr>
        <w:t xml:space="preserve">, Sentencia </w:t>
      </w:r>
      <w:hyperlink w:anchor="SENTENCIA_2013_93" w:history="1">
        <w:r w:rsidRPr="00234417">
          <w:rPr>
            <w:rStyle w:val="TextoNormalCaracter"/>
          </w:rPr>
          <w:t>93/2013</w:t>
        </w:r>
      </w:hyperlink>
      <w:r w:rsidRPr="00234417">
        <w:rPr>
          <w:rStyle w:val="TextoNormalCaracter"/>
        </w:rPr>
        <w:t>, ff. 5, 13, VP I.</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93" w:history="1">
        <w:r w:rsidRPr="00234417">
          <w:rPr>
            <w:rStyle w:val="TextoNormalCaracter"/>
          </w:rPr>
          <w:t>93/2013</w:t>
        </w:r>
      </w:hyperlink>
      <w:r w:rsidRPr="00234417">
        <w:rPr>
          <w:rStyle w:val="TextoNormalCaracter"/>
        </w:rPr>
        <w:t>, f. 2.</w:t>
      </w:r>
    </w:p>
    <w:p w:rsidR="00234417" w:rsidRPr="00234417" w:rsidRDefault="00234417" w:rsidP="00234417">
      <w:pPr>
        <w:pStyle w:val="TextoNormalSangraFrancesa"/>
        <w:rPr>
          <w:rStyle w:val="TextoNormalCaracter"/>
        </w:rPr>
      </w:pPr>
      <w:bookmarkStart w:id="1400" w:name="DESCRIPTORALFABETICO47"/>
      <w:r w:rsidRPr="00234417">
        <w:rPr>
          <w:rStyle w:val="TextoNormalNegritaCaracter"/>
        </w:rPr>
        <w:t>Competencias en materia de educación</w:t>
      </w:r>
      <w:bookmarkEnd w:id="1400"/>
      <w:r w:rsidRPr="00234417">
        <w:rPr>
          <w:rStyle w:val="TextoNormalCaracter"/>
        </w:rPr>
        <w:t xml:space="preserve">, Sentencias </w:t>
      </w:r>
      <w:hyperlink w:anchor="SENTENCIA_2013_6" w:history="1">
        <w:r w:rsidRPr="00234417">
          <w:rPr>
            <w:rStyle w:val="TextoNormalCaracter"/>
          </w:rPr>
          <w:t>6/2013</w:t>
        </w:r>
      </w:hyperlink>
      <w:r w:rsidRPr="00234417">
        <w:rPr>
          <w:rStyle w:val="TextoNormalCaracter"/>
        </w:rPr>
        <w:t xml:space="preserve">, ff. 1 a 7; </w:t>
      </w:r>
      <w:hyperlink w:anchor="SENTENCIA_2013_15" w:history="1">
        <w:r w:rsidRPr="00234417">
          <w:rPr>
            <w:rStyle w:val="TextoNormalCaracter"/>
          </w:rPr>
          <w:t>15/2013</w:t>
        </w:r>
      </w:hyperlink>
      <w:r w:rsidRPr="00234417">
        <w:rPr>
          <w:rStyle w:val="TextoNormalCaracter"/>
        </w:rPr>
        <w:t xml:space="preserve">, f. 3; </w:t>
      </w:r>
      <w:hyperlink w:anchor="SENTENCIA_2013_24" w:history="1">
        <w:r w:rsidRPr="00234417">
          <w:rPr>
            <w:rStyle w:val="TextoNormalCaracter"/>
          </w:rPr>
          <w:t>24/2013</w:t>
        </w:r>
      </w:hyperlink>
      <w:r w:rsidRPr="00234417">
        <w:rPr>
          <w:rStyle w:val="TextoNormalCaracter"/>
        </w:rPr>
        <w:t xml:space="preserve">, f. 3; </w:t>
      </w:r>
      <w:hyperlink w:anchor="SENTENCIA_2013_25" w:history="1">
        <w:r w:rsidRPr="00234417">
          <w:rPr>
            <w:rStyle w:val="TextoNormalCaracter"/>
          </w:rPr>
          <w:t>25/2013</w:t>
        </w:r>
      </w:hyperlink>
      <w:r w:rsidRPr="00234417">
        <w:rPr>
          <w:rStyle w:val="TextoNormalCaracter"/>
        </w:rPr>
        <w:t xml:space="preserve">, ff. 3, 4; </w:t>
      </w:r>
      <w:hyperlink w:anchor="SENTENCIA_2013_47" w:history="1">
        <w:r w:rsidRPr="00234417">
          <w:rPr>
            <w:rStyle w:val="TextoNormalCaracter"/>
          </w:rPr>
          <w:t>47/2013</w:t>
        </w:r>
      </w:hyperlink>
      <w:r w:rsidRPr="00234417">
        <w:rPr>
          <w:rStyle w:val="TextoNormalCaracter"/>
        </w:rPr>
        <w:t xml:space="preserve">, ff. 3, 4; </w:t>
      </w:r>
      <w:hyperlink w:anchor="SENTENCIA_2013_48" w:history="1">
        <w:r w:rsidRPr="00234417">
          <w:rPr>
            <w:rStyle w:val="TextoNormalCaracter"/>
          </w:rPr>
          <w:t>48/2013</w:t>
        </w:r>
      </w:hyperlink>
      <w:r w:rsidRPr="00234417">
        <w:rPr>
          <w:rStyle w:val="TextoNormalCaracter"/>
        </w:rPr>
        <w:t>, ff. 3 a 5.</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33" w:history="1">
        <w:r w:rsidRPr="00234417">
          <w:rPr>
            <w:rStyle w:val="TextoNormalCaracter"/>
          </w:rPr>
          <w:t>33/2013</w:t>
        </w:r>
      </w:hyperlink>
      <w:r w:rsidRPr="00234417">
        <w:rPr>
          <w:rStyle w:val="TextoNormalCaracter"/>
        </w:rPr>
        <w:t>, f. 1.</w:t>
      </w:r>
    </w:p>
    <w:p w:rsidR="00234417" w:rsidRPr="00234417" w:rsidRDefault="00234417" w:rsidP="00234417">
      <w:pPr>
        <w:pStyle w:val="TextoNormalSangraFrancesa"/>
        <w:rPr>
          <w:rStyle w:val="TextoNormalCaracter"/>
        </w:rPr>
      </w:pPr>
      <w:bookmarkStart w:id="1401" w:name="DESCRIPTORALFABETICO48"/>
      <w:r w:rsidRPr="00234417">
        <w:rPr>
          <w:rStyle w:val="TextoNormalNegritaCaracter"/>
        </w:rPr>
        <w:t>Competencias en materia de energía eléctrica</w:t>
      </w:r>
      <w:bookmarkEnd w:id="1401"/>
      <w:r w:rsidRPr="00234417">
        <w:rPr>
          <w:rStyle w:val="TextoNormalCaracter"/>
        </w:rPr>
        <w:t xml:space="preserve">, Sentencias </w:t>
      </w:r>
      <w:hyperlink w:anchor="SENTENCIA_2013_4" w:history="1">
        <w:r w:rsidRPr="00234417">
          <w:rPr>
            <w:rStyle w:val="TextoNormalCaracter"/>
          </w:rPr>
          <w:t>4/2013</w:t>
        </w:r>
      </w:hyperlink>
      <w:r w:rsidRPr="00234417">
        <w:rPr>
          <w:rStyle w:val="TextoNormalCaracter"/>
        </w:rPr>
        <w:t xml:space="preserve">, ff. 1 a 11; </w:t>
      </w:r>
      <w:hyperlink w:anchor="SENTENCIA_2013_102" w:history="1">
        <w:r w:rsidRPr="00234417">
          <w:rPr>
            <w:rStyle w:val="TextoNormalCaracter"/>
          </w:rPr>
          <w:t>102/2013</w:t>
        </w:r>
      </w:hyperlink>
      <w:r w:rsidRPr="00234417">
        <w:rPr>
          <w:rStyle w:val="TextoNormalCaracter"/>
        </w:rPr>
        <w:t xml:space="preserve">, ff. 3, 4, 6, 7; </w:t>
      </w:r>
      <w:hyperlink w:anchor="SENTENCIA_2013_123" w:history="1">
        <w:r w:rsidRPr="00234417">
          <w:rPr>
            <w:rStyle w:val="TextoNormalCaracter"/>
          </w:rPr>
          <w:t>123/2013</w:t>
        </w:r>
      </w:hyperlink>
      <w:r w:rsidRPr="00234417">
        <w:rPr>
          <w:rStyle w:val="TextoNormalCaracter"/>
        </w:rPr>
        <w:t>, ff. 4 a 8.</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9" w:history="1">
        <w:r w:rsidRPr="00234417">
          <w:rPr>
            <w:rStyle w:val="TextoNormalCaracter"/>
          </w:rPr>
          <w:t>9/2013</w:t>
        </w:r>
      </w:hyperlink>
      <w:r w:rsidRPr="00234417">
        <w:rPr>
          <w:rStyle w:val="TextoNormalCaracter"/>
        </w:rPr>
        <w:t>, ff. 3, 5.</w:t>
      </w:r>
    </w:p>
    <w:p w:rsidR="00234417" w:rsidRPr="00234417" w:rsidRDefault="00234417" w:rsidP="00234417">
      <w:pPr>
        <w:pStyle w:val="TextoNormalSangraFrancesa"/>
        <w:rPr>
          <w:rStyle w:val="TextoNormalNegritaCaracter"/>
        </w:rPr>
      </w:pPr>
      <w:r w:rsidRPr="00234417">
        <w:rPr>
          <w:rStyle w:val="TextoNormalCursivaCaracter"/>
        </w:rPr>
        <w:t>Competencias en materia de enseñanza</w:t>
      </w:r>
      <w:r>
        <w:t xml:space="preserve"> véase </w:t>
      </w:r>
      <w:hyperlink w:anchor="DESCRIPTORALFABETICO47" w:history="1">
        <w:r w:rsidRPr="00234417">
          <w:rPr>
            <w:rStyle w:val="TextoNormalNegritaCaracter"/>
          </w:rPr>
          <w:t>Competencias en materia de educación</w:t>
        </w:r>
      </w:hyperlink>
    </w:p>
    <w:p w:rsidR="00234417" w:rsidRPr="00234417" w:rsidRDefault="00234417" w:rsidP="00234417">
      <w:pPr>
        <w:pStyle w:val="TextoNormalSangraFrancesa"/>
        <w:rPr>
          <w:rStyle w:val="TextoNormalCaracter"/>
        </w:rPr>
      </w:pPr>
      <w:bookmarkStart w:id="1402" w:name="DESCRIPTORALFABETICO49"/>
      <w:r w:rsidRPr="00234417">
        <w:rPr>
          <w:rStyle w:val="TextoNormalNegritaCaracter"/>
        </w:rPr>
        <w:t>Competencias en materia de espacios naturales protegidos</w:t>
      </w:r>
      <w:bookmarkEnd w:id="1402"/>
      <w:r w:rsidRPr="00234417">
        <w:rPr>
          <w:rStyle w:val="TextoNormalCaracter"/>
        </w:rPr>
        <w:t xml:space="preserve">, Sentencias </w:t>
      </w:r>
      <w:hyperlink w:anchor="SENTENCIA_2013_59" w:history="1">
        <w:r w:rsidRPr="00234417">
          <w:rPr>
            <w:rStyle w:val="TextoNormalCaracter"/>
          </w:rPr>
          <w:t>59/2013</w:t>
        </w:r>
      </w:hyperlink>
      <w:r w:rsidRPr="00234417">
        <w:rPr>
          <w:rStyle w:val="TextoNormalCaracter"/>
        </w:rPr>
        <w:t xml:space="preserve">, ff. 3, 4; </w:t>
      </w:r>
      <w:hyperlink w:anchor="SENTENCIA_2013_111" w:history="1">
        <w:r w:rsidRPr="00234417">
          <w:rPr>
            <w:rStyle w:val="TextoNormalCaracter"/>
          </w:rPr>
          <w:t>111/2013</w:t>
        </w:r>
      </w:hyperlink>
      <w:r w:rsidRPr="00234417">
        <w:rPr>
          <w:rStyle w:val="TextoNormalCaracter"/>
        </w:rPr>
        <w:t>, f. 3.</w:t>
      </w:r>
    </w:p>
    <w:p w:rsidR="00234417" w:rsidRPr="00234417" w:rsidRDefault="00234417" w:rsidP="00234417">
      <w:pPr>
        <w:pStyle w:val="TextoNormalSangraFrancesa"/>
        <w:rPr>
          <w:rStyle w:val="TextoNormalNegritaCaracter"/>
        </w:rPr>
      </w:pPr>
      <w:r w:rsidRPr="00234417">
        <w:rPr>
          <w:rStyle w:val="TextoNormalCursivaCaracter"/>
        </w:rPr>
        <w:t>Competencias en materia de establecimientos farmacéuticos</w:t>
      </w:r>
      <w:r>
        <w:t xml:space="preserve"> véase </w:t>
      </w:r>
      <w:hyperlink w:anchor="DESCRIPTORALFABETICO41" w:history="1">
        <w:r w:rsidRPr="00234417">
          <w:rPr>
            <w:rStyle w:val="TextoNormalNegritaCaracter"/>
          </w:rPr>
          <w:t>Competencias en materia de atención farmacéutica</w:t>
        </w:r>
      </w:hyperlink>
    </w:p>
    <w:p w:rsidR="00234417" w:rsidRPr="00234417" w:rsidRDefault="00234417" w:rsidP="00234417">
      <w:pPr>
        <w:pStyle w:val="TextoNormalSangraFrancesa"/>
        <w:rPr>
          <w:rStyle w:val="TextoNormalCaracter"/>
        </w:rPr>
      </w:pPr>
      <w:bookmarkStart w:id="1403" w:name="DESCRIPTORALFABETICO50"/>
      <w:r w:rsidRPr="00234417">
        <w:rPr>
          <w:rStyle w:val="TextoNormalNegritaCaracter"/>
        </w:rPr>
        <w:t>Competencias en materia de ferrocarriles</w:t>
      </w:r>
      <w:bookmarkEnd w:id="1403"/>
      <w:r w:rsidRPr="00234417">
        <w:rPr>
          <w:rStyle w:val="TextoNormalCaracter"/>
        </w:rPr>
        <w:t xml:space="preserve">, Sentencia </w:t>
      </w:r>
      <w:hyperlink w:anchor="SENTENCIA_2013_83" w:history="1">
        <w:r w:rsidRPr="00234417">
          <w:rPr>
            <w:rStyle w:val="TextoNormalCaracter"/>
          </w:rPr>
          <w:t>83/2013</w:t>
        </w:r>
      </w:hyperlink>
      <w:r w:rsidRPr="00234417">
        <w:rPr>
          <w:rStyle w:val="TextoNormalCaracter"/>
        </w:rPr>
        <w:t>, ff. 2, 4, 5.</w:t>
      </w:r>
    </w:p>
    <w:p w:rsidR="00234417" w:rsidRPr="00234417" w:rsidRDefault="00234417" w:rsidP="00234417">
      <w:pPr>
        <w:pStyle w:val="TextoNormalSangraFrancesa"/>
        <w:rPr>
          <w:rStyle w:val="TextoNormalCaracter"/>
        </w:rPr>
      </w:pPr>
      <w:bookmarkStart w:id="1404" w:name="DESCRIPTORALFABETICO51"/>
      <w:r w:rsidRPr="00234417">
        <w:rPr>
          <w:rStyle w:val="TextoNormalNegritaCaracter"/>
        </w:rPr>
        <w:t>Competencias en materia de fomento</w:t>
      </w:r>
      <w:bookmarkEnd w:id="1404"/>
      <w:r w:rsidRPr="00234417">
        <w:rPr>
          <w:rStyle w:val="TextoNormalCaracter"/>
        </w:rPr>
        <w:t xml:space="preserve">, Sentencias </w:t>
      </w:r>
      <w:hyperlink w:anchor="SENTENCIA_2013_130" w:history="1">
        <w:r w:rsidRPr="00234417">
          <w:rPr>
            <w:rStyle w:val="TextoNormalCaracter"/>
          </w:rPr>
          <w:t>130/2013</w:t>
        </w:r>
      </w:hyperlink>
      <w:r w:rsidRPr="00234417">
        <w:rPr>
          <w:rStyle w:val="TextoNormalCaracter"/>
        </w:rPr>
        <w:t xml:space="preserve">, ff. 4, 8; </w:t>
      </w:r>
      <w:hyperlink w:anchor="SENTENCIA_2013_135" w:history="1">
        <w:r w:rsidRPr="00234417">
          <w:rPr>
            <w:rStyle w:val="TextoNormalCaracter"/>
          </w:rPr>
          <w:t>135/2013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405" w:name="DESCRIPTORALFABETICO52"/>
      <w:r w:rsidRPr="00234417">
        <w:rPr>
          <w:rStyle w:val="TextoNormalNegritaCaracter"/>
        </w:rPr>
        <w:t>Competencias en materia de formación continua</w:t>
      </w:r>
      <w:bookmarkEnd w:id="1405"/>
      <w:r w:rsidRPr="00234417">
        <w:rPr>
          <w:rStyle w:val="TextoNormalCaracter"/>
        </w:rPr>
        <w:t xml:space="preserve">, Sentencias </w:t>
      </w:r>
      <w:hyperlink w:anchor="SENTENCIA_2013_7" w:history="1">
        <w:r w:rsidRPr="00234417">
          <w:rPr>
            <w:rStyle w:val="TextoNormalCaracter"/>
          </w:rPr>
          <w:t>7/2013</w:t>
        </w:r>
      </w:hyperlink>
      <w:r w:rsidRPr="00234417">
        <w:rPr>
          <w:rStyle w:val="TextoNormalCaracter"/>
        </w:rPr>
        <w:t xml:space="preserve">, ff. 3 a 6; </w:t>
      </w:r>
      <w:hyperlink w:anchor="SENTENCIA_2013_16" w:history="1">
        <w:r w:rsidRPr="00234417">
          <w:rPr>
            <w:rStyle w:val="TextoNormalCaracter"/>
          </w:rPr>
          <w:t>16/2013</w:t>
        </w:r>
      </w:hyperlink>
      <w:r w:rsidRPr="00234417">
        <w:rPr>
          <w:rStyle w:val="TextoNormalCaracter"/>
        </w:rPr>
        <w:t xml:space="preserve">, ff. 2 a 10; </w:t>
      </w:r>
      <w:hyperlink w:anchor="SENTENCIA_2013_35" w:history="1">
        <w:r w:rsidRPr="00234417">
          <w:rPr>
            <w:rStyle w:val="TextoNormalCaracter"/>
          </w:rPr>
          <w:t>35/2013</w:t>
        </w:r>
      </w:hyperlink>
      <w:r w:rsidRPr="00234417">
        <w:rPr>
          <w:rStyle w:val="TextoNormalCaracter"/>
        </w:rPr>
        <w:t xml:space="preserve">, ff. 1 a 10; </w:t>
      </w:r>
      <w:hyperlink w:anchor="SENTENCIA_2013_62" w:history="1">
        <w:r w:rsidRPr="00234417">
          <w:rPr>
            <w:rStyle w:val="TextoNormalCaracter"/>
          </w:rPr>
          <w:t>62/2013</w:t>
        </w:r>
      </w:hyperlink>
      <w:r w:rsidRPr="00234417">
        <w:rPr>
          <w:rStyle w:val="TextoNormalCaracter"/>
        </w:rPr>
        <w:t xml:space="preserve">, ff. 3, 5; </w:t>
      </w:r>
      <w:hyperlink w:anchor="SENTENCIA_2013_65" w:history="1">
        <w:r w:rsidRPr="00234417">
          <w:rPr>
            <w:rStyle w:val="TextoNormalCaracter"/>
          </w:rPr>
          <w:t>65/2013</w:t>
        </w:r>
      </w:hyperlink>
      <w:r w:rsidRPr="00234417">
        <w:rPr>
          <w:rStyle w:val="TextoNormalCaracter"/>
        </w:rPr>
        <w:t xml:space="preserve">, ff. 2, 3, 5; </w:t>
      </w:r>
      <w:hyperlink w:anchor="SENTENCIA_2013_95" w:history="1">
        <w:r w:rsidRPr="00234417">
          <w:rPr>
            <w:rStyle w:val="TextoNormalCaracter"/>
          </w:rPr>
          <w:t>95/2013</w:t>
        </w:r>
      </w:hyperlink>
      <w:r w:rsidRPr="00234417">
        <w:rPr>
          <w:rStyle w:val="TextoNormalCaracter"/>
        </w:rPr>
        <w:t>, ff. 3 a 6.</w:t>
      </w:r>
    </w:p>
    <w:p w:rsidR="00234417" w:rsidRPr="00234417" w:rsidRDefault="00234417" w:rsidP="00234417">
      <w:pPr>
        <w:pStyle w:val="TextoNormalSangraFrancesa"/>
        <w:rPr>
          <w:rStyle w:val="TextoNormalCaracter"/>
        </w:rPr>
      </w:pPr>
      <w:bookmarkStart w:id="1406" w:name="DESCRIPTORALFABETICO53"/>
      <w:r w:rsidRPr="00234417">
        <w:rPr>
          <w:rStyle w:val="TextoNormalNegritaCaracter"/>
        </w:rPr>
        <w:t>Competencias en materia de función pública</w:t>
      </w:r>
      <w:bookmarkEnd w:id="1406"/>
      <w:r w:rsidRPr="00234417">
        <w:rPr>
          <w:rStyle w:val="TextoNormalCaracter"/>
        </w:rPr>
        <w:t xml:space="preserve">, Sentencias </w:t>
      </w:r>
      <w:hyperlink w:anchor="SENTENCIA_2013_3" w:history="1">
        <w:r w:rsidRPr="00234417">
          <w:rPr>
            <w:rStyle w:val="TextoNormalCaracter"/>
          </w:rPr>
          <w:t>3/2013</w:t>
        </w:r>
      </w:hyperlink>
      <w:r w:rsidRPr="00234417">
        <w:rPr>
          <w:rStyle w:val="TextoNormalCaracter"/>
        </w:rPr>
        <w:t xml:space="preserve">, f. 5; </w:t>
      </w:r>
      <w:hyperlink w:anchor="SENTENCIA_2013_46" w:history="1">
        <w:r w:rsidRPr="00234417">
          <w:rPr>
            <w:rStyle w:val="TextoNormalCaracter"/>
          </w:rPr>
          <w:t>46/2013</w:t>
        </w:r>
      </w:hyperlink>
      <w:r w:rsidRPr="00234417">
        <w:rPr>
          <w:rStyle w:val="TextoNormalCaracter"/>
        </w:rPr>
        <w:t xml:space="preserve">, ff. 3, 4; </w:t>
      </w:r>
      <w:hyperlink w:anchor="SENTENCIA_2013_50" w:history="1">
        <w:r w:rsidRPr="00234417">
          <w:rPr>
            <w:rStyle w:val="TextoNormalCaracter"/>
          </w:rPr>
          <w:t>50/2013</w:t>
        </w:r>
      </w:hyperlink>
      <w:r w:rsidRPr="00234417">
        <w:rPr>
          <w:rStyle w:val="TextoNormalCaracter"/>
        </w:rPr>
        <w:t xml:space="preserve">, ff. 3, 4; </w:t>
      </w:r>
      <w:hyperlink w:anchor="SENTENCIA_2013_63" w:history="1">
        <w:r w:rsidRPr="00234417">
          <w:rPr>
            <w:rStyle w:val="TextoNormalCaracter"/>
          </w:rPr>
          <w:t>63/2013</w:t>
        </w:r>
      </w:hyperlink>
      <w:r w:rsidRPr="00234417">
        <w:rPr>
          <w:rStyle w:val="TextoNormalCaracter"/>
        </w:rPr>
        <w:t xml:space="preserve">, ff. 2, 3; </w:t>
      </w:r>
      <w:hyperlink w:anchor="SENTENCIA_2013_93" w:history="1">
        <w:r w:rsidRPr="00234417">
          <w:rPr>
            <w:rStyle w:val="TextoNormalCaracter"/>
          </w:rPr>
          <w:t>93/2013</w:t>
        </w:r>
      </w:hyperlink>
      <w:r w:rsidRPr="00234417">
        <w:rPr>
          <w:rStyle w:val="TextoNormalCaracter"/>
        </w:rPr>
        <w:t>, f. 13.</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85" w:history="1">
        <w:r w:rsidRPr="00234417">
          <w:rPr>
            <w:rStyle w:val="TextoNormalCaracter"/>
          </w:rPr>
          <w:t>85/2013</w:t>
        </w:r>
      </w:hyperlink>
      <w:r w:rsidRPr="00234417">
        <w:rPr>
          <w:rStyle w:val="TextoNormalCaracter"/>
        </w:rPr>
        <w:t xml:space="preserve">, ff. 2 a 6; </w:t>
      </w:r>
      <w:hyperlink w:anchor="AUTO_2013_125" w:history="1">
        <w:r w:rsidRPr="00234417">
          <w:rPr>
            <w:rStyle w:val="TextoNormalCaracter"/>
          </w:rPr>
          <w:t>125/2013</w:t>
        </w:r>
      </w:hyperlink>
      <w:r w:rsidRPr="00234417">
        <w:rPr>
          <w:rStyle w:val="TextoNormalCaracter"/>
        </w:rPr>
        <w:t xml:space="preserve">, ff. 2, 3; </w:t>
      </w:r>
      <w:hyperlink w:anchor="AUTO_2013_127" w:history="1">
        <w:r w:rsidRPr="00234417">
          <w:rPr>
            <w:rStyle w:val="TextoNormalCaracter"/>
          </w:rPr>
          <w:t>127/2013</w:t>
        </w:r>
      </w:hyperlink>
      <w:r w:rsidRPr="00234417">
        <w:rPr>
          <w:rStyle w:val="TextoNormalCaracter"/>
        </w:rPr>
        <w:t xml:space="preserve">, ff. 2, 3; </w:t>
      </w:r>
      <w:hyperlink w:anchor="AUTO_2013_128" w:history="1">
        <w:r w:rsidRPr="00234417">
          <w:rPr>
            <w:rStyle w:val="TextoNormalCaracter"/>
          </w:rPr>
          <w:t>128/2013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407" w:name="DESCRIPTORALFABETICO54"/>
      <w:r w:rsidRPr="00234417">
        <w:rPr>
          <w:rStyle w:val="TextoNormalNegritaCaracter"/>
        </w:rPr>
        <w:t>Competencias en materia de función pública local</w:t>
      </w:r>
      <w:bookmarkEnd w:id="1407"/>
      <w:r w:rsidRPr="00234417">
        <w:rPr>
          <w:rStyle w:val="TextoNormalCaracter"/>
        </w:rPr>
        <w:t xml:space="preserve">, Sentencia </w:t>
      </w:r>
      <w:hyperlink w:anchor="SENTENCIA_2013_93" w:history="1">
        <w:r w:rsidRPr="00234417">
          <w:rPr>
            <w:rStyle w:val="TextoNormalCaracter"/>
          </w:rPr>
          <w:t>93/2013</w:t>
        </w:r>
      </w:hyperlink>
      <w:r w:rsidRPr="00234417">
        <w:rPr>
          <w:rStyle w:val="TextoNormalCaracter"/>
        </w:rPr>
        <w:t>, f. 13.</w:t>
      </w:r>
    </w:p>
    <w:p w:rsidR="00234417" w:rsidRPr="00234417" w:rsidRDefault="00234417" w:rsidP="00234417">
      <w:pPr>
        <w:pStyle w:val="TextoNormalSangraFrancesa"/>
        <w:rPr>
          <w:rStyle w:val="TextoNormalCaracter"/>
        </w:rPr>
      </w:pPr>
      <w:bookmarkStart w:id="1408" w:name="DESCRIPTORALFABETICO55"/>
      <w:r w:rsidRPr="00234417">
        <w:rPr>
          <w:rStyle w:val="TextoNormalNegritaCaracter"/>
        </w:rPr>
        <w:t>Competencias en materia de fundaciones</w:t>
      </w:r>
      <w:bookmarkEnd w:id="1408"/>
      <w:r w:rsidRPr="00234417">
        <w:rPr>
          <w:rStyle w:val="TextoNormalCaracter"/>
        </w:rPr>
        <w:t xml:space="preserve">, Sentencia </w:t>
      </w:r>
      <w:hyperlink w:anchor="SENTENCIA_2013_98" w:history="1">
        <w:r w:rsidRPr="00234417">
          <w:rPr>
            <w:rStyle w:val="TextoNormalCaracter"/>
          </w:rPr>
          <w:t>98/2013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409" w:name="DESCRIPTORALFABETICO56"/>
      <w:r w:rsidRPr="00234417">
        <w:rPr>
          <w:rStyle w:val="TextoNormalNegritaCaracter"/>
        </w:rPr>
        <w:t>Competencias en materia de investigación científica</w:t>
      </w:r>
      <w:bookmarkEnd w:id="1409"/>
      <w:r w:rsidRPr="00234417">
        <w:rPr>
          <w:rStyle w:val="TextoNormalCaracter"/>
        </w:rPr>
        <w:t xml:space="preserve">, Sentencia </w:t>
      </w:r>
      <w:hyperlink w:anchor="SENTENCIA_2013_49" w:history="1">
        <w:r w:rsidRPr="00234417">
          <w:rPr>
            <w:rStyle w:val="TextoNormalCaracter"/>
          </w:rPr>
          <w:t>49/2013</w:t>
        </w:r>
      </w:hyperlink>
      <w:r w:rsidRPr="00234417">
        <w:rPr>
          <w:rStyle w:val="TextoNormalCaracter"/>
        </w:rPr>
        <w:t>, f. 7.</w:t>
      </w:r>
    </w:p>
    <w:p w:rsidR="00234417" w:rsidRPr="00234417" w:rsidRDefault="00234417" w:rsidP="00234417">
      <w:pPr>
        <w:pStyle w:val="TextoNormalSangraFrancesa"/>
        <w:rPr>
          <w:rStyle w:val="TextoNormalCaracter"/>
        </w:rPr>
      </w:pPr>
      <w:bookmarkStart w:id="1410" w:name="DESCRIPTORALFABETICO57"/>
      <w:r w:rsidRPr="00234417">
        <w:rPr>
          <w:rStyle w:val="TextoNormalNegritaCaracter"/>
        </w:rPr>
        <w:t>Competencias en materia de legislación civil</w:t>
      </w:r>
      <w:bookmarkEnd w:id="1410"/>
      <w:r w:rsidRPr="00234417">
        <w:rPr>
          <w:rStyle w:val="TextoNormalCaracter"/>
        </w:rPr>
        <w:t xml:space="preserve">, Sentencias </w:t>
      </w:r>
      <w:hyperlink w:anchor="SENTENCIA_2013_81" w:history="1">
        <w:r w:rsidRPr="00234417">
          <w:rPr>
            <w:rStyle w:val="TextoNormalCaracter"/>
          </w:rPr>
          <w:t>81/2013</w:t>
        </w:r>
      </w:hyperlink>
      <w:r w:rsidRPr="00234417">
        <w:rPr>
          <w:rStyle w:val="TextoNormalCaracter"/>
        </w:rPr>
        <w:t xml:space="preserve">, f. 4; </w:t>
      </w:r>
      <w:hyperlink w:anchor="SENTENCIA_2013_93" w:history="1">
        <w:r w:rsidRPr="00234417">
          <w:rPr>
            <w:rStyle w:val="TextoNormalCaracter"/>
          </w:rPr>
          <w:t>93/2013</w:t>
        </w:r>
      </w:hyperlink>
      <w:r w:rsidRPr="00234417">
        <w:rPr>
          <w:rStyle w:val="TextoNormalCaracter"/>
        </w:rPr>
        <w:t xml:space="preserve">, ff. 5, 6, VP I; </w:t>
      </w:r>
      <w:hyperlink w:anchor="SENTENCIA_2013_98" w:history="1">
        <w:r w:rsidRPr="00234417">
          <w:rPr>
            <w:rStyle w:val="TextoNormalCaracter"/>
          </w:rPr>
          <w:t>98/2013</w:t>
        </w:r>
      </w:hyperlink>
      <w:r w:rsidRPr="00234417">
        <w:rPr>
          <w:rStyle w:val="TextoNormalCaracter"/>
        </w:rPr>
        <w:t>, ff. 2 a 4.</w:t>
      </w:r>
    </w:p>
    <w:p w:rsidR="00234417" w:rsidRPr="00234417" w:rsidRDefault="00234417" w:rsidP="00234417">
      <w:pPr>
        <w:pStyle w:val="TextoNormalSangraFrancesa"/>
        <w:rPr>
          <w:rStyle w:val="TextoNormalCaracter"/>
        </w:rPr>
      </w:pPr>
      <w:bookmarkStart w:id="1411" w:name="DESCRIPTORALFABETICO58"/>
      <w:r w:rsidRPr="00234417">
        <w:rPr>
          <w:rStyle w:val="TextoNormalNegritaCaracter"/>
        </w:rPr>
        <w:t>Competencias en materia de legislación laboral</w:t>
      </w:r>
      <w:bookmarkEnd w:id="1411"/>
      <w:r w:rsidRPr="00234417">
        <w:rPr>
          <w:rStyle w:val="TextoNormalCaracter"/>
        </w:rPr>
        <w:t xml:space="preserve">, Sentencias </w:t>
      </w:r>
      <w:hyperlink w:anchor="SENTENCIA_2013_37" w:history="1">
        <w:r w:rsidRPr="00234417">
          <w:rPr>
            <w:rStyle w:val="TextoNormalCaracter"/>
          </w:rPr>
          <w:t>37/2013</w:t>
        </w:r>
      </w:hyperlink>
      <w:r w:rsidRPr="00234417">
        <w:rPr>
          <w:rStyle w:val="TextoNormalCaracter"/>
        </w:rPr>
        <w:t xml:space="preserve">, f. 4; </w:t>
      </w:r>
      <w:hyperlink w:anchor="SENTENCIA_2013_81" w:history="1">
        <w:r w:rsidRPr="00234417">
          <w:rPr>
            <w:rStyle w:val="TextoNormalCaracter"/>
          </w:rPr>
          <w:t>81/2013</w:t>
        </w:r>
      </w:hyperlink>
      <w:r w:rsidRPr="00234417">
        <w:rPr>
          <w:rStyle w:val="TextoNormalCaracter"/>
        </w:rPr>
        <w:t>, f. 6, VP.</w:t>
      </w:r>
    </w:p>
    <w:p w:rsidR="00234417" w:rsidRPr="00234417" w:rsidRDefault="00234417" w:rsidP="00234417">
      <w:pPr>
        <w:pStyle w:val="TextoNormalSangraFrancesa"/>
        <w:rPr>
          <w:rStyle w:val="TextoNormalCaracter"/>
        </w:rPr>
      </w:pPr>
      <w:bookmarkStart w:id="1412" w:name="DESCRIPTORALFABETICO59"/>
      <w:r w:rsidRPr="00234417">
        <w:rPr>
          <w:rStyle w:val="TextoNormalNegritaCaracter"/>
        </w:rPr>
        <w:t>Competencias en materia de legislación procesal</w:t>
      </w:r>
      <w:bookmarkEnd w:id="1412"/>
      <w:r w:rsidRPr="00234417">
        <w:rPr>
          <w:rStyle w:val="TextoNormalCaracter"/>
        </w:rPr>
        <w:t xml:space="preserve">, Sentencias </w:t>
      </w:r>
      <w:hyperlink w:anchor="SENTENCIA_2013_42" w:history="1">
        <w:r w:rsidRPr="00234417">
          <w:rPr>
            <w:rStyle w:val="TextoNormalCaracter"/>
          </w:rPr>
          <w:t>42/2013</w:t>
        </w:r>
      </w:hyperlink>
      <w:r w:rsidRPr="00234417">
        <w:rPr>
          <w:rStyle w:val="TextoNormalCaracter"/>
        </w:rPr>
        <w:t xml:space="preserve">, ff. 1, 3; </w:t>
      </w:r>
      <w:hyperlink w:anchor="SENTENCIA_2013_92" w:history="1">
        <w:r w:rsidRPr="00234417">
          <w:rPr>
            <w:rStyle w:val="TextoNormalCaracter"/>
          </w:rPr>
          <w:t>92/2013</w:t>
        </w:r>
      </w:hyperlink>
      <w:r w:rsidRPr="00234417">
        <w:rPr>
          <w:rStyle w:val="TextoNormalCaracter"/>
        </w:rPr>
        <w:t>, ff. 4 a 6.</w:t>
      </w:r>
    </w:p>
    <w:p w:rsidR="00234417" w:rsidRPr="00234417" w:rsidRDefault="00234417" w:rsidP="00234417">
      <w:pPr>
        <w:pStyle w:val="TextoNormalSangraFrancesa"/>
        <w:rPr>
          <w:rStyle w:val="TextoNormalCaracter"/>
        </w:rPr>
      </w:pPr>
      <w:bookmarkStart w:id="1413" w:name="DESCRIPTORALFABETICO60"/>
      <w:r w:rsidRPr="00234417">
        <w:rPr>
          <w:rStyle w:val="TextoNormalNegritaCaracter"/>
        </w:rPr>
        <w:t>Competencias en materia de medio ambiente</w:t>
      </w:r>
      <w:bookmarkEnd w:id="1413"/>
      <w:r w:rsidRPr="00234417">
        <w:rPr>
          <w:rStyle w:val="TextoNormalCaracter"/>
        </w:rPr>
        <w:t xml:space="preserve">, Sentencias </w:t>
      </w:r>
      <w:hyperlink w:anchor="SENTENCIA_2013_5" w:history="1">
        <w:r w:rsidRPr="00234417">
          <w:rPr>
            <w:rStyle w:val="TextoNormalCaracter"/>
          </w:rPr>
          <w:t>5/2013</w:t>
        </w:r>
      </w:hyperlink>
      <w:r w:rsidRPr="00234417">
        <w:rPr>
          <w:rStyle w:val="TextoNormalCaracter"/>
        </w:rPr>
        <w:t xml:space="preserve">, ff. 3, 5; </w:t>
      </w:r>
      <w:hyperlink w:anchor="SENTENCIA_2013_59" w:history="1">
        <w:r w:rsidRPr="00234417">
          <w:rPr>
            <w:rStyle w:val="TextoNormalCaracter"/>
          </w:rPr>
          <w:t>59/2013</w:t>
        </w:r>
      </w:hyperlink>
      <w:r w:rsidRPr="00234417">
        <w:rPr>
          <w:rStyle w:val="TextoNormalCaracter"/>
        </w:rPr>
        <w:t xml:space="preserve">, ff. 3, 4; </w:t>
      </w:r>
      <w:hyperlink w:anchor="SENTENCIA_2013_60" w:history="1">
        <w:r w:rsidRPr="00234417">
          <w:rPr>
            <w:rStyle w:val="TextoNormalCaracter"/>
          </w:rPr>
          <w:t>60/2013</w:t>
        </w:r>
      </w:hyperlink>
      <w:r w:rsidRPr="00234417">
        <w:rPr>
          <w:rStyle w:val="TextoNormalCaracter"/>
        </w:rPr>
        <w:t xml:space="preserve">, f. 2; </w:t>
      </w:r>
      <w:hyperlink w:anchor="SENTENCIA_2013_69" w:history="1">
        <w:r w:rsidRPr="00234417">
          <w:rPr>
            <w:rStyle w:val="TextoNormalCaracter"/>
          </w:rPr>
          <w:t>69/2013</w:t>
        </w:r>
      </w:hyperlink>
      <w:r w:rsidRPr="00234417">
        <w:rPr>
          <w:rStyle w:val="TextoNormalCaracter"/>
        </w:rPr>
        <w:t xml:space="preserve">, ff. 2, 4, 5, 6; </w:t>
      </w:r>
      <w:hyperlink w:anchor="SENTENCIA_2013_80" w:history="1">
        <w:r w:rsidRPr="00234417">
          <w:rPr>
            <w:rStyle w:val="TextoNormalCaracter"/>
          </w:rPr>
          <w:t>80/2013</w:t>
        </w:r>
      </w:hyperlink>
      <w:r w:rsidRPr="00234417">
        <w:rPr>
          <w:rStyle w:val="TextoNormalCaracter"/>
        </w:rPr>
        <w:t xml:space="preserve">, ff. 3, 4; </w:t>
      </w:r>
      <w:hyperlink w:anchor="SENTENCIA_2013_84" w:history="1">
        <w:r w:rsidRPr="00234417">
          <w:rPr>
            <w:rStyle w:val="TextoNormalCaracter"/>
          </w:rPr>
          <w:t>84/2013</w:t>
        </w:r>
      </w:hyperlink>
      <w:r w:rsidRPr="00234417">
        <w:rPr>
          <w:rStyle w:val="TextoNormalCaracter"/>
        </w:rPr>
        <w:t xml:space="preserve">, f. 2; </w:t>
      </w:r>
      <w:hyperlink w:anchor="SENTENCIA_2013_87" w:history="1">
        <w:r w:rsidRPr="00234417">
          <w:rPr>
            <w:rStyle w:val="TextoNormalCaracter"/>
          </w:rPr>
          <w:t>87/2013</w:t>
        </w:r>
      </w:hyperlink>
      <w:r w:rsidRPr="00234417">
        <w:rPr>
          <w:rStyle w:val="TextoNormalCaracter"/>
        </w:rPr>
        <w:t xml:space="preserve">, ff. 3, 4, 5, 6; </w:t>
      </w:r>
      <w:hyperlink w:anchor="SENTENCIA_2013_96" w:history="1">
        <w:r w:rsidRPr="00234417">
          <w:rPr>
            <w:rStyle w:val="TextoNormalCaracter"/>
          </w:rPr>
          <w:t>96/2013</w:t>
        </w:r>
      </w:hyperlink>
      <w:r w:rsidRPr="00234417">
        <w:rPr>
          <w:rStyle w:val="TextoNormalCaracter"/>
        </w:rPr>
        <w:t xml:space="preserve">, ff. 5, 8; </w:t>
      </w:r>
      <w:hyperlink w:anchor="SENTENCIA_2013_97" w:history="1">
        <w:r w:rsidRPr="00234417">
          <w:rPr>
            <w:rStyle w:val="TextoNormalCaracter"/>
          </w:rPr>
          <w:t>97/2013</w:t>
        </w:r>
      </w:hyperlink>
      <w:r w:rsidRPr="00234417">
        <w:rPr>
          <w:rStyle w:val="TextoNormalCaracter"/>
        </w:rPr>
        <w:t xml:space="preserve">, ff. 3, 4; </w:t>
      </w:r>
      <w:hyperlink w:anchor="SENTENCIA_2013_102" w:history="1">
        <w:r w:rsidRPr="00234417">
          <w:rPr>
            <w:rStyle w:val="TextoNormalCaracter"/>
          </w:rPr>
          <w:t>102/2013</w:t>
        </w:r>
      </w:hyperlink>
      <w:r w:rsidRPr="00234417">
        <w:rPr>
          <w:rStyle w:val="TextoNormalCaracter"/>
        </w:rPr>
        <w:t xml:space="preserve">, ff. 6, 9, 10; </w:t>
      </w:r>
      <w:hyperlink w:anchor="SENTENCIA_2013_104" w:history="1">
        <w:r w:rsidRPr="00234417">
          <w:rPr>
            <w:rStyle w:val="TextoNormalCaracter"/>
          </w:rPr>
          <w:t>104/2013</w:t>
        </w:r>
      </w:hyperlink>
      <w:r w:rsidRPr="00234417">
        <w:rPr>
          <w:rStyle w:val="TextoNormalCaracter"/>
        </w:rPr>
        <w:t xml:space="preserve">, ff. 5, 6, 7; </w:t>
      </w:r>
      <w:hyperlink w:anchor="SENTENCIA_2013_111" w:history="1">
        <w:r w:rsidRPr="00234417">
          <w:rPr>
            <w:rStyle w:val="TextoNormalCaracter"/>
          </w:rPr>
          <w:t>111/2013</w:t>
        </w:r>
      </w:hyperlink>
      <w:r w:rsidRPr="00234417">
        <w:rPr>
          <w:rStyle w:val="TextoNormalCaracter"/>
        </w:rPr>
        <w:t xml:space="preserve">, ff. 2, 3, 4; </w:t>
      </w:r>
      <w:hyperlink w:anchor="SENTENCIA_2013_113" w:history="1">
        <w:r w:rsidRPr="00234417">
          <w:rPr>
            <w:rStyle w:val="TextoNormalCaracter"/>
          </w:rPr>
          <w:t>113/2013</w:t>
        </w:r>
      </w:hyperlink>
      <w:r w:rsidRPr="00234417">
        <w:rPr>
          <w:rStyle w:val="TextoNormalCaracter"/>
        </w:rPr>
        <w:t xml:space="preserve">, f. 4; </w:t>
      </w:r>
      <w:hyperlink w:anchor="SENTENCIA_2013_114" w:history="1">
        <w:r w:rsidRPr="00234417">
          <w:rPr>
            <w:rStyle w:val="TextoNormalCaracter"/>
          </w:rPr>
          <w:t>114/2013</w:t>
        </w:r>
      </w:hyperlink>
      <w:r w:rsidRPr="00234417">
        <w:rPr>
          <w:rStyle w:val="TextoNormalCaracter"/>
        </w:rPr>
        <w:t xml:space="preserve">, f. 4; </w:t>
      </w:r>
      <w:hyperlink w:anchor="SENTENCIA_2013_129" w:history="1">
        <w:r w:rsidRPr="00234417">
          <w:rPr>
            <w:rStyle w:val="TextoNormalCaracter"/>
          </w:rPr>
          <w:t>129/2013</w:t>
        </w:r>
      </w:hyperlink>
      <w:r w:rsidRPr="00234417">
        <w:rPr>
          <w:rStyle w:val="TextoNormalCaracter"/>
        </w:rPr>
        <w:t xml:space="preserve">, f. 8; </w:t>
      </w:r>
      <w:hyperlink w:anchor="SENTENCIA_2013_138" w:history="1">
        <w:r w:rsidRPr="00234417">
          <w:rPr>
            <w:rStyle w:val="TextoNormalCaracter"/>
          </w:rPr>
          <w:t>138/2013</w:t>
        </w:r>
      </w:hyperlink>
      <w:r w:rsidRPr="00234417">
        <w:rPr>
          <w:rStyle w:val="TextoNormalCaracter"/>
        </w:rPr>
        <w:t>, ff. 2, 3, 4, 5, 6, 7, 8, 9, 10, 11.</w:t>
      </w:r>
    </w:p>
    <w:p w:rsidR="00234417" w:rsidRPr="00234417" w:rsidRDefault="00234417" w:rsidP="00234417">
      <w:pPr>
        <w:pStyle w:val="TextoNormalSangraFrancesa"/>
        <w:rPr>
          <w:rStyle w:val="TextoNormalCaracter"/>
        </w:rPr>
      </w:pPr>
      <w:bookmarkStart w:id="1414" w:name="DESCRIPTORALFABETICO61"/>
      <w:r w:rsidRPr="00234417">
        <w:rPr>
          <w:rStyle w:val="TextoNormalNegritaCaracter"/>
        </w:rPr>
        <w:t>Competencias en materia de medios de comunicación</w:t>
      </w:r>
      <w:bookmarkEnd w:id="1414"/>
      <w:r w:rsidRPr="00234417">
        <w:rPr>
          <w:rStyle w:val="TextoNormalCaracter"/>
        </w:rPr>
        <w:t xml:space="preserve">, Auto </w:t>
      </w:r>
      <w:hyperlink w:anchor="AUTO_2013_60" w:history="1">
        <w:r w:rsidRPr="00234417">
          <w:rPr>
            <w:rStyle w:val="TextoNormalCaracter"/>
          </w:rPr>
          <w:t>60/2013</w:t>
        </w:r>
      </w:hyperlink>
      <w:r w:rsidRPr="00234417">
        <w:rPr>
          <w:rStyle w:val="TextoNormalCaracter"/>
        </w:rPr>
        <w:t>, ff. 2 a 5.</w:t>
      </w:r>
    </w:p>
    <w:p w:rsidR="00234417" w:rsidRPr="00234417" w:rsidRDefault="00234417" w:rsidP="00234417">
      <w:pPr>
        <w:pStyle w:val="TextoNormalSangraFrancesa"/>
        <w:rPr>
          <w:rStyle w:val="TextoNormalCaracter"/>
        </w:rPr>
      </w:pPr>
      <w:bookmarkStart w:id="1415" w:name="DESCRIPTORALFABETICO62"/>
      <w:r w:rsidRPr="00234417">
        <w:rPr>
          <w:rStyle w:val="TextoNormalNegritaCaracter"/>
        </w:rPr>
        <w:t>Competencias en materia de montes</w:t>
      </w:r>
      <w:bookmarkEnd w:id="1415"/>
      <w:r w:rsidRPr="00234417">
        <w:rPr>
          <w:rStyle w:val="TextoNormalCaracter"/>
        </w:rPr>
        <w:t xml:space="preserve">, Sentencias </w:t>
      </w:r>
      <w:hyperlink w:anchor="SENTENCIA_2013_49" w:history="1">
        <w:r w:rsidRPr="00234417">
          <w:rPr>
            <w:rStyle w:val="TextoNormalCaracter"/>
          </w:rPr>
          <w:t>49/2013</w:t>
        </w:r>
      </w:hyperlink>
      <w:r w:rsidRPr="00234417">
        <w:rPr>
          <w:rStyle w:val="TextoNormalCaracter"/>
        </w:rPr>
        <w:t xml:space="preserve">, ff. 7 a 12; </w:t>
      </w:r>
      <w:hyperlink w:anchor="SENTENCIA_2013_84" w:history="1">
        <w:r w:rsidRPr="00234417">
          <w:rPr>
            <w:rStyle w:val="TextoNormalCaracter"/>
          </w:rPr>
          <w:t>84/2013</w:t>
        </w:r>
      </w:hyperlink>
      <w:r w:rsidRPr="00234417">
        <w:rPr>
          <w:rStyle w:val="TextoNormalCaracter"/>
        </w:rPr>
        <w:t xml:space="preserve">, f. 2; </w:t>
      </w:r>
      <w:hyperlink w:anchor="SENTENCIA_2013_97" w:history="1">
        <w:r w:rsidRPr="00234417">
          <w:rPr>
            <w:rStyle w:val="TextoNormalCaracter"/>
          </w:rPr>
          <w:t>97/2013</w:t>
        </w:r>
      </w:hyperlink>
      <w:r w:rsidRPr="00234417">
        <w:rPr>
          <w:rStyle w:val="TextoNormalCaracter"/>
        </w:rPr>
        <w:t>, f. 3.</w:t>
      </w:r>
    </w:p>
    <w:p w:rsidR="00234417" w:rsidRPr="00234417" w:rsidRDefault="00234417" w:rsidP="00234417">
      <w:pPr>
        <w:pStyle w:val="TextoNormalSangraFrancesa"/>
        <w:rPr>
          <w:rStyle w:val="TextoNormalCaracter"/>
        </w:rPr>
      </w:pPr>
      <w:bookmarkStart w:id="1416" w:name="DESCRIPTORALFABETICO63"/>
      <w:r w:rsidRPr="00234417">
        <w:rPr>
          <w:rStyle w:val="TextoNormalNegritaCaracter"/>
        </w:rPr>
        <w:t>Competencias en materia de ordenación del territorio</w:t>
      </w:r>
      <w:bookmarkEnd w:id="1416"/>
      <w:r w:rsidRPr="00234417">
        <w:rPr>
          <w:rStyle w:val="TextoNormalCaracter"/>
        </w:rPr>
        <w:t xml:space="preserve">, Sentencias </w:t>
      </w:r>
      <w:hyperlink w:anchor="SENTENCIA_2013_84" w:history="1">
        <w:r w:rsidRPr="00234417">
          <w:rPr>
            <w:rStyle w:val="TextoNormalCaracter"/>
          </w:rPr>
          <w:t>84/2013</w:t>
        </w:r>
      </w:hyperlink>
      <w:r w:rsidRPr="00234417">
        <w:rPr>
          <w:rStyle w:val="TextoNormalCaracter"/>
        </w:rPr>
        <w:t xml:space="preserve">, ff. 2, 4; </w:t>
      </w:r>
      <w:hyperlink w:anchor="SENTENCIA_2013_94" w:history="1">
        <w:r w:rsidRPr="00234417">
          <w:rPr>
            <w:rStyle w:val="TextoNormalCaracter"/>
          </w:rPr>
          <w:t>94/2013</w:t>
        </w:r>
      </w:hyperlink>
      <w:r w:rsidRPr="00234417">
        <w:rPr>
          <w:rStyle w:val="TextoNormalCaracter"/>
        </w:rPr>
        <w:t xml:space="preserve">, f. 8, VP I, VP II; </w:t>
      </w:r>
      <w:hyperlink w:anchor="SENTENCIA_2013_96" w:history="1">
        <w:r w:rsidRPr="00234417">
          <w:rPr>
            <w:rStyle w:val="TextoNormalCaracter"/>
          </w:rPr>
          <w:t>96/2013</w:t>
        </w:r>
      </w:hyperlink>
      <w:r w:rsidRPr="00234417">
        <w:rPr>
          <w:rStyle w:val="TextoNormalCaracter"/>
        </w:rPr>
        <w:t xml:space="preserve">, f. 5; </w:t>
      </w:r>
      <w:hyperlink w:anchor="SENTENCIA_2013_129" w:history="1">
        <w:r w:rsidRPr="00234417">
          <w:rPr>
            <w:rStyle w:val="TextoNormalCaracter"/>
          </w:rPr>
          <w:t>129/2013</w:t>
        </w:r>
      </w:hyperlink>
      <w:r w:rsidRPr="00234417">
        <w:rPr>
          <w:rStyle w:val="TextoNormalCaracter"/>
        </w:rPr>
        <w:t>, ff. 8, 9.</w:t>
      </w:r>
    </w:p>
    <w:p w:rsidR="00234417" w:rsidRPr="00234417" w:rsidRDefault="00234417" w:rsidP="00234417">
      <w:pPr>
        <w:pStyle w:val="TextoNormalSangraFrancesa"/>
        <w:rPr>
          <w:rStyle w:val="TextoNormalNegritaCaracter"/>
        </w:rPr>
      </w:pPr>
      <w:r w:rsidRPr="00234417">
        <w:rPr>
          <w:rStyle w:val="TextoNormalCursivaCaracter"/>
        </w:rPr>
        <w:t>Competencias en materia de ordenación farmacéutica</w:t>
      </w:r>
      <w:r>
        <w:t xml:space="preserve"> véase </w:t>
      </w:r>
      <w:hyperlink w:anchor="DESCRIPTORALFABETICO41" w:history="1">
        <w:r w:rsidRPr="00234417">
          <w:rPr>
            <w:rStyle w:val="TextoNormalNegritaCaracter"/>
          </w:rPr>
          <w:t>Competencias en materia de atención farmacéutica</w:t>
        </w:r>
      </w:hyperlink>
    </w:p>
    <w:p w:rsidR="00234417" w:rsidRPr="00234417" w:rsidRDefault="00234417" w:rsidP="00234417">
      <w:pPr>
        <w:pStyle w:val="TextoNormalSangraFrancesa"/>
        <w:rPr>
          <w:rStyle w:val="TextoNormalCaracter"/>
        </w:rPr>
      </w:pPr>
      <w:bookmarkStart w:id="1417" w:name="DESCRIPTORALFABETICO64"/>
      <w:r w:rsidRPr="00234417">
        <w:rPr>
          <w:rStyle w:val="TextoNormalNegritaCaracter"/>
        </w:rPr>
        <w:t>Competencias en materia de pesca</w:t>
      </w:r>
      <w:bookmarkEnd w:id="1417"/>
      <w:r w:rsidRPr="00234417">
        <w:rPr>
          <w:rStyle w:val="TextoNormalCaracter"/>
        </w:rPr>
        <w:t xml:space="preserve">, Sentencia </w:t>
      </w:r>
      <w:hyperlink w:anchor="SENTENCIA_2013_69" w:history="1">
        <w:r w:rsidRPr="00234417">
          <w:rPr>
            <w:rStyle w:val="TextoNormalCaracter"/>
          </w:rPr>
          <w:t>69/2013</w:t>
        </w:r>
      </w:hyperlink>
      <w:r w:rsidRPr="00234417">
        <w:rPr>
          <w:rStyle w:val="TextoNormalCaracter"/>
        </w:rPr>
        <w:t>, f. 6.</w:t>
      </w:r>
    </w:p>
    <w:p w:rsidR="00234417" w:rsidRPr="00234417" w:rsidRDefault="00234417" w:rsidP="00234417">
      <w:pPr>
        <w:pStyle w:val="TextoNormalSangraFrancesa"/>
        <w:rPr>
          <w:rStyle w:val="TextoNormalCaracter"/>
        </w:rPr>
      </w:pPr>
      <w:bookmarkStart w:id="1418" w:name="DESCRIPTORALFABETICO65"/>
      <w:r w:rsidRPr="00234417">
        <w:rPr>
          <w:rStyle w:val="TextoNormalNegritaCaracter"/>
        </w:rPr>
        <w:lastRenderedPageBreak/>
        <w:t>Competencias en materia de planificación económica</w:t>
      </w:r>
      <w:bookmarkEnd w:id="1418"/>
      <w:r w:rsidRPr="00234417">
        <w:rPr>
          <w:rStyle w:val="TextoNormalCaracter"/>
        </w:rPr>
        <w:t xml:space="preserve">, Sentencias </w:t>
      </w:r>
      <w:hyperlink w:anchor="SENTENCIA_2013_70" w:history="1">
        <w:r w:rsidRPr="00234417">
          <w:rPr>
            <w:rStyle w:val="TextoNormalCaracter"/>
          </w:rPr>
          <w:t>70/2013</w:t>
        </w:r>
      </w:hyperlink>
      <w:r w:rsidRPr="00234417">
        <w:rPr>
          <w:rStyle w:val="TextoNormalCaracter"/>
        </w:rPr>
        <w:t xml:space="preserve">, f. 4 b); </w:t>
      </w:r>
      <w:hyperlink w:anchor="SENTENCIA_2013_112" w:history="1">
        <w:r w:rsidRPr="00234417">
          <w:rPr>
            <w:rStyle w:val="TextoNormalCaracter"/>
          </w:rPr>
          <w:t>112/2013</w:t>
        </w:r>
      </w:hyperlink>
      <w:r w:rsidRPr="00234417">
        <w:rPr>
          <w:rStyle w:val="TextoNormalCaracter"/>
        </w:rPr>
        <w:t xml:space="preserve">, f. 3; </w:t>
      </w:r>
      <w:hyperlink w:anchor="SENTENCIA_2013_130" w:history="1">
        <w:r w:rsidRPr="00234417">
          <w:rPr>
            <w:rStyle w:val="TextoNormalCaracter"/>
          </w:rPr>
          <w:t>130/2013</w:t>
        </w:r>
      </w:hyperlink>
      <w:r w:rsidRPr="00234417">
        <w:rPr>
          <w:rStyle w:val="TextoNormalCaracter"/>
        </w:rPr>
        <w:t xml:space="preserve">, f. 5; </w:t>
      </w:r>
      <w:hyperlink w:anchor="SENTENCIA_2013_135" w:history="1">
        <w:r w:rsidRPr="00234417">
          <w:rPr>
            <w:rStyle w:val="TextoNormalCaracter"/>
          </w:rPr>
          <w:t>135/2013</w:t>
        </w:r>
      </w:hyperlink>
      <w:r w:rsidRPr="00234417">
        <w:rPr>
          <w:rStyle w:val="TextoNormalCaracter"/>
        </w:rPr>
        <w:t>, f. 4.</w:t>
      </w:r>
    </w:p>
    <w:p w:rsidR="00234417" w:rsidRPr="00234417" w:rsidRDefault="00234417" w:rsidP="00234417">
      <w:pPr>
        <w:pStyle w:val="TextoNormalSangraFrancesa"/>
        <w:rPr>
          <w:rStyle w:val="TextoNormalCaracter"/>
        </w:rPr>
      </w:pPr>
      <w:bookmarkStart w:id="1419" w:name="DESCRIPTORALFABETICO66"/>
      <w:r w:rsidRPr="00234417">
        <w:rPr>
          <w:rStyle w:val="TextoNormalNegritaCaracter"/>
        </w:rPr>
        <w:t>Competencias en materia de protección civil</w:t>
      </w:r>
      <w:bookmarkEnd w:id="1419"/>
      <w:r w:rsidRPr="00234417">
        <w:rPr>
          <w:rStyle w:val="TextoNormalCaracter"/>
        </w:rPr>
        <w:t xml:space="preserve">, Sentencia </w:t>
      </w:r>
      <w:hyperlink w:anchor="SENTENCIA_2013_49" w:history="1">
        <w:r w:rsidRPr="00234417">
          <w:rPr>
            <w:rStyle w:val="TextoNormalCaracter"/>
          </w:rPr>
          <w:t>49/2013</w:t>
        </w:r>
      </w:hyperlink>
      <w:r w:rsidRPr="00234417">
        <w:rPr>
          <w:rStyle w:val="TextoNormalCaracter"/>
        </w:rPr>
        <w:t>, f. 12.</w:t>
      </w:r>
    </w:p>
    <w:p w:rsidR="00234417" w:rsidRPr="00234417" w:rsidRDefault="00234417" w:rsidP="00234417">
      <w:pPr>
        <w:pStyle w:val="TextoNormalSangraFrancesa"/>
        <w:rPr>
          <w:rStyle w:val="TextoNormalCaracter"/>
        </w:rPr>
      </w:pPr>
      <w:bookmarkStart w:id="1420" w:name="DESCRIPTORALFABETICO67"/>
      <w:r w:rsidRPr="00234417">
        <w:rPr>
          <w:rStyle w:val="TextoNormalNegritaCaracter"/>
        </w:rPr>
        <w:t>Competencias en materia de régimen energético</w:t>
      </w:r>
      <w:bookmarkEnd w:id="1420"/>
      <w:r w:rsidRPr="00234417">
        <w:rPr>
          <w:rStyle w:val="TextoNormalCaracter"/>
        </w:rPr>
        <w:t xml:space="preserve">, Sentencias </w:t>
      </w:r>
      <w:hyperlink w:anchor="SENTENCIA_2013_4" w:history="1">
        <w:r w:rsidRPr="00234417">
          <w:rPr>
            <w:rStyle w:val="TextoNormalCaracter"/>
          </w:rPr>
          <w:t>4/2013</w:t>
        </w:r>
      </w:hyperlink>
      <w:r w:rsidRPr="00234417">
        <w:rPr>
          <w:rStyle w:val="TextoNormalCaracter"/>
        </w:rPr>
        <w:t xml:space="preserve">, ff. 1, 2, 3, 4, 5, 6, 7, 8, 9, 10, 11; </w:t>
      </w:r>
      <w:hyperlink w:anchor="SENTENCIA_2013_8" w:history="1">
        <w:r w:rsidRPr="00234417">
          <w:rPr>
            <w:rStyle w:val="TextoNormalCaracter"/>
          </w:rPr>
          <w:t>8/2013</w:t>
        </w:r>
      </w:hyperlink>
      <w:r w:rsidRPr="00234417">
        <w:rPr>
          <w:rStyle w:val="TextoNormalCaracter"/>
        </w:rPr>
        <w:t xml:space="preserve">, ff. 3, 4, 5, 9; </w:t>
      </w:r>
      <w:hyperlink w:anchor="SENTENCIA_2013_39" w:history="1">
        <w:r w:rsidRPr="00234417">
          <w:rPr>
            <w:rStyle w:val="TextoNormalCaracter"/>
          </w:rPr>
          <w:t>39/2013</w:t>
        </w:r>
      </w:hyperlink>
      <w:r w:rsidRPr="00234417">
        <w:rPr>
          <w:rStyle w:val="TextoNormalCaracter"/>
        </w:rPr>
        <w:t xml:space="preserve">, ff. 6, 7, 8, 9; </w:t>
      </w:r>
      <w:hyperlink w:anchor="SENTENCIA_2013_60" w:history="1">
        <w:r w:rsidRPr="00234417">
          <w:rPr>
            <w:rStyle w:val="TextoNormalCaracter"/>
          </w:rPr>
          <w:t>60/2013</w:t>
        </w:r>
      </w:hyperlink>
      <w:r w:rsidRPr="00234417">
        <w:rPr>
          <w:rStyle w:val="TextoNormalCaracter"/>
        </w:rPr>
        <w:t xml:space="preserve">, f. 2; </w:t>
      </w:r>
      <w:hyperlink w:anchor="SENTENCIA_2013_102" w:history="1">
        <w:r w:rsidRPr="00234417">
          <w:rPr>
            <w:rStyle w:val="TextoNormalCaracter"/>
          </w:rPr>
          <w:t>102/2013</w:t>
        </w:r>
      </w:hyperlink>
      <w:r w:rsidRPr="00234417">
        <w:rPr>
          <w:rStyle w:val="TextoNormalCaracter"/>
        </w:rPr>
        <w:t xml:space="preserve">, ff. 3 a 6, 8; </w:t>
      </w:r>
      <w:hyperlink w:anchor="SENTENCIA_2013_123" w:history="1">
        <w:r w:rsidRPr="00234417">
          <w:rPr>
            <w:rStyle w:val="TextoNormalCaracter"/>
          </w:rPr>
          <w:t>123/2013</w:t>
        </w:r>
      </w:hyperlink>
      <w:r w:rsidRPr="00234417">
        <w:rPr>
          <w:rStyle w:val="TextoNormalCaracter"/>
        </w:rPr>
        <w:t>, ff. 4 a 8.</w:t>
      </w:r>
    </w:p>
    <w:p w:rsidR="00234417" w:rsidRPr="00234417" w:rsidRDefault="00234417" w:rsidP="00234417">
      <w:pPr>
        <w:pStyle w:val="TextoNormalSangraFrancesa"/>
        <w:rPr>
          <w:rStyle w:val="TextoNormalCaracter"/>
        </w:rPr>
      </w:pPr>
      <w:bookmarkStart w:id="1421" w:name="DESCRIPTORALFABETICO68"/>
      <w:r w:rsidRPr="00234417">
        <w:rPr>
          <w:rStyle w:val="TextoNormalNegritaCaracter"/>
        </w:rPr>
        <w:t>Competencias en materia de régimen local</w:t>
      </w:r>
      <w:bookmarkEnd w:id="1421"/>
      <w:r w:rsidRPr="00234417">
        <w:rPr>
          <w:rStyle w:val="TextoNormalCaracter"/>
        </w:rPr>
        <w:t xml:space="preserve">, Sentencias </w:t>
      </w:r>
      <w:hyperlink w:anchor="SENTENCIA_2013_36" w:history="1">
        <w:r w:rsidRPr="00234417">
          <w:rPr>
            <w:rStyle w:val="TextoNormalCaracter"/>
          </w:rPr>
          <w:t>36/2013</w:t>
        </w:r>
      </w:hyperlink>
      <w:r w:rsidRPr="00234417">
        <w:rPr>
          <w:rStyle w:val="TextoNormalCaracter"/>
        </w:rPr>
        <w:t xml:space="preserve">, f. 8; </w:t>
      </w:r>
      <w:hyperlink w:anchor="SENTENCIA_2013_103" w:history="1">
        <w:r w:rsidRPr="00234417">
          <w:rPr>
            <w:rStyle w:val="TextoNormalCaracter"/>
          </w:rPr>
          <w:t>103/2013</w:t>
        </w:r>
      </w:hyperlink>
      <w:r w:rsidRPr="00234417">
        <w:rPr>
          <w:rStyle w:val="TextoNormalCaracter"/>
        </w:rPr>
        <w:t>, ff. 2, 3, 4, 5, 6.</w:t>
      </w:r>
    </w:p>
    <w:p w:rsidR="00234417" w:rsidRPr="00234417" w:rsidRDefault="00234417" w:rsidP="00234417">
      <w:pPr>
        <w:pStyle w:val="TextoNormalSangraFrancesa"/>
        <w:rPr>
          <w:rStyle w:val="TextoNormalCaracter"/>
        </w:rPr>
      </w:pPr>
      <w:bookmarkStart w:id="1422" w:name="DESCRIPTORALFABETICO69"/>
      <w:r w:rsidRPr="00234417">
        <w:rPr>
          <w:rStyle w:val="TextoNormalNegritaCaracter"/>
        </w:rPr>
        <w:t>Competencias en materia de registros públicos</w:t>
      </w:r>
      <w:bookmarkEnd w:id="1422"/>
      <w:r w:rsidRPr="00234417">
        <w:rPr>
          <w:rStyle w:val="TextoNormalCaracter"/>
        </w:rPr>
        <w:t xml:space="preserve">, Sentencias </w:t>
      </w:r>
      <w:hyperlink w:anchor="SENTENCIA_2013_81" w:history="1">
        <w:r w:rsidRPr="00234417">
          <w:rPr>
            <w:rStyle w:val="TextoNormalCaracter"/>
          </w:rPr>
          <w:t>81/2013</w:t>
        </w:r>
      </w:hyperlink>
      <w:r w:rsidRPr="00234417">
        <w:rPr>
          <w:rStyle w:val="TextoNormalCaracter"/>
        </w:rPr>
        <w:t xml:space="preserve">, f. 5, VP; </w:t>
      </w:r>
      <w:hyperlink w:anchor="SENTENCIA_2013_94" w:history="1">
        <w:r w:rsidRPr="00234417">
          <w:rPr>
            <w:rStyle w:val="TextoNormalCaracter"/>
          </w:rPr>
          <w:t>94/2013</w:t>
        </w:r>
      </w:hyperlink>
      <w:r w:rsidRPr="00234417">
        <w:rPr>
          <w:rStyle w:val="TextoNormalCaracter"/>
        </w:rPr>
        <w:t>, f. 7.</w:t>
      </w:r>
    </w:p>
    <w:p w:rsidR="00234417" w:rsidRPr="00234417" w:rsidRDefault="00234417" w:rsidP="00234417">
      <w:pPr>
        <w:pStyle w:val="TextoNormalSangraFrancesa"/>
        <w:rPr>
          <w:rStyle w:val="TextoNormalCaracter"/>
        </w:rPr>
      </w:pPr>
      <w:bookmarkStart w:id="1423" w:name="DESCRIPTORALFABETICO70"/>
      <w:r w:rsidRPr="00234417">
        <w:rPr>
          <w:rStyle w:val="TextoNormalNegritaCaracter"/>
        </w:rPr>
        <w:t>Competencias en materia de regulación de condiciones básicas de igualdad</w:t>
      </w:r>
      <w:bookmarkEnd w:id="1423"/>
      <w:r w:rsidRPr="00234417">
        <w:rPr>
          <w:rStyle w:val="TextoNormalCaracter"/>
        </w:rPr>
        <w:t xml:space="preserve">, Sentencias </w:t>
      </w:r>
      <w:hyperlink w:anchor="SENTENCIA_2013_6" w:history="1">
        <w:r w:rsidRPr="00234417">
          <w:rPr>
            <w:rStyle w:val="TextoNormalCaracter"/>
          </w:rPr>
          <w:t>6/2013</w:t>
        </w:r>
      </w:hyperlink>
      <w:r w:rsidRPr="00234417">
        <w:rPr>
          <w:rStyle w:val="TextoNormalCaracter"/>
        </w:rPr>
        <w:t xml:space="preserve">, ff. 3, 4, 7; </w:t>
      </w:r>
      <w:hyperlink w:anchor="SENTENCIA_2013_15" w:history="1">
        <w:r w:rsidRPr="00234417">
          <w:rPr>
            <w:rStyle w:val="TextoNormalCaracter"/>
          </w:rPr>
          <w:t>15/2013</w:t>
        </w:r>
      </w:hyperlink>
      <w:r w:rsidRPr="00234417">
        <w:rPr>
          <w:rStyle w:val="TextoNormalCaracter"/>
        </w:rPr>
        <w:t xml:space="preserve">, f. 4; </w:t>
      </w:r>
      <w:hyperlink w:anchor="SENTENCIA_2013_21" w:history="1">
        <w:r w:rsidRPr="00234417">
          <w:rPr>
            <w:rStyle w:val="TextoNormalCaracter"/>
          </w:rPr>
          <w:t>21/2013</w:t>
        </w:r>
      </w:hyperlink>
      <w:r w:rsidRPr="00234417">
        <w:rPr>
          <w:rStyle w:val="TextoNormalCaracter"/>
        </w:rPr>
        <w:t xml:space="preserve">, f. 5; </w:t>
      </w:r>
      <w:hyperlink w:anchor="SENTENCIA_2013_23" w:history="1">
        <w:r w:rsidRPr="00234417">
          <w:rPr>
            <w:rStyle w:val="TextoNormalCaracter"/>
          </w:rPr>
          <w:t>23/2013</w:t>
        </w:r>
      </w:hyperlink>
      <w:r w:rsidRPr="00234417">
        <w:rPr>
          <w:rStyle w:val="TextoNormalCaracter"/>
        </w:rPr>
        <w:t xml:space="preserve">, f. 4; </w:t>
      </w:r>
      <w:hyperlink w:anchor="SENTENCIA_2013_24" w:history="1">
        <w:r w:rsidRPr="00234417">
          <w:rPr>
            <w:rStyle w:val="TextoNormalCaracter"/>
          </w:rPr>
          <w:t>24/2013</w:t>
        </w:r>
      </w:hyperlink>
      <w:r w:rsidRPr="00234417">
        <w:rPr>
          <w:rStyle w:val="TextoNormalCaracter"/>
        </w:rPr>
        <w:t xml:space="preserve">, ff. 3, 5; </w:t>
      </w:r>
      <w:hyperlink w:anchor="SENTENCIA_2013_40" w:history="1">
        <w:r w:rsidRPr="00234417">
          <w:rPr>
            <w:rStyle w:val="TextoNormalCaracter"/>
          </w:rPr>
          <w:t>40/2013</w:t>
        </w:r>
      </w:hyperlink>
      <w:r w:rsidRPr="00234417">
        <w:rPr>
          <w:rStyle w:val="TextoNormalCaracter"/>
        </w:rPr>
        <w:t xml:space="preserve">, f. 5; </w:t>
      </w:r>
      <w:hyperlink w:anchor="SENTENCIA_2013_47" w:history="1">
        <w:r w:rsidRPr="00234417">
          <w:rPr>
            <w:rStyle w:val="TextoNormalCaracter"/>
          </w:rPr>
          <w:t>47/2013</w:t>
        </w:r>
      </w:hyperlink>
      <w:r w:rsidRPr="00234417">
        <w:rPr>
          <w:rStyle w:val="TextoNormalCaracter"/>
        </w:rPr>
        <w:t xml:space="preserve">, ff. 3, 4; </w:t>
      </w:r>
      <w:hyperlink w:anchor="SENTENCIA_2013_48" w:history="1">
        <w:r w:rsidRPr="00234417">
          <w:rPr>
            <w:rStyle w:val="TextoNormalCaracter"/>
          </w:rPr>
          <w:t>48/2013</w:t>
        </w:r>
      </w:hyperlink>
      <w:r w:rsidRPr="00234417">
        <w:rPr>
          <w:rStyle w:val="TextoNormalCaracter"/>
        </w:rPr>
        <w:t xml:space="preserve">, ff. 4, 5; </w:t>
      </w:r>
      <w:hyperlink w:anchor="SENTENCIA_2013_52" w:history="1">
        <w:r w:rsidRPr="00234417">
          <w:rPr>
            <w:rStyle w:val="TextoNormalCaracter"/>
          </w:rPr>
          <w:t>52/2013</w:t>
        </w:r>
      </w:hyperlink>
      <w:r w:rsidRPr="00234417">
        <w:rPr>
          <w:rStyle w:val="TextoNormalCaracter"/>
        </w:rPr>
        <w:t xml:space="preserve">, f. 5; </w:t>
      </w:r>
      <w:hyperlink w:anchor="SENTENCIA_2013_70" w:history="1">
        <w:r w:rsidRPr="00234417">
          <w:rPr>
            <w:rStyle w:val="TextoNormalCaracter"/>
          </w:rPr>
          <w:t>70/2013</w:t>
        </w:r>
      </w:hyperlink>
      <w:r w:rsidRPr="00234417">
        <w:rPr>
          <w:rStyle w:val="TextoNormalCaracter"/>
        </w:rPr>
        <w:t xml:space="preserve">, f. 4 a); </w:t>
      </w:r>
      <w:hyperlink w:anchor="SENTENCIA_2013_98" w:history="1">
        <w:r w:rsidRPr="00234417">
          <w:rPr>
            <w:rStyle w:val="TextoNormalCaracter"/>
          </w:rPr>
          <w:t>98/2013</w:t>
        </w:r>
      </w:hyperlink>
      <w:r w:rsidRPr="00234417">
        <w:rPr>
          <w:rStyle w:val="TextoNormalCaracter"/>
        </w:rPr>
        <w:t xml:space="preserve">, ff. 2, 3; </w:t>
      </w:r>
      <w:hyperlink w:anchor="SENTENCIA_2013_112" w:history="1">
        <w:r w:rsidRPr="00234417">
          <w:rPr>
            <w:rStyle w:val="TextoNormalCaracter"/>
          </w:rPr>
          <w:t>112/2013</w:t>
        </w:r>
      </w:hyperlink>
      <w:r w:rsidRPr="00234417">
        <w:rPr>
          <w:rStyle w:val="TextoNormalCaracter"/>
        </w:rPr>
        <w:t xml:space="preserve">, f. 4; </w:t>
      </w:r>
      <w:hyperlink w:anchor="SENTENCIA_2013_130" w:history="1">
        <w:r w:rsidRPr="00234417">
          <w:rPr>
            <w:rStyle w:val="TextoNormalCaracter"/>
          </w:rPr>
          <w:t>130/2013</w:t>
        </w:r>
      </w:hyperlink>
      <w:r w:rsidRPr="00234417">
        <w:rPr>
          <w:rStyle w:val="TextoNormalCaracter"/>
        </w:rPr>
        <w:t xml:space="preserve">, f. 7; </w:t>
      </w:r>
      <w:hyperlink w:anchor="SENTENCIA_2013_135" w:history="1">
        <w:r w:rsidRPr="00234417">
          <w:rPr>
            <w:rStyle w:val="TextoNormalCaracter"/>
          </w:rPr>
          <w:t>135/2013</w:t>
        </w:r>
      </w:hyperlink>
      <w:r w:rsidRPr="00234417">
        <w:rPr>
          <w:rStyle w:val="TextoNormalCaracter"/>
        </w:rPr>
        <w:t>, f. 4.</w:t>
      </w:r>
    </w:p>
    <w:p w:rsidR="00234417" w:rsidRPr="00234417" w:rsidRDefault="00234417" w:rsidP="00234417">
      <w:pPr>
        <w:pStyle w:val="TextoNormalSangraFrancesa"/>
        <w:rPr>
          <w:rStyle w:val="TextoNormalCaracter"/>
        </w:rPr>
      </w:pPr>
      <w:bookmarkStart w:id="1424" w:name="DESCRIPTORALFABETICO71"/>
      <w:r w:rsidRPr="00234417">
        <w:rPr>
          <w:rStyle w:val="TextoNormalNegritaCaracter"/>
        </w:rPr>
        <w:t>Competencias en materia de sanidad</w:t>
      </w:r>
      <w:bookmarkEnd w:id="1424"/>
      <w:r w:rsidRPr="00234417">
        <w:rPr>
          <w:rStyle w:val="TextoNormalCaracter"/>
        </w:rPr>
        <w:t xml:space="preserve">, Sentencias </w:t>
      </w:r>
      <w:hyperlink w:anchor="SENTENCIA_2013_58" w:history="1">
        <w:r w:rsidRPr="00234417">
          <w:rPr>
            <w:rStyle w:val="TextoNormalCaracter"/>
          </w:rPr>
          <w:t>58/2013</w:t>
        </w:r>
      </w:hyperlink>
      <w:r w:rsidRPr="00234417">
        <w:rPr>
          <w:rStyle w:val="TextoNormalCaracter"/>
        </w:rPr>
        <w:t xml:space="preserve">, f. 4; </w:t>
      </w:r>
      <w:hyperlink w:anchor="SENTENCIA_2013_137" w:history="1">
        <w:r w:rsidRPr="00234417">
          <w:rPr>
            <w:rStyle w:val="TextoNormalCaracter"/>
          </w:rPr>
          <w:t>137/2013</w:t>
        </w:r>
      </w:hyperlink>
      <w:r w:rsidRPr="00234417">
        <w:rPr>
          <w:rStyle w:val="TextoNormalCaracter"/>
        </w:rPr>
        <w:t>, ff. 3, 4, 5, 6, 7.</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88" w:history="1">
        <w:r w:rsidRPr="00234417">
          <w:rPr>
            <w:rStyle w:val="TextoNormalCaracter"/>
          </w:rPr>
          <w:t>88/2013</w:t>
        </w:r>
      </w:hyperlink>
      <w:r w:rsidRPr="00234417">
        <w:rPr>
          <w:rStyle w:val="TextoNormalCaracter"/>
        </w:rPr>
        <w:t>, f. 1.</w:t>
      </w:r>
    </w:p>
    <w:p w:rsidR="00234417" w:rsidRPr="00234417" w:rsidRDefault="00234417" w:rsidP="00234417">
      <w:pPr>
        <w:pStyle w:val="TextoNormalSangraFrancesa"/>
        <w:rPr>
          <w:rStyle w:val="TextoNormalCaracter"/>
        </w:rPr>
      </w:pPr>
      <w:bookmarkStart w:id="1425" w:name="DESCRIPTORALFABETICO72"/>
      <w:r w:rsidRPr="00234417">
        <w:rPr>
          <w:rStyle w:val="TextoNormalNegritaCaracter"/>
        </w:rPr>
        <w:t>Competencias en materia de seguridad pública</w:t>
      </w:r>
      <w:bookmarkEnd w:id="1425"/>
      <w:r w:rsidRPr="00234417">
        <w:rPr>
          <w:rStyle w:val="TextoNormalCaracter"/>
        </w:rPr>
        <w:t xml:space="preserve">, Sentencias </w:t>
      </w:r>
      <w:hyperlink w:anchor="SENTENCIA_2013_33" w:history="1">
        <w:r w:rsidRPr="00234417">
          <w:rPr>
            <w:rStyle w:val="TextoNormalCaracter"/>
          </w:rPr>
          <w:t>33/2013</w:t>
        </w:r>
      </w:hyperlink>
      <w:r w:rsidRPr="00234417">
        <w:rPr>
          <w:rStyle w:val="TextoNormalCaracter"/>
        </w:rPr>
        <w:t xml:space="preserve">, ff. 5, 6; </w:t>
      </w:r>
      <w:hyperlink w:anchor="SENTENCIA_2013_49" w:history="1">
        <w:r w:rsidRPr="00234417">
          <w:rPr>
            <w:rStyle w:val="TextoNormalCaracter"/>
          </w:rPr>
          <w:t>49/2013</w:t>
        </w:r>
      </w:hyperlink>
      <w:r w:rsidRPr="00234417">
        <w:rPr>
          <w:rStyle w:val="TextoNormalCaracter"/>
        </w:rPr>
        <w:t>, f. 12.</w:t>
      </w:r>
    </w:p>
    <w:p w:rsidR="00234417" w:rsidRPr="00234417" w:rsidRDefault="00234417" w:rsidP="00234417">
      <w:pPr>
        <w:pStyle w:val="TextoNormalSangraFrancesa"/>
        <w:rPr>
          <w:rStyle w:val="TextoNormalCaracter"/>
        </w:rPr>
      </w:pPr>
      <w:bookmarkStart w:id="1426" w:name="DESCRIPTORALFABETICO73"/>
      <w:r w:rsidRPr="00234417">
        <w:rPr>
          <w:rStyle w:val="TextoNormalNegritaCaracter"/>
        </w:rPr>
        <w:t>Competencias en materia de Seguridad Social</w:t>
      </w:r>
      <w:bookmarkEnd w:id="1426"/>
      <w:r w:rsidRPr="00234417">
        <w:rPr>
          <w:rStyle w:val="TextoNormalCaracter"/>
        </w:rPr>
        <w:t xml:space="preserve">, Sentencia </w:t>
      </w:r>
      <w:hyperlink w:anchor="SENTENCIA_2013_104" w:history="1">
        <w:r w:rsidRPr="00234417">
          <w:rPr>
            <w:rStyle w:val="TextoNormalCaracter"/>
          </w:rPr>
          <w:t>104/2013</w:t>
        </w:r>
      </w:hyperlink>
      <w:r w:rsidRPr="00234417">
        <w:rPr>
          <w:rStyle w:val="TextoNormalCaracter"/>
        </w:rPr>
        <w:t>, f. 4.</w:t>
      </w:r>
    </w:p>
    <w:p w:rsidR="00234417" w:rsidRPr="00234417" w:rsidRDefault="00234417" w:rsidP="00234417">
      <w:pPr>
        <w:pStyle w:val="TextoNormalSangraFrancesa"/>
        <w:rPr>
          <w:rStyle w:val="TextoNormalNegritaCaracter"/>
        </w:rPr>
      </w:pPr>
      <w:r w:rsidRPr="00234417">
        <w:rPr>
          <w:rStyle w:val="TextoNormalCursivaCaracter"/>
        </w:rPr>
        <w:t>Competencias en materia de servicios sociales</w:t>
      </w:r>
      <w:r>
        <w:t xml:space="preserve"> véase </w:t>
      </w:r>
      <w:hyperlink w:anchor="DESCRIPTORALFABETICO40" w:history="1">
        <w:r w:rsidRPr="00234417">
          <w:rPr>
            <w:rStyle w:val="TextoNormalNegritaCaracter"/>
          </w:rPr>
          <w:t>Competencias en materia de asistencia social</w:t>
        </w:r>
      </w:hyperlink>
    </w:p>
    <w:p w:rsidR="00234417" w:rsidRPr="00234417" w:rsidRDefault="00234417" w:rsidP="00234417">
      <w:pPr>
        <w:pStyle w:val="TextoNormalSangraFrancesa"/>
        <w:rPr>
          <w:rStyle w:val="TextoNormalCaracter"/>
        </w:rPr>
      </w:pPr>
      <w:bookmarkStart w:id="1427" w:name="DESCRIPTORALFABETICO74"/>
      <w:r w:rsidRPr="00234417">
        <w:rPr>
          <w:rStyle w:val="TextoNormalNegritaCaracter"/>
        </w:rPr>
        <w:t>Competencias en materia de títulos académicos y profesionales</w:t>
      </w:r>
      <w:bookmarkEnd w:id="1427"/>
      <w:r w:rsidRPr="00234417">
        <w:rPr>
          <w:rStyle w:val="TextoNormalCaracter"/>
        </w:rPr>
        <w:t xml:space="preserve">, Sentencia </w:t>
      </w:r>
      <w:hyperlink w:anchor="SENTENCIA_2013_25" w:history="1">
        <w:r w:rsidRPr="00234417">
          <w:rPr>
            <w:rStyle w:val="TextoNormalCaracter"/>
          </w:rPr>
          <w:t>25/2013</w:t>
        </w:r>
      </w:hyperlink>
      <w:r w:rsidRPr="00234417">
        <w:rPr>
          <w:rStyle w:val="TextoNormalCaracter"/>
        </w:rPr>
        <w:t>, f. 5.</w:t>
      </w:r>
    </w:p>
    <w:p w:rsidR="00234417" w:rsidRPr="00234417" w:rsidRDefault="00234417" w:rsidP="00234417">
      <w:pPr>
        <w:pStyle w:val="TextoNormalSangraFrancesa"/>
        <w:rPr>
          <w:rStyle w:val="TextoNormalCaracter"/>
        </w:rPr>
      </w:pPr>
      <w:bookmarkStart w:id="1428" w:name="DESCRIPTORALFABETICO75"/>
      <w:r w:rsidRPr="00234417">
        <w:rPr>
          <w:rStyle w:val="TextoNormalNegritaCaracter"/>
        </w:rPr>
        <w:t>Competencias en materia de transporte</w:t>
      </w:r>
      <w:bookmarkEnd w:id="1428"/>
      <w:r w:rsidRPr="00234417">
        <w:rPr>
          <w:rStyle w:val="TextoNormalCaracter"/>
        </w:rPr>
        <w:t xml:space="preserve">, Sentencia </w:t>
      </w:r>
      <w:hyperlink w:anchor="SENTENCIA_2013_83" w:history="1">
        <w:r w:rsidRPr="00234417">
          <w:rPr>
            <w:rStyle w:val="TextoNormalCaracter"/>
          </w:rPr>
          <w:t>83/2013</w:t>
        </w:r>
      </w:hyperlink>
      <w:r w:rsidRPr="00234417">
        <w:rPr>
          <w:rStyle w:val="TextoNormalCaracter"/>
        </w:rPr>
        <w:t>, ff. 2, 3, 5.</w:t>
      </w:r>
    </w:p>
    <w:p w:rsidR="00234417" w:rsidRPr="00234417" w:rsidRDefault="00234417" w:rsidP="00234417">
      <w:pPr>
        <w:pStyle w:val="TextoNormalSangraFrancesa"/>
        <w:rPr>
          <w:rStyle w:val="TextoNormalCaracter"/>
        </w:rPr>
      </w:pPr>
      <w:bookmarkStart w:id="1429" w:name="DESCRIPTORALFABETICO76"/>
      <w:r w:rsidRPr="00234417">
        <w:rPr>
          <w:rStyle w:val="TextoNormalNegritaCaracter"/>
        </w:rPr>
        <w:t>Competencias en materia de urbanismo</w:t>
      </w:r>
      <w:bookmarkEnd w:id="1429"/>
      <w:r w:rsidRPr="00234417">
        <w:rPr>
          <w:rStyle w:val="TextoNormalCaracter"/>
        </w:rPr>
        <w:t xml:space="preserve">, Sentencias </w:t>
      </w:r>
      <w:hyperlink w:anchor="SENTENCIA_2013_84" w:history="1">
        <w:r w:rsidRPr="00234417">
          <w:rPr>
            <w:rStyle w:val="TextoNormalCaracter"/>
          </w:rPr>
          <w:t>84/2013</w:t>
        </w:r>
      </w:hyperlink>
      <w:r w:rsidRPr="00234417">
        <w:rPr>
          <w:rStyle w:val="TextoNormalCaracter"/>
        </w:rPr>
        <w:t xml:space="preserve">, ff. 2, 4; </w:t>
      </w:r>
      <w:hyperlink w:anchor="SENTENCIA_2013_94" w:history="1">
        <w:r w:rsidRPr="00234417">
          <w:rPr>
            <w:rStyle w:val="TextoNormalCaracter"/>
          </w:rPr>
          <w:t>94/2013</w:t>
        </w:r>
      </w:hyperlink>
      <w:r w:rsidRPr="00234417">
        <w:rPr>
          <w:rStyle w:val="TextoNormalCaracter"/>
        </w:rPr>
        <w:t xml:space="preserve">, ff. 2, 4, 5, 6, 7, 8, 9, VP I, VP II; </w:t>
      </w:r>
      <w:hyperlink w:anchor="SENTENCIA_2013_96" w:history="1">
        <w:r w:rsidRPr="00234417">
          <w:rPr>
            <w:rStyle w:val="TextoNormalCaracter"/>
          </w:rPr>
          <w:t>96/2013</w:t>
        </w:r>
      </w:hyperlink>
      <w:r w:rsidRPr="00234417">
        <w:rPr>
          <w:rStyle w:val="TextoNormalCaracter"/>
        </w:rPr>
        <w:t xml:space="preserve">, f. 5; </w:t>
      </w:r>
      <w:hyperlink w:anchor="SENTENCIA_2013_104" w:history="1">
        <w:r w:rsidRPr="00234417">
          <w:rPr>
            <w:rStyle w:val="TextoNormalCaracter"/>
          </w:rPr>
          <w:t>104/2013</w:t>
        </w:r>
      </w:hyperlink>
      <w:r w:rsidRPr="00234417">
        <w:rPr>
          <w:rStyle w:val="TextoNormalCaracter"/>
        </w:rPr>
        <w:t xml:space="preserve">, f. 6; </w:t>
      </w:r>
      <w:hyperlink w:anchor="SENTENCIA_2013_112" w:history="1">
        <w:r w:rsidRPr="00234417">
          <w:rPr>
            <w:rStyle w:val="TextoNormalCaracter"/>
          </w:rPr>
          <w:t>112/2013</w:t>
        </w:r>
      </w:hyperlink>
      <w:r w:rsidRPr="00234417">
        <w:rPr>
          <w:rStyle w:val="TextoNormalCaracter"/>
        </w:rPr>
        <w:t xml:space="preserve">, f. 3; </w:t>
      </w:r>
      <w:hyperlink w:anchor="SENTENCIA_2013_129" w:history="1">
        <w:r w:rsidRPr="00234417">
          <w:rPr>
            <w:rStyle w:val="TextoNormalCaracter"/>
          </w:rPr>
          <w:t>129/2013</w:t>
        </w:r>
      </w:hyperlink>
      <w:r w:rsidRPr="00234417">
        <w:rPr>
          <w:rStyle w:val="TextoNormalCaracter"/>
        </w:rPr>
        <w:t>, ff. 8, 9.</w:t>
      </w:r>
    </w:p>
    <w:p w:rsidR="00234417" w:rsidRPr="00234417" w:rsidRDefault="00234417" w:rsidP="00234417">
      <w:pPr>
        <w:pStyle w:val="TextoNormalSangraFrancesa"/>
        <w:rPr>
          <w:rStyle w:val="TextoNormalCaracter"/>
        </w:rPr>
      </w:pPr>
      <w:bookmarkStart w:id="1430" w:name="DESCRIPTORALFABETICO77"/>
      <w:r w:rsidRPr="00234417">
        <w:rPr>
          <w:rStyle w:val="TextoNormalNegritaCaracter"/>
        </w:rPr>
        <w:t>Competencias en materia de vivienda</w:t>
      </w:r>
      <w:bookmarkEnd w:id="1430"/>
      <w:r w:rsidRPr="00234417">
        <w:rPr>
          <w:rStyle w:val="TextoNormalCaracter"/>
        </w:rPr>
        <w:t xml:space="preserve">, Sentencias </w:t>
      </w:r>
      <w:hyperlink w:anchor="SENTENCIA_2013_94" w:history="1">
        <w:r w:rsidRPr="00234417">
          <w:rPr>
            <w:rStyle w:val="TextoNormalCaracter"/>
          </w:rPr>
          <w:t>94/2013</w:t>
        </w:r>
      </w:hyperlink>
      <w:r w:rsidRPr="00234417">
        <w:rPr>
          <w:rStyle w:val="TextoNormalCaracter"/>
        </w:rPr>
        <w:t xml:space="preserve">, ff. 2, 4, 9; </w:t>
      </w:r>
      <w:hyperlink w:anchor="SENTENCIA_2013_112" w:history="1">
        <w:r w:rsidRPr="00234417">
          <w:rPr>
            <w:rStyle w:val="TextoNormalCaracter"/>
          </w:rPr>
          <w:t>112/2013</w:t>
        </w:r>
      </w:hyperlink>
      <w:r w:rsidRPr="00234417">
        <w:rPr>
          <w:rStyle w:val="TextoNormalCaracter"/>
        </w:rPr>
        <w:t>, ff. 3 a 5.</w:t>
      </w:r>
    </w:p>
    <w:p w:rsidR="00234417" w:rsidRPr="00234417" w:rsidRDefault="00234417" w:rsidP="00234417">
      <w:pPr>
        <w:pStyle w:val="TextoNormalSangraFrancesa"/>
        <w:rPr>
          <w:rStyle w:val="TextoNormalNegritaCaracter"/>
        </w:rPr>
      </w:pPr>
      <w:r w:rsidRPr="00234417">
        <w:rPr>
          <w:rStyle w:val="TextoNormalCursivaCaracter"/>
        </w:rPr>
        <w:t>Competencias en materia energética</w:t>
      </w:r>
      <w:r>
        <w:t xml:space="preserve"> véase </w:t>
      </w:r>
      <w:hyperlink w:anchor="DESCRIPTORALFABETICO67" w:history="1">
        <w:r w:rsidRPr="00234417">
          <w:rPr>
            <w:rStyle w:val="TextoNormalNegritaCaracter"/>
          </w:rPr>
          <w:t>Competencias en materia de régimen energético</w:t>
        </w:r>
      </w:hyperlink>
    </w:p>
    <w:p w:rsidR="00234417" w:rsidRPr="00234417" w:rsidRDefault="00234417" w:rsidP="00234417">
      <w:pPr>
        <w:pStyle w:val="TextoNormalSangraFrancesa"/>
        <w:rPr>
          <w:rStyle w:val="TextoNormalCaracter"/>
        </w:rPr>
      </w:pPr>
      <w:bookmarkStart w:id="1431" w:name="DESCRIPTORALFABETICO78"/>
      <w:r w:rsidRPr="00234417">
        <w:rPr>
          <w:rStyle w:val="TextoNormalNegritaCaracter"/>
        </w:rPr>
        <w:t>Competencias en materia financiera</w:t>
      </w:r>
      <w:bookmarkEnd w:id="1431"/>
      <w:r w:rsidRPr="00234417">
        <w:rPr>
          <w:rStyle w:val="TextoNormalCaracter"/>
        </w:rPr>
        <w:t xml:space="preserve">, Sentencia </w:t>
      </w:r>
      <w:hyperlink w:anchor="SENTENCIA_2013_101" w:history="1">
        <w:r w:rsidRPr="00234417">
          <w:rPr>
            <w:rStyle w:val="TextoNormalCaracter"/>
          </w:rPr>
          <w:t>101/2013</w:t>
        </w:r>
      </w:hyperlink>
      <w:r w:rsidRPr="00234417">
        <w:rPr>
          <w:rStyle w:val="TextoNormalCaracter"/>
        </w:rPr>
        <w:t>, f. 11.</w:t>
      </w:r>
    </w:p>
    <w:p w:rsidR="00234417" w:rsidRPr="00234417" w:rsidRDefault="00234417" w:rsidP="00234417">
      <w:pPr>
        <w:pStyle w:val="TextoNormalSangraFrancesa"/>
        <w:rPr>
          <w:rStyle w:val="TextoNormalCaracter"/>
        </w:rPr>
      </w:pPr>
      <w:bookmarkStart w:id="1432" w:name="DESCRIPTORALFABETICO79"/>
      <w:r w:rsidRPr="00234417">
        <w:rPr>
          <w:rStyle w:val="TextoNormalNegritaCaracter"/>
        </w:rPr>
        <w:t>Competencias en materia tributaria</w:t>
      </w:r>
      <w:bookmarkEnd w:id="1432"/>
      <w:r w:rsidRPr="00234417">
        <w:rPr>
          <w:rStyle w:val="TextoNormalCaracter"/>
        </w:rPr>
        <w:t xml:space="preserve">, Sentencia </w:t>
      </w:r>
      <w:hyperlink w:anchor="SENTENCIA_2013_60" w:history="1">
        <w:r w:rsidRPr="00234417">
          <w:rPr>
            <w:rStyle w:val="TextoNormalCaracter"/>
          </w:rPr>
          <w:t>60/2013</w:t>
        </w:r>
      </w:hyperlink>
      <w:r w:rsidRPr="00234417">
        <w:rPr>
          <w:rStyle w:val="TextoNormalCaracter"/>
        </w:rPr>
        <w:t>, f. 2.</w:t>
      </w:r>
    </w:p>
    <w:p w:rsidR="00234417" w:rsidRPr="00234417" w:rsidRDefault="00234417" w:rsidP="00234417">
      <w:pPr>
        <w:pStyle w:val="TextoNormalSangraFrancesa"/>
        <w:rPr>
          <w:rStyle w:val="TextoNormalCaracter"/>
        </w:rPr>
      </w:pPr>
      <w:bookmarkStart w:id="1433" w:name="DESCRIPTORALFABETICO13"/>
      <w:r w:rsidRPr="00234417">
        <w:rPr>
          <w:rStyle w:val="TextoNormalNegritaCaracter"/>
        </w:rPr>
        <w:t>Competencias exclusivas de las Comunidades Autónomas</w:t>
      </w:r>
      <w:bookmarkEnd w:id="1433"/>
      <w:r w:rsidRPr="00234417">
        <w:rPr>
          <w:rStyle w:val="TextoNormalCaracter"/>
        </w:rPr>
        <w:t xml:space="preserve">, Sentencias </w:t>
      </w:r>
      <w:hyperlink w:anchor="SENTENCIA_2013_21" w:history="1">
        <w:r w:rsidRPr="00234417">
          <w:rPr>
            <w:rStyle w:val="TextoNormalCaracter"/>
          </w:rPr>
          <w:t>21/2013</w:t>
        </w:r>
      </w:hyperlink>
      <w:r w:rsidRPr="00234417">
        <w:rPr>
          <w:rStyle w:val="TextoNormalCaracter"/>
        </w:rPr>
        <w:t xml:space="preserve">, f. 5; </w:t>
      </w:r>
      <w:hyperlink w:anchor="SENTENCIA_2013_40" w:history="1">
        <w:r w:rsidRPr="00234417">
          <w:rPr>
            <w:rStyle w:val="TextoNormalCaracter"/>
          </w:rPr>
          <w:t>40/2013</w:t>
        </w:r>
      </w:hyperlink>
      <w:r w:rsidRPr="00234417">
        <w:rPr>
          <w:rStyle w:val="TextoNormalCaracter"/>
        </w:rPr>
        <w:t xml:space="preserve">, f. 5; </w:t>
      </w:r>
      <w:hyperlink w:anchor="SENTENCIA_2013_52" w:history="1">
        <w:r w:rsidRPr="00234417">
          <w:rPr>
            <w:rStyle w:val="TextoNormalCaracter"/>
          </w:rPr>
          <w:t>52/2013</w:t>
        </w:r>
      </w:hyperlink>
      <w:r w:rsidRPr="00234417">
        <w:rPr>
          <w:rStyle w:val="TextoNormalCaracter"/>
        </w:rPr>
        <w:t xml:space="preserve">, f. 5; </w:t>
      </w:r>
      <w:hyperlink w:anchor="SENTENCIA_2013_70" w:history="1">
        <w:r w:rsidRPr="00234417">
          <w:rPr>
            <w:rStyle w:val="TextoNormalCaracter"/>
          </w:rPr>
          <w:t>70/2013</w:t>
        </w:r>
      </w:hyperlink>
      <w:r w:rsidRPr="00234417">
        <w:rPr>
          <w:rStyle w:val="TextoNormalCaracter"/>
        </w:rPr>
        <w:t>, f. 3.</w:t>
      </w:r>
    </w:p>
    <w:p w:rsidR="00234417" w:rsidRPr="00234417" w:rsidRDefault="00234417" w:rsidP="00234417">
      <w:pPr>
        <w:pStyle w:val="TextoNormalSangraFrancesa"/>
        <w:rPr>
          <w:rStyle w:val="TextoNormalCaracter"/>
        </w:rPr>
      </w:pPr>
      <w:bookmarkStart w:id="1434" w:name="DESCRIPTORALFABETICO20"/>
      <w:r w:rsidRPr="00234417">
        <w:rPr>
          <w:rStyle w:val="TextoNormalNegritaCaracter"/>
        </w:rPr>
        <w:t>Competencias exclusivas del Estado</w:t>
      </w:r>
      <w:bookmarkEnd w:id="1434"/>
      <w:r w:rsidRPr="00234417">
        <w:rPr>
          <w:rStyle w:val="TextoNormalCaracter"/>
        </w:rPr>
        <w:t xml:space="preserve">, Sentencia </w:t>
      </w:r>
      <w:hyperlink w:anchor="SENTENCIA_2013_112" w:history="1">
        <w:r w:rsidRPr="00234417">
          <w:rPr>
            <w:rStyle w:val="TextoNormalCaracter"/>
          </w:rPr>
          <w:t>112/2013</w:t>
        </w:r>
      </w:hyperlink>
      <w:r w:rsidRPr="00234417">
        <w:rPr>
          <w:rStyle w:val="TextoNormalCaracter"/>
        </w:rPr>
        <w:t>, f. 4.</w:t>
      </w:r>
    </w:p>
    <w:p w:rsidR="00234417" w:rsidRPr="00234417" w:rsidRDefault="00234417" w:rsidP="00234417">
      <w:pPr>
        <w:pStyle w:val="TextoNormalSangraFrancesa"/>
        <w:rPr>
          <w:rStyle w:val="TextoNormalCaracter"/>
        </w:rPr>
      </w:pPr>
      <w:bookmarkStart w:id="1435" w:name="DESCRIPTORALFABETICO458"/>
      <w:r w:rsidRPr="00234417">
        <w:rPr>
          <w:rStyle w:val="TextoNormalNegritaCaracter"/>
        </w:rPr>
        <w:t>Competencias para crear agrupaciones de municipios</w:t>
      </w:r>
      <w:bookmarkEnd w:id="1435"/>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8.</w:t>
      </w:r>
    </w:p>
    <w:p w:rsidR="00234417" w:rsidRPr="00234417" w:rsidRDefault="00234417" w:rsidP="00234417">
      <w:pPr>
        <w:pStyle w:val="TextoNormalSangraFrancesa"/>
        <w:rPr>
          <w:rStyle w:val="TextoNormalCaracter"/>
        </w:rPr>
      </w:pPr>
      <w:bookmarkStart w:id="1436" w:name="DESCRIPTORALFABETICO525"/>
      <w:r w:rsidRPr="00234417">
        <w:rPr>
          <w:rStyle w:val="TextoNormalNegritaCaracter"/>
        </w:rPr>
        <w:t>Competencias para fijar enseñanzas comunes</w:t>
      </w:r>
      <w:bookmarkEnd w:id="1436"/>
      <w:r w:rsidRPr="00234417">
        <w:rPr>
          <w:rStyle w:val="TextoNormalCaracter"/>
        </w:rPr>
        <w:t xml:space="preserve">, Sentencias </w:t>
      </w:r>
      <w:hyperlink w:anchor="SENTENCIA_2013_15" w:history="1">
        <w:r w:rsidRPr="00234417">
          <w:rPr>
            <w:rStyle w:val="TextoNormalCaracter"/>
          </w:rPr>
          <w:t>15/2013</w:t>
        </w:r>
      </w:hyperlink>
      <w:r w:rsidRPr="00234417">
        <w:rPr>
          <w:rStyle w:val="TextoNormalCaracter"/>
        </w:rPr>
        <w:t xml:space="preserve">, f. 4; </w:t>
      </w:r>
      <w:hyperlink w:anchor="SENTENCIA_2013_24" w:history="1">
        <w:r w:rsidRPr="00234417">
          <w:rPr>
            <w:rStyle w:val="TextoNormalCaracter"/>
          </w:rPr>
          <w:t>24/2013</w:t>
        </w:r>
      </w:hyperlink>
      <w:r w:rsidRPr="00234417">
        <w:rPr>
          <w:rStyle w:val="TextoNormalCaracter"/>
        </w:rPr>
        <w:t>, ff. 3, 5.</w:t>
      </w:r>
    </w:p>
    <w:p w:rsidR="00234417" w:rsidRPr="00234417" w:rsidRDefault="00234417" w:rsidP="00234417">
      <w:pPr>
        <w:pStyle w:val="TextoNormalSangraFrancesa"/>
        <w:rPr>
          <w:rStyle w:val="TextoNormalCaracter"/>
        </w:rPr>
      </w:pPr>
      <w:bookmarkStart w:id="1437" w:name="DESCRIPTORALFABETICO526"/>
      <w:r w:rsidRPr="00234417">
        <w:rPr>
          <w:rStyle w:val="TextoNormalNegritaCaracter"/>
        </w:rPr>
        <w:t>Competencias para fijar horarios mínimos</w:t>
      </w:r>
      <w:bookmarkEnd w:id="1437"/>
      <w:r w:rsidRPr="00234417">
        <w:rPr>
          <w:rStyle w:val="TextoNormalCaracter"/>
        </w:rPr>
        <w:t xml:space="preserve">, Sentencias </w:t>
      </w:r>
      <w:hyperlink w:anchor="SENTENCIA_2013_15" w:history="1">
        <w:r w:rsidRPr="00234417">
          <w:rPr>
            <w:rStyle w:val="TextoNormalCaracter"/>
          </w:rPr>
          <w:t>15/2013</w:t>
        </w:r>
      </w:hyperlink>
      <w:r w:rsidRPr="00234417">
        <w:rPr>
          <w:rStyle w:val="TextoNormalCaracter"/>
        </w:rPr>
        <w:t xml:space="preserve">, ff. 3, 4; </w:t>
      </w:r>
      <w:hyperlink w:anchor="SENTENCIA_2013_24" w:history="1">
        <w:r w:rsidRPr="00234417">
          <w:rPr>
            <w:rStyle w:val="TextoNormalCaracter"/>
          </w:rPr>
          <w:t>24/2013</w:t>
        </w:r>
      </w:hyperlink>
      <w:r w:rsidRPr="00234417">
        <w:rPr>
          <w:rStyle w:val="TextoNormalCaracter"/>
        </w:rPr>
        <w:t xml:space="preserve">, ff. 5, 7; </w:t>
      </w:r>
      <w:hyperlink w:anchor="SENTENCIA_2013_48" w:history="1">
        <w:r w:rsidRPr="00234417">
          <w:rPr>
            <w:rStyle w:val="TextoNormalCaracter"/>
          </w:rPr>
          <w:t>48/2013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438" w:name="DESCRIPTORALFABETICO778"/>
      <w:r w:rsidRPr="00234417">
        <w:rPr>
          <w:rStyle w:val="TextoNormalNegritaCaracter"/>
        </w:rPr>
        <w:t>Competencias para la fijación de servicios mínimos</w:t>
      </w:r>
      <w:bookmarkEnd w:id="1438"/>
      <w:r w:rsidRPr="00234417">
        <w:rPr>
          <w:rStyle w:val="TextoNormalCaracter"/>
        </w:rPr>
        <w:t xml:space="preserve">, Sentencias </w:t>
      </w:r>
      <w:hyperlink w:anchor="SENTENCIA_2013_58" w:history="1">
        <w:r w:rsidRPr="00234417">
          <w:rPr>
            <w:rStyle w:val="TextoNormalCaracter"/>
          </w:rPr>
          <w:t>58/2013</w:t>
        </w:r>
      </w:hyperlink>
      <w:r w:rsidRPr="00234417">
        <w:rPr>
          <w:rStyle w:val="TextoNormalCaracter"/>
        </w:rPr>
        <w:t xml:space="preserve">, ff. 3, 4; </w:t>
      </w:r>
      <w:hyperlink w:anchor="SENTENCIA_2013_124" w:history="1">
        <w:r w:rsidRPr="00234417">
          <w:rPr>
            <w:rStyle w:val="TextoNormalCaracter"/>
          </w:rPr>
          <w:t>124/2013</w:t>
        </w:r>
      </w:hyperlink>
      <w:r w:rsidRPr="00234417">
        <w:rPr>
          <w:rStyle w:val="TextoNormalCaracter"/>
        </w:rPr>
        <w:t>, f. 2.</w:t>
      </w:r>
    </w:p>
    <w:p w:rsidR="00234417" w:rsidRPr="00234417" w:rsidRDefault="00234417" w:rsidP="00234417">
      <w:pPr>
        <w:pStyle w:val="TextoNormalSangraFrancesa"/>
        <w:rPr>
          <w:rStyle w:val="TextoNormalCaracter"/>
        </w:rPr>
      </w:pPr>
      <w:bookmarkStart w:id="1439" w:name="DESCRIPTORALFABETICO23"/>
      <w:r w:rsidRPr="00234417">
        <w:rPr>
          <w:rStyle w:val="TextoNormalNegritaCaracter"/>
        </w:rPr>
        <w:t>Competencias transversales</w:t>
      </w:r>
      <w:bookmarkEnd w:id="1439"/>
      <w:r w:rsidRPr="00234417">
        <w:rPr>
          <w:rStyle w:val="TextoNormalCaracter"/>
        </w:rPr>
        <w:t xml:space="preserve">, Sentencias </w:t>
      </w:r>
      <w:hyperlink w:anchor="SENTENCIA_2013_69" w:history="1">
        <w:r w:rsidRPr="00234417">
          <w:rPr>
            <w:rStyle w:val="TextoNormalCaracter"/>
          </w:rPr>
          <w:t>69/2013</w:t>
        </w:r>
      </w:hyperlink>
      <w:r w:rsidRPr="00234417">
        <w:rPr>
          <w:rStyle w:val="TextoNormalCaracter"/>
        </w:rPr>
        <w:t xml:space="preserve">, ff. 1, 6; </w:t>
      </w:r>
      <w:hyperlink w:anchor="SENTENCIA_2013_80" w:history="1">
        <w:r w:rsidRPr="00234417">
          <w:rPr>
            <w:rStyle w:val="TextoNormalCaracter"/>
          </w:rPr>
          <w:t>80/2013</w:t>
        </w:r>
      </w:hyperlink>
      <w:r w:rsidRPr="00234417">
        <w:rPr>
          <w:rStyle w:val="TextoNormalCaracter"/>
        </w:rPr>
        <w:t xml:space="preserve">, f. 3; </w:t>
      </w:r>
      <w:hyperlink w:anchor="SENTENCIA_2013_84" w:history="1">
        <w:r w:rsidRPr="00234417">
          <w:rPr>
            <w:rStyle w:val="TextoNormalCaracter"/>
          </w:rPr>
          <w:t>84/2013</w:t>
        </w:r>
      </w:hyperlink>
      <w:r w:rsidRPr="00234417">
        <w:rPr>
          <w:rStyle w:val="TextoNormalCaracter"/>
        </w:rPr>
        <w:t xml:space="preserve">, f. 5; </w:t>
      </w:r>
      <w:hyperlink w:anchor="SENTENCIA_2013_114" w:history="1">
        <w:r w:rsidRPr="00234417">
          <w:rPr>
            <w:rStyle w:val="TextoNormalCaracter"/>
          </w:rPr>
          <w:t>114/2013</w:t>
        </w:r>
      </w:hyperlink>
      <w:r w:rsidRPr="00234417">
        <w:rPr>
          <w:rStyle w:val="TextoNormalCaracter"/>
        </w:rPr>
        <w:t xml:space="preserve">, f. 2; </w:t>
      </w:r>
      <w:hyperlink w:anchor="SENTENCIA_2013_138" w:history="1">
        <w:r w:rsidRPr="00234417">
          <w:rPr>
            <w:rStyle w:val="TextoNormalCaracter"/>
          </w:rPr>
          <w:t>138/2013</w:t>
        </w:r>
      </w:hyperlink>
      <w:r w:rsidRPr="00234417">
        <w:rPr>
          <w:rStyle w:val="TextoNormalCaracter"/>
        </w:rPr>
        <w:t>, f. 8.</w:t>
      </w:r>
    </w:p>
    <w:p w:rsidR="00234417" w:rsidRPr="00234417" w:rsidRDefault="00234417" w:rsidP="00234417">
      <w:pPr>
        <w:pStyle w:val="TextoNormalSangraFrancesa"/>
        <w:rPr>
          <w:rStyle w:val="TextoNormalCaracter"/>
        </w:rPr>
      </w:pPr>
      <w:bookmarkStart w:id="1440" w:name="DESCRIPTORALFABETICO873"/>
      <w:r w:rsidRPr="00234417">
        <w:rPr>
          <w:rStyle w:val="TextoNormalNegritaCaracter"/>
        </w:rPr>
        <w:t>Complementación de sentencias</w:t>
      </w:r>
      <w:bookmarkEnd w:id="1440"/>
      <w:r w:rsidRPr="00234417">
        <w:rPr>
          <w:rStyle w:val="TextoNormalCaracter"/>
        </w:rPr>
        <w:t xml:space="preserve">, Auto </w:t>
      </w:r>
      <w:hyperlink w:anchor="AUTO_2013_134" w:history="1">
        <w:r w:rsidRPr="00234417">
          <w:rPr>
            <w:rStyle w:val="TextoNormalCaracter"/>
          </w:rPr>
          <w:t>134/2013</w:t>
        </w:r>
      </w:hyperlink>
      <w:r w:rsidRPr="00234417">
        <w:rPr>
          <w:rStyle w:val="TextoNormalCaracter"/>
        </w:rPr>
        <w:t>, f. 3.</w:t>
      </w:r>
    </w:p>
    <w:p w:rsidR="00234417" w:rsidRPr="00234417" w:rsidRDefault="00234417" w:rsidP="00234417">
      <w:pPr>
        <w:pStyle w:val="TextoNormalSangraFrancesa"/>
        <w:rPr>
          <w:rStyle w:val="TextoNormalCaracter"/>
        </w:rPr>
      </w:pPr>
      <w:bookmarkStart w:id="1441" w:name="DESCRIPTORALFABETICO306"/>
      <w:r w:rsidRPr="00234417">
        <w:rPr>
          <w:rStyle w:val="TextoNormalNegritaCaracter"/>
        </w:rPr>
        <w:t>Cómputo de la acción a partir de la notificación al representante</w:t>
      </w:r>
      <w:bookmarkEnd w:id="1441"/>
      <w:r w:rsidRPr="00234417">
        <w:rPr>
          <w:rStyle w:val="TextoNormalCaracter"/>
        </w:rPr>
        <w:t xml:space="preserve">, Auto </w:t>
      </w:r>
      <w:hyperlink w:anchor="AUTO_2013_143" w:history="1">
        <w:r w:rsidRPr="00234417">
          <w:rPr>
            <w:rStyle w:val="TextoNormalCaracter"/>
          </w:rPr>
          <w:t>143/2013</w:t>
        </w:r>
      </w:hyperlink>
      <w:r w:rsidRPr="00234417">
        <w:rPr>
          <w:rStyle w:val="TextoNormalCaracter"/>
        </w:rPr>
        <w:t>, f. 2.</w:t>
      </w:r>
    </w:p>
    <w:p w:rsidR="00234417" w:rsidRPr="00234417" w:rsidRDefault="00234417" w:rsidP="00234417">
      <w:pPr>
        <w:pStyle w:val="TextoNormalSangraFrancesa"/>
        <w:rPr>
          <w:rStyle w:val="TextoNormalCaracter"/>
        </w:rPr>
      </w:pPr>
      <w:bookmarkStart w:id="1442" w:name="DESCRIPTORALFABETICO758"/>
      <w:r w:rsidRPr="00234417">
        <w:rPr>
          <w:rStyle w:val="TextoNormalNegritaCaracter"/>
        </w:rPr>
        <w:t>Cómputo de los períodos de cotización</w:t>
      </w:r>
      <w:bookmarkEnd w:id="1442"/>
      <w:r w:rsidRPr="00234417">
        <w:rPr>
          <w:rStyle w:val="TextoNormalCaracter"/>
        </w:rPr>
        <w:t xml:space="preserve">, Sentencias </w:t>
      </w:r>
      <w:hyperlink w:anchor="SENTENCIA_2013_61" w:history="1">
        <w:r w:rsidRPr="00234417">
          <w:rPr>
            <w:rStyle w:val="TextoNormalCaracter"/>
          </w:rPr>
          <w:t>61/2013</w:t>
        </w:r>
      </w:hyperlink>
      <w:r w:rsidRPr="00234417">
        <w:rPr>
          <w:rStyle w:val="TextoNormalCaracter"/>
        </w:rPr>
        <w:t xml:space="preserve">, ff. 5 a 7; </w:t>
      </w:r>
      <w:hyperlink w:anchor="SENTENCIA_2013_71" w:history="1">
        <w:r w:rsidRPr="00234417">
          <w:rPr>
            <w:rStyle w:val="TextoNormalCaracter"/>
          </w:rPr>
          <w:t>71/2013</w:t>
        </w:r>
      </w:hyperlink>
      <w:r w:rsidRPr="00234417">
        <w:rPr>
          <w:rStyle w:val="TextoNormalCaracter"/>
        </w:rPr>
        <w:t xml:space="preserve">, f. 3; </w:t>
      </w:r>
      <w:hyperlink w:anchor="SENTENCIA_2013_72" w:history="1">
        <w:r w:rsidRPr="00234417">
          <w:rPr>
            <w:rStyle w:val="TextoNormalCaracter"/>
          </w:rPr>
          <w:t>72/2013</w:t>
        </w:r>
      </w:hyperlink>
      <w:r w:rsidRPr="00234417">
        <w:rPr>
          <w:rStyle w:val="TextoNormalCaracter"/>
        </w:rPr>
        <w:t xml:space="preserve">, f. 2; </w:t>
      </w:r>
      <w:hyperlink w:anchor="SENTENCIA_2013_116" w:history="1">
        <w:r w:rsidRPr="00234417">
          <w:rPr>
            <w:rStyle w:val="TextoNormalCaracter"/>
          </w:rPr>
          <w:t>116/2013</w:t>
        </w:r>
      </w:hyperlink>
      <w:r w:rsidRPr="00234417">
        <w:rPr>
          <w:rStyle w:val="TextoNormalCaracter"/>
        </w:rPr>
        <w:t xml:space="preserve">, f. 4; </w:t>
      </w:r>
      <w:hyperlink w:anchor="SENTENCIA_2013_117" w:history="1">
        <w:r w:rsidRPr="00234417">
          <w:rPr>
            <w:rStyle w:val="TextoNormalCaracter"/>
          </w:rPr>
          <w:t>117/2013</w:t>
        </w:r>
      </w:hyperlink>
      <w:r w:rsidRPr="00234417">
        <w:rPr>
          <w:rStyle w:val="TextoNormalCaracter"/>
        </w:rPr>
        <w:t>, f. 2.</w:t>
      </w:r>
    </w:p>
    <w:p w:rsidR="00234417" w:rsidRPr="00234417" w:rsidRDefault="00234417" w:rsidP="00234417">
      <w:pPr>
        <w:pStyle w:val="TextoNormalSangraFrancesa"/>
        <w:rPr>
          <w:rStyle w:val="TextoNormalCaracter"/>
        </w:rPr>
      </w:pPr>
      <w:bookmarkStart w:id="1443" w:name="DESCRIPTORALFABETICO859"/>
      <w:r w:rsidRPr="00234417">
        <w:rPr>
          <w:rStyle w:val="TextoNormalNegritaCaracter"/>
        </w:rPr>
        <w:t>Cómputo de plazos a partir de la notificación de la sentencia</w:t>
      </w:r>
      <w:bookmarkEnd w:id="1443"/>
      <w:r w:rsidRPr="00234417">
        <w:rPr>
          <w:rStyle w:val="TextoNormalCaracter"/>
        </w:rPr>
        <w:t xml:space="preserve">, Auto </w:t>
      </w:r>
      <w:hyperlink w:anchor="AUTO_2013_143" w:history="1">
        <w:r w:rsidRPr="00234417">
          <w:rPr>
            <w:rStyle w:val="TextoNormalCaracter"/>
          </w:rPr>
          <w:t>143/2013</w:t>
        </w:r>
      </w:hyperlink>
      <w:r w:rsidRPr="00234417">
        <w:rPr>
          <w:rStyle w:val="TextoNormalCaracter"/>
        </w:rPr>
        <w:t>, f. 2.</w:t>
      </w:r>
    </w:p>
    <w:p w:rsidR="00234417" w:rsidRPr="00234417" w:rsidRDefault="00234417" w:rsidP="00234417">
      <w:pPr>
        <w:pStyle w:val="TextoNormalSangraFrancesa"/>
        <w:rPr>
          <w:rStyle w:val="TextoNormalCaracter"/>
        </w:rPr>
      </w:pPr>
      <w:bookmarkStart w:id="1444" w:name="DESCRIPTORALFABETICO305"/>
      <w:r w:rsidRPr="00234417">
        <w:rPr>
          <w:rStyle w:val="TextoNormalNegritaCaracter"/>
        </w:rPr>
        <w:lastRenderedPageBreak/>
        <w:t>Cómputo de plazos en el recurso de amparo</w:t>
      </w:r>
      <w:bookmarkEnd w:id="1444"/>
      <w:r w:rsidRPr="00234417">
        <w:rPr>
          <w:rStyle w:val="TextoNormalCaracter"/>
        </w:rPr>
        <w:t xml:space="preserve">, Auto </w:t>
      </w:r>
      <w:hyperlink w:anchor="AUTO_2013_22" w:history="1">
        <w:r w:rsidRPr="00234417">
          <w:rPr>
            <w:rStyle w:val="TextoNormalCaracter"/>
          </w:rPr>
          <w:t>22/2013</w:t>
        </w:r>
      </w:hyperlink>
      <w:r w:rsidRPr="00234417">
        <w:rPr>
          <w:rStyle w:val="TextoNormalCaracter"/>
        </w:rPr>
        <w:t>, ff. 1, 2.</w:t>
      </w:r>
    </w:p>
    <w:p w:rsidR="00234417" w:rsidRPr="00234417" w:rsidRDefault="00234417" w:rsidP="00234417">
      <w:pPr>
        <w:pStyle w:val="TextoNormalSangraFrancesa"/>
        <w:rPr>
          <w:rStyle w:val="TextoNormalCaracter"/>
        </w:rPr>
      </w:pPr>
      <w:bookmarkStart w:id="1445" w:name="DESCRIPTORALFABETICO738"/>
      <w:r w:rsidRPr="00234417">
        <w:rPr>
          <w:rStyle w:val="TextoNormalNegritaCaracter"/>
        </w:rPr>
        <w:t>Comunicaciones de reclusos con familiares</w:t>
      </w:r>
      <w:bookmarkEnd w:id="1445"/>
      <w:r w:rsidRPr="00234417">
        <w:rPr>
          <w:rStyle w:val="TextoNormalCaracter"/>
        </w:rPr>
        <w:t xml:space="preserve">, Sentencia </w:t>
      </w:r>
      <w:hyperlink w:anchor="SENTENCIA_2013_128" w:history="1">
        <w:r w:rsidRPr="00234417">
          <w:rPr>
            <w:rStyle w:val="TextoNormalCaracter"/>
          </w:rPr>
          <w:t>128/2013</w:t>
        </w:r>
      </w:hyperlink>
      <w:r w:rsidRPr="00234417">
        <w:rPr>
          <w:rStyle w:val="TextoNormalCaracter"/>
        </w:rPr>
        <w:t>, ff. 3, 4, 5.</w:t>
      </w:r>
    </w:p>
    <w:p w:rsidR="00234417" w:rsidRPr="00234417" w:rsidRDefault="00234417" w:rsidP="00234417">
      <w:pPr>
        <w:pStyle w:val="TextoNormalSangraFrancesa"/>
        <w:rPr>
          <w:rStyle w:val="TextoNormalCaracter"/>
        </w:rPr>
      </w:pPr>
      <w:bookmarkStart w:id="1446" w:name="DESCRIPTORALFABETICO941"/>
      <w:r w:rsidRPr="00234417">
        <w:rPr>
          <w:rStyle w:val="TextoNormalNegritaCaracter"/>
        </w:rPr>
        <w:t>Comunidad de Madrid</w:t>
      </w:r>
      <w:bookmarkEnd w:id="1446"/>
      <w:r w:rsidRPr="00234417">
        <w:rPr>
          <w:rStyle w:val="TextoNormalCaracter"/>
        </w:rPr>
        <w:t xml:space="preserve">, Sentencias </w:t>
      </w:r>
      <w:hyperlink w:anchor="SENTENCIA_2013_37" w:history="1">
        <w:r w:rsidRPr="00234417">
          <w:rPr>
            <w:rStyle w:val="TextoNormalCaracter"/>
          </w:rPr>
          <w:t>37/2013</w:t>
        </w:r>
      </w:hyperlink>
      <w:r w:rsidRPr="00234417">
        <w:rPr>
          <w:rStyle w:val="TextoNormalCaracter"/>
        </w:rPr>
        <w:t xml:space="preserve">, ff. 4, 5, 6; </w:t>
      </w:r>
      <w:hyperlink w:anchor="SENTENCIA_2013_81" w:history="1">
        <w:r w:rsidRPr="00234417">
          <w:rPr>
            <w:rStyle w:val="TextoNormalCaracter"/>
          </w:rPr>
          <w:t>81/2013</w:t>
        </w:r>
      </w:hyperlink>
      <w:r w:rsidRPr="00234417">
        <w:rPr>
          <w:rStyle w:val="TextoNormalCaracter"/>
        </w:rPr>
        <w:t xml:space="preserve">, ff. 5, 6, VP; </w:t>
      </w:r>
      <w:hyperlink w:anchor="SENTENCIA_2013_112" w:history="1">
        <w:r w:rsidRPr="00234417">
          <w:rPr>
            <w:rStyle w:val="TextoNormalCaracter"/>
          </w:rPr>
          <w:t>112/2013</w:t>
        </w:r>
      </w:hyperlink>
      <w:r w:rsidRPr="00234417">
        <w:rPr>
          <w:rStyle w:val="TextoNormalCaracter"/>
        </w:rPr>
        <w:t xml:space="preserve">, ff. 3 a 5; </w:t>
      </w:r>
      <w:hyperlink w:anchor="SENTENCIA_2013_138" w:history="1">
        <w:r w:rsidRPr="00234417">
          <w:rPr>
            <w:rStyle w:val="TextoNormalCaracter"/>
          </w:rPr>
          <w:t>138/2013</w:t>
        </w:r>
      </w:hyperlink>
      <w:r w:rsidRPr="00234417">
        <w:rPr>
          <w:rStyle w:val="TextoNormalCaracter"/>
        </w:rPr>
        <w:t>, ff. 2 a 9.</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142" w:history="1">
        <w:r w:rsidRPr="00234417">
          <w:rPr>
            <w:rStyle w:val="TextoNormalCaracter"/>
          </w:rPr>
          <w:t>142/2013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1447" w:name="DESCRIPTORALFABETICO942"/>
      <w:r w:rsidRPr="00234417">
        <w:rPr>
          <w:rStyle w:val="TextoNormalNegritaCaracter"/>
        </w:rPr>
        <w:t>Comunidad Valenciana</w:t>
      </w:r>
      <w:bookmarkEnd w:id="1447"/>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ff. 1 a 4; </w:t>
      </w:r>
      <w:hyperlink w:anchor="SENTENCIA_2013_65" w:history="1">
        <w:r w:rsidRPr="00234417">
          <w:rPr>
            <w:rStyle w:val="TextoNormalCaracter"/>
          </w:rPr>
          <w:t>65/2013</w:t>
        </w:r>
      </w:hyperlink>
      <w:r w:rsidRPr="00234417">
        <w:rPr>
          <w:rStyle w:val="TextoNormalCaracter"/>
        </w:rPr>
        <w:t xml:space="preserve">, ff. 2, 3, 5; </w:t>
      </w:r>
      <w:hyperlink w:anchor="SENTENCIA_2013_66" w:history="1">
        <w:r w:rsidRPr="00234417">
          <w:rPr>
            <w:rStyle w:val="TextoNormalCaracter"/>
          </w:rPr>
          <w:t>66/2013</w:t>
        </w:r>
      </w:hyperlink>
      <w:r w:rsidRPr="00234417">
        <w:rPr>
          <w:rStyle w:val="TextoNormalCaracter"/>
        </w:rPr>
        <w:t xml:space="preserve">, ff. 3, 4; </w:t>
      </w:r>
      <w:hyperlink w:anchor="SENTENCIA_2013_86" w:history="1">
        <w:r w:rsidRPr="00234417">
          <w:rPr>
            <w:rStyle w:val="TextoNormalCaracter"/>
          </w:rPr>
          <w:t>86/2013</w:t>
        </w:r>
      </w:hyperlink>
      <w:r w:rsidRPr="00234417">
        <w:rPr>
          <w:rStyle w:val="TextoNormalCaracter"/>
        </w:rPr>
        <w:t>, f. 4.</w:t>
      </w:r>
    </w:p>
    <w:p w:rsidR="00234417" w:rsidRPr="00234417" w:rsidRDefault="00234417" w:rsidP="00234417">
      <w:pPr>
        <w:pStyle w:val="TextoNormalSangraFrancesa"/>
        <w:rPr>
          <w:rStyle w:val="TextoNormalCaracter"/>
        </w:rPr>
      </w:pPr>
      <w:bookmarkStart w:id="1448" w:name="DESCRIPTORALFABETICO446"/>
      <w:r w:rsidRPr="00234417">
        <w:rPr>
          <w:rStyle w:val="TextoNormalNegritaCaracter"/>
        </w:rPr>
        <w:t>Comunidades Autónomas</w:t>
      </w:r>
      <w:bookmarkEnd w:id="1448"/>
      <w:r w:rsidRPr="00234417">
        <w:rPr>
          <w:rStyle w:val="TextoNormalCaracter"/>
        </w:rPr>
        <w:t xml:space="preserve">, Sentencias </w:t>
      </w:r>
      <w:hyperlink w:anchor="SENTENCIA_2013_8" w:history="1">
        <w:r w:rsidRPr="00234417">
          <w:rPr>
            <w:rStyle w:val="TextoNormalCaracter"/>
          </w:rPr>
          <w:t>8/2013</w:t>
        </w:r>
      </w:hyperlink>
      <w:r w:rsidRPr="00234417">
        <w:rPr>
          <w:rStyle w:val="TextoNormalCaracter"/>
        </w:rPr>
        <w:t xml:space="preserve">, f. 5; </w:t>
      </w:r>
      <w:hyperlink w:anchor="SENTENCIA_2013_16" w:history="1">
        <w:r w:rsidRPr="00234417">
          <w:rPr>
            <w:rStyle w:val="TextoNormalCaracter"/>
          </w:rPr>
          <w:t>16/2013</w:t>
        </w:r>
      </w:hyperlink>
      <w:r w:rsidRPr="00234417">
        <w:rPr>
          <w:rStyle w:val="TextoNormalCaracter"/>
        </w:rPr>
        <w:t xml:space="preserve">, f. 9; </w:t>
      </w:r>
      <w:hyperlink w:anchor="SENTENCIA_2013_20" w:history="1">
        <w:r w:rsidRPr="00234417">
          <w:rPr>
            <w:rStyle w:val="TextoNormalCaracter"/>
          </w:rPr>
          <w:t>20/2013</w:t>
        </w:r>
      </w:hyperlink>
      <w:r w:rsidRPr="00234417">
        <w:rPr>
          <w:rStyle w:val="TextoNormalCaracter"/>
        </w:rPr>
        <w:t xml:space="preserve">, f. 10; </w:t>
      </w:r>
      <w:hyperlink w:anchor="SENTENCIA_2013_36" w:history="1">
        <w:r w:rsidRPr="00234417">
          <w:rPr>
            <w:rStyle w:val="TextoNormalCaracter"/>
          </w:rPr>
          <w:t>36/2013</w:t>
        </w:r>
      </w:hyperlink>
      <w:r w:rsidRPr="00234417">
        <w:rPr>
          <w:rStyle w:val="TextoNormalCaracter"/>
        </w:rPr>
        <w:t xml:space="preserve">, f. 8; </w:t>
      </w:r>
      <w:hyperlink w:anchor="SENTENCIA_2013_60" w:history="1">
        <w:r w:rsidRPr="00234417">
          <w:rPr>
            <w:rStyle w:val="TextoNormalCaracter"/>
          </w:rPr>
          <w:t>60/2013</w:t>
        </w:r>
      </w:hyperlink>
      <w:r w:rsidRPr="00234417">
        <w:rPr>
          <w:rStyle w:val="TextoNormalCaracter"/>
        </w:rPr>
        <w:t xml:space="preserve">, f. 2;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xml:space="preserve">, f. 4; </w:t>
      </w:r>
      <w:hyperlink w:anchor="SENTENCIA_2013_85" w:history="1">
        <w:r w:rsidRPr="00234417">
          <w:rPr>
            <w:rStyle w:val="TextoNormalCaracter"/>
          </w:rPr>
          <w:t>85/2013</w:t>
        </w:r>
      </w:hyperlink>
      <w:r w:rsidRPr="00234417">
        <w:rPr>
          <w:rStyle w:val="TextoNormalCaracter"/>
        </w:rPr>
        <w:t xml:space="preserve">, f. 3; </w:t>
      </w:r>
      <w:hyperlink w:anchor="SENTENCIA_2013_101" w:history="1">
        <w:r w:rsidRPr="00234417">
          <w:rPr>
            <w:rStyle w:val="TextoNormalCaracter"/>
          </w:rPr>
          <w:t>101/2013</w:t>
        </w:r>
      </w:hyperlink>
      <w:r w:rsidRPr="00234417">
        <w:rPr>
          <w:rStyle w:val="TextoNormalCaracter"/>
        </w:rPr>
        <w:t xml:space="preserve">, ff. 3, 4, 5, 6, 7, 8, 9, 10; </w:t>
      </w:r>
      <w:hyperlink w:anchor="SENTENCIA_2013_132" w:history="1">
        <w:r w:rsidRPr="00234417">
          <w:rPr>
            <w:rStyle w:val="TextoNormalCaracter"/>
          </w:rPr>
          <w:t>132/2013</w:t>
        </w:r>
      </w:hyperlink>
      <w:r w:rsidRPr="00234417">
        <w:rPr>
          <w:rStyle w:val="TextoNormalCaracter"/>
        </w:rPr>
        <w:t>, f. 2.</w:t>
      </w:r>
    </w:p>
    <w:p w:rsidR="00234417" w:rsidRPr="00234417" w:rsidRDefault="00234417" w:rsidP="00234417">
      <w:pPr>
        <w:pStyle w:val="TextoNormalSangraFrancesa"/>
        <w:rPr>
          <w:rStyle w:val="TextoNormalCaracter"/>
        </w:rPr>
      </w:pPr>
      <w:bookmarkStart w:id="1449" w:name="DESCRIPTORALFABETICO452"/>
      <w:r w:rsidRPr="00234417">
        <w:rPr>
          <w:rStyle w:val="TextoNormalNegritaCaracter"/>
        </w:rPr>
        <w:t>Concejales no adscritos</w:t>
      </w:r>
      <w:bookmarkEnd w:id="1449"/>
      <w:r w:rsidRPr="00234417">
        <w:rPr>
          <w:rStyle w:val="TextoNormalCaracter"/>
        </w:rPr>
        <w:t xml:space="preserve">, Sentencias </w:t>
      </w:r>
      <w:hyperlink w:anchor="SENTENCIA_2013_10" w:history="1">
        <w:r w:rsidRPr="00234417">
          <w:rPr>
            <w:rStyle w:val="TextoNormalCaracter"/>
          </w:rPr>
          <w:t>10/2013</w:t>
        </w:r>
      </w:hyperlink>
      <w:r w:rsidRPr="00234417">
        <w:rPr>
          <w:rStyle w:val="TextoNormalCaracter"/>
        </w:rPr>
        <w:t xml:space="preserve">, f. 3; </w:t>
      </w:r>
      <w:hyperlink w:anchor="SENTENCIA_2013_103" w:history="1">
        <w:r w:rsidRPr="00234417">
          <w:rPr>
            <w:rStyle w:val="TextoNormalCaracter"/>
          </w:rPr>
          <w:t>103/2013</w:t>
        </w:r>
      </w:hyperlink>
      <w:r w:rsidRPr="00234417">
        <w:rPr>
          <w:rStyle w:val="TextoNormalCaracter"/>
        </w:rPr>
        <w:t>, ff. 5, 6, VP.</w:t>
      </w:r>
    </w:p>
    <w:p w:rsidR="00234417" w:rsidRPr="00234417" w:rsidRDefault="00234417" w:rsidP="00234417">
      <w:pPr>
        <w:pStyle w:val="TextoNormalSangraFrancesa"/>
        <w:rPr>
          <w:rStyle w:val="TextoNormalCaracter"/>
        </w:rPr>
      </w:pPr>
      <w:bookmarkStart w:id="1450" w:name="DESCRIPTORALFABETICO555"/>
      <w:r w:rsidRPr="00234417">
        <w:rPr>
          <w:rStyle w:val="TextoNormalNegritaCaracter"/>
        </w:rPr>
        <w:t>Concesiones de explotación de hidrocarburos</w:t>
      </w:r>
      <w:bookmarkEnd w:id="1450"/>
      <w:r w:rsidRPr="00234417">
        <w:rPr>
          <w:rStyle w:val="TextoNormalCaracter"/>
        </w:rPr>
        <w:t xml:space="preserve">, Sentencia </w:t>
      </w:r>
      <w:hyperlink w:anchor="SENTENCIA_2013_8" w:history="1">
        <w:r w:rsidRPr="00234417">
          <w:rPr>
            <w:rStyle w:val="TextoNormalCaracter"/>
          </w:rPr>
          <w:t>8/2013</w:t>
        </w:r>
      </w:hyperlink>
      <w:r w:rsidRPr="00234417">
        <w:rPr>
          <w:rStyle w:val="TextoNormalCaracter"/>
        </w:rPr>
        <w:t>, ff. 2, 4.</w:t>
      </w:r>
    </w:p>
    <w:p w:rsidR="00234417" w:rsidRPr="00234417" w:rsidRDefault="00234417" w:rsidP="00234417">
      <w:pPr>
        <w:pStyle w:val="TextoNormalSangraFrancesa"/>
        <w:rPr>
          <w:rStyle w:val="TextoNormalCaracter"/>
        </w:rPr>
      </w:pPr>
      <w:bookmarkStart w:id="1451" w:name="DESCRIPTORALFABETICO518"/>
      <w:r w:rsidRPr="00234417">
        <w:rPr>
          <w:rStyle w:val="TextoNormalNegritaCaracter"/>
        </w:rPr>
        <w:t>Conciertos con centros docentes</w:t>
      </w:r>
      <w:bookmarkEnd w:id="1451"/>
      <w:r w:rsidRPr="00234417">
        <w:rPr>
          <w:rStyle w:val="TextoNormalCaracter"/>
        </w:rPr>
        <w:t xml:space="preserve">, Sentencias </w:t>
      </w:r>
      <w:hyperlink w:anchor="SENTENCIA_2013_6" w:history="1">
        <w:r w:rsidRPr="00234417">
          <w:rPr>
            <w:rStyle w:val="TextoNormalCaracter"/>
          </w:rPr>
          <w:t>6/2013</w:t>
        </w:r>
      </w:hyperlink>
      <w:r w:rsidRPr="00234417">
        <w:rPr>
          <w:rStyle w:val="TextoNormalCaracter"/>
        </w:rPr>
        <w:t xml:space="preserve">, ff. 3, 6; </w:t>
      </w:r>
      <w:hyperlink w:anchor="SENTENCIA_2013_131" w:history="1">
        <w:r w:rsidRPr="00234417">
          <w:rPr>
            <w:rStyle w:val="TextoNormalCaracter"/>
          </w:rPr>
          <w:t>131/2013</w:t>
        </w:r>
      </w:hyperlink>
      <w:r w:rsidRPr="00234417">
        <w:rPr>
          <w:rStyle w:val="TextoNormalCaracter"/>
        </w:rPr>
        <w:t>, f. 6.</w:t>
      </w:r>
    </w:p>
    <w:p w:rsidR="00234417" w:rsidRPr="00234417" w:rsidRDefault="00234417" w:rsidP="00234417">
      <w:pPr>
        <w:pStyle w:val="TextoNormalSangraFrancesa"/>
        <w:rPr>
          <w:rStyle w:val="TextoNormalCaracter"/>
        </w:rPr>
      </w:pPr>
      <w:bookmarkStart w:id="1452" w:name="DESCRIPTORALFABETICO751"/>
      <w:r w:rsidRPr="00234417">
        <w:rPr>
          <w:rStyle w:val="TextoNormalNegritaCaracter"/>
        </w:rPr>
        <w:t>Conciertos con oficinas de farmacia</w:t>
      </w:r>
      <w:bookmarkEnd w:id="1452"/>
      <w:r w:rsidRPr="00234417">
        <w:rPr>
          <w:rStyle w:val="TextoNormalCaracter"/>
        </w:rPr>
        <w:t xml:space="preserve">, Sentencia </w:t>
      </w:r>
      <w:hyperlink w:anchor="SENTENCIA_2013_137" w:history="1">
        <w:r w:rsidRPr="00234417">
          <w:rPr>
            <w:rStyle w:val="TextoNormalCaracter"/>
          </w:rPr>
          <w:t>137/2013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1453" w:name="DESCRIPTORALFABETICO24"/>
      <w:r w:rsidRPr="00234417">
        <w:rPr>
          <w:rStyle w:val="TextoNormalNegritaCaracter"/>
        </w:rPr>
        <w:t>Concurrencia de competencias sobre el mismo espacio físico</w:t>
      </w:r>
      <w:bookmarkEnd w:id="1453"/>
      <w:r w:rsidRPr="00234417">
        <w:rPr>
          <w:rStyle w:val="TextoNormalCaracter"/>
        </w:rPr>
        <w:t xml:space="preserve">, Sentencias </w:t>
      </w:r>
      <w:hyperlink w:anchor="SENTENCIA_2013_5" w:history="1">
        <w:r w:rsidRPr="00234417">
          <w:rPr>
            <w:rStyle w:val="TextoNormalCaracter"/>
          </w:rPr>
          <w:t>5/2013</w:t>
        </w:r>
      </w:hyperlink>
      <w:r w:rsidRPr="00234417">
        <w:rPr>
          <w:rStyle w:val="TextoNormalCaracter"/>
        </w:rPr>
        <w:t xml:space="preserve">, ff. 6, 7; </w:t>
      </w:r>
      <w:hyperlink w:anchor="SENTENCIA_2013_83" w:history="1">
        <w:r w:rsidRPr="00234417">
          <w:rPr>
            <w:rStyle w:val="TextoNormalCaracter"/>
          </w:rPr>
          <w:t>83/2013</w:t>
        </w:r>
      </w:hyperlink>
      <w:r w:rsidRPr="00234417">
        <w:rPr>
          <w:rStyle w:val="TextoNormalCaracter"/>
        </w:rPr>
        <w:t xml:space="preserve">, ff. 2 a 7; </w:t>
      </w:r>
      <w:hyperlink w:anchor="SENTENCIA_2013_99" w:history="1">
        <w:r w:rsidRPr="00234417">
          <w:rPr>
            <w:rStyle w:val="TextoNormalCaracter"/>
          </w:rPr>
          <w:t>99/2013</w:t>
        </w:r>
      </w:hyperlink>
      <w:r w:rsidRPr="00234417">
        <w:rPr>
          <w:rStyle w:val="TextoNormalCaracter"/>
        </w:rPr>
        <w:t>, f. 8.</w:t>
      </w:r>
    </w:p>
    <w:p w:rsidR="00234417" w:rsidRPr="00234417" w:rsidRDefault="00234417" w:rsidP="00234417">
      <w:pPr>
        <w:pStyle w:val="TextoNormalSangraFrancesa"/>
        <w:rPr>
          <w:rStyle w:val="TextoNormalCaracter"/>
        </w:rPr>
      </w:pPr>
      <w:bookmarkStart w:id="1454" w:name="DESCRIPTORALFABETICO32"/>
      <w:r w:rsidRPr="00234417">
        <w:rPr>
          <w:rStyle w:val="TextoNormalNegritaCaracter"/>
        </w:rPr>
        <w:t>Concurrencia de títulos competenciales</w:t>
      </w:r>
      <w:bookmarkEnd w:id="1454"/>
      <w:r w:rsidRPr="00234417">
        <w:rPr>
          <w:rStyle w:val="TextoNormalCaracter"/>
        </w:rPr>
        <w:t xml:space="preserve">, Sentencias </w:t>
      </w:r>
      <w:hyperlink w:anchor="SENTENCIA_2013_6" w:history="1">
        <w:r w:rsidRPr="00234417">
          <w:rPr>
            <w:rStyle w:val="TextoNormalCaracter"/>
          </w:rPr>
          <w:t>6/2013</w:t>
        </w:r>
      </w:hyperlink>
      <w:r w:rsidRPr="00234417">
        <w:rPr>
          <w:rStyle w:val="TextoNormalCaracter"/>
        </w:rPr>
        <w:t xml:space="preserve">, ff. 1 a 7; </w:t>
      </w:r>
      <w:hyperlink w:anchor="SENTENCIA_2013_25" w:history="1">
        <w:r w:rsidRPr="00234417">
          <w:rPr>
            <w:rStyle w:val="TextoNormalCaracter"/>
          </w:rPr>
          <w:t>25/2013</w:t>
        </w:r>
      </w:hyperlink>
      <w:r w:rsidRPr="00234417">
        <w:rPr>
          <w:rStyle w:val="TextoNormalCaracter"/>
        </w:rPr>
        <w:t xml:space="preserve">, f. 4; </w:t>
      </w:r>
      <w:hyperlink w:anchor="SENTENCIA_2013_130" w:history="1">
        <w:r w:rsidRPr="00234417">
          <w:rPr>
            <w:rStyle w:val="TextoNormalCaracter"/>
          </w:rPr>
          <w:t>130/2013</w:t>
        </w:r>
      </w:hyperlink>
      <w:r w:rsidRPr="00234417">
        <w:rPr>
          <w:rStyle w:val="TextoNormalCaracter"/>
        </w:rPr>
        <w:t xml:space="preserve">, f. 8, VP; </w:t>
      </w:r>
      <w:hyperlink w:anchor="SENTENCIA_2013_135" w:history="1">
        <w:r w:rsidRPr="00234417">
          <w:rPr>
            <w:rStyle w:val="TextoNormalCaracter"/>
          </w:rPr>
          <w:t>135/2013</w:t>
        </w:r>
      </w:hyperlink>
      <w:r w:rsidRPr="00234417">
        <w:rPr>
          <w:rStyle w:val="TextoNormalCaracter"/>
        </w:rPr>
        <w:t>, f. 6.</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146" w:history="1">
        <w:r w:rsidRPr="00234417">
          <w:rPr>
            <w:rStyle w:val="TextoNormalCaracter"/>
          </w:rPr>
          <w:t>146/2013</w:t>
        </w:r>
      </w:hyperlink>
      <w:r w:rsidRPr="00234417">
        <w:rPr>
          <w:rStyle w:val="TextoNormalCaracter"/>
        </w:rPr>
        <w:t>, f. 3.</w:t>
      </w:r>
    </w:p>
    <w:p w:rsidR="00234417" w:rsidRPr="00234417" w:rsidRDefault="00234417" w:rsidP="00234417">
      <w:pPr>
        <w:pStyle w:val="TextoNormalSangraFrancesa"/>
        <w:rPr>
          <w:rStyle w:val="TextoNormalCaracter"/>
        </w:rPr>
      </w:pPr>
      <w:bookmarkStart w:id="1455" w:name="DESCRIPTORALFABETICO923"/>
      <w:r w:rsidRPr="00234417">
        <w:rPr>
          <w:rStyle w:val="TextoNormalNegritaCaracter"/>
        </w:rPr>
        <w:t>Condena penal</w:t>
      </w:r>
      <w:bookmarkEnd w:id="1455"/>
      <w:r w:rsidRPr="00234417">
        <w:rPr>
          <w:rStyle w:val="TextoNormalCaracter"/>
        </w:rPr>
        <w:t xml:space="preserve">, Sentencia </w:t>
      </w:r>
      <w:hyperlink w:anchor="SENTENCIA_2013_43" w:history="1">
        <w:r w:rsidRPr="00234417">
          <w:rPr>
            <w:rStyle w:val="TextoNormalCaracter"/>
          </w:rPr>
          <w:t>43/2013</w:t>
        </w:r>
      </w:hyperlink>
      <w:r w:rsidRPr="00234417">
        <w:rPr>
          <w:rStyle w:val="TextoNormalCaracter"/>
        </w:rPr>
        <w:t>, f. 3.</w:t>
      </w:r>
    </w:p>
    <w:p w:rsidR="00234417" w:rsidRPr="00234417" w:rsidRDefault="00234417" w:rsidP="00234417">
      <w:pPr>
        <w:pStyle w:val="TextoNormalSangraFrancesa"/>
        <w:rPr>
          <w:rStyle w:val="TextoNormalCaracter"/>
        </w:rPr>
      </w:pPr>
      <w:bookmarkStart w:id="1456" w:name="DESCRIPTORALFABETICO925"/>
      <w:r w:rsidRPr="00234417">
        <w:rPr>
          <w:rStyle w:val="TextoNormalNegritaCaracter"/>
        </w:rPr>
        <w:t>Condena penal en apelación</w:t>
      </w:r>
      <w:bookmarkEnd w:id="1456"/>
      <w:r w:rsidRPr="00234417">
        <w:rPr>
          <w:rStyle w:val="TextoNormalCaracter"/>
        </w:rPr>
        <w:t xml:space="preserve">, Sentencias </w:t>
      </w:r>
      <w:hyperlink w:anchor="SENTENCIA_2013_43" w:history="1">
        <w:r w:rsidRPr="00234417">
          <w:rPr>
            <w:rStyle w:val="TextoNormalCaracter"/>
          </w:rPr>
          <w:t>43/2013</w:t>
        </w:r>
      </w:hyperlink>
      <w:r w:rsidRPr="00234417">
        <w:rPr>
          <w:rStyle w:val="TextoNormalCaracter"/>
        </w:rPr>
        <w:t xml:space="preserve">, f. 3; </w:t>
      </w:r>
      <w:hyperlink w:anchor="SENTENCIA_2013_78" w:history="1">
        <w:r w:rsidRPr="00234417">
          <w:rPr>
            <w:rStyle w:val="TextoNormalCaracter"/>
          </w:rPr>
          <w:t>78/2013</w:t>
        </w:r>
      </w:hyperlink>
      <w:r w:rsidRPr="00234417">
        <w:rPr>
          <w:rStyle w:val="TextoNormalCaracter"/>
        </w:rPr>
        <w:t xml:space="preserve">, f. 2; </w:t>
      </w:r>
      <w:hyperlink w:anchor="SENTENCIA_2013_118" w:history="1">
        <w:r w:rsidRPr="00234417">
          <w:rPr>
            <w:rStyle w:val="TextoNormalCaracter"/>
          </w:rPr>
          <w:t>118/2013</w:t>
        </w:r>
      </w:hyperlink>
      <w:r w:rsidRPr="00234417">
        <w:rPr>
          <w:rStyle w:val="TextoNormalCaracter"/>
        </w:rPr>
        <w:t xml:space="preserve">, ff. 4, 5; </w:t>
      </w:r>
      <w:hyperlink w:anchor="SENTENCIA_2013_119" w:history="1">
        <w:r w:rsidRPr="00234417">
          <w:rPr>
            <w:rStyle w:val="TextoNormalCaracter"/>
          </w:rPr>
          <w:t>119/2013</w:t>
        </w:r>
      </w:hyperlink>
      <w:r w:rsidRPr="00234417">
        <w:rPr>
          <w:rStyle w:val="TextoNormalCaracter"/>
        </w:rPr>
        <w:t xml:space="preserve">, ff. 4, 5; </w:t>
      </w:r>
      <w:hyperlink w:anchor="SENTENCIA_2013_120" w:history="1">
        <w:r w:rsidRPr="00234417">
          <w:rPr>
            <w:rStyle w:val="TextoNormalCaracter"/>
          </w:rPr>
          <w:t>120/2013</w:t>
        </w:r>
      </w:hyperlink>
      <w:r w:rsidRPr="00234417">
        <w:rPr>
          <w:rStyle w:val="TextoNormalCaracter"/>
        </w:rPr>
        <w:t>, ff. 4, 5.</w:t>
      </w:r>
    </w:p>
    <w:p w:rsidR="00234417" w:rsidRPr="00234417" w:rsidRDefault="00234417" w:rsidP="00234417">
      <w:pPr>
        <w:pStyle w:val="TextoNormalSangraFrancesa"/>
        <w:rPr>
          <w:rStyle w:val="TextoNormalCaracter"/>
        </w:rPr>
      </w:pPr>
      <w:bookmarkStart w:id="1457" w:name="DESCRIPTORALFABETICO926"/>
      <w:r w:rsidRPr="00234417">
        <w:rPr>
          <w:rStyle w:val="TextoNormalNegritaCaracter"/>
        </w:rPr>
        <w:t>Condena penal en apelación con vista pública</w:t>
      </w:r>
      <w:bookmarkEnd w:id="1457"/>
      <w:r w:rsidRPr="00234417">
        <w:rPr>
          <w:rStyle w:val="TextoNormalCaracter"/>
        </w:rPr>
        <w:t xml:space="preserve">, Sentencia </w:t>
      </w:r>
      <w:hyperlink w:anchor="SENTENCIA_2013_22" w:history="1">
        <w:r w:rsidRPr="00234417">
          <w:rPr>
            <w:rStyle w:val="TextoNormalCaracter"/>
          </w:rPr>
          <w:t>22/2013</w:t>
        </w:r>
      </w:hyperlink>
      <w:r w:rsidRPr="00234417">
        <w:rPr>
          <w:rStyle w:val="TextoNormalCaracter"/>
        </w:rPr>
        <w:t>, f. 3.</w:t>
      </w:r>
    </w:p>
    <w:p w:rsidR="00234417" w:rsidRPr="00234417" w:rsidRDefault="00234417" w:rsidP="00234417">
      <w:pPr>
        <w:pStyle w:val="TextoNormalSangraFrancesa"/>
        <w:rPr>
          <w:rStyle w:val="TextoNormalCaracter"/>
        </w:rPr>
      </w:pPr>
      <w:bookmarkStart w:id="1458" w:name="DESCRIPTORALFABETICO927"/>
      <w:r w:rsidRPr="00234417">
        <w:rPr>
          <w:rStyle w:val="TextoNormalNegritaCaracter"/>
        </w:rPr>
        <w:t>Condena penal en apelación fundada en pruebas sin garantías</w:t>
      </w:r>
      <w:bookmarkEnd w:id="1458"/>
      <w:r w:rsidRPr="00234417">
        <w:rPr>
          <w:rStyle w:val="TextoNormalCaracter"/>
        </w:rPr>
        <w:t xml:space="preserve">, Sentencia </w:t>
      </w:r>
      <w:hyperlink w:anchor="SENTENCIA_2013_88" w:history="1">
        <w:r w:rsidRPr="00234417">
          <w:rPr>
            <w:rStyle w:val="TextoNormalCaracter"/>
          </w:rPr>
          <w:t>88/2013</w:t>
        </w:r>
      </w:hyperlink>
      <w:r w:rsidRPr="00234417">
        <w:rPr>
          <w:rStyle w:val="TextoNormalCaracter"/>
        </w:rPr>
        <w:t>, ff. 7 a 12.</w:t>
      </w:r>
    </w:p>
    <w:p w:rsidR="00234417" w:rsidRPr="00234417" w:rsidRDefault="00234417" w:rsidP="00234417">
      <w:pPr>
        <w:pStyle w:val="TextoNormalSangraFrancesa"/>
        <w:rPr>
          <w:rStyle w:val="TextoNormalCaracter"/>
        </w:rPr>
      </w:pPr>
      <w:bookmarkStart w:id="1459" w:name="DESCRIPTORALFABETICO928"/>
      <w:r w:rsidRPr="00234417">
        <w:rPr>
          <w:rStyle w:val="TextoNormalNegritaCaracter"/>
        </w:rPr>
        <w:t>Condena penal en apelación sin vista pública</w:t>
      </w:r>
      <w:bookmarkEnd w:id="1459"/>
      <w:r w:rsidRPr="00234417">
        <w:rPr>
          <w:rStyle w:val="TextoNormalCaracter"/>
        </w:rPr>
        <w:t xml:space="preserve">, Sentencias </w:t>
      </w:r>
      <w:hyperlink w:anchor="SENTENCIA_2013_2" w:history="1">
        <w:r w:rsidRPr="00234417">
          <w:rPr>
            <w:rStyle w:val="TextoNormalCaracter"/>
          </w:rPr>
          <w:t>2/2013</w:t>
        </w:r>
      </w:hyperlink>
      <w:r w:rsidRPr="00234417">
        <w:rPr>
          <w:rStyle w:val="TextoNormalCaracter"/>
        </w:rPr>
        <w:t xml:space="preserve">, ff. 1, 6; </w:t>
      </w:r>
      <w:hyperlink w:anchor="SENTENCIA_2013_43" w:history="1">
        <w:r w:rsidRPr="00234417">
          <w:rPr>
            <w:rStyle w:val="TextoNormalCaracter"/>
          </w:rPr>
          <w:t>43/2013</w:t>
        </w:r>
      </w:hyperlink>
      <w:r w:rsidRPr="00234417">
        <w:rPr>
          <w:rStyle w:val="TextoNormalCaracter"/>
        </w:rPr>
        <w:t xml:space="preserve">, f. 6; </w:t>
      </w:r>
      <w:hyperlink w:anchor="SENTENCIA_2013_88" w:history="1">
        <w:r w:rsidRPr="00234417">
          <w:rPr>
            <w:rStyle w:val="TextoNormalCaracter"/>
          </w:rPr>
          <w:t>88/2013</w:t>
        </w:r>
      </w:hyperlink>
      <w:r w:rsidRPr="00234417">
        <w:rPr>
          <w:rStyle w:val="TextoNormalCaracter"/>
        </w:rPr>
        <w:t xml:space="preserve">, ff. 7 a 12; </w:t>
      </w:r>
      <w:hyperlink w:anchor="SENTENCIA_2013_105" w:history="1">
        <w:r w:rsidRPr="00234417">
          <w:rPr>
            <w:rStyle w:val="TextoNormalCaracter"/>
          </w:rPr>
          <w:t>105/2013</w:t>
        </w:r>
      </w:hyperlink>
      <w:r w:rsidRPr="00234417">
        <w:rPr>
          <w:rStyle w:val="TextoNormalCaracter"/>
        </w:rPr>
        <w:t xml:space="preserve">, ff. 3, 4; </w:t>
      </w:r>
      <w:hyperlink w:anchor="SENTENCIA_2013_118" w:history="1">
        <w:r w:rsidRPr="00234417">
          <w:rPr>
            <w:rStyle w:val="TextoNormalCaracter"/>
          </w:rPr>
          <w:t>118/2013</w:t>
        </w:r>
      </w:hyperlink>
      <w:r w:rsidRPr="00234417">
        <w:rPr>
          <w:rStyle w:val="TextoNormalCaracter"/>
        </w:rPr>
        <w:t xml:space="preserve">, ff. 2 a 5; </w:t>
      </w:r>
      <w:hyperlink w:anchor="SENTENCIA_2013_119" w:history="1">
        <w:r w:rsidRPr="00234417">
          <w:rPr>
            <w:rStyle w:val="TextoNormalCaracter"/>
          </w:rPr>
          <w:t>119/2013</w:t>
        </w:r>
      </w:hyperlink>
      <w:r w:rsidRPr="00234417">
        <w:rPr>
          <w:rStyle w:val="TextoNormalCaracter"/>
        </w:rPr>
        <w:t xml:space="preserve">, ff. 2 a 5; </w:t>
      </w:r>
      <w:hyperlink w:anchor="SENTENCIA_2013_120" w:history="1">
        <w:r w:rsidRPr="00234417">
          <w:rPr>
            <w:rStyle w:val="TextoNormalCaracter"/>
          </w:rPr>
          <w:t>120/2013</w:t>
        </w:r>
      </w:hyperlink>
      <w:r w:rsidRPr="00234417">
        <w:rPr>
          <w:rStyle w:val="TextoNormalCaracter"/>
        </w:rPr>
        <w:t>, ff. 2 a 5.</w:t>
      </w:r>
    </w:p>
    <w:p w:rsidR="00234417" w:rsidRPr="00234417" w:rsidRDefault="00234417" w:rsidP="00234417">
      <w:pPr>
        <w:pStyle w:val="TextoNormalSangraFrancesa"/>
        <w:rPr>
          <w:rStyle w:val="TextoNormalNegritaCaracter"/>
        </w:rPr>
      </w:pPr>
      <w:r w:rsidRPr="00234417">
        <w:rPr>
          <w:rStyle w:val="TextoNormalCursivaCaracter"/>
        </w:rPr>
        <w:t>Condena penal fundada en declaraciones de coimputados</w:t>
      </w:r>
      <w:r>
        <w:t xml:space="preserve"> véase </w:t>
      </w:r>
      <w:hyperlink w:anchor="DESCRIPTORALFABETICO914" w:history="1">
        <w:r w:rsidRPr="00234417">
          <w:rPr>
            <w:rStyle w:val="TextoNormalNegritaCaracter"/>
          </w:rPr>
          <w:t>Declaraciones de coimputados</w:t>
        </w:r>
      </w:hyperlink>
    </w:p>
    <w:p w:rsidR="00234417" w:rsidRPr="00234417" w:rsidRDefault="00234417" w:rsidP="00234417">
      <w:pPr>
        <w:pStyle w:val="TextoNormalSangraFrancesa"/>
        <w:rPr>
          <w:rStyle w:val="TextoNormalCaracter"/>
        </w:rPr>
      </w:pPr>
      <w:bookmarkStart w:id="1460" w:name="DESCRIPTORALFABETICO655"/>
      <w:r w:rsidRPr="00234417">
        <w:rPr>
          <w:rStyle w:val="TextoNormalNegritaCaracter"/>
        </w:rPr>
        <w:t>Conexión de sentido entre la situación de urgencia y las medidas adoptadas</w:t>
      </w:r>
      <w:bookmarkEnd w:id="1460"/>
      <w:r w:rsidRPr="00234417">
        <w:rPr>
          <w:rStyle w:val="TextoNormalCaracter"/>
        </w:rPr>
        <w:t xml:space="preserve">, Sentencias </w:t>
      </w:r>
      <w:hyperlink w:anchor="SENTENCIA_2013_39" w:history="1">
        <w:r w:rsidRPr="00234417">
          <w:rPr>
            <w:rStyle w:val="TextoNormalCaracter"/>
          </w:rPr>
          <w:t>39/2013</w:t>
        </w:r>
      </w:hyperlink>
      <w:r w:rsidRPr="00234417">
        <w:rPr>
          <w:rStyle w:val="TextoNormalCaracter"/>
        </w:rPr>
        <w:t xml:space="preserve">, f. 9; </w:t>
      </w:r>
      <w:hyperlink w:anchor="SENTENCIA_2013_51" w:history="1">
        <w:r w:rsidRPr="00234417">
          <w:rPr>
            <w:rStyle w:val="TextoNormalCaracter"/>
          </w:rPr>
          <w:t>51/2013</w:t>
        </w:r>
      </w:hyperlink>
      <w:r w:rsidRPr="00234417">
        <w:rPr>
          <w:rStyle w:val="TextoNormalCaracter"/>
        </w:rPr>
        <w:t xml:space="preserve">, f. 4; </w:t>
      </w:r>
      <w:hyperlink w:anchor="SENTENCIA_2013_64" w:history="1">
        <w:r w:rsidRPr="00234417">
          <w:rPr>
            <w:rStyle w:val="TextoNormalCaracter"/>
          </w:rPr>
          <w:t>64/2013</w:t>
        </w:r>
      </w:hyperlink>
      <w:r w:rsidRPr="00234417">
        <w:rPr>
          <w:rStyle w:val="TextoNormalCaracter"/>
        </w:rPr>
        <w:t>, f. 2.</w:t>
      </w:r>
    </w:p>
    <w:p w:rsidR="00234417" w:rsidRPr="00234417" w:rsidRDefault="00234417" w:rsidP="00234417">
      <w:pPr>
        <w:pStyle w:val="TextoNormalSangraFrancesa"/>
        <w:rPr>
          <w:rStyle w:val="TextoNormalCaracter"/>
        </w:rPr>
      </w:pPr>
      <w:bookmarkStart w:id="1461" w:name="DESCRIPTORALFABETICO390"/>
      <w:r w:rsidRPr="00234417">
        <w:rPr>
          <w:rStyle w:val="TextoNormalNegritaCaracter"/>
        </w:rPr>
        <w:t>Conexión material entre enmienda e iniciativa legislativa</w:t>
      </w:r>
      <w:bookmarkEnd w:id="1461"/>
      <w:r w:rsidRPr="00234417">
        <w:rPr>
          <w:rStyle w:val="TextoNormalCaracter"/>
        </w:rPr>
        <w:t xml:space="preserve">, Sentencias </w:t>
      </w:r>
      <w:hyperlink w:anchor="SENTENCIA_2013_36" w:history="1">
        <w:r w:rsidRPr="00234417">
          <w:rPr>
            <w:rStyle w:val="TextoNormalCaracter"/>
          </w:rPr>
          <w:t>36/2013</w:t>
        </w:r>
      </w:hyperlink>
      <w:r w:rsidRPr="00234417">
        <w:rPr>
          <w:rStyle w:val="TextoNormalCaracter"/>
        </w:rPr>
        <w:t xml:space="preserve">, f. 4; </w:t>
      </w:r>
      <w:hyperlink w:anchor="SENTENCIA_2013_132" w:history="1">
        <w:r w:rsidRPr="00234417">
          <w:rPr>
            <w:rStyle w:val="TextoNormalCaracter"/>
          </w:rPr>
          <w:t>132/2013</w:t>
        </w:r>
      </w:hyperlink>
      <w:r w:rsidRPr="00234417">
        <w:rPr>
          <w:rStyle w:val="TextoNormalCaracter"/>
        </w:rPr>
        <w:t>, f. 3.</w:t>
      </w:r>
    </w:p>
    <w:p w:rsidR="00234417" w:rsidRPr="00234417" w:rsidRDefault="00234417" w:rsidP="00234417">
      <w:pPr>
        <w:pStyle w:val="TextoNormalSangraFrancesa"/>
        <w:rPr>
          <w:rStyle w:val="TextoNormalCaracter"/>
        </w:rPr>
      </w:pPr>
      <w:bookmarkStart w:id="1462" w:name="DESCRIPTORALFABETICO424"/>
      <w:r w:rsidRPr="00234417">
        <w:rPr>
          <w:rStyle w:val="TextoNormalNegritaCaracter"/>
        </w:rPr>
        <w:t>Confianza legítima</w:t>
      </w:r>
      <w:bookmarkEnd w:id="1462"/>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ff. 2, 4; </w:t>
      </w:r>
      <w:hyperlink w:anchor="SENTENCIA_2013_64" w:history="1">
        <w:r w:rsidRPr="00234417">
          <w:rPr>
            <w:rStyle w:val="TextoNormalCaracter"/>
          </w:rPr>
          <w:t>64/2013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84" w:history="1">
        <w:r w:rsidRPr="00234417">
          <w:rPr>
            <w:rStyle w:val="TextoNormalCaracter"/>
          </w:rPr>
          <w:t>84/2013</w:t>
        </w:r>
      </w:hyperlink>
      <w:r w:rsidRPr="00234417">
        <w:rPr>
          <w:rStyle w:val="TextoNormalCaracter"/>
        </w:rPr>
        <w:t>, f. 2.</w:t>
      </w:r>
    </w:p>
    <w:p w:rsidR="00234417" w:rsidRPr="00234417" w:rsidRDefault="00234417" w:rsidP="00234417">
      <w:pPr>
        <w:pStyle w:val="TextoNormalSangraFrancesa"/>
        <w:rPr>
          <w:rStyle w:val="TextoNormalCaracter"/>
        </w:rPr>
      </w:pPr>
      <w:bookmarkStart w:id="1463" w:name="DESCRIPTORALFABETICO684"/>
      <w:r w:rsidRPr="00234417">
        <w:rPr>
          <w:rStyle w:val="TextoNormalNegritaCaracter"/>
        </w:rPr>
        <w:t>Conflicto de normas</w:t>
      </w:r>
      <w:bookmarkEnd w:id="1463"/>
      <w:r w:rsidRPr="00234417">
        <w:rPr>
          <w:rStyle w:val="TextoNormalCaracter"/>
        </w:rPr>
        <w:t xml:space="preserve">, Sentencia </w:t>
      </w:r>
      <w:hyperlink w:anchor="SENTENCIA_2013_93" w:history="1">
        <w:r w:rsidRPr="00234417">
          <w:rPr>
            <w:rStyle w:val="TextoNormalCaracter"/>
          </w:rPr>
          <w:t>93/2013</w:t>
        </w:r>
      </w:hyperlink>
      <w:r w:rsidRPr="00234417">
        <w:rPr>
          <w:rStyle w:val="TextoNormalCaracter"/>
        </w:rPr>
        <w:t>, f. 6.</w:t>
      </w:r>
    </w:p>
    <w:p w:rsidR="00234417" w:rsidRPr="00234417" w:rsidRDefault="00234417" w:rsidP="00234417">
      <w:pPr>
        <w:pStyle w:val="TextoNormalSangraFrancesa"/>
        <w:rPr>
          <w:rStyle w:val="TextoNormalCaracter"/>
        </w:rPr>
      </w:pPr>
      <w:bookmarkStart w:id="1464" w:name="DESCRIPTORALFABETICO261"/>
      <w:r w:rsidRPr="00234417">
        <w:rPr>
          <w:rStyle w:val="TextoNormalNegritaCaracter"/>
        </w:rPr>
        <w:t>Conflictos en defensa de la autonomía local</w:t>
      </w:r>
      <w:bookmarkEnd w:id="1464"/>
      <w:r w:rsidRPr="00234417">
        <w:rPr>
          <w:rStyle w:val="TextoNormalCaracter"/>
        </w:rPr>
        <w:t xml:space="preserve">, Auto </w:t>
      </w:r>
      <w:hyperlink w:anchor="AUTO_2013_9" w:history="1">
        <w:r w:rsidRPr="00234417">
          <w:rPr>
            <w:rStyle w:val="TextoNormalCaracter"/>
          </w:rPr>
          <w:t>9/2013</w:t>
        </w:r>
      </w:hyperlink>
      <w:r w:rsidRPr="00234417">
        <w:rPr>
          <w:rStyle w:val="TextoNormalCaracter"/>
        </w:rPr>
        <w:t>, ff. 2 a 5.</w:t>
      </w:r>
    </w:p>
    <w:p w:rsidR="00234417" w:rsidRPr="00234417" w:rsidRDefault="00234417" w:rsidP="00234417">
      <w:pPr>
        <w:pStyle w:val="TextoNormalSangraFrancesa"/>
        <w:rPr>
          <w:rStyle w:val="TextoNormalCaracter"/>
        </w:rPr>
      </w:pPr>
      <w:bookmarkStart w:id="1465" w:name="DESCRIPTORALFABETICO262"/>
      <w:r w:rsidRPr="00234417">
        <w:rPr>
          <w:rStyle w:val="TextoNormalNegritaCaracter"/>
        </w:rPr>
        <w:t>Conflictos en defensa de la autonomía local notoriamente infundados</w:t>
      </w:r>
      <w:bookmarkEnd w:id="1465"/>
      <w:r w:rsidRPr="00234417">
        <w:rPr>
          <w:rStyle w:val="TextoNormalCaracter"/>
        </w:rPr>
        <w:t xml:space="preserve">, Auto </w:t>
      </w:r>
      <w:hyperlink w:anchor="AUTO_2013_9" w:history="1">
        <w:r w:rsidRPr="00234417">
          <w:rPr>
            <w:rStyle w:val="TextoNormalCaracter"/>
          </w:rPr>
          <w:t>9/2013</w:t>
        </w:r>
      </w:hyperlink>
      <w:r w:rsidRPr="00234417">
        <w:rPr>
          <w:rStyle w:val="TextoNormalCaracter"/>
        </w:rPr>
        <w:t>, ff. 2 a 5.</w:t>
      </w:r>
    </w:p>
    <w:p w:rsidR="00234417" w:rsidRPr="00234417" w:rsidRDefault="00234417" w:rsidP="00234417">
      <w:pPr>
        <w:pStyle w:val="TextoNormalSangraFrancesa"/>
        <w:rPr>
          <w:rStyle w:val="TextoNormalCaracter"/>
        </w:rPr>
      </w:pPr>
      <w:bookmarkStart w:id="1466" w:name="DESCRIPTORALFABETICO263"/>
      <w:r w:rsidRPr="00234417">
        <w:rPr>
          <w:rStyle w:val="TextoNormalNegritaCaracter"/>
        </w:rPr>
        <w:t>Conflictos positivos de competencia</w:t>
      </w:r>
      <w:bookmarkEnd w:id="1466"/>
      <w:r w:rsidRPr="00234417">
        <w:rPr>
          <w:rStyle w:val="TextoNormalCaracter"/>
        </w:rPr>
        <w:t xml:space="preserve">, Sentencias </w:t>
      </w:r>
      <w:hyperlink w:anchor="SENTENCIA_2013_7" w:history="1">
        <w:r w:rsidRPr="00234417">
          <w:rPr>
            <w:rStyle w:val="TextoNormalCaracter"/>
          </w:rPr>
          <w:t>7/2013</w:t>
        </w:r>
      </w:hyperlink>
      <w:r w:rsidRPr="00234417">
        <w:rPr>
          <w:rStyle w:val="TextoNormalCaracter"/>
        </w:rPr>
        <w:t xml:space="preserve">, ff. 2, 7; </w:t>
      </w:r>
      <w:hyperlink w:anchor="SENTENCIA_2013_15" w:history="1">
        <w:r w:rsidRPr="00234417">
          <w:rPr>
            <w:rStyle w:val="TextoNormalCaracter"/>
          </w:rPr>
          <w:t>15/2013</w:t>
        </w:r>
      </w:hyperlink>
      <w:r w:rsidRPr="00234417">
        <w:rPr>
          <w:rStyle w:val="TextoNormalCaracter"/>
        </w:rPr>
        <w:t xml:space="preserve">, f. 2; </w:t>
      </w:r>
      <w:hyperlink w:anchor="SENTENCIA_2013_21" w:history="1">
        <w:r w:rsidRPr="00234417">
          <w:rPr>
            <w:rStyle w:val="TextoNormalCaracter"/>
          </w:rPr>
          <w:t>21/2013</w:t>
        </w:r>
      </w:hyperlink>
      <w:r w:rsidRPr="00234417">
        <w:rPr>
          <w:rStyle w:val="TextoNormalCaracter"/>
        </w:rPr>
        <w:t xml:space="preserve">, ff. 2, 8; </w:t>
      </w:r>
      <w:hyperlink w:anchor="SENTENCIA_2013_23" w:history="1">
        <w:r w:rsidRPr="00234417">
          <w:rPr>
            <w:rStyle w:val="TextoNormalCaracter"/>
          </w:rPr>
          <w:t>23/2013</w:t>
        </w:r>
      </w:hyperlink>
      <w:r w:rsidRPr="00234417">
        <w:rPr>
          <w:rStyle w:val="TextoNormalCaracter"/>
        </w:rPr>
        <w:t xml:space="preserve">, f. 5; </w:t>
      </w:r>
      <w:hyperlink w:anchor="SENTENCIA_2013_24" w:history="1">
        <w:r w:rsidRPr="00234417">
          <w:rPr>
            <w:rStyle w:val="TextoNormalCaracter"/>
          </w:rPr>
          <w:t>24/2013</w:t>
        </w:r>
      </w:hyperlink>
      <w:r w:rsidRPr="00234417">
        <w:rPr>
          <w:rStyle w:val="TextoNormalCaracter"/>
        </w:rPr>
        <w:t xml:space="preserve">, f. 2; </w:t>
      </w:r>
      <w:hyperlink w:anchor="SENTENCIA_2013_25" w:history="1">
        <w:r w:rsidRPr="00234417">
          <w:rPr>
            <w:rStyle w:val="TextoNormalCaracter"/>
          </w:rPr>
          <w:t>25/2013</w:t>
        </w:r>
      </w:hyperlink>
      <w:r w:rsidRPr="00234417">
        <w:rPr>
          <w:rStyle w:val="TextoNormalCaracter"/>
        </w:rPr>
        <w:t xml:space="preserve">, f. 2; </w:t>
      </w:r>
      <w:hyperlink w:anchor="SENTENCIA_2013_26" w:history="1">
        <w:r w:rsidRPr="00234417">
          <w:rPr>
            <w:rStyle w:val="TextoNormalCaracter"/>
          </w:rPr>
          <w:t>26/2013</w:t>
        </w:r>
      </w:hyperlink>
      <w:r w:rsidRPr="00234417">
        <w:rPr>
          <w:rStyle w:val="TextoNormalCaracter"/>
        </w:rPr>
        <w:t xml:space="preserve">, f. 2; </w:t>
      </w:r>
      <w:hyperlink w:anchor="SENTENCIA_2013_35" w:history="1">
        <w:r w:rsidRPr="00234417">
          <w:rPr>
            <w:rStyle w:val="TextoNormalCaracter"/>
          </w:rPr>
          <w:t>35/2013</w:t>
        </w:r>
      </w:hyperlink>
      <w:r w:rsidRPr="00234417">
        <w:rPr>
          <w:rStyle w:val="TextoNormalCaracter"/>
        </w:rPr>
        <w:t xml:space="preserve">, f. 2; </w:t>
      </w:r>
      <w:hyperlink w:anchor="SENTENCIA_2013_37" w:history="1">
        <w:r w:rsidRPr="00234417">
          <w:rPr>
            <w:rStyle w:val="TextoNormalCaracter"/>
          </w:rPr>
          <w:t>37/2013</w:t>
        </w:r>
      </w:hyperlink>
      <w:r w:rsidRPr="00234417">
        <w:rPr>
          <w:rStyle w:val="TextoNormalCaracter"/>
        </w:rPr>
        <w:t xml:space="preserve">, ff. 2, 3, 4, 5, 6; </w:t>
      </w:r>
      <w:hyperlink w:anchor="SENTENCIA_2013_40" w:history="1">
        <w:r w:rsidRPr="00234417">
          <w:rPr>
            <w:rStyle w:val="TextoNormalCaracter"/>
          </w:rPr>
          <w:t>40/2013</w:t>
        </w:r>
      </w:hyperlink>
      <w:r w:rsidRPr="00234417">
        <w:rPr>
          <w:rStyle w:val="TextoNormalCaracter"/>
        </w:rPr>
        <w:t xml:space="preserve">, ff. 2, 8; </w:t>
      </w:r>
      <w:hyperlink w:anchor="SENTENCIA_2013_47" w:history="1">
        <w:r w:rsidRPr="00234417">
          <w:rPr>
            <w:rStyle w:val="TextoNormalCaracter"/>
          </w:rPr>
          <w:t>47/2013</w:t>
        </w:r>
      </w:hyperlink>
      <w:r w:rsidRPr="00234417">
        <w:rPr>
          <w:rStyle w:val="TextoNormalCaracter"/>
        </w:rPr>
        <w:t xml:space="preserve">, f. 2; </w:t>
      </w:r>
      <w:hyperlink w:anchor="SENTENCIA_2013_48" w:history="1">
        <w:r w:rsidRPr="00234417">
          <w:rPr>
            <w:rStyle w:val="TextoNormalCaracter"/>
          </w:rPr>
          <w:t>48/2013</w:t>
        </w:r>
      </w:hyperlink>
      <w:r w:rsidRPr="00234417">
        <w:rPr>
          <w:rStyle w:val="TextoNormalCaracter"/>
        </w:rPr>
        <w:t xml:space="preserve">, f. 2; </w:t>
      </w:r>
      <w:hyperlink w:anchor="SENTENCIA_2013_52" w:history="1">
        <w:r w:rsidRPr="00234417">
          <w:rPr>
            <w:rStyle w:val="TextoNormalCaracter"/>
          </w:rPr>
          <w:t>52/2013</w:t>
        </w:r>
      </w:hyperlink>
      <w:r w:rsidRPr="00234417">
        <w:rPr>
          <w:rStyle w:val="TextoNormalCaracter"/>
        </w:rPr>
        <w:t xml:space="preserve">, ff. 2, 8; </w:t>
      </w:r>
      <w:hyperlink w:anchor="SENTENCIA_2013_65" w:history="1">
        <w:r w:rsidRPr="00234417">
          <w:rPr>
            <w:rStyle w:val="TextoNormalCaracter"/>
          </w:rPr>
          <w:t>65/2013</w:t>
        </w:r>
      </w:hyperlink>
      <w:r w:rsidRPr="00234417">
        <w:rPr>
          <w:rStyle w:val="TextoNormalCaracter"/>
        </w:rPr>
        <w:t xml:space="preserve">, f. 2; </w:t>
      </w:r>
      <w:hyperlink w:anchor="SENTENCIA_2013_80" w:history="1">
        <w:r w:rsidRPr="00234417">
          <w:rPr>
            <w:rStyle w:val="TextoNormalCaracter"/>
          </w:rPr>
          <w:t>80/2013</w:t>
        </w:r>
      </w:hyperlink>
      <w:r w:rsidRPr="00234417">
        <w:rPr>
          <w:rStyle w:val="TextoNormalCaracter"/>
        </w:rPr>
        <w:t xml:space="preserve">, f. 2; </w:t>
      </w:r>
      <w:hyperlink w:anchor="SENTENCIA_2013_83" w:history="1">
        <w:r w:rsidRPr="00234417">
          <w:rPr>
            <w:rStyle w:val="TextoNormalCaracter"/>
          </w:rPr>
          <w:t>83/2013</w:t>
        </w:r>
      </w:hyperlink>
      <w:r w:rsidRPr="00234417">
        <w:rPr>
          <w:rStyle w:val="TextoNormalCaracter"/>
        </w:rPr>
        <w:t xml:space="preserve">, f. 4; </w:t>
      </w:r>
      <w:hyperlink w:anchor="SENTENCIA_2013_95" w:history="1">
        <w:r w:rsidRPr="00234417">
          <w:rPr>
            <w:rStyle w:val="TextoNormalCaracter"/>
          </w:rPr>
          <w:t>95/2013</w:t>
        </w:r>
      </w:hyperlink>
      <w:r w:rsidRPr="00234417">
        <w:rPr>
          <w:rStyle w:val="TextoNormalCaracter"/>
        </w:rPr>
        <w:t xml:space="preserve">, ff. 2, 3, 4, 5, 6, 7, VP; </w:t>
      </w:r>
      <w:hyperlink w:anchor="SENTENCIA_2013_112" w:history="1">
        <w:r w:rsidRPr="00234417">
          <w:rPr>
            <w:rStyle w:val="TextoNormalCaracter"/>
          </w:rPr>
          <w:t>112/2013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33" w:history="1">
        <w:r w:rsidRPr="00234417">
          <w:rPr>
            <w:rStyle w:val="TextoNormalCaracter"/>
          </w:rPr>
          <w:t>33/2013</w:t>
        </w:r>
      </w:hyperlink>
      <w:r w:rsidRPr="00234417">
        <w:rPr>
          <w:rStyle w:val="TextoNormalCaracter"/>
        </w:rPr>
        <w:t xml:space="preserve">, ff. 2 a 6; </w:t>
      </w:r>
      <w:hyperlink w:anchor="AUTO_2013_58" w:history="1">
        <w:r w:rsidRPr="00234417">
          <w:rPr>
            <w:rStyle w:val="TextoNormalCaracter"/>
          </w:rPr>
          <w:t>58/2013</w:t>
        </w:r>
      </w:hyperlink>
      <w:r w:rsidRPr="00234417">
        <w:rPr>
          <w:rStyle w:val="TextoNormalCaracter"/>
        </w:rPr>
        <w:t xml:space="preserve">, ff. 2 a 5; </w:t>
      </w:r>
      <w:hyperlink w:anchor="AUTO_2013_87" w:history="1">
        <w:r w:rsidRPr="00234417">
          <w:rPr>
            <w:rStyle w:val="TextoNormalCaracter"/>
          </w:rPr>
          <w:t>87/2013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467" w:name="DESCRIPTORALFABETICO265"/>
      <w:r w:rsidRPr="00234417">
        <w:rPr>
          <w:rStyle w:val="TextoNormalNegritaCaracter"/>
        </w:rPr>
        <w:t>Consecuencias de la modificación del precepto impugnado</w:t>
      </w:r>
      <w:bookmarkEnd w:id="1467"/>
      <w:r w:rsidRPr="00234417">
        <w:rPr>
          <w:rStyle w:val="TextoNormalCaracter"/>
        </w:rPr>
        <w:t xml:space="preserve">, Sentencia </w:t>
      </w:r>
      <w:hyperlink w:anchor="SENTENCIA_2013_37" w:history="1">
        <w:r w:rsidRPr="00234417">
          <w:rPr>
            <w:rStyle w:val="TextoNormalCaracter"/>
          </w:rPr>
          <w:t>37/2013</w:t>
        </w:r>
      </w:hyperlink>
      <w:r w:rsidRPr="00234417">
        <w:rPr>
          <w:rStyle w:val="TextoNormalCaracter"/>
        </w:rPr>
        <w:t>, f. 3.</w:t>
      </w:r>
    </w:p>
    <w:p w:rsidR="00234417" w:rsidRPr="00234417" w:rsidRDefault="00234417" w:rsidP="00234417">
      <w:pPr>
        <w:pStyle w:val="TextoNormalSangraFrancesa"/>
        <w:rPr>
          <w:rStyle w:val="TextoNormalCaracter"/>
        </w:rPr>
      </w:pPr>
      <w:bookmarkStart w:id="1468" w:name="DESCRIPTORALFABETICO355"/>
      <w:r w:rsidRPr="00234417">
        <w:rPr>
          <w:rStyle w:val="TextoNormalNegritaCaracter"/>
        </w:rPr>
        <w:t>Consejo Nacional del Agua</w:t>
      </w:r>
      <w:bookmarkEnd w:id="1468"/>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 2; </w:t>
      </w:r>
      <w:hyperlink w:anchor="SENTENCIA_2013_51" w:history="1">
        <w:r w:rsidRPr="00234417">
          <w:rPr>
            <w:rStyle w:val="TextoNormalCaracter"/>
          </w:rPr>
          <w:t>51/2013</w:t>
        </w:r>
      </w:hyperlink>
      <w:r w:rsidRPr="00234417">
        <w:rPr>
          <w:rStyle w:val="TextoNormalCaracter"/>
        </w:rPr>
        <w:t xml:space="preserve">, f. 6; </w:t>
      </w:r>
      <w:hyperlink w:anchor="SENTENCIA_2013_64" w:history="1">
        <w:r w:rsidRPr="00234417">
          <w:rPr>
            <w:rStyle w:val="TextoNormalCaracter"/>
          </w:rPr>
          <w:t>64/2013</w:t>
        </w:r>
      </w:hyperlink>
      <w:r w:rsidRPr="00234417">
        <w:rPr>
          <w:rStyle w:val="TextoNormalCaracter"/>
        </w:rPr>
        <w:t>, f. 4.</w:t>
      </w:r>
    </w:p>
    <w:p w:rsidR="00234417" w:rsidRPr="00234417" w:rsidRDefault="00234417" w:rsidP="00234417">
      <w:pPr>
        <w:pStyle w:val="TextoNormalSangraFrancesa"/>
        <w:rPr>
          <w:rStyle w:val="TextoNormalCaracter"/>
        </w:rPr>
      </w:pPr>
      <w:bookmarkStart w:id="1469" w:name="DESCRIPTORALFABETICO613"/>
      <w:r w:rsidRPr="00234417">
        <w:rPr>
          <w:rStyle w:val="TextoNormalNegritaCaracter"/>
        </w:rPr>
        <w:lastRenderedPageBreak/>
        <w:t>Conservación de espacios naturales protegidos</w:t>
      </w:r>
      <w:bookmarkEnd w:id="1469"/>
      <w:r w:rsidRPr="00234417">
        <w:rPr>
          <w:rStyle w:val="TextoNormalCaracter"/>
        </w:rPr>
        <w:t xml:space="preserve">, Sentencias </w:t>
      </w:r>
      <w:hyperlink w:anchor="SENTENCIA_2013_69" w:history="1">
        <w:r w:rsidRPr="00234417">
          <w:rPr>
            <w:rStyle w:val="TextoNormalCaracter"/>
          </w:rPr>
          <w:t>69/2013</w:t>
        </w:r>
      </w:hyperlink>
      <w:r w:rsidRPr="00234417">
        <w:rPr>
          <w:rStyle w:val="TextoNormalCaracter"/>
        </w:rPr>
        <w:t xml:space="preserve">, ff. 2, 4, 5, 6; </w:t>
      </w:r>
      <w:hyperlink w:anchor="SENTENCIA_2013_80" w:history="1">
        <w:r w:rsidRPr="00234417">
          <w:rPr>
            <w:rStyle w:val="TextoNormalCaracter"/>
          </w:rPr>
          <w:t>80/2013</w:t>
        </w:r>
      </w:hyperlink>
      <w:r w:rsidRPr="00234417">
        <w:rPr>
          <w:rStyle w:val="TextoNormalCaracter"/>
        </w:rPr>
        <w:t xml:space="preserve">, f. 3; </w:t>
      </w:r>
      <w:hyperlink w:anchor="SENTENCIA_2013_102" w:history="1">
        <w:r w:rsidRPr="00234417">
          <w:rPr>
            <w:rStyle w:val="TextoNormalCaracter"/>
          </w:rPr>
          <w:t>102/2013</w:t>
        </w:r>
      </w:hyperlink>
      <w:r w:rsidRPr="00234417">
        <w:rPr>
          <w:rStyle w:val="TextoNormalCaracter"/>
        </w:rPr>
        <w:t xml:space="preserve">, ff. 9 a 12; </w:t>
      </w:r>
      <w:hyperlink w:anchor="SENTENCIA_2013_138" w:history="1">
        <w:r w:rsidRPr="00234417">
          <w:rPr>
            <w:rStyle w:val="TextoNormalCaracter"/>
          </w:rPr>
          <w:t>138/2013</w:t>
        </w:r>
      </w:hyperlink>
      <w:r w:rsidRPr="00234417">
        <w:rPr>
          <w:rStyle w:val="TextoNormalCaracter"/>
        </w:rPr>
        <w:t>, ff. 6, 7.</w:t>
      </w:r>
    </w:p>
    <w:p w:rsidR="00234417" w:rsidRPr="00234417" w:rsidRDefault="00234417" w:rsidP="00234417">
      <w:pPr>
        <w:pStyle w:val="TextoNormalSangraFrancesa"/>
        <w:rPr>
          <w:rStyle w:val="TextoNormalCaracter"/>
        </w:rPr>
      </w:pPr>
      <w:bookmarkStart w:id="1470" w:name="DESCRIPTORALFABETICO810"/>
      <w:r w:rsidRPr="00234417">
        <w:rPr>
          <w:rStyle w:val="TextoNormalNegritaCaracter"/>
        </w:rPr>
        <w:t>Consignación de depósito para recurrir</w:t>
      </w:r>
      <w:bookmarkEnd w:id="1470"/>
      <w:r w:rsidRPr="00234417">
        <w:rPr>
          <w:rStyle w:val="TextoNormalCaracter"/>
        </w:rPr>
        <w:t xml:space="preserve">, Sentencias </w:t>
      </w:r>
      <w:hyperlink w:anchor="SENTENCIA_2013_73" w:history="1">
        <w:r w:rsidRPr="00234417">
          <w:rPr>
            <w:rStyle w:val="TextoNormalCaracter"/>
          </w:rPr>
          <w:t>73/2013</w:t>
        </w:r>
      </w:hyperlink>
      <w:r w:rsidRPr="00234417">
        <w:rPr>
          <w:rStyle w:val="TextoNormalCaracter"/>
        </w:rPr>
        <w:t xml:space="preserve">, ff. 2, 3; </w:t>
      </w:r>
      <w:hyperlink w:anchor="SENTENCIA_2013_74" w:history="1">
        <w:r w:rsidRPr="00234417">
          <w:rPr>
            <w:rStyle w:val="TextoNormalCaracter"/>
          </w:rPr>
          <w:t>74/2013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1471" w:name="DESCRIPTORALFABETICO811"/>
      <w:r w:rsidRPr="00234417">
        <w:rPr>
          <w:rStyle w:val="TextoNormalNegritaCaracter"/>
        </w:rPr>
        <w:t>Consignación en plazo de subsanación</w:t>
      </w:r>
      <w:bookmarkEnd w:id="1471"/>
      <w:r w:rsidRPr="00234417">
        <w:rPr>
          <w:rStyle w:val="TextoNormalCaracter"/>
        </w:rPr>
        <w:t xml:space="preserve">, Sentencia </w:t>
      </w:r>
      <w:hyperlink w:anchor="SENTENCIA_2013_73" w:history="1">
        <w:r w:rsidRPr="00234417">
          <w:rPr>
            <w:rStyle w:val="TextoNormalCaracter"/>
          </w:rPr>
          <w:t>73/2013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472" w:name="DESCRIPTORALFABETICO812"/>
      <w:r w:rsidRPr="00234417">
        <w:rPr>
          <w:rStyle w:val="TextoNormalNegritaCaracter"/>
        </w:rPr>
        <w:t>Consignación en recurso de apelación civil</w:t>
      </w:r>
      <w:bookmarkEnd w:id="1472"/>
      <w:r w:rsidRPr="00234417">
        <w:rPr>
          <w:rStyle w:val="TextoNormalCaracter"/>
        </w:rPr>
        <w:t xml:space="preserve">, Sentencias </w:t>
      </w:r>
      <w:hyperlink w:anchor="SENTENCIA_2013_73" w:history="1">
        <w:r w:rsidRPr="00234417">
          <w:rPr>
            <w:rStyle w:val="TextoNormalCaracter"/>
          </w:rPr>
          <w:t>73/2013</w:t>
        </w:r>
      </w:hyperlink>
      <w:r w:rsidRPr="00234417">
        <w:rPr>
          <w:rStyle w:val="TextoNormalCaracter"/>
        </w:rPr>
        <w:t xml:space="preserve">, ff. 2, 3; </w:t>
      </w:r>
      <w:hyperlink w:anchor="SENTENCIA_2013_74" w:history="1">
        <w:r w:rsidRPr="00234417">
          <w:rPr>
            <w:rStyle w:val="TextoNormalCaracter"/>
          </w:rPr>
          <w:t>74/2013</w:t>
        </w:r>
      </w:hyperlink>
      <w:r w:rsidRPr="00234417">
        <w:rPr>
          <w:rStyle w:val="TextoNormalCaracter"/>
        </w:rPr>
        <w:t>, f. 2.</w:t>
      </w:r>
    </w:p>
    <w:p w:rsidR="00234417" w:rsidRPr="00234417" w:rsidRDefault="00234417" w:rsidP="00234417">
      <w:pPr>
        <w:pStyle w:val="TextoNormalSangraFrancesa"/>
        <w:rPr>
          <w:rStyle w:val="TextoNormalCaracter"/>
        </w:rPr>
      </w:pPr>
      <w:bookmarkStart w:id="1473" w:name="DESCRIPTORALFABETICO609"/>
      <w:r w:rsidRPr="00234417">
        <w:rPr>
          <w:rStyle w:val="TextoNormalNegritaCaracter"/>
        </w:rPr>
        <w:t>Contaminación acústica</w:t>
      </w:r>
      <w:bookmarkEnd w:id="1473"/>
      <w:r w:rsidRPr="00234417">
        <w:rPr>
          <w:rStyle w:val="TextoNormalCaracter"/>
        </w:rPr>
        <w:t xml:space="preserve">, Sentencia </w:t>
      </w:r>
      <w:hyperlink w:anchor="SENTENCIA_2013_5" w:history="1">
        <w:r w:rsidRPr="00234417">
          <w:rPr>
            <w:rStyle w:val="TextoNormalCaracter"/>
          </w:rPr>
          <w:t>5/2013</w:t>
        </w:r>
      </w:hyperlink>
      <w:r w:rsidRPr="00234417">
        <w:rPr>
          <w:rStyle w:val="TextoNormalCaracter"/>
        </w:rPr>
        <w:t>, ff. 4, 5.</w:t>
      </w:r>
    </w:p>
    <w:p w:rsidR="00234417" w:rsidRPr="00234417" w:rsidRDefault="00234417" w:rsidP="00234417">
      <w:pPr>
        <w:pStyle w:val="TextoNormalSangraFrancesa"/>
        <w:rPr>
          <w:rStyle w:val="TextoNormalCaracter"/>
        </w:rPr>
      </w:pPr>
      <w:bookmarkStart w:id="1474" w:name="DESCRIPTORALFABETICO611"/>
      <w:r w:rsidRPr="00234417">
        <w:rPr>
          <w:rStyle w:val="TextoNormalNegritaCaracter"/>
        </w:rPr>
        <w:t>Contaminación del suelo</w:t>
      </w:r>
      <w:bookmarkEnd w:id="1474"/>
      <w:r w:rsidRPr="00234417">
        <w:rPr>
          <w:rStyle w:val="TextoNormalCaracter"/>
        </w:rPr>
        <w:t xml:space="preserve">, Sentencias </w:t>
      </w:r>
      <w:hyperlink w:anchor="SENTENCIA_2013_104" w:history="1">
        <w:r w:rsidRPr="00234417">
          <w:rPr>
            <w:rStyle w:val="TextoNormalCaracter"/>
          </w:rPr>
          <w:t>104/2013</w:t>
        </w:r>
      </w:hyperlink>
      <w:r w:rsidRPr="00234417">
        <w:rPr>
          <w:rStyle w:val="TextoNormalCaracter"/>
        </w:rPr>
        <w:t xml:space="preserve">, f. 8; </w:t>
      </w:r>
      <w:hyperlink w:anchor="SENTENCIA_2013_111" w:history="1">
        <w:r w:rsidRPr="00234417">
          <w:rPr>
            <w:rStyle w:val="TextoNormalCaracter"/>
          </w:rPr>
          <w:t>111/2013</w:t>
        </w:r>
      </w:hyperlink>
      <w:r w:rsidRPr="00234417">
        <w:rPr>
          <w:rStyle w:val="TextoNormalCaracter"/>
        </w:rPr>
        <w:t>, f. 4.</w:t>
      </w:r>
    </w:p>
    <w:p w:rsidR="00234417" w:rsidRPr="00234417" w:rsidRDefault="00234417" w:rsidP="00234417">
      <w:pPr>
        <w:pStyle w:val="TextoNormalSangraFrancesa"/>
        <w:rPr>
          <w:rStyle w:val="TextoNormalCaracter"/>
        </w:rPr>
      </w:pPr>
      <w:bookmarkStart w:id="1475" w:name="DESCRIPTORALFABETICO83"/>
      <w:r w:rsidRPr="00234417">
        <w:rPr>
          <w:rStyle w:val="TextoNormalNegritaCaracter"/>
        </w:rPr>
        <w:t>Contención del gasto público</w:t>
      </w:r>
      <w:bookmarkEnd w:id="1475"/>
      <w:r w:rsidRPr="00234417">
        <w:rPr>
          <w:rStyle w:val="TextoNormalCaracter"/>
        </w:rPr>
        <w:t xml:space="preserve">, Autos </w:t>
      </w:r>
      <w:hyperlink w:anchor="AUTO_2013_88" w:history="1">
        <w:r w:rsidRPr="00234417">
          <w:rPr>
            <w:rStyle w:val="TextoNormalCaracter"/>
          </w:rPr>
          <w:t>88/2013</w:t>
        </w:r>
      </w:hyperlink>
      <w:r w:rsidRPr="00234417">
        <w:rPr>
          <w:rStyle w:val="TextoNormalCaracter"/>
        </w:rPr>
        <w:t xml:space="preserve">, f. 4; </w:t>
      </w:r>
      <w:hyperlink w:anchor="AUTO_2013_122" w:history="1">
        <w:r w:rsidRPr="00234417">
          <w:rPr>
            <w:rStyle w:val="TextoNormalCaracter"/>
          </w:rPr>
          <w:t>122/2013</w:t>
        </w:r>
      </w:hyperlink>
      <w:r w:rsidRPr="00234417">
        <w:rPr>
          <w:rStyle w:val="TextoNormalCaracter"/>
        </w:rPr>
        <w:t xml:space="preserve">, ff. 4, 5; </w:t>
      </w:r>
      <w:hyperlink w:anchor="AUTO_2013_142" w:history="1">
        <w:r w:rsidRPr="00234417">
          <w:rPr>
            <w:rStyle w:val="TextoNormalCaracter"/>
          </w:rPr>
          <w:t>142/2013</w:t>
        </w:r>
      </w:hyperlink>
      <w:r w:rsidRPr="00234417">
        <w:rPr>
          <w:rStyle w:val="TextoNormalCaracter"/>
        </w:rPr>
        <w:t>, f. 3.</w:t>
      </w:r>
    </w:p>
    <w:p w:rsidR="00234417" w:rsidRPr="00234417" w:rsidRDefault="00234417" w:rsidP="00234417">
      <w:pPr>
        <w:pStyle w:val="TextoNormalSangraFrancesa"/>
        <w:rPr>
          <w:rStyle w:val="TextoNormalCaracter"/>
        </w:rPr>
      </w:pPr>
      <w:bookmarkStart w:id="1476" w:name="DESCRIPTORALFABETICO201"/>
      <w:r w:rsidRPr="00234417">
        <w:rPr>
          <w:rStyle w:val="TextoNormalNegritaCaracter"/>
        </w:rPr>
        <w:t>Contenido de la libertad de circulación</w:t>
      </w:r>
      <w:bookmarkEnd w:id="1476"/>
      <w:r w:rsidRPr="00234417">
        <w:rPr>
          <w:rStyle w:val="TextoNormalCaracter"/>
        </w:rPr>
        <w:t xml:space="preserve">, Sentencia </w:t>
      </w:r>
      <w:hyperlink w:anchor="SENTENCIA_2013_84" w:history="1">
        <w:r w:rsidRPr="00234417">
          <w:rPr>
            <w:rStyle w:val="TextoNormalCaracter"/>
          </w:rPr>
          <w:t>84/2013</w:t>
        </w:r>
      </w:hyperlink>
      <w:r w:rsidRPr="00234417">
        <w:rPr>
          <w:rStyle w:val="TextoNormalCaracter"/>
        </w:rPr>
        <w:t>, f. 6.</w:t>
      </w:r>
    </w:p>
    <w:p w:rsidR="00234417" w:rsidRPr="00234417" w:rsidRDefault="00234417" w:rsidP="00234417">
      <w:pPr>
        <w:pStyle w:val="TextoNormalSangraFrancesa"/>
        <w:rPr>
          <w:rStyle w:val="TextoNormalCaracter"/>
        </w:rPr>
      </w:pPr>
      <w:bookmarkStart w:id="1477" w:name="DESCRIPTORALFABETICO674"/>
      <w:r w:rsidRPr="00234417">
        <w:rPr>
          <w:rStyle w:val="TextoNormalNegritaCaracter"/>
        </w:rPr>
        <w:t>Contenido de las leyes de presupuestos</w:t>
      </w:r>
      <w:bookmarkEnd w:id="1477"/>
      <w:r w:rsidRPr="00234417">
        <w:rPr>
          <w:rStyle w:val="TextoNormalCaracter"/>
        </w:rPr>
        <w:t xml:space="preserve">, Sentencia </w:t>
      </w:r>
      <w:hyperlink w:anchor="SENTENCIA_2013_9" w:history="1">
        <w:r w:rsidRPr="00234417">
          <w:rPr>
            <w:rStyle w:val="TextoNormalCaracter"/>
          </w:rPr>
          <w:t>9/2013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478" w:name="DESCRIPTORALFABETICO153"/>
      <w:r w:rsidRPr="00234417">
        <w:rPr>
          <w:rStyle w:val="TextoNormalNegritaCaracter"/>
        </w:rPr>
        <w:t>Contenido del derecho a la protección de datos personales</w:t>
      </w:r>
      <w:bookmarkEnd w:id="1478"/>
      <w:r w:rsidRPr="00234417">
        <w:rPr>
          <w:rStyle w:val="TextoNormalCaracter"/>
        </w:rPr>
        <w:t xml:space="preserve">, Sentencias </w:t>
      </w:r>
      <w:hyperlink w:anchor="SENTENCIA_2013_17" w:history="1">
        <w:r w:rsidRPr="00234417">
          <w:rPr>
            <w:rStyle w:val="TextoNormalCaracter"/>
          </w:rPr>
          <w:t>17/2013</w:t>
        </w:r>
      </w:hyperlink>
      <w:r w:rsidRPr="00234417">
        <w:rPr>
          <w:rStyle w:val="TextoNormalCaracter"/>
        </w:rPr>
        <w:t xml:space="preserve">, f. 4; </w:t>
      </w:r>
      <w:hyperlink w:anchor="SENTENCIA_2013_29" w:history="1">
        <w:r w:rsidRPr="00234417">
          <w:rPr>
            <w:rStyle w:val="TextoNormalCaracter"/>
          </w:rPr>
          <w:t>29/2013</w:t>
        </w:r>
      </w:hyperlink>
      <w:r w:rsidRPr="00234417">
        <w:rPr>
          <w:rStyle w:val="TextoNormalCaracter"/>
        </w:rPr>
        <w:t>, ff. 4 a 8.</w:t>
      </w:r>
    </w:p>
    <w:p w:rsidR="00234417" w:rsidRPr="00234417" w:rsidRDefault="00234417" w:rsidP="00234417">
      <w:pPr>
        <w:pStyle w:val="TextoNormalSangraFrancesa"/>
        <w:rPr>
          <w:rStyle w:val="TextoNormalCaracter"/>
        </w:rPr>
      </w:pPr>
      <w:bookmarkStart w:id="1479" w:name="DESCRIPTORALFABETICO163"/>
      <w:r w:rsidRPr="00234417">
        <w:rPr>
          <w:rStyle w:val="TextoNormalNegritaCaracter"/>
        </w:rPr>
        <w:t>Contenido del derecho a la tutela judicial efectiva</w:t>
      </w:r>
      <w:bookmarkEnd w:id="1479"/>
      <w:r w:rsidRPr="00234417">
        <w:rPr>
          <w:rStyle w:val="TextoNormalCaracter"/>
        </w:rPr>
        <w:t xml:space="preserve">, Sentencias </w:t>
      </w:r>
      <w:hyperlink w:anchor="SENTENCIA_2013_44" w:history="1">
        <w:r w:rsidRPr="00234417">
          <w:rPr>
            <w:rStyle w:val="TextoNormalCaracter"/>
          </w:rPr>
          <w:t>44/2013</w:t>
        </w:r>
      </w:hyperlink>
      <w:r w:rsidRPr="00234417">
        <w:rPr>
          <w:rStyle w:val="TextoNormalCaracter"/>
        </w:rPr>
        <w:t xml:space="preserve">, f. 4; </w:t>
      </w:r>
      <w:hyperlink w:anchor="SENTENCIA_2013_78" w:history="1">
        <w:r w:rsidRPr="00234417">
          <w:rPr>
            <w:rStyle w:val="TextoNormalCaracter"/>
          </w:rPr>
          <w:t>78/2013</w:t>
        </w:r>
      </w:hyperlink>
      <w:r w:rsidRPr="00234417">
        <w:rPr>
          <w:rStyle w:val="TextoNormalCaracter"/>
        </w:rPr>
        <w:t xml:space="preserve">, f. 3; </w:t>
      </w:r>
      <w:hyperlink w:anchor="SENTENCIA_2013_121" w:history="1">
        <w:r w:rsidRPr="00234417">
          <w:rPr>
            <w:rStyle w:val="TextoNormalCaracter"/>
          </w:rPr>
          <w:t>121/2013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480" w:name="DESCRIPTORALFABETICO675"/>
      <w:r w:rsidRPr="00234417">
        <w:rPr>
          <w:rStyle w:val="TextoNormalNegritaCaracter"/>
        </w:rPr>
        <w:t>Contenido disponible de las leyes de presupuestos</w:t>
      </w:r>
      <w:bookmarkEnd w:id="1480"/>
      <w:r w:rsidRPr="00234417">
        <w:rPr>
          <w:rStyle w:val="TextoNormalCaracter"/>
        </w:rPr>
        <w:t xml:space="preserve">, Sentencia </w:t>
      </w:r>
      <w:hyperlink w:anchor="SENTENCIA_2013_9" w:history="1">
        <w:r w:rsidRPr="00234417">
          <w:rPr>
            <w:rStyle w:val="TextoNormalCaracter"/>
          </w:rPr>
          <w:t>9/2013</w:t>
        </w:r>
      </w:hyperlink>
      <w:r w:rsidRPr="00234417">
        <w:rPr>
          <w:rStyle w:val="TextoNormalCaracter"/>
        </w:rPr>
        <w:t>, f. 3.</w:t>
      </w:r>
    </w:p>
    <w:p w:rsidR="00234417" w:rsidRPr="00234417" w:rsidRDefault="00234417" w:rsidP="00234417">
      <w:pPr>
        <w:pStyle w:val="TextoNormalSangraFrancesa"/>
        <w:rPr>
          <w:rStyle w:val="TextoNormalCaracter"/>
        </w:rPr>
      </w:pPr>
      <w:bookmarkStart w:id="1481" w:name="DESCRIPTORALFABETICO676"/>
      <w:r w:rsidRPr="00234417">
        <w:rPr>
          <w:rStyle w:val="TextoNormalNegritaCaracter"/>
        </w:rPr>
        <w:t>Contenido indisponible de las leyes de presupuestos</w:t>
      </w:r>
      <w:bookmarkEnd w:id="1481"/>
      <w:r w:rsidRPr="00234417">
        <w:rPr>
          <w:rStyle w:val="TextoNormalCaracter"/>
        </w:rPr>
        <w:t xml:space="preserve">, Sentencia </w:t>
      </w:r>
      <w:hyperlink w:anchor="SENTENCIA_2013_9" w:history="1">
        <w:r w:rsidRPr="00234417">
          <w:rPr>
            <w:rStyle w:val="TextoNormalCaracter"/>
          </w:rPr>
          <w:t>9/2013</w:t>
        </w:r>
      </w:hyperlink>
      <w:r w:rsidRPr="00234417">
        <w:rPr>
          <w:rStyle w:val="TextoNormalCaracter"/>
        </w:rPr>
        <w:t>, f. 3.</w:t>
      </w:r>
    </w:p>
    <w:p w:rsidR="00234417" w:rsidRPr="00234417" w:rsidRDefault="00234417" w:rsidP="00234417">
      <w:pPr>
        <w:pStyle w:val="TextoNormalSangraFrancesa"/>
        <w:rPr>
          <w:rStyle w:val="TextoNormalCaracter"/>
        </w:rPr>
      </w:pPr>
      <w:bookmarkStart w:id="1482" w:name="DESCRIPTORALFABETICO227"/>
      <w:r w:rsidRPr="00234417">
        <w:rPr>
          <w:rStyle w:val="TextoNormalNegritaCaracter"/>
        </w:rPr>
        <w:t>Contenido patrimonial</w:t>
      </w:r>
      <w:bookmarkEnd w:id="1482"/>
      <w:r w:rsidRPr="00234417">
        <w:rPr>
          <w:rStyle w:val="TextoNormalCaracter"/>
        </w:rPr>
        <w:t xml:space="preserve">, Auto </w:t>
      </w:r>
      <w:hyperlink w:anchor="AUTO_2013_64" w:history="1">
        <w:r w:rsidRPr="00234417">
          <w:rPr>
            <w:rStyle w:val="TextoNormalCaracter"/>
          </w:rPr>
          <w:t>64/2013</w:t>
        </w:r>
      </w:hyperlink>
      <w:r w:rsidRPr="00234417">
        <w:rPr>
          <w:rStyle w:val="TextoNormalCaracter"/>
        </w:rPr>
        <w:t>, f. 2.</w:t>
      </w:r>
    </w:p>
    <w:p w:rsidR="00234417" w:rsidRPr="00234417" w:rsidRDefault="00234417" w:rsidP="00234417">
      <w:pPr>
        <w:pStyle w:val="TextoNormalSangraFrancesa"/>
        <w:rPr>
          <w:rStyle w:val="TextoNormalCaracter"/>
        </w:rPr>
      </w:pPr>
      <w:bookmarkStart w:id="1483" w:name="DESCRIPTORALFABETICO614"/>
      <w:r w:rsidRPr="00234417">
        <w:rPr>
          <w:rStyle w:val="TextoNormalNegritaCaracter"/>
        </w:rPr>
        <w:t>Continuidad ecológica</w:t>
      </w:r>
      <w:bookmarkEnd w:id="1483"/>
      <w:r w:rsidRPr="00234417">
        <w:rPr>
          <w:rStyle w:val="TextoNormalCaracter"/>
        </w:rPr>
        <w:t xml:space="preserve">, Sentencia </w:t>
      </w:r>
      <w:hyperlink w:anchor="SENTENCIA_2013_99" w:history="1">
        <w:r w:rsidRPr="00234417">
          <w:rPr>
            <w:rStyle w:val="TextoNormalCaracter"/>
          </w:rPr>
          <w:t>99/2013</w:t>
        </w:r>
      </w:hyperlink>
      <w:r w:rsidRPr="00234417">
        <w:rPr>
          <w:rStyle w:val="TextoNormalCaracter"/>
        </w:rPr>
        <w:t>, ff. 3, 8.</w:t>
      </w:r>
    </w:p>
    <w:p w:rsidR="00234417" w:rsidRPr="00234417" w:rsidRDefault="00234417" w:rsidP="00234417">
      <w:pPr>
        <w:pStyle w:val="TextoNormalSangraFrancesa"/>
        <w:rPr>
          <w:rStyle w:val="TextoNormalNegritaCaracter"/>
        </w:rPr>
      </w:pPr>
      <w:r w:rsidRPr="00234417">
        <w:rPr>
          <w:rStyle w:val="TextoNormalCursivaCaracter"/>
        </w:rPr>
        <w:t>Contradicción procesal</w:t>
      </w:r>
      <w:r>
        <w:t xml:space="preserve"> véase </w:t>
      </w:r>
      <w:hyperlink w:anchor="DESCRIPTORALFABETICO869" w:history="1">
        <w:r w:rsidRPr="00234417">
          <w:rPr>
            <w:rStyle w:val="TextoNormalNegritaCaracter"/>
          </w:rPr>
          <w:t>Principio de contradicción</w:t>
        </w:r>
      </w:hyperlink>
    </w:p>
    <w:p w:rsidR="00234417" w:rsidRPr="00234417" w:rsidRDefault="00234417" w:rsidP="00234417">
      <w:pPr>
        <w:pStyle w:val="TextoNormalSangraFrancesa"/>
        <w:rPr>
          <w:rStyle w:val="TextoNormalCaracter"/>
        </w:rPr>
      </w:pPr>
      <w:bookmarkStart w:id="1484" w:name="DESCRIPTORALFABETICO772"/>
      <w:r w:rsidRPr="00234417">
        <w:rPr>
          <w:rStyle w:val="TextoNormalNegritaCaracter"/>
        </w:rPr>
        <w:t>Contrato a tiempo parcial</w:t>
      </w:r>
      <w:bookmarkEnd w:id="1484"/>
      <w:r w:rsidRPr="00234417">
        <w:rPr>
          <w:rStyle w:val="TextoNormalCaracter"/>
        </w:rPr>
        <w:t xml:space="preserve">, Sentencias </w:t>
      </w:r>
      <w:hyperlink w:anchor="SENTENCIA_2013_61" w:history="1">
        <w:r w:rsidRPr="00234417">
          <w:rPr>
            <w:rStyle w:val="TextoNormalCaracter"/>
          </w:rPr>
          <w:t>61/2013</w:t>
        </w:r>
      </w:hyperlink>
      <w:r w:rsidRPr="00234417">
        <w:rPr>
          <w:rStyle w:val="TextoNormalCaracter"/>
        </w:rPr>
        <w:t xml:space="preserve">, ff. 1 a 7; </w:t>
      </w:r>
      <w:hyperlink w:anchor="SENTENCIA_2013_71" w:history="1">
        <w:r w:rsidRPr="00234417">
          <w:rPr>
            <w:rStyle w:val="TextoNormalCaracter"/>
          </w:rPr>
          <w:t>71/2013</w:t>
        </w:r>
      </w:hyperlink>
      <w:r w:rsidRPr="00234417">
        <w:rPr>
          <w:rStyle w:val="TextoNormalCaracter"/>
        </w:rPr>
        <w:t xml:space="preserve">, f. 3; </w:t>
      </w:r>
      <w:hyperlink w:anchor="SENTENCIA_2013_72" w:history="1">
        <w:r w:rsidRPr="00234417">
          <w:rPr>
            <w:rStyle w:val="TextoNormalCaracter"/>
          </w:rPr>
          <w:t>72/2013</w:t>
        </w:r>
      </w:hyperlink>
      <w:r w:rsidRPr="00234417">
        <w:rPr>
          <w:rStyle w:val="TextoNormalCaracter"/>
        </w:rPr>
        <w:t xml:space="preserve">, f. 2; </w:t>
      </w:r>
      <w:hyperlink w:anchor="SENTENCIA_2013_116" w:history="1">
        <w:r w:rsidRPr="00234417">
          <w:rPr>
            <w:rStyle w:val="TextoNormalCaracter"/>
          </w:rPr>
          <w:t>116/2013</w:t>
        </w:r>
      </w:hyperlink>
      <w:r w:rsidRPr="00234417">
        <w:rPr>
          <w:rStyle w:val="TextoNormalCaracter"/>
        </w:rPr>
        <w:t xml:space="preserve">, f. 4; </w:t>
      </w:r>
      <w:hyperlink w:anchor="SENTENCIA_2013_117" w:history="1">
        <w:r w:rsidRPr="00234417">
          <w:rPr>
            <w:rStyle w:val="TextoNormalCaracter"/>
          </w:rPr>
          <w:t>117/2013</w:t>
        </w:r>
      </w:hyperlink>
      <w:r w:rsidRPr="00234417">
        <w:rPr>
          <w:rStyle w:val="TextoNormalCaracter"/>
        </w:rPr>
        <w:t>, f. 2.</w:t>
      </w:r>
    </w:p>
    <w:p w:rsidR="00234417" w:rsidRPr="00234417" w:rsidRDefault="00234417" w:rsidP="00234417">
      <w:pPr>
        <w:pStyle w:val="TextoNormalSangraFrancesa"/>
        <w:rPr>
          <w:rStyle w:val="TextoNormalCaracter"/>
        </w:rPr>
      </w:pPr>
      <w:bookmarkStart w:id="1485" w:name="DESCRIPTORALFABETICO212"/>
      <w:r w:rsidRPr="00234417">
        <w:rPr>
          <w:rStyle w:val="TextoNormalNegritaCaracter"/>
        </w:rPr>
        <w:t>Control constitucional de las resoluciones judiciales</w:t>
      </w:r>
      <w:bookmarkEnd w:id="1485"/>
      <w:r w:rsidRPr="00234417">
        <w:rPr>
          <w:rStyle w:val="TextoNormalCaracter"/>
        </w:rPr>
        <w:t xml:space="preserve">, Sentencias </w:t>
      </w:r>
      <w:hyperlink w:anchor="SENTENCIA_2013_10" w:history="1">
        <w:r w:rsidRPr="00234417">
          <w:rPr>
            <w:rStyle w:val="TextoNormalCaracter"/>
          </w:rPr>
          <w:t>10/2013</w:t>
        </w:r>
      </w:hyperlink>
      <w:r w:rsidRPr="00234417">
        <w:rPr>
          <w:rStyle w:val="TextoNormalCaracter"/>
        </w:rPr>
        <w:t xml:space="preserve">, f. 2; </w:t>
      </w:r>
      <w:hyperlink w:anchor="SENTENCIA_2013_27" w:history="1">
        <w:r w:rsidRPr="00234417">
          <w:rPr>
            <w:rStyle w:val="TextoNormalCaracter"/>
          </w:rPr>
          <w:t>27/2013</w:t>
        </w:r>
      </w:hyperlink>
      <w:r w:rsidRPr="00234417">
        <w:rPr>
          <w:rStyle w:val="TextoNormalCaracter"/>
        </w:rPr>
        <w:t>, f. 5.</w:t>
      </w:r>
    </w:p>
    <w:p w:rsidR="00234417" w:rsidRPr="00234417" w:rsidRDefault="00234417" w:rsidP="00234417">
      <w:pPr>
        <w:pStyle w:val="TextoNormalSangraFrancesa"/>
        <w:rPr>
          <w:rStyle w:val="TextoNormalCaracter"/>
        </w:rPr>
      </w:pPr>
      <w:bookmarkStart w:id="1486" w:name="DESCRIPTORALFABETICO213"/>
      <w:r w:rsidRPr="00234417">
        <w:rPr>
          <w:rStyle w:val="TextoNormalNegritaCaracter"/>
        </w:rPr>
        <w:t>Control de constitucionalidad de las normas jurídicas</w:t>
      </w:r>
      <w:bookmarkEnd w:id="1486"/>
      <w:r w:rsidRPr="00234417">
        <w:rPr>
          <w:rStyle w:val="TextoNormalCaracter"/>
        </w:rPr>
        <w:t xml:space="preserve">, Sentencias </w:t>
      </w:r>
      <w:hyperlink w:anchor="SENTENCIA_2013_9" w:history="1">
        <w:r w:rsidRPr="00234417">
          <w:rPr>
            <w:rStyle w:val="TextoNormalCaracter"/>
          </w:rPr>
          <w:t>9/2013</w:t>
        </w:r>
      </w:hyperlink>
      <w:r w:rsidRPr="00234417">
        <w:rPr>
          <w:rStyle w:val="TextoNormalCaracter"/>
        </w:rPr>
        <w:t xml:space="preserve">, f. 2; </w:t>
      </w:r>
      <w:hyperlink w:anchor="SENTENCIA_2013_20" w:history="1">
        <w:r w:rsidRPr="00234417">
          <w:rPr>
            <w:rStyle w:val="TextoNormalCaracter"/>
          </w:rPr>
          <w:t>20/2013</w:t>
        </w:r>
      </w:hyperlink>
      <w:r w:rsidRPr="00234417">
        <w:rPr>
          <w:rStyle w:val="TextoNormalCaracter"/>
        </w:rPr>
        <w:t xml:space="preserve">, f. 3; </w:t>
      </w:r>
      <w:hyperlink w:anchor="SENTENCIA_2013_51" w:history="1">
        <w:r w:rsidRPr="00234417">
          <w:rPr>
            <w:rStyle w:val="TextoNormalCaracter"/>
          </w:rPr>
          <w:t>51/2013</w:t>
        </w:r>
      </w:hyperlink>
      <w:r w:rsidRPr="00234417">
        <w:rPr>
          <w:rStyle w:val="TextoNormalCaracter"/>
        </w:rPr>
        <w:t xml:space="preserve">, f. 4; </w:t>
      </w:r>
      <w:hyperlink w:anchor="SENTENCIA_2013_101" w:history="1">
        <w:r w:rsidRPr="00234417">
          <w:rPr>
            <w:rStyle w:val="TextoNormalCaracter"/>
          </w:rPr>
          <w:t>101/2013</w:t>
        </w:r>
      </w:hyperlink>
      <w:r w:rsidRPr="00234417">
        <w:rPr>
          <w:rStyle w:val="TextoNormalCaracter"/>
        </w:rPr>
        <w:t xml:space="preserve">, f. 2; </w:t>
      </w:r>
      <w:hyperlink w:anchor="SENTENCIA_2013_129" w:history="1">
        <w:r w:rsidRPr="00234417">
          <w:rPr>
            <w:rStyle w:val="TextoNormalCaracter"/>
          </w:rPr>
          <w:t>129/2013</w:t>
        </w:r>
      </w:hyperlink>
      <w:r w:rsidRPr="00234417">
        <w:rPr>
          <w:rStyle w:val="TextoNormalCaracter"/>
        </w:rPr>
        <w:t>, ff. 6, 7.</w:t>
      </w:r>
    </w:p>
    <w:p w:rsidR="00234417" w:rsidRPr="00234417" w:rsidRDefault="00234417" w:rsidP="00234417">
      <w:pPr>
        <w:pStyle w:val="TextoNormalSangraFrancesa"/>
        <w:rPr>
          <w:rStyle w:val="TextoNormalCaracter"/>
        </w:rPr>
      </w:pPr>
      <w:bookmarkStart w:id="1487" w:name="DESCRIPTORALFABETICO214"/>
      <w:r w:rsidRPr="00234417">
        <w:rPr>
          <w:rStyle w:val="TextoNormalNegritaCaracter"/>
        </w:rPr>
        <w:t>Control de constitucionalidad de los decretos-leyes</w:t>
      </w:r>
      <w:bookmarkEnd w:id="1487"/>
      <w:r w:rsidRPr="00234417">
        <w:rPr>
          <w:rStyle w:val="TextoNormalCaracter"/>
        </w:rPr>
        <w:t xml:space="preserve">, Sentencias </w:t>
      </w:r>
      <w:hyperlink w:anchor="SENTENCIA_2013_39" w:history="1">
        <w:r w:rsidRPr="00234417">
          <w:rPr>
            <w:rStyle w:val="TextoNormalCaracter"/>
          </w:rPr>
          <w:t>39/2013</w:t>
        </w:r>
      </w:hyperlink>
      <w:r w:rsidRPr="00234417">
        <w:rPr>
          <w:rStyle w:val="TextoNormalCaracter"/>
        </w:rPr>
        <w:t xml:space="preserve">, ff. 3, 4; </w:t>
      </w:r>
      <w:hyperlink w:anchor="SENTENCIA_2013_51" w:history="1">
        <w:r w:rsidRPr="00234417">
          <w:rPr>
            <w:rStyle w:val="TextoNormalCaracter"/>
          </w:rPr>
          <w:t>51/2013</w:t>
        </w:r>
      </w:hyperlink>
      <w:r w:rsidRPr="00234417">
        <w:rPr>
          <w:rStyle w:val="TextoNormalCaracter"/>
        </w:rPr>
        <w:t xml:space="preserve">, f. 3; </w:t>
      </w:r>
      <w:hyperlink w:anchor="SENTENCIA_2013_64" w:history="1">
        <w:r w:rsidRPr="00234417">
          <w:rPr>
            <w:rStyle w:val="TextoNormalCaracter"/>
          </w:rPr>
          <w:t>64/2013</w:t>
        </w:r>
      </w:hyperlink>
      <w:r w:rsidRPr="00234417">
        <w:rPr>
          <w:rStyle w:val="TextoNormalCaracter"/>
        </w:rPr>
        <w:t>, f. 2.</w:t>
      </w:r>
    </w:p>
    <w:p w:rsidR="00234417" w:rsidRPr="00234417" w:rsidRDefault="00234417" w:rsidP="00234417">
      <w:pPr>
        <w:pStyle w:val="TextoNormalSangraFrancesa"/>
        <w:rPr>
          <w:rStyle w:val="TextoNormalCaracter"/>
        </w:rPr>
      </w:pPr>
      <w:bookmarkStart w:id="1488" w:name="DESCRIPTORALFABETICO575"/>
      <w:r w:rsidRPr="00234417">
        <w:rPr>
          <w:rStyle w:val="TextoNormalNegritaCaracter"/>
        </w:rPr>
        <w:t>Control de la gestión autonómica de subvenciones públicas</w:t>
      </w:r>
      <w:bookmarkEnd w:id="1488"/>
      <w:r w:rsidRPr="00234417">
        <w:rPr>
          <w:rStyle w:val="TextoNormalCaracter"/>
        </w:rPr>
        <w:t xml:space="preserve">, Sentencia </w:t>
      </w:r>
      <w:hyperlink w:anchor="SENTENCIA_2013_37" w:history="1">
        <w:r w:rsidRPr="00234417">
          <w:rPr>
            <w:rStyle w:val="TextoNormalCaracter"/>
          </w:rPr>
          <w:t>37/2013</w:t>
        </w:r>
      </w:hyperlink>
      <w:r w:rsidRPr="00234417">
        <w:rPr>
          <w:rStyle w:val="TextoNormalCaracter"/>
        </w:rPr>
        <w:t>, f. 6.</w:t>
      </w:r>
    </w:p>
    <w:p w:rsidR="00234417" w:rsidRPr="00234417" w:rsidRDefault="00234417" w:rsidP="00234417">
      <w:pPr>
        <w:pStyle w:val="TextoNormalSangraFrancesa"/>
        <w:rPr>
          <w:rStyle w:val="TextoNormalCaracter"/>
        </w:rPr>
      </w:pPr>
      <w:bookmarkStart w:id="1489" w:name="DESCRIPTORALFABETICO382"/>
      <w:r w:rsidRPr="00234417">
        <w:rPr>
          <w:rStyle w:val="TextoNormalNegritaCaracter"/>
        </w:rPr>
        <w:t>Control de legalidad</w:t>
      </w:r>
      <w:bookmarkEnd w:id="1489"/>
      <w:r w:rsidRPr="00234417">
        <w:rPr>
          <w:rStyle w:val="TextoNormalCaracter"/>
        </w:rPr>
        <w:t xml:space="preserve">, Sentencia </w:t>
      </w:r>
      <w:hyperlink w:anchor="SENTENCIA_2013_129" w:history="1">
        <w:r w:rsidRPr="00234417">
          <w:rPr>
            <w:rStyle w:val="TextoNormalCaracter"/>
          </w:rPr>
          <w:t>129/2013</w:t>
        </w:r>
      </w:hyperlink>
      <w:r w:rsidRPr="00234417">
        <w:rPr>
          <w:rStyle w:val="TextoNormalCaracter"/>
        </w:rPr>
        <w:t>, ff. 6, 7.</w:t>
      </w:r>
    </w:p>
    <w:p w:rsidR="00234417" w:rsidRPr="00234417" w:rsidRDefault="00234417" w:rsidP="00234417">
      <w:pPr>
        <w:pStyle w:val="TextoNormalSangraFrancesa"/>
        <w:rPr>
          <w:rStyle w:val="TextoNormalCaracter"/>
        </w:rPr>
      </w:pPr>
      <w:bookmarkStart w:id="1490" w:name="DESCRIPTORALFABETICO343"/>
      <w:r w:rsidRPr="00234417">
        <w:rPr>
          <w:rStyle w:val="TextoNormalNegritaCaracter"/>
        </w:rPr>
        <w:t>Control jurisdiccional de actos del Tribunal Constitucional</w:t>
      </w:r>
      <w:bookmarkEnd w:id="1490"/>
      <w:r w:rsidRPr="00234417">
        <w:rPr>
          <w:rStyle w:val="TextoNormalCaracter"/>
        </w:rPr>
        <w:t xml:space="preserve">, Sentencia </w:t>
      </w:r>
      <w:hyperlink w:anchor="SENTENCIA_2013_133" w:history="1">
        <w:r w:rsidRPr="00234417">
          <w:rPr>
            <w:rStyle w:val="TextoNormalCaracter"/>
          </w:rPr>
          <w:t>133/2013</w:t>
        </w:r>
      </w:hyperlink>
      <w:r w:rsidRPr="00234417">
        <w:rPr>
          <w:rStyle w:val="TextoNormalCaracter"/>
        </w:rPr>
        <w:t>, f. 4.</w:t>
      </w:r>
    </w:p>
    <w:p w:rsidR="00234417" w:rsidRPr="00234417" w:rsidRDefault="00234417" w:rsidP="00234417">
      <w:pPr>
        <w:pStyle w:val="TextoNormalSangraFrancesa"/>
        <w:rPr>
          <w:rStyle w:val="TextoNormalNegritaCaracter"/>
        </w:rPr>
      </w:pPr>
      <w:r w:rsidRPr="00234417">
        <w:rPr>
          <w:rStyle w:val="TextoNormalCursivaCaracter"/>
        </w:rPr>
        <w:t>Convención de las Naciones Unidas sobre los derechos del niño</w:t>
      </w:r>
      <w:r>
        <w:t xml:space="preserve"> véase </w:t>
      </w:r>
      <w:hyperlink w:anchor="DESCRIPTORALFABETICO644" w:history="1">
        <w:r w:rsidRPr="00234417">
          <w:rPr>
            <w:rStyle w:val="TextoNormalNegritaCaracter"/>
          </w:rPr>
          <w:t>Tratados internacionales</w:t>
        </w:r>
      </w:hyperlink>
    </w:p>
    <w:p w:rsidR="00234417" w:rsidRPr="00234417" w:rsidRDefault="00234417" w:rsidP="00234417">
      <w:pPr>
        <w:pStyle w:val="TextoNormalSangraFrancesa"/>
        <w:rPr>
          <w:rStyle w:val="TextoNormalNegritaCaracter"/>
        </w:rPr>
      </w:pPr>
      <w:r w:rsidRPr="00234417">
        <w:rPr>
          <w:rStyle w:val="TextoNormalCursivaCaracter"/>
        </w:rPr>
        <w:t>Convenio de Viena sobre relaciones diplomáticas</w:t>
      </w:r>
      <w:r>
        <w:t xml:space="preserve"> véase </w:t>
      </w:r>
      <w:hyperlink w:anchor="DESCRIPTORALFABETICO644" w:history="1">
        <w:r w:rsidRPr="00234417">
          <w:rPr>
            <w:rStyle w:val="TextoNormalNegritaCaracter"/>
          </w:rPr>
          <w:t>Tratados internacionales</w:t>
        </w:r>
      </w:hyperlink>
    </w:p>
    <w:p w:rsidR="00234417" w:rsidRPr="00234417" w:rsidRDefault="00234417" w:rsidP="00234417">
      <w:pPr>
        <w:pStyle w:val="TextoNormalSangraFrancesa"/>
        <w:rPr>
          <w:rStyle w:val="TextoNormalCaracter"/>
        </w:rPr>
      </w:pPr>
      <w:bookmarkStart w:id="1491" w:name="DESCRIPTORALFABETICO905"/>
      <w:r w:rsidRPr="00234417">
        <w:rPr>
          <w:rStyle w:val="TextoNormalNegritaCaracter"/>
        </w:rPr>
        <w:t>Convenio europeo de extradición</w:t>
      </w:r>
      <w:bookmarkEnd w:id="1491"/>
      <w:r w:rsidRPr="00234417">
        <w:rPr>
          <w:rStyle w:val="TextoNormalCaracter"/>
        </w:rPr>
        <w:t xml:space="preserve">, Auto </w:t>
      </w:r>
      <w:hyperlink w:anchor="AUTO_2013_2" w:history="1">
        <w:r w:rsidRPr="00234417">
          <w:rPr>
            <w:rStyle w:val="TextoNormalCaracter"/>
          </w:rPr>
          <w:t>2/2013</w:t>
        </w:r>
      </w:hyperlink>
      <w:r w:rsidRPr="00234417">
        <w:rPr>
          <w:rStyle w:val="TextoNormalCaracter"/>
        </w:rPr>
        <w:t>, ff. 2, 3.</w:t>
      </w:r>
    </w:p>
    <w:p w:rsidR="00234417" w:rsidRPr="00234417" w:rsidRDefault="00234417" w:rsidP="00234417">
      <w:pPr>
        <w:pStyle w:val="TextoNormalSangraFrancesa"/>
        <w:rPr>
          <w:rStyle w:val="TextoNormalNegritaCaracter"/>
        </w:rPr>
      </w:pPr>
      <w:r w:rsidRPr="00234417">
        <w:rPr>
          <w:rStyle w:val="TextoNormalCursivaCaracter"/>
        </w:rPr>
        <w:t>Convenio hispano-alemán sobre seguro de desempleo</w:t>
      </w:r>
      <w:r>
        <w:t xml:space="preserve"> véase </w:t>
      </w:r>
      <w:hyperlink w:anchor="DESCRIPTORALFABETICO644" w:history="1">
        <w:r w:rsidRPr="00234417">
          <w:rPr>
            <w:rStyle w:val="TextoNormalNegritaCaracter"/>
          </w:rPr>
          <w:t>Tratados internacionales</w:t>
        </w:r>
      </w:hyperlink>
    </w:p>
    <w:p w:rsidR="00234417" w:rsidRPr="00234417" w:rsidRDefault="00234417" w:rsidP="00234417">
      <w:pPr>
        <w:pStyle w:val="TextoNormalSangraFrancesa"/>
        <w:rPr>
          <w:rStyle w:val="TextoNormalNegritaCaracter"/>
        </w:rPr>
      </w:pPr>
      <w:r w:rsidRPr="00234417">
        <w:rPr>
          <w:rStyle w:val="TextoNormalCursivaCaracter"/>
        </w:rPr>
        <w:t>Convenio para la protección de las personas con respecto al tratamiento automatizado de datos de carácter personal</w:t>
      </w:r>
      <w:r>
        <w:t xml:space="preserve"> véase </w:t>
      </w:r>
      <w:hyperlink w:anchor="DESCRIPTORALFABETICO644" w:history="1">
        <w:r w:rsidRPr="00234417">
          <w:rPr>
            <w:rStyle w:val="TextoNormalNegritaCaracter"/>
          </w:rPr>
          <w:t>Tratados internacionales</w:t>
        </w:r>
      </w:hyperlink>
    </w:p>
    <w:p w:rsidR="00234417" w:rsidRPr="00234417" w:rsidRDefault="00234417" w:rsidP="00234417">
      <w:pPr>
        <w:pStyle w:val="TextoNormalSangraFrancesa"/>
        <w:rPr>
          <w:rStyle w:val="TextoNormalCaracter"/>
        </w:rPr>
      </w:pPr>
      <w:bookmarkStart w:id="1492" w:name="DESCRIPTORALFABETICO776"/>
      <w:r w:rsidRPr="00234417">
        <w:rPr>
          <w:rStyle w:val="TextoNormalNegritaCaracter"/>
        </w:rPr>
        <w:t>Convenios colectivos</w:t>
      </w:r>
      <w:bookmarkEnd w:id="1492"/>
      <w:r w:rsidRPr="00234417">
        <w:rPr>
          <w:rStyle w:val="TextoNormalCaracter"/>
        </w:rPr>
        <w:t xml:space="preserve">, Sentencia </w:t>
      </w:r>
      <w:hyperlink w:anchor="SENTENCIA_2013_44" w:history="1">
        <w:r w:rsidRPr="00234417">
          <w:rPr>
            <w:rStyle w:val="TextoNormalCaracter"/>
          </w:rPr>
          <w:t>44/2013</w:t>
        </w:r>
      </w:hyperlink>
      <w:r w:rsidRPr="00234417">
        <w:rPr>
          <w:rStyle w:val="TextoNormalCaracter"/>
        </w:rPr>
        <w:t>, f. 1.</w:t>
      </w:r>
    </w:p>
    <w:p w:rsidR="00234417" w:rsidRPr="00234417" w:rsidRDefault="00234417" w:rsidP="00234417">
      <w:pPr>
        <w:pStyle w:val="TextoNormalSangraFrancesa"/>
        <w:rPr>
          <w:rStyle w:val="TextoNormalCaracter"/>
        </w:rPr>
      </w:pPr>
      <w:bookmarkStart w:id="1493" w:name="DESCRIPTORALFABETICO366"/>
      <w:r w:rsidRPr="00234417">
        <w:rPr>
          <w:rStyle w:val="TextoNormalNegritaCaracter"/>
        </w:rPr>
        <w:t>Convenios de cooperación entre el Estado y las Comunidades Autónomas</w:t>
      </w:r>
      <w:bookmarkEnd w:id="1493"/>
      <w:r w:rsidRPr="00234417">
        <w:rPr>
          <w:rStyle w:val="TextoNormalCaracter"/>
        </w:rPr>
        <w:t xml:space="preserve">, Sentencia </w:t>
      </w:r>
      <w:hyperlink w:anchor="SENTENCIA_2013_5" w:history="1">
        <w:r w:rsidRPr="00234417">
          <w:rPr>
            <w:rStyle w:val="TextoNormalCaracter"/>
          </w:rPr>
          <w:t>5/2013</w:t>
        </w:r>
      </w:hyperlink>
      <w:r w:rsidRPr="00234417">
        <w:rPr>
          <w:rStyle w:val="TextoNormalCaracter"/>
        </w:rPr>
        <w:t>, f. 6.</w:t>
      </w:r>
    </w:p>
    <w:p w:rsidR="00234417" w:rsidRPr="00234417" w:rsidRDefault="00234417" w:rsidP="00234417">
      <w:pPr>
        <w:pStyle w:val="TextoNormalSangraFrancesa"/>
        <w:rPr>
          <w:rStyle w:val="TextoNormalNegritaCaracter"/>
        </w:rPr>
      </w:pPr>
      <w:r w:rsidRPr="00234417">
        <w:rPr>
          <w:rStyle w:val="TextoNormalCursivaCaracter"/>
        </w:rPr>
        <w:t>Convenios internacionales</w:t>
      </w:r>
      <w:r>
        <w:t xml:space="preserve"> véase </w:t>
      </w:r>
      <w:hyperlink w:anchor="DESCRIPTORALFABETICO644" w:history="1">
        <w:r w:rsidRPr="00234417">
          <w:rPr>
            <w:rStyle w:val="TextoNormalNegritaCaracter"/>
          </w:rPr>
          <w:t>Tratados internacionales</w:t>
        </w:r>
      </w:hyperlink>
    </w:p>
    <w:p w:rsidR="00234417" w:rsidRPr="00234417" w:rsidRDefault="00234417" w:rsidP="00234417">
      <w:pPr>
        <w:pStyle w:val="TextoNormalSangraFrancesa"/>
        <w:rPr>
          <w:rStyle w:val="TextoNormalCaracter"/>
        </w:rPr>
      </w:pPr>
      <w:bookmarkStart w:id="1494" w:name="DESCRIPTORALFABETICO441"/>
      <w:r w:rsidRPr="00234417">
        <w:rPr>
          <w:rStyle w:val="TextoNormalNegritaCaracter"/>
        </w:rPr>
        <w:t>Cooficialidad lingüística</w:t>
      </w:r>
      <w:bookmarkEnd w:id="1494"/>
      <w:r w:rsidRPr="00234417">
        <w:rPr>
          <w:rStyle w:val="TextoNormalCaracter"/>
        </w:rPr>
        <w:t xml:space="preserve">, Sentencias </w:t>
      </w:r>
      <w:hyperlink w:anchor="SENTENCIA_2013_15" w:history="1">
        <w:r w:rsidRPr="00234417">
          <w:rPr>
            <w:rStyle w:val="TextoNormalCaracter"/>
          </w:rPr>
          <w:t>15/2013</w:t>
        </w:r>
      </w:hyperlink>
      <w:r w:rsidRPr="00234417">
        <w:rPr>
          <w:rStyle w:val="TextoNormalCaracter"/>
        </w:rPr>
        <w:t xml:space="preserve">, ff. 3, 4; </w:t>
      </w:r>
      <w:hyperlink w:anchor="SENTENCIA_2013_24" w:history="1">
        <w:r w:rsidRPr="00234417">
          <w:rPr>
            <w:rStyle w:val="TextoNormalCaracter"/>
          </w:rPr>
          <w:t>24/2013</w:t>
        </w:r>
      </w:hyperlink>
      <w:r w:rsidRPr="00234417">
        <w:rPr>
          <w:rStyle w:val="TextoNormalCaracter"/>
        </w:rPr>
        <w:t xml:space="preserve">, f. 7; </w:t>
      </w:r>
      <w:hyperlink w:anchor="SENTENCIA_2013_48" w:history="1">
        <w:r w:rsidRPr="00234417">
          <w:rPr>
            <w:rStyle w:val="TextoNormalCaracter"/>
          </w:rPr>
          <w:t>48/2013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495" w:name="DESCRIPTORALFABETICO367"/>
      <w:r w:rsidRPr="00234417">
        <w:rPr>
          <w:rStyle w:val="TextoNormalNegritaCaracter"/>
        </w:rPr>
        <w:t>Cooperación en el ejercicio de competencias compartidas</w:t>
      </w:r>
      <w:bookmarkEnd w:id="1495"/>
      <w:r w:rsidRPr="00234417">
        <w:rPr>
          <w:rStyle w:val="TextoNormalCaracter"/>
        </w:rPr>
        <w:t xml:space="preserve">, Sentencias </w:t>
      </w:r>
      <w:hyperlink w:anchor="SENTENCIA_2013_5" w:history="1">
        <w:r w:rsidRPr="00234417">
          <w:rPr>
            <w:rStyle w:val="TextoNormalCaracter"/>
          </w:rPr>
          <w:t>5/2013</w:t>
        </w:r>
      </w:hyperlink>
      <w:r w:rsidRPr="00234417">
        <w:rPr>
          <w:rStyle w:val="TextoNormalCaracter"/>
        </w:rPr>
        <w:t xml:space="preserve">, f. 6; </w:t>
      </w:r>
      <w:hyperlink w:anchor="SENTENCIA_2013_113" w:history="1">
        <w:r w:rsidRPr="00234417">
          <w:rPr>
            <w:rStyle w:val="TextoNormalCaracter"/>
          </w:rPr>
          <w:t>113/2013</w:t>
        </w:r>
      </w:hyperlink>
      <w:r w:rsidRPr="00234417">
        <w:rPr>
          <w:rStyle w:val="TextoNormalCaracter"/>
        </w:rPr>
        <w:t>, ff. 4, 6.</w:t>
      </w:r>
    </w:p>
    <w:p w:rsidR="00234417" w:rsidRPr="00234417" w:rsidRDefault="00234417" w:rsidP="00234417">
      <w:pPr>
        <w:pStyle w:val="TextoNormalSangraFrancesa"/>
        <w:rPr>
          <w:rStyle w:val="TextoNormalCaracter"/>
        </w:rPr>
      </w:pPr>
      <w:bookmarkStart w:id="1496" w:name="DESCRIPTORALFABETICO368"/>
      <w:r w:rsidRPr="00234417">
        <w:rPr>
          <w:rStyle w:val="TextoNormalNegritaCaracter"/>
        </w:rPr>
        <w:t>Coordinación entre el Estado y las Comunidades Autónomas</w:t>
      </w:r>
      <w:bookmarkEnd w:id="1496"/>
      <w:r w:rsidRPr="00234417">
        <w:rPr>
          <w:rStyle w:val="TextoNormalCaracter"/>
        </w:rPr>
        <w:t xml:space="preserve">, Sentencias </w:t>
      </w:r>
      <w:hyperlink w:anchor="SENTENCIA_2013_5" w:history="1">
        <w:r w:rsidRPr="00234417">
          <w:rPr>
            <w:rStyle w:val="TextoNormalCaracter"/>
          </w:rPr>
          <w:t>5/2013</w:t>
        </w:r>
      </w:hyperlink>
      <w:r w:rsidRPr="00234417">
        <w:rPr>
          <w:rStyle w:val="TextoNormalCaracter"/>
        </w:rPr>
        <w:t xml:space="preserve">, ff. 6, 7; </w:t>
      </w:r>
      <w:hyperlink w:anchor="SENTENCIA_2013_6" w:history="1">
        <w:r w:rsidRPr="00234417">
          <w:rPr>
            <w:rStyle w:val="TextoNormalCaracter"/>
          </w:rPr>
          <w:t>6/2013</w:t>
        </w:r>
      </w:hyperlink>
      <w:r w:rsidRPr="00234417">
        <w:rPr>
          <w:rStyle w:val="TextoNormalCaracter"/>
        </w:rPr>
        <w:t xml:space="preserve">, ff. 1 a 7; </w:t>
      </w:r>
      <w:hyperlink w:anchor="SENTENCIA_2013_25" w:history="1">
        <w:r w:rsidRPr="00234417">
          <w:rPr>
            <w:rStyle w:val="TextoNormalCaracter"/>
          </w:rPr>
          <w:t>25/2013</w:t>
        </w:r>
      </w:hyperlink>
      <w:r w:rsidRPr="00234417">
        <w:rPr>
          <w:rStyle w:val="TextoNormalCaracter"/>
        </w:rPr>
        <w:t xml:space="preserve">, f. 4; </w:t>
      </w:r>
      <w:hyperlink w:anchor="SENTENCIA_2013_26" w:history="1">
        <w:r w:rsidRPr="00234417">
          <w:rPr>
            <w:rStyle w:val="TextoNormalCaracter"/>
          </w:rPr>
          <w:t>26/2013</w:t>
        </w:r>
      </w:hyperlink>
      <w:r w:rsidRPr="00234417">
        <w:rPr>
          <w:rStyle w:val="TextoNormalCaracter"/>
        </w:rPr>
        <w:t xml:space="preserve">, ff. 6, 7; </w:t>
      </w:r>
      <w:hyperlink w:anchor="SENTENCIA_2013_37" w:history="1">
        <w:r w:rsidRPr="00234417">
          <w:rPr>
            <w:rStyle w:val="TextoNormalCaracter"/>
          </w:rPr>
          <w:t>37/2013</w:t>
        </w:r>
      </w:hyperlink>
      <w:r w:rsidRPr="00234417">
        <w:rPr>
          <w:rStyle w:val="TextoNormalCaracter"/>
        </w:rPr>
        <w:t xml:space="preserve">, f. 6; </w:t>
      </w:r>
      <w:hyperlink w:anchor="SENTENCIA_2013_49" w:history="1">
        <w:r w:rsidRPr="00234417">
          <w:rPr>
            <w:rStyle w:val="TextoNormalCaracter"/>
          </w:rPr>
          <w:t>49/2013</w:t>
        </w:r>
      </w:hyperlink>
      <w:r w:rsidRPr="00234417">
        <w:rPr>
          <w:rStyle w:val="TextoNormalCaracter"/>
        </w:rPr>
        <w:t xml:space="preserve">, f. 9; </w:t>
      </w:r>
      <w:hyperlink w:anchor="SENTENCIA_2013_69" w:history="1">
        <w:r w:rsidRPr="00234417">
          <w:rPr>
            <w:rStyle w:val="TextoNormalCaracter"/>
          </w:rPr>
          <w:t>69/2013</w:t>
        </w:r>
      </w:hyperlink>
      <w:r w:rsidRPr="00234417">
        <w:rPr>
          <w:rStyle w:val="TextoNormalCaracter"/>
        </w:rPr>
        <w:t xml:space="preserve">, ff. 1, 7; </w:t>
      </w:r>
      <w:hyperlink w:anchor="SENTENCIA_2013_80" w:history="1">
        <w:r w:rsidRPr="00234417">
          <w:rPr>
            <w:rStyle w:val="TextoNormalCaracter"/>
          </w:rPr>
          <w:t>80/2013</w:t>
        </w:r>
      </w:hyperlink>
      <w:r w:rsidRPr="00234417">
        <w:rPr>
          <w:rStyle w:val="TextoNormalCaracter"/>
        </w:rPr>
        <w:t xml:space="preserve">, f. 3; </w:t>
      </w:r>
      <w:hyperlink w:anchor="SENTENCIA_2013_83" w:history="1">
        <w:r w:rsidRPr="00234417">
          <w:rPr>
            <w:rStyle w:val="TextoNormalCaracter"/>
          </w:rPr>
          <w:t>83/2013</w:t>
        </w:r>
      </w:hyperlink>
      <w:r w:rsidRPr="00234417">
        <w:rPr>
          <w:rStyle w:val="TextoNormalCaracter"/>
        </w:rPr>
        <w:t xml:space="preserve">, f. 3; </w:t>
      </w:r>
      <w:hyperlink w:anchor="SENTENCIA_2013_84" w:history="1">
        <w:r w:rsidRPr="00234417">
          <w:rPr>
            <w:rStyle w:val="TextoNormalCaracter"/>
          </w:rPr>
          <w:t>84/2013</w:t>
        </w:r>
      </w:hyperlink>
      <w:r w:rsidRPr="00234417">
        <w:rPr>
          <w:rStyle w:val="TextoNormalCaracter"/>
        </w:rPr>
        <w:t xml:space="preserve">, f. 2; </w:t>
      </w:r>
      <w:hyperlink w:anchor="SENTENCIA_2013_87" w:history="1">
        <w:r w:rsidRPr="00234417">
          <w:rPr>
            <w:rStyle w:val="TextoNormalCaracter"/>
          </w:rPr>
          <w:t>87/2013</w:t>
        </w:r>
      </w:hyperlink>
      <w:r w:rsidRPr="00234417">
        <w:rPr>
          <w:rStyle w:val="TextoNormalCaracter"/>
        </w:rPr>
        <w:t xml:space="preserve">, f. 6; </w:t>
      </w:r>
      <w:hyperlink w:anchor="SENTENCIA_2013_101" w:history="1">
        <w:r w:rsidRPr="00234417">
          <w:rPr>
            <w:rStyle w:val="TextoNormalCaracter"/>
          </w:rPr>
          <w:t>101/2013</w:t>
        </w:r>
      </w:hyperlink>
      <w:r w:rsidRPr="00234417">
        <w:rPr>
          <w:rStyle w:val="TextoNormalCaracter"/>
        </w:rPr>
        <w:t xml:space="preserve">, f. 3; </w:t>
      </w:r>
      <w:hyperlink w:anchor="SENTENCIA_2013_112" w:history="1">
        <w:r w:rsidRPr="00234417">
          <w:rPr>
            <w:rStyle w:val="TextoNormalCaracter"/>
          </w:rPr>
          <w:t>112/2013</w:t>
        </w:r>
      </w:hyperlink>
      <w:r w:rsidRPr="00234417">
        <w:rPr>
          <w:rStyle w:val="TextoNormalCaracter"/>
        </w:rPr>
        <w:t xml:space="preserve">, f. 3; </w:t>
      </w:r>
      <w:hyperlink w:anchor="SENTENCIA_2013_114" w:history="1">
        <w:r w:rsidRPr="00234417">
          <w:rPr>
            <w:rStyle w:val="TextoNormalCaracter"/>
          </w:rPr>
          <w:t>114/2013</w:t>
        </w:r>
      </w:hyperlink>
      <w:r w:rsidRPr="00234417">
        <w:rPr>
          <w:rStyle w:val="TextoNormalCaracter"/>
        </w:rPr>
        <w:t xml:space="preserve">, f. 2; </w:t>
      </w:r>
      <w:hyperlink w:anchor="SENTENCIA_2013_130" w:history="1">
        <w:r w:rsidRPr="00234417">
          <w:rPr>
            <w:rStyle w:val="TextoNormalCaracter"/>
          </w:rPr>
          <w:t>130/2013</w:t>
        </w:r>
      </w:hyperlink>
      <w:r w:rsidRPr="00234417">
        <w:rPr>
          <w:rStyle w:val="TextoNormalCaracter"/>
        </w:rPr>
        <w:t xml:space="preserve">, ff. 3, 6, 8 a 10; </w:t>
      </w:r>
      <w:hyperlink w:anchor="SENTENCIA_2013_135" w:history="1">
        <w:r w:rsidRPr="00234417">
          <w:rPr>
            <w:rStyle w:val="TextoNormalCaracter"/>
          </w:rPr>
          <w:t>135/2013</w:t>
        </w:r>
      </w:hyperlink>
      <w:r w:rsidRPr="00234417">
        <w:rPr>
          <w:rStyle w:val="TextoNormalCaracter"/>
        </w:rPr>
        <w:t xml:space="preserve">, f. 6; </w:t>
      </w:r>
      <w:hyperlink w:anchor="SENTENCIA_2013_138" w:history="1">
        <w:r w:rsidRPr="00234417">
          <w:rPr>
            <w:rStyle w:val="TextoNormalCaracter"/>
          </w:rPr>
          <w:t>138/2013</w:t>
        </w:r>
      </w:hyperlink>
      <w:r w:rsidRPr="00234417">
        <w:rPr>
          <w:rStyle w:val="TextoNormalCaracter"/>
        </w:rPr>
        <w:t>, ff. 8, 9, 11.</w:t>
      </w:r>
    </w:p>
    <w:p w:rsidR="00234417" w:rsidRPr="00234417" w:rsidRDefault="00234417" w:rsidP="00234417">
      <w:pPr>
        <w:pStyle w:val="TextoNormalSangraFrancesa"/>
        <w:rPr>
          <w:rStyle w:val="TextoNormalCaracter"/>
        </w:rPr>
      </w:pPr>
      <w:bookmarkStart w:id="1497" w:name="DESCRIPTORALFABETICO125"/>
      <w:r w:rsidRPr="00234417">
        <w:rPr>
          <w:rStyle w:val="TextoNormalNegritaCaracter"/>
        </w:rPr>
        <w:lastRenderedPageBreak/>
        <w:t>Copago farmacéutico</w:t>
      </w:r>
      <w:bookmarkEnd w:id="1497"/>
      <w:r w:rsidRPr="00234417">
        <w:rPr>
          <w:rStyle w:val="TextoNormalCaracter"/>
        </w:rPr>
        <w:t xml:space="preserve">, Autos </w:t>
      </w:r>
      <w:hyperlink w:anchor="AUTO_2013_88" w:history="1">
        <w:r w:rsidRPr="00234417">
          <w:rPr>
            <w:rStyle w:val="TextoNormalCaracter"/>
          </w:rPr>
          <w:t>88/2013</w:t>
        </w:r>
      </w:hyperlink>
      <w:r w:rsidRPr="00234417">
        <w:rPr>
          <w:rStyle w:val="TextoNormalCaracter"/>
        </w:rPr>
        <w:t xml:space="preserve">, ff. 1, 4; </w:t>
      </w:r>
      <w:hyperlink w:anchor="AUTO_2013_122" w:history="1">
        <w:r w:rsidRPr="00234417">
          <w:rPr>
            <w:rStyle w:val="TextoNormalCaracter"/>
          </w:rPr>
          <w:t>122/2013</w:t>
        </w:r>
      </w:hyperlink>
      <w:r w:rsidRPr="00234417">
        <w:rPr>
          <w:rStyle w:val="TextoNormalCaracter"/>
        </w:rPr>
        <w:t xml:space="preserve">, f. 5; </w:t>
      </w:r>
      <w:hyperlink w:anchor="AUTO_2013_142" w:history="1">
        <w:r w:rsidRPr="00234417">
          <w:rPr>
            <w:rStyle w:val="TextoNormalCaracter"/>
          </w:rPr>
          <w:t>142/2013</w:t>
        </w:r>
      </w:hyperlink>
      <w:r w:rsidRPr="00234417">
        <w:rPr>
          <w:rStyle w:val="TextoNormalCaracter"/>
        </w:rPr>
        <w:t>, f. 2.</w:t>
      </w:r>
    </w:p>
    <w:p w:rsidR="00234417" w:rsidRPr="00234417" w:rsidRDefault="00234417" w:rsidP="00234417">
      <w:pPr>
        <w:pStyle w:val="TextoNormalSangraFrancesa"/>
        <w:rPr>
          <w:rStyle w:val="TextoNormalCaracter"/>
        </w:rPr>
      </w:pPr>
      <w:bookmarkStart w:id="1498" w:name="DESCRIPTORALFABETICO449"/>
      <w:r w:rsidRPr="00234417">
        <w:rPr>
          <w:rStyle w:val="TextoNormalNegritaCaracter"/>
        </w:rPr>
        <w:t>Corporaciones locales</w:t>
      </w:r>
      <w:bookmarkEnd w:id="1498"/>
      <w:r w:rsidRPr="00234417">
        <w:rPr>
          <w:rStyle w:val="TextoNormalCaracter"/>
        </w:rPr>
        <w:t xml:space="preserve">, Sentencias </w:t>
      </w:r>
      <w:hyperlink w:anchor="SENTENCIA_2013_36" w:history="1">
        <w:r w:rsidRPr="00234417">
          <w:rPr>
            <w:rStyle w:val="TextoNormalCaracter"/>
          </w:rPr>
          <w:t>36/2013</w:t>
        </w:r>
      </w:hyperlink>
      <w:r w:rsidRPr="00234417">
        <w:rPr>
          <w:rStyle w:val="TextoNormalCaracter"/>
        </w:rPr>
        <w:t xml:space="preserve">, f. 8; </w:t>
      </w:r>
      <w:hyperlink w:anchor="SENTENCIA_2013_85" w:history="1">
        <w:r w:rsidRPr="00234417">
          <w:rPr>
            <w:rStyle w:val="TextoNormalCaracter"/>
          </w:rPr>
          <w:t>85/2013</w:t>
        </w:r>
      </w:hyperlink>
      <w:r w:rsidRPr="00234417">
        <w:rPr>
          <w:rStyle w:val="TextoNormalCaracter"/>
        </w:rPr>
        <w:t>, f. 5.</w:t>
      </w:r>
    </w:p>
    <w:p w:rsidR="00234417" w:rsidRPr="00234417" w:rsidRDefault="00234417" w:rsidP="00234417">
      <w:pPr>
        <w:pStyle w:val="TextoNormalSangraFrancesa"/>
        <w:rPr>
          <w:rStyle w:val="TextoNormalCaracter"/>
        </w:rPr>
      </w:pPr>
      <w:bookmarkStart w:id="1499" w:name="DESCRIPTORALFABETICO816"/>
      <w:r w:rsidRPr="00234417">
        <w:rPr>
          <w:rStyle w:val="TextoNormalNegritaCaracter"/>
        </w:rPr>
        <w:t>Costas procesales</w:t>
      </w:r>
      <w:bookmarkEnd w:id="1499"/>
      <w:r w:rsidRPr="00234417">
        <w:rPr>
          <w:rStyle w:val="TextoNormalCaracter"/>
        </w:rPr>
        <w:t xml:space="preserve">, Sentencia </w:t>
      </w:r>
      <w:hyperlink w:anchor="SENTENCIA_2013_108" w:history="1">
        <w:r w:rsidRPr="00234417">
          <w:rPr>
            <w:rStyle w:val="TextoNormalCaracter"/>
          </w:rPr>
          <w:t>108/2013</w:t>
        </w:r>
      </w:hyperlink>
      <w:r w:rsidRPr="00234417">
        <w:rPr>
          <w:rStyle w:val="TextoNormalCaracter"/>
        </w:rPr>
        <w:t>, ff. 4 a 6.</w:t>
      </w:r>
    </w:p>
    <w:p w:rsidR="00234417" w:rsidRPr="00234417" w:rsidRDefault="00234417" w:rsidP="00234417">
      <w:pPr>
        <w:pStyle w:val="TextoNormalSangraFrancesa"/>
        <w:rPr>
          <w:rStyle w:val="TextoNormalCaracter"/>
        </w:rPr>
      </w:pPr>
      <w:bookmarkStart w:id="1500" w:name="DESCRIPTORALFABETICO489"/>
      <w:r w:rsidRPr="00234417">
        <w:rPr>
          <w:rStyle w:val="TextoNormalNegritaCaracter"/>
        </w:rPr>
        <w:t>Créditos hipotecarios</w:t>
      </w:r>
      <w:bookmarkEnd w:id="1500"/>
      <w:r w:rsidRPr="00234417">
        <w:rPr>
          <w:rStyle w:val="TextoNormalCaracter"/>
        </w:rPr>
        <w:t xml:space="preserve">, Auto </w:t>
      </w:r>
      <w:hyperlink w:anchor="AUTO_2013_124" w:history="1">
        <w:r w:rsidRPr="00234417">
          <w:rPr>
            <w:rStyle w:val="TextoNormalCaracter"/>
          </w:rPr>
          <w:t>124/2013</w:t>
        </w:r>
      </w:hyperlink>
      <w:r w:rsidRPr="00234417">
        <w:rPr>
          <w:rStyle w:val="TextoNormalCaracter"/>
        </w:rPr>
        <w:t>, ff. 1, 3.</w:t>
      </w:r>
    </w:p>
    <w:p w:rsidR="00234417" w:rsidRPr="00234417" w:rsidRDefault="00234417" w:rsidP="00234417">
      <w:pPr>
        <w:pStyle w:val="TextoNormalSangraFrancesa"/>
        <w:rPr>
          <w:rStyle w:val="TextoNormalCaracter"/>
        </w:rPr>
      </w:pPr>
      <w:bookmarkStart w:id="1501" w:name="DESCRIPTORALFABETICO27"/>
      <w:r w:rsidRPr="00234417">
        <w:rPr>
          <w:rStyle w:val="TextoNormalNegritaCaracter"/>
        </w:rPr>
        <w:t>Criterio territorial de distribución de competencias</w:t>
      </w:r>
      <w:bookmarkEnd w:id="1501"/>
      <w:r w:rsidRPr="00234417">
        <w:rPr>
          <w:rStyle w:val="TextoNormalCaracter"/>
        </w:rPr>
        <w:t xml:space="preserve">, Sentencias </w:t>
      </w:r>
      <w:hyperlink w:anchor="SENTENCIA_2013_83" w:history="1">
        <w:r w:rsidRPr="00234417">
          <w:rPr>
            <w:rStyle w:val="TextoNormalCaracter"/>
          </w:rPr>
          <w:t>83/2013</w:t>
        </w:r>
      </w:hyperlink>
      <w:r w:rsidRPr="00234417">
        <w:rPr>
          <w:rStyle w:val="TextoNormalCaracter"/>
        </w:rPr>
        <w:t xml:space="preserve">, f. 3; </w:t>
      </w:r>
      <w:hyperlink w:anchor="SENTENCIA_2013_113" w:history="1">
        <w:r w:rsidRPr="00234417">
          <w:rPr>
            <w:rStyle w:val="TextoNormalCaracter"/>
          </w:rPr>
          <w:t>113/2013</w:t>
        </w:r>
      </w:hyperlink>
      <w:r w:rsidRPr="00234417">
        <w:rPr>
          <w:rStyle w:val="TextoNormalCaracter"/>
        </w:rPr>
        <w:t>, ff. 4, 6, 7.</w:t>
      </w:r>
    </w:p>
    <w:p w:rsidR="00234417" w:rsidRPr="00234417" w:rsidRDefault="00234417" w:rsidP="00234417">
      <w:pPr>
        <w:pStyle w:val="TextoNormalSangraFrancesa"/>
        <w:rPr>
          <w:rStyle w:val="TextoNormalCaracter"/>
        </w:rPr>
      </w:pPr>
      <w:bookmarkStart w:id="1502" w:name="DESCRIPTORALFABETICO26"/>
      <w:r w:rsidRPr="00234417">
        <w:rPr>
          <w:rStyle w:val="TextoNormalNegritaCaracter"/>
        </w:rPr>
        <w:t>Criterios de distribución de competencias</w:t>
      </w:r>
      <w:bookmarkEnd w:id="1502"/>
      <w:r w:rsidRPr="00234417">
        <w:rPr>
          <w:rStyle w:val="TextoNormalCaracter"/>
        </w:rPr>
        <w:t xml:space="preserve">, Sentencias </w:t>
      </w:r>
      <w:hyperlink w:anchor="SENTENCIA_2013_69" w:history="1">
        <w:r w:rsidRPr="00234417">
          <w:rPr>
            <w:rStyle w:val="TextoNormalCaracter"/>
          </w:rPr>
          <w:t>69/2013</w:t>
        </w:r>
      </w:hyperlink>
      <w:r w:rsidRPr="00234417">
        <w:rPr>
          <w:rStyle w:val="TextoNormalCaracter"/>
        </w:rPr>
        <w:t xml:space="preserve">, ff. 3, 4, 5; </w:t>
      </w:r>
      <w:hyperlink w:anchor="SENTENCIA_2013_80" w:history="1">
        <w:r w:rsidRPr="00234417">
          <w:rPr>
            <w:rStyle w:val="TextoNormalCaracter"/>
          </w:rPr>
          <w:t>80/2013</w:t>
        </w:r>
      </w:hyperlink>
      <w:r w:rsidRPr="00234417">
        <w:rPr>
          <w:rStyle w:val="TextoNormalCaracter"/>
        </w:rPr>
        <w:t xml:space="preserve">, f. 3; </w:t>
      </w:r>
      <w:hyperlink w:anchor="SENTENCIA_2013_114" w:history="1">
        <w:r w:rsidRPr="00234417">
          <w:rPr>
            <w:rStyle w:val="TextoNormalCaracter"/>
          </w:rPr>
          <w:t>114/2013</w:t>
        </w:r>
      </w:hyperlink>
      <w:r w:rsidRPr="00234417">
        <w:rPr>
          <w:rStyle w:val="TextoNormalCaracter"/>
        </w:rPr>
        <w:t>, f. 2.</w:t>
      </w:r>
    </w:p>
    <w:p w:rsidR="00234417" w:rsidRPr="00234417" w:rsidRDefault="00234417" w:rsidP="00234417">
      <w:pPr>
        <w:pStyle w:val="TextoNormalSangraFrancesa"/>
        <w:rPr>
          <w:rStyle w:val="TextoNormalCaracter"/>
        </w:rPr>
      </w:pPr>
      <w:bookmarkStart w:id="1503" w:name="DESCRIPTORALFABETICO480"/>
      <w:r w:rsidRPr="00234417">
        <w:rPr>
          <w:rStyle w:val="TextoNormalNegritaCaracter"/>
        </w:rPr>
        <w:t>Cuencas hidrográficas</w:t>
      </w:r>
      <w:bookmarkEnd w:id="1503"/>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ff. 2, 8.</w:t>
      </w:r>
    </w:p>
    <w:p w:rsidR="00234417" w:rsidRPr="00234417" w:rsidRDefault="00234417" w:rsidP="00234417">
      <w:pPr>
        <w:pStyle w:val="TextoNormalSangraFrancesa"/>
        <w:rPr>
          <w:rStyle w:val="TextoNormalCaracter"/>
        </w:rPr>
      </w:pPr>
      <w:bookmarkStart w:id="1504" w:name="DESCRIPTORALFABETICO274"/>
      <w:r w:rsidRPr="00234417">
        <w:rPr>
          <w:rStyle w:val="TextoNormalNegritaCaracter"/>
        </w:rPr>
        <w:t>Cuestión de inconstitucionalidad</w:t>
      </w:r>
      <w:bookmarkEnd w:id="1504"/>
      <w:r w:rsidRPr="00234417">
        <w:rPr>
          <w:rStyle w:val="TextoNormalCaracter"/>
        </w:rPr>
        <w:t xml:space="preserve">, Sentencias </w:t>
      </w:r>
      <w:hyperlink w:anchor="SENTENCIA_2013_58" w:history="1">
        <w:r w:rsidRPr="00234417">
          <w:rPr>
            <w:rStyle w:val="TextoNormalCaracter"/>
          </w:rPr>
          <w:t>58/2013</w:t>
        </w:r>
      </w:hyperlink>
      <w:r w:rsidRPr="00234417">
        <w:rPr>
          <w:rStyle w:val="TextoNormalCaracter"/>
        </w:rPr>
        <w:t xml:space="preserve">, f. 2; </w:t>
      </w:r>
      <w:hyperlink w:anchor="SENTENCIA_2013_60" w:history="1">
        <w:r w:rsidRPr="00234417">
          <w:rPr>
            <w:rStyle w:val="TextoNormalCaracter"/>
          </w:rPr>
          <w:t>60/2013</w:t>
        </w:r>
      </w:hyperlink>
      <w:r w:rsidRPr="00234417">
        <w:rPr>
          <w:rStyle w:val="TextoNormalCaracter"/>
        </w:rPr>
        <w:t>, ff. 2 a 7.</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27" w:history="1">
        <w:r w:rsidRPr="00234417">
          <w:rPr>
            <w:rStyle w:val="TextoNormalCaracter"/>
          </w:rPr>
          <w:t>27/2013</w:t>
        </w:r>
      </w:hyperlink>
      <w:r w:rsidRPr="00234417">
        <w:rPr>
          <w:rStyle w:val="TextoNormalCaracter"/>
        </w:rPr>
        <w:t xml:space="preserve">, f. 2; </w:t>
      </w:r>
      <w:hyperlink w:anchor="AUTO_2013_30" w:history="1">
        <w:r w:rsidRPr="00234417">
          <w:rPr>
            <w:rStyle w:val="TextoNormalCaracter"/>
          </w:rPr>
          <w:t>30/2013</w:t>
        </w:r>
      </w:hyperlink>
      <w:r w:rsidRPr="00234417">
        <w:rPr>
          <w:rStyle w:val="TextoNormalCaracter"/>
        </w:rPr>
        <w:t xml:space="preserve">, f. 4; </w:t>
      </w:r>
      <w:hyperlink w:anchor="AUTO_2013_31" w:history="1">
        <w:r w:rsidRPr="00234417">
          <w:rPr>
            <w:rStyle w:val="TextoNormalCaracter"/>
          </w:rPr>
          <w:t>31/2013</w:t>
        </w:r>
      </w:hyperlink>
      <w:r w:rsidRPr="00234417">
        <w:rPr>
          <w:rStyle w:val="TextoNormalCaracter"/>
        </w:rPr>
        <w:t xml:space="preserve">, f. 4; </w:t>
      </w:r>
      <w:hyperlink w:anchor="AUTO_2013_32" w:history="1">
        <w:r w:rsidRPr="00234417">
          <w:rPr>
            <w:rStyle w:val="TextoNormalCaracter"/>
          </w:rPr>
          <w:t>32/2013</w:t>
        </w:r>
      </w:hyperlink>
      <w:r w:rsidRPr="00234417">
        <w:rPr>
          <w:rStyle w:val="TextoNormalCaracter"/>
        </w:rPr>
        <w:t xml:space="preserve">, f. 4; </w:t>
      </w:r>
      <w:hyperlink w:anchor="AUTO_2013_50" w:history="1">
        <w:r w:rsidRPr="00234417">
          <w:rPr>
            <w:rStyle w:val="TextoNormalCaracter"/>
          </w:rPr>
          <w:t>50/2013</w:t>
        </w:r>
      </w:hyperlink>
      <w:r w:rsidRPr="00234417">
        <w:rPr>
          <w:rStyle w:val="TextoNormalCaracter"/>
        </w:rPr>
        <w:t xml:space="preserve">, f. único; </w:t>
      </w:r>
      <w:hyperlink w:anchor="AUTO_2013_51" w:history="1">
        <w:r w:rsidRPr="00234417">
          <w:rPr>
            <w:rStyle w:val="TextoNormalCaracter"/>
          </w:rPr>
          <w:t>51/2013</w:t>
        </w:r>
      </w:hyperlink>
      <w:r w:rsidRPr="00234417">
        <w:rPr>
          <w:rStyle w:val="TextoNormalCaracter"/>
        </w:rPr>
        <w:t xml:space="preserve">, f. único; </w:t>
      </w:r>
      <w:hyperlink w:anchor="AUTO_2013_52" w:history="1">
        <w:r w:rsidRPr="00234417">
          <w:rPr>
            <w:rStyle w:val="TextoNormalCaracter"/>
          </w:rPr>
          <w:t>52/2013</w:t>
        </w:r>
      </w:hyperlink>
      <w:r w:rsidRPr="00234417">
        <w:rPr>
          <w:rStyle w:val="TextoNormalCaracter"/>
        </w:rPr>
        <w:t xml:space="preserve">, f. único; </w:t>
      </w:r>
      <w:hyperlink w:anchor="AUTO_2013_53" w:history="1">
        <w:r w:rsidRPr="00234417">
          <w:rPr>
            <w:rStyle w:val="TextoNormalCaracter"/>
          </w:rPr>
          <w:t>53/2013</w:t>
        </w:r>
      </w:hyperlink>
      <w:r w:rsidRPr="00234417">
        <w:rPr>
          <w:rStyle w:val="TextoNormalCaracter"/>
        </w:rPr>
        <w:t xml:space="preserve">, f. único; </w:t>
      </w:r>
      <w:hyperlink w:anchor="AUTO_2013_54" w:history="1">
        <w:r w:rsidRPr="00234417">
          <w:rPr>
            <w:rStyle w:val="TextoNormalCaracter"/>
          </w:rPr>
          <w:t>54/2013</w:t>
        </w:r>
      </w:hyperlink>
      <w:r w:rsidRPr="00234417">
        <w:rPr>
          <w:rStyle w:val="TextoNormalCaracter"/>
        </w:rPr>
        <w:t xml:space="preserve">, f. único; </w:t>
      </w:r>
      <w:hyperlink w:anchor="AUTO_2013_55" w:history="1">
        <w:r w:rsidRPr="00234417">
          <w:rPr>
            <w:rStyle w:val="TextoNormalCaracter"/>
          </w:rPr>
          <w:t>55/2013</w:t>
        </w:r>
      </w:hyperlink>
      <w:r w:rsidRPr="00234417">
        <w:rPr>
          <w:rStyle w:val="TextoNormalCaracter"/>
        </w:rPr>
        <w:t xml:space="preserve">, f. único; </w:t>
      </w:r>
      <w:hyperlink w:anchor="AUTO_2013_57" w:history="1">
        <w:r w:rsidRPr="00234417">
          <w:rPr>
            <w:rStyle w:val="TextoNormalCaracter"/>
          </w:rPr>
          <w:t>57/2013</w:t>
        </w:r>
      </w:hyperlink>
      <w:r w:rsidRPr="00234417">
        <w:rPr>
          <w:rStyle w:val="TextoNormalCaracter"/>
        </w:rPr>
        <w:t xml:space="preserve">, f. único; </w:t>
      </w:r>
      <w:hyperlink w:anchor="AUTO_2013_67" w:history="1">
        <w:r w:rsidRPr="00234417">
          <w:rPr>
            <w:rStyle w:val="TextoNormalCaracter"/>
          </w:rPr>
          <w:t>67/2013</w:t>
        </w:r>
      </w:hyperlink>
      <w:r w:rsidRPr="00234417">
        <w:rPr>
          <w:rStyle w:val="TextoNormalCaracter"/>
        </w:rPr>
        <w:t xml:space="preserve">, f. 2; </w:t>
      </w:r>
      <w:hyperlink w:anchor="AUTO_2013_69" w:history="1">
        <w:r w:rsidRPr="00234417">
          <w:rPr>
            <w:rStyle w:val="TextoNormalCaracter"/>
          </w:rPr>
          <w:t>69/2013</w:t>
        </w:r>
      </w:hyperlink>
      <w:r w:rsidRPr="00234417">
        <w:rPr>
          <w:rStyle w:val="TextoNormalCaracter"/>
        </w:rPr>
        <w:t xml:space="preserve">, f. único; </w:t>
      </w:r>
      <w:hyperlink w:anchor="AUTO_2013_73" w:history="1">
        <w:r w:rsidRPr="00234417">
          <w:rPr>
            <w:rStyle w:val="TextoNormalCaracter"/>
          </w:rPr>
          <w:t>73/2013</w:t>
        </w:r>
      </w:hyperlink>
      <w:r w:rsidRPr="00234417">
        <w:rPr>
          <w:rStyle w:val="TextoNormalCaracter"/>
        </w:rPr>
        <w:t xml:space="preserve">, f. único; </w:t>
      </w:r>
      <w:hyperlink w:anchor="AUTO_2013_76" w:history="1">
        <w:r w:rsidRPr="00234417">
          <w:rPr>
            <w:rStyle w:val="TextoNormalCaracter"/>
          </w:rPr>
          <w:t>76/2013</w:t>
        </w:r>
      </w:hyperlink>
      <w:r w:rsidRPr="00234417">
        <w:rPr>
          <w:rStyle w:val="TextoNormalCaracter"/>
        </w:rPr>
        <w:t xml:space="preserve">, f. único; </w:t>
      </w:r>
      <w:hyperlink w:anchor="AUTO_2013_77" w:history="1">
        <w:r w:rsidRPr="00234417">
          <w:rPr>
            <w:rStyle w:val="TextoNormalCaracter"/>
          </w:rPr>
          <w:t>77/2013</w:t>
        </w:r>
      </w:hyperlink>
      <w:r w:rsidRPr="00234417">
        <w:rPr>
          <w:rStyle w:val="TextoNormalCaracter"/>
        </w:rPr>
        <w:t xml:space="preserve">, f. único; </w:t>
      </w:r>
      <w:hyperlink w:anchor="AUTO_2013_79" w:history="1">
        <w:r w:rsidRPr="00234417">
          <w:rPr>
            <w:rStyle w:val="TextoNormalCaracter"/>
          </w:rPr>
          <w:t>79/2013</w:t>
        </w:r>
      </w:hyperlink>
      <w:r w:rsidRPr="00234417">
        <w:rPr>
          <w:rStyle w:val="TextoNormalCaracter"/>
        </w:rPr>
        <w:t xml:space="preserve">, f. único; </w:t>
      </w:r>
      <w:hyperlink w:anchor="AUTO_2013_84" w:history="1">
        <w:r w:rsidRPr="00234417">
          <w:rPr>
            <w:rStyle w:val="TextoNormalCaracter"/>
          </w:rPr>
          <w:t>84/2013</w:t>
        </w:r>
      </w:hyperlink>
      <w:r w:rsidRPr="00234417">
        <w:rPr>
          <w:rStyle w:val="TextoNormalCaracter"/>
        </w:rPr>
        <w:t xml:space="preserve">, ff. 1, 3; </w:t>
      </w:r>
      <w:hyperlink w:anchor="AUTO_2013_93" w:history="1">
        <w:r w:rsidRPr="00234417">
          <w:rPr>
            <w:rStyle w:val="TextoNormalCaracter"/>
          </w:rPr>
          <w:t>93/2013</w:t>
        </w:r>
      </w:hyperlink>
      <w:r w:rsidRPr="00234417">
        <w:rPr>
          <w:rStyle w:val="TextoNormalCaracter"/>
        </w:rPr>
        <w:t xml:space="preserve">, f. 3; </w:t>
      </w:r>
      <w:hyperlink w:anchor="AUTO_2013_104" w:history="1">
        <w:r w:rsidRPr="00234417">
          <w:rPr>
            <w:rStyle w:val="TextoNormalCaracter"/>
          </w:rPr>
          <w:t>104/2013</w:t>
        </w:r>
      </w:hyperlink>
      <w:r w:rsidRPr="00234417">
        <w:rPr>
          <w:rStyle w:val="TextoNormalCaracter"/>
        </w:rPr>
        <w:t xml:space="preserve">, f. único; </w:t>
      </w:r>
      <w:hyperlink w:anchor="AUTO_2013_105" w:history="1">
        <w:r w:rsidRPr="00234417">
          <w:rPr>
            <w:rStyle w:val="TextoNormalCaracter"/>
          </w:rPr>
          <w:t>105/2013</w:t>
        </w:r>
      </w:hyperlink>
      <w:r w:rsidRPr="00234417">
        <w:rPr>
          <w:rStyle w:val="TextoNormalCaracter"/>
        </w:rPr>
        <w:t xml:space="preserve">, f. único; </w:t>
      </w:r>
      <w:hyperlink w:anchor="AUTO_2013_106" w:history="1">
        <w:r w:rsidRPr="00234417">
          <w:rPr>
            <w:rStyle w:val="TextoNormalCaracter"/>
          </w:rPr>
          <w:t>106/2013</w:t>
        </w:r>
      </w:hyperlink>
      <w:r w:rsidRPr="00234417">
        <w:rPr>
          <w:rStyle w:val="TextoNormalCaracter"/>
        </w:rPr>
        <w:t xml:space="preserve">, f. único; </w:t>
      </w:r>
      <w:hyperlink w:anchor="AUTO_2013_107" w:history="1">
        <w:r w:rsidRPr="00234417">
          <w:rPr>
            <w:rStyle w:val="TextoNormalCaracter"/>
          </w:rPr>
          <w:t>107/2013</w:t>
        </w:r>
      </w:hyperlink>
      <w:r w:rsidRPr="00234417">
        <w:rPr>
          <w:rStyle w:val="TextoNormalCaracter"/>
        </w:rPr>
        <w:t xml:space="preserve">, f. único; </w:t>
      </w:r>
      <w:hyperlink w:anchor="AUTO_2013_108" w:history="1">
        <w:r w:rsidRPr="00234417">
          <w:rPr>
            <w:rStyle w:val="TextoNormalCaracter"/>
          </w:rPr>
          <w:t>108/2013</w:t>
        </w:r>
      </w:hyperlink>
      <w:r w:rsidRPr="00234417">
        <w:rPr>
          <w:rStyle w:val="TextoNormalCaracter"/>
        </w:rPr>
        <w:t xml:space="preserve">, f. único; </w:t>
      </w:r>
      <w:hyperlink w:anchor="AUTO_2013_109" w:history="1">
        <w:r w:rsidRPr="00234417">
          <w:rPr>
            <w:rStyle w:val="TextoNormalCaracter"/>
          </w:rPr>
          <w:t>109/2013</w:t>
        </w:r>
      </w:hyperlink>
      <w:r w:rsidRPr="00234417">
        <w:rPr>
          <w:rStyle w:val="TextoNormalCaracter"/>
        </w:rPr>
        <w:t xml:space="preserve">, f. único; </w:t>
      </w:r>
      <w:hyperlink w:anchor="AUTO_2013_110" w:history="1">
        <w:r w:rsidRPr="00234417">
          <w:rPr>
            <w:rStyle w:val="TextoNormalCaracter"/>
          </w:rPr>
          <w:t>110/2013</w:t>
        </w:r>
      </w:hyperlink>
      <w:r w:rsidRPr="00234417">
        <w:rPr>
          <w:rStyle w:val="TextoNormalCaracter"/>
        </w:rPr>
        <w:t xml:space="preserve">, f. único; </w:t>
      </w:r>
      <w:hyperlink w:anchor="AUTO_2013_111" w:history="1">
        <w:r w:rsidRPr="00234417">
          <w:rPr>
            <w:rStyle w:val="TextoNormalCaracter"/>
          </w:rPr>
          <w:t>111/2013</w:t>
        </w:r>
      </w:hyperlink>
      <w:r w:rsidRPr="00234417">
        <w:rPr>
          <w:rStyle w:val="TextoNormalCaracter"/>
        </w:rPr>
        <w:t xml:space="preserve">, f. único; </w:t>
      </w:r>
      <w:hyperlink w:anchor="AUTO_2013_112" w:history="1">
        <w:r w:rsidRPr="00234417">
          <w:rPr>
            <w:rStyle w:val="TextoNormalCaracter"/>
          </w:rPr>
          <w:t>112/2013</w:t>
        </w:r>
      </w:hyperlink>
      <w:r w:rsidRPr="00234417">
        <w:rPr>
          <w:rStyle w:val="TextoNormalCaracter"/>
        </w:rPr>
        <w:t xml:space="preserve">, f. único; </w:t>
      </w:r>
      <w:hyperlink w:anchor="AUTO_2013_113" w:history="1">
        <w:r w:rsidRPr="00234417">
          <w:rPr>
            <w:rStyle w:val="TextoNormalCaracter"/>
          </w:rPr>
          <w:t>113/2013</w:t>
        </w:r>
      </w:hyperlink>
      <w:r w:rsidRPr="00234417">
        <w:rPr>
          <w:rStyle w:val="TextoNormalCaracter"/>
        </w:rPr>
        <w:t xml:space="preserve">, f. único; </w:t>
      </w:r>
      <w:hyperlink w:anchor="AUTO_2013_114" w:history="1">
        <w:r w:rsidRPr="00234417">
          <w:rPr>
            <w:rStyle w:val="TextoNormalCaracter"/>
          </w:rPr>
          <w:t>114/2013</w:t>
        </w:r>
      </w:hyperlink>
      <w:r w:rsidRPr="00234417">
        <w:rPr>
          <w:rStyle w:val="TextoNormalCaracter"/>
        </w:rPr>
        <w:t xml:space="preserve">, f. único; </w:t>
      </w:r>
      <w:hyperlink w:anchor="AUTO_2013_115" w:history="1">
        <w:r w:rsidRPr="00234417">
          <w:rPr>
            <w:rStyle w:val="TextoNormalCaracter"/>
          </w:rPr>
          <w:t>115/2013</w:t>
        </w:r>
      </w:hyperlink>
      <w:r w:rsidRPr="00234417">
        <w:rPr>
          <w:rStyle w:val="TextoNormalCaracter"/>
        </w:rPr>
        <w:t xml:space="preserve">, f. único; </w:t>
      </w:r>
      <w:hyperlink w:anchor="AUTO_2013_117" w:history="1">
        <w:r w:rsidRPr="00234417">
          <w:rPr>
            <w:rStyle w:val="TextoNormalCaracter"/>
          </w:rPr>
          <w:t>117/2013</w:t>
        </w:r>
      </w:hyperlink>
      <w:r w:rsidRPr="00234417">
        <w:rPr>
          <w:rStyle w:val="TextoNormalCaracter"/>
        </w:rPr>
        <w:t xml:space="preserve">, f. único; </w:t>
      </w:r>
      <w:hyperlink w:anchor="AUTO_2013_118" w:history="1">
        <w:r w:rsidRPr="00234417">
          <w:rPr>
            <w:rStyle w:val="TextoNormalCaracter"/>
          </w:rPr>
          <w:t>118/2013</w:t>
        </w:r>
      </w:hyperlink>
      <w:r w:rsidRPr="00234417">
        <w:rPr>
          <w:rStyle w:val="TextoNormalCaracter"/>
        </w:rPr>
        <w:t xml:space="preserve">, f. único; </w:t>
      </w:r>
      <w:hyperlink w:anchor="AUTO_2013_119" w:history="1">
        <w:r w:rsidRPr="00234417">
          <w:rPr>
            <w:rStyle w:val="TextoNormalCaracter"/>
          </w:rPr>
          <w:t>119/2013</w:t>
        </w:r>
      </w:hyperlink>
      <w:r w:rsidRPr="00234417">
        <w:rPr>
          <w:rStyle w:val="TextoNormalCaracter"/>
        </w:rPr>
        <w:t xml:space="preserve">, f. único; </w:t>
      </w:r>
      <w:hyperlink w:anchor="AUTO_2013_140" w:history="1">
        <w:r w:rsidRPr="00234417">
          <w:rPr>
            <w:rStyle w:val="TextoNormalCaracter"/>
          </w:rPr>
          <w:t>140/2013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505" w:name="DESCRIPTORALFABETICO279"/>
      <w:r w:rsidRPr="00234417">
        <w:rPr>
          <w:rStyle w:val="TextoNormalNegritaCaracter"/>
        </w:rPr>
        <w:t>Cuestión de inconstitucionalidad notoriamente infundada</w:t>
      </w:r>
      <w:bookmarkEnd w:id="1505"/>
      <w:r w:rsidRPr="00234417">
        <w:rPr>
          <w:rStyle w:val="TextoNormalCaracter"/>
        </w:rPr>
        <w:t xml:space="preserve">, Autos </w:t>
      </w:r>
      <w:hyperlink w:anchor="AUTO_2013_84" w:history="1">
        <w:r w:rsidRPr="00234417">
          <w:rPr>
            <w:rStyle w:val="TextoNormalCaracter"/>
          </w:rPr>
          <w:t>84/2013</w:t>
        </w:r>
      </w:hyperlink>
      <w:r w:rsidRPr="00234417">
        <w:rPr>
          <w:rStyle w:val="TextoNormalCaracter"/>
        </w:rPr>
        <w:t xml:space="preserve">, f. 2; </w:t>
      </w:r>
      <w:hyperlink w:anchor="AUTO_2013_85" w:history="1">
        <w:r w:rsidRPr="00234417">
          <w:rPr>
            <w:rStyle w:val="TextoNormalCaracter"/>
          </w:rPr>
          <w:t>85/2013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1506" w:name="DESCRIPTORALFABETICO819"/>
      <w:r w:rsidRPr="00234417">
        <w:rPr>
          <w:rStyle w:val="TextoNormalNegritaCaracter"/>
        </w:rPr>
        <w:t>Cuestión de legalidad ordinaria</w:t>
      </w:r>
      <w:bookmarkEnd w:id="1506"/>
      <w:r w:rsidRPr="00234417">
        <w:rPr>
          <w:rStyle w:val="TextoNormalCaracter"/>
        </w:rPr>
        <w:t xml:space="preserve">, Sentencias </w:t>
      </w:r>
      <w:hyperlink w:anchor="SENTENCIA_2013_11" w:history="1">
        <w:r w:rsidRPr="00234417">
          <w:rPr>
            <w:rStyle w:val="TextoNormalCaracter"/>
          </w:rPr>
          <w:t>11/2013</w:t>
        </w:r>
      </w:hyperlink>
      <w:r w:rsidRPr="00234417">
        <w:rPr>
          <w:rStyle w:val="TextoNormalCaracter"/>
        </w:rPr>
        <w:t xml:space="preserve">, ff. 2, 3; </w:t>
      </w:r>
      <w:hyperlink w:anchor="SENTENCIA_2013_90" w:history="1">
        <w:r w:rsidRPr="00234417">
          <w:rPr>
            <w:rStyle w:val="TextoNormalCaracter"/>
          </w:rPr>
          <w:t>90/2013</w:t>
        </w:r>
      </w:hyperlink>
      <w:r w:rsidRPr="00234417">
        <w:rPr>
          <w:rStyle w:val="TextoNormalCaracter"/>
        </w:rPr>
        <w:t>, f. 3.</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D</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1507" w:name="DESCRIPTORALFABETICO154"/>
      <w:r w:rsidRPr="00234417">
        <w:rPr>
          <w:rStyle w:val="TextoNormalNegritaCaracter"/>
        </w:rPr>
        <w:t>Datos personales</w:t>
      </w:r>
      <w:bookmarkEnd w:id="1507"/>
      <w:r w:rsidRPr="00234417">
        <w:rPr>
          <w:rStyle w:val="TextoNormalCaracter"/>
        </w:rPr>
        <w:t xml:space="preserve">, Sentencia </w:t>
      </w:r>
      <w:hyperlink w:anchor="SENTENCIA_2013_29" w:history="1">
        <w:r w:rsidRPr="00234417">
          <w:rPr>
            <w:rStyle w:val="TextoNormalCaracter"/>
          </w:rPr>
          <w:t>29/2013</w:t>
        </w:r>
      </w:hyperlink>
      <w:r w:rsidRPr="00234417">
        <w:rPr>
          <w:rStyle w:val="TextoNormalCaracter"/>
        </w:rPr>
        <w:t>, f. 4.</w:t>
      </w:r>
    </w:p>
    <w:p w:rsidR="00234417" w:rsidRPr="00234417" w:rsidRDefault="00234417" w:rsidP="00234417">
      <w:pPr>
        <w:pStyle w:val="TextoNormalSangraFrancesa"/>
        <w:rPr>
          <w:rStyle w:val="TextoNormalCaracter"/>
        </w:rPr>
      </w:pPr>
      <w:bookmarkStart w:id="1508" w:name="DESCRIPTORALFABETICO396"/>
      <w:r w:rsidRPr="00234417">
        <w:rPr>
          <w:rStyle w:val="TextoNormalNegritaCaracter"/>
        </w:rPr>
        <w:t>Debates parlamentarios</w:t>
      </w:r>
      <w:bookmarkEnd w:id="1508"/>
      <w:r w:rsidRPr="00234417">
        <w:rPr>
          <w:rStyle w:val="TextoNormalCaracter"/>
        </w:rPr>
        <w:t xml:space="preserve">, Sentencia </w:t>
      </w:r>
      <w:hyperlink w:anchor="SENTENCIA_2013_8" w:history="1">
        <w:r w:rsidRPr="00234417">
          <w:rPr>
            <w:rStyle w:val="TextoNormalCaracter"/>
          </w:rPr>
          <w:t>8/2013</w:t>
        </w:r>
      </w:hyperlink>
      <w:r w:rsidRPr="00234417">
        <w:rPr>
          <w:rStyle w:val="TextoNormalCaracter"/>
        </w:rPr>
        <w:t>, f. 8.</w:t>
      </w:r>
    </w:p>
    <w:p w:rsidR="00234417" w:rsidRPr="00234417" w:rsidRDefault="00234417" w:rsidP="00234417">
      <w:pPr>
        <w:pStyle w:val="TextoNormalSangraFrancesa"/>
        <w:rPr>
          <w:rStyle w:val="TextoNormalCaracter"/>
        </w:rPr>
      </w:pPr>
      <w:bookmarkStart w:id="1509" w:name="DESCRIPTORALFABETICO128"/>
      <w:r w:rsidRPr="00234417">
        <w:rPr>
          <w:rStyle w:val="TextoNormalNegritaCaracter"/>
        </w:rPr>
        <w:t>Deber de contribución al gasto público</w:t>
      </w:r>
      <w:bookmarkEnd w:id="1509"/>
      <w:r w:rsidRPr="00234417">
        <w:rPr>
          <w:rStyle w:val="TextoNormalCaracter"/>
        </w:rPr>
        <w:t xml:space="preserve">, Sentencia </w:t>
      </w:r>
      <w:hyperlink w:anchor="SENTENCIA_2013_85" w:history="1">
        <w:r w:rsidRPr="00234417">
          <w:rPr>
            <w:rStyle w:val="TextoNormalCaracter"/>
          </w:rPr>
          <w:t>85/2013</w:t>
        </w:r>
      </w:hyperlink>
      <w:r w:rsidRPr="00234417">
        <w:rPr>
          <w:rStyle w:val="TextoNormalCaracter"/>
        </w:rPr>
        <w:t>, f. 6.</w:t>
      </w:r>
    </w:p>
    <w:p w:rsidR="00234417" w:rsidRPr="00234417" w:rsidRDefault="00234417" w:rsidP="00234417">
      <w:pPr>
        <w:pStyle w:val="TextoNormalSangraFrancesa"/>
        <w:rPr>
          <w:rStyle w:val="TextoNormalCaracter"/>
        </w:rPr>
      </w:pPr>
      <w:bookmarkStart w:id="1510" w:name="DESCRIPTORALFABETICO911"/>
      <w:r w:rsidRPr="00234417">
        <w:rPr>
          <w:rStyle w:val="TextoNormalNegritaCaracter"/>
        </w:rPr>
        <w:t>Declaración autoincriminatoria</w:t>
      </w:r>
      <w:bookmarkEnd w:id="1510"/>
      <w:r w:rsidRPr="00234417">
        <w:rPr>
          <w:rStyle w:val="TextoNormalCaracter"/>
        </w:rPr>
        <w:t xml:space="preserve">, Sentencia </w:t>
      </w:r>
      <w:hyperlink w:anchor="SENTENCIA_2013_53" w:history="1">
        <w:r w:rsidRPr="00234417">
          <w:rPr>
            <w:rStyle w:val="TextoNormalCaracter"/>
          </w:rPr>
          <w:t>53/2013</w:t>
        </w:r>
      </w:hyperlink>
      <w:r w:rsidRPr="00234417">
        <w:rPr>
          <w:rStyle w:val="TextoNormalCaracter"/>
        </w:rPr>
        <w:t>, f. 4.</w:t>
      </w:r>
    </w:p>
    <w:p w:rsidR="00234417" w:rsidRPr="00234417" w:rsidRDefault="00234417" w:rsidP="00234417">
      <w:pPr>
        <w:pStyle w:val="TextoNormalSangraFrancesa"/>
        <w:rPr>
          <w:rStyle w:val="TextoNormalNegritaCaracter"/>
        </w:rPr>
      </w:pPr>
      <w:r w:rsidRPr="00234417">
        <w:rPr>
          <w:rStyle w:val="TextoNormalCursivaCaracter"/>
        </w:rPr>
        <w:t>Declaración autoinculpatoria</w:t>
      </w:r>
      <w:r>
        <w:t xml:space="preserve"> véase </w:t>
      </w:r>
      <w:hyperlink w:anchor="DESCRIPTORALFABETICO911" w:history="1">
        <w:r w:rsidRPr="00234417">
          <w:rPr>
            <w:rStyle w:val="TextoNormalNegritaCaracter"/>
          </w:rPr>
          <w:t>Declaración autoincriminatoria</w:t>
        </w:r>
      </w:hyperlink>
    </w:p>
    <w:p w:rsidR="00234417" w:rsidRPr="00234417" w:rsidRDefault="00234417" w:rsidP="00234417">
      <w:pPr>
        <w:pStyle w:val="TextoNormalSangraFrancesa"/>
        <w:rPr>
          <w:rStyle w:val="TextoNormalCaracter"/>
        </w:rPr>
      </w:pPr>
      <w:bookmarkStart w:id="1511" w:name="DESCRIPTORALFABETICO221"/>
      <w:r w:rsidRPr="00234417">
        <w:rPr>
          <w:rStyle w:val="TextoNormalNegritaCaracter"/>
        </w:rPr>
        <w:t>Declaración de incompetencia del Tribunal Constitucional</w:t>
      </w:r>
      <w:bookmarkEnd w:id="1511"/>
      <w:r w:rsidRPr="00234417">
        <w:rPr>
          <w:rStyle w:val="TextoNormalCaracter"/>
        </w:rPr>
        <w:t xml:space="preserve">, Autos </w:t>
      </w:r>
      <w:hyperlink w:anchor="AUTO_2013_46" w:history="1">
        <w:r w:rsidRPr="00234417">
          <w:rPr>
            <w:rStyle w:val="TextoNormalCaracter"/>
          </w:rPr>
          <w:t>46/2013</w:t>
        </w:r>
      </w:hyperlink>
      <w:r w:rsidRPr="00234417">
        <w:rPr>
          <w:rStyle w:val="TextoNormalCaracter"/>
        </w:rPr>
        <w:t xml:space="preserve">, f. 3; </w:t>
      </w:r>
      <w:hyperlink w:anchor="AUTO_2013_95" w:history="1">
        <w:r w:rsidRPr="00234417">
          <w:rPr>
            <w:rStyle w:val="TextoNormalCaracter"/>
          </w:rPr>
          <w:t>95/2013</w:t>
        </w:r>
      </w:hyperlink>
      <w:r w:rsidRPr="00234417">
        <w:rPr>
          <w:rStyle w:val="TextoNormalCaracter"/>
        </w:rPr>
        <w:t>, f. 3.</w:t>
      </w:r>
    </w:p>
    <w:p w:rsidR="00234417" w:rsidRPr="00234417" w:rsidRDefault="00234417" w:rsidP="00234417">
      <w:pPr>
        <w:pStyle w:val="TextoNormalSangraFrancesa"/>
        <w:rPr>
          <w:rStyle w:val="TextoNormalCaracter"/>
        </w:rPr>
      </w:pPr>
      <w:bookmarkStart w:id="1512" w:name="DESCRIPTORALFABETICO910"/>
      <w:r w:rsidRPr="00234417">
        <w:rPr>
          <w:rStyle w:val="TextoNormalNegritaCaracter"/>
        </w:rPr>
        <w:t>Declaración de la víctima</w:t>
      </w:r>
      <w:bookmarkEnd w:id="1512"/>
      <w:r w:rsidRPr="00234417">
        <w:rPr>
          <w:rStyle w:val="TextoNormalCaracter"/>
        </w:rPr>
        <w:t xml:space="preserve">, Sentencia </w:t>
      </w:r>
      <w:hyperlink w:anchor="SENTENCIA_2013_57" w:history="1">
        <w:r w:rsidRPr="00234417">
          <w:rPr>
            <w:rStyle w:val="TextoNormalCaracter"/>
          </w:rPr>
          <w:t>57/2013</w:t>
        </w:r>
      </w:hyperlink>
      <w:r w:rsidRPr="00234417">
        <w:rPr>
          <w:rStyle w:val="TextoNormalCaracter"/>
        </w:rPr>
        <w:t>, f. 6.</w:t>
      </w:r>
    </w:p>
    <w:p w:rsidR="00234417" w:rsidRPr="00234417" w:rsidRDefault="00234417" w:rsidP="00234417">
      <w:pPr>
        <w:pStyle w:val="TextoNormalSangraFrancesa"/>
        <w:rPr>
          <w:rStyle w:val="TextoNormalCaracter"/>
        </w:rPr>
      </w:pPr>
      <w:bookmarkStart w:id="1513" w:name="DESCRIPTORALFABETICO268"/>
      <w:r w:rsidRPr="00234417">
        <w:rPr>
          <w:rStyle w:val="TextoNormalNegritaCaracter"/>
        </w:rPr>
        <w:t>Declaración de titularidad de la competencia controvertida</w:t>
      </w:r>
      <w:bookmarkEnd w:id="1513"/>
      <w:r w:rsidRPr="00234417">
        <w:rPr>
          <w:rStyle w:val="TextoNormalCaracter"/>
        </w:rPr>
        <w:t xml:space="preserve">, Sentencias </w:t>
      </w:r>
      <w:hyperlink w:anchor="SENTENCIA_2013_7" w:history="1">
        <w:r w:rsidRPr="00234417">
          <w:rPr>
            <w:rStyle w:val="TextoNormalCaracter"/>
          </w:rPr>
          <w:t>7/2013</w:t>
        </w:r>
      </w:hyperlink>
      <w:r w:rsidRPr="00234417">
        <w:rPr>
          <w:rStyle w:val="TextoNormalCaracter"/>
        </w:rPr>
        <w:t xml:space="preserve">, f. 7; </w:t>
      </w:r>
      <w:hyperlink w:anchor="SENTENCIA_2013_21" w:history="1">
        <w:r w:rsidRPr="00234417">
          <w:rPr>
            <w:rStyle w:val="TextoNormalCaracter"/>
          </w:rPr>
          <w:t>21/2013</w:t>
        </w:r>
      </w:hyperlink>
      <w:r w:rsidRPr="00234417">
        <w:rPr>
          <w:rStyle w:val="TextoNormalCaracter"/>
        </w:rPr>
        <w:t xml:space="preserve">, f. 8; </w:t>
      </w:r>
      <w:hyperlink w:anchor="SENTENCIA_2013_23" w:history="1">
        <w:r w:rsidRPr="00234417">
          <w:rPr>
            <w:rStyle w:val="TextoNormalCaracter"/>
          </w:rPr>
          <w:t>23/2013</w:t>
        </w:r>
      </w:hyperlink>
      <w:r w:rsidRPr="00234417">
        <w:rPr>
          <w:rStyle w:val="TextoNormalCaracter"/>
        </w:rPr>
        <w:t xml:space="preserve">, f. 5; </w:t>
      </w:r>
      <w:hyperlink w:anchor="SENTENCIA_2013_40" w:history="1">
        <w:r w:rsidRPr="00234417">
          <w:rPr>
            <w:rStyle w:val="TextoNormalCaracter"/>
          </w:rPr>
          <w:t>40/2013</w:t>
        </w:r>
      </w:hyperlink>
      <w:r w:rsidRPr="00234417">
        <w:rPr>
          <w:rStyle w:val="TextoNormalCaracter"/>
        </w:rPr>
        <w:t xml:space="preserve">, f. 8; </w:t>
      </w:r>
      <w:hyperlink w:anchor="SENTENCIA_2013_52" w:history="1">
        <w:r w:rsidRPr="00234417">
          <w:rPr>
            <w:rStyle w:val="TextoNormalCaracter"/>
          </w:rPr>
          <w:t>52/2013</w:t>
        </w:r>
      </w:hyperlink>
      <w:r w:rsidRPr="00234417">
        <w:rPr>
          <w:rStyle w:val="TextoNormalCaracter"/>
        </w:rPr>
        <w:t>, f. 8.</w:t>
      </w:r>
    </w:p>
    <w:p w:rsidR="00234417" w:rsidRPr="00234417" w:rsidRDefault="00234417" w:rsidP="00234417">
      <w:pPr>
        <w:pStyle w:val="TextoNormalSangraFrancesa"/>
        <w:rPr>
          <w:rStyle w:val="TextoNormalCaracter"/>
        </w:rPr>
      </w:pPr>
      <w:bookmarkStart w:id="1514" w:name="DESCRIPTORALFABETICO912"/>
      <w:r w:rsidRPr="00234417">
        <w:rPr>
          <w:rStyle w:val="TextoNormalNegritaCaracter"/>
        </w:rPr>
        <w:t>Declaración incriminatoria no ratificada en el juicio oral</w:t>
      </w:r>
      <w:bookmarkEnd w:id="1514"/>
      <w:r w:rsidRPr="00234417">
        <w:rPr>
          <w:rStyle w:val="TextoNormalCaracter"/>
        </w:rPr>
        <w:t xml:space="preserve">, Sentencia </w:t>
      </w:r>
      <w:hyperlink w:anchor="SENTENCIA_2013_53" w:history="1">
        <w:r w:rsidRPr="00234417">
          <w:rPr>
            <w:rStyle w:val="TextoNormalCaracter"/>
          </w:rPr>
          <w:t>53/2013</w:t>
        </w:r>
      </w:hyperlink>
      <w:r w:rsidRPr="00234417">
        <w:rPr>
          <w:rStyle w:val="TextoNormalCaracter"/>
        </w:rPr>
        <w:t>, ff. 1 a 7.</w:t>
      </w:r>
    </w:p>
    <w:p w:rsidR="00234417" w:rsidRPr="00234417" w:rsidRDefault="00234417" w:rsidP="00234417">
      <w:pPr>
        <w:pStyle w:val="TextoNormalSangraFrancesa"/>
        <w:rPr>
          <w:rStyle w:val="TextoNormalCaracter"/>
        </w:rPr>
      </w:pPr>
      <w:bookmarkStart w:id="1515" w:name="DESCRIPTORALFABETICO845"/>
      <w:r w:rsidRPr="00234417">
        <w:rPr>
          <w:rStyle w:val="TextoNormalNegritaCaracter"/>
        </w:rPr>
        <w:t>Declaración testifical</w:t>
      </w:r>
      <w:bookmarkEnd w:id="1515"/>
      <w:r w:rsidRPr="00234417">
        <w:rPr>
          <w:rStyle w:val="TextoNormalCaracter"/>
        </w:rPr>
        <w:t xml:space="preserve">, Sentencia </w:t>
      </w:r>
      <w:hyperlink w:anchor="SENTENCIA_2013_75" w:history="1">
        <w:r w:rsidRPr="00234417">
          <w:rPr>
            <w:rStyle w:val="TextoNormalCaracter"/>
          </w:rPr>
          <w:t>75/2013</w:t>
        </w:r>
      </w:hyperlink>
      <w:r w:rsidRPr="00234417">
        <w:rPr>
          <w:rStyle w:val="TextoNormalCaracter"/>
        </w:rPr>
        <w:t>, ff. 1 a 6.</w:t>
      </w:r>
    </w:p>
    <w:p w:rsidR="00234417" w:rsidRPr="00234417" w:rsidRDefault="00234417" w:rsidP="00234417">
      <w:pPr>
        <w:pStyle w:val="TextoNormalSangraFrancesa"/>
        <w:rPr>
          <w:rStyle w:val="TextoNormalCaracter"/>
        </w:rPr>
      </w:pPr>
      <w:bookmarkStart w:id="1516" w:name="DESCRIPTORALFABETICO914"/>
      <w:r w:rsidRPr="00234417">
        <w:rPr>
          <w:rStyle w:val="TextoNormalNegritaCaracter"/>
        </w:rPr>
        <w:t>Declaraciones de coimputados</w:t>
      </w:r>
      <w:bookmarkEnd w:id="1516"/>
      <w:r w:rsidRPr="00234417">
        <w:rPr>
          <w:rStyle w:val="TextoNormalCaracter"/>
        </w:rPr>
        <w:t xml:space="preserve">, Sentencia </w:t>
      </w:r>
      <w:hyperlink w:anchor="SENTENCIA_2013_53" w:history="1">
        <w:r w:rsidRPr="00234417">
          <w:rPr>
            <w:rStyle w:val="TextoNormalCaracter"/>
          </w:rPr>
          <w:t>53/2013</w:t>
        </w:r>
      </w:hyperlink>
      <w:r w:rsidRPr="00234417">
        <w:rPr>
          <w:rStyle w:val="TextoNormalCaracter"/>
        </w:rPr>
        <w:t>, f. 4.</w:t>
      </w:r>
    </w:p>
    <w:p w:rsidR="00234417" w:rsidRPr="00234417" w:rsidRDefault="00234417" w:rsidP="00234417">
      <w:pPr>
        <w:pStyle w:val="TextoNormalSangraFrancesa"/>
        <w:rPr>
          <w:rStyle w:val="TextoNormalCaracter"/>
        </w:rPr>
      </w:pPr>
      <w:bookmarkStart w:id="1517" w:name="DESCRIPTORALFABETICO913"/>
      <w:r w:rsidRPr="00234417">
        <w:rPr>
          <w:rStyle w:val="TextoNormalNegritaCaracter"/>
        </w:rPr>
        <w:t>Declaraciones heteroincriminatorias</w:t>
      </w:r>
      <w:bookmarkEnd w:id="1517"/>
      <w:r w:rsidRPr="00234417">
        <w:rPr>
          <w:rStyle w:val="TextoNormalCaracter"/>
        </w:rPr>
        <w:t xml:space="preserve">, Sentencia </w:t>
      </w:r>
      <w:hyperlink w:anchor="SENTENCIA_2013_53" w:history="1">
        <w:r w:rsidRPr="00234417">
          <w:rPr>
            <w:rStyle w:val="TextoNormalCaracter"/>
          </w:rPr>
          <w:t>53/2013</w:t>
        </w:r>
      </w:hyperlink>
      <w:r w:rsidRPr="00234417">
        <w:rPr>
          <w:rStyle w:val="TextoNormalCaracter"/>
        </w:rPr>
        <w:t>, f. 4.</w:t>
      </w:r>
    </w:p>
    <w:p w:rsidR="00234417" w:rsidRPr="00234417" w:rsidRDefault="00234417" w:rsidP="00234417">
      <w:pPr>
        <w:pStyle w:val="TextoNormalSangraFrancesa"/>
        <w:rPr>
          <w:rStyle w:val="TextoNormalCaracter"/>
        </w:rPr>
      </w:pPr>
      <w:bookmarkStart w:id="1518" w:name="DESCRIPTORALFABETICO651"/>
      <w:r w:rsidRPr="00234417">
        <w:rPr>
          <w:rStyle w:val="TextoNormalNegritaCaracter"/>
        </w:rPr>
        <w:t>Decretos-leyes</w:t>
      </w:r>
      <w:bookmarkEnd w:id="1518"/>
      <w:r w:rsidRPr="00234417">
        <w:rPr>
          <w:rStyle w:val="TextoNormalCaracter"/>
        </w:rPr>
        <w:t xml:space="preserve">, Sentencias </w:t>
      </w:r>
      <w:hyperlink w:anchor="SENTENCIA_2013_39" w:history="1">
        <w:r w:rsidRPr="00234417">
          <w:rPr>
            <w:rStyle w:val="TextoNormalCaracter"/>
          </w:rPr>
          <w:t>39/2013</w:t>
        </w:r>
      </w:hyperlink>
      <w:r w:rsidRPr="00234417">
        <w:rPr>
          <w:rStyle w:val="TextoNormalCaracter"/>
        </w:rPr>
        <w:t xml:space="preserve">, ff. 3, 5; </w:t>
      </w:r>
      <w:hyperlink w:anchor="SENTENCIA_2013_64" w:history="1">
        <w:r w:rsidRPr="00234417">
          <w:rPr>
            <w:rStyle w:val="TextoNormalCaracter"/>
          </w:rPr>
          <w:t>64/2013</w:t>
        </w:r>
      </w:hyperlink>
      <w:r w:rsidRPr="00234417">
        <w:rPr>
          <w:rStyle w:val="TextoNormalCaracter"/>
        </w:rPr>
        <w:t>, f. 3.</w:t>
      </w:r>
    </w:p>
    <w:p w:rsidR="00234417" w:rsidRPr="00234417" w:rsidRDefault="00234417" w:rsidP="00234417">
      <w:pPr>
        <w:pStyle w:val="TextoNormalSangraFrancesa"/>
        <w:rPr>
          <w:rStyle w:val="TextoNormalNegritaCaracter"/>
        </w:rPr>
      </w:pPr>
      <w:r w:rsidRPr="00234417">
        <w:rPr>
          <w:rStyle w:val="TextoNormalCursivaCaracter"/>
        </w:rPr>
        <w:t>Decretos-leyes ómnibus</w:t>
      </w:r>
      <w:r>
        <w:t xml:space="preserve"> véase </w:t>
      </w:r>
      <w:hyperlink w:anchor="DESCRIPTORALFABETICO694" w:history="1">
        <w:r w:rsidRPr="00234417">
          <w:rPr>
            <w:rStyle w:val="TextoNormalNegritaCaracter"/>
          </w:rPr>
          <w:t>Normas de contenido heterogéneo</w:t>
        </w:r>
      </w:hyperlink>
    </w:p>
    <w:p w:rsidR="00234417" w:rsidRPr="00234417" w:rsidRDefault="00234417" w:rsidP="00234417">
      <w:pPr>
        <w:pStyle w:val="TextoNormalSangraFrancesa"/>
        <w:rPr>
          <w:rStyle w:val="TextoNormalNegritaCaracter"/>
        </w:rPr>
      </w:pPr>
      <w:r w:rsidRPr="00234417">
        <w:rPr>
          <w:rStyle w:val="TextoNormalCursivaCaracter"/>
        </w:rPr>
        <w:t>Decretos-leyes transversales</w:t>
      </w:r>
      <w:r>
        <w:t xml:space="preserve"> véase </w:t>
      </w:r>
      <w:hyperlink w:anchor="DESCRIPTORALFABETICO694" w:history="1">
        <w:r w:rsidRPr="00234417">
          <w:rPr>
            <w:rStyle w:val="TextoNormalNegritaCaracter"/>
          </w:rPr>
          <w:t>Normas de contenido heterogéneo</w:t>
        </w:r>
      </w:hyperlink>
    </w:p>
    <w:p w:rsidR="00234417" w:rsidRPr="00234417" w:rsidRDefault="00234417" w:rsidP="00234417">
      <w:pPr>
        <w:pStyle w:val="TextoNormalSangraFrancesa"/>
        <w:rPr>
          <w:rStyle w:val="TextoNormalCaracter"/>
        </w:rPr>
      </w:pPr>
      <w:bookmarkStart w:id="1519" w:name="DESCRIPTORALFABETICO862"/>
      <w:r w:rsidRPr="00234417">
        <w:rPr>
          <w:rStyle w:val="TextoNormalNegritaCaracter"/>
        </w:rPr>
        <w:t>Defectos de representación procesal</w:t>
      </w:r>
      <w:bookmarkEnd w:id="1519"/>
      <w:r w:rsidRPr="00234417">
        <w:rPr>
          <w:rStyle w:val="TextoNormalCaracter"/>
        </w:rPr>
        <w:t xml:space="preserve">, Sentencia </w:t>
      </w:r>
      <w:hyperlink w:anchor="SENTENCIA_2013_90" w:history="1">
        <w:r w:rsidRPr="00234417">
          <w:rPr>
            <w:rStyle w:val="TextoNormalCaracter"/>
          </w:rPr>
          <w:t>90/2013</w:t>
        </w:r>
      </w:hyperlink>
      <w:r w:rsidRPr="00234417">
        <w:rPr>
          <w:rStyle w:val="TextoNormalCaracter"/>
        </w:rPr>
        <w:t>, f. 4.</w:t>
      </w:r>
    </w:p>
    <w:p w:rsidR="00234417" w:rsidRPr="00234417" w:rsidRDefault="00234417" w:rsidP="00234417">
      <w:pPr>
        <w:pStyle w:val="TextoNormalSangraFrancesa"/>
        <w:rPr>
          <w:rStyle w:val="TextoNormalCaracter"/>
        </w:rPr>
      </w:pPr>
      <w:bookmarkStart w:id="1520" w:name="DESCRIPTORALFABETICO821"/>
      <w:r w:rsidRPr="00234417">
        <w:rPr>
          <w:rStyle w:val="TextoNormalNegritaCaracter"/>
        </w:rPr>
        <w:t>Defectos procesales</w:t>
      </w:r>
      <w:bookmarkEnd w:id="1520"/>
      <w:r w:rsidRPr="00234417">
        <w:rPr>
          <w:rStyle w:val="TextoNormalCaracter"/>
        </w:rPr>
        <w:t xml:space="preserve">, Sentencia </w:t>
      </w:r>
      <w:hyperlink w:anchor="SENTENCIA_2013_90" w:history="1">
        <w:r w:rsidRPr="00234417">
          <w:rPr>
            <w:rStyle w:val="TextoNormalCaracter"/>
          </w:rPr>
          <w:t>90/2013</w:t>
        </w:r>
      </w:hyperlink>
      <w:r w:rsidRPr="00234417">
        <w:rPr>
          <w:rStyle w:val="TextoNormalCaracter"/>
        </w:rPr>
        <w:t>, ff. 2 a 4.</w:t>
      </w:r>
    </w:p>
    <w:p w:rsidR="00234417" w:rsidRPr="00234417" w:rsidRDefault="00234417" w:rsidP="00234417">
      <w:pPr>
        <w:pStyle w:val="TextoNormalSangraFrancesa"/>
        <w:rPr>
          <w:rStyle w:val="TextoNormalCaracter"/>
        </w:rPr>
      </w:pPr>
      <w:bookmarkStart w:id="1521" w:name="DESCRIPTORALFABETICO505"/>
      <w:r w:rsidRPr="00234417">
        <w:rPr>
          <w:rStyle w:val="TextoNormalNegritaCaracter"/>
        </w:rPr>
        <w:t>Defensa de los consumidores</w:t>
      </w:r>
      <w:bookmarkEnd w:id="1521"/>
      <w:r w:rsidRPr="00234417">
        <w:rPr>
          <w:rStyle w:val="TextoNormalCaracter"/>
        </w:rPr>
        <w:t xml:space="preserve">, Auto </w:t>
      </w:r>
      <w:hyperlink w:anchor="AUTO_2013_124" w:history="1">
        <w:r w:rsidRPr="00234417">
          <w:rPr>
            <w:rStyle w:val="TextoNormalCaracter"/>
          </w:rPr>
          <w:t>124/2013</w:t>
        </w:r>
      </w:hyperlink>
      <w:r w:rsidRPr="00234417">
        <w:rPr>
          <w:rStyle w:val="TextoNormalCaracter"/>
        </w:rPr>
        <w:t>, f. 5.</w:t>
      </w:r>
    </w:p>
    <w:p w:rsidR="00234417" w:rsidRPr="00234417" w:rsidRDefault="00234417" w:rsidP="00234417">
      <w:pPr>
        <w:pStyle w:val="TextoNormalSangraFrancesa"/>
        <w:rPr>
          <w:rStyle w:val="TextoNormalCaracter"/>
        </w:rPr>
      </w:pPr>
      <w:bookmarkStart w:id="1522" w:name="DESCRIPTORALFABETICO29"/>
      <w:r w:rsidRPr="00234417">
        <w:rPr>
          <w:rStyle w:val="TextoNormalNegritaCaracter"/>
        </w:rPr>
        <w:t>Delimitación de competencias</w:t>
      </w:r>
      <w:bookmarkEnd w:id="1522"/>
      <w:r w:rsidRPr="00234417">
        <w:rPr>
          <w:rStyle w:val="TextoNormalCaracter"/>
        </w:rPr>
        <w:t xml:space="preserve">, Sentencias </w:t>
      </w:r>
      <w:hyperlink w:anchor="SENTENCIA_2013_14" w:history="1">
        <w:r w:rsidRPr="00234417">
          <w:rPr>
            <w:rStyle w:val="TextoNormalCaracter"/>
          </w:rPr>
          <w:t>14/2013</w:t>
        </w:r>
      </w:hyperlink>
      <w:r w:rsidRPr="00234417">
        <w:rPr>
          <w:rStyle w:val="TextoNormalCaracter"/>
        </w:rPr>
        <w:t xml:space="preserve">, f. 2; </w:t>
      </w:r>
      <w:hyperlink w:anchor="SENTENCIA_2013_38" w:history="1">
        <w:r w:rsidRPr="00234417">
          <w:rPr>
            <w:rStyle w:val="TextoNormalCaracter"/>
          </w:rPr>
          <w:t>38/2013</w:t>
        </w:r>
      </w:hyperlink>
      <w:r w:rsidRPr="00234417">
        <w:rPr>
          <w:rStyle w:val="TextoNormalCaracter"/>
        </w:rPr>
        <w:t xml:space="preserve">, f. 2; </w:t>
      </w:r>
      <w:hyperlink w:anchor="SENTENCIA_2013_60" w:history="1">
        <w:r w:rsidRPr="00234417">
          <w:rPr>
            <w:rStyle w:val="TextoNormalCaracter"/>
          </w:rPr>
          <w:t>60/2013</w:t>
        </w:r>
      </w:hyperlink>
      <w:r w:rsidRPr="00234417">
        <w:rPr>
          <w:rStyle w:val="TextoNormalCaracter"/>
        </w:rPr>
        <w:t>, f. 2.</w:t>
      </w:r>
    </w:p>
    <w:p w:rsidR="00234417" w:rsidRPr="00234417" w:rsidRDefault="00234417" w:rsidP="00234417">
      <w:pPr>
        <w:pStyle w:val="TextoNormalSangraFrancesa"/>
        <w:rPr>
          <w:rStyle w:val="TextoNormalCaracter"/>
        </w:rPr>
      </w:pPr>
      <w:bookmarkStart w:id="1523" w:name="DESCRIPTORALFABETICO793"/>
      <w:r w:rsidRPr="00234417">
        <w:rPr>
          <w:rStyle w:val="TextoNormalNegritaCaracter"/>
        </w:rPr>
        <w:lastRenderedPageBreak/>
        <w:t>Delimitación de competencias judiciales</w:t>
      </w:r>
      <w:bookmarkEnd w:id="1523"/>
      <w:r w:rsidRPr="00234417">
        <w:rPr>
          <w:rStyle w:val="TextoNormalCaracter"/>
        </w:rPr>
        <w:t xml:space="preserve">, Sentencia </w:t>
      </w:r>
      <w:hyperlink w:anchor="SENTENCIA_2013_121" w:history="1">
        <w:r w:rsidRPr="00234417">
          <w:rPr>
            <w:rStyle w:val="TextoNormalCaracter"/>
          </w:rPr>
          <w:t>121/2013</w:t>
        </w:r>
      </w:hyperlink>
      <w:r w:rsidRPr="00234417">
        <w:rPr>
          <w:rStyle w:val="TextoNormalCaracter"/>
        </w:rPr>
        <w:t>, f. 4.</w:t>
      </w:r>
    </w:p>
    <w:p w:rsidR="00234417" w:rsidRPr="00234417" w:rsidRDefault="00234417" w:rsidP="00234417">
      <w:pPr>
        <w:pStyle w:val="TextoNormalSangraFrancesa"/>
        <w:rPr>
          <w:rStyle w:val="TextoNormalCaracter"/>
        </w:rPr>
      </w:pPr>
      <w:bookmarkStart w:id="1524" w:name="DESCRIPTORALFABETICO467"/>
      <w:r w:rsidRPr="00234417">
        <w:rPr>
          <w:rStyle w:val="TextoNormalNegritaCaracter"/>
        </w:rPr>
        <w:t>Delimitación del territorio de la Comunidad Autónoma</w:t>
      </w:r>
      <w:bookmarkEnd w:id="1524"/>
      <w:r w:rsidRPr="00234417">
        <w:rPr>
          <w:rStyle w:val="TextoNormalCaracter"/>
        </w:rPr>
        <w:t xml:space="preserve">, Sentencia </w:t>
      </w:r>
      <w:hyperlink w:anchor="SENTENCIA_2013_87" w:history="1">
        <w:r w:rsidRPr="00234417">
          <w:rPr>
            <w:rStyle w:val="TextoNormalCaracter"/>
          </w:rPr>
          <w:t>87/2013</w:t>
        </w:r>
      </w:hyperlink>
      <w:r w:rsidRPr="00234417">
        <w:rPr>
          <w:rStyle w:val="TextoNormalCaracter"/>
        </w:rPr>
        <w:t>, f. 2.</w:t>
      </w:r>
    </w:p>
    <w:p w:rsidR="00234417" w:rsidRPr="00234417" w:rsidRDefault="00234417" w:rsidP="00234417">
      <w:pPr>
        <w:pStyle w:val="TextoNormalSangraFrancesa"/>
        <w:rPr>
          <w:rStyle w:val="TextoNormalCaracter"/>
        </w:rPr>
      </w:pPr>
      <w:bookmarkStart w:id="1525" w:name="DESCRIPTORALFABETICO598"/>
      <w:r w:rsidRPr="00234417">
        <w:rPr>
          <w:rStyle w:val="TextoNormalNegritaCaracter"/>
        </w:rPr>
        <w:t>Delitos contra la ordenación del territorio</w:t>
      </w:r>
      <w:bookmarkEnd w:id="1525"/>
      <w:r w:rsidRPr="00234417">
        <w:rPr>
          <w:rStyle w:val="TextoNormalCaracter"/>
        </w:rPr>
        <w:t xml:space="preserve">, Sentencia </w:t>
      </w:r>
      <w:hyperlink w:anchor="SENTENCIA_2013_105" w:history="1">
        <w:r w:rsidRPr="00234417">
          <w:rPr>
            <w:rStyle w:val="TextoNormalCaracter"/>
          </w:rPr>
          <w:t>105/2013</w:t>
        </w:r>
      </w:hyperlink>
      <w:r w:rsidRPr="00234417">
        <w:rPr>
          <w:rStyle w:val="TextoNormalCaracter"/>
        </w:rPr>
        <w:t>, ff. 1, 6.</w:t>
      </w:r>
    </w:p>
    <w:p w:rsidR="00234417" w:rsidRPr="00234417" w:rsidRDefault="00234417" w:rsidP="00234417">
      <w:pPr>
        <w:pStyle w:val="TextoNormalSangraFrancesa"/>
        <w:rPr>
          <w:rStyle w:val="TextoNormalCaracter"/>
        </w:rPr>
      </w:pPr>
      <w:bookmarkStart w:id="1526" w:name="DESCRIPTORALFABETICO599"/>
      <w:r w:rsidRPr="00234417">
        <w:rPr>
          <w:rStyle w:val="TextoNormalNegritaCaracter"/>
        </w:rPr>
        <w:t>Delitos contra la salud pública</w:t>
      </w:r>
      <w:bookmarkEnd w:id="1526"/>
      <w:r w:rsidRPr="00234417">
        <w:rPr>
          <w:rStyle w:val="TextoNormalCaracter"/>
        </w:rPr>
        <w:t xml:space="preserve">, Sentencia </w:t>
      </w:r>
      <w:hyperlink w:anchor="SENTENCIA_2013_115" w:history="1">
        <w:r w:rsidRPr="00234417">
          <w:rPr>
            <w:rStyle w:val="TextoNormalCaracter"/>
          </w:rPr>
          <w:t>115/2013</w:t>
        </w:r>
      </w:hyperlink>
      <w:r w:rsidRPr="00234417">
        <w:rPr>
          <w:rStyle w:val="TextoNormalCaracter"/>
        </w:rPr>
        <w:t>, f. 1.</w:t>
      </w:r>
    </w:p>
    <w:p w:rsidR="00234417" w:rsidRPr="00234417" w:rsidRDefault="00234417" w:rsidP="00234417">
      <w:pPr>
        <w:pStyle w:val="TextoNormalSangraFrancesa"/>
        <w:rPr>
          <w:rStyle w:val="TextoNormalCaracter"/>
        </w:rPr>
      </w:pPr>
      <w:bookmarkStart w:id="1527" w:name="DESCRIPTORALFABETICO600"/>
      <w:r w:rsidRPr="00234417">
        <w:rPr>
          <w:rStyle w:val="TextoNormalNegritaCaracter"/>
        </w:rPr>
        <w:t>Delitos contra los derechos de los trabajadores</w:t>
      </w:r>
      <w:bookmarkEnd w:id="1527"/>
      <w:r w:rsidRPr="00234417">
        <w:rPr>
          <w:rStyle w:val="TextoNormalCaracter"/>
        </w:rPr>
        <w:t xml:space="preserve">, Sentencias </w:t>
      </w:r>
      <w:hyperlink w:anchor="SENTENCIA_2013_43" w:history="1">
        <w:r w:rsidRPr="00234417">
          <w:rPr>
            <w:rStyle w:val="TextoNormalCaracter"/>
          </w:rPr>
          <w:t>43/2013</w:t>
        </w:r>
      </w:hyperlink>
      <w:r w:rsidRPr="00234417">
        <w:rPr>
          <w:rStyle w:val="TextoNormalCaracter"/>
        </w:rPr>
        <w:t xml:space="preserve">, ff. 1 a 6; </w:t>
      </w:r>
      <w:hyperlink w:anchor="SENTENCIA_2013_118" w:history="1">
        <w:r w:rsidRPr="00234417">
          <w:rPr>
            <w:rStyle w:val="TextoNormalCaracter"/>
          </w:rPr>
          <w:t>118/2013</w:t>
        </w:r>
      </w:hyperlink>
      <w:r w:rsidRPr="00234417">
        <w:rPr>
          <w:rStyle w:val="TextoNormalCaracter"/>
        </w:rPr>
        <w:t xml:space="preserve">, ff. 1, 2 a 4; </w:t>
      </w:r>
      <w:hyperlink w:anchor="SENTENCIA_2013_119" w:history="1">
        <w:r w:rsidRPr="00234417">
          <w:rPr>
            <w:rStyle w:val="TextoNormalCaracter"/>
          </w:rPr>
          <w:t>119/2013</w:t>
        </w:r>
      </w:hyperlink>
      <w:r w:rsidRPr="00234417">
        <w:rPr>
          <w:rStyle w:val="TextoNormalCaracter"/>
        </w:rPr>
        <w:t xml:space="preserve">, ff. 1, 2 a 4; </w:t>
      </w:r>
      <w:hyperlink w:anchor="SENTENCIA_2013_120" w:history="1">
        <w:r w:rsidRPr="00234417">
          <w:rPr>
            <w:rStyle w:val="TextoNormalCaracter"/>
          </w:rPr>
          <w:t>120/2013</w:t>
        </w:r>
      </w:hyperlink>
      <w:r w:rsidRPr="00234417">
        <w:rPr>
          <w:rStyle w:val="TextoNormalCaracter"/>
        </w:rPr>
        <w:t>, ff. 1, 2 a 4.</w:t>
      </w:r>
    </w:p>
    <w:p w:rsidR="00234417" w:rsidRPr="00234417" w:rsidRDefault="00234417" w:rsidP="00234417">
      <w:pPr>
        <w:pStyle w:val="TextoNormalSangraFrancesa"/>
        <w:rPr>
          <w:rStyle w:val="TextoNormalCaracter"/>
        </w:rPr>
      </w:pPr>
      <w:bookmarkStart w:id="1528" w:name="DESCRIPTORALFABETICO482"/>
      <w:r w:rsidRPr="00234417">
        <w:rPr>
          <w:rStyle w:val="TextoNormalNegritaCaracter"/>
        </w:rPr>
        <w:t>Demarcaciones hidrográficas</w:t>
      </w:r>
      <w:bookmarkEnd w:id="1528"/>
      <w:r w:rsidRPr="00234417">
        <w:rPr>
          <w:rStyle w:val="TextoNormalCaracter"/>
        </w:rPr>
        <w:t xml:space="preserve">, Sentencias </w:t>
      </w:r>
      <w:hyperlink w:anchor="SENTENCIA_2013_36" w:history="1">
        <w:r w:rsidRPr="00234417">
          <w:rPr>
            <w:rStyle w:val="TextoNormalCaracter"/>
          </w:rPr>
          <w:t>36/2013</w:t>
        </w:r>
      </w:hyperlink>
      <w:r w:rsidRPr="00234417">
        <w:rPr>
          <w:rStyle w:val="TextoNormalCaracter"/>
        </w:rPr>
        <w:t xml:space="preserve">, ff. 2, 8; </w:t>
      </w:r>
      <w:hyperlink w:anchor="SENTENCIA_2013_104" w:history="1">
        <w:r w:rsidRPr="00234417">
          <w:rPr>
            <w:rStyle w:val="TextoNormalCaracter"/>
          </w:rPr>
          <w:t>104/2013</w:t>
        </w:r>
      </w:hyperlink>
      <w:r w:rsidRPr="00234417">
        <w:rPr>
          <w:rStyle w:val="TextoNormalCaracter"/>
        </w:rPr>
        <w:t>, f. 9.</w:t>
      </w:r>
    </w:p>
    <w:p w:rsidR="00234417" w:rsidRPr="00234417" w:rsidRDefault="00234417" w:rsidP="00234417">
      <w:pPr>
        <w:pStyle w:val="TextoNormalSangraFrancesa"/>
        <w:rPr>
          <w:rStyle w:val="TextoNormalCaracter"/>
        </w:rPr>
      </w:pPr>
      <w:bookmarkStart w:id="1529" w:name="DESCRIPTORALFABETICO630"/>
      <w:r w:rsidRPr="00234417">
        <w:rPr>
          <w:rStyle w:val="TextoNormalNegritaCaracter"/>
        </w:rPr>
        <w:t>Demolición</w:t>
      </w:r>
      <w:bookmarkEnd w:id="1529"/>
      <w:r w:rsidRPr="00234417">
        <w:rPr>
          <w:rStyle w:val="TextoNormalCaracter"/>
        </w:rPr>
        <w:t xml:space="preserve">, Sentencia </w:t>
      </w:r>
      <w:hyperlink w:anchor="SENTENCIA_2013_92" w:history="1">
        <w:r w:rsidRPr="00234417">
          <w:rPr>
            <w:rStyle w:val="TextoNormalCaracter"/>
          </w:rPr>
          <w:t>92/2013</w:t>
        </w:r>
      </w:hyperlink>
      <w:r w:rsidRPr="00234417">
        <w:rPr>
          <w:rStyle w:val="TextoNormalCaracter"/>
        </w:rPr>
        <w:t>, f. 5.</w:t>
      </w:r>
    </w:p>
    <w:p w:rsidR="00234417" w:rsidRPr="00234417" w:rsidRDefault="00234417" w:rsidP="00234417">
      <w:pPr>
        <w:pStyle w:val="TextoNormalSangraFrancesa"/>
        <w:rPr>
          <w:rStyle w:val="TextoNormalNegritaCaracter"/>
        </w:rPr>
      </w:pPr>
      <w:r w:rsidRPr="00234417">
        <w:rPr>
          <w:rStyle w:val="TextoNormalCursivaCaracter"/>
        </w:rPr>
        <w:t>Demora procesal</w:t>
      </w:r>
      <w:r>
        <w:t xml:space="preserve"> véase </w:t>
      </w:r>
      <w:hyperlink w:anchor="DESCRIPTORALFABETICO823" w:history="1">
        <w:r w:rsidRPr="00234417">
          <w:rPr>
            <w:rStyle w:val="TextoNormalNegritaCaracter"/>
          </w:rPr>
          <w:t>Dilaciones indebidas en el procedimiento</w:t>
        </w:r>
      </w:hyperlink>
    </w:p>
    <w:p w:rsidR="00234417" w:rsidRPr="00234417" w:rsidRDefault="00234417" w:rsidP="00234417">
      <w:pPr>
        <w:pStyle w:val="TextoNormalSangraFrancesa"/>
        <w:rPr>
          <w:rStyle w:val="TextoNormalCaracter"/>
        </w:rPr>
      </w:pPr>
      <w:bookmarkStart w:id="1530" w:name="DESCRIPTORALFABETICO834"/>
      <w:r w:rsidRPr="00234417">
        <w:rPr>
          <w:rStyle w:val="TextoNormalNegritaCaracter"/>
        </w:rPr>
        <w:t>Denegación de personación</w:t>
      </w:r>
      <w:bookmarkEnd w:id="1530"/>
      <w:r w:rsidRPr="00234417">
        <w:rPr>
          <w:rStyle w:val="TextoNormalCaracter"/>
        </w:rPr>
        <w:t xml:space="preserve">, Auto </w:t>
      </w:r>
      <w:hyperlink w:anchor="AUTO_2013_47" w:history="1">
        <w:r w:rsidRPr="00234417">
          <w:rPr>
            <w:rStyle w:val="TextoNormalCaracter"/>
          </w:rPr>
          <w:t>47/2013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531" w:name="DESCRIPTORALFABETICO404"/>
      <w:r w:rsidRPr="00234417">
        <w:rPr>
          <w:rStyle w:val="TextoNormalNegritaCaracter"/>
        </w:rPr>
        <w:t>Denegación de planteamiento de cuestión prejudicial ante el TJUE</w:t>
      </w:r>
      <w:bookmarkEnd w:id="1531"/>
      <w:r w:rsidRPr="00234417">
        <w:rPr>
          <w:rStyle w:val="TextoNormalCaracter"/>
        </w:rPr>
        <w:t xml:space="preserve">, Sentencias </w:t>
      </w:r>
      <w:hyperlink w:anchor="SENTENCIA_2013_27" w:history="1">
        <w:r w:rsidRPr="00234417">
          <w:rPr>
            <w:rStyle w:val="TextoNormalCaracter"/>
          </w:rPr>
          <w:t>27/2013</w:t>
        </w:r>
      </w:hyperlink>
      <w:r w:rsidRPr="00234417">
        <w:rPr>
          <w:rStyle w:val="TextoNormalCaracter"/>
        </w:rPr>
        <w:t xml:space="preserve">, ff. 6, 7, 8; </w:t>
      </w:r>
      <w:hyperlink w:anchor="SENTENCIA_2013_127" w:history="1">
        <w:r w:rsidRPr="00234417">
          <w:rPr>
            <w:rStyle w:val="TextoNormalCaracter"/>
          </w:rPr>
          <w:t>127/2013</w:t>
        </w:r>
      </w:hyperlink>
      <w:r w:rsidRPr="00234417">
        <w:rPr>
          <w:rStyle w:val="TextoNormalCaracter"/>
        </w:rPr>
        <w:t>, f. 7.</w:t>
      </w:r>
    </w:p>
    <w:p w:rsidR="00234417" w:rsidRPr="00234417" w:rsidRDefault="00234417" w:rsidP="00234417">
      <w:pPr>
        <w:pStyle w:val="TextoNormalSangraFrancesa"/>
        <w:rPr>
          <w:rStyle w:val="TextoNormalCaracter"/>
        </w:rPr>
      </w:pPr>
      <w:bookmarkStart w:id="1532" w:name="DESCRIPTORALFABETICO835"/>
      <w:r w:rsidRPr="00234417">
        <w:rPr>
          <w:rStyle w:val="TextoNormalNegritaCaracter"/>
        </w:rPr>
        <w:t>Denegación de prueba</w:t>
      </w:r>
      <w:bookmarkEnd w:id="1532"/>
      <w:r w:rsidRPr="00234417">
        <w:rPr>
          <w:rStyle w:val="TextoNormalCaracter"/>
        </w:rPr>
        <w:t xml:space="preserve">, Auto </w:t>
      </w:r>
      <w:hyperlink w:anchor="AUTO_2013_35" w:history="1">
        <w:r w:rsidRPr="00234417">
          <w:rPr>
            <w:rStyle w:val="TextoNormalCaracter"/>
          </w:rPr>
          <w:t>35/2013</w:t>
        </w:r>
      </w:hyperlink>
      <w:r w:rsidRPr="00234417">
        <w:rPr>
          <w:rStyle w:val="TextoNormalCaracter"/>
        </w:rPr>
        <w:t>, f. 3.</w:t>
      </w:r>
    </w:p>
    <w:p w:rsidR="00234417" w:rsidRPr="00234417" w:rsidRDefault="00234417" w:rsidP="00234417">
      <w:pPr>
        <w:pStyle w:val="TextoNormalSangraFrancesa"/>
        <w:rPr>
          <w:rStyle w:val="TextoNormalCaracter"/>
        </w:rPr>
      </w:pPr>
      <w:bookmarkStart w:id="1533" w:name="DESCRIPTORALFABETICO488"/>
      <w:r w:rsidRPr="00234417">
        <w:rPr>
          <w:rStyle w:val="TextoNormalNegritaCaracter"/>
        </w:rPr>
        <w:t>Denominaciones de origen</w:t>
      </w:r>
      <w:bookmarkEnd w:id="1533"/>
      <w:r w:rsidRPr="00234417">
        <w:rPr>
          <w:rStyle w:val="TextoNormalCaracter"/>
        </w:rPr>
        <w:t xml:space="preserve">, Sentencias </w:t>
      </w:r>
      <w:hyperlink w:anchor="SENTENCIA_2013_34" w:history="1">
        <w:r w:rsidRPr="00234417">
          <w:rPr>
            <w:rStyle w:val="TextoNormalCaracter"/>
          </w:rPr>
          <w:t>34/2013</w:t>
        </w:r>
      </w:hyperlink>
      <w:r w:rsidRPr="00234417">
        <w:rPr>
          <w:rStyle w:val="TextoNormalCaracter"/>
        </w:rPr>
        <w:t xml:space="preserve">, ff. 3, 4, 5, 6, 7, 8, 9, 13, 16, 19, 20, VP; </w:t>
      </w:r>
      <w:hyperlink w:anchor="SENTENCIA_2013_82" w:history="1">
        <w:r w:rsidRPr="00234417">
          <w:rPr>
            <w:rStyle w:val="TextoNormalCaracter"/>
          </w:rPr>
          <w:t>82/2013</w:t>
        </w:r>
      </w:hyperlink>
      <w:r w:rsidRPr="00234417">
        <w:rPr>
          <w:rStyle w:val="TextoNormalCaracter"/>
        </w:rPr>
        <w:t>, ff. 3, 4, 5, 6.</w:t>
      </w:r>
    </w:p>
    <w:p w:rsidR="00234417" w:rsidRPr="00234417" w:rsidRDefault="00234417" w:rsidP="00234417">
      <w:pPr>
        <w:pStyle w:val="TextoNormalSangraFrancesa"/>
        <w:rPr>
          <w:rStyle w:val="TextoNormalCaracter"/>
        </w:rPr>
      </w:pPr>
      <w:bookmarkStart w:id="1534" w:name="DESCRIPTORALFABETICO131"/>
      <w:r w:rsidRPr="00234417">
        <w:rPr>
          <w:rStyle w:val="TextoNormalNegritaCaracter"/>
        </w:rPr>
        <w:t>Derecho a acceder a los cargos públicos</w:t>
      </w:r>
      <w:bookmarkEnd w:id="1534"/>
      <w:r w:rsidRPr="00234417">
        <w:rPr>
          <w:rStyle w:val="TextoNormalCaracter"/>
        </w:rPr>
        <w:t xml:space="preserve">, Sentencia </w:t>
      </w:r>
      <w:hyperlink w:anchor="SENTENCIA_2013_125" w:history="1">
        <w:r w:rsidRPr="00234417">
          <w:rPr>
            <w:rStyle w:val="TextoNormalCaracter"/>
          </w:rPr>
          <w:t>125/2013</w:t>
        </w:r>
      </w:hyperlink>
      <w:r w:rsidRPr="00234417">
        <w:rPr>
          <w:rStyle w:val="TextoNormalCaracter"/>
        </w:rPr>
        <w:t>, ff. 4 a 8.</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 </w:t>
      </w:r>
      <w:hyperlink w:anchor="SENTENCIA_2013_133" w:history="1">
        <w:r w:rsidRPr="00234417">
          <w:rPr>
            <w:rStyle w:val="TextoNormalCaracter"/>
          </w:rPr>
          <w:t>133/2013</w:t>
        </w:r>
      </w:hyperlink>
      <w:r w:rsidRPr="00234417">
        <w:rPr>
          <w:rStyle w:val="TextoNormalCaracter"/>
        </w:rPr>
        <w:t>, f. 4.</w:t>
      </w:r>
    </w:p>
    <w:p w:rsidR="00234417" w:rsidRPr="00234417" w:rsidRDefault="00234417" w:rsidP="00234417">
      <w:pPr>
        <w:pStyle w:val="TextoNormalSangraFrancesa"/>
        <w:rPr>
          <w:rStyle w:val="TextoNormalCaracter"/>
        </w:rPr>
      </w:pPr>
      <w:bookmarkStart w:id="1535" w:name="DESCRIPTORALFABETICO134"/>
      <w:r w:rsidRPr="00234417">
        <w:rPr>
          <w:rStyle w:val="TextoNormalNegritaCaracter"/>
        </w:rPr>
        <w:t>Derecho a contraer matrimonio</w:t>
      </w:r>
      <w:bookmarkEnd w:id="1535"/>
      <w:r w:rsidRPr="00234417">
        <w:rPr>
          <w:rStyle w:val="TextoNormalCaracter"/>
        </w:rPr>
        <w:t xml:space="preserve">, Sentencia </w:t>
      </w:r>
      <w:hyperlink w:anchor="SENTENCIA_2013_93" w:history="1">
        <w:r w:rsidRPr="00234417">
          <w:rPr>
            <w:rStyle w:val="TextoNormalCaracter"/>
          </w:rPr>
          <w:t>93/2013</w:t>
        </w:r>
      </w:hyperlink>
      <w:r w:rsidRPr="00234417">
        <w:rPr>
          <w:rStyle w:val="TextoNormalCaracter"/>
        </w:rPr>
        <w:t>, ff. 5, 7.</w:t>
      </w:r>
    </w:p>
    <w:p w:rsidR="00234417" w:rsidRPr="00234417" w:rsidRDefault="00234417" w:rsidP="00234417">
      <w:pPr>
        <w:pStyle w:val="TextoNormalSangraFrancesa"/>
        <w:rPr>
          <w:rStyle w:val="TextoNormalCaracter"/>
        </w:rPr>
      </w:pPr>
      <w:bookmarkStart w:id="1536" w:name="DESCRIPTORALFABETICO132"/>
      <w:r w:rsidRPr="00234417">
        <w:rPr>
          <w:rStyle w:val="TextoNormalNegritaCaracter"/>
        </w:rPr>
        <w:t>Derecho a ejercer los cargos públicos</w:t>
      </w:r>
      <w:bookmarkEnd w:id="1536"/>
      <w:r w:rsidRPr="00234417">
        <w:rPr>
          <w:rStyle w:val="TextoNormalCaracter"/>
        </w:rPr>
        <w:t xml:space="preserve">, Sentencia </w:t>
      </w:r>
      <w:hyperlink w:anchor="SENTENCIA_2013_68" w:history="1">
        <w:r w:rsidRPr="00234417">
          <w:rPr>
            <w:rStyle w:val="TextoNormalCaracter"/>
          </w:rPr>
          <w:t>68/2013</w:t>
        </w:r>
      </w:hyperlink>
      <w:r w:rsidRPr="00234417">
        <w:rPr>
          <w:rStyle w:val="TextoNormalCaracter"/>
        </w:rPr>
        <w:t>, f. 2.</w:t>
      </w:r>
    </w:p>
    <w:p w:rsidR="00234417" w:rsidRPr="00234417" w:rsidRDefault="00234417" w:rsidP="00234417">
      <w:pPr>
        <w:pStyle w:val="TextoNormalSangraFrancesa"/>
        <w:rPr>
          <w:rStyle w:val="TextoNormalCaracter"/>
        </w:rPr>
      </w:pPr>
      <w:bookmarkStart w:id="1537" w:name="DESCRIPTORALFABETICO188"/>
      <w:r w:rsidRPr="00234417">
        <w:rPr>
          <w:rStyle w:val="TextoNormalNegritaCaracter"/>
        </w:rPr>
        <w:t>Derecho a interrogar a los testigos</w:t>
      </w:r>
      <w:bookmarkEnd w:id="1537"/>
      <w:r w:rsidRPr="00234417">
        <w:rPr>
          <w:rStyle w:val="TextoNormalCaracter"/>
        </w:rPr>
        <w:t xml:space="preserve">, Sentencia </w:t>
      </w:r>
      <w:hyperlink w:anchor="SENTENCIA_2013_75" w:history="1">
        <w:r w:rsidRPr="00234417">
          <w:rPr>
            <w:rStyle w:val="TextoNormalCaracter"/>
          </w:rPr>
          <w:t>75/2013</w:t>
        </w:r>
      </w:hyperlink>
      <w:r w:rsidRPr="00234417">
        <w:rPr>
          <w:rStyle w:val="TextoNormalCaracter"/>
        </w:rPr>
        <w:t>, ff. 4, 5.</w:t>
      </w:r>
    </w:p>
    <w:p w:rsidR="00234417" w:rsidRPr="00234417" w:rsidRDefault="00234417" w:rsidP="00234417">
      <w:pPr>
        <w:pStyle w:val="TextoNormalSangraFrancesa"/>
        <w:rPr>
          <w:rStyle w:val="TextoNormalNegritaCaracter"/>
        </w:rPr>
      </w:pPr>
      <w:r w:rsidRPr="00234417">
        <w:rPr>
          <w:rStyle w:val="TextoNormalCursivaCaracter"/>
        </w:rPr>
        <w:t>Derecho a intervenir en la gestión del centro</w:t>
      </w:r>
      <w:r>
        <w:t xml:space="preserve"> véase </w:t>
      </w:r>
      <w:hyperlink w:anchor="DESCRIPTORALFABETICO521" w:history="1">
        <w:r w:rsidRPr="00234417">
          <w:rPr>
            <w:rStyle w:val="TextoNormalNegritaCaracter"/>
          </w:rPr>
          <w:t>Intervención de los profesores en la gestión de centros docentes</w:t>
        </w:r>
      </w:hyperlink>
    </w:p>
    <w:p w:rsidR="00234417" w:rsidRPr="00234417" w:rsidRDefault="00234417" w:rsidP="00234417">
      <w:pPr>
        <w:pStyle w:val="TextoNormalSangraFrancesa"/>
        <w:rPr>
          <w:rStyle w:val="TextoNormalCaracter"/>
        </w:rPr>
      </w:pPr>
      <w:bookmarkStart w:id="1538" w:name="DESCRIPTORALFABETICO189"/>
      <w:r w:rsidRPr="00234417">
        <w:rPr>
          <w:rStyle w:val="TextoNormalNegritaCaracter"/>
        </w:rPr>
        <w:t>Derecho a la asistencia letrada</w:t>
      </w:r>
      <w:bookmarkEnd w:id="1538"/>
      <w:r w:rsidRPr="00234417">
        <w:rPr>
          <w:rStyle w:val="TextoNormalCaracter"/>
        </w:rPr>
        <w:t xml:space="preserve">, Auto </w:t>
      </w:r>
      <w:hyperlink w:anchor="AUTO_2013_46" w:history="1">
        <w:r w:rsidRPr="00234417">
          <w:rPr>
            <w:rStyle w:val="TextoNormalCaracter"/>
          </w:rPr>
          <w:t>46/2013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1539" w:name="DESCRIPTORALFABETICO135"/>
      <w:r w:rsidRPr="00234417">
        <w:rPr>
          <w:rStyle w:val="TextoNormalNegritaCaracter"/>
        </w:rPr>
        <w:t>Derecho a la autonomía universitaria</w:t>
      </w:r>
      <w:bookmarkEnd w:id="1539"/>
      <w:r w:rsidRPr="00234417">
        <w:rPr>
          <w:rStyle w:val="TextoNormalCaracter"/>
        </w:rPr>
        <w:t xml:space="preserve">, Sentencias </w:t>
      </w:r>
      <w:hyperlink w:anchor="SENTENCIA_2013_131" w:history="1">
        <w:r w:rsidRPr="00234417">
          <w:rPr>
            <w:rStyle w:val="TextoNormalCaracter"/>
          </w:rPr>
          <w:t>131/2013</w:t>
        </w:r>
      </w:hyperlink>
      <w:r w:rsidRPr="00234417">
        <w:rPr>
          <w:rStyle w:val="TextoNormalCaracter"/>
        </w:rPr>
        <w:t xml:space="preserve">, ff. 2, 3, 4, 5, 8, 9, 10, VP I, VP II, VP III, VP IV, VP V; </w:t>
      </w:r>
      <w:hyperlink w:anchor="SENTENCIA_2013_134" w:history="1">
        <w:r w:rsidRPr="00234417">
          <w:rPr>
            <w:rStyle w:val="TextoNormalCaracter"/>
          </w:rPr>
          <w:t>134/2013</w:t>
        </w:r>
      </w:hyperlink>
      <w:r w:rsidRPr="00234417">
        <w:rPr>
          <w:rStyle w:val="TextoNormalCaracter"/>
        </w:rPr>
        <w:t>, ff. 5, 8.</w:t>
      </w:r>
    </w:p>
    <w:p w:rsidR="00234417" w:rsidRPr="00234417" w:rsidRDefault="00234417" w:rsidP="00234417">
      <w:pPr>
        <w:pStyle w:val="TextoNormalSangraFrancesa"/>
        <w:rPr>
          <w:rStyle w:val="TextoNormalCaracter"/>
        </w:rPr>
      </w:pPr>
      <w:bookmarkStart w:id="1540" w:name="DESCRIPTORALFABETICO187"/>
      <w:r w:rsidRPr="00234417">
        <w:rPr>
          <w:rStyle w:val="TextoNormalNegritaCaracter"/>
        </w:rPr>
        <w:t>Derecho a la defensa</w:t>
      </w:r>
      <w:bookmarkEnd w:id="1540"/>
      <w:r w:rsidRPr="00234417">
        <w:rPr>
          <w:rStyle w:val="TextoNormalCaracter"/>
        </w:rPr>
        <w:t xml:space="preserve">, Sentencia </w:t>
      </w:r>
      <w:hyperlink w:anchor="SENTENCIA_2013_79" w:history="1">
        <w:r w:rsidRPr="00234417">
          <w:rPr>
            <w:rStyle w:val="TextoNormalCaracter"/>
          </w:rPr>
          <w:t>79/2013</w:t>
        </w:r>
      </w:hyperlink>
      <w:r w:rsidRPr="00234417">
        <w:rPr>
          <w:rStyle w:val="TextoNormalCaracter"/>
        </w:rPr>
        <w:t>, f. 3.</w:t>
      </w:r>
    </w:p>
    <w:p w:rsidR="00234417" w:rsidRPr="00234417" w:rsidRDefault="00234417" w:rsidP="00234417">
      <w:pPr>
        <w:pStyle w:val="TextoNormalSangraFrancesa"/>
        <w:rPr>
          <w:rStyle w:val="TextoNormalNegritaCaracter"/>
        </w:rPr>
      </w:pPr>
      <w:r w:rsidRPr="00234417">
        <w:rPr>
          <w:rStyle w:val="TextoNormalCursivaCaracter"/>
        </w:rPr>
        <w:t>Derecho a la defensa contradictoria entre las partes</w:t>
      </w:r>
      <w:r>
        <w:t xml:space="preserve"> véase </w:t>
      </w:r>
      <w:hyperlink w:anchor="DESCRIPTORALFABETICO869" w:history="1">
        <w:r w:rsidRPr="00234417">
          <w:rPr>
            <w:rStyle w:val="TextoNormalNegritaCaracter"/>
          </w:rPr>
          <w:t>Principio de contradicción</w:t>
        </w:r>
      </w:hyperlink>
    </w:p>
    <w:p w:rsidR="00234417" w:rsidRPr="00234417" w:rsidRDefault="00234417" w:rsidP="00234417">
      <w:pPr>
        <w:pStyle w:val="TextoNormalSangraFrancesa"/>
        <w:rPr>
          <w:rStyle w:val="TextoNormalCaracter"/>
        </w:rPr>
      </w:pPr>
      <w:bookmarkStart w:id="1541" w:name="DESCRIPTORALFABETICO136"/>
      <w:r w:rsidRPr="00234417">
        <w:rPr>
          <w:rStyle w:val="TextoNormalNegritaCaracter"/>
        </w:rPr>
        <w:t>Derecho a la huelga</w:t>
      </w:r>
      <w:bookmarkEnd w:id="1541"/>
      <w:r w:rsidRPr="00234417">
        <w:rPr>
          <w:rStyle w:val="TextoNormalCaracter"/>
        </w:rPr>
        <w:t xml:space="preserve">, Sentencia </w:t>
      </w:r>
      <w:hyperlink w:anchor="SENTENCIA_2013_124" w:history="1">
        <w:r w:rsidRPr="00234417">
          <w:rPr>
            <w:rStyle w:val="TextoNormalCaracter"/>
          </w:rPr>
          <w:t>124/2013</w:t>
        </w:r>
      </w:hyperlink>
      <w:r w:rsidRPr="00234417">
        <w:rPr>
          <w:rStyle w:val="TextoNormalCaracter"/>
        </w:rPr>
        <w:t>, f. 3.</w:t>
      </w:r>
    </w:p>
    <w:p w:rsidR="00234417" w:rsidRPr="00234417" w:rsidRDefault="00234417" w:rsidP="00234417">
      <w:pPr>
        <w:pStyle w:val="TextoNormalSangraFrancesa"/>
        <w:rPr>
          <w:rStyle w:val="TextoNormalCaracter"/>
        </w:rPr>
      </w:pPr>
      <w:bookmarkStart w:id="1542" w:name="DESCRIPTORALFABETICO507"/>
      <w:r w:rsidRPr="00234417">
        <w:rPr>
          <w:rStyle w:val="TextoNormalNegritaCaracter"/>
        </w:rPr>
        <w:t>Derecho a la información de consumidores</w:t>
      </w:r>
      <w:bookmarkEnd w:id="1542"/>
      <w:r w:rsidRPr="00234417">
        <w:rPr>
          <w:rStyle w:val="TextoNormalCaracter"/>
        </w:rPr>
        <w:t xml:space="preserve">, Auto </w:t>
      </w:r>
      <w:hyperlink w:anchor="AUTO_2013_124" w:history="1">
        <w:r w:rsidRPr="00234417">
          <w:rPr>
            <w:rStyle w:val="TextoNormalCaracter"/>
          </w:rPr>
          <w:t>124/2013</w:t>
        </w:r>
      </w:hyperlink>
      <w:r w:rsidRPr="00234417">
        <w:rPr>
          <w:rStyle w:val="TextoNormalCaracter"/>
        </w:rPr>
        <w:t>, f. 4.</w:t>
      </w:r>
    </w:p>
    <w:p w:rsidR="00234417" w:rsidRPr="00234417" w:rsidRDefault="00234417" w:rsidP="00234417">
      <w:pPr>
        <w:pStyle w:val="TextoNormalSangraFrancesa"/>
        <w:rPr>
          <w:rStyle w:val="TextoNormalNegritaCaracter"/>
        </w:rPr>
      </w:pPr>
      <w:r w:rsidRPr="00234417">
        <w:rPr>
          <w:rStyle w:val="TextoNormalCursivaCaracter"/>
        </w:rPr>
        <w:t>Derecho a la información de consumidores y usuarios</w:t>
      </w:r>
      <w:r>
        <w:t xml:space="preserve"> véase </w:t>
      </w:r>
      <w:hyperlink w:anchor="DESCRIPTORALFABETICO507" w:history="1">
        <w:r w:rsidRPr="00234417">
          <w:rPr>
            <w:rStyle w:val="TextoNormalNegritaCaracter"/>
          </w:rPr>
          <w:t>Derecho a la información de consumidores</w:t>
        </w:r>
      </w:hyperlink>
    </w:p>
    <w:p w:rsidR="00234417" w:rsidRPr="00234417" w:rsidRDefault="00234417" w:rsidP="00234417">
      <w:pPr>
        <w:pStyle w:val="TextoNormalSangraFrancesa"/>
        <w:rPr>
          <w:rStyle w:val="TextoNormalCaracter"/>
        </w:rPr>
      </w:pPr>
      <w:bookmarkStart w:id="1543" w:name="DESCRIPTORALFABETICO145"/>
      <w:r w:rsidRPr="00234417">
        <w:rPr>
          <w:rStyle w:val="TextoNormalNegritaCaracter"/>
        </w:rPr>
        <w:t>Derecho a la integridad física y moral</w:t>
      </w:r>
      <w:bookmarkEnd w:id="1543"/>
      <w:r w:rsidRPr="00234417">
        <w:rPr>
          <w:rStyle w:val="TextoNormalCaracter"/>
        </w:rPr>
        <w:t xml:space="preserve">, Sentencia </w:t>
      </w:r>
      <w:hyperlink w:anchor="SENTENCIA_2013_12" w:history="1">
        <w:r w:rsidRPr="00234417">
          <w:rPr>
            <w:rStyle w:val="TextoNormalCaracter"/>
          </w:rPr>
          <w:t>12/2013</w:t>
        </w:r>
      </w:hyperlink>
      <w:r w:rsidRPr="00234417">
        <w:rPr>
          <w:rStyle w:val="TextoNormalCaracter"/>
        </w:rPr>
        <w:t>, ff. 2, 3.</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122" w:history="1">
        <w:r w:rsidRPr="00234417">
          <w:rPr>
            <w:rStyle w:val="TextoNormalCaracter"/>
          </w:rPr>
          <w:t>122/2013</w:t>
        </w:r>
      </w:hyperlink>
      <w:r w:rsidRPr="00234417">
        <w:rPr>
          <w:rStyle w:val="TextoNormalCaracter"/>
        </w:rPr>
        <w:t xml:space="preserve">, f. 5; </w:t>
      </w:r>
      <w:hyperlink w:anchor="AUTO_2013_142" w:history="1">
        <w:r w:rsidRPr="00234417">
          <w:rPr>
            <w:rStyle w:val="TextoNormalCaracter"/>
          </w:rPr>
          <w:t>142/2013</w:t>
        </w:r>
      </w:hyperlink>
      <w:r w:rsidRPr="00234417">
        <w:rPr>
          <w:rStyle w:val="TextoNormalCaracter"/>
        </w:rPr>
        <w:t>, f. 3.</w:t>
      </w:r>
    </w:p>
    <w:p w:rsidR="00234417" w:rsidRPr="00234417" w:rsidRDefault="00234417" w:rsidP="00234417">
      <w:pPr>
        <w:pStyle w:val="TextoNormalSangraFrancesa"/>
        <w:rPr>
          <w:rStyle w:val="TextoNormalCaracter"/>
        </w:rPr>
      </w:pPr>
      <w:r w:rsidRPr="00234417">
        <w:rPr>
          <w:rStyle w:val="TextoNormalCursivaCaracter"/>
        </w:rPr>
        <w:t xml:space="preserve">    Respetado, </w:t>
      </w:r>
      <w:r w:rsidRPr="00234417">
        <w:rPr>
          <w:rStyle w:val="TextoNormalCaracter"/>
        </w:rPr>
        <w:t xml:space="preserve">Sentencia </w:t>
      </w:r>
      <w:hyperlink w:anchor="SENTENCIA_2013_12" w:history="1">
        <w:r w:rsidRPr="00234417">
          <w:rPr>
            <w:rStyle w:val="TextoNormalCaracter"/>
          </w:rPr>
          <w:t>12/2013</w:t>
        </w:r>
      </w:hyperlink>
      <w:r w:rsidRPr="00234417">
        <w:rPr>
          <w:rStyle w:val="TextoNormalCaracter"/>
        </w:rPr>
        <w:t>, f. 4.</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132" w:history="1">
        <w:r w:rsidRPr="00234417">
          <w:rPr>
            <w:rStyle w:val="TextoNormalCaracter"/>
          </w:rPr>
          <w:t>132/2013</w:t>
        </w:r>
      </w:hyperlink>
      <w:r w:rsidRPr="00234417">
        <w:rPr>
          <w:rStyle w:val="TextoNormalCaracter"/>
        </w:rPr>
        <w:t>, f. 1.</w:t>
      </w:r>
    </w:p>
    <w:p w:rsidR="00234417" w:rsidRPr="00234417" w:rsidRDefault="00234417" w:rsidP="00234417">
      <w:pPr>
        <w:pStyle w:val="TextoNormalSangraFrancesa"/>
        <w:rPr>
          <w:rStyle w:val="TextoNormalCaracter"/>
        </w:rPr>
      </w:pPr>
      <w:bookmarkStart w:id="1544" w:name="DESCRIPTORALFABETICO148"/>
      <w:r w:rsidRPr="00234417">
        <w:rPr>
          <w:rStyle w:val="TextoNormalNegritaCaracter"/>
        </w:rPr>
        <w:t>Derecho a la intimidad</w:t>
      </w:r>
      <w:bookmarkEnd w:id="1544"/>
      <w:r w:rsidRPr="00234417">
        <w:rPr>
          <w:rStyle w:val="TextoNormalCaracter"/>
        </w:rPr>
        <w:t xml:space="preserve">, Sentencias </w:t>
      </w:r>
      <w:hyperlink w:anchor="SENTENCIA_2013_93" w:history="1">
        <w:r w:rsidRPr="00234417">
          <w:rPr>
            <w:rStyle w:val="TextoNormalCaracter"/>
          </w:rPr>
          <w:t>93/2013</w:t>
        </w:r>
      </w:hyperlink>
      <w:r w:rsidRPr="00234417">
        <w:rPr>
          <w:rStyle w:val="TextoNormalCaracter"/>
        </w:rPr>
        <w:t xml:space="preserve">, f. 8; </w:t>
      </w:r>
      <w:hyperlink w:anchor="SENTENCIA_2013_115" w:history="1">
        <w:r w:rsidRPr="00234417">
          <w:rPr>
            <w:rStyle w:val="TextoNormalCaracter"/>
          </w:rPr>
          <w:t>115/2013</w:t>
        </w:r>
      </w:hyperlink>
      <w:r w:rsidRPr="00234417">
        <w:rPr>
          <w:rStyle w:val="TextoNormalCaracter"/>
        </w:rPr>
        <w:t>, ff. 3, 5, 6.</w:t>
      </w:r>
    </w:p>
    <w:p w:rsidR="00234417" w:rsidRPr="00234417" w:rsidRDefault="00234417" w:rsidP="00234417">
      <w:pPr>
        <w:pStyle w:val="TextoNormalSangraFrancesa"/>
        <w:rPr>
          <w:rStyle w:val="TextoNormalCaracter"/>
        </w:rPr>
      </w:pPr>
      <w:r w:rsidRPr="00234417">
        <w:rPr>
          <w:rStyle w:val="TextoNormalCursivaCaracter"/>
        </w:rPr>
        <w:t xml:space="preserve">    Respetado, </w:t>
      </w:r>
      <w:r w:rsidRPr="00234417">
        <w:rPr>
          <w:rStyle w:val="TextoNormalCaracter"/>
        </w:rPr>
        <w:t xml:space="preserve">Sentencia </w:t>
      </w:r>
      <w:hyperlink w:anchor="SENTENCIA_2013_115" w:history="1">
        <w:r w:rsidRPr="00234417">
          <w:rPr>
            <w:rStyle w:val="TextoNormalCaracter"/>
          </w:rPr>
          <w:t>115/2013</w:t>
        </w:r>
      </w:hyperlink>
      <w:r w:rsidRPr="00234417">
        <w:rPr>
          <w:rStyle w:val="TextoNormalCaracter"/>
        </w:rPr>
        <w:t>, ff. 4 a 6.</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132" w:history="1">
        <w:r w:rsidRPr="00234417">
          <w:rPr>
            <w:rStyle w:val="TextoNormalCaracter"/>
          </w:rPr>
          <w:t>132/2013</w:t>
        </w:r>
      </w:hyperlink>
      <w:r w:rsidRPr="00234417">
        <w:rPr>
          <w:rStyle w:val="TextoNormalCaracter"/>
        </w:rPr>
        <w:t>, f. 3.</w:t>
      </w:r>
    </w:p>
    <w:p w:rsidR="00234417" w:rsidRPr="00234417" w:rsidRDefault="00234417" w:rsidP="00234417">
      <w:pPr>
        <w:pStyle w:val="TextoNormalSangraFrancesa"/>
        <w:rPr>
          <w:rStyle w:val="TextoNormalNegritaCaracter"/>
        </w:rPr>
      </w:pPr>
      <w:r w:rsidRPr="00234417">
        <w:rPr>
          <w:rStyle w:val="TextoNormalCursivaCaracter"/>
        </w:rPr>
        <w:t>Derecho a la intimidad personal</w:t>
      </w:r>
      <w:r>
        <w:t xml:space="preserve"> véase </w:t>
      </w:r>
      <w:hyperlink w:anchor="DESCRIPTORALFABETICO148" w:history="1">
        <w:r w:rsidRPr="00234417">
          <w:rPr>
            <w:rStyle w:val="TextoNormalNegritaCaracter"/>
          </w:rPr>
          <w:t>Derecho a la intimidad</w:t>
        </w:r>
      </w:hyperlink>
    </w:p>
    <w:p w:rsidR="00234417" w:rsidRPr="00234417" w:rsidRDefault="00234417" w:rsidP="00234417">
      <w:pPr>
        <w:pStyle w:val="TextoNormalSangraFrancesa"/>
        <w:rPr>
          <w:rStyle w:val="TextoNormalNegritaCaracter"/>
        </w:rPr>
      </w:pPr>
      <w:r w:rsidRPr="00234417">
        <w:rPr>
          <w:rStyle w:val="TextoNormalCursivaCaracter"/>
        </w:rPr>
        <w:t>Derecho a la intimidad personal y familiar</w:t>
      </w:r>
      <w:r>
        <w:t xml:space="preserve"> véase </w:t>
      </w:r>
      <w:hyperlink w:anchor="DESCRIPTORALFABETICO148" w:history="1">
        <w:r w:rsidRPr="00234417">
          <w:rPr>
            <w:rStyle w:val="TextoNormalNegritaCaracter"/>
          </w:rPr>
          <w:t>Derecho a la intimidad</w:t>
        </w:r>
      </w:hyperlink>
    </w:p>
    <w:p w:rsidR="00234417" w:rsidRPr="00234417" w:rsidRDefault="00234417" w:rsidP="00234417">
      <w:pPr>
        <w:pStyle w:val="TextoNormalSangraFrancesa"/>
        <w:rPr>
          <w:rStyle w:val="TextoNormalCaracter"/>
        </w:rPr>
      </w:pPr>
      <w:bookmarkStart w:id="1545" w:name="DESCRIPTORALFABETICO149"/>
      <w:r w:rsidRPr="00234417">
        <w:rPr>
          <w:rStyle w:val="TextoNormalNegritaCaracter"/>
        </w:rPr>
        <w:t>Derecho a la libertad personal</w:t>
      </w:r>
      <w:bookmarkEnd w:id="1545"/>
      <w:r w:rsidRPr="00234417">
        <w:rPr>
          <w:rStyle w:val="TextoNormalCaracter"/>
        </w:rPr>
        <w:t xml:space="preserve">, Sentencia </w:t>
      </w:r>
      <w:hyperlink w:anchor="SENTENCIA_2013_109" w:history="1">
        <w:r w:rsidRPr="00234417">
          <w:rPr>
            <w:rStyle w:val="TextoNormalCaracter"/>
          </w:rPr>
          <w:t>109/2013</w:t>
        </w:r>
      </w:hyperlink>
      <w:r w:rsidRPr="00234417">
        <w:rPr>
          <w:rStyle w:val="TextoNormalCaracter"/>
        </w:rPr>
        <w:t>, ff. 3 a 5.</w:t>
      </w:r>
    </w:p>
    <w:p w:rsidR="00234417" w:rsidRPr="00234417" w:rsidRDefault="00234417" w:rsidP="00234417">
      <w:pPr>
        <w:pStyle w:val="TextoNormalSangraFrancesa"/>
        <w:rPr>
          <w:rStyle w:val="TextoNormalNegritaCaracter"/>
        </w:rPr>
      </w:pPr>
      <w:r w:rsidRPr="00234417">
        <w:rPr>
          <w:rStyle w:val="TextoNormalCursivaCaracter"/>
        </w:rPr>
        <w:t>Derecho a la libre circulación</w:t>
      </w:r>
      <w:r>
        <w:t xml:space="preserve"> véase </w:t>
      </w:r>
      <w:hyperlink w:anchor="DESCRIPTORALFABETICO200" w:history="1">
        <w:r w:rsidRPr="00234417">
          <w:rPr>
            <w:rStyle w:val="TextoNormalNegritaCaracter"/>
          </w:rPr>
          <w:t>Libertad de circulación</w:t>
        </w:r>
      </w:hyperlink>
    </w:p>
    <w:p w:rsidR="00234417" w:rsidRPr="00234417" w:rsidRDefault="00234417" w:rsidP="00234417">
      <w:pPr>
        <w:pStyle w:val="TextoNormalSangraFrancesa"/>
        <w:rPr>
          <w:rStyle w:val="TextoNormalCaracter"/>
        </w:rPr>
      </w:pPr>
      <w:bookmarkStart w:id="1546" w:name="DESCRIPTORALFABETICO150"/>
      <w:r w:rsidRPr="00234417">
        <w:rPr>
          <w:rStyle w:val="TextoNormalNegritaCaracter"/>
        </w:rPr>
        <w:t>Derecho a la presunción de inocencia</w:t>
      </w:r>
      <w:bookmarkEnd w:id="1546"/>
      <w:r w:rsidRPr="00234417">
        <w:rPr>
          <w:rStyle w:val="TextoNormalCaracter"/>
        </w:rPr>
        <w:t xml:space="preserve">, Sentencias </w:t>
      </w:r>
      <w:hyperlink w:anchor="SENTENCIA_2013_22" w:history="1">
        <w:r w:rsidRPr="00234417">
          <w:rPr>
            <w:rStyle w:val="TextoNormalCaracter"/>
          </w:rPr>
          <w:t>22/2013</w:t>
        </w:r>
      </w:hyperlink>
      <w:r w:rsidRPr="00234417">
        <w:rPr>
          <w:rStyle w:val="TextoNormalCaracter"/>
        </w:rPr>
        <w:t xml:space="preserve">, ff. 4, 5; </w:t>
      </w:r>
      <w:hyperlink w:anchor="SENTENCIA_2013_53" w:history="1">
        <w:r w:rsidRPr="00234417">
          <w:rPr>
            <w:rStyle w:val="TextoNormalCaracter"/>
          </w:rPr>
          <w:t>53/2013</w:t>
        </w:r>
      </w:hyperlink>
      <w:r w:rsidRPr="00234417">
        <w:rPr>
          <w:rStyle w:val="TextoNormalCaracter"/>
        </w:rPr>
        <w:t xml:space="preserve">, ff. 1, 2, 5, 7; </w:t>
      </w:r>
      <w:hyperlink w:anchor="SENTENCIA_2013_88" w:history="1">
        <w:r w:rsidRPr="00234417">
          <w:rPr>
            <w:rStyle w:val="TextoNormalCaracter"/>
          </w:rPr>
          <w:t>88/2013</w:t>
        </w:r>
      </w:hyperlink>
      <w:r w:rsidRPr="00234417">
        <w:rPr>
          <w:rStyle w:val="TextoNormalCaracter"/>
        </w:rPr>
        <w:t>, ff. 12 a 14.</w:t>
      </w:r>
    </w:p>
    <w:p w:rsidR="00234417" w:rsidRPr="00234417" w:rsidRDefault="00234417" w:rsidP="00234417">
      <w:pPr>
        <w:pStyle w:val="TextoNormalSangraFrancesa"/>
        <w:rPr>
          <w:rStyle w:val="TextoNormalCaracter"/>
        </w:rPr>
      </w:pPr>
      <w:r w:rsidRPr="00234417">
        <w:rPr>
          <w:rStyle w:val="TextoNormalCursivaCaracter"/>
        </w:rPr>
        <w:t xml:space="preserve">    Respetado, </w:t>
      </w:r>
      <w:r w:rsidRPr="00234417">
        <w:rPr>
          <w:rStyle w:val="TextoNormalCaracter"/>
        </w:rPr>
        <w:t xml:space="preserve">Sentencia </w:t>
      </w:r>
      <w:hyperlink w:anchor="SENTENCIA_2013_78" w:history="1">
        <w:r w:rsidRPr="00234417">
          <w:rPr>
            <w:rStyle w:val="TextoNormalCaracter"/>
          </w:rPr>
          <w:t>78/2013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ursivaCaracter"/>
        </w:rPr>
        <w:t xml:space="preserve">    Vulnerado, </w:t>
      </w:r>
      <w:r w:rsidRPr="00234417">
        <w:rPr>
          <w:rStyle w:val="TextoNormalCaracter"/>
        </w:rPr>
        <w:t xml:space="preserve">Sentencias </w:t>
      </w:r>
      <w:hyperlink w:anchor="SENTENCIA_2013_43" w:history="1">
        <w:r w:rsidRPr="00234417">
          <w:rPr>
            <w:rStyle w:val="TextoNormalCaracter"/>
          </w:rPr>
          <w:t>43/2013</w:t>
        </w:r>
      </w:hyperlink>
      <w:r w:rsidRPr="00234417">
        <w:rPr>
          <w:rStyle w:val="TextoNormalCaracter"/>
        </w:rPr>
        <w:t xml:space="preserve">, f. 3; </w:t>
      </w:r>
      <w:hyperlink w:anchor="SENTENCIA_2013_118" w:history="1">
        <w:r w:rsidRPr="00234417">
          <w:rPr>
            <w:rStyle w:val="TextoNormalCaracter"/>
          </w:rPr>
          <w:t>118/2013</w:t>
        </w:r>
      </w:hyperlink>
      <w:r w:rsidRPr="00234417">
        <w:rPr>
          <w:rStyle w:val="TextoNormalCaracter"/>
        </w:rPr>
        <w:t xml:space="preserve">, f. 5; </w:t>
      </w:r>
      <w:hyperlink w:anchor="SENTENCIA_2013_119" w:history="1">
        <w:r w:rsidRPr="00234417">
          <w:rPr>
            <w:rStyle w:val="TextoNormalCaracter"/>
          </w:rPr>
          <w:t>119/2013</w:t>
        </w:r>
      </w:hyperlink>
      <w:r w:rsidRPr="00234417">
        <w:rPr>
          <w:rStyle w:val="TextoNormalCaracter"/>
        </w:rPr>
        <w:t xml:space="preserve">, f. 5; </w:t>
      </w:r>
      <w:hyperlink w:anchor="SENTENCIA_2013_120" w:history="1">
        <w:r w:rsidRPr="00234417">
          <w:rPr>
            <w:rStyle w:val="TextoNormalCaracter"/>
          </w:rPr>
          <w:t>120/2013</w:t>
        </w:r>
      </w:hyperlink>
      <w:r w:rsidRPr="00234417">
        <w:rPr>
          <w:rStyle w:val="TextoNormalCaracter"/>
        </w:rPr>
        <w:t>, f. 5.</w:t>
      </w:r>
    </w:p>
    <w:p w:rsidR="00234417" w:rsidRPr="00234417" w:rsidRDefault="00234417" w:rsidP="00234417">
      <w:pPr>
        <w:pStyle w:val="TextoNormalSangraFrancesa"/>
        <w:rPr>
          <w:rStyle w:val="TextoNormalCaracter"/>
        </w:rPr>
      </w:pPr>
      <w:bookmarkStart w:id="1547" w:name="DESCRIPTORALFABETICO151"/>
      <w:r w:rsidRPr="00234417">
        <w:rPr>
          <w:rStyle w:val="TextoNormalNegritaCaracter"/>
        </w:rPr>
        <w:t>Derecho a la protección de datos personales</w:t>
      </w:r>
      <w:bookmarkEnd w:id="1547"/>
      <w:r w:rsidRPr="00234417">
        <w:rPr>
          <w:rStyle w:val="TextoNormalCaracter"/>
        </w:rPr>
        <w:t xml:space="preserve">, Sentencia </w:t>
      </w:r>
      <w:hyperlink w:anchor="SENTENCIA_2013_17" w:history="1">
        <w:r w:rsidRPr="00234417">
          <w:rPr>
            <w:rStyle w:val="TextoNormalCaracter"/>
          </w:rPr>
          <w:t>17/2013</w:t>
        </w:r>
      </w:hyperlink>
      <w:r w:rsidRPr="00234417">
        <w:rPr>
          <w:rStyle w:val="TextoNormalCaracter"/>
        </w:rPr>
        <w:t>, ff. 3 a 9.</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 </w:t>
      </w:r>
      <w:hyperlink w:anchor="SENTENCIA_2013_29" w:history="1">
        <w:r w:rsidRPr="00234417">
          <w:rPr>
            <w:rStyle w:val="TextoNormalCaracter"/>
          </w:rPr>
          <w:t>29/2013</w:t>
        </w:r>
      </w:hyperlink>
      <w:r w:rsidRPr="00234417">
        <w:rPr>
          <w:rStyle w:val="TextoNormalCaracter"/>
        </w:rPr>
        <w:t>, ff. 4 a 8.</w:t>
      </w:r>
    </w:p>
    <w:p w:rsidR="00234417" w:rsidRPr="00234417" w:rsidRDefault="00234417" w:rsidP="00234417">
      <w:pPr>
        <w:pStyle w:val="TextoNormalSangraFrancesa"/>
        <w:rPr>
          <w:rStyle w:val="TextoNormalCaracter"/>
        </w:rPr>
      </w:pPr>
      <w:r w:rsidRPr="00234417">
        <w:rPr>
          <w:rStyle w:val="TextoNormalCursivaCaracter"/>
        </w:rPr>
        <w:lastRenderedPageBreak/>
        <w:t xml:space="preserve">    Vulnerado, </w:t>
      </w:r>
      <w:r w:rsidRPr="00234417">
        <w:rPr>
          <w:rStyle w:val="TextoNormalCaracter"/>
        </w:rPr>
        <w:t xml:space="preserve">Sentencia </w:t>
      </w:r>
      <w:hyperlink w:anchor="SENTENCIA_2013_29" w:history="1">
        <w:r w:rsidRPr="00234417">
          <w:rPr>
            <w:rStyle w:val="TextoNormalCaracter"/>
          </w:rPr>
          <w:t>29/2013</w:t>
        </w:r>
      </w:hyperlink>
      <w:r w:rsidRPr="00234417">
        <w:rPr>
          <w:rStyle w:val="TextoNormalCaracter"/>
        </w:rPr>
        <w:t>, ff. 5 a 8, VP.</w:t>
      </w:r>
    </w:p>
    <w:p w:rsidR="00234417" w:rsidRPr="00234417" w:rsidRDefault="00234417" w:rsidP="00234417">
      <w:pPr>
        <w:pStyle w:val="TextoNormalSangraFrancesa"/>
        <w:rPr>
          <w:rStyle w:val="TextoNormalCaracter"/>
        </w:rPr>
      </w:pPr>
      <w:bookmarkStart w:id="1548" w:name="DESCRIPTORALFABETICO158"/>
      <w:r w:rsidRPr="00234417">
        <w:rPr>
          <w:rStyle w:val="TextoNormalNegritaCaracter"/>
        </w:rPr>
        <w:t>Derecho a la protección de la salud</w:t>
      </w:r>
      <w:bookmarkEnd w:id="1548"/>
      <w:r w:rsidRPr="00234417">
        <w:rPr>
          <w:rStyle w:val="TextoNormalCaracter"/>
        </w:rPr>
        <w:t xml:space="preserve">, Sentencia </w:t>
      </w:r>
      <w:hyperlink w:anchor="SENTENCIA_2013_137" w:history="1">
        <w:r w:rsidRPr="00234417">
          <w:rPr>
            <w:rStyle w:val="TextoNormalCaracter"/>
          </w:rPr>
          <w:t>137/2013</w:t>
        </w:r>
      </w:hyperlink>
      <w:r w:rsidRPr="00234417">
        <w:rPr>
          <w:rStyle w:val="TextoNormalCaracter"/>
        </w:rPr>
        <w:t>, ff. 5, 6.</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122" w:history="1">
        <w:r w:rsidRPr="00234417">
          <w:rPr>
            <w:rStyle w:val="TextoNormalCaracter"/>
          </w:rPr>
          <w:t>122/2013</w:t>
        </w:r>
      </w:hyperlink>
      <w:r w:rsidRPr="00234417">
        <w:rPr>
          <w:rStyle w:val="TextoNormalCaracter"/>
        </w:rPr>
        <w:t xml:space="preserve">, f. 5; </w:t>
      </w:r>
      <w:hyperlink w:anchor="AUTO_2013_142" w:history="1">
        <w:r w:rsidRPr="00234417">
          <w:rPr>
            <w:rStyle w:val="TextoNormalCaracter"/>
          </w:rPr>
          <w:t>142/2013</w:t>
        </w:r>
      </w:hyperlink>
      <w:r w:rsidRPr="00234417">
        <w:rPr>
          <w:rStyle w:val="TextoNormalCaracter"/>
        </w:rPr>
        <w:t>, f. 3.</w:t>
      </w:r>
    </w:p>
    <w:p w:rsidR="00234417" w:rsidRPr="00234417" w:rsidRDefault="00234417" w:rsidP="00234417">
      <w:pPr>
        <w:pStyle w:val="TextoNormalSangraFrancesa"/>
        <w:rPr>
          <w:rStyle w:val="TextoNormalCaracter"/>
        </w:rPr>
      </w:pPr>
      <w:bookmarkStart w:id="1549" w:name="DESCRIPTORALFABETICO190"/>
      <w:r w:rsidRPr="00234417">
        <w:rPr>
          <w:rStyle w:val="TextoNormalNegritaCaracter"/>
        </w:rPr>
        <w:t>Derecho a la prueba</w:t>
      </w:r>
      <w:bookmarkEnd w:id="1549"/>
      <w:r w:rsidRPr="00234417">
        <w:rPr>
          <w:rStyle w:val="TextoNormalCaracter"/>
        </w:rPr>
        <w:t xml:space="preserve">, Sentencias </w:t>
      </w:r>
      <w:hyperlink w:anchor="SENTENCIA_2013_57" w:history="1">
        <w:r w:rsidRPr="00234417">
          <w:rPr>
            <w:rStyle w:val="TextoNormalCaracter"/>
          </w:rPr>
          <w:t>57/2013</w:t>
        </w:r>
      </w:hyperlink>
      <w:r w:rsidRPr="00234417">
        <w:rPr>
          <w:rStyle w:val="TextoNormalCaracter"/>
        </w:rPr>
        <w:t xml:space="preserve">, ff. 5, 6; </w:t>
      </w:r>
      <w:hyperlink w:anchor="SENTENCIA_2013_126" w:history="1">
        <w:r w:rsidRPr="00234417">
          <w:rPr>
            <w:rStyle w:val="TextoNormalCaracter"/>
          </w:rPr>
          <w:t>126/2013</w:t>
        </w:r>
      </w:hyperlink>
      <w:r w:rsidRPr="00234417">
        <w:rPr>
          <w:rStyle w:val="TextoNormalCaracter"/>
        </w:rPr>
        <w:t>, f. 3.</w:t>
      </w:r>
    </w:p>
    <w:p w:rsidR="00234417" w:rsidRPr="00234417" w:rsidRDefault="00234417" w:rsidP="00234417">
      <w:pPr>
        <w:pStyle w:val="TextoNormalSangraFrancesa"/>
        <w:rPr>
          <w:rStyle w:val="TextoNormalCaracter"/>
        </w:rPr>
      </w:pPr>
      <w:r w:rsidRPr="00234417">
        <w:rPr>
          <w:rStyle w:val="TextoNormalCursivaCaracter"/>
        </w:rPr>
        <w:t xml:space="preserve">    Respetado, </w:t>
      </w:r>
      <w:r w:rsidRPr="00234417">
        <w:rPr>
          <w:rStyle w:val="TextoNormalCaracter"/>
        </w:rPr>
        <w:t xml:space="preserve">Sentencia </w:t>
      </w:r>
      <w:hyperlink w:anchor="SENTENCIA_2013_126" w:history="1">
        <w:r w:rsidRPr="00234417">
          <w:rPr>
            <w:rStyle w:val="TextoNormalCaracter"/>
          </w:rPr>
          <w:t>126/2013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1550" w:name="DESCRIPTORALFABETICO159"/>
      <w:r w:rsidRPr="00234417">
        <w:rPr>
          <w:rStyle w:val="TextoNormalNegritaCaracter"/>
        </w:rPr>
        <w:t>Derecho a la tutela judicial efectiva</w:t>
      </w:r>
      <w:bookmarkEnd w:id="1550"/>
      <w:r w:rsidRPr="00234417">
        <w:rPr>
          <w:rStyle w:val="TextoNormalCaracter"/>
        </w:rPr>
        <w:t xml:space="preserve">, Sentencias </w:t>
      </w:r>
      <w:hyperlink w:anchor="SENTENCIA_2013_10" w:history="1">
        <w:r w:rsidRPr="00234417">
          <w:rPr>
            <w:rStyle w:val="TextoNormalCaracter"/>
          </w:rPr>
          <w:t>10/2013</w:t>
        </w:r>
      </w:hyperlink>
      <w:r w:rsidRPr="00234417">
        <w:rPr>
          <w:rStyle w:val="TextoNormalCaracter"/>
        </w:rPr>
        <w:t xml:space="preserve">, f. 2; </w:t>
      </w:r>
      <w:hyperlink w:anchor="SENTENCIA_2013_27" w:history="1">
        <w:r w:rsidRPr="00234417">
          <w:rPr>
            <w:rStyle w:val="TextoNormalCaracter"/>
          </w:rPr>
          <w:t>27/2013</w:t>
        </w:r>
      </w:hyperlink>
      <w:r w:rsidRPr="00234417">
        <w:rPr>
          <w:rStyle w:val="TextoNormalCaracter"/>
        </w:rPr>
        <w:t xml:space="preserve">, f. 5; </w:t>
      </w:r>
      <w:hyperlink w:anchor="SENTENCIA_2013_31" w:history="1">
        <w:r w:rsidRPr="00234417">
          <w:rPr>
            <w:rStyle w:val="TextoNormalCaracter"/>
          </w:rPr>
          <w:t>31/2013</w:t>
        </w:r>
      </w:hyperlink>
      <w:r w:rsidRPr="00234417">
        <w:rPr>
          <w:rStyle w:val="TextoNormalCaracter"/>
        </w:rPr>
        <w:t xml:space="preserve">, ff. 2, 3, 5; </w:t>
      </w:r>
      <w:hyperlink w:anchor="SENTENCIA_2013_44" w:history="1">
        <w:r w:rsidRPr="00234417">
          <w:rPr>
            <w:rStyle w:val="TextoNormalCaracter"/>
          </w:rPr>
          <w:t>44/2013</w:t>
        </w:r>
      </w:hyperlink>
      <w:r w:rsidRPr="00234417">
        <w:rPr>
          <w:rStyle w:val="TextoNormalCaracter"/>
        </w:rPr>
        <w:t xml:space="preserve">, f. 1; </w:t>
      </w:r>
      <w:hyperlink w:anchor="SENTENCIA_2013_106" w:history="1">
        <w:r w:rsidRPr="00234417">
          <w:rPr>
            <w:rStyle w:val="TextoNormalCaracter"/>
          </w:rPr>
          <w:t>106/2013</w:t>
        </w:r>
      </w:hyperlink>
      <w:r w:rsidRPr="00234417">
        <w:rPr>
          <w:rStyle w:val="TextoNormalCaracter"/>
        </w:rPr>
        <w:t xml:space="preserve">, ff. 4, 5; </w:t>
      </w:r>
      <w:hyperlink w:anchor="SENTENCIA_2013_109" w:history="1">
        <w:r w:rsidRPr="00234417">
          <w:rPr>
            <w:rStyle w:val="TextoNormalCaracter"/>
          </w:rPr>
          <w:t>109/2013</w:t>
        </w:r>
      </w:hyperlink>
      <w:r w:rsidRPr="00234417">
        <w:rPr>
          <w:rStyle w:val="TextoNormalCaracter"/>
        </w:rPr>
        <w:t xml:space="preserve">, ff. 3 a 5; </w:t>
      </w:r>
      <w:hyperlink w:anchor="SENTENCIA_2013_110" w:history="1">
        <w:r w:rsidRPr="00234417">
          <w:rPr>
            <w:rStyle w:val="TextoNormalCaracter"/>
          </w:rPr>
          <w:t>110/2013</w:t>
        </w:r>
      </w:hyperlink>
      <w:r w:rsidRPr="00234417">
        <w:rPr>
          <w:rStyle w:val="TextoNormalCaracter"/>
        </w:rPr>
        <w:t xml:space="preserve">, ff. 1, 2; </w:t>
      </w:r>
      <w:hyperlink w:anchor="SENTENCIA_2013_129" w:history="1">
        <w:r w:rsidRPr="00234417">
          <w:rPr>
            <w:rStyle w:val="TextoNormalCaracter"/>
          </w:rPr>
          <w:t>129/2013</w:t>
        </w:r>
      </w:hyperlink>
      <w:r w:rsidRPr="00234417">
        <w:rPr>
          <w:rStyle w:val="TextoNormalCaracter"/>
        </w:rPr>
        <w:t>, ff. 6, 7.</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2" w:history="1">
        <w:r w:rsidRPr="00234417">
          <w:rPr>
            <w:rStyle w:val="TextoNormalCaracter"/>
          </w:rPr>
          <w:t>2/2013</w:t>
        </w:r>
      </w:hyperlink>
      <w:r w:rsidRPr="00234417">
        <w:rPr>
          <w:rStyle w:val="TextoNormalCaracter"/>
        </w:rPr>
        <w:t xml:space="preserve">, ff. 2, 3; </w:t>
      </w:r>
      <w:hyperlink w:anchor="AUTO_2013_28" w:history="1">
        <w:r w:rsidRPr="00234417">
          <w:rPr>
            <w:rStyle w:val="TextoNormalCaracter"/>
          </w:rPr>
          <w:t>28/2013</w:t>
        </w:r>
      </w:hyperlink>
      <w:r w:rsidRPr="00234417">
        <w:rPr>
          <w:rStyle w:val="TextoNormalCaracter"/>
        </w:rPr>
        <w:t>, f. 2, VP I.</w:t>
      </w:r>
    </w:p>
    <w:p w:rsidR="00234417" w:rsidRPr="00234417" w:rsidRDefault="00234417" w:rsidP="00234417">
      <w:pPr>
        <w:pStyle w:val="TextoNormalSangraFrancesa"/>
        <w:rPr>
          <w:rStyle w:val="TextoNormalCaracter"/>
        </w:rPr>
      </w:pPr>
      <w:bookmarkStart w:id="1551" w:name="DESCRIPTORALFABETICO179"/>
      <w:r w:rsidRPr="00234417">
        <w:rPr>
          <w:rStyle w:val="TextoNormalNegritaCaracter"/>
        </w:rPr>
        <w:t>Derecho a la tutela judicial sin indefensión</w:t>
      </w:r>
      <w:bookmarkEnd w:id="1551"/>
      <w:r w:rsidRPr="00234417">
        <w:rPr>
          <w:rStyle w:val="TextoNormalCaracter"/>
        </w:rPr>
        <w:t xml:space="preserve">, Sentencia </w:t>
      </w:r>
      <w:hyperlink w:anchor="SENTENCIA_2013_57" w:history="1">
        <w:r w:rsidRPr="00234417">
          <w:rPr>
            <w:rStyle w:val="TextoNormalCaracter"/>
          </w:rPr>
          <w:t>57/2013</w:t>
        </w:r>
      </w:hyperlink>
      <w:r w:rsidRPr="00234417">
        <w:rPr>
          <w:rStyle w:val="TextoNormalCaracter"/>
        </w:rPr>
        <w:t>, f. 5.</w:t>
      </w:r>
    </w:p>
    <w:p w:rsidR="00234417" w:rsidRPr="00234417" w:rsidRDefault="00234417" w:rsidP="00234417">
      <w:pPr>
        <w:pStyle w:val="TextoNormalSangraFrancesa"/>
        <w:rPr>
          <w:rStyle w:val="TextoNormalCaracter"/>
        </w:rPr>
      </w:pPr>
      <w:r w:rsidRPr="00234417">
        <w:rPr>
          <w:rStyle w:val="TextoNormalCursivaCaracter"/>
        </w:rPr>
        <w:t xml:space="preserve">    Vulnerado, </w:t>
      </w:r>
      <w:r w:rsidRPr="00234417">
        <w:rPr>
          <w:rStyle w:val="TextoNormalCaracter"/>
        </w:rPr>
        <w:t xml:space="preserve">Sentencias </w:t>
      </w:r>
      <w:hyperlink w:anchor="SENTENCIA_2013_76" w:history="1">
        <w:r w:rsidRPr="00234417">
          <w:rPr>
            <w:rStyle w:val="TextoNormalCaracter"/>
          </w:rPr>
          <w:t>76/2013</w:t>
        </w:r>
      </w:hyperlink>
      <w:r w:rsidRPr="00234417">
        <w:rPr>
          <w:rStyle w:val="TextoNormalCaracter"/>
        </w:rPr>
        <w:t xml:space="preserve">, ff. 2, 4; </w:t>
      </w:r>
      <w:hyperlink w:anchor="SENTENCIA_2013_79" w:history="1">
        <w:r w:rsidRPr="00234417">
          <w:rPr>
            <w:rStyle w:val="TextoNormalCaracter"/>
          </w:rPr>
          <w:t>79/2013</w:t>
        </w:r>
      </w:hyperlink>
      <w:r w:rsidRPr="00234417">
        <w:rPr>
          <w:rStyle w:val="TextoNormalCaracter"/>
        </w:rPr>
        <w:t xml:space="preserve">, f. 5; </w:t>
      </w:r>
      <w:hyperlink w:anchor="SENTENCIA_2013_122" w:history="1">
        <w:r w:rsidRPr="00234417">
          <w:rPr>
            <w:rStyle w:val="TextoNormalCaracter"/>
          </w:rPr>
          <w:t>122/2013</w:t>
        </w:r>
      </w:hyperlink>
      <w:r w:rsidRPr="00234417">
        <w:rPr>
          <w:rStyle w:val="TextoNormalCaracter"/>
        </w:rPr>
        <w:t>, ff. 2 a 5.</w:t>
      </w:r>
    </w:p>
    <w:p w:rsidR="00234417" w:rsidRPr="00234417" w:rsidRDefault="00234417" w:rsidP="00234417">
      <w:pPr>
        <w:pStyle w:val="TextoNormalSangraFrancesa"/>
        <w:rPr>
          <w:rStyle w:val="TextoNormalCaracter"/>
        </w:rPr>
      </w:pPr>
      <w:bookmarkStart w:id="1552" w:name="DESCRIPTORALFABETICO186"/>
      <w:r w:rsidRPr="00234417">
        <w:rPr>
          <w:rStyle w:val="TextoNormalNegritaCaracter"/>
        </w:rPr>
        <w:t>Derecho a un proceso con todas las garantías</w:t>
      </w:r>
      <w:bookmarkEnd w:id="1552"/>
      <w:r w:rsidRPr="00234417">
        <w:rPr>
          <w:rStyle w:val="TextoNormalCaracter"/>
        </w:rPr>
        <w:t xml:space="preserve">, Sentencias </w:t>
      </w:r>
      <w:hyperlink w:anchor="SENTENCIA_2013_53" w:history="1">
        <w:r w:rsidRPr="00234417">
          <w:rPr>
            <w:rStyle w:val="TextoNormalCaracter"/>
          </w:rPr>
          <w:t>53/2013</w:t>
        </w:r>
      </w:hyperlink>
      <w:r w:rsidRPr="00234417">
        <w:rPr>
          <w:rStyle w:val="TextoNormalCaracter"/>
        </w:rPr>
        <w:t xml:space="preserve">, f. 4; </w:t>
      </w:r>
      <w:hyperlink w:anchor="SENTENCIA_2013_57" w:history="1">
        <w:r w:rsidRPr="00234417">
          <w:rPr>
            <w:rStyle w:val="TextoNormalCaracter"/>
          </w:rPr>
          <w:t>57/2013</w:t>
        </w:r>
      </w:hyperlink>
      <w:r w:rsidRPr="00234417">
        <w:rPr>
          <w:rStyle w:val="TextoNormalCaracter"/>
        </w:rPr>
        <w:t xml:space="preserve">, ff. 2 a 6; </w:t>
      </w:r>
      <w:hyperlink w:anchor="SENTENCIA_2013_88" w:history="1">
        <w:r w:rsidRPr="00234417">
          <w:rPr>
            <w:rStyle w:val="TextoNormalCaracter"/>
          </w:rPr>
          <w:t>88/2013</w:t>
        </w:r>
      </w:hyperlink>
      <w:r w:rsidRPr="00234417">
        <w:rPr>
          <w:rStyle w:val="TextoNormalCaracter"/>
        </w:rPr>
        <w:t>, ff. 12 a 14.</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 </w:t>
      </w:r>
      <w:hyperlink w:anchor="SENTENCIA_2013_43" w:history="1">
        <w:r w:rsidRPr="00234417">
          <w:rPr>
            <w:rStyle w:val="TextoNormalCaracter"/>
          </w:rPr>
          <w:t>43/2013</w:t>
        </w:r>
      </w:hyperlink>
      <w:r w:rsidRPr="00234417">
        <w:rPr>
          <w:rStyle w:val="TextoNormalCaracter"/>
        </w:rPr>
        <w:t>, f. 5.</w:t>
      </w:r>
    </w:p>
    <w:p w:rsidR="00234417" w:rsidRPr="00234417" w:rsidRDefault="00234417" w:rsidP="00234417">
      <w:pPr>
        <w:pStyle w:val="TextoNormalSangraFrancesa"/>
        <w:rPr>
          <w:rStyle w:val="TextoNormalCaracter"/>
        </w:rPr>
      </w:pPr>
      <w:r w:rsidRPr="00234417">
        <w:rPr>
          <w:rStyle w:val="TextoNormalCursivaCaracter"/>
        </w:rPr>
        <w:t xml:space="preserve">    Vulnerado, </w:t>
      </w:r>
      <w:r w:rsidRPr="00234417">
        <w:rPr>
          <w:rStyle w:val="TextoNormalCaracter"/>
        </w:rPr>
        <w:t xml:space="preserve">Sentencias </w:t>
      </w:r>
      <w:hyperlink w:anchor="SENTENCIA_2013_43" w:history="1">
        <w:r w:rsidRPr="00234417">
          <w:rPr>
            <w:rStyle w:val="TextoNormalCaracter"/>
          </w:rPr>
          <w:t>43/2013</w:t>
        </w:r>
      </w:hyperlink>
      <w:r w:rsidRPr="00234417">
        <w:rPr>
          <w:rStyle w:val="TextoNormalCaracter"/>
        </w:rPr>
        <w:t xml:space="preserve">, f. 3; </w:t>
      </w:r>
      <w:hyperlink w:anchor="SENTENCIA_2013_118" w:history="1">
        <w:r w:rsidRPr="00234417">
          <w:rPr>
            <w:rStyle w:val="TextoNormalCaracter"/>
          </w:rPr>
          <w:t>118/2013</w:t>
        </w:r>
      </w:hyperlink>
      <w:r w:rsidRPr="00234417">
        <w:rPr>
          <w:rStyle w:val="TextoNormalCaracter"/>
        </w:rPr>
        <w:t xml:space="preserve">, f. 4; </w:t>
      </w:r>
      <w:hyperlink w:anchor="SENTENCIA_2013_119" w:history="1">
        <w:r w:rsidRPr="00234417">
          <w:rPr>
            <w:rStyle w:val="TextoNormalCaracter"/>
          </w:rPr>
          <w:t>119/2013</w:t>
        </w:r>
      </w:hyperlink>
      <w:r w:rsidRPr="00234417">
        <w:rPr>
          <w:rStyle w:val="TextoNormalCaracter"/>
        </w:rPr>
        <w:t xml:space="preserve">, f. 4; </w:t>
      </w:r>
      <w:hyperlink w:anchor="SENTENCIA_2013_120" w:history="1">
        <w:r w:rsidRPr="00234417">
          <w:rPr>
            <w:rStyle w:val="TextoNormalCaracter"/>
          </w:rPr>
          <w:t>120/2013</w:t>
        </w:r>
      </w:hyperlink>
      <w:r w:rsidRPr="00234417">
        <w:rPr>
          <w:rStyle w:val="TextoNormalCaracter"/>
        </w:rPr>
        <w:t>, f. 4.</w:t>
      </w:r>
    </w:p>
    <w:p w:rsidR="00234417" w:rsidRPr="00234417" w:rsidRDefault="00234417" w:rsidP="00234417">
      <w:pPr>
        <w:pStyle w:val="TextoNormalSangraFrancesa"/>
        <w:rPr>
          <w:rStyle w:val="TextoNormalNegritaCaracter"/>
        </w:rPr>
      </w:pPr>
      <w:r w:rsidRPr="00234417">
        <w:rPr>
          <w:rStyle w:val="TextoNormalCursivaCaracter"/>
        </w:rPr>
        <w:t>Derecho a utilizar los medios de prueba pertinentes</w:t>
      </w:r>
      <w:r>
        <w:t xml:space="preserve"> véase </w:t>
      </w:r>
      <w:hyperlink w:anchor="DESCRIPTORALFABETICO190" w:history="1">
        <w:r w:rsidRPr="00234417">
          <w:rPr>
            <w:rStyle w:val="TextoNormalNegritaCaracter"/>
          </w:rPr>
          <w:t>Derecho a la prueba</w:t>
        </w:r>
      </w:hyperlink>
    </w:p>
    <w:p w:rsidR="00234417" w:rsidRPr="00234417" w:rsidRDefault="00234417" w:rsidP="00234417">
      <w:pPr>
        <w:pStyle w:val="TextoNormalSangraFrancesa"/>
        <w:rPr>
          <w:rStyle w:val="TextoNormalCaracter"/>
        </w:rPr>
      </w:pPr>
      <w:bookmarkStart w:id="1553" w:name="DESCRIPTORALFABETICO508"/>
      <w:r w:rsidRPr="00234417">
        <w:rPr>
          <w:rStyle w:val="TextoNormalNegritaCaracter"/>
        </w:rPr>
        <w:t>Derecho administrativo sancionador</w:t>
      </w:r>
      <w:bookmarkEnd w:id="1553"/>
      <w:r w:rsidRPr="00234417">
        <w:rPr>
          <w:rStyle w:val="TextoNormalCaracter"/>
        </w:rPr>
        <w:t xml:space="preserve">, Sentencia </w:t>
      </w:r>
      <w:hyperlink w:anchor="SENTENCIA_2013_34" w:history="1">
        <w:r w:rsidRPr="00234417">
          <w:rPr>
            <w:rStyle w:val="TextoNormalCaracter"/>
          </w:rPr>
          <w:t>34/2013</w:t>
        </w:r>
      </w:hyperlink>
      <w:r w:rsidRPr="00234417">
        <w:rPr>
          <w:rStyle w:val="TextoNormalCaracter"/>
        </w:rPr>
        <w:t>, ff. 19, 21, VP.</w:t>
      </w:r>
    </w:p>
    <w:p w:rsidR="00234417" w:rsidRPr="00234417" w:rsidRDefault="00234417" w:rsidP="00234417">
      <w:pPr>
        <w:pStyle w:val="TextoNormalSangraFrancesa"/>
        <w:rPr>
          <w:rStyle w:val="TextoNormalCaracter"/>
        </w:rPr>
      </w:pPr>
      <w:bookmarkStart w:id="1554" w:name="DESCRIPTORALFABETICO193"/>
      <w:r w:rsidRPr="00234417">
        <w:rPr>
          <w:rStyle w:val="TextoNormalNegritaCaracter"/>
        </w:rPr>
        <w:t>Derecho al libre desarrollo de la personalidad</w:t>
      </w:r>
      <w:bookmarkEnd w:id="1554"/>
      <w:r w:rsidRPr="00234417">
        <w:rPr>
          <w:rStyle w:val="TextoNormalCaracter"/>
        </w:rPr>
        <w:t xml:space="preserve">, Sentencia </w:t>
      </w:r>
      <w:hyperlink w:anchor="SENTENCIA_2013_93" w:history="1">
        <w:r w:rsidRPr="00234417">
          <w:rPr>
            <w:rStyle w:val="TextoNormalCaracter"/>
          </w:rPr>
          <w:t>93/2013</w:t>
        </w:r>
      </w:hyperlink>
      <w:r w:rsidRPr="00234417">
        <w:rPr>
          <w:rStyle w:val="TextoNormalCaracter"/>
        </w:rPr>
        <w:t>, ff. 7, 8, 9, 10, 11.</w:t>
      </w:r>
    </w:p>
    <w:p w:rsidR="00234417" w:rsidRPr="00234417" w:rsidRDefault="00234417" w:rsidP="00234417">
      <w:pPr>
        <w:pStyle w:val="TextoNormalSangraFrancesa"/>
        <w:rPr>
          <w:rStyle w:val="TextoNormalCaracter"/>
        </w:rPr>
      </w:pPr>
      <w:bookmarkStart w:id="1555" w:name="DESCRIPTORALFABETICO194"/>
      <w:r w:rsidRPr="00234417">
        <w:rPr>
          <w:rStyle w:val="TextoNormalNegritaCaracter"/>
        </w:rPr>
        <w:t>Derecho al secreto de las comunicaciones</w:t>
      </w:r>
      <w:bookmarkEnd w:id="1555"/>
      <w:r w:rsidRPr="00234417">
        <w:rPr>
          <w:rStyle w:val="TextoNormalCaracter"/>
        </w:rPr>
        <w:t xml:space="preserve">, Sentencia </w:t>
      </w:r>
      <w:hyperlink w:anchor="SENTENCIA_2013_115" w:history="1">
        <w:r w:rsidRPr="00234417">
          <w:rPr>
            <w:rStyle w:val="TextoNormalCaracter"/>
          </w:rPr>
          <w:t>115/2013</w:t>
        </w:r>
      </w:hyperlink>
      <w:r w:rsidRPr="00234417">
        <w:rPr>
          <w:rStyle w:val="TextoNormalCaracter"/>
        </w:rPr>
        <w:t>, f. 3.</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25" w:history="1">
        <w:r w:rsidRPr="00234417">
          <w:rPr>
            <w:rStyle w:val="TextoNormalCaracter"/>
          </w:rPr>
          <w:t>25/2013</w:t>
        </w:r>
      </w:hyperlink>
      <w:r w:rsidRPr="00234417">
        <w:rPr>
          <w:rStyle w:val="TextoNormalCaracter"/>
        </w:rPr>
        <w:t>, ff. 1 a 3.</w:t>
      </w:r>
    </w:p>
    <w:p w:rsidR="00234417" w:rsidRPr="00234417" w:rsidRDefault="00234417" w:rsidP="00234417">
      <w:pPr>
        <w:pStyle w:val="TextoNormalSangraFrancesa"/>
        <w:rPr>
          <w:rStyle w:val="TextoNormalNegritaCaracter"/>
        </w:rPr>
      </w:pPr>
      <w:r w:rsidRPr="00234417">
        <w:rPr>
          <w:rStyle w:val="TextoNormalCursivaCaracter"/>
        </w:rPr>
        <w:t>Derecho comunitario</w:t>
      </w:r>
      <w:r>
        <w:t xml:space="preserve"> véase </w:t>
      </w:r>
      <w:hyperlink w:anchor="DESCRIPTORALFABETICO637" w:history="1">
        <w:r w:rsidRPr="00234417">
          <w:rPr>
            <w:rStyle w:val="TextoNormalNegritaCaracter"/>
          </w:rPr>
          <w:t>Derecho de la Unión Europea</w:t>
        </w:r>
      </w:hyperlink>
    </w:p>
    <w:p w:rsidR="00234417" w:rsidRPr="00234417" w:rsidRDefault="00234417" w:rsidP="00234417">
      <w:pPr>
        <w:pStyle w:val="TextoNormalSangraFrancesa"/>
        <w:rPr>
          <w:rStyle w:val="TextoNormalCaracter"/>
        </w:rPr>
      </w:pPr>
      <w:bookmarkStart w:id="1556" w:name="DESCRIPTORALFABETICO197"/>
      <w:r w:rsidRPr="00234417">
        <w:rPr>
          <w:rStyle w:val="TextoNormalNegritaCaracter"/>
        </w:rPr>
        <w:t>Derecho de asociación</w:t>
      </w:r>
      <w:bookmarkEnd w:id="1556"/>
      <w:r w:rsidRPr="00234417">
        <w:rPr>
          <w:rStyle w:val="TextoNormalCaracter"/>
        </w:rPr>
        <w:t xml:space="preserve">, Sentencias </w:t>
      </w:r>
      <w:hyperlink w:anchor="SENTENCIA_2013_3" w:history="1">
        <w:r w:rsidRPr="00234417">
          <w:rPr>
            <w:rStyle w:val="TextoNormalCaracter"/>
          </w:rPr>
          <w:t>3/2013</w:t>
        </w:r>
      </w:hyperlink>
      <w:r w:rsidRPr="00234417">
        <w:rPr>
          <w:rStyle w:val="TextoNormalCaracter"/>
        </w:rPr>
        <w:t xml:space="preserve">, f. 7; </w:t>
      </w:r>
      <w:hyperlink w:anchor="SENTENCIA_2013_46" w:history="1">
        <w:r w:rsidRPr="00234417">
          <w:rPr>
            <w:rStyle w:val="TextoNormalCaracter"/>
          </w:rPr>
          <w:t>46/2013</w:t>
        </w:r>
      </w:hyperlink>
      <w:r w:rsidRPr="00234417">
        <w:rPr>
          <w:rStyle w:val="TextoNormalCaracter"/>
        </w:rPr>
        <w:t xml:space="preserve">, ff. 3, 4; </w:t>
      </w:r>
      <w:hyperlink w:anchor="SENTENCIA_2013_50" w:history="1">
        <w:r w:rsidRPr="00234417">
          <w:rPr>
            <w:rStyle w:val="TextoNormalCaracter"/>
          </w:rPr>
          <w:t>50/2013</w:t>
        </w:r>
      </w:hyperlink>
      <w:r w:rsidRPr="00234417">
        <w:rPr>
          <w:rStyle w:val="TextoNormalCaracter"/>
        </w:rPr>
        <w:t xml:space="preserve">, ff. 3, 4; </w:t>
      </w:r>
      <w:hyperlink w:anchor="SENTENCIA_2013_63" w:history="1">
        <w:r w:rsidRPr="00234417">
          <w:rPr>
            <w:rStyle w:val="TextoNormalCaracter"/>
          </w:rPr>
          <w:t>63/2013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557" w:name="DESCRIPTORALFABETICO198"/>
      <w:r w:rsidRPr="00234417">
        <w:rPr>
          <w:rStyle w:val="TextoNormalNegritaCaracter"/>
        </w:rPr>
        <w:t>Derecho de fundación</w:t>
      </w:r>
      <w:bookmarkEnd w:id="1557"/>
      <w:r w:rsidRPr="00234417">
        <w:rPr>
          <w:rStyle w:val="TextoNormalCaracter"/>
        </w:rPr>
        <w:t xml:space="preserve">, Sentencia </w:t>
      </w:r>
      <w:hyperlink w:anchor="SENTENCIA_2013_98" w:history="1">
        <w:r w:rsidRPr="00234417">
          <w:rPr>
            <w:rStyle w:val="TextoNormalCaracter"/>
          </w:rPr>
          <w:t>98/2013</w:t>
        </w:r>
      </w:hyperlink>
      <w:r w:rsidRPr="00234417">
        <w:rPr>
          <w:rStyle w:val="TextoNormalCaracter"/>
        </w:rPr>
        <w:t>, ff. 2, 3.</w:t>
      </w:r>
    </w:p>
    <w:p w:rsidR="00234417" w:rsidRPr="00234417" w:rsidRDefault="00234417" w:rsidP="00234417">
      <w:pPr>
        <w:pStyle w:val="TextoNormalSangraFrancesa"/>
        <w:rPr>
          <w:rStyle w:val="TextoNormalNegritaCaracter"/>
        </w:rPr>
      </w:pPr>
      <w:r w:rsidRPr="00234417">
        <w:rPr>
          <w:rStyle w:val="TextoNormalCursivaCaracter"/>
        </w:rPr>
        <w:t>Derecho de gracia</w:t>
      </w:r>
      <w:r>
        <w:t xml:space="preserve"> véase </w:t>
      </w:r>
      <w:hyperlink w:anchor="DESCRIPTORALFABETICO749" w:history="1">
        <w:r w:rsidRPr="00234417">
          <w:rPr>
            <w:rStyle w:val="TextoNormalNegritaCaracter"/>
          </w:rPr>
          <w:t>Indulto</w:t>
        </w:r>
      </w:hyperlink>
    </w:p>
    <w:p w:rsidR="00234417" w:rsidRPr="00234417" w:rsidRDefault="00234417" w:rsidP="00234417">
      <w:pPr>
        <w:pStyle w:val="TextoNormalSangraFrancesa"/>
        <w:rPr>
          <w:rStyle w:val="TextoNormalCaracter"/>
        </w:rPr>
      </w:pPr>
      <w:bookmarkStart w:id="1558" w:name="DESCRIPTORALFABETICO562"/>
      <w:r w:rsidRPr="00234417">
        <w:rPr>
          <w:rStyle w:val="TextoNormalNegritaCaracter"/>
        </w:rPr>
        <w:t>Derecho de guarda y custodia</w:t>
      </w:r>
      <w:bookmarkEnd w:id="1558"/>
      <w:r w:rsidRPr="00234417">
        <w:rPr>
          <w:rStyle w:val="TextoNormalCaracter"/>
        </w:rPr>
        <w:t xml:space="preserve">, Sentencia </w:t>
      </w:r>
      <w:hyperlink w:anchor="SENTENCIA_2013_127" w:history="1">
        <w:r w:rsidRPr="00234417">
          <w:rPr>
            <w:rStyle w:val="TextoNormalCaracter"/>
          </w:rPr>
          <w:t>127/2013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1559" w:name="DESCRIPTORALFABETICO637"/>
      <w:r w:rsidRPr="00234417">
        <w:rPr>
          <w:rStyle w:val="TextoNormalNegritaCaracter"/>
        </w:rPr>
        <w:t>Derecho de la Unión Europea</w:t>
      </w:r>
      <w:bookmarkEnd w:id="1559"/>
      <w:r w:rsidRPr="00234417">
        <w:rPr>
          <w:rStyle w:val="TextoNormalCaracter"/>
        </w:rPr>
        <w:t xml:space="preserve">, Sentencias </w:t>
      </w:r>
      <w:hyperlink w:anchor="SENTENCIA_2013_27" w:history="1">
        <w:r w:rsidRPr="00234417">
          <w:rPr>
            <w:rStyle w:val="TextoNormalCaracter"/>
          </w:rPr>
          <w:t>27/2013</w:t>
        </w:r>
      </w:hyperlink>
      <w:r w:rsidRPr="00234417">
        <w:rPr>
          <w:rStyle w:val="TextoNormalCaracter"/>
        </w:rPr>
        <w:t xml:space="preserve">, f. 6; </w:t>
      </w:r>
      <w:hyperlink w:anchor="SENTENCIA_2013_104" w:history="1">
        <w:r w:rsidRPr="00234417">
          <w:rPr>
            <w:rStyle w:val="TextoNormalCaracter"/>
          </w:rPr>
          <w:t>104/2013</w:t>
        </w:r>
      </w:hyperlink>
      <w:r w:rsidRPr="00234417">
        <w:rPr>
          <w:rStyle w:val="TextoNormalCaracter"/>
        </w:rPr>
        <w:t xml:space="preserve">, ff. 3, 5; </w:t>
      </w:r>
      <w:hyperlink w:anchor="SENTENCIA_2013_129" w:history="1">
        <w:r w:rsidRPr="00234417">
          <w:rPr>
            <w:rStyle w:val="TextoNormalCaracter"/>
          </w:rPr>
          <w:t>129/2013</w:t>
        </w:r>
      </w:hyperlink>
      <w:r w:rsidRPr="00234417">
        <w:rPr>
          <w:rStyle w:val="TextoNormalCaracter"/>
        </w:rPr>
        <w:t xml:space="preserve">, ff. 6, 7; </w:t>
      </w:r>
      <w:hyperlink w:anchor="SENTENCIA_2013_138" w:history="1">
        <w:r w:rsidRPr="00234417">
          <w:rPr>
            <w:rStyle w:val="TextoNormalCaracter"/>
          </w:rPr>
          <w:t>138/2013</w:t>
        </w:r>
      </w:hyperlink>
      <w:r w:rsidRPr="00234417">
        <w:rPr>
          <w:rStyle w:val="TextoNormalCaracter"/>
        </w:rPr>
        <w:t>, f. 9.</w:t>
      </w:r>
    </w:p>
    <w:p w:rsidR="00234417" w:rsidRPr="00234417" w:rsidRDefault="00234417" w:rsidP="00234417">
      <w:pPr>
        <w:pStyle w:val="TextoNormalSangraFrancesa"/>
        <w:rPr>
          <w:rStyle w:val="TextoNormalCaracter"/>
        </w:rPr>
      </w:pPr>
      <w:bookmarkStart w:id="1560" w:name="DESCRIPTORALFABETICO638"/>
      <w:r w:rsidRPr="00234417">
        <w:rPr>
          <w:rStyle w:val="TextoNormalNegritaCaracter"/>
        </w:rPr>
        <w:t>Derecho de la Unión Europea no es canon de constitucionalidad autónomo</w:t>
      </w:r>
      <w:bookmarkEnd w:id="1560"/>
      <w:r w:rsidRPr="00234417">
        <w:rPr>
          <w:rStyle w:val="TextoNormalCaracter"/>
        </w:rPr>
        <w:t xml:space="preserve">, Sentencias </w:t>
      </w:r>
      <w:hyperlink w:anchor="SENTENCIA_2013_41" w:history="1">
        <w:r w:rsidRPr="00234417">
          <w:rPr>
            <w:rStyle w:val="TextoNormalCaracter"/>
          </w:rPr>
          <w:t>41/2013</w:t>
        </w:r>
      </w:hyperlink>
      <w:r w:rsidRPr="00234417">
        <w:rPr>
          <w:rStyle w:val="TextoNormalCaracter"/>
        </w:rPr>
        <w:t xml:space="preserve">, f. 2; </w:t>
      </w:r>
      <w:hyperlink w:anchor="SENTENCIA_2013_61" w:history="1">
        <w:r w:rsidRPr="00234417">
          <w:rPr>
            <w:rStyle w:val="TextoNormalCaracter"/>
          </w:rPr>
          <w:t>61/2013</w:t>
        </w:r>
      </w:hyperlink>
      <w:r w:rsidRPr="00234417">
        <w:rPr>
          <w:rStyle w:val="TextoNormalCaracter"/>
        </w:rPr>
        <w:t>, f. 5.</w:t>
      </w:r>
    </w:p>
    <w:p w:rsidR="00234417" w:rsidRPr="00234417" w:rsidRDefault="00234417" w:rsidP="00234417">
      <w:pPr>
        <w:pStyle w:val="TextoNormalSangraFrancesa"/>
        <w:rPr>
          <w:rStyle w:val="TextoNormalCaracter"/>
        </w:rPr>
      </w:pPr>
      <w:bookmarkStart w:id="1561" w:name="DESCRIPTORALFABETICO199"/>
      <w:r w:rsidRPr="00234417">
        <w:rPr>
          <w:rStyle w:val="TextoNormalNegritaCaracter"/>
        </w:rPr>
        <w:t>Derecho de sufragio</w:t>
      </w:r>
      <w:bookmarkEnd w:id="1561"/>
      <w:r w:rsidRPr="00234417">
        <w:rPr>
          <w:rStyle w:val="TextoNormalCaracter"/>
        </w:rPr>
        <w:t xml:space="preserve">, Sentencia </w:t>
      </w:r>
      <w:hyperlink w:anchor="SENTENCIA_2013_125" w:history="1">
        <w:r w:rsidRPr="00234417">
          <w:rPr>
            <w:rStyle w:val="TextoNormalCaracter"/>
          </w:rPr>
          <w:t>125/2013</w:t>
        </w:r>
      </w:hyperlink>
      <w:r w:rsidRPr="00234417">
        <w:rPr>
          <w:rStyle w:val="TextoNormalCaracter"/>
        </w:rPr>
        <w:t>, f. 5.</w:t>
      </w:r>
    </w:p>
    <w:p w:rsidR="00234417" w:rsidRPr="00234417" w:rsidRDefault="00234417" w:rsidP="00234417">
      <w:pPr>
        <w:pStyle w:val="TextoNormalSangraFrancesa"/>
        <w:rPr>
          <w:rStyle w:val="TextoNormalCaracter"/>
        </w:rPr>
      </w:pPr>
      <w:bookmarkStart w:id="1562" w:name="DESCRIPTORALFABETICO643"/>
      <w:r w:rsidRPr="00234417">
        <w:rPr>
          <w:rStyle w:val="TextoNormalNegritaCaracter"/>
        </w:rPr>
        <w:t>Derecho del mar</w:t>
      </w:r>
      <w:bookmarkEnd w:id="1562"/>
      <w:r w:rsidRPr="00234417">
        <w:rPr>
          <w:rStyle w:val="TextoNormalCaracter"/>
        </w:rPr>
        <w:t xml:space="preserve">, Sentencia </w:t>
      </w:r>
      <w:hyperlink w:anchor="SENTENCIA_2013_8" w:history="1">
        <w:r w:rsidRPr="00234417">
          <w:rPr>
            <w:rStyle w:val="TextoNormalCaracter"/>
          </w:rPr>
          <w:t>8/2013</w:t>
        </w:r>
      </w:hyperlink>
      <w:r w:rsidRPr="00234417">
        <w:rPr>
          <w:rStyle w:val="TextoNormalCaracter"/>
        </w:rPr>
        <w:t>, f. 7.</w:t>
      </w:r>
    </w:p>
    <w:p w:rsidR="00234417" w:rsidRPr="00234417" w:rsidRDefault="00234417" w:rsidP="00234417">
      <w:pPr>
        <w:pStyle w:val="TextoNormalSangraFrancesa"/>
        <w:rPr>
          <w:rStyle w:val="TextoNormalNegritaCaracter"/>
        </w:rPr>
      </w:pPr>
      <w:r w:rsidRPr="00234417">
        <w:rPr>
          <w:rStyle w:val="TextoNormalCursivaCaracter"/>
        </w:rPr>
        <w:t>Derecho estatutario</w:t>
      </w:r>
      <w:r>
        <w:t xml:space="preserve"> véase </w:t>
      </w:r>
      <w:hyperlink w:anchor="DESCRIPTORALFABETICO650" w:history="1">
        <w:r w:rsidRPr="00234417">
          <w:rPr>
            <w:rStyle w:val="TextoNormalNegritaCaracter"/>
          </w:rPr>
          <w:t>Estatutos de Autonomía</w:t>
        </w:r>
      </w:hyperlink>
    </w:p>
    <w:p w:rsidR="00234417" w:rsidRPr="00234417" w:rsidRDefault="00234417" w:rsidP="00234417">
      <w:pPr>
        <w:pStyle w:val="TextoNormalSangraFrancesa"/>
        <w:rPr>
          <w:rStyle w:val="TextoNormalCaracter"/>
        </w:rPr>
      </w:pPr>
      <w:bookmarkStart w:id="1563" w:name="DESCRIPTORALFABETICO687"/>
      <w:r w:rsidRPr="00234417">
        <w:rPr>
          <w:rStyle w:val="TextoNormalNegritaCaracter"/>
        </w:rPr>
        <w:t>Derecho transitorio</w:t>
      </w:r>
      <w:bookmarkEnd w:id="1563"/>
      <w:r w:rsidRPr="00234417">
        <w:rPr>
          <w:rStyle w:val="TextoNormalCaracter"/>
        </w:rPr>
        <w:t xml:space="preserve">, Sentencia </w:t>
      </w:r>
      <w:hyperlink w:anchor="SENTENCIA_2013_42" w:history="1">
        <w:r w:rsidRPr="00234417">
          <w:rPr>
            <w:rStyle w:val="TextoNormalCaracter"/>
          </w:rPr>
          <w:t>42/2013</w:t>
        </w:r>
      </w:hyperlink>
      <w:r w:rsidRPr="00234417">
        <w:rPr>
          <w:rStyle w:val="TextoNormalCaracter"/>
        </w:rPr>
        <w:t>, ff. 1, 3.</w:t>
      </w:r>
    </w:p>
    <w:p w:rsidR="00234417" w:rsidRPr="00234417" w:rsidRDefault="00234417" w:rsidP="00234417">
      <w:pPr>
        <w:pStyle w:val="TextoNormalSangraFrancesa"/>
        <w:rPr>
          <w:rStyle w:val="TextoNormalCaracter"/>
        </w:rPr>
      </w:pPr>
      <w:bookmarkStart w:id="1564" w:name="DESCRIPTORALFABETICO636"/>
      <w:r w:rsidRPr="00234417">
        <w:rPr>
          <w:rStyle w:val="TextoNormalNegritaCaracter"/>
        </w:rPr>
        <w:t>Derechos civiles especiales</w:t>
      </w:r>
      <w:bookmarkEnd w:id="1564"/>
      <w:r w:rsidRPr="00234417">
        <w:rPr>
          <w:rStyle w:val="TextoNormalCaracter"/>
        </w:rPr>
        <w:t xml:space="preserve">, Sentencia </w:t>
      </w:r>
      <w:hyperlink w:anchor="SENTENCIA_2013_42" w:history="1">
        <w:r w:rsidRPr="00234417">
          <w:rPr>
            <w:rStyle w:val="TextoNormalCaracter"/>
          </w:rPr>
          <w:t>42/2013</w:t>
        </w:r>
      </w:hyperlink>
      <w:r w:rsidRPr="00234417">
        <w:rPr>
          <w:rStyle w:val="TextoNormalCaracter"/>
        </w:rPr>
        <w:t>, ff. 1, 3.</w:t>
      </w:r>
    </w:p>
    <w:p w:rsidR="00234417" w:rsidRPr="00234417" w:rsidRDefault="00234417" w:rsidP="00234417">
      <w:pPr>
        <w:pStyle w:val="TextoNormalSangraFrancesa"/>
        <w:rPr>
          <w:rStyle w:val="TextoNormalCaracter"/>
        </w:rPr>
      </w:pPr>
      <w:bookmarkStart w:id="1565" w:name="DESCRIPTORALFABETICO506"/>
      <w:r w:rsidRPr="00234417">
        <w:rPr>
          <w:rStyle w:val="TextoNormalNegritaCaracter"/>
        </w:rPr>
        <w:t>Derechos de los consumidores</w:t>
      </w:r>
      <w:bookmarkEnd w:id="1565"/>
      <w:r w:rsidRPr="00234417">
        <w:rPr>
          <w:rStyle w:val="TextoNormalCaracter"/>
        </w:rPr>
        <w:t xml:space="preserve">, Sentencia </w:t>
      </w:r>
      <w:hyperlink w:anchor="SENTENCIA_2013_4" w:history="1">
        <w:r w:rsidRPr="00234417">
          <w:rPr>
            <w:rStyle w:val="TextoNormalCaracter"/>
          </w:rPr>
          <w:t>4/2013</w:t>
        </w:r>
      </w:hyperlink>
      <w:r w:rsidRPr="00234417">
        <w:rPr>
          <w:rStyle w:val="TextoNormalCaracter"/>
        </w:rPr>
        <w:t>, f. 9.</w:t>
      </w:r>
    </w:p>
    <w:p w:rsidR="00234417" w:rsidRPr="00234417" w:rsidRDefault="00234417" w:rsidP="00234417">
      <w:pPr>
        <w:pStyle w:val="TextoNormalSangraFrancesa"/>
        <w:rPr>
          <w:rStyle w:val="TextoNormalCaracter"/>
        </w:rPr>
      </w:pPr>
      <w:bookmarkStart w:id="1566" w:name="DESCRIPTORALFABETICO430"/>
      <w:r w:rsidRPr="00234417">
        <w:rPr>
          <w:rStyle w:val="TextoNormalNegritaCaracter"/>
        </w:rPr>
        <w:t>Derechos y libertades de los extranjeros en España</w:t>
      </w:r>
      <w:bookmarkEnd w:id="1566"/>
      <w:r w:rsidRPr="00234417">
        <w:rPr>
          <w:rStyle w:val="TextoNormalCaracter"/>
        </w:rPr>
        <w:t xml:space="preserve">, Sentencia </w:t>
      </w:r>
      <w:hyperlink w:anchor="SENTENCIA_2013_17" w:history="1">
        <w:r w:rsidRPr="00234417">
          <w:rPr>
            <w:rStyle w:val="TextoNormalCaracter"/>
          </w:rPr>
          <w:t>17/2013</w:t>
        </w:r>
      </w:hyperlink>
      <w:r w:rsidRPr="00234417">
        <w:rPr>
          <w:rStyle w:val="TextoNormalCaracter"/>
        </w:rPr>
        <w:t>, f. 2.</w:t>
      </w:r>
    </w:p>
    <w:p w:rsidR="00234417" w:rsidRPr="00234417" w:rsidRDefault="00234417" w:rsidP="00234417">
      <w:pPr>
        <w:pStyle w:val="TextoNormalSangraFrancesa"/>
        <w:rPr>
          <w:rStyle w:val="TextoNormalCaracter"/>
        </w:rPr>
      </w:pPr>
      <w:bookmarkStart w:id="1567" w:name="DESCRIPTORALFABETICO685"/>
      <w:r w:rsidRPr="00234417">
        <w:rPr>
          <w:rStyle w:val="TextoNormalNegritaCaracter"/>
        </w:rPr>
        <w:t>Derogación de normas jurídicas</w:t>
      </w:r>
      <w:bookmarkEnd w:id="1567"/>
      <w:r w:rsidRPr="00234417">
        <w:rPr>
          <w:rStyle w:val="TextoNormalCaracter"/>
        </w:rPr>
        <w:t xml:space="preserve">, Sentencia </w:t>
      </w:r>
      <w:hyperlink w:anchor="SENTENCIA_2013_51" w:history="1">
        <w:r w:rsidRPr="00234417">
          <w:rPr>
            <w:rStyle w:val="TextoNormalCaracter"/>
          </w:rPr>
          <w:t>51/2013</w:t>
        </w:r>
      </w:hyperlink>
      <w:r w:rsidRPr="00234417">
        <w:rPr>
          <w:rStyle w:val="TextoNormalCaracter"/>
        </w:rPr>
        <w:t>, f. 4.</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87" w:history="1">
        <w:r w:rsidRPr="00234417">
          <w:rPr>
            <w:rStyle w:val="TextoNormalCaracter"/>
          </w:rPr>
          <w:t>87/2013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568" w:name="DESCRIPTORALFABETICO514"/>
      <w:r w:rsidRPr="00234417">
        <w:rPr>
          <w:rStyle w:val="TextoNormalNegritaCaracter"/>
        </w:rPr>
        <w:t>Desafectación de bienes de dominio público</w:t>
      </w:r>
      <w:bookmarkEnd w:id="1568"/>
      <w:r w:rsidRPr="00234417">
        <w:rPr>
          <w:rStyle w:val="TextoNormalCaracter"/>
        </w:rPr>
        <w:t xml:space="preserve">, Sentencia </w:t>
      </w:r>
      <w:hyperlink w:anchor="SENTENCIA_2013_94" w:history="1">
        <w:r w:rsidRPr="00234417">
          <w:rPr>
            <w:rStyle w:val="TextoNormalCaracter"/>
          </w:rPr>
          <w:t>94/2013</w:t>
        </w:r>
      </w:hyperlink>
      <w:r w:rsidRPr="00234417">
        <w:rPr>
          <w:rStyle w:val="TextoNormalCaracter"/>
        </w:rPr>
        <w:t>, ff. 5, 8, VP I, VP II.</w:t>
      </w:r>
    </w:p>
    <w:p w:rsidR="00234417" w:rsidRPr="00234417" w:rsidRDefault="00234417" w:rsidP="00234417">
      <w:pPr>
        <w:pStyle w:val="TextoNormalSangraFrancesa"/>
        <w:rPr>
          <w:rStyle w:val="TextoNormalCaracter"/>
        </w:rPr>
      </w:pPr>
      <w:bookmarkStart w:id="1569" w:name="DESCRIPTORALFABETICO668"/>
      <w:r w:rsidRPr="00234417">
        <w:rPr>
          <w:rStyle w:val="TextoNormalNegritaCaracter"/>
        </w:rPr>
        <w:t>Desarrollo reglamentario de normas básicas</w:t>
      </w:r>
      <w:bookmarkEnd w:id="1569"/>
      <w:r w:rsidRPr="00234417">
        <w:rPr>
          <w:rStyle w:val="TextoNormalCaracter"/>
        </w:rPr>
        <w:t xml:space="preserve">, Sentencias </w:t>
      </w:r>
      <w:hyperlink w:anchor="SENTENCIA_2013_25" w:history="1">
        <w:r w:rsidRPr="00234417">
          <w:rPr>
            <w:rStyle w:val="TextoNormalCaracter"/>
          </w:rPr>
          <w:t>25/2013</w:t>
        </w:r>
      </w:hyperlink>
      <w:r w:rsidRPr="00234417">
        <w:rPr>
          <w:rStyle w:val="TextoNormalCaracter"/>
        </w:rPr>
        <w:t xml:space="preserve">, f. 4; </w:t>
      </w:r>
      <w:hyperlink w:anchor="SENTENCIA_2013_47" w:history="1">
        <w:r w:rsidRPr="00234417">
          <w:rPr>
            <w:rStyle w:val="TextoNormalCaracter"/>
          </w:rPr>
          <w:t>47/2013</w:t>
        </w:r>
      </w:hyperlink>
      <w:r w:rsidRPr="00234417">
        <w:rPr>
          <w:rStyle w:val="TextoNormalCaracter"/>
        </w:rPr>
        <w:t>, f. 3.</w:t>
      </w:r>
    </w:p>
    <w:p w:rsidR="00234417" w:rsidRPr="00234417" w:rsidRDefault="00234417" w:rsidP="00234417">
      <w:pPr>
        <w:pStyle w:val="TextoNormalSangraFrancesa"/>
        <w:rPr>
          <w:rStyle w:val="TextoNormalCaracter"/>
        </w:rPr>
      </w:pPr>
      <w:bookmarkStart w:id="1570" w:name="DESCRIPTORALFABETICO876"/>
      <w:r w:rsidRPr="00234417">
        <w:rPr>
          <w:rStyle w:val="TextoNormalNegritaCaracter"/>
        </w:rPr>
        <w:t>Desestimación de recurso de súplica</w:t>
      </w:r>
      <w:bookmarkEnd w:id="1570"/>
      <w:r w:rsidRPr="00234417">
        <w:rPr>
          <w:rStyle w:val="TextoNormalCaracter"/>
        </w:rPr>
        <w:t xml:space="preserve">, Auto </w:t>
      </w:r>
      <w:hyperlink w:anchor="AUTO_2013_2" w:history="1">
        <w:r w:rsidRPr="00234417">
          <w:rPr>
            <w:rStyle w:val="TextoNormalCaracter"/>
          </w:rPr>
          <w:t>2/2013</w:t>
        </w:r>
      </w:hyperlink>
      <w:r w:rsidRPr="00234417">
        <w:rPr>
          <w:rStyle w:val="TextoNormalCaracter"/>
        </w:rPr>
        <w:t>, ff. 1 a 4.</w:t>
      </w:r>
    </w:p>
    <w:p w:rsidR="00234417" w:rsidRPr="00234417" w:rsidRDefault="00234417" w:rsidP="00234417">
      <w:pPr>
        <w:pStyle w:val="TextoNormalSangraFrancesa"/>
        <w:rPr>
          <w:rStyle w:val="TextoNormalCaracter"/>
        </w:rPr>
      </w:pPr>
      <w:bookmarkStart w:id="1571" w:name="DESCRIPTORALFABETICO256"/>
      <w:r w:rsidRPr="00234417">
        <w:rPr>
          <w:rStyle w:val="TextoNormalNegritaCaracter"/>
        </w:rPr>
        <w:t>Desestimación de recurso de súplica contra Autos del Tribunal Constitucional</w:t>
      </w:r>
      <w:bookmarkEnd w:id="1571"/>
      <w:r w:rsidRPr="00234417">
        <w:rPr>
          <w:rStyle w:val="TextoNormalCaracter"/>
        </w:rPr>
        <w:t xml:space="preserve">, Autos </w:t>
      </w:r>
      <w:hyperlink w:anchor="AUTO_2013_143" w:history="1">
        <w:r w:rsidRPr="00234417">
          <w:rPr>
            <w:rStyle w:val="TextoNormalCaracter"/>
          </w:rPr>
          <w:t>143/2013</w:t>
        </w:r>
      </w:hyperlink>
      <w:r w:rsidRPr="00234417">
        <w:rPr>
          <w:rStyle w:val="TextoNormalCaracter"/>
        </w:rPr>
        <w:t xml:space="preserve">, ff. 1 a 3; </w:t>
      </w:r>
      <w:hyperlink w:anchor="AUTO_2013_145" w:history="1">
        <w:r w:rsidRPr="00234417">
          <w:rPr>
            <w:rStyle w:val="TextoNormalCaracter"/>
          </w:rPr>
          <w:t>145/2013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572" w:name="DESCRIPTORALFABETICO257"/>
      <w:r w:rsidRPr="00234417">
        <w:rPr>
          <w:rStyle w:val="TextoNormalNegritaCaracter"/>
        </w:rPr>
        <w:t>Desestimación de recurso de súplica contra providencias de inadmisión del Tribunal Constitucional</w:t>
      </w:r>
      <w:bookmarkEnd w:id="1572"/>
      <w:r w:rsidRPr="00234417">
        <w:rPr>
          <w:rStyle w:val="TextoNormalCaracter"/>
        </w:rPr>
        <w:t xml:space="preserve">, Autos </w:t>
      </w:r>
      <w:hyperlink w:anchor="AUTO_2013_47" w:history="1">
        <w:r w:rsidRPr="00234417">
          <w:rPr>
            <w:rStyle w:val="TextoNormalCaracter"/>
          </w:rPr>
          <w:t>47/2013</w:t>
        </w:r>
      </w:hyperlink>
      <w:r w:rsidRPr="00234417">
        <w:rPr>
          <w:rStyle w:val="TextoNormalCaracter"/>
        </w:rPr>
        <w:t xml:space="preserve">, f. único; </w:t>
      </w:r>
      <w:hyperlink w:anchor="AUTO_2013_132" w:history="1">
        <w:r w:rsidRPr="00234417">
          <w:rPr>
            <w:rStyle w:val="TextoNormalCaracter"/>
          </w:rPr>
          <w:t>132/2013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573" w:name="DESCRIPTORALFABETICO841"/>
      <w:r w:rsidRPr="00234417">
        <w:rPr>
          <w:rStyle w:val="TextoNormalNegritaCaracter"/>
        </w:rPr>
        <w:t>Designación de perito</w:t>
      </w:r>
      <w:bookmarkEnd w:id="1573"/>
      <w:r w:rsidRPr="00234417">
        <w:rPr>
          <w:rStyle w:val="TextoNormalCaracter"/>
        </w:rPr>
        <w:t xml:space="preserve">, Sentencia </w:t>
      </w:r>
      <w:hyperlink w:anchor="SENTENCIA_2013_91" w:history="1">
        <w:r w:rsidRPr="00234417">
          <w:rPr>
            <w:rStyle w:val="TextoNormalCaracter"/>
          </w:rPr>
          <w:t>91/2013</w:t>
        </w:r>
      </w:hyperlink>
      <w:r w:rsidRPr="00234417">
        <w:rPr>
          <w:rStyle w:val="TextoNormalCaracter"/>
        </w:rPr>
        <w:t>, f. 4.</w:t>
      </w:r>
    </w:p>
    <w:p w:rsidR="00234417" w:rsidRPr="00234417" w:rsidRDefault="00234417" w:rsidP="00234417">
      <w:pPr>
        <w:pStyle w:val="TextoNormalSangraFrancesa"/>
        <w:rPr>
          <w:rStyle w:val="TextoNormalCaracter"/>
        </w:rPr>
      </w:pPr>
      <w:bookmarkStart w:id="1574" w:name="DESCRIPTORALFABETICO259"/>
      <w:r w:rsidRPr="00234417">
        <w:rPr>
          <w:rStyle w:val="TextoNormalNegritaCaracter"/>
        </w:rPr>
        <w:t>Desistimiento en el recurso de amparo</w:t>
      </w:r>
      <w:bookmarkEnd w:id="1574"/>
      <w:r w:rsidRPr="00234417">
        <w:rPr>
          <w:rStyle w:val="TextoNormalCaracter"/>
        </w:rPr>
        <w:t xml:space="preserve">, </w:t>
      </w:r>
    </w:p>
    <w:p w:rsidR="00234417" w:rsidRPr="00234417" w:rsidRDefault="00234417" w:rsidP="00234417">
      <w:pPr>
        <w:pStyle w:val="TextoNormalSangraFrancesa"/>
        <w:rPr>
          <w:rStyle w:val="TextoNormalCaracter"/>
        </w:rPr>
      </w:pPr>
      <w:r w:rsidRPr="00234417">
        <w:rPr>
          <w:rStyle w:val="TextoNormalCursivaCaracter"/>
        </w:rPr>
        <w:lastRenderedPageBreak/>
        <w:t xml:space="preserve">    Improcedencia, </w:t>
      </w:r>
      <w:r w:rsidRPr="00234417">
        <w:rPr>
          <w:rStyle w:val="TextoNormalCaracter"/>
        </w:rPr>
        <w:t xml:space="preserve">Auto </w:t>
      </w:r>
      <w:hyperlink w:anchor="AUTO_2013_89" w:history="1">
        <w:r w:rsidRPr="00234417">
          <w:rPr>
            <w:rStyle w:val="TextoNormalCaracter"/>
          </w:rPr>
          <w:t>89/2013</w:t>
        </w:r>
      </w:hyperlink>
      <w:r w:rsidRPr="00234417">
        <w:rPr>
          <w:rStyle w:val="TextoNormalCaracter"/>
        </w:rPr>
        <w:t>, ff. 4, 5, VP I, VP II.</w:t>
      </w:r>
    </w:p>
    <w:p w:rsidR="00234417" w:rsidRPr="00234417" w:rsidRDefault="00234417" w:rsidP="00234417">
      <w:pPr>
        <w:pStyle w:val="TextoNormalSangraFrancesa"/>
        <w:rPr>
          <w:rStyle w:val="TextoNormalCaracter"/>
        </w:rPr>
      </w:pPr>
      <w:r w:rsidRPr="00234417">
        <w:rPr>
          <w:rStyle w:val="TextoNormalCursivaCaracter"/>
        </w:rPr>
        <w:t xml:space="preserve">    Procedencia, </w:t>
      </w:r>
      <w:r w:rsidRPr="00234417">
        <w:rPr>
          <w:rStyle w:val="TextoNormalCaracter"/>
        </w:rPr>
        <w:t xml:space="preserve">Autos </w:t>
      </w:r>
      <w:hyperlink w:anchor="AUTO_2013_1" w:history="1">
        <w:r w:rsidRPr="00234417">
          <w:rPr>
            <w:rStyle w:val="TextoNormalCaracter"/>
          </w:rPr>
          <w:t>1/2013</w:t>
        </w:r>
      </w:hyperlink>
      <w:r w:rsidRPr="00234417">
        <w:rPr>
          <w:rStyle w:val="TextoNormalCaracter"/>
        </w:rPr>
        <w:t xml:space="preserve">, f. único; </w:t>
      </w:r>
      <w:hyperlink w:anchor="AUTO_2013_7" w:history="1">
        <w:r w:rsidRPr="00234417">
          <w:rPr>
            <w:rStyle w:val="TextoNormalCaracter"/>
          </w:rPr>
          <w:t>7/2013</w:t>
        </w:r>
      </w:hyperlink>
      <w:r w:rsidRPr="00234417">
        <w:rPr>
          <w:rStyle w:val="TextoNormalCaracter"/>
        </w:rPr>
        <w:t xml:space="preserve">, f. único; </w:t>
      </w:r>
      <w:hyperlink w:anchor="AUTO_2013_13" w:history="1">
        <w:r w:rsidRPr="00234417">
          <w:rPr>
            <w:rStyle w:val="TextoNormalCaracter"/>
          </w:rPr>
          <w:t>13/2013</w:t>
        </w:r>
      </w:hyperlink>
      <w:r w:rsidRPr="00234417">
        <w:rPr>
          <w:rStyle w:val="TextoNormalCaracter"/>
        </w:rPr>
        <w:t xml:space="preserve">, f. único; </w:t>
      </w:r>
      <w:hyperlink w:anchor="AUTO_2013_14" w:history="1">
        <w:r w:rsidRPr="00234417">
          <w:rPr>
            <w:rStyle w:val="TextoNormalCaracter"/>
          </w:rPr>
          <w:t>14/2013</w:t>
        </w:r>
      </w:hyperlink>
      <w:r w:rsidRPr="00234417">
        <w:rPr>
          <w:rStyle w:val="TextoNormalCaracter"/>
        </w:rPr>
        <w:t xml:space="preserve">, f. único; </w:t>
      </w:r>
      <w:hyperlink w:anchor="AUTO_2013_26" w:history="1">
        <w:r w:rsidRPr="00234417">
          <w:rPr>
            <w:rStyle w:val="TextoNormalCaracter"/>
          </w:rPr>
          <w:t>26/2013</w:t>
        </w:r>
      </w:hyperlink>
      <w:r w:rsidRPr="00234417">
        <w:rPr>
          <w:rStyle w:val="TextoNormalCaracter"/>
        </w:rPr>
        <w:t xml:space="preserve">, f. único; </w:t>
      </w:r>
      <w:hyperlink w:anchor="AUTO_2013_36" w:history="1">
        <w:r w:rsidRPr="00234417">
          <w:rPr>
            <w:rStyle w:val="TextoNormalCaracter"/>
          </w:rPr>
          <w:t>36/2013</w:t>
        </w:r>
      </w:hyperlink>
      <w:r w:rsidRPr="00234417">
        <w:rPr>
          <w:rStyle w:val="TextoNormalCaracter"/>
        </w:rPr>
        <w:t xml:space="preserve">, f. único; </w:t>
      </w:r>
      <w:hyperlink w:anchor="AUTO_2013_41" w:history="1">
        <w:r w:rsidRPr="00234417">
          <w:rPr>
            <w:rStyle w:val="TextoNormalCaracter"/>
          </w:rPr>
          <w:t>41/2013</w:t>
        </w:r>
      </w:hyperlink>
      <w:r w:rsidRPr="00234417">
        <w:rPr>
          <w:rStyle w:val="TextoNormalCaracter"/>
        </w:rPr>
        <w:t xml:space="preserve">, f. único; </w:t>
      </w:r>
      <w:hyperlink w:anchor="AUTO_2013_43" w:history="1">
        <w:r w:rsidRPr="00234417">
          <w:rPr>
            <w:rStyle w:val="TextoNormalCaracter"/>
          </w:rPr>
          <w:t>43/2013</w:t>
        </w:r>
      </w:hyperlink>
      <w:r w:rsidRPr="00234417">
        <w:rPr>
          <w:rStyle w:val="TextoNormalCaracter"/>
        </w:rPr>
        <w:t xml:space="preserve">, f. único; </w:t>
      </w:r>
      <w:hyperlink w:anchor="AUTO_2013_48" w:history="1">
        <w:r w:rsidRPr="00234417">
          <w:rPr>
            <w:rStyle w:val="TextoNormalCaracter"/>
          </w:rPr>
          <w:t>48/2013</w:t>
        </w:r>
      </w:hyperlink>
      <w:r w:rsidRPr="00234417">
        <w:rPr>
          <w:rStyle w:val="TextoNormalCaracter"/>
        </w:rPr>
        <w:t xml:space="preserve">, f. único; </w:t>
      </w:r>
      <w:hyperlink w:anchor="AUTO_2013_63" w:history="1">
        <w:r w:rsidRPr="00234417">
          <w:rPr>
            <w:rStyle w:val="TextoNormalCaracter"/>
          </w:rPr>
          <w:t>63/2013</w:t>
        </w:r>
      </w:hyperlink>
      <w:r w:rsidRPr="00234417">
        <w:rPr>
          <w:rStyle w:val="TextoNormalCaracter"/>
        </w:rPr>
        <w:t xml:space="preserve">, f. único; </w:t>
      </w:r>
      <w:hyperlink w:anchor="AUTO_2013_65" w:history="1">
        <w:r w:rsidRPr="00234417">
          <w:rPr>
            <w:rStyle w:val="TextoNormalCaracter"/>
          </w:rPr>
          <w:t>65/2013</w:t>
        </w:r>
      </w:hyperlink>
      <w:r w:rsidRPr="00234417">
        <w:rPr>
          <w:rStyle w:val="TextoNormalCaracter"/>
        </w:rPr>
        <w:t xml:space="preserve">, f. único; </w:t>
      </w:r>
      <w:hyperlink w:anchor="AUTO_2013_70" w:history="1">
        <w:r w:rsidRPr="00234417">
          <w:rPr>
            <w:rStyle w:val="TextoNormalCaracter"/>
          </w:rPr>
          <w:t>70/2013</w:t>
        </w:r>
      </w:hyperlink>
      <w:r w:rsidRPr="00234417">
        <w:rPr>
          <w:rStyle w:val="TextoNormalCaracter"/>
        </w:rPr>
        <w:t xml:space="preserve">, f. 4; </w:t>
      </w:r>
      <w:hyperlink w:anchor="AUTO_2013_71" w:history="1">
        <w:r w:rsidRPr="00234417">
          <w:rPr>
            <w:rStyle w:val="TextoNormalCaracter"/>
          </w:rPr>
          <w:t>71/2013</w:t>
        </w:r>
      </w:hyperlink>
      <w:r w:rsidRPr="00234417">
        <w:rPr>
          <w:rStyle w:val="TextoNormalCaracter"/>
        </w:rPr>
        <w:t xml:space="preserve">, f. único; </w:t>
      </w:r>
      <w:hyperlink w:anchor="AUTO_2013_72" w:history="1">
        <w:r w:rsidRPr="00234417">
          <w:rPr>
            <w:rStyle w:val="TextoNormalCaracter"/>
          </w:rPr>
          <w:t>72/2013</w:t>
        </w:r>
      </w:hyperlink>
      <w:r w:rsidRPr="00234417">
        <w:rPr>
          <w:rStyle w:val="TextoNormalCaracter"/>
        </w:rPr>
        <w:t xml:space="preserve">, f. único; </w:t>
      </w:r>
      <w:hyperlink w:anchor="AUTO_2013_82" w:history="1">
        <w:r w:rsidRPr="00234417">
          <w:rPr>
            <w:rStyle w:val="TextoNormalCaracter"/>
          </w:rPr>
          <w:t>82/2013</w:t>
        </w:r>
      </w:hyperlink>
      <w:r w:rsidRPr="00234417">
        <w:rPr>
          <w:rStyle w:val="TextoNormalCaracter"/>
        </w:rPr>
        <w:t xml:space="preserve">, f. único; </w:t>
      </w:r>
      <w:hyperlink w:anchor="AUTO_2013_83" w:history="1">
        <w:r w:rsidRPr="00234417">
          <w:rPr>
            <w:rStyle w:val="TextoNormalCaracter"/>
          </w:rPr>
          <w:t>83/2013</w:t>
        </w:r>
      </w:hyperlink>
      <w:r w:rsidRPr="00234417">
        <w:rPr>
          <w:rStyle w:val="TextoNormalCaracter"/>
        </w:rPr>
        <w:t xml:space="preserve">, f. único; </w:t>
      </w:r>
      <w:hyperlink w:anchor="AUTO_2013_120" w:history="1">
        <w:r w:rsidRPr="00234417">
          <w:rPr>
            <w:rStyle w:val="TextoNormalCaracter"/>
          </w:rPr>
          <w:t>120/2013</w:t>
        </w:r>
      </w:hyperlink>
      <w:r w:rsidRPr="00234417">
        <w:rPr>
          <w:rStyle w:val="TextoNormalCaracter"/>
        </w:rPr>
        <w:t xml:space="preserve">, f. único; </w:t>
      </w:r>
      <w:hyperlink w:anchor="AUTO_2013_121" w:history="1">
        <w:r w:rsidRPr="00234417">
          <w:rPr>
            <w:rStyle w:val="TextoNormalCaracter"/>
          </w:rPr>
          <w:t>121/2013</w:t>
        </w:r>
      </w:hyperlink>
      <w:r w:rsidRPr="00234417">
        <w:rPr>
          <w:rStyle w:val="TextoNormalCaracter"/>
        </w:rPr>
        <w:t xml:space="preserve">, f. único; </w:t>
      </w:r>
      <w:hyperlink w:anchor="AUTO_2013_129" w:history="1">
        <w:r w:rsidRPr="00234417">
          <w:rPr>
            <w:rStyle w:val="TextoNormalCaracter"/>
          </w:rPr>
          <w:t>129/2013</w:t>
        </w:r>
      </w:hyperlink>
      <w:r w:rsidRPr="00234417">
        <w:rPr>
          <w:rStyle w:val="TextoNormalCaracter"/>
        </w:rPr>
        <w:t xml:space="preserve">, f. único; </w:t>
      </w:r>
      <w:hyperlink w:anchor="AUTO_2013_130" w:history="1">
        <w:r w:rsidRPr="00234417">
          <w:rPr>
            <w:rStyle w:val="TextoNormalCaracter"/>
          </w:rPr>
          <w:t>130/2013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575" w:name="DESCRIPTORALFABETICO896"/>
      <w:r w:rsidRPr="00234417">
        <w:rPr>
          <w:rStyle w:val="TextoNormalNegritaCaracter"/>
        </w:rPr>
        <w:t>Detención preventiva</w:t>
      </w:r>
      <w:bookmarkEnd w:id="1575"/>
      <w:r w:rsidRPr="00234417">
        <w:rPr>
          <w:rStyle w:val="TextoNormalCaracter"/>
        </w:rPr>
        <w:t xml:space="preserve">, Sentencia </w:t>
      </w:r>
      <w:hyperlink w:anchor="SENTENCIA_2013_12" w:history="1">
        <w:r w:rsidRPr="00234417">
          <w:rPr>
            <w:rStyle w:val="TextoNormalCaracter"/>
          </w:rPr>
          <w:t>12/2013</w:t>
        </w:r>
      </w:hyperlink>
      <w:r w:rsidRPr="00234417">
        <w:rPr>
          <w:rStyle w:val="TextoNormalCaracter"/>
        </w:rPr>
        <w:t>, f. 1.</w:t>
      </w:r>
    </w:p>
    <w:p w:rsidR="00234417" w:rsidRPr="00234417" w:rsidRDefault="00234417" w:rsidP="00234417">
      <w:pPr>
        <w:pStyle w:val="TextoNormalSangraFrancesa"/>
        <w:rPr>
          <w:rStyle w:val="TextoNormalCaracter"/>
        </w:rPr>
      </w:pPr>
      <w:bookmarkStart w:id="1576" w:name="DESCRIPTORALFABETICO419"/>
      <w:r w:rsidRPr="00234417">
        <w:rPr>
          <w:rStyle w:val="TextoNormalNegritaCaracter"/>
        </w:rPr>
        <w:t>Determinación de sanciones administrativas</w:t>
      </w:r>
      <w:bookmarkEnd w:id="1576"/>
      <w:r w:rsidRPr="00234417">
        <w:rPr>
          <w:rStyle w:val="TextoNormalCaracter"/>
        </w:rPr>
        <w:t xml:space="preserve">, Sentencia </w:t>
      </w:r>
      <w:hyperlink w:anchor="SENTENCIA_2013_13" w:history="1">
        <w:r w:rsidRPr="00234417">
          <w:rPr>
            <w:rStyle w:val="TextoNormalCaracter"/>
          </w:rPr>
          <w:t>13/2013</w:t>
        </w:r>
      </w:hyperlink>
      <w:r w:rsidRPr="00234417">
        <w:rPr>
          <w:rStyle w:val="TextoNormalCaracter"/>
        </w:rPr>
        <w:t>, f. 4.</w:t>
      </w:r>
    </w:p>
    <w:p w:rsidR="00234417" w:rsidRPr="00234417" w:rsidRDefault="00234417" w:rsidP="00234417">
      <w:pPr>
        <w:pStyle w:val="TextoNormalSangraFrancesa"/>
        <w:rPr>
          <w:rStyle w:val="TextoNormalCaracter"/>
        </w:rPr>
      </w:pPr>
      <w:bookmarkStart w:id="1577" w:name="DESCRIPTORALFABETICO815"/>
      <w:r w:rsidRPr="00234417">
        <w:rPr>
          <w:rStyle w:val="TextoNormalNegritaCaracter"/>
        </w:rPr>
        <w:t>Determinación del alcance de la cosa juzgada</w:t>
      </w:r>
      <w:bookmarkEnd w:id="1577"/>
      <w:r w:rsidRPr="00234417">
        <w:rPr>
          <w:rStyle w:val="TextoNormalCaracter"/>
        </w:rPr>
        <w:t xml:space="preserve">, Sentencia </w:t>
      </w:r>
      <w:hyperlink w:anchor="SENTENCIA_2013_121" w:history="1">
        <w:r w:rsidRPr="00234417">
          <w:rPr>
            <w:rStyle w:val="TextoNormalCaracter"/>
          </w:rPr>
          <w:t>121/2013</w:t>
        </w:r>
      </w:hyperlink>
      <w:r w:rsidRPr="00234417">
        <w:rPr>
          <w:rStyle w:val="TextoNormalCaracter"/>
        </w:rPr>
        <w:t>, f. 3.</w:t>
      </w:r>
    </w:p>
    <w:p w:rsidR="00234417" w:rsidRPr="00234417" w:rsidRDefault="00234417" w:rsidP="00234417">
      <w:pPr>
        <w:pStyle w:val="TextoNormalSangraFrancesa"/>
        <w:rPr>
          <w:rStyle w:val="TextoNormalCaracter"/>
        </w:rPr>
      </w:pPr>
      <w:bookmarkStart w:id="1578" w:name="DESCRIPTORALFABETICO431"/>
      <w:r w:rsidRPr="00234417">
        <w:rPr>
          <w:rStyle w:val="TextoNormalNegritaCaracter"/>
        </w:rPr>
        <w:t>Devolución de extranjeros</w:t>
      </w:r>
      <w:bookmarkEnd w:id="1578"/>
      <w:r w:rsidRPr="00234417">
        <w:rPr>
          <w:rStyle w:val="TextoNormalCaracter"/>
        </w:rPr>
        <w:t xml:space="preserve">, Sentencia </w:t>
      </w:r>
      <w:hyperlink w:anchor="SENTENCIA_2013_17" w:history="1">
        <w:r w:rsidRPr="00234417">
          <w:rPr>
            <w:rStyle w:val="TextoNormalCaracter"/>
          </w:rPr>
          <w:t>17/2013</w:t>
        </w:r>
      </w:hyperlink>
      <w:r w:rsidRPr="00234417">
        <w:rPr>
          <w:rStyle w:val="TextoNormalCaracter"/>
        </w:rPr>
        <w:t>, f. 12.</w:t>
      </w:r>
    </w:p>
    <w:p w:rsidR="00234417" w:rsidRPr="00234417" w:rsidRDefault="00234417" w:rsidP="00234417">
      <w:pPr>
        <w:pStyle w:val="TextoNormalSangraFrancesa"/>
        <w:rPr>
          <w:rStyle w:val="TextoNormalNegritaCaracter"/>
        </w:rPr>
      </w:pPr>
      <w:r w:rsidRPr="00234417">
        <w:rPr>
          <w:rStyle w:val="TextoNormalCursivaCaracter"/>
        </w:rPr>
        <w:t>Dies a quo</w:t>
      </w:r>
      <w:r>
        <w:t xml:space="preserve"> véase </w:t>
      </w:r>
      <w:hyperlink w:anchor="DESCRIPTORALFABETICO860" w:history="1">
        <w:r w:rsidRPr="00234417">
          <w:rPr>
            <w:rStyle w:val="TextoNormalNegritaCaracter"/>
          </w:rPr>
          <w:t>Término inicial</w:t>
        </w:r>
      </w:hyperlink>
    </w:p>
    <w:p w:rsidR="00234417" w:rsidRPr="00234417" w:rsidRDefault="00234417" w:rsidP="00234417">
      <w:pPr>
        <w:pStyle w:val="TextoNormalSangraFrancesa"/>
        <w:rPr>
          <w:rStyle w:val="TextoNormalCaracter"/>
        </w:rPr>
      </w:pPr>
      <w:bookmarkStart w:id="1579" w:name="DESCRIPTORALFABETICO824"/>
      <w:r w:rsidRPr="00234417">
        <w:rPr>
          <w:rStyle w:val="TextoNormalNegritaCaracter"/>
        </w:rPr>
        <w:t>Dilaciones en el plazo para dictar sentencia</w:t>
      </w:r>
      <w:bookmarkEnd w:id="1579"/>
      <w:r w:rsidRPr="00234417">
        <w:rPr>
          <w:rStyle w:val="TextoNormalCaracter"/>
        </w:rPr>
        <w:t xml:space="preserve">, Sentencia </w:t>
      </w:r>
      <w:hyperlink w:anchor="SENTENCIA_2013_78" w:history="1">
        <w:r w:rsidRPr="00234417">
          <w:rPr>
            <w:rStyle w:val="TextoNormalCaracter"/>
          </w:rPr>
          <w:t>78/2013</w:t>
        </w:r>
      </w:hyperlink>
      <w:r w:rsidRPr="00234417">
        <w:rPr>
          <w:rStyle w:val="TextoNormalCaracter"/>
        </w:rPr>
        <w:t>, f. 4.</w:t>
      </w:r>
    </w:p>
    <w:p w:rsidR="00234417" w:rsidRPr="00234417" w:rsidRDefault="00234417" w:rsidP="00234417">
      <w:pPr>
        <w:pStyle w:val="TextoNormalSangraFrancesa"/>
        <w:rPr>
          <w:rStyle w:val="TextoNormalCaracter"/>
        </w:rPr>
      </w:pPr>
      <w:bookmarkStart w:id="1580" w:name="DESCRIPTORALFABETICO823"/>
      <w:r w:rsidRPr="00234417">
        <w:rPr>
          <w:rStyle w:val="TextoNormalNegritaCaracter"/>
        </w:rPr>
        <w:t>Dilaciones indebidas en el procedimiento</w:t>
      </w:r>
      <w:bookmarkEnd w:id="1580"/>
      <w:r w:rsidRPr="00234417">
        <w:rPr>
          <w:rStyle w:val="TextoNormalCaracter"/>
        </w:rPr>
        <w:t xml:space="preserve">, Sentencia </w:t>
      </w:r>
      <w:hyperlink w:anchor="SENTENCIA_2013_78" w:history="1">
        <w:r w:rsidRPr="00234417">
          <w:rPr>
            <w:rStyle w:val="TextoNormalCaracter"/>
          </w:rPr>
          <w:t>78/2013</w:t>
        </w:r>
      </w:hyperlink>
      <w:r w:rsidRPr="00234417">
        <w:rPr>
          <w:rStyle w:val="TextoNormalCaracter"/>
        </w:rPr>
        <w:t>, f. 4.</w:t>
      </w:r>
    </w:p>
    <w:p w:rsidR="00234417" w:rsidRPr="00234417" w:rsidRDefault="00234417" w:rsidP="00234417">
      <w:pPr>
        <w:pStyle w:val="TextoNormalSangraFrancesa"/>
        <w:rPr>
          <w:rStyle w:val="TextoNormalCaracter"/>
        </w:rPr>
      </w:pPr>
      <w:bookmarkStart w:id="1581" w:name="DESCRIPTORALFABETICO798"/>
      <w:r w:rsidRPr="00234417">
        <w:rPr>
          <w:rStyle w:val="TextoNormalNegritaCaracter"/>
        </w:rPr>
        <w:t>Diligencia del órgano judicial en la averiguación del domicilio</w:t>
      </w:r>
      <w:bookmarkEnd w:id="1581"/>
      <w:r w:rsidRPr="00234417">
        <w:rPr>
          <w:rStyle w:val="TextoNormalCaracter"/>
        </w:rPr>
        <w:t xml:space="preserve">, Sentencia </w:t>
      </w:r>
      <w:hyperlink w:anchor="SENTENCIA_2013_122" w:history="1">
        <w:r w:rsidRPr="00234417">
          <w:rPr>
            <w:rStyle w:val="TextoNormalCaracter"/>
          </w:rPr>
          <w:t>122/2013</w:t>
        </w:r>
      </w:hyperlink>
      <w:r w:rsidRPr="00234417">
        <w:rPr>
          <w:rStyle w:val="TextoNormalCaracter"/>
        </w:rPr>
        <w:t>, ff. 2 a 5.</w:t>
      </w:r>
    </w:p>
    <w:p w:rsidR="00234417" w:rsidRPr="00234417" w:rsidRDefault="00234417" w:rsidP="00234417">
      <w:pPr>
        <w:pStyle w:val="TextoNormalSangraFrancesa"/>
        <w:rPr>
          <w:rStyle w:val="TextoNormalCaracter"/>
        </w:rPr>
      </w:pPr>
      <w:bookmarkStart w:id="1582" w:name="DESCRIPTORALFABETICO454"/>
      <w:r w:rsidRPr="00234417">
        <w:rPr>
          <w:rStyle w:val="TextoNormalNegritaCaracter"/>
        </w:rPr>
        <w:t>Diputaciones forales</w:t>
      </w:r>
      <w:bookmarkEnd w:id="1582"/>
      <w:r w:rsidRPr="00234417">
        <w:rPr>
          <w:rStyle w:val="TextoNormalCaracter"/>
        </w:rPr>
        <w:t xml:space="preserve">, Sentencia </w:t>
      </w:r>
      <w:hyperlink w:anchor="SENTENCIA_2013_85" w:history="1">
        <w:r w:rsidRPr="00234417">
          <w:rPr>
            <w:rStyle w:val="TextoNormalCaracter"/>
          </w:rPr>
          <w:t>85/2013</w:t>
        </w:r>
      </w:hyperlink>
      <w:r w:rsidRPr="00234417">
        <w:rPr>
          <w:rStyle w:val="TextoNormalCaracter"/>
        </w:rPr>
        <w:t>, f. 5, VP.</w:t>
      </w:r>
    </w:p>
    <w:p w:rsidR="00234417" w:rsidRPr="00234417" w:rsidRDefault="00234417" w:rsidP="00234417">
      <w:pPr>
        <w:pStyle w:val="TextoNormalSangraFrancesa"/>
        <w:rPr>
          <w:rStyle w:val="TextoNormalNegritaCaracter"/>
        </w:rPr>
      </w:pPr>
      <w:r w:rsidRPr="00234417">
        <w:rPr>
          <w:rStyle w:val="TextoNormalCursivaCaracter"/>
        </w:rPr>
        <w:t>Directivas comunitarias</w:t>
      </w:r>
      <w:r>
        <w:t xml:space="preserve"> véase </w:t>
      </w:r>
      <w:hyperlink w:anchor="DESCRIPTORALFABETICO639" w:history="1">
        <w:r w:rsidRPr="00234417">
          <w:rPr>
            <w:rStyle w:val="TextoNormalNegritaCaracter"/>
          </w:rPr>
          <w:t>Directivas de la Unión Europea</w:t>
        </w:r>
      </w:hyperlink>
    </w:p>
    <w:p w:rsidR="00234417" w:rsidRPr="00234417" w:rsidRDefault="00234417" w:rsidP="00234417">
      <w:pPr>
        <w:pStyle w:val="TextoNormalSangraFrancesa"/>
        <w:rPr>
          <w:rStyle w:val="TextoNormalCaracter"/>
        </w:rPr>
      </w:pPr>
      <w:bookmarkStart w:id="1583" w:name="DESCRIPTORALFABETICO639"/>
      <w:r w:rsidRPr="00234417">
        <w:rPr>
          <w:rStyle w:val="TextoNormalNegritaCaracter"/>
        </w:rPr>
        <w:t>Directivas de la Unión Europea</w:t>
      </w:r>
      <w:bookmarkEnd w:id="1583"/>
      <w:r w:rsidRPr="00234417">
        <w:rPr>
          <w:rStyle w:val="TextoNormalCaracter"/>
        </w:rPr>
        <w:t xml:space="preserve">, Sentencia </w:t>
      </w:r>
      <w:hyperlink w:anchor="SENTENCIA_2013_111" w:history="1">
        <w:r w:rsidRPr="00234417">
          <w:rPr>
            <w:rStyle w:val="TextoNormalCaracter"/>
          </w:rPr>
          <w:t>111/2013</w:t>
        </w:r>
      </w:hyperlink>
      <w:r w:rsidRPr="00234417">
        <w:rPr>
          <w:rStyle w:val="TextoNormalCaracter"/>
        </w:rPr>
        <w:t>, f. 5.</w:t>
      </w:r>
    </w:p>
    <w:p w:rsidR="00234417" w:rsidRPr="00234417" w:rsidRDefault="00234417" w:rsidP="00234417">
      <w:pPr>
        <w:pStyle w:val="TextoNormalSangraFrancesa"/>
        <w:rPr>
          <w:rStyle w:val="TextoNormalNegritaCaracter"/>
        </w:rPr>
      </w:pPr>
      <w:r w:rsidRPr="00234417">
        <w:rPr>
          <w:rStyle w:val="TextoNormalCursivaCaracter"/>
        </w:rPr>
        <w:t>Discriminación encubierta</w:t>
      </w:r>
      <w:r>
        <w:t xml:space="preserve"> véase </w:t>
      </w:r>
      <w:hyperlink w:anchor="DESCRIPTORALFABETICO182" w:history="1">
        <w:r w:rsidRPr="00234417">
          <w:rPr>
            <w:rStyle w:val="TextoNormalNegritaCaracter"/>
          </w:rPr>
          <w:t>Discriminación indirecta</w:t>
        </w:r>
      </w:hyperlink>
    </w:p>
    <w:p w:rsidR="00234417" w:rsidRPr="00234417" w:rsidRDefault="00234417" w:rsidP="00234417">
      <w:pPr>
        <w:pStyle w:val="TextoNormalSangraFrancesa"/>
        <w:rPr>
          <w:rStyle w:val="TextoNormalCaracter"/>
        </w:rPr>
      </w:pPr>
      <w:bookmarkStart w:id="1584" w:name="DESCRIPTORALFABETICO182"/>
      <w:r w:rsidRPr="00234417">
        <w:rPr>
          <w:rStyle w:val="TextoNormalNegritaCaracter"/>
        </w:rPr>
        <w:t>Discriminación indirecta</w:t>
      </w:r>
      <w:bookmarkEnd w:id="1584"/>
      <w:r w:rsidRPr="00234417">
        <w:rPr>
          <w:rStyle w:val="TextoNormalCaracter"/>
        </w:rPr>
        <w:t xml:space="preserve">, Sentencias </w:t>
      </w:r>
      <w:hyperlink w:anchor="SENTENCIA_2013_61" w:history="1">
        <w:r w:rsidRPr="00234417">
          <w:rPr>
            <w:rStyle w:val="TextoNormalCaracter"/>
          </w:rPr>
          <w:t>61/2013</w:t>
        </w:r>
      </w:hyperlink>
      <w:r w:rsidRPr="00234417">
        <w:rPr>
          <w:rStyle w:val="TextoNormalCaracter"/>
        </w:rPr>
        <w:t xml:space="preserve">, ff. 4, 5; </w:t>
      </w:r>
      <w:hyperlink w:anchor="SENTENCIA_2013_71" w:history="1">
        <w:r w:rsidRPr="00234417">
          <w:rPr>
            <w:rStyle w:val="TextoNormalCaracter"/>
          </w:rPr>
          <w:t>71/2013</w:t>
        </w:r>
      </w:hyperlink>
      <w:r w:rsidRPr="00234417">
        <w:rPr>
          <w:rStyle w:val="TextoNormalCaracter"/>
        </w:rPr>
        <w:t xml:space="preserve">, f. 3; </w:t>
      </w:r>
      <w:hyperlink w:anchor="SENTENCIA_2013_72" w:history="1">
        <w:r w:rsidRPr="00234417">
          <w:rPr>
            <w:rStyle w:val="TextoNormalCaracter"/>
          </w:rPr>
          <w:t>72/2013</w:t>
        </w:r>
      </w:hyperlink>
      <w:r w:rsidRPr="00234417">
        <w:rPr>
          <w:rStyle w:val="TextoNormalCaracter"/>
        </w:rPr>
        <w:t xml:space="preserve">, f. 2; </w:t>
      </w:r>
      <w:hyperlink w:anchor="SENTENCIA_2013_116" w:history="1">
        <w:r w:rsidRPr="00234417">
          <w:rPr>
            <w:rStyle w:val="TextoNormalCaracter"/>
          </w:rPr>
          <w:t>116/2013</w:t>
        </w:r>
      </w:hyperlink>
      <w:r w:rsidRPr="00234417">
        <w:rPr>
          <w:rStyle w:val="TextoNormalCaracter"/>
        </w:rPr>
        <w:t xml:space="preserve">, f. 4; </w:t>
      </w:r>
      <w:hyperlink w:anchor="SENTENCIA_2013_117" w:history="1">
        <w:r w:rsidRPr="00234417">
          <w:rPr>
            <w:rStyle w:val="TextoNormalCaracter"/>
          </w:rPr>
          <w:t>117/2013</w:t>
        </w:r>
      </w:hyperlink>
      <w:r w:rsidRPr="00234417">
        <w:rPr>
          <w:rStyle w:val="TextoNormalCaracter"/>
        </w:rPr>
        <w:t>, f. 2.</w:t>
      </w:r>
    </w:p>
    <w:p w:rsidR="00234417" w:rsidRPr="00234417" w:rsidRDefault="00234417" w:rsidP="00234417">
      <w:pPr>
        <w:pStyle w:val="TextoNormalSangraFrancesa"/>
        <w:rPr>
          <w:rStyle w:val="TextoNormalNegritaCaracter"/>
        </w:rPr>
      </w:pPr>
      <w:r w:rsidRPr="00234417">
        <w:rPr>
          <w:rStyle w:val="TextoNormalCursivaCaracter"/>
        </w:rPr>
        <w:t>Discriminación normativa</w:t>
      </w:r>
      <w:r>
        <w:t xml:space="preserve"> véase </w:t>
      </w:r>
      <w:hyperlink w:anchor="DESCRIPTORALFABETICO144" w:history="1">
        <w:r w:rsidRPr="00234417">
          <w:rPr>
            <w:rStyle w:val="TextoNormalNegritaCaracter"/>
          </w:rPr>
          <w:t>Tratamiento legal diferenciado</w:t>
        </w:r>
      </w:hyperlink>
    </w:p>
    <w:p w:rsidR="00234417" w:rsidRPr="00234417" w:rsidRDefault="00234417" w:rsidP="00234417">
      <w:pPr>
        <w:pStyle w:val="TextoNormalSangraFrancesa"/>
        <w:rPr>
          <w:rStyle w:val="TextoNormalCaracter"/>
        </w:rPr>
      </w:pPr>
      <w:bookmarkStart w:id="1585" w:name="DESCRIPTORALFABETICO183"/>
      <w:r w:rsidRPr="00234417">
        <w:rPr>
          <w:rStyle w:val="TextoNormalNegritaCaracter"/>
        </w:rPr>
        <w:t>Discriminación por orientación sexual</w:t>
      </w:r>
      <w:bookmarkEnd w:id="1585"/>
      <w:r w:rsidRPr="00234417">
        <w:rPr>
          <w:rStyle w:val="TextoNormalCaracter"/>
        </w:rPr>
        <w:t xml:space="preserve">, Sentencias </w:t>
      </w:r>
      <w:hyperlink w:anchor="SENTENCIA_2013_41" w:history="1">
        <w:r w:rsidRPr="00234417">
          <w:rPr>
            <w:rStyle w:val="TextoNormalCaracter"/>
          </w:rPr>
          <w:t>41/2013</w:t>
        </w:r>
      </w:hyperlink>
      <w:r w:rsidRPr="00234417">
        <w:rPr>
          <w:rStyle w:val="TextoNormalCaracter"/>
        </w:rPr>
        <w:t xml:space="preserve">, ff. 5, 6, 9; </w:t>
      </w:r>
      <w:hyperlink w:anchor="SENTENCIA_2013_55" w:history="1">
        <w:r w:rsidRPr="00234417">
          <w:rPr>
            <w:rStyle w:val="TextoNormalCaracter"/>
          </w:rPr>
          <w:t>55/2013</w:t>
        </w:r>
      </w:hyperlink>
      <w:r w:rsidRPr="00234417">
        <w:rPr>
          <w:rStyle w:val="TextoNormalCaracter"/>
        </w:rPr>
        <w:t xml:space="preserve">, ff. 1, 2; </w:t>
      </w:r>
      <w:hyperlink w:anchor="SENTENCIA_2013_77" w:history="1">
        <w:r w:rsidRPr="00234417">
          <w:rPr>
            <w:rStyle w:val="TextoNormalCaracter"/>
          </w:rPr>
          <w:t>77/2013</w:t>
        </w:r>
      </w:hyperlink>
      <w:r w:rsidRPr="00234417">
        <w:rPr>
          <w:rStyle w:val="TextoNormalCaracter"/>
        </w:rPr>
        <w:t>, f. 3.</w:t>
      </w:r>
    </w:p>
    <w:p w:rsidR="00234417" w:rsidRPr="00234417" w:rsidRDefault="00234417" w:rsidP="00234417">
      <w:pPr>
        <w:pStyle w:val="TextoNormalSangraFrancesa"/>
        <w:rPr>
          <w:rStyle w:val="TextoNormalCaracter"/>
        </w:rPr>
      </w:pPr>
      <w:bookmarkStart w:id="1586" w:name="DESCRIPTORALFABETICO184"/>
      <w:r w:rsidRPr="00234417">
        <w:rPr>
          <w:rStyle w:val="TextoNormalNegritaCaracter"/>
        </w:rPr>
        <w:t>Discriminación por razón de raza</w:t>
      </w:r>
      <w:bookmarkEnd w:id="1586"/>
      <w:r w:rsidRPr="00234417">
        <w:rPr>
          <w:rStyle w:val="TextoNormalCaracter"/>
        </w:rPr>
        <w:t xml:space="preserve">, Sentencia </w:t>
      </w:r>
      <w:hyperlink w:anchor="SENTENCIA_2013_104" w:history="1">
        <w:r w:rsidRPr="00234417">
          <w:rPr>
            <w:rStyle w:val="TextoNormalCaracter"/>
          </w:rPr>
          <w:t>104/2013</w:t>
        </w:r>
      </w:hyperlink>
      <w:r w:rsidRPr="00234417">
        <w:rPr>
          <w:rStyle w:val="TextoNormalCaracter"/>
        </w:rPr>
        <w:t>, f. 3.</w:t>
      </w:r>
    </w:p>
    <w:p w:rsidR="00234417" w:rsidRPr="00234417" w:rsidRDefault="00234417" w:rsidP="00234417">
      <w:pPr>
        <w:pStyle w:val="TextoNormalSangraFrancesa"/>
        <w:rPr>
          <w:rStyle w:val="TextoNormalCaracter"/>
        </w:rPr>
      </w:pPr>
      <w:bookmarkStart w:id="1587" w:name="DESCRIPTORALFABETICO185"/>
      <w:r w:rsidRPr="00234417">
        <w:rPr>
          <w:rStyle w:val="TextoNormalNegritaCaracter"/>
        </w:rPr>
        <w:t>Discriminación por razón de sexo</w:t>
      </w:r>
      <w:bookmarkEnd w:id="1587"/>
      <w:r w:rsidRPr="00234417">
        <w:rPr>
          <w:rStyle w:val="TextoNormalCaracter"/>
        </w:rPr>
        <w:t xml:space="preserve">, Sentencias </w:t>
      </w:r>
      <w:hyperlink w:anchor="SENTENCIA_2013_61" w:history="1">
        <w:r w:rsidRPr="00234417">
          <w:rPr>
            <w:rStyle w:val="TextoNormalCaracter"/>
          </w:rPr>
          <w:t>61/2013</w:t>
        </w:r>
      </w:hyperlink>
      <w:r w:rsidRPr="00234417">
        <w:rPr>
          <w:rStyle w:val="TextoNormalCaracter"/>
        </w:rPr>
        <w:t xml:space="preserve">, ff. 4, 5; </w:t>
      </w:r>
      <w:hyperlink w:anchor="SENTENCIA_2013_71" w:history="1">
        <w:r w:rsidRPr="00234417">
          <w:rPr>
            <w:rStyle w:val="TextoNormalCaracter"/>
          </w:rPr>
          <w:t>71/2013</w:t>
        </w:r>
      </w:hyperlink>
      <w:r w:rsidRPr="00234417">
        <w:rPr>
          <w:rStyle w:val="TextoNormalCaracter"/>
        </w:rPr>
        <w:t xml:space="preserve">, f. 3; </w:t>
      </w:r>
      <w:hyperlink w:anchor="SENTENCIA_2013_72" w:history="1">
        <w:r w:rsidRPr="00234417">
          <w:rPr>
            <w:rStyle w:val="TextoNormalCaracter"/>
          </w:rPr>
          <w:t>72/2013</w:t>
        </w:r>
      </w:hyperlink>
      <w:r w:rsidRPr="00234417">
        <w:rPr>
          <w:rStyle w:val="TextoNormalCaracter"/>
        </w:rPr>
        <w:t xml:space="preserve">, f. 2; </w:t>
      </w:r>
      <w:hyperlink w:anchor="SENTENCIA_2013_116" w:history="1">
        <w:r w:rsidRPr="00234417">
          <w:rPr>
            <w:rStyle w:val="TextoNormalCaracter"/>
          </w:rPr>
          <w:t>116/2013</w:t>
        </w:r>
      </w:hyperlink>
      <w:r w:rsidRPr="00234417">
        <w:rPr>
          <w:rStyle w:val="TextoNormalCaracter"/>
        </w:rPr>
        <w:t xml:space="preserve">, f. 4; </w:t>
      </w:r>
      <w:hyperlink w:anchor="SENTENCIA_2013_117" w:history="1">
        <w:r w:rsidRPr="00234417">
          <w:rPr>
            <w:rStyle w:val="TextoNormalCaracter"/>
          </w:rPr>
          <w:t>117/2013</w:t>
        </w:r>
      </w:hyperlink>
      <w:r w:rsidRPr="00234417">
        <w:rPr>
          <w:rStyle w:val="TextoNormalCaracter"/>
        </w:rPr>
        <w:t>, f. 2.</w:t>
      </w:r>
    </w:p>
    <w:p w:rsidR="00234417" w:rsidRPr="00234417" w:rsidRDefault="00234417" w:rsidP="00234417">
      <w:pPr>
        <w:pStyle w:val="TextoNormalSangraFrancesa"/>
        <w:rPr>
          <w:rStyle w:val="TextoNormalNegritaCaracter"/>
        </w:rPr>
      </w:pPr>
      <w:r w:rsidRPr="00234417">
        <w:rPr>
          <w:rStyle w:val="TextoNormalCursivaCaracter"/>
        </w:rPr>
        <w:t>Disolución judicial de partidos políticos</w:t>
      </w:r>
      <w:r>
        <w:t xml:space="preserve"> véase </w:t>
      </w:r>
      <w:hyperlink w:anchor="DESCRIPTORALFABETICO350" w:history="1">
        <w:r w:rsidRPr="00234417">
          <w:rPr>
            <w:rStyle w:val="TextoNormalNegritaCaracter"/>
          </w:rPr>
          <w:t>Ilegalización de partidos políticos</w:t>
        </w:r>
      </w:hyperlink>
    </w:p>
    <w:p w:rsidR="00234417" w:rsidRPr="00234417" w:rsidRDefault="00234417" w:rsidP="00234417">
      <w:pPr>
        <w:pStyle w:val="TextoNormalSangraFrancesa"/>
        <w:rPr>
          <w:rStyle w:val="TextoNormalCaracter"/>
        </w:rPr>
      </w:pPr>
      <w:bookmarkStart w:id="1588" w:name="DESCRIPTORALFABETICO594"/>
      <w:r w:rsidRPr="00234417">
        <w:rPr>
          <w:rStyle w:val="TextoNormalNegritaCaracter"/>
        </w:rPr>
        <w:t>Dispensa de titulación en la promoción interna</w:t>
      </w:r>
      <w:bookmarkEnd w:id="1588"/>
      <w:r w:rsidRPr="00234417">
        <w:rPr>
          <w:rStyle w:val="TextoNormalCaracter"/>
        </w:rPr>
        <w:t xml:space="preserve">, Sentencia </w:t>
      </w:r>
      <w:hyperlink w:anchor="SENTENCIA_2013_33" w:history="1">
        <w:r w:rsidRPr="00234417">
          <w:rPr>
            <w:rStyle w:val="TextoNormalCaracter"/>
          </w:rPr>
          <w:t>33/2013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1589" w:name="DESCRIPTORALFABETICO752"/>
      <w:r w:rsidRPr="00234417">
        <w:rPr>
          <w:rStyle w:val="TextoNormalNegritaCaracter"/>
        </w:rPr>
        <w:t>Dispensación de medicamentos</w:t>
      </w:r>
      <w:bookmarkEnd w:id="1589"/>
      <w:r w:rsidRPr="00234417">
        <w:rPr>
          <w:rStyle w:val="TextoNormalCaracter"/>
        </w:rPr>
        <w:t xml:space="preserve">, Sentencia </w:t>
      </w:r>
      <w:hyperlink w:anchor="SENTENCIA_2013_137" w:history="1">
        <w:r w:rsidRPr="00234417">
          <w:rPr>
            <w:rStyle w:val="TextoNormalCaracter"/>
          </w:rPr>
          <w:t>137/2013</w:t>
        </w:r>
      </w:hyperlink>
      <w:r w:rsidRPr="00234417">
        <w:rPr>
          <w:rStyle w:val="TextoNormalCaracter"/>
        </w:rPr>
        <w:t>, ff. 3 a 6.</w:t>
      </w:r>
    </w:p>
    <w:p w:rsidR="00234417" w:rsidRPr="00234417" w:rsidRDefault="00234417" w:rsidP="00234417">
      <w:pPr>
        <w:pStyle w:val="TextoNormalSangraFrancesa"/>
        <w:rPr>
          <w:rStyle w:val="TextoNormalCaracter"/>
        </w:rPr>
      </w:pPr>
      <w:bookmarkStart w:id="1590" w:name="DESCRIPTORALFABETICO661"/>
      <w:r w:rsidRPr="00234417">
        <w:rPr>
          <w:rStyle w:val="TextoNormalNegritaCaracter"/>
        </w:rPr>
        <w:t>Distinción entre básico y no básico</w:t>
      </w:r>
      <w:bookmarkEnd w:id="1590"/>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5.</w:t>
      </w:r>
    </w:p>
    <w:p w:rsidR="00234417" w:rsidRPr="00234417" w:rsidRDefault="00234417" w:rsidP="00234417">
      <w:pPr>
        <w:pStyle w:val="TextoNormalSangraFrancesa"/>
        <w:rPr>
          <w:rStyle w:val="TextoNormalNegritaCaracter"/>
        </w:rPr>
      </w:pPr>
      <w:r w:rsidRPr="00234417">
        <w:rPr>
          <w:rStyle w:val="TextoNormalCursivaCaracter"/>
        </w:rPr>
        <w:t>Distribución de competencias</w:t>
      </w:r>
      <w:r>
        <w:t xml:space="preserve"> véase </w:t>
      </w:r>
      <w:hyperlink w:anchor="DESCRIPTORALFABETICO2" w:history="1">
        <w:r w:rsidRPr="00234417">
          <w:rPr>
            <w:rStyle w:val="TextoNormalNegritaCaracter"/>
          </w:rPr>
          <w:t>Orden constitucional de competencias</w:t>
        </w:r>
      </w:hyperlink>
    </w:p>
    <w:p w:rsidR="00234417" w:rsidRPr="00234417" w:rsidRDefault="00234417" w:rsidP="00234417">
      <w:pPr>
        <w:pStyle w:val="TextoNormalSangraFrancesa"/>
        <w:rPr>
          <w:rStyle w:val="TextoNormalCaracter"/>
        </w:rPr>
      </w:pPr>
      <w:bookmarkStart w:id="1591" w:name="DESCRIPTORALFABETICO572"/>
      <w:r w:rsidRPr="00234417">
        <w:rPr>
          <w:rStyle w:val="TextoNormalNegritaCaracter"/>
        </w:rPr>
        <w:t>Distribución territorial de subvenciones estatales</w:t>
      </w:r>
      <w:bookmarkEnd w:id="1591"/>
      <w:r w:rsidRPr="00234417">
        <w:rPr>
          <w:rStyle w:val="TextoNormalCaracter"/>
        </w:rPr>
        <w:t xml:space="preserve">, Sentencias </w:t>
      </w:r>
      <w:hyperlink w:anchor="SENTENCIA_2013_21" w:history="1">
        <w:r w:rsidRPr="00234417">
          <w:rPr>
            <w:rStyle w:val="TextoNormalCaracter"/>
          </w:rPr>
          <w:t>21/2013</w:t>
        </w:r>
      </w:hyperlink>
      <w:r w:rsidRPr="00234417">
        <w:rPr>
          <w:rStyle w:val="TextoNormalCaracter"/>
        </w:rPr>
        <w:t xml:space="preserve">, f. 6; </w:t>
      </w:r>
      <w:hyperlink w:anchor="SENTENCIA_2013_26" w:history="1">
        <w:r w:rsidRPr="00234417">
          <w:rPr>
            <w:rStyle w:val="TextoNormalCaracter"/>
          </w:rPr>
          <w:t>26/2013</w:t>
        </w:r>
      </w:hyperlink>
      <w:r w:rsidRPr="00234417">
        <w:rPr>
          <w:rStyle w:val="TextoNormalCaracter"/>
        </w:rPr>
        <w:t xml:space="preserve">, f. 7; </w:t>
      </w:r>
      <w:hyperlink w:anchor="SENTENCIA_2013_40" w:history="1">
        <w:r w:rsidRPr="00234417">
          <w:rPr>
            <w:rStyle w:val="TextoNormalCaracter"/>
          </w:rPr>
          <w:t>40/2013</w:t>
        </w:r>
      </w:hyperlink>
      <w:r w:rsidRPr="00234417">
        <w:rPr>
          <w:rStyle w:val="TextoNormalCaracter"/>
        </w:rPr>
        <w:t xml:space="preserve">, f. 6; </w:t>
      </w:r>
      <w:hyperlink w:anchor="SENTENCIA_2013_52" w:history="1">
        <w:r w:rsidRPr="00234417">
          <w:rPr>
            <w:rStyle w:val="TextoNormalCaracter"/>
          </w:rPr>
          <w:t>52/2013</w:t>
        </w:r>
      </w:hyperlink>
      <w:r w:rsidRPr="00234417">
        <w:rPr>
          <w:rStyle w:val="TextoNormalCaracter"/>
        </w:rPr>
        <w:t xml:space="preserve">, ff. 3, 4, 7; </w:t>
      </w:r>
      <w:hyperlink w:anchor="SENTENCIA_2013_70" w:history="1">
        <w:r w:rsidRPr="00234417">
          <w:rPr>
            <w:rStyle w:val="TextoNormalCaracter"/>
          </w:rPr>
          <w:t>70/2013</w:t>
        </w:r>
      </w:hyperlink>
      <w:r w:rsidRPr="00234417">
        <w:rPr>
          <w:rStyle w:val="TextoNormalCaracter"/>
        </w:rPr>
        <w:t>, ff. 5 a 7.</w:t>
      </w:r>
    </w:p>
    <w:p w:rsidR="00234417" w:rsidRPr="00234417" w:rsidRDefault="00234417" w:rsidP="00234417">
      <w:pPr>
        <w:pStyle w:val="TextoNormalSangraFrancesa"/>
        <w:rPr>
          <w:rStyle w:val="TextoNormalCaracter"/>
        </w:rPr>
      </w:pPr>
      <w:bookmarkStart w:id="1592" w:name="DESCRIPTORALFABETICO116"/>
      <w:r w:rsidRPr="00234417">
        <w:rPr>
          <w:rStyle w:val="TextoNormalNegritaCaracter"/>
        </w:rPr>
        <w:t>Doble imposición</w:t>
      </w:r>
      <w:bookmarkEnd w:id="1592"/>
      <w:r w:rsidRPr="00234417">
        <w:rPr>
          <w:rStyle w:val="TextoNormalCaracter"/>
        </w:rPr>
        <w:t xml:space="preserve">, Sentencias </w:t>
      </w:r>
      <w:hyperlink w:anchor="SENTENCIA_2013_60" w:history="1">
        <w:r w:rsidRPr="00234417">
          <w:rPr>
            <w:rStyle w:val="TextoNormalCaracter"/>
          </w:rPr>
          <w:t>60/2013</w:t>
        </w:r>
      </w:hyperlink>
      <w:r w:rsidRPr="00234417">
        <w:rPr>
          <w:rStyle w:val="TextoNormalCaracter"/>
        </w:rPr>
        <w:t xml:space="preserve">, ff. 3, 4; </w:t>
      </w:r>
      <w:hyperlink w:anchor="SENTENCIA_2013_85" w:history="1">
        <w:r w:rsidRPr="00234417">
          <w:rPr>
            <w:rStyle w:val="TextoNormalCaracter"/>
          </w:rPr>
          <w:t>85/2013</w:t>
        </w:r>
      </w:hyperlink>
      <w:r w:rsidRPr="00234417">
        <w:rPr>
          <w:rStyle w:val="TextoNormalCaracter"/>
        </w:rPr>
        <w:t xml:space="preserve">, ff. 3, 4; </w:t>
      </w:r>
      <w:hyperlink w:anchor="SENTENCIA_2013_96" w:history="1">
        <w:r w:rsidRPr="00234417">
          <w:rPr>
            <w:rStyle w:val="TextoNormalCaracter"/>
          </w:rPr>
          <w:t>96/2013</w:t>
        </w:r>
      </w:hyperlink>
      <w:r w:rsidRPr="00234417">
        <w:rPr>
          <w:rStyle w:val="TextoNormalCaracter"/>
        </w:rPr>
        <w:t>, f. 11.</w:t>
      </w:r>
    </w:p>
    <w:p w:rsidR="00234417" w:rsidRPr="00234417" w:rsidRDefault="00234417" w:rsidP="00234417">
      <w:pPr>
        <w:pStyle w:val="TextoNormalSangraFrancesa"/>
        <w:rPr>
          <w:rStyle w:val="TextoNormalCaracter"/>
        </w:rPr>
      </w:pPr>
      <w:bookmarkStart w:id="1593" w:name="DESCRIPTORALFABETICO405"/>
      <w:r w:rsidRPr="00234417">
        <w:rPr>
          <w:rStyle w:val="TextoNormalNegritaCaracter"/>
        </w:rPr>
        <w:t>Doctrina del acto claro</w:t>
      </w:r>
      <w:bookmarkEnd w:id="1593"/>
      <w:r w:rsidRPr="00234417">
        <w:rPr>
          <w:rStyle w:val="TextoNormalCaracter"/>
        </w:rPr>
        <w:t xml:space="preserve">, Sentencia </w:t>
      </w:r>
      <w:hyperlink w:anchor="SENTENCIA_2013_27" w:history="1">
        <w:r w:rsidRPr="00234417">
          <w:rPr>
            <w:rStyle w:val="TextoNormalCaracter"/>
          </w:rPr>
          <w:t>27/2013</w:t>
        </w:r>
      </w:hyperlink>
      <w:r w:rsidRPr="00234417">
        <w:rPr>
          <w:rStyle w:val="TextoNormalCaracter"/>
        </w:rPr>
        <w:t>, ff. 4, 7.</w:t>
      </w:r>
    </w:p>
    <w:p w:rsidR="00234417" w:rsidRPr="00234417" w:rsidRDefault="00234417" w:rsidP="00234417">
      <w:pPr>
        <w:pStyle w:val="TextoNormalSangraFrancesa"/>
        <w:rPr>
          <w:rStyle w:val="TextoNormalCaracter"/>
        </w:rPr>
      </w:pPr>
      <w:bookmarkStart w:id="1594" w:name="DESCRIPTORALFABETICO646"/>
      <w:r w:rsidRPr="00234417">
        <w:rPr>
          <w:rStyle w:val="TextoNormalNegritaCaracter"/>
        </w:rPr>
        <w:t>Doctrina del Tribunal Europeo de Derechos Humanos</w:t>
      </w:r>
      <w:bookmarkEnd w:id="1594"/>
      <w:r w:rsidRPr="00234417">
        <w:rPr>
          <w:rStyle w:val="TextoNormalCaracter"/>
        </w:rPr>
        <w:t xml:space="preserve">, Sentencias </w:t>
      </w:r>
      <w:hyperlink w:anchor="SENTENCIA_2013_12" w:history="1">
        <w:r w:rsidRPr="00234417">
          <w:rPr>
            <w:rStyle w:val="TextoNormalCaracter"/>
          </w:rPr>
          <w:t>12/2013</w:t>
        </w:r>
      </w:hyperlink>
      <w:r w:rsidRPr="00234417">
        <w:rPr>
          <w:rStyle w:val="TextoNormalCaracter"/>
        </w:rPr>
        <w:t xml:space="preserve">, f. 2; </w:t>
      </w:r>
      <w:hyperlink w:anchor="SENTENCIA_2013_75" w:history="1">
        <w:r w:rsidRPr="00234417">
          <w:rPr>
            <w:rStyle w:val="TextoNormalCaracter"/>
          </w:rPr>
          <w:t>75/2013</w:t>
        </w:r>
      </w:hyperlink>
      <w:r w:rsidRPr="00234417">
        <w:rPr>
          <w:rStyle w:val="TextoNormalCaracter"/>
        </w:rPr>
        <w:t>, ff. 3 a 6.</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E</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1595" w:name="DESCRIPTORALFABETICO516"/>
      <w:r w:rsidRPr="00234417">
        <w:rPr>
          <w:rStyle w:val="TextoNormalNegritaCaracter"/>
        </w:rPr>
        <w:t>Educación</w:t>
      </w:r>
      <w:bookmarkEnd w:id="1595"/>
      <w:r w:rsidRPr="00234417">
        <w:rPr>
          <w:rStyle w:val="TextoNormalCaracter"/>
        </w:rPr>
        <w:t xml:space="preserve">, Sentencias </w:t>
      </w:r>
      <w:hyperlink w:anchor="SENTENCIA_2013_6" w:history="1">
        <w:r w:rsidRPr="00234417">
          <w:rPr>
            <w:rStyle w:val="TextoNormalCaracter"/>
          </w:rPr>
          <w:t>6/2013</w:t>
        </w:r>
      </w:hyperlink>
      <w:r w:rsidRPr="00234417">
        <w:rPr>
          <w:rStyle w:val="TextoNormalCaracter"/>
        </w:rPr>
        <w:t xml:space="preserve">, ff. 1, 2, 3, 4, 5, 6, 7; </w:t>
      </w:r>
      <w:hyperlink w:anchor="SENTENCIA_2013_15" w:history="1">
        <w:r w:rsidRPr="00234417">
          <w:rPr>
            <w:rStyle w:val="TextoNormalCaracter"/>
          </w:rPr>
          <w:t>15/2013</w:t>
        </w:r>
      </w:hyperlink>
      <w:r w:rsidRPr="00234417">
        <w:rPr>
          <w:rStyle w:val="TextoNormalCaracter"/>
        </w:rPr>
        <w:t xml:space="preserve">, ff. 3, 4; </w:t>
      </w:r>
      <w:hyperlink w:anchor="SENTENCIA_2013_24" w:history="1">
        <w:r w:rsidRPr="00234417">
          <w:rPr>
            <w:rStyle w:val="TextoNormalCaracter"/>
          </w:rPr>
          <w:t>24/2013</w:t>
        </w:r>
      </w:hyperlink>
      <w:r w:rsidRPr="00234417">
        <w:rPr>
          <w:rStyle w:val="TextoNormalCaracter"/>
        </w:rPr>
        <w:t xml:space="preserve">, ff. 3, 4, 5; </w:t>
      </w:r>
      <w:hyperlink w:anchor="SENTENCIA_2013_47" w:history="1">
        <w:r w:rsidRPr="00234417">
          <w:rPr>
            <w:rStyle w:val="TextoNormalCaracter"/>
          </w:rPr>
          <w:t>47/2013</w:t>
        </w:r>
      </w:hyperlink>
      <w:r w:rsidRPr="00234417">
        <w:rPr>
          <w:rStyle w:val="TextoNormalCaracter"/>
        </w:rPr>
        <w:t xml:space="preserve">, ff. 3, 4; </w:t>
      </w:r>
      <w:hyperlink w:anchor="SENTENCIA_2013_48" w:history="1">
        <w:r w:rsidRPr="00234417">
          <w:rPr>
            <w:rStyle w:val="TextoNormalCaracter"/>
          </w:rPr>
          <w:t>48/2013</w:t>
        </w:r>
      </w:hyperlink>
      <w:r w:rsidRPr="00234417">
        <w:rPr>
          <w:rStyle w:val="TextoNormalCaracter"/>
        </w:rPr>
        <w:t>, ff. 3, 4, 5.</w:t>
      </w:r>
    </w:p>
    <w:p w:rsidR="00234417" w:rsidRPr="00234417" w:rsidRDefault="00234417" w:rsidP="00234417">
      <w:pPr>
        <w:pStyle w:val="TextoNormalSangraFrancesa"/>
        <w:rPr>
          <w:rStyle w:val="TextoNormalCaracter"/>
        </w:rPr>
      </w:pPr>
      <w:bookmarkStart w:id="1596" w:name="DESCRIPTORALFABETICO531"/>
      <w:r w:rsidRPr="00234417">
        <w:rPr>
          <w:rStyle w:val="TextoNormalNegritaCaracter"/>
        </w:rPr>
        <w:t>Educación de personas adultas</w:t>
      </w:r>
      <w:bookmarkEnd w:id="1596"/>
      <w:r w:rsidRPr="00234417">
        <w:rPr>
          <w:rStyle w:val="TextoNormalCaracter"/>
        </w:rPr>
        <w:t xml:space="preserve">, Sentencia </w:t>
      </w:r>
      <w:hyperlink w:anchor="SENTENCIA_2013_24" w:history="1">
        <w:r w:rsidRPr="00234417">
          <w:rPr>
            <w:rStyle w:val="TextoNormalCaracter"/>
          </w:rPr>
          <w:t>24/2013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1597" w:name="DESCRIPTORALFABETICO532"/>
      <w:r w:rsidRPr="00234417">
        <w:rPr>
          <w:rStyle w:val="TextoNormalNegritaCaracter"/>
        </w:rPr>
        <w:t>Educación diferenciada por sexos</w:t>
      </w:r>
      <w:bookmarkEnd w:id="1597"/>
      <w:r w:rsidRPr="00234417">
        <w:rPr>
          <w:rStyle w:val="TextoNormalCaracter"/>
        </w:rPr>
        <w:t xml:space="preserve">, Auto </w:t>
      </w:r>
      <w:hyperlink w:anchor="AUTO_2013_89" w:history="1">
        <w:r w:rsidRPr="00234417">
          <w:rPr>
            <w:rStyle w:val="TextoNormalCaracter"/>
          </w:rPr>
          <w:t>89/2013</w:t>
        </w:r>
      </w:hyperlink>
      <w:r w:rsidRPr="00234417">
        <w:rPr>
          <w:rStyle w:val="TextoNormalCaracter"/>
        </w:rPr>
        <w:t>, f. 4.</w:t>
      </w:r>
    </w:p>
    <w:p w:rsidR="00234417" w:rsidRPr="00234417" w:rsidRDefault="00234417" w:rsidP="00234417">
      <w:pPr>
        <w:pStyle w:val="TextoNormalSangraFrancesa"/>
        <w:rPr>
          <w:rStyle w:val="TextoNormalCaracter"/>
        </w:rPr>
      </w:pPr>
      <w:bookmarkStart w:id="1598" w:name="DESCRIPTORALFABETICO533"/>
      <w:r w:rsidRPr="00234417">
        <w:rPr>
          <w:rStyle w:val="TextoNormalNegritaCaracter"/>
        </w:rPr>
        <w:lastRenderedPageBreak/>
        <w:t>Educación infantil</w:t>
      </w:r>
      <w:bookmarkEnd w:id="1598"/>
      <w:r w:rsidRPr="00234417">
        <w:rPr>
          <w:rStyle w:val="TextoNormalCaracter"/>
        </w:rPr>
        <w:t xml:space="preserve">, Sentencia </w:t>
      </w:r>
      <w:hyperlink w:anchor="SENTENCIA_2013_6" w:history="1">
        <w:r w:rsidRPr="00234417">
          <w:rPr>
            <w:rStyle w:val="TextoNormalCaracter"/>
          </w:rPr>
          <w:t>6/2013</w:t>
        </w:r>
      </w:hyperlink>
      <w:r w:rsidRPr="00234417">
        <w:rPr>
          <w:rStyle w:val="TextoNormalCaracter"/>
        </w:rPr>
        <w:t>, ff. 3, 6.</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33" w:history="1">
        <w:r w:rsidRPr="00234417">
          <w:rPr>
            <w:rStyle w:val="TextoNormalCaracter"/>
          </w:rPr>
          <w:t>33/2013</w:t>
        </w:r>
      </w:hyperlink>
      <w:r w:rsidRPr="00234417">
        <w:rPr>
          <w:rStyle w:val="TextoNormalCaracter"/>
        </w:rPr>
        <w:t>, f. 1.</w:t>
      </w:r>
    </w:p>
    <w:p w:rsidR="00234417" w:rsidRPr="00234417" w:rsidRDefault="00234417" w:rsidP="00234417">
      <w:pPr>
        <w:pStyle w:val="TextoNormalSangraFrancesa"/>
        <w:rPr>
          <w:rStyle w:val="TextoNormalCaracter"/>
        </w:rPr>
      </w:pPr>
      <w:bookmarkStart w:id="1599" w:name="DESCRIPTORALFABETICO534"/>
      <w:r w:rsidRPr="00234417">
        <w:rPr>
          <w:rStyle w:val="TextoNormalNegritaCaracter"/>
        </w:rPr>
        <w:t>Educación preescolar</w:t>
      </w:r>
      <w:bookmarkEnd w:id="1599"/>
      <w:r w:rsidRPr="00234417">
        <w:rPr>
          <w:rStyle w:val="TextoNormalCaracter"/>
        </w:rPr>
        <w:t xml:space="preserve">, Sentencias </w:t>
      </w:r>
      <w:hyperlink w:anchor="SENTENCIA_2013_6" w:history="1">
        <w:r w:rsidRPr="00234417">
          <w:rPr>
            <w:rStyle w:val="TextoNormalCaracter"/>
          </w:rPr>
          <w:t>6/2013</w:t>
        </w:r>
      </w:hyperlink>
      <w:r w:rsidRPr="00234417">
        <w:rPr>
          <w:rStyle w:val="TextoNormalCaracter"/>
        </w:rPr>
        <w:t xml:space="preserve">, f. 3; </w:t>
      </w:r>
      <w:hyperlink w:anchor="SENTENCIA_2013_47" w:history="1">
        <w:r w:rsidRPr="00234417">
          <w:rPr>
            <w:rStyle w:val="TextoNormalCaracter"/>
          </w:rPr>
          <w:t>47/2013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1600" w:name="DESCRIPTORALFABETICO535"/>
      <w:r w:rsidRPr="00234417">
        <w:rPr>
          <w:rStyle w:val="TextoNormalNegritaCaracter"/>
        </w:rPr>
        <w:t>Educación primaria</w:t>
      </w:r>
      <w:bookmarkEnd w:id="1600"/>
      <w:r w:rsidRPr="00234417">
        <w:rPr>
          <w:rStyle w:val="TextoNormalCaracter"/>
        </w:rPr>
        <w:t xml:space="preserve">, Sentencia </w:t>
      </w:r>
      <w:hyperlink w:anchor="SENTENCIA_2013_15" w:history="1">
        <w:r w:rsidRPr="00234417">
          <w:rPr>
            <w:rStyle w:val="TextoNormalCaracter"/>
          </w:rPr>
          <w:t>15/2013</w:t>
        </w:r>
      </w:hyperlink>
      <w:r w:rsidRPr="00234417">
        <w:rPr>
          <w:rStyle w:val="TextoNormalCaracter"/>
        </w:rPr>
        <w:t>, f. 4.</w:t>
      </w:r>
    </w:p>
    <w:p w:rsidR="00234417" w:rsidRPr="00234417" w:rsidRDefault="00234417" w:rsidP="00234417">
      <w:pPr>
        <w:pStyle w:val="TextoNormalSangraFrancesa"/>
        <w:rPr>
          <w:rStyle w:val="TextoNormalCaracter"/>
        </w:rPr>
      </w:pPr>
      <w:bookmarkStart w:id="1601" w:name="DESCRIPTORALFABETICO536"/>
      <w:r w:rsidRPr="00234417">
        <w:rPr>
          <w:rStyle w:val="TextoNormalNegritaCaracter"/>
        </w:rPr>
        <w:t>Educación secundaria obligatoria</w:t>
      </w:r>
      <w:bookmarkEnd w:id="1601"/>
      <w:r w:rsidRPr="00234417">
        <w:rPr>
          <w:rStyle w:val="TextoNormalCaracter"/>
        </w:rPr>
        <w:t xml:space="preserve">, Sentencias </w:t>
      </w:r>
      <w:hyperlink w:anchor="SENTENCIA_2013_6" w:history="1">
        <w:r w:rsidRPr="00234417">
          <w:rPr>
            <w:rStyle w:val="TextoNormalCaracter"/>
          </w:rPr>
          <w:t>6/2013</w:t>
        </w:r>
      </w:hyperlink>
      <w:r w:rsidRPr="00234417">
        <w:rPr>
          <w:rStyle w:val="TextoNormalCaracter"/>
        </w:rPr>
        <w:t xml:space="preserve">, f. 6; </w:t>
      </w:r>
      <w:hyperlink w:anchor="SENTENCIA_2013_48" w:history="1">
        <w:r w:rsidRPr="00234417">
          <w:rPr>
            <w:rStyle w:val="TextoNormalCaracter"/>
          </w:rPr>
          <w:t>48/2013</w:t>
        </w:r>
      </w:hyperlink>
      <w:r w:rsidRPr="00234417">
        <w:rPr>
          <w:rStyle w:val="TextoNormalCaracter"/>
        </w:rPr>
        <w:t>, ff. 1 a 6.</w:t>
      </w:r>
    </w:p>
    <w:p w:rsidR="00234417" w:rsidRPr="00234417" w:rsidRDefault="00234417" w:rsidP="00234417">
      <w:pPr>
        <w:pStyle w:val="TextoNormalSangraFrancesa"/>
        <w:rPr>
          <w:rStyle w:val="TextoNormalCaracter"/>
        </w:rPr>
      </w:pPr>
      <w:bookmarkStart w:id="1602" w:name="DESCRIPTORALFABETICO334"/>
      <w:r w:rsidRPr="00234417">
        <w:rPr>
          <w:rStyle w:val="TextoNormalNegritaCaracter"/>
        </w:rPr>
        <w:t>Efecto vinculante para el legislador</w:t>
      </w:r>
      <w:bookmarkEnd w:id="1602"/>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6.</w:t>
      </w:r>
    </w:p>
    <w:p w:rsidR="00234417" w:rsidRPr="00234417" w:rsidRDefault="00234417" w:rsidP="00234417">
      <w:pPr>
        <w:pStyle w:val="TextoNormalSangraFrancesa"/>
        <w:rPr>
          <w:rStyle w:val="TextoNormalCaracter"/>
        </w:rPr>
      </w:pPr>
      <w:bookmarkStart w:id="1603" w:name="DESCRIPTORALFABETICO648"/>
      <w:r w:rsidRPr="00234417">
        <w:rPr>
          <w:rStyle w:val="TextoNormalNegritaCaracter"/>
        </w:rPr>
        <w:t>Efectos de las sentencias del Tribunal Europeo de Derechos Humanos</w:t>
      </w:r>
      <w:bookmarkEnd w:id="1603"/>
      <w:r w:rsidRPr="00234417">
        <w:rPr>
          <w:rStyle w:val="TextoNormalCaracter"/>
        </w:rPr>
        <w:t xml:space="preserve">, Auto </w:t>
      </w:r>
      <w:hyperlink w:anchor="AUTO_2013_132" w:history="1">
        <w:r w:rsidRPr="00234417">
          <w:rPr>
            <w:rStyle w:val="TextoNormalCaracter"/>
          </w:rPr>
          <w:t>132/2013</w:t>
        </w:r>
      </w:hyperlink>
      <w:r w:rsidRPr="00234417">
        <w:rPr>
          <w:rStyle w:val="TextoNormalCaracter"/>
        </w:rPr>
        <w:t>, f. 4.</w:t>
      </w:r>
    </w:p>
    <w:p w:rsidR="00234417" w:rsidRPr="00234417" w:rsidRDefault="00234417" w:rsidP="00234417">
      <w:pPr>
        <w:pStyle w:val="TextoNormalSangraFrancesa"/>
        <w:rPr>
          <w:rStyle w:val="TextoNormalCaracter"/>
        </w:rPr>
      </w:pPr>
      <w:bookmarkStart w:id="1604" w:name="DESCRIPTORALFABETICO289"/>
      <w:r w:rsidRPr="00234417">
        <w:rPr>
          <w:rStyle w:val="TextoNormalNegritaCaracter"/>
        </w:rPr>
        <w:t>Efectos temporales de la declaración de inconstitucionalidad</w:t>
      </w:r>
      <w:bookmarkEnd w:id="1604"/>
      <w:r w:rsidRPr="00234417">
        <w:rPr>
          <w:rStyle w:val="TextoNormalCaracter"/>
        </w:rPr>
        <w:t xml:space="preserve">, Sentencia </w:t>
      </w:r>
      <w:hyperlink w:anchor="SENTENCIA_2013_93" w:history="1">
        <w:r w:rsidRPr="00234417">
          <w:rPr>
            <w:rStyle w:val="TextoNormalCaracter"/>
          </w:rPr>
          <w:t>93/2013</w:t>
        </w:r>
      </w:hyperlink>
      <w:r w:rsidRPr="00234417">
        <w:rPr>
          <w:rStyle w:val="TextoNormalCaracter"/>
        </w:rPr>
        <w:t>, f. 14.</w:t>
      </w:r>
    </w:p>
    <w:p w:rsidR="00234417" w:rsidRPr="00234417" w:rsidRDefault="00234417" w:rsidP="00234417">
      <w:pPr>
        <w:pStyle w:val="TextoNormalSangraFrancesa"/>
        <w:rPr>
          <w:rStyle w:val="TextoNormalCaracter"/>
        </w:rPr>
      </w:pPr>
      <w:bookmarkStart w:id="1605" w:name="DESCRIPTORALFABETICO825"/>
      <w:r w:rsidRPr="00234417">
        <w:rPr>
          <w:rStyle w:val="TextoNormalNegritaCaracter"/>
        </w:rPr>
        <w:t>Ejecución de resoluciones judiciales</w:t>
      </w:r>
      <w:bookmarkEnd w:id="1605"/>
      <w:r w:rsidRPr="00234417">
        <w:rPr>
          <w:rStyle w:val="TextoNormalCaracter"/>
        </w:rPr>
        <w:t xml:space="preserve">, Sentencia </w:t>
      </w:r>
      <w:hyperlink w:anchor="SENTENCIA_2013_121" w:history="1">
        <w:r w:rsidRPr="00234417">
          <w:rPr>
            <w:rStyle w:val="TextoNormalCaracter"/>
          </w:rPr>
          <w:t>121/2013</w:t>
        </w:r>
      </w:hyperlink>
      <w:r w:rsidRPr="00234417">
        <w:rPr>
          <w:rStyle w:val="TextoNormalCaracter"/>
        </w:rPr>
        <w:t>, ff. 4, 5.</w:t>
      </w:r>
    </w:p>
    <w:p w:rsidR="00234417" w:rsidRPr="00234417" w:rsidRDefault="00234417" w:rsidP="00234417">
      <w:pPr>
        <w:pStyle w:val="TextoNormalSangraFrancesa"/>
        <w:rPr>
          <w:rStyle w:val="TextoNormalCaracter"/>
        </w:rPr>
      </w:pPr>
      <w:bookmarkStart w:id="1606" w:name="DESCRIPTORALFABETICO827"/>
      <w:r w:rsidRPr="00234417">
        <w:rPr>
          <w:rStyle w:val="TextoNormalNegritaCaracter"/>
        </w:rPr>
        <w:t>Ejecución de sentencia penal</w:t>
      </w:r>
      <w:bookmarkEnd w:id="1606"/>
      <w:r w:rsidRPr="00234417">
        <w:rPr>
          <w:rStyle w:val="TextoNormalCaracter"/>
        </w:rPr>
        <w:t xml:space="preserve">, Sentencia </w:t>
      </w:r>
      <w:hyperlink w:anchor="SENTENCIA_2013_109" w:history="1">
        <w:r w:rsidRPr="00234417">
          <w:rPr>
            <w:rStyle w:val="TextoNormalCaracter"/>
          </w:rPr>
          <w:t>109/2013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1607" w:name="DESCRIPTORALFABETICO826"/>
      <w:r w:rsidRPr="00234417">
        <w:rPr>
          <w:rStyle w:val="TextoNormalNegritaCaracter"/>
        </w:rPr>
        <w:t>Ejecución de sentencias</w:t>
      </w:r>
      <w:bookmarkEnd w:id="1607"/>
      <w:r w:rsidRPr="00234417">
        <w:rPr>
          <w:rStyle w:val="TextoNormalCaracter"/>
        </w:rPr>
        <w:t xml:space="preserve">, Sentencias </w:t>
      </w:r>
      <w:hyperlink w:anchor="SENTENCIA_2013_10" w:history="1">
        <w:r w:rsidRPr="00234417">
          <w:rPr>
            <w:rStyle w:val="TextoNormalCaracter"/>
          </w:rPr>
          <w:t>10/2013</w:t>
        </w:r>
      </w:hyperlink>
      <w:r w:rsidRPr="00234417">
        <w:rPr>
          <w:rStyle w:val="TextoNormalCaracter"/>
        </w:rPr>
        <w:t xml:space="preserve">, f. 2; </w:t>
      </w:r>
      <w:hyperlink w:anchor="SENTENCIA_2013_92" w:history="1">
        <w:r w:rsidRPr="00234417">
          <w:rPr>
            <w:rStyle w:val="TextoNormalCaracter"/>
          </w:rPr>
          <w:t>92/2013</w:t>
        </w:r>
      </w:hyperlink>
      <w:r w:rsidRPr="00234417">
        <w:rPr>
          <w:rStyle w:val="TextoNormalCaracter"/>
        </w:rPr>
        <w:t>, f. 5.</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 </w:t>
      </w:r>
      <w:hyperlink w:anchor="SENTENCIA_2013_10" w:history="1">
        <w:r w:rsidRPr="00234417">
          <w:rPr>
            <w:rStyle w:val="TextoNormalCaracter"/>
          </w:rPr>
          <w:t>10/2013</w:t>
        </w:r>
      </w:hyperlink>
      <w:r w:rsidRPr="00234417">
        <w:rPr>
          <w:rStyle w:val="TextoNormalCaracter"/>
        </w:rPr>
        <w:t>, f. 2.</w:t>
      </w:r>
    </w:p>
    <w:p w:rsidR="00234417" w:rsidRPr="00234417" w:rsidRDefault="00234417" w:rsidP="00234417">
      <w:pPr>
        <w:pStyle w:val="TextoNormalSangraFrancesa"/>
        <w:rPr>
          <w:rStyle w:val="TextoNormalNegritaCaracter"/>
        </w:rPr>
      </w:pPr>
      <w:r w:rsidRPr="00234417">
        <w:rPr>
          <w:rStyle w:val="TextoNormalCursivaCaracter"/>
        </w:rPr>
        <w:t>Ejecución hipotecaria</w:t>
      </w:r>
      <w:r>
        <w:t xml:space="preserve"> véase </w:t>
      </w:r>
      <w:hyperlink w:anchor="DESCRIPTORALFABETICO888" w:history="1">
        <w:r w:rsidRPr="00234417">
          <w:rPr>
            <w:rStyle w:val="TextoNormalNegritaCaracter"/>
          </w:rPr>
          <w:t>Proceso de ejecución hipotecaria</w:t>
        </w:r>
      </w:hyperlink>
    </w:p>
    <w:p w:rsidR="00234417" w:rsidRPr="00234417" w:rsidRDefault="00234417" w:rsidP="00234417">
      <w:pPr>
        <w:pStyle w:val="TextoNormalSangraFrancesa"/>
        <w:rPr>
          <w:rStyle w:val="TextoNormalNegritaCaracter"/>
        </w:rPr>
      </w:pPr>
      <w:r w:rsidRPr="00234417">
        <w:rPr>
          <w:rStyle w:val="TextoNormalCursivaCaracter"/>
        </w:rPr>
        <w:t>Ejecutividad de las sentencias</w:t>
      </w:r>
      <w:r>
        <w:t xml:space="preserve"> véase </w:t>
      </w:r>
      <w:hyperlink w:anchor="DESCRIPTORALFABETICO826" w:history="1">
        <w:r w:rsidRPr="00234417">
          <w:rPr>
            <w:rStyle w:val="TextoNormalNegritaCaracter"/>
          </w:rPr>
          <w:t>Ejecución de sentencias</w:t>
        </w:r>
      </w:hyperlink>
    </w:p>
    <w:p w:rsidR="00234417" w:rsidRPr="00234417" w:rsidRDefault="00234417" w:rsidP="00234417">
      <w:pPr>
        <w:pStyle w:val="TextoNormalSangraFrancesa"/>
        <w:rPr>
          <w:rStyle w:val="TextoNormalCaracter"/>
        </w:rPr>
      </w:pPr>
      <w:bookmarkStart w:id="1608" w:name="DESCRIPTORALFABETICO30"/>
      <w:r w:rsidRPr="00234417">
        <w:rPr>
          <w:rStyle w:val="TextoNormalNegritaCaracter"/>
        </w:rPr>
        <w:t>Ejercicio de competencias</w:t>
      </w:r>
      <w:bookmarkEnd w:id="1608"/>
      <w:r w:rsidRPr="00234417">
        <w:rPr>
          <w:rStyle w:val="TextoNormalCaracter"/>
        </w:rPr>
        <w:t xml:space="preserve">, Sentencia </w:t>
      </w:r>
      <w:hyperlink w:anchor="SENTENCIA_2013_23" w:history="1">
        <w:r w:rsidRPr="00234417">
          <w:rPr>
            <w:rStyle w:val="TextoNormalCaracter"/>
          </w:rPr>
          <w:t>23/2013</w:t>
        </w:r>
      </w:hyperlink>
      <w:r w:rsidRPr="00234417">
        <w:rPr>
          <w:rStyle w:val="TextoNormalCaracter"/>
        </w:rPr>
        <w:t>, f. 2.</w:t>
      </w:r>
    </w:p>
    <w:p w:rsidR="00234417" w:rsidRPr="00234417" w:rsidRDefault="00234417" w:rsidP="00234417">
      <w:pPr>
        <w:pStyle w:val="TextoNormalSangraFrancesa"/>
        <w:rPr>
          <w:rStyle w:val="TextoNormalCaracter"/>
        </w:rPr>
      </w:pPr>
      <w:bookmarkStart w:id="1609" w:name="DESCRIPTORALFABETICO206"/>
      <w:r w:rsidRPr="00234417">
        <w:rPr>
          <w:rStyle w:val="TextoNormalNegritaCaracter"/>
        </w:rPr>
        <w:t>Ejercicio de derechos fundamentales</w:t>
      </w:r>
      <w:bookmarkEnd w:id="1609"/>
      <w:r w:rsidRPr="00234417">
        <w:rPr>
          <w:rStyle w:val="TextoNormalCaracter"/>
        </w:rPr>
        <w:t xml:space="preserve">, Sentencia </w:t>
      </w:r>
      <w:hyperlink w:anchor="SENTENCIA_2013_128" w:history="1">
        <w:r w:rsidRPr="00234417">
          <w:rPr>
            <w:rStyle w:val="TextoNormalCaracter"/>
          </w:rPr>
          <w:t>128/2013</w:t>
        </w:r>
      </w:hyperlink>
      <w:r w:rsidRPr="00234417">
        <w:rPr>
          <w:rStyle w:val="TextoNormalCaracter"/>
        </w:rPr>
        <w:t>, f. 3.</w:t>
      </w:r>
    </w:p>
    <w:p w:rsidR="00234417" w:rsidRPr="00234417" w:rsidRDefault="00234417" w:rsidP="00234417">
      <w:pPr>
        <w:pStyle w:val="TextoNormalSangraFrancesa"/>
        <w:rPr>
          <w:rStyle w:val="TextoNormalNegritaCaracter"/>
        </w:rPr>
      </w:pPr>
      <w:r w:rsidRPr="00234417">
        <w:rPr>
          <w:rStyle w:val="TextoNormalCursivaCaracter"/>
        </w:rPr>
        <w:t>Ejercicio de los derechos y libertades públicas</w:t>
      </w:r>
      <w:r>
        <w:t xml:space="preserve"> véase </w:t>
      </w:r>
      <w:hyperlink w:anchor="DESCRIPTORALFABETICO206" w:history="1">
        <w:r w:rsidRPr="00234417">
          <w:rPr>
            <w:rStyle w:val="TextoNormalNegritaCaracter"/>
          </w:rPr>
          <w:t>Ejercicio de derechos fundamentales</w:t>
        </w:r>
      </w:hyperlink>
    </w:p>
    <w:p w:rsidR="00234417" w:rsidRPr="00234417" w:rsidRDefault="00234417" w:rsidP="00234417">
      <w:pPr>
        <w:pStyle w:val="TextoNormalSangraFrancesa"/>
        <w:rPr>
          <w:rStyle w:val="TextoNormalCaracter"/>
        </w:rPr>
      </w:pPr>
      <w:bookmarkStart w:id="1610" w:name="DESCRIPTORALFABETICO476"/>
      <w:r w:rsidRPr="00234417">
        <w:rPr>
          <w:rStyle w:val="TextoNormalNegritaCaracter"/>
        </w:rPr>
        <w:t>Ejercicio profesional</w:t>
      </w:r>
      <w:bookmarkEnd w:id="1610"/>
      <w:r w:rsidRPr="00234417">
        <w:rPr>
          <w:rStyle w:val="TextoNormalCaracter"/>
        </w:rPr>
        <w:t xml:space="preserve">, Sentencia </w:t>
      </w:r>
      <w:hyperlink w:anchor="SENTENCIA_2013_91" w:history="1">
        <w:r w:rsidRPr="00234417">
          <w:rPr>
            <w:rStyle w:val="TextoNormalCaracter"/>
          </w:rPr>
          <w:t>91/2013</w:t>
        </w:r>
      </w:hyperlink>
      <w:r w:rsidRPr="00234417">
        <w:rPr>
          <w:rStyle w:val="TextoNormalCaracter"/>
        </w:rPr>
        <w:t>, f. 4.</w:t>
      </w:r>
    </w:p>
    <w:p w:rsidR="00234417" w:rsidRPr="00234417" w:rsidRDefault="00234417" w:rsidP="00234417">
      <w:pPr>
        <w:pStyle w:val="TextoNormalSangraFrancesa"/>
        <w:rPr>
          <w:rStyle w:val="TextoNormalCaracter"/>
        </w:rPr>
      </w:pPr>
      <w:bookmarkStart w:id="1611" w:name="DESCRIPTORALFABETICO451"/>
      <w:r w:rsidRPr="00234417">
        <w:rPr>
          <w:rStyle w:val="TextoNormalNegritaCaracter"/>
        </w:rPr>
        <w:t>Elección de alcalde</w:t>
      </w:r>
      <w:bookmarkEnd w:id="1611"/>
      <w:r w:rsidRPr="00234417">
        <w:rPr>
          <w:rStyle w:val="TextoNormalCaracter"/>
        </w:rPr>
        <w:t xml:space="preserve">, Sentencia </w:t>
      </w:r>
      <w:hyperlink w:anchor="SENTENCIA_2013_125" w:history="1">
        <w:r w:rsidRPr="00234417">
          <w:rPr>
            <w:rStyle w:val="TextoNormalCaracter"/>
          </w:rPr>
          <w:t>125/2013</w:t>
        </w:r>
      </w:hyperlink>
      <w:r w:rsidRPr="00234417">
        <w:rPr>
          <w:rStyle w:val="TextoNormalCaracter"/>
        </w:rPr>
        <w:t>, ff. 4 a 8, VP.</w:t>
      </w:r>
    </w:p>
    <w:p w:rsidR="00234417" w:rsidRPr="00234417" w:rsidRDefault="00234417" w:rsidP="00234417">
      <w:pPr>
        <w:pStyle w:val="TextoNormalSangraFrancesa"/>
        <w:rPr>
          <w:rStyle w:val="TextoNormalCaracter"/>
        </w:rPr>
      </w:pPr>
      <w:bookmarkStart w:id="1612" w:name="DESCRIPTORALFABETICO129"/>
      <w:r w:rsidRPr="00234417">
        <w:rPr>
          <w:rStyle w:val="TextoNormalNegritaCaracter"/>
        </w:rPr>
        <w:t>Elecciones locales</w:t>
      </w:r>
      <w:bookmarkEnd w:id="1612"/>
      <w:r w:rsidRPr="00234417">
        <w:rPr>
          <w:rStyle w:val="TextoNormalCaracter"/>
        </w:rPr>
        <w:t xml:space="preserve">, Sentencia </w:t>
      </w:r>
      <w:hyperlink w:anchor="SENTENCIA_2013_125" w:history="1">
        <w:r w:rsidRPr="00234417">
          <w:rPr>
            <w:rStyle w:val="TextoNormalCaracter"/>
          </w:rPr>
          <w:t>125/2013</w:t>
        </w:r>
      </w:hyperlink>
      <w:r w:rsidRPr="00234417">
        <w:rPr>
          <w:rStyle w:val="TextoNormalCaracter"/>
        </w:rPr>
        <w:t>, ff. 4, 5, 6, 7, 8.</w:t>
      </w:r>
    </w:p>
    <w:p w:rsidR="00234417" w:rsidRPr="00234417" w:rsidRDefault="00234417" w:rsidP="00234417">
      <w:pPr>
        <w:pStyle w:val="TextoNormalSangraFrancesa"/>
        <w:rPr>
          <w:rStyle w:val="TextoNormalNegritaCaracter"/>
        </w:rPr>
      </w:pPr>
      <w:r w:rsidRPr="00234417">
        <w:rPr>
          <w:rStyle w:val="TextoNormalCursivaCaracter"/>
        </w:rPr>
        <w:t>Elecciones municipales</w:t>
      </w:r>
      <w:r>
        <w:t xml:space="preserve"> véase </w:t>
      </w:r>
      <w:hyperlink w:anchor="DESCRIPTORALFABETICO129" w:history="1">
        <w:r w:rsidRPr="00234417">
          <w:rPr>
            <w:rStyle w:val="TextoNormalNegritaCaracter"/>
          </w:rPr>
          <w:t>Elecciones locales</w:t>
        </w:r>
      </w:hyperlink>
    </w:p>
    <w:p w:rsidR="00234417" w:rsidRPr="00234417" w:rsidRDefault="00234417" w:rsidP="00234417">
      <w:pPr>
        <w:pStyle w:val="TextoNormalSangraFrancesa"/>
        <w:rPr>
          <w:rStyle w:val="TextoNormalNegritaCaracter"/>
        </w:rPr>
      </w:pPr>
      <w:r w:rsidRPr="00234417">
        <w:rPr>
          <w:rStyle w:val="TextoNormalCursivaCaracter"/>
        </w:rPr>
        <w:t>Electricidad</w:t>
      </w:r>
      <w:r>
        <w:t xml:space="preserve"> véase </w:t>
      </w:r>
      <w:hyperlink w:anchor="DESCRIPTORALFABETICO549" w:history="1">
        <w:r w:rsidRPr="00234417">
          <w:rPr>
            <w:rStyle w:val="TextoNormalNegritaCaracter"/>
          </w:rPr>
          <w:t>Energía eléctrica</w:t>
        </w:r>
      </w:hyperlink>
    </w:p>
    <w:p w:rsidR="00234417" w:rsidRPr="00234417" w:rsidRDefault="00234417" w:rsidP="00234417">
      <w:pPr>
        <w:pStyle w:val="TextoNormalSangraFrancesa"/>
        <w:rPr>
          <w:rStyle w:val="TextoNormalCaracter"/>
        </w:rPr>
      </w:pPr>
      <w:bookmarkStart w:id="1613" w:name="DESCRIPTORALFABETICO799"/>
      <w:r w:rsidRPr="00234417">
        <w:rPr>
          <w:rStyle w:val="TextoNormalNegritaCaracter"/>
        </w:rPr>
        <w:t>Emplazamiento</w:t>
      </w:r>
      <w:bookmarkEnd w:id="1613"/>
      <w:r w:rsidRPr="00234417">
        <w:rPr>
          <w:rStyle w:val="TextoNormalCaracter"/>
        </w:rPr>
        <w:t xml:space="preserve">, Sentencia </w:t>
      </w:r>
      <w:hyperlink w:anchor="SENTENCIA_2013_76" w:history="1">
        <w:r w:rsidRPr="00234417">
          <w:rPr>
            <w:rStyle w:val="TextoNormalCaracter"/>
          </w:rPr>
          <w:t>76/2013</w:t>
        </w:r>
      </w:hyperlink>
      <w:r w:rsidRPr="00234417">
        <w:rPr>
          <w:rStyle w:val="TextoNormalCaracter"/>
        </w:rPr>
        <w:t>, ff. 2, 3, 4.</w:t>
      </w:r>
    </w:p>
    <w:p w:rsidR="00234417" w:rsidRPr="00234417" w:rsidRDefault="00234417" w:rsidP="00234417">
      <w:pPr>
        <w:pStyle w:val="TextoNormalSangraFrancesa"/>
        <w:rPr>
          <w:rStyle w:val="TextoNormalCaracter"/>
        </w:rPr>
      </w:pPr>
      <w:bookmarkStart w:id="1614" w:name="DESCRIPTORALFABETICO800"/>
      <w:r w:rsidRPr="00234417">
        <w:rPr>
          <w:rStyle w:val="TextoNormalNegritaCaracter"/>
        </w:rPr>
        <w:t>Emplazamiento de pluralidad indeterminada de sujetos</w:t>
      </w:r>
      <w:bookmarkEnd w:id="1614"/>
      <w:r w:rsidRPr="00234417">
        <w:rPr>
          <w:rStyle w:val="TextoNormalCaracter"/>
        </w:rPr>
        <w:t xml:space="preserve">, Sentencia </w:t>
      </w:r>
      <w:hyperlink w:anchor="SENTENCIA_2013_76" w:history="1">
        <w:r w:rsidRPr="00234417">
          <w:rPr>
            <w:rStyle w:val="TextoNormalCaracter"/>
          </w:rPr>
          <w:t>76/2013</w:t>
        </w:r>
      </w:hyperlink>
      <w:r w:rsidRPr="00234417">
        <w:rPr>
          <w:rStyle w:val="TextoNormalCaracter"/>
        </w:rPr>
        <w:t>, ff. 2 a 4.</w:t>
      </w:r>
    </w:p>
    <w:p w:rsidR="00234417" w:rsidRPr="00234417" w:rsidRDefault="00234417" w:rsidP="00234417">
      <w:pPr>
        <w:pStyle w:val="TextoNormalSangraFrancesa"/>
        <w:rPr>
          <w:rStyle w:val="TextoNormalCaracter"/>
        </w:rPr>
      </w:pPr>
      <w:bookmarkStart w:id="1615" w:name="DESCRIPTORALFABETICO801"/>
      <w:r w:rsidRPr="00234417">
        <w:rPr>
          <w:rStyle w:val="TextoNormalNegritaCaracter"/>
        </w:rPr>
        <w:t>Emplazamiento edictal</w:t>
      </w:r>
      <w:bookmarkEnd w:id="1615"/>
      <w:r w:rsidRPr="00234417">
        <w:rPr>
          <w:rStyle w:val="TextoNormalCaracter"/>
        </w:rPr>
        <w:t xml:space="preserve">, Sentencia </w:t>
      </w:r>
      <w:hyperlink w:anchor="SENTENCIA_2013_122" w:history="1">
        <w:r w:rsidRPr="00234417">
          <w:rPr>
            <w:rStyle w:val="TextoNormalCaracter"/>
          </w:rPr>
          <w:t>122/2013</w:t>
        </w:r>
      </w:hyperlink>
      <w:r w:rsidRPr="00234417">
        <w:rPr>
          <w:rStyle w:val="TextoNormalCaracter"/>
        </w:rPr>
        <w:t>, ff. 2 a 5.</w:t>
      </w:r>
    </w:p>
    <w:p w:rsidR="00234417" w:rsidRPr="00234417" w:rsidRDefault="00234417" w:rsidP="00234417">
      <w:pPr>
        <w:pStyle w:val="TextoNormalSangraFrancesa"/>
        <w:rPr>
          <w:rStyle w:val="TextoNormalCaracter"/>
        </w:rPr>
      </w:pPr>
      <w:bookmarkStart w:id="1616" w:name="DESCRIPTORALFABETICO802"/>
      <w:r w:rsidRPr="00234417">
        <w:rPr>
          <w:rStyle w:val="TextoNormalNegritaCaracter"/>
        </w:rPr>
        <w:t>Emplazamiento edictal causante de indefensión</w:t>
      </w:r>
      <w:bookmarkEnd w:id="1616"/>
      <w:r w:rsidRPr="00234417">
        <w:rPr>
          <w:rStyle w:val="TextoNormalCaracter"/>
        </w:rPr>
        <w:t xml:space="preserve">, Sentencia </w:t>
      </w:r>
      <w:hyperlink w:anchor="SENTENCIA_2013_122" w:history="1">
        <w:r w:rsidRPr="00234417">
          <w:rPr>
            <w:rStyle w:val="TextoNormalCaracter"/>
          </w:rPr>
          <w:t>122/2013</w:t>
        </w:r>
      </w:hyperlink>
      <w:r w:rsidRPr="00234417">
        <w:rPr>
          <w:rStyle w:val="TextoNormalCaracter"/>
        </w:rPr>
        <w:t>, ff. 2 a 5.</w:t>
      </w:r>
    </w:p>
    <w:p w:rsidR="00234417" w:rsidRPr="00234417" w:rsidRDefault="00234417" w:rsidP="00234417">
      <w:pPr>
        <w:pStyle w:val="TextoNormalSangraFrancesa"/>
        <w:rPr>
          <w:rStyle w:val="TextoNormalCaracter"/>
        </w:rPr>
      </w:pPr>
      <w:bookmarkStart w:id="1617" w:name="DESCRIPTORALFABETICO803"/>
      <w:r w:rsidRPr="00234417">
        <w:rPr>
          <w:rStyle w:val="TextoNormalNegritaCaracter"/>
        </w:rPr>
        <w:t>Emplazamiento edictal sin agotar los medios de comunicación efectiva</w:t>
      </w:r>
      <w:bookmarkEnd w:id="1617"/>
      <w:r w:rsidRPr="00234417">
        <w:rPr>
          <w:rStyle w:val="TextoNormalCaracter"/>
        </w:rPr>
        <w:t xml:space="preserve">, Sentencia </w:t>
      </w:r>
      <w:hyperlink w:anchor="SENTENCIA_2013_122" w:history="1">
        <w:r w:rsidRPr="00234417">
          <w:rPr>
            <w:rStyle w:val="TextoNormalCaracter"/>
          </w:rPr>
          <w:t>122/2013</w:t>
        </w:r>
      </w:hyperlink>
      <w:r w:rsidRPr="00234417">
        <w:rPr>
          <w:rStyle w:val="TextoNormalCaracter"/>
        </w:rPr>
        <w:t>, ff. 2 a 5.</w:t>
      </w:r>
    </w:p>
    <w:p w:rsidR="00234417" w:rsidRPr="00234417" w:rsidRDefault="00234417" w:rsidP="00234417">
      <w:pPr>
        <w:pStyle w:val="TextoNormalSangraFrancesa"/>
        <w:rPr>
          <w:rStyle w:val="TextoNormalCaracter"/>
        </w:rPr>
      </w:pPr>
      <w:bookmarkStart w:id="1618" w:name="DESCRIPTORALFABETICO33"/>
      <w:r w:rsidRPr="00234417">
        <w:rPr>
          <w:rStyle w:val="TextoNormalNegritaCaracter"/>
        </w:rPr>
        <w:t>Encuadramiento competencial</w:t>
      </w:r>
      <w:bookmarkEnd w:id="1618"/>
      <w:r w:rsidRPr="00234417">
        <w:rPr>
          <w:rStyle w:val="TextoNormalCaracter"/>
        </w:rPr>
        <w:t xml:space="preserve">, Sentencia </w:t>
      </w:r>
      <w:hyperlink w:anchor="SENTENCIA_2013_33" w:history="1">
        <w:r w:rsidRPr="00234417">
          <w:rPr>
            <w:rStyle w:val="TextoNormalCaracter"/>
          </w:rPr>
          <w:t>33/2013</w:t>
        </w:r>
      </w:hyperlink>
      <w:r w:rsidRPr="00234417">
        <w:rPr>
          <w:rStyle w:val="TextoNormalCaracter"/>
        </w:rPr>
        <w:t>, f. 5.</w:t>
      </w:r>
    </w:p>
    <w:p w:rsidR="00234417" w:rsidRPr="00234417" w:rsidRDefault="00234417" w:rsidP="00234417">
      <w:pPr>
        <w:pStyle w:val="TextoNormalSangraFrancesa"/>
        <w:rPr>
          <w:rStyle w:val="TextoNormalCaracter"/>
        </w:rPr>
      </w:pPr>
      <w:bookmarkStart w:id="1619" w:name="DESCRIPTORALFABETICO549"/>
      <w:r w:rsidRPr="00234417">
        <w:rPr>
          <w:rStyle w:val="TextoNormalNegritaCaracter"/>
        </w:rPr>
        <w:t>Energía eléctrica</w:t>
      </w:r>
      <w:bookmarkEnd w:id="1619"/>
      <w:r w:rsidRPr="00234417">
        <w:rPr>
          <w:rStyle w:val="TextoNormalCaracter"/>
        </w:rPr>
        <w:t xml:space="preserve">, Sentencias </w:t>
      </w:r>
      <w:hyperlink w:anchor="SENTENCIA_2013_4" w:history="1">
        <w:r w:rsidRPr="00234417">
          <w:rPr>
            <w:rStyle w:val="TextoNormalCaracter"/>
          </w:rPr>
          <w:t>4/2013</w:t>
        </w:r>
      </w:hyperlink>
      <w:r w:rsidRPr="00234417">
        <w:rPr>
          <w:rStyle w:val="TextoNormalCaracter"/>
        </w:rPr>
        <w:t xml:space="preserve">, f. 5; </w:t>
      </w:r>
      <w:hyperlink w:anchor="SENTENCIA_2013_102" w:history="1">
        <w:r w:rsidRPr="00234417">
          <w:rPr>
            <w:rStyle w:val="TextoNormalCaracter"/>
          </w:rPr>
          <w:t>102/2013</w:t>
        </w:r>
      </w:hyperlink>
      <w:r w:rsidRPr="00234417">
        <w:rPr>
          <w:rStyle w:val="TextoNormalCaracter"/>
        </w:rPr>
        <w:t>, ff. 3 a 8.</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9" w:history="1">
        <w:r w:rsidRPr="00234417">
          <w:rPr>
            <w:rStyle w:val="TextoNormalCaracter"/>
          </w:rPr>
          <w:t>9/2013</w:t>
        </w:r>
      </w:hyperlink>
      <w:r w:rsidRPr="00234417">
        <w:rPr>
          <w:rStyle w:val="TextoNormalCaracter"/>
        </w:rPr>
        <w:t>, ff. 3, 5.</w:t>
      </w:r>
    </w:p>
    <w:p w:rsidR="00234417" w:rsidRPr="00234417" w:rsidRDefault="00234417" w:rsidP="00234417">
      <w:pPr>
        <w:pStyle w:val="TextoNormalSangraFrancesa"/>
        <w:rPr>
          <w:rStyle w:val="TextoNormalCaracter"/>
        </w:rPr>
      </w:pPr>
      <w:bookmarkStart w:id="1620" w:name="DESCRIPTORALFABETICO391"/>
      <w:r w:rsidRPr="00234417">
        <w:rPr>
          <w:rStyle w:val="TextoNormalNegritaCaracter"/>
        </w:rPr>
        <w:t>Enmiendas en el Senado</w:t>
      </w:r>
      <w:bookmarkEnd w:id="1620"/>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4.</w:t>
      </w:r>
    </w:p>
    <w:p w:rsidR="00234417" w:rsidRPr="00234417" w:rsidRDefault="00234417" w:rsidP="00234417">
      <w:pPr>
        <w:pStyle w:val="TextoNormalSangraFrancesa"/>
        <w:rPr>
          <w:rStyle w:val="TextoNormalCaracter"/>
        </w:rPr>
      </w:pPr>
      <w:bookmarkStart w:id="1621" w:name="DESCRIPTORALFABETICO389"/>
      <w:r w:rsidRPr="00234417">
        <w:rPr>
          <w:rStyle w:val="TextoNormalNegritaCaracter"/>
        </w:rPr>
        <w:t>Enmiendas parlamentarias</w:t>
      </w:r>
      <w:bookmarkEnd w:id="1621"/>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4.</w:t>
      </w:r>
    </w:p>
    <w:p w:rsidR="00234417" w:rsidRPr="00234417" w:rsidRDefault="00234417" w:rsidP="00234417">
      <w:pPr>
        <w:pStyle w:val="TextoNormalSangraFrancesa"/>
        <w:rPr>
          <w:rStyle w:val="TextoNormalCaracter"/>
        </w:rPr>
      </w:pPr>
      <w:bookmarkStart w:id="1622" w:name="DESCRIPTORALFABETICO444"/>
      <w:r w:rsidRPr="00234417">
        <w:rPr>
          <w:rStyle w:val="TextoNormalNegritaCaracter"/>
        </w:rPr>
        <w:t>Enseñanza de lenguas oficiales</w:t>
      </w:r>
      <w:bookmarkEnd w:id="1622"/>
      <w:r w:rsidRPr="00234417">
        <w:rPr>
          <w:rStyle w:val="TextoNormalCaracter"/>
        </w:rPr>
        <w:t xml:space="preserve">, Sentencias </w:t>
      </w:r>
      <w:hyperlink w:anchor="SENTENCIA_2013_15" w:history="1">
        <w:r w:rsidRPr="00234417">
          <w:rPr>
            <w:rStyle w:val="TextoNormalCaracter"/>
          </w:rPr>
          <w:t>15/2013</w:t>
        </w:r>
      </w:hyperlink>
      <w:r w:rsidRPr="00234417">
        <w:rPr>
          <w:rStyle w:val="TextoNormalCaracter"/>
        </w:rPr>
        <w:t xml:space="preserve">, ff. 3, 4; </w:t>
      </w:r>
      <w:hyperlink w:anchor="SENTENCIA_2013_24" w:history="1">
        <w:r w:rsidRPr="00234417">
          <w:rPr>
            <w:rStyle w:val="TextoNormalCaracter"/>
          </w:rPr>
          <w:t>24/2013</w:t>
        </w:r>
      </w:hyperlink>
      <w:r w:rsidRPr="00234417">
        <w:rPr>
          <w:rStyle w:val="TextoNormalCaracter"/>
        </w:rPr>
        <w:t xml:space="preserve">, f. 7; </w:t>
      </w:r>
      <w:hyperlink w:anchor="SENTENCIA_2013_48" w:history="1">
        <w:r w:rsidRPr="00234417">
          <w:rPr>
            <w:rStyle w:val="TextoNormalCaracter"/>
          </w:rPr>
          <w:t>48/2013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623" w:name="DESCRIPTORALFABETICO524"/>
      <w:r w:rsidRPr="00234417">
        <w:rPr>
          <w:rStyle w:val="TextoNormalNegritaCaracter"/>
        </w:rPr>
        <w:t>Enseñanzas comunes</w:t>
      </w:r>
      <w:bookmarkEnd w:id="1623"/>
      <w:r w:rsidRPr="00234417">
        <w:rPr>
          <w:rStyle w:val="TextoNormalCaracter"/>
        </w:rPr>
        <w:t xml:space="preserve">, Sentencias </w:t>
      </w:r>
      <w:hyperlink w:anchor="SENTENCIA_2013_15" w:history="1">
        <w:r w:rsidRPr="00234417">
          <w:rPr>
            <w:rStyle w:val="TextoNormalCaracter"/>
          </w:rPr>
          <w:t>15/2013</w:t>
        </w:r>
      </w:hyperlink>
      <w:r w:rsidRPr="00234417">
        <w:rPr>
          <w:rStyle w:val="TextoNormalCaracter"/>
        </w:rPr>
        <w:t xml:space="preserve">, f. 4; </w:t>
      </w:r>
      <w:hyperlink w:anchor="SENTENCIA_2013_24" w:history="1">
        <w:r w:rsidRPr="00234417">
          <w:rPr>
            <w:rStyle w:val="TextoNormalCaracter"/>
          </w:rPr>
          <w:t>24/2013</w:t>
        </w:r>
      </w:hyperlink>
      <w:r w:rsidRPr="00234417">
        <w:rPr>
          <w:rStyle w:val="TextoNormalCaracter"/>
        </w:rPr>
        <w:t>, f. 3.</w:t>
      </w:r>
    </w:p>
    <w:p w:rsidR="00234417" w:rsidRPr="00234417" w:rsidRDefault="00234417" w:rsidP="00234417">
      <w:pPr>
        <w:pStyle w:val="TextoNormalSangraFrancesa"/>
        <w:rPr>
          <w:rStyle w:val="TextoNormalCaracter"/>
        </w:rPr>
      </w:pPr>
      <w:r w:rsidRPr="00234417">
        <w:rPr>
          <w:rStyle w:val="TextoNormalCursivaCaracter"/>
        </w:rPr>
        <w:t xml:space="preserve">    Finalidad, </w:t>
      </w:r>
      <w:r w:rsidRPr="00234417">
        <w:rPr>
          <w:rStyle w:val="TextoNormalCaracter"/>
        </w:rPr>
        <w:t xml:space="preserve">Sentencia </w:t>
      </w:r>
      <w:hyperlink w:anchor="SENTENCIA_2013_24" w:history="1">
        <w:r w:rsidRPr="00234417">
          <w:rPr>
            <w:rStyle w:val="TextoNormalCaracter"/>
          </w:rPr>
          <w:t>24/2013</w:t>
        </w:r>
      </w:hyperlink>
      <w:r w:rsidRPr="00234417">
        <w:rPr>
          <w:rStyle w:val="TextoNormalCaracter"/>
        </w:rPr>
        <w:t>, f. 5.</w:t>
      </w:r>
    </w:p>
    <w:p w:rsidR="00234417" w:rsidRPr="00234417" w:rsidRDefault="00234417" w:rsidP="00234417">
      <w:pPr>
        <w:pStyle w:val="TextoNormalSangraFrancesa"/>
        <w:rPr>
          <w:rStyle w:val="TextoNormalCaracter"/>
        </w:rPr>
      </w:pPr>
      <w:bookmarkStart w:id="1624" w:name="DESCRIPTORALFABETICO537"/>
      <w:r w:rsidRPr="00234417">
        <w:rPr>
          <w:rStyle w:val="TextoNormalNegritaCaracter"/>
        </w:rPr>
        <w:t>Enseñanzas de idiomas</w:t>
      </w:r>
      <w:bookmarkEnd w:id="1624"/>
      <w:r w:rsidRPr="00234417">
        <w:rPr>
          <w:rStyle w:val="TextoNormalCaracter"/>
        </w:rPr>
        <w:t xml:space="preserve">, Sentencia </w:t>
      </w:r>
      <w:hyperlink w:anchor="SENTENCIA_2013_6" w:history="1">
        <w:r w:rsidRPr="00234417">
          <w:rPr>
            <w:rStyle w:val="TextoNormalCaracter"/>
          </w:rPr>
          <w:t>6/2013</w:t>
        </w:r>
      </w:hyperlink>
      <w:r w:rsidRPr="00234417">
        <w:rPr>
          <w:rStyle w:val="TextoNormalCaracter"/>
        </w:rPr>
        <w:t>, f. 4.</w:t>
      </w:r>
    </w:p>
    <w:p w:rsidR="00234417" w:rsidRPr="00234417" w:rsidRDefault="00234417" w:rsidP="00234417">
      <w:pPr>
        <w:pStyle w:val="TextoNormalSangraFrancesa"/>
        <w:rPr>
          <w:rStyle w:val="TextoNormalNegritaCaracter"/>
        </w:rPr>
      </w:pPr>
      <w:r w:rsidRPr="00234417">
        <w:rPr>
          <w:rStyle w:val="TextoNormalCursivaCaracter"/>
        </w:rPr>
        <w:t>Enseñanzas mínimas</w:t>
      </w:r>
      <w:r>
        <w:t xml:space="preserve"> véase </w:t>
      </w:r>
      <w:hyperlink w:anchor="DESCRIPTORALFABETICO524" w:history="1">
        <w:r w:rsidRPr="00234417">
          <w:rPr>
            <w:rStyle w:val="TextoNormalNegritaCaracter"/>
          </w:rPr>
          <w:t>Enseñanzas comunes</w:t>
        </w:r>
      </w:hyperlink>
    </w:p>
    <w:p w:rsidR="00234417" w:rsidRPr="00234417" w:rsidRDefault="00234417" w:rsidP="00234417">
      <w:pPr>
        <w:pStyle w:val="TextoNormalSangraFrancesa"/>
        <w:rPr>
          <w:rStyle w:val="TextoNormalCaracter"/>
        </w:rPr>
      </w:pPr>
      <w:bookmarkStart w:id="1625" w:name="DESCRIPTORALFABETICO448"/>
      <w:r w:rsidRPr="00234417">
        <w:rPr>
          <w:rStyle w:val="TextoNormalNegritaCaracter"/>
        </w:rPr>
        <w:t>Entes locales</w:t>
      </w:r>
      <w:bookmarkEnd w:id="1625"/>
      <w:r w:rsidRPr="00234417">
        <w:rPr>
          <w:rStyle w:val="TextoNormalCaracter"/>
        </w:rPr>
        <w:t xml:space="preserve">, Sentencia </w:t>
      </w:r>
      <w:hyperlink w:anchor="SENTENCIA_2013_85" w:history="1">
        <w:r w:rsidRPr="00234417">
          <w:rPr>
            <w:rStyle w:val="TextoNormalCaracter"/>
          </w:rPr>
          <w:t>85/2013</w:t>
        </w:r>
      </w:hyperlink>
      <w:r w:rsidRPr="00234417">
        <w:rPr>
          <w:rStyle w:val="TextoNormalCaracter"/>
        </w:rPr>
        <w:t>, f. 5.</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9" w:history="1">
        <w:r w:rsidRPr="00234417">
          <w:rPr>
            <w:rStyle w:val="TextoNormalCaracter"/>
          </w:rPr>
          <w:t>9/2013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626" w:name="DESCRIPTORALFABETICO813"/>
      <w:r w:rsidRPr="00234417">
        <w:rPr>
          <w:rStyle w:val="TextoNormalNegritaCaracter"/>
        </w:rPr>
        <w:t>Entrada y registro de domicilio</w:t>
      </w:r>
      <w:bookmarkEnd w:id="1626"/>
      <w:r w:rsidRPr="00234417">
        <w:rPr>
          <w:rStyle w:val="TextoNormalCaracter"/>
        </w:rPr>
        <w:t xml:space="preserve">, Sentencia </w:t>
      </w:r>
      <w:hyperlink w:anchor="SENTENCIA_2013_53" w:history="1">
        <w:r w:rsidRPr="00234417">
          <w:rPr>
            <w:rStyle w:val="TextoNormalCaracter"/>
          </w:rPr>
          <w:t>53/2013</w:t>
        </w:r>
      </w:hyperlink>
      <w:r w:rsidRPr="00234417">
        <w:rPr>
          <w:rStyle w:val="TextoNormalCaracter"/>
        </w:rPr>
        <w:t>, ff. 1, 6, 7.</w:t>
      </w:r>
    </w:p>
    <w:p w:rsidR="00234417" w:rsidRPr="00234417" w:rsidRDefault="00234417" w:rsidP="00234417">
      <w:pPr>
        <w:pStyle w:val="TextoNormalSangraFrancesa"/>
        <w:rPr>
          <w:rStyle w:val="TextoNormalCaracter"/>
        </w:rPr>
      </w:pPr>
      <w:bookmarkStart w:id="1627" w:name="DESCRIPTORALFABETICO164"/>
      <w:r w:rsidRPr="00234417">
        <w:rPr>
          <w:rStyle w:val="TextoNormalNegritaCaracter"/>
        </w:rPr>
        <w:t>Error patente</w:t>
      </w:r>
      <w:bookmarkEnd w:id="1627"/>
      <w:r w:rsidRPr="00234417">
        <w:rPr>
          <w:rStyle w:val="TextoNormalCaracter"/>
        </w:rPr>
        <w:t xml:space="preserve">, Sentencias </w:t>
      </w:r>
      <w:hyperlink w:anchor="SENTENCIA_2013_27" w:history="1">
        <w:r w:rsidRPr="00234417">
          <w:rPr>
            <w:rStyle w:val="TextoNormalCaracter"/>
          </w:rPr>
          <w:t>27/2013</w:t>
        </w:r>
      </w:hyperlink>
      <w:r w:rsidRPr="00234417">
        <w:rPr>
          <w:rStyle w:val="TextoNormalCaracter"/>
        </w:rPr>
        <w:t xml:space="preserve">, f. 8; </w:t>
      </w:r>
      <w:hyperlink w:anchor="SENTENCIA_2013_133" w:history="1">
        <w:r w:rsidRPr="00234417">
          <w:rPr>
            <w:rStyle w:val="TextoNormalCaracter"/>
          </w:rPr>
          <w:t>133/2013</w:t>
        </w:r>
      </w:hyperlink>
      <w:r w:rsidRPr="00234417">
        <w:rPr>
          <w:rStyle w:val="TextoNormalCaracter"/>
        </w:rPr>
        <w:t>, ff. 7, 8.</w:t>
      </w:r>
    </w:p>
    <w:p w:rsidR="00234417" w:rsidRPr="00234417" w:rsidRDefault="00234417" w:rsidP="00234417">
      <w:pPr>
        <w:pStyle w:val="TextoNormalSangraFrancesa"/>
        <w:rPr>
          <w:rStyle w:val="TextoNormalCaracter"/>
        </w:rPr>
      </w:pPr>
      <w:bookmarkStart w:id="1628" w:name="DESCRIPTORALFABETICO612"/>
      <w:r w:rsidRPr="00234417">
        <w:rPr>
          <w:rStyle w:val="TextoNormalNegritaCaracter"/>
        </w:rPr>
        <w:t>Espacios naturales protegidos</w:t>
      </w:r>
      <w:bookmarkEnd w:id="1628"/>
      <w:r w:rsidRPr="00234417">
        <w:rPr>
          <w:rStyle w:val="TextoNormalCaracter"/>
        </w:rPr>
        <w:t xml:space="preserve">, Sentencias </w:t>
      </w:r>
      <w:hyperlink w:anchor="SENTENCIA_2013_87" w:history="1">
        <w:r w:rsidRPr="00234417">
          <w:rPr>
            <w:rStyle w:val="TextoNormalCaracter"/>
          </w:rPr>
          <w:t>87/2013</w:t>
        </w:r>
      </w:hyperlink>
      <w:r w:rsidRPr="00234417">
        <w:rPr>
          <w:rStyle w:val="TextoNormalCaracter"/>
        </w:rPr>
        <w:t xml:space="preserve">, ff. 3 a 6; </w:t>
      </w:r>
      <w:hyperlink w:anchor="SENTENCIA_2013_99" w:history="1">
        <w:r w:rsidRPr="00234417">
          <w:rPr>
            <w:rStyle w:val="TextoNormalCaracter"/>
          </w:rPr>
          <w:t>99/2013</w:t>
        </w:r>
      </w:hyperlink>
      <w:r w:rsidRPr="00234417">
        <w:rPr>
          <w:rStyle w:val="TextoNormalCaracter"/>
        </w:rPr>
        <w:t>, f. 4.</w:t>
      </w:r>
    </w:p>
    <w:p w:rsidR="00234417" w:rsidRPr="00234417" w:rsidRDefault="00234417" w:rsidP="00234417">
      <w:pPr>
        <w:pStyle w:val="TextoNormalSangraFrancesa"/>
        <w:rPr>
          <w:rStyle w:val="TextoNormalCaracter"/>
        </w:rPr>
      </w:pPr>
      <w:bookmarkStart w:id="1629" w:name="DESCRIPTORALFABETICO311"/>
      <w:r w:rsidRPr="00234417">
        <w:rPr>
          <w:rStyle w:val="TextoNormalNegritaCaracter"/>
        </w:rPr>
        <w:t>Especial trascendencia constitucional</w:t>
      </w:r>
      <w:bookmarkEnd w:id="1629"/>
      <w:r w:rsidRPr="00234417">
        <w:rPr>
          <w:rStyle w:val="TextoNormalCaracter"/>
        </w:rPr>
        <w:t xml:space="preserve">, Sentencias </w:t>
      </w:r>
      <w:hyperlink w:anchor="SENTENCIA_2013_2" w:history="1">
        <w:r w:rsidRPr="00234417">
          <w:rPr>
            <w:rStyle w:val="TextoNormalCaracter"/>
          </w:rPr>
          <w:t>2/2013</w:t>
        </w:r>
      </w:hyperlink>
      <w:r w:rsidRPr="00234417">
        <w:rPr>
          <w:rStyle w:val="TextoNormalCaracter"/>
        </w:rPr>
        <w:t xml:space="preserve">, f. 3; </w:t>
      </w:r>
      <w:hyperlink w:anchor="SENTENCIA_2013_56" w:history="1">
        <w:r w:rsidRPr="00234417">
          <w:rPr>
            <w:rStyle w:val="TextoNormalCaracter"/>
          </w:rPr>
          <w:t>56/2013</w:t>
        </w:r>
      </w:hyperlink>
      <w:r w:rsidRPr="00234417">
        <w:rPr>
          <w:rStyle w:val="TextoNormalCaracter"/>
        </w:rPr>
        <w:t>, f. 1.</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Sentencias </w:t>
      </w:r>
      <w:hyperlink w:anchor="SENTENCIA_2013_2" w:history="1">
        <w:r w:rsidRPr="00234417">
          <w:rPr>
            <w:rStyle w:val="TextoNormalCaracter"/>
          </w:rPr>
          <w:t>2/2013</w:t>
        </w:r>
      </w:hyperlink>
      <w:r w:rsidRPr="00234417">
        <w:rPr>
          <w:rStyle w:val="TextoNormalCaracter"/>
        </w:rPr>
        <w:t xml:space="preserve">, f. 3; </w:t>
      </w:r>
      <w:hyperlink w:anchor="SENTENCIA_2013_127" w:history="1">
        <w:r w:rsidRPr="00234417">
          <w:rPr>
            <w:rStyle w:val="TextoNormalCaracter"/>
          </w:rPr>
          <w:t>127/2013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aracter"/>
        </w:rPr>
        <w:lastRenderedPageBreak/>
        <w:t xml:space="preserve">    Auto </w:t>
      </w:r>
      <w:hyperlink w:anchor="AUTO_2013_28" w:history="1">
        <w:r w:rsidRPr="00234417">
          <w:rPr>
            <w:rStyle w:val="TextoNormalCaracter"/>
          </w:rPr>
          <w:t>28/2013</w:t>
        </w:r>
      </w:hyperlink>
      <w:r w:rsidRPr="00234417">
        <w:rPr>
          <w:rStyle w:val="TextoNormalCaracter"/>
        </w:rPr>
        <w:t>, ff. 1, 2, VP I.</w:t>
      </w:r>
    </w:p>
    <w:p w:rsidR="00234417" w:rsidRPr="00234417" w:rsidRDefault="00234417" w:rsidP="00234417">
      <w:pPr>
        <w:pStyle w:val="TextoNormalSangraFrancesa"/>
        <w:rPr>
          <w:rStyle w:val="TextoNormalCaracter"/>
        </w:rPr>
      </w:pPr>
      <w:bookmarkStart w:id="1630" w:name="DESCRIPTORALFABETICO313"/>
      <w:r w:rsidRPr="00234417">
        <w:rPr>
          <w:rStyle w:val="TextoNormalNegritaCaracter"/>
        </w:rPr>
        <w:t xml:space="preserve">Especial trascendencia constitucional </w:t>
      </w:r>
      <w:r w:rsidRPr="00234417">
        <w:rPr>
          <w:rStyle w:val="TextoNormalNegritaCaracter"/>
          <w:i/>
        </w:rPr>
        <w:t>versus</w:t>
      </w:r>
      <w:r w:rsidRPr="00234417">
        <w:rPr>
          <w:rStyle w:val="TextoNormalNegritaCaracter"/>
        </w:rPr>
        <w:t xml:space="preserve"> vulneración de derecho fundamental</w:t>
      </w:r>
      <w:bookmarkEnd w:id="1630"/>
      <w:r w:rsidRPr="00234417">
        <w:rPr>
          <w:rStyle w:val="TextoNormalCaracter"/>
        </w:rPr>
        <w:t xml:space="preserve">, Auto </w:t>
      </w:r>
      <w:hyperlink w:anchor="AUTO_2013_28" w:history="1">
        <w:r w:rsidRPr="00234417">
          <w:rPr>
            <w:rStyle w:val="TextoNormalCaracter"/>
          </w:rPr>
          <w:t>28/2013</w:t>
        </w:r>
      </w:hyperlink>
      <w:r w:rsidRPr="00234417">
        <w:rPr>
          <w:rStyle w:val="TextoNormalCaracter"/>
        </w:rPr>
        <w:t>, ff. 1, 2, VP I.</w:t>
      </w:r>
    </w:p>
    <w:p w:rsidR="00234417" w:rsidRPr="00234417" w:rsidRDefault="00234417" w:rsidP="00234417">
      <w:pPr>
        <w:pStyle w:val="TextoNormalSangraFrancesa"/>
        <w:rPr>
          <w:rStyle w:val="TextoNormalCaracter"/>
        </w:rPr>
      </w:pPr>
      <w:bookmarkStart w:id="1631" w:name="DESCRIPTORALFABETICO493"/>
      <w:r w:rsidRPr="00234417">
        <w:rPr>
          <w:rStyle w:val="TextoNormalNegritaCaracter"/>
        </w:rPr>
        <w:t>Establecimientos comerciales</w:t>
      </w:r>
      <w:bookmarkEnd w:id="1631"/>
      <w:r w:rsidRPr="00234417">
        <w:rPr>
          <w:rStyle w:val="TextoNormalCaracter"/>
        </w:rPr>
        <w:t xml:space="preserve">, Sentencia </w:t>
      </w:r>
      <w:hyperlink w:anchor="SENTENCIA_2013_96" w:history="1">
        <w:r w:rsidRPr="00234417">
          <w:rPr>
            <w:rStyle w:val="TextoNormalCaracter"/>
          </w:rPr>
          <w:t>96/2013</w:t>
        </w:r>
      </w:hyperlink>
      <w:r w:rsidRPr="00234417">
        <w:rPr>
          <w:rStyle w:val="TextoNormalCaracter"/>
        </w:rPr>
        <w:t>, ff. 8 a 12.</w:t>
      </w:r>
    </w:p>
    <w:p w:rsidR="00234417" w:rsidRPr="00234417" w:rsidRDefault="00234417" w:rsidP="00234417">
      <w:pPr>
        <w:pStyle w:val="TextoNormalSangraFrancesa"/>
        <w:rPr>
          <w:rStyle w:val="TextoNormalNegritaCaracter"/>
        </w:rPr>
      </w:pPr>
      <w:r w:rsidRPr="00234417">
        <w:rPr>
          <w:rStyle w:val="TextoNormalCursivaCaracter"/>
        </w:rPr>
        <w:t>Establecimientos farmacéuticos</w:t>
      </w:r>
      <w:r>
        <w:t xml:space="preserve"> véase </w:t>
      </w:r>
      <w:hyperlink w:anchor="DESCRIPTORALFABETICO753" w:history="1">
        <w:r w:rsidRPr="00234417">
          <w:rPr>
            <w:rStyle w:val="TextoNormalNegritaCaracter"/>
          </w:rPr>
          <w:t>Oficinas de farmacia</w:t>
        </w:r>
      </w:hyperlink>
    </w:p>
    <w:p w:rsidR="00234417" w:rsidRPr="00234417" w:rsidRDefault="00234417" w:rsidP="00234417">
      <w:pPr>
        <w:pStyle w:val="TextoNormalSangraFrancesa"/>
        <w:rPr>
          <w:rStyle w:val="TextoNormalCaracter"/>
        </w:rPr>
      </w:pPr>
      <w:bookmarkStart w:id="1632" w:name="DESCRIPTORALFABETICO445"/>
      <w:r w:rsidRPr="00234417">
        <w:rPr>
          <w:rStyle w:val="TextoNormalNegritaCaracter"/>
        </w:rPr>
        <w:t>Estado de las autonomías</w:t>
      </w:r>
      <w:bookmarkEnd w:id="1632"/>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 3; </w:t>
      </w:r>
      <w:hyperlink w:anchor="SENTENCIA_2013_49" w:history="1">
        <w:r w:rsidRPr="00234417">
          <w:rPr>
            <w:rStyle w:val="TextoNormalCaracter"/>
          </w:rPr>
          <w:t>49/2013</w:t>
        </w:r>
      </w:hyperlink>
      <w:r w:rsidRPr="00234417">
        <w:rPr>
          <w:rStyle w:val="TextoNormalCaracter"/>
        </w:rPr>
        <w:t>, f. 7.</w:t>
      </w:r>
    </w:p>
    <w:p w:rsidR="00234417" w:rsidRPr="00234417" w:rsidRDefault="00234417" w:rsidP="00234417">
      <w:pPr>
        <w:pStyle w:val="TextoNormalSangraFrancesa"/>
        <w:rPr>
          <w:rStyle w:val="TextoNormalCaracter"/>
        </w:rPr>
      </w:pPr>
      <w:bookmarkStart w:id="1633" w:name="DESCRIPTORALFABETICO650"/>
      <w:r w:rsidRPr="00234417">
        <w:rPr>
          <w:rStyle w:val="TextoNormalNegritaCaracter"/>
        </w:rPr>
        <w:t>Estatutos de Autonomía</w:t>
      </w:r>
      <w:bookmarkEnd w:id="1633"/>
      <w:r w:rsidRPr="00234417">
        <w:rPr>
          <w:rStyle w:val="TextoNormalCaracter"/>
        </w:rPr>
        <w:t xml:space="preserve">, Sentencias </w:t>
      </w:r>
      <w:hyperlink w:anchor="SENTENCIA_2013_82" w:history="1">
        <w:r w:rsidRPr="00234417">
          <w:rPr>
            <w:rStyle w:val="TextoNormalCaracter"/>
          </w:rPr>
          <w:t>82/2013</w:t>
        </w:r>
      </w:hyperlink>
      <w:r w:rsidRPr="00234417">
        <w:rPr>
          <w:rStyle w:val="TextoNormalCaracter"/>
        </w:rPr>
        <w:t xml:space="preserve">, f. 3; </w:t>
      </w:r>
      <w:hyperlink w:anchor="SENTENCIA_2013_87" w:history="1">
        <w:r w:rsidRPr="00234417">
          <w:rPr>
            <w:rStyle w:val="TextoNormalCaracter"/>
          </w:rPr>
          <w:t>87/2013</w:t>
        </w:r>
      </w:hyperlink>
      <w:r w:rsidRPr="00234417">
        <w:rPr>
          <w:rStyle w:val="TextoNormalCaracter"/>
        </w:rPr>
        <w:t xml:space="preserve">, f. 2; </w:t>
      </w:r>
      <w:hyperlink w:anchor="SENTENCIA_2013_103" w:history="1">
        <w:r w:rsidRPr="00234417">
          <w:rPr>
            <w:rStyle w:val="TextoNormalCaracter"/>
          </w:rPr>
          <w:t>103/2013</w:t>
        </w:r>
      </w:hyperlink>
      <w:r w:rsidRPr="00234417">
        <w:rPr>
          <w:rStyle w:val="TextoNormalCaracter"/>
        </w:rPr>
        <w:t>, f. 4.</w:t>
      </w:r>
    </w:p>
    <w:p w:rsidR="00234417" w:rsidRPr="00234417" w:rsidRDefault="00234417" w:rsidP="00234417">
      <w:pPr>
        <w:pStyle w:val="TextoNormalSangraFrancesa"/>
        <w:rPr>
          <w:rStyle w:val="TextoNormalCaracter"/>
        </w:rPr>
      </w:pPr>
      <w:bookmarkStart w:id="1634" w:name="DESCRIPTORALFABETICO258"/>
      <w:r w:rsidRPr="00234417">
        <w:rPr>
          <w:rStyle w:val="TextoNormalNegritaCaracter"/>
        </w:rPr>
        <w:t>Estimación de recurso de súplica contra providencias de inadmisión del Tribunal Constitucional</w:t>
      </w:r>
      <w:bookmarkEnd w:id="1634"/>
      <w:r w:rsidRPr="00234417">
        <w:rPr>
          <w:rStyle w:val="TextoNormalCaracter"/>
        </w:rPr>
        <w:t xml:space="preserve">, Autos </w:t>
      </w:r>
      <w:hyperlink w:anchor="AUTO_2013_22" w:history="1">
        <w:r w:rsidRPr="00234417">
          <w:rPr>
            <w:rStyle w:val="TextoNormalCaracter"/>
          </w:rPr>
          <w:t>22/2013</w:t>
        </w:r>
      </w:hyperlink>
      <w:r w:rsidRPr="00234417">
        <w:rPr>
          <w:rStyle w:val="TextoNormalCaracter"/>
        </w:rPr>
        <w:t xml:space="preserve">, ff. 1, 2; </w:t>
      </w:r>
      <w:hyperlink w:anchor="AUTO_2013_42" w:history="1">
        <w:r w:rsidRPr="00234417">
          <w:rPr>
            <w:rStyle w:val="TextoNormalCaracter"/>
          </w:rPr>
          <w:t>42/2013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635" w:name="DESCRIPTORALFABETICO622"/>
      <w:r w:rsidRPr="00234417">
        <w:rPr>
          <w:rStyle w:val="TextoNormalNegritaCaracter"/>
        </w:rPr>
        <w:t>Evaluación de impacto ambiental</w:t>
      </w:r>
      <w:bookmarkEnd w:id="1635"/>
      <w:r w:rsidRPr="00234417">
        <w:rPr>
          <w:rStyle w:val="TextoNormalCaracter"/>
        </w:rPr>
        <w:t xml:space="preserve">, Sentencias </w:t>
      </w:r>
      <w:hyperlink w:anchor="SENTENCIA_2013_5" w:history="1">
        <w:r w:rsidRPr="00234417">
          <w:rPr>
            <w:rStyle w:val="TextoNormalCaracter"/>
          </w:rPr>
          <w:t>5/2013</w:t>
        </w:r>
      </w:hyperlink>
      <w:r w:rsidRPr="00234417">
        <w:rPr>
          <w:rStyle w:val="TextoNormalCaracter"/>
        </w:rPr>
        <w:t xml:space="preserve">, ff. 4, 5, 6, 7; </w:t>
      </w:r>
      <w:hyperlink w:anchor="SENTENCIA_2013_59" w:history="1">
        <w:r w:rsidRPr="00234417">
          <w:rPr>
            <w:rStyle w:val="TextoNormalCaracter"/>
          </w:rPr>
          <w:t>59/2013</w:t>
        </w:r>
      </w:hyperlink>
      <w:r w:rsidRPr="00234417">
        <w:rPr>
          <w:rStyle w:val="TextoNormalCaracter"/>
        </w:rPr>
        <w:t xml:space="preserve">, ff. 3, 4; </w:t>
      </w:r>
      <w:hyperlink w:anchor="SENTENCIA_2013_80" w:history="1">
        <w:r w:rsidRPr="00234417">
          <w:rPr>
            <w:rStyle w:val="TextoNormalCaracter"/>
          </w:rPr>
          <w:t>80/2013</w:t>
        </w:r>
      </w:hyperlink>
      <w:r w:rsidRPr="00234417">
        <w:rPr>
          <w:rStyle w:val="TextoNormalCaracter"/>
        </w:rPr>
        <w:t xml:space="preserve">, ff. 2, 3; </w:t>
      </w:r>
      <w:hyperlink w:anchor="SENTENCIA_2013_104" w:history="1">
        <w:r w:rsidRPr="00234417">
          <w:rPr>
            <w:rStyle w:val="TextoNormalCaracter"/>
          </w:rPr>
          <w:t>104/2013</w:t>
        </w:r>
      </w:hyperlink>
      <w:r w:rsidRPr="00234417">
        <w:rPr>
          <w:rStyle w:val="TextoNormalCaracter"/>
        </w:rPr>
        <w:t xml:space="preserve">, f. 7; </w:t>
      </w:r>
      <w:hyperlink w:anchor="SENTENCIA_2013_111" w:history="1">
        <w:r w:rsidRPr="00234417">
          <w:rPr>
            <w:rStyle w:val="TextoNormalCaracter"/>
          </w:rPr>
          <w:t>111/2013</w:t>
        </w:r>
      </w:hyperlink>
      <w:r w:rsidRPr="00234417">
        <w:rPr>
          <w:rStyle w:val="TextoNormalCaracter"/>
        </w:rPr>
        <w:t>, f. 3.</w:t>
      </w:r>
    </w:p>
    <w:p w:rsidR="00234417" w:rsidRPr="00234417" w:rsidRDefault="00234417" w:rsidP="00234417">
      <w:pPr>
        <w:pStyle w:val="TextoNormalSangraFrancesa"/>
        <w:rPr>
          <w:rStyle w:val="TextoNormalCaracter"/>
        </w:rPr>
      </w:pPr>
      <w:bookmarkStart w:id="1636" w:name="DESCRIPTORALFABETICO298"/>
      <w:r w:rsidRPr="00234417">
        <w:rPr>
          <w:rStyle w:val="TextoNormalNegritaCaracter"/>
        </w:rPr>
        <w:t>Examen de oficio de requisitos procesales de la demanda de amparo</w:t>
      </w:r>
      <w:bookmarkEnd w:id="1636"/>
      <w:r w:rsidRPr="00234417">
        <w:rPr>
          <w:rStyle w:val="TextoNormalCaracter"/>
        </w:rPr>
        <w:t xml:space="preserve">, Sentencia </w:t>
      </w:r>
      <w:hyperlink w:anchor="SENTENCIA_2013_28" w:history="1">
        <w:r w:rsidRPr="00234417">
          <w:rPr>
            <w:rStyle w:val="TextoNormalCaracter"/>
          </w:rPr>
          <w:t>28/2013</w:t>
        </w:r>
      </w:hyperlink>
      <w:r w:rsidRPr="00234417">
        <w:rPr>
          <w:rStyle w:val="TextoNormalCaracter"/>
        </w:rPr>
        <w:t>, f. 2.</w:t>
      </w:r>
    </w:p>
    <w:p w:rsidR="00234417" w:rsidRPr="00234417" w:rsidRDefault="00234417" w:rsidP="00234417">
      <w:pPr>
        <w:pStyle w:val="TextoNormalSangraFrancesa"/>
        <w:rPr>
          <w:rStyle w:val="TextoNormalCaracter"/>
        </w:rPr>
      </w:pPr>
      <w:bookmarkStart w:id="1637" w:name="DESCRIPTORALFABETICO832"/>
      <w:r w:rsidRPr="00234417">
        <w:rPr>
          <w:rStyle w:val="TextoNormalNegritaCaracter"/>
        </w:rPr>
        <w:t>Excepción de litispendencia</w:t>
      </w:r>
      <w:bookmarkEnd w:id="1637"/>
      <w:r w:rsidRPr="00234417">
        <w:rPr>
          <w:rStyle w:val="TextoNormalCaracter"/>
        </w:rPr>
        <w:t xml:space="preserve">, Sentencia </w:t>
      </w:r>
      <w:hyperlink w:anchor="SENTENCIA_2013_106" w:history="1">
        <w:r w:rsidRPr="00234417">
          <w:rPr>
            <w:rStyle w:val="TextoNormalCaracter"/>
          </w:rPr>
          <w:t>106/2013</w:t>
        </w:r>
      </w:hyperlink>
      <w:r w:rsidRPr="00234417">
        <w:rPr>
          <w:rStyle w:val="TextoNormalCaracter"/>
        </w:rPr>
        <w:t>, ff. 4, 5.</w:t>
      </w:r>
    </w:p>
    <w:p w:rsidR="00234417" w:rsidRPr="00234417" w:rsidRDefault="00234417" w:rsidP="00234417">
      <w:pPr>
        <w:pStyle w:val="TextoNormalSangraFrancesa"/>
        <w:rPr>
          <w:rStyle w:val="TextoNormalCaracter"/>
        </w:rPr>
      </w:pPr>
      <w:bookmarkStart w:id="1638" w:name="DESCRIPTORALFABETICO724"/>
      <w:r w:rsidRPr="00234417">
        <w:rPr>
          <w:rStyle w:val="TextoNormalNegritaCaracter"/>
        </w:rPr>
        <w:t>Excepciones a la colegiación obligatoria</w:t>
      </w:r>
      <w:bookmarkEnd w:id="1638"/>
      <w:r w:rsidRPr="00234417">
        <w:rPr>
          <w:rStyle w:val="TextoNormalCaracter"/>
        </w:rPr>
        <w:t xml:space="preserve">, Sentencias </w:t>
      </w:r>
      <w:hyperlink w:anchor="SENTENCIA_2013_3" w:history="1">
        <w:r w:rsidRPr="00234417">
          <w:rPr>
            <w:rStyle w:val="TextoNormalCaracter"/>
          </w:rPr>
          <w:t>3/2013</w:t>
        </w:r>
      </w:hyperlink>
      <w:r w:rsidRPr="00234417">
        <w:rPr>
          <w:rStyle w:val="TextoNormalCaracter"/>
        </w:rPr>
        <w:t xml:space="preserve">, ff. 6 a 8; </w:t>
      </w:r>
      <w:hyperlink w:anchor="SENTENCIA_2013_46" w:history="1">
        <w:r w:rsidRPr="00234417">
          <w:rPr>
            <w:rStyle w:val="TextoNormalCaracter"/>
          </w:rPr>
          <w:t>46/2013</w:t>
        </w:r>
      </w:hyperlink>
      <w:r w:rsidRPr="00234417">
        <w:rPr>
          <w:rStyle w:val="TextoNormalCaracter"/>
        </w:rPr>
        <w:t xml:space="preserve">, ff. 3, 4; </w:t>
      </w:r>
      <w:hyperlink w:anchor="SENTENCIA_2013_50" w:history="1">
        <w:r w:rsidRPr="00234417">
          <w:rPr>
            <w:rStyle w:val="TextoNormalCaracter"/>
          </w:rPr>
          <w:t>50/2013</w:t>
        </w:r>
      </w:hyperlink>
      <w:r w:rsidRPr="00234417">
        <w:rPr>
          <w:rStyle w:val="TextoNormalCaracter"/>
        </w:rPr>
        <w:t xml:space="preserve">, ff. 3, 4; </w:t>
      </w:r>
      <w:hyperlink w:anchor="SENTENCIA_2013_63" w:history="1">
        <w:r w:rsidRPr="00234417">
          <w:rPr>
            <w:rStyle w:val="TextoNormalCaracter"/>
          </w:rPr>
          <w:t>63/2013</w:t>
        </w:r>
      </w:hyperlink>
      <w:r w:rsidRPr="00234417">
        <w:rPr>
          <w:rStyle w:val="TextoNormalCaracter"/>
        </w:rPr>
        <w:t xml:space="preserve">, ff. 2, 3; </w:t>
      </w:r>
      <w:hyperlink w:anchor="SENTENCIA_2013_123" w:history="1">
        <w:r w:rsidRPr="00234417">
          <w:rPr>
            <w:rStyle w:val="TextoNormalCaracter"/>
          </w:rPr>
          <w:t>123/2013</w:t>
        </w:r>
      </w:hyperlink>
      <w:r w:rsidRPr="00234417">
        <w:rPr>
          <w:rStyle w:val="TextoNormalCaracter"/>
        </w:rPr>
        <w:t>, f. 9.</w:t>
      </w:r>
    </w:p>
    <w:p w:rsidR="00234417" w:rsidRPr="00234417" w:rsidRDefault="00234417" w:rsidP="00234417">
      <w:pPr>
        <w:pStyle w:val="TextoNormalSangraFrancesa"/>
        <w:rPr>
          <w:rStyle w:val="TextoNormalCaracter"/>
        </w:rPr>
      </w:pPr>
      <w:bookmarkStart w:id="1639" w:name="DESCRIPTORALFABETICO175"/>
      <w:r w:rsidRPr="00234417">
        <w:rPr>
          <w:rStyle w:val="TextoNormalNegritaCaracter"/>
        </w:rPr>
        <w:t>Exclusión de un derecho a un razonamiento judicial exhaustivo</w:t>
      </w:r>
      <w:bookmarkEnd w:id="1639"/>
      <w:r w:rsidRPr="00234417">
        <w:rPr>
          <w:rStyle w:val="TextoNormalCaracter"/>
        </w:rPr>
        <w:t xml:space="preserve">, Sentencia </w:t>
      </w:r>
      <w:hyperlink w:anchor="SENTENCIA_2013_126" w:history="1">
        <w:r w:rsidRPr="00234417">
          <w:rPr>
            <w:rStyle w:val="TextoNormalCaracter"/>
          </w:rPr>
          <w:t>126/2013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640" w:name="DESCRIPTORALFABETICO731"/>
      <w:r w:rsidRPr="00234417">
        <w:rPr>
          <w:rStyle w:val="TextoNormalNegritaCaracter"/>
        </w:rPr>
        <w:t>Expediente de responsabilidad patrimonial</w:t>
      </w:r>
      <w:bookmarkEnd w:id="1640"/>
      <w:r w:rsidRPr="00234417">
        <w:rPr>
          <w:rStyle w:val="TextoNormalCaracter"/>
        </w:rPr>
        <w:t xml:space="preserve">, Sentencia </w:t>
      </w:r>
      <w:hyperlink w:anchor="SENTENCIA_2013_92" w:history="1">
        <w:r w:rsidRPr="00234417">
          <w:rPr>
            <w:rStyle w:val="TextoNormalCaracter"/>
          </w:rPr>
          <w:t>92/2013</w:t>
        </w:r>
      </w:hyperlink>
      <w:r w:rsidRPr="00234417">
        <w:rPr>
          <w:rStyle w:val="TextoNormalCaracter"/>
        </w:rPr>
        <w:t>, f. 6.</w:t>
      </w:r>
    </w:p>
    <w:p w:rsidR="00234417" w:rsidRPr="00234417" w:rsidRDefault="00234417" w:rsidP="00234417">
      <w:pPr>
        <w:pStyle w:val="TextoNormalSangraFrancesa"/>
        <w:rPr>
          <w:rStyle w:val="TextoNormalCaracter"/>
        </w:rPr>
      </w:pPr>
      <w:bookmarkStart w:id="1641" w:name="DESCRIPTORALFABETICO503"/>
      <w:r w:rsidRPr="00234417">
        <w:rPr>
          <w:rStyle w:val="TextoNormalNegritaCaracter"/>
        </w:rPr>
        <w:t>Expoliación</w:t>
      </w:r>
      <w:bookmarkEnd w:id="1641"/>
      <w:r w:rsidRPr="00234417">
        <w:rPr>
          <w:rStyle w:val="TextoNormalCaracter"/>
        </w:rPr>
        <w:t xml:space="preserve">, Sentencias </w:t>
      </w:r>
      <w:hyperlink w:anchor="SENTENCIA_2013_20" w:history="1">
        <w:r w:rsidRPr="00234417">
          <w:rPr>
            <w:rStyle w:val="TextoNormalCaracter"/>
          </w:rPr>
          <w:t>20/2013</w:t>
        </w:r>
      </w:hyperlink>
      <w:r w:rsidRPr="00234417">
        <w:rPr>
          <w:rStyle w:val="TextoNormalCaracter"/>
        </w:rPr>
        <w:t xml:space="preserve">, f. 3;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f. 4.</w:t>
      </w:r>
    </w:p>
    <w:p w:rsidR="00234417" w:rsidRPr="00234417" w:rsidRDefault="00234417" w:rsidP="00234417">
      <w:pPr>
        <w:pStyle w:val="TextoNormalSangraFrancesa"/>
        <w:rPr>
          <w:rStyle w:val="TextoNormalCaracter"/>
        </w:rPr>
      </w:pPr>
      <w:bookmarkStart w:id="1642" w:name="DESCRIPTORALFABETICO558"/>
      <w:r w:rsidRPr="00234417">
        <w:rPr>
          <w:rStyle w:val="TextoNormalNegritaCaracter"/>
        </w:rPr>
        <w:t>Expropiación forzosa</w:t>
      </w:r>
      <w:bookmarkEnd w:id="1642"/>
      <w:r w:rsidRPr="00234417">
        <w:rPr>
          <w:rStyle w:val="TextoNormalCaracter"/>
        </w:rPr>
        <w:t xml:space="preserve">, Sentencia </w:t>
      </w:r>
      <w:hyperlink w:anchor="SENTENCIA_2013_129" w:history="1">
        <w:r w:rsidRPr="00234417">
          <w:rPr>
            <w:rStyle w:val="TextoNormalCaracter"/>
          </w:rPr>
          <w:t>129/2013</w:t>
        </w:r>
      </w:hyperlink>
      <w:r w:rsidRPr="00234417">
        <w:rPr>
          <w:rStyle w:val="TextoNormalCaracter"/>
        </w:rPr>
        <w:t>, ff. 4 a 7.</w:t>
      </w:r>
    </w:p>
    <w:p w:rsidR="00234417" w:rsidRPr="00234417" w:rsidRDefault="00234417" w:rsidP="00234417">
      <w:pPr>
        <w:pStyle w:val="TextoNormalSangraFrancesa"/>
        <w:rPr>
          <w:rStyle w:val="TextoNormalCaracter"/>
        </w:rPr>
      </w:pPr>
      <w:bookmarkStart w:id="1643" w:name="DESCRIPTORALFABETICO432"/>
      <w:r w:rsidRPr="00234417">
        <w:rPr>
          <w:rStyle w:val="TextoNormalNegritaCaracter"/>
        </w:rPr>
        <w:t>Expulsión de extranjeros</w:t>
      </w:r>
      <w:bookmarkEnd w:id="1643"/>
      <w:r w:rsidRPr="00234417">
        <w:rPr>
          <w:rStyle w:val="TextoNormalCaracter"/>
        </w:rPr>
        <w:t xml:space="preserve">, Auto </w:t>
      </w:r>
      <w:hyperlink w:anchor="AUTO_2013_116" w:history="1">
        <w:r w:rsidRPr="00234417">
          <w:rPr>
            <w:rStyle w:val="TextoNormalCaracter"/>
          </w:rPr>
          <w:t>116/2013</w:t>
        </w:r>
      </w:hyperlink>
      <w:r w:rsidRPr="00234417">
        <w:rPr>
          <w:rStyle w:val="TextoNormalCaracter"/>
        </w:rPr>
        <w:t>, f. 2.</w:t>
      </w:r>
    </w:p>
    <w:p w:rsidR="00234417" w:rsidRPr="00234417" w:rsidRDefault="00234417" w:rsidP="00234417">
      <w:pPr>
        <w:pStyle w:val="TextoNormalSangraFrancesa"/>
        <w:rPr>
          <w:rStyle w:val="TextoNormalNegritaCaracter"/>
        </w:rPr>
      </w:pPr>
      <w:r w:rsidRPr="00234417">
        <w:rPr>
          <w:rStyle w:val="TextoNormalCursivaCaracter"/>
        </w:rPr>
        <w:t>Extemporaneidad de la demanda de amparo</w:t>
      </w:r>
      <w:r>
        <w:t xml:space="preserve"> véase </w:t>
      </w:r>
      <w:hyperlink w:anchor="DESCRIPTORALFABETICO307" w:history="1">
        <w:r w:rsidRPr="00234417">
          <w:rPr>
            <w:rStyle w:val="TextoNormalNegritaCaracter"/>
          </w:rPr>
          <w:t>Extemporaneidad del recurso de amparo</w:t>
        </w:r>
      </w:hyperlink>
    </w:p>
    <w:p w:rsidR="00234417" w:rsidRPr="00234417" w:rsidRDefault="00234417" w:rsidP="00234417">
      <w:pPr>
        <w:pStyle w:val="TextoNormalSangraFrancesa"/>
        <w:rPr>
          <w:rStyle w:val="TextoNormalCaracter"/>
        </w:rPr>
      </w:pPr>
      <w:bookmarkStart w:id="1644" w:name="DESCRIPTORALFABETICO307"/>
      <w:r w:rsidRPr="00234417">
        <w:rPr>
          <w:rStyle w:val="TextoNormalNegritaCaracter"/>
        </w:rPr>
        <w:t>Extemporaneidad del recurso de amparo</w:t>
      </w:r>
      <w:bookmarkEnd w:id="1644"/>
      <w:r w:rsidRPr="00234417">
        <w:rPr>
          <w:rStyle w:val="TextoNormalCaracter"/>
        </w:rPr>
        <w:t xml:space="preserve">, Autos </w:t>
      </w:r>
      <w:hyperlink w:anchor="AUTO_2013_143" w:history="1">
        <w:r w:rsidRPr="00234417">
          <w:rPr>
            <w:rStyle w:val="TextoNormalCaracter"/>
          </w:rPr>
          <w:t>143/2013</w:t>
        </w:r>
      </w:hyperlink>
      <w:r w:rsidRPr="00234417">
        <w:rPr>
          <w:rStyle w:val="TextoNormalCaracter"/>
        </w:rPr>
        <w:t xml:space="preserve">, f. 3; </w:t>
      </w:r>
      <w:hyperlink w:anchor="AUTO_2013_145" w:history="1">
        <w:r w:rsidRPr="00234417">
          <w:rPr>
            <w:rStyle w:val="TextoNormalCaracter"/>
          </w:rPr>
          <w:t>145/2013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645" w:name="DESCRIPTORALFABETICO277"/>
      <w:r w:rsidRPr="00234417">
        <w:rPr>
          <w:rStyle w:val="TextoNormalNegritaCaracter"/>
        </w:rPr>
        <w:t>Extinción de cuestión de inconstitucionalidad</w:t>
      </w:r>
      <w:bookmarkEnd w:id="1645"/>
      <w:r w:rsidRPr="00234417">
        <w:rPr>
          <w:rStyle w:val="TextoNormalCaracter"/>
        </w:rPr>
        <w:t xml:space="preserve">, Autos </w:t>
      </w:r>
      <w:hyperlink w:anchor="AUTO_2013_30" w:history="1">
        <w:r w:rsidRPr="00234417">
          <w:rPr>
            <w:rStyle w:val="TextoNormalCaracter"/>
          </w:rPr>
          <w:t>30/2013</w:t>
        </w:r>
      </w:hyperlink>
      <w:r w:rsidRPr="00234417">
        <w:rPr>
          <w:rStyle w:val="TextoNormalCaracter"/>
        </w:rPr>
        <w:t xml:space="preserve">, ff. 3, 4; </w:t>
      </w:r>
      <w:hyperlink w:anchor="AUTO_2013_31" w:history="1">
        <w:r w:rsidRPr="00234417">
          <w:rPr>
            <w:rStyle w:val="TextoNormalCaracter"/>
          </w:rPr>
          <w:t>31/2013</w:t>
        </w:r>
      </w:hyperlink>
      <w:r w:rsidRPr="00234417">
        <w:rPr>
          <w:rStyle w:val="TextoNormalCaracter"/>
        </w:rPr>
        <w:t xml:space="preserve">, f. 4; </w:t>
      </w:r>
      <w:hyperlink w:anchor="AUTO_2013_32" w:history="1">
        <w:r w:rsidRPr="00234417">
          <w:rPr>
            <w:rStyle w:val="TextoNormalCaracter"/>
          </w:rPr>
          <w:t>32/2013</w:t>
        </w:r>
      </w:hyperlink>
      <w:r w:rsidRPr="00234417">
        <w:rPr>
          <w:rStyle w:val="TextoNormalCaracter"/>
        </w:rPr>
        <w:t xml:space="preserve">, f. 4; </w:t>
      </w:r>
      <w:hyperlink w:anchor="AUTO_2013_50" w:history="1">
        <w:r w:rsidRPr="00234417">
          <w:rPr>
            <w:rStyle w:val="TextoNormalCaracter"/>
          </w:rPr>
          <w:t>50/2013</w:t>
        </w:r>
      </w:hyperlink>
      <w:r w:rsidRPr="00234417">
        <w:rPr>
          <w:rStyle w:val="TextoNormalCaracter"/>
        </w:rPr>
        <w:t xml:space="preserve">, f. único; </w:t>
      </w:r>
      <w:hyperlink w:anchor="AUTO_2013_51" w:history="1">
        <w:r w:rsidRPr="00234417">
          <w:rPr>
            <w:rStyle w:val="TextoNormalCaracter"/>
          </w:rPr>
          <w:t>51/2013</w:t>
        </w:r>
      </w:hyperlink>
      <w:r w:rsidRPr="00234417">
        <w:rPr>
          <w:rStyle w:val="TextoNormalCaracter"/>
        </w:rPr>
        <w:t xml:space="preserve">, f. único; </w:t>
      </w:r>
      <w:hyperlink w:anchor="AUTO_2013_52" w:history="1">
        <w:r w:rsidRPr="00234417">
          <w:rPr>
            <w:rStyle w:val="TextoNormalCaracter"/>
          </w:rPr>
          <w:t>52/2013</w:t>
        </w:r>
      </w:hyperlink>
      <w:r w:rsidRPr="00234417">
        <w:rPr>
          <w:rStyle w:val="TextoNormalCaracter"/>
        </w:rPr>
        <w:t xml:space="preserve">, f. único; </w:t>
      </w:r>
      <w:hyperlink w:anchor="AUTO_2013_53" w:history="1">
        <w:r w:rsidRPr="00234417">
          <w:rPr>
            <w:rStyle w:val="TextoNormalCaracter"/>
          </w:rPr>
          <w:t>53/2013</w:t>
        </w:r>
      </w:hyperlink>
      <w:r w:rsidRPr="00234417">
        <w:rPr>
          <w:rStyle w:val="TextoNormalCaracter"/>
        </w:rPr>
        <w:t xml:space="preserve">, f. único; </w:t>
      </w:r>
      <w:hyperlink w:anchor="AUTO_2013_54" w:history="1">
        <w:r w:rsidRPr="00234417">
          <w:rPr>
            <w:rStyle w:val="TextoNormalCaracter"/>
          </w:rPr>
          <w:t>54/2013</w:t>
        </w:r>
      </w:hyperlink>
      <w:r w:rsidRPr="00234417">
        <w:rPr>
          <w:rStyle w:val="TextoNormalCaracter"/>
        </w:rPr>
        <w:t xml:space="preserve">, f. único; </w:t>
      </w:r>
      <w:hyperlink w:anchor="AUTO_2013_55" w:history="1">
        <w:r w:rsidRPr="00234417">
          <w:rPr>
            <w:rStyle w:val="TextoNormalCaracter"/>
          </w:rPr>
          <w:t>55/2013</w:t>
        </w:r>
      </w:hyperlink>
      <w:r w:rsidRPr="00234417">
        <w:rPr>
          <w:rStyle w:val="TextoNormalCaracter"/>
        </w:rPr>
        <w:t xml:space="preserve">, f. único; </w:t>
      </w:r>
      <w:hyperlink w:anchor="AUTO_2013_57" w:history="1">
        <w:r w:rsidRPr="00234417">
          <w:rPr>
            <w:rStyle w:val="TextoNormalCaracter"/>
          </w:rPr>
          <w:t>57/2013</w:t>
        </w:r>
      </w:hyperlink>
      <w:r w:rsidRPr="00234417">
        <w:rPr>
          <w:rStyle w:val="TextoNormalCaracter"/>
        </w:rPr>
        <w:t xml:space="preserve">, f. único; </w:t>
      </w:r>
      <w:hyperlink w:anchor="AUTO_2013_67" w:history="1">
        <w:r w:rsidRPr="00234417">
          <w:rPr>
            <w:rStyle w:val="TextoNormalCaracter"/>
          </w:rPr>
          <w:t>67/2013</w:t>
        </w:r>
      </w:hyperlink>
      <w:r w:rsidRPr="00234417">
        <w:rPr>
          <w:rStyle w:val="TextoNormalCaracter"/>
        </w:rPr>
        <w:t xml:space="preserve">, f. 2; </w:t>
      </w:r>
      <w:hyperlink w:anchor="AUTO_2013_69" w:history="1">
        <w:r w:rsidRPr="00234417">
          <w:rPr>
            <w:rStyle w:val="TextoNormalCaracter"/>
          </w:rPr>
          <w:t>69/2013</w:t>
        </w:r>
      </w:hyperlink>
      <w:r w:rsidRPr="00234417">
        <w:rPr>
          <w:rStyle w:val="TextoNormalCaracter"/>
        </w:rPr>
        <w:t xml:space="preserve">, f. único; </w:t>
      </w:r>
      <w:hyperlink w:anchor="AUTO_2013_73" w:history="1">
        <w:r w:rsidRPr="00234417">
          <w:rPr>
            <w:rStyle w:val="TextoNormalCaracter"/>
          </w:rPr>
          <w:t>73/2013</w:t>
        </w:r>
      </w:hyperlink>
      <w:r w:rsidRPr="00234417">
        <w:rPr>
          <w:rStyle w:val="TextoNormalCaracter"/>
        </w:rPr>
        <w:t xml:space="preserve">, f. único; </w:t>
      </w:r>
      <w:hyperlink w:anchor="AUTO_2013_76" w:history="1">
        <w:r w:rsidRPr="00234417">
          <w:rPr>
            <w:rStyle w:val="TextoNormalCaracter"/>
          </w:rPr>
          <w:t>76/2013</w:t>
        </w:r>
      </w:hyperlink>
      <w:r w:rsidRPr="00234417">
        <w:rPr>
          <w:rStyle w:val="TextoNormalCaracter"/>
        </w:rPr>
        <w:t xml:space="preserve">, f. único; </w:t>
      </w:r>
      <w:hyperlink w:anchor="AUTO_2013_77" w:history="1">
        <w:r w:rsidRPr="00234417">
          <w:rPr>
            <w:rStyle w:val="TextoNormalCaracter"/>
          </w:rPr>
          <w:t>77/2013</w:t>
        </w:r>
      </w:hyperlink>
      <w:r w:rsidRPr="00234417">
        <w:rPr>
          <w:rStyle w:val="TextoNormalCaracter"/>
        </w:rPr>
        <w:t xml:space="preserve">, f. único; </w:t>
      </w:r>
      <w:hyperlink w:anchor="AUTO_2013_79" w:history="1">
        <w:r w:rsidRPr="00234417">
          <w:rPr>
            <w:rStyle w:val="TextoNormalCaracter"/>
          </w:rPr>
          <w:t>79/2013</w:t>
        </w:r>
      </w:hyperlink>
      <w:r w:rsidRPr="00234417">
        <w:rPr>
          <w:rStyle w:val="TextoNormalCaracter"/>
        </w:rPr>
        <w:t xml:space="preserve">, f. único; </w:t>
      </w:r>
      <w:hyperlink w:anchor="AUTO_2013_93" w:history="1">
        <w:r w:rsidRPr="00234417">
          <w:rPr>
            <w:rStyle w:val="TextoNormalCaracter"/>
          </w:rPr>
          <w:t>93/2013</w:t>
        </w:r>
      </w:hyperlink>
      <w:r w:rsidRPr="00234417">
        <w:rPr>
          <w:rStyle w:val="TextoNormalCaracter"/>
        </w:rPr>
        <w:t xml:space="preserve">, f. 3; </w:t>
      </w:r>
      <w:hyperlink w:anchor="AUTO_2013_104" w:history="1">
        <w:r w:rsidRPr="00234417">
          <w:rPr>
            <w:rStyle w:val="TextoNormalCaracter"/>
          </w:rPr>
          <w:t>104/2013</w:t>
        </w:r>
      </w:hyperlink>
      <w:r w:rsidRPr="00234417">
        <w:rPr>
          <w:rStyle w:val="TextoNormalCaracter"/>
        </w:rPr>
        <w:t xml:space="preserve">, f. único; </w:t>
      </w:r>
      <w:hyperlink w:anchor="AUTO_2013_105" w:history="1">
        <w:r w:rsidRPr="00234417">
          <w:rPr>
            <w:rStyle w:val="TextoNormalCaracter"/>
          </w:rPr>
          <w:t>105/2013</w:t>
        </w:r>
      </w:hyperlink>
      <w:r w:rsidRPr="00234417">
        <w:rPr>
          <w:rStyle w:val="TextoNormalCaracter"/>
        </w:rPr>
        <w:t xml:space="preserve">, f. único; </w:t>
      </w:r>
      <w:hyperlink w:anchor="AUTO_2013_106" w:history="1">
        <w:r w:rsidRPr="00234417">
          <w:rPr>
            <w:rStyle w:val="TextoNormalCaracter"/>
          </w:rPr>
          <w:t>106/2013</w:t>
        </w:r>
      </w:hyperlink>
      <w:r w:rsidRPr="00234417">
        <w:rPr>
          <w:rStyle w:val="TextoNormalCaracter"/>
        </w:rPr>
        <w:t xml:space="preserve">, f. único; </w:t>
      </w:r>
      <w:hyperlink w:anchor="AUTO_2013_107" w:history="1">
        <w:r w:rsidRPr="00234417">
          <w:rPr>
            <w:rStyle w:val="TextoNormalCaracter"/>
          </w:rPr>
          <w:t>107/2013</w:t>
        </w:r>
      </w:hyperlink>
      <w:r w:rsidRPr="00234417">
        <w:rPr>
          <w:rStyle w:val="TextoNormalCaracter"/>
        </w:rPr>
        <w:t xml:space="preserve">, f. único; </w:t>
      </w:r>
      <w:hyperlink w:anchor="AUTO_2013_108" w:history="1">
        <w:r w:rsidRPr="00234417">
          <w:rPr>
            <w:rStyle w:val="TextoNormalCaracter"/>
          </w:rPr>
          <w:t>108/2013</w:t>
        </w:r>
      </w:hyperlink>
      <w:r w:rsidRPr="00234417">
        <w:rPr>
          <w:rStyle w:val="TextoNormalCaracter"/>
        </w:rPr>
        <w:t xml:space="preserve">, f. único; </w:t>
      </w:r>
      <w:hyperlink w:anchor="AUTO_2013_109" w:history="1">
        <w:r w:rsidRPr="00234417">
          <w:rPr>
            <w:rStyle w:val="TextoNormalCaracter"/>
          </w:rPr>
          <w:t>109/2013</w:t>
        </w:r>
      </w:hyperlink>
      <w:r w:rsidRPr="00234417">
        <w:rPr>
          <w:rStyle w:val="TextoNormalCaracter"/>
        </w:rPr>
        <w:t xml:space="preserve">, f. único; </w:t>
      </w:r>
      <w:hyperlink w:anchor="AUTO_2013_110" w:history="1">
        <w:r w:rsidRPr="00234417">
          <w:rPr>
            <w:rStyle w:val="TextoNormalCaracter"/>
          </w:rPr>
          <w:t>110/2013</w:t>
        </w:r>
      </w:hyperlink>
      <w:r w:rsidRPr="00234417">
        <w:rPr>
          <w:rStyle w:val="TextoNormalCaracter"/>
        </w:rPr>
        <w:t xml:space="preserve">, f. único; </w:t>
      </w:r>
      <w:hyperlink w:anchor="AUTO_2013_111" w:history="1">
        <w:r w:rsidRPr="00234417">
          <w:rPr>
            <w:rStyle w:val="TextoNormalCaracter"/>
          </w:rPr>
          <w:t>111/2013</w:t>
        </w:r>
      </w:hyperlink>
      <w:r w:rsidRPr="00234417">
        <w:rPr>
          <w:rStyle w:val="TextoNormalCaracter"/>
        </w:rPr>
        <w:t xml:space="preserve">, f. único; </w:t>
      </w:r>
      <w:hyperlink w:anchor="AUTO_2013_112" w:history="1">
        <w:r w:rsidRPr="00234417">
          <w:rPr>
            <w:rStyle w:val="TextoNormalCaracter"/>
          </w:rPr>
          <w:t>112/2013</w:t>
        </w:r>
      </w:hyperlink>
      <w:r w:rsidRPr="00234417">
        <w:rPr>
          <w:rStyle w:val="TextoNormalCaracter"/>
        </w:rPr>
        <w:t xml:space="preserve">, f. único; </w:t>
      </w:r>
      <w:hyperlink w:anchor="AUTO_2013_113" w:history="1">
        <w:r w:rsidRPr="00234417">
          <w:rPr>
            <w:rStyle w:val="TextoNormalCaracter"/>
          </w:rPr>
          <w:t>113/2013</w:t>
        </w:r>
      </w:hyperlink>
      <w:r w:rsidRPr="00234417">
        <w:rPr>
          <w:rStyle w:val="TextoNormalCaracter"/>
        </w:rPr>
        <w:t xml:space="preserve">, f. único; </w:t>
      </w:r>
      <w:hyperlink w:anchor="AUTO_2013_114" w:history="1">
        <w:r w:rsidRPr="00234417">
          <w:rPr>
            <w:rStyle w:val="TextoNormalCaracter"/>
          </w:rPr>
          <w:t>114/2013</w:t>
        </w:r>
      </w:hyperlink>
      <w:r w:rsidRPr="00234417">
        <w:rPr>
          <w:rStyle w:val="TextoNormalCaracter"/>
        </w:rPr>
        <w:t xml:space="preserve">, f. único; </w:t>
      </w:r>
      <w:hyperlink w:anchor="AUTO_2013_115" w:history="1">
        <w:r w:rsidRPr="00234417">
          <w:rPr>
            <w:rStyle w:val="TextoNormalCaracter"/>
          </w:rPr>
          <w:t>115/2013</w:t>
        </w:r>
      </w:hyperlink>
      <w:r w:rsidRPr="00234417">
        <w:rPr>
          <w:rStyle w:val="TextoNormalCaracter"/>
        </w:rPr>
        <w:t xml:space="preserve">, f. único; </w:t>
      </w:r>
      <w:hyperlink w:anchor="AUTO_2013_117" w:history="1">
        <w:r w:rsidRPr="00234417">
          <w:rPr>
            <w:rStyle w:val="TextoNormalCaracter"/>
          </w:rPr>
          <w:t>117/2013</w:t>
        </w:r>
      </w:hyperlink>
      <w:r w:rsidRPr="00234417">
        <w:rPr>
          <w:rStyle w:val="TextoNormalCaracter"/>
        </w:rPr>
        <w:t xml:space="preserve">, f. único; </w:t>
      </w:r>
      <w:hyperlink w:anchor="AUTO_2013_118" w:history="1">
        <w:r w:rsidRPr="00234417">
          <w:rPr>
            <w:rStyle w:val="TextoNormalCaracter"/>
          </w:rPr>
          <w:t>118/2013</w:t>
        </w:r>
      </w:hyperlink>
      <w:r w:rsidRPr="00234417">
        <w:rPr>
          <w:rStyle w:val="TextoNormalCaracter"/>
        </w:rPr>
        <w:t xml:space="preserve">, f. único; </w:t>
      </w:r>
      <w:hyperlink w:anchor="AUTO_2013_119" w:history="1">
        <w:r w:rsidRPr="00234417">
          <w:rPr>
            <w:rStyle w:val="TextoNormalCaracter"/>
          </w:rPr>
          <w:t>119/2013</w:t>
        </w:r>
      </w:hyperlink>
      <w:r w:rsidRPr="00234417">
        <w:rPr>
          <w:rStyle w:val="TextoNormalCaracter"/>
        </w:rPr>
        <w:t xml:space="preserve">, f. único; </w:t>
      </w:r>
      <w:hyperlink w:anchor="AUTO_2013_140" w:history="1">
        <w:r w:rsidRPr="00234417">
          <w:rPr>
            <w:rStyle w:val="TextoNormalCaracter"/>
          </w:rPr>
          <w:t>140/2013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646" w:name="DESCRIPTORALFABETICO898"/>
      <w:r w:rsidRPr="00234417">
        <w:rPr>
          <w:rStyle w:val="TextoNormalNegritaCaracter"/>
        </w:rPr>
        <w:t>Extradición</w:t>
      </w:r>
      <w:bookmarkEnd w:id="1646"/>
      <w:r w:rsidRPr="00234417">
        <w:rPr>
          <w:rStyle w:val="TextoNormalCaracter"/>
        </w:rPr>
        <w:t xml:space="preserve">, Sentencias </w:t>
      </w:r>
      <w:hyperlink w:anchor="SENTENCIA_2013_31" w:history="1">
        <w:r w:rsidRPr="00234417">
          <w:rPr>
            <w:rStyle w:val="TextoNormalCaracter"/>
          </w:rPr>
          <w:t>31/2013</w:t>
        </w:r>
      </w:hyperlink>
      <w:r w:rsidRPr="00234417">
        <w:rPr>
          <w:rStyle w:val="TextoNormalCaracter"/>
        </w:rPr>
        <w:t xml:space="preserve">, ff. 2, 3, 4, 5, 6, 7, VP; </w:t>
      </w:r>
      <w:hyperlink w:anchor="SENTENCIA_2013_110" w:history="1">
        <w:r w:rsidRPr="00234417">
          <w:rPr>
            <w:rStyle w:val="TextoNormalCaracter"/>
          </w:rPr>
          <w:t>110/2013</w:t>
        </w:r>
      </w:hyperlink>
      <w:r w:rsidRPr="00234417">
        <w:rPr>
          <w:rStyle w:val="TextoNormalCaracter"/>
        </w:rPr>
        <w:t>, ff. 1, 2.</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2" w:history="1">
        <w:r w:rsidRPr="00234417">
          <w:rPr>
            <w:rStyle w:val="TextoNormalCaracter"/>
          </w:rPr>
          <w:t>2/2013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647" w:name="DESCRIPTORALFABETICO899"/>
      <w:r w:rsidRPr="00234417">
        <w:rPr>
          <w:rStyle w:val="TextoNormalNegritaCaracter"/>
        </w:rPr>
        <w:t>Extradición de nacional español</w:t>
      </w:r>
      <w:bookmarkEnd w:id="1647"/>
      <w:r w:rsidRPr="00234417">
        <w:rPr>
          <w:rStyle w:val="TextoNormalCaracter"/>
        </w:rPr>
        <w:t xml:space="preserve">, Auto </w:t>
      </w:r>
      <w:hyperlink w:anchor="AUTO_2013_2" w:history="1">
        <w:r w:rsidRPr="00234417">
          <w:rPr>
            <w:rStyle w:val="TextoNormalCaracter"/>
          </w:rPr>
          <w:t>2/2013</w:t>
        </w:r>
      </w:hyperlink>
      <w:r w:rsidRPr="00234417">
        <w:rPr>
          <w:rStyle w:val="TextoNormalCaracter"/>
        </w:rPr>
        <w:t>, f. 2.</w:t>
      </w:r>
    </w:p>
    <w:p w:rsidR="00234417" w:rsidRPr="00234417" w:rsidRDefault="00234417" w:rsidP="00234417">
      <w:pPr>
        <w:pStyle w:val="TextoNormalSangraFrancesa"/>
        <w:rPr>
          <w:rStyle w:val="TextoNormalNegritaCaracter"/>
        </w:rPr>
      </w:pPr>
      <w:r w:rsidRPr="00234417">
        <w:rPr>
          <w:rStyle w:val="TextoNormalCursivaCaracter"/>
        </w:rPr>
        <w:t>Extradición pasiva</w:t>
      </w:r>
      <w:r>
        <w:t xml:space="preserve"> véase </w:t>
      </w:r>
      <w:hyperlink w:anchor="DESCRIPTORALFABETICO898" w:history="1">
        <w:r w:rsidRPr="00234417">
          <w:rPr>
            <w:rStyle w:val="TextoNormalNegritaCaracter"/>
          </w:rPr>
          <w:t>Extradición</w:t>
        </w:r>
      </w:hyperlink>
    </w:p>
    <w:p w:rsidR="00234417" w:rsidRPr="00234417" w:rsidRDefault="00234417" w:rsidP="00234417">
      <w:pPr>
        <w:pStyle w:val="TextoNormalSangraFrancesa"/>
        <w:rPr>
          <w:rStyle w:val="TextoNormalCaracter"/>
        </w:rPr>
      </w:pPr>
      <w:bookmarkStart w:id="1648" w:name="DESCRIPTORALFABETICO429"/>
      <w:r w:rsidRPr="00234417">
        <w:rPr>
          <w:rStyle w:val="TextoNormalNegritaCaracter"/>
        </w:rPr>
        <w:t>Extranjería</w:t>
      </w:r>
      <w:bookmarkEnd w:id="1648"/>
      <w:r w:rsidRPr="00234417">
        <w:rPr>
          <w:rStyle w:val="TextoNormalCaracter"/>
        </w:rPr>
        <w:t xml:space="preserve">, Sentencia </w:t>
      </w:r>
      <w:hyperlink w:anchor="SENTENCIA_2013_17" w:history="1">
        <w:r w:rsidRPr="00234417">
          <w:rPr>
            <w:rStyle w:val="TextoNormalCaracter"/>
          </w:rPr>
          <w:t>17/2013</w:t>
        </w:r>
      </w:hyperlink>
      <w:r w:rsidRPr="00234417">
        <w:rPr>
          <w:rStyle w:val="TextoNormalCaracter"/>
        </w:rPr>
        <w:t>, ff. 3 a 9.</w:t>
      </w:r>
    </w:p>
    <w:p w:rsidR="00234417" w:rsidRPr="00234417" w:rsidRDefault="00234417" w:rsidP="00234417">
      <w:pPr>
        <w:pStyle w:val="TextoNormalSangraFrancesa"/>
        <w:rPr>
          <w:rStyle w:val="TextoNormalNegritaCaracter"/>
        </w:rPr>
      </w:pPr>
      <w:r w:rsidRPr="00234417">
        <w:rPr>
          <w:rStyle w:val="TextoNormalCursivaCaracter"/>
        </w:rPr>
        <w:t>Extranjeros</w:t>
      </w:r>
      <w:r>
        <w:t xml:space="preserve"> véase </w:t>
      </w:r>
      <w:hyperlink w:anchor="DESCRIPTORALFABETICO429" w:history="1">
        <w:r w:rsidRPr="00234417">
          <w:rPr>
            <w:rStyle w:val="TextoNormalNegritaCaracter"/>
          </w:rPr>
          <w:t>Extranjería</w:t>
        </w:r>
      </w:hyperlink>
    </w:p>
    <w:p w:rsidR="00234417" w:rsidRPr="00234417" w:rsidRDefault="00234417" w:rsidP="00234417">
      <w:pPr>
        <w:pStyle w:val="TextoNormalSangraFrancesa"/>
        <w:rPr>
          <w:rStyle w:val="TextoNormalCaracter"/>
        </w:rPr>
      </w:pPr>
      <w:bookmarkStart w:id="1649" w:name="DESCRIPTORALFABETICO943"/>
      <w:r w:rsidRPr="00234417">
        <w:rPr>
          <w:rStyle w:val="TextoNormalNegritaCaracter"/>
        </w:rPr>
        <w:t>Extremadura</w:t>
      </w:r>
      <w:bookmarkEnd w:id="1649"/>
      <w:r w:rsidRPr="00234417">
        <w:rPr>
          <w:rStyle w:val="TextoNormalCaracter"/>
        </w:rPr>
        <w:t xml:space="preserve">, Sentencias </w:t>
      </w:r>
      <w:hyperlink w:anchor="SENTENCIA_2013_4" w:history="1">
        <w:r w:rsidRPr="00234417">
          <w:rPr>
            <w:rStyle w:val="TextoNormalCaracter"/>
          </w:rPr>
          <w:t>4/2013</w:t>
        </w:r>
      </w:hyperlink>
      <w:r w:rsidRPr="00234417">
        <w:rPr>
          <w:rStyle w:val="TextoNormalCaracter"/>
        </w:rPr>
        <w:t xml:space="preserve">, ff. 1 a 11; </w:t>
      </w:r>
      <w:hyperlink w:anchor="SENTENCIA_2013_46" w:history="1">
        <w:r w:rsidRPr="00234417">
          <w:rPr>
            <w:rStyle w:val="TextoNormalCaracter"/>
          </w:rPr>
          <w:t>46/2013</w:t>
        </w:r>
      </w:hyperlink>
      <w:r w:rsidRPr="00234417">
        <w:rPr>
          <w:rStyle w:val="TextoNormalCaracter"/>
        </w:rPr>
        <w:t>, ff. 3, 4.</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F</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NegritaCaracter"/>
        </w:rPr>
      </w:pPr>
      <w:r w:rsidRPr="00234417">
        <w:rPr>
          <w:rStyle w:val="TextoNormalCursivaCaracter"/>
        </w:rPr>
        <w:t>Facultad sancionadora</w:t>
      </w:r>
      <w:r>
        <w:t xml:space="preserve"> véase </w:t>
      </w:r>
      <w:hyperlink w:anchor="DESCRIPTORALFABETICO361" w:history="1">
        <w:r w:rsidRPr="00234417">
          <w:rPr>
            <w:rStyle w:val="TextoNormalNegritaCaracter"/>
          </w:rPr>
          <w:t>Potestad sancionadora</w:t>
        </w:r>
      </w:hyperlink>
    </w:p>
    <w:p w:rsidR="00234417" w:rsidRPr="00234417" w:rsidRDefault="00234417" w:rsidP="00234417">
      <w:pPr>
        <w:pStyle w:val="TextoNormalSangraFrancesa"/>
        <w:rPr>
          <w:rStyle w:val="TextoNormalNegritaCaracter"/>
        </w:rPr>
      </w:pPr>
      <w:r w:rsidRPr="00234417">
        <w:rPr>
          <w:rStyle w:val="TextoNormalCursivaCaracter"/>
        </w:rPr>
        <w:t>Facultades ejecutivas</w:t>
      </w:r>
      <w:r>
        <w:t xml:space="preserve"> véase </w:t>
      </w:r>
      <w:hyperlink w:anchor="DESCRIPTORALFABETICO25" w:history="1">
        <w:r w:rsidRPr="00234417">
          <w:rPr>
            <w:rStyle w:val="TextoNormalNegritaCaracter"/>
          </w:rPr>
          <w:t>Potestades ejecutivas</w:t>
        </w:r>
      </w:hyperlink>
    </w:p>
    <w:p w:rsidR="00234417" w:rsidRPr="00234417" w:rsidRDefault="00234417" w:rsidP="00234417">
      <w:pPr>
        <w:pStyle w:val="TextoNormalSangraFrancesa"/>
        <w:rPr>
          <w:rStyle w:val="TextoNormalCaracter"/>
        </w:rPr>
      </w:pPr>
      <w:bookmarkStart w:id="1650" w:name="DESCRIPTORALFABETICO339"/>
      <w:r w:rsidRPr="00234417">
        <w:rPr>
          <w:rStyle w:val="TextoNormalNegritaCaracter"/>
        </w:rPr>
        <w:lastRenderedPageBreak/>
        <w:t>Fallo interpretativo</w:t>
      </w:r>
      <w:bookmarkEnd w:id="1650"/>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6.</w:t>
      </w:r>
    </w:p>
    <w:p w:rsidR="00234417" w:rsidRPr="00234417" w:rsidRDefault="00234417" w:rsidP="00234417">
      <w:pPr>
        <w:pStyle w:val="TextoNormalSangraFrancesa"/>
        <w:rPr>
          <w:rStyle w:val="TextoNormalCaracter"/>
        </w:rPr>
      </w:pPr>
      <w:bookmarkStart w:id="1651" w:name="DESCRIPTORALFABETICO320"/>
      <w:r w:rsidRPr="00234417">
        <w:rPr>
          <w:rStyle w:val="TextoNormalNegritaCaracter"/>
        </w:rPr>
        <w:t>Falta de agotamiento de la vía judicial</w:t>
      </w:r>
      <w:bookmarkEnd w:id="1651"/>
      <w:r w:rsidRPr="00234417">
        <w:rPr>
          <w:rStyle w:val="TextoNormalCaracter"/>
        </w:rPr>
        <w:t xml:space="preserve">, Sentencias </w:t>
      </w:r>
      <w:hyperlink w:anchor="SENTENCIA_2013_28" w:history="1">
        <w:r w:rsidRPr="00234417">
          <w:rPr>
            <w:rStyle w:val="TextoNormalCaracter"/>
          </w:rPr>
          <w:t>28/2013</w:t>
        </w:r>
      </w:hyperlink>
      <w:r w:rsidRPr="00234417">
        <w:rPr>
          <w:rStyle w:val="TextoNormalCaracter"/>
        </w:rPr>
        <w:t xml:space="preserve">, f. 3; </w:t>
      </w:r>
      <w:hyperlink w:anchor="SENTENCIA_2013_54" w:history="1">
        <w:r w:rsidRPr="00234417">
          <w:rPr>
            <w:rStyle w:val="TextoNormalCaracter"/>
          </w:rPr>
          <w:t>54/2013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25" w:history="1">
        <w:r w:rsidRPr="00234417">
          <w:rPr>
            <w:rStyle w:val="TextoNormalCaracter"/>
          </w:rPr>
          <w:t>25/2013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652" w:name="DESCRIPTORALFABETICO804"/>
      <w:r w:rsidRPr="00234417">
        <w:rPr>
          <w:rStyle w:val="TextoNormalNegritaCaracter"/>
        </w:rPr>
        <w:t>Falta de emplazamiento</w:t>
      </w:r>
      <w:bookmarkEnd w:id="1652"/>
      <w:r w:rsidRPr="00234417">
        <w:rPr>
          <w:rStyle w:val="TextoNormalCaracter"/>
        </w:rPr>
        <w:t xml:space="preserve">, Sentencia </w:t>
      </w:r>
      <w:hyperlink w:anchor="SENTENCIA_2013_76" w:history="1">
        <w:r w:rsidRPr="00234417">
          <w:rPr>
            <w:rStyle w:val="TextoNormalCaracter"/>
          </w:rPr>
          <w:t>76/2013</w:t>
        </w:r>
      </w:hyperlink>
      <w:r w:rsidRPr="00234417">
        <w:rPr>
          <w:rStyle w:val="TextoNormalCaracter"/>
        </w:rPr>
        <w:t>, f. 4.</w:t>
      </w:r>
    </w:p>
    <w:p w:rsidR="00234417" w:rsidRPr="00234417" w:rsidRDefault="00234417" w:rsidP="00234417">
      <w:pPr>
        <w:pStyle w:val="TextoNormalSangraFrancesa"/>
        <w:rPr>
          <w:rStyle w:val="TextoNormalCaracter"/>
        </w:rPr>
      </w:pPr>
      <w:bookmarkStart w:id="1653" w:name="DESCRIPTORALFABETICO296"/>
      <w:r w:rsidRPr="00234417">
        <w:rPr>
          <w:rStyle w:val="TextoNormalNegritaCaracter"/>
        </w:rPr>
        <w:t>Falta de invocación del derecho vulnerado</w:t>
      </w:r>
      <w:bookmarkEnd w:id="1653"/>
      <w:r w:rsidRPr="00234417">
        <w:rPr>
          <w:rStyle w:val="TextoNormalCaracter"/>
        </w:rPr>
        <w:t xml:space="preserve">, Auto </w:t>
      </w:r>
      <w:hyperlink w:anchor="AUTO_2013_21" w:history="1">
        <w:r w:rsidRPr="00234417">
          <w:rPr>
            <w:rStyle w:val="TextoNormalCaracter"/>
          </w:rPr>
          <w:t>21/2013</w:t>
        </w:r>
      </w:hyperlink>
      <w:r w:rsidRPr="00234417">
        <w:rPr>
          <w:rStyle w:val="TextoNormalCaracter"/>
        </w:rPr>
        <w:t>, f. 3.</w:t>
      </w:r>
    </w:p>
    <w:p w:rsidR="00234417" w:rsidRPr="00234417" w:rsidRDefault="00234417" w:rsidP="00234417">
      <w:pPr>
        <w:pStyle w:val="TextoNormalSangraFrancesa"/>
        <w:rPr>
          <w:rStyle w:val="TextoNormalCaracter"/>
        </w:rPr>
      </w:pPr>
      <w:bookmarkStart w:id="1654" w:name="DESCRIPTORALFABETICO142"/>
      <w:r w:rsidRPr="00234417">
        <w:rPr>
          <w:rStyle w:val="TextoNormalNegritaCaracter"/>
        </w:rPr>
        <w:t>Falta de justificación razonable del tratamiento diferenciado</w:t>
      </w:r>
      <w:bookmarkEnd w:id="1654"/>
      <w:r w:rsidRPr="00234417">
        <w:rPr>
          <w:rStyle w:val="TextoNormalCaracter"/>
        </w:rPr>
        <w:t xml:space="preserve">, Sentencias </w:t>
      </w:r>
      <w:hyperlink w:anchor="SENTENCIA_2013_41" w:history="1">
        <w:r w:rsidRPr="00234417">
          <w:rPr>
            <w:rStyle w:val="TextoNormalCaracter"/>
          </w:rPr>
          <w:t>41/2013</w:t>
        </w:r>
      </w:hyperlink>
      <w:r w:rsidRPr="00234417">
        <w:rPr>
          <w:rStyle w:val="TextoNormalCaracter"/>
        </w:rPr>
        <w:t xml:space="preserve">, ff. 6 a 9, VP; </w:t>
      </w:r>
      <w:hyperlink w:anchor="SENTENCIA_2013_55" w:history="1">
        <w:r w:rsidRPr="00234417">
          <w:rPr>
            <w:rStyle w:val="TextoNormalCaracter"/>
          </w:rPr>
          <w:t>55/2013</w:t>
        </w:r>
      </w:hyperlink>
      <w:r w:rsidRPr="00234417">
        <w:rPr>
          <w:rStyle w:val="TextoNormalCaracter"/>
        </w:rPr>
        <w:t xml:space="preserve">, f. 2; </w:t>
      </w:r>
      <w:hyperlink w:anchor="SENTENCIA_2013_77" w:history="1">
        <w:r w:rsidRPr="00234417">
          <w:rPr>
            <w:rStyle w:val="TextoNormalCaracter"/>
          </w:rPr>
          <w:t>77/2013</w:t>
        </w:r>
      </w:hyperlink>
      <w:r w:rsidRPr="00234417">
        <w:rPr>
          <w:rStyle w:val="TextoNormalCaracter"/>
        </w:rPr>
        <w:t>, f. 3.</w:t>
      </w:r>
    </w:p>
    <w:p w:rsidR="00234417" w:rsidRPr="00234417" w:rsidRDefault="00234417" w:rsidP="00234417">
      <w:pPr>
        <w:pStyle w:val="TextoNormalSangraFrancesa"/>
        <w:rPr>
          <w:rStyle w:val="TextoNormalCaracter"/>
        </w:rPr>
      </w:pPr>
      <w:bookmarkStart w:id="1655" w:name="DESCRIPTORALFABETICO806"/>
      <w:r w:rsidRPr="00234417">
        <w:rPr>
          <w:rStyle w:val="TextoNormalNegritaCaracter"/>
        </w:rPr>
        <w:t>Falta de notificación</w:t>
      </w:r>
      <w:bookmarkEnd w:id="1655"/>
      <w:r w:rsidRPr="00234417">
        <w:rPr>
          <w:rStyle w:val="TextoNormalCaracter"/>
        </w:rPr>
        <w:t xml:space="preserve">, Sentencia </w:t>
      </w:r>
      <w:hyperlink w:anchor="SENTENCIA_2013_79" w:history="1">
        <w:r w:rsidRPr="00234417">
          <w:rPr>
            <w:rStyle w:val="TextoNormalCaracter"/>
          </w:rPr>
          <w:t>79/2013</w:t>
        </w:r>
      </w:hyperlink>
      <w:r w:rsidRPr="00234417">
        <w:rPr>
          <w:rStyle w:val="TextoNormalCaracter"/>
        </w:rPr>
        <w:t>, ff. 3, 4.</w:t>
      </w:r>
    </w:p>
    <w:p w:rsidR="00234417" w:rsidRPr="00234417" w:rsidRDefault="00234417" w:rsidP="00234417">
      <w:pPr>
        <w:pStyle w:val="TextoNormalSangraFrancesa"/>
        <w:rPr>
          <w:rStyle w:val="TextoNormalNegritaCaracter"/>
        </w:rPr>
      </w:pPr>
      <w:r w:rsidRPr="00234417">
        <w:rPr>
          <w:rStyle w:val="TextoNormalCursivaCaracter"/>
        </w:rPr>
        <w:t>Familiares</w:t>
      </w:r>
      <w:r>
        <w:t xml:space="preserve"> véase </w:t>
      </w:r>
      <w:hyperlink w:anchor="DESCRIPTORALFABETICO565" w:history="1">
        <w:r w:rsidRPr="00234417">
          <w:rPr>
            <w:rStyle w:val="TextoNormalNegritaCaracter"/>
          </w:rPr>
          <w:t>Parientes</w:t>
        </w:r>
      </w:hyperlink>
    </w:p>
    <w:p w:rsidR="00234417" w:rsidRPr="00234417" w:rsidRDefault="00234417" w:rsidP="00234417">
      <w:pPr>
        <w:pStyle w:val="TextoNormalSangraFrancesa"/>
        <w:rPr>
          <w:rStyle w:val="TextoNormalNegritaCaracter"/>
        </w:rPr>
      </w:pPr>
      <w:r w:rsidRPr="00234417">
        <w:rPr>
          <w:rStyle w:val="TextoNormalCursivaCaracter"/>
        </w:rPr>
        <w:t>Farmacias</w:t>
      </w:r>
      <w:r>
        <w:t xml:space="preserve"> véase </w:t>
      </w:r>
      <w:hyperlink w:anchor="DESCRIPTORALFABETICO753" w:history="1">
        <w:r w:rsidRPr="00234417">
          <w:rPr>
            <w:rStyle w:val="TextoNormalNegritaCaracter"/>
          </w:rPr>
          <w:t>Oficinas de farmacia</w:t>
        </w:r>
      </w:hyperlink>
    </w:p>
    <w:p w:rsidR="00234417" w:rsidRPr="00234417" w:rsidRDefault="00234417" w:rsidP="00234417">
      <w:pPr>
        <w:pStyle w:val="TextoNormalSangraFrancesa"/>
        <w:rPr>
          <w:rStyle w:val="TextoNormalCaracter"/>
        </w:rPr>
      </w:pPr>
      <w:bookmarkStart w:id="1656" w:name="DESCRIPTORALFABETICO919"/>
      <w:r w:rsidRPr="00234417">
        <w:rPr>
          <w:rStyle w:val="TextoNormalNegritaCaracter"/>
        </w:rPr>
        <w:t>Fijación de fecha de licenciamiento definitivo</w:t>
      </w:r>
      <w:bookmarkEnd w:id="1656"/>
      <w:r w:rsidRPr="00234417">
        <w:rPr>
          <w:rStyle w:val="TextoNormalCaracter"/>
        </w:rPr>
        <w:t xml:space="preserve">, Auto </w:t>
      </w:r>
      <w:hyperlink w:anchor="AUTO_2013_19" w:history="1">
        <w:r w:rsidRPr="00234417">
          <w:rPr>
            <w:rStyle w:val="TextoNormalCaracter"/>
          </w:rPr>
          <w:t>19/2013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657" w:name="DESCRIPTORALFABETICO297"/>
      <w:r w:rsidRPr="00234417">
        <w:rPr>
          <w:rStyle w:val="TextoNormalNegritaCaracter"/>
        </w:rPr>
        <w:t>Finalidad del requisito de invocación del derecho vulnerado</w:t>
      </w:r>
      <w:bookmarkEnd w:id="1657"/>
      <w:r w:rsidRPr="00234417">
        <w:rPr>
          <w:rStyle w:val="TextoNormalCaracter"/>
        </w:rPr>
        <w:t xml:space="preserve">, Sentencia </w:t>
      </w:r>
      <w:hyperlink w:anchor="SENTENCIA_2013_2" w:history="1">
        <w:r w:rsidRPr="00234417">
          <w:rPr>
            <w:rStyle w:val="TextoNormalCaracter"/>
          </w:rPr>
          <w:t>2/2013</w:t>
        </w:r>
      </w:hyperlink>
      <w:r w:rsidRPr="00234417">
        <w:rPr>
          <w:rStyle w:val="TextoNormalCaracter"/>
        </w:rPr>
        <w:t>, f. 4.</w:t>
      </w:r>
    </w:p>
    <w:p w:rsidR="00234417" w:rsidRPr="00234417" w:rsidRDefault="00234417" w:rsidP="00234417">
      <w:pPr>
        <w:pStyle w:val="TextoNormalSangraFrancesa"/>
        <w:rPr>
          <w:rStyle w:val="TextoNormalCaracter"/>
        </w:rPr>
      </w:pPr>
      <w:bookmarkStart w:id="1658" w:name="DESCRIPTORALFABETICO109"/>
      <w:r w:rsidRPr="00234417">
        <w:rPr>
          <w:rStyle w:val="TextoNormalNegritaCaracter"/>
        </w:rPr>
        <w:t>Finalidad extrafiscal del tributo</w:t>
      </w:r>
      <w:bookmarkEnd w:id="1658"/>
      <w:r w:rsidRPr="00234417">
        <w:rPr>
          <w:rStyle w:val="TextoNormalCaracter"/>
        </w:rPr>
        <w:t xml:space="preserve">, Sentencias </w:t>
      </w:r>
      <w:hyperlink w:anchor="SENTENCIA_2013_60" w:history="1">
        <w:r w:rsidRPr="00234417">
          <w:rPr>
            <w:rStyle w:val="TextoNormalCaracter"/>
          </w:rPr>
          <w:t>60/2013</w:t>
        </w:r>
      </w:hyperlink>
      <w:r w:rsidRPr="00234417">
        <w:rPr>
          <w:rStyle w:val="TextoNormalCaracter"/>
        </w:rPr>
        <w:t xml:space="preserve">, ff. 2, 3, 5, 6; </w:t>
      </w:r>
      <w:hyperlink w:anchor="SENTENCIA_2013_85" w:history="1">
        <w:r w:rsidRPr="00234417">
          <w:rPr>
            <w:rStyle w:val="TextoNormalCaracter"/>
          </w:rPr>
          <w:t>85/2013</w:t>
        </w:r>
      </w:hyperlink>
      <w:r w:rsidRPr="00234417">
        <w:rPr>
          <w:rStyle w:val="TextoNormalCaracter"/>
        </w:rPr>
        <w:t>, ff. 4, 6.</w:t>
      </w:r>
    </w:p>
    <w:p w:rsidR="00234417" w:rsidRPr="00234417" w:rsidRDefault="00234417" w:rsidP="00234417">
      <w:pPr>
        <w:pStyle w:val="TextoNormalSangraFrancesa"/>
        <w:rPr>
          <w:rStyle w:val="TextoNormalCaracter"/>
        </w:rPr>
      </w:pPr>
      <w:bookmarkStart w:id="1659" w:name="DESCRIPTORALFABETICO87"/>
      <w:r w:rsidRPr="00234417">
        <w:rPr>
          <w:rStyle w:val="TextoNormalNegritaCaracter"/>
        </w:rPr>
        <w:t>Financiación autonómica</w:t>
      </w:r>
      <w:bookmarkEnd w:id="1659"/>
      <w:r w:rsidRPr="00234417">
        <w:rPr>
          <w:rStyle w:val="TextoNormalCaracter"/>
        </w:rPr>
        <w:t xml:space="preserve">, Sentencias </w:t>
      </w:r>
      <w:hyperlink w:anchor="SENTENCIA_2013_100" w:history="1">
        <w:r w:rsidRPr="00234417">
          <w:rPr>
            <w:rStyle w:val="TextoNormalCaracter"/>
          </w:rPr>
          <w:t>100/2013</w:t>
        </w:r>
      </w:hyperlink>
      <w:r w:rsidRPr="00234417">
        <w:rPr>
          <w:rStyle w:val="TextoNormalCaracter"/>
        </w:rPr>
        <w:t xml:space="preserve">, f. 4; </w:t>
      </w:r>
      <w:hyperlink w:anchor="SENTENCIA_2013_101" w:history="1">
        <w:r w:rsidRPr="00234417">
          <w:rPr>
            <w:rStyle w:val="TextoNormalCaracter"/>
          </w:rPr>
          <w:t>101/2013</w:t>
        </w:r>
      </w:hyperlink>
      <w:r w:rsidRPr="00234417">
        <w:rPr>
          <w:rStyle w:val="TextoNormalCaracter"/>
        </w:rPr>
        <w:t>, ff. 3, 4, 5, 6, 7.</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123" w:history="1">
        <w:r w:rsidRPr="00234417">
          <w:rPr>
            <w:rStyle w:val="TextoNormalCaracter"/>
          </w:rPr>
          <w:t>123/2013</w:t>
        </w:r>
      </w:hyperlink>
      <w:r w:rsidRPr="00234417">
        <w:rPr>
          <w:rStyle w:val="TextoNormalCaracter"/>
        </w:rPr>
        <w:t>, ff. 1, 6.</w:t>
      </w:r>
    </w:p>
    <w:p w:rsidR="00234417" w:rsidRPr="00234417" w:rsidRDefault="00234417" w:rsidP="00234417">
      <w:pPr>
        <w:pStyle w:val="TextoNormalSangraFrancesa"/>
        <w:rPr>
          <w:rStyle w:val="TextoNormalCaracter"/>
        </w:rPr>
      </w:pPr>
      <w:bookmarkStart w:id="1660" w:name="DESCRIPTORALFABETICO774"/>
      <w:r w:rsidRPr="00234417">
        <w:rPr>
          <w:rStyle w:val="TextoNormalNegritaCaracter"/>
        </w:rPr>
        <w:t>Financiación de acciones de formación continua</w:t>
      </w:r>
      <w:bookmarkEnd w:id="1660"/>
      <w:r w:rsidRPr="00234417">
        <w:rPr>
          <w:rStyle w:val="TextoNormalCaracter"/>
        </w:rPr>
        <w:t xml:space="preserve">, Sentencia </w:t>
      </w:r>
      <w:hyperlink w:anchor="SENTENCIA_2013_16" w:history="1">
        <w:r w:rsidRPr="00234417">
          <w:rPr>
            <w:rStyle w:val="TextoNormalCaracter"/>
          </w:rPr>
          <w:t>16/2013</w:t>
        </w:r>
      </w:hyperlink>
      <w:r w:rsidRPr="00234417">
        <w:rPr>
          <w:rStyle w:val="TextoNormalCaracter"/>
        </w:rPr>
        <w:t>, ff. 3, 6.</w:t>
      </w:r>
    </w:p>
    <w:p w:rsidR="00234417" w:rsidRPr="00234417" w:rsidRDefault="00234417" w:rsidP="00234417">
      <w:pPr>
        <w:pStyle w:val="TextoNormalSangraFrancesa"/>
        <w:rPr>
          <w:rStyle w:val="TextoNormalCaracter"/>
        </w:rPr>
      </w:pPr>
      <w:bookmarkStart w:id="1661" w:name="DESCRIPTORALFABETICO788"/>
      <w:r w:rsidRPr="00234417">
        <w:rPr>
          <w:rStyle w:val="TextoNormalNegritaCaracter"/>
        </w:rPr>
        <w:t>Financiación de actuaciones protegibles en materia de vivienda</w:t>
      </w:r>
      <w:bookmarkEnd w:id="1661"/>
      <w:r w:rsidRPr="00234417">
        <w:rPr>
          <w:rStyle w:val="TextoNormalCaracter"/>
        </w:rPr>
        <w:t xml:space="preserve">, Sentencia </w:t>
      </w:r>
      <w:hyperlink w:anchor="SENTENCIA_2013_112" w:history="1">
        <w:r w:rsidRPr="00234417">
          <w:rPr>
            <w:rStyle w:val="TextoNormalCaracter"/>
          </w:rPr>
          <w:t>112/2013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1662" w:name="DESCRIPTORALFABETICO90"/>
      <w:r w:rsidRPr="00234417">
        <w:rPr>
          <w:rStyle w:val="TextoNormalNegritaCaracter"/>
        </w:rPr>
        <w:t>Financiación estatal</w:t>
      </w:r>
      <w:bookmarkEnd w:id="1662"/>
      <w:r w:rsidRPr="00234417">
        <w:rPr>
          <w:rStyle w:val="TextoNormalCaracter"/>
        </w:rPr>
        <w:t xml:space="preserve">, Sentencia </w:t>
      </w:r>
      <w:hyperlink w:anchor="SENTENCIA_2013_112" w:history="1">
        <w:r w:rsidRPr="00234417">
          <w:rPr>
            <w:rStyle w:val="TextoNormalCaracter"/>
          </w:rPr>
          <w:t>112/2013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1663" w:name="DESCRIPTORALFABETICO755"/>
      <w:r w:rsidRPr="00234417">
        <w:rPr>
          <w:rStyle w:val="TextoNormalNegritaCaracter"/>
        </w:rPr>
        <w:t>Financiación pública de medicamentos</w:t>
      </w:r>
      <w:bookmarkEnd w:id="1663"/>
      <w:r w:rsidRPr="00234417">
        <w:rPr>
          <w:rStyle w:val="TextoNormalCaracter"/>
        </w:rPr>
        <w:t xml:space="preserve">, Auto </w:t>
      </w:r>
      <w:hyperlink w:anchor="AUTO_2013_88" w:history="1">
        <w:r w:rsidRPr="00234417">
          <w:rPr>
            <w:rStyle w:val="TextoNormalCaracter"/>
          </w:rPr>
          <w:t>88/2013</w:t>
        </w:r>
      </w:hyperlink>
      <w:r w:rsidRPr="00234417">
        <w:rPr>
          <w:rStyle w:val="TextoNormalCaracter"/>
        </w:rPr>
        <w:t>, f. 1.</w:t>
      </w:r>
    </w:p>
    <w:p w:rsidR="00234417" w:rsidRPr="00234417" w:rsidRDefault="00234417" w:rsidP="00234417">
      <w:pPr>
        <w:pStyle w:val="TextoNormalSangraFrancesa"/>
        <w:rPr>
          <w:rStyle w:val="TextoNormalCaracter"/>
        </w:rPr>
      </w:pPr>
      <w:bookmarkStart w:id="1664" w:name="DESCRIPTORALFABETICO80"/>
      <w:r w:rsidRPr="00234417">
        <w:rPr>
          <w:rStyle w:val="TextoNormalNegritaCaracter"/>
        </w:rPr>
        <w:t>Fondo de Compensación Interterritorial</w:t>
      </w:r>
      <w:bookmarkEnd w:id="1664"/>
      <w:r w:rsidRPr="00234417">
        <w:rPr>
          <w:rStyle w:val="TextoNormalCaracter"/>
        </w:rPr>
        <w:t xml:space="preserve">, Sentencia </w:t>
      </w:r>
      <w:hyperlink w:anchor="SENTENCIA_2013_101" w:history="1">
        <w:r w:rsidRPr="00234417">
          <w:rPr>
            <w:rStyle w:val="TextoNormalCaracter"/>
          </w:rPr>
          <w:t>101/2013</w:t>
        </w:r>
      </w:hyperlink>
      <w:r w:rsidRPr="00234417">
        <w:rPr>
          <w:rStyle w:val="TextoNormalCaracter"/>
        </w:rPr>
        <w:t>, ff. 3 a 6.</w:t>
      </w:r>
    </w:p>
    <w:p w:rsidR="00234417" w:rsidRPr="00234417" w:rsidRDefault="00234417" w:rsidP="00234417">
      <w:pPr>
        <w:pStyle w:val="TextoNormalSangraFrancesa"/>
        <w:rPr>
          <w:rStyle w:val="TextoNormalCaracter"/>
        </w:rPr>
      </w:pPr>
      <w:bookmarkStart w:id="1665" w:name="DESCRIPTORALFABETICO81"/>
      <w:r w:rsidRPr="00234417">
        <w:rPr>
          <w:rStyle w:val="TextoNormalNegritaCaracter"/>
        </w:rPr>
        <w:t>Fondo de suficiencia</w:t>
      </w:r>
      <w:bookmarkEnd w:id="1665"/>
      <w:r w:rsidRPr="00234417">
        <w:rPr>
          <w:rStyle w:val="TextoNormalCaracter"/>
        </w:rPr>
        <w:t xml:space="preserve">, Sentencia </w:t>
      </w:r>
      <w:hyperlink w:anchor="SENTENCIA_2013_101" w:history="1">
        <w:r w:rsidRPr="00234417">
          <w:rPr>
            <w:rStyle w:val="TextoNormalCaracter"/>
          </w:rPr>
          <w:t>101/2013</w:t>
        </w:r>
      </w:hyperlink>
      <w:r w:rsidRPr="00234417">
        <w:rPr>
          <w:rStyle w:val="TextoNormalCaracter"/>
        </w:rPr>
        <w:t>, ff. 8 a 10.</w:t>
      </w:r>
    </w:p>
    <w:p w:rsidR="00234417" w:rsidRPr="00234417" w:rsidRDefault="00234417" w:rsidP="00234417">
      <w:pPr>
        <w:pStyle w:val="TextoNormalSangraFrancesa"/>
        <w:rPr>
          <w:rStyle w:val="TextoNormalCaracter"/>
        </w:rPr>
      </w:pPr>
      <w:bookmarkStart w:id="1666" w:name="DESCRIPTORALFABETICO402"/>
      <w:r w:rsidRPr="00234417">
        <w:rPr>
          <w:rStyle w:val="TextoNormalNegritaCaracter"/>
        </w:rPr>
        <w:t>Fondos comunitarios</w:t>
      </w:r>
      <w:bookmarkEnd w:id="1666"/>
      <w:r w:rsidRPr="00234417">
        <w:rPr>
          <w:rStyle w:val="TextoNormalCaracter"/>
        </w:rPr>
        <w:t xml:space="preserve">, Sentencias </w:t>
      </w:r>
      <w:hyperlink w:anchor="SENTENCIA_2013_130" w:history="1">
        <w:r w:rsidRPr="00234417">
          <w:rPr>
            <w:rStyle w:val="TextoNormalCaracter"/>
          </w:rPr>
          <w:t>130/2013</w:t>
        </w:r>
      </w:hyperlink>
      <w:r w:rsidRPr="00234417">
        <w:rPr>
          <w:rStyle w:val="TextoNormalCaracter"/>
        </w:rPr>
        <w:t xml:space="preserve">, f. 12, VP; </w:t>
      </w:r>
      <w:hyperlink w:anchor="SENTENCIA_2013_135" w:history="1">
        <w:r w:rsidRPr="00234417">
          <w:rPr>
            <w:rStyle w:val="TextoNormalCaracter"/>
          </w:rPr>
          <w:t>135/2013</w:t>
        </w:r>
      </w:hyperlink>
      <w:r w:rsidRPr="00234417">
        <w:rPr>
          <w:rStyle w:val="TextoNormalCaracter"/>
        </w:rPr>
        <w:t>, f. 6.</w:t>
      </w:r>
    </w:p>
    <w:p w:rsidR="00234417" w:rsidRPr="00234417" w:rsidRDefault="00234417" w:rsidP="00234417">
      <w:pPr>
        <w:pStyle w:val="TextoNormalSangraFrancesa"/>
        <w:rPr>
          <w:rStyle w:val="TextoNormalCaracter"/>
        </w:rPr>
      </w:pPr>
      <w:bookmarkStart w:id="1667" w:name="DESCRIPTORALFABETICO500"/>
      <w:r w:rsidRPr="00234417">
        <w:rPr>
          <w:rStyle w:val="TextoNormalNegritaCaracter"/>
        </w:rPr>
        <w:t>Fondos documentales</w:t>
      </w:r>
      <w:bookmarkEnd w:id="1667"/>
      <w:r w:rsidRPr="00234417">
        <w:rPr>
          <w:rStyle w:val="TextoNormalCaracter"/>
        </w:rPr>
        <w:t xml:space="preserve">, Sentencias </w:t>
      </w:r>
      <w:hyperlink w:anchor="SENTENCIA_2013_14" w:history="1">
        <w:r w:rsidRPr="00234417">
          <w:rPr>
            <w:rStyle w:val="TextoNormalCaracter"/>
          </w:rPr>
          <w:t>14/2013</w:t>
        </w:r>
      </w:hyperlink>
      <w:r w:rsidRPr="00234417">
        <w:rPr>
          <w:rStyle w:val="TextoNormalCaracter"/>
        </w:rPr>
        <w:t xml:space="preserve">, ff. 2 a 6; </w:t>
      </w:r>
      <w:hyperlink w:anchor="SENTENCIA_2013_20" w:history="1">
        <w:r w:rsidRPr="00234417">
          <w:rPr>
            <w:rStyle w:val="TextoNormalCaracter"/>
          </w:rPr>
          <w:t>20/2013</w:t>
        </w:r>
      </w:hyperlink>
      <w:r w:rsidRPr="00234417">
        <w:rPr>
          <w:rStyle w:val="TextoNormalCaracter"/>
        </w:rPr>
        <w:t xml:space="preserve">, ff. 3, 5 a 9; </w:t>
      </w:r>
      <w:hyperlink w:anchor="SENTENCIA_2013_38" w:history="1">
        <w:r w:rsidRPr="00234417">
          <w:rPr>
            <w:rStyle w:val="TextoNormalCaracter"/>
          </w:rPr>
          <w:t>38/2013</w:t>
        </w:r>
      </w:hyperlink>
      <w:r w:rsidRPr="00234417">
        <w:rPr>
          <w:rStyle w:val="TextoNormalCaracter"/>
        </w:rPr>
        <w:t xml:space="preserve">, f. 4; </w:t>
      </w:r>
      <w:hyperlink w:anchor="SENTENCIA_2013_66" w:history="1">
        <w:r w:rsidRPr="00234417">
          <w:rPr>
            <w:rStyle w:val="TextoNormalCaracter"/>
          </w:rPr>
          <w:t>66/2013</w:t>
        </w:r>
      </w:hyperlink>
      <w:r w:rsidRPr="00234417">
        <w:rPr>
          <w:rStyle w:val="TextoNormalCaracter"/>
        </w:rPr>
        <w:t xml:space="preserve">, ff. 3, 4;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xml:space="preserve">, f. 4; </w:t>
      </w:r>
      <w:hyperlink w:anchor="SENTENCIA_2013_136" w:history="1">
        <w:r w:rsidRPr="00234417">
          <w:rPr>
            <w:rStyle w:val="TextoNormalCaracter"/>
          </w:rPr>
          <w:t>136/2013</w:t>
        </w:r>
      </w:hyperlink>
      <w:r w:rsidRPr="00234417">
        <w:rPr>
          <w:rStyle w:val="TextoNormalCaracter"/>
        </w:rPr>
        <w:t>, f. 4.</w:t>
      </w:r>
    </w:p>
    <w:p w:rsidR="00234417" w:rsidRPr="00234417" w:rsidRDefault="00234417" w:rsidP="00234417">
      <w:pPr>
        <w:pStyle w:val="TextoNormalSangraFrancesa"/>
        <w:rPr>
          <w:rStyle w:val="TextoNormalCaracter"/>
        </w:rPr>
      </w:pPr>
      <w:bookmarkStart w:id="1668" w:name="DESCRIPTORALFABETICO881"/>
      <w:r w:rsidRPr="00234417">
        <w:rPr>
          <w:rStyle w:val="TextoNormalNegritaCaracter"/>
        </w:rPr>
        <w:t>Forma de la resolución judicial</w:t>
      </w:r>
      <w:bookmarkEnd w:id="1668"/>
      <w:r w:rsidRPr="00234417">
        <w:rPr>
          <w:rStyle w:val="TextoNormalCaracter"/>
        </w:rPr>
        <w:t xml:space="preserve">, Sentencia </w:t>
      </w:r>
      <w:hyperlink w:anchor="SENTENCIA_2013_90" w:history="1">
        <w:r w:rsidRPr="00234417">
          <w:rPr>
            <w:rStyle w:val="TextoNormalCaracter"/>
          </w:rPr>
          <w:t>90/2013</w:t>
        </w:r>
      </w:hyperlink>
      <w:r w:rsidRPr="00234417">
        <w:rPr>
          <w:rStyle w:val="TextoNormalCaracter"/>
        </w:rPr>
        <w:t>, f. 5.</w:t>
      </w:r>
    </w:p>
    <w:p w:rsidR="00234417" w:rsidRPr="00234417" w:rsidRDefault="00234417" w:rsidP="00234417">
      <w:pPr>
        <w:pStyle w:val="TextoNormalSangraFrancesa"/>
        <w:rPr>
          <w:rStyle w:val="TextoNormalCaracter"/>
        </w:rPr>
      </w:pPr>
      <w:bookmarkStart w:id="1669" w:name="DESCRIPTORALFABETICO773"/>
      <w:r w:rsidRPr="00234417">
        <w:rPr>
          <w:rStyle w:val="TextoNormalNegritaCaracter"/>
        </w:rPr>
        <w:t>Formación continua</w:t>
      </w:r>
      <w:bookmarkEnd w:id="1669"/>
      <w:r w:rsidRPr="00234417">
        <w:rPr>
          <w:rStyle w:val="TextoNormalCaracter"/>
        </w:rPr>
        <w:t xml:space="preserve">, Sentencias </w:t>
      </w:r>
      <w:hyperlink w:anchor="SENTENCIA_2013_7" w:history="1">
        <w:r w:rsidRPr="00234417">
          <w:rPr>
            <w:rStyle w:val="TextoNormalCaracter"/>
          </w:rPr>
          <w:t>7/2013</w:t>
        </w:r>
      </w:hyperlink>
      <w:r w:rsidRPr="00234417">
        <w:rPr>
          <w:rStyle w:val="TextoNormalCaracter"/>
        </w:rPr>
        <w:t xml:space="preserve">, f. 5; </w:t>
      </w:r>
      <w:hyperlink w:anchor="SENTENCIA_2013_16" w:history="1">
        <w:r w:rsidRPr="00234417">
          <w:rPr>
            <w:rStyle w:val="TextoNormalCaracter"/>
          </w:rPr>
          <w:t>16/2013</w:t>
        </w:r>
      </w:hyperlink>
      <w:r w:rsidRPr="00234417">
        <w:rPr>
          <w:rStyle w:val="TextoNormalCaracter"/>
        </w:rPr>
        <w:t xml:space="preserve">, ff. 3, 4, 5, 6, 9; </w:t>
      </w:r>
      <w:hyperlink w:anchor="SENTENCIA_2013_35" w:history="1">
        <w:r w:rsidRPr="00234417">
          <w:rPr>
            <w:rStyle w:val="TextoNormalCaracter"/>
          </w:rPr>
          <w:t>35/2013</w:t>
        </w:r>
      </w:hyperlink>
      <w:r w:rsidRPr="00234417">
        <w:rPr>
          <w:rStyle w:val="TextoNormalCaracter"/>
        </w:rPr>
        <w:t xml:space="preserve">, ff. 3 a 10; </w:t>
      </w:r>
      <w:hyperlink w:anchor="SENTENCIA_2013_37" w:history="1">
        <w:r w:rsidRPr="00234417">
          <w:rPr>
            <w:rStyle w:val="TextoNormalCaracter"/>
          </w:rPr>
          <w:t>37/2013</w:t>
        </w:r>
      </w:hyperlink>
      <w:r w:rsidRPr="00234417">
        <w:rPr>
          <w:rStyle w:val="TextoNormalCaracter"/>
        </w:rPr>
        <w:t xml:space="preserve">, ff. 1, 2; </w:t>
      </w:r>
      <w:hyperlink w:anchor="SENTENCIA_2013_62" w:history="1">
        <w:r w:rsidRPr="00234417">
          <w:rPr>
            <w:rStyle w:val="TextoNormalCaracter"/>
          </w:rPr>
          <w:t>62/2013</w:t>
        </w:r>
      </w:hyperlink>
      <w:r w:rsidRPr="00234417">
        <w:rPr>
          <w:rStyle w:val="TextoNormalCaracter"/>
        </w:rPr>
        <w:t xml:space="preserve">, ff. 3, 5; </w:t>
      </w:r>
      <w:hyperlink w:anchor="SENTENCIA_2013_65" w:history="1">
        <w:r w:rsidRPr="00234417">
          <w:rPr>
            <w:rStyle w:val="TextoNormalCaracter"/>
          </w:rPr>
          <w:t>65/2013</w:t>
        </w:r>
      </w:hyperlink>
      <w:r w:rsidRPr="00234417">
        <w:rPr>
          <w:rStyle w:val="TextoNormalCaracter"/>
        </w:rPr>
        <w:t xml:space="preserve">, ff. 2 a 5; </w:t>
      </w:r>
      <w:hyperlink w:anchor="SENTENCIA_2013_95" w:history="1">
        <w:r w:rsidRPr="00234417">
          <w:rPr>
            <w:rStyle w:val="TextoNormalCaracter"/>
          </w:rPr>
          <w:t>95/2013</w:t>
        </w:r>
      </w:hyperlink>
      <w:r w:rsidRPr="00234417">
        <w:rPr>
          <w:rStyle w:val="TextoNormalCaracter"/>
        </w:rPr>
        <w:t>, ff. 1, 2, 3, 4, 5, 6, 7, VP.</w:t>
      </w:r>
    </w:p>
    <w:p w:rsidR="00234417" w:rsidRPr="00234417" w:rsidRDefault="00234417" w:rsidP="00234417">
      <w:pPr>
        <w:pStyle w:val="TextoNormalSangraFrancesa"/>
        <w:rPr>
          <w:rStyle w:val="TextoNormalCaracter"/>
        </w:rPr>
      </w:pPr>
      <w:bookmarkStart w:id="1670" w:name="DESCRIPTORALFABETICO589"/>
      <w:r w:rsidRPr="00234417">
        <w:rPr>
          <w:rStyle w:val="TextoNormalNegritaCaracter"/>
        </w:rPr>
        <w:t>Formación continua en las Administraciones públicas</w:t>
      </w:r>
      <w:bookmarkEnd w:id="1670"/>
      <w:r w:rsidRPr="00234417">
        <w:rPr>
          <w:rStyle w:val="TextoNormalCaracter"/>
        </w:rPr>
        <w:t xml:space="preserve">, Sentencia </w:t>
      </w:r>
      <w:hyperlink w:anchor="SENTENCIA_2013_7" w:history="1">
        <w:r w:rsidRPr="00234417">
          <w:rPr>
            <w:rStyle w:val="TextoNormalCaracter"/>
          </w:rPr>
          <w:t>7/2013</w:t>
        </w:r>
      </w:hyperlink>
      <w:r w:rsidRPr="00234417">
        <w:rPr>
          <w:rStyle w:val="TextoNormalCaracter"/>
        </w:rPr>
        <w:t>, ff. 4 a 6.</w:t>
      </w:r>
    </w:p>
    <w:p w:rsidR="00234417" w:rsidRPr="00234417" w:rsidRDefault="00234417" w:rsidP="00234417">
      <w:pPr>
        <w:pStyle w:val="TextoNormalSangraFrancesa"/>
        <w:rPr>
          <w:rStyle w:val="TextoNormalCaracter"/>
        </w:rPr>
      </w:pPr>
      <w:bookmarkStart w:id="1671" w:name="DESCRIPTORALFABETICO527"/>
      <w:r w:rsidRPr="00234417">
        <w:rPr>
          <w:rStyle w:val="TextoNormalNegritaCaracter"/>
        </w:rPr>
        <w:t>Formación profesional</w:t>
      </w:r>
      <w:bookmarkEnd w:id="1671"/>
      <w:r w:rsidRPr="00234417">
        <w:rPr>
          <w:rStyle w:val="TextoNormalCaracter"/>
        </w:rPr>
        <w:t xml:space="preserve">, Sentencias </w:t>
      </w:r>
      <w:hyperlink w:anchor="SENTENCIA_2013_24" w:history="1">
        <w:r w:rsidRPr="00234417">
          <w:rPr>
            <w:rStyle w:val="TextoNormalCaracter"/>
          </w:rPr>
          <w:t>24/2013</w:t>
        </w:r>
      </w:hyperlink>
      <w:r w:rsidRPr="00234417">
        <w:rPr>
          <w:rStyle w:val="TextoNormalCaracter"/>
        </w:rPr>
        <w:t xml:space="preserve">, ff. 2 a 6; </w:t>
      </w:r>
      <w:hyperlink w:anchor="SENTENCIA_2013_25" w:history="1">
        <w:r w:rsidRPr="00234417">
          <w:rPr>
            <w:rStyle w:val="TextoNormalCaracter"/>
          </w:rPr>
          <w:t>25/2013</w:t>
        </w:r>
      </w:hyperlink>
      <w:r w:rsidRPr="00234417">
        <w:rPr>
          <w:rStyle w:val="TextoNormalCaracter"/>
        </w:rPr>
        <w:t>, ff. 3, 5.</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58" w:history="1">
        <w:r w:rsidRPr="00234417">
          <w:rPr>
            <w:rStyle w:val="TextoNormalCaracter"/>
          </w:rPr>
          <w:t>58/2013</w:t>
        </w:r>
      </w:hyperlink>
      <w:r w:rsidRPr="00234417">
        <w:rPr>
          <w:rStyle w:val="TextoNormalCaracter"/>
        </w:rPr>
        <w:t>, f. 1.</w:t>
      </w:r>
    </w:p>
    <w:p w:rsidR="00234417" w:rsidRPr="00234417" w:rsidRDefault="00234417" w:rsidP="00234417">
      <w:pPr>
        <w:pStyle w:val="TextoNormalSangraFrancesa"/>
        <w:rPr>
          <w:rStyle w:val="TextoNormalCaracter"/>
        </w:rPr>
      </w:pPr>
      <w:bookmarkStart w:id="1672" w:name="DESCRIPTORALFABETICO791"/>
      <w:r w:rsidRPr="00234417">
        <w:rPr>
          <w:rStyle w:val="TextoNormalNegritaCaracter"/>
        </w:rPr>
        <w:t>Foro de necesidad</w:t>
      </w:r>
      <w:bookmarkEnd w:id="1672"/>
      <w:r w:rsidRPr="00234417">
        <w:rPr>
          <w:rStyle w:val="TextoNormalCaracter"/>
        </w:rPr>
        <w:t xml:space="preserve">, Sentencia </w:t>
      </w:r>
      <w:hyperlink w:anchor="SENTENCIA_2013_127" w:history="1">
        <w:r w:rsidRPr="00234417">
          <w:rPr>
            <w:rStyle w:val="TextoNormalCaracter"/>
          </w:rPr>
          <w:t>127/2013</w:t>
        </w:r>
      </w:hyperlink>
      <w:r w:rsidRPr="00234417">
        <w:rPr>
          <w:rStyle w:val="TextoNormalCaracter"/>
        </w:rPr>
        <w:t>, f. 5.</w:t>
      </w:r>
    </w:p>
    <w:p w:rsidR="00234417" w:rsidRPr="00234417" w:rsidRDefault="00234417" w:rsidP="00234417">
      <w:pPr>
        <w:pStyle w:val="TextoNormalSangraFrancesa"/>
        <w:rPr>
          <w:rStyle w:val="TextoNormalCaracter"/>
        </w:rPr>
      </w:pPr>
      <w:bookmarkStart w:id="1673" w:name="DESCRIPTORALFABETICO579"/>
      <w:r w:rsidRPr="00234417">
        <w:rPr>
          <w:rStyle w:val="TextoNormalNegritaCaracter"/>
        </w:rPr>
        <w:t>Función pública</w:t>
      </w:r>
      <w:bookmarkEnd w:id="1673"/>
      <w:r w:rsidRPr="00234417">
        <w:rPr>
          <w:rStyle w:val="TextoNormalCaracter"/>
        </w:rPr>
        <w:t xml:space="preserve">, Sentencia </w:t>
      </w:r>
      <w:hyperlink w:anchor="SENTENCIA_2013_9" w:history="1">
        <w:r w:rsidRPr="00234417">
          <w:rPr>
            <w:rStyle w:val="TextoNormalCaracter"/>
          </w:rPr>
          <w:t>9/2013</w:t>
        </w:r>
      </w:hyperlink>
      <w:r w:rsidRPr="00234417">
        <w:rPr>
          <w:rStyle w:val="TextoNormalCaracter"/>
        </w:rPr>
        <w:t>, f. 4.</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85" w:history="1">
        <w:r w:rsidRPr="00234417">
          <w:rPr>
            <w:rStyle w:val="TextoNormalCaracter"/>
          </w:rPr>
          <w:t>85/2013</w:t>
        </w:r>
      </w:hyperlink>
      <w:r w:rsidRPr="00234417">
        <w:rPr>
          <w:rStyle w:val="TextoNormalCaracter"/>
        </w:rPr>
        <w:t>, ff. 2 a 6.</w:t>
      </w:r>
    </w:p>
    <w:p w:rsidR="00234417" w:rsidRPr="00234417" w:rsidRDefault="00234417" w:rsidP="00234417">
      <w:pPr>
        <w:pStyle w:val="TextoNormalSangraFrancesa"/>
        <w:rPr>
          <w:rStyle w:val="TextoNormalCaracter"/>
        </w:rPr>
      </w:pPr>
      <w:bookmarkStart w:id="1674" w:name="DESCRIPTORALFABETICO590"/>
      <w:r w:rsidRPr="00234417">
        <w:rPr>
          <w:rStyle w:val="TextoNormalNegritaCaracter"/>
        </w:rPr>
        <w:t>Función pública autonómica</w:t>
      </w:r>
      <w:bookmarkEnd w:id="1674"/>
      <w:r w:rsidRPr="00234417">
        <w:rPr>
          <w:rStyle w:val="TextoNormalCaracter"/>
        </w:rPr>
        <w:t xml:space="preserve">, Auto </w:t>
      </w:r>
      <w:hyperlink w:anchor="AUTO_2013_85" w:history="1">
        <w:r w:rsidRPr="00234417">
          <w:rPr>
            <w:rStyle w:val="TextoNormalCaracter"/>
          </w:rPr>
          <w:t>85/2013</w:t>
        </w:r>
      </w:hyperlink>
      <w:r w:rsidRPr="00234417">
        <w:rPr>
          <w:rStyle w:val="TextoNormalCaracter"/>
        </w:rPr>
        <w:t>, ff. 2 a 6.</w:t>
      </w:r>
    </w:p>
    <w:p w:rsidR="00234417" w:rsidRPr="00234417" w:rsidRDefault="00234417" w:rsidP="00234417">
      <w:pPr>
        <w:pStyle w:val="TextoNormalSangraFrancesa"/>
        <w:rPr>
          <w:rStyle w:val="TextoNormalCaracter"/>
        </w:rPr>
      </w:pPr>
      <w:bookmarkStart w:id="1675" w:name="DESCRIPTORALFABETICO582"/>
      <w:r w:rsidRPr="00234417">
        <w:rPr>
          <w:rStyle w:val="TextoNormalNegritaCaracter"/>
        </w:rPr>
        <w:t>Funcionarios de carrera</w:t>
      </w:r>
      <w:bookmarkEnd w:id="1675"/>
      <w:r w:rsidRPr="00234417">
        <w:rPr>
          <w:rStyle w:val="TextoNormalCaracter"/>
        </w:rPr>
        <w:t xml:space="preserve">, Sentencia </w:t>
      </w:r>
      <w:hyperlink w:anchor="SENTENCIA_2013_6" w:history="1">
        <w:r w:rsidRPr="00234417">
          <w:rPr>
            <w:rStyle w:val="TextoNormalCaracter"/>
          </w:rPr>
          <w:t>6/2013</w:t>
        </w:r>
      </w:hyperlink>
      <w:r w:rsidRPr="00234417">
        <w:rPr>
          <w:rStyle w:val="TextoNormalCaracter"/>
        </w:rPr>
        <w:t>, f. 7.</w:t>
      </w:r>
    </w:p>
    <w:p w:rsidR="00234417" w:rsidRPr="00234417" w:rsidRDefault="00234417" w:rsidP="00234417">
      <w:pPr>
        <w:pStyle w:val="TextoNormalSangraFrancesa"/>
        <w:rPr>
          <w:rStyle w:val="TextoNormalCaracter"/>
        </w:rPr>
      </w:pPr>
      <w:bookmarkStart w:id="1676" w:name="DESCRIPTORALFABETICO581"/>
      <w:r w:rsidRPr="00234417">
        <w:rPr>
          <w:rStyle w:val="TextoNormalNegritaCaracter"/>
        </w:rPr>
        <w:t>Funcionarios públicos</w:t>
      </w:r>
      <w:bookmarkEnd w:id="1676"/>
      <w:r w:rsidRPr="00234417">
        <w:rPr>
          <w:rStyle w:val="TextoNormalCaracter"/>
        </w:rPr>
        <w:t xml:space="preserve">, Sentencias </w:t>
      </w:r>
      <w:hyperlink w:anchor="SENTENCIA_2013_3" w:history="1">
        <w:r w:rsidRPr="00234417">
          <w:rPr>
            <w:rStyle w:val="TextoNormalCaracter"/>
          </w:rPr>
          <w:t>3/2013</w:t>
        </w:r>
      </w:hyperlink>
      <w:r w:rsidRPr="00234417">
        <w:rPr>
          <w:rStyle w:val="TextoNormalCaracter"/>
        </w:rPr>
        <w:t xml:space="preserve">, ff. 6 a 8; </w:t>
      </w:r>
      <w:hyperlink w:anchor="SENTENCIA_2013_33" w:history="1">
        <w:r w:rsidRPr="00234417">
          <w:rPr>
            <w:rStyle w:val="TextoNormalCaracter"/>
          </w:rPr>
          <w:t>33/2013</w:t>
        </w:r>
      </w:hyperlink>
      <w:r w:rsidRPr="00234417">
        <w:rPr>
          <w:rStyle w:val="TextoNormalCaracter"/>
        </w:rPr>
        <w:t xml:space="preserve">, ff. 5, 6; </w:t>
      </w:r>
      <w:hyperlink w:anchor="SENTENCIA_2013_46" w:history="1">
        <w:r w:rsidRPr="00234417">
          <w:rPr>
            <w:rStyle w:val="TextoNormalCaracter"/>
          </w:rPr>
          <w:t>46/2013</w:t>
        </w:r>
      </w:hyperlink>
      <w:r w:rsidRPr="00234417">
        <w:rPr>
          <w:rStyle w:val="TextoNormalCaracter"/>
        </w:rPr>
        <w:t xml:space="preserve">, ff. 3, 4; </w:t>
      </w:r>
      <w:hyperlink w:anchor="SENTENCIA_2013_50" w:history="1">
        <w:r w:rsidRPr="00234417">
          <w:rPr>
            <w:rStyle w:val="TextoNormalCaracter"/>
          </w:rPr>
          <w:t>50/2013</w:t>
        </w:r>
      </w:hyperlink>
      <w:r w:rsidRPr="00234417">
        <w:rPr>
          <w:rStyle w:val="TextoNormalCaracter"/>
        </w:rPr>
        <w:t xml:space="preserve">, ff. 3, 4; </w:t>
      </w:r>
      <w:hyperlink w:anchor="SENTENCIA_2013_63" w:history="1">
        <w:r w:rsidRPr="00234417">
          <w:rPr>
            <w:rStyle w:val="TextoNormalCaracter"/>
          </w:rPr>
          <w:t>63/2013</w:t>
        </w:r>
      </w:hyperlink>
      <w:r w:rsidRPr="00234417">
        <w:rPr>
          <w:rStyle w:val="TextoNormalCaracter"/>
        </w:rPr>
        <w:t>, ff. 2, 3.</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85" w:history="1">
        <w:r w:rsidRPr="00234417">
          <w:rPr>
            <w:rStyle w:val="TextoNormalCaracter"/>
          </w:rPr>
          <w:t>85/2013</w:t>
        </w:r>
      </w:hyperlink>
      <w:r w:rsidRPr="00234417">
        <w:rPr>
          <w:rStyle w:val="TextoNormalCaracter"/>
        </w:rPr>
        <w:t xml:space="preserve">, ff. 4, 5, 6; </w:t>
      </w:r>
      <w:hyperlink w:anchor="AUTO_2013_125" w:history="1">
        <w:r w:rsidRPr="00234417">
          <w:rPr>
            <w:rStyle w:val="TextoNormalCaracter"/>
          </w:rPr>
          <w:t>125/2013</w:t>
        </w:r>
      </w:hyperlink>
      <w:r w:rsidRPr="00234417">
        <w:rPr>
          <w:rStyle w:val="TextoNormalCaracter"/>
        </w:rPr>
        <w:t xml:space="preserve">, f. 2; </w:t>
      </w:r>
      <w:hyperlink w:anchor="AUTO_2013_127" w:history="1">
        <w:r w:rsidRPr="00234417">
          <w:rPr>
            <w:rStyle w:val="TextoNormalCaracter"/>
          </w:rPr>
          <w:t>127/2013</w:t>
        </w:r>
      </w:hyperlink>
      <w:r w:rsidRPr="00234417">
        <w:rPr>
          <w:rStyle w:val="TextoNormalCaracter"/>
        </w:rPr>
        <w:t xml:space="preserve">, f. 2; </w:t>
      </w:r>
      <w:hyperlink w:anchor="AUTO_2013_128" w:history="1">
        <w:r w:rsidRPr="00234417">
          <w:rPr>
            <w:rStyle w:val="TextoNormalCaracter"/>
          </w:rPr>
          <w:t>128/2013</w:t>
        </w:r>
      </w:hyperlink>
      <w:r w:rsidRPr="00234417">
        <w:rPr>
          <w:rStyle w:val="TextoNormalCaracter"/>
        </w:rPr>
        <w:t>, f. 2.</w:t>
      </w:r>
    </w:p>
    <w:p w:rsidR="00234417" w:rsidRPr="00234417" w:rsidRDefault="00234417" w:rsidP="00234417">
      <w:pPr>
        <w:pStyle w:val="TextoNormalSangraFrancesa"/>
        <w:rPr>
          <w:rStyle w:val="TextoNormalCaracter"/>
        </w:rPr>
      </w:pPr>
      <w:bookmarkStart w:id="1677" w:name="DESCRIPTORALFABETICO726"/>
      <w:r w:rsidRPr="00234417">
        <w:rPr>
          <w:rStyle w:val="TextoNormalNegritaCaracter"/>
        </w:rPr>
        <w:t>Fundaciones</w:t>
      </w:r>
      <w:bookmarkEnd w:id="1677"/>
      <w:r w:rsidRPr="00234417">
        <w:rPr>
          <w:rStyle w:val="TextoNormalCaracter"/>
        </w:rPr>
        <w:t xml:space="preserve">, Sentencia </w:t>
      </w:r>
      <w:hyperlink w:anchor="SENTENCIA_2013_98" w:history="1">
        <w:r w:rsidRPr="00234417">
          <w:rPr>
            <w:rStyle w:val="TextoNormalCaracter"/>
          </w:rPr>
          <w:t>98/2013</w:t>
        </w:r>
      </w:hyperlink>
      <w:r w:rsidRPr="00234417">
        <w:rPr>
          <w:rStyle w:val="TextoNormalCaracter"/>
        </w:rPr>
        <w:t>, ff. 2, 3, 4, 5.</w:t>
      </w:r>
    </w:p>
    <w:p w:rsidR="00234417" w:rsidRPr="00234417" w:rsidRDefault="00234417" w:rsidP="00234417">
      <w:pPr>
        <w:pStyle w:val="TextoNormalSangraFrancesa"/>
        <w:rPr>
          <w:rStyle w:val="TextoNormalCaracter"/>
        </w:rPr>
      </w:pPr>
      <w:r w:rsidRPr="00234417">
        <w:rPr>
          <w:rStyle w:val="TextoNormalCursivaCaracter"/>
        </w:rPr>
        <w:t xml:space="preserve">    Concepto, </w:t>
      </w:r>
      <w:r w:rsidRPr="00234417">
        <w:rPr>
          <w:rStyle w:val="TextoNormalCaracter"/>
        </w:rPr>
        <w:t xml:space="preserve">Sentencia </w:t>
      </w:r>
      <w:hyperlink w:anchor="SENTENCIA_2013_98" w:history="1">
        <w:r w:rsidRPr="00234417">
          <w:rPr>
            <w:rStyle w:val="TextoNormalCaracter"/>
          </w:rPr>
          <w:t>98/2013</w:t>
        </w:r>
      </w:hyperlink>
      <w:r w:rsidRPr="00234417">
        <w:rPr>
          <w:rStyle w:val="TextoNormalCaracter"/>
        </w:rPr>
        <w:t>, f. 2.</w:t>
      </w:r>
    </w:p>
    <w:p w:rsidR="00234417" w:rsidRPr="00234417" w:rsidRDefault="00234417" w:rsidP="00234417">
      <w:pPr>
        <w:pStyle w:val="TextoNormalSangraFrancesa"/>
        <w:rPr>
          <w:rStyle w:val="TextoNormalCaracter"/>
        </w:rPr>
      </w:pPr>
      <w:bookmarkStart w:id="1678" w:name="DESCRIPTORALFABETICO292"/>
      <w:r w:rsidRPr="00234417">
        <w:rPr>
          <w:rStyle w:val="TextoNormalNegritaCaracter"/>
        </w:rPr>
        <w:t>Fundamentación de la demanda de inconstitucionalidad</w:t>
      </w:r>
      <w:bookmarkEnd w:id="1678"/>
      <w:r w:rsidRPr="00234417">
        <w:rPr>
          <w:rStyle w:val="TextoNormalCaracter"/>
        </w:rPr>
        <w:t xml:space="preserve">, Sentencia </w:t>
      </w:r>
      <w:hyperlink w:anchor="SENTENCIA_2013_85" w:history="1">
        <w:r w:rsidRPr="00234417">
          <w:rPr>
            <w:rStyle w:val="TextoNormalCaracter"/>
          </w:rPr>
          <w:t>85/2013</w:t>
        </w:r>
      </w:hyperlink>
      <w:r w:rsidRPr="00234417">
        <w:rPr>
          <w:rStyle w:val="TextoNormalCaracter"/>
        </w:rPr>
        <w:t>, f. 2.</w:t>
      </w:r>
    </w:p>
    <w:p w:rsidR="00234417" w:rsidRPr="00234417" w:rsidRDefault="00234417" w:rsidP="00234417">
      <w:pPr>
        <w:pStyle w:val="TextoNormalSangraFrancesa"/>
        <w:rPr>
          <w:rStyle w:val="TextoNormalCaracter"/>
        </w:rPr>
      </w:pPr>
      <w:bookmarkStart w:id="1679" w:name="DESCRIPTORALFABETICO727"/>
      <w:r w:rsidRPr="00234417">
        <w:rPr>
          <w:rStyle w:val="TextoNormalNegritaCaracter"/>
        </w:rPr>
        <w:t>Fusión de fundaciones</w:t>
      </w:r>
      <w:bookmarkEnd w:id="1679"/>
      <w:r w:rsidRPr="00234417">
        <w:rPr>
          <w:rStyle w:val="TextoNormalCaracter"/>
        </w:rPr>
        <w:t xml:space="preserve">, Sentencia </w:t>
      </w:r>
      <w:hyperlink w:anchor="SENTENCIA_2013_98" w:history="1">
        <w:r w:rsidRPr="00234417">
          <w:rPr>
            <w:rStyle w:val="TextoNormalCaracter"/>
          </w:rPr>
          <w:t>98/2013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680" w:name="DESCRIPTORALFABETICO459"/>
      <w:r w:rsidRPr="00234417">
        <w:rPr>
          <w:rStyle w:val="TextoNormalNegritaCaracter"/>
        </w:rPr>
        <w:t>Fusión de municipios</w:t>
      </w:r>
      <w:bookmarkEnd w:id="1680"/>
      <w:r w:rsidRPr="00234417">
        <w:rPr>
          <w:rStyle w:val="TextoNormalCaracter"/>
        </w:rPr>
        <w:t xml:space="preserve">, Sentencia </w:t>
      </w:r>
      <w:hyperlink w:anchor="SENTENCIA_2013_103" w:history="1">
        <w:r w:rsidRPr="00234417">
          <w:rPr>
            <w:rStyle w:val="TextoNormalCaracter"/>
          </w:rPr>
          <w:t>103/2013</w:t>
        </w:r>
      </w:hyperlink>
      <w:r w:rsidRPr="00234417">
        <w:rPr>
          <w:rStyle w:val="TextoNormalCaracter"/>
        </w:rPr>
        <w:t>, f. 5 b).</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G</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1681" w:name="DESCRIPTORALFABETICO944"/>
      <w:r w:rsidRPr="00234417">
        <w:rPr>
          <w:rStyle w:val="TextoNormalNegritaCaracter"/>
        </w:rPr>
        <w:t>Galicia</w:t>
      </w:r>
      <w:bookmarkEnd w:id="1681"/>
      <w:r w:rsidRPr="00234417">
        <w:rPr>
          <w:rStyle w:val="TextoNormalCaracter"/>
        </w:rPr>
        <w:t xml:space="preserve">, Sentencias </w:t>
      </w:r>
      <w:hyperlink w:anchor="SENTENCIA_2013_16" w:history="1">
        <w:r w:rsidRPr="00234417">
          <w:rPr>
            <w:rStyle w:val="TextoNormalCaracter"/>
          </w:rPr>
          <w:t>16/2013</w:t>
        </w:r>
      </w:hyperlink>
      <w:r w:rsidRPr="00234417">
        <w:rPr>
          <w:rStyle w:val="TextoNormalCaracter"/>
        </w:rPr>
        <w:t xml:space="preserve">, ff. 2 a 10; </w:t>
      </w:r>
      <w:hyperlink w:anchor="SENTENCIA_2013_40" w:history="1">
        <w:r w:rsidRPr="00234417">
          <w:rPr>
            <w:rStyle w:val="TextoNormalCaracter"/>
          </w:rPr>
          <w:t>40/2013</w:t>
        </w:r>
      </w:hyperlink>
      <w:r w:rsidRPr="00234417">
        <w:rPr>
          <w:rStyle w:val="TextoNormalCaracter"/>
        </w:rPr>
        <w:t>, f. 5.</w:t>
      </w:r>
    </w:p>
    <w:p w:rsidR="00234417" w:rsidRPr="00234417" w:rsidRDefault="00234417" w:rsidP="00234417">
      <w:pPr>
        <w:pStyle w:val="TextoNormalSangraFrancesa"/>
        <w:rPr>
          <w:rStyle w:val="TextoNormalNegritaCaracter"/>
        </w:rPr>
      </w:pPr>
      <w:r w:rsidRPr="00234417">
        <w:rPr>
          <w:rStyle w:val="TextoNormalCursivaCaracter"/>
        </w:rPr>
        <w:t>Garantía indemnizatoria</w:t>
      </w:r>
      <w:r>
        <w:t xml:space="preserve"> véase </w:t>
      </w:r>
      <w:hyperlink w:anchor="DESCRIPTORALFABETICO746" w:history="1">
        <w:r w:rsidRPr="00234417">
          <w:rPr>
            <w:rStyle w:val="TextoNormalNegritaCaracter"/>
          </w:rPr>
          <w:t>Indemnización</w:t>
        </w:r>
      </w:hyperlink>
    </w:p>
    <w:p w:rsidR="00234417" w:rsidRPr="00234417" w:rsidRDefault="00234417" w:rsidP="00234417">
      <w:pPr>
        <w:pStyle w:val="TextoNormalSangraFrancesa"/>
        <w:rPr>
          <w:rStyle w:val="TextoNormalCaracter"/>
        </w:rPr>
      </w:pPr>
      <w:bookmarkStart w:id="1682" w:name="DESCRIPTORALFABETICO426"/>
      <w:r w:rsidRPr="00234417">
        <w:rPr>
          <w:rStyle w:val="TextoNormalNegritaCaracter"/>
        </w:rPr>
        <w:t>Garantías constitucionales</w:t>
      </w:r>
      <w:bookmarkEnd w:id="1682"/>
      <w:r w:rsidRPr="00234417">
        <w:rPr>
          <w:rStyle w:val="TextoNormalCaracter"/>
        </w:rPr>
        <w:t xml:space="preserve">, Sentencias </w:t>
      </w:r>
      <w:hyperlink w:anchor="SENTENCIA_2013_17" w:history="1">
        <w:r w:rsidRPr="00234417">
          <w:rPr>
            <w:rStyle w:val="TextoNormalCaracter"/>
          </w:rPr>
          <w:t>17/2013</w:t>
        </w:r>
      </w:hyperlink>
      <w:r w:rsidRPr="00234417">
        <w:rPr>
          <w:rStyle w:val="TextoNormalCaracter"/>
        </w:rPr>
        <w:t xml:space="preserve">, ff. 11, 12; </w:t>
      </w:r>
      <w:hyperlink w:anchor="SENTENCIA_2013_30" w:history="1">
        <w:r w:rsidRPr="00234417">
          <w:rPr>
            <w:rStyle w:val="TextoNormalCaracter"/>
          </w:rPr>
          <w:t>30/2013</w:t>
        </w:r>
      </w:hyperlink>
      <w:r w:rsidRPr="00234417">
        <w:rPr>
          <w:rStyle w:val="TextoNormalCaracter"/>
        </w:rPr>
        <w:t xml:space="preserve">, ff. 1 a 3; </w:t>
      </w:r>
      <w:hyperlink w:anchor="SENTENCIA_2013_45" w:history="1">
        <w:r w:rsidRPr="00234417">
          <w:rPr>
            <w:rStyle w:val="TextoNormalCaracter"/>
          </w:rPr>
          <w:t>45/2013</w:t>
        </w:r>
      </w:hyperlink>
      <w:r w:rsidRPr="00234417">
        <w:rPr>
          <w:rStyle w:val="TextoNormalCaracter"/>
        </w:rPr>
        <w:t>, f. 2.</w:t>
      </w:r>
    </w:p>
    <w:p w:rsidR="00234417" w:rsidRPr="00234417" w:rsidRDefault="00234417" w:rsidP="00234417">
      <w:pPr>
        <w:pStyle w:val="TextoNormalSangraFrancesa"/>
        <w:rPr>
          <w:rStyle w:val="TextoNormalCaracter"/>
        </w:rPr>
      </w:pPr>
      <w:bookmarkStart w:id="1683" w:name="DESCRIPTORALFABETICO900"/>
      <w:r w:rsidRPr="00234417">
        <w:rPr>
          <w:rStyle w:val="TextoNormalNegritaCaracter"/>
        </w:rPr>
        <w:t>Garantías en procedimiento de extradición</w:t>
      </w:r>
      <w:bookmarkEnd w:id="1683"/>
      <w:r w:rsidRPr="00234417">
        <w:rPr>
          <w:rStyle w:val="TextoNormalCaracter"/>
        </w:rPr>
        <w:t xml:space="preserve">, Sentencia </w:t>
      </w:r>
      <w:hyperlink w:anchor="SENTENCIA_2013_31" w:history="1">
        <w:r w:rsidRPr="00234417">
          <w:rPr>
            <w:rStyle w:val="TextoNormalCaracter"/>
          </w:rPr>
          <w:t>31/2013</w:t>
        </w:r>
      </w:hyperlink>
      <w:r w:rsidRPr="00234417">
        <w:rPr>
          <w:rStyle w:val="TextoNormalCaracter"/>
        </w:rPr>
        <w:t>, ff. 5 a 7.</w:t>
      </w:r>
    </w:p>
    <w:p w:rsidR="00234417" w:rsidRPr="00234417" w:rsidRDefault="00234417" w:rsidP="00234417">
      <w:pPr>
        <w:pStyle w:val="TextoNormalSangraFrancesa"/>
        <w:rPr>
          <w:rStyle w:val="TextoNormalCaracter"/>
        </w:rPr>
      </w:pPr>
      <w:bookmarkStart w:id="1684" w:name="DESCRIPTORALFABETICO427"/>
      <w:r w:rsidRPr="00234417">
        <w:rPr>
          <w:rStyle w:val="TextoNormalNegritaCaracter"/>
        </w:rPr>
        <w:t>Garantías institucionales</w:t>
      </w:r>
      <w:bookmarkEnd w:id="1684"/>
      <w:r w:rsidRPr="00234417">
        <w:rPr>
          <w:rStyle w:val="TextoNormalCaracter"/>
        </w:rPr>
        <w:t xml:space="preserve">, Sentencias </w:t>
      </w:r>
      <w:hyperlink w:anchor="SENTENCIA_2013_20" w:history="1">
        <w:r w:rsidRPr="00234417">
          <w:rPr>
            <w:rStyle w:val="TextoNormalCaracter"/>
          </w:rPr>
          <w:t>20/2013</w:t>
        </w:r>
      </w:hyperlink>
      <w:r w:rsidRPr="00234417">
        <w:rPr>
          <w:rStyle w:val="TextoNormalCaracter"/>
        </w:rPr>
        <w:t xml:space="preserve">, f. 4; </w:t>
      </w:r>
      <w:hyperlink w:anchor="SENTENCIA_2013_36" w:history="1">
        <w:r w:rsidRPr="00234417">
          <w:rPr>
            <w:rStyle w:val="TextoNormalCaracter"/>
          </w:rPr>
          <w:t>36/2013</w:t>
        </w:r>
      </w:hyperlink>
      <w:r w:rsidRPr="00234417">
        <w:rPr>
          <w:rStyle w:val="TextoNormalCaracter"/>
        </w:rPr>
        <w:t xml:space="preserve">, f. 4;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xml:space="preserve">, f. 4; </w:t>
      </w:r>
      <w:hyperlink w:anchor="SENTENCIA_2013_103" w:history="1">
        <w:r w:rsidRPr="00234417">
          <w:rPr>
            <w:rStyle w:val="TextoNormalCaracter"/>
          </w:rPr>
          <w:t>103/2013</w:t>
        </w:r>
      </w:hyperlink>
      <w:r w:rsidRPr="00234417">
        <w:rPr>
          <w:rStyle w:val="TextoNormalCaracter"/>
        </w:rPr>
        <w:t>, ff. 2, 4 a 6, VP.</w:t>
      </w:r>
    </w:p>
    <w:p w:rsidR="00234417" w:rsidRPr="00234417" w:rsidRDefault="00234417" w:rsidP="00234417">
      <w:pPr>
        <w:pStyle w:val="TextoNormalSangraFrancesa"/>
        <w:rPr>
          <w:rStyle w:val="TextoNormalCaracter"/>
        </w:rPr>
      </w:pPr>
      <w:r w:rsidRPr="00234417">
        <w:rPr>
          <w:rStyle w:val="TextoNormalCursivaCaracter"/>
        </w:rPr>
        <w:t xml:space="preserve">    Concepto, </w:t>
      </w:r>
      <w:r w:rsidRPr="00234417">
        <w:rPr>
          <w:rStyle w:val="TextoNormalCaracter"/>
        </w:rPr>
        <w:t xml:space="preserve">Sentencia </w:t>
      </w:r>
      <w:hyperlink w:anchor="SENTENCIA_2013_101" w:history="1">
        <w:r w:rsidRPr="00234417">
          <w:rPr>
            <w:rStyle w:val="TextoNormalCaracter"/>
          </w:rPr>
          <w:t>101/2013</w:t>
        </w:r>
      </w:hyperlink>
      <w:r w:rsidRPr="00234417">
        <w:rPr>
          <w:rStyle w:val="TextoNormalCaracter"/>
        </w:rPr>
        <w:t>, f. 11.</w:t>
      </w:r>
    </w:p>
    <w:p w:rsidR="00234417" w:rsidRPr="00234417" w:rsidRDefault="00234417" w:rsidP="00234417">
      <w:pPr>
        <w:pStyle w:val="TextoNormalSangraFrancesa"/>
        <w:rPr>
          <w:rStyle w:val="TextoNormalCaracter"/>
        </w:rPr>
      </w:pPr>
      <w:bookmarkStart w:id="1685" w:name="DESCRIPTORALFABETICO191"/>
      <w:r w:rsidRPr="00234417">
        <w:rPr>
          <w:rStyle w:val="TextoNormalNegritaCaracter"/>
        </w:rPr>
        <w:t>Garantías procesales en el procedimiento administrativo sancionador</w:t>
      </w:r>
      <w:bookmarkEnd w:id="1685"/>
      <w:r w:rsidRPr="00234417">
        <w:rPr>
          <w:rStyle w:val="TextoNormalCaracter"/>
        </w:rPr>
        <w:t xml:space="preserve">, Sentencias </w:t>
      </w:r>
      <w:hyperlink w:anchor="SENTENCIA_2013_30" w:history="1">
        <w:r w:rsidRPr="00234417">
          <w:rPr>
            <w:rStyle w:val="TextoNormalCaracter"/>
          </w:rPr>
          <w:t>30/2013</w:t>
        </w:r>
      </w:hyperlink>
      <w:r w:rsidRPr="00234417">
        <w:rPr>
          <w:rStyle w:val="TextoNormalCaracter"/>
        </w:rPr>
        <w:t xml:space="preserve">, ff. 1 a 3; </w:t>
      </w:r>
      <w:hyperlink w:anchor="SENTENCIA_2013_45" w:history="1">
        <w:r w:rsidRPr="00234417">
          <w:rPr>
            <w:rStyle w:val="TextoNormalCaracter"/>
          </w:rPr>
          <w:t>45/2013</w:t>
        </w:r>
      </w:hyperlink>
      <w:r w:rsidRPr="00234417">
        <w:rPr>
          <w:rStyle w:val="TextoNormalCaracter"/>
        </w:rPr>
        <w:t>, f. 2.</w:t>
      </w:r>
    </w:p>
    <w:p w:rsidR="00234417" w:rsidRPr="00234417" w:rsidRDefault="00234417" w:rsidP="00234417">
      <w:pPr>
        <w:pStyle w:val="TextoNormalSangraFrancesa"/>
        <w:rPr>
          <w:rStyle w:val="TextoNormalCaracter"/>
        </w:rPr>
      </w:pPr>
      <w:bookmarkStart w:id="1686" w:name="DESCRIPTORALFABETICO82"/>
      <w:r w:rsidRPr="00234417">
        <w:rPr>
          <w:rStyle w:val="TextoNormalNegritaCaracter"/>
        </w:rPr>
        <w:t>Gasto público</w:t>
      </w:r>
      <w:bookmarkEnd w:id="1686"/>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 2; </w:t>
      </w:r>
      <w:hyperlink w:anchor="SENTENCIA_2013_21" w:history="1">
        <w:r w:rsidRPr="00234417">
          <w:rPr>
            <w:rStyle w:val="TextoNormalCaracter"/>
          </w:rPr>
          <w:t>21/2013</w:t>
        </w:r>
      </w:hyperlink>
      <w:r w:rsidRPr="00234417">
        <w:rPr>
          <w:rStyle w:val="TextoNormalCaracter"/>
        </w:rPr>
        <w:t xml:space="preserve">, f. 6; </w:t>
      </w:r>
      <w:hyperlink w:anchor="SENTENCIA_2013_23" w:history="1">
        <w:r w:rsidRPr="00234417">
          <w:rPr>
            <w:rStyle w:val="TextoNormalCaracter"/>
          </w:rPr>
          <w:t>23/2013</w:t>
        </w:r>
      </w:hyperlink>
      <w:r w:rsidRPr="00234417">
        <w:rPr>
          <w:rStyle w:val="TextoNormalCaracter"/>
        </w:rPr>
        <w:t xml:space="preserve">, f. 5; </w:t>
      </w:r>
      <w:hyperlink w:anchor="SENTENCIA_2013_26" w:history="1">
        <w:r w:rsidRPr="00234417">
          <w:rPr>
            <w:rStyle w:val="TextoNormalCaracter"/>
          </w:rPr>
          <w:t>26/2013</w:t>
        </w:r>
      </w:hyperlink>
      <w:r w:rsidRPr="00234417">
        <w:rPr>
          <w:rStyle w:val="TextoNormalCaracter"/>
        </w:rPr>
        <w:t xml:space="preserve">, f. 7; </w:t>
      </w:r>
      <w:hyperlink w:anchor="SENTENCIA_2013_36" w:history="1">
        <w:r w:rsidRPr="00234417">
          <w:rPr>
            <w:rStyle w:val="TextoNormalCaracter"/>
          </w:rPr>
          <w:t>36/2013</w:t>
        </w:r>
      </w:hyperlink>
      <w:r w:rsidRPr="00234417">
        <w:rPr>
          <w:rStyle w:val="TextoNormalCaracter"/>
        </w:rPr>
        <w:t xml:space="preserve">, f. 9; </w:t>
      </w:r>
      <w:hyperlink w:anchor="SENTENCIA_2013_40" w:history="1">
        <w:r w:rsidRPr="00234417">
          <w:rPr>
            <w:rStyle w:val="TextoNormalCaracter"/>
          </w:rPr>
          <w:t>40/2013</w:t>
        </w:r>
      </w:hyperlink>
      <w:r w:rsidRPr="00234417">
        <w:rPr>
          <w:rStyle w:val="TextoNormalCaracter"/>
        </w:rPr>
        <w:t xml:space="preserve">, f. 6; </w:t>
      </w:r>
      <w:hyperlink w:anchor="SENTENCIA_2013_52" w:history="1">
        <w:r w:rsidRPr="00234417">
          <w:rPr>
            <w:rStyle w:val="TextoNormalCaracter"/>
          </w:rPr>
          <w:t>52/2013</w:t>
        </w:r>
      </w:hyperlink>
      <w:r w:rsidRPr="00234417">
        <w:rPr>
          <w:rStyle w:val="TextoNormalCaracter"/>
        </w:rPr>
        <w:t xml:space="preserve">, ff. 6, 7; </w:t>
      </w:r>
      <w:hyperlink w:anchor="SENTENCIA_2013_70" w:history="1">
        <w:r w:rsidRPr="00234417">
          <w:rPr>
            <w:rStyle w:val="TextoNormalCaracter"/>
          </w:rPr>
          <w:t>70/2013</w:t>
        </w:r>
      </w:hyperlink>
      <w:r w:rsidRPr="00234417">
        <w:rPr>
          <w:rStyle w:val="TextoNormalCaracter"/>
        </w:rPr>
        <w:t xml:space="preserve">, ff. 6, 7; </w:t>
      </w:r>
      <w:hyperlink w:anchor="SENTENCIA_2013_112" w:history="1">
        <w:r w:rsidRPr="00234417">
          <w:rPr>
            <w:rStyle w:val="TextoNormalCaracter"/>
          </w:rPr>
          <w:t>112/2013</w:t>
        </w:r>
      </w:hyperlink>
      <w:r w:rsidRPr="00234417">
        <w:rPr>
          <w:rStyle w:val="TextoNormalCaracter"/>
        </w:rPr>
        <w:t xml:space="preserve">, f. 3; </w:t>
      </w:r>
      <w:hyperlink w:anchor="SENTENCIA_2013_113" w:history="1">
        <w:r w:rsidRPr="00234417">
          <w:rPr>
            <w:rStyle w:val="TextoNormalCaracter"/>
          </w:rPr>
          <w:t>113/2013</w:t>
        </w:r>
      </w:hyperlink>
      <w:r w:rsidRPr="00234417">
        <w:rPr>
          <w:rStyle w:val="TextoNormalCaracter"/>
        </w:rPr>
        <w:t xml:space="preserve">, ff. 4 a 7; </w:t>
      </w:r>
      <w:hyperlink w:anchor="SENTENCIA_2013_130" w:history="1">
        <w:r w:rsidRPr="00234417">
          <w:rPr>
            <w:rStyle w:val="TextoNormalCaracter"/>
          </w:rPr>
          <w:t>130/2013</w:t>
        </w:r>
      </w:hyperlink>
      <w:r w:rsidRPr="00234417">
        <w:rPr>
          <w:rStyle w:val="TextoNormalCaracter"/>
        </w:rPr>
        <w:t xml:space="preserve">, ff. 5, 6, 7, 8, VP; </w:t>
      </w:r>
      <w:hyperlink w:anchor="SENTENCIA_2013_135" w:history="1">
        <w:r w:rsidRPr="00234417">
          <w:rPr>
            <w:rStyle w:val="TextoNormalCaracter"/>
          </w:rPr>
          <w:t>135/2013</w:t>
        </w:r>
      </w:hyperlink>
      <w:r w:rsidRPr="00234417">
        <w:rPr>
          <w:rStyle w:val="TextoNormalCaracter"/>
        </w:rPr>
        <w:t>, ff. 3, 5, 6.</w:t>
      </w:r>
    </w:p>
    <w:p w:rsidR="00234417" w:rsidRPr="00234417" w:rsidRDefault="00234417" w:rsidP="00234417">
      <w:pPr>
        <w:pStyle w:val="TextoNormalSangraFrancesa"/>
        <w:rPr>
          <w:rStyle w:val="TextoNormalCaracter"/>
        </w:rPr>
      </w:pPr>
      <w:bookmarkStart w:id="1687" w:name="DESCRIPTORALFABETICO574"/>
      <w:r w:rsidRPr="00234417">
        <w:rPr>
          <w:rStyle w:val="TextoNormalNegritaCaracter"/>
        </w:rPr>
        <w:t>Gestión autonómica de subvenciones públicas</w:t>
      </w:r>
      <w:bookmarkEnd w:id="1687"/>
      <w:r w:rsidRPr="00234417">
        <w:rPr>
          <w:rStyle w:val="TextoNormalCaracter"/>
        </w:rPr>
        <w:t xml:space="preserve">, Sentencias </w:t>
      </w:r>
      <w:hyperlink w:anchor="SENTENCIA_2013_16" w:history="1">
        <w:r w:rsidRPr="00234417">
          <w:rPr>
            <w:rStyle w:val="TextoNormalCaracter"/>
          </w:rPr>
          <w:t>16/2013</w:t>
        </w:r>
      </w:hyperlink>
      <w:r w:rsidRPr="00234417">
        <w:rPr>
          <w:rStyle w:val="TextoNormalCaracter"/>
        </w:rPr>
        <w:t xml:space="preserve">, ff. 6, 8; </w:t>
      </w:r>
      <w:hyperlink w:anchor="SENTENCIA_2013_21" w:history="1">
        <w:r w:rsidRPr="00234417">
          <w:rPr>
            <w:rStyle w:val="TextoNormalCaracter"/>
          </w:rPr>
          <w:t>21/2013</w:t>
        </w:r>
      </w:hyperlink>
      <w:r w:rsidRPr="00234417">
        <w:rPr>
          <w:rStyle w:val="TextoNormalCaracter"/>
        </w:rPr>
        <w:t xml:space="preserve">, f. 6; </w:t>
      </w:r>
      <w:hyperlink w:anchor="SENTENCIA_2013_23" w:history="1">
        <w:r w:rsidRPr="00234417">
          <w:rPr>
            <w:rStyle w:val="TextoNormalCaracter"/>
          </w:rPr>
          <w:t>23/2013</w:t>
        </w:r>
      </w:hyperlink>
      <w:r w:rsidRPr="00234417">
        <w:rPr>
          <w:rStyle w:val="TextoNormalCaracter"/>
        </w:rPr>
        <w:t xml:space="preserve">, f. 5; </w:t>
      </w:r>
      <w:hyperlink w:anchor="SENTENCIA_2013_26" w:history="1">
        <w:r w:rsidRPr="00234417">
          <w:rPr>
            <w:rStyle w:val="TextoNormalCaracter"/>
          </w:rPr>
          <w:t>26/2013</w:t>
        </w:r>
      </w:hyperlink>
      <w:r w:rsidRPr="00234417">
        <w:rPr>
          <w:rStyle w:val="TextoNormalCaracter"/>
        </w:rPr>
        <w:t xml:space="preserve">, ff. 7, 8; </w:t>
      </w:r>
      <w:hyperlink w:anchor="SENTENCIA_2013_35" w:history="1">
        <w:r w:rsidRPr="00234417">
          <w:rPr>
            <w:rStyle w:val="TextoNormalCaracter"/>
          </w:rPr>
          <w:t>35/2013</w:t>
        </w:r>
      </w:hyperlink>
      <w:r w:rsidRPr="00234417">
        <w:rPr>
          <w:rStyle w:val="TextoNormalCaracter"/>
        </w:rPr>
        <w:t xml:space="preserve">, f. 7; </w:t>
      </w:r>
      <w:hyperlink w:anchor="SENTENCIA_2013_40" w:history="1">
        <w:r w:rsidRPr="00234417">
          <w:rPr>
            <w:rStyle w:val="TextoNormalCaracter"/>
          </w:rPr>
          <w:t>40/2013</w:t>
        </w:r>
      </w:hyperlink>
      <w:r w:rsidRPr="00234417">
        <w:rPr>
          <w:rStyle w:val="TextoNormalCaracter"/>
        </w:rPr>
        <w:t xml:space="preserve">, f. 6; </w:t>
      </w:r>
      <w:hyperlink w:anchor="SENTENCIA_2013_52" w:history="1">
        <w:r w:rsidRPr="00234417">
          <w:rPr>
            <w:rStyle w:val="TextoNormalCaracter"/>
          </w:rPr>
          <w:t>52/2013</w:t>
        </w:r>
      </w:hyperlink>
      <w:r w:rsidRPr="00234417">
        <w:rPr>
          <w:rStyle w:val="TextoNormalCaracter"/>
        </w:rPr>
        <w:t xml:space="preserve">, ff. 2, 3, 4, 5, 6, 7; </w:t>
      </w:r>
      <w:hyperlink w:anchor="SENTENCIA_2013_62" w:history="1">
        <w:r w:rsidRPr="00234417">
          <w:rPr>
            <w:rStyle w:val="TextoNormalCaracter"/>
          </w:rPr>
          <w:t>62/2013</w:t>
        </w:r>
      </w:hyperlink>
      <w:r w:rsidRPr="00234417">
        <w:rPr>
          <w:rStyle w:val="TextoNormalCaracter"/>
        </w:rPr>
        <w:t xml:space="preserve">, f. 4; </w:t>
      </w:r>
      <w:hyperlink w:anchor="SENTENCIA_2013_70" w:history="1">
        <w:r w:rsidRPr="00234417">
          <w:rPr>
            <w:rStyle w:val="TextoNormalCaracter"/>
          </w:rPr>
          <w:t>70/2013</w:t>
        </w:r>
      </w:hyperlink>
      <w:r w:rsidRPr="00234417">
        <w:rPr>
          <w:rStyle w:val="TextoNormalCaracter"/>
        </w:rPr>
        <w:t xml:space="preserve">, f. 6; </w:t>
      </w:r>
      <w:hyperlink w:anchor="SENTENCIA_2013_113" w:history="1">
        <w:r w:rsidRPr="00234417">
          <w:rPr>
            <w:rStyle w:val="TextoNormalCaracter"/>
          </w:rPr>
          <w:t>113/2013</w:t>
        </w:r>
      </w:hyperlink>
      <w:r w:rsidRPr="00234417">
        <w:rPr>
          <w:rStyle w:val="TextoNormalCaracter"/>
        </w:rPr>
        <w:t>, ff. 3 a 8.</w:t>
      </w:r>
    </w:p>
    <w:p w:rsidR="00234417" w:rsidRPr="00234417" w:rsidRDefault="00234417" w:rsidP="00234417">
      <w:pPr>
        <w:pStyle w:val="TextoNormalSangraFrancesa"/>
        <w:rPr>
          <w:rStyle w:val="TextoNormalCaracter"/>
        </w:rPr>
      </w:pPr>
      <w:bookmarkStart w:id="1688" w:name="DESCRIPTORALFABETICO21"/>
      <w:r w:rsidRPr="00234417">
        <w:rPr>
          <w:rStyle w:val="TextoNormalNegritaCaracter"/>
        </w:rPr>
        <w:t>Gestión centralizada de competencias de ejecución</w:t>
      </w:r>
      <w:bookmarkEnd w:id="1688"/>
      <w:r w:rsidRPr="00234417">
        <w:rPr>
          <w:rStyle w:val="TextoNormalCaracter"/>
        </w:rPr>
        <w:t xml:space="preserve">, Sentencias </w:t>
      </w:r>
      <w:hyperlink w:anchor="SENTENCIA_2013_37" w:history="1">
        <w:r w:rsidRPr="00234417">
          <w:rPr>
            <w:rStyle w:val="TextoNormalCaracter"/>
          </w:rPr>
          <w:t>37/2013</w:t>
        </w:r>
      </w:hyperlink>
      <w:r w:rsidRPr="00234417">
        <w:rPr>
          <w:rStyle w:val="TextoNormalCaracter"/>
        </w:rPr>
        <w:t xml:space="preserve">, ff. 4 a 6; </w:t>
      </w:r>
      <w:hyperlink w:anchor="SENTENCIA_2013_113" w:history="1">
        <w:r w:rsidRPr="00234417">
          <w:rPr>
            <w:rStyle w:val="TextoNormalCaracter"/>
          </w:rPr>
          <w:t>113/2013</w:t>
        </w:r>
      </w:hyperlink>
      <w:r w:rsidRPr="00234417">
        <w:rPr>
          <w:rStyle w:val="TextoNormalCaracter"/>
        </w:rPr>
        <w:t>, f. 5.</w:t>
      </w:r>
    </w:p>
    <w:p w:rsidR="00234417" w:rsidRPr="00234417" w:rsidRDefault="00234417" w:rsidP="00234417">
      <w:pPr>
        <w:pStyle w:val="TextoNormalSangraFrancesa"/>
        <w:rPr>
          <w:rStyle w:val="TextoNormalCaracter"/>
        </w:rPr>
      </w:pPr>
      <w:bookmarkStart w:id="1689" w:name="DESCRIPTORALFABETICO573"/>
      <w:r w:rsidRPr="00234417">
        <w:rPr>
          <w:rStyle w:val="TextoNormalNegritaCaracter"/>
        </w:rPr>
        <w:t>Gestión de subvenciones públicas</w:t>
      </w:r>
      <w:bookmarkEnd w:id="1689"/>
      <w:r w:rsidRPr="00234417">
        <w:rPr>
          <w:rStyle w:val="TextoNormalCaracter"/>
        </w:rPr>
        <w:t xml:space="preserve">, Sentencias </w:t>
      </w:r>
      <w:hyperlink w:anchor="SENTENCIA_2013_7" w:history="1">
        <w:r w:rsidRPr="00234417">
          <w:rPr>
            <w:rStyle w:val="TextoNormalCaracter"/>
          </w:rPr>
          <w:t>7/2013</w:t>
        </w:r>
      </w:hyperlink>
      <w:r w:rsidRPr="00234417">
        <w:rPr>
          <w:rStyle w:val="TextoNormalCaracter"/>
        </w:rPr>
        <w:t xml:space="preserve">, f. 4; </w:t>
      </w:r>
      <w:hyperlink w:anchor="SENTENCIA_2013_21" w:history="1">
        <w:r w:rsidRPr="00234417">
          <w:rPr>
            <w:rStyle w:val="TextoNormalCaracter"/>
          </w:rPr>
          <w:t>21/2013</w:t>
        </w:r>
      </w:hyperlink>
      <w:r w:rsidRPr="00234417">
        <w:rPr>
          <w:rStyle w:val="TextoNormalCaracter"/>
        </w:rPr>
        <w:t xml:space="preserve">, f. 6; </w:t>
      </w:r>
      <w:hyperlink w:anchor="SENTENCIA_2013_23" w:history="1">
        <w:r w:rsidRPr="00234417">
          <w:rPr>
            <w:rStyle w:val="TextoNormalCaracter"/>
          </w:rPr>
          <w:t>23/2013</w:t>
        </w:r>
      </w:hyperlink>
      <w:r w:rsidRPr="00234417">
        <w:rPr>
          <w:rStyle w:val="TextoNormalCaracter"/>
        </w:rPr>
        <w:t xml:space="preserve">, ff. 3, 4, 5; </w:t>
      </w:r>
      <w:hyperlink w:anchor="SENTENCIA_2013_37" w:history="1">
        <w:r w:rsidRPr="00234417">
          <w:rPr>
            <w:rStyle w:val="TextoNormalCaracter"/>
          </w:rPr>
          <w:t>37/2013</w:t>
        </w:r>
      </w:hyperlink>
      <w:r w:rsidRPr="00234417">
        <w:rPr>
          <w:rStyle w:val="TextoNormalCaracter"/>
        </w:rPr>
        <w:t xml:space="preserve">, ff. 4 a 6; </w:t>
      </w:r>
      <w:hyperlink w:anchor="SENTENCIA_2013_52" w:history="1">
        <w:r w:rsidRPr="00234417">
          <w:rPr>
            <w:rStyle w:val="TextoNormalCaracter"/>
          </w:rPr>
          <w:t>52/2013</w:t>
        </w:r>
      </w:hyperlink>
      <w:r w:rsidRPr="00234417">
        <w:rPr>
          <w:rStyle w:val="TextoNormalCaracter"/>
        </w:rPr>
        <w:t xml:space="preserve">, ff. 2 a 7; </w:t>
      </w:r>
      <w:hyperlink w:anchor="SENTENCIA_2013_65" w:history="1">
        <w:r w:rsidRPr="00234417">
          <w:rPr>
            <w:rStyle w:val="TextoNormalCaracter"/>
          </w:rPr>
          <w:t>65/2013</w:t>
        </w:r>
      </w:hyperlink>
      <w:r w:rsidRPr="00234417">
        <w:rPr>
          <w:rStyle w:val="TextoNormalCaracter"/>
        </w:rPr>
        <w:t xml:space="preserve">, ff. 2, 4; </w:t>
      </w:r>
      <w:hyperlink w:anchor="SENTENCIA_2013_70" w:history="1">
        <w:r w:rsidRPr="00234417">
          <w:rPr>
            <w:rStyle w:val="TextoNormalCaracter"/>
          </w:rPr>
          <w:t>70/2013</w:t>
        </w:r>
      </w:hyperlink>
      <w:r w:rsidRPr="00234417">
        <w:rPr>
          <w:rStyle w:val="TextoNormalCaracter"/>
        </w:rPr>
        <w:t xml:space="preserve">, ff. 5 a 7; </w:t>
      </w:r>
      <w:hyperlink w:anchor="SENTENCIA_2013_112" w:history="1">
        <w:r w:rsidRPr="00234417">
          <w:rPr>
            <w:rStyle w:val="TextoNormalCaracter"/>
          </w:rPr>
          <w:t>112/2013</w:t>
        </w:r>
      </w:hyperlink>
      <w:r w:rsidRPr="00234417">
        <w:rPr>
          <w:rStyle w:val="TextoNormalCaracter"/>
        </w:rPr>
        <w:t xml:space="preserve">, f. 3; </w:t>
      </w:r>
      <w:hyperlink w:anchor="SENTENCIA_2013_130" w:history="1">
        <w:r w:rsidRPr="00234417">
          <w:rPr>
            <w:rStyle w:val="TextoNormalCaracter"/>
          </w:rPr>
          <w:t>130/2013</w:t>
        </w:r>
      </w:hyperlink>
      <w:r w:rsidRPr="00234417">
        <w:rPr>
          <w:rStyle w:val="TextoNormalCaracter"/>
        </w:rPr>
        <w:t>, ff. 3 a 14, VP.</w:t>
      </w:r>
    </w:p>
    <w:p w:rsidR="00234417" w:rsidRPr="00234417" w:rsidRDefault="00234417" w:rsidP="00234417">
      <w:pPr>
        <w:pStyle w:val="TextoNormalSangraFrancesa"/>
        <w:rPr>
          <w:rStyle w:val="TextoNormalCaracter"/>
        </w:rPr>
      </w:pPr>
      <w:bookmarkStart w:id="1690" w:name="DESCRIPTORALFABETICO576"/>
      <w:r w:rsidRPr="00234417">
        <w:rPr>
          <w:rStyle w:val="TextoNormalNegritaCaracter"/>
        </w:rPr>
        <w:t>Gestión estatal de subvenciones públicas</w:t>
      </w:r>
      <w:bookmarkEnd w:id="1690"/>
      <w:r w:rsidRPr="00234417">
        <w:rPr>
          <w:rStyle w:val="TextoNormalCaracter"/>
        </w:rPr>
        <w:t xml:space="preserve">, Sentencias </w:t>
      </w:r>
      <w:hyperlink w:anchor="SENTENCIA_2013_37" w:history="1">
        <w:r w:rsidRPr="00234417">
          <w:rPr>
            <w:rStyle w:val="TextoNormalCaracter"/>
          </w:rPr>
          <w:t>37/2013</w:t>
        </w:r>
      </w:hyperlink>
      <w:r w:rsidRPr="00234417">
        <w:rPr>
          <w:rStyle w:val="TextoNormalCaracter"/>
        </w:rPr>
        <w:t xml:space="preserve">, ff. 4 a 6; </w:t>
      </w:r>
      <w:hyperlink w:anchor="SENTENCIA_2013_113" w:history="1">
        <w:r w:rsidRPr="00234417">
          <w:rPr>
            <w:rStyle w:val="TextoNormalCaracter"/>
          </w:rPr>
          <w:t>113/2013</w:t>
        </w:r>
      </w:hyperlink>
      <w:r w:rsidRPr="00234417">
        <w:rPr>
          <w:rStyle w:val="TextoNormalCaracter"/>
        </w:rPr>
        <w:t>, f. 5.</w:t>
      </w:r>
    </w:p>
    <w:p w:rsidR="00234417" w:rsidRPr="00234417" w:rsidRDefault="00234417" w:rsidP="00234417">
      <w:pPr>
        <w:pStyle w:val="TextoNormalSangraFrancesa"/>
        <w:rPr>
          <w:rStyle w:val="TextoNormalCaracter"/>
        </w:rPr>
      </w:pPr>
      <w:bookmarkStart w:id="1691" w:name="DESCRIPTORALFABETICO110"/>
      <w:r w:rsidRPr="00234417">
        <w:rPr>
          <w:rStyle w:val="TextoNormalNegritaCaracter"/>
        </w:rPr>
        <w:t>Gestión tributaria</w:t>
      </w:r>
      <w:bookmarkEnd w:id="1691"/>
      <w:r w:rsidRPr="00234417">
        <w:rPr>
          <w:rStyle w:val="TextoNormalCaracter"/>
        </w:rPr>
        <w:t xml:space="preserve">, Sentencia </w:t>
      </w:r>
      <w:hyperlink w:anchor="SENTENCIA_2013_91" w:history="1">
        <w:r w:rsidRPr="00234417">
          <w:rPr>
            <w:rStyle w:val="TextoNormalCaracter"/>
          </w:rPr>
          <w:t>91/2013</w:t>
        </w:r>
      </w:hyperlink>
      <w:r w:rsidRPr="00234417">
        <w:rPr>
          <w:rStyle w:val="TextoNormalCaracter"/>
        </w:rPr>
        <w:t>, f. 4.</w:t>
      </w:r>
    </w:p>
    <w:p w:rsidR="00234417" w:rsidRPr="00234417" w:rsidRDefault="00234417" w:rsidP="00234417">
      <w:pPr>
        <w:pStyle w:val="TextoNormalSangraFrancesa"/>
        <w:rPr>
          <w:rStyle w:val="TextoNormalCaracter"/>
        </w:rPr>
      </w:pPr>
      <w:bookmarkStart w:id="1692" w:name="DESCRIPTORALFABETICO771"/>
      <w:r w:rsidRPr="00234417">
        <w:rPr>
          <w:rStyle w:val="TextoNormalNegritaCaracter"/>
        </w:rPr>
        <w:t>Grabaciones audiovisuales en centros de trabajo</w:t>
      </w:r>
      <w:bookmarkEnd w:id="1692"/>
      <w:r w:rsidRPr="00234417">
        <w:rPr>
          <w:rStyle w:val="TextoNormalCaracter"/>
        </w:rPr>
        <w:t xml:space="preserve">, Sentencia </w:t>
      </w:r>
      <w:hyperlink w:anchor="SENTENCIA_2013_29" w:history="1">
        <w:r w:rsidRPr="00234417">
          <w:rPr>
            <w:rStyle w:val="TextoNormalCaracter"/>
          </w:rPr>
          <w:t>29/2013</w:t>
        </w:r>
      </w:hyperlink>
      <w:r w:rsidRPr="00234417">
        <w:rPr>
          <w:rStyle w:val="TextoNormalCaracter"/>
        </w:rPr>
        <w:t>, ff. 5 a 8, VP.</w:t>
      </w:r>
    </w:p>
    <w:p w:rsidR="00234417" w:rsidRPr="00234417" w:rsidRDefault="00234417" w:rsidP="00234417">
      <w:pPr>
        <w:pStyle w:val="TextoNormalSangraFrancesa"/>
        <w:rPr>
          <w:rStyle w:val="TextoNormalCaracter"/>
        </w:rPr>
      </w:pPr>
      <w:bookmarkStart w:id="1693" w:name="DESCRIPTORALFABETICO494"/>
      <w:r w:rsidRPr="00234417">
        <w:rPr>
          <w:rStyle w:val="TextoNormalNegritaCaracter"/>
        </w:rPr>
        <w:t>Grandes establecimientos comerciales</w:t>
      </w:r>
      <w:bookmarkEnd w:id="1693"/>
      <w:r w:rsidRPr="00234417">
        <w:rPr>
          <w:rStyle w:val="TextoNormalCaracter"/>
        </w:rPr>
        <w:t xml:space="preserve">, Sentencia </w:t>
      </w:r>
      <w:hyperlink w:anchor="SENTENCIA_2013_96" w:history="1">
        <w:r w:rsidRPr="00234417">
          <w:rPr>
            <w:rStyle w:val="TextoNormalCaracter"/>
          </w:rPr>
          <w:t>96/2013</w:t>
        </w:r>
      </w:hyperlink>
      <w:r w:rsidRPr="00234417">
        <w:rPr>
          <w:rStyle w:val="TextoNormalCaracter"/>
        </w:rPr>
        <w:t>, ff. 1 a 12.</w:t>
      </w:r>
    </w:p>
    <w:p w:rsidR="00234417" w:rsidRPr="00234417" w:rsidRDefault="00234417" w:rsidP="00234417">
      <w:pPr>
        <w:pStyle w:val="TextoNormalSangraFrancesa"/>
        <w:rPr>
          <w:rStyle w:val="TextoNormalNegritaCaracter"/>
        </w:rPr>
      </w:pPr>
      <w:r w:rsidRPr="00234417">
        <w:rPr>
          <w:rStyle w:val="TextoNormalCursivaCaracter"/>
        </w:rPr>
        <w:t>Grandes superficies comerciales</w:t>
      </w:r>
      <w:r>
        <w:t xml:space="preserve"> véase </w:t>
      </w:r>
      <w:hyperlink w:anchor="DESCRIPTORALFABETICO494" w:history="1">
        <w:r w:rsidRPr="00234417">
          <w:rPr>
            <w:rStyle w:val="TextoNormalNegritaCaracter"/>
          </w:rPr>
          <w:t>Grandes establecimientos comerciales</w:t>
        </w:r>
      </w:hyperlink>
    </w:p>
    <w:p w:rsidR="00234417" w:rsidRPr="00234417" w:rsidRDefault="00234417" w:rsidP="00234417">
      <w:pPr>
        <w:pStyle w:val="TextoNormalSangraFrancesa"/>
        <w:rPr>
          <w:rStyle w:val="TextoNormalCaracter"/>
        </w:rPr>
      </w:pPr>
      <w:bookmarkStart w:id="1694" w:name="DESCRIPTORALFABETICO462"/>
      <w:r w:rsidRPr="00234417">
        <w:rPr>
          <w:rStyle w:val="TextoNormalNegritaCaracter"/>
        </w:rPr>
        <w:t>Grupos municipales</w:t>
      </w:r>
      <w:bookmarkEnd w:id="1694"/>
      <w:r w:rsidRPr="00234417">
        <w:rPr>
          <w:rStyle w:val="TextoNormalCaracter"/>
        </w:rPr>
        <w:t xml:space="preserve">, Sentencia </w:t>
      </w:r>
      <w:hyperlink w:anchor="SENTENCIA_2013_10" w:history="1">
        <w:r w:rsidRPr="00234417">
          <w:rPr>
            <w:rStyle w:val="TextoNormalCaracter"/>
          </w:rPr>
          <w:t>10/2013</w:t>
        </w:r>
      </w:hyperlink>
      <w:r w:rsidRPr="00234417">
        <w:rPr>
          <w:rStyle w:val="TextoNormalCaracter"/>
        </w:rPr>
        <w:t>, ff. 3, 4.</w:t>
      </w:r>
    </w:p>
    <w:p w:rsidR="00234417" w:rsidRPr="00234417" w:rsidRDefault="00234417" w:rsidP="00234417">
      <w:pPr>
        <w:pStyle w:val="TextoNormalSangraFrancesa"/>
        <w:rPr>
          <w:rStyle w:val="TextoNormalNegritaCaracter"/>
        </w:rPr>
      </w:pPr>
      <w:r w:rsidRPr="00234417">
        <w:rPr>
          <w:rStyle w:val="TextoNormalCursivaCaracter"/>
        </w:rPr>
        <w:t>Guarda y custodia</w:t>
      </w:r>
      <w:r>
        <w:t xml:space="preserve"> véase </w:t>
      </w:r>
      <w:hyperlink w:anchor="DESCRIPTORALFABETICO562" w:history="1">
        <w:r w:rsidRPr="00234417">
          <w:rPr>
            <w:rStyle w:val="TextoNormalNegritaCaracter"/>
          </w:rPr>
          <w:t>Derecho de guarda y custodia</w:t>
        </w:r>
      </w:hyperlink>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H</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1695" w:name="DESCRIPTORALFABETICO155"/>
      <w:r w:rsidRPr="00234417">
        <w:rPr>
          <w:rStyle w:val="TextoNormalNegritaCaracter"/>
          <w:i/>
        </w:rPr>
        <w:t>Habeas data</w:t>
      </w:r>
      <w:bookmarkEnd w:id="1695"/>
      <w:r w:rsidRPr="00234417">
        <w:rPr>
          <w:rStyle w:val="TextoNormalCaracter"/>
        </w:rPr>
        <w:t xml:space="preserve">, Sentencia </w:t>
      </w:r>
      <w:hyperlink w:anchor="SENTENCIA_2013_17" w:history="1">
        <w:r w:rsidRPr="00234417">
          <w:rPr>
            <w:rStyle w:val="TextoNormalCaracter"/>
          </w:rPr>
          <w:t>17/2013</w:t>
        </w:r>
      </w:hyperlink>
      <w:r w:rsidRPr="00234417">
        <w:rPr>
          <w:rStyle w:val="TextoNormalCaracter"/>
        </w:rPr>
        <w:t>, f. 4.</w:t>
      </w:r>
    </w:p>
    <w:p w:rsidR="00234417" w:rsidRPr="00234417" w:rsidRDefault="00234417" w:rsidP="00234417">
      <w:pPr>
        <w:pStyle w:val="TextoNormalSangraFrancesa"/>
        <w:rPr>
          <w:rStyle w:val="TextoNormalCaracter"/>
        </w:rPr>
      </w:pPr>
      <w:bookmarkStart w:id="1696" w:name="DESCRIPTORALFABETICO94"/>
      <w:r w:rsidRPr="00234417">
        <w:rPr>
          <w:rStyle w:val="TextoNormalNegritaCaracter"/>
        </w:rPr>
        <w:t>Hacienda estatal</w:t>
      </w:r>
      <w:bookmarkEnd w:id="1696"/>
      <w:r w:rsidRPr="00234417">
        <w:rPr>
          <w:rStyle w:val="TextoNormalCaracter"/>
        </w:rPr>
        <w:t xml:space="preserve">, Sentencia </w:t>
      </w:r>
      <w:hyperlink w:anchor="SENTENCIA_2013_135" w:history="1">
        <w:r w:rsidRPr="00234417">
          <w:rPr>
            <w:rStyle w:val="TextoNormalCaracter"/>
          </w:rPr>
          <w:t>135/2013</w:t>
        </w:r>
      </w:hyperlink>
      <w:r w:rsidRPr="00234417">
        <w:rPr>
          <w:rStyle w:val="TextoNormalCaracter"/>
        </w:rPr>
        <w:t>, f. 4.</w:t>
      </w:r>
    </w:p>
    <w:p w:rsidR="00234417" w:rsidRPr="00234417" w:rsidRDefault="00234417" w:rsidP="00234417">
      <w:pPr>
        <w:pStyle w:val="TextoNormalSangraFrancesa"/>
        <w:rPr>
          <w:rStyle w:val="TextoNormalCaracter"/>
        </w:rPr>
      </w:pPr>
      <w:bookmarkStart w:id="1697" w:name="DESCRIPTORALFABETICO95"/>
      <w:r w:rsidRPr="00234417">
        <w:rPr>
          <w:rStyle w:val="TextoNormalNegritaCaracter"/>
        </w:rPr>
        <w:t>Hacienda general</w:t>
      </w:r>
      <w:bookmarkEnd w:id="1697"/>
      <w:r w:rsidRPr="00234417">
        <w:rPr>
          <w:rStyle w:val="TextoNormalCaracter"/>
        </w:rPr>
        <w:t xml:space="preserve">, Sentencias </w:t>
      </w:r>
      <w:hyperlink w:anchor="SENTENCIA_2013_130" w:history="1">
        <w:r w:rsidRPr="00234417">
          <w:rPr>
            <w:rStyle w:val="TextoNormalCaracter"/>
          </w:rPr>
          <w:t>130/2013</w:t>
        </w:r>
      </w:hyperlink>
      <w:r w:rsidRPr="00234417">
        <w:rPr>
          <w:rStyle w:val="TextoNormalCaracter"/>
        </w:rPr>
        <w:t xml:space="preserve">, ff. 3, 5, 7, 9, 12, VP; </w:t>
      </w:r>
      <w:hyperlink w:anchor="SENTENCIA_2013_135" w:history="1">
        <w:r w:rsidRPr="00234417">
          <w:rPr>
            <w:rStyle w:val="TextoNormalCaracter"/>
          </w:rPr>
          <w:t>135/2013</w:t>
        </w:r>
      </w:hyperlink>
      <w:r w:rsidRPr="00234417">
        <w:rPr>
          <w:rStyle w:val="TextoNormalCaracter"/>
        </w:rPr>
        <w:t>, f. 4.</w:t>
      </w:r>
    </w:p>
    <w:p w:rsidR="00234417" w:rsidRPr="00234417" w:rsidRDefault="00234417" w:rsidP="00234417">
      <w:pPr>
        <w:pStyle w:val="TextoNormalSangraFrancesa"/>
        <w:rPr>
          <w:rStyle w:val="TextoNormalCaracter"/>
        </w:rPr>
      </w:pPr>
      <w:bookmarkStart w:id="1698" w:name="DESCRIPTORALFABETICO96"/>
      <w:r w:rsidRPr="00234417">
        <w:rPr>
          <w:rStyle w:val="TextoNormalNegritaCaracter"/>
        </w:rPr>
        <w:t>Hacienda local</w:t>
      </w:r>
      <w:bookmarkEnd w:id="1698"/>
      <w:r w:rsidRPr="00234417">
        <w:rPr>
          <w:rStyle w:val="TextoNormalCaracter"/>
        </w:rPr>
        <w:t xml:space="preserve">, Sentencia </w:t>
      </w:r>
      <w:hyperlink w:anchor="SENTENCIA_2013_96" w:history="1">
        <w:r w:rsidRPr="00234417">
          <w:rPr>
            <w:rStyle w:val="TextoNormalCaracter"/>
          </w:rPr>
          <w:t>96/2013</w:t>
        </w:r>
      </w:hyperlink>
      <w:r w:rsidRPr="00234417">
        <w:rPr>
          <w:rStyle w:val="TextoNormalCaracter"/>
        </w:rPr>
        <w:t>, f. 12.</w:t>
      </w:r>
    </w:p>
    <w:p w:rsidR="00234417" w:rsidRPr="00234417" w:rsidRDefault="00234417" w:rsidP="00234417">
      <w:pPr>
        <w:pStyle w:val="TextoNormalSangraFrancesa"/>
        <w:rPr>
          <w:rStyle w:val="TextoNormalCaracter"/>
        </w:rPr>
      </w:pPr>
      <w:bookmarkStart w:id="1699" w:name="DESCRIPTORALFABETICO107"/>
      <w:r w:rsidRPr="00234417">
        <w:rPr>
          <w:rStyle w:val="TextoNormalNegritaCaracter"/>
        </w:rPr>
        <w:t>Hecho imponible</w:t>
      </w:r>
      <w:bookmarkEnd w:id="1699"/>
      <w:r w:rsidRPr="00234417">
        <w:rPr>
          <w:rStyle w:val="TextoNormalCaracter"/>
        </w:rPr>
        <w:t xml:space="preserve">, Sentencias </w:t>
      </w:r>
      <w:hyperlink w:anchor="SENTENCIA_2013_60" w:history="1">
        <w:r w:rsidRPr="00234417">
          <w:rPr>
            <w:rStyle w:val="TextoNormalCaracter"/>
          </w:rPr>
          <w:t>60/2013</w:t>
        </w:r>
      </w:hyperlink>
      <w:r w:rsidRPr="00234417">
        <w:rPr>
          <w:rStyle w:val="TextoNormalCaracter"/>
        </w:rPr>
        <w:t xml:space="preserve">, ff. 3 a 7; </w:t>
      </w:r>
      <w:hyperlink w:anchor="SENTENCIA_2013_85" w:history="1">
        <w:r w:rsidRPr="00234417">
          <w:rPr>
            <w:rStyle w:val="TextoNormalCaracter"/>
          </w:rPr>
          <w:t>85/2013</w:t>
        </w:r>
      </w:hyperlink>
      <w:r w:rsidRPr="00234417">
        <w:rPr>
          <w:rStyle w:val="TextoNormalCaracter"/>
        </w:rPr>
        <w:t>, ff. 2 a 4, 6.</w:t>
      </w:r>
    </w:p>
    <w:p w:rsidR="00234417" w:rsidRPr="00234417" w:rsidRDefault="00234417" w:rsidP="00234417">
      <w:pPr>
        <w:pStyle w:val="TextoNormalSangraFrancesa"/>
        <w:rPr>
          <w:rStyle w:val="TextoNormalCaracter"/>
        </w:rPr>
      </w:pPr>
      <w:bookmarkStart w:id="1700" w:name="DESCRIPTORALFABETICO553"/>
      <w:r w:rsidRPr="00234417">
        <w:rPr>
          <w:rStyle w:val="TextoNormalNegritaCaracter"/>
        </w:rPr>
        <w:t>Hidrocarburos</w:t>
      </w:r>
      <w:bookmarkEnd w:id="1700"/>
      <w:r w:rsidRPr="00234417">
        <w:rPr>
          <w:rStyle w:val="TextoNormalCaracter"/>
        </w:rPr>
        <w:t xml:space="preserve">, Sentencia </w:t>
      </w:r>
      <w:hyperlink w:anchor="SENTENCIA_2013_8" w:history="1">
        <w:r w:rsidRPr="00234417">
          <w:rPr>
            <w:rStyle w:val="TextoNormalCaracter"/>
          </w:rPr>
          <w:t>8/2013</w:t>
        </w:r>
      </w:hyperlink>
      <w:r w:rsidRPr="00234417">
        <w:rPr>
          <w:rStyle w:val="TextoNormalCaracter"/>
        </w:rPr>
        <w:t>, ff. 2 a 4, 9.</w:t>
      </w:r>
    </w:p>
    <w:p w:rsidR="00234417" w:rsidRPr="00234417" w:rsidRDefault="00234417" w:rsidP="00234417">
      <w:pPr>
        <w:pStyle w:val="TextoNormalSangraFrancesa"/>
        <w:rPr>
          <w:rStyle w:val="TextoNormalCaracter"/>
        </w:rPr>
      </w:pPr>
      <w:bookmarkStart w:id="1701" w:name="DESCRIPTORALFABETICO560"/>
      <w:r w:rsidRPr="00234417">
        <w:rPr>
          <w:rStyle w:val="TextoNormalNegritaCaracter"/>
        </w:rPr>
        <w:t>Hijos</w:t>
      </w:r>
      <w:bookmarkEnd w:id="1701"/>
      <w:r w:rsidRPr="00234417">
        <w:rPr>
          <w:rStyle w:val="TextoNormalCaracter"/>
        </w:rPr>
        <w:t xml:space="preserve">, Sentencia </w:t>
      </w:r>
      <w:hyperlink w:anchor="SENTENCIA_2013_41" w:history="1">
        <w:r w:rsidRPr="00234417">
          <w:rPr>
            <w:rStyle w:val="TextoNormalCaracter"/>
          </w:rPr>
          <w:t>41/2013</w:t>
        </w:r>
      </w:hyperlink>
      <w:r w:rsidRPr="00234417">
        <w:rPr>
          <w:rStyle w:val="TextoNormalCaracter"/>
        </w:rPr>
        <w:t>, ff. 4 a 8, VP.</w:t>
      </w:r>
    </w:p>
    <w:p w:rsidR="00234417" w:rsidRPr="00234417" w:rsidRDefault="00234417" w:rsidP="00234417">
      <w:pPr>
        <w:pStyle w:val="TextoNormalSangraFrancesa"/>
        <w:rPr>
          <w:rStyle w:val="TextoNormalCaracter"/>
        </w:rPr>
      </w:pPr>
      <w:bookmarkStart w:id="1702" w:name="DESCRIPTORALFABETICO539"/>
      <w:r w:rsidRPr="00234417">
        <w:rPr>
          <w:rStyle w:val="TextoNormalNegritaCaracter"/>
        </w:rPr>
        <w:t>Homologación de títulos académicos</w:t>
      </w:r>
      <w:bookmarkEnd w:id="1702"/>
      <w:r w:rsidRPr="00234417">
        <w:rPr>
          <w:rStyle w:val="TextoNormalCaracter"/>
        </w:rPr>
        <w:t xml:space="preserve">, Sentencia </w:t>
      </w:r>
      <w:hyperlink w:anchor="SENTENCIA_2013_24" w:history="1">
        <w:r w:rsidRPr="00234417">
          <w:rPr>
            <w:rStyle w:val="TextoNormalCaracter"/>
          </w:rPr>
          <w:t>24/2013</w:t>
        </w:r>
      </w:hyperlink>
      <w:r w:rsidRPr="00234417">
        <w:rPr>
          <w:rStyle w:val="TextoNormalCaracter"/>
        </w:rPr>
        <w:t>, ff. 3, 5 a 7.</w:t>
      </w:r>
    </w:p>
    <w:p w:rsidR="00234417" w:rsidRPr="00234417" w:rsidRDefault="00234417" w:rsidP="00234417">
      <w:pPr>
        <w:pStyle w:val="TextoNormalSangraFrancesa"/>
        <w:rPr>
          <w:rStyle w:val="TextoNormalCaracter"/>
        </w:rPr>
      </w:pPr>
      <w:bookmarkStart w:id="1703" w:name="DESCRIPTORALFABETICO495"/>
      <w:r w:rsidRPr="00234417">
        <w:rPr>
          <w:rStyle w:val="TextoNormalNegritaCaracter"/>
        </w:rPr>
        <w:t>Horarios comerciales</w:t>
      </w:r>
      <w:bookmarkEnd w:id="1703"/>
      <w:r w:rsidRPr="00234417">
        <w:rPr>
          <w:rStyle w:val="TextoNormalCaracter"/>
        </w:rPr>
        <w:t xml:space="preserve">, Auto </w:t>
      </w:r>
      <w:hyperlink w:anchor="AUTO_2013_146" w:history="1">
        <w:r w:rsidRPr="00234417">
          <w:rPr>
            <w:rStyle w:val="TextoNormalCaracter"/>
          </w:rPr>
          <w:t>146/2013</w:t>
        </w:r>
      </w:hyperlink>
      <w:r w:rsidRPr="00234417">
        <w:rPr>
          <w:rStyle w:val="TextoNormalCaracter"/>
        </w:rPr>
        <w:t>, f. 3.</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I</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1704" w:name="DESCRIPTORALFABETICO139"/>
      <w:r w:rsidRPr="00234417">
        <w:rPr>
          <w:rStyle w:val="TextoNormalNegritaCaracter"/>
        </w:rPr>
        <w:t>Identidad del órgano judicial</w:t>
      </w:r>
      <w:bookmarkEnd w:id="1704"/>
      <w:r w:rsidRPr="00234417">
        <w:rPr>
          <w:rStyle w:val="TextoNormalCaracter"/>
        </w:rPr>
        <w:t xml:space="preserve">, Sentencia </w:t>
      </w:r>
      <w:hyperlink w:anchor="SENTENCIA_2013_11" w:history="1">
        <w:r w:rsidRPr="00234417">
          <w:rPr>
            <w:rStyle w:val="TextoNormalCaracter"/>
          </w:rPr>
          <w:t>11/2013</w:t>
        </w:r>
      </w:hyperlink>
      <w:r w:rsidRPr="00234417">
        <w:rPr>
          <w:rStyle w:val="TextoNormalCaracter"/>
        </w:rPr>
        <w:t>, f. 4.</w:t>
      </w:r>
    </w:p>
    <w:p w:rsidR="00234417" w:rsidRPr="00234417" w:rsidRDefault="00234417" w:rsidP="00234417">
      <w:pPr>
        <w:pStyle w:val="TextoNormalSangraFrancesa"/>
        <w:rPr>
          <w:rStyle w:val="TextoNormalCaracter"/>
        </w:rPr>
      </w:pPr>
      <w:bookmarkStart w:id="1705" w:name="DESCRIPTORALFABETICO892"/>
      <w:r w:rsidRPr="00234417">
        <w:rPr>
          <w:rStyle w:val="TextoNormalNegritaCaracter"/>
        </w:rPr>
        <w:t>Identificabilidad de los interesados en el expediente administrativo</w:t>
      </w:r>
      <w:bookmarkEnd w:id="1705"/>
      <w:r w:rsidRPr="00234417">
        <w:rPr>
          <w:rStyle w:val="TextoNormalCaracter"/>
        </w:rPr>
        <w:t xml:space="preserve">, Sentencia </w:t>
      </w:r>
      <w:hyperlink w:anchor="SENTENCIA_2013_76" w:history="1">
        <w:r w:rsidRPr="00234417">
          <w:rPr>
            <w:rStyle w:val="TextoNormalCaracter"/>
          </w:rPr>
          <w:t>76/2013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706" w:name="DESCRIPTORALFABETICO278"/>
      <w:r w:rsidRPr="00234417">
        <w:rPr>
          <w:rStyle w:val="TextoNormalNegritaCaracter"/>
        </w:rPr>
        <w:t>Identificación de los preceptos constitucionales</w:t>
      </w:r>
      <w:bookmarkEnd w:id="1706"/>
      <w:r w:rsidRPr="00234417">
        <w:rPr>
          <w:rStyle w:val="TextoNormalCaracter"/>
        </w:rPr>
        <w:t xml:space="preserve">, Auto </w:t>
      </w:r>
      <w:hyperlink w:anchor="AUTO_2013_59" w:history="1">
        <w:r w:rsidRPr="00234417">
          <w:rPr>
            <w:rStyle w:val="TextoNormalCaracter"/>
          </w:rPr>
          <w:t>59/2013</w:t>
        </w:r>
      </w:hyperlink>
      <w:r w:rsidRPr="00234417">
        <w:rPr>
          <w:rStyle w:val="TextoNormalCaracter"/>
        </w:rPr>
        <w:t>, f. 3.</w:t>
      </w:r>
    </w:p>
    <w:p w:rsidR="00234417" w:rsidRPr="00234417" w:rsidRDefault="00234417" w:rsidP="00234417">
      <w:pPr>
        <w:pStyle w:val="TextoNormalSangraFrancesa"/>
        <w:rPr>
          <w:rStyle w:val="TextoNormalCaracter"/>
        </w:rPr>
      </w:pPr>
      <w:bookmarkStart w:id="1707" w:name="DESCRIPTORALFABETICO513"/>
      <w:r w:rsidRPr="00234417">
        <w:rPr>
          <w:rStyle w:val="TextoNormalNegritaCaracter"/>
        </w:rPr>
        <w:t>Identificación del conductor</w:t>
      </w:r>
      <w:bookmarkEnd w:id="1707"/>
      <w:r w:rsidRPr="00234417">
        <w:rPr>
          <w:rStyle w:val="TextoNormalCaracter"/>
        </w:rPr>
        <w:t xml:space="preserve">, Sentencias </w:t>
      </w:r>
      <w:hyperlink w:anchor="SENTENCIA_2013_30" w:history="1">
        <w:r w:rsidRPr="00234417">
          <w:rPr>
            <w:rStyle w:val="TextoNormalCaracter"/>
          </w:rPr>
          <w:t>30/2013</w:t>
        </w:r>
      </w:hyperlink>
      <w:r w:rsidRPr="00234417">
        <w:rPr>
          <w:rStyle w:val="TextoNormalCaracter"/>
        </w:rPr>
        <w:t xml:space="preserve">, ff. 1 a 3; </w:t>
      </w:r>
      <w:hyperlink w:anchor="SENTENCIA_2013_45" w:history="1">
        <w:r w:rsidRPr="00234417">
          <w:rPr>
            <w:rStyle w:val="TextoNormalCaracter"/>
          </w:rPr>
          <w:t>45/2013</w:t>
        </w:r>
      </w:hyperlink>
      <w:r w:rsidRPr="00234417">
        <w:rPr>
          <w:rStyle w:val="TextoNormalCaracter"/>
        </w:rPr>
        <w:t>, f. 2.</w:t>
      </w:r>
    </w:p>
    <w:p w:rsidR="00234417" w:rsidRPr="00234417" w:rsidRDefault="00234417" w:rsidP="00234417">
      <w:pPr>
        <w:pStyle w:val="TextoNormalSangraFrancesa"/>
        <w:rPr>
          <w:rStyle w:val="TextoNormalCaracter"/>
        </w:rPr>
      </w:pPr>
      <w:bookmarkStart w:id="1708" w:name="DESCRIPTORALFABETICO745"/>
      <w:r w:rsidRPr="00234417">
        <w:rPr>
          <w:rStyle w:val="TextoNormalNegritaCaracter"/>
        </w:rPr>
        <w:t>Iglesia católica</w:t>
      </w:r>
      <w:bookmarkEnd w:id="1708"/>
      <w:r w:rsidRPr="00234417">
        <w:rPr>
          <w:rStyle w:val="TextoNormalCaracter"/>
        </w:rPr>
        <w:t xml:space="preserve">, Sentencia </w:t>
      </w:r>
      <w:hyperlink w:anchor="SENTENCIA_2013_131" w:history="1">
        <w:r w:rsidRPr="00234417">
          <w:rPr>
            <w:rStyle w:val="TextoNormalCaracter"/>
          </w:rPr>
          <w:t>131/2013</w:t>
        </w:r>
      </w:hyperlink>
      <w:r w:rsidRPr="00234417">
        <w:rPr>
          <w:rStyle w:val="TextoNormalCaracter"/>
        </w:rPr>
        <w:t>, f. 10, VPI, VP II, VP III, VP IV, VP V.</w:t>
      </w:r>
    </w:p>
    <w:p w:rsidR="00234417" w:rsidRPr="00234417" w:rsidRDefault="00234417" w:rsidP="00234417">
      <w:pPr>
        <w:pStyle w:val="TextoNormalSangraFrancesa"/>
        <w:rPr>
          <w:rStyle w:val="TextoNormalNegritaCaracter"/>
        </w:rPr>
      </w:pPr>
      <w:r w:rsidRPr="00234417">
        <w:rPr>
          <w:rStyle w:val="TextoNormalCursivaCaracter"/>
        </w:rPr>
        <w:t>Igualdad básica de los españoles</w:t>
      </w:r>
      <w:r>
        <w:t xml:space="preserve"> véase </w:t>
      </w:r>
      <w:hyperlink w:anchor="DESCRIPTORALFABETICO70" w:history="1">
        <w:r w:rsidRPr="00234417">
          <w:rPr>
            <w:rStyle w:val="TextoNormalNegritaCaracter"/>
          </w:rPr>
          <w:t>Competencias en materia de regulación de condiciones básicas de igualdad</w:t>
        </w:r>
      </w:hyperlink>
    </w:p>
    <w:p w:rsidR="00234417" w:rsidRPr="00234417" w:rsidRDefault="00234417" w:rsidP="00234417">
      <w:pPr>
        <w:pStyle w:val="TextoNormalSangraFrancesa"/>
        <w:rPr>
          <w:rStyle w:val="TextoNormalCaracter"/>
        </w:rPr>
      </w:pPr>
      <w:bookmarkStart w:id="1709" w:name="DESCRIPTORALFABETICO137"/>
      <w:r w:rsidRPr="00234417">
        <w:rPr>
          <w:rStyle w:val="TextoNormalNegritaCaracter"/>
        </w:rPr>
        <w:t>Igualdad en la aplicación de la ley</w:t>
      </w:r>
      <w:bookmarkEnd w:id="1709"/>
      <w:r w:rsidRPr="00234417">
        <w:rPr>
          <w:rStyle w:val="TextoNormalCaracter"/>
        </w:rPr>
        <w:t xml:space="preserve">, </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 </w:t>
      </w:r>
      <w:hyperlink w:anchor="SENTENCIA_2013_108" w:history="1">
        <w:r w:rsidRPr="00234417">
          <w:rPr>
            <w:rStyle w:val="TextoNormalCaracter"/>
          </w:rPr>
          <w:t>108/2013</w:t>
        </w:r>
      </w:hyperlink>
      <w:r w:rsidRPr="00234417">
        <w:rPr>
          <w:rStyle w:val="TextoNormalCaracter"/>
        </w:rPr>
        <w:t>, f. 4.</w:t>
      </w:r>
    </w:p>
    <w:p w:rsidR="00234417" w:rsidRPr="00234417" w:rsidRDefault="00234417" w:rsidP="00234417">
      <w:pPr>
        <w:pStyle w:val="TextoNormalSangraFrancesa"/>
        <w:rPr>
          <w:rStyle w:val="TextoNormalCaracter"/>
        </w:rPr>
      </w:pPr>
      <w:r w:rsidRPr="00234417">
        <w:rPr>
          <w:rStyle w:val="TextoNormalCursivaCaracter"/>
        </w:rPr>
        <w:t xml:space="preserve">    Vulnerada, </w:t>
      </w:r>
      <w:r w:rsidRPr="00234417">
        <w:rPr>
          <w:rStyle w:val="TextoNormalCaracter"/>
        </w:rPr>
        <w:t xml:space="preserve">Sentencia </w:t>
      </w:r>
      <w:hyperlink w:anchor="SENTENCIA_2013_11" w:history="1">
        <w:r w:rsidRPr="00234417">
          <w:rPr>
            <w:rStyle w:val="TextoNormalCaracter"/>
          </w:rPr>
          <w:t>11/2013</w:t>
        </w:r>
      </w:hyperlink>
      <w:r w:rsidRPr="00234417">
        <w:rPr>
          <w:rStyle w:val="TextoNormalCaracter"/>
        </w:rPr>
        <w:t>, f. 4.</w:t>
      </w:r>
    </w:p>
    <w:p w:rsidR="00234417" w:rsidRPr="00234417" w:rsidRDefault="00234417" w:rsidP="00234417">
      <w:pPr>
        <w:pStyle w:val="TextoNormalSangraFrancesa"/>
        <w:rPr>
          <w:rStyle w:val="TextoNormalCaracter"/>
        </w:rPr>
      </w:pPr>
      <w:bookmarkStart w:id="1710" w:name="DESCRIPTORALFABETICO140"/>
      <w:r w:rsidRPr="00234417">
        <w:rPr>
          <w:rStyle w:val="TextoNormalNegritaCaracter"/>
        </w:rPr>
        <w:t>Igualdad en la ley</w:t>
      </w:r>
      <w:bookmarkEnd w:id="1710"/>
      <w:r w:rsidRPr="00234417">
        <w:rPr>
          <w:rStyle w:val="TextoNormalCaracter"/>
        </w:rPr>
        <w:t xml:space="preserve">, Sentencias </w:t>
      </w:r>
      <w:hyperlink w:anchor="SENTENCIA_2013_61" w:history="1">
        <w:r w:rsidRPr="00234417">
          <w:rPr>
            <w:rStyle w:val="TextoNormalCaracter"/>
          </w:rPr>
          <w:t>61/2013</w:t>
        </w:r>
      </w:hyperlink>
      <w:r w:rsidRPr="00234417">
        <w:rPr>
          <w:rStyle w:val="TextoNormalCaracter"/>
        </w:rPr>
        <w:t xml:space="preserve">, ff. 5 a 7; </w:t>
      </w:r>
      <w:hyperlink w:anchor="SENTENCIA_2013_71" w:history="1">
        <w:r w:rsidRPr="00234417">
          <w:rPr>
            <w:rStyle w:val="TextoNormalCaracter"/>
          </w:rPr>
          <w:t>71/2013</w:t>
        </w:r>
      </w:hyperlink>
      <w:r w:rsidRPr="00234417">
        <w:rPr>
          <w:rStyle w:val="TextoNormalCaracter"/>
        </w:rPr>
        <w:t xml:space="preserve">, f. 3; </w:t>
      </w:r>
      <w:hyperlink w:anchor="SENTENCIA_2013_72" w:history="1">
        <w:r w:rsidRPr="00234417">
          <w:rPr>
            <w:rStyle w:val="TextoNormalCaracter"/>
          </w:rPr>
          <w:t>72/2013</w:t>
        </w:r>
      </w:hyperlink>
      <w:r w:rsidRPr="00234417">
        <w:rPr>
          <w:rStyle w:val="TextoNormalCaracter"/>
        </w:rPr>
        <w:t xml:space="preserve">, f. 2; </w:t>
      </w:r>
      <w:hyperlink w:anchor="SENTENCIA_2013_116" w:history="1">
        <w:r w:rsidRPr="00234417">
          <w:rPr>
            <w:rStyle w:val="TextoNormalCaracter"/>
          </w:rPr>
          <w:t>116/2013</w:t>
        </w:r>
      </w:hyperlink>
      <w:r w:rsidRPr="00234417">
        <w:rPr>
          <w:rStyle w:val="TextoNormalCaracter"/>
        </w:rPr>
        <w:t xml:space="preserve">, f. 4; </w:t>
      </w:r>
      <w:hyperlink w:anchor="SENTENCIA_2013_117" w:history="1">
        <w:r w:rsidRPr="00234417">
          <w:rPr>
            <w:rStyle w:val="TextoNormalCaracter"/>
          </w:rPr>
          <w:t>117/2013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ursivaCaracter"/>
        </w:rPr>
        <w:t xml:space="preserve">    Vulnerada, </w:t>
      </w:r>
      <w:r w:rsidRPr="00234417">
        <w:rPr>
          <w:rStyle w:val="TextoNormalCaracter"/>
        </w:rPr>
        <w:t xml:space="preserve">Sentencias </w:t>
      </w:r>
      <w:hyperlink w:anchor="SENTENCIA_2013_41" w:history="1">
        <w:r w:rsidRPr="00234417">
          <w:rPr>
            <w:rStyle w:val="TextoNormalCaracter"/>
          </w:rPr>
          <w:t>41/2013</w:t>
        </w:r>
      </w:hyperlink>
      <w:r w:rsidRPr="00234417">
        <w:rPr>
          <w:rStyle w:val="TextoNormalCaracter"/>
        </w:rPr>
        <w:t xml:space="preserve">, ff. 6 a 9, VP; </w:t>
      </w:r>
      <w:hyperlink w:anchor="SENTENCIA_2013_55" w:history="1">
        <w:r w:rsidRPr="00234417">
          <w:rPr>
            <w:rStyle w:val="TextoNormalCaracter"/>
          </w:rPr>
          <w:t>55/2013</w:t>
        </w:r>
      </w:hyperlink>
      <w:r w:rsidRPr="00234417">
        <w:rPr>
          <w:rStyle w:val="TextoNormalCaracter"/>
        </w:rPr>
        <w:t xml:space="preserve">, f. 2; </w:t>
      </w:r>
      <w:hyperlink w:anchor="SENTENCIA_2013_77" w:history="1">
        <w:r w:rsidRPr="00234417">
          <w:rPr>
            <w:rStyle w:val="TextoNormalCaracter"/>
          </w:rPr>
          <w:t>77/2013</w:t>
        </w:r>
      </w:hyperlink>
      <w:r w:rsidRPr="00234417">
        <w:rPr>
          <w:rStyle w:val="TextoNormalCaracter"/>
        </w:rPr>
        <w:t>, f. 3.</w:t>
      </w:r>
    </w:p>
    <w:p w:rsidR="00234417" w:rsidRPr="00234417" w:rsidRDefault="00234417" w:rsidP="00234417">
      <w:pPr>
        <w:pStyle w:val="TextoNormalSangraFrancesa"/>
        <w:rPr>
          <w:rStyle w:val="TextoNormalCaracter"/>
        </w:rPr>
      </w:pPr>
      <w:bookmarkStart w:id="1711" w:name="DESCRIPTORALFABETICO350"/>
      <w:r w:rsidRPr="00234417">
        <w:rPr>
          <w:rStyle w:val="TextoNormalNegritaCaracter"/>
        </w:rPr>
        <w:t>Ilegalización de partidos políticos</w:t>
      </w:r>
      <w:bookmarkEnd w:id="1711"/>
      <w:r w:rsidRPr="00234417">
        <w:rPr>
          <w:rStyle w:val="TextoNormalCaracter"/>
        </w:rPr>
        <w:t xml:space="preserve">, Sentencia </w:t>
      </w:r>
      <w:hyperlink w:anchor="SENTENCIA_2013_10" w:history="1">
        <w:r w:rsidRPr="00234417">
          <w:rPr>
            <w:rStyle w:val="TextoNormalCaracter"/>
          </w:rPr>
          <w:t>10/2013</w:t>
        </w:r>
      </w:hyperlink>
      <w:r w:rsidRPr="00234417">
        <w:rPr>
          <w:rStyle w:val="TextoNormalCaracter"/>
        </w:rPr>
        <w:t>, ff. 2, 4.</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32" w:history="1">
        <w:r w:rsidRPr="00234417">
          <w:rPr>
            <w:rStyle w:val="TextoNormalCaracter"/>
          </w:rPr>
          <w:t>32/2013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712" w:name="DESCRIPTORALFABETICO417"/>
      <w:r w:rsidRPr="00234417">
        <w:rPr>
          <w:rStyle w:val="TextoNormalNegritaCaracter"/>
        </w:rPr>
        <w:t>Ilícito administrativo</w:t>
      </w:r>
      <w:bookmarkEnd w:id="1712"/>
      <w:r w:rsidRPr="00234417">
        <w:rPr>
          <w:rStyle w:val="TextoNormalCaracter"/>
        </w:rPr>
        <w:t xml:space="preserve">, Sentencias </w:t>
      </w:r>
      <w:hyperlink w:anchor="SENTENCIA_2013_30" w:history="1">
        <w:r w:rsidRPr="00234417">
          <w:rPr>
            <w:rStyle w:val="TextoNormalCaracter"/>
          </w:rPr>
          <w:t>30/2013</w:t>
        </w:r>
      </w:hyperlink>
      <w:r w:rsidRPr="00234417">
        <w:rPr>
          <w:rStyle w:val="TextoNormalCaracter"/>
        </w:rPr>
        <w:t xml:space="preserve">, ff. 1 a 3; </w:t>
      </w:r>
      <w:hyperlink w:anchor="SENTENCIA_2013_45" w:history="1">
        <w:r w:rsidRPr="00234417">
          <w:rPr>
            <w:rStyle w:val="TextoNormalCaracter"/>
          </w:rPr>
          <w:t>45/2013</w:t>
        </w:r>
      </w:hyperlink>
      <w:r w:rsidRPr="00234417">
        <w:rPr>
          <w:rStyle w:val="TextoNormalCaracter"/>
        </w:rPr>
        <w:t>, f. 2.</w:t>
      </w:r>
    </w:p>
    <w:p w:rsidR="00234417" w:rsidRPr="00234417" w:rsidRDefault="00234417" w:rsidP="00234417">
      <w:pPr>
        <w:pStyle w:val="TextoNormalSangraFrancesa"/>
        <w:rPr>
          <w:rStyle w:val="TextoNormalCaracter"/>
        </w:rPr>
      </w:pPr>
      <w:bookmarkStart w:id="1713" w:name="DESCRIPTORALFABETICO345"/>
      <w:r w:rsidRPr="00234417">
        <w:rPr>
          <w:rStyle w:val="TextoNormalNegritaCaracter"/>
        </w:rPr>
        <w:t>Imparcialidad de magistrados del Tribunal Constitucional</w:t>
      </w:r>
      <w:bookmarkEnd w:id="1713"/>
      <w:r w:rsidRPr="00234417">
        <w:rPr>
          <w:rStyle w:val="TextoNormalCaracter"/>
        </w:rPr>
        <w:t xml:space="preserve">, Sentencia </w:t>
      </w:r>
      <w:hyperlink w:anchor="SENTENCIA_2013_133" w:history="1">
        <w:r w:rsidRPr="00234417">
          <w:rPr>
            <w:rStyle w:val="TextoNormalCaracter"/>
          </w:rPr>
          <w:t>133/2013</w:t>
        </w:r>
      </w:hyperlink>
      <w:r w:rsidRPr="00234417">
        <w:rPr>
          <w:rStyle w:val="TextoNormalCaracter"/>
        </w:rPr>
        <w:t>, f. 2.</w:t>
      </w:r>
    </w:p>
    <w:p w:rsidR="00234417" w:rsidRPr="00234417" w:rsidRDefault="00234417" w:rsidP="00234417">
      <w:pPr>
        <w:pStyle w:val="TextoNormalSangraFrancesa"/>
        <w:rPr>
          <w:rStyle w:val="TextoNormalCaracter"/>
        </w:rPr>
      </w:pPr>
      <w:bookmarkStart w:id="1714" w:name="DESCRIPTORALFABETICO237"/>
      <w:r w:rsidRPr="00234417">
        <w:rPr>
          <w:rStyle w:val="TextoNormalNegritaCaracter"/>
        </w:rPr>
        <w:t>Improcedencia de pronunciarse sobre su ratificación o levantamiento</w:t>
      </w:r>
      <w:bookmarkEnd w:id="1714"/>
      <w:r w:rsidRPr="00234417">
        <w:rPr>
          <w:rStyle w:val="TextoNormalCaracter"/>
        </w:rPr>
        <w:t xml:space="preserve">, Auto </w:t>
      </w:r>
      <w:hyperlink w:anchor="AUTO_2013_87" w:history="1">
        <w:r w:rsidRPr="00234417">
          <w:rPr>
            <w:rStyle w:val="TextoNormalCaracter"/>
          </w:rPr>
          <w:t>87/2013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715" w:name="DESCRIPTORALFABETICO118"/>
      <w:r w:rsidRPr="00234417">
        <w:rPr>
          <w:rStyle w:val="TextoNormalNegritaCaracter"/>
        </w:rPr>
        <w:t>Impuesto general sobre el tráfico de empresas</w:t>
      </w:r>
      <w:bookmarkEnd w:id="1715"/>
      <w:r w:rsidRPr="00234417">
        <w:rPr>
          <w:rStyle w:val="TextoNormalCaracter"/>
        </w:rPr>
        <w:t xml:space="preserve">, Sentencia </w:t>
      </w:r>
      <w:hyperlink w:anchor="SENTENCIA_2013_101" w:history="1">
        <w:r w:rsidRPr="00234417">
          <w:rPr>
            <w:rStyle w:val="TextoNormalCaracter"/>
          </w:rPr>
          <w:t>101/2013</w:t>
        </w:r>
      </w:hyperlink>
      <w:r w:rsidRPr="00234417">
        <w:rPr>
          <w:rStyle w:val="TextoNormalCaracter"/>
        </w:rPr>
        <w:t>, ff. 7 a 10.</w:t>
      </w:r>
    </w:p>
    <w:p w:rsidR="00234417" w:rsidRPr="00234417" w:rsidRDefault="00234417" w:rsidP="00234417">
      <w:pPr>
        <w:pStyle w:val="TextoNormalSangraFrancesa"/>
        <w:rPr>
          <w:rStyle w:val="TextoNormalCaracter"/>
        </w:rPr>
      </w:pPr>
      <w:bookmarkStart w:id="1716" w:name="DESCRIPTORALFABETICO119"/>
      <w:r w:rsidRPr="00234417">
        <w:rPr>
          <w:rStyle w:val="TextoNormalNegritaCaracter"/>
        </w:rPr>
        <w:t>Impuesto sobre actividades económicas</w:t>
      </w:r>
      <w:bookmarkEnd w:id="1716"/>
      <w:r w:rsidRPr="00234417">
        <w:rPr>
          <w:rStyle w:val="TextoNormalCaracter"/>
        </w:rPr>
        <w:t xml:space="preserve">, Sentencia </w:t>
      </w:r>
      <w:hyperlink w:anchor="SENTENCIA_2013_96" w:history="1">
        <w:r w:rsidRPr="00234417">
          <w:rPr>
            <w:rStyle w:val="TextoNormalCaracter"/>
          </w:rPr>
          <w:t>96/2013</w:t>
        </w:r>
      </w:hyperlink>
      <w:r w:rsidRPr="00234417">
        <w:rPr>
          <w:rStyle w:val="TextoNormalCaracter"/>
        </w:rPr>
        <w:t>, f. 12.</w:t>
      </w:r>
    </w:p>
    <w:p w:rsidR="00234417" w:rsidRPr="00234417" w:rsidRDefault="00234417" w:rsidP="00234417">
      <w:pPr>
        <w:pStyle w:val="TextoNormalSangraFrancesa"/>
        <w:rPr>
          <w:rStyle w:val="TextoNormalCaracter"/>
        </w:rPr>
      </w:pPr>
      <w:bookmarkStart w:id="1717" w:name="DESCRIPTORALFABETICO121"/>
      <w:r w:rsidRPr="00234417">
        <w:rPr>
          <w:rStyle w:val="TextoNormalNegritaCaracter"/>
        </w:rPr>
        <w:t>Impuesto sobre actividades que incidan en el medio ambiente</w:t>
      </w:r>
      <w:bookmarkEnd w:id="1717"/>
      <w:r w:rsidRPr="00234417">
        <w:rPr>
          <w:rStyle w:val="TextoNormalCaracter"/>
        </w:rPr>
        <w:t xml:space="preserve">, Sentencia </w:t>
      </w:r>
      <w:hyperlink w:anchor="SENTENCIA_2013_60" w:history="1">
        <w:r w:rsidRPr="00234417">
          <w:rPr>
            <w:rStyle w:val="TextoNormalCaracter"/>
          </w:rPr>
          <w:t>60/2013</w:t>
        </w:r>
      </w:hyperlink>
      <w:r w:rsidRPr="00234417">
        <w:rPr>
          <w:rStyle w:val="TextoNormalCaracter"/>
        </w:rPr>
        <w:t>, ff. 2 a 6.</w:t>
      </w:r>
    </w:p>
    <w:p w:rsidR="00234417" w:rsidRPr="00234417" w:rsidRDefault="00234417" w:rsidP="00234417">
      <w:pPr>
        <w:pStyle w:val="TextoNormalSangraFrancesa"/>
        <w:rPr>
          <w:rStyle w:val="TextoNormalCaracter"/>
        </w:rPr>
      </w:pPr>
      <w:bookmarkStart w:id="1718" w:name="DESCRIPTORALFABETICO122"/>
      <w:r w:rsidRPr="00234417">
        <w:rPr>
          <w:rStyle w:val="TextoNormalNegritaCaracter"/>
        </w:rPr>
        <w:t>Impuesto sobre bienes inmuebles</w:t>
      </w:r>
      <w:bookmarkEnd w:id="1718"/>
      <w:r w:rsidRPr="00234417">
        <w:rPr>
          <w:rStyle w:val="TextoNormalCaracter"/>
        </w:rPr>
        <w:t xml:space="preserve">, Sentencia </w:t>
      </w:r>
      <w:hyperlink w:anchor="SENTENCIA_2013_96" w:history="1">
        <w:r w:rsidRPr="00234417">
          <w:rPr>
            <w:rStyle w:val="TextoNormalCaracter"/>
          </w:rPr>
          <w:t>96/2013</w:t>
        </w:r>
      </w:hyperlink>
      <w:r w:rsidRPr="00234417">
        <w:rPr>
          <w:rStyle w:val="TextoNormalCaracter"/>
        </w:rPr>
        <w:t>, f. 12.</w:t>
      </w:r>
    </w:p>
    <w:p w:rsidR="00234417" w:rsidRPr="00234417" w:rsidRDefault="00234417" w:rsidP="00234417">
      <w:pPr>
        <w:pStyle w:val="TextoNormalSangraFrancesa"/>
        <w:rPr>
          <w:rStyle w:val="TextoNormalCaracter"/>
        </w:rPr>
      </w:pPr>
      <w:bookmarkStart w:id="1719" w:name="DESCRIPTORALFABETICO123"/>
      <w:r w:rsidRPr="00234417">
        <w:rPr>
          <w:rStyle w:val="TextoNormalNegritaCaracter"/>
        </w:rPr>
        <w:t>Impuesto sobre grandes establecimientos comerciales</w:t>
      </w:r>
      <w:bookmarkEnd w:id="1719"/>
      <w:r w:rsidRPr="00234417">
        <w:rPr>
          <w:rStyle w:val="TextoNormalCaracter"/>
        </w:rPr>
        <w:t xml:space="preserve">, Sentencia </w:t>
      </w:r>
      <w:hyperlink w:anchor="SENTENCIA_2013_96" w:history="1">
        <w:r w:rsidRPr="00234417">
          <w:rPr>
            <w:rStyle w:val="TextoNormalCaracter"/>
          </w:rPr>
          <w:t>96/2013</w:t>
        </w:r>
      </w:hyperlink>
      <w:r w:rsidRPr="00234417">
        <w:rPr>
          <w:rStyle w:val="TextoNormalCaracter"/>
        </w:rPr>
        <w:t>, ff. 8, 10, 12.</w:t>
      </w:r>
    </w:p>
    <w:p w:rsidR="00234417" w:rsidRPr="00234417" w:rsidRDefault="00234417" w:rsidP="00234417">
      <w:pPr>
        <w:pStyle w:val="TextoNormalSangraFrancesa"/>
        <w:rPr>
          <w:rStyle w:val="TextoNormalCaracter"/>
        </w:rPr>
      </w:pPr>
      <w:bookmarkStart w:id="1720" w:name="DESCRIPTORALFABETICO127"/>
      <w:r w:rsidRPr="00234417">
        <w:rPr>
          <w:rStyle w:val="TextoNormalNegritaCaracter"/>
        </w:rPr>
        <w:t>Impuestos autonómicos</w:t>
      </w:r>
      <w:bookmarkEnd w:id="1720"/>
      <w:r w:rsidRPr="00234417">
        <w:rPr>
          <w:rStyle w:val="TextoNormalCaracter"/>
        </w:rPr>
        <w:t xml:space="preserve">, Sentencia </w:t>
      </w:r>
      <w:hyperlink w:anchor="SENTENCIA_2013_96" w:history="1">
        <w:r w:rsidRPr="00234417">
          <w:rPr>
            <w:rStyle w:val="TextoNormalCaracter"/>
          </w:rPr>
          <w:t>96/2013</w:t>
        </w:r>
      </w:hyperlink>
      <w:r w:rsidRPr="00234417">
        <w:rPr>
          <w:rStyle w:val="TextoNormalCaracter"/>
        </w:rPr>
        <w:t>, f. 10.</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123" w:history="1">
        <w:r w:rsidRPr="00234417">
          <w:rPr>
            <w:rStyle w:val="TextoNormalCaracter"/>
          </w:rPr>
          <w:t>123/2013</w:t>
        </w:r>
      </w:hyperlink>
      <w:r w:rsidRPr="00234417">
        <w:rPr>
          <w:rStyle w:val="TextoNormalCaracter"/>
        </w:rPr>
        <w:t>, f. 1.</w:t>
      </w:r>
    </w:p>
    <w:p w:rsidR="00234417" w:rsidRPr="00234417" w:rsidRDefault="00234417" w:rsidP="00234417">
      <w:pPr>
        <w:pStyle w:val="TextoNormalSangraFrancesa"/>
        <w:rPr>
          <w:rStyle w:val="TextoNormalNegritaCaracter"/>
        </w:rPr>
      </w:pPr>
      <w:r w:rsidRPr="00234417">
        <w:rPr>
          <w:rStyle w:val="TextoNormalCursivaCaracter"/>
        </w:rPr>
        <w:t>Impuestos propios</w:t>
      </w:r>
      <w:r>
        <w:t xml:space="preserve"> véase </w:t>
      </w:r>
      <w:hyperlink w:anchor="DESCRIPTORALFABETICO127" w:history="1">
        <w:r w:rsidRPr="00234417">
          <w:rPr>
            <w:rStyle w:val="TextoNormalNegritaCaracter"/>
          </w:rPr>
          <w:t>Impuestos autonómicos</w:t>
        </w:r>
      </w:hyperlink>
    </w:p>
    <w:p w:rsidR="00234417" w:rsidRPr="00234417" w:rsidRDefault="00234417" w:rsidP="00234417">
      <w:pPr>
        <w:pStyle w:val="TextoNormalSangraFrancesa"/>
        <w:rPr>
          <w:rStyle w:val="TextoNormalCaracter"/>
        </w:rPr>
      </w:pPr>
      <w:bookmarkStart w:id="1721" w:name="DESCRIPTORALFABETICO818"/>
      <w:r w:rsidRPr="00234417">
        <w:rPr>
          <w:rStyle w:val="TextoNormalNegritaCaracter"/>
        </w:rPr>
        <w:t>Impugnación de la tasación de costas</w:t>
      </w:r>
      <w:bookmarkEnd w:id="1721"/>
      <w:r w:rsidRPr="00234417">
        <w:rPr>
          <w:rStyle w:val="TextoNormalCaracter"/>
        </w:rPr>
        <w:t xml:space="preserve">, Sentencia </w:t>
      </w:r>
      <w:hyperlink w:anchor="SENTENCIA_2013_108" w:history="1">
        <w:r w:rsidRPr="00234417">
          <w:rPr>
            <w:rStyle w:val="TextoNormalCaracter"/>
          </w:rPr>
          <w:t>108/2013</w:t>
        </w:r>
      </w:hyperlink>
      <w:r w:rsidRPr="00234417">
        <w:rPr>
          <w:rStyle w:val="TextoNormalCaracter"/>
        </w:rPr>
        <w:t>, ff. 4 a 6.</w:t>
      </w:r>
    </w:p>
    <w:p w:rsidR="00234417" w:rsidRPr="00234417" w:rsidRDefault="00234417" w:rsidP="00234417">
      <w:pPr>
        <w:pStyle w:val="TextoNormalSangraFrancesa"/>
        <w:rPr>
          <w:rStyle w:val="TextoNormalCaracter"/>
        </w:rPr>
      </w:pPr>
      <w:bookmarkStart w:id="1722" w:name="DESCRIPTORALFABETICO293"/>
      <w:r w:rsidRPr="00234417">
        <w:rPr>
          <w:rStyle w:val="TextoNormalNegritaCaracter"/>
        </w:rPr>
        <w:t>Impugnación de normas de vigencia temporal</w:t>
      </w:r>
      <w:bookmarkEnd w:id="1722"/>
      <w:r w:rsidRPr="00234417">
        <w:rPr>
          <w:rStyle w:val="TextoNormalCaracter"/>
        </w:rPr>
        <w:t xml:space="preserve">, Sentencia </w:t>
      </w:r>
      <w:hyperlink w:anchor="SENTENCIA_2013_100" w:history="1">
        <w:r w:rsidRPr="00234417">
          <w:rPr>
            <w:rStyle w:val="TextoNormalCaracter"/>
          </w:rPr>
          <w:t>100/2013</w:t>
        </w:r>
      </w:hyperlink>
      <w:r w:rsidRPr="00234417">
        <w:rPr>
          <w:rStyle w:val="TextoNormalCaracter"/>
        </w:rPr>
        <w:t>, f. 2.</w:t>
      </w:r>
    </w:p>
    <w:p w:rsidR="00234417" w:rsidRPr="00234417" w:rsidRDefault="00234417" w:rsidP="00234417">
      <w:pPr>
        <w:pStyle w:val="TextoNormalSangraFrancesa"/>
        <w:rPr>
          <w:rStyle w:val="TextoNormalCaracter"/>
        </w:rPr>
      </w:pPr>
      <w:bookmarkStart w:id="1723" w:name="DESCRIPTORALFABETICO294"/>
      <w:r w:rsidRPr="00234417">
        <w:rPr>
          <w:rStyle w:val="TextoNormalNegritaCaracter"/>
        </w:rPr>
        <w:t>Impugnación global de normas</w:t>
      </w:r>
      <w:bookmarkEnd w:id="1723"/>
      <w:r w:rsidRPr="00234417">
        <w:rPr>
          <w:rStyle w:val="TextoNormalCaracter"/>
        </w:rPr>
        <w:t xml:space="preserve">, Sentencias </w:t>
      </w:r>
      <w:hyperlink w:anchor="SENTENCIA_2013_100" w:history="1">
        <w:r w:rsidRPr="00234417">
          <w:rPr>
            <w:rStyle w:val="TextoNormalCaracter"/>
          </w:rPr>
          <w:t>100/2013</w:t>
        </w:r>
      </w:hyperlink>
      <w:r w:rsidRPr="00234417">
        <w:rPr>
          <w:rStyle w:val="TextoNormalCaracter"/>
        </w:rPr>
        <w:t xml:space="preserve">, f. 2; </w:t>
      </w:r>
      <w:hyperlink w:anchor="SENTENCIA_2013_101" w:history="1">
        <w:r w:rsidRPr="00234417">
          <w:rPr>
            <w:rStyle w:val="TextoNormalCaracter"/>
          </w:rPr>
          <w:t>101/2013</w:t>
        </w:r>
      </w:hyperlink>
      <w:r w:rsidRPr="00234417">
        <w:rPr>
          <w:rStyle w:val="TextoNormalCaracter"/>
        </w:rPr>
        <w:t>, f. 11.</w:t>
      </w:r>
    </w:p>
    <w:p w:rsidR="00234417" w:rsidRPr="00234417" w:rsidRDefault="00234417" w:rsidP="00234417">
      <w:pPr>
        <w:pStyle w:val="TextoNormalSangraFrancesa"/>
        <w:rPr>
          <w:rStyle w:val="TextoNormalCaracter"/>
        </w:rPr>
      </w:pPr>
      <w:bookmarkStart w:id="1724" w:name="DESCRIPTORALFABETICO266"/>
      <w:r w:rsidRPr="00234417">
        <w:rPr>
          <w:rStyle w:val="TextoNormalNegritaCaracter"/>
        </w:rPr>
        <w:t>Inadmisión de conflictos positivos de competencia</w:t>
      </w:r>
      <w:bookmarkEnd w:id="1724"/>
      <w:r w:rsidRPr="00234417">
        <w:rPr>
          <w:rStyle w:val="TextoNormalCaracter"/>
        </w:rPr>
        <w:t xml:space="preserve">, Auto </w:t>
      </w:r>
      <w:hyperlink w:anchor="AUTO_2013_33" w:history="1">
        <w:r w:rsidRPr="00234417">
          <w:rPr>
            <w:rStyle w:val="TextoNormalCaracter"/>
          </w:rPr>
          <w:t>33/2013</w:t>
        </w:r>
      </w:hyperlink>
      <w:r w:rsidRPr="00234417">
        <w:rPr>
          <w:rStyle w:val="TextoNormalCaracter"/>
        </w:rPr>
        <w:t>, ff. 2 a 6.</w:t>
      </w:r>
    </w:p>
    <w:p w:rsidR="00234417" w:rsidRPr="00234417" w:rsidRDefault="00234417" w:rsidP="00234417">
      <w:pPr>
        <w:pStyle w:val="TextoNormalSangraFrancesa"/>
        <w:rPr>
          <w:rStyle w:val="TextoNormalCaracter"/>
        </w:rPr>
      </w:pPr>
      <w:bookmarkStart w:id="1725" w:name="DESCRIPTORALFABETICO280"/>
      <w:r w:rsidRPr="00234417">
        <w:rPr>
          <w:rStyle w:val="TextoNormalNegritaCaracter"/>
        </w:rPr>
        <w:t>Inadmisión de cuestión de inconstitucionalidad por falta de requisitos procesales</w:t>
      </w:r>
      <w:bookmarkEnd w:id="1725"/>
      <w:r w:rsidRPr="00234417">
        <w:rPr>
          <w:rStyle w:val="TextoNormalCaracter"/>
        </w:rPr>
        <w:t xml:space="preserve">, Sentencia </w:t>
      </w:r>
      <w:hyperlink w:anchor="SENTENCIA_2013_42" w:history="1">
        <w:r w:rsidRPr="00234417">
          <w:rPr>
            <w:rStyle w:val="TextoNormalCaracter"/>
          </w:rPr>
          <w:t>42/2013</w:t>
        </w:r>
      </w:hyperlink>
      <w:r w:rsidRPr="00234417">
        <w:rPr>
          <w:rStyle w:val="TextoNormalCaracter"/>
        </w:rPr>
        <w:t>, f. 5.</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23" w:history="1">
        <w:r w:rsidRPr="00234417">
          <w:rPr>
            <w:rStyle w:val="TextoNormalCaracter"/>
          </w:rPr>
          <w:t>23/2013</w:t>
        </w:r>
      </w:hyperlink>
      <w:r w:rsidRPr="00234417">
        <w:rPr>
          <w:rStyle w:val="TextoNormalCaracter"/>
        </w:rPr>
        <w:t xml:space="preserve">, ff. 4, 5; </w:t>
      </w:r>
      <w:hyperlink w:anchor="AUTO_2013_24" w:history="1">
        <w:r w:rsidRPr="00234417">
          <w:rPr>
            <w:rStyle w:val="TextoNormalCaracter"/>
          </w:rPr>
          <w:t>24/2013</w:t>
        </w:r>
      </w:hyperlink>
      <w:r w:rsidRPr="00234417">
        <w:rPr>
          <w:rStyle w:val="TextoNormalCaracter"/>
        </w:rPr>
        <w:t xml:space="preserve">, f. 3; </w:t>
      </w:r>
      <w:hyperlink w:anchor="AUTO_2013_35" w:history="1">
        <w:r w:rsidRPr="00234417">
          <w:rPr>
            <w:rStyle w:val="TextoNormalCaracter"/>
          </w:rPr>
          <w:t>35/2013</w:t>
        </w:r>
      </w:hyperlink>
      <w:r w:rsidRPr="00234417">
        <w:rPr>
          <w:rStyle w:val="TextoNormalCaracter"/>
        </w:rPr>
        <w:t xml:space="preserve">, ff. 3, 4; </w:t>
      </w:r>
      <w:hyperlink w:anchor="AUTO_2013_59" w:history="1">
        <w:r w:rsidRPr="00234417">
          <w:rPr>
            <w:rStyle w:val="TextoNormalCaracter"/>
          </w:rPr>
          <w:t>59/2013</w:t>
        </w:r>
      </w:hyperlink>
      <w:r w:rsidRPr="00234417">
        <w:rPr>
          <w:rStyle w:val="TextoNormalCaracter"/>
        </w:rPr>
        <w:t xml:space="preserve">, ff. 2, 3; </w:t>
      </w:r>
      <w:hyperlink w:anchor="AUTO_2013_125" w:history="1">
        <w:r w:rsidRPr="00234417">
          <w:rPr>
            <w:rStyle w:val="TextoNormalCaracter"/>
          </w:rPr>
          <w:t>125/2013</w:t>
        </w:r>
      </w:hyperlink>
      <w:r w:rsidRPr="00234417">
        <w:rPr>
          <w:rStyle w:val="TextoNormalCaracter"/>
        </w:rPr>
        <w:t xml:space="preserve">, ff. 2, 3; </w:t>
      </w:r>
      <w:hyperlink w:anchor="AUTO_2013_127" w:history="1">
        <w:r w:rsidRPr="00234417">
          <w:rPr>
            <w:rStyle w:val="TextoNormalCaracter"/>
          </w:rPr>
          <w:t>127/2013</w:t>
        </w:r>
      </w:hyperlink>
      <w:r w:rsidRPr="00234417">
        <w:rPr>
          <w:rStyle w:val="TextoNormalCaracter"/>
        </w:rPr>
        <w:t xml:space="preserve">, ff. 2, 3; </w:t>
      </w:r>
      <w:hyperlink w:anchor="AUTO_2013_128" w:history="1">
        <w:r w:rsidRPr="00234417">
          <w:rPr>
            <w:rStyle w:val="TextoNormalCaracter"/>
          </w:rPr>
          <w:t>128/2013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726" w:name="DESCRIPTORALFABETICO317"/>
      <w:r w:rsidRPr="00234417">
        <w:rPr>
          <w:rStyle w:val="TextoNormalNegritaCaracter"/>
        </w:rPr>
        <w:t>Inadmisión de recurso de amparo</w:t>
      </w:r>
      <w:bookmarkEnd w:id="1726"/>
      <w:r w:rsidRPr="00234417">
        <w:rPr>
          <w:rStyle w:val="TextoNormalCaracter"/>
        </w:rPr>
        <w:t xml:space="preserve">, Sentencias </w:t>
      </w:r>
      <w:hyperlink w:anchor="SENTENCIA_2013_28" w:history="1">
        <w:r w:rsidRPr="00234417">
          <w:rPr>
            <w:rStyle w:val="TextoNormalCaracter"/>
          </w:rPr>
          <w:t>28/2013</w:t>
        </w:r>
      </w:hyperlink>
      <w:r w:rsidRPr="00234417">
        <w:rPr>
          <w:rStyle w:val="TextoNormalCaracter"/>
        </w:rPr>
        <w:t xml:space="preserve">, f. 3; </w:t>
      </w:r>
      <w:hyperlink w:anchor="SENTENCIA_2013_54" w:history="1">
        <w:r w:rsidRPr="00234417">
          <w:rPr>
            <w:rStyle w:val="TextoNormalCaracter"/>
          </w:rPr>
          <w:t>54/2013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25" w:history="1">
        <w:r w:rsidRPr="00234417">
          <w:rPr>
            <w:rStyle w:val="TextoNormalCaracter"/>
          </w:rPr>
          <w:t>25/2013</w:t>
        </w:r>
      </w:hyperlink>
      <w:r w:rsidRPr="00234417">
        <w:rPr>
          <w:rStyle w:val="TextoNormalCaracter"/>
        </w:rPr>
        <w:t xml:space="preserve">, ff. 2, 3, 4; </w:t>
      </w:r>
      <w:hyperlink w:anchor="AUTO_2013_28" w:history="1">
        <w:r w:rsidRPr="00234417">
          <w:rPr>
            <w:rStyle w:val="TextoNormalCaracter"/>
          </w:rPr>
          <w:t>28/2013</w:t>
        </w:r>
      </w:hyperlink>
      <w:r w:rsidRPr="00234417">
        <w:rPr>
          <w:rStyle w:val="TextoNormalCaracter"/>
        </w:rPr>
        <w:t xml:space="preserve">, ff. 1, 2, VP I; </w:t>
      </w:r>
      <w:hyperlink w:anchor="AUTO_2013_143" w:history="1">
        <w:r w:rsidRPr="00234417">
          <w:rPr>
            <w:rStyle w:val="TextoNormalCaracter"/>
          </w:rPr>
          <w:t>143/2013</w:t>
        </w:r>
      </w:hyperlink>
      <w:r w:rsidRPr="00234417">
        <w:rPr>
          <w:rStyle w:val="TextoNormalCaracter"/>
        </w:rPr>
        <w:t xml:space="preserve">, f. 3; </w:t>
      </w:r>
      <w:hyperlink w:anchor="AUTO_2013_145" w:history="1">
        <w:r w:rsidRPr="00234417">
          <w:rPr>
            <w:rStyle w:val="TextoNormalCaracter"/>
          </w:rPr>
          <w:t>145/2013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727" w:name="DESCRIPTORALFABETICO321"/>
      <w:r w:rsidRPr="00234417">
        <w:rPr>
          <w:rStyle w:val="TextoNormalNegritaCaracter"/>
        </w:rPr>
        <w:t>Inadmisión de recurso de amparo por Auto</w:t>
      </w:r>
      <w:bookmarkEnd w:id="1727"/>
      <w:r w:rsidRPr="00234417">
        <w:rPr>
          <w:rStyle w:val="TextoNormalCaracter"/>
        </w:rPr>
        <w:t xml:space="preserve">, Auto </w:t>
      </w:r>
      <w:hyperlink w:anchor="AUTO_2013_21" w:history="1">
        <w:r w:rsidRPr="00234417">
          <w:rPr>
            <w:rStyle w:val="TextoNormalCaracter"/>
          </w:rPr>
          <w:t>21/2013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1728" w:name="DESCRIPTORALFABETICO322"/>
      <w:r w:rsidRPr="00234417">
        <w:rPr>
          <w:rStyle w:val="TextoNormalNegritaCaracter"/>
        </w:rPr>
        <w:t>Inadmisión de recurso de amparo por sentencia</w:t>
      </w:r>
      <w:bookmarkEnd w:id="1728"/>
      <w:r w:rsidRPr="00234417">
        <w:rPr>
          <w:rStyle w:val="TextoNormalCaracter"/>
        </w:rPr>
        <w:t xml:space="preserve">, Sentencias </w:t>
      </w:r>
      <w:hyperlink w:anchor="SENTENCIA_2013_11" w:history="1">
        <w:r w:rsidRPr="00234417">
          <w:rPr>
            <w:rStyle w:val="TextoNormalCaracter"/>
          </w:rPr>
          <w:t>11/2013</w:t>
        </w:r>
      </w:hyperlink>
      <w:r w:rsidRPr="00234417">
        <w:rPr>
          <w:rStyle w:val="TextoNormalCaracter"/>
        </w:rPr>
        <w:t xml:space="preserve">, f. 2; </w:t>
      </w:r>
      <w:hyperlink w:anchor="SENTENCIA_2013_28" w:history="1">
        <w:r w:rsidRPr="00234417">
          <w:rPr>
            <w:rStyle w:val="TextoNormalCaracter"/>
          </w:rPr>
          <w:t>28/2013</w:t>
        </w:r>
      </w:hyperlink>
      <w:r w:rsidRPr="00234417">
        <w:rPr>
          <w:rStyle w:val="TextoNormalCaracter"/>
        </w:rPr>
        <w:t xml:space="preserve">, f. 3; </w:t>
      </w:r>
      <w:hyperlink w:anchor="SENTENCIA_2013_54" w:history="1">
        <w:r w:rsidRPr="00234417">
          <w:rPr>
            <w:rStyle w:val="TextoNormalCaracter"/>
          </w:rPr>
          <w:t>54/2013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1729" w:name="DESCRIPTORALFABETICO890"/>
      <w:r w:rsidRPr="00234417">
        <w:rPr>
          <w:rStyle w:val="TextoNormalNegritaCaracter"/>
        </w:rPr>
        <w:t>Inadmisión de recurso de apelación civil</w:t>
      </w:r>
      <w:bookmarkEnd w:id="1729"/>
      <w:r w:rsidRPr="00234417">
        <w:rPr>
          <w:rStyle w:val="TextoNormalCaracter"/>
        </w:rPr>
        <w:t xml:space="preserve">, Sentencias </w:t>
      </w:r>
      <w:hyperlink w:anchor="SENTENCIA_2013_73" w:history="1">
        <w:r w:rsidRPr="00234417">
          <w:rPr>
            <w:rStyle w:val="TextoNormalCaracter"/>
          </w:rPr>
          <w:t>73/2013</w:t>
        </w:r>
      </w:hyperlink>
      <w:r w:rsidRPr="00234417">
        <w:rPr>
          <w:rStyle w:val="TextoNormalCaracter"/>
        </w:rPr>
        <w:t xml:space="preserve">, ff. 2, 3; </w:t>
      </w:r>
      <w:hyperlink w:anchor="SENTENCIA_2013_74" w:history="1">
        <w:r w:rsidRPr="00234417">
          <w:rPr>
            <w:rStyle w:val="TextoNormalCaracter"/>
          </w:rPr>
          <w:t>74/2013</w:t>
        </w:r>
      </w:hyperlink>
      <w:r w:rsidRPr="00234417">
        <w:rPr>
          <w:rStyle w:val="TextoNormalCaracter"/>
        </w:rPr>
        <w:t>, ff. 1 a 4.</w:t>
      </w:r>
    </w:p>
    <w:p w:rsidR="00234417" w:rsidRPr="00234417" w:rsidRDefault="00234417" w:rsidP="00234417">
      <w:pPr>
        <w:pStyle w:val="TextoNormalSangraFrancesa"/>
        <w:rPr>
          <w:rStyle w:val="TextoNormalCaracter"/>
        </w:rPr>
      </w:pPr>
      <w:bookmarkStart w:id="1730" w:name="DESCRIPTORALFABETICO874"/>
      <w:r w:rsidRPr="00234417">
        <w:rPr>
          <w:rStyle w:val="TextoNormalNegritaCaracter"/>
        </w:rPr>
        <w:t>Inadmisión de recurso de apelación por defecto de forma</w:t>
      </w:r>
      <w:bookmarkEnd w:id="1730"/>
      <w:r w:rsidRPr="00234417">
        <w:rPr>
          <w:rStyle w:val="TextoNormalCaracter"/>
        </w:rPr>
        <w:t xml:space="preserve">, Sentencia </w:t>
      </w:r>
      <w:hyperlink w:anchor="SENTENCIA_2013_90" w:history="1">
        <w:r w:rsidRPr="00234417">
          <w:rPr>
            <w:rStyle w:val="TextoNormalCaracter"/>
          </w:rPr>
          <w:t>90/2013</w:t>
        </w:r>
      </w:hyperlink>
      <w:r w:rsidRPr="00234417">
        <w:rPr>
          <w:rStyle w:val="TextoNormalCaracter"/>
        </w:rPr>
        <w:t>, ff. 2 a 4.</w:t>
      </w:r>
    </w:p>
    <w:p w:rsidR="00234417" w:rsidRPr="00234417" w:rsidRDefault="00234417" w:rsidP="00234417">
      <w:pPr>
        <w:pStyle w:val="TextoNormalSangraFrancesa"/>
        <w:rPr>
          <w:rStyle w:val="TextoNormalCaracter"/>
        </w:rPr>
      </w:pPr>
      <w:bookmarkStart w:id="1731" w:name="DESCRIPTORALFABETICO618"/>
      <w:r w:rsidRPr="00234417">
        <w:rPr>
          <w:rStyle w:val="TextoNormalNegritaCaracter"/>
        </w:rPr>
        <w:t>Incendio forestal</w:t>
      </w:r>
      <w:bookmarkEnd w:id="1731"/>
      <w:r w:rsidRPr="00234417">
        <w:rPr>
          <w:rStyle w:val="TextoNormalCaracter"/>
        </w:rPr>
        <w:t xml:space="preserve">, Sentencias </w:t>
      </w:r>
      <w:hyperlink w:anchor="SENTENCIA_2013_49" w:history="1">
        <w:r w:rsidRPr="00234417">
          <w:rPr>
            <w:rStyle w:val="TextoNormalCaracter"/>
          </w:rPr>
          <w:t>49/2013</w:t>
        </w:r>
      </w:hyperlink>
      <w:r w:rsidRPr="00234417">
        <w:rPr>
          <w:rStyle w:val="TextoNormalCaracter"/>
        </w:rPr>
        <w:t xml:space="preserve">, f. 12; </w:t>
      </w:r>
      <w:hyperlink w:anchor="SENTENCIA_2013_84" w:history="1">
        <w:r w:rsidRPr="00234417">
          <w:rPr>
            <w:rStyle w:val="TextoNormalCaracter"/>
          </w:rPr>
          <w:t>84/2013</w:t>
        </w:r>
      </w:hyperlink>
      <w:r w:rsidRPr="00234417">
        <w:rPr>
          <w:rStyle w:val="TextoNormalCaracter"/>
        </w:rPr>
        <w:t xml:space="preserve">, f. 2; </w:t>
      </w:r>
      <w:hyperlink w:anchor="SENTENCIA_2013_97" w:history="1">
        <w:r w:rsidRPr="00234417">
          <w:rPr>
            <w:rStyle w:val="TextoNormalCaracter"/>
          </w:rPr>
          <w:t>97/2013</w:t>
        </w:r>
      </w:hyperlink>
      <w:r w:rsidRPr="00234417">
        <w:rPr>
          <w:rStyle w:val="TextoNormalCaracter"/>
        </w:rPr>
        <w:t>, ff. 1 a 6.</w:t>
      </w:r>
    </w:p>
    <w:p w:rsidR="00234417" w:rsidRPr="00234417" w:rsidRDefault="00234417" w:rsidP="00234417">
      <w:pPr>
        <w:pStyle w:val="TextoNormalSangraFrancesa"/>
        <w:rPr>
          <w:rStyle w:val="TextoNormalCaracter"/>
        </w:rPr>
      </w:pPr>
      <w:bookmarkStart w:id="1732" w:name="DESCRIPTORALFABETICO854"/>
      <w:r w:rsidRPr="00234417">
        <w:rPr>
          <w:rStyle w:val="TextoNormalNegritaCaracter"/>
        </w:rPr>
        <w:lastRenderedPageBreak/>
        <w:t>Incidente de nulidad de actuaciones</w:t>
      </w:r>
      <w:bookmarkEnd w:id="1732"/>
      <w:r w:rsidRPr="00234417">
        <w:rPr>
          <w:rStyle w:val="TextoNormalCaracter"/>
        </w:rPr>
        <w:t xml:space="preserve">, Sentencias </w:t>
      </w:r>
      <w:hyperlink w:anchor="SENTENCIA_2013_11" w:history="1">
        <w:r w:rsidRPr="00234417">
          <w:rPr>
            <w:rStyle w:val="TextoNormalCaracter"/>
          </w:rPr>
          <w:t>11/2013</w:t>
        </w:r>
      </w:hyperlink>
      <w:r w:rsidRPr="00234417">
        <w:rPr>
          <w:rStyle w:val="TextoNormalCaracter"/>
        </w:rPr>
        <w:t xml:space="preserve">, f. 2; </w:t>
      </w:r>
      <w:hyperlink w:anchor="SENTENCIA_2013_56" w:history="1">
        <w:r w:rsidRPr="00234417">
          <w:rPr>
            <w:rStyle w:val="TextoNormalCaracter"/>
          </w:rPr>
          <w:t>56/2013</w:t>
        </w:r>
      </w:hyperlink>
      <w:r w:rsidRPr="00234417">
        <w:rPr>
          <w:rStyle w:val="TextoNormalCaracter"/>
        </w:rPr>
        <w:t xml:space="preserve">, f. 1; </w:t>
      </w:r>
      <w:hyperlink w:anchor="SENTENCIA_2013_108" w:history="1">
        <w:r w:rsidRPr="00234417">
          <w:rPr>
            <w:rStyle w:val="TextoNormalCaracter"/>
          </w:rPr>
          <w:t>108/2013</w:t>
        </w:r>
      </w:hyperlink>
      <w:r w:rsidRPr="00234417">
        <w:rPr>
          <w:rStyle w:val="TextoNormalCaracter"/>
        </w:rPr>
        <w:t xml:space="preserve">, f. 3; </w:t>
      </w:r>
      <w:hyperlink w:anchor="SENTENCIA_2013_110" w:history="1">
        <w:r w:rsidRPr="00234417">
          <w:rPr>
            <w:rStyle w:val="TextoNormalCaracter"/>
          </w:rPr>
          <w:t>110/2013</w:t>
        </w:r>
      </w:hyperlink>
      <w:r w:rsidRPr="00234417">
        <w:rPr>
          <w:rStyle w:val="TextoNormalCaracter"/>
        </w:rPr>
        <w:t xml:space="preserve">, f. 2; </w:t>
      </w:r>
      <w:hyperlink w:anchor="SENTENCIA_2013_126" w:history="1">
        <w:r w:rsidRPr="00234417">
          <w:rPr>
            <w:rStyle w:val="TextoNormalCaracter"/>
          </w:rPr>
          <w:t>126/2013</w:t>
        </w:r>
      </w:hyperlink>
      <w:r w:rsidRPr="00234417">
        <w:rPr>
          <w:rStyle w:val="TextoNormalCaracter"/>
        </w:rPr>
        <w:t xml:space="preserve">, ff. 5, 6; </w:t>
      </w:r>
      <w:hyperlink w:anchor="SENTENCIA_2013_127" w:history="1">
        <w:r w:rsidRPr="00234417">
          <w:rPr>
            <w:rStyle w:val="TextoNormalCaracter"/>
          </w:rPr>
          <w:t>127/2013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22" w:history="1">
        <w:r w:rsidRPr="00234417">
          <w:rPr>
            <w:rStyle w:val="TextoNormalCaracter"/>
          </w:rPr>
          <w:t>22/2013</w:t>
        </w:r>
      </w:hyperlink>
      <w:r w:rsidRPr="00234417">
        <w:rPr>
          <w:rStyle w:val="TextoNormalCaracter"/>
        </w:rPr>
        <w:t>, ff. 1, 2.</w:t>
      </w:r>
    </w:p>
    <w:p w:rsidR="00234417" w:rsidRPr="00234417" w:rsidRDefault="00234417" w:rsidP="00234417">
      <w:pPr>
        <w:pStyle w:val="TextoNormalSangraFrancesa"/>
        <w:rPr>
          <w:rStyle w:val="TextoNormalCaracter"/>
        </w:rPr>
      </w:pPr>
      <w:bookmarkStart w:id="1733" w:name="DESCRIPTORALFABETICO855"/>
      <w:r w:rsidRPr="00234417">
        <w:rPr>
          <w:rStyle w:val="TextoNormalNegritaCaracter"/>
        </w:rPr>
        <w:t>Incidente de nulidad de actuaciones no exigible</w:t>
      </w:r>
      <w:bookmarkEnd w:id="1733"/>
      <w:r w:rsidRPr="00234417">
        <w:rPr>
          <w:rStyle w:val="TextoNormalCaracter"/>
        </w:rPr>
        <w:t xml:space="preserve">, Sentencias </w:t>
      </w:r>
      <w:hyperlink w:anchor="SENTENCIA_2013_1" w:history="1">
        <w:r w:rsidRPr="00234417">
          <w:rPr>
            <w:rStyle w:val="TextoNormalCaracter"/>
          </w:rPr>
          <w:t>1/2013</w:t>
        </w:r>
      </w:hyperlink>
      <w:r w:rsidRPr="00234417">
        <w:rPr>
          <w:rStyle w:val="TextoNormalCaracter"/>
        </w:rPr>
        <w:t xml:space="preserve">, f. 2; </w:t>
      </w:r>
      <w:hyperlink w:anchor="SENTENCIA_2013_106" w:history="1">
        <w:r w:rsidRPr="00234417">
          <w:rPr>
            <w:rStyle w:val="TextoNormalCaracter"/>
          </w:rPr>
          <w:t>106/2013</w:t>
        </w:r>
      </w:hyperlink>
      <w:r w:rsidRPr="00234417">
        <w:rPr>
          <w:rStyle w:val="TextoNormalCaracter"/>
        </w:rPr>
        <w:t>, f. 3.</w:t>
      </w:r>
    </w:p>
    <w:p w:rsidR="00234417" w:rsidRPr="00234417" w:rsidRDefault="00234417" w:rsidP="00234417">
      <w:pPr>
        <w:pStyle w:val="TextoNormalSangraFrancesa"/>
        <w:rPr>
          <w:rStyle w:val="TextoNormalCaracter"/>
        </w:rPr>
      </w:pPr>
      <w:bookmarkStart w:id="1734" w:name="DESCRIPTORALFABETICO310"/>
      <w:r w:rsidRPr="00234417">
        <w:rPr>
          <w:rStyle w:val="TextoNormalNegritaCaracter"/>
        </w:rPr>
        <w:t>Incidente de nulidad de actuaciones pendiente</w:t>
      </w:r>
      <w:bookmarkEnd w:id="1734"/>
      <w:r w:rsidRPr="00234417">
        <w:rPr>
          <w:rStyle w:val="TextoNormalCaracter"/>
        </w:rPr>
        <w:t xml:space="preserve">, Sentencia </w:t>
      </w:r>
      <w:hyperlink w:anchor="SENTENCIA_2013_110" w:history="1">
        <w:r w:rsidRPr="00234417">
          <w:rPr>
            <w:rStyle w:val="TextoNormalCaracter"/>
          </w:rPr>
          <w:t>110/2013</w:t>
        </w:r>
      </w:hyperlink>
      <w:r w:rsidRPr="00234417">
        <w:rPr>
          <w:rStyle w:val="TextoNormalCaracter"/>
        </w:rPr>
        <w:t>, f. 2.</w:t>
      </w:r>
    </w:p>
    <w:p w:rsidR="00234417" w:rsidRPr="00234417" w:rsidRDefault="00234417" w:rsidP="00234417">
      <w:pPr>
        <w:pStyle w:val="TextoNormalSangraFrancesa"/>
        <w:rPr>
          <w:rStyle w:val="TextoNormalCaracter"/>
        </w:rPr>
      </w:pPr>
      <w:bookmarkStart w:id="1735" w:name="DESCRIPTORALFABETICO856"/>
      <w:r w:rsidRPr="00234417">
        <w:rPr>
          <w:rStyle w:val="TextoNormalNegritaCaracter"/>
        </w:rPr>
        <w:t>Incidente de nulidad de actuaciones procedente</w:t>
      </w:r>
      <w:bookmarkEnd w:id="1735"/>
      <w:r w:rsidRPr="00234417">
        <w:rPr>
          <w:rStyle w:val="TextoNormalCaracter"/>
        </w:rPr>
        <w:t xml:space="preserve">, Sentencia </w:t>
      </w:r>
      <w:hyperlink w:anchor="SENTENCIA_2013_56" w:history="1">
        <w:r w:rsidRPr="00234417">
          <w:rPr>
            <w:rStyle w:val="TextoNormalCaracter"/>
          </w:rPr>
          <w:t>56/2013</w:t>
        </w:r>
      </w:hyperlink>
      <w:r w:rsidRPr="00234417">
        <w:rPr>
          <w:rStyle w:val="TextoNormalCaracter"/>
        </w:rPr>
        <w:t>, f. 1.</w:t>
      </w:r>
    </w:p>
    <w:p w:rsidR="00234417" w:rsidRPr="00234417" w:rsidRDefault="00234417" w:rsidP="00234417">
      <w:pPr>
        <w:pStyle w:val="TextoNormalSangraFrancesa"/>
        <w:rPr>
          <w:rStyle w:val="TextoNormalCaracter"/>
        </w:rPr>
      </w:pPr>
      <w:bookmarkStart w:id="1736" w:name="DESCRIPTORALFABETICO165"/>
      <w:r w:rsidRPr="00234417">
        <w:rPr>
          <w:rStyle w:val="TextoNormalNegritaCaracter"/>
        </w:rPr>
        <w:t>Incongruencia de las resoluciones judiciales</w:t>
      </w:r>
      <w:bookmarkEnd w:id="1736"/>
      <w:r w:rsidRPr="00234417">
        <w:rPr>
          <w:rStyle w:val="TextoNormalCaracter"/>
        </w:rPr>
        <w:t xml:space="preserve">, </w:t>
      </w:r>
    </w:p>
    <w:p w:rsidR="00234417" w:rsidRPr="00234417" w:rsidRDefault="00234417" w:rsidP="00234417">
      <w:pPr>
        <w:pStyle w:val="TextoNormalSangraFrancesa"/>
        <w:rPr>
          <w:rStyle w:val="TextoNormalCaracter"/>
        </w:rPr>
      </w:pPr>
      <w:r w:rsidRPr="00234417">
        <w:rPr>
          <w:rStyle w:val="TextoNormalCursivaCaracter"/>
        </w:rPr>
        <w:t xml:space="preserve">    Respetado, </w:t>
      </w:r>
      <w:r w:rsidRPr="00234417">
        <w:rPr>
          <w:rStyle w:val="TextoNormalCaracter"/>
        </w:rPr>
        <w:t xml:space="preserve">Sentencia </w:t>
      </w:r>
      <w:hyperlink w:anchor="SENTENCIA_2013_2" w:history="1">
        <w:r w:rsidRPr="00234417">
          <w:rPr>
            <w:rStyle w:val="TextoNormalCaracter"/>
          </w:rPr>
          <w:t>2/2013</w:t>
        </w:r>
      </w:hyperlink>
      <w:r w:rsidRPr="00234417">
        <w:rPr>
          <w:rStyle w:val="TextoNormalCaracter"/>
        </w:rPr>
        <w:t>, ff. 5, 8.</w:t>
      </w:r>
    </w:p>
    <w:p w:rsidR="00234417" w:rsidRPr="00234417" w:rsidRDefault="00234417" w:rsidP="00234417">
      <w:pPr>
        <w:pStyle w:val="TextoNormalSangraFrancesa"/>
        <w:rPr>
          <w:rStyle w:val="TextoNormalCaracter"/>
        </w:rPr>
      </w:pPr>
      <w:bookmarkStart w:id="1737" w:name="DESCRIPTORALFABETICO166"/>
      <w:r w:rsidRPr="00234417">
        <w:rPr>
          <w:rStyle w:val="TextoNormalNegritaCaracter"/>
        </w:rPr>
        <w:t>Incongruencia de las sentencias</w:t>
      </w:r>
      <w:bookmarkEnd w:id="1737"/>
      <w:r w:rsidRPr="00234417">
        <w:rPr>
          <w:rStyle w:val="TextoNormalCaracter"/>
        </w:rPr>
        <w:t xml:space="preserve">, </w:t>
      </w:r>
    </w:p>
    <w:p w:rsidR="00234417" w:rsidRPr="00234417" w:rsidRDefault="00234417" w:rsidP="00234417">
      <w:pPr>
        <w:pStyle w:val="TextoNormalSangraFrancesa"/>
        <w:rPr>
          <w:rStyle w:val="TextoNormalCaracter"/>
        </w:rPr>
      </w:pPr>
      <w:r w:rsidRPr="00234417">
        <w:rPr>
          <w:rStyle w:val="TextoNormalCursivaCaracter"/>
        </w:rPr>
        <w:t xml:space="preserve">    Respetado, </w:t>
      </w:r>
      <w:r w:rsidRPr="00234417">
        <w:rPr>
          <w:rStyle w:val="TextoNormalCaracter"/>
        </w:rPr>
        <w:t xml:space="preserve">Sentencia </w:t>
      </w:r>
      <w:hyperlink w:anchor="SENTENCIA_2013_27" w:history="1">
        <w:r w:rsidRPr="00234417">
          <w:rPr>
            <w:rStyle w:val="TextoNormalCaracter"/>
          </w:rPr>
          <w:t>27/2013</w:t>
        </w:r>
      </w:hyperlink>
      <w:r w:rsidRPr="00234417">
        <w:rPr>
          <w:rStyle w:val="TextoNormalCaracter"/>
        </w:rPr>
        <w:t>, ff. 7, 8.</w:t>
      </w:r>
    </w:p>
    <w:p w:rsidR="00234417" w:rsidRPr="00234417" w:rsidRDefault="00234417" w:rsidP="00234417">
      <w:pPr>
        <w:pStyle w:val="TextoNormalSangraFrancesa"/>
        <w:rPr>
          <w:rStyle w:val="TextoNormalCaracter"/>
        </w:rPr>
      </w:pPr>
      <w:bookmarkStart w:id="1738" w:name="DESCRIPTORALFABETICO167"/>
      <w:r w:rsidRPr="00234417">
        <w:rPr>
          <w:rStyle w:val="TextoNormalNegritaCaracter"/>
        </w:rPr>
        <w:t>Incongruencia omisiva</w:t>
      </w:r>
      <w:bookmarkEnd w:id="1738"/>
      <w:r w:rsidRPr="00234417">
        <w:rPr>
          <w:rStyle w:val="TextoNormalCaracter"/>
        </w:rPr>
        <w:t xml:space="preserve">, Sentencias </w:t>
      </w:r>
      <w:hyperlink w:anchor="SENTENCIA_2013_32" w:history="1">
        <w:r w:rsidRPr="00234417">
          <w:rPr>
            <w:rStyle w:val="TextoNormalCaracter"/>
          </w:rPr>
          <w:t>32/2013</w:t>
        </w:r>
      </w:hyperlink>
      <w:r w:rsidRPr="00234417">
        <w:rPr>
          <w:rStyle w:val="TextoNormalCaracter"/>
        </w:rPr>
        <w:t xml:space="preserve">, f. 3; </w:t>
      </w:r>
      <w:hyperlink w:anchor="SENTENCIA_2013_126" w:history="1">
        <w:r w:rsidRPr="00234417">
          <w:rPr>
            <w:rStyle w:val="TextoNormalCaracter"/>
          </w:rPr>
          <w:t>126/2013</w:t>
        </w:r>
      </w:hyperlink>
      <w:r w:rsidRPr="00234417">
        <w:rPr>
          <w:rStyle w:val="TextoNormalCaracter"/>
        </w:rPr>
        <w:t>, f. 4.</w:t>
      </w:r>
    </w:p>
    <w:p w:rsidR="00234417" w:rsidRPr="00234417" w:rsidRDefault="00234417" w:rsidP="00234417">
      <w:pPr>
        <w:pStyle w:val="TextoNormalSangraFrancesa"/>
        <w:rPr>
          <w:rStyle w:val="TextoNormalCaracter"/>
        </w:rPr>
      </w:pPr>
      <w:bookmarkStart w:id="1739" w:name="DESCRIPTORALFABETICO915"/>
      <w:r w:rsidRPr="00234417">
        <w:rPr>
          <w:rStyle w:val="TextoNormalNegritaCaracter"/>
        </w:rPr>
        <w:t>Incorporación de pruebas a las actuaciones</w:t>
      </w:r>
      <w:bookmarkEnd w:id="1739"/>
      <w:r w:rsidRPr="00234417">
        <w:rPr>
          <w:rStyle w:val="TextoNormalCaracter"/>
        </w:rPr>
        <w:t xml:space="preserve">, Sentencia </w:t>
      </w:r>
      <w:hyperlink w:anchor="SENTENCIA_2013_53" w:history="1">
        <w:r w:rsidRPr="00234417">
          <w:rPr>
            <w:rStyle w:val="TextoNormalCaracter"/>
          </w:rPr>
          <w:t>53/2013</w:t>
        </w:r>
      </w:hyperlink>
      <w:r w:rsidRPr="00234417">
        <w:rPr>
          <w:rStyle w:val="TextoNormalCaracter"/>
        </w:rPr>
        <w:t>, ff. 2, 6.</w:t>
      </w:r>
    </w:p>
    <w:p w:rsidR="00234417" w:rsidRPr="00234417" w:rsidRDefault="00234417" w:rsidP="00234417">
      <w:pPr>
        <w:pStyle w:val="TextoNormalSangraFrancesa"/>
        <w:rPr>
          <w:rStyle w:val="TextoNormalCaracter"/>
        </w:rPr>
      </w:pPr>
      <w:bookmarkStart w:id="1740" w:name="DESCRIPTORALFABETICO857"/>
      <w:r w:rsidRPr="00234417">
        <w:rPr>
          <w:rStyle w:val="TextoNormalNegritaCaracter"/>
        </w:rPr>
        <w:t>Indefensión</w:t>
      </w:r>
      <w:bookmarkEnd w:id="1740"/>
      <w:r w:rsidRPr="00234417">
        <w:rPr>
          <w:rStyle w:val="TextoNormalCaracter"/>
        </w:rPr>
        <w:t xml:space="preserve">, Sentencia </w:t>
      </w:r>
      <w:hyperlink w:anchor="SENTENCIA_2013_79" w:history="1">
        <w:r w:rsidRPr="00234417">
          <w:rPr>
            <w:rStyle w:val="TextoNormalCaracter"/>
          </w:rPr>
          <w:t>79/2013</w:t>
        </w:r>
      </w:hyperlink>
      <w:r w:rsidRPr="00234417">
        <w:rPr>
          <w:rStyle w:val="TextoNormalCaracter"/>
        </w:rPr>
        <w:t>, f. 2.</w:t>
      </w:r>
    </w:p>
    <w:p w:rsidR="00234417" w:rsidRPr="00234417" w:rsidRDefault="00234417" w:rsidP="00234417">
      <w:pPr>
        <w:pStyle w:val="TextoNormalSangraFrancesa"/>
        <w:rPr>
          <w:rStyle w:val="TextoNormalCaracter"/>
        </w:rPr>
      </w:pPr>
      <w:bookmarkStart w:id="1741" w:name="DESCRIPTORALFABETICO180"/>
      <w:r w:rsidRPr="00234417">
        <w:rPr>
          <w:rStyle w:val="TextoNormalNegritaCaracter"/>
        </w:rPr>
        <w:t>Indefensión imputable al recurrente</w:t>
      </w:r>
      <w:bookmarkEnd w:id="1741"/>
      <w:r w:rsidRPr="00234417">
        <w:rPr>
          <w:rStyle w:val="TextoNormalCaracter"/>
        </w:rPr>
        <w:t xml:space="preserve">, Sentencia </w:t>
      </w:r>
      <w:hyperlink w:anchor="SENTENCIA_2013_10" w:history="1">
        <w:r w:rsidRPr="00234417">
          <w:rPr>
            <w:rStyle w:val="TextoNormalCaracter"/>
          </w:rPr>
          <w:t>10/2013</w:t>
        </w:r>
      </w:hyperlink>
      <w:r w:rsidRPr="00234417">
        <w:rPr>
          <w:rStyle w:val="TextoNormalCaracter"/>
        </w:rPr>
        <w:t>, f. 4.</w:t>
      </w:r>
    </w:p>
    <w:p w:rsidR="00234417" w:rsidRPr="00234417" w:rsidRDefault="00234417" w:rsidP="00234417">
      <w:pPr>
        <w:pStyle w:val="TextoNormalSangraFrancesa"/>
        <w:rPr>
          <w:rStyle w:val="TextoNormalCaracter"/>
        </w:rPr>
      </w:pPr>
      <w:bookmarkStart w:id="1742" w:name="DESCRIPTORALFABETICO181"/>
      <w:r w:rsidRPr="00234417">
        <w:rPr>
          <w:rStyle w:val="TextoNormalNegritaCaracter"/>
        </w:rPr>
        <w:t>Indefensión material</w:t>
      </w:r>
      <w:bookmarkEnd w:id="1742"/>
      <w:r w:rsidRPr="00234417">
        <w:rPr>
          <w:rStyle w:val="TextoNormalCaracter"/>
        </w:rPr>
        <w:t xml:space="preserve">, Sentencias </w:t>
      </w:r>
      <w:hyperlink w:anchor="SENTENCIA_2013_1" w:history="1">
        <w:r w:rsidRPr="00234417">
          <w:rPr>
            <w:rStyle w:val="TextoNormalCaracter"/>
          </w:rPr>
          <w:t>1/2013</w:t>
        </w:r>
      </w:hyperlink>
      <w:r w:rsidRPr="00234417">
        <w:rPr>
          <w:rStyle w:val="TextoNormalCaracter"/>
        </w:rPr>
        <w:t xml:space="preserve">, ff. 1, 3; </w:t>
      </w:r>
      <w:hyperlink w:anchor="SENTENCIA_2013_2" w:history="1">
        <w:r w:rsidRPr="00234417">
          <w:rPr>
            <w:rStyle w:val="TextoNormalCaracter"/>
          </w:rPr>
          <w:t>2/2013</w:t>
        </w:r>
      </w:hyperlink>
      <w:r w:rsidRPr="00234417">
        <w:rPr>
          <w:rStyle w:val="TextoNormalCaracter"/>
        </w:rPr>
        <w:t>, ff. 4, 5, 9.</w:t>
      </w:r>
    </w:p>
    <w:p w:rsidR="00234417" w:rsidRPr="00234417" w:rsidRDefault="00234417" w:rsidP="00234417">
      <w:pPr>
        <w:pStyle w:val="TextoNormalSangraFrancesa"/>
        <w:rPr>
          <w:rStyle w:val="TextoNormalCaracter"/>
        </w:rPr>
      </w:pPr>
      <w:bookmarkStart w:id="1743" w:name="DESCRIPTORALFABETICO746"/>
      <w:r w:rsidRPr="00234417">
        <w:rPr>
          <w:rStyle w:val="TextoNormalNegritaCaracter"/>
        </w:rPr>
        <w:t>Indemnización</w:t>
      </w:r>
      <w:bookmarkEnd w:id="1743"/>
      <w:r w:rsidRPr="00234417">
        <w:rPr>
          <w:rStyle w:val="TextoNormalCaracter"/>
        </w:rPr>
        <w:t xml:space="preserve">, Autos </w:t>
      </w:r>
      <w:hyperlink w:anchor="AUTO_2013_75" w:history="1">
        <w:r w:rsidRPr="00234417">
          <w:rPr>
            <w:rStyle w:val="TextoNormalCaracter"/>
          </w:rPr>
          <w:t>75/2013</w:t>
        </w:r>
      </w:hyperlink>
      <w:r w:rsidRPr="00234417">
        <w:rPr>
          <w:rStyle w:val="TextoNormalCaracter"/>
        </w:rPr>
        <w:t xml:space="preserve">, f. 4; </w:t>
      </w:r>
      <w:hyperlink w:anchor="AUTO_2013_139" w:history="1">
        <w:r w:rsidRPr="00234417">
          <w:rPr>
            <w:rStyle w:val="TextoNormalCaracter"/>
          </w:rPr>
          <w:t>139/2013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744" w:name="DESCRIPTORALFABETICO775"/>
      <w:r w:rsidRPr="00234417">
        <w:rPr>
          <w:rStyle w:val="TextoNormalNegritaCaracter"/>
        </w:rPr>
        <w:t>Indemnización por residencia eventual</w:t>
      </w:r>
      <w:bookmarkEnd w:id="1744"/>
      <w:r w:rsidRPr="00234417">
        <w:rPr>
          <w:rStyle w:val="TextoNormalCaracter"/>
        </w:rPr>
        <w:t xml:space="preserve">, Sentencia </w:t>
      </w:r>
      <w:hyperlink w:anchor="SENTENCIA_2013_11" w:history="1">
        <w:r w:rsidRPr="00234417">
          <w:rPr>
            <w:rStyle w:val="TextoNormalCaracter"/>
          </w:rPr>
          <w:t>11/2013</w:t>
        </w:r>
      </w:hyperlink>
      <w:r w:rsidRPr="00234417">
        <w:rPr>
          <w:rStyle w:val="TextoNormalCaracter"/>
        </w:rPr>
        <w:t>, ff. 1, 3.</w:t>
      </w:r>
    </w:p>
    <w:p w:rsidR="00234417" w:rsidRPr="00234417" w:rsidRDefault="00234417" w:rsidP="00234417">
      <w:pPr>
        <w:pStyle w:val="TextoNormalSangraFrancesa"/>
        <w:rPr>
          <w:rStyle w:val="TextoNormalCaracter"/>
        </w:rPr>
      </w:pPr>
      <w:bookmarkStart w:id="1745" w:name="DESCRIPTORALFABETICO749"/>
      <w:r w:rsidRPr="00234417">
        <w:rPr>
          <w:rStyle w:val="TextoNormalNegritaCaracter"/>
        </w:rPr>
        <w:t>Indulto</w:t>
      </w:r>
      <w:bookmarkEnd w:id="1745"/>
      <w:r w:rsidRPr="00234417">
        <w:rPr>
          <w:rStyle w:val="TextoNormalCaracter"/>
        </w:rPr>
        <w:t xml:space="preserve">, Sentencia </w:t>
      </w:r>
      <w:hyperlink w:anchor="SENTENCIA_2013_109" w:history="1">
        <w:r w:rsidRPr="00234417">
          <w:rPr>
            <w:rStyle w:val="TextoNormalCaracter"/>
          </w:rPr>
          <w:t>109/2013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1746" w:name="DESCRIPTORALFABETICO469"/>
      <w:r w:rsidRPr="00234417">
        <w:rPr>
          <w:rStyle w:val="TextoNormalNegritaCaracter"/>
        </w:rPr>
        <w:t>Informes administrativos</w:t>
      </w:r>
      <w:bookmarkEnd w:id="1746"/>
      <w:r w:rsidRPr="00234417">
        <w:rPr>
          <w:rStyle w:val="TextoNormalCaracter"/>
        </w:rPr>
        <w:t xml:space="preserve">, Sentencia </w:t>
      </w:r>
      <w:hyperlink w:anchor="SENTENCIA_2013_16" w:history="1">
        <w:r w:rsidRPr="00234417">
          <w:rPr>
            <w:rStyle w:val="TextoNormalCaracter"/>
          </w:rPr>
          <w:t>16/2013</w:t>
        </w:r>
      </w:hyperlink>
      <w:r w:rsidRPr="00234417">
        <w:rPr>
          <w:rStyle w:val="TextoNormalCaracter"/>
        </w:rPr>
        <w:t>, f. 9.</w:t>
      </w:r>
    </w:p>
    <w:p w:rsidR="00234417" w:rsidRPr="00234417" w:rsidRDefault="00234417" w:rsidP="00234417">
      <w:pPr>
        <w:pStyle w:val="TextoNormalSangraFrancesa"/>
        <w:rPr>
          <w:rStyle w:val="TextoNormalCaracter"/>
        </w:rPr>
      </w:pPr>
      <w:bookmarkStart w:id="1747" w:name="DESCRIPTORALFABETICO470"/>
      <w:r w:rsidRPr="00234417">
        <w:rPr>
          <w:rStyle w:val="TextoNormalNegritaCaracter"/>
        </w:rPr>
        <w:t>Informes no preceptivos</w:t>
      </w:r>
      <w:bookmarkEnd w:id="1747"/>
      <w:r w:rsidRPr="00234417">
        <w:rPr>
          <w:rStyle w:val="TextoNormalCaracter"/>
        </w:rPr>
        <w:t xml:space="preserve">, Sentencia </w:t>
      </w:r>
      <w:hyperlink w:anchor="SENTENCIA_2013_68" w:history="1">
        <w:r w:rsidRPr="00234417">
          <w:rPr>
            <w:rStyle w:val="TextoNormalCaracter"/>
          </w:rPr>
          <w:t>68/2013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748" w:name="DESCRIPTORALFABETICO347"/>
      <w:r w:rsidRPr="00234417">
        <w:rPr>
          <w:rStyle w:val="TextoNormalNegritaCaracter"/>
        </w:rPr>
        <w:t>Informes preceptivos del Consejo de Estado</w:t>
      </w:r>
      <w:bookmarkEnd w:id="1748"/>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4.</w:t>
      </w:r>
    </w:p>
    <w:p w:rsidR="00234417" w:rsidRPr="00234417" w:rsidRDefault="00234417" w:rsidP="00234417">
      <w:pPr>
        <w:pStyle w:val="TextoNormalSangraFrancesa"/>
        <w:rPr>
          <w:rStyle w:val="TextoNormalCaracter"/>
        </w:rPr>
      </w:pPr>
      <w:bookmarkStart w:id="1749" w:name="DESCRIPTORALFABETICO509"/>
      <w:r w:rsidRPr="00234417">
        <w:rPr>
          <w:rStyle w:val="TextoNormalNegritaCaracter"/>
        </w:rPr>
        <w:t>Infracciones administrativas</w:t>
      </w:r>
      <w:bookmarkEnd w:id="1749"/>
      <w:r w:rsidRPr="00234417">
        <w:rPr>
          <w:rStyle w:val="TextoNormalCaracter"/>
        </w:rPr>
        <w:t xml:space="preserve">, Auto </w:t>
      </w:r>
      <w:hyperlink w:anchor="AUTO_2013_124" w:history="1">
        <w:r w:rsidRPr="00234417">
          <w:rPr>
            <w:rStyle w:val="TextoNormalCaracter"/>
          </w:rPr>
          <w:t>124/2013</w:t>
        </w:r>
      </w:hyperlink>
      <w:r w:rsidRPr="00234417">
        <w:rPr>
          <w:rStyle w:val="TextoNormalCaracter"/>
        </w:rPr>
        <w:t>, f. 5.</w:t>
      </w:r>
    </w:p>
    <w:p w:rsidR="00234417" w:rsidRPr="00234417" w:rsidRDefault="00234417" w:rsidP="00234417">
      <w:pPr>
        <w:pStyle w:val="TextoNormalSangraFrancesa"/>
        <w:rPr>
          <w:rStyle w:val="TextoNormalNegritaCaracter"/>
        </w:rPr>
      </w:pPr>
      <w:r w:rsidRPr="00234417">
        <w:rPr>
          <w:rStyle w:val="TextoNormalCursivaCaracter"/>
        </w:rPr>
        <w:t>Infracciones y sanciones administrativas</w:t>
      </w:r>
      <w:r>
        <w:t xml:space="preserve"> véase </w:t>
      </w:r>
      <w:hyperlink w:anchor="DESCRIPTORALFABETICO508" w:history="1">
        <w:r w:rsidRPr="00234417">
          <w:rPr>
            <w:rStyle w:val="TextoNormalNegritaCaracter"/>
          </w:rPr>
          <w:t>Derecho administrativo sancionador</w:t>
        </w:r>
      </w:hyperlink>
    </w:p>
    <w:p w:rsidR="00234417" w:rsidRPr="00234417" w:rsidRDefault="00234417" w:rsidP="00234417">
      <w:pPr>
        <w:pStyle w:val="TextoNormalSangraFrancesa"/>
        <w:rPr>
          <w:rStyle w:val="TextoNormalCaracter"/>
        </w:rPr>
      </w:pPr>
      <w:bookmarkStart w:id="1750" w:name="DESCRIPTORALFABETICO627"/>
      <w:r w:rsidRPr="00234417">
        <w:rPr>
          <w:rStyle w:val="TextoNormalNegritaCaracter"/>
        </w:rPr>
        <w:t>Infraestructuras ferroviarias</w:t>
      </w:r>
      <w:bookmarkEnd w:id="1750"/>
      <w:r w:rsidRPr="00234417">
        <w:rPr>
          <w:rStyle w:val="TextoNormalCaracter"/>
        </w:rPr>
        <w:t xml:space="preserve">, Sentencia </w:t>
      </w:r>
      <w:hyperlink w:anchor="SENTENCIA_2013_83" w:history="1">
        <w:r w:rsidRPr="00234417">
          <w:rPr>
            <w:rStyle w:val="TextoNormalCaracter"/>
          </w:rPr>
          <w:t>83/2013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1751" w:name="DESCRIPTORALFABETICO705"/>
      <w:r w:rsidRPr="00234417">
        <w:rPr>
          <w:rStyle w:val="TextoNormalNegritaCaracter"/>
        </w:rPr>
        <w:t>Inhabilitación especial</w:t>
      </w:r>
      <w:bookmarkEnd w:id="1751"/>
      <w:r w:rsidRPr="00234417">
        <w:rPr>
          <w:rStyle w:val="TextoNormalCaracter"/>
        </w:rPr>
        <w:t xml:space="preserve">, Auto </w:t>
      </w:r>
      <w:hyperlink w:anchor="AUTO_2013_75" w:history="1">
        <w:r w:rsidRPr="00234417">
          <w:rPr>
            <w:rStyle w:val="TextoNormalCaracter"/>
          </w:rPr>
          <w:t>75/2013</w:t>
        </w:r>
      </w:hyperlink>
      <w:r w:rsidRPr="00234417">
        <w:rPr>
          <w:rStyle w:val="TextoNormalCaracter"/>
        </w:rPr>
        <w:t>, f. 3.</w:t>
      </w:r>
    </w:p>
    <w:p w:rsidR="00234417" w:rsidRPr="00234417" w:rsidRDefault="00234417" w:rsidP="00234417">
      <w:pPr>
        <w:pStyle w:val="TextoNormalSangraFrancesa"/>
        <w:rPr>
          <w:rStyle w:val="TextoNormalCaracter"/>
        </w:rPr>
      </w:pPr>
      <w:bookmarkStart w:id="1752" w:name="DESCRIPTORALFABETICO706"/>
      <w:r w:rsidRPr="00234417">
        <w:rPr>
          <w:rStyle w:val="TextoNormalNegritaCaracter"/>
        </w:rPr>
        <w:t>Inhabilitación especial para el derecho de sufragio</w:t>
      </w:r>
      <w:bookmarkEnd w:id="1752"/>
      <w:r w:rsidRPr="00234417">
        <w:rPr>
          <w:rStyle w:val="TextoNormalCaracter"/>
        </w:rPr>
        <w:t xml:space="preserve">, Auto </w:t>
      </w:r>
      <w:hyperlink w:anchor="AUTO_2013_139" w:history="1">
        <w:r w:rsidRPr="00234417">
          <w:rPr>
            <w:rStyle w:val="TextoNormalCaracter"/>
          </w:rPr>
          <w:t>139/2013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753" w:name="DESCRIPTORALFABETICO707"/>
      <w:r w:rsidRPr="00234417">
        <w:rPr>
          <w:rStyle w:val="TextoNormalNegritaCaracter"/>
        </w:rPr>
        <w:t>Inhabilitación especial para el derecho de sufragio pasivo</w:t>
      </w:r>
      <w:bookmarkEnd w:id="1753"/>
      <w:r w:rsidRPr="00234417">
        <w:rPr>
          <w:rStyle w:val="TextoNormalCaracter"/>
        </w:rPr>
        <w:t xml:space="preserve">, Auto </w:t>
      </w:r>
      <w:hyperlink w:anchor="AUTO_2013_40" w:history="1">
        <w:r w:rsidRPr="00234417">
          <w:rPr>
            <w:rStyle w:val="TextoNormalCaracter"/>
          </w:rPr>
          <w:t>40/2013</w:t>
        </w:r>
      </w:hyperlink>
      <w:r w:rsidRPr="00234417">
        <w:rPr>
          <w:rStyle w:val="TextoNormalCaracter"/>
        </w:rPr>
        <w:t>, f. 2.</w:t>
      </w:r>
    </w:p>
    <w:p w:rsidR="00234417" w:rsidRPr="00234417" w:rsidRDefault="00234417" w:rsidP="00234417">
      <w:pPr>
        <w:pStyle w:val="TextoNormalSangraFrancesa"/>
        <w:rPr>
          <w:rStyle w:val="TextoNormalCaracter"/>
        </w:rPr>
      </w:pPr>
      <w:bookmarkStart w:id="1754" w:name="DESCRIPTORALFABETICO708"/>
      <w:r w:rsidRPr="00234417">
        <w:rPr>
          <w:rStyle w:val="TextoNormalNegritaCaracter"/>
        </w:rPr>
        <w:t>Inhabilitación especial para el ejercicio de la patria potestad</w:t>
      </w:r>
      <w:bookmarkEnd w:id="1754"/>
      <w:r w:rsidRPr="00234417">
        <w:rPr>
          <w:rStyle w:val="TextoNormalCaracter"/>
        </w:rPr>
        <w:t xml:space="preserve">, Auto </w:t>
      </w:r>
      <w:hyperlink w:anchor="AUTO_2013_75" w:history="1">
        <w:r w:rsidRPr="00234417">
          <w:rPr>
            <w:rStyle w:val="TextoNormalCaracter"/>
          </w:rPr>
          <w:t>75/2013</w:t>
        </w:r>
      </w:hyperlink>
      <w:r w:rsidRPr="00234417">
        <w:rPr>
          <w:rStyle w:val="TextoNormalCaracter"/>
        </w:rPr>
        <w:t>, f. 3.</w:t>
      </w:r>
    </w:p>
    <w:p w:rsidR="00234417" w:rsidRPr="00234417" w:rsidRDefault="00234417" w:rsidP="00234417">
      <w:pPr>
        <w:pStyle w:val="TextoNormalSangraFrancesa"/>
        <w:rPr>
          <w:rStyle w:val="TextoNormalCaracter"/>
        </w:rPr>
      </w:pPr>
      <w:bookmarkStart w:id="1755" w:name="DESCRIPTORALFABETICO397"/>
      <w:r w:rsidRPr="00234417">
        <w:rPr>
          <w:rStyle w:val="TextoNormalNegritaCaracter"/>
        </w:rPr>
        <w:t>Iniciativa parlamentaria</w:t>
      </w:r>
      <w:bookmarkEnd w:id="1755"/>
      <w:r w:rsidRPr="00234417">
        <w:rPr>
          <w:rStyle w:val="TextoNormalCaracter"/>
        </w:rPr>
        <w:t xml:space="preserve">, Sentencia </w:t>
      </w:r>
      <w:hyperlink w:anchor="SENTENCIA_2013_132" w:history="1">
        <w:r w:rsidRPr="00234417">
          <w:rPr>
            <w:rStyle w:val="TextoNormalCaracter"/>
          </w:rPr>
          <w:t>132/2013</w:t>
        </w:r>
      </w:hyperlink>
      <w:r w:rsidRPr="00234417">
        <w:rPr>
          <w:rStyle w:val="TextoNormalCaracter"/>
        </w:rPr>
        <w:t>, f. 3.</w:t>
      </w:r>
    </w:p>
    <w:p w:rsidR="00234417" w:rsidRPr="00234417" w:rsidRDefault="00234417" w:rsidP="00234417">
      <w:pPr>
        <w:pStyle w:val="TextoNormalSangraFrancesa"/>
        <w:rPr>
          <w:rStyle w:val="TextoNormalCaracter"/>
        </w:rPr>
      </w:pPr>
      <w:bookmarkStart w:id="1756" w:name="DESCRIPTORALFABETICO601"/>
      <w:r w:rsidRPr="00234417">
        <w:rPr>
          <w:rStyle w:val="TextoNormalNegritaCaracter"/>
        </w:rPr>
        <w:t>Injurias</w:t>
      </w:r>
      <w:bookmarkEnd w:id="1756"/>
      <w:r w:rsidRPr="00234417">
        <w:rPr>
          <w:rStyle w:val="TextoNormalCaracter"/>
        </w:rPr>
        <w:t xml:space="preserve">, Sentencia </w:t>
      </w:r>
      <w:hyperlink w:anchor="SENTENCIA_2013_1" w:history="1">
        <w:r w:rsidRPr="00234417">
          <w:rPr>
            <w:rStyle w:val="TextoNormalCaracter"/>
          </w:rPr>
          <w:t>1/2013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1757" w:name="DESCRIPTORALFABETICO435"/>
      <w:r w:rsidRPr="00234417">
        <w:rPr>
          <w:rStyle w:val="TextoNormalNegritaCaracter"/>
        </w:rPr>
        <w:t>Inmigrantes</w:t>
      </w:r>
      <w:bookmarkEnd w:id="1757"/>
      <w:r w:rsidRPr="00234417">
        <w:rPr>
          <w:rStyle w:val="TextoNormalCaracter"/>
        </w:rPr>
        <w:t xml:space="preserve">, Sentencia </w:t>
      </w:r>
      <w:hyperlink w:anchor="SENTENCIA_2013_26" w:history="1">
        <w:r w:rsidRPr="00234417">
          <w:rPr>
            <w:rStyle w:val="TextoNormalCaracter"/>
          </w:rPr>
          <w:t>26/2013</w:t>
        </w:r>
      </w:hyperlink>
      <w:r w:rsidRPr="00234417">
        <w:rPr>
          <w:rStyle w:val="TextoNormalCaracter"/>
        </w:rPr>
        <w:t>, f. 4.</w:t>
      </w:r>
    </w:p>
    <w:p w:rsidR="00234417" w:rsidRPr="00234417" w:rsidRDefault="00234417" w:rsidP="00234417">
      <w:pPr>
        <w:pStyle w:val="TextoNormalSangraFrancesa"/>
        <w:rPr>
          <w:rStyle w:val="TextoNormalCaracter"/>
        </w:rPr>
      </w:pPr>
      <w:bookmarkStart w:id="1758" w:name="DESCRIPTORALFABETICO437"/>
      <w:r w:rsidRPr="00234417">
        <w:rPr>
          <w:rStyle w:val="TextoNormalNegritaCaracter"/>
        </w:rPr>
        <w:t>Instituciones básicas del Estado</w:t>
      </w:r>
      <w:bookmarkEnd w:id="1758"/>
      <w:r w:rsidRPr="00234417">
        <w:rPr>
          <w:rStyle w:val="TextoNormalCaracter"/>
        </w:rPr>
        <w:t xml:space="preserve">, Sentencia </w:t>
      </w:r>
      <w:hyperlink w:anchor="SENTENCIA_2013_64" w:history="1">
        <w:r w:rsidRPr="00234417">
          <w:rPr>
            <w:rStyle w:val="TextoNormalCaracter"/>
          </w:rPr>
          <w:t>64/2013</w:t>
        </w:r>
      </w:hyperlink>
      <w:r w:rsidRPr="00234417">
        <w:rPr>
          <w:rStyle w:val="TextoNormalCaracter"/>
        </w:rPr>
        <w:t>, f. 3.</w:t>
      </w:r>
    </w:p>
    <w:p w:rsidR="00234417" w:rsidRPr="00234417" w:rsidRDefault="00234417" w:rsidP="00234417">
      <w:pPr>
        <w:pStyle w:val="TextoNormalSangraFrancesa"/>
        <w:rPr>
          <w:rStyle w:val="TextoNormalCaracter"/>
        </w:rPr>
      </w:pPr>
      <w:bookmarkStart w:id="1759" w:name="DESCRIPTORALFABETICO169"/>
      <w:r w:rsidRPr="00234417">
        <w:rPr>
          <w:rStyle w:val="TextoNormalNegritaCaracter"/>
        </w:rPr>
        <w:t>Intangibilidad de las resoluciones judiciales</w:t>
      </w:r>
      <w:bookmarkEnd w:id="1759"/>
      <w:r w:rsidRPr="00234417">
        <w:rPr>
          <w:rStyle w:val="TextoNormalCaracter"/>
        </w:rPr>
        <w:t xml:space="preserve">, Sentencias </w:t>
      </w:r>
      <w:hyperlink w:anchor="SENTENCIA_2013_10" w:history="1">
        <w:r w:rsidRPr="00234417">
          <w:rPr>
            <w:rStyle w:val="TextoNormalCaracter"/>
          </w:rPr>
          <w:t>10/2013</w:t>
        </w:r>
      </w:hyperlink>
      <w:r w:rsidRPr="00234417">
        <w:rPr>
          <w:rStyle w:val="TextoNormalCaracter"/>
        </w:rPr>
        <w:t xml:space="preserve">, ff. 1, 2; </w:t>
      </w:r>
      <w:hyperlink w:anchor="SENTENCIA_2013_127" w:history="1">
        <w:r w:rsidRPr="00234417">
          <w:rPr>
            <w:rStyle w:val="TextoNormalCaracter"/>
          </w:rPr>
          <w:t>127/2013</w:t>
        </w:r>
      </w:hyperlink>
      <w:r w:rsidRPr="00234417">
        <w:rPr>
          <w:rStyle w:val="TextoNormalCaracter"/>
        </w:rPr>
        <w:t>, f. 4.</w:t>
      </w:r>
    </w:p>
    <w:p w:rsidR="00234417" w:rsidRPr="00234417" w:rsidRDefault="00234417" w:rsidP="00234417">
      <w:pPr>
        <w:pStyle w:val="TextoNormalSangraFrancesa"/>
        <w:rPr>
          <w:rStyle w:val="TextoNormalCaracter"/>
        </w:rPr>
      </w:pPr>
      <w:bookmarkStart w:id="1760" w:name="DESCRIPTORALFABETICO170"/>
      <w:r w:rsidRPr="00234417">
        <w:rPr>
          <w:rStyle w:val="TextoNormalNegritaCaracter"/>
        </w:rPr>
        <w:t>Intangibilidad de las sentencias</w:t>
      </w:r>
      <w:bookmarkEnd w:id="1760"/>
      <w:r w:rsidRPr="00234417">
        <w:rPr>
          <w:rStyle w:val="TextoNormalCaracter"/>
        </w:rPr>
        <w:t xml:space="preserve">, Sentencia </w:t>
      </w:r>
      <w:hyperlink w:anchor="SENTENCIA_2013_126" w:history="1">
        <w:r w:rsidRPr="00234417">
          <w:rPr>
            <w:rStyle w:val="TextoNormalCaracter"/>
          </w:rPr>
          <w:t>126/2013</w:t>
        </w:r>
      </w:hyperlink>
      <w:r w:rsidRPr="00234417">
        <w:rPr>
          <w:rStyle w:val="TextoNormalCaracter"/>
        </w:rPr>
        <w:t>, ff. 5, 6.</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 </w:t>
      </w:r>
      <w:hyperlink w:anchor="SENTENCIA_2013_126" w:history="1">
        <w:r w:rsidRPr="00234417">
          <w:rPr>
            <w:rStyle w:val="TextoNormalCaracter"/>
          </w:rPr>
          <w:t>126/2013</w:t>
        </w:r>
      </w:hyperlink>
      <w:r w:rsidRPr="00234417">
        <w:rPr>
          <w:rStyle w:val="TextoNormalCaracter"/>
        </w:rPr>
        <w:t>, ff. 5, 6.</w:t>
      </w:r>
    </w:p>
    <w:p w:rsidR="00234417" w:rsidRPr="00234417" w:rsidRDefault="00234417" w:rsidP="00234417">
      <w:pPr>
        <w:pStyle w:val="TextoNormalSangraFrancesa"/>
        <w:rPr>
          <w:rStyle w:val="TextoNormalCaracter"/>
        </w:rPr>
      </w:pPr>
      <w:r w:rsidRPr="00234417">
        <w:rPr>
          <w:rStyle w:val="TextoNormalCursivaCaracter"/>
        </w:rPr>
        <w:t xml:space="preserve">    Respetado, </w:t>
      </w:r>
      <w:r w:rsidRPr="00234417">
        <w:rPr>
          <w:rStyle w:val="TextoNormalCaracter"/>
        </w:rPr>
        <w:t xml:space="preserve">Sentencia </w:t>
      </w:r>
      <w:hyperlink w:anchor="SENTENCIA_2013_126" w:history="1">
        <w:r w:rsidRPr="00234417">
          <w:rPr>
            <w:rStyle w:val="TextoNormalCaracter"/>
          </w:rPr>
          <w:t>126/2013</w:t>
        </w:r>
      </w:hyperlink>
      <w:r w:rsidRPr="00234417">
        <w:rPr>
          <w:rStyle w:val="TextoNormalCaracter"/>
        </w:rPr>
        <w:t>, f. 5.</w:t>
      </w:r>
    </w:p>
    <w:p w:rsidR="00234417" w:rsidRPr="00234417" w:rsidRDefault="00234417" w:rsidP="00234417">
      <w:pPr>
        <w:pStyle w:val="TextoNormalSangraFrancesa"/>
        <w:rPr>
          <w:rStyle w:val="TextoNormalNegritaCaracter"/>
        </w:rPr>
      </w:pPr>
      <w:r w:rsidRPr="00234417">
        <w:rPr>
          <w:rStyle w:val="TextoNormalCursivaCaracter"/>
        </w:rPr>
        <w:t>Interdicción de la arbitrariedad de los poderes públicos</w:t>
      </w:r>
      <w:r>
        <w:t xml:space="preserve"> véase </w:t>
      </w:r>
      <w:hyperlink w:anchor="DESCRIPTORALFABETICO410" w:history="1">
        <w:r w:rsidRPr="00234417">
          <w:rPr>
            <w:rStyle w:val="TextoNormalNegritaCaracter"/>
          </w:rPr>
          <w:t>Principio de interdicción de la arbitrariedad</w:t>
        </w:r>
      </w:hyperlink>
    </w:p>
    <w:p w:rsidR="00234417" w:rsidRPr="00234417" w:rsidRDefault="00234417" w:rsidP="00234417">
      <w:pPr>
        <w:pStyle w:val="TextoNormalSangraFrancesa"/>
        <w:rPr>
          <w:rStyle w:val="TextoNormalCaracter"/>
        </w:rPr>
      </w:pPr>
      <w:bookmarkStart w:id="1761" w:name="DESCRIPTORALFABETICO438"/>
      <w:r w:rsidRPr="00234417">
        <w:rPr>
          <w:rStyle w:val="TextoNormalNegritaCaracter"/>
        </w:rPr>
        <w:t>Interés general</w:t>
      </w:r>
      <w:bookmarkEnd w:id="1761"/>
      <w:r w:rsidRPr="00234417">
        <w:rPr>
          <w:rStyle w:val="TextoNormalCaracter"/>
        </w:rPr>
        <w:t xml:space="preserve">, Sentencia </w:t>
      </w:r>
      <w:hyperlink w:anchor="SENTENCIA_2013_98" w:history="1">
        <w:r w:rsidRPr="00234417">
          <w:rPr>
            <w:rStyle w:val="TextoNormalCaracter"/>
          </w:rPr>
          <w:t>98/2013</w:t>
        </w:r>
      </w:hyperlink>
      <w:r w:rsidRPr="00234417">
        <w:rPr>
          <w:rStyle w:val="TextoNormalCaracter"/>
        </w:rPr>
        <w:t>, f. 3.</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86" w:history="1">
        <w:r w:rsidRPr="00234417">
          <w:rPr>
            <w:rStyle w:val="TextoNormalCaracter"/>
          </w:rPr>
          <w:t>86/2013</w:t>
        </w:r>
      </w:hyperlink>
      <w:r w:rsidRPr="00234417">
        <w:rPr>
          <w:rStyle w:val="TextoNormalCaracter"/>
        </w:rPr>
        <w:t xml:space="preserve">, ff. 4 a 6; </w:t>
      </w:r>
      <w:hyperlink w:anchor="AUTO_2013_123" w:history="1">
        <w:r w:rsidRPr="00234417">
          <w:rPr>
            <w:rStyle w:val="TextoNormalCaracter"/>
          </w:rPr>
          <w:t>123/2013</w:t>
        </w:r>
      </w:hyperlink>
      <w:r w:rsidRPr="00234417">
        <w:rPr>
          <w:rStyle w:val="TextoNormalCaracter"/>
        </w:rPr>
        <w:t>, ff. 4, 5.</w:t>
      </w:r>
    </w:p>
    <w:p w:rsidR="00234417" w:rsidRPr="00234417" w:rsidRDefault="00234417" w:rsidP="00234417">
      <w:pPr>
        <w:pStyle w:val="TextoNormalSangraFrancesa"/>
        <w:rPr>
          <w:rStyle w:val="TextoNormalCaracter"/>
        </w:rPr>
      </w:pPr>
      <w:bookmarkStart w:id="1762" w:name="DESCRIPTORALFABETICO28"/>
      <w:r w:rsidRPr="00234417">
        <w:rPr>
          <w:rStyle w:val="TextoNormalNegritaCaracter"/>
        </w:rPr>
        <w:t>Interés general como principio de distribución de competencias</w:t>
      </w:r>
      <w:bookmarkEnd w:id="1762"/>
      <w:r w:rsidRPr="00234417">
        <w:rPr>
          <w:rStyle w:val="TextoNormalCaracter"/>
        </w:rPr>
        <w:t xml:space="preserve">, Sentencia </w:t>
      </w:r>
      <w:hyperlink w:anchor="SENTENCIA_2013_83" w:history="1">
        <w:r w:rsidRPr="00234417">
          <w:rPr>
            <w:rStyle w:val="TextoNormalCaracter"/>
          </w:rPr>
          <w:t>83/2013</w:t>
        </w:r>
      </w:hyperlink>
      <w:r w:rsidRPr="00234417">
        <w:rPr>
          <w:rStyle w:val="TextoNormalCaracter"/>
        </w:rPr>
        <w:t>, f. 3.</w:t>
      </w:r>
    </w:p>
    <w:p w:rsidR="00234417" w:rsidRPr="00234417" w:rsidRDefault="00234417" w:rsidP="00234417">
      <w:pPr>
        <w:pStyle w:val="TextoNormalSangraFrancesa"/>
        <w:rPr>
          <w:rStyle w:val="TextoNormalCaracter"/>
        </w:rPr>
      </w:pPr>
      <w:bookmarkStart w:id="1763" w:name="DESCRIPTORALFABETICO302"/>
      <w:r w:rsidRPr="00234417">
        <w:rPr>
          <w:rStyle w:val="TextoNormalNegritaCaracter"/>
        </w:rPr>
        <w:t>Interés legítimo en el recurso de amparo</w:t>
      </w:r>
      <w:bookmarkEnd w:id="1763"/>
      <w:r w:rsidRPr="00234417">
        <w:rPr>
          <w:rStyle w:val="TextoNormalCaracter"/>
        </w:rPr>
        <w:t xml:space="preserve">, Sentencias </w:t>
      </w:r>
      <w:hyperlink w:anchor="SENTENCIA_2013_32" w:history="1">
        <w:r w:rsidRPr="00234417">
          <w:rPr>
            <w:rStyle w:val="TextoNormalCaracter"/>
          </w:rPr>
          <w:t>32/2013</w:t>
        </w:r>
      </w:hyperlink>
      <w:r w:rsidRPr="00234417">
        <w:rPr>
          <w:rStyle w:val="TextoNormalCaracter"/>
        </w:rPr>
        <w:t xml:space="preserve">, f. 2; </w:t>
      </w:r>
      <w:hyperlink w:anchor="SENTENCIA_2013_108" w:history="1">
        <w:r w:rsidRPr="00234417">
          <w:rPr>
            <w:rStyle w:val="TextoNormalCaracter"/>
          </w:rPr>
          <w:t>108/2013</w:t>
        </w:r>
      </w:hyperlink>
      <w:r w:rsidRPr="00234417">
        <w:rPr>
          <w:rStyle w:val="TextoNormalCaracter"/>
        </w:rPr>
        <w:t>, f. 2.</w:t>
      </w:r>
    </w:p>
    <w:p w:rsidR="00234417" w:rsidRPr="00234417" w:rsidRDefault="00234417" w:rsidP="00234417">
      <w:pPr>
        <w:pStyle w:val="TextoNormalSangraFrancesa"/>
        <w:rPr>
          <w:rStyle w:val="TextoNormalNegritaCaracter"/>
        </w:rPr>
      </w:pPr>
      <w:r w:rsidRPr="00234417">
        <w:rPr>
          <w:rStyle w:val="TextoNormalCursivaCaracter"/>
        </w:rPr>
        <w:t>Interés público</w:t>
      </w:r>
      <w:r>
        <w:t xml:space="preserve"> véase </w:t>
      </w:r>
      <w:hyperlink w:anchor="DESCRIPTORALFABETICO438" w:history="1">
        <w:r w:rsidRPr="00234417">
          <w:rPr>
            <w:rStyle w:val="TextoNormalNegritaCaracter"/>
          </w:rPr>
          <w:t>Interés general</w:t>
        </w:r>
      </w:hyperlink>
    </w:p>
    <w:p w:rsidR="00234417" w:rsidRPr="00234417" w:rsidRDefault="00234417" w:rsidP="00234417">
      <w:pPr>
        <w:pStyle w:val="TextoNormalSangraFrancesa"/>
        <w:rPr>
          <w:rStyle w:val="TextoNormalCaracter"/>
        </w:rPr>
      </w:pPr>
      <w:bookmarkStart w:id="1764" w:name="DESCRIPTORALFABETICO719"/>
      <w:r w:rsidRPr="00234417">
        <w:rPr>
          <w:rStyle w:val="TextoNormalNegritaCaracter"/>
        </w:rPr>
        <w:t>Interés superior del menor</w:t>
      </w:r>
      <w:bookmarkEnd w:id="1764"/>
      <w:r w:rsidRPr="00234417">
        <w:rPr>
          <w:rStyle w:val="TextoNormalCaracter"/>
        </w:rPr>
        <w:t xml:space="preserve">, Sentencias </w:t>
      </w:r>
      <w:hyperlink w:anchor="SENTENCIA_2013_93" w:history="1">
        <w:r w:rsidRPr="00234417">
          <w:rPr>
            <w:rStyle w:val="TextoNormalCaracter"/>
          </w:rPr>
          <w:t>93/2013</w:t>
        </w:r>
      </w:hyperlink>
      <w:r w:rsidRPr="00234417">
        <w:rPr>
          <w:rStyle w:val="TextoNormalCaracter"/>
        </w:rPr>
        <w:t xml:space="preserve">, f. 12, VP II; </w:t>
      </w:r>
      <w:hyperlink w:anchor="SENTENCIA_2013_127" w:history="1">
        <w:r w:rsidRPr="00234417">
          <w:rPr>
            <w:rStyle w:val="TextoNormalCaracter"/>
          </w:rPr>
          <w:t>127/2013</w:t>
        </w:r>
      </w:hyperlink>
      <w:r w:rsidRPr="00234417">
        <w:rPr>
          <w:rStyle w:val="TextoNormalCaracter"/>
        </w:rPr>
        <w:t>, f. 6.</w:t>
      </w:r>
    </w:p>
    <w:p w:rsidR="00234417" w:rsidRPr="00234417" w:rsidRDefault="00234417" w:rsidP="00234417">
      <w:pPr>
        <w:pStyle w:val="TextoNormalSangraFrancesa"/>
        <w:rPr>
          <w:rStyle w:val="TextoNormalCaracter"/>
        </w:rPr>
      </w:pPr>
      <w:bookmarkStart w:id="1765" w:name="DESCRIPTORALFABETICO422"/>
      <w:r w:rsidRPr="00234417">
        <w:rPr>
          <w:rStyle w:val="TextoNormalNegritaCaracter"/>
        </w:rPr>
        <w:t>Intereses particulares</w:t>
      </w:r>
      <w:bookmarkEnd w:id="1765"/>
      <w:r w:rsidRPr="00234417">
        <w:rPr>
          <w:rStyle w:val="TextoNormalCaracter"/>
        </w:rPr>
        <w:t xml:space="preserve">, Auto </w:t>
      </w:r>
      <w:hyperlink w:anchor="AUTO_2013_123" w:history="1">
        <w:r w:rsidRPr="00234417">
          <w:rPr>
            <w:rStyle w:val="TextoNormalCaracter"/>
          </w:rPr>
          <w:t>123/2013</w:t>
        </w:r>
      </w:hyperlink>
      <w:r w:rsidRPr="00234417">
        <w:rPr>
          <w:rStyle w:val="TextoNormalCaracter"/>
        </w:rPr>
        <w:t>, f. 4.</w:t>
      </w:r>
    </w:p>
    <w:p w:rsidR="00234417" w:rsidRPr="00234417" w:rsidRDefault="00234417" w:rsidP="00234417">
      <w:pPr>
        <w:pStyle w:val="TextoNormalSangraFrancesa"/>
        <w:rPr>
          <w:rStyle w:val="TextoNormalCaracter"/>
        </w:rPr>
      </w:pPr>
      <w:bookmarkStart w:id="1766" w:name="DESCRIPTORALFABETICO690"/>
      <w:r w:rsidRPr="00234417">
        <w:rPr>
          <w:rStyle w:val="TextoNormalNegritaCaracter"/>
        </w:rPr>
        <w:t>Interpretación conforme a la Constitución</w:t>
      </w:r>
      <w:bookmarkEnd w:id="1766"/>
      <w:r w:rsidRPr="00234417">
        <w:rPr>
          <w:rStyle w:val="TextoNormalCaracter"/>
        </w:rPr>
        <w:t xml:space="preserve">, Sentencias </w:t>
      </w:r>
      <w:hyperlink w:anchor="SENTENCIA_2013_4" w:history="1">
        <w:r w:rsidRPr="00234417">
          <w:rPr>
            <w:rStyle w:val="TextoNormalCaracter"/>
          </w:rPr>
          <w:t>4/2013</w:t>
        </w:r>
      </w:hyperlink>
      <w:r w:rsidRPr="00234417">
        <w:rPr>
          <w:rStyle w:val="TextoNormalCaracter"/>
        </w:rPr>
        <w:t xml:space="preserve">, f. 8; </w:t>
      </w:r>
      <w:hyperlink w:anchor="SENTENCIA_2013_36" w:history="1">
        <w:r w:rsidRPr="00234417">
          <w:rPr>
            <w:rStyle w:val="TextoNormalCaracter"/>
          </w:rPr>
          <w:t>36/2013</w:t>
        </w:r>
      </w:hyperlink>
      <w:r w:rsidRPr="00234417">
        <w:rPr>
          <w:rStyle w:val="TextoNormalCaracter"/>
        </w:rPr>
        <w:t xml:space="preserve">, f. 6; </w:t>
      </w:r>
      <w:hyperlink w:anchor="SENTENCIA_2013_83" w:history="1">
        <w:r w:rsidRPr="00234417">
          <w:rPr>
            <w:rStyle w:val="TextoNormalCaracter"/>
          </w:rPr>
          <w:t>83/2013</w:t>
        </w:r>
      </w:hyperlink>
      <w:r w:rsidRPr="00234417">
        <w:rPr>
          <w:rStyle w:val="TextoNormalCaracter"/>
        </w:rPr>
        <w:t xml:space="preserve">, ff. 2, 3, 5 a 7; </w:t>
      </w:r>
      <w:hyperlink w:anchor="SENTENCIA_2013_85" w:history="1">
        <w:r w:rsidRPr="00234417">
          <w:rPr>
            <w:rStyle w:val="TextoNormalCaracter"/>
          </w:rPr>
          <w:t>85/2013</w:t>
        </w:r>
      </w:hyperlink>
      <w:r w:rsidRPr="00234417">
        <w:rPr>
          <w:rStyle w:val="TextoNormalCaracter"/>
        </w:rPr>
        <w:t xml:space="preserve">, f. 5; </w:t>
      </w:r>
      <w:hyperlink w:anchor="SENTENCIA_2013_104" w:history="1">
        <w:r w:rsidRPr="00234417">
          <w:rPr>
            <w:rStyle w:val="TextoNormalCaracter"/>
          </w:rPr>
          <w:t>104/2013</w:t>
        </w:r>
      </w:hyperlink>
      <w:r w:rsidRPr="00234417">
        <w:rPr>
          <w:rStyle w:val="TextoNormalCaracter"/>
        </w:rPr>
        <w:t>, f. 9.</w:t>
      </w:r>
    </w:p>
    <w:p w:rsidR="00234417" w:rsidRPr="00234417" w:rsidRDefault="00234417" w:rsidP="00234417">
      <w:pPr>
        <w:pStyle w:val="TextoNormalSangraFrancesa"/>
        <w:rPr>
          <w:rStyle w:val="TextoNormalCaracter"/>
        </w:rPr>
      </w:pPr>
      <w:bookmarkStart w:id="1767" w:name="DESCRIPTORALFABETICO689"/>
      <w:r w:rsidRPr="00234417">
        <w:rPr>
          <w:rStyle w:val="TextoNormalNegritaCaracter"/>
        </w:rPr>
        <w:lastRenderedPageBreak/>
        <w:t>Interpretación de las normas jurídicas</w:t>
      </w:r>
      <w:bookmarkEnd w:id="1767"/>
      <w:r w:rsidRPr="00234417">
        <w:rPr>
          <w:rStyle w:val="TextoNormalCaracter"/>
        </w:rPr>
        <w:t xml:space="preserve">, Sentencias </w:t>
      </w:r>
      <w:hyperlink w:anchor="SENTENCIA_2013_8" w:history="1">
        <w:r w:rsidRPr="00234417">
          <w:rPr>
            <w:rStyle w:val="TextoNormalCaracter"/>
          </w:rPr>
          <w:t>8/2013</w:t>
        </w:r>
      </w:hyperlink>
      <w:r w:rsidRPr="00234417">
        <w:rPr>
          <w:rStyle w:val="TextoNormalCaracter"/>
        </w:rPr>
        <w:t xml:space="preserve">, f. 8; </w:t>
      </w:r>
      <w:hyperlink w:anchor="SENTENCIA_2013_11" w:history="1">
        <w:r w:rsidRPr="00234417">
          <w:rPr>
            <w:rStyle w:val="TextoNormalCaracter"/>
          </w:rPr>
          <w:t>11/2013</w:t>
        </w:r>
      </w:hyperlink>
      <w:r w:rsidRPr="00234417">
        <w:rPr>
          <w:rStyle w:val="TextoNormalCaracter"/>
        </w:rPr>
        <w:t xml:space="preserve">, f. 2; </w:t>
      </w:r>
      <w:hyperlink w:anchor="SENTENCIA_2013_27" w:history="1">
        <w:r w:rsidRPr="00234417">
          <w:rPr>
            <w:rStyle w:val="TextoNormalCaracter"/>
          </w:rPr>
          <w:t>27/2013</w:t>
        </w:r>
      </w:hyperlink>
      <w:r w:rsidRPr="00234417">
        <w:rPr>
          <w:rStyle w:val="TextoNormalCaracter"/>
        </w:rPr>
        <w:t>, f. 5.</w:t>
      </w:r>
    </w:p>
    <w:p w:rsidR="00234417" w:rsidRPr="00234417" w:rsidRDefault="00234417" w:rsidP="00234417">
      <w:pPr>
        <w:pStyle w:val="TextoNormalSangraFrancesa"/>
        <w:rPr>
          <w:rStyle w:val="TextoNormalCaracter"/>
        </w:rPr>
      </w:pPr>
      <w:bookmarkStart w:id="1768" w:name="DESCRIPTORALFABETICO692"/>
      <w:r w:rsidRPr="00234417">
        <w:rPr>
          <w:rStyle w:val="TextoNormalNegritaCaracter"/>
        </w:rPr>
        <w:t>Interpretación de normas procesales</w:t>
      </w:r>
      <w:bookmarkEnd w:id="1768"/>
      <w:r w:rsidRPr="00234417">
        <w:rPr>
          <w:rStyle w:val="TextoNormalCaracter"/>
        </w:rPr>
        <w:t xml:space="preserve">, Sentencia </w:t>
      </w:r>
      <w:hyperlink w:anchor="SENTENCIA_2013_106" w:history="1">
        <w:r w:rsidRPr="00234417">
          <w:rPr>
            <w:rStyle w:val="TextoNormalCaracter"/>
          </w:rPr>
          <w:t>106/2013</w:t>
        </w:r>
      </w:hyperlink>
      <w:r w:rsidRPr="00234417">
        <w:rPr>
          <w:rStyle w:val="TextoNormalCaracter"/>
        </w:rPr>
        <w:t>, ff. 4, 5.</w:t>
      </w:r>
    </w:p>
    <w:p w:rsidR="00234417" w:rsidRPr="00234417" w:rsidRDefault="00234417" w:rsidP="00234417">
      <w:pPr>
        <w:pStyle w:val="TextoNormalSangraFrancesa"/>
        <w:rPr>
          <w:rStyle w:val="TextoNormalCaracter"/>
        </w:rPr>
      </w:pPr>
      <w:bookmarkStart w:id="1769" w:name="DESCRIPTORALFABETICO828"/>
      <w:r w:rsidRPr="00234417">
        <w:rPr>
          <w:rStyle w:val="TextoNormalNegritaCaracter"/>
        </w:rPr>
        <w:t>Interpretación del fallo</w:t>
      </w:r>
      <w:bookmarkEnd w:id="1769"/>
      <w:r w:rsidRPr="00234417">
        <w:rPr>
          <w:rStyle w:val="TextoNormalCaracter"/>
        </w:rPr>
        <w:t xml:space="preserve">, Sentencia </w:t>
      </w:r>
      <w:hyperlink w:anchor="SENTENCIA_2013_10" w:history="1">
        <w:r w:rsidRPr="00234417">
          <w:rPr>
            <w:rStyle w:val="TextoNormalCaracter"/>
          </w:rPr>
          <w:t>10/2013</w:t>
        </w:r>
      </w:hyperlink>
      <w:r w:rsidRPr="00234417">
        <w:rPr>
          <w:rStyle w:val="TextoNormalCaracter"/>
        </w:rPr>
        <w:t>, f. 2.</w:t>
      </w:r>
    </w:p>
    <w:p w:rsidR="00234417" w:rsidRPr="00234417" w:rsidRDefault="00234417" w:rsidP="00234417">
      <w:pPr>
        <w:pStyle w:val="TextoNormalSangraFrancesa"/>
        <w:rPr>
          <w:rStyle w:val="TextoNormalCaracter"/>
        </w:rPr>
      </w:pPr>
      <w:bookmarkStart w:id="1770" w:name="DESCRIPTORALFABETICO693"/>
      <w:r w:rsidRPr="00234417">
        <w:rPr>
          <w:rStyle w:val="TextoNormalNegritaCaracter"/>
        </w:rPr>
        <w:t>Interpretación extensiva del tipo</w:t>
      </w:r>
      <w:bookmarkEnd w:id="1770"/>
      <w:r w:rsidRPr="00234417">
        <w:rPr>
          <w:rStyle w:val="TextoNormalCaracter"/>
        </w:rPr>
        <w:t xml:space="preserve">, Sentencia </w:t>
      </w:r>
      <w:hyperlink w:anchor="SENTENCIA_2013_107" w:history="1">
        <w:r w:rsidRPr="00234417">
          <w:rPr>
            <w:rStyle w:val="TextoNormalCaracter"/>
          </w:rPr>
          <w:t>107/2013</w:t>
        </w:r>
      </w:hyperlink>
      <w:r w:rsidRPr="00234417">
        <w:rPr>
          <w:rStyle w:val="TextoNormalCaracter"/>
        </w:rPr>
        <w:t>, f. 2.</w:t>
      </w:r>
    </w:p>
    <w:p w:rsidR="00234417" w:rsidRPr="00234417" w:rsidRDefault="00234417" w:rsidP="00234417">
      <w:pPr>
        <w:pStyle w:val="TextoNormalSangraFrancesa"/>
        <w:rPr>
          <w:rStyle w:val="TextoNormalCaracter"/>
        </w:rPr>
      </w:pPr>
      <w:bookmarkStart w:id="1771" w:name="DESCRIPTORALFABETICO344"/>
      <w:r w:rsidRPr="00234417">
        <w:rPr>
          <w:rStyle w:val="TextoNormalNegritaCaracter"/>
        </w:rPr>
        <w:t>Intérprete supremo de la Constitución</w:t>
      </w:r>
      <w:bookmarkEnd w:id="1771"/>
      <w:r w:rsidRPr="00234417">
        <w:rPr>
          <w:rStyle w:val="TextoNormalCaracter"/>
        </w:rPr>
        <w:t xml:space="preserve">, Sentencia </w:t>
      </w:r>
      <w:hyperlink w:anchor="SENTENCIA_2013_133" w:history="1">
        <w:r w:rsidRPr="00234417">
          <w:rPr>
            <w:rStyle w:val="TextoNormalCaracter"/>
          </w:rPr>
          <w:t>133/2013</w:t>
        </w:r>
      </w:hyperlink>
      <w:r w:rsidRPr="00234417">
        <w:rPr>
          <w:rStyle w:val="TextoNormalCaracter"/>
        </w:rPr>
        <w:t>, f. 6.</w:t>
      </w:r>
    </w:p>
    <w:p w:rsidR="00234417" w:rsidRPr="00234417" w:rsidRDefault="00234417" w:rsidP="00234417">
      <w:pPr>
        <w:pStyle w:val="TextoNormalSangraFrancesa"/>
        <w:rPr>
          <w:rStyle w:val="TextoNormalCaracter"/>
        </w:rPr>
      </w:pPr>
      <w:bookmarkStart w:id="1772" w:name="DESCRIPTORALFABETICO605"/>
      <w:r w:rsidRPr="00234417">
        <w:rPr>
          <w:rStyle w:val="TextoNormalNegritaCaracter"/>
        </w:rPr>
        <w:t>Interrupción de la prescripción de infracciones penales</w:t>
      </w:r>
      <w:bookmarkEnd w:id="1772"/>
      <w:r w:rsidRPr="00234417">
        <w:rPr>
          <w:rStyle w:val="TextoNormalCaracter"/>
        </w:rPr>
        <w:t xml:space="preserve">, Sentencias </w:t>
      </w:r>
      <w:hyperlink w:anchor="SENTENCIA_2013_1" w:history="1">
        <w:r w:rsidRPr="00234417">
          <w:rPr>
            <w:rStyle w:val="TextoNormalCaracter"/>
          </w:rPr>
          <w:t>1/2013</w:t>
        </w:r>
      </w:hyperlink>
      <w:r w:rsidRPr="00234417">
        <w:rPr>
          <w:rStyle w:val="TextoNormalCaracter"/>
        </w:rPr>
        <w:t xml:space="preserve">, f. 3; </w:t>
      </w:r>
      <w:hyperlink w:anchor="SENTENCIA_2013_2" w:history="1">
        <w:r w:rsidRPr="00234417">
          <w:rPr>
            <w:rStyle w:val="TextoNormalCaracter"/>
          </w:rPr>
          <w:t>2/2013</w:t>
        </w:r>
      </w:hyperlink>
      <w:r w:rsidRPr="00234417">
        <w:rPr>
          <w:rStyle w:val="TextoNormalCaracter"/>
        </w:rPr>
        <w:t>, f. 7.</w:t>
      </w:r>
    </w:p>
    <w:p w:rsidR="00234417" w:rsidRPr="00234417" w:rsidRDefault="00234417" w:rsidP="00234417">
      <w:pPr>
        <w:pStyle w:val="TextoNormalSangraFrancesa"/>
        <w:rPr>
          <w:rStyle w:val="TextoNormalCaracter"/>
        </w:rPr>
      </w:pPr>
      <w:bookmarkStart w:id="1773" w:name="DESCRIPTORALFABETICO717"/>
      <w:r w:rsidRPr="00234417">
        <w:rPr>
          <w:rStyle w:val="TextoNormalNegritaCaracter"/>
        </w:rPr>
        <w:t>Interrupción de la prescripción de la pena</w:t>
      </w:r>
      <w:bookmarkEnd w:id="1773"/>
      <w:r w:rsidRPr="00234417">
        <w:rPr>
          <w:rStyle w:val="TextoNormalCaracter"/>
        </w:rPr>
        <w:t xml:space="preserve">, Sentencias </w:t>
      </w:r>
      <w:hyperlink w:anchor="SENTENCIA_2013_32" w:history="1">
        <w:r w:rsidRPr="00234417">
          <w:rPr>
            <w:rStyle w:val="TextoNormalCaracter"/>
          </w:rPr>
          <w:t>32/2013</w:t>
        </w:r>
      </w:hyperlink>
      <w:r w:rsidRPr="00234417">
        <w:rPr>
          <w:rStyle w:val="TextoNormalCaracter"/>
        </w:rPr>
        <w:t xml:space="preserve">, f. 4; </w:t>
      </w:r>
      <w:hyperlink w:anchor="SENTENCIA_2013_109" w:history="1">
        <w:r w:rsidRPr="00234417">
          <w:rPr>
            <w:rStyle w:val="TextoNormalCaracter"/>
          </w:rPr>
          <w:t>109/2013</w:t>
        </w:r>
      </w:hyperlink>
      <w:r w:rsidRPr="00234417">
        <w:rPr>
          <w:rStyle w:val="TextoNormalCaracter"/>
        </w:rPr>
        <w:t>, ff. 3 a 5.</w:t>
      </w:r>
    </w:p>
    <w:p w:rsidR="00234417" w:rsidRPr="00234417" w:rsidRDefault="00234417" w:rsidP="00234417">
      <w:pPr>
        <w:pStyle w:val="TextoNormalSangraFrancesa"/>
        <w:rPr>
          <w:rStyle w:val="TextoNormalNegritaCaracter"/>
        </w:rPr>
      </w:pPr>
      <w:r w:rsidRPr="00234417">
        <w:rPr>
          <w:rStyle w:val="TextoNormalCursivaCaracter"/>
        </w:rPr>
        <w:t>Intervención de las comunicaciones telefónicas</w:t>
      </w:r>
      <w:r>
        <w:t xml:space="preserve"> véase </w:t>
      </w:r>
      <w:hyperlink w:anchor="DESCRIPTORALFABETICO195" w:history="1">
        <w:r w:rsidRPr="00234417">
          <w:rPr>
            <w:rStyle w:val="TextoNormalNegritaCaracter"/>
          </w:rPr>
          <w:t>Intervención telefónica</w:t>
        </w:r>
      </w:hyperlink>
    </w:p>
    <w:p w:rsidR="00234417" w:rsidRPr="00234417" w:rsidRDefault="00234417" w:rsidP="00234417">
      <w:pPr>
        <w:pStyle w:val="TextoNormalSangraFrancesa"/>
        <w:rPr>
          <w:rStyle w:val="TextoNormalCaracter"/>
        </w:rPr>
      </w:pPr>
      <w:bookmarkStart w:id="1774" w:name="DESCRIPTORALFABETICO521"/>
      <w:r w:rsidRPr="00234417">
        <w:rPr>
          <w:rStyle w:val="TextoNormalNegritaCaracter"/>
        </w:rPr>
        <w:t>Intervención de los profesores en la gestión de centros docentes</w:t>
      </w:r>
      <w:bookmarkEnd w:id="1774"/>
      <w:r w:rsidRPr="00234417">
        <w:rPr>
          <w:rStyle w:val="TextoNormalCaracter"/>
        </w:rPr>
        <w:t xml:space="preserve">, Sentencia </w:t>
      </w:r>
      <w:hyperlink w:anchor="SENTENCIA_2013_131" w:history="1">
        <w:r w:rsidRPr="00234417">
          <w:rPr>
            <w:rStyle w:val="TextoNormalCaracter"/>
          </w:rPr>
          <w:t>131/2013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775" w:name="DESCRIPTORALFABETICO14"/>
      <w:r w:rsidRPr="00234417">
        <w:rPr>
          <w:rStyle w:val="TextoNormalNegritaCaracter"/>
        </w:rPr>
        <w:t>Intervención del Estado en materia de competencia exclusiva de Comunidades Autónomas</w:t>
      </w:r>
      <w:bookmarkEnd w:id="1775"/>
      <w:r w:rsidRPr="00234417">
        <w:rPr>
          <w:rStyle w:val="TextoNormalCaracter"/>
        </w:rPr>
        <w:t xml:space="preserve">, Sentencia </w:t>
      </w:r>
      <w:hyperlink w:anchor="SENTENCIA_2013_102" w:history="1">
        <w:r w:rsidRPr="00234417">
          <w:rPr>
            <w:rStyle w:val="TextoNormalCaracter"/>
          </w:rPr>
          <w:t>102/2013</w:t>
        </w:r>
      </w:hyperlink>
      <w:r w:rsidRPr="00234417">
        <w:rPr>
          <w:rStyle w:val="TextoNormalCaracter"/>
        </w:rPr>
        <w:t>, f. 12.</w:t>
      </w:r>
    </w:p>
    <w:p w:rsidR="00234417" w:rsidRPr="00234417" w:rsidRDefault="00234417" w:rsidP="00234417">
      <w:pPr>
        <w:pStyle w:val="TextoNormalSangraFrancesa"/>
        <w:rPr>
          <w:rStyle w:val="TextoNormalCaracter"/>
        </w:rPr>
      </w:pPr>
      <w:bookmarkStart w:id="1776" w:name="DESCRIPTORALFABETICO732"/>
      <w:r w:rsidRPr="00234417">
        <w:rPr>
          <w:rStyle w:val="TextoNormalNegritaCaracter"/>
        </w:rPr>
        <w:t>Intervención en el procedimiento administrativo</w:t>
      </w:r>
      <w:bookmarkEnd w:id="1776"/>
      <w:r w:rsidRPr="00234417">
        <w:rPr>
          <w:rStyle w:val="TextoNormalCaracter"/>
        </w:rPr>
        <w:t xml:space="preserve">, Sentencia </w:t>
      </w:r>
      <w:hyperlink w:anchor="SENTENCIA_2013_129" w:history="1">
        <w:r w:rsidRPr="00234417">
          <w:rPr>
            <w:rStyle w:val="TextoNormalCaracter"/>
          </w:rPr>
          <w:t>129/2013</w:t>
        </w:r>
      </w:hyperlink>
      <w:r w:rsidRPr="00234417">
        <w:rPr>
          <w:rStyle w:val="TextoNormalCaracter"/>
        </w:rPr>
        <w:t>, f. 8.</w:t>
      </w:r>
    </w:p>
    <w:p w:rsidR="00234417" w:rsidRPr="00234417" w:rsidRDefault="00234417" w:rsidP="00234417">
      <w:pPr>
        <w:pStyle w:val="TextoNormalSangraFrancesa"/>
        <w:rPr>
          <w:rStyle w:val="TextoNormalCaracter"/>
        </w:rPr>
      </w:pPr>
      <w:bookmarkStart w:id="1777" w:name="DESCRIPTORALFABETICO795"/>
      <w:r w:rsidRPr="00234417">
        <w:rPr>
          <w:rStyle w:val="TextoNormalNegritaCaracter"/>
        </w:rPr>
        <w:t>Intervención en la vía judicial previa</w:t>
      </w:r>
      <w:bookmarkEnd w:id="1777"/>
      <w:r w:rsidRPr="00234417">
        <w:rPr>
          <w:rStyle w:val="TextoNormalCaracter"/>
        </w:rPr>
        <w:t xml:space="preserve">, Autos </w:t>
      </w:r>
      <w:hyperlink w:anchor="AUTO_2013_3" w:history="1">
        <w:r w:rsidRPr="00234417">
          <w:rPr>
            <w:rStyle w:val="TextoNormalCaracter"/>
          </w:rPr>
          <w:t>3/2013</w:t>
        </w:r>
      </w:hyperlink>
      <w:r w:rsidRPr="00234417">
        <w:rPr>
          <w:rStyle w:val="TextoNormalCaracter"/>
        </w:rPr>
        <w:t xml:space="preserve">, f. único; </w:t>
      </w:r>
      <w:hyperlink w:anchor="AUTO_2013_4" w:history="1">
        <w:r w:rsidRPr="00234417">
          <w:rPr>
            <w:rStyle w:val="TextoNormalCaracter"/>
          </w:rPr>
          <w:t>4/2013</w:t>
        </w:r>
      </w:hyperlink>
      <w:r w:rsidRPr="00234417">
        <w:rPr>
          <w:rStyle w:val="TextoNormalCaracter"/>
        </w:rPr>
        <w:t xml:space="preserve">, f. único; </w:t>
      </w:r>
      <w:hyperlink w:anchor="AUTO_2013_11" w:history="1">
        <w:r w:rsidRPr="00234417">
          <w:rPr>
            <w:rStyle w:val="TextoNormalCaracter"/>
          </w:rPr>
          <w:t>11/2013</w:t>
        </w:r>
      </w:hyperlink>
      <w:r w:rsidRPr="00234417">
        <w:rPr>
          <w:rStyle w:val="TextoNormalCaracter"/>
        </w:rPr>
        <w:t xml:space="preserve">, f. único; </w:t>
      </w:r>
      <w:hyperlink w:anchor="AUTO_2013_12" w:history="1">
        <w:r w:rsidRPr="00234417">
          <w:rPr>
            <w:rStyle w:val="TextoNormalCaracter"/>
          </w:rPr>
          <w:t>12/2013</w:t>
        </w:r>
      </w:hyperlink>
      <w:r w:rsidRPr="00234417">
        <w:rPr>
          <w:rStyle w:val="TextoNormalCaracter"/>
        </w:rPr>
        <w:t xml:space="preserve">, f. único; </w:t>
      </w:r>
      <w:hyperlink w:anchor="AUTO_2013_15" w:history="1">
        <w:r w:rsidRPr="00234417">
          <w:rPr>
            <w:rStyle w:val="TextoNormalCaracter"/>
          </w:rPr>
          <w:t>15/2013</w:t>
        </w:r>
      </w:hyperlink>
      <w:r w:rsidRPr="00234417">
        <w:rPr>
          <w:rStyle w:val="TextoNormalCaracter"/>
        </w:rPr>
        <w:t xml:space="preserve">, f. único; </w:t>
      </w:r>
      <w:hyperlink w:anchor="AUTO_2013_16" w:history="1">
        <w:r w:rsidRPr="00234417">
          <w:rPr>
            <w:rStyle w:val="TextoNormalCaracter"/>
          </w:rPr>
          <w:t>16/2013</w:t>
        </w:r>
      </w:hyperlink>
      <w:r w:rsidRPr="00234417">
        <w:rPr>
          <w:rStyle w:val="TextoNormalCaracter"/>
        </w:rPr>
        <w:t xml:space="preserve">, f. único; </w:t>
      </w:r>
      <w:hyperlink w:anchor="AUTO_2013_17" w:history="1">
        <w:r w:rsidRPr="00234417">
          <w:rPr>
            <w:rStyle w:val="TextoNormalCaracter"/>
          </w:rPr>
          <w:t>17/2013</w:t>
        </w:r>
      </w:hyperlink>
      <w:r w:rsidRPr="00234417">
        <w:rPr>
          <w:rStyle w:val="TextoNormalCaracter"/>
        </w:rPr>
        <w:t xml:space="preserve">, f. único; </w:t>
      </w:r>
      <w:hyperlink w:anchor="AUTO_2013_37" w:history="1">
        <w:r w:rsidRPr="00234417">
          <w:rPr>
            <w:rStyle w:val="TextoNormalCaracter"/>
          </w:rPr>
          <w:t>37/2013</w:t>
        </w:r>
      </w:hyperlink>
      <w:r w:rsidRPr="00234417">
        <w:rPr>
          <w:rStyle w:val="TextoNormalCaracter"/>
        </w:rPr>
        <w:t xml:space="preserve">, f. único; </w:t>
      </w:r>
      <w:hyperlink w:anchor="AUTO_2013_39" w:history="1">
        <w:r w:rsidRPr="00234417">
          <w:rPr>
            <w:rStyle w:val="TextoNormalCaracter"/>
          </w:rPr>
          <w:t>39/2013</w:t>
        </w:r>
      </w:hyperlink>
      <w:r w:rsidRPr="00234417">
        <w:rPr>
          <w:rStyle w:val="TextoNormalCaracter"/>
        </w:rPr>
        <w:t xml:space="preserve">, f. único; </w:t>
      </w:r>
      <w:hyperlink w:anchor="AUTO_2013_44" w:history="1">
        <w:r w:rsidRPr="00234417">
          <w:rPr>
            <w:rStyle w:val="TextoNormalCaracter"/>
          </w:rPr>
          <w:t>44/2013</w:t>
        </w:r>
      </w:hyperlink>
      <w:r w:rsidRPr="00234417">
        <w:rPr>
          <w:rStyle w:val="TextoNormalCaracter"/>
        </w:rPr>
        <w:t xml:space="preserve">, f. único; </w:t>
      </w:r>
      <w:hyperlink w:anchor="AUTO_2013_45" w:history="1">
        <w:r w:rsidRPr="00234417">
          <w:rPr>
            <w:rStyle w:val="TextoNormalCaracter"/>
          </w:rPr>
          <w:t>45/2013</w:t>
        </w:r>
      </w:hyperlink>
      <w:r w:rsidRPr="00234417">
        <w:rPr>
          <w:rStyle w:val="TextoNormalCaracter"/>
        </w:rPr>
        <w:t xml:space="preserve">, f. único; </w:t>
      </w:r>
      <w:hyperlink w:anchor="AUTO_2013_49" w:history="1">
        <w:r w:rsidRPr="00234417">
          <w:rPr>
            <w:rStyle w:val="TextoNormalCaracter"/>
          </w:rPr>
          <w:t>49/2013</w:t>
        </w:r>
      </w:hyperlink>
      <w:r w:rsidRPr="00234417">
        <w:rPr>
          <w:rStyle w:val="TextoNormalCaracter"/>
        </w:rPr>
        <w:t xml:space="preserve">, f. único; </w:t>
      </w:r>
      <w:hyperlink w:anchor="AUTO_2013_62" w:history="1">
        <w:r w:rsidRPr="00234417">
          <w:rPr>
            <w:rStyle w:val="TextoNormalCaracter"/>
          </w:rPr>
          <w:t>62/2013</w:t>
        </w:r>
      </w:hyperlink>
      <w:r w:rsidRPr="00234417">
        <w:rPr>
          <w:rStyle w:val="TextoNormalCaracter"/>
        </w:rPr>
        <w:t xml:space="preserve">, f. único; </w:t>
      </w:r>
      <w:hyperlink w:anchor="AUTO_2013_81" w:history="1">
        <w:r w:rsidRPr="00234417">
          <w:rPr>
            <w:rStyle w:val="TextoNormalCaracter"/>
          </w:rPr>
          <w:t>81/2013</w:t>
        </w:r>
      </w:hyperlink>
      <w:r w:rsidRPr="00234417">
        <w:rPr>
          <w:rStyle w:val="TextoNormalCaracter"/>
        </w:rPr>
        <w:t xml:space="preserve">, f. único; </w:t>
      </w:r>
      <w:hyperlink w:anchor="AUTO_2013_90" w:history="1">
        <w:r w:rsidRPr="00234417">
          <w:rPr>
            <w:rStyle w:val="TextoNormalCaracter"/>
          </w:rPr>
          <w:t>90/2013</w:t>
        </w:r>
      </w:hyperlink>
      <w:r w:rsidRPr="00234417">
        <w:rPr>
          <w:rStyle w:val="TextoNormalCaracter"/>
        </w:rPr>
        <w:t xml:space="preserve">, f. único; </w:t>
      </w:r>
      <w:hyperlink w:anchor="AUTO_2013_91" w:history="1">
        <w:r w:rsidRPr="00234417">
          <w:rPr>
            <w:rStyle w:val="TextoNormalCaracter"/>
          </w:rPr>
          <w:t>91/2013</w:t>
        </w:r>
      </w:hyperlink>
      <w:r w:rsidRPr="00234417">
        <w:rPr>
          <w:rStyle w:val="TextoNormalCaracter"/>
        </w:rPr>
        <w:t xml:space="preserve">, f. único; </w:t>
      </w:r>
      <w:hyperlink w:anchor="AUTO_2013_97" w:history="1">
        <w:r w:rsidRPr="00234417">
          <w:rPr>
            <w:rStyle w:val="TextoNormalCaracter"/>
          </w:rPr>
          <w:t>97/2013</w:t>
        </w:r>
      </w:hyperlink>
      <w:r w:rsidRPr="00234417">
        <w:rPr>
          <w:rStyle w:val="TextoNormalCaracter"/>
        </w:rPr>
        <w:t xml:space="preserve">, f. único; </w:t>
      </w:r>
      <w:hyperlink w:anchor="AUTO_2013_98" w:history="1">
        <w:r w:rsidRPr="00234417">
          <w:rPr>
            <w:rStyle w:val="TextoNormalCaracter"/>
          </w:rPr>
          <w:t>98/2013</w:t>
        </w:r>
      </w:hyperlink>
      <w:r w:rsidRPr="00234417">
        <w:rPr>
          <w:rStyle w:val="TextoNormalCaracter"/>
        </w:rPr>
        <w:t xml:space="preserve">, f. único; </w:t>
      </w:r>
      <w:hyperlink w:anchor="AUTO_2013_99" w:history="1">
        <w:r w:rsidRPr="00234417">
          <w:rPr>
            <w:rStyle w:val="TextoNormalCaracter"/>
          </w:rPr>
          <w:t>99/2013</w:t>
        </w:r>
      </w:hyperlink>
      <w:r w:rsidRPr="00234417">
        <w:rPr>
          <w:rStyle w:val="TextoNormalCaracter"/>
        </w:rPr>
        <w:t xml:space="preserve">, f. único; </w:t>
      </w:r>
      <w:hyperlink w:anchor="AUTO_2013_100" w:history="1">
        <w:r w:rsidRPr="00234417">
          <w:rPr>
            <w:rStyle w:val="TextoNormalCaracter"/>
          </w:rPr>
          <w:t>100/2013</w:t>
        </w:r>
      </w:hyperlink>
      <w:r w:rsidRPr="00234417">
        <w:rPr>
          <w:rStyle w:val="TextoNormalCaracter"/>
        </w:rPr>
        <w:t xml:space="preserve">, f. único; </w:t>
      </w:r>
      <w:hyperlink w:anchor="AUTO_2013_101" w:history="1">
        <w:r w:rsidRPr="00234417">
          <w:rPr>
            <w:rStyle w:val="TextoNormalCaracter"/>
          </w:rPr>
          <w:t>101/2013</w:t>
        </w:r>
      </w:hyperlink>
      <w:r w:rsidRPr="00234417">
        <w:rPr>
          <w:rStyle w:val="TextoNormalCaracter"/>
        </w:rPr>
        <w:t xml:space="preserve">, f. único; </w:t>
      </w:r>
      <w:hyperlink w:anchor="AUTO_2013_102" w:history="1">
        <w:r w:rsidRPr="00234417">
          <w:rPr>
            <w:rStyle w:val="TextoNormalCaracter"/>
          </w:rPr>
          <w:t>102/2013</w:t>
        </w:r>
      </w:hyperlink>
      <w:r w:rsidRPr="00234417">
        <w:rPr>
          <w:rStyle w:val="TextoNormalCaracter"/>
        </w:rPr>
        <w:t xml:space="preserve">, f. único; </w:t>
      </w:r>
      <w:hyperlink w:anchor="AUTO_2013_103" w:history="1">
        <w:r w:rsidRPr="00234417">
          <w:rPr>
            <w:rStyle w:val="TextoNormalCaracter"/>
          </w:rPr>
          <w:t>103/2013</w:t>
        </w:r>
      </w:hyperlink>
      <w:r w:rsidRPr="00234417">
        <w:rPr>
          <w:rStyle w:val="TextoNormalCaracter"/>
        </w:rPr>
        <w:t xml:space="preserve">, f. único; </w:t>
      </w:r>
      <w:hyperlink w:anchor="AUTO_2013_131" w:history="1">
        <w:r w:rsidRPr="00234417">
          <w:rPr>
            <w:rStyle w:val="TextoNormalCaracter"/>
          </w:rPr>
          <w:t>131/2013</w:t>
        </w:r>
      </w:hyperlink>
      <w:r w:rsidRPr="00234417">
        <w:rPr>
          <w:rStyle w:val="TextoNormalCaracter"/>
        </w:rPr>
        <w:t xml:space="preserve">, f. único; </w:t>
      </w:r>
      <w:hyperlink w:anchor="AUTO_2013_135" w:history="1">
        <w:r w:rsidRPr="00234417">
          <w:rPr>
            <w:rStyle w:val="TextoNormalCaracter"/>
          </w:rPr>
          <w:t>135/2013</w:t>
        </w:r>
      </w:hyperlink>
      <w:r w:rsidRPr="00234417">
        <w:rPr>
          <w:rStyle w:val="TextoNormalCaracter"/>
        </w:rPr>
        <w:t xml:space="preserve">, f. único; </w:t>
      </w:r>
      <w:hyperlink w:anchor="AUTO_2013_138" w:history="1">
        <w:r w:rsidRPr="00234417">
          <w:rPr>
            <w:rStyle w:val="TextoNormalCaracter"/>
          </w:rPr>
          <w:t>138/2013</w:t>
        </w:r>
      </w:hyperlink>
      <w:r w:rsidRPr="00234417">
        <w:rPr>
          <w:rStyle w:val="TextoNormalCaracter"/>
        </w:rPr>
        <w:t xml:space="preserve">, f. único; </w:t>
      </w:r>
      <w:hyperlink w:anchor="AUTO_2013_141" w:history="1">
        <w:r w:rsidRPr="00234417">
          <w:rPr>
            <w:rStyle w:val="TextoNormalCaracter"/>
          </w:rPr>
          <w:t>141/2013</w:t>
        </w:r>
      </w:hyperlink>
      <w:r w:rsidRPr="00234417">
        <w:rPr>
          <w:rStyle w:val="TextoNormalCaracter"/>
        </w:rPr>
        <w:t xml:space="preserve">, f. 3; </w:t>
      </w:r>
      <w:hyperlink w:anchor="AUTO_2013_144" w:history="1">
        <w:r w:rsidRPr="00234417">
          <w:rPr>
            <w:rStyle w:val="TextoNormalCaracter"/>
          </w:rPr>
          <w:t>144/2013</w:t>
        </w:r>
      </w:hyperlink>
      <w:r w:rsidRPr="00234417">
        <w:rPr>
          <w:rStyle w:val="TextoNormalCaracter"/>
        </w:rPr>
        <w:t xml:space="preserve">, f. único; </w:t>
      </w:r>
      <w:hyperlink w:anchor="AUTO_2013_147" w:history="1">
        <w:r w:rsidRPr="00234417">
          <w:rPr>
            <w:rStyle w:val="TextoNormalCaracter"/>
          </w:rPr>
          <w:t>147/2013</w:t>
        </w:r>
      </w:hyperlink>
      <w:r w:rsidRPr="00234417">
        <w:rPr>
          <w:rStyle w:val="TextoNormalCaracter"/>
        </w:rPr>
        <w:t xml:space="preserve">, f. único; </w:t>
      </w:r>
      <w:hyperlink w:anchor="AUTO_2013_148" w:history="1">
        <w:r w:rsidRPr="00234417">
          <w:rPr>
            <w:rStyle w:val="TextoNormalCaracter"/>
          </w:rPr>
          <w:t>148/2013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778" w:name="DESCRIPTORALFABETICO195"/>
      <w:r w:rsidRPr="00234417">
        <w:rPr>
          <w:rStyle w:val="TextoNormalNegritaCaracter"/>
        </w:rPr>
        <w:t>Intervención telefónica</w:t>
      </w:r>
      <w:bookmarkEnd w:id="1778"/>
      <w:r w:rsidRPr="00234417">
        <w:rPr>
          <w:rStyle w:val="TextoNormalCaracter"/>
        </w:rPr>
        <w:t xml:space="preserve">, Auto </w:t>
      </w:r>
      <w:hyperlink w:anchor="AUTO_2013_25" w:history="1">
        <w:r w:rsidRPr="00234417">
          <w:rPr>
            <w:rStyle w:val="TextoNormalCaracter"/>
          </w:rPr>
          <w:t>25/2013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1779" w:name="DESCRIPTORALFABETICO906"/>
      <w:r w:rsidRPr="00234417">
        <w:rPr>
          <w:rStyle w:val="TextoNormalNegritaCaracter"/>
        </w:rPr>
        <w:t>Investigación suficiente</w:t>
      </w:r>
      <w:bookmarkEnd w:id="1779"/>
      <w:r w:rsidRPr="00234417">
        <w:rPr>
          <w:rStyle w:val="TextoNormalCaracter"/>
        </w:rPr>
        <w:t xml:space="preserve">, Sentencia </w:t>
      </w:r>
      <w:hyperlink w:anchor="SENTENCIA_2013_12" w:history="1">
        <w:r w:rsidRPr="00234417">
          <w:rPr>
            <w:rStyle w:val="TextoNormalCaracter"/>
          </w:rPr>
          <w:t>12/2013</w:t>
        </w:r>
      </w:hyperlink>
      <w:r w:rsidRPr="00234417">
        <w:rPr>
          <w:rStyle w:val="TextoNormalCaracter"/>
        </w:rPr>
        <w:t>, ff. 2 a 4, VP I.</w:t>
      </w:r>
    </w:p>
    <w:p w:rsidR="00234417" w:rsidRPr="00234417" w:rsidRDefault="00234417" w:rsidP="00234417">
      <w:pPr>
        <w:pStyle w:val="TextoNormalSangraFrancesa"/>
        <w:rPr>
          <w:rStyle w:val="TextoNormalCaracter"/>
        </w:rPr>
      </w:pPr>
      <w:bookmarkStart w:id="1780" w:name="DESCRIPTORALFABETICO171"/>
      <w:r w:rsidRPr="00234417">
        <w:rPr>
          <w:rStyle w:val="TextoNormalNegritaCaracter"/>
        </w:rPr>
        <w:t>Irrazonabilidad de las sentencias</w:t>
      </w:r>
      <w:bookmarkEnd w:id="1780"/>
      <w:r w:rsidRPr="00234417">
        <w:rPr>
          <w:rStyle w:val="TextoNormalCaracter"/>
        </w:rPr>
        <w:t xml:space="preserve">, Sentencia </w:t>
      </w:r>
      <w:hyperlink w:anchor="SENTENCIA_2013_133" w:history="1">
        <w:r w:rsidRPr="00234417">
          <w:rPr>
            <w:rStyle w:val="TextoNormalCaracter"/>
          </w:rPr>
          <w:t>133/2013</w:t>
        </w:r>
      </w:hyperlink>
      <w:r w:rsidRPr="00234417">
        <w:rPr>
          <w:rStyle w:val="TextoNormalCaracter"/>
        </w:rPr>
        <w:t>, ff. 3, 7.</w:t>
      </w:r>
    </w:p>
    <w:p w:rsidR="00234417" w:rsidRPr="00234417" w:rsidRDefault="00234417" w:rsidP="00234417">
      <w:pPr>
        <w:pStyle w:val="TextoNormalSangraFrancesa"/>
        <w:rPr>
          <w:rStyle w:val="TextoNormalNegritaCaracter"/>
        </w:rPr>
      </w:pPr>
      <w:r w:rsidRPr="00234417">
        <w:rPr>
          <w:rStyle w:val="TextoNormalCursivaCaracter"/>
        </w:rPr>
        <w:t>Irregularidades en el procedimiento legislativo</w:t>
      </w:r>
      <w:r>
        <w:t xml:space="preserve"> véase </w:t>
      </w:r>
      <w:hyperlink w:anchor="DESCRIPTORALFABETICO395" w:history="1">
        <w:r w:rsidRPr="00234417">
          <w:rPr>
            <w:rStyle w:val="TextoNormalNegritaCaracter"/>
          </w:rPr>
          <w:t>Vicios en el procedimiento legislativo</w:t>
        </w:r>
      </w:hyperlink>
    </w:p>
    <w:p w:rsidR="00234417" w:rsidRPr="00234417" w:rsidRDefault="00234417" w:rsidP="00234417">
      <w:pPr>
        <w:pStyle w:val="TextoNormalSangraFrancesa"/>
        <w:rPr>
          <w:rStyle w:val="TextoNormalNegritaCaracter"/>
        </w:rPr>
      </w:pPr>
      <w:r w:rsidRPr="00234417">
        <w:rPr>
          <w:rStyle w:val="TextoNormalCursivaCaracter"/>
        </w:rPr>
        <w:t>Irregularidades procesales</w:t>
      </w:r>
      <w:r>
        <w:t xml:space="preserve"> véase </w:t>
      </w:r>
      <w:hyperlink w:anchor="DESCRIPTORALFABETICO821" w:history="1">
        <w:r w:rsidRPr="00234417">
          <w:rPr>
            <w:rStyle w:val="TextoNormalNegritaCaracter"/>
          </w:rPr>
          <w:t>Defectos procesales</w:t>
        </w:r>
      </w:hyperlink>
    </w:p>
    <w:p w:rsidR="00234417" w:rsidRPr="00234417" w:rsidRDefault="00234417" w:rsidP="00234417">
      <w:pPr>
        <w:pStyle w:val="TextoNormalSangraFrancesa"/>
        <w:rPr>
          <w:rStyle w:val="TextoNormalCaracter"/>
        </w:rPr>
      </w:pPr>
      <w:bookmarkStart w:id="1781" w:name="DESCRIPTORALFABETICO133"/>
      <w:r w:rsidRPr="00234417">
        <w:rPr>
          <w:rStyle w:val="TextoNormalNegritaCaracter"/>
          <w:i/>
        </w:rPr>
        <w:t>Ius in officium</w:t>
      </w:r>
      <w:bookmarkEnd w:id="1781"/>
      <w:r w:rsidRPr="00234417">
        <w:rPr>
          <w:rStyle w:val="TextoNormalCaracter"/>
        </w:rPr>
        <w:t xml:space="preserve">, Sentencia </w:t>
      </w:r>
      <w:hyperlink w:anchor="SENTENCIA_2013_10" w:history="1">
        <w:r w:rsidRPr="00234417">
          <w:rPr>
            <w:rStyle w:val="TextoNormalCaracter"/>
          </w:rPr>
          <w:t>10/2013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782" w:name="DESCRIPTORALFABETICO215"/>
      <w:r w:rsidRPr="00234417">
        <w:rPr>
          <w:rStyle w:val="TextoNormalNegritaCaracter"/>
          <w:i/>
        </w:rPr>
        <w:t>Ius superveniens</w:t>
      </w:r>
      <w:bookmarkEnd w:id="1782"/>
      <w:r w:rsidRPr="00234417">
        <w:rPr>
          <w:rStyle w:val="TextoNormalCaracter"/>
        </w:rPr>
        <w:t xml:space="preserve">, Sentencias </w:t>
      </w:r>
      <w:hyperlink w:anchor="SENTENCIA_2013_35" w:history="1">
        <w:r w:rsidRPr="00234417">
          <w:rPr>
            <w:rStyle w:val="TextoNormalCaracter"/>
          </w:rPr>
          <w:t>35/2013</w:t>
        </w:r>
      </w:hyperlink>
      <w:r w:rsidRPr="00234417">
        <w:rPr>
          <w:rStyle w:val="TextoNormalCaracter"/>
        </w:rPr>
        <w:t xml:space="preserve">, f. 2; </w:t>
      </w:r>
      <w:hyperlink w:anchor="SENTENCIA_2013_47" w:history="1">
        <w:r w:rsidRPr="00234417">
          <w:rPr>
            <w:rStyle w:val="TextoNormalCaracter"/>
          </w:rPr>
          <w:t>47/2013</w:t>
        </w:r>
      </w:hyperlink>
      <w:r w:rsidRPr="00234417">
        <w:rPr>
          <w:rStyle w:val="TextoNormalCaracter"/>
        </w:rPr>
        <w:t xml:space="preserve">, f. 2; </w:t>
      </w:r>
      <w:hyperlink w:anchor="SENTENCIA_2013_59" w:history="1">
        <w:r w:rsidRPr="00234417">
          <w:rPr>
            <w:rStyle w:val="TextoNormalCaracter"/>
          </w:rPr>
          <w:t>59/2013</w:t>
        </w:r>
      </w:hyperlink>
      <w:r w:rsidRPr="00234417">
        <w:rPr>
          <w:rStyle w:val="TextoNormalCaracter"/>
        </w:rPr>
        <w:t xml:space="preserve">, f. 2; </w:t>
      </w:r>
      <w:hyperlink w:anchor="SENTENCIA_2013_65" w:history="1">
        <w:r w:rsidRPr="00234417">
          <w:rPr>
            <w:rStyle w:val="TextoNormalCaracter"/>
          </w:rPr>
          <w:t>65/2013</w:t>
        </w:r>
      </w:hyperlink>
      <w:r w:rsidRPr="00234417">
        <w:rPr>
          <w:rStyle w:val="TextoNormalCaracter"/>
        </w:rPr>
        <w:t xml:space="preserve">, f. 2; </w:t>
      </w:r>
      <w:hyperlink w:anchor="SENTENCIA_2013_94" w:history="1">
        <w:r w:rsidRPr="00234417">
          <w:rPr>
            <w:rStyle w:val="TextoNormalCaracter"/>
          </w:rPr>
          <w:t>94/2013</w:t>
        </w:r>
      </w:hyperlink>
      <w:r w:rsidRPr="00234417">
        <w:rPr>
          <w:rStyle w:val="TextoNormalCaracter"/>
        </w:rPr>
        <w:t xml:space="preserve">, ff. 2, 5; </w:t>
      </w:r>
      <w:hyperlink w:anchor="SENTENCIA_2013_95" w:history="1">
        <w:r w:rsidRPr="00234417">
          <w:rPr>
            <w:rStyle w:val="TextoNormalCaracter"/>
          </w:rPr>
          <w:t>95/2013</w:t>
        </w:r>
      </w:hyperlink>
      <w:r w:rsidRPr="00234417">
        <w:rPr>
          <w:rStyle w:val="TextoNormalCaracter"/>
        </w:rPr>
        <w:t xml:space="preserve">, f. 2; </w:t>
      </w:r>
      <w:hyperlink w:anchor="SENTENCIA_2013_96" w:history="1">
        <w:r w:rsidRPr="00234417">
          <w:rPr>
            <w:rStyle w:val="TextoNormalCaracter"/>
          </w:rPr>
          <w:t>96/2013</w:t>
        </w:r>
      </w:hyperlink>
      <w:r w:rsidRPr="00234417">
        <w:rPr>
          <w:rStyle w:val="TextoNormalCaracter"/>
        </w:rPr>
        <w:t xml:space="preserve">, f. 5; </w:t>
      </w:r>
      <w:hyperlink w:anchor="SENTENCIA_2013_97" w:history="1">
        <w:r w:rsidRPr="00234417">
          <w:rPr>
            <w:rStyle w:val="TextoNormalCaracter"/>
          </w:rPr>
          <w:t>97/2013</w:t>
        </w:r>
      </w:hyperlink>
      <w:r w:rsidRPr="00234417">
        <w:rPr>
          <w:rStyle w:val="TextoNormalCaracter"/>
        </w:rPr>
        <w:t xml:space="preserve">, f. 6; </w:t>
      </w:r>
      <w:hyperlink w:anchor="SENTENCIA_2013_111" w:history="1">
        <w:r w:rsidRPr="00234417">
          <w:rPr>
            <w:rStyle w:val="TextoNormalCaracter"/>
          </w:rPr>
          <w:t>111/2013</w:t>
        </w:r>
      </w:hyperlink>
      <w:r w:rsidRPr="00234417">
        <w:rPr>
          <w:rStyle w:val="TextoNormalCaracter"/>
        </w:rPr>
        <w:t xml:space="preserve">, f. 2; </w:t>
      </w:r>
      <w:hyperlink w:anchor="SENTENCIA_2013_137" w:history="1">
        <w:r w:rsidRPr="00234417">
          <w:rPr>
            <w:rStyle w:val="TextoNormalCaracter"/>
          </w:rPr>
          <w:t>137/2013</w:t>
        </w:r>
      </w:hyperlink>
      <w:r w:rsidRPr="00234417">
        <w:rPr>
          <w:rStyle w:val="TextoNormalCaracter"/>
        </w:rPr>
        <w:t>, f. 2.</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J</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1783" w:name="DESCRIPTORALFABETICO759"/>
      <w:r w:rsidRPr="00234417">
        <w:rPr>
          <w:rStyle w:val="TextoNormalNegritaCaracter"/>
        </w:rPr>
        <w:t>Jubilación forzosa</w:t>
      </w:r>
      <w:bookmarkEnd w:id="1783"/>
      <w:r w:rsidRPr="00234417">
        <w:rPr>
          <w:rStyle w:val="TextoNormalCaracter"/>
        </w:rPr>
        <w:t xml:space="preserve">, Autos </w:t>
      </w:r>
      <w:hyperlink w:anchor="AUTO_2013_125" w:history="1">
        <w:r w:rsidRPr="00234417">
          <w:rPr>
            <w:rStyle w:val="TextoNormalCaracter"/>
          </w:rPr>
          <w:t>125/2013</w:t>
        </w:r>
      </w:hyperlink>
      <w:r w:rsidRPr="00234417">
        <w:rPr>
          <w:rStyle w:val="TextoNormalCaracter"/>
        </w:rPr>
        <w:t xml:space="preserve">, f. 2; </w:t>
      </w:r>
      <w:hyperlink w:anchor="AUTO_2013_127" w:history="1">
        <w:r w:rsidRPr="00234417">
          <w:rPr>
            <w:rStyle w:val="TextoNormalCaracter"/>
          </w:rPr>
          <w:t>127/2013</w:t>
        </w:r>
      </w:hyperlink>
      <w:r w:rsidRPr="00234417">
        <w:rPr>
          <w:rStyle w:val="TextoNormalCaracter"/>
        </w:rPr>
        <w:t xml:space="preserve">, f. 2; </w:t>
      </w:r>
      <w:hyperlink w:anchor="AUTO_2013_128" w:history="1">
        <w:r w:rsidRPr="00234417">
          <w:rPr>
            <w:rStyle w:val="TextoNormalCaracter"/>
          </w:rPr>
          <w:t>128/2013</w:t>
        </w:r>
      </w:hyperlink>
      <w:r w:rsidRPr="00234417">
        <w:rPr>
          <w:rStyle w:val="TextoNormalCaracter"/>
        </w:rPr>
        <w:t>, f. 2.</w:t>
      </w:r>
    </w:p>
    <w:p w:rsidR="00234417" w:rsidRPr="00234417" w:rsidRDefault="00234417" w:rsidP="00234417">
      <w:pPr>
        <w:pStyle w:val="TextoNormalSangraFrancesa"/>
        <w:rPr>
          <w:rStyle w:val="TextoNormalCaracter"/>
        </w:rPr>
      </w:pPr>
      <w:bookmarkStart w:id="1784" w:name="DESCRIPTORALFABETICO282"/>
      <w:r w:rsidRPr="00234417">
        <w:rPr>
          <w:rStyle w:val="TextoNormalNegritaCaracter"/>
        </w:rPr>
        <w:t>Juicio de aplicabilidad</w:t>
      </w:r>
      <w:bookmarkEnd w:id="1784"/>
      <w:r w:rsidRPr="00234417">
        <w:rPr>
          <w:rStyle w:val="TextoNormalCaracter"/>
        </w:rPr>
        <w:t xml:space="preserve">, Sentencia </w:t>
      </w:r>
      <w:hyperlink w:anchor="SENTENCIA_2013_42" w:history="1">
        <w:r w:rsidRPr="00234417">
          <w:rPr>
            <w:rStyle w:val="TextoNormalCaracter"/>
          </w:rPr>
          <w:t>42/2013</w:t>
        </w:r>
      </w:hyperlink>
      <w:r w:rsidRPr="00234417">
        <w:rPr>
          <w:rStyle w:val="TextoNormalCaracter"/>
        </w:rPr>
        <w:t>, ff. 2 a 5.</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35" w:history="1">
        <w:r w:rsidRPr="00234417">
          <w:rPr>
            <w:rStyle w:val="TextoNormalCaracter"/>
          </w:rPr>
          <w:t>35/2013</w:t>
        </w:r>
      </w:hyperlink>
      <w:r w:rsidRPr="00234417">
        <w:rPr>
          <w:rStyle w:val="TextoNormalCaracter"/>
        </w:rPr>
        <w:t>, f. 3.</w:t>
      </w:r>
    </w:p>
    <w:p w:rsidR="00234417" w:rsidRPr="00234417" w:rsidRDefault="00234417" w:rsidP="00234417">
      <w:pPr>
        <w:pStyle w:val="TextoNormalSangraFrancesa"/>
        <w:rPr>
          <w:rStyle w:val="TextoNormalNegritaCaracter"/>
        </w:rPr>
      </w:pPr>
      <w:r w:rsidRPr="00234417">
        <w:rPr>
          <w:rStyle w:val="TextoNormalCursivaCaracter"/>
        </w:rPr>
        <w:t>Juicio de constitucionalidad</w:t>
      </w:r>
      <w:r>
        <w:t xml:space="preserve"> véase </w:t>
      </w:r>
      <w:hyperlink w:anchor="DESCRIPTORALFABETICO213" w:history="1">
        <w:r w:rsidRPr="00234417">
          <w:rPr>
            <w:rStyle w:val="TextoNormalNegritaCaracter"/>
          </w:rPr>
          <w:t>Control de constitucionalidad de las normas jurídicas</w:t>
        </w:r>
      </w:hyperlink>
    </w:p>
    <w:p w:rsidR="00234417" w:rsidRPr="00234417" w:rsidRDefault="00234417" w:rsidP="00234417">
      <w:pPr>
        <w:pStyle w:val="TextoNormalSangraFrancesa"/>
        <w:rPr>
          <w:rStyle w:val="TextoNormalNegritaCaracter"/>
        </w:rPr>
      </w:pPr>
      <w:r w:rsidRPr="00234417">
        <w:rPr>
          <w:rStyle w:val="TextoNormalCursivaCaracter"/>
        </w:rPr>
        <w:t>Juicio de inconstitucionalidad</w:t>
      </w:r>
      <w:r>
        <w:t xml:space="preserve"> véase </w:t>
      </w:r>
      <w:hyperlink w:anchor="DESCRIPTORALFABETICO213" w:history="1">
        <w:r w:rsidRPr="00234417">
          <w:rPr>
            <w:rStyle w:val="TextoNormalNegritaCaracter"/>
          </w:rPr>
          <w:t>Control de constitucionalidad de las normas jurídicas</w:t>
        </w:r>
      </w:hyperlink>
    </w:p>
    <w:p w:rsidR="00234417" w:rsidRPr="00234417" w:rsidRDefault="00234417" w:rsidP="00234417">
      <w:pPr>
        <w:pStyle w:val="TextoNormalSangraFrancesa"/>
        <w:rPr>
          <w:rStyle w:val="TextoNormalCaracter"/>
        </w:rPr>
      </w:pPr>
      <w:bookmarkStart w:id="1785" w:name="DESCRIPTORALFABETICO283"/>
      <w:r w:rsidRPr="00234417">
        <w:rPr>
          <w:rStyle w:val="TextoNormalNegritaCaracter"/>
        </w:rPr>
        <w:t>Juicio de relevancia</w:t>
      </w:r>
      <w:bookmarkEnd w:id="1785"/>
      <w:r w:rsidRPr="00234417">
        <w:rPr>
          <w:rStyle w:val="TextoNormalCaracter"/>
        </w:rPr>
        <w:t xml:space="preserve">, Sentencias </w:t>
      </w:r>
      <w:hyperlink w:anchor="SENTENCIA_2013_42" w:history="1">
        <w:r w:rsidRPr="00234417">
          <w:rPr>
            <w:rStyle w:val="TextoNormalCaracter"/>
          </w:rPr>
          <w:t>42/2013</w:t>
        </w:r>
      </w:hyperlink>
      <w:r w:rsidRPr="00234417">
        <w:rPr>
          <w:rStyle w:val="TextoNormalCaracter"/>
        </w:rPr>
        <w:t xml:space="preserve">, ff. 2 a 5; </w:t>
      </w:r>
      <w:hyperlink w:anchor="SENTENCIA_2013_60" w:history="1">
        <w:r w:rsidRPr="00234417">
          <w:rPr>
            <w:rStyle w:val="TextoNormalCaracter"/>
          </w:rPr>
          <w:t>60/2013</w:t>
        </w:r>
      </w:hyperlink>
      <w:r w:rsidRPr="00234417">
        <w:rPr>
          <w:rStyle w:val="TextoNormalCaracter"/>
        </w:rPr>
        <w:t>, f. 1.</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30" w:history="1">
        <w:r w:rsidRPr="00234417">
          <w:rPr>
            <w:rStyle w:val="TextoNormalCaracter"/>
          </w:rPr>
          <w:t>30/2013</w:t>
        </w:r>
      </w:hyperlink>
      <w:r w:rsidRPr="00234417">
        <w:rPr>
          <w:rStyle w:val="TextoNormalCaracter"/>
        </w:rPr>
        <w:t xml:space="preserve">, f. 4; </w:t>
      </w:r>
      <w:hyperlink w:anchor="AUTO_2013_31" w:history="1">
        <w:r w:rsidRPr="00234417">
          <w:rPr>
            <w:rStyle w:val="TextoNormalCaracter"/>
          </w:rPr>
          <w:t>31/2013</w:t>
        </w:r>
      </w:hyperlink>
      <w:r w:rsidRPr="00234417">
        <w:rPr>
          <w:rStyle w:val="TextoNormalCaracter"/>
        </w:rPr>
        <w:t xml:space="preserve">, f. 4; </w:t>
      </w:r>
      <w:hyperlink w:anchor="AUTO_2013_32" w:history="1">
        <w:r w:rsidRPr="00234417">
          <w:rPr>
            <w:rStyle w:val="TextoNormalCaracter"/>
          </w:rPr>
          <w:t>32/2013</w:t>
        </w:r>
      </w:hyperlink>
      <w:r w:rsidRPr="00234417">
        <w:rPr>
          <w:rStyle w:val="TextoNormalCaracter"/>
        </w:rPr>
        <w:t>, f. 4.</w:t>
      </w:r>
    </w:p>
    <w:p w:rsidR="00234417" w:rsidRPr="00234417" w:rsidRDefault="00234417" w:rsidP="00234417">
      <w:pPr>
        <w:pStyle w:val="TextoNormalSangraFrancesa"/>
        <w:rPr>
          <w:rStyle w:val="TextoNormalCaracter"/>
        </w:rPr>
      </w:pPr>
      <w:bookmarkStart w:id="1786" w:name="DESCRIPTORALFABETICO907"/>
      <w:r w:rsidRPr="00234417">
        <w:rPr>
          <w:rStyle w:val="TextoNormalNegritaCaracter"/>
        </w:rPr>
        <w:t>Juicio oral</w:t>
      </w:r>
      <w:bookmarkEnd w:id="1786"/>
      <w:r w:rsidRPr="00234417">
        <w:rPr>
          <w:rStyle w:val="TextoNormalCaracter"/>
        </w:rPr>
        <w:t xml:space="preserve">, Sentencia </w:t>
      </w:r>
      <w:hyperlink w:anchor="SENTENCIA_2013_57" w:history="1">
        <w:r w:rsidRPr="00234417">
          <w:rPr>
            <w:rStyle w:val="TextoNormalCaracter"/>
          </w:rPr>
          <w:t>57/2013</w:t>
        </w:r>
      </w:hyperlink>
      <w:r w:rsidRPr="00234417">
        <w:rPr>
          <w:rStyle w:val="TextoNormalCaracter"/>
        </w:rPr>
        <w:t>, ff. 3 a 6.</w:t>
      </w:r>
    </w:p>
    <w:p w:rsidR="00234417" w:rsidRPr="00234417" w:rsidRDefault="00234417" w:rsidP="00234417">
      <w:pPr>
        <w:pStyle w:val="TextoNormalSangraFrancesa"/>
        <w:rPr>
          <w:rStyle w:val="TextoNormalCaracter"/>
        </w:rPr>
      </w:pPr>
      <w:bookmarkStart w:id="1787" w:name="DESCRIPTORALFABETICO216"/>
      <w:r w:rsidRPr="00234417">
        <w:rPr>
          <w:rStyle w:val="TextoNormalNegritaCaracter"/>
        </w:rPr>
        <w:t>Jurisdicción constitucional</w:t>
      </w:r>
      <w:bookmarkEnd w:id="1787"/>
      <w:r w:rsidRPr="00234417">
        <w:rPr>
          <w:rStyle w:val="TextoNormalCaracter"/>
        </w:rPr>
        <w:t xml:space="preserve">, Sentencia </w:t>
      </w:r>
      <w:hyperlink w:anchor="SENTENCIA_2013_129" w:history="1">
        <w:r w:rsidRPr="00234417">
          <w:rPr>
            <w:rStyle w:val="TextoNormalCaracter"/>
          </w:rPr>
          <w:t>129/2013</w:t>
        </w:r>
      </w:hyperlink>
      <w:r w:rsidRPr="00234417">
        <w:rPr>
          <w:rStyle w:val="TextoNormalCaracter"/>
        </w:rPr>
        <w:t>, ff. 6, 7.</w:t>
      </w:r>
    </w:p>
    <w:p w:rsidR="00234417" w:rsidRPr="00234417" w:rsidRDefault="00234417" w:rsidP="00234417">
      <w:pPr>
        <w:pStyle w:val="TextoNormalSangraFrancesa"/>
        <w:rPr>
          <w:rStyle w:val="TextoNormalCaracter"/>
        </w:rPr>
      </w:pPr>
      <w:bookmarkStart w:id="1788" w:name="DESCRIPTORALFABETICO222"/>
      <w:r w:rsidRPr="00234417">
        <w:rPr>
          <w:rStyle w:val="TextoNormalNegritaCaracter"/>
        </w:rPr>
        <w:lastRenderedPageBreak/>
        <w:t xml:space="preserve">Jurisdicción constitucional </w:t>
      </w:r>
      <w:r w:rsidRPr="00234417">
        <w:rPr>
          <w:rStyle w:val="TextoNormalNegritaCaracter"/>
          <w:i/>
        </w:rPr>
        <w:t>versus</w:t>
      </w:r>
      <w:r w:rsidRPr="00234417">
        <w:rPr>
          <w:rStyle w:val="TextoNormalNegritaCaracter"/>
        </w:rPr>
        <w:t xml:space="preserve"> jurisdicción contencioso-administrativa</w:t>
      </w:r>
      <w:bookmarkEnd w:id="1788"/>
      <w:r w:rsidRPr="00234417">
        <w:rPr>
          <w:rStyle w:val="TextoNormalCaracter"/>
        </w:rPr>
        <w:t xml:space="preserve">, Sentencia </w:t>
      </w:r>
      <w:hyperlink w:anchor="SENTENCIA_2013_129" w:history="1">
        <w:r w:rsidRPr="00234417">
          <w:rPr>
            <w:rStyle w:val="TextoNormalCaracter"/>
          </w:rPr>
          <w:t>129/2013</w:t>
        </w:r>
      </w:hyperlink>
      <w:r w:rsidRPr="00234417">
        <w:rPr>
          <w:rStyle w:val="TextoNormalCaracter"/>
        </w:rPr>
        <w:t>, f. 6.</w:t>
      </w:r>
    </w:p>
    <w:p w:rsidR="00234417" w:rsidRPr="00234417" w:rsidRDefault="00234417" w:rsidP="00234417">
      <w:pPr>
        <w:pStyle w:val="TextoNormalSangraFrancesa"/>
        <w:rPr>
          <w:rStyle w:val="TextoNormalNegritaCaracter"/>
        </w:rPr>
      </w:pPr>
      <w:r w:rsidRPr="00234417">
        <w:rPr>
          <w:rStyle w:val="TextoNormalCursivaCaracter"/>
        </w:rPr>
        <w:t>Jurisdicción del Tribunal Constitucional</w:t>
      </w:r>
      <w:r>
        <w:t xml:space="preserve"> véase </w:t>
      </w:r>
      <w:hyperlink w:anchor="DESCRIPTORALFABETICO216" w:history="1">
        <w:r w:rsidRPr="00234417">
          <w:rPr>
            <w:rStyle w:val="TextoNormalNegritaCaracter"/>
          </w:rPr>
          <w:t>Jurisdicción constitucional</w:t>
        </w:r>
      </w:hyperlink>
    </w:p>
    <w:p w:rsidR="00234417" w:rsidRPr="00234417" w:rsidRDefault="00234417" w:rsidP="00234417">
      <w:pPr>
        <w:pStyle w:val="TextoNormalSangraFrancesa"/>
        <w:rPr>
          <w:rStyle w:val="TextoNormalCaracter"/>
        </w:rPr>
      </w:pPr>
      <w:bookmarkStart w:id="1789" w:name="DESCRIPTORALFABETICO858"/>
      <w:r w:rsidRPr="00234417">
        <w:rPr>
          <w:rStyle w:val="TextoNormalNegritaCaracter"/>
        </w:rPr>
        <w:t>Justicia gratuita</w:t>
      </w:r>
      <w:bookmarkEnd w:id="1789"/>
      <w:r w:rsidRPr="00234417">
        <w:rPr>
          <w:rStyle w:val="TextoNormalCaracter"/>
        </w:rPr>
        <w:t xml:space="preserve">, Autos </w:t>
      </w:r>
      <w:hyperlink w:anchor="AUTO_2013_46" w:history="1">
        <w:r w:rsidRPr="00234417">
          <w:rPr>
            <w:rStyle w:val="TextoNormalCaracter"/>
          </w:rPr>
          <w:t>46/2013</w:t>
        </w:r>
      </w:hyperlink>
      <w:r w:rsidRPr="00234417">
        <w:rPr>
          <w:rStyle w:val="TextoNormalCaracter"/>
        </w:rPr>
        <w:t xml:space="preserve">, ff. 1 a 3; </w:t>
      </w:r>
      <w:hyperlink w:anchor="AUTO_2013_95" w:history="1">
        <w:r w:rsidRPr="00234417">
          <w:rPr>
            <w:rStyle w:val="TextoNormalCaracter"/>
          </w:rPr>
          <w:t>95/2013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790" w:name="DESCRIPTORALFABETICO314"/>
      <w:r w:rsidRPr="00234417">
        <w:rPr>
          <w:rStyle w:val="TextoNormalNegritaCaracter"/>
        </w:rPr>
        <w:t>Justificación de la especial trascendencia constitucional</w:t>
      </w:r>
      <w:bookmarkEnd w:id="1790"/>
      <w:r w:rsidRPr="00234417">
        <w:rPr>
          <w:rStyle w:val="TextoNormalCaracter"/>
        </w:rPr>
        <w:t xml:space="preserve">, Sentencias </w:t>
      </w:r>
      <w:hyperlink w:anchor="SENTENCIA_2013_44" w:history="1">
        <w:r w:rsidRPr="00234417">
          <w:rPr>
            <w:rStyle w:val="TextoNormalCaracter"/>
          </w:rPr>
          <w:t>44/2013</w:t>
        </w:r>
      </w:hyperlink>
      <w:r w:rsidRPr="00234417">
        <w:rPr>
          <w:rStyle w:val="TextoNormalCaracter"/>
        </w:rPr>
        <w:t xml:space="preserve">, f. 2; </w:t>
      </w:r>
      <w:hyperlink w:anchor="SENTENCIA_2013_56" w:history="1">
        <w:r w:rsidRPr="00234417">
          <w:rPr>
            <w:rStyle w:val="TextoNormalCaracter"/>
          </w:rPr>
          <w:t>56/2013</w:t>
        </w:r>
      </w:hyperlink>
      <w:r w:rsidRPr="00234417">
        <w:rPr>
          <w:rStyle w:val="TextoNormalCaracter"/>
        </w:rPr>
        <w:t xml:space="preserve">, f. 1; </w:t>
      </w:r>
      <w:hyperlink w:anchor="SENTENCIA_2013_116" w:history="1">
        <w:r w:rsidRPr="00234417">
          <w:rPr>
            <w:rStyle w:val="TextoNormalCaracter"/>
          </w:rPr>
          <w:t>116/2013</w:t>
        </w:r>
      </w:hyperlink>
      <w:r w:rsidRPr="00234417">
        <w:rPr>
          <w:rStyle w:val="TextoNormalCaracter"/>
        </w:rPr>
        <w:t xml:space="preserve">, f. 3; </w:t>
      </w:r>
      <w:hyperlink w:anchor="SENTENCIA_2013_121" w:history="1">
        <w:r w:rsidRPr="00234417">
          <w:rPr>
            <w:rStyle w:val="TextoNormalCaracter"/>
          </w:rPr>
          <w:t>121/2013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28" w:history="1">
        <w:r w:rsidRPr="00234417">
          <w:rPr>
            <w:rStyle w:val="TextoNormalCaracter"/>
          </w:rPr>
          <w:t>28/2013</w:t>
        </w:r>
      </w:hyperlink>
      <w:r w:rsidRPr="00234417">
        <w:rPr>
          <w:rStyle w:val="TextoNormalCaracter"/>
        </w:rPr>
        <w:t>, ff. 1, 2, VP I.</w:t>
      </w:r>
    </w:p>
    <w:p w:rsidR="00234417" w:rsidRPr="00234417" w:rsidRDefault="00234417" w:rsidP="00234417">
      <w:pPr>
        <w:pStyle w:val="TextoNormalSangraFrancesa"/>
        <w:rPr>
          <w:rStyle w:val="TextoNormalCaracter"/>
        </w:rPr>
      </w:pPr>
      <w:bookmarkStart w:id="1791" w:name="DESCRIPTORALFABETICO141"/>
      <w:r w:rsidRPr="00234417">
        <w:rPr>
          <w:rStyle w:val="TextoNormalNegritaCaracter"/>
        </w:rPr>
        <w:t>Justificación razonable del tratamiento diferenciado</w:t>
      </w:r>
      <w:bookmarkEnd w:id="1791"/>
      <w:r w:rsidRPr="00234417">
        <w:rPr>
          <w:rStyle w:val="TextoNormalCaracter"/>
        </w:rPr>
        <w:t xml:space="preserve">, Sentencias </w:t>
      </w:r>
      <w:hyperlink w:anchor="SENTENCIA_2013_20" w:history="1">
        <w:r w:rsidRPr="00234417">
          <w:rPr>
            <w:rStyle w:val="TextoNormalCaracter"/>
          </w:rPr>
          <w:t>20/2013</w:t>
        </w:r>
      </w:hyperlink>
      <w:r w:rsidRPr="00234417">
        <w:rPr>
          <w:rStyle w:val="TextoNormalCaracter"/>
        </w:rPr>
        <w:t xml:space="preserve">, ff. 8, 10;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f. 4.</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L</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1792" w:name="DESCRIPTORALFABETICO945"/>
      <w:r w:rsidRPr="00234417">
        <w:rPr>
          <w:rStyle w:val="TextoNormalNegritaCaracter"/>
        </w:rPr>
        <w:t>La Rioja</w:t>
      </w:r>
      <w:bookmarkEnd w:id="1792"/>
      <w:r w:rsidRPr="00234417">
        <w:rPr>
          <w:rStyle w:val="TextoNormalCaracter"/>
        </w:rPr>
        <w:t xml:space="preserve">, Sentencias </w:t>
      </w:r>
      <w:hyperlink w:anchor="SENTENCIA_2013_84" w:history="1">
        <w:r w:rsidRPr="00234417">
          <w:rPr>
            <w:rStyle w:val="TextoNormalCaracter"/>
          </w:rPr>
          <w:t>84/2013</w:t>
        </w:r>
      </w:hyperlink>
      <w:r w:rsidRPr="00234417">
        <w:rPr>
          <w:rStyle w:val="TextoNormalCaracter"/>
        </w:rPr>
        <w:t xml:space="preserve">, f. 2; </w:t>
      </w:r>
      <w:hyperlink w:anchor="SENTENCIA_2013_98" w:history="1">
        <w:r w:rsidRPr="00234417">
          <w:rPr>
            <w:rStyle w:val="TextoNormalCaracter"/>
          </w:rPr>
          <w:t>98/2013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793" w:name="DESCRIPTORALFABETICO398"/>
      <w:r w:rsidRPr="00234417">
        <w:rPr>
          <w:rStyle w:val="TextoNormalNegritaCaracter"/>
        </w:rPr>
        <w:t>Legalidad parlamentaria</w:t>
      </w:r>
      <w:bookmarkEnd w:id="1793"/>
      <w:r w:rsidRPr="00234417">
        <w:rPr>
          <w:rStyle w:val="TextoNormalCaracter"/>
        </w:rPr>
        <w:t xml:space="preserve">, Sentencia </w:t>
      </w:r>
      <w:hyperlink w:anchor="SENTENCIA_2013_68" w:history="1">
        <w:r w:rsidRPr="00234417">
          <w:rPr>
            <w:rStyle w:val="TextoNormalCaracter"/>
          </w:rPr>
          <w:t>68/2013</w:t>
        </w:r>
      </w:hyperlink>
      <w:r w:rsidRPr="00234417">
        <w:rPr>
          <w:rStyle w:val="TextoNormalCaracter"/>
        </w:rPr>
        <w:t>, f. 2.</w:t>
      </w:r>
    </w:p>
    <w:p w:rsidR="00234417" w:rsidRPr="00234417" w:rsidRDefault="00234417" w:rsidP="00234417">
      <w:pPr>
        <w:pStyle w:val="TextoNormalSangraFrancesa"/>
        <w:rPr>
          <w:rStyle w:val="TextoNormalCaracter"/>
        </w:rPr>
      </w:pPr>
      <w:bookmarkStart w:id="1794" w:name="DESCRIPTORALFABETICO658"/>
      <w:r w:rsidRPr="00234417">
        <w:rPr>
          <w:rStyle w:val="TextoNormalNegritaCaracter"/>
        </w:rPr>
        <w:t>Legislación autonómica</w:t>
      </w:r>
      <w:bookmarkEnd w:id="1794"/>
      <w:r w:rsidRPr="00234417">
        <w:rPr>
          <w:rStyle w:val="TextoNormalCaracter"/>
        </w:rPr>
        <w:t xml:space="preserve">, Sentencia </w:t>
      </w:r>
      <w:hyperlink w:anchor="SENTENCIA_2013_4" w:history="1">
        <w:r w:rsidRPr="00234417">
          <w:rPr>
            <w:rStyle w:val="TextoNormalCaracter"/>
          </w:rPr>
          <w:t>4/2013</w:t>
        </w:r>
      </w:hyperlink>
      <w:r w:rsidRPr="00234417">
        <w:rPr>
          <w:rStyle w:val="TextoNormalCaracter"/>
        </w:rPr>
        <w:t>, f. 8.</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9" w:history="1">
        <w:r w:rsidRPr="00234417">
          <w:rPr>
            <w:rStyle w:val="TextoNormalCaracter"/>
          </w:rPr>
          <w:t>9/2013</w:t>
        </w:r>
      </w:hyperlink>
      <w:r w:rsidRPr="00234417">
        <w:rPr>
          <w:rStyle w:val="TextoNormalCaracter"/>
        </w:rPr>
        <w:t>, ff. 2 a 5.</w:t>
      </w:r>
    </w:p>
    <w:p w:rsidR="00234417" w:rsidRPr="00234417" w:rsidRDefault="00234417" w:rsidP="00234417">
      <w:pPr>
        <w:pStyle w:val="TextoNormalSangraFrancesa"/>
        <w:rPr>
          <w:rStyle w:val="TextoNormalCaracter"/>
        </w:rPr>
      </w:pPr>
      <w:bookmarkStart w:id="1795" w:name="DESCRIPTORALFABETICO659"/>
      <w:r w:rsidRPr="00234417">
        <w:rPr>
          <w:rStyle w:val="TextoNormalNegritaCaracter"/>
        </w:rPr>
        <w:t>Legislación básica</w:t>
      </w:r>
      <w:bookmarkEnd w:id="1795"/>
      <w:r w:rsidRPr="00234417">
        <w:rPr>
          <w:rStyle w:val="TextoNormalCaracter"/>
        </w:rPr>
        <w:t xml:space="preserve">, Sentencias </w:t>
      </w:r>
      <w:hyperlink w:anchor="SENTENCIA_2013_4" w:history="1">
        <w:r w:rsidRPr="00234417">
          <w:rPr>
            <w:rStyle w:val="TextoNormalCaracter"/>
          </w:rPr>
          <w:t>4/2013</w:t>
        </w:r>
      </w:hyperlink>
      <w:r w:rsidRPr="00234417">
        <w:rPr>
          <w:rStyle w:val="TextoNormalCaracter"/>
        </w:rPr>
        <w:t xml:space="preserve">, f. 5; </w:t>
      </w:r>
      <w:hyperlink w:anchor="SENTENCIA_2013_6" w:history="1">
        <w:r w:rsidRPr="00234417">
          <w:rPr>
            <w:rStyle w:val="TextoNormalCaracter"/>
          </w:rPr>
          <w:t>6/2013</w:t>
        </w:r>
      </w:hyperlink>
      <w:r w:rsidRPr="00234417">
        <w:rPr>
          <w:rStyle w:val="TextoNormalCaracter"/>
        </w:rPr>
        <w:t xml:space="preserve">, ff. 3, 4, 7; </w:t>
      </w:r>
      <w:hyperlink w:anchor="SENTENCIA_2013_15" w:history="1">
        <w:r w:rsidRPr="00234417">
          <w:rPr>
            <w:rStyle w:val="TextoNormalCaracter"/>
          </w:rPr>
          <w:t>15/2013</w:t>
        </w:r>
      </w:hyperlink>
      <w:r w:rsidRPr="00234417">
        <w:rPr>
          <w:rStyle w:val="TextoNormalCaracter"/>
        </w:rPr>
        <w:t xml:space="preserve">, ff. 3, 4; </w:t>
      </w:r>
      <w:hyperlink w:anchor="SENTENCIA_2013_24" w:history="1">
        <w:r w:rsidRPr="00234417">
          <w:rPr>
            <w:rStyle w:val="TextoNormalCaracter"/>
          </w:rPr>
          <w:t>24/2013</w:t>
        </w:r>
      </w:hyperlink>
      <w:r w:rsidRPr="00234417">
        <w:rPr>
          <w:rStyle w:val="TextoNormalCaracter"/>
        </w:rPr>
        <w:t xml:space="preserve">, ff. 3, 4, 5; </w:t>
      </w:r>
      <w:hyperlink w:anchor="SENTENCIA_2013_33" w:history="1">
        <w:r w:rsidRPr="00234417">
          <w:rPr>
            <w:rStyle w:val="TextoNormalCaracter"/>
          </w:rPr>
          <w:t>33/2013</w:t>
        </w:r>
      </w:hyperlink>
      <w:r w:rsidRPr="00234417">
        <w:rPr>
          <w:rStyle w:val="TextoNormalCaracter"/>
        </w:rPr>
        <w:t xml:space="preserve">, f. 4; </w:t>
      </w:r>
      <w:hyperlink w:anchor="SENTENCIA_2013_34" w:history="1">
        <w:r w:rsidRPr="00234417">
          <w:rPr>
            <w:rStyle w:val="TextoNormalCaracter"/>
          </w:rPr>
          <w:t>34/2013</w:t>
        </w:r>
      </w:hyperlink>
      <w:r w:rsidRPr="00234417">
        <w:rPr>
          <w:rStyle w:val="TextoNormalCaracter"/>
        </w:rPr>
        <w:t xml:space="preserve">, ff. 3, 4, 5, 6, 7, 8, 9, 16, 19, 20, VP; </w:t>
      </w:r>
      <w:hyperlink w:anchor="SENTENCIA_2013_36" w:history="1">
        <w:r w:rsidRPr="00234417">
          <w:rPr>
            <w:rStyle w:val="TextoNormalCaracter"/>
          </w:rPr>
          <w:t>36/2013</w:t>
        </w:r>
      </w:hyperlink>
      <w:r w:rsidRPr="00234417">
        <w:rPr>
          <w:rStyle w:val="TextoNormalCaracter"/>
        </w:rPr>
        <w:t xml:space="preserve">, ff. 7, 8; </w:t>
      </w:r>
      <w:hyperlink w:anchor="SENTENCIA_2013_47" w:history="1">
        <w:r w:rsidRPr="00234417">
          <w:rPr>
            <w:rStyle w:val="TextoNormalCaracter"/>
          </w:rPr>
          <w:t>47/2013</w:t>
        </w:r>
      </w:hyperlink>
      <w:r w:rsidRPr="00234417">
        <w:rPr>
          <w:rStyle w:val="TextoNormalCaracter"/>
        </w:rPr>
        <w:t xml:space="preserve">, f. 4; </w:t>
      </w:r>
      <w:hyperlink w:anchor="SENTENCIA_2013_48" w:history="1">
        <w:r w:rsidRPr="00234417">
          <w:rPr>
            <w:rStyle w:val="TextoNormalCaracter"/>
          </w:rPr>
          <w:t>48/2013</w:t>
        </w:r>
      </w:hyperlink>
      <w:r w:rsidRPr="00234417">
        <w:rPr>
          <w:rStyle w:val="TextoNormalCaracter"/>
        </w:rPr>
        <w:t xml:space="preserve">, ff. 3 a 5; </w:t>
      </w:r>
      <w:hyperlink w:anchor="SENTENCIA_2013_69" w:history="1">
        <w:r w:rsidRPr="00234417">
          <w:rPr>
            <w:rStyle w:val="TextoNormalCaracter"/>
          </w:rPr>
          <w:t>69/2013</w:t>
        </w:r>
      </w:hyperlink>
      <w:r w:rsidRPr="00234417">
        <w:rPr>
          <w:rStyle w:val="TextoNormalCaracter"/>
        </w:rPr>
        <w:t xml:space="preserve">, ff. 2, 5, 6; </w:t>
      </w:r>
      <w:hyperlink w:anchor="SENTENCIA_2013_80" w:history="1">
        <w:r w:rsidRPr="00234417">
          <w:rPr>
            <w:rStyle w:val="TextoNormalCaracter"/>
          </w:rPr>
          <w:t>80/2013</w:t>
        </w:r>
      </w:hyperlink>
      <w:r w:rsidRPr="00234417">
        <w:rPr>
          <w:rStyle w:val="TextoNormalCaracter"/>
        </w:rPr>
        <w:t xml:space="preserve">, f. 3; </w:t>
      </w:r>
      <w:hyperlink w:anchor="SENTENCIA_2013_82" w:history="1">
        <w:r w:rsidRPr="00234417">
          <w:rPr>
            <w:rStyle w:val="TextoNormalCaracter"/>
          </w:rPr>
          <w:t>82/2013</w:t>
        </w:r>
      </w:hyperlink>
      <w:r w:rsidRPr="00234417">
        <w:rPr>
          <w:rStyle w:val="TextoNormalCaracter"/>
        </w:rPr>
        <w:t xml:space="preserve">, ff. 4, 6; </w:t>
      </w:r>
      <w:hyperlink w:anchor="SENTENCIA_2013_97" w:history="1">
        <w:r w:rsidRPr="00234417">
          <w:rPr>
            <w:rStyle w:val="TextoNormalCaracter"/>
          </w:rPr>
          <w:t>97/2013</w:t>
        </w:r>
      </w:hyperlink>
      <w:r w:rsidRPr="00234417">
        <w:rPr>
          <w:rStyle w:val="TextoNormalCaracter"/>
        </w:rPr>
        <w:t xml:space="preserve">, ff. 3 a 6; </w:t>
      </w:r>
      <w:hyperlink w:anchor="SENTENCIA_2013_102" w:history="1">
        <w:r w:rsidRPr="00234417">
          <w:rPr>
            <w:rStyle w:val="TextoNormalCaracter"/>
          </w:rPr>
          <w:t>102/2013</w:t>
        </w:r>
      </w:hyperlink>
      <w:r w:rsidRPr="00234417">
        <w:rPr>
          <w:rStyle w:val="TextoNormalCaracter"/>
        </w:rPr>
        <w:t xml:space="preserve">, ff. 3, 4, 5, 6, 7, 8, 9, 10, 11, 12; </w:t>
      </w:r>
      <w:hyperlink w:anchor="SENTENCIA_2013_111" w:history="1">
        <w:r w:rsidRPr="00234417">
          <w:rPr>
            <w:rStyle w:val="TextoNormalCaracter"/>
          </w:rPr>
          <w:t>111/2013</w:t>
        </w:r>
      </w:hyperlink>
      <w:r w:rsidRPr="00234417">
        <w:rPr>
          <w:rStyle w:val="TextoNormalCaracter"/>
        </w:rPr>
        <w:t xml:space="preserve">, ff. 2, 4; </w:t>
      </w:r>
      <w:hyperlink w:anchor="SENTENCIA_2013_114" w:history="1">
        <w:r w:rsidRPr="00234417">
          <w:rPr>
            <w:rStyle w:val="TextoNormalCaracter"/>
          </w:rPr>
          <w:t>114/2013</w:t>
        </w:r>
      </w:hyperlink>
      <w:r w:rsidRPr="00234417">
        <w:rPr>
          <w:rStyle w:val="TextoNormalCaracter"/>
        </w:rPr>
        <w:t xml:space="preserve">, f. 4; </w:t>
      </w:r>
      <w:hyperlink w:anchor="SENTENCIA_2013_123" w:history="1">
        <w:r w:rsidRPr="00234417">
          <w:rPr>
            <w:rStyle w:val="TextoNormalCaracter"/>
          </w:rPr>
          <w:t>123/2013</w:t>
        </w:r>
      </w:hyperlink>
      <w:r w:rsidRPr="00234417">
        <w:rPr>
          <w:rStyle w:val="TextoNormalCaracter"/>
        </w:rPr>
        <w:t xml:space="preserve">, ff. 4 a 8; </w:t>
      </w:r>
      <w:hyperlink w:anchor="SENTENCIA_2013_130" w:history="1">
        <w:r w:rsidRPr="00234417">
          <w:rPr>
            <w:rStyle w:val="TextoNormalCaracter"/>
          </w:rPr>
          <w:t>130/2013</w:t>
        </w:r>
      </w:hyperlink>
      <w:r w:rsidRPr="00234417">
        <w:rPr>
          <w:rStyle w:val="TextoNormalCaracter"/>
        </w:rPr>
        <w:t xml:space="preserve">, ff. 4, 5, 6, 10, 11, VP; </w:t>
      </w:r>
      <w:hyperlink w:anchor="SENTENCIA_2013_134" w:history="1">
        <w:r w:rsidRPr="00234417">
          <w:rPr>
            <w:rStyle w:val="TextoNormalCaracter"/>
          </w:rPr>
          <w:t>134/2013</w:t>
        </w:r>
      </w:hyperlink>
      <w:r w:rsidRPr="00234417">
        <w:rPr>
          <w:rStyle w:val="TextoNormalCaracter"/>
        </w:rPr>
        <w:t xml:space="preserve">, f. 4; </w:t>
      </w:r>
      <w:hyperlink w:anchor="SENTENCIA_2013_135" w:history="1">
        <w:r w:rsidRPr="00234417">
          <w:rPr>
            <w:rStyle w:val="TextoNormalCaracter"/>
          </w:rPr>
          <w:t>135/2013</w:t>
        </w:r>
      </w:hyperlink>
      <w:r w:rsidRPr="00234417">
        <w:rPr>
          <w:rStyle w:val="TextoNormalCaracter"/>
        </w:rPr>
        <w:t xml:space="preserve">, f. 4; </w:t>
      </w:r>
      <w:hyperlink w:anchor="SENTENCIA_2013_137" w:history="1">
        <w:r w:rsidRPr="00234417">
          <w:rPr>
            <w:rStyle w:val="TextoNormalCaracter"/>
          </w:rPr>
          <w:t>137/2013</w:t>
        </w:r>
      </w:hyperlink>
      <w:r w:rsidRPr="00234417">
        <w:rPr>
          <w:rStyle w:val="TextoNormalCaracter"/>
        </w:rPr>
        <w:t xml:space="preserve">, ff. 2, 3, 5, 6; </w:t>
      </w:r>
      <w:hyperlink w:anchor="SENTENCIA_2013_138" w:history="1">
        <w:r w:rsidRPr="00234417">
          <w:rPr>
            <w:rStyle w:val="TextoNormalCaracter"/>
          </w:rPr>
          <w:t>138/2013</w:t>
        </w:r>
      </w:hyperlink>
      <w:r w:rsidRPr="00234417">
        <w:rPr>
          <w:rStyle w:val="TextoNormalCaracter"/>
        </w:rPr>
        <w:t>, ff. 4, 5, 6, 8, 9, 10.</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85" w:history="1">
        <w:r w:rsidRPr="00234417">
          <w:rPr>
            <w:rStyle w:val="TextoNormalCaracter"/>
          </w:rPr>
          <w:t>85/2013</w:t>
        </w:r>
      </w:hyperlink>
      <w:r w:rsidRPr="00234417">
        <w:rPr>
          <w:rStyle w:val="TextoNormalCaracter"/>
        </w:rPr>
        <w:t xml:space="preserve">, ff. 3 a 7; </w:t>
      </w:r>
      <w:hyperlink w:anchor="AUTO_2013_125" w:history="1">
        <w:r w:rsidRPr="00234417">
          <w:rPr>
            <w:rStyle w:val="TextoNormalCaracter"/>
          </w:rPr>
          <w:t>125/2013</w:t>
        </w:r>
      </w:hyperlink>
      <w:r w:rsidRPr="00234417">
        <w:rPr>
          <w:rStyle w:val="TextoNormalCaracter"/>
        </w:rPr>
        <w:t xml:space="preserve">, ff. 2, 3; </w:t>
      </w:r>
      <w:hyperlink w:anchor="AUTO_2013_127" w:history="1">
        <w:r w:rsidRPr="00234417">
          <w:rPr>
            <w:rStyle w:val="TextoNormalCaracter"/>
          </w:rPr>
          <w:t>127/2013</w:t>
        </w:r>
      </w:hyperlink>
      <w:r w:rsidRPr="00234417">
        <w:rPr>
          <w:rStyle w:val="TextoNormalCaracter"/>
        </w:rPr>
        <w:t xml:space="preserve">, ff. 2, 3; </w:t>
      </w:r>
      <w:hyperlink w:anchor="AUTO_2013_128" w:history="1">
        <w:r w:rsidRPr="00234417">
          <w:rPr>
            <w:rStyle w:val="TextoNormalCaracter"/>
          </w:rPr>
          <w:t>128/2013</w:t>
        </w:r>
      </w:hyperlink>
      <w:r w:rsidRPr="00234417">
        <w:rPr>
          <w:rStyle w:val="TextoNormalCaracter"/>
        </w:rPr>
        <w:t>, ff. 2, 3.</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 </w:t>
      </w:r>
      <w:hyperlink w:anchor="SENTENCIA_2013_24" w:history="1">
        <w:r w:rsidRPr="00234417">
          <w:rPr>
            <w:rStyle w:val="TextoNormalCaracter"/>
          </w:rPr>
          <w:t>24/2013</w:t>
        </w:r>
      </w:hyperlink>
      <w:r w:rsidRPr="00234417">
        <w:rPr>
          <w:rStyle w:val="TextoNormalCaracter"/>
        </w:rPr>
        <w:t>, f. 4.</w:t>
      </w:r>
    </w:p>
    <w:p w:rsidR="00234417" w:rsidRPr="00234417" w:rsidRDefault="00234417" w:rsidP="00234417">
      <w:pPr>
        <w:pStyle w:val="TextoNormalSangraFrancesa"/>
        <w:rPr>
          <w:rStyle w:val="TextoNormalCaracter"/>
        </w:rPr>
      </w:pPr>
      <w:bookmarkStart w:id="1796" w:name="DESCRIPTORALFABETICO662"/>
      <w:r w:rsidRPr="00234417">
        <w:rPr>
          <w:rStyle w:val="TextoNormalNegritaCaracter"/>
        </w:rPr>
        <w:t>Legislación básica mínima</w:t>
      </w:r>
      <w:bookmarkEnd w:id="1796"/>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7.</w:t>
      </w:r>
    </w:p>
    <w:p w:rsidR="00234417" w:rsidRPr="00234417" w:rsidRDefault="00234417" w:rsidP="00234417">
      <w:pPr>
        <w:pStyle w:val="TextoNormalSangraFrancesa"/>
        <w:rPr>
          <w:rStyle w:val="TextoNormalCaracter"/>
        </w:rPr>
      </w:pPr>
      <w:bookmarkStart w:id="1797" w:name="DESCRIPTORALFABETICO667"/>
      <w:r w:rsidRPr="00234417">
        <w:rPr>
          <w:rStyle w:val="TextoNormalNegritaCaracter"/>
        </w:rPr>
        <w:t>Legislación civil</w:t>
      </w:r>
      <w:bookmarkEnd w:id="1797"/>
      <w:r w:rsidRPr="00234417">
        <w:rPr>
          <w:rStyle w:val="TextoNormalCaracter"/>
        </w:rPr>
        <w:t xml:space="preserve">, Sentencias </w:t>
      </w:r>
      <w:hyperlink w:anchor="SENTENCIA_2013_81" w:history="1">
        <w:r w:rsidRPr="00234417">
          <w:rPr>
            <w:rStyle w:val="TextoNormalCaracter"/>
          </w:rPr>
          <w:t>81/2013</w:t>
        </w:r>
      </w:hyperlink>
      <w:r w:rsidRPr="00234417">
        <w:rPr>
          <w:rStyle w:val="TextoNormalCaracter"/>
        </w:rPr>
        <w:t xml:space="preserve">, f. 4; </w:t>
      </w:r>
      <w:hyperlink w:anchor="SENTENCIA_2013_93" w:history="1">
        <w:r w:rsidRPr="00234417">
          <w:rPr>
            <w:rStyle w:val="TextoNormalCaracter"/>
          </w:rPr>
          <w:t>93/2013</w:t>
        </w:r>
      </w:hyperlink>
      <w:r w:rsidRPr="00234417">
        <w:rPr>
          <w:rStyle w:val="TextoNormalCaracter"/>
        </w:rPr>
        <w:t xml:space="preserve">, ff. 5, 6, VP I; </w:t>
      </w:r>
      <w:hyperlink w:anchor="SENTENCIA_2013_98" w:history="1">
        <w:r w:rsidRPr="00234417">
          <w:rPr>
            <w:rStyle w:val="TextoNormalCaracter"/>
          </w:rPr>
          <w:t>98/2013</w:t>
        </w:r>
      </w:hyperlink>
      <w:r w:rsidRPr="00234417">
        <w:rPr>
          <w:rStyle w:val="TextoNormalCaracter"/>
        </w:rPr>
        <w:t>, ff. 2 a 4.</w:t>
      </w:r>
    </w:p>
    <w:p w:rsidR="00234417" w:rsidRPr="00234417" w:rsidRDefault="00234417" w:rsidP="00234417">
      <w:pPr>
        <w:pStyle w:val="TextoNormalSangraFrancesa"/>
        <w:rPr>
          <w:rStyle w:val="TextoNormalCaracter"/>
        </w:rPr>
      </w:pPr>
      <w:bookmarkStart w:id="1798" w:name="DESCRIPTORALFABETICO669"/>
      <w:r w:rsidRPr="00234417">
        <w:rPr>
          <w:rStyle w:val="TextoNormalNegritaCaracter"/>
        </w:rPr>
        <w:t>Legislación laboral</w:t>
      </w:r>
      <w:bookmarkEnd w:id="1798"/>
      <w:r w:rsidRPr="00234417">
        <w:rPr>
          <w:rStyle w:val="TextoNormalCaracter"/>
        </w:rPr>
        <w:t xml:space="preserve">, Sentencias </w:t>
      </w:r>
      <w:hyperlink w:anchor="SENTENCIA_2013_7" w:history="1">
        <w:r w:rsidRPr="00234417">
          <w:rPr>
            <w:rStyle w:val="TextoNormalCaracter"/>
          </w:rPr>
          <w:t>7/2013</w:t>
        </w:r>
      </w:hyperlink>
      <w:r w:rsidRPr="00234417">
        <w:rPr>
          <w:rStyle w:val="TextoNormalCaracter"/>
        </w:rPr>
        <w:t xml:space="preserve">, f. 3; </w:t>
      </w:r>
      <w:hyperlink w:anchor="SENTENCIA_2013_16" w:history="1">
        <w:r w:rsidRPr="00234417">
          <w:rPr>
            <w:rStyle w:val="TextoNormalCaracter"/>
          </w:rPr>
          <w:t>16/2013</w:t>
        </w:r>
      </w:hyperlink>
      <w:r w:rsidRPr="00234417">
        <w:rPr>
          <w:rStyle w:val="TextoNormalCaracter"/>
        </w:rPr>
        <w:t xml:space="preserve">, ff. 3, 4, 6; </w:t>
      </w:r>
      <w:hyperlink w:anchor="SENTENCIA_2013_35" w:history="1">
        <w:r w:rsidRPr="00234417">
          <w:rPr>
            <w:rStyle w:val="TextoNormalCaracter"/>
          </w:rPr>
          <w:t>35/2013</w:t>
        </w:r>
      </w:hyperlink>
      <w:r w:rsidRPr="00234417">
        <w:rPr>
          <w:rStyle w:val="TextoNormalCaracter"/>
        </w:rPr>
        <w:t xml:space="preserve">, ff. 3, 4, 5, 6, 7, 8, 9, 10; </w:t>
      </w:r>
      <w:hyperlink w:anchor="SENTENCIA_2013_37" w:history="1">
        <w:r w:rsidRPr="00234417">
          <w:rPr>
            <w:rStyle w:val="TextoNormalCaracter"/>
          </w:rPr>
          <w:t>37/2013</w:t>
        </w:r>
      </w:hyperlink>
      <w:r w:rsidRPr="00234417">
        <w:rPr>
          <w:rStyle w:val="TextoNormalCaracter"/>
        </w:rPr>
        <w:t xml:space="preserve">, ff. 1, 2, 4; </w:t>
      </w:r>
      <w:hyperlink w:anchor="SENTENCIA_2013_62" w:history="1">
        <w:r w:rsidRPr="00234417">
          <w:rPr>
            <w:rStyle w:val="TextoNormalCaracter"/>
          </w:rPr>
          <w:t>62/2013</w:t>
        </w:r>
      </w:hyperlink>
      <w:r w:rsidRPr="00234417">
        <w:rPr>
          <w:rStyle w:val="TextoNormalCaracter"/>
        </w:rPr>
        <w:t xml:space="preserve">, f. 3; </w:t>
      </w:r>
      <w:hyperlink w:anchor="SENTENCIA_2013_65" w:history="1">
        <w:r w:rsidRPr="00234417">
          <w:rPr>
            <w:rStyle w:val="TextoNormalCaracter"/>
          </w:rPr>
          <w:t>65/2013</w:t>
        </w:r>
      </w:hyperlink>
      <w:r w:rsidRPr="00234417">
        <w:rPr>
          <w:rStyle w:val="TextoNormalCaracter"/>
        </w:rPr>
        <w:t xml:space="preserve">, ff. 2, 3, 4, 5; </w:t>
      </w:r>
      <w:hyperlink w:anchor="SENTENCIA_2013_95" w:history="1">
        <w:r w:rsidRPr="00234417">
          <w:rPr>
            <w:rStyle w:val="TextoNormalCaracter"/>
          </w:rPr>
          <w:t>95/2013</w:t>
        </w:r>
      </w:hyperlink>
      <w:r w:rsidRPr="00234417">
        <w:rPr>
          <w:rStyle w:val="TextoNormalCaracter"/>
        </w:rPr>
        <w:t>, ff. 1, 3, 4, 5.</w:t>
      </w:r>
    </w:p>
    <w:p w:rsidR="00234417" w:rsidRPr="00234417" w:rsidRDefault="00234417" w:rsidP="00234417">
      <w:pPr>
        <w:pStyle w:val="TextoNormalSangraFrancesa"/>
        <w:rPr>
          <w:rStyle w:val="TextoNormalCaracter"/>
        </w:rPr>
      </w:pPr>
      <w:bookmarkStart w:id="1799" w:name="DESCRIPTORALFABETICO670"/>
      <w:r w:rsidRPr="00234417">
        <w:rPr>
          <w:rStyle w:val="TextoNormalNegritaCaracter"/>
        </w:rPr>
        <w:t>Legislación procesal</w:t>
      </w:r>
      <w:bookmarkEnd w:id="1799"/>
      <w:r w:rsidRPr="00234417">
        <w:rPr>
          <w:rStyle w:val="TextoNormalCaracter"/>
        </w:rPr>
        <w:t xml:space="preserve">, Sentencia </w:t>
      </w:r>
      <w:hyperlink w:anchor="SENTENCIA_2013_98" w:history="1">
        <w:r w:rsidRPr="00234417">
          <w:rPr>
            <w:rStyle w:val="TextoNormalCaracter"/>
          </w:rPr>
          <w:t>98/2013</w:t>
        </w:r>
      </w:hyperlink>
      <w:r w:rsidRPr="00234417">
        <w:rPr>
          <w:rStyle w:val="TextoNormalCaracter"/>
        </w:rPr>
        <w:t>, f. 2.</w:t>
      </w:r>
    </w:p>
    <w:p w:rsidR="00234417" w:rsidRPr="00234417" w:rsidRDefault="00234417" w:rsidP="00234417">
      <w:pPr>
        <w:pStyle w:val="TextoNormalSangraFrancesa"/>
        <w:rPr>
          <w:rStyle w:val="TextoNormalNegritaCaracter"/>
        </w:rPr>
      </w:pPr>
      <w:r w:rsidRPr="00234417">
        <w:rPr>
          <w:rStyle w:val="TextoNormalCursivaCaracter"/>
        </w:rPr>
        <w:t>Legislación vigente</w:t>
      </w:r>
      <w:r>
        <w:t xml:space="preserve"> véase </w:t>
      </w:r>
      <w:hyperlink w:anchor="DESCRIPTORALFABETICO700" w:history="1">
        <w:r w:rsidRPr="00234417">
          <w:rPr>
            <w:rStyle w:val="TextoNormalNegritaCaracter"/>
          </w:rPr>
          <w:t>Vigencia de las normas jurídicas</w:t>
        </w:r>
      </w:hyperlink>
    </w:p>
    <w:p w:rsidR="00234417" w:rsidRPr="00234417" w:rsidRDefault="00234417" w:rsidP="00234417">
      <w:pPr>
        <w:pStyle w:val="TextoNormalSangraFrancesa"/>
        <w:rPr>
          <w:rStyle w:val="TextoNormalCaracter"/>
        </w:rPr>
      </w:pPr>
      <w:bookmarkStart w:id="1800" w:name="DESCRIPTORALFABETICO384"/>
      <w:r w:rsidRPr="00234417">
        <w:rPr>
          <w:rStyle w:val="TextoNormalNegritaCaracter"/>
        </w:rPr>
        <w:t>Legislador</w:t>
      </w:r>
      <w:bookmarkEnd w:id="1800"/>
      <w:r w:rsidRPr="00234417">
        <w:rPr>
          <w:rStyle w:val="TextoNormalCaracter"/>
        </w:rPr>
        <w:t xml:space="preserve">, Sentencias </w:t>
      </w:r>
      <w:hyperlink w:anchor="SENTENCIA_2013_20" w:history="1">
        <w:r w:rsidRPr="00234417">
          <w:rPr>
            <w:rStyle w:val="TextoNormalCaracter"/>
          </w:rPr>
          <w:t>20/2013</w:t>
        </w:r>
      </w:hyperlink>
      <w:r w:rsidRPr="00234417">
        <w:rPr>
          <w:rStyle w:val="TextoNormalCaracter"/>
        </w:rPr>
        <w:t xml:space="preserve">, ff. 3, 8, 10; </w:t>
      </w:r>
      <w:hyperlink w:anchor="SENTENCIA_2013_111" w:history="1">
        <w:r w:rsidRPr="00234417">
          <w:rPr>
            <w:rStyle w:val="TextoNormalCaracter"/>
          </w:rPr>
          <w:t>111/2013</w:t>
        </w:r>
      </w:hyperlink>
      <w:r w:rsidRPr="00234417">
        <w:rPr>
          <w:rStyle w:val="TextoNormalCaracter"/>
        </w:rPr>
        <w:t>, f. 5.</w:t>
      </w:r>
    </w:p>
    <w:p w:rsidR="00234417" w:rsidRPr="00234417" w:rsidRDefault="00234417" w:rsidP="00234417">
      <w:pPr>
        <w:pStyle w:val="TextoNormalSangraFrancesa"/>
        <w:rPr>
          <w:rStyle w:val="TextoNormalCaracter"/>
        </w:rPr>
      </w:pPr>
      <w:bookmarkStart w:id="1801" w:name="DESCRIPTORALFABETICO247"/>
      <w:r w:rsidRPr="00234417">
        <w:rPr>
          <w:rStyle w:val="TextoNormalNegritaCaracter"/>
        </w:rPr>
        <w:t>Legitimación de las Comunidades Autónomas</w:t>
      </w:r>
      <w:bookmarkEnd w:id="1801"/>
      <w:r w:rsidRPr="00234417">
        <w:rPr>
          <w:rStyle w:val="TextoNormalCaracter"/>
        </w:rPr>
        <w:t xml:space="preserve">, Sentencia </w:t>
      </w:r>
      <w:hyperlink w:anchor="SENTENCIA_2013_100" w:history="1">
        <w:r w:rsidRPr="00234417">
          <w:rPr>
            <w:rStyle w:val="TextoNormalCaracter"/>
          </w:rPr>
          <w:t>100/2013</w:t>
        </w:r>
      </w:hyperlink>
      <w:r w:rsidRPr="00234417">
        <w:rPr>
          <w:rStyle w:val="TextoNormalCaracter"/>
        </w:rPr>
        <w:t>, f. 2.</w:t>
      </w:r>
    </w:p>
    <w:p w:rsidR="00234417" w:rsidRPr="00234417" w:rsidRDefault="00234417" w:rsidP="00234417">
      <w:pPr>
        <w:pStyle w:val="TextoNormalSangraFrancesa"/>
        <w:rPr>
          <w:rStyle w:val="TextoNormalCaracter"/>
        </w:rPr>
      </w:pPr>
      <w:bookmarkStart w:id="1802" w:name="DESCRIPTORALFABETICO901"/>
      <w:r w:rsidRPr="00234417">
        <w:rPr>
          <w:rStyle w:val="TextoNormalNegritaCaracter"/>
        </w:rPr>
        <w:t>Legitimación para solicitar la extradición</w:t>
      </w:r>
      <w:bookmarkEnd w:id="1802"/>
      <w:r w:rsidRPr="00234417">
        <w:rPr>
          <w:rStyle w:val="TextoNormalCaracter"/>
        </w:rPr>
        <w:t xml:space="preserve">, Sentencia </w:t>
      </w:r>
      <w:hyperlink w:anchor="SENTENCIA_2013_31" w:history="1">
        <w:r w:rsidRPr="00234417">
          <w:rPr>
            <w:rStyle w:val="TextoNormalCaracter"/>
          </w:rPr>
          <w:t>31/2013</w:t>
        </w:r>
      </w:hyperlink>
      <w:r w:rsidRPr="00234417">
        <w:rPr>
          <w:rStyle w:val="TextoNormalCaracter"/>
        </w:rPr>
        <w:t>, ff. 4 a 7.</w:t>
      </w:r>
    </w:p>
    <w:p w:rsidR="00234417" w:rsidRPr="00234417" w:rsidRDefault="00234417" w:rsidP="00234417">
      <w:pPr>
        <w:pStyle w:val="TextoNormalSangraFrancesa"/>
        <w:rPr>
          <w:rStyle w:val="TextoNormalCaracter"/>
        </w:rPr>
      </w:pPr>
      <w:bookmarkStart w:id="1803" w:name="DESCRIPTORALFABETICO303"/>
      <w:r w:rsidRPr="00234417">
        <w:rPr>
          <w:rStyle w:val="TextoNormalNegritaCaracter"/>
        </w:rPr>
        <w:t>Legitimación por ser parte en el proceso previo</w:t>
      </w:r>
      <w:bookmarkEnd w:id="1803"/>
      <w:r w:rsidRPr="00234417">
        <w:rPr>
          <w:rStyle w:val="TextoNormalCaracter"/>
        </w:rPr>
        <w:t xml:space="preserve">, Sentencia </w:t>
      </w:r>
      <w:hyperlink w:anchor="SENTENCIA_2013_108" w:history="1">
        <w:r w:rsidRPr="00234417">
          <w:rPr>
            <w:rStyle w:val="TextoNormalCaracter"/>
          </w:rPr>
          <w:t>108/2013</w:t>
        </w:r>
      </w:hyperlink>
      <w:r w:rsidRPr="00234417">
        <w:rPr>
          <w:rStyle w:val="TextoNormalCaracter"/>
        </w:rPr>
        <w:t>, f. 2.</w:t>
      </w:r>
    </w:p>
    <w:p w:rsidR="00234417" w:rsidRPr="00234417" w:rsidRDefault="00234417" w:rsidP="00234417">
      <w:pPr>
        <w:pStyle w:val="TextoNormalSangraFrancesa"/>
        <w:rPr>
          <w:rStyle w:val="TextoNormalCaracter"/>
        </w:rPr>
      </w:pPr>
      <w:bookmarkStart w:id="1804" w:name="DESCRIPTORALFABETICO440"/>
      <w:r w:rsidRPr="00234417">
        <w:rPr>
          <w:rStyle w:val="TextoNormalNegritaCaracter"/>
        </w:rPr>
        <w:t>Lenguas españolas</w:t>
      </w:r>
      <w:bookmarkEnd w:id="1804"/>
      <w:r w:rsidRPr="00234417">
        <w:rPr>
          <w:rStyle w:val="TextoNormalCaracter"/>
        </w:rPr>
        <w:t xml:space="preserve">, Sentencias </w:t>
      </w:r>
      <w:hyperlink w:anchor="SENTENCIA_2013_15" w:history="1">
        <w:r w:rsidRPr="00234417">
          <w:rPr>
            <w:rStyle w:val="TextoNormalCaracter"/>
          </w:rPr>
          <w:t>15/2013</w:t>
        </w:r>
      </w:hyperlink>
      <w:r w:rsidRPr="00234417">
        <w:rPr>
          <w:rStyle w:val="TextoNormalCaracter"/>
        </w:rPr>
        <w:t xml:space="preserve">, ff. 3, 4; </w:t>
      </w:r>
      <w:hyperlink w:anchor="SENTENCIA_2013_24" w:history="1">
        <w:r w:rsidRPr="00234417">
          <w:rPr>
            <w:rStyle w:val="TextoNormalCaracter"/>
          </w:rPr>
          <w:t>24/2013</w:t>
        </w:r>
      </w:hyperlink>
      <w:r w:rsidRPr="00234417">
        <w:rPr>
          <w:rStyle w:val="TextoNormalCaracter"/>
        </w:rPr>
        <w:t xml:space="preserve">, f. 7; </w:t>
      </w:r>
      <w:hyperlink w:anchor="SENTENCIA_2013_48" w:history="1">
        <w:r w:rsidRPr="00234417">
          <w:rPr>
            <w:rStyle w:val="TextoNormalCaracter"/>
          </w:rPr>
          <w:t>48/2013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805" w:name="DESCRIPTORALFABETICO610"/>
      <w:r w:rsidRPr="00234417">
        <w:rPr>
          <w:rStyle w:val="TextoNormalNegritaCaracter"/>
        </w:rPr>
        <w:t>Lesión por ruidos no probada</w:t>
      </w:r>
      <w:bookmarkEnd w:id="1805"/>
      <w:r w:rsidRPr="00234417">
        <w:rPr>
          <w:rStyle w:val="TextoNormalCaracter"/>
        </w:rPr>
        <w:t xml:space="preserve">, Auto </w:t>
      </w:r>
      <w:hyperlink w:anchor="AUTO_2013_132" w:history="1">
        <w:r w:rsidRPr="00234417">
          <w:rPr>
            <w:rStyle w:val="TextoNormalCaracter"/>
          </w:rPr>
          <w:t>132/2013</w:t>
        </w:r>
      </w:hyperlink>
      <w:r w:rsidRPr="00234417">
        <w:rPr>
          <w:rStyle w:val="TextoNormalCaracter"/>
        </w:rPr>
        <w:t>, ff. 1, 3.</w:t>
      </w:r>
    </w:p>
    <w:p w:rsidR="00234417" w:rsidRPr="00234417" w:rsidRDefault="00234417" w:rsidP="00234417">
      <w:pPr>
        <w:pStyle w:val="TextoNormalSangraFrancesa"/>
        <w:rPr>
          <w:rStyle w:val="TextoNormalCaracter"/>
        </w:rPr>
      </w:pPr>
      <w:bookmarkStart w:id="1806" w:name="DESCRIPTORALFABETICO238"/>
      <w:r w:rsidRPr="00234417">
        <w:rPr>
          <w:rStyle w:val="TextoNormalNegritaCaracter"/>
        </w:rPr>
        <w:t>Levantamiento de la suspensión de disposiciones de las Comunidades Autónomas</w:t>
      </w:r>
      <w:bookmarkEnd w:id="1806"/>
      <w:r w:rsidRPr="00234417">
        <w:rPr>
          <w:rStyle w:val="TextoNormalCaracter"/>
        </w:rPr>
        <w:t xml:space="preserve">, Autos </w:t>
      </w:r>
      <w:hyperlink w:anchor="AUTO_2013_10" w:history="1">
        <w:r w:rsidRPr="00234417">
          <w:rPr>
            <w:rStyle w:val="TextoNormalCaracter"/>
          </w:rPr>
          <w:t>10/2013</w:t>
        </w:r>
      </w:hyperlink>
      <w:r w:rsidRPr="00234417">
        <w:rPr>
          <w:rStyle w:val="TextoNormalCaracter"/>
        </w:rPr>
        <w:t xml:space="preserve">, ff. 2 a 4; </w:t>
      </w:r>
      <w:hyperlink w:anchor="AUTO_2013_60" w:history="1">
        <w:r w:rsidRPr="00234417">
          <w:rPr>
            <w:rStyle w:val="TextoNormalCaracter"/>
          </w:rPr>
          <w:t>60/2013</w:t>
        </w:r>
      </w:hyperlink>
      <w:r w:rsidRPr="00234417">
        <w:rPr>
          <w:rStyle w:val="TextoNormalCaracter"/>
        </w:rPr>
        <w:t xml:space="preserve">, ff. 2 a 5; </w:t>
      </w:r>
      <w:hyperlink w:anchor="AUTO_2013_123" w:history="1">
        <w:r w:rsidRPr="00234417">
          <w:rPr>
            <w:rStyle w:val="TextoNormalCaracter"/>
          </w:rPr>
          <w:t>123/2013</w:t>
        </w:r>
      </w:hyperlink>
      <w:r w:rsidRPr="00234417">
        <w:rPr>
          <w:rStyle w:val="TextoNormalCaracter"/>
        </w:rPr>
        <w:t>, ff. 4, 5, 6.</w:t>
      </w:r>
    </w:p>
    <w:p w:rsidR="00234417" w:rsidRPr="00234417" w:rsidRDefault="00234417" w:rsidP="00234417">
      <w:pPr>
        <w:pStyle w:val="TextoNormalSangraFrancesa"/>
        <w:rPr>
          <w:rStyle w:val="TextoNormalCaracter"/>
        </w:rPr>
      </w:pPr>
      <w:bookmarkStart w:id="1807" w:name="DESCRIPTORALFABETICO239"/>
      <w:r w:rsidRPr="00234417">
        <w:rPr>
          <w:rStyle w:val="TextoNormalNegritaCaracter"/>
        </w:rPr>
        <w:t>Levantamiento parcial de la suspensión</w:t>
      </w:r>
      <w:bookmarkEnd w:id="1807"/>
      <w:r w:rsidRPr="00234417">
        <w:rPr>
          <w:rStyle w:val="TextoNormalCaracter"/>
        </w:rPr>
        <w:t xml:space="preserve">, Autos </w:t>
      </w:r>
      <w:hyperlink w:anchor="AUTO_2013_80" w:history="1">
        <w:r w:rsidRPr="00234417">
          <w:rPr>
            <w:rStyle w:val="TextoNormalCaracter"/>
          </w:rPr>
          <w:t>80/2013</w:t>
        </w:r>
      </w:hyperlink>
      <w:r w:rsidRPr="00234417">
        <w:rPr>
          <w:rStyle w:val="TextoNormalCaracter"/>
        </w:rPr>
        <w:t xml:space="preserve">, ff. 2 a 5; </w:t>
      </w:r>
      <w:hyperlink w:anchor="AUTO_2013_88" w:history="1">
        <w:r w:rsidRPr="00234417">
          <w:rPr>
            <w:rStyle w:val="TextoNormalCaracter"/>
          </w:rPr>
          <w:t>88/2013</w:t>
        </w:r>
      </w:hyperlink>
      <w:r w:rsidRPr="00234417">
        <w:rPr>
          <w:rStyle w:val="TextoNormalCaracter"/>
        </w:rPr>
        <w:t>, ff. 2 a 4.</w:t>
      </w:r>
    </w:p>
    <w:p w:rsidR="00234417" w:rsidRPr="00234417" w:rsidRDefault="00234417" w:rsidP="00234417">
      <w:pPr>
        <w:pStyle w:val="TextoNormalSangraFrancesa"/>
        <w:rPr>
          <w:rStyle w:val="TextoNormalCaracter"/>
        </w:rPr>
      </w:pPr>
      <w:bookmarkStart w:id="1808" w:name="DESCRIPTORALFABETICO672"/>
      <w:r w:rsidRPr="00234417">
        <w:rPr>
          <w:rStyle w:val="TextoNormalNegritaCaracter"/>
        </w:rPr>
        <w:t>Ley</w:t>
      </w:r>
      <w:bookmarkEnd w:id="1808"/>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6.</w:t>
      </w:r>
    </w:p>
    <w:p w:rsidR="00234417" w:rsidRPr="00234417" w:rsidRDefault="00234417" w:rsidP="00234417">
      <w:pPr>
        <w:pStyle w:val="TextoNormalSangraFrancesa"/>
        <w:rPr>
          <w:rStyle w:val="TextoNormalNegritaCaracter"/>
        </w:rPr>
      </w:pPr>
      <w:r w:rsidRPr="00234417">
        <w:rPr>
          <w:rStyle w:val="TextoNormalCursivaCaracter"/>
        </w:rPr>
        <w:t>Leyes anteriores a la Constitución</w:t>
      </w:r>
      <w:r>
        <w:t xml:space="preserve"> véase </w:t>
      </w:r>
      <w:hyperlink w:anchor="DESCRIPTORALFABETICO696" w:history="1">
        <w:r w:rsidRPr="00234417">
          <w:rPr>
            <w:rStyle w:val="TextoNormalNegritaCaracter"/>
          </w:rPr>
          <w:t>Normas preconstitucionales</w:t>
        </w:r>
      </w:hyperlink>
    </w:p>
    <w:p w:rsidR="00234417" w:rsidRPr="00234417" w:rsidRDefault="00234417" w:rsidP="00234417">
      <w:pPr>
        <w:pStyle w:val="TextoNormalSangraFrancesa"/>
        <w:rPr>
          <w:rStyle w:val="TextoNormalCaracter"/>
        </w:rPr>
      </w:pPr>
      <w:bookmarkStart w:id="1809" w:name="DESCRIPTORALFABETICO682"/>
      <w:r w:rsidRPr="00234417">
        <w:rPr>
          <w:rStyle w:val="TextoNormalNegritaCaracter"/>
        </w:rPr>
        <w:t>Leyes autoaplicativas</w:t>
      </w:r>
      <w:bookmarkEnd w:id="1809"/>
      <w:r w:rsidRPr="00234417">
        <w:rPr>
          <w:rStyle w:val="TextoNormalCaracter"/>
        </w:rPr>
        <w:t xml:space="preserve">, Sentencia </w:t>
      </w:r>
      <w:hyperlink w:anchor="SENTENCIA_2013_129" w:history="1">
        <w:r w:rsidRPr="00234417">
          <w:rPr>
            <w:rStyle w:val="TextoNormalCaracter"/>
          </w:rPr>
          <w:t>129/2013</w:t>
        </w:r>
      </w:hyperlink>
      <w:r w:rsidRPr="00234417">
        <w:rPr>
          <w:rStyle w:val="TextoNormalCaracter"/>
        </w:rPr>
        <w:t>, ff. 4 a 7.</w:t>
      </w:r>
    </w:p>
    <w:p w:rsidR="00234417" w:rsidRPr="00234417" w:rsidRDefault="00234417" w:rsidP="00234417">
      <w:pPr>
        <w:pStyle w:val="TextoNormalSangraFrancesa"/>
        <w:rPr>
          <w:rStyle w:val="TextoNormalCaracter"/>
        </w:rPr>
      </w:pPr>
      <w:bookmarkStart w:id="1810" w:name="DESCRIPTORALFABETICO677"/>
      <w:r w:rsidRPr="00234417">
        <w:rPr>
          <w:rStyle w:val="TextoNormalNegritaCaracter"/>
        </w:rPr>
        <w:t>Leyes de acompañamiento</w:t>
      </w:r>
      <w:bookmarkEnd w:id="1810"/>
      <w:r w:rsidRPr="00234417">
        <w:rPr>
          <w:rStyle w:val="TextoNormalCaracter"/>
        </w:rPr>
        <w:t xml:space="preserve">, Sentencias </w:t>
      </w:r>
      <w:hyperlink w:anchor="SENTENCIA_2013_36" w:history="1">
        <w:r w:rsidRPr="00234417">
          <w:rPr>
            <w:rStyle w:val="TextoNormalCaracter"/>
          </w:rPr>
          <w:t>36/2013</w:t>
        </w:r>
      </w:hyperlink>
      <w:r w:rsidRPr="00234417">
        <w:rPr>
          <w:rStyle w:val="TextoNormalCaracter"/>
        </w:rPr>
        <w:t xml:space="preserve">, f. 3; </w:t>
      </w:r>
      <w:hyperlink w:anchor="SENTENCIA_2013_111" w:history="1">
        <w:r w:rsidRPr="00234417">
          <w:rPr>
            <w:rStyle w:val="TextoNormalCaracter"/>
          </w:rPr>
          <w:t>111/2013</w:t>
        </w:r>
      </w:hyperlink>
      <w:r w:rsidRPr="00234417">
        <w:rPr>
          <w:rStyle w:val="TextoNormalCaracter"/>
        </w:rPr>
        <w:t>, f. 5.</w:t>
      </w:r>
    </w:p>
    <w:p w:rsidR="00234417" w:rsidRPr="00234417" w:rsidRDefault="00234417" w:rsidP="00234417">
      <w:pPr>
        <w:pStyle w:val="TextoNormalSangraFrancesa"/>
        <w:rPr>
          <w:rStyle w:val="TextoNormalNegritaCaracter"/>
        </w:rPr>
      </w:pPr>
      <w:r w:rsidRPr="00234417">
        <w:rPr>
          <w:rStyle w:val="TextoNormalCursivaCaracter"/>
        </w:rPr>
        <w:t>Leyes de bases</w:t>
      </w:r>
      <w:r>
        <w:t xml:space="preserve"> véase </w:t>
      </w:r>
      <w:hyperlink w:anchor="DESCRIPTORALFABETICO659" w:history="1">
        <w:r w:rsidRPr="00234417">
          <w:rPr>
            <w:rStyle w:val="TextoNormalNegritaCaracter"/>
          </w:rPr>
          <w:t>Legislación básica</w:t>
        </w:r>
      </w:hyperlink>
    </w:p>
    <w:p w:rsidR="00234417" w:rsidRPr="00234417" w:rsidRDefault="00234417" w:rsidP="00234417">
      <w:pPr>
        <w:pStyle w:val="TextoNormalSangraFrancesa"/>
        <w:rPr>
          <w:rStyle w:val="TextoNormalCaracter"/>
        </w:rPr>
      </w:pPr>
      <w:bookmarkStart w:id="1811" w:name="DESCRIPTORALFABETICO673"/>
      <w:r w:rsidRPr="00234417">
        <w:rPr>
          <w:rStyle w:val="TextoNormalNegritaCaracter"/>
        </w:rPr>
        <w:t>Leyes de presupuestos</w:t>
      </w:r>
      <w:bookmarkEnd w:id="1811"/>
      <w:r w:rsidRPr="00234417">
        <w:rPr>
          <w:rStyle w:val="TextoNormalCaracter"/>
        </w:rPr>
        <w:t xml:space="preserve">, Sentencias </w:t>
      </w:r>
      <w:hyperlink w:anchor="SENTENCIA_2013_9" w:history="1">
        <w:r w:rsidRPr="00234417">
          <w:rPr>
            <w:rStyle w:val="TextoNormalCaracter"/>
          </w:rPr>
          <w:t>9/2013</w:t>
        </w:r>
      </w:hyperlink>
      <w:r w:rsidRPr="00234417">
        <w:rPr>
          <w:rStyle w:val="TextoNormalCaracter"/>
        </w:rPr>
        <w:t xml:space="preserve">, ff. 2, 4; </w:t>
      </w:r>
      <w:hyperlink w:anchor="SENTENCIA_2013_101" w:history="1">
        <w:r w:rsidRPr="00234417">
          <w:rPr>
            <w:rStyle w:val="TextoNormalCaracter"/>
          </w:rPr>
          <w:t>101/2013</w:t>
        </w:r>
      </w:hyperlink>
      <w:r w:rsidRPr="00234417">
        <w:rPr>
          <w:rStyle w:val="TextoNormalCaracter"/>
        </w:rPr>
        <w:t>, f. 2.</w:t>
      </w:r>
    </w:p>
    <w:p w:rsidR="00234417" w:rsidRPr="00234417" w:rsidRDefault="00234417" w:rsidP="00234417">
      <w:pPr>
        <w:pStyle w:val="TextoNormalSangraFrancesa"/>
        <w:rPr>
          <w:rStyle w:val="TextoNormalCaracter"/>
        </w:rPr>
      </w:pPr>
      <w:bookmarkStart w:id="1812" w:name="DESCRIPTORALFABETICO678"/>
      <w:r w:rsidRPr="00234417">
        <w:rPr>
          <w:rStyle w:val="TextoNormalNegritaCaracter"/>
        </w:rPr>
        <w:lastRenderedPageBreak/>
        <w:t>Leyes de presupuestos de las Comunidades Autónomas</w:t>
      </w:r>
      <w:bookmarkEnd w:id="1812"/>
      <w:r w:rsidRPr="00234417">
        <w:rPr>
          <w:rStyle w:val="TextoNormalCaracter"/>
        </w:rPr>
        <w:t xml:space="preserve">, Sentencias </w:t>
      </w:r>
      <w:hyperlink w:anchor="SENTENCIA_2013_86" w:history="1">
        <w:r w:rsidRPr="00234417">
          <w:rPr>
            <w:rStyle w:val="TextoNormalCaracter"/>
          </w:rPr>
          <w:t>86/2013</w:t>
        </w:r>
      </w:hyperlink>
      <w:r w:rsidRPr="00234417">
        <w:rPr>
          <w:rStyle w:val="TextoNormalCaracter"/>
        </w:rPr>
        <w:t xml:space="preserve">, ff. 3, 4; </w:t>
      </w:r>
      <w:hyperlink w:anchor="SENTENCIA_2013_132" w:history="1">
        <w:r w:rsidRPr="00234417">
          <w:rPr>
            <w:rStyle w:val="TextoNormalCaracter"/>
          </w:rPr>
          <w:t>132/2013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86" w:history="1">
        <w:r w:rsidRPr="00234417">
          <w:rPr>
            <w:rStyle w:val="TextoNormalCaracter"/>
          </w:rPr>
          <w:t>86/2013</w:t>
        </w:r>
      </w:hyperlink>
      <w:r w:rsidRPr="00234417">
        <w:rPr>
          <w:rStyle w:val="TextoNormalCaracter"/>
        </w:rPr>
        <w:t xml:space="preserve">, ff. 4 a 6; </w:t>
      </w:r>
      <w:hyperlink w:anchor="AUTO_2013_122" w:history="1">
        <w:r w:rsidRPr="00234417">
          <w:rPr>
            <w:rStyle w:val="TextoNormalCaracter"/>
          </w:rPr>
          <w:t>122/2013</w:t>
        </w:r>
      </w:hyperlink>
      <w:r w:rsidRPr="00234417">
        <w:rPr>
          <w:rStyle w:val="TextoNormalCaracter"/>
        </w:rPr>
        <w:t xml:space="preserve">, f. 4; </w:t>
      </w:r>
      <w:hyperlink w:anchor="AUTO_2013_123" w:history="1">
        <w:r w:rsidRPr="00234417">
          <w:rPr>
            <w:rStyle w:val="TextoNormalCaracter"/>
          </w:rPr>
          <w:t>123/2013</w:t>
        </w:r>
      </w:hyperlink>
      <w:r w:rsidRPr="00234417">
        <w:rPr>
          <w:rStyle w:val="TextoNormalCaracter"/>
        </w:rPr>
        <w:t>, f. 4.</w:t>
      </w:r>
    </w:p>
    <w:p w:rsidR="00234417" w:rsidRPr="00234417" w:rsidRDefault="00234417" w:rsidP="00234417">
      <w:pPr>
        <w:pStyle w:val="TextoNormalSangraFrancesa"/>
        <w:rPr>
          <w:rStyle w:val="TextoNormalCaracter"/>
        </w:rPr>
      </w:pPr>
      <w:bookmarkStart w:id="1813" w:name="DESCRIPTORALFABETICO679"/>
      <w:r w:rsidRPr="00234417">
        <w:rPr>
          <w:rStyle w:val="TextoNormalNegritaCaracter"/>
        </w:rPr>
        <w:t>Leyes de presupuestos generales del Estado</w:t>
      </w:r>
      <w:bookmarkEnd w:id="1813"/>
      <w:r w:rsidRPr="00234417">
        <w:rPr>
          <w:rStyle w:val="TextoNormalCaracter"/>
        </w:rPr>
        <w:t xml:space="preserve">, Sentencias </w:t>
      </w:r>
      <w:hyperlink w:anchor="SENTENCIA_2013_9" w:history="1">
        <w:r w:rsidRPr="00234417">
          <w:rPr>
            <w:rStyle w:val="TextoNormalCaracter"/>
          </w:rPr>
          <w:t>9/2013</w:t>
        </w:r>
      </w:hyperlink>
      <w:r w:rsidRPr="00234417">
        <w:rPr>
          <w:rStyle w:val="TextoNormalCaracter"/>
        </w:rPr>
        <w:t xml:space="preserve">, ff. 3, 4; </w:t>
      </w:r>
      <w:hyperlink w:anchor="SENTENCIA_2013_100" w:history="1">
        <w:r w:rsidRPr="00234417">
          <w:rPr>
            <w:rStyle w:val="TextoNormalCaracter"/>
          </w:rPr>
          <w:t>100/2013</w:t>
        </w:r>
      </w:hyperlink>
      <w:r w:rsidRPr="00234417">
        <w:rPr>
          <w:rStyle w:val="TextoNormalCaracter"/>
        </w:rPr>
        <w:t xml:space="preserve">, f. 4; </w:t>
      </w:r>
      <w:hyperlink w:anchor="SENTENCIA_2013_101" w:history="1">
        <w:r w:rsidRPr="00234417">
          <w:rPr>
            <w:rStyle w:val="TextoNormalCaracter"/>
          </w:rPr>
          <w:t>101/2013</w:t>
        </w:r>
      </w:hyperlink>
      <w:r w:rsidRPr="00234417">
        <w:rPr>
          <w:rStyle w:val="TextoNormalCaracter"/>
        </w:rPr>
        <w:t>, ff. 10, 11.</w:t>
      </w:r>
    </w:p>
    <w:p w:rsidR="00234417" w:rsidRPr="00234417" w:rsidRDefault="00234417" w:rsidP="00234417">
      <w:pPr>
        <w:pStyle w:val="TextoNormalSangraFrancesa"/>
        <w:rPr>
          <w:rStyle w:val="TextoNormalNegritaCaracter"/>
        </w:rPr>
      </w:pPr>
      <w:r w:rsidRPr="00234417">
        <w:rPr>
          <w:rStyle w:val="TextoNormalCursivaCaracter"/>
        </w:rPr>
        <w:t>Leyes ómnibus</w:t>
      </w:r>
      <w:r>
        <w:t xml:space="preserve"> véase </w:t>
      </w:r>
      <w:hyperlink w:anchor="DESCRIPTORALFABETICO694" w:history="1">
        <w:r w:rsidRPr="00234417">
          <w:rPr>
            <w:rStyle w:val="TextoNormalNegritaCaracter"/>
          </w:rPr>
          <w:t>Normas de contenido heterogéneo</w:t>
        </w:r>
      </w:hyperlink>
    </w:p>
    <w:p w:rsidR="00234417" w:rsidRPr="00234417" w:rsidRDefault="00234417" w:rsidP="00234417">
      <w:pPr>
        <w:pStyle w:val="TextoNormalSangraFrancesa"/>
        <w:rPr>
          <w:rStyle w:val="TextoNormalNegritaCaracter"/>
        </w:rPr>
      </w:pPr>
      <w:r w:rsidRPr="00234417">
        <w:rPr>
          <w:rStyle w:val="TextoNormalCursivaCaracter"/>
        </w:rPr>
        <w:t>Leyes procesales</w:t>
      </w:r>
      <w:r>
        <w:t xml:space="preserve"> véase </w:t>
      </w:r>
      <w:hyperlink w:anchor="DESCRIPTORALFABETICO670" w:history="1">
        <w:r w:rsidRPr="00234417">
          <w:rPr>
            <w:rStyle w:val="TextoNormalNegritaCaracter"/>
          </w:rPr>
          <w:t>Legislación procesal</w:t>
        </w:r>
      </w:hyperlink>
    </w:p>
    <w:p w:rsidR="00234417" w:rsidRPr="00234417" w:rsidRDefault="00234417" w:rsidP="00234417">
      <w:pPr>
        <w:pStyle w:val="TextoNormalSangraFrancesa"/>
        <w:rPr>
          <w:rStyle w:val="TextoNormalCaracter"/>
        </w:rPr>
      </w:pPr>
      <w:bookmarkStart w:id="1814" w:name="DESCRIPTORALFABETICO681"/>
      <w:r w:rsidRPr="00234417">
        <w:rPr>
          <w:rStyle w:val="TextoNormalNegritaCaracter"/>
        </w:rPr>
        <w:t>Leyes singulares</w:t>
      </w:r>
      <w:bookmarkEnd w:id="1814"/>
      <w:r w:rsidRPr="00234417">
        <w:rPr>
          <w:rStyle w:val="TextoNormalCaracter"/>
        </w:rPr>
        <w:t xml:space="preserve">, Sentencia </w:t>
      </w:r>
      <w:hyperlink w:anchor="SENTENCIA_2013_129" w:history="1">
        <w:r w:rsidRPr="00234417">
          <w:rPr>
            <w:rStyle w:val="TextoNormalCaracter"/>
          </w:rPr>
          <w:t>129/2013</w:t>
        </w:r>
      </w:hyperlink>
      <w:r w:rsidRPr="00234417">
        <w:rPr>
          <w:rStyle w:val="TextoNormalCaracter"/>
        </w:rPr>
        <w:t>, ff. 4, 5, 6, 7.</w:t>
      </w:r>
    </w:p>
    <w:p w:rsidR="00234417" w:rsidRPr="00234417" w:rsidRDefault="00234417" w:rsidP="00234417">
      <w:pPr>
        <w:pStyle w:val="TextoNormalSangraFrancesa"/>
        <w:rPr>
          <w:rStyle w:val="TextoNormalCaracter"/>
        </w:rPr>
      </w:pPr>
      <w:r w:rsidRPr="00234417">
        <w:rPr>
          <w:rStyle w:val="TextoNormalCursivaCaracter"/>
        </w:rPr>
        <w:t xml:space="preserve">    Concepto, </w:t>
      </w:r>
      <w:r w:rsidRPr="00234417">
        <w:rPr>
          <w:rStyle w:val="TextoNormalCaracter"/>
        </w:rPr>
        <w:t xml:space="preserve">Sentencia </w:t>
      </w:r>
      <w:hyperlink w:anchor="SENTENCIA_2013_129" w:history="1">
        <w:r w:rsidRPr="00234417">
          <w:rPr>
            <w:rStyle w:val="TextoNormalCaracter"/>
          </w:rPr>
          <w:t>129/2013</w:t>
        </w:r>
      </w:hyperlink>
      <w:r w:rsidRPr="00234417">
        <w:rPr>
          <w:rStyle w:val="TextoNormalCaracter"/>
        </w:rPr>
        <w:t>, f. 4.</w:t>
      </w:r>
    </w:p>
    <w:p w:rsidR="00234417" w:rsidRPr="00234417" w:rsidRDefault="00234417" w:rsidP="00234417">
      <w:pPr>
        <w:pStyle w:val="TextoNormalSangraFrancesa"/>
        <w:rPr>
          <w:rStyle w:val="TextoNormalNegritaCaracter"/>
        </w:rPr>
      </w:pPr>
      <w:r w:rsidRPr="00234417">
        <w:rPr>
          <w:rStyle w:val="TextoNormalCursivaCaracter"/>
        </w:rPr>
        <w:t>Leyes transversales</w:t>
      </w:r>
      <w:r>
        <w:t xml:space="preserve"> véase </w:t>
      </w:r>
      <w:hyperlink w:anchor="DESCRIPTORALFABETICO694" w:history="1">
        <w:r w:rsidRPr="00234417">
          <w:rPr>
            <w:rStyle w:val="TextoNormalNegritaCaracter"/>
          </w:rPr>
          <w:t>Normas de contenido heterogéneo</w:t>
        </w:r>
      </w:hyperlink>
    </w:p>
    <w:p w:rsidR="00234417" w:rsidRPr="00234417" w:rsidRDefault="00234417" w:rsidP="00234417">
      <w:pPr>
        <w:pStyle w:val="TextoNormalSangraFrancesa"/>
        <w:rPr>
          <w:rStyle w:val="TextoNormalCaracter"/>
        </w:rPr>
      </w:pPr>
      <w:bookmarkStart w:id="1815" w:name="DESCRIPTORALFABETICO203"/>
      <w:r w:rsidRPr="00234417">
        <w:rPr>
          <w:rStyle w:val="TextoNormalNegritaCaracter"/>
        </w:rPr>
        <w:t>Libertad académica</w:t>
      </w:r>
      <w:bookmarkEnd w:id="1815"/>
      <w:r w:rsidRPr="00234417">
        <w:rPr>
          <w:rStyle w:val="TextoNormalCaracter"/>
        </w:rPr>
        <w:t xml:space="preserve">, Sentencia </w:t>
      </w:r>
      <w:hyperlink w:anchor="SENTENCIA_2013_131" w:history="1">
        <w:r w:rsidRPr="00234417">
          <w:rPr>
            <w:rStyle w:val="TextoNormalCaracter"/>
          </w:rPr>
          <w:t>131/2013</w:t>
        </w:r>
      </w:hyperlink>
      <w:r w:rsidRPr="00234417">
        <w:rPr>
          <w:rStyle w:val="TextoNormalCaracter"/>
        </w:rPr>
        <w:t>, ff. 8, 9.</w:t>
      </w:r>
    </w:p>
    <w:p w:rsidR="00234417" w:rsidRPr="00234417" w:rsidRDefault="00234417" w:rsidP="00234417">
      <w:pPr>
        <w:pStyle w:val="TextoNormalSangraFrancesa"/>
        <w:rPr>
          <w:rStyle w:val="TextoNormalCaracter"/>
        </w:rPr>
      </w:pPr>
      <w:bookmarkStart w:id="1816" w:name="DESCRIPTORALFABETICO200"/>
      <w:r w:rsidRPr="00234417">
        <w:rPr>
          <w:rStyle w:val="TextoNormalNegritaCaracter"/>
        </w:rPr>
        <w:t>Libertad de circulación</w:t>
      </w:r>
      <w:bookmarkEnd w:id="1816"/>
      <w:r w:rsidRPr="00234417">
        <w:rPr>
          <w:rStyle w:val="TextoNormalCaracter"/>
        </w:rPr>
        <w:t xml:space="preserve">, Sentencias </w:t>
      </w:r>
      <w:hyperlink w:anchor="SENTENCIA_2013_84" w:history="1">
        <w:r w:rsidRPr="00234417">
          <w:rPr>
            <w:rStyle w:val="TextoNormalCaracter"/>
          </w:rPr>
          <w:t>84/2013</w:t>
        </w:r>
      </w:hyperlink>
      <w:r w:rsidRPr="00234417">
        <w:rPr>
          <w:rStyle w:val="TextoNormalCaracter"/>
        </w:rPr>
        <w:t xml:space="preserve">, ff. 5, 6; </w:t>
      </w:r>
      <w:hyperlink w:anchor="SENTENCIA_2013_96" w:history="1">
        <w:r w:rsidRPr="00234417">
          <w:rPr>
            <w:rStyle w:val="TextoNormalCaracter"/>
          </w:rPr>
          <w:t>96/2013</w:t>
        </w:r>
      </w:hyperlink>
      <w:r w:rsidRPr="00234417">
        <w:rPr>
          <w:rStyle w:val="TextoNormalCaracter"/>
        </w:rPr>
        <w:t>, f. 4.</w:t>
      </w:r>
    </w:p>
    <w:p w:rsidR="00234417" w:rsidRPr="00234417" w:rsidRDefault="00234417" w:rsidP="00234417">
      <w:pPr>
        <w:pStyle w:val="TextoNormalSangraFrancesa"/>
        <w:rPr>
          <w:rStyle w:val="TextoNormalCaracter"/>
        </w:rPr>
      </w:pPr>
      <w:bookmarkStart w:id="1817" w:name="DESCRIPTORALFABETICO385"/>
      <w:r w:rsidRPr="00234417">
        <w:rPr>
          <w:rStyle w:val="TextoNormalNegritaCaracter"/>
        </w:rPr>
        <w:t>Libertad de configuración del legislador</w:t>
      </w:r>
      <w:bookmarkEnd w:id="1817"/>
      <w:r w:rsidRPr="00234417">
        <w:rPr>
          <w:rStyle w:val="TextoNormalCaracter"/>
        </w:rPr>
        <w:t xml:space="preserve">, Sentencias </w:t>
      </w:r>
      <w:hyperlink w:anchor="SENTENCIA_2013_20" w:history="1">
        <w:r w:rsidRPr="00234417">
          <w:rPr>
            <w:rStyle w:val="TextoNormalCaracter"/>
          </w:rPr>
          <w:t>20/2013</w:t>
        </w:r>
      </w:hyperlink>
      <w:r w:rsidRPr="00234417">
        <w:rPr>
          <w:rStyle w:val="TextoNormalCaracter"/>
        </w:rPr>
        <w:t xml:space="preserve">, f. 8; </w:t>
      </w:r>
      <w:hyperlink w:anchor="SENTENCIA_2013_41" w:history="1">
        <w:r w:rsidRPr="00234417">
          <w:rPr>
            <w:rStyle w:val="TextoNormalCaracter"/>
          </w:rPr>
          <w:t>41/2013</w:t>
        </w:r>
      </w:hyperlink>
      <w:r w:rsidRPr="00234417">
        <w:rPr>
          <w:rStyle w:val="TextoNormalCaracter"/>
        </w:rPr>
        <w:t xml:space="preserve">, ff. 4, 7, 8, VP;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xml:space="preserve">, f. 4; </w:t>
      </w:r>
      <w:hyperlink w:anchor="SENTENCIA_2013_93" w:history="1">
        <w:r w:rsidRPr="00234417">
          <w:rPr>
            <w:rStyle w:val="TextoNormalCaracter"/>
          </w:rPr>
          <w:t>93/2013</w:t>
        </w:r>
      </w:hyperlink>
      <w:r w:rsidRPr="00234417">
        <w:rPr>
          <w:rStyle w:val="TextoNormalCaracter"/>
        </w:rPr>
        <w:t xml:space="preserve">, ff. 5, 11; </w:t>
      </w:r>
      <w:hyperlink w:anchor="SENTENCIA_2013_98" w:history="1">
        <w:r w:rsidRPr="00234417">
          <w:rPr>
            <w:rStyle w:val="TextoNormalCaracter"/>
          </w:rPr>
          <w:t>98/2013</w:t>
        </w:r>
      </w:hyperlink>
      <w:r w:rsidRPr="00234417">
        <w:rPr>
          <w:rStyle w:val="TextoNormalCaracter"/>
        </w:rPr>
        <w:t>, f. 2.</w:t>
      </w:r>
    </w:p>
    <w:p w:rsidR="00234417" w:rsidRPr="00234417" w:rsidRDefault="00234417" w:rsidP="00234417">
      <w:pPr>
        <w:pStyle w:val="TextoNormalSangraFrancesa"/>
        <w:rPr>
          <w:rStyle w:val="TextoNormalCaracter"/>
        </w:rPr>
      </w:pPr>
      <w:bookmarkStart w:id="1818" w:name="DESCRIPTORALFABETICO204"/>
      <w:r w:rsidRPr="00234417">
        <w:rPr>
          <w:rStyle w:val="TextoNormalNegritaCaracter"/>
        </w:rPr>
        <w:t>Libertad de creación de centros docentes</w:t>
      </w:r>
      <w:bookmarkEnd w:id="1818"/>
      <w:r w:rsidRPr="00234417">
        <w:rPr>
          <w:rStyle w:val="TextoNormalCaracter"/>
        </w:rPr>
        <w:t xml:space="preserve">, Auto </w:t>
      </w:r>
      <w:hyperlink w:anchor="AUTO_2013_89" w:history="1">
        <w:r w:rsidRPr="00234417">
          <w:rPr>
            <w:rStyle w:val="TextoNormalCaracter"/>
          </w:rPr>
          <w:t>89/2013</w:t>
        </w:r>
      </w:hyperlink>
      <w:r w:rsidRPr="00234417">
        <w:rPr>
          <w:rStyle w:val="TextoNormalCaracter"/>
        </w:rPr>
        <w:t>, f. 4.</w:t>
      </w:r>
    </w:p>
    <w:p w:rsidR="00234417" w:rsidRPr="00234417" w:rsidRDefault="00234417" w:rsidP="00234417">
      <w:pPr>
        <w:pStyle w:val="TextoNormalSangraFrancesa"/>
        <w:rPr>
          <w:rStyle w:val="TextoNormalCaracter"/>
        </w:rPr>
      </w:pPr>
      <w:bookmarkStart w:id="1819" w:name="DESCRIPTORALFABETICO205"/>
      <w:r w:rsidRPr="00234417">
        <w:rPr>
          <w:rStyle w:val="TextoNormalNegritaCaracter"/>
        </w:rPr>
        <w:t xml:space="preserve">Libertad de creación de centros docentes </w:t>
      </w:r>
      <w:r w:rsidRPr="00234417">
        <w:rPr>
          <w:rStyle w:val="TextoNormalNegritaCaracter"/>
          <w:i/>
        </w:rPr>
        <w:t>versus</w:t>
      </w:r>
      <w:r w:rsidRPr="00234417">
        <w:rPr>
          <w:rStyle w:val="TextoNormalNegritaCaracter"/>
        </w:rPr>
        <w:t xml:space="preserve"> autonomía universitaria</w:t>
      </w:r>
      <w:bookmarkEnd w:id="1819"/>
      <w:r w:rsidRPr="00234417">
        <w:rPr>
          <w:rStyle w:val="TextoNormalCaracter"/>
        </w:rPr>
        <w:t xml:space="preserve">, Sentencia </w:t>
      </w:r>
      <w:hyperlink w:anchor="SENTENCIA_2013_131" w:history="1">
        <w:r w:rsidRPr="00234417">
          <w:rPr>
            <w:rStyle w:val="TextoNormalCaracter"/>
          </w:rPr>
          <w:t>131/2013</w:t>
        </w:r>
      </w:hyperlink>
      <w:r w:rsidRPr="00234417">
        <w:rPr>
          <w:rStyle w:val="TextoNormalCaracter"/>
        </w:rPr>
        <w:t>, f. 9, VP II, VP III, VP IV, VP V.</w:t>
      </w:r>
    </w:p>
    <w:p w:rsidR="00234417" w:rsidRPr="00234417" w:rsidRDefault="00234417" w:rsidP="00234417">
      <w:pPr>
        <w:pStyle w:val="TextoNormalSangraFrancesa"/>
        <w:rPr>
          <w:rStyle w:val="TextoNormalCaracter"/>
        </w:rPr>
      </w:pPr>
      <w:bookmarkStart w:id="1820" w:name="DESCRIPTORALFABETICO202"/>
      <w:r w:rsidRPr="00234417">
        <w:rPr>
          <w:rStyle w:val="TextoNormalNegritaCaracter"/>
        </w:rPr>
        <w:t>Libertad de empresa</w:t>
      </w:r>
      <w:bookmarkEnd w:id="1820"/>
      <w:r w:rsidRPr="00234417">
        <w:rPr>
          <w:rStyle w:val="TextoNormalCaracter"/>
        </w:rPr>
        <w:t xml:space="preserve">, Sentencia </w:t>
      </w:r>
      <w:hyperlink w:anchor="SENTENCIA_2013_96" w:history="1">
        <w:r w:rsidRPr="00234417">
          <w:rPr>
            <w:rStyle w:val="TextoNormalCaracter"/>
          </w:rPr>
          <w:t>96/2013</w:t>
        </w:r>
      </w:hyperlink>
      <w:r w:rsidRPr="00234417">
        <w:rPr>
          <w:rStyle w:val="TextoNormalCaracter"/>
        </w:rPr>
        <w:t>, ff. 3, 4, 5, 6, 7, 8, 9.</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 </w:t>
      </w:r>
      <w:hyperlink w:anchor="SENTENCIA_2013_96" w:history="1">
        <w:r w:rsidRPr="00234417">
          <w:rPr>
            <w:rStyle w:val="TextoNormalCaracter"/>
          </w:rPr>
          <w:t>96/2013</w:t>
        </w:r>
      </w:hyperlink>
      <w:r w:rsidRPr="00234417">
        <w:rPr>
          <w:rStyle w:val="TextoNormalCaracter"/>
        </w:rPr>
        <w:t>, ff. 3 a 8.</w:t>
      </w:r>
    </w:p>
    <w:p w:rsidR="00234417" w:rsidRPr="00234417" w:rsidRDefault="00234417" w:rsidP="00234417">
      <w:pPr>
        <w:pStyle w:val="TextoNormalSangraFrancesa"/>
        <w:rPr>
          <w:rStyle w:val="TextoNormalCaracter"/>
        </w:rPr>
      </w:pPr>
      <w:bookmarkStart w:id="1821" w:name="DESCRIPTORALFABETICO196"/>
      <w:r w:rsidRPr="00234417">
        <w:rPr>
          <w:rStyle w:val="TextoNormalNegritaCaracter"/>
        </w:rPr>
        <w:t>Libertad de profesión u oficio</w:t>
      </w:r>
      <w:bookmarkEnd w:id="1821"/>
      <w:r w:rsidRPr="00234417">
        <w:rPr>
          <w:rStyle w:val="TextoNormalCaracter"/>
        </w:rPr>
        <w:t xml:space="preserve">, Sentencias </w:t>
      </w:r>
      <w:hyperlink w:anchor="SENTENCIA_2013_3" w:history="1">
        <w:r w:rsidRPr="00234417">
          <w:rPr>
            <w:rStyle w:val="TextoNormalCaracter"/>
          </w:rPr>
          <w:t>3/2013</w:t>
        </w:r>
      </w:hyperlink>
      <w:r w:rsidRPr="00234417">
        <w:rPr>
          <w:rStyle w:val="TextoNormalCaracter"/>
        </w:rPr>
        <w:t xml:space="preserve">, f. 7; </w:t>
      </w:r>
      <w:hyperlink w:anchor="SENTENCIA_2013_46" w:history="1">
        <w:r w:rsidRPr="00234417">
          <w:rPr>
            <w:rStyle w:val="TextoNormalCaracter"/>
          </w:rPr>
          <w:t>46/2013</w:t>
        </w:r>
      </w:hyperlink>
      <w:r w:rsidRPr="00234417">
        <w:rPr>
          <w:rStyle w:val="TextoNormalCaracter"/>
        </w:rPr>
        <w:t xml:space="preserve">, ff. 3, 4; </w:t>
      </w:r>
      <w:hyperlink w:anchor="SENTENCIA_2013_50" w:history="1">
        <w:r w:rsidRPr="00234417">
          <w:rPr>
            <w:rStyle w:val="TextoNormalCaracter"/>
          </w:rPr>
          <w:t>50/2013</w:t>
        </w:r>
      </w:hyperlink>
      <w:r w:rsidRPr="00234417">
        <w:rPr>
          <w:rStyle w:val="TextoNormalCaracter"/>
        </w:rPr>
        <w:t xml:space="preserve">, ff. 3, 4; </w:t>
      </w:r>
      <w:hyperlink w:anchor="SENTENCIA_2013_63" w:history="1">
        <w:r w:rsidRPr="00234417">
          <w:rPr>
            <w:rStyle w:val="TextoNormalCaracter"/>
          </w:rPr>
          <w:t>63/2013</w:t>
        </w:r>
      </w:hyperlink>
      <w:r w:rsidRPr="00234417">
        <w:rPr>
          <w:rStyle w:val="TextoNormalCaracter"/>
        </w:rPr>
        <w:t>, ff. 2, 3.</w:t>
      </w:r>
    </w:p>
    <w:p w:rsidR="00234417" w:rsidRPr="00234417" w:rsidRDefault="00234417" w:rsidP="00234417">
      <w:pPr>
        <w:pStyle w:val="TextoNormalSangraFrancesa"/>
        <w:rPr>
          <w:rStyle w:val="TextoNormalNegritaCaracter"/>
        </w:rPr>
      </w:pPr>
      <w:r w:rsidRPr="00234417">
        <w:rPr>
          <w:rStyle w:val="TextoNormalCursivaCaracter"/>
        </w:rPr>
        <w:t>Libre desarrollo de la personalidad</w:t>
      </w:r>
      <w:r>
        <w:t xml:space="preserve"> véase </w:t>
      </w:r>
      <w:hyperlink w:anchor="DESCRIPTORALFABETICO193" w:history="1">
        <w:r w:rsidRPr="00234417">
          <w:rPr>
            <w:rStyle w:val="TextoNormalNegritaCaracter"/>
          </w:rPr>
          <w:t>Derecho al libre desarrollo de la personalidad</w:t>
        </w:r>
      </w:hyperlink>
    </w:p>
    <w:p w:rsidR="00234417" w:rsidRPr="00234417" w:rsidRDefault="00234417" w:rsidP="00234417">
      <w:pPr>
        <w:pStyle w:val="TextoNormalSangraFrancesa"/>
        <w:rPr>
          <w:rStyle w:val="TextoNormalCaracter"/>
        </w:rPr>
      </w:pPr>
      <w:bookmarkStart w:id="1822" w:name="DESCRIPTORALFABETICO471"/>
      <w:r w:rsidRPr="00234417">
        <w:rPr>
          <w:rStyle w:val="TextoNormalNegritaCaracter"/>
        </w:rPr>
        <w:t>Licencia de apertura</w:t>
      </w:r>
      <w:bookmarkEnd w:id="1822"/>
      <w:r w:rsidRPr="00234417">
        <w:rPr>
          <w:rStyle w:val="TextoNormalCaracter"/>
        </w:rPr>
        <w:t xml:space="preserve">, Autos </w:t>
      </w:r>
      <w:hyperlink w:anchor="AUTO_2013_23" w:history="1">
        <w:r w:rsidRPr="00234417">
          <w:rPr>
            <w:rStyle w:val="TextoNormalCaracter"/>
          </w:rPr>
          <w:t>23/2013</w:t>
        </w:r>
      </w:hyperlink>
      <w:r w:rsidRPr="00234417">
        <w:rPr>
          <w:rStyle w:val="TextoNormalCaracter"/>
        </w:rPr>
        <w:t xml:space="preserve">, f. 2; </w:t>
      </w:r>
      <w:hyperlink w:anchor="AUTO_2013_132" w:history="1">
        <w:r w:rsidRPr="00234417">
          <w:rPr>
            <w:rStyle w:val="TextoNormalCaracter"/>
          </w:rPr>
          <w:t>132/2013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823" w:name="DESCRIPTORALFABETICO918"/>
      <w:r w:rsidRPr="00234417">
        <w:rPr>
          <w:rStyle w:val="TextoNormalNegritaCaracter"/>
        </w:rPr>
        <w:t>Licenciamiento definitivo del penado</w:t>
      </w:r>
      <w:bookmarkEnd w:id="1823"/>
      <w:r w:rsidRPr="00234417">
        <w:rPr>
          <w:rStyle w:val="TextoNormalCaracter"/>
        </w:rPr>
        <w:t xml:space="preserve">, Sentencias </w:t>
      </w:r>
      <w:hyperlink w:anchor="SENTENCIA_2013_28" w:history="1">
        <w:r w:rsidRPr="00234417">
          <w:rPr>
            <w:rStyle w:val="TextoNormalCaracter"/>
          </w:rPr>
          <w:t>28/2013</w:t>
        </w:r>
      </w:hyperlink>
      <w:r w:rsidRPr="00234417">
        <w:rPr>
          <w:rStyle w:val="TextoNormalCaracter"/>
        </w:rPr>
        <w:t xml:space="preserve">, ff. 1, 3; </w:t>
      </w:r>
      <w:hyperlink w:anchor="SENTENCIA_2013_54" w:history="1">
        <w:r w:rsidRPr="00234417">
          <w:rPr>
            <w:rStyle w:val="TextoNormalCaracter"/>
          </w:rPr>
          <w:t>54/2013</w:t>
        </w:r>
      </w:hyperlink>
      <w:r w:rsidRPr="00234417">
        <w:rPr>
          <w:rStyle w:val="TextoNormalCaracter"/>
        </w:rPr>
        <w:t>, f. 3.</w:t>
      </w:r>
    </w:p>
    <w:p w:rsidR="00234417" w:rsidRPr="00234417" w:rsidRDefault="00234417" w:rsidP="00234417">
      <w:pPr>
        <w:pStyle w:val="TextoNormalSangraFrancesa"/>
        <w:rPr>
          <w:rStyle w:val="TextoNormalCaracter"/>
        </w:rPr>
      </w:pPr>
      <w:bookmarkStart w:id="1824" w:name="DESCRIPTORALFABETICO473"/>
      <w:r w:rsidRPr="00234417">
        <w:rPr>
          <w:rStyle w:val="TextoNormalNegritaCaracter"/>
        </w:rPr>
        <w:t>Licencias municipales para la edificación y uso del suelo</w:t>
      </w:r>
      <w:bookmarkEnd w:id="1824"/>
      <w:r w:rsidRPr="00234417">
        <w:rPr>
          <w:rStyle w:val="TextoNormalCaracter"/>
        </w:rPr>
        <w:t xml:space="preserve">, Sentencia </w:t>
      </w:r>
      <w:hyperlink w:anchor="SENTENCIA_2013_104" w:history="1">
        <w:r w:rsidRPr="00234417">
          <w:rPr>
            <w:rStyle w:val="TextoNormalCaracter"/>
          </w:rPr>
          <w:t>104/2013</w:t>
        </w:r>
      </w:hyperlink>
      <w:r w:rsidRPr="00234417">
        <w:rPr>
          <w:rStyle w:val="TextoNormalCaracter"/>
        </w:rPr>
        <w:t>, f. 6.</w:t>
      </w:r>
    </w:p>
    <w:p w:rsidR="00234417" w:rsidRPr="00234417" w:rsidRDefault="00234417" w:rsidP="00234417">
      <w:pPr>
        <w:pStyle w:val="TextoNormalSangraFrancesa"/>
        <w:rPr>
          <w:rStyle w:val="TextoNormalCaracter"/>
        </w:rPr>
      </w:pPr>
      <w:bookmarkStart w:id="1825" w:name="DESCRIPTORALFABETICO472"/>
      <w:r w:rsidRPr="00234417">
        <w:rPr>
          <w:rStyle w:val="TextoNormalNegritaCaracter"/>
        </w:rPr>
        <w:t>Licencias urbanísticas</w:t>
      </w:r>
      <w:bookmarkEnd w:id="1825"/>
      <w:r w:rsidRPr="00234417">
        <w:rPr>
          <w:rStyle w:val="TextoNormalCaracter"/>
        </w:rPr>
        <w:t xml:space="preserve">, Sentencia </w:t>
      </w:r>
      <w:hyperlink w:anchor="SENTENCIA_2013_129" w:history="1">
        <w:r w:rsidRPr="00234417">
          <w:rPr>
            <w:rStyle w:val="TextoNormalCaracter"/>
          </w:rPr>
          <w:t>129/2013</w:t>
        </w:r>
      </w:hyperlink>
      <w:r w:rsidRPr="00234417">
        <w:rPr>
          <w:rStyle w:val="TextoNormalCaracter"/>
        </w:rPr>
        <w:t>, ff. 8, 9.</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9" w:history="1">
        <w:r w:rsidRPr="00234417">
          <w:rPr>
            <w:rStyle w:val="TextoNormalCaracter"/>
          </w:rPr>
          <w:t>9/2013</w:t>
        </w:r>
      </w:hyperlink>
      <w:r w:rsidRPr="00234417">
        <w:rPr>
          <w:rStyle w:val="TextoNormalCaracter"/>
        </w:rPr>
        <w:t>, ff. 3, 5.</w:t>
      </w:r>
    </w:p>
    <w:p w:rsidR="00234417" w:rsidRPr="00234417" w:rsidRDefault="00234417" w:rsidP="00234417">
      <w:pPr>
        <w:pStyle w:val="TextoNormalSangraFrancesa"/>
        <w:rPr>
          <w:rStyle w:val="TextoNormalCaracter"/>
        </w:rPr>
      </w:pPr>
      <w:bookmarkStart w:id="1826" w:name="DESCRIPTORALFABETICO207"/>
      <w:r w:rsidRPr="00234417">
        <w:rPr>
          <w:rStyle w:val="TextoNormalNegritaCaracter"/>
        </w:rPr>
        <w:t>Limitación de derechos fundamentales</w:t>
      </w:r>
      <w:bookmarkEnd w:id="1826"/>
      <w:r w:rsidRPr="00234417">
        <w:rPr>
          <w:rStyle w:val="TextoNormalCaracter"/>
        </w:rPr>
        <w:t xml:space="preserve">, Sentencia </w:t>
      </w:r>
      <w:hyperlink w:anchor="SENTENCIA_2013_91" w:history="1">
        <w:r w:rsidRPr="00234417">
          <w:rPr>
            <w:rStyle w:val="TextoNormalCaracter"/>
          </w:rPr>
          <w:t>91/2013</w:t>
        </w:r>
      </w:hyperlink>
      <w:r w:rsidRPr="00234417">
        <w:rPr>
          <w:rStyle w:val="TextoNormalCaracter"/>
        </w:rPr>
        <w:t>, f. 4.</w:t>
      </w:r>
    </w:p>
    <w:p w:rsidR="00234417" w:rsidRPr="00234417" w:rsidRDefault="00234417" w:rsidP="00234417">
      <w:pPr>
        <w:pStyle w:val="TextoNormalSangraFrancesa"/>
        <w:rPr>
          <w:rStyle w:val="TextoNormalCaracter"/>
        </w:rPr>
      </w:pPr>
      <w:bookmarkStart w:id="1827" w:name="DESCRIPTORALFABETICO786"/>
      <w:r w:rsidRPr="00234417">
        <w:rPr>
          <w:rStyle w:val="TextoNormalNegritaCaracter"/>
        </w:rPr>
        <w:t>Limitaciones al uso de vehículos a motor</w:t>
      </w:r>
      <w:bookmarkEnd w:id="1827"/>
      <w:r w:rsidRPr="00234417">
        <w:rPr>
          <w:rStyle w:val="TextoNormalCaracter"/>
        </w:rPr>
        <w:t xml:space="preserve">, Sentencias </w:t>
      </w:r>
      <w:hyperlink w:anchor="SENTENCIA_2013_84" w:history="1">
        <w:r w:rsidRPr="00234417">
          <w:rPr>
            <w:rStyle w:val="TextoNormalCaracter"/>
          </w:rPr>
          <w:t>84/2013</w:t>
        </w:r>
      </w:hyperlink>
      <w:r w:rsidRPr="00234417">
        <w:rPr>
          <w:rStyle w:val="TextoNormalCaracter"/>
        </w:rPr>
        <w:t xml:space="preserve">, f. 5; </w:t>
      </w:r>
      <w:hyperlink w:anchor="SENTENCIA_2013_97" w:history="1">
        <w:r w:rsidRPr="00234417">
          <w:rPr>
            <w:rStyle w:val="TextoNormalCaracter"/>
          </w:rPr>
          <w:t>97/2013</w:t>
        </w:r>
      </w:hyperlink>
      <w:r w:rsidRPr="00234417">
        <w:rPr>
          <w:rStyle w:val="TextoNormalCaracter"/>
        </w:rPr>
        <w:t>, f. 5.</w:t>
      </w:r>
    </w:p>
    <w:p w:rsidR="00234417" w:rsidRPr="00234417" w:rsidRDefault="00234417" w:rsidP="00234417">
      <w:pPr>
        <w:pStyle w:val="TextoNormalSangraFrancesa"/>
        <w:rPr>
          <w:rStyle w:val="TextoNormalNegritaCaracter"/>
        </w:rPr>
      </w:pPr>
      <w:r w:rsidRPr="00234417">
        <w:rPr>
          <w:rStyle w:val="TextoNormalCursivaCaracter"/>
        </w:rPr>
        <w:t>Límite de derechos fundamentales</w:t>
      </w:r>
      <w:r>
        <w:t xml:space="preserve"> véase </w:t>
      </w:r>
      <w:hyperlink w:anchor="DESCRIPTORALFABETICO207" w:history="1">
        <w:r w:rsidRPr="00234417">
          <w:rPr>
            <w:rStyle w:val="TextoNormalNegritaCaracter"/>
          </w:rPr>
          <w:t>Limitación de derechos fundamentales</w:t>
        </w:r>
      </w:hyperlink>
    </w:p>
    <w:p w:rsidR="00234417" w:rsidRPr="00234417" w:rsidRDefault="00234417" w:rsidP="00234417">
      <w:pPr>
        <w:pStyle w:val="TextoNormalSangraFrancesa"/>
        <w:rPr>
          <w:rStyle w:val="TextoNormalCaracter"/>
        </w:rPr>
      </w:pPr>
      <w:bookmarkStart w:id="1828" w:name="DESCRIPTORALFABETICO653"/>
      <w:r w:rsidRPr="00234417">
        <w:rPr>
          <w:rStyle w:val="TextoNormalNegritaCaracter"/>
        </w:rPr>
        <w:t>Límite material de los decretos-leyes</w:t>
      </w:r>
      <w:bookmarkEnd w:id="1828"/>
      <w:r w:rsidRPr="00234417">
        <w:rPr>
          <w:rStyle w:val="TextoNormalCaracter"/>
        </w:rPr>
        <w:t xml:space="preserve">, Sentencias </w:t>
      </w:r>
      <w:hyperlink w:anchor="SENTENCIA_2013_39" w:history="1">
        <w:r w:rsidRPr="00234417">
          <w:rPr>
            <w:rStyle w:val="TextoNormalCaracter"/>
          </w:rPr>
          <w:t>39/2013</w:t>
        </w:r>
      </w:hyperlink>
      <w:r w:rsidRPr="00234417">
        <w:rPr>
          <w:rStyle w:val="TextoNormalCaracter"/>
        </w:rPr>
        <w:t xml:space="preserve">, f. 5; </w:t>
      </w:r>
      <w:hyperlink w:anchor="SENTENCIA_2013_51" w:history="1">
        <w:r w:rsidRPr="00234417">
          <w:rPr>
            <w:rStyle w:val="TextoNormalCaracter"/>
          </w:rPr>
          <w:t>51/2013</w:t>
        </w:r>
      </w:hyperlink>
      <w:r w:rsidRPr="00234417">
        <w:rPr>
          <w:rStyle w:val="TextoNormalCaracter"/>
        </w:rPr>
        <w:t xml:space="preserve">, f. 8; </w:t>
      </w:r>
      <w:hyperlink w:anchor="SENTENCIA_2013_64" w:history="1">
        <w:r w:rsidRPr="00234417">
          <w:rPr>
            <w:rStyle w:val="TextoNormalCaracter"/>
          </w:rPr>
          <w:t>64/2013</w:t>
        </w:r>
      </w:hyperlink>
      <w:r w:rsidRPr="00234417">
        <w:rPr>
          <w:rStyle w:val="TextoNormalCaracter"/>
        </w:rPr>
        <w:t>, f. 3.</w:t>
      </w:r>
    </w:p>
    <w:p w:rsidR="00234417" w:rsidRPr="00234417" w:rsidRDefault="00234417" w:rsidP="00234417">
      <w:pPr>
        <w:pStyle w:val="TextoNormalSangraFrancesa"/>
        <w:rPr>
          <w:rStyle w:val="TextoNormalCaracter"/>
        </w:rPr>
      </w:pPr>
      <w:bookmarkStart w:id="1829" w:name="DESCRIPTORALFABETICO929"/>
      <w:r w:rsidRPr="00234417">
        <w:rPr>
          <w:rStyle w:val="TextoNormalNegritaCaracter"/>
        </w:rPr>
        <w:t>Límite máximo de cumplimiento de condenas acumuladas</w:t>
      </w:r>
      <w:bookmarkEnd w:id="1829"/>
      <w:r w:rsidRPr="00234417">
        <w:rPr>
          <w:rStyle w:val="TextoNormalCaracter"/>
        </w:rPr>
        <w:t xml:space="preserve">, Sentencias </w:t>
      </w:r>
      <w:hyperlink w:anchor="SENTENCIA_2013_28" w:history="1">
        <w:r w:rsidRPr="00234417">
          <w:rPr>
            <w:rStyle w:val="TextoNormalCaracter"/>
          </w:rPr>
          <w:t>28/2013</w:t>
        </w:r>
      </w:hyperlink>
      <w:r w:rsidRPr="00234417">
        <w:rPr>
          <w:rStyle w:val="TextoNormalCaracter"/>
        </w:rPr>
        <w:t xml:space="preserve">, f. 3; </w:t>
      </w:r>
      <w:hyperlink w:anchor="SENTENCIA_2013_54" w:history="1">
        <w:r w:rsidRPr="00234417">
          <w:rPr>
            <w:rStyle w:val="TextoNormalCaracter"/>
          </w:rPr>
          <w:t>54/2013</w:t>
        </w:r>
      </w:hyperlink>
      <w:r w:rsidRPr="00234417">
        <w:rPr>
          <w:rStyle w:val="TextoNormalCaracter"/>
        </w:rPr>
        <w:t>, f. 3.</w:t>
      </w:r>
    </w:p>
    <w:p w:rsidR="00234417" w:rsidRPr="00234417" w:rsidRDefault="00234417" w:rsidP="00234417">
      <w:pPr>
        <w:pStyle w:val="TextoNormalSangraFrancesa"/>
        <w:rPr>
          <w:rStyle w:val="TextoNormalCaracter"/>
        </w:rPr>
      </w:pPr>
      <w:bookmarkStart w:id="1830" w:name="DESCRIPTORALFABETICO112"/>
      <w:r w:rsidRPr="00234417">
        <w:rPr>
          <w:rStyle w:val="TextoNormalNegritaCaracter"/>
        </w:rPr>
        <w:t>Límites a la potestad tributaria autonómica</w:t>
      </w:r>
      <w:bookmarkEnd w:id="1830"/>
      <w:r w:rsidRPr="00234417">
        <w:rPr>
          <w:rStyle w:val="TextoNormalCaracter"/>
        </w:rPr>
        <w:t xml:space="preserve">, Auto </w:t>
      </w:r>
      <w:hyperlink w:anchor="AUTO_2013_123" w:history="1">
        <w:r w:rsidRPr="00234417">
          <w:rPr>
            <w:rStyle w:val="TextoNormalCaracter"/>
          </w:rPr>
          <w:t>123/2013</w:t>
        </w:r>
      </w:hyperlink>
      <w:r w:rsidRPr="00234417">
        <w:rPr>
          <w:rStyle w:val="TextoNormalCaracter"/>
        </w:rPr>
        <w:t>, ff. 1, 6.</w:t>
      </w:r>
    </w:p>
    <w:p w:rsidR="00234417" w:rsidRPr="00234417" w:rsidRDefault="00234417" w:rsidP="00234417">
      <w:pPr>
        <w:pStyle w:val="TextoNormalSangraFrancesa"/>
        <w:rPr>
          <w:rStyle w:val="TextoNormalCaracter"/>
        </w:rPr>
      </w:pPr>
      <w:bookmarkStart w:id="1831" w:name="DESCRIPTORALFABETICO156"/>
      <w:r w:rsidRPr="00234417">
        <w:rPr>
          <w:rStyle w:val="TextoNormalNegritaCaracter"/>
        </w:rPr>
        <w:t>Límites a la protección de datos personales</w:t>
      </w:r>
      <w:bookmarkEnd w:id="1831"/>
      <w:r w:rsidRPr="00234417">
        <w:rPr>
          <w:rStyle w:val="TextoNormalCaracter"/>
        </w:rPr>
        <w:t xml:space="preserve">, Sentencia </w:t>
      </w:r>
      <w:hyperlink w:anchor="SENTENCIA_2013_17" w:history="1">
        <w:r w:rsidRPr="00234417">
          <w:rPr>
            <w:rStyle w:val="TextoNormalCaracter"/>
          </w:rPr>
          <w:t>17/2013</w:t>
        </w:r>
      </w:hyperlink>
      <w:r w:rsidRPr="00234417">
        <w:rPr>
          <w:rStyle w:val="TextoNormalCaracter"/>
        </w:rPr>
        <w:t>, f. 5.</w:t>
      </w:r>
    </w:p>
    <w:p w:rsidR="00234417" w:rsidRPr="00234417" w:rsidRDefault="00234417" w:rsidP="00234417">
      <w:pPr>
        <w:pStyle w:val="TextoNormalSangraFrancesa"/>
        <w:rPr>
          <w:rStyle w:val="TextoNormalCaracter"/>
        </w:rPr>
      </w:pPr>
      <w:bookmarkStart w:id="1832" w:name="DESCRIPTORALFABETICO15"/>
      <w:r w:rsidRPr="00234417">
        <w:rPr>
          <w:rStyle w:val="TextoNormalNegritaCaracter"/>
        </w:rPr>
        <w:t>Límites a las competencias de las Comunidades Autónomas</w:t>
      </w:r>
      <w:bookmarkEnd w:id="1832"/>
      <w:r w:rsidRPr="00234417">
        <w:rPr>
          <w:rStyle w:val="TextoNormalCaracter"/>
        </w:rPr>
        <w:t xml:space="preserve">, Sentencias </w:t>
      </w:r>
      <w:hyperlink w:anchor="SENTENCIA_2013_84" w:history="1">
        <w:r w:rsidRPr="00234417">
          <w:rPr>
            <w:rStyle w:val="TextoNormalCaracter"/>
          </w:rPr>
          <w:t>84/2013</w:t>
        </w:r>
      </w:hyperlink>
      <w:r w:rsidRPr="00234417">
        <w:rPr>
          <w:rStyle w:val="TextoNormalCaracter"/>
        </w:rPr>
        <w:t xml:space="preserve">, ff. 5, 6; </w:t>
      </w:r>
      <w:hyperlink w:anchor="SENTENCIA_2013_104" w:history="1">
        <w:r w:rsidRPr="00234417">
          <w:rPr>
            <w:rStyle w:val="TextoNormalCaracter"/>
          </w:rPr>
          <w:t>104/2013</w:t>
        </w:r>
      </w:hyperlink>
      <w:r w:rsidRPr="00234417">
        <w:rPr>
          <w:rStyle w:val="TextoNormalCaracter"/>
        </w:rPr>
        <w:t>, f. 5.</w:t>
      </w:r>
    </w:p>
    <w:p w:rsidR="00234417" w:rsidRPr="00234417" w:rsidRDefault="00234417" w:rsidP="00234417">
      <w:pPr>
        <w:pStyle w:val="TextoNormalSangraFrancesa"/>
        <w:rPr>
          <w:rStyle w:val="TextoNormalCaracter"/>
        </w:rPr>
      </w:pPr>
      <w:bookmarkStart w:id="1833" w:name="DESCRIPTORALFABETICO192"/>
      <w:r w:rsidRPr="00234417">
        <w:rPr>
          <w:rStyle w:val="TextoNormalNegritaCaracter"/>
        </w:rPr>
        <w:t>Límites a las garantías procesales del acusado</w:t>
      </w:r>
      <w:bookmarkEnd w:id="1833"/>
      <w:r w:rsidRPr="00234417">
        <w:rPr>
          <w:rStyle w:val="TextoNormalCaracter"/>
        </w:rPr>
        <w:t xml:space="preserve">, Sentencias </w:t>
      </w:r>
      <w:hyperlink w:anchor="SENTENCIA_2013_57" w:history="1">
        <w:r w:rsidRPr="00234417">
          <w:rPr>
            <w:rStyle w:val="TextoNormalCaracter"/>
          </w:rPr>
          <w:t>57/2013</w:t>
        </w:r>
      </w:hyperlink>
      <w:r w:rsidRPr="00234417">
        <w:rPr>
          <w:rStyle w:val="TextoNormalCaracter"/>
        </w:rPr>
        <w:t xml:space="preserve">, ff. 3, 4; </w:t>
      </w:r>
      <w:hyperlink w:anchor="SENTENCIA_2013_75" w:history="1">
        <w:r w:rsidRPr="00234417">
          <w:rPr>
            <w:rStyle w:val="TextoNormalCaracter"/>
          </w:rPr>
          <w:t>75/2013</w:t>
        </w:r>
      </w:hyperlink>
      <w:r w:rsidRPr="00234417">
        <w:rPr>
          <w:rStyle w:val="TextoNormalCaracter"/>
        </w:rPr>
        <w:t>, f. 4.</w:t>
      </w:r>
    </w:p>
    <w:p w:rsidR="00234417" w:rsidRPr="00234417" w:rsidRDefault="00234417" w:rsidP="00234417">
      <w:pPr>
        <w:pStyle w:val="TextoNormalSangraFrancesa"/>
        <w:rPr>
          <w:rStyle w:val="TextoNormalNegritaCaracter"/>
        </w:rPr>
      </w:pPr>
      <w:r w:rsidRPr="00234417">
        <w:rPr>
          <w:rStyle w:val="TextoNormalCursivaCaracter"/>
        </w:rPr>
        <w:t>Límites en el ejercicio de derechos fundamentales</w:t>
      </w:r>
      <w:r>
        <w:t xml:space="preserve"> véase </w:t>
      </w:r>
      <w:hyperlink w:anchor="DESCRIPTORALFABETICO207" w:history="1">
        <w:r w:rsidRPr="00234417">
          <w:rPr>
            <w:rStyle w:val="TextoNormalNegritaCaracter"/>
          </w:rPr>
          <w:t>Limitación de derechos fundamentales</w:t>
        </w:r>
      </w:hyperlink>
    </w:p>
    <w:p w:rsidR="00234417" w:rsidRPr="00234417" w:rsidRDefault="00234417" w:rsidP="00234417">
      <w:pPr>
        <w:pStyle w:val="TextoNormalSangraFrancesa"/>
        <w:rPr>
          <w:rStyle w:val="TextoNormalCaracter"/>
        </w:rPr>
      </w:pPr>
      <w:bookmarkStart w:id="1834" w:name="DESCRIPTORALFABETICO680"/>
      <w:r w:rsidRPr="00234417">
        <w:rPr>
          <w:rStyle w:val="TextoNormalNegritaCaracter"/>
        </w:rPr>
        <w:t>Límites materiales de las leyes de presupuestos</w:t>
      </w:r>
      <w:bookmarkEnd w:id="1834"/>
      <w:r w:rsidRPr="00234417">
        <w:rPr>
          <w:rStyle w:val="TextoNormalCaracter"/>
        </w:rPr>
        <w:t xml:space="preserve">, Sentencias </w:t>
      </w:r>
      <w:hyperlink w:anchor="SENTENCIA_2013_86" w:history="1">
        <w:r w:rsidRPr="00234417">
          <w:rPr>
            <w:rStyle w:val="TextoNormalCaracter"/>
          </w:rPr>
          <w:t>86/2013</w:t>
        </w:r>
      </w:hyperlink>
      <w:r w:rsidRPr="00234417">
        <w:rPr>
          <w:rStyle w:val="TextoNormalCaracter"/>
        </w:rPr>
        <w:t xml:space="preserve">, f. 3; </w:t>
      </w:r>
      <w:hyperlink w:anchor="SENTENCIA_2013_132" w:history="1">
        <w:r w:rsidRPr="00234417">
          <w:rPr>
            <w:rStyle w:val="TextoNormalCaracter"/>
          </w:rPr>
          <w:t>132/2013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835" w:name="DESCRIPTORALFABETICO930"/>
      <w:r w:rsidRPr="00234417">
        <w:rPr>
          <w:rStyle w:val="TextoNormalNegritaCaracter"/>
        </w:rPr>
        <w:t>Liquidación de condena</w:t>
      </w:r>
      <w:bookmarkEnd w:id="1835"/>
      <w:r w:rsidRPr="00234417">
        <w:rPr>
          <w:rStyle w:val="TextoNormalCaracter"/>
        </w:rPr>
        <w:t xml:space="preserve">, Sentencias </w:t>
      </w:r>
      <w:hyperlink w:anchor="SENTENCIA_2013_28" w:history="1">
        <w:r w:rsidRPr="00234417">
          <w:rPr>
            <w:rStyle w:val="TextoNormalCaracter"/>
          </w:rPr>
          <w:t>28/2013</w:t>
        </w:r>
      </w:hyperlink>
      <w:r w:rsidRPr="00234417">
        <w:rPr>
          <w:rStyle w:val="TextoNormalCaracter"/>
        </w:rPr>
        <w:t xml:space="preserve">, f. 3; </w:t>
      </w:r>
      <w:hyperlink w:anchor="SENTENCIA_2013_54" w:history="1">
        <w:r w:rsidRPr="00234417">
          <w:rPr>
            <w:rStyle w:val="TextoNormalCaracter"/>
          </w:rPr>
          <w:t>54/2013</w:t>
        </w:r>
      </w:hyperlink>
      <w:r w:rsidRPr="00234417">
        <w:rPr>
          <w:rStyle w:val="TextoNormalCaracter"/>
        </w:rPr>
        <w:t>, f. 3.</w:t>
      </w:r>
    </w:p>
    <w:p w:rsidR="00234417" w:rsidRPr="00234417" w:rsidRDefault="00234417" w:rsidP="00234417">
      <w:pPr>
        <w:pStyle w:val="TextoNormalSangraFrancesa"/>
        <w:rPr>
          <w:rStyle w:val="TextoNormalCaracter"/>
        </w:rPr>
      </w:pPr>
      <w:bookmarkStart w:id="1836" w:name="DESCRIPTORALFABETICO820"/>
      <w:r w:rsidRPr="00234417">
        <w:rPr>
          <w:rStyle w:val="TextoNormalNegritaCaracter"/>
        </w:rPr>
        <w:t>Litispendencia</w:t>
      </w:r>
      <w:bookmarkEnd w:id="1836"/>
      <w:r w:rsidRPr="00234417">
        <w:rPr>
          <w:rStyle w:val="TextoNormalCaracter"/>
        </w:rPr>
        <w:t xml:space="preserve">, Sentencia </w:t>
      </w:r>
      <w:hyperlink w:anchor="SENTENCIA_2013_106" w:history="1">
        <w:r w:rsidRPr="00234417">
          <w:rPr>
            <w:rStyle w:val="TextoNormalCaracter"/>
          </w:rPr>
          <w:t>106/2013</w:t>
        </w:r>
      </w:hyperlink>
      <w:r w:rsidRPr="00234417">
        <w:rPr>
          <w:rStyle w:val="TextoNormalCaracter"/>
        </w:rPr>
        <w:t>, ff. 4, 5.</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lastRenderedPageBreak/>
        <w:t>M</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1837" w:name="DESCRIPTORALFABETICO460"/>
      <w:r w:rsidRPr="00234417">
        <w:rPr>
          <w:rStyle w:val="TextoNormalNegritaCaracter"/>
        </w:rPr>
        <w:t>Mancomunidades municipales</w:t>
      </w:r>
      <w:bookmarkEnd w:id="1837"/>
      <w:r w:rsidRPr="00234417">
        <w:rPr>
          <w:rStyle w:val="TextoNormalCaracter"/>
        </w:rPr>
        <w:t xml:space="preserve">, Sentencia </w:t>
      </w:r>
      <w:hyperlink w:anchor="SENTENCIA_2013_103" w:history="1">
        <w:r w:rsidRPr="00234417">
          <w:rPr>
            <w:rStyle w:val="TextoNormalCaracter"/>
          </w:rPr>
          <w:t>103/2013</w:t>
        </w:r>
      </w:hyperlink>
      <w:r w:rsidRPr="00234417">
        <w:rPr>
          <w:rStyle w:val="TextoNormalCaracter"/>
        </w:rPr>
        <w:t>, f. 5 a).</w:t>
      </w:r>
    </w:p>
    <w:p w:rsidR="00234417" w:rsidRPr="00234417" w:rsidRDefault="00234417" w:rsidP="00234417">
      <w:pPr>
        <w:pStyle w:val="TextoNormalSangraFrancesa"/>
        <w:rPr>
          <w:rStyle w:val="TextoNormalCaracter"/>
        </w:rPr>
      </w:pPr>
      <w:bookmarkStart w:id="1838" w:name="DESCRIPTORALFABETICO240"/>
      <w:r w:rsidRPr="00234417">
        <w:rPr>
          <w:rStyle w:val="TextoNormalNegritaCaracter"/>
        </w:rPr>
        <w:t>Mantenimiento de la suspensión de disposiciones de las Comunidades Autónomas</w:t>
      </w:r>
      <w:bookmarkEnd w:id="1838"/>
      <w:r w:rsidRPr="00234417">
        <w:rPr>
          <w:rStyle w:val="TextoNormalCaracter"/>
        </w:rPr>
        <w:t xml:space="preserve">, Autos </w:t>
      </w:r>
      <w:hyperlink w:anchor="AUTO_2013_86" w:history="1">
        <w:r w:rsidRPr="00234417">
          <w:rPr>
            <w:rStyle w:val="TextoNormalCaracter"/>
          </w:rPr>
          <w:t>86/2013</w:t>
        </w:r>
      </w:hyperlink>
      <w:r w:rsidRPr="00234417">
        <w:rPr>
          <w:rStyle w:val="TextoNormalCaracter"/>
        </w:rPr>
        <w:t xml:space="preserve">, ff. 2 a 6; </w:t>
      </w:r>
      <w:hyperlink w:anchor="AUTO_2013_122" w:history="1">
        <w:r w:rsidRPr="00234417">
          <w:rPr>
            <w:rStyle w:val="TextoNormalCaracter"/>
          </w:rPr>
          <w:t>122/2013</w:t>
        </w:r>
      </w:hyperlink>
      <w:r w:rsidRPr="00234417">
        <w:rPr>
          <w:rStyle w:val="TextoNormalCaracter"/>
        </w:rPr>
        <w:t xml:space="preserve">, f. 5; </w:t>
      </w:r>
      <w:hyperlink w:anchor="AUTO_2013_124" w:history="1">
        <w:r w:rsidRPr="00234417">
          <w:rPr>
            <w:rStyle w:val="TextoNormalCaracter"/>
          </w:rPr>
          <w:t>124/2013</w:t>
        </w:r>
      </w:hyperlink>
      <w:r w:rsidRPr="00234417">
        <w:rPr>
          <w:rStyle w:val="TextoNormalCaracter"/>
        </w:rPr>
        <w:t xml:space="preserve">, f. 4; </w:t>
      </w:r>
      <w:hyperlink w:anchor="AUTO_2013_142" w:history="1">
        <w:r w:rsidRPr="00234417">
          <w:rPr>
            <w:rStyle w:val="TextoNormalCaracter"/>
          </w:rPr>
          <w:t>142/2013</w:t>
        </w:r>
      </w:hyperlink>
      <w:r w:rsidRPr="00234417">
        <w:rPr>
          <w:rStyle w:val="TextoNormalCaracter"/>
        </w:rPr>
        <w:t xml:space="preserve">, ff. 1 a 3; </w:t>
      </w:r>
      <w:hyperlink w:anchor="AUTO_2013_146" w:history="1">
        <w:r w:rsidRPr="00234417">
          <w:rPr>
            <w:rStyle w:val="TextoNormalCaracter"/>
          </w:rPr>
          <w:t>146/2013</w:t>
        </w:r>
      </w:hyperlink>
      <w:r w:rsidRPr="00234417">
        <w:rPr>
          <w:rStyle w:val="TextoNormalCaracter"/>
        </w:rPr>
        <w:t>, ff. 1 a 4.</w:t>
      </w:r>
    </w:p>
    <w:p w:rsidR="00234417" w:rsidRPr="00234417" w:rsidRDefault="00234417" w:rsidP="00234417">
      <w:pPr>
        <w:pStyle w:val="TextoNormalSangraFrancesa"/>
        <w:rPr>
          <w:rStyle w:val="TextoNormalCaracter"/>
        </w:rPr>
      </w:pPr>
      <w:bookmarkStart w:id="1839" w:name="DESCRIPTORALFABETICO779"/>
      <w:r w:rsidRPr="00234417">
        <w:rPr>
          <w:rStyle w:val="TextoNormalNegritaCaracter"/>
        </w:rPr>
        <w:t>Mantenimiento de servicios públicos esenciales</w:t>
      </w:r>
      <w:bookmarkEnd w:id="1839"/>
      <w:r w:rsidRPr="00234417">
        <w:rPr>
          <w:rStyle w:val="TextoNormalCaracter"/>
        </w:rPr>
        <w:t xml:space="preserve">, Sentencia </w:t>
      </w:r>
      <w:hyperlink w:anchor="SENTENCIA_2013_124" w:history="1">
        <w:r w:rsidRPr="00234417">
          <w:rPr>
            <w:rStyle w:val="TextoNormalCaracter"/>
          </w:rPr>
          <w:t>124/2013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840" w:name="DESCRIPTORALFABETICO464"/>
      <w:r w:rsidRPr="00234417">
        <w:rPr>
          <w:rStyle w:val="TextoNormalNegritaCaracter"/>
        </w:rPr>
        <w:t>Mar territorial</w:t>
      </w:r>
      <w:bookmarkEnd w:id="1840"/>
      <w:r w:rsidRPr="00234417">
        <w:rPr>
          <w:rStyle w:val="TextoNormalCaracter"/>
        </w:rPr>
        <w:t xml:space="preserve">, Sentencias </w:t>
      </w:r>
      <w:hyperlink w:anchor="SENTENCIA_2013_8" w:history="1">
        <w:r w:rsidRPr="00234417">
          <w:rPr>
            <w:rStyle w:val="TextoNormalCaracter"/>
          </w:rPr>
          <w:t>8/2013</w:t>
        </w:r>
      </w:hyperlink>
      <w:r w:rsidRPr="00234417">
        <w:rPr>
          <w:rStyle w:val="TextoNormalCaracter"/>
        </w:rPr>
        <w:t xml:space="preserve">, ff. 6, 7; </w:t>
      </w:r>
      <w:hyperlink w:anchor="SENTENCIA_2013_87" w:history="1">
        <w:r w:rsidRPr="00234417">
          <w:rPr>
            <w:rStyle w:val="TextoNormalCaracter"/>
          </w:rPr>
          <w:t>87/2013</w:t>
        </w:r>
      </w:hyperlink>
      <w:r w:rsidRPr="00234417">
        <w:rPr>
          <w:rStyle w:val="TextoNormalCaracter"/>
        </w:rPr>
        <w:t xml:space="preserve">, ff. 1, 2, 3, 4, 5, 6; </w:t>
      </w:r>
      <w:hyperlink w:anchor="SENTENCIA_2013_99" w:history="1">
        <w:r w:rsidRPr="00234417">
          <w:rPr>
            <w:rStyle w:val="TextoNormalCaracter"/>
          </w:rPr>
          <w:t>99/2013</w:t>
        </w:r>
      </w:hyperlink>
      <w:r w:rsidRPr="00234417">
        <w:rPr>
          <w:rStyle w:val="TextoNormalCaracter"/>
        </w:rPr>
        <w:t>, ff. 4, 5, 6, 7, 8, 9.</w:t>
      </w:r>
    </w:p>
    <w:p w:rsidR="00234417" w:rsidRPr="00234417" w:rsidRDefault="00234417" w:rsidP="00234417">
      <w:pPr>
        <w:pStyle w:val="TextoNormalSangraFrancesa"/>
        <w:rPr>
          <w:rStyle w:val="TextoNormalCaracter"/>
        </w:rPr>
      </w:pPr>
      <w:bookmarkStart w:id="1841" w:name="DESCRIPTORALFABETICO108"/>
      <w:r w:rsidRPr="00234417">
        <w:rPr>
          <w:rStyle w:val="TextoNormalNegritaCaracter"/>
        </w:rPr>
        <w:t>Materia imponible</w:t>
      </w:r>
      <w:bookmarkEnd w:id="1841"/>
      <w:r w:rsidRPr="00234417">
        <w:rPr>
          <w:rStyle w:val="TextoNormalCaracter"/>
        </w:rPr>
        <w:t xml:space="preserve">, Sentencia </w:t>
      </w:r>
      <w:hyperlink w:anchor="SENTENCIA_2013_60" w:history="1">
        <w:r w:rsidRPr="00234417">
          <w:rPr>
            <w:rStyle w:val="TextoNormalCaracter"/>
          </w:rPr>
          <w:t>60/2013</w:t>
        </w:r>
      </w:hyperlink>
      <w:r w:rsidRPr="00234417">
        <w:rPr>
          <w:rStyle w:val="TextoNormalCaracter"/>
        </w:rPr>
        <w:t>, ff. 2 a 7.</w:t>
      </w:r>
    </w:p>
    <w:p w:rsidR="00234417" w:rsidRPr="00234417" w:rsidRDefault="00234417" w:rsidP="00234417">
      <w:pPr>
        <w:pStyle w:val="TextoNormalSangraFrancesa"/>
        <w:rPr>
          <w:rStyle w:val="TextoNormalCaracter"/>
        </w:rPr>
      </w:pPr>
      <w:bookmarkStart w:id="1842" w:name="DESCRIPTORALFABETICO563"/>
      <w:r w:rsidRPr="00234417">
        <w:rPr>
          <w:rStyle w:val="TextoNormalNegritaCaracter"/>
        </w:rPr>
        <w:t>Matrimonio</w:t>
      </w:r>
      <w:bookmarkEnd w:id="1842"/>
      <w:r w:rsidRPr="00234417">
        <w:rPr>
          <w:rStyle w:val="TextoNormalCaracter"/>
        </w:rPr>
        <w:t xml:space="preserve">, Sentencia </w:t>
      </w:r>
      <w:hyperlink w:anchor="SENTENCIA_2013_93" w:history="1">
        <w:r w:rsidRPr="00234417">
          <w:rPr>
            <w:rStyle w:val="TextoNormalCaracter"/>
          </w:rPr>
          <w:t>93/2013</w:t>
        </w:r>
      </w:hyperlink>
      <w:r w:rsidRPr="00234417">
        <w:rPr>
          <w:rStyle w:val="TextoNormalCaracter"/>
        </w:rPr>
        <w:t>, ff. 5, 7, 11.</w:t>
      </w:r>
    </w:p>
    <w:p w:rsidR="00234417" w:rsidRPr="00234417" w:rsidRDefault="00234417" w:rsidP="00234417">
      <w:pPr>
        <w:pStyle w:val="TextoNormalSangraFrancesa"/>
        <w:rPr>
          <w:rStyle w:val="TextoNormalCaracter"/>
        </w:rPr>
      </w:pPr>
      <w:bookmarkStart w:id="1843" w:name="DESCRIPTORALFABETICO603"/>
      <w:r w:rsidRPr="00234417">
        <w:rPr>
          <w:rStyle w:val="TextoNormalNegritaCaracter"/>
        </w:rPr>
        <w:t>Mecanismos de prevención de la tortura</w:t>
      </w:r>
      <w:bookmarkEnd w:id="1843"/>
      <w:r w:rsidRPr="00234417">
        <w:rPr>
          <w:rStyle w:val="TextoNormalCaracter"/>
        </w:rPr>
        <w:t xml:space="preserve">, Sentencia </w:t>
      </w:r>
      <w:hyperlink w:anchor="SENTENCIA_2013_12" w:history="1">
        <w:r w:rsidRPr="00234417">
          <w:rPr>
            <w:rStyle w:val="TextoNormalCaracter"/>
          </w:rPr>
          <w:t>12/2013</w:t>
        </w:r>
      </w:hyperlink>
      <w:r w:rsidRPr="00234417">
        <w:rPr>
          <w:rStyle w:val="TextoNormalCaracter"/>
        </w:rPr>
        <w:t>, f. 2.</w:t>
      </w:r>
    </w:p>
    <w:p w:rsidR="00234417" w:rsidRPr="00234417" w:rsidRDefault="00234417" w:rsidP="00234417">
      <w:pPr>
        <w:pStyle w:val="TextoNormalSangraFrancesa"/>
        <w:rPr>
          <w:rStyle w:val="TextoNormalCaracter"/>
        </w:rPr>
      </w:pPr>
      <w:bookmarkStart w:id="1844" w:name="DESCRIPTORALFABETICO756"/>
      <w:r w:rsidRPr="00234417">
        <w:rPr>
          <w:rStyle w:val="TextoNormalNegritaCaracter"/>
        </w:rPr>
        <w:t>Medicamentos</w:t>
      </w:r>
      <w:bookmarkEnd w:id="1844"/>
      <w:r w:rsidRPr="00234417">
        <w:rPr>
          <w:rStyle w:val="TextoNormalCaracter"/>
        </w:rPr>
        <w:t xml:space="preserve">, Sentencia </w:t>
      </w:r>
      <w:hyperlink w:anchor="SENTENCIA_2013_137" w:history="1">
        <w:r w:rsidRPr="00234417">
          <w:rPr>
            <w:rStyle w:val="TextoNormalCaracter"/>
          </w:rPr>
          <w:t>137/2013</w:t>
        </w:r>
      </w:hyperlink>
      <w:r w:rsidRPr="00234417">
        <w:rPr>
          <w:rStyle w:val="TextoNormalCaracter"/>
        </w:rPr>
        <w:t>, ff. 3 a 6.</w:t>
      </w:r>
    </w:p>
    <w:p w:rsidR="00234417" w:rsidRPr="00234417" w:rsidRDefault="00234417" w:rsidP="00234417">
      <w:pPr>
        <w:pStyle w:val="TextoNormalSangraFrancesa"/>
        <w:rPr>
          <w:rStyle w:val="TextoNormalNegritaCaracter"/>
        </w:rPr>
      </w:pPr>
      <w:r w:rsidRPr="00234417">
        <w:rPr>
          <w:rStyle w:val="TextoNormalCursivaCaracter"/>
        </w:rPr>
        <w:t>Medidas de reinserción social</w:t>
      </w:r>
      <w:r>
        <w:t xml:space="preserve"> véase </w:t>
      </w:r>
      <w:hyperlink w:anchor="DESCRIPTORALFABETICO710" w:history="1">
        <w:r w:rsidRPr="00234417">
          <w:rPr>
            <w:rStyle w:val="TextoNormalNegritaCaracter"/>
          </w:rPr>
          <w:t>Reinserción social</w:t>
        </w:r>
      </w:hyperlink>
    </w:p>
    <w:p w:rsidR="00234417" w:rsidRPr="00234417" w:rsidRDefault="00234417" w:rsidP="00234417">
      <w:pPr>
        <w:pStyle w:val="TextoNormalSangraFrancesa"/>
        <w:rPr>
          <w:rStyle w:val="TextoNormalCaracter"/>
        </w:rPr>
      </w:pPr>
      <w:bookmarkStart w:id="1845" w:name="DESCRIPTORALFABETICO908"/>
      <w:r w:rsidRPr="00234417">
        <w:rPr>
          <w:rStyle w:val="TextoNormalNegritaCaracter"/>
        </w:rPr>
        <w:t>Medidas de seguridad</w:t>
      </w:r>
      <w:bookmarkEnd w:id="1845"/>
      <w:r w:rsidRPr="00234417">
        <w:rPr>
          <w:rStyle w:val="TextoNormalCaracter"/>
        </w:rPr>
        <w:t xml:space="preserve">, Sentencia </w:t>
      </w:r>
      <w:hyperlink w:anchor="SENTENCIA_2013_17" w:history="1">
        <w:r w:rsidRPr="00234417">
          <w:rPr>
            <w:rStyle w:val="TextoNormalCaracter"/>
          </w:rPr>
          <w:t>17/2013</w:t>
        </w:r>
      </w:hyperlink>
      <w:r w:rsidRPr="00234417">
        <w:rPr>
          <w:rStyle w:val="TextoNormalCaracter"/>
        </w:rPr>
        <w:t>, ff. 13 a 15, VP.</w:t>
      </w:r>
    </w:p>
    <w:p w:rsidR="00234417" w:rsidRPr="00234417" w:rsidRDefault="00234417" w:rsidP="00234417">
      <w:pPr>
        <w:pStyle w:val="TextoNormalSangraFrancesa"/>
        <w:rPr>
          <w:rStyle w:val="TextoNormalNegritaCaracter"/>
        </w:rPr>
      </w:pPr>
      <w:r w:rsidRPr="00234417">
        <w:rPr>
          <w:rStyle w:val="TextoNormalCursivaCaracter"/>
        </w:rPr>
        <w:t>Medidas penitenciarias</w:t>
      </w:r>
      <w:r>
        <w:t xml:space="preserve"> véase </w:t>
      </w:r>
      <w:hyperlink w:anchor="DESCRIPTORALFABETICO737" w:history="1">
        <w:r w:rsidRPr="00234417">
          <w:rPr>
            <w:rStyle w:val="TextoNormalNegritaCaracter"/>
          </w:rPr>
          <w:t>Régimen penitenciario</w:t>
        </w:r>
      </w:hyperlink>
    </w:p>
    <w:p w:rsidR="00234417" w:rsidRPr="00234417" w:rsidRDefault="00234417" w:rsidP="00234417">
      <w:pPr>
        <w:pStyle w:val="TextoNormalSangraFrancesa"/>
        <w:rPr>
          <w:rStyle w:val="TextoNormalCaracter"/>
        </w:rPr>
      </w:pPr>
      <w:bookmarkStart w:id="1846" w:name="DESCRIPTORALFABETICO607"/>
      <w:r w:rsidRPr="00234417">
        <w:rPr>
          <w:rStyle w:val="TextoNormalNegritaCaracter"/>
        </w:rPr>
        <w:t>Medio ambiente</w:t>
      </w:r>
      <w:bookmarkEnd w:id="1846"/>
      <w:r w:rsidRPr="00234417">
        <w:rPr>
          <w:rStyle w:val="TextoNormalCaracter"/>
        </w:rPr>
        <w:t xml:space="preserve">, Sentencias </w:t>
      </w:r>
      <w:hyperlink w:anchor="SENTENCIA_2013_5" w:history="1">
        <w:r w:rsidRPr="00234417">
          <w:rPr>
            <w:rStyle w:val="TextoNormalCaracter"/>
          </w:rPr>
          <w:t>5/2013</w:t>
        </w:r>
      </w:hyperlink>
      <w:r w:rsidRPr="00234417">
        <w:rPr>
          <w:rStyle w:val="TextoNormalCaracter"/>
        </w:rPr>
        <w:t xml:space="preserve">, ff. 6, 7; </w:t>
      </w:r>
      <w:hyperlink w:anchor="SENTENCIA_2013_69" w:history="1">
        <w:r w:rsidRPr="00234417">
          <w:rPr>
            <w:rStyle w:val="TextoNormalCaracter"/>
          </w:rPr>
          <w:t>69/2013</w:t>
        </w:r>
      </w:hyperlink>
      <w:r w:rsidRPr="00234417">
        <w:rPr>
          <w:rStyle w:val="TextoNormalCaracter"/>
        </w:rPr>
        <w:t xml:space="preserve">, ff. 1, 2, 3, 5, 6, 7; </w:t>
      </w:r>
      <w:hyperlink w:anchor="SENTENCIA_2013_80" w:history="1">
        <w:r w:rsidRPr="00234417">
          <w:rPr>
            <w:rStyle w:val="TextoNormalCaracter"/>
          </w:rPr>
          <w:t>80/2013</w:t>
        </w:r>
      </w:hyperlink>
      <w:r w:rsidRPr="00234417">
        <w:rPr>
          <w:rStyle w:val="TextoNormalCaracter"/>
        </w:rPr>
        <w:t xml:space="preserve">, f. 3; </w:t>
      </w:r>
      <w:hyperlink w:anchor="SENTENCIA_2013_84" w:history="1">
        <w:r w:rsidRPr="00234417">
          <w:rPr>
            <w:rStyle w:val="TextoNormalCaracter"/>
          </w:rPr>
          <w:t>84/2013</w:t>
        </w:r>
      </w:hyperlink>
      <w:r w:rsidRPr="00234417">
        <w:rPr>
          <w:rStyle w:val="TextoNormalCaracter"/>
        </w:rPr>
        <w:t xml:space="preserve">, f. 2; </w:t>
      </w:r>
      <w:hyperlink w:anchor="SENTENCIA_2013_113" w:history="1">
        <w:r w:rsidRPr="00234417">
          <w:rPr>
            <w:rStyle w:val="TextoNormalCaracter"/>
          </w:rPr>
          <w:t>113/2013</w:t>
        </w:r>
      </w:hyperlink>
      <w:r w:rsidRPr="00234417">
        <w:rPr>
          <w:rStyle w:val="TextoNormalCaracter"/>
        </w:rPr>
        <w:t xml:space="preserve">, ff. 4, 6; </w:t>
      </w:r>
      <w:hyperlink w:anchor="SENTENCIA_2013_114" w:history="1">
        <w:r w:rsidRPr="00234417">
          <w:rPr>
            <w:rStyle w:val="TextoNormalCaracter"/>
          </w:rPr>
          <w:t>114/2013</w:t>
        </w:r>
      </w:hyperlink>
      <w:r w:rsidRPr="00234417">
        <w:rPr>
          <w:rStyle w:val="TextoNormalCaracter"/>
        </w:rPr>
        <w:t xml:space="preserve">, ff. 2, 4; </w:t>
      </w:r>
      <w:hyperlink w:anchor="SENTENCIA_2013_129" w:history="1">
        <w:r w:rsidRPr="00234417">
          <w:rPr>
            <w:rStyle w:val="TextoNormalCaracter"/>
          </w:rPr>
          <w:t>129/2013</w:t>
        </w:r>
      </w:hyperlink>
      <w:r w:rsidRPr="00234417">
        <w:rPr>
          <w:rStyle w:val="TextoNormalCaracter"/>
        </w:rPr>
        <w:t xml:space="preserve">, ff. 6, 7; </w:t>
      </w:r>
      <w:hyperlink w:anchor="SENTENCIA_2013_138" w:history="1">
        <w:r w:rsidRPr="00234417">
          <w:rPr>
            <w:rStyle w:val="TextoNormalCaracter"/>
          </w:rPr>
          <w:t>138/2013</w:t>
        </w:r>
      </w:hyperlink>
      <w:r w:rsidRPr="00234417">
        <w:rPr>
          <w:rStyle w:val="TextoNormalCaracter"/>
        </w:rPr>
        <w:t>, ff. 4, 5, 6, 8, 9, 10.</w:t>
      </w:r>
    </w:p>
    <w:p w:rsidR="00234417" w:rsidRPr="00234417" w:rsidRDefault="00234417" w:rsidP="00234417">
      <w:pPr>
        <w:pStyle w:val="TextoNormalSangraFrancesa"/>
        <w:rPr>
          <w:rStyle w:val="TextoNormalCaracter"/>
        </w:rPr>
      </w:pPr>
      <w:bookmarkStart w:id="1847" w:name="DESCRIPTORALFABETICO492"/>
      <w:r w:rsidRPr="00234417">
        <w:rPr>
          <w:rStyle w:val="TextoNormalNegritaCaracter"/>
        </w:rPr>
        <w:t>Métodos de caza no selectivos</w:t>
      </w:r>
      <w:bookmarkEnd w:id="1847"/>
      <w:r w:rsidRPr="00234417">
        <w:rPr>
          <w:rStyle w:val="TextoNormalCaracter"/>
        </w:rPr>
        <w:t xml:space="preserve">, Sentencia </w:t>
      </w:r>
      <w:hyperlink w:anchor="SENTENCIA_2013_114" w:history="1">
        <w:r w:rsidRPr="00234417">
          <w:rPr>
            <w:rStyle w:val="TextoNormalCaracter"/>
          </w:rPr>
          <w:t>114/2013</w:t>
        </w:r>
      </w:hyperlink>
      <w:r w:rsidRPr="00234417">
        <w:rPr>
          <w:rStyle w:val="TextoNormalCaracter"/>
        </w:rPr>
        <w:t>, ff. 1, 2, 3.</w:t>
      </w:r>
    </w:p>
    <w:p w:rsidR="00234417" w:rsidRPr="00234417" w:rsidRDefault="00234417" w:rsidP="00234417">
      <w:pPr>
        <w:pStyle w:val="TextoNormalSangraFrancesa"/>
        <w:rPr>
          <w:rStyle w:val="TextoNormalCaracter"/>
        </w:rPr>
      </w:pPr>
      <w:bookmarkStart w:id="1848" w:name="DESCRIPTORALFABETICO456"/>
      <w:r w:rsidRPr="00234417">
        <w:rPr>
          <w:rStyle w:val="TextoNormalNegritaCaracter"/>
        </w:rPr>
        <w:t>Miembros del gobierno de entes locales no electos</w:t>
      </w:r>
      <w:bookmarkEnd w:id="1848"/>
      <w:r w:rsidRPr="00234417">
        <w:rPr>
          <w:rStyle w:val="TextoNormalCaracter"/>
        </w:rPr>
        <w:t xml:space="preserve">, Sentencia </w:t>
      </w:r>
      <w:hyperlink w:anchor="SENTENCIA_2013_103" w:history="1">
        <w:r w:rsidRPr="00234417">
          <w:rPr>
            <w:rStyle w:val="TextoNormalCaracter"/>
          </w:rPr>
          <w:t>103/2013</w:t>
        </w:r>
      </w:hyperlink>
      <w:r w:rsidRPr="00234417">
        <w:rPr>
          <w:rStyle w:val="TextoNormalCaracter"/>
        </w:rPr>
        <w:t>, f. 6, VP.</w:t>
      </w:r>
    </w:p>
    <w:p w:rsidR="00234417" w:rsidRPr="00234417" w:rsidRDefault="00234417" w:rsidP="00234417">
      <w:pPr>
        <w:pStyle w:val="TextoNormalSangraFrancesa"/>
        <w:rPr>
          <w:rStyle w:val="TextoNormalCaracter"/>
        </w:rPr>
      </w:pPr>
      <w:bookmarkStart w:id="1849" w:name="DESCRIPTORALFABETICO378"/>
      <w:r w:rsidRPr="00234417">
        <w:rPr>
          <w:rStyle w:val="TextoNormalNegritaCaracter"/>
        </w:rPr>
        <w:t>Ministerio Fiscal</w:t>
      </w:r>
      <w:bookmarkEnd w:id="1849"/>
      <w:r w:rsidRPr="00234417">
        <w:rPr>
          <w:rStyle w:val="TextoNormalCaracter"/>
        </w:rPr>
        <w:t xml:space="preserve">, Auto </w:t>
      </w:r>
      <w:hyperlink w:anchor="AUTO_2013_89" w:history="1">
        <w:r w:rsidRPr="00234417">
          <w:rPr>
            <w:rStyle w:val="TextoNormalCaracter"/>
          </w:rPr>
          <w:t>89/2013</w:t>
        </w:r>
      </w:hyperlink>
      <w:r w:rsidRPr="00234417">
        <w:rPr>
          <w:rStyle w:val="TextoNormalCaracter"/>
        </w:rPr>
        <w:t>, ff. 3, 4, VP I, VP II.</w:t>
      </w:r>
    </w:p>
    <w:p w:rsidR="00234417" w:rsidRPr="00234417" w:rsidRDefault="00234417" w:rsidP="00234417">
      <w:pPr>
        <w:pStyle w:val="TextoNormalSangraFrancesa"/>
        <w:rPr>
          <w:rStyle w:val="TextoNormalCaracter"/>
        </w:rPr>
      </w:pPr>
      <w:bookmarkStart w:id="1850" w:name="DESCRIPTORALFABETICO837"/>
      <w:r w:rsidRPr="00234417">
        <w:rPr>
          <w:rStyle w:val="TextoNormalNegritaCaracter"/>
        </w:rPr>
        <w:t>Modificación de hechos probados</w:t>
      </w:r>
      <w:bookmarkEnd w:id="1850"/>
      <w:r w:rsidRPr="00234417">
        <w:rPr>
          <w:rStyle w:val="TextoNormalCaracter"/>
        </w:rPr>
        <w:t xml:space="preserve">, Sentencia </w:t>
      </w:r>
      <w:hyperlink w:anchor="SENTENCIA_2013_22" w:history="1">
        <w:r w:rsidRPr="00234417">
          <w:rPr>
            <w:rStyle w:val="TextoNormalCaracter"/>
          </w:rPr>
          <w:t>22/2013</w:t>
        </w:r>
      </w:hyperlink>
      <w:r w:rsidRPr="00234417">
        <w:rPr>
          <w:rStyle w:val="TextoNormalCaracter"/>
        </w:rPr>
        <w:t>, f. 4.</w:t>
      </w:r>
    </w:p>
    <w:p w:rsidR="00234417" w:rsidRPr="00234417" w:rsidRDefault="00234417" w:rsidP="00234417">
      <w:pPr>
        <w:pStyle w:val="TextoNormalSangraFrancesa"/>
        <w:rPr>
          <w:rStyle w:val="TextoNormalCaracter"/>
        </w:rPr>
      </w:pPr>
      <w:bookmarkStart w:id="1851" w:name="DESCRIPTORALFABETICO663"/>
      <w:r w:rsidRPr="00234417">
        <w:rPr>
          <w:rStyle w:val="TextoNormalNegritaCaracter"/>
        </w:rPr>
        <w:t>Modificación de la legislación básica</w:t>
      </w:r>
      <w:bookmarkEnd w:id="1851"/>
      <w:r w:rsidRPr="00234417">
        <w:rPr>
          <w:rStyle w:val="TextoNormalCaracter"/>
        </w:rPr>
        <w:t xml:space="preserve">, Sentencia </w:t>
      </w:r>
      <w:hyperlink w:anchor="SENTENCIA_2013_24" w:history="1">
        <w:r w:rsidRPr="00234417">
          <w:rPr>
            <w:rStyle w:val="TextoNormalCaracter"/>
          </w:rPr>
          <w:t>24/2013</w:t>
        </w:r>
      </w:hyperlink>
      <w:r w:rsidRPr="00234417">
        <w:rPr>
          <w:rStyle w:val="TextoNormalCaracter"/>
        </w:rPr>
        <w:t>, f. 6.</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85" w:history="1">
        <w:r w:rsidRPr="00234417">
          <w:rPr>
            <w:rStyle w:val="TextoNormalCaracter"/>
          </w:rPr>
          <w:t>85/2013</w:t>
        </w:r>
      </w:hyperlink>
      <w:r w:rsidRPr="00234417">
        <w:rPr>
          <w:rStyle w:val="TextoNormalCaracter"/>
        </w:rPr>
        <w:t>, ff. 3 a 7.</w:t>
      </w:r>
    </w:p>
    <w:p w:rsidR="00234417" w:rsidRPr="00234417" w:rsidRDefault="00234417" w:rsidP="00234417">
      <w:pPr>
        <w:pStyle w:val="TextoNormalSangraFrancesa"/>
        <w:rPr>
          <w:rStyle w:val="TextoNormalCaracter"/>
        </w:rPr>
      </w:pPr>
      <w:bookmarkStart w:id="1852" w:name="DESCRIPTORALFABETICO634"/>
      <w:r w:rsidRPr="00234417">
        <w:rPr>
          <w:rStyle w:val="TextoNormalNegritaCaracter"/>
        </w:rPr>
        <w:t>Modificación del plan general de ordenación urbana</w:t>
      </w:r>
      <w:bookmarkEnd w:id="1852"/>
      <w:r w:rsidRPr="00234417">
        <w:rPr>
          <w:rStyle w:val="TextoNormalCaracter"/>
        </w:rPr>
        <w:t xml:space="preserve">, Sentencia </w:t>
      </w:r>
      <w:hyperlink w:anchor="SENTENCIA_2013_76" w:history="1">
        <w:r w:rsidRPr="00234417">
          <w:rPr>
            <w:rStyle w:val="TextoNormalCaracter"/>
          </w:rPr>
          <w:t>76/2013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853" w:name="DESCRIPTORALFABETICO359"/>
      <w:r w:rsidRPr="00234417">
        <w:rPr>
          <w:rStyle w:val="TextoNormalNegritaCaracter"/>
        </w:rPr>
        <w:t>Modos de ejercicio de la potestad financiera</w:t>
      </w:r>
      <w:bookmarkEnd w:id="1853"/>
      <w:r w:rsidRPr="00234417">
        <w:rPr>
          <w:rStyle w:val="TextoNormalCaracter"/>
        </w:rPr>
        <w:t xml:space="preserve">, Sentencias </w:t>
      </w:r>
      <w:hyperlink w:anchor="SENTENCIA_2013_130" w:history="1">
        <w:r w:rsidRPr="00234417">
          <w:rPr>
            <w:rStyle w:val="TextoNormalCaracter"/>
          </w:rPr>
          <w:t>130/2013</w:t>
        </w:r>
      </w:hyperlink>
      <w:r w:rsidRPr="00234417">
        <w:rPr>
          <w:rStyle w:val="TextoNormalCaracter"/>
        </w:rPr>
        <w:t xml:space="preserve">, f. 8; </w:t>
      </w:r>
      <w:hyperlink w:anchor="SENTENCIA_2013_135" w:history="1">
        <w:r w:rsidRPr="00234417">
          <w:rPr>
            <w:rStyle w:val="TextoNormalCaracter"/>
          </w:rPr>
          <w:t>135/2013</w:t>
        </w:r>
      </w:hyperlink>
      <w:r w:rsidRPr="00234417">
        <w:rPr>
          <w:rStyle w:val="TextoNormalCaracter"/>
        </w:rPr>
        <w:t>, f. 5.</w:t>
      </w:r>
    </w:p>
    <w:p w:rsidR="00234417" w:rsidRPr="00234417" w:rsidRDefault="00234417" w:rsidP="00234417">
      <w:pPr>
        <w:pStyle w:val="TextoNormalSangraFrancesa"/>
        <w:rPr>
          <w:rStyle w:val="TextoNormalCaracter"/>
        </w:rPr>
      </w:pPr>
      <w:bookmarkStart w:id="1854" w:name="DESCRIPTORALFABETICO767"/>
      <w:r w:rsidRPr="00234417">
        <w:rPr>
          <w:rStyle w:val="TextoNormalNegritaCaracter"/>
        </w:rPr>
        <w:t>Modos de gestión de servicios públicos</w:t>
      </w:r>
      <w:bookmarkEnd w:id="1854"/>
      <w:r w:rsidRPr="00234417">
        <w:rPr>
          <w:rStyle w:val="TextoNormalCaracter"/>
        </w:rPr>
        <w:t xml:space="preserve">, Sentencia </w:t>
      </w:r>
      <w:hyperlink w:anchor="SENTENCIA_2013_103" w:history="1">
        <w:r w:rsidRPr="00234417">
          <w:rPr>
            <w:rStyle w:val="TextoNormalCaracter"/>
          </w:rPr>
          <w:t>103/2013</w:t>
        </w:r>
      </w:hyperlink>
      <w:r w:rsidRPr="00234417">
        <w:rPr>
          <w:rStyle w:val="TextoNormalCaracter"/>
        </w:rPr>
        <w:t>, f. 5 d).</w:t>
      </w:r>
    </w:p>
    <w:p w:rsidR="00234417" w:rsidRPr="00234417" w:rsidRDefault="00234417" w:rsidP="00234417">
      <w:pPr>
        <w:pStyle w:val="TextoNormalSangraFrancesa"/>
        <w:rPr>
          <w:rStyle w:val="TextoNormalCaracter"/>
        </w:rPr>
      </w:pPr>
      <w:bookmarkStart w:id="1855" w:name="DESCRIPTORALFABETICO285"/>
      <w:r w:rsidRPr="00234417">
        <w:rPr>
          <w:rStyle w:val="TextoNormalNegritaCaracter"/>
        </w:rPr>
        <w:t>Momento procesal para plantear la cuestión de inconstitucionalidad</w:t>
      </w:r>
      <w:bookmarkEnd w:id="1855"/>
      <w:r w:rsidRPr="00234417">
        <w:rPr>
          <w:rStyle w:val="TextoNormalCaracter"/>
        </w:rPr>
        <w:t xml:space="preserve">, Auto </w:t>
      </w:r>
      <w:hyperlink w:anchor="AUTO_2013_35" w:history="1">
        <w:r w:rsidRPr="00234417">
          <w:rPr>
            <w:rStyle w:val="TextoNormalCaracter"/>
          </w:rPr>
          <w:t>35/2013</w:t>
        </w:r>
      </w:hyperlink>
      <w:r w:rsidRPr="00234417">
        <w:rPr>
          <w:rStyle w:val="TextoNormalCaracter"/>
        </w:rPr>
        <w:t>, f. 3.</w:t>
      </w:r>
    </w:p>
    <w:p w:rsidR="00234417" w:rsidRPr="00234417" w:rsidRDefault="00234417" w:rsidP="00234417">
      <w:pPr>
        <w:pStyle w:val="TextoNormalSangraFrancesa"/>
        <w:rPr>
          <w:rStyle w:val="TextoNormalCaracter"/>
        </w:rPr>
      </w:pPr>
      <w:bookmarkStart w:id="1856" w:name="DESCRIPTORALFABETICO619"/>
      <w:r w:rsidRPr="00234417">
        <w:rPr>
          <w:rStyle w:val="TextoNormalNegritaCaracter"/>
        </w:rPr>
        <w:t>Montes</w:t>
      </w:r>
      <w:bookmarkEnd w:id="1856"/>
      <w:r w:rsidRPr="00234417">
        <w:rPr>
          <w:rStyle w:val="TextoNormalCaracter"/>
        </w:rPr>
        <w:t xml:space="preserve">, Sentencias </w:t>
      </w:r>
      <w:hyperlink w:anchor="SENTENCIA_2013_49" w:history="1">
        <w:r w:rsidRPr="00234417">
          <w:rPr>
            <w:rStyle w:val="TextoNormalCaracter"/>
          </w:rPr>
          <w:t>49/2013</w:t>
        </w:r>
      </w:hyperlink>
      <w:r w:rsidRPr="00234417">
        <w:rPr>
          <w:rStyle w:val="TextoNormalCaracter"/>
        </w:rPr>
        <w:t xml:space="preserve">, ff. 3, 4, 7; </w:t>
      </w:r>
      <w:hyperlink w:anchor="SENTENCIA_2013_84" w:history="1">
        <w:r w:rsidRPr="00234417">
          <w:rPr>
            <w:rStyle w:val="TextoNormalCaracter"/>
          </w:rPr>
          <w:t>84/2013</w:t>
        </w:r>
      </w:hyperlink>
      <w:r w:rsidRPr="00234417">
        <w:rPr>
          <w:rStyle w:val="TextoNormalCaracter"/>
        </w:rPr>
        <w:t>, ff. 2, 4, 5.</w:t>
      </w:r>
    </w:p>
    <w:p w:rsidR="00234417" w:rsidRPr="00234417" w:rsidRDefault="00234417" w:rsidP="00234417">
      <w:pPr>
        <w:pStyle w:val="TextoNormalSangraFrancesa"/>
        <w:rPr>
          <w:rStyle w:val="TextoNormalNegritaCaracter"/>
        </w:rPr>
      </w:pPr>
      <w:r w:rsidRPr="00234417">
        <w:rPr>
          <w:rStyle w:val="TextoNormalCursivaCaracter"/>
        </w:rPr>
        <w:t>Motivación de actos administrativos</w:t>
      </w:r>
      <w:r>
        <w:t xml:space="preserve"> véase </w:t>
      </w:r>
      <w:hyperlink w:anchor="DESCRIPTORALFABETICO474" w:history="1">
        <w:r w:rsidRPr="00234417">
          <w:rPr>
            <w:rStyle w:val="TextoNormalNegritaCaracter"/>
          </w:rPr>
          <w:t>Motivación de las resoluciones administrativas</w:t>
        </w:r>
      </w:hyperlink>
    </w:p>
    <w:p w:rsidR="00234417" w:rsidRPr="00234417" w:rsidRDefault="00234417" w:rsidP="00234417">
      <w:pPr>
        <w:pStyle w:val="TextoNormalSangraFrancesa"/>
        <w:rPr>
          <w:rStyle w:val="TextoNormalCaracter"/>
        </w:rPr>
      </w:pPr>
      <w:bookmarkStart w:id="1857" w:name="DESCRIPTORALFABETICO656"/>
      <w:r w:rsidRPr="00234417">
        <w:rPr>
          <w:rStyle w:val="TextoNormalNegritaCaracter"/>
        </w:rPr>
        <w:t>Motivación de la extraordinaria y urgente necesidad</w:t>
      </w:r>
      <w:bookmarkEnd w:id="1857"/>
      <w:r w:rsidRPr="00234417">
        <w:rPr>
          <w:rStyle w:val="TextoNormalCaracter"/>
        </w:rPr>
        <w:t xml:space="preserve">, Sentencias </w:t>
      </w:r>
      <w:hyperlink w:anchor="SENTENCIA_2013_39" w:history="1">
        <w:r w:rsidRPr="00234417">
          <w:rPr>
            <w:rStyle w:val="TextoNormalCaracter"/>
          </w:rPr>
          <w:t>39/2013</w:t>
        </w:r>
      </w:hyperlink>
      <w:r w:rsidRPr="00234417">
        <w:rPr>
          <w:rStyle w:val="TextoNormalCaracter"/>
        </w:rPr>
        <w:t xml:space="preserve">, ff. 3, 5; </w:t>
      </w:r>
      <w:hyperlink w:anchor="SENTENCIA_2013_51" w:history="1">
        <w:r w:rsidRPr="00234417">
          <w:rPr>
            <w:rStyle w:val="TextoNormalCaracter"/>
          </w:rPr>
          <w:t>51/2013</w:t>
        </w:r>
      </w:hyperlink>
      <w:r w:rsidRPr="00234417">
        <w:rPr>
          <w:rStyle w:val="TextoNormalCaracter"/>
        </w:rPr>
        <w:t xml:space="preserve">, f. 4; </w:t>
      </w:r>
      <w:hyperlink w:anchor="SENTENCIA_2013_64" w:history="1">
        <w:r w:rsidRPr="00234417">
          <w:rPr>
            <w:rStyle w:val="TextoNormalCaracter"/>
          </w:rPr>
          <w:t>64/2013</w:t>
        </w:r>
      </w:hyperlink>
      <w:r w:rsidRPr="00234417">
        <w:rPr>
          <w:rStyle w:val="TextoNormalCaracter"/>
        </w:rPr>
        <w:t>, f. 5.</w:t>
      </w:r>
    </w:p>
    <w:p w:rsidR="00234417" w:rsidRPr="00234417" w:rsidRDefault="00234417" w:rsidP="00234417">
      <w:pPr>
        <w:pStyle w:val="TextoNormalSangraFrancesa"/>
        <w:rPr>
          <w:rStyle w:val="TextoNormalCaracter"/>
        </w:rPr>
      </w:pPr>
      <w:bookmarkStart w:id="1858" w:name="DESCRIPTORALFABETICO917"/>
      <w:r w:rsidRPr="00234417">
        <w:rPr>
          <w:rStyle w:val="TextoNormalNegritaCaracter"/>
        </w:rPr>
        <w:t>Motivación de la prueba de cargo</w:t>
      </w:r>
      <w:bookmarkEnd w:id="1858"/>
      <w:r w:rsidRPr="00234417">
        <w:rPr>
          <w:rStyle w:val="TextoNormalCaracter"/>
        </w:rPr>
        <w:t xml:space="preserve">, Sentencias </w:t>
      </w:r>
      <w:hyperlink w:anchor="SENTENCIA_2013_22" w:history="1">
        <w:r w:rsidRPr="00234417">
          <w:rPr>
            <w:rStyle w:val="TextoNormalCaracter"/>
          </w:rPr>
          <w:t>22/2013</w:t>
        </w:r>
      </w:hyperlink>
      <w:r w:rsidRPr="00234417">
        <w:rPr>
          <w:rStyle w:val="TextoNormalCaracter"/>
        </w:rPr>
        <w:t xml:space="preserve">, ff. 4, 5; </w:t>
      </w:r>
      <w:hyperlink w:anchor="SENTENCIA_2013_78" w:history="1">
        <w:r w:rsidRPr="00234417">
          <w:rPr>
            <w:rStyle w:val="TextoNormalCaracter"/>
          </w:rPr>
          <w:t>78/2013</w:t>
        </w:r>
      </w:hyperlink>
      <w:r w:rsidRPr="00234417">
        <w:rPr>
          <w:rStyle w:val="TextoNormalCaracter"/>
        </w:rPr>
        <w:t>, f. 2.</w:t>
      </w:r>
    </w:p>
    <w:p w:rsidR="00234417" w:rsidRPr="00234417" w:rsidRDefault="00234417" w:rsidP="00234417">
      <w:pPr>
        <w:pStyle w:val="TextoNormalSangraFrancesa"/>
        <w:rPr>
          <w:rStyle w:val="TextoNormalCaracter"/>
        </w:rPr>
      </w:pPr>
      <w:bookmarkStart w:id="1859" w:name="DESCRIPTORALFABETICO474"/>
      <w:r w:rsidRPr="00234417">
        <w:rPr>
          <w:rStyle w:val="TextoNormalNegritaCaracter"/>
        </w:rPr>
        <w:t>Motivación de las resoluciones administrativas</w:t>
      </w:r>
      <w:bookmarkEnd w:id="1859"/>
      <w:r w:rsidRPr="00234417">
        <w:rPr>
          <w:rStyle w:val="TextoNormalCaracter"/>
        </w:rPr>
        <w:t xml:space="preserve">, Sentencias </w:t>
      </w:r>
      <w:hyperlink w:anchor="SENTENCIA_2013_30" w:history="1">
        <w:r w:rsidRPr="00234417">
          <w:rPr>
            <w:rStyle w:val="TextoNormalCaracter"/>
          </w:rPr>
          <w:t>30/2013</w:t>
        </w:r>
      </w:hyperlink>
      <w:r w:rsidRPr="00234417">
        <w:rPr>
          <w:rStyle w:val="TextoNormalCaracter"/>
        </w:rPr>
        <w:t xml:space="preserve">, ff. 1 a 3; </w:t>
      </w:r>
      <w:hyperlink w:anchor="SENTENCIA_2013_45" w:history="1">
        <w:r w:rsidRPr="00234417">
          <w:rPr>
            <w:rStyle w:val="TextoNormalCaracter"/>
          </w:rPr>
          <w:t>45/2013</w:t>
        </w:r>
      </w:hyperlink>
      <w:r w:rsidRPr="00234417">
        <w:rPr>
          <w:rStyle w:val="TextoNormalCaracter"/>
        </w:rPr>
        <w:t>, f. 2.</w:t>
      </w:r>
    </w:p>
    <w:p w:rsidR="00234417" w:rsidRPr="00234417" w:rsidRDefault="00234417" w:rsidP="00234417">
      <w:pPr>
        <w:pStyle w:val="TextoNormalSangraFrancesa"/>
        <w:rPr>
          <w:rStyle w:val="TextoNormalCaracter"/>
        </w:rPr>
      </w:pPr>
      <w:bookmarkStart w:id="1860" w:name="DESCRIPTORALFABETICO172"/>
      <w:r w:rsidRPr="00234417">
        <w:rPr>
          <w:rStyle w:val="TextoNormalNegritaCaracter"/>
        </w:rPr>
        <w:t>Motivación de las resoluciones judiciales</w:t>
      </w:r>
      <w:bookmarkEnd w:id="1860"/>
      <w:r w:rsidRPr="00234417">
        <w:rPr>
          <w:rStyle w:val="TextoNormalCaracter"/>
        </w:rPr>
        <w:t xml:space="preserve">, Sentencias </w:t>
      </w:r>
      <w:hyperlink w:anchor="SENTENCIA_2013_12" w:history="1">
        <w:r w:rsidRPr="00234417">
          <w:rPr>
            <w:rStyle w:val="TextoNormalCaracter"/>
          </w:rPr>
          <w:t>12/2013</w:t>
        </w:r>
      </w:hyperlink>
      <w:r w:rsidRPr="00234417">
        <w:rPr>
          <w:rStyle w:val="TextoNormalCaracter"/>
        </w:rPr>
        <w:t xml:space="preserve">, ff. 2, 4, VP I; </w:t>
      </w:r>
      <w:hyperlink w:anchor="SENTENCIA_2013_27" w:history="1">
        <w:r w:rsidRPr="00234417">
          <w:rPr>
            <w:rStyle w:val="TextoNormalCaracter"/>
          </w:rPr>
          <w:t>27/2013</w:t>
        </w:r>
      </w:hyperlink>
      <w:r w:rsidRPr="00234417">
        <w:rPr>
          <w:rStyle w:val="TextoNormalCaracter"/>
        </w:rPr>
        <w:t>, f. 5.</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2" w:history="1">
        <w:r w:rsidRPr="00234417">
          <w:rPr>
            <w:rStyle w:val="TextoNormalCaracter"/>
          </w:rPr>
          <w:t>2/2013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ursivaCaracter"/>
        </w:rPr>
        <w:t xml:space="preserve">    Respetado, </w:t>
      </w:r>
      <w:r w:rsidRPr="00234417">
        <w:rPr>
          <w:rStyle w:val="TextoNormalCaracter"/>
        </w:rPr>
        <w:t xml:space="preserve">Sentencias </w:t>
      </w:r>
      <w:hyperlink w:anchor="SENTENCIA_2013_2" w:history="1">
        <w:r w:rsidRPr="00234417">
          <w:rPr>
            <w:rStyle w:val="TextoNormalCaracter"/>
          </w:rPr>
          <w:t>2/2013</w:t>
        </w:r>
      </w:hyperlink>
      <w:r w:rsidRPr="00234417">
        <w:rPr>
          <w:rStyle w:val="TextoNormalCaracter"/>
        </w:rPr>
        <w:t xml:space="preserve">, f. 8; </w:t>
      </w:r>
      <w:hyperlink w:anchor="SENTENCIA_2013_44" w:history="1">
        <w:r w:rsidRPr="00234417">
          <w:rPr>
            <w:rStyle w:val="TextoNormalCaracter"/>
          </w:rPr>
          <w:t>44/2013</w:t>
        </w:r>
      </w:hyperlink>
      <w:r w:rsidRPr="00234417">
        <w:rPr>
          <w:rStyle w:val="TextoNormalCaracter"/>
        </w:rPr>
        <w:t xml:space="preserve">, f. 5; </w:t>
      </w:r>
      <w:hyperlink w:anchor="SENTENCIA_2013_78" w:history="1">
        <w:r w:rsidRPr="00234417">
          <w:rPr>
            <w:rStyle w:val="TextoNormalCaracter"/>
          </w:rPr>
          <w:t>78/2013</w:t>
        </w:r>
      </w:hyperlink>
      <w:r w:rsidRPr="00234417">
        <w:rPr>
          <w:rStyle w:val="TextoNormalCaracter"/>
        </w:rPr>
        <w:t xml:space="preserve">, f. 4; </w:t>
      </w:r>
      <w:hyperlink w:anchor="SENTENCIA_2013_128" w:history="1">
        <w:r w:rsidRPr="00234417">
          <w:rPr>
            <w:rStyle w:val="TextoNormalCaracter"/>
          </w:rPr>
          <w:t>128/2013</w:t>
        </w:r>
      </w:hyperlink>
      <w:r w:rsidRPr="00234417">
        <w:rPr>
          <w:rStyle w:val="TextoNormalCaracter"/>
        </w:rPr>
        <w:t>, f. 5.</w:t>
      </w:r>
    </w:p>
    <w:p w:rsidR="00234417" w:rsidRPr="00234417" w:rsidRDefault="00234417" w:rsidP="00234417">
      <w:pPr>
        <w:pStyle w:val="TextoNormalSangraFrancesa"/>
        <w:rPr>
          <w:rStyle w:val="TextoNormalCaracter"/>
        </w:rPr>
      </w:pPr>
      <w:r w:rsidRPr="00234417">
        <w:rPr>
          <w:rStyle w:val="TextoNormalCursivaCaracter"/>
        </w:rPr>
        <w:t xml:space="preserve">    Vulnerado, </w:t>
      </w:r>
      <w:r w:rsidRPr="00234417">
        <w:rPr>
          <w:rStyle w:val="TextoNormalCaracter"/>
        </w:rPr>
        <w:t xml:space="preserve">Sentencia </w:t>
      </w:r>
      <w:hyperlink w:anchor="SENTENCIA_2013_109" w:history="1">
        <w:r w:rsidRPr="00234417">
          <w:rPr>
            <w:rStyle w:val="TextoNormalCaracter"/>
          </w:rPr>
          <w:t>109/2013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1861" w:name="DESCRIPTORALFABETICO174"/>
      <w:r w:rsidRPr="00234417">
        <w:rPr>
          <w:rStyle w:val="TextoNormalNegritaCaracter"/>
        </w:rPr>
        <w:t>Motivación de las sentencias</w:t>
      </w:r>
      <w:bookmarkEnd w:id="1861"/>
      <w:r w:rsidRPr="00234417">
        <w:rPr>
          <w:rStyle w:val="TextoNormalCaracter"/>
        </w:rPr>
        <w:t xml:space="preserve">, Sentencias </w:t>
      </w:r>
      <w:hyperlink w:anchor="SENTENCIA_2013_127" w:history="1">
        <w:r w:rsidRPr="00234417">
          <w:rPr>
            <w:rStyle w:val="TextoNormalCaracter"/>
          </w:rPr>
          <w:t>127/2013</w:t>
        </w:r>
      </w:hyperlink>
      <w:r w:rsidRPr="00234417">
        <w:rPr>
          <w:rStyle w:val="TextoNormalCaracter"/>
        </w:rPr>
        <w:t xml:space="preserve">, ff. 2 a 6; </w:t>
      </w:r>
      <w:hyperlink w:anchor="SENTENCIA_2013_133" w:history="1">
        <w:r w:rsidRPr="00234417">
          <w:rPr>
            <w:rStyle w:val="TextoNormalCaracter"/>
          </w:rPr>
          <w:t>133/2013</w:t>
        </w:r>
      </w:hyperlink>
      <w:r w:rsidRPr="00234417">
        <w:rPr>
          <w:rStyle w:val="TextoNormalCaracter"/>
        </w:rPr>
        <w:t>, ff. 3 a 8.</w:t>
      </w:r>
    </w:p>
    <w:p w:rsidR="00234417" w:rsidRPr="00234417" w:rsidRDefault="00234417" w:rsidP="00234417">
      <w:pPr>
        <w:pStyle w:val="TextoNormalSangraFrancesa"/>
        <w:rPr>
          <w:rStyle w:val="TextoNormalCaracter"/>
        </w:rPr>
      </w:pPr>
      <w:r w:rsidRPr="00234417">
        <w:rPr>
          <w:rStyle w:val="TextoNormalCursivaCaracter"/>
        </w:rPr>
        <w:t xml:space="preserve">    Respetado, </w:t>
      </w:r>
      <w:r w:rsidRPr="00234417">
        <w:rPr>
          <w:rStyle w:val="TextoNormalCaracter"/>
        </w:rPr>
        <w:t xml:space="preserve">Sentencia </w:t>
      </w:r>
      <w:hyperlink w:anchor="SENTENCIA_2013_56" w:history="1">
        <w:r w:rsidRPr="00234417">
          <w:rPr>
            <w:rStyle w:val="TextoNormalCaracter"/>
          </w:rPr>
          <w:t>56/2013</w:t>
        </w:r>
      </w:hyperlink>
      <w:r w:rsidRPr="00234417">
        <w:rPr>
          <w:rStyle w:val="TextoNormalCaracter"/>
        </w:rPr>
        <w:t>, f. 3.</w:t>
      </w:r>
    </w:p>
    <w:p w:rsidR="00234417" w:rsidRPr="00234417" w:rsidRDefault="00234417" w:rsidP="00234417">
      <w:pPr>
        <w:pStyle w:val="TextoNormalSangraFrancesa"/>
        <w:rPr>
          <w:rStyle w:val="TextoNormalCaracter"/>
        </w:rPr>
      </w:pPr>
      <w:bookmarkStart w:id="1862" w:name="DESCRIPTORALFABETICO176"/>
      <w:r w:rsidRPr="00234417">
        <w:rPr>
          <w:rStyle w:val="TextoNormalNegritaCaracter"/>
        </w:rPr>
        <w:t>Motivación de las sentencias condenatorias</w:t>
      </w:r>
      <w:bookmarkEnd w:id="1862"/>
      <w:r w:rsidRPr="00234417">
        <w:rPr>
          <w:rStyle w:val="TextoNormalCaracter"/>
        </w:rPr>
        <w:t xml:space="preserve">, Sentencia </w:t>
      </w:r>
      <w:hyperlink w:anchor="SENTENCIA_2013_22" w:history="1">
        <w:r w:rsidRPr="00234417">
          <w:rPr>
            <w:rStyle w:val="TextoNormalCaracter"/>
          </w:rPr>
          <w:t>22/2013</w:t>
        </w:r>
      </w:hyperlink>
      <w:r w:rsidRPr="00234417">
        <w:rPr>
          <w:rStyle w:val="TextoNormalCaracter"/>
        </w:rPr>
        <w:t>, ff. 4, 5.</w:t>
      </w:r>
    </w:p>
    <w:p w:rsidR="00234417" w:rsidRPr="00234417" w:rsidRDefault="00234417" w:rsidP="00234417">
      <w:pPr>
        <w:pStyle w:val="TextoNormalSangraFrancesa"/>
        <w:rPr>
          <w:rStyle w:val="TextoNormalCaracter"/>
        </w:rPr>
      </w:pPr>
      <w:bookmarkStart w:id="1863" w:name="DESCRIPTORALFABETICO512"/>
      <w:r w:rsidRPr="00234417">
        <w:rPr>
          <w:rStyle w:val="TextoNormalNegritaCaracter"/>
        </w:rPr>
        <w:lastRenderedPageBreak/>
        <w:t>Multas de tráfico</w:t>
      </w:r>
      <w:bookmarkEnd w:id="1863"/>
      <w:r w:rsidRPr="00234417">
        <w:rPr>
          <w:rStyle w:val="TextoNormalCaracter"/>
        </w:rPr>
        <w:t xml:space="preserve">, Sentencias </w:t>
      </w:r>
      <w:hyperlink w:anchor="SENTENCIA_2013_30" w:history="1">
        <w:r w:rsidRPr="00234417">
          <w:rPr>
            <w:rStyle w:val="TextoNormalCaracter"/>
          </w:rPr>
          <w:t>30/2013</w:t>
        </w:r>
      </w:hyperlink>
      <w:r w:rsidRPr="00234417">
        <w:rPr>
          <w:rStyle w:val="TextoNormalCaracter"/>
        </w:rPr>
        <w:t xml:space="preserve">, ff. 1 a 3; </w:t>
      </w:r>
      <w:hyperlink w:anchor="SENTENCIA_2013_45" w:history="1">
        <w:r w:rsidRPr="00234417">
          <w:rPr>
            <w:rStyle w:val="TextoNormalCaracter"/>
          </w:rPr>
          <w:t>45/2013</w:t>
        </w:r>
      </w:hyperlink>
      <w:r w:rsidRPr="00234417">
        <w:rPr>
          <w:rStyle w:val="TextoNormalCaracter"/>
        </w:rPr>
        <w:t>, f. 2.</w:t>
      </w:r>
    </w:p>
    <w:p w:rsidR="00234417" w:rsidRPr="00234417" w:rsidRDefault="00234417" w:rsidP="00234417">
      <w:pPr>
        <w:pStyle w:val="TextoNormalSangraFrancesa"/>
        <w:rPr>
          <w:rStyle w:val="TextoNormalCaracter"/>
        </w:rPr>
      </w:pPr>
      <w:bookmarkStart w:id="1864" w:name="DESCRIPTORALFABETICO457"/>
      <w:r w:rsidRPr="00234417">
        <w:rPr>
          <w:rStyle w:val="TextoNormalNegritaCaracter"/>
        </w:rPr>
        <w:t>Municipios</w:t>
      </w:r>
      <w:bookmarkEnd w:id="1864"/>
      <w:r w:rsidRPr="00234417">
        <w:rPr>
          <w:rStyle w:val="TextoNormalCaracter"/>
        </w:rPr>
        <w:t xml:space="preserve">, Sentencias </w:t>
      </w:r>
      <w:hyperlink w:anchor="SENTENCIA_2013_103" w:history="1">
        <w:r w:rsidRPr="00234417">
          <w:rPr>
            <w:rStyle w:val="TextoNormalCaracter"/>
          </w:rPr>
          <w:t>103/2013</w:t>
        </w:r>
      </w:hyperlink>
      <w:r w:rsidRPr="00234417">
        <w:rPr>
          <w:rStyle w:val="TextoNormalCaracter"/>
        </w:rPr>
        <w:t xml:space="preserve">, ff. 4 a 6; </w:t>
      </w:r>
      <w:hyperlink w:anchor="SENTENCIA_2013_129" w:history="1">
        <w:r w:rsidRPr="00234417">
          <w:rPr>
            <w:rStyle w:val="TextoNormalCaracter"/>
          </w:rPr>
          <w:t>129/2013</w:t>
        </w:r>
      </w:hyperlink>
      <w:r w:rsidRPr="00234417">
        <w:rPr>
          <w:rStyle w:val="TextoNormalCaracter"/>
        </w:rPr>
        <w:t>, f. 8.</w:t>
      </w:r>
    </w:p>
    <w:p w:rsidR="00234417" w:rsidRPr="00234417" w:rsidRDefault="00234417" w:rsidP="00234417">
      <w:pPr>
        <w:pStyle w:val="TextoNormalSangraFrancesa"/>
        <w:rPr>
          <w:rStyle w:val="TextoNormalCaracter"/>
        </w:rPr>
      </w:pPr>
      <w:bookmarkStart w:id="1865" w:name="DESCRIPTORALFABETICO461"/>
      <w:r w:rsidRPr="00234417">
        <w:rPr>
          <w:rStyle w:val="TextoNormalNegritaCaracter"/>
        </w:rPr>
        <w:t>Municipios de gran población</w:t>
      </w:r>
      <w:bookmarkEnd w:id="1865"/>
      <w:r w:rsidRPr="00234417">
        <w:rPr>
          <w:rStyle w:val="TextoNormalCaracter"/>
        </w:rPr>
        <w:t xml:space="preserve">, Sentencia </w:t>
      </w:r>
      <w:hyperlink w:anchor="SENTENCIA_2013_103" w:history="1">
        <w:r w:rsidRPr="00234417">
          <w:rPr>
            <w:rStyle w:val="TextoNormalCaracter"/>
          </w:rPr>
          <w:t>103/2013</w:t>
        </w:r>
      </w:hyperlink>
      <w:r w:rsidRPr="00234417">
        <w:rPr>
          <w:rStyle w:val="TextoNormalCaracter"/>
        </w:rPr>
        <w:t>, f. 5.</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N</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1866" w:name="DESCRIPTORALFABETICO946"/>
      <w:r w:rsidRPr="00234417">
        <w:rPr>
          <w:rStyle w:val="TextoNormalNegritaCaracter"/>
        </w:rPr>
        <w:t>Navarra</w:t>
      </w:r>
      <w:bookmarkEnd w:id="1866"/>
      <w:r w:rsidRPr="00234417">
        <w:rPr>
          <w:rStyle w:val="TextoNormalCaracter"/>
        </w:rPr>
        <w:t xml:space="preserve">, Sentencias </w:t>
      </w:r>
      <w:hyperlink w:anchor="SENTENCIA_2013_93" w:history="1">
        <w:r w:rsidRPr="00234417">
          <w:rPr>
            <w:rStyle w:val="TextoNormalCaracter"/>
          </w:rPr>
          <w:t>93/2013</w:t>
        </w:r>
      </w:hyperlink>
      <w:r w:rsidRPr="00234417">
        <w:rPr>
          <w:rStyle w:val="TextoNormalCaracter"/>
        </w:rPr>
        <w:t xml:space="preserve">, ff. 5, 13, VP I; </w:t>
      </w:r>
      <w:hyperlink w:anchor="SENTENCIA_2013_137" w:history="1">
        <w:r w:rsidRPr="00234417">
          <w:rPr>
            <w:rStyle w:val="TextoNormalCaracter"/>
          </w:rPr>
          <w:t>137/2013</w:t>
        </w:r>
      </w:hyperlink>
      <w:r w:rsidRPr="00234417">
        <w:rPr>
          <w:rStyle w:val="TextoNormalCaracter"/>
        </w:rPr>
        <w:t>, ff. 3 a 7.</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88" w:history="1">
        <w:r w:rsidRPr="00234417">
          <w:rPr>
            <w:rStyle w:val="TextoNormalCaracter"/>
          </w:rPr>
          <w:t>88/2013</w:t>
        </w:r>
      </w:hyperlink>
      <w:r w:rsidRPr="00234417">
        <w:rPr>
          <w:rStyle w:val="TextoNormalCaracter"/>
        </w:rPr>
        <w:t xml:space="preserve">, f. 1; </w:t>
      </w:r>
      <w:hyperlink w:anchor="AUTO_2013_93" w:history="1">
        <w:r w:rsidRPr="00234417">
          <w:rPr>
            <w:rStyle w:val="TextoNormalCaracter"/>
          </w:rPr>
          <w:t>93/2013</w:t>
        </w:r>
      </w:hyperlink>
      <w:r w:rsidRPr="00234417">
        <w:rPr>
          <w:rStyle w:val="TextoNormalCaracter"/>
        </w:rPr>
        <w:t>, f. 2.</w:t>
      </w:r>
    </w:p>
    <w:p w:rsidR="00234417" w:rsidRPr="00234417" w:rsidRDefault="00234417" w:rsidP="00234417">
      <w:pPr>
        <w:pStyle w:val="TextoNormalSangraFrancesa"/>
        <w:rPr>
          <w:rStyle w:val="TextoNormalCaracter"/>
        </w:rPr>
      </w:pPr>
      <w:bookmarkStart w:id="1867" w:name="DESCRIPTORALFABETICO315"/>
      <w:r w:rsidRPr="00234417">
        <w:rPr>
          <w:rStyle w:val="TextoNormalNegritaCaracter"/>
        </w:rPr>
        <w:t>Negativa judicial de acatamiento de la doctrina constitucional</w:t>
      </w:r>
      <w:bookmarkEnd w:id="1867"/>
      <w:r w:rsidRPr="00234417">
        <w:rPr>
          <w:rStyle w:val="TextoNormalCaracter"/>
        </w:rPr>
        <w:t xml:space="preserve">, Sentencias </w:t>
      </w:r>
      <w:hyperlink w:anchor="SENTENCIA_2013_1" w:history="1">
        <w:r w:rsidRPr="00234417">
          <w:rPr>
            <w:rStyle w:val="TextoNormalCaracter"/>
          </w:rPr>
          <w:t>1/2013</w:t>
        </w:r>
      </w:hyperlink>
      <w:r w:rsidRPr="00234417">
        <w:rPr>
          <w:rStyle w:val="TextoNormalCaracter"/>
        </w:rPr>
        <w:t xml:space="preserve">, f. 3; </w:t>
      </w:r>
      <w:hyperlink w:anchor="SENTENCIA_2013_2" w:history="1">
        <w:r w:rsidRPr="00234417">
          <w:rPr>
            <w:rStyle w:val="TextoNormalCaracter"/>
          </w:rPr>
          <w:t>2/2013</w:t>
        </w:r>
      </w:hyperlink>
      <w:r w:rsidRPr="00234417">
        <w:rPr>
          <w:rStyle w:val="TextoNormalCaracter"/>
        </w:rPr>
        <w:t xml:space="preserve">, ff. 3, 7; </w:t>
      </w:r>
      <w:hyperlink w:anchor="SENTENCIA_2013_32" w:history="1">
        <w:r w:rsidRPr="00234417">
          <w:rPr>
            <w:rStyle w:val="TextoNormalCaracter"/>
          </w:rPr>
          <w:t>32/2013</w:t>
        </w:r>
      </w:hyperlink>
      <w:r w:rsidRPr="00234417">
        <w:rPr>
          <w:rStyle w:val="TextoNormalCaracter"/>
        </w:rPr>
        <w:t>, f. 2.</w:t>
      </w:r>
    </w:p>
    <w:p w:rsidR="00234417" w:rsidRPr="00234417" w:rsidRDefault="00234417" w:rsidP="00234417">
      <w:pPr>
        <w:pStyle w:val="TextoNormalSangraFrancesa"/>
        <w:rPr>
          <w:rStyle w:val="TextoNormalNegritaCaracter"/>
        </w:rPr>
      </w:pPr>
      <w:r w:rsidRPr="00234417">
        <w:rPr>
          <w:rStyle w:val="TextoNormalCursivaCaracter"/>
        </w:rPr>
        <w:t>Normas anteriores a la Constitución</w:t>
      </w:r>
      <w:r>
        <w:t xml:space="preserve"> véase </w:t>
      </w:r>
      <w:hyperlink w:anchor="DESCRIPTORALFABETICO696" w:history="1">
        <w:r w:rsidRPr="00234417">
          <w:rPr>
            <w:rStyle w:val="TextoNormalNegritaCaracter"/>
          </w:rPr>
          <w:t>Normas preconstitucionales</w:t>
        </w:r>
      </w:hyperlink>
    </w:p>
    <w:p w:rsidR="00234417" w:rsidRPr="00234417" w:rsidRDefault="00234417" w:rsidP="00234417">
      <w:pPr>
        <w:pStyle w:val="TextoNormalSangraFrancesa"/>
        <w:rPr>
          <w:rStyle w:val="TextoNormalCaracter"/>
        </w:rPr>
      </w:pPr>
      <w:bookmarkStart w:id="1868" w:name="DESCRIPTORALFABETICO665"/>
      <w:r w:rsidRPr="00234417">
        <w:rPr>
          <w:rStyle w:val="TextoNormalNegritaCaracter"/>
        </w:rPr>
        <w:t>Normas básicas en forma de reglamento</w:t>
      </w:r>
      <w:bookmarkEnd w:id="1868"/>
      <w:r w:rsidRPr="00234417">
        <w:rPr>
          <w:rStyle w:val="TextoNormalCaracter"/>
        </w:rPr>
        <w:t xml:space="preserve">, Sentencia </w:t>
      </w:r>
      <w:hyperlink w:anchor="SENTENCIA_2013_47" w:history="1">
        <w:r w:rsidRPr="00234417">
          <w:rPr>
            <w:rStyle w:val="TextoNormalCaracter"/>
          </w:rPr>
          <w:t>47/2013</w:t>
        </w:r>
      </w:hyperlink>
      <w:r w:rsidRPr="00234417">
        <w:rPr>
          <w:rStyle w:val="TextoNormalCaracter"/>
        </w:rPr>
        <w:t>, f. 4.</w:t>
      </w:r>
    </w:p>
    <w:p w:rsidR="00234417" w:rsidRPr="00234417" w:rsidRDefault="00234417" w:rsidP="00234417">
      <w:pPr>
        <w:pStyle w:val="TextoNormalSangraFrancesa"/>
        <w:rPr>
          <w:rStyle w:val="TextoNormalCaracter"/>
        </w:rPr>
      </w:pPr>
      <w:bookmarkStart w:id="1869" w:name="DESCRIPTORALFABETICO694"/>
      <w:r w:rsidRPr="00234417">
        <w:rPr>
          <w:rStyle w:val="TextoNormalNegritaCaracter"/>
        </w:rPr>
        <w:t>Normas de contenido heterogéneo</w:t>
      </w:r>
      <w:bookmarkEnd w:id="1869"/>
      <w:r w:rsidRPr="00234417">
        <w:rPr>
          <w:rStyle w:val="TextoNormalCaracter"/>
        </w:rPr>
        <w:t xml:space="preserve">, Sentencias </w:t>
      </w:r>
      <w:hyperlink w:anchor="SENTENCIA_2013_36" w:history="1">
        <w:r w:rsidRPr="00234417">
          <w:rPr>
            <w:rStyle w:val="TextoNormalCaracter"/>
          </w:rPr>
          <w:t>36/2013</w:t>
        </w:r>
      </w:hyperlink>
      <w:r w:rsidRPr="00234417">
        <w:rPr>
          <w:rStyle w:val="TextoNormalCaracter"/>
        </w:rPr>
        <w:t xml:space="preserve">, f. 3; </w:t>
      </w:r>
      <w:hyperlink w:anchor="SENTENCIA_2013_132" w:history="1">
        <w:r w:rsidRPr="00234417">
          <w:rPr>
            <w:rStyle w:val="TextoNormalCaracter"/>
          </w:rPr>
          <w:t>132/2013</w:t>
        </w:r>
      </w:hyperlink>
      <w:r w:rsidRPr="00234417">
        <w:rPr>
          <w:rStyle w:val="TextoNormalCaracter"/>
        </w:rPr>
        <w:t>, ff. 1, 3.</w:t>
      </w:r>
    </w:p>
    <w:p w:rsidR="00234417" w:rsidRPr="00234417" w:rsidRDefault="00234417" w:rsidP="00234417">
      <w:pPr>
        <w:pStyle w:val="TextoNormalSangraFrancesa"/>
        <w:rPr>
          <w:rStyle w:val="TextoNormalNegritaCaracter"/>
        </w:rPr>
      </w:pPr>
      <w:r w:rsidRPr="00234417">
        <w:rPr>
          <w:rStyle w:val="TextoNormalCursivaCaracter"/>
        </w:rPr>
        <w:t>Normas derogadas</w:t>
      </w:r>
      <w:r>
        <w:t xml:space="preserve"> véase </w:t>
      </w:r>
      <w:hyperlink w:anchor="DESCRIPTORALFABETICO685" w:history="1">
        <w:r w:rsidRPr="00234417">
          <w:rPr>
            <w:rStyle w:val="TextoNormalNegritaCaracter"/>
          </w:rPr>
          <w:t>Derogación de normas jurídicas</w:t>
        </w:r>
      </w:hyperlink>
    </w:p>
    <w:p w:rsidR="00234417" w:rsidRPr="00234417" w:rsidRDefault="00234417" w:rsidP="00234417">
      <w:pPr>
        <w:pStyle w:val="TextoNormalSangraFrancesa"/>
        <w:rPr>
          <w:rStyle w:val="TextoNormalNegritaCaracter"/>
        </w:rPr>
      </w:pPr>
      <w:r w:rsidRPr="00234417">
        <w:rPr>
          <w:rStyle w:val="TextoNormalCursivaCaracter"/>
        </w:rPr>
        <w:t>Normas heterogéneas</w:t>
      </w:r>
      <w:r>
        <w:t xml:space="preserve"> véase </w:t>
      </w:r>
      <w:hyperlink w:anchor="DESCRIPTORALFABETICO694" w:history="1">
        <w:r w:rsidRPr="00234417">
          <w:rPr>
            <w:rStyle w:val="TextoNormalNegritaCaracter"/>
          </w:rPr>
          <w:t>Normas de contenido heterogéneo</w:t>
        </w:r>
      </w:hyperlink>
    </w:p>
    <w:p w:rsidR="00234417" w:rsidRPr="00234417" w:rsidRDefault="00234417" w:rsidP="00234417">
      <w:pPr>
        <w:pStyle w:val="TextoNormalSangraFrancesa"/>
        <w:rPr>
          <w:rStyle w:val="TextoNormalCaracter"/>
        </w:rPr>
      </w:pPr>
      <w:bookmarkStart w:id="1870" w:name="DESCRIPTORALFABETICO683"/>
      <w:r w:rsidRPr="00234417">
        <w:rPr>
          <w:rStyle w:val="TextoNormalNegritaCaracter"/>
        </w:rPr>
        <w:t>Normas jurídicas</w:t>
      </w:r>
      <w:bookmarkEnd w:id="1870"/>
      <w:r w:rsidRPr="00234417">
        <w:rPr>
          <w:rStyle w:val="TextoNormalCaracter"/>
        </w:rPr>
        <w:t xml:space="preserve">, Sentencia </w:t>
      </w:r>
      <w:hyperlink w:anchor="SENTENCIA_2013_129" w:history="1">
        <w:r w:rsidRPr="00234417">
          <w:rPr>
            <w:rStyle w:val="TextoNormalCaracter"/>
          </w:rPr>
          <w:t>129/2013</w:t>
        </w:r>
      </w:hyperlink>
      <w:r w:rsidRPr="00234417">
        <w:rPr>
          <w:rStyle w:val="TextoNormalCaracter"/>
        </w:rPr>
        <w:t>, ff. 4 a 7.</w:t>
      </w:r>
    </w:p>
    <w:p w:rsidR="00234417" w:rsidRPr="00234417" w:rsidRDefault="00234417" w:rsidP="00234417">
      <w:pPr>
        <w:pStyle w:val="TextoNormalSangraFrancesa"/>
        <w:rPr>
          <w:rStyle w:val="TextoNormalCaracter"/>
        </w:rPr>
      </w:pPr>
      <w:bookmarkStart w:id="1871" w:name="DESCRIPTORALFABETICO696"/>
      <w:r w:rsidRPr="00234417">
        <w:rPr>
          <w:rStyle w:val="TextoNormalNegritaCaracter"/>
        </w:rPr>
        <w:t>Normas preconstitucionales</w:t>
      </w:r>
      <w:bookmarkEnd w:id="1871"/>
      <w:r w:rsidRPr="00234417">
        <w:rPr>
          <w:rStyle w:val="TextoNormalCaracter"/>
        </w:rPr>
        <w:t xml:space="preserve">, Sentencia </w:t>
      </w:r>
      <w:hyperlink w:anchor="SENTENCIA_2013_137" w:history="1">
        <w:r w:rsidRPr="00234417">
          <w:rPr>
            <w:rStyle w:val="TextoNormalCaracter"/>
          </w:rPr>
          <w:t>137/2013</w:t>
        </w:r>
      </w:hyperlink>
      <w:r w:rsidRPr="00234417">
        <w:rPr>
          <w:rStyle w:val="TextoNormalCaracter"/>
        </w:rPr>
        <w:t>, f. 2.</w:t>
      </w:r>
    </w:p>
    <w:p w:rsidR="00234417" w:rsidRPr="00234417" w:rsidRDefault="00234417" w:rsidP="00234417">
      <w:pPr>
        <w:pStyle w:val="TextoNormalSangraFrancesa"/>
        <w:rPr>
          <w:rStyle w:val="TextoNormalCaracter"/>
        </w:rPr>
      </w:pPr>
      <w:bookmarkStart w:id="1872" w:name="DESCRIPTORALFABETICO671"/>
      <w:r w:rsidRPr="00234417">
        <w:rPr>
          <w:rStyle w:val="TextoNormalNegritaCaracter"/>
        </w:rPr>
        <w:t>Normas procesales autonómicas</w:t>
      </w:r>
      <w:bookmarkEnd w:id="1872"/>
      <w:r w:rsidRPr="00234417">
        <w:rPr>
          <w:rStyle w:val="TextoNormalCaracter"/>
        </w:rPr>
        <w:t xml:space="preserve">, Sentencia </w:t>
      </w:r>
      <w:hyperlink w:anchor="SENTENCIA_2013_42" w:history="1">
        <w:r w:rsidRPr="00234417">
          <w:rPr>
            <w:rStyle w:val="TextoNormalCaracter"/>
          </w:rPr>
          <w:t>42/2013</w:t>
        </w:r>
      </w:hyperlink>
      <w:r w:rsidRPr="00234417">
        <w:rPr>
          <w:rStyle w:val="TextoNormalCaracter"/>
        </w:rPr>
        <w:t>, ff. 1, 3.</w:t>
      </w:r>
    </w:p>
    <w:p w:rsidR="00234417" w:rsidRPr="00234417" w:rsidRDefault="00234417" w:rsidP="00234417">
      <w:pPr>
        <w:pStyle w:val="TextoNormalSangraFrancesa"/>
        <w:rPr>
          <w:rStyle w:val="TextoNormalNegritaCaracter"/>
        </w:rPr>
      </w:pPr>
      <w:r w:rsidRPr="00234417">
        <w:rPr>
          <w:rStyle w:val="TextoNormalCursivaCaracter"/>
        </w:rPr>
        <w:t>Normas procesales derivadas de las particularidades del Derecho sustantivo autonómico</w:t>
      </w:r>
      <w:r>
        <w:t xml:space="preserve"> véase </w:t>
      </w:r>
      <w:hyperlink w:anchor="DESCRIPTORALFABETICO671" w:history="1">
        <w:r w:rsidRPr="00234417">
          <w:rPr>
            <w:rStyle w:val="TextoNormalNegritaCaracter"/>
          </w:rPr>
          <w:t>Normas procesales autonómicas</w:t>
        </w:r>
      </w:hyperlink>
    </w:p>
    <w:p w:rsidR="00234417" w:rsidRPr="00234417" w:rsidRDefault="00234417" w:rsidP="00234417">
      <w:pPr>
        <w:pStyle w:val="TextoNormalSangraFrancesa"/>
        <w:rPr>
          <w:rStyle w:val="TextoNormalNegritaCaracter"/>
        </w:rPr>
      </w:pPr>
      <w:r w:rsidRPr="00234417">
        <w:rPr>
          <w:rStyle w:val="TextoNormalCursivaCaracter"/>
        </w:rPr>
        <w:t>Normas transitorias</w:t>
      </w:r>
      <w:r>
        <w:t xml:space="preserve"> véase </w:t>
      </w:r>
      <w:hyperlink w:anchor="DESCRIPTORALFABETICO687" w:history="1">
        <w:r w:rsidRPr="00234417">
          <w:rPr>
            <w:rStyle w:val="TextoNormalNegritaCaracter"/>
          </w:rPr>
          <w:t>Derecho transitorio</w:t>
        </w:r>
      </w:hyperlink>
    </w:p>
    <w:p w:rsidR="00234417" w:rsidRPr="00234417" w:rsidRDefault="00234417" w:rsidP="00234417">
      <w:pPr>
        <w:pStyle w:val="TextoNormalSangraFrancesa"/>
        <w:rPr>
          <w:rStyle w:val="TextoNormalNegritaCaracter"/>
        </w:rPr>
      </w:pPr>
      <w:r w:rsidRPr="00234417">
        <w:rPr>
          <w:rStyle w:val="TextoNormalCursivaCaracter"/>
        </w:rPr>
        <w:t>Normas tributarias retroactivas</w:t>
      </w:r>
      <w:r>
        <w:t xml:space="preserve"> véase </w:t>
      </w:r>
      <w:hyperlink w:anchor="DESCRIPTORALFABETICO688" w:history="1">
        <w:r w:rsidRPr="00234417">
          <w:rPr>
            <w:rStyle w:val="TextoNormalNegritaCaracter"/>
          </w:rPr>
          <w:t>Retroactividad de normas tributarias</w:t>
        </w:r>
      </w:hyperlink>
    </w:p>
    <w:p w:rsidR="00234417" w:rsidRPr="00234417" w:rsidRDefault="00234417" w:rsidP="00234417">
      <w:pPr>
        <w:pStyle w:val="TextoNormalSangraFrancesa"/>
        <w:rPr>
          <w:rStyle w:val="TextoNormalCaracter"/>
        </w:rPr>
      </w:pPr>
      <w:bookmarkStart w:id="1873" w:name="DESCRIPTORALFABETICO477"/>
      <w:r w:rsidRPr="00234417">
        <w:rPr>
          <w:rStyle w:val="TextoNormalNegritaCaracter"/>
        </w:rPr>
        <w:t>Notarios</w:t>
      </w:r>
      <w:bookmarkEnd w:id="1873"/>
      <w:r w:rsidRPr="00234417">
        <w:rPr>
          <w:rStyle w:val="TextoNormalCaracter"/>
        </w:rPr>
        <w:t xml:space="preserve">, Sentencia </w:t>
      </w:r>
      <w:hyperlink w:anchor="SENTENCIA_2013_94" w:history="1">
        <w:r w:rsidRPr="00234417">
          <w:rPr>
            <w:rStyle w:val="TextoNormalCaracter"/>
          </w:rPr>
          <w:t>94/2013</w:t>
        </w:r>
      </w:hyperlink>
      <w:r w:rsidRPr="00234417">
        <w:rPr>
          <w:rStyle w:val="TextoNormalCaracter"/>
        </w:rPr>
        <w:t>, f. 7.</w:t>
      </w:r>
    </w:p>
    <w:p w:rsidR="00234417" w:rsidRPr="00234417" w:rsidRDefault="00234417" w:rsidP="00234417">
      <w:pPr>
        <w:pStyle w:val="TextoNormalSangraFrancesa"/>
        <w:rPr>
          <w:rStyle w:val="TextoNormalCaracter"/>
        </w:rPr>
      </w:pPr>
      <w:bookmarkStart w:id="1874" w:name="DESCRIPTORALFABETICO807"/>
      <w:r w:rsidRPr="00234417">
        <w:rPr>
          <w:rStyle w:val="TextoNormalNegritaCaracter"/>
        </w:rPr>
        <w:t>Notificación a terceros interesados</w:t>
      </w:r>
      <w:bookmarkEnd w:id="1874"/>
      <w:r w:rsidRPr="00234417">
        <w:rPr>
          <w:rStyle w:val="TextoNormalCaracter"/>
        </w:rPr>
        <w:t xml:space="preserve">, Sentencia </w:t>
      </w:r>
      <w:hyperlink w:anchor="SENTENCIA_2013_79" w:history="1">
        <w:r w:rsidRPr="00234417">
          <w:rPr>
            <w:rStyle w:val="TextoNormalCaracter"/>
          </w:rPr>
          <w:t>79/2013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1875" w:name="DESCRIPTORALFABETICO808"/>
      <w:r w:rsidRPr="00234417">
        <w:rPr>
          <w:rStyle w:val="TextoNormalNegritaCaracter"/>
        </w:rPr>
        <w:t>Notificación a través del servicio de notificaciones del Colegio de procuradores</w:t>
      </w:r>
      <w:bookmarkEnd w:id="1875"/>
      <w:r w:rsidRPr="00234417">
        <w:rPr>
          <w:rStyle w:val="TextoNormalCaracter"/>
        </w:rPr>
        <w:t xml:space="preserve">, Auto </w:t>
      </w:r>
      <w:hyperlink w:anchor="AUTO_2013_145" w:history="1">
        <w:r w:rsidRPr="00234417">
          <w:rPr>
            <w:rStyle w:val="TextoNormalCaracter"/>
          </w:rPr>
          <w:t>145/2013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876" w:name="DESCRIPTORALFABETICO632"/>
      <w:r w:rsidRPr="00234417">
        <w:rPr>
          <w:rStyle w:val="TextoNormalNegritaCaracter"/>
        </w:rPr>
        <w:t>Notificación de actuaciones urbanísticas sobre bienes públicos</w:t>
      </w:r>
      <w:bookmarkEnd w:id="1876"/>
      <w:r w:rsidRPr="00234417">
        <w:rPr>
          <w:rStyle w:val="TextoNormalCaracter"/>
        </w:rPr>
        <w:t xml:space="preserve">, Sentencia </w:t>
      </w:r>
      <w:hyperlink w:anchor="SENTENCIA_2013_94" w:history="1">
        <w:r w:rsidRPr="00234417">
          <w:rPr>
            <w:rStyle w:val="TextoNormalCaracter"/>
          </w:rPr>
          <w:t>94/2013</w:t>
        </w:r>
      </w:hyperlink>
      <w:r w:rsidRPr="00234417">
        <w:rPr>
          <w:rStyle w:val="TextoNormalCaracter"/>
        </w:rPr>
        <w:t>, ff. 5 a 8, VP I, VP II.</w:t>
      </w:r>
    </w:p>
    <w:p w:rsidR="00234417" w:rsidRPr="00234417" w:rsidRDefault="00234417" w:rsidP="00234417">
      <w:pPr>
        <w:pStyle w:val="TextoNormalSangraFrancesa"/>
        <w:rPr>
          <w:rStyle w:val="TextoNormalNegritaCaracter"/>
        </w:rPr>
      </w:pPr>
      <w:r w:rsidRPr="00234417">
        <w:rPr>
          <w:rStyle w:val="TextoNormalCursivaCaracter"/>
        </w:rPr>
        <w:t>Notificación de resoluciones judiciales</w:t>
      </w:r>
      <w:r>
        <w:t xml:space="preserve"> véase </w:t>
      </w:r>
      <w:hyperlink w:anchor="DESCRIPTORALFABETICO805" w:history="1">
        <w:r w:rsidRPr="00234417">
          <w:rPr>
            <w:rStyle w:val="TextoNormalNegritaCaracter"/>
          </w:rPr>
          <w:t>Notificación judicial</w:t>
        </w:r>
      </w:hyperlink>
    </w:p>
    <w:p w:rsidR="00234417" w:rsidRPr="00234417" w:rsidRDefault="00234417" w:rsidP="00234417">
      <w:pPr>
        <w:pStyle w:val="TextoNormalSangraFrancesa"/>
        <w:rPr>
          <w:rStyle w:val="TextoNormalCaracter"/>
        </w:rPr>
      </w:pPr>
      <w:bookmarkStart w:id="1877" w:name="DESCRIPTORALFABETICO805"/>
      <w:r w:rsidRPr="00234417">
        <w:rPr>
          <w:rStyle w:val="TextoNormalNegritaCaracter"/>
        </w:rPr>
        <w:t>Notificación judicial</w:t>
      </w:r>
      <w:bookmarkEnd w:id="1877"/>
      <w:r w:rsidRPr="00234417">
        <w:rPr>
          <w:rStyle w:val="TextoNormalCaracter"/>
        </w:rPr>
        <w:t xml:space="preserve">, Sentencia </w:t>
      </w:r>
      <w:hyperlink w:anchor="SENTENCIA_2013_79" w:history="1">
        <w:r w:rsidRPr="00234417">
          <w:rPr>
            <w:rStyle w:val="TextoNormalCaracter"/>
          </w:rPr>
          <w:t>79/2013</w:t>
        </w:r>
      </w:hyperlink>
      <w:r w:rsidRPr="00234417">
        <w:rPr>
          <w:rStyle w:val="TextoNormalCaracter"/>
        </w:rPr>
        <w:t>, f. 5.</w:t>
      </w:r>
    </w:p>
    <w:p w:rsidR="00234417" w:rsidRPr="00234417" w:rsidRDefault="00234417" w:rsidP="00234417">
      <w:pPr>
        <w:pStyle w:val="TextoNormalSangraFrancesa"/>
        <w:rPr>
          <w:rStyle w:val="TextoNormalCaracter"/>
        </w:rPr>
      </w:pPr>
      <w:bookmarkStart w:id="1878" w:name="DESCRIPTORALFABETICO852"/>
      <w:r w:rsidRPr="00234417">
        <w:rPr>
          <w:rStyle w:val="TextoNormalNegritaCaracter"/>
        </w:rPr>
        <w:t>Nueva valoración de la prueba en segunda instancia</w:t>
      </w:r>
      <w:bookmarkEnd w:id="1878"/>
      <w:r w:rsidRPr="00234417">
        <w:rPr>
          <w:rStyle w:val="TextoNormalCaracter"/>
        </w:rPr>
        <w:t xml:space="preserve">, Sentencias </w:t>
      </w:r>
      <w:hyperlink w:anchor="SENTENCIA_2013_2" w:history="1">
        <w:r w:rsidRPr="00234417">
          <w:rPr>
            <w:rStyle w:val="TextoNormalCaracter"/>
          </w:rPr>
          <w:t>2/2013</w:t>
        </w:r>
      </w:hyperlink>
      <w:r w:rsidRPr="00234417">
        <w:rPr>
          <w:rStyle w:val="TextoNormalCaracter"/>
        </w:rPr>
        <w:t xml:space="preserve">, ff. 6, 8; </w:t>
      </w:r>
      <w:hyperlink w:anchor="SENTENCIA_2013_43" w:history="1">
        <w:r w:rsidRPr="00234417">
          <w:rPr>
            <w:rStyle w:val="TextoNormalCaracter"/>
          </w:rPr>
          <w:t>43/2013</w:t>
        </w:r>
      </w:hyperlink>
      <w:r w:rsidRPr="00234417">
        <w:rPr>
          <w:rStyle w:val="TextoNormalCaracter"/>
        </w:rPr>
        <w:t xml:space="preserve">, ff. 4 a 7; </w:t>
      </w:r>
      <w:hyperlink w:anchor="SENTENCIA_2013_88" w:history="1">
        <w:r w:rsidRPr="00234417">
          <w:rPr>
            <w:rStyle w:val="TextoNormalCaracter"/>
          </w:rPr>
          <w:t>88/2013</w:t>
        </w:r>
      </w:hyperlink>
      <w:r w:rsidRPr="00234417">
        <w:rPr>
          <w:rStyle w:val="TextoNormalCaracter"/>
        </w:rPr>
        <w:t xml:space="preserve">, ff. 9, 12; </w:t>
      </w:r>
      <w:hyperlink w:anchor="SENTENCIA_2013_105" w:history="1">
        <w:r w:rsidRPr="00234417">
          <w:rPr>
            <w:rStyle w:val="TextoNormalCaracter"/>
          </w:rPr>
          <w:t>105/2013</w:t>
        </w:r>
      </w:hyperlink>
      <w:r w:rsidRPr="00234417">
        <w:rPr>
          <w:rStyle w:val="TextoNormalCaracter"/>
        </w:rPr>
        <w:t xml:space="preserve">, ff. 1, 3, 4, 8; </w:t>
      </w:r>
      <w:hyperlink w:anchor="SENTENCIA_2013_118" w:history="1">
        <w:r w:rsidRPr="00234417">
          <w:rPr>
            <w:rStyle w:val="TextoNormalCaracter"/>
          </w:rPr>
          <w:t>118/2013</w:t>
        </w:r>
      </w:hyperlink>
      <w:r w:rsidRPr="00234417">
        <w:rPr>
          <w:rStyle w:val="TextoNormalCaracter"/>
        </w:rPr>
        <w:t xml:space="preserve">, ff. 2 a 5; </w:t>
      </w:r>
      <w:hyperlink w:anchor="SENTENCIA_2013_119" w:history="1">
        <w:r w:rsidRPr="00234417">
          <w:rPr>
            <w:rStyle w:val="TextoNormalCaracter"/>
          </w:rPr>
          <w:t>119/2013</w:t>
        </w:r>
      </w:hyperlink>
      <w:r w:rsidRPr="00234417">
        <w:rPr>
          <w:rStyle w:val="TextoNormalCaracter"/>
        </w:rPr>
        <w:t xml:space="preserve">, ff. 2 a 5; </w:t>
      </w:r>
      <w:hyperlink w:anchor="SENTENCIA_2013_120" w:history="1">
        <w:r w:rsidRPr="00234417">
          <w:rPr>
            <w:rStyle w:val="TextoNormalCaracter"/>
          </w:rPr>
          <w:t>120/2013</w:t>
        </w:r>
      </w:hyperlink>
      <w:r w:rsidRPr="00234417">
        <w:rPr>
          <w:rStyle w:val="TextoNormalCaracter"/>
        </w:rPr>
        <w:t>, ff. 2 a 5.</w:t>
      </w:r>
    </w:p>
    <w:p w:rsidR="00234417" w:rsidRPr="00234417" w:rsidRDefault="00234417" w:rsidP="00234417">
      <w:pPr>
        <w:pStyle w:val="TextoNormalSangraFrancesa"/>
        <w:rPr>
          <w:rStyle w:val="TextoNormalCaracter"/>
        </w:rPr>
      </w:pPr>
      <w:bookmarkStart w:id="1879" w:name="DESCRIPTORALFABETICO337"/>
      <w:r w:rsidRPr="00234417">
        <w:rPr>
          <w:rStyle w:val="TextoNormalNegritaCaracter"/>
        </w:rPr>
        <w:t>Nulidad de resolución sin retroacción de actuaciones</w:t>
      </w:r>
      <w:bookmarkEnd w:id="1879"/>
      <w:r w:rsidRPr="00234417">
        <w:rPr>
          <w:rStyle w:val="TextoNormalCaracter"/>
        </w:rPr>
        <w:t xml:space="preserve">, Sentencias </w:t>
      </w:r>
      <w:hyperlink w:anchor="SENTENCIA_2013_71" w:history="1">
        <w:r w:rsidRPr="00234417">
          <w:rPr>
            <w:rStyle w:val="TextoNormalCaracter"/>
          </w:rPr>
          <w:t>71/2013</w:t>
        </w:r>
      </w:hyperlink>
      <w:r w:rsidRPr="00234417">
        <w:rPr>
          <w:rStyle w:val="TextoNormalCaracter"/>
        </w:rPr>
        <w:t xml:space="preserve">, f. 4; </w:t>
      </w:r>
      <w:hyperlink w:anchor="SENTENCIA_2013_117" w:history="1">
        <w:r w:rsidRPr="00234417">
          <w:rPr>
            <w:rStyle w:val="TextoNormalCaracter"/>
          </w:rPr>
          <w:t>117/2013</w:t>
        </w:r>
      </w:hyperlink>
      <w:r w:rsidRPr="00234417">
        <w:rPr>
          <w:rStyle w:val="TextoNormalCaracter"/>
        </w:rPr>
        <w:t>, f. 2.</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O</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1880" w:name="DESCRIPTORALFABETICO269"/>
      <w:r w:rsidRPr="00234417">
        <w:rPr>
          <w:rStyle w:val="TextoNormalNegritaCaracter"/>
        </w:rPr>
        <w:t>Objeto del conflicto positivo de competencia</w:t>
      </w:r>
      <w:bookmarkEnd w:id="1880"/>
      <w:r w:rsidRPr="00234417">
        <w:rPr>
          <w:rStyle w:val="TextoNormalCaracter"/>
        </w:rPr>
        <w:t xml:space="preserve">, Auto </w:t>
      </w:r>
      <w:hyperlink w:anchor="AUTO_2013_33" w:history="1">
        <w:r w:rsidRPr="00234417">
          <w:rPr>
            <w:rStyle w:val="TextoNormalCaracter"/>
          </w:rPr>
          <w:t>33/2013</w:t>
        </w:r>
      </w:hyperlink>
      <w:r w:rsidRPr="00234417">
        <w:rPr>
          <w:rStyle w:val="TextoNormalCaracter"/>
        </w:rPr>
        <w:t>, ff. 2 a 6.</w:t>
      </w:r>
    </w:p>
    <w:p w:rsidR="00234417" w:rsidRPr="00234417" w:rsidRDefault="00234417" w:rsidP="00234417">
      <w:pPr>
        <w:pStyle w:val="TextoNormalSangraFrancesa"/>
        <w:rPr>
          <w:rStyle w:val="TextoNormalNegritaCaracter"/>
        </w:rPr>
      </w:pPr>
      <w:r w:rsidRPr="00234417">
        <w:rPr>
          <w:rStyle w:val="TextoNormalCursivaCaracter"/>
        </w:rPr>
        <w:t>Objeto imponible</w:t>
      </w:r>
      <w:r>
        <w:t xml:space="preserve"> véase </w:t>
      </w:r>
      <w:hyperlink w:anchor="DESCRIPTORALFABETICO108" w:history="1">
        <w:r w:rsidRPr="00234417">
          <w:rPr>
            <w:rStyle w:val="TextoNormalNegritaCaracter"/>
          </w:rPr>
          <w:t>Materia imponible</w:t>
        </w:r>
      </w:hyperlink>
    </w:p>
    <w:p w:rsidR="00234417" w:rsidRPr="00234417" w:rsidRDefault="00234417" w:rsidP="00234417">
      <w:pPr>
        <w:pStyle w:val="TextoNormalSangraFrancesa"/>
        <w:rPr>
          <w:rStyle w:val="TextoNormalCaracter"/>
        </w:rPr>
      </w:pPr>
      <w:bookmarkStart w:id="1881" w:name="DESCRIPTORALFABETICO483"/>
      <w:r w:rsidRPr="00234417">
        <w:rPr>
          <w:rStyle w:val="TextoNormalNegritaCaracter"/>
        </w:rPr>
        <w:t>Obras hidráulicas</w:t>
      </w:r>
      <w:bookmarkEnd w:id="1881"/>
      <w:r w:rsidRPr="00234417">
        <w:rPr>
          <w:rStyle w:val="TextoNormalCaracter"/>
        </w:rPr>
        <w:t xml:space="preserve">, Sentencias </w:t>
      </w:r>
      <w:hyperlink w:anchor="SENTENCIA_2013_104" w:history="1">
        <w:r w:rsidRPr="00234417">
          <w:rPr>
            <w:rStyle w:val="TextoNormalCaracter"/>
          </w:rPr>
          <w:t>104/2013</w:t>
        </w:r>
      </w:hyperlink>
      <w:r w:rsidRPr="00234417">
        <w:rPr>
          <w:rStyle w:val="TextoNormalCaracter"/>
        </w:rPr>
        <w:t xml:space="preserve">, f. 6; </w:t>
      </w:r>
      <w:hyperlink w:anchor="SENTENCIA_2013_111" w:history="1">
        <w:r w:rsidRPr="00234417">
          <w:rPr>
            <w:rStyle w:val="TextoNormalCaracter"/>
          </w:rPr>
          <w:t>111/2013</w:t>
        </w:r>
      </w:hyperlink>
      <w:r w:rsidRPr="00234417">
        <w:rPr>
          <w:rStyle w:val="TextoNormalCaracter"/>
        </w:rPr>
        <w:t>, f. 5.</w:t>
      </w:r>
    </w:p>
    <w:p w:rsidR="00234417" w:rsidRPr="00234417" w:rsidRDefault="00234417" w:rsidP="00234417">
      <w:pPr>
        <w:pStyle w:val="TextoNormalSangraFrancesa"/>
        <w:rPr>
          <w:rStyle w:val="TextoNormalCaracter"/>
        </w:rPr>
      </w:pPr>
      <w:bookmarkStart w:id="1882" w:name="DESCRIPTORALFABETICO753"/>
      <w:r w:rsidRPr="00234417">
        <w:rPr>
          <w:rStyle w:val="TextoNormalNegritaCaracter"/>
        </w:rPr>
        <w:t>Oficinas de farmacia</w:t>
      </w:r>
      <w:bookmarkEnd w:id="1882"/>
      <w:r w:rsidRPr="00234417">
        <w:rPr>
          <w:rStyle w:val="TextoNormalCaracter"/>
        </w:rPr>
        <w:t xml:space="preserve">, Sentencia </w:t>
      </w:r>
      <w:hyperlink w:anchor="SENTENCIA_2013_137" w:history="1">
        <w:r w:rsidRPr="00234417">
          <w:rPr>
            <w:rStyle w:val="TextoNormalCaracter"/>
          </w:rPr>
          <w:t>137/2013</w:t>
        </w:r>
      </w:hyperlink>
      <w:r w:rsidRPr="00234417">
        <w:rPr>
          <w:rStyle w:val="TextoNormalCaracter"/>
        </w:rPr>
        <w:t>, ff. 3, 4, 6, 7.</w:t>
      </w:r>
    </w:p>
    <w:p w:rsidR="00234417" w:rsidRPr="00234417" w:rsidRDefault="00234417" w:rsidP="00234417">
      <w:pPr>
        <w:pStyle w:val="TextoNormalSangraFrancesa"/>
        <w:rPr>
          <w:rStyle w:val="TextoNormalNegritaCaracter"/>
        </w:rPr>
      </w:pPr>
      <w:r w:rsidRPr="00234417">
        <w:rPr>
          <w:rStyle w:val="TextoNormalCursivaCaracter"/>
        </w:rPr>
        <w:lastRenderedPageBreak/>
        <w:t>Omisión de notificación</w:t>
      </w:r>
      <w:r>
        <w:t xml:space="preserve"> véase </w:t>
      </w:r>
      <w:hyperlink w:anchor="DESCRIPTORALFABETICO806" w:history="1">
        <w:r w:rsidRPr="00234417">
          <w:rPr>
            <w:rStyle w:val="TextoNormalNegritaCaracter"/>
          </w:rPr>
          <w:t>Falta de notificación</w:t>
        </w:r>
      </w:hyperlink>
    </w:p>
    <w:p w:rsidR="00234417" w:rsidRPr="00234417" w:rsidRDefault="00234417" w:rsidP="00234417">
      <w:pPr>
        <w:pStyle w:val="TextoNormalSangraFrancesa"/>
        <w:rPr>
          <w:rStyle w:val="TextoNormalCaracter"/>
        </w:rPr>
      </w:pPr>
      <w:bookmarkStart w:id="1883" w:name="DESCRIPTORALFABETICO436"/>
      <w:r w:rsidRPr="00234417">
        <w:rPr>
          <w:rStyle w:val="TextoNormalNegritaCaracter"/>
        </w:rPr>
        <w:t>Opciones políticas</w:t>
      </w:r>
      <w:bookmarkEnd w:id="1883"/>
      <w:r w:rsidRPr="00234417">
        <w:rPr>
          <w:rStyle w:val="TextoNormalCaracter"/>
        </w:rPr>
        <w:t xml:space="preserve">, Sentencias </w:t>
      </w:r>
      <w:hyperlink w:anchor="SENTENCIA_2013_20" w:history="1">
        <w:r w:rsidRPr="00234417">
          <w:rPr>
            <w:rStyle w:val="TextoNormalCaracter"/>
          </w:rPr>
          <w:t>20/2013</w:t>
        </w:r>
      </w:hyperlink>
      <w:r w:rsidRPr="00234417">
        <w:rPr>
          <w:rStyle w:val="TextoNormalCaracter"/>
        </w:rPr>
        <w:t xml:space="preserve">, ff. 8, 10;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f. 4.</w:t>
      </w:r>
    </w:p>
    <w:p w:rsidR="00234417" w:rsidRPr="00234417" w:rsidRDefault="00234417" w:rsidP="00234417">
      <w:pPr>
        <w:pStyle w:val="TextoNormalSangraFrancesa"/>
        <w:rPr>
          <w:rStyle w:val="TextoNormalCaracter"/>
        </w:rPr>
      </w:pPr>
      <w:bookmarkStart w:id="1884" w:name="DESCRIPTORALFABETICO2"/>
      <w:r w:rsidRPr="00234417">
        <w:rPr>
          <w:rStyle w:val="TextoNormalNegritaCaracter"/>
        </w:rPr>
        <w:t>Orden constitucional de competencias</w:t>
      </w:r>
      <w:bookmarkEnd w:id="1884"/>
      <w:r w:rsidRPr="00234417">
        <w:rPr>
          <w:rStyle w:val="TextoNormalCaracter"/>
        </w:rPr>
        <w:t xml:space="preserve">, Sentencias </w:t>
      </w:r>
      <w:hyperlink w:anchor="SENTENCIA_2013_3" w:history="1">
        <w:r w:rsidRPr="00234417">
          <w:rPr>
            <w:rStyle w:val="TextoNormalCaracter"/>
          </w:rPr>
          <w:t>3/2013</w:t>
        </w:r>
      </w:hyperlink>
      <w:r w:rsidRPr="00234417">
        <w:rPr>
          <w:rStyle w:val="TextoNormalCaracter"/>
        </w:rPr>
        <w:t xml:space="preserve">, ff. 6 a 8; </w:t>
      </w:r>
      <w:hyperlink w:anchor="SENTENCIA_2013_6" w:history="1">
        <w:r w:rsidRPr="00234417">
          <w:rPr>
            <w:rStyle w:val="TextoNormalCaracter"/>
          </w:rPr>
          <w:t>6/2013</w:t>
        </w:r>
      </w:hyperlink>
      <w:r w:rsidRPr="00234417">
        <w:rPr>
          <w:rStyle w:val="TextoNormalCaracter"/>
        </w:rPr>
        <w:t xml:space="preserve">, ff. 1 a 7; </w:t>
      </w:r>
      <w:hyperlink w:anchor="SENTENCIA_2013_7" w:history="1">
        <w:r w:rsidRPr="00234417">
          <w:rPr>
            <w:rStyle w:val="TextoNormalCaracter"/>
          </w:rPr>
          <w:t>7/2013</w:t>
        </w:r>
      </w:hyperlink>
      <w:r w:rsidRPr="00234417">
        <w:rPr>
          <w:rStyle w:val="TextoNormalCaracter"/>
        </w:rPr>
        <w:t xml:space="preserve">, f. 5; </w:t>
      </w:r>
      <w:hyperlink w:anchor="SENTENCIA_2013_14" w:history="1">
        <w:r w:rsidRPr="00234417">
          <w:rPr>
            <w:rStyle w:val="TextoNormalCaracter"/>
          </w:rPr>
          <w:t>14/2013</w:t>
        </w:r>
      </w:hyperlink>
      <w:r w:rsidRPr="00234417">
        <w:rPr>
          <w:rStyle w:val="TextoNormalCaracter"/>
        </w:rPr>
        <w:t xml:space="preserve">, ff. 2, 4, 5; </w:t>
      </w:r>
      <w:hyperlink w:anchor="SENTENCIA_2013_15" w:history="1">
        <w:r w:rsidRPr="00234417">
          <w:rPr>
            <w:rStyle w:val="TextoNormalCaracter"/>
          </w:rPr>
          <w:t>15/2013</w:t>
        </w:r>
      </w:hyperlink>
      <w:r w:rsidRPr="00234417">
        <w:rPr>
          <w:rStyle w:val="TextoNormalCaracter"/>
        </w:rPr>
        <w:t xml:space="preserve">, ff. 3, 4; </w:t>
      </w:r>
      <w:hyperlink w:anchor="SENTENCIA_2013_16" w:history="1">
        <w:r w:rsidRPr="00234417">
          <w:rPr>
            <w:rStyle w:val="TextoNormalCaracter"/>
          </w:rPr>
          <w:t>16/2013</w:t>
        </w:r>
      </w:hyperlink>
      <w:r w:rsidRPr="00234417">
        <w:rPr>
          <w:rStyle w:val="TextoNormalCaracter"/>
        </w:rPr>
        <w:t xml:space="preserve">, ff. 3, 4, 6; </w:t>
      </w:r>
      <w:hyperlink w:anchor="SENTENCIA_2013_18" w:history="1">
        <w:r w:rsidRPr="00234417">
          <w:rPr>
            <w:rStyle w:val="TextoNormalCaracter"/>
          </w:rPr>
          <w:t>18/2013</w:t>
        </w:r>
      </w:hyperlink>
      <w:r w:rsidRPr="00234417">
        <w:rPr>
          <w:rStyle w:val="TextoNormalCaracter"/>
        </w:rPr>
        <w:t xml:space="preserve">, ff. 5, 6; </w:t>
      </w:r>
      <w:hyperlink w:anchor="SENTENCIA_2013_19" w:history="1">
        <w:r w:rsidRPr="00234417">
          <w:rPr>
            <w:rStyle w:val="TextoNormalCaracter"/>
          </w:rPr>
          <w:t>19/2013</w:t>
        </w:r>
      </w:hyperlink>
      <w:r w:rsidRPr="00234417">
        <w:rPr>
          <w:rStyle w:val="TextoNormalCaracter"/>
        </w:rPr>
        <w:t xml:space="preserve">, f. 3; </w:t>
      </w:r>
      <w:hyperlink w:anchor="SENTENCIA_2013_20" w:history="1">
        <w:r w:rsidRPr="00234417">
          <w:rPr>
            <w:rStyle w:val="TextoNormalCaracter"/>
          </w:rPr>
          <w:t>20/2013</w:t>
        </w:r>
      </w:hyperlink>
      <w:r w:rsidRPr="00234417">
        <w:rPr>
          <w:rStyle w:val="TextoNormalCaracter"/>
        </w:rPr>
        <w:t xml:space="preserve">, f. 4; </w:t>
      </w:r>
      <w:hyperlink w:anchor="SENTENCIA_2013_21" w:history="1">
        <w:r w:rsidRPr="00234417">
          <w:rPr>
            <w:rStyle w:val="TextoNormalCaracter"/>
          </w:rPr>
          <w:t>21/2013</w:t>
        </w:r>
      </w:hyperlink>
      <w:r w:rsidRPr="00234417">
        <w:rPr>
          <w:rStyle w:val="TextoNormalCaracter"/>
        </w:rPr>
        <w:t xml:space="preserve">, f. 5; </w:t>
      </w:r>
      <w:hyperlink w:anchor="SENTENCIA_2013_23" w:history="1">
        <w:r w:rsidRPr="00234417">
          <w:rPr>
            <w:rStyle w:val="TextoNormalCaracter"/>
          </w:rPr>
          <w:t>23/2013</w:t>
        </w:r>
      </w:hyperlink>
      <w:r w:rsidRPr="00234417">
        <w:rPr>
          <w:rStyle w:val="TextoNormalCaracter"/>
        </w:rPr>
        <w:t xml:space="preserve">, ff. 3 a 5; </w:t>
      </w:r>
      <w:hyperlink w:anchor="SENTENCIA_2013_24" w:history="1">
        <w:r w:rsidRPr="00234417">
          <w:rPr>
            <w:rStyle w:val="TextoNormalCaracter"/>
          </w:rPr>
          <w:t>24/2013</w:t>
        </w:r>
      </w:hyperlink>
      <w:r w:rsidRPr="00234417">
        <w:rPr>
          <w:rStyle w:val="TextoNormalCaracter"/>
        </w:rPr>
        <w:t xml:space="preserve">, f. 3; </w:t>
      </w:r>
      <w:hyperlink w:anchor="SENTENCIA_2013_34" w:history="1">
        <w:r w:rsidRPr="00234417">
          <w:rPr>
            <w:rStyle w:val="TextoNormalCaracter"/>
          </w:rPr>
          <w:t>34/2013</w:t>
        </w:r>
      </w:hyperlink>
      <w:r w:rsidRPr="00234417">
        <w:rPr>
          <w:rStyle w:val="TextoNormalCaracter"/>
        </w:rPr>
        <w:t xml:space="preserve">, ff. 2, 4, VP; </w:t>
      </w:r>
      <w:hyperlink w:anchor="SENTENCIA_2013_38" w:history="1">
        <w:r w:rsidRPr="00234417">
          <w:rPr>
            <w:rStyle w:val="TextoNormalCaracter"/>
          </w:rPr>
          <w:t>38/2013</w:t>
        </w:r>
      </w:hyperlink>
      <w:r w:rsidRPr="00234417">
        <w:rPr>
          <w:rStyle w:val="TextoNormalCaracter"/>
        </w:rPr>
        <w:t xml:space="preserve">, ff. 2 a 5; </w:t>
      </w:r>
      <w:hyperlink w:anchor="SENTENCIA_2013_40" w:history="1">
        <w:r w:rsidRPr="00234417">
          <w:rPr>
            <w:rStyle w:val="TextoNormalCaracter"/>
          </w:rPr>
          <w:t>40/2013</w:t>
        </w:r>
      </w:hyperlink>
      <w:r w:rsidRPr="00234417">
        <w:rPr>
          <w:rStyle w:val="TextoNormalCaracter"/>
        </w:rPr>
        <w:t xml:space="preserve">, f. 5; </w:t>
      </w:r>
      <w:hyperlink w:anchor="SENTENCIA_2013_46" w:history="1">
        <w:r w:rsidRPr="00234417">
          <w:rPr>
            <w:rStyle w:val="TextoNormalCaracter"/>
          </w:rPr>
          <w:t>46/2013</w:t>
        </w:r>
      </w:hyperlink>
      <w:r w:rsidRPr="00234417">
        <w:rPr>
          <w:rStyle w:val="TextoNormalCaracter"/>
        </w:rPr>
        <w:t xml:space="preserve">, ff. 3, 4; </w:t>
      </w:r>
      <w:hyperlink w:anchor="SENTENCIA_2013_47" w:history="1">
        <w:r w:rsidRPr="00234417">
          <w:rPr>
            <w:rStyle w:val="TextoNormalCaracter"/>
          </w:rPr>
          <w:t>47/2013</w:t>
        </w:r>
      </w:hyperlink>
      <w:r w:rsidRPr="00234417">
        <w:rPr>
          <w:rStyle w:val="TextoNormalCaracter"/>
        </w:rPr>
        <w:t xml:space="preserve">, ff. 3, 4; </w:t>
      </w:r>
      <w:hyperlink w:anchor="SENTENCIA_2013_48" w:history="1">
        <w:r w:rsidRPr="00234417">
          <w:rPr>
            <w:rStyle w:val="TextoNormalCaracter"/>
          </w:rPr>
          <w:t>48/2013</w:t>
        </w:r>
      </w:hyperlink>
      <w:r w:rsidRPr="00234417">
        <w:rPr>
          <w:rStyle w:val="TextoNormalCaracter"/>
        </w:rPr>
        <w:t xml:space="preserve">, ff. 3 a 5; </w:t>
      </w:r>
      <w:hyperlink w:anchor="SENTENCIA_2013_49" w:history="1">
        <w:r w:rsidRPr="00234417">
          <w:rPr>
            <w:rStyle w:val="TextoNormalCaracter"/>
          </w:rPr>
          <w:t>49/2013</w:t>
        </w:r>
      </w:hyperlink>
      <w:r w:rsidRPr="00234417">
        <w:rPr>
          <w:rStyle w:val="TextoNormalCaracter"/>
        </w:rPr>
        <w:t xml:space="preserve">, ff. 3, 4, 7; </w:t>
      </w:r>
      <w:hyperlink w:anchor="SENTENCIA_2013_50" w:history="1">
        <w:r w:rsidRPr="00234417">
          <w:rPr>
            <w:rStyle w:val="TextoNormalCaracter"/>
          </w:rPr>
          <w:t>50/2013</w:t>
        </w:r>
      </w:hyperlink>
      <w:r w:rsidRPr="00234417">
        <w:rPr>
          <w:rStyle w:val="TextoNormalCaracter"/>
        </w:rPr>
        <w:t xml:space="preserve">, ff. 3, 4; </w:t>
      </w:r>
      <w:hyperlink w:anchor="SENTENCIA_2013_52" w:history="1">
        <w:r w:rsidRPr="00234417">
          <w:rPr>
            <w:rStyle w:val="TextoNormalCaracter"/>
          </w:rPr>
          <w:t>52/2013</w:t>
        </w:r>
      </w:hyperlink>
      <w:r w:rsidRPr="00234417">
        <w:rPr>
          <w:rStyle w:val="TextoNormalCaracter"/>
        </w:rPr>
        <w:t xml:space="preserve">, f. 5; </w:t>
      </w:r>
      <w:hyperlink w:anchor="SENTENCIA_2013_59" w:history="1">
        <w:r w:rsidRPr="00234417">
          <w:rPr>
            <w:rStyle w:val="TextoNormalCaracter"/>
          </w:rPr>
          <w:t>59/2013</w:t>
        </w:r>
      </w:hyperlink>
      <w:r w:rsidRPr="00234417">
        <w:rPr>
          <w:rStyle w:val="TextoNormalCaracter"/>
        </w:rPr>
        <w:t xml:space="preserve">, ff. 3, 4; </w:t>
      </w:r>
      <w:hyperlink w:anchor="SENTENCIA_2013_63" w:history="1">
        <w:r w:rsidRPr="00234417">
          <w:rPr>
            <w:rStyle w:val="TextoNormalCaracter"/>
          </w:rPr>
          <w:t>63/2013</w:t>
        </w:r>
      </w:hyperlink>
      <w:r w:rsidRPr="00234417">
        <w:rPr>
          <w:rStyle w:val="TextoNormalCaracter"/>
        </w:rPr>
        <w:t xml:space="preserve">, ff. 2, 3; </w:t>
      </w:r>
      <w:hyperlink w:anchor="SENTENCIA_2013_66" w:history="1">
        <w:r w:rsidRPr="00234417">
          <w:rPr>
            <w:rStyle w:val="TextoNormalCaracter"/>
          </w:rPr>
          <w:t>66/2013</w:t>
        </w:r>
      </w:hyperlink>
      <w:r w:rsidRPr="00234417">
        <w:rPr>
          <w:rStyle w:val="TextoNormalCaracter"/>
        </w:rPr>
        <w:t xml:space="preserve">, ff. 3, 4;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xml:space="preserve">, f. 4; </w:t>
      </w:r>
      <w:hyperlink w:anchor="SENTENCIA_2013_70" w:history="1">
        <w:r w:rsidRPr="00234417">
          <w:rPr>
            <w:rStyle w:val="TextoNormalCaracter"/>
          </w:rPr>
          <w:t>70/2013</w:t>
        </w:r>
      </w:hyperlink>
      <w:r w:rsidRPr="00234417">
        <w:rPr>
          <w:rStyle w:val="TextoNormalCaracter"/>
        </w:rPr>
        <w:t xml:space="preserve">, ff. 3 a 6; </w:t>
      </w:r>
      <w:hyperlink w:anchor="SENTENCIA_2013_80" w:history="1">
        <w:r w:rsidRPr="00234417">
          <w:rPr>
            <w:rStyle w:val="TextoNormalCaracter"/>
          </w:rPr>
          <w:t>80/2013</w:t>
        </w:r>
      </w:hyperlink>
      <w:r w:rsidRPr="00234417">
        <w:rPr>
          <w:rStyle w:val="TextoNormalCaracter"/>
        </w:rPr>
        <w:t xml:space="preserve">, ff. 2, 3; </w:t>
      </w:r>
      <w:hyperlink w:anchor="SENTENCIA_2013_82" w:history="1">
        <w:r w:rsidRPr="00234417">
          <w:rPr>
            <w:rStyle w:val="TextoNormalCaracter"/>
          </w:rPr>
          <w:t>82/2013</w:t>
        </w:r>
      </w:hyperlink>
      <w:r w:rsidRPr="00234417">
        <w:rPr>
          <w:rStyle w:val="TextoNormalCaracter"/>
        </w:rPr>
        <w:t xml:space="preserve">, ff. 3, 4; </w:t>
      </w:r>
      <w:hyperlink w:anchor="SENTENCIA_2013_84" w:history="1">
        <w:r w:rsidRPr="00234417">
          <w:rPr>
            <w:rStyle w:val="TextoNormalCaracter"/>
          </w:rPr>
          <w:t>84/2013</w:t>
        </w:r>
      </w:hyperlink>
      <w:r w:rsidRPr="00234417">
        <w:rPr>
          <w:rStyle w:val="TextoNormalCaracter"/>
        </w:rPr>
        <w:t xml:space="preserve">, ff. 2, 4, 5; </w:t>
      </w:r>
      <w:hyperlink w:anchor="SENTENCIA_2013_89" w:history="1">
        <w:r w:rsidRPr="00234417">
          <w:rPr>
            <w:rStyle w:val="TextoNormalCaracter"/>
          </w:rPr>
          <w:t>89/2013</w:t>
        </w:r>
      </w:hyperlink>
      <w:r w:rsidRPr="00234417">
        <w:rPr>
          <w:rStyle w:val="TextoNormalCaracter"/>
        </w:rPr>
        <w:t xml:space="preserve">, ff. 2 a 4; </w:t>
      </w:r>
      <w:hyperlink w:anchor="SENTENCIA_2013_94" w:history="1">
        <w:r w:rsidRPr="00234417">
          <w:rPr>
            <w:rStyle w:val="TextoNormalCaracter"/>
          </w:rPr>
          <w:t>94/2013</w:t>
        </w:r>
      </w:hyperlink>
      <w:r w:rsidRPr="00234417">
        <w:rPr>
          <w:rStyle w:val="TextoNormalCaracter"/>
        </w:rPr>
        <w:t xml:space="preserve">, f. 7; </w:t>
      </w:r>
      <w:hyperlink w:anchor="SENTENCIA_2013_96" w:history="1">
        <w:r w:rsidRPr="00234417">
          <w:rPr>
            <w:rStyle w:val="TextoNormalCaracter"/>
          </w:rPr>
          <w:t>96/2013</w:t>
        </w:r>
      </w:hyperlink>
      <w:r w:rsidRPr="00234417">
        <w:rPr>
          <w:rStyle w:val="TextoNormalCaracter"/>
        </w:rPr>
        <w:t xml:space="preserve">, f. 5; </w:t>
      </w:r>
      <w:hyperlink w:anchor="SENTENCIA_2013_98" w:history="1">
        <w:r w:rsidRPr="00234417">
          <w:rPr>
            <w:rStyle w:val="TextoNormalCaracter"/>
          </w:rPr>
          <w:t>98/2013</w:t>
        </w:r>
      </w:hyperlink>
      <w:r w:rsidRPr="00234417">
        <w:rPr>
          <w:rStyle w:val="TextoNormalCaracter"/>
        </w:rPr>
        <w:t xml:space="preserve">, ff. 2 a 5; </w:t>
      </w:r>
      <w:hyperlink w:anchor="SENTENCIA_2013_99" w:history="1">
        <w:r w:rsidRPr="00234417">
          <w:rPr>
            <w:rStyle w:val="TextoNormalCaracter"/>
          </w:rPr>
          <w:t>99/2013</w:t>
        </w:r>
      </w:hyperlink>
      <w:r w:rsidRPr="00234417">
        <w:rPr>
          <w:rStyle w:val="TextoNormalCaracter"/>
        </w:rPr>
        <w:t xml:space="preserve">, ff. 4 a 8; </w:t>
      </w:r>
      <w:hyperlink w:anchor="SENTENCIA_2013_102" w:history="1">
        <w:r w:rsidRPr="00234417">
          <w:rPr>
            <w:rStyle w:val="TextoNormalCaracter"/>
          </w:rPr>
          <w:t>102/2013</w:t>
        </w:r>
      </w:hyperlink>
      <w:r w:rsidRPr="00234417">
        <w:rPr>
          <w:rStyle w:val="TextoNormalCaracter"/>
        </w:rPr>
        <w:t xml:space="preserve">, ff. 3, 4, 5, 6, 8, 9, 10, 11, 12; </w:t>
      </w:r>
      <w:hyperlink w:anchor="SENTENCIA_2013_104" w:history="1">
        <w:r w:rsidRPr="00234417">
          <w:rPr>
            <w:rStyle w:val="TextoNormalCaracter"/>
          </w:rPr>
          <w:t>104/2013</w:t>
        </w:r>
      </w:hyperlink>
      <w:r w:rsidRPr="00234417">
        <w:rPr>
          <w:rStyle w:val="TextoNormalCaracter"/>
        </w:rPr>
        <w:t xml:space="preserve">, ff. 3, 5, 6, 7; </w:t>
      </w:r>
      <w:hyperlink w:anchor="SENTENCIA_2013_111" w:history="1">
        <w:r w:rsidRPr="00234417">
          <w:rPr>
            <w:rStyle w:val="TextoNormalCaracter"/>
          </w:rPr>
          <w:t>111/2013</w:t>
        </w:r>
      </w:hyperlink>
      <w:r w:rsidRPr="00234417">
        <w:rPr>
          <w:rStyle w:val="TextoNormalCaracter"/>
        </w:rPr>
        <w:t xml:space="preserve">, f. 3; </w:t>
      </w:r>
      <w:hyperlink w:anchor="SENTENCIA_2013_112" w:history="1">
        <w:r w:rsidRPr="00234417">
          <w:rPr>
            <w:rStyle w:val="TextoNormalCaracter"/>
          </w:rPr>
          <w:t>112/2013</w:t>
        </w:r>
      </w:hyperlink>
      <w:r w:rsidRPr="00234417">
        <w:rPr>
          <w:rStyle w:val="TextoNormalCaracter"/>
        </w:rPr>
        <w:t xml:space="preserve">, f. 3; </w:t>
      </w:r>
      <w:hyperlink w:anchor="SENTENCIA_2013_123" w:history="1">
        <w:r w:rsidRPr="00234417">
          <w:rPr>
            <w:rStyle w:val="TextoNormalCaracter"/>
          </w:rPr>
          <w:t>123/2013</w:t>
        </w:r>
      </w:hyperlink>
      <w:r w:rsidRPr="00234417">
        <w:rPr>
          <w:rStyle w:val="TextoNormalCaracter"/>
        </w:rPr>
        <w:t xml:space="preserve">, ff. 4 a 8; </w:t>
      </w:r>
      <w:hyperlink w:anchor="SENTENCIA_2013_130" w:history="1">
        <w:r w:rsidRPr="00234417">
          <w:rPr>
            <w:rStyle w:val="TextoNormalCaracter"/>
          </w:rPr>
          <w:t>130/2013</w:t>
        </w:r>
      </w:hyperlink>
      <w:r w:rsidRPr="00234417">
        <w:rPr>
          <w:rStyle w:val="TextoNormalCaracter"/>
        </w:rPr>
        <w:t xml:space="preserve">, ff. 3, 4, 5, 6, 7, 8, 9, 10, 11, 12, 13, 14, VP; </w:t>
      </w:r>
      <w:hyperlink w:anchor="SENTENCIA_2013_131" w:history="1">
        <w:r w:rsidRPr="00234417">
          <w:rPr>
            <w:rStyle w:val="TextoNormalCaracter"/>
          </w:rPr>
          <w:t>131/2013</w:t>
        </w:r>
      </w:hyperlink>
      <w:r w:rsidRPr="00234417">
        <w:rPr>
          <w:rStyle w:val="TextoNormalCaracter"/>
        </w:rPr>
        <w:t xml:space="preserve">, ff. 3, 5, 6, 8 a 10; </w:t>
      </w:r>
      <w:hyperlink w:anchor="SENTENCIA_2013_134" w:history="1">
        <w:r w:rsidRPr="00234417">
          <w:rPr>
            <w:rStyle w:val="TextoNormalCaracter"/>
          </w:rPr>
          <w:t>134/2013</w:t>
        </w:r>
      </w:hyperlink>
      <w:r w:rsidRPr="00234417">
        <w:rPr>
          <w:rStyle w:val="TextoNormalCaracter"/>
        </w:rPr>
        <w:t xml:space="preserve">, f. 4; </w:t>
      </w:r>
      <w:hyperlink w:anchor="SENTENCIA_2013_135" w:history="1">
        <w:r w:rsidRPr="00234417">
          <w:rPr>
            <w:rStyle w:val="TextoNormalCaracter"/>
          </w:rPr>
          <w:t>135/2013</w:t>
        </w:r>
      </w:hyperlink>
      <w:r w:rsidRPr="00234417">
        <w:rPr>
          <w:rStyle w:val="TextoNormalCaracter"/>
        </w:rPr>
        <w:t xml:space="preserve">, ff. 4, 5, 6; </w:t>
      </w:r>
      <w:hyperlink w:anchor="SENTENCIA_2013_136" w:history="1">
        <w:r w:rsidRPr="00234417">
          <w:rPr>
            <w:rStyle w:val="TextoNormalCaracter"/>
          </w:rPr>
          <w:t>136/2013</w:t>
        </w:r>
      </w:hyperlink>
      <w:r w:rsidRPr="00234417">
        <w:rPr>
          <w:rStyle w:val="TextoNormalCaracter"/>
        </w:rPr>
        <w:t xml:space="preserve">, ff. 3 a 5; </w:t>
      </w:r>
      <w:hyperlink w:anchor="SENTENCIA_2013_138" w:history="1">
        <w:r w:rsidRPr="00234417">
          <w:rPr>
            <w:rStyle w:val="TextoNormalCaracter"/>
          </w:rPr>
          <w:t>138/2013</w:t>
        </w:r>
      </w:hyperlink>
      <w:r w:rsidRPr="00234417">
        <w:rPr>
          <w:rStyle w:val="TextoNormalCaracter"/>
        </w:rPr>
        <w:t>, f. 9.</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58" w:history="1">
        <w:r w:rsidRPr="00234417">
          <w:rPr>
            <w:rStyle w:val="TextoNormalCaracter"/>
          </w:rPr>
          <w:t>58/2013</w:t>
        </w:r>
      </w:hyperlink>
      <w:r w:rsidRPr="00234417">
        <w:rPr>
          <w:rStyle w:val="TextoNormalCaracter"/>
        </w:rPr>
        <w:t xml:space="preserve">, f. 1; </w:t>
      </w:r>
      <w:hyperlink w:anchor="AUTO_2013_85" w:history="1">
        <w:r w:rsidRPr="00234417">
          <w:rPr>
            <w:rStyle w:val="TextoNormalCaracter"/>
          </w:rPr>
          <w:t>85/2013</w:t>
        </w:r>
      </w:hyperlink>
      <w:r w:rsidRPr="00234417">
        <w:rPr>
          <w:rStyle w:val="TextoNormalCaracter"/>
        </w:rPr>
        <w:t>, ff. 2 a 6.</w:t>
      </w:r>
    </w:p>
    <w:p w:rsidR="00234417" w:rsidRPr="00234417" w:rsidRDefault="00234417" w:rsidP="00234417">
      <w:pPr>
        <w:pStyle w:val="TextoNormalSangraFrancesa"/>
        <w:rPr>
          <w:rStyle w:val="TextoNormalCaracter"/>
        </w:rPr>
      </w:pPr>
      <w:bookmarkStart w:id="1885" w:name="DESCRIPTORALFABETICO98"/>
      <w:r w:rsidRPr="00234417">
        <w:rPr>
          <w:rStyle w:val="TextoNormalNegritaCaracter"/>
        </w:rPr>
        <w:t>Ordenación del sector eléctrico</w:t>
      </w:r>
      <w:bookmarkEnd w:id="1885"/>
      <w:r w:rsidRPr="00234417">
        <w:rPr>
          <w:rStyle w:val="TextoNormalCaracter"/>
        </w:rPr>
        <w:t xml:space="preserve">, Sentencia </w:t>
      </w:r>
      <w:hyperlink w:anchor="SENTENCIA_2013_123" w:history="1">
        <w:r w:rsidRPr="00234417">
          <w:rPr>
            <w:rStyle w:val="TextoNormalCaracter"/>
          </w:rPr>
          <w:t>123/2013</w:t>
        </w:r>
      </w:hyperlink>
      <w:r w:rsidRPr="00234417">
        <w:rPr>
          <w:rStyle w:val="TextoNormalCaracter"/>
        </w:rPr>
        <w:t>, ff. 4 a 8.</w:t>
      </w:r>
    </w:p>
    <w:p w:rsidR="00234417" w:rsidRPr="00234417" w:rsidRDefault="00234417" w:rsidP="00234417">
      <w:pPr>
        <w:pStyle w:val="TextoNormalSangraFrancesa"/>
        <w:rPr>
          <w:rStyle w:val="TextoNormalCaracter"/>
        </w:rPr>
      </w:pPr>
      <w:bookmarkStart w:id="1886" w:name="DESCRIPTORALFABETICO629"/>
      <w:r w:rsidRPr="00234417">
        <w:rPr>
          <w:rStyle w:val="TextoNormalNegritaCaracter"/>
        </w:rPr>
        <w:t>Ordenación del territorio</w:t>
      </w:r>
      <w:bookmarkEnd w:id="1886"/>
      <w:r w:rsidRPr="00234417">
        <w:rPr>
          <w:rStyle w:val="TextoNormalCaracter"/>
        </w:rPr>
        <w:t xml:space="preserve">, Sentencias </w:t>
      </w:r>
      <w:hyperlink w:anchor="SENTENCIA_2013_83" w:history="1">
        <w:r w:rsidRPr="00234417">
          <w:rPr>
            <w:rStyle w:val="TextoNormalCaracter"/>
          </w:rPr>
          <w:t>83/2013</w:t>
        </w:r>
      </w:hyperlink>
      <w:r w:rsidRPr="00234417">
        <w:rPr>
          <w:rStyle w:val="TextoNormalCaracter"/>
        </w:rPr>
        <w:t xml:space="preserve">, ff. 2 a 7; </w:t>
      </w:r>
      <w:hyperlink w:anchor="SENTENCIA_2013_104" w:history="1">
        <w:r w:rsidRPr="00234417">
          <w:rPr>
            <w:rStyle w:val="TextoNormalCaracter"/>
          </w:rPr>
          <w:t>104/2013</w:t>
        </w:r>
      </w:hyperlink>
      <w:r w:rsidRPr="00234417">
        <w:rPr>
          <w:rStyle w:val="TextoNormalCaracter"/>
        </w:rPr>
        <w:t>, f. 6.</w:t>
      </w:r>
    </w:p>
    <w:p w:rsidR="00234417" w:rsidRPr="00234417" w:rsidRDefault="00234417" w:rsidP="00234417">
      <w:pPr>
        <w:pStyle w:val="TextoNormalSangraFrancesa"/>
        <w:rPr>
          <w:rStyle w:val="TextoNormalCaracter"/>
        </w:rPr>
      </w:pPr>
      <w:bookmarkStart w:id="1887" w:name="DESCRIPTORALFABETICO97"/>
      <w:r w:rsidRPr="00234417">
        <w:rPr>
          <w:rStyle w:val="TextoNormalNegritaCaracter"/>
        </w:rPr>
        <w:t>Ordenación general de la economía</w:t>
      </w:r>
      <w:bookmarkEnd w:id="1887"/>
      <w:r w:rsidRPr="00234417">
        <w:rPr>
          <w:rStyle w:val="TextoNormalCaracter"/>
        </w:rPr>
        <w:t xml:space="preserve">, Sentencias </w:t>
      </w:r>
      <w:hyperlink w:anchor="SENTENCIA_2013_4" w:history="1">
        <w:r w:rsidRPr="00234417">
          <w:rPr>
            <w:rStyle w:val="TextoNormalCaracter"/>
          </w:rPr>
          <w:t>4/2013</w:t>
        </w:r>
      </w:hyperlink>
      <w:r w:rsidRPr="00234417">
        <w:rPr>
          <w:rStyle w:val="TextoNormalCaracter"/>
        </w:rPr>
        <w:t xml:space="preserve">, ff. 1, 2, 3, 4, 5; </w:t>
      </w:r>
      <w:hyperlink w:anchor="SENTENCIA_2013_34" w:history="1">
        <w:r w:rsidRPr="00234417">
          <w:rPr>
            <w:rStyle w:val="TextoNormalCaracter"/>
          </w:rPr>
          <w:t>34/2013</w:t>
        </w:r>
      </w:hyperlink>
      <w:r w:rsidRPr="00234417">
        <w:rPr>
          <w:rStyle w:val="TextoNormalCaracter"/>
        </w:rPr>
        <w:t xml:space="preserve">, ff. 2, 3, 4, 5, 6, 7, 8, 9, VP; </w:t>
      </w:r>
      <w:hyperlink w:anchor="SENTENCIA_2013_39" w:history="1">
        <w:r w:rsidRPr="00234417">
          <w:rPr>
            <w:rStyle w:val="TextoNormalCaracter"/>
          </w:rPr>
          <w:t>39/2013</w:t>
        </w:r>
      </w:hyperlink>
      <w:r w:rsidRPr="00234417">
        <w:rPr>
          <w:rStyle w:val="TextoNormalCaracter"/>
        </w:rPr>
        <w:t xml:space="preserve">, f. 8; </w:t>
      </w:r>
      <w:hyperlink w:anchor="SENTENCIA_2013_82" w:history="1">
        <w:r w:rsidRPr="00234417">
          <w:rPr>
            <w:rStyle w:val="TextoNormalCaracter"/>
          </w:rPr>
          <w:t>82/2013</w:t>
        </w:r>
      </w:hyperlink>
      <w:r w:rsidRPr="00234417">
        <w:rPr>
          <w:rStyle w:val="TextoNormalCaracter"/>
        </w:rPr>
        <w:t xml:space="preserve">, f. 4; </w:t>
      </w:r>
      <w:hyperlink w:anchor="SENTENCIA_2013_104" w:history="1">
        <w:r w:rsidRPr="00234417">
          <w:rPr>
            <w:rStyle w:val="TextoNormalCaracter"/>
          </w:rPr>
          <w:t>104/2013</w:t>
        </w:r>
      </w:hyperlink>
      <w:r w:rsidRPr="00234417">
        <w:rPr>
          <w:rStyle w:val="TextoNormalCaracter"/>
        </w:rPr>
        <w:t xml:space="preserve">, f. 5; </w:t>
      </w:r>
      <w:hyperlink w:anchor="SENTENCIA_2013_130" w:history="1">
        <w:r w:rsidRPr="00234417">
          <w:rPr>
            <w:rStyle w:val="TextoNormalCaracter"/>
          </w:rPr>
          <w:t>130/2013</w:t>
        </w:r>
      </w:hyperlink>
      <w:r w:rsidRPr="00234417">
        <w:rPr>
          <w:rStyle w:val="TextoNormalCaracter"/>
        </w:rPr>
        <w:t xml:space="preserve">, ff. 9, 10; </w:t>
      </w:r>
      <w:hyperlink w:anchor="SENTENCIA_2013_135" w:history="1">
        <w:r w:rsidRPr="00234417">
          <w:rPr>
            <w:rStyle w:val="TextoNormalCaracter"/>
          </w:rPr>
          <w:t>135/2013</w:t>
        </w:r>
      </w:hyperlink>
      <w:r w:rsidRPr="00234417">
        <w:rPr>
          <w:rStyle w:val="TextoNormalCaracter"/>
        </w:rPr>
        <w:t>, f. 4.</w:t>
      </w:r>
    </w:p>
    <w:p w:rsidR="00234417" w:rsidRPr="00234417" w:rsidRDefault="00234417" w:rsidP="00234417">
      <w:pPr>
        <w:pStyle w:val="TextoNormalSangraFrancesa"/>
        <w:rPr>
          <w:rStyle w:val="TextoNormalCaracter"/>
        </w:rPr>
      </w:pPr>
      <w:r w:rsidRPr="00234417">
        <w:rPr>
          <w:rStyle w:val="TextoNormalCursivaCaracter"/>
        </w:rPr>
        <w:t xml:space="preserve">    Concepto, </w:t>
      </w:r>
      <w:r w:rsidRPr="00234417">
        <w:rPr>
          <w:rStyle w:val="TextoNormalCaracter"/>
        </w:rPr>
        <w:t xml:space="preserve">Sentencia </w:t>
      </w:r>
      <w:hyperlink w:anchor="SENTENCIA_2013_34" w:history="1">
        <w:r w:rsidRPr="00234417">
          <w:rPr>
            <w:rStyle w:val="TextoNormalCaracter"/>
          </w:rPr>
          <w:t>34/2013</w:t>
        </w:r>
      </w:hyperlink>
      <w:r w:rsidRPr="00234417">
        <w:rPr>
          <w:rStyle w:val="TextoNormalCaracter"/>
        </w:rPr>
        <w:t>, ff. 4, 6.</w:t>
      </w:r>
    </w:p>
    <w:p w:rsidR="00234417" w:rsidRPr="00234417" w:rsidRDefault="00234417" w:rsidP="00234417">
      <w:pPr>
        <w:pStyle w:val="TextoNormalSangraFrancesa"/>
        <w:rPr>
          <w:rStyle w:val="TextoNormalCaracter"/>
        </w:rPr>
      </w:pPr>
      <w:r w:rsidRPr="00234417">
        <w:rPr>
          <w:rStyle w:val="TextoNormalCursivaCaracter"/>
        </w:rPr>
        <w:t xml:space="preserve">    Límites, </w:t>
      </w:r>
      <w:r w:rsidRPr="00234417">
        <w:rPr>
          <w:rStyle w:val="TextoNormalCaracter"/>
        </w:rPr>
        <w:t xml:space="preserve">Sentencia </w:t>
      </w:r>
      <w:hyperlink w:anchor="SENTENCIA_2013_34" w:history="1">
        <w:r w:rsidRPr="00234417">
          <w:rPr>
            <w:rStyle w:val="TextoNormalCaracter"/>
          </w:rPr>
          <w:t>34/2013</w:t>
        </w:r>
      </w:hyperlink>
      <w:r w:rsidRPr="00234417">
        <w:rPr>
          <w:rStyle w:val="TextoNormalCaracter"/>
        </w:rPr>
        <w:t>, ff. 4, 6.</w:t>
      </w:r>
    </w:p>
    <w:p w:rsidR="00234417" w:rsidRPr="00234417" w:rsidRDefault="00234417" w:rsidP="00234417">
      <w:pPr>
        <w:pStyle w:val="TextoNormalSangraFrancesa"/>
        <w:rPr>
          <w:rStyle w:val="TextoNormalCaracter"/>
        </w:rPr>
      </w:pPr>
      <w:bookmarkStart w:id="1888" w:name="DESCRIPTORALFABETICO356"/>
      <w:r w:rsidRPr="00234417">
        <w:rPr>
          <w:rStyle w:val="TextoNormalNegritaCaracter"/>
        </w:rPr>
        <w:t>Organismos de cuenca</w:t>
      </w:r>
      <w:bookmarkEnd w:id="1888"/>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8.</w:t>
      </w:r>
    </w:p>
    <w:p w:rsidR="00234417" w:rsidRPr="00234417" w:rsidRDefault="00234417" w:rsidP="00234417">
      <w:pPr>
        <w:pStyle w:val="TextoNormalSangraFrancesa"/>
        <w:rPr>
          <w:rStyle w:val="TextoNormalCaracter"/>
        </w:rPr>
      </w:pPr>
      <w:bookmarkStart w:id="1889" w:name="DESCRIPTORALFABETICO375"/>
      <w:r w:rsidRPr="00234417">
        <w:rPr>
          <w:rStyle w:val="TextoNormalNegritaCaracter"/>
        </w:rPr>
        <w:t>Órganos ambientales</w:t>
      </w:r>
      <w:bookmarkEnd w:id="1889"/>
      <w:r w:rsidRPr="00234417">
        <w:rPr>
          <w:rStyle w:val="TextoNormalCaracter"/>
        </w:rPr>
        <w:t xml:space="preserve">, Sentencia </w:t>
      </w:r>
      <w:hyperlink w:anchor="SENTENCIA_2013_5" w:history="1">
        <w:r w:rsidRPr="00234417">
          <w:rPr>
            <w:rStyle w:val="TextoNormalCaracter"/>
          </w:rPr>
          <w:t>5/2013</w:t>
        </w:r>
      </w:hyperlink>
      <w:r w:rsidRPr="00234417">
        <w:rPr>
          <w:rStyle w:val="TextoNormalCaracter"/>
        </w:rPr>
        <w:t>, ff. 5, 7.</w:t>
      </w:r>
    </w:p>
    <w:p w:rsidR="00234417" w:rsidRPr="00234417" w:rsidRDefault="00234417" w:rsidP="00234417">
      <w:pPr>
        <w:pStyle w:val="TextoNormalSangraFrancesa"/>
        <w:rPr>
          <w:rStyle w:val="TextoNormalCaracter"/>
        </w:rPr>
      </w:pPr>
      <w:bookmarkStart w:id="1890" w:name="DESCRIPTORALFABETICO376"/>
      <w:r w:rsidRPr="00234417">
        <w:rPr>
          <w:rStyle w:val="TextoNormalNegritaCaracter"/>
        </w:rPr>
        <w:t>Órganos colegiados</w:t>
      </w:r>
      <w:bookmarkEnd w:id="1890"/>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8.</w:t>
      </w:r>
    </w:p>
    <w:p w:rsidR="00234417" w:rsidRPr="00234417" w:rsidRDefault="00234417" w:rsidP="00234417">
      <w:pPr>
        <w:pStyle w:val="TextoNormalSangraFrancesa"/>
        <w:rPr>
          <w:rStyle w:val="TextoNormalCaracter"/>
        </w:rPr>
      </w:pPr>
      <w:bookmarkStart w:id="1891" w:name="DESCRIPTORALFABETICO358"/>
      <w:r w:rsidRPr="00234417">
        <w:rPr>
          <w:rStyle w:val="TextoNormalNegritaCaracter"/>
        </w:rPr>
        <w:t>Órganos de control</w:t>
      </w:r>
      <w:bookmarkEnd w:id="1891"/>
      <w:r w:rsidRPr="00234417">
        <w:rPr>
          <w:rStyle w:val="TextoNormalCaracter"/>
        </w:rPr>
        <w:t xml:space="preserve">, Sentencias </w:t>
      </w:r>
      <w:hyperlink w:anchor="SENTENCIA_2013_34" w:history="1">
        <w:r w:rsidRPr="00234417">
          <w:rPr>
            <w:rStyle w:val="TextoNormalCaracter"/>
          </w:rPr>
          <w:t>34/2013</w:t>
        </w:r>
      </w:hyperlink>
      <w:r w:rsidRPr="00234417">
        <w:rPr>
          <w:rStyle w:val="TextoNormalCaracter"/>
        </w:rPr>
        <w:t xml:space="preserve">, ff. 13, 20, VP; </w:t>
      </w:r>
      <w:hyperlink w:anchor="SENTENCIA_2013_82" w:history="1">
        <w:r w:rsidRPr="00234417">
          <w:rPr>
            <w:rStyle w:val="TextoNormalCaracter"/>
          </w:rPr>
          <w:t>82/2013</w:t>
        </w:r>
      </w:hyperlink>
      <w:r w:rsidRPr="00234417">
        <w:rPr>
          <w:rStyle w:val="TextoNormalCaracter"/>
        </w:rPr>
        <w:t>, f. 5.</w:t>
      </w:r>
    </w:p>
    <w:p w:rsidR="00234417" w:rsidRPr="00234417" w:rsidRDefault="00234417" w:rsidP="00234417">
      <w:pPr>
        <w:pStyle w:val="TextoNormalSangraFrancesa"/>
        <w:rPr>
          <w:rStyle w:val="TextoNormalCaracter"/>
        </w:rPr>
      </w:pPr>
      <w:bookmarkStart w:id="1892" w:name="DESCRIPTORALFABETICO377"/>
      <w:r w:rsidRPr="00234417">
        <w:rPr>
          <w:rStyle w:val="TextoNormalNegritaCaracter"/>
        </w:rPr>
        <w:t>Órganos de dirección</w:t>
      </w:r>
      <w:bookmarkEnd w:id="1892"/>
      <w:r w:rsidRPr="00234417">
        <w:rPr>
          <w:rStyle w:val="TextoNormalCaracter"/>
        </w:rPr>
        <w:t xml:space="preserve">, Sentencia </w:t>
      </w:r>
      <w:hyperlink w:anchor="SENTENCIA_2013_58" w:history="1">
        <w:r w:rsidRPr="00234417">
          <w:rPr>
            <w:rStyle w:val="TextoNormalCaracter"/>
          </w:rPr>
          <w:t>58/2013</w:t>
        </w:r>
      </w:hyperlink>
      <w:r w:rsidRPr="00234417">
        <w:rPr>
          <w:rStyle w:val="TextoNormalCaracter"/>
        </w:rPr>
        <w:t>, f. 4.</w:t>
      </w:r>
    </w:p>
    <w:p w:rsidR="00234417" w:rsidRPr="00234417" w:rsidRDefault="00234417" w:rsidP="00234417">
      <w:pPr>
        <w:pStyle w:val="TextoNormalSangraFrancesa"/>
        <w:rPr>
          <w:rStyle w:val="TextoNormalNegritaCaracter"/>
        </w:rPr>
      </w:pPr>
      <w:r w:rsidRPr="00234417">
        <w:rPr>
          <w:rStyle w:val="TextoNormalCursivaCaracter"/>
        </w:rPr>
        <w:t>Órganos de las Administraciones públicas</w:t>
      </w:r>
      <w:r>
        <w:t xml:space="preserve"> véase </w:t>
      </w:r>
      <w:hyperlink w:anchor="DESCRIPTORALFABETICO374" w:history="1">
        <w:r w:rsidRPr="00234417">
          <w:rPr>
            <w:rStyle w:val="TextoNormalNegritaCaracter"/>
          </w:rPr>
          <w:t>Sector público institucional</w:t>
        </w:r>
      </w:hyperlink>
    </w:p>
    <w:p w:rsidR="00234417" w:rsidRPr="00234417" w:rsidRDefault="00234417" w:rsidP="00234417">
      <w:pPr>
        <w:pStyle w:val="TextoNormalSangraFrancesa"/>
        <w:rPr>
          <w:rStyle w:val="TextoNormalCaracter"/>
        </w:rPr>
      </w:pPr>
      <w:bookmarkStart w:id="1893" w:name="DESCRIPTORALFABETICO543"/>
      <w:r w:rsidRPr="00234417">
        <w:rPr>
          <w:rStyle w:val="TextoNormalNegritaCaracter"/>
        </w:rPr>
        <w:t>Órganos universitarios</w:t>
      </w:r>
      <w:bookmarkEnd w:id="1893"/>
      <w:r w:rsidRPr="00234417">
        <w:rPr>
          <w:rStyle w:val="TextoNormalCaracter"/>
        </w:rPr>
        <w:t xml:space="preserve">, Sentencias </w:t>
      </w:r>
      <w:hyperlink w:anchor="SENTENCIA_2013_131" w:history="1">
        <w:r w:rsidRPr="00234417">
          <w:rPr>
            <w:rStyle w:val="TextoNormalCaracter"/>
          </w:rPr>
          <w:t>131/2013</w:t>
        </w:r>
      </w:hyperlink>
      <w:r w:rsidRPr="00234417">
        <w:rPr>
          <w:rStyle w:val="TextoNormalCaracter"/>
        </w:rPr>
        <w:t xml:space="preserve">, ff. 4, 9; </w:t>
      </w:r>
      <w:hyperlink w:anchor="SENTENCIA_2013_134" w:history="1">
        <w:r w:rsidRPr="00234417">
          <w:rPr>
            <w:rStyle w:val="TextoNormalCaracter"/>
          </w:rPr>
          <w:t>134/2013</w:t>
        </w:r>
      </w:hyperlink>
      <w:r w:rsidRPr="00234417">
        <w:rPr>
          <w:rStyle w:val="TextoNormalCaracter"/>
        </w:rPr>
        <w:t>, ff. 5, 7, 8.</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P</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1894" w:name="DESCRIPTORALFABETICO741"/>
      <w:r w:rsidRPr="00234417">
        <w:rPr>
          <w:rStyle w:val="TextoNormalNegritaCaracter"/>
        </w:rPr>
        <w:t>Padrón municipal</w:t>
      </w:r>
      <w:bookmarkEnd w:id="1894"/>
      <w:r w:rsidRPr="00234417">
        <w:rPr>
          <w:rStyle w:val="TextoNormalCaracter"/>
        </w:rPr>
        <w:t xml:space="preserve">, Sentencia </w:t>
      </w:r>
      <w:hyperlink w:anchor="SENTENCIA_2013_17" w:history="1">
        <w:r w:rsidRPr="00234417">
          <w:rPr>
            <w:rStyle w:val="TextoNormalCaracter"/>
          </w:rPr>
          <w:t>17/2013</w:t>
        </w:r>
      </w:hyperlink>
      <w:r w:rsidRPr="00234417">
        <w:rPr>
          <w:rStyle w:val="TextoNormalCaracter"/>
        </w:rPr>
        <w:t>, ff. 7 a 9.</w:t>
      </w:r>
    </w:p>
    <w:p w:rsidR="00234417" w:rsidRPr="00234417" w:rsidRDefault="00234417" w:rsidP="00234417">
      <w:pPr>
        <w:pStyle w:val="TextoNormalSangraFrancesa"/>
        <w:rPr>
          <w:rStyle w:val="TextoNormalCaracter"/>
        </w:rPr>
      </w:pPr>
      <w:bookmarkStart w:id="1895" w:name="DESCRIPTORALFABETICO780"/>
      <w:r w:rsidRPr="00234417">
        <w:rPr>
          <w:rStyle w:val="TextoNormalNegritaCaracter"/>
        </w:rPr>
        <w:t>Pagas extraordinarias</w:t>
      </w:r>
      <w:bookmarkEnd w:id="1895"/>
      <w:r w:rsidRPr="00234417">
        <w:rPr>
          <w:rStyle w:val="TextoNormalCaracter"/>
        </w:rPr>
        <w:t xml:space="preserve">, Auto </w:t>
      </w:r>
      <w:hyperlink w:anchor="AUTO_2013_86" w:history="1">
        <w:r w:rsidRPr="00234417">
          <w:rPr>
            <w:rStyle w:val="TextoNormalCaracter"/>
          </w:rPr>
          <w:t>86/2013</w:t>
        </w:r>
      </w:hyperlink>
      <w:r w:rsidRPr="00234417">
        <w:rPr>
          <w:rStyle w:val="TextoNormalCaracter"/>
        </w:rPr>
        <w:t>, ff. 2 a 6.</w:t>
      </w:r>
    </w:p>
    <w:p w:rsidR="00234417" w:rsidRPr="00234417" w:rsidRDefault="00234417" w:rsidP="00234417">
      <w:pPr>
        <w:pStyle w:val="TextoNormalSangraFrancesa"/>
        <w:rPr>
          <w:rStyle w:val="TextoNormalCaracter"/>
        </w:rPr>
      </w:pPr>
      <w:bookmarkStart w:id="1896" w:name="DESCRIPTORALFABETICO947"/>
      <w:r w:rsidRPr="00234417">
        <w:rPr>
          <w:rStyle w:val="TextoNormalNegritaCaracter"/>
        </w:rPr>
        <w:t>País Vasco</w:t>
      </w:r>
      <w:bookmarkEnd w:id="1896"/>
      <w:r w:rsidRPr="00234417">
        <w:rPr>
          <w:rStyle w:val="TextoNormalCaracter"/>
        </w:rPr>
        <w:t xml:space="preserve">, Sentencia </w:t>
      </w:r>
      <w:hyperlink w:anchor="SENTENCIA_2013_85" w:history="1">
        <w:r w:rsidRPr="00234417">
          <w:rPr>
            <w:rStyle w:val="TextoNormalCaracter"/>
          </w:rPr>
          <w:t>85/2013</w:t>
        </w:r>
      </w:hyperlink>
      <w:r w:rsidRPr="00234417">
        <w:rPr>
          <w:rStyle w:val="TextoNormalCaracter"/>
        </w:rPr>
        <w:t>, ff. 4, 5.</w:t>
      </w:r>
    </w:p>
    <w:p w:rsidR="00234417" w:rsidRPr="00234417" w:rsidRDefault="00234417" w:rsidP="00234417">
      <w:pPr>
        <w:pStyle w:val="TextoNormalSangraFrancesa"/>
        <w:rPr>
          <w:rStyle w:val="TextoNormalNegritaCaracter"/>
        </w:rPr>
      </w:pPr>
      <w:r w:rsidRPr="00234417">
        <w:rPr>
          <w:rStyle w:val="TextoNormalCursivaCaracter"/>
        </w:rPr>
        <w:t>Parejas de hecho</w:t>
      </w:r>
      <w:r>
        <w:t xml:space="preserve"> véase </w:t>
      </w:r>
      <w:hyperlink w:anchor="DESCRIPTORALFABETICO567" w:history="1">
        <w:r w:rsidRPr="00234417">
          <w:rPr>
            <w:rStyle w:val="TextoNormalNegritaCaracter"/>
          </w:rPr>
          <w:t>Unión de hecho</w:t>
        </w:r>
      </w:hyperlink>
    </w:p>
    <w:p w:rsidR="00234417" w:rsidRPr="00234417" w:rsidRDefault="00234417" w:rsidP="00234417">
      <w:pPr>
        <w:pStyle w:val="TextoNormalSangraFrancesa"/>
        <w:rPr>
          <w:rStyle w:val="TextoNormalNegritaCaracter"/>
        </w:rPr>
      </w:pPr>
      <w:r w:rsidRPr="00234417">
        <w:rPr>
          <w:rStyle w:val="TextoNormalCursivaCaracter"/>
        </w:rPr>
        <w:t>Parejas estables</w:t>
      </w:r>
      <w:r>
        <w:t xml:space="preserve"> véase </w:t>
      </w:r>
      <w:hyperlink w:anchor="DESCRIPTORALFABETICO567" w:history="1">
        <w:r w:rsidRPr="00234417">
          <w:rPr>
            <w:rStyle w:val="TextoNormalNegritaCaracter"/>
          </w:rPr>
          <w:t>Unión de hecho</w:t>
        </w:r>
      </w:hyperlink>
    </w:p>
    <w:p w:rsidR="00234417" w:rsidRPr="00234417" w:rsidRDefault="00234417" w:rsidP="00234417">
      <w:pPr>
        <w:pStyle w:val="TextoNormalSangraFrancesa"/>
        <w:rPr>
          <w:rStyle w:val="TextoNormalCaracter"/>
        </w:rPr>
      </w:pPr>
      <w:bookmarkStart w:id="1897" w:name="DESCRIPTORALFABETICO565"/>
      <w:r w:rsidRPr="00234417">
        <w:rPr>
          <w:rStyle w:val="TextoNormalNegritaCaracter"/>
        </w:rPr>
        <w:t>Parientes</w:t>
      </w:r>
      <w:bookmarkEnd w:id="1897"/>
      <w:r w:rsidRPr="00234417">
        <w:rPr>
          <w:rStyle w:val="TextoNormalCaracter"/>
        </w:rPr>
        <w:t xml:space="preserve">, Sentencia </w:t>
      </w:r>
      <w:hyperlink w:anchor="SENTENCIA_2013_128" w:history="1">
        <w:r w:rsidRPr="00234417">
          <w:rPr>
            <w:rStyle w:val="TextoNormalCaracter"/>
          </w:rPr>
          <w:t>128/2013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1898" w:name="DESCRIPTORALFABETICO615"/>
      <w:r w:rsidRPr="00234417">
        <w:rPr>
          <w:rStyle w:val="TextoNormalNegritaCaracter"/>
        </w:rPr>
        <w:t>Parques nacionales</w:t>
      </w:r>
      <w:bookmarkEnd w:id="1898"/>
      <w:r w:rsidRPr="00234417">
        <w:rPr>
          <w:rStyle w:val="TextoNormalCaracter"/>
        </w:rPr>
        <w:t xml:space="preserve">, Sentencias </w:t>
      </w:r>
      <w:hyperlink w:anchor="SENTENCIA_2013_99" w:history="1">
        <w:r w:rsidRPr="00234417">
          <w:rPr>
            <w:rStyle w:val="TextoNormalCaracter"/>
          </w:rPr>
          <w:t>99/2013</w:t>
        </w:r>
      </w:hyperlink>
      <w:r w:rsidRPr="00234417">
        <w:rPr>
          <w:rStyle w:val="TextoNormalCaracter"/>
        </w:rPr>
        <w:t xml:space="preserve">, ff. 3, 8; </w:t>
      </w:r>
      <w:hyperlink w:anchor="SENTENCIA_2013_102" w:history="1">
        <w:r w:rsidRPr="00234417">
          <w:rPr>
            <w:rStyle w:val="TextoNormalCaracter"/>
          </w:rPr>
          <w:t>102/2013</w:t>
        </w:r>
      </w:hyperlink>
      <w:r w:rsidRPr="00234417">
        <w:rPr>
          <w:rStyle w:val="TextoNormalCaracter"/>
        </w:rPr>
        <w:t>, ff. 9 a 12.</w:t>
      </w:r>
    </w:p>
    <w:p w:rsidR="00234417" w:rsidRPr="00234417" w:rsidRDefault="00234417" w:rsidP="00234417">
      <w:pPr>
        <w:pStyle w:val="TextoNormalSangraFrancesa"/>
        <w:rPr>
          <w:rStyle w:val="TextoNormalCaracter"/>
        </w:rPr>
      </w:pPr>
      <w:bookmarkStart w:id="1899" w:name="DESCRIPTORALFABETICO633"/>
      <w:r w:rsidRPr="00234417">
        <w:rPr>
          <w:rStyle w:val="TextoNormalNegritaCaracter"/>
        </w:rPr>
        <w:t>Participación de los municipios en el planeamiento urbanístico</w:t>
      </w:r>
      <w:bookmarkEnd w:id="1899"/>
      <w:r w:rsidRPr="00234417">
        <w:rPr>
          <w:rStyle w:val="TextoNormalCaracter"/>
        </w:rPr>
        <w:t xml:space="preserve">, Sentencia </w:t>
      </w:r>
      <w:hyperlink w:anchor="SENTENCIA_2013_94" w:history="1">
        <w:r w:rsidRPr="00234417">
          <w:rPr>
            <w:rStyle w:val="TextoNormalCaracter"/>
          </w:rPr>
          <w:t>94/2013</w:t>
        </w:r>
      </w:hyperlink>
      <w:r w:rsidRPr="00234417">
        <w:rPr>
          <w:rStyle w:val="TextoNormalCaracter"/>
        </w:rPr>
        <w:t>, f. 8, VP I, VP II.</w:t>
      </w:r>
    </w:p>
    <w:p w:rsidR="00234417" w:rsidRPr="00234417" w:rsidRDefault="00234417" w:rsidP="00234417">
      <w:pPr>
        <w:pStyle w:val="TextoNormalSangraFrancesa"/>
        <w:rPr>
          <w:rStyle w:val="TextoNormalCaracter"/>
        </w:rPr>
      </w:pPr>
      <w:bookmarkStart w:id="1900" w:name="DESCRIPTORALFABETICO796"/>
      <w:r w:rsidRPr="00234417">
        <w:rPr>
          <w:rStyle w:val="TextoNormalNegritaCaracter"/>
        </w:rPr>
        <w:t>Participación en el asunto objeto del proceso</w:t>
      </w:r>
      <w:bookmarkEnd w:id="1900"/>
      <w:r w:rsidRPr="00234417">
        <w:rPr>
          <w:rStyle w:val="TextoNormalCaracter"/>
        </w:rPr>
        <w:t xml:space="preserve">, Auto </w:t>
      </w:r>
      <w:hyperlink w:anchor="AUTO_2013_29" w:history="1">
        <w:r w:rsidRPr="00234417">
          <w:rPr>
            <w:rStyle w:val="TextoNormalCaracter"/>
          </w:rPr>
          <w:t>29/2013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901" w:name="DESCRIPTORALFABETICO102"/>
      <w:r w:rsidRPr="00234417">
        <w:rPr>
          <w:rStyle w:val="TextoNormalNegritaCaracter"/>
        </w:rPr>
        <w:t>Partidas presupuestarias</w:t>
      </w:r>
      <w:bookmarkEnd w:id="1901"/>
      <w:r w:rsidRPr="00234417">
        <w:rPr>
          <w:rStyle w:val="TextoNormalCaracter"/>
        </w:rPr>
        <w:t xml:space="preserve">, Sentencia </w:t>
      </w:r>
      <w:hyperlink w:anchor="SENTENCIA_2013_100" w:history="1">
        <w:r w:rsidRPr="00234417">
          <w:rPr>
            <w:rStyle w:val="TextoNormalCaracter"/>
          </w:rPr>
          <w:t>100/2013</w:t>
        </w:r>
      </w:hyperlink>
      <w:r w:rsidRPr="00234417">
        <w:rPr>
          <w:rStyle w:val="TextoNormalCaracter"/>
        </w:rPr>
        <w:t>, f. 4.</w:t>
      </w:r>
    </w:p>
    <w:p w:rsidR="00234417" w:rsidRPr="00234417" w:rsidRDefault="00234417" w:rsidP="00234417">
      <w:pPr>
        <w:pStyle w:val="TextoNormalSangraFrancesa"/>
        <w:rPr>
          <w:rStyle w:val="TextoNormalCaracter"/>
        </w:rPr>
      </w:pPr>
      <w:bookmarkStart w:id="1902" w:name="DESCRIPTORALFABETICO349"/>
      <w:r w:rsidRPr="00234417">
        <w:rPr>
          <w:rStyle w:val="TextoNormalNegritaCaracter"/>
        </w:rPr>
        <w:t>Partidos políticos</w:t>
      </w:r>
      <w:bookmarkEnd w:id="1902"/>
      <w:r w:rsidRPr="00234417">
        <w:rPr>
          <w:rStyle w:val="TextoNormalCaracter"/>
        </w:rPr>
        <w:t xml:space="preserve">, Sentencia </w:t>
      </w:r>
      <w:hyperlink w:anchor="SENTENCIA_2013_125" w:history="1">
        <w:r w:rsidRPr="00234417">
          <w:rPr>
            <w:rStyle w:val="TextoNormalCaracter"/>
          </w:rPr>
          <w:t>125/2013</w:t>
        </w:r>
      </w:hyperlink>
      <w:r w:rsidRPr="00234417">
        <w:rPr>
          <w:rStyle w:val="TextoNormalCaracter"/>
        </w:rPr>
        <w:t>, f. 6.</w:t>
      </w:r>
    </w:p>
    <w:p w:rsidR="00234417" w:rsidRPr="00234417" w:rsidRDefault="00234417" w:rsidP="00234417">
      <w:pPr>
        <w:pStyle w:val="TextoNormalSangraFrancesa"/>
        <w:rPr>
          <w:rStyle w:val="TextoNormalCaracter"/>
        </w:rPr>
      </w:pPr>
      <w:bookmarkStart w:id="1903" w:name="DESCRIPTORALFABETICO515"/>
      <w:r w:rsidRPr="00234417">
        <w:rPr>
          <w:rStyle w:val="TextoNormalNegritaCaracter"/>
        </w:rPr>
        <w:t>Patrimonio del Estado</w:t>
      </w:r>
      <w:bookmarkEnd w:id="1903"/>
      <w:r w:rsidRPr="00234417">
        <w:rPr>
          <w:rStyle w:val="TextoNormalCaracter"/>
        </w:rPr>
        <w:t xml:space="preserve">, Sentencia </w:t>
      </w:r>
      <w:hyperlink w:anchor="SENTENCIA_2013_94" w:history="1">
        <w:r w:rsidRPr="00234417">
          <w:rPr>
            <w:rStyle w:val="TextoNormalCaracter"/>
          </w:rPr>
          <w:t>94/2013</w:t>
        </w:r>
      </w:hyperlink>
      <w:r w:rsidRPr="00234417">
        <w:rPr>
          <w:rStyle w:val="TextoNormalCaracter"/>
        </w:rPr>
        <w:t>, ff. 3, 5, 7 a 9.</w:t>
      </w:r>
    </w:p>
    <w:p w:rsidR="00234417" w:rsidRPr="00234417" w:rsidRDefault="00234417" w:rsidP="00234417">
      <w:pPr>
        <w:pStyle w:val="TextoNormalSangraFrancesa"/>
        <w:rPr>
          <w:rStyle w:val="TextoNormalCaracter"/>
        </w:rPr>
      </w:pPr>
      <w:bookmarkStart w:id="1904" w:name="DESCRIPTORALFABETICO501"/>
      <w:r w:rsidRPr="00234417">
        <w:rPr>
          <w:rStyle w:val="TextoNormalNegritaCaracter"/>
        </w:rPr>
        <w:t>Patrimonio histórico</w:t>
      </w:r>
      <w:bookmarkEnd w:id="1904"/>
      <w:r w:rsidRPr="00234417">
        <w:rPr>
          <w:rStyle w:val="TextoNormalCaracter"/>
        </w:rPr>
        <w:t xml:space="preserve">, Sentencia </w:t>
      </w:r>
      <w:hyperlink w:anchor="SENTENCIA_2013_136" w:history="1">
        <w:r w:rsidRPr="00234417">
          <w:rPr>
            <w:rStyle w:val="TextoNormalCaracter"/>
          </w:rPr>
          <w:t>136/2013</w:t>
        </w:r>
      </w:hyperlink>
      <w:r w:rsidRPr="00234417">
        <w:rPr>
          <w:rStyle w:val="TextoNormalCaracter"/>
        </w:rPr>
        <w:t>, f. 4.</w:t>
      </w:r>
    </w:p>
    <w:p w:rsidR="00234417" w:rsidRPr="00234417" w:rsidRDefault="00234417" w:rsidP="00234417">
      <w:pPr>
        <w:pStyle w:val="TextoNormalSangraFrancesa"/>
        <w:rPr>
          <w:rStyle w:val="TextoNormalNegritaCaracter"/>
        </w:rPr>
      </w:pPr>
      <w:r w:rsidRPr="00234417">
        <w:rPr>
          <w:rStyle w:val="TextoNormalCursivaCaracter"/>
        </w:rPr>
        <w:lastRenderedPageBreak/>
        <w:t>Pena accesoria de suspensión del derecho de sufragio</w:t>
      </w:r>
      <w:r>
        <w:t xml:space="preserve"> véase </w:t>
      </w:r>
      <w:hyperlink w:anchor="DESCRIPTORALFABETICO706" w:history="1">
        <w:r w:rsidRPr="00234417">
          <w:rPr>
            <w:rStyle w:val="TextoNormalNegritaCaracter"/>
          </w:rPr>
          <w:t>Inhabilitación especial para el derecho de sufragio</w:t>
        </w:r>
      </w:hyperlink>
    </w:p>
    <w:p w:rsidR="00234417" w:rsidRPr="00234417" w:rsidRDefault="00234417" w:rsidP="00234417">
      <w:pPr>
        <w:pStyle w:val="TextoNormalSangraFrancesa"/>
        <w:rPr>
          <w:rStyle w:val="TextoNormalCaracter"/>
        </w:rPr>
      </w:pPr>
      <w:bookmarkStart w:id="1905" w:name="DESCRIPTORALFABETICO703"/>
      <w:r w:rsidRPr="00234417">
        <w:rPr>
          <w:rStyle w:val="TextoNormalNegritaCaracter"/>
        </w:rPr>
        <w:t>Penas</w:t>
      </w:r>
      <w:bookmarkEnd w:id="1905"/>
      <w:r w:rsidRPr="00234417">
        <w:rPr>
          <w:rStyle w:val="TextoNormalCaracter"/>
        </w:rPr>
        <w:t xml:space="preserve">, Sentencia </w:t>
      </w:r>
      <w:hyperlink w:anchor="SENTENCIA_2013_109" w:history="1">
        <w:r w:rsidRPr="00234417">
          <w:rPr>
            <w:rStyle w:val="TextoNormalCaracter"/>
          </w:rPr>
          <w:t>109/2013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1906" w:name="DESCRIPTORALFABETICO709"/>
      <w:r w:rsidRPr="00234417">
        <w:rPr>
          <w:rStyle w:val="TextoNormalNegritaCaracter"/>
        </w:rPr>
        <w:t>Penas privativas de libertad</w:t>
      </w:r>
      <w:bookmarkEnd w:id="1906"/>
      <w:r w:rsidRPr="00234417">
        <w:rPr>
          <w:rStyle w:val="TextoNormalCaracter"/>
        </w:rPr>
        <w:t xml:space="preserve">, Sentencias </w:t>
      </w:r>
      <w:hyperlink w:anchor="SENTENCIA_2013_28" w:history="1">
        <w:r w:rsidRPr="00234417">
          <w:rPr>
            <w:rStyle w:val="TextoNormalCaracter"/>
          </w:rPr>
          <w:t>28/2013</w:t>
        </w:r>
      </w:hyperlink>
      <w:r w:rsidRPr="00234417">
        <w:rPr>
          <w:rStyle w:val="TextoNormalCaracter"/>
        </w:rPr>
        <w:t xml:space="preserve">, f. 3; </w:t>
      </w:r>
      <w:hyperlink w:anchor="SENTENCIA_2013_54" w:history="1">
        <w:r w:rsidRPr="00234417">
          <w:rPr>
            <w:rStyle w:val="TextoNormalCaracter"/>
          </w:rPr>
          <w:t>54/2013</w:t>
        </w:r>
      </w:hyperlink>
      <w:r w:rsidRPr="00234417">
        <w:rPr>
          <w:rStyle w:val="TextoNormalCaracter"/>
        </w:rPr>
        <w:t>, f. 3.</w:t>
      </w:r>
    </w:p>
    <w:p w:rsidR="00234417" w:rsidRPr="00234417" w:rsidRDefault="00234417" w:rsidP="00234417">
      <w:pPr>
        <w:pStyle w:val="TextoNormalSangraFrancesa"/>
        <w:rPr>
          <w:rStyle w:val="TextoNormalCaracter"/>
        </w:rPr>
      </w:pPr>
      <w:bookmarkStart w:id="1907" w:name="DESCRIPTORALFABETICO760"/>
      <w:r w:rsidRPr="00234417">
        <w:rPr>
          <w:rStyle w:val="TextoNormalNegritaCaracter"/>
        </w:rPr>
        <w:t>Pensión de viudedad</w:t>
      </w:r>
      <w:bookmarkEnd w:id="1907"/>
      <w:r w:rsidRPr="00234417">
        <w:rPr>
          <w:rStyle w:val="TextoNormalCaracter"/>
        </w:rPr>
        <w:t xml:space="preserve">, Sentencias </w:t>
      </w:r>
      <w:hyperlink w:anchor="SENTENCIA_2013_41" w:history="1">
        <w:r w:rsidRPr="00234417">
          <w:rPr>
            <w:rStyle w:val="TextoNormalCaracter"/>
          </w:rPr>
          <w:t>41/2013</w:t>
        </w:r>
      </w:hyperlink>
      <w:r w:rsidRPr="00234417">
        <w:rPr>
          <w:rStyle w:val="TextoNormalCaracter"/>
        </w:rPr>
        <w:t xml:space="preserve">, ff. 3, 4, 5, 6, 7, 8, 9, VP; </w:t>
      </w:r>
      <w:hyperlink w:anchor="SENTENCIA_2013_55" w:history="1">
        <w:r w:rsidRPr="00234417">
          <w:rPr>
            <w:rStyle w:val="TextoNormalCaracter"/>
          </w:rPr>
          <w:t>55/2013</w:t>
        </w:r>
      </w:hyperlink>
      <w:r w:rsidRPr="00234417">
        <w:rPr>
          <w:rStyle w:val="TextoNormalCaracter"/>
        </w:rPr>
        <w:t xml:space="preserve">, ff. 1, 2; </w:t>
      </w:r>
      <w:hyperlink w:anchor="SENTENCIA_2013_77" w:history="1">
        <w:r w:rsidRPr="00234417">
          <w:rPr>
            <w:rStyle w:val="TextoNormalCaracter"/>
          </w:rPr>
          <w:t>77/2013</w:t>
        </w:r>
      </w:hyperlink>
      <w:r w:rsidRPr="00234417">
        <w:rPr>
          <w:rStyle w:val="TextoNormalCaracter"/>
        </w:rPr>
        <w:t>, f. 3.</w:t>
      </w:r>
    </w:p>
    <w:p w:rsidR="00234417" w:rsidRPr="00234417" w:rsidRDefault="00234417" w:rsidP="00234417">
      <w:pPr>
        <w:pStyle w:val="TextoNormalSangraFrancesa"/>
        <w:rPr>
          <w:rStyle w:val="TextoNormalCaracter"/>
        </w:rPr>
      </w:pPr>
      <w:r w:rsidRPr="00234417">
        <w:rPr>
          <w:rStyle w:val="TextoNormalCursivaCaracter"/>
        </w:rPr>
        <w:t xml:space="preserve">    Naturaleza, </w:t>
      </w:r>
      <w:r w:rsidRPr="00234417">
        <w:rPr>
          <w:rStyle w:val="TextoNormalCaracter"/>
        </w:rPr>
        <w:t xml:space="preserve">Sentencia </w:t>
      </w:r>
      <w:hyperlink w:anchor="SENTENCIA_2013_41" w:history="1">
        <w:r w:rsidRPr="00234417">
          <w:rPr>
            <w:rStyle w:val="TextoNormalCaracter"/>
          </w:rPr>
          <w:t>41/2013</w:t>
        </w:r>
      </w:hyperlink>
      <w:r w:rsidRPr="00234417">
        <w:rPr>
          <w:rStyle w:val="TextoNormalCaracter"/>
        </w:rPr>
        <w:t>, ff. 3 a 5, 8, 9, VP.</w:t>
      </w:r>
    </w:p>
    <w:p w:rsidR="00234417" w:rsidRPr="00234417" w:rsidRDefault="00234417" w:rsidP="00234417">
      <w:pPr>
        <w:pStyle w:val="TextoNormalSangraFrancesa"/>
        <w:rPr>
          <w:rStyle w:val="TextoNormalCaracter"/>
        </w:rPr>
      </w:pPr>
      <w:r w:rsidRPr="00234417">
        <w:rPr>
          <w:rStyle w:val="TextoNormalCursivaCaracter"/>
        </w:rPr>
        <w:t xml:space="preserve">    Requisitos, </w:t>
      </w:r>
      <w:r w:rsidRPr="00234417">
        <w:rPr>
          <w:rStyle w:val="TextoNormalCaracter"/>
        </w:rPr>
        <w:t xml:space="preserve">Sentencia </w:t>
      </w:r>
      <w:hyperlink w:anchor="SENTENCIA_2013_41" w:history="1">
        <w:r w:rsidRPr="00234417">
          <w:rPr>
            <w:rStyle w:val="TextoNormalCaracter"/>
          </w:rPr>
          <w:t>41/2013</w:t>
        </w:r>
      </w:hyperlink>
      <w:r w:rsidRPr="00234417">
        <w:rPr>
          <w:rStyle w:val="TextoNormalCaracter"/>
        </w:rPr>
        <w:t>, ff. 4 a 8, VP.</w:t>
      </w:r>
    </w:p>
    <w:p w:rsidR="00234417" w:rsidRPr="00234417" w:rsidRDefault="00234417" w:rsidP="00234417">
      <w:pPr>
        <w:pStyle w:val="TextoNormalSangraFrancesa"/>
        <w:rPr>
          <w:rStyle w:val="TextoNormalCaracter"/>
        </w:rPr>
      </w:pPr>
      <w:bookmarkStart w:id="1908" w:name="DESCRIPTORALFABETICO591"/>
      <w:r w:rsidRPr="00234417">
        <w:rPr>
          <w:rStyle w:val="TextoNormalNegritaCaracter"/>
        </w:rPr>
        <w:t>Pérdida de la condición de funcionario</w:t>
      </w:r>
      <w:bookmarkEnd w:id="1908"/>
      <w:r w:rsidRPr="00234417">
        <w:rPr>
          <w:rStyle w:val="TextoNormalCaracter"/>
        </w:rPr>
        <w:t xml:space="preserve">, Auto </w:t>
      </w:r>
      <w:hyperlink w:anchor="AUTO_2013_85" w:history="1">
        <w:r w:rsidRPr="00234417">
          <w:rPr>
            <w:rStyle w:val="TextoNormalCaracter"/>
          </w:rPr>
          <w:t>85/2013</w:t>
        </w:r>
      </w:hyperlink>
      <w:r w:rsidRPr="00234417">
        <w:rPr>
          <w:rStyle w:val="TextoNormalCaracter"/>
        </w:rPr>
        <w:t>, f. 4.</w:t>
      </w:r>
    </w:p>
    <w:p w:rsidR="00234417" w:rsidRPr="00234417" w:rsidRDefault="00234417" w:rsidP="00234417">
      <w:pPr>
        <w:pStyle w:val="TextoNormalSangraFrancesa"/>
        <w:rPr>
          <w:rStyle w:val="TextoNormalCaracter"/>
        </w:rPr>
      </w:pPr>
      <w:bookmarkStart w:id="1909" w:name="DESCRIPTORALFABETICO270"/>
      <w:r w:rsidRPr="00234417">
        <w:rPr>
          <w:rStyle w:val="TextoNormalNegritaCaracter"/>
        </w:rPr>
        <w:t>Pérdida parcial de objeto del conflicto positivo de competencia</w:t>
      </w:r>
      <w:bookmarkEnd w:id="1909"/>
      <w:r w:rsidRPr="00234417">
        <w:rPr>
          <w:rStyle w:val="TextoNormalCaracter"/>
        </w:rPr>
        <w:t xml:space="preserve">, Sentencia </w:t>
      </w:r>
      <w:hyperlink w:anchor="SENTENCIA_2013_37" w:history="1">
        <w:r w:rsidRPr="00234417">
          <w:rPr>
            <w:rStyle w:val="TextoNormalCaracter"/>
          </w:rPr>
          <w:t>37/2013</w:t>
        </w:r>
      </w:hyperlink>
      <w:r w:rsidRPr="00234417">
        <w:rPr>
          <w:rStyle w:val="TextoNormalCaracter"/>
        </w:rPr>
        <w:t>, f. 3.</w:t>
      </w:r>
    </w:p>
    <w:p w:rsidR="00234417" w:rsidRPr="00234417" w:rsidRDefault="00234417" w:rsidP="00234417">
      <w:pPr>
        <w:pStyle w:val="TextoNormalSangraFrancesa"/>
        <w:rPr>
          <w:rStyle w:val="TextoNormalCaracter"/>
        </w:rPr>
      </w:pPr>
      <w:bookmarkStart w:id="1910" w:name="DESCRIPTORALFABETICO271"/>
      <w:r w:rsidRPr="00234417">
        <w:rPr>
          <w:rStyle w:val="TextoNormalNegritaCaracter"/>
        </w:rPr>
        <w:t>Pérdida parcial de objeto por derogación de uno de los preceptos impugnados</w:t>
      </w:r>
      <w:bookmarkEnd w:id="1910"/>
      <w:r w:rsidRPr="00234417">
        <w:rPr>
          <w:rStyle w:val="TextoNormalCaracter"/>
        </w:rPr>
        <w:t xml:space="preserve">, Sentencia </w:t>
      </w:r>
      <w:hyperlink w:anchor="SENTENCIA_2013_83" w:history="1">
        <w:r w:rsidRPr="00234417">
          <w:rPr>
            <w:rStyle w:val="TextoNormalCaracter"/>
          </w:rPr>
          <w:t>83/2013</w:t>
        </w:r>
      </w:hyperlink>
      <w:r w:rsidRPr="00234417">
        <w:rPr>
          <w:rStyle w:val="TextoNormalCaracter"/>
        </w:rPr>
        <w:t>, f. 4.</w:t>
      </w:r>
    </w:p>
    <w:p w:rsidR="00234417" w:rsidRPr="00234417" w:rsidRDefault="00234417" w:rsidP="00234417">
      <w:pPr>
        <w:pStyle w:val="TextoNormalSangraFrancesa"/>
        <w:rPr>
          <w:rStyle w:val="TextoNormalCaracter"/>
        </w:rPr>
      </w:pPr>
      <w:bookmarkStart w:id="1911" w:name="DESCRIPTORALFABETICO284"/>
      <w:r w:rsidRPr="00234417">
        <w:rPr>
          <w:rStyle w:val="TextoNormalNegritaCaracter"/>
        </w:rPr>
        <w:t>Pérdida sobrevenida de objeto de la cuestión de inconstitucionalidad</w:t>
      </w:r>
      <w:bookmarkEnd w:id="1911"/>
      <w:r w:rsidRPr="00234417">
        <w:rPr>
          <w:rStyle w:val="TextoNormalCaracter"/>
        </w:rPr>
        <w:t xml:space="preserve">, Autos </w:t>
      </w:r>
      <w:hyperlink w:anchor="AUTO_2013_96" w:history="1">
        <w:r w:rsidRPr="00234417">
          <w:rPr>
            <w:rStyle w:val="TextoNormalCaracter"/>
          </w:rPr>
          <w:t>96/2013</w:t>
        </w:r>
      </w:hyperlink>
      <w:r w:rsidRPr="00234417">
        <w:rPr>
          <w:rStyle w:val="TextoNormalCaracter"/>
        </w:rPr>
        <w:t xml:space="preserve">, f. único; </w:t>
      </w:r>
      <w:hyperlink w:anchor="AUTO_2013_126" w:history="1">
        <w:r w:rsidRPr="00234417">
          <w:rPr>
            <w:rStyle w:val="TextoNormalCaracter"/>
          </w:rPr>
          <w:t>126/2013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912" w:name="DESCRIPTORALFABETICO272"/>
      <w:r w:rsidRPr="00234417">
        <w:rPr>
          <w:rStyle w:val="TextoNormalNegritaCaracter"/>
        </w:rPr>
        <w:t>Pérdida sobrevenida de objeto del conflicto positivo de competencia</w:t>
      </w:r>
      <w:bookmarkEnd w:id="1912"/>
      <w:r w:rsidRPr="00234417">
        <w:rPr>
          <w:rStyle w:val="TextoNormalCaracter"/>
        </w:rPr>
        <w:t xml:space="preserve">, Sentencia </w:t>
      </w:r>
      <w:hyperlink w:anchor="SENTENCIA_2013_65" w:history="1">
        <w:r w:rsidRPr="00234417">
          <w:rPr>
            <w:rStyle w:val="TextoNormalCaracter"/>
          </w:rPr>
          <w:t>65/2013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13" w:name="DESCRIPTORALFABETICO228"/>
      <w:r w:rsidRPr="00234417">
        <w:rPr>
          <w:rStyle w:val="TextoNormalNegritaCaracter"/>
        </w:rPr>
        <w:t>Pérdida sobrevenida de objeto del incidente de suspensión cautelar</w:t>
      </w:r>
      <w:bookmarkEnd w:id="1913"/>
      <w:r w:rsidRPr="00234417">
        <w:rPr>
          <w:rStyle w:val="TextoNormalCaracter"/>
        </w:rPr>
        <w:t xml:space="preserve">, Auto </w:t>
      </w:r>
      <w:hyperlink w:anchor="AUTO_2013_18" w:history="1">
        <w:r w:rsidRPr="00234417">
          <w:rPr>
            <w:rStyle w:val="TextoNormalCaracter"/>
          </w:rPr>
          <w:t>18/2013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914" w:name="DESCRIPTORALFABETICO300"/>
      <w:r w:rsidRPr="00234417">
        <w:rPr>
          <w:rStyle w:val="TextoNormalNegritaCaracter"/>
        </w:rPr>
        <w:t>Pérdida sobrevenida de objeto del recurso de amparo</w:t>
      </w:r>
      <w:bookmarkEnd w:id="1914"/>
      <w:r w:rsidRPr="00234417">
        <w:rPr>
          <w:rStyle w:val="TextoNormalCaracter"/>
        </w:rPr>
        <w:t xml:space="preserve">, Auto </w:t>
      </w:r>
      <w:hyperlink w:anchor="AUTO_2013_6" w:history="1">
        <w:r w:rsidRPr="00234417">
          <w:rPr>
            <w:rStyle w:val="TextoNormalCaracter"/>
          </w:rPr>
          <w:t>6/2013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1915" w:name="DESCRIPTORALFABETICO248"/>
      <w:r w:rsidRPr="00234417">
        <w:rPr>
          <w:rStyle w:val="TextoNormalNegritaCaracter"/>
        </w:rPr>
        <w:t>Pérdida sobrevenida de objeto por declaración de inconstitucionalidad de la norma</w:t>
      </w:r>
      <w:bookmarkEnd w:id="1915"/>
      <w:r w:rsidRPr="00234417">
        <w:rPr>
          <w:rStyle w:val="TextoNormalCaracter"/>
        </w:rPr>
        <w:t xml:space="preserve">, Sentencia </w:t>
      </w:r>
      <w:hyperlink w:anchor="SENTENCIA_2013_132" w:history="1">
        <w:r w:rsidRPr="00234417">
          <w:rPr>
            <w:rStyle w:val="TextoNormalCaracter"/>
          </w:rPr>
          <w:t>132/2013</w:t>
        </w:r>
      </w:hyperlink>
      <w:r w:rsidRPr="00234417">
        <w:rPr>
          <w:rStyle w:val="TextoNormalCaracter"/>
        </w:rPr>
        <w:t>, f. 6.</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27" w:history="1">
        <w:r w:rsidRPr="00234417">
          <w:rPr>
            <w:rStyle w:val="TextoNormalCaracter"/>
          </w:rPr>
          <w:t>27/2013</w:t>
        </w:r>
      </w:hyperlink>
      <w:r w:rsidRPr="00234417">
        <w:rPr>
          <w:rStyle w:val="TextoNormalCaracter"/>
        </w:rPr>
        <w:t xml:space="preserve">, f. 2; </w:t>
      </w:r>
      <w:hyperlink w:anchor="AUTO_2013_50" w:history="1">
        <w:r w:rsidRPr="00234417">
          <w:rPr>
            <w:rStyle w:val="TextoNormalCaracter"/>
          </w:rPr>
          <w:t>50/2013</w:t>
        </w:r>
      </w:hyperlink>
      <w:r w:rsidRPr="00234417">
        <w:rPr>
          <w:rStyle w:val="TextoNormalCaracter"/>
        </w:rPr>
        <w:t xml:space="preserve">, f. único; </w:t>
      </w:r>
      <w:hyperlink w:anchor="AUTO_2013_51" w:history="1">
        <w:r w:rsidRPr="00234417">
          <w:rPr>
            <w:rStyle w:val="TextoNormalCaracter"/>
          </w:rPr>
          <w:t>51/2013</w:t>
        </w:r>
      </w:hyperlink>
      <w:r w:rsidRPr="00234417">
        <w:rPr>
          <w:rStyle w:val="TextoNormalCaracter"/>
        </w:rPr>
        <w:t xml:space="preserve">, f. único; </w:t>
      </w:r>
      <w:hyperlink w:anchor="AUTO_2013_52" w:history="1">
        <w:r w:rsidRPr="00234417">
          <w:rPr>
            <w:rStyle w:val="TextoNormalCaracter"/>
          </w:rPr>
          <w:t>52/2013</w:t>
        </w:r>
      </w:hyperlink>
      <w:r w:rsidRPr="00234417">
        <w:rPr>
          <w:rStyle w:val="TextoNormalCaracter"/>
        </w:rPr>
        <w:t xml:space="preserve">, f. único; </w:t>
      </w:r>
      <w:hyperlink w:anchor="AUTO_2013_53" w:history="1">
        <w:r w:rsidRPr="00234417">
          <w:rPr>
            <w:rStyle w:val="TextoNormalCaracter"/>
          </w:rPr>
          <w:t>53/2013</w:t>
        </w:r>
      </w:hyperlink>
      <w:r w:rsidRPr="00234417">
        <w:rPr>
          <w:rStyle w:val="TextoNormalCaracter"/>
        </w:rPr>
        <w:t xml:space="preserve">, f. único; </w:t>
      </w:r>
      <w:hyperlink w:anchor="AUTO_2013_54" w:history="1">
        <w:r w:rsidRPr="00234417">
          <w:rPr>
            <w:rStyle w:val="TextoNormalCaracter"/>
          </w:rPr>
          <w:t>54/2013</w:t>
        </w:r>
      </w:hyperlink>
      <w:r w:rsidRPr="00234417">
        <w:rPr>
          <w:rStyle w:val="TextoNormalCaracter"/>
        </w:rPr>
        <w:t xml:space="preserve">, f. único; </w:t>
      </w:r>
      <w:hyperlink w:anchor="AUTO_2013_55" w:history="1">
        <w:r w:rsidRPr="00234417">
          <w:rPr>
            <w:rStyle w:val="TextoNormalCaracter"/>
          </w:rPr>
          <w:t>55/2013</w:t>
        </w:r>
      </w:hyperlink>
      <w:r w:rsidRPr="00234417">
        <w:rPr>
          <w:rStyle w:val="TextoNormalCaracter"/>
        </w:rPr>
        <w:t xml:space="preserve">, f. único; </w:t>
      </w:r>
      <w:hyperlink w:anchor="AUTO_2013_57" w:history="1">
        <w:r w:rsidRPr="00234417">
          <w:rPr>
            <w:rStyle w:val="TextoNormalCaracter"/>
          </w:rPr>
          <w:t>57/2013</w:t>
        </w:r>
      </w:hyperlink>
      <w:r w:rsidRPr="00234417">
        <w:rPr>
          <w:rStyle w:val="TextoNormalCaracter"/>
        </w:rPr>
        <w:t xml:space="preserve">, f. único; </w:t>
      </w:r>
      <w:hyperlink w:anchor="AUTO_2013_67" w:history="1">
        <w:r w:rsidRPr="00234417">
          <w:rPr>
            <w:rStyle w:val="TextoNormalCaracter"/>
          </w:rPr>
          <w:t>67/2013</w:t>
        </w:r>
      </w:hyperlink>
      <w:r w:rsidRPr="00234417">
        <w:rPr>
          <w:rStyle w:val="TextoNormalCaracter"/>
        </w:rPr>
        <w:t xml:space="preserve">, f. 2; </w:t>
      </w:r>
      <w:hyperlink w:anchor="AUTO_2013_69" w:history="1">
        <w:r w:rsidRPr="00234417">
          <w:rPr>
            <w:rStyle w:val="TextoNormalCaracter"/>
          </w:rPr>
          <w:t>69/2013</w:t>
        </w:r>
      </w:hyperlink>
      <w:r w:rsidRPr="00234417">
        <w:rPr>
          <w:rStyle w:val="TextoNormalCaracter"/>
        </w:rPr>
        <w:t xml:space="preserve">, f. único; </w:t>
      </w:r>
      <w:hyperlink w:anchor="AUTO_2013_73" w:history="1">
        <w:r w:rsidRPr="00234417">
          <w:rPr>
            <w:rStyle w:val="TextoNormalCaracter"/>
          </w:rPr>
          <w:t>73/2013</w:t>
        </w:r>
      </w:hyperlink>
      <w:r w:rsidRPr="00234417">
        <w:rPr>
          <w:rStyle w:val="TextoNormalCaracter"/>
        </w:rPr>
        <w:t xml:space="preserve">, f. único; </w:t>
      </w:r>
      <w:hyperlink w:anchor="AUTO_2013_76" w:history="1">
        <w:r w:rsidRPr="00234417">
          <w:rPr>
            <w:rStyle w:val="TextoNormalCaracter"/>
          </w:rPr>
          <w:t>76/2013</w:t>
        </w:r>
      </w:hyperlink>
      <w:r w:rsidRPr="00234417">
        <w:rPr>
          <w:rStyle w:val="TextoNormalCaracter"/>
        </w:rPr>
        <w:t xml:space="preserve">, f. único; </w:t>
      </w:r>
      <w:hyperlink w:anchor="AUTO_2013_77" w:history="1">
        <w:r w:rsidRPr="00234417">
          <w:rPr>
            <w:rStyle w:val="TextoNormalCaracter"/>
          </w:rPr>
          <w:t>77/2013</w:t>
        </w:r>
      </w:hyperlink>
      <w:r w:rsidRPr="00234417">
        <w:rPr>
          <w:rStyle w:val="TextoNormalCaracter"/>
        </w:rPr>
        <w:t xml:space="preserve">, f. único; </w:t>
      </w:r>
      <w:hyperlink w:anchor="AUTO_2013_79" w:history="1">
        <w:r w:rsidRPr="00234417">
          <w:rPr>
            <w:rStyle w:val="TextoNormalCaracter"/>
          </w:rPr>
          <w:t>79/2013</w:t>
        </w:r>
      </w:hyperlink>
      <w:r w:rsidRPr="00234417">
        <w:rPr>
          <w:rStyle w:val="TextoNormalCaracter"/>
        </w:rPr>
        <w:t xml:space="preserve">, f. único; </w:t>
      </w:r>
      <w:hyperlink w:anchor="AUTO_2013_93" w:history="1">
        <w:r w:rsidRPr="00234417">
          <w:rPr>
            <w:rStyle w:val="TextoNormalCaracter"/>
          </w:rPr>
          <w:t>93/2013</w:t>
        </w:r>
      </w:hyperlink>
      <w:r w:rsidRPr="00234417">
        <w:rPr>
          <w:rStyle w:val="TextoNormalCaracter"/>
        </w:rPr>
        <w:t xml:space="preserve">, f. 3; </w:t>
      </w:r>
      <w:hyperlink w:anchor="AUTO_2013_104" w:history="1">
        <w:r w:rsidRPr="00234417">
          <w:rPr>
            <w:rStyle w:val="TextoNormalCaracter"/>
          </w:rPr>
          <w:t>104/2013</w:t>
        </w:r>
      </w:hyperlink>
      <w:r w:rsidRPr="00234417">
        <w:rPr>
          <w:rStyle w:val="TextoNormalCaracter"/>
        </w:rPr>
        <w:t xml:space="preserve">, f. único; </w:t>
      </w:r>
      <w:hyperlink w:anchor="AUTO_2013_105" w:history="1">
        <w:r w:rsidRPr="00234417">
          <w:rPr>
            <w:rStyle w:val="TextoNormalCaracter"/>
          </w:rPr>
          <w:t>105/2013</w:t>
        </w:r>
      </w:hyperlink>
      <w:r w:rsidRPr="00234417">
        <w:rPr>
          <w:rStyle w:val="TextoNormalCaracter"/>
        </w:rPr>
        <w:t xml:space="preserve">, f. único; </w:t>
      </w:r>
      <w:hyperlink w:anchor="AUTO_2013_106" w:history="1">
        <w:r w:rsidRPr="00234417">
          <w:rPr>
            <w:rStyle w:val="TextoNormalCaracter"/>
          </w:rPr>
          <w:t>106/2013</w:t>
        </w:r>
      </w:hyperlink>
      <w:r w:rsidRPr="00234417">
        <w:rPr>
          <w:rStyle w:val="TextoNormalCaracter"/>
        </w:rPr>
        <w:t xml:space="preserve">, f. único; </w:t>
      </w:r>
      <w:hyperlink w:anchor="AUTO_2013_107" w:history="1">
        <w:r w:rsidRPr="00234417">
          <w:rPr>
            <w:rStyle w:val="TextoNormalCaracter"/>
          </w:rPr>
          <w:t>107/2013</w:t>
        </w:r>
      </w:hyperlink>
      <w:r w:rsidRPr="00234417">
        <w:rPr>
          <w:rStyle w:val="TextoNormalCaracter"/>
        </w:rPr>
        <w:t xml:space="preserve">, f. único; </w:t>
      </w:r>
      <w:hyperlink w:anchor="AUTO_2013_108" w:history="1">
        <w:r w:rsidRPr="00234417">
          <w:rPr>
            <w:rStyle w:val="TextoNormalCaracter"/>
          </w:rPr>
          <w:t>108/2013</w:t>
        </w:r>
      </w:hyperlink>
      <w:r w:rsidRPr="00234417">
        <w:rPr>
          <w:rStyle w:val="TextoNormalCaracter"/>
        </w:rPr>
        <w:t xml:space="preserve">, f. único; </w:t>
      </w:r>
      <w:hyperlink w:anchor="AUTO_2013_109" w:history="1">
        <w:r w:rsidRPr="00234417">
          <w:rPr>
            <w:rStyle w:val="TextoNormalCaracter"/>
          </w:rPr>
          <w:t>109/2013</w:t>
        </w:r>
      </w:hyperlink>
      <w:r w:rsidRPr="00234417">
        <w:rPr>
          <w:rStyle w:val="TextoNormalCaracter"/>
        </w:rPr>
        <w:t xml:space="preserve">, f. único; </w:t>
      </w:r>
      <w:hyperlink w:anchor="AUTO_2013_110" w:history="1">
        <w:r w:rsidRPr="00234417">
          <w:rPr>
            <w:rStyle w:val="TextoNormalCaracter"/>
          </w:rPr>
          <w:t>110/2013</w:t>
        </w:r>
      </w:hyperlink>
      <w:r w:rsidRPr="00234417">
        <w:rPr>
          <w:rStyle w:val="TextoNormalCaracter"/>
        </w:rPr>
        <w:t xml:space="preserve">, f. único; </w:t>
      </w:r>
      <w:hyperlink w:anchor="AUTO_2013_111" w:history="1">
        <w:r w:rsidRPr="00234417">
          <w:rPr>
            <w:rStyle w:val="TextoNormalCaracter"/>
          </w:rPr>
          <w:t>111/2013</w:t>
        </w:r>
      </w:hyperlink>
      <w:r w:rsidRPr="00234417">
        <w:rPr>
          <w:rStyle w:val="TextoNormalCaracter"/>
        </w:rPr>
        <w:t xml:space="preserve">, f. único; </w:t>
      </w:r>
      <w:hyperlink w:anchor="AUTO_2013_112" w:history="1">
        <w:r w:rsidRPr="00234417">
          <w:rPr>
            <w:rStyle w:val="TextoNormalCaracter"/>
          </w:rPr>
          <w:t>112/2013</w:t>
        </w:r>
      </w:hyperlink>
      <w:r w:rsidRPr="00234417">
        <w:rPr>
          <w:rStyle w:val="TextoNormalCaracter"/>
        </w:rPr>
        <w:t xml:space="preserve">, f. único; </w:t>
      </w:r>
      <w:hyperlink w:anchor="AUTO_2013_113" w:history="1">
        <w:r w:rsidRPr="00234417">
          <w:rPr>
            <w:rStyle w:val="TextoNormalCaracter"/>
          </w:rPr>
          <w:t>113/2013</w:t>
        </w:r>
      </w:hyperlink>
      <w:r w:rsidRPr="00234417">
        <w:rPr>
          <w:rStyle w:val="TextoNormalCaracter"/>
        </w:rPr>
        <w:t xml:space="preserve">, f. único; </w:t>
      </w:r>
      <w:hyperlink w:anchor="AUTO_2013_114" w:history="1">
        <w:r w:rsidRPr="00234417">
          <w:rPr>
            <w:rStyle w:val="TextoNormalCaracter"/>
          </w:rPr>
          <w:t>114/2013</w:t>
        </w:r>
      </w:hyperlink>
      <w:r w:rsidRPr="00234417">
        <w:rPr>
          <w:rStyle w:val="TextoNormalCaracter"/>
        </w:rPr>
        <w:t xml:space="preserve">, f. único; </w:t>
      </w:r>
      <w:hyperlink w:anchor="AUTO_2013_115" w:history="1">
        <w:r w:rsidRPr="00234417">
          <w:rPr>
            <w:rStyle w:val="TextoNormalCaracter"/>
          </w:rPr>
          <w:t>115/2013</w:t>
        </w:r>
      </w:hyperlink>
      <w:r w:rsidRPr="00234417">
        <w:rPr>
          <w:rStyle w:val="TextoNormalCaracter"/>
        </w:rPr>
        <w:t xml:space="preserve">, f. único; </w:t>
      </w:r>
      <w:hyperlink w:anchor="AUTO_2013_117" w:history="1">
        <w:r w:rsidRPr="00234417">
          <w:rPr>
            <w:rStyle w:val="TextoNormalCaracter"/>
          </w:rPr>
          <w:t>117/2013</w:t>
        </w:r>
      </w:hyperlink>
      <w:r w:rsidRPr="00234417">
        <w:rPr>
          <w:rStyle w:val="TextoNormalCaracter"/>
        </w:rPr>
        <w:t xml:space="preserve">, f. único; </w:t>
      </w:r>
      <w:hyperlink w:anchor="AUTO_2013_118" w:history="1">
        <w:r w:rsidRPr="00234417">
          <w:rPr>
            <w:rStyle w:val="TextoNormalCaracter"/>
          </w:rPr>
          <w:t>118/2013</w:t>
        </w:r>
      </w:hyperlink>
      <w:r w:rsidRPr="00234417">
        <w:rPr>
          <w:rStyle w:val="TextoNormalCaracter"/>
        </w:rPr>
        <w:t xml:space="preserve">, f. único; </w:t>
      </w:r>
      <w:hyperlink w:anchor="AUTO_2013_119" w:history="1">
        <w:r w:rsidRPr="00234417">
          <w:rPr>
            <w:rStyle w:val="TextoNormalCaracter"/>
          </w:rPr>
          <w:t>119/2013</w:t>
        </w:r>
      </w:hyperlink>
      <w:r w:rsidRPr="00234417">
        <w:rPr>
          <w:rStyle w:val="TextoNormalCaracter"/>
        </w:rPr>
        <w:t xml:space="preserve">, f. único; </w:t>
      </w:r>
      <w:hyperlink w:anchor="AUTO_2013_140" w:history="1">
        <w:r w:rsidRPr="00234417">
          <w:rPr>
            <w:rStyle w:val="TextoNormalCaracter"/>
          </w:rPr>
          <w:t>140/2013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916" w:name="DESCRIPTORALFABETICO249"/>
      <w:r w:rsidRPr="00234417">
        <w:rPr>
          <w:rStyle w:val="TextoNormalNegritaCaracter"/>
        </w:rPr>
        <w:t>Pérdida sobrevenida de objeto por derogación de la norma</w:t>
      </w:r>
      <w:bookmarkEnd w:id="1916"/>
      <w:r w:rsidRPr="00234417">
        <w:rPr>
          <w:rStyle w:val="TextoNormalCaracter"/>
        </w:rPr>
        <w:t xml:space="preserve">, Sentencias </w:t>
      </w:r>
      <w:hyperlink w:anchor="SENTENCIA_2013_15" w:history="1">
        <w:r w:rsidRPr="00234417">
          <w:rPr>
            <w:rStyle w:val="TextoNormalCaracter"/>
          </w:rPr>
          <w:t>15/2013</w:t>
        </w:r>
      </w:hyperlink>
      <w:r w:rsidRPr="00234417">
        <w:rPr>
          <w:rStyle w:val="TextoNormalCaracter"/>
        </w:rPr>
        <w:t xml:space="preserve">, f. 2; </w:t>
      </w:r>
      <w:hyperlink w:anchor="SENTENCIA_2013_25" w:history="1">
        <w:r w:rsidRPr="00234417">
          <w:rPr>
            <w:rStyle w:val="TextoNormalCaracter"/>
          </w:rPr>
          <w:t>25/2013</w:t>
        </w:r>
      </w:hyperlink>
      <w:r w:rsidRPr="00234417">
        <w:rPr>
          <w:rStyle w:val="TextoNormalCaracter"/>
        </w:rPr>
        <w:t xml:space="preserve">, f. 2; </w:t>
      </w:r>
      <w:hyperlink w:anchor="SENTENCIA_2013_39" w:history="1">
        <w:r w:rsidRPr="00234417">
          <w:rPr>
            <w:rStyle w:val="TextoNormalCaracter"/>
          </w:rPr>
          <w:t>39/2013</w:t>
        </w:r>
      </w:hyperlink>
      <w:r w:rsidRPr="00234417">
        <w:rPr>
          <w:rStyle w:val="TextoNormalCaracter"/>
        </w:rPr>
        <w:t xml:space="preserve">, f. 2; </w:t>
      </w:r>
      <w:hyperlink w:anchor="SENTENCIA_2013_48" w:history="1">
        <w:r w:rsidRPr="00234417">
          <w:rPr>
            <w:rStyle w:val="TextoNormalCaracter"/>
          </w:rPr>
          <w:t>48/2013</w:t>
        </w:r>
      </w:hyperlink>
      <w:r w:rsidRPr="00234417">
        <w:rPr>
          <w:rStyle w:val="TextoNormalCaracter"/>
        </w:rPr>
        <w:t xml:space="preserve">, f. 2; </w:t>
      </w:r>
      <w:hyperlink w:anchor="SENTENCIA_2013_132" w:history="1">
        <w:r w:rsidRPr="00234417">
          <w:rPr>
            <w:rStyle w:val="TextoNormalCaracter"/>
          </w:rPr>
          <w:t>132/2013</w:t>
        </w:r>
      </w:hyperlink>
      <w:r w:rsidRPr="00234417">
        <w:rPr>
          <w:rStyle w:val="TextoNormalCaracter"/>
        </w:rPr>
        <w:t>, ff. 5, 7.</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33" w:history="1">
        <w:r w:rsidRPr="00234417">
          <w:rPr>
            <w:rStyle w:val="TextoNormalCaracter"/>
          </w:rPr>
          <w:t>33/2013</w:t>
        </w:r>
      </w:hyperlink>
      <w:r w:rsidRPr="00234417">
        <w:rPr>
          <w:rStyle w:val="TextoNormalCaracter"/>
        </w:rPr>
        <w:t xml:space="preserve">, ff. 2 a 6; </w:t>
      </w:r>
      <w:hyperlink w:anchor="AUTO_2013_58" w:history="1">
        <w:r w:rsidRPr="00234417">
          <w:rPr>
            <w:rStyle w:val="TextoNormalCaracter"/>
          </w:rPr>
          <w:t>58/2013</w:t>
        </w:r>
      </w:hyperlink>
      <w:r w:rsidRPr="00234417">
        <w:rPr>
          <w:rStyle w:val="TextoNormalCaracter"/>
        </w:rPr>
        <w:t xml:space="preserve">, ff. 2 a 5; </w:t>
      </w:r>
      <w:hyperlink w:anchor="AUTO_2013_87" w:history="1">
        <w:r w:rsidRPr="00234417">
          <w:rPr>
            <w:rStyle w:val="TextoNormalCaracter"/>
          </w:rPr>
          <w:t>87/2013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917" w:name="DESCRIPTORALFABETICO250"/>
      <w:r w:rsidRPr="00234417">
        <w:rPr>
          <w:rStyle w:val="TextoNormalNegritaCaracter"/>
        </w:rPr>
        <w:t>Pérdida sobrevenida de objeto por modificación de la norma</w:t>
      </w:r>
      <w:bookmarkEnd w:id="1917"/>
      <w:r w:rsidRPr="00234417">
        <w:rPr>
          <w:rStyle w:val="TextoNormalCaracter"/>
        </w:rPr>
        <w:t xml:space="preserve">, Sentencias </w:t>
      </w:r>
      <w:hyperlink w:anchor="SENTENCIA_2013_49" w:history="1">
        <w:r w:rsidRPr="00234417">
          <w:rPr>
            <w:rStyle w:val="TextoNormalCaracter"/>
          </w:rPr>
          <w:t>49/2013</w:t>
        </w:r>
      </w:hyperlink>
      <w:r w:rsidRPr="00234417">
        <w:rPr>
          <w:rStyle w:val="TextoNormalCaracter"/>
        </w:rPr>
        <w:t xml:space="preserve">, f. 2; </w:t>
      </w:r>
      <w:hyperlink w:anchor="SENTENCIA_2013_59" w:history="1">
        <w:r w:rsidRPr="00234417">
          <w:rPr>
            <w:rStyle w:val="TextoNormalCaracter"/>
          </w:rPr>
          <w:t>59/2013</w:t>
        </w:r>
      </w:hyperlink>
      <w:r w:rsidRPr="00234417">
        <w:rPr>
          <w:rStyle w:val="TextoNormalCaracter"/>
        </w:rPr>
        <w:t xml:space="preserve">, f. 2; </w:t>
      </w:r>
      <w:hyperlink w:anchor="SENTENCIA_2013_102" w:history="1">
        <w:r w:rsidRPr="00234417">
          <w:rPr>
            <w:rStyle w:val="TextoNormalCaracter"/>
          </w:rPr>
          <w:t>102/2013</w:t>
        </w:r>
      </w:hyperlink>
      <w:r w:rsidRPr="00234417">
        <w:rPr>
          <w:rStyle w:val="TextoNormalCaracter"/>
        </w:rPr>
        <w:t xml:space="preserve">, f. 2; </w:t>
      </w:r>
      <w:hyperlink w:anchor="SENTENCIA_2013_104" w:history="1">
        <w:r w:rsidRPr="00234417">
          <w:rPr>
            <w:rStyle w:val="TextoNormalCaracter"/>
          </w:rPr>
          <w:t>104/2013</w:t>
        </w:r>
      </w:hyperlink>
      <w:r w:rsidRPr="00234417">
        <w:rPr>
          <w:rStyle w:val="TextoNormalCaracter"/>
        </w:rPr>
        <w:t xml:space="preserve">, f. 2; </w:t>
      </w:r>
      <w:hyperlink w:anchor="SENTENCIA_2013_111" w:history="1">
        <w:r w:rsidRPr="00234417">
          <w:rPr>
            <w:rStyle w:val="TextoNormalCaracter"/>
          </w:rPr>
          <w:t>111/2013</w:t>
        </w:r>
      </w:hyperlink>
      <w:r w:rsidRPr="00234417">
        <w:rPr>
          <w:rStyle w:val="TextoNormalCaracter"/>
        </w:rPr>
        <w:t xml:space="preserve">, f. 2; </w:t>
      </w:r>
      <w:hyperlink w:anchor="SENTENCIA_2013_131" w:history="1">
        <w:r w:rsidRPr="00234417">
          <w:rPr>
            <w:rStyle w:val="TextoNormalCaracter"/>
          </w:rPr>
          <w:t>131/2013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918" w:name="DESCRIPTORALFABETICO251"/>
      <w:r w:rsidRPr="00234417">
        <w:rPr>
          <w:rStyle w:val="TextoNormalNegritaCaracter"/>
        </w:rPr>
        <w:t>Pérdida sobrevenida de objeto por pérdida de relevancia</w:t>
      </w:r>
      <w:bookmarkEnd w:id="1918"/>
      <w:r w:rsidRPr="00234417">
        <w:rPr>
          <w:rStyle w:val="TextoNormalCaracter"/>
        </w:rPr>
        <w:t xml:space="preserve">, Autos </w:t>
      </w:r>
      <w:hyperlink w:anchor="AUTO_2013_30" w:history="1">
        <w:r w:rsidRPr="00234417">
          <w:rPr>
            <w:rStyle w:val="TextoNormalCaracter"/>
          </w:rPr>
          <w:t>30/2013</w:t>
        </w:r>
      </w:hyperlink>
      <w:r w:rsidRPr="00234417">
        <w:rPr>
          <w:rStyle w:val="TextoNormalCaracter"/>
        </w:rPr>
        <w:t xml:space="preserve">, f. 4; </w:t>
      </w:r>
      <w:hyperlink w:anchor="AUTO_2013_31" w:history="1">
        <w:r w:rsidRPr="00234417">
          <w:rPr>
            <w:rStyle w:val="TextoNormalCaracter"/>
          </w:rPr>
          <w:t>31/2013</w:t>
        </w:r>
      </w:hyperlink>
      <w:r w:rsidRPr="00234417">
        <w:rPr>
          <w:rStyle w:val="TextoNormalCaracter"/>
        </w:rPr>
        <w:t xml:space="preserve">, f. 4; </w:t>
      </w:r>
      <w:hyperlink w:anchor="AUTO_2013_32" w:history="1">
        <w:r w:rsidRPr="00234417">
          <w:rPr>
            <w:rStyle w:val="TextoNormalCaracter"/>
          </w:rPr>
          <w:t>32/2013</w:t>
        </w:r>
      </w:hyperlink>
      <w:r w:rsidRPr="00234417">
        <w:rPr>
          <w:rStyle w:val="TextoNormalCaracter"/>
        </w:rPr>
        <w:t>, f. 4.</w:t>
      </w:r>
    </w:p>
    <w:p w:rsidR="00234417" w:rsidRPr="00234417" w:rsidRDefault="00234417" w:rsidP="00234417">
      <w:pPr>
        <w:pStyle w:val="TextoNormalSangraFrancesa"/>
        <w:rPr>
          <w:rStyle w:val="TextoNormalCaracter"/>
        </w:rPr>
      </w:pPr>
      <w:bookmarkStart w:id="1919" w:name="DESCRIPTORALFABETICO794"/>
      <w:r w:rsidRPr="00234417">
        <w:rPr>
          <w:rStyle w:val="TextoNormalNegritaCaracter"/>
        </w:rPr>
        <w:t>Peregrinaje procesal</w:t>
      </w:r>
      <w:bookmarkEnd w:id="1919"/>
      <w:r w:rsidRPr="00234417">
        <w:rPr>
          <w:rStyle w:val="TextoNormalCaracter"/>
        </w:rPr>
        <w:t xml:space="preserve">, Sentencia </w:t>
      </w:r>
      <w:hyperlink w:anchor="SENTENCIA_2013_121" w:history="1">
        <w:r w:rsidRPr="00234417">
          <w:rPr>
            <w:rStyle w:val="TextoNormalCaracter"/>
          </w:rPr>
          <w:t>121/2013</w:t>
        </w:r>
      </w:hyperlink>
      <w:r w:rsidRPr="00234417">
        <w:rPr>
          <w:rStyle w:val="TextoNormalCaracter"/>
        </w:rPr>
        <w:t>, f. 4.</w:t>
      </w:r>
    </w:p>
    <w:p w:rsidR="00234417" w:rsidRPr="00234417" w:rsidRDefault="00234417" w:rsidP="00234417">
      <w:pPr>
        <w:pStyle w:val="TextoNormalSangraFrancesa"/>
        <w:rPr>
          <w:rStyle w:val="TextoNormalCaracter"/>
        </w:rPr>
      </w:pPr>
      <w:bookmarkStart w:id="1920" w:name="DESCRIPTORALFABETICO761"/>
      <w:r w:rsidRPr="00234417">
        <w:rPr>
          <w:rStyle w:val="TextoNormalNegritaCaracter"/>
        </w:rPr>
        <w:t>Período de carencia</w:t>
      </w:r>
      <w:bookmarkEnd w:id="1920"/>
      <w:r w:rsidRPr="00234417">
        <w:rPr>
          <w:rStyle w:val="TextoNormalCaracter"/>
        </w:rPr>
        <w:t xml:space="preserve">, Sentencias </w:t>
      </w:r>
      <w:hyperlink w:anchor="SENTENCIA_2013_61" w:history="1">
        <w:r w:rsidRPr="00234417">
          <w:rPr>
            <w:rStyle w:val="TextoNormalCaracter"/>
          </w:rPr>
          <w:t>61/2013</w:t>
        </w:r>
      </w:hyperlink>
      <w:r w:rsidRPr="00234417">
        <w:rPr>
          <w:rStyle w:val="TextoNormalCaracter"/>
        </w:rPr>
        <w:t xml:space="preserve">, f. 6; </w:t>
      </w:r>
      <w:hyperlink w:anchor="SENTENCIA_2013_71" w:history="1">
        <w:r w:rsidRPr="00234417">
          <w:rPr>
            <w:rStyle w:val="TextoNormalCaracter"/>
          </w:rPr>
          <w:t>71/2013</w:t>
        </w:r>
      </w:hyperlink>
      <w:r w:rsidRPr="00234417">
        <w:rPr>
          <w:rStyle w:val="TextoNormalCaracter"/>
        </w:rPr>
        <w:t xml:space="preserve">, f. 3; </w:t>
      </w:r>
      <w:hyperlink w:anchor="SENTENCIA_2013_72" w:history="1">
        <w:r w:rsidRPr="00234417">
          <w:rPr>
            <w:rStyle w:val="TextoNormalCaracter"/>
          </w:rPr>
          <w:t>72/2013</w:t>
        </w:r>
      </w:hyperlink>
      <w:r w:rsidRPr="00234417">
        <w:rPr>
          <w:rStyle w:val="TextoNormalCaracter"/>
        </w:rPr>
        <w:t xml:space="preserve">, f. 2; </w:t>
      </w:r>
      <w:hyperlink w:anchor="SENTENCIA_2013_116" w:history="1">
        <w:r w:rsidRPr="00234417">
          <w:rPr>
            <w:rStyle w:val="TextoNormalCaracter"/>
          </w:rPr>
          <w:t>116/2013</w:t>
        </w:r>
      </w:hyperlink>
      <w:r w:rsidRPr="00234417">
        <w:rPr>
          <w:rStyle w:val="TextoNormalCaracter"/>
        </w:rPr>
        <w:t xml:space="preserve">, f. 4; </w:t>
      </w:r>
      <w:hyperlink w:anchor="SENTENCIA_2013_117" w:history="1">
        <w:r w:rsidRPr="00234417">
          <w:rPr>
            <w:rStyle w:val="TextoNormalCaracter"/>
          </w:rPr>
          <w:t>117/2013</w:t>
        </w:r>
      </w:hyperlink>
      <w:r w:rsidRPr="00234417">
        <w:rPr>
          <w:rStyle w:val="TextoNormalCaracter"/>
        </w:rPr>
        <w:t>, f. 2.</w:t>
      </w:r>
    </w:p>
    <w:p w:rsidR="00234417" w:rsidRPr="00234417" w:rsidRDefault="00234417" w:rsidP="00234417">
      <w:pPr>
        <w:pStyle w:val="TextoNormalSangraFrancesa"/>
        <w:rPr>
          <w:rStyle w:val="TextoNormalNegritaCaracter"/>
        </w:rPr>
      </w:pPr>
      <w:r w:rsidRPr="00234417">
        <w:rPr>
          <w:rStyle w:val="TextoNormalCursivaCaracter"/>
        </w:rPr>
        <w:t>Perjuicios eventuales</w:t>
      </w:r>
      <w:r>
        <w:t xml:space="preserve"> véase </w:t>
      </w:r>
      <w:hyperlink w:anchor="DESCRIPTORALFABETICO223" w:history="1">
        <w:r w:rsidRPr="00234417">
          <w:rPr>
            <w:rStyle w:val="TextoNormalNegritaCaracter"/>
          </w:rPr>
          <w:t>Perjuicios hipotéticos</w:t>
        </w:r>
      </w:hyperlink>
    </w:p>
    <w:p w:rsidR="00234417" w:rsidRPr="00234417" w:rsidRDefault="00234417" w:rsidP="00234417">
      <w:pPr>
        <w:pStyle w:val="TextoNormalSangraFrancesa"/>
        <w:rPr>
          <w:rStyle w:val="TextoNormalNegritaCaracter"/>
        </w:rPr>
      </w:pPr>
      <w:r w:rsidRPr="00234417">
        <w:rPr>
          <w:rStyle w:val="TextoNormalCursivaCaracter"/>
        </w:rPr>
        <w:t>Perjuicios futuros</w:t>
      </w:r>
      <w:r>
        <w:t xml:space="preserve"> véase </w:t>
      </w:r>
      <w:hyperlink w:anchor="DESCRIPTORALFABETICO223" w:history="1">
        <w:r w:rsidRPr="00234417">
          <w:rPr>
            <w:rStyle w:val="TextoNormalNegritaCaracter"/>
          </w:rPr>
          <w:t>Perjuicios hipotéticos</w:t>
        </w:r>
      </w:hyperlink>
    </w:p>
    <w:p w:rsidR="00234417" w:rsidRPr="00234417" w:rsidRDefault="00234417" w:rsidP="00234417">
      <w:pPr>
        <w:pStyle w:val="TextoNormalSangraFrancesa"/>
        <w:rPr>
          <w:rStyle w:val="TextoNormalCaracter"/>
        </w:rPr>
      </w:pPr>
      <w:bookmarkStart w:id="1921" w:name="DESCRIPTORALFABETICO223"/>
      <w:r w:rsidRPr="00234417">
        <w:rPr>
          <w:rStyle w:val="TextoNormalNegritaCaracter"/>
        </w:rPr>
        <w:t>Perjuicios hipotéticos</w:t>
      </w:r>
      <w:bookmarkEnd w:id="1921"/>
      <w:r w:rsidRPr="00234417">
        <w:rPr>
          <w:rStyle w:val="TextoNormalCaracter"/>
        </w:rPr>
        <w:t xml:space="preserve">, Auto </w:t>
      </w:r>
      <w:hyperlink w:anchor="AUTO_2013_123" w:history="1">
        <w:r w:rsidRPr="00234417">
          <w:rPr>
            <w:rStyle w:val="TextoNormalCaracter"/>
          </w:rPr>
          <w:t>123/2013</w:t>
        </w:r>
      </w:hyperlink>
      <w:r w:rsidRPr="00234417">
        <w:rPr>
          <w:rStyle w:val="TextoNormalCaracter"/>
        </w:rPr>
        <w:t>, f. 5.</w:t>
      </w:r>
    </w:p>
    <w:p w:rsidR="00234417" w:rsidRPr="00234417" w:rsidRDefault="00234417" w:rsidP="00234417">
      <w:pPr>
        <w:pStyle w:val="TextoNormalSangraFrancesa"/>
        <w:rPr>
          <w:rStyle w:val="TextoNormalNegritaCaracter"/>
        </w:rPr>
      </w:pPr>
      <w:r w:rsidRPr="00234417">
        <w:rPr>
          <w:rStyle w:val="TextoNormalCursivaCaracter"/>
        </w:rPr>
        <w:t>Perjuicios inexistentes</w:t>
      </w:r>
      <w:r>
        <w:t xml:space="preserve"> véase </w:t>
      </w:r>
      <w:hyperlink w:anchor="DESCRIPTORALFABETICO223" w:history="1">
        <w:r w:rsidRPr="00234417">
          <w:rPr>
            <w:rStyle w:val="TextoNormalNegritaCaracter"/>
          </w:rPr>
          <w:t>Perjuicios hipotéticos</w:t>
        </w:r>
      </w:hyperlink>
    </w:p>
    <w:p w:rsidR="00234417" w:rsidRPr="00234417" w:rsidRDefault="00234417" w:rsidP="00234417">
      <w:pPr>
        <w:pStyle w:val="TextoNormalSangraFrancesa"/>
        <w:rPr>
          <w:rStyle w:val="TextoNormalCaracter"/>
        </w:rPr>
      </w:pPr>
      <w:bookmarkStart w:id="1922" w:name="DESCRIPTORALFABETICO224"/>
      <w:r w:rsidRPr="00234417">
        <w:rPr>
          <w:rStyle w:val="TextoNormalNegritaCaracter"/>
        </w:rPr>
        <w:t>Perjuicios irreparables</w:t>
      </w:r>
      <w:bookmarkEnd w:id="1922"/>
      <w:r w:rsidRPr="00234417">
        <w:rPr>
          <w:rStyle w:val="TextoNormalCaracter"/>
        </w:rPr>
        <w:t xml:space="preserve">, Autos </w:t>
      </w:r>
      <w:hyperlink w:anchor="AUTO_2013_80" w:history="1">
        <w:r w:rsidRPr="00234417">
          <w:rPr>
            <w:rStyle w:val="TextoNormalCaracter"/>
          </w:rPr>
          <w:t>80/2013</w:t>
        </w:r>
      </w:hyperlink>
      <w:r w:rsidRPr="00234417">
        <w:rPr>
          <w:rStyle w:val="TextoNormalCaracter"/>
        </w:rPr>
        <w:t xml:space="preserve">, ff. 3, 4; </w:t>
      </w:r>
      <w:hyperlink w:anchor="AUTO_2013_88" w:history="1">
        <w:r w:rsidRPr="00234417">
          <w:rPr>
            <w:rStyle w:val="TextoNormalCaracter"/>
          </w:rPr>
          <w:t>88/2013</w:t>
        </w:r>
      </w:hyperlink>
      <w:r w:rsidRPr="00234417">
        <w:rPr>
          <w:rStyle w:val="TextoNormalCaracter"/>
        </w:rPr>
        <w:t xml:space="preserve">, ff. 2 a 4; </w:t>
      </w:r>
      <w:hyperlink w:anchor="AUTO_2013_122" w:history="1">
        <w:r w:rsidRPr="00234417">
          <w:rPr>
            <w:rStyle w:val="TextoNormalCaracter"/>
          </w:rPr>
          <w:t>122/2013</w:t>
        </w:r>
      </w:hyperlink>
      <w:r w:rsidRPr="00234417">
        <w:rPr>
          <w:rStyle w:val="TextoNormalCaracter"/>
        </w:rPr>
        <w:t xml:space="preserve">, ff. 4, 5; </w:t>
      </w:r>
      <w:hyperlink w:anchor="AUTO_2013_142" w:history="1">
        <w:r w:rsidRPr="00234417">
          <w:rPr>
            <w:rStyle w:val="TextoNormalCaracter"/>
          </w:rPr>
          <w:t>142/2013</w:t>
        </w:r>
      </w:hyperlink>
      <w:r w:rsidRPr="00234417">
        <w:rPr>
          <w:rStyle w:val="TextoNormalCaracter"/>
        </w:rPr>
        <w:t xml:space="preserve">, f. 3; </w:t>
      </w:r>
      <w:hyperlink w:anchor="AUTO_2013_146" w:history="1">
        <w:r w:rsidRPr="00234417">
          <w:rPr>
            <w:rStyle w:val="TextoNormalCaracter"/>
          </w:rPr>
          <w:t>146/2013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923" w:name="DESCRIPTORALFABETICO225"/>
      <w:r w:rsidRPr="00234417">
        <w:rPr>
          <w:rStyle w:val="TextoNormalNegritaCaracter"/>
        </w:rPr>
        <w:t>Perjuicios reparables</w:t>
      </w:r>
      <w:bookmarkEnd w:id="1923"/>
      <w:r w:rsidRPr="00234417">
        <w:rPr>
          <w:rStyle w:val="TextoNormalCaracter"/>
        </w:rPr>
        <w:t xml:space="preserve">, Autos </w:t>
      </w:r>
      <w:hyperlink w:anchor="AUTO_2013_80" w:history="1">
        <w:r w:rsidRPr="00234417">
          <w:rPr>
            <w:rStyle w:val="TextoNormalCaracter"/>
          </w:rPr>
          <w:t>80/2013</w:t>
        </w:r>
      </w:hyperlink>
      <w:r w:rsidRPr="00234417">
        <w:rPr>
          <w:rStyle w:val="TextoNormalCaracter"/>
        </w:rPr>
        <w:t xml:space="preserve">, f. 5; </w:t>
      </w:r>
      <w:hyperlink w:anchor="AUTO_2013_123" w:history="1">
        <w:r w:rsidRPr="00234417">
          <w:rPr>
            <w:rStyle w:val="TextoNormalCaracter"/>
          </w:rPr>
          <w:t>123/2013</w:t>
        </w:r>
      </w:hyperlink>
      <w:r w:rsidRPr="00234417">
        <w:rPr>
          <w:rStyle w:val="TextoNormalCaracter"/>
        </w:rPr>
        <w:t xml:space="preserve">, f. 6; </w:t>
      </w:r>
      <w:hyperlink w:anchor="AUTO_2013_124" w:history="1">
        <w:r w:rsidRPr="00234417">
          <w:rPr>
            <w:rStyle w:val="TextoNormalCaracter"/>
          </w:rPr>
          <w:t>124/2013</w:t>
        </w:r>
      </w:hyperlink>
      <w:r w:rsidRPr="00234417">
        <w:rPr>
          <w:rStyle w:val="TextoNormalCaracter"/>
        </w:rPr>
        <w:t>, f. 4.</w:t>
      </w:r>
    </w:p>
    <w:p w:rsidR="00234417" w:rsidRPr="00234417" w:rsidRDefault="00234417" w:rsidP="00234417">
      <w:pPr>
        <w:pStyle w:val="TextoNormalSangraFrancesa"/>
        <w:rPr>
          <w:rStyle w:val="TextoNormalCaracter"/>
        </w:rPr>
      </w:pPr>
      <w:bookmarkStart w:id="1924" w:name="DESCRIPTORALFABETICO556"/>
      <w:r w:rsidRPr="00234417">
        <w:rPr>
          <w:rStyle w:val="TextoNormalNegritaCaracter"/>
        </w:rPr>
        <w:t>Permisos de investigación de hidrocarburos</w:t>
      </w:r>
      <w:bookmarkEnd w:id="1924"/>
      <w:r w:rsidRPr="00234417">
        <w:rPr>
          <w:rStyle w:val="TextoNormalCaracter"/>
        </w:rPr>
        <w:t xml:space="preserve">, Sentencia </w:t>
      </w:r>
      <w:hyperlink w:anchor="SENTENCIA_2013_8" w:history="1">
        <w:r w:rsidRPr="00234417">
          <w:rPr>
            <w:rStyle w:val="TextoNormalCaracter"/>
          </w:rPr>
          <w:t>8/2013</w:t>
        </w:r>
      </w:hyperlink>
      <w:r w:rsidRPr="00234417">
        <w:rPr>
          <w:rStyle w:val="TextoNormalCaracter"/>
        </w:rPr>
        <w:t>, ff. 2, 4, 9.</w:t>
      </w:r>
    </w:p>
    <w:p w:rsidR="00234417" w:rsidRPr="00234417" w:rsidRDefault="00234417" w:rsidP="00234417">
      <w:pPr>
        <w:pStyle w:val="TextoNormalSangraFrancesa"/>
        <w:rPr>
          <w:rStyle w:val="TextoNormalCaracter"/>
        </w:rPr>
      </w:pPr>
      <w:bookmarkStart w:id="1925" w:name="DESCRIPTORALFABETICO833"/>
      <w:r w:rsidRPr="00234417">
        <w:rPr>
          <w:rStyle w:val="TextoNormalNegritaCaracter"/>
        </w:rPr>
        <w:t>Personación</w:t>
      </w:r>
      <w:bookmarkEnd w:id="1925"/>
      <w:r w:rsidRPr="00234417">
        <w:rPr>
          <w:rStyle w:val="TextoNormalCaracter"/>
        </w:rPr>
        <w:t xml:space="preserve">, Sentencia </w:t>
      </w:r>
      <w:hyperlink w:anchor="SENTENCIA_2013_90" w:history="1">
        <w:r w:rsidRPr="00234417">
          <w:rPr>
            <w:rStyle w:val="TextoNormalCaracter"/>
          </w:rPr>
          <w:t>90/2013</w:t>
        </w:r>
      </w:hyperlink>
      <w:r w:rsidRPr="00234417">
        <w:rPr>
          <w:rStyle w:val="TextoNormalCaracter"/>
        </w:rPr>
        <w:t>, f. 4.</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47" w:history="1">
        <w:r w:rsidRPr="00234417">
          <w:rPr>
            <w:rStyle w:val="TextoNormalCaracter"/>
          </w:rPr>
          <w:t>47/2013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926" w:name="DESCRIPTORALFABETICO889"/>
      <w:r w:rsidRPr="00234417">
        <w:rPr>
          <w:rStyle w:val="TextoNormalNegritaCaracter"/>
        </w:rPr>
        <w:lastRenderedPageBreak/>
        <w:t>Personación en el procedimiento de ejecución</w:t>
      </w:r>
      <w:bookmarkEnd w:id="1926"/>
      <w:r w:rsidRPr="00234417">
        <w:rPr>
          <w:rStyle w:val="TextoNormalCaracter"/>
        </w:rPr>
        <w:t xml:space="preserve">, Sentencia </w:t>
      </w:r>
      <w:hyperlink w:anchor="SENTENCIA_2013_79" w:history="1">
        <w:r w:rsidRPr="00234417">
          <w:rPr>
            <w:rStyle w:val="TextoNormalCaracter"/>
          </w:rPr>
          <w:t>79/2013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1927" w:name="DESCRIPTORALFABETICO584"/>
      <w:r w:rsidRPr="00234417">
        <w:rPr>
          <w:rStyle w:val="TextoNormalNegritaCaracter"/>
        </w:rPr>
        <w:t>Personal al servicio de la Administración autonómica</w:t>
      </w:r>
      <w:bookmarkEnd w:id="1927"/>
      <w:r w:rsidRPr="00234417">
        <w:rPr>
          <w:rStyle w:val="TextoNormalCaracter"/>
        </w:rPr>
        <w:t xml:space="preserve">, Auto </w:t>
      </w:r>
      <w:hyperlink w:anchor="AUTO_2013_85" w:history="1">
        <w:r w:rsidRPr="00234417">
          <w:rPr>
            <w:rStyle w:val="TextoNormalCaracter"/>
          </w:rPr>
          <w:t>85/2013</w:t>
        </w:r>
      </w:hyperlink>
      <w:r w:rsidRPr="00234417">
        <w:rPr>
          <w:rStyle w:val="TextoNormalCaracter"/>
        </w:rPr>
        <w:t>, ff. 3 a 7.</w:t>
      </w:r>
    </w:p>
    <w:p w:rsidR="00234417" w:rsidRPr="00234417" w:rsidRDefault="00234417" w:rsidP="00234417">
      <w:pPr>
        <w:pStyle w:val="TextoNormalSangraFrancesa"/>
        <w:rPr>
          <w:rStyle w:val="TextoNormalCaracter"/>
        </w:rPr>
      </w:pPr>
      <w:bookmarkStart w:id="1928" w:name="DESCRIPTORALFABETICO585"/>
      <w:r w:rsidRPr="00234417">
        <w:rPr>
          <w:rStyle w:val="TextoNormalNegritaCaracter"/>
        </w:rPr>
        <w:t>Personal al servicio de la Administración local</w:t>
      </w:r>
      <w:bookmarkEnd w:id="1928"/>
      <w:r w:rsidRPr="00234417">
        <w:rPr>
          <w:rStyle w:val="TextoNormalCaracter"/>
        </w:rPr>
        <w:t xml:space="preserve">, Sentencia </w:t>
      </w:r>
      <w:hyperlink w:anchor="SENTENCIA_2013_7" w:history="1">
        <w:r w:rsidRPr="00234417">
          <w:rPr>
            <w:rStyle w:val="TextoNormalCaracter"/>
          </w:rPr>
          <w:t>7/2013</w:t>
        </w:r>
      </w:hyperlink>
      <w:r w:rsidRPr="00234417">
        <w:rPr>
          <w:rStyle w:val="TextoNormalCaracter"/>
        </w:rPr>
        <w:t>, ff. 4 a 6.</w:t>
      </w:r>
    </w:p>
    <w:p w:rsidR="00234417" w:rsidRPr="00234417" w:rsidRDefault="00234417" w:rsidP="00234417">
      <w:pPr>
        <w:pStyle w:val="TextoNormalSangraFrancesa"/>
        <w:rPr>
          <w:rStyle w:val="TextoNormalCaracter"/>
        </w:rPr>
      </w:pPr>
      <w:bookmarkStart w:id="1929" w:name="DESCRIPTORALFABETICO583"/>
      <w:r w:rsidRPr="00234417">
        <w:rPr>
          <w:rStyle w:val="TextoNormalNegritaCaracter"/>
        </w:rPr>
        <w:t>Personal al servicio de las Administraciones públicas</w:t>
      </w:r>
      <w:bookmarkEnd w:id="1929"/>
      <w:r w:rsidRPr="00234417">
        <w:rPr>
          <w:rStyle w:val="TextoNormalCaracter"/>
        </w:rPr>
        <w:t xml:space="preserve">, Sentencia </w:t>
      </w:r>
      <w:hyperlink w:anchor="SENTENCIA_2013_7" w:history="1">
        <w:r w:rsidRPr="00234417">
          <w:rPr>
            <w:rStyle w:val="TextoNormalCaracter"/>
          </w:rPr>
          <w:t>7/2013</w:t>
        </w:r>
      </w:hyperlink>
      <w:r w:rsidRPr="00234417">
        <w:rPr>
          <w:rStyle w:val="TextoNormalCaracter"/>
        </w:rPr>
        <w:t>, ff. 4 a 6.</w:t>
      </w:r>
    </w:p>
    <w:p w:rsidR="00234417" w:rsidRPr="00234417" w:rsidRDefault="00234417" w:rsidP="00234417">
      <w:pPr>
        <w:pStyle w:val="TextoNormalSangraFrancesa"/>
        <w:rPr>
          <w:rStyle w:val="TextoNormalCaracter"/>
        </w:rPr>
      </w:pPr>
      <w:bookmarkStart w:id="1930" w:name="DESCRIPTORALFABETICO586"/>
      <w:r w:rsidRPr="00234417">
        <w:rPr>
          <w:rStyle w:val="TextoNormalNegritaCaracter"/>
        </w:rPr>
        <w:t>Personal estatutario de los servicios de salud</w:t>
      </w:r>
      <w:bookmarkEnd w:id="1930"/>
      <w:r w:rsidRPr="00234417">
        <w:rPr>
          <w:rStyle w:val="TextoNormalCaracter"/>
        </w:rPr>
        <w:t xml:space="preserve">, Autos </w:t>
      </w:r>
      <w:hyperlink w:anchor="AUTO_2013_125" w:history="1">
        <w:r w:rsidRPr="00234417">
          <w:rPr>
            <w:rStyle w:val="TextoNormalCaracter"/>
          </w:rPr>
          <w:t>125/2013</w:t>
        </w:r>
      </w:hyperlink>
      <w:r w:rsidRPr="00234417">
        <w:rPr>
          <w:rStyle w:val="TextoNormalCaracter"/>
        </w:rPr>
        <w:t xml:space="preserve">, f. 2; </w:t>
      </w:r>
      <w:hyperlink w:anchor="AUTO_2013_127" w:history="1">
        <w:r w:rsidRPr="00234417">
          <w:rPr>
            <w:rStyle w:val="TextoNormalCaracter"/>
          </w:rPr>
          <w:t>127/2013</w:t>
        </w:r>
      </w:hyperlink>
      <w:r w:rsidRPr="00234417">
        <w:rPr>
          <w:rStyle w:val="TextoNormalCaracter"/>
        </w:rPr>
        <w:t xml:space="preserve">, f. 2; </w:t>
      </w:r>
      <w:hyperlink w:anchor="AUTO_2013_128" w:history="1">
        <w:r w:rsidRPr="00234417">
          <w:rPr>
            <w:rStyle w:val="TextoNormalCaracter"/>
          </w:rPr>
          <w:t>128/2013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31" w:name="DESCRIPTORALFABETICO587"/>
      <w:r w:rsidRPr="00234417">
        <w:rPr>
          <w:rStyle w:val="TextoNormalNegritaCaracter"/>
        </w:rPr>
        <w:t>Personal laboral al servicio de las Administraciones públicas</w:t>
      </w:r>
      <w:bookmarkEnd w:id="1931"/>
      <w:r w:rsidRPr="00234417">
        <w:rPr>
          <w:rStyle w:val="TextoNormalCaracter"/>
        </w:rPr>
        <w:t xml:space="preserve">, Sentencia </w:t>
      </w:r>
      <w:hyperlink w:anchor="SENTENCIA_2013_93" w:history="1">
        <w:r w:rsidRPr="00234417">
          <w:rPr>
            <w:rStyle w:val="TextoNormalCaracter"/>
          </w:rPr>
          <w:t>93/2013</w:t>
        </w:r>
      </w:hyperlink>
      <w:r w:rsidRPr="00234417">
        <w:rPr>
          <w:rStyle w:val="TextoNormalCaracter"/>
        </w:rPr>
        <w:t>, f. 13.</w:t>
      </w:r>
    </w:p>
    <w:p w:rsidR="00234417" w:rsidRPr="00234417" w:rsidRDefault="00234417" w:rsidP="00234417">
      <w:pPr>
        <w:pStyle w:val="TextoNormalSangraFrancesa"/>
        <w:rPr>
          <w:rStyle w:val="TextoNormalCaracter"/>
        </w:rPr>
      </w:pPr>
      <w:bookmarkStart w:id="1932" w:name="DESCRIPTORALFABETICO252"/>
      <w:r w:rsidRPr="00234417">
        <w:rPr>
          <w:rStyle w:val="TextoNormalNegritaCaracter"/>
        </w:rPr>
        <w:t>Pervivencia del objeto pese a la derogación de la norma</w:t>
      </w:r>
      <w:bookmarkEnd w:id="1932"/>
      <w:r w:rsidRPr="00234417">
        <w:rPr>
          <w:rStyle w:val="TextoNormalCaracter"/>
        </w:rPr>
        <w:t xml:space="preserve">, Sentencias </w:t>
      </w:r>
      <w:hyperlink w:anchor="SENTENCIA_2013_6" w:history="1">
        <w:r w:rsidRPr="00234417">
          <w:rPr>
            <w:rStyle w:val="TextoNormalCaracter"/>
          </w:rPr>
          <w:t>6/2013</w:t>
        </w:r>
      </w:hyperlink>
      <w:r w:rsidRPr="00234417">
        <w:rPr>
          <w:rStyle w:val="TextoNormalCaracter"/>
        </w:rPr>
        <w:t xml:space="preserve">, f. 2; </w:t>
      </w:r>
      <w:hyperlink w:anchor="SENTENCIA_2013_7" w:history="1">
        <w:r w:rsidRPr="00234417">
          <w:rPr>
            <w:rStyle w:val="TextoNormalCaracter"/>
          </w:rPr>
          <w:t>7/2013</w:t>
        </w:r>
      </w:hyperlink>
      <w:r w:rsidRPr="00234417">
        <w:rPr>
          <w:rStyle w:val="TextoNormalCaracter"/>
        </w:rPr>
        <w:t xml:space="preserve">, f. 2; </w:t>
      </w:r>
      <w:hyperlink w:anchor="SENTENCIA_2013_47" w:history="1">
        <w:r w:rsidRPr="00234417">
          <w:rPr>
            <w:rStyle w:val="TextoNormalCaracter"/>
          </w:rPr>
          <w:t>47/2013</w:t>
        </w:r>
      </w:hyperlink>
      <w:r w:rsidRPr="00234417">
        <w:rPr>
          <w:rStyle w:val="TextoNormalCaracter"/>
        </w:rPr>
        <w:t xml:space="preserve">, f. 2; </w:t>
      </w:r>
      <w:hyperlink w:anchor="SENTENCIA_2013_48" w:history="1">
        <w:r w:rsidRPr="00234417">
          <w:rPr>
            <w:rStyle w:val="TextoNormalCaracter"/>
          </w:rPr>
          <w:t>48/2013</w:t>
        </w:r>
      </w:hyperlink>
      <w:r w:rsidRPr="00234417">
        <w:rPr>
          <w:rStyle w:val="TextoNormalCaracter"/>
        </w:rPr>
        <w:t xml:space="preserve">, f. 2; </w:t>
      </w:r>
      <w:hyperlink w:anchor="SENTENCIA_2013_51" w:history="1">
        <w:r w:rsidRPr="00234417">
          <w:rPr>
            <w:rStyle w:val="TextoNormalCaracter"/>
          </w:rPr>
          <w:t>51/2013</w:t>
        </w:r>
      </w:hyperlink>
      <w:r w:rsidRPr="00234417">
        <w:rPr>
          <w:rStyle w:val="TextoNormalCaracter"/>
        </w:rPr>
        <w:t xml:space="preserve">, f. 1; </w:t>
      </w:r>
      <w:hyperlink w:anchor="SENTENCIA_2013_86" w:history="1">
        <w:r w:rsidRPr="00234417">
          <w:rPr>
            <w:rStyle w:val="TextoNormalCaracter"/>
          </w:rPr>
          <w:t>86/2013</w:t>
        </w:r>
      </w:hyperlink>
      <w:r w:rsidRPr="00234417">
        <w:rPr>
          <w:rStyle w:val="TextoNormalCaracter"/>
        </w:rPr>
        <w:t xml:space="preserve">, f. 2; </w:t>
      </w:r>
      <w:hyperlink w:anchor="SENTENCIA_2013_96" w:history="1">
        <w:r w:rsidRPr="00234417">
          <w:rPr>
            <w:rStyle w:val="TextoNormalCaracter"/>
          </w:rPr>
          <w:t>96/2013</w:t>
        </w:r>
      </w:hyperlink>
      <w:r w:rsidRPr="00234417">
        <w:rPr>
          <w:rStyle w:val="TextoNormalCaracter"/>
        </w:rPr>
        <w:t xml:space="preserve">, f. 2; </w:t>
      </w:r>
      <w:hyperlink w:anchor="SENTENCIA_2013_104" w:history="1">
        <w:r w:rsidRPr="00234417">
          <w:rPr>
            <w:rStyle w:val="TextoNormalCaracter"/>
          </w:rPr>
          <w:t>104/2013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33" w:name="DESCRIPTORALFABETICO253"/>
      <w:r w:rsidRPr="00234417">
        <w:rPr>
          <w:rStyle w:val="TextoNormalNegritaCaracter"/>
        </w:rPr>
        <w:t>Pervivencia del objeto pese a la modificación de la norma</w:t>
      </w:r>
      <w:bookmarkEnd w:id="1933"/>
      <w:r w:rsidRPr="00234417">
        <w:rPr>
          <w:rStyle w:val="TextoNormalCaracter"/>
        </w:rPr>
        <w:t xml:space="preserve">, Sentencias </w:t>
      </w:r>
      <w:hyperlink w:anchor="SENTENCIA_2013_15" w:history="1">
        <w:r w:rsidRPr="00234417">
          <w:rPr>
            <w:rStyle w:val="TextoNormalCaracter"/>
          </w:rPr>
          <w:t>15/2013</w:t>
        </w:r>
      </w:hyperlink>
      <w:r w:rsidRPr="00234417">
        <w:rPr>
          <w:rStyle w:val="TextoNormalCaracter"/>
        </w:rPr>
        <w:t xml:space="preserve">, f. 2; </w:t>
      </w:r>
      <w:hyperlink w:anchor="SENTENCIA_2013_21" w:history="1">
        <w:r w:rsidRPr="00234417">
          <w:rPr>
            <w:rStyle w:val="TextoNormalCaracter"/>
          </w:rPr>
          <w:t>21/2013</w:t>
        </w:r>
      </w:hyperlink>
      <w:r w:rsidRPr="00234417">
        <w:rPr>
          <w:rStyle w:val="TextoNormalCaracter"/>
        </w:rPr>
        <w:t xml:space="preserve">, f. 2; </w:t>
      </w:r>
      <w:hyperlink w:anchor="SENTENCIA_2013_24" w:history="1">
        <w:r w:rsidRPr="00234417">
          <w:rPr>
            <w:rStyle w:val="TextoNormalCaracter"/>
          </w:rPr>
          <w:t>24/2013</w:t>
        </w:r>
      </w:hyperlink>
      <w:r w:rsidRPr="00234417">
        <w:rPr>
          <w:rStyle w:val="TextoNormalCaracter"/>
        </w:rPr>
        <w:t xml:space="preserve">, f. 2; </w:t>
      </w:r>
      <w:hyperlink w:anchor="SENTENCIA_2013_25" w:history="1">
        <w:r w:rsidRPr="00234417">
          <w:rPr>
            <w:rStyle w:val="TextoNormalCaracter"/>
          </w:rPr>
          <w:t>25/2013</w:t>
        </w:r>
      </w:hyperlink>
      <w:r w:rsidRPr="00234417">
        <w:rPr>
          <w:rStyle w:val="TextoNormalCaracter"/>
        </w:rPr>
        <w:t xml:space="preserve">, f. 2; </w:t>
      </w:r>
      <w:hyperlink w:anchor="SENTENCIA_2013_26" w:history="1">
        <w:r w:rsidRPr="00234417">
          <w:rPr>
            <w:rStyle w:val="TextoNormalCaracter"/>
          </w:rPr>
          <w:t>26/2013</w:t>
        </w:r>
      </w:hyperlink>
      <w:r w:rsidRPr="00234417">
        <w:rPr>
          <w:rStyle w:val="TextoNormalCaracter"/>
        </w:rPr>
        <w:t xml:space="preserve">, f. 2; </w:t>
      </w:r>
      <w:hyperlink w:anchor="SENTENCIA_2013_40" w:history="1">
        <w:r w:rsidRPr="00234417">
          <w:rPr>
            <w:rStyle w:val="TextoNormalCaracter"/>
          </w:rPr>
          <w:t>40/2013</w:t>
        </w:r>
      </w:hyperlink>
      <w:r w:rsidRPr="00234417">
        <w:rPr>
          <w:rStyle w:val="TextoNormalCaracter"/>
        </w:rPr>
        <w:t xml:space="preserve">, f. 2; </w:t>
      </w:r>
      <w:hyperlink w:anchor="SENTENCIA_2013_52" w:history="1">
        <w:r w:rsidRPr="00234417">
          <w:rPr>
            <w:rStyle w:val="TextoNormalCaracter"/>
          </w:rPr>
          <w:t>52/2013</w:t>
        </w:r>
      </w:hyperlink>
      <w:r w:rsidRPr="00234417">
        <w:rPr>
          <w:rStyle w:val="TextoNormalCaracter"/>
        </w:rPr>
        <w:t xml:space="preserve">, f. 2; </w:t>
      </w:r>
      <w:hyperlink w:anchor="SENTENCIA_2013_58" w:history="1">
        <w:r w:rsidRPr="00234417">
          <w:rPr>
            <w:rStyle w:val="TextoNormalCaracter"/>
          </w:rPr>
          <w:t>58/2013</w:t>
        </w:r>
      </w:hyperlink>
      <w:r w:rsidRPr="00234417">
        <w:rPr>
          <w:rStyle w:val="TextoNormalCaracter"/>
        </w:rPr>
        <w:t xml:space="preserve">, f. 2; </w:t>
      </w:r>
      <w:hyperlink w:anchor="SENTENCIA_2013_60" w:history="1">
        <w:r w:rsidRPr="00234417">
          <w:rPr>
            <w:rStyle w:val="TextoNormalCaracter"/>
          </w:rPr>
          <w:t>60/2013</w:t>
        </w:r>
      </w:hyperlink>
      <w:r w:rsidRPr="00234417">
        <w:rPr>
          <w:rStyle w:val="TextoNormalCaracter"/>
        </w:rPr>
        <w:t xml:space="preserve">, ff. 2 a 7; </w:t>
      </w:r>
      <w:hyperlink w:anchor="SENTENCIA_2013_80" w:history="1">
        <w:r w:rsidRPr="00234417">
          <w:rPr>
            <w:rStyle w:val="TextoNormalCaracter"/>
          </w:rPr>
          <w:t>80/2013</w:t>
        </w:r>
      </w:hyperlink>
      <w:r w:rsidRPr="00234417">
        <w:rPr>
          <w:rStyle w:val="TextoNormalCaracter"/>
        </w:rPr>
        <w:t xml:space="preserve">, f. 2; </w:t>
      </w:r>
      <w:hyperlink w:anchor="SENTENCIA_2013_95" w:history="1">
        <w:r w:rsidRPr="00234417">
          <w:rPr>
            <w:rStyle w:val="TextoNormalCaracter"/>
          </w:rPr>
          <w:t>95/2013</w:t>
        </w:r>
      </w:hyperlink>
      <w:r w:rsidRPr="00234417">
        <w:rPr>
          <w:rStyle w:val="TextoNormalCaracter"/>
        </w:rPr>
        <w:t xml:space="preserve">, f. 2; </w:t>
      </w:r>
      <w:hyperlink w:anchor="SENTENCIA_2013_102" w:history="1">
        <w:r w:rsidRPr="00234417">
          <w:rPr>
            <w:rStyle w:val="TextoNormalCaracter"/>
          </w:rPr>
          <w:t>102/2013</w:t>
        </w:r>
      </w:hyperlink>
      <w:r w:rsidRPr="00234417">
        <w:rPr>
          <w:rStyle w:val="TextoNormalCaracter"/>
        </w:rPr>
        <w:t xml:space="preserve">, f. 2; </w:t>
      </w:r>
      <w:hyperlink w:anchor="SENTENCIA_2013_111" w:history="1">
        <w:r w:rsidRPr="00234417">
          <w:rPr>
            <w:rStyle w:val="TextoNormalCaracter"/>
          </w:rPr>
          <w:t>111/2013</w:t>
        </w:r>
      </w:hyperlink>
      <w:r w:rsidRPr="00234417">
        <w:rPr>
          <w:rStyle w:val="TextoNormalCaracter"/>
        </w:rPr>
        <w:t xml:space="preserve">, f. 2; </w:t>
      </w:r>
      <w:hyperlink w:anchor="SENTENCIA_2013_112" w:history="1">
        <w:r w:rsidRPr="00234417">
          <w:rPr>
            <w:rStyle w:val="TextoNormalCaracter"/>
          </w:rPr>
          <w:t>112/2013</w:t>
        </w:r>
      </w:hyperlink>
      <w:r w:rsidRPr="00234417">
        <w:rPr>
          <w:rStyle w:val="TextoNormalCaracter"/>
        </w:rPr>
        <w:t xml:space="preserve">, f. 2; </w:t>
      </w:r>
      <w:hyperlink w:anchor="SENTENCIA_2013_130" w:history="1">
        <w:r w:rsidRPr="00234417">
          <w:rPr>
            <w:rStyle w:val="TextoNormalCaracter"/>
          </w:rPr>
          <w:t>130/2013</w:t>
        </w:r>
      </w:hyperlink>
      <w:r w:rsidRPr="00234417">
        <w:rPr>
          <w:rStyle w:val="TextoNormalCaracter"/>
        </w:rPr>
        <w:t xml:space="preserve">, f. 2; </w:t>
      </w:r>
      <w:hyperlink w:anchor="SENTENCIA_2013_132" w:history="1">
        <w:r w:rsidRPr="00234417">
          <w:rPr>
            <w:rStyle w:val="TextoNormalCaracter"/>
          </w:rPr>
          <w:t>132/2013</w:t>
        </w:r>
      </w:hyperlink>
      <w:r w:rsidRPr="00234417">
        <w:rPr>
          <w:rStyle w:val="TextoNormalCaracter"/>
        </w:rPr>
        <w:t xml:space="preserve">, ff. 2 a 5; </w:t>
      </w:r>
      <w:hyperlink w:anchor="SENTENCIA_2013_135" w:history="1">
        <w:r w:rsidRPr="00234417">
          <w:rPr>
            <w:rStyle w:val="TextoNormalCaracter"/>
          </w:rPr>
          <w:t>135/2013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34" w:name="DESCRIPTORALFABETICO254"/>
      <w:r w:rsidRPr="00234417">
        <w:rPr>
          <w:rStyle w:val="TextoNormalNegritaCaracter"/>
        </w:rPr>
        <w:t>Pervivencia del objeto pese a la pérdida de vigencia de la norma</w:t>
      </w:r>
      <w:bookmarkEnd w:id="1934"/>
      <w:r w:rsidRPr="00234417">
        <w:rPr>
          <w:rStyle w:val="TextoNormalCaracter"/>
        </w:rPr>
        <w:t xml:space="preserve">, Sentencia </w:t>
      </w:r>
      <w:hyperlink w:anchor="SENTENCIA_2013_100" w:history="1">
        <w:r w:rsidRPr="00234417">
          <w:rPr>
            <w:rStyle w:val="TextoNormalCaracter"/>
          </w:rPr>
          <w:t>100/2013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35" w:name="DESCRIPTORALFABETICO728"/>
      <w:r w:rsidRPr="00234417">
        <w:rPr>
          <w:rStyle w:val="TextoNormalNegritaCaracter"/>
        </w:rPr>
        <w:t>Pesca</w:t>
      </w:r>
      <w:bookmarkEnd w:id="1935"/>
      <w:r w:rsidRPr="00234417">
        <w:rPr>
          <w:rStyle w:val="TextoNormalCaracter"/>
        </w:rPr>
        <w:t xml:space="preserve">, Sentencia </w:t>
      </w:r>
      <w:hyperlink w:anchor="SENTENCIA_2013_69" w:history="1">
        <w:r w:rsidRPr="00234417">
          <w:rPr>
            <w:rStyle w:val="TextoNormalCaracter"/>
          </w:rPr>
          <w:t>69/2013</w:t>
        </w:r>
      </w:hyperlink>
      <w:r w:rsidRPr="00234417">
        <w:rPr>
          <w:rStyle w:val="TextoNormalCaracter"/>
        </w:rPr>
        <w:t>, f. 6.</w:t>
      </w:r>
    </w:p>
    <w:p w:rsidR="00234417" w:rsidRPr="00234417" w:rsidRDefault="00234417" w:rsidP="00234417">
      <w:pPr>
        <w:pStyle w:val="TextoNormalSangraFrancesa"/>
        <w:rPr>
          <w:rStyle w:val="TextoNormalCaracter"/>
        </w:rPr>
      </w:pPr>
      <w:bookmarkStart w:id="1936" w:name="DESCRIPTORALFABETICO729"/>
      <w:r w:rsidRPr="00234417">
        <w:rPr>
          <w:rStyle w:val="TextoNormalNegritaCaracter"/>
        </w:rPr>
        <w:t>Pesca fluvial</w:t>
      </w:r>
      <w:bookmarkEnd w:id="1936"/>
      <w:r w:rsidRPr="00234417">
        <w:rPr>
          <w:rStyle w:val="TextoNormalCaracter"/>
        </w:rPr>
        <w:t xml:space="preserve">, Sentencia </w:t>
      </w:r>
      <w:hyperlink w:anchor="SENTENCIA_2013_69" w:history="1">
        <w:r w:rsidRPr="00234417">
          <w:rPr>
            <w:rStyle w:val="TextoNormalCaracter"/>
          </w:rPr>
          <w:t>69/2013</w:t>
        </w:r>
      </w:hyperlink>
      <w:r w:rsidRPr="00234417">
        <w:rPr>
          <w:rStyle w:val="TextoNormalCaracter"/>
        </w:rPr>
        <w:t>, f. 3.</w:t>
      </w:r>
    </w:p>
    <w:p w:rsidR="00234417" w:rsidRPr="00234417" w:rsidRDefault="00234417" w:rsidP="00234417">
      <w:pPr>
        <w:pStyle w:val="TextoNormalSangraFrancesa"/>
        <w:rPr>
          <w:rStyle w:val="TextoNormalCaracter"/>
        </w:rPr>
      </w:pPr>
      <w:bookmarkStart w:id="1937" w:name="DESCRIPTORALFABETICO730"/>
      <w:r w:rsidRPr="00234417">
        <w:rPr>
          <w:rStyle w:val="TextoNormalNegritaCaracter"/>
        </w:rPr>
        <w:t>Pesca marítima</w:t>
      </w:r>
      <w:bookmarkEnd w:id="1937"/>
      <w:r w:rsidRPr="00234417">
        <w:rPr>
          <w:rStyle w:val="TextoNormalCaracter"/>
        </w:rPr>
        <w:t xml:space="preserve">, Sentencias </w:t>
      </w:r>
      <w:hyperlink w:anchor="SENTENCIA_2013_87" w:history="1">
        <w:r w:rsidRPr="00234417">
          <w:rPr>
            <w:rStyle w:val="TextoNormalCaracter"/>
          </w:rPr>
          <w:t>87/2013</w:t>
        </w:r>
      </w:hyperlink>
      <w:r w:rsidRPr="00234417">
        <w:rPr>
          <w:rStyle w:val="TextoNormalCaracter"/>
        </w:rPr>
        <w:t xml:space="preserve">, ff. 4 a 6; </w:t>
      </w:r>
      <w:hyperlink w:anchor="SENTENCIA_2013_99" w:history="1">
        <w:r w:rsidRPr="00234417">
          <w:rPr>
            <w:rStyle w:val="TextoNormalCaracter"/>
          </w:rPr>
          <w:t>99/2013</w:t>
        </w:r>
      </w:hyperlink>
      <w:r w:rsidRPr="00234417">
        <w:rPr>
          <w:rStyle w:val="TextoNormalCaracter"/>
        </w:rPr>
        <w:t>, f. 8.</w:t>
      </w:r>
    </w:p>
    <w:p w:rsidR="00234417" w:rsidRPr="00234417" w:rsidRDefault="00234417" w:rsidP="00234417">
      <w:pPr>
        <w:pStyle w:val="TextoNormalSangraFrancesa"/>
        <w:rPr>
          <w:rStyle w:val="TextoNormalCaracter"/>
        </w:rPr>
      </w:pPr>
      <w:bookmarkStart w:id="1938" w:name="DESCRIPTORALFABETICO486"/>
      <w:r w:rsidRPr="00234417">
        <w:rPr>
          <w:rStyle w:val="TextoNormalNegritaCaracter"/>
        </w:rPr>
        <w:t>Plan hidrológico nacional</w:t>
      </w:r>
      <w:bookmarkEnd w:id="1938"/>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ff. 1 a 4; </w:t>
      </w:r>
      <w:hyperlink w:anchor="SENTENCIA_2013_51" w:history="1">
        <w:r w:rsidRPr="00234417">
          <w:rPr>
            <w:rStyle w:val="TextoNormalCaracter"/>
          </w:rPr>
          <w:t>51/2013</w:t>
        </w:r>
      </w:hyperlink>
      <w:r w:rsidRPr="00234417">
        <w:rPr>
          <w:rStyle w:val="TextoNormalCaracter"/>
        </w:rPr>
        <w:t xml:space="preserve">, ff. 4, 5, 7; </w:t>
      </w:r>
      <w:hyperlink w:anchor="SENTENCIA_2013_64" w:history="1">
        <w:r w:rsidRPr="00234417">
          <w:rPr>
            <w:rStyle w:val="TextoNormalCaracter"/>
          </w:rPr>
          <w:t>64/2013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1939" w:name="DESCRIPTORALFABETICO631"/>
      <w:r w:rsidRPr="00234417">
        <w:rPr>
          <w:rStyle w:val="TextoNormalNegritaCaracter"/>
        </w:rPr>
        <w:t>Planeamiento urbanístico</w:t>
      </w:r>
      <w:bookmarkEnd w:id="1939"/>
      <w:r w:rsidRPr="00234417">
        <w:rPr>
          <w:rStyle w:val="TextoNormalCaracter"/>
        </w:rPr>
        <w:t xml:space="preserve">, Sentencia </w:t>
      </w:r>
      <w:hyperlink w:anchor="SENTENCIA_2013_94" w:history="1">
        <w:r w:rsidRPr="00234417">
          <w:rPr>
            <w:rStyle w:val="TextoNormalCaracter"/>
          </w:rPr>
          <w:t>94/2013</w:t>
        </w:r>
      </w:hyperlink>
      <w:r w:rsidRPr="00234417">
        <w:rPr>
          <w:rStyle w:val="TextoNormalCaracter"/>
        </w:rPr>
        <w:t>, ff. 6, 8, VP I, VP II.</w:t>
      </w:r>
    </w:p>
    <w:p w:rsidR="00234417" w:rsidRPr="00234417" w:rsidRDefault="00234417" w:rsidP="00234417">
      <w:pPr>
        <w:pStyle w:val="TextoNormalSangraFrancesa"/>
        <w:rPr>
          <w:rStyle w:val="TextoNormalCaracter"/>
        </w:rPr>
      </w:pPr>
      <w:bookmarkStart w:id="1940" w:name="DESCRIPTORALFABETICO485"/>
      <w:r w:rsidRPr="00234417">
        <w:rPr>
          <w:rStyle w:val="TextoNormalNegritaCaracter"/>
        </w:rPr>
        <w:t>Planes hidrológicos</w:t>
      </w:r>
      <w:bookmarkEnd w:id="1940"/>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 3; </w:t>
      </w:r>
      <w:hyperlink w:anchor="SENTENCIA_2013_36" w:history="1">
        <w:r w:rsidRPr="00234417">
          <w:rPr>
            <w:rStyle w:val="TextoNormalCaracter"/>
          </w:rPr>
          <w:t>36/2013</w:t>
        </w:r>
      </w:hyperlink>
      <w:r w:rsidRPr="00234417">
        <w:rPr>
          <w:rStyle w:val="TextoNormalCaracter"/>
        </w:rPr>
        <w:t xml:space="preserve">, ff. 2, 7; </w:t>
      </w:r>
      <w:hyperlink w:anchor="SENTENCIA_2013_111" w:history="1">
        <w:r w:rsidRPr="00234417">
          <w:rPr>
            <w:rStyle w:val="TextoNormalCaracter"/>
          </w:rPr>
          <w:t>111/2013</w:t>
        </w:r>
      </w:hyperlink>
      <w:r w:rsidRPr="00234417">
        <w:rPr>
          <w:rStyle w:val="TextoNormalCaracter"/>
        </w:rPr>
        <w:t>, f. 5.</w:t>
      </w:r>
    </w:p>
    <w:p w:rsidR="00234417" w:rsidRPr="00234417" w:rsidRDefault="00234417" w:rsidP="00234417">
      <w:pPr>
        <w:pStyle w:val="TextoNormalSangraFrancesa"/>
        <w:rPr>
          <w:rStyle w:val="TextoNormalCaracter"/>
        </w:rPr>
      </w:pPr>
      <w:bookmarkStart w:id="1941" w:name="DESCRIPTORALFABETICO484"/>
      <w:r w:rsidRPr="00234417">
        <w:rPr>
          <w:rStyle w:val="TextoNormalNegritaCaracter"/>
        </w:rPr>
        <w:t>Planificación hidrológica</w:t>
      </w:r>
      <w:bookmarkEnd w:id="1941"/>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ff. 1 a 4; </w:t>
      </w:r>
      <w:hyperlink w:anchor="SENTENCIA_2013_104" w:history="1">
        <w:r w:rsidRPr="00234417">
          <w:rPr>
            <w:rStyle w:val="TextoNormalCaracter"/>
          </w:rPr>
          <w:t>104/2013</w:t>
        </w:r>
      </w:hyperlink>
      <w:r w:rsidRPr="00234417">
        <w:rPr>
          <w:rStyle w:val="TextoNormalCaracter"/>
        </w:rPr>
        <w:t>, ff. 6, 10.</w:t>
      </w:r>
    </w:p>
    <w:p w:rsidR="00234417" w:rsidRPr="00234417" w:rsidRDefault="00234417" w:rsidP="00234417">
      <w:pPr>
        <w:pStyle w:val="TextoNormalSangraFrancesa"/>
        <w:rPr>
          <w:rStyle w:val="TextoNormalCaracter"/>
        </w:rPr>
      </w:pPr>
      <w:bookmarkStart w:id="1942" w:name="DESCRIPTORALFABETICO276"/>
      <w:r w:rsidRPr="00234417">
        <w:rPr>
          <w:rStyle w:val="TextoNormalNegritaCaracter"/>
        </w:rPr>
        <w:t>Planteamiento de cuestión interna durante el proceso</w:t>
      </w:r>
      <w:bookmarkEnd w:id="1942"/>
      <w:r w:rsidRPr="00234417">
        <w:rPr>
          <w:rStyle w:val="TextoNormalCaracter"/>
        </w:rPr>
        <w:t xml:space="preserve">, Auto </w:t>
      </w:r>
      <w:hyperlink w:anchor="AUTO_2013_8" w:history="1">
        <w:r w:rsidRPr="00234417">
          <w:rPr>
            <w:rStyle w:val="TextoNormalCaracter"/>
          </w:rPr>
          <w:t>8/2013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1943" w:name="DESCRIPTORALFABETICO286"/>
      <w:r w:rsidRPr="00234417">
        <w:rPr>
          <w:rStyle w:val="TextoNormalNegritaCaracter"/>
        </w:rPr>
        <w:t>Planteamiento temporáneo</w:t>
      </w:r>
      <w:bookmarkEnd w:id="1943"/>
      <w:r w:rsidRPr="00234417">
        <w:rPr>
          <w:rStyle w:val="TextoNormalCaracter"/>
        </w:rPr>
        <w:t xml:space="preserve">, Auto </w:t>
      </w:r>
      <w:hyperlink w:anchor="AUTO_2013_59" w:history="1">
        <w:r w:rsidRPr="00234417">
          <w:rPr>
            <w:rStyle w:val="TextoNormalCaracter"/>
          </w:rPr>
          <w:t>59/2013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44" w:name="DESCRIPTORALFABETICO797"/>
      <w:r w:rsidRPr="00234417">
        <w:rPr>
          <w:rStyle w:val="TextoNormalNegritaCaracter"/>
        </w:rPr>
        <w:t>Plazo de prescripción de acciones</w:t>
      </w:r>
      <w:bookmarkEnd w:id="1944"/>
      <w:r w:rsidRPr="00234417">
        <w:rPr>
          <w:rStyle w:val="TextoNormalCaracter"/>
        </w:rPr>
        <w:t xml:space="preserve">, Sentencia </w:t>
      </w:r>
      <w:hyperlink w:anchor="SENTENCIA_2013_42" w:history="1">
        <w:r w:rsidRPr="00234417">
          <w:rPr>
            <w:rStyle w:val="TextoNormalCaracter"/>
          </w:rPr>
          <w:t>42/2013</w:t>
        </w:r>
      </w:hyperlink>
      <w:r w:rsidRPr="00234417">
        <w:rPr>
          <w:rStyle w:val="TextoNormalCaracter"/>
        </w:rPr>
        <w:t>, f. 3.</w:t>
      </w:r>
    </w:p>
    <w:p w:rsidR="00234417" w:rsidRPr="00234417" w:rsidRDefault="00234417" w:rsidP="00234417">
      <w:pPr>
        <w:pStyle w:val="TextoNormalSangraFrancesa"/>
        <w:rPr>
          <w:rStyle w:val="TextoNormalCaracter"/>
        </w:rPr>
      </w:pPr>
      <w:bookmarkStart w:id="1945" w:name="DESCRIPTORALFABETICO304"/>
      <w:r w:rsidRPr="00234417">
        <w:rPr>
          <w:rStyle w:val="TextoNormalNegritaCaracter"/>
        </w:rPr>
        <w:t>Plazos del recurso de amparo</w:t>
      </w:r>
      <w:bookmarkEnd w:id="1945"/>
      <w:r w:rsidRPr="00234417">
        <w:rPr>
          <w:rStyle w:val="TextoNormalCaracter"/>
        </w:rPr>
        <w:t xml:space="preserve">, Sentencia </w:t>
      </w:r>
      <w:hyperlink w:anchor="SENTENCIA_2013_88" w:history="1">
        <w:r w:rsidRPr="00234417">
          <w:rPr>
            <w:rStyle w:val="TextoNormalCaracter"/>
          </w:rPr>
          <w:t>88/2013</w:t>
        </w:r>
      </w:hyperlink>
      <w:r w:rsidRPr="00234417">
        <w:rPr>
          <w:rStyle w:val="TextoNormalCaracter"/>
        </w:rPr>
        <w:t>, ff. 2, 3, VP I.</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22" w:history="1">
        <w:r w:rsidRPr="00234417">
          <w:rPr>
            <w:rStyle w:val="TextoNormalCaracter"/>
          </w:rPr>
          <w:t>22/2013</w:t>
        </w:r>
      </w:hyperlink>
      <w:r w:rsidRPr="00234417">
        <w:rPr>
          <w:rStyle w:val="TextoNormalCaracter"/>
        </w:rPr>
        <w:t xml:space="preserve">, ff. 1, 2; </w:t>
      </w:r>
      <w:hyperlink w:anchor="AUTO_2013_143" w:history="1">
        <w:r w:rsidRPr="00234417">
          <w:rPr>
            <w:rStyle w:val="TextoNormalCaracter"/>
          </w:rPr>
          <w:t>143/2013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46" w:name="DESCRIPTORALFABETICO85"/>
      <w:r w:rsidRPr="00234417">
        <w:rPr>
          <w:rStyle w:val="TextoNormalNegritaCaracter"/>
        </w:rPr>
        <w:t>Poder de gasto del Estado</w:t>
      </w:r>
      <w:bookmarkEnd w:id="1946"/>
      <w:r w:rsidRPr="00234417">
        <w:rPr>
          <w:rStyle w:val="TextoNormalCaracter"/>
        </w:rPr>
        <w:t xml:space="preserve">, Sentencia </w:t>
      </w:r>
      <w:hyperlink w:anchor="SENTENCIA_2013_135" w:history="1">
        <w:r w:rsidRPr="00234417">
          <w:rPr>
            <w:rStyle w:val="TextoNormalCaracter"/>
          </w:rPr>
          <w:t>135/2013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1947" w:name="DESCRIPTORALFABETICO577"/>
      <w:r w:rsidRPr="00234417">
        <w:rPr>
          <w:rStyle w:val="TextoNormalNegritaCaracter"/>
        </w:rPr>
        <w:t>Policía local</w:t>
      </w:r>
      <w:bookmarkEnd w:id="1947"/>
      <w:r w:rsidRPr="00234417">
        <w:rPr>
          <w:rStyle w:val="TextoNormalCaracter"/>
        </w:rPr>
        <w:t xml:space="preserve">, Sentencia </w:t>
      </w:r>
      <w:hyperlink w:anchor="SENTENCIA_2013_33" w:history="1">
        <w:r w:rsidRPr="00234417">
          <w:rPr>
            <w:rStyle w:val="TextoNormalCaracter"/>
          </w:rPr>
          <w:t>33/2013</w:t>
        </w:r>
      </w:hyperlink>
      <w:r w:rsidRPr="00234417">
        <w:rPr>
          <w:rStyle w:val="TextoNormalCaracter"/>
        </w:rPr>
        <w:t>, ff. 4, 5, 6.</w:t>
      </w:r>
    </w:p>
    <w:p w:rsidR="00234417" w:rsidRPr="00234417" w:rsidRDefault="00234417" w:rsidP="00234417">
      <w:pPr>
        <w:pStyle w:val="TextoNormalSangraFrancesa"/>
        <w:rPr>
          <w:rStyle w:val="TextoNormalCaracter"/>
        </w:rPr>
      </w:pPr>
      <w:bookmarkStart w:id="1948" w:name="DESCRIPTORALFABETICO578"/>
      <w:r w:rsidRPr="00234417">
        <w:rPr>
          <w:rStyle w:val="TextoNormalNegritaCaracter"/>
        </w:rPr>
        <w:t>Policía nacional</w:t>
      </w:r>
      <w:bookmarkEnd w:id="1948"/>
      <w:r w:rsidRPr="00234417">
        <w:rPr>
          <w:rStyle w:val="TextoNormalCaracter"/>
        </w:rPr>
        <w:t xml:space="preserve">, Sentencia </w:t>
      </w:r>
      <w:hyperlink w:anchor="SENTENCIA_2013_11" w:history="1">
        <w:r w:rsidRPr="00234417">
          <w:rPr>
            <w:rStyle w:val="TextoNormalCaracter"/>
          </w:rPr>
          <w:t>11/2013</w:t>
        </w:r>
      </w:hyperlink>
      <w:r w:rsidRPr="00234417">
        <w:rPr>
          <w:rStyle w:val="TextoNormalCaracter"/>
        </w:rPr>
        <w:t>, f. 3.</w:t>
      </w:r>
    </w:p>
    <w:p w:rsidR="00234417" w:rsidRPr="00234417" w:rsidRDefault="00234417" w:rsidP="00234417">
      <w:pPr>
        <w:pStyle w:val="TextoNormalSangraFrancesa"/>
        <w:rPr>
          <w:rStyle w:val="TextoNormalCaracter"/>
        </w:rPr>
      </w:pPr>
      <w:bookmarkStart w:id="1949" w:name="DESCRIPTORALFABETICO403"/>
      <w:r w:rsidRPr="00234417">
        <w:rPr>
          <w:rStyle w:val="TextoNormalNegritaCaracter"/>
        </w:rPr>
        <w:t>Política agrícola común</w:t>
      </w:r>
      <w:bookmarkEnd w:id="1949"/>
      <w:r w:rsidRPr="00234417">
        <w:rPr>
          <w:rStyle w:val="TextoNormalCaracter"/>
        </w:rPr>
        <w:t xml:space="preserve">, Sentencias </w:t>
      </w:r>
      <w:hyperlink w:anchor="SENTENCIA_2013_27" w:history="1">
        <w:r w:rsidRPr="00234417">
          <w:rPr>
            <w:rStyle w:val="TextoNormalCaracter"/>
          </w:rPr>
          <w:t>27/2013</w:t>
        </w:r>
      </w:hyperlink>
      <w:r w:rsidRPr="00234417">
        <w:rPr>
          <w:rStyle w:val="TextoNormalCaracter"/>
        </w:rPr>
        <w:t xml:space="preserve">, f. 6; </w:t>
      </w:r>
      <w:hyperlink w:anchor="SENTENCIA_2013_104" w:history="1">
        <w:r w:rsidRPr="00234417">
          <w:rPr>
            <w:rStyle w:val="TextoNormalCaracter"/>
          </w:rPr>
          <w:t>104/2013</w:t>
        </w:r>
      </w:hyperlink>
      <w:r w:rsidRPr="00234417">
        <w:rPr>
          <w:rStyle w:val="TextoNormalCaracter"/>
        </w:rPr>
        <w:t>, f. 5.</w:t>
      </w:r>
    </w:p>
    <w:p w:rsidR="00234417" w:rsidRPr="00234417" w:rsidRDefault="00234417" w:rsidP="00234417">
      <w:pPr>
        <w:pStyle w:val="TextoNormalSangraFrancesa"/>
        <w:rPr>
          <w:rStyle w:val="TextoNormalCaracter"/>
        </w:rPr>
      </w:pPr>
      <w:bookmarkStart w:id="1950" w:name="DESCRIPTORALFABETICO101"/>
      <w:r w:rsidRPr="00234417">
        <w:rPr>
          <w:rStyle w:val="TextoNormalNegritaCaracter"/>
        </w:rPr>
        <w:t>Política de inversiones</w:t>
      </w:r>
      <w:bookmarkEnd w:id="1950"/>
      <w:r w:rsidRPr="00234417">
        <w:rPr>
          <w:rStyle w:val="TextoNormalCaracter"/>
        </w:rPr>
        <w:t xml:space="preserve">, Sentencia </w:t>
      </w:r>
      <w:hyperlink w:anchor="SENTENCIA_2013_100" w:history="1">
        <w:r w:rsidRPr="00234417">
          <w:rPr>
            <w:rStyle w:val="TextoNormalCaracter"/>
          </w:rPr>
          <w:t>100/2013</w:t>
        </w:r>
      </w:hyperlink>
      <w:r w:rsidRPr="00234417">
        <w:rPr>
          <w:rStyle w:val="TextoNormalCaracter"/>
        </w:rPr>
        <w:t>, f. 4.</w:t>
      </w:r>
    </w:p>
    <w:p w:rsidR="00234417" w:rsidRPr="00234417" w:rsidRDefault="00234417" w:rsidP="00234417">
      <w:pPr>
        <w:pStyle w:val="TextoNormalSangraFrancesa"/>
        <w:rPr>
          <w:rStyle w:val="TextoNormalCaracter"/>
        </w:rPr>
      </w:pPr>
      <w:bookmarkStart w:id="1951" w:name="DESCRIPTORALFABETICO100"/>
      <w:r w:rsidRPr="00234417">
        <w:rPr>
          <w:rStyle w:val="TextoNormalNegritaCaracter"/>
        </w:rPr>
        <w:t>Política económica</w:t>
      </w:r>
      <w:bookmarkEnd w:id="1951"/>
      <w:r w:rsidRPr="00234417">
        <w:rPr>
          <w:rStyle w:val="TextoNormalCaracter"/>
        </w:rPr>
        <w:t xml:space="preserve">, Sentencia </w:t>
      </w:r>
      <w:hyperlink w:anchor="SENTENCIA_2013_9" w:history="1">
        <w:r w:rsidRPr="00234417">
          <w:rPr>
            <w:rStyle w:val="TextoNormalCaracter"/>
          </w:rPr>
          <w:t>9/2013</w:t>
        </w:r>
      </w:hyperlink>
      <w:r w:rsidRPr="00234417">
        <w:rPr>
          <w:rStyle w:val="TextoNormalCaracter"/>
        </w:rPr>
        <w:t>, f. 4.</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86" w:history="1">
        <w:r w:rsidRPr="00234417">
          <w:rPr>
            <w:rStyle w:val="TextoNormalCaracter"/>
          </w:rPr>
          <w:t>86/2013</w:t>
        </w:r>
      </w:hyperlink>
      <w:r w:rsidRPr="00234417">
        <w:rPr>
          <w:rStyle w:val="TextoNormalCaracter"/>
        </w:rPr>
        <w:t>, ff. 4 a 6.</w:t>
      </w:r>
    </w:p>
    <w:p w:rsidR="00234417" w:rsidRPr="00234417" w:rsidRDefault="00234417" w:rsidP="00234417">
      <w:pPr>
        <w:pStyle w:val="TextoNormalSangraFrancesa"/>
        <w:rPr>
          <w:rStyle w:val="TextoNormalCaracter"/>
        </w:rPr>
      </w:pPr>
      <w:bookmarkStart w:id="1952" w:name="DESCRIPTORALFABETICO421"/>
      <w:r w:rsidRPr="00234417">
        <w:rPr>
          <w:rStyle w:val="TextoNormalNegritaCaracter"/>
        </w:rPr>
        <w:t>Ponderación de intereses</w:t>
      </w:r>
      <w:bookmarkEnd w:id="1952"/>
      <w:r w:rsidRPr="00234417">
        <w:rPr>
          <w:rStyle w:val="TextoNormalCaracter"/>
        </w:rPr>
        <w:t xml:space="preserve">, Autos </w:t>
      </w:r>
      <w:hyperlink w:anchor="AUTO_2013_88" w:history="1">
        <w:r w:rsidRPr="00234417">
          <w:rPr>
            <w:rStyle w:val="TextoNormalCaracter"/>
          </w:rPr>
          <w:t>88/2013</w:t>
        </w:r>
      </w:hyperlink>
      <w:r w:rsidRPr="00234417">
        <w:rPr>
          <w:rStyle w:val="TextoNormalCaracter"/>
        </w:rPr>
        <w:t xml:space="preserve">, ff. 2, 3; </w:t>
      </w:r>
      <w:hyperlink w:anchor="AUTO_2013_122" w:history="1">
        <w:r w:rsidRPr="00234417">
          <w:rPr>
            <w:rStyle w:val="TextoNormalCaracter"/>
          </w:rPr>
          <w:t>122/2013</w:t>
        </w:r>
      </w:hyperlink>
      <w:r w:rsidRPr="00234417">
        <w:rPr>
          <w:rStyle w:val="TextoNormalCaracter"/>
        </w:rPr>
        <w:t xml:space="preserve">, ff. 2, 4; </w:t>
      </w:r>
      <w:hyperlink w:anchor="AUTO_2013_142" w:history="1">
        <w:r w:rsidRPr="00234417">
          <w:rPr>
            <w:rStyle w:val="TextoNormalCaracter"/>
          </w:rPr>
          <w:t>142/2013</w:t>
        </w:r>
      </w:hyperlink>
      <w:r w:rsidRPr="00234417">
        <w:rPr>
          <w:rStyle w:val="TextoNormalCaracter"/>
        </w:rPr>
        <w:t xml:space="preserve">, f. 3; </w:t>
      </w:r>
      <w:hyperlink w:anchor="AUTO_2013_146" w:history="1">
        <w:r w:rsidRPr="00234417">
          <w:rPr>
            <w:rStyle w:val="TextoNormalCaracter"/>
          </w:rPr>
          <w:t>146/2013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53" w:name="DESCRIPTORALFABETICO89"/>
      <w:r w:rsidRPr="00234417">
        <w:rPr>
          <w:rStyle w:val="TextoNormalNegritaCaracter"/>
        </w:rPr>
        <w:t>Porcentaje de participación en los ingresos del Estado</w:t>
      </w:r>
      <w:bookmarkEnd w:id="1953"/>
      <w:r w:rsidRPr="00234417">
        <w:rPr>
          <w:rStyle w:val="TextoNormalCaracter"/>
        </w:rPr>
        <w:t xml:space="preserve">, Sentencia </w:t>
      </w:r>
      <w:hyperlink w:anchor="SENTENCIA_2013_101" w:history="1">
        <w:r w:rsidRPr="00234417">
          <w:rPr>
            <w:rStyle w:val="TextoNormalCaracter"/>
          </w:rPr>
          <w:t>101/2013</w:t>
        </w:r>
      </w:hyperlink>
      <w:r w:rsidRPr="00234417">
        <w:rPr>
          <w:rStyle w:val="TextoNormalCaracter"/>
        </w:rPr>
        <w:t>, ff. 3, 7 a 9.</w:t>
      </w:r>
    </w:p>
    <w:p w:rsidR="00234417" w:rsidRPr="00234417" w:rsidRDefault="00234417" w:rsidP="00234417">
      <w:pPr>
        <w:pStyle w:val="TextoNormalSangraFrancesa"/>
        <w:rPr>
          <w:rStyle w:val="TextoNormalCaracter"/>
        </w:rPr>
      </w:pPr>
      <w:bookmarkStart w:id="1954" w:name="DESCRIPTORALFABETICO529"/>
      <w:r w:rsidRPr="00234417">
        <w:rPr>
          <w:rStyle w:val="TextoNormalNegritaCaracter"/>
        </w:rPr>
        <w:t>Porcentaje de profesores doctores</w:t>
      </w:r>
      <w:bookmarkEnd w:id="1954"/>
      <w:r w:rsidRPr="00234417">
        <w:rPr>
          <w:rStyle w:val="TextoNormalCaracter"/>
        </w:rPr>
        <w:t xml:space="preserve">, Sentencia </w:t>
      </w:r>
      <w:hyperlink w:anchor="SENTENCIA_2013_131" w:history="1">
        <w:r w:rsidRPr="00234417">
          <w:rPr>
            <w:rStyle w:val="TextoNormalCaracter"/>
          </w:rPr>
          <w:t>131/2013</w:t>
        </w:r>
      </w:hyperlink>
      <w:r w:rsidRPr="00234417">
        <w:rPr>
          <w:rStyle w:val="TextoNormalCaracter"/>
        </w:rPr>
        <w:t>, ff. 4, 8, 9.</w:t>
      </w:r>
    </w:p>
    <w:p w:rsidR="00234417" w:rsidRPr="00234417" w:rsidRDefault="00234417" w:rsidP="00234417">
      <w:pPr>
        <w:pStyle w:val="TextoNormalSangraFrancesa"/>
        <w:rPr>
          <w:rStyle w:val="TextoNormalCaracter"/>
        </w:rPr>
      </w:pPr>
      <w:bookmarkStart w:id="1955" w:name="DESCRIPTORALFABETICO363"/>
      <w:r w:rsidRPr="00234417">
        <w:rPr>
          <w:rStyle w:val="TextoNormalNegritaCaracter"/>
        </w:rPr>
        <w:t>Potestad de autoorganización</w:t>
      </w:r>
      <w:bookmarkEnd w:id="1955"/>
      <w:r w:rsidRPr="00234417">
        <w:rPr>
          <w:rStyle w:val="TextoNormalCaracter"/>
        </w:rPr>
        <w:t xml:space="preserve">, Sentencias </w:t>
      </w:r>
      <w:hyperlink w:anchor="SENTENCIA_2013_34" w:history="1">
        <w:r w:rsidRPr="00234417">
          <w:rPr>
            <w:rStyle w:val="TextoNormalCaracter"/>
          </w:rPr>
          <w:t>34/2013</w:t>
        </w:r>
      </w:hyperlink>
      <w:r w:rsidRPr="00234417">
        <w:rPr>
          <w:rStyle w:val="TextoNormalCaracter"/>
        </w:rPr>
        <w:t xml:space="preserve">, ff. 16 a 18, VP; </w:t>
      </w:r>
      <w:hyperlink w:anchor="SENTENCIA_2013_82" w:history="1">
        <w:r w:rsidRPr="00234417">
          <w:rPr>
            <w:rStyle w:val="TextoNormalCaracter"/>
          </w:rPr>
          <w:t>82/2013</w:t>
        </w:r>
      </w:hyperlink>
      <w:r w:rsidRPr="00234417">
        <w:rPr>
          <w:rStyle w:val="TextoNormalCaracter"/>
        </w:rPr>
        <w:t xml:space="preserve">, f. 5; </w:t>
      </w:r>
      <w:hyperlink w:anchor="SENTENCIA_2013_137" w:history="1">
        <w:r w:rsidRPr="00234417">
          <w:rPr>
            <w:rStyle w:val="TextoNormalCaracter"/>
          </w:rPr>
          <w:t>137/2013</w:t>
        </w:r>
      </w:hyperlink>
      <w:r w:rsidRPr="00234417">
        <w:rPr>
          <w:rStyle w:val="TextoNormalCaracter"/>
        </w:rPr>
        <w:t>, f. 7.</w:t>
      </w:r>
    </w:p>
    <w:p w:rsidR="00234417" w:rsidRPr="00234417" w:rsidRDefault="00234417" w:rsidP="00234417">
      <w:pPr>
        <w:pStyle w:val="TextoNormalSangraFrancesa"/>
        <w:rPr>
          <w:rStyle w:val="TextoNormalCaracter"/>
        </w:rPr>
      </w:pPr>
      <w:bookmarkStart w:id="1956" w:name="DESCRIPTORALFABETICO86"/>
      <w:r w:rsidRPr="00234417">
        <w:rPr>
          <w:rStyle w:val="TextoNormalNegritaCaracter"/>
        </w:rPr>
        <w:t>Potestad de gasto no es título competencial</w:t>
      </w:r>
      <w:bookmarkEnd w:id="1956"/>
      <w:r w:rsidRPr="00234417">
        <w:rPr>
          <w:rStyle w:val="TextoNormalCaracter"/>
        </w:rPr>
        <w:t xml:space="preserve">, Sentencias </w:t>
      </w:r>
      <w:hyperlink w:anchor="SENTENCIA_2013_130" w:history="1">
        <w:r w:rsidRPr="00234417">
          <w:rPr>
            <w:rStyle w:val="TextoNormalCaracter"/>
          </w:rPr>
          <w:t>130/2013</w:t>
        </w:r>
      </w:hyperlink>
      <w:r w:rsidRPr="00234417">
        <w:rPr>
          <w:rStyle w:val="TextoNormalCaracter"/>
        </w:rPr>
        <w:t xml:space="preserve">, f. 8, VP; </w:t>
      </w:r>
      <w:hyperlink w:anchor="SENTENCIA_2013_135" w:history="1">
        <w:r w:rsidRPr="00234417">
          <w:rPr>
            <w:rStyle w:val="TextoNormalCaracter"/>
          </w:rPr>
          <w:t>135/2013</w:t>
        </w:r>
      </w:hyperlink>
      <w:r w:rsidRPr="00234417">
        <w:rPr>
          <w:rStyle w:val="TextoNormalCaracter"/>
        </w:rPr>
        <w:t>, f. 4.</w:t>
      </w:r>
    </w:p>
    <w:p w:rsidR="00234417" w:rsidRPr="00234417" w:rsidRDefault="00234417" w:rsidP="00234417">
      <w:pPr>
        <w:pStyle w:val="TextoNormalSangraFrancesa"/>
        <w:rPr>
          <w:rStyle w:val="TextoNormalCaracter"/>
        </w:rPr>
      </w:pPr>
      <w:bookmarkStart w:id="1957" w:name="DESCRIPTORALFABETICO84"/>
      <w:r w:rsidRPr="00234417">
        <w:rPr>
          <w:rStyle w:val="TextoNormalNegritaCaracter"/>
        </w:rPr>
        <w:t>Potestad de gasto público</w:t>
      </w:r>
      <w:bookmarkEnd w:id="1957"/>
      <w:r w:rsidRPr="00234417">
        <w:rPr>
          <w:rStyle w:val="TextoNormalCaracter"/>
        </w:rPr>
        <w:t xml:space="preserve">, Sentencias </w:t>
      </w:r>
      <w:hyperlink w:anchor="SENTENCIA_2013_130" w:history="1">
        <w:r w:rsidRPr="00234417">
          <w:rPr>
            <w:rStyle w:val="TextoNormalCaracter"/>
          </w:rPr>
          <w:t>130/2013</w:t>
        </w:r>
      </w:hyperlink>
      <w:r w:rsidRPr="00234417">
        <w:rPr>
          <w:rStyle w:val="TextoNormalCaracter"/>
        </w:rPr>
        <w:t xml:space="preserve">, ff. 5, 6, VP; </w:t>
      </w:r>
      <w:hyperlink w:anchor="SENTENCIA_2013_135" w:history="1">
        <w:r w:rsidRPr="00234417">
          <w:rPr>
            <w:rStyle w:val="TextoNormalCaracter"/>
          </w:rPr>
          <w:t>135/2013</w:t>
        </w:r>
      </w:hyperlink>
      <w:r w:rsidRPr="00234417">
        <w:rPr>
          <w:rStyle w:val="TextoNormalCaracter"/>
        </w:rPr>
        <w:t>, ff. 4, 6.</w:t>
      </w:r>
    </w:p>
    <w:p w:rsidR="00234417" w:rsidRPr="00234417" w:rsidRDefault="00234417" w:rsidP="00234417">
      <w:pPr>
        <w:pStyle w:val="TextoNormalSangraFrancesa"/>
        <w:rPr>
          <w:rStyle w:val="TextoNormalCaracter"/>
        </w:rPr>
      </w:pPr>
      <w:bookmarkStart w:id="1958" w:name="DESCRIPTORALFABETICO381"/>
      <w:r w:rsidRPr="00234417">
        <w:rPr>
          <w:rStyle w:val="TextoNormalNegritaCaracter"/>
        </w:rPr>
        <w:t>Potestad jurisdiccional</w:t>
      </w:r>
      <w:bookmarkEnd w:id="1958"/>
      <w:r w:rsidRPr="00234417">
        <w:rPr>
          <w:rStyle w:val="TextoNormalCaracter"/>
        </w:rPr>
        <w:t xml:space="preserve">, Sentencia </w:t>
      </w:r>
      <w:hyperlink w:anchor="SENTENCIA_2013_10" w:history="1">
        <w:r w:rsidRPr="00234417">
          <w:rPr>
            <w:rStyle w:val="TextoNormalCaracter"/>
          </w:rPr>
          <w:t>10/2013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59" w:name="DESCRIPTORALFABETICO386"/>
      <w:r w:rsidRPr="00234417">
        <w:rPr>
          <w:rStyle w:val="TextoNormalNegritaCaracter"/>
        </w:rPr>
        <w:t>Potestad legislativa</w:t>
      </w:r>
      <w:bookmarkEnd w:id="1959"/>
      <w:r w:rsidRPr="00234417">
        <w:rPr>
          <w:rStyle w:val="TextoNormalCaracter"/>
        </w:rPr>
        <w:t xml:space="preserve">, Sentencias </w:t>
      </w:r>
      <w:hyperlink w:anchor="SENTENCIA_2013_98" w:history="1">
        <w:r w:rsidRPr="00234417">
          <w:rPr>
            <w:rStyle w:val="TextoNormalCaracter"/>
          </w:rPr>
          <w:t>98/2013</w:t>
        </w:r>
      </w:hyperlink>
      <w:r w:rsidRPr="00234417">
        <w:rPr>
          <w:rStyle w:val="TextoNormalCaracter"/>
        </w:rPr>
        <w:t xml:space="preserve">, f. 2; </w:t>
      </w:r>
      <w:hyperlink w:anchor="SENTENCIA_2013_132" w:history="1">
        <w:r w:rsidRPr="00234417">
          <w:rPr>
            <w:rStyle w:val="TextoNormalCaracter"/>
          </w:rPr>
          <w:t>132/2013</w:t>
        </w:r>
      </w:hyperlink>
      <w:r w:rsidRPr="00234417">
        <w:rPr>
          <w:rStyle w:val="TextoNormalCaracter"/>
        </w:rPr>
        <w:t>, ff. 2, 3, 4.</w:t>
      </w:r>
    </w:p>
    <w:p w:rsidR="00234417" w:rsidRPr="00234417" w:rsidRDefault="00234417" w:rsidP="00234417">
      <w:pPr>
        <w:pStyle w:val="TextoNormalSangraFrancesa"/>
        <w:rPr>
          <w:rStyle w:val="TextoNormalCaracter"/>
        </w:rPr>
      </w:pPr>
      <w:bookmarkStart w:id="1960" w:name="DESCRIPTORALFABETICO387"/>
      <w:r w:rsidRPr="00234417">
        <w:rPr>
          <w:rStyle w:val="TextoNormalNegritaCaracter"/>
        </w:rPr>
        <w:t>Potestad legislativa de las Comunidades Autónomas</w:t>
      </w:r>
      <w:bookmarkEnd w:id="1960"/>
      <w:r w:rsidRPr="00234417">
        <w:rPr>
          <w:rStyle w:val="TextoNormalCaracter"/>
        </w:rPr>
        <w:t xml:space="preserve">, Sentencia </w:t>
      </w:r>
      <w:hyperlink w:anchor="SENTENCIA_2013_34" w:history="1">
        <w:r w:rsidRPr="00234417">
          <w:rPr>
            <w:rStyle w:val="TextoNormalCaracter"/>
          </w:rPr>
          <w:t>34/2013</w:t>
        </w:r>
      </w:hyperlink>
      <w:r w:rsidRPr="00234417">
        <w:rPr>
          <w:rStyle w:val="TextoNormalCaracter"/>
        </w:rPr>
        <w:t>, f. 4.</w:t>
      </w:r>
    </w:p>
    <w:p w:rsidR="00234417" w:rsidRPr="00234417" w:rsidRDefault="00234417" w:rsidP="00234417">
      <w:pPr>
        <w:pStyle w:val="TextoNormalSangraFrancesa"/>
        <w:rPr>
          <w:rStyle w:val="TextoNormalCaracter"/>
        </w:rPr>
      </w:pPr>
      <w:bookmarkStart w:id="1961" w:name="DESCRIPTORALFABETICO388"/>
      <w:r w:rsidRPr="00234417">
        <w:rPr>
          <w:rStyle w:val="TextoNormalNegritaCaracter"/>
        </w:rPr>
        <w:lastRenderedPageBreak/>
        <w:t>Potestad legislativa del Estado</w:t>
      </w:r>
      <w:bookmarkEnd w:id="1961"/>
      <w:r w:rsidRPr="00234417">
        <w:rPr>
          <w:rStyle w:val="TextoNormalCaracter"/>
        </w:rPr>
        <w:t xml:space="preserve">, Autos </w:t>
      </w:r>
      <w:hyperlink w:anchor="AUTO_2013_85" w:history="1">
        <w:r w:rsidRPr="00234417">
          <w:rPr>
            <w:rStyle w:val="TextoNormalCaracter"/>
          </w:rPr>
          <w:t>85/2013</w:t>
        </w:r>
      </w:hyperlink>
      <w:r w:rsidRPr="00234417">
        <w:rPr>
          <w:rStyle w:val="TextoNormalCaracter"/>
        </w:rPr>
        <w:t xml:space="preserve">, ff. 3 a 6; </w:t>
      </w:r>
      <w:hyperlink w:anchor="AUTO_2013_125" w:history="1">
        <w:r w:rsidRPr="00234417">
          <w:rPr>
            <w:rStyle w:val="TextoNormalCaracter"/>
          </w:rPr>
          <w:t>125/2013</w:t>
        </w:r>
      </w:hyperlink>
      <w:r w:rsidRPr="00234417">
        <w:rPr>
          <w:rStyle w:val="TextoNormalCaracter"/>
        </w:rPr>
        <w:t xml:space="preserve">, ff. 2, 3; </w:t>
      </w:r>
      <w:hyperlink w:anchor="AUTO_2013_127" w:history="1">
        <w:r w:rsidRPr="00234417">
          <w:rPr>
            <w:rStyle w:val="TextoNormalCaracter"/>
          </w:rPr>
          <w:t>127/2013</w:t>
        </w:r>
      </w:hyperlink>
      <w:r w:rsidRPr="00234417">
        <w:rPr>
          <w:rStyle w:val="TextoNormalCaracter"/>
        </w:rPr>
        <w:t xml:space="preserve">, ff. 2, 3; </w:t>
      </w:r>
      <w:hyperlink w:anchor="AUTO_2013_128" w:history="1">
        <w:r w:rsidRPr="00234417">
          <w:rPr>
            <w:rStyle w:val="TextoNormalCaracter"/>
          </w:rPr>
          <w:t>128/2013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962" w:name="DESCRIPTORALFABETICO360"/>
      <w:r w:rsidRPr="00234417">
        <w:rPr>
          <w:rStyle w:val="TextoNormalNegritaCaracter"/>
        </w:rPr>
        <w:t>Potestad reglamentaria</w:t>
      </w:r>
      <w:bookmarkEnd w:id="1962"/>
      <w:r w:rsidRPr="00234417">
        <w:rPr>
          <w:rStyle w:val="TextoNormalCaracter"/>
        </w:rPr>
        <w:t xml:space="preserve">, Sentencias </w:t>
      </w:r>
      <w:hyperlink w:anchor="SENTENCIA_2013_36" w:history="1">
        <w:r w:rsidRPr="00234417">
          <w:rPr>
            <w:rStyle w:val="TextoNormalCaracter"/>
          </w:rPr>
          <w:t>36/2013</w:t>
        </w:r>
      </w:hyperlink>
      <w:r w:rsidRPr="00234417">
        <w:rPr>
          <w:rStyle w:val="TextoNormalCaracter"/>
        </w:rPr>
        <w:t xml:space="preserve">, f. 7; </w:t>
      </w:r>
      <w:hyperlink w:anchor="SENTENCIA_2013_111" w:history="1">
        <w:r w:rsidRPr="00234417">
          <w:rPr>
            <w:rStyle w:val="TextoNormalCaracter"/>
          </w:rPr>
          <w:t>111/2013</w:t>
        </w:r>
      </w:hyperlink>
      <w:r w:rsidRPr="00234417">
        <w:rPr>
          <w:rStyle w:val="TextoNormalCaracter"/>
        </w:rPr>
        <w:t>, f. 4.</w:t>
      </w:r>
    </w:p>
    <w:p w:rsidR="00234417" w:rsidRPr="00234417" w:rsidRDefault="00234417" w:rsidP="00234417">
      <w:pPr>
        <w:pStyle w:val="TextoNormalSangraFrancesa"/>
        <w:rPr>
          <w:rStyle w:val="TextoNormalCaracter"/>
        </w:rPr>
      </w:pPr>
      <w:bookmarkStart w:id="1963" w:name="DESCRIPTORALFABETICO361"/>
      <w:r w:rsidRPr="00234417">
        <w:rPr>
          <w:rStyle w:val="TextoNormalNegritaCaracter"/>
        </w:rPr>
        <w:t>Potestad sancionadora</w:t>
      </w:r>
      <w:bookmarkEnd w:id="1963"/>
      <w:r w:rsidRPr="00234417">
        <w:rPr>
          <w:rStyle w:val="TextoNormalCaracter"/>
        </w:rPr>
        <w:t xml:space="preserve">, Sentencias </w:t>
      </w:r>
      <w:hyperlink w:anchor="SENTENCIA_2013_34" w:history="1">
        <w:r w:rsidRPr="00234417">
          <w:rPr>
            <w:rStyle w:val="TextoNormalCaracter"/>
          </w:rPr>
          <w:t>34/2013</w:t>
        </w:r>
      </w:hyperlink>
      <w:r w:rsidRPr="00234417">
        <w:rPr>
          <w:rStyle w:val="TextoNormalCaracter"/>
        </w:rPr>
        <w:t xml:space="preserve">, f. 20; </w:t>
      </w:r>
      <w:hyperlink w:anchor="SENTENCIA_2013_82" w:history="1">
        <w:r w:rsidRPr="00234417">
          <w:rPr>
            <w:rStyle w:val="TextoNormalCaracter"/>
          </w:rPr>
          <w:t>82/2013</w:t>
        </w:r>
      </w:hyperlink>
      <w:r w:rsidRPr="00234417">
        <w:rPr>
          <w:rStyle w:val="TextoNormalCaracter"/>
        </w:rPr>
        <w:t xml:space="preserve">, f. 6; </w:t>
      </w:r>
      <w:hyperlink w:anchor="SENTENCIA_2013_104" w:history="1">
        <w:r w:rsidRPr="00234417">
          <w:rPr>
            <w:rStyle w:val="TextoNormalCaracter"/>
          </w:rPr>
          <w:t>104/2013</w:t>
        </w:r>
      </w:hyperlink>
      <w:r w:rsidRPr="00234417">
        <w:rPr>
          <w:rStyle w:val="TextoNormalCaracter"/>
        </w:rPr>
        <w:t>, f. 4.</w:t>
      </w:r>
    </w:p>
    <w:p w:rsidR="00234417" w:rsidRPr="00234417" w:rsidRDefault="00234417" w:rsidP="00234417">
      <w:pPr>
        <w:pStyle w:val="TextoNormalSangraFrancesa"/>
        <w:rPr>
          <w:rStyle w:val="TextoNormalCaracter"/>
        </w:rPr>
      </w:pPr>
      <w:bookmarkStart w:id="1964" w:name="DESCRIPTORALFABETICO362"/>
      <w:r w:rsidRPr="00234417">
        <w:rPr>
          <w:rStyle w:val="TextoNormalNegritaCaracter"/>
        </w:rPr>
        <w:t>Potestad sancionadora de las Comunidades Autónomas</w:t>
      </w:r>
      <w:bookmarkEnd w:id="1964"/>
      <w:r w:rsidRPr="00234417">
        <w:rPr>
          <w:rStyle w:val="TextoNormalCaracter"/>
        </w:rPr>
        <w:t xml:space="preserve">, Auto </w:t>
      </w:r>
      <w:hyperlink w:anchor="AUTO_2013_124" w:history="1">
        <w:r w:rsidRPr="00234417">
          <w:rPr>
            <w:rStyle w:val="TextoNormalCaracter"/>
          </w:rPr>
          <w:t>124/2013</w:t>
        </w:r>
      </w:hyperlink>
      <w:r w:rsidRPr="00234417">
        <w:rPr>
          <w:rStyle w:val="TextoNormalCaracter"/>
        </w:rPr>
        <w:t>, f. 4.</w:t>
      </w:r>
    </w:p>
    <w:p w:rsidR="00234417" w:rsidRPr="00234417" w:rsidRDefault="00234417" w:rsidP="00234417">
      <w:pPr>
        <w:pStyle w:val="TextoNormalSangraFrancesa"/>
        <w:rPr>
          <w:rStyle w:val="TextoNormalCaracter"/>
        </w:rPr>
      </w:pPr>
      <w:bookmarkStart w:id="1965" w:name="DESCRIPTORALFABETICO111"/>
      <w:r w:rsidRPr="00234417">
        <w:rPr>
          <w:rStyle w:val="TextoNormalNegritaCaracter"/>
        </w:rPr>
        <w:t>Potestad tributaria</w:t>
      </w:r>
      <w:bookmarkEnd w:id="1965"/>
      <w:r w:rsidRPr="00234417">
        <w:rPr>
          <w:rStyle w:val="TextoNormalCaracter"/>
        </w:rPr>
        <w:t xml:space="preserve">, Sentencias </w:t>
      </w:r>
      <w:hyperlink w:anchor="SENTENCIA_2013_85" w:history="1">
        <w:r w:rsidRPr="00234417">
          <w:rPr>
            <w:rStyle w:val="TextoNormalCaracter"/>
          </w:rPr>
          <w:t>85/2013</w:t>
        </w:r>
      </w:hyperlink>
      <w:r w:rsidRPr="00234417">
        <w:rPr>
          <w:rStyle w:val="TextoNormalCaracter"/>
        </w:rPr>
        <w:t xml:space="preserve">, ff. 3, 5; </w:t>
      </w:r>
      <w:hyperlink w:anchor="SENTENCIA_2013_96" w:history="1">
        <w:r w:rsidRPr="00234417">
          <w:rPr>
            <w:rStyle w:val="TextoNormalCaracter"/>
          </w:rPr>
          <w:t>96/2013</w:t>
        </w:r>
      </w:hyperlink>
      <w:r w:rsidRPr="00234417">
        <w:rPr>
          <w:rStyle w:val="TextoNormalCaracter"/>
        </w:rPr>
        <w:t>, ff. 2, 5.</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9" w:history="1">
        <w:r w:rsidRPr="00234417">
          <w:rPr>
            <w:rStyle w:val="TextoNormalCaracter"/>
          </w:rPr>
          <w:t>9/2013</w:t>
        </w:r>
      </w:hyperlink>
      <w:r w:rsidRPr="00234417">
        <w:rPr>
          <w:rStyle w:val="TextoNormalCaracter"/>
        </w:rPr>
        <w:t xml:space="preserve">, f. 3; </w:t>
      </w:r>
      <w:hyperlink w:anchor="AUTO_2013_122" w:history="1">
        <w:r w:rsidRPr="00234417">
          <w:rPr>
            <w:rStyle w:val="TextoNormalCaracter"/>
          </w:rPr>
          <w:t>122/2013</w:t>
        </w:r>
      </w:hyperlink>
      <w:r w:rsidRPr="00234417">
        <w:rPr>
          <w:rStyle w:val="TextoNormalCaracter"/>
        </w:rPr>
        <w:t xml:space="preserve">, f. 4; </w:t>
      </w:r>
      <w:hyperlink w:anchor="AUTO_2013_123" w:history="1">
        <w:r w:rsidRPr="00234417">
          <w:rPr>
            <w:rStyle w:val="TextoNormalCaracter"/>
          </w:rPr>
          <w:t>123/2013</w:t>
        </w:r>
      </w:hyperlink>
      <w:r w:rsidRPr="00234417">
        <w:rPr>
          <w:rStyle w:val="TextoNormalCaracter"/>
        </w:rPr>
        <w:t xml:space="preserve">, ff. 1, 6; </w:t>
      </w:r>
      <w:hyperlink w:anchor="AUTO_2013_142" w:history="1">
        <w:r w:rsidRPr="00234417">
          <w:rPr>
            <w:rStyle w:val="TextoNormalCaracter"/>
          </w:rPr>
          <w:t>142/2013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1966" w:name="DESCRIPTORALFABETICO25"/>
      <w:r w:rsidRPr="00234417">
        <w:rPr>
          <w:rStyle w:val="TextoNormalNegritaCaracter"/>
        </w:rPr>
        <w:t>Potestades ejecutivas</w:t>
      </w:r>
      <w:bookmarkEnd w:id="1966"/>
      <w:r w:rsidRPr="00234417">
        <w:rPr>
          <w:rStyle w:val="TextoNormalCaracter"/>
        </w:rPr>
        <w:t xml:space="preserve">, Sentencias </w:t>
      </w:r>
      <w:hyperlink w:anchor="SENTENCIA_2013_16" w:history="1">
        <w:r w:rsidRPr="00234417">
          <w:rPr>
            <w:rStyle w:val="TextoNormalCaracter"/>
          </w:rPr>
          <w:t>16/2013</w:t>
        </w:r>
      </w:hyperlink>
      <w:r w:rsidRPr="00234417">
        <w:rPr>
          <w:rStyle w:val="TextoNormalCaracter"/>
        </w:rPr>
        <w:t xml:space="preserve">, f. 8; </w:t>
      </w:r>
      <w:hyperlink w:anchor="SENTENCIA_2013_35" w:history="1">
        <w:r w:rsidRPr="00234417">
          <w:rPr>
            <w:rStyle w:val="TextoNormalCaracter"/>
          </w:rPr>
          <w:t>35/2013</w:t>
        </w:r>
      </w:hyperlink>
      <w:r w:rsidRPr="00234417">
        <w:rPr>
          <w:rStyle w:val="TextoNormalCaracter"/>
        </w:rPr>
        <w:t xml:space="preserve">, ff. 3 a 8; </w:t>
      </w:r>
      <w:hyperlink w:anchor="SENTENCIA_2013_62" w:history="1">
        <w:r w:rsidRPr="00234417">
          <w:rPr>
            <w:rStyle w:val="TextoNormalCaracter"/>
          </w:rPr>
          <w:t>62/2013</w:t>
        </w:r>
      </w:hyperlink>
      <w:r w:rsidRPr="00234417">
        <w:rPr>
          <w:rStyle w:val="TextoNormalCaracter"/>
        </w:rPr>
        <w:t xml:space="preserve">, ff. 3, 5; </w:t>
      </w:r>
      <w:hyperlink w:anchor="SENTENCIA_2013_95" w:history="1">
        <w:r w:rsidRPr="00234417">
          <w:rPr>
            <w:rStyle w:val="TextoNormalCaracter"/>
          </w:rPr>
          <w:t>95/2013</w:t>
        </w:r>
      </w:hyperlink>
      <w:r w:rsidRPr="00234417">
        <w:rPr>
          <w:rStyle w:val="TextoNormalCaracter"/>
        </w:rPr>
        <w:t xml:space="preserve">, ff. 1, 3, 5 a 7, VP; </w:t>
      </w:r>
      <w:hyperlink w:anchor="SENTENCIA_2013_102" w:history="1">
        <w:r w:rsidRPr="00234417">
          <w:rPr>
            <w:rStyle w:val="TextoNormalCaracter"/>
          </w:rPr>
          <w:t>102/2013</w:t>
        </w:r>
      </w:hyperlink>
      <w:r w:rsidRPr="00234417">
        <w:rPr>
          <w:rStyle w:val="TextoNormalCaracter"/>
        </w:rPr>
        <w:t>, ff. 6, 8.</w:t>
      </w:r>
    </w:p>
    <w:p w:rsidR="00234417" w:rsidRPr="00234417" w:rsidRDefault="00234417" w:rsidP="00234417">
      <w:pPr>
        <w:pStyle w:val="TextoNormalSangraFrancesa"/>
        <w:rPr>
          <w:rStyle w:val="TextoNormalCaracter"/>
        </w:rPr>
      </w:pPr>
      <w:bookmarkStart w:id="1967" w:name="DESCRIPTORALFABETICO606"/>
      <w:r w:rsidRPr="00234417">
        <w:rPr>
          <w:rStyle w:val="TextoNormalNegritaCaracter"/>
        </w:rPr>
        <w:t>Prescripción de delitos</w:t>
      </w:r>
      <w:bookmarkEnd w:id="1967"/>
      <w:r w:rsidRPr="00234417">
        <w:rPr>
          <w:rStyle w:val="TextoNormalCaracter"/>
        </w:rPr>
        <w:t xml:space="preserve">, Sentencias </w:t>
      </w:r>
      <w:hyperlink w:anchor="SENTENCIA_2013_1" w:history="1">
        <w:r w:rsidRPr="00234417">
          <w:rPr>
            <w:rStyle w:val="TextoNormalCaracter"/>
          </w:rPr>
          <w:t>1/2013</w:t>
        </w:r>
      </w:hyperlink>
      <w:r w:rsidRPr="00234417">
        <w:rPr>
          <w:rStyle w:val="TextoNormalCaracter"/>
        </w:rPr>
        <w:t xml:space="preserve">, ff. 1, 3; </w:t>
      </w:r>
      <w:hyperlink w:anchor="SENTENCIA_2013_2" w:history="1">
        <w:r w:rsidRPr="00234417">
          <w:rPr>
            <w:rStyle w:val="TextoNormalCaracter"/>
          </w:rPr>
          <w:t>2/2013</w:t>
        </w:r>
      </w:hyperlink>
      <w:r w:rsidRPr="00234417">
        <w:rPr>
          <w:rStyle w:val="TextoNormalCaracter"/>
        </w:rPr>
        <w:t>, f. 7.</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28" w:history="1">
        <w:r w:rsidRPr="00234417">
          <w:rPr>
            <w:rStyle w:val="TextoNormalCaracter"/>
          </w:rPr>
          <w:t>28/2013</w:t>
        </w:r>
      </w:hyperlink>
      <w:r w:rsidRPr="00234417">
        <w:rPr>
          <w:rStyle w:val="TextoNormalCaracter"/>
        </w:rPr>
        <w:t>, f. 2, VP I.</w:t>
      </w:r>
    </w:p>
    <w:p w:rsidR="00234417" w:rsidRPr="00234417" w:rsidRDefault="00234417" w:rsidP="00234417">
      <w:pPr>
        <w:pStyle w:val="TextoNormalSangraFrancesa"/>
        <w:rPr>
          <w:rStyle w:val="TextoNormalCaracter"/>
        </w:rPr>
      </w:pPr>
      <w:bookmarkStart w:id="1968" w:name="DESCRIPTORALFABETICO604"/>
      <w:r w:rsidRPr="00234417">
        <w:rPr>
          <w:rStyle w:val="TextoNormalNegritaCaracter"/>
        </w:rPr>
        <w:t>Prescripción de infracciones penales</w:t>
      </w:r>
      <w:bookmarkEnd w:id="1968"/>
      <w:r w:rsidRPr="00234417">
        <w:rPr>
          <w:rStyle w:val="TextoNormalCaracter"/>
        </w:rPr>
        <w:t xml:space="preserve">, Auto </w:t>
      </w:r>
      <w:hyperlink w:anchor="AUTO_2013_28" w:history="1">
        <w:r w:rsidRPr="00234417">
          <w:rPr>
            <w:rStyle w:val="TextoNormalCaracter"/>
          </w:rPr>
          <w:t>28/2013</w:t>
        </w:r>
      </w:hyperlink>
      <w:r w:rsidRPr="00234417">
        <w:rPr>
          <w:rStyle w:val="TextoNormalCaracter"/>
        </w:rPr>
        <w:t>, f. 2, VP I.</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 </w:t>
      </w:r>
      <w:hyperlink w:anchor="SENTENCIA_2013_2" w:history="1">
        <w:r w:rsidRPr="00234417">
          <w:rPr>
            <w:rStyle w:val="TextoNormalCaracter"/>
          </w:rPr>
          <w:t>2/2013</w:t>
        </w:r>
      </w:hyperlink>
      <w:r w:rsidRPr="00234417">
        <w:rPr>
          <w:rStyle w:val="TextoNormalCaracter"/>
        </w:rPr>
        <w:t>, f. 7.</w:t>
      </w:r>
    </w:p>
    <w:p w:rsidR="00234417" w:rsidRPr="00234417" w:rsidRDefault="00234417" w:rsidP="00234417">
      <w:pPr>
        <w:pStyle w:val="TextoNormalSangraFrancesa"/>
        <w:rPr>
          <w:rStyle w:val="TextoNormalCaracter"/>
        </w:rPr>
      </w:pPr>
      <w:bookmarkStart w:id="1969" w:name="DESCRIPTORALFABETICO716"/>
      <w:r w:rsidRPr="00234417">
        <w:rPr>
          <w:rStyle w:val="TextoNormalNegritaCaracter"/>
        </w:rPr>
        <w:t>Prescripción de la pena</w:t>
      </w:r>
      <w:bookmarkEnd w:id="1969"/>
      <w:r w:rsidRPr="00234417">
        <w:rPr>
          <w:rStyle w:val="TextoNormalCaracter"/>
        </w:rPr>
        <w:t xml:space="preserve">, Sentencia </w:t>
      </w:r>
      <w:hyperlink w:anchor="SENTENCIA_2013_109" w:history="1">
        <w:r w:rsidRPr="00234417">
          <w:rPr>
            <w:rStyle w:val="TextoNormalCaracter"/>
          </w:rPr>
          <w:t>109/2013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1970" w:name="DESCRIPTORALFABETICO255"/>
      <w:r w:rsidRPr="00234417">
        <w:rPr>
          <w:rStyle w:val="TextoNormalNegritaCaracter"/>
        </w:rPr>
        <w:t>Presentación en la oficina de registro de tribunales civiles</w:t>
      </w:r>
      <w:bookmarkEnd w:id="1970"/>
      <w:r w:rsidRPr="00234417">
        <w:rPr>
          <w:rStyle w:val="TextoNormalCaracter"/>
        </w:rPr>
        <w:t xml:space="preserve">, Sentencia </w:t>
      </w:r>
      <w:hyperlink w:anchor="SENTENCIA_2013_88" w:history="1">
        <w:r w:rsidRPr="00234417">
          <w:rPr>
            <w:rStyle w:val="TextoNormalCaracter"/>
          </w:rPr>
          <w:t>88/2013</w:t>
        </w:r>
      </w:hyperlink>
      <w:r w:rsidRPr="00234417">
        <w:rPr>
          <w:rStyle w:val="TextoNormalCaracter"/>
        </w:rPr>
        <w:t>, ff. 2 a 5, VP I.</w:t>
      </w:r>
    </w:p>
    <w:p w:rsidR="00234417" w:rsidRPr="00234417" w:rsidRDefault="00234417" w:rsidP="00234417">
      <w:pPr>
        <w:pStyle w:val="TextoNormalSangraFrancesa"/>
        <w:rPr>
          <w:rStyle w:val="TextoNormalCaracter"/>
        </w:rPr>
      </w:pPr>
      <w:bookmarkStart w:id="1971" w:name="DESCRIPTORALFABETICO764"/>
      <w:r w:rsidRPr="00234417">
        <w:rPr>
          <w:rStyle w:val="TextoNormalNegritaCaracter"/>
        </w:rPr>
        <w:t>Prestaciones a personas en situación de dependencia</w:t>
      </w:r>
      <w:bookmarkEnd w:id="1971"/>
      <w:r w:rsidRPr="00234417">
        <w:rPr>
          <w:rStyle w:val="TextoNormalCaracter"/>
        </w:rPr>
        <w:t xml:space="preserve">, Sentencia </w:t>
      </w:r>
      <w:hyperlink w:anchor="SENTENCIA_2013_86" w:history="1">
        <w:r w:rsidRPr="00234417">
          <w:rPr>
            <w:rStyle w:val="TextoNormalCaracter"/>
          </w:rPr>
          <w:t>86/2013</w:t>
        </w:r>
      </w:hyperlink>
      <w:r w:rsidRPr="00234417">
        <w:rPr>
          <w:rStyle w:val="TextoNormalCaracter"/>
        </w:rPr>
        <w:t>, ff. 1 a 5.</w:t>
      </w:r>
    </w:p>
    <w:p w:rsidR="00234417" w:rsidRPr="00234417" w:rsidRDefault="00234417" w:rsidP="00234417">
      <w:pPr>
        <w:pStyle w:val="TextoNormalSangraFrancesa"/>
        <w:rPr>
          <w:rStyle w:val="TextoNormalCaracter"/>
        </w:rPr>
      </w:pPr>
      <w:bookmarkStart w:id="1972" w:name="DESCRIPTORALFABETICO762"/>
      <w:r w:rsidRPr="00234417">
        <w:rPr>
          <w:rStyle w:val="TextoNormalNegritaCaracter"/>
        </w:rPr>
        <w:t>Prestaciones contributivas</w:t>
      </w:r>
      <w:bookmarkEnd w:id="1972"/>
      <w:r w:rsidRPr="00234417">
        <w:rPr>
          <w:rStyle w:val="TextoNormalCaracter"/>
        </w:rPr>
        <w:t xml:space="preserve">, Sentencias </w:t>
      </w:r>
      <w:hyperlink w:anchor="SENTENCIA_2013_61" w:history="1">
        <w:r w:rsidRPr="00234417">
          <w:rPr>
            <w:rStyle w:val="TextoNormalCaracter"/>
          </w:rPr>
          <w:t>61/2013</w:t>
        </w:r>
      </w:hyperlink>
      <w:r w:rsidRPr="00234417">
        <w:rPr>
          <w:rStyle w:val="TextoNormalCaracter"/>
        </w:rPr>
        <w:t xml:space="preserve">, ff. 3 a 6; </w:t>
      </w:r>
      <w:hyperlink w:anchor="SENTENCIA_2013_71" w:history="1">
        <w:r w:rsidRPr="00234417">
          <w:rPr>
            <w:rStyle w:val="TextoNormalCaracter"/>
          </w:rPr>
          <w:t>71/2013</w:t>
        </w:r>
      </w:hyperlink>
      <w:r w:rsidRPr="00234417">
        <w:rPr>
          <w:rStyle w:val="TextoNormalCaracter"/>
        </w:rPr>
        <w:t xml:space="preserve">, f. 3; </w:t>
      </w:r>
      <w:hyperlink w:anchor="SENTENCIA_2013_72" w:history="1">
        <w:r w:rsidRPr="00234417">
          <w:rPr>
            <w:rStyle w:val="TextoNormalCaracter"/>
          </w:rPr>
          <w:t>72/2013</w:t>
        </w:r>
      </w:hyperlink>
      <w:r w:rsidRPr="00234417">
        <w:rPr>
          <w:rStyle w:val="TextoNormalCaracter"/>
        </w:rPr>
        <w:t xml:space="preserve">, f. 2; </w:t>
      </w:r>
      <w:hyperlink w:anchor="SENTENCIA_2013_116" w:history="1">
        <w:r w:rsidRPr="00234417">
          <w:rPr>
            <w:rStyle w:val="TextoNormalCaracter"/>
          </w:rPr>
          <w:t>116/2013</w:t>
        </w:r>
      </w:hyperlink>
      <w:r w:rsidRPr="00234417">
        <w:rPr>
          <w:rStyle w:val="TextoNormalCaracter"/>
        </w:rPr>
        <w:t xml:space="preserve">, f. 4; </w:t>
      </w:r>
      <w:hyperlink w:anchor="SENTENCIA_2013_117" w:history="1">
        <w:r w:rsidRPr="00234417">
          <w:rPr>
            <w:rStyle w:val="TextoNormalCaracter"/>
          </w:rPr>
          <w:t>117/2013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73" w:name="DESCRIPTORALFABETICO763"/>
      <w:r w:rsidRPr="00234417">
        <w:rPr>
          <w:rStyle w:val="TextoNormalNegritaCaracter"/>
        </w:rPr>
        <w:t>Prestaciones por desempleo</w:t>
      </w:r>
      <w:bookmarkEnd w:id="1973"/>
      <w:r w:rsidRPr="00234417">
        <w:rPr>
          <w:rStyle w:val="TextoNormalCaracter"/>
        </w:rPr>
        <w:t xml:space="preserve">, </w:t>
      </w:r>
    </w:p>
    <w:p w:rsidR="00234417" w:rsidRPr="00234417" w:rsidRDefault="00234417" w:rsidP="00234417">
      <w:pPr>
        <w:pStyle w:val="TextoNormalSangraFrancesa"/>
        <w:rPr>
          <w:rStyle w:val="TextoNormalCaracter"/>
        </w:rPr>
      </w:pPr>
      <w:r w:rsidRPr="00234417">
        <w:rPr>
          <w:rStyle w:val="TextoNormalCursivaCaracter"/>
        </w:rPr>
        <w:t xml:space="preserve">    Régimen jurídico, </w:t>
      </w:r>
      <w:r w:rsidRPr="00234417">
        <w:rPr>
          <w:rStyle w:val="TextoNormalCaracter"/>
        </w:rPr>
        <w:t xml:space="preserve">Sentencia </w:t>
      </w:r>
      <w:hyperlink w:anchor="SENTENCIA_2013_104" w:history="1">
        <w:r w:rsidRPr="00234417">
          <w:rPr>
            <w:rStyle w:val="TextoNormalCaracter"/>
          </w:rPr>
          <w:t>104/2013</w:t>
        </w:r>
      </w:hyperlink>
      <w:r w:rsidRPr="00234417">
        <w:rPr>
          <w:rStyle w:val="TextoNormalCaracter"/>
        </w:rPr>
        <w:t>, f. 4.</w:t>
      </w:r>
    </w:p>
    <w:p w:rsidR="00234417" w:rsidRPr="00234417" w:rsidRDefault="00234417" w:rsidP="00234417">
      <w:pPr>
        <w:pStyle w:val="TextoNormalSangraFrancesa"/>
        <w:rPr>
          <w:rStyle w:val="TextoNormalNegritaCaracter"/>
        </w:rPr>
      </w:pPr>
      <w:r w:rsidRPr="00234417">
        <w:rPr>
          <w:rStyle w:val="TextoNormalCursivaCaracter"/>
        </w:rPr>
        <w:t>Presunción de inocencia</w:t>
      </w:r>
      <w:r>
        <w:t xml:space="preserve"> véase </w:t>
      </w:r>
      <w:hyperlink w:anchor="DESCRIPTORALFABETICO150" w:history="1">
        <w:r w:rsidRPr="00234417">
          <w:rPr>
            <w:rStyle w:val="TextoNormalNegritaCaracter"/>
          </w:rPr>
          <w:t>Derecho a la presunción de inocencia</w:t>
        </w:r>
      </w:hyperlink>
    </w:p>
    <w:p w:rsidR="00234417" w:rsidRPr="00234417" w:rsidRDefault="00234417" w:rsidP="00234417">
      <w:pPr>
        <w:pStyle w:val="TextoNormalSangraFrancesa"/>
        <w:rPr>
          <w:rStyle w:val="TextoNormalCaracter"/>
        </w:rPr>
      </w:pPr>
      <w:bookmarkStart w:id="1974" w:name="DESCRIPTORALFABETICO654"/>
      <w:r w:rsidRPr="00234417">
        <w:rPr>
          <w:rStyle w:val="TextoNormalNegritaCaracter"/>
        </w:rPr>
        <w:t>Presupuesto habilitante</w:t>
      </w:r>
      <w:bookmarkEnd w:id="1974"/>
      <w:r w:rsidRPr="00234417">
        <w:rPr>
          <w:rStyle w:val="TextoNormalCaracter"/>
        </w:rPr>
        <w:t xml:space="preserve">, Sentencia </w:t>
      </w:r>
      <w:hyperlink w:anchor="SENTENCIA_2013_64" w:history="1">
        <w:r w:rsidRPr="00234417">
          <w:rPr>
            <w:rStyle w:val="TextoNormalCaracter"/>
          </w:rPr>
          <w:t>64/2013</w:t>
        </w:r>
      </w:hyperlink>
      <w:r w:rsidRPr="00234417">
        <w:rPr>
          <w:rStyle w:val="TextoNormalCaracter"/>
        </w:rPr>
        <w:t>, f. 2.</w:t>
      </w:r>
    </w:p>
    <w:p w:rsidR="00234417" w:rsidRPr="00234417" w:rsidRDefault="00234417" w:rsidP="00234417">
      <w:pPr>
        <w:pStyle w:val="TextoNormalSangraFrancesa"/>
        <w:rPr>
          <w:rStyle w:val="TextoNormalNegritaCaracter"/>
        </w:rPr>
      </w:pPr>
      <w:r w:rsidRPr="00234417">
        <w:rPr>
          <w:rStyle w:val="TextoNormalCursivaCaracter"/>
        </w:rPr>
        <w:t>Presupuestos procesales</w:t>
      </w:r>
      <w:r>
        <w:t xml:space="preserve"> véase </w:t>
      </w:r>
      <w:hyperlink w:anchor="DESCRIPTORALFABETICO878" w:history="1">
        <w:r w:rsidRPr="00234417">
          <w:rPr>
            <w:rStyle w:val="TextoNormalNegritaCaracter"/>
          </w:rPr>
          <w:t>Requisitos procesales</w:t>
        </w:r>
      </w:hyperlink>
    </w:p>
    <w:p w:rsidR="00234417" w:rsidRPr="00234417" w:rsidRDefault="00234417" w:rsidP="00234417">
      <w:pPr>
        <w:pStyle w:val="TextoNormalSangraFrancesa"/>
        <w:rPr>
          <w:rStyle w:val="TextoNormalCaracter"/>
        </w:rPr>
      </w:pPr>
      <w:bookmarkStart w:id="1975" w:name="DESCRIPTORALFABETICO104"/>
      <w:r w:rsidRPr="00234417">
        <w:rPr>
          <w:rStyle w:val="TextoNormalNegritaCaracter"/>
        </w:rPr>
        <w:t>Previsión de ingresos y gastos</w:t>
      </w:r>
      <w:bookmarkEnd w:id="1975"/>
      <w:r w:rsidRPr="00234417">
        <w:rPr>
          <w:rStyle w:val="TextoNormalCaracter"/>
        </w:rPr>
        <w:t xml:space="preserve">, Sentencia </w:t>
      </w:r>
      <w:hyperlink w:anchor="SENTENCIA_2013_101" w:history="1">
        <w:r w:rsidRPr="00234417">
          <w:rPr>
            <w:rStyle w:val="TextoNormalCaracter"/>
          </w:rPr>
          <w:t>101/2013</w:t>
        </w:r>
      </w:hyperlink>
      <w:r w:rsidRPr="00234417">
        <w:rPr>
          <w:rStyle w:val="TextoNormalCaracter"/>
        </w:rPr>
        <w:t>, f. 11.</w:t>
      </w:r>
    </w:p>
    <w:p w:rsidR="00234417" w:rsidRPr="00234417" w:rsidRDefault="00234417" w:rsidP="00234417">
      <w:pPr>
        <w:pStyle w:val="TextoNormalSangraFrancesa"/>
        <w:rPr>
          <w:rStyle w:val="TextoNormalCaracter"/>
        </w:rPr>
      </w:pPr>
      <w:bookmarkStart w:id="1976" w:name="DESCRIPTORALFABETICO867"/>
      <w:r w:rsidRPr="00234417">
        <w:rPr>
          <w:rStyle w:val="TextoNormalNegritaCaracter"/>
        </w:rPr>
        <w:t>Principio acusatorio</w:t>
      </w:r>
      <w:bookmarkEnd w:id="1976"/>
      <w:r w:rsidRPr="00234417">
        <w:rPr>
          <w:rStyle w:val="TextoNormalCaracter"/>
        </w:rPr>
        <w:t xml:space="preserve">, Sentencia </w:t>
      </w:r>
      <w:hyperlink w:anchor="SENTENCIA_2013_43" w:history="1">
        <w:r w:rsidRPr="00234417">
          <w:rPr>
            <w:rStyle w:val="TextoNormalCaracter"/>
          </w:rPr>
          <w:t>43/2013</w:t>
        </w:r>
      </w:hyperlink>
      <w:r w:rsidRPr="00234417">
        <w:rPr>
          <w:rStyle w:val="TextoNormalCaracter"/>
        </w:rPr>
        <w:t>, ff. 3, 4.</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 </w:t>
      </w:r>
      <w:hyperlink w:anchor="SENTENCIA_2013_75" w:history="1">
        <w:r w:rsidRPr="00234417">
          <w:rPr>
            <w:rStyle w:val="TextoNormalCaracter"/>
          </w:rPr>
          <w:t>75/2013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77" w:name="DESCRIPTORALFABETICO496"/>
      <w:r w:rsidRPr="00234417">
        <w:rPr>
          <w:rStyle w:val="TextoNormalNegritaCaracter"/>
        </w:rPr>
        <w:t>Principio de autonomía de la voluntad</w:t>
      </w:r>
      <w:bookmarkEnd w:id="1977"/>
      <w:r w:rsidRPr="00234417">
        <w:rPr>
          <w:rStyle w:val="TextoNormalCaracter"/>
        </w:rPr>
        <w:t xml:space="preserve">, Sentencia </w:t>
      </w:r>
      <w:hyperlink w:anchor="SENTENCIA_2013_93" w:history="1">
        <w:r w:rsidRPr="00234417">
          <w:rPr>
            <w:rStyle w:val="TextoNormalCaracter"/>
          </w:rPr>
          <w:t>93/2013</w:t>
        </w:r>
      </w:hyperlink>
      <w:r w:rsidRPr="00234417">
        <w:rPr>
          <w:rStyle w:val="TextoNormalCaracter"/>
        </w:rPr>
        <w:t>, ff. 7 a 11.</w:t>
      </w:r>
    </w:p>
    <w:p w:rsidR="00234417" w:rsidRPr="00234417" w:rsidRDefault="00234417" w:rsidP="00234417">
      <w:pPr>
        <w:pStyle w:val="TextoNormalSangraFrancesa"/>
        <w:rPr>
          <w:rStyle w:val="TextoNormalCaracter"/>
        </w:rPr>
      </w:pPr>
      <w:bookmarkStart w:id="1978" w:name="DESCRIPTORALFABETICO113"/>
      <w:r w:rsidRPr="00234417">
        <w:rPr>
          <w:rStyle w:val="TextoNormalNegritaCaracter"/>
        </w:rPr>
        <w:t>Principio de capacidad económica</w:t>
      </w:r>
      <w:bookmarkEnd w:id="1978"/>
      <w:r w:rsidRPr="00234417">
        <w:rPr>
          <w:rStyle w:val="TextoNormalCaracter"/>
        </w:rPr>
        <w:t xml:space="preserve">, Sentencia </w:t>
      </w:r>
      <w:hyperlink w:anchor="SENTENCIA_2013_85" w:history="1">
        <w:r w:rsidRPr="00234417">
          <w:rPr>
            <w:rStyle w:val="TextoNormalCaracter"/>
          </w:rPr>
          <w:t>85/2013</w:t>
        </w:r>
      </w:hyperlink>
      <w:r w:rsidRPr="00234417">
        <w:rPr>
          <w:rStyle w:val="TextoNormalCaracter"/>
        </w:rPr>
        <w:t>, f. 6.</w:t>
      </w:r>
    </w:p>
    <w:p w:rsidR="00234417" w:rsidRPr="00234417" w:rsidRDefault="00234417" w:rsidP="00234417">
      <w:pPr>
        <w:pStyle w:val="TextoNormalSangraFrancesa"/>
        <w:rPr>
          <w:rStyle w:val="TextoNormalCaracter"/>
        </w:rPr>
      </w:pPr>
      <w:bookmarkStart w:id="1979" w:name="DESCRIPTORALFABETICO868"/>
      <w:r w:rsidRPr="00234417">
        <w:rPr>
          <w:rStyle w:val="TextoNormalNegritaCaracter"/>
        </w:rPr>
        <w:t>Principio de congruencia</w:t>
      </w:r>
      <w:bookmarkEnd w:id="1979"/>
      <w:r w:rsidRPr="00234417">
        <w:rPr>
          <w:rStyle w:val="TextoNormalCaracter"/>
        </w:rPr>
        <w:t xml:space="preserve">, Sentencia </w:t>
      </w:r>
      <w:hyperlink w:anchor="SENTENCIA_2013_75" w:history="1">
        <w:r w:rsidRPr="00234417">
          <w:rPr>
            <w:rStyle w:val="TextoNormalCaracter"/>
          </w:rPr>
          <w:t>75/2013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80" w:name="DESCRIPTORALFABETICO869"/>
      <w:r w:rsidRPr="00234417">
        <w:rPr>
          <w:rStyle w:val="TextoNormalNegritaCaracter"/>
        </w:rPr>
        <w:t>Principio de contradicción</w:t>
      </w:r>
      <w:bookmarkEnd w:id="1980"/>
      <w:r w:rsidRPr="00234417">
        <w:rPr>
          <w:rStyle w:val="TextoNormalCaracter"/>
        </w:rPr>
        <w:t xml:space="preserve">, Sentencias </w:t>
      </w:r>
      <w:hyperlink w:anchor="SENTENCIA_2013_43" w:history="1">
        <w:r w:rsidRPr="00234417">
          <w:rPr>
            <w:rStyle w:val="TextoNormalCaracter"/>
          </w:rPr>
          <w:t>43/2013</w:t>
        </w:r>
      </w:hyperlink>
      <w:r w:rsidRPr="00234417">
        <w:rPr>
          <w:rStyle w:val="TextoNormalCaracter"/>
        </w:rPr>
        <w:t xml:space="preserve">, ff. 3 a 6; </w:t>
      </w:r>
      <w:hyperlink w:anchor="SENTENCIA_2013_57" w:history="1">
        <w:r w:rsidRPr="00234417">
          <w:rPr>
            <w:rStyle w:val="TextoNormalCaracter"/>
          </w:rPr>
          <w:t>57/2013</w:t>
        </w:r>
      </w:hyperlink>
      <w:r w:rsidRPr="00234417">
        <w:rPr>
          <w:rStyle w:val="TextoNormalCaracter"/>
        </w:rPr>
        <w:t xml:space="preserve">, ff. 3 a 6; </w:t>
      </w:r>
      <w:hyperlink w:anchor="SENTENCIA_2013_75" w:history="1">
        <w:r w:rsidRPr="00234417">
          <w:rPr>
            <w:rStyle w:val="TextoNormalCaracter"/>
          </w:rPr>
          <w:t>75/2013</w:t>
        </w:r>
      </w:hyperlink>
      <w:r w:rsidRPr="00234417">
        <w:rPr>
          <w:rStyle w:val="TextoNormalCaracter"/>
        </w:rPr>
        <w:t xml:space="preserve">, f. 2; </w:t>
      </w:r>
      <w:hyperlink w:anchor="SENTENCIA_2013_105" w:history="1">
        <w:r w:rsidRPr="00234417">
          <w:rPr>
            <w:rStyle w:val="TextoNormalCaracter"/>
          </w:rPr>
          <w:t>105/2013</w:t>
        </w:r>
      </w:hyperlink>
      <w:r w:rsidRPr="00234417">
        <w:rPr>
          <w:rStyle w:val="TextoNormalCaracter"/>
        </w:rPr>
        <w:t xml:space="preserve">, ff. 2 a 4; </w:t>
      </w:r>
      <w:hyperlink w:anchor="SENTENCIA_2013_118" w:history="1">
        <w:r w:rsidRPr="00234417">
          <w:rPr>
            <w:rStyle w:val="TextoNormalCaracter"/>
          </w:rPr>
          <w:t>118/2013</w:t>
        </w:r>
      </w:hyperlink>
      <w:r w:rsidRPr="00234417">
        <w:rPr>
          <w:rStyle w:val="TextoNormalCaracter"/>
        </w:rPr>
        <w:t xml:space="preserve">, ff. 3, 4; </w:t>
      </w:r>
      <w:hyperlink w:anchor="SENTENCIA_2013_119" w:history="1">
        <w:r w:rsidRPr="00234417">
          <w:rPr>
            <w:rStyle w:val="TextoNormalCaracter"/>
          </w:rPr>
          <w:t>119/2013</w:t>
        </w:r>
      </w:hyperlink>
      <w:r w:rsidRPr="00234417">
        <w:rPr>
          <w:rStyle w:val="TextoNormalCaracter"/>
        </w:rPr>
        <w:t xml:space="preserve">, ff. 3, 4; </w:t>
      </w:r>
      <w:hyperlink w:anchor="SENTENCIA_2013_120" w:history="1">
        <w:r w:rsidRPr="00234417">
          <w:rPr>
            <w:rStyle w:val="TextoNormalCaracter"/>
          </w:rPr>
          <w:t>120/2013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1981" w:name="DESCRIPTORALFABETICO765"/>
      <w:r w:rsidRPr="00234417">
        <w:rPr>
          <w:rStyle w:val="TextoNormalNegritaCaracter"/>
        </w:rPr>
        <w:t>Principio de contributividad</w:t>
      </w:r>
      <w:bookmarkEnd w:id="1981"/>
      <w:r w:rsidRPr="00234417">
        <w:rPr>
          <w:rStyle w:val="TextoNormalCaracter"/>
        </w:rPr>
        <w:t xml:space="preserve">, Sentencia </w:t>
      </w:r>
      <w:hyperlink w:anchor="SENTENCIA_2013_61" w:history="1">
        <w:r w:rsidRPr="00234417">
          <w:rPr>
            <w:rStyle w:val="TextoNormalCaracter"/>
          </w:rPr>
          <w:t>61/2013</w:t>
        </w:r>
      </w:hyperlink>
      <w:r w:rsidRPr="00234417">
        <w:rPr>
          <w:rStyle w:val="TextoNormalCaracter"/>
        </w:rPr>
        <w:t>, ff. 3, 6.</w:t>
      </w:r>
    </w:p>
    <w:p w:rsidR="00234417" w:rsidRPr="00234417" w:rsidRDefault="00234417" w:rsidP="00234417">
      <w:pPr>
        <w:pStyle w:val="TextoNormalSangraFrancesa"/>
        <w:rPr>
          <w:rStyle w:val="TextoNormalCaracter"/>
        </w:rPr>
      </w:pPr>
      <w:bookmarkStart w:id="1982" w:name="DESCRIPTORALFABETICO365"/>
      <w:r w:rsidRPr="00234417">
        <w:rPr>
          <w:rStyle w:val="TextoNormalNegritaCaracter"/>
        </w:rPr>
        <w:t>Principio de cooperación</w:t>
      </w:r>
      <w:bookmarkEnd w:id="1982"/>
      <w:r w:rsidRPr="00234417">
        <w:rPr>
          <w:rStyle w:val="TextoNormalCaracter"/>
        </w:rPr>
        <w:t xml:space="preserve">, Sentencia </w:t>
      </w:r>
      <w:hyperlink w:anchor="SENTENCIA_2013_19" w:history="1">
        <w:r w:rsidRPr="00234417">
          <w:rPr>
            <w:rStyle w:val="TextoNormalCaracter"/>
          </w:rPr>
          <w:t>19/2013</w:t>
        </w:r>
      </w:hyperlink>
      <w:r w:rsidRPr="00234417">
        <w:rPr>
          <w:rStyle w:val="TextoNormalCaracter"/>
        </w:rPr>
        <w:t>, f. 3.</w:t>
      </w:r>
    </w:p>
    <w:p w:rsidR="00234417" w:rsidRPr="00234417" w:rsidRDefault="00234417" w:rsidP="00234417">
      <w:pPr>
        <w:pStyle w:val="TextoNormalSangraFrancesa"/>
        <w:rPr>
          <w:rStyle w:val="TextoNormalCaracter"/>
        </w:rPr>
      </w:pPr>
      <w:bookmarkStart w:id="1983" w:name="DESCRIPTORALFABETICO370"/>
      <w:r w:rsidRPr="00234417">
        <w:rPr>
          <w:rStyle w:val="TextoNormalNegritaCaracter"/>
        </w:rPr>
        <w:t>Principio de eficiencia en el gasto público</w:t>
      </w:r>
      <w:bookmarkEnd w:id="1983"/>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 2; </w:t>
      </w:r>
      <w:hyperlink w:anchor="SENTENCIA_2013_130" w:history="1">
        <w:r w:rsidRPr="00234417">
          <w:rPr>
            <w:rStyle w:val="TextoNormalCaracter"/>
          </w:rPr>
          <w:t>130/2013</w:t>
        </w:r>
      </w:hyperlink>
      <w:r w:rsidRPr="00234417">
        <w:rPr>
          <w:rStyle w:val="TextoNormalCaracter"/>
        </w:rPr>
        <w:t xml:space="preserve">, ff. 5, 6; </w:t>
      </w:r>
      <w:hyperlink w:anchor="SENTENCIA_2013_135" w:history="1">
        <w:r w:rsidRPr="00234417">
          <w:rPr>
            <w:rStyle w:val="TextoNormalCaracter"/>
          </w:rPr>
          <w:t>135/2013</w:t>
        </w:r>
      </w:hyperlink>
      <w:r w:rsidRPr="00234417">
        <w:rPr>
          <w:rStyle w:val="TextoNormalCaracter"/>
        </w:rPr>
        <w:t>, f. 3.</w:t>
      </w:r>
    </w:p>
    <w:p w:rsidR="00234417" w:rsidRPr="00234417" w:rsidRDefault="00234417" w:rsidP="00234417">
      <w:pPr>
        <w:pStyle w:val="TextoNormalSangraFrancesa"/>
        <w:rPr>
          <w:rStyle w:val="TextoNormalCaracter"/>
        </w:rPr>
      </w:pPr>
      <w:bookmarkStart w:id="1984" w:name="DESCRIPTORALFABETICO105"/>
      <w:r w:rsidRPr="00234417">
        <w:rPr>
          <w:rStyle w:val="TextoNormalNegritaCaracter"/>
        </w:rPr>
        <w:t>Principio de estabilidad presupuestaria</w:t>
      </w:r>
      <w:bookmarkEnd w:id="1984"/>
      <w:r w:rsidRPr="00234417">
        <w:rPr>
          <w:rStyle w:val="TextoNormalCaracter"/>
        </w:rPr>
        <w:t xml:space="preserve">, Autos </w:t>
      </w:r>
      <w:hyperlink w:anchor="AUTO_2013_86" w:history="1">
        <w:r w:rsidRPr="00234417">
          <w:rPr>
            <w:rStyle w:val="TextoNormalCaracter"/>
          </w:rPr>
          <w:t>86/2013</w:t>
        </w:r>
      </w:hyperlink>
      <w:r w:rsidRPr="00234417">
        <w:rPr>
          <w:rStyle w:val="TextoNormalCaracter"/>
        </w:rPr>
        <w:t xml:space="preserve">, ff. 4 a 6; </w:t>
      </w:r>
      <w:hyperlink w:anchor="AUTO_2013_122" w:history="1">
        <w:r w:rsidRPr="00234417">
          <w:rPr>
            <w:rStyle w:val="TextoNormalCaracter"/>
          </w:rPr>
          <w:t>122/2013</w:t>
        </w:r>
      </w:hyperlink>
      <w:r w:rsidRPr="00234417">
        <w:rPr>
          <w:rStyle w:val="TextoNormalCaracter"/>
        </w:rPr>
        <w:t xml:space="preserve">, f. 4; </w:t>
      </w:r>
      <w:hyperlink w:anchor="AUTO_2013_123" w:history="1">
        <w:r w:rsidRPr="00234417">
          <w:rPr>
            <w:rStyle w:val="TextoNormalCaracter"/>
          </w:rPr>
          <w:t>123/2013</w:t>
        </w:r>
      </w:hyperlink>
      <w:r w:rsidRPr="00234417">
        <w:rPr>
          <w:rStyle w:val="TextoNormalCaracter"/>
        </w:rPr>
        <w:t>, f. 4.</w:t>
      </w:r>
    </w:p>
    <w:p w:rsidR="00234417" w:rsidRPr="00234417" w:rsidRDefault="00234417" w:rsidP="00234417">
      <w:pPr>
        <w:pStyle w:val="TextoNormalSangraFrancesa"/>
        <w:rPr>
          <w:rStyle w:val="TextoNormalCaracter"/>
        </w:rPr>
      </w:pPr>
      <w:bookmarkStart w:id="1985" w:name="DESCRIPTORALFABETICO409"/>
      <w:r w:rsidRPr="00234417">
        <w:rPr>
          <w:rStyle w:val="TextoNormalNegritaCaracter"/>
        </w:rPr>
        <w:t>Principio de igualdad</w:t>
      </w:r>
      <w:bookmarkEnd w:id="1985"/>
      <w:r w:rsidRPr="00234417">
        <w:rPr>
          <w:rStyle w:val="TextoNormalCaracter"/>
        </w:rPr>
        <w:t xml:space="preserve">, Sentencias </w:t>
      </w:r>
      <w:hyperlink w:anchor="SENTENCIA_2013_15" w:history="1">
        <w:r w:rsidRPr="00234417">
          <w:rPr>
            <w:rStyle w:val="TextoNormalCaracter"/>
          </w:rPr>
          <w:t>15/2013</w:t>
        </w:r>
      </w:hyperlink>
      <w:r w:rsidRPr="00234417">
        <w:rPr>
          <w:rStyle w:val="TextoNormalCaracter"/>
        </w:rPr>
        <w:t xml:space="preserve">, f. 4; </w:t>
      </w:r>
      <w:hyperlink w:anchor="SENTENCIA_2013_20" w:history="1">
        <w:r w:rsidRPr="00234417">
          <w:rPr>
            <w:rStyle w:val="TextoNormalCaracter"/>
          </w:rPr>
          <w:t>20/2013</w:t>
        </w:r>
      </w:hyperlink>
      <w:r w:rsidRPr="00234417">
        <w:rPr>
          <w:rStyle w:val="TextoNormalCaracter"/>
        </w:rPr>
        <w:t xml:space="preserve">, f. 10; </w:t>
      </w:r>
      <w:hyperlink w:anchor="SENTENCIA_2013_24" w:history="1">
        <w:r w:rsidRPr="00234417">
          <w:rPr>
            <w:rStyle w:val="TextoNormalCaracter"/>
          </w:rPr>
          <w:t>24/2013</w:t>
        </w:r>
      </w:hyperlink>
      <w:r w:rsidRPr="00234417">
        <w:rPr>
          <w:rStyle w:val="TextoNormalCaracter"/>
        </w:rPr>
        <w:t xml:space="preserve">, f. 7; </w:t>
      </w:r>
      <w:hyperlink w:anchor="SENTENCIA_2013_48" w:history="1">
        <w:r w:rsidRPr="00234417">
          <w:rPr>
            <w:rStyle w:val="TextoNormalCaracter"/>
          </w:rPr>
          <w:t>48/2013</w:t>
        </w:r>
      </w:hyperlink>
      <w:r w:rsidRPr="00234417">
        <w:rPr>
          <w:rStyle w:val="TextoNormalCaracter"/>
        </w:rPr>
        <w:t xml:space="preserve">, ff. 3, 4;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xml:space="preserve">, f. 4; </w:t>
      </w:r>
      <w:hyperlink w:anchor="SENTENCIA_2013_98" w:history="1">
        <w:r w:rsidRPr="00234417">
          <w:rPr>
            <w:rStyle w:val="TextoNormalCaracter"/>
          </w:rPr>
          <w:t>98/2013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986" w:name="DESCRIPTORALFABETICO870"/>
      <w:r w:rsidRPr="00234417">
        <w:rPr>
          <w:rStyle w:val="TextoNormalNegritaCaracter"/>
        </w:rPr>
        <w:t>Principio de inmediación</w:t>
      </w:r>
      <w:bookmarkEnd w:id="1986"/>
      <w:r w:rsidRPr="00234417">
        <w:rPr>
          <w:rStyle w:val="TextoNormalCaracter"/>
        </w:rPr>
        <w:t xml:space="preserve">, Sentencias </w:t>
      </w:r>
      <w:hyperlink w:anchor="SENTENCIA_2013_22" w:history="1">
        <w:r w:rsidRPr="00234417">
          <w:rPr>
            <w:rStyle w:val="TextoNormalCaracter"/>
          </w:rPr>
          <w:t>22/2013</w:t>
        </w:r>
      </w:hyperlink>
      <w:r w:rsidRPr="00234417">
        <w:rPr>
          <w:rStyle w:val="TextoNormalCaracter"/>
        </w:rPr>
        <w:t xml:space="preserve">, f. 3; </w:t>
      </w:r>
      <w:hyperlink w:anchor="SENTENCIA_2013_43" w:history="1">
        <w:r w:rsidRPr="00234417">
          <w:rPr>
            <w:rStyle w:val="TextoNormalCaracter"/>
          </w:rPr>
          <w:t>43/2013</w:t>
        </w:r>
      </w:hyperlink>
      <w:r w:rsidRPr="00234417">
        <w:rPr>
          <w:rStyle w:val="TextoNormalCaracter"/>
        </w:rPr>
        <w:t xml:space="preserve">, ff. 3, 5 a 7; </w:t>
      </w:r>
      <w:hyperlink w:anchor="SENTENCIA_2013_53" w:history="1">
        <w:r w:rsidRPr="00234417">
          <w:rPr>
            <w:rStyle w:val="TextoNormalCaracter"/>
          </w:rPr>
          <w:t>53/2013</w:t>
        </w:r>
      </w:hyperlink>
      <w:r w:rsidRPr="00234417">
        <w:rPr>
          <w:rStyle w:val="TextoNormalCaracter"/>
        </w:rPr>
        <w:t xml:space="preserve">, ff. 3, 7; </w:t>
      </w:r>
      <w:hyperlink w:anchor="SENTENCIA_2013_105" w:history="1">
        <w:r w:rsidRPr="00234417">
          <w:rPr>
            <w:rStyle w:val="TextoNormalCaracter"/>
          </w:rPr>
          <w:t>105/2013</w:t>
        </w:r>
      </w:hyperlink>
      <w:r w:rsidRPr="00234417">
        <w:rPr>
          <w:rStyle w:val="TextoNormalCaracter"/>
        </w:rPr>
        <w:t xml:space="preserve">, ff. 2, 3, 5, 7 a 9; </w:t>
      </w:r>
      <w:hyperlink w:anchor="SENTENCIA_2013_118" w:history="1">
        <w:r w:rsidRPr="00234417">
          <w:rPr>
            <w:rStyle w:val="TextoNormalCaracter"/>
          </w:rPr>
          <w:t>118/2013</w:t>
        </w:r>
      </w:hyperlink>
      <w:r w:rsidRPr="00234417">
        <w:rPr>
          <w:rStyle w:val="TextoNormalCaracter"/>
        </w:rPr>
        <w:t xml:space="preserve">, ff. 3 a 5; </w:t>
      </w:r>
      <w:hyperlink w:anchor="SENTENCIA_2013_119" w:history="1">
        <w:r w:rsidRPr="00234417">
          <w:rPr>
            <w:rStyle w:val="TextoNormalCaracter"/>
          </w:rPr>
          <w:t>119/2013</w:t>
        </w:r>
      </w:hyperlink>
      <w:r w:rsidRPr="00234417">
        <w:rPr>
          <w:rStyle w:val="TextoNormalCaracter"/>
        </w:rPr>
        <w:t xml:space="preserve">, ff. 3 a 5; </w:t>
      </w:r>
      <w:hyperlink w:anchor="SENTENCIA_2013_120" w:history="1">
        <w:r w:rsidRPr="00234417">
          <w:rPr>
            <w:rStyle w:val="TextoNormalCaracter"/>
          </w:rPr>
          <w:t>120/2013</w:t>
        </w:r>
      </w:hyperlink>
      <w:r w:rsidRPr="00234417">
        <w:rPr>
          <w:rStyle w:val="TextoNormalCaracter"/>
        </w:rPr>
        <w:t xml:space="preserve">, ff. 3 a 5; </w:t>
      </w:r>
      <w:hyperlink w:anchor="SENTENCIA_2013_126" w:history="1">
        <w:r w:rsidRPr="00234417">
          <w:rPr>
            <w:rStyle w:val="TextoNormalCaracter"/>
          </w:rPr>
          <w:t>126/2013</w:t>
        </w:r>
      </w:hyperlink>
      <w:r w:rsidRPr="00234417">
        <w:rPr>
          <w:rStyle w:val="TextoNormalCaracter"/>
        </w:rPr>
        <w:t>, f. 3.</w:t>
      </w:r>
    </w:p>
    <w:p w:rsidR="00234417" w:rsidRPr="00234417" w:rsidRDefault="00234417" w:rsidP="00234417">
      <w:pPr>
        <w:pStyle w:val="TextoNormalSangraFrancesa"/>
        <w:rPr>
          <w:rStyle w:val="TextoNormalCaracter"/>
        </w:rPr>
      </w:pPr>
      <w:bookmarkStart w:id="1987" w:name="DESCRIPTORALFABETICO410"/>
      <w:r w:rsidRPr="00234417">
        <w:rPr>
          <w:rStyle w:val="TextoNormalNegritaCaracter"/>
        </w:rPr>
        <w:t>Principio de interdicción de la arbitrariedad</w:t>
      </w:r>
      <w:bookmarkEnd w:id="1987"/>
      <w:r w:rsidRPr="00234417">
        <w:rPr>
          <w:rStyle w:val="TextoNormalCaracter"/>
        </w:rPr>
        <w:t xml:space="preserve">, Sentencias </w:t>
      </w:r>
      <w:hyperlink w:anchor="SENTENCIA_2013_20" w:history="1">
        <w:r w:rsidRPr="00234417">
          <w:rPr>
            <w:rStyle w:val="TextoNormalCaracter"/>
          </w:rPr>
          <w:t>20/2013</w:t>
        </w:r>
      </w:hyperlink>
      <w:r w:rsidRPr="00234417">
        <w:rPr>
          <w:rStyle w:val="TextoNormalCaracter"/>
        </w:rPr>
        <w:t xml:space="preserve">, ff. 3, 8, 10;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xml:space="preserve">, f. 4; </w:t>
      </w:r>
      <w:hyperlink w:anchor="SENTENCIA_2013_111" w:history="1">
        <w:r w:rsidRPr="00234417">
          <w:rPr>
            <w:rStyle w:val="TextoNormalCaracter"/>
          </w:rPr>
          <w:t>111/2013</w:t>
        </w:r>
      </w:hyperlink>
      <w:r w:rsidRPr="00234417">
        <w:rPr>
          <w:rStyle w:val="TextoNormalCaracter"/>
        </w:rPr>
        <w:t>, f. 5.</w:t>
      </w:r>
    </w:p>
    <w:p w:rsidR="00234417" w:rsidRPr="00234417" w:rsidRDefault="00234417" w:rsidP="00234417">
      <w:pPr>
        <w:pStyle w:val="TextoNormalSangraFrancesa"/>
        <w:rPr>
          <w:rStyle w:val="TextoNormalCaracter"/>
        </w:rPr>
      </w:pPr>
      <w:bookmarkStart w:id="1988" w:name="DESCRIPTORALFABETICO413"/>
      <w:r w:rsidRPr="00234417">
        <w:rPr>
          <w:rStyle w:val="TextoNormalNegritaCaracter"/>
        </w:rPr>
        <w:t>Principio de legalidad</w:t>
      </w:r>
      <w:bookmarkEnd w:id="1988"/>
      <w:r w:rsidRPr="00234417">
        <w:rPr>
          <w:rStyle w:val="TextoNormalCaracter"/>
        </w:rPr>
        <w:t xml:space="preserve">, Sentencias </w:t>
      </w:r>
      <w:hyperlink w:anchor="SENTENCIA_2013_130" w:history="1">
        <w:r w:rsidRPr="00234417">
          <w:rPr>
            <w:rStyle w:val="TextoNormalCaracter"/>
          </w:rPr>
          <w:t>130/2013</w:t>
        </w:r>
      </w:hyperlink>
      <w:r w:rsidRPr="00234417">
        <w:rPr>
          <w:rStyle w:val="TextoNormalCaracter"/>
        </w:rPr>
        <w:t xml:space="preserve">, f. 5; </w:t>
      </w:r>
      <w:hyperlink w:anchor="SENTENCIA_2013_135" w:history="1">
        <w:r w:rsidRPr="00234417">
          <w:rPr>
            <w:rStyle w:val="TextoNormalCaracter"/>
          </w:rPr>
          <w:t>135/2013</w:t>
        </w:r>
      </w:hyperlink>
      <w:r w:rsidRPr="00234417">
        <w:rPr>
          <w:rStyle w:val="TextoNormalCaracter"/>
        </w:rPr>
        <w:t>, f. 5.</w:t>
      </w:r>
    </w:p>
    <w:p w:rsidR="00234417" w:rsidRPr="00234417" w:rsidRDefault="00234417" w:rsidP="00234417">
      <w:pPr>
        <w:pStyle w:val="TextoNormalSangraFrancesa"/>
        <w:rPr>
          <w:rStyle w:val="TextoNormalCaracter"/>
        </w:rPr>
      </w:pPr>
      <w:bookmarkStart w:id="1989" w:name="DESCRIPTORALFABETICO902"/>
      <w:r w:rsidRPr="00234417">
        <w:rPr>
          <w:rStyle w:val="TextoNormalNegritaCaracter"/>
        </w:rPr>
        <w:t>Principio de legalidad extradicional</w:t>
      </w:r>
      <w:bookmarkEnd w:id="1989"/>
      <w:r w:rsidRPr="00234417">
        <w:rPr>
          <w:rStyle w:val="TextoNormalCaracter"/>
        </w:rPr>
        <w:t xml:space="preserve">, Sentencia </w:t>
      </w:r>
      <w:hyperlink w:anchor="SENTENCIA_2013_31" w:history="1">
        <w:r w:rsidRPr="00234417">
          <w:rPr>
            <w:rStyle w:val="TextoNormalCaracter"/>
          </w:rPr>
          <w:t>31/2013</w:t>
        </w:r>
      </w:hyperlink>
      <w:r w:rsidRPr="00234417">
        <w:rPr>
          <w:rStyle w:val="TextoNormalCaracter"/>
        </w:rPr>
        <w:t>, f. 1.</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2" w:history="1">
        <w:r w:rsidRPr="00234417">
          <w:rPr>
            <w:rStyle w:val="TextoNormalCaracter"/>
          </w:rPr>
          <w:t>2/2013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90" w:name="DESCRIPTORALFABETICO414"/>
      <w:r w:rsidRPr="00234417">
        <w:rPr>
          <w:rStyle w:val="TextoNormalNegritaCaracter"/>
        </w:rPr>
        <w:lastRenderedPageBreak/>
        <w:t>Principio de legalidad penal</w:t>
      </w:r>
      <w:bookmarkEnd w:id="1990"/>
      <w:r w:rsidRPr="00234417">
        <w:rPr>
          <w:rStyle w:val="TextoNormalCaracter"/>
        </w:rPr>
        <w:t xml:space="preserve">, Sentencia </w:t>
      </w:r>
      <w:hyperlink w:anchor="SENTENCIA_2013_109" w:history="1">
        <w:r w:rsidRPr="00234417">
          <w:rPr>
            <w:rStyle w:val="TextoNormalCaracter"/>
          </w:rPr>
          <w:t>109/2013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1991" w:name="DESCRIPTORALFABETICO418"/>
      <w:r w:rsidRPr="00234417">
        <w:rPr>
          <w:rStyle w:val="TextoNormalNegritaCaracter"/>
        </w:rPr>
        <w:t>Principio de legalidad sancionadora</w:t>
      </w:r>
      <w:bookmarkEnd w:id="1991"/>
      <w:r w:rsidRPr="00234417">
        <w:rPr>
          <w:rStyle w:val="TextoNormalCaracter"/>
        </w:rPr>
        <w:t xml:space="preserve">, Sentencias </w:t>
      </w:r>
      <w:hyperlink w:anchor="SENTENCIA_2013_13" w:history="1">
        <w:r w:rsidRPr="00234417">
          <w:rPr>
            <w:rStyle w:val="TextoNormalCaracter"/>
          </w:rPr>
          <w:t>13/2013</w:t>
        </w:r>
      </w:hyperlink>
      <w:r w:rsidRPr="00234417">
        <w:rPr>
          <w:rStyle w:val="TextoNormalCaracter"/>
        </w:rPr>
        <w:t xml:space="preserve">, ff. 2, 3, 4; </w:t>
      </w:r>
      <w:hyperlink w:anchor="SENTENCIA_2013_30" w:history="1">
        <w:r w:rsidRPr="00234417">
          <w:rPr>
            <w:rStyle w:val="TextoNormalCaracter"/>
          </w:rPr>
          <w:t>30/2013</w:t>
        </w:r>
      </w:hyperlink>
      <w:r w:rsidRPr="00234417">
        <w:rPr>
          <w:rStyle w:val="TextoNormalCaracter"/>
        </w:rPr>
        <w:t xml:space="preserve">, ff. 1 a 3; </w:t>
      </w:r>
      <w:hyperlink w:anchor="SENTENCIA_2013_34" w:history="1">
        <w:r w:rsidRPr="00234417">
          <w:rPr>
            <w:rStyle w:val="TextoNormalCaracter"/>
          </w:rPr>
          <w:t>34/2013</w:t>
        </w:r>
      </w:hyperlink>
      <w:r w:rsidRPr="00234417">
        <w:rPr>
          <w:rStyle w:val="TextoNormalCaracter"/>
        </w:rPr>
        <w:t xml:space="preserve">, f. 19; </w:t>
      </w:r>
      <w:hyperlink w:anchor="SENTENCIA_2013_45" w:history="1">
        <w:r w:rsidRPr="00234417">
          <w:rPr>
            <w:rStyle w:val="TextoNormalCaracter"/>
          </w:rPr>
          <w:t>45/2013</w:t>
        </w:r>
      </w:hyperlink>
      <w:r w:rsidRPr="00234417">
        <w:rPr>
          <w:rStyle w:val="TextoNormalCaracter"/>
        </w:rPr>
        <w:t xml:space="preserve">, f. 2; </w:t>
      </w:r>
      <w:hyperlink w:anchor="SENTENCIA_2013_107" w:history="1">
        <w:r w:rsidRPr="00234417">
          <w:rPr>
            <w:rStyle w:val="TextoNormalCaracter"/>
          </w:rPr>
          <w:t>107/2013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92" w:name="DESCRIPTORALFABETICO22"/>
      <w:r w:rsidRPr="00234417">
        <w:rPr>
          <w:rStyle w:val="TextoNormalNegritaCaracter"/>
        </w:rPr>
        <w:t>Principio de no vaciamiento de competencias autonómicas</w:t>
      </w:r>
      <w:bookmarkEnd w:id="1992"/>
      <w:r w:rsidRPr="00234417">
        <w:rPr>
          <w:rStyle w:val="TextoNormalCaracter"/>
        </w:rPr>
        <w:t xml:space="preserve">, Sentencias </w:t>
      </w:r>
      <w:hyperlink w:anchor="SENTENCIA_2013_4" w:history="1">
        <w:r w:rsidRPr="00234417">
          <w:rPr>
            <w:rStyle w:val="TextoNormalCaracter"/>
          </w:rPr>
          <w:t>4/2013</w:t>
        </w:r>
      </w:hyperlink>
      <w:r w:rsidRPr="00234417">
        <w:rPr>
          <w:rStyle w:val="TextoNormalCaracter"/>
        </w:rPr>
        <w:t xml:space="preserve">, f. 10; </w:t>
      </w:r>
      <w:hyperlink w:anchor="SENTENCIA_2013_84" w:history="1">
        <w:r w:rsidRPr="00234417">
          <w:rPr>
            <w:rStyle w:val="TextoNormalCaracter"/>
          </w:rPr>
          <w:t>84/2013</w:t>
        </w:r>
      </w:hyperlink>
      <w:r w:rsidRPr="00234417">
        <w:rPr>
          <w:rStyle w:val="TextoNormalCaracter"/>
        </w:rPr>
        <w:t>, f. 4.</w:t>
      </w:r>
    </w:p>
    <w:p w:rsidR="00234417" w:rsidRPr="00234417" w:rsidRDefault="00234417" w:rsidP="00234417">
      <w:pPr>
        <w:pStyle w:val="TextoNormalSangraFrancesa"/>
        <w:rPr>
          <w:rStyle w:val="TextoNormalCaracter"/>
        </w:rPr>
      </w:pPr>
      <w:bookmarkStart w:id="1993" w:name="DESCRIPTORALFABETICO420"/>
      <w:r w:rsidRPr="00234417">
        <w:rPr>
          <w:rStyle w:val="TextoNormalNegritaCaracter"/>
        </w:rPr>
        <w:t>Principio de proporcionalidad</w:t>
      </w:r>
      <w:bookmarkEnd w:id="1993"/>
      <w:r w:rsidRPr="00234417">
        <w:rPr>
          <w:rStyle w:val="TextoNormalCaracter"/>
        </w:rPr>
        <w:t xml:space="preserve">, Sentencias </w:t>
      </w:r>
      <w:hyperlink w:anchor="SENTENCIA_2013_61" w:history="1">
        <w:r w:rsidRPr="00234417">
          <w:rPr>
            <w:rStyle w:val="TextoNormalCaracter"/>
          </w:rPr>
          <w:t>61/2013</w:t>
        </w:r>
      </w:hyperlink>
      <w:r w:rsidRPr="00234417">
        <w:rPr>
          <w:rStyle w:val="TextoNormalCaracter"/>
        </w:rPr>
        <w:t xml:space="preserve">, ff. 5 a 7; </w:t>
      </w:r>
      <w:hyperlink w:anchor="SENTENCIA_2013_71" w:history="1">
        <w:r w:rsidRPr="00234417">
          <w:rPr>
            <w:rStyle w:val="TextoNormalCaracter"/>
          </w:rPr>
          <w:t>71/2013</w:t>
        </w:r>
      </w:hyperlink>
      <w:r w:rsidRPr="00234417">
        <w:rPr>
          <w:rStyle w:val="TextoNormalCaracter"/>
        </w:rPr>
        <w:t xml:space="preserve">, f. 3; </w:t>
      </w:r>
      <w:hyperlink w:anchor="SENTENCIA_2013_72" w:history="1">
        <w:r w:rsidRPr="00234417">
          <w:rPr>
            <w:rStyle w:val="TextoNormalCaracter"/>
          </w:rPr>
          <w:t>72/2013</w:t>
        </w:r>
      </w:hyperlink>
      <w:r w:rsidRPr="00234417">
        <w:rPr>
          <w:rStyle w:val="TextoNormalCaracter"/>
        </w:rPr>
        <w:t xml:space="preserve">, f. 2; </w:t>
      </w:r>
      <w:hyperlink w:anchor="SENTENCIA_2013_115" w:history="1">
        <w:r w:rsidRPr="00234417">
          <w:rPr>
            <w:rStyle w:val="TextoNormalCaracter"/>
          </w:rPr>
          <w:t>115/2013</w:t>
        </w:r>
      </w:hyperlink>
      <w:r w:rsidRPr="00234417">
        <w:rPr>
          <w:rStyle w:val="TextoNormalCaracter"/>
        </w:rPr>
        <w:t xml:space="preserve">, ff. 5, 6; </w:t>
      </w:r>
      <w:hyperlink w:anchor="SENTENCIA_2013_116" w:history="1">
        <w:r w:rsidRPr="00234417">
          <w:rPr>
            <w:rStyle w:val="TextoNormalCaracter"/>
          </w:rPr>
          <w:t>116/2013</w:t>
        </w:r>
      </w:hyperlink>
      <w:r w:rsidRPr="00234417">
        <w:rPr>
          <w:rStyle w:val="TextoNormalCaracter"/>
        </w:rPr>
        <w:t xml:space="preserve">, f. 4; </w:t>
      </w:r>
      <w:hyperlink w:anchor="SENTENCIA_2013_117" w:history="1">
        <w:r w:rsidRPr="00234417">
          <w:rPr>
            <w:rStyle w:val="TextoNormalCaracter"/>
          </w:rPr>
          <w:t>117/2013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94" w:name="DESCRIPTORALFABETICO871"/>
      <w:r w:rsidRPr="00234417">
        <w:rPr>
          <w:rStyle w:val="TextoNormalNegritaCaracter"/>
        </w:rPr>
        <w:t>Principio de publicidad procesal</w:t>
      </w:r>
      <w:bookmarkEnd w:id="1994"/>
      <w:r w:rsidRPr="00234417">
        <w:rPr>
          <w:rStyle w:val="TextoNormalCaracter"/>
        </w:rPr>
        <w:t xml:space="preserve">, Sentencia </w:t>
      </w:r>
      <w:hyperlink w:anchor="SENTENCIA_2013_43" w:history="1">
        <w:r w:rsidRPr="00234417">
          <w:rPr>
            <w:rStyle w:val="TextoNormalCaracter"/>
          </w:rPr>
          <w:t>43/2013</w:t>
        </w:r>
      </w:hyperlink>
      <w:r w:rsidRPr="00234417">
        <w:rPr>
          <w:rStyle w:val="TextoNormalCaracter"/>
        </w:rPr>
        <w:t>, f. 5.</w:t>
      </w:r>
    </w:p>
    <w:p w:rsidR="00234417" w:rsidRPr="00234417" w:rsidRDefault="00234417" w:rsidP="00234417">
      <w:pPr>
        <w:pStyle w:val="TextoNormalSangraFrancesa"/>
        <w:rPr>
          <w:rStyle w:val="TextoNormalCaracter"/>
        </w:rPr>
      </w:pPr>
      <w:bookmarkStart w:id="1995" w:name="DESCRIPTORALFABETICO903"/>
      <w:r w:rsidRPr="00234417">
        <w:rPr>
          <w:rStyle w:val="TextoNormalNegritaCaracter"/>
        </w:rPr>
        <w:t>Principio de reciprocidad</w:t>
      </w:r>
      <w:bookmarkEnd w:id="1995"/>
      <w:r w:rsidRPr="00234417">
        <w:rPr>
          <w:rStyle w:val="TextoNormalCaracter"/>
        </w:rPr>
        <w:t xml:space="preserve">, Auto </w:t>
      </w:r>
      <w:hyperlink w:anchor="AUTO_2013_2" w:history="1">
        <w:r w:rsidRPr="00234417">
          <w:rPr>
            <w:rStyle w:val="TextoNormalCaracter"/>
          </w:rPr>
          <w:t>2/2013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1996" w:name="DESCRIPTORALFABETICO423"/>
      <w:r w:rsidRPr="00234417">
        <w:rPr>
          <w:rStyle w:val="TextoNormalNegritaCaracter"/>
        </w:rPr>
        <w:t>Principio de seguridad jurídica</w:t>
      </w:r>
      <w:bookmarkEnd w:id="1996"/>
      <w:r w:rsidRPr="00234417">
        <w:rPr>
          <w:rStyle w:val="TextoNormalCaracter"/>
        </w:rPr>
        <w:t xml:space="preserve">, Sentencias </w:t>
      </w:r>
      <w:hyperlink w:anchor="SENTENCIA_2013_36" w:history="1">
        <w:r w:rsidRPr="00234417">
          <w:rPr>
            <w:rStyle w:val="TextoNormalCaracter"/>
          </w:rPr>
          <w:t>36/2013</w:t>
        </w:r>
      </w:hyperlink>
      <w:r w:rsidRPr="00234417">
        <w:rPr>
          <w:rStyle w:val="TextoNormalCaracter"/>
        </w:rPr>
        <w:t xml:space="preserve">, ff. 3, 6; </w:t>
      </w:r>
      <w:hyperlink w:anchor="SENTENCIA_2013_86" w:history="1">
        <w:r w:rsidRPr="00234417">
          <w:rPr>
            <w:rStyle w:val="TextoNormalCaracter"/>
          </w:rPr>
          <w:t>86/2013</w:t>
        </w:r>
      </w:hyperlink>
      <w:r w:rsidRPr="00234417">
        <w:rPr>
          <w:rStyle w:val="TextoNormalCaracter"/>
        </w:rPr>
        <w:t xml:space="preserve">, f. 3; </w:t>
      </w:r>
      <w:hyperlink w:anchor="SENTENCIA_2013_101" w:history="1">
        <w:r w:rsidRPr="00234417">
          <w:rPr>
            <w:rStyle w:val="TextoNormalCaracter"/>
          </w:rPr>
          <w:t>101/2013</w:t>
        </w:r>
      </w:hyperlink>
      <w:r w:rsidRPr="00234417">
        <w:rPr>
          <w:rStyle w:val="TextoNormalCaracter"/>
        </w:rPr>
        <w:t xml:space="preserve">, f. 10; </w:t>
      </w:r>
      <w:hyperlink w:anchor="SENTENCIA_2013_111" w:history="1">
        <w:r w:rsidRPr="00234417">
          <w:rPr>
            <w:rStyle w:val="TextoNormalCaracter"/>
          </w:rPr>
          <w:t>111/2013</w:t>
        </w:r>
      </w:hyperlink>
      <w:r w:rsidRPr="00234417">
        <w:rPr>
          <w:rStyle w:val="TextoNormalCaracter"/>
        </w:rPr>
        <w:t xml:space="preserve">, f. 5; </w:t>
      </w:r>
      <w:hyperlink w:anchor="SENTENCIA_2013_132" w:history="1">
        <w:r w:rsidRPr="00234417">
          <w:rPr>
            <w:rStyle w:val="TextoNormalCaracter"/>
          </w:rPr>
          <w:t>132/2013</w:t>
        </w:r>
      </w:hyperlink>
      <w:r w:rsidRPr="00234417">
        <w:rPr>
          <w:rStyle w:val="TextoNormalCaracter"/>
        </w:rPr>
        <w:t>, ff. 2 a 4.</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84" w:history="1">
        <w:r w:rsidRPr="00234417">
          <w:rPr>
            <w:rStyle w:val="TextoNormalCaracter"/>
          </w:rPr>
          <w:t>84/2013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 </w:t>
      </w:r>
      <w:hyperlink w:anchor="SENTENCIA_2013_93" w:history="1">
        <w:r w:rsidRPr="00234417">
          <w:rPr>
            <w:rStyle w:val="TextoNormalCaracter"/>
          </w:rPr>
          <w:t>93/2013</w:t>
        </w:r>
      </w:hyperlink>
      <w:r w:rsidRPr="00234417">
        <w:rPr>
          <w:rStyle w:val="TextoNormalCaracter"/>
        </w:rPr>
        <w:t>, f. 10.</w:t>
      </w:r>
    </w:p>
    <w:p w:rsidR="00234417" w:rsidRPr="00234417" w:rsidRDefault="00234417" w:rsidP="00234417">
      <w:pPr>
        <w:pStyle w:val="TextoNormalSangraFrancesa"/>
        <w:rPr>
          <w:rStyle w:val="TextoNormalCaracter"/>
        </w:rPr>
      </w:pPr>
      <w:bookmarkStart w:id="1997" w:name="DESCRIPTORALFABETICO425"/>
      <w:r w:rsidRPr="00234417">
        <w:rPr>
          <w:rStyle w:val="TextoNormalNegritaCaracter"/>
        </w:rPr>
        <w:t>Principio de solidaridad</w:t>
      </w:r>
      <w:bookmarkEnd w:id="1997"/>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 2; </w:t>
      </w:r>
      <w:hyperlink w:anchor="SENTENCIA_2013_64" w:history="1">
        <w:r w:rsidRPr="00234417">
          <w:rPr>
            <w:rStyle w:val="TextoNormalCaracter"/>
          </w:rPr>
          <w:t>64/2013</w:t>
        </w:r>
      </w:hyperlink>
      <w:r w:rsidRPr="00234417">
        <w:rPr>
          <w:rStyle w:val="TextoNormalCaracter"/>
        </w:rPr>
        <w:t xml:space="preserve">, f. 6; </w:t>
      </w:r>
      <w:hyperlink w:anchor="SENTENCIA_2013_100" w:history="1">
        <w:r w:rsidRPr="00234417">
          <w:rPr>
            <w:rStyle w:val="TextoNormalCaracter"/>
          </w:rPr>
          <w:t>100/2013</w:t>
        </w:r>
      </w:hyperlink>
      <w:r w:rsidRPr="00234417">
        <w:rPr>
          <w:rStyle w:val="TextoNormalCaracter"/>
        </w:rPr>
        <w:t>, f. 4.</w:t>
      </w:r>
    </w:p>
    <w:p w:rsidR="00234417" w:rsidRPr="00234417" w:rsidRDefault="00234417" w:rsidP="00234417">
      <w:pPr>
        <w:pStyle w:val="TextoNormalSangraFrancesa"/>
        <w:rPr>
          <w:rStyle w:val="TextoNormalCaracter"/>
        </w:rPr>
      </w:pPr>
      <w:bookmarkStart w:id="1998" w:name="DESCRIPTORALFABETICO371"/>
      <w:r w:rsidRPr="00234417">
        <w:rPr>
          <w:rStyle w:val="TextoNormalNegritaCaracter"/>
        </w:rPr>
        <w:t>Principio de sometimiento de la Administración al Derecho</w:t>
      </w:r>
      <w:bookmarkEnd w:id="1998"/>
      <w:r w:rsidRPr="00234417">
        <w:rPr>
          <w:rStyle w:val="TextoNormalCaracter"/>
        </w:rPr>
        <w:t xml:space="preserve">, Sentencias </w:t>
      </w:r>
      <w:hyperlink w:anchor="SENTENCIA_2013_51" w:history="1">
        <w:r w:rsidRPr="00234417">
          <w:rPr>
            <w:rStyle w:val="TextoNormalCaracter"/>
          </w:rPr>
          <w:t>51/2013</w:t>
        </w:r>
      </w:hyperlink>
      <w:r w:rsidRPr="00234417">
        <w:rPr>
          <w:rStyle w:val="TextoNormalCaracter"/>
        </w:rPr>
        <w:t xml:space="preserve">, f. 5; </w:t>
      </w:r>
      <w:hyperlink w:anchor="SENTENCIA_2013_64" w:history="1">
        <w:r w:rsidRPr="00234417">
          <w:rPr>
            <w:rStyle w:val="TextoNormalCaracter"/>
          </w:rPr>
          <w:t>64/2013</w:t>
        </w:r>
      </w:hyperlink>
      <w:r w:rsidRPr="00234417">
        <w:rPr>
          <w:rStyle w:val="TextoNormalCaracter"/>
        </w:rPr>
        <w:t>, f. 2.</w:t>
      </w:r>
    </w:p>
    <w:p w:rsidR="00234417" w:rsidRPr="00234417" w:rsidRDefault="00234417" w:rsidP="00234417">
      <w:pPr>
        <w:pStyle w:val="TextoNormalSangraFrancesa"/>
        <w:rPr>
          <w:rStyle w:val="TextoNormalCaracter"/>
        </w:rPr>
      </w:pPr>
      <w:bookmarkStart w:id="1999" w:name="DESCRIPTORALFABETICO415"/>
      <w:r w:rsidRPr="00234417">
        <w:rPr>
          <w:rStyle w:val="TextoNormalNegritaCaracter"/>
        </w:rPr>
        <w:t>Principio de taxatividad en el ámbito sancionador</w:t>
      </w:r>
      <w:bookmarkEnd w:id="1999"/>
      <w:r w:rsidRPr="00234417">
        <w:rPr>
          <w:rStyle w:val="TextoNormalCaracter"/>
        </w:rPr>
        <w:t xml:space="preserve">, Sentencias </w:t>
      </w:r>
      <w:hyperlink w:anchor="SENTENCIA_2013_13" w:history="1">
        <w:r w:rsidRPr="00234417">
          <w:rPr>
            <w:rStyle w:val="TextoNormalCaracter"/>
          </w:rPr>
          <w:t>13/2013</w:t>
        </w:r>
      </w:hyperlink>
      <w:r w:rsidRPr="00234417">
        <w:rPr>
          <w:rStyle w:val="TextoNormalCaracter"/>
        </w:rPr>
        <w:t xml:space="preserve">, f. 2; </w:t>
      </w:r>
      <w:hyperlink w:anchor="SENTENCIA_2013_107" w:history="1">
        <w:r w:rsidRPr="00234417">
          <w:rPr>
            <w:rStyle w:val="TextoNormalCaracter"/>
          </w:rPr>
          <w:t>107/2013</w:t>
        </w:r>
      </w:hyperlink>
      <w:r w:rsidRPr="00234417">
        <w:rPr>
          <w:rStyle w:val="TextoNormalCaracter"/>
        </w:rPr>
        <w:t>, f. 2.</w:t>
      </w:r>
    </w:p>
    <w:p w:rsidR="00234417" w:rsidRPr="00234417" w:rsidRDefault="00234417" w:rsidP="00234417">
      <w:pPr>
        <w:pStyle w:val="TextoNormalSangraFrancesa"/>
        <w:rPr>
          <w:rStyle w:val="TextoNormalCaracter"/>
        </w:rPr>
      </w:pPr>
      <w:bookmarkStart w:id="2000" w:name="DESCRIPTORALFABETICO416"/>
      <w:r w:rsidRPr="00234417">
        <w:rPr>
          <w:rStyle w:val="TextoNormalNegritaCaracter"/>
        </w:rPr>
        <w:t>Principio de tipicidad</w:t>
      </w:r>
      <w:bookmarkEnd w:id="2000"/>
      <w:r w:rsidRPr="00234417">
        <w:rPr>
          <w:rStyle w:val="TextoNormalCaracter"/>
        </w:rPr>
        <w:t xml:space="preserve">, Sentencias </w:t>
      </w:r>
      <w:hyperlink w:anchor="SENTENCIA_2013_13" w:history="1">
        <w:r w:rsidRPr="00234417">
          <w:rPr>
            <w:rStyle w:val="TextoNormalCaracter"/>
          </w:rPr>
          <w:t>13/2013</w:t>
        </w:r>
      </w:hyperlink>
      <w:r w:rsidRPr="00234417">
        <w:rPr>
          <w:rStyle w:val="TextoNormalCaracter"/>
        </w:rPr>
        <w:t xml:space="preserve">, f. 2; </w:t>
      </w:r>
      <w:hyperlink w:anchor="SENTENCIA_2013_30" w:history="1">
        <w:r w:rsidRPr="00234417">
          <w:rPr>
            <w:rStyle w:val="TextoNormalCaracter"/>
          </w:rPr>
          <w:t>30/2013</w:t>
        </w:r>
      </w:hyperlink>
      <w:r w:rsidRPr="00234417">
        <w:rPr>
          <w:rStyle w:val="TextoNormalCaracter"/>
        </w:rPr>
        <w:t xml:space="preserve">, ff. 1 a 3; </w:t>
      </w:r>
      <w:hyperlink w:anchor="SENTENCIA_2013_45" w:history="1">
        <w:r w:rsidRPr="00234417">
          <w:rPr>
            <w:rStyle w:val="TextoNormalCaracter"/>
          </w:rPr>
          <w:t>45/2013</w:t>
        </w:r>
      </w:hyperlink>
      <w:r w:rsidRPr="00234417">
        <w:rPr>
          <w:rStyle w:val="TextoNormalCaracter"/>
        </w:rPr>
        <w:t xml:space="preserve">, f. 2; </w:t>
      </w:r>
      <w:hyperlink w:anchor="SENTENCIA_2013_107" w:history="1">
        <w:r w:rsidRPr="00234417">
          <w:rPr>
            <w:rStyle w:val="TextoNormalCaracter"/>
          </w:rPr>
          <w:t>107/2013</w:t>
        </w:r>
      </w:hyperlink>
      <w:r w:rsidRPr="00234417">
        <w:rPr>
          <w:rStyle w:val="TextoNormalCaracter"/>
        </w:rPr>
        <w:t>, f. 2.</w:t>
      </w:r>
    </w:p>
    <w:p w:rsidR="00234417" w:rsidRPr="00234417" w:rsidRDefault="00234417" w:rsidP="00234417">
      <w:pPr>
        <w:pStyle w:val="TextoNormalSangraFrancesa"/>
        <w:rPr>
          <w:rStyle w:val="TextoNormalCaracter"/>
        </w:rPr>
      </w:pPr>
      <w:bookmarkStart w:id="2001" w:name="DESCRIPTORALFABETICO428"/>
      <w:r w:rsidRPr="00234417">
        <w:rPr>
          <w:rStyle w:val="TextoNormalNegritaCaracter"/>
        </w:rPr>
        <w:t>Principio democrático</w:t>
      </w:r>
      <w:bookmarkEnd w:id="2001"/>
      <w:r w:rsidRPr="00234417">
        <w:rPr>
          <w:rStyle w:val="TextoNormalCaracter"/>
        </w:rPr>
        <w:t xml:space="preserve">, Sentencias </w:t>
      </w:r>
      <w:hyperlink w:anchor="SENTENCIA_2013_36" w:history="1">
        <w:r w:rsidRPr="00234417">
          <w:rPr>
            <w:rStyle w:val="TextoNormalCaracter"/>
          </w:rPr>
          <w:t>36/2013</w:t>
        </w:r>
      </w:hyperlink>
      <w:r w:rsidRPr="00234417">
        <w:rPr>
          <w:rStyle w:val="TextoNormalCaracter"/>
        </w:rPr>
        <w:t xml:space="preserve">, f. 3; </w:t>
      </w:r>
      <w:hyperlink w:anchor="SENTENCIA_2013_103" w:history="1">
        <w:r w:rsidRPr="00234417">
          <w:rPr>
            <w:rStyle w:val="TextoNormalCaracter"/>
          </w:rPr>
          <w:t>103/2013</w:t>
        </w:r>
      </w:hyperlink>
      <w:r w:rsidRPr="00234417">
        <w:rPr>
          <w:rStyle w:val="TextoNormalCaracter"/>
        </w:rPr>
        <w:t xml:space="preserve">, f. 6, VP; </w:t>
      </w:r>
      <w:hyperlink w:anchor="SENTENCIA_2013_125" w:history="1">
        <w:r w:rsidRPr="00234417">
          <w:rPr>
            <w:rStyle w:val="TextoNormalCaracter"/>
          </w:rPr>
          <w:t>125/2013</w:t>
        </w:r>
      </w:hyperlink>
      <w:r w:rsidRPr="00234417">
        <w:rPr>
          <w:rStyle w:val="TextoNormalCaracter"/>
        </w:rPr>
        <w:t>, f. 5.</w:t>
      </w:r>
    </w:p>
    <w:p w:rsidR="00234417" w:rsidRPr="00234417" w:rsidRDefault="00234417" w:rsidP="00234417">
      <w:pPr>
        <w:pStyle w:val="TextoNormalSangraFrancesa"/>
        <w:rPr>
          <w:rStyle w:val="TextoNormalNegritaCaracter"/>
        </w:rPr>
      </w:pPr>
      <w:r w:rsidRPr="00234417">
        <w:rPr>
          <w:rStyle w:val="TextoNormalCursivaCaracter"/>
        </w:rPr>
        <w:t>Principio favor actionis</w:t>
      </w:r>
      <w:r>
        <w:t xml:space="preserve"> véase </w:t>
      </w:r>
      <w:hyperlink w:anchor="DESCRIPTORALFABETICO872" w:history="1">
        <w:r w:rsidRPr="00234417">
          <w:rPr>
            <w:rStyle w:val="TextoNormalNegritaCaracter"/>
          </w:rPr>
          <w:t xml:space="preserve">Principio </w:t>
        </w:r>
        <w:r w:rsidRPr="00234417">
          <w:rPr>
            <w:rStyle w:val="TextoNormalNegritaCaracter"/>
            <w:i/>
          </w:rPr>
          <w:t>pro actione</w:t>
        </w:r>
      </w:hyperlink>
    </w:p>
    <w:p w:rsidR="00234417" w:rsidRPr="00234417" w:rsidRDefault="00234417" w:rsidP="00234417">
      <w:pPr>
        <w:pStyle w:val="TextoNormalSangraFrancesa"/>
        <w:rPr>
          <w:rStyle w:val="TextoNormalCaracter"/>
        </w:rPr>
      </w:pPr>
      <w:bookmarkStart w:id="2002" w:name="DESCRIPTORALFABETICO904"/>
      <w:r w:rsidRPr="00234417">
        <w:rPr>
          <w:rStyle w:val="TextoNormalNegritaCaracter"/>
        </w:rPr>
        <w:t xml:space="preserve">Principio </w:t>
      </w:r>
      <w:r w:rsidRPr="00234417">
        <w:rPr>
          <w:rStyle w:val="TextoNormalNegritaCaracter"/>
          <w:i/>
        </w:rPr>
        <w:t>nulla traditio sine lege</w:t>
      </w:r>
      <w:bookmarkEnd w:id="2002"/>
      <w:r w:rsidRPr="00234417">
        <w:rPr>
          <w:rStyle w:val="TextoNormalCaracter"/>
        </w:rPr>
        <w:t xml:space="preserve">, Sentencia </w:t>
      </w:r>
      <w:hyperlink w:anchor="SENTENCIA_2013_31" w:history="1">
        <w:r w:rsidRPr="00234417">
          <w:rPr>
            <w:rStyle w:val="TextoNormalCaracter"/>
          </w:rPr>
          <w:t>31/2013</w:t>
        </w:r>
      </w:hyperlink>
      <w:r w:rsidRPr="00234417">
        <w:rPr>
          <w:rStyle w:val="TextoNormalCaracter"/>
        </w:rPr>
        <w:t>, ff. 1, 3.</w:t>
      </w:r>
    </w:p>
    <w:p w:rsidR="00234417" w:rsidRPr="00234417" w:rsidRDefault="00234417" w:rsidP="00234417">
      <w:pPr>
        <w:pStyle w:val="TextoNormalSangraFrancesa"/>
        <w:rPr>
          <w:rStyle w:val="TextoNormalCaracter"/>
        </w:rPr>
      </w:pPr>
      <w:bookmarkStart w:id="2003" w:name="DESCRIPTORALFABETICO872"/>
      <w:r w:rsidRPr="00234417">
        <w:rPr>
          <w:rStyle w:val="TextoNormalNegritaCaracter"/>
        </w:rPr>
        <w:t xml:space="preserve">Principio </w:t>
      </w:r>
      <w:r w:rsidRPr="00234417">
        <w:rPr>
          <w:rStyle w:val="TextoNormalNegritaCaracter"/>
          <w:i/>
        </w:rPr>
        <w:t>pro actione</w:t>
      </w:r>
      <w:bookmarkEnd w:id="2003"/>
      <w:r w:rsidRPr="00234417">
        <w:rPr>
          <w:rStyle w:val="TextoNormalCaracter"/>
        </w:rPr>
        <w:t xml:space="preserve">, Sentencia </w:t>
      </w:r>
      <w:hyperlink w:anchor="SENTENCIA_2013_106" w:history="1">
        <w:r w:rsidRPr="00234417">
          <w:rPr>
            <w:rStyle w:val="TextoNormalCaracter"/>
          </w:rPr>
          <w:t>106/2013</w:t>
        </w:r>
      </w:hyperlink>
      <w:r w:rsidRPr="00234417">
        <w:rPr>
          <w:rStyle w:val="TextoNormalCaracter"/>
        </w:rPr>
        <w:t>, ff. 4, 5.</w:t>
      </w:r>
    </w:p>
    <w:p w:rsidR="00234417" w:rsidRPr="00234417" w:rsidRDefault="00234417" w:rsidP="00234417">
      <w:pPr>
        <w:pStyle w:val="TextoNormalSangraFrancesa"/>
        <w:rPr>
          <w:rStyle w:val="TextoNormalCaracter"/>
        </w:rPr>
      </w:pPr>
      <w:bookmarkStart w:id="2004" w:name="DESCRIPTORALFABETICO406"/>
      <w:r w:rsidRPr="00234417">
        <w:rPr>
          <w:rStyle w:val="TextoNormalNegritaCaracter"/>
        </w:rPr>
        <w:t>Principios constitucionales</w:t>
      </w:r>
      <w:bookmarkEnd w:id="2004"/>
      <w:r w:rsidRPr="00234417">
        <w:rPr>
          <w:rStyle w:val="TextoNormalCaracter"/>
        </w:rPr>
        <w:t xml:space="preserve">, Sentencias </w:t>
      </w:r>
      <w:hyperlink w:anchor="SENTENCIA_2013_36" w:history="1">
        <w:r w:rsidRPr="00234417">
          <w:rPr>
            <w:rStyle w:val="TextoNormalCaracter"/>
          </w:rPr>
          <w:t>36/2013</w:t>
        </w:r>
      </w:hyperlink>
      <w:r w:rsidRPr="00234417">
        <w:rPr>
          <w:rStyle w:val="TextoNormalCaracter"/>
        </w:rPr>
        <w:t xml:space="preserve">, f. 3; </w:t>
      </w:r>
      <w:hyperlink w:anchor="SENTENCIA_2013_103" w:history="1">
        <w:r w:rsidRPr="00234417">
          <w:rPr>
            <w:rStyle w:val="TextoNormalCaracter"/>
          </w:rPr>
          <w:t>103/2013</w:t>
        </w:r>
      </w:hyperlink>
      <w:r w:rsidRPr="00234417">
        <w:rPr>
          <w:rStyle w:val="TextoNormalCaracter"/>
        </w:rPr>
        <w:t>, f. 6, VP.</w:t>
      </w:r>
    </w:p>
    <w:p w:rsidR="00234417" w:rsidRPr="00234417" w:rsidRDefault="00234417" w:rsidP="00234417">
      <w:pPr>
        <w:pStyle w:val="TextoNormalSangraFrancesa"/>
        <w:rPr>
          <w:rStyle w:val="TextoNormalCaracter"/>
        </w:rPr>
      </w:pPr>
      <w:bookmarkStart w:id="2005" w:name="DESCRIPTORALFABETICO711"/>
      <w:r w:rsidRPr="00234417">
        <w:rPr>
          <w:rStyle w:val="TextoNormalNegritaCaracter"/>
        </w:rPr>
        <w:t>Prisión de un año</w:t>
      </w:r>
      <w:bookmarkEnd w:id="2005"/>
      <w:r w:rsidRPr="00234417">
        <w:rPr>
          <w:rStyle w:val="TextoNormalCaracter"/>
        </w:rPr>
        <w:t xml:space="preserve">, Autos </w:t>
      </w:r>
      <w:hyperlink w:anchor="AUTO_2013_40" w:history="1">
        <w:r w:rsidRPr="00234417">
          <w:rPr>
            <w:rStyle w:val="TextoNormalCaracter"/>
          </w:rPr>
          <w:t>40/2013</w:t>
        </w:r>
      </w:hyperlink>
      <w:r w:rsidRPr="00234417">
        <w:rPr>
          <w:rStyle w:val="TextoNormalCaracter"/>
        </w:rPr>
        <w:t xml:space="preserve">, f. 2; </w:t>
      </w:r>
      <w:hyperlink w:anchor="AUTO_2013_139" w:history="1">
        <w:r w:rsidRPr="00234417">
          <w:rPr>
            <w:rStyle w:val="TextoNormalCaracter"/>
          </w:rPr>
          <w:t>139/2013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2006" w:name="DESCRIPTORALFABETICO712"/>
      <w:r w:rsidRPr="00234417">
        <w:rPr>
          <w:rStyle w:val="TextoNormalNegritaCaracter"/>
        </w:rPr>
        <w:t>Prisión de tres años</w:t>
      </w:r>
      <w:bookmarkEnd w:id="2006"/>
      <w:r w:rsidRPr="00234417">
        <w:rPr>
          <w:rStyle w:val="TextoNormalCaracter"/>
        </w:rPr>
        <w:t xml:space="preserve">, Auto </w:t>
      </w:r>
      <w:hyperlink w:anchor="AUTO_2013_75" w:history="1">
        <w:r w:rsidRPr="00234417">
          <w:rPr>
            <w:rStyle w:val="TextoNormalCaracter"/>
          </w:rPr>
          <w:t>75/2013</w:t>
        </w:r>
      </w:hyperlink>
      <w:r w:rsidRPr="00234417">
        <w:rPr>
          <w:rStyle w:val="TextoNormalCaracter"/>
        </w:rPr>
        <w:t>, f. 2.</w:t>
      </w:r>
    </w:p>
    <w:p w:rsidR="00234417" w:rsidRPr="00234417" w:rsidRDefault="00234417" w:rsidP="00234417">
      <w:pPr>
        <w:pStyle w:val="TextoNormalSangraFrancesa"/>
        <w:rPr>
          <w:rStyle w:val="TextoNormalCaracter"/>
        </w:rPr>
      </w:pPr>
      <w:bookmarkStart w:id="2007" w:name="DESCRIPTORALFABETICO713"/>
      <w:r w:rsidRPr="00234417">
        <w:rPr>
          <w:rStyle w:val="TextoNormalNegritaCaracter"/>
        </w:rPr>
        <w:t>Prisión de cuatro años</w:t>
      </w:r>
      <w:bookmarkEnd w:id="2007"/>
      <w:r w:rsidRPr="00234417">
        <w:rPr>
          <w:rStyle w:val="TextoNormalCaracter"/>
        </w:rPr>
        <w:t xml:space="preserve">, Auto </w:t>
      </w:r>
      <w:hyperlink w:anchor="AUTO_2013_61" w:history="1">
        <w:r w:rsidRPr="00234417">
          <w:rPr>
            <w:rStyle w:val="TextoNormalCaracter"/>
          </w:rPr>
          <w:t>61/2013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2008" w:name="DESCRIPTORALFABETICO714"/>
      <w:r w:rsidRPr="00234417">
        <w:rPr>
          <w:rStyle w:val="TextoNormalNegritaCaracter"/>
        </w:rPr>
        <w:t>Prisión de seis años</w:t>
      </w:r>
      <w:bookmarkEnd w:id="2008"/>
      <w:r w:rsidRPr="00234417">
        <w:rPr>
          <w:rStyle w:val="TextoNormalCaracter"/>
        </w:rPr>
        <w:t xml:space="preserve">, Autos </w:t>
      </w:r>
      <w:hyperlink w:anchor="AUTO_2013_136" w:history="1">
        <w:r w:rsidRPr="00234417">
          <w:rPr>
            <w:rStyle w:val="TextoNormalCaracter"/>
          </w:rPr>
          <w:t>136/2013</w:t>
        </w:r>
      </w:hyperlink>
      <w:r w:rsidRPr="00234417">
        <w:rPr>
          <w:rStyle w:val="TextoNormalCaracter"/>
        </w:rPr>
        <w:t xml:space="preserve">, ff. 1 a 3; </w:t>
      </w:r>
      <w:hyperlink w:anchor="AUTO_2013_137" w:history="1">
        <w:r w:rsidRPr="00234417">
          <w:rPr>
            <w:rStyle w:val="TextoNormalCaracter"/>
          </w:rPr>
          <w:t>137/2013</w:t>
        </w:r>
      </w:hyperlink>
      <w:r w:rsidRPr="00234417">
        <w:rPr>
          <w:rStyle w:val="TextoNormalCaracter"/>
        </w:rPr>
        <w:t>, ff. 1 a 4.</w:t>
      </w:r>
    </w:p>
    <w:p w:rsidR="00234417" w:rsidRPr="00234417" w:rsidRDefault="00234417" w:rsidP="00234417">
      <w:pPr>
        <w:pStyle w:val="TextoNormalSangraFrancesa"/>
        <w:rPr>
          <w:rStyle w:val="TextoNormalCaracter"/>
        </w:rPr>
      </w:pPr>
      <w:bookmarkStart w:id="2009" w:name="DESCRIPTORALFABETICO715"/>
      <w:r w:rsidRPr="00234417">
        <w:rPr>
          <w:rStyle w:val="TextoNormalNegritaCaracter"/>
        </w:rPr>
        <w:t>Prisión de diecisiete años</w:t>
      </w:r>
      <w:bookmarkEnd w:id="2009"/>
      <w:r w:rsidRPr="00234417">
        <w:rPr>
          <w:rStyle w:val="TextoNormalCaracter"/>
        </w:rPr>
        <w:t xml:space="preserve">, Auto </w:t>
      </w:r>
      <w:hyperlink w:anchor="AUTO_2013_133" w:history="1">
        <w:r w:rsidRPr="00234417">
          <w:rPr>
            <w:rStyle w:val="TextoNormalCaracter"/>
          </w:rPr>
          <w:t>133/2013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2010" w:name="DESCRIPTORALFABETICO733"/>
      <w:r w:rsidRPr="00234417">
        <w:rPr>
          <w:rStyle w:val="TextoNormalNegritaCaracter"/>
        </w:rPr>
        <w:t>Procedimiento administrativo común</w:t>
      </w:r>
      <w:bookmarkEnd w:id="2010"/>
      <w:r w:rsidRPr="00234417">
        <w:rPr>
          <w:rStyle w:val="TextoNormalCaracter"/>
        </w:rPr>
        <w:t xml:space="preserve">, Sentencias </w:t>
      </w:r>
      <w:hyperlink w:anchor="SENTENCIA_2013_130" w:history="1">
        <w:r w:rsidRPr="00234417">
          <w:rPr>
            <w:rStyle w:val="TextoNormalCaracter"/>
          </w:rPr>
          <w:t>130/2013</w:t>
        </w:r>
      </w:hyperlink>
      <w:r w:rsidRPr="00234417">
        <w:rPr>
          <w:rStyle w:val="TextoNormalCaracter"/>
        </w:rPr>
        <w:t xml:space="preserve">, ff. 6, 7, 8, VP; </w:t>
      </w:r>
      <w:hyperlink w:anchor="SENTENCIA_2013_135" w:history="1">
        <w:r w:rsidRPr="00234417">
          <w:rPr>
            <w:rStyle w:val="TextoNormalCaracter"/>
          </w:rPr>
          <w:t>135/2013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2011" w:name="DESCRIPTORALFABETICO510"/>
      <w:r w:rsidRPr="00234417">
        <w:rPr>
          <w:rStyle w:val="TextoNormalNegritaCaracter"/>
        </w:rPr>
        <w:t>Procedimiento administrativo sancionador</w:t>
      </w:r>
      <w:bookmarkEnd w:id="2011"/>
      <w:r w:rsidRPr="00234417">
        <w:rPr>
          <w:rStyle w:val="TextoNormalCaracter"/>
        </w:rPr>
        <w:t xml:space="preserve">, Sentencias </w:t>
      </w:r>
      <w:hyperlink w:anchor="SENTENCIA_2013_17" w:history="1">
        <w:r w:rsidRPr="00234417">
          <w:rPr>
            <w:rStyle w:val="TextoNormalCaracter"/>
          </w:rPr>
          <w:t>17/2013</w:t>
        </w:r>
      </w:hyperlink>
      <w:r w:rsidRPr="00234417">
        <w:rPr>
          <w:rStyle w:val="TextoNormalCaracter"/>
        </w:rPr>
        <w:t xml:space="preserve">, ff. 11, 12; </w:t>
      </w:r>
      <w:hyperlink w:anchor="SENTENCIA_2013_30" w:history="1">
        <w:r w:rsidRPr="00234417">
          <w:rPr>
            <w:rStyle w:val="TextoNormalCaracter"/>
          </w:rPr>
          <w:t>30/2013</w:t>
        </w:r>
      </w:hyperlink>
      <w:r w:rsidRPr="00234417">
        <w:rPr>
          <w:rStyle w:val="TextoNormalCaracter"/>
        </w:rPr>
        <w:t xml:space="preserve">, ff. 1 a 3; </w:t>
      </w:r>
      <w:hyperlink w:anchor="SENTENCIA_2013_45" w:history="1">
        <w:r w:rsidRPr="00234417">
          <w:rPr>
            <w:rStyle w:val="TextoNormalCaracter"/>
          </w:rPr>
          <w:t>45/2013</w:t>
        </w:r>
      </w:hyperlink>
      <w:r w:rsidRPr="00234417">
        <w:rPr>
          <w:rStyle w:val="TextoNormalCaracter"/>
        </w:rPr>
        <w:t>, f. 2.</w:t>
      </w:r>
    </w:p>
    <w:p w:rsidR="00234417" w:rsidRPr="00234417" w:rsidRDefault="00234417" w:rsidP="00234417">
      <w:pPr>
        <w:pStyle w:val="TextoNormalSangraFrancesa"/>
        <w:rPr>
          <w:rStyle w:val="TextoNormalCaracter"/>
        </w:rPr>
      </w:pPr>
      <w:bookmarkStart w:id="2012" w:name="DESCRIPTORALFABETICO241"/>
      <w:r w:rsidRPr="00234417">
        <w:rPr>
          <w:rStyle w:val="TextoNormalNegritaCaracter"/>
        </w:rPr>
        <w:t>Procedimiento constitucional</w:t>
      </w:r>
      <w:bookmarkEnd w:id="2012"/>
      <w:r w:rsidRPr="00234417">
        <w:rPr>
          <w:rStyle w:val="TextoNormalCaracter"/>
        </w:rPr>
        <w:t xml:space="preserve">, Auto </w:t>
      </w:r>
      <w:hyperlink w:anchor="AUTO_2013_89" w:history="1">
        <w:r w:rsidRPr="00234417">
          <w:rPr>
            <w:rStyle w:val="TextoNormalCaracter"/>
          </w:rPr>
          <w:t>89/2013</w:t>
        </w:r>
      </w:hyperlink>
      <w:r w:rsidRPr="00234417">
        <w:rPr>
          <w:rStyle w:val="TextoNormalCaracter"/>
        </w:rPr>
        <w:t>, ff. 3, 4, VP I, VP II.</w:t>
      </w:r>
    </w:p>
    <w:p w:rsidR="00234417" w:rsidRPr="00234417" w:rsidRDefault="00234417" w:rsidP="00234417">
      <w:pPr>
        <w:pStyle w:val="TextoNormalSangraFrancesa"/>
        <w:rPr>
          <w:rStyle w:val="TextoNormalCaracter"/>
        </w:rPr>
      </w:pPr>
      <w:bookmarkStart w:id="2013" w:name="DESCRIPTORALFABETICO392"/>
      <w:r w:rsidRPr="00234417">
        <w:rPr>
          <w:rStyle w:val="TextoNormalNegritaCaracter"/>
        </w:rPr>
        <w:t>Procedimiento de lectura única</w:t>
      </w:r>
      <w:bookmarkEnd w:id="2013"/>
      <w:r w:rsidRPr="00234417">
        <w:rPr>
          <w:rStyle w:val="TextoNormalCaracter"/>
        </w:rPr>
        <w:t xml:space="preserve">, Sentencia </w:t>
      </w:r>
      <w:hyperlink w:anchor="SENTENCIA_2013_129" w:history="1">
        <w:r w:rsidRPr="00234417">
          <w:rPr>
            <w:rStyle w:val="TextoNormalCaracter"/>
          </w:rPr>
          <w:t>129/2013</w:t>
        </w:r>
      </w:hyperlink>
      <w:r w:rsidRPr="00234417">
        <w:rPr>
          <w:rStyle w:val="TextoNormalCaracter"/>
        </w:rPr>
        <w:t>, f. 10.</w:t>
      </w:r>
    </w:p>
    <w:p w:rsidR="00234417" w:rsidRPr="00234417" w:rsidRDefault="00234417" w:rsidP="00234417">
      <w:pPr>
        <w:pStyle w:val="TextoNormalSangraFrancesa"/>
        <w:rPr>
          <w:rStyle w:val="TextoNormalNegritaCaracter"/>
        </w:rPr>
      </w:pPr>
      <w:r w:rsidRPr="00234417">
        <w:rPr>
          <w:rStyle w:val="TextoNormalCursivaCaracter"/>
        </w:rPr>
        <w:t>Procedimiento hipotecario</w:t>
      </w:r>
      <w:r>
        <w:t xml:space="preserve"> véase </w:t>
      </w:r>
      <w:hyperlink w:anchor="DESCRIPTORALFABETICO888" w:history="1">
        <w:r w:rsidRPr="00234417">
          <w:rPr>
            <w:rStyle w:val="TextoNormalNegritaCaracter"/>
          </w:rPr>
          <w:t>Proceso de ejecución hipotecaria</w:t>
        </w:r>
      </w:hyperlink>
    </w:p>
    <w:p w:rsidR="00234417" w:rsidRPr="00234417" w:rsidRDefault="00234417" w:rsidP="00234417">
      <w:pPr>
        <w:pStyle w:val="TextoNormalSangraFrancesa"/>
        <w:rPr>
          <w:rStyle w:val="TextoNormalCaracter"/>
        </w:rPr>
      </w:pPr>
      <w:bookmarkStart w:id="2014" w:name="DESCRIPTORALFABETICO891"/>
      <w:r w:rsidRPr="00234417">
        <w:rPr>
          <w:rStyle w:val="TextoNormalNegritaCaracter"/>
        </w:rPr>
        <w:t>Proceso contencioso-administrativo</w:t>
      </w:r>
      <w:bookmarkEnd w:id="2014"/>
      <w:r w:rsidRPr="00234417">
        <w:rPr>
          <w:rStyle w:val="TextoNormalCaracter"/>
        </w:rPr>
        <w:t xml:space="preserve">, Sentencia </w:t>
      </w:r>
      <w:hyperlink w:anchor="SENTENCIA_2013_76" w:history="1">
        <w:r w:rsidRPr="00234417">
          <w:rPr>
            <w:rStyle w:val="TextoNormalCaracter"/>
          </w:rPr>
          <w:t>76/2013</w:t>
        </w:r>
      </w:hyperlink>
      <w:r w:rsidRPr="00234417">
        <w:rPr>
          <w:rStyle w:val="TextoNormalCaracter"/>
        </w:rPr>
        <w:t>, ff. 2 a 4.</w:t>
      </w:r>
    </w:p>
    <w:p w:rsidR="00234417" w:rsidRPr="00234417" w:rsidRDefault="00234417" w:rsidP="00234417">
      <w:pPr>
        <w:pStyle w:val="TextoNormalSangraFrancesa"/>
        <w:rPr>
          <w:rStyle w:val="TextoNormalCaracter"/>
        </w:rPr>
      </w:pPr>
      <w:bookmarkStart w:id="2015" w:name="DESCRIPTORALFABETICO888"/>
      <w:r w:rsidRPr="00234417">
        <w:rPr>
          <w:rStyle w:val="TextoNormalNegritaCaracter"/>
        </w:rPr>
        <w:t>Proceso de ejecución hipotecaria</w:t>
      </w:r>
      <w:bookmarkEnd w:id="2015"/>
      <w:r w:rsidRPr="00234417">
        <w:rPr>
          <w:rStyle w:val="TextoNormalCaracter"/>
        </w:rPr>
        <w:t xml:space="preserve">, Sentencias </w:t>
      </w:r>
      <w:hyperlink w:anchor="SENTENCIA_2013_79" w:history="1">
        <w:r w:rsidRPr="00234417">
          <w:rPr>
            <w:rStyle w:val="TextoNormalCaracter"/>
          </w:rPr>
          <w:t>79/2013</w:t>
        </w:r>
      </w:hyperlink>
      <w:r w:rsidRPr="00234417">
        <w:rPr>
          <w:rStyle w:val="TextoNormalCaracter"/>
        </w:rPr>
        <w:t xml:space="preserve">, ff. 2, 3, 4, 5; </w:t>
      </w:r>
      <w:hyperlink w:anchor="SENTENCIA_2013_122" w:history="1">
        <w:r w:rsidRPr="00234417">
          <w:rPr>
            <w:rStyle w:val="TextoNormalCaracter"/>
          </w:rPr>
          <w:t>122/2013</w:t>
        </w:r>
      </w:hyperlink>
      <w:r w:rsidRPr="00234417">
        <w:rPr>
          <w:rStyle w:val="TextoNormalCaracter"/>
        </w:rPr>
        <w:t>, ff. 2 a 5.</w:t>
      </w:r>
    </w:p>
    <w:p w:rsidR="00234417" w:rsidRPr="00234417" w:rsidRDefault="00234417" w:rsidP="00234417">
      <w:pPr>
        <w:pStyle w:val="TextoNormalSangraFrancesa"/>
        <w:rPr>
          <w:rStyle w:val="TextoNormalCaracter"/>
        </w:rPr>
      </w:pPr>
      <w:r w:rsidRPr="00234417">
        <w:rPr>
          <w:rStyle w:val="TextoNormalCursivaCaracter"/>
        </w:rPr>
        <w:t xml:space="preserve">    Características, </w:t>
      </w:r>
      <w:r w:rsidRPr="00234417">
        <w:rPr>
          <w:rStyle w:val="TextoNormalCaracter"/>
        </w:rPr>
        <w:t xml:space="preserve">Sentencia </w:t>
      </w:r>
      <w:hyperlink w:anchor="SENTENCIA_2013_79" w:history="1">
        <w:r w:rsidRPr="00234417">
          <w:rPr>
            <w:rStyle w:val="TextoNormalCaracter"/>
          </w:rPr>
          <w:t>79/2013</w:t>
        </w:r>
      </w:hyperlink>
      <w:r w:rsidRPr="00234417">
        <w:rPr>
          <w:rStyle w:val="TextoNormalCaracter"/>
        </w:rPr>
        <w:t>, f. 3.</w:t>
      </w:r>
    </w:p>
    <w:p w:rsidR="00234417" w:rsidRPr="00234417" w:rsidRDefault="00234417" w:rsidP="00234417">
      <w:pPr>
        <w:pStyle w:val="TextoNormalSangraFrancesa"/>
        <w:rPr>
          <w:rStyle w:val="TextoNormalCaracter"/>
        </w:rPr>
      </w:pPr>
      <w:bookmarkStart w:id="2016" w:name="DESCRIPTORALFABETICO894"/>
      <w:r w:rsidRPr="00234417">
        <w:rPr>
          <w:rStyle w:val="TextoNormalNegritaCaracter"/>
        </w:rPr>
        <w:t>Proceso penal</w:t>
      </w:r>
      <w:bookmarkEnd w:id="2016"/>
      <w:r w:rsidRPr="00234417">
        <w:rPr>
          <w:rStyle w:val="TextoNormalCaracter"/>
        </w:rPr>
        <w:t xml:space="preserve">, Sentencia </w:t>
      </w:r>
      <w:hyperlink w:anchor="SENTENCIA_2013_78" w:history="1">
        <w:r w:rsidRPr="00234417">
          <w:rPr>
            <w:rStyle w:val="TextoNormalCaracter"/>
          </w:rPr>
          <w:t>78/2013</w:t>
        </w:r>
      </w:hyperlink>
      <w:r w:rsidRPr="00234417">
        <w:rPr>
          <w:rStyle w:val="TextoNormalCaracter"/>
        </w:rPr>
        <w:t>, f. 4.</w:t>
      </w:r>
    </w:p>
    <w:p w:rsidR="00234417" w:rsidRPr="00234417" w:rsidRDefault="00234417" w:rsidP="00234417">
      <w:pPr>
        <w:pStyle w:val="TextoNormalSangraFrancesa"/>
        <w:rPr>
          <w:rStyle w:val="TextoNormalCaracter"/>
        </w:rPr>
      </w:pPr>
      <w:bookmarkStart w:id="2017" w:name="DESCRIPTORALFABETICO592"/>
      <w:r w:rsidRPr="00234417">
        <w:rPr>
          <w:rStyle w:val="TextoNormalNegritaCaracter"/>
        </w:rPr>
        <w:t>Procesos selectivos en la función pública</w:t>
      </w:r>
      <w:bookmarkEnd w:id="2017"/>
      <w:r w:rsidRPr="00234417">
        <w:rPr>
          <w:rStyle w:val="TextoNormalCaracter"/>
        </w:rPr>
        <w:t xml:space="preserve">, Sentencia </w:t>
      </w:r>
      <w:hyperlink w:anchor="SENTENCIA_2013_33" w:history="1">
        <w:r w:rsidRPr="00234417">
          <w:rPr>
            <w:rStyle w:val="TextoNormalCaracter"/>
          </w:rPr>
          <w:t>33/2013</w:t>
        </w:r>
      </w:hyperlink>
      <w:r w:rsidRPr="00234417">
        <w:rPr>
          <w:rStyle w:val="TextoNormalCaracter"/>
        </w:rPr>
        <w:t>, ff. 4 a 6.</w:t>
      </w:r>
    </w:p>
    <w:p w:rsidR="00234417" w:rsidRPr="00234417" w:rsidRDefault="00234417" w:rsidP="00234417">
      <w:pPr>
        <w:pStyle w:val="TextoNormalSangraFrancesa"/>
        <w:rPr>
          <w:rStyle w:val="TextoNormalCaracter"/>
        </w:rPr>
      </w:pPr>
      <w:bookmarkStart w:id="2018" w:name="DESCRIPTORALFABETICO864"/>
      <w:r w:rsidRPr="00234417">
        <w:rPr>
          <w:rStyle w:val="TextoNormalNegritaCaracter"/>
        </w:rPr>
        <w:t>Procuradores de los tribunales</w:t>
      </w:r>
      <w:bookmarkEnd w:id="2018"/>
      <w:r w:rsidRPr="00234417">
        <w:rPr>
          <w:rStyle w:val="TextoNormalCaracter"/>
        </w:rPr>
        <w:t xml:space="preserve">, Sentencia </w:t>
      </w:r>
      <w:hyperlink w:anchor="SENTENCIA_2013_90" w:history="1">
        <w:r w:rsidRPr="00234417">
          <w:rPr>
            <w:rStyle w:val="TextoNormalCaracter"/>
          </w:rPr>
          <w:t>90/2013</w:t>
        </w:r>
      </w:hyperlink>
      <w:r w:rsidRPr="00234417">
        <w:rPr>
          <w:rStyle w:val="TextoNormalCaracter"/>
        </w:rPr>
        <w:t>, ff. 2, 4.</w:t>
      </w:r>
    </w:p>
    <w:p w:rsidR="00234417" w:rsidRPr="00234417" w:rsidRDefault="00234417" w:rsidP="00234417">
      <w:pPr>
        <w:pStyle w:val="TextoNormalSangraFrancesa"/>
        <w:rPr>
          <w:rStyle w:val="TextoNormalCaracter"/>
        </w:rPr>
      </w:pPr>
      <w:bookmarkStart w:id="2019" w:name="DESCRIPTORALFABETICO754"/>
      <w:r w:rsidRPr="00234417">
        <w:rPr>
          <w:rStyle w:val="TextoNormalNegritaCaracter"/>
        </w:rPr>
        <w:t>Productos farmacéuticos</w:t>
      </w:r>
      <w:bookmarkEnd w:id="2019"/>
      <w:r w:rsidRPr="00234417">
        <w:rPr>
          <w:rStyle w:val="TextoNormalCaracter"/>
        </w:rPr>
        <w:t xml:space="preserve">, Autos </w:t>
      </w:r>
      <w:hyperlink w:anchor="AUTO_2013_88" w:history="1">
        <w:r w:rsidRPr="00234417">
          <w:rPr>
            <w:rStyle w:val="TextoNormalCaracter"/>
          </w:rPr>
          <w:t>88/2013</w:t>
        </w:r>
      </w:hyperlink>
      <w:r w:rsidRPr="00234417">
        <w:rPr>
          <w:rStyle w:val="TextoNormalCaracter"/>
        </w:rPr>
        <w:t xml:space="preserve">, ff. 1, 4; </w:t>
      </w:r>
      <w:hyperlink w:anchor="AUTO_2013_122" w:history="1">
        <w:r w:rsidRPr="00234417">
          <w:rPr>
            <w:rStyle w:val="TextoNormalCaracter"/>
          </w:rPr>
          <w:t>122/2013</w:t>
        </w:r>
      </w:hyperlink>
      <w:r w:rsidRPr="00234417">
        <w:rPr>
          <w:rStyle w:val="TextoNormalCaracter"/>
        </w:rPr>
        <w:t xml:space="preserve">, f. 5; </w:t>
      </w:r>
      <w:hyperlink w:anchor="AUTO_2013_142" w:history="1">
        <w:r w:rsidRPr="00234417">
          <w:rPr>
            <w:rStyle w:val="TextoNormalCaracter"/>
          </w:rPr>
          <w:t>142/2013</w:t>
        </w:r>
      </w:hyperlink>
      <w:r w:rsidRPr="00234417">
        <w:rPr>
          <w:rStyle w:val="TextoNormalCaracter"/>
        </w:rPr>
        <w:t>, ff. 1, 3.</w:t>
      </w:r>
    </w:p>
    <w:p w:rsidR="00234417" w:rsidRPr="00234417" w:rsidRDefault="00234417" w:rsidP="00234417">
      <w:pPr>
        <w:pStyle w:val="TextoNormalSangraFrancesa"/>
        <w:rPr>
          <w:rStyle w:val="TextoNormalNegritaCaracter"/>
        </w:rPr>
      </w:pPr>
      <w:r w:rsidRPr="00234417">
        <w:rPr>
          <w:rStyle w:val="TextoNormalCursivaCaracter"/>
        </w:rPr>
        <w:t>Promoción de funcionarios</w:t>
      </w:r>
      <w:r>
        <w:t xml:space="preserve"> véase </w:t>
      </w:r>
      <w:hyperlink w:anchor="DESCRIPTORALFABETICO593" w:history="1">
        <w:r w:rsidRPr="00234417">
          <w:rPr>
            <w:rStyle w:val="TextoNormalNegritaCaracter"/>
          </w:rPr>
          <w:t>Promoción interna</w:t>
        </w:r>
      </w:hyperlink>
    </w:p>
    <w:p w:rsidR="00234417" w:rsidRPr="00234417" w:rsidRDefault="00234417" w:rsidP="00234417">
      <w:pPr>
        <w:pStyle w:val="TextoNormalSangraFrancesa"/>
        <w:rPr>
          <w:rStyle w:val="TextoNormalCaracter"/>
        </w:rPr>
      </w:pPr>
      <w:bookmarkStart w:id="2020" w:name="DESCRIPTORALFABETICO544"/>
      <w:r w:rsidRPr="00234417">
        <w:rPr>
          <w:rStyle w:val="TextoNormalNegritaCaracter"/>
        </w:rPr>
        <w:t>Promoción de la calidad docente</w:t>
      </w:r>
      <w:bookmarkEnd w:id="2020"/>
      <w:r w:rsidRPr="00234417">
        <w:rPr>
          <w:rStyle w:val="TextoNormalCaracter"/>
        </w:rPr>
        <w:t xml:space="preserve">, Sentencias </w:t>
      </w:r>
      <w:hyperlink w:anchor="SENTENCIA_2013_131" w:history="1">
        <w:r w:rsidRPr="00234417">
          <w:rPr>
            <w:rStyle w:val="TextoNormalCaracter"/>
          </w:rPr>
          <w:t>131/2013</w:t>
        </w:r>
      </w:hyperlink>
      <w:r w:rsidRPr="00234417">
        <w:rPr>
          <w:rStyle w:val="TextoNormalCaracter"/>
        </w:rPr>
        <w:t xml:space="preserve">, f. 8; </w:t>
      </w:r>
      <w:hyperlink w:anchor="SENTENCIA_2013_134" w:history="1">
        <w:r w:rsidRPr="00234417">
          <w:rPr>
            <w:rStyle w:val="TextoNormalCaracter"/>
          </w:rPr>
          <w:t>134/2013</w:t>
        </w:r>
      </w:hyperlink>
      <w:r w:rsidRPr="00234417">
        <w:rPr>
          <w:rStyle w:val="TextoNormalCaracter"/>
        </w:rPr>
        <w:t>, f. 6.</w:t>
      </w:r>
    </w:p>
    <w:p w:rsidR="00234417" w:rsidRPr="00234417" w:rsidRDefault="00234417" w:rsidP="00234417">
      <w:pPr>
        <w:pStyle w:val="TextoNormalSangraFrancesa"/>
        <w:rPr>
          <w:rStyle w:val="TextoNormalCaracter"/>
        </w:rPr>
      </w:pPr>
      <w:bookmarkStart w:id="2021" w:name="DESCRIPTORALFABETICO789"/>
      <w:r w:rsidRPr="00234417">
        <w:rPr>
          <w:rStyle w:val="TextoNormalNegritaCaracter"/>
        </w:rPr>
        <w:t>Promoción de viviendas de protección pública</w:t>
      </w:r>
      <w:bookmarkEnd w:id="2021"/>
      <w:r w:rsidRPr="00234417">
        <w:rPr>
          <w:rStyle w:val="TextoNormalCaracter"/>
        </w:rPr>
        <w:t xml:space="preserve">, Sentencia </w:t>
      </w:r>
      <w:hyperlink w:anchor="SENTENCIA_2013_112" w:history="1">
        <w:r w:rsidRPr="00234417">
          <w:rPr>
            <w:rStyle w:val="TextoNormalCaracter"/>
          </w:rPr>
          <w:t>112/2013</w:t>
        </w:r>
      </w:hyperlink>
      <w:r w:rsidRPr="00234417">
        <w:rPr>
          <w:rStyle w:val="TextoNormalCaracter"/>
        </w:rPr>
        <w:t>, f. 5.</w:t>
      </w:r>
    </w:p>
    <w:p w:rsidR="00234417" w:rsidRPr="00234417" w:rsidRDefault="00234417" w:rsidP="00234417">
      <w:pPr>
        <w:pStyle w:val="TextoNormalSangraFrancesa"/>
        <w:rPr>
          <w:rStyle w:val="TextoNormalCaracter"/>
        </w:rPr>
      </w:pPr>
      <w:bookmarkStart w:id="2022" w:name="DESCRIPTORALFABETICO593"/>
      <w:r w:rsidRPr="00234417">
        <w:rPr>
          <w:rStyle w:val="TextoNormalNegritaCaracter"/>
        </w:rPr>
        <w:t>Promoción interna</w:t>
      </w:r>
      <w:bookmarkEnd w:id="2022"/>
      <w:r w:rsidRPr="00234417">
        <w:rPr>
          <w:rStyle w:val="TextoNormalCaracter"/>
        </w:rPr>
        <w:t xml:space="preserve">, Sentencia </w:t>
      </w:r>
      <w:hyperlink w:anchor="SENTENCIA_2013_33" w:history="1">
        <w:r w:rsidRPr="00234417">
          <w:rPr>
            <w:rStyle w:val="TextoNormalCaracter"/>
          </w:rPr>
          <w:t>33/2013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2023" w:name="DESCRIPTORALFABETICO335"/>
      <w:r w:rsidRPr="00234417">
        <w:rPr>
          <w:rStyle w:val="TextoNormalNegritaCaracter"/>
        </w:rPr>
        <w:lastRenderedPageBreak/>
        <w:t>Pronunciamiento preventivo</w:t>
      </w:r>
      <w:bookmarkEnd w:id="2023"/>
      <w:r w:rsidRPr="00234417">
        <w:rPr>
          <w:rStyle w:val="TextoNormalCaracter"/>
        </w:rPr>
        <w:t xml:space="preserve">, Sentencia </w:t>
      </w:r>
      <w:hyperlink w:anchor="SENTENCIA_2013_101" w:history="1">
        <w:r w:rsidRPr="00234417">
          <w:rPr>
            <w:rStyle w:val="TextoNormalCaracter"/>
          </w:rPr>
          <w:t>101/2013</w:t>
        </w:r>
      </w:hyperlink>
      <w:r w:rsidRPr="00234417">
        <w:rPr>
          <w:rStyle w:val="TextoNormalCaracter"/>
        </w:rPr>
        <w:t>, f. 11.</w:t>
      </w:r>
    </w:p>
    <w:p w:rsidR="00234417" w:rsidRPr="00234417" w:rsidRDefault="00234417" w:rsidP="00234417">
      <w:pPr>
        <w:pStyle w:val="TextoNormalSangraFrancesa"/>
        <w:rPr>
          <w:rStyle w:val="TextoNormalCaracter"/>
        </w:rPr>
      </w:pPr>
      <w:bookmarkStart w:id="2024" w:name="DESCRIPTORALFABETICO208"/>
      <w:r w:rsidRPr="00234417">
        <w:rPr>
          <w:rStyle w:val="TextoNormalNegritaCaracter"/>
        </w:rPr>
        <w:t>Proporcionalidad de las medidas restrictivas de derechos fundamentales</w:t>
      </w:r>
      <w:bookmarkEnd w:id="2024"/>
      <w:r w:rsidRPr="00234417">
        <w:rPr>
          <w:rStyle w:val="TextoNormalCaracter"/>
        </w:rPr>
        <w:t xml:space="preserve">, Sentencia </w:t>
      </w:r>
      <w:hyperlink w:anchor="SENTENCIA_2013_115" w:history="1">
        <w:r w:rsidRPr="00234417">
          <w:rPr>
            <w:rStyle w:val="TextoNormalCaracter"/>
          </w:rPr>
          <w:t>115/2013</w:t>
        </w:r>
      </w:hyperlink>
      <w:r w:rsidRPr="00234417">
        <w:rPr>
          <w:rStyle w:val="TextoNormalCaracter"/>
        </w:rPr>
        <w:t>, ff. 3, 5, 6.</w:t>
      </w:r>
    </w:p>
    <w:p w:rsidR="00234417" w:rsidRPr="00234417" w:rsidRDefault="00234417" w:rsidP="00234417">
      <w:pPr>
        <w:pStyle w:val="TextoNormalSangraFrancesa"/>
        <w:rPr>
          <w:rStyle w:val="TextoNormalNegritaCaracter"/>
        </w:rPr>
      </w:pPr>
      <w:r w:rsidRPr="00234417">
        <w:rPr>
          <w:rStyle w:val="TextoNormalCursivaCaracter"/>
        </w:rPr>
        <w:t>Protección de datos de carácter personal</w:t>
      </w:r>
      <w:r>
        <w:t xml:space="preserve"> véase </w:t>
      </w:r>
      <w:hyperlink w:anchor="DESCRIPTORALFABETICO151" w:history="1">
        <w:r w:rsidRPr="00234417">
          <w:rPr>
            <w:rStyle w:val="TextoNormalNegritaCaracter"/>
          </w:rPr>
          <w:t>Derecho a la protección de datos personales</w:t>
        </w:r>
      </w:hyperlink>
    </w:p>
    <w:p w:rsidR="00234417" w:rsidRPr="00234417" w:rsidRDefault="00234417" w:rsidP="00234417">
      <w:pPr>
        <w:pStyle w:val="TextoNormalSangraFrancesa"/>
        <w:rPr>
          <w:rStyle w:val="TextoNormalNegritaCaracter"/>
        </w:rPr>
      </w:pPr>
      <w:r w:rsidRPr="00234417">
        <w:rPr>
          <w:rStyle w:val="TextoNormalCursivaCaracter"/>
        </w:rPr>
        <w:t>Protección de datos personales</w:t>
      </w:r>
      <w:r>
        <w:t xml:space="preserve"> véase </w:t>
      </w:r>
      <w:hyperlink w:anchor="DESCRIPTORALFABETICO151" w:history="1">
        <w:r w:rsidRPr="00234417">
          <w:rPr>
            <w:rStyle w:val="TextoNormalNegritaCaracter"/>
          </w:rPr>
          <w:t>Derecho a la protección de datos personales</w:t>
        </w:r>
      </w:hyperlink>
    </w:p>
    <w:p w:rsidR="00234417" w:rsidRPr="00234417" w:rsidRDefault="00234417" w:rsidP="00234417">
      <w:pPr>
        <w:pStyle w:val="TextoNormalSangraFrancesa"/>
        <w:rPr>
          <w:rStyle w:val="TextoNormalCaracter"/>
        </w:rPr>
      </w:pPr>
      <w:bookmarkStart w:id="2025" w:name="DESCRIPTORALFABETICO552"/>
      <w:r w:rsidRPr="00234417">
        <w:rPr>
          <w:rStyle w:val="TextoNormalNegritaCaracter"/>
        </w:rPr>
        <w:t>Protección de la calidad del suministro de energía eléctrica</w:t>
      </w:r>
      <w:bookmarkEnd w:id="2025"/>
      <w:r w:rsidRPr="00234417">
        <w:rPr>
          <w:rStyle w:val="TextoNormalCaracter"/>
        </w:rPr>
        <w:t xml:space="preserve">, Sentencias </w:t>
      </w:r>
      <w:hyperlink w:anchor="SENTENCIA_2013_4" w:history="1">
        <w:r w:rsidRPr="00234417">
          <w:rPr>
            <w:rStyle w:val="TextoNormalCaracter"/>
          </w:rPr>
          <w:t>4/2013</w:t>
        </w:r>
      </w:hyperlink>
      <w:r w:rsidRPr="00234417">
        <w:rPr>
          <w:rStyle w:val="TextoNormalCaracter"/>
        </w:rPr>
        <w:t xml:space="preserve">, ff. 1 a 11; </w:t>
      </w:r>
      <w:hyperlink w:anchor="SENTENCIA_2013_102" w:history="1">
        <w:r w:rsidRPr="00234417">
          <w:rPr>
            <w:rStyle w:val="TextoNormalCaracter"/>
          </w:rPr>
          <w:t>102/2013</w:t>
        </w:r>
      </w:hyperlink>
      <w:r w:rsidRPr="00234417">
        <w:rPr>
          <w:rStyle w:val="TextoNormalCaracter"/>
        </w:rPr>
        <w:t>, ff. 4, 7.</w:t>
      </w:r>
    </w:p>
    <w:p w:rsidR="00234417" w:rsidRPr="00234417" w:rsidRDefault="00234417" w:rsidP="00234417">
      <w:pPr>
        <w:pStyle w:val="TextoNormalSangraFrancesa"/>
        <w:rPr>
          <w:rStyle w:val="TextoNormalCaracter"/>
        </w:rPr>
      </w:pPr>
      <w:bookmarkStart w:id="2026" w:name="DESCRIPTORALFABETICO620"/>
      <w:r w:rsidRPr="00234417">
        <w:rPr>
          <w:rStyle w:val="TextoNormalNegritaCaracter"/>
        </w:rPr>
        <w:t>Protección de los montes</w:t>
      </w:r>
      <w:bookmarkEnd w:id="2026"/>
      <w:r w:rsidRPr="00234417">
        <w:rPr>
          <w:rStyle w:val="TextoNormalCaracter"/>
        </w:rPr>
        <w:t xml:space="preserve">, Sentencias </w:t>
      </w:r>
      <w:hyperlink w:anchor="SENTENCIA_2013_84" w:history="1">
        <w:r w:rsidRPr="00234417">
          <w:rPr>
            <w:rStyle w:val="TextoNormalCaracter"/>
          </w:rPr>
          <w:t>84/2013</w:t>
        </w:r>
      </w:hyperlink>
      <w:r w:rsidRPr="00234417">
        <w:rPr>
          <w:rStyle w:val="TextoNormalCaracter"/>
        </w:rPr>
        <w:t xml:space="preserve">, ff. 2, 4, 5; </w:t>
      </w:r>
      <w:hyperlink w:anchor="SENTENCIA_2013_97" w:history="1">
        <w:r w:rsidRPr="00234417">
          <w:rPr>
            <w:rStyle w:val="TextoNormalCaracter"/>
          </w:rPr>
          <w:t>97/2013</w:t>
        </w:r>
      </w:hyperlink>
      <w:r w:rsidRPr="00234417">
        <w:rPr>
          <w:rStyle w:val="TextoNormalCaracter"/>
        </w:rPr>
        <w:t>, ff. 4 a 6.</w:t>
      </w:r>
    </w:p>
    <w:p w:rsidR="00234417" w:rsidRPr="00234417" w:rsidRDefault="00234417" w:rsidP="00234417">
      <w:pPr>
        <w:pStyle w:val="TextoNormalSangraFrancesa"/>
        <w:rPr>
          <w:rStyle w:val="TextoNormalCaracter"/>
        </w:rPr>
      </w:pPr>
      <w:bookmarkStart w:id="2027" w:name="DESCRIPTORALFABETICO720"/>
      <w:r w:rsidRPr="00234417">
        <w:rPr>
          <w:rStyle w:val="TextoNormalNegritaCaracter"/>
        </w:rPr>
        <w:t>Protección de menores</w:t>
      </w:r>
      <w:bookmarkEnd w:id="2027"/>
      <w:r w:rsidRPr="00234417">
        <w:rPr>
          <w:rStyle w:val="TextoNormalCaracter"/>
        </w:rPr>
        <w:t xml:space="preserve">, Sentencia </w:t>
      </w:r>
      <w:hyperlink w:anchor="SENTENCIA_2013_93" w:history="1">
        <w:r w:rsidRPr="00234417">
          <w:rPr>
            <w:rStyle w:val="TextoNormalCaracter"/>
          </w:rPr>
          <w:t>93/2013</w:t>
        </w:r>
      </w:hyperlink>
      <w:r w:rsidRPr="00234417">
        <w:rPr>
          <w:rStyle w:val="TextoNormalCaracter"/>
        </w:rPr>
        <w:t>, f. 12.</w:t>
      </w:r>
    </w:p>
    <w:p w:rsidR="00234417" w:rsidRPr="00234417" w:rsidRDefault="00234417" w:rsidP="00234417">
      <w:pPr>
        <w:pStyle w:val="TextoNormalSangraFrancesa"/>
        <w:rPr>
          <w:rStyle w:val="TextoNormalCaracter"/>
        </w:rPr>
      </w:pPr>
      <w:bookmarkStart w:id="2028" w:name="DESCRIPTORALFABETICO621"/>
      <w:r w:rsidRPr="00234417">
        <w:rPr>
          <w:rStyle w:val="TextoNormalNegritaCaracter"/>
        </w:rPr>
        <w:t>Protección del medio ambiente</w:t>
      </w:r>
      <w:bookmarkEnd w:id="2028"/>
      <w:r w:rsidRPr="00234417">
        <w:rPr>
          <w:rStyle w:val="TextoNormalCaracter"/>
        </w:rPr>
        <w:t xml:space="preserve">, Sentencias </w:t>
      </w:r>
      <w:hyperlink w:anchor="SENTENCIA_2013_5" w:history="1">
        <w:r w:rsidRPr="00234417">
          <w:rPr>
            <w:rStyle w:val="TextoNormalCaracter"/>
          </w:rPr>
          <w:t>5/2013</w:t>
        </w:r>
      </w:hyperlink>
      <w:r w:rsidRPr="00234417">
        <w:rPr>
          <w:rStyle w:val="TextoNormalCaracter"/>
        </w:rPr>
        <w:t xml:space="preserve">, ff. 6, 7; </w:t>
      </w:r>
      <w:hyperlink w:anchor="SENTENCIA_2013_36" w:history="1">
        <w:r w:rsidRPr="00234417">
          <w:rPr>
            <w:rStyle w:val="TextoNormalCaracter"/>
          </w:rPr>
          <w:t>36/2013</w:t>
        </w:r>
      </w:hyperlink>
      <w:r w:rsidRPr="00234417">
        <w:rPr>
          <w:rStyle w:val="TextoNormalCaracter"/>
        </w:rPr>
        <w:t xml:space="preserve">, f. 7; </w:t>
      </w:r>
      <w:hyperlink w:anchor="SENTENCIA_2013_49" w:history="1">
        <w:r w:rsidRPr="00234417">
          <w:rPr>
            <w:rStyle w:val="TextoNormalCaracter"/>
          </w:rPr>
          <w:t>49/2013</w:t>
        </w:r>
      </w:hyperlink>
      <w:r w:rsidRPr="00234417">
        <w:rPr>
          <w:rStyle w:val="TextoNormalCaracter"/>
        </w:rPr>
        <w:t xml:space="preserve">, f. 12; </w:t>
      </w:r>
      <w:hyperlink w:anchor="SENTENCIA_2013_84" w:history="1">
        <w:r w:rsidRPr="00234417">
          <w:rPr>
            <w:rStyle w:val="TextoNormalCaracter"/>
          </w:rPr>
          <w:t>84/2013</w:t>
        </w:r>
      </w:hyperlink>
      <w:r w:rsidRPr="00234417">
        <w:rPr>
          <w:rStyle w:val="TextoNormalCaracter"/>
        </w:rPr>
        <w:t xml:space="preserve">, f. 2; </w:t>
      </w:r>
      <w:hyperlink w:anchor="SENTENCIA_2013_85" w:history="1">
        <w:r w:rsidRPr="00234417">
          <w:rPr>
            <w:rStyle w:val="TextoNormalCaracter"/>
          </w:rPr>
          <w:t>85/2013</w:t>
        </w:r>
      </w:hyperlink>
      <w:r w:rsidRPr="00234417">
        <w:rPr>
          <w:rStyle w:val="TextoNormalCaracter"/>
        </w:rPr>
        <w:t xml:space="preserve">, f. 5; </w:t>
      </w:r>
      <w:hyperlink w:anchor="SENTENCIA_2013_87" w:history="1">
        <w:r w:rsidRPr="00234417">
          <w:rPr>
            <w:rStyle w:val="TextoNormalCaracter"/>
          </w:rPr>
          <w:t>87/2013</w:t>
        </w:r>
      </w:hyperlink>
      <w:r w:rsidRPr="00234417">
        <w:rPr>
          <w:rStyle w:val="TextoNormalCaracter"/>
        </w:rPr>
        <w:t xml:space="preserve">, f. 6; </w:t>
      </w:r>
      <w:hyperlink w:anchor="SENTENCIA_2013_97" w:history="1">
        <w:r w:rsidRPr="00234417">
          <w:rPr>
            <w:rStyle w:val="TextoNormalCaracter"/>
          </w:rPr>
          <w:t>97/2013</w:t>
        </w:r>
      </w:hyperlink>
      <w:r w:rsidRPr="00234417">
        <w:rPr>
          <w:rStyle w:val="TextoNormalCaracter"/>
        </w:rPr>
        <w:t xml:space="preserve">, ff. 1, 2, 3, 4, 5, 6; </w:t>
      </w:r>
      <w:hyperlink w:anchor="SENTENCIA_2013_102" w:history="1">
        <w:r w:rsidRPr="00234417">
          <w:rPr>
            <w:rStyle w:val="TextoNormalCaracter"/>
          </w:rPr>
          <w:t>102/2013</w:t>
        </w:r>
      </w:hyperlink>
      <w:r w:rsidRPr="00234417">
        <w:rPr>
          <w:rStyle w:val="TextoNormalCaracter"/>
        </w:rPr>
        <w:t xml:space="preserve">, ff. 9 a 12; </w:t>
      </w:r>
      <w:hyperlink w:anchor="SENTENCIA_2013_138" w:history="1">
        <w:r w:rsidRPr="00234417">
          <w:rPr>
            <w:rStyle w:val="TextoNormalCaracter"/>
          </w:rPr>
          <w:t>138/2013</w:t>
        </w:r>
      </w:hyperlink>
      <w:r w:rsidRPr="00234417">
        <w:rPr>
          <w:rStyle w:val="TextoNormalCaracter"/>
        </w:rPr>
        <w:t>, ff. 4, 7, 8.</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23" w:history="1">
        <w:r w:rsidRPr="00234417">
          <w:rPr>
            <w:rStyle w:val="TextoNormalCaracter"/>
          </w:rPr>
          <w:t>23/2013</w:t>
        </w:r>
      </w:hyperlink>
      <w:r w:rsidRPr="00234417">
        <w:rPr>
          <w:rStyle w:val="TextoNormalCaracter"/>
        </w:rPr>
        <w:t>, f. 2.</w:t>
      </w:r>
    </w:p>
    <w:p w:rsidR="00234417" w:rsidRPr="00234417" w:rsidRDefault="00234417" w:rsidP="00234417">
      <w:pPr>
        <w:pStyle w:val="TextoNormalSangraFrancesa"/>
        <w:rPr>
          <w:rStyle w:val="TextoNormalCaracter"/>
        </w:rPr>
      </w:pPr>
      <w:bookmarkStart w:id="2029" w:name="DESCRIPTORALFABETICO504"/>
      <w:r w:rsidRPr="00234417">
        <w:rPr>
          <w:rStyle w:val="TextoNormalNegritaCaracter"/>
        </w:rPr>
        <w:t>Protección del patrimonio histórico</w:t>
      </w:r>
      <w:bookmarkEnd w:id="2029"/>
      <w:r w:rsidRPr="00234417">
        <w:rPr>
          <w:rStyle w:val="TextoNormalCaracter"/>
        </w:rPr>
        <w:t xml:space="preserve">, Sentencias </w:t>
      </w:r>
      <w:hyperlink w:anchor="SENTENCIA_2013_20" w:history="1">
        <w:r w:rsidRPr="00234417">
          <w:rPr>
            <w:rStyle w:val="TextoNormalCaracter"/>
          </w:rPr>
          <w:t>20/2013</w:t>
        </w:r>
      </w:hyperlink>
      <w:r w:rsidRPr="00234417">
        <w:rPr>
          <w:rStyle w:val="TextoNormalCaracter"/>
        </w:rPr>
        <w:t xml:space="preserve">, f. 9;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f. 4.</w:t>
      </w:r>
    </w:p>
    <w:p w:rsidR="00234417" w:rsidRPr="00234417" w:rsidRDefault="00234417" w:rsidP="00234417">
      <w:pPr>
        <w:pStyle w:val="TextoNormalSangraFrancesa"/>
        <w:rPr>
          <w:rStyle w:val="TextoNormalCaracter"/>
        </w:rPr>
      </w:pPr>
      <w:bookmarkStart w:id="2030" w:name="DESCRIPTORALFABETICO209"/>
      <w:r w:rsidRPr="00234417">
        <w:rPr>
          <w:rStyle w:val="TextoNormalNegritaCaracter"/>
        </w:rPr>
        <w:t>Protección jurisdiccional de los derechos fundamentales</w:t>
      </w:r>
      <w:bookmarkEnd w:id="2030"/>
      <w:r w:rsidRPr="00234417">
        <w:rPr>
          <w:rStyle w:val="TextoNormalCaracter"/>
        </w:rPr>
        <w:t xml:space="preserve">, Sentencia </w:t>
      </w:r>
      <w:hyperlink w:anchor="SENTENCIA_2013_11" w:history="1">
        <w:r w:rsidRPr="00234417">
          <w:rPr>
            <w:rStyle w:val="TextoNormalCaracter"/>
          </w:rPr>
          <w:t>11/2013</w:t>
        </w:r>
      </w:hyperlink>
      <w:r w:rsidRPr="00234417">
        <w:rPr>
          <w:rStyle w:val="TextoNormalCaracter"/>
        </w:rPr>
        <w:t>, f. 2.</w:t>
      </w:r>
    </w:p>
    <w:p w:rsidR="00234417" w:rsidRPr="00234417" w:rsidRDefault="00234417" w:rsidP="00234417">
      <w:pPr>
        <w:pStyle w:val="TextoNormalSangraFrancesa"/>
        <w:rPr>
          <w:rStyle w:val="TextoNormalCaracter"/>
        </w:rPr>
      </w:pPr>
      <w:bookmarkStart w:id="2031" w:name="DESCRIPTORALFABETICO394"/>
      <w:r w:rsidRPr="00234417">
        <w:rPr>
          <w:rStyle w:val="TextoNormalNegritaCaracter"/>
        </w:rPr>
        <w:t>Proyectos de ley</w:t>
      </w:r>
      <w:bookmarkEnd w:id="2031"/>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3.</w:t>
      </w:r>
    </w:p>
    <w:p w:rsidR="00234417" w:rsidRPr="00234417" w:rsidRDefault="00234417" w:rsidP="00234417">
      <w:pPr>
        <w:pStyle w:val="TextoNormalSangraFrancesa"/>
        <w:rPr>
          <w:rStyle w:val="TextoNormalCaracter"/>
        </w:rPr>
      </w:pPr>
      <w:bookmarkStart w:id="2032" w:name="DESCRIPTORALFABETICO839"/>
      <w:r w:rsidRPr="00234417">
        <w:rPr>
          <w:rStyle w:val="TextoNormalNegritaCaracter"/>
        </w:rPr>
        <w:t>Prueba biológica</w:t>
      </w:r>
      <w:bookmarkEnd w:id="2032"/>
      <w:r w:rsidRPr="00234417">
        <w:rPr>
          <w:rStyle w:val="TextoNormalCaracter"/>
        </w:rPr>
        <w:t xml:space="preserve">, Auto </w:t>
      </w:r>
      <w:hyperlink w:anchor="AUTO_2013_35" w:history="1">
        <w:r w:rsidRPr="00234417">
          <w:rPr>
            <w:rStyle w:val="TextoNormalCaracter"/>
          </w:rPr>
          <w:t>35/2013</w:t>
        </w:r>
      </w:hyperlink>
      <w:r w:rsidRPr="00234417">
        <w:rPr>
          <w:rStyle w:val="TextoNormalCaracter"/>
        </w:rPr>
        <w:t>, f. 3.</w:t>
      </w:r>
    </w:p>
    <w:p w:rsidR="00234417" w:rsidRPr="00234417" w:rsidRDefault="00234417" w:rsidP="00234417">
      <w:pPr>
        <w:pStyle w:val="TextoNormalSangraFrancesa"/>
        <w:rPr>
          <w:rStyle w:val="TextoNormalCaracter"/>
        </w:rPr>
      </w:pPr>
      <w:bookmarkStart w:id="2033" w:name="DESCRIPTORALFABETICO916"/>
      <w:r w:rsidRPr="00234417">
        <w:rPr>
          <w:rStyle w:val="TextoNormalNegritaCaracter"/>
        </w:rPr>
        <w:t>Prueba de cargo</w:t>
      </w:r>
      <w:bookmarkEnd w:id="2033"/>
      <w:r w:rsidRPr="00234417">
        <w:rPr>
          <w:rStyle w:val="TextoNormalCaracter"/>
        </w:rPr>
        <w:t xml:space="preserve">, Sentencias </w:t>
      </w:r>
      <w:hyperlink w:anchor="SENTENCIA_2013_53" w:history="1">
        <w:r w:rsidRPr="00234417">
          <w:rPr>
            <w:rStyle w:val="TextoNormalCaracter"/>
          </w:rPr>
          <w:t>53/2013</w:t>
        </w:r>
      </w:hyperlink>
      <w:r w:rsidRPr="00234417">
        <w:rPr>
          <w:rStyle w:val="TextoNormalCaracter"/>
        </w:rPr>
        <w:t xml:space="preserve">, ff. 1, 2, 3, 4, 5, 6, 7; </w:t>
      </w:r>
      <w:hyperlink w:anchor="SENTENCIA_2013_57" w:history="1">
        <w:r w:rsidRPr="00234417">
          <w:rPr>
            <w:rStyle w:val="TextoNormalCaracter"/>
          </w:rPr>
          <w:t>57/2013</w:t>
        </w:r>
      </w:hyperlink>
      <w:r w:rsidRPr="00234417">
        <w:rPr>
          <w:rStyle w:val="TextoNormalCaracter"/>
        </w:rPr>
        <w:t>, ff. 3, 6.</w:t>
      </w:r>
    </w:p>
    <w:p w:rsidR="00234417" w:rsidRPr="00234417" w:rsidRDefault="00234417" w:rsidP="00234417">
      <w:pPr>
        <w:pStyle w:val="TextoNormalSangraFrancesa"/>
        <w:rPr>
          <w:rStyle w:val="TextoNormalCaracter"/>
        </w:rPr>
      </w:pPr>
      <w:bookmarkStart w:id="2034" w:name="DESCRIPTORALFABETICO909"/>
      <w:r w:rsidRPr="00234417">
        <w:rPr>
          <w:rStyle w:val="TextoNormalNegritaCaracter"/>
        </w:rPr>
        <w:t>Prueba penal</w:t>
      </w:r>
      <w:bookmarkEnd w:id="2034"/>
      <w:r w:rsidRPr="00234417">
        <w:rPr>
          <w:rStyle w:val="TextoNormalCaracter"/>
        </w:rPr>
        <w:t xml:space="preserve">, Sentencia </w:t>
      </w:r>
      <w:hyperlink w:anchor="SENTENCIA_2013_53" w:history="1">
        <w:r w:rsidRPr="00234417">
          <w:rPr>
            <w:rStyle w:val="TextoNormalCaracter"/>
          </w:rPr>
          <w:t>53/2013</w:t>
        </w:r>
      </w:hyperlink>
      <w:r w:rsidRPr="00234417">
        <w:rPr>
          <w:rStyle w:val="TextoNormalCaracter"/>
        </w:rPr>
        <w:t>, ff. 3, 7.</w:t>
      </w:r>
    </w:p>
    <w:p w:rsidR="00234417" w:rsidRPr="00234417" w:rsidRDefault="00234417" w:rsidP="00234417">
      <w:pPr>
        <w:pStyle w:val="TextoNormalSangraFrancesa"/>
        <w:rPr>
          <w:rStyle w:val="TextoNormalCaracter"/>
        </w:rPr>
      </w:pPr>
      <w:bookmarkStart w:id="2035" w:name="DESCRIPTORALFABETICO840"/>
      <w:r w:rsidRPr="00234417">
        <w:rPr>
          <w:rStyle w:val="TextoNormalNegritaCaracter"/>
        </w:rPr>
        <w:t>Prueba pericial</w:t>
      </w:r>
      <w:bookmarkEnd w:id="2035"/>
      <w:r w:rsidRPr="00234417">
        <w:rPr>
          <w:rStyle w:val="TextoNormalCaracter"/>
        </w:rPr>
        <w:t xml:space="preserve">, Sentencia </w:t>
      </w:r>
      <w:hyperlink w:anchor="SENTENCIA_2013_126" w:history="1">
        <w:r w:rsidRPr="00234417">
          <w:rPr>
            <w:rStyle w:val="TextoNormalCaracter"/>
          </w:rPr>
          <w:t>126/2013</w:t>
        </w:r>
      </w:hyperlink>
      <w:r w:rsidRPr="00234417">
        <w:rPr>
          <w:rStyle w:val="TextoNormalCaracter"/>
        </w:rPr>
        <w:t>, f. 6.</w:t>
      </w:r>
    </w:p>
    <w:p w:rsidR="00234417" w:rsidRPr="00234417" w:rsidRDefault="00234417" w:rsidP="00234417">
      <w:pPr>
        <w:pStyle w:val="TextoNormalSangraFrancesa"/>
        <w:rPr>
          <w:rStyle w:val="TextoNormalCaracter"/>
        </w:rPr>
      </w:pPr>
      <w:bookmarkStart w:id="2036" w:name="DESCRIPTORALFABETICO843"/>
      <w:r w:rsidRPr="00234417">
        <w:rPr>
          <w:rStyle w:val="TextoNormalNegritaCaracter"/>
        </w:rPr>
        <w:t>Prueba preconstituida</w:t>
      </w:r>
      <w:bookmarkEnd w:id="2036"/>
      <w:r w:rsidRPr="00234417">
        <w:rPr>
          <w:rStyle w:val="TextoNormalCaracter"/>
        </w:rPr>
        <w:t xml:space="preserve">, Sentencia </w:t>
      </w:r>
      <w:hyperlink w:anchor="SENTENCIA_2013_75" w:history="1">
        <w:r w:rsidRPr="00234417">
          <w:rPr>
            <w:rStyle w:val="TextoNormalCaracter"/>
          </w:rPr>
          <w:t>75/2013</w:t>
        </w:r>
      </w:hyperlink>
      <w:r w:rsidRPr="00234417">
        <w:rPr>
          <w:rStyle w:val="TextoNormalCaracter"/>
        </w:rPr>
        <w:t>, f. 4.</w:t>
      </w:r>
    </w:p>
    <w:p w:rsidR="00234417" w:rsidRPr="00234417" w:rsidRDefault="00234417" w:rsidP="00234417">
      <w:pPr>
        <w:pStyle w:val="TextoNormalSangraFrancesa"/>
        <w:rPr>
          <w:rStyle w:val="TextoNormalCaracter"/>
        </w:rPr>
      </w:pPr>
      <w:bookmarkStart w:id="2037" w:name="DESCRIPTORALFABETICO844"/>
      <w:r w:rsidRPr="00234417">
        <w:rPr>
          <w:rStyle w:val="TextoNormalNegritaCaracter"/>
        </w:rPr>
        <w:t>Prueba testifical</w:t>
      </w:r>
      <w:bookmarkEnd w:id="2037"/>
      <w:r w:rsidRPr="00234417">
        <w:rPr>
          <w:rStyle w:val="TextoNormalCaracter"/>
        </w:rPr>
        <w:t xml:space="preserve">, Sentencia </w:t>
      </w:r>
      <w:hyperlink w:anchor="SENTENCIA_2013_75" w:history="1">
        <w:r w:rsidRPr="00234417">
          <w:rPr>
            <w:rStyle w:val="TextoNormalCaracter"/>
          </w:rPr>
          <w:t>75/2013</w:t>
        </w:r>
      </w:hyperlink>
      <w:r w:rsidRPr="00234417">
        <w:rPr>
          <w:rStyle w:val="TextoNormalCaracter"/>
        </w:rPr>
        <w:t>, f. 4.</w:t>
      </w:r>
    </w:p>
    <w:p w:rsidR="00234417" w:rsidRPr="00234417" w:rsidRDefault="00234417" w:rsidP="00234417">
      <w:pPr>
        <w:pStyle w:val="TextoNormalSangraFrancesa"/>
        <w:rPr>
          <w:rStyle w:val="TextoNormalNegritaCaracter"/>
        </w:rPr>
      </w:pPr>
      <w:r w:rsidRPr="00234417">
        <w:rPr>
          <w:rStyle w:val="TextoNormalCursivaCaracter"/>
        </w:rPr>
        <w:t>Publicidad de las actuaciones judiciales</w:t>
      </w:r>
      <w:r>
        <w:t xml:space="preserve"> véase </w:t>
      </w:r>
      <w:hyperlink w:anchor="DESCRIPTORALFABETICO871" w:history="1">
        <w:r w:rsidRPr="00234417">
          <w:rPr>
            <w:rStyle w:val="TextoNormalNegritaCaracter"/>
          </w:rPr>
          <w:t>Principio de publicidad procesal</w:t>
        </w:r>
      </w:hyperlink>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Q</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2038" w:name="DESCRIPTORALFABETICO739"/>
      <w:r w:rsidRPr="00234417">
        <w:rPr>
          <w:rStyle w:val="TextoNormalNegritaCaracter"/>
        </w:rPr>
        <w:t>Quejas de los reclusos</w:t>
      </w:r>
      <w:bookmarkEnd w:id="2038"/>
      <w:r w:rsidRPr="00234417">
        <w:rPr>
          <w:rStyle w:val="TextoNormalCaracter"/>
        </w:rPr>
        <w:t xml:space="preserve">, Sentencia </w:t>
      </w:r>
      <w:hyperlink w:anchor="SENTENCIA_2013_128" w:history="1">
        <w:r w:rsidRPr="00234417">
          <w:rPr>
            <w:rStyle w:val="TextoNormalCaracter"/>
          </w:rPr>
          <w:t>128/2013</w:t>
        </w:r>
      </w:hyperlink>
      <w:r w:rsidRPr="00234417">
        <w:rPr>
          <w:rStyle w:val="TextoNormalCaracter"/>
        </w:rPr>
        <w:t>, ff. 3 a 5.</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R</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2039" w:name="DESCRIPTORALFABETICO561"/>
      <w:r w:rsidRPr="00234417">
        <w:rPr>
          <w:rStyle w:val="TextoNormalNegritaCaracter"/>
        </w:rPr>
        <w:t>Reclamación de filiación extramatrimonial</w:t>
      </w:r>
      <w:bookmarkEnd w:id="2039"/>
      <w:r w:rsidRPr="00234417">
        <w:rPr>
          <w:rStyle w:val="TextoNormalCaracter"/>
        </w:rPr>
        <w:t xml:space="preserve">, Auto </w:t>
      </w:r>
      <w:hyperlink w:anchor="AUTO_2013_35" w:history="1">
        <w:r w:rsidRPr="00234417">
          <w:rPr>
            <w:rStyle w:val="TextoNormalCaracter"/>
          </w:rPr>
          <w:t>35/2013</w:t>
        </w:r>
      </w:hyperlink>
      <w:r w:rsidRPr="00234417">
        <w:rPr>
          <w:rStyle w:val="TextoNormalCaracter"/>
        </w:rPr>
        <w:t>, f. 1.</w:t>
      </w:r>
    </w:p>
    <w:p w:rsidR="00234417" w:rsidRPr="00234417" w:rsidRDefault="00234417" w:rsidP="00234417">
      <w:pPr>
        <w:pStyle w:val="TextoNormalSangraFrancesa"/>
        <w:rPr>
          <w:rStyle w:val="TextoNormalCaracter"/>
        </w:rPr>
      </w:pPr>
      <w:bookmarkStart w:id="2040" w:name="DESCRIPTORALFABETICO547"/>
      <w:r w:rsidRPr="00234417">
        <w:rPr>
          <w:rStyle w:val="TextoNormalNegritaCaracter"/>
        </w:rPr>
        <w:t>Reconocimiento de universidades privadas</w:t>
      </w:r>
      <w:bookmarkEnd w:id="2040"/>
      <w:r w:rsidRPr="00234417">
        <w:rPr>
          <w:rStyle w:val="TextoNormalCaracter"/>
        </w:rPr>
        <w:t xml:space="preserve">, Sentencia </w:t>
      </w:r>
      <w:hyperlink w:anchor="SENTENCIA_2013_131" w:history="1">
        <w:r w:rsidRPr="00234417">
          <w:rPr>
            <w:rStyle w:val="TextoNormalCaracter"/>
          </w:rPr>
          <w:t>131/2013</w:t>
        </w:r>
      </w:hyperlink>
      <w:r w:rsidRPr="00234417">
        <w:rPr>
          <w:rStyle w:val="TextoNormalCaracter"/>
        </w:rPr>
        <w:t>, f. 10, VP I, VP II, VP III, VP IV, VP V.</w:t>
      </w:r>
    </w:p>
    <w:p w:rsidR="00234417" w:rsidRPr="00234417" w:rsidRDefault="00234417" w:rsidP="00234417">
      <w:pPr>
        <w:pStyle w:val="TextoNormalSangraFrancesa"/>
        <w:rPr>
          <w:rStyle w:val="TextoNormalCaracter"/>
        </w:rPr>
      </w:pPr>
      <w:bookmarkStart w:id="2041" w:name="DESCRIPTORALFABETICO887"/>
      <w:r w:rsidRPr="00234417">
        <w:rPr>
          <w:rStyle w:val="TextoNormalNegritaCaracter"/>
        </w:rPr>
        <w:t>Reconvención</w:t>
      </w:r>
      <w:bookmarkEnd w:id="2041"/>
      <w:r w:rsidRPr="00234417">
        <w:rPr>
          <w:rStyle w:val="TextoNormalCaracter"/>
        </w:rPr>
        <w:t xml:space="preserve">, Sentencia </w:t>
      </w:r>
      <w:hyperlink w:anchor="SENTENCIA_2013_106" w:history="1">
        <w:r w:rsidRPr="00234417">
          <w:rPr>
            <w:rStyle w:val="TextoNormalCaracter"/>
          </w:rPr>
          <w:t>106/2013</w:t>
        </w:r>
      </w:hyperlink>
      <w:r w:rsidRPr="00234417">
        <w:rPr>
          <w:rStyle w:val="TextoNormalCaracter"/>
        </w:rPr>
        <w:t>, f. 5.</w:t>
      </w:r>
    </w:p>
    <w:p w:rsidR="00234417" w:rsidRPr="00234417" w:rsidRDefault="00234417" w:rsidP="00234417">
      <w:pPr>
        <w:pStyle w:val="TextoNormalSangraFrancesa"/>
        <w:rPr>
          <w:rStyle w:val="TextoNormalCaracter"/>
        </w:rPr>
      </w:pPr>
      <w:bookmarkStart w:id="2042" w:name="DESCRIPTORALFABETICO330"/>
      <w:r w:rsidRPr="00234417">
        <w:rPr>
          <w:rStyle w:val="TextoNormalNegritaCaracter"/>
        </w:rPr>
        <w:t>Rectificación de Autos del Tribunal Constitucional</w:t>
      </w:r>
      <w:bookmarkEnd w:id="2042"/>
      <w:r w:rsidRPr="00234417">
        <w:rPr>
          <w:rStyle w:val="TextoNormalCaracter"/>
        </w:rPr>
        <w:t xml:space="preserve">, Auto </w:t>
      </w:r>
      <w:hyperlink w:anchor="AUTO_2013_92" w:history="1">
        <w:r w:rsidRPr="00234417">
          <w:rPr>
            <w:rStyle w:val="TextoNormalCaracter"/>
          </w:rPr>
          <w:t>92/2013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2043" w:name="DESCRIPTORALFABETICO831"/>
      <w:r w:rsidRPr="00234417">
        <w:rPr>
          <w:rStyle w:val="TextoNormalNegritaCaracter"/>
        </w:rPr>
        <w:t>Rectificación de error material</w:t>
      </w:r>
      <w:bookmarkEnd w:id="2043"/>
      <w:r w:rsidRPr="00234417">
        <w:rPr>
          <w:rStyle w:val="TextoNormalCaracter"/>
        </w:rPr>
        <w:t xml:space="preserve">, Auto </w:t>
      </w:r>
      <w:hyperlink w:anchor="AUTO_2013_68" w:history="1">
        <w:r w:rsidRPr="00234417">
          <w:rPr>
            <w:rStyle w:val="TextoNormalCaracter"/>
          </w:rPr>
          <w:t>68/2013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2044" w:name="DESCRIPTORALFABETICO331"/>
      <w:r w:rsidRPr="00234417">
        <w:rPr>
          <w:rStyle w:val="TextoNormalNegritaCaracter"/>
        </w:rPr>
        <w:t>Rectificación de sentencias del Tribunal Constitucional</w:t>
      </w:r>
      <w:bookmarkEnd w:id="2044"/>
      <w:r w:rsidRPr="00234417">
        <w:rPr>
          <w:rStyle w:val="TextoNormalCaracter"/>
        </w:rPr>
        <w:t xml:space="preserve">, Auto </w:t>
      </w:r>
      <w:hyperlink w:anchor="AUTO_2013_134" w:history="1">
        <w:r w:rsidRPr="00234417">
          <w:rPr>
            <w:rStyle w:val="TextoNormalCaracter"/>
          </w:rPr>
          <w:t>134/2013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2045" w:name="DESCRIPTORALFABETICO332"/>
      <w:r w:rsidRPr="00234417">
        <w:rPr>
          <w:rStyle w:val="TextoNormalNegritaCaracter"/>
        </w:rPr>
        <w:t>Rectificación procedente</w:t>
      </w:r>
      <w:bookmarkEnd w:id="2045"/>
      <w:r w:rsidRPr="00234417">
        <w:rPr>
          <w:rStyle w:val="TextoNormalCaracter"/>
        </w:rPr>
        <w:t xml:space="preserve">, Auto </w:t>
      </w:r>
      <w:hyperlink w:anchor="AUTO_2013_92" w:history="1">
        <w:r w:rsidRPr="00234417">
          <w:rPr>
            <w:rStyle w:val="TextoNormalCaracter"/>
          </w:rPr>
          <w:t>92/2013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2046" w:name="DESCRIPTORALFABETICO545"/>
      <w:r w:rsidRPr="00234417">
        <w:rPr>
          <w:rStyle w:val="TextoNormalNegritaCaracter"/>
        </w:rPr>
        <w:t>Rectores universitarios</w:t>
      </w:r>
      <w:bookmarkEnd w:id="2046"/>
      <w:r w:rsidRPr="00234417">
        <w:rPr>
          <w:rStyle w:val="TextoNormalCaracter"/>
        </w:rPr>
        <w:t xml:space="preserve">, Sentencia </w:t>
      </w:r>
      <w:hyperlink w:anchor="SENTENCIA_2013_131" w:history="1">
        <w:r w:rsidRPr="00234417">
          <w:rPr>
            <w:rStyle w:val="TextoNormalCaracter"/>
          </w:rPr>
          <w:t>131/2013</w:t>
        </w:r>
      </w:hyperlink>
      <w:r w:rsidRPr="00234417">
        <w:rPr>
          <w:rStyle w:val="TextoNormalCaracter"/>
        </w:rPr>
        <w:t>, ff. 4, 8.</w:t>
      </w:r>
    </w:p>
    <w:p w:rsidR="00234417" w:rsidRPr="00234417" w:rsidRDefault="00234417" w:rsidP="00234417">
      <w:pPr>
        <w:pStyle w:val="TextoNormalSangraFrancesa"/>
        <w:rPr>
          <w:rStyle w:val="TextoNormalCaracter"/>
        </w:rPr>
      </w:pPr>
      <w:bookmarkStart w:id="2047" w:name="DESCRIPTORALFABETICO295"/>
      <w:r w:rsidRPr="00234417">
        <w:rPr>
          <w:rStyle w:val="TextoNormalNegritaCaracter"/>
        </w:rPr>
        <w:t>Recurso de amparo</w:t>
      </w:r>
      <w:bookmarkEnd w:id="2047"/>
      <w:r w:rsidRPr="00234417">
        <w:rPr>
          <w:rStyle w:val="TextoNormalCaracter"/>
        </w:rPr>
        <w:t xml:space="preserve">, Sentencias </w:t>
      </w:r>
      <w:hyperlink w:anchor="SENTENCIA_2013_11" w:history="1">
        <w:r w:rsidRPr="00234417">
          <w:rPr>
            <w:rStyle w:val="TextoNormalCaracter"/>
          </w:rPr>
          <w:t>11/2013</w:t>
        </w:r>
      </w:hyperlink>
      <w:r w:rsidRPr="00234417">
        <w:rPr>
          <w:rStyle w:val="TextoNormalCaracter"/>
        </w:rPr>
        <w:t xml:space="preserve">, f. 3; </w:t>
      </w:r>
      <w:hyperlink w:anchor="SENTENCIA_2013_110" w:history="1">
        <w:r w:rsidRPr="00234417">
          <w:rPr>
            <w:rStyle w:val="TextoNormalCaracter"/>
          </w:rPr>
          <w:t>110/2013</w:t>
        </w:r>
      </w:hyperlink>
      <w:r w:rsidRPr="00234417">
        <w:rPr>
          <w:rStyle w:val="TextoNormalCaracter"/>
        </w:rPr>
        <w:t xml:space="preserve">, f. 1; </w:t>
      </w:r>
      <w:hyperlink w:anchor="SENTENCIA_2013_133" w:history="1">
        <w:r w:rsidRPr="00234417">
          <w:rPr>
            <w:rStyle w:val="TextoNormalCaracter"/>
          </w:rPr>
          <w:t>133/2013</w:t>
        </w:r>
      </w:hyperlink>
      <w:r w:rsidRPr="00234417">
        <w:rPr>
          <w:rStyle w:val="TextoNormalCaracter"/>
        </w:rPr>
        <w:t>, ff. 2, 5 a 8.</w:t>
      </w:r>
    </w:p>
    <w:p w:rsidR="00234417" w:rsidRPr="00234417" w:rsidRDefault="00234417" w:rsidP="00234417">
      <w:pPr>
        <w:pStyle w:val="TextoNormalSangraFrancesa"/>
        <w:rPr>
          <w:rStyle w:val="TextoNormalCaracter"/>
        </w:rPr>
      </w:pPr>
      <w:r w:rsidRPr="00234417">
        <w:rPr>
          <w:rStyle w:val="TextoNormalCaracter"/>
        </w:rPr>
        <w:lastRenderedPageBreak/>
        <w:t xml:space="preserve">    Autos </w:t>
      </w:r>
      <w:hyperlink w:anchor="AUTO_2013_47" w:history="1">
        <w:r w:rsidRPr="00234417">
          <w:rPr>
            <w:rStyle w:val="TextoNormalCaracter"/>
          </w:rPr>
          <w:t>47/2013</w:t>
        </w:r>
      </w:hyperlink>
      <w:r w:rsidRPr="00234417">
        <w:rPr>
          <w:rStyle w:val="TextoNormalCaracter"/>
        </w:rPr>
        <w:t xml:space="preserve">, f. único; </w:t>
      </w:r>
      <w:hyperlink w:anchor="AUTO_2013_95" w:history="1">
        <w:r w:rsidRPr="00234417">
          <w:rPr>
            <w:rStyle w:val="TextoNormalCaracter"/>
          </w:rPr>
          <w:t>95/2013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2048" w:name="DESCRIPTORALFABETICO299"/>
      <w:r w:rsidRPr="00234417">
        <w:rPr>
          <w:rStyle w:val="TextoNormalNegritaCaracter"/>
        </w:rPr>
        <w:t>Recurso de amparo mixto</w:t>
      </w:r>
      <w:bookmarkEnd w:id="2048"/>
      <w:r w:rsidRPr="00234417">
        <w:rPr>
          <w:rStyle w:val="TextoNormalCaracter"/>
        </w:rPr>
        <w:t xml:space="preserve">, Sentencia </w:t>
      </w:r>
      <w:hyperlink w:anchor="SENTENCIA_2013_128" w:history="1">
        <w:r w:rsidRPr="00234417">
          <w:rPr>
            <w:rStyle w:val="TextoNormalCaracter"/>
          </w:rPr>
          <w:t>128/2013</w:t>
        </w:r>
      </w:hyperlink>
      <w:r w:rsidRPr="00234417">
        <w:rPr>
          <w:rStyle w:val="TextoNormalCaracter"/>
        </w:rPr>
        <w:t>, f. 1.</w:t>
      </w:r>
    </w:p>
    <w:p w:rsidR="00234417" w:rsidRPr="00234417" w:rsidRDefault="00234417" w:rsidP="00234417">
      <w:pPr>
        <w:pStyle w:val="TextoNormalSangraFrancesa"/>
        <w:rPr>
          <w:rStyle w:val="TextoNormalCaracter"/>
        </w:rPr>
      </w:pPr>
      <w:bookmarkStart w:id="2049" w:name="DESCRIPTORALFABETICO920"/>
      <w:r w:rsidRPr="00234417">
        <w:rPr>
          <w:rStyle w:val="TextoNormalNegritaCaracter"/>
        </w:rPr>
        <w:t>Recurso de apelación penal</w:t>
      </w:r>
      <w:bookmarkEnd w:id="2049"/>
      <w:r w:rsidRPr="00234417">
        <w:rPr>
          <w:rStyle w:val="TextoNormalCaracter"/>
        </w:rPr>
        <w:t xml:space="preserve">, Sentencias </w:t>
      </w:r>
      <w:hyperlink w:anchor="SENTENCIA_2013_2" w:history="1">
        <w:r w:rsidRPr="00234417">
          <w:rPr>
            <w:rStyle w:val="TextoNormalCaracter"/>
          </w:rPr>
          <w:t>2/2013</w:t>
        </w:r>
      </w:hyperlink>
      <w:r w:rsidRPr="00234417">
        <w:rPr>
          <w:rStyle w:val="TextoNormalCaracter"/>
        </w:rPr>
        <w:t xml:space="preserve">, ff. 1, 6, 8; </w:t>
      </w:r>
      <w:hyperlink w:anchor="SENTENCIA_2013_22" w:history="1">
        <w:r w:rsidRPr="00234417">
          <w:rPr>
            <w:rStyle w:val="TextoNormalCaracter"/>
          </w:rPr>
          <w:t>22/2013</w:t>
        </w:r>
      </w:hyperlink>
      <w:r w:rsidRPr="00234417">
        <w:rPr>
          <w:rStyle w:val="TextoNormalCaracter"/>
        </w:rPr>
        <w:t xml:space="preserve">, ff. 3, 4; </w:t>
      </w:r>
      <w:hyperlink w:anchor="SENTENCIA_2013_43" w:history="1">
        <w:r w:rsidRPr="00234417">
          <w:rPr>
            <w:rStyle w:val="TextoNormalCaracter"/>
          </w:rPr>
          <w:t>43/2013</w:t>
        </w:r>
      </w:hyperlink>
      <w:r w:rsidRPr="00234417">
        <w:rPr>
          <w:rStyle w:val="TextoNormalCaracter"/>
        </w:rPr>
        <w:t xml:space="preserve">, ff. 3, 4, 5, 6, 7; </w:t>
      </w:r>
      <w:hyperlink w:anchor="SENTENCIA_2013_88" w:history="1">
        <w:r w:rsidRPr="00234417">
          <w:rPr>
            <w:rStyle w:val="TextoNormalCaracter"/>
          </w:rPr>
          <w:t>88/2013</w:t>
        </w:r>
      </w:hyperlink>
      <w:r w:rsidRPr="00234417">
        <w:rPr>
          <w:rStyle w:val="TextoNormalCaracter"/>
        </w:rPr>
        <w:t xml:space="preserve">, ff. 7, 8, 9, 10, 11, 12; </w:t>
      </w:r>
      <w:hyperlink w:anchor="SENTENCIA_2013_105" w:history="1">
        <w:r w:rsidRPr="00234417">
          <w:rPr>
            <w:rStyle w:val="TextoNormalCaracter"/>
          </w:rPr>
          <w:t>105/2013</w:t>
        </w:r>
      </w:hyperlink>
      <w:r w:rsidRPr="00234417">
        <w:rPr>
          <w:rStyle w:val="TextoNormalCaracter"/>
        </w:rPr>
        <w:t xml:space="preserve">, ff. 1, 2, 3, 4, 5, 7, 8, 9; </w:t>
      </w:r>
      <w:hyperlink w:anchor="SENTENCIA_2013_118" w:history="1">
        <w:r w:rsidRPr="00234417">
          <w:rPr>
            <w:rStyle w:val="TextoNormalCaracter"/>
          </w:rPr>
          <w:t>118/2013</w:t>
        </w:r>
      </w:hyperlink>
      <w:r w:rsidRPr="00234417">
        <w:rPr>
          <w:rStyle w:val="TextoNormalCaracter"/>
        </w:rPr>
        <w:t xml:space="preserve">, ff. 2, 3, 4, 5; </w:t>
      </w:r>
      <w:hyperlink w:anchor="SENTENCIA_2013_119" w:history="1">
        <w:r w:rsidRPr="00234417">
          <w:rPr>
            <w:rStyle w:val="TextoNormalCaracter"/>
          </w:rPr>
          <w:t>119/2013</w:t>
        </w:r>
      </w:hyperlink>
      <w:r w:rsidRPr="00234417">
        <w:rPr>
          <w:rStyle w:val="TextoNormalCaracter"/>
        </w:rPr>
        <w:t xml:space="preserve">, ff. 2, 3, 4, 5; </w:t>
      </w:r>
      <w:hyperlink w:anchor="SENTENCIA_2013_120" w:history="1">
        <w:r w:rsidRPr="00234417">
          <w:rPr>
            <w:rStyle w:val="TextoNormalCaracter"/>
          </w:rPr>
          <w:t>120/2013</w:t>
        </w:r>
      </w:hyperlink>
      <w:r w:rsidRPr="00234417">
        <w:rPr>
          <w:rStyle w:val="TextoNormalCaracter"/>
        </w:rPr>
        <w:t>, ff. 2, 3, 4, 5.</w:t>
      </w:r>
    </w:p>
    <w:p w:rsidR="00234417" w:rsidRPr="00234417" w:rsidRDefault="00234417" w:rsidP="00234417">
      <w:pPr>
        <w:pStyle w:val="TextoNormalSangraFrancesa"/>
        <w:rPr>
          <w:rStyle w:val="TextoNormalCaracter"/>
        </w:rPr>
      </w:pPr>
      <w:bookmarkStart w:id="2050" w:name="DESCRIPTORALFABETICO893"/>
      <w:r w:rsidRPr="00234417">
        <w:rPr>
          <w:rStyle w:val="TextoNormalNegritaCaracter"/>
        </w:rPr>
        <w:t>Recurso de casación contencioso-administrativo</w:t>
      </w:r>
      <w:bookmarkEnd w:id="2050"/>
      <w:r w:rsidRPr="00234417">
        <w:rPr>
          <w:rStyle w:val="TextoNormalCaracter"/>
        </w:rPr>
        <w:t xml:space="preserve">, Sentencia </w:t>
      </w:r>
      <w:hyperlink w:anchor="SENTENCIA_2013_108" w:history="1">
        <w:r w:rsidRPr="00234417">
          <w:rPr>
            <w:rStyle w:val="TextoNormalCaracter"/>
          </w:rPr>
          <w:t>108/2013</w:t>
        </w:r>
      </w:hyperlink>
      <w:r w:rsidRPr="00234417">
        <w:rPr>
          <w:rStyle w:val="TextoNormalCaracter"/>
        </w:rPr>
        <w:t>, ff. 4 a 6.</w:t>
      </w:r>
    </w:p>
    <w:p w:rsidR="00234417" w:rsidRPr="00234417" w:rsidRDefault="00234417" w:rsidP="00234417">
      <w:pPr>
        <w:pStyle w:val="TextoNormalSangraFrancesa"/>
        <w:rPr>
          <w:rStyle w:val="TextoNormalCaracter"/>
        </w:rPr>
      </w:pPr>
      <w:bookmarkStart w:id="2051" w:name="DESCRIPTORALFABETICO875"/>
      <w:r w:rsidRPr="00234417">
        <w:rPr>
          <w:rStyle w:val="TextoNormalNegritaCaracter"/>
        </w:rPr>
        <w:t>Recurso de casación para la unificación de doctrina</w:t>
      </w:r>
      <w:bookmarkEnd w:id="2051"/>
      <w:r w:rsidRPr="00234417">
        <w:rPr>
          <w:rStyle w:val="TextoNormalCaracter"/>
        </w:rPr>
        <w:t xml:space="preserve">, Sentencia </w:t>
      </w:r>
      <w:hyperlink w:anchor="SENTENCIA_2013_29" w:history="1">
        <w:r w:rsidRPr="00234417">
          <w:rPr>
            <w:rStyle w:val="TextoNormalCaracter"/>
          </w:rPr>
          <w:t>29/2013</w:t>
        </w:r>
      </w:hyperlink>
      <w:r w:rsidRPr="00234417">
        <w:rPr>
          <w:rStyle w:val="TextoNormalCaracter"/>
        </w:rPr>
        <w:t>, f. 3.</w:t>
      </w:r>
    </w:p>
    <w:p w:rsidR="00234417" w:rsidRPr="00234417" w:rsidRDefault="00234417" w:rsidP="00234417">
      <w:pPr>
        <w:pStyle w:val="TextoNormalSangraFrancesa"/>
        <w:rPr>
          <w:rStyle w:val="TextoNormalCaracter"/>
        </w:rPr>
      </w:pPr>
      <w:bookmarkStart w:id="2052" w:name="DESCRIPTORALFABETICO921"/>
      <w:r w:rsidRPr="00234417">
        <w:rPr>
          <w:rStyle w:val="TextoNormalNegritaCaracter"/>
        </w:rPr>
        <w:t>Recurso de casación penal exigible</w:t>
      </w:r>
      <w:bookmarkEnd w:id="2052"/>
      <w:r w:rsidRPr="00234417">
        <w:rPr>
          <w:rStyle w:val="TextoNormalCaracter"/>
        </w:rPr>
        <w:t xml:space="preserve">, Sentencias </w:t>
      </w:r>
      <w:hyperlink w:anchor="SENTENCIA_2013_28" w:history="1">
        <w:r w:rsidRPr="00234417">
          <w:rPr>
            <w:rStyle w:val="TextoNormalCaracter"/>
          </w:rPr>
          <w:t>28/2013</w:t>
        </w:r>
      </w:hyperlink>
      <w:r w:rsidRPr="00234417">
        <w:rPr>
          <w:rStyle w:val="TextoNormalCaracter"/>
        </w:rPr>
        <w:t xml:space="preserve">, f. 3; </w:t>
      </w:r>
      <w:hyperlink w:anchor="SENTENCIA_2013_54" w:history="1">
        <w:r w:rsidRPr="00234417">
          <w:rPr>
            <w:rStyle w:val="TextoNormalCaracter"/>
          </w:rPr>
          <w:t>54/2013</w:t>
        </w:r>
      </w:hyperlink>
      <w:r w:rsidRPr="00234417">
        <w:rPr>
          <w:rStyle w:val="TextoNormalCaracter"/>
        </w:rPr>
        <w:t>, f. 3.</w:t>
      </w:r>
    </w:p>
    <w:p w:rsidR="00234417" w:rsidRPr="00234417" w:rsidRDefault="00234417" w:rsidP="00234417">
      <w:pPr>
        <w:pStyle w:val="TextoNormalSangraFrancesa"/>
        <w:rPr>
          <w:rStyle w:val="TextoNormalCaracter"/>
        </w:rPr>
      </w:pPr>
      <w:bookmarkStart w:id="2053" w:name="DESCRIPTORALFABETICO922"/>
      <w:r w:rsidRPr="00234417">
        <w:rPr>
          <w:rStyle w:val="TextoNormalNegritaCaracter"/>
        </w:rPr>
        <w:t>Recurso de casación penal por infracción de ley</w:t>
      </w:r>
      <w:bookmarkEnd w:id="2053"/>
      <w:r w:rsidRPr="00234417">
        <w:rPr>
          <w:rStyle w:val="TextoNormalCaracter"/>
        </w:rPr>
        <w:t xml:space="preserve">, Sentencias </w:t>
      </w:r>
      <w:hyperlink w:anchor="SENTENCIA_2013_28" w:history="1">
        <w:r w:rsidRPr="00234417">
          <w:rPr>
            <w:rStyle w:val="TextoNormalCaracter"/>
          </w:rPr>
          <w:t>28/2013</w:t>
        </w:r>
      </w:hyperlink>
      <w:r w:rsidRPr="00234417">
        <w:rPr>
          <w:rStyle w:val="TextoNormalCaracter"/>
        </w:rPr>
        <w:t xml:space="preserve">, f. 3; </w:t>
      </w:r>
      <w:hyperlink w:anchor="SENTENCIA_2013_54" w:history="1">
        <w:r w:rsidRPr="00234417">
          <w:rPr>
            <w:rStyle w:val="TextoNormalCaracter"/>
          </w:rPr>
          <w:t>54/2013</w:t>
        </w:r>
      </w:hyperlink>
      <w:r w:rsidRPr="00234417">
        <w:rPr>
          <w:rStyle w:val="TextoNormalCaracter"/>
        </w:rPr>
        <w:t>, f. 3.</w:t>
      </w:r>
    </w:p>
    <w:p w:rsidR="00234417" w:rsidRPr="00234417" w:rsidRDefault="00234417" w:rsidP="00234417">
      <w:pPr>
        <w:pStyle w:val="TextoNormalSangraFrancesa"/>
        <w:rPr>
          <w:rStyle w:val="TextoNormalCaracter"/>
        </w:rPr>
      </w:pPr>
      <w:bookmarkStart w:id="2054" w:name="DESCRIPTORALFABETICO291"/>
      <w:r w:rsidRPr="00234417">
        <w:rPr>
          <w:rStyle w:val="TextoNormalNegritaCaracter"/>
        </w:rPr>
        <w:t>Recurso de inconstitucionalidad</w:t>
      </w:r>
      <w:bookmarkEnd w:id="2054"/>
      <w:r w:rsidRPr="00234417">
        <w:rPr>
          <w:rStyle w:val="TextoNormalCaracter"/>
        </w:rPr>
        <w:t xml:space="preserve">, Sentencias </w:t>
      </w:r>
      <w:hyperlink w:anchor="SENTENCIA_2013_6" w:history="1">
        <w:r w:rsidRPr="00234417">
          <w:rPr>
            <w:rStyle w:val="TextoNormalCaracter"/>
          </w:rPr>
          <w:t>6/2013</w:t>
        </w:r>
      </w:hyperlink>
      <w:r w:rsidRPr="00234417">
        <w:rPr>
          <w:rStyle w:val="TextoNormalCaracter"/>
        </w:rPr>
        <w:t xml:space="preserve">, f. 2; </w:t>
      </w:r>
      <w:hyperlink w:anchor="SENTENCIA_2013_39" w:history="1">
        <w:r w:rsidRPr="00234417">
          <w:rPr>
            <w:rStyle w:val="TextoNormalCaracter"/>
          </w:rPr>
          <w:t>39/2013</w:t>
        </w:r>
      </w:hyperlink>
      <w:r w:rsidRPr="00234417">
        <w:rPr>
          <w:rStyle w:val="TextoNormalCaracter"/>
        </w:rPr>
        <w:t xml:space="preserve">, f. 2; </w:t>
      </w:r>
      <w:hyperlink w:anchor="SENTENCIA_2013_49" w:history="1">
        <w:r w:rsidRPr="00234417">
          <w:rPr>
            <w:rStyle w:val="TextoNormalCaracter"/>
          </w:rPr>
          <w:t>49/2013</w:t>
        </w:r>
      </w:hyperlink>
      <w:r w:rsidRPr="00234417">
        <w:rPr>
          <w:rStyle w:val="TextoNormalCaracter"/>
        </w:rPr>
        <w:t xml:space="preserve">, f. 2; </w:t>
      </w:r>
      <w:hyperlink w:anchor="SENTENCIA_2013_51" w:history="1">
        <w:r w:rsidRPr="00234417">
          <w:rPr>
            <w:rStyle w:val="TextoNormalCaracter"/>
          </w:rPr>
          <w:t>51/2013</w:t>
        </w:r>
      </w:hyperlink>
      <w:r w:rsidRPr="00234417">
        <w:rPr>
          <w:rStyle w:val="TextoNormalCaracter"/>
        </w:rPr>
        <w:t xml:space="preserve">, f. 1; </w:t>
      </w:r>
      <w:hyperlink w:anchor="SENTENCIA_2013_59" w:history="1">
        <w:r w:rsidRPr="00234417">
          <w:rPr>
            <w:rStyle w:val="TextoNormalCaracter"/>
          </w:rPr>
          <w:t>59/2013</w:t>
        </w:r>
      </w:hyperlink>
      <w:r w:rsidRPr="00234417">
        <w:rPr>
          <w:rStyle w:val="TextoNormalCaracter"/>
        </w:rPr>
        <w:t xml:space="preserve">, f. 2; </w:t>
      </w:r>
      <w:hyperlink w:anchor="SENTENCIA_2013_86" w:history="1">
        <w:r w:rsidRPr="00234417">
          <w:rPr>
            <w:rStyle w:val="TextoNormalCaracter"/>
          </w:rPr>
          <w:t>86/2013</w:t>
        </w:r>
      </w:hyperlink>
      <w:r w:rsidRPr="00234417">
        <w:rPr>
          <w:rStyle w:val="TextoNormalCaracter"/>
        </w:rPr>
        <w:t xml:space="preserve">, f. 2; </w:t>
      </w:r>
      <w:hyperlink w:anchor="SENTENCIA_2013_96" w:history="1">
        <w:r w:rsidRPr="00234417">
          <w:rPr>
            <w:rStyle w:val="TextoNormalCaracter"/>
          </w:rPr>
          <w:t>96/2013</w:t>
        </w:r>
      </w:hyperlink>
      <w:r w:rsidRPr="00234417">
        <w:rPr>
          <w:rStyle w:val="TextoNormalCaracter"/>
        </w:rPr>
        <w:t xml:space="preserve">, f. 2; </w:t>
      </w:r>
      <w:hyperlink w:anchor="SENTENCIA_2013_100" w:history="1">
        <w:r w:rsidRPr="00234417">
          <w:rPr>
            <w:rStyle w:val="TextoNormalCaracter"/>
          </w:rPr>
          <w:t>100/2013</w:t>
        </w:r>
      </w:hyperlink>
      <w:r w:rsidRPr="00234417">
        <w:rPr>
          <w:rStyle w:val="TextoNormalCaracter"/>
        </w:rPr>
        <w:t xml:space="preserve">, f. 2; </w:t>
      </w:r>
      <w:hyperlink w:anchor="SENTENCIA_2013_102" w:history="1">
        <w:r w:rsidRPr="00234417">
          <w:rPr>
            <w:rStyle w:val="TextoNormalCaracter"/>
          </w:rPr>
          <w:t>102/2013</w:t>
        </w:r>
      </w:hyperlink>
      <w:r w:rsidRPr="00234417">
        <w:rPr>
          <w:rStyle w:val="TextoNormalCaracter"/>
        </w:rPr>
        <w:t xml:space="preserve">, f. 2; </w:t>
      </w:r>
      <w:hyperlink w:anchor="SENTENCIA_2013_104" w:history="1">
        <w:r w:rsidRPr="00234417">
          <w:rPr>
            <w:rStyle w:val="TextoNormalCaracter"/>
          </w:rPr>
          <w:t>104/2013</w:t>
        </w:r>
      </w:hyperlink>
      <w:r w:rsidRPr="00234417">
        <w:rPr>
          <w:rStyle w:val="TextoNormalCaracter"/>
        </w:rPr>
        <w:t xml:space="preserve">, f. 2; </w:t>
      </w:r>
      <w:hyperlink w:anchor="SENTENCIA_2013_111" w:history="1">
        <w:r w:rsidRPr="00234417">
          <w:rPr>
            <w:rStyle w:val="TextoNormalCaracter"/>
          </w:rPr>
          <w:t>111/2013</w:t>
        </w:r>
      </w:hyperlink>
      <w:r w:rsidRPr="00234417">
        <w:rPr>
          <w:rStyle w:val="TextoNormalCaracter"/>
        </w:rPr>
        <w:t xml:space="preserve">, f. 2; </w:t>
      </w:r>
      <w:hyperlink w:anchor="SENTENCIA_2013_130" w:history="1">
        <w:r w:rsidRPr="00234417">
          <w:rPr>
            <w:rStyle w:val="TextoNormalCaracter"/>
          </w:rPr>
          <w:t>130/2013</w:t>
        </w:r>
      </w:hyperlink>
      <w:r w:rsidRPr="00234417">
        <w:rPr>
          <w:rStyle w:val="TextoNormalCaracter"/>
        </w:rPr>
        <w:t xml:space="preserve">, f. 2; </w:t>
      </w:r>
      <w:hyperlink w:anchor="SENTENCIA_2013_131" w:history="1">
        <w:r w:rsidRPr="00234417">
          <w:rPr>
            <w:rStyle w:val="TextoNormalCaracter"/>
          </w:rPr>
          <w:t>131/2013</w:t>
        </w:r>
      </w:hyperlink>
      <w:r w:rsidRPr="00234417">
        <w:rPr>
          <w:rStyle w:val="TextoNormalCaracter"/>
        </w:rPr>
        <w:t xml:space="preserve">, ff. 3, 4; </w:t>
      </w:r>
      <w:hyperlink w:anchor="SENTENCIA_2013_132" w:history="1">
        <w:r w:rsidRPr="00234417">
          <w:rPr>
            <w:rStyle w:val="TextoNormalCaracter"/>
          </w:rPr>
          <w:t>132/2013</w:t>
        </w:r>
      </w:hyperlink>
      <w:r w:rsidRPr="00234417">
        <w:rPr>
          <w:rStyle w:val="TextoNormalCaracter"/>
        </w:rPr>
        <w:t xml:space="preserve">, ff. 2, 3, 4, 5, 6, 7; </w:t>
      </w:r>
      <w:hyperlink w:anchor="SENTENCIA_2013_135" w:history="1">
        <w:r w:rsidRPr="00234417">
          <w:rPr>
            <w:rStyle w:val="TextoNormalCaracter"/>
          </w:rPr>
          <w:t>135/2013</w:t>
        </w:r>
      </w:hyperlink>
      <w:r w:rsidRPr="00234417">
        <w:rPr>
          <w:rStyle w:val="TextoNormalCaracter"/>
        </w:rPr>
        <w:t>, f. 2.</w:t>
      </w:r>
    </w:p>
    <w:p w:rsidR="00234417" w:rsidRPr="00234417" w:rsidRDefault="00234417" w:rsidP="00234417">
      <w:pPr>
        <w:pStyle w:val="TextoNormalSangraFrancesa"/>
        <w:rPr>
          <w:rStyle w:val="TextoNormalCaracter"/>
        </w:rPr>
      </w:pPr>
      <w:bookmarkStart w:id="2055" w:name="DESCRIPTORALFABETICO877"/>
      <w:r w:rsidRPr="00234417">
        <w:rPr>
          <w:rStyle w:val="TextoNormalNegritaCaracter"/>
        </w:rPr>
        <w:t>Recurso extraordinario por infracción procesal</w:t>
      </w:r>
      <w:bookmarkEnd w:id="2055"/>
      <w:r w:rsidRPr="00234417">
        <w:rPr>
          <w:rStyle w:val="TextoNormalCaracter"/>
        </w:rPr>
        <w:t xml:space="preserve">, Sentencia </w:t>
      </w:r>
      <w:hyperlink w:anchor="SENTENCIA_2013_106" w:history="1">
        <w:r w:rsidRPr="00234417">
          <w:rPr>
            <w:rStyle w:val="TextoNormalCaracter"/>
          </w:rPr>
          <w:t>106/2013</w:t>
        </w:r>
      </w:hyperlink>
      <w:r w:rsidRPr="00234417">
        <w:rPr>
          <w:rStyle w:val="TextoNormalCaracter"/>
        </w:rPr>
        <w:t>, f. 3.</w:t>
      </w:r>
    </w:p>
    <w:p w:rsidR="00234417" w:rsidRPr="00234417" w:rsidRDefault="00234417" w:rsidP="00234417">
      <w:pPr>
        <w:pStyle w:val="TextoNormalSangraFrancesa"/>
        <w:rPr>
          <w:rStyle w:val="TextoNormalCaracter"/>
        </w:rPr>
      </w:pPr>
      <w:bookmarkStart w:id="2056" w:name="DESCRIPTORALFABETICO323"/>
      <w:r w:rsidRPr="00234417">
        <w:rPr>
          <w:rStyle w:val="TextoNormalNegritaCaracter"/>
        </w:rPr>
        <w:t>Recursos contra Normas Forales fiscales</w:t>
      </w:r>
      <w:bookmarkEnd w:id="2056"/>
      <w:r w:rsidRPr="00234417">
        <w:rPr>
          <w:rStyle w:val="TextoNormalCaracter"/>
        </w:rPr>
        <w:t xml:space="preserve">, Auto </w:t>
      </w:r>
      <w:hyperlink w:anchor="AUTO_2013_84" w:history="1">
        <w:r w:rsidRPr="00234417">
          <w:rPr>
            <w:rStyle w:val="TextoNormalCaracter"/>
          </w:rPr>
          <w:t>84/2013</w:t>
        </w:r>
      </w:hyperlink>
      <w:r w:rsidRPr="00234417">
        <w:rPr>
          <w:rStyle w:val="TextoNormalCaracter"/>
        </w:rPr>
        <w:t>, ff. 1, 3.</w:t>
      </w:r>
    </w:p>
    <w:p w:rsidR="00234417" w:rsidRPr="00234417" w:rsidRDefault="00234417" w:rsidP="00234417">
      <w:pPr>
        <w:pStyle w:val="TextoNormalSangraFrancesa"/>
        <w:rPr>
          <w:rStyle w:val="TextoNormalCaracter"/>
        </w:rPr>
      </w:pPr>
      <w:bookmarkStart w:id="2057" w:name="DESCRIPTORALFABETICO244"/>
      <w:r w:rsidRPr="00234417">
        <w:rPr>
          <w:rStyle w:val="TextoNormalNegritaCaracter"/>
        </w:rPr>
        <w:t>Recusación de magistrados del Tribunal Constitucional</w:t>
      </w:r>
      <w:bookmarkEnd w:id="2057"/>
      <w:r w:rsidRPr="00234417">
        <w:rPr>
          <w:rStyle w:val="TextoNormalCaracter"/>
        </w:rPr>
        <w:t xml:space="preserve">, </w:t>
      </w:r>
    </w:p>
    <w:p w:rsidR="00234417" w:rsidRPr="00234417" w:rsidRDefault="00234417" w:rsidP="00234417">
      <w:pPr>
        <w:pStyle w:val="TextoNormalSangraFrancesa"/>
        <w:rPr>
          <w:rStyle w:val="TextoNormalCaracter"/>
        </w:rPr>
      </w:pPr>
      <w:r w:rsidRPr="00234417">
        <w:rPr>
          <w:rStyle w:val="TextoNormalCursivaCaracter"/>
        </w:rPr>
        <w:t xml:space="preserve">    Acepta, </w:t>
      </w:r>
      <w:r w:rsidRPr="00234417">
        <w:rPr>
          <w:rStyle w:val="TextoNormalCaracter"/>
        </w:rPr>
        <w:t xml:space="preserve">Auto </w:t>
      </w:r>
      <w:hyperlink w:anchor="AUTO_2013_141" w:history="1">
        <w:r w:rsidRPr="00234417">
          <w:rPr>
            <w:rStyle w:val="TextoNormalCaracter"/>
          </w:rPr>
          <w:t>141/2013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2058" w:name="DESCRIPTORALFABETICO616"/>
      <w:r w:rsidRPr="00234417">
        <w:rPr>
          <w:rStyle w:val="TextoNormalNegritaCaracter"/>
        </w:rPr>
        <w:t>Red ecológica europea</w:t>
      </w:r>
      <w:bookmarkEnd w:id="2058"/>
      <w:r w:rsidRPr="00234417">
        <w:rPr>
          <w:rStyle w:val="TextoNormalCaracter"/>
        </w:rPr>
        <w:t xml:space="preserve">, Sentencias </w:t>
      </w:r>
      <w:hyperlink w:anchor="SENTENCIA_2013_59" w:history="1">
        <w:r w:rsidRPr="00234417">
          <w:rPr>
            <w:rStyle w:val="TextoNormalCaracter"/>
          </w:rPr>
          <w:t>59/2013</w:t>
        </w:r>
      </w:hyperlink>
      <w:r w:rsidRPr="00234417">
        <w:rPr>
          <w:rStyle w:val="TextoNormalCaracter"/>
        </w:rPr>
        <w:t xml:space="preserve">, ff. 2 a 4; </w:t>
      </w:r>
      <w:hyperlink w:anchor="SENTENCIA_2013_80" w:history="1">
        <w:r w:rsidRPr="00234417">
          <w:rPr>
            <w:rStyle w:val="TextoNormalCaracter"/>
          </w:rPr>
          <w:t>80/2013</w:t>
        </w:r>
      </w:hyperlink>
      <w:r w:rsidRPr="00234417">
        <w:rPr>
          <w:rStyle w:val="TextoNormalCaracter"/>
        </w:rPr>
        <w:t xml:space="preserve">, f. 3; </w:t>
      </w:r>
      <w:hyperlink w:anchor="SENTENCIA_2013_138" w:history="1">
        <w:r w:rsidRPr="00234417">
          <w:rPr>
            <w:rStyle w:val="TextoNormalCaracter"/>
          </w:rPr>
          <w:t>138/2013</w:t>
        </w:r>
      </w:hyperlink>
      <w:r w:rsidRPr="00234417">
        <w:rPr>
          <w:rStyle w:val="TextoNormalCaracter"/>
        </w:rPr>
        <w:t>, f. 9.</w:t>
      </w:r>
    </w:p>
    <w:p w:rsidR="00234417" w:rsidRPr="00234417" w:rsidRDefault="00234417" w:rsidP="00234417">
      <w:pPr>
        <w:pStyle w:val="TextoNormalSangraFrancesa"/>
        <w:rPr>
          <w:rStyle w:val="TextoNormalCaracter"/>
        </w:rPr>
      </w:pPr>
      <w:bookmarkStart w:id="2059" w:name="DESCRIPTORALFABETICO628"/>
      <w:r w:rsidRPr="00234417">
        <w:rPr>
          <w:rStyle w:val="TextoNormalNegritaCaracter"/>
        </w:rPr>
        <w:t>Red ferroviaria de interés general</w:t>
      </w:r>
      <w:bookmarkEnd w:id="2059"/>
      <w:r w:rsidRPr="00234417">
        <w:rPr>
          <w:rStyle w:val="TextoNormalCaracter"/>
        </w:rPr>
        <w:t xml:space="preserve">, Sentencia </w:t>
      </w:r>
      <w:hyperlink w:anchor="SENTENCIA_2013_83" w:history="1">
        <w:r w:rsidRPr="00234417">
          <w:rPr>
            <w:rStyle w:val="TextoNormalCaracter"/>
          </w:rPr>
          <w:t>83/2013</w:t>
        </w:r>
      </w:hyperlink>
      <w:r w:rsidRPr="00234417">
        <w:rPr>
          <w:rStyle w:val="TextoNormalCaracter"/>
        </w:rPr>
        <w:t>, ff. 4 a 7.</w:t>
      </w:r>
    </w:p>
    <w:p w:rsidR="00234417" w:rsidRPr="00234417" w:rsidRDefault="00234417" w:rsidP="00234417">
      <w:pPr>
        <w:pStyle w:val="TextoNormalSangraFrancesa"/>
        <w:rPr>
          <w:rStyle w:val="TextoNormalNegritaCaracter"/>
        </w:rPr>
      </w:pPr>
      <w:r w:rsidRPr="00234417">
        <w:rPr>
          <w:rStyle w:val="TextoNormalCursivaCaracter"/>
        </w:rPr>
        <w:t>Red Natura 2000</w:t>
      </w:r>
      <w:r>
        <w:t xml:space="preserve"> véase </w:t>
      </w:r>
      <w:hyperlink w:anchor="DESCRIPTORALFABETICO616" w:history="1">
        <w:r w:rsidRPr="00234417">
          <w:rPr>
            <w:rStyle w:val="TextoNormalNegritaCaracter"/>
          </w:rPr>
          <w:t>Red ecológica europea</w:t>
        </w:r>
      </w:hyperlink>
    </w:p>
    <w:p w:rsidR="00234417" w:rsidRPr="00234417" w:rsidRDefault="00234417" w:rsidP="00234417">
      <w:pPr>
        <w:pStyle w:val="TextoNormalSangraFrancesa"/>
        <w:rPr>
          <w:rStyle w:val="TextoNormalCaracter"/>
        </w:rPr>
      </w:pPr>
      <w:bookmarkStart w:id="2060" w:name="DESCRIPTORALFABETICO866"/>
      <w:r w:rsidRPr="00234417">
        <w:rPr>
          <w:rStyle w:val="TextoNormalNegritaCaracter"/>
        </w:rPr>
        <w:t>Reducción de derechos del procurador</w:t>
      </w:r>
      <w:bookmarkEnd w:id="2060"/>
      <w:r w:rsidRPr="00234417">
        <w:rPr>
          <w:rStyle w:val="TextoNormalCaracter"/>
        </w:rPr>
        <w:t xml:space="preserve">, Sentencia </w:t>
      </w:r>
      <w:hyperlink w:anchor="SENTENCIA_2013_108" w:history="1">
        <w:r w:rsidRPr="00234417">
          <w:rPr>
            <w:rStyle w:val="TextoNormalCaracter"/>
          </w:rPr>
          <w:t>108/2013</w:t>
        </w:r>
      </w:hyperlink>
      <w:r w:rsidRPr="00234417">
        <w:rPr>
          <w:rStyle w:val="TextoNormalCaracter"/>
        </w:rPr>
        <w:t>, ff. 4, 5.</w:t>
      </w:r>
    </w:p>
    <w:p w:rsidR="00234417" w:rsidRPr="00234417" w:rsidRDefault="00234417" w:rsidP="00234417">
      <w:pPr>
        <w:pStyle w:val="TextoNormalSangraFrancesa"/>
        <w:rPr>
          <w:rStyle w:val="TextoNormalNegritaCaracter"/>
        </w:rPr>
      </w:pPr>
      <w:r w:rsidRPr="00234417">
        <w:rPr>
          <w:rStyle w:val="TextoNormalCursivaCaracter"/>
        </w:rPr>
        <w:t>Reeducación</w:t>
      </w:r>
      <w:r>
        <w:t xml:space="preserve"> véase </w:t>
      </w:r>
      <w:hyperlink w:anchor="DESCRIPTORALFABETICO710" w:history="1">
        <w:r w:rsidRPr="00234417">
          <w:rPr>
            <w:rStyle w:val="TextoNormalNegritaCaracter"/>
          </w:rPr>
          <w:t>Reinserción social</w:t>
        </w:r>
      </w:hyperlink>
    </w:p>
    <w:p w:rsidR="00234417" w:rsidRPr="00234417" w:rsidRDefault="00234417" w:rsidP="00234417">
      <w:pPr>
        <w:pStyle w:val="TextoNormalSangraFrancesa"/>
        <w:rPr>
          <w:rStyle w:val="TextoNormalNegritaCaracter"/>
        </w:rPr>
      </w:pPr>
      <w:r w:rsidRPr="00234417">
        <w:rPr>
          <w:rStyle w:val="TextoNormalCursivaCaracter"/>
        </w:rPr>
        <w:t>Regimen de estancias de los hijos</w:t>
      </w:r>
      <w:r>
        <w:t xml:space="preserve"> véase </w:t>
      </w:r>
      <w:hyperlink w:anchor="DESCRIPTORALFABETICO566" w:history="1">
        <w:r w:rsidRPr="00234417">
          <w:rPr>
            <w:rStyle w:val="TextoNormalNegritaCaracter"/>
          </w:rPr>
          <w:t>Régimen de visitas a los hijos</w:t>
        </w:r>
      </w:hyperlink>
    </w:p>
    <w:p w:rsidR="00234417" w:rsidRPr="00234417" w:rsidRDefault="00234417" w:rsidP="00234417">
      <w:pPr>
        <w:pStyle w:val="TextoNormalSangraFrancesa"/>
        <w:rPr>
          <w:rStyle w:val="TextoNormalCaracter"/>
        </w:rPr>
      </w:pPr>
      <w:bookmarkStart w:id="2061" w:name="DESCRIPTORALFABETICO566"/>
      <w:r w:rsidRPr="00234417">
        <w:rPr>
          <w:rStyle w:val="TextoNormalNegritaCaracter"/>
        </w:rPr>
        <w:t>Régimen de visitas a los hijos</w:t>
      </w:r>
      <w:bookmarkEnd w:id="2061"/>
      <w:r w:rsidRPr="00234417">
        <w:rPr>
          <w:rStyle w:val="TextoNormalCaracter"/>
        </w:rPr>
        <w:t xml:space="preserve">, Sentencia </w:t>
      </w:r>
      <w:hyperlink w:anchor="SENTENCIA_2013_127" w:history="1">
        <w:r w:rsidRPr="00234417">
          <w:rPr>
            <w:rStyle w:val="TextoNormalCaracter"/>
          </w:rPr>
          <w:t>127/2013</w:t>
        </w:r>
      </w:hyperlink>
      <w:r w:rsidRPr="00234417">
        <w:rPr>
          <w:rStyle w:val="TextoNormalCaracter"/>
        </w:rPr>
        <w:t>, f. 5.</w:t>
      </w:r>
    </w:p>
    <w:p w:rsidR="00234417" w:rsidRPr="00234417" w:rsidRDefault="00234417" w:rsidP="00234417">
      <w:pPr>
        <w:pStyle w:val="TextoNormalSangraFrancesa"/>
        <w:rPr>
          <w:rStyle w:val="TextoNormalCaracter"/>
        </w:rPr>
      </w:pPr>
      <w:bookmarkStart w:id="2062" w:name="DESCRIPTORALFABETICO550"/>
      <w:r w:rsidRPr="00234417">
        <w:rPr>
          <w:rStyle w:val="TextoNormalNegritaCaracter"/>
        </w:rPr>
        <w:t>Régimen económico del sector eléctrico</w:t>
      </w:r>
      <w:bookmarkEnd w:id="2062"/>
      <w:r w:rsidRPr="00234417">
        <w:rPr>
          <w:rStyle w:val="TextoNormalCaracter"/>
        </w:rPr>
        <w:t xml:space="preserve">, Sentencia </w:t>
      </w:r>
      <w:hyperlink w:anchor="SENTENCIA_2013_4" w:history="1">
        <w:r w:rsidRPr="00234417">
          <w:rPr>
            <w:rStyle w:val="TextoNormalCaracter"/>
          </w:rPr>
          <w:t>4/2013</w:t>
        </w:r>
      </w:hyperlink>
      <w:r w:rsidRPr="00234417">
        <w:rPr>
          <w:rStyle w:val="TextoNormalCaracter"/>
        </w:rPr>
        <w:t>, ff. 8 a 10.</w:t>
      </w:r>
    </w:p>
    <w:p w:rsidR="00234417" w:rsidRPr="00234417" w:rsidRDefault="00234417" w:rsidP="00234417">
      <w:pPr>
        <w:pStyle w:val="TextoNormalSangraFrancesa"/>
        <w:rPr>
          <w:rStyle w:val="TextoNormalCaracter"/>
        </w:rPr>
      </w:pPr>
      <w:bookmarkStart w:id="2063" w:name="DESCRIPTORALFABETICO114"/>
      <w:r w:rsidRPr="00234417">
        <w:rPr>
          <w:rStyle w:val="TextoNormalNegritaCaracter"/>
        </w:rPr>
        <w:t>Régimen económico y fiscal de Canarias</w:t>
      </w:r>
      <w:bookmarkEnd w:id="2063"/>
      <w:r w:rsidRPr="00234417">
        <w:rPr>
          <w:rStyle w:val="TextoNormalCaracter"/>
        </w:rPr>
        <w:t xml:space="preserve">, Sentencia </w:t>
      </w:r>
      <w:hyperlink w:anchor="SENTENCIA_2013_101" w:history="1">
        <w:r w:rsidRPr="00234417">
          <w:rPr>
            <w:rStyle w:val="TextoNormalCaracter"/>
          </w:rPr>
          <w:t>101/2013</w:t>
        </w:r>
      </w:hyperlink>
      <w:r w:rsidRPr="00234417">
        <w:rPr>
          <w:rStyle w:val="TextoNormalCaracter"/>
        </w:rPr>
        <w:t>, ff. 7 a 11.</w:t>
      </w:r>
    </w:p>
    <w:p w:rsidR="00234417" w:rsidRPr="00234417" w:rsidRDefault="00234417" w:rsidP="00234417">
      <w:pPr>
        <w:pStyle w:val="TextoNormalSangraFrancesa"/>
        <w:rPr>
          <w:rStyle w:val="TextoNormalCaracter"/>
        </w:rPr>
      </w:pPr>
      <w:bookmarkStart w:id="2064" w:name="DESCRIPTORALFABETICO557"/>
      <w:r w:rsidRPr="00234417">
        <w:rPr>
          <w:rStyle w:val="TextoNormalNegritaCaracter"/>
        </w:rPr>
        <w:t>Régimen energético</w:t>
      </w:r>
      <w:bookmarkEnd w:id="2064"/>
      <w:r w:rsidRPr="00234417">
        <w:rPr>
          <w:rStyle w:val="TextoNormalCaracter"/>
        </w:rPr>
        <w:t xml:space="preserve">, Sentencias </w:t>
      </w:r>
      <w:hyperlink w:anchor="SENTENCIA_2013_102" w:history="1">
        <w:r w:rsidRPr="00234417">
          <w:rPr>
            <w:rStyle w:val="TextoNormalCaracter"/>
          </w:rPr>
          <w:t>102/2013</w:t>
        </w:r>
      </w:hyperlink>
      <w:r w:rsidRPr="00234417">
        <w:rPr>
          <w:rStyle w:val="TextoNormalCaracter"/>
        </w:rPr>
        <w:t xml:space="preserve">, ff. 3 a 6, 8; </w:t>
      </w:r>
      <w:hyperlink w:anchor="SENTENCIA_2013_123" w:history="1">
        <w:r w:rsidRPr="00234417">
          <w:rPr>
            <w:rStyle w:val="TextoNormalCaracter"/>
          </w:rPr>
          <w:t>123/2013</w:t>
        </w:r>
      </w:hyperlink>
      <w:r w:rsidRPr="00234417">
        <w:rPr>
          <w:rStyle w:val="TextoNormalCaracter"/>
        </w:rPr>
        <w:t>, ff. 4 a 8.</w:t>
      </w:r>
    </w:p>
    <w:p w:rsidR="00234417" w:rsidRPr="00234417" w:rsidRDefault="00234417" w:rsidP="00234417">
      <w:pPr>
        <w:pStyle w:val="TextoNormalSangraFrancesa"/>
        <w:rPr>
          <w:rStyle w:val="TextoNormalCaracter"/>
        </w:rPr>
      </w:pPr>
      <w:bookmarkStart w:id="2065" w:name="DESCRIPTORALFABETICO595"/>
      <w:r w:rsidRPr="00234417">
        <w:rPr>
          <w:rStyle w:val="TextoNormalNegritaCaracter"/>
        </w:rPr>
        <w:t>Régimen estatutario de los funcionarios públicos</w:t>
      </w:r>
      <w:bookmarkEnd w:id="2065"/>
      <w:r w:rsidRPr="00234417">
        <w:rPr>
          <w:rStyle w:val="TextoNormalCaracter"/>
        </w:rPr>
        <w:t xml:space="preserve">, Sentencias </w:t>
      </w:r>
      <w:hyperlink w:anchor="SENTENCIA_2013_7" w:history="1">
        <w:r w:rsidRPr="00234417">
          <w:rPr>
            <w:rStyle w:val="TextoNormalCaracter"/>
          </w:rPr>
          <w:t>7/2013</w:t>
        </w:r>
      </w:hyperlink>
      <w:r w:rsidRPr="00234417">
        <w:rPr>
          <w:rStyle w:val="TextoNormalCaracter"/>
        </w:rPr>
        <w:t xml:space="preserve">, f. 3; </w:t>
      </w:r>
      <w:hyperlink w:anchor="SENTENCIA_2013_33" w:history="1">
        <w:r w:rsidRPr="00234417">
          <w:rPr>
            <w:rStyle w:val="TextoNormalCaracter"/>
          </w:rPr>
          <w:t>33/2013</w:t>
        </w:r>
      </w:hyperlink>
      <w:r w:rsidRPr="00234417">
        <w:rPr>
          <w:rStyle w:val="TextoNormalCaracter"/>
        </w:rPr>
        <w:t>, ff. 5, 6.</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85" w:history="1">
        <w:r w:rsidRPr="00234417">
          <w:rPr>
            <w:rStyle w:val="TextoNormalCaracter"/>
          </w:rPr>
          <w:t>85/2013</w:t>
        </w:r>
      </w:hyperlink>
      <w:r w:rsidRPr="00234417">
        <w:rPr>
          <w:rStyle w:val="TextoNormalCaracter"/>
        </w:rPr>
        <w:t xml:space="preserve">, ff. 4 a 6; </w:t>
      </w:r>
      <w:hyperlink w:anchor="AUTO_2013_125" w:history="1">
        <w:r w:rsidRPr="00234417">
          <w:rPr>
            <w:rStyle w:val="TextoNormalCaracter"/>
          </w:rPr>
          <w:t>125/2013</w:t>
        </w:r>
      </w:hyperlink>
      <w:r w:rsidRPr="00234417">
        <w:rPr>
          <w:rStyle w:val="TextoNormalCaracter"/>
        </w:rPr>
        <w:t xml:space="preserve">, ff. 2, 3; </w:t>
      </w:r>
      <w:hyperlink w:anchor="AUTO_2013_127" w:history="1">
        <w:r w:rsidRPr="00234417">
          <w:rPr>
            <w:rStyle w:val="TextoNormalCaracter"/>
          </w:rPr>
          <w:t>127/2013</w:t>
        </w:r>
      </w:hyperlink>
      <w:r w:rsidRPr="00234417">
        <w:rPr>
          <w:rStyle w:val="TextoNormalCaracter"/>
        </w:rPr>
        <w:t xml:space="preserve">, ff. 2, 3; </w:t>
      </w:r>
      <w:hyperlink w:anchor="AUTO_2013_128" w:history="1">
        <w:r w:rsidRPr="00234417">
          <w:rPr>
            <w:rStyle w:val="TextoNormalCaracter"/>
          </w:rPr>
          <w:t>128/2013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2066" w:name="DESCRIPTORALFABETICO372"/>
      <w:r w:rsidRPr="00234417">
        <w:rPr>
          <w:rStyle w:val="TextoNormalNegritaCaracter"/>
        </w:rPr>
        <w:t>Régimen jurídico de las Administraciones públicas</w:t>
      </w:r>
      <w:bookmarkEnd w:id="2066"/>
      <w:r w:rsidRPr="00234417">
        <w:rPr>
          <w:rStyle w:val="TextoNormalCaracter"/>
        </w:rPr>
        <w:t xml:space="preserve">, Sentencias </w:t>
      </w:r>
      <w:hyperlink w:anchor="SENTENCIA_2013_94" w:history="1">
        <w:r w:rsidRPr="00234417">
          <w:rPr>
            <w:rStyle w:val="TextoNormalCaracter"/>
          </w:rPr>
          <w:t>94/2013</w:t>
        </w:r>
      </w:hyperlink>
      <w:r w:rsidRPr="00234417">
        <w:rPr>
          <w:rStyle w:val="TextoNormalCaracter"/>
        </w:rPr>
        <w:t xml:space="preserve">, ff. 3, 4, 6 a 8, VP I, VP II; </w:t>
      </w:r>
      <w:hyperlink w:anchor="SENTENCIA_2013_103" w:history="1">
        <w:r w:rsidRPr="00234417">
          <w:rPr>
            <w:rStyle w:val="TextoNormalCaracter"/>
          </w:rPr>
          <w:t>103/2013</w:t>
        </w:r>
      </w:hyperlink>
      <w:r w:rsidRPr="00234417">
        <w:rPr>
          <w:rStyle w:val="TextoNormalCaracter"/>
        </w:rPr>
        <w:t xml:space="preserve">, f. 4; </w:t>
      </w:r>
      <w:hyperlink w:anchor="SENTENCIA_2013_130" w:history="1">
        <w:r w:rsidRPr="00234417">
          <w:rPr>
            <w:rStyle w:val="TextoNormalCaracter"/>
          </w:rPr>
          <w:t>130/2013</w:t>
        </w:r>
      </w:hyperlink>
      <w:r w:rsidRPr="00234417">
        <w:rPr>
          <w:rStyle w:val="TextoNormalCaracter"/>
        </w:rPr>
        <w:t xml:space="preserve">, ff. 3, 4, 5, 6, 7, 8, 9, 10, 11, 12, 13, 14, VP; </w:t>
      </w:r>
      <w:hyperlink w:anchor="SENTENCIA_2013_135" w:history="1">
        <w:r w:rsidRPr="00234417">
          <w:rPr>
            <w:rStyle w:val="TextoNormalCaracter"/>
          </w:rPr>
          <w:t>135/2013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2067" w:name="DESCRIPTORALFABETICO447"/>
      <w:r w:rsidRPr="00234417">
        <w:rPr>
          <w:rStyle w:val="TextoNormalNegritaCaracter"/>
        </w:rPr>
        <w:t>Régimen local</w:t>
      </w:r>
      <w:bookmarkEnd w:id="2067"/>
      <w:r w:rsidRPr="00234417">
        <w:rPr>
          <w:rStyle w:val="TextoNormalCaracter"/>
        </w:rPr>
        <w:t xml:space="preserve">, Sentencia </w:t>
      </w:r>
      <w:hyperlink w:anchor="SENTENCIA_2013_103" w:history="1">
        <w:r w:rsidRPr="00234417">
          <w:rPr>
            <w:rStyle w:val="TextoNormalCaracter"/>
          </w:rPr>
          <w:t>103/2013</w:t>
        </w:r>
      </w:hyperlink>
      <w:r w:rsidRPr="00234417">
        <w:rPr>
          <w:rStyle w:val="TextoNormalCaracter"/>
        </w:rPr>
        <w:t>, ff. 2, 4, 5, 6.</w:t>
      </w:r>
    </w:p>
    <w:p w:rsidR="00234417" w:rsidRPr="00234417" w:rsidRDefault="00234417" w:rsidP="00234417">
      <w:pPr>
        <w:pStyle w:val="TextoNormalSangraFrancesa"/>
        <w:rPr>
          <w:rStyle w:val="TextoNormalCaracter"/>
        </w:rPr>
      </w:pPr>
      <w:r w:rsidRPr="00234417">
        <w:rPr>
          <w:rStyle w:val="TextoNormalCursivaCaracter"/>
        </w:rPr>
        <w:t xml:space="preserve">    Régimen jurídico, </w:t>
      </w:r>
      <w:r w:rsidRPr="00234417">
        <w:rPr>
          <w:rStyle w:val="TextoNormalCaracter"/>
        </w:rPr>
        <w:t xml:space="preserve">Sentencia </w:t>
      </w:r>
      <w:hyperlink w:anchor="SENTENCIA_2013_103" w:history="1">
        <w:r w:rsidRPr="00234417">
          <w:rPr>
            <w:rStyle w:val="TextoNormalCaracter"/>
          </w:rPr>
          <w:t>103/2013</w:t>
        </w:r>
      </w:hyperlink>
      <w:r w:rsidRPr="00234417">
        <w:rPr>
          <w:rStyle w:val="TextoNormalCaracter"/>
        </w:rPr>
        <w:t>, ff. 4 a 6.</w:t>
      </w:r>
    </w:p>
    <w:p w:rsidR="00234417" w:rsidRPr="00234417" w:rsidRDefault="00234417" w:rsidP="00234417">
      <w:pPr>
        <w:pStyle w:val="TextoNormalSangraFrancesa"/>
        <w:rPr>
          <w:rStyle w:val="TextoNormalCaracter"/>
        </w:rPr>
      </w:pPr>
      <w:bookmarkStart w:id="2068" w:name="DESCRIPTORALFABETICO737"/>
      <w:r w:rsidRPr="00234417">
        <w:rPr>
          <w:rStyle w:val="TextoNormalNegritaCaracter"/>
        </w:rPr>
        <w:t>Régimen penitenciario</w:t>
      </w:r>
      <w:bookmarkEnd w:id="2068"/>
      <w:r w:rsidRPr="00234417">
        <w:rPr>
          <w:rStyle w:val="TextoNormalCaracter"/>
        </w:rPr>
        <w:t xml:space="preserve">, Sentencia </w:t>
      </w:r>
      <w:hyperlink w:anchor="SENTENCIA_2013_128" w:history="1">
        <w:r w:rsidRPr="00234417">
          <w:rPr>
            <w:rStyle w:val="TextoNormalCaracter"/>
          </w:rPr>
          <w:t>128/2013</w:t>
        </w:r>
      </w:hyperlink>
      <w:r w:rsidRPr="00234417">
        <w:rPr>
          <w:rStyle w:val="TextoNormalCaracter"/>
        </w:rPr>
        <w:t>, f. 3.</w:t>
      </w:r>
    </w:p>
    <w:p w:rsidR="00234417" w:rsidRPr="00234417" w:rsidRDefault="00234417" w:rsidP="00234417">
      <w:pPr>
        <w:pStyle w:val="TextoNormalSangraFrancesa"/>
        <w:rPr>
          <w:rStyle w:val="TextoNormalCaracter"/>
        </w:rPr>
      </w:pPr>
      <w:bookmarkStart w:id="2069" w:name="DESCRIPTORALFABETICO948"/>
      <w:r w:rsidRPr="00234417">
        <w:rPr>
          <w:rStyle w:val="TextoNormalNegritaCaracter"/>
        </w:rPr>
        <w:t>Región de Murcia</w:t>
      </w:r>
      <w:bookmarkEnd w:id="2069"/>
      <w:r w:rsidRPr="00234417">
        <w:rPr>
          <w:rStyle w:val="TextoNormalCaracter"/>
        </w:rPr>
        <w:t xml:space="preserve">, Sentencia </w:t>
      </w:r>
      <w:hyperlink w:anchor="SENTENCIA_2013_58" w:history="1">
        <w:r w:rsidRPr="00234417">
          <w:rPr>
            <w:rStyle w:val="TextoNormalCaracter"/>
          </w:rPr>
          <w:t>58/2013</w:t>
        </w:r>
      </w:hyperlink>
      <w:r w:rsidRPr="00234417">
        <w:rPr>
          <w:rStyle w:val="TextoNormalCaracter"/>
        </w:rPr>
        <w:t>, f. 4.</w:t>
      </w:r>
    </w:p>
    <w:p w:rsidR="00234417" w:rsidRPr="00234417" w:rsidRDefault="00234417" w:rsidP="00234417">
      <w:pPr>
        <w:pStyle w:val="TextoNormalSangraFrancesa"/>
        <w:rPr>
          <w:rStyle w:val="TextoNormalCaracter"/>
        </w:rPr>
      </w:pPr>
      <w:bookmarkStart w:id="2070" w:name="DESCRIPTORALFABETICO814"/>
      <w:r w:rsidRPr="00234417">
        <w:rPr>
          <w:rStyle w:val="TextoNormalNegritaCaracter"/>
        </w:rPr>
        <w:t>Registro de agenda telefónica</w:t>
      </w:r>
      <w:bookmarkEnd w:id="2070"/>
      <w:r w:rsidRPr="00234417">
        <w:rPr>
          <w:rStyle w:val="TextoNormalCaracter"/>
        </w:rPr>
        <w:t xml:space="preserve">, Sentencia </w:t>
      </w:r>
      <w:hyperlink w:anchor="SENTENCIA_2013_115" w:history="1">
        <w:r w:rsidRPr="00234417">
          <w:rPr>
            <w:rStyle w:val="TextoNormalCaracter"/>
          </w:rPr>
          <w:t>115/2013</w:t>
        </w:r>
      </w:hyperlink>
      <w:r w:rsidRPr="00234417">
        <w:rPr>
          <w:rStyle w:val="TextoNormalCaracter"/>
        </w:rPr>
        <w:t>, ff. 3, 4, 5, 6.</w:t>
      </w:r>
    </w:p>
    <w:p w:rsidR="00234417" w:rsidRPr="00234417" w:rsidRDefault="00234417" w:rsidP="00234417">
      <w:pPr>
        <w:pStyle w:val="TextoNormalSangraFrancesa"/>
        <w:rPr>
          <w:rStyle w:val="TextoNormalCaracter"/>
        </w:rPr>
      </w:pPr>
      <w:bookmarkStart w:id="2071" w:name="DESCRIPTORALFABETICO897"/>
      <w:r w:rsidRPr="00234417">
        <w:rPr>
          <w:rStyle w:val="TextoNormalNegritaCaracter"/>
        </w:rPr>
        <w:t>Registro policial</w:t>
      </w:r>
      <w:bookmarkEnd w:id="2071"/>
      <w:r w:rsidRPr="00234417">
        <w:rPr>
          <w:rStyle w:val="TextoNormalCaracter"/>
        </w:rPr>
        <w:t xml:space="preserve">, Sentencia </w:t>
      </w:r>
      <w:hyperlink w:anchor="SENTENCIA_2013_115" w:history="1">
        <w:r w:rsidRPr="00234417">
          <w:rPr>
            <w:rStyle w:val="TextoNormalCaracter"/>
          </w:rPr>
          <w:t>115/2013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2072" w:name="DESCRIPTORALFABETICO742"/>
      <w:r w:rsidRPr="00234417">
        <w:rPr>
          <w:rStyle w:val="TextoNormalNegritaCaracter"/>
        </w:rPr>
        <w:t>Registro público de demandantes de vivienda</w:t>
      </w:r>
      <w:bookmarkEnd w:id="2072"/>
      <w:r w:rsidRPr="00234417">
        <w:rPr>
          <w:rStyle w:val="TextoNormalCaracter"/>
        </w:rPr>
        <w:t xml:space="preserve">, Sentencia </w:t>
      </w:r>
      <w:hyperlink w:anchor="SENTENCIA_2013_112" w:history="1">
        <w:r w:rsidRPr="00234417">
          <w:rPr>
            <w:rStyle w:val="TextoNormalCaracter"/>
          </w:rPr>
          <w:t>112/2013</w:t>
        </w:r>
      </w:hyperlink>
      <w:r w:rsidRPr="00234417">
        <w:rPr>
          <w:rStyle w:val="TextoNormalCaracter"/>
        </w:rPr>
        <w:t>, ff. 1 a 4.</w:t>
      </w:r>
    </w:p>
    <w:p w:rsidR="00234417" w:rsidRPr="00234417" w:rsidRDefault="00234417" w:rsidP="00234417">
      <w:pPr>
        <w:pStyle w:val="TextoNormalSangraFrancesa"/>
        <w:rPr>
          <w:rStyle w:val="TextoNormalCaracter"/>
        </w:rPr>
      </w:pPr>
      <w:bookmarkStart w:id="2073" w:name="DESCRIPTORALFABETICO743"/>
      <w:r w:rsidRPr="00234417">
        <w:rPr>
          <w:rStyle w:val="TextoNormalNegritaCaracter"/>
        </w:rPr>
        <w:t>Registros administrativos de uniones de hecho</w:t>
      </w:r>
      <w:bookmarkEnd w:id="2073"/>
      <w:r w:rsidRPr="00234417">
        <w:rPr>
          <w:rStyle w:val="TextoNormalCaracter"/>
        </w:rPr>
        <w:t xml:space="preserve">, Sentencia </w:t>
      </w:r>
      <w:hyperlink w:anchor="SENTENCIA_2013_81" w:history="1">
        <w:r w:rsidRPr="00234417">
          <w:rPr>
            <w:rStyle w:val="TextoNormalCaracter"/>
          </w:rPr>
          <w:t>81/2013</w:t>
        </w:r>
      </w:hyperlink>
      <w:r w:rsidRPr="00234417">
        <w:rPr>
          <w:rStyle w:val="TextoNormalCaracter"/>
        </w:rPr>
        <w:t>, f. 5, VP.</w:t>
      </w:r>
    </w:p>
    <w:p w:rsidR="00234417" w:rsidRPr="00234417" w:rsidRDefault="00234417" w:rsidP="00234417">
      <w:pPr>
        <w:pStyle w:val="TextoNormalSangraFrancesa"/>
        <w:rPr>
          <w:rStyle w:val="TextoNormalCaracter"/>
        </w:rPr>
      </w:pPr>
      <w:bookmarkStart w:id="2074" w:name="DESCRIPTORALFABETICO740"/>
      <w:r w:rsidRPr="00234417">
        <w:rPr>
          <w:rStyle w:val="TextoNormalNegritaCaracter"/>
        </w:rPr>
        <w:t>Registros públicos</w:t>
      </w:r>
      <w:bookmarkEnd w:id="2074"/>
      <w:r w:rsidRPr="00234417">
        <w:rPr>
          <w:rStyle w:val="TextoNormalCaracter"/>
        </w:rPr>
        <w:t xml:space="preserve">, Sentencias </w:t>
      </w:r>
      <w:hyperlink w:anchor="SENTENCIA_2013_112" w:history="1">
        <w:r w:rsidRPr="00234417">
          <w:rPr>
            <w:rStyle w:val="TextoNormalCaracter"/>
          </w:rPr>
          <w:t>112/2013</w:t>
        </w:r>
      </w:hyperlink>
      <w:r w:rsidRPr="00234417">
        <w:rPr>
          <w:rStyle w:val="TextoNormalCaracter"/>
        </w:rPr>
        <w:t xml:space="preserve">, f. 4; </w:t>
      </w:r>
      <w:hyperlink w:anchor="SENTENCIA_2013_138" w:history="1">
        <w:r w:rsidRPr="00234417">
          <w:rPr>
            <w:rStyle w:val="TextoNormalCaracter"/>
          </w:rPr>
          <w:t>138/2013</w:t>
        </w:r>
      </w:hyperlink>
      <w:r w:rsidRPr="00234417">
        <w:rPr>
          <w:rStyle w:val="TextoNormalCaracter"/>
        </w:rPr>
        <w:t>, f. 4.</w:t>
      </w:r>
    </w:p>
    <w:p w:rsidR="00234417" w:rsidRPr="00234417" w:rsidRDefault="00234417" w:rsidP="00234417">
      <w:pPr>
        <w:pStyle w:val="TextoNormalSangraFrancesa"/>
        <w:rPr>
          <w:rStyle w:val="TextoNormalCaracter"/>
        </w:rPr>
      </w:pPr>
      <w:bookmarkStart w:id="2075" w:name="DESCRIPTORALFABETICO686"/>
      <w:r w:rsidRPr="00234417">
        <w:rPr>
          <w:rStyle w:val="TextoNormalNegritaCaracter"/>
        </w:rPr>
        <w:t>Reglamentos organizativos</w:t>
      </w:r>
      <w:bookmarkEnd w:id="2075"/>
      <w:r w:rsidRPr="00234417">
        <w:rPr>
          <w:rStyle w:val="TextoNormalCaracter"/>
        </w:rPr>
        <w:t xml:space="preserve">, Sentencia </w:t>
      </w:r>
      <w:hyperlink w:anchor="SENTENCIA_2013_103" w:history="1">
        <w:r w:rsidRPr="00234417">
          <w:rPr>
            <w:rStyle w:val="TextoNormalCaracter"/>
          </w:rPr>
          <w:t>103/2013</w:t>
        </w:r>
      </w:hyperlink>
      <w:r w:rsidRPr="00234417">
        <w:rPr>
          <w:rStyle w:val="TextoNormalCaracter"/>
        </w:rPr>
        <w:t>, f. 5.</w:t>
      </w:r>
    </w:p>
    <w:p w:rsidR="00234417" w:rsidRPr="00234417" w:rsidRDefault="00234417" w:rsidP="00234417">
      <w:pPr>
        <w:pStyle w:val="TextoNormalSangraFrancesa"/>
        <w:rPr>
          <w:rStyle w:val="TextoNormalCaracter"/>
        </w:rPr>
      </w:pPr>
      <w:bookmarkStart w:id="2076" w:name="DESCRIPTORALFABETICO400"/>
      <w:r w:rsidRPr="00234417">
        <w:rPr>
          <w:rStyle w:val="TextoNormalNegritaCaracter"/>
        </w:rPr>
        <w:t>Reglamentos parlamentarios</w:t>
      </w:r>
      <w:bookmarkEnd w:id="2076"/>
      <w:r w:rsidRPr="00234417">
        <w:rPr>
          <w:rStyle w:val="TextoNormalCaracter"/>
        </w:rPr>
        <w:t xml:space="preserve">, Sentencia </w:t>
      </w:r>
      <w:hyperlink w:anchor="SENTENCIA_2013_132" w:history="1">
        <w:r w:rsidRPr="00234417">
          <w:rPr>
            <w:rStyle w:val="TextoNormalCaracter"/>
          </w:rPr>
          <w:t>132/2013</w:t>
        </w:r>
      </w:hyperlink>
      <w:r w:rsidRPr="00234417">
        <w:rPr>
          <w:rStyle w:val="TextoNormalCaracter"/>
        </w:rPr>
        <w:t>, f. 3.</w:t>
      </w:r>
    </w:p>
    <w:p w:rsidR="00234417" w:rsidRPr="00234417" w:rsidRDefault="00234417" w:rsidP="00234417">
      <w:pPr>
        <w:pStyle w:val="TextoNormalSangraFrancesa"/>
        <w:rPr>
          <w:rStyle w:val="TextoNormalNegritaCaracter"/>
        </w:rPr>
      </w:pPr>
      <w:r w:rsidRPr="00234417">
        <w:rPr>
          <w:rStyle w:val="TextoNormalCursivaCaracter"/>
        </w:rPr>
        <w:t>Reglas procesales</w:t>
      </w:r>
      <w:r>
        <w:t xml:space="preserve"> véase </w:t>
      </w:r>
      <w:hyperlink w:anchor="DESCRIPTORALFABETICO878" w:history="1">
        <w:r w:rsidRPr="00234417">
          <w:rPr>
            <w:rStyle w:val="TextoNormalNegritaCaracter"/>
          </w:rPr>
          <w:t>Requisitos procesales</w:t>
        </w:r>
      </w:hyperlink>
    </w:p>
    <w:p w:rsidR="00234417" w:rsidRPr="00234417" w:rsidRDefault="00234417" w:rsidP="00234417">
      <w:pPr>
        <w:pStyle w:val="TextoNormalSangraFrancesa"/>
        <w:rPr>
          <w:rStyle w:val="TextoNormalCaracter"/>
        </w:rPr>
      </w:pPr>
      <w:bookmarkStart w:id="2077" w:name="DESCRIPTORALFABETICO710"/>
      <w:r w:rsidRPr="00234417">
        <w:rPr>
          <w:rStyle w:val="TextoNormalNegritaCaracter"/>
        </w:rPr>
        <w:t>Reinserción social</w:t>
      </w:r>
      <w:bookmarkEnd w:id="2077"/>
      <w:r w:rsidRPr="00234417">
        <w:rPr>
          <w:rStyle w:val="TextoNormalCaracter"/>
        </w:rPr>
        <w:t xml:space="preserve">, Sentencia </w:t>
      </w:r>
      <w:hyperlink w:anchor="SENTENCIA_2013_128" w:history="1">
        <w:r w:rsidRPr="00234417">
          <w:rPr>
            <w:rStyle w:val="TextoNormalCaracter"/>
          </w:rPr>
          <w:t>128/2013</w:t>
        </w:r>
      </w:hyperlink>
      <w:r w:rsidRPr="00234417">
        <w:rPr>
          <w:rStyle w:val="TextoNormalCaracter"/>
        </w:rPr>
        <w:t>, f. 3.</w:t>
      </w:r>
    </w:p>
    <w:p w:rsidR="00234417" w:rsidRPr="00234417" w:rsidRDefault="00234417" w:rsidP="00234417">
      <w:pPr>
        <w:pStyle w:val="TextoNormalSangraFrancesa"/>
        <w:rPr>
          <w:rStyle w:val="TextoNormalCaracter"/>
        </w:rPr>
      </w:pPr>
      <w:bookmarkStart w:id="2078" w:name="DESCRIPTORALFABETICO273"/>
      <w:r w:rsidRPr="00234417">
        <w:rPr>
          <w:rStyle w:val="TextoNormalNegritaCaracter"/>
        </w:rPr>
        <w:t>Reivindicaciones competenciales preventivas</w:t>
      </w:r>
      <w:bookmarkEnd w:id="2078"/>
      <w:r w:rsidRPr="00234417">
        <w:rPr>
          <w:rStyle w:val="TextoNormalCaracter"/>
        </w:rPr>
        <w:t xml:space="preserve">, Sentencia </w:t>
      </w:r>
      <w:hyperlink w:anchor="SENTENCIA_2013_7" w:history="1">
        <w:r w:rsidRPr="00234417">
          <w:rPr>
            <w:rStyle w:val="TextoNormalCaracter"/>
          </w:rPr>
          <w:t>7/2013</w:t>
        </w:r>
      </w:hyperlink>
      <w:r w:rsidRPr="00234417">
        <w:rPr>
          <w:rStyle w:val="TextoNormalCaracter"/>
        </w:rPr>
        <w:t>, f. 2.</w:t>
      </w:r>
    </w:p>
    <w:p w:rsidR="00234417" w:rsidRPr="00234417" w:rsidRDefault="00234417" w:rsidP="00234417">
      <w:pPr>
        <w:pStyle w:val="TextoNormalSangraFrancesa"/>
        <w:rPr>
          <w:rStyle w:val="TextoNormalCaracter"/>
        </w:rPr>
      </w:pPr>
      <w:bookmarkStart w:id="2079" w:name="DESCRIPTORALFABETICO744"/>
      <w:r w:rsidRPr="00234417">
        <w:rPr>
          <w:rStyle w:val="TextoNormalNegritaCaracter"/>
        </w:rPr>
        <w:t>Relaciones de especial sujeción</w:t>
      </w:r>
      <w:bookmarkEnd w:id="2079"/>
      <w:r w:rsidRPr="00234417">
        <w:rPr>
          <w:rStyle w:val="TextoNormalCaracter"/>
        </w:rPr>
        <w:t xml:space="preserve">, Sentencia </w:t>
      </w:r>
      <w:hyperlink w:anchor="SENTENCIA_2013_128" w:history="1">
        <w:r w:rsidRPr="00234417">
          <w:rPr>
            <w:rStyle w:val="TextoNormalCaracter"/>
          </w:rPr>
          <w:t>128/2013</w:t>
        </w:r>
      </w:hyperlink>
      <w:r w:rsidRPr="00234417">
        <w:rPr>
          <w:rStyle w:val="TextoNormalCaracter"/>
        </w:rPr>
        <w:t>, f. 3.</w:t>
      </w:r>
    </w:p>
    <w:p w:rsidR="00234417" w:rsidRPr="00234417" w:rsidRDefault="00234417" w:rsidP="00234417">
      <w:pPr>
        <w:pStyle w:val="TextoNormalSangraFrancesa"/>
        <w:rPr>
          <w:rStyle w:val="TextoNormalCaracter"/>
        </w:rPr>
      </w:pPr>
      <w:bookmarkStart w:id="2080" w:name="DESCRIPTORALFABETICO702"/>
      <w:r w:rsidRPr="00234417">
        <w:rPr>
          <w:rStyle w:val="TextoNormalNegritaCaracter"/>
        </w:rPr>
        <w:lastRenderedPageBreak/>
        <w:t>Remisión a la potestad reglamentaria</w:t>
      </w:r>
      <w:bookmarkEnd w:id="2080"/>
      <w:r w:rsidRPr="00234417">
        <w:rPr>
          <w:rStyle w:val="TextoNormalCaracter"/>
        </w:rPr>
        <w:t xml:space="preserve">, Sentencias </w:t>
      </w:r>
      <w:hyperlink w:anchor="SENTENCIA_2013_13" w:history="1">
        <w:r w:rsidRPr="00234417">
          <w:rPr>
            <w:rStyle w:val="TextoNormalCaracter"/>
          </w:rPr>
          <w:t>13/2013</w:t>
        </w:r>
      </w:hyperlink>
      <w:r w:rsidRPr="00234417">
        <w:rPr>
          <w:rStyle w:val="TextoNormalCaracter"/>
        </w:rPr>
        <w:t xml:space="preserve">, f. 4; </w:t>
      </w:r>
      <w:hyperlink w:anchor="SENTENCIA_2013_19" w:history="1">
        <w:r w:rsidRPr="00234417">
          <w:rPr>
            <w:rStyle w:val="TextoNormalCaracter"/>
          </w:rPr>
          <w:t>19/2013</w:t>
        </w:r>
      </w:hyperlink>
      <w:r w:rsidRPr="00234417">
        <w:rPr>
          <w:rStyle w:val="TextoNormalCaracter"/>
        </w:rPr>
        <w:t>, f. 4.</w:t>
      </w:r>
    </w:p>
    <w:p w:rsidR="00234417" w:rsidRPr="00234417" w:rsidRDefault="00234417" w:rsidP="00234417">
      <w:pPr>
        <w:pStyle w:val="TextoNormalSangraFrancesa"/>
        <w:rPr>
          <w:rStyle w:val="TextoNormalCaracter"/>
        </w:rPr>
      </w:pPr>
      <w:bookmarkStart w:id="2081" w:name="DESCRIPTORALFABETICO695"/>
      <w:r w:rsidRPr="00234417">
        <w:rPr>
          <w:rStyle w:val="TextoNormalNegritaCaracter"/>
        </w:rPr>
        <w:t>Remisión a normas reglamentarias</w:t>
      </w:r>
      <w:bookmarkEnd w:id="2081"/>
      <w:r w:rsidRPr="00234417">
        <w:rPr>
          <w:rStyle w:val="TextoNormalCaracter"/>
        </w:rPr>
        <w:t xml:space="preserve">, Sentencia </w:t>
      </w:r>
      <w:hyperlink w:anchor="SENTENCIA_2013_13" w:history="1">
        <w:r w:rsidRPr="00234417">
          <w:rPr>
            <w:rStyle w:val="TextoNormalCaracter"/>
          </w:rPr>
          <w:t>13/2013</w:t>
        </w:r>
      </w:hyperlink>
      <w:r w:rsidRPr="00234417">
        <w:rPr>
          <w:rStyle w:val="TextoNormalCaracter"/>
        </w:rPr>
        <w:t>, ff. 2, 3, 4.</w:t>
      </w:r>
    </w:p>
    <w:p w:rsidR="00234417" w:rsidRPr="00234417" w:rsidRDefault="00234417" w:rsidP="00234417">
      <w:pPr>
        <w:pStyle w:val="TextoNormalSangraFrancesa"/>
        <w:rPr>
          <w:rStyle w:val="TextoNormalNegritaCaracter"/>
        </w:rPr>
      </w:pPr>
      <w:r w:rsidRPr="00234417">
        <w:rPr>
          <w:rStyle w:val="TextoNormalCursivaCaracter"/>
        </w:rPr>
        <w:t>Remisión al reglamento</w:t>
      </w:r>
      <w:r>
        <w:t xml:space="preserve"> véase </w:t>
      </w:r>
      <w:hyperlink w:anchor="DESCRIPTORALFABETICO695" w:history="1">
        <w:r w:rsidRPr="00234417">
          <w:rPr>
            <w:rStyle w:val="TextoNormalNegritaCaracter"/>
          </w:rPr>
          <w:t>Remisión a normas reglamentarias</w:t>
        </w:r>
      </w:hyperlink>
    </w:p>
    <w:p w:rsidR="00234417" w:rsidRPr="00234417" w:rsidRDefault="00234417" w:rsidP="00234417">
      <w:pPr>
        <w:pStyle w:val="TextoNormalSangraFrancesa"/>
        <w:rPr>
          <w:rStyle w:val="TextoNormalNegritaCaracter"/>
        </w:rPr>
      </w:pPr>
      <w:r w:rsidRPr="00234417">
        <w:rPr>
          <w:rStyle w:val="TextoNormalCursivaCaracter"/>
        </w:rPr>
        <w:t>Remisión condicional de la pena</w:t>
      </w:r>
      <w:r>
        <w:t xml:space="preserve"> véase </w:t>
      </w:r>
      <w:hyperlink w:anchor="DESCRIPTORALFABETICO704" w:history="1">
        <w:r w:rsidRPr="00234417">
          <w:rPr>
            <w:rStyle w:val="TextoNormalNegritaCaracter"/>
          </w:rPr>
          <w:t>Suspensión de la ejecución de la pena</w:t>
        </w:r>
      </w:hyperlink>
    </w:p>
    <w:p w:rsidR="00234417" w:rsidRPr="00234417" w:rsidRDefault="00234417" w:rsidP="00234417">
      <w:pPr>
        <w:pStyle w:val="TextoNormalSangraFrancesa"/>
        <w:rPr>
          <w:rStyle w:val="TextoNormalCaracter"/>
        </w:rPr>
      </w:pPr>
      <w:bookmarkStart w:id="2082" w:name="DESCRIPTORALFABETICO316"/>
      <w:r w:rsidRPr="00234417">
        <w:rPr>
          <w:rStyle w:val="TextoNormalNegritaCaracter"/>
        </w:rPr>
        <w:t>Repercusión socioeconómica del asunto</w:t>
      </w:r>
      <w:bookmarkEnd w:id="2082"/>
      <w:r w:rsidRPr="00234417">
        <w:rPr>
          <w:rStyle w:val="TextoNormalCaracter"/>
        </w:rPr>
        <w:t xml:space="preserve">, Sentencias </w:t>
      </w:r>
      <w:hyperlink w:anchor="SENTENCIA_2013_56" w:history="1">
        <w:r w:rsidRPr="00234417">
          <w:rPr>
            <w:rStyle w:val="TextoNormalCaracter"/>
          </w:rPr>
          <w:t>56/2013</w:t>
        </w:r>
      </w:hyperlink>
      <w:r w:rsidRPr="00234417">
        <w:rPr>
          <w:rStyle w:val="TextoNormalCaracter"/>
        </w:rPr>
        <w:t xml:space="preserve">, f. 1; </w:t>
      </w:r>
      <w:hyperlink w:anchor="SENTENCIA_2013_79" w:history="1">
        <w:r w:rsidRPr="00234417">
          <w:rPr>
            <w:rStyle w:val="TextoNormalCaracter"/>
          </w:rPr>
          <w:t>79/2013</w:t>
        </w:r>
      </w:hyperlink>
      <w:r w:rsidRPr="00234417">
        <w:rPr>
          <w:rStyle w:val="TextoNormalCaracter"/>
        </w:rPr>
        <w:t>, f. 2.</w:t>
      </w:r>
    </w:p>
    <w:p w:rsidR="00234417" w:rsidRPr="00234417" w:rsidRDefault="00234417" w:rsidP="00234417">
      <w:pPr>
        <w:pStyle w:val="TextoNormalSangraFrancesa"/>
        <w:rPr>
          <w:rStyle w:val="TextoNormalCaracter"/>
        </w:rPr>
      </w:pPr>
      <w:bookmarkStart w:id="2083" w:name="DESCRIPTORALFABETICO401"/>
      <w:r w:rsidRPr="00234417">
        <w:rPr>
          <w:rStyle w:val="TextoNormalNegritaCaracter"/>
        </w:rPr>
        <w:t>Representación política</w:t>
      </w:r>
      <w:bookmarkEnd w:id="2083"/>
      <w:r w:rsidRPr="00234417">
        <w:rPr>
          <w:rStyle w:val="TextoNormalCaracter"/>
        </w:rPr>
        <w:t xml:space="preserve">, Sentencia </w:t>
      </w:r>
      <w:hyperlink w:anchor="SENTENCIA_2013_125" w:history="1">
        <w:r w:rsidRPr="00234417">
          <w:rPr>
            <w:rStyle w:val="TextoNormalCaracter"/>
          </w:rPr>
          <w:t>125/2013</w:t>
        </w:r>
      </w:hyperlink>
      <w:r w:rsidRPr="00234417">
        <w:rPr>
          <w:rStyle w:val="TextoNormalCaracter"/>
        </w:rPr>
        <w:t>, ff. 4 a 8.</w:t>
      </w:r>
    </w:p>
    <w:p w:rsidR="00234417" w:rsidRPr="00234417" w:rsidRDefault="00234417" w:rsidP="00234417">
      <w:pPr>
        <w:pStyle w:val="TextoNormalSangraFrancesa"/>
        <w:rPr>
          <w:rStyle w:val="TextoNormalCaracter"/>
        </w:rPr>
      </w:pPr>
      <w:bookmarkStart w:id="2084" w:name="DESCRIPTORALFABETICO836"/>
      <w:r w:rsidRPr="00234417">
        <w:rPr>
          <w:rStyle w:val="TextoNormalNegritaCaracter"/>
        </w:rPr>
        <w:t>Reproducción de prueba en el juicio oral</w:t>
      </w:r>
      <w:bookmarkEnd w:id="2084"/>
      <w:r w:rsidRPr="00234417">
        <w:rPr>
          <w:rStyle w:val="TextoNormalCaracter"/>
        </w:rPr>
        <w:t xml:space="preserve">, Sentencia </w:t>
      </w:r>
      <w:hyperlink w:anchor="SENTENCIA_2013_57" w:history="1">
        <w:r w:rsidRPr="00234417">
          <w:rPr>
            <w:rStyle w:val="TextoNormalCaracter"/>
          </w:rPr>
          <w:t>57/2013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2085" w:name="DESCRIPTORALFABETICO580"/>
      <w:r w:rsidRPr="00234417">
        <w:rPr>
          <w:rStyle w:val="TextoNormalNegritaCaracter"/>
        </w:rPr>
        <w:t>Requisito de titulación para el acceso a la función pública</w:t>
      </w:r>
      <w:bookmarkEnd w:id="2085"/>
      <w:r w:rsidRPr="00234417">
        <w:rPr>
          <w:rStyle w:val="TextoNormalCaracter"/>
        </w:rPr>
        <w:t xml:space="preserve">, Sentencia </w:t>
      </w:r>
      <w:hyperlink w:anchor="SENTENCIA_2013_9" w:history="1">
        <w:r w:rsidRPr="00234417">
          <w:rPr>
            <w:rStyle w:val="TextoNormalCaracter"/>
          </w:rPr>
          <w:t>9/2013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2086" w:name="DESCRIPTORALFABETICO657"/>
      <w:r w:rsidRPr="00234417">
        <w:rPr>
          <w:rStyle w:val="TextoNormalNegritaCaracter"/>
        </w:rPr>
        <w:t>Requisitos de los decretos-leyes</w:t>
      </w:r>
      <w:bookmarkEnd w:id="2086"/>
      <w:r w:rsidRPr="00234417">
        <w:rPr>
          <w:rStyle w:val="TextoNormalCaracter"/>
        </w:rPr>
        <w:t xml:space="preserve">, Sentencia </w:t>
      </w:r>
      <w:hyperlink w:anchor="SENTENCIA_2013_39" w:history="1">
        <w:r w:rsidRPr="00234417">
          <w:rPr>
            <w:rStyle w:val="TextoNormalCaracter"/>
          </w:rPr>
          <w:t>39/2013</w:t>
        </w:r>
      </w:hyperlink>
      <w:r w:rsidRPr="00234417">
        <w:rPr>
          <w:rStyle w:val="TextoNormalCaracter"/>
        </w:rPr>
        <w:t>, f. 3.</w:t>
      </w:r>
    </w:p>
    <w:p w:rsidR="00234417" w:rsidRPr="00234417" w:rsidRDefault="00234417" w:rsidP="00234417">
      <w:pPr>
        <w:pStyle w:val="TextoNormalSangraFrancesa"/>
        <w:rPr>
          <w:rStyle w:val="TextoNormalCaracter"/>
        </w:rPr>
      </w:pPr>
      <w:bookmarkStart w:id="2087" w:name="DESCRIPTORALFABETICO260"/>
      <w:r w:rsidRPr="00234417">
        <w:rPr>
          <w:rStyle w:val="TextoNormalNegritaCaracter"/>
        </w:rPr>
        <w:t>Requisitos del desistimiento en el recurso de amparo</w:t>
      </w:r>
      <w:bookmarkEnd w:id="2087"/>
      <w:r w:rsidRPr="00234417">
        <w:rPr>
          <w:rStyle w:val="TextoNormalCaracter"/>
        </w:rPr>
        <w:t xml:space="preserve">, Autos </w:t>
      </w:r>
      <w:hyperlink w:anchor="AUTO_2013_70" w:history="1">
        <w:r w:rsidRPr="00234417">
          <w:rPr>
            <w:rStyle w:val="TextoNormalCaracter"/>
          </w:rPr>
          <w:t>70/2013</w:t>
        </w:r>
      </w:hyperlink>
      <w:r w:rsidRPr="00234417">
        <w:rPr>
          <w:rStyle w:val="TextoNormalCaracter"/>
        </w:rPr>
        <w:t xml:space="preserve">, f. 3; </w:t>
      </w:r>
      <w:hyperlink w:anchor="AUTO_2013_89" w:history="1">
        <w:r w:rsidRPr="00234417">
          <w:rPr>
            <w:rStyle w:val="TextoNormalCaracter"/>
          </w:rPr>
          <w:t>89/2013</w:t>
        </w:r>
      </w:hyperlink>
      <w:r w:rsidRPr="00234417">
        <w:rPr>
          <w:rStyle w:val="TextoNormalCaracter"/>
        </w:rPr>
        <w:t>, ff. 2 a 5, VP I, VP II.</w:t>
      </w:r>
    </w:p>
    <w:p w:rsidR="00234417" w:rsidRPr="00234417" w:rsidRDefault="00234417" w:rsidP="00234417">
      <w:pPr>
        <w:pStyle w:val="TextoNormalSangraFrancesa"/>
        <w:rPr>
          <w:rStyle w:val="TextoNormalCaracter"/>
        </w:rPr>
      </w:pPr>
      <w:bookmarkStart w:id="2088" w:name="DESCRIPTORALFABETICO664"/>
      <w:r w:rsidRPr="00234417">
        <w:rPr>
          <w:rStyle w:val="TextoNormalNegritaCaracter"/>
        </w:rPr>
        <w:t>Requisitos formales de la normativa básica</w:t>
      </w:r>
      <w:bookmarkEnd w:id="2088"/>
      <w:r w:rsidRPr="00234417">
        <w:rPr>
          <w:rStyle w:val="TextoNormalCaracter"/>
        </w:rPr>
        <w:t xml:space="preserve">, Sentencias </w:t>
      </w:r>
      <w:hyperlink w:anchor="SENTENCIA_2013_6" w:history="1">
        <w:r w:rsidRPr="00234417">
          <w:rPr>
            <w:rStyle w:val="TextoNormalCaracter"/>
          </w:rPr>
          <w:t>6/2013</w:t>
        </w:r>
      </w:hyperlink>
      <w:r w:rsidRPr="00234417">
        <w:rPr>
          <w:rStyle w:val="TextoNormalCaracter"/>
        </w:rPr>
        <w:t xml:space="preserve">, ff. 3, 6; </w:t>
      </w:r>
      <w:hyperlink w:anchor="SENTENCIA_2013_24" w:history="1">
        <w:r w:rsidRPr="00234417">
          <w:rPr>
            <w:rStyle w:val="TextoNormalCaracter"/>
          </w:rPr>
          <w:t>24/2013</w:t>
        </w:r>
      </w:hyperlink>
      <w:r w:rsidRPr="00234417">
        <w:rPr>
          <w:rStyle w:val="TextoNormalCaracter"/>
        </w:rPr>
        <w:t xml:space="preserve">, f. 4; </w:t>
      </w:r>
      <w:hyperlink w:anchor="SENTENCIA_2013_36" w:history="1">
        <w:r w:rsidRPr="00234417">
          <w:rPr>
            <w:rStyle w:val="TextoNormalCaracter"/>
          </w:rPr>
          <w:t>36/2013</w:t>
        </w:r>
      </w:hyperlink>
      <w:r w:rsidRPr="00234417">
        <w:rPr>
          <w:rStyle w:val="TextoNormalCaracter"/>
        </w:rPr>
        <w:t xml:space="preserve">, f. 5; </w:t>
      </w:r>
      <w:hyperlink w:anchor="SENTENCIA_2013_131" w:history="1">
        <w:r w:rsidRPr="00234417">
          <w:rPr>
            <w:rStyle w:val="TextoNormalCaracter"/>
          </w:rPr>
          <w:t>131/2013</w:t>
        </w:r>
      </w:hyperlink>
      <w:r w:rsidRPr="00234417">
        <w:rPr>
          <w:rStyle w:val="TextoNormalCaracter"/>
        </w:rPr>
        <w:t>, f. 6.</w:t>
      </w:r>
    </w:p>
    <w:p w:rsidR="00234417" w:rsidRPr="00234417" w:rsidRDefault="00234417" w:rsidP="00234417">
      <w:pPr>
        <w:pStyle w:val="TextoNormalSangraFrancesa"/>
        <w:rPr>
          <w:rStyle w:val="TextoNormalCaracter"/>
        </w:rPr>
      </w:pPr>
      <w:bookmarkStart w:id="2089" w:name="DESCRIPTORALFABETICO666"/>
      <w:r w:rsidRPr="00234417">
        <w:rPr>
          <w:rStyle w:val="TextoNormalNegritaCaracter"/>
        </w:rPr>
        <w:t>Requisitos materiales de la normativa básica</w:t>
      </w:r>
      <w:bookmarkEnd w:id="2089"/>
      <w:r w:rsidRPr="00234417">
        <w:rPr>
          <w:rStyle w:val="TextoNormalCaracter"/>
        </w:rPr>
        <w:t xml:space="preserve">, Sentencias </w:t>
      </w:r>
      <w:hyperlink w:anchor="SENTENCIA_2013_24" w:history="1">
        <w:r w:rsidRPr="00234417">
          <w:rPr>
            <w:rStyle w:val="TextoNormalCaracter"/>
          </w:rPr>
          <w:t>24/2013</w:t>
        </w:r>
      </w:hyperlink>
      <w:r w:rsidRPr="00234417">
        <w:rPr>
          <w:rStyle w:val="TextoNormalCaracter"/>
        </w:rPr>
        <w:t xml:space="preserve">, f. 4; </w:t>
      </w:r>
      <w:hyperlink w:anchor="SENTENCIA_2013_123" w:history="1">
        <w:r w:rsidRPr="00234417">
          <w:rPr>
            <w:rStyle w:val="TextoNormalCaracter"/>
          </w:rPr>
          <w:t>123/2013</w:t>
        </w:r>
      </w:hyperlink>
      <w:r w:rsidRPr="00234417">
        <w:rPr>
          <w:rStyle w:val="TextoNormalCaracter"/>
        </w:rPr>
        <w:t>, f. 3.</w:t>
      </w:r>
    </w:p>
    <w:p w:rsidR="00234417" w:rsidRPr="00234417" w:rsidRDefault="00234417" w:rsidP="00234417">
      <w:pPr>
        <w:pStyle w:val="TextoNormalSangraFrancesa"/>
        <w:rPr>
          <w:rStyle w:val="TextoNormalCaracter"/>
        </w:rPr>
      </w:pPr>
      <w:bookmarkStart w:id="2090" w:name="DESCRIPTORALFABETICO878"/>
      <w:r w:rsidRPr="00234417">
        <w:rPr>
          <w:rStyle w:val="TextoNormalNegritaCaracter"/>
        </w:rPr>
        <w:t>Requisitos procesales</w:t>
      </w:r>
      <w:bookmarkEnd w:id="2090"/>
      <w:r w:rsidRPr="00234417">
        <w:rPr>
          <w:rStyle w:val="TextoNormalCaracter"/>
        </w:rPr>
        <w:t xml:space="preserve">, Sentencias </w:t>
      </w:r>
      <w:hyperlink w:anchor="SENTENCIA_2013_73" w:history="1">
        <w:r w:rsidRPr="00234417">
          <w:rPr>
            <w:rStyle w:val="TextoNormalCaracter"/>
          </w:rPr>
          <w:t>73/2013</w:t>
        </w:r>
      </w:hyperlink>
      <w:r w:rsidRPr="00234417">
        <w:rPr>
          <w:rStyle w:val="TextoNormalCaracter"/>
        </w:rPr>
        <w:t xml:space="preserve">, ff. 2, 3; </w:t>
      </w:r>
      <w:hyperlink w:anchor="SENTENCIA_2013_74" w:history="1">
        <w:r w:rsidRPr="00234417">
          <w:rPr>
            <w:rStyle w:val="TextoNormalCaracter"/>
          </w:rPr>
          <w:t>74/2013</w:t>
        </w:r>
      </w:hyperlink>
      <w:r w:rsidRPr="00234417">
        <w:rPr>
          <w:rStyle w:val="TextoNormalCaracter"/>
        </w:rPr>
        <w:t>, f. 2.</w:t>
      </w:r>
    </w:p>
    <w:p w:rsidR="00234417" w:rsidRPr="00234417" w:rsidRDefault="00234417" w:rsidP="00234417">
      <w:pPr>
        <w:pStyle w:val="TextoNormalSangraFrancesa"/>
        <w:rPr>
          <w:rStyle w:val="TextoNormalCaracter"/>
        </w:rPr>
      </w:pPr>
      <w:bookmarkStart w:id="2091" w:name="DESCRIPTORALFABETICO287"/>
      <w:r w:rsidRPr="00234417">
        <w:rPr>
          <w:rStyle w:val="TextoNormalNegritaCaracter"/>
        </w:rPr>
        <w:t>Requisitos procesales de la cuestión de inconstitucionalidad</w:t>
      </w:r>
      <w:bookmarkEnd w:id="2091"/>
      <w:r w:rsidRPr="00234417">
        <w:rPr>
          <w:rStyle w:val="TextoNormalCaracter"/>
        </w:rPr>
        <w:t xml:space="preserve">, Sentencia </w:t>
      </w:r>
      <w:hyperlink w:anchor="SENTENCIA_2013_60" w:history="1">
        <w:r w:rsidRPr="00234417">
          <w:rPr>
            <w:rStyle w:val="TextoNormalCaracter"/>
          </w:rPr>
          <w:t>60/2013</w:t>
        </w:r>
      </w:hyperlink>
      <w:r w:rsidRPr="00234417">
        <w:rPr>
          <w:rStyle w:val="TextoNormalCaracter"/>
        </w:rPr>
        <w:t>, f. 2.</w:t>
      </w:r>
    </w:p>
    <w:p w:rsidR="00234417" w:rsidRPr="00234417" w:rsidRDefault="00234417" w:rsidP="00234417">
      <w:pPr>
        <w:pStyle w:val="TextoNormalSangraFrancesa"/>
        <w:rPr>
          <w:rStyle w:val="TextoNormalCaracter"/>
        </w:rPr>
      </w:pPr>
      <w:bookmarkStart w:id="2092" w:name="DESCRIPTORALFABETICO697"/>
      <w:r w:rsidRPr="00234417">
        <w:rPr>
          <w:rStyle w:val="TextoNormalNegritaCaracter"/>
        </w:rPr>
        <w:t>Reserva de ley</w:t>
      </w:r>
      <w:bookmarkEnd w:id="2092"/>
      <w:r w:rsidRPr="00234417">
        <w:rPr>
          <w:rStyle w:val="TextoNormalCaracter"/>
        </w:rPr>
        <w:t xml:space="preserve">, Sentencias </w:t>
      </w:r>
      <w:hyperlink w:anchor="SENTENCIA_2013_13" w:history="1">
        <w:r w:rsidRPr="00234417">
          <w:rPr>
            <w:rStyle w:val="TextoNormalCaracter"/>
          </w:rPr>
          <w:t>13/2013</w:t>
        </w:r>
      </w:hyperlink>
      <w:r w:rsidRPr="00234417">
        <w:rPr>
          <w:rStyle w:val="TextoNormalCaracter"/>
        </w:rPr>
        <w:t xml:space="preserve">, ff. 2, 4; </w:t>
      </w:r>
      <w:hyperlink w:anchor="SENTENCIA_2013_132" w:history="1">
        <w:r w:rsidRPr="00234417">
          <w:rPr>
            <w:rStyle w:val="TextoNormalCaracter"/>
          </w:rPr>
          <w:t>132/2013</w:t>
        </w:r>
      </w:hyperlink>
      <w:r w:rsidRPr="00234417">
        <w:rPr>
          <w:rStyle w:val="TextoNormalCaracter"/>
        </w:rPr>
        <w:t>, f. 4.</w:t>
      </w:r>
    </w:p>
    <w:p w:rsidR="00234417" w:rsidRPr="00234417" w:rsidRDefault="00234417" w:rsidP="00234417">
      <w:pPr>
        <w:pStyle w:val="TextoNormalSangraFrancesa"/>
        <w:rPr>
          <w:rStyle w:val="TextoNormalCaracter"/>
        </w:rPr>
      </w:pPr>
      <w:bookmarkStart w:id="2093" w:name="DESCRIPTORALFABETICO698"/>
      <w:r w:rsidRPr="00234417">
        <w:rPr>
          <w:rStyle w:val="TextoNormalNegritaCaracter"/>
        </w:rPr>
        <w:t>Reserva de ley tributaria</w:t>
      </w:r>
      <w:bookmarkEnd w:id="2093"/>
      <w:r w:rsidRPr="00234417">
        <w:rPr>
          <w:rStyle w:val="TextoNormalCaracter"/>
        </w:rPr>
        <w:t xml:space="preserve">, Sentencia </w:t>
      </w:r>
      <w:hyperlink w:anchor="SENTENCIA_2013_85" w:history="1">
        <w:r w:rsidRPr="00234417">
          <w:rPr>
            <w:rStyle w:val="TextoNormalCaracter"/>
          </w:rPr>
          <w:t>85/2013</w:t>
        </w:r>
      </w:hyperlink>
      <w:r w:rsidRPr="00234417">
        <w:rPr>
          <w:rStyle w:val="TextoNormalCaracter"/>
        </w:rPr>
        <w:t>, f. 6, VP.</w:t>
      </w:r>
    </w:p>
    <w:p w:rsidR="00234417" w:rsidRPr="00234417" w:rsidRDefault="00234417" w:rsidP="00234417">
      <w:pPr>
        <w:pStyle w:val="TextoNormalSangraFrancesa"/>
        <w:rPr>
          <w:rStyle w:val="TextoNormalCaracter"/>
        </w:rPr>
      </w:pPr>
      <w:r w:rsidRPr="00234417">
        <w:rPr>
          <w:rStyle w:val="TextoNormalCursivaCaracter"/>
        </w:rPr>
        <w:t xml:space="preserve">    Contenido, </w:t>
      </w:r>
      <w:r w:rsidRPr="00234417">
        <w:rPr>
          <w:rStyle w:val="TextoNormalCaracter"/>
        </w:rPr>
        <w:t xml:space="preserve">Sentencia </w:t>
      </w:r>
      <w:hyperlink w:anchor="SENTENCIA_2013_86" w:history="1">
        <w:r w:rsidRPr="00234417">
          <w:rPr>
            <w:rStyle w:val="TextoNormalCaracter"/>
          </w:rPr>
          <w:t>86/2013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2094" w:name="DESCRIPTORALFABETICO626"/>
      <w:r w:rsidRPr="00234417">
        <w:rPr>
          <w:rStyle w:val="TextoNormalNegritaCaracter"/>
        </w:rPr>
        <w:t>Residuos urbanos</w:t>
      </w:r>
      <w:bookmarkEnd w:id="2094"/>
      <w:r w:rsidRPr="00234417">
        <w:rPr>
          <w:rStyle w:val="TextoNormalCaracter"/>
        </w:rPr>
        <w:t xml:space="preserve">, Sentencia </w:t>
      </w:r>
      <w:hyperlink w:anchor="SENTENCIA_2013_129" w:history="1">
        <w:r w:rsidRPr="00234417">
          <w:rPr>
            <w:rStyle w:val="TextoNormalCaracter"/>
          </w:rPr>
          <w:t>129/2013</w:t>
        </w:r>
      </w:hyperlink>
      <w:r w:rsidRPr="00234417">
        <w:rPr>
          <w:rStyle w:val="TextoNormalCaracter"/>
        </w:rPr>
        <w:t>, f. 2.</w:t>
      </w:r>
    </w:p>
    <w:p w:rsidR="00234417" w:rsidRPr="00234417" w:rsidRDefault="00234417" w:rsidP="00234417">
      <w:pPr>
        <w:pStyle w:val="TextoNormalSangraFrancesa"/>
        <w:rPr>
          <w:rStyle w:val="TextoNormalCaracter"/>
        </w:rPr>
      </w:pPr>
      <w:bookmarkStart w:id="2095" w:name="DESCRIPTORALFABETICO497"/>
      <w:r w:rsidRPr="00234417">
        <w:rPr>
          <w:rStyle w:val="TextoNormalNegritaCaracter"/>
        </w:rPr>
        <w:t>Resolución del concurso público</w:t>
      </w:r>
      <w:bookmarkEnd w:id="2095"/>
      <w:r w:rsidRPr="00234417">
        <w:rPr>
          <w:rStyle w:val="TextoNormalCaracter"/>
        </w:rPr>
        <w:t xml:space="preserve">, Sentencia </w:t>
      </w:r>
      <w:hyperlink w:anchor="SENTENCIA_2013_126" w:history="1">
        <w:r w:rsidRPr="00234417">
          <w:rPr>
            <w:rStyle w:val="TextoNormalCaracter"/>
          </w:rPr>
          <w:t>126/2013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2096" w:name="DESCRIPTORALFABETICO177"/>
      <w:r w:rsidRPr="00234417">
        <w:rPr>
          <w:rStyle w:val="TextoNormalNegritaCaracter"/>
        </w:rPr>
        <w:t>Resolución fundada en Derecho</w:t>
      </w:r>
      <w:bookmarkEnd w:id="2096"/>
      <w:r w:rsidRPr="00234417">
        <w:rPr>
          <w:rStyle w:val="TextoNormalCaracter"/>
        </w:rPr>
        <w:t xml:space="preserve">, Sentencias </w:t>
      </w:r>
      <w:hyperlink w:anchor="SENTENCIA_2013_31" w:history="1">
        <w:r w:rsidRPr="00234417">
          <w:rPr>
            <w:rStyle w:val="TextoNormalCaracter"/>
          </w:rPr>
          <w:t>31/2013</w:t>
        </w:r>
      </w:hyperlink>
      <w:r w:rsidRPr="00234417">
        <w:rPr>
          <w:rStyle w:val="TextoNormalCaracter"/>
        </w:rPr>
        <w:t xml:space="preserve">, ff. 3 a 7, VP; </w:t>
      </w:r>
      <w:hyperlink w:anchor="SENTENCIA_2013_90" w:history="1">
        <w:r w:rsidRPr="00234417">
          <w:rPr>
            <w:rStyle w:val="TextoNormalCaracter"/>
          </w:rPr>
          <w:t>90/2013</w:t>
        </w:r>
      </w:hyperlink>
      <w:r w:rsidRPr="00234417">
        <w:rPr>
          <w:rStyle w:val="TextoNormalCaracter"/>
        </w:rPr>
        <w:t xml:space="preserve">, f. 3; </w:t>
      </w:r>
      <w:hyperlink w:anchor="SENTENCIA_2013_133" w:history="1">
        <w:r w:rsidRPr="00234417">
          <w:rPr>
            <w:rStyle w:val="TextoNormalCaracter"/>
          </w:rPr>
          <w:t>133/2013</w:t>
        </w:r>
      </w:hyperlink>
      <w:r w:rsidRPr="00234417">
        <w:rPr>
          <w:rStyle w:val="TextoNormalCaracter"/>
        </w:rPr>
        <w:t>, ff. 6, 8.</w:t>
      </w:r>
    </w:p>
    <w:p w:rsidR="00234417" w:rsidRPr="00234417" w:rsidRDefault="00234417" w:rsidP="00234417">
      <w:pPr>
        <w:pStyle w:val="TextoNormalSangraFrancesa"/>
        <w:rPr>
          <w:rStyle w:val="TextoNormalCaracter"/>
        </w:rPr>
      </w:pPr>
      <w:r w:rsidRPr="00234417">
        <w:rPr>
          <w:rStyle w:val="TextoNormalCursivaCaracter"/>
        </w:rPr>
        <w:t xml:space="preserve">    Respetado, </w:t>
      </w:r>
      <w:r w:rsidRPr="00234417">
        <w:rPr>
          <w:rStyle w:val="TextoNormalCaracter"/>
        </w:rPr>
        <w:t xml:space="preserve">Sentencias </w:t>
      </w:r>
      <w:hyperlink w:anchor="SENTENCIA_2013_44" w:history="1">
        <w:r w:rsidRPr="00234417">
          <w:rPr>
            <w:rStyle w:val="TextoNormalCaracter"/>
          </w:rPr>
          <w:t>44/2013</w:t>
        </w:r>
      </w:hyperlink>
      <w:r w:rsidRPr="00234417">
        <w:rPr>
          <w:rStyle w:val="TextoNormalCaracter"/>
        </w:rPr>
        <w:t xml:space="preserve">, f. 5; </w:t>
      </w:r>
      <w:hyperlink w:anchor="SENTENCIA_2013_78" w:history="1">
        <w:r w:rsidRPr="00234417">
          <w:rPr>
            <w:rStyle w:val="TextoNormalCaracter"/>
          </w:rPr>
          <w:t>78/2013</w:t>
        </w:r>
      </w:hyperlink>
      <w:r w:rsidRPr="00234417">
        <w:rPr>
          <w:rStyle w:val="TextoNormalCaracter"/>
        </w:rPr>
        <w:t>, f. 4.</w:t>
      </w:r>
    </w:p>
    <w:p w:rsidR="00234417" w:rsidRPr="00234417" w:rsidRDefault="00234417" w:rsidP="00234417">
      <w:pPr>
        <w:pStyle w:val="TextoNormalSangraFrancesa"/>
        <w:rPr>
          <w:rStyle w:val="TextoNormalCaracter"/>
        </w:rPr>
      </w:pPr>
      <w:r w:rsidRPr="00234417">
        <w:rPr>
          <w:rStyle w:val="TextoNormalCursivaCaracter"/>
        </w:rPr>
        <w:t xml:space="preserve">    Vulnerado, </w:t>
      </w:r>
      <w:r w:rsidRPr="00234417">
        <w:rPr>
          <w:rStyle w:val="TextoNormalCaracter"/>
        </w:rPr>
        <w:t xml:space="preserve">Sentencias </w:t>
      </w:r>
      <w:hyperlink w:anchor="SENTENCIA_2013_31" w:history="1">
        <w:r w:rsidRPr="00234417">
          <w:rPr>
            <w:rStyle w:val="TextoNormalCaracter"/>
          </w:rPr>
          <w:t>31/2013</w:t>
        </w:r>
      </w:hyperlink>
      <w:r w:rsidRPr="00234417">
        <w:rPr>
          <w:rStyle w:val="TextoNormalCaracter"/>
        </w:rPr>
        <w:t xml:space="preserve">, ff. 3 a 7, VP; </w:t>
      </w:r>
      <w:hyperlink w:anchor="SENTENCIA_2013_108" w:history="1">
        <w:r w:rsidRPr="00234417">
          <w:rPr>
            <w:rStyle w:val="TextoNormalCaracter"/>
          </w:rPr>
          <w:t>108/2013</w:t>
        </w:r>
      </w:hyperlink>
      <w:r w:rsidRPr="00234417">
        <w:rPr>
          <w:rStyle w:val="TextoNormalCaracter"/>
        </w:rPr>
        <w:t xml:space="preserve">, ff. 5, 6; </w:t>
      </w:r>
      <w:hyperlink w:anchor="SENTENCIA_2013_121" w:history="1">
        <w:r w:rsidRPr="00234417">
          <w:rPr>
            <w:rStyle w:val="TextoNormalCaracter"/>
          </w:rPr>
          <w:t>121/2013</w:t>
        </w:r>
      </w:hyperlink>
      <w:r w:rsidRPr="00234417">
        <w:rPr>
          <w:rStyle w:val="TextoNormalCaracter"/>
        </w:rPr>
        <w:t>, f. 5.</w:t>
      </w:r>
    </w:p>
    <w:p w:rsidR="00234417" w:rsidRPr="00234417" w:rsidRDefault="00234417" w:rsidP="00234417">
      <w:pPr>
        <w:pStyle w:val="TextoNormalSangraFrancesa"/>
        <w:rPr>
          <w:rStyle w:val="TextoNormalCaracter"/>
        </w:rPr>
      </w:pPr>
      <w:bookmarkStart w:id="2097" w:name="DESCRIPTORALFABETICO475"/>
      <w:r w:rsidRPr="00234417">
        <w:rPr>
          <w:rStyle w:val="TextoNormalNegritaCaracter"/>
        </w:rPr>
        <w:t>Resoluciones administrativas sancionadoras</w:t>
      </w:r>
      <w:bookmarkEnd w:id="2097"/>
      <w:r w:rsidRPr="00234417">
        <w:rPr>
          <w:rStyle w:val="TextoNormalCaracter"/>
        </w:rPr>
        <w:t xml:space="preserve">, Sentencias </w:t>
      </w:r>
      <w:hyperlink w:anchor="SENTENCIA_2013_30" w:history="1">
        <w:r w:rsidRPr="00234417">
          <w:rPr>
            <w:rStyle w:val="TextoNormalCaracter"/>
          </w:rPr>
          <w:t>30/2013</w:t>
        </w:r>
      </w:hyperlink>
      <w:r w:rsidRPr="00234417">
        <w:rPr>
          <w:rStyle w:val="TextoNormalCaracter"/>
        </w:rPr>
        <w:t xml:space="preserve">, ff. 1 a 3; </w:t>
      </w:r>
      <w:hyperlink w:anchor="SENTENCIA_2013_45" w:history="1">
        <w:r w:rsidRPr="00234417">
          <w:rPr>
            <w:rStyle w:val="TextoNormalCaracter"/>
          </w:rPr>
          <w:t>45/2013</w:t>
        </w:r>
      </w:hyperlink>
      <w:r w:rsidRPr="00234417">
        <w:rPr>
          <w:rStyle w:val="TextoNormalCaracter"/>
        </w:rPr>
        <w:t>, f. 2.</w:t>
      </w:r>
    </w:p>
    <w:p w:rsidR="00234417" w:rsidRPr="00234417" w:rsidRDefault="00234417" w:rsidP="00234417">
      <w:pPr>
        <w:pStyle w:val="TextoNormalSangraFrancesa"/>
        <w:rPr>
          <w:rStyle w:val="TextoNormalCaracter"/>
        </w:rPr>
      </w:pPr>
      <w:bookmarkStart w:id="2098" w:name="DESCRIPTORALFABETICO879"/>
      <w:r w:rsidRPr="00234417">
        <w:rPr>
          <w:rStyle w:val="TextoNormalNegritaCaracter"/>
        </w:rPr>
        <w:t>Resoluciones judiciales</w:t>
      </w:r>
      <w:bookmarkEnd w:id="2098"/>
      <w:r w:rsidRPr="00234417">
        <w:rPr>
          <w:rStyle w:val="TextoNormalCaracter"/>
        </w:rPr>
        <w:t xml:space="preserve">, Sentencia </w:t>
      </w:r>
      <w:hyperlink w:anchor="SENTENCIA_2013_121" w:history="1">
        <w:r w:rsidRPr="00234417">
          <w:rPr>
            <w:rStyle w:val="TextoNormalCaracter"/>
          </w:rPr>
          <w:t>121/2013</w:t>
        </w:r>
      </w:hyperlink>
      <w:r w:rsidRPr="00234417">
        <w:rPr>
          <w:rStyle w:val="TextoNormalCaracter"/>
        </w:rPr>
        <w:t>, ff. 4, 5.</w:t>
      </w:r>
    </w:p>
    <w:p w:rsidR="00234417" w:rsidRPr="00234417" w:rsidRDefault="00234417" w:rsidP="00234417">
      <w:pPr>
        <w:pStyle w:val="TextoNormalSangraFrancesa"/>
        <w:rPr>
          <w:rStyle w:val="TextoNormalCaracter"/>
        </w:rPr>
      </w:pPr>
      <w:bookmarkStart w:id="2099" w:name="DESCRIPTORALFABETICO882"/>
      <w:r w:rsidRPr="00234417">
        <w:rPr>
          <w:rStyle w:val="TextoNormalNegritaCaracter"/>
        </w:rPr>
        <w:t>Resoluciones judiciales vinculantes para otros órganos judiciales</w:t>
      </w:r>
      <w:bookmarkEnd w:id="2099"/>
      <w:r w:rsidRPr="00234417">
        <w:rPr>
          <w:rStyle w:val="TextoNormalCaracter"/>
        </w:rPr>
        <w:t xml:space="preserve">, Sentencia </w:t>
      </w:r>
      <w:hyperlink w:anchor="SENTENCIA_2013_121" w:history="1">
        <w:r w:rsidRPr="00234417">
          <w:rPr>
            <w:rStyle w:val="TextoNormalCaracter"/>
          </w:rPr>
          <w:t>121/2013</w:t>
        </w:r>
      </w:hyperlink>
      <w:r w:rsidRPr="00234417">
        <w:rPr>
          <w:rStyle w:val="TextoNormalCaracter"/>
        </w:rPr>
        <w:t>, f. 4.</w:t>
      </w:r>
    </w:p>
    <w:p w:rsidR="00234417" w:rsidRPr="00234417" w:rsidRDefault="00234417" w:rsidP="00234417">
      <w:pPr>
        <w:pStyle w:val="TextoNormalSangraFrancesa"/>
        <w:rPr>
          <w:rStyle w:val="TextoNormalCaracter"/>
        </w:rPr>
      </w:pPr>
      <w:bookmarkStart w:id="2100" w:name="DESCRIPTORALFABETICO346"/>
      <w:r w:rsidRPr="00234417">
        <w:rPr>
          <w:rStyle w:val="TextoNormalNegritaCaracter"/>
        </w:rPr>
        <w:t>Responsabilidad civil de magistrados del Tribunal Constitucional</w:t>
      </w:r>
      <w:bookmarkEnd w:id="2100"/>
      <w:r w:rsidRPr="00234417">
        <w:rPr>
          <w:rStyle w:val="TextoNormalCaracter"/>
        </w:rPr>
        <w:t xml:space="preserve">, Sentencia </w:t>
      </w:r>
      <w:hyperlink w:anchor="SENTENCIA_2013_133" w:history="1">
        <w:r w:rsidRPr="00234417">
          <w:rPr>
            <w:rStyle w:val="TextoNormalCaracter"/>
          </w:rPr>
          <w:t>133/2013</w:t>
        </w:r>
      </w:hyperlink>
      <w:r w:rsidRPr="00234417">
        <w:rPr>
          <w:rStyle w:val="TextoNormalCaracter"/>
        </w:rPr>
        <w:t>, ff. 2, 5 a 8.</w:t>
      </w:r>
    </w:p>
    <w:p w:rsidR="00234417" w:rsidRPr="00234417" w:rsidRDefault="00234417" w:rsidP="00234417">
      <w:pPr>
        <w:pStyle w:val="TextoNormalSangraFrancesa"/>
        <w:rPr>
          <w:rStyle w:val="TextoNormalCaracter"/>
        </w:rPr>
      </w:pPr>
      <w:bookmarkStart w:id="2101" w:name="DESCRIPTORALFABETICO106"/>
      <w:r w:rsidRPr="00234417">
        <w:rPr>
          <w:rStyle w:val="TextoNormalNegritaCaracter"/>
        </w:rPr>
        <w:t>Responsabilidad financiera</w:t>
      </w:r>
      <w:bookmarkEnd w:id="2101"/>
      <w:r w:rsidRPr="00234417">
        <w:rPr>
          <w:rStyle w:val="TextoNormalCaracter"/>
        </w:rPr>
        <w:t xml:space="preserve">, Sentencias </w:t>
      </w:r>
      <w:hyperlink w:anchor="SENTENCIA_2013_36" w:history="1">
        <w:r w:rsidRPr="00234417">
          <w:rPr>
            <w:rStyle w:val="TextoNormalCaracter"/>
          </w:rPr>
          <w:t>36/2013</w:t>
        </w:r>
      </w:hyperlink>
      <w:r w:rsidRPr="00234417">
        <w:rPr>
          <w:rStyle w:val="TextoNormalCaracter"/>
        </w:rPr>
        <w:t xml:space="preserve">, f. 9; </w:t>
      </w:r>
      <w:hyperlink w:anchor="SENTENCIA_2013_130" w:history="1">
        <w:r w:rsidRPr="00234417">
          <w:rPr>
            <w:rStyle w:val="TextoNormalCaracter"/>
          </w:rPr>
          <w:t>130/2013</w:t>
        </w:r>
      </w:hyperlink>
      <w:r w:rsidRPr="00234417">
        <w:rPr>
          <w:rStyle w:val="TextoNormalCaracter"/>
        </w:rPr>
        <w:t xml:space="preserve">, ff. 5 a 7; </w:t>
      </w:r>
      <w:hyperlink w:anchor="SENTENCIA_2013_135" w:history="1">
        <w:r w:rsidRPr="00234417">
          <w:rPr>
            <w:rStyle w:val="TextoNormalCaracter"/>
          </w:rPr>
          <w:t>135/2013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2102" w:name="DESCRIPTORALFABETICO747"/>
      <w:r w:rsidRPr="00234417">
        <w:rPr>
          <w:rStyle w:val="TextoNormalNegritaCaracter"/>
        </w:rPr>
        <w:t>Responsabilidad patrimonial de las Administraciones públicas</w:t>
      </w:r>
      <w:bookmarkEnd w:id="2102"/>
      <w:r w:rsidRPr="00234417">
        <w:rPr>
          <w:rStyle w:val="TextoNormalCaracter"/>
        </w:rPr>
        <w:t xml:space="preserve">, Sentencias </w:t>
      </w:r>
      <w:hyperlink w:anchor="SENTENCIA_2013_5" w:history="1">
        <w:r w:rsidRPr="00234417">
          <w:rPr>
            <w:rStyle w:val="TextoNormalCaracter"/>
          </w:rPr>
          <w:t>5/2013</w:t>
        </w:r>
      </w:hyperlink>
      <w:r w:rsidRPr="00234417">
        <w:rPr>
          <w:rStyle w:val="TextoNormalCaracter"/>
        </w:rPr>
        <w:t xml:space="preserve">, f. 4; </w:t>
      </w:r>
      <w:hyperlink w:anchor="SENTENCIA_2013_92" w:history="1">
        <w:r w:rsidRPr="00234417">
          <w:rPr>
            <w:rStyle w:val="TextoNormalCaracter"/>
          </w:rPr>
          <w:t>92/2013</w:t>
        </w:r>
      </w:hyperlink>
      <w:r w:rsidRPr="00234417">
        <w:rPr>
          <w:rStyle w:val="TextoNormalCaracter"/>
        </w:rPr>
        <w:t xml:space="preserve">, f. 6; </w:t>
      </w:r>
      <w:hyperlink w:anchor="SENTENCIA_2013_130" w:history="1">
        <w:r w:rsidRPr="00234417">
          <w:rPr>
            <w:rStyle w:val="TextoNormalCaracter"/>
          </w:rPr>
          <w:t>130/2013</w:t>
        </w:r>
      </w:hyperlink>
      <w:r w:rsidRPr="00234417">
        <w:rPr>
          <w:rStyle w:val="TextoNormalCaracter"/>
        </w:rPr>
        <w:t xml:space="preserve">, f. 9; </w:t>
      </w:r>
      <w:hyperlink w:anchor="SENTENCIA_2013_135" w:history="1">
        <w:r w:rsidRPr="00234417">
          <w:rPr>
            <w:rStyle w:val="TextoNormalCaracter"/>
          </w:rPr>
          <w:t>135/2013</w:t>
        </w:r>
      </w:hyperlink>
      <w:r w:rsidRPr="00234417">
        <w:rPr>
          <w:rStyle w:val="TextoNormalCaracter"/>
        </w:rPr>
        <w:t>, f. 6.</w:t>
      </w:r>
    </w:p>
    <w:p w:rsidR="00234417" w:rsidRPr="00234417" w:rsidRDefault="00234417" w:rsidP="00234417">
      <w:pPr>
        <w:pStyle w:val="TextoNormalSangraFrancesa"/>
        <w:rPr>
          <w:rStyle w:val="TextoNormalNegritaCaracter"/>
        </w:rPr>
      </w:pPr>
      <w:r w:rsidRPr="00234417">
        <w:rPr>
          <w:rStyle w:val="TextoNormalCursivaCaracter"/>
        </w:rPr>
        <w:t>Responsabilidad patrimonial del Estado</w:t>
      </w:r>
      <w:r>
        <w:t xml:space="preserve"> véase </w:t>
      </w:r>
      <w:hyperlink w:anchor="DESCRIPTORALFABETICO747" w:history="1">
        <w:r w:rsidRPr="00234417">
          <w:rPr>
            <w:rStyle w:val="TextoNormalNegritaCaracter"/>
          </w:rPr>
          <w:t>Responsabilidad patrimonial de las Administraciones públicas</w:t>
        </w:r>
      </w:hyperlink>
    </w:p>
    <w:p w:rsidR="00234417" w:rsidRPr="00234417" w:rsidRDefault="00234417" w:rsidP="00234417">
      <w:pPr>
        <w:pStyle w:val="TextoNormalSangraFrancesa"/>
        <w:rPr>
          <w:rStyle w:val="TextoNormalCaracter"/>
        </w:rPr>
      </w:pPr>
      <w:bookmarkStart w:id="2103" w:name="DESCRIPTORALFABETICO640"/>
      <w:r w:rsidRPr="00234417">
        <w:rPr>
          <w:rStyle w:val="TextoNormalNegritaCaracter"/>
        </w:rPr>
        <w:t>Responsabilidad por incumplimiento del Derecho de la Unión Europea</w:t>
      </w:r>
      <w:bookmarkEnd w:id="2103"/>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9.</w:t>
      </w:r>
    </w:p>
    <w:p w:rsidR="00234417" w:rsidRPr="00234417" w:rsidRDefault="00234417" w:rsidP="00234417">
      <w:pPr>
        <w:pStyle w:val="TextoNormalSangraFrancesa"/>
        <w:rPr>
          <w:rStyle w:val="TextoNormalCaracter"/>
        </w:rPr>
      </w:pPr>
      <w:bookmarkStart w:id="2104" w:name="DESCRIPTORALFABETICO588"/>
      <w:r w:rsidRPr="00234417">
        <w:rPr>
          <w:rStyle w:val="TextoNormalNegritaCaracter"/>
        </w:rPr>
        <w:t>Retribuciones de empleados públicos</w:t>
      </w:r>
      <w:bookmarkEnd w:id="2104"/>
      <w:r w:rsidRPr="00234417">
        <w:rPr>
          <w:rStyle w:val="TextoNormalCaracter"/>
        </w:rPr>
        <w:t xml:space="preserve">, Sentencia </w:t>
      </w:r>
      <w:hyperlink w:anchor="SENTENCIA_2013_11" w:history="1">
        <w:r w:rsidRPr="00234417">
          <w:rPr>
            <w:rStyle w:val="TextoNormalCaracter"/>
          </w:rPr>
          <w:t>11/2013</w:t>
        </w:r>
      </w:hyperlink>
      <w:r w:rsidRPr="00234417">
        <w:rPr>
          <w:rStyle w:val="TextoNormalCaracter"/>
        </w:rPr>
        <w:t>, ff. 1, 3.</w:t>
      </w:r>
    </w:p>
    <w:p w:rsidR="00234417" w:rsidRPr="00234417" w:rsidRDefault="00234417" w:rsidP="00234417">
      <w:pPr>
        <w:pStyle w:val="TextoNormalSangraFrancesa"/>
        <w:rPr>
          <w:rStyle w:val="TextoNormalNegritaCaracter"/>
        </w:rPr>
      </w:pPr>
      <w:r w:rsidRPr="00234417">
        <w:rPr>
          <w:rStyle w:val="TextoNormalCursivaCaracter"/>
        </w:rPr>
        <w:t>Retribuciones de personal</w:t>
      </w:r>
      <w:r>
        <w:t xml:space="preserve"> véase </w:t>
      </w:r>
      <w:hyperlink w:anchor="DESCRIPTORALFABETICO588" w:history="1">
        <w:r w:rsidRPr="00234417">
          <w:rPr>
            <w:rStyle w:val="TextoNormalNegritaCaracter"/>
          </w:rPr>
          <w:t>Retribuciones de empleados públicos</w:t>
        </w:r>
      </w:hyperlink>
    </w:p>
    <w:p w:rsidR="00234417" w:rsidRPr="00234417" w:rsidRDefault="00234417" w:rsidP="00234417">
      <w:pPr>
        <w:pStyle w:val="TextoNormalSangraFrancesa"/>
        <w:rPr>
          <w:rStyle w:val="TextoNormalNegritaCaracter"/>
        </w:rPr>
      </w:pPr>
      <w:r w:rsidRPr="00234417">
        <w:rPr>
          <w:rStyle w:val="TextoNormalCursivaCaracter"/>
        </w:rPr>
        <w:t>Retribuciones en el sector público</w:t>
      </w:r>
      <w:r>
        <w:t xml:space="preserve"> véase </w:t>
      </w:r>
      <w:hyperlink w:anchor="DESCRIPTORALFABETICO588" w:history="1">
        <w:r w:rsidRPr="00234417">
          <w:rPr>
            <w:rStyle w:val="TextoNormalNegritaCaracter"/>
          </w:rPr>
          <w:t>Retribuciones de empleados públicos</w:t>
        </w:r>
      </w:hyperlink>
    </w:p>
    <w:p w:rsidR="00234417" w:rsidRPr="00234417" w:rsidRDefault="00234417" w:rsidP="00234417">
      <w:pPr>
        <w:pStyle w:val="TextoNormalSangraFrancesa"/>
        <w:rPr>
          <w:rStyle w:val="TextoNormalCaracter"/>
        </w:rPr>
      </w:pPr>
      <w:bookmarkStart w:id="2105" w:name="DESCRIPTORALFABETICO688"/>
      <w:r w:rsidRPr="00234417">
        <w:rPr>
          <w:rStyle w:val="TextoNormalNegritaCaracter"/>
        </w:rPr>
        <w:t>Retroactividad de normas tributarias</w:t>
      </w:r>
      <w:bookmarkEnd w:id="2105"/>
      <w:r w:rsidRPr="00234417">
        <w:rPr>
          <w:rStyle w:val="TextoNormalCaracter"/>
        </w:rPr>
        <w:t xml:space="preserve">, Auto </w:t>
      </w:r>
      <w:hyperlink w:anchor="AUTO_2013_84" w:history="1">
        <w:r w:rsidRPr="00234417">
          <w:rPr>
            <w:rStyle w:val="TextoNormalCaracter"/>
          </w:rPr>
          <w:t>84/2013</w:t>
        </w:r>
      </w:hyperlink>
      <w:r w:rsidRPr="00234417">
        <w:rPr>
          <w:rStyle w:val="TextoNormalCaracter"/>
        </w:rPr>
        <w:t>, f. 2.</w:t>
      </w:r>
    </w:p>
    <w:p w:rsidR="00234417" w:rsidRPr="00234417" w:rsidRDefault="00234417" w:rsidP="00234417">
      <w:pPr>
        <w:pStyle w:val="TextoNormalSangraFrancesa"/>
        <w:rPr>
          <w:rStyle w:val="TextoNormalCaracter"/>
        </w:rPr>
      </w:pPr>
      <w:bookmarkStart w:id="2106" w:name="DESCRIPTORALFABETICO838"/>
      <w:r w:rsidRPr="00234417">
        <w:rPr>
          <w:rStyle w:val="TextoNormalNegritaCaracter"/>
        </w:rPr>
        <w:t>Revisión de hechos probados</w:t>
      </w:r>
      <w:bookmarkEnd w:id="2106"/>
      <w:r w:rsidRPr="00234417">
        <w:rPr>
          <w:rStyle w:val="TextoNormalCaracter"/>
        </w:rPr>
        <w:t xml:space="preserve">, Sentencia </w:t>
      </w:r>
      <w:hyperlink w:anchor="SENTENCIA_2013_56" w:history="1">
        <w:r w:rsidRPr="00234417">
          <w:rPr>
            <w:rStyle w:val="TextoNormalCaracter"/>
          </w:rPr>
          <w:t>56/2013</w:t>
        </w:r>
      </w:hyperlink>
      <w:r w:rsidRPr="00234417">
        <w:rPr>
          <w:rStyle w:val="TextoNormalCaracter"/>
        </w:rPr>
        <w:t>, f. 3.</w:t>
      </w:r>
    </w:p>
    <w:p w:rsidR="00234417" w:rsidRPr="00234417" w:rsidRDefault="00234417" w:rsidP="00234417">
      <w:pPr>
        <w:pStyle w:val="TextoNormalSangraFrancesa"/>
        <w:rPr>
          <w:rStyle w:val="TextoNormalCaracter"/>
        </w:rPr>
      </w:pPr>
      <w:bookmarkStart w:id="2107" w:name="DESCRIPTORALFABETICO931"/>
      <w:r w:rsidRPr="00234417">
        <w:rPr>
          <w:rStyle w:val="TextoNormalNegritaCaracter"/>
        </w:rPr>
        <w:t>Revocación de sentencia absolutoria</w:t>
      </w:r>
      <w:bookmarkEnd w:id="2107"/>
      <w:r w:rsidRPr="00234417">
        <w:rPr>
          <w:rStyle w:val="TextoNormalCaracter"/>
        </w:rPr>
        <w:t xml:space="preserve">, Sentencia </w:t>
      </w:r>
      <w:hyperlink w:anchor="SENTENCIA_2013_22" w:history="1">
        <w:r w:rsidRPr="00234417">
          <w:rPr>
            <w:rStyle w:val="TextoNormalCaracter"/>
          </w:rPr>
          <w:t>22/2013</w:t>
        </w:r>
      </w:hyperlink>
      <w:r w:rsidRPr="00234417">
        <w:rPr>
          <w:rStyle w:val="TextoNormalCaracter"/>
        </w:rPr>
        <w:t>, ff. 3, 4.</w:t>
      </w:r>
    </w:p>
    <w:p w:rsidR="00234417" w:rsidRPr="00234417" w:rsidRDefault="00234417" w:rsidP="00234417">
      <w:pPr>
        <w:pStyle w:val="TextoNormalSangraFrancesa"/>
        <w:rPr>
          <w:rStyle w:val="TextoNormalNegritaCaracter"/>
        </w:rPr>
      </w:pPr>
      <w:r w:rsidRPr="00234417">
        <w:rPr>
          <w:rStyle w:val="TextoNormalCursivaCaracter"/>
        </w:rPr>
        <w:t>Ruido</w:t>
      </w:r>
      <w:r>
        <w:t xml:space="preserve"> véase </w:t>
      </w:r>
      <w:hyperlink w:anchor="DESCRIPTORALFABETICO609" w:history="1">
        <w:r w:rsidRPr="00234417">
          <w:rPr>
            <w:rStyle w:val="TextoNormalNegritaCaracter"/>
          </w:rPr>
          <w:t>Contaminación acústica</w:t>
        </w:r>
      </w:hyperlink>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lastRenderedPageBreak/>
        <w:t>S</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NegritaCaracter"/>
        </w:rPr>
      </w:pPr>
      <w:r w:rsidRPr="00234417">
        <w:rPr>
          <w:rStyle w:val="TextoNormalCursivaCaracter"/>
        </w:rPr>
        <w:t>Sanción penal</w:t>
      </w:r>
      <w:r>
        <w:t xml:space="preserve"> véase </w:t>
      </w:r>
      <w:hyperlink w:anchor="DESCRIPTORALFABETICO703" w:history="1">
        <w:r w:rsidRPr="00234417">
          <w:rPr>
            <w:rStyle w:val="TextoNormalNegritaCaracter"/>
          </w:rPr>
          <w:t>Penas</w:t>
        </w:r>
      </w:hyperlink>
    </w:p>
    <w:p w:rsidR="00234417" w:rsidRPr="00234417" w:rsidRDefault="00234417" w:rsidP="00234417">
      <w:pPr>
        <w:pStyle w:val="TextoNormalSangraFrancesa"/>
        <w:rPr>
          <w:rStyle w:val="TextoNormalCaracter"/>
        </w:rPr>
      </w:pPr>
      <w:bookmarkStart w:id="2108" w:name="DESCRIPTORALFABETICO511"/>
      <w:r w:rsidRPr="00234417">
        <w:rPr>
          <w:rStyle w:val="TextoNormalNegritaCaracter"/>
        </w:rPr>
        <w:t>Sanciones administrativas</w:t>
      </w:r>
      <w:bookmarkEnd w:id="2108"/>
      <w:r w:rsidRPr="00234417">
        <w:rPr>
          <w:rStyle w:val="TextoNormalCaracter"/>
        </w:rPr>
        <w:t xml:space="preserve">, Sentencias </w:t>
      </w:r>
      <w:hyperlink w:anchor="SENTENCIA_2013_30" w:history="1">
        <w:r w:rsidRPr="00234417">
          <w:rPr>
            <w:rStyle w:val="TextoNormalCaracter"/>
          </w:rPr>
          <w:t>30/2013</w:t>
        </w:r>
      </w:hyperlink>
      <w:r w:rsidRPr="00234417">
        <w:rPr>
          <w:rStyle w:val="TextoNormalCaracter"/>
        </w:rPr>
        <w:t xml:space="preserve">, ff. 1 a 3; </w:t>
      </w:r>
      <w:hyperlink w:anchor="SENTENCIA_2013_45" w:history="1">
        <w:r w:rsidRPr="00234417">
          <w:rPr>
            <w:rStyle w:val="TextoNormalCaracter"/>
          </w:rPr>
          <w:t>45/2013</w:t>
        </w:r>
      </w:hyperlink>
      <w:r w:rsidRPr="00234417">
        <w:rPr>
          <w:rStyle w:val="TextoNormalCaracter"/>
        </w:rPr>
        <w:t xml:space="preserve">, f. 2; </w:t>
      </w:r>
      <w:hyperlink w:anchor="SENTENCIA_2013_107" w:history="1">
        <w:r w:rsidRPr="00234417">
          <w:rPr>
            <w:rStyle w:val="TextoNormalCaracter"/>
          </w:rPr>
          <w:t>107/2013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124" w:history="1">
        <w:r w:rsidRPr="00234417">
          <w:rPr>
            <w:rStyle w:val="TextoNormalCaracter"/>
          </w:rPr>
          <w:t>124/2013</w:t>
        </w:r>
      </w:hyperlink>
      <w:r w:rsidRPr="00234417">
        <w:rPr>
          <w:rStyle w:val="TextoNormalCaracter"/>
        </w:rPr>
        <w:t>, f. 4.</w:t>
      </w:r>
    </w:p>
    <w:p w:rsidR="00234417" w:rsidRPr="00234417" w:rsidRDefault="00234417" w:rsidP="00234417">
      <w:pPr>
        <w:pStyle w:val="TextoNormalSangraFrancesa"/>
        <w:rPr>
          <w:rStyle w:val="TextoNormalCaracter"/>
        </w:rPr>
      </w:pPr>
      <w:bookmarkStart w:id="2109" w:name="DESCRIPTORALFABETICO750"/>
      <w:r w:rsidRPr="00234417">
        <w:rPr>
          <w:rStyle w:val="TextoNormalNegritaCaracter"/>
        </w:rPr>
        <w:t>Sanidad</w:t>
      </w:r>
      <w:bookmarkEnd w:id="2109"/>
      <w:r w:rsidRPr="00234417">
        <w:rPr>
          <w:rStyle w:val="TextoNormalCaracter"/>
        </w:rPr>
        <w:t xml:space="preserve">, Sentencia </w:t>
      </w:r>
      <w:hyperlink w:anchor="SENTENCIA_2013_137" w:history="1">
        <w:r w:rsidRPr="00234417">
          <w:rPr>
            <w:rStyle w:val="TextoNormalCaracter"/>
          </w:rPr>
          <w:t>137/2013</w:t>
        </w:r>
      </w:hyperlink>
      <w:r w:rsidRPr="00234417">
        <w:rPr>
          <w:rStyle w:val="TextoNormalCaracter"/>
        </w:rPr>
        <w:t>, ff. 3, 5, 6.</w:t>
      </w:r>
    </w:p>
    <w:p w:rsidR="00234417" w:rsidRPr="00234417" w:rsidRDefault="00234417" w:rsidP="00234417">
      <w:pPr>
        <w:pStyle w:val="TextoNormalSangraFrancesa"/>
        <w:rPr>
          <w:rStyle w:val="TextoNormalCaracter"/>
        </w:rPr>
      </w:pPr>
      <w:bookmarkStart w:id="2110" w:name="DESCRIPTORALFABETICO379"/>
      <w:r w:rsidRPr="00234417">
        <w:rPr>
          <w:rStyle w:val="TextoNormalNegritaCaracter"/>
        </w:rPr>
        <w:t>Secciones de apoyo</w:t>
      </w:r>
      <w:bookmarkEnd w:id="2110"/>
      <w:r w:rsidRPr="00234417">
        <w:rPr>
          <w:rStyle w:val="TextoNormalCaracter"/>
        </w:rPr>
        <w:t xml:space="preserve">, Sentencia </w:t>
      </w:r>
      <w:hyperlink w:anchor="SENTENCIA_2013_11" w:history="1">
        <w:r w:rsidRPr="00234417">
          <w:rPr>
            <w:rStyle w:val="TextoNormalCaracter"/>
          </w:rPr>
          <w:t>11/2013</w:t>
        </w:r>
      </w:hyperlink>
      <w:r w:rsidRPr="00234417">
        <w:rPr>
          <w:rStyle w:val="TextoNormalCaracter"/>
        </w:rPr>
        <w:t>, f. 4.</w:t>
      </w:r>
    </w:p>
    <w:p w:rsidR="00234417" w:rsidRPr="00234417" w:rsidRDefault="00234417" w:rsidP="00234417">
      <w:pPr>
        <w:pStyle w:val="TextoNormalSangraFrancesa"/>
        <w:rPr>
          <w:rStyle w:val="TextoNormalNegritaCaracter"/>
        </w:rPr>
      </w:pPr>
      <w:r w:rsidRPr="00234417">
        <w:rPr>
          <w:rStyle w:val="TextoNormalCursivaCaracter"/>
        </w:rPr>
        <w:t>Secciones de refuerzo</w:t>
      </w:r>
      <w:r>
        <w:t xml:space="preserve"> véase </w:t>
      </w:r>
      <w:hyperlink w:anchor="DESCRIPTORALFABETICO379" w:history="1">
        <w:r w:rsidRPr="00234417">
          <w:rPr>
            <w:rStyle w:val="TextoNormalNegritaCaracter"/>
          </w:rPr>
          <w:t>Secciones de apoyo</w:t>
        </w:r>
      </w:hyperlink>
    </w:p>
    <w:p w:rsidR="00234417" w:rsidRPr="00234417" w:rsidRDefault="00234417" w:rsidP="00234417">
      <w:pPr>
        <w:pStyle w:val="TextoNormalSangraFrancesa"/>
        <w:rPr>
          <w:rStyle w:val="TextoNormalCaracter"/>
        </w:rPr>
      </w:pPr>
      <w:bookmarkStart w:id="2111" w:name="DESCRIPTORALFABETICO354"/>
      <w:r w:rsidRPr="00234417">
        <w:rPr>
          <w:rStyle w:val="TextoNormalNegritaCaracter"/>
        </w:rPr>
        <w:t>Secretarios de gobierno</w:t>
      </w:r>
      <w:bookmarkEnd w:id="2111"/>
      <w:r w:rsidRPr="00234417">
        <w:rPr>
          <w:rStyle w:val="TextoNormalCaracter"/>
        </w:rPr>
        <w:t xml:space="preserve">, Sentencia </w:t>
      </w:r>
      <w:hyperlink w:anchor="SENTENCIA_2013_18" w:history="1">
        <w:r w:rsidRPr="00234417">
          <w:rPr>
            <w:rStyle w:val="TextoNormalCaracter"/>
          </w:rPr>
          <w:t>18/2013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2112" w:name="DESCRIPTORALFABETICO374"/>
      <w:r w:rsidRPr="00234417">
        <w:rPr>
          <w:rStyle w:val="TextoNormalNegritaCaracter"/>
        </w:rPr>
        <w:t>Sector público institucional</w:t>
      </w:r>
      <w:bookmarkEnd w:id="2112"/>
      <w:r w:rsidRPr="00234417">
        <w:rPr>
          <w:rStyle w:val="TextoNormalCaracter"/>
        </w:rPr>
        <w:t xml:space="preserve">, Sentencia </w:t>
      </w:r>
      <w:hyperlink w:anchor="SENTENCIA_2013_103" w:history="1">
        <w:r w:rsidRPr="00234417">
          <w:rPr>
            <w:rStyle w:val="TextoNormalCaracter"/>
          </w:rPr>
          <w:t>103/2013</w:t>
        </w:r>
      </w:hyperlink>
      <w:r w:rsidRPr="00234417">
        <w:rPr>
          <w:rStyle w:val="TextoNormalCaracter"/>
        </w:rPr>
        <w:t>, f. 5.</w:t>
      </w:r>
    </w:p>
    <w:p w:rsidR="00234417" w:rsidRPr="00234417" w:rsidRDefault="00234417" w:rsidP="00234417">
      <w:pPr>
        <w:pStyle w:val="TextoNormalSangraFrancesa"/>
        <w:rPr>
          <w:rStyle w:val="TextoNormalCaracter"/>
        </w:rPr>
      </w:pPr>
      <w:bookmarkStart w:id="2113" w:name="DESCRIPTORALFABETICO757"/>
      <w:r w:rsidRPr="00234417">
        <w:rPr>
          <w:rStyle w:val="TextoNormalNegritaCaracter"/>
        </w:rPr>
        <w:t>Seguridad Social</w:t>
      </w:r>
      <w:bookmarkEnd w:id="2113"/>
      <w:r w:rsidRPr="00234417">
        <w:rPr>
          <w:rStyle w:val="TextoNormalCaracter"/>
        </w:rPr>
        <w:t xml:space="preserve">, Sentencias </w:t>
      </w:r>
      <w:hyperlink w:anchor="SENTENCIA_2013_41" w:history="1">
        <w:r w:rsidRPr="00234417">
          <w:rPr>
            <w:rStyle w:val="TextoNormalCaracter"/>
          </w:rPr>
          <w:t>41/2013</w:t>
        </w:r>
      </w:hyperlink>
      <w:r w:rsidRPr="00234417">
        <w:rPr>
          <w:rStyle w:val="TextoNormalCaracter"/>
        </w:rPr>
        <w:t xml:space="preserve">, ff. 4, 7, 8, VP; </w:t>
      </w:r>
      <w:hyperlink w:anchor="SENTENCIA_2013_104" w:history="1">
        <w:r w:rsidRPr="00234417">
          <w:rPr>
            <w:rStyle w:val="TextoNormalCaracter"/>
          </w:rPr>
          <w:t>104/2013</w:t>
        </w:r>
      </w:hyperlink>
      <w:r w:rsidRPr="00234417">
        <w:rPr>
          <w:rStyle w:val="TextoNormalCaracter"/>
        </w:rPr>
        <w:t>, f. 4.</w:t>
      </w:r>
    </w:p>
    <w:p w:rsidR="00234417" w:rsidRPr="00234417" w:rsidRDefault="00234417" w:rsidP="00234417">
      <w:pPr>
        <w:pStyle w:val="TextoNormalSangraFrancesa"/>
        <w:rPr>
          <w:rStyle w:val="TextoNormalCaracter"/>
        </w:rPr>
      </w:pPr>
      <w:bookmarkStart w:id="2114" w:name="DESCRIPTORALFABETICO522"/>
      <w:r w:rsidRPr="00234417">
        <w:rPr>
          <w:rStyle w:val="TextoNormalNegritaCaracter"/>
        </w:rPr>
        <w:t>Selección de alumnos</w:t>
      </w:r>
      <w:bookmarkEnd w:id="2114"/>
      <w:r w:rsidRPr="00234417">
        <w:rPr>
          <w:rStyle w:val="TextoNormalCaracter"/>
        </w:rPr>
        <w:t xml:space="preserve">, Auto </w:t>
      </w:r>
      <w:hyperlink w:anchor="AUTO_2013_89" w:history="1">
        <w:r w:rsidRPr="00234417">
          <w:rPr>
            <w:rStyle w:val="TextoNormalCaracter"/>
          </w:rPr>
          <w:t>89/2013</w:t>
        </w:r>
      </w:hyperlink>
      <w:r w:rsidRPr="00234417">
        <w:rPr>
          <w:rStyle w:val="TextoNormalCaracter"/>
        </w:rPr>
        <w:t>, f. 4.</w:t>
      </w:r>
    </w:p>
    <w:p w:rsidR="00234417" w:rsidRPr="00234417" w:rsidRDefault="00234417" w:rsidP="00234417">
      <w:pPr>
        <w:pStyle w:val="TextoNormalSangraFrancesa"/>
        <w:rPr>
          <w:rStyle w:val="TextoNormalNegritaCaracter"/>
        </w:rPr>
      </w:pPr>
      <w:r w:rsidRPr="00234417">
        <w:rPr>
          <w:rStyle w:val="TextoNormalCursivaCaracter"/>
        </w:rPr>
        <w:t>Selección de funcionarios</w:t>
      </w:r>
      <w:r>
        <w:t xml:space="preserve"> véase </w:t>
      </w:r>
      <w:hyperlink w:anchor="DESCRIPTORALFABETICO592" w:history="1">
        <w:r w:rsidRPr="00234417">
          <w:rPr>
            <w:rStyle w:val="TextoNormalNegritaCaracter"/>
          </w:rPr>
          <w:t>Procesos selectivos en la función pública</w:t>
        </w:r>
      </w:hyperlink>
    </w:p>
    <w:p w:rsidR="00234417" w:rsidRPr="00234417" w:rsidRDefault="00234417" w:rsidP="00234417">
      <w:pPr>
        <w:pStyle w:val="TextoNormalSangraFrancesa"/>
        <w:rPr>
          <w:rStyle w:val="TextoNormalCaracter"/>
        </w:rPr>
      </w:pPr>
      <w:bookmarkStart w:id="2115" w:name="DESCRIPTORALFABETICO528"/>
      <w:r w:rsidRPr="00234417">
        <w:rPr>
          <w:rStyle w:val="TextoNormalNegritaCaracter"/>
        </w:rPr>
        <w:t>Selección de profesorado</w:t>
      </w:r>
      <w:bookmarkEnd w:id="2115"/>
      <w:r w:rsidRPr="00234417">
        <w:rPr>
          <w:rStyle w:val="TextoNormalCaracter"/>
        </w:rPr>
        <w:t xml:space="preserve">, Sentencia </w:t>
      </w:r>
      <w:hyperlink w:anchor="SENTENCIA_2013_131" w:history="1">
        <w:r w:rsidRPr="00234417">
          <w:rPr>
            <w:rStyle w:val="TextoNormalCaracter"/>
          </w:rPr>
          <w:t>131/2013</w:t>
        </w:r>
      </w:hyperlink>
      <w:r w:rsidRPr="00234417">
        <w:rPr>
          <w:rStyle w:val="TextoNormalCaracter"/>
        </w:rPr>
        <w:t>, ff. 3, 4, 9.</w:t>
      </w:r>
    </w:p>
    <w:p w:rsidR="00234417" w:rsidRPr="00234417" w:rsidRDefault="00234417" w:rsidP="00234417">
      <w:pPr>
        <w:pStyle w:val="TextoNormalSangraFrancesa"/>
        <w:rPr>
          <w:rStyle w:val="TextoNormalCaracter"/>
        </w:rPr>
      </w:pPr>
      <w:bookmarkStart w:id="2116" w:name="DESCRIPTORALFABETICO178"/>
      <w:r w:rsidRPr="00234417">
        <w:rPr>
          <w:rStyle w:val="TextoNormalNegritaCaracter"/>
        </w:rPr>
        <w:t>Sentencia fundada en Derecho</w:t>
      </w:r>
      <w:bookmarkEnd w:id="2116"/>
      <w:r w:rsidRPr="00234417">
        <w:rPr>
          <w:rStyle w:val="TextoNormalCaracter"/>
        </w:rPr>
        <w:t xml:space="preserve">, Sentencia </w:t>
      </w:r>
      <w:hyperlink w:anchor="SENTENCIA_2013_127" w:history="1">
        <w:r w:rsidRPr="00234417">
          <w:rPr>
            <w:rStyle w:val="TextoNormalCaracter"/>
          </w:rPr>
          <w:t>127/2013</w:t>
        </w:r>
      </w:hyperlink>
      <w:r w:rsidRPr="00234417">
        <w:rPr>
          <w:rStyle w:val="TextoNormalCaracter"/>
        </w:rPr>
        <w:t>, f. 3.</w:t>
      </w:r>
    </w:p>
    <w:p w:rsidR="00234417" w:rsidRPr="00234417" w:rsidRDefault="00234417" w:rsidP="00234417">
      <w:pPr>
        <w:pStyle w:val="TextoNormalSangraFrancesa"/>
        <w:rPr>
          <w:rStyle w:val="TextoNormalCaracter"/>
        </w:rPr>
      </w:pPr>
      <w:r w:rsidRPr="00234417">
        <w:rPr>
          <w:rStyle w:val="TextoNormalCursivaCaracter"/>
        </w:rPr>
        <w:t xml:space="preserve">    Respetado, </w:t>
      </w:r>
      <w:r w:rsidRPr="00234417">
        <w:rPr>
          <w:rStyle w:val="TextoNormalCaracter"/>
        </w:rPr>
        <w:t xml:space="preserve">Sentencias </w:t>
      </w:r>
      <w:hyperlink w:anchor="SENTENCIA_2013_27" w:history="1">
        <w:r w:rsidRPr="00234417">
          <w:rPr>
            <w:rStyle w:val="TextoNormalCaracter"/>
          </w:rPr>
          <w:t>27/2013</w:t>
        </w:r>
      </w:hyperlink>
      <w:r w:rsidRPr="00234417">
        <w:rPr>
          <w:rStyle w:val="TextoNormalCaracter"/>
        </w:rPr>
        <w:t xml:space="preserve">, f. 6; </w:t>
      </w:r>
      <w:hyperlink w:anchor="SENTENCIA_2013_56" w:history="1">
        <w:r w:rsidRPr="00234417">
          <w:rPr>
            <w:rStyle w:val="TextoNormalCaracter"/>
          </w:rPr>
          <w:t>56/2013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ursivaCaracter"/>
        </w:rPr>
        <w:t xml:space="preserve">    Vulnerado, </w:t>
      </w:r>
      <w:r w:rsidRPr="00234417">
        <w:rPr>
          <w:rStyle w:val="TextoNormalCaracter"/>
        </w:rPr>
        <w:t xml:space="preserve">Sentencia </w:t>
      </w:r>
      <w:hyperlink w:anchor="SENTENCIA_2013_32" w:history="1">
        <w:r w:rsidRPr="00234417">
          <w:rPr>
            <w:rStyle w:val="TextoNormalCaracter"/>
          </w:rPr>
          <w:t>32/2013</w:t>
        </w:r>
      </w:hyperlink>
      <w:r w:rsidRPr="00234417">
        <w:rPr>
          <w:rStyle w:val="TextoNormalCaracter"/>
        </w:rPr>
        <w:t>, f. 4.</w:t>
      </w:r>
    </w:p>
    <w:p w:rsidR="00234417" w:rsidRPr="00234417" w:rsidRDefault="00234417" w:rsidP="00234417">
      <w:pPr>
        <w:pStyle w:val="TextoNormalSangraFrancesa"/>
        <w:rPr>
          <w:rStyle w:val="TextoNormalCaracter"/>
        </w:rPr>
      </w:pPr>
      <w:bookmarkStart w:id="2117" w:name="DESCRIPTORALFABETICO883"/>
      <w:r w:rsidRPr="00234417">
        <w:rPr>
          <w:rStyle w:val="TextoNormalNegritaCaracter"/>
        </w:rPr>
        <w:t>Sentencias</w:t>
      </w:r>
      <w:bookmarkEnd w:id="2117"/>
      <w:r w:rsidRPr="00234417">
        <w:rPr>
          <w:rStyle w:val="TextoNormalCaracter"/>
        </w:rPr>
        <w:t xml:space="preserve">, Auto </w:t>
      </w:r>
      <w:hyperlink w:anchor="AUTO_2013_134" w:history="1">
        <w:r w:rsidRPr="00234417">
          <w:rPr>
            <w:rStyle w:val="TextoNormalCaracter"/>
          </w:rPr>
          <w:t>134/2013</w:t>
        </w:r>
      </w:hyperlink>
      <w:r w:rsidRPr="00234417">
        <w:rPr>
          <w:rStyle w:val="TextoNormalCaracter"/>
        </w:rPr>
        <w:t>, f. 3.</w:t>
      </w:r>
    </w:p>
    <w:p w:rsidR="00234417" w:rsidRPr="00234417" w:rsidRDefault="00234417" w:rsidP="00234417">
      <w:pPr>
        <w:pStyle w:val="TextoNormalSangraFrancesa"/>
        <w:rPr>
          <w:rStyle w:val="TextoNormalCaracter"/>
        </w:rPr>
      </w:pPr>
      <w:bookmarkStart w:id="2118" w:name="DESCRIPTORALFABETICO333"/>
      <w:r w:rsidRPr="00234417">
        <w:rPr>
          <w:rStyle w:val="TextoNormalNegritaCaracter"/>
        </w:rPr>
        <w:t>Sentencias del Tribunal Constitucional</w:t>
      </w:r>
      <w:bookmarkEnd w:id="2118"/>
      <w:r w:rsidRPr="00234417">
        <w:rPr>
          <w:rStyle w:val="TextoNormalCaracter"/>
        </w:rPr>
        <w:t xml:space="preserve">, Autos </w:t>
      </w:r>
      <w:hyperlink w:anchor="AUTO_2013_66" w:history="1">
        <w:r w:rsidRPr="00234417">
          <w:rPr>
            <w:rStyle w:val="TextoNormalCaracter"/>
          </w:rPr>
          <w:t>66/2013</w:t>
        </w:r>
      </w:hyperlink>
      <w:r w:rsidRPr="00234417">
        <w:rPr>
          <w:rStyle w:val="TextoNormalCaracter"/>
        </w:rPr>
        <w:t xml:space="preserve">, f. 2; </w:t>
      </w:r>
      <w:hyperlink w:anchor="AUTO_2013_94" w:history="1">
        <w:r w:rsidRPr="00234417">
          <w:rPr>
            <w:rStyle w:val="TextoNormalCaracter"/>
          </w:rPr>
          <w:t>94/2013</w:t>
        </w:r>
      </w:hyperlink>
      <w:r w:rsidRPr="00234417">
        <w:rPr>
          <w:rStyle w:val="TextoNormalCaracter"/>
        </w:rPr>
        <w:t xml:space="preserve">, f. 2; </w:t>
      </w:r>
      <w:hyperlink w:anchor="AUTO_2013_134" w:history="1">
        <w:r w:rsidRPr="00234417">
          <w:rPr>
            <w:rStyle w:val="TextoNormalCaracter"/>
          </w:rPr>
          <w:t>134/2013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2119" w:name="DESCRIPTORALFABETICO338"/>
      <w:r w:rsidRPr="00234417">
        <w:rPr>
          <w:rStyle w:val="TextoNormalNegritaCaracter"/>
        </w:rPr>
        <w:t>Sentencias interpretativas</w:t>
      </w:r>
      <w:bookmarkEnd w:id="2119"/>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6.</w:t>
      </w:r>
    </w:p>
    <w:p w:rsidR="00234417" w:rsidRPr="00234417" w:rsidRDefault="00234417" w:rsidP="00234417">
      <w:pPr>
        <w:pStyle w:val="TextoNormalSangraFrancesa"/>
        <w:rPr>
          <w:rStyle w:val="TextoNormalCaracter"/>
        </w:rPr>
      </w:pPr>
      <w:bookmarkStart w:id="2120" w:name="DESCRIPTORALFABETICO784"/>
      <w:r w:rsidRPr="00234417">
        <w:rPr>
          <w:rStyle w:val="TextoNormalNegritaCaracter"/>
        </w:rPr>
        <w:t>Servicios de transporte ferroviario</w:t>
      </w:r>
      <w:bookmarkEnd w:id="2120"/>
      <w:r w:rsidRPr="00234417">
        <w:rPr>
          <w:rStyle w:val="TextoNormalCaracter"/>
        </w:rPr>
        <w:t xml:space="preserve">, Sentencia </w:t>
      </w:r>
      <w:hyperlink w:anchor="SENTENCIA_2013_83" w:history="1">
        <w:r w:rsidRPr="00234417">
          <w:rPr>
            <w:rStyle w:val="TextoNormalCaracter"/>
          </w:rPr>
          <w:t>83/2013</w:t>
        </w:r>
      </w:hyperlink>
      <w:r w:rsidRPr="00234417">
        <w:rPr>
          <w:rStyle w:val="TextoNormalCaracter"/>
        </w:rPr>
        <w:t>, f. 5.</w:t>
      </w:r>
    </w:p>
    <w:p w:rsidR="00234417" w:rsidRPr="00234417" w:rsidRDefault="00234417" w:rsidP="00234417">
      <w:pPr>
        <w:pStyle w:val="TextoNormalSangraFrancesa"/>
        <w:rPr>
          <w:rStyle w:val="TextoNormalCaracter"/>
        </w:rPr>
      </w:pPr>
      <w:bookmarkStart w:id="2121" w:name="DESCRIPTORALFABETICO777"/>
      <w:r w:rsidRPr="00234417">
        <w:rPr>
          <w:rStyle w:val="TextoNormalNegritaCaracter"/>
        </w:rPr>
        <w:t>Servicios mínimos</w:t>
      </w:r>
      <w:bookmarkEnd w:id="2121"/>
      <w:r w:rsidRPr="00234417">
        <w:rPr>
          <w:rStyle w:val="TextoNormalCaracter"/>
        </w:rPr>
        <w:t xml:space="preserve">, Sentencias </w:t>
      </w:r>
      <w:hyperlink w:anchor="SENTENCIA_2013_58" w:history="1">
        <w:r w:rsidRPr="00234417">
          <w:rPr>
            <w:rStyle w:val="TextoNormalCaracter"/>
          </w:rPr>
          <w:t>58/2013</w:t>
        </w:r>
      </w:hyperlink>
      <w:r w:rsidRPr="00234417">
        <w:rPr>
          <w:rStyle w:val="TextoNormalCaracter"/>
        </w:rPr>
        <w:t xml:space="preserve">, ff. 2, 3, 4; </w:t>
      </w:r>
      <w:hyperlink w:anchor="SENTENCIA_2013_124" w:history="1">
        <w:r w:rsidRPr="00234417">
          <w:rPr>
            <w:rStyle w:val="TextoNormalCaracter"/>
          </w:rPr>
          <w:t>124/2013</w:t>
        </w:r>
      </w:hyperlink>
      <w:r w:rsidRPr="00234417">
        <w:rPr>
          <w:rStyle w:val="TextoNormalCaracter"/>
        </w:rPr>
        <w:t>, ff. 1 a 4.</w:t>
      </w:r>
    </w:p>
    <w:p w:rsidR="00234417" w:rsidRPr="00234417" w:rsidRDefault="00234417" w:rsidP="00234417">
      <w:pPr>
        <w:pStyle w:val="TextoNormalSangraFrancesa"/>
        <w:rPr>
          <w:rStyle w:val="TextoNormalCaracter"/>
        </w:rPr>
      </w:pPr>
      <w:bookmarkStart w:id="2122" w:name="DESCRIPTORALFABETICO768"/>
      <w:r w:rsidRPr="00234417">
        <w:rPr>
          <w:rStyle w:val="TextoNormalNegritaCaracter"/>
        </w:rPr>
        <w:t>Servicios públicos de empleo</w:t>
      </w:r>
      <w:bookmarkEnd w:id="2122"/>
      <w:r w:rsidRPr="00234417">
        <w:rPr>
          <w:rStyle w:val="TextoNormalCaracter"/>
        </w:rPr>
        <w:t xml:space="preserve">, Sentencia </w:t>
      </w:r>
      <w:hyperlink w:anchor="SENTENCIA_2013_104" w:history="1">
        <w:r w:rsidRPr="00234417">
          <w:rPr>
            <w:rStyle w:val="TextoNormalCaracter"/>
          </w:rPr>
          <w:t>104/2013</w:t>
        </w:r>
      </w:hyperlink>
      <w:r w:rsidRPr="00234417">
        <w:rPr>
          <w:rStyle w:val="TextoNormalCaracter"/>
        </w:rPr>
        <w:t>, f. 4.</w:t>
      </w:r>
    </w:p>
    <w:p w:rsidR="00234417" w:rsidRPr="00234417" w:rsidRDefault="00234417" w:rsidP="00234417">
      <w:pPr>
        <w:pStyle w:val="TextoNormalSangraFrancesa"/>
        <w:rPr>
          <w:rStyle w:val="TextoNormalCaracter"/>
        </w:rPr>
      </w:pPr>
      <w:bookmarkStart w:id="2123" w:name="DESCRIPTORALFABETICO769"/>
      <w:r w:rsidRPr="00234417">
        <w:rPr>
          <w:rStyle w:val="TextoNormalNegritaCaracter"/>
        </w:rPr>
        <w:t>Servicios públicos de salud</w:t>
      </w:r>
      <w:bookmarkEnd w:id="2123"/>
      <w:r w:rsidRPr="00234417">
        <w:rPr>
          <w:rStyle w:val="TextoNormalCaracter"/>
        </w:rPr>
        <w:t xml:space="preserve">, Sentencia </w:t>
      </w:r>
      <w:hyperlink w:anchor="SENTENCIA_2013_137" w:history="1">
        <w:r w:rsidRPr="00234417">
          <w:rPr>
            <w:rStyle w:val="TextoNormalCaracter"/>
          </w:rPr>
          <w:t>137/2013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2124" w:name="DESCRIPTORALFABETICO770"/>
      <w:r w:rsidRPr="00234417">
        <w:rPr>
          <w:rStyle w:val="TextoNormalNegritaCaracter"/>
        </w:rPr>
        <w:t>Servicios públicos municipales</w:t>
      </w:r>
      <w:bookmarkEnd w:id="2124"/>
      <w:r w:rsidRPr="00234417">
        <w:rPr>
          <w:rStyle w:val="TextoNormalCaracter"/>
        </w:rPr>
        <w:t xml:space="preserve">, Sentencia </w:t>
      </w:r>
      <w:hyperlink w:anchor="SENTENCIA_2013_103" w:history="1">
        <w:r w:rsidRPr="00234417">
          <w:rPr>
            <w:rStyle w:val="TextoNormalCaracter"/>
          </w:rPr>
          <w:t>103/2013</w:t>
        </w:r>
      </w:hyperlink>
      <w:r w:rsidRPr="00234417">
        <w:rPr>
          <w:rStyle w:val="TextoNormalCaracter"/>
        </w:rPr>
        <w:t>, f. 5 d).</w:t>
      </w:r>
    </w:p>
    <w:p w:rsidR="00234417" w:rsidRPr="00234417" w:rsidRDefault="00234417" w:rsidP="00234417">
      <w:pPr>
        <w:pStyle w:val="TextoNormalSangraFrancesa"/>
        <w:rPr>
          <w:rStyle w:val="TextoNormalNegritaCaracter"/>
        </w:rPr>
      </w:pPr>
      <w:r w:rsidRPr="00234417">
        <w:rPr>
          <w:rStyle w:val="TextoNormalCursivaCaracter"/>
        </w:rPr>
        <w:t>Servicios sanitarios</w:t>
      </w:r>
      <w:r>
        <w:t xml:space="preserve"> véase </w:t>
      </w:r>
      <w:hyperlink w:anchor="DESCRIPTORALFABETICO769" w:history="1">
        <w:r w:rsidRPr="00234417">
          <w:rPr>
            <w:rStyle w:val="TextoNormalNegritaCaracter"/>
          </w:rPr>
          <w:t>Servicios públicos de salud</w:t>
        </w:r>
      </w:hyperlink>
    </w:p>
    <w:p w:rsidR="00234417" w:rsidRPr="00234417" w:rsidRDefault="00234417" w:rsidP="00234417">
      <w:pPr>
        <w:pStyle w:val="TextoNormalSangraFrancesa"/>
        <w:rPr>
          <w:rStyle w:val="TextoNormalCaracter"/>
        </w:rPr>
      </w:pPr>
      <w:bookmarkStart w:id="2125" w:name="DESCRIPTORALFABETICO734"/>
      <w:r w:rsidRPr="00234417">
        <w:rPr>
          <w:rStyle w:val="TextoNormalNegritaCaracter"/>
        </w:rPr>
        <w:t>Silencio administrativo</w:t>
      </w:r>
      <w:bookmarkEnd w:id="2125"/>
      <w:r w:rsidRPr="00234417">
        <w:rPr>
          <w:rStyle w:val="TextoNormalCaracter"/>
        </w:rPr>
        <w:t xml:space="preserve">, Sentencia </w:t>
      </w:r>
      <w:hyperlink w:anchor="SENTENCIA_2013_86" w:history="1">
        <w:r w:rsidRPr="00234417">
          <w:rPr>
            <w:rStyle w:val="TextoNormalCaracter"/>
          </w:rPr>
          <w:t>86/2013</w:t>
        </w:r>
      </w:hyperlink>
      <w:r w:rsidRPr="00234417">
        <w:rPr>
          <w:rStyle w:val="TextoNormalCaracter"/>
        </w:rPr>
        <w:t>, ff. 1 a 5.</w:t>
      </w:r>
    </w:p>
    <w:p w:rsidR="00234417" w:rsidRPr="00234417" w:rsidRDefault="00234417" w:rsidP="00234417">
      <w:pPr>
        <w:pStyle w:val="TextoNormalSangraFrancesa"/>
        <w:rPr>
          <w:rStyle w:val="TextoNormalCaracter"/>
        </w:rPr>
      </w:pPr>
      <w:bookmarkStart w:id="2126" w:name="DESCRIPTORALFABETICO91"/>
      <w:r w:rsidRPr="00234417">
        <w:rPr>
          <w:rStyle w:val="TextoNormalNegritaCaracter"/>
        </w:rPr>
        <w:t>Sistema de financiación</w:t>
      </w:r>
      <w:bookmarkEnd w:id="2126"/>
      <w:r w:rsidRPr="00234417">
        <w:rPr>
          <w:rStyle w:val="TextoNormalCaracter"/>
        </w:rPr>
        <w:t xml:space="preserve">, Sentencia </w:t>
      </w:r>
      <w:hyperlink w:anchor="SENTENCIA_2013_100" w:history="1">
        <w:r w:rsidRPr="00234417">
          <w:rPr>
            <w:rStyle w:val="TextoNormalCaracter"/>
          </w:rPr>
          <w:t>100/2013</w:t>
        </w:r>
      </w:hyperlink>
      <w:r w:rsidRPr="00234417">
        <w:rPr>
          <w:rStyle w:val="TextoNormalCaracter"/>
        </w:rPr>
        <w:t>, f. 4.</w:t>
      </w:r>
    </w:p>
    <w:p w:rsidR="00234417" w:rsidRPr="00234417" w:rsidRDefault="00234417" w:rsidP="00234417">
      <w:pPr>
        <w:pStyle w:val="TextoNormalSangraFrancesa"/>
        <w:rPr>
          <w:rStyle w:val="TextoNormalCaracter"/>
        </w:rPr>
      </w:pPr>
      <w:bookmarkStart w:id="2127" w:name="DESCRIPTORALFABETICO530"/>
      <w:r w:rsidRPr="00234417">
        <w:rPr>
          <w:rStyle w:val="TextoNormalNegritaCaracter"/>
        </w:rPr>
        <w:t>Sistema educativo</w:t>
      </w:r>
      <w:bookmarkEnd w:id="2127"/>
      <w:r w:rsidRPr="00234417">
        <w:rPr>
          <w:rStyle w:val="TextoNormalCaracter"/>
        </w:rPr>
        <w:t xml:space="preserve">, Sentencias </w:t>
      </w:r>
      <w:hyperlink w:anchor="SENTENCIA_2013_24" w:history="1">
        <w:r w:rsidRPr="00234417">
          <w:rPr>
            <w:rStyle w:val="TextoNormalCaracter"/>
          </w:rPr>
          <w:t>24/2013</w:t>
        </w:r>
      </w:hyperlink>
      <w:r w:rsidRPr="00234417">
        <w:rPr>
          <w:rStyle w:val="TextoNormalCaracter"/>
        </w:rPr>
        <w:t xml:space="preserve">, ff. 2 a 6; </w:t>
      </w:r>
      <w:hyperlink w:anchor="SENTENCIA_2013_25" w:history="1">
        <w:r w:rsidRPr="00234417">
          <w:rPr>
            <w:rStyle w:val="TextoNormalCaracter"/>
          </w:rPr>
          <w:t>25/2013</w:t>
        </w:r>
      </w:hyperlink>
      <w:r w:rsidRPr="00234417">
        <w:rPr>
          <w:rStyle w:val="TextoNormalCaracter"/>
        </w:rPr>
        <w:t xml:space="preserve">, ff. 3, 5; </w:t>
      </w:r>
      <w:hyperlink w:anchor="SENTENCIA_2013_47" w:history="1">
        <w:r w:rsidRPr="00234417">
          <w:rPr>
            <w:rStyle w:val="TextoNormalCaracter"/>
          </w:rPr>
          <w:t>47/2013</w:t>
        </w:r>
      </w:hyperlink>
      <w:r w:rsidRPr="00234417">
        <w:rPr>
          <w:rStyle w:val="TextoNormalCaracter"/>
        </w:rPr>
        <w:t>, ff. 3, 4.</w:t>
      </w:r>
    </w:p>
    <w:p w:rsidR="00234417" w:rsidRPr="00234417" w:rsidRDefault="00234417" w:rsidP="00234417">
      <w:pPr>
        <w:pStyle w:val="TextoNormalSangraFrancesa"/>
        <w:rPr>
          <w:rStyle w:val="TextoNormalNegritaCaracter"/>
        </w:rPr>
      </w:pPr>
      <w:r w:rsidRPr="00234417">
        <w:rPr>
          <w:rStyle w:val="TextoNormalCursivaCaracter"/>
        </w:rPr>
        <w:t>Sistema retributivo</w:t>
      </w:r>
      <w:r>
        <w:t xml:space="preserve"> véase </w:t>
      </w:r>
      <w:hyperlink w:anchor="DESCRIPTORALFABETICO588" w:history="1">
        <w:r w:rsidRPr="00234417">
          <w:rPr>
            <w:rStyle w:val="TextoNormalNegritaCaracter"/>
          </w:rPr>
          <w:t>Retribuciones de empleados públicos</w:t>
        </w:r>
      </w:hyperlink>
    </w:p>
    <w:p w:rsidR="00234417" w:rsidRPr="00234417" w:rsidRDefault="00234417" w:rsidP="00234417">
      <w:pPr>
        <w:pStyle w:val="TextoNormalSangraFrancesa"/>
        <w:rPr>
          <w:rStyle w:val="TextoNormalCaracter"/>
        </w:rPr>
      </w:pPr>
      <w:bookmarkStart w:id="2128" w:name="DESCRIPTORALFABETICO596"/>
      <w:r w:rsidRPr="00234417">
        <w:rPr>
          <w:rStyle w:val="TextoNormalNegritaCaracter"/>
        </w:rPr>
        <w:t>Situaciones administrativas</w:t>
      </w:r>
      <w:bookmarkEnd w:id="2128"/>
      <w:r w:rsidRPr="00234417">
        <w:rPr>
          <w:rStyle w:val="TextoNormalCaracter"/>
        </w:rPr>
        <w:t xml:space="preserve">, Auto </w:t>
      </w:r>
      <w:hyperlink w:anchor="AUTO_2013_85" w:history="1">
        <w:r w:rsidRPr="00234417">
          <w:rPr>
            <w:rStyle w:val="TextoNormalCaracter"/>
          </w:rPr>
          <w:t>85/2013</w:t>
        </w:r>
      </w:hyperlink>
      <w:r w:rsidRPr="00234417">
        <w:rPr>
          <w:rStyle w:val="TextoNormalCaracter"/>
        </w:rPr>
        <w:t>, ff. 4, 5.</w:t>
      </w:r>
    </w:p>
    <w:p w:rsidR="00234417" w:rsidRPr="00234417" w:rsidRDefault="00234417" w:rsidP="00234417">
      <w:pPr>
        <w:pStyle w:val="TextoNormalSangraFrancesa"/>
        <w:rPr>
          <w:rStyle w:val="TextoNormalNegritaCaracter"/>
        </w:rPr>
      </w:pPr>
      <w:r w:rsidRPr="00234417">
        <w:rPr>
          <w:rStyle w:val="TextoNormalCursivaCaracter"/>
        </w:rPr>
        <w:t>Solicitud de complementación de sentencias</w:t>
      </w:r>
      <w:r>
        <w:t xml:space="preserve"> véase </w:t>
      </w:r>
      <w:hyperlink w:anchor="DESCRIPTORALFABETICO873" w:history="1">
        <w:r w:rsidRPr="00234417">
          <w:rPr>
            <w:rStyle w:val="TextoNormalNegritaCaracter"/>
          </w:rPr>
          <w:t>Complementación de sentencias</w:t>
        </w:r>
      </w:hyperlink>
    </w:p>
    <w:p w:rsidR="00234417" w:rsidRPr="00234417" w:rsidRDefault="00234417" w:rsidP="00234417">
      <w:pPr>
        <w:pStyle w:val="TextoNormalSangraFrancesa"/>
        <w:rPr>
          <w:rStyle w:val="TextoNormalNegritaCaracter"/>
        </w:rPr>
      </w:pPr>
      <w:r w:rsidRPr="00234417">
        <w:rPr>
          <w:rStyle w:val="TextoNormalCursivaCaracter"/>
        </w:rPr>
        <w:t>Solicitud de nulidad de actuaciones</w:t>
      </w:r>
      <w:r>
        <w:t xml:space="preserve"> véase </w:t>
      </w:r>
      <w:hyperlink w:anchor="DESCRIPTORALFABETICO854" w:history="1">
        <w:r w:rsidRPr="00234417">
          <w:rPr>
            <w:rStyle w:val="TextoNormalNegritaCaracter"/>
          </w:rPr>
          <w:t>Incidente de nulidad de actuaciones</w:t>
        </w:r>
      </w:hyperlink>
    </w:p>
    <w:p w:rsidR="00234417" w:rsidRPr="00234417" w:rsidRDefault="00234417" w:rsidP="00234417">
      <w:pPr>
        <w:pStyle w:val="TextoNormalSangraFrancesa"/>
        <w:rPr>
          <w:rStyle w:val="TextoNormalCaracter"/>
        </w:rPr>
      </w:pPr>
      <w:bookmarkStart w:id="2129" w:name="DESCRIPTORALFABETICO830"/>
      <w:r w:rsidRPr="00234417">
        <w:rPr>
          <w:rStyle w:val="TextoNormalNegritaCaracter"/>
        </w:rPr>
        <w:t>Subasta de bienes embargados</w:t>
      </w:r>
      <w:bookmarkEnd w:id="2129"/>
      <w:r w:rsidRPr="00234417">
        <w:rPr>
          <w:rStyle w:val="TextoNormalCaracter"/>
        </w:rPr>
        <w:t xml:space="preserve">, Autos </w:t>
      </w:r>
      <w:hyperlink w:anchor="AUTO_2013_56" w:history="1">
        <w:r w:rsidRPr="00234417">
          <w:rPr>
            <w:rStyle w:val="TextoNormalCaracter"/>
          </w:rPr>
          <w:t>56/2013</w:t>
        </w:r>
      </w:hyperlink>
      <w:r w:rsidRPr="00234417">
        <w:rPr>
          <w:rStyle w:val="TextoNormalCaracter"/>
        </w:rPr>
        <w:t xml:space="preserve">, ff. 2 a 4; </w:t>
      </w:r>
      <w:hyperlink w:anchor="AUTO_2013_74" w:history="1">
        <w:r w:rsidRPr="00234417">
          <w:rPr>
            <w:rStyle w:val="TextoNormalCaracter"/>
          </w:rPr>
          <w:t>74/2013</w:t>
        </w:r>
      </w:hyperlink>
      <w:r w:rsidRPr="00234417">
        <w:rPr>
          <w:rStyle w:val="TextoNormalCaracter"/>
        </w:rPr>
        <w:t>, ff. 1 a 3.</w:t>
      </w:r>
    </w:p>
    <w:p w:rsidR="00234417" w:rsidRPr="00234417" w:rsidRDefault="00234417" w:rsidP="00234417">
      <w:pPr>
        <w:pStyle w:val="TextoNormalSangraFrancesa"/>
        <w:rPr>
          <w:rStyle w:val="TextoNormalNegritaCaracter"/>
        </w:rPr>
      </w:pPr>
      <w:r w:rsidRPr="00234417">
        <w:rPr>
          <w:rStyle w:val="TextoNormalCursivaCaracter"/>
        </w:rPr>
        <w:t>Subsanabilidad de infracciones procesales</w:t>
      </w:r>
      <w:r>
        <w:t xml:space="preserve"> véase </w:t>
      </w:r>
      <w:hyperlink w:anchor="DESCRIPTORALFABETICO822" w:history="1">
        <w:r w:rsidRPr="00234417">
          <w:rPr>
            <w:rStyle w:val="TextoNormalNegritaCaracter"/>
          </w:rPr>
          <w:t>Subsanación de defectos procesales</w:t>
        </w:r>
      </w:hyperlink>
    </w:p>
    <w:p w:rsidR="00234417" w:rsidRPr="00234417" w:rsidRDefault="00234417" w:rsidP="00234417">
      <w:pPr>
        <w:pStyle w:val="TextoNormalSangraFrancesa"/>
        <w:rPr>
          <w:rStyle w:val="TextoNormalCaracter"/>
        </w:rPr>
      </w:pPr>
      <w:bookmarkStart w:id="2130" w:name="DESCRIPTORALFABETICO863"/>
      <w:r w:rsidRPr="00234417">
        <w:rPr>
          <w:rStyle w:val="TextoNormalNegritaCaracter"/>
        </w:rPr>
        <w:t>Subsanación de defectos en la representación procesal</w:t>
      </w:r>
      <w:bookmarkEnd w:id="2130"/>
      <w:r w:rsidRPr="00234417">
        <w:rPr>
          <w:rStyle w:val="TextoNormalCaracter"/>
        </w:rPr>
        <w:t xml:space="preserve">, Sentencia </w:t>
      </w:r>
      <w:hyperlink w:anchor="SENTENCIA_2013_90" w:history="1">
        <w:r w:rsidRPr="00234417">
          <w:rPr>
            <w:rStyle w:val="TextoNormalCaracter"/>
          </w:rPr>
          <w:t>90/2013</w:t>
        </w:r>
      </w:hyperlink>
      <w:r w:rsidRPr="00234417">
        <w:rPr>
          <w:rStyle w:val="TextoNormalCaracter"/>
        </w:rPr>
        <w:t>, ff. 2, 4.</w:t>
      </w:r>
    </w:p>
    <w:p w:rsidR="00234417" w:rsidRPr="00234417" w:rsidRDefault="00234417" w:rsidP="00234417">
      <w:pPr>
        <w:pStyle w:val="TextoNormalSangraFrancesa"/>
        <w:rPr>
          <w:rStyle w:val="TextoNormalCaracter"/>
        </w:rPr>
      </w:pPr>
      <w:bookmarkStart w:id="2131" w:name="DESCRIPTORALFABETICO822"/>
      <w:r w:rsidRPr="00234417">
        <w:rPr>
          <w:rStyle w:val="TextoNormalNegritaCaracter"/>
        </w:rPr>
        <w:t>Subsanación de defectos procesales</w:t>
      </w:r>
      <w:bookmarkEnd w:id="2131"/>
      <w:r w:rsidRPr="00234417">
        <w:rPr>
          <w:rStyle w:val="TextoNormalCaracter"/>
        </w:rPr>
        <w:t xml:space="preserve">, Sentencias </w:t>
      </w:r>
      <w:hyperlink w:anchor="SENTENCIA_2013_73" w:history="1">
        <w:r w:rsidRPr="00234417">
          <w:rPr>
            <w:rStyle w:val="TextoNormalCaracter"/>
          </w:rPr>
          <w:t>73/2013</w:t>
        </w:r>
      </w:hyperlink>
      <w:r w:rsidRPr="00234417">
        <w:rPr>
          <w:rStyle w:val="TextoNormalCaracter"/>
        </w:rPr>
        <w:t xml:space="preserve">, ff. 2, 3; </w:t>
      </w:r>
      <w:hyperlink w:anchor="SENTENCIA_2013_74" w:history="1">
        <w:r w:rsidRPr="00234417">
          <w:rPr>
            <w:rStyle w:val="TextoNormalCaracter"/>
          </w:rPr>
          <w:t>74/2013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2132" w:name="DESCRIPTORALFABETICO571"/>
      <w:r w:rsidRPr="00234417">
        <w:rPr>
          <w:rStyle w:val="TextoNormalNegritaCaracter"/>
        </w:rPr>
        <w:t>Subvenciones a entes locales</w:t>
      </w:r>
      <w:bookmarkEnd w:id="2132"/>
      <w:r w:rsidRPr="00234417">
        <w:rPr>
          <w:rStyle w:val="TextoNormalCaracter"/>
        </w:rPr>
        <w:t xml:space="preserve">, Sentencia </w:t>
      </w:r>
      <w:hyperlink w:anchor="SENTENCIA_2013_23" w:history="1">
        <w:r w:rsidRPr="00234417">
          <w:rPr>
            <w:rStyle w:val="TextoNormalCaracter"/>
          </w:rPr>
          <w:t>23/2013</w:t>
        </w:r>
      </w:hyperlink>
      <w:r w:rsidRPr="00234417">
        <w:rPr>
          <w:rStyle w:val="TextoNormalCaracter"/>
        </w:rPr>
        <w:t>, ff. 4, 5.</w:t>
      </w:r>
    </w:p>
    <w:p w:rsidR="00234417" w:rsidRPr="00234417" w:rsidRDefault="00234417" w:rsidP="00234417">
      <w:pPr>
        <w:pStyle w:val="TextoNormalSangraFrancesa"/>
        <w:rPr>
          <w:rStyle w:val="TextoNormalCaracter"/>
        </w:rPr>
      </w:pPr>
      <w:bookmarkStart w:id="2133" w:name="DESCRIPTORALFABETICO569"/>
      <w:r w:rsidRPr="00234417">
        <w:rPr>
          <w:rStyle w:val="TextoNormalNegritaCaracter"/>
        </w:rPr>
        <w:t>Subvenciones públicas</w:t>
      </w:r>
      <w:bookmarkEnd w:id="2133"/>
      <w:r w:rsidRPr="00234417">
        <w:rPr>
          <w:rStyle w:val="TextoNormalCaracter"/>
        </w:rPr>
        <w:t xml:space="preserve">, Sentencias </w:t>
      </w:r>
      <w:hyperlink w:anchor="SENTENCIA_2013_21" w:history="1">
        <w:r w:rsidRPr="00234417">
          <w:rPr>
            <w:rStyle w:val="TextoNormalCaracter"/>
          </w:rPr>
          <w:t>21/2013</w:t>
        </w:r>
      </w:hyperlink>
      <w:r w:rsidRPr="00234417">
        <w:rPr>
          <w:rStyle w:val="TextoNormalCaracter"/>
        </w:rPr>
        <w:t xml:space="preserve">, f. 3; </w:t>
      </w:r>
      <w:hyperlink w:anchor="SENTENCIA_2013_26" w:history="1">
        <w:r w:rsidRPr="00234417">
          <w:rPr>
            <w:rStyle w:val="TextoNormalCaracter"/>
          </w:rPr>
          <w:t>26/2013</w:t>
        </w:r>
      </w:hyperlink>
      <w:r w:rsidRPr="00234417">
        <w:rPr>
          <w:rStyle w:val="TextoNormalCaracter"/>
        </w:rPr>
        <w:t xml:space="preserve">, ff. 6, 7; </w:t>
      </w:r>
      <w:hyperlink w:anchor="SENTENCIA_2013_37" w:history="1">
        <w:r w:rsidRPr="00234417">
          <w:rPr>
            <w:rStyle w:val="TextoNormalCaracter"/>
          </w:rPr>
          <w:t>37/2013</w:t>
        </w:r>
      </w:hyperlink>
      <w:r w:rsidRPr="00234417">
        <w:rPr>
          <w:rStyle w:val="TextoNormalCaracter"/>
        </w:rPr>
        <w:t xml:space="preserve">, ff. 4 a 6; </w:t>
      </w:r>
      <w:hyperlink w:anchor="SENTENCIA_2013_40" w:history="1">
        <w:r w:rsidRPr="00234417">
          <w:rPr>
            <w:rStyle w:val="TextoNormalCaracter"/>
          </w:rPr>
          <w:t>40/2013</w:t>
        </w:r>
      </w:hyperlink>
      <w:r w:rsidRPr="00234417">
        <w:rPr>
          <w:rStyle w:val="TextoNormalCaracter"/>
        </w:rPr>
        <w:t xml:space="preserve">, f. 3; </w:t>
      </w:r>
      <w:hyperlink w:anchor="SENTENCIA_2013_52" w:history="1">
        <w:r w:rsidRPr="00234417">
          <w:rPr>
            <w:rStyle w:val="TextoNormalCaracter"/>
          </w:rPr>
          <w:t>52/2013</w:t>
        </w:r>
      </w:hyperlink>
      <w:r w:rsidRPr="00234417">
        <w:rPr>
          <w:rStyle w:val="TextoNormalCaracter"/>
        </w:rPr>
        <w:t xml:space="preserve">, f. 3; </w:t>
      </w:r>
      <w:hyperlink w:anchor="SENTENCIA_2013_70" w:history="1">
        <w:r w:rsidRPr="00234417">
          <w:rPr>
            <w:rStyle w:val="TextoNormalCaracter"/>
          </w:rPr>
          <w:t>70/2013</w:t>
        </w:r>
      </w:hyperlink>
      <w:r w:rsidRPr="00234417">
        <w:rPr>
          <w:rStyle w:val="TextoNormalCaracter"/>
        </w:rPr>
        <w:t xml:space="preserve">, f. 2; </w:t>
      </w:r>
      <w:hyperlink w:anchor="SENTENCIA_2013_112" w:history="1">
        <w:r w:rsidRPr="00234417">
          <w:rPr>
            <w:rStyle w:val="TextoNormalCaracter"/>
          </w:rPr>
          <w:t>112/2013</w:t>
        </w:r>
      </w:hyperlink>
      <w:r w:rsidRPr="00234417">
        <w:rPr>
          <w:rStyle w:val="TextoNormalCaracter"/>
        </w:rPr>
        <w:t xml:space="preserve">, ff. 3, 4, 5; </w:t>
      </w:r>
      <w:hyperlink w:anchor="SENTENCIA_2013_130" w:history="1">
        <w:r w:rsidRPr="00234417">
          <w:rPr>
            <w:rStyle w:val="TextoNormalCaracter"/>
          </w:rPr>
          <w:t>130/2013</w:t>
        </w:r>
      </w:hyperlink>
      <w:r w:rsidRPr="00234417">
        <w:rPr>
          <w:rStyle w:val="TextoNormalCaracter"/>
        </w:rPr>
        <w:t xml:space="preserve">, ff. 3, 4, 5, 6, 7, 8, 9, 10, 11, 12, 13, 14, VP; </w:t>
      </w:r>
      <w:hyperlink w:anchor="SENTENCIA_2013_135" w:history="1">
        <w:r w:rsidRPr="00234417">
          <w:rPr>
            <w:rStyle w:val="TextoNormalCaracter"/>
          </w:rPr>
          <w:t>135/2013</w:t>
        </w:r>
      </w:hyperlink>
      <w:r w:rsidRPr="00234417">
        <w:rPr>
          <w:rStyle w:val="TextoNormalCaracter"/>
        </w:rPr>
        <w:t>, ff. 4, 5, 6.</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Sentencias </w:t>
      </w:r>
      <w:hyperlink w:anchor="SENTENCIA_2013_130" w:history="1">
        <w:r w:rsidRPr="00234417">
          <w:rPr>
            <w:rStyle w:val="TextoNormalCaracter"/>
          </w:rPr>
          <w:t>130/2013</w:t>
        </w:r>
      </w:hyperlink>
      <w:r w:rsidRPr="00234417">
        <w:rPr>
          <w:rStyle w:val="TextoNormalCaracter"/>
        </w:rPr>
        <w:t xml:space="preserve">, ff. 3 a 14, VP; </w:t>
      </w:r>
      <w:hyperlink w:anchor="SENTENCIA_2013_135" w:history="1">
        <w:r w:rsidRPr="00234417">
          <w:rPr>
            <w:rStyle w:val="TextoNormalCaracter"/>
          </w:rPr>
          <w:t>135/2013</w:t>
        </w:r>
      </w:hyperlink>
      <w:r w:rsidRPr="00234417">
        <w:rPr>
          <w:rStyle w:val="TextoNormalCaracter"/>
        </w:rPr>
        <w:t>, ff. 3 a 6.</w:t>
      </w:r>
    </w:p>
    <w:p w:rsidR="00234417" w:rsidRPr="00234417" w:rsidRDefault="00234417" w:rsidP="00234417">
      <w:pPr>
        <w:pStyle w:val="TextoNormalSangraFrancesa"/>
        <w:rPr>
          <w:rStyle w:val="TextoNormalCaracter"/>
        </w:rPr>
      </w:pPr>
      <w:r w:rsidRPr="00234417">
        <w:rPr>
          <w:rStyle w:val="TextoNormalCursivaCaracter"/>
        </w:rPr>
        <w:t xml:space="preserve">    Naturaleza, </w:t>
      </w:r>
      <w:r w:rsidRPr="00234417">
        <w:rPr>
          <w:rStyle w:val="TextoNormalCaracter"/>
        </w:rPr>
        <w:t xml:space="preserve">Sentencias </w:t>
      </w:r>
      <w:hyperlink w:anchor="SENTENCIA_2013_130" w:history="1">
        <w:r w:rsidRPr="00234417">
          <w:rPr>
            <w:rStyle w:val="TextoNormalCaracter"/>
          </w:rPr>
          <w:t>130/2013</w:t>
        </w:r>
      </w:hyperlink>
      <w:r w:rsidRPr="00234417">
        <w:rPr>
          <w:rStyle w:val="TextoNormalCaracter"/>
        </w:rPr>
        <w:t xml:space="preserve">, f. 4; </w:t>
      </w:r>
      <w:hyperlink w:anchor="SENTENCIA_2013_135" w:history="1">
        <w:r w:rsidRPr="00234417">
          <w:rPr>
            <w:rStyle w:val="TextoNormalCaracter"/>
          </w:rPr>
          <w:t>135/2013</w:t>
        </w:r>
      </w:hyperlink>
      <w:r w:rsidRPr="00234417">
        <w:rPr>
          <w:rStyle w:val="TextoNormalCaracter"/>
        </w:rPr>
        <w:t>, f. 3.</w:t>
      </w:r>
    </w:p>
    <w:p w:rsidR="00234417" w:rsidRPr="00234417" w:rsidRDefault="00234417" w:rsidP="00234417">
      <w:pPr>
        <w:pStyle w:val="TextoNormalSangraFrancesa"/>
        <w:rPr>
          <w:rStyle w:val="TextoNormalCaracter"/>
        </w:rPr>
      </w:pPr>
      <w:bookmarkStart w:id="2134" w:name="DESCRIPTORALFABETICO551"/>
      <w:r w:rsidRPr="00234417">
        <w:rPr>
          <w:rStyle w:val="TextoNormalNegritaCaracter"/>
        </w:rPr>
        <w:t>Suministro de energía eléctrica</w:t>
      </w:r>
      <w:bookmarkEnd w:id="2134"/>
      <w:r w:rsidRPr="00234417">
        <w:rPr>
          <w:rStyle w:val="TextoNormalCaracter"/>
        </w:rPr>
        <w:t xml:space="preserve">, Sentencia </w:t>
      </w:r>
      <w:hyperlink w:anchor="SENTENCIA_2013_4" w:history="1">
        <w:r w:rsidRPr="00234417">
          <w:rPr>
            <w:rStyle w:val="TextoNormalCaracter"/>
          </w:rPr>
          <w:t>4/2013</w:t>
        </w:r>
      </w:hyperlink>
      <w:r w:rsidRPr="00234417">
        <w:rPr>
          <w:rStyle w:val="TextoNormalCaracter"/>
        </w:rPr>
        <w:t>, ff. 1 a 11.</w:t>
      </w:r>
    </w:p>
    <w:p w:rsidR="00234417" w:rsidRPr="00234417" w:rsidRDefault="00234417" w:rsidP="00234417">
      <w:pPr>
        <w:pStyle w:val="TextoNormalSangraFrancesa"/>
        <w:rPr>
          <w:rStyle w:val="TextoNormalCaracter"/>
        </w:rPr>
      </w:pPr>
      <w:bookmarkStart w:id="2135" w:name="DESCRIPTORALFABETICO433"/>
      <w:r w:rsidRPr="00234417">
        <w:rPr>
          <w:rStyle w:val="TextoNormalNegritaCaracter"/>
        </w:rPr>
        <w:t>Suspensión cautelar de la expulsión</w:t>
      </w:r>
      <w:bookmarkEnd w:id="2135"/>
      <w:r w:rsidRPr="00234417">
        <w:rPr>
          <w:rStyle w:val="TextoNormalCaracter"/>
        </w:rPr>
        <w:t xml:space="preserve">, Auto </w:t>
      </w:r>
      <w:hyperlink w:anchor="AUTO_2013_116" w:history="1">
        <w:r w:rsidRPr="00234417">
          <w:rPr>
            <w:rStyle w:val="TextoNormalCaracter"/>
          </w:rPr>
          <w:t>116/2013</w:t>
        </w:r>
      </w:hyperlink>
      <w:r w:rsidRPr="00234417">
        <w:rPr>
          <w:rStyle w:val="TextoNormalCaracter"/>
        </w:rPr>
        <w:t>, ff. 1, 2.</w:t>
      </w:r>
    </w:p>
    <w:p w:rsidR="00234417" w:rsidRPr="00234417" w:rsidRDefault="00234417" w:rsidP="00234417">
      <w:pPr>
        <w:pStyle w:val="TextoNormalSangraFrancesa"/>
        <w:rPr>
          <w:rStyle w:val="TextoNormalCaracter"/>
        </w:rPr>
      </w:pPr>
      <w:bookmarkStart w:id="2136" w:name="DESCRIPTORALFABETICO230"/>
      <w:r w:rsidRPr="00234417">
        <w:rPr>
          <w:rStyle w:val="TextoNormalNegritaCaracter"/>
        </w:rPr>
        <w:lastRenderedPageBreak/>
        <w:t>Suspensión cautelar de resoluciones civiles</w:t>
      </w:r>
      <w:bookmarkEnd w:id="2136"/>
      <w:r w:rsidRPr="00234417">
        <w:rPr>
          <w:rStyle w:val="TextoNormalCaracter"/>
        </w:rPr>
        <w:t xml:space="preserve">, </w:t>
      </w:r>
    </w:p>
    <w:p w:rsidR="00234417" w:rsidRPr="00234417" w:rsidRDefault="00234417" w:rsidP="00234417">
      <w:pPr>
        <w:pStyle w:val="TextoNormalSangraFrancesa"/>
        <w:rPr>
          <w:rStyle w:val="TextoNormalCaracter"/>
        </w:rPr>
      </w:pPr>
      <w:r w:rsidRPr="00234417">
        <w:rPr>
          <w:rStyle w:val="TextoNormalCursivaCaracter"/>
        </w:rPr>
        <w:t xml:space="preserve">    Suspende, </w:t>
      </w:r>
      <w:r w:rsidRPr="00234417">
        <w:rPr>
          <w:rStyle w:val="TextoNormalCaracter"/>
        </w:rPr>
        <w:t xml:space="preserve">Autos </w:t>
      </w:r>
      <w:hyperlink w:anchor="AUTO_2013_56" w:history="1">
        <w:r w:rsidRPr="00234417">
          <w:rPr>
            <w:rStyle w:val="TextoNormalCaracter"/>
          </w:rPr>
          <w:t>56/2013</w:t>
        </w:r>
      </w:hyperlink>
      <w:r w:rsidRPr="00234417">
        <w:rPr>
          <w:rStyle w:val="TextoNormalCaracter"/>
        </w:rPr>
        <w:t xml:space="preserve">, ff. 2 a 4; </w:t>
      </w:r>
      <w:hyperlink w:anchor="AUTO_2013_74" w:history="1">
        <w:r w:rsidRPr="00234417">
          <w:rPr>
            <w:rStyle w:val="TextoNormalCaracter"/>
          </w:rPr>
          <w:t>74/2013</w:t>
        </w:r>
      </w:hyperlink>
      <w:r w:rsidRPr="00234417">
        <w:rPr>
          <w:rStyle w:val="TextoNormalCaracter"/>
        </w:rPr>
        <w:t>, ff. 1 a 3.</w:t>
      </w:r>
    </w:p>
    <w:p w:rsidR="00234417" w:rsidRPr="00234417" w:rsidRDefault="00234417" w:rsidP="00234417">
      <w:pPr>
        <w:pStyle w:val="TextoNormalSangraFrancesa"/>
        <w:rPr>
          <w:rStyle w:val="TextoNormalCaracter"/>
        </w:rPr>
      </w:pPr>
      <w:bookmarkStart w:id="2137" w:name="DESCRIPTORALFABETICO231"/>
      <w:r w:rsidRPr="00234417">
        <w:rPr>
          <w:rStyle w:val="TextoNormalNegritaCaracter"/>
        </w:rPr>
        <w:t>Suspensión cautelar de resoluciones contencioso-administrativas</w:t>
      </w:r>
      <w:bookmarkEnd w:id="2137"/>
      <w:r w:rsidRPr="00234417">
        <w:rPr>
          <w:rStyle w:val="TextoNormalCaracter"/>
        </w:rPr>
        <w:t xml:space="preserve">, Auto </w:t>
      </w:r>
      <w:hyperlink w:anchor="AUTO_2013_64" w:history="1">
        <w:r w:rsidRPr="00234417">
          <w:rPr>
            <w:rStyle w:val="TextoNormalCaracter"/>
          </w:rPr>
          <w:t>64/2013</w:t>
        </w:r>
      </w:hyperlink>
      <w:r w:rsidRPr="00234417">
        <w:rPr>
          <w:rStyle w:val="TextoNormalCaracter"/>
        </w:rPr>
        <w:t>, f. 2.</w:t>
      </w:r>
    </w:p>
    <w:p w:rsidR="00234417" w:rsidRPr="00234417" w:rsidRDefault="00234417" w:rsidP="00234417">
      <w:pPr>
        <w:pStyle w:val="TextoNormalSangraFrancesa"/>
        <w:rPr>
          <w:rStyle w:val="TextoNormalCaracter"/>
        </w:rPr>
      </w:pPr>
      <w:r w:rsidRPr="00234417">
        <w:rPr>
          <w:rStyle w:val="TextoNormalCursivaCaracter"/>
        </w:rPr>
        <w:t xml:space="preserve">    Suspende, </w:t>
      </w:r>
      <w:r w:rsidRPr="00234417">
        <w:rPr>
          <w:rStyle w:val="TextoNormalCaracter"/>
        </w:rPr>
        <w:t xml:space="preserve">Auto </w:t>
      </w:r>
      <w:hyperlink w:anchor="AUTO_2013_116" w:history="1">
        <w:r w:rsidRPr="00234417">
          <w:rPr>
            <w:rStyle w:val="TextoNormalCaracter"/>
          </w:rPr>
          <w:t>116/2013</w:t>
        </w:r>
      </w:hyperlink>
      <w:r w:rsidRPr="00234417">
        <w:rPr>
          <w:rStyle w:val="TextoNormalCaracter"/>
        </w:rPr>
        <w:t>, f. 2.</w:t>
      </w:r>
    </w:p>
    <w:p w:rsidR="00234417" w:rsidRPr="00234417" w:rsidRDefault="00234417" w:rsidP="00234417">
      <w:pPr>
        <w:pStyle w:val="TextoNormalSangraFrancesa"/>
        <w:rPr>
          <w:rStyle w:val="TextoNormalCaracter"/>
        </w:rPr>
      </w:pPr>
      <w:bookmarkStart w:id="2138" w:name="DESCRIPTORALFABETICO229"/>
      <w:r w:rsidRPr="00234417">
        <w:rPr>
          <w:rStyle w:val="TextoNormalNegritaCaracter"/>
        </w:rPr>
        <w:t>Suspensión cautelar de resoluciones judiciales</w:t>
      </w:r>
      <w:bookmarkEnd w:id="2138"/>
      <w:r w:rsidRPr="00234417">
        <w:rPr>
          <w:rStyle w:val="TextoNormalCaracter"/>
        </w:rPr>
        <w:t xml:space="preserve">, Autos </w:t>
      </w:r>
      <w:hyperlink w:anchor="AUTO_2013_64" w:history="1">
        <w:r w:rsidRPr="00234417">
          <w:rPr>
            <w:rStyle w:val="TextoNormalCaracter"/>
          </w:rPr>
          <w:t>64/2013</w:t>
        </w:r>
      </w:hyperlink>
      <w:r w:rsidRPr="00234417">
        <w:rPr>
          <w:rStyle w:val="TextoNormalCaracter"/>
        </w:rPr>
        <w:t xml:space="preserve">, f. 2; </w:t>
      </w:r>
      <w:hyperlink w:anchor="AUTO_2013_74" w:history="1">
        <w:r w:rsidRPr="00234417">
          <w:rPr>
            <w:rStyle w:val="TextoNormalCaracter"/>
          </w:rPr>
          <w:t>74/2013</w:t>
        </w:r>
      </w:hyperlink>
      <w:r w:rsidRPr="00234417">
        <w:rPr>
          <w:rStyle w:val="TextoNormalCaracter"/>
        </w:rPr>
        <w:t>, f. 3.</w:t>
      </w:r>
    </w:p>
    <w:p w:rsidR="00234417" w:rsidRPr="00234417" w:rsidRDefault="00234417" w:rsidP="00234417">
      <w:pPr>
        <w:pStyle w:val="TextoNormalSangraFrancesa"/>
        <w:rPr>
          <w:rStyle w:val="TextoNormalCaracter"/>
        </w:rPr>
      </w:pPr>
      <w:bookmarkStart w:id="2139" w:name="DESCRIPTORALFABETICO233"/>
      <w:r w:rsidRPr="00234417">
        <w:rPr>
          <w:rStyle w:val="TextoNormalNegritaCaracter"/>
        </w:rPr>
        <w:t>Suspensión cautelar de resoluciones penales</w:t>
      </w:r>
      <w:bookmarkEnd w:id="2139"/>
      <w:r w:rsidRPr="00234417">
        <w:rPr>
          <w:rStyle w:val="TextoNormalCaracter"/>
        </w:rPr>
        <w:t xml:space="preserve">, </w:t>
      </w:r>
    </w:p>
    <w:p w:rsidR="00234417" w:rsidRPr="00234417" w:rsidRDefault="00234417" w:rsidP="00234417">
      <w:pPr>
        <w:pStyle w:val="TextoNormalSangraFrancesa"/>
        <w:rPr>
          <w:rStyle w:val="TextoNormalCaracter"/>
        </w:rPr>
      </w:pPr>
      <w:r w:rsidRPr="00234417">
        <w:rPr>
          <w:rStyle w:val="TextoNormalCursivaCaracter"/>
        </w:rPr>
        <w:t xml:space="preserve">    No suspende, </w:t>
      </w:r>
      <w:r w:rsidRPr="00234417">
        <w:rPr>
          <w:rStyle w:val="TextoNormalCaracter"/>
        </w:rPr>
        <w:t xml:space="preserve">Auto </w:t>
      </w:r>
      <w:hyperlink w:anchor="AUTO_2013_19" w:history="1">
        <w:r w:rsidRPr="00234417">
          <w:rPr>
            <w:rStyle w:val="TextoNormalCaracter"/>
          </w:rPr>
          <w:t>19/2013</w:t>
        </w:r>
      </w:hyperlink>
      <w:r w:rsidRPr="00234417">
        <w:rPr>
          <w:rStyle w:val="TextoNormalCaracter"/>
        </w:rPr>
        <w:t>, f. único.</w:t>
      </w:r>
    </w:p>
    <w:p w:rsidR="00234417" w:rsidRPr="00234417" w:rsidRDefault="00234417" w:rsidP="00234417">
      <w:pPr>
        <w:pStyle w:val="TextoNormalSangraFrancesa"/>
        <w:rPr>
          <w:rStyle w:val="TextoNormalCaracter"/>
        </w:rPr>
      </w:pPr>
      <w:r w:rsidRPr="00234417">
        <w:rPr>
          <w:rStyle w:val="TextoNormalCursivaCaracter"/>
        </w:rPr>
        <w:t xml:space="preserve">    Suspende, </w:t>
      </w:r>
      <w:r w:rsidRPr="00234417">
        <w:rPr>
          <w:rStyle w:val="TextoNormalCaracter"/>
        </w:rPr>
        <w:t xml:space="preserve">Auto </w:t>
      </w:r>
      <w:hyperlink w:anchor="AUTO_2013_40" w:history="1">
        <w:r w:rsidRPr="00234417">
          <w:rPr>
            <w:rStyle w:val="TextoNormalCaracter"/>
          </w:rPr>
          <w:t>40/2013</w:t>
        </w:r>
      </w:hyperlink>
      <w:r w:rsidRPr="00234417">
        <w:rPr>
          <w:rStyle w:val="TextoNormalCaracter"/>
        </w:rPr>
        <w:t>, f. 2.</w:t>
      </w:r>
    </w:p>
    <w:p w:rsidR="00234417" w:rsidRPr="00234417" w:rsidRDefault="00234417" w:rsidP="00234417">
      <w:pPr>
        <w:pStyle w:val="TextoNormalSangraFrancesa"/>
        <w:rPr>
          <w:rStyle w:val="TextoNormalCaracter"/>
        </w:rPr>
      </w:pPr>
      <w:bookmarkStart w:id="2140" w:name="DESCRIPTORALFABETICO232"/>
      <w:r w:rsidRPr="00234417">
        <w:rPr>
          <w:rStyle w:val="TextoNormalNegritaCaracter"/>
        </w:rPr>
        <w:t>Suspensión cautelar de sentencias contencioso-administrativas</w:t>
      </w:r>
      <w:bookmarkEnd w:id="2140"/>
      <w:r w:rsidRPr="00234417">
        <w:rPr>
          <w:rStyle w:val="TextoNormalCaracter"/>
        </w:rPr>
        <w:t xml:space="preserve">, Auto </w:t>
      </w:r>
      <w:hyperlink w:anchor="AUTO_2013_20" w:history="1">
        <w:r w:rsidRPr="00234417">
          <w:rPr>
            <w:rStyle w:val="TextoNormalCaracter"/>
          </w:rPr>
          <w:t>20/2013</w:t>
        </w:r>
      </w:hyperlink>
      <w:r w:rsidRPr="00234417">
        <w:rPr>
          <w:rStyle w:val="TextoNormalCaracter"/>
        </w:rPr>
        <w:t>, ff. 1, 2.</w:t>
      </w:r>
    </w:p>
    <w:p w:rsidR="00234417" w:rsidRPr="00234417" w:rsidRDefault="00234417" w:rsidP="00234417">
      <w:pPr>
        <w:pStyle w:val="TextoNormalSangraFrancesa"/>
        <w:rPr>
          <w:rStyle w:val="TextoNormalCaracter"/>
        </w:rPr>
      </w:pPr>
      <w:r w:rsidRPr="00234417">
        <w:rPr>
          <w:rStyle w:val="TextoNormalCursivaCaracter"/>
        </w:rPr>
        <w:t xml:space="preserve">    No suspende, </w:t>
      </w:r>
      <w:r w:rsidRPr="00234417">
        <w:rPr>
          <w:rStyle w:val="TextoNormalCaracter"/>
        </w:rPr>
        <w:t xml:space="preserve">Auto </w:t>
      </w:r>
      <w:hyperlink w:anchor="AUTO_2013_20" w:history="1">
        <w:r w:rsidRPr="00234417">
          <w:rPr>
            <w:rStyle w:val="TextoNormalCaracter"/>
          </w:rPr>
          <w:t>20/2013</w:t>
        </w:r>
      </w:hyperlink>
      <w:r w:rsidRPr="00234417">
        <w:rPr>
          <w:rStyle w:val="TextoNormalCaracter"/>
        </w:rPr>
        <w:t>, ff. 1, 2.</w:t>
      </w:r>
    </w:p>
    <w:p w:rsidR="00234417" w:rsidRPr="00234417" w:rsidRDefault="00234417" w:rsidP="00234417">
      <w:pPr>
        <w:pStyle w:val="TextoNormalSangraFrancesa"/>
        <w:rPr>
          <w:rStyle w:val="TextoNormalCaracter"/>
        </w:rPr>
      </w:pPr>
      <w:bookmarkStart w:id="2141" w:name="DESCRIPTORALFABETICO234"/>
      <w:r w:rsidRPr="00234417">
        <w:rPr>
          <w:rStyle w:val="TextoNormalNegritaCaracter"/>
        </w:rPr>
        <w:t>Suspensión cautelar de sentencias penales</w:t>
      </w:r>
      <w:bookmarkEnd w:id="2141"/>
      <w:r w:rsidRPr="00234417">
        <w:rPr>
          <w:rStyle w:val="TextoNormalCaracter"/>
        </w:rPr>
        <w:t xml:space="preserve">, Autos </w:t>
      </w:r>
      <w:hyperlink w:anchor="AUTO_2013_18" w:history="1">
        <w:r w:rsidRPr="00234417">
          <w:rPr>
            <w:rStyle w:val="TextoNormalCaracter"/>
          </w:rPr>
          <w:t>18/2013</w:t>
        </w:r>
      </w:hyperlink>
      <w:r w:rsidRPr="00234417">
        <w:rPr>
          <w:rStyle w:val="TextoNormalCaracter"/>
        </w:rPr>
        <w:t xml:space="preserve">, f. único; </w:t>
      </w:r>
      <w:hyperlink w:anchor="AUTO_2013_75" w:history="1">
        <w:r w:rsidRPr="00234417">
          <w:rPr>
            <w:rStyle w:val="TextoNormalCaracter"/>
          </w:rPr>
          <w:t>75/2013</w:t>
        </w:r>
      </w:hyperlink>
      <w:r w:rsidRPr="00234417">
        <w:rPr>
          <w:rStyle w:val="TextoNormalCaracter"/>
        </w:rPr>
        <w:t>, ff. 2, 3, 4.</w:t>
      </w:r>
    </w:p>
    <w:p w:rsidR="00234417" w:rsidRPr="00234417" w:rsidRDefault="00234417" w:rsidP="00234417">
      <w:pPr>
        <w:pStyle w:val="TextoNormalSangraFrancesa"/>
        <w:rPr>
          <w:rStyle w:val="TextoNormalCaracter"/>
        </w:rPr>
      </w:pPr>
      <w:r w:rsidRPr="00234417">
        <w:rPr>
          <w:rStyle w:val="TextoNormalCursivaCaracter"/>
        </w:rPr>
        <w:t xml:space="preserve">    No suspende, </w:t>
      </w:r>
      <w:r w:rsidRPr="00234417">
        <w:rPr>
          <w:rStyle w:val="TextoNormalCaracter"/>
        </w:rPr>
        <w:t xml:space="preserve">Autos </w:t>
      </w:r>
      <w:hyperlink w:anchor="AUTO_2013_75" w:history="1">
        <w:r w:rsidRPr="00234417">
          <w:rPr>
            <w:rStyle w:val="TextoNormalCaracter"/>
          </w:rPr>
          <w:t>75/2013</w:t>
        </w:r>
      </w:hyperlink>
      <w:r w:rsidRPr="00234417">
        <w:rPr>
          <w:rStyle w:val="TextoNormalCaracter"/>
        </w:rPr>
        <w:t xml:space="preserve">, ff. 3, 4; </w:t>
      </w:r>
      <w:hyperlink w:anchor="AUTO_2013_133" w:history="1">
        <w:r w:rsidRPr="00234417">
          <w:rPr>
            <w:rStyle w:val="TextoNormalCaracter"/>
          </w:rPr>
          <w:t>133/2013</w:t>
        </w:r>
      </w:hyperlink>
      <w:r w:rsidRPr="00234417">
        <w:rPr>
          <w:rStyle w:val="TextoNormalCaracter"/>
        </w:rPr>
        <w:t xml:space="preserve">, ff. 1 a 3; </w:t>
      </w:r>
      <w:hyperlink w:anchor="AUTO_2013_136" w:history="1">
        <w:r w:rsidRPr="00234417">
          <w:rPr>
            <w:rStyle w:val="TextoNormalCaracter"/>
          </w:rPr>
          <w:t>136/2013</w:t>
        </w:r>
      </w:hyperlink>
      <w:r w:rsidRPr="00234417">
        <w:rPr>
          <w:rStyle w:val="TextoNormalCaracter"/>
        </w:rPr>
        <w:t xml:space="preserve">, ff. 1 a 3; </w:t>
      </w:r>
      <w:hyperlink w:anchor="AUTO_2013_137" w:history="1">
        <w:r w:rsidRPr="00234417">
          <w:rPr>
            <w:rStyle w:val="TextoNormalCaracter"/>
          </w:rPr>
          <w:t>137/2013</w:t>
        </w:r>
      </w:hyperlink>
      <w:r w:rsidRPr="00234417">
        <w:rPr>
          <w:rStyle w:val="TextoNormalCaracter"/>
        </w:rPr>
        <w:t xml:space="preserve">, ff. 1 a 4; </w:t>
      </w:r>
      <w:hyperlink w:anchor="AUTO_2013_139" w:history="1">
        <w:r w:rsidRPr="00234417">
          <w:rPr>
            <w:rStyle w:val="TextoNormalCaracter"/>
          </w:rPr>
          <w:t>139/2013</w:t>
        </w:r>
      </w:hyperlink>
      <w:r w:rsidRPr="00234417">
        <w:rPr>
          <w:rStyle w:val="TextoNormalCaracter"/>
        </w:rPr>
        <w:t>, ff. 2, 3.</w:t>
      </w:r>
    </w:p>
    <w:p w:rsidR="00234417" w:rsidRPr="00234417" w:rsidRDefault="00234417" w:rsidP="00234417">
      <w:pPr>
        <w:pStyle w:val="TextoNormalSangraFrancesa"/>
        <w:rPr>
          <w:rStyle w:val="TextoNormalCaracter"/>
        </w:rPr>
      </w:pPr>
      <w:r w:rsidRPr="00234417">
        <w:rPr>
          <w:rStyle w:val="TextoNormalCursivaCaracter"/>
        </w:rPr>
        <w:t xml:space="preserve">    Suspende, </w:t>
      </w:r>
      <w:r w:rsidRPr="00234417">
        <w:rPr>
          <w:rStyle w:val="TextoNormalCaracter"/>
        </w:rPr>
        <w:t xml:space="preserve">Autos </w:t>
      </w:r>
      <w:hyperlink w:anchor="AUTO_2013_40" w:history="1">
        <w:r w:rsidRPr="00234417">
          <w:rPr>
            <w:rStyle w:val="TextoNormalCaracter"/>
          </w:rPr>
          <w:t>40/2013</w:t>
        </w:r>
      </w:hyperlink>
      <w:r w:rsidRPr="00234417">
        <w:rPr>
          <w:rStyle w:val="TextoNormalCaracter"/>
        </w:rPr>
        <w:t xml:space="preserve">, f. 2; </w:t>
      </w:r>
      <w:hyperlink w:anchor="AUTO_2013_61" w:history="1">
        <w:r w:rsidRPr="00234417">
          <w:rPr>
            <w:rStyle w:val="TextoNormalCaracter"/>
          </w:rPr>
          <w:t>61/2013</w:t>
        </w:r>
      </w:hyperlink>
      <w:r w:rsidRPr="00234417">
        <w:rPr>
          <w:rStyle w:val="TextoNormalCaracter"/>
        </w:rPr>
        <w:t xml:space="preserve">, ff. 1 a 3; </w:t>
      </w:r>
      <w:hyperlink w:anchor="AUTO_2013_75" w:history="1">
        <w:r w:rsidRPr="00234417">
          <w:rPr>
            <w:rStyle w:val="TextoNormalCaracter"/>
          </w:rPr>
          <w:t>75/2013</w:t>
        </w:r>
      </w:hyperlink>
      <w:r w:rsidRPr="00234417">
        <w:rPr>
          <w:rStyle w:val="TextoNormalCaracter"/>
        </w:rPr>
        <w:t xml:space="preserve">, f. 2; </w:t>
      </w:r>
      <w:hyperlink w:anchor="AUTO_2013_139" w:history="1">
        <w:r w:rsidRPr="00234417">
          <w:rPr>
            <w:rStyle w:val="TextoNormalCaracter"/>
          </w:rPr>
          <w:t>139/2013</w:t>
        </w:r>
      </w:hyperlink>
      <w:r w:rsidRPr="00234417">
        <w:rPr>
          <w:rStyle w:val="TextoNormalCaracter"/>
        </w:rPr>
        <w:t>, ff. 1, 2, 3.</w:t>
      </w:r>
    </w:p>
    <w:p w:rsidR="00234417" w:rsidRPr="00234417" w:rsidRDefault="00234417" w:rsidP="00234417">
      <w:pPr>
        <w:pStyle w:val="TextoNormalSangraFrancesa"/>
        <w:rPr>
          <w:rStyle w:val="TextoNormalNegritaCaracter"/>
        </w:rPr>
      </w:pPr>
      <w:r w:rsidRPr="00234417">
        <w:rPr>
          <w:rStyle w:val="TextoNormalCursivaCaracter"/>
        </w:rPr>
        <w:t>Suspensión condicional de la pena</w:t>
      </w:r>
      <w:r>
        <w:t xml:space="preserve"> véase </w:t>
      </w:r>
      <w:hyperlink w:anchor="DESCRIPTORALFABETICO704" w:history="1">
        <w:r w:rsidRPr="00234417">
          <w:rPr>
            <w:rStyle w:val="TextoNormalNegritaCaracter"/>
          </w:rPr>
          <w:t>Suspensión de la ejecución de la pena</w:t>
        </w:r>
      </w:hyperlink>
    </w:p>
    <w:p w:rsidR="00234417" w:rsidRPr="00234417" w:rsidRDefault="00234417" w:rsidP="00234417">
      <w:pPr>
        <w:pStyle w:val="TextoNormalSangraFrancesa"/>
        <w:rPr>
          <w:rStyle w:val="TextoNormalCaracter"/>
        </w:rPr>
      </w:pPr>
      <w:bookmarkStart w:id="2142" w:name="DESCRIPTORALFABETICO235"/>
      <w:r w:rsidRPr="00234417">
        <w:rPr>
          <w:rStyle w:val="TextoNormalNegritaCaracter"/>
        </w:rPr>
        <w:t>Suspensión de disposiciones de las Comunidades Autónomas</w:t>
      </w:r>
      <w:bookmarkEnd w:id="2142"/>
      <w:r w:rsidRPr="00234417">
        <w:rPr>
          <w:rStyle w:val="TextoNormalCaracter"/>
        </w:rPr>
        <w:t xml:space="preserve">, Autos </w:t>
      </w:r>
      <w:hyperlink w:anchor="AUTO_2013_80" w:history="1">
        <w:r w:rsidRPr="00234417">
          <w:rPr>
            <w:rStyle w:val="TextoNormalCaracter"/>
          </w:rPr>
          <w:t>80/2013</w:t>
        </w:r>
      </w:hyperlink>
      <w:r w:rsidRPr="00234417">
        <w:rPr>
          <w:rStyle w:val="TextoNormalCaracter"/>
        </w:rPr>
        <w:t xml:space="preserve">, ff. 3, 4, 5; </w:t>
      </w:r>
      <w:hyperlink w:anchor="AUTO_2013_86" w:history="1">
        <w:r w:rsidRPr="00234417">
          <w:rPr>
            <w:rStyle w:val="TextoNormalCaracter"/>
          </w:rPr>
          <w:t>86/2013</w:t>
        </w:r>
      </w:hyperlink>
      <w:r w:rsidRPr="00234417">
        <w:rPr>
          <w:rStyle w:val="TextoNormalCaracter"/>
        </w:rPr>
        <w:t xml:space="preserve">, ff. 4 a 6; </w:t>
      </w:r>
      <w:hyperlink w:anchor="AUTO_2013_88" w:history="1">
        <w:r w:rsidRPr="00234417">
          <w:rPr>
            <w:rStyle w:val="TextoNormalCaracter"/>
          </w:rPr>
          <w:t>88/2013</w:t>
        </w:r>
      </w:hyperlink>
      <w:r w:rsidRPr="00234417">
        <w:rPr>
          <w:rStyle w:val="TextoNormalCaracter"/>
        </w:rPr>
        <w:t xml:space="preserve">, ff. 2, 3, 4; </w:t>
      </w:r>
      <w:hyperlink w:anchor="AUTO_2013_122" w:history="1">
        <w:r w:rsidRPr="00234417">
          <w:rPr>
            <w:rStyle w:val="TextoNormalCaracter"/>
          </w:rPr>
          <w:t>122/2013</w:t>
        </w:r>
      </w:hyperlink>
      <w:r w:rsidRPr="00234417">
        <w:rPr>
          <w:rStyle w:val="TextoNormalCaracter"/>
        </w:rPr>
        <w:t xml:space="preserve">, ff. 1, 2, 3, 4, 5; </w:t>
      </w:r>
      <w:hyperlink w:anchor="AUTO_2013_123" w:history="1">
        <w:r w:rsidRPr="00234417">
          <w:rPr>
            <w:rStyle w:val="TextoNormalCaracter"/>
          </w:rPr>
          <w:t>123/2013</w:t>
        </w:r>
      </w:hyperlink>
      <w:r w:rsidRPr="00234417">
        <w:rPr>
          <w:rStyle w:val="TextoNormalCaracter"/>
        </w:rPr>
        <w:t xml:space="preserve">, ff. 2, 4, 5, 6; </w:t>
      </w:r>
      <w:hyperlink w:anchor="AUTO_2013_124" w:history="1">
        <w:r w:rsidRPr="00234417">
          <w:rPr>
            <w:rStyle w:val="TextoNormalCaracter"/>
          </w:rPr>
          <w:t>124/2013</w:t>
        </w:r>
      </w:hyperlink>
      <w:r w:rsidRPr="00234417">
        <w:rPr>
          <w:rStyle w:val="TextoNormalCaracter"/>
        </w:rPr>
        <w:t xml:space="preserve">, ff. 2, 4; </w:t>
      </w:r>
      <w:hyperlink w:anchor="AUTO_2013_142" w:history="1">
        <w:r w:rsidRPr="00234417">
          <w:rPr>
            <w:rStyle w:val="TextoNormalCaracter"/>
          </w:rPr>
          <w:t>142/2013</w:t>
        </w:r>
      </w:hyperlink>
      <w:r w:rsidRPr="00234417">
        <w:rPr>
          <w:rStyle w:val="TextoNormalCaracter"/>
        </w:rPr>
        <w:t xml:space="preserve">, ff. 1, 3; </w:t>
      </w:r>
      <w:hyperlink w:anchor="AUTO_2013_146" w:history="1">
        <w:r w:rsidRPr="00234417">
          <w:rPr>
            <w:rStyle w:val="TextoNormalCaracter"/>
          </w:rPr>
          <w:t>146/2013</w:t>
        </w:r>
      </w:hyperlink>
      <w:r w:rsidRPr="00234417">
        <w:rPr>
          <w:rStyle w:val="TextoNormalCaracter"/>
        </w:rPr>
        <w:t>, ff. 2, 3, 4.</w:t>
      </w:r>
    </w:p>
    <w:p w:rsidR="00234417" w:rsidRPr="00234417" w:rsidRDefault="00234417" w:rsidP="00234417">
      <w:pPr>
        <w:pStyle w:val="TextoNormalSangraFrancesa"/>
        <w:rPr>
          <w:rStyle w:val="TextoNormalCaracter"/>
        </w:rPr>
      </w:pPr>
      <w:bookmarkStart w:id="2143" w:name="DESCRIPTORALFABETICO829"/>
      <w:r w:rsidRPr="00234417">
        <w:rPr>
          <w:rStyle w:val="TextoNormalNegritaCaracter"/>
        </w:rPr>
        <w:t>Suspensión de ejecución de sentencia</w:t>
      </w:r>
      <w:bookmarkEnd w:id="2143"/>
      <w:r w:rsidRPr="00234417">
        <w:rPr>
          <w:rStyle w:val="TextoNormalCaracter"/>
        </w:rPr>
        <w:t xml:space="preserve">, Sentencia </w:t>
      </w:r>
      <w:hyperlink w:anchor="SENTENCIA_2013_92" w:history="1">
        <w:r w:rsidRPr="00234417">
          <w:rPr>
            <w:rStyle w:val="TextoNormalCaracter"/>
          </w:rPr>
          <w:t>92/2013</w:t>
        </w:r>
      </w:hyperlink>
      <w:r w:rsidRPr="00234417">
        <w:rPr>
          <w:rStyle w:val="TextoNormalCaracter"/>
        </w:rPr>
        <w:t>, f. 5.</w:t>
      </w:r>
    </w:p>
    <w:p w:rsidR="00234417" w:rsidRPr="00234417" w:rsidRDefault="00234417" w:rsidP="00234417">
      <w:pPr>
        <w:pStyle w:val="TextoNormalSangraFrancesa"/>
        <w:rPr>
          <w:rStyle w:val="TextoNormalCaracter"/>
        </w:rPr>
      </w:pPr>
      <w:bookmarkStart w:id="2144" w:name="DESCRIPTORALFABETICO704"/>
      <w:r w:rsidRPr="00234417">
        <w:rPr>
          <w:rStyle w:val="TextoNormalNegritaCaracter"/>
        </w:rPr>
        <w:t>Suspensión de la ejecución de la pena</w:t>
      </w:r>
      <w:bookmarkEnd w:id="2144"/>
      <w:r w:rsidRPr="00234417">
        <w:rPr>
          <w:rStyle w:val="TextoNormalCaracter"/>
        </w:rPr>
        <w:t xml:space="preserve">, Sentencia </w:t>
      </w:r>
      <w:hyperlink w:anchor="SENTENCIA_2013_109" w:history="1">
        <w:r w:rsidRPr="00234417">
          <w:rPr>
            <w:rStyle w:val="TextoNormalCaracter"/>
          </w:rPr>
          <w:t>109/2013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2145" w:name="DESCRIPTORALFABETICO226"/>
      <w:r w:rsidRPr="00234417">
        <w:rPr>
          <w:rStyle w:val="TextoNormalNegritaCaracter"/>
        </w:rPr>
        <w:t>Suspensión de la ejecución del acto que origina el amparo</w:t>
      </w:r>
      <w:bookmarkEnd w:id="2145"/>
      <w:r w:rsidRPr="00234417">
        <w:rPr>
          <w:rStyle w:val="TextoNormalCaracter"/>
        </w:rPr>
        <w:t xml:space="preserve">, </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Auto </w:t>
      </w:r>
      <w:hyperlink w:anchor="AUTO_2013_64" w:history="1">
        <w:r w:rsidRPr="00234417">
          <w:rPr>
            <w:rStyle w:val="TextoNormalCaracter"/>
          </w:rPr>
          <w:t>64/2013</w:t>
        </w:r>
      </w:hyperlink>
      <w:r w:rsidRPr="00234417">
        <w:rPr>
          <w:rStyle w:val="TextoNormalCaracter"/>
        </w:rPr>
        <w:t>, f. 1.</w:t>
      </w:r>
    </w:p>
    <w:p w:rsidR="00234417" w:rsidRPr="00234417" w:rsidRDefault="00234417" w:rsidP="00234417">
      <w:pPr>
        <w:pStyle w:val="TextoNormalSangraFrancesa"/>
        <w:rPr>
          <w:rStyle w:val="TextoNormalCaracter"/>
        </w:rPr>
      </w:pPr>
      <w:bookmarkStart w:id="2146" w:name="DESCRIPTORALFABETICO718"/>
      <w:r w:rsidRPr="00234417">
        <w:rPr>
          <w:rStyle w:val="TextoNormalNegritaCaracter"/>
        </w:rPr>
        <w:t>Suspensión de la prescripción de la pena</w:t>
      </w:r>
      <w:bookmarkEnd w:id="2146"/>
      <w:r w:rsidRPr="00234417">
        <w:rPr>
          <w:rStyle w:val="TextoNormalCaracter"/>
        </w:rPr>
        <w:t xml:space="preserve">, Sentencia </w:t>
      </w:r>
      <w:hyperlink w:anchor="SENTENCIA_2013_109" w:history="1">
        <w:r w:rsidRPr="00234417">
          <w:rPr>
            <w:rStyle w:val="TextoNormalCaracter"/>
          </w:rPr>
          <w:t>109/2013</w:t>
        </w:r>
      </w:hyperlink>
      <w:r w:rsidRPr="00234417">
        <w:rPr>
          <w:rStyle w:val="TextoNormalCaracter"/>
        </w:rPr>
        <w:t>, ff. 3 a 5.</w:t>
      </w:r>
    </w:p>
    <w:p w:rsidR="00234417" w:rsidRPr="00234417" w:rsidRDefault="00234417" w:rsidP="00234417">
      <w:pPr>
        <w:pStyle w:val="TextoNormalSangraFrancesa"/>
        <w:rPr>
          <w:rStyle w:val="TextoNormalCaracter"/>
        </w:rPr>
      </w:pPr>
      <w:bookmarkStart w:id="2147" w:name="DESCRIPTORALFABETICO267"/>
      <w:r w:rsidRPr="00234417">
        <w:rPr>
          <w:rStyle w:val="TextoNormalNegritaCaracter"/>
        </w:rPr>
        <w:t>Suspensión del acto objeto del conflicto</w:t>
      </w:r>
      <w:bookmarkEnd w:id="2147"/>
      <w:r w:rsidRPr="00234417">
        <w:rPr>
          <w:rStyle w:val="TextoNormalCaracter"/>
        </w:rPr>
        <w:t xml:space="preserve">, Auto </w:t>
      </w:r>
      <w:hyperlink w:anchor="AUTO_2013_87" w:history="1">
        <w:r w:rsidRPr="00234417">
          <w:rPr>
            <w:rStyle w:val="TextoNormalCaracter"/>
          </w:rPr>
          <w:t>87/2013</w:t>
        </w:r>
      </w:hyperlink>
      <w:r w:rsidRPr="00234417">
        <w:rPr>
          <w:rStyle w:val="TextoNormalCaracter"/>
        </w:rPr>
        <w:t>, f. único.</w:t>
      </w:r>
    </w:p>
    <w:p w:rsidR="00234417" w:rsidRPr="00234417" w:rsidRDefault="00234417" w:rsidP="00234417">
      <w:pPr>
        <w:pStyle w:val="TextoNormalSangraFrancesa"/>
        <w:rPr>
          <w:rStyle w:val="TextoNormalNegritaCaracter"/>
        </w:rPr>
      </w:pPr>
      <w:r w:rsidRPr="00234417">
        <w:rPr>
          <w:rStyle w:val="TextoNormalCursivaCaracter"/>
        </w:rPr>
        <w:t>Suspensión del derecho de sufragio</w:t>
      </w:r>
      <w:r>
        <w:t xml:space="preserve"> véase </w:t>
      </w:r>
      <w:hyperlink w:anchor="DESCRIPTORALFABETICO706" w:history="1">
        <w:r w:rsidRPr="00234417">
          <w:rPr>
            <w:rStyle w:val="TextoNormalNegritaCaracter"/>
          </w:rPr>
          <w:t>Inhabilitación especial para el derecho de sufragio</w:t>
        </w:r>
      </w:hyperlink>
    </w:p>
    <w:p w:rsidR="00234417" w:rsidRPr="00234417" w:rsidRDefault="00234417" w:rsidP="00234417">
      <w:pPr>
        <w:pStyle w:val="TextoNormalSangraFrancesa"/>
        <w:rPr>
          <w:rStyle w:val="TextoNormalCaracter"/>
        </w:rPr>
      </w:pPr>
      <w:bookmarkStart w:id="2148" w:name="DESCRIPTORALFABETICO453"/>
      <w:r w:rsidRPr="00234417">
        <w:rPr>
          <w:rStyle w:val="TextoNormalNegritaCaracter"/>
        </w:rPr>
        <w:t>Sustitución de concejales</w:t>
      </w:r>
      <w:bookmarkEnd w:id="2148"/>
      <w:r w:rsidRPr="00234417">
        <w:rPr>
          <w:rStyle w:val="TextoNormalCaracter"/>
        </w:rPr>
        <w:t xml:space="preserve">, Sentencia </w:t>
      </w:r>
      <w:hyperlink w:anchor="SENTENCIA_2013_125" w:history="1">
        <w:r w:rsidRPr="00234417">
          <w:rPr>
            <w:rStyle w:val="TextoNormalCaracter"/>
          </w:rPr>
          <w:t>125/2013</w:t>
        </w:r>
      </w:hyperlink>
      <w:r w:rsidRPr="00234417">
        <w:rPr>
          <w:rStyle w:val="TextoNormalCaracter"/>
        </w:rPr>
        <w:t>, ff. 4 a 8, VP.</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T</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2149" w:name="DESCRIPTORALFABETICO817"/>
      <w:r w:rsidRPr="00234417">
        <w:rPr>
          <w:rStyle w:val="TextoNormalNegritaCaracter"/>
        </w:rPr>
        <w:t>Tasación de costas</w:t>
      </w:r>
      <w:bookmarkEnd w:id="2149"/>
      <w:r w:rsidRPr="00234417">
        <w:rPr>
          <w:rStyle w:val="TextoNormalCaracter"/>
        </w:rPr>
        <w:t xml:space="preserve">, Sentencias </w:t>
      </w:r>
      <w:hyperlink w:anchor="SENTENCIA_2013_108" w:history="1">
        <w:r w:rsidRPr="00234417">
          <w:rPr>
            <w:rStyle w:val="TextoNormalCaracter"/>
          </w:rPr>
          <w:t>108/2013</w:t>
        </w:r>
      </w:hyperlink>
      <w:r w:rsidRPr="00234417">
        <w:rPr>
          <w:rStyle w:val="TextoNormalCaracter"/>
        </w:rPr>
        <w:t xml:space="preserve">, ff. 4 a 6; </w:t>
      </w:r>
      <w:hyperlink w:anchor="SENTENCIA_2013_121" w:history="1">
        <w:r w:rsidRPr="00234417">
          <w:rPr>
            <w:rStyle w:val="TextoNormalCaracter"/>
          </w:rPr>
          <w:t>121/2013</w:t>
        </w:r>
      </w:hyperlink>
      <w:r w:rsidRPr="00234417">
        <w:rPr>
          <w:rStyle w:val="TextoNormalCaracter"/>
        </w:rPr>
        <w:t>, ff. 4 a 6.</w:t>
      </w:r>
    </w:p>
    <w:p w:rsidR="00234417" w:rsidRPr="00234417" w:rsidRDefault="00234417" w:rsidP="00234417">
      <w:pPr>
        <w:pStyle w:val="TextoNormalSangraFrancesa"/>
        <w:rPr>
          <w:rStyle w:val="TextoNormalNegritaCaracter"/>
        </w:rPr>
      </w:pPr>
      <w:r w:rsidRPr="00234417">
        <w:rPr>
          <w:rStyle w:val="TextoNormalCursivaCaracter"/>
        </w:rPr>
        <w:t>Tasación de costas procesales</w:t>
      </w:r>
      <w:r>
        <w:t xml:space="preserve"> véase </w:t>
      </w:r>
      <w:hyperlink w:anchor="DESCRIPTORALFABETICO817" w:history="1">
        <w:r w:rsidRPr="00234417">
          <w:rPr>
            <w:rStyle w:val="TextoNormalNegritaCaracter"/>
          </w:rPr>
          <w:t>Tasación de costas</w:t>
        </w:r>
      </w:hyperlink>
    </w:p>
    <w:p w:rsidR="00234417" w:rsidRPr="00234417" w:rsidRDefault="00234417" w:rsidP="00234417">
      <w:pPr>
        <w:pStyle w:val="TextoNormalSangraFrancesa"/>
        <w:rPr>
          <w:rStyle w:val="TextoNormalCaracter"/>
        </w:rPr>
      </w:pPr>
      <w:bookmarkStart w:id="2150" w:name="DESCRIPTORALFABETICO842"/>
      <w:r w:rsidRPr="00234417">
        <w:rPr>
          <w:rStyle w:val="TextoNormalNegritaCaracter"/>
        </w:rPr>
        <w:t>Tasación pericial contradictoria</w:t>
      </w:r>
      <w:bookmarkEnd w:id="2150"/>
      <w:r w:rsidRPr="00234417">
        <w:rPr>
          <w:rStyle w:val="TextoNormalCaracter"/>
        </w:rPr>
        <w:t xml:space="preserve">, Sentencia </w:t>
      </w:r>
      <w:hyperlink w:anchor="SENTENCIA_2013_91" w:history="1">
        <w:r w:rsidRPr="00234417">
          <w:rPr>
            <w:rStyle w:val="TextoNormalCaracter"/>
          </w:rPr>
          <w:t>91/2013</w:t>
        </w:r>
      </w:hyperlink>
      <w:r w:rsidRPr="00234417">
        <w:rPr>
          <w:rStyle w:val="TextoNormalCaracter"/>
        </w:rPr>
        <w:t>, f. 4.</w:t>
      </w:r>
    </w:p>
    <w:p w:rsidR="00234417" w:rsidRPr="00234417" w:rsidRDefault="00234417" w:rsidP="00234417">
      <w:pPr>
        <w:pStyle w:val="TextoNormalSangraFrancesa"/>
        <w:rPr>
          <w:rStyle w:val="TextoNormalCaracter"/>
        </w:rPr>
      </w:pPr>
      <w:bookmarkStart w:id="2151" w:name="DESCRIPTORALFABETICO124"/>
      <w:r w:rsidRPr="00234417">
        <w:rPr>
          <w:rStyle w:val="TextoNormalNegritaCaracter"/>
        </w:rPr>
        <w:t>Tasas sanitarias</w:t>
      </w:r>
      <w:bookmarkEnd w:id="2151"/>
      <w:r w:rsidRPr="00234417">
        <w:rPr>
          <w:rStyle w:val="TextoNormalCaracter"/>
        </w:rPr>
        <w:t xml:space="preserve">, Autos </w:t>
      </w:r>
      <w:hyperlink w:anchor="AUTO_2013_122" w:history="1">
        <w:r w:rsidRPr="00234417">
          <w:rPr>
            <w:rStyle w:val="TextoNormalCaracter"/>
          </w:rPr>
          <w:t>122/2013</w:t>
        </w:r>
      </w:hyperlink>
      <w:r w:rsidRPr="00234417">
        <w:rPr>
          <w:rStyle w:val="TextoNormalCaracter"/>
        </w:rPr>
        <w:t xml:space="preserve">, f. 5; </w:t>
      </w:r>
      <w:hyperlink w:anchor="AUTO_2013_142" w:history="1">
        <w:r w:rsidRPr="00234417">
          <w:rPr>
            <w:rStyle w:val="TextoNormalCaracter"/>
          </w:rPr>
          <w:t>142/2013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2152" w:name="DESCRIPTORALFABETICO701"/>
      <w:r w:rsidRPr="00234417">
        <w:rPr>
          <w:rStyle w:val="TextoNormalNegritaCaracter"/>
        </w:rPr>
        <w:t>Técnica legislativa</w:t>
      </w:r>
      <w:bookmarkEnd w:id="2152"/>
      <w:r w:rsidRPr="00234417">
        <w:rPr>
          <w:rStyle w:val="TextoNormalCaracter"/>
        </w:rPr>
        <w:t xml:space="preserve">, Sentencias </w:t>
      </w:r>
      <w:hyperlink w:anchor="SENTENCIA_2013_36" w:history="1">
        <w:r w:rsidRPr="00234417">
          <w:rPr>
            <w:rStyle w:val="TextoNormalCaracter"/>
          </w:rPr>
          <w:t>36/2013</w:t>
        </w:r>
      </w:hyperlink>
      <w:r w:rsidRPr="00234417">
        <w:rPr>
          <w:rStyle w:val="TextoNormalCaracter"/>
        </w:rPr>
        <w:t xml:space="preserve">, f. 6; </w:t>
      </w:r>
      <w:hyperlink w:anchor="SENTENCIA_2013_132" w:history="1">
        <w:r w:rsidRPr="00234417">
          <w:rPr>
            <w:rStyle w:val="TextoNormalCaracter"/>
          </w:rPr>
          <w:t>132/2013</w:t>
        </w:r>
      </w:hyperlink>
      <w:r w:rsidRPr="00234417">
        <w:rPr>
          <w:rStyle w:val="TextoNormalCaracter"/>
        </w:rPr>
        <w:t>, ff. 2 a 4.</w:t>
      </w:r>
    </w:p>
    <w:p w:rsidR="00234417" w:rsidRPr="00234417" w:rsidRDefault="00234417" w:rsidP="00234417">
      <w:pPr>
        <w:pStyle w:val="TextoNormalSangraFrancesa"/>
        <w:rPr>
          <w:rStyle w:val="TextoNormalCaracter"/>
        </w:rPr>
      </w:pPr>
      <w:bookmarkStart w:id="2153" w:name="DESCRIPTORALFABETICO369"/>
      <w:r w:rsidRPr="00234417">
        <w:rPr>
          <w:rStyle w:val="TextoNormalNegritaCaracter"/>
        </w:rPr>
        <w:t>Técnicas de coordinación</w:t>
      </w:r>
      <w:bookmarkEnd w:id="2153"/>
      <w:r w:rsidRPr="00234417">
        <w:rPr>
          <w:rStyle w:val="TextoNormalCaracter"/>
        </w:rPr>
        <w:t xml:space="preserve">, Sentencia </w:t>
      </w:r>
      <w:hyperlink w:anchor="SENTENCIA_2013_49" w:history="1">
        <w:r w:rsidRPr="00234417">
          <w:rPr>
            <w:rStyle w:val="TextoNormalCaracter"/>
          </w:rPr>
          <w:t>49/2013</w:t>
        </w:r>
      </w:hyperlink>
      <w:r w:rsidRPr="00234417">
        <w:rPr>
          <w:rStyle w:val="TextoNormalCaracter"/>
        </w:rPr>
        <w:t>, f. 9.</w:t>
      </w:r>
    </w:p>
    <w:p w:rsidR="00234417" w:rsidRPr="00234417" w:rsidRDefault="00234417" w:rsidP="00234417">
      <w:pPr>
        <w:pStyle w:val="TextoNormalSangraFrancesa"/>
        <w:rPr>
          <w:rStyle w:val="TextoNormalCaracter"/>
        </w:rPr>
      </w:pPr>
      <w:bookmarkStart w:id="2154" w:name="DESCRIPTORALFABETICO884"/>
      <w:r w:rsidRPr="00234417">
        <w:rPr>
          <w:rStyle w:val="TextoNormalNegritaCaracter"/>
        </w:rPr>
        <w:t>Terminación del proceso judicial</w:t>
      </w:r>
      <w:bookmarkEnd w:id="2154"/>
      <w:r w:rsidRPr="00234417">
        <w:rPr>
          <w:rStyle w:val="TextoNormalCaracter"/>
        </w:rPr>
        <w:t xml:space="preserve">, Autos </w:t>
      </w:r>
      <w:hyperlink w:anchor="AUTO_2013_96" w:history="1">
        <w:r w:rsidRPr="00234417">
          <w:rPr>
            <w:rStyle w:val="TextoNormalCaracter"/>
          </w:rPr>
          <w:t>96/2013</w:t>
        </w:r>
      </w:hyperlink>
      <w:r w:rsidRPr="00234417">
        <w:rPr>
          <w:rStyle w:val="TextoNormalCaracter"/>
        </w:rPr>
        <w:t xml:space="preserve">, f. único; </w:t>
      </w:r>
      <w:hyperlink w:anchor="AUTO_2013_126" w:history="1">
        <w:r w:rsidRPr="00234417">
          <w:rPr>
            <w:rStyle w:val="TextoNormalCaracter"/>
          </w:rPr>
          <w:t>126/2013</w:t>
        </w:r>
      </w:hyperlink>
      <w:r w:rsidRPr="00234417">
        <w:rPr>
          <w:rStyle w:val="TextoNormalCaracter"/>
        </w:rPr>
        <w:t>, f. único.</w:t>
      </w:r>
    </w:p>
    <w:p w:rsidR="00234417" w:rsidRPr="00234417" w:rsidRDefault="00234417" w:rsidP="00234417">
      <w:pPr>
        <w:pStyle w:val="TextoNormalSangraFrancesa"/>
        <w:rPr>
          <w:rStyle w:val="TextoNormalCaracter"/>
        </w:rPr>
      </w:pPr>
      <w:bookmarkStart w:id="2155" w:name="DESCRIPTORALFABETICO886"/>
      <w:r w:rsidRPr="00234417">
        <w:rPr>
          <w:rStyle w:val="TextoNormalNegritaCaracter"/>
        </w:rPr>
        <w:t>Terminación del proceso por pérdida sobrevenida de objeto</w:t>
      </w:r>
      <w:bookmarkEnd w:id="2155"/>
      <w:r w:rsidRPr="00234417">
        <w:rPr>
          <w:rStyle w:val="TextoNormalCaracter"/>
        </w:rPr>
        <w:t xml:space="preserve">, Sentencia </w:t>
      </w:r>
      <w:hyperlink w:anchor="SENTENCIA_2013_44" w:history="1">
        <w:r w:rsidRPr="00234417">
          <w:rPr>
            <w:rStyle w:val="TextoNormalCaracter"/>
          </w:rPr>
          <w:t>44/2013</w:t>
        </w:r>
      </w:hyperlink>
      <w:r w:rsidRPr="00234417">
        <w:rPr>
          <w:rStyle w:val="TextoNormalCaracter"/>
        </w:rPr>
        <w:t>, f. 4.</w:t>
      </w:r>
    </w:p>
    <w:p w:rsidR="00234417" w:rsidRPr="00234417" w:rsidRDefault="00234417" w:rsidP="00234417">
      <w:pPr>
        <w:pStyle w:val="TextoNormalSangraFrancesa"/>
        <w:rPr>
          <w:rStyle w:val="TextoNormalCaracter"/>
        </w:rPr>
      </w:pPr>
      <w:bookmarkStart w:id="2156" w:name="DESCRIPTORALFABETICO860"/>
      <w:r w:rsidRPr="00234417">
        <w:rPr>
          <w:rStyle w:val="TextoNormalNegritaCaracter"/>
        </w:rPr>
        <w:t>Término inicial</w:t>
      </w:r>
      <w:bookmarkEnd w:id="2156"/>
      <w:r w:rsidRPr="00234417">
        <w:rPr>
          <w:rStyle w:val="TextoNormalCaracter"/>
        </w:rPr>
        <w:t xml:space="preserve">, Auto </w:t>
      </w:r>
      <w:hyperlink w:anchor="AUTO_2013_143" w:history="1">
        <w:r w:rsidRPr="00234417">
          <w:rPr>
            <w:rStyle w:val="TextoNormalCaracter"/>
          </w:rPr>
          <w:t>143/2013</w:t>
        </w:r>
      </w:hyperlink>
      <w:r w:rsidRPr="00234417">
        <w:rPr>
          <w:rStyle w:val="TextoNormalCaracter"/>
        </w:rPr>
        <w:t>, f. 2.</w:t>
      </w:r>
    </w:p>
    <w:p w:rsidR="00234417" w:rsidRPr="00234417" w:rsidRDefault="00234417" w:rsidP="00234417">
      <w:pPr>
        <w:pStyle w:val="TextoNormalSangraFrancesa"/>
        <w:rPr>
          <w:rStyle w:val="TextoNormalCaracter"/>
        </w:rPr>
      </w:pPr>
      <w:bookmarkStart w:id="2157" w:name="DESCRIPTORALFABETICO103"/>
      <w:r w:rsidRPr="00234417">
        <w:rPr>
          <w:rStyle w:val="TextoNormalNegritaCaracter"/>
        </w:rPr>
        <w:t>Territorialización de partidas presupuestarias</w:t>
      </w:r>
      <w:bookmarkEnd w:id="2157"/>
      <w:r w:rsidRPr="00234417">
        <w:rPr>
          <w:rStyle w:val="TextoNormalCaracter"/>
        </w:rPr>
        <w:t xml:space="preserve">, Sentencias </w:t>
      </w:r>
      <w:hyperlink w:anchor="SENTENCIA_2013_21" w:history="1">
        <w:r w:rsidRPr="00234417">
          <w:rPr>
            <w:rStyle w:val="TextoNormalCaracter"/>
          </w:rPr>
          <w:t>21/2013</w:t>
        </w:r>
      </w:hyperlink>
      <w:r w:rsidRPr="00234417">
        <w:rPr>
          <w:rStyle w:val="TextoNormalCaracter"/>
        </w:rPr>
        <w:t xml:space="preserve">, f. 6; </w:t>
      </w:r>
      <w:hyperlink w:anchor="SENTENCIA_2013_23" w:history="1">
        <w:r w:rsidRPr="00234417">
          <w:rPr>
            <w:rStyle w:val="TextoNormalCaracter"/>
          </w:rPr>
          <w:t>23/2013</w:t>
        </w:r>
      </w:hyperlink>
      <w:r w:rsidRPr="00234417">
        <w:rPr>
          <w:rStyle w:val="TextoNormalCaracter"/>
        </w:rPr>
        <w:t xml:space="preserve">, f. 5; </w:t>
      </w:r>
      <w:hyperlink w:anchor="SENTENCIA_2013_26" w:history="1">
        <w:r w:rsidRPr="00234417">
          <w:rPr>
            <w:rStyle w:val="TextoNormalCaracter"/>
          </w:rPr>
          <w:t>26/2013</w:t>
        </w:r>
      </w:hyperlink>
      <w:r w:rsidRPr="00234417">
        <w:rPr>
          <w:rStyle w:val="TextoNormalCaracter"/>
        </w:rPr>
        <w:t xml:space="preserve">, f. 7; </w:t>
      </w:r>
      <w:hyperlink w:anchor="SENTENCIA_2013_40" w:history="1">
        <w:r w:rsidRPr="00234417">
          <w:rPr>
            <w:rStyle w:val="TextoNormalCaracter"/>
          </w:rPr>
          <w:t>40/2013</w:t>
        </w:r>
      </w:hyperlink>
      <w:r w:rsidRPr="00234417">
        <w:rPr>
          <w:rStyle w:val="TextoNormalCaracter"/>
        </w:rPr>
        <w:t xml:space="preserve">, f. 6; </w:t>
      </w:r>
      <w:hyperlink w:anchor="SENTENCIA_2013_52" w:history="1">
        <w:r w:rsidRPr="00234417">
          <w:rPr>
            <w:rStyle w:val="TextoNormalCaracter"/>
          </w:rPr>
          <w:t>52/2013</w:t>
        </w:r>
      </w:hyperlink>
      <w:r w:rsidRPr="00234417">
        <w:rPr>
          <w:rStyle w:val="TextoNormalCaracter"/>
        </w:rPr>
        <w:t xml:space="preserve">, ff. 6, 7; </w:t>
      </w:r>
      <w:hyperlink w:anchor="SENTENCIA_2013_70" w:history="1">
        <w:r w:rsidRPr="00234417">
          <w:rPr>
            <w:rStyle w:val="TextoNormalCaracter"/>
          </w:rPr>
          <w:t>70/2013</w:t>
        </w:r>
      </w:hyperlink>
      <w:r w:rsidRPr="00234417">
        <w:rPr>
          <w:rStyle w:val="TextoNormalCaracter"/>
        </w:rPr>
        <w:t xml:space="preserve">, ff. 6, 7; </w:t>
      </w:r>
      <w:hyperlink w:anchor="SENTENCIA_2013_112" w:history="1">
        <w:r w:rsidRPr="00234417">
          <w:rPr>
            <w:rStyle w:val="TextoNormalCaracter"/>
          </w:rPr>
          <w:t>112/2013</w:t>
        </w:r>
      </w:hyperlink>
      <w:r w:rsidRPr="00234417">
        <w:rPr>
          <w:rStyle w:val="TextoNormalCaracter"/>
        </w:rPr>
        <w:t xml:space="preserve">, f. 3; </w:t>
      </w:r>
      <w:hyperlink w:anchor="SENTENCIA_2013_113" w:history="1">
        <w:r w:rsidRPr="00234417">
          <w:rPr>
            <w:rStyle w:val="TextoNormalCaracter"/>
          </w:rPr>
          <w:t>113/2013</w:t>
        </w:r>
      </w:hyperlink>
      <w:r w:rsidRPr="00234417">
        <w:rPr>
          <w:rStyle w:val="TextoNormalCaracter"/>
        </w:rPr>
        <w:t xml:space="preserve">, ff. 4 a 7; </w:t>
      </w:r>
      <w:hyperlink w:anchor="SENTENCIA_2013_130" w:history="1">
        <w:r w:rsidRPr="00234417">
          <w:rPr>
            <w:rStyle w:val="TextoNormalCaracter"/>
          </w:rPr>
          <w:t>130/2013</w:t>
        </w:r>
      </w:hyperlink>
      <w:r w:rsidRPr="00234417">
        <w:rPr>
          <w:rStyle w:val="TextoNormalCaracter"/>
        </w:rPr>
        <w:t xml:space="preserve">, f. 8; </w:t>
      </w:r>
      <w:hyperlink w:anchor="SENTENCIA_2013_135" w:history="1">
        <w:r w:rsidRPr="00234417">
          <w:rPr>
            <w:rStyle w:val="TextoNormalCaracter"/>
          </w:rPr>
          <w:t>135/2013</w:t>
        </w:r>
      </w:hyperlink>
      <w:r w:rsidRPr="00234417">
        <w:rPr>
          <w:rStyle w:val="TextoNormalCaracter"/>
        </w:rPr>
        <w:t>, f. 3.</w:t>
      </w:r>
    </w:p>
    <w:p w:rsidR="00234417" w:rsidRPr="00234417" w:rsidRDefault="00234417" w:rsidP="00234417">
      <w:pPr>
        <w:pStyle w:val="TextoNormalSangraFrancesa"/>
        <w:rPr>
          <w:rStyle w:val="TextoNormalCaracter"/>
        </w:rPr>
      </w:pPr>
      <w:bookmarkStart w:id="2158" w:name="DESCRIPTORALFABETICO463"/>
      <w:r w:rsidRPr="00234417">
        <w:rPr>
          <w:rStyle w:val="TextoNormalNegritaCaracter"/>
        </w:rPr>
        <w:t>Territorio</w:t>
      </w:r>
      <w:bookmarkEnd w:id="2158"/>
      <w:r w:rsidRPr="00234417">
        <w:rPr>
          <w:rStyle w:val="TextoNormalCaracter"/>
        </w:rPr>
        <w:t xml:space="preserve">, Sentencia </w:t>
      </w:r>
      <w:hyperlink w:anchor="SENTENCIA_2013_99" w:history="1">
        <w:r w:rsidRPr="00234417">
          <w:rPr>
            <w:rStyle w:val="TextoNormalCaracter"/>
          </w:rPr>
          <w:t>99/2013</w:t>
        </w:r>
      </w:hyperlink>
      <w:r w:rsidRPr="00234417">
        <w:rPr>
          <w:rStyle w:val="TextoNormalCaracter"/>
        </w:rPr>
        <w:t>, ff. 4 a 8.</w:t>
      </w:r>
    </w:p>
    <w:p w:rsidR="00234417" w:rsidRPr="00234417" w:rsidRDefault="00234417" w:rsidP="00234417">
      <w:pPr>
        <w:pStyle w:val="TextoNormalSangraFrancesa"/>
        <w:rPr>
          <w:rStyle w:val="TextoNormalCaracter"/>
        </w:rPr>
      </w:pPr>
      <w:bookmarkStart w:id="2159" w:name="DESCRIPTORALFABETICO466"/>
      <w:r w:rsidRPr="00234417">
        <w:rPr>
          <w:rStyle w:val="TextoNormalNegritaCaracter"/>
        </w:rPr>
        <w:t>Territorio de la Comunidad Autónoma</w:t>
      </w:r>
      <w:bookmarkEnd w:id="2159"/>
      <w:r w:rsidRPr="00234417">
        <w:rPr>
          <w:rStyle w:val="TextoNormalCaracter"/>
        </w:rPr>
        <w:t xml:space="preserve">, Sentencia </w:t>
      </w:r>
      <w:hyperlink w:anchor="SENTENCIA_2013_8" w:history="1">
        <w:r w:rsidRPr="00234417">
          <w:rPr>
            <w:rStyle w:val="TextoNormalCaracter"/>
          </w:rPr>
          <w:t>8/2013</w:t>
        </w:r>
      </w:hyperlink>
      <w:r w:rsidRPr="00234417">
        <w:rPr>
          <w:rStyle w:val="TextoNormalCaracter"/>
        </w:rPr>
        <w:t>, f. 5.</w:t>
      </w:r>
    </w:p>
    <w:p w:rsidR="00234417" w:rsidRPr="00234417" w:rsidRDefault="00234417" w:rsidP="00234417">
      <w:pPr>
        <w:pStyle w:val="TextoNormalSangraFrancesa"/>
        <w:rPr>
          <w:rStyle w:val="TextoNormalCaracter"/>
        </w:rPr>
      </w:pPr>
      <w:bookmarkStart w:id="2160" w:name="DESCRIPTORALFABETICO468"/>
      <w:r w:rsidRPr="00234417">
        <w:rPr>
          <w:rStyle w:val="TextoNormalNegritaCaracter"/>
        </w:rPr>
        <w:t>Territorios forales</w:t>
      </w:r>
      <w:bookmarkEnd w:id="2160"/>
      <w:r w:rsidRPr="00234417">
        <w:rPr>
          <w:rStyle w:val="TextoNormalCaracter"/>
        </w:rPr>
        <w:t xml:space="preserve">, Sentencia </w:t>
      </w:r>
      <w:hyperlink w:anchor="SENTENCIA_2013_85" w:history="1">
        <w:r w:rsidRPr="00234417">
          <w:rPr>
            <w:rStyle w:val="TextoNormalCaracter"/>
          </w:rPr>
          <w:t>85/2013</w:t>
        </w:r>
      </w:hyperlink>
      <w:r w:rsidRPr="00234417">
        <w:rPr>
          <w:rStyle w:val="TextoNormalCaracter"/>
        </w:rPr>
        <w:t>, f- 5.</w:t>
      </w:r>
    </w:p>
    <w:p w:rsidR="00234417" w:rsidRPr="00234417" w:rsidRDefault="00234417" w:rsidP="00234417">
      <w:pPr>
        <w:pStyle w:val="TextoNormalSangraFrancesa"/>
        <w:rPr>
          <w:rStyle w:val="TextoNormalCaracter"/>
        </w:rPr>
      </w:pPr>
      <w:bookmarkStart w:id="2161" w:name="DESCRIPTORALFABETICO846"/>
      <w:r w:rsidRPr="00234417">
        <w:rPr>
          <w:rStyle w:val="TextoNormalNegritaCaracter"/>
        </w:rPr>
        <w:lastRenderedPageBreak/>
        <w:t>Testigos</w:t>
      </w:r>
      <w:bookmarkEnd w:id="2161"/>
      <w:r w:rsidRPr="00234417">
        <w:rPr>
          <w:rStyle w:val="TextoNormalCaracter"/>
        </w:rPr>
        <w:t xml:space="preserve">, Sentencia </w:t>
      </w:r>
      <w:hyperlink w:anchor="SENTENCIA_2013_75" w:history="1">
        <w:r w:rsidRPr="00234417">
          <w:rPr>
            <w:rStyle w:val="TextoNormalCaracter"/>
          </w:rPr>
          <w:t>75/2013</w:t>
        </w:r>
      </w:hyperlink>
      <w:r w:rsidRPr="00234417">
        <w:rPr>
          <w:rStyle w:val="TextoNormalCaracter"/>
        </w:rPr>
        <w:t>, ff. 3 a 6.</w:t>
      </w:r>
    </w:p>
    <w:p w:rsidR="00234417" w:rsidRPr="00234417" w:rsidRDefault="00234417" w:rsidP="00234417">
      <w:pPr>
        <w:pStyle w:val="TextoNormalSangraFrancesa"/>
        <w:rPr>
          <w:rStyle w:val="TextoNormalCaracter"/>
        </w:rPr>
      </w:pPr>
      <w:bookmarkStart w:id="2162" w:name="DESCRIPTORALFABETICO847"/>
      <w:r w:rsidRPr="00234417">
        <w:rPr>
          <w:rStyle w:val="TextoNormalNegritaCaracter"/>
        </w:rPr>
        <w:t>Testigos anónimos</w:t>
      </w:r>
      <w:bookmarkEnd w:id="2162"/>
      <w:r w:rsidRPr="00234417">
        <w:rPr>
          <w:rStyle w:val="TextoNormalCaracter"/>
        </w:rPr>
        <w:t xml:space="preserve">, Sentencia </w:t>
      </w:r>
      <w:hyperlink w:anchor="SENTENCIA_2013_75" w:history="1">
        <w:r w:rsidRPr="00234417">
          <w:rPr>
            <w:rStyle w:val="TextoNormalCaracter"/>
          </w:rPr>
          <w:t>75/2013</w:t>
        </w:r>
      </w:hyperlink>
      <w:r w:rsidRPr="00234417">
        <w:rPr>
          <w:rStyle w:val="TextoNormalCaracter"/>
        </w:rPr>
        <w:t>, ff. 2, 4, 5.</w:t>
      </w:r>
    </w:p>
    <w:p w:rsidR="00234417" w:rsidRPr="00234417" w:rsidRDefault="00234417" w:rsidP="00234417">
      <w:pPr>
        <w:pStyle w:val="TextoNormalSangraFrancesa"/>
        <w:rPr>
          <w:rStyle w:val="TextoNormalCaracter"/>
        </w:rPr>
      </w:pPr>
      <w:bookmarkStart w:id="2163" w:name="DESCRIPTORALFABETICO848"/>
      <w:r w:rsidRPr="00234417">
        <w:rPr>
          <w:rStyle w:val="TextoNormalNegritaCaracter"/>
        </w:rPr>
        <w:t>Testigos de cargo</w:t>
      </w:r>
      <w:bookmarkEnd w:id="2163"/>
      <w:r w:rsidRPr="00234417">
        <w:rPr>
          <w:rStyle w:val="TextoNormalCaracter"/>
        </w:rPr>
        <w:t xml:space="preserve">, Sentencia </w:t>
      </w:r>
      <w:hyperlink w:anchor="SENTENCIA_2013_75" w:history="1">
        <w:r w:rsidRPr="00234417">
          <w:rPr>
            <w:rStyle w:val="TextoNormalCaracter"/>
          </w:rPr>
          <w:t>75/2013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2164" w:name="DESCRIPTORALFABETICO849"/>
      <w:r w:rsidRPr="00234417">
        <w:rPr>
          <w:rStyle w:val="TextoNormalNegritaCaracter"/>
        </w:rPr>
        <w:t>Testigos ocultos</w:t>
      </w:r>
      <w:bookmarkEnd w:id="2164"/>
      <w:r w:rsidRPr="00234417">
        <w:rPr>
          <w:rStyle w:val="TextoNormalCaracter"/>
        </w:rPr>
        <w:t xml:space="preserve">, Sentencias </w:t>
      </w:r>
      <w:hyperlink w:anchor="SENTENCIA_2013_57" w:history="1">
        <w:r w:rsidRPr="00234417">
          <w:rPr>
            <w:rStyle w:val="TextoNormalCaracter"/>
          </w:rPr>
          <w:t>57/2013</w:t>
        </w:r>
      </w:hyperlink>
      <w:r w:rsidRPr="00234417">
        <w:rPr>
          <w:rStyle w:val="TextoNormalCaracter"/>
        </w:rPr>
        <w:t xml:space="preserve">, ff. 2 a 6; </w:t>
      </w:r>
      <w:hyperlink w:anchor="SENTENCIA_2013_75" w:history="1">
        <w:r w:rsidRPr="00234417">
          <w:rPr>
            <w:rStyle w:val="TextoNormalCaracter"/>
          </w:rPr>
          <w:t>75/2013</w:t>
        </w:r>
      </w:hyperlink>
      <w:r w:rsidRPr="00234417">
        <w:rPr>
          <w:rStyle w:val="TextoNormalCaracter"/>
        </w:rPr>
        <w:t>, f. 4.</w:t>
      </w:r>
    </w:p>
    <w:p w:rsidR="00234417" w:rsidRPr="00234417" w:rsidRDefault="00234417" w:rsidP="00234417">
      <w:pPr>
        <w:pStyle w:val="TextoNormalSangraFrancesa"/>
        <w:rPr>
          <w:rStyle w:val="TextoNormalCaracter"/>
        </w:rPr>
      </w:pPr>
      <w:bookmarkStart w:id="2165" w:name="DESCRIPTORALFABETICO850"/>
      <w:r w:rsidRPr="00234417">
        <w:rPr>
          <w:rStyle w:val="TextoNormalNegritaCaracter"/>
        </w:rPr>
        <w:t>Testimonio de referencia</w:t>
      </w:r>
      <w:bookmarkEnd w:id="2165"/>
      <w:r w:rsidRPr="00234417">
        <w:rPr>
          <w:rStyle w:val="TextoNormalCaracter"/>
        </w:rPr>
        <w:t xml:space="preserve">, Sentencia </w:t>
      </w:r>
      <w:hyperlink w:anchor="SENTENCIA_2013_57" w:history="1">
        <w:r w:rsidRPr="00234417">
          <w:rPr>
            <w:rStyle w:val="TextoNormalCaracter"/>
          </w:rPr>
          <w:t>57/2013</w:t>
        </w:r>
      </w:hyperlink>
      <w:r w:rsidRPr="00234417">
        <w:rPr>
          <w:rStyle w:val="TextoNormalCaracter"/>
        </w:rPr>
        <w:t>, ff. 3, 6.</w:t>
      </w:r>
    </w:p>
    <w:p w:rsidR="00234417" w:rsidRPr="00234417" w:rsidRDefault="00234417" w:rsidP="00234417">
      <w:pPr>
        <w:pStyle w:val="TextoNormalSangraFrancesa"/>
        <w:rPr>
          <w:rStyle w:val="TextoNormalNegritaCaracter"/>
        </w:rPr>
      </w:pPr>
      <w:r w:rsidRPr="00234417">
        <w:rPr>
          <w:rStyle w:val="TextoNormalCursivaCaracter"/>
        </w:rPr>
        <w:t>Titularidad por las personas jurídicas de Derecho público</w:t>
      </w:r>
      <w:r>
        <w:t xml:space="preserve"> véase </w:t>
      </w:r>
      <w:hyperlink w:anchor="DESCRIPTORALFABETICO210" w:history="1">
        <w:r w:rsidRPr="00234417">
          <w:rPr>
            <w:rStyle w:val="TextoNormalNegritaCaracter"/>
          </w:rPr>
          <w:t>Titularidad por las personas jurídicas públicas</w:t>
        </w:r>
      </w:hyperlink>
    </w:p>
    <w:p w:rsidR="00234417" w:rsidRPr="00234417" w:rsidRDefault="00234417" w:rsidP="00234417">
      <w:pPr>
        <w:pStyle w:val="TextoNormalSangraFrancesa"/>
        <w:rPr>
          <w:rStyle w:val="TextoNormalCaracter"/>
        </w:rPr>
      </w:pPr>
      <w:bookmarkStart w:id="2166" w:name="DESCRIPTORALFABETICO210"/>
      <w:r w:rsidRPr="00234417">
        <w:rPr>
          <w:rStyle w:val="TextoNormalNegritaCaracter"/>
        </w:rPr>
        <w:t>Titularidad por las personas jurídicas públicas</w:t>
      </w:r>
      <w:bookmarkEnd w:id="2166"/>
      <w:r w:rsidRPr="00234417">
        <w:rPr>
          <w:rStyle w:val="TextoNormalCaracter"/>
        </w:rPr>
        <w:t xml:space="preserve">, Sentencias </w:t>
      </w:r>
      <w:hyperlink w:anchor="SENTENCIA_2013_20" w:history="1">
        <w:r w:rsidRPr="00234417">
          <w:rPr>
            <w:rStyle w:val="TextoNormalCaracter"/>
          </w:rPr>
          <w:t>20/2013</w:t>
        </w:r>
      </w:hyperlink>
      <w:r w:rsidRPr="00234417">
        <w:rPr>
          <w:rStyle w:val="TextoNormalCaracter"/>
        </w:rPr>
        <w:t xml:space="preserve">, f. 10; </w:t>
      </w:r>
      <w:hyperlink w:anchor="SENTENCIA_2013_67" w:history="1">
        <w:r w:rsidRPr="00234417">
          <w:rPr>
            <w:rStyle w:val="TextoNormalCaracter"/>
          </w:rPr>
          <w:t>67/2013</w:t>
        </w:r>
      </w:hyperlink>
      <w:r w:rsidRPr="00234417">
        <w:rPr>
          <w:rStyle w:val="TextoNormalCaracter"/>
        </w:rPr>
        <w:t xml:space="preserve">, f. 2; </w:t>
      </w:r>
      <w:hyperlink w:anchor="SENTENCIA_2013_68" w:history="1">
        <w:r w:rsidRPr="00234417">
          <w:rPr>
            <w:rStyle w:val="TextoNormalCaracter"/>
          </w:rPr>
          <w:t>68/2013</w:t>
        </w:r>
      </w:hyperlink>
      <w:r w:rsidRPr="00234417">
        <w:rPr>
          <w:rStyle w:val="TextoNormalCaracter"/>
        </w:rPr>
        <w:t>, f. 4.</w:t>
      </w:r>
    </w:p>
    <w:p w:rsidR="00234417" w:rsidRPr="00234417" w:rsidRDefault="00234417" w:rsidP="00234417">
      <w:pPr>
        <w:pStyle w:val="TextoNormalSangraFrancesa"/>
        <w:rPr>
          <w:rStyle w:val="TextoNormalCaracter"/>
        </w:rPr>
      </w:pPr>
      <w:bookmarkStart w:id="2167" w:name="DESCRIPTORALFABETICO31"/>
      <w:r w:rsidRPr="00234417">
        <w:rPr>
          <w:rStyle w:val="TextoNormalNegritaCaracter"/>
        </w:rPr>
        <w:t>Títulos competenciales</w:t>
      </w:r>
      <w:bookmarkEnd w:id="2167"/>
      <w:r w:rsidRPr="00234417">
        <w:rPr>
          <w:rStyle w:val="TextoNormalCaracter"/>
        </w:rPr>
        <w:t xml:space="preserve">, Sentencias </w:t>
      </w:r>
      <w:hyperlink w:anchor="SENTENCIA_2013_5" w:history="1">
        <w:r w:rsidRPr="00234417">
          <w:rPr>
            <w:rStyle w:val="TextoNormalCaracter"/>
          </w:rPr>
          <w:t>5/2013</w:t>
        </w:r>
      </w:hyperlink>
      <w:r w:rsidRPr="00234417">
        <w:rPr>
          <w:rStyle w:val="TextoNormalCaracter"/>
        </w:rPr>
        <w:t xml:space="preserve">, f. 7; </w:t>
      </w:r>
      <w:hyperlink w:anchor="SENTENCIA_2013_15" w:history="1">
        <w:r w:rsidRPr="00234417">
          <w:rPr>
            <w:rStyle w:val="TextoNormalCaracter"/>
          </w:rPr>
          <w:t>15/2013</w:t>
        </w:r>
      </w:hyperlink>
      <w:r w:rsidRPr="00234417">
        <w:rPr>
          <w:rStyle w:val="TextoNormalCaracter"/>
        </w:rPr>
        <w:t xml:space="preserve">, f. 3; </w:t>
      </w:r>
      <w:hyperlink w:anchor="SENTENCIA_2013_21" w:history="1">
        <w:r w:rsidRPr="00234417">
          <w:rPr>
            <w:rStyle w:val="TextoNormalCaracter"/>
          </w:rPr>
          <w:t>21/2013</w:t>
        </w:r>
      </w:hyperlink>
      <w:r w:rsidRPr="00234417">
        <w:rPr>
          <w:rStyle w:val="TextoNormalCaracter"/>
        </w:rPr>
        <w:t xml:space="preserve">, f. 3; </w:t>
      </w:r>
      <w:hyperlink w:anchor="SENTENCIA_2013_24" w:history="1">
        <w:r w:rsidRPr="00234417">
          <w:rPr>
            <w:rStyle w:val="TextoNormalCaracter"/>
          </w:rPr>
          <w:t>24/2013</w:t>
        </w:r>
      </w:hyperlink>
      <w:r w:rsidRPr="00234417">
        <w:rPr>
          <w:rStyle w:val="TextoNormalCaracter"/>
        </w:rPr>
        <w:t xml:space="preserve">, f. 7; </w:t>
      </w:r>
      <w:hyperlink w:anchor="SENTENCIA_2013_34" w:history="1">
        <w:r w:rsidRPr="00234417">
          <w:rPr>
            <w:rStyle w:val="TextoNormalCaracter"/>
          </w:rPr>
          <w:t>34/2013</w:t>
        </w:r>
      </w:hyperlink>
      <w:r w:rsidRPr="00234417">
        <w:rPr>
          <w:rStyle w:val="TextoNormalCaracter"/>
        </w:rPr>
        <w:t xml:space="preserve">, ff. 4, 5; </w:t>
      </w:r>
      <w:hyperlink w:anchor="SENTENCIA_2013_37" w:history="1">
        <w:r w:rsidRPr="00234417">
          <w:rPr>
            <w:rStyle w:val="TextoNormalCaracter"/>
          </w:rPr>
          <w:t>37/2013</w:t>
        </w:r>
      </w:hyperlink>
      <w:r w:rsidRPr="00234417">
        <w:rPr>
          <w:rStyle w:val="TextoNormalCaracter"/>
        </w:rPr>
        <w:t xml:space="preserve">, ff. 2 a 6; </w:t>
      </w:r>
      <w:hyperlink w:anchor="SENTENCIA_2013_40" w:history="1">
        <w:r w:rsidRPr="00234417">
          <w:rPr>
            <w:rStyle w:val="TextoNormalCaracter"/>
          </w:rPr>
          <w:t>40/2013</w:t>
        </w:r>
      </w:hyperlink>
      <w:r w:rsidRPr="00234417">
        <w:rPr>
          <w:rStyle w:val="TextoNormalCaracter"/>
        </w:rPr>
        <w:t xml:space="preserve">, f. 3; </w:t>
      </w:r>
      <w:hyperlink w:anchor="SENTENCIA_2013_48" w:history="1">
        <w:r w:rsidRPr="00234417">
          <w:rPr>
            <w:rStyle w:val="TextoNormalCaracter"/>
          </w:rPr>
          <w:t>48/2013</w:t>
        </w:r>
      </w:hyperlink>
      <w:r w:rsidRPr="00234417">
        <w:rPr>
          <w:rStyle w:val="TextoNormalCaracter"/>
        </w:rPr>
        <w:t xml:space="preserve">, ff. 3, 4; </w:t>
      </w:r>
      <w:hyperlink w:anchor="SENTENCIA_2013_52" w:history="1">
        <w:r w:rsidRPr="00234417">
          <w:rPr>
            <w:rStyle w:val="TextoNormalCaracter"/>
          </w:rPr>
          <w:t>52/2013</w:t>
        </w:r>
      </w:hyperlink>
      <w:r w:rsidRPr="00234417">
        <w:rPr>
          <w:rStyle w:val="TextoNormalCaracter"/>
        </w:rPr>
        <w:t xml:space="preserve">, f. 3; </w:t>
      </w:r>
      <w:hyperlink w:anchor="SENTENCIA_2013_69" w:history="1">
        <w:r w:rsidRPr="00234417">
          <w:rPr>
            <w:rStyle w:val="TextoNormalCaracter"/>
          </w:rPr>
          <w:t>69/2013</w:t>
        </w:r>
      </w:hyperlink>
      <w:r w:rsidRPr="00234417">
        <w:rPr>
          <w:rStyle w:val="TextoNormalCaracter"/>
        </w:rPr>
        <w:t xml:space="preserve">, ff. 2, 3; </w:t>
      </w:r>
      <w:hyperlink w:anchor="SENTENCIA_2013_70" w:history="1">
        <w:r w:rsidRPr="00234417">
          <w:rPr>
            <w:rStyle w:val="TextoNormalCaracter"/>
          </w:rPr>
          <w:t>70/2013</w:t>
        </w:r>
      </w:hyperlink>
      <w:r w:rsidRPr="00234417">
        <w:rPr>
          <w:rStyle w:val="TextoNormalCaracter"/>
        </w:rPr>
        <w:t xml:space="preserve">, f. 2; </w:t>
      </w:r>
      <w:hyperlink w:anchor="SENTENCIA_2013_80" w:history="1">
        <w:r w:rsidRPr="00234417">
          <w:rPr>
            <w:rStyle w:val="TextoNormalCaracter"/>
          </w:rPr>
          <w:t>80/2013</w:t>
        </w:r>
      </w:hyperlink>
      <w:r w:rsidRPr="00234417">
        <w:rPr>
          <w:rStyle w:val="TextoNormalCaracter"/>
        </w:rPr>
        <w:t xml:space="preserve">, f. 3; </w:t>
      </w:r>
      <w:hyperlink w:anchor="SENTENCIA_2013_82" w:history="1">
        <w:r w:rsidRPr="00234417">
          <w:rPr>
            <w:rStyle w:val="TextoNormalCaracter"/>
          </w:rPr>
          <w:t>82/2013</w:t>
        </w:r>
      </w:hyperlink>
      <w:r w:rsidRPr="00234417">
        <w:rPr>
          <w:rStyle w:val="TextoNormalCaracter"/>
        </w:rPr>
        <w:t xml:space="preserve">, ff. 3, 4; </w:t>
      </w:r>
      <w:hyperlink w:anchor="SENTENCIA_2013_95" w:history="1">
        <w:r w:rsidRPr="00234417">
          <w:rPr>
            <w:rStyle w:val="TextoNormalCaracter"/>
          </w:rPr>
          <w:t>95/2013</w:t>
        </w:r>
      </w:hyperlink>
      <w:r w:rsidRPr="00234417">
        <w:rPr>
          <w:rStyle w:val="TextoNormalCaracter"/>
        </w:rPr>
        <w:t xml:space="preserve">, ff. 2 a 7, VP; </w:t>
      </w:r>
      <w:hyperlink w:anchor="SENTENCIA_2013_130" w:history="1">
        <w:r w:rsidRPr="00234417">
          <w:rPr>
            <w:rStyle w:val="TextoNormalCaracter"/>
          </w:rPr>
          <w:t>130/2013</w:t>
        </w:r>
      </w:hyperlink>
      <w:r w:rsidRPr="00234417">
        <w:rPr>
          <w:rStyle w:val="TextoNormalCaracter"/>
        </w:rPr>
        <w:t xml:space="preserve">, ff. 3, 5, 7, 12, VP; </w:t>
      </w:r>
      <w:hyperlink w:anchor="SENTENCIA_2013_135" w:history="1">
        <w:r w:rsidRPr="00234417">
          <w:rPr>
            <w:rStyle w:val="TextoNormalCaracter"/>
          </w:rPr>
          <w:t>135/2013</w:t>
        </w:r>
      </w:hyperlink>
      <w:r w:rsidRPr="00234417">
        <w:rPr>
          <w:rStyle w:val="TextoNormalCaracter"/>
        </w:rPr>
        <w:t xml:space="preserve">, f. 4; </w:t>
      </w:r>
      <w:hyperlink w:anchor="SENTENCIA_2013_138" w:history="1">
        <w:r w:rsidRPr="00234417">
          <w:rPr>
            <w:rStyle w:val="TextoNormalCaracter"/>
          </w:rPr>
          <w:t>138/2013</w:t>
        </w:r>
      </w:hyperlink>
      <w:r w:rsidRPr="00234417">
        <w:rPr>
          <w:rStyle w:val="TextoNormalCaracter"/>
        </w:rPr>
        <w:t>, f. 10.</w:t>
      </w:r>
    </w:p>
    <w:p w:rsidR="00234417" w:rsidRPr="00234417" w:rsidRDefault="00234417" w:rsidP="00234417">
      <w:pPr>
        <w:pStyle w:val="TextoNormalSangraFrancesa"/>
        <w:rPr>
          <w:rStyle w:val="TextoNormalCaracter"/>
        </w:rPr>
      </w:pPr>
      <w:bookmarkStart w:id="2168" w:name="DESCRIPTORALFABETICO538"/>
      <w:r w:rsidRPr="00234417">
        <w:rPr>
          <w:rStyle w:val="TextoNormalNegritaCaracter"/>
        </w:rPr>
        <w:t>Títulos oficiales</w:t>
      </w:r>
      <w:bookmarkEnd w:id="2168"/>
      <w:r w:rsidRPr="00234417">
        <w:rPr>
          <w:rStyle w:val="TextoNormalCaracter"/>
        </w:rPr>
        <w:t xml:space="preserve">, Sentencia </w:t>
      </w:r>
      <w:hyperlink w:anchor="SENTENCIA_2013_48" w:history="1">
        <w:r w:rsidRPr="00234417">
          <w:rPr>
            <w:rStyle w:val="TextoNormalCaracter"/>
          </w:rPr>
          <w:t>48/2013</w:t>
        </w:r>
      </w:hyperlink>
      <w:r w:rsidRPr="00234417">
        <w:rPr>
          <w:rStyle w:val="TextoNormalCaracter"/>
        </w:rPr>
        <w:t>, ff. 3, 5, 6.</w:t>
      </w:r>
    </w:p>
    <w:p w:rsidR="00234417" w:rsidRPr="00234417" w:rsidRDefault="00234417" w:rsidP="00234417">
      <w:pPr>
        <w:pStyle w:val="TextoNormalSangraFrancesa"/>
        <w:rPr>
          <w:rStyle w:val="TextoNormalCaracter"/>
        </w:rPr>
      </w:pPr>
      <w:bookmarkStart w:id="2169" w:name="DESCRIPTORALFABETICO540"/>
      <w:r w:rsidRPr="00234417">
        <w:rPr>
          <w:rStyle w:val="TextoNormalNegritaCaracter"/>
        </w:rPr>
        <w:t>Títulos universitarios</w:t>
      </w:r>
      <w:bookmarkEnd w:id="2169"/>
      <w:r w:rsidRPr="00234417">
        <w:rPr>
          <w:rStyle w:val="TextoNormalCaracter"/>
        </w:rPr>
        <w:t xml:space="preserve">, Sentencia </w:t>
      </w:r>
      <w:hyperlink w:anchor="SENTENCIA_2013_131" w:history="1">
        <w:r w:rsidRPr="00234417">
          <w:rPr>
            <w:rStyle w:val="TextoNormalCaracter"/>
          </w:rPr>
          <w:t>131/2013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2170" w:name="DESCRIPTORALFABETICO602"/>
      <w:r w:rsidRPr="00234417">
        <w:rPr>
          <w:rStyle w:val="TextoNormalNegritaCaracter"/>
        </w:rPr>
        <w:t>Torturas</w:t>
      </w:r>
      <w:bookmarkEnd w:id="2170"/>
      <w:r w:rsidRPr="00234417">
        <w:rPr>
          <w:rStyle w:val="TextoNormalCaracter"/>
        </w:rPr>
        <w:t xml:space="preserve">, Sentencia </w:t>
      </w:r>
      <w:hyperlink w:anchor="SENTENCIA_2013_12" w:history="1">
        <w:r w:rsidRPr="00234417">
          <w:rPr>
            <w:rStyle w:val="TextoNormalCaracter"/>
          </w:rPr>
          <w:t>12/2013</w:t>
        </w:r>
      </w:hyperlink>
      <w:r w:rsidRPr="00234417">
        <w:rPr>
          <w:rStyle w:val="TextoNormalCaracter"/>
        </w:rPr>
        <w:t>, ff. 1, 2, 3, 4, VP I.</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 </w:t>
      </w:r>
      <w:hyperlink w:anchor="SENTENCIA_2013_12" w:history="1">
        <w:r w:rsidRPr="00234417">
          <w:rPr>
            <w:rStyle w:val="TextoNormalCaracter"/>
          </w:rPr>
          <w:t>12/2013</w:t>
        </w:r>
      </w:hyperlink>
      <w:r w:rsidRPr="00234417">
        <w:rPr>
          <w:rStyle w:val="TextoNormalCaracter"/>
        </w:rPr>
        <w:t>, f. 3.</w:t>
      </w:r>
    </w:p>
    <w:p w:rsidR="00234417" w:rsidRPr="00234417" w:rsidRDefault="00234417" w:rsidP="00234417">
      <w:pPr>
        <w:pStyle w:val="TextoNormalSangraFrancesa"/>
        <w:rPr>
          <w:rStyle w:val="TextoNormalCaracter"/>
        </w:rPr>
      </w:pPr>
      <w:bookmarkStart w:id="2171" w:name="DESCRIPTORALFABETICO782"/>
      <w:r w:rsidRPr="00234417">
        <w:rPr>
          <w:rStyle w:val="TextoNormalNegritaCaracter"/>
        </w:rPr>
        <w:t>Tráfico</w:t>
      </w:r>
      <w:bookmarkEnd w:id="2171"/>
      <w:r w:rsidRPr="00234417">
        <w:rPr>
          <w:rStyle w:val="TextoNormalCaracter"/>
        </w:rPr>
        <w:t xml:space="preserve">, Sentencias </w:t>
      </w:r>
      <w:hyperlink w:anchor="SENTENCIA_2013_30" w:history="1">
        <w:r w:rsidRPr="00234417">
          <w:rPr>
            <w:rStyle w:val="TextoNormalCaracter"/>
          </w:rPr>
          <w:t>30/2013</w:t>
        </w:r>
      </w:hyperlink>
      <w:r w:rsidRPr="00234417">
        <w:rPr>
          <w:rStyle w:val="TextoNormalCaracter"/>
        </w:rPr>
        <w:t xml:space="preserve">, ff. 1 a 3; </w:t>
      </w:r>
      <w:hyperlink w:anchor="SENTENCIA_2013_45" w:history="1">
        <w:r w:rsidRPr="00234417">
          <w:rPr>
            <w:rStyle w:val="TextoNormalCaracter"/>
          </w:rPr>
          <w:t>45/2013</w:t>
        </w:r>
      </w:hyperlink>
      <w:r w:rsidRPr="00234417">
        <w:rPr>
          <w:rStyle w:val="TextoNormalCaracter"/>
        </w:rPr>
        <w:t>, f. 2.</w:t>
      </w:r>
    </w:p>
    <w:p w:rsidR="00234417" w:rsidRPr="00234417" w:rsidRDefault="00234417" w:rsidP="00234417">
      <w:pPr>
        <w:pStyle w:val="TextoNormalSangraFrancesa"/>
        <w:rPr>
          <w:rStyle w:val="TextoNormalCaracter"/>
        </w:rPr>
      </w:pPr>
      <w:bookmarkStart w:id="2172" w:name="DESCRIPTORALFABETICO393"/>
      <w:r w:rsidRPr="00234417">
        <w:rPr>
          <w:rStyle w:val="TextoNormalNegritaCaracter"/>
        </w:rPr>
        <w:t>Tramitación parlamentaria</w:t>
      </w:r>
      <w:bookmarkEnd w:id="2172"/>
      <w:r w:rsidRPr="00234417">
        <w:rPr>
          <w:rStyle w:val="TextoNormalCaracter"/>
        </w:rPr>
        <w:t xml:space="preserve">, Sentencias </w:t>
      </w:r>
      <w:hyperlink w:anchor="SENTENCIA_2013_9" w:history="1">
        <w:r w:rsidRPr="00234417">
          <w:rPr>
            <w:rStyle w:val="TextoNormalCaracter"/>
          </w:rPr>
          <w:t>9/2013</w:t>
        </w:r>
      </w:hyperlink>
      <w:r w:rsidRPr="00234417">
        <w:rPr>
          <w:rStyle w:val="TextoNormalCaracter"/>
        </w:rPr>
        <w:t xml:space="preserve">, f. 3; </w:t>
      </w:r>
      <w:hyperlink w:anchor="SENTENCIA_2013_36" w:history="1">
        <w:r w:rsidRPr="00234417">
          <w:rPr>
            <w:rStyle w:val="TextoNormalCaracter"/>
          </w:rPr>
          <w:t>36/2013</w:t>
        </w:r>
      </w:hyperlink>
      <w:r w:rsidRPr="00234417">
        <w:rPr>
          <w:rStyle w:val="TextoNormalCaracter"/>
        </w:rPr>
        <w:t>, f. 4.</w:t>
      </w:r>
    </w:p>
    <w:p w:rsidR="00234417" w:rsidRPr="00234417" w:rsidRDefault="00234417" w:rsidP="00234417">
      <w:pPr>
        <w:pStyle w:val="TextoNormalSangraFrancesa"/>
        <w:rPr>
          <w:rStyle w:val="TextoNormalCaracter"/>
        </w:rPr>
      </w:pPr>
      <w:bookmarkStart w:id="2173" w:name="DESCRIPTORALFABETICO281"/>
      <w:r w:rsidRPr="00234417">
        <w:rPr>
          <w:rStyle w:val="TextoNormalNegritaCaracter"/>
        </w:rPr>
        <w:t>Trámite de audiencia a las partes defectuoso</w:t>
      </w:r>
      <w:bookmarkEnd w:id="2173"/>
      <w:r w:rsidRPr="00234417">
        <w:rPr>
          <w:rStyle w:val="TextoNormalCaracter"/>
        </w:rPr>
        <w:t xml:space="preserve">, Auto </w:t>
      </w:r>
      <w:hyperlink w:anchor="AUTO_2013_35" w:history="1">
        <w:r w:rsidRPr="00234417">
          <w:rPr>
            <w:rStyle w:val="TextoNormalCaracter"/>
          </w:rPr>
          <w:t>35/2013</w:t>
        </w:r>
      </w:hyperlink>
      <w:r w:rsidRPr="00234417">
        <w:rPr>
          <w:rStyle w:val="TextoNormalCaracter"/>
        </w:rPr>
        <w:t>, f. 4.</w:t>
      </w:r>
    </w:p>
    <w:p w:rsidR="00234417" w:rsidRPr="00234417" w:rsidRDefault="00234417" w:rsidP="00234417">
      <w:pPr>
        <w:pStyle w:val="TextoNormalSangraFrancesa"/>
        <w:rPr>
          <w:rStyle w:val="TextoNormalNegritaCaracter"/>
        </w:rPr>
      </w:pPr>
      <w:r w:rsidRPr="00234417">
        <w:rPr>
          <w:rStyle w:val="TextoNormalCursivaCaracter"/>
        </w:rPr>
        <w:t>Trámite de audiencia en cuestión de inconstitucionalidad</w:t>
      </w:r>
      <w:r>
        <w:t xml:space="preserve"> véase </w:t>
      </w:r>
      <w:hyperlink w:anchor="DESCRIPTORALFABETICO275" w:history="1">
        <w:r w:rsidRPr="00234417">
          <w:rPr>
            <w:rStyle w:val="TextoNormalNegritaCaracter"/>
          </w:rPr>
          <w:t>Audiencia previa a las partes</w:t>
        </w:r>
      </w:hyperlink>
    </w:p>
    <w:p w:rsidR="00234417" w:rsidRPr="00234417" w:rsidRDefault="00234417" w:rsidP="00234417">
      <w:pPr>
        <w:pStyle w:val="TextoNormalSangraFrancesa"/>
        <w:rPr>
          <w:rStyle w:val="TextoNormalCaracter"/>
        </w:rPr>
      </w:pPr>
      <w:bookmarkStart w:id="2174" w:name="DESCRIPTORALFABETICO781"/>
      <w:r w:rsidRPr="00234417">
        <w:rPr>
          <w:rStyle w:val="TextoNormalNegritaCaracter"/>
        </w:rPr>
        <w:t>Transporte aéreo</w:t>
      </w:r>
      <w:bookmarkEnd w:id="2174"/>
      <w:r w:rsidRPr="00234417">
        <w:rPr>
          <w:rStyle w:val="TextoNormalCaracter"/>
        </w:rPr>
        <w:t xml:space="preserve">, Sentencia </w:t>
      </w:r>
      <w:hyperlink w:anchor="SENTENCIA_2013_124" w:history="1">
        <w:r w:rsidRPr="00234417">
          <w:rPr>
            <w:rStyle w:val="TextoNormalCaracter"/>
          </w:rPr>
          <w:t>124/2013</w:t>
        </w:r>
      </w:hyperlink>
      <w:r w:rsidRPr="00234417">
        <w:rPr>
          <w:rStyle w:val="TextoNormalCaracter"/>
        </w:rPr>
        <w:t>, f. 3.</w:t>
      </w:r>
    </w:p>
    <w:p w:rsidR="00234417" w:rsidRPr="00234417" w:rsidRDefault="00234417" w:rsidP="00234417">
      <w:pPr>
        <w:pStyle w:val="TextoNormalSangraFrancesa"/>
        <w:rPr>
          <w:rStyle w:val="TextoNormalCaracter"/>
        </w:rPr>
      </w:pPr>
      <w:bookmarkStart w:id="2175" w:name="DESCRIPTORALFABETICO785"/>
      <w:r w:rsidRPr="00234417">
        <w:rPr>
          <w:rStyle w:val="TextoNormalNegritaCaracter"/>
        </w:rPr>
        <w:t>Transporte en auto-taxi</w:t>
      </w:r>
      <w:bookmarkEnd w:id="2175"/>
      <w:r w:rsidRPr="00234417">
        <w:rPr>
          <w:rStyle w:val="TextoNormalCaracter"/>
        </w:rPr>
        <w:t xml:space="preserve">, Sentencia </w:t>
      </w:r>
      <w:hyperlink w:anchor="SENTENCIA_2013_13" w:history="1">
        <w:r w:rsidRPr="00234417">
          <w:rPr>
            <w:rStyle w:val="TextoNormalCaracter"/>
          </w:rPr>
          <w:t>13/2013</w:t>
        </w:r>
      </w:hyperlink>
      <w:r w:rsidRPr="00234417">
        <w:rPr>
          <w:rStyle w:val="TextoNormalCaracter"/>
        </w:rPr>
        <w:t>, f. 2.</w:t>
      </w:r>
    </w:p>
    <w:p w:rsidR="00234417" w:rsidRPr="00234417" w:rsidRDefault="00234417" w:rsidP="00234417">
      <w:pPr>
        <w:pStyle w:val="TextoNormalSangraFrancesa"/>
        <w:rPr>
          <w:rStyle w:val="TextoNormalCaracter"/>
        </w:rPr>
      </w:pPr>
      <w:bookmarkStart w:id="2176" w:name="DESCRIPTORALFABETICO783"/>
      <w:r w:rsidRPr="00234417">
        <w:rPr>
          <w:rStyle w:val="TextoNormalNegritaCaracter"/>
        </w:rPr>
        <w:t>Transporte ferroviario</w:t>
      </w:r>
      <w:bookmarkEnd w:id="2176"/>
      <w:r w:rsidRPr="00234417">
        <w:rPr>
          <w:rStyle w:val="TextoNormalCaracter"/>
        </w:rPr>
        <w:t xml:space="preserve">, Sentencia </w:t>
      </w:r>
      <w:hyperlink w:anchor="SENTENCIA_2013_83" w:history="1">
        <w:r w:rsidRPr="00234417">
          <w:rPr>
            <w:rStyle w:val="TextoNormalCaracter"/>
          </w:rPr>
          <w:t>83/2013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2177" w:name="DESCRIPTORALFABETICO641"/>
      <w:r w:rsidRPr="00234417">
        <w:rPr>
          <w:rStyle w:val="TextoNormalNegritaCaracter"/>
        </w:rPr>
        <w:t>Transposición de directivas de la Unión Europea</w:t>
      </w:r>
      <w:bookmarkEnd w:id="2177"/>
      <w:r w:rsidRPr="00234417">
        <w:rPr>
          <w:rStyle w:val="TextoNormalCaracter"/>
        </w:rPr>
        <w:t xml:space="preserve">, Sentencias </w:t>
      </w:r>
      <w:hyperlink w:anchor="SENTENCIA_2013_34" w:history="1">
        <w:r w:rsidRPr="00234417">
          <w:rPr>
            <w:rStyle w:val="TextoNormalCaracter"/>
          </w:rPr>
          <w:t>34/2013</w:t>
        </w:r>
      </w:hyperlink>
      <w:r w:rsidRPr="00234417">
        <w:rPr>
          <w:rStyle w:val="TextoNormalCaracter"/>
        </w:rPr>
        <w:t xml:space="preserve">, f. 7; </w:t>
      </w:r>
      <w:hyperlink w:anchor="SENTENCIA_2013_36" w:history="1">
        <w:r w:rsidRPr="00234417">
          <w:rPr>
            <w:rStyle w:val="TextoNormalCaracter"/>
          </w:rPr>
          <w:t>36/2013</w:t>
        </w:r>
      </w:hyperlink>
      <w:r w:rsidRPr="00234417">
        <w:rPr>
          <w:rStyle w:val="TextoNormalCaracter"/>
        </w:rPr>
        <w:t>, f. 3.</w:t>
      </w:r>
    </w:p>
    <w:p w:rsidR="00234417" w:rsidRPr="00234417" w:rsidRDefault="00234417" w:rsidP="00234417">
      <w:pPr>
        <w:pStyle w:val="TextoNormalSangraFrancesa"/>
        <w:rPr>
          <w:rStyle w:val="TextoNormalCaracter"/>
        </w:rPr>
      </w:pPr>
      <w:bookmarkStart w:id="2178" w:name="DESCRIPTORALFABETICO487"/>
      <w:r w:rsidRPr="00234417">
        <w:rPr>
          <w:rStyle w:val="TextoNormalNegritaCaracter"/>
        </w:rPr>
        <w:t>Trasvases entre cuencas</w:t>
      </w:r>
      <w:bookmarkEnd w:id="2178"/>
      <w:r w:rsidRPr="00234417">
        <w:rPr>
          <w:rStyle w:val="TextoNormalCaracter"/>
        </w:rPr>
        <w:t xml:space="preserve">, Sentencias </w:t>
      </w:r>
      <w:hyperlink w:anchor="SENTENCIA_2013_19" w:history="1">
        <w:r w:rsidRPr="00234417">
          <w:rPr>
            <w:rStyle w:val="TextoNormalCaracter"/>
          </w:rPr>
          <w:t>19/2013</w:t>
        </w:r>
      </w:hyperlink>
      <w:r w:rsidRPr="00234417">
        <w:rPr>
          <w:rStyle w:val="TextoNormalCaracter"/>
        </w:rPr>
        <w:t xml:space="preserve">, f. 2; </w:t>
      </w:r>
      <w:hyperlink w:anchor="SENTENCIA_2013_51" w:history="1">
        <w:r w:rsidRPr="00234417">
          <w:rPr>
            <w:rStyle w:val="TextoNormalCaracter"/>
          </w:rPr>
          <w:t>51/2013</w:t>
        </w:r>
      </w:hyperlink>
      <w:r w:rsidRPr="00234417">
        <w:rPr>
          <w:rStyle w:val="TextoNormalCaracter"/>
        </w:rPr>
        <w:t xml:space="preserve">, ff. 4, 5; </w:t>
      </w:r>
      <w:hyperlink w:anchor="SENTENCIA_2013_64" w:history="1">
        <w:r w:rsidRPr="00234417">
          <w:rPr>
            <w:rStyle w:val="TextoNormalCaracter"/>
          </w:rPr>
          <w:t>64/2013</w:t>
        </w:r>
      </w:hyperlink>
      <w:r w:rsidRPr="00234417">
        <w:rPr>
          <w:rStyle w:val="TextoNormalCaracter"/>
        </w:rPr>
        <w:t>, f. 2.</w:t>
      </w:r>
    </w:p>
    <w:p w:rsidR="00234417" w:rsidRPr="00234417" w:rsidRDefault="00234417" w:rsidP="00234417">
      <w:pPr>
        <w:pStyle w:val="TextoNormalSangraFrancesa"/>
        <w:rPr>
          <w:rStyle w:val="TextoNormalCaracter"/>
        </w:rPr>
      </w:pPr>
      <w:bookmarkStart w:id="2179" w:name="DESCRIPTORALFABETICO644"/>
      <w:r w:rsidRPr="00234417">
        <w:rPr>
          <w:rStyle w:val="TextoNormalNegritaCaracter"/>
        </w:rPr>
        <w:t>Tratados internacionales</w:t>
      </w:r>
      <w:bookmarkEnd w:id="2179"/>
      <w:r w:rsidRPr="00234417">
        <w:rPr>
          <w:rStyle w:val="TextoNormalCaracter"/>
        </w:rPr>
        <w:t xml:space="preserve">, Sentencias </w:t>
      </w:r>
      <w:hyperlink w:anchor="SENTENCIA_2013_8" w:history="1">
        <w:r w:rsidRPr="00234417">
          <w:rPr>
            <w:rStyle w:val="TextoNormalCaracter"/>
          </w:rPr>
          <w:t>8/2013</w:t>
        </w:r>
      </w:hyperlink>
      <w:r w:rsidRPr="00234417">
        <w:rPr>
          <w:rStyle w:val="TextoNormalCaracter"/>
        </w:rPr>
        <w:t xml:space="preserve">, f. 7; </w:t>
      </w:r>
      <w:hyperlink w:anchor="SENTENCIA_2013_31" w:history="1">
        <w:r w:rsidRPr="00234417">
          <w:rPr>
            <w:rStyle w:val="TextoNormalCaracter"/>
          </w:rPr>
          <w:t>31/2013</w:t>
        </w:r>
      </w:hyperlink>
      <w:r w:rsidRPr="00234417">
        <w:rPr>
          <w:rStyle w:val="TextoNormalCaracter"/>
        </w:rPr>
        <w:t xml:space="preserve">, ff. 4, 5; </w:t>
      </w:r>
      <w:hyperlink w:anchor="SENTENCIA_2013_99" w:history="1">
        <w:r w:rsidRPr="00234417">
          <w:rPr>
            <w:rStyle w:val="TextoNormalCaracter"/>
          </w:rPr>
          <w:t>99/2013</w:t>
        </w:r>
      </w:hyperlink>
      <w:r w:rsidRPr="00234417">
        <w:rPr>
          <w:rStyle w:val="TextoNormalCaracter"/>
        </w:rPr>
        <w:t>, f. 7.</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2" w:history="1">
        <w:r w:rsidRPr="00234417">
          <w:rPr>
            <w:rStyle w:val="TextoNormalCaracter"/>
          </w:rPr>
          <w:t>2/2013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2180" w:name="DESCRIPTORALFABETICO157"/>
      <w:r w:rsidRPr="00234417">
        <w:rPr>
          <w:rStyle w:val="TextoNormalNegritaCaracter"/>
        </w:rPr>
        <w:t>Tratamiento de datos personales</w:t>
      </w:r>
      <w:bookmarkEnd w:id="2180"/>
      <w:r w:rsidRPr="00234417">
        <w:rPr>
          <w:rStyle w:val="TextoNormalCaracter"/>
        </w:rPr>
        <w:t xml:space="preserve">, Sentencia </w:t>
      </w:r>
      <w:hyperlink w:anchor="SENTENCIA_2013_29" w:history="1">
        <w:r w:rsidRPr="00234417">
          <w:rPr>
            <w:rStyle w:val="TextoNormalCaracter"/>
          </w:rPr>
          <w:t>29/2013</w:t>
        </w:r>
      </w:hyperlink>
      <w:r w:rsidRPr="00234417">
        <w:rPr>
          <w:rStyle w:val="TextoNormalCaracter"/>
        </w:rPr>
        <w:t>, ff. 5 a 8, VP.</w:t>
      </w:r>
    </w:p>
    <w:p w:rsidR="00234417" w:rsidRPr="00234417" w:rsidRDefault="00234417" w:rsidP="00234417">
      <w:pPr>
        <w:pStyle w:val="TextoNormalSangraFrancesa"/>
        <w:rPr>
          <w:rStyle w:val="TextoNormalCaracter"/>
        </w:rPr>
      </w:pPr>
      <w:bookmarkStart w:id="2181" w:name="DESCRIPTORALFABETICO143"/>
      <w:r w:rsidRPr="00234417">
        <w:rPr>
          <w:rStyle w:val="TextoNormalNegritaCaracter"/>
        </w:rPr>
        <w:t>Tratamiento diferenciado entre trabajadores a tiempo parcial y trabajadores a tiempo completo</w:t>
      </w:r>
      <w:bookmarkEnd w:id="2181"/>
      <w:r w:rsidRPr="00234417">
        <w:rPr>
          <w:rStyle w:val="TextoNormalCaracter"/>
        </w:rPr>
        <w:t xml:space="preserve">, Sentencias </w:t>
      </w:r>
      <w:hyperlink w:anchor="SENTENCIA_2013_61" w:history="1">
        <w:r w:rsidRPr="00234417">
          <w:rPr>
            <w:rStyle w:val="TextoNormalCaracter"/>
          </w:rPr>
          <w:t>61/2013</w:t>
        </w:r>
      </w:hyperlink>
      <w:r w:rsidRPr="00234417">
        <w:rPr>
          <w:rStyle w:val="TextoNormalCaracter"/>
        </w:rPr>
        <w:t xml:space="preserve">, ff. 3 a 6; </w:t>
      </w:r>
      <w:hyperlink w:anchor="SENTENCIA_2013_71" w:history="1">
        <w:r w:rsidRPr="00234417">
          <w:rPr>
            <w:rStyle w:val="TextoNormalCaracter"/>
          </w:rPr>
          <w:t>71/2013</w:t>
        </w:r>
      </w:hyperlink>
      <w:r w:rsidRPr="00234417">
        <w:rPr>
          <w:rStyle w:val="TextoNormalCaracter"/>
        </w:rPr>
        <w:t xml:space="preserve">, f. 3; </w:t>
      </w:r>
      <w:hyperlink w:anchor="SENTENCIA_2013_72" w:history="1">
        <w:r w:rsidRPr="00234417">
          <w:rPr>
            <w:rStyle w:val="TextoNormalCaracter"/>
          </w:rPr>
          <w:t>72/2013</w:t>
        </w:r>
      </w:hyperlink>
      <w:r w:rsidRPr="00234417">
        <w:rPr>
          <w:rStyle w:val="TextoNormalCaracter"/>
        </w:rPr>
        <w:t xml:space="preserve">, f. 2; </w:t>
      </w:r>
      <w:hyperlink w:anchor="SENTENCIA_2013_116" w:history="1">
        <w:r w:rsidRPr="00234417">
          <w:rPr>
            <w:rStyle w:val="TextoNormalCaracter"/>
          </w:rPr>
          <w:t>116/2013</w:t>
        </w:r>
      </w:hyperlink>
      <w:r w:rsidRPr="00234417">
        <w:rPr>
          <w:rStyle w:val="TextoNormalCaracter"/>
        </w:rPr>
        <w:t xml:space="preserve">, f. 4; </w:t>
      </w:r>
      <w:hyperlink w:anchor="SENTENCIA_2013_117" w:history="1">
        <w:r w:rsidRPr="00234417">
          <w:rPr>
            <w:rStyle w:val="TextoNormalCaracter"/>
          </w:rPr>
          <w:t>117/2013</w:t>
        </w:r>
      </w:hyperlink>
      <w:r w:rsidRPr="00234417">
        <w:rPr>
          <w:rStyle w:val="TextoNormalCaracter"/>
        </w:rPr>
        <w:t>, f. 2.</w:t>
      </w:r>
    </w:p>
    <w:p w:rsidR="00234417" w:rsidRPr="00234417" w:rsidRDefault="00234417" w:rsidP="00234417">
      <w:pPr>
        <w:pStyle w:val="TextoNormalSangraFrancesa"/>
        <w:rPr>
          <w:rStyle w:val="TextoNormalCaracter"/>
        </w:rPr>
      </w:pPr>
      <w:bookmarkStart w:id="2182" w:name="DESCRIPTORALFABETICO144"/>
      <w:r w:rsidRPr="00234417">
        <w:rPr>
          <w:rStyle w:val="TextoNormalNegritaCaracter"/>
        </w:rPr>
        <w:t>Tratamiento legal diferenciado</w:t>
      </w:r>
      <w:bookmarkEnd w:id="2182"/>
      <w:r w:rsidRPr="00234417">
        <w:rPr>
          <w:rStyle w:val="TextoNormalCaracter"/>
        </w:rPr>
        <w:t xml:space="preserve">, Sentencias </w:t>
      </w:r>
      <w:hyperlink w:anchor="SENTENCIA_2013_41" w:history="1">
        <w:r w:rsidRPr="00234417">
          <w:rPr>
            <w:rStyle w:val="TextoNormalCaracter"/>
          </w:rPr>
          <w:t>41/2013</w:t>
        </w:r>
      </w:hyperlink>
      <w:r w:rsidRPr="00234417">
        <w:rPr>
          <w:rStyle w:val="TextoNormalCaracter"/>
        </w:rPr>
        <w:t xml:space="preserve">, ff. 6 a 9, VP; </w:t>
      </w:r>
      <w:hyperlink w:anchor="SENTENCIA_2013_55" w:history="1">
        <w:r w:rsidRPr="00234417">
          <w:rPr>
            <w:rStyle w:val="TextoNormalCaracter"/>
          </w:rPr>
          <w:t>55/2013</w:t>
        </w:r>
      </w:hyperlink>
      <w:r w:rsidRPr="00234417">
        <w:rPr>
          <w:rStyle w:val="TextoNormalCaracter"/>
        </w:rPr>
        <w:t xml:space="preserve">, f. 2; </w:t>
      </w:r>
      <w:hyperlink w:anchor="SENTENCIA_2013_77" w:history="1">
        <w:r w:rsidRPr="00234417">
          <w:rPr>
            <w:rStyle w:val="TextoNormalCaracter"/>
          </w:rPr>
          <w:t>77/2013</w:t>
        </w:r>
      </w:hyperlink>
      <w:r w:rsidRPr="00234417">
        <w:rPr>
          <w:rStyle w:val="TextoNormalCaracter"/>
        </w:rPr>
        <w:t xml:space="preserve">, f. 3; </w:t>
      </w:r>
      <w:hyperlink w:anchor="SENTENCIA_2013_131" w:history="1">
        <w:r w:rsidRPr="00234417">
          <w:rPr>
            <w:rStyle w:val="TextoNormalCaracter"/>
          </w:rPr>
          <w:t>131/2013</w:t>
        </w:r>
      </w:hyperlink>
      <w:r w:rsidRPr="00234417">
        <w:rPr>
          <w:rStyle w:val="TextoNormalCaracter"/>
        </w:rPr>
        <w:t>, VP II, VP III, VP IV, VP V.</w:t>
      </w:r>
    </w:p>
    <w:p w:rsidR="00234417" w:rsidRPr="00234417" w:rsidRDefault="00234417" w:rsidP="00234417">
      <w:pPr>
        <w:pStyle w:val="TextoNormalSangraFrancesa"/>
        <w:rPr>
          <w:rStyle w:val="TextoNormalCaracter"/>
        </w:rPr>
      </w:pPr>
      <w:bookmarkStart w:id="2183" w:name="DESCRIPTORALFABETICO147"/>
      <w:r w:rsidRPr="00234417">
        <w:rPr>
          <w:rStyle w:val="TextoNormalNegritaCaracter"/>
        </w:rPr>
        <w:t>Tratos inhumanos o degradantes</w:t>
      </w:r>
      <w:bookmarkEnd w:id="2183"/>
      <w:r w:rsidRPr="00234417">
        <w:rPr>
          <w:rStyle w:val="TextoNormalCaracter"/>
        </w:rPr>
        <w:t xml:space="preserve">, Sentencia </w:t>
      </w:r>
      <w:hyperlink w:anchor="SENTENCIA_2013_12" w:history="1">
        <w:r w:rsidRPr="00234417">
          <w:rPr>
            <w:rStyle w:val="TextoNormalCaracter"/>
          </w:rPr>
          <w:t>12/2013</w:t>
        </w:r>
      </w:hyperlink>
      <w:r w:rsidRPr="00234417">
        <w:rPr>
          <w:rStyle w:val="TextoNormalCaracter"/>
        </w:rPr>
        <w:t>, ff. 1, 2, 3, 4, VP I.</w:t>
      </w:r>
    </w:p>
    <w:p w:rsidR="00234417" w:rsidRPr="00234417" w:rsidRDefault="00234417" w:rsidP="00234417">
      <w:pPr>
        <w:pStyle w:val="TextoNormalSangraFrancesa"/>
        <w:rPr>
          <w:rStyle w:val="TextoNormalCaracter"/>
        </w:rPr>
      </w:pPr>
      <w:r w:rsidRPr="00234417">
        <w:rPr>
          <w:rStyle w:val="TextoNormalCursivaCaracter"/>
        </w:rPr>
        <w:t xml:space="preserve">    Doctrina constitucional, </w:t>
      </w:r>
      <w:r w:rsidRPr="00234417">
        <w:rPr>
          <w:rStyle w:val="TextoNormalCaracter"/>
        </w:rPr>
        <w:t xml:space="preserve">Sentencia </w:t>
      </w:r>
      <w:hyperlink w:anchor="SENTENCIA_2013_12" w:history="1">
        <w:r w:rsidRPr="00234417">
          <w:rPr>
            <w:rStyle w:val="TextoNormalCaracter"/>
          </w:rPr>
          <w:t>12/2013</w:t>
        </w:r>
      </w:hyperlink>
      <w:r w:rsidRPr="00234417">
        <w:rPr>
          <w:rStyle w:val="TextoNormalCaracter"/>
        </w:rPr>
        <w:t>, f. 3.</w:t>
      </w:r>
    </w:p>
    <w:p w:rsidR="00234417" w:rsidRPr="00234417" w:rsidRDefault="00234417" w:rsidP="00234417">
      <w:pPr>
        <w:pStyle w:val="TextoNormalSangraFrancesa"/>
        <w:rPr>
          <w:rStyle w:val="TextoNormalCaracter"/>
        </w:rPr>
      </w:pPr>
      <w:bookmarkStart w:id="2184" w:name="DESCRIPTORALFABETICO380"/>
      <w:r w:rsidRPr="00234417">
        <w:rPr>
          <w:rStyle w:val="TextoNormalNegritaCaracter"/>
        </w:rPr>
        <w:t>Tribunal Supremo</w:t>
      </w:r>
      <w:bookmarkEnd w:id="2184"/>
      <w:r w:rsidRPr="00234417">
        <w:rPr>
          <w:rStyle w:val="TextoNormalCaracter"/>
        </w:rPr>
        <w:t xml:space="preserve">, Sentencia </w:t>
      </w:r>
      <w:hyperlink w:anchor="SENTENCIA_2013_56" w:history="1">
        <w:r w:rsidRPr="00234417">
          <w:rPr>
            <w:rStyle w:val="TextoNormalCaracter"/>
          </w:rPr>
          <w:t>56/2013</w:t>
        </w:r>
      </w:hyperlink>
      <w:r w:rsidRPr="00234417">
        <w:rPr>
          <w:rStyle w:val="TextoNormalCaracter"/>
        </w:rPr>
        <w:t>, f. 3.</w:t>
      </w:r>
    </w:p>
    <w:p w:rsidR="00234417" w:rsidRPr="00234417" w:rsidRDefault="00234417" w:rsidP="00234417">
      <w:pPr>
        <w:pStyle w:val="TextoNormalSangraFrancesa"/>
        <w:rPr>
          <w:rStyle w:val="TextoNormalCaracter"/>
        </w:rPr>
      </w:pPr>
      <w:bookmarkStart w:id="2185" w:name="DESCRIPTORALFABETICO115"/>
      <w:r w:rsidRPr="00234417">
        <w:rPr>
          <w:rStyle w:val="TextoNormalNegritaCaracter"/>
        </w:rPr>
        <w:t>Tributos</w:t>
      </w:r>
      <w:bookmarkEnd w:id="2185"/>
      <w:r w:rsidRPr="00234417">
        <w:rPr>
          <w:rStyle w:val="TextoNormalCaracter"/>
        </w:rPr>
        <w:t xml:space="preserve">, Sentencias </w:t>
      </w:r>
      <w:hyperlink w:anchor="SENTENCIA_2013_60" w:history="1">
        <w:r w:rsidRPr="00234417">
          <w:rPr>
            <w:rStyle w:val="TextoNormalCaracter"/>
          </w:rPr>
          <w:t>60/2013</w:t>
        </w:r>
      </w:hyperlink>
      <w:r w:rsidRPr="00234417">
        <w:rPr>
          <w:rStyle w:val="TextoNormalCaracter"/>
        </w:rPr>
        <w:t xml:space="preserve">, ff. 2, 3, 4, 5, 6, 7; </w:t>
      </w:r>
      <w:hyperlink w:anchor="SENTENCIA_2013_85" w:history="1">
        <w:r w:rsidRPr="00234417">
          <w:rPr>
            <w:rStyle w:val="TextoNormalCaracter"/>
          </w:rPr>
          <w:t>85/2013</w:t>
        </w:r>
      </w:hyperlink>
      <w:r w:rsidRPr="00234417">
        <w:rPr>
          <w:rStyle w:val="TextoNormalCaracter"/>
        </w:rPr>
        <w:t xml:space="preserve">, ff. 2, 3, 4, 6; </w:t>
      </w:r>
      <w:hyperlink w:anchor="SENTENCIA_2013_96" w:history="1">
        <w:r w:rsidRPr="00234417">
          <w:rPr>
            <w:rStyle w:val="TextoNormalCaracter"/>
          </w:rPr>
          <w:t>96/2013</w:t>
        </w:r>
      </w:hyperlink>
      <w:r w:rsidRPr="00234417">
        <w:rPr>
          <w:rStyle w:val="TextoNormalCaracter"/>
        </w:rPr>
        <w:t>, ff. 3, 4, 5, 6, 7, 8, 9, 10, 11, 12.</w:t>
      </w:r>
    </w:p>
    <w:p w:rsidR="00234417" w:rsidRPr="00234417" w:rsidRDefault="00234417" w:rsidP="00234417">
      <w:pPr>
        <w:pStyle w:val="TextoNormalSangraFrancesa"/>
        <w:rPr>
          <w:rStyle w:val="TextoNormalCaracter"/>
        </w:rPr>
      </w:pPr>
      <w:bookmarkStart w:id="2186" w:name="DESCRIPTORALFABETICO126"/>
      <w:r w:rsidRPr="00234417">
        <w:rPr>
          <w:rStyle w:val="TextoNormalNegritaCaracter"/>
        </w:rPr>
        <w:t>Tributos autonómicos</w:t>
      </w:r>
      <w:bookmarkEnd w:id="2186"/>
      <w:r w:rsidRPr="00234417">
        <w:rPr>
          <w:rStyle w:val="TextoNormalCaracter"/>
        </w:rPr>
        <w:t xml:space="preserve">, Sentencias </w:t>
      </w:r>
      <w:hyperlink w:anchor="SENTENCIA_2013_60" w:history="1">
        <w:r w:rsidRPr="00234417">
          <w:rPr>
            <w:rStyle w:val="TextoNormalCaracter"/>
          </w:rPr>
          <w:t>60/2013</w:t>
        </w:r>
      </w:hyperlink>
      <w:r w:rsidRPr="00234417">
        <w:rPr>
          <w:rStyle w:val="TextoNormalCaracter"/>
        </w:rPr>
        <w:t xml:space="preserve">, ff. 2, 3, 4; </w:t>
      </w:r>
      <w:hyperlink w:anchor="SENTENCIA_2013_85" w:history="1">
        <w:r w:rsidRPr="00234417">
          <w:rPr>
            <w:rStyle w:val="TextoNormalCaracter"/>
          </w:rPr>
          <w:t>85/2013</w:t>
        </w:r>
      </w:hyperlink>
      <w:r w:rsidRPr="00234417">
        <w:rPr>
          <w:rStyle w:val="TextoNormalCaracter"/>
        </w:rPr>
        <w:t xml:space="preserve">, ff. 3, 4; </w:t>
      </w:r>
      <w:hyperlink w:anchor="SENTENCIA_2013_96" w:history="1">
        <w:r w:rsidRPr="00234417">
          <w:rPr>
            <w:rStyle w:val="TextoNormalCaracter"/>
          </w:rPr>
          <w:t>96/2013</w:t>
        </w:r>
      </w:hyperlink>
      <w:r w:rsidRPr="00234417">
        <w:rPr>
          <w:rStyle w:val="TextoNormalCaracter"/>
        </w:rPr>
        <w:t>, f. 11.</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122" w:history="1">
        <w:r w:rsidRPr="00234417">
          <w:rPr>
            <w:rStyle w:val="TextoNormalCaracter"/>
          </w:rPr>
          <w:t>122/2013</w:t>
        </w:r>
      </w:hyperlink>
      <w:r w:rsidRPr="00234417">
        <w:rPr>
          <w:rStyle w:val="TextoNormalCaracter"/>
        </w:rPr>
        <w:t xml:space="preserve">, ff. 1, 3, 4, 5; </w:t>
      </w:r>
      <w:hyperlink w:anchor="AUTO_2013_142" w:history="1">
        <w:r w:rsidRPr="00234417">
          <w:rPr>
            <w:rStyle w:val="TextoNormalCaracter"/>
          </w:rPr>
          <w:t>142/2013</w:t>
        </w:r>
      </w:hyperlink>
      <w:r w:rsidRPr="00234417">
        <w:rPr>
          <w:rStyle w:val="TextoNormalCaracter"/>
        </w:rPr>
        <w:t>, ff. 1, 3.</w:t>
      </w:r>
    </w:p>
    <w:p w:rsidR="00234417" w:rsidRPr="00234417" w:rsidRDefault="00234417" w:rsidP="00234417">
      <w:pPr>
        <w:pStyle w:val="TextoNormalSangraFrancesa"/>
        <w:rPr>
          <w:rStyle w:val="TextoNormalNegritaCaracter"/>
        </w:rPr>
      </w:pPr>
      <w:r w:rsidRPr="00234417">
        <w:rPr>
          <w:rStyle w:val="TextoNormalCursivaCaracter"/>
        </w:rPr>
        <w:t>Tributos propios</w:t>
      </w:r>
      <w:r>
        <w:t xml:space="preserve"> véase </w:t>
      </w:r>
      <w:hyperlink w:anchor="DESCRIPTORALFABETICO126" w:history="1">
        <w:r w:rsidRPr="00234417">
          <w:rPr>
            <w:rStyle w:val="TextoNormalNegritaCaracter"/>
          </w:rPr>
          <w:t>Tributos autonómicos</w:t>
        </w:r>
      </w:hyperlink>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U</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2187" w:name="DESCRIPTORALFABETICO92"/>
      <w:r w:rsidRPr="00234417">
        <w:rPr>
          <w:rStyle w:val="TextoNormalNegritaCaracter"/>
        </w:rPr>
        <w:t>Unidad de mercado</w:t>
      </w:r>
      <w:bookmarkEnd w:id="2187"/>
      <w:r w:rsidRPr="00234417">
        <w:rPr>
          <w:rStyle w:val="TextoNormalCaracter"/>
        </w:rPr>
        <w:t xml:space="preserve">, Sentencias </w:t>
      </w:r>
      <w:hyperlink w:anchor="SENTENCIA_2013_96" w:history="1">
        <w:r w:rsidRPr="00234417">
          <w:rPr>
            <w:rStyle w:val="TextoNormalCaracter"/>
          </w:rPr>
          <w:t>96/2013</w:t>
        </w:r>
      </w:hyperlink>
      <w:r w:rsidRPr="00234417">
        <w:rPr>
          <w:rStyle w:val="TextoNormalCaracter"/>
        </w:rPr>
        <w:t xml:space="preserve">, ff. 4, 9; </w:t>
      </w:r>
      <w:hyperlink w:anchor="SENTENCIA_2013_104" w:history="1">
        <w:r w:rsidRPr="00234417">
          <w:rPr>
            <w:rStyle w:val="TextoNormalCaracter"/>
          </w:rPr>
          <w:t>104/2013</w:t>
        </w:r>
      </w:hyperlink>
      <w:r w:rsidRPr="00234417">
        <w:rPr>
          <w:rStyle w:val="TextoNormalCaracter"/>
        </w:rPr>
        <w:t>, f. 5.</w:t>
      </w:r>
    </w:p>
    <w:p w:rsidR="00234417" w:rsidRPr="00234417" w:rsidRDefault="00234417" w:rsidP="00234417">
      <w:pPr>
        <w:pStyle w:val="TextoNormalSangraFrancesa"/>
        <w:rPr>
          <w:rStyle w:val="TextoNormalCaracter"/>
        </w:rPr>
      </w:pPr>
      <w:bookmarkStart w:id="2188" w:name="DESCRIPTORALFABETICO567"/>
      <w:r w:rsidRPr="00234417">
        <w:rPr>
          <w:rStyle w:val="TextoNormalNegritaCaracter"/>
        </w:rPr>
        <w:t>Unión de hecho</w:t>
      </w:r>
      <w:bookmarkEnd w:id="2188"/>
      <w:r w:rsidRPr="00234417">
        <w:rPr>
          <w:rStyle w:val="TextoNormalCaracter"/>
        </w:rPr>
        <w:t xml:space="preserve">, Sentencias </w:t>
      </w:r>
      <w:hyperlink w:anchor="SENTENCIA_2013_41" w:history="1">
        <w:r w:rsidRPr="00234417">
          <w:rPr>
            <w:rStyle w:val="TextoNormalCaracter"/>
          </w:rPr>
          <w:t>41/2013</w:t>
        </w:r>
      </w:hyperlink>
      <w:r w:rsidRPr="00234417">
        <w:rPr>
          <w:rStyle w:val="TextoNormalCaracter"/>
        </w:rPr>
        <w:t xml:space="preserve">, ff. 3 a 5, 8, 9, VP; </w:t>
      </w:r>
      <w:hyperlink w:anchor="SENTENCIA_2013_55" w:history="1">
        <w:r w:rsidRPr="00234417">
          <w:rPr>
            <w:rStyle w:val="TextoNormalCaracter"/>
          </w:rPr>
          <w:t>55/2013</w:t>
        </w:r>
      </w:hyperlink>
      <w:r w:rsidRPr="00234417">
        <w:rPr>
          <w:rStyle w:val="TextoNormalCaracter"/>
        </w:rPr>
        <w:t xml:space="preserve">, f. 2; </w:t>
      </w:r>
      <w:hyperlink w:anchor="SENTENCIA_2013_77" w:history="1">
        <w:r w:rsidRPr="00234417">
          <w:rPr>
            <w:rStyle w:val="TextoNormalCaracter"/>
          </w:rPr>
          <w:t>77/2013</w:t>
        </w:r>
      </w:hyperlink>
      <w:r w:rsidRPr="00234417">
        <w:rPr>
          <w:rStyle w:val="TextoNormalCaracter"/>
        </w:rPr>
        <w:t xml:space="preserve">, f. 3; </w:t>
      </w:r>
      <w:hyperlink w:anchor="SENTENCIA_2013_93" w:history="1">
        <w:r w:rsidRPr="00234417">
          <w:rPr>
            <w:rStyle w:val="TextoNormalCaracter"/>
          </w:rPr>
          <w:t>93/2013</w:t>
        </w:r>
      </w:hyperlink>
      <w:r w:rsidRPr="00234417">
        <w:rPr>
          <w:rStyle w:val="TextoNormalCaracter"/>
        </w:rPr>
        <w:t>, ff. 5, 7, 8, 9, 10, 11, 12, VP I, VP II.</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93" w:history="1">
        <w:r w:rsidRPr="00234417">
          <w:rPr>
            <w:rStyle w:val="TextoNormalCaracter"/>
          </w:rPr>
          <w:t>93/2013</w:t>
        </w:r>
      </w:hyperlink>
      <w:r w:rsidRPr="00234417">
        <w:rPr>
          <w:rStyle w:val="TextoNormalCaracter"/>
        </w:rPr>
        <w:t>, f. 2.</w:t>
      </w:r>
    </w:p>
    <w:p w:rsidR="00234417" w:rsidRPr="00234417" w:rsidRDefault="00234417" w:rsidP="00234417">
      <w:pPr>
        <w:pStyle w:val="TextoNormalSangraFrancesa"/>
        <w:rPr>
          <w:rStyle w:val="TextoNormalCaracter"/>
        </w:rPr>
      </w:pPr>
      <w:bookmarkStart w:id="2189" w:name="DESCRIPTORALFABETICO568"/>
      <w:r w:rsidRPr="00234417">
        <w:rPr>
          <w:rStyle w:val="TextoNormalNegritaCaracter"/>
        </w:rPr>
        <w:t>Unión de hecho entre personas del mismo sexo</w:t>
      </w:r>
      <w:bookmarkEnd w:id="2189"/>
      <w:r w:rsidRPr="00234417">
        <w:rPr>
          <w:rStyle w:val="TextoNormalCaracter"/>
        </w:rPr>
        <w:t xml:space="preserve">, Sentencias </w:t>
      </w:r>
      <w:hyperlink w:anchor="SENTENCIA_2013_41" w:history="1">
        <w:r w:rsidRPr="00234417">
          <w:rPr>
            <w:rStyle w:val="TextoNormalCaracter"/>
          </w:rPr>
          <w:t>41/2013</w:t>
        </w:r>
      </w:hyperlink>
      <w:r w:rsidRPr="00234417">
        <w:rPr>
          <w:rStyle w:val="TextoNormalCaracter"/>
        </w:rPr>
        <w:t xml:space="preserve">, ff. 5, 8, 9; </w:t>
      </w:r>
      <w:hyperlink w:anchor="SENTENCIA_2013_55" w:history="1">
        <w:r w:rsidRPr="00234417">
          <w:rPr>
            <w:rStyle w:val="TextoNormalCaracter"/>
          </w:rPr>
          <w:t>55/2013</w:t>
        </w:r>
      </w:hyperlink>
      <w:r w:rsidRPr="00234417">
        <w:rPr>
          <w:rStyle w:val="TextoNormalCaracter"/>
        </w:rPr>
        <w:t>, f. 2.</w:t>
      </w:r>
    </w:p>
    <w:p w:rsidR="00234417" w:rsidRPr="00234417" w:rsidRDefault="00234417" w:rsidP="00234417">
      <w:pPr>
        <w:pStyle w:val="TextoNormalSangraFrancesa"/>
        <w:rPr>
          <w:rStyle w:val="TextoNormalCaracter"/>
        </w:rPr>
      </w:pPr>
      <w:bookmarkStart w:id="2190" w:name="DESCRIPTORALFABETICO542"/>
      <w:r w:rsidRPr="00234417">
        <w:rPr>
          <w:rStyle w:val="TextoNormalNegritaCaracter"/>
        </w:rPr>
        <w:t>Universidades</w:t>
      </w:r>
      <w:bookmarkEnd w:id="2190"/>
      <w:r w:rsidRPr="00234417">
        <w:rPr>
          <w:rStyle w:val="TextoNormalCaracter"/>
        </w:rPr>
        <w:t xml:space="preserve">, Sentencias </w:t>
      </w:r>
      <w:hyperlink w:anchor="SENTENCIA_2013_131" w:history="1">
        <w:r w:rsidRPr="00234417">
          <w:rPr>
            <w:rStyle w:val="TextoNormalCaracter"/>
          </w:rPr>
          <w:t>131/2013</w:t>
        </w:r>
      </w:hyperlink>
      <w:r w:rsidRPr="00234417">
        <w:rPr>
          <w:rStyle w:val="TextoNormalCaracter"/>
        </w:rPr>
        <w:t xml:space="preserve">, ff. 2, 3, 4, 5, 6, 8, 9, 10, VP I, VP II, VP III, VP IV, VP V; </w:t>
      </w:r>
      <w:hyperlink w:anchor="SENTENCIA_2013_134" w:history="1">
        <w:r w:rsidRPr="00234417">
          <w:rPr>
            <w:rStyle w:val="TextoNormalCaracter"/>
          </w:rPr>
          <w:t>134/2013</w:t>
        </w:r>
      </w:hyperlink>
      <w:r w:rsidRPr="00234417">
        <w:rPr>
          <w:rStyle w:val="TextoNormalCaracter"/>
        </w:rPr>
        <w:t>, ff. 4, 5, 8.</w:t>
      </w:r>
    </w:p>
    <w:p w:rsidR="00234417" w:rsidRPr="00234417" w:rsidRDefault="00234417" w:rsidP="00234417">
      <w:pPr>
        <w:pStyle w:val="TextoNormalSangraFrancesa"/>
        <w:rPr>
          <w:rStyle w:val="TextoNormalCaracter"/>
        </w:rPr>
      </w:pPr>
      <w:r w:rsidRPr="00234417">
        <w:rPr>
          <w:rStyle w:val="TextoNormalCursivaCaracter"/>
        </w:rPr>
        <w:t xml:space="preserve">    Régimen jurídico, </w:t>
      </w:r>
      <w:r w:rsidRPr="00234417">
        <w:rPr>
          <w:rStyle w:val="TextoNormalCaracter"/>
        </w:rPr>
        <w:t xml:space="preserve">Sentencias </w:t>
      </w:r>
      <w:hyperlink w:anchor="SENTENCIA_2013_131" w:history="1">
        <w:r w:rsidRPr="00234417">
          <w:rPr>
            <w:rStyle w:val="TextoNormalCaracter"/>
          </w:rPr>
          <w:t>131/2013</w:t>
        </w:r>
      </w:hyperlink>
      <w:r w:rsidRPr="00234417">
        <w:rPr>
          <w:rStyle w:val="TextoNormalCaracter"/>
        </w:rPr>
        <w:t xml:space="preserve">, ff. 2, 9, 10, VP II; </w:t>
      </w:r>
      <w:hyperlink w:anchor="SENTENCIA_2013_134" w:history="1">
        <w:r w:rsidRPr="00234417">
          <w:rPr>
            <w:rStyle w:val="TextoNormalCaracter"/>
          </w:rPr>
          <w:t>134/2013</w:t>
        </w:r>
      </w:hyperlink>
      <w:r w:rsidRPr="00234417">
        <w:rPr>
          <w:rStyle w:val="TextoNormalCaracter"/>
        </w:rPr>
        <w:t>, f. 4.</w:t>
      </w:r>
    </w:p>
    <w:p w:rsidR="00234417" w:rsidRPr="00234417" w:rsidRDefault="00234417" w:rsidP="00234417">
      <w:pPr>
        <w:pStyle w:val="TextoNormalSangraFrancesa"/>
        <w:rPr>
          <w:rStyle w:val="TextoNormalCaracter"/>
        </w:rPr>
      </w:pPr>
      <w:bookmarkStart w:id="2191" w:name="DESCRIPTORALFABETICO546"/>
      <w:r w:rsidRPr="00234417">
        <w:rPr>
          <w:rStyle w:val="TextoNormalNegritaCaracter"/>
        </w:rPr>
        <w:t>Universidades privadas</w:t>
      </w:r>
      <w:bookmarkEnd w:id="2191"/>
      <w:r w:rsidRPr="00234417">
        <w:rPr>
          <w:rStyle w:val="TextoNormalCaracter"/>
        </w:rPr>
        <w:t xml:space="preserve">, Sentencia </w:t>
      </w:r>
      <w:hyperlink w:anchor="SENTENCIA_2013_131" w:history="1">
        <w:r w:rsidRPr="00234417">
          <w:rPr>
            <w:rStyle w:val="TextoNormalCaracter"/>
          </w:rPr>
          <w:t>131/2013</w:t>
        </w:r>
      </w:hyperlink>
      <w:r w:rsidRPr="00234417">
        <w:rPr>
          <w:rStyle w:val="TextoNormalCaracter"/>
        </w:rPr>
        <w:t>, ff. 2 a 5, 9, 10, VP I, VP II, VP III, VP IV, VP V.</w:t>
      </w:r>
    </w:p>
    <w:p w:rsidR="00234417" w:rsidRPr="00234417" w:rsidRDefault="00234417" w:rsidP="00234417">
      <w:pPr>
        <w:pStyle w:val="TextoNormalSangraFrancesa"/>
        <w:rPr>
          <w:rStyle w:val="TextoNormalCaracter"/>
        </w:rPr>
      </w:pPr>
      <w:bookmarkStart w:id="2192" w:name="DESCRIPTORALFABETICO635"/>
      <w:r w:rsidRPr="00234417">
        <w:rPr>
          <w:rStyle w:val="TextoNormalNegritaCaracter"/>
        </w:rPr>
        <w:t>Usos del suelo</w:t>
      </w:r>
      <w:bookmarkEnd w:id="2192"/>
      <w:r w:rsidRPr="00234417">
        <w:rPr>
          <w:rStyle w:val="TextoNormalCaracter"/>
        </w:rPr>
        <w:t xml:space="preserve">, Sentencia </w:t>
      </w:r>
      <w:hyperlink w:anchor="SENTENCIA_2013_84" w:history="1">
        <w:r w:rsidRPr="00234417">
          <w:rPr>
            <w:rStyle w:val="TextoNormalCaracter"/>
          </w:rPr>
          <w:t>84/2013</w:t>
        </w:r>
      </w:hyperlink>
      <w:r w:rsidRPr="00234417">
        <w:rPr>
          <w:rStyle w:val="TextoNormalCaracter"/>
        </w:rPr>
        <w:t>, f. 4.</w:t>
      </w:r>
    </w:p>
    <w:p w:rsidR="00234417" w:rsidRPr="00234417" w:rsidRDefault="00234417" w:rsidP="00234417">
      <w:pPr>
        <w:pStyle w:val="TextoNormalSangraFrancesa"/>
        <w:rPr>
          <w:rStyle w:val="TextoNormalCaracter"/>
        </w:rPr>
      </w:pPr>
      <w:bookmarkStart w:id="2193" w:name="DESCRIPTORALFABETICO623"/>
      <w:r w:rsidRPr="00234417">
        <w:rPr>
          <w:rStyle w:val="TextoNormalNegritaCaracter"/>
        </w:rPr>
        <w:t>Utilización racional de recursos naturales</w:t>
      </w:r>
      <w:bookmarkEnd w:id="2193"/>
      <w:r w:rsidRPr="00234417">
        <w:rPr>
          <w:rStyle w:val="TextoNormalCaracter"/>
        </w:rPr>
        <w:t xml:space="preserve">, Sentencia </w:t>
      </w:r>
      <w:hyperlink w:anchor="SENTENCIA_2013_19" w:history="1">
        <w:r w:rsidRPr="00234417">
          <w:rPr>
            <w:rStyle w:val="TextoNormalCaracter"/>
          </w:rPr>
          <w:t>19/2013</w:t>
        </w:r>
      </w:hyperlink>
      <w:r w:rsidRPr="00234417">
        <w:rPr>
          <w:rStyle w:val="TextoNormalCaracter"/>
        </w:rPr>
        <w:t>, f. 2.</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V</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2194" w:name="DESCRIPTORALFABETICO699"/>
      <w:r w:rsidRPr="00234417">
        <w:rPr>
          <w:rStyle w:val="TextoNormalNegritaCaracter"/>
        </w:rPr>
        <w:t>Validez de la ley</w:t>
      </w:r>
      <w:bookmarkEnd w:id="2194"/>
      <w:r w:rsidRPr="00234417">
        <w:rPr>
          <w:rStyle w:val="TextoNormalCaracter"/>
        </w:rPr>
        <w:t xml:space="preserve">, Sentencia </w:t>
      </w:r>
      <w:hyperlink w:anchor="SENTENCIA_2013_36" w:history="1">
        <w:r w:rsidRPr="00234417">
          <w:rPr>
            <w:rStyle w:val="TextoNormalCaracter"/>
          </w:rPr>
          <w:t>36/2013</w:t>
        </w:r>
      </w:hyperlink>
      <w:r w:rsidRPr="00234417">
        <w:rPr>
          <w:rStyle w:val="TextoNormalCaracter"/>
        </w:rPr>
        <w:t>, f. 6.</w:t>
      </w:r>
    </w:p>
    <w:p w:rsidR="00234417" w:rsidRPr="00234417" w:rsidRDefault="00234417" w:rsidP="00234417">
      <w:pPr>
        <w:pStyle w:val="TextoNormalSangraFrancesa"/>
        <w:rPr>
          <w:rStyle w:val="TextoNormalCaracter"/>
        </w:rPr>
      </w:pPr>
      <w:bookmarkStart w:id="2195" w:name="DESCRIPTORALFABETICO647"/>
      <w:r w:rsidRPr="00234417">
        <w:rPr>
          <w:rStyle w:val="TextoNormalNegritaCaracter"/>
        </w:rPr>
        <w:t>Valor constitucional de la doctrina del Tribunal Europeo de Derechos Humanos</w:t>
      </w:r>
      <w:bookmarkEnd w:id="2195"/>
      <w:r w:rsidRPr="00234417">
        <w:rPr>
          <w:rStyle w:val="TextoNormalCaracter"/>
        </w:rPr>
        <w:t xml:space="preserve">, Auto </w:t>
      </w:r>
      <w:hyperlink w:anchor="AUTO_2013_132" w:history="1">
        <w:r w:rsidRPr="00234417">
          <w:rPr>
            <w:rStyle w:val="TextoNormalCaracter"/>
          </w:rPr>
          <w:t>132/2013</w:t>
        </w:r>
      </w:hyperlink>
      <w:r w:rsidRPr="00234417">
        <w:rPr>
          <w:rStyle w:val="TextoNormalCaracter"/>
        </w:rPr>
        <w:t>, f. 4.</w:t>
      </w:r>
    </w:p>
    <w:p w:rsidR="00234417" w:rsidRPr="00234417" w:rsidRDefault="00234417" w:rsidP="00234417">
      <w:pPr>
        <w:pStyle w:val="TextoNormalSangraFrancesa"/>
        <w:rPr>
          <w:rStyle w:val="TextoNormalCaracter"/>
        </w:rPr>
      </w:pPr>
      <w:bookmarkStart w:id="2196" w:name="DESCRIPTORALFABETICO642"/>
      <w:r w:rsidRPr="00234417">
        <w:rPr>
          <w:rStyle w:val="TextoNormalNegritaCaracter"/>
        </w:rPr>
        <w:t>Valor interpretativo del Derecho de la Unión Europea</w:t>
      </w:r>
      <w:bookmarkEnd w:id="2196"/>
      <w:r w:rsidRPr="00234417">
        <w:rPr>
          <w:rStyle w:val="TextoNormalCaracter"/>
        </w:rPr>
        <w:t xml:space="preserve">, Sentencias </w:t>
      </w:r>
      <w:hyperlink w:anchor="SENTENCIA_2013_69" w:history="1">
        <w:r w:rsidRPr="00234417">
          <w:rPr>
            <w:rStyle w:val="TextoNormalCaracter"/>
          </w:rPr>
          <w:t>69/2013</w:t>
        </w:r>
      </w:hyperlink>
      <w:r w:rsidRPr="00234417">
        <w:rPr>
          <w:rStyle w:val="TextoNormalCaracter"/>
        </w:rPr>
        <w:t xml:space="preserve">, f. 2; </w:t>
      </w:r>
      <w:hyperlink w:anchor="SENTENCIA_2013_114" w:history="1">
        <w:r w:rsidRPr="00234417">
          <w:rPr>
            <w:rStyle w:val="TextoNormalCaracter"/>
          </w:rPr>
          <w:t>114/2013</w:t>
        </w:r>
      </w:hyperlink>
      <w:r w:rsidRPr="00234417">
        <w:rPr>
          <w:rStyle w:val="TextoNormalCaracter"/>
        </w:rPr>
        <w:t>, ff. 3, 4.</w:t>
      </w:r>
    </w:p>
    <w:p w:rsidR="00234417" w:rsidRPr="00234417" w:rsidRDefault="00234417" w:rsidP="00234417">
      <w:pPr>
        <w:pStyle w:val="TextoNormalSangraFrancesa"/>
        <w:rPr>
          <w:rStyle w:val="TextoNormalCaracter"/>
        </w:rPr>
      </w:pPr>
      <w:bookmarkStart w:id="2197" w:name="DESCRIPTORALFABETICO853"/>
      <w:r w:rsidRPr="00234417">
        <w:rPr>
          <w:rStyle w:val="TextoNormalNegritaCaracter"/>
        </w:rPr>
        <w:t>Valor probatorio del atestado policial</w:t>
      </w:r>
      <w:bookmarkEnd w:id="2197"/>
      <w:r w:rsidRPr="00234417">
        <w:rPr>
          <w:rStyle w:val="TextoNormalCaracter"/>
        </w:rPr>
        <w:t xml:space="preserve">, Sentencia </w:t>
      </w:r>
      <w:hyperlink w:anchor="SENTENCIA_2013_53" w:history="1">
        <w:r w:rsidRPr="00234417">
          <w:rPr>
            <w:rStyle w:val="TextoNormalCaracter"/>
          </w:rPr>
          <w:t>53/2013</w:t>
        </w:r>
      </w:hyperlink>
      <w:r w:rsidRPr="00234417">
        <w:rPr>
          <w:rStyle w:val="TextoNormalCaracter"/>
        </w:rPr>
        <w:t>, f. 4.</w:t>
      </w:r>
    </w:p>
    <w:p w:rsidR="00234417" w:rsidRPr="00234417" w:rsidRDefault="00234417" w:rsidP="00234417">
      <w:pPr>
        <w:pStyle w:val="TextoNormalSangraFrancesa"/>
        <w:rPr>
          <w:rStyle w:val="TextoNormalCaracter"/>
        </w:rPr>
      </w:pPr>
      <w:bookmarkStart w:id="2198" w:name="DESCRIPTORALFABETICO851"/>
      <w:r w:rsidRPr="00234417">
        <w:rPr>
          <w:rStyle w:val="TextoNormalNegritaCaracter"/>
        </w:rPr>
        <w:t>Valoración de la prueba</w:t>
      </w:r>
      <w:bookmarkEnd w:id="2198"/>
      <w:r w:rsidRPr="00234417">
        <w:rPr>
          <w:rStyle w:val="TextoNormalCaracter"/>
        </w:rPr>
        <w:t xml:space="preserve">, Sentencia </w:t>
      </w:r>
      <w:hyperlink w:anchor="SENTENCIA_2013_126" w:history="1">
        <w:r w:rsidRPr="00234417">
          <w:rPr>
            <w:rStyle w:val="TextoNormalCaracter"/>
          </w:rPr>
          <w:t>126/2013</w:t>
        </w:r>
      </w:hyperlink>
      <w:r w:rsidRPr="00234417">
        <w:rPr>
          <w:rStyle w:val="TextoNormalCaracter"/>
        </w:rPr>
        <w:t>, ff. 5, 6.</w:t>
      </w:r>
    </w:p>
    <w:p w:rsidR="00234417" w:rsidRPr="00234417" w:rsidRDefault="00234417" w:rsidP="00234417">
      <w:pPr>
        <w:pStyle w:val="TextoNormalSangraFrancesa"/>
        <w:rPr>
          <w:rStyle w:val="TextoNormalCaracter"/>
        </w:rPr>
      </w:pPr>
      <w:bookmarkStart w:id="2199" w:name="DESCRIPTORALFABETICO395"/>
      <w:r w:rsidRPr="00234417">
        <w:rPr>
          <w:rStyle w:val="TextoNormalNegritaCaracter"/>
        </w:rPr>
        <w:t>Vicios en el procedimiento legislativo</w:t>
      </w:r>
      <w:bookmarkEnd w:id="2199"/>
      <w:r w:rsidRPr="00234417">
        <w:rPr>
          <w:rStyle w:val="TextoNormalCaracter"/>
        </w:rPr>
        <w:t xml:space="preserve">, Sentencia </w:t>
      </w:r>
      <w:hyperlink w:anchor="SENTENCIA_2013_68" w:history="1">
        <w:r w:rsidRPr="00234417">
          <w:rPr>
            <w:rStyle w:val="TextoNormalCaracter"/>
          </w:rPr>
          <w:t>68/2013</w:t>
        </w:r>
      </w:hyperlink>
      <w:r w:rsidRPr="00234417">
        <w:rPr>
          <w:rStyle w:val="TextoNormalCaracter"/>
        </w:rPr>
        <w:t>, ff. 2, 3.</w:t>
      </w:r>
    </w:p>
    <w:p w:rsidR="00234417" w:rsidRPr="00234417" w:rsidRDefault="00234417" w:rsidP="00234417">
      <w:pPr>
        <w:pStyle w:val="TextoNormalSangraFrancesa"/>
        <w:rPr>
          <w:rStyle w:val="TextoNormalCaracter"/>
        </w:rPr>
      </w:pPr>
      <w:bookmarkStart w:id="2200" w:name="DESCRIPTORALFABETICO439"/>
      <w:r w:rsidRPr="00234417">
        <w:rPr>
          <w:rStyle w:val="TextoNormalNegritaCaracter"/>
        </w:rPr>
        <w:t>Videovigilancia</w:t>
      </w:r>
      <w:bookmarkEnd w:id="2200"/>
      <w:r w:rsidRPr="00234417">
        <w:rPr>
          <w:rStyle w:val="TextoNormalCaracter"/>
        </w:rPr>
        <w:t xml:space="preserve">, Sentencia </w:t>
      </w:r>
      <w:hyperlink w:anchor="SENTENCIA_2013_29" w:history="1">
        <w:r w:rsidRPr="00234417">
          <w:rPr>
            <w:rStyle w:val="TextoNormalCaracter"/>
          </w:rPr>
          <w:t>29/2013</w:t>
        </w:r>
      </w:hyperlink>
      <w:r w:rsidRPr="00234417">
        <w:rPr>
          <w:rStyle w:val="TextoNormalCaracter"/>
        </w:rPr>
        <w:t>, ff. 6 a 8.</w:t>
      </w:r>
    </w:p>
    <w:p w:rsidR="00234417" w:rsidRPr="00234417" w:rsidRDefault="00234417" w:rsidP="00234417">
      <w:pPr>
        <w:pStyle w:val="TextoNormalSangraFrancesa"/>
        <w:rPr>
          <w:rStyle w:val="TextoNormalCaracter"/>
        </w:rPr>
      </w:pPr>
      <w:bookmarkStart w:id="2201" w:name="DESCRIPTORALFABETICO700"/>
      <w:r w:rsidRPr="00234417">
        <w:rPr>
          <w:rStyle w:val="TextoNormalNegritaCaracter"/>
        </w:rPr>
        <w:t>Vigencia de las normas jurídicas</w:t>
      </w:r>
      <w:bookmarkEnd w:id="2201"/>
      <w:r w:rsidRPr="00234417">
        <w:rPr>
          <w:rStyle w:val="TextoNormalCaracter"/>
        </w:rPr>
        <w:t xml:space="preserve">, Sentencia </w:t>
      </w:r>
      <w:hyperlink w:anchor="SENTENCIA_2013_9" w:history="1">
        <w:r w:rsidRPr="00234417">
          <w:rPr>
            <w:rStyle w:val="TextoNormalCaracter"/>
          </w:rPr>
          <w:t>9/2013</w:t>
        </w:r>
      </w:hyperlink>
      <w:r w:rsidRPr="00234417">
        <w:rPr>
          <w:rStyle w:val="TextoNormalCaracter"/>
        </w:rPr>
        <w:t>, f. 2.</w:t>
      </w:r>
    </w:p>
    <w:p w:rsidR="00234417" w:rsidRPr="00234417" w:rsidRDefault="00234417" w:rsidP="00234417">
      <w:pPr>
        <w:pStyle w:val="TextoNormalSangraFrancesa"/>
        <w:rPr>
          <w:rStyle w:val="TextoNormalCaracter"/>
        </w:rPr>
      </w:pPr>
      <w:bookmarkStart w:id="2202" w:name="DESCRIPTORALFABETICO383"/>
      <w:r w:rsidRPr="00234417">
        <w:rPr>
          <w:rStyle w:val="TextoNormalNegritaCaracter"/>
        </w:rPr>
        <w:t>Vinculación de jueces y tribunales a la ley y a la Constitución</w:t>
      </w:r>
      <w:bookmarkEnd w:id="2202"/>
      <w:r w:rsidRPr="00234417">
        <w:rPr>
          <w:rStyle w:val="TextoNormalCaracter"/>
        </w:rPr>
        <w:t xml:space="preserve">, Sentencia </w:t>
      </w:r>
      <w:hyperlink w:anchor="SENTENCIA_2013_121" w:history="1">
        <w:r w:rsidRPr="00234417">
          <w:rPr>
            <w:rStyle w:val="TextoNormalCaracter"/>
          </w:rPr>
          <w:t>121/2013</w:t>
        </w:r>
      </w:hyperlink>
      <w:r w:rsidRPr="00234417">
        <w:rPr>
          <w:rStyle w:val="TextoNormalCaracter"/>
        </w:rPr>
        <w:t>, f. 4.</w:t>
      </w:r>
    </w:p>
    <w:p w:rsidR="00234417" w:rsidRPr="00234417" w:rsidRDefault="00234417" w:rsidP="00234417">
      <w:pPr>
        <w:pStyle w:val="TextoNormalSangraFrancesa"/>
        <w:rPr>
          <w:rStyle w:val="TextoNormalCaracter"/>
        </w:rPr>
      </w:pPr>
      <w:bookmarkStart w:id="2203" w:name="DESCRIPTORALFABETICO564"/>
      <w:r w:rsidRPr="00234417">
        <w:rPr>
          <w:rStyle w:val="TextoNormalNegritaCaracter"/>
        </w:rPr>
        <w:t>Vínculo matrimonial</w:t>
      </w:r>
      <w:bookmarkEnd w:id="2203"/>
      <w:r w:rsidRPr="00234417">
        <w:rPr>
          <w:rStyle w:val="TextoNormalCaracter"/>
        </w:rPr>
        <w:t xml:space="preserve">, Sentencia </w:t>
      </w:r>
      <w:hyperlink w:anchor="SENTENCIA_2013_41" w:history="1">
        <w:r w:rsidRPr="00234417">
          <w:rPr>
            <w:rStyle w:val="TextoNormalCaracter"/>
          </w:rPr>
          <w:t>41/2013</w:t>
        </w:r>
      </w:hyperlink>
      <w:r w:rsidRPr="00234417">
        <w:rPr>
          <w:rStyle w:val="TextoNormalCaracter"/>
        </w:rPr>
        <w:t>, f. 3.</w:t>
      </w:r>
    </w:p>
    <w:p w:rsidR="00234417" w:rsidRPr="00234417" w:rsidRDefault="00234417" w:rsidP="00234417">
      <w:pPr>
        <w:pStyle w:val="TextoNormalSangraFrancesa"/>
        <w:rPr>
          <w:rStyle w:val="TextoNormalNegritaCaracter"/>
        </w:rPr>
      </w:pPr>
      <w:r w:rsidRPr="00234417">
        <w:rPr>
          <w:rStyle w:val="TextoNormalCursivaCaracter"/>
        </w:rPr>
        <w:t>Vinos</w:t>
      </w:r>
      <w:r>
        <w:t xml:space="preserve"> véase </w:t>
      </w:r>
      <w:hyperlink w:anchor="DESCRIPTORALFABETICO478" w:history="1">
        <w:r w:rsidRPr="00234417">
          <w:rPr>
            <w:rStyle w:val="TextoNormalNegritaCaracter"/>
          </w:rPr>
          <w:t>Viticultura</w:t>
        </w:r>
      </w:hyperlink>
    </w:p>
    <w:p w:rsidR="00234417" w:rsidRPr="00234417" w:rsidRDefault="00234417" w:rsidP="00234417">
      <w:pPr>
        <w:pStyle w:val="TextoNormalSangraFrancesa"/>
        <w:rPr>
          <w:rStyle w:val="TextoNormalNegritaCaracter"/>
        </w:rPr>
      </w:pPr>
      <w:r w:rsidRPr="00234417">
        <w:rPr>
          <w:rStyle w:val="TextoNormalCursivaCaracter"/>
        </w:rPr>
        <w:t>Vista oral</w:t>
      </w:r>
      <w:r>
        <w:t xml:space="preserve"> véase </w:t>
      </w:r>
      <w:hyperlink w:anchor="DESCRIPTORALFABETICO907" w:history="1">
        <w:r w:rsidRPr="00234417">
          <w:rPr>
            <w:rStyle w:val="TextoNormalNegritaCaracter"/>
          </w:rPr>
          <w:t>Juicio oral</w:t>
        </w:r>
      </w:hyperlink>
    </w:p>
    <w:p w:rsidR="00234417" w:rsidRPr="00234417" w:rsidRDefault="00234417" w:rsidP="00234417">
      <w:pPr>
        <w:pStyle w:val="TextoNormalSangraFrancesa"/>
        <w:rPr>
          <w:rStyle w:val="TextoNormalCaracter"/>
        </w:rPr>
      </w:pPr>
      <w:bookmarkStart w:id="2204" w:name="DESCRIPTORALFABETICO478"/>
      <w:r w:rsidRPr="00234417">
        <w:rPr>
          <w:rStyle w:val="TextoNormalNegritaCaracter"/>
        </w:rPr>
        <w:t>Viticultura</w:t>
      </w:r>
      <w:bookmarkEnd w:id="2204"/>
      <w:r w:rsidRPr="00234417">
        <w:rPr>
          <w:rStyle w:val="TextoNormalCaracter"/>
        </w:rPr>
        <w:t xml:space="preserve">, Sentencias </w:t>
      </w:r>
      <w:hyperlink w:anchor="SENTENCIA_2013_34" w:history="1">
        <w:r w:rsidRPr="00234417">
          <w:rPr>
            <w:rStyle w:val="TextoNormalCaracter"/>
          </w:rPr>
          <w:t>34/2013</w:t>
        </w:r>
      </w:hyperlink>
      <w:r w:rsidRPr="00234417">
        <w:rPr>
          <w:rStyle w:val="TextoNormalCaracter"/>
        </w:rPr>
        <w:t xml:space="preserve">, ff. 2, 4, 5, 6, 7, 8, 9, 10, 11, 12, 13, 14, 15, 16, 17, 18, 19, 20, 21, VP; </w:t>
      </w:r>
      <w:hyperlink w:anchor="SENTENCIA_2013_82" w:history="1">
        <w:r w:rsidRPr="00234417">
          <w:rPr>
            <w:rStyle w:val="TextoNormalCaracter"/>
          </w:rPr>
          <w:t>82/2013</w:t>
        </w:r>
      </w:hyperlink>
      <w:r w:rsidRPr="00234417">
        <w:rPr>
          <w:rStyle w:val="TextoNormalCaracter"/>
        </w:rPr>
        <w:t xml:space="preserve">, ff. 3, 4, 5, 6; </w:t>
      </w:r>
      <w:hyperlink w:anchor="SENTENCIA_2013_107" w:history="1">
        <w:r w:rsidRPr="00234417">
          <w:rPr>
            <w:rStyle w:val="TextoNormalCaracter"/>
          </w:rPr>
          <w:t>107/2013</w:t>
        </w:r>
      </w:hyperlink>
      <w:r w:rsidRPr="00234417">
        <w:rPr>
          <w:rStyle w:val="TextoNormalCaracter"/>
        </w:rPr>
        <w:t>, f. 2.</w:t>
      </w:r>
    </w:p>
    <w:p w:rsidR="00234417" w:rsidRPr="00234417" w:rsidRDefault="00234417" w:rsidP="00234417">
      <w:pPr>
        <w:pStyle w:val="TextoNormalSangraFrancesa"/>
        <w:rPr>
          <w:rStyle w:val="TextoNormalCaracter"/>
        </w:rPr>
      </w:pPr>
      <w:bookmarkStart w:id="2205" w:name="DESCRIPTORALFABETICO787"/>
      <w:r w:rsidRPr="00234417">
        <w:rPr>
          <w:rStyle w:val="TextoNormalNegritaCaracter"/>
        </w:rPr>
        <w:t>Vivienda</w:t>
      </w:r>
      <w:bookmarkEnd w:id="2205"/>
      <w:r w:rsidRPr="00234417">
        <w:rPr>
          <w:rStyle w:val="TextoNormalCaracter"/>
        </w:rPr>
        <w:t xml:space="preserve">, Sentencia </w:t>
      </w:r>
      <w:hyperlink w:anchor="SENTENCIA_2013_112" w:history="1">
        <w:r w:rsidRPr="00234417">
          <w:rPr>
            <w:rStyle w:val="TextoNormalCaracter"/>
          </w:rPr>
          <w:t>112/2013</w:t>
        </w:r>
      </w:hyperlink>
      <w:r w:rsidRPr="00234417">
        <w:rPr>
          <w:rStyle w:val="TextoNormalCaracter"/>
        </w:rPr>
        <w:t>, ff. 3, 4, 5.</w:t>
      </w:r>
    </w:p>
    <w:p w:rsidR="00234417" w:rsidRPr="00234417" w:rsidRDefault="00234417" w:rsidP="00234417">
      <w:pPr>
        <w:pStyle w:val="TextoNormalSangraFrancesa"/>
        <w:rPr>
          <w:rStyle w:val="TextoNormalCaracter"/>
        </w:rPr>
      </w:pPr>
      <w:bookmarkStart w:id="2206" w:name="DESCRIPTORALFABETICO340"/>
      <w:r w:rsidRPr="00234417">
        <w:rPr>
          <w:rStyle w:val="TextoNormalNegritaCaracter"/>
        </w:rPr>
        <w:t>Voto particular, formulado uno</w:t>
      </w:r>
      <w:bookmarkEnd w:id="2206"/>
      <w:r w:rsidRPr="00234417">
        <w:rPr>
          <w:rStyle w:val="TextoNormalCaracter"/>
        </w:rPr>
        <w:t xml:space="preserve">, Sentencias </w:t>
      </w:r>
      <w:hyperlink w:anchor="SENTENCIA_2013_5" w:history="1">
        <w:r w:rsidRPr="00234417">
          <w:rPr>
            <w:rStyle w:val="TextoNormalCaracter"/>
          </w:rPr>
          <w:t>5/2013</w:t>
        </w:r>
      </w:hyperlink>
      <w:r w:rsidRPr="00234417">
        <w:rPr>
          <w:rStyle w:val="TextoNormalCaracter"/>
        </w:rPr>
        <w:t xml:space="preserve">; </w:t>
      </w:r>
      <w:hyperlink w:anchor="SENTENCIA_2013_12" w:history="1">
        <w:r w:rsidRPr="00234417">
          <w:rPr>
            <w:rStyle w:val="TextoNormalCaracter"/>
          </w:rPr>
          <w:t>12/2013</w:t>
        </w:r>
      </w:hyperlink>
      <w:r w:rsidRPr="00234417">
        <w:rPr>
          <w:rStyle w:val="TextoNormalCaracter"/>
        </w:rPr>
        <w:t xml:space="preserve">; </w:t>
      </w:r>
      <w:hyperlink w:anchor="SENTENCIA_2013_16" w:history="1">
        <w:r w:rsidRPr="00234417">
          <w:rPr>
            <w:rStyle w:val="TextoNormalCaracter"/>
          </w:rPr>
          <w:t>16/2013</w:t>
        </w:r>
      </w:hyperlink>
      <w:r w:rsidRPr="00234417">
        <w:rPr>
          <w:rStyle w:val="TextoNormalCaracter"/>
        </w:rPr>
        <w:t xml:space="preserve">; </w:t>
      </w:r>
      <w:hyperlink w:anchor="SENTENCIA_2013_17" w:history="1">
        <w:r w:rsidRPr="00234417">
          <w:rPr>
            <w:rStyle w:val="TextoNormalCaracter"/>
          </w:rPr>
          <w:t>17/2013</w:t>
        </w:r>
      </w:hyperlink>
      <w:r w:rsidRPr="00234417">
        <w:rPr>
          <w:rStyle w:val="TextoNormalCaracter"/>
        </w:rPr>
        <w:t xml:space="preserve">; </w:t>
      </w:r>
      <w:hyperlink w:anchor="SENTENCIA_2013_21" w:history="1">
        <w:r w:rsidRPr="00234417">
          <w:rPr>
            <w:rStyle w:val="TextoNormalCaracter"/>
          </w:rPr>
          <w:t>21/2013</w:t>
        </w:r>
      </w:hyperlink>
      <w:r w:rsidRPr="00234417">
        <w:rPr>
          <w:rStyle w:val="TextoNormalCaracter"/>
        </w:rPr>
        <w:t xml:space="preserve">; </w:t>
      </w:r>
      <w:hyperlink w:anchor="SENTENCIA_2013_27" w:history="1">
        <w:r w:rsidRPr="00234417">
          <w:rPr>
            <w:rStyle w:val="TextoNormalCaracter"/>
          </w:rPr>
          <w:t>27/2013</w:t>
        </w:r>
      </w:hyperlink>
      <w:r w:rsidRPr="00234417">
        <w:rPr>
          <w:rStyle w:val="TextoNormalCaracter"/>
        </w:rPr>
        <w:t xml:space="preserve">; </w:t>
      </w:r>
      <w:hyperlink w:anchor="SENTENCIA_2013_29" w:history="1">
        <w:r w:rsidRPr="00234417">
          <w:rPr>
            <w:rStyle w:val="TextoNormalCaracter"/>
          </w:rPr>
          <w:t>29/2013</w:t>
        </w:r>
      </w:hyperlink>
      <w:r w:rsidRPr="00234417">
        <w:rPr>
          <w:rStyle w:val="TextoNormalCaracter"/>
        </w:rPr>
        <w:t xml:space="preserve">; </w:t>
      </w:r>
      <w:hyperlink w:anchor="SENTENCIA_2013_31" w:history="1">
        <w:r w:rsidRPr="00234417">
          <w:rPr>
            <w:rStyle w:val="TextoNormalCaracter"/>
          </w:rPr>
          <w:t>31/2013</w:t>
        </w:r>
      </w:hyperlink>
      <w:r w:rsidRPr="00234417">
        <w:rPr>
          <w:rStyle w:val="TextoNormalCaracter"/>
        </w:rPr>
        <w:t xml:space="preserve">; </w:t>
      </w:r>
      <w:hyperlink w:anchor="SENTENCIA_2013_34" w:history="1">
        <w:r w:rsidRPr="00234417">
          <w:rPr>
            <w:rStyle w:val="TextoNormalCaracter"/>
          </w:rPr>
          <w:t>34/2013</w:t>
        </w:r>
      </w:hyperlink>
      <w:r w:rsidRPr="00234417">
        <w:rPr>
          <w:rStyle w:val="TextoNormalCaracter"/>
        </w:rPr>
        <w:t xml:space="preserve">; </w:t>
      </w:r>
      <w:hyperlink w:anchor="SENTENCIA_2013_41" w:history="1">
        <w:r w:rsidRPr="00234417">
          <w:rPr>
            <w:rStyle w:val="TextoNormalCaracter"/>
          </w:rPr>
          <w:t>41/2013</w:t>
        </w:r>
      </w:hyperlink>
      <w:r w:rsidRPr="00234417">
        <w:rPr>
          <w:rStyle w:val="TextoNormalCaracter"/>
        </w:rPr>
        <w:t xml:space="preserve">; </w:t>
      </w:r>
      <w:hyperlink w:anchor="SENTENCIA_2013_81" w:history="1">
        <w:r w:rsidRPr="00234417">
          <w:rPr>
            <w:rStyle w:val="TextoNormalCaracter"/>
          </w:rPr>
          <w:t>81/2013</w:t>
        </w:r>
      </w:hyperlink>
      <w:r w:rsidRPr="00234417">
        <w:rPr>
          <w:rStyle w:val="TextoNormalCaracter"/>
        </w:rPr>
        <w:t xml:space="preserve">; </w:t>
      </w:r>
      <w:hyperlink w:anchor="SENTENCIA_2013_85" w:history="1">
        <w:r w:rsidRPr="00234417">
          <w:rPr>
            <w:rStyle w:val="TextoNormalCaracter"/>
          </w:rPr>
          <w:t>85/2013</w:t>
        </w:r>
      </w:hyperlink>
      <w:r w:rsidRPr="00234417">
        <w:rPr>
          <w:rStyle w:val="TextoNormalCaracter"/>
        </w:rPr>
        <w:t xml:space="preserve">; </w:t>
      </w:r>
      <w:hyperlink w:anchor="SENTENCIA_2013_88" w:history="1">
        <w:r w:rsidRPr="00234417">
          <w:rPr>
            <w:rStyle w:val="TextoNormalCaracter"/>
          </w:rPr>
          <w:t>88/2013</w:t>
        </w:r>
      </w:hyperlink>
      <w:r w:rsidRPr="00234417">
        <w:rPr>
          <w:rStyle w:val="TextoNormalCaracter"/>
        </w:rPr>
        <w:t xml:space="preserve">; </w:t>
      </w:r>
      <w:hyperlink w:anchor="SENTENCIA_2013_95" w:history="1">
        <w:r w:rsidRPr="00234417">
          <w:rPr>
            <w:rStyle w:val="TextoNormalCaracter"/>
          </w:rPr>
          <w:t>95/2013</w:t>
        </w:r>
      </w:hyperlink>
      <w:r w:rsidRPr="00234417">
        <w:rPr>
          <w:rStyle w:val="TextoNormalCaracter"/>
        </w:rPr>
        <w:t xml:space="preserve">; </w:t>
      </w:r>
      <w:hyperlink w:anchor="SENTENCIA_2013_103" w:history="1">
        <w:r w:rsidRPr="00234417">
          <w:rPr>
            <w:rStyle w:val="TextoNormalCaracter"/>
          </w:rPr>
          <w:t>103/2013</w:t>
        </w:r>
      </w:hyperlink>
      <w:r w:rsidRPr="00234417">
        <w:rPr>
          <w:rStyle w:val="TextoNormalCaracter"/>
        </w:rPr>
        <w:t xml:space="preserve">; </w:t>
      </w:r>
      <w:hyperlink w:anchor="SENTENCIA_2013_125" w:history="1">
        <w:r w:rsidRPr="00234417">
          <w:rPr>
            <w:rStyle w:val="TextoNormalCaracter"/>
          </w:rPr>
          <w:t>125/2013</w:t>
        </w:r>
      </w:hyperlink>
      <w:r w:rsidRPr="00234417">
        <w:rPr>
          <w:rStyle w:val="TextoNormalCaracter"/>
        </w:rPr>
        <w:t xml:space="preserve">; </w:t>
      </w:r>
      <w:hyperlink w:anchor="SENTENCIA_2013_130" w:history="1">
        <w:r w:rsidRPr="00234417">
          <w:rPr>
            <w:rStyle w:val="TextoNormalCaracter"/>
          </w:rPr>
          <w:t>130/2013</w:t>
        </w:r>
      </w:hyperlink>
      <w:r w:rsidRPr="00234417">
        <w:rPr>
          <w:rStyle w:val="TextoNormalCaracter"/>
        </w:rPr>
        <w:t xml:space="preserve">; </w:t>
      </w:r>
      <w:hyperlink w:anchor="SENTENCIA_2013_132" w:history="1">
        <w:r w:rsidRPr="00234417">
          <w:rPr>
            <w:rStyle w:val="TextoNormalCaracter"/>
          </w:rPr>
          <w:t>132/2013</w:t>
        </w:r>
      </w:hyperlink>
      <w:r w:rsidRPr="00234417">
        <w:rPr>
          <w:rStyle w:val="TextoNormalCaracter"/>
        </w:rPr>
        <w:t xml:space="preserve">, VP I; </w:t>
      </w:r>
      <w:hyperlink w:anchor="SENTENCIA_2013_135" w:history="1">
        <w:r w:rsidRPr="00234417">
          <w:rPr>
            <w:rStyle w:val="TextoNormalCaracter"/>
          </w:rPr>
          <w:t>135/2013</w:t>
        </w:r>
      </w:hyperlink>
      <w:r w:rsidRPr="00234417">
        <w:rPr>
          <w:rStyle w:val="TextoNormalCaracter"/>
        </w:rPr>
        <w:t>.</w:t>
      </w:r>
    </w:p>
    <w:p w:rsidR="00234417" w:rsidRPr="00234417" w:rsidRDefault="00234417" w:rsidP="00234417">
      <w:pPr>
        <w:pStyle w:val="TextoNormalSangraFrancesa"/>
        <w:rPr>
          <w:rStyle w:val="TextoNormalCaracter"/>
        </w:rPr>
      </w:pPr>
      <w:r w:rsidRPr="00234417">
        <w:rPr>
          <w:rStyle w:val="TextoNormalCaracter"/>
        </w:rPr>
        <w:t xml:space="preserve">    Autos </w:t>
      </w:r>
      <w:hyperlink w:anchor="AUTO_2013_8" w:history="1">
        <w:r w:rsidRPr="00234417">
          <w:rPr>
            <w:rStyle w:val="TextoNormalCaracter"/>
          </w:rPr>
          <w:t>8/2013</w:t>
        </w:r>
      </w:hyperlink>
      <w:r w:rsidRPr="00234417">
        <w:rPr>
          <w:rStyle w:val="TextoNormalCaracter"/>
        </w:rPr>
        <w:t xml:space="preserve">; </w:t>
      </w:r>
      <w:hyperlink w:anchor="AUTO_2013_28" w:history="1">
        <w:r w:rsidRPr="00234417">
          <w:rPr>
            <w:rStyle w:val="TextoNormalCaracter"/>
          </w:rPr>
          <w:t>28/2013</w:t>
        </w:r>
      </w:hyperlink>
      <w:r w:rsidRPr="00234417">
        <w:rPr>
          <w:rStyle w:val="TextoNormalCaracter"/>
        </w:rPr>
        <w:t>.</w:t>
      </w:r>
    </w:p>
    <w:p w:rsidR="00234417" w:rsidRPr="00234417" w:rsidRDefault="00234417" w:rsidP="00234417">
      <w:pPr>
        <w:pStyle w:val="TextoNormalSangraFrancesa"/>
        <w:rPr>
          <w:rStyle w:val="TextoNormalCaracter"/>
        </w:rPr>
      </w:pPr>
      <w:bookmarkStart w:id="2207" w:name="DESCRIPTORALFABETICO341"/>
      <w:r w:rsidRPr="00234417">
        <w:rPr>
          <w:rStyle w:val="TextoNormalNegritaCaracter"/>
        </w:rPr>
        <w:t>Votos particulares, formulados cinco</w:t>
      </w:r>
      <w:bookmarkEnd w:id="2207"/>
      <w:r w:rsidRPr="00234417">
        <w:rPr>
          <w:rStyle w:val="TextoNormalCaracter"/>
        </w:rPr>
        <w:t xml:space="preserve">, Sentencias </w:t>
      </w:r>
      <w:hyperlink w:anchor="SENTENCIA_2013_40" w:history="1">
        <w:r w:rsidRPr="00234417">
          <w:rPr>
            <w:rStyle w:val="TextoNormalCaracter"/>
          </w:rPr>
          <w:t>40/2013</w:t>
        </w:r>
      </w:hyperlink>
      <w:r w:rsidRPr="00234417">
        <w:rPr>
          <w:rStyle w:val="TextoNormalCaracter"/>
        </w:rPr>
        <w:t xml:space="preserve">; </w:t>
      </w:r>
      <w:hyperlink w:anchor="SENTENCIA_2013_131" w:history="1">
        <w:r w:rsidRPr="00234417">
          <w:rPr>
            <w:rStyle w:val="TextoNormalCaracter"/>
          </w:rPr>
          <w:t>131/2013</w:t>
        </w:r>
      </w:hyperlink>
      <w:r w:rsidRPr="00234417">
        <w:rPr>
          <w:rStyle w:val="TextoNormalCaracter"/>
        </w:rPr>
        <w:t>.</w:t>
      </w:r>
    </w:p>
    <w:p w:rsidR="00234417" w:rsidRPr="00234417" w:rsidRDefault="00234417" w:rsidP="00234417">
      <w:pPr>
        <w:pStyle w:val="TextoNormalSangraFrancesa"/>
        <w:rPr>
          <w:rStyle w:val="TextoNormalCaracter"/>
        </w:rPr>
      </w:pPr>
      <w:bookmarkStart w:id="2208" w:name="DESCRIPTORALFABETICO342"/>
      <w:r w:rsidRPr="00234417">
        <w:rPr>
          <w:rStyle w:val="TextoNormalNegritaCaracter"/>
        </w:rPr>
        <w:t xml:space="preserve">Votos particulares, formulados dos </w:t>
      </w:r>
      <w:bookmarkEnd w:id="2208"/>
      <w:r w:rsidRPr="00234417">
        <w:rPr>
          <w:rStyle w:val="TextoNormalCaracter"/>
        </w:rPr>
        <w:t xml:space="preserve">, Sentencias </w:t>
      </w:r>
      <w:hyperlink w:anchor="SENTENCIA_2013_93" w:history="1">
        <w:r w:rsidRPr="00234417">
          <w:rPr>
            <w:rStyle w:val="TextoNormalCaracter"/>
          </w:rPr>
          <w:t>93/2013</w:t>
        </w:r>
      </w:hyperlink>
      <w:r w:rsidRPr="00234417">
        <w:rPr>
          <w:rStyle w:val="TextoNormalCaracter"/>
        </w:rPr>
        <w:t xml:space="preserve">; </w:t>
      </w:r>
      <w:hyperlink w:anchor="SENTENCIA_2013_94" w:history="1">
        <w:r w:rsidRPr="00234417">
          <w:rPr>
            <w:rStyle w:val="TextoNormalCaracter"/>
          </w:rPr>
          <w:t>94/2013</w:t>
        </w:r>
      </w:hyperlink>
      <w:r w:rsidRPr="00234417">
        <w:rPr>
          <w:rStyle w:val="TextoNormalCaracter"/>
        </w:rPr>
        <w:t>.</w:t>
      </w:r>
    </w:p>
    <w:p w:rsidR="00234417" w:rsidRPr="00234417" w:rsidRDefault="00234417" w:rsidP="00234417">
      <w:pPr>
        <w:pStyle w:val="TextoNormalSangraFrancesa"/>
        <w:rPr>
          <w:rStyle w:val="TextoNormalCaracter"/>
        </w:rPr>
      </w:pPr>
      <w:r w:rsidRPr="00234417">
        <w:rPr>
          <w:rStyle w:val="TextoNormalCaracter"/>
        </w:rPr>
        <w:t xml:space="preserve">    Auto </w:t>
      </w:r>
      <w:hyperlink w:anchor="AUTO_2013_89" w:history="1">
        <w:r w:rsidRPr="00234417">
          <w:rPr>
            <w:rStyle w:val="TextoNormalCaracter"/>
          </w:rPr>
          <w:t>89/2013</w:t>
        </w:r>
      </w:hyperlink>
      <w:r w:rsidRPr="00234417">
        <w:rPr>
          <w:rStyle w:val="TextoNormalCaracter"/>
        </w:rPr>
        <w:t>.</w:t>
      </w:r>
    </w:p>
    <w:p w:rsidR="00234417" w:rsidRDefault="00234417" w:rsidP="00234417">
      <w:pPr>
        <w:pStyle w:val="TextoNormalSangraFrancesa"/>
      </w:pPr>
    </w:p>
    <w:p w:rsidR="00234417" w:rsidRDefault="00234417" w:rsidP="00234417">
      <w:pPr>
        <w:pStyle w:val="TextoNormalSangraFrancesa"/>
      </w:pPr>
    </w:p>
    <w:p w:rsidR="00234417" w:rsidRDefault="00234417" w:rsidP="00234417">
      <w:pPr>
        <w:pStyle w:val="TextoNormalNegritaCentrado"/>
      </w:pPr>
      <w:r>
        <w:t>Z</w:t>
      </w:r>
    </w:p>
    <w:p w:rsidR="00234417" w:rsidRDefault="00234417" w:rsidP="00234417">
      <w:pPr>
        <w:pStyle w:val="TextoNormalNegritaCentrado"/>
      </w:pPr>
    </w:p>
    <w:p w:rsidR="00234417" w:rsidRDefault="00234417" w:rsidP="00234417">
      <w:pPr>
        <w:pStyle w:val="TextoNormalNegritaCentrado"/>
      </w:pPr>
    </w:p>
    <w:p w:rsidR="00234417" w:rsidRDefault="00234417" w:rsidP="00234417">
      <w:pPr>
        <w:pStyle w:val="TextoNormalNegritaCentrado"/>
      </w:pPr>
    </w:p>
    <w:p w:rsidR="00234417" w:rsidRPr="00234417" w:rsidRDefault="00234417" w:rsidP="00234417">
      <w:pPr>
        <w:pStyle w:val="TextoNormalSangraFrancesa"/>
        <w:rPr>
          <w:rStyle w:val="TextoNormalCaracter"/>
        </w:rPr>
      </w:pPr>
      <w:bookmarkStart w:id="2209" w:name="DESCRIPTORALFABETICO617"/>
      <w:r w:rsidRPr="00234417">
        <w:rPr>
          <w:rStyle w:val="TextoNormalNegritaCaracter"/>
        </w:rPr>
        <w:t>Zonas de especial conservación</w:t>
      </w:r>
      <w:bookmarkEnd w:id="2209"/>
      <w:r w:rsidRPr="00234417">
        <w:rPr>
          <w:rStyle w:val="TextoNormalCaracter"/>
        </w:rPr>
        <w:t xml:space="preserve">, Sentencias </w:t>
      </w:r>
      <w:hyperlink w:anchor="SENTENCIA_2013_59" w:history="1">
        <w:r w:rsidRPr="00234417">
          <w:rPr>
            <w:rStyle w:val="TextoNormalCaracter"/>
          </w:rPr>
          <w:t>59/2013</w:t>
        </w:r>
      </w:hyperlink>
      <w:r w:rsidRPr="00234417">
        <w:rPr>
          <w:rStyle w:val="TextoNormalCaracter"/>
        </w:rPr>
        <w:t xml:space="preserve">, ff. 1 a 4; </w:t>
      </w:r>
      <w:hyperlink w:anchor="SENTENCIA_2013_80" w:history="1">
        <w:r w:rsidRPr="00234417">
          <w:rPr>
            <w:rStyle w:val="TextoNormalCaracter"/>
          </w:rPr>
          <w:t>80/2013</w:t>
        </w:r>
      </w:hyperlink>
      <w:r w:rsidRPr="00234417">
        <w:rPr>
          <w:rStyle w:val="TextoNormalCaracter"/>
        </w:rPr>
        <w:t>, f. 3.</w:t>
      </w:r>
    </w:p>
    <w:p w:rsidR="00234417" w:rsidRDefault="00234417">
      <w:pPr>
        <w:spacing w:after="160" w:line="259" w:lineRule="auto"/>
        <w:rPr>
          <w:rFonts w:ascii="Times New Roman" w:eastAsia="Times New Roman" w:hAnsi="Times New Roman" w:cs="Times New Roman"/>
          <w:sz w:val="24"/>
          <w:szCs w:val="24"/>
          <w:lang w:eastAsia="es-ES"/>
        </w:rPr>
      </w:pPr>
      <w:r>
        <w:br w:type="page"/>
      </w:r>
    </w:p>
    <w:p w:rsidR="00234417" w:rsidRDefault="00234417" w:rsidP="00234417">
      <w:pPr>
        <w:pStyle w:val="TextoNormalSangraFrancesa"/>
      </w:pPr>
    </w:p>
    <w:p w:rsidR="00D4647E" w:rsidRDefault="00D4647E" w:rsidP="00D4647E">
      <w:pPr>
        <w:pStyle w:val="TextoNormalSangraFrancesa"/>
      </w:pPr>
    </w:p>
    <w:p w:rsidR="00D4647E" w:rsidRDefault="00D4647E" w:rsidP="00D4647E">
      <w:pPr>
        <w:pStyle w:val="TextoNormalSangraFrancesa"/>
      </w:pPr>
    </w:p>
    <w:p w:rsidR="00D4647E" w:rsidRDefault="00D4647E" w:rsidP="00D4647E">
      <w:pPr>
        <w:pStyle w:val="TextoNormalSangraFrancesa"/>
      </w:pPr>
    </w:p>
    <w:p w:rsidR="00D4647E" w:rsidRDefault="00D4647E" w:rsidP="00D4647E">
      <w:pPr>
        <w:pStyle w:val="TextoNormalSangraFrancesa"/>
      </w:pPr>
    </w:p>
    <w:p w:rsidR="00D4647E" w:rsidRDefault="00D4647E" w:rsidP="00D4647E">
      <w:pPr>
        <w:pStyle w:val="TextoNormalSangraFrancesa"/>
      </w:pPr>
    </w:p>
    <w:p w:rsidR="00D4647E" w:rsidRDefault="00D4647E" w:rsidP="00D4647E">
      <w:pPr>
        <w:pStyle w:val="TextoNormalSangraFrancesa"/>
      </w:pPr>
    </w:p>
    <w:p w:rsidR="00D4647E" w:rsidRDefault="00D4647E" w:rsidP="00D4647E">
      <w:pPr>
        <w:pStyle w:val="TextoNormalSangraFrancesa"/>
      </w:pPr>
    </w:p>
    <w:p w:rsidR="00D4647E" w:rsidRDefault="00D4647E" w:rsidP="00D4647E">
      <w:pPr>
        <w:pStyle w:val="Ttulondice"/>
      </w:pPr>
      <w:bookmarkStart w:id="2210" w:name="ACRONIMOS"/>
      <w:r>
        <w:t>8. ABREVIATURAS Y ACRÓNIMOS</w:t>
      </w:r>
    </w:p>
    <w:bookmarkEnd w:id="2210"/>
    <w:p w:rsidR="00D4647E" w:rsidRDefault="00D4647E" w:rsidP="00D4647E">
      <w:pPr>
        <w:pStyle w:val="Ttulondice"/>
      </w:pPr>
    </w:p>
    <w:p w:rsidR="00D4647E" w:rsidRDefault="00D4647E" w:rsidP="00D4647E">
      <w:pPr>
        <w:pStyle w:val="Ttulondice"/>
      </w:pPr>
    </w:p>
    <w:p w:rsidR="00D4647E" w:rsidRDefault="00D4647E" w:rsidP="00D4647E">
      <w:pPr>
        <w:pStyle w:val="Ttulondice"/>
      </w:pPr>
    </w:p>
    <w:p w:rsidR="00D4647E" w:rsidRDefault="00D4647E" w:rsidP="00D4647E">
      <w:pPr>
        <w:pStyle w:val="Ttulondice"/>
      </w:pPr>
    </w:p>
    <w:p w:rsidR="00D4647E" w:rsidRDefault="00D4647E" w:rsidP="00D4647E">
      <w:pPr>
        <w:pStyle w:val="TextoAbreviaturas"/>
      </w:pPr>
      <w:r>
        <w:t>§</w:t>
      </w:r>
      <w:r>
        <w:tab/>
        <w:t>Parágrafo (usual en SSTEDH)</w:t>
      </w:r>
    </w:p>
    <w:p w:rsidR="00D4647E" w:rsidRDefault="00D4647E" w:rsidP="00D4647E">
      <w:pPr>
        <w:pStyle w:val="TextoAbreviaturas"/>
      </w:pPr>
      <w:r>
        <w:t>§§</w:t>
      </w:r>
      <w:r>
        <w:tab/>
        <w:t>Parágrafos (usuales en SSTEDH)</w:t>
      </w:r>
    </w:p>
    <w:p w:rsidR="00D4647E" w:rsidRDefault="00D4647E" w:rsidP="00D4647E">
      <w:pPr>
        <w:pStyle w:val="TextoAbreviaturas"/>
      </w:pPr>
      <w:r>
        <w:t>AENA</w:t>
      </w:r>
      <w:r>
        <w:tab/>
        <w:t>Aeropuertos Españoles y Navegación Aérea</w:t>
      </w:r>
    </w:p>
    <w:p w:rsidR="00D4647E" w:rsidRDefault="00D4647E" w:rsidP="00D4647E">
      <w:pPr>
        <w:pStyle w:val="TextoAbreviaturas"/>
      </w:pPr>
      <w:r>
        <w:t>ATC</w:t>
      </w:r>
      <w:r>
        <w:tab/>
        <w:t>Auto del Tribunal Constitucional</w:t>
      </w:r>
    </w:p>
    <w:p w:rsidR="00D4647E" w:rsidRDefault="00D4647E" w:rsidP="00D4647E">
      <w:pPr>
        <w:pStyle w:val="TextoAbreviaturas"/>
      </w:pPr>
      <w:r>
        <w:t>AATC</w:t>
      </w:r>
      <w:r>
        <w:tab/>
        <w:t>Autos del Tribunal Constitucional</w:t>
      </w:r>
    </w:p>
    <w:p w:rsidR="00D4647E" w:rsidRDefault="00D4647E" w:rsidP="00D4647E">
      <w:pPr>
        <w:pStyle w:val="TextoAbreviaturas"/>
      </w:pPr>
      <w:r>
        <w:t>BBVA</w:t>
      </w:r>
      <w:r>
        <w:tab/>
        <w:t>Banco Bilbao Vizcaya Argentaria</w:t>
      </w:r>
    </w:p>
    <w:p w:rsidR="00D4647E" w:rsidRDefault="00D4647E" w:rsidP="00D4647E">
      <w:pPr>
        <w:pStyle w:val="TextoAbreviaturas"/>
      </w:pPr>
      <w:r>
        <w:t>BOE</w:t>
      </w:r>
      <w:r>
        <w:tab/>
        <w:t>Boletín Oficial del Estado</w:t>
      </w:r>
    </w:p>
    <w:p w:rsidR="00D4647E" w:rsidRDefault="00D4647E" w:rsidP="00D4647E">
      <w:pPr>
        <w:pStyle w:val="TextoAbreviaturas"/>
      </w:pPr>
      <w:r>
        <w:t>BOPV</w:t>
      </w:r>
      <w:r>
        <w:tab/>
        <w:t>Boletín Oficial del País Vasco</w:t>
      </w:r>
    </w:p>
    <w:p w:rsidR="00D4647E" w:rsidRDefault="00D4647E" w:rsidP="00D4647E">
      <w:pPr>
        <w:pStyle w:val="TextoAbreviaturas"/>
      </w:pPr>
      <w:r>
        <w:t>BORM</w:t>
      </w:r>
      <w:r>
        <w:tab/>
        <w:t>Boletín Oficial de la Región de Murcia</w:t>
      </w:r>
    </w:p>
    <w:p w:rsidR="00D4647E" w:rsidRDefault="00D4647E" w:rsidP="00D4647E">
      <w:pPr>
        <w:pStyle w:val="TextoAbreviaturas"/>
      </w:pPr>
      <w:r>
        <w:t>CC</w:t>
      </w:r>
      <w:r>
        <w:tab/>
        <w:t>Código civil</w:t>
      </w:r>
    </w:p>
    <w:p w:rsidR="00D4647E" w:rsidRDefault="00D4647E" w:rsidP="00D4647E">
      <w:pPr>
        <w:pStyle w:val="TextoAbreviaturas"/>
      </w:pPr>
      <w:r>
        <w:t>CCOO</w:t>
      </w:r>
      <w:r>
        <w:tab/>
        <w:t>Comisiones Obreras</w:t>
      </w:r>
    </w:p>
    <w:p w:rsidR="00D4647E" w:rsidRDefault="00D4647E" w:rsidP="00D4647E">
      <w:pPr>
        <w:pStyle w:val="TextoAbreviaturas"/>
      </w:pPr>
      <w:r>
        <w:t>CE</w:t>
      </w:r>
      <w:r>
        <w:tab/>
        <w:t>Constitución española</w:t>
      </w:r>
    </w:p>
    <w:p w:rsidR="00D4647E" w:rsidRDefault="00D4647E" w:rsidP="00D4647E">
      <w:pPr>
        <w:pStyle w:val="TextoAbreviaturas"/>
      </w:pPr>
      <w:r>
        <w:t>CEDH</w:t>
      </w:r>
      <w:r>
        <w:tab/>
        <w:t>Convenio europeo para la protección de los derechos humanos y de las libertades fundamentales</w:t>
      </w:r>
    </w:p>
    <w:p w:rsidR="00D4647E" w:rsidRDefault="00D4647E" w:rsidP="00D4647E">
      <w:pPr>
        <w:pStyle w:val="TextoAbreviaturas"/>
      </w:pPr>
      <w:r>
        <w:t>CEE</w:t>
      </w:r>
      <w:r>
        <w:tab/>
        <w:t>Comunidad Económica Europea</w:t>
      </w:r>
    </w:p>
    <w:p w:rsidR="00D4647E" w:rsidRDefault="00D4647E" w:rsidP="00D4647E">
      <w:pPr>
        <w:pStyle w:val="TextoAbreviaturas"/>
      </w:pPr>
      <w:r>
        <w:t>CEOE</w:t>
      </w:r>
      <w:r>
        <w:tab/>
        <w:t>Confederación española de organizaciones empresariales</w:t>
      </w:r>
    </w:p>
    <w:p w:rsidR="00D4647E" w:rsidRDefault="00D4647E" w:rsidP="00D4647E">
      <w:pPr>
        <w:pStyle w:val="TextoAbreviaturas"/>
      </w:pPr>
      <w:r>
        <w:t>CEPYME</w:t>
      </w:r>
      <w:r>
        <w:tab/>
        <w:t>Confederación española de la pequeña y mediana empresa</w:t>
      </w:r>
    </w:p>
    <w:p w:rsidR="00D4647E" w:rsidRDefault="00D4647E" w:rsidP="00D4647E">
      <w:pPr>
        <w:pStyle w:val="TextoAbreviaturas"/>
      </w:pPr>
      <w:r>
        <w:t>CGT</w:t>
      </w:r>
      <w:r>
        <w:tab/>
        <w:t>Confederación General de Trabajadores</w:t>
      </w:r>
    </w:p>
    <w:p w:rsidR="00D4647E" w:rsidRDefault="00D4647E" w:rsidP="00D4647E">
      <w:pPr>
        <w:pStyle w:val="TextoAbreviaturas"/>
      </w:pPr>
      <w:r>
        <w:t>CP</w:t>
      </w:r>
      <w:r>
        <w:tab/>
        <w:t>Código penal</w:t>
      </w:r>
    </w:p>
    <w:p w:rsidR="00D4647E" w:rsidRDefault="00D4647E" w:rsidP="00D4647E">
      <w:pPr>
        <w:pStyle w:val="TextoAbreviaturas"/>
      </w:pPr>
      <w:r>
        <w:t>DOGC</w:t>
      </w:r>
      <w:r>
        <w:tab/>
        <w:t>Diario Oficial de la Generalidad de Cataluña</w:t>
      </w:r>
    </w:p>
    <w:p w:rsidR="00D4647E" w:rsidRDefault="00D4647E" w:rsidP="00D4647E">
      <w:pPr>
        <w:pStyle w:val="TextoAbreviaturas"/>
      </w:pPr>
      <w:r>
        <w:t>EAAnd</w:t>
      </w:r>
      <w:r>
        <w:tab/>
        <w:t>Estatuto de Autonomía para Andalucía</w:t>
      </w:r>
    </w:p>
    <w:p w:rsidR="00D4647E" w:rsidRDefault="00D4647E" w:rsidP="00D4647E">
      <w:pPr>
        <w:pStyle w:val="TextoAbreviaturas"/>
      </w:pPr>
      <w:r>
        <w:t>EAAr</w:t>
      </w:r>
      <w:r>
        <w:tab/>
        <w:t>Estatuto de Autonomía de Aragón</w:t>
      </w:r>
    </w:p>
    <w:p w:rsidR="00D4647E" w:rsidRDefault="00D4647E" w:rsidP="00D4647E">
      <w:pPr>
        <w:pStyle w:val="TextoAbreviaturas"/>
      </w:pPr>
      <w:r>
        <w:t>EAAst</w:t>
      </w:r>
      <w:r>
        <w:tab/>
        <w:t>Estatuto de Autonomía para Asturias</w:t>
      </w:r>
    </w:p>
    <w:p w:rsidR="00D4647E" w:rsidRDefault="00D4647E" w:rsidP="00D4647E">
      <w:pPr>
        <w:pStyle w:val="TextoAbreviaturas"/>
      </w:pPr>
      <w:r>
        <w:t>EAC</w:t>
      </w:r>
      <w:r>
        <w:tab/>
        <w:t>Estatuto de Autonomía de Cataluña</w:t>
      </w:r>
    </w:p>
    <w:p w:rsidR="00D4647E" w:rsidRDefault="00D4647E" w:rsidP="00D4647E">
      <w:pPr>
        <w:pStyle w:val="TextoAbreviaturas"/>
      </w:pPr>
      <w:r>
        <w:t>EACan</w:t>
      </w:r>
      <w:r>
        <w:tab/>
        <w:t>Estatuto de Autonomía de Canarias</w:t>
      </w:r>
    </w:p>
    <w:p w:rsidR="00D4647E" w:rsidRDefault="00D4647E" w:rsidP="00D4647E">
      <w:pPr>
        <w:pStyle w:val="TextoAbreviaturas"/>
      </w:pPr>
      <w:r>
        <w:t>EACL</w:t>
      </w:r>
      <w:r>
        <w:tab/>
        <w:t>Estatuto de Autonomía de Castilla y León</w:t>
      </w:r>
    </w:p>
    <w:p w:rsidR="00D4647E" w:rsidRDefault="00D4647E" w:rsidP="00D4647E">
      <w:pPr>
        <w:pStyle w:val="TextoAbreviaturas"/>
      </w:pPr>
      <w:r>
        <w:t>EACM</w:t>
      </w:r>
      <w:r>
        <w:tab/>
        <w:t>Estatuto de Autonomía de Castilla-La Mancha</w:t>
      </w:r>
    </w:p>
    <w:p w:rsidR="00D4647E" w:rsidRDefault="00D4647E" w:rsidP="00D4647E">
      <w:pPr>
        <w:pStyle w:val="TextoAbreviaturas"/>
      </w:pPr>
      <w:r>
        <w:t>EAE</w:t>
      </w:r>
      <w:r>
        <w:tab/>
        <w:t>Estatuto de Autonomía de Extremadura</w:t>
      </w:r>
    </w:p>
    <w:p w:rsidR="00D4647E" w:rsidRDefault="00D4647E" w:rsidP="00D4647E">
      <w:pPr>
        <w:pStyle w:val="TextoAbreviaturas"/>
      </w:pPr>
      <w:r>
        <w:t>EAG</w:t>
      </w:r>
      <w:r>
        <w:tab/>
        <w:t>Estatuto de Autonomía para Galicia</w:t>
      </w:r>
    </w:p>
    <w:p w:rsidR="00D4647E" w:rsidRDefault="00D4647E" w:rsidP="00D4647E">
      <w:pPr>
        <w:pStyle w:val="TextoAbreviaturas"/>
      </w:pPr>
      <w:r>
        <w:t>EAM</w:t>
      </w:r>
      <w:r>
        <w:tab/>
        <w:t>Estatuto de Autonomía de la Comunidad de Madrid</w:t>
      </w:r>
    </w:p>
    <w:p w:rsidR="00D4647E" w:rsidRDefault="00D4647E" w:rsidP="00D4647E">
      <w:pPr>
        <w:pStyle w:val="TextoAbreviaturas"/>
      </w:pPr>
      <w:r>
        <w:t>EAR</w:t>
      </w:r>
      <w:r>
        <w:tab/>
        <w:t>Estatuto de Autonomía de La Rioja</w:t>
      </w:r>
    </w:p>
    <w:p w:rsidR="00D4647E" w:rsidRDefault="00D4647E" w:rsidP="00D4647E">
      <w:pPr>
        <w:pStyle w:val="TextoAbreviaturas"/>
      </w:pPr>
      <w:r>
        <w:t>EAV</w:t>
      </w:r>
      <w:r>
        <w:tab/>
        <w:t>Estatuto de Autonomía para la Comunidad Valenciana</w:t>
      </w:r>
    </w:p>
    <w:p w:rsidR="00D4647E" w:rsidRDefault="00D4647E" w:rsidP="00D4647E">
      <w:pPr>
        <w:pStyle w:val="TextoAbreviaturas"/>
      </w:pPr>
      <w:r>
        <w:lastRenderedPageBreak/>
        <w:t>ETA</w:t>
      </w:r>
      <w:r>
        <w:tab/>
        <w:t>Euskadi Ta Askatasuna</w:t>
      </w:r>
    </w:p>
    <w:p w:rsidR="00D4647E" w:rsidRDefault="00D4647E" w:rsidP="00D4647E">
      <w:pPr>
        <w:pStyle w:val="TextoAbreviaturas"/>
      </w:pPr>
      <w:r>
        <w:t>FEDER</w:t>
      </w:r>
      <w:r>
        <w:tab/>
        <w:t>Fondo Europeo de Desarrollo Regional</w:t>
      </w:r>
    </w:p>
    <w:p w:rsidR="00D4647E" w:rsidRDefault="00D4647E" w:rsidP="00D4647E">
      <w:pPr>
        <w:pStyle w:val="TextoAbreviaturas"/>
      </w:pPr>
      <w:r>
        <w:t>FEOGA</w:t>
      </w:r>
      <w:r>
        <w:tab/>
        <w:t>Fondo Europeo de Orientación y de Garantía Agrícola</w:t>
      </w:r>
    </w:p>
    <w:p w:rsidR="00D4647E" w:rsidRDefault="00D4647E" w:rsidP="00D4647E">
      <w:pPr>
        <w:pStyle w:val="TextoAbreviaturas"/>
      </w:pPr>
      <w:r>
        <w:t>FJ</w:t>
      </w:r>
      <w:r>
        <w:tab/>
        <w:t>Fundamento jurídico</w:t>
      </w:r>
    </w:p>
    <w:p w:rsidR="00D4647E" w:rsidRDefault="00D4647E" w:rsidP="00D4647E">
      <w:pPr>
        <w:pStyle w:val="TextoAbreviaturas"/>
      </w:pPr>
      <w:r>
        <w:t>FFJJ</w:t>
      </w:r>
      <w:r>
        <w:tab/>
        <w:t>Fundamentos jurídicos</w:t>
      </w:r>
    </w:p>
    <w:p w:rsidR="00D4647E" w:rsidRDefault="00D4647E" w:rsidP="00D4647E">
      <w:pPr>
        <w:pStyle w:val="TextoAbreviaturas"/>
      </w:pPr>
      <w:r>
        <w:t>FORCEM</w:t>
      </w:r>
      <w:r>
        <w:tab/>
        <w:t>Fundación tripartita para la formación en el empleo</w:t>
      </w:r>
    </w:p>
    <w:p w:rsidR="00D4647E" w:rsidRDefault="00D4647E" w:rsidP="00D4647E">
      <w:pPr>
        <w:pStyle w:val="TextoAbreviaturas"/>
      </w:pPr>
      <w:r>
        <w:t>HB</w:t>
      </w:r>
      <w:r>
        <w:tab/>
        <w:t>Herri Batasuna</w:t>
      </w:r>
    </w:p>
    <w:p w:rsidR="00D4647E" w:rsidRDefault="00D4647E" w:rsidP="00D4647E">
      <w:pPr>
        <w:pStyle w:val="TextoAbreviaturas"/>
      </w:pPr>
      <w:r>
        <w:t>IAE</w:t>
      </w:r>
      <w:r>
        <w:tab/>
        <w:t>Impuesto sobre actividades económicas</w:t>
      </w:r>
    </w:p>
    <w:p w:rsidR="00D4647E" w:rsidRDefault="00D4647E" w:rsidP="00D4647E">
      <w:pPr>
        <w:pStyle w:val="TextoAbreviaturas"/>
      </w:pPr>
      <w:r>
        <w:t>IBI</w:t>
      </w:r>
      <w:r>
        <w:tab/>
        <w:t>Impuesto sobre bienes inmuebles</w:t>
      </w:r>
    </w:p>
    <w:p w:rsidR="00D4647E" w:rsidRDefault="00D4647E" w:rsidP="00D4647E">
      <w:pPr>
        <w:pStyle w:val="TextoAbreviaturas"/>
      </w:pPr>
      <w:r>
        <w:t>INAEM</w:t>
      </w:r>
      <w:r>
        <w:tab/>
        <w:t>Instituto Nacional de las Artes Escénicas y de la Música</w:t>
      </w:r>
    </w:p>
    <w:p w:rsidR="00D4647E" w:rsidRDefault="00D4647E" w:rsidP="00D4647E">
      <w:pPr>
        <w:pStyle w:val="TextoAbreviaturas"/>
      </w:pPr>
      <w:r>
        <w:t>INEM</w:t>
      </w:r>
      <w:r>
        <w:tab/>
        <w:t>Instituto Nacional de Empleo</w:t>
      </w:r>
    </w:p>
    <w:p w:rsidR="00D4647E" w:rsidRDefault="00D4647E" w:rsidP="00D4647E">
      <w:pPr>
        <w:pStyle w:val="TextoAbreviaturas"/>
      </w:pPr>
      <w:r>
        <w:t>INSS</w:t>
      </w:r>
      <w:r>
        <w:tab/>
        <w:t>Instituto Nacional de la Seguridad Social</w:t>
      </w:r>
    </w:p>
    <w:p w:rsidR="00D4647E" w:rsidRDefault="00D4647E" w:rsidP="00D4647E">
      <w:pPr>
        <w:pStyle w:val="TextoAbreviaturas"/>
      </w:pPr>
      <w:r>
        <w:t>IRPF</w:t>
      </w:r>
      <w:r>
        <w:tab/>
        <w:t>Impuesto sobre la renta de las personas físicas</w:t>
      </w:r>
    </w:p>
    <w:p w:rsidR="00D4647E" w:rsidRDefault="00D4647E" w:rsidP="00D4647E">
      <w:pPr>
        <w:pStyle w:val="TextoAbreviaturas"/>
      </w:pPr>
      <w:r>
        <w:t>IVA</w:t>
      </w:r>
      <w:r>
        <w:tab/>
        <w:t>Impuesto sobre el valor añadido</w:t>
      </w:r>
    </w:p>
    <w:p w:rsidR="00D4647E" w:rsidRDefault="00D4647E" w:rsidP="00D4647E">
      <w:pPr>
        <w:pStyle w:val="TextoAbreviaturas"/>
      </w:pPr>
      <w:r>
        <w:t>LA</w:t>
      </w:r>
      <w:r>
        <w:tab/>
        <w:t>Ley de aguas</w:t>
      </w:r>
    </w:p>
    <w:p w:rsidR="00D4647E" w:rsidRDefault="00D4647E" w:rsidP="00D4647E">
      <w:pPr>
        <w:pStyle w:val="TextoAbreviaturas"/>
      </w:pPr>
      <w:r>
        <w:t>LBRL</w:t>
      </w:r>
      <w:r>
        <w:tab/>
        <w:t>Ley reguladora de las bases de régimen local</w:t>
      </w:r>
    </w:p>
    <w:p w:rsidR="00D4647E" w:rsidRDefault="00D4647E" w:rsidP="00D4647E">
      <w:pPr>
        <w:pStyle w:val="TextoAbreviaturas"/>
      </w:pPr>
      <w:r>
        <w:t>LC</w:t>
      </w:r>
      <w:r>
        <w:tab/>
        <w:t>Ley de costas</w:t>
      </w:r>
    </w:p>
    <w:p w:rsidR="00D4647E" w:rsidRDefault="00D4647E" w:rsidP="00D4647E">
      <w:pPr>
        <w:pStyle w:val="TextoAbreviaturas"/>
      </w:pPr>
      <w:r>
        <w:t>LCEN</w:t>
      </w:r>
      <w:r>
        <w:tab/>
        <w:t>Ley de conservación de los espacios naturales y de la flora y fauna silvestres</w:t>
      </w:r>
    </w:p>
    <w:p w:rsidR="00D4647E" w:rsidRDefault="00D4647E" w:rsidP="00D4647E">
      <w:pPr>
        <w:pStyle w:val="TextoAbreviaturas"/>
      </w:pPr>
      <w:r>
        <w:t>LEC</w:t>
      </w:r>
      <w:r>
        <w:tab/>
        <w:t>Ley de enjuiciamiento civil</w:t>
      </w:r>
    </w:p>
    <w:p w:rsidR="00D4647E" w:rsidRDefault="00D4647E" w:rsidP="00D4647E">
      <w:pPr>
        <w:pStyle w:val="TextoAbreviaturas"/>
      </w:pPr>
      <w:r>
        <w:t>LECrim</w:t>
      </w:r>
      <w:r>
        <w:tab/>
        <w:t>Ley de enjuiciamiento criminal</w:t>
      </w:r>
    </w:p>
    <w:p w:rsidR="00D4647E" w:rsidRDefault="00D4647E" w:rsidP="00D4647E">
      <w:pPr>
        <w:pStyle w:val="TextoAbreviaturas"/>
      </w:pPr>
      <w:r>
        <w:t>LEEP</w:t>
      </w:r>
      <w:r>
        <w:tab/>
        <w:t>Ley del estatuto básico del empleado público</w:t>
      </w:r>
    </w:p>
    <w:p w:rsidR="00D4647E" w:rsidRDefault="00D4647E" w:rsidP="00D4647E">
      <w:pPr>
        <w:pStyle w:val="TextoAbreviaturas"/>
      </w:pPr>
      <w:r>
        <w:t>LEP</w:t>
      </w:r>
      <w:r>
        <w:tab/>
        <w:t>Ley de extradición pasiva</w:t>
      </w:r>
    </w:p>
    <w:p w:rsidR="00D4647E" w:rsidRDefault="00D4647E" w:rsidP="00D4647E">
      <w:pPr>
        <w:pStyle w:val="TextoAbreviaturas"/>
      </w:pPr>
      <w:r>
        <w:t>LET</w:t>
      </w:r>
      <w:r>
        <w:tab/>
        <w:t>Ley del estatuto de los trabajadores</w:t>
      </w:r>
    </w:p>
    <w:p w:rsidR="00D4647E" w:rsidRDefault="00D4647E" w:rsidP="00D4647E">
      <w:pPr>
        <w:pStyle w:val="TextoAbreviaturas"/>
      </w:pPr>
      <w:r>
        <w:t>LGS</w:t>
      </w:r>
      <w:r>
        <w:tab/>
        <w:t>Ley general de sanidad</w:t>
      </w:r>
    </w:p>
    <w:p w:rsidR="00D4647E" w:rsidRDefault="00D4647E" w:rsidP="00D4647E">
      <w:pPr>
        <w:pStyle w:val="TextoAbreviaturas"/>
      </w:pPr>
      <w:r>
        <w:t>LGSS</w:t>
      </w:r>
      <w:r>
        <w:tab/>
        <w:t>Ley general de la Seguridad Social</w:t>
      </w:r>
    </w:p>
    <w:p w:rsidR="00D4647E" w:rsidRDefault="00D4647E" w:rsidP="00D4647E">
      <w:pPr>
        <w:pStyle w:val="TextoAbreviaturas"/>
      </w:pPr>
      <w:r>
        <w:t>LGT</w:t>
      </w:r>
      <w:r>
        <w:tab/>
        <w:t>Ley general tributaria</w:t>
      </w:r>
    </w:p>
    <w:p w:rsidR="00D4647E" w:rsidRDefault="00D4647E" w:rsidP="00D4647E">
      <w:pPr>
        <w:pStyle w:val="TextoAbreviaturas"/>
      </w:pPr>
      <w:r>
        <w:t>LHL</w:t>
      </w:r>
      <w:r>
        <w:tab/>
        <w:t>Ley reguladora de haciendas locales</w:t>
      </w:r>
    </w:p>
    <w:p w:rsidR="00D4647E" w:rsidRDefault="00D4647E" w:rsidP="00D4647E">
      <w:pPr>
        <w:pStyle w:val="TextoAbreviaturas"/>
      </w:pPr>
      <w:r>
        <w:t>LJCA</w:t>
      </w:r>
      <w:r>
        <w:tab/>
        <w:t>Ley reguladora de la jurisdicción contencioso-administrativa</w:t>
      </w:r>
    </w:p>
    <w:p w:rsidR="00D4647E" w:rsidRDefault="00D4647E" w:rsidP="00D4647E">
      <w:pPr>
        <w:pStyle w:val="TextoAbreviaturas"/>
      </w:pPr>
      <w:r>
        <w:t>LMFP</w:t>
      </w:r>
      <w:r>
        <w:tab/>
        <w:t>Ley de medidas para la reforma de la función pública</w:t>
      </w:r>
    </w:p>
    <w:p w:rsidR="00D4647E" w:rsidRDefault="00D4647E" w:rsidP="00D4647E">
      <w:pPr>
        <w:pStyle w:val="TextoAbreviaturas"/>
      </w:pPr>
      <w:r>
        <w:t>LODE</w:t>
      </w:r>
      <w:r>
        <w:tab/>
        <w:t>Ley Orgánica del derecho a la educación</w:t>
      </w:r>
    </w:p>
    <w:p w:rsidR="00D4647E" w:rsidRDefault="00D4647E" w:rsidP="00D4647E">
      <w:pPr>
        <w:pStyle w:val="TextoAbreviaturas"/>
      </w:pPr>
      <w:r>
        <w:t>LOEx</w:t>
      </w:r>
      <w:r>
        <w:tab/>
        <w:t>Ley Orgánica sobre derechos y libertades de los extranjeros en España y su integración social</w:t>
      </w:r>
    </w:p>
    <w:p w:rsidR="00D4647E" w:rsidRDefault="00D4647E" w:rsidP="00D4647E">
      <w:pPr>
        <w:pStyle w:val="TextoAbreviaturas"/>
      </w:pPr>
      <w:r>
        <w:t>LOFCA</w:t>
      </w:r>
      <w:r>
        <w:tab/>
        <w:t>Ley Orgánica de financiación de las Comunidades Autónomas</w:t>
      </w:r>
    </w:p>
    <w:p w:rsidR="00D4647E" w:rsidRDefault="00D4647E" w:rsidP="00D4647E">
      <w:pPr>
        <w:pStyle w:val="TextoAbreviaturas"/>
      </w:pPr>
      <w:r>
        <w:t>LOFCS</w:t>
      </w:r>
      <w:r>
        <w:tab/>
        <w:t>Ley Orgánica de las fuerzas y cuerpos de seguridad</w:t>
      </w:r>
    </w:p>
    <w:p w:rsidR="00D4647E" w:rsidRDefault="00D4647E" w:rsidP="00D4647E">
      <w:pPr>
        <w:pStyle w:val="TextoAbreviaturas"/>
      </w:pPr>
      <w:r>
        <w:t>LOGP</w:t>
      </w:r>
      <w:r>
        <w:tab/>
        <w:t>Ley Orgánica general penitenciaria</w:t>
      </w:r>
    </w:p>
    <w:p w:rsidR="00D4647E" w:rsidRDefault="00D4647E" w:rsidP="00D4647E">
      <w:pPr>
        <w:pStyle w:val="TextoAbreviaturas"/>
      </w:pPr>
      <w:r>
        <w:t>LOGSE</w:t>
      </w:r>
      <w:r>
        <w:tab/>
        <w:t>Ley Orgánica de ordenación general del sistema educativo</w:t>
      </w:r>
    </w:p>
    <w:p w:rsidR="00D4647E" w:rsidRDefault="00D4647E" w:rsidP="00D4647E">
      <w:pPr>
        <w:pStyle w:val="TextoAbreviaturas"/>
      </w:pPr>
      <w:r>
        <w:t>LOLS</w:t>
      </w:r>
      <w:r>
        <w:tab/>
        <w:t>Ley Orgánica de libertad sindical</w:t>
      </w:r>
    </w:p>
    <w:p w:rsidR="00D4647E" w:rsidRDefault="00D4647E" w:rsidP="00D4647E">
      <w:pPr>
        <w:pStyle w:val="TextoAbreviaturas"/>
      </w:pPr>
      <w:r>
        <w:t>LOPD</w:t>
      </w:r>
      <w:r>
        <w:tab/>
        <w:t>Ley Orgánica de protección de datos de carácter personal</w:t>
      </w:r>
    </w:p>
    <w:p w:rsidR="00D4647E" w:rsidRDefault="00D4647E" w:rsidP="00D4647E">
      <w:pPr>
        <w:pStyle w:val="TextoAbreviaturas"/>
      </w:pPr>
      <w:r>
        <w:t>LOPJ</w:t>
      </w:r>
      <w:r>
        <w:tab/>
        <w:t>Ley Orgánica del Poder Judicial</w:t>
      </w:r>
    </w:p>
    <w:p w:rsidR="00D4647E" w:rsidRDefault="00D4647E" w:rsidP="00D4647E">
      <w:pPr>
        <w:pStyle w:val="TextoAbreviaturas"/>
      </w:pPr>
      <w:r>
        <w:t>LOPP</w:t>
      </w:r>
      <w:r>
        <w:tab/>
        <w:t>Ley Orgánica de partidos políticos</w:t>
      </w:r>
    </w:p>
    <w:p w:rsidR="00D4647E" w:rsidRDefault="00D4647E" w:rsidP="00D4647E">
      <w:pPr>
        <w:pStyle w:val="TextoAbreviaturas"/>
      </w:pPr>
      <w:r>
        <w:t>LORAFNA</w:t>
      </w:r>
      <w:r>
        <w:tab/>
        <w:t>Ley Orgánica de reintegración y amejoramiento del régimen foral de Navarra</w:t>
      </w:r>
    </w:p>
    <w:p w:rsidR="00D4647E" w:rsidRDefault="00D4647E" w:rsidP="00D4647E">
      <w:pPr>
        <w:pStyle w:val="TextoAbreviaturas"/>
      </w:pPr>
      <w:r>
        <w:t>LOREG</w:t>
      </w:r>
      <w:r>
        <w:tab/>
        <w:t>Ley Orgánica del régimen electoral general</w:t>
      </w:r>
    </w:p>
    <w:p w:rsidR="00D4647E" w:rsidRDefault="00D4647E" w:rsidP="00D4647E">
      <w:pPr>
        <w:pStyle w:val="TextoAbreviaturas"/>
      </w:pPr>
      <w:r>
        <w:t>LOTC</w:t>
      </w:r>
      <w:r>
        <w:tab/>
        <w:t>Ley Orgánica del Tribunal Constitucional</w:t>
      </w:r>
    </w:p>
    <w:p w:rsidR="00D4647E" w:rsidRDefault="00D4647E" w:rsidP="00D4647E">
      <w:pPr>
        <w:pStyle w:val="TextoAbreviaturas"/>
      </w:pPr>
      <w:r>
        <w:t>LPC</w:t>
      </w:r>
      <w:r>
        <w:tab/>
        <w:t>Ley de régimen jurídico de las Administraciones públicas y del procedimiento administrativo común</w:t>
      </w:r>
    </w:p>
    <w:p w:rsidR="00D4647E" w:rsidRDefault="00D4647E" w:rsidP="00D4647E">
      <w:pPr>
        <w:pStyle w:val="TextoAbreviaturas"/>
      </w:pPr>
      <w:r>
        <w:t>LPL</w:t>
      </w:r>
      <w:r>
        <w:tab/>
        <w:t>Ley de procedimiento laboral</w:t>
      </w:r>
    </w:p>
    <w:p w:rsidR="00D4647E" w:rsidRDefault="00D4647E" w:rsidP="00D4647E">
      <w:pPr>
        <w:pStyle w:val="TextoAbreviaturas"/>
      </w:pPr>
      <w:r>
        <w:lastRenderedPageBreak/>
        <w:t>LPMM</w:t>
      </w:r>
      <w:r>
        <w:tab/>
        <w:t>Ley de puertos del Estado y de la marina mercante</w:t>
      </w:r>
    </w:p>
    <w:p w:rsidR="00D4647E" w:rsidRDefault="00D4647E" w:rsidP="00D4647E">
      <w:pPr>
        <w:pStyle w:val="TextoAbreviaturas"/>
      </w:pPr>
      <w:r>
        <w:t>LSE</w:t>
      </w:r>
      <w:r>
        <w:tab/>
        <w:t>Ley del sector eléctrico</w:t>
      </w:r>
    </w:p>
    <w:p w:rsidR="00D4647E" w:rsidRDefault="00D4647E" w:rsidP="00D4647E">
      <w:pPr>
        <w:pStyle w:val="TextoAbreviaturas"/>
      </w:pPr>
      <w:r>
        <w:t>LSF</w:t>
      </w:r>
      <w:r>
        <w:tab/>
        <w:t>Ley del sector ferroviario</w:t>
      </w:r>
    </w:p>
    <w:p w:rsidR="00D4647E" w:rsidRDefault="00D4647E" w:rsidP="00D4647E">
      <w:pPr>
        <w:pStyle w:val="TextoAbreviaturas"/>
      </w:pPr>
      <w:r>
        <w:t>LSV</w:t>
      </w:r>
      <w:r>
        <w:tab/>
        <w:t>Ley sobre tráfico, circulación de vehículos a motor y seguridad vial</w:t>
      </w:r>
    </w:p>
    <w:p w:rsidR="00D4647E" w:rsidRDefault="00D4647E" w:rsidP="00D4647E">
      <w:pPr>
        <w:pStyle w:val="TextoAbreviaturas"/>
      </w:pPr>
      <w:r>
        <w:t>ONU</w:t>
      </w:r>
      <w:r>
        <w:tab/>
        <w:t>Organización de Naciones Unidas</w:t>
      </w:r>
    </w:p>
    <w:p w:rsidR="00D4647E" w:rsidRDefault="00D4647E" w:rsidP="00D4647E">
      <w:pPr>
        <w:pStyle w:val="TextoAbreviaturas"/>
      </w:pPr>
      <w:r>
        <w:t>PIDCP</w:t>
      </w:r>
      <w:r>
        <w:tab/>
        <w:t>Pacto internacional de derechos civiles y políticos</w:t>
      </w:r>
    </w:p>
    <w:p w:rsidR="00D4647E" w:rsidRDefault="00D4647E" w:rsidP="00D4647E">
      <w:pPr>
        <w:pStyle w:val="TextoAbreviaturas"/>
      </w:pPr>
      <w:r>
        <w:t>PSOE</w:t>
      </w:r>
      <w:r>
        <w:tab/>
        <w:t>Partido Socialista Obrero Español</w:t>
      </w:r>
    </w:p>
    <w:p w:rsidR="00D4647E" w:rsidRDefault="00D4647E" w:rsidP="00D4647E">
      <w:pPr>
        <w:pStyle w:val="TextoAbreviaturas"/>
      </w:pPr>
      <w:r>
        <w:t>RENFE</w:t>
      </w:r>
      <w:r>
        <w:tab/>
        <w:t>Red Nacional de los Ferrocarriles Españoles</w:t>
      </w:r>
    </w:p>
    <w:p w:rsidR="00D4647E" w:rsidRDefault="00D4647E" w:rsidP="00D4647E">
      <w:pPr>
        <w:pStyle w:val="TextoAbreviaturas"/>
      </w:pPr>
      <w:r>
        <w:t>RTVE</w:t>
      </w:r>
      <w:r>
        <w:tab/>
        <w:t>Radio Televisión Española</w:t>
      </w:r>
    </w:p>
    <w:p w:rsidR="00D4647E" w:rsidRDefault="00D4647E" w:rsidP="00D4647E">
      <w:pPr>
        <w:pStyle w:val="TextoAbreviaturas"/>
      </w:pPr>
      <w:r>
        <w:t>SAS</w:t>
      </w:r>
      <w:r>
        <w:tab/>
        <w:t>Servicio Andaluz de Salud</w:t>
      </w:r>
    </w:p>
    <w:p w:rsidR="00D4647E" w:rsidRDefault="00D4647E" w:rsidP="00D4647E">
      <w:pPr>
        <w:pStyle w:val="TextoAbreviaturas"/>
      </w:pPr>
      <w:r>
        <w:t>STC</w:t>
      </w:r>
      <w:r>
        <w:tab/>
        <w:t>Sentencia del Tribunal Constitucional</w:t>
      </w:r>
    </w:p>
    <w:p w:rsidR="00D4647E" w:rsidRDefault="00D4647E" w:rsidP="00D4647E">
      <w:pPr>
        <w:pStyle w:val="TextoAbreviaturas"/>
      </w:pPr>
      <w:r>
        <w:t>SSTC</w:t>
      </w:r>
      <w:r>
        <w:tab/>
        <w:t>Sentencias del Tribunal Constitucional</w:t>
      </w:r>
    </w:p>
    <w:p w:rsidR="00D4647E" w:rsidRDefault="00D4647E" w:rsidP="00D4647E">
      <w:pPr>
        <w:pStyle w:val="TextoAbreviaturas"/>
      </w:pPr>
      <w:r>
        <w:t>STEDH</w:t>
      </w:r>
      <w:r>
        <w:tab/>
        <w:t>Sentencia del Tribunal Europeo de Derechos Humanos</w:t>
      </w:r>
    </w:p>
    <w:p w:rsidR="00D4647E" w:rsidRDefault="00D4647E" w:rsidP="00D4647E">
      <w:pPr>
        <w:pStyle w:val="TextoAbreviaturas"/>
      </w:pPr>
      <w:r>
        <w:t>SSTEDH</w:t>
      </w:r>
      <w:r>
        <w:tab/>
        <w:t>Sentencias del Tribunal Europeo de Derechos Humanos</w:t>
      </w:r>
    </w:p>
    <w:p w:rsidR="00D4647E" w:rsidRDefault="00D4647E" w:rsidP="00D4647E">
      <w:pPr>
        <w:pStyle w:val="TextoAbreviaturas"/>
      </w:pPr>
      <w:r>
        <w:t>STJCE</w:t>
      </w:r>
      <w:r>
        <w:tab/>
        <w:t>Sentencia del Tribunal de Justicia de las Comunidades Europeas</w:t>
      </w:r>
    </w:p>
    <w:p w:rsidR="00D4647E" w:rsidRDefault="00D4647E" w:rsidP="00D4647E">
      <w:pPr>
        <w:pStyle w:val="TextoAbreviaturas"/>
      </w:pPr>
      <w:r>
        <w:t>SSTJCE</w:t>
      </w:r>
      <w:r>
        <w:tab/>
        <w:t>Sentencias del Tribunal de Justicia de las Comunidades Europeas</w:t>
      </w:r>
    </w:p>
    <w:p w:rsidR="00D4647E" w:rsidRDefault="00D4647E" w:rsidP="00D4647E">
      <w:pPr>
        <w:pStyle w:val="TextoAbreviaturas"/>
      </w:pPr>
      <w:r>
        <w:t>STS</w:t>
      </w:r>
      <w:r>
        <w:tab/>
        <w:t>Sentencia del Tribunal Supremo</w:t>
      </w:r>
    </w:p>
    <w:p w:rsidR="00D4647E" w:rsidRDefault="00D4647E" w:rsidP="00D4647E">
      <w:pPr>
        <w:pStyle w:val="TextoAbreviaturas"/>
      </w:pPr>
      <w:r>
        <w:t>SSTS</w:t>
      </w:r>
      <w:r>
        <w:tab/>
        <w:t>Sentencias del Tribunal Supremo</w:t>
      </w:r>
    </w:p>
    <w:p w:rsidR="00D4647E" w:rsidRDefault="00D4647E" w:rsidP="00D4647E">
      <w:pPr>
        <w:pStyle w:val="TextoAbreviaturas"/>
      </w:pPr>
      <w:r>
        <w:t>TCE</w:t>
      </w:r>
      <w:r>
        <w:tab/>
        <w:t>Tratado constitutivo de la Comunidad Europea</w:t>
      </w:r>
    </w:p>
    <w:p w:rsidR="00D4647E" w:rsidRDefault="00D4647E" w:rsidP="00D4647E">
      <w:pPr>
        <w:pStyle w:val="TextoAbreviaturas"/>
      </w:pPr>
      <w:r>
        <w:t>TFUE</w:t>
      </w:r>
      <w:r>
        <w:tab/>
        <w:t>Tratado de funcionamiento de la Unión Europea</w:t>
      </w:r>
    </w:p>
    <w:p w:rsidR="00D4647E" w:rsidRDefault="00D4647E" w:rsidP="00D4647E">
      <w:pPr>
        <w:pStyle w:val="TextoAbreviaturas"/>
      </w:pPr>
      <w:r>
        <w:t>UGT</w:t>
      </w:r>
      <w:r>
        <w:tab/>
        <w:t>Unión General de Trabajadores</w:t>
      </w:r>
    </w:p>
    <w:p w:rsidR="00D4647E" w:rsidRDefault="00D4647E" w:rsidP="00D4647E">
      <w:pPr>
        <w:pStyle w:val="TextoAbreviaturas"/>
      </w:pPr>
    </w:p>
    <w:sectPr w:rsidR="00D4647E" w:rsidSect="001F24E8">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921" w:rsidRDefault="00E85921" w:rsidP="0026452D">
      <w:pPr>
        <w:spacing w:after="0" w:line="240" w:lineRule="auto"/>
      </w:pPr>
      <w:r>
        <w:separator/>
      </w:r>
    </w:p>
  </w:endnote>
  <w:endnote w:type="continuationSeparator" w:id="0">
    <w:p w:rsidR="00E85921" w:rsidRDefault="00E85921" w:rsidP="00264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921" w:rsidRDefault="00E85921" w:rsidP="001F24E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F4A65">
      <w:rPr>
        <w:rStyle w:val="Nmerodepgina"/>
        <w:noProof/>
      </w:rPr>
      <w:t>3528</w:t>
    </w:r>
    <w:r>
      <w:rPr>
        <w:rStyle w:val="Nmerodepgina"/>
      </w:rPr>
      <w:fldChar w:fldCharType="end"/>
    </w:r>
  </w:p>
  <w:p w:rsidR="00E85921" w:rsidRDefault="00E85921" w:rsidP="001F24E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921" w:rsidRDefault="00E85921" w:rsidP="001F24E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F4A65">
      <w:rPr>
        <w:rStyle w:val="Nmerodepgina"/>
        <w:noProof/>
      </w:rPr>
      <w:t>3530</w:t>
    </w:r>
    <w:r>
      <w:rPr>
        <w:rStyle w:val="Nmerodepgina"/>
      </w:rPr>
      <w:fldChar w:fldCharType="end"/>
    </w:r>
  </w:p>
  <w:p w:rsidR="00E85921" w:rsidRDefault="00E85921" w:rsidP="001F24E8">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921" w:rsidRDefault="00E859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921" w:rsidRDefault="00E85921" w:rsidP="0026452D">
      <w:pPr>
        <w:spacing w:after="0" w:line="240" w:lineRule="auto"/>
      </w:pPr>
      <w:r>
        <w:separator/>
      </w:r>
    </w:p>
  </w:footnote>
  <w:footnote w:type="continuationSeparator" w:id="0">
    <w:p w:rsidR="00E85921" w:rsidRDefault="00E85921" w:rsidP="002645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921" w:rsidRDefault="00E8592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921" w:rsidRDefault="00E85921" w:rsidP="001F24E8">
    <w:pPr>
      <w:pStyle w:val="Cabecera"/>
    </w:pPr>
    <w:r>
      <w:t>JURISPRUDENCIA CONSTITUCIONAL - Tomo: enero a junio 2013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921" w:rsidRDefault="00E8592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518"/>
    <w:rsid w:val="00024ACF"/>
    <w:rsid w:val="00096518"/>
    <w:rsid w:val="001722C6"/>
    <w:rsid w:val="001B5087"/>
    <w:rsid w:val="001F24E8"/>
    <w:rsid w:val="00234417"/>
    <w:rsid w:val="00254DF1"/>
    <w:rsid w:val="002641D4"/>
    <w:rsid w:val="0026452D"/>
    <w:rsid w:val="00424450"/>
    <w:rsid w:val="00484035"/>
    <w:rsid w:val="00522D41"/>
    <w:rsid w:val="005E0C7C"/>
    <w:rsid w:val="00621B71"/>
    <w:rsid w:val="009803CD"/>
    <w:rsid w:val="00984248"/>
    <w:rsid w:val="00A30ED6"/>
    <w:rsid w:val="00A860DC"/>
    <w:rsid w:val="00AF4A65"/>
    <w:rsid w:val="00BE7FB3"/>
    <w:rsid w:val="00C34A05"/>
    <w:rsid w:val="00CE7010"/>
    <w:rsid w:val="00D4647E"/>
    <w:rsid w:val="00D8761E"/>
    <w:rsid w:val="00DF47E6"/>
    <w:rsid w:val="00E27756"/>
    <w:rsid w:val="00E63417"/>
    <w:rsid w:val="00E85921"/>
    <w:rsid w:val="00EE3DBB"/>
    <w:rsid w:val="00F755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684874AC-B3AE-48C0-A1D3-05695402C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518"/>
    <w:pPr>
      <w:spacing w:after="200" w:line="276" w:lineRule="auto"/>
    </w:pPr>
  </w:style>
  <w:style w:type="paragraph" w:styleId="Ttulo1">
    <w:name w:val="heading 1"/>
    <w:basedOn w:val="Normal"/>
    <w:next w:val="Normal"/>
    <w:link w:val="Ttulo1Car"/>
    <w:uiPriority w:val="9"/>
    <w:rsid w:val="00096518"/>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096518"/>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096518"/>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096518"/>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096518"/>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096518"/>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6518"/>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096518"/>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096518"/>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096518"/>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96518"/>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96518"/>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096518"/>
    <w:pPr>
      <w:spacing w:after="0" w:line="240" w:lineRule="auto"/>
    </w:pPr>
  </w:style>
  <w:style w:type="paragraph" w:styleId="Textocomentario">
    <w:name w:val="annotation text"/>
    <w:basedOn w:val="Normal"/>
    <w:link w:val="TextocomentarioCar"/>
    <w:uiPriority w:val="99"/>
    <w:semiHidden/>
    <w:rsid w:val="00096518"/>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096518"/>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096518"/>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096518"/>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096518"/>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096518"/>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096518"/>
    <w:rPr>
      <w:rFonts w:ascii="Times New Roman" w:hAnsi="Times New Roman"/>
      <w:i w:val="0"/>
      <w:sz w:val="24"/>
    </w:rPr>
  </w:style>
  <w:style w:type="character" w:customStyle="1" w:styleId="TtuloBOECar">
    <w:name w:val="Título BOE Car"/>
    <w:basedOn w:val="Fuentedeprrafopredeter"/>
    <w:link w:val="TtuloBOE"/>
    <w:rsid w:val="00096518"/>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096518"/>
    <w:rPr>
      <w:rFonts w:ascii="Times New Roman" w:hAnsi="Times New Roman"/>
      <w:i/>
      <w:sz w:val="24"/>
    </w:rPr>
  </w:style>
  <w:style w:type="paragraph" w:customStyle="1" w:styleId="Extracto">
    <w:name w:val="Extracto"/>
    <w:basedOn w:val="Normal"/>
    <w:link w:val="ExtractoCar"/>
    <w:qFormat/>
    <w:rsid w:val="00096518"/>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096518"/>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096518"/>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096518"/>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096518"/>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096518"/>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096518"/>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096518"/>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096518"/>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096518"/>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096518"/>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096518"/>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096518"/>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096518"/>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096518"/>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096518"/>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096518"/>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096518"/>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096518"/>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096518"/>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096518"/>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096518"/>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096518"/>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096518"/>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096518"/>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096518"/>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096518"/>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096518"/>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096518"/>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096518"/>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096518"/>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096518"/>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096518"/>
  </w:style>
  <w:style w:type="paragraph" w:customStyle="1" w:styleId="SntesisAnaltica">
    <w:name w:val="Síntesis Analítica"/>
    <w:basedOn w:val="ParrafoNormal"/>
    <w:link w:val="SntesisAnalticaCar"/>
    <w:qFormat/>
    <w:rsid w:val="00096518"/>
    <w:rPr>
      <w:i/>
    </w:rPr>
  </w:style>
  <w:style w:type="character" w:customStyle="1" w:styleId="ParrafoNormalCar">
    <w:name w:val="Parrafo Normal Car"/>
    <w:basedOn w:val="Fuentedeprrafopredeter"/>
    <w:link w:val="ParrafoNormal"/>
    <w:rsid w:val="00096518"/>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096518"/>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096518"/>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096518"/>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096518"/>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096518"/>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09651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096518"/>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096518"/>
    <w:rPr>
      <w:rFonts w:ascii="Tahoma" w:eastAsia="Times New Roman" w:hAnsi="Tahoma" w:cs="Tahoma"/>
      <w:sz w:val="16"/>
      <w:szCs w:val="16"/>
      <w:lang w:eastAsia="es-ES"/>
    </w:rPr>
  </w:style>
  <w:style w:type="paragraph" w:customStyle="1" w:styleId="Portada1">
    <w:name w:val="Portada 1"/>
    <w:basedOn w:val="Normal"/>
    <w:link w:val="Portada1Car"/>
    <w:qFormat/>
    <w:rsid w:val="00096518"/>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096518"/>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096518"/>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096518"/>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096518"/>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096518"/>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096518"/>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096518"/>
    <w:rPr>
      <w:rFonts w:ascii="Times New Roman" w:hAnsi="Times New Roman"/>
      <w:sz w:val="24"/>
    </w:rPr>
  </w:style>
  <w:style w:type="paragraph" w:customStyle="1" w:styleId="Prueba">
    <w:name w:val="Prueba"/>
    <w:basedOn w:val="Normal"/>
    <w:link w:val="PruebaCar"/>
    <w:qFormat/>
    <w:rsid w:val="00096518"/>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096518"/>
    <w:rPr>
      <w:rFonts w:ascii="Times New Roman" w:hAnsi="Times New Roman" w:cs="Times New Roman"/>
      <w:sz w:val="24"/>
      <w:szCs w:val="24"/>
    </w:rPr>
  </w:style>
  <w:style w:type="paragraph" w:customStyle="1" w:styleId="Paginas">
    <w:name w:val="Paginas"/>
    <w:basedOn w:val="Prueba"/>
    <w:link w:val="PaginasCar"/>
    <w:qFormat/>
    <w:rsid w:val="00096518"/>
  </w:style>
  <w:style w:type="character" w:customStyle="1" w:styleId="PaginasCar">
    <w:name w:val="Paginas Car"/>
    <w:basedOn w:val="PruebaCar"/>
    <w:link w:val="Paginas"/>
    <w:rsid w:val="00096518"/>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096518"/>
    <w:pPr>
      <w:ind w:left="568" w:hanging="284"/>
    </w:pPr>
  </w:style>
  <w:style w:type="paragraph" w:customStyle="1" w:styleId="SangriaIzquierdaArticulo">
    <w:name w:val="Sangria Izquierda Articulo"/>
    <w:basedOn w:val="SangriaFrancesaArticulo"/>
    <w:link w:val="SangriaIzquierdaArticuloCar"/>
    <w:qFormat/>
    <w:rsid w:val="00096518"/>
    <w:pPr>
      <w:ind w:firstLine="0"/>
    </w:pPr>
  </w:style>
  <w:style w:type="character" w:customStyle="1" w:styleId="SangriaFrancesaArticuloCar">
    <w:name w:val="Sangria Francesa Articulo Car"/>
    <w:basedOn w:val="ParrafoNormalCar"/>
    <w:link w:val="SangriaFrancesaArticulo"/>
    <w:rsid w:val="00096518"/>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096518"/>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096518"/>
    <w:pPr>
      <w:tabs>
        <w:tab w:val="left" w:pos="1134"/>
      </w:tabs>
      <w:ind w:left="-567"/>
    </w:pPr>
  </w:style>
  <w:style w:type="character" w:customStyle="1" w:styleId="DescriptoresJerarquicoNegritaCar">
    <w:name w:val="Descriptores Jerarquico Negrita Car"/>
    <w:basedOn w:val="TextoNormalNegritaCar"/>
    <w:link w:val="DescriptoresJerarquicoNegrita"/>
    <w:rsid w:val="00096518"/>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096518"/>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096518"/>
    <w:rPr>
      <w:rFonts w:ascii="Times New Roman" w:hAnsi="Times New Roman"/>
      <w:b/>
      <w:i/>
      <w:sz w:val="24"/>
    </w:rPr>
  </w:style>
  <w:style w:type="paragraph" w:customStyle="1" w:styleId="EntradandiceSumario">
    <w:name w:val="Entrada Índice Sumario"/>
    <w:basedOn w:val="EntradandiceSentencia"/>
    <w:qFormat/>
    <w:rsid w:val="00096518"/>
    <w:pPr>
      <w:tabs>
        <w:tab w:val="clear" w:pos="8080"/>
        <w:tab w:val="right" w:leader="dot" w:pos="7371"/>
      </w:tabs>
      <w:spacing w:line="260" w:lineRule="exact"/>
      <w:ind w:right="0"/>
    </w:pPr>
  </w:style>
  <w:style w:type="paragraph" w:customStyle="1" w:styleId="FechasPortadaGaceta">
    <w:name w:val="Fechas Portada Gaceta"/>
    <w:basedOn w:val="Normal"/>
    <w:qFormat/>
    <w:rsid w:val="00096518"/>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096518"/>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096518"/>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096518"/>
    <w:rPr>
      <w:rFonts w:ascii="Times New Roman" w:hAnsi="Times New Roman"/>
      <w:color w:val="A7599E"/>
      <w:sz w:val="24"/>
    </w:rPr>
  </w:style>
  <w:style w:type="character" w:customStyle="1" w:styleId="SntesisAnalticaTtulo">
    <w:name w:val="Síntesis Analítica Título"/>
    <w:basedOn w:val="SntesisDescriptivaTtulo"/>
    <w:uiPriority w:val="1"/>
    <w:qFormat/>
    <w:rsid w:val="00096518"/>
    <w:rPr>
      <w:rFonts w:ascii="Times New Roman" w:hAnsi="Times New Roman"/>
      <w:i w:val="0"/>
      <w:color w:val="A7599E"/>
      <w:sz w:val="24"/>
    </w:rPr>
  </w:style>
  <w:style w:type="paragraph" w:customStyle="1" w:styleId="CabeceraGaceta">
    <w:name w:val="Cabecera Gaceta"/>
    <w:next w:val="Normal"/>
    <w:link w:val="CabeceraGacetaCar"/>
    <w:qFormat/>
    <w:rsid w:val="00096518"/>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096518"/>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096518"/>
    <w:pPr>
      <w:spacing w:after="1800"/>
    </w:pPr>
  </w:style>
  <w:style w:type="character" w:styleId="nfasis">
    <w:name w:val="Emphasis"/>
    <w:basedOn w:val="Fuentedeprrafopredeter"/>
    <w:uiPriority w:val="20"/>
    <w:qFormat/>
    <w:rsid w:val="00096518"/>
    <w:rPr>
      <w:i/>
      <w:iCs/>
    </w:rPr>
  </w:style>
  <w:style w:type="character" w:styleId="Hipervnculo">
    <w:name w:val="Hyperlink"/>
    <w:basedOn w:val="Fuentedeprrafopredeter"/>
    <w:uiPriority w:val="99"/>
    <w:unhideWhenUsed/>
    <w:rsid w:val="00096518"/>
    <w:rPr>
      <w:b w:val="0"/>
      <w:color w:val="000000" w:themeColor="text1"/>
      <w:u w:val="none"/>
    </w:rPr>
  </w:style>
  <w:style w:type="paragraph" w:customStyle="1" w:styleId="SntesisDescriptivaConSeparacion">
    <w:name w:val="Síntesis Descriptiva Con Separacion"/>
    <w:basedOn w:val="SntesisDescriptiva"/>
    <w:qFormat/>
    <w:rsid w:val="00096518"/>
    <w:pPr>
      <w:spacing w:after="600"/>
    </w:pPr>
  </w:style>
  <w:style w:type="paragraph" w:customStyle="1" w:styleId="SntesisAnalticaConSeparacin">
    <w:name w:val="Síntesis Analítica Con Separación"/>
    <w:basedOn w:val="SntesisAnaltica"/>
    <w:qFormat/>
    <w:rsid w:val="00096518"/>
    <w:pPr>
      <w:spacing w:after="600"/>
    </w:pPr>
  </w:style>
  <w:style w:type="paragraph" w:customStyle="1" w:styleId="TtuloListado">
    <w:name w:val="Título Listado"/>
    <w:basedOn w:val="TextoNormal"/>
    <w:qFormat/>
    <w:rsid w:val="00096518"/>
    <w:pPr>
      <w:spacing w:line="360" w:lineRule="auto"/>
      <w:jc w:val="center"/>
    </w:pPr>
    <w:rPr>
      <w:b/>
      <w:u w:val="single"/>
    </w:rPr>
  </w:style>
  <w:style w:type="paragraph" w:customStyle="1" w:styleId="TextoNormalCentradoCursiva">
    <w:name w:val="Texto Normal Centrado Cursiva"/>
    <w:basedOn w:val="TextoNormalCentrado"/>
    <w:qFormat/>
    <w:rsid w:val="00096518"/>
    <w:rPr>
      <w:i/>
    </w:rPr>
  </w:style>
  <w:style w:type="paragraph" w:customStyle="1" w:styleId="TextoConBorde">
    <w:name w:val="Texto Con Borde"/>
    <w:qFormat/>
    <w:rsid w:val="00096518"/>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096518"/>
    <w:rPr>
      <w:sz w:val="148"/>
    </w:rPr>
  </w:style>
  <w:style w:type="paragraph" w:customStyle="1" w:styleId="TextoNormalNegritaCentradoSubrayado">
    <w:name w:val="Texto Normal Negrita Centrado Subrayado"/>
    <w:basedOn w:val="TextoNormalNegritaCentrado"/>
    <w:qFormat/>
    <w:rsid w:val="00096518"/>
    <w:rPr>
      <w:sz w:val="28"/>
      <w:u w:val="single"/>
    </w:rPr>
  </w:style>
  <w:style w:type="paragraph" w:customStyle="1" w:styleId="TextoIndiceNivel2">
    <w:name w:val="TextoIndice Nivel2"/>
    <w:basedOn w:val="TextoNormalNegritaCentrado"/>
    <w:qFormat/>
    <w:rsid w:val="00096518"/>
    <w:rPr>
      <w:sz w:val="36"/>
    </w:rPr>
  </w:style>
  <w:style w:type="character" w:customStyle="1" w:styleId="TextoNormalNegritaCentradoSombreado">
    <w:name w:val="Texto Normal Negrita Centrado Sombreado"/>
    <w:basedOn w:val="TextoNormalNegritaCaracter"/>
    <w:uiPriority w:val="1"/>
    <w:qFormat/>
    <w:rsid w:val="00096518"/>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096518"/>
    <w:rPr>
      <w:sz w:val="26"/>
    </w:rPr>
  </w:style>
  <w:style w:type="character" w:customStyle="1" w:styleId="ndiceJerrquicoDescriptor">
    <w:name w:val="Índice Jerárquico Descriptor"/>
    <w:basedOn w:val="TextoNormalCar"/>
    <w:uiPriority w:val="1"/>
    <w:qFormat/>
    <w:rsid w:val="00096518"/>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096518"/>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096518"/>
    <w:pPr>
      <w:ind w:left="0"/>
    </w:pPr>
    <w:rPr>
      <w:sz w:val="28"/>
    </w:rPr>
  </w:style>
  <w:style w:type="character" w:styleId="Hipervnculovisitado">
    <w:name w:val="FollowedHyperlink"/>
    <w:basedOn w:val="Fuentedeprrafopredeter"/>
    <w:uiPriority w:val="99"/>
    <w:semiHidden/>
    <w:unhideWhenUsed/>
    <w:rsid w:val="00096518"/>
    <w:rPr>
      <w:color w:val="auto"/>
      <w:u w:val="none"/>
    </w:rPr>
  </w:style>
  <w:style w:type="paragraph" w:customStyle="1" w:styleId="EntradandiceSumarioNivel2">
    <w:name w:val="Entrada Índice Sumario Nivel2"/>
    <w:basedOn w:val="EntradandiceSumario"/>
    <w:qFormat/>
    <w:rsid w:val="00096518"/>
    <w:pPr>
      <w:spacing w:line="240" w:lineRule="exact"/>
      <w:ind w:firstLine="113"/>
    </w:pPr>
    <w:rPr>
      <w:sz w:val="23"/>
    </w:rPr>
  </w:style>
  <w:style w:type="paragraph" w:customStyle="1" w:styleId="TtuloSumariondices">
    <w:name w:val="Título Sumario Índices"/>
    <w:basedOn w:val="TextoNormal"/>
    <w:qFormat/>
    <w:rsid w:val="00096518"/>
    <w:pPr>
      <w:ind w:firstLine="0"/>
      <w:jc w:val="center"/>
    </w:pPr>
    <w:rPr>
      <w:sz w:val="32"/>
    </w:rPr>
  </w:style>
  <w:style w:type="paragraph" w:styleId="Cierre">
    <w:name w:val="Closing"/>
    <w:basedOn w:val="Normal"/>
    <w:link w:val="CierreCar"/>
    <w:uiPriority w:val="99"/>
    <w:unhideWhenUsed/>
    <w:rsid w:val="00096518"/>
    <w:pPr>
      <w:spacing w:after="0" w:line="240" w:lineRule="auto"/>
      <w:ind w:left="4252"/>
    </w:pPr>
  </w:style>
  <w:style w:type="character" w:customStyle="1" w:styleId="CierreCar">
    <w:name w:val="Cierre Car"/>
    <w:basedOn w:val="Fuentedeprrafopredeter"/>
    <w:link w:val="Cierre"/>
    <w:uiPriority w:val="99"/>
    <w:rsid w:val="00096518"/>
  </w:style>
  <w:style w:type="paragraph" w:styleId="Cita">
    <w:name w:val="Quote"/>
    <w:basedOn w:val="Normal"/>
    <w:next w:val="Normal"/>
    <w:link w:val="CitaCar"/>
    <w:uiPriority w:val="29"/>
    <w:qFormat/>
    <w:rsid w:val="00096518"/>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096518"/>
    <w:rPr>
      <w:i/>
      <w:iCs/>
      <w:color w:val="404040" w:themeColor="text1" w:themeTint="BF"/>
    </w:rPr>
  </w:style>
  <w:style w:type="paragraph" w:customStyle="1" w:styleId="Cabecera">
    <w:name w:val="Cabecera"/>
    <w:link w:val="CabeceraCar"/>
    <w:qFormat/>
    <w:rsid w:val="00096518"/>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096518"/>
    <w:rPr>
      <w:rFonts w:ascii="Arial" w:hAnsi="Arial"/>
      <w:b/>
      <w:iCs/>
      <w:color w:val="538135"/>
      <w:sz w:val="20"/>
    </w:rPr>
  </w:style>
  <w:style w:type="paragraph" w:customStyle="1" w:styleId="TtuloSumarioResoluciones">
    <w:name w:val="Título Sumario Resoluciones"/>
    <w:basedOn w:val="TextoNormal"/>
    <w:link w:val="TtuloSumarioResolucionesCar"/>
    <w:qFormat/>
    <w:rsid w:val="00096518"/>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096518"/>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096518"/>
    <w:rPr>
      <w:rFonts w:ascii="Times New Roman" w:hAnsi="Times New Roman"/>
      <w:b/>
      <w:color w:val="538135"/>
      <w:sz w:val="32"/>
    </w:rPr>
  </w:style>
  <w:style w:type="paragraph" w:styleId="Encabezado">
    <w:name w:val="header"/>
    <w:basedOn w:val="Normal"/>
    <w:link w:val="EncabezadoCar"/>
    <w:uiPriority w:val="99"/>
    <w:unhideWhenUsed/>
    <w:rsid w:val="002645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452D"/>
  </w:style>
  <w:style w:type="paragraph" w:styleId="Piedepgina">
    <w:name w:val="footer"/>
    <w:basedOn w:val="Normal"/>
    <w:link w:val="PiedepginaCar"/>
    <w:uiPriority w:val="99"/>
    <w:unhideWhenUsed/>
    <w:rsid w:val="002645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452D"/>
  </w:style>
  <w:style w:type="character" w:styleId="Nmerodepgina">
    <w:name w:val="page number"/>
    <w:basedOn w:val="Fuentedeprrafopredeter"/>
    <w:uiPriority w:val="99"/>
    <w:semiHidden/>
    <w:unhideWhenUsed/>
    <w:rsid w:val="001F2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6</Pages>
  <Words>1779180</Words>
  <Characters>9785496</Characters>
  <Application>Microsoft Office Word</Application>
  <DocSecurity>0</DocSecurity>
  <Lines>81545</Lines>
  <Paragraphs>23083</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11541593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29</cp:revision>
  <cp:lastPrinted>2019-03-08T08:12:00Z</cp:lastPrinted>
  <dcterms:created xsi:type="dcterms:W3CDTF">2017-03-23T10:53:00Z</dcterms:created>
  <dcterms:modified xsi:type="dcterms:W3CDTF">2019-03-08T08:15:00Z</dcterms:modified>
</cp:coreProperties>
</file>